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1F62E1" w14:textId="77777777" w:rsidR="001C08A5" w:rsidRDefault="001C08A5">
      <w:bookmarkStart w:id="0" w:name="_Hlk151761022"/>
      <w:bookmarkEnd w:id="0"/>
    </w:p>
    <w:p w14:paraId="7B212295" w14:textId="77777777" w:rsidR="001C08A5" w:rsidRDefault="001C08A5"/>
    <w:p w14:paraId="4138ADF5" w14:textId="77777777" w:rsidR="001C08A5" w:rsidRDefault="001C08A5"/>
    <w:p w14:paraId="36766559" w14:textId="77777777" w:rsidR="001C08A5" w:rsidRDefault="001C08A5"/>
    <w:p w14:paraId="771ADCE6" w14:textId="77777777" w:rsidR="001C08A5" w:rsidRDefault="001C08A5"/>
    <w:p w14:paraId="5C994E07" w14:textId="77777777" w:rsidR="001C08A5" w:rsidRDefault="001C08A5"/>
    <w:p w14:paraId="005340BB" w14:textId="77777777" w:rsidR="001C08A5" w:rsidRDefault="001C08A5"/>
    <w:p w14:paraId="14E705C7" w14:textId="77777777" w:rsidR="001C08A5" w:rsidRDefault="001C08A5"/>
    <w:p w14:paraId="7DD54D7A" w14:textId="77777777" w:rsidR="001C08A5" w:rsidRDefault="001C08A5"/>
    <w:p w14:paraId="7B0A33A4" w14:textId="77777777" w:rsidR="001C08A5" w:rsidRDefault="00000000">
      <w:pPr>
        <w:framePr w:hSpace="180" w:wrap="around" w:vAnchor="text" w:hAnchor="text" w:x="108" w:y="1"/>
        <w:suppressAutoHyphens w:val="0"/>
        <w:jc w:val="center"/>
        <w:rPr>
          <w:b/>
          <w:bCs/>
          <w:sz w:val="40"/>
          <w:szCs w:val="40"/>
          <w:lang w:eastAsia="ro-RO"/>
        </w:rPr>
      </w:pPr>
      <w:r>
        <w:rPr>
          <w:b/>
          <w:bCs/>
          <w:sz w:val="40"/>
          <w:szCs w:val="40"/>
          <w:lang w:eastAsia="ro-RO"/>
        </w:rPr>
        <w:t>NORMATIV PRIVIND SECURITATEA LA</w:t>
      </w:r>
    </w:p>
    <w:p w14:paraId="516C0367" w14:textId="77777777" w:rsidR="001C08A5" w:rsidRDefault="00000000">
      <w:pPr>
        <w:framePr w:hSpace="180" w:wrap="around" w:vAnchor="text" w:hAnchor="text" w:x="108" w:y="1"/>
        <w:suppressAutoHyphens w:val="0"/>
        <w:jc w:val="center"/>
        <w:rPr>
          <w:b/>
          <w:bCs/>
          <w:sz w:val="40"/>
          <w:szCs w:val="40"/>
          <w:lang w:eastAsia="ro-RO"/>
        </w:rPr>
      </w:pPr>
      <w:r>
        <w:rPr>
          <w:b/>
          <w:bCs/>
          <w:sz w:val="40"/>
          <w:szCs w:val="40"/>
          <w:lang w:eastAsia="ro-RO"/>
        </w:rPr>
        <w:t>INCENDIU A CONSTRUCŢIILOR</w:t>
      </w:r>
    </w:p>
    <w:p w14:paraId="37CB64C1" w14:textId="77777777" w:rsidR="001C08A5" w:rsidRDefault="001C08A5">
      <w:pPr>
        <w:widowControl w:val="0"/>
        <w:suppressAutoHyphens w:val="0"/>
        <w:autoSpaceDE w:val="0"/>
        <w:autoSpaceDN w:val="0"/>
        <w:adjustRightInd w:val="0"/>
        <w:spacing w:line="200" w:lineRule="exact"/>
        <w:rPr>
          <w:sz w:val="24"/>
          <w:szCs w:val="24"/>
          <w:lang w:eastAsia="ro-RO"/>
        </w:rPr>
      </w:pPr>
    </w:p>
    <w:p w14:paraId="10E50DE4" w14:textId="77777777" w:rsidR="001C08A5" w:rsidRDefault="001C08A5">
      <w:pPr>
        <w:framePr w:hSpace="180" w:wrap="around" w:vAnchor="text" w:hAnchor="text" w:x="108" w:y="1"/>
        <w:suppressAutoHyphens w:val="0"/>
        <w:rPr>
          <w:b/>
          <w:sz w:val="24"/>
          <w:szCs w:val="24"/>
          <w:lang w:eastAsia="ro-RO"/>
        </w:rPr>
      </w:pPr>
    </w:p>
    <w:p w14:paraId="3E52AC22" w14:textId="77777777" w:rsidR="001C08A5" w:rsidRDefault="001C08A5">
      <w:pPr>
        <w:suppressAutoHyphens w:val="0"/>
        <w:ind w:right="1"/>
        <w:jc w:val="center"/>
        <w:rPr>
          <w:b/>
          <w:bCs/>
          <w:sz w:val="24"/>
          <w:szCs w:val="24"/>
          <w:lang w:eastAsia="en-US"/>
        </w:rPr>
      </w:pPr>
    </w:p>
    <w:p w14:paraId="04A2790F" w14:textId="77777777" w:rsidR="001C08A5" w:rsidRDefault="001C08A5">
      <w:pPr>
        <w:rPr>
          <w:b/>
          <w:sz w:val="24"/>
          <w:szCs w:val="24"/>
        </w:rPr>
      </w:pPr>
    </w:p>
    <w:p w14:paraId="680AECB8" w14:textId="77777777" w:rsidR="001C08A5" w:rsidRDefault="001C08A5">
      <w:pPr>
        <w:rPr>
          <w:b/>
          <w:sz w:val="24"/>
          <w:szCs w:val="24"/>
        </w:rPr>
      </w:pPr>
    </w:p>
    <w:p w14:paraId="0628387F" w14:textId="77777777" w:rsidR="001C08A5" w:rsidRDefault="001C08A5">
      <w:pPr>
        <w:rPr>
          <w:b/>
          <w:sz w:val="24"/>
          <w:szCs w:val="24"/>
        </w:rPr>
      </w:pPr>
    </w:p>
    <w:p w14:paraId="500C17F5" w14:textId="77777777" w:rsidR="001C08A5" w:rsidRDefault="001C08A5">
      <w:pPr>
        <w:rPr>
          <w:b/>
          <w:sz w:val="24"/>
          <w:szCs w:val="24"/>
        </w:rPr>
      </w:pPr>
    </w:p>
    <w:p w14:paraId="7AFFF834" w14:textId="77777777" w:rsidR="001C08A5" w:rsidRDefault="001C08A5">
      <w:pPr>
        <w:rPr>
          <w:b/>
          <w:sz w:val="24"/>
          <w:szCs w:val="24"/>
        </w:rPr>
      </w:pPr>
    </w:p>
    <w:p w14:paraId="48E1D9CD" w14:textId="77777777" w:rsidR="001C08A5" w:rsidRDefault="001C08A5">
      <w:pPr>
        <w:rPr>
          <w:b/>
          <w:sz w:val="24"/>
          <w:szCs w:val="24"/>
        </w:rPr>
      </w:pPr>
    </w:p>
    <w:p w14:paraId="1B6D7181" w14:textId="77777777" w:rsidR="001C08A5" w:rsidRDefault="001C08A5">
      <w:pPr>
        <w:rPr>
          <w:b/>
          <w:sz w:val="24"/>
          <w:szCs w:val="24"/>
        </w:rPr>
      </w:pPr>
    </w:p>
    <w:p w14:paraId="50A82825" w14:textId="77777777" w:rsidR="001C08A5" w:rsidRDefault="001C08A5">
      <w:pPr>
        <w:rPr>
          <w:b/>
          <w:sz w:val="24"/>
          <w:szCs w:val="24"/>
        </w:rPr>
      </w:pPr>
    </w:p>
    <w:p w14:paraId="5E18FBD1" w14:textId="77777777" w:rsidR="001C08A5" w:rsidRDefault="00000000">
      <w:pPr>
        <w:pStyle w:val="Title"/>
        <w:spacing w:before="0" w:after="0" w:line="360" w:lineRule="auto"/>
        <w:rPr>
          <w:rFonts w:ascii="Times New Roman" w:hAnsi="Times New Roman" w:cs="Times New Roman"/>
        </w:rPr>
      </w:pPr>
      <w:r>
        <w:rPr>
          <w:rFonts w:ascii="Times New Roman" w:hAnsi="Times New Roman" w:cs="Times New Roman"/>
        </w:rPr>
        <w:t>- 2024 -</w:t>
      </w:r>
    </w:p>
    <w:p w14:paraId="7F815BBC" w14:textId="77777777" w:rsidR="001C08A5" w:rsidRDefault="001C08A5">
      <w:pPr>
        <w:rPr>
          <w:b/>
          <w:sz w:val="32"/>
          <w:szCs w:val="32"/>
        </w:rPr>
      </w:pPr>
    </w:p>
    <w:p w14:paraId="20A94132" w14:textId="77777777" w:rsidR="001C08A5" w:rsidRDefault="001C08A5">
      <w:pPr>
        <w:rPr>
          <w:b/>
          <w:sz w:val="32"/>
          <w:szCs w:val="32"/>
        </w:rPr>
      </w:pPr>
    </w:p>
    <w:p w14:paraId="1836E56C" w14:textId="77777777" w:rsidR="001C08A5" w:rsidRDefault="001C08A5">
      <w:pPr>
        <w:suppressAutoHyphens w:val="0"/>
        <w:ind w:right="1"/>
        <w:jc w:val="center"/>
        <w:rPr>
          <w:b/>
          <w:bCs/>
          <w:sz w:val="32"/>
          <w:szCs w:val="32"/>
          <w:lang w:eastAsia="en-US"/>
        </w:rPr>
      </w:pPr>
    </w:p>
    <w:p w14:paraId="0D0C13F0" w14:textId="77777777" w:rsidR="001C08A5" w:rsidRDefault="001C08A5">
      <w:pPr>
        <w:suppressAutoHyphens w:val="0"/>
        <w:ind w:right="1"/>
        <w:jc w:val="center"/>
        <w:rPr>
          <w:b/>
          <w:bCs/>
          <w:sz w:val="32"/>
          <w:szCs w:val="32"/>
          <w:lang w:eastAsia="en-US"/>
        </w:rPr>
      </w:pPr>
    </w:p>
    <w:p w14:paraId="23659E67" w14:textId="77777777" w:rsidR="001C08A5" w:rsidRDefault="001C08A5">
      <w:pPr>
        <w:jc w:val="both"/>
        <w:rPr>
          <w:b/>
          <w:sz w:val="32"/>
          <w:szCs w:val="32"/>
        </w:rPr>
      </w:pPr>
    </w:p>
    <w:p w14:paraId="0C7AA273" w14:textId="77777777" w:rsidR="001C08A5" w:rsidRDefault="001C08A5">
      <w:pPr>
        <w:jc w:val="center"/>
        <w:rPr>
          <w:b/>
          <w:sz w:val="32"/>
          <w:szCs w:val="32"/>
        </w:rPr>
      </w:pPr>
    </w:p>
    <w:p w14:paraId="57B6BEC3" w14:textId="77777777" w:rsidR="001C08A5" w:rsidRDefault="00000000">
      <w:pPr>
        <w:jc w:val="center"/>
        <w:rPr>
          <w:b/>
          <w:sz w:val="32"/>
          <w:szCs w:val="32"/>
        </w:rPr>
      </w:pPr>
      <w:r>
        <w:rPr>
          <w:b/>
          <w:sz w:val="32"/>
          <w:szCs w:val="32"/>
        </w:rPr>
        <w:t>REDACTAREA II</w:t>
      </w:r>
    </w:p>
    <w:p w14:paraId="18C12665" w14:textId="77777777" w:rsidR="001C08A5" w:rsidRDefault="001C08A5">
      <w:pPr>
        <w:jc w:val="center"/>
        <w:rPr>
          <w:b/>
          <w:sz w:val="24"/>
          <w:szCs w:val="24"/>
        </w:rPr>
      </w:pPr>
    </w:p>
    <w:p w14:paraId="44EAA537" w14:textId="77777777" w:rsidR="001C08A5" w:rsidRDefault="001C08A5">
      <w:pPr>
        <w:jc w:val="center"/>
        <w:rPr>
          <w:b/>
          <w:sz w:val="24"/>
          <w:szCs w:val="24"/>
        </w:rPr>
      </w:pPr>
    </w:p>
    <w:p w14:paraId="78D1157B" w14:textId="77777777" w:rsidR="001C08A5" w:rsidRDefault="001C08A5">
      <w:pPr>
        <w:jc w:val="center"/>
        <w:rPr>
          <w:b/>
          <w:sz w:val="24"/>
          <w:szCs w:val="24"/>
        </w:rPr>
      </w:pPr>
    </w:p>
    <w:p w14:paraId="0831FC1C" w14:textId="77777777" w:rsidR="001C08A5" w:rsidRDefault="001C08A5">
      <w:pPr>
        <w:jc w:val="center"/>
        <w:rPr>
          <w:b/>
          <w:sz w:val="24"/>
          <w:szCs w:val="24"/>
        </w:rPr>
      </w:pPr>
    </w:p>
    <w:p w14:paraId="00A16B5C" w14:textId="77777777" w:rsidR="001C08A5" w:rsidRDefault="001C08A5">
      <w:pPr>
        <w:rPr>
          <w:b/>
          <w:sz w:val="24"/>
          <w:szCs w:val="24"/>
        </w:rPr>
      </w:pPr>
    </w:p>
    <w:p w14:paraId="4BA049D7" w14:textId="77777777" w:rsidR="001C08A5" w:rsidRDefault="001C08A5">
      <w:pPr>
        <w:rPr>
          <w:b/>
          <w:sz w:val="24"/>
          <w:szCs w:val="24"/>
        </w:rPr>
      </w:pPr>
    </w:p>
    <w:p w14:paraId="5F3D9765" w14:textId="77777777" w:rsidR="001C08A5" w:rsidRDefault="001C08A5">
      <w:pPr>
        <w:rPr>
          <w:b/>
          <w:sz w:val="24"/>
          <w:szCs w:val="24"/>
        </w:rPr>
      </w:pPr>
    </w:p>
    <w:p w14:paraId="58E5DE46" w14:textId="77777777" w:rsidR="001C08A5" w:rsidRDefault="001C08A5">
      <w:pPr>
        <w:rPr>
          <w:b/>
          <w:sz w:val="24"/>
          <w:szCs w:val="24"/>
        </w:rPr>
      </w:pPr>
    </w:p>
    <w:p w14:paraId="058D0271" w14:textId="77777777" w:rsidR="001C08A5" w:rsidRDefault="001C08A5">
      <w:pPr>
        <w:pStyle w:val="Title"/>
        <w:spacing w:before="0" w:after="0" w:line="360" w:lineRule="auto"/>
        <w:rPr>
          <w:rFonts w:ascii="Times New Roman" w:hAnsi="Times New Roman" w:cs="Times New Roman"/>
          <w:sz w:val="24"/>
          <w:szCs w:val="24"/>
        </w:rPr>
      </w:pPr>
    </w:p>
    <w:p w14:paraId="0DA368D1" w14:textId="77777777" w:rsidR="001C08A5" w:rsidRDefault="001C08A5">
      <w:pPr>
        <w:pStyle w:val="Subtitle"/>
        <w:rPr>
          <w:rFonts w:ascii="Times New Roman" w:hAnsi="Times New Roman" w:cs="Times New Roman"/>
          <w:sz w:val="24"/>
          <w:szCs w:val="24"/>
        </w:rPr>
      </w:pPr>
    </w:p>
    <w:p w14:paraId="50F8E381" w14:textId="77777777" w:rsidR="001C08A5" w:rsidRDefault="001C08A5">
      <w:pPr>
        <w:pStyle w:val="BodyText"/>
      </w:pPr>
    </w:p>
    <w:p w14:paraId="773CB3F0" w14:textId="77777777" w:rsidR="001C08A5" w:rsidRDefault="001C08A5">
      <w:pPr>
        <w:pStyle w:val="BodyText"/>
      </w:pPr>
    </w:p>
    <w:p w14:paraId="6ECFE37D" w14:textId="77777777" w:rsidR="001C08A5" w:rsidRDefault="001C08A5">
      <w:pPr>
        <w:pStyle w:val="BodyText"/>
      </w:pPr>
    </w:p>
    <w:p w14:paraId="3857226E" w14:textId="77777777" w:rsidR="001C08A5" w:rsidRDefault="001C08A5">
      <w:pPr>
        <w:pStyle w:val="BodyText"/>
      </w:pPr>
    </w:p>
    <w:p w14:paraId="01D09EB8" w14:textId="77777777" w:rsidR="001C08A5" w:rsidRDefault="001C08A5">
      <w:pPr>
        <w:pStyle w:val="BodyText"/>
      </w:pPr>
    </w:p>
    <w:p w14:paraId="3B65BAA2" w14:textId="77777777" w:rsidR="001C08A5" w:rsidRDefault="001C08A5">
      <w:pPr>
        <w:pStyle w:val="BodyText"/>
      </w:pPr>
    </w:p>
    <w:p w14:paraId="48B59EC3" w14:textId="77777777" w:rsidR="001C08A5" w:rsidRDefault="001C08A5">
      <w:pPr>
        <w:pStyle w:val="BodyText"/>
      </w:pPr>
    </w:p>
    <w:p w14:paraId="7A987B5F" w14:textId="77777777" w:rsidR="001C08A5" w:rsidRDefault="001C08A5">
      <w:pPr>
        <w:pStyle w:val="BodyText"/>
      </w:pPr>
    </w:p>
    <w:p w14:paraId="46C1F83A" w14:textId="77777777" w:rsidR="001C08A5" w:rsidRDefault="001C08A5">
      <w:pPr>
        <w:pStyle w:val="BodyText"/>
      </w:pPr>
    </w:p>
    <w:p w14:paraId="6FE48405" w14:textId="77777777" w:rsidR="001C08A5" w:rsidRDefault="001C08A5">
      <w:pPr>
        <w:jc w:val="both"/>
        <w:rPr>
          <w:rStyle w:val="Strong"/>
          <w:rFonts w:eastAsia="Helvetica"/>
          <w:sz w:val="24"/>
          <w:szCs w:val="24"/>
          <w:shd w:val="clear" w:color="auto" w:fill="FFFFFF"/>
        </w:rPr>
      </w:pPr>
    </w:p>
    <w:bookmarkStart w:id="1" w:name="_Toc12276"/>
    <w:bookmarkStart w:id="2" w:name="_Toc7949"/>
    <w:bookmarkStart w:id="3" w:name="_Toc16259"/>
    <w:bookmarkStart w:id="4" w:name="_Toc7107"/>
    <w:p w14:paraId="2CA99586" w14:textId="77777777" w:rsidR="001C08A5" w:rsidRDefault="00000000">
      <w:pPr>
        <w:pStyle w:val="TOC1"/>
        <w:tabs>
          <w:tab w:val="right" w:leader="dot" w:pos="9639"/>
        </w:tabs>
      </w:pPr>
      <w:r>
        <w:rPr>
          <w:sz w:val="22"/>
          <w:szCs w:val="22"/>
        </w:rPr>
        <w:lastRenderedPageBreak/>
        <w:fldChar w:fldCharType="begin"/>
      </w:r>
      <w:r>
        <w:rPr>
          <w:sz w:val="22"/>
          <w:szCs w:val="22"/>
        </w:rPr>
        <w:instrText xml:space="preserve">TOC \o "1-9" \h \u </w:instrText>
      </w:r>
      <w:r>
        <w:rPr>
          <w:sz w:val="22"/>
          <w:szCs w:val="22"/>
        </w:rPr>
        <w:fldChar w:fldCharType="separate"/>
      </w:r>
      <w:hyperlink w:anchor="_Toc12853" w:history="1">
        <w:r>
          <w:t>CAPITOLUL 1</w:t>
        </w:r>
        <w:r>
          <w:tab/>
        </w:r>
        <w:r>
          <w:fldChar w:fldCharType="begin"/>
        </w:r>
        <w:r>
          <w:instrText xml:space="preserve"> PAGEREF _Toc12853 \h </w:instrText>
        </w:r>
        <w:r>
          <w:fldChar w:fldCharType="separate"/>
        </w:r>
        <w:r>
          <w:t>12</w:t>
        </w:r>
        <w:r>
          <w:fldChar w:fldCharType="end"/>
        </w:r>
      </w:hyperlink>
    </w:p>
    <w:p w14:paraId="00DA0A21" w14:textId="77777777" w:rsidR="001C08A5" w:rsidRDefault="00000000">
      <w:pPr>
        <w:pStyle w:val="TOC2"/>
        <w:tabs>
          <w:tab w:val="right" w:leader="dot" w:pos="9639"/>
        </w:tabs>
        <w:ind w:left="400"/>
      </w:pPr>
      <w:hyperlink w:anchor="_Toc8160" w:history="1">
        <w:r>
          <w:t>1. PREVEDERI GENERALE</w:t>
        </w:r>
        <w:r>
          <w:tab/>
        </w:r>
        <w:r>
          <w:fldChar w:fldCharType="begin"/>
        </w:r>
        <w:r>
          <w:instrText xml:space="preserve"> PAGEREF _Toc8160 \h </w:instrText>
        </w:r>
        <w:r>
          <w:fldChar w:fldCharType="separate"/>
        </w:r>
        <w:r>
          <w:t>12</w:t>
        </w:r>
        <w:r>
          <w:fldChar w:fldCharType="end"/>
        </w:r>
      </w:hyperlink>
    </w:p>
    <w:p w14:paraId="47C33C4D" w14:textId="77777777" w:rsidR="001C08A5" w:rsidRDefault="00000000">
      <w:pPr>
        <w:pStyle w:val="TOC3"/>
        <w:tabs>
          <w:tab w:val="right" w:leader="dot" w:pos="9639"/>
        </w:tabs>
        <w:ind w:left="800"/>
      </w:pPr>
      <w:hyperlink w:anchor="_Toc23754" w:history="1">
        <w:r>
          <w:t>SECŢIUNEA I</w:t>
        </w:r>
        <w:r>
          <w:tab/>
        </w:r>
        <w:r>
          <w:fldChar w:fldCharType="begin"/>
        </w:r>
        <w:r>
          <w:instrText xml:space="preserve"> PAGEREF _Toc23754 \h </w:instrText>
        </w:r>
        <w:r>
          <w:fldChar w:fldCharType="separate"/>
        </w:r>
        <w:r>
          <w:t>12</w:t>
        </w:r>
        <w:r>
          <w:fldChar w:fldCharType="end"/>
        </w:r>
      </w:hyperlink>
    </w:p>
    <w:p w14:paraId="27ED252D" w14:textId="77777777" w:rsidR="001C08A5" w:rsidRDefault="00000000">
      <w:pPr>
        <w:pStyle w:val="TOC3"/>
        <w:tabs>
          <w:tab w:val="right" w:leader="dot" w:pos="9639"/>
        </w:tabs>
        <w:ind w:left="800"/>
      </w:pPr>
      <w:hyperlink w:anchor="_Toc31487" w:history="1">
        <w:r>
          <w:t>1.1. Obiect, domeniu de aplicare</w:t>
        </w:r>
        <w:r>
          <w:tab/>
        </w:r>
        <w:r>
          <w:fldChar w:fldCharType="begin"/>
        </w:r>
        <w:r>
          <w:instrText xml:space="preserve"> PAGEREF _Toc31487 \h </w:instrText>
        </w:r>
        <w:r>
          <w:fldChar w:fldCharType="separate"/>
        </w:r>
        <w:r>
          <w:t>12</w:t>
        </w:r>
        <w:r>
          <w:fldChar w:fldCharType="end"/>
        </w:r>
      </w:hyperlink>
    </w:p>
    <w:p w14:paraId="4FB7EE10" w14:textId="77777777" w:rsidR="001C08A5" w:rsidRDefault="00000000">
      <w:pPr>
        <w:pStyle w:val="TOC3"/>
        <w:tabs>
          <w:tab w:val="right" w:leader="dot" w:pos="9639"/>
        </w:tabs>
        <w:ind w:left="800"/>
      </w:pPr>
      <w:hyperlink w:anchor="_Toc11641" w:history="1">
        <w:r>
          <w:t>SECŢIUNEA  II</w:t>
        </w:r>
        <w:r>
          <w:tab/>
        </w:r>
        <w:r>
          <w:fldChar w:fldCharType="begin"/>
        </w:r>
        <w:r>
          <w:instrText xml:space="preserve"> PAGEREF _Toc11641 \h </w:instrText>
        </w:r>
        <w:r>
          <w:fldChar w:fldCharType="separate"/>
        </w:r>
        <w:r>
          <w:t>16</w:t>
        </w:r>
        <w:r>
          <w:fldChar w:fldCharType="end"/>
        </w:r>
      </w:hyperlink>
    </w:p>
    <w:p w14:paraId="5E34B6EC" w14:textId="77777777" w:rsidR="001C08A5" w:rsidRDefault="00000000">
      <w:pPr>
        <w:pStyle w:val="TOC3"/>
        <w:tabs>
          <w:tab w:val="right" w:leader="dot" w:pos="9639"/>
        </w:tabs>
        <w:ind w:left="800"/>
      </w:pPr>
      <w:hyperlink w:anchor="_Toc2798" w:history="1">
        <w:r>
          <w:t>1.2. Terminologie, clasificări</w:t>
        </w:r>
        <w:r>
          <w:tab/>
        </w:r>
        <w:r>
          <w:fldChar w:fldCharType="begin"/>
        </w:r>
        <w:r>
          <w:instrText xml:space="preserve"> PAGEREF _Toc2798 \h </w:instrText>
        </w:r>
        <w:r>
          <w:fldChar w:fldCharType="separate"/>
        </w:r>
        <w:r>
          <w:t>16</w:t>
        </w:r>
        <w:r>
          <w:fldChar w:fldCharType="end"/>
        </w:r>
      </w:hyperlink>
    </w:p>
    <w:p w14:paraId="275A7725" w14:textId="77777777" w:rsidR="001C08A5" w:rsidRDefault="00000000">
      <w:pPr>
        <w:pStyle w:val="TOC1"/>
        <w:tabs>
          <w:tab w:val="right" w:leader="dot" w:pos="9639"/>
        </w:tabs>
      </w:pPr>
      <w:hyperlink w:anchor="_Toc31115" w:history="1">
        <w:r>
          <w:t>CAPITOLUL 2</w:t>
        </w:r>
        <w:r>
          <w:tab/>
        </w:r>
        <w:r>
          <w:fldChar w:fldCharType="begin"/>
        </w:r>
        <w:r>
          <w:instrText xml:space="preserve"> PAGEREF _Toc31115 \h </w:instrText>
        </w:r>
        <w:r>
          <w:fldChar w:fldCharType="separate"/>
        </w:r>
        <w:r>
          <w:t>67</w:t>
        </w:r>
        <w:r>
          <w:fldChar w:fldCharType="end"/>
        </w:r>
      </w:hyperlink>
    </w:p>
    <w:p w14:paraId="54998023" w14:textId="77777777" w:rsidR="001C08A5" w:rsidRDefault="00000000">
      <w:pPr>
        <w:pStyle w:val="TOC2"/>
        <w:tabs>
          <w:tab w:val="right" w:leader="dot" w:pos="9639"/>
        </w:tabs>
        <w:ind w:left="400"/>
      </w:pPr>
      <w:hyperlink w:anchor="_Toc27140" w:history="1">
        <w:r>
          <w:t>2. PERFORMANŢE COMUNE CONSTRUCŢIILOR CU ORICE DESTINAŢIE (CIVILE, DE PRODUCŢIE ŞI/SAU DEPOZITARE)</w:t>
        </w:r>
        <w:r>
          <w:tab/>
        </w:r>
        <w:r>
          <w:fldChar w:fldCharType="begin"/>
        </w:r>
        <w:r>
          <w:instrText xml:space="preserve"> PAGEREF _Toc27140 \h </w:instrText>
        </w:r>
        <w:r>
          <w:fldChar w:fldCharType="separate"/>
        </w:r>
        <w:r>
          <w:t>67</w:t>
        </w:r>
        <w:r>
          <w:fldChar w:fldCharType="end"/>
        </w:r>
      </w:hyperlink>
    </w:p>
    <w:p w14:paraId="1FD59350" w14:textId="77777777" w:rsidR="001C08A5" w:rsidRDefault="00000000">
      <w:pPr>
        <w:pStyle w:val="TOC3"/>
        <w:tabs>
          <w:tab w:val="right" w:leader="dot" w:pos="9639"/>
        </w:tabs>
        <w:ind w:left="800"/>
      </w:pPr>
      <w:hyperlink w:anchor="_Toc16863" w:history="1">
        <w:r>
          <w:t>SECŢIUNEA I</w:t>
        </w:r>
        <w:r>
          <w:tab/>
        </w:r>
        <w:r>
          <w:fldChar w:fldCharType="begin"/>
        </w:r>
        <w:r>
          <w:instrText xml:space="preserve"> PAGEREF _Toc16863 \h </w:instrText>
        </w:r>
        <w:r>
          <w:fldChar w:fldCharType="separate"/>
        </w:r>
        <w:r>
          <w:t>67</w:t>
        </w:r>
        <w:r>
          <w:fldChar w:fldCharType="end"/>
        </w:r>
      </w:hyperlink>
    </w:p>
    <w:p w14:paraId="5F811A4F" w14:textId="77777777" w:rsidR="001C08A5" w:rsidRDefault="00000000">
      <w:pPr>
        <w:pStyle w:val="TOC3"/>
        <w:tabs>
          <w:tab w:val="right" w:leader="dot" w:pos="9639"/>
        </w:tabs>
        <w:ind w:left="800"/>
      </w:pPr>
      <w:hyperlink w:anchor="_Toc14709" w:history="1">
        <w:r>
          <w:t>2.1. CONDIȚII GENERALE DE PERFORMANŢĂ A CONSTRUCŢIILOR</w:t>
        </w:r>
        <w:r>
          <w:tab/>
        </w:r>
        <w:r>
          <w:fldChar w:fldCharType="begin"/>
        </w:r>
        <w:r>
          <w:instrText xml:space="preserve"> PAGEREF _Toc14709 \h </w:instrText>
        </w:r>
        <w:r>
          <w:fldChar w:fldCharType="separate"/>
        </w:r>
        <w:r>
          <w:t>67</w:t>
        </w:r>
        <w:r>
          <w:fldChar w:fldCharType="end"/>
        </w:r>
      </w:hyperlink>
    </w:p>
    <w:p w14:paraId="76DB3604" w14:textId="77777777" w:rsidR="001C08A5" w:rsidRDefault="00000000">
      <w:pPr>
        <w:pStyle w:val="TOC4"/>
        <w:tabs>
          <w:tab w:val="right" w:leader="dot" w:pos="9639"/>
        </w:tabs>
        <w:ind w:left="1200"/>
      </w:pPr>
      <w:hyperlink w:anchor="_Toc271" w:history="1">
        <w:r>
          <w:t>2.1.1. Dispoziţii generale</w:t>
        </w:r>
        <w:r>
          <w:tab/>
        </w:r>
        <w:r>
          <w:fldChar w:fldCharType="begin"/>
        </w:r>
        <w:r>
          <w:instrText xml:space="preserve"> PAGEREF _Toc271 \h </w:instrText>
        </w:r>
        <w:r>
          <w:fldChar w:fldCharType="separate"/>
        </w:r>
        <w:r>
          <w:t>67</w:t>
        </w:r>
        <w:r>
          <w:fldChar w:fldCharType="end"/>
        </w:r>
      </w:hyperlink>
    </w:p>
    <w:p w14:paraId="52B4382E" w14:textId="77777777" w:rsidR="001C08A5" w:rsidRDefault="00000000">
      <w:pPr>
        <w:pStyle w:val="TOC4"/>
        <w:tabs>
          <w:tab w:val="right" w:leader="dot" w:pos="9639"/>
        </w:tabs>
        <w:ind w:left="1200"/>
      </w:pPr>
      <w:hyperlink w:anchor="_Toc10119" w:history="1">
        <w:r>
          <w:t>2.1.2. Risc de incendiu</w:t>
        </w:r>
        <w:r>
          <w:tab/>
        </w:r>
        <w:r>
          <w:fldChar w:fldCharType="begin"/>
        </w:r>
        <w:r>
          <w:instrText xml:space="preserve"> PAGEREF _Toc10119 \h </w:instrText>
        </w:r>
        <w:r>
          <w:fldChar w:fldCharType="separate"/>
        </w:r>
        <w:r>
          <w:t>68</w:t>
        </w:r>
        <w:r>
          <w:fldChar w:fldCharType="end"/>
        </w:r>
      </w:hyperlink>
    </w:p>
    <w:p w14:paraId="66DC18F2" w14:textId="77777777" w:rsidR="001C08A5" w:rsidRDefault="00000000">
      <w:pPr>
        <w:pStyle w:val="TOC4"/>
        <w:tabs>
          <w:tab w:val="right" w:leader="dot" w:pos="9639"/>
        </w:tabs>
        <w:ind w:left="1200"/>
      </w:pPr>
      <w:hyperlink w:anchor="_Toc1816" w:history="1">
        <w:r>
          <w:t>2.1.3. Nivel de stabilitate la incendiu al construcţiei</w:t>
        </w:r>
        <w:r>
          <w:tab/>
        </w:r>
        <w:r>
          <w:fldChar w:fldCharType="begin"/>
        </w:r>
        <w:r>
          <w:instrText xml:space="preserve"> PAGEREF _Toc1816 \h </w:instrText>
        </w:r>
        <w:r>
          <w:fldChar w:fldCharType="separate"/>
        </w:r>
        <w:r>
          <w:t>69</w:t>
        </w:r>
        <w:r>
          <w:fldChar w:fldCharType="end"/>
        </w:r>
      </w:hyperlink>
    </w:p>
    <w:p w14:paraId="24B5ECC2" w14:textId="77777777" w:rsidR="001C08A5" w:rsidRDefault="00000000">
      <w:pPr>
        <w:pStyle w:val="TOC3"/>
        <w:tabs>
          <w:tab w:val="right" w:leader="dot" w:pos="9639"/>
        </w:tabs>
        <w:ind w:left="800"/>
      </w:pPr>
      <w:hyperlink w:anchor="_Toc21834" w:history="1">
        <w:r>
          <w:t>SECŢIUNEA II</w:t>
        </w:r>
        <w:r>
          <w:tab/>
        </w:r>
        <w:r>
          <w:fldChar w:fldCharType="begin"/>
        </w:r>
        <w:r>
          <w:instrText xml:space="preserve"> PAGEREF _Toc21834 \h </w:instrText>
        </w:r>
        <w:r>
          <w:fldChar w:fldCharType="separate"/>
        </w:r>
        <w:r>
          <w:t>78</w:t>
        </w:r>
        <w:r>
          <w:fldChar w:fldCharType="end"/>
        </w:r>
      </w:hyperlink>
    </w:p>
    <w:p w14:paraId="72489714" w14:textId="77777777" w:rsidR="001C08A5" w:rsidRDefault="00000000">
      <w:pPr>
        <w:pStyle w:val="TOC3"/>
        <w:tabs>
          <w:tab w:val="right" w:leader="dot" w:pos="9639"/>
        </w:tabs>
        <w:ind w:left="800"/>
      </w:pPr>
      <w:hyperlink w:anchor="_Toc15349" w:history="1">
        <w:r>
          <w:t>2.2. Amplasarea și conformarea construcţiilor</w:t>
        </w:r>
        <w:r>
          <w:tab/>
        </w:r>
        <w:r>
          <w:fldChar w:fldCharType="begin"/>
        </w:r>
        <w:r>
          <w:instrText xml:space="preserve"> PAGEREF _Toc15349 \h </w:instrText>
        </w:r>
        <w:r>
          <w:fldChar w:fldCharType="separate"/>
        </w:r>
        <w:r>
          <w:t>78</w:t>
        </w:r>
        <w:r>
          <w:fldChar w:fldCharType="end"/>
        </w:r>
      </w:hyperlink>
    </w:p>
    <w:p w14:paraId="65D8DAD7" w14:textId="77777777" w:rsidR="001C08A5" w:rsidRDefault="00000000">
      <w:pPr>
        <w:pStyle w:val="TOC4"/>
        <w:tabs>
          <w:tab w:val="right" w:leader="dot" w:pos="9639"/>
        </w:tabs>
        <w:ind w:left="1200"/>
      </w:pPr>
      <w:hyperlink w:anchor="_Toc3171" w:history="1">
        <w:r>
          <w:t>2.2.1. Amplasare</w:t>
        </w:r>
        <w:r>
          <w:tab/>
        </w:r>
        <w:r>
          <w:fldChar w:fldCharType="begin"/>
        </w:r>
        <w:r>
          <w:instrText xml:space="preserve"> PAGEREF _Toc3171 \h </w:instrText>
        </w:r>
        <w:r>
          <w:fldChar w:fldCharType="separate"/>
        </w:r>
        <w:r>
          <w:t>78</w:t>
        </w:r>
        <w:r>
          <w:fldChar w:fldCharType="end"/>
        </w:r>
      </w:hyperlink>
    </w:p>
    <w:p w14:paraId="4B505E9E" w14:textId="77777777" w:rsidR="001C08A5" w:rsidRDefault="00000000">
      <w:pPr>
        <w:pStyle w:val="TOC4"/>
        <w:tabs>
          <w:tab w:val="right" w:leader="dot" w:pos="9639"/>
        </w:tabs>
        <w:ind w:left="1200"/>
      </w:pPr>
      <w:hyperlink w:anchor="_Toc25913" w:history="1">
        <w:r>
          <w:t>2.2.2. Conformare</w:t>
        </w:r>
        <w:r>
          <w:tab/>
        </w:r>
        <w:r>
          <w:fldChar w:fldCharType="begin"/>
        </w:r>
        <w:r>
          <w:instrText xml:space="preserve"> PAGEREF _Toc25913 \h </w:instrText>
        </w:r>
        <w:r>
          <w:fldChar w:fldCharType="separate"/>
        </w:r>
        <w:r>
          <w:t>81</w:t>
        </w:r>
        <w:r>
          <w:fldChar w:fldCharType="end"/>
        </w:r>
      </w:hyperlink>
    </w:p>
    <w:p w14:paraId="654ABE8B" w14:textId="77777777" w:rsidR="001C08A5" w:rsidRDefault="00000000">
      <w:pPr>
        <w:pStyle w:val="TOC3"/>
        <w:tabs>
          <w:tab w:val="right" w:leader="dot" w:pos="9639"/>
        </w:tabs>
        <w:ind w:left="800"/>
      </w:pPr>
      <w:hyperlink w:anchor="_Toc13824" w:history="1">
        <w:r>
          <w:t>SECŢIUNEA III</w:t>
        </w:r>
        <w:r>
          <w:tab/>
        </w:r>
        <w:r>
          <w:fldChar w:fldCharType="begin"/>
        </w:r>
        <w:r>
          <w:instrText xml:space="preserve"> PAGEREF _Toc13824 \h </w:instrText>
        </w:r>
        <w:r>
          <w:fldChar w:fldCharType="separate"/>
        </w:r>
        <w:r>
          <w:t>82</w:t>
        </w:r>
        <w:r>
          <w:fldChar w:fldCharType="end"/>
        </w:r>
      </w:hyperlink>
    </w:p>
    <w:p w14:paraId="7F7CD0F4" w14:textId="77777777" w:rsidR="001C08A5" w:rsidRDefault="00000000">
      <w:pPr>
        <w:pStyle w:val="TOC3"/>
        <w:tabs>
          <w:tab w:val="right" w:leader="dot" w:pos="9639"/>
        </w:tabs>
        <w:ind w:left="800"/>
      </w:pPr>
      <w:hyperlink w:anchor="_Toc17605" w:history="1">
        <w:r>
          <w:t>2.3. LIMITAREA PROPAGĂRII INCENDIILOR</w:t>
        </w:r>
        <w:r>
          <w:tab/>
        </w:r>
        <w:r>
          <w:fldChar w:fldCharType="begin"/>
        </w:r>
        <w:r>
          <w:instrText xml:space="preserve"> PAGEREF _Toc17605 \h </w:instrText>
        </w:r>
        <w:r>
          <w:fldChar w:fldCharType="separate"/>
        </w:r>
        <w:r>
          <w:t>82</w:t>
        </w:r>
        <w:r>
          <w:fldChar w:fldCharType="end"/>
        </w:r>
      </w:hyperlink>
    </w:p>
    <w:p w14:paraId="72692782" w14:textId="77777777" w:rsidR="001C08A5" w:rsidRDefault="00000000">
      <w:pPr>
        <w:pStyle w:val="TOC4"/>
        <w:tabs>
          <w:tab w:val="right" w:leader="dot" w:pos="9639"/>
        </w:tabs>
        <w:ind w:left="1200"/>
      </w:pPr>
      <w:hyperlink w:anchor="_Toc19230" w:history="1">
        <w:r>
          <w:t>2.3.1. Dispoziţii generale</w:t>
        </w:r>
        <w:r>
          <w:tab/>
        </w:r>
        <w:r>
          <w:fldChar w:fldCharType="begin"/>
        </w:r>
        <w:r>
          <w:instrText xml:space="preserve"> PAGEREF _Toc19230 \h </w:instrText>
        </w:r>
        <w:r>
          <w:fldChar w:fldCharType="separate"/>
        </w:r>
        <w:r>
          <w:t>82</w:t>
        </w:r>
        <w:r>
          <w:fldChar w:fldCharType="end"/>
        </w:r>
      </w:hyperlink>
    </w:p>
    <w:p w14:paraId="471DA4A1" w14:textId="77777777" w:rsidR="001C08A5" w:rsidRDefault="00000000">
      <w:pPr>
        <w:pStyle w:val="TOC4"/>
        <w:tabs>
          <w:tab w:val="right" w:leader="dot" w:pos="9639"/>
        </w:tabs>
        <w:ind w:left="1200"/>
      </w:pPr>
      <w:hyperlink w:anchor="_Toc12810" w:history="1">
        <w:r>
          <w:t>2.3.2. Elemente antifoc pentru separarea compartimentelor de incendiu şi protecţia golurilor funcţionale de trecere</w:t>
        </w:r>
        <w:r>
          <w:tab/>
        </w:r>
        <w:r>
          <w:fldChar w:fldCharType="begin"/>
        </w:r>
        <w:r>
          <w:instrText xml:space="preserve"> PAGEREF _Toc12810 \h </w:instrText>
        </w:r>
        <w:r>
          <w:fldChar w:fldCharType="separate"/>
        </w:r>
        <w:r>
          <w:t>83</w:t>
        </w:r>
        <w:r>
          <w:fldChar w:fldCharType="end"/>
        </w:r>
      </w:hyperlink>
    </w:p>
    <w:p w14:paraId="57419ECF" w14:textId="77777777" w:rsidR="001C08A5" w:rsidRDefault="00000000">
      <w:pPr>
        <w:pStyle w:val="TOC5"/>
        <w:tabs>
          <w:tab w:val="right" w:leader="dot" w:pos="9639"/>
        </w:tabs>
        <w:ind w:left="1600"/>
      </w:pPr>
      <w:hyperlink w:anchor="_Toc27487" w:history="1">
        <w:r>
          <w:t>2.3.2.1. Pereţi antifoc pentru separarea compartimentelor de incendiu</w:t>
        </w:r>
        <w:r>
          <w:tab/>
        </w:r>
        <w:r>
          <w:fldChar w:fldCharType="begin"/>
        </w:r>
        <w:r>
          <w:instrText xml:space="preserve"> PAGEREF _Toc27487 \h </w:instrText>
        </w:r>
        <w:r>
          <w:fldChar w:fldCharType="separate"/>
        </w:r>
        <w:r>
          <w:t>83</w:t>
        </w:r>
        <w:r>
          <w:fldChar w:fldCharType="end"/>
        </w:r>
      </w:hyperlink>
    </w:p>
    <w:p w14:paraId="0B7661BD" w14:textId="77777777" w:rsidR="001C08A5" w:rsidRDefault="00000000">
      <w:pPr>
        <w:pStyle w:val="TOC5"/>
        <w:tabs>
          <w:tab w:val="right" w:leader="dot" w:pos="9639"/>
        </w:tabs>
        <w:ind w:left="1600"/>
      </w:pPr>
      <w:hyperlink w:anchor="_Toc27843" w:history="1">
        <w:r>
          <w:t>2.3.2.2. Protecţia golurilor funcţionale din pereţii rezistenţi la foc care separă compartimente de incendiu</w:t>
        </w:r>
        <w:r>
          <w:tab/>
        </w:r>
        <w:r>
          <w:fldChar w:fldCharType="begin"/>
        </w:r>
        <w:r>
          <w:instrText xml:space="preserve"> PAGEREF _Toc27843 \h </w:instrText>
        </w:r>
        <w:r>
          <w:fldChar w:fldCharType="separate"/>
        </w:r>
        <w:r>
          <w:t>100</w:t>
        </w:r>
        <w:r>
          <w:fldChar w:fldCharType="end"/>
        </w:r>
      </w:hyperlink>
    </w:p>
    <w:p w14:paraId="579050C6" w14:textId="77777777" w:rsidR="001C08A5" w:rsidRDefault="00000000">
      <w:pPr>
        <w:pStyle w:val="TOC6"/>
        <w:tabs>
          <w:tab w:val="right" w:leader="dot" w:pos="9639"/>
        </w:tabs>
        <w:ind w:left="2000"/>
      </w:pPr>
      <w:hyperlink w:anchor="_Toc14691" w:history="1">
        <w:r>
          <w:t>2.3.2.2.1. Prevederi generale</w:t>
        </w:r>
        <w:r>
          <w:tab/>
        </w:r>
        <w:r>
          <w:fldChar w:fldCharType="begin"/>
        </w:r>
        <w:r>
          <w:instrText xml:space="preserve"> PAGEREF _Toc14691 \h </w:instrText>
        </w:r>
        <w:r>
          <w:fldChar w:fldCharType="separate"/>
        </w:r>
        <w:r>
          <w:t>100</w:t>
        </w:r>
        <w:r>
          <w:fldChar w:fldCharType="end"/>
        </w:r>
      </w:hyperlink>
    </w:p>
    <w:p w14:paraId="56778FD9" w14:textId="77777777" w:rsidR="001C08A5" w:rsidRDefault="00000000">
      <w:pPr>
        <w:pStyle w:val="TOC6"/>
        <w:tabs>
          <w:tab w:val="right" w:leader="dot" w:pos="9639"/>
        </w:tabs>
        <w:ind w:left="2000"/>
      </w:pPr>
      <w:hyperlink w:anchor="_Toc5711" w:history="1">
        <w:r>
          <w:t>2.3.2.2.2. Uşi, obloane, cortine</w:t>
        </w:r>
        <w:r>
          <w:tab/>
        </w:r>
        <w:r>
          <w:fldChar w:fldCharType="begin"/>
        </w:r>
        <w:r>
          <w:instrText xml:space="preserve"> PAGEREF _Toc5711 \h </w:instrText>
        </w:r>
        <w:r>
          <w:fldChar w:fldCharType="separate"/>
        </w:r>
        <w:r>
          <w:t>101</w:t>
        </w:r>
        <w:r>
          <w:fldChar w:fldCharType="end"/>
        </w:r>
      </w:hyperlink>
    </w:p>
    <w:p w14:paraId="43D66275" w14:textId="77777777" w:rsidR="001C08A5" w:rsidRDefault="00000000">
      <w:pPr>
        <w:pStyle w:val="TOC6"/>
        <w:tabs>
          <w:tab w:val="right" w:leader="dot" w:pos="9639"/>
        </w:tabs>
        <w:ind w:left="2000"/>
      </w:pPr>
      <w:hyperlink w:anchor="_Toc22417" w:history="1">
        <w:r>
          <w:t>2.3.2.2.3. Încăperi tampon</w:t>
        </w:r>
        <w:r>
          <w:tab/>
        </w:r>
        <w:r>
          <w:fldChar w:fldCharType="begin"/>
        </w:r>
        <w:r>
          <w:instrText xml:space="preserve"> PAGEREF _Toc22417 \h </w:instrText>
        </w:r>
        <w:r>
          <w:fldChar w:fldCharType="separate"/>
        </w:r>
        <w:r>
          <w:t>101</w:t>
        </w:r>
        <w:r>
          <w:fldChar w:fldCharType="end"/>
        </w:r>
      </w:hyperlink>
    </w:p>
    <w:p w14:paraId="128BE831" w14:textId="77777777" w:rsidR="001C08A5" w:rsidRDefault="00000000">
      <w:pPr>
        <w:pStyle w:val="TOC6"/>
        <w:tabs>
          <w:tab w:val="right" w:leader="dot" w:pos="9639"/>
        </w:tabs>
        <w:ind w:left="2000"/>
      </w:pPr>
      <w:hyperlink w:anchor="_Toc21012" w:history="1">
        <w:r>
          <w:t>2.3.2.2.4. Tamburi deschişi</w:t>
        </w:r>
        <w:r>
          <w:tab/>
        </w:r>
        <w:r>
          <w:fldChar w:fldCharType="begin"/>
        </w:r>
        <w:r>
          <w:instrText xml:space="preserve"> PAGEREF _Toc21012 \h </w:instrText>
        </w:r>
        <w:r>
          <w:fldChar w:fldCharType="separate"/>
        </w:r>
        <w:r>
          <w:t>103</w:t>
        </w:r>
        <w:r>
          <w:fldChar w:fldCharType="end"/>
        </w:r>
      </w:hyperlink>
    </w:p>
    <w:p w14:paraId="1C57506F" w14:textId="77777777" w:rsidR="001C08A5" w:rsidRDefault="00000000">
      <w:pPr>
        <w:pStyle w:val="TOC5"/>
        <w:tabs>
          <w:tab w:val="right" w:leader="dot" w:pos="9639"/>
        </w:tabs>
        <w:ind w:left="1600"/>
      </w:pPr>
      <w:hyperlink w:anchor="_Toc3774" w:history="1">
        <w:r>
          <w:t>2.3.2.3. Planşee rezistente la foc pentru separarea compartimentelor de incendiu</w:t>
        </w:r>
        <w:r>
          <w:tab/>
        </w:r>
        <w:r>
          <w:fldChar w:fldCharType="begin"/>
        </w:r>
        <w:r>
          <w:instrText xml:space="preserve"> PAGEREF _Toc3774 \h </w:instrText>
        </w:r>
        <w:r>
          <w:fldChar w:fldCharType="separate"/>
        </w:r>
        <w:r>
          <w:t>104</w:t>
        </w:r>
        <w:r>
          <w:fldChar w:fldCharType="end"/>
        </w:r>
      </w:hyperlink>
    </w:p>
    <w:p w14:paraId="5CB56161" w14:textId="77777777" w:rsidR="001C08A5" w:rsidRDefault="00000000">
      <w:pPr>
        <w:pStyle w:val="TOC4"/>
        <w:tabs>
          <w:tab w:val="right" w:leader="dot" w:pos="9639"/>
        </w:tabs>
        <w:ind w:left="1200"/>
      </w:pPr>
      <w:hyperlink w:anchor="_Toc26401" w:history="1">
        <w:r>
          <w:t>2.3.3. Elemente despărţitoare rezistente la foc din interiorul compartimentelor de incendiu şi protecţia golurilor funcţionale din acestea</w:t>
        </w:r>
        <w:r>
          <w:tab/>
        </w:r>
        <w:r>
          <w:fldChar w:fldCharType="begin"/>
        </w:r>
        <w:r>
          <w:instrText xml:space="preserve"> PAGEREF _Toc26401 \h </w:instrText>
        </w:r>
        <w:r>
          <w:fldChar w:fldCharType="separate"/>
        </w:r>
        <w:r>
          <w:t>105</w:t>
        </w:r>
        <w:r>
          <w:fldChar w:fldCharType="end"/>
        </w:r>
      </w:hyperlink>
    </w:p>
    <w:p w14:paraId="3565A2C7" w14:textId="77777777" w:rsidR="001C08A5" w:rsidRDefault="00000000">
      <w:pPr>
        <w:pStyle w:val="TOC5"/>
        <w:tabs>
          <w:tab w:val="right" w:leader="dot" w:pos="9639"/>
        </w:tabs>
        <w:ind w:left="1600"/>
      </w:pPr>
      <w:hyperlink w:anchor="_Toc7410" w:history="1">
        <w:r>
          <w:t>2.3.3.1. Dispoziţii generale</w:t>
        </w:r>
        <w:r>
          <w:tab/>
        </w:r>
        <w:r>
          <w:fldChar w:fldCharType="begin"/>
        </w:r>
        <w:r>
          <w:instrText xml:space="preserve"> PAGEREF _Toc7410 \h </w:instrText>
        </w:r>
        <w:r>
          <w:fldChar w:fldCharType="separate"/>
        </w:r>
        <w:r>
          <w:t>105</w:t>
        </w:r>
        <w:r>
          <w:fldChar w:fldCharType="end"/>
        </w:r>
      </w:hyperlink>
    </w:p>
    <w:p w14:paraId="17226C49" w14:textId="77777777" w:rsidR="001C08A5" w:rsidRDefault="00000000">
      <w:pPr>
        <w:pStyle w:val="TOC5"/>
        <w:tabs>
          <w:tab w:val="right" w:leader="dot" w:pos="9639"/>
        </w:tabs>
        <w:ind w:left="1600"/>
      </w:pPr>
      <w:hyperlink w:anchor="_Toc9761" w:history="1">
        <w:r>
          <w:t>2.3.3.2. Pereţi rezistenţi la foc din interiorul compartimentelor de incendiu</w:t>
        </w:r>
        <w:r>
          <w:tab/>
        </w:r>
        <w:r>
          <w:fldChar w:fldCharType="begin"/>
        </w:r>
        <w:r>
          <w:instrText xml:space="preserve"> PAGEREF _Toc9761 \h </w:instrText>
        </w:r>
        <w:r>
          <w:fldChar w:fldCharType="separate"/>
        </w:r>
        <w:r>
          <w:t>105</w:t>
        </w:r>
        <w:r>
          <w:fldChar w:fldCharType="end"/>
        </w:r>
      </w:hyperlink>
    </w:p>
    <w:p w14:paraId="1EA0E4A5" w14:textId="77777777" w:rsidR="001C08A5" w:rsidRDefault="00000000">
      <w:pPr>
        <w:pStyle w:val="TOC5"/>
        <w:tabs>
          <w:tab w:val="right" w:leader="dot" w:pos="9639"/>
        </w:tabs>
        <w:ind w:left="1600"/>
      </w:pPr>
      <w:hyperlink w:anchor="_Toc24859" w:history="1">
        <w:r>
          <w:t>2.3.3.3. Planşee rezistente la foc din interiorul compartimentelor de incendiu</w:t>
        </w:r>
        <w:r>
          <w:tab/>
        </w:r>
        <w:r>
          <w:fldChar w:fldCharType="begin"/>
        </w:r>
        <w:r>
          <w:instrText xml:space="preserve"> PAGEREF _Toc24859 \h </w:instrText>
        </w:r>
        <w:r>
          <w:fldChar w:fldCharType="separate"/>
        </w:r>
        <w:r>
          <w:t>105</w:t>
        </w:r>
        <w:r>
          <w:fldChar w:fldCharType="end"/>
        </w:r>
      </w:hyperlink>
    </w:p>
    <w:p w14:paraId="1D70434B" w14:textId="77777777" w:rsidR="001C08A5" w:rsidRDefault="00000000">
      <w:pPr>
        <w:pStyle w:val="TOC5"/>
        <w:tabs>
          <w:tab w:val="right" w:leader="dot" w:pos="9639"/>
        </w:tabs>
        <w:ind w:left="1600"/>
      </w:pPr>
      <w:hyperlink w:anchor="_Toc26952" w:history="1">
        <w:r>
          <w:t>2.3.3.4. Protecţia golurilor din pereţii rezistenţi la foc și planşeele rezistente la foc din interiorul compartimentelor de incendiu</w:t>
        </w:r>
        <w:r>
          <w:tab/>
        </w:r>
        <w:r>
          <w:fldChar w:fldCharType="begin"/>
        </w:r>
        <w:r>
          <w:instrText xml:space="preserve"> PAGEREF _Toc26952 \h </w:instrText>
        </w:r>
        <w:r>
          <w:fldChar w:fldCharType="separate"/>
        </w:r>
        <w:r>
          <w:t>106</w:t>
        </w:r>
        <w:r>
          <w:fldChar w:fldCharType="end"/>
        </w:r>
      </w:hyperlink>
    </w:p>
    <w:p w14:paraId="76D2544F" w14:textId="77777777" w:rsidR="001C08A5" w:rsidRDefault="00000000">
      <w:pPr>
        <w:pStyle w:val="TOC4"/>
        <w:tabs>
          <w:tab w:val="right" w:leader="dot" w:pos="9639"/>
        </w:tabs>
        <w:ind w:left="1200"/>
      </w:pPr>
      <w:hyperlink w:anchor="_Toc12132" w:history="1">
        <w:r>
          <w:t>2.3.4. Elemente rezistente la foc și rezistente la explozie volumetrică și protecţia golurilor funcţionale din acestea</w:t>
        </w:r>
        <w:r>
          <w:tab/>
        </w:r>
        <w:r>
          <w:fldChar w:fldCharType="begin"/>
        </w:r>
        <w:r>
          <w:instrText xml:space="preserve"> PAGEREF _Toc12132 \h </w:instrText>
        </w:r>
        <w:r>
          <w:fldChar w:fldCharType="separate"/>
        </w:r>
        <w:r>
          <w:t>106</w:t>
        </w:r>
        <w:r>
          <w:fldChar w:fldCharType="end"/>
        </w:r>
      </w:hyperlink>
    </w:p>
    <w:p w14:paraId="7DF94026" w14:textId="77777777" w:rsidR="001C08A5" w:rsidRDefault="00000000">
      <w:pPr>
        <w:pStyle w:val="TOC5"/>
        <w:tabs>
          <w:tab w:val="right" w:leader="dot" w:pos="9639"/>
        </w:tabs>
        <w:ind w:left="1600"/>
      </w:pPr>
      <w:hyperlink w:anchor="_Toc25431" w:history="1">
        <w:r>
          <w:t>2.3.4.1. Dispoziţii generale</w:t>
        </w:r>
        <w:r>
          <w:tab/>
        </w:r>
        <w:r>
          <w:fldChar w:fldCharType="begin"/>
        </w:r>
        <w:r>
          <w:instrText xml:space="preserve"> PAGEREF _Toc25431 \h </w:instrText>
        </w:r>
        <w:r>
          <w:fldChar w:fldCharType="separate"/>
        </w:r>
        <w:r>
          <w:t>106</w:t>
        </w:r>
        <w:r>
          <w:fldChar w:fldCharType="end"/>
        </w:r>
      </w:hyperlink>
    </w:p>
    <w:p w14:paraId="5E1EEFE8" w14:textId="77777777" w:rsidR="001C08A5" w:rsidRDefault="00000000">
      <w:pPr>
        <w:pStyle w:val="TOC5"/>
        <w:tabs>
          <w:tab w:val="right" w:leader="dot" w:pos="9639"/>
        </w:tabs>
        <w:ind w:left="1600"/>
      </w:pPr>
      <w:hyperlink w:anchor="_Toc3608" w:history="1">
        <w:r>
          <w:t>2.3.4.2. Pereţi rezistenţi la foc și rezistenţi la explozie volumetrică</w:t>
        </w:r>
        <w:r>
          <w:tab/>
        </w:r>
        <w:r>
          <w:fldChar w:fldCharType="begin"/>
        </w:r>
        <w:r>
          <w:instrText xml:space="preserve"> PAGEREF _Toc3608 \h </w:instrText>
        </w:r>
        <w:r>
          <w:fldChar w:fldCharType="separate"/>
        </w:r>
        <w:r>
          <w:t>108</w:t>
        </w:r>
        <w:r>
          <w:fldChar w:fldCharType="end"/>
        </w:r>
      </w:hyperlink>
    </w:p>
    <w:p w14:paraId="63E68C18" w14:textId="77777777" w:rsidR="001C08A5" w:rsidRDefault="00000000">
      <w:pPr>
        <w:pStyle w:val="TOC5"/>
        <w:tabs>
          <w:tab w:val="right" w:leader="dot" w:pos="9639"/>
        </w:tabs>
        <w:ind w:left="1600"/>
      </w:pPr>
      <w:hyperlink w:anchor="_Toc28089" w:history="1">
        <w:r>
          <w:t>2.3.4.3. Protecţia golurilor funcţionale din pereţii rezistenţi la foc și rezistenţi la explozie volumetrică</w:t>
        </w:r>
        <w:r>
          <w:tab/>
        </w:r>
        <w:r>
          <w:fldChar w:fldCharType="begin"/>
        </w:r>
        <w:r>
          <w:instrText xml:space="preserve"> PAGEREF _Toc28089 \h </w:instrText>
        </w:r>
        <w:r>
          <w:fldChar w:fldCharType="separate"/>
        </w:r>
        <w:r>
          <w:t>108</w:t>
        </w:r>
        <w:r>
          <w:fldChar w:fldCharType="end"/>
        </w:r>
      </w:hyperlink>
    </w:p>
    <w:p w14:paraId="1E995561" w14:textId="77777777" w:rsidR="001C08A5" w:rsidRDefault="00000000">
      <w:pPr>
        <w:pStyle w:val="TOC5"/>
        <w:tabs>
          <w:tab w:val="right" w:leader="dot" w:pos="9639"/>
        </w:tabs>
        <w:ind w:left="1600"/>
      </w:pPr>
      <w:hyperlink w:anchor="_Toc25183" w:history="1">
        <w:r>
          <w:t>2.3.4.4. Planşee rezistente la foc şi rezistente la explozie volumetrică</w:t>
        </w:r>
        <w:r>
          <w:tab/>
        </w:r>
        <w:r>
          <w:fldChar w:fldCharType="begin"/>
        </w:r>
        <w:r>
          <w:instrText xml:space="preserve"> PAGEREF _Toc25183 \h </w:instrText>
        </w:r>
        <w:r>
          <w:fldChar w:fldCharType="separate"/>
        </w:r>
        <w:r>
          <w:t>108</w:t>
        </w:r>
        <w:r>
          <w:fldChar w:fldCharType="end"/>
        </w:r>
      </w:hyperlink>
    </w:p>
    <w:p w14:paraId="7B6D29D9" w14:textId="77777777" w:rsidR="001C08A5" w:rsidRDefault="00000000">
      <w:pPr>
        <w:pStyle w:val="TOC4"/>
        <w:tabs>
          <w:tab w:val="right" w:leader="dot" w:pos="9639"/>
        </w:tabs>
        <w:ind w:left="1200"/>
      </w:pPr>
      <w:hyperlink w:anchor="_Toc16327" w:history="1">
        <w:r>
          <w:t>2.3.5. Elemente etanşe la foc</w:t>
        </w:r>
        <w:r>
          <w:tab/>
        </w:r>
        <w:r>
          <w:fldChar w:fldCharType="begin"/>
        </w:r>
        <w:r>
          <w:instrText xml:space="preserve"> PAGEREF _Toc16327 \h </w:instrText>
        </w:r>
        <w:r>
          <w:fldChar w:fldCharType="separate"/>
        </w:r>
        <w:r>
          <w:t>108</w:t>
        </w:r>
        <w:r>
          <w:fldChar w:fldCharType="end"/>
        </w:r>
      </w:hyperlink>
    </w:p>
    <w:p w14:paraId="25EB7234" w14:textId="77777777" w:rsidR="001C08A5" w:rsidRDefault="00000000">
      <w:pPr>
        <w:pStyle w:val="TOC4"/>
        <w:tabs>
          <w:tab w:val="right" w:leader="dot" w:pos="9639"/>
        </w:tabs>
        <w:ind w:left="1200"/>
      </w:pPr>
      <w:hyperlink w:anchor="_Toc20876" w:history="1">
        <w:r>
          <w:t>2.3.6. Limitarea propagării incendiului pe faţadă şi acoperiş</w:t>
        </w:r>
        <w:r>
          <w:tab/>
        </w:r>
        <w:r>
          <w:fldChar w:fldCharType="begin"/>
        </w:r>
        <w:r>
          <w:instrText xml:space="preserve"> PAGEREF _Toc20876 \h </w:instrText>
        </w:r>
        <w:r>
          <w:fldChar w:fldCharType="separate"/>
        </w:r>
        <w:r>
          <w:t>109</w:t>
        </w:r>
        <w:r>
          <w:fldChar w:fldCharType="end"/>
        </w:r>
      </w:hyperlink>
    </w:p>
    <w:p w14:paraId="5488FED8" w14:textId="77777777" w:rsidR="001C08A5" w:rsidRDefault="00000000">
      <w:pPr>
        <w:pStyle w:val="TOC5"/>
        <w:tabs>
          <w:tab w:val="right" w:leader="dot" w:pos="9639"/>
        </w:tabs>
        <w:ind w:left="1600"/>
      </w:pPr>
      <w:hyperlink w:anchor="_Toc5195" w:history="1">
        <w:r>
          <w:t>2.3.6.1. Prevederi generale privind limitarea propagării pe faţadă</w:t>
        </w:r>
        <w:r>
          <w:tab/>
        </w:r>
        <w:r>
          <w:fldChar w:fldCharType="begin"/>
        </w:r>
        <w:r>
          <w:instrText xml:space="preserve"> PAGEREF _Toc5195 \h </w:instrText>
        </w:r>
        <w:r>
          <w:fldChar w:fldCharType="separate"/>
        </w:r>
        <w:r>
          <w:t>109</w:t>
        </w:r>
        <w:r>
          <w:fldChar w:fldCharType="end"/>
        </w:r>
      </w:hyperlink>
    </w:p>
    <w:p w14:paraId="26A58906" w14:textId="77777777" w:rsidR="001C08A5" w:rsidRDefault="00000000">
      <w:pPr>
        <w:pStyle w:val="TOC5"/>
        <w:tabs>
          <w:tab w:val="right" w:leader="dot" w:pos="9639"/>
        </w:tabs>
        <w:ind w:left="1600"/>
      </w:pPr>
      <w:hyperlink w:anchor="_Toc29205" w:history="1">
        <w:r>
          <w:t>2.3.6.2.  Prevederi generale privind limitarea propagării focului pe acoperiş</w:t>
        </w:r>
        <w:r>
          <w:tab/>
        </w:r>
        <w:r>
          <w:fldChar w:fldCharType="begin"/>
        </w:r>
        <w:r>
          <w:instrText xml:space="preserve"> PAGEREF _Toc29205 \h </w:instrText>
        </w:r>
        <w:r>
          <w:fldChar w:fldCharType="separate"/>
        </w:r>
        <w:r>
          <w:t>123</w:t>
        </w:r>
        <w:r>
          <w:fldChar w:fldCharType="end"/>
        </w:r>
      </w:hyperlink>
    </w:p>
    <w:p w14:paraId="37867BE1" w14:textId="77777777" w:rsidR="001C08A5" w:rsidRDefault="00000000">
      <w:pPr>
        <w:pStyle w:val="TOC5"/>
        <w:tabs>
          <w:tab w:val="right" w:leader="dot" w:pos="9639"/>
        </w:tabs>
        <w:ind w:left="1600"/>
      </w:pPr>
      <w:hyperlink w:anchor="_Toc9686" w:history="1">
        <w:r>
          <w:t>2.3.6.3. Limitarea dezvoltării efluenţilor incendiului (fum, gaze fierbinţi)</w:t>
        </w:r>
        <w:r>
          <w:tab/>
        </w:r>
        <w:r>
          <w:fldChar w:fldCharType="begin"/>
        </w:r>
        <w:r>
          <w:instrText xml:space="preserve"> PAGEREF _Toc9686 \h </w:instrText>
        </w:r>
        <w:r>
          <w:fldChar w:fldCharType="separate"/>
        </w:r>
        <w:r>
          <w:t>124</w:t>
        </w:r>
        <w:r>
          <w:fldChar w:fldCharType="end"/>
        </w:r>
      </w:hyperlink>
    </w:p>
    <w:p w14:paraId="3D4B3244" w14:textId="77777777" w:rsidR="001C08A5" w:rsidRDefault="00000000">
      <w:pPr>
        <w:pStyle w:val="TOC3"/>
        <w:tabs>
          <w:tab w:val="right" w:leader="dot" w:pos="9639"/>
        </w:tabs>
        <w:ind w:left="800"/>
      </w:pPr>
      <w:hyperlink w:anchor="_Toc9641" w:history="1">
        <w:r>
          <w:t>SECŢIUNEA IV</w:t>
        </w:r>
        <w:r>
          <w:tab/>
        </w:r>
        <w:r>
          <w:fldChar w:fldCharType="begin"/>
        </w:r>
        <w:r>
          <w:instrText xml:space="preserve"> PAGEREF _Toc9641 \h </w:instrText>
        </w:r>
        <w:r>
          <w:fldChar w:fldCharType="separate"/>
        </w:r>
        <w:r>
          <w:t>124</w:t>
        </w:r>
        <w:r>
          <w:fldChar w:fldCharType="end"/>
        </w:r>
      </w:hyperlink>
    </w:p>
    <w:p w14:paraId="08D43824" w14:textId="77777777" w:rsidR="001C08A5" w:rsidRDefault="00000000">
      <w:pPr>
        <w:pStyle w:val="TOC3"/>
        <w:tabs>
          <w:tab w:val="right" w:leader="dot" w:pos="9639"/>
        </w:tabs>
        <w:ind w:left="800"/>
      </w:pPr>
      <w:hyperlink w:anchor="_Toc7472" w:history="1">
        <w:r>
          <w:t>2.4. Alcătuiri constructive</w:t>
        </w:r>
        <w:r>
          <w:tab/>
        </w:r>
        <w:r>
          <w:fldChar w:fldCharType="begin"/>
        </w:r>
        <w:r>
          <w:instrText xml:space="preserve"> PAGEREF _Toc7472 \h </w:instrText>
        </w:r>
        <w:r>
          <w:fldChar w:fldCharType="separate"/>
        </w:r>
        <w:r>
          <w:t>124</w:t>
        </w:r>
        <w:r>
          <w:fldChar w:fldCharType="end"/>
        </w:r>
      </w:hyperlink>
    </w:p>
    <w:p w14:paraId="507A83F6" w14:textId="77777777" w:rsidR="001C08A5" w:rsidRDefault="00000000">
      <w:pPr>
        <w:pStyle w:val="TOC4"/>
        <w:tabs>
          <w:tab w:val="right" w:leader="dot" w:pos="9639"/>
        </w:tabs>
        <w:ind w:left="1200"/>
      </w:pPr>
      <w:hyperlink w:anchor="_Toc3516" w:history="1">
        <w:r>
          <w:t>2.4.1. Dispoziţii generale</w:t>
        </w:r>
        <w:r>
          <w:tab/>
        </w:r>
        <w:r>
          <w:fldChar w:fldCharType="begin"/>
        </w:r>
        <w:r>
          <w:instrText xml:space="preserve"> PAGEREF _Toc3516 \h </w:instrText>
        </w:r>
        <w:r>
          <w:fldChar w:fldCharType="separate"/>
        </w:r>
        <w:r>
          <w:t>124</w:t>
        </w:r>
        <w:r>
          <w:fldChar w:fldCharType="end"/>
        </w:r>
      </w:hyperlink>
    </w:p>
    <w:p w14:paraId="072547C4" w14:textId="77777777" w:rsidR="001C08A5" w:rsidRDefault="00000000">
      <w:pPr>
        <w:pStyle w:val="TOC4"/>
        <w:tabs>
          <w:tab w:val="right" w:leader="dot" w:pos="9639"/>
        </w:tabs>
        <w:ind w:left="1200"/>
      </w:pPr>
      <w:hyperlink w:anchor="_Toc13374" w:history="1">
        <w:r>
          <w:t>2.4.2. Scări</w:t>
        </w:r>
        <w:r>
          <w:tab/>
        </w:r>
        <w:r>
          <w:fldChar w:fldCharType="begin"/>
        </w:r>
        <w:r>
          <w:instrText xml:space="preserve"> PAGEREF _Toc13374 \h </w:instrText>
        </w:r>
        <w:r>
          <w:fldChar w:fldCharType="separate"/>
        </w:r>
        <w:r>
          <w:t>125</w:t>
        </w:r>
        <w:r>
          <w:fldChar w:fldCharType="end"/>
        </w:r>
      </w:hyperlink>
    </w:p>
    <w:p w14:paraId="3C3EE40C" w14:textId="77777777" w:rsidR="001C08A5" w:rsidRDefault="00000000">
      <w:pPr>
        <w:pStyle w:val="TOC4"/>
        <w:tabs>
          <w:tab w:val="right" w:leader="dot" w:pos="9639"/>
        </w:tabs>
        <w:ind w:left="1200"/>
      </w:pPr>
      <w:hyperlink w:anchor="_Toc18738" w:history="1">
        <w:r>
          <w:t>2.4.3. Circulaţii comune orizontale</w:t>
        </w:r>
        <w:r>
          <w:tab/>
        </w:r>
        <w:r>
          <w:fldChar w:fldCharType="begin"/>
        </w:r>
        <w:r>
          <w:instrText xml:space="preserve"> PAGEREF _Toc18738 \h </w:instrText>
        </w:r>
        <w:r>
          <w:fldChar w:fldCharType="separate"/>
        </w:r>
        <w:r>
          <w:t>127</w:t>
        </w:r>
        <w:r>
          <w:fldChar w:fldCharType="end"/>
        </w:r>
      </w:hyperlink>
    </w:p>
    <w:p w14:paraId="53BF82E4" w14:textId="77777777" w:rsidR="001C08A5" w:rsidRDefault="00000000">
      <w:pPr>
        <w:pStyle w:val="TOC4"/>
        <w:tabs>
          <w:tab w:val="right" w:leader="dot" w:pos="9639"/>
        </w:tabs>
        <w:ind w:left="1200"/>
      </w:pPr>
      <w:hyperlink w:anchor="_Toc24090" w:history="1">
        <w:r>
          <w:t>2.4.4. Ascensoare</w:t>
        </w:r>
        <w:r>
          <w:tab/>
        </w:r>
        <w:r>
          <w:fldChar w:fldCharType="begin"/>
        </w:r>
        <w:r>
          <w:instrText xml:space="preserve"> PAGEREF _Toc24090 \h </w:instrText>
        </w:r>
        <w:r>
          <w:fldChar w:fldCharType="separate"/>
        </w:r>
        <w:r>
          <w:t>129</w:t>
        </w:r>
        <w:r>
          <w:fldChar w:fldCharType="end"/>
        </w:r>
      </w:hyperlink>
    </w:p>
    <w:p w14:paraId="750D3932" w14:textId="77777777" w:rsidR="001C08A5" w:rsidRDefault="00000000">
      <w:pPr>
        <w:pStyle w:val="TOC5"/>
        <w:tabs>
          <w:tab w:val="right" w:leader="dot" w:pos="9639"/>
        </w:tabs>
        <w:ind w:left="1600"/>
      </w:pPr>
      <w:hyperlink w:anchor="_Toc7305" w:history="1">
        <w:r>
          <w:t>2.4.4.1. Dispoziţii generale</w:t>
        </w:r>
        <w:r>
          <w:tab/>
        </w:r>
        <w:r>
          <w:fldChar w:fldCharType="begin"/>
        </w:r>
        <w:r>
          <w:instrText xml:space="preserve"> PAGEREF _Toc7305 \h </w:instrText>
        </w:r>
        <w:r>
          <w:fldChar w:fldCharType="separate"/>
        </w:r>
        <w:r>
          <w:t>129</w:t>
        </w:r>
        <w:r>
          <w:fldChar w:fldCharType="end"/>
        </w:r>
      </w:hyperlink>
    </w:p>
    <w:p w14:paraId="1758213D" w14:textId="77777777" w:rsidR="001C08A5" w:rsidRDefault="00000000">
      <w:pPr>
        <w:pStyle w:val="TOC5"/>
        <w:tabs>
          <w:tab w:val="right" w:leader="dot" w:pos="9639"/>
        </w:tabs>
        <w:ind w:left="1600"/>
      </w:pPr>
      <w:hyperlink w:anchor="_Toc16504" w:history="1">
        <w:r>
          <w:t>2.4.4.3. Ascensoarele pentru transportul persoanelor cu dizabilităţi</w:t>
        </w:r>
        <w:r>
          <w:tab/>
        </w:r>
        <w:r>
          <w:fldChar w:fldCharType="begin"/>
        </w:r>
        <w:r>
          <w:instrText xml:space="preserve"> PAGEREF _Toc16504 \h </w:instrText>
        </w:r>
        <w:r>
          <w:fldChar w:fldCharType="separate"/>
        </w:r>
        <w:r>
          <w:t>132</w:t>
        </w:r>
        <w:r>
          <w:fldChar w:fldCharType="end"/>
        </w:r>
      </w:hyperlink>
    </w:p>
    <w:p w14:paraId="2AFFCE32" w14:textId="77777777" w:rsidR="001C08A5" w:rsidRDefault="00000000">
      <w:pPr>
        <w:pStyle w:val="TOC5"/>
        <w:tabs>
          <w:tab w:val="right" w:leader="dot" w:pos="9639"/>
        </w:tabs>
        <w:ind w:left="1600"/>
      </w:pPr>
      <w:hyperlink w:anchor="_Toc3381" w:history="1">
        <w:r>
          <w:t>2.4.4.4. Ascensoare pentru intervenţie în caz de incendiu (de pompieri)</w:t>
        </w:r>
        <w:r>
          <w:tab/>
        </w:r>
        <w:r>
          <w:fldChar w:fldCharType="begin"/>
        </w:r>
        <w:r>
          <w:instrText xml:space="preserve"> PAGEREF _Toc3381 \h </w:instrText>
        </w:r>
        <w:r>
          <w:fldChar w:fldCharType="separate"/>
        </w:r>
        <w:r>
          <w:t>132</w:t>
        </w:r>
        <w:r>
          <w:fldChar w:fldCharType="end"/>
        </w:r>
      </w:hyperlink>
    </w:p>
    <w:p w14:paraId="32960E03" w14:textId="77777777" w:rsidR="001C08A5" w:rsidRDefault="00000000">
      <w:pPr>
        <w:pStyle w:val="TOC4"/>
        <w:tabs>
          <w:tab w:val="right" w:leader="dot" w:pos="9639"/>
        </w:tabs>
        <w:ind w:left="1200"/>
      </w:pPr>
      <w:hyperlink w:anchor="_Toc17658" w:history="1">
        <w:r>
          <w:t>2.4.5. Plafoane autoportante sau suspendate și pardoseli supraînălţate</w:t>
        </w:r>
        <w:r>
          <w:tab/>
        </w:r>
        <w:r>
          <w:fldChar w:fldCharType="begin"/>
        </w:r>
        <w:r>
          <w:instrText xml:space="preserve"> PAGEREF _Toc17658 \h </w:instrText>
        </w:r>
        <w:r>
          <w:fldChar w:fldCharType="separate"/>
        </w:r>
        <w:r>
          <w:t>133</w:t>
        </w:r>
        <w:r>
          <w:fldChar w:fldCharType="end"/>
        </w:r>
      </w:hyperlink>
    </w:p>
    <w:p w14:paraId="41A44542" w14:textId="77777777" w:rsidR="001C08A5" w:rsidRDefault="00000000">
      <w:pPr>
        <w:pStyle w:val="TOC4"/>
        <w:tabs>
          <w:tab w:val="right" w:leader="dot" w:pos="9639"/>
        </w:tabs>
        <w:ind w:left="1200"/>
      </w:pPr>
      <w:hyperlink w:anchor="_Toc30491" w:history="1">
        <w:r>
          <w:t>2.4.6. Finisaje</w:t>
        </w:r>
        <w:r>
          <w:tab/>
        </w:r>
        <w:r>
          <w:fldChar w:fldCharType="begin"/>
        </w:r>
        <w:r>
          <w:instrText xml:space="preserve"> PAGEREF _Toc30491 \h </w:instrText>
        </w:r>
        <w:r>
          <w:fldChar w:fldCharType="separate"/>
        </w:r>
        <w:r>
          <w:t>134</w:t>
        </w:r>
        <w:r>
          <w:fldChar w:fldCharType="end"/>
        </w:r>
      </w:hyperlink>
    </w:p>
    <w:p w14:paraId="5601C958" w14:textId="77777777" w:rsidR="001C08A5" w:rsidRDefault="00000000">
      <w:pPr>
        <w:pStyle w:val="TOC4"/>
        <w:tabs>
          <w:tab w:val="right" w:leader="dot" w:pos="9639"/>
        </w:tabs>
        <w:ind w:left="1200"/>
      </w:pPr>
      <w:hyperlink w:anchor="_Toc19285" w:history="1">
        <w:r>
          <w:t>2.4.7. Dispoziţii privind alcatuiri constructive  specifice limitării propagării incendiului pe faţadă</w:t>
        </w:r>
        <w:r>
          <w:tab/>
        </w:r>
        <w:r>
          <w:fldChar w:fldCharType="begin"/>
        </w:r>
        <w:r>
          <w:instrText xml:space="preserve"> PAGEREF _Toc19285 \h </w:instrText>
        </w:r>
        <w:r>
          <w:fldChar w:fldCharType="separate"/>
        </w:r>
        <w:r>
          <w:t>135</w:t>
        </w:r>
        <w:r>
          <w:fldChar w:fldCharType="end"/>
        </w:r>
      </w:hyperlink>
    </w:p>
    <w:p w14:paraId="1D96230A" w14:textId="77777777" w:rsidR="001C08A5" w:rsidRDefault="00000000">
      <w:pPr>
        <w:pStyle w:val="TOC5"/>
        <w:tabs>
          <w:tab w:val="right" w:leader="dot" w:pos="9639"/>
        </w:tabs>
        <w:ind w:left="1600"/>
      </w:pPr>
      <w:hyperlink w:anchor="_Toc27136" w:history="1">
        <w:r>
          <w:t>2.4.7.1. Pereţi cortină</w:t>
        </w:r>
        <w:r>
          <w:tab/>
        </w:r>
        <w:r>
          <w:fldChar w:fldCharType="begin"/>
        </w:r>
        <w:r>
          <w:instrText xml:space="preserve"> PAGEREF _Toc27136 \h </w:instrText>
        </w:r>
        <w:r>
          <w:fldChar w:fldCharType="separate"/>
        </w:r>
        <w:r>
          <w:t>135</w:t>
        </w:r>
        <w:r>
          <w:fldChar w:fldCharType="end"/>
        </w:r>
      </w:hyperlink>
    </w:p>
    <w:p w14:paraId="23CB09F5" w14:textId="77777777" w:rsidR="001C08A5" w:rsidRDefault="00000000">
      <w:pPr>
        <w:pStyle w:val="TOC5"/>
        <w:tabs>
          <w:tab w:val="right" w:leader="dot" w:pos="9639"/>
        </w:tabs>
        <w:ind w:left="1600"/>
      </w:pPr>
      <w:hyperlink w:anchor="_Toc2232" w:history="1">
        <w:r>
          <w:t>2.4.7.2.  Faţade ventilate</w:t>
        </w:r>
        <w:r>
          <w:tab/>
        </w:r>
        <w:r>
          <w:fldChar w:fldCharType="begin"/>
        </w:r>
        <w:r>
          <w:instrText xml:space="preserve"> PAGEREF _Toc2232 \h </w:instrText>
        </w:r>
        <w:r>
          <w:fldChar w:fldCharType="separate"/>
        </w:r>
        <w:r>
          <w:t>136</w:t>
        </w:r>
        <w:r>
          <w:fldChar w:fldCharType="end"/>
        </w:r>
      </w:hyperlink>
    </w:p>
    <w:p w14:paraId="3F49AEE1" w14:textId="77777777" w:rsidR="001C08A5" w:rsidRDefault="00000000">
      <w:pPr>
        <w:pStyle w:val="TOC5"/>
        <w:tabs>
          <w:tab w:val="right" w:leader="dot" w:pos="9639"/>
        </w:tabs>
        <w:ind w:left="1600"/>
      </w:pPr>
      <w:hyperlink w:anchor="_Toc28974" w:history="1">
        <w:r>
          <w:t>2.4.7.3.  Faţade duble - „double skin”</w:t>
        </w:r>
        <w:r>
          <w:tab/>
        </w:r>
        <w:r>
          <w:fldChar w:fldCharType="begin"/>
        </w:r>
        <w:r>
          <w:instrText xml:space="preserve"> PAGEREF _Toc28974 \h </w:instrText>
        </w:r>
        <w:r>
          <w:fldChar w:fldCharType="separate"/>
        </w:r>
        <w:r>
          <w:t>136</w:t>
        </w:r>
        <w:r>
          <w:fldChar w:fldCharType="end"/>
        </w:r>
      </w:hyperlink>
    </w:p>
    <w:p w14:paraId="08C6D465" w14:textId="77777777" w:rsidR="001C08A5" w:rsidRDefault="00000000">
      <w:pPr>
        <w:pStyle w:val="TOC4"/>
        <w:tabs>
          <w:tab w:val="right" w:leader="dot" w:pos="9639"/>
        </w:tabs>
        <w:ind w:left="1200"/>
      </w:pPr>
      <w:hyperlink w:anchor="_Toc18346" w:history="1">
        <w:r>
          <w:t>2.4.8.  Dispoziţii privind alcatuiri constructive  specifice limitării propagării incendiului pe acoperiş</w:t>
        </w:r>
        <w:r>
          <w:tab/>
        </w:r>
        <w:r>
          <w:fldChar w:fldCharType="begin"/>
        </w:r>
        <w:r>
          <w:instrText xml:space="preserve"> PAGEREF _Toc18346 \h </w:instrText>
        </w:r>
        <w:r>
          <w:fldChar w:fldCharType="separate"/>
        </w:r>
        <w:r>
          <w:t>138</w:t>
        </w:r>
        <w:r>
          <w:fldChar w:fldCharType="end"/>
        </w:r>
      </w:hyperlink>
    </w:p>
    <w:p w14:paraId="4ECED452" w14:textId="77777777" w:rsidR="001C08A5" w:rsidRDefault="00000000">
      <w:pPr>
        <w:pStyle w:val="TOC5"/>
        <w:tabs>
          <w:tab w:val="right" w:leader="dot" w:pos="9639"/>
        </w:tabs>
        <w:ind w:left="1600"/>
      </w:pPr>
      <w:hyperlink w:anchor="_Toc17932" w:history="1">
        <w:r>
          <w:t>2.4.8.1.  Acoperişuri fără pod</w:t>
        </w:r>
        <w:r>
          <w:tab/>
        </w:r>
        <w:r>
          <w:fldChar w:fldCharType="begin"/>
        </w:r>
        <w:r>
          <w:instrText xml:space="preserve"> PAGEREF _Toc17932 \h </w:instrText>
        </w:r>
        <w:r>
          <w:fldChar w:fldCharType="separate"/>
        </w:r>
        <w:r>
          <w:t>138</w:t>
        </w:r>
        <w:r>
          <w:fldChar w:fldCharType="end"/>
        </w:r>
      </w:hyperlink>
    </w:p>
    <w:p w14:paraId="6FB43F61" w14:textId="77777777" w:rsidR="001C08A5" w:rsidRDefault="00000000">
      <w:pPr>
        <w:pStyle w:val="TOC5"/>
        <w:tabs>
          <w:tab w:val="right" w:leader="dot" w:pos="9639"/>
        </w:tabs>
        <w:ind w:left="1600"/>
      </w:pPr>
      <w:hyperlink w:anchor="_Toc2085" w:history="1">
        <w:r>
          <w:t>2.4.8.2.  Acoperişuri verzi</w:t>
        </w:r>
        <w:r>
          <w:tab/>
        </w:r>
        <w:r>
          <w:fldChar w:fldCharType="begin"/>
        </w:r>
        <w:r>
          <w:instrText xml:space="preserve"> PAGEREF _Toc2085 \h </w:instrText>
        </w:r>
        <w:r>
          <w:fldChar w:fldCharType="separate"/>
        </w:r>
        <w:r>
          <w:t>138</w:t>
        </w:r>
        <w:r>
          <w:fldChar w:fldCharType="end"/>
        </w:r>
      </w:hyperlink>
    </w:p>
    <w:p w14:paraId="70F05429" w14:textId="77777777" w:rsidR="001C08A5" w:rsidRDefault="00000000">
      <w:pPr>
        <w:pStyle w:val="TOC4"/>
        <w:tabs>
          <w:tab w:val="right" w:leader="dot" w:pos="9639"/>
        </w:tabs>
        <w:ind w:left="1200"/>
      </w:pPr>
      <w:hyperlink w:anchor="_Toc17898" w:history="1">
        <w:r>
          <w:t>2.4.9. Atriumuri</w:t>
        </w:r>
        <w:r>
          <w:tab/>
        </w:r>
        <w:r>
          <w:fldChar w:fldCharType="begin"/>
        </w:r>
        <w:r>
          <w:instrText xml:space="preserve"> PAGEREF _Toc17898 \h </w:instrText>
        </w:r>
        <w:r>
          <w:fldChar w:fldCharType="separate"/>
        </w:r>
        <w:r>
          <w:t>139</w:t>
        </w:r>
        <w:r>
          <w:fldChar w:fldCharType="end"/>
        </w:r>
      </w:hyperlink>
    </w:p>
    <w:p w14:paraId="4ED9A6B3" w14:textId="77777777" w:rsidR="001C08A5" w:rsidRDefault="00000000">
      <w:pPr>
        <w:pStyle w:val="TOC4"/>
        <w:tabs>
          <w:tab w:val="right" w:leader="dot" w:pos="9639"/>
        </w:tabs>
        <w:ind w:left="1200"/>
      </w:pPr>
      <w:hyperlink w:anchor="_Toc27340" w:history="1">
        <w:r>
          <w:t>2.4.10. Galerii, canale, estacade</w:t>
        </w:r>
        <w:r>
          <w:tab/>
        </w:r>
        <w:r>
          <w:fldChar w:fldCharType="begin"/>
        </w:r>
        <w:r>
          <w:instrText xml:space="preserve"> PAGEREF _Toc27340 \h </w:instrText>
        </w:r>
        <w:r>
          <w:fldChar w:fldCharType="separate"/>
        </w:r>
        <w:r>
          <w:t>141</w:t>
        </w:r>
        <w:r>
          <w:fldChar w:fldCharType="end"/>
        </w:r>
      </w:hyperlink>
    </w:p>
    <w:p w14:paraId="0EDCF9F8" w14:textId="77777777" w:rsidR="001C08A5" w:rsidRDefault="00000000">
      <w:pPr>
        <w:pStyle w:val="TOC4"/>
        <w:tabs>
          <w:tab w:val="right" w:leader="dot" w:pos="9639"/>
        </w:tabs>
        <w:ind w:left="1200"/>
      </w:pPr>
      <w:hyperlink w:anchor="_Toc10626" w:history="1">
        <w:r>
          <w:t>2.4.11. Ghene pentru instalaţii</w:t>
        </w:r>
        <w:r>
          <w:tab/>
        </w:r>
        <w:r>
          <w:fldChar w:fldCharType="begin"/>
        </w:r>
        <w:r>
          <w:instrText xml:space="preserve"> PAGEREF _Toc10626 \h </w:instrText>
        </w:r>
        <w:r>
          <w:fldChar w:fldCharType="separate"/>
        </w:r>
        <w:r>
          <w:t>142</w:t>
        </w:r>
        <w:r>
          <w:fldChar w:fldCharType="end"/>
        </w:r>
      </w:hyperlink>
    </w:p>
    <w:p w14:paraId="4E6E69DF" w14:textId="77777777" w:rsidR="001C08A5" w:rsidRDefault="00000000">
      <w:pPr>
        <w:pStyle w:val="TOC4"/>
        <w:tabs>
          <w:tab w:val="right" w:leader="dot" w:pos="9639"/>
        </w:tabs>
        <w:ind w:left="1200"/>
      </w:pPr>
      <w:hyperlink w:anchor="_Toc19836" w:history="1">
        <w:r>
          <w:t>2.4.12. Coşuri de fum, sobe, hote</w:t>
        </w:r>
        <w:r>
          <w:tab/>
        </w:r>
        <w:r>
          <w:fldChar w:fldCharType="begin"/>
        </w:r>
        <w:r>
          <w:instrText xml:space="preserve"> PAGEREF _Toc19836 \h </w:instrText>
        </w:r>
        <w:r>
          <w:fldChar w:fldCharType="separate"/>
        </w:r>
        <w:r>
          <w:t>143</w:t>
        </w:r>
        <w:r>
          <w:fldChar w:fldCharType="end"/>
        </w:r>
      </w:hyperlink>
    </w:p>
    <w:p w14:paraId="7CE0747D" w14:textId="77777777" w:rsidR="001C08A5" w:rsidRDefault="00000000">
      <w:pPr>
        <w:pStyle w:val="TOC4"/>
        <w:tabs>
          <w:tab w:val="right" w:leader="dot" w:pos="9639"/>
        </w:tabs>
        <w:ind w:left="1200"/>
      </w:pPr>
      <w:hyperlink w:anchor="_Toc18605" w:history="1">
        <w:r>
          <w:t>2.4.13. Alcătuiri constructive specifice riscului de explozie volumetrică</w:t>
        </w:r>
        <w:r>
          <w:tab/>
        </w:r>
        <w:r>
          <w:fldChar w:fldCharType="begin"/>
        </w:r>
        <w:r>
          <w:instrText xml:space="preserve"> PAGEREF _Toc18605 \h </w:instrText>
        </w:r>
        <w:r>
          <w:fldChar w:fldCharType="separate"/>
        </w:r>
        <w:r>
          <w:t>144</w:t>
        </w:r>
        <w:r>
          <w:fldChar w:fldCharType="end"/>
        </w:r>
      </w:hyperlink>
    </w:p>
    <w:p w14:paraId="49E1CF81" w14:textId="77777777" w:rsidR="001C08A5" w:rsidRDefault="00000000">
      <w:pPr>
        <w:pStyle w:val="TOC4"/>
        <w:tabs>
          <w:tab w:val="right" w:leader="dot" w:pos="9639"/>
        </w:tabs>
        <w:ind w:left="1200"/>
      </w:pPr>
      <w:hyperlink w:anchor="_Toc19311" w:history="1">
        <w:r>
          <w:t>2.4.14. Încăperi şi spaţii destinate instalaţiilor utilitare aferente construcţiilor</w:t>
        </w:r>
        <w:r>
          <w:tab/>
        </w:r>
        <w:r>
          <w:fldChar w:fldCharType="begin"/>
        </w:r>
        <w:r>
          <w:instrText xml:space="preserve"> PAGEREF _Toc19311 \h </w:instrText>
        </w:r>
        <w:r>
          <w:fldChar w:fldCharType="separate"/>
        </w:r>
        <w:r>
          <w:t>145</w:t>
        </w:r>
        <w:r>
          <w:fldChar w:fldCharType="end"/>
        </w:r>
      </w:hyperlink>
    </w:p>
    <w:p w14:paraId="76E25782" w14:textId="77777777" w:rsidR="001C08A5" w:rsidRDefault="00000000">
      <w:pPr>
        <w:pStyle w:val="TOC4"/>
        <w:tabs>
          <w:tab w:val="right" w:leader="dot" w:pos="9639"/>
        </w:tabs>
        <w:ind w:left="1200"/>
      </w:pPr>
      <w:hyperlink w:anchor="_Toc10525" w:history="1">
        <w:r>
          <w:t>2.4.15. Camere de pubele, compactoare și crematorii pentru deşeuri</w:t>
        </w:r>
        <w:r>
          <w:tab/>
        </w:r>
        <w:r>
          <w:fldChar w:fldCharType="begin"/>
        </w:r>
        <w:r>
          <w:instrText xml:space="preserve"> PAGEREF _Toc10525 \h </w:instrText>
        </w:r>
        <w:r>
          <w:fldChar w:fldCharType="separate"/>
        </w:r>
        <w:r>
          <w:t>149</w:t>
        </w:r>
        <w:r>
          <w:fldChar w:fldCharType="end"/>
        </w:r>
      </w:hyperlink>
    </w:p>
    <w:p w14:paraId="644419A6" w14:textId="77777777" w:rsidR="001C08A5" w:rsidRDefault="00000000">
      <w:pPr>
        <w:pStyle w:val="TOC4"/>
        <w:tabs>
          <w:tab w:val="right" w:leader="dot" w:pos="9639"/>
        </w:tabs>
        <w:ind w:left="1200"/>
      </w:pPr>
      <w:hyperlink w:anchor="_Toc21862" w:history="1">
        <w:r>
          <w:t>2.4.16. Încăperi de depozitare</w:t>
        </w:r>
        <w:r>
          <w:tab/>
        </w:r>
        <w:r>
          <w:fldChar w:fldCharType="begin"/>
        </w:r>
        <w:r>
          <w:instrText xml:space="preserve"> PAGEREF _Toc21862 \h </w:instrText>
        </w:r>
        <w:r>
          <w:fldChar w:fldCharType="separate"/>
        </w:r>
        <w:r>
          <w:t>150</w:t>
        </w:r>
        <w:r>
          <w:fldChar w:fldCharType="end"/>
        </w:r>
      </w:hyperlink>
    </w:p>
    <w:p w14:paraId="2398E639" w14:textId="77777777" w:rsidR="001C08A5" w:rsidRDefault="00000000">
      <w:pPr>
        <w:pStyle w:val="TOC4"/>
        <w:tabs>
          <w:tab w:val="right" w:leader="dot" w:pos="9639"/>
        </w:tabs>
        <w:ind w:left="1200"/>
      </w:pPr>
      <w:hyperlink w:anchor="_Toc21475" w:history="1">
        <w:r>
          <w:t>2.4.17. Panouri  publicitare amplasate pe faţadele clădirilor</w:t>
        </w:r>
        <w:r>
          <w:tab/>
        </w:r>
        <w:r>
          <w:fldChar w:fldCharType="begin"/>
        </w:r>
        <w:r>
          <w:instrText xml:space="preserve"> PAGEREF _Toc21475 \h </w:instrText>
        </w:r>
        <w:r>
          <w:fldChar w:fldCharType="separate"/>
        </w:r>
        <w:r>
          <w:t>154</w:t>
        </w:r>
        <w:r>
          <w:fldChar w:fldCharType="end"/>
        </w:r>
      </w:hyperlink>
    </w:p>
    <w:p w14:paraId="3BC4E848" w14:textId="77777777" w:rsidR="001C08A5" w:rsidRDefault="00000000">
      <w:pPr>
        <w:pStyle w:val="TOC4"/>
        <w:tabs>
          <w:tab w:val="right" w:leader="dot" w:pos="9639"/>
        </w:tabs>
        <w:ind w:left="1200"/>
      </w:pPr>
      <w:hyperlink w:anchor="_Toc13083" w:history="1">
        <w:r>
          <w:t>2.4.18. Instalaţii şi echipamente utilizând surse regenerabile de energie</w:t>
        </w:r>
        <w:r>
          <w:tab/>
        </w:r>
        <w:r>
          <w:fldChar w:fldCharType="begin"/>
        </w:r>
        <w:r>
          <w:instrText xml:space="preserve"> PAGEREF _Toc13083 \h </w:instrText>
        </w:r>
        <w:r>
          <w:fldChar w:fldCharType="separate"/>
        </w:r>
        <w:r>
          <w:t>154</w:t>
        </w:r>
        <w:r>
          <w:fldChar w:fldCharType="end"/>
        </w:r>
      </w:hyperlink>
    </w:p>
    <w:p w14:paraId="0C0FE841" w14:textId="77777777" w:rsidR="001C08A5" w:rsidRDefault="00000000">
      <w:pPr>
        <w:pStyle w:val="TOC4"/>
        <w:tabs>
          <w:tab w:val="right" w:leader="dot" w:pos="9639"/>
        </w:tabs>
        <w:ind w:left="1200"/>
      </w:pPr>
      <w:hyperlink w:anchor="_Toc23049" w:history="1">
        <w:r>
          <w:t>2.4.19. Conformări, instalaţii şi echipamente specifice camerelor pentru bateriile de acumulatoare</w:t>
        </w:r>
        <w:r>
          <w:tab/>
        </w:r>
        <w:r>
          <w:fldChar w:fldCharType="begin"/>
        </w:r>
        <w:r>
          <w:instrText xml:space="preserve"> PAGEREF _Toc23049 \h </w:instrText>
        </w:r>
        <w:r>
          <w:fldChar w:fldCharType="separate"/>
        </w:r>
        <w:r>
          <w:t>156</w:t>
        </w:r>
        <w:r>
          <w:fldChar w:fldCharType="end"/>
        </w:r>
      </w:hyperlink>
    </w:p>
    <w:p w14:paraId="594DADC6" w14:textId="77777777" w:rsidR="001C08A5" w:rsidRDefault="00000000">
      <w:pPr>
        <w:pStyle w:val="TOC3"/>
        <w:tabs>
          <w:tab w:val="right" w:leader="dot" w:pos="9639"/>
        </w:tabs>
        <w:ind w:left="800"/>
      </w:pPr>
      <w:hyperlink w:anchor="_Toc32556" w:history="1">
        <w:r>
          <w:t>SECŢIUNEA V</w:t>
        </w:r>
        <w:r>
          <w:tab/>
        </w:r>
        <w:r>
          <w:fldChar w:fldCharType="begin"/>
        </w:r>
        <w:r>
          <w:instrText xml:space="preserve"> PAGEREF _Toc32556 \h </w:instrText>
        </w:r>
        <w:r>
          <w:fldChar w:fldCharType="separate"/>
        </w:r>
        <w:r>
          <w:t>160</w:t>
        </w:r>
        <w:r>
          <w:fldChar w:fldCharType="end"/>
        </w:r>
      </w:hyperlink>
    </w:p>
    <w:p w14:paraId="14106C8F" w14:textId="77777777" w:rsidR="001C08A5" w:rsidRDefault="00000000">
      <w:pPr>
        <w:pStyle w:val="TOC3"/>
        <w:tabs>
          <w:tab w:val="right" w:leader="dot" w:pos="9639"/>
        </w:tabs>
        <w:ind w:left="800"/>
      </w:pPr>
      <w:hyperlink w:anchor="_Toc19180" w:history="1">
        <w:r>
          <w:t>2.5. Căi de evacuare a utilizatorilor în caz de incendiu</w:t>
        </w:r>
        <w:r>
          <w:tab/>
        </w:r>
        <w:r>
          <w:fldChar w:fldCharType="begin"/>
        </w:r>
        <w:r>
          <w:instrText xml:space="preserve"> PAGEREF _Toc19180 \h </w:instrText>
        </w:r>
        <w:r>
          <w:fldChar w:fldCharType="separate"/>
        </w:r>
        <w:r>
          <w:t>160</w:t>
        </w:r>
        <w:r>
          <w:fldChar w:fldCharType="end"/>
        </w:r>
      </w:hyperlink>
    </w:p>
    <w:p w14:paraId="55216571" w14:textId="77777777" w:rsidR="001C08A5" w:rsidRDefault="00000000">
      <w:pPr>
        <w:pStyle w:val="TOC4"/>
        <w:tabs>
          <w:tab w:val="right" w:leader="dot" w:pos="9639"/>
        </w:tabs>
        <w:ind w:left="1200"/>
      </w:pPr>
      <w:hyperlink w:anchor="_Toc23398" w:history="1">
        <w:r>
          <w:t>2.5.1. Dispoziţii generale</w:t>
        </w:r>
        <w:r>
          <w:tab/>
        </w:r>
        <w:r>
          <w:fldChar w:fldCharType="begin"/>
        </w:r>
        <w:r>
          <w:instrText xml:space="preserve"> PAGEREF _Toc23398 \h </w:instrText>
        </w:r>
        <w:r>
          <w:fldChar w:fldCharType="separate"/>
        </w:r>
        <w:r>
          <w:t>160</w:t>
        </w:r>
        <w:r>
          <w:fldChar w:fldCharType="end"/>
        </w:r>
      </w:hyperlink>
    </w:p>
    <w:p w14:paraId="7D3D826E" w14:textId="77777777" w:rsidR="001C08A5" w:rsidRDefault="00000000">
      <w:pPr>
        <w:pStyle w:val="TOC4"/>
        <w:tabs>
          <w:tab w:val="right" w:leader="dot" w:pos="9639"/>
        </w:tabs>
        <w:ind w:left="1200"/>
      </w:pPr>
      <w:hyperlink w:anchor="_Toc7994" w:history="1">
        <w:r>
          <w:t>2.5.2. Dispunere, alcătuire, finisaje</w:t>
        </w:r>
        <w:r>
          <w:tab/>
        </w:r>
        <w:r>
          <w:fldChar w:fldCharType="begin"/>
        </w:r>
        <w:r>
          <w:instrText xml:space="preserve"> PAGEREF _Toc7994 \h </w:instrText>
        </w:r>
        <w:r>
          <w:fldChar w:fldCharType="separate"/>
        </w:r>
        <w:r>
          <w:t>161</w:t>
        </w:r>
        <w:r>
          <w:fldChar w:fldCharType="end"/>
        </w:r>
      </w:hyperlink>
    </w:p>
    <w:p w14:paraId="3BC1A2C2" w14:textId="77777777" w:rsidR="001C08A5" w:rsidRDefault="00000000">
      <w:pPr>
        <w:pStyle w:val="TOC4"/>
        <w:tabs>
          <w:tab w:val="right" w:leader="dot" w:pos="9639"/>
        </w:tabs>
        <w:ind w:left="1200"/>
      </w:pPr>
      <w:hyperlink w:anchor="_Toc17059" w:history="1">
        <w:r>
          <w:t>2.5.3. Număr căi de evacuare</w:t>
        </w:r>
        <w:r>
          <w:tab/>
        </w:r>
        <w:r>
          <w:fldChar w:fldCharType="begin"/>
        </w:r>
        <w:r>
          <w:instrText xml:space="preserve"> PAGEREF _Toc17059 \h </w:instrText>
        </w:r>
        <w:r>
          <w:fldChar w:fldCharType="separate"/>
        </w:r>
        <w:r>
          <w:t>162</w:t>
        </w:r>
        <w:r>
          <w:fldChar w:fldCharType="end"/>
        </w:r>
      </w:hyperlink>
    </w:p>
    <w:p w14:paraId="0E8DBC6E" w14:textId="77777777" w:rsidR="001C08A5" w:rsidRDefault="00000000">
      <w:pPr>
        <w:pStyle w:val="TOC4"/>
        <w:tabs>
          <w:tab w:val="right" w:leader="dot" w:pos="9639"/>
        </w:tabs>
        <w:ind w:left="1200"/>
      </w:pPr>
      <w:hyperlink w:anchor="_Toc24490" w:history="1">
        <w:r>
          <w:t>2.5.4. Alcătuirea și separarea căilor de circulaţie funcţională și de evacuare</w:t>
        </w:r>
        <w:r>
          <w:tab/>
        </w:r>
        <w:r>
          <w:fldChar w:fldCharType="begin"/>
        </w:r>
        <w:r>
          <w:instrText xml:space="preserve"> PAGEREF _Toc24490 \h </w:instrText>
        </w:r>
        <w:r>
          <w:fldChar w:fldCharType="separate"/>
        </w:r>
        <w:r>
          <w:t>163</w:t>
        </w:r>
        <w:r>
          <w:fldChar w:fldCharType="end"/>
        </w:r>
      </w:hyperlink>
    </w:p>
    <w:p w14:paraId="6E82742B" w14:textId="77777777" w:rsidR="001C08A5" w:rsidRDefault="00000000">
      <w:pPr>
        <w:pStyle w:val="TOC4"/>
        <w:tabs>
          <w:tab w:val="right" w:leader="dot" w:pos="9639"/>
        </w:tabs>
        <w:ind w:left="1200"/>
      </w:pPr>
      <w:hyperlink w:anchor="_Toc14076" w:history="1">
        <w:r>
          <w:t>2.5.5. Uşi</w:t>
        </w:r>
        <w:r>
          <w:tab/>
        </w:r>
        <w:r>
          <w:fldChar w:fldCharType="begin"/>
        </w:r>
        <w:r>
          <w:instrText xml:space="preserve"> PAGEREF _Toc14076 \h </w:instrText>
        </w:r>
        <w:r>
          <w:fldChar w:fldCharType="separate"/>
        </w:r>
        <w:r>
          <w:t>163</w:t>
        </w:r>
        <w:r>
          <w:fldChar w:fldCharType="end"/>
        </w:r>
      </w:hyperlink>
    </w:p>
    <w:p w14:paraId="1DAF75E8" w14:textId="77777777" w:rsidR="001C08A5" w:rsidRDefault="00000000">
      <w:pPr>
        <w:pStyle w:val="TOC4"/>
        <w:tabs>
          <w:tab w:val="right" w:leader="dot" w:pos="9639"/>
        </w:tabs>
        <w:ind w:left="1200"/>
      </w:pPr>
      <w:hyperlink w:anchor="_Toc6468" w:history="1">
        <w:r>
          <w:t>2.5.6. Scări</w:t>
        </w:r>
        <w:r>
          <w:tab/>
        </w:r>
        <w:r>
          <w:fldChar w:fldCharType="begin"/>
        </w:r>
        <w:r>
          <w:instrText xml:space="preserve"> PAGEREF _Toc6468 \h </w:instrText>
        </w:r>
        <w:r>
          <w:fldChar w:fldCharType="separate"/>
        </w:r>
        <w:r>
          <w:t>166</w:t>
        </w:r>
        <w:r>
          <w:fldChar w:fldCharType="end"/>
        </w:r>
      </w:hyperlink>
    </w:p>
    <w:p w14:paraId="6F4B087D" w14:textId="77777777" w:rsidR="001C08A5" w:rsidRDefault="00000000">
      <w:pPr>
        <w:pStyle w:val="TOC5"/>
        <w:tabs>
          <w:tab w:val="right" w:leader="dot" w:pos="9639"/>
        </w:tabs>
        <w:ind w:left="1600"/>
      </w:pPr>
      <w:hyperlink w:anchor="_Toc5396" w:history="1">
        <w:r>
          <w:t>2.5.6.1. Dispoziţii generale</w:t>
        </w:r>
        <w:r>
          <w:tab/>
        </w:r>
        <w:r>
          <w:fldChar w:fldCharType="begin"/>
        </w:r>
        <w:r>
          <w:instrText xml:space="preserve"> PAGEREF _Toc5396 \h </w:instrText>
        </w:r>
        <w:r>
          <w:fldChar w:fldCharType="separate"/>
        </w:r>
        <w:r>
          <w:t>166</w:t>
        </w:r>
        <w:r>
          <w:fldChar w:fldCharType="end"/>
        </w:r>
      </w:hyperlink>
    </w:p>
    <w:p w14:paraId="2C91A0FE" w14:textId="77777777" w:rsidR="001C08A5" w:rsidRDefault="00000000">
      <w:pPr>
        <w:pStyle w:val="TOC5"/>
        <w:tabs>
          <w:tab w:val="right" w:leader="dot" w:pos="9639"/>
        </w:tabs>
        <w:ind w:left="1600"/>
      </w:pPr>
      <w:hyperlink w:anchor="_Toc12044" w:history="1">
        <w:r>
          <w:t>2.5.6.2. Scări interioare închise</w:t>
        </w:r>
        <w:r>
          <w:tab/>
        </w:r>
        <w:r>
          <w:fldChar w:fldCharType="begin"/>
        </w:r>
        <w:r>
          <w:instrText xml:space="preserve"> PAGEREF _Toc12044 \h </w:instrText>
        </w:r>
        <w:r>
          <w:fldChar w:fldCharType="separate"/>
        </w:r>
        <w:r>
          <w:t>169</w:t>
        </w:r>
        <w:r>
          <w:fldChar w:fldCharType="end"/>
        </w:r>
      </w:hyperlink>
    </w:p>
    <w:p w14:paraId="69D9F43B" w14:textId="77777777" w:rsidR="001C08A5" w:rsidRDefault="00000000">
      <w:pPr>
        <w:pStyle w:val="TOC5"/>
        <w:tabs>
          <w:tab w:val="right" w:leader="dot" w:pos="9639"/>
        </w:tabs>
        <w:ind w:left="1600"/>
      </w:pPr>
      <w:hyperlink w:anchor="_Toc30312" w:history="1">
        <w:r>
          <w:t>2.5.6.3. Scări interioare deschise</w:t>
        </w:r>
        <w:r>
          <w:tab/>
        </w:r>
        <w:r>
          <w:fldChar w:fldCharType="begin"/>
        </w:r>
        <w:r>
          <w:instrText xml:space="preserve"> PAGEREF _Toc30312 \h </w:instrText>
        </w:r>
        <w:r>
          <w:fldChar w:fldCharType="separate"/>
        </w:r>
        <w:r>
          <w:t>171</w:t>
        </w:r>
        <w:r>
          <w:fldChar w:fldCharType="end"/>
        </w:r>
      </w:hyperlink>
    </w:p>
    <w:p w14:paraId="697B71F8" w14:textId="77777777" w:rsidR="001C08A5" w:rsidRDefault="00000000">
      <w:pPr>
        <w:pStyle w:val="TOC5"/>
        <w:tabs>
          <w:tab w:val="right" w:leader="dot" w:pos="9639"/>
        </w:tabs>
        <w:ind w:left="1600"/>
      </w:pPr>
      <w:hyperlink w:anchor="_Toc13262" w:history="1">
        <w:r>
          <w:t>2.5.6.4. Scări exterioare  deschise</w:t>
        </w:r>
        <w:r>
          <w:tab/>
        </w:r>
        <w:r>
          <w:fldChar w:fldCharType="begin"/>
        </w:r>
        <w:r>
          <w:instrText xml:space="preserve"> PAGEREF _Toc13262 \h </w:instrText>
        </w:r>
        <w:r>
          <w:fldChar w:fldCharType="separate"/>
        </w:r>
        <w:r>
          <w:t>172</w:t>
        </w:r>
        <w:r>
          <w:fldChar w:fldCharType="end"/>
        </w:r>
      </w:hyperlink>
    </w:p>
    <w:p w14:paraId="3FD01E92" w14:textId="77777777" w:rsidR="001C08A5" w:rsidRDefault="00000000">
      <w:pPr>
        <w:pStyle w:val="TOC4"/>
        <w:tabs>
          <w:tab w:val="right" w:leader="dot" w:pos="9639"/>
        </w:tabs>
        <w:ind w:left="1200"/>
      </w:pPr>
      <w:hyperlink w:anchor="_Toc11998" w:history="1">
        <w:r>
          <w:t>2.5.7. Terase circulabile, cursive, logii şi curţi interioare</w:t>
        </w:r>
        <w:r>
          <w:tab/>
        </w:r>
        <w:r>
          <w:fldChar w:fldCharType="begin"/>
        </w:r>
        <w:r>
          <w:instrText xml:space="preserve"> PAGEREF _Toc11998 \h </w:instrText>
        </w:r>
        <w:r>
          <w:fldChar w:fldCharType="separate"/>
        </w:r>
        <w:r>
          <w:t>172</w:t>
        </w:r>
        <w:r>
          <w:fldChar w:fldCharType="end"/>
        </w:r>
      </w:hyperlink>
    </w:p>
    <w:p w14:paraId="2E319AF6" w14:textId="77777777" w:rsidR="001C08A5" w:rsidRDefault="00000000">
      <w:pPr>
        <w:pStyle w:val="TOC4"/>
        <w:tabs>
          <w:tab w:val="right" w:leader="dot" w:pos="9639"/>
        </w:tabs>
        <w:ind w:left="1200"/>
      </w:pPr>
      <w:hyperlink w:anchor="_Toc7938" w:history="1">
        <w:r>
          <w:t>2.5.8. Dimensionarea căilor de evacuare</w:t>
        </w:r>
        <w:r>
          <w:tab/>
        </w:r>
        <w:r>
          <w:fldChar w:fldCharType="begin"/>
        </w:r>
        <w:r>
          <w:instrText xml:space="preserve"> PAGEREF _Toc7938 \h </w:instrText>
        </w:r>
        <w:r>
          <w:fldChar w:fldCharType="separate"/>
        </w:r>
        <w:r>
          <w:t>173</w:t>
        </w:r>
        <w:r>
          <w:fldChar w:fldCharType="end"/>
        </w:r>
      </w:hyperlink>
    </w:p>
    <w:p w14:paraId="401293A1" w14:textId="77777777" w:rsidR="001C08A5" w:rsidRDefault="00000000">
      <w:pPr>
        <w:pStyle w:val="TOC4"/>
        <w:tabs>
          <w:tab w:val="right" w:leader="dot" w:pos="9639"/>
        </w:tabs>
        <w:ind w:left="1200"/>
      </w:pPr>
      <w:hyperlink w:anchor="_Toc9994" w:history="1">
        <w:r>
          <w:t>2.5.9. Număr de utilizatori</w:t>
        </w:r>
        <w:r>
          <w:tab/>
        </w:r>
        <w:r>
          <w:fldChar w:fldCharType="begin"/>
        </w:r>
        <w:r>
          <w:instrText xml:space="preserve"> PAGEREF _Toc9994 \h </w:instrText>
        </w:r>
        <w:r>
          <w:fldChar w:fldCharType="separate"/>
        </w:r>
        <w:r>
          <w:t>174</w:t>
        </w:r>
        <w:r>
          <w:fldChar w:fldCharType="end"/>
        </w:r>
      </w:hyperlink>
    </w:p>
    <w:p w14:paraId="23B64D2C" w14:textId="77777777" w:rsidR="001C08A5" w:rsidRDefault="00000000">
      <w:pPr>
        <w:pStyle w:val="TOC4"/>
        <w:tabs>
          <w:tab w:val="right" w:leader="dot" w:pos="9639"/>
        </w:tabs>
        <w:ind w:left="1200"/>
      </w:pPr>
      <w:hyperlink w:anchor="_Toc28787" w:history="1">
        <w:r>
          <w:t>2.5.10. Număr normat de utilizatori (Uf) pentru unităţile de trecere (fluxurile) de evacuare</w:t>
        </w:r>
        <w:r>
          <w:tab/>
        </w:r>
        <w:r>
          <w:fldChar w:fldCharType="begin"/>
        </w:r>
        <w:r>
          <w:instrText xml:space="preserve"> PAGEREF _Toc28787 \h </w:instrText>
        </w:r>
        <w:r>
          <w:fldChar w:fldCharType="separate"/>
        </w:r>
        <w:r>
          <w:t>184</w:t>
        </w:r>
        <w:r>
          <w:fldChar w:fldCharType="end"/>
        </w:r>
      </w:hyperlink>
    </w:p>
    <w:p w14:paraId="23BB67FA" w14:textId="77777777" w:rsidR="001C08A5" w:rsidRDefault="00000000">
      <w:pPr>
        <w:pStyle w:val="TOC4"/>
        <w:tabs>
          <w:tab w:val="right" w:leader="dot" w:pos="9639"/>
        </w:tabs>
        <w:ind w:left="1200"/>
      </w:pPr>
      <w:hyperlink w:anchor="_Toc23658" w:history="1">
        <w:r>
          <w:t>2.5.11. Unităţi de trecere (fluxuri) de evacuare</w:t>
        </w:r>
        <w:r>
          <w:tab/>
        </w:r>
        <w:r>
          <w:fldChar w:fldCharType="begin"/>
        </w:r>
        <w:r>
          <w:instrText xml:space="preserve"> PAGEREF _Toc23658 \h </w:instrText>
        </w:r>
        <w:r>
          <w:fldChar w:fldCharType="separate"/>
        </w:r>
        <w:r>
          <w:t>184</w:t>
        </w:r>
        <w:r>
          <w:fldChar w:fldCharType="end"/>
        </w:r>
      </w:hyperlink>
    </w:p>
    <w:p w14:paraId="6790B73D" w14:textId="77777777" w:rsidR="001C08A5" w:rsidRDefault="00000000">
      <w:pPr>
        <w:pStyle w:val="TOC4"/>
        <w:tabs>
          <w:tab w:val="right" w:leader="dot" w:pos="9639"/>
        </w:tabs>
        <w:ind w:left="1200"/>
      </w:pPr>
      <w:hyperlink w:anchor="_Toc9042" w:history="1">
        <w:r>
          <w:t>2.5.12. Determinarea numărului unităţilor de trecere (fluxurilor) de evacuare</w:t>
        </w:r>
        <w:r>
          <w:tab/>
        </w:r>
        <w:r>
          <w:fldChar w:fldCharType="begin"/>
        </w:r>
        <w:r>
          <w:instrText xml:space="preserve"> PAGEREF _Toc9042 \h </w:instrText>
        </w:r>
        <w:r>
          <w:fldChar w:fldCharType="separate"/>
        </w:r>
        <w:r>
          <w:t>184</w:t>
        </w:r>
        <w:r>
          <w:fldChar w:fldCharType="end"/>
        </w:r>
      </w:hyperlink>
    </w:p>
    <w:p w14:paraId="35D27BB3" w14:textId="77777777" w:rsidR="001C08A5" w:rsidRDefault="00000000">
      <w:pPr>
        <w:pStyle w:val="TOC4"/>
        <w:tabs>
          <w:tab w:val="right" w:leader="dot" w:pos="9639"/>
        </w:tabs>
        <w:ind w:left="1200"/>
      </w:pPr>
      <w:hyperlink w:anchor="_Toc12837" w:history="1">
        <w:r>
          <w:t>2.5.13. Determinarea numărului căilor de evacuare</w:t>
        </w:r>
        <w:r>
          <w:tab/>
        </w:r>
        <w:r>
          <w:fldChar w:fldCharType="begin"/>
        </w:r>
        <w:r>
          <w:instrText xml:space="preserve"> PAGEREF _Toc12837 \h </w:instrText>
        </w:r>
        <w:r>
          <w:fldChar w:fldCharType="separate"/>
        </w:r>
        <w:r>
          <w:t>185</w:t>
        </w:r>
        <w:r>
          <w:fldChar w:fldCharType="end"/>
        </w:r>
      </w:hyperlink>
    </w:p>
    <w:p w14:paraId="66E04204" w14:textId="77777777" w:rsidR="001C08A5" w:rsidRDefault="00000000">
      <w:pPr>
        <w:pStyle w:val="TOC4"/>
        <w:tabs>
          <w:tab w:val="right" w:leader="dot" w:pos="9639"/>
        </w:tabs>
        <w:ind w:left="1200"/>
      </w:pPr>
      <w:hyperlink w:anchor="_Toc7890" w:history="1">
        <w:r>
          <w:t>2.5.14. Lungimea căii de evacuare</w:t>
        </w:r>
        <w:r>
          <w:tab/>
        </w:r>
        <w:r>
          <w:fldChar w:fldCharType="begin"/>
        </w:r>
        <w:r>
          <w:instrText xml:space="preserve"> PAGEREF _Toc7890 \h </w:instrText>
        </w:r>
        <w:r>
          <w:fldChar w:fldCharType="separate"/>
        </w:r>
        <w:r>
          <w:t>185</w:t>
        </w:r>
        <w:r>
          <w:fldChar w:fldCharType="end"/>
        </w:r>
      </w:hyperlink>
    </w:p>
    <w:p w14:paraId="445171F0" w14:textId="77777777" w:rsidR="001C08A5" w:rsidRDefault="00000000">
      <w:pPr>
        <w:pStyle w:val="TOC4"/>
        <w:tabs>
          <w:tab w:val="right" w:leader="dot" w:pos="9639"/>
        </w:tabs>
        <w:ind w:left="1200"/>
      </w:pPr>
      <w:hyperlink w:anchor="_Toc1355" w:history="1">
        <w:r>
          <w:t>2.5.15. Gabaritele căilor de evacuare</w:t>
        </w:r>
        <w:r>
          <w:tab/>
        </w:r>
        <w:r>
          <w:fldChar w:fldCharType="begin"/>
        </w:r>
        <w:r>
          <w:instrText xml:space="preserve"> PAGEREF _Toc1355 \h </w:instrText>
        </w:r>
        <w:r>
          <w:fldChar w:fldCharType="separate"/>
        </w:r>
        <w:r>
          <w:t>190</w:t>
        </w:r>
        <w:r>
          <w:fldChar w:fldCharType="end"/>
        </w:r>
      </w:hyperlink>
    </w:p>
    <w:p w14:paraId="038CDFE7" w14:textId="77777777" w:rsidR="001C08A5" w:rsidRDefault="00000000">
      <w:pPr>
        <w:pStyle w:val="TOC5"/>
        <w:tabs>
          <w:tab w:val="right" w:leader="dot" w:pos="9639"/>
        </w:tabs>
        <w:ind w:left="1600"/>
      </w:pPr>
      <w:hyperlink w:anchor="_Toc25934" w:history="1">
        <w:r>
          <w:t>2.5.15.1. Lăţimi normate ale căilor de evacuare</w:t>
        </w:r>
        <w:r>
          <w:tab/>
        </w:r>
        <w:r>
          <w:fldChar w:fldCharType="begin"/>
        </w:r>
        <w:r>
          <w:instrText xml:space="preserve"> PAGEREF _Toc25934 \h </w:instrText>
        </w:r>
        <w:r>
          <w:fldChar w:fldCharType="separate"/>
        </w:r>
        <w:r>
          <w:t>190</w:t>
        </w:r>
        <w:r>
          <w:fldChar w:fldCharType="end"/>
        </w:r>
      </w:hyperlink>
    </w:p>
    <w:p w14:paraId="4E7660FB" w14:textId="77777777" w:rsidR="001C08A5" w:rsidRDefault="00000000">
      <w:pPr>
        <w:pStyle w:val="TOC5"/>
        <w:tabs>
          <w:tab w:val="right" w:leader="dot" w:pos="9639"/>
        </w:tabs>
        <w:ind w:left="1600"/>
      </w:pPr>
      <w:hyperlink w:anchor="_Toc11892" w:history="1">
        <w:r>
          <w:t>2.5.15.2. Înălţimi de trecere pe căile de evacuare</w:t>
        </w:r>
        <w:r>
          <w:tab/>
        </w:r>
        <w:r>
          <w:fldChar w:fldCharType="begin"/>
        </w:r>
        <w:r>
          <w:instrText xml:space="preserve"> PAGEREF _Toc11892 \h </w:instrText>
        </w:r>
        <w:r>
          <w:fldChar w:fldCharType="separate"/>
        </w:r>
        <w:r>
          <w:t>191</w:t>
        </w:r>
        <w:r>
          <w:fldChar w:fldCharType="end"/>
        </w:r>
      </w:hyperlink>
    </w:p>
    <w:p w14:paraId="2E7362A3" w14:textId="77777777" w:rsidR="001C08A5" w:rsidRDefault="00000000">
      <w:pPr>
        <w:pStyle w:val="TOC4"/>
        <w:tabs>
          <w:tab w:val="right" w:leader="dot" w:pos="9639"/>
        </w:tabs>
        <w:ind w:left="1200"/>
      </w:pPr>
      <w:hyperlink w:anchor="_Toc15319" w:history="1">
        <w:r>
          <w:t>2.5.16. Marcarea căilor de evacuare</w:t>
        </w:r>
        <w:r>
          <w:tab/>
        </w:r>
        <w:r>
          <w:fldChar w:fldCharType="begin"/>
        </w:r>
        <w:r>
          <w:instrText xml:space="preserve"> PAGEREF _Toc15319 \h </w:instrText>
        </w:r>
        <w:r>
          <w:fldChar w:fldCharType="separate"/>
        </w:r>
        <w:r>
          <w:t>191</w:t>
        </w:r>
        <w:r>
          <w:fldChar w:fldCharType="end"/>
        </w:r>
      </w:hyperlink>
    </w:p>
    <w:p w14:paraId="1B9BDECF" w14:textId="77777777" w:rsidR="001C08A5" w:rsidRDefault="00000000">
      <w:pPr>
        <w:pStyle w:val="TOC3"/>
        <w:tabs>
          <w:tab w:val="right" w:leader="dot" w:pos="9639"/>
        </w:tabs>
        <w:ind w:left="800"/>
      </w:pPr>
      <w:hyperlink w:anchor="_Toc6734" w:history="1">
        <w:r>
          <w:t>SECŢIUNEA VI</w:t>
        </w:r>
        <w:r>
          <w:tab/>
        </w:r>
        <w:r>
          <w:fldChar w:fldCharType="begin"/>
        </w:r>
        <w:r>
          <w:instrText xml:space="preserve"> PAGEREF _Toc6734 \h </w:instrText>
        </w:r>
        <w:r>
          <w:fldChar w:fldCharType="separate"/>
        </w:r>
        <w:r>
          <w:t>192</w:t>
        </w:r>
        <w:r>
          <w:fldChar w:fldCharType="end"/>
        </w:r>
      </w:hyperlink>
    </w:p>
    <w:p w14:paraId="45BF6BA3" w14:textId="77777777" w:rsidR="001C08A5" w:rsidRDefault="00000000">
      <w:pPr>
        <w:pStyle w:val="TOC3"/>
        <w:tabs>
          <w:tab w:val="right" w:leader="dot" w:pos="9639"/>
        </w:tabs>
        <w:ind w:left="800"/>
      </w:pPr>
      <w:hyperlink w:anchor="_Toc15414" w:history="1">
        <w:r>
          <w:t>2.6. Condiţii de acces, intervenţie și salvare în caz de incendiu</w:t>
        </w:r>
        <w:r>
          <w:tab/>
        </w:r>
        <w:r>
          <w:fldChar w:fldCharType="begin"/>
        </w:r>
        <w:r>
          <w:instrText xml:space="preserve"> PAGEREF _Toc15414 \h </w:instrText>
        </w:r>
        <w:r>
          <w:fldChar w:fldCharType="separate"/>
        </w:r>
        <w:r>
          <w:t>192</w:t>
        </w:r>
        <w:r>
          <w:fldChar w:fldCharType="end"/>
        </w:r>
      </w:hyperlink>
    </w:p>
    <w:p w14:paraId="5B912E25" w14:textId="77777777" w:rsidR="001C08A5" w:rsidRDefault="00000000">
      <w:pPr>
        <w:pStyle w:val="TOC3"/>
        <w:tabs>
          <w:tab w:val="right" w:leader="dot" w:pos="9639"/>
        </w:tabs>
        <w:ind w:left="800"/>
      </w:pPr>
      <w:hyperlink w:anchor="_Toc16570" w:history="1">
        <w:r>
          <w:t>SECŢIUNEA  VII</w:t>
        </w:r>
        <w:r>
          <w:tab/>
        </w:r>
        <w:r>
          <w:fldChar w:fldCharType="begin"/>
        </w:r>
        <w:r>
          <w:instrText xml:space="preserve"> PAGEREF _Toc16570 \h </w:instrText>
        </w:r>
        <w:r>
          <w:fldChar w:fldCharType="separate"/>
        </w:r>
        <w:r>
          <w:t>196</w:t>
        </w:r>
        <w:r>
          <w:fldChar w:fldCharType="end"/>
        </w:r>
      </w:hyperlink>
    </w:p>
    <w:p w14:paraId="6BA42ACA" w14:textId="77777777" w:rsidR="001C08A5" w:rsidRDefault="00000000">
      <w:pPr>
        <w:pStyle w:val="TOC3"/>
        <w:tabs>
          <w:tab w:val="right" w:leader="dot" w:pos="9639"/>
        </w:tabs>
        <w:ind w:left="800"/>
      </w:pPr>
      <w:hyperlink w:anchor="_Toc16360" w:history="1">
        <w:r>
          <w:t>2.7. ECHIPAREA  CONSTRUCŢIILOR  CU  INSTALAŢII  ŞI  MIJLOACE  DE  STINGERE  A  INCENDIILOR,  SERVICIUL  PENTRU  SITUAŢII  DE  URGENŢĂ</w:t>
        </w:r>
        <w:r>
          <w:tab/>
        </w:r>
        <w:r>
          <w:fldChar w:fldCharType="begin"/>
        </w:r>
        <w:r>
          <w:instrText xml:space="preserve"> PAGEREF _Toc16360 \h </w:instrText>
        </w:r>
        <w:r>
          <w:fldChar w:fldCharType="separate"/>
        </w:r>
        <w:r>
          <w:t>196</w:t>
        </w:r>
        <w:r>
          <w:fldChar w:fldCharType="end"/>
        </w:r>
      </w:hyperlink>
    </w:p>
    <w:p w14:paraId="140A7010" w14:textId="77777777" w:rsidR="001C08A5" w:rsidRDefault="00000000">
      <w:pPr>
        <w:pStyle w:val="TOC1"/>
        <w:tabs>
          <w:tab w:val="right" w:leader="dot" w:pos="9639"/>
        </w:tabs>
      </w:pPr>
      <w:hyperlink w:anchor="_Toc31197" w:history="1">
        <w:r>
          <w:t>CAPITOLUL 3</w:t>
        </w:r>
        <w:r>
          <w:tab/>
        </w:r>
        <w:r>
          <w:fldChar w:fldCharType="begin"/>
        </w:r>
        <w:r>
          <w:instrText xml:space="preserve"> PAGEREF _Toc31197 \h </w:instrText>
        </w:r>
        <w:r>
          <w:fldChar w:fldCharType="separate"/>
        </w:r>
        <w:r>
          <w:t>197</w:t>
        </w:r>
        <w:r>
          <w:fldChar w:fldCharType="end"/>
        </w:r>
      </w:hyperlink>
    </w:p>
    <w:p w14:paraId="6F79BFD8" w14:textId="77777777" w:rsidR="001C08A5" w:rsidRDefault="00000000">
      <w:pPr>
        <w:pStyle w:val="TOC2"/>
        <w:tabs>
          <w:tab w:val="right" w:leader="dot" w:pos="9639"/>
        </w:tabs>
        <w:ind w:left="400"/>
      </w:pPr>
      <w:hyperlink w:anchor="_Toc7788" w:history="1">
        <w:r>
          <w:t>3. PERFORMANŢE SPECIFICE UNOR FUNCŢIUNI ALE CONSTRUCŢIILOR CIVILE SUPRATERANE CU ÎNĂLŢIMI OBIŞNUITE</w:t>
        </w:r>
        <w:r>
          <w:tab/>
        </w:r>
        <w:r>
          <w:fldChar w:fldCharType="begin"/>
        </w:r>
        <w:r>
          <w:instrText xml:space="preserve"> PAGEREF _Toc7788 \h </w:instrText>
        </w:r>
        <w:r>
          <w:fldChar w:fldCharType="separate"/>
        </w:r>
        <w:r>
          <w:t>197</w:t>
        </w:r>
        <w:r>
          <w:fldChar w:fldCharType="end"/>
        </w:r>
      </w:hyperlink>
    </w:p>
    <w:p w14:paraId="2CC1BDDA" w14:textId="77777777" w:rsidR="001C08A5" w:rsidRDefault="00000000">
      <w:pPr>
        <w:pStyle w:val="TOC3"/>
        <w:tabs>
          <w:tab w:val="right" w:leader="dot" w:pos="9639"/>
        </w:tabs>
        <w:ind w:left="800"/>
      </w:pPr>
      <w:hyperlink w:anchor="_Toc10670" w:history="1">
        <w:r>
          <w:t>SECŢIUNEA I</w:t>
        </w:r>
        <w:r>
          <w:tab/>
        </w:r>
        <w:r>
          <w:fldChar w:fldCharType="begin"/>
        </w:r>
        <w:r>
          <w:instrText xml:space="preserve"> PAGEREF _Toc10670 \h </w:instrText>
        </w:r>
        <w:r>
          <w:fldChar w:fldCharType="separate"/>
        </w:r>
        <w:r>
          <w:t>197</w:t>
        </w:r>
        <w:r>
          <w:fldChar w:fldCharType="end"/>
        </w:r>
      </w:hyperlink>
    </w:p>
    <w:p w14:paraId="1F9D1BC1" w14:textId="77777777" w:rsidR="001C08A5" w:rsidRDefault="00000000">
      <w:pPr>
        <w:pStyle w:val="TOC3"/>
        <w:tabs>
          <w:tab w:val="right" w:leader="dot" w:pos="9639"/>
        </w:tabs>
        <w:ind w:left="800"/>
      </w:pPr>
      <w:hyperlink w:anchor="_Toc10548" w:history="1">
        <w:r>
          <w:t>3.1. Dispoziţii comune</w:t>
        </w:r>
        <w:r>
          <w:tab/>
        </w:r>
        <w:r>
          <w:fldChar w:fldCharType="begin"/>
        </w:r>
        <w:r>
          <w:instrText xml:space="preserve"> PAGEREF _Toc10548 \h </w:instrText>
        </w:r>
        <w:r>
          <w:fldChar w:fldCharType="separate"/>
        </w:r>
        <w:r>
          <w:t>197</w:t>
        </w:r>
        <w:r>
          <w:fldChar w:fldCharType="end"/>
        </w:r>
      </w:hyperlink>
    </w:p>
    <w:p w14:paraId="693E807F" w14:textId="77777777" w:rsidR="001C08A5" w:rsidRDefault="00000000">
      <w:pPr>
        <w:pStyle w:val="TOC4"/>
        <w:tabs>
          <w:tab w:val="right" w:leader="dot" w:pos="9639"/>
        </w:tabs>
        <w:ind w:left="1200"/>
      </w:pPr>
      <w:hyperlink w:anchor="_Toc6320" w:history="1">
        <w:r>
          <w:t>3.1.1. Condiţii generale de performanţă a construcţiilor (risc de incendiu, nivel de stabilitate la incendiu)</w:t>
        </w:r>
        <w:r>
          <w:tab/>
        </w:r>
        <w:r>
          <w:fldChar w:fldCharType="begin"/>
        </w:r>
        <w:r>
          <w:instrText xml:space="preserve"> PAGEREF _Toc6320 \h </w:instrText>
        </w:r>
        <w:r>
          <w:fldChar w:fldCharType="separate"/>
        </w:r>
        <w:r>
          <w:t>197</w:t>
        </w:r>
        <w:r>
          <w:fldChar w:fldCharType="end"/>
        </w:r>
      </w:hyperlink>
    </w:p>
    <w:p w14:paraId="1DD4699F" w14:textId="77777777" w:rsidR="001C08A5" w:rsidRDefault="00000000">
      <w:pPr>
        <w:pStyle w:val="TOC4"/>
        <w:tabs>
          <w:tab w:val="right" w:leader="dot" w:pos="9639"/>
        </w:tabs>
        <w:ind w:left="1200"/>
      </w:pPr>
      <w:hyperlink w:anchor="_Toc5847" w:history="1">
        <w:r>
          <w:t>3.1.2. Amplasarea şi conformarea construcţiilor</w:t>
        </w:r>
        <w:r>
          <w:tab/>
        </w:r>
        <w:r>
          <w:fldChar w:fldCharType="begin"/>
        </w:r>
        <w:r>
          <w:instrText xml:space="preserve"> PAGEREF _Toc5847 \h </w:instrText>
        </w:r>
        <w:r>
          <w:fldChar w:fldCharType="separate"/>
        </w:r>
        <w:r>
          <w:t>197</w:t>
        </w:r>
        <w:r>
          <w:fldChar w:fldCharType="end"/>
        </w:r>
      </w:hyperlink>
    </w:p>
    <w:p w14:paraId="78E4B84C" w14:textId="77777777" w:rsidR="001C08A5" w:rsidRDefault="00000000">
      <w:pPr>
        <w:pStyle w:val="TOC4"/>
        <w:tabs>
          <w:tab w:val="right" w:leader="dot" w:pos="9639"/>
        </w:tabs>
        <w:ind w:left="1200"/>
      </w:pPr>
      <w:hyperlink w:anchor="_Toc30877" w:history="1">
        <w:r>
          <w:t>3.1.3. LIMITAREA PROPAGĂRII INCENDIILOR</w:t>
        </w:r>
        <w:r>
          <w:tab/>
        </w:r>
        <w:r>
          <w:fldChar w:fldCharType="begin"/>
        </w:r>
        <w:r>
          <w:instrText xml:space="preserve"> PAGEREF _Toc30877 \h </w:instrText>
        </w:r>
        <w:r>
          <w:fldChar w:fldCharType="separate"/>
        </w:r>
        <w:r>
          <w:t>204</w:t>
        </w:r>
        <w:r>
          <w:fldChar w:fldCharType="end"/>
        </w:r>
      </w:hyperlink>
    </w:p>
    <w:p w14:paraId="797F3D02" w14:textId="77777777" w:rsidR="001C08A5" w:rsidRDefault="00000000">
      <w:pPr>
        <w:pStyle w:val="TOC3"/>
        <w:tabs>
          <w:tab w:val="right" w:leader="dot" w:pos="9639"/>
        </w:tabs>
        <w:ind w:left="800"/>
      </w:pPr>
      <w:hyperlink w:anchor="_Toc14475" w:history="1">
        <w:r>
          <w:t>3.1.4. Alcătuiri constructive</w:t>
        </w:r>
        <w:r>
          <w:tab/>
        </w:r>
        <w:r>
          <w:fldChar w:fldCharType="begin"/>
        </w:r>
        <w:r>
          <w:instrText xml:space="preserve"> PAGEREF _Toc14475 \h </w:instrText>
        </w:r>
        <w:r>
          <w:fldChar w:fldCharType="separate"/>
        </w:r>
        <w:r>
          <w:t>207</w:t>
        </w:r>
        <w:r>
          <w:fldChar w:fldCharType="end"/>
        </w:r>
      </w:hyperlink>
    </w:p>
    <w:p w14:paraId="21546A3E" w14:textId="77777777" w:rsidR="001C08A5" w:rsidRDefault="00000000">
      <w:pPr>
        <w:pStyle w:val="TOC4"/>
        <w:tabs>
          <w:tab w:val="right" w:leader="dot" w:pos="9639"/>
        </w:tabs>
        <w:ind w:left="1200"/>
      </w:pPr>
      <w:hyperlink w:anchor="_Toc10019" w:history="1">
        <w:r>
          <w:t>3.1.5. Căi de evacuare a utilizatorilor în caz de incendiu</w:t>
        </w:r>
        <w:r>
          <w:tab/>
        </w:r>
        <w:r>
          <w:fldChar w:fldCharType="begin"/>
        </w:r>
        <w:r>
          <w:instrText xml:space="preserve"> PAGEREF _Toc10019 \h </w:instrText>
        </w:r>
        <w:r>
          <w:fldChar w:fldCharType="separate"/>
        </w:r>
        <w:r>
          <w:t>212</w:t>
        </w:r>
        <w:r>
          <w:fldChar w:fldCharType="end"/>
        </w:r>
      </w:hyperlink>
    </w:p>
    <w:p w14:paraId="3E7C9162" w14:textId="77777777" w:rsidR="001C08A5" w:rsidRDefault="00000000">
      <w:pPr>
        <w:pStyle w:val="TOC4"/>
        <w:tabs>
          <w:tab w:val="right" w:leader="dot" w:pos="9639"/>
        </w:tabs>
        <w:ind w:left="1200"/>
      </w:pPr>
      <w:hyperlink w:anchor="_Toc27509" w:history="1">
        <w:r>
          <w:t>3.1.6. Condiţii de acces, intervenţie și salvare în caz de incendiu</w:t>
        </w:r>
        <w:r>
          <w:tab/>
        </w:r>
        <w:r>
          <w:fldChar w:fldCharType="begin"/>
        </w:r>
        <w:r>
          <w:instrText xml:space="preserve"> PAGEREF _Toc27509 \h </w:instrText>
        </w:r>
        <w:r>
          <w:fldChar w:fldCharType="separate"/>
        </w:r>
        <w:r>
          <w:t>214</w:t>
        </w:r>
        <w:r>
          <w:fldChar w:fldCharType="end"/>
        </w:r>
      </w:hyperlink>
    </w:p>
    <w:p w14:paraId="4BE233AB" w14:textId="77777777" w:rsidR="001C08A5" w:rsidRDefault="00000000">
      <w:pPr>
        <w:pStyle w:val="TOC4"/>
        <w:tabs>
          <w:tab w:val="right" w:leader="dot" w:pos="9639"/>
        </w:tabs>
        <w:ind w:left="1200"/>
      </w:pPr>
      <w:hyperlink w:anchor="_Toc26996" w:history="1">
        <w:r>
          <w:t>3.1.7. ECHIPAREA CONSTRUCŢIILOR CU INSTALAŢII ŞI ALTE MIJLOACE DE STINGERE A INCENDIILOR</w:t>
        </w:r>
        <w:r>
          <w:tab/>
        </w:r>
        <w:r>
          <w:fldChar w:fldCharType="begin"/>
        </w:r>
        <w:r>
          <w:instrText xml:space="preserve"> PAGEREF _Toc26996 \h </w:instrText>
        </w:r>
        <w:r>
          <w:fldChar w:fldCharType="separate"/>
        </w:r>
        <w:r>
          <w:t>215</w:t>
        </w:r>
        <w:r>
          <w:fldChar w:fldCharType="end"/>
        </w:r>
      </w:hyperlink>
    </w:p>
    <w:p w14:paraId="3FE50382" w14:textId="77777777" w:rsidR="001C08A5" w:rsidRDefault="00000000">
      <w:pPr>
        <w:pStyle w:val="TOC3"/>
        <w:tabs>
          <w:tab w:val="right" w:leader="dot" w:pos="9639"/>
        </w:tabs>
        <w:ind w:left="800"/>
      </w:pPr>
      <w:hyperlink w:anchor="_Toc1905" w:history="1">
        <w:r>
          <w:t>SECŢIUNEA II</w:t>
        </w:r>
        <w:r>
          <w:tab/>
        </w:r>
        <w:r>
          <w:fldChar w:fldCharType="begin"/>
        </w:r>
        <w:r>
          <w:instrText xml:space="preserve"> PAGEREF _Toc1905 \h </w:instrText>
        </w:r>
        <w:r>
          <w:fldChar w:fldCharType="separate"/>
        </w:r>
        <w:r>
          <w:t>215</w:t>
        </w:r>
        <w:r>
          <w:fldChar w:fldCharType="end"/>
        </w:r>
      </w:hyperlink>
    </w:p>
    <w:p w14:paraId="4FC46AA4" w14:textId="77777777" w:rsidR="001C08A5" w:rsidRDefault="00000000">
      <w:pPr>
        <w:pStyle w:val="TOC3"/>
        <w:tabs>
          <w:tab w:val="right" w:leader="dot" w:pos="9639"/>
        </w:tabs>
        <w:ind w:left="800"/>
      </w:pPr>
      <w:hyperlink w:anchor="_Toc28589" w:history="1">
        <w:r>
          <w:t>3.2. Performanţe specifice</w:t>
        </w:r>
        <w:r>
          <w:tab/>
        </w:r>
        <w:r>
          <w:fldChar w:fldCharType="begin"/>
        </w:r>
        <w:r>
          <w:instrText xml:space="preserve"> PAGEREF _Toc28589 \h </w:instrText>
        </w:r>
        <w:r>
          <w:fldChar w:fldCharType="separate"/>
        </w:r>
        <w:r>
          <w:t>215</w:t>
        </w:r>
        <w:r>
          <w:fldChar w:fldCharType="end"/>
        </w:r>
      </w:hyperlink>
    </w:p>
    <w:p w14:paraId="3D3BFC4E" w14:textId="77777777" w:rsidR="001C08A5" w:rsidRDefault="00000000">
      <w:pPr>
        <w:pStyle w:val="TOC4"/>
        <w:tabs>
          <w:tab w:val="right" w:leader="dot" w:pos="9639"/>
        </w:tabs>
        <w:ind w:left="1200"/>
      </w:pPr>
      <w:hyperlink w:anchor="_Toc4375" w:history="1">
        <w:r>
          <w:t>3.2.1. Clădiri de locuit supraterane</w:t>
        </w:r>
        <w:r>
          <w:tab/>
        </w:r>
        <w:r>
          <w:fldChar w:fldCharType="begin"/>
        </w:r>
        <w:r>
          <w:instrText xml:space="preserve"> PAGEREF _Toc4375 \h </w:instrText>
        </w:r>
        <w:r>
          <w:fldChar w:fldCharType="separate"/>
        </w:r>
        <w:r>
          <w:t>215</w:t>
        </w:r>
        <w:r>
          <w:fldChar w:fldCharType="end"/>
        </w:r>
      </w:hyperlink>
    </w:p>
    <w:p w14:paraId="414B174D" w14:textId="77777777" w:rsidR="001C08A5" w:rsidRDefault="00000000">
      <w:pPr>
        <w:pStyle w:val="TOC4"/>
        <w:tabs>
          <w:tab w:val="right" w:leader="dot" w:pos="9639"/>
        </w:tabs>
        <w:ind w:left="1200"/>
      </w:pPr>
      <w:hyperlink w:anchor="_Toc31852" w:history="1">
        <w:r>
          <w:t>3.2.2. Clădiri administrative supraterane</w:t>
        </w:r>
        <w:r>
          <w:tab/>
        </w:r>
        <w:r>
          <w:fldChar w:fldCharType="begin"/>
        </w:r>
        <w:r>
          <w:instrText xml:space="preserve"> PAGEREF _Toc31852 \h </w:instrText>
        </w:r>
        <w:r>
          <w:fldChar w:fldCharType="separate"/>
        </w:r>
        <w:r>
          <w:t>220</w:t>
        </w:r>
        <w:r>
          <w:fldChar w:fldCharType="end"/>
        </w:r>
      </w:hyperlink>
    </w:p>
    <w:p w14:paraId="78C9AC14" w14:textId="77777777" w:rsidR="001C08A5" w:rsidRDefault="00000000">
      <w:pPr>
        <w:pStyle w:val="TOC4"/>
        <w:tabs>
          <w:tab w:val="right" w:leader="dot" w:pos="9639"/>
        </w:tabs>
        <w:ind w:left="1200"/>
      </w:pPr>
      <w:hyperlink w:anchor="_Toc29154" w:history="1">
        <w:r>
          <w:t>3.2.3. Clădiri pentru comerţ supraterane</w:t>
        </w:r>
        <w:r>
          <w:tab/>
        </w:r>
        <w:r>
          <w:fldChar w:fldCharType="begin"/>
        </w:r>
        <w:r>
          <w:instrText xml:space="preserve"> PAGEREF _Toc29154 \h </w:instrText>
        </w:r>
        <w:r>
          <w:fldChar w:fldCharType="separate"/>
        </w:r>
        <w:r>
          <w:t>225</w:t>
        </w:r>
        <w:r>
          <w:fldChar w:fldCharType="end"/>
        </w:r>
      </w:hyperlink>
    </w:p>
    <w:p w14:paraId="6BDB6390" w14:textId="77777777" w:rsidR="001C08A5" w:rsidRDefault="00000000">
      <w:pPr>
        <w:pStyle w:val="TOC4"/>
        <w:tabs>
          <w:tab w:val="right" w:leader="dot" w:pos="9639"/>
        </w:tabs>
        <w:ind w:left="1200"/>
      </w:pPr>
      <w:hyperlink w:anchor="_Toc14481" w:history="1">
        <w:r>
          <w:t>3.2.4. Clădiri pentru sănătate supraterane</w:t>
        </w:r>
        <w:r>
          <w:tab/>
        </w:r>
        <w:r>
          <w:fldChar w:fldCharType="begin"/>
        </w:r>
        <w:r>
          <w:instrText xml:space="preserve"> PAGEREF _Toc14481 \h </w:instrText>
        </w:r>
        <w:r>
          <w:fldChar w:fldCharType="separate"/>
        </w:r>
        <w:r>
          <w:t>231</w:t>
        </w:r>
        <w:r>
          <w:fldChar w:fldCharType="end"/>
        </w:r>
      </w:hyperlink>
    </w:p>
    <w:p w14:paraId="5A878585" w14:textId="77777777" w:rsidR="001C08A5" w:rsidRDefault="00000000">
      <w:pPr>
        <w:pStyle w:val="TOC4"/>
        <w:tabs>
          <w:tab w:val="right" w:leader="dot" w:pos="9639"/>
        </w:tabs>
        <w:ind w:left="1200"/>
      </w:pPr>
      <w:hyperlink w:anchor="_Toc18174" w:history="1">
        <w:r>
          <w:t>3.2.5. Clădiri pentru cultură supraterane</w:t>
        </w:r>
        <w:r>
          <w:tab/>
        </w:r>
        <w:r>
          <w:fldChar w:fldCharType="begin"/>
        </w:r>
        <w:r>
          <w:instrText xml:space="preserve"> PAGEREF _Toc18174 \h </w:instrText>
        </w:r>
        <w:r>
          <w:fldChar w:fldCharType="separate"/>
        </w:r>
        <w:r>
          <w:t>238</w:t>
        </w:r>
        <w:r>
          <w:fldChar w:fldCharType="end"/>
        </w:r>
      </w:hyperlink>
    </w:p>
    <w:p w14:paraId="1C1A230C" w14:textId="77777777" w:rsidR="001C08A5" w:rsidRDefault="00000000">
      <w:pPr>
        <w:pStyle w:val="TOC4"/>
        <w:tabs>
          <w:tab w:val="right" w:leader="dot" w:pos="9639"/>
        </w:tabs>
        <w:ind w:left="1200"/>
      </w:pPr>
      <w:hyperlink w:anchor="_Toc11579" w:history="1">
        <w:r>
          <w:t>3.2.6. Clădiri pentru învăţământ supraterane</w:t>
        </w:r>
        <w:r>
          <w:tab/>
        </w:r>
        <w:r>
          <w:fldChar w:fldCharType="begin"/>
        </w:r>
        <w:r>
          <w:instrText xml:space="preserve"> PAGEREF _Toc11579 \h </w:instrText>
        </w:r>
        <w:r>
          <w:fldChar w:fldCharType="separate"/>
        </w:r>
        <w:r>
          <w:t>241</w:t>
        </w:r>
        <w:r>
          <w:fldChar w:fldCharType="end"/>
        </w:r>
      </w:hyperlink>
    </w:p>
    <w:p w14:paraId="31BF5422" w14:textId="77777777" w:rsidR="001C08A5" w:rsidRDefault="00000000">
      <w:pPr>
        <w:pStyle w:val="TOC4"/>
        <w:tabs>
          <w:tab w:val="right" w:leader="dot" w:pos="9639"/>
        </w:tabs>
        <w:ind w:left="1200"/>
      </w:pPr>
      <w:hyperlink w:anchor="_Toc23335" w:history="1">
        <w:r>
          <w:t>3.2.7. Clădiri pentru turism supraterane</w:t>
        </w:r>
        <w:r>
          <w:tab/>
        </w:r>
        <w:r>
          <w:fldChar w:fldCharType="begin"/>
        </w:r>
        <w:r>
          <w:instrText xml:space="preserve"> PAGEREF _Toc23335 \h </w:instrText>
        </w:r>
        <w:r>
          <w:fldChar w:fldCharType="separate"/>
        </w:r>
        <w:r>
          <w:t>245</w:t>
        </w:r>
        <w:r>
          <w:fldChar w:fldCharType="end"/>
        </w:r>
      </w:hyperlink>
    </w:p>
    <w:p w14:paraId="140B6EDA" w14:textId="77777777" w:rsidR="001C08A5" w:rsidRDefault="00000000">
      <w:pPr>
        <w:pStyle w:val="TOC4"/>
        <w:tabs>
          <w:tab w:val="right" w:leader="dot" w:pos="9639"/>
        </w:tabs>
        <w:ind w:left="1200"/>
      </w:pPr>
      <w:hyperlink w:anchor="_Toc21727" w:history="1">
        <w:r>
          <w:t>3.2.8. Clădirile de cult supraterane</w:t>
        </w:r>
        <w:r>
          <w:tab/>
        </w:r>
        <w:r>
          <w:fldChar w:fldCharType="begin"/>
        </w:r>
        <w:r>
          <w:instrText xml:space="preserve"> PAGEREF _Toc21727 \h </w:instrText>
        </w:r>
        <w:r>
          <w:fldChar w:fldCharType="separate"/>
        </w:r>
        <w:r>
          <w:t>247</w:t>
        </w:r>
        <w:r>
          <w:fldChar w:fldCharType="end"/>
        </w:r>
      </w:hyperlink>
    </w:p>
    <w:p w14:paraId="15A85426" w14:textId="77777777" w:rsidR="001C08A5" w:rsidRDefault="00000000">
      <w:pPr>
        <w:pStyle w:val="TOC4"/>
        <w:tabs>
          <w:tab w:val="right" w:leader="dot" w:pos="9639"/>
        </w:tabs>
        <w:ind w:left="1200"/>
      </w:pPr>
      <w:hyperlink w:anchor="_Toc76" w:history="1">
        <w:r>
          <w:t>3.2.9. Clădiri de sport supraterane</w:t>
        </w:r>
        <w:r>
          <w:tab/>
        </w:r>
        <w:r>
          <w:fldChar w:fldCharType="begin"/>
        </w:r>
        <w:r>
          <w:instrText xml:space="preserve"> PAGEREF _Toc76 \h </w:instrText>
        </w:r>
        <w:r>
          <w:fldChar w:fldCharType="separate"/>
        </w:r>
        <w:r>
          <w:t>249</w:t>
        </w:r>
        <w:r>
          <w:fldChar w:fldCharType="end"/>
        </w:r>
      </w:hyperlink>
    </w:p>
    <w:p w14:paraId="75B0FD0F" w14:textId="77777777" w:rsidR="001C08A5" w:rsidRDefault="00000000">
      <w:pPr>
        <w:pStyle w:val="TOC4"/>
        <w:tabs>
          <w:tab w:val="right" w:leader="dot" w:pos="9639"/>
        </w:tabs>
        <w:ind w:left="1200"/>
      </w:pPr>
      <w:hyperlink w:anchor="_Toc25368" w:history="1">
        <w:r>
          <w:t>3.2.10. Construcţii civile supraterane, montane sau din Delta Dunării, amplasate izolat</w:t>
        </w:r>
        <w:r>
          <w:tab/>
        </w:r>
        <w:r>
          <w:fldChar w:fldCharType="begin"/>
        </w:r>
        <w:r>
          <w:instrText xml:space="preserve"> PAGEREF _Toc25368 \h </w:instrText>
        </w:r>
        <w:r>
          <w:fldChar w:fldCharType="separate"/>
        </w:r>
        <w:r>
          <w:t>251</w:t>
        </w:r>
        <w:r>
          <w:fldChar w:fldCharType="end"/>
        </w:r>
      </w:hyperlink>
    </w:p>
    <w:p w14:paraId="21E91EB0" w14:textId="77777777" w:rsidR="001C08A5" w:rsidRDefault="00000000">
      <w:pPr>
        <w:pStyle w:val="TOC4"/>
        <w:tabs>
          <w:tab w:val="right" w:leader="dot" w:pos="9639"/>
        </w:tabs>
        <w:ind w:left="1200"/>
      </w:pPr>
      <w:hyperlink w:anchor="_Toc12012" w:history="1">
        <w:r>
          <w:t>3.2.11. Parcaje pentru autoturisme</w:t>
        </w:r>
        <w:r>
          <w:tab/>
        </w:r>
        <w:r>
          <w:fldChar w:fldCharType="begin"/>
        </w:r>
        <w:r>
          <w:instrText xml:space="preserve"> PAGEREF _Toc12012 \h </w:instrText>
        </w:r>
        <w:r>
          <w:fldChar w:fldCharType="separate"/>
        </w:r>
        <w:r>
          <w:t>254</w:t>
        </w:r>
        <w:r>
          <w:fldChar w:fldCharType="end"/>
        </w:r>
      </w:hyperlink>
    </w:p>
    <w:p w14:paraId="074B11B2" w14:textId="77777777" w:rsidR="001C08A5" w:rsidRDefault="00000000">
      <w:pPr>
        <w:pStyle w:val="TOC3"/>
        <w:tabs>
          <w:tab w:val="right" w:leader="dot" w:pos="9639"/>
        </w:tabs>
        <w:ind w:left="800"/>
      </w:pPr>
      <w:hyperlink w:anchor="_Toc22470" w:history="1">
        <w:r>
          <w:t>SECŢIUNEA III</w:t>
        </w:r>
        <w:r>
          <w:tab/>
        </w:r>
        <w:r>
          <w:fldChar w:fldCharType="begin"/>
        </w:r>
        <w:r>
          <w:instrText xml:space="preserve"> PAGEREF _Toc22470 \h </w:instrText>
        </w:r>
        <w:r>
          <w:fldChar w:fldCharType="separate"/>
        </w:r>
        <w:r>
          <w:t>262</w:t>
        </w:r>
        <w:r>
          <w:fldChar w:fldCharType="end"/>
        </w:r>
      </w:hyperlink>
    </w:p>
    <w:p w14:paraId="65F27F47" w14:textId="77777777" w:rsidR="001C08A5" w:rsidRDefault="00000000">
      <w:pPr>
        <w:pStyle w:val="TOC3"/>
        <w:tabs>
          <w:tab w:val="right" w:leader="dot" w:pos="9639"/>
        </w:tabs>
        <w:ind w:left="800"/>
      </w:pPr>
      <w:hyperlink w:anchor="_Toc23743" w:history="1">
        <w:r>
          <w:t>3.3. Construcţii  şi  Amenajări  în  aer  liber  cu  destinaţii  civile</w:t>
        </w:r>
        <w:r>
          <w:tab/>
        </w:r>
        <w:r>
          <w:fldChar w:fldCharType="begin"/>
        </w:r>
        <w:r>
          <w:instrText xml:space="preserve"> PAGEREF _Toc23743 \h </w:instrText>
        </w:r>
        <w:r>
          <w:fldChar w:fldCharType="separate"/>
        </w:r>
        <w:r>
          <w:t>262</w:t>
        </w:r>
        <w:r>
          <w:fldChar w:fldCharType="end"/>
        </w:r>
      </w:hyperlink>
    </w:p>
    <w:p w14:paraId="2309A7AD" w14:textId="77777777" w:rsidR="001C08A5" w:rsidRDefault="00000000">
      <w:pPr>
        <w:pStyle w:val="TOC4"/>
        <w:tabs>
          <w:tab w:val="right" w:leader="dot" w:pos="9639"/>
        </w:tabs>
        <w:ind w:left="1200"/>
      </w:pPr>
      <w:hyperlink w:anchor="_Toc29455" w:history="1">
        <w:r>
          <w:t>3.3.1. Dispoziţii generale</w:t>
        </w:r>
        <w:r>
          <w:tab/>
        </w:r>
        <w:r>
          <w:fldChar w:fldCharType="begin"/>
        </w:r>
        <w:r>
          <w:instrText xml:space="preserve"> PAGEREF _Toc29455 \h </w:instrText>
        </w:r>
        <w:r>
          <w:fldChar w:fldCharType="separate"/>
        </w:r>
        <w:r>
          <w:t>262</w:t>
        </w:r>
        <w:r>
          <w:fldChar w:fldCharType="end"/>
        </w:r>
      </w:hyperlink>
    </w:p>
    <w:p w14:paraId="44726C5E" w14:textId="77777777" w:rsidR="001C08A5" w:rsidRDefault="00000000">
      <w:pPr>
        <w:pStyle w:val="TOC4"/>
        <w:tabs>
          <w:tab w:val="right" w:leader="dot" w:pos="9639"/>
        </w:tabs>
        <w:ind w:left="1200"/>
      </w:pPr>
      <w:hyperlink w:anchor="_Toc25592" w:history="1">
        <w:r>
          <w:t>3.3.2. Stadioane, arene sportive</w:t>
        </w:r>
        <w:r>
          <w:tab/>
        </w:r>
        <w:r>
          <w:fldChar w:fldCharType="begin"/>
        </w:r>
        <w:r>
          <w:instrText xml:space="preserve"> PAGEREF _Toc25592 \h </w:instrText>
        </w:r>
        <w:r>
          <w:fldChar w:fldCharType="separate"/>
        </w:r>
        <w:r>
          <w:t>262</w:t>
        </w:r>
        <w:r>
          <w:fldChar w:fldCharType="end"/>
        </w:r>
      </w:hyperlink>
    </w:p>
    <w:p w14:paraId="74B427CA" w14:textId="77777777" w:rsidR="001C08A5" w:rsidRDefault="00000000">
      <w:pPr>
        <w:pStyle w:val="TOC4"/>
        <w:tabs>
          <w:tab w:val="right" w:leader="dot" w:pos="9639"/>
        </w:tabs>
        <w:ind w:left="1200"/>
      </w:pPr>
      <w:hyperlink w:anchor="_Toc30686" w:history="1">
        <w:r>
          <w:t>3.3.4. Campinguri</w:t>
        </w:r>
        <w:r>
          <w:tab/>
        </w:r>
        <w:r>
          <w:fldChar w:fldCharType="begin"/>
        </w:r>
        <w:r>
          <w:instrText xml:space="preserve"> PAGEREF _Toc30686 \h </w:instrText>
        </w:r>
        <w:r>
          <w:fldChar w:fldCharType="separate"/>
        </w:r>
        <w:r>
          <w:t>268</w:t>
        </w:r>
        <w:r>
          <w:fldChar w:fldCharType="end"/>
        </w:r>
      </w:hyperlink>
    </w:p>
    <w:p w14:paraId="3E6761D3" w14:textId="77777777" w:rsidR="001C08A5" w:rsidRDefault="00000000">
      <w:pPr>
        <w:pStyle w:val="TOC1"/>
        <w:tabs>
          <w:tab w:val="right" w:leader="dot" w:pos="9639"/>
        </w:tabs>
      </w:pPr>
      <w:hyperlink w:anchor="_Toc26396" w:history="1">
        <w:r>
          <w:t>CAPITOLUL 4</w:t>
        </w:r>
        <w:r>
          <w:tab/>
        </w:r>
        <w:r>
          <w:fldChar w:fldCharType="begin"/>
        </w:r>
        <w:r>
          <w:instrText xml:space="preserve"> PAGEREF _Toc26396 \h </w:instrText>
        </w:r>
        <w:r>
          <w:fldChar w:fldCharType="separate"/>
        </w:r>
        <w:r>
          <w:t>269</w:t>
        </w:r>
        <w:r>
          <w:fldChar w:fldCharType="end"/>
        </w:r>
      </w:hyperlink>
    </w:p>
    <w:p w14:paraId="1F20B5CB" w14:textId="77777777" w:rsidR="001C08A5" w:rsidRDefault="00000000">
      <w:pPr>
        <w:pStyle w:val="TOC2"/>
        <w:tabs>
          <w:tab w:val="right" w:leader="dot" w:pos="9639"/>
        </w:tabs>
        <w:ind w:left="400"/>
      </w:pPr>
      <w:hyperlink w:anchor="_Toc29434" w:history="1">
        <w:r>
          <w:t>4. PERFORMANŢE  SPECIFICE  CLĂDIRILOR  CIVILE  SUPRATERANE ÎNALTE,  FOARTE  ÎNALTE  SAU  CU  SĂLI  AGLOMERATE</w:t>
        </w:r>
        <w:r>
          <w:tab/>
        </w:r>
        <w:r>
          <w:fldChar w:fldCharType="begin"/>
        </w:r>
        <w:r>
          <w:instrText xml:space="preserve"> PAGEREF _Toc29434 \h </w:instrText>
        </w:r>
        <w:r>
          <w:fldChar w:fldCharType="separate"/>
        </w:r>
        <w:r>
          <w:t>269</w:t>
        </w:r>
        <w:r>
          <w:fldChar w:fldCharType="end"/>
        </w:r>
      </w:hyperlink>
    </w:p>
    <w:p w14:paraId="44EAF3EE" w14:textId="77777777" w:rsidR="001C08A5" w:rsidRDefault="00000000">
      <w:pPr>
        <w:pStyle w:val="TOC3"/>
        <w:tabs>
          <w:tab w:val="right" w:leader="dot" w:pos="9639"/>
        </w:tabs>
        <w:ind w:left="800"/>
      </w:pPr>
      <w:hyperlink w:anchor="_Toc3232" w:history="1">
        <w:r>
          <w:t>SECŢIUNEA I</w:t>
        </w:r>
        <w:r>
          <w:tab/>
        </w:r>
        <w:r>
          <w:fldChar w:fldCharType="begin"/>
        </w:r>
        <w:r>
          <w:instrText xml:space="preserve"> PAGEREF _Toc3232 \h </w:instrText>
        </w:r>
        <w:r>
          <w:fldChar w:fldCharType="separate"/>
        </w:r>
        <w:r>
          <w:t>269</w:t>
        </w:r>
        <w:r>
          <w:fldChar w:fldCharType="end"/>
        </w:r>
      </w:hyperlink>
    </w:p>
    <w:p w14:paraId="049CBA5F" w14:textId="77777777" w:rsidR="001C08A5" w:rsidRDefault="00000000">
      <w:pPr>
        <w:pStyle w:val="TOC3"/>
        <w:tabs>
          <w:tab w:val="right" w:leader="dot" w:pos="9639"/>
        </w:tabs>
        <w:ind w:left="800"/>
      </w:pPr>
      <w:hyperlink w:anchor="_Toc6599" w:history="1">
        <w:r>
          <w:t>4.1. Clădiri  civile  supraterane  înalte</w:t>
        </w:r>
        <w:r>
          <w:tab/>
        </w:r>
        <w:r>
          <w:fldChar w:fldCharType="begin"/>
        </w:r>
        <w:r>
          <w:instrText xml:space="preserve"> PAGEREF _Toc6599 \h </w:instrText>
        </w:r>
        <w:r>
          <w:fldChar w:fldCharType="separate"/>
        </w:r>
        <w:r>
          <w:t>269</w:t>
        </w:r>
        <w:r>
          <w:fldChar w:fldCharType="end"/>
        </w:r>
      </w:hyperlink>
    </w:p>
    <w:p w14:paraId="0BA677E0" w14:textId="77777777" w:rsidR="001C08A5" w:rsidRDefault="00000000">
      <w:pPr>
        <w:pStyle w:val="TOC4"/>
        <w:tabs>
          <w:tab w:val="right" w:leader="dot" w:pos="9639"/>
        </w:tabs>
        <w:ind w:left="1200"/>
      </w:pPr>
      <w:hyperlink w:anchor="_Toc10320" w:history="1">
        <w:r>
          <w:t>4.1.1. CONDIŢII GENERALE DE PERFORMANŢĂ A CONSTRUCŢIILOR (RISC DE INCENDIU, NIVEL DE STABILITATE LA INCENDIU)</w:t>
        </w:r>
        <w:r>
          <w:tab/>
        </w:r>
        <w:r>
          <w:fldChar w:fldCharType="begin"/>
        </w:r>
        <w:r>
          <w:instrText xml:space="preserve"> PAGEREF _Toc10320 \h </w:instrText>
        </w:r>
        <w:r>
          <w:fldChar w:fldCharType="separate"/>
        </w:r>
        <w:r>
          <w:t>269</w:t>
        </w:r>
        <w:r>
          <w:fldChar w:fldCharType="end"/>
        </w:r>
      </w:hyperlink>
    </w:p>
    <w:p w14:paraId="0C518A0B" w14:textId="77777777" w:rsidR="001C08A5" w:rsidRDefault="00000000">
      <w:pPr>
        <w:pStyle w:val="TOC4"/>
        <w:tabs>
          <w:tab w:val="right" w:leader="dot" w:pos="9639"/>
        </w:tabs>
        <w:ind w:left="1200"/>
      </w:pPr>
      <w:hyperlink w:anchor="_Toc2297" w:history="1">
        <w:r>
          <w:t>4.1.2. AMPLASAREA ŞI CONFORMAREA CONSTRUCŢIILOR</w:t>
        </w:r>
        <w:r>
          <w:tab/>
        </w:r>
        <w:r>
          <w:fldChar w:fldCharType="begin"/>
        </w:r>
        <w:r>
          <w:instrText xml:space="preserve"> PAGEREF _Toc2297 \h </w:instrText>
        </w:r>
        <w:r>
          <w:fldChar w:fldCharType="separate"/>
        </w:r>
        <w:r>
          <w:t>269</w:t>
        </w:r>
        <w:r>
          <w:fldChar w:fldCharType="end"/>
        </w:r>
      </w:hyperlink>
    </w:p>
    <w:p w14:paraId="2F298E48" w14:textId="77777777" w:rsidR="001C08A5" w:rsidRDefault="00000000">
      <w:pPr>
        <w:pStyle w:val="TOC4"/>
        <w:tabs>
          <w:tab w:val="right" w:leader="dot" w:pos="9639"/>
        </w:tabs>
        <w:ind w:left="1200"/>
      </w:pPr>
      <w:hyperlink w:anchor="_Toc16212" w:history="1">
        <w:r>
          <w:t>4.1.3. LIMITAREA PROPAGĂRII INCENDIILOR</w:t>
        </w:r>
        <w:r>
          <w:tab/>
        </w:r>
        <w:r>
          <w:fldChar w:fldCharType="begin"/>
        </w:r>
        <w:r>
          <w:instrText xml:space="preserve"> PAGEREF _Toc16212 \h </w:instrText>
        </w:r>
        <w:r>
          <w:fldChar w:fldCharType="separate"/>
        </w:r>
        <w:r>
          <w:t>270</w:t>
        </w:r>
        <w:r>
          <w:fldChar w:fldCharType="end"/>
        </w:r>
      </w:hyperlink>
    </w:p>
    <w:p w14:paraId="6844222A" w14:textId="77777777" w:rsidR="001C08A5" w:rsidRDefault="00000000">
      <w:pPr>
        <w:pStyle w:val="TOC4"/>
        <w:tabs>
          <w:tab w:val="right" w:leader="dot" w:pos="9639"/>
        </w:tabs>
        <w:ind w:left="1200"/>
      </w:pPr>
      <w:hyperlink w:anchor="_Toc25659" w:history="1">
        <w:r>
          <w:t>4.1.4. ALCĂTUIRI CONSTRUCTIVE ALE ELEMENTELOR DE CONSTRUCŢIE</w:t>
        </w:r>
        <w:r>
          <w:tab/>
        </w:r>
        <w:r>
          <w:fldChar w:fldCharType="begin"/>
        </w:r>
        <w:r>
          <w:instrText xml:space="preserve"> PAGEREF _Toc25659 \h </w:instrText>
        </w:r>
        <w:r>
          <w:fldChar w:fldCharType="separate"/>
        </w:r>
        <w:r>
          <w:t>273</w:t>
        </w:r>
        <w:r>
          <w:fldChar w:fldCharType="end"/>
        </w:r>
      </w:hyperlink>
    </w:p>
    <w:p w14:paraId="18DFA670" w14:textId="77777777" w:rsidR="001C08A5" w:rsidRDefault="00000000">
      <w:pPr>
        <w:pStyle w:val="TOC4"/>
        <w:tabs>
          <w:tab w:val="right" w:leader="dot" w:pos="9639"/>
        </w:tabs>
        <w:ind w:left="1200"/>
      </w:pPr>
      <w:hyperlink w:anchor="_Toc21" w:history="1">
        <w:r>
          <w:t>4.1.5. CĂI DE EVACUARE A UTILIZATORILOR ÎN CAZ DE INCENDIU</w:t>
        </w:r>
        <w:r>
          <w:tab/>
        </w:r>
        <w:r>
          <w:fldChar w:fldCharType="begin"/>
        </w:r>
        <w:r>
          <w:instrText xml:space="preserve"> PAGEREF _Toc21 \h </w:instrText>
        </w:r>
        <w:r>
          <w:fldChar w:fldCharType="separate"/>
        </w:r>
        <w:r>
          <w:t>280</w:t>
        </w:r>
        <w:r>
          <w:fldChar w:fldCharType="end"/>
        </w:r>
      </w:hyperlink>
    </w:p>
    <w:p w14:paraId="5700CFDB" w14:textId="77777777" w:rsidR="001C08A5" w:rsidRDefault="00000000">
      <w:pPr>
        <w:pStyle w:val="TOC4"/>
        <w:tabs>
          <w:tab w:val="right" w:leader="dot" w:pos="9639"/>
        </w:tabs>
        <w:ind w:left="1200"/>
      </w:pPr>
      <w:hyperlink w:anchor="_Toc9610" w:history="1">
        <w:r>
          <w:t>4.1.6. CONDIŢII DE ACCES, INTERVENŢIE și SALVARE ÎN CAZ DE INCENDIU</w:t>
        </w:r>
        <w:r>
          <w:tab/>
        </w:r>
        <w:r>
          <w:fldChar w:fldCharType="begin"/>
        </w:r>
        <w:r>
          <w:instrText xml:space="preserve"> PAGEREF _Toc9610 \h </w:instrText>
        </w:r>
        <w:r>
          <w:fldChar w:fldCharType="separate"/>
        </w:r>
        <w:r>
          <w:t>283</w:t>
        </w:r>
        <w:r>
          <w:fldChar w:fldCharType="end"/>
        </w:r>
      </w:hyperlink>
    </w:p>
    <w:p w14:paraId="5532F51A" w14:textId="77777777" w:rsidR="001C08A5" w:rsidRDefault="00000000">
      <w:pPr>
        <w:pStyle w:val="TOC4"/>
        <w:tabs>
          <w:tab w:val="right" w:leader="dot" w:pos="9639"/>
        </w:tabs>
        <w:ind w:left="1200"/>
      </w:pPr>
      <w:hyperlink w:anchor="_Toc16397" w:history="1">
        <w:r>
          <w:t>4.1.7. ECHIPAREA CONSTRUCŢIILOR CU INSTALAŢII ŞI MIJLOACE DE STINGERE A INCENDIILOR</w:t>
        </w:r>
        <w:r>
          <w:tab/>
        </w:r>
        <w:r>
          <w:fldChar w:fldCharType="begin"/>
        </w:r>
        <w:r>
          <w:instrText xml:space="preserve"> PAGEREF _Toc16397 \h </w:instrText>
        </w:r>
        <w:r>
          <w:fldChar w:fldCharType="separate"/>
        </w:r>
        <w:r>
          <w:t>283</w:t>
        </w:r>
        <w:r>
          <w:fldChar w:fldCharType="end"/>
        </w:r>
      </w:hyperlink>
    </w:p>
    <w:p w14:paraId="1EF1B98B" w14:textId="77777777" w:rsidR="001C08A5" w:rsidRDefault="00000000">
      <w:pPr>
        <w:pStyle w:val="TOC3"/>
        <w:tabs>
          <w:tab w:val="right" w:leader="dot" w:pos="9639"/>
        </w:tabs>
        <w:ind w:left="800"/>
      </w:pPr>
      <w:hyperlink w:anchor="_Toc11790" w:history="1">
        <w:r>
          <w:t>SECŢIUNEA II</w:t>
        </w:r>
        <w:r>
          <w:tab/>
        </w:r>
        <w:r>
          <w:fldChar w:fldCharType="begin"/>
        </w:r>
        <w:r>
          <w:instrText xml:space="preserve"> PAGEREF _Toc11790 \h </w:instrText>
        </w:r>
        <w:r>
          <w:fldChar w:fldCharType="separate"/>
        </w:r>
        <w:r>
          <w:t>283</w:t>
        </w:r>
        <w:r>
          <w:fldChar w:fldCharType="end"/>
        </w:r>
      </w:hyperlink>
    </w:p>
    <w:p w14:paraId="3A67CDD5" w14:textId="77777777" w:rsidR="001C08A5" w:rsidRDefault="00000000">
      <w:pPr>
        <w:pStyle w:val="TOC3"/>
        <w:tabs>
          <w:tab w:val="right" w:leader="dot" w:pos="9639"/>
        </w:tabs>
        <w:ind w:left="800"/>
      </w:pPr>
      <w:hyperlink w:anchor="_Toc29106" w:history="1">
        <w:r>
          <w:t>4.2. Clădiri civile supraterane foarte înalte</w:t>
        </w:r>
        <w:r>
          <w:tab/>
        </w:r>
        <w:r>
          <w:fldChar w:fldCharType="begin"/>
        </w:r>
        <w:r>
          <w:instrText xml:space="preserve"> PAGEREF _Toc29106 \h </w:instrText>
        </w:r>
        <w:r>
          <w:fldChar w:fldCharType="separate"/>
        </w:r>
        <w:r>
          <w:t>283</w:t>
        </w:r>
        <w:r>
          <w:fldChar w:fldCharType="end"/>
        </w:r>
      </w:hyperlink>
    </w:p>
    <w:p w14:paraId="3B503108" w14:textId="77777777" w:rsidR="001C08A5" w:rsidRDefault="00000000">
      <w:pPr>
        <w:pStyle w:val="TOC4"/>
        <w:tabs>
          <w:tab w:val="right" w:leader="dot" w:pos="9639"/>
        </w:tabs>
        <w:ind w:left="1200"/>
      </w:pPr>
      <w:hyperlink w:anchor="_Toc17506" w:history="1">
        <w:r>
          <w:t>4.2.1. CONDIŢII COMUNE DE PERFORMANŢĂ A CONSTRUCŢIILOR (RISC DE INCENDIU,  NIVEL DE STABILITATE LA INCENDIU AL CONSTRUCŢIEI)</w:t>
        </w:r>
        <w:r>
          <w:tab/>
        </w:r>
        <w:r>
          <w:fldChar w:fldCharType="begin"/>
        </w:r>
        <w:r>
          <w:instrText xml:space="preserve"> PAGEREF _Toc17506 \h </w:instrText>
        </w:r>
        <w:r>
          <w:fldChar w:fldCharType="separate"/>
        </w:r>
        <w:r>
          <w:t>283</w:t>
        </w:r>
        <w:r>
          <w:fldChar w:fldCharType="end"/>
        </w:r>
      </w:hyperlink>
    </w:p>
    <w:p w14:paraId="0E75D2C8" w14:textId="77777777" w:rsidR="001C08A5" w:rsidRDefault="00000000">
      <w:pPr>
        <w:pStyle w:val="TOC4"/>
        <w:tabs>
          <w:tab w:val="right" w:leader="dot" w:pos="9639"/>
        </w:tabs>
        <w:ind w:left="1200"/>
      </w:pPr>
      <w:hyperlink w:anchor="_Toc31212" w:history="1">
        <w:r>
          <w:t>4.2.2. AMPLASAREA ŞI CONFORMAREA CONSTRUCŢIILOR</w:t>
        </w:r>
        <w:r>
          <w:tab/>
        </w:r>
        <w:r>
          <w:fldChar w:fldCharType="begin"/>
        </w:r>
        <w:r>
          <w:instrText xml:space="preserve"> PAGEREF _Toc31212 \h </w:instrText>
        </w:r>
        <w:r>
          <w:fldChar w:fldCharType="separate"/>
        </w:r>
        <w:r>
          <w:t>283</w:t>
        </w:r>
        <w:r>
          <w:fldChar w:fldCharType="end"/>
        </w:r>
      </w:hyperlink>
    </w:p>
    <w:p w14:paraId="5923F216" w14:textId="77777777" w:rsidR="001C08A5" w:rsidRDefault="00000000">
      <w:pPr>
        <w:pStyle w:val="TOC4"/>
        <w:tabs>
          <w:tab w:val="right" w:leader="dot" w:pos="9639"/>
        </w:tabs>
        <w:ind w:left="1200"/>
      </w:pPr>
      <w:hyperlink w:anchor="_Toc30645" w:history="1">
        <w:r>
          <w:t>4.2.3. LIMITAREA PROPAGĂRII INCENDIILOR</w:t>
        </w:r>
        <w:r>
          <w:tab/>
        </w:r>
        <w:r>
          <w:fldChar w:fldCharType="begin"/>
        </w:r>
        <w:r>
          <w:instrText xml:space="preserve"> PAGEREF _Toc30645 \h </w:instrText>
        </w:r>
        <w:r>
          <w:fldChar w:fldCharType="separate"/>
        </w:r>
        <w:r>
          <w:t>284</w:t>
        </w:r>
        <w:r>
          <w:fldChar w:fldCharType="end"/>
        </w:r>
      </w:hyperlink>
    </w:p>
    <w:p w14:paraId="530B0F02" w14:textId="77777777" w:rsidR="001C08A5" w:rsidRDefault="00000000">
      <w:pPr>
        <w:pStyle w:val="TOC4"/>
        <w:tabs>
          <w:tab w:val="right" w:leader="dot" w:pos="9639"/>
        </w:tabs>
        <w:ind w:left="1200"/>
      </w:pPr>
      <w:hyperlink w:anchor="_Toc23230" w:history="1">
        <w:r>
          <w:t>4.2.4. ALCĂTUIRI CONSTRUCTIVE ALE ELEMENTELOR DE CONSTRUCŢIE</w:t>
        </w:r>
        <w:r>
          <w:tab/>
        </w:r>
        <w:r>
          <w:fldChar w:fldCharType="begin"/>
        </w:r>
        <w:r>
          <w:instrText xml:space="preserve"> PAGEREF _Toc23230 \h </w:instrText>
        </w:r>
        <w:r>
          <w:fldChar w:fldCharType="separate"/>
        </w:r>
        <w:r>
          <w:t>288</w:t>
        </w:r>
        <w:r>
          <w:fldChar w:fldCharType="end"/>
        </w:r>
      </w:hyperlink>
    </w:p>
    <w:p w14:paraId="6A4B9179" w14:textId="77777777" w:rsidR="001C08A5" w:rsidRDefault="00000000">
      <w:pPr>
        <w:pStyle w:val="TOC4"/>
        <w:tabs>
          <w:tab w:val="right" w:leader="dot" w:pos="9639"/>
        </w:tabs>
        <w:ind w:left="1200"/>
      </w:pPr>
      <w:hyperlink w:anchor="_Toc20570" w:history="1">
        <w:r>
          <w:t>4.2.5. CĂI DE EVACUARE A UTILIZATORILOR ÎN CAZ DE INCENDIU</w:t>
        </w:r>
        <w:r>
          <w:tab/>
        </w:r>
        <w:r>
          <w:fldChar w:fldCharType="begin"/>
        </w:r>
        <w:r>
          <w:instrText xml:space="preserve"> PAGEREF _Toc20570 \h </w:instrText>
        </w:r>
        <w:r>
          <w:fldChar w:fldCharType="separate"/>
        </w:r>
        <w:r>
          <w:t>296</w:t>
        </w:r>
        <w:r>
          <w:fldChar w:fldCharType="end"/>
        </w:r>
      </w:hyperlink>
    </w:p>
    <w:p w14:paraId="7018AF50" w14:textId="77777777" w:rsidR="001C08A5" w:rsidRDefault="00000000">
      <w:pPr>
        <w:pStyle w:val="TOC4"/>
        <w:tabs>
          <w:tab w:val="right" w:leader="dot" w:pos="9639"/>
        </w:tabs>
        <w:ind w:left="1200"/>
      </w:pPr>
      <w:hyperlink w:anchor="_Toc24846" w:history="1">
        <w:r>
          <w:t>4.2.6. CONDIŢII DE ACCES, INTERVENŢIE ȘI SALVARE ÎN CAZ DE INCENDIU</w:t>
        </w:r>
        <w:r>
          <w:tab/>
        </w:r>
        <w:r>
          <w:fldChar w:fldCharType="begin"/>
        </w:r>
        <w:r>
          <w:instrText xml:space="preserve"> PAGEREF _Toc24846 \h </w:instrText>
        </w:r>
        <w:r>
          <w:fldChar w:fldCharType="separate"/>
        </w:r>
        <w:r>
          <w:t>299</w:t>
        </w:r>
        <w:r>
          <w:fldChar w:fldCharType="end"/>
        </w:r>
      </w:hyperlink>
    </w:p>
    <w:p w14:paraId="7E0A8087" w14:textId="77777777" w:rsidR="001C08A5" w:rsidRDefault="00000000">
      <w:pPr>
        <w:pStyle w:val="TOC4"/>
        <w:tabs>
          <w:tab w:val="right" w:leader="dot" w:pos="9639"/>
        </w:tabs>
        <w:ind w:left="1200"/>
      </w:pPr>
      <w:hyperlink w:anchor="_Toc29898" w:history="1">
        <w:r>
          <w:t>4.2.7. ECHIPAREA CONSTRUCŢIILOR CU INSTALAŢII ŞI MIJLOACE DE STINGERE A INCENDIILOR</w:t>
        </w:r>
        <w:r>
          <w:tab/>
        </w:r>
        <w:r>
          <w:fldChar w:fldCharType="begin"/>
        </w:r>
        <w:r>
          <w:instrText xml:space="preserve"> PAGEREF _Toc29898 \h </w:instrText>
        </w:r>
        <w:r>
          <w:fldChar w:fldCharType="separate"/>
        </w:r>
        <w:r>
          <w:t>299</w:t>
        </w:r>
        <w:r>
          <w:fldChar w:fldCharType="end"/>
        </w:r>
      </w:hyperlink>
    </w:p>
    <w:p w14:paraId="73F1AD9B" w14:textId="77777777" w:rsidR="001C08A5" w:rsidRDefault="00000000">
      <w:pPr>
        <w:pStyle w:val="TOC3"/>
        <w:tabs>
          <w:tab w:val="right" w:leader="dot" w:pos="9639"/>
        </w:tabs>
        <w:ind w:left="800"/>
      </w:pPr>
      <w:hyperlink w:anchor="_Toc25908" w:history="1">
        <w:r>
          <w:t>SECŢIUNEA III</w:t>
        </w:r>
        <w:r>
          <w:tab/>
        </w:r>
        <w:r>
          <w:fldChar w:fldCharType="begin"/>
        </w:r>
        <w:r>
          <w:instrText xml:space="preserve"> PAGEREF _Toc25908 \h </w:instrText>
        </w:r>
        <w:r>
          <w:fldChar w:fldCharType="separate"/>
        </w:r>
        <w:r>
          <w:t>299</w:t>
        </w:r>
        <w:r>
          <w:fldChar w:fldCharType="end"/>
        </w:r>
      </w:hyperlink>
    </w:p>
    <w:p w14:paraId="199E092C" w14:textId="77777777" w:rsidR="001C08A5" w:rsidRDefault="00000000">
      <w:pPr>
        <w:pStyle w:val="TOC3"/>
        <w:tabs>
          <w:tab w:val="right" w:leader="dot" w:pos="9639"/>
        </w:tabs>
        <w:ind w:left="800"/>
      </w:pPr>
      <w:hyperlink w:anchor="_Toc20133" w:history="1">
        <w:r>
          <w:t>4.3. Clădiri civile cu săli aglomerate</w:t>
        </w:r>
        <w:r>
          <w:tab/>
        </w:r>
        <w:r>
          <w:fldChar w:fldCharType="begin"/>
        </w:r>
        <w:r>
          <w:instrText xml:space="preserve"> PAGEREF _Toc20133 \h </w:instrText>
        </w:r>
        <w:r>
          <w:fldChar w:fldCharType="separate"/>
        </w:r>
        <w:r>
          <w:t>299</w:t>
        </w:r>
        <w:r>
          <w:fldChar w:fldCharType="end"/>
        </w:r>
      </w:hyperlink>
    </w:p>
    <w:p w14:paraId="5ED2AC2F" w14:textId="77777777" w:rsidR="001C08A5" w:rsidRDefault="00000000">
      <w:pPr>
        <w:pStyle w:val="TOC4"/>
        <w:tabs>
          <w:tab w:val="right" w:leader="dot" w:pos="9639"/>
        </w:tabs>
        <w:ind w:left="1200"/>
      </w:pPr>
      <w:hyperlink w:anchor="_Toc32392" w:history="1">
        <w:r>
          <w:t>4.3.1. CONDIŢII COMUNE DE PERFORMANŢĂ A CONSTRUCŢIILOR (Risc de incendiu,  Nivel de stabilitate la incendiu al construcţiei)</w:t>
        </w:r>
        <w:r>
          <w:tab/>
        </w:r>
        <w:r>
          <w:fldChar w:fldCharType="begin"/>
        </w:r>
        <w:r>
          <w:instrText xml:space="preserve"> PAGEREF _Toc32392 \h </w:instrText>
        </w:r>
        <w:r>
          <w:fldChar w:fldCharType="separate"/>
        </w:r>
        <w:r>
          <w:t>299</w:t>
        </w:r>
        <w:r>
          <w:fldChar w:fldCharType="end"/>
        </w:r>
      </w:hyperlink>
    </w:p>
    <w:p w14:paraId="532460B0" w14:textId="77777777" w:rsidR="001C08A5" w:rsidRDefault="00000000">
      <w:pPr>
        <w:pStyle w:val="TOC4"/>
        <w:tabs>
          <w:tab w:val="right" w:leader="dot" w:pos="9639"/>
        </w:tabs>
        <w:ind w:left="1200"/>
      </w:pPr>
      <w:hyperlink w:anchor="_Toc15279" w:history="1">
        <w:r>
          <w:t>4.3.2. - AMPLASAREA și CONFORMAREA CLĂDIRILOR</w:t>
        </w:r>
        <w:r>
          <w:tab/>
        </w:r>
        <w:r>
          <w:fldChar w:fldCharType="begin"/>
        </w:r>
        <w:r>
          <w:instrText xml:space="preserve"> PAGEREF _Toc15279 \h </w:instrText>
        </w:r>
        <w:r>
          <w:fldChar w:fldCharType="separate"/>
        </w:r>
        <w:r>
          <w:t>300</w:t>
        </w:r>
        <w:r>
          <w:fldChar w:fldCharType="end"/>
        </w:r>
      </w:hyperlink>
    </w:p>
    <w:p w14:paraId="359E2312" w14:textId="77777777" w:rsidR="001C08A5" w:rsidRDefault="00000000">
      <w:pPr>
        <w:pStyle w:val="TOC4"/>
        <w:tabs>
          <w:tab w:val="right" w:leader="dot" w:pos="9639"/>
        </w:tabs>
        <w:ind w:left="1200"/>
      </w:pPr>
      <w:hyperlink w:anchor="_Toc17328" w:history="1">
        <w:r>
          <w:t>4.3.3. LIMITAREA PROPAGĂRII INCENDIILOR</w:t>
        </w:r>
        <w:r>
          <w:tab/>
        </w:r>
        <w:r>
          <w:fldChar w:fldCharType="begin"/>
        </w:r>
        <w:r>
          <w:instrText xml:space="preserve"> PAGEREF _Toc17328 \h </w:instrText>
        </w:r>
        <w:r>
          <w:fldChar w:fldCharType="separate"/>
        </w:r>
        <w:r>
          <w:t>302</w:t>
        </w:r>
        <w:r>
          <w:fldChar w:fldCharType="end"/>
        </w:r>
      </w:hyperlink>
    </w:p>
    <w:p w14:paraId="0EB428EF" w14:textId="77777777" w:rsidR="001C08A5" w:rsidRDefault="00000000">
      <w:pPr>
        <w:pStyle w:val="TOC4"/>
        <w:tabs>
          <w:tab w:val="right" w:leader="dot" w:pos="9639"/>
        </w:tabs>
        <w:ind w:left="1200"/>
      </w:pPr>
      <w:hyperlink w:anchor="_Toc32674" w:history="1">
        <w:r>
          <w:t>4.3.4. ALCĂTUIRI CONSTRUCTIVE</w:t>
        </w:r>
        <w:r>
          <w:tab/>
        </w:r>
        <w:r>
          <w:fldChar w:fldCharType="begin"/>
        </w:r>
        <w:r>
          <w:instrText xml:space="preserve"> PAGEREF _Toc32674 \h </w:instrText>
        </w:r>
        <w:r>
          <w:fldChar w:fldCharType="separate"/>
        </w:r>
        <w:r>
          <w:t>303</w:t>
        </w:r>
        <w:r>
          <w:fldChar w:fldCharType="end"/>
        </w:r>
      </w:hyperlink>
    </w:p>
    <w:p w14:paraId="3092FF90" w14:textId="77777777" w:rsidR="001C08A5" w:rsidRDefault="00000000">
      <w:pPr>
        <w:pStyle w:val="TOC5"/>
        <w:tabs>
          <w:tab w:val="right" w:leader="dot" w:pos="9639"/>
        </w:tabs>
        <w:ind w:left="1600"/>
      </w:pPr>
      <w:hyperlink w:anchor="_Toc24216" w:history="1">
        <w:r>
          <w:t>4.3.4.1. Prevederi generale</w:t>
        </w:r>
        <w:r>
          <w:tab/>
        </w:r>
        <w:r>
          <w:fldChar w:fldCharType="begin"/>
        </w:r>
        <w:r>
          <w:instrText xml:space="preserve"> PAGEREF _Toc24216 \h </w:instrText>
        </w:r>
        <w:r>
          <w:fldChar w:fldCharType="separate"/>
        </w:r>
        <w:r>
          <w:t>303</w:t>
        </w:r>
        <w:r>
          <w:fldChar w:fldCharType="end"/>
        </w:r>
      </w:hyperlink>
    </w:p>
    <w:p w14:paraId="12630DA2" w14:textId="77777777" w:rsidR="001C08A5" w:rsidRDefault="00000000">
      <w:pPr>
        <w:pStyle w:val="TOC5"/>
        <w:tabs>
          <w:tab w:val="right" w:leader="dot" w:pos="9639"/>
        </w:tabs>
        <w:ind w:left="1600"/>
      </w:pPr>
      <w:hyperlink w:anchor="_Toc32211" w:history="1">
        <w:r>
          <w:t>4.3.4.2. Dispoziţii specifice</w:t>
        </w:r>
        <w:r>
          <w:tab/>
        </w:r>
        <w:r>
          <w:fldChar w:fldCharType="begin"/>
        </w:r>
        <w:r>
          <w:instrText xml:space="preserve"> PAGEREF _Toc32211 \h </w:instrText>
        </w:r>
        <w:r>
          <w:fldChar w:fldCharType="separate"/>
        </w:r>
        <w:r>
          <w:t>304</w:t>
        </w:r>
        <w:r>
          <w:fldChar w:fldCharType="end"/>
        </w:r>
      </w:hyperlink>
    </w:p>
    <w:p w14:paraId="7D0EBCEA" w14:textId="77777777" w:rsidR="001C08A5" w:rsidRDefault="00000000">
      <w:pPr>
        <w:pStyle w:val="TOC4"/>
        <w:tabs>
          <w:tab w:val="right" w:leader="dot" w:pos="9639"/>
        </w:tabs>
        <w:ind w:left="1200"/>
      </w:pPr>
      <w:hyperlink w:anchor="_Toc23181" w:history="1">
        <w:r>
          <w:t>4.3.5. CĂI DE EVACUARE A UTILIZATORILOR ÎN CAZ DE INCENDIU</w:t>
        </w:r>
        <w:r>
          <w:tab/>
        </w:r>
        <w:r>
          <w:fldChar w:fldCharType="begin"/>
        </w:r>
        <w:r>
          <w:instrText xml:space="preserve"> PAGEREF _Toc23181 \h </w:instrText>
        </w:r>
        <w:r>
          <w:fldChar w:fldCharType="separate"/>
        </w:r>
        <w:r>
          <w:t>306</w:t>
        </w:r>
        <w:r>
          <w:fldChar w:fldCharType="end"/>
        </w:r>
      </w:hyperlink>
    </w:p>
    <w:p w14:paraId="39725EA2" w14:textId="77777777" w:rsidR="001C08A5" w:rsidRDefault="00000000">
      <w:pPr>
        <w:pStyle w:val="TOC4"/>
        <w:tabs>
          <w:tab w:val="right" w:leader="dot" w:pos="9639"/>
        </w:tabs>
        <w:ind w:left="1200"/>
      </w:pPr>
      <w:hyperlink w:anchor="_Toc7101" w:history="1">
        <w:r>
          <w:t>4.3.6. CONDIŢII DE ACCES, INTERVENŢIE ȘI SALVARE ÎN CAZ DE INCENDIU</w:t>
        </w:r>
        <w:r>
          <w:tab/>
        </w:r>
        <w:r>
          <w:fldChar w:fldCharType="begin"/>
        </w:r>
        <w:r>
          <w:instrText xml:space="preserve"> PAGEREF _Toc7101 \h </w:instrText>
        </w:r>
        <w:r>
          <w:fldChar w:fldCharType="separate"/>
        </w:r>
        <w:r>
          <w:t>313</w:t>
        </w:r>
        <w:r>
          <w:fldChar w:fldCharType="end"/>
        </w:r>
      </w:hyperlink>
    </w:p>
    <w:p w14:paraId="73A54FFB" w14:textId="77777777" w:rsidR="001C08A5" w:rsidRDefault="00000000">
      <w:pPr>
        <w:pStyle w:val="TOC4"/>
        <w:tabs>
          <w:tab w:val="right" w:leader="dot" w:pos="9639"/>
        </w:tabs>
        <w:ind w:left="1200"/>
      </w:pPr>
      <w:hyperlink w:anchor="_Toc9466" w:history="1">
        <w:r>
          <w:t>4.3.7. ECHIPAREA CONSTRUCŢIILOR CU INSTALAŢII ŞI MIJLOACE DE STINGERE A INCENDIILOR</w:t>
        </w:r>
        <w:r>
          <w:tab/>
        </w:r>
        <w:r>
          <w:fldChar w:fldCharType="begin"/>
        </w:r>
        <w:r>
          <w:instrText xml:space="preserve"> PAGEREF _Toc9466 \h </w:instrText>
        </w:r>
        <w:r>
          <w:fldChar w:fldCharType="separate"/>
        </w:r>
        <w:r>
          <w:t>313</w:t>
        </w:r>
        <w:r>
          <w:fldChar w:fldCharType="end"/>
        </w:r>
      </w:hyperlink>
    </w:p>
    <w:p w14:paraId="27FA35F0" w14:textId="77777777" w:rsidR="001C08A5" w:rsidRDefault="00000000">
      <w:pPr>
        <w:pStyle w:val="TOC1"/>
        <w:tabs>
          <w:tab w:val="right" w:leader="dot" w:pos="9639"/>
        </w:tabs>
      </w:pPr>
      <w:hyperlink w:anchor="_Toc11000" w:history="1">
        <w:r>
          <w:t>CAPITOLUL 5</w:t>
        </w:r>
        <w:r>
          <w:tab/>
        </w:r>
        <w:r>
          <w:fldChar w:fldCharType="begin"/>
        </w:r>
        <w:r>
          <w:instrText xml:space="preserve"> PAGEREF _Toc11000 \h </w:instrText>
        </w:r>
        <w:r>
          <w:fldChar w:fldCharType="separate"/>
        </w:r>
        <w:r>
          <w:t>314</w:t>
        </w:r>
        <w:r>
          <w:fldChar w:fldCharType="end"/>
        </w:r>
      </w:hyperlink>
    </w:p>
    <w:p w14:paraId="44F40570" w14:textId="77777777" w:rsidR="001C08A5" w:rsidRDefault="00000000">
      <w:pPr>
        <w:pStyle w:val="TOC2"/>
        <w:tabs>
          <w:tab w:val="right" w:leader="dot" w:pos="9639"/>
        </w:tabs>
        <w:ind w:left="400"/>
      </w:pPr>
      <w:hyperlink w:anchor="_Toc15263" w:history="1">
        <w:r>
          <w:t xml:space="preserve">5. PERFORMANŢE SPECIFICE CLĂDIRILOR CIVILE SUBTERANE ȘI </w:t>
        </w:r>
        <w:r>
          <w:rPr>
            <w:szCs w:val="36"/>
          </w:rPr>
          <w:t>PORŢIUNILOR SUBTERANE (SUBSOLURILOR) ALE CLĂDIRILOR CIVILE (PUBLICE) SUPRATERANE</w:t>
        </w:r>
        <w:r>
          <w:tab/>
        </w:r>
        <w:r>
          <w:fldChar w:fldCharType="begin"/>
        </w:r>
        <w:r>
          <w:instrText xml:space="preserve"> PAGEREF _Toc15263 \h </w:instrText>
        </w:r>
        <w:r>
          <w:fldChar w:fldCharType="separate"/>
        </w:r>
        <w:r>
          <w:t>314</w:t>
        </w:r>
        <w:r>
          <w:fldChar w:fldCharType="end"/>
        </w:r>
      </w:hyperlink>
    </w:p>
    <w:p w14:paraId="60817DF1" w14:textId="77777777" w:rsidR="001C08A5" w:rsidRDefault="00000000">
      <w:pPr>
        <w:pStyle w:val="TOC3"/>
        <w:tabs>
          <w:tab w:val="right" w:leader="dot" w:pos="9639"/>
        </w:tabs>
        <w:ind w:left="800"/>
      </w:pPr>
      <w:hyperlink w:anchor="_Toc14995" w:history="1">
        <w:r>
          <w:t>5.1. CONDIŢII COMUNE DE PERFORMANŢĂ A CONSTRUCŢIILOR (Risc de incendiu şi Nivel de stabilitate la incendiu al construcţiei)</w:t>
        </w:r>
        <w:r>
          <w:tab/>
        </w:r>
        <w:r>
          <w:fldChar w:fldCharType="begin"/>
        </w:r>
        <w:r>
          <w:instrText xml:space="preserve"> PAGEREF _Toc14995 \h </w:instrText>
        </w:r>
        <w:r>
          <w:fldChar w:fldCharType="separate"/>
        </w:r>
        <w:r>
          <w:t>314</w:t>
        </w:r>
        <w:r>
          <w:fldChar w:fldCharType="end"/>
        </w:r>
      </w:hyperlink>
    </w:p>
    <w:p w14:paraId="62C961BD" w14:textId="77777777" w:rsidR="001C08A5" w:rsidRDefault="00000000">
      <w:pPr>
        <w:pStyle w:val="TOC3"/>
        <w:tabs>
          <w:tab w:val="right" w:leader="dot" w:pos="9639"/>
        </w:tabs>
        <w:ind w:left="800"/>
      </w:pPr>
      <w:hyperlink w:anchor="_Toc7255" w:history="1">
        <w:r>
          <w:t>5.2. AMPLASAREA și CONFORMAREA CONSTRUCŢIILOR</w:t>
        </w:r>
        <w:r>
          <w:tab/>
        </w:r>
        <w:r>
          <w:fldChar w:fldCharType="begin"/>
        </w:r>
        <w:r>
          <w:instrText xml:space="preserve"> PAGEREF _Toc7255 \h </w:instrText>
        </w:r>
        <w:r>
          <w:fldChar w:fldCharType="separate"/>
        </w:r>
        <w:r>
          <w:t>314</w:t>
        </w:r>
        <w:r>
          <w:fldChar w:fldCharType="end"/>
        </w:r>
      </w:hyperlink>
    </w:p>
    <w:p w14:paraId="62B76BAC" w14:textId="77777777" w:rsidR="001C08A5" w:rsidRDefault="00000000">
      <w:pPr>
        <w:pStyle w:val="TOC3"/>
        <w:tabs>
          <w:tab w:val="right" w:leader="dot" w:pos="9639"/>
        </w:tabs>
        <w:ind w:left="800"/>
      </w:pPr>
      <w:hyperlink w:anchor="_Toc26707" w:history="1">
        <w:r>
          <w:t>5.3.  LIMITAREA PROPAGĂRII INCENDIILOR</w:t>
        </w:r>
        <w:r>
          <w:tab/>
        </w:r>
        <w:r>
          <w:fldChar w:fldCharType="begin"/>
        </w:r>
        <w:r>
          <w:instrText xml:space="preserve"> PAGEREF _Toc26707 \h </w:instrText>
        </w:r>
        <w:r>
          <w:fldChar w:fldCharType="separate"/>
        </w:r>
        <w:r>
          <w:t>315</w:t>
        </w:r>
        <w:r>
          <w:fldChar w:fldCharType="end"/>
        </w:r>
      </w:hyperlink>
    </w:p>
    <w:p w14:paraId="31AA816C" w14:textId="77777777" w:rsidR="001C08A5" w:rsidRDefault="00000000">
      <w:pPr>
        <w:pStyle w:val="TOC3"/>
        <w:tabs>
          <w:tab w:val="right" w:leader="dot" w:pos="9639"/>
        </w:tabs>
        <w:ind w:left="800"/>
      </w:pPr>
      <w:hyperlink w:anchor="_Toc21909" w:history="1">
        <w:r>
          <w:t>5.4. ALCĂTUIRI CONSTRUCTIVE</w:t>
        </w:r>
        <w:r>
          <w:tab/>
        </w:r>
        <w:r>
          <w:fldChar w:fldCharType="begin"/>
        </w:r>
        <w:r>
          <w:instrText xml:space="preserve"> PAGEREF _Toc21909 \h </w:instrText>
        </w:r>
        <w:r>
          <w:fldChar w:fldCharType="separate"/>
        </w:r>
        <w:r>
          <w:t>315</w:t>
        </w:r>
        <w:r>
          <w:fldChar w:fldCharType="end"/>
        </w:r>
      </w:hyperlink>
    </w:p>
    <w:p w14:paraId="7533E133" w14:textId="77777777" w:rsidR="001C08A5" w:rsidRDefault="00000000">
      <w:pPr>
        <w:pStyle w:val="TOC3"/>
        <w:tabs>
          <w:tab w:val="right" w:leader="dot" w:pos="9639"/>
        </w:tabs>
        <w:ind w:left="800"/>
      </w:pPr>
      <w:hyperlink w:anchor="_Toc26438" w:history="1">
        <w:r>
          <w:t>5.5. CĂI DE EVACUARE A UTILIZATORILOR ÎN CAZ DE INCENDIU</w:t>
        </w:r>
        <w:r>
          <w:tab/>
        </w:r>
        <w:r>
          <w:fldChar w:fldCharType="begin"/>
        </w:r>
        <w:r>
          <w:instrText xml:space="preserve"> PAGEREF _Toc26438 \h </w:instrText>
        </w:r>
        <w:r>
          <w:fldChar w:fldCharType="separate"/>
        </w:r>
        <w:r>
          <w:t>316</w:t>
        </w:r>
        <w:r>
          <w:fldChar w:fldCharType="end"/>
        </w:r>
      </w:hyperlink>
    </w:p>
    <w:p w14:paraId="625360FB" w14:textId="77777777" w:rsidR="001C08A5" w:rsidRDefault="00000000">
      <w:pPr>
        <w:pStyle w:val="TOC3"/>
        <w:tabs>
          <w:tab w:val="right" w:leader="dot" w:pos="9639"/>
        </w:tabs>
        <w:ind w:left="800"/>
      </w:pPr>
      <w:hyperlink w:anchor="_Toc24073" w:history="1">
        <w:r>
          <w:t>5.6. CONDIŢII DE ACCES, INTERVENŢIE și SALVARE ÎN CAZ DE INCENDIU</w:t>
        </w:r>
        <w:r>
          <w:tab/>
        </w:r>
        <w:r>
          <w:fldChar w:fldCharType="begin"/>
        </w:r>
        <w:r>
          <w:instrText xml:space="preserve"> PAGEREF _Toc24073 \h </w:instrText>
        </w:r>
        <w:r>
          <w:fldChar w:fldCharType="separate"/>
        </w:r>
        <w:r>
          <w:t>317</w:t>
        </w:r>
        <w:r>
          <w:fldChar w:fldCharType="end"/>
        </w:r>
      </w:hyperlink>
    </w:p>
    <w:p w14:paraId="33BC55FA" w14:textId="77777777" w:rsidR="001C08A5" w:rsidRDefault="00000000">
      <w:pPr>
        <w:pStyle w:val="TOC3"/>
        <w:tabs>
          <w:tab w:val="right" w:leader="dot" w:pos="9639"/>
        </w:tabs>
        <w:ind w:left="800"/>
      </w:pPr>
      <w:hyperlink w:anchor="_Toc23935" w:history="1">
        <w:r>
          <w:t>5.7. ECHIPAREA CONSTRUCŢIILOR CU INSTALAŢII ŞI MIJLOACE DE STINGERE A INCENDIILOR</w:t>
        </w:r>
        <w:r>
          <w:tab/>
        </w:r>
        <w:r>
          <w:fldChar w:fldCharType="begin"/>
        </w:r>
        <w:r>
          <w:instrText xml:space="preserve"> PAGEREF _Toc23935 \h </w:instrText>
        </w:r>
        <w:r>
          <w:fldChar w:fldCharType="separate"/>
        </w:r>
        <w:r>
          <w:t>318</w:t>
        </w:r>
        <w:r>
          <w:fldChar w:fldCharType="end"/>
        </w:r>
      </w:hyperlink>
    </w:p>
    <w:p w14:paraId="5B3B14A9" w14:textId="77777777" w:rsidR="001C08A5" w:rsidRDefault="00000000">
      <w:pPr>
        <w:pStyle w:val="TOC1"/>
        <w:tabs>
          <w:tab w:val="right" w:leader="dot" w:pos="9639"/>
        </w:tabs>
      </w:pPr>
      <w:hyperlink w:anchor="_Toc28651" w:history="1">
        <w:r>
          <w:t>CAPITOLUL 6</w:t>
        </w:r>
        <w:r>
          <w:tab/>
        </w:r>
        <w:r>
          <w:fldChar w:fldCharType="begin"/>
        </w:r>
        <w:r>
          <w:instrText xml:space="preserve"> PAGEREF _Toc28651 \h </w:instrText>
        </w:r>
        <w:r>
          <w:fldChar w:fldCharType="separate"/>
        </w:r>
        <w:r>
          <w:t>318</w:t>
        </w:r>
        <w:r>
          <w:fldChar w:fldCharType="end"/>
        </w:r>
      </w:hyperlink>
    </w:p>
    <w:p w14:paraId="0494841F" w14:textId="77777777" w:rsidR="001C08A5" w:rsidRDefault="00000000">
      <w:pPr>
        <w:pStyle w:val="TOC2"/>
        <w:tabs>
          <w:tab w:val="right" w:leader="dot" w:pos="9639"/>
        </w:tabs>
        <w:ind w:left="400"/>
      </w:pPr>
      <w:hyperlink w:anchor="_Toc28595" w:history="1">
        <w:r>
          <w:t>6. PERFORMANŢE SPECIFICE CONSTRUCŢIILOR DE PRODUCŢIE ŞI/SAU DEPOZITARE</w:t>
        </w:r>
        <w:r>
          <w:tab/>
        </w:r>
        <w:r>
          <w:fldChar w:fldCharType="begin"/>
        </w:r>
        <w:r>
          <w:instrText xml:space="preserve"> PAGEREF _Toc28595 \h </w:instrText>
        </w:r>
        <w:r>
          <w:fldChar w:fldCharType="separate"/>
        </w:r>
        <w:r>
          <w:t>318</w:t>
        </w:r>
        <w:r>
          <w:fldChar w:fldCharType="end"/>
        </w:r>
      </w:hyperlink>
    </w:p>
    <w:p w14:paraId="509D3BE1" w14:textId="77777777" w:rsidR="001C08A5" w:rsidRDefault="00000000">
      <w:pPr>
        <w:pStyle w:val="TOC3"/>
        <w:tabs>
          <w:tab w:val="right" w:leader="dot" w:pos="9639"/>
        </w:tabs>
        <w:ind w:left="800"/>
      </w:pPr>
      <w:hyperlink w:anchor="_Toc20194" w:history="1">
        <w:r>
          <w:t>SECŢIUNEA I</w:t>
        </w:r>
        <w:r>
          <w:tab/>
        </w:r>
        <w:r>
          <w:fldChar w:fldCharType="begin"/>
        </w:r>
        <w:r>
          <w:instrText xml:space="preserve"> PAGEREF _Toc20194 \h </w:instrText>
        </w:r>
        <w:r>
          <w:fldChar w:fldCharType="separate"/>
        </w:r>
        <w:r>
          <w:t>318</w:t>
        </w:r>
        <w:r>
          <w:fldChar w:fldCharType="end"/>
        </w:r>
      </w:hyperlink>
    </w:p>
    <w:p w14:paraId="3B0EFD6E" w14:textId="77777777" w:rsidR="001C08A5" w:rsidRDefault="00000000">
      <w:pPr>
        <w:pStyle w:val="TOC3"/>
        <w:tabs>
          <w:tab w:val="right" w:leader="dot" w:pos="9639"/>
        </w:tabs>
        <w:ind w:left="800"/>
      </w:pPr>
      <w:hyperlink w:anchor="_Toc11384" w:history="1">
        <w:r>
          <w:t>6.1. Performanţe comune construcţiilor de producţie şi/sau depozitare</w:t>
        </w:r>
        <w:r>
          <w:tab/>
        </w:r>
        <w:r>
          <w:fldChar w:fldCharType="begin"/>
        </w:r>
        <w:r>
          <w:instrText xml:space="preserve"> PAGEREF _Toc11384 \h </w:instrText>
        </w:r>
        <w:r>
          <w:fldChar w:fldCharType="separate"/>
        </w:r>
        <w:r>
          <w:t>318</w:t>
        </w:r>
        <w:r>
          <w:fldChar w:fldCharType="end"/>
        </w:r>
      </w:hyperlink>
    </w:p>
    <w:p w14:paraId="491D44DE" w14:textId="77777777" w:rsidR="001C08A5" w:rsidRDefault="00000000">
      <w:pPr>
        <w:pStyle w:val="TOC4"/>
        <w:tabs>
          <w:tab w:val="right" w:leader="dot" w:pos="9639"/>
        </w:tabs>
        <w:ind w:left="1200"/>
      </w:pPr>
      <w:hyperlink w:anchor="_Toc25603" w:history="1">
        <w:r>
          <w:t>6.1.1. CONDIŢII GENERALE DE PERFORMANŢĂ A CONSTRUCŢIILOR (Risc de incendiu,  Nivel de stabilitate la incendiu al construcţiei)</w:t>
        </w:r>
        <w:r>
          <w:tab/>
        </w:r>
        <w:r>
          <w:fldChar w:fldCharType="begin"/>
        </w:r>
        <w:r>
          <w:instrText xml:space="preserve"> PAGEREF _Toc25603 \h </w:instrText>
        </w:r>
        <w:r>
          <w:fldChar w:fldCharType="separate"/>
        </w:r>
        <w:r>
          <w:t>318</w:t>
        </w:r>
        <w:r>
          <w:fldChar w:fldCharType="end"/>
        </w:r>
      </w:hyperlink>
    </w:p>
    <w:p w14:paraId="02E7E5AC" w14:textId="77777777" w:rsidR="001C08A5" w:rsidRDefault="00000000">
      <w:pPr>
        <w:pStyle w:val="TOC4"/>
        <w:tabs>
          <w:tab w:val="right" w:leader="dot" w:pos="9639"/>
        </w:tabs>
        <w:ind w:left="1200"/>
      </w:pPr>
      <w:hyperlink w:anchor="_Toc20816" w:history="1">
        <w:r>
          <w:t>6.1.2. AMPLASAREA ŞI CONFORMAREA CONSTRUCŢIILOR</w:t>
        </w:r>
        <w:r>
          <w:tab/>
        </w:r>
        <w:r>
          <w:fldChar w:fldCharType="begin"/>
        </w:r>
        <w:r>
          <w:instrText xml:space="preserve"> PAGEREF _Toc20816 \h </w:instrText>
        </w:r>
        <w:r>
          <w:fldChar w:fldCharType="separate"/>
        </w:r>
        <w:r>
          <w:t>320</w:t>
        </w:r>
        <w:r>
          <w:fldChar w:fldCharType="end"/>
        </w:r>
      </w:hyperlink>
    </w:p>
    <w:p w14:paraId="1562B5FA" w14:textId="77777777" w:rsidR="001C08A5" w:rsidRDefault="00000000">
      <w:pPr>
        <w:pStyle w:val="TOC4"/>
        <w:tabs>
          <w:tab w:val="right" w:leader="dot" w:pos="9639"/>
        </w:tabs>
        <w:ind w:left="1200"/>
      </w:pPr>
      <w:hyperlink w:anchor="_Toc19620" w:history="1">
        <w:r>
          <w:t>6.1.3. LIMITAREA PROPAGĂRII INCENDIILOR</w:t>
        </w:r>
        <w:r>
          <w:tab/>
        </w:r>
        <w:r>
          <w:fldChar w:fldCharType="begin"/>
        </w:r>
        <w:r>
          <w:instrText xml:space="preserve"> PAGEREF _Toc19620 \h </w:instrText>
        </w:r>
        <w:r>
          <w:fldChar w:fldCharType="separate"/>
        </w:r>
        <w:r>
          <w:t>321</w:t>
        </w:r>
        <w:r>
          <w:fldChar w:fldCharType="end"/>
        </w:r>
      </w:hyperlink>
    </w:p>
    <w:p w14:paraId="06EBFE09" w14:textId="77777777" w:rsidR="001C08A5" w:rsidRDefault="00000000">
      <w:pPr>
        <w:pStyle w:val="TOC4"/>
        <w:tabs>
          <w:tab w:val="right" w:leader="dot" w:pos="9639"/>
        </w:tabs>
        <w:ind w:left="1200"/>
      </w:pPr>
      <w:hyperlink w:anchor="_Toc21633" w:history="1">
        <w:r>
          <w:t>6.1.4. ALCĂTUIRI CONSTRUCTIVE</w:t>
        </w:r>
        <w:r>
          <w:tab/>
        </w:r>
        <w:r>
          <w:fldChar w:fldCharType="begin"/>
        </w:r>
        <w:r>
          <w:instrText xml:space="preserve"> PAGEREF _Toc21633 \h </w:instrText>
        </w:r>
        <w:r>
          <w:fldChar w:fldCharType="separate"/>
        </w:r>
        <w:r>
          <w:t>323</w:t>
        </w:r>
        <w:r>
          <w:fldChar w:fldCharType="end"/>
        </w:r>
      </w:hyperlink>
    </w:p>
    <w:p w14:paraId="267D4AF4" w14:textId="77777777" w:rsidR="001C08A5" w:rsidRDefault="00000000">
      <w:pPr>
        <w:pStyle w:val="TOC4"/>
        <w:tabs>
          <w:tab w:val="right" w:leader="dot" w:pos="9639"/>
        </w:tabs>
        <w:ind w:left="1200"/>
      </w:pPr>
      <w:hyperlink w:anchor="_Toc27618" w:history="1">
        <w:r>
          <w:t>6.1.5. CĂI DE EVACUARE A UTILIZATORILOR ÎN CAZ DE INCENDIU</w:t>
        </w:r>
        <w:r>
          <w:tab/>
        </w:r>
        <w:r>
          <w:fldChar w:fldCharType="begin"/>
        </w:r>
        <w:r>
          <w:instrText xml:space="preserve"> PAGEREF _Toc27618 \h </w:instrText>
        </w:r>
        <w:r>
          <w:fldChar w:fldCharType="separate"/>
        </w:r>
        <w:r>
          <w:t>324</w:t>
        </w:r>
        <w:r>
          <w:fldChar w:fldCharType="end"/>
        </w:r>
      </w:hyperlink>
    </w:p>
    <w:p w14:paraId="2FB14883" w14:textId="77777777" w:rsidR="001C08A5" w:rsidRDefault="00000000">
      <w:pPr>
        <w:pStyle w:val="TOC4"/>
        <w:tabs>
          <w:tab w:val="right" w:leader="dot" w:pos="9639"/>
        </w:tabs>
        <w:ind w:left="1200"/>
      </w:pPr>
      <w:hyperlink w:anchor="_Toc1312" w:history="1">
        <w:r>
          <w:t>6.1.6. CONDIŢII DE ACCES, INTERVENŢIE ȘI SALVARE ÎN CAZ DE INCENDIU</w:t>
        </w:r>
        <w:r>
          <w:tab/>
        </w:r>
        <w:r>
          <w:fldChar w:fldCharType="begin"/>
        </w:r>
        <w:r>
          <w:instrText xml:space="preserve"> PAGEREF _Toc1312 \h </w:instrText>
        </w:r>
        <w:r>
          <w:fldChar w:fldCharType="separate"/>
        </w:r>
        <w:r>
          <w:t>330</w:t>
        </w:r>
        <w:r>
          <w:fldChar w:fldCharType="end"/>
        </w:r>
      </w:hyperlink>
    </w:p>
    <w:p w14:paraId="3F378336" w14:textId="77777777" w:rsidR="001C08A5" w:rsidRDefault="00000000">
      <w:pPr>
        <w:pStyle w:val="TOC4"/>
        <w:tabs>
          <w:tab w:val="right" w:leader="dot" w:pos="9639"/>
        </w:tabs>
        <w:ind w:left="1200"/>
      </w:pPr>
      <w:hyperlink w:anchor="_Toc11697" w:history="1">
        <w:r>
          <w:t>6.1.7. ECHIPAREA CONSTRUCŢIILOR CU INSTALAŢII ŞI MIJLOACE DE STINGERE A INCENDIILOR</w:t>
        </w:r>
        <w:r>
          <w:tab/>
        </w:r>
        <w:r>
          <w:fldChar w:fldCharType="begin"/>
        </w:r>
        <w:r>
          <w:instrText xml:space="preserve"> PAGEREF _Toc11697 \h </w:instrText>
        </w:r>
        <w:r>
          <w:fldChar w:fldCharType="separate"/>
        </w:r>
        <w:r>
          <w:t>330</w:t>
        </w:r>
        <w:r>
          <w:fldChar w:fldCharType="end"/>
        </w:r>
      </w:hyperlink>
    </w:p>
    <w:p w14:paraId="4FB17C3E" w14:textId="77777777" w:rsidR="001C08A5" w:rsidRDefault="00000000">
      <w:pPr>
        <w:pStyle w:val="TOC3"/>
        <w:tabs>
          <w:tab w:val="right" w:leader="dot" w:pos="9639"/>
        </w:tabs>
        <w:ind w:left="800"/>
      </w:pPr>
      <w:hyperlink w:anchor="_Toc24527" w:history="1">
        <w:r>
          <w:t>SECŢIUNEA II</w:t>
        </w:r>
        <w:r>
          <w:tab/>
        </w:r>
        <w:r>
          <w:fldChar w:fldCharType="begin"/>
        </w:r>
        <w:r>
          <w:instrText xml:space="preserve"> PAGEREF _Toc24527 \h </w:instrText>
        </w:r>
        <w:r>
          <w:fldChar w:fldCharType="separate"/>
        </w:r>
        <w:r>
          <w:t>331</w:t>
        </w:r>
        <w:r>
          <w:fldChar w:fldCharType="end"/>
        </w:r>
      </w:hyperlink>
    </w:p>
    <w:p w14:paraId="66F83741" w14:textId="77777777" w:rsidR="001C08A5" w:rsidRDefault="00000000">
      <w:pPr>
        <w:pStyle w:val="TOC3"/>
        <w:tabs>
          <w:tab w:val="right" w:leader="dot" w:pos="9639"/>
        </w:tabs>
        <w:ind w:left="800"/>
      </w:pPr>
      <w:hyperlink w:anchor="_Toc27635" w:history="1">
        <w:r>
          <w:t>6.2. Performanţe specifice construcţiilor de producţie şi depozitare</w:t>
        </w:r>
        <w:r>
          <w:tab/>
        </w:r>
        <w:r>
          <w:fldChar w:fldCharType="begin"/>
        </w:r>
        <w:r>
          <w:instrText xml:space="preserve"> PAGEREF _Toc27635 \h </w:instrText>
        </w:r>
        <w:r>
          <w:fldChar w:fldCharType="separate"/>
        </w:r>
        <w:r>
          <w:t>331</w:t>
        </w:r>
        <w:r>
          <w:fldChar w:fldCharType="end"/>
        </w:r>
      </w:hyperlink>
    </w:p>
    <w:p w14:paraId="5B6CA58F" w14:textId="77777777" w:rsidR="001C08A5" w:rsidRDefault="00000000">
      <w:pPr>
        <w:pStyle w:val="TOC4"/>
        <w:tabs>
          <w:tab w:val="right" w:leader="dot" w:pos="9639"/>
        </w:tabs>
        <w:ind w:left="1200"/>
      </w:pPr>
      <w:hyperlink w:anchor="_Toc21816" w:history="1">
        <w:r>
          <w:t>6.2.1. Construcţii de producţie şi depozitare de tip obişnuit</w:t>
        </w:r>
        <w:r>
          <w:tab/>
        </w:r>
        <w:r>
          <w:fldChar w:fldCharType="begin"/>
        </w:r>
        <w:r>
          <w:instrText xml:space="preserve"> PAGEREF _Toc21816 \h </w:instrText>
        </w:r>
        <w:r>
          <w:fldChar w:fldCharType="separate"/>
        </w:r>
        <w:r>
          <w:t>331</w:t>
        </w:r>
        <w:r>
          <w:fldChar w:fldCharType="end"/>
        </w:r>
      </w:hyperlink>
    </w:p>
    <w:p w14:paraId="72183CD5" w14:textId="77777777" w:rsidR="001C08A5" w:rsidRDefault="00000000">
      <w:pPr>
        <w:pStyle w:val="TOC4"/>
        <w:tabs>
          <w:tab w:val="right" w:leader="dot" w:pos="9639"/>
        </w:tabs>
        <w:ind w:left="1200"/>
      </w:pPr>
      <w:hyperlink w:anchor="_Toc23829" w:history="1">
        <w:r>
          <w:t>6.2.2. Construcţii de producţie şi depozitare de tip special</w:t>
        </w:r>
        <w:r>
          <w:tab/>
        </w:r>
        <w:r>
          <w:fldChar w:fldCharType="begin"/>
        </w:r>
        <w:r>
          <w:instrText xml:space="preserve"> PAGEREF _Toc23829 \h </w:instrText>
        </w:r>
        <w:r>
          <w:fldChar w:fldCharType="separate"/>
        </w:r>
        <w:r>
          <w:t>332</w:t>
        </w:r>
        <w:r>
          <w:fldChar w:fldCharType="end"/>
        </w:r>
      </w:hyperlink>
    </w:p>
    <w:p w14:paraId="26E2A813" w14:textId="77777777" w:rsidR="001C08A5" w:rsidRDefault="00000000">
      <w:pPr>
        <w:pStyle w:val="TOC3"/>
        <w:tabs>
          <w:tab w:val="right" w:leader="dot" w:pos="9639"/>
        </w:tabs>
        <w:ind w:left="800"/>
      </w:pPr>
      <w:hyperlink w:anchor="_Toc14852" w:history="1">
        <w:r>
          <w:t>SECŢIUNEA III</w:t>
        </w:r>
        <w:r>
          <w:tab/>
        </w:r>
        <w:r>
          <w:fldChar w:fldCharType="begin"/>
        </w:r>
        <w:r>
          <w:instrText xml:space="preserve"> PAGEREF _Toc14852 \h </w:instrText>
        </w:r>
        <w:r>
          <w:fldChar w:fldCharType="separate"/>
        </w:r>
        <w:r>
          <w:t>334</w:t>
        </w:r>
        <w:r>
          <w:fldChar w:fldCharType="end"/>
        </w:r>
      </w:hyperlink>
    </w:p>
    <w:p w14:paraId="60569B92" w14:textId="77777777" w:rsidR="001C08A5" w:rsidRDefault="00000000">
      <w:pPr>
        <w:pStyle w:val="TOC3"/>
        <w:tabs>
          <w:tab w:val="right" w:leader="dot" w:pos="9639"/>
        </w:tabs>
        <w:ind w:left="800"/>
      </w:pPr>
      <w:hyperlink w:anchor="_Toc19985" w:history="1">
        <w:r>
          <w:t>6.3. Performanţe specifice construcţiilor de depozitare a materialelor și substanţelor</w:t>
        </w:r>
        <w:r>
          <w:tab/>
        </w:r>
        <w:r>
          <w:fldChar w:fldCharType="begin"/>
        </w:r>
        <w:r>
          <w:instrText xml:space="preserve"> PAGEREF _Toc19985 \h </w:instrText>
        </w:r>
        <w:r>
          <w:fldChar w:fldCharType="separate"/>
        </w:r>
        <w:r>
          <w:t>334</w:t>
        </w:r>
        <w:r>
          <w:fldChar w:fldCharType="end"/>
        </w:r>
      </w:hyperlink>
    </w:p>
    <w:p w14:paraId="759B127E" w14:textId="77777777" w:rsidR="001C08A5" w:rsidRDefault="00000000">
      <w:pPr>
        <w:pStyle w:val="TOC4"/>
        <w:tabs>
          <w:tab w:val="right" w:leader="dot" w:pos="9639"/>
        </w:tabs>
        <w:ind w:left="1200"/>
      </w:pPr>
      <w:hyperlink w:anchor="_Toc20608" w:history="1">
        <w:r>
          <w:t>6.3.1. Prevederi comune</w:t>
        </w:r>
        <w:r>
          <w:tab/>
        </w:r>
        <w:r>
          <w:fldChar w:fldCharType="begin"/>
        </w:r>
        <w:r>
          <w:instrText xml:space="preserve"> PAGEREF _Toc20608 \h </w:instrText>
        </w:r>
        <w:r>
          <w:fldChar w:fldCharType="separate"/>
        </w:r>
        <w:r>
          <w:t>334</w:t>
        </w:r>
        <w:r>
          <w:fldChar w:fldCharType="end"/>
        </w:r>
      </w:hyperlink>
    </w:p>
    <w:p w14:paraId="59215F89" w14:textId="77777777" w:rsidR="001C08A5" w:rsidRDefault="00000000">
      <w:pPr>
        <w:pStyle w:val="TOC4"/>
        <w:tabs>
          <w:tab w:val="right" w:leader="dot" w:pos="9639"/>
        </w:tabs>
        <w:ind w:left="1200"/>
      </w:pPr>
      <w:hyperlink w:anchor="_Toc5778" w:history="1">
        <w:r>
          <w:t>6.3.2. Depozite închise de materiale şi substanţe combustibile</w:t>
        </w:r>
        <w:r>
          <w:tab/>
        </w:r>
        <w:r>
          <w:fldChar w:fldCharType="begin"/>
        </w:r>
        <w:r>
          <w:instrText xml:space="preserve"> PAGEREF _Toc5778 \h </w:instrText>
        </w:r>
        <w:r>
          <w:fldChar w:fldCharType="separate"/>
        </w:r>
        <w:r>
          <w:t>336</w:t>
        </w:r>
        <w:r>
          <w:fldChar w:fldCharType="end"/>
        </w:r>
      </w:hyperlink>
    </w:p>
    <w:p w14:paraId="705AFD08" w14:textId="77777777" w:rsidR="001C08A5" w:rsidRDefault="00000000">
      <w:pPr>
        <w:pStyle w:val="TOC3"/>
        <w:tabs>
          <w:tab w:val="right" w:leader="dot" w:pos="9639"/>
        </w:tabs>
        <w:ind w:left="800"/>
      </w:pPr>
      <w:hyperlink w:anchor="_Toc19439" w:history="1">
        <w:r>
          <w:t>SECŢIUNEA IV</w:t>
        </w:r>
        <w:r>
          <w:tab/>
        </w:r>
        <w:r>
          <w:fldChar w:fldCharType="begin"/>
        </w:r>
        <w:r>
          <w:instrText xml:space="preserve"> PAGEREF _Toc19439 \h </w:instrText>
        </w:r>
        <w:r>
          <w:fldChar w:fldCharType="separate"/>
        </w:r>
        <w:r>
          <w:t>337</w:t>
        </w:r>
        <w:r>
          <w:fldChar w:fldCharType="end"/>
        </w:r>
      </w:hyperlink>
    </w:p>
    <w:p w14:paraId="6DAA1C2E" w14:textId="77777777" w:rsidR="001C08A5" w:rsidRDefault="00000000">
      <w:pPr>
        <w:pStyle w:val="TOC3"/>
        <w:tabs>
          <w:tab w:val="right" w:leader="dot" w:pos="9639"/>
        </w:tabs>
        <w:ind w:left="800"/>
      </w:pPr>
      <w:hyperlink w:anchor="_Toc7176" w:history="1">
        <w:r>
          <w:t>6.4. PERFORMANŢE SPECIFICE DEPOZITELOR SUPRATERANE DESCHISE DE MATERIALE ŞI SUBSTANŢE COMBUSTIBILE</w:t>
        </w:r>
        <w:r>
          <w:tab/>
        </w:r>
        <w:r>
          <w:fldChar w:fldCharType="begin"/>
        </w:r>
        <w:r>
          <w:instrText xml:space="preserve"> PAGEREF _Toc7176 \h </w:instrText>
        </w:r>
        <w:r>
          <w:fldChar w:fldCharType="separate"/>
        </w:r>
        <w:r>
          <w:t>337</w:t>
        </w:r>
        <w:r>
          <w:fldChar w:fldCharType="end"/>
        </w:r>
      </w:hyperlink>
    </w:p>
    <w:p w14:paraId="32080FB7" w14:textId="77777777" w:rsidR="001C08A5" w:rsidRDefault="00000000">
      <w:pPr>
        <w:pStyle w:val="TOC1"/>
        <w:tabs>
          <w:tab w:val="right" w:leader="dot" w:pos="9639"/>
        </w:tabs>
      </w:pPr>
      <w:hyperlink w:anchor="_Toc1626" w:history="1">
        <w:r>
          <w:t>CAPITOLUL 7</w:t>
        </w:r>
        <w:r>
          <w:tab/>
        </w:r>
        <w:r>
          <w:fldChar w:fldCharType="begin"/>
        </w:r>
        <w:r>
          <w:instrText xml:space="preserve"> PAGEREF _Toc1626 \h </w:instrText>
        </w:r>
        <w:r>
          <w:fldChar w:fldCharType="separate"/>
        </w:r>
        <w:r>
          <w:t>339</w:t>
        </w:r>
        <w:r>
          <w:fldChar w:fldCharType="end"/>
        </w:r>
      </w:hyperlink>
    </w:p>
    <w:p w14:paraId="7A4FB4D2" w14:textId="77777777" w:rsidR="001C08A5" w:rsidRDefault="00000000">
      <w:pPr>
        <w:pStyle w:val="TOC2"/>
        <w:tabs>
          <w:tab w:val="right" w:leader="dot" w:pos="9639"/>
        </w:tabs>
        <w:ind w:left="400"/>
      </w:pPr>
      <w:hyperlink w:anchor="_Toc30206" w:history="1">
        <w:r>
          <w:t>7. PERFORMANŢE ALE CONSTRUCŢIILOR</w:t>
        </w:r>
        <w:r>
          <w:tab/>
        </w:r>
        <w:r>
          <w:fldChar w:fldCharType="begin"/>
        </w:r>
        <w:r>
          <w:instrText xml:space="preserve"> PAGEREF _Toc30206 \h </w:instrText>
        </w:r>
        <w:r>
          <w:fldChar w:fldCharType="separate"/>
        </w:r>
        <w:r>
          <w:t>339</w:t>
        </w:r>
        <w:r>
          <w:fldChar w:fldCharType="end"/>
        </w:r>
      </w:hyperlink>
    </w:p>
    <w:p w14:paraId="5ED8D838" w14:textId="77777777" w:rsidR="001C08A5" w:rsidRDefault="00000000">
      <w:pPr>
        <w:pStyle w:val="TOC2"/>
        <w:tabs>
          <w:tab w:val="right" w:leader="dot" w:pos="9639"/>
        </w:tabs>
        <w:ind w:left="400"/>
      </w:pPr>
      <w:hyperlink w:anchor="_Toc26957" w:history="1">
        <w:r>
          <w:t>CU FUNCŢIUNI MIXTE</w:t>
        </w:r>
        <w:r>
          <w:tab/>
        </w:r>
        <w:r>
          <w:fldChar w:fldCharType="begin"/>
        </w:r>
        <w:r>
          <w:instrText xml:space="preserve"> PAGEREF _Toc26957 \h </w:instrText>
        </w:r>
        <w:r>
          <w:fldChar w:fldCharType="separate"/>
        </w:r>
        <w:r>
          <w:t>339</w:t>
        </w:r>
        <w:r>
          <w:fldChar w:fldCharType="end"/>
        </w:r>
      </w:hyperlink>
    </w:p>
    <w:p w14:paraId="3FEBC6F8" w14:textId="77777777" w:rsidR="001C08A5" w:rsidRDefault="00000000">
      <w:pPr>
        <w:pStyle w:val="TOC3"/>
        <w:tabs>
          <w:tab w:val="right" w:leader="dot" w:pos="9639"/>
        </w:tabs>
        <w:ind w:left="800"/>
      </w:pPr>
      <w:hyperlink w:anchor="_Toc23094" w:history="1">
        <w:r>
          <w:t>7.1. CONDIŢII COMUNE DE PERFORMANŢĂ A CONSTRUCŢIILOR (RISC DE INCENDIU,  NIVEL DE STABILITATE LA INCENDIU AL CONSTRUCŢIEI)</w:t>
        </w:r>
        <w:r>
          <w:tab/>
        </w:r>
        <w:r>
          <w:fldChar w:fldCharType="begin"/>
        </w:r>
        <w:r>
          <w:instrText xml:space="preserve"> PAGEREF _Toc23094 \h </w:instrText>
        </w:r>
        <w:r>
          <w:fldChar w:fldCharType="separate"/>
        </w:r>
        <w:r>
          <w:t>339</w:t>
        </w:r>
        <w:r>
          <w:fldChar w:fldCharType="end"/>
        </w:r>
      </w:hyperlink>
    </w:p>
    <w:p w14:paraId="533CDDC7" w14:textId="77777777" w:rsidR="001C08A5" w:rsidRDefault="00000000">
      <w:pPr>
        <w:pStyle w:val="TOC3"/>
        <w:tabs>
          <w:tab w:val="right" w:leader="dot" w:pos="9639"/>
        </w:tabs>
        <w:ind w:left="800"/>
      </w:pPr>
      <w:hyperlink w:anchor="_Toc8477" w:history="1">
        <w:r>
          <w:t>7.2. AMPLASAREA și CONFORMAREA CONSTRUCŢIILOR</w:t>
        </w:r>
        <w:r>
          <w:tab/>
        </w:r>
        <w:r>
          <w:fldChar w:fldCharType="begin"/>
        </w:r>
        <w:r>
          <w:instrText xml:space="preserve"> PAGEREF _Toc8477 \h </w:instrText>
        </w:r>
        <w:r>
          <w:fldChar w:fldCharType="separate"/>
        </w:r>
        <w:r>
          <w:t>339</w:t>
        </w:r>
        <w:r>
          <w:fldChar w:fldCharType="end"/>
        </w:r>
      </w:hyperlink>
    </w:p>
    <w:p w14:paraId="6114F248" w14:textId="77777777" w:rsidR="001C08A5" w:rsidRDefault="00000000">
      <w:pPr>
        <w:pStyle w:val="TOC3"/>
        <w:tabs>
          <w:tab w:val="right" w:leader="dot" w:pos="9639"/>
        </w:tabs>
        <w:ind w:left="800"/>
      </w:pPr>
      <w:hyperlink w:anchor="_Toc29448" w:history="1">
        <w:r>
          <w:t>7.3. LIMITAREA PROPAGĂRII INCENDIILOR</w:t>
        </w:r>
        <w:r>
          <w:tab/>
        </w:r>
        <w:r>
          <w:fldChar w:fldCharType="begin"/>
        </w:r>
        <w:r>
          <w:instrText xml:space="preserve"> PAGEREF _Toc29448 \h </w:instrText>
        </w:r>
        <w:r>
          <w:fldChar w:fldCharType="separate"/>
        </w:r>
        <w:r>
          <w:t>340</w:t>
        </w:r>
        <w:r>
          <w:fldChar w:fldCharType="end"/>
        </w:r>
      </w:hyperlink>
    </w:p>
    <w:p w14:paraId="7B9FAFEF" w14:textId="77777777" w:rsidR="001C08A5" w:rsidRDefault="00000000">
      <w:pPr>
        <w:pStyle w:val="TOC3"/>
        <w:tabs>
          <w:tab w:val="right" w:leader="dot" w:pos="9639"/>
        </w:tabs>
        <w:ind w:left="800"/>
      </w:pPr>
      <w:hyperlink w:anchor="_Toc22365" w:history="1">
        <w:r>
          <w:t>7.4. ALCĂTUIRI CONSTRUCTIVE</w:t>
        </w:r>
        <w:r>
          <w:tab/>
        </w:r>
        <w:r>
          <w:fldChar w:fldCharType="begin"/>
        </w:r>
        <w:r>
          <w:instrText xml:space="preserve"> PAGEREF _Toc22365 \h </w:instrText>
        </w:r>
        <w:r>
          <w:fldChar w:fldCharType="separate"/>
        </w:r>
        <w:r>
          <w:t>341</w:t>
        </w:r>
        <w:r>
          <w:fldChar w:fldCharType="end"/>
        </w:r>
      </w:hyperlink>
    </w:p>
    <w:p w14:paraId="382D66BA" w14:textId="77777777" w:rsidR="001C08A5" w:rsidRDefault="00000000">
      <w:pPr>
        <w:pStyle w:val="TOC3"/>
        <w:tabs>
          <w:tab w:val="right" w:leader="dot" w:pos="9639"/>
        </w:tabs>
        <w:ind w:left="800"/>
      </w:pPr>
      <w:hyperlink w:anchor="_Toc29710" w:history="1">
        <w:r>
          <w:t>7.5. CĂI DE EVACUARE A UTILIZATORILOR ÎN CAZ DE INCENDIU</w:t>
        </w:r>
        <w:r>
          <w:tab/>
        </w:r>
        <w:r>
          <w:fldChar w:fldCharType="begin"/>
        </w:r>
        <w:r>
          <w:instrText xml:space="preserve"> PAGEREF _Toc29710 \h </w:instrText>
        </w:r>
        <w:r>
          <w:fldChar w:fldCharType="separate"/>
        </w:r>
        <w:r>
          <w:t>342</w:t>
        </w:r>
        <w:r>
          <w:fldChar w:fldCharType="end"/>
        </w:r>
      </w:hyperlink>
    </w:p>
    <w:p w14:paraId="40CAADA2" w14:textId="77777777" w:rsidR="001C08A5" w:rsidRDefault="00000000">
      <w:pPr>
        <w:pStyle w:val="TOC3"/>
        <w:tabs>
          <w:tab w:val="right" w:leader="dot" w:pos="9639"/>
        </w:tabs>
        <w:ind w:left="800"/>
      </w:pPr>
      <w:hyperlink w:anchor="_Toc29373" w:history="1">
        <w:r>
          <w:t>7.6. CONDIŢII DE ACCES, INTERVENŢIE și SALVARE ÎN CAZ DE INCENDIU</w:t>
        </w:r>
        <w:r>
          <w:tab/>
        </w:r>
        <w:r>
          <w:fldChar w:fldCharType="begin"/>
        </w:r>
        <w:r>
          <w:instrText xml:space="preserve"> PAGEREF _Toc29373 \h </w:instrText>
        </w:r>
        <w:r>
          <w:fldChar w:fldCharType="separate"/>
        </w:r>
        <w:r>
          <w:t>344</w:t>
        </w:r>
        <w:r>
          <w:fldChar w:fldCharType="end"/>
        </w:r>
      </w:hyperlink>
    </w:p>
    <w:p w14:paraId="3A74054E" w14:textId="77777777" w:rsidR="001C08A5" w:rsidRDefault="00000000">
      <w:pPr>
        <w:pStyle w:val="TOC3"/>
        <w:tabs>
          <w:tab w:val="right" w:leader="dot" w:pos="9639"/>
        </w:tabs>
        <w:ind w:left="800"/>
      </w:pPr>
      <w:hyperlink w:anchor="_Toc1825" w:history="1">
        <w:r>
          <w:t>7.7. ECHIPAREA CONSTRUCŢIILOR CU INSTALAŢII ŞI MIJLOACE DE STINGERE A INCENDIILOR</w:t>
        </w:r>
        <w:r>
          <w:tab/>
        </w:r>
        <w:r>
          <w:fldChar w:fldCharType="begin"/>
        </w:r>
        <w:r>
          <w:instrText xml:space="preserve"> PAGEREF _Toc1825 \h </w:instrText>
        </w:r>
        <w:r>
          <w:fldChar w:fldCharType="separate"/>
        </w:r>
        <w:r>
          <w:t>344</w:t>
        </w:r>
        <w:r>
          <w:fldChar w:fldCharType="end"/>
        </w:r>
      </w:hyperlink>
    </w:p>
    <w:p w14:paraId="0FFC58EE" w14:textId="77777777" w:rsidR="001C08A5" w:rsidRDefault="00000000">
      <w:pPr>
        <w:pStyle w:val="TOC1"/>
        <w:tabs>
          <w:tab w:val="right" w:leader="dot" w:pos="9639"/>
        </w:tabs>
      </w:pPr>
      <w:hyperlink w:anchor="_Toc15244" w:history="1">
        <w:r>
          <w:t>CAPITOLUL 8</w:t>
        </w:r>
        <w:r>
          <w:tab/>
        </w:r>
        <w:r>
          <w:fldChar w:fldCharType="begin"/>
        </w:r>
        <w:r>
          <w:instrText xml:space="preserve"> PAGEREF _Toc15244 \h </w:instrText>
        </w:r>
        <w:r>
          <w:fldChar w:fldCharType="separate"/>
        </w:r>
        <w:r>
          <w:t>345</w:t>
        </w:r>
        <w:r>
          <w:fldChar w:fldCharType="end"/>
        </w:r>
      </w:hyperlink>
    </w:p>
    <w:p w14:paraId="5EEC62E6" w14:textId="77777777" w:rsidR="001C08A5" w:rsidRDefault="00000000">
      <w:pPr>
        <w:pStyle w:val="TOC2"/>
        <w:tabs>
          <w:tab w:val="right" w:leader="dot" w:pos="9639"/>
        </w:tabs>
        <w:ind w:left="400"/>
      </w:pPr>
      <w:hyperlink w:anchor="_Toc13301" w:history="1">
        <w:r>
          <w:t>SISTEME DE EVACUARE A FUMULUI ŞI A GAZELOR FIERBINŢI ÎN CAZ DE INCENDIU</w:t>
        </w:r>
        <w:r>
          <w:tab/>
        </w:r>
        <w:r>
          <w:fldChar w:fldCharType="begin"/>
        </w:r>
        <w:r>
          <w:instrText xml:space="preserve"> PAGEREF _Toc13301 \h </w:instrText>
        </w:r>
        <w:r>
          <w:fldChar w:fldCharType="separate"/>
        </w:r>
        <w:r>
          <w:t>345</w:t>
        </w:r>
        <w:r>
          <w:fldChar w:fldCharType="end"/>
        </w:r>
      </w:hyperlink>
    </w:p>
    <w:p w14:paraId="2D9AF37D" w14:textId="77777777" w:rsidR="001C08A5" w:rsidRDefault="00000000">
      <w:pPr>
        <w:pStyle w:val="TOC3"/>
        <w:tabs>
          <w:tab w:val="right" w:leader="dot" w:pos="9639"/>
        </w:tabs>
        <w:ind w:left="800"/>
      </w:pPr>
      <w:hyperlink w:anchor="_Toc26168" w:history="1">
        <w:r>
          <w:t>8.1. Dispoziţii generale</w:t>
        </w:r>
        <w:r>
          <w:tab/>
        </w:r>
        <w:r>
          <w:fldChar w:fldCharType="begin"/>
        </w:r>
        <w:r>
          <w:instrText xml:space="preserve"> PAGEREF _Toc26168 \h </w:instrText>
        </w:r>
        <w:r>
          <w:fldChar w:fldCharType="separate"/>
        </w:r>
        <w:r>
          <w:t>345</w:t>
        </w:r>
        <w:r>
          <w:fldChar w:fldCharType="end"/>
        </w:r>
      </w:hyperlink>
    </w:p>
    <w:p w14:paraId="2C7BC566" w14:textId="77777777" w:rsidR="001C08A5" w:rsidRDefault="00000000">
      <w:pPr>
        <w:pStyle w:val="TOC3"/>
        <w:tabs>
          <w:tab w:val="right" w:leader="dot" w:pos="9639"/>
        </w:tabs>
        <w:ind w:left="800"/>
      </w:pPr>
      <w:hyperlink w:anchor="_Toc5082" w:history="1">
        <w:r>
          <w:t>8.2. Evacuarea fumului prin tiraj natural - organizat</w:t>
        </w:r>
        <w:r>
          <w:tab/>
        </w:r>
        <w:r>
          <w:fldChar w:fldCharType="begin"/>
        </w:r>
        <w:r>
          <w:instrText xml:space="preserve"> PAGEREF _Toc5082 \h </w:instrText>
        </w:r>
        <w:r>
          <w:fldChar w:fldCharType="separate"/>
        </w:r>
        <w:r>
          <w:t>354</w:t>
        </w:r>
        <w:r>
          <w:fldChar w:fldCharType="end"/>
        </w:r>
      </w:hyperlink>
    </w:p>
    <w:p w14:paraId="23509C5E" w14:textId="77777777" w:rsidR="001C08A5" w:rsidRDefault="00000000">
      <w:pPr>
        <w:pStyle w:val="TOC3"/>
        <w:tabs>
          <w:tab w:val="right" w:leader="dot" w:pos="9639"/>
        </w:tabs>
        <w:ind w:left="800"/>
      </w:pPr>
      <w:hyperlink w:anchor="_Toc4008" w:history="1">
        <w:r>
          <w:t>8.3. Evacuarea fumului prin ventilare mecanică</w:t>
        </w:r>
        <w:r>
          <w:tab/>
        </w:r>
        <w:r>
          <w:fldChar w:fldCharType="begin"/>
        </w:r>
        <w:r>
          <w:instrText xml:space="preserve"> PAGEREF _Toc4008 \h </w:instrText>
        </w:r>
        <w:r>
          <w:fldChar w:fldCharType="separate"/>
        </w:r>
        <w:r>
          <w:t>356</w:t>
        </w:r>
        <w:r>
          <w:fldChar w:fldCharType="end"/>
        </w:r>
      </w:hyperlink>
    </w:p>
    <w:p w14:paraId="668B9278" w14:textId="77777777" w:rsidR="001C08A5" w:rsidRDefault="00000000">
      <w:pPr>
        <w:pStyle w:val="TOC3"/>
        <w:tabs>
          <w:tab w:val="right" w:leader="dot" w:pos="9639"/>
        </w:tabs>
        <w:ind w:left="800"/>
      </w:pPr>
      <w:hyperlink w:anchor="_Toc7483" w:history="1">
        <w:r>
          <w:t>8.4. Tubulaturi de evacuare a fumului şi de admisie a aerului, ghene, ventilatoare</w:t>
        </w:r>
        <w:r>
          <w:tab/>
        </w:r>
        <w:r>
          <w:fldChar w:fldCharType="begin"/>
        </w:r>
        <w:r>
          <w:instrText xml:space="preserve"> PAGEREF _Toc7483 \h </w:instrText>
        </w:r>
        <w:r>
          <w:fldChar w:fldCharType="separate"/>
        </w:r>
        <w:r>
          <w:t>357</w:t>
        </w:r>
        <w:r>
          <w:fldChar w:fldCharType="end"/>
        </w:r>
      </w:hyperlink>
    </w:p>
    <w:p w14:paraId="137EFB02" w14:textId="77777777" w:rsidR="001C08A5" w:rsidRDefault="00000000">
      <w:pPr>
        <w:pStyle w:val="TOC3"/>
        <w:tabs>
          <w:tab w:val="right" w:leader="dot" w:pos="9639"/>
        </w:tabs>
        <w:ind w:left="800"/>
      </w:pPr>
      <w:hyperlink w:anchor="_Toc21580" w:history="1">
        <w:r>
          <w:t>8.5. Case de scări închise și circulații comune orizontale închise</w:t>
        </w:r>
        <w:r>
          <w:tab/>
        </w:r>
        <w:r>
          <w:fldChar w:fldCharType="begin"/>
        </w:r>
        <w:r>
          <w:instrText xml:space="preserve"> PAGEREF _Toc21580 \h </w:instrText>
        </w:r>
        <w:r>
          <w:fldChar w:fldCharType="separate"/>
        </w:r>
        <w:r>
          <w:t>360</w:t>
        </w:r>
        <w:r>
          <w:fldChar w:fldCharType="end"/>
        </w:r>
      </w:hyperlink>
    </w:p>
    <w:p w14:paraId="09704768" w14:textId="77777777" w:rsidR="001C08A5" w:rsidRDefault="00000000">
      <w:pPr>
        <w:pStyle w:val="TOC3"/>
        <w:tabs>
          <w:tab w:val="right" w:leader="dot" w:pos="9639"/>
        </w:tabs>
        <w:ind w:left="800"/>
      </w:pPr>
      <w:hyperlink w:anchor="_Toc29617" w:history="1">
        <w:r>
          <w:t>8.6. Atriumuri</w:t>
        </w:r>
        <w:r>
          <w:tab/>
        </w:r>
        <w:r>
          <w:fldChar w:fldCharType="begin"/>
        </w:r>
        <w:r>
          <w:instrText xml:space="preserve"> PAGEREF _Toc29617 \h </w:instrText>
        </w:r>
        <w:r>
          <w:fldChar w:fldCharType="separate"/>
        </w:r>
        <w:r>
          <w:t>363</w:t>
        </w:r>
        <w:r>
          <w:fldChar w:fldCharType="end"/>
        </w:r>
      </w:hyperlink>
    </w:p>
    <w:p w14:paraId="337025CB" w14:textId="77777777" w:rsidR="001C08A5" w:rsidRDefault="00000000">
      <w:pPr>
        <w:pStyle w:val="TOC3"/>
        <w:tabs>
          <w:tab w:val="right" w:leader="dot" w:pos="9639"/>
        </w:tabs>
        <w:ind w:left="800"/>
      </w:pPr>
      <w:hyperlink w:anchor="_Toc21356" w:history="1">
        <w:r>
          <w:t>8.7. Metoda simplificata de calcul pentru evacuarea fumului şi a gazelor fierbinţi în caz de incendiu</w:t>
        </w:r>
        <w:r>
          <w:tab/>
        </w:r>
        <w:r>
          <w:fldChar w:fldCharType="begin"/>
        </w:r>
        <w:r>
          <w:instrText xml:space="preserve"> PAGEREF _Toc21356 \h </w:instrText>
        </w:r>
        <w:r>
          <w:fldChar w:fldCharType="separate"/>
        </w:r>
        <w:r>
          <w:t>364</w:t>
        </w:r>
        <w:r>
          <w:fldChar w:fldCharType="end"/>
        </w:r>
      </w:hyperlink>
    </w:p>
    <w:p w14:paraId="70669B62" w14:textId="77777777" w:rsidR="001C08A5" w:rsidRDefault="00000000">
      <w:pPr>
        <w:pStyle w:val="TOC1"/>
        <w:tabs>
          <w:tab w:val="right" w:leader="dot" w:pos="9639"/>
        </w:tabs>
      </w:pPr>
      <w:hyperlink w:anchor="_Toc4614" w:history="1">
        <w:r>
          <w:t>CAPITOLUL 9</w:t>
        </w:r>
        <w:r>
          <w:tab/>
        </w:r>
        <w:r>
          <w:fldChar w:fldCharType="begin"/>
        </w:r>
        <w:r>
          <w:instrText xml:space="preserve"> PAGEREF _Toc4614 \h </w:instrText>
        </w:r>
        <w:r>
          <w:fldChar w:fldCharType="separate"/>
        </w:r>
        <w:r>
          <w:t>366</w:t>
        </w:r>
        <w:r>
          <w:fldChar w:fldCharType="end"/>
        </w:r>
      </w:hyperlink>
    </w:p>
    <w:p w14:paraId="2B63F91C" w14:textId="77777777" w:rsidR="001C08A5" w:rsidRDefault="00000000">
      <w:pPr>
        <w:pStyle w:val="TOC2"/>
        <w:tabs>
          <w:tab w:val="right" w:leader="dot" w:pos="9639"/>
        </w:tabs>
        <w:ind w:left="400"/>
      </w:pPr>
      <w:hyperlink w:anchor="_Toc1494" w:history="1">
        <w:r>
          <w:t>INTERVENTII LA CONSTRUCȚII EXISTENTE CARE CONSTITUIE FOND CONSTRUIT ANTERIOR DATEI INTRĂRII ÎN VIGOARE A NORMATIVULUI</w:t>
        </w:r>
        <w:r>
          <w:tab/>
        </w:r>
        <w:r>
          <w:fldChar w:fldCharType="begin"/>
        </w:r>
        <w:r>
          <w:instrText xml:space="preserve"> PAGEREF _Toc1494 \h </w:instrText>
        </w:r>
        <w:r>
          <w:fldChar w:fldCharType="separate"/>
        </w:r>
        <w:r>
          <w:t>366</w:t>
        </w:r>
        <w:r>
          <w:fldChar w:fldCharType="end"/>
        </w:r>
      </w:hyperlink>
    </w:p>
    <w:p w14:paraId="3558806A" w14:textId="77777777" w:rsidR="001C08A5" w:rsidRDefault="00000000">
      <w:pPr>
        <w:pStyle w:val="TOC1"/>
        <w:tabs>
          <w:tab w:val="right" w:leader="dot" w:pos="9639"/>
        </w:tabs>
      </w:pPr>
      <w:hyperlink w:anchor="_Toc32441" w:history="1">
        <w:r>
          <w:t>ANEXE</w:t>
        </w:r>
        <w:r>
          <w:tab/>
        </w:r>
        <w:r>
          <w:fldChar w:fldCharType="begin"/>
        </w:r>
        <w:r>
          <w:instrText xml:space="preserve"> PAGEREF _Toc32441 \h </w:instrText>
        </w:r>
        <w:r>
          <w:fldChar w:fldCharType="separate"/>
        </w:r>
        <w:r>
          <w:t>368</w:t>
        </w:r>
        <w:r>
          <w:fldChar w:fldCharType="end"/>
        </w:r>
      </w:hyperlink>
    </w:p>
    <w:p w14:paraId="1F4322CC" w14:textId="77777777" w:rsidR="001C08A5" w:rsidRDefault="00000000">
      <w:pPr>
        <w:pStyle w:val="TOC2"/>
        <w:tabs>
          <w:tab w:val="right" w:leader="dot" w:pos="9639"/>
        </w:tabs>
        <w:ind w:left="400"/>
      </w:pPr>
      <w:hyperlink w:anchor="_Toc11655" w:history="1">
        <w:r>
          <w:t>ANEXA 1  - AMPLASARE CONSTRUCȚII</w:t>
        </w:r>
        <w:r>
          <w:tab/>
        </w:r>
        <w:r>
          <w:fldChar w:fldCharType="begin"/>
        </w:r>
        <w:r>
          <w:instrText xml:space="preserve"> PAGEREF _Toc11655 \h </w:instrText>
        </w:r>
        <w:r>
          <w:fldChar w:fldCharType="separate"/>
        </w:r>
        <w:r>
          <w:t>368</w:t>
        </w:r>
        <w:r>
          <w:fldChar w:fldCharType="end"/>
        </w:r>
      </w:hyperlink>
    </w:p>
    <w:p w14:paraId="6D9AC01A" w14:textId="77777777" w:rsidR="001C08A5" w:rsidRDefault="00000000">
      <w:pPr>
        <w:pStyle w:val="TOC2"/>
        <w:tabs>
          <w:tab w:val="right" w:leader="dot" w:pos="9639"/>
        </w:tabs>
        <w:ind w:left="400"/>
      </w:pPr>
      <w:hyperlink w:anchor="_Toc20840" w:history="1">
        <w:r>
          <w:t>ANEXA 2  - PEREŢI ANTIFOC ȘI PERETI DE SECTORIZARE</w:t>
        </w:r>
        <w:r>
          <w:tab/>
        </w:r>
        <w:r>
          <w:fldChar w:fldCharType="begin"/>
        </w:r>
        <w:r>
          <w:instrText xml:space="preserve"> PAGEREF _Toc20840 \h </w:instrText>
        </w:r>
        <w:r>
          <w:fldChar w:fldCharType="separate"/>
        </w:r>
        <w:r>
          <w:t>373</w:t>
        </w:r>
        <w:r>
          <w:fldChar w:fldCharType="end"/>
        </w:r>
      </w:hyperlink>
    </w:p>
    <w:p w14:paraId="64C89709" w14:textId="77777777" w:rsidR="001C08A5" w:rsidRDefault="00000000">
      <w:pPr>
        <w:pStyle w:val="TOC3"/>
        <w:tabs>
          <w:tab w:val="right" w:leader="dot" w:pos="9639"/>
        </w:tabs>
        <w:ind w:left="800"/>
      </w:pPr>
      <w:hyperlink w:anchor="_Toc7897" w:history="1">
        <w:r>
          <w:rPr>
            <w:i/>
            <w:iCs/>
            <w:szCs w:val="24"/>
          </w:rPr>
          <w:t>ANEXA 2.1 - PEREŢI ANTIFOC ȘI PROTECŢIA GOLURILOR FUNCŢIONALE DIN PEREŢII ANTIFOC</w:t>
        </w:r>
        <w:r>
          <w:tab/>
        </w:r>
        <w:r>
          <w:fldChar w:fldCharType="begin"/>
        </w:r>
        <w:r>
          <w:instrText xml:space="preserve"> PAGEREF _Toc7897 \h </w:instrText>
        </w:r>
        <w:r>
          <w:fldChar w:fldCharType="separate"/>
        </w:r>
        <w:r>
          <w:t>373</w:t>
        </w:r>
        <w:r>
          <w:fldChar w:fldCharType="end"/>
        </w:r>
      </w:hyperlink>
    </w:p>
    <w:p w14:paraId="7E571C31" w14:textId="77777777" w:rsidR="001C08A5" w:rsidRDefault="00000000">
      <w:pPr>
        <w:pStyle w:val="TOC4"/>
        <w:tabs>
          <w:tab w:val="right" w:leader="dot" w:pos="9639"/>
        </w:tabs>
        <w:ind w:left="1200"/>
      </w:pPr>
      <w:hyperlink w:anchor="_Toc30231" w:history="1">
        <w:r>
          <w:rPr>
            <w:szCs w:val="24"/>
          </w:rPr>
          <w:t>Pereţi antifoc</w:t>
        </w:r>
        <w:r>
          <w:tab/>
        </w:r>
        <w:r>
          <w:fldChar w:fldCharType="begin"/>
        </w:r>
        <w:r>
          <w:instrText xml:space="preserve"> PAGEREF _Toc30231 \h </w:instrText>
        </w:r>
        <w:r>
          <w:fldChar w:fldCharType="separate"/>
        </w:r>
        <w:r>
          <w:t>373</w:t>
        </w:r>
        <w:r>
          <w:fldChar w:fldCharType="end"/>
        </w:r>
      </w:hyperlink>
    </w:p>
    <w:p w14:paraId="6EE18187" w14:textId="77777777" w:rsidR="001C08A5" w:rsidRDefault="00000000">
      <w:pPr>
        <w:pStyle w:val="TOC4"/>
        <w:tabs>
          <w:tab w:val="right" w:leader="dot" w:pos="9639"/>
        </w:tabs>
        <w:ind w:left="1200"/>
      </w:pPr>
      <w:hyperlink w:anchor="_Toc8247" w:history="1">
        <w:r>
          <w:rPr>
            <w:szCs w:val="24"/>
          </w:rPr>
          <w:t>Protecția golurilor funcționale prevăzute în pereții antifoc</w:t>
        </w:r>
        <w:r>
          <w:tab/>
        </w:r>
        <w:r>
          <w:fldChar w:fldCharType="begin"/>
        </w:r>
        <w:r>
          <w:instrText xml:space="preserve"> PAGEREF _Toc8247 \h </w:instrText>
        </w:r>
        <w:r>
          <w:fldChar w:fldCharType="separate"/>
        </w:r>
        <w:r>
          <w:t>374</w:t>
        </w:r>
        <w:r>
          <w:fldChar w:fldCharType="end"/>
        </w:r>
      </w:hyperlink>
    </w:p>
    <w:p w14:paraId="5C331074" w14:textId="77777777" w:rsidR="001C08A5" w:rsidRDefault="00000000">
      <w:pPr>
        <w:pStyle w:val="TOC3"/>
        <w:tabs>
          <w:tab w:val="right" w:leader="dot" w:pos="9639"/>
        </w:tabs>
        <w:ind w:left="800"/>
      </w:pPr>
      <w:hyperlink w:anchor="_Toc16330" w:history="1">
        <w:r>
          <w:rPr>
            <w:i/>
            <w:iCs/>
            <w:szCs w:val="24"/>
          </w:rPr>
          <w:t>ANEXA 2.2 - PEREȚI ANTIFOC ȘI PEREȚI REZISTENȚI LA FOC LA HALE</w:t>
        </w:r>
        <w:r>
          <w:tab/>
        </w:r>
        <w:r>
          <w:fldChar w:fldCharType="begin"/>
        </w:r>
        <w:r>
          <w:instrText xml:space="preserve"> PAGEREF _Toc16330 \h </w:instrText>
        </w:r>
        <w:r>
          <w:fldChar w:fldCharType="separate"/>
        </w:r>
        <w:r>
          <w:t>378</w:t>
        </w:r>
        <w:r>
          <w:fldChar w:fldCharType="end"/>
        </w:r>
      </w:hyperlink>
    </w:p>
    <w:p w14:paraId="2E0B0816" w14:textId="77777777" w:rsidR="001C08A5" w:rsidRDefault="00000000">
      <w:pPr>
        <w:pStyle w:val="TOC3"/>
        <w:tabs>
          <w:tab w:val="right" w:leader="dot" w:pos="9639"/>
        </w:tabs>
        <w:ind w:left="800"/>
      </w:pPr>
      <w:hyperlink w:anchor="_Toc16934" w:history="1">
        <w:r>
          <w:rPr>
            <w:i/>
            <w:iCs/>
            <w:szCs w:val="24"/>
          </w:rPr>
          <w:t>ANEXA 2.3 - PEREŢI SE SECTORIZARE CU ROL DE LIMITARE A PROPAGĂRII FOCULUI (DE PROTECŢIE CONTRA INCENDIILOR CARE LIMITEAZĂ PROPAGAREA ÎN INTERIORUL COMPARTIMENTELOR DE INCENDIU)</w:t>
        </w:r>
        <w:r>
          <w:tab/>
        </w:r>
        <w:r>
          <w:fldChar w:fldCharType="begin"/>
        </w:r>
        <w:r>
          <w:instrText xml:space="preserve"> PAGEREF _Toc16934 \h </w:instrText>
        </w:r>
        <w:r>
          <w:fldChar w:fldCharType="separate"/>
        </w:r>
        <w:r>
          <w:t>381</w:t>
        </w:r>
        <w:r>
          <w:fldChar w:fldCharType="end"/>
        </w:r>
      </w:hyperlink>
    </w:p>
    <w:p w14:paraId="7841F494" w14:textId="77777777" w:rsidR="001C08A5" w:rsidRDefault="00000000">
      <w:pPr>
        <w:pStyle w:val="TOC3"/>
        <w:tabs>
          <w:tab w:val="right" w:leader="dot" w:pos="9639"/>
        </w:tabs>
        <w:ind w:left="800"/>
      </w:pPr>
      <w:hyperlink w:anchor="_Toc29604" w:history="1">
        <w:r>
          <w:rPr>
            <w:i/>
            <w:iCs/>
            <w:szCs w:val="24"/>
          </w:rPr>
          <w:t>ANEXA 2.4 - PEREȚI ANTIFOC ȘI PEREŢI  DE SECTORIZARE</w:t>
        </w:r>
        <w:r>
          <w:tab/>
        </w:r>
        <w:r>
          <w:fldChar w:fldCharType="begin"/>
        </w:r>
        <w:r>
          <w:instrText xml:space="preserve"> PAGEREF _Toc29604 \h </w:instrText>
        </w:r>
        <w:r>
          <w:fldChar w:fldCharType="separate"/>
        </w:r>
        <w:r>
          <w:t>383</w:t>
        </w:r>
        <w:r>
          <w:fldChar w:fldCharType="end"/>
        </w:r>
      </w:hyperlink>
    </w:p>
    <w:p w14:paraId="1550C1A3" w14:textId="77777777" w:rsidR="001C08A5" w:rsidRDefault="00000000">
      <w:pPr>
        <w:pStyle w:val="TOC2"/>
        <w:tabs>
          <w:tab w:val="right" w:leader="dot" w:pos="9639"/>
        </w:tabs>
        <w:ind w:left="400"/>
      </w:pPr>
      <w:hyperlink w:anchor="_Toc7720" w:history="1">
        <w:r>
          <w:t>ANEXA 3  - LIMITAREA PROPAGĂRII INCENDIILOR PE FAȚADĂ</w:t>
        </w:r>
        <w:r>
          <w:tab/>
        </w:r>
        <w:r>
          <w:fldChar w:fldCharType="begin"/>
        </w:r>
        <w:r>
          <w:instrText xml:space="preserve"> PAGEREF _Toc7720 \h </w:instrText>
        </w:r>
        <w:r>
          <w:fldChar w:fldCharType="separate"/>
        </w:r>
        <w:r>
          <w:t>387</w:t>
        </w:r>
        <w:r>
          <w:fldChar w:fldCharType="end"/>
        </w:r>
      </w:hyperlink>
    </w:p>
    <w:p w14:paraId="56214508" w14:textId="77777777" w:rsidR="001C08A5" w:rsidRDefault="00000000">
      <w:pPr>
        <w:pStyle w:val="TOC3"/>
        <w:tabs>
          <w:tab w:val="right" w:leader="dot" w:pos="9639"/>
        </w:tabs>
        <w:ind w:left="800"/>
      </w:pPr>
      <w:hyperlink w:anchor="_Toc20284" w:history="1">
        <w:r>
          <w:rPr>
            <w:i/>
            <w:iCs/>
            <w:szCs w:val="24"/>
          </w:rPr>
          <w:t>ANEXA 3.1 - PREVEDERI GENERALE</w:t>
        </w:r>
        <w:r>
          <w:tab/>
        </w:r>
        <w:r>
          <w:fldChar w:fldCharType="begin"/>
        </w:r>
        <w:r>
          <w:instrText xml:space="preserve"> PAGEREF _Toc20284 \h </w:instrText>
        </w:r>
        <w:r>
          <w:fldChar w:fldCharType="separate"/>
        </w:r>
        <w:r>
          <w:t>387</w:t>
        </w:r>
        <w:r>
          <w:fldChar w:fldCharType="end"/>
        </w:r>
      </w:hyperlink>
    </w:p>
    <w:p w14:paraId="5562344C" w14:textId="77777777" w:rsidR="001C08A5" w:rsidRDefault="00000000">
      <w:pPr>
        <w:pStyle w:val="TOC3"/>
        <w:tabs>
          <w:tab w:val="right" w:leader="dot" w:pos="9639"/>
        </w:tabs>
        <w:ind w:left="800"/>
      </w:pPr>
      <w:hyperlink w:anchor="_Toc1264" w:history="1">
        <w:r>
          <w:rPr>
            <w:i/>
            <w:iCs/>
            <w:szCs w:val="24"/>
          </w:rPr>
          <w:t>ANEXA 3.2 - REGULA H + L</w:t>
        </w:r>
        <w:r>
          <w:tab/>
        </w:r>
        <w:r>
          <w:fldChar w:fldCharType="begin"/>
        </w:r>
        <w:r>
          <w:instrText xml:space="preserve"> PAGEREF _Toc1264 \h </w:instrText>
        </w:r>
        <w:r>
          <w:fldChar w:fldCharType="separate"/>
        </w:r>
        <w:r>
          <w:t>388</w:t>
        </w:r>
        <w:r>
          <w:fldChar w:fldCharType="end"/>
        </w:r>
      </w:hyperlink>
    </w:p>
    <w:p w14:paraId="337D3322" w14:textId="77777777" w:rsidR="001C08A5" w:rsidRDefault="00000000">
      <w:pPr>
        <w:pStyle w:val="TOC4"/>
        <w:tabs>
          <w:tab w:val="right" w:leader="dot" w:pos="9639"/>
        </w:tabs>
        <w:ind w:left="1200"/>
      </w:pPr>
      <w:hyperlink w:anchor="_Toc28742" w:history="1">
        <w:r>
          <w:rPr>
            <w:szCs w:val="24"/>
          </w:rPr>
          <w:t>Definirea indicilor H și L (definire)</w:t>
        </w:r>
        <w:r>
          <w:tab/>
        </w:r>
        <w:r>
          <w:fldChar w:fldCharType="begin"/>
        </w:r>
        <w:r>
          <w:instrText xml:space="preserve"> PAGEREF _Toc28742 \h </w:instrText>
        </w:r>
        <w:r>
          <w:fldChar w:fldCharType="separate"/>
        </w:r>
        <w:r>
          <w:t>388</w:t>
        </w:r>
        <w:r>
          <w:fldChar w:fldCharType="end"/>
        </w:r>
      </w:hyperlink>
    </w:p>
    <w:p w14:paraId="651F6BED" w14:textId="77777777" w:rsidR="001C08A5" w:rsidRDefault="00000000">
      <w:pPr>
        <w:pStyle w:val="TOC4"/>
        <w:tabs>
          <w:tab w:val="right" w:leader="dot" w:pos="9639"/>
        </w:tabs>
        <w:ind w:left="1200"/>
      </w:pPr>
      <w:hyperlink w:anchor="_Toc16431" w:history="1">
        <w:r>
          <w:rPr>
            <w:szCs w:val="24"/>
          </w:rPr>
          <w:t>Soluții constructive cu H + L</w:t>
        </w:r>
        <w:r>
          <w:tab/>
        </w:r>
        <w:r>
          <w:fldChar w:fldCharType="begin"/>
        </w:r>
        <w:r>
          <w:instrText xml:space="preserve"> PAGEREF _Toc16431 \h </w:instrText>
        </w:r>
        <w:r>
          <w:fldChar w:fldCharType="separate"/>
        </w:r>
        <w:r>
          <w:t>389</w:t>
        </w:r>
        <w:r>
          <w:fldChar w:fldCharType="end"/>
        </w:r>
      </w:hyperlink>
    </w:p>
    <w:p w14:paraId="017C555E" w14:textId="77777777" w:rsidR="001C08A5" w:rsidRDefault="00000000">
      <w:pPr>
        <w:pStyle w:val="TOC4"/>
        <w:tabs>
          <w:tab w:val="right" w:leader="dot" w:pos="9639"/>
        </w:tabs>
        <w:ind w:left="1200"/>
      </w:pPr>
      <w:hyperlink w:anchor="_Toc29304" w:history="1">
        <w:r>
          <w:rPr>
            <w:szCs w:val="24"/>
          </w:rPr>
          <w:t>Exemple de măsurători H și L – general</w:t>
        </w:r>
        <w:r>
          <w:tab/>
        </w:r>
        <w:r>
          <w:fldChar w:fldCharType="begin"/>
        </w:r>
        <w:r>
          <w:instrText xml:space="preserve"> PAGEREF _Toc29304 \h </w:instrText>
        </w:r>
        <w:r>
          <w:fldChar w:fldCharType="separate"/>
        </w:r>
        <w:r>
          <w:t>390</w:t>
        </w:r>
        <w:r>
          <w:fldChar w:fldCharType="end"/>
        </w:r>
      </w:hyperlink>
    </w:p>
    <w:p w14:paraId="19E3AAB4" w14:textId="77777777" w:rsidR="001C08A5" w:rsidRDefault="00000000">
      <w:pPr>
        <w:pStyle w:val="TOC4"/>
        <w:tabs>
          <w:tab w:val="right" w:leader="dot" w:pos="9639"/>
        </w:tabs>
        <w:ind w:left="1200"/>
      </w:pPr>
      <w:hyperlink w:anchor="_Toc15925" w:history="1">
        <w:r>
          <w:rPr>
            <w:szCs w:val="24"/>
          </w:rPr>
          <w:t>Ferestre și uși de balcoane/ terasă</w:t>
        </w:r>
        <w:r>
          <w:tab/>
        </w:r>
        <w:r>
          <w:fldChar w:fldCharType="begin"/>
        </w:r>
        <w:r>
          <w:instrText xml:space="preserve"> PAGEREF _Toc15925 \h </w:instrText>
        </w:r>
        <w:r>
          <w:fldChar w:fldCharType="separate"/>
        </w:r>
        <w:r>
          <w:t>391</w:t>
        </w:r>
        <w:r>
          <w:fldChar w:fldCharType="end"/>
        </w:r>
      </w:hyperlink>
    </w:p>
    <w:p w14:paraId="4E186DAB" w14:textId="77777777" w:rsidR="001C08A5" w:rsidRDefault="00000000">
      <w:pPr>
        <w:pStyle w:val="TOC5"/>
        <w:tabs>
          <w:tab w:val="right" w:leader="dot" w:pos="9639"/>
        </w:tabs>
        <w:ind w:left="1600"/>
      </w:pPr>
      <w:hyperlink w:anchor="_Toc22335" w:history="1">
        <w:r>
          <w:rPr>
            <w:szCs w:val="24"/>
          </w:rPr>
          <w:t>Tipuri de balcoane</w:t>
        </w:r>
        <w:r>
          <w:tab/>
        </w:r>
        <w:r>
          <w:fldChar w:fldCharType="begin"/>
        </w:r>
        <w:r>
          <w:instrText xml:space="preserve"> PAGEREF _Toc22335 \h </w:instrText>
        </w:r>
        <w:r>
          <w:fldChar w:fldCharType="separate"/>
        </w:r>
        <w:r>
          <w:t>391</w:t>
        </w:r>
        <w:r>
          <w:fldChar w:fldCharType="end"/>
        </w:r>
      </w:hyperlink>
    </w:p>
    <w:p w14:paraId="1A3419E5" w14:textId="77777777" w:rsidR="001C08A5" w:rsidRDefault="00000000">
      <w:pPr>
        <w:pStyle w:val="TOC4"/>
        <w:tabs>
          <w:tab w:val="right" w:leader="dot" w:pos="9639"/>
        </w:tabs>
        <w:ind w:left="1200"/>
      </w:pPr>
      <w:hyperlink w:anchor="_Toc6593" w:history="1">
        <w:r>
          <w:rPr>
            <w:rFonts w:eastAsia="Calibri" w:cs="Mangal"/>
            <w:bCs/>
            <w:i/>
            <w:szCs w:val="24"/>
          </w:rPr>
          <w:t>Exemple de limitare a propagării incendiului pe faţadă</w:t>
        </w:r>
        <w:r>
          <w:tab/>
        </w:r>
        <w:r>
          <w:fldChar w:fldCharType="begin"/>
        </w:r>
        <w:r>
          <w:instrText xml:space="preserve"> PAGEREF _Toc6593 \h </w:instrText>
        </w:r>
        <w:r>
          <w:fldChar w:fldCharType="separate"/>
        </w:r>
        <w:r>
          <w:t>393</w:t>
        </w:r>
        <w:r>
          <w:fldChar w:fldCharType="end"/>
        </w:r>
      </w:hyperlink>
    </w:p>
    <w:p w14:paraId="5BD21D0A" w14:textId="77777777" w:rsidR="001C08A5" w:rsidRDefault="00000000">
      <w:pPr>
        <w:pStyle w:val="TOC3"/>
        <w:tabs>
          <w:tab w:val="right" w:leader="dot" w:pos="9639"/>
        </w:tabs>
        <w:ind w:left="800"/>
      </w:pPr>
      <w:hyperlink w:anchor="_Toc11357" w:history="1">
        <w:r>
          <w:rPr>
            <w:i/>
            <w:iCs/>
            <w:szCs w:val="24"/>
          </w:rPr>
          <w:t>ANEXA 3.3 - FÂȘII (BENZI) PENTRU SISTEME COMPOZITE DE IZOLARE TERMICĂ - P</w:t>
        </w:r>
        <w:r>
          <w:rPr>
            <w:i/>
            <w:iCs/>
            <w:szCs w:val="24"/>
            <w:lang w:val="en-GB"/>
          </w:rPr>
          <w:t xml:space="preserve">RINCIPII </w:t>
        </w:r>
        <w:r>
          <w:rPr>
            <w:i/>
            <w:iCs/>
            <w:szCs w:val="24"/>
          </w:rPr>
          <w:t xml:space="preserve">DE </w:t>
        </w:r>
        <w:r>
          <w:rPr>
            <w:i/>
            <w:iCs/>
            <w:szCs w:val="24"/>
            <w:lang w:val="en-GB"/>
          </w:rPr>
          <w:t>REALIZARE BORD</w:t>
        </w:r>
        <w:r>
          <w:rPr>
            <w:i/>
            <w:iCs/>
            <w:szCs w:val="24"/>
          </w:rPr>
          <w:t>Ă</w:t>
        </w:r>
        <w:r>
          <w:rPr>
            <w:i/>
            <w:iCs/>
            <w:szCs w:val="24"/>
            <w:lang w:val="en-GB"/>
          </w:rPr>
          <w:t xml:space="preserve">RI </w:t>
        </w:r>
        <w:r>
          <w:rPr>
            <w:i/>
            <w:iCs/>
            <w:szCs w:val="24"/>
          </w:rPr>
          <w:t>Ș</w:t>
        </w:r>
        <w:r>
          <w:rPr>
            <w:i/>
            <w:iCs/>
            <w:szCs w:val="24"/>
            <w:lang w:val="en-GB"/>
          </w:rPr>
          <w:t>I F</w:t>
        </w:r>
        <w:r>
          <w:rPr>
            <w:i/>
            <w:iCs/>
            <w:szCs w:val="24"/>
          </w:rPr>
          <w:t>ÂȘ</w:t>
        </w:r>
        <w:r>
          <w:rPr>
            <w:i/>
            <w:iCs/>
            <w:szCs w:val="24"/>
            <w:lang w:val="en-GB"/>
          </w:rPr>
          <w:t>II (BENZI) PENTRU</w:t>
        </w:r>
        <w:r>
          <w:rPr>
            <w:i/>
            <w:iCs/>
            <w:szCs w:val="24"/>
          </w:rPr>
          <w:t xml:space="preserve"> TERMOIZOLANTE ȘI/ SAU </w:t>
        </w:r>
        <w:r>
          <w:rPr>
            <w:i/>
            <w:iCs/>
            <w:szCs w:val="24"/>
            <w:lang w:val="en-GB"/>
          </w:rPr>
          <w:t>S</w:t>
        </w:r>
        <w:r>
          <w:rPr>
            <w:i/>
            <w:iCs/>
            <w:szCs w:val="24"/>
          </w:rPr>
          <w:t xml:space="preserve">ISTEME COMPOZITE DE IZOLARE TERMICĂ EXTERIOARĂ A PEREŢILOR PERIMETRALI, </w:t>
        </w:r>
        <w:r>
          <w:rPr>
            <w:i/>
            <w:iCs/>
            <w:szCs w:val="24"/>
            <w:lang w:val="en-GB"/>
          </w:rPr>
          <w:t xml:space="preserve">DIFERITE DE </w:t>
        </w:r>
        <w:r>
          <w:rPr>
            <w:i/>
            <w:iCs/>
            <w:szCs w:val="24"/>
          </w:rPr>
          <w:t>A1, A2-s1d</w:t>
        </w:r>
        <w:r>
          <w:rPr>
            <w:i/>
            <w:iCs/>
            <w:szCs w:val="24"/>
            <w:lang w:val="en-GB"/>
          </w:rPr>
          <w:t>0</w:t>
        </w:r>
        <w:r>
          <w:tab/>
        </w:r>
        <w:r>
          <w:fldChar w:fldCharType="begin"/>
        </w:r>
        <w:r>
          <w:instrText xml:space="preserve"> PAGEREF _Toc11357 \h </w:instrText>
        </w:r>
        <w:r>
          <w:fldChar w:fldCharType="separate"/>
        </w:r>
        <w:r>
          <w:t>394</w:t>
        </w:r>
        <w:r>
          <w:fldChar w:fldCharType="end"/>
        </w:r>
      </w:hyperlink>
    </w:p>
    <w:p w14:paraId="26B0E0FA" w14:textId="77777777" w:rsidR="001C08A5" w:rsidRDefault="00000000">
      <w:pPr>
        <w:pStyle w:val="TOC2"/>
        <w:tabs>
          <w:tab w:val="right" w:leader="dot" w:pos="9639"/>
        </w:tabs>
        <w:ind w:left="400"/>
      </w:pPr>
      <w:hyperlink w:anchor="_Toc31937" w:history="1">
        <w:r>
          <w:t>ANEXA 4 -  ALCĂTUIRI CONSTRUCTIVE</w:t>
        </w:r>
        <w:r>
          <w:tab/>
        </w:r>
        <w:r>
          <w:fldChar w:fldCharType="begin"/>
        </w:r>
        <w:r>
          <w:instrText xml:space="preserve"> PAGEREF _Toc31937 \h </w:instrText>
        </w:r>
        <w:r>
          <w:fldChar w:fldCharType="separate"/>
        </w:r>
        <w:r>
          <w:t>404</w:t>
        </w:r>
        <w:r>
          <w:fldChar w:fldCharType="end"/>
        </w:r>
      </w:hyperlink>
    </w:p>
    <w:p w14:paraId="6AB39037" w14:textId="77777777" w:rsidR="001C08A5" w:rsidRDefault="00000000">
      <w:pPr>
        <w:pStyle w:val="TOC3"/>
        <w:tabs>
          <w:tab w:val="right" w:leader="dot" w:pos="9639"/>
        </w:tabs>
        <w:ind w:left="800"/>
      </w:pPr>
      <w:hyperlink w:anchor="_Toc32489" w:history="1">
        <w:r>
          <w:rPr>
            <w:i/>
            <w:iCs/>
            <w:szCs w:val="24"/>
          </w:rPr>
          <w:t>ANEXA 4.1 - ASCENSOARE</w:t>
        </w:r>
        <w:r>
          <w:tab/>
        </w:r>
        <w:r>
          <w:fldChar w:fldCharType="begin"/>
        </w:r>
        <w:r>
          <w:instrText xml:space="preserve"> PAGEREF _Toc32489 \h </w:instrText>
        </w:r>
        <w:r>
          <w:fldChar w:fldCharType="separate"/>
        </w:r>
        <w:r>
          <w:t>404</w:t>
        </w:r>
        <w:r>
          <w:fldChar w:fldCharType="end"/>
        </w:r>
      </w:hyperlink>
    </w:p>
    <w:p w14:paraId="05B06D11" w14:textId="77777777" w:rsidR="001C08A5" w:rsidRDefault="00000000">
      <w:pPr>
        <w:pStyle w:val="TOC4"/>
        <w:tabs>
          <w:tab w:val="right" w:leader="dot" w:pos="9639"/>
        </w:tabs>
        <w:ind w:left="1200"/>
      </w:pPr>
      <w:hyperlink w:anchor="_Toc12542" w:history="1">
        <w:r>
          <w:rPr>
            <w:szCs w:val="24"/>
          </w:rPr>
          <w:t>Ascensoare - Generalități</w:t>
        </w:r>
        <w:r>
          <w:tab/>
        </w:r>
        <w:r>
          <w:fldChar w:fldCharType="begin"/>
        </w:r>
        <w:r>
          <w:instrText xml:space="preserve"> PAGEREF _Toc12542 \h </w:instrText>
        </w:r>
        <w:r>
          <w:fldChar w:fldCharType="separate"/>
        </w:r>
        <w:r>
          <w:t>404</w:t>
        </w:r>
        <w:r>
          <w:fldChar w:fldCharType="end"/>
        </w:r>
      </w:hyperlink>
    </w:p>
    <w:p w14:paraId="5C54EBE8" w14:textId="77777777" w:rsidR="001C08A5" w:rsidRDefault="00000000">
      <w:pPr>
        <w:pStyle w:val="TOC4"/>
        <w:tabs>
          <w:tab w:val="right" w:leader="dot" w:pos="9639"/>
        </w:tabs>
        <w:ind w:left="1200"/>
      </w:pPr>
      <w:hyperlink w:anchor="_Toc25160" w:history="1">
        <w:r>
          <w:rPr>
            <w:szCs w:val="24"/>
          </w:rPr>
          <w:t>Ascensoare pentru evacuarea persoanelor cu dizabilități și ascensoare pentru intervenție</w:t>
        </w:r>
        <w:r>
          <w:tab/>
        </w:r>
        <w:r>
          <w:fldChar w:fldCharType="begin"/>
        </w:r>
        <w:r>
          <w:instrText xml:space="preserve"> PAGEREF _Toc25160 \h </w:instrText>
        </w:r>
        <w:r>
          <w:fldChar w:fldCharType="separate"/>
        </w:r>
        <w:r>
          <w:t>405</w:t>
        </w:r>
        <w:r>
          <w:fldChar w:fldCharType="end"/>
        </w:r>
      </w:hyperlink>
    </w:p>
    <w:p w14:paraId="40EB0F1A" w14:textId="77777777" w:rsidR="001C08A5" w:rsidRDefault="00000000">
      <w:pPr>
        <w:pStyle w:val="TOC5"/>
        <w:tabs>
          <w:tab w:val="right" w:leader="dot" w:pos="9639"/>
        </w:tabs>
        <w:ind w:left="1600"/>
      </w:pPr>
      <w:hyperlink w:anchor="_Toc23327" w:history="1">
        <w:r>
          <w:rPr>
            <w:szCs w:val="24"/>
          </w:rPr>
          <w:t>Ascensoare prevăzute pentru transportul persoanelor cu căruciorul sau a persoanelor cu dizabilităţi care pot fi utilizate şi pentru evacuarea asistată a acestora în caz de incendiu</w:t>
        </w:r>
        <w:r>
          <w:tab/>
        </w:r>
        <w:r>
          <w:fldChar w:fldCharType="begin"/>
        </w:r>
        <w:r>
          <w:instrText xml:space="preserve"> PAGEREF _Toc23327 \h </w:instrText>
        </w:r>
        <w:r>
          <w:fldChar w:fldCharType="separate"/>
        </w:r>
        <w:r>
          <w:t>405</w:t>
        </w:r>
        <w:r>
          <w:fldChar w:fldCharType="end"/>
        </w:r>
      </w:hyperlink>
    </w:p>
    <w:p w14:paraId="14AF40E6" w14:textId="77777777" w:rsidR="001C08A5" w:rsidRDefault="00000000">
      <w:pPr>
        <w:pStyle w:val="TOC5"/>
        <w:tabs>
          <w:tab w:val="right" w:leader="dot" w:pos="9639"/>
        </w:tabs>
        <w:ind w:left="1600"/>
      </w:pPr>
      <w:hyperlink w:anchor="_Toc17681" w:history="1">
        <w:r>
          <w:rPr>
            <w:szCs w:val="24"/>
          </w:rPr>
          <w:t>Ascensoare prevăzute pentru transportul bolnavilor cu patul cu rotile, cu targa ori căruciorul sau a persoanelor cu dizabilităţi care pot fi utilizate şi pentru evacuarea asistată a acestora în caz de incendiu</w:t>
        </w:r>
        <w:r>
          <w:tab/>
        </w:r>
        <w:r>
          <w:fldChar w:fldCharType="begin"/>
        </w:r>
        <w:r>
          <w:instrText xml:space="preserve"> PAGEREF _Toc17681 \h </w:instrText>
        </w:r>
        <w:r>
          <w:fldChar w:fldCharType="separate"/>
        </w:r>
        <w:r>
          <w:t>410</w:t>
        </w:r>
        <w:r>
          <w:fldChar w:fldCharType="end"/>
        </w:r>
      </w:hyperlink>
    </w:p>
    <w:p w14:paraId="225972FA" w14:textId="77777777" w:rsidR="001C08A5" w:rsidRDefault="00000000">
      <w:pPr>
        <w:pStyle w:val="TOC5"/>
        <w:tabs>
          <w:tab w:val="right" w:leader="dot" w:pos="9639"/>
        </w:tabs>
        <w:ind w:left="1600"/>
      </w:pPr>
      <w:hyperlink w:anchor="_Toc23816" w:history="1">
        <w:r>
          <w:rPr>
            <w:szCs w:val="24"/>
          </w:rPr>
          <w:t>Ascensoare pentru intervenție</w:t>
        </w:r>
        <w:r>
          <w:tab/>
        </w:r>
        <w:r>
          <w:fldChar w:fldCharType="begin"/>
        </w:r>
        <w:r>
          <w:instrText xml:space="preserve"> PAGEREF _Toc23816 \h </w:instrText>
        </w:r>
        <w:r>
          <w:fldChar w:fldCharType="separate"/>
        </w:r>
        <w:r>
          <w:t>416</w:t>
        </w:r>
        <w:r>
          <w:fldChar w:fldCharType="end"/>
        </w:r>
      </w:hyperlink>
    </w:p>
    <w:p w14:paraId="5C9C95DE" w14:textId="77777777" w:rsidR="001C08A5" w:rsidRDefault="00000000">
      <w:pPr>
        <w:pStyle w:val="TOC6"/>
        <w:tabs>
          <w:tab w:val="right" w:leader="dot" w:pos="9639"/>
        </w:tabs>
        <w:ind w:left="2000"/>
      </w:pPr>
      <w:hyperlink w:anchor="_Toc15341" w:history="1">
        <w:r>
          <w:rPr>
            <w:i/>
            <w:iCs/>
          </w:rPr>
          <w:t>Prevederi generale</w:t>
        </w:r>
        <w:r>
          <w:tab/>
        </w:r>
        <w:r>
          <w:fldChar w:fldCharType="begin"/>
        </w:r>
        <w:r>
          <w:instrText xml:space="preserve"> PAGEREF _Toc15341 \h </w:instrText>
        </w:r>
        <w:r>
          <w:fldChar w:fldCharType="separate"/>
        </w:r>
        <w:r>
          <w:t>416</w:t>
        </w:r>
        <w:r>
          <w:fldChar w:fldCharType="end"/>
        </w:r>
      </w:hyperlink>
    </w:p>
    <w:p w14:paraId="7E2E5690" w14:textId="77777777" w:rsidR="001C08A5" w:rsidRDefault="00000000">
      <w:pPr>
        <w:pStyle w:val="TOC6"/>
        <w:tabs>
          <w:tab w:val="right" w:leader="dot" w:pos="9639"/>
        </w:tabs>
        <w:ind w:left="2000"/>
      </w:pPr>
      <w:hyperlink w:anchor="_Toc29263" w:history="1">
        <w:r>
          <w:rPr>
            <w:i/>
            <w:iCs/>
            <w:lang w:val="en-US"/>
          </w:rPr>
          <w:t>Puț protejat de acces și intervenție a pompierilor</w:t>
        </w:r>
        <w:r>
          <w:tab/>
        </w:r>
        <w:r>
          <w:fldChar w:fldCharType="begin"/>
        </w:r>
        <w:r>
          <w:instrText xml:space="preserve"> PAGEREF _Toc29263 \h </w:instrText>
        </w:r>
        <w:r>
          <w:fldChar w:fldCharType="separate"/>
        </w:r>
        <w:r>
          <w:t>423</w:t>
        </w:r>
        <w:r>
          <w:fldChar w:fldCharType="end"/>
        </w:r>
      </w:hyperlink>
    </w:p>
    <w:p w14:paraId="52BBC840" w14:textId="77777777" w:rsidR="001C08A5" w:rsidRDefault="00000000">
      <w:pPr>
        <w:pStyle w:val="TOC3"/>
        <w:tabs>
          <w:tab w:val="right" w:leader="dot" w:pos="9639"/>
        </w:tabs>
        <w:ind w:left="800"/>
      </w:pPr>
      <w:hyperlink w:anchor="_Toc16301" w:history="1">
        <w:r>
          <w:rPr>
            <w:i/>
            <w:iCs/>
            <w:szCs w:val="24"/>
          </w:rPr>
          <w:t>ANEXA 4.2 - ATRIUMURI</w:t>
        </w:r>
        <w:r>
          <w:tab/>
        </w:r>
        <w:r>
          <w:fldChar w:fldCharType="begin"/>
        </w:r>
        <w:r>
          <w:instrText xml:space="preserve"> PAGEREF _Toc16301 \h </w:instrText>
        </w:r>
        <w:r>
          <w:fldChar w:fldCharType="separate"/>
        </w:r>
        <w:r>
          <w:t>425</w:t>
        </w:r>
        <w:r>
          <w:fldChar w:fldCharType="end"/>
        </w:r>
      </w:hyperlink>
    </w:p>
    <w:p w14:paraId="08FE157F" w14:textId="77777777" w:rsidR="001C08A5" w:rsidRDefault="00000000">
      <w:pPr>
        <w:pStyle w:val="TOC4"/>
        <w:tabs>
          <w:tab w:val="right" w:leader="dot" w:pos="9639"/>
        </w:tabs>
        <w:ind w:left="1200"/>
      </w:pPr>
      <w:hyperlink w:anchor="_Toc2295" w:history="1">
        <w:r>
          <w:rPr>
            <w:szCs w:val="24"/>
          </w:rPr>
          <w:t>Generalități atriumuri</w:t>
        </w:r>
        <w:r>
          <w:tab/>
        </w:r>
        <w:r>
          <w:fldChar w:fldCharType="begin"/>
        </w:r>
        <w:r>
          <w:instrText xml:space="preserve"> PAGEREF _Toc2295 \h </w:instrText>
        </w:r>
        <w:r>
          <w:fldChar w:fldCharType="separate"/>
        </w:r>
        <w:r>
          <w:t>425</w:t>
        </w:r>
        <w:r>
          <w:fldChar w:fldCharType="end"/>
        </w:r>
      </w:hyperlink>
    </w:p>
    <w:p w14:paraId="168B5F3D" w14:textId="77777777" w:rsidR="001C08A5" w:rsidRDefault="00000000">
      <w:pPr>
        <w:pStyle w:val="TOC4"/>
        <w:tabs>
          <w:tab w:val="right" w:leader="dot" w:pos="9639"/>
        </w:tabs>
        <w:ind w:left="1200"/>
      </w:pPr>
      <w:hyperlink w:anchor="_Toc11278" w:history="1">
        <w:r>
          <w:rPr>
            <w:szCs w:val="24"/>
          </w:rPr>
          <w:t>Tipuri de atrium</w:t>
        </w:r>
        <w:r>
          <w:tab/>
        </w:r>
        <w:r>
          <w:fldChar w:fldCharType="begin"/>
        </w:r>
        <w:r>
          <w:instrText xml:space="preserve"> PAGEREF _Toc11278 \h </w:instrText>
        </w:r>
        <w:r>
          <w:fldChar w:fldCharType="separate"/>
        </w:r>
        <w:r>
          <w:t>426</w:t>
        </w:r>
        <w:r>
          <w:fldChar w:fldCharType="end"/>
        </w:r>
      </w:hyperlink>
    </w:p>
    <w:p w14:paraId="7BD1602D" w14:textId="77777777" w:rsidR="001C08A5" w:rsidRDefault="00000000">
      <w:pPr>
        <w:pStyle w:val="TOC4"/>
        <w:tabs>
          <w:tab w:val="right" w:leader="dot" w:pos="9639"/>
        </w:tabs>
        <w:ind w:left="1200"/>
      </w:pPr>
      <w:hyperlink w:anchor="_Toc29465" w:history="1">
        <w:r>
          <w:rPr>
            <w:szCs w:val="24"/>
          </w:rPr>
          <w:t>Amplasare atrium</w:t>
        </w:r>
        <w:r>
          <w:tab/>
        </w:r>
        <w:r>
          <w:fldChar w:fldCharType="begin"/>
        </w:r>
        <w:r>
          <w:instrText xml:space="preserve"> PAGEREF _Toc29465 \h </w:instrText>
        </w:r>
        <w:r>
          <w:fldChar w:fldCharType="separate"/>
        </w:r>
        <w:r>
          <w:t>429</w:t>
        </w:r>
        <w:r>
          <w:fldChar w:fldCharType="end"/>
        </w:r>
      </w:hyperlink>
    </w:p>
    <w:p w14:paraId="2A63A751" w14:textId="77777777" w:rsidR="001C08A5" w:rsidRDefault="00000000">
      <w:pPr>
        <w:pStyle w:val="TOC4"/>
        <w:tabs>
          <w:tab w:val="right" w:leader="dot" w:pos="9639"/>
        </w:tabs>
        <w:ind w:left="1200"/>
      </w:pPr>
      <w:hyperlink w:anchor="_Toc9688" w:history="1">
        <w:r>
          <w:rPr>
            <w:szCs w:val="24"/>
          </w:rPr>
          <w:t>Circulaţii comune orizontale deschise spre atrium</w:t>
        </w:r>
        <w:r>
          <w:tab/>
        </w:r>
        <w:r>
          <w:fldChar w:fldCharType="begin"/>
        </w:r>
        <w:r>
          <w:instrText xml:space="preserve"> PAGEREF _Toc9688 \h </w:instrText>
        </w:r>
        <w:r>
          <w:fldChar w:fldCharType="separate"/>
        </w:r>
        <w:r>
          <w:t>432</w:t>
        </w:r>
        <w:r>
          <w:fldChar w:fldCharType="end"/>
        </w:r>
      </w:hyperlink>
    </w:p>
    <w:p w14:paraId="4C16A9C3" w14:textId="77777777" w:rsidR="001C08A5" w:rsidRDefault="00000000">
      <w:pPr>
        <w:pStyle w:val="TOC3"/>
        <w:tabs>
          <w:tab w:val="right" w:leader="dot" w:pos="9639"/>
        </w:tabs>
        <w:ind w:left="800"/>
      </w:pPr>
      <w:hyperlink w:anchor="_Toc18276" w:history="1">
        <w:r>
          <w:rPr>
            <w:i/>
            <w:iCs/>
            <w:szCs w:val="24"/>
          </w:rPr>
          <w:t>ANEXA 4.3 - ALCĂTUIRI CONSTRUCTIVE SPECIFICE RISCULUI DE EXPLOZIE VOLUMETRICĂ</w:t>
        </w:r>
        <w:r>
          <w:tab/>
        </w:r>
        <w:r>
          <w:fldChar w:fldCharType="begin"/>
        </w:r>
        <w:r>
          <w:instrText xml:space="preserve"> PAGEREF _Toc18276 \h </w:instrText>
        </w:r>
        <w:r>
          <w:fldChar w:fldCharType="separate"/>
        </w:r>
        <w:r>
          <w:t>433</w:t>
        </w:r>
        <w:r>
          <w:fldChar w:fldCharType="end"/>
        </w:r>
      </w:hyperlink>
    </w:p>
    <w:p w14:paraId="1C7B87CA" w14:textId="77777777" w:rsidR="001C08A5" w:rsidRDefault="00000000">
      <w:pPr>
        <w:pStyle w:val="TOC4"/>
        <w:tabs>
          <w:tab w:val="right" w:leader="dot" w:pos="9639"/>
        </w:tabs>
        <w:ind w:left="1200"/>
      </w:pPr>
      <w:hyperlink w:anchor="_Toc32599" w:history="1">
        <w:r>
          <w:rPr>
            <w:szCs w:val="24"/>
          </w:rPr>
          <w:t>Încăperi și spații cu pericol de explozie</w:t>
        </w:r>
        <w:r>
          <w:tab/>
        </w:r>
        <w:r>
          <w:fldChar w:fldCharType="begin"/>
        </w:r>
        <w:r>
          <w:instrText xml:space="preserve"> PAGEREF _Toc32599 \h </w:instrText>
        </w:r>
        <w:r>
          <w:fldChar w:fldCharType="separate"/>
        </w:r>
        <w:r>
          <w:t>433</w:t>
        </w:r>
        <w:r>
          <w:fldChar w:fldCharType="end"/>
        </w:r>
      </w:hyperlink>
    </w:p>
    <w:p w14:paraId="4A152414" w14:textId="77777777" w:rsidR="001C08A5" w:rsidRDefault="00000000">
      <w:pPr>
        <w:pStyle w:val="TOC5"/>
        <w:tabs>
          <w:tab w:val="right" w:leader="dot" w:pos="9639"/>
        </w:tabs>
        <w:ind w:left="1600"/>
      </w:pPr>
      <w:hyperlink w:anchor="_Toc4712" w:history="1">
        <w:r>
          <w:rPr>
            <w:szCs w:val="24"/>
          </w:rPr>
          <w:t>Terminologie:</w:t>
        </w:r>
        <w:r>
          <w:tab/>
        </w:r>
        <w:r>
          <w:fldChar w:fldCharType="begin"/>
        </w:r>
        <w:r>
          <w:instrText xml:space="preserve"> PAGEREF _Toc4712 \h </w:instrText>
        </w:r>
        <w:r>
          <w:fldChar w:fldCharType="separate"/>
        </w:r>
        <w:r>
          <w:t>433</w:t>
        </w:r>
        <w:r>
          <w:fldChar w:fldCharType="end"/>
        </w:r>
      </w:hyperlink>
    </w:p>
    <w:p w14:paraId="2815E8FC" w14:textId="77777777" w:rsidR="001C08A5" w:rsidRDefault="00000000">
      <w:pPr>
        <w:pStyle w:val="TOC4"/>
        <w:tabs>
          <w:tab w:val="right" w:leader="dot" w:pos="9639"/>
        </w:tabs>
        <w:ind w:left="1200"/>
      </w:pPr>
      <w:hyperlink w:anchor="_Toc30716" w:history="1">
        <w:r>
          <w:rPr>
            <w:szCs w:val="24"/>
          </w:rPr>
          <w:t>Încăperi şi spaţii cu pericol de explozie</w:t>
        </w:r>
        <w:r>
          <w:tab/>
        </w:r>
        <w:r>
          <w:fldChar w:fldCharType="begin"/>
        </w:r>
        <w:r>
          <w:instrText xml:space="preserve"> PAGEREF _Toc30716 \h </w:instrText>
        </w:r>
        <w:r>
          <w:fldChar w:fldCharType="separate"/>
        </w:r>
        <w:r>
          <w:t>435</w:t>
        </w:r>
        <w:r>
          <w:fldChar w:fldCharType="end"/>
        </w:r>
      </w:hyperlink>
    </w:p>
    <w:p w14:paraId="6B97DD97" w14:textId="77777777" w:rsidR="001C08A5" w:rsidRDefault="00000000">
      <w:pPr>
        <w:pStyle w:val="TOC5"/>
        <w:tabs>
          <w:tab w:val="right" w:leader="dot" w:pos="9639"/>
        </w:tabs>
        <w:ind w:left="1600"/>
      </w:pPr>
      <w:hyperlink w:anchor="_Toc8948" w:history="1">
        <w:r>
          <w:rPr>
            <w:szCs w:val="24"/>
          </w:rPr>
          <w:t>Măsuri constructive la spaţii cu pericol de explozie</w:t>
        </w:r>
        <w:r>
          <w:tab/>
        </w:r>
        <w:r>
          <w:fldChar w:fldCharType="begin"/>
        </w:r>
        <w:r>
          <w:instrText xml:space="preserve"> PAGEREF _Toc8948 \h </w:instrText>
        </w:r>
        <w:r>
          <w:fldChar w:fldCharType="separate"/>
        </w:r>
        <w:r>
          <w:t>435</w:t>
        </w:r>
        <w:r>
          <w:fldChar w:fldCharType="end"/>
        </w:r>
      </w:hyperlink>
    </w:p>
    <w:p w14:paraId="3C1CE616" w14:textId="77777777" w:rsidR="001C08A5" w:rsidRDefault="00000000">
      <w:pPr>
        <w:pStyle w:val="TOC5"/>
        <w:tabs>
          <w:tab w:val="right" w:leader="dot" w:pos="9639"/>
        </w:tabs>
        <w:ind w:left="1600"/>
      </w:pPr>
      <w:hyperlink w:anchor="_Toc8900" w:history="1">
        <w:r>
          <w:rPr>
            <w:szCs w:val="24"/>
          </w:rPr>
          <w:t>”Prevederi împotriva pericolelor de explozie” pentru baterii staţionare</w:t>
        </w:r>
        <w:r>
          <w:tab/>
        </w:r>
        <w:r>
          <w:fldChar w:fldCharType="begin"/>
        </w:r>
        <w:r>
          <w:instrText xml:space="preserve"> PAGEREF _Toc8900 \h </w:instrText>
        </w:r>
        <w:r>
          <w:fldChar w:fldCharType="separate"/>
        </w:r>
        <w:r>
          <w:t>441</w:t>
        </w:r>
        <w:r>
          <w:fldChar w:fldCharType="end"/>
        </w:r>
      </w:hyperlink>
    </w:p>
    <w:p w14:paraId="3BB3BA20" w14:textId="77777777" w:rsidR="001C08A5" w:rsidRDefault="00000000">
      <w:pPr>
        <w:pStyle w:val="TOC3"/>
        <w:tabs>
          <w:tab w:val="right" w:leader="dot" w:pos="9639"/>
        </w:tabs>
        <w:ind w:left="800"/>
      </w:pPr>
      <w:hyperlink w:anchor="_Toc30984" w:history="1">
        <w:r>
          <w:rPr>
            <w:i/>
            <w:iCs/>
            <w:szCs w:val="24"/>
          </w:rPr>
          <w:t>ANEXA 4.4 - ÎNCĂPERI ŞI SPAŢII DESTINATE INSTALAŢIILOR UTILITARE AFERENTE CONSTRUCŢIILOR (Stații de pompare)</w:t>
        </w:r>
        <w:r>
          <w:tab/>
        </w:r>
        <w:r>
          <w:fldChar w:fldCharType="begin"/>
        </w:r>
        <w:r>
          <w:instrText xml:space="preserve"> PAGEREF _Toc30984 \h </w:instrText>
        </w:r>
        <w:r>
          <w:fldChar w:fldCharType="separate"/>
        </w:r>
        <w:r>
          <w:t>445</w:t>
        </w:r>
        <w:r>
          <w:fldChar w:fldCharType="end"/>
        </w:r>
      </w:hyperlink>
    </w:p>
    <w:p w14:paraId="78F8392F" w14:textId="77777777" w:rsidR="001C08A5" w:rsidRDefault="00000000">
      <w:pPr>
        <w:pStyle w:val="TOC3"/>
        <w:tabs>
          <w:tab w:val="right" w:leader="dot" w:pos="9639"/>
        </w:tabs>
        <w:ind w:left="800"/>
      </w:pPr>
      <w:hyperlink w:anchor="_Toc13749" w:history="1">
        <w:r>
          <w:rPr>
            <w:i/>
            <w:iCs/>
            <w:szCs w:val="24"/>
          </w:rPr>
          <w:t>ANEXA 4.5 - ÎNCĂPERI DE DEPOZITARE</w:t>
        </w:r>
        <w:r>
          <w:tab/>
        </w:r>
        <w:r>
          <w:fldChar w:fldCharType="begin"/>
        </w:r>
        <w:r>
          <w:instrText xml:space="preserve"> PAGEREF _Toc13749 \h </w:instrText>
        </w:r>
        <w:r>
          <w:fldChar w:fldCharType="separate"/>
        </w:r>
        <w:r>
          <w:t>448</w:t>
        </w:r>
        <w:r>
          <w:fldChar w:fldCharType="end"/>
        </w:r>
      </w:hyperlink>
    </w:p>
    <w:p w14:paraId="65B6BEED" w14:textId="77777777" w:rsidR="001C08A5" w:rsidRDefault="00000000">
      <w:pPr>
        <w:pStyle w:val="TOC3"/>
        <w:tabs>
          <w:tab w:val="right" w:leader="dot" w:pos="9639"/>
        </w:tabs>
        <w:ind w:left="800"/>
      </w:pPr>
      <w:hyperlink w:anchor="_Toc5229" w:history="1">
        <w:r>
          <w:rPr>
            <w:i/>
            <w:iCs/>
            <w:szCs w:val="24"/>
          </w:rPr>
          <w:t>ANEXA 4.6 - INSTALAŢII ŞI ECHIPAMENTE SPECIFICE ENERGIEI REGENERABILE</w:t>
        </w:r>
        <w:r>
          <w:tab/>
        </w:r>
        <w:r>
          <w:fldChar w:fldCharType="begin"/>
        </w:r>
        <w:r>
          <w:instrText xml:space="preserve"> PAGEREF _Toc5229 \h </w:instrText>
        </w:r>
        <w:r>
          <w:fldChar w:fldCharType="separate"/>
        </w:r>
        <w:r>
          <w:t>449</w:t>
        </w:r>
        <w:r>
          <w:fldChar w:fldCharType="end"/>
        </w:r>
      </w:hyperlink>
    </w:p>
    <w:p w14:paraId="2EC777DE" w14:textId="77777777" w:rsidR="001C08A5" w:rsidRDefault="00000000">
      <w:pPr>
        <w:pStyle w:val="TOC3"/>
        <w:tabs>
          <w:tab w:val="right" w:leader="dot" w:pos="9639"/>
        </w:tabs>
        <w:ind w:left="800"/>
      </w:pPr>
      <w:hyperlink w:anchor="_Toc121" w:history="1">
        <w:r>
          <w:rPr>
            <w:i/>
            <w:iCs/>
            <w:szCs w:val="24"/>
          </w:rPr>
          <w:t>ANEXA 4.7 - AGENTI FRIGORIFICI</w:t>
        </w:r>
        <w:r>
          <w:tab/>
        </w:r>
        <w:r>
          <w:fldChar w:fldCharType="begin"/>
        </w:r>
        <w:r>
          <w:instrText xml:space="preserve"> PAGEREF _Toc121 \h </w:instrText>
        </w:r>
        <w:r>
          <w:fldChar w:fldCharType="separate"/>
        </w:r>
        <w:r>
          <w:t>450</w:t>
        </w:r>
        <w:r>
          <w:fldChar w:fldCharType="end"/>
        </w:r>
      </w:hyperlink>
    </w:p>
    <w:p w14:paraId="354E5D76" w14:textId="77777777" w:rsidR="001C08A5" w:rsidRDefault="00000000">
      <w:pPr>
        <w:pStyle w:val="TOC2"/>
        <w:tabs>
          <w:tab w:val="right" w:leader="dot" w:pos="9639"/>
        </w:tabs>
        <w:ind w:left="400"/>
      </w:pPr>
      <w:hyperlink w:anchor="_Toc4202" w:history="1">
        <w:r>
          <w:t>ANEXA 5 -  CĂI DE EVACUARE A UTILIZATORILOR ÎN CAZ DE INCENDIU</w:t>
        </w:r>
        <w:r>
          <w:tab/>
        </w:r>
        <w:r>
          <w:fldChar w:fldCharType="begin"/>
        </w:r>
        <w:r>
          <w:instrText xml:space="preserve"> PAGEREF _Toc4202 \h </w:instrText>
        </w:r>
        <w:r>
          <w:fldChar w:fldCharType="separate"/>
        </w:r>
        <w:r>
          <w:t>451</w:t>
        </w:r>
        <w:r>
          <w:fldChar w:fldCharType="end"/>
        </w:r>
      </w:hyperlink>
    </w:p>
    <w:p w14:paraId="1A643B3B" w14:textId="77777777" w:rsidR="001C08A5" w:rsidRDefault="00000000">
      <w:pPr>
        <w:pStyle w:val="TOC3"/>
        <w:tabs>
          <w:tab w:val="right" w:leader="dot" w:pos="9639"/>
        </w:tabs>
        <w:ind w:left="800"/>
      </w:pPr>
      <w:hyperlink w:anchor="_Toc24134" w:history="1">
        <w:r>
          <w:rPr>
            <w:i/>
            <w:iCs/>
            <w:szCs w:val="24"/>
          </w:rPr>
          <w:t>ANEXA 5.1 - UŞI</w:t>
        </w:r>
        <w:r>
          <w:tab/>
        </w:r>
        <w:r>
          <w:fldChar w:fldCharType="begin"/>
        </w:r>
        <w:r>
          <w:instrText xml:space="preserve"> PAGEREF _Toc24134 \h </w:instrText>
        </w:r>
        <w:r>
          <w:fldChar w:fldCharType="separate"/>
        </w:r>
        <w:r>
          <w:t>451</w:t>
        </w:r>
        <w:r>
          <w:fldChar w:fldCharType="end"/>
        </w:r>
      </w:hyperlink>
    </w:p>
    <w:p w14:paraId="1241053A" w14:textId="77777777" w:rsidR="001C08A5" w:rsidRDefault="00000000">
      <w:pPr>
        <w:pStyle w:val="TOC4"/>
        <w:tabs>
          <w:tab w:val="right" w:leader="dot" w:pos="9639"/>
        </w:tabs>
        <w:ind w:left="1200"/>
      </w:pPr>
      <w:hyperlink w:anchor="_Toc19927" w:history="1">
        <w:r>
          <w:rPr>
            <w:szCs w:val="24"/>
          </w:rPr>
          <w:t>Generalități</w:t>
        </w:r>
        <w:r>
          <w:tab/>
        </w:r>
        <w:r>
          <w:fldChar w:fldCharType="begin"/>
        </w:r>
        <w:r>
          <w:instrText xml:space="preserve"> PAGEREF _Toc19927 \h </w:instrText>
        </w:r>
        <w:r>
          <w:fldChar w:fldCharType="separate"/>
        </w:r>
        <w:r>
          <w:t>451</w:t>
        </w:r>
        <w:r>
          <w:fldChar w:fldCharType="end"/>
        </w:r>
      </w:hyperlink>
    </w:p>
    <w:p w14:paraId="63723DC9" w14:textId="77777777" w:rsidR="001C08A5" w:rsidRDefault="00000000">
      <w:pPr>
        <w:pStyle w:val="TOC4"/>
        <w:tabs>
          <w:tab w:val="right" w:leader="dot" w:pos="9639"/>
        </w:tabs>
        <w:ind w:left="1200"/>
      </w:pPr>
      <w:hyperlink w:anchor="_Toc6359" w:history="1">
        <w:r>
          <w:rPr>
            <w:szCs w:val="24"/>
          </w:rPr>
          <w:t>Uși cu deschidere normală pe balamale sau pivoţi, utilizate pe căile de evacuare</w:t>
        </w:r>
        <w:r>
          <w:tab/>
        </w:r>
        <w:r>
          <w:fldChar w:fldCharType="begin"/>
        </w:r>
        <w:r>
          <w:instrText xml:space="preserve"> PAGEREF _Toc6359 \h </w:instrText>
        </w:r>
        <w:r>
          <w:fldChar w:fldCharType="separate"/>
        </w:r>
        <w:r>
          <w:t>455</w:t>
        </w:r>
        <w:r>
          <w:fldChar w:fldCharType="end"/>
        </w:r>
      </w:hyperlink>
    </w:p>
    <w:p w14:paraId="30B93F4E" w14:textId="77777777" w:rsidR="001C08A5" w:rsidRDefault="00000000">
      <w:pPr>
        <w:pStyle w:val="TOC4"/>
        <w:tabs>
          <w:tab w:val="right" w:leader="dot" w:pos="9639"/>
        </w:tabs>
        <w:ind w:left="1200"/>
      </w:pPr>
      <w:hyperlink w:anchor="_Toc7641" w:history="1">
        <w:r>
          <w:rPr>
            <w:szCs w:val="24"/>
          </w:rPr>
          <w:t>Uși echipate cu sisteme de încuiere și dispozitive de ieșire (uși antipanică conform SR EN 1125 sau uși de ieșire de urgență conform SR EN 179)</w:t>
        </w:r>
        <w:r>
          <w:tab/>
        </w:r>
        <w:r>
          <w:fldChar w:fldCharType="begin"/>
        </w:r>
        <w:r>
          <w:instrText xml:space="preserve"> PAGEREF _Toc7641 \h </w:instrText>
        </w:r>
        <w:r>
          <w:fldChar w:fldCharType="separate"/>
        </w:r>
        <w:r>
          <w:t>455</w:t>
        </w:r>
        <w:r>
          <w:fldChar w:fldCharType="end"/>
        </w:r>
      </w:hyperlink>
    </w:p>
    <w:p w14:paraId="4DBE73C5" w14:textId="77777777" w:rsidR="001C08A5" w:rsidRDefault="00000000">
      <w:pPr>
        <w:pStyle w:val="TOC5"/>
        <w:tabs>
          <w:tab w:val="right" w:leader="dot" w:pos="9639"/>
        </w:tabs>
        <w:ind w:left="1600"/>
      </w:pPr>
      <w:hyperlink w:anchor="_Toc18390" w:history="1">
        <w:r>
          <w:rPr>
            <w:szCs w:val="24"/>
          </w:rPr>
          <w:t>Uși cu dispozitive de ieșire împotriva panicii - “uși antipanică”</w:t>
        </w:r>
        <w:r>
          <w:tab/>
        </w:r>
        <w:r>
          <w:fldChar w:fldCharType="begin"/>
        </w:r>
        <w:r>
          <w:instrText xml:space="preserve"> PAGEREF _Toc18390 \h </w:instrText>
        </w:r>
        <w:r>
          <w:fldChar w:fldCharType="separate"/>
        </w:r>
        <w:r>
          <w:t>456</w:t>
        </w:r>
        <w:r>
          <w:fldChar w:fldCharType="end"/>
        </w:r>
      </w:hyperlink>
    </w:p>
    <w:p w14:paraId="1E6C1DA4" w14:textId="77777777" w:rsidR="001C08A5" w:rsidRDefault="00000000">
      <w:pPr>
        <w:pStyle w:val="TOC5"/>
        <w:tabs>
          <w:tab w:val="right" w:leader="dot" w:pos="9639"/>
        </w:tabs>
        <w:ind w:left="1600"/>
      </w:pPr>
      <w:hyperlink w:anchor="_Toc23361" w:history="1">
        <w:r>
          <w:rPr>
            <w:szCs w:val="24"/>
          </w:rPr>
          <w:t>Uși cu dispozitive de ieșire de urgență - “uși pentru ieșire de urgență”</w:t>
        </w:r>
        <w:r>
          <w:tab/>
        </w:r>
        <w:r>
          <w:fldChar w:fldCharType="begin"/>
        </w:r>
        <w:r>
          <w:instrText xml:space="preserve"> PAGEREF _Toc23361 \h </w:instrText>
        </w:r>
        <w:r>
          <w:fldChar w:fldCharType="separate"/>
        </w:r>
        <w:r>
          <w:t>456</w:t>
        </w:r>
        <w:r>
          <w:fldChar w:fldCharType="end"/>
        </w:r>
      </w:hyperlink>
    </w:p>
    <w:p w14:paraId="34B9E496" w14:textId="77777777" w:rsidR="001C08A5" w:rsidRDefault="00000000">
      <w:pPr>
        <w:pStyle w:val="TOC4"/>
        <w:tabs>
          <w:tab w:val="right" w:leader="dot" w:pos="9639"/>
        </w:tabs>
        <w:ind w:left="1200"/>
      </w:pPr>
      <w:hyperlink w:anchor="_Toc30599" w:history="1">
        <w:r>
          <w:rPr>
            <w:szCs w:val="24"/>
          </w:rPr>
          <w:t>Uși cu sisteme de evacuare actionate/ controlate electric (pentru utilizarea pe căile de evacuare)</w:t>
        </w:r>
        <w:r>
          <w:tab/>
        </w:r>
        <w:r>
          <w:fldChar w:fldCharType="begin"/>
        </w:r>
        <w:r>
          <w:instrText xml:space="preserve"> PAGEREF _Toc30599 \h </w:instrText>
        </w:r>
        <w:r>
          <w:fldChar w:fldCharType="separate"/>
        </w:r>
        <w:r>
          <w:t>457</w:t>
        </w:r>
        <w:r>
          <w:fldChar w:fldCharType="end"/>
        </w:r>
      </w:hyperlink>
    </w:p>
    <w:p w14:paraId="5A831752" w14:textId="77777777" w:rsidR="001C08A5" w:rsidRDefault="00000000">
      <w:pPr>
        <w:pStyle w:val="TOC4"/>
        <w:tabs>
          <w:tab w:val="right" w:leader="dot" w:pos="9639"/>
        </w:tabs>
        <w:ind w:left="1200"/>
      </w:pPr>
      <w:hyperlink w:anchor="_Toc21519" w:history="1">
        <w:r>
          <w:rPr>
            <w:szCs w:val="24"/>
          </w:rPr>
          <w:t>Uși culisante prevăzute şi cu deschidere pe balamale</w:t>
        </w:r>
        <w:r>
          <w:tab/>
        </w:r>
        <w:r>
          <w:fldChar w:fldCharType="begin"/>
        </w:r>
        <w:r>
          <w:instrText xml:space="preserve"> PAGEREF _Toc21519 \h </w:instrText>
        </w:r>
        <w:r>
          <w:fldChar w:fldCharType="separate"/>
        </w:r>
        <w:r>
          <w:t>458</w:t>
        </w:r>
        <w:r>
          <w:fldChar w:fldCharType="end"/>
        </w:r>
      </w:hyperlink>
    </w:p>
    <w:p w14:paraId="722293E8" w14:textId="77777777" w:rsidR="001C08A5" w:rsidRDefault="00000000">
      <w:pPr>
        <w:pStyle w:val="TOC4"/>
        <w:tabs>
          <w:tab w:val="right" w:leader="dot" w:pos="9639"/>
        </w:tabs>
        <w:ind w:left="1200"/>
      </w:pPr>
      <w:hyperlink w:anchor="_Toc6705" w:history="1">
        <w:r>
          <w:rPr>
            <w:szCs w:val="24"/>
          </w:rPr>
          <w:t>Caz special: uși  de evacuare pe balamale sau pivoți care pot fi menținute deschise de dispozitivul electromagnetic sau electromecanic în timpul funcționării normale</w:t>
        </w:r>
        <w:r>
          <w:tab/>
        </w:r>
        <w:r>
          <w:fldChar w:fldCharType="begin"/>
        </w:r>
        <w:r>
          <w:instrText xml:space="preserve"> PAGEREF _Toc6705 \h </w:instrText>
        </w:r>
        <w:r>
          <w:fldChar w:fldCharType="separate"/>
        </w:r>
        <w:r>
          <w:t>460</w:t>
        </w:r>
        <w:r>
          <w:fldChar w:fldCharType="end"/>
        </w:r>
      </w:hyperlink>
    </w:p>
    <w:p w14:paraId="3391136F" w14:textId="77777777" w:rsidR="001C08A5" w:rsidRDefault="00000000">
      <w:pPr>
        <w:pStyle w:val="TOC3"/>
        <w:tabs>
          <w:tab w:val="right" w:leader="dot" w:pos="9639"/>
        </w:tabs>
        <w:ind w:left="800"/>
      </w:pPr>
      <w:hyperlink w:anchor="_Toc14482" w:history="1">
        <w:r>
          <w:rPr>
            <w:i/>
            <w:iCs/>
            <w:szCs w:val="24"/>
          </w:rPr>
          <w:t>ANEXA 5.2 - CIRCULAŢII COMUNE VERTICALE (SCĂRI)</w:t>
        </w:r>
        <w:r>
          <w:tab/>
        </w:r>
        <w:r>
          <w:fldChar w:fldCharType="begin"/>
        </w:r>
        <w:r>
          <w:instrText xml:space="preserve"> PAGEREF _Toc14482 \h </w:instrText>
        </w:r>
        <w:r>
          <w:fldChar w:fldCharType="separate"/>
        </w:r>
        <w:r>
          <w:t>463</w:t>
        </w:r>
        <w:r>
          <w:fldChar w:fldCharType="end"/>
        </w:r>
      </w:hyperlink>
    </w:p>
    <w:p w14:paraId="5FA34F61" w14:textId="77777777" w:rsidR="001C08A5" w:rsidRDefault="00000000">
      <w:pPr>
        <w:pStyle w:val="TOC4"/>
        <w:tabs>
          <w:tab w:val="right" w:leader="dot" w:pos="9639"/>
        </w:tabs>
        <w:ind w:left="1200"/>
      </w:pPr>
      <w:hyperlink w:anchor="_Toc16117" w:history="1">
        <w:r>
          <w:rPr>
            <w:szCs w:val="24"/>
          </w:rPr>
          <w:t>Scări cu rampe drepte</w:t>
        </w:r>
        <w:r>
          <w:tab/>
        </w:r>
        <w:r>
          <w:fldChar w:fldCharType="begin"/>
        </w:r>
        <w:r>
          <w:instrText xml:space="preserve"> PAGEREF _Toc16117 \h </w:instrText>
        </w:r>
        <w:r>
          <w:fldChar w:fldCharType="separate"/>
        </w:r>
        <w:r>
          <w:t>463</w:t>
        </w:r>
        <w:r>
          <w:fldChar w:fldCharType="end"/>
        </w:r>
      </w:hyperlink>
    </w:p>
    <w:p w14:paraId="17293613" w14:textId="77777777" w:rsidR="001C08A5" w:rsidRDefault="00000000">
      <w:pPr>
        <w:pStyle w:val="TOC4"/>
        <w:tabs>
          <w:tab w:val="right" w:leader="dot" w:pos="9639"/>
        </w:tabs>
        <w:ind w:left="1200"/>
      </w:pPr>
      <w:hyperlink w:anchor="_Toc4406" w:history="1">
        <w:r>
          <w:rPr>
            <w:szCs w:val="24"/>
          </w:rPr>
          <w:t>Scări cu rampe încrucişate</w:t>
        </w:r>
        <w:r>
          <w:tab/>
        </w:r>
        <w:r>
          <w:fldChar w:fldCharType="begin"/>
        </w:r>
        <w:r>
          <w:instrText xml:space="preserve"> PAGEREF _Toc4406 \h </w:instrText>
        </w:r>
        <w:r>
          <w:fldChar w:fldCharType="separate"/>
        </w:r>
        <w:r>
          <w:t>465</w:t>
        </w:r>
        <w:r>
          <w:fldChar w:fldCharType="end"/>
        </w:r>
      </w:hyperlink>
    </w:p>
    <w:p w14:paraId="230C37B8" w14:textId="77777777" w:rsidR="001C08A5" w:rsidRDefault="00000000">
      <w:pPr>
        <w:pStyle w:val="TOC4"/>
        <w:tabs>
          <w:tab w:val="right" w:leader="dot" w:pos="9639"/>
        </w:tabs>
        <w:ind w:left="1200"/>
      </w:pPr>
      <w:hyperlink w:anchor="_Toc28712" w:history="1">
        <w:r>
          <w:rPr>
            <w:szCs w:val="24"/>
          </w:rPr>
          <w:t>Scări cu rampe elicoidale</w:t>
        </w:r>
        <w:r>
          <w:tab/>
        </w:r>
        <w:r>
          <w:fldChar w:fldCharType="begin"/>
        </w:r>
        <w:r>
          <w:instrText xml:space="preserve"> PAGEREF _Toc28712 \h </w:instrText>
        </w:r>
        <w:r>
          <w:fldChar w:fldCharType="separate"/>
        </w:r>
        <w:r>
          <w:t>467</w:t>
        </w:r>
        <w:r>
          <w:fldChar w:fldCharType="end"/>
        </w:r>
      </w:hyperlink>
    </w:p>
    <w:p w14:paraId="26C245E4" w14:textId="77777777" w:rsidR="001C08A5" w:rsidRDefault="00000000">
      <w:pPr>
        <w:pStyle w:val="TOC4"/>
        <w:tabs>
          <w:tab w:val="right" w:leader="dot" w:pos="9639"/>
        </w:tabs>
        <w:ind w:left="1200"/>
      </w:pPr>
      <w:hyperlink w:anchor="_Toc98" w:history="1">
        <w:r>
          <w:rPr>
            <w:szCs w:val="24"/>
          </w:rPr>
          <w:t>Scări cu trepte balansate</w:t>
        </w:r>
        <w:r>
          <w:tab/>
        </w:r>
        <w:r>
          <w:fldChar w:fldCharType="begin"/>
        </w:r>
        <w:r>
          <w:instrText xml:space="preserve"> PAGEREF _Toc98 \h </w:instrText>
        </w:r>
        <w:r>
          <w:fldChar w:fldCharType="separate"/>
        </w:r>
        <w:r>
          <w:t>467</w:t>
        </w:r>
        <w:r>
          <w:fldChar w:fldCharType="end"/>
        </w:r>
      </w:hyperlink>
    </w:p>
    <w:p w14:paraId="06001093" w14:textId="77777777" w:rsidR="001C08A5" w:rsidRDefault="00000000">
      <w:pPr>
        <w:pStyle w:val="TOC4"/>
        <w:tabs>
          <w:tab w:val="right" w:leader="dot" w:pos="9639"/>
        </w:tabs>
        <w:ind w:left="1200"/>
      </w:pPr>
      <w:hyperlink w:anchor="_Toc32247" w:history="1">
        <w:r>
          <w:rPr>
            <w:szCs w:val="24"/>
          </w:rPr>
          <w:t>Conformare scări</w:t>
        </w:r>
        <w:r>
          <w:tab/>
        </w:r>
        <w:r>
          <w:fldChar w:fldCharType="begin"/>
        </w:r>
        <w:r>
          <w:instrText xml:space="preserve"> PAGEREF _Toc32247 \h </w:instrText>
        </w:r>
        <w:r>
          <w:fldChar w:fldCharType="separate"/>
        </w:r>
        <w:r>
          <w:t>468</w:t>
        </w:r>
        <w:r>
          <w:fldChar w:fldCharType="end"/>
        </w:r>
      </w:hyperlink>
    </w:p>
    <w:p w14:paraId="4B889B96" w14:textId="77777777" w:rsidR="001C08A5" w:rsidRDefault="00000000">
      <w:pPr>
        <w:pStyle w:val="TOC4"/>
        <w:tabs>
          <w:tab w:val="right" w:leader="dot" w:pos="9639"/>
        </w:tabs>
        <w:ind w:left="1200"/>
      </w:pPr>
      <w:hyperlink w:anchor="_Toc6685" w:history="1">
        <w:r>
          <w:rPr>
            <w:szCs w:val="24"/>
          </w:rPr>
          <w:t>Scări exterioare</w:t>
        </w:r>
        <w:r>
          <w:tab/>
        </w:r>
        <w:r>
          <w:fldChar w:fldCharType="begin"/>
        </w:r>
        <w:r>
          <w:instrText xml:space="preserve"> PAGEREF _Toc6685 \h </w:instrText>
        </w:r>
        <w:r>
          <w:fldChar w:fldCharType="separate"/>
        </w:r>
        <w:r>
          <w:t>469</w:t>
        </w:r>
        <w:r>
          <w:fldChar w:fldCharType="end"/>
        </w:r>
      </w:hyperlink>
    </w:p>
    <w:p w14:paraId="52C5AE92" w14:textId="77777777" w:rsidR="001C08A5" w:rsidRDefault="00000000">
      <w:pPr>
        <w:pStyle w:val="TOC3"/>
        <w:tabs>
          <w:tab w:val="right" w:leader="dot" w:pos="9639"/>
        </w:tabs>
        <w:ind w:left="800"/>
      </w:pPr>
      <w:hyperlink w:anchor="_Toc26608" w:history="1">
        <w:r>
          <w:rPr>
            <w:i/>
            <w:iCs/>
            <w:szCs w:val="24"/>
          </w:rPr>
          <w:t>ANEXA 5.3 - CORIDOARE</w:t>
        </w:r>
        <w:r>
          <w:tab/>
        </w:r>
        <w:r>
          <w:fldChar w:fldCharType="begin"/>
        </w:r>
        <w:r>
          <w:instrText xml:space="preserve"> PAGEREF _Toc26608 \h </w:instrText>
        </w:r>
        <w:r>
          <w:fldChar w:fldCharType="separate"/>
        </w:r>
        <w:r>
          <w:t>471</w:t>
        </w:r>
        <w:r>
          <w:fldChar w:fldCharType="end"/>
        </w:r>
      </w:hyperlink>
    </w:p>
    <w:p w14:paraId="04C6F228" w14:textId="77777777" w:rsidR="001C08A5" w:rsidRDefault="00000000">
      <w:pPr>
        <w:pStyle w:val="TOC4"/>
        <w:tabs>
          <w:tab w:val="right" w:leader="dot" w:pos="9639"/>
        </w:tabs>
        <w:ind w:left="1200"/>
      </w:pPr>
      <w:hyperlink w:anchor="_Toc13524" w:history="1">
        <w:r>
          <w:rPr>
            <w:szCs w:val="24"/>
          </w:rPr>
          <w:t>Generalități</w:t>
        </w:r>
        <w:r>
          <w:tab/>
        </w:r>
        <w:r>
          <w:fldChar w:fldCharType="begin"/>
        </w:r>
        <w:r>
          <w:instrText xml:space="preserve"> PAGEREF _Toc13524 \h </w:instrText>
        </w:r>
        <w:r>
          <w:fldChar w:fldCharType="separate"/>
        </w:r>
        <w:r>
          <w:t>471</w:t>
        </w:r>
        <w:r>
          <w:fldChar w:fldCharType="end"/>
        </w:r>
      </w:hyperlink>
    </w:p>
    <w:p w14:paraId="5F449736" w14:textId="77777777" w:rsidR="001C08A5" w:rsidRDefault="00000000">
      <w:pPr>
        <w:pStyle w:val="TOC4"/>
        <w:tabs>
          <w:tab w:val="right" w:leader="dot" w:pos="9639"/>
        </w:tabs>
        <w:ind w:left="1200"/>
      </w:pPr>
      <w:hyperlink w:anchor="_Toc4987" w:history="1">
        <w:r>
          <w:rPr>
            <w:szCs w:val="24"/>
          </w:rPr>
          <w:t>Spațiu de circulație și evacuare (Cale de evacuare)</w:t>
        </w:r>
        <w:r>
          <w:tab/>
        </w:r>
        <w:r>
          <w:fldChar w:fldCharType="begin"/>
        </w:r>
        <w:r>
          <w:instrText xml:space="preserve"> PAGEREF _Toc4987 \h </w:instrText>
        </w:r>
        <w:r>
          <w:fldChar w:fldCharType="separate"/>
        </w:r>
        <w:r>
          <w:t>472</w:t>
        </w:r>
        <w:r>
          <w:fldChar w:fldCharType="end"/>
        </w:r>
      </w:hyperlink>
    </w:p>
    <w:p w14:paraId="6569D2AC" w14:textId="77777777" w:rsidR="001C08A5" w:rsidRDefault="00000000">
      <w:pPr>
        <w:pStyle w:val="TOC4"/>
        <w:tabs>
          <w:tab w:val="right" w:leader="dot" w:pos="9639"/>
        </w:tabs>
        <w:ind w:left="1200"/>
      </w:pPr>
      <w:hyperlink w:anchor="_Toc26038" w:history="1">
        <w:r>
          <w:rPr>
            <w:szCs w:val="24"/>
          </w:rPr>
          <w:t>Coridor înfundat</w:t>
        </w:r>
        <w:r>
          <w:tab/>
        </w:r>
        <w:r>
          <w:fldChar w:fldCharType="begin"/>
        </w:r>
        <w:r>
          <w:instrText xml:space="preserve"> PAGEREF _Toc26038 \h </w:instrText>
        </w:r>
        <w:r>
          <w:fldChar w:fldCharType="separate"/>
        </w:r>
        <w:r>
          <w:t>473</w:t>
        </w:r>
        <w:r>
          <w:fldChar w:fldCharType="end"/>
        </w:r>
      </w:hyperlink>
    </w:p>
    <w:p w14:paraId="27C40B72" w14:textId="77777777" w:rsidR="001C08A5" w:rsidRDefault="00000000">
      <w:pPr>
        <w:pStyle w:val="TOC3"/>
        <w:tabs>
          <w:tab w:val="right" w:leader="dot" w:pos="9639"/>
        </w:tabs>
        <w:ind w:left="800"/>
      </w:pPr>
      <w:hyperlink w:anchor="_Toc25662" w:history="1">
        <w:r>
          <w:rPr>
            <w:i/>
            <w:iCs/>
            <w:szCs w:val="24"/>
          </w:rPr>
          <w:t>ANEXA 5.4 - EVACUARE</w:t>
        </w:r>
        <w:r>
          <w:tab/>
        </w:r>
        <w:r>
          <w:fldChar w:fldCharType="begin"/>
        </w:r>
        <w:r>
          <w:instrText xml:space="preserve"> PAGEREF _Toc25662 \h </w:instrText>
        </w:r>
        <w:r>
          <w:fldChar w:fldCharType="separate"/>
        </w:r>
        <w:r>
          <w:t>473</w:t>
        </w:r>
        <w:r>
          <w:fldChar w:fldCharType="end"/>
        </w:r>
      </w:hyperlink>
    </w:p>
    <w:p w14:paraId="26F7CAAA" w14:textId="77777777" w:rsidR="001C08A5" w:rsidRDefault="00000000">
      <w:pPr>
        <w:pStyle w:val="TOC4"/>
        <w:tabs>
          <w:tab w:val="right" w:leader="dot" w:pos="9639"/>
        </w:tabs>
        <w:ind w:left="1200"/>
      </w:pPr>
      <w:hyperlink w:anchor="_Toc1361" w:history="1">
        <w:r>
          <w:rPr>
            <w:szCs w:val="24"/>
          </w:rPr>
          <w:t>Generalități</w:t>
        </w:r>
        <w:r>
          <w:tab/>
        </w:r>
        <w:r>
          <w:fldChar w:fldCharType="begin"/>
        </w:r>
        <w:r>
          <w:instrText xml:space="preserve"> PAGEREF _Toc1361 \h </w:instrText>
        </w:r>
        <w:r>
          <w:fldChar w:fldCharType="separate"/>
        </w:r>
        <w:r>
          <w:t>473</w:t>
        </w:r>
        <w:r>
          <w:fldChar w:fldCharType="end"/>
        </w:r>
      </w:hyperlink>
    </w:p>
    <w:p w14:paraId="0B26A2B8" w14:textId="77777777" w:rsidR="001C08A5" w:rsidRDefault="00000000">
      <w:pPr>
        <w:pStyle w:val="TOC4"/>
        <w:tabs>
          <w:tab w:val="right" w:leader="dot" w:pos="9639"/>
        </w:tabs>
        <w:ind w:left="1200"/>
      </w:pPr>
      <w:hyperlink w:anchor="_Toc27075" w:history="1">
        <w:r>
          <w:rPr>
            <w:szCs w:val="24"/>
          </w:rPr>
          <w:t>Lungimea căii de evacuare</w:t>
        </w:r>
        <w:r>
          <w:tab/>
        </w:r>
        <w:r>
          <w:fldChar w:fldCharType="begin"/>
        </w:r>
        <w:r>
          <w:instrText xml:space="preserve"> PAGEREF _Toc27075 \h </w:instrText>
        </w:r>
        <w:r>
          <w:fldChar w:fldCharType="separate"/>
        </w:r>
        <w:r>
          <w:t>481</w:t>
        </w:r>
        <w:r>
          <w:fldChar w:fldCharType="end"/>
        </w:r>
      </w:hyperlink>
    </w:p>
    <w:p w14:paraId="643D20D8" w14:textId="77777777" w:rsidR="001C08A5" w:rsidRDefault="00000000">
      <w:pPr>
        <w:pStyle w:val="TOC4"/>
        <w:tabs>
          <w:tab w:val="right" w:leader="dot" w:pos="9639"/>
        </w:tabs>
        <w:ind w:left="1200"/>
      </w:pPr>
      <w:hyperlink w:anchor="_Toc18" w:history="1">
        <w:r>
          <w:rPr>
            <w:rFonts w:eastAsia="Calibri" w:cs="Mangal"/>
            <w:bCs/>
            <w:i/>
            <w:szCs w:val="24"/>
          </w:rPr>
          <w:t>Coridoare</w:t>
        </w:r>
        <w:r>
          <w:tab/>
        </w:r>
        <w:r>
          <w:fldChar w:fldCharType="begin"/>
        </w:r>
        <w:r>
          <w:instrText xml:space="preserve"> PAGEREF _Toc18 \h </w:instrText>
        </w:r>
        <w:r>
          <w:fldChar w:fldCharType="separate"/>
        </w:r>
        <w:r>
          <w:t>481</w:t>
        </w:r>
        <w:r>
          <w:fldChar w:fldCharType="end"/>
        </w:r>
      </w:hyperlink>
    </w:p>
    <w:p w14:paraId="1821DA8F" w14:textId="77777777" w:rsidR="001C08A5" w:rsidRDefault="00000000">
      <w:pPr>
        <w:pStyle w:val="TOC4"/>
        <w:tabs>
          <w:tab w:val="right" w:leader="dot" w:pos="9639"/>
        </w:tabs>
        <w:ind w:left="1200"/>
      </w:pPr>
      <w:hyperlink w:anchor="_Toc28914" w:history="1">
        <w:r>
          <w:rPr>
            <w:szCs w:val="24"/>
          </w:rPr>
          <w:t>Open space</w:t>
        </w:r>
        <w:r>
          <w:tab/>
        </w:r>
        <w:r>
          <w:fldChar w:fldCharType="begin"/>
        </w:r>
        <w:r>
          <w:instrText xml:space="preserve"> PAGEREF _Toc28914 \h </w:instrText>
        </w:r>
        <w:r>
          <w:fldChar w:fldCharType="separate"/>
        </w:r>
        <w:r>
          <w:t>486</w:t>
        </w:r>
        <w:r>
          <w:fldChar w:fldCharType="end"/>
        </w:r>
      </w:hyperlink>
    </w:p>
    <w:p w14:paraId="65CA5C7D" w14:textId="77777777" w:rsidR="001C08A5" w:rsidRDefault="00000000">
      <w:pPr>
        <w:pStyle w:val="TOC4"/>
        <w:tabs>
          <w:tab w:val="right" w:leader="dot" w:pos="9639"/>
        </w:tabs>
        <w:ind w:left="1200"/>
      </w:pPr>
      <w:hyperlink w:anchor="_Toc24269" w:history="1">
        <w:r>
          <w:rPr>
            <w:szCs w:val="24"/>
          </w:rPr>
          <w:t>Caz particular - coridoare cu evacuare în "Y"</w:t>
        </w:r>
        <w:r>
          <w:tab/>
        </w:r>
        <w:r>
          <w:fldChar w:fldCharType="begin"/>
        </w:r>
        <w:r>
          <w:instrText xml:space="preserve"> PAGEREF _Toc24269 \h </w:instrText>
        </w:r>
        <w:r>
          <w:fldChar w:fldCharType="separate"/>
        </w:r>
        <w:r>
          <w:t>491</w:t>
        </w:r>
        <w:r>
          <w:fldChar w:fldCharType="end"/>
        </w:r>
      </w:hyperlink>
    </w:p>
    <w:p w14:paraId="1F4B1EA0" w14:textId="77777777" w:rsidR="001C08A5" w:rsidRDefault="00000000">
      <w:pPr>
        <w:pStyle w:val="TOC4"/>
        <w:tabs>
          <w:tab w:val="right" w:leader="dot" w:pos="9639"/>
        </w:tabs>
        <w:ind w:left="1200"/>
      </w:pPr>
      <w:hyperlink w:anchor="_Toc26040" w:history="1">
        <w:r>
          <w:rPr>
            <w:szCs w:val="24"/>
          </w:rPr>
          <w:t>Lungimea căii de evacuare</w:t>
        </w:r>
        <w:r>
          <w:tab/>
        </w:r>
        <w:r>
          <w:fldChar w:fldCharType="begin"/>
        </w:r>
        <w:r>
          <w:instrText xml:space="preserve"> PAGEREF _Toc26040 \h </w:instrText>
        </w:r>
        <w:r>
          <w:fldChar w:fldCharType="separate"/>
        </w:r>
        <w:r>
          <w:t>493</w:t>
        </w:r>
        <w:r>
          <w:fldChar w:fldCharType="end"/>
        </w:r>
      </w:hyperlink>
    </w:p>
    <w:p w14:paraId="1FE2933A" w14:textId="77777777" w:rsidR="001C08A5" w:rsidRDefault="00000000">
      <w:pPr>
        <w:pStyle w:val="TOC4"/>
        <w:tabs>
          <w:tab w:val="right" w:leader="dot" w:pos="9639"/>
        </w:tabs>
        <w:ind w:left="1200"/>
      </w:pPr>
      <w:hyperlink w:anchor="_Toc10483" w:history="1">
        <w:r>
          <w:rPr>
            <w:szCs w:val="24"/>
          </w:rPr>
          <w:t>Evacuare la clădiri existente</w:t>
        </w:r>
        <w:r>
          <w:tab/>
        </w:r>
        <w:r>
          <w:fldChar w:fldCharType="begin"/>
        </w:r>
        <w:r>
          <w:instrText xml:space="preserve"> PAGEREF _Toc10483 \h </w:instrText>
        </w:r>
        <w:r>
          <w:fldChar w:fldCharType="separate"/>
        </w:r>
        <w:r>
          <w:t>495</w:t>
        </w:r>
        <w:r>
          <w:fldChar w:fldCharType="end"/>
        </w:r>
      </w:hyperlink>
    </w:p>
    <w:p w14:paraId="5236ED43" w14:textId="77777777" w:rsidR="001C08A5" w:rsidRDefault="00000000">
      <w:pPr>
        <w:pStyle w:val="TOC4"/>
        <w:tabs>
          <w:tab w:val="right" w:leader="dot" w:pos="9639"/>
        </w:tabs>
        <w:ind w:left="1200"/>
      </w:pPr>
      <w:hyperlink w:anchor="_Toc30822" w:history="1">
        <w:r>
          <w:rPr>
            <w:rFonts w:eastAsia="Calibri" w:cs="Mangal"/>
            <w:bCs/>
            <w:i/>
            <w:szCs w:val="24"/>
          </w:rPr>
          <w:t>Lungimea de evacuare</w:t>
        </w:r>
        <w:r>
          <w:tab/>
        </w:r>
        <w:r>
          <w:fldChar w:fldCharType="begin"/>
        </w:r>
        <w:r>
          <w:instrText xml:space="preserve"> PAGEREF _Toc30822 \h </w:instrText>
        </w:r>
        <w:r>
          <w:fldChar w:fldCharType="separate"/>
        </w:r>
        <w:r>
          <w:t>495</w:t>
        </w:r>
        <w:r>
          <w:fldChar w:fldCharType="end"/>
        </w:r>
      </w:hyperlink>
    </w:p>
    <w:p w14:paraId="20391156" w14:textId="77777777" w:rsidR="001C08A5" w:rsidRDefault="00000000">
      <w:pPr>
        <w:pStyle w:val="TOC3"/>
        <w:tabs>
          <w:tab w:val="right" w:leader="dot" w:pos="9639"/>
        </w:tabs>
        <w:ind w:left="800"/>
      </w:pPr>
      <w:hyperlink w:anchor="_Toc21544" w:history="1">
        <w:r>
          <w:rPr>
            <w:i/>
            <w:iCs/>
            <w:szCs w:val="24"/>
          </w:rPr>
          <w:t>ANEXA 5.5 - CERINȚE SPECIALE PENTRU EVACUAREA PERSOANELOR CU DIZABILITĂȚI</w:t>
        </w:r>
        <w:r>
          <w:tab/>
        </w:r>
        <w:r>
          <w:fldChar w:fldCharType="begin"/>
        </w:r>
        <w:r>
          <w:instrText xml:space="preserve"> PAGEREF _Toc21544 \h </w:instrText>
        </w:r>
        <w:r>
          <w:fldChar w:fldCharType="separate"/>
        </w:r>
        <w:r>
          <w:t>496</w:t>
        </w:r>
        <w:r>
          <w:fldChar w:fldCharType="end"/>
        </w:r>
      </w:hyperlink>
    </w:p>
    <w:p w14:paraId="485ADC98" w14:textId="77777777" w:rsidR="001C08A5" w:rsidRDefault="00000000">
      <w:pPr>
        <w:pStyle w:val="TOC4"/>
        <w:tabs>
          <w:tab w:val="right" w:leader="dot" w:pos="9639"/>
        </w:tabs>
        <w:ind w:left="1200"/>
      </w:pPr>
      <w:hyperlink w:anchor="_Toc21745" w:history="1">
        <w:r>
          <w:rPr>
            <w:szCs w:val="24"/>
          </w:rPr>
          <w:t>Terminologie</w:t>
        </w:r>
        <w:r>
          <w:tab/>
        </w:r>
        <w:r>
          <w:fldChar w:fldCharType="begin"/>
        </w:r>
        <w:r>
          <w:instrText xml:space="preserve"> PAGEREF _Toc21745 \h </w:instrText>
        </w:r>
        <w:r>
          <w:fldChar w:fldCharType="separate"/>
        </w:r>
        <w:r>
          <w:t>496</w:t>
        </w:r>
        <w:r>
          <w:fldChar w:fldCharType="end"/>
        </w:r>
      </w:hyperlink>
    </w:p>
    <w:p w14:paraId="60CD9094" w14:textId="77777777" w:rsidR="001C08A5" w:rsidRDefault="00000000">
      <w:pPr>
        <w:pStyle w:val="TOC4"/>
        <w:tabs>
          <w:tab w:val="right" w:leader="dot" w:pos="9639"/>
        </w:tabs>
        <w:ind w:left="1200"/>
      </w:pPr>
      <w:hyperlink w:anchor="_Toc24702" w:history="1">
        <w:r>
          <w:rPr>
            <w:szCs w:val="24"/>
          </w:rPr>
          <w:t>Prevederi generale</w:t>
        </w:r>
        <w:r>
          <w:tab/>
        </w:r>
        <w:r>
          <w:fldChar w:fldCharType="begin"/>
        </w:r>
        <w:r>
          <w:instrText xml:space="preserve"> PAGEREF _Toc24702 \h </w:instrText>
        </w:r>
        <w:r>
          <w:fldChar w:fldCharType="separate"/>
        </w:r>
        <w:r>
          <w:t>496</w:t>
        </w:r>
        <w:r>
          <w:fldChar w:fldCharType="end"/>
        </w:r>
      </w:hyperlink>
    </w:p>
    <w:p w14:paraId="4930640B" w14:textId="77777777" w:rsidR="001C08A5" w:rsidRDefault="00000000">
      <w:pPr>
        <w:pStyle w:val="TOC4"/>
        <w:tabs>
          <w:tab w:val="right" w:leader="dot" w:pos="9639"/>
        </w:tabs>
        <w:ind w:left="1200"/>
      </w:pPr>
      <w:hyperlink w:anchor="_Toc11341" w:history="1">
        <w:r>
          <w:rPr>
            <w:szCs w:val="24"/>
          </w:rPr>
          <w:t>Cerințe generale a punctelor de staționare a persoanelor cu dizabilități</w:t>
        </w:r>
        <w:r>
          <w:tab/>
        </w:r>
        <w:r>
          <w:fldChar w:fldCharType="begin"/>
        </w:r>
        <w:r>
          <w:instrText xml:space="preserve"> PAGEREF _Toc11341 \h </w:instrText>
        </w:r>
        <w:r>
          <w:fldChar w:fldCharType="separate"/>
        </w:r>
        <w:r>
          <w:t>497</w:t>
        </w:r>
        <w:r>
          <w:fldChar w:fldCharType="end"/>
        </w:r>
      </w:hyperlink>
    </w:p>
    <w:p w14:paraId="607AD183" w14:textId="77777777" w:rsidR="001C08A5" w:rsidRDefault="00000000">
      <w:pPr>
        <w:pStyle w:val="TOC4"/>
        <w:tabs>
          <w:tab w:val="right" w:leader="dot" w:pos="9639"/>
        </w:tabs>
        <w:ind w:left="1200"/>
      </w:pPr>
      <w:hyperlink w:anchor="_Toc29932" w:history="1">
        <w:r>
          <w:rPr>
            <w:bCs/>
            <w:i/>
            <w:szCs w:val="24"/>
          </w:rPr>
          <w:t>Cerințe speciale pentru evacuarea persoanelor cu disabilități a punctelor de staționare</w:t>
        </w:r>
        <w:r>
          <w:tab/>
        </w:r>
        <w:r>
          <w:fldChar w:fldCharType="begin"/>
        </w:r>
        <w:r>
          <w:instrText xml:space="preserve"> PAGEREF _Toc29932 \h </w:instrText>
        </w:r>
        <w:r>
          <w:fldChar w:fldCharType="separate"/>
        </w:r>
        <w:r>
          <w:t>497</w:t>
        </w:r>
        <w:r>
          <w:fldChar w:fldCharType="end"/>
        </w:r>
      </w:hyperlink>
    </w:p>
    <w:p w14:paraId="62C46E6C" w14:textId="77777777" w:rsidR="001C08A5" w:rsidRDefault="00000000">
      <w:pPr>
        <w:pStyle w:val="TOC5"/>
        <w:tabs>
          <w:tab w:val="right" w:leader="dot" w:pos="9639"/>
        </w:tabs>
        <w:ind w:left="1600"/>
      </w:pPr>
      <w:hyperlink w:anchor="_Toc28829" w:history="1">
        <w:r>
          <w:rPr>
            <w:szCs w:val="24"/>
          </w:rPr>
          <w:t>Cerințe suplimentare a punctelor de staționare a persoanelor cu dizabilități</w:t>
        </w:r>
        <w:r>
          <w:tab/>
        </w:r>
        <w:r>
          <w:fldChar w:fldCharType="begin"/>
        </w:r>
        <w:r>
          <w:instrText xml:space="preserve"> PAGEREF _Toc28829 \h </w:instrText>
        </w:r>
        <w:r>
          <w:fldChar w:fldCharType="separate"/>
        </w:r>
        <w:r>
          <w:t>499</w:t>
        </w:r>
        <w:r>
          <w:fldChar w:fldCharType="end"/>
        </w:r>
      </w:hyperlink>
    </w:p>
    <w:p w14:paraId="24CD0B4A" w14:textId="77777777" w:rsidR="001C08A5" w:rsidRDefault="00000000">
      <w:pPr>
        <w:pStyle w:val="TOC4"/>
        <w:tabs>
          <w:tab w:val="right" w:leader="dot" w:pos="9639"/>
        </w:tabs>
        <w:ind w:left="1200"/>
      </w:pPr>
      <w:hyperlink w:anchor="_Toc12235" w:history="1">
        <w:r>
          <w:rPr>
            <w:szCs w:val="24"/>
          </w:rPr>
          <w:t>Zona de refugiu - caz general</w:t>
        </w:r>
        <w:r>
          <w:tab/>
        </w:r>
        <w:r>
          <w:fldChar w:fldCharType="begin"/>
        </w:r>
        <w:r>
          <w:instrText xml:space="preserve"> PAGEREF _Toc12235 \h </w:instrText>
        </w:r>
        <w:r>
          <w:fldChar w:fldCharType="separate"/>
        </w:r>
        <w:r>
          <w:t>500</w:t>
        </w:r>
        <w:r>
          <w:fldChar w:fldCharType="end"/>
        </w:r>
      </w:hyperlink>
    </w:p>
    <w:p w14:paraId="6936D87E" w14:textId="77777777" w:rsidR="001C08A5" w:rsidRDefault="00000000">
      <w:pPr>
        <w:pStyle w:val="TOC4"/>
        <w:tabs>
          <w:tab w:val="right" w:leader="dot" w:pos="9639"/>
        </w:tabs>
        <w:ind w:left="1200"/>
      </w:pPr>
      <w:hyperlink w:anchor="_Toc688" w:history="1">
        <w:r>
          <w:rPr>
            <w:szCs w:val="24"/>
          </w:rPr>
          <w:t>Ascensoare prevăzute pentru persoane cu dizabilități</w:t>
        </w:r>
        <w:r>
          <w:tab/>
        </w:r>
        <w:r>
          <w:fldChar w:fldCharType="begin"/>
        </w:r>
        <w:r>
          <w:instrText xml:space="preserve"> PAGEREF _Toc688 \h </w:instrText>
        </w:r>
        <w:r>
          <w:fldChar w:fldCharType="separate"/>
        </w:r>
        <w:r>
          <w:t>502</w:t>
        </w:r>
        <w:r>
          <w:fldChar w:fldCharType="end"/>
        </w:r>
      </w:hyperlink>
    </w:p>
    <w:p w14:paraId="781C45F7" w14:textId="77777777" w:rsidR="001C08A5" w:rsidRDefault="00000000">
      <w:pPr>
        <w:pStyle w:val="TOC2"/>
        <w:tabs>
          <w:tab w:val="right" w:leader="dot" w:pos="9639"/>
        </w:tabs>
        <w:ind w:left="400"/>
      </w:pPr>
      <w:hyperlink w:anchor="_Toc15826" w:history="1">
        <w:r>
          <w:t>ANEXA 6 - CĂI  DE ACCES, INTERVENŢIE ŞI SALVARE ÎN CAZ DE INCENDIU</w:t>
        </w:r>
        <w:r>
          <w:tab/>
        </w:r>
        <w:r>
          <w:fldChar w:fldCharType="begin"/>
        </w:r>
        <w:r>
          <w:instrText xml:space="preserve"> PAGEREF _Toc15826 \h </w:instrText>
        </w:r>
        <w:r>
          <w:fldChar w:fldCharType="separate"/>
        </w:r>
        <w:r>
          <w:t>502</w:t>
        </w:r>
        <w:r>
          <w:fldChar w:fldCharType="end"/>
        </w:r>
      </w:hyperlink>
    </w:p>
    <w:p w14:paraId="6FB52005" w14:textId="77777777" w:rsidR="001C08A5" w:rsidRDefault="00000000">
      <w:pPr>
        <w:pStyle w:val="TOC3"/>
        <w:tabs>
          <w:tab w:val="right" w:leader="dot" w:pos="9639"/>
        </w:tabs>
        <w:ind w:left="800"/>
      </w:pPr>
      <w:hyperlink w:anchor="_Toc407" w:history="1">
        <w:r>
          <w:rPr>
            <w:i/>
            <w:iCs/>
            <w:szCs w:val="24"/>
          </w:rPr>
          <w:t>ANEXA 6.1 - CĂI DE CIRCULAŢIE</w:t>
        </w:r>
        <w:r>
          <w:tab/>
        </w:r>
        <w:r>
          <w:fldChar w:fldCharType="begin"/>
        </w:r>
        <w:r>
          <w:instrText xml:space="preserve"> PAGEREF _Toc407 \h </w:instrText>
        </w:r>
        <w:r>
          <w:fldChar w:fldCharType="separate"/>
        </w:r>
        <w:r>
          <w:t>502</w:t>
        </w:r>
        <w:r>
          <w:fldChar w:fldCharType="end"/>
        </w:r>
      </w:hyperlink>
    </w:p>
    <w:p w14:paraId="129A536F" w14:textId="77777777" w:rsidR="001C08A5" w:rsidRDefault="00000000">
      <w:pPr>
        <w:pStyle w:val="TOC3"/>
        <w:tabs>
          <w:tab w:val="right" w:leader="dot" w:pos="9639"/>
        </w:tabs>
        <w:ind w:left="800"/>
      </w:pPr>
      <w:hyperlink w:anchor="_Toc17065" w:history="1">
        <w:r>
          <w:rPr>
            <w:i/>
            <w:iCs/>
            <w:szCs w:val="24"/>
          </w:rPr>
          <w:t xml:space="preserve">ANEXA 6.2 - </w:t>
        </w:r>
        <w:r>
          <w:rPr>
            <w:i/>
            <w:iCs/>
            <w:szCs w:val="24"/>
            <w:lang w:eastAsia="ar"/>
          </w:rPr>
          <w:t>P</w:t>
        </w:r>
        <w:r>
          <w:rPr>
            <w:i/>
            <w:iCs/>
            <w:szCs w:val="24"/>
            <w:lang w:val="en-US" w:eastAsia="ar"/>
          </w:rPr>
          <w:t>ERIMETRUL PEREȚILOR EXTERIORI</w:t>
        </w:r>
        <w:r>
          <w:tab/>
        </w:r>
        <w:r>
          <w:fldChar w:fldCharType="begin"/>
        </w:r>
        <w:r>
          <w:instrText xml:space="preserve"> PAGEREF _Toc17065 \h </w:instrText>
        </w:r>
        <w:r>
          <w:fldChar w:fldCharType="separate"/>
        </w:r>
        <w:r>
          <w:t>502</w:t>
        </w:r>
        <w:r>
          <w:fldChar w:fldCharType="end"/>
        </w:r>
      </w:hyperlink>
    </w:p>
    <w:p w14:paraId="457F874A" w14:textId="77777777" w:rsidR="001C08A5" w:rsidRDefault="00000000">
      <w:pPr>
        <w:pStyle w:val="TOC2"/>
        <w:tabs>
          <w:tab w:val="right" w:leader="dot" w:pos="9639"/>
        </w:tabs>
        <w:ind w:left="400"/>
      </w:pPr>
      <w:hyperlink w:anchor="_Toc7746" w:history="1">
        <w:r>
          <w:t>ANEXA 7 - PERFORMANŢE SPECIFICE UNOR FUNCŢIUNI ALE CONSTRUCŢIILOR</w:t>
        </w:r>
        <w:r>
          <w:tab/>
        </w:r>
        <w:r>
          <w:fldChar w:fldCharType="begin"/>
        </w:r>
        <w:r>
          <w:instrText xml:space="preserve"> PAGEREF _Toc7746 \h </w:instrText>
        </w:r>
        <w:r>
          <w:fldChar w:fldCharType="separate"/>
        </w:r>
        <w:r>
          <w:t>504</w:t>
        </w:r>
        <w:r>
          <w:fldChar w:fldCharType="end"/>
        </w:r>
      </w:hyperlink>
    </w:p>
    <w:p w14:paraId="4876040A" w14:textId="77777777" w:rsidR="001C08A5" w:rsidRDefault="00000000">
      <w:pPr>
        <w:pStyle w:val="TOC3"/>
        <w:tabs>
          <w:tab w:val="right" w:leader="dot" w:pos="9639"/>
        </w:tabs>
        <w:ind w:left="800"/>
      </w:pPr>
      <w:hyperlink w:anchor="_Toc9016" w:history="1">
        <w:r>
          <w:rPr>
            <w:i/>
            <w:iCs/>
            <w:szCs w:val="24"/>
          </w:rPr>
          <w:t>ANEXA 7.1 - CLĂDIRI CIVILE CU ÎNĂLŢIMI OBIŞNUITE - CLĂDIRI PENTRU SĂNĂTATE</w:t>
        </w:r>
        <w:r>
          <w:tab/>
        </w:r>
        <w:r>
          <w:fldChar w:fldCharType="begin"/>
        </w:r>
        <w:r>
          <w:instrText xml:space="preserve"> PAGEREF _Toc9016 \h </w:instrText>
        </w:r>
        <w:r>
          <w:fldChar w:fldCharType="separate"/>
        </w:r>
        <w:r>
          <w:t>504</w:t>
        </w:r>
        <w:r>
          <w:fldChar w:fldCharType="end"/>
        </w:r>
      </w:hyperlink>
    </w:p>
    <w:p w14:paraId="7285CB85" w14:textId="77777777" w:rsidR="001C08A5" w:rsidRDefault="00000000">
      <w:pPr>
        <w:pStyle w:val="TOC4"/>
        <w:tabs>
          <w:tab w:val="right" w:leader="dot" w:pos="9639"/>
        </w:tabs>
        <w:ind w:left="1200"/>
      </w:pPr>
      <w:hyperlink w:anchor="_Toc12417" w:history="1">
        <w:r>
          <w:rPr>
            <w:szCs w:val="24"/>
          </w:rPr>
          <w:t>Generalități (la funcțiuni sanitare: spitale, policlinici, dispensare, creşe, case de copii, cămine de bătrâni şi persoane cu dizabilități, sanatorii etc.)</w:t>
        </w:r>
        <w:r>
          <w:tab/>
        </w:r>
        <w:r>
          <w:fldChar w:fldCharType="begin"/>
        </w:r>
        <w:r>
          <w:instrText xml:space="preserve"> PAGEREF _Toc12417 \h </w:instrText>
        </w:r>
        <w:r>
          <w:fldChar w:fldCharType="separate"/>
        </w:r>
        <w:r>
          <w:t>504</w:t>
        </w:r>
        <w:r>
          <w:fldChar w:fldCharType="end"/>
        </w:r>
      </w:hyperlink>
    </w:p>
    <w:p w14:paraId="11DDAFFF" w14:textId="77777777" w:rsidR="001C08A5" w:rsidRDefault="00000000">
      <w:pPr>
        <w:pStyle w:val="TOC4"/>
        <w:tabs>
          <w:tab w:val="right" w:leader="dot" w:pos="9639"/>
        </w:tabs>
        <w:ind w:left="1200"/>
      </w:pPr>
      <w:hyperlink w:anchor="_Toc18906" w:history="1">
        <w:r>
          <w:rPr>
            <w:szCs w:val="24"/>
          </w:rPr>
          <w:t>Funcțiune sanitară - circulații orizontale și verticale</w:t>
        </w:r>
        <w:r>
          <w:tab/>
        </w:r>
        <w:r>
          <w:fldChar w:fldCharType="begin"/>
        </w:r>
        <w:r>
          <w:instrText xml:space="preserve"> PAGEREF _Toc18906 \h </w:instrText>
        </w:r>
        <w:r>
          <w:fldChar w:fldCharType="separate"/>
        </w:r>
        <w:r>
          <w:t>505</w:t>
        </w:r>
        <w:r>
          <w:fldChar w:fldCharType="end"/>
        </w:r>
      </w:hyperlink>
    </w:p>
    <w:p w14:paraId="00B574BA" w14:textId="77777777" w:rsidR="001C08A5" w:rsidRDefault="00000000">
      <w:pPr>
        <w:pStyle w:val="TOC4"/>
        <w:tabs>
          <w:tab w:val="right" w:leader="dot" w:pos="9639"/>
        </w:tabs>
        <w:ind w:left="1200"/>
      </w:pPr>
      <w:hyperlink w:anchor="_Toc14628" w:history="1">
        <w:r>
          <w:rPr>
            <w:szCs w:val="24"/>
          </w:rPr>
          <w:t>Zona de refugiu în clădiri de sănătate</w:t>
        </w:r>
        <w:r>
          <w:tab/>
        </w:r>
        <w:r>
          <w:fldChar w:fldCharType="begin"/>
        </w:r>
        <w:r>
          <w:instrText xml:space="preserve"> PAGEREF _Toc14628 \h </w:instrText>
        </w:r>
        <w:r>
          <w:fldChar w:fldCharType="separate"/>
        </w:r>
        <w:r>
          <w:t>508</w:t>
        </w:r>
        <w:r>
          <w:fldChar w:fldCharType="end"/>
        </w:r>
      </w:hyperlink>
    </w:p>
    <w:p w14:paraId="4C4BA1B1" w14:textId="77777777" w:rsidR="001C08A5" w:rsidRDefault="00000000">
      <w:pPr>
        <w:pStyle w:val="TOC5"/>
        <w:tabs>
          <w:tab w:val="right" w:leader="dot" w:pos="9639"/>
        </w:tabs>
        <w:ind w:left="1600"/>
      </w:pPr>
      <w:hyperlink w:anchor="_Toc31859" w:history="1">
        <w:r>
          <w:rPr>
            <w:szCs w:val="24"/>
          </w:rPr>
          <w:t>Prevederi generale</w:t>
        </w:r>
        <w:r>
          <w:tab/>
        </w:r>
        <w:r>
          <w:fldChar w:fldCharType="begin"/>
        </w:r>
        <w:r>
          <w:instrText xml:space="preserve"> PAGEREF _Toc31859 \h </w:instrText>
        </w:r>
        <w:r>
          <w:fldChar w:fldCharType="separate"/>
        </w:r>
        <w:r>
          <w:t>508</w:t>
        </w:r>
        <w:r>
          <w:fldChar w:fldCharType="end"/>
        </w:r>
      </w:hyperlink>
    </w:p>
    <w:p w14:paraId="0C86DDE5" w14:textId="77777777" w:rsidR="001C08A5" w:rsidRDefault="00000000">
      <w:pPr>
        <w:pStyle w:val="TOC5"/>
        <w:tabs>
          <w:tab w:val="right" w:leader="dot" w:pos="9639"/>
        </w:tabs>
        <w:ind w:left="1600"/>
      </w:pPr>
      <w:hyperlink w:anchor="_Toc30069" w:history="1">
        <w:r>
          <w:rPr>
            <w:szCs w:val="24"/>
          </w:rPr>
          <w:t>„Zona de refugiu” situată în același compartiment de incendiu</w:t>
        </w:r>
        <w:r>
          <w:tab/>
        </w:r>
        <w:r>
          <w:fldChar w:fldCharType="begin"/>
        </w:r>
        <w:r>
          <w:instrText xml:space="preserve"> PAGEREF _Toc30069 \h </w:instrText>
        </w:r>
        <w:r>
          <w:fldChar w:fldCharType="separate"/>
        </w:r>
        <w:r>
          <w:t>509</w:t>
        </w:r>
        <w:r>
          <w:fldChar w:fldCharType="end"/>
        </w:r>
      </w:hyperlink>
    </w:p>
    <w:p w14:paraId="2CFB49EC" w14:textId="77777777" w:rsidR="001C08A5" w:rsidRDefault="00000000">
      <w:pPr>
        <w:pStyle w:val="TOC5"/>
        <w:tabs>
          <w:tab w:val="right" w:leader="dot" w:pos="9639"/>
        </w:tabs>
        <w:ind w:left="1600"/>
      </w:pPr>
      <w:hyperlink w:anchor="_Toc11831" w:history="1">
        <w:r>
          <w:rPr>
            <w:szCs w:val="24"/>
          </w:rPr>
          <w:t>„Zona de refugiu” situată în în interiorul unui alt compartiment de incendiu</w:t>
        </w:r>
        <w:r>
          <w:tab/>
        </w:r>
        <w:r>
          <w:fldChar w:fldCharType="begin"/>
        </w:r>
        <w:r>
          <w:instrText xml:space="preserve"> PAGEREF _Toc11831 \h </w:instrText>
        </w:r>
        <w:r>
          <w:fldChar w:fldCharType="separate"/>
        </w:r>
        <w:r>
          <w:t>509</w:t>
        </w:r>
        <w:r>
          <w:fldChar w:fldCharType="end"/>
        </w:r>
      </w:hyperlink>
    </w:p>
    <w:p w14:paraId="3F4FB142" w14:textId="77777777" w:rsidR="001C08A5" w:rsidRDefault="00000000">
      <w:pPr>
        <w:pStyle w:val="TOC3"/>
        <w:tabs>
          <w:tab w:val="right" w:leader="dot" w:pos="9639"/>
        </w:tabs>
        <w:ind w:left="800"/>
      </w:pPr>
      <w:hyperlink w:anchor="_Toc27942" w:history="1">
        <w:r>
          <w:rPr>
            <w:i/>
            <w:iCs/>
            <w:szCs w:val="24"/>
          </w:rPr>
          <w:t>ANEXA 7.2 - PARCAJE</w:t>
        </w:r>
        <w:r>
          <w:tab/>
        </w:r>
        <w:r>
          <w:fldChar w:fldCharType="begin"/>
        </w:r>
        <w:r>
          <w:instrText xml:space="preserve"> PAGEREF _Toc27942 \h </w:instrText>
        </w:r>
        <w:r>
          <w:fldChar w:fldCharType="separate"/>
        </w:r>
        <w:r>
          <w:t>519</w:t>
        </w:r>
        <w:r>
          <w:fldChar w:fldCharType="end"/>
        </w:r>
      </w:hyperlink>
    </w:p>
    <w:p w14:paraId="6F50189A" w14:textId="77777777" w:rsidR="001C08A5" w:rsidRDefault="00000000">
      <w:pPr>
        <w:pStyle w:val="TOC4"/>
        <w:tabs>
          <w:tab w:val="right" w:leader="dot" w:pos="9639"/>
        </w:tabs>
        <w:ind w:left="1200"/>
      </w:pPr>
      <w:hyperlink w:anchor="_Toc11730" w:history="1">
        <w:r>
          <w:rPr>
            <w:szCs w:val="24"/>
          </w:rPr>
          <w:t>Parcaj deschis (suprateran)</w:t>
        </w:r>
        <w:r>
          <w:tab/>
        </w:r>
        <w:r>
          <w:fldChar w:fldCharType="begin"/>
        </w:r>
        <w:r>
          <w:instrText xml:space="preserve"> PAGEREF _Toc11730 \h </w:instrText>
        </w:r>
        <w:r>
          <w:fldChar w:fldCharType="separate"/>
        </w:r>
        <w:r>
          <w:t>519</w:t>
        </w:r>
        <w:r>
          <w:fldChar w:fldCharType="end"/>
        </w:r>
      </w:hyperlink>
    </w:p>
    <w:p w14:paraId="6ECCADCD" w14:textId="77777777" w:rsidR="001C08A5" w:rsidRDefault="00000000">
      <w:pPr>
        <w:pStyle w:val="TOC4"/>
        <w:tabs>
          <w:tab w:val="right" w:leader="dot" w:pos="9639"/>
        </w:tabs>
        <w:ind w:left="1200"/>
      </w:pPr>
      <w:hyperlink w:anchor="_Toc1501" w:history="1">
        <w:r>
          <w:rPr>
            <w:szCs w:val="24"/>
          </w:rPr>
          <w:t>Stații de încărcare mașini electrice</w:t>
        </w:r>
        <w:r>
          <w:tab/>
        </w:r>
        <w:r>
          <w:fldChar w:fldCharType="begin"/>
        </w:r>
        <w:r>
          <w:instrText xml:space="preserve"> PAGEREF _Toc1501 \h </w:instrText>
        </w:r>
        <w:r>
          <w:fldChar w:fldCharType="separate"/>
        </w:r>
        <w:r>
          <w:t>521</w:t>
        </w:r>
        <w:r>
          <w:fldChar w:fldCharType="end"/>
        </w:r>
      </w:hyperlink>
    </w:p>
    <w:p w14:paraId="3D347401" w14:textId="77777777" w:rsidR="001C08A5" w:rsidRDefault="00000000">
      <w:pPr>
        <w:pStyle w:val="TOC3"/>
        <w:tabs>
          <w:tab w:val="right" w:leader="dot" w:pos="9639"/>
        </w:tabs>
        <w:ind w:left="800"/>
      </w:pPr>
      <w:hyperlink w:anchor="_Toc23386" w:history="1">
        <w:r>
          <w:rPr>
            <w:i/>
            <w:iCs/>
            <w:szCs w:val="24"/>
          </w:rPr>
          <w:t>ANEXA 7.3 - ARENE SI STADIOANE</w:t>
        </w:r>
        <w:r>
          <w:tab/>
        </w:r>
        <w:r>
          <w:fldChar w:fldCharType="begin"/>
        </w:r>
        <w:r>
          <w:instrText xml:space="preserve"> PAGEREF _Toc23386 \h </w:instrText>
        </w:r>
        <w:r>
          <w:fldChar w:fldCharType="separate"/>
        </w:r>
        <w:r>
          <w:t>524</w:t>
        </w:r>
        <w:r>
          <w:fldChar w:fldCharType="end"/>
        </w:r>
      </w:hyperlink>
    </w:p>
    <w:p w14:paraId="20531ECF" w14:textId="77777777" w:rsidR="001C08A5" w:rsidRDefault="00000000">
      <w:pPr>
        <w:pStyle w:val="TOC3"/>
        <w:tabs>
          <w:tab w:val="right" w:leader="dot" w:pos="9639"/>
        </w:tabs>
        <w:ind w:left="800"/>
      </w:pPr>
      <w:hyperlink w:anchor="_Toc17179" w:history="1">
        <w:r>
          <w:rPr>
            <w:i/>
            <w:iCs/>
            <w:szCs w:val="24"/>
          </w:rPr>
          <w:t>ANEXA 7.4 - CLĂDIRI CIVILE ÎNALTE,  FOARTE  ÎNALTE  SAU  CU  SĂLI  AGLOMERATE</w:t>
        </w:r>
        <w:r>
          <w:tab/>
        </w:r>
        <w:r>
          <w:fldChar w:fldCharType="begin"/>
        </w:r>
        <w:r>
          <w:instrText xml:space="preserve"> PAGEREF _Toc17179 \h </w:instrText>
        </w:r>
        <w:r>
          <w:fldChar w:fldCharType="separate"/>
        </w:r>
        <w:r>
          <w:t>528</w:t>
        </w:r>
        <w:r>
          <w:fldChar w:fldCharType="end"/>
        </w:r>
      </w:hyperlink>
    </w:p>
    <w:p w14:paraId="2FD1B9E0" w14:textId="77777777" w:rsidR="001C08A5" w:rsidRDefault="00000000">
      <w:pPr>
        <w:pStyle w:val="TOC4"/>
        <w:tabs>
          <w:tab w:val="right" w:leader="dot" w:pos="9639"/>
        </w:tabs>
        <w:ind w:left="1200"/>
      </w:pPr>
      <w:hyperlink w:anchor="_Toc29401" w:history="1">
        <w:r>
          <w:rPr>
            <w:szCs w:val="24"/>
          </w:rPr>
          <w:t>Clădiri înalte și foarte înalte</w:t>
        </w:r>
        <w:r>
          <w:tab/>
        </w:r>
        <w:r>
          <w:fldChar w:fldCharType="begin"/>
        </w:r>
        <w:r>
          <w:instrText xml:space="preserve"> PAGEREF _Toc29401 \h </w:instrText>
        </w:r>
        <w:r>
          <w:fldChar w:fldCharType="separate"/>
        </w:r>
        <w:r>
          <w:t>528</w:t>
        </w:r>
        <w:r>
          <w:fldChar w:fldCharType="end"/>
        </w:r>
      </w:hyperlink>
    </w:p>
    <w:p w14:paraId="1BD49594" w14:textId="77777777" w:rsidR="001C08A5" w:rsidRDefault="00000000">
      <w:pPr>
        <w:pStyle w:val="TOC4"/>
        <w:tabs>
          <w:tab w:val="right" w:leader="dot" w:pos="9639"/>
        </w:tabs>
        <w:ind w:left="1200"/>
      </w:pPr>
      <w:hyperlink w:anchor="_Toc7583" w:history="1">
        <w:r>
          <w:rPr>
            <w:szCs w:val="24"/>
          </w:rPr>
          <w:t>Clădiri cu săli aglomerate (l</w:t>
        </w:r>
        <w:r>
          <w:rPr>
            <w:iCs/>
            <w:szCs w:val="26"/>
            <w:lang w:val="en-US"/>
          </w:rPr>
          <w:t>ungimi de evacuare la sălile aglomerate</w:t>
        </w:r>
        <w:r>
          <w:rPr>
            <w:iCs/>
            <w:szCs w:val="26"/>
          </w:rPr>
          <w:t>)</w:t>
        </w:r>
        <w:r>
          <w:tab/>
        </w:r>
        <w:r>
          <w:fldChar w:fldCharType="begin"/>
        </w:r>
        <w:r>
          <w:instrText xml:space="preserve"> PAGEREF _Toc7583 \h </w:instrText>
        </w:r>
        <w:r>
          <w:fldChar w:fldCharType="separate"/>
        </w:r>
        <w:r>
          <w:t>533</w:t>
        </w:r>
        <w:r>
          <w:fldChar w:fldCharType="end"/>
        </w:r>
      </w:hyperlink>
    </w:p>
    <w:p w14:paraId="457B0204" w14:textId="77777777" w:rsidR="001C08A5" w:rsidRDefault="00000000">
      <w:pPr>
        <w:pStyle w:val="TOC3"/>
        <w:tabs>
          <w:tab w:val="right" w:leader="dot" w:pos="9639"/>
        </w:tabs>
        <w:ind w:left="800"/>
      </w:pPr>
      <w:hyperlink w:anchor="_Toc11036" w:history="1">
        <w:r>
          <w:rPr>
            <w:i/>
            <w:iCs/>
            <w:szCs w:val="24"/>
          </w:rPr>
          <w:t>ANEXA 7.5 - CONSTRUCŢII CU FUNCŢIUNI MIXTE</w:t>
        </w:r>
        <w:r>
          <w:tab/>
        </w:r>
        <w:r>
          <w:fldChar w:fldCharType="begin"/>
        </w:r>
        <w:r>
          <w:instrText xml:space="preserve"> PAGEREF _Toc11036 \h </w:instrText>
        </w:r>
        <w:r>
          <w:fldChar w:fldCharType="separate"/>
        </w:r>
        <w:r>
          <w:t>535</w:t>
        </w:r>
        <w:r>
          <w:fldChar w:fldCharType="end"/>
        </w:r>
      </w:hyperlink>
    </w:p>
    <w:p w14:paraId="1B093696" w14:textId="77777777" w:rsidR="001C08A5" w:rsidRDefault="00000000">
      <w:pPr>
        <w:pStyle w:val="TOC3"/>
        <w:tabs>
          <w:tab w:val="right" w:leader="dot" w:pos="9639"/>
        </w:tabs>
        <w:ind w:left="800"/>
      </w:pPr>
      <w:hyperlink w:anchor="_Toc5367" w:history="1">
        <w:r>
          <w:rPr>
            <w:i/>
            <w:iCs/>
            <w:szCs w:val="24"/>
          </w:rPr>
          <w:t>ANEXA 7.6 - CONSTRUCŢII DE PRODUCŢIE ŞI/SAU DEPOZITARE</w:t>
        </w:r>
        <w:r>
          <w:tab/>
        </w:r>
        <w:r>
          <w:fldChar w:fldCharType="begin"/>
        </w:r>
        <w:r>
          <w:instrText xml:space="preserve"> PAGEREF _Toc5367 \h </w:instrText>
        </w:r>
        <w:r>
          <w:fldChar w:fldCharType="separate"/>
        </w:r>
        <w:r>
          <w:t>538</w:t>
        </w:r>
        <w:r>
          <w:fldChar w:fldCharType="end"/>
        </w:r>
      </w:hyperlink>
    </w:p>
    <w:p w14:paraId="4B7FD7E2" w14:textId="77777777" w:rsidR="001C08A5" w:rsidRDefault="00000000">
      <w:pPr>
        <w:pStyle w:val="TOC4"/>
        <w:tabs>
          <w:tab w:val="right" w:leader="dot" w:pos="9639"/>
        </w:tabs>
        <w:ind w:left="1200"/>
      </w:pPr>
      <w:hyperlink w:anchor="_Toc27861" w:history="1">
        <w:r>
          <w:rPr>
            <w:szCs w:val="24"/>
          </w:rPr>
          <w:t>Amplasare</w:t>
        </w:r>
        <w:r>
          <w:tab/>
        </w:r>
        <w:r>
          <w:fldChar w:fldCharType="begin"/>
        </w:r>
        <w:r>
          <w:instrText xml:space="preserve"> PAGEREF _Toc27861 \h </w:instrText>
        </w:r>
        <w:r>
          <w:fldChar w:fldCharType="separate"/>
        </w:r>
        <w:r>
          <w:t>538</w:t>
        </w:r>
        <w:r>
          <w:fldChar w:fldCharType="end"/>
        </w:r>
      </w:hyperlink>
    </w:p>
    <w:p w14:paraId="0289C635" w14:textId="77777777" w:rsidR="001C08A5" w:rsidRDefault="00000000">
      <w:pPr>
        <w:pStyle w:val="TOC4"/>
        <w:tabs>
          <w:tab w:val="right" w:leader="dot" w:pos="9639"/>
        </w:tabs>
        <w:ind w:left="1200"/>
      </w:pPr>
      <w:hyperlink w:anchor="_Toc27642" w:history="1">
        <w:r>
          <w:rPr>
            <w:szCs w:val="24"/>
          </w:rPr>
          <w:t>Lungimi de evacuare la clădiri de producţie şi/sau depozitare</w:t>
        </w:r>
        <w:r>
          <w:tab/>
        </w:r>
        <w:r>
          <w:fldChar w:fldCharType="begin"/>
        </w:r>
        <w:r>
          <w:instrText xml:space="preserve"> PAGEREF _Toc27642 \h </w:instrText>
        </w:r>
        <w:r>
          <w:fldChar w:fldCharType="separate"/>
        </w:r>
        <w:r>
          <w:t>539</w:t>
        </w:r>
        <w:r>
          <w:fldChar w:fldCharType="end"/>
        </w:r>
      </w:hyperlink>
    </w:p>
    <w:p w14:paraId="7A858F34" w14:textId="77777777" w:rsidR="001C08A5" w:rsidRDefault="00000000">
      <w:pPr>
        <w:pStyle w:val="TOC4"/>
        <w:tabs>
          <w:tab w:val="right" w:leader="dot" w:pos="9639"/>
        </w:tabs>
        <w:ind w:left="1200"/>
      </w:pPr>
      <w:hyperlink w:anchor="_Toc27131" w:history="1">
        <w:r>
          <w:rPr>
            <w:szCs w:val="24"/>
          </w:rPr>
          <w:t>Scări de evacuare închise din construcţii de producţie şi/sau depozitare</w:t>
        </w:r>
        <w:r>
          <w:tab/>
        </w:r>
        <w:r>
          <w:fldChar w:fldCharType="begin"/>
        </w:r>
        <w:r>
          <w:instrText xml:space="preserve"> PAGEREF _Toc27131 \h </w:instrText>
        </w:r>
        <w:r>
          <w:fldChar w:fldCharType="separate"/>
        </w:r>
        <w:r>
          <w:t>541</w:t>
        </w:r>
        <w:r>
          <w:fldChar w:fldCharType="end"/>
        </w:r>
      </w:hyperlink>
    </w:p>
    <w:p w14:paraId="70D3C7AF" w14:textId="77777777" w:rsidR="001C08A5" w:rsidRDefault="00000000">
      <w:pPr>
        <w:pStyle w:val="TOC4"/>
        <w:tabs>
          <w:tab w:val="right" w:leader="dot" w:pos="9639"/>
        </w:tabs>
        <w:ind w:left="1200"/>
      </w:pPr>
      <w:hyperlink w:anchor="_Toc3737" w:history="1">
        <w:r>
          <w:rPr>
            <w:szCs w:val="24"/>
          </w:rPr>
          <w:t>Goluri de acces la scări de evacuare închise din construcţiile de producţie şi/sau depozitare</w:t>
        </w:r>
        <w:r>
          <w:tab/>
        </w:r>
        <w:r>
          <w:fldChar w:fldCharType="begin"/>
        </w:r>
        <w:r>
          <w:instrText xml:space="preserve"> PAGEREF _Toc3737 \h </w:instrText>
        </w:r>
        <w:r>
          <w:fldChar w:fldCharType="separate"/>
        </w:r>
        <w:r>
          <w:t>542</w:t>
        </w:r>
        <w:r>
          <w:fldChar w:fldCharType="end"/>
        </w:r>
      </w:hyperlink>
    </w:p>
    <w:p w14:paraId="07A076D8" w14:textId="77777777" w:rsidR="001C08A5" w:rsidRDefault="00000000">
      <w:pPr>
        <w:pStyle w:val="TOC4"/>
        <w:tabs>
          <w:tab w:val="right" w:leader="dot" w:pos="9639"/>
        </w:tabs>
        <w:ind w:left="1200"/>
      </w:pPr>
      <w:hyperlink w:anchor="_Toc18082" w:history="1">
        <w:r>
          <w:rPr>
            <w:szCs w:val="24"/>
          </w:rPr>
          <w:t>Circulaţii comune orizontale din construcţii de producţie şi/sau depozitare</w:t>
        </w:r>
        <w:r>
          <w:tab/>
        </w:r>
        <w:r>
          <w:fldChar w:fldCharType="begin"/>
        </w:r>
        <w:r>
          <w:instrText xml:space="preserve"> PAGEREF _Toc18082 \h </w:instrText>
        </w:r>
        <w:r>
          <w:fldChar w:fldCharType="separate"/>
        </w:r>
        <w:r>
          <w:t>543</w:t>
        </w:r>
        <w:r>
          <w:fldChar w:fldCharType="end"/>
        </w:r>
      </w:hyperlink>
    </w:p>
    <w:p w14:paraId="31FBF018" w14:textId="77777777" w:rsidR="001C08A5" w:rsidRDefault="00000000">
      <w:pPr>
        <w:pStyle w:val="TOC4"/>
        <w:tabs>
          <w:tab w:val="right" w:leader="dot" w:pos="9639"/>
        </w:tabs>
        <w:ind w:left="1200"/>
      </w:pPr>
      <w:hyperlink w:anchor="_Toc14434" w:history="1">
        <w:r>
          <w:rPr>
            <w:szCs w:val="24"/>
          </w:rPr>
          <w:t>Goluri de acces la circulaţii comune orizontale din construcţii de producţie şi/sau depozitare</w:t>
        </w:r>
        <w:r>
          <w:tab/>
        </w:r>
        <w:r>
          <w:fldChar w:fldCharType="begin"/>
        </w:r>
        <w:r>
          <w:instrText xml:space="preserve"> PAGEREF _Toc14434 \h </w:instrText>
        </w:r>
        <w:r>
          <w:fldChar w:fldCharType="separate"/>
        </w:r>
        <w:r>
          <w:t>545</w:t>
        </w:r>
        <w:r>
          <w:fldChar w:fldCharType="end"/>
        </w:r>
      </w:hyperlink>
    </w:p>
    <w:p w14:paraId="2936A854" w14:textId="77777777" w:rsidR="001C08A5" w:rsidRDefault="00000000">
      <w:pPr>
        <w:pStyle w:val="TOC4"/>
        <w:tabs>
          <w:tab w:val="right" w:leader="dot" w:pos="9639"/>
        </w:tabs>
        <w:ind w:left="1200"/>
      </w:pPr>
      <w:hyperlink w:anchor="_Toc11450" w:history="1">
        <w:r>
          <w:rPr>
            <w:szCs w:val="24"/>
          </w:rPr>
          <w:t>Goluri de acces la ascensoare de persoane, de marfă sau la alte mijloace mecanice de transport pe verticală din construcţii de producţie şi/sau depozitare</w:t>
        </w:r>
        <w:r>
          <w:tab/>
        </w:r>
        <w:r>
          <w:fldChar w:fldCharType="begin"/>
        </w:r>
        <w:r>
          <w:instrText xml:space="preserve"> PAGEREF _Toc11450 \h </w:instrText>
        </w:r>
        <w:r>
          <w:fldChar w:fldCharType="separate"/>
        </w:r>
        <w:r>
          <w:t>547</w:t>
        </w:r>
        <w:r>
          <w:fldChar w:fldCharType="end"/>
        </w:r>
      </w:hyperlink>
    </w:p>
    <w:p w14:paraId="30E46FAA" w14:textId="77777777" w:rsidR="001C08A5" w:rsidRDefault="00000000">
      <w:pPr>
        <w:pStyle w:val="TOC4"/>
        <w:tabs>
          <w:tab w:val="right" w:leader="dot" w:pos="9639"/>
        </w:tabs>
        <w:ind w:left="1200"/>
      </w:pPr>
      <w:hyperlink w:anchor="_Toc11865" w:history="1">
        <w:r>
          <w:rPr>
            <w:szCs w:val="24"/>
          </w:rPr>
          <w:t xml:space="preserve">Evacuarea fumului și a gazelor fierbinți </w:t>
        </w:r>
        <w:r>
          <w:rPr>
            <w:iCs/>
            <w:szCs w:val="24"/>
          </w:rPr>
          <w:t>din construcţii de producţie şi/sau depozitare</w:t>
        </w:r>
        <w:r>
          <w:tab/>
        </w:r>
        <w:r>
          <w:fldChar w:fldCharType="begin"/>
        </w:r>
        <w:r>
          <w:instrText xml:space="preserve"> PAGEREF _Toc11865 \h </w:instrText>
        </w:r>
        <w:r>
          <w:fldChar w:fldCharType="separate"/>
        </w:r>
        <w:r>
          <w:t>549</w:t>
        </w:r>
        <w:r>
          <w:fldChar w:fldCharType="end"/>
        </w:r>
      </w:hyperlink>
    </w:p>
    <w:p w14:paraId="469C9BBB" w14:textId="77777777" w:rsidR="001C08A5" w:rsidRDefault="00000000">
      <w:pPr>
        <w:pStyle w:val="TOC4"/>
        <w:tabs>
          <w:tab w:val="right" w:leader="dot" w:pos="9639"/>
        </w:tabs>
        <w:ind w:left="1200"/>
      </w:pPr>
      <w:hyperlink w:anchor="_Toc6966" w:history="1">
        <w:r>
          <w:rPr>
            <w:szCs w:val="24"/>
          </w:rPr>
          <w:t>Cerințe suplimentare la</w:t>
        </w:r>
        <w:r>
          <w:rPr>
            <w:iCs/>
            <w:szCs w:val="24"/>
          </w:rPr>
          <w:t xml:space="preserve"> construcţii de producţie şi/sau depozitare</w:t>
        </w:r>
        <w:r>
          <w:tab/>
        </w:r>
        <w:r>
          <w:fldChar w:fldCharType="begin"/>
        </w:r>
        <w:r>
          <w:instrText xml:space="preserve"> PAGEREF _Toc6966 \h </w:instrText>
        </w:r>
        <w:r>
          <w:fldChar w:fldCharType="separate"/>
        </w:r>
        <w:r>
          <w:t>549</w:t>
        </w:r>
        <w:r>
          <w:fldChar w:fldCharType="end"/>
        </w:r>
      </w:hyperlink>
    </w:p>
    <w:p w14:paraId="010F4003" w14:textId="77777777" w:rsidR="001C08A5" w:rsidRDefault="00000000">
      <w:pPr>
        <w:pStyle w:val="TOC3"/>
        <w:tabs>
          <w:tab w:val="right" w:leader="dot" w:pos="9639"/>
        </w:tabs>
        <w:ind w:left="800"/>
      </w:pPr>
      <w:hyperlink w:anchor="_Toc23225" w:history="1">
        <w:r>
          <w:rPr>
            <w:i/>
            <w:iCs/>
            <w:szCs w:val="24"/>
          </w:rPr>
          <w:t>ANEXA 7.7 - SPAȚII DE TIP OPEN/SPACE</w:t>
        </w:r>
        <w:r>
          <w:tab/>
        </w:r>
        <w:r>
          <w:fldChar w:fldCharType="begin"/>
        </w:r>
        <w:r>
          <w:instrText xml:space="preserve"> PAGEREF _Toc23225 \h </w:instrText>
        </w:r>
        <w:r>
          <w:fldChar w:fldCharType="separate"/>
        </w:r>
        <w:r>
          <w:t>550</w:t>
        </w:r>
        <w:r>
          <w:fldChar w:fldCharType="end"/>
        </w:r>
      </w:hyperlink>
    </w:p>
    <w:p w14:paraId="411755DB" w14:textId="77777777" w:rsidR="001C08A5" w:rsidRDefault="00000000">
      <w:pPr>
        <w:pStyle w:val="TOC2"/>
        <w:tabs>
          <w:tab w:val="right" w:leader="dot" w:pos="9639"/>
        </w:tabs>
        <w:ind w:left="400"/>
      </w:pPr>
      <w:hyperlink w:anchor="_Toc13306" w:history="1">
        <w:r>
          <w:t>ANEXA 8 - CARACTERISTICILE SUBSTANŢELOR ŞI MATERIALELOR CE DETERMINĂ ÎNCADRAREA ÎN RISCURI DE INCENDIU A SPAŢIILOR, ÎNCĂPERILOR, COMPARTIMENTELOR DE INCENDIU ŞI CONSTRUCŢIILOR DE PRODUCŢIE ŞI/SAU DEPOZITARE</w:t>
        </w:r>
        <w:r>
          <w:tab/>
        </w:r>
        <w:r>
          <w:fldChar w:fldCharType="begin"/>
        </w:r>
        <w:r>
          <w:instrText xml:space="preserve"> PAGEREF _Toc13306 \h </w:instrText>
        </w:r>
        <w:r>
          <w:fldChar w:fldCharType="separate"/>
        </w:r>
        <w:r>
          <w:t>551</w:t>
        </w:r>
        <w:r>
          <w:fldChar w:fldCharType="end"/>
        </w:r>
      </w:hyperlink>
    </w:p>
    <w:p w14:paraId="37459730" w14:textId="77777777" w:rsidR="001C08A5" w:rsidRDefault="00000000">
      <w:pPr>
        <w:pStyle w:val="TOC3"/>
        <w:tabs>
          <w:tab w:val="right" w:leader="dot" w:pos="9639"/>
        </w:tabs>
        <w:ind w:left="800"/>
      </w:pPr>
      <w:hyperlink w:anchor="_Toc31890" w:history="1">
        <w:r>
          <w:rPr>
            <w:i/>
            <w:iCs/>
            <w:szCs w:val="24"/>
          </w:rPr>
          <w:t>ANEXA 8.1 - ÎNCADRAREA ÎN RISCURI DE INCENDIU A SPAŢIILOR, ÎNCĂPERILOR, COMPARTIMENTELOR DE INCENDIU ŞI CONSTRUCŢIILOR DE PRODUCŢIE ŞI/SAU DEPOZITARE CONFORM DENSITĂȚII SARCINII TERMICE</w:t>
        </w:r>
        <w:r>
          <w:tab/>
        </w:r>
        <w:r>
          <w:fldChar w:fldCharType="begin"/>
        </w:r>
        <w:r>
          <w:instrText xml:space="preserve"> PAGEREF _Toc31890 \h </w:instrText>
        </w:r>
        <w:r>
          <w:fldChar w:fldCharType="separate"/>
        </w:r>
        <w:r>
          <w:t>551</w:t>
        </w:r>
        <w:r>
          <w:fldChar w:fldCharType="end"/>
        </w:r>
      </w:hyperlink>
    </w:p>
    <w:p w14:paraId="03C5EF92" w14:textId="77777777" w:rsidR="001C08A5" w:rsidRDefault="00000000">
      <w:pPr>
        <w:pStyle w:val="TOC4"/>
        <w:tabs>
          <w:tab w:val="right" w:leader="dot" w:pos="9639"/>
        </w:tabs>
        <w:ind w:left="1200"/>
      </w:pPr>
      <w:hyperlink w:anchor="_Toc19811" w:history="1">
        <w:r>
          <w:rPr>
            <w:szCs w:val="24"/>
          </w:rPr>
          <w:t>Clasificare suplimentară a materialelor/produselor şi substanţelor depozitate după clasa de periculozitate (recomandare)</w:t>
        </w:r>
        <w:r>
          <w:tab/>
        </w:r>
        <w:r>
          <w:fldChar w:fldCharType="begin"/>
        </w:r>
        <w:r>
          <w:instrText xml:space="preserve"> PAGEREF _Toc19811 \h </w:instrText>
        </w:r>
        <w:r>
          <w:fldChar w:fldCharType="separate"/>
        </w:r>
        <w:r>
          <w:t>552</w:t>
        </w:r>
        <w:r>
          <w:fldChar w:fldCharType="end"/>
        </w:r>
      </w:hyperlink>
    </w:p>
    <w:p w14:paraId="5B84736D" w14:textId="77777777" w:rsidR="001C08A5" w:rsidRDefault="00000000">
      <w:pPr>
        <w:pStyle w:val="TOC3"/>
        <w:tabs>
          <w:tab w:val="right" w:leader="dot" w:pos="9639"/>
        </w:tabs>
        <w:ind w:left="800"/>
      </w:pPr>
      <w:hyperlink w:anchor="_Toc29245" w:history="1">
        <w:r>
          <w:rPr>
            <w:i/>
            <w:iCs/>
            <w:szCs w:val="24"/>
          </w:rPr>
          <w:t>ANEXA 8.2 - CATEGORII DE LICHIDE INFLAMABILE - ÎN CONFORMITATE CU REGULAMENTULUI (CE) NR. 1272/2008 AL PARLAMENTULUI EUROPEAN ŞI AL CONSILIULUI IN 16 DECEMBRIE 2008</w:t>
        </w:r>
        <w:r>
          <w:tab/>
        </w:r>
        <w:r>
          <w:fldChar w:fldCharType="begin"/>
        </w:r>
        <w:r>
          <w:instrText xml:space="preserve"> PAGEREF _Toc29245 \h </w:instrText>
        </w:r>
        <w:r>
          <w:fldChar w:fldCharType="separate"/>
        </w:r>
        <w:r>
          <w:t>558</w:t>
        </w:r>
        <w:r>
          <w:fldChar w:fldCharType="end"/>
        </w:r>
      </w:hyperlink>
    </w:p>
    <w:p w14:paraId="034D1011" w14:textId="77777777" w:rsidR="001C08A5" w:rsidRDefault="00000000">
      <w:pPr>
        <w:pStyle w:val="TOC4"/>
        <w:tabs>
          <w:tab w:val="right" w:leader="dot" w:pos="9639"/>
        </w:tabs>
        <w:ind w:left="1200"/>
      </w:pPr>
      <w:hyperlink w:anchor="_Toc15535" w:history="1">
        <w:r>
          <w:rPr>
            <w:szCs w:val="24"/>
          </w:rPr>
          <w:t>Prevederi generale</w:t>
        </w:r>
        <w:r>
          <w:rPr>
            <w:szCs w:val="24"/>
            <w:lang w:val="en-GB"/>
          </w:rPr>
          <w:t xml:space="preserve"> privind clasificarea</w:t>
        </w:r>
        <w:r>
          <w:rPr>
            <w:szCs w:val="24"/>
          </w:rPr>
          <w:t xml:space="preserve"> lichidelor inflamabile</w:t>
        </w:r>
        <w:r>
          <w:tab/>
        </w:r>
        <w:r>
          <w:fldChar w:fldCharType="begin"/>
        </w:r>
        <w:r>
          <w:instrText xml:space="preserve"> PAGEREF _Toc15535 \h </w:instrText>
        </w:r>
        <w:r>
          <w:fldChar w:fldCharType="separate"/>
        </w:r>
        <w:r>
          <w:t>558</w:t>
        </w:r>
        <w:r>
          <w:fldChar w:fldCharType="end"/>
        </w:r>
      </w:hyperlink>
    </w:p>
    <w:p w14:paraId="3E6E0C21" w14:textId="77777777" w:rsidR="001C08A5" w:rsidRDefault="00000000">
      <w:pPr>
        <w:pStyle w:val="TOC4"/>
        <w:tabs>
          <w:tab w:val="right" w:leader="dot" w:pos="9639"/>
        </w:tabs>
        <w:ind w:left="1200"/>
      </w:pPr>
      <w:hyperlink w:anchor="_Toc3963" w:history="1">
        <w:r>
          <w:rPr>
            <w:szCs w:val="24"/>
            <w:lang w:val="en-GB"/>
          </w:rPr>
          <w:t>Consideraţii suplimentare privind clasificarea</w:t>
        </w:r>
        <w:r>
          <w:rPr>
            <w:szCs w:val="24"/>
          </w:rPr>
          <w:t xml:space="preserve"> lichidelor inflamabile</w:t>
        </w:r>
        <w:r>
          <w:tab/>
        </w:r>
        <w:r>
          <w:fldChar w:fldCharType="begin"/>
        </w:r>
        <w:r>
          <w:instrText xml:space="preserve"> PAGEREF _Toc3963 \h </w:instrText>
        </w:r>
        <w:r>
          <w:fldChar w:fldCharType="separate"/>
        </w:r>
        <w:r>
          <w:t>558</w:t>
        </w:r>
        <w:r>
          <w:fldChar w:fldCharType="end"/>
        </w:r>
      </w:hyperlink>
    </w:p>
    <w:p w14:paraId="1ED4316C" w14:textId="77777777" w:rsidR="001C08A5" w:rsidRDefault="00000000">
      <w:pPr>
        <w:pStyle w:val="TOC4"/>
        <w:tabs>
          <w:tab w:val="right" w:leader="dot" w:pos="9639"/>
        </w:tabs>
        <w:ind w:left="1200"/>
      </w:pPr>
      <w:hyperlink w:anchor="_Toc10271" w:history="1">
        <w:r>
          <w:rPr>
            <w:szCs w:val="24"/>
          </w:rPr>
          <w:t>Categorii de depozite de lichide inflamabile</w:t>
        </w:r>
        <w:r>
          <w:tab/>
        </w:r>
        <w:r>
          <w:fldChar w:fldCharType="begin"/>
        </w:r>
        <w:r>
          <w:instrText xml:space="preserve"> PAGEREF _Toc10271 \h </w:instrText>
        </w:r>
        <w:r>
          <w:fldChar w:fldCharType="separate"/>
        </w:r>
        <w:r>
          <w:t>559</w:t>
        </w:r>
        <w:r>
          <w:fldChar w:fldCharType="end"/>
        </w:r>
      </w:hyperlink>
    </w:p>
    <w:p w14:paraId="4D78C823" w14:textId="77777777" w:rsidR="001C08A5" w:rsidRDefault="00000000">
      <w:pPr>
        <w:pStyle w:val="TOC2"/>
        <w:tabs>
          <w:tab w:val="right" w:leader="dot" w:pos="9639"/>
        </w:tabs>
        <w:ind w:left="400"/>
      </w:pPr>
      <w:hyperlink w:anchor="_Toc11743" w:history="1">
        <w:r>
          <w:t>ANEXA 9 - PUTERI CALORIFICE</w:t>
        </w:r>
        <w:r>
          <w:tab/>
        </w:r>
        <w:r>
          <w:fldChar w:fldCharType="begin"/>
        </w:r>
        <w:r>
          <w:instrText xml:space="preserve"> PAGEREF _Toc11743 \h </w:instrText>
        </w:r>
        <w:r>
          <w:fldChar w:fldCharType="separate"/>
        </w:r>
        <w:r>
          <w:t>559</w:t>
        </w:r>
        <w:r>
          <w:fldChar w:fldCharType="end"/>
        </w:r>
      </w:hyperlink>
    </w:p>
    <w:p w14:paraId="2DA2C0A1" w14:textId="77777777" w:rsidR="001C08A5" w:rsidRDefault="00000000">
      <w:pPr>
        <w:pStyle w:val="TOC3"/>
        <w:tabs>
          <w:tab w:val="right" w:leader="dot" w:pos="9639"/>
        </w:tabs>
        <w:ind w:left="800"/>
      </w:pPr>
      <w:hyperlink w:anchor="_Toc23918" w:history="1">
        <w:r>
          <w:rPr>
            <w:i/>
            <w:iCs/>
            <w:szCs w:val="24"/>
          </w:rPr>
          <w:t>ANEXA 9.1 - PUTERI CALORIFICE PENTRU MATERIALE UZUALE</w:t>
        </w:r>
        <w:r>
          <w:tab/>
        </w:r>
        <w:r>
          <w:fldChar w:fldCharType="begin"/>
        </w:r>
        <w:r>
          <w:instrText xml:space="preserve"> PAGEREF _Toc23918 \h </w:instrText>
        </w:r>
        <w:r>
          <w:fldChar w:fldCharType="separate"/>
        </w:r>
        <w:r>
          <w:t>560</w:t>
        </w:r>
        <w:r>
          <w:fldChar w:fldCharType="end"/>
        </w:r>
      </w:hyperlink>
    </w:p>
    <w:p w14:paraId="57C4B921" w14:textId="77777777" w:rsidR="001C08A5" w:rsidRDefault="00000000">
      <w:pPr>
        <w:pStyle w:val="TOC3"/>
        <w:tabs>
          <w:tab w:val="right" w:leader="dot" w:pos="9639"/>
        </w:tabs>
        <w:ind w:left="800"/>
      </w:pPr>
      <w:hyperlink w:anchor="_Toc24136" w:history="1">
        <w:r>
          <w:rPr>
            <w:i/>
            <w:iCs/>
            <w:szCs w:val="24"/>
          </w:rPr>
          <w:t>ANEXA 9.2 - PUTERI CALORIFICE PENTRU CABLURI</w:t>
        </w:r>
        <w:r>
          <w:tab/>
        </w:r>
        <w:r>
          <w:fldChar w:fldCharType="begin"/>
        </w:r>
        <w:r>
          <w:instrText xml:space="preserve"> PAGEREF _Toc24136 \h </w:instrText>
        </w:r>
        <w:r>
          <w:fldChar w:fldCharType="separate"/>
        </w:r>
        <w:r>
          <w:t>564</w:t>
        </w:r>
        <w:r>
          <w:fldChar w:fldCharType="end"/>
        </w:r>
      </w:hyperlink>
    </w:p>
    <w:p w14:paraId="30FEFC42" w14:textId="77777777" w:rsidR="001C08A5" w:rsidRDefault="00000000">
      <w:pPr>
        <w:pStyle w:val="TOC2"/>
        <w:tabs>
          <w:tab w:val="right" w:leader="dot" w:pos="9639"/>
        </w:tabs>
        <w:ind w:left="400"/>
      </w:pPr>
      <w:hyperlink w:anchor="_Toc6451" w:history="1">
        <w:r>
          <w:t>ANEXA 10 - CONSTRUCȚII EXISTENTE</w:t>
        </w:r>
        <w:r>
          <w:tab/>
        </w:r>
        <w:r>
          <w:fldChar w:fldCharType="begin"/>
        </w:r>
        <w:r>
          <w:instrText xml:space="preserve"> PAGEREF _Toc6451 \h </w:instrText>
        </w:r>
        <w:r>
          <w:fldChar w:fldCharType="separate"/>
        </w:r>
        <w:r>
          <w:t>565</w:t>
        </w:r>
        <w:r>
          <w:fldChar w:fldCharType="end"/>
        </w:r>
      </w:hyperlink>
    </w:p>
    <w:p w14:paraId="41203E94" w14:textId="77777777" w:rsidR="001C08A5" w:rsidRDefault="00000000">
      <w:pPr>
        <w:pStyle w:val="TOC2"/>
        <w:tabs>
          <w:tab w:val="right" w:leader="dot" w:pos="9639"/>
        </w:tabs>
        <w:ind w:left="400"/>
      </w:pPr>
      <w:hyperlink w:anchor="_Toc12271" w:history="1">
        <w:r>
          <w:t>SECŢIUNEA I</w:t>
        </w:r>
        <w:r>
          <w:tab/>
        </w:r>
        <w:r>
          <w:fldChar w:fldCharType="begin"/>
        </w:r>
        <w:r>
          <w:instrText xml:space="preserve"> PAGEREF _Toc12271 \h </w:instrText>
        </w:r>
        <w:r>
          <w:fldChar w:fldCharType="separate"/>
        </w:r>
        <w:r>
          <w:t>568</w:t>
        </w:r>
        <w:r>
          <w:fldChar w:fldCharType="end"/>
        </w:r>
      </w:hyperlink>
    </w:p>
    <w:p w14:paraId="0D0D7C00" w14:textId="77777777" w:rsidR="001C08A5" w:rsidRDefault="00000000">
      <w:pPr>
        <w:pStyle w:val="TOC2"/>
        <w:tabs>
          <w:tab w:val="right" w:leader="dot" w:pos="9639"/>
        </w:tabs>
        <w:ind w:left="400"/>
      </w:pPr>
      <w:hyperlink w:anchor="_Toc1447" w:history="1">
        <w:r>
          <w:t>PREVEDERI COMUNE TUTUROR CONSTRUCȚIILOR EXISTENTE</w:t>
        </w:r>
        <w:r>
          <w:tab/>
        </w:r>
        <w:r>
          <w:fldChar w:fldCharType="begin"/>
        </w:r>
        <w:r>
          <w:instrText xml:space="preserve"> PAGEREF _Toc1447 \h </w:instrText>
        </w:r>
        <w:r>
          <w:fldChar w:fldCharType="separate"/>
        </w:r>
        <w:r>
          <w:t>568</w:t>
        </w:r>
        <w:r>
          <w:fldChar w:fldCharType="end"/>
        </w:r>
      </w:hyperlink>
    </w:p>
    <w:p w14:paraId="595AC35F" w14:textId="77777777" w:rsidR="001C08A5" w:rsidRDefault="00000000">
      <w:pPr>
        <w:pStyle w:val="TOC3"/>
        <w:tabs>
          <w:tab w:val="right" w:leader="dot" w:pos="9639"/>
        </w:tabs>
        <w:ind w:left="800"/>
      </w:pPr>
      <w:hyperlink w:anchor="_Toc5895" w:history="1">
        <w:r>
          <w:rPr>
            <w:i/>
            <w:iCs/>
          </w:rPr>
          <w:t>CAPITOLUL 1</w:t>
        </w:r>
        <w:r>
          <w:tab/>
        </w:r>
        <w:r>
          <w:fldChar w:fldCharType="begin"/>
        </w:r>
        <w:r>
          <w:instrText xml:space="preserve"> PAGEREF _Toc5895 \h </w:instrText>
        </w:r>
        <w:r>
          <w:fldChar w:fldCharType="separate"/>
        </w:r>
        <w:r>
          <w:t>568</w:t>
        </w:r>
        <w:r>
          <w:fldChar w:fldCharType="end"/>
        </w:r>
      </w:hyperlink>
    </w:p>
    <w:p w14:paraId="0A05F645" w14:textId="77777777" w:rsidR="001C08A5" w:rsidRDefault="00000000">
      <w:pPr>
        <w:pStyle w:val="TOC3"/>
        <w:tabs>
          <w:tab w:val="right" w:leader="dot" w:pos="9639"/>
        </w:tabs>
        <w:ind w:left="800"/>
      </w:pPr>
      <w:hyperlink w:anchor="_Toc12178" w:history="1">
        <w:r>
          <w:rPr>
            <w:i/>
            <w:iCs/>
          </w:rPr>
          <w:t>GENERALITĂŢI</w:t>
        </w:r>
        <w:r>
          <w:tab/>
        </w:r>
        <w:r>
          <w:fldChar w:fldCharType="begin"/>
        </w:r>
        <w:r>
          <w:instrText xml:space="preserve"> PAGEREF _Toc12178 \h </w:instrText>
        </w:r>
        <w:r>
          <w:fldChar w:fldCharType="separate"/>
        </w:r>
        <w:r>
          <w:t>568</w:t>
        </w:r>
        <w:r>
          <w:fldChar w:fldCharType="end"/>
        </w:r>
      </w:hyperlink>
    </w:p>
    <w:p w14:paraId="21C577FB" w14:textId="77777777" w:rsidR="001C08A5" w:rsidRDefault="00000000">
      <w:pPr>
        <w:pStyle w:val="TOC3"/>
        <w:tabs>
          <w:tab w:val="right" w:leader="dot" w:pos="9639"/>
        </w:tabs>
        <w:ind w:left="800"/>
      </w:pPr>
      <w:hyperlink w:anchor="_Toc29660" w:history="1">
        <w:r>
          <w:rPr>
            <w:i/>
            <w:iCs/>
            <w:szCs w:val="24"/>
          </w:rPr>
          <w:t>A.10. 1.1. SCOP - DOMENIU DE APLICARE</w:t>
        </w:r>
        <w:r>
          <w:tab/>
        </w:r>
        <w:r>
          <w:fldChar w:fldCharType="begin"/>
        </w:r>
        <w:r>
          <w:instrText xml:space="preserve"> PAGEREF _Toc29660 \h </w:instrText>
        </w:r>
        <w:r>
          <w:fldChar w:fldCharType="separate"/>
        </w:r>
        <w:r>
          <w:t>568</w:t>
        </w:r>
        <w:r>
          <w:fldChar w:fldCharType="end"/>
        </w:r>
      </w:hyperlink>
    </w:p>
    <w:p w14:paraId="2F989387" w14:textId="77777777" w:rsidR="001C08A5" w:rsidRDefault="00000000">
      <w:pPr>
        <w:pStyle w:val="TOC3"/>
        <w:tabs>
          <w:tab w:val="right" w:leader="dot" w:pos="9639"/>
        </w:tabs>
        <w:ind w:left="800"/>
      </w:pPr>
      <w:hyperlink w:anchor="_Toc31971" w:history="1">
        <w:r>
          <w:rPr>
            <w:i/>
            <w:iCs/>
            <w:szCs w:val="24"/>
          </w:rPr>
          <w:t>A.10. 1.2. TERMINOLOGIE, CLASIFICĂRI</w:t>
        </w:r>
        <w:r>
          <w:tab/>
        </w:r>
        <w:r>
          <w:fldChar w:fldCharType="begin"/>
        </w:r>
        <w:r>
          <w:instrText xml:space="preserve"> PAGEREF _Toc31971 \h </w:instrText>
        </w:r>
        <w:r>
          <w:fldChar w:fldCharType="separate"/>
        </w:r>
        <w:r>
          <w:t>569</w:t>
        </w:r>
        <w:r>
          <w:fldChar w:fldCharType="end"/>
        </w:r>
      </w:hyperlink>
    </w:p>
    <w:p w14:paraId="0B60767E" w14:textId="77777777" w:rsidR="001C08A5" w:rsidRDefault="00000000">
      <w:pPr>
        <w:pStyle w:val="TOC3"/>
        <w:tabs>
          <w:tab w:val="right" w:leader="dot" w:pos="9639"/>
        </w:tabs>
        <w:ind w:left="800"/>
      </w:pPr>
      <w:hyperlink w:anchor="_Toc4705" w:history="1">
        <w:r>
          <w:rPr>
            <w:i/>
            <w:iCs/>
          </w:rPr>
          <w:t>CAPITOLUL 2</w:t>
        </w:r>
        <w:r>
          <w:tab/>
        </w:r>
        <w:r>
          <w:fldChar w:fldCharType="begin"/>
        </w:r>
        <w:r>
          <w:instrText xml:space="preserve"> PAGEREF _Toc4705 \h </w:instrText>
        </w:r>
        <w:r>
          <w:fldChar w:fldCharType="separate"/>
        </w:r>
        <w:r>
          <w:t>573</w:t>
        </w:r>
        <w:r>
          <w:fldChar w:fldCharType="end"/>
        </w:r>
      </w:hyperlink>
    </w:p>
    <w:p w14:paraId="0EAE6817" w14:textId="77777777" w:rsidR="001C08A5" w:rsidRDefault="00000000">
      <w:pPr>
        <w:pStyle w:val="TOC3"/>
        <w:tabs>
          <w:tab w:val="right" w:leader="dot" w:pos="9639"/>
        </w:tabs>
        <w:ind w:left="800"/>
      </w:pPr>
      <w:hyperlink w:anchor="_Toc8377" w:history="1">
        <w:r>
          <w:rPr>
            <w:i/>
            <w:iCs/>
          </w:rPr>
          <w:t>CONDIȚII GENERALE DE PERFORMANȚĂ A CONSTRUCȚIILOR EXISTENTE</w:t>
        </w:r>
        <w:r>
          <w:tab/>
        </w:r>
        <w:r>
          <w:fldChar w:fldCharType="begin"/>
        </w:r>
        <w:r>
          <w:instrText xml:space="preserve"> PAGEREF _Toc8377 \h </w:instrText>
        </w:r>
        <w:r>
          <w:fldChar w:fldCharType="separate"/>
        </w:r>
        <w:r>
          <w:t>573</w:t>
        </w:r>
        <w:r>
          <w:fldChar w:fldCharType="end"/>
        </w:r>
      </w:hyperlink>
    </w:p>
    <w:p w14:paraId="53DBE331" w14:textId="77777777" w:rsidR="001C08A5" w:rsidRDefault="00000000">
      <w:pPr>
        <w:pStyle w:val="TOC3"/>
        <w:tabs>
          <w:tab w:val="right" w:leader="dot" w:pos="9639"/>
        </w:tabs>
        <w:ind w:left="800"/>
      </w:pPr>
      <w:hyperlink w:anchor="_Toc15964" w:history="1">
        <w:r>
          <w:rPr>
            <w:i/>
            <w:iCs/>
            <w:szCs w:val="24"/>
          </w:rPr>
          <w:t>A.10. 2.1. RISC DE INCENDIU ȘI NIVEL DE STABILITATE LA INCENDIU</w:t>
        </w:r>
        <w:r>
          <w:tab/>
        </w:r>
        <w:r>
          <w:fldChar w:fldCharType="begin"/>
        </w:r>
        <w:r>
          <w:instrText xml:space="preserve"> PAGEREF _Toc15964 \h </w:instrText>
        </w:r>
        <w:r>
          <w:fldChar w:fldCharType="separate"/>
        </w:r>
        <w:r>
          <w:t>573</w:t>
        </w:r>
        <w:r>
          <w:fldChar w:fldCharType="end"/>
        </w:r>
      </w:hyperlink>
    </w:p>
    <w:p w14:paraId="35A7A86A" w14:textId="77777777" w:rsidR="001C08A5" w:rsidRDefault="00000000">
      <w:pPr>
        <w:pStyle w:val="TOC4"/>
        <w:tabs>
          <w:tab w:val="right" w:leader="dot" w:pos="9639"/>
        </w:tabs>
        <w:ind w:left="1200"/>
      </w:pPr>
      <w:hyperlink w:anchor="_Toc28762" w:history="1">
        <w:r>
          <w:rPr>
            <w:szCs w:val="24"/>
          </w:rPr>
          <w:t>Risc de incendiu</w:t>
        </w:r>
        <w:r>
          <w:tab/>
        </w:r>
        <w:r>
          <w:fldChar w:fldCharType="begin"/>
        </w:r>
        <w:r>
          <w:instrText xml:space="preserve"> PAGEREF _Toc28762 \h </w:instrText>
        </w:r>
        <w:r>
          <w:fldChar w:fldCharType="separate"/>
        </w:r>
        <w:r>
          <w:t>573</w:t>
        </w:r>
        <w:r>
          <w:fldChar w:fldCharType="end"/>
        </w:r>
      </w:hyperlink>
    </w:p>
    <w:p w14:paraId="7BF4CDA2" w14:textId="77777777" w:rsidR="001C08A5" w:rsidRDefault="00000000">
      <w:pPr>
        <w:pStyle w:val="TOC4"/>
        <w:tabs>
          <w:tab w:val="right" w:leader="dot" w:pos="9639"/>
        </w:tabs>
        <w:ind w:left="1200"/>
      </w:pPr>
      <w:hyperlink w:anchor="_Toc27613" w:history="1">
        <w:r>
          <w:rPr>
            <w:szCs w:val="24"/>
          </w:rPr>
          <w:t>Nivel de stabilitate la incendiu</w:t>
        </w:r>
        <w:r>
          <w:tab/>
        </w:r>
        <w:r>
          <w:fldChar w:fldCharType="begin"/>
        </w:r>
        <w:r>
          <w:instrText xml:space="preserve"> PAGEREF _Toc27613 \h </w:instrText>
        </w:r>
        <w:r>
          <w:fldChar w:fldCharType="separate"/>
        </w:r>
        <w:r>
          <w:t>576</w:t>
        </w:r>
        <w:r>
          <w:fldChar w:fldCharType="end"/>
        </w:r>
      </w:hyperlink>
    </w:p>
    <w:p w14:paraId="7981CBF7" w14:textId="77777777" w:rsidR="001C08A5" w:rsidRDefault="00000000">
      <w:pPr>
        <w:pStyle w:val="TOC3"/>
        <w:tabs>
          <w:tab w:val="right" w:leader="dot" w:pos="9639"/>
        </w:tabs>
        <w:ind w:left="800"/>
      </w:pPr>
      <w:hyperlink w:anchor="_Toc28241" w:history="1">
        <w:r>
          <w:rPr>
            <w:i/>
            <w:iCs/>
            <w:szCs w:val="24"/>
          </w:rPr>
          <w:t>A.10. 2.2. AMPLASAREA CONSTRUCȚIILOR ȘI CONFORMAREA LOR LA FOC</w:t>
        </w:r>
        <w:r>
          <w:tab/>
        </w:r>
        <w:r>
          <w:fldChar w:fldCharType="begin"/>
        </w:r>
        <w:r>
          <w:instrText xml:space="preserve"> PAGEREF _Toc28241 \h </w:instrText>
        </w:r>
        <w:r>
          <w:fldChar w:fldCharType="separate"/>
        </w:r>
        <w:r>
          <w:t>580</w:t>
        </w:r>
        <w:r>
          <w:fldChar w:fldCharType="end"/>
        </w:r>
      </w:hyperlink>
    </w:p>
    <w:p w14:paraId="037AB659" w14:textId="77777777" w:rsidR="001C08A5" w:rsidRDefault="00000000">
      <w:pPr>
        <w:pStyle w:val="TOC4"/>
        <w:tabs>
          <w:tab w:val="right" w:leader="dot" w:pos="9639"/>
        </w:tabs>
        <w:ind w:left="1200"/>
      </w:pPr>
      <w:hyperlink w:anchor="_Toc19372" w:history="1">
        <w:r>
          <w:rPr>
            <w:szCs w:val="24"/>
          </w:rPr>
          <w:t>Amplasare</w:t>
        </w:r>
        <w:r>
          <w:tab/>
        </w:r>
        <w:r>
          <w:fldChar w:fldCharType="begin"/>
        </w:r>
        <w:r>
          <w:instrText xml:space="preserve"> PAGEREF _Toc19372 \h </w:instrText>
        </w:r>
        <w:r>
          <w:fldChar w:fldCharType="separate"/>
        </w:r>
        <w:r>
          <w:t>580</w:t>
        </w:r>
        <w:r>
          <w:fldChar w:fldCharType="end"/>
        </w:r>
      </w:hyperlink>
    </w:p>
    <w:p w14:paraId="15B2324D" w14:textId="77777777" w:rsidR="001C08A5" w:rsidRDefault="00000000">
      <w:pPr>
        <w:pStyle w:val="TOC4"/>
        <w:tabs>
          <w:tab w:val="right" w:leader="dot" w:pos="9639"/>
        </w:tabs>
        <w:ind w:left="1200"/>
      </w:pPr>
      <w:hyperlink w:anchor="_Toc31330" w:history="1">
        <w:r>
          <w:rPr>
            <w:szCs w:val="24"/>
          </w:rPr>
          <w:t>Conformare la foc</w:t>
        </w:r>
        <w:r>
          <w:tab/>
        </w:r>
        <w:r>
          <w:fldChar w:fldCharType="begin"/>
        </w:r>
        <w:r>
          <w:instrText xml:space="preserve"> PAGEREF _Toc31330 \h </w:instrText>
        </w:r>
        <w:r>
          <w:fldChar w:fldCharType="separate"/>
        </w:r>
        <w:r>
          <w:t>581</w:t>
        </w:r>
        <w:r>
          <w:fldChar w:fldCharType="end"/>
        </w:r>
      </w:hyperlink>
    </w:p>
    <w:p w14:paraId="70406FC3" w14:textId="77777777" w:rsidR="001C08A5" w:rsidRDefault="00000000">
      <w:pPr>
        <w:pStyle w:val="TOC3"/>
        <w:tabs>
          <w:tab w:val="right" w:leader="dot" w:pos="9639"/>
        </w:tabs>
        <w:ind w:left="800"/>
      </w:pPr>
      <w:hyperlink w:anchor="_Toc31518" w:history="1">
        <w:r>
          <w:rPr>
            <w:i/>
            <w:iCs/>
            <w:szCs w:val="24"/>
          </w:rPr>
          <w:t>A.10. 2.3. LIMITAREA PROPAGĂRII INCENDIILOR</w:t>
        </w:r>
        <w:r>
          <w:tab/>
        </w:r>
        <w:r>
          <w:fldChar w:fldCharType="begin"/>
        </w:r>
        <w:r>
          <w:instrText xml:space="preserve"> PAGEREF _Toc31518 \h </w:instrText>
        </w:r>
        <w:r>
          <w:fldChar w:fldCharType="separate"/>
        </w:r>
        <w:r>
          <w:t>582</w:t>
        </w:r>
        <w:r>
          <w:fldChar w:fldCharType="end"/>
        </w:r>
      </w:hyperlink>
    </w:p>
    <w:p w14:paraId="730C8A17" w14:textId="77777777" w:rsidR="001C08A5" w:rsidRDefault="00000000">
      <w:pPr>
        <w:pStyle w:val="TOC4"/>
        <w:tabs>
          <w:tab w:val="right" w:leader="dot" w:pos="9639"/>
        </w:tabs>
        <w:ind w:left="1200"/>
      </w:pPr>
      <w:hyperlink w:anchor="_Toc28357" w:history="1">
        <w:r>
          <w:rPr>
            <w:szCs w:val="24"/>
          </w:rPr>
          <w:t>Dispoziții generale</w:t>
        </w:r>
        <w:r>
          <w:tab/>
        </w:r>
        <w:r>
          <w:fldChar w:fldCharType="begin"/>
        </w:r>
        <w:r>
          <w:instrText xml:space="preserve"> PAGEREF _Toc28357 \h </w:instrText>
        </w:r>
        <w:r>
          <w:fldChar w:fldCharType="separate"/>
        </w:r>
        <w:r>
          <w:t>582</w:t>
        </w:r>
        <w:r>
          <w:fldChar w:fldCharType="end"/>
        </w:r>
      </w:hyperlink>
    </w:p>
    <w:p w14:paraId="431A971B" w14:textId="77777777" w:rsidR="001C08A5" w:rsidRDefault="00000000">
      <w:pPr>
        <w:pStyle w:val="TOC4"/>
        <w:tabs>
          <w:tab w:val="right" w:leader="dot" w:pos="9639"/>
        </w:tabs>
        <w:ind w:left="1200"/>
      </w:pPr>
      <w:hyperlink w:anchor="_Toc30466" w:history="1">
        <w:r>
          <w:rPr>
            <w:szCs w:val="24"/>
          </w:rPr>
          <w:t>Elemente rezistente la foc pentru separarea compartimentelor de incendiu (antifoc) existente şi protecţia golurilor funcţionale de trecere</w:t>
        </w:r>
        <w:r>
          <w:tab/>
        </w:r>
        <w:r>
          <w:fldChar w:fldCharType="begin"/>
        </w:r>
        <w:r>
          <w:instrText xml:space="preserve"> PAGEREF _Toc30466 \h </w:instrText>
        </w:r>
        <w:r>
          <w:fldChar w:fldCharType="separate"/>
        </w:r>
        <w:r>
          <w:t>583</w:t>
        </w:r>
        <w:r>
          <w:fldChar w:fldCharType="end"/>
        </w:r>
      </w:hyperlink>
    </w:p>
    <w:p w14:paraId="6E23BF4C" w14:textId="77777777" w:rsidR="001C08A5" w:rsidRDefault="00000000">
      <w:pPr>
        <w:pStyle w:val="TOC5"/>
        <w:tabs>
          <w:tab w:val="right" w:leader="dot" w:pos="9639"/>
        </w:tabs>
        <w:ind w:left="1600"/>
      </w:pPr>
      <w:hyperlink w:anchor="_Toc13957" w:history="1">
        <w:r>
          <w:rPr>
            <w:szCs w:val="24"/>
          </w:rPr>
          <w:t>Pereți antifoc</w:t>
        </w:r>
        <w:r>
          <w:tab/>
        </w:r>
        <w:r>
          <w:fldChar w:fldCharType="begin"/>
        </w:r>
        <w:r>
          <w:instrText xml:space="preserve"> PAGEREF _Toc13957 \h </w:instrText>
        </w:r>
        <w:r>
          <w:fldChar w:fldCharType="separate"/>
        </w:r>
        <w:r>
          <w:t>583</w:t>
        </w:r>
        <w:r>
          <w:fldChar w:fldCharType="end"/>
        </w:r>
      </w:hyperlink>
    </w:p>
    <w:p w14:paraId="6C6EB44D" w14:textId="77777777" w:rsidR="001C08A5" w:rsidRDefault="00000000">
      <w:pPr>
        <w:pStyle w:val="TOC5"/>
        <w:tabs>
          <w:tab w:val="right" w:leader="dot" w:pos="9639"/>
        </w:tabs>
        <w:ind w:left="1600"/>
      </w:pPr>
      <w:hyperlink w:anchor="_Toc28258" w:history="1">
        <w:r>
          <w:rPr>
            <w:szCs w:val="24"/>
          </w:rPr>
          <w:t>Protecția golurilor din pereți antifoc</w:t>
        </w:r>
        <w:r>
          <w:tab/>
        </w:r>
        <w:r>
          <w:fldChar w:fldCharType="begin"/>
        </w:r>
        <w:r>
          <w:instrText xml:space="preserve"> PAGEREF _Toc28258 \h </w:instrText>
        </w:r>
        <w:r>
          <w:fldChar w:fldCharType="separate"/>
        </w:r>
        <w:r>
          <w:t>586</w:t>
        </w:r>
        <w:r>
          <w:fldChar w:fldCharType="end"/>
        </w:r>
      </w:hyperlink>
    </w:p>
    <w:p w14:paraId="6E07EB2D" w14:textId="77777777" w:rsidR="001C08A5" w:rsidRDefault="00000000">
      <w:pPr>
        <w:pStyle w:val="TOC6"/>
        <w:tabs>
          <w:tab w:val="right" w:leader="dot" w:pos="9639"/>
        </w:tabs>
        <w:ind w:left="2000"/>
      </w:pPr>
      <w:hyperlink w:anchor="_Toc1237" w:history="1">
        <w:r>
          <w:rPr>
            <w:i/>
            <w:iCs/>
          </w:rPr>
          <w:t>Uși, obloane, cortine antifoc</w:t>
        </w:r>
        <w:r>
          <w:tab/>
        </w:r>
        <w:r>
          <w:fldChar w:fldCharType="begin"/>
        </w:r>
        <w:r>
          <w:instrText xml:space="preserve"> PAGEREF _Toc1237 \h </w:instrText>
        </w:r>
        <w:r>
          <w:fldChar w:fldCharType="separate"/>
        </w:r>
        <w:r>
          <w:t>586</w:t>
        </w:r>
        <w:r>
          <w:fldChar w:fldCharType="end"/>
        </w:r>
      </w:hyperlink>
    </w:p>
    <w:p w14:paraId="40D60B45" w14:textId="77777777" w:rsidR="001C08A5" w:rsidRDefault="00000000">
      <w:pPr>
        <w:pStyle w:val="TOC6"/>
        <w:tabs>
          <w:tab w:val="right" w:leader="dot" w:pos="9639"/>
        </w:tabs>
        <w:ind w:left="2000"/>
      </w:pPr>
      <w:hyperlink w:anchor="_Toc22157" w:history="1">
        <w:r>
          <w:rPr>
            <w:i/>
            <w:iCs/>
          </w:rPr>
          <w:t>Încăperi tampon antifoc</w:t>
        </w:r>
        <w:r>
          <w:tab/>
        </w:r>
        <w:r>
          <w:fldChar w:fldCharType="begin"/>
        </w:r>
        <w:r>
          <w:instrText xml:space="preserve"> PAGEREF _Toc22157 \h </w:instrText>
        </w:r>
        <w:r>
          <w:fldChar w:fldCharType="separate"/>
        </w:r>
        <w:r>
          <w:t>587</w:t>
        </w:r>
        <w:r>
          <w:fldChar w:fldCharType="end"/>
        </w:r>
      </w:hyperlink>
    </w:p>
    <w:p w14:paraId="6E7B1B86" w14:textId="77777777" w:rsidR="001C08A5" w:rsidRDefault="00000000">
      <w:pPr>
        <w:pStyle w:val="TOC6"/>
        <w:tabs>
          <w:tab w:val="right" w:leader="dot" w:pos="9639"/>
        </w:tabs>
        <w:ind w:left="2000"/>
      </w:pPr>
      <w:hyperlink w:anchor="_Toc29853" w:history="1">
        <w:r>
          <w:rPr>
            <w:i/>
            <w:iCs/>
          </w:rPr>
          <w:t>Tamburi deschiși antifoc</w:t>
        </w:r>
        <w:r>
          <w:tab/>
        </w:r>
        <w:r>
          <w:fldChar w:fldCharType="begin"/>
        </w:r>
        <w:r>
          <w:instrText xml:space="preserve"> PAGEREF _Toc29853 \h </w:instrText>
        </w:r>
        <w:r>
          <w:fldChar w:fldCharType="separate"/>
        </w:r>
        <w:r>
          <w:t>587</w:t>
        </w:r>
        <w:r>
          <w:fldChar w:fldCharType="end"/>
        </w:r>
      </w:hyperlink>
    </w:p>
    <w:p w14:paraId="03DBCC22" w14:textId="77777777" w:rsidR="001C08A5" w:rsidRDefault="00000000">
      <w:pPr>
        <w:pStyle w:val="TOC5"/>
        <w:tabs>
          <w:tab w:val="right" w:leader="dot" w:pos="9639"/>
        </w:tabs>
        <w:ind w:left="1600"/>
      </w:pPr>
      <w:hyperlink w:anchor="_Toc17385" w:history="1">
        <w:r>
          <w:rPr>
            <w:szCs w:val="24"/>
          </w:rPr>
          <w:t>Planșee antifoc</w:t>
        </w:r>
        <w:r>
          <w:tab/>
        </w:r>
        <w:r>
          <w:fldChar w:fldCharType="begin"/>
        </w:r>
        <w:r>
          <w:instrText xml:space="preserve"> PAGEREF _Toc17385 \h </w:instrText>
        </w:r>
        <w:r>
          <w:fldChar w:fldCharType="separate"/>
        </w:r>
        <w:r>
          <w:t>587</w:t>
        </w:r>
        <w:r>
          <w:fldChar w:fldCharType="end"/>
        </w:r>
      </w:hyperlink>
    </w:p>
    <w:p w14:paraId="2232EFEC" w14:textId="77777777" w:rsidR="001C08A5" w:rsidRDefault="00000000">
      <w:pPr>
        <w:pStyle w:val="TOC4"/>
        <w:tabs>
          <w:tab w:val="right" w:leader="dot" w:pos="9639"/>
        </w:tabs>
        <w:ind w:left="1200"/>
      </w:pPr>
      <w:hyperlink w:anchor="_Toc22495" w:history="1">
        <w:r>
          <w:rPr>
            <w:szCs w:val="24"/>
          </w:rPr>
          <w:t>Elemente rezistente la foc și protecția golurilor</w:t>
        </w:r>
        <w:r>
          <w:tab/>
        </w:r>
        <w:r>
          <w:fldChar w:fldCharType="begin"/>
        </w:r>
        <w:r>
          <w:instrText xml:space="preserve"> PAGEREF _Toc22495 \h </w:instrText>
        </w:r>
        <w:r>
          <w:fldChar w:fldCharType="separate"/>
        </w:r>
        <w:r>
          <w:t>587</w:t>
        </w:r>
        <w:r>
          <w:fldChar w:fldCharType="end"/>
        </w:r>
      </w:hyperlink>
    </w:p>
    <w:p w14:paraId="172AF3B9" w14:textId="77777777" w:rsidR="001C08A5" w:rsidRDefault="00000000">
      <w:pPr>
        <w:pStyle w:val="TOC5"/>
        <w:tabs>
          <w:tab w:val="right" w:leader="dot" w:pos="9639"/>
        </w:tabs>
        <w:ind w:left="1600"/>
      </w:pPr>
      <w:hyperlink w:anchor="_Toc14114" w:history="1">
        <w:r>
          <w:rPr>
            <w:szCs w:val="24"/>
          </w:rPr>
          <w:t>Pereți și protecția golurilor</w:t>
        </w:r>
        <w:r>
          <w:tab/>
        </w:r>
        <w:r>
          <w:fldChar w:fldCharType="begin"/>
        </w:r>
        <w:r>
          <w:instrText xml:space="preserve"> PAGEREF _Toc14114 \h </w:instrText>
        </w:r>
        <w:r>
          <w:fldChar w:fldCharType="separate"/>
        </w:r>
        <w:r>
          <w:t>587</w:t>
        </w:r>
        <w:r>
          <w:fldChar w:fldCharType="end"/>
        </w:r>
      </w:hyperlink>
    </w:p>
    <w:p w14:paraId="65D4C284" w14:textId="77777777" w:rsidR="001C08A5" w:rsidRDefault="00000000">
      <w:pPr>
        <w:pStyle w:val="TOC5"/>
        <w:tabs>
          <w:tab w:val="right" w:leader="dot" w:pos="9639"/>
        </w:tabs>
        <w:ind w:left="1600"/>
      </w:pPr>
      <w:hyperlink w:anchor="_Toc11881" w:history="1">
        <w:r>
          <w:rPr>
            <w:szCs w:val="24"/>
          </w:rPr>
          <w:t>Planșee și protecția golurilor</w:t>
        </w:r>
        <w:r>
          <w:tab/>
        </w:r>
        <w:r>
          <w:fldChar w:fldCharType="begin"/>
        </w:r>
        <w:r>
          <w:instrText xml:space="preserve"> PAGEREF _Toc11881 \h </w:instrText>
        </w:r>
        <w:r>
          <w:fldChar w:fldCharType="separate"/>
        </w:r>
        <w:r>
          <w:t>588</w:t>
        </w:r>
        <w:r>
          <w:fldChar w:fldCharType="end"/>
        </w:r>
      </w:hyperlink>
    </w:p>
    <w:p w14:paraId="2E3738A4" w14:textId="77777777" w:rsidR="001C08A5" w:rsidRDefault="00000000">
      <w:pPr>
        <w:pStyle w:val="TOC4"/>
        <w:tabs>
          <w:tab w:val="right" w:leader="dot" w:pos="9639"/>
        </w:tabs>
        <w:ind w:left="1200"/>
      </w:pPr>
      <w:hyperlink w:anchor="_Toc14699" w:history="1">
        <w:r>
          <w:rPr>
            <w:szCs w:val="24"/>
          </w:rPr>
          <w:t>Elemente rezistente la explozie și protecția golurilor</w:t>
        </w:r>
        <w:r>
          <w:tab/>
        </w:r>
        <w:r>
          <w:fldChar w:fldCharType="begin"/>
        </w:r>
        <w:r>
          <w:instrText xml:space="preserve"> PAGEREF _Toc14699 \h </w:instrText>
        </w:r>
        <w:r>
          <w:fldChar w:fldCharType="separate"/>
        </w:r>
        <w:r>
          <w:t>588</w:t>
        </w:r>
        <w:r>
          <w:fldChar w:fldCharType="end"/>
        </w:r>
      </w:hyperlink>
    </w:p>
    <w:p w14:paraId="1784BAA1" w14:textId="77777777" w:rsidR="001C08A5" w:rsidRDefault="00000000">
      <w:pPr>
        <w:pStyle w:val="TOC5"/>
        <w:tabs>
          <w:tab w:val="right" w:leader="dot" w:pos="9639"/>
        </w:tabs>
        <w:ind w:left="1600"/>
      </w:pPr>
      <w:hyperlink w:anchor="_Toc25721" w:history="1">
        <w:r>
          <w:rPr>
            <w:szCs w:val="24"/>
          </w:rPr>
          <w:t>Spații cu pericol de explozie categoria A (BE3a) și B (BE3b) de pericol de incendiu</w:t>
        </w:r>
        <w:r>
          <w:tab/>
        </w:r>
        <w:r>
          <w:fldChar w:fldCharType="begin"/>
        </w:r>
        <w:r>
          <w:instrText xml:space="preserve"> PAGEREF _Toc25721 \h </w:instrText>
        </w:r>
        <w:r>
          <w:fldChar w:fldCharType="separate"/>
        </w:r>
        <w:r>
          <w:t>589</w:t>
        </w:r>
        <w:r>
          <w:fldChar w:fldCharType="end"/>
        </w:r>
      </w:hyperlink>
    </w:p>
    <w:p w14:paraId="59F87E2A" w14:textId="77777777" w:rsidR="001C08A5" w:rsidRDefault="00000000">
      <w:pPr>
        <w:pStyle w:val="TOC4"/>
        <w:tabs>
          <w:tab w:val="right" w:leader="dot" w:pos="9639"/>
        </w:tabs>
        <w:ind w:left="1200"/>
      </w:pPr>
      <w:hyperlink w:anchor="_Toc3622" w:history="1">
        <w:r>
          <w:rPr>
            <w:szCs w:val="24"/>
          </w:rPr>
          <w:t>Elemente etanșe la foc</w:t>
        </w:r>
        <w:r>
          <w:tab/>
        </w:r>
        <w:r>
          <w:fldChar w:fldCharType="begin"/>
        </w:r>
        <w:r>
          <w:instrText xml:space="preserve"> PAGEREF _Toc3622 \h </w:instrText>
        </w:r>
        <w:r>
          <w:fldChar w:fldCharType="separate"/>
        </w:r>
        <w:r>
          <w:t>590</w:t>
        </w:r>
        <w:r>
          <w:fldChar w:fldCharType="end"/>
        </w:r>
      </w:hyperlink>
    </w:p>
    <w:p w14:paraId="2D0CFCA2" w14:textId="77777777" w:rsidR="001C08A5" w:rsidRDefault="00000000">
      <w:pPr>
        <w:pStyle w:val="TOC3"/>
        <w:tabs>
          <w:tab w:val="right" w:leader="dot" w:pos="9639"/>
        </w:tabs>
        <w:ind w:left="800"/>
      </w:pPr>
      <w:hyperlink w:anchor="_Toc19800" w:history="1">
        <w:r>
          <w:rPr>
            <w:i/>
            <w:iCs/>
            <w:szCs w:val="24"/>
          </w:rPr>
          <w:t>A.10. 2.4. ALCĂTUIRI CONSTRUCTIVE</w:t>
        </w:r>
        <w:r>
          <w:tab/>
        </w:r>
        <w:r>
          <w:fldChar w:fldCharType="begin"/>
        </w:r>
        <w:r>
          <w:instrText xml:space="preserve"> PAGEREF _Toc19800 \h </w:instrText>
        </w:r>
        <w:r>
          <w:fldChar w:fldCharType="separate"/>
        </w:r>
        <w:r>
          <w:t>590</w:t>
        </w:r>
        <w:r>
          <w:fldChar w:fldCharType="end"/>
        </w:r>
      </w:hyperlink>
    </w:p>
    <w:p w14:paraId="6644917D" w14:textId="77777777" w:rsidR="001C08A5" w:rsidRDefault="00000000">
      <w:pPr>
        <w:pStyle w:val="TOC4"/>
        <w:tabs>
          <w:tab w:val="right" w:leader="dot" w:pos="9639"/>
        </w:tabs>
        <w:ind w:left="1200"/>
      </w:pPr>
      <w:hyperlink w:anchor="_Toc28514" w:history="1">
        <w:r>
          <w:rPr>
            <w:szCs w:val="24"/>
          </w:rPr>
          <w:t>Dispoziții generale</w:t>
        </w:r>
        <w:r>
          <w:tab/>
        </w:r>
        <w:r>
          <w:fldChar w:fldCharType="begin"/>
        </w:r>
        <w:r>
          <w:instrText xml:space="preserve"> PAGEREF _Toc28514 \h </w:instrText>
        </w:r>
        <w:r>
          <w:fldChar w:fldCharType="separate"/>
        </w:r>
        <w:r>
          <w:t>590</w:t>
        </w:r>
        <w:r>
          <w:fldChar w:fldCharType="end"/>
        </w:r>
      </w:hyperlink>
    </w:p>
    <w:p w14:paraId="6F8E62EA" w14:textId="77777777" w:rsidR="001C08A5" w:rsidRDefault="00000000">
      <w:pPr>
        <w:pStyle w:val="TOC4"/>
        <w:tabs>
          <w:tab w:val="right" w:leader="dot" w:pos="9639"/>
        </w:tabs>
        <w:ind w:left="1200"/>
      </w:pPr>
      <w:hyperlink w:anchor="_Toc15499" w:history="1">
        <w:r>
          <w:rPr>
            <w:szCs w:val="24"/>
          </w:rPr>
          <w:t>Plafoane suspendate</w:t>
        </w:r>
        <w:r>
          <w:tab/>
        </w:r>
        <w:r>
          <w:fldChar w:fldCharType="begin"/>
        </w:r>
        <w:r>
          <w:instrText xml:space="preserve"> PAGEREF _Toc15499 \h </w:instrText>
        </w:r>
        <w:r>
          <w:fldChar w:fldCharType="separate"/>
        </w:r>
        <w:r>
          <w:t>591</w:t>
        </w:r>
        <w:r>
          <w:fldChar w:fldCharType="end"/>
        </w:r>
      </w:hyperlink>
    </w:p>
    <w:p w14:paraId="4475AA89" w14:textId="77777777" w:rsidR="001C08A5" w:rsidRDefault="00000000">
      <w:pPr>
        <w:pStyle w:val="TOC4"/>
        <w:tabs>
          <w:tab w:val="right" w:leader="dot" w:pos="9639"/>
        </w:tabs>
        <w:ind w:left="1200"/>
      </w:pPr>
      <w:hyperlink w:anchor="_Toc32691" w:history="1">
        <w:r>
          <w:rPr>
            <w:szCs w:val="24"/>
          </w:rPr>
          <w:t>Galerii, canale</w:t>
        </w:r>
        <w:r>
          <w:tab/>
        </w:r>
        <w:r>
          <w:fldChar w:fldCharType="begin"/>
        </w:r>
        <w:r>
          <w:instrText xml:space="preserve"> PAGEREF _Toc32691 \h </w:instrText>
        </w:r>
        <w:r>
          <w:fldChar w:fldCharType="separate"/>
        </w:r>
        <w:r>
          <w:t>591</w:t>
        </w:r>
        <w:r>
          <w:fldChar w:fldCharType="end"/>
        </w:r>
      </w:hyperlink>
    </w:p>
    <w:p w14:paraId="711C299A" w14:textId="77777777" w:rsidR="001C08A5" w:rsidRDefault="00000000">
      <w:pPr>
        <w:pStyle w:val="TOC4"/>
        <w:tabs>
          <w:tab w:val="right" w:leader="dot" w:pos="9639"/>
        </w:tabs>
        <w:ind w:left="1200"/>
      </w:pPr>
      <w:hyperlink w:anchor="_Toc16367" w:history="1">
        <w:r>
          <w:rPr>
            <w:szCs w:val="24"/>
          </w:rPr>
          <w:t>Coșuri, tuburi</w:t>
        </w:r>
        <w:r>
          <w:tab/>
        </w:r>
        <w:r>
          <w:fldChar w:fldCharType="begin"/>
        </w:r>
        <w:r>
          <w:instrText xml:space="preserve"> PAGEREF _Toc16367 \h </w:instrText>
        </w:r>
        <w:r>
          <w:fldChar w:fldCharType="separate"/>
        </w:r>
        <w:r>
          <w:t>592</w:t>
        </w:r>
        <w:r>
          <w:fldChar w:fldCharType="end"/>
        </w:r>
      </w:hyperlink>
    </w:p>
    <w:p w14:paraId="6074DEFF" w14:textId="77777777" w:rsidR="001C08A5" w:rsidRDefault="00000000">
      <w:pPr>
        <w:pStyle w:val="TOC4"/>
        <w:tabs>
          <w:tab w:val="right" w:leader="dot" w:pos="9639"/>
        </w:tabs>
        <w:ind w:left="1200"/>
      </w:pPr>
      <w:hyperlink w:anchor="_Toc16748" w:history="1">
        <w:r>
          <w:rPr>
            <w:szCs w:val="24"/>
          </w:rPr>
          <w:t>Ascensoare</w:t>
        </w:r>
        <w:r>
          <w:tab/>
        </w:r>
        <w:r>
          <w:fldChar w:fldCharType="begin"/>
        </w:r>
        <w:r>
          <w:instrText xml:space="preserve"> PAGEREF _Toc16748 \h </w:instrText>
        </w:r>
        <w:r>
          <w:fldChar w:fldCharType="separate"/>
        </w:r>
        <w:r>
          <w:t>592</w:t>
        </w:r>
        <w:r>
          <w:fldChar w:fldCharType="end"/>
        </w:r>
      </w:hyperlink>
    </w:p>
    <w:p w14:paraId="7E9BC5C2" w14:textId="77777777" w:rsidR="001C08A5" w:rsidRDefault="00000000">
      <w:pPr>
        <w:pStyle w:val="TOC4"/>
        <w:tabs>
          <w:tab w:val="right" w:leader="dot" w:pos="9639"/>
        </w:tabs>
        <w:ind w:left="1200"/>
      </w:pPr>
      <w:hyperlink w:anchor="_Toc20241" w:history="1">
        <w:r>
          <w:rPr>
            <w:szCs w:val="24"/>
          </w:rPr>
          <w:t>Finisaje</w:t>
        </w:r>
        <w:r>
          <w:tab/>
        </w:r>
        <w:r>
          <w:fldChar w:fldCharType="begin"/>
        </w:r>
        <w:r>
          <w:instrText xml:space="preserve"> PAGEREF _Toc20241 \h </w:instrText>
        </w:r>
        <w:r>
          <w:fldChar w:fldCharType="separate"/>
        </w:r>
        <w:r>
          <w:t>592</w:t>
        </w:r>
        <w:r>
          <w:fldChar w:fldCharType="end"/>
        </w:r>
      </w:hyperlink>
    </w:p>
    <w:p w14:paraId="38FE9D9C" w14:textId="77777777" w:rsidR="001C08A5" w:rsidRDefault="00000000">
      <w:pPr>
        <w:pStyle w:val="TOC4"/>
        <w:tabs>
          <w:tab w:val="right" w:leader="dot" w:pos="9639"/>
        </w:tabs>
        <w:ind w:left="1200"/>
      </w:pPr>
      <w:hyperlink w:anchor="_Toc23640" w:history="1">
        <w:r>
          <w:rPr>
            <w:szCs w:val="24"/>
          </w:rPr>
          <w:t>Pereți cortină și fațade vitrate</w:t>
        </w:r>
        <w:r>
          <w:tab/>
        </w:r>
        <w:r>
          <w:fldChar w:fldCharType="begin"/>
        </w:r>
        <w:r>
          <w:instrText xml:space="preserve"> PAGEREF _Toc23640 \h </w:instrText>
        </w:r>
        <w:r>
          <w:fldChar w:fldCharType="separate"/>
        </w:r>
        <w:r>
          <w:t>593</w:t>
        </w:r>
        <w:r>
          <w:fldChar w:fldCharType="end"/>
        </w:r>
      </w:hyperlink>
    </w:p>
    <w:p w14:paraId="1AF14683" w14:textId="77777777" w:rsidR="001C08A5" w:rsidRDefault="00000000">
      <w:pPr>
        <w:pStyle w:val="TOC4"/>
        <w:tabs>
          <w:tab w:val="right" w:leader="dot" w:pos="9639"/>
        </w:tabs>
        <w:ind w:left="1200"/>
      </w:pPr>
      <w:hyperlink w:anchor="_Toc10764" w:history="1">
        <w:r>
          <w:rPr>
            <w:szCs w:val="24"/>
          </w:rPr>
          <w:t>Casa scării</w:t>
        </w:r>
        <w:r>
          <w:tab/>
        </w:r>
        <w:r>
          <w:fldChar w:fldCharType="begin"/>
        </w:r>
        <w:r>
          <w:instrText xml:space="preserve"> PAGEREF _Toc10764 \h </w:instrText>
        </w:r>
        <w:r>
          <w:fldChar w:fldCharType="separate"/>
        </w:r>
        <w:r>
          <w:t>593</w:t>
        </w:r>
        <w:r>
          <w:fldChar w:fldCharType="end"/>
        </w:r>
      </w:hyperlink>
    </w:p>
    <w:p w14:paraId="352AC517" w14:textId="77777777" w:rsidR="001C08A5" w:rsidRDefault="00000000">
      <w:pPr>
        <w:pStyle w:val="TOC4"/>
        <w:tabs>
          <w:tab w:val="right" w:leader="dot" w:pos="9639"/>
        </w:tabs>
        <w:ind w:left="1200"/>
      </w:pPr>
      <w:hyperlink w:anchor="_Toc18485" w:history="1">
        <w:r>
          <w:rPr>
            <w:szCs w:val="24"/>
          </w:rPr>
          <w:t>Atrium</w:t>
        </w:r>
        <w:r>
          <w:tab/>
        </w:r>
        <w:r>
          <w:fldChar w:fldCharType="begin"/>
        </w:r>
        <w:r>
          <w:instrText xml:space="preserve"> PAGEREF _Toc18485 \h </w:instrText>
        </w:r>
        <w:r>
          <w:fldChar w:fldCharType="separate"/>
        </w:r>
        <w:r>
          <w:t>594</w:t>
        </w:r>
        <w:r>
          <w:fldChar w:fldCharType="end"/>
        </w:r>
      </w:hyperlink>
    </w:p>
    <w:p w14:paraId="44D7D15B" w14:textId="77777777" w:rsidR="001C08A5" w:rsidRDefault="00000000">
      <w:pPr>
        <w:pStyle w:val="TOC4"/>
        <w:tabs>
          <w:tab w:val="right" w:leader="dot" w:pos="9639"/>
        </w:tabs>
        <w:ind w:left="1200"/>
      </w:pPr>
      <w:hyperlink w:anchor="_Toc31614" w:history="1">
        <w:r>
          <w:rPr>
            <w:szCs w:val="24"/>
          </w:rPr>
          <w:t>Încăperi de depozitare</w:t>
        </w:r>
        <w:r>
          <w:tab/>
        </w:r>
        <w:r>
          <w:fldChar w:fldCharType="begin"/>
        </w:r>
        <w:r>
          <w:instrText xml:space="preserve"> PAGEREF _Toc31614 \h </w:instrText>
        </w:r>
        <w:r>
          <w:fldChar w:fldCharType="separate"/>
        </w:r>
        <w:r>
          <w:t>595</w:t>
        </w:r>
        <w:r>
          <w:fldChar w:fldCharType="end"/>
        </w:r>
      </w:hyperlink>
    </w:p>
    <w:p w14:paraId="26876D45" w14:textId="77777777" w:rsidR="001C08A5" w:rsidRDefault="00000000">
      <w:pPr>
        <w:pStyle w:val="TOC4"/>
        <w:tabs>
          <w:tab w:val="right" w:leader="dot" w:pos="9639"/>
        </w:tabs>
        <w:ind w:left="1200"/>
      </w:pPr>
      <w:hyperlink w:anchor="_Toc30066" w:history="1">
        <w:r>
          <w:rPr>
            <w:szCs w:val="24"/>
          </w:rPr>
          <w:t>Încăperi pentru instalații utilitare</w:t>
        </w:r>
        <w:r>
          <w:tab/>
        </w:r>
        <w:r>
          <w:fldChar w:fldCharType="begin"/>
        </w:r>
        <w:r>
          <w:instrText xml:space="preserve"> PAGEREF _Toc30066 \h </w:instrText>
        </w:r>
        <w:r>
          <w:fldChar w:fldCharType="separate"/>
        </w:r>
        <w:r>
          <w:t>595</w:t>
        </w:r>
        <w:r>
          <w:fldChar w:fldCharType="end"/>
        </w:r>
      </w:hyperlink>
    </w:p>
    <w:p w14:paraId="3477C868" w14:textId="77777777" w:rsidR="001C08A5" w:rsidRDefault="00000000">
      <w:pPr>
        <w:pStyle w:val="TOC3"/>
        <w:tabs>
          <w:tab w:val="right" w:leader="dot" w:pos="9639"/>
        </w:tabs>
        <w:ind w:left="800"/>
      </w:pPr>
      <w:hyperlink w:anchor="_Toc9950" w:history="1">
        <w:r>
          <w:rPr>
            <w:i/>
            <w:iCs/>
            <w:szCs w:val="24"/>
          </w:rPr>
          <w:t>A.10. 2.5. CĂI DE EVACUARE ÎN CAZ DE INCENDIU</w:t>
        </w:r>
        <w:r>
          <w:tab/>
        </w:r>
        <w:r>
          <w:fldChar w:fldCharType="begin"/>
        </w:r>
        <w:r>
          <w:instrText xml:space="preserve"> PAGEREF _Toc9950 \h </w:instrText>
        </w:r>
        <w:r>
          <w:fldChar w:fldCharType="separate"/>
        </w:r>
        <w:r>
          <w:t>595</w:t>
        </w:r>
        <w:r>
          <w:fldChar w:fldCharType="end"/>
        </w:r>
      </w:hyperlink>
    </w:p>
    <w:p w14:paraId="72501D89" w14:textId="77777777" w:rsidR="001C08A5" w:rsidRDefault="00000000">
      <w:pPr>
        <w:pStyle w:val="TOC4"/>
        <w:tabs>
          <w:tab w:val="right" w:leader="dot" w:pos="9639"/>
        </w:tabs>
        <w:ind w:left="1200"/>
      </w:pPr>
      <w:hyperlink w:anchor="_Toc24371" w:history="1">
        <w:r>
          <w:rPr>
            <w:szCs w:val="24"/>
          </w:rPr>
          <w:t>Dispoziții generale</w:t>
        </w:r>
        <w:r>
          <w:tab/>
        </w:r>
        <w:r>
          <w:fldChar w:fldCharType="begin"/>
        </w:r>
        <w:r>
          <w:instrText xml:space="preserve"> PAGEREF _Toc24371 \h </w:instrText>
        </w:r>
        <w:r>
          <w:fldChar w:fldCharType="separate"/>
        </w:r>
        <w:r>
          <w:t>595</w:t>
        </w:r>
        <w:r>
          <w:fldChar w:fldCharType="end"/>
        </w:r>
      </w:hyperlink>
    </w:p>
    <w:p w14:paraId="068A1638" w14:textId="77777777" w:rsidR="001C08A5" w:rsidRDefault="00000000">
      <w:pPr>
        <w:pStyle w:val="TOC4"/>
        <w:tabs>
          <w:tab w:val="right" w:leader="dot" w:pos="9639"/>
        </w:tabs>
        <w:ind w:left="1200"/>
      </w:pPr>
      <w:hyperlink w:anchor="_Toc4377" w:history="1">
        <w:r>
          <w:rPr>
            <w:szCs w:val="24"/>
          </w:rPr>
          <w:t>Număr căi de evacuare</w:t>
        </w:r>
        <w:r>
          <w:tab/>
        </w:r>
        <w:r>
          <w:fldChar w:fldCharType="begin"/>
        </w:r>
        <w:r>
          <w:instrText xml:space="preserve"> PAGEREF _Toc4377 \h </w:instrText>
        </w:r>
        <w:r>
          <w:fldChar w:fldCharType="separate"/>
        </w:r>
        <w:r>
          <w:t>597</w:t>
        </w:r>
        <w:r>
          <w:fldChar w:fldCharType="end"/>
        </w:r>
      </w:hyperlink>
    </w:p>
    <w:p w14:paraId="7A832926" w14:textId="77777777" w:rsidR="001C08A5" w:rsidRDefault="00000000">
      <w:pPr>
        <w:pStyle w:val="TOC4"/>
        <w:tabs>
          <w:tab w:val="right" w:leader="dot" w:pos="9639"/>
        </w:tabs>
        <w:ind w:left="1200"/>
      </w:pPr>
      <w:hyperlink w:anchor="_Toc26788" w:history="1">
        <w:r>
          <w:rPr>
            <w:szCs w:val="24"/>
          </w:rPr>
          <w:t>Alcătuirea căilor de evacuare</w:t>
        </w:r>
        <w:r>
          <w:tab/>
        </w:r>
        <w:r>
          <w:fldChar w:fldCharType="begin"/>
        </w:r>
        <w:r>
          <w:instrText xml:space="preserve"> PAGEREF _Toc26788 \h </w:instrText>
        </w:r>
        <w:r>
          <w:fldChar w:fldCharType="separate"/>
        </w:r>
        <w:r>
          <w:t>597</w:t>
        </w:r>
        <w:r>
          <w:fldChar w:fldCharType="end"/>
        </w:r>
      </w:hyperlink>
    </w:p>
    <w:p w14:paraId="14CE8999" w14:textId="77777777" w:rsidR="001C08A5" w:rsidRDefault="00000000">
      <w:pPr>
        <w:pStyle w:val="TOC5"/>
        <w:tabs>
          <w:tab w:val="right" w:leader="dot" w:pos="9639"/>
        </w:tabs>
        <w:ind w:left="1600"/>
      </w:pPr>
      <w:hyperlink w:anchor="_Toc24704" w:history="1">
        <w:r>
          <w:rPr>
            <w:szCs w:val="24"/>
          </w:rPr>
          <w:t>Uși</w:t>
        </w:r>
        <w:r>
          <w:tab/>
        </w:r>
        <w:r>
          <w:fldChar w:fldCharType="begin"/>
        </w:r>
        <w:r>
          <w:instrText xml:space="preserve"> PAGEREF _Toc24704 \h </w:instrText>
        </w:r>
        <w:r>
          <w:fldChar w:fldCharType="separate"/>
        </w:r>
        <w:r>
          <w:t>597</w:t>
        </w:r>
        <w:r>
          <w:fldChar w:fldCharType="end"/>
        </w:r>
      </w:hyperlink>
    </w:p>
    <w:p w14:paraId="5281708C" w14:textId="77777777" w:rsidR="001C08A5" w:rsidRDefault="00000000">
      <w:pPr>
        <w:pStyle w:val="TOC5"/>
        <w:tabs>
          <w:tab w:val="right" w:leader="dot" w:pos="9639"/>
        </w:tabs>
        <w:ind w:left="1600"/>
      </w:pPr>
      <w:hyperlink w:anchor="_Toc27366" w:history="1">
        <w:r>
          <w:rPr>
            <w:szCs w:val="24"/>
          </w:rPr>
          <w:t>Scări interioare</w:t>
        </w:r>
        <w:r>
          <w:tab/>
        </w:r>
        <w:r>
          <w:fldChar w:fldCharType="begin"/>
        </w:r>
        <w:r>
          <w:instrText xml:space="preserve"> PAGEREF _Toc27366 \h </w:instrText>
        </w:r>
        <w:r>
          <w:fldChar w:fldCharType="separate"/>
        </w:r>
        <w:r>
          <w:t>598</w:t>
        </w:r>
        <w:r>
          <w:fldChar w:fldCharType="end"/>
        </w:r>
      </w:hyperlink>
    </w:p>
    <w:p w14:paraId="4AC78D04" w14:textId="77777777" w:rsidR="001C08A5" w:rsidRDefault="00000000">
      <w:pPr>
        <w:pStyle w:val="TOC6"/>
        <w:tabs>
          <w:tab w:val="right" w:leader="dot" w:pos="9639"/>
        </w:tabs>
        <w:ind w:left="2000"/>
      </w:pPr>
      <w:hyperlink w:anchor="_Toc22900" w:history="1">
        <w:r>
          <w:rPr>
            <w:i/>
            <w:iCs/>
          </w:rPr>
          <w:t>Scări exterioare deschise</w:t>
        </w:r>
        <w:r>
          <w:tab/>
        </w:r>
        <w:r>
          <w:fldChar w:fldCharType="begin"/>
        </w:r>
        <w:r>
          <w:instrText xml:space="preserve"> PAGEREF _Toc22900 \h </w:instrText>
        </w:r>
        <w:r>
          <w:fldChar w:fldCharType="separate"/>
        </w:r>
        <w:r>
          <w:t>600</w:t>
        </w:r>
        <w:r>
          <w:fldChar w:fldCharType="end"/>
        </w:r>
      </w:hyperlink>
    </w:p>
    <w:p w14:paraId="6479AA58" w14:textId="77777777" w:rsidR="001C08A5" w:rsidRDefault="00000000">
      <w:pPr>
        <w:pStyle w:val="TOC5"/>
        <w:tabs>
          <w:tab w:val="right" w:leader="dot" w:pos="9639"/>
        </w:tabs>
        <w:ind w:left="1600"/>
      </w:pPr>
      <w:hyperlink w:anchor="_Toc28581" w:history="1">
        <w:r>
          <w:rPr>
            <w:szCs w:val="24"/>
          </w:rPr>
          <w:t>Terase și curți interioare</w:t>
        </w:r>
        <w:r>
          <w:tab/>
        </w:r>
        <w:r>
          <w:fldChar w:fldCharType="begin"/>
        </w:r>
        <w:r>
          <w:instrText xml:space="preserve"> PAGEREF _Toc28581 \h </w:instrText>
        </w:r>
        <w:r>
          <w:fldChar w:fldCharType="separate"/>
        </w:r>
        <w:r>
          <w:t>601</w:t>
        </w:r>
        <w:r>
          <w:fldChar w:fldCharType="end"/>
        </w:r>
      </w:hyperlink>
    </w:p>
    <w:p w14:paraId="2A88CE48" w14:textId="77777777" w:rsidR="001C08A5" w:rsidRDefault="00000000">
      <w:pPr>
        <w:pStyle w:val="TOC5"/>
        <w:tabs>
          <w:tab w:val="right" w:leader="dot" w:pos="9639"/>
        </w:tabs>
        <w:ind w:left="1600"/>
      </w:pPr>
      <w:hyperlink w:anchor="_Toc16120" w:history="1">
        <w:r>
          <w:rPr>
            <w:szCs w:val="24"/>
          </w:rPr>
          <w:t>Dimensionarea căilor de evacuare</w:t>
        </w:r>
        <w:r>
          <w:tab/>
        </w:r>
        <w:r>
          <w:fldChar w:fldCharType="begin"/>
        </w:r>
        <w:r>
          <w:instrText xml:space="preserve"> PAGEREF _Toc16120 \h </w:instrText>
        </w:r>
        <w:r>
          <w:fldChar w:fldCharType="separate"/>
        </w:r>
        <w:r>
          <w:t>601</w:t>
        </w:r>
        <w:r>
          <w:fldChar w:fldCharType="end"/>
        </w:r>
      </w:hyperlink>
    </w:p>
    <w:p w14:paraId="5D5E719A" w14:textId="77777777" w:rsidR="001C08A5" w:rsidRDefault="00000000">
      <w:pPr>
        <w:pStyle w:val="TOC6"/>
        <w:tabs>
          <w:tab w:val="right" w:leader="dot" w:pos="9639"/>
        </w:tabs>
        <w:ind w:left="2000"/>
      </w:pPr>
      <w:hyperlink w:anchor="_Toc29185" w:history="1">
        <w:r>
          <w:rPr>
            <w:i/>
            <w:iCs/>
          </w:rPr>
          <w:t>Criterii de calcul</w:t>
        </w:r>
        <w:r>
          <w:tab/>
        </w:r>
        <w:r>
          <w:fldChar w:fldCharType="begin"/>
        </w:r>
        <w:r>
          <w:instrText xml:space="preserve"> PAGEREF _Toc29185 \h </w:instrText>
        </w:r>
        <w:r>
          <w:fldChar w:fldCharType="separate"/>
        </w:r>
        <w:r>
          <w:t>601</w:t>
        </w:r>
        <w:r>
          <w:fldChar w:fldCharType="end"/>
        </w:r>
      </w:hyperlink>
    </w:p>
    <w:p w14:paraId="0B390BCC" w14:textId="77777777" w:rsidR="001C08A5" w:rsidRDefault="00000000">
      <w:pPr>
        <w:pStyle w:val="TOC6"/>
        <w:tabs>
          <w:tab w:val="right" w:leader="dot" w:pos="9639"/>
        </w:tabs>
        <w:ind w:left="2000"/>
      </w:pPr>
      <w:hyperlink w:anchor="_Toc25342" w:history="1">
        <w:r>
          <w:rPr>
            <w:i/>
            <w:iCs/>
          </w:rPr>
          <w:t>Determinarea fluxurilor de evacuare</w:t>
        </w:r>
        <w:r>
          <w:tab/>
        </w:r>
        <w:r>
          <w:fldChar w:fldCharType="begin"/>
        </w:r>
        <w:r>
          <w:instrText xml:space="preserve"> PAGEREF _Toc25342 \h </w:instrText>
        </w:r>
        <w:r>
          <w:fldChar w:fldCharType="separate"/>
        </w:r>
        <w:r>
          <w:t>602</w:t>
        </w:r>
        <w:r>
          <w:fldChar w:fldCharType="end"/>
        </w:r>
      </w:hyperlink>
    </w:p>
    <w:p w14:paraId="26864556" w14:textId="77777777" w:rsidR="001C08A5" w:rsidRDefault="00000000">
      <w:pPr>
        <w:pStyle w:val="TOC6"/>
        <w:tabs>
          <w:tab w:val="right" w:leader="dot" w:pos="9639"/>
        </w:tabs>
        <w:ind w:left="2000"/>
      </w:pPr>
      <w:hyperlink w:anchor="_Toc18474" w:history="1">
        <w:r>
          <w:rPr>
            <w:i/>
            <w:iCs/>
          </w:rPr>
          <w:t>Gabaritele căilor de evacuare</w:t>
        </w:r>
        <w:r>
          <w:tab/>
        </w:r>
        <w:r>
          <w:fldChar w:fldCharType="begin"/>
        </w:r>
        <w:r>
          <w:instrText xml:space="preserve"> PAGEREF _Toc18474 \h </w:instrText>
        </w:r>
        <w:r>
          <w:fldChar w:fldCharType="separate"/>
        </w:r>
        <w:r>
          <w:t>602</w:t>
        </w:r>
        <w:r>
          <w:fldChar w:fldCharType="end"/>
        </w:r>
      </w:hyperlink>
    </w:p>
    <w:p w14:paraId="081EBEE0" w14:textId="77777777" w:rsidR="001C08A5" w:rsidRDefault="00000000">
      <w:pPr>
        <w:pStyle w:val="TOC6"/>
        <w:tabs>
          <w:tab w:val="right" w:leader="dot" w:pos="9639"/>
        </w:tabs>
        <w:ind w:left="2000"/>
      </w:pPr>
      <w:hyperlink w:anchor="_Toc26096" w:history="1">
        <w:r>
          <w:rPr>
            <w:i/>
            <w:iCs/>
          </w:rPr>
          <w:t>Lungimea căii de evacuare</w:t>
        </w:r>
        <w:r>
          <w:tab/>
        </w:r>
        <w:r>
          <w:fldChar w:fldCharType="begin"/>
        </w:r>
        <w:r>
          <w:instrText xml:space="preserve"> PAGEREF _Toc26096 \h </w:instrText>
        </w:r>
        <w:r>
          <w:fldChar w:fldCharType="separate"/>
        </w:r>
        <w:r>
          <w:t>603</w:t>
        </w:r>
        <w:r>
          <w:fldChar w:fldCharType="end"/>
        </w:r>
      </w:hyperlink>
    </w:p>
    <w:p w14:paraId="1E8D478E" w14:textId="77777777" w:rsidR="001C08A5" w:rsidRDefault="00000000">
      <w:pPr>
        <w:pStyle w:val="TOC6"/>
        <w:tabs>
          <w:tab w:val="right" w:leader="dot" w:pos="9639"/>
        </w:tabs>
        <w:ind w:left="2000"/>
      </w:pPr>
      <w:hyperlink w:anchor="_Toc942" w:history="1">
        <w:r>
          <w:rPr>
            <w:i/>
            <w:iCs/>
          </w:rPr>
          <w:t>Marcarea căilor de evacuare</w:t>
        </w:r>
        <w:r>
          <w:tab/>
        </w:r>
        <w:r>
          <w:fldChar w:fldCharType="begin"/>
        </w:r>
        <w:r>
          <w:instrText xml:space="preserve"> PAGEREF _Toc942 \h </w:instrText>
        </w:r>
        <w:r>
          <w:fldChar w:fldCharType="separate"/>
        </w:r>
        <w:r>
          <w:t>604</w:t>
        </w:r>
        <w:r>
          <w:fldChar w:fldCharType="end"/>
        </w:r>
      </w:hyperlink>
    </w:p>
    <w:p w14:paraId="2CFEE48F" w14:textId="77777777" w:rsidR="001C08A5" w:rsidRDefault="00000000">
      <w:pPr>
        <w:pStyle w:val="TOC3"/>
        <w:tabs>
          <w:tab w:val="right" w:leader="dot" w:pos="9639"/>
        </w:tabs>
        <w:ind w:left="800"/>
      </w:pPr>
      <w:hyperlink w:anchor="_Toc26741" w:history="1">
        <w:r>
          <w:rPr>
            <w:i/>
            <w:iCs/>
            <w:szCs w:val="24"/>
          </w:rPr>
          <w:t>A.10. 2.6. INSTALAȚII UTILITARE AFERENTE CONSTRUCȚIILOR EXISTENTE</w:t>
        </w:r>
        <w:r>
          <w:tab/>
        </w:r>
        <w:r>
          <w:fldChar w:fldCharType="begin"/>
        </w:r>
        <w:r>
          <w:instrText xml:space="preserve"> PAGEREF _Toc26741 \h </w:instrText>
        </w:r>
        <w:r>
          <w:fldChar w:fldCharType="separate"/>
        </w:r>
        <w:r>
          <w:t>604</w:t>
        </w:r>
        <w:r>
          <w:fldChar w:fldCharType="end"/>
        </w:r>
      </w:hyperlink>
    </w:p>
    <w:p w14:paraId="499310D9" w14:textId="77777777" w:rsidR="001C08A5" w:rsidRDefault="00000000">
      <w:pPr>
        <w:pStyle w:val="TOC3"/>
        <w:tabs>
          <w:tab w:val="right" w:leader="dot" w:pos="9639"/>
        </w:tabs>
        <w:ind w:left="800"/>
      </w:pPr>
      <w:hyperlink w:anchor="_Toc22151" w:history="1">
        <w:r>
          <w:rPr>
            <w:i/>
            <w:iCs/>
            <w:szCs w:val="24"/>
          </w:rPr>
          <w:t>A.10. 2.7. CĂI DE ACCES, INTERVENȚIE ȘI SALVARE</w:t>
        </w:r>
        <w:r>
          <w:tab/>
        </w:r>
        <w:r>
          <w:fldChar w:fldCharType="begin"/>
        </w:r>
        <w:r>
          <w:instrText xml:space="preserve"> PAGEREF _Toc22151 \h </w:instrText>
        </w:r>
        <w:r>
          <w:fldChar w:fldCharType="separate"/>
        </w:r>
        <w:r>
          <w:t>605</w:t>
        </w:r>
        <w:r>
          <w:fldChar w:fldCharType="end"/>
        </w:r>
      </w:hyperlink>
    </w:p>
    <w:p w14:paraId="29FA38F0" w14:textId="77777777" w:rsidR="001C08A5" w:rsidRDefault="00000000">
      <w:pPr>
        <w:pStyle w:val="TOC3"/>
        <w:tabs>
          <w:tab w:val="right" w:leader="dot" w:pos="9639"/>
        </w:tabs>
        <w:ind w:left="800"/>
      </w:pPr>
      <w:hyperlink w:anchor="_Toc29644" w:history="1">
        <w:r>
          <w:rPr>
            <w:i/>
            <w:iCs/>
            <w:szCs w:val="24"/>
          </w:rPr>
          <w:t>A.10. 2.8. DOTAREA CU MIJLOACE DE INTERVENȚIE ȘI SERVICIUL DE POMPIERI</w:t>
        </w:r>
        <w:r>
          <w:tab/>
        </w:r>
        <w:r>
          <w:fldChar w:fldCharType="begin"/>
        </w:r>
        <w:r>
          <w:instrText xml:space="preserve"> PAGEREF _Toc29644 \h </w:instrText>
        </w:r>
        <w:r>
          <w:fldChar w:fldCharType="separate"/>
        </w:r>
        <w:r>
          <w:t>605</w:t>
        </w:r>
        <w:r>
          <w:fldChar w:fldCharType="end"/>
        </w:r>
      </w:hyperlink>
    </w:p>
    <w:p w14:paraId="7F671C6F" w14:textId="77777777" w:rsidR="001C08A5" w:rsidRDefault="00000000">
      <w:pPr>
        <w:pStyle w:val="TOC2"/>
        <w:tabs>
          <w:tab w:val="right" w:leader="dot" w:pos="9639"/>
        </w:tabs>
        <w:ind w:left="400"/>
      </w:pPr>
      <w:hyperlink w:anchor="_Toc28545" w:history="1">
        <w:r>
          <w:t>SECŢIUNEA A II-A</w:t>
        </w:r>
        <w:r>
          <w:tab/>
        </w:r>
        <w:r>
          <w:fldChar w:fldCharType="begin"/>
        </w:r>
        <w:r>
          <w:instrText xml:space="preserve"> PAGEREF _Toc28545 \h </w:instrText>
        </w:r>
        <w:r>
          <w:fldChar w:fldCharType="separate"/>
        </w:r>
        <w:r>
          <w:t>606</w:t>
        </w:r>
        <w:r>
          <w:fldChar w:fldCharType="end"/>
        </w:r>
      </w:hyperlink>
    </w:p>
    <w:p w14:paraId="31BAD8F1" w14:textId="77777777" w:rsidR="001C08A5" w:rsidRDefault="00000000">
      <w:pPr>
        <w:pStyle w:val="TOC2"/>
        <w:tabs>
          <w:tab w:val="right" w:leader="dot" w:pos="9639"/>
        </w:tabs>
        <w:ind w:left="400"/>
      </w:pPr>
      <w:hyperlink w:anchor="_Toc9225" w:history="1">
        <w:r>
          <w:t>CLĂDIRI CIVILE (PUBLICE) EXISTENTE</w:t>
        </w:r>
        <w:r>
          <w:tab/>
        </w:r>
        <w:r>
          <w:fldChar w:fldCharType="begin"/>
        </w:r>
        <w:r>
          <w:instrText xml:space="preserve"> PAGEREF _Toc9225 \h </w:instrText>
        </w:r>
        <w:r>
          <w:fldChar w:fldCharType="separate"/>
        </w:r>
        <w:r>
          <w:t>606</w:t>
        </w:r>
        <w:r>
          <w:fldChar w:fldCharType="end"/>
        </w:r>
      </w:hyperlink>
    </w:p>
    <w:p w14:paraId="682170E3" w14:textId="77777777" w:rsidR="001C08A5" w:rsidRDefault="00000000">
      <w:pPr>
        <w:pStyle w:val="TOC3"/>
        <w:tabs>
          <w:tab w:val="right" w:leader="dot" w:pos="9639"/>
        </w:tabs>
        <w:ind w:left="800"/>
      </w:pPr>
      <w:hyperlink w:anchor="_Toc26858" w:history="1">
        <w:r>
          <w:rPr>
            <w:i/>
            <w:iCs/>
          </w:rPr>
          <w:t>CAPITOLUL 3</w:t>
        </w:r>
        <w:r>
          <w:tab/>
        </w:r>
        <w:r>
          <w:fldChar w:fldCharType="begin"/>
        </w:r>
        <w:r>
          <w:instrText xml:space="preserve"> PAGEREF _Toc26858 \h </w:instrText>
        </w:r>
        <w:r>
          <w:fldChar w:fldCharType="separate"/>
        </w:r>
        <w:r>
          <w:t>606</w:t>
        </w:r>
        <w:r>
          <w:fldChar w:fldCharType="end"/>
        </w:r>
      </w:hyperlink>
    </w:p>
    <w:p w14:paraId="65F49E69" w14:textId="77777777" w:rsidR="001C08A5" w:rsidRDefault="00000000">
      <w:pPr>
        <w:pStyle w:val="TOC3"/>
        <w:tabs>
          <w:tab w:val="right" w:leader="dot" w:pos="9639"/>
        </w:tabs>
        <w:ind w:left="800"/>
      </w:pPr>
      <w:hyperlink w:anchor="_Toc9868" w:history="1">
        <w:r>
          <w:rPr>
            <w:i/>
            <w:iCs/>
          </w:rPr>
          <w:t>PERFORMANȚE COMUNE CLĂDIRILOR CIVILE (PUBLICE) EXISTENTE</w:t>
        </w:r>
        <w:r>
          <w:tab/>
        </w:r>
        <w:r>
          <w:fldChar w:fldCharType="begin"/>
        </w:r>
        <w:r>
          <w:instrText xml:space="preserve"> PAGEREF _Toc9868 \h </w:instrText>
        </w:r>
        <w:r>
          <w:fldChar w:fldCharType="separate"/>
        </w:r>
        <w:r>
          <w:t>606</w:t>
        </w:r>
        <w:r>
          <w:fldChar w:fldCharType="end"/>
        </w:r>
      </w:hyperlink>
    </w:p>
    <w:p w14:paraId="746E1C33" w14:textId="77777777" w:rsidR="001C08A5" w:rsidRDefault="00000000">
      <w:pPr>
        <w:pStyle w:val="TOC3"/>
        <w:tabs>
          <w:tab w:val="right" w:leader="dot" w:pos="9639"/>
        </w:tabs>
        <w:ind w:left="800"/>
      </w:pPr>
      <w:hyperlink w:anchor="_Toc28105" w:history="1">
        <w:r>
          <w:rPr>
            <w:i/>
            <w:iCs/>
            <w:szCs w:val="24"/>
          </w:rPr>
          <w:t>A.10. 3.1. RISC DE INCENDIU ȘI NIVEL DE STABILITATE LA INCENDIU</w:t>
        </w:r>
        <w:r>
          <w:tab/>
        </w:r>
        <w:r>
          <w:fldChar w:fldCharType="begin"/>
        </w:r>
        <w:r>
          <w:instrText xml:space="preserve"> PAGEREF _Toc28105 \h </w:instrText>
        </w:r>
        <w:r>
          <w:fldChar w:fldCharType="separate"/>
        </w:r>
        <w:r>
          <w:t>606</w:t>
        </w:r>
        <w:r>
          <w:fldChar w:fldCharType="end"/>
        </w:r>
      </w:hyperlink>
    </w:p>
    <w:p w14:paraId="3F3CCC9C" w14:textId="77777777" w:rsidR="001C08A5" w:rsidRDefault="00000000">
      <w:pPr>
        <w:pStyle w:val="TOC4"/>
        <w:tabs>
          <w:tab w:val="right" w:leader="dot" w:pos="9639"/>
        </w:tabs>
        <w:ind w:left="1200"/>
      </w:pPr>
      <w:hyperlink w:anchor="_Toc26841" w:history="1">
        <w:r>
          <w:rPr>
            <w:szCs w:val="24"/>
          </w:rPr>
          <w:t>Riscuri de incendiu</w:t>
        </w:r>
        <w:r>
          <w:tab/>
        </w:r>
        <w:r>
          <w:fldChar w:fldCharType="begin"/>
        </w:r>
        <w:r>
          <w:instrText xml:space="preserve"> PAGEREF _Toc26841 \h </w:instrText>
        </w:r>
        <w:r>
          <w:fldChar w:fldCharType="separate"/>
        </w:r>
        <w:r>
          <w:t>606</w:t>
        </w:r>
        <w:r>
          <w:fldChar w:fldCharType="end"/>
        </w:r>
      </w:hyperlink>
    </w:p>
    <w:p w14:paraId="1A824EB9" w14:textId="77777777" w:rsidR="001C08A5" w:rsidRDefault="00000000">
      <w:pPr>
        <w:pStyle w:val="TOC4"/>
        <w:tabs>
          <w:tab w:val="right" w:leader="dot" w:pos="9639"/>
        </w:tabs>
        <w:ind w:left="1200"/>
      </w:pPr>
      <w:hyperlink w:anchor="_Toc20928" w:history="1">
        <w:r>
          <w:rPr>
            <w:szCs w:val="24"/>
          </w:rPr>
          <w:t>Nivel de stabilitate la incendiu</w:t>
        </w:r>
        <w:r>
          <w:tab/>
        </w:r>
        <w:r>
          <w:fldChar w:fldCharType="begin"/>
        </w:r>
        <w:r>
          <w:instrText xml:space="preserve"> PAGEREF _Toc20928 \h </w:instrText>
        </w:r>
        <w:r>
          <w:fldChar w:fldCharType="separate"/>
        </w:r>
        <w:r>
          <w:t>606</w:t>
        </w:r>
        <w:r>
          <w:fldChar w:fldCharType="end"/>
        </w:r>
      </w:hyperlink>
    </w:p>
    <w:p w14:paraId="1412BEB7" w14:textId="77777777" w:rsidR="001C08A5" w:rsidRDefault="00000000">
      <w:pPr>
        <w:pStyle w:val="TOC3"/>
        <w:tabs>
          <w:tab w:val="right" w:leader="dot" w:pos="9639"/>
        </w:tabs>
        <w:ind w:left="800"/>
      </w:pPr>
      <w:hyperlink w:anchor="_Toc30980" w:history="1">
        <w:r>
          <w:rPr>
            <w:i/>
            <w:iCs/>
            <w:szCs w:val="24"/>
          </w:rPr>
          <w:t>A.10. 3.2. AMPLASARE ȘI CONFORMARE LA FOC</w:t>
        </w:r>
        <w:r>
          <w:tab/>
        </w:r>
        <w:r>
          <w:fldChar w:fldCharType="begin"/>
        </w:r>
        <w:r>
          <w:instrText xml:space="preserve"> PAGEREF _Toc30980 \h </w:instrText>
        </w:r>
        <w:r>
          <w:fldChar w:fldCharType="separate"/>
        </w:r>
        <w:r>
          <w:t>606</w:t>
        </w:r>
        <w:r>
          <w:fldChar w:fldCharType="end"/>
        </w:r>
      </w:hyperlink>
    </w:p>
    <w:p w14:paraId="2E2B2C1A" w14:textId="77777777" w:rsidR="001C08A5" w:rsidRDefault="00000000">
      <w:pPr>
        <w:pStyle w:val="TOC4"/>
        <w:tabs>
          <w:tab w:val="right" w:leader="dot" w:pos="9639"/>
        </w:tabs>
        <w:ind w:left="1200"/>
      </w:pPr>
      <w:hyperlink w:anchor="_Toc2174" w:history="1">
        <w:r>
          <w:rPr>
            <w:szCs w:val="24"/>
          </w:rPr>
          <w:t>Amplasare</w:t>
        </w:r>
        <w:r>
          <w:tab/>
        </w:r>
        <w:r>
          <w:fldChar w:fldCharType="begin"/>
        </w:r>
        <w:r>
          <w:instrText xml:space="preserve"> PAGEREF _Toc2174 \h </w:instrText>
        </w:r>
        <w:r>
          <w:fldChar w:fldCharType="separate"/>
        </w:r>
        <w:r>
          <w:t>606</w:t>
        </w:r>
        <w:r>
          <w:fldChar w:fldCharType="end"/>
        </w:r>
      </w:hyperlink>
    </w:p>
    <w:p w14:paraId="4947AF12" w14:textId="77777777" w:rsidR="001C08A5" w:rsidRDefault="00000000">
      <w:pPr>
        <w:pStyle w:val="TOC4"/>
        <w:tabs>
          <w:tab w:val="right" w:leader="dot" w:pos="9639"/>
        </w:tabs>
        <w:ind w:left="1200"/>
      </w:pPr>
      <w:hyperlink w:anchor="_Toc6415" w:history="1">
        <w:r>
          <w:rPr>
            <w:szCs w:val="24"/>
          </w:rPr>
          <w:t>Conformare la foc</w:t>
        </w:r>
        <w:r>
          <w:tab/>
        </w:r>
        <w:r>
          <w:fldChar w:fldCharType="begin"/>
        </w:r>
        <w:r>
          <w:instrText xml:space="preserve"> PAGEREF _Toc6415 \h </w:instrText>
        </w:r>
        <w:r>
          <w:fldChar w:fldCharType="separate"/>
        </w:r>
        <w:r>
          <w:t>607</w:t>
        </w:r>
        <w:r>
          <w:fldChar w:fldCharType="end"/>
        </w:r>
      </w:hyperlink>
    </w:p>
    <w:p w14:paraId="5E142645" w14:textId="77777777" w:rsidR="001C08A5" w:rsidRDefault="00000000">
      <w:pPr>
        <w:pStyle w:val="TOC3"/>
        <w:tabs>
          <w:tab w:val="right" w:leader="dot" w:pos="9639"/>
        </w:tabs>
        <w:ind w:left="800"/>
      </w:pPr>
      <w:hyperlink w:anchor="_Toc23562" w:history="1">
        <w:r>
          <w:rPr>
            <w:i/>
            <w:iCs/>
            <w:szCs w:val="24"/>
          </w:rPr>
          <w:t>A.10. 3.3. ALCĂTUIRI CONSTRUCTIVE</w:t>
        </w:r>
        <w:r>
          <w:tab/>
        </w:r>
        <w:r>
          <w:fldChar w:fldCharType="begin"/>
        </w:r>
        <w:r>
          <w:instrText xml:space="preserve"> PAGEREF _Toc23562 \h </w:instrText>
        </w:r>
        <w:r>
          <w:fldChar w:fldCharType="separate"/>
        </w:r>
        <w:r>
          <w:t>608</w:t>
        </w:r>
        <w:r>
          <w:fldChar w:fldCharType="end"/>
        </w:r>
      </w:hyperlink>
    </w:p>
    <w:p w14:paraId="460D1203" w14:textId="77777777" w:rsidR="001C08A5" w:rsidRDefault="00000000">
      <w:pPr>
        <w:pStyle w:val="TOC3"/>
        <w:tabs>
          <w:tab w:val="right" w:leader="dot" w:pos="9639"/>
        </w:tabs>
        <w:ind w:left="800"/>
      </w:pPr>
      <w:hyperlink w:anchor="_Toc24575" w:history="1">
        <w:r>
          <w:rPr>
            <w:i/>
            <w:iCs/>
            <w:szCs w:val="24"/>
          </w:rPr>
          <w:t>A.10. 3.4. LIMITAREA PROPAGĂRII FOCULUI ȘI A FUMULUI</w:t>
        </w:r>
        <w:r>
          <w:tab/>
        </w:r>
        <w:r>
          <w:fldChar w:fldCharType="begin"/>
        </w:r>
        <w:r>
          <w:instrText xml:space="preserve"> PAGEREF _Toc24575 \h </w:instrText>
        </w:r>
        <w:r>
          <w:fldChar w:fldCharType="separate"/>
        </w:r>
        <w:r>
          <w:t>608</w:t>
        </w:r>
        <w:r>
          <w:fldChar w:fldCharType="end"/>
        </w:r>
      </w:hyperlink>
    </w:p>
    <w:p w14:paraId="7E78DAF9" w14:textId="77777777" w:rsidR="001C08A5" w:rsidRDefault="00000000">
      <w:pPr>
        <w:pStyle w:val="TOC3"/>
        <w:tabs>
          <w:tab w:val="right" w:leader="dot" w:pos="9639"/>
        </w:tabs>
        <w:ind w:left="800"/>
      </w:pPr>
      <w:hyperlink w:anchor="_Toc16312" w:history="1">
        <w:r>
          <w:rPr>
            <w:i/>
            <w:iCs/>
            <w:szCs w:val="24"/>
          </w:rPr>
          <w:t>A.10. 3.5. CĂI DE EVACUARE ÎN CAZ DE INCENDIU</w:t>
        </w:r>
        <w:r>
          <w:tab/>
        </w:r>
        <w:r>
          <w:fldChar w:fldCharType="begin"/>
        </w:r>
        <w:r>
          <w:instrText xml:space="preserve"> PAGEREF _Toc16312 \h </w:instrText>
        </w:r>
        <w:r>
          <w:fldChar w:fldCharType="separate"/>
        </w:r>
        <w:r>
          <w:t>610</w:t>
        </w:r>
        <w:r>
          <w:fldChar w:fldCharType="end"/>
        </w:r>
      </w:hyperlink>
    </w:p>
    <w:p w14:paraId="7D757325" w14:textId="77777777" w:rsidR="001C08A5" w:rsidRDefault="00000000">
      <w:pPr>
        <w:pStyle w:val="TOC3"/>
        <w:tabs>
          <w:tab w:val="right" w:leader="dot" w:pos="9639"/>
        </w:tabs>
        <w:ind w:left="800"/>
      </w:pPr>
      <w:hyperlink w:anchor="_Toc17215" w:history="1">
        <w:r>
          <w:rPr>
            <w:i/>
            <w:iCs/>
            <w:szCs w:val="24"/>
          </w:rPr>
          <w:t>A.10. 3.6. INSTALAȚII UTILITARE AFERENTE CLĂDIRILOR CIVILE (PUBLICE)  EXISTENTE</w:t>
        </w:r>
        <w:r>
          <w:tab/>
        </w:r>
        <w:r>
          <w:fldChar w:fldCharType="begin"/>
        </w:r>
        <w:r>
          <w:instrText xml:space="preserve"> PAGEREF _Toc17215 \h </w:instrText>
        </w:r>
        <w:r>
          <w:fldChar w:fldCharType="separate"/>
        </w:r>
        <w:r>
          <w:t>611</w:t>
        </w:r>
        <w:r>
          <w:fldChar w:fldCharType="end"/>
        </w:r>
      </w:hyperlink>
    </w:p>
    <w:p w14:paraId="1DCF59D7" w14:textId="77777777" w:rsidR="001C08A5" w:rsidRDefault="00000000">
      <w:pPr>
        <w:pStyle w:val="TOC3"/>
        <w:tabs>
          <w:tab w:val="right" w:leader="dot" w:pos="9639"/>
        </w:tabs>
        <w:ind w:left="800"/>
      </w:pPr>
      <w:hyperlink w:anchor="_Toc28350" w:history="1">
        <w:r>
          <w:rPr>
            <w:i/>
            <w:iCs/>
            <w:szCs w:val="24"/>
          </w:rPr>
          <w:t>A.10. 3.7. CĂI DE ACCES, INTERVENȚIE ȘI SALVARE</w:t>
        </w:r>
        <w:r>
          <w:tab/>
        </w:r>
        <w:r>
          <w:fldChar w:fldCharType="begin"/>
        </w:r>
        <w:r>
          <w:instrText xml:space="preserve"> PAGEREF _Toc28350 \h </w:instrText>
        </w:r>
        <w:r>
          <w:fldChar w:fldCharType="separate"/>
        </w:r>
        <w:r>
          <w:t>611</w:t>
        </w:r>
        <w:r>
          <w:fldChar w:fldCharType="end"/>
        </w:r>
      </w:hyperlink>
    </w:p>
    <w:p w14:paraId="36B64946" w14:textId="77777777" w:rsidR="001C08A5" w:rsidRDefault="00000000">
      <w:pPr>
        <w:pStyle w:val="TOC3"/>
        <w:tabs>
          <w:tab w:val="right" w:leader="dot" w:pos="9639"/>
        </w:tabs>
        <w:ind w:left="800"/>
      </w:pPr>
      <w:hyperlink w:anchor="_Toc6354" w:history="1">
        <w:r>
          <w:rPr>
            <w:i/>
            <w:iCs/>
            <w:szCs w:val="24"/>
          </w:rPr>
          <w:t>A.10. 3.8. DOTAREA CU MIJLOACE DE INTERVENȚIE, SERVICIUL DE POMPIERI</w:t>
        </w:r>
        <w:r>
          <w:tab/>
        </w:r>
        <w:r>
          <w:fldChar w:fldCharType="begin"/>
        </w:r>
        <w:r>
          <w:instrText xml:space="preserve"> PAGEREF _Toc6354 \h </w:instrText>
        </w:r>
        <w:r>
          <w:fldChar w:fldCharType="separate"/>
        </w:r>
        <w:r>
          <w:t>612</w:t>
        </w:r>
        <w:r>
          <w:fldChar w:fldCharType="end"/>
        </w:r>
      </w:hyperlink>
    </w:p>
    <w:p w14:paraId="0A25D6CD" w14:textId="77777777" w:rsidR="001C08A5" w:rsidRDefault="00000000">
      <w:pPr>
        <w:pStyle w:val="TOC3"/>
        <w:tabs>
          <w:tab w:val="right" w:leader="dot" w:pos="9639"/>
        </w:tabs>
        <w:ind w:left="800"/>
      </w:pPr>
      <w:hyperlink w:anchor="_Toc8792" w:history="1">
        <w:r>
          <w:rPr>
            <w:i/>
            <w:iCs/>
            <w:szCs w:val="24"/>
          </w:rPr>
          <w:t>A.10. 3.9. EVACUARE FUM (DESFUMARE) ȘI GAZE FIERBINȚI</w:t>
        </w:r>
        <w:r>
          <w:tab/>
        </w:r>
        <w:r>
          <w:fldChar w:fldCharType="begin"/>
        </w:r>
        <w:r>
          <w:instrText xml:space="preserve"> PAGEREF _Toc8792 \h </w:instrText>
        </w:r>
        <w:r>
          <w:fldChar w:fldCharType="separate"/>
        </w:r>
        <w:r>
          <w:t>612</w:t>
        </w:r>
        <w:r>
          <w:fldChar w:fldCharType="end"/>
        </w:r>
      </w:hyperlink>
    </w:p>
    <w:p w14:paraId="68AE3E2D" w14:textId="77777777" w:rsidR="001C08A5" w:rsidRDefault="00000000">
      <w:pPr>
        <w:pStyle w:val="TOC3"/>
        <w:tabs>
          <w:tab w:val="right" w:leader="dot" w:pos="9639"/>
        </w:tabs>
        <w:ind w:left="800"/>
      </w:pPr>
      <w:hyperlink w:anchor="_Toc10037" w:history="1">
        <w:r>
          <w:rPr>
            <w:i/>
            <w:iCs/>
            <w:szCs w:val="24"/>
          </w:rPr>
          <w:t>A.10. 3.10. PERFORMANȚE ALE UNOR FUNCȚIUNI (DESTINAȚII)</w:t>
        </w:r>
        <w:r>
          <w:tab/>
        </w:r>
        <w:r>
          <w:fldChar w:fldCharType="begin"/>
        </w:r>
        <w:r>
          <w:instrText xml:space="preserve"> PAGEREF _Toc10037 \h </w:instrText>
        </w:r>
        <w:r>
          <w:fldChar w:fldCharType="separate"/>
        </w:r>
        <w:r>
          <w:t>613</w:t>
        </w:r>
        <w:r>
          <w:fldChar w:fldCharType="end"/>
        </w:r>
      </w:hyperlink>
    </w:p>
    <w:p w14:paraId="7F943E07" w14:textId="77777777" w:rsidR="001C08A5" w:rsidRDefault="00000000">
      <w:pPr>
        <w:pStyle w:val="TOC4"/>
        <w:tabs>
          <w:tab w:val="right" w:leader="dot" w:pos="9639"/>
        </w:tabs>
        <w:ind w:left="1200"/>
      </w:pPr>
      <w:hyperlink w:anchor="_Toc22588" w:history="1">
        <w:r>
          <w:rPr>
            <w:szCs w:val="24"/>
          </w:rPr>
          <w:t>Clădiri existente de locuit</w:t>
        </w:r>
        <w:r>
          <w:tab/>
        </w:r>
        <w:r>
          <w:fldChar w:fldCharType="begin"/>
        </w:r>
        <w:r>
          <w:instrText xml:space="preserve"> PAGEREF _Toc22588 \h </w:instrText>
        </w:r>
        <w:r>
          <w:fldChar w:fldCharType="separate"/>
        </w:r>
        <w:r>
          <w:t>613</w:t>
        </w:r>
        <w:r>
          <w:fldChar w:fldCharType="end"/>
        </w:r>
      </w:hyperlink>
    </w:p>
    <w:p w14:paraId="751C9225" w14:textId="77777777" w:rsidR="001C08A5" w:rsidRDefault="00000000">
      <w:pPr>
        <w:pStyle w:val="TOC4"/>
        <w:tabs>
          <w:tab w:val="right" w:leader="dot" w:pos="9639"/>
        </w:tabs>
        <w:ind w:left="1200"/>
      </w:pPr>
      <w:hyperlink w:anchor="_Toc24427" w:history="1">
        <w:r>
          <w:rPr>
            <w:szCs w:val="24"/>
          </w:rPr>
          <w:t>Clădiri administrative existente</w:t>
        </w:r>
        <w:r>
          <w:tab/>
        </w:r>
        <w:r>
          <w:fldChar w:fldCharType="begin"/>
        </w:r>
        <w:r>
          <w:instrText xml:space="preserve"> PAGEREF _Toc24427 \h </w:instrText>
        </w:r>
        <w:r>
          <w:fldChar w:fldCharType="separate"/>
        </w:r>
        <w:r>
          <w:t>615</w:t>
        </w:r>
        <w:r>
          <w:fldChar w:fldCharType="end"/>
        </w:r>
      </w:hyperlink>
    </w:p>
    <w:p w14:paraId="641F7C2B" w14:textId="77777777" w:rsidR="001C08A5" w:rsidRDefault="00000000">
      <w:pPr>
        <w:pStyle w:val="TOC4"/>
        <w:tabs>
          <w:tab w:val="right" w:leader="dot" w:pos="9639"/>
        </w:tabs>
        <w:ind w:left="1200"/>
      </w:pPr>
      <w:hyperlink w:anchor="_Toc18909" w:history="1">
        <w:r>
          <w:rPr>
            <w:szCs w:val="24"/>
          </w:rPr>
          <w:t>Clădiri existente pentru comerț</w:t>
        </w:r>
        <w:r>
          <w:tab/>
        </w:r>
        <w:r>
          <w:fldChar w:fldCharType="begin"/>
        </w:r>
        <w:r>
          <w:instrText xml:space="preserve"> PAGEREF _Toc18909 \h </w:instrText>
        </w:r>
        <w:r>
          <w:fldChar w:fldCharType="separate"/>
        </w:r>
        <w:r>
          <w:t>617</w:t>
        </w:r>
        <w:r>
          <w:fldChar w:fldCharType="end"/>
        </w:r>
      </w:hyperlink>
    </w:p>
    <w:p w14:paraId="26EB58A9" w14:textId="77777777" w:rsidR="001C08A5" w:rsidRDefault="00000000">
      <w:pPr>
        <w:pStyle w:val="TOC4"/>
        <w:tabs>
          <w:tab w:val="right" w:leader="dot" w:pos="9639"/>
        </w:tabs>
        <w:ind w:left="1200"/>
      </w:pPr>
      <w:hyperlink w:anchor="_Toc27446" w:history="1">
        <w:r>
          <w:rPr>
            <w:szCs w:val="24"/>
          </w:rPr>
          <w:t>Clădiri  existente pentru sănătate</w:t>
        </w:r>
        <w:r>
          <w:tab/>
        </w:r>
        <w:r>
          <w:fldChar w:fldCharType="begin"/>
        </w:r>
        <w:r>
          <w:instrText xml:space="preserve"> PAGEREF _Toc27446 \h </w:instrText>
        </w:r>
        <w:r>
          <w:fldChar w:fldCharType="separate"/>
        </w:r>
        <w:r>
          <w:t>619</w:t>
        </w:r>
        <w:r>
          <w:fldChar w:fldCharType="end"/>
        </w:r>
      </w:hyperlink>
    </w:p>
    <w:p w14:paraId="2DB51979" w14:textId="77777777" w:rsidR="001C08A5" w:rsidRDefault="00000000">
      <w:pPr>
        <w:pStyle w:val="TOC4"/>
        <w:tabs>
          <w:tab w:val="right" w:leader="dot" w:pos="9639"/>
        </w:tabs>
        <w:ind w:left="1200"/>
      </w:pPr>
      <w:hyperlink w:anchor="_Toc17677" w:history="1">
        <w:r>
          <w:rPr>
            <w:szCs w:val="24"/>
          </w:rPr>
          <w:t>Clădiri existente pentru cultură</w:t>
        </w:r>
        <w:r>
          <w:tab/>
        </w:r>
        <w:r>
          <w:fldChar w:fldCharType="begin"/>
        </w:r>
        <w:r>
          <w:instrText xml:space="preserve"> PAGEREF _Toc17677 \h </w:instrText>
        </w:r>
        <w:r>
          <w:fldChar w:fldCharType="separate"/>
        </w:r>
        <w:r>
          <w:t>620</w:t>
        </w:r>
        <w:r>
          <w:fldChar w:fldCharType="end"/>
        </w:r>
      </w:hyperlink>
    </w:p>
    <w:p w14:paraId="179EF4C7" w14:textId="77777777" w:rsidR="001C08A5" w:rsidRDefault="00000000">
      <w:pPr>
        <w:pStyle w:val="TOC4"/>
        <w:tabs>
          <w:tab w:val="right" w:leader="dot" w:pos="9639"/>
        </w:tabs>
        <w:ind w:left="1200"/>
      </w:pPr>
      <w:hyperlink w:anchor="_Toc12469" w:history="1">
        <w:r>
          <w:rPr>
            <w:szCs w:val="24"/>
          </w:rPr>
          <w:t>Clădiri existente de învățământ</w:t>
        </w:r>
        <w:r>
          <w:tab/>
        </w:r>
        <w:r>
          <w:fldChar w:fldCharType="begin"/>
        </w:r>
        <w:r>
          <w:instrText xml:space="preserve"> PAGEREF _Toc12469 \h </w:instrText>
        </w:r>
        <w:r>
          <w:fldChar w:fldCharType="separate"/>
        </w:r>
        <w:r>
          <w:t>623</w:t>
        </w:r>
        <w:r>
          <w:fldChar w:fldCharType="end"/>
        </w:r>
      </w:hyperlink>
    </w:p>
    <w:p w14:paraId="48212426" w14:textId="77777777" w:rsidR="001C08A5" w:rsidRDefault="00000000">
      <w:pPr>
        <w:pStyle w:val="TOC4"/>
        <w:tabs>
          <w:tab w:val="right" w:leader="dot" w:pos="9639"/>
        </w:tabs>
        <w:ind w:left="1200"/>
      </w:pPr>
      <w:hyperlink w:anchor="_Toc15620" w:history="1">
        <w:r>
          <w:rPr>
            <w:szCs w:val="24"/>
          </w:rPr>
          <w:t>Clădiri existente pentru turism</w:t>
        </w:r>
        <w:r>
          <w:tab/>
        </w:r>
        <w:r>
          <w:fldChar w:fldCharType="begin"/>
        </w:r>
        <w:r>
          <w:instrText xml:space="preserve"> PAGEREF _Toc15620 \h </w:instrText>
        </w:r>
        <w:r>
          <w:fldChar w:fldCharType="separate"/>
        </w:r>
        <w:r>
          <w:t>625</w:t>
        </w:r>
        <w:r>
          <w:fldChar w:fldCharType="end"/>
        </w:r>
      </w:hyperlink>
    </w:p>
    <w:p w14:paraId="3A74A5F0" w14:textId="77777777" w:rsidR="001C08A5" w:rsidRDefault="00000000">
      <w:pPr>
        <w:pStyle w:val="TOC4"/>
        <w:tabs>
          <w:tab w:val="right" w:leader="dot" w:pos="9639"/>
        </w:tabs>
        <w:ind w:left="1200"/>
      </w:pPr>
      <w:hyperlink w:anchor="_Toc32616" w:history="1">
        <w:r>
          <w:rPr>
            <w:szCs w:val="24"/>
          </w:rPr>
          <w:t>Clădiri existente de cult</w:t>
        </w:r>
        <w:r>
          <w:tab/>
        </w:r>
        <w:r>
          <w:fldChar w:fldCharType="begin"/>
        </w:r>
        <w:r>
          <w:instrText xml:space="preserve"> PAGEREF _Toc32616 \h </w:instrText>
        </w:r>
        <w:r>
          <w:fldChar w:fldCharType="separate"/>
        </w:r>
        <w:r>
          <w:t>627</w:t>
        </w:r>
        <w:r>
          <w:fldChar w:fldCharType="end"/>
        </w:r>
      </w:hyperlink>
    </w:p>
    <w:p w14:paraId="280EC3C0" w14:textId="77777777" w:rsidR="001C08A5" w:rsidRDefault="00000000">
      <w:pPr>
        <w:pStyle w:val="TOC4"/>
        <w:tabs>
          <w:tab w:val="right" w:leader="dot" w:pos="9639"/>
        </w:tabs>
        <w:ind w:left="1200"/>
      </w:pPr>
      <w:hyperlink w:anchor="_Toc16921" w:history="1">
        <w:r>
          <w:rPr>
            <w:szCs w:val="24"/>
          </w:rPr>
          <w:t>Clădiri existente de sport</w:t>
        </w:r>
        <w:r>
          <w:tab/>
        </w:r>
        <w:r>
          <w:fldChar w:fldCharType="begin"/>
        </w:r>
        <w:r>
          <w:instrText xml:space="preserve"> PAGEREF _Toc16921 \h </w:instrText>
        </w:r>
        <w:r>
          <w:fldChar w:fldCharType="separate"/>
        </w:r>
        <w:r>
          <w:t>628</w:t>
        </w:r>
        <w:r>
          <w:fldChar w:fldCharType="end"/>
        </w:r>
      </w:hyperlink>
    </w:p>
    <w:p w14:paraId="5978753D" w14:textId="77777777" w:rsidR="001C08A5" w:rsidRDefault="00000000">
      <w:pPr>
        <w:pStyle w:val="TOC3"/>
        <w:tabs>
          <w:tab w:val="right" w:leader="dot" w:pos="9639"/>
        </w:tabs>
        <w:ind w:left="800"/>
      </w:pPr>
      <w:hyperlink w:anchor="_Toc14403" w:history="1">
        <w:r>
          <w:rPr>
            <w:i/>
            <w:iCs/>
            <w:szCs w:val="24"/>
          </w:rPr>
          <w:t>A.10. 3.11. PERFORMANȚE PROPRII UNOR AMENAJĂRI ȘI CLĂDIRI EXISTENTE</w:t>
        </w:r>
        <w:r>
          <w:tab/>
        </w:r>
        <w:r>
          <w:fldChar w:fldCharType="begin"/>
        </w:r>
        <w:r>
          <w:instrText xml:space="preserve"> PAGEREF _Toc14403 \h </w:instrText>
        </w:r>
        <w:r>
          <w:fldChar w:fldCharType="separate"/>
        </w:r>
        <w:r>
          <w:t>628</w:t>
        </w:r>
        <w:r>
          <w:fldChar w:fldCharType="end"/>
        </w:r>
      </w:hyperlink>
    </w:p>
    <w:p w14:paraId="7D3692DA" w14:textId="77777777" w:rsidR="001C08A5" w:rsidRDefault="00000000">
      <w:pPr>
        <w:pStyle w:val="TOC4"/>
        <w:tabs>
          <w:tab w:val="right" w:leader="dot" w:pos="9639"/>
        </w:tabs>
        <w:ind w:left="1200"/>
      </w:pPr>
      <w:hyperlink w:anchor="_Toc8517" w:history="1">
        <w:r>
          <w:rPr>
            <w:szCs w:val="24"/>
          </w:rPr>
          <w:t>Amenajări în aer liber</w:t>
        </w:r>
        <w:r>
          <w:tab/>
        </w:r>
        <w:r>
          <w:fldChar w:fldCharType="begin"/>
        </w:r>
        <w:r>
          <w:instrText xml:space="preserve"> PAGEREF _Toc8517 \h </w:instrText>
        </w:r>
        <w:r>
          <w:fldChar w:fldCharType="separate"/>
        </w:r>
        <w:r>
          <w:t>628</w:t>
        </w:r>
        <w:r>
          <w:fldChar w:fldCharType="end"/>
        </w:r>
      </w:hyperlink>
    </w:p>
    <w:p w14:paraId="31ACB267" w14:textId="77777777" w:rsidR="001C08A5" w:rsidRDefault="00000000">
      <w:pPr>
        <w:pStyle w:val="TOC4"/>
        <w:tabs>
          <w:tab w:val="right" w:leader="dot" w:pos="9639"/>
        </w:tabs>
        <w:ind w:left="1200"/>
      </w:pPr>
      <w:hyperlink w:anchor="_Toc14532" w:history="1">
        <w:r>
          <w:rPr>
            <w:szCs w:val="24"/>
          </w:rPr>
          <w:t>Campinguri, sate de vacanță existente</w:t>
        </w:r>
        <w:r>
          <w:tab/>
        </w:r>
        <w:r>
          <w:fldChar w:fldCharType="begin"/>
        </w:r>
        <w:r>
          <w:instrText xml:space="preserve"> PAGEREF _Toc14532 \h </w:instrText>
        </w:r>
        <w:r>
          <w:fldChar w:fldCharType="separate"/>
        </w:r>
        <w:r>
          <w:t>628</w:t>
        </w:r>
        <w:r>
          <w:fldChar w:fldCharType="end"/>
        </w:r>
      </w:hyperlink>
    </w:p>
    <w:p w14:paraId="4944E0F9" w14:textId="77777777" w:rsidR="001C08A5" w:rsidRDefault="00000000">
      <w:pPr>
        <w:pStyle w:val="TOC4"/>
        <w:tabs>
          <w:tab w:val="right" w:leader="dot" w:pos="9639"/>
        </w:tabs>
        <w:ind w:left="1200"/>
      </w:pPr>
      <w:hyperlink w:anchor="_Toc27826" w:history="1">
        <w:r>
          <w:rPr>
            <w:szCs w:val="24"/>
          </w:rPr>
          <w:t>Clădiri montane existente</w:t>
        </w:r>
        <w:r>
          <w:tab/>
        </w:r>
        <w:r>
          <w:fldChar w:fldCharType="begin"/>
        </w:r>
        <w:r>
          <w:instrText xml:space="preserve"> PAGEREF _Toc27826 \h </w:instrText>
        </w:r>
        <w:r>
          <w:fldChar w:fldCharType="separate"/>
        </w:r>
        <w:r>
          <w:t>629</w:t>
        </w:r>
        <w:r>
          <w:fldChar w:fldCharType="end"/>
        </w:r>
      </w:hyperlink>
    </w:p>
    <w:p w14:paraId="72779C33" w14:textId="77777777" w:rsidR="001C08A5" w:rsidRDefault="00000000">
      <w:pPr>
        <w:pStyle w:val="TOC4"/>
        <w:tabs>
          <w:tab w:val="right" w:leader="dot" w:pos="9639"/>
        </w:tabs>
        <w:ind w:left="1200"/>
      </w:pPr>
      <w:hyperlink w:anchor="_Toc3893" w:history="1">
        <w:r>
          <w:rPr>
            <w:szCs w:val="24"/>
          </w:rPr>
          <w:t>Parcaje pentru autoturisme</w:t>
        </w:r>
        <w:r>
          <w:tab/>
        </w:r>
        <w:r>
          <w:fldChar w:fldCharType="begin"/>
        </w:r>
        <w:r>
          <w:instrText xml:space="preserve"> PAGEREF _Toc3893 \h </w:instrText>
        </w:r>
        <w:r>
          <w:fldChar w:fldCharType="separate"/>
        </w:r>
        <w:r>
          <w:t>630</w:t>
        </w:r>
        <w:r>
          <w:fldChar w:fldCharType="end"/>
        </w:r>
      </w:hyperlink>
    </w:p>
    <w:p w14:paraId="71B0585F" w14:textId="77777777" w:rsidR="001C08A5" w:rsidRDefault="00000000">
      <w:pPr>
        <w:pStyle w:val="TOC3"/>
        <w:tabs>
          <w:tab w:val="right" w:leader="dot" w:pos="9639"/>
        </w:tabs>
        <w:ind w:left="800"/>
      </w:pPr>
      <w:hyperlink w:anchor="_Toc7811" w:history="1">
        <w:r>
          <w:rPr>
            <w:i/>
            <w:iCs/>
          </w:rPr>
          <w:t>CAPITOLUL 4</w:t>
        </w:r>
        <w:r>
          <w:tab/>
        </w:r>
        <w:r>
          <w:fldChar w:fldCharType="begin"/>
        </w:r>
        <w:r>
          <w:instrText xml:space="preserve"> PAGEREF _Toc7811 \h </w:instrText>
        </w:r>
        <w:r>
          <w:fldChar w:fldCharType="separate"/>
        </w:r>
        <w:r>
          <w:t>631</w:t>
        </w:r>
        <w:r>
          <w:fldChar w:fldCharType="end"/>
        </w:r>
      </w:hyperlink>
    </w:p>
    <w:p w14:paraId="153B1A7E" w14:textId="77777777" w:rsidR="001C08A5" w:rsidRDefault="00000000">
      <w:pPr>
        <w:pStyle w:val="TOC3"/>
        <w:tabs>
          <w:tab w:val="right" w:leader="dot" w:pos="9639"/>
        </w:tabs>
        <w:ind w:left="800"/>
      </w:pPr>
      <w:hyperlink w:anchor="_Toc16963" w:history="1">
        <w:r>
          <w:rPr>
            <w:i/>
            <w:iCs/>
          </w:rPr>
          <w:t>PERFORMANȚE SPECIFICE CLĂDIRILOR CIVILE (PUBLICE) EXISTENTE</w:t>
        </w:r>
        <w:r>
          <w:tab/>
        </w:r>
        <w:r>
          <w:fldChar w:fldCharType="begin"/>
        </w:r>
        <w:r>
          <w:instrText xml:space="preserve"> PAGEREF _Toc16963 \h </w:instrText>
        </w:r>
        <w:r>
          <w:fldChar w:fldCharType="separate"/>
        </w:r>
        <w:r>
          <w:t>631</w:t>
        </w:r>
        <w:r>
          <w:fldChar w:fldCharType="end"/>
        </w:r>
      </w:hyperlink>
    </w:p>
    <w:p w14:paraId="17740F7E" w14:textId="77777777" w:rsidR="001C08A5" w:rsidRDefault="00000000">
      <w:pPr>
        <w:pStyle w:val="TOC3"/>
        <w:tabs>
          <w:tab w:val="right" w:leader="dot" w:pos="9639"/>
        </w:tabs>
        <w:ind w:left="800"/>
      </w:pPr>
      <w:hyperlink w:anchor="_Toc32635" w:history="1">
        <w:r>
          <w:rPr>
            <w:i/>
            <w:iCs/>
          </w:rPr>
          <w:t>PERFORMANȚE ALE UNOR TIPURI DE CLĂDIRI CIVILE (PUBLICE) EXISTENTE</w:t>
        </w:r>
        <w:r>
          <w:tab/>
        </w:r>
        <w:r>
          <w:fldChar w:fldCharType="begin"/>
        </w:r>
        <w:r>
          <w:instrText xml:space="preserve"> PAGEREF _Toc32635 \h </w:instrText>
        </w:r>
        <w:r>
          <w:fldChar w:fldCharType="separate"/>
        </w:r>
        <w:r>
          <w:t>631</w:t>
        </w:r>
        <w:r>
          <w:fldChar w:fldCharType="end"/>
        </w:r>
      </w:hyperlink>
    </w:p>
    <w:p w14:paraId="5A8325B2" w14:textId="77777777" w:rsidR="001C08A5" w:rsidRDefault="00000000">
      <w:pPr>
        <w:pStyle w:val="TOC3"/>
        <w:tabs>
          <w:tab w:val="right" w:leader="dot" w:pos="9639"/>
        </w:tabs>
        <w:ind w:left="800"/>
      </w:pPr>
      <w:hyperlink w:anchor="_Toc20534" w:history="1">
        <w:r>
          <w:rPr>
            <w:i/>
            <w:iCs/>
            <w:szCs w:val="24"/>
          </w:rPr>
          <w:t>A.10. 4.1. PERFORMANȚE ALE UNOR TIPURI DE CLĂDIRI CIVILE (PUBLICE) EXISTENTE</w:t>
        </w:r>
        <w:r>
          <w:tab/>
        </w:r>
        <w:r>
          <w:fldChar w:fldCharType="begin"/>
        </w:r>
        <w:r>
          <w:instrText xml:space="preserve"> PAGEREF _Toc20534 \h </w:instrText>
        </w:r>
        <w:r>
          <w:fldChar w:fldCharType="separate"/>
        </w:r>
        <w:r>
          <w:t>631</w:t>
        </w:r>
        <w:r>
          <w:fldChar w:fldCharType="end"/>
        </w:r>
      </w:hyperlink>
    </w:p>
    <w:p w14:paraId="7449FE18" w14:textId="77777777" w:rsidR="001C08A5" w:rsidRDefault="00000000">
      <w:pPr>
        <w:pStyle w:val="TOC4"/>
        <w:tabs>
          <w:tab w:val="right" w:leader="dot" w:pos="9639"/>
        </w:tabs>
        <w:ind w:left="1200"/>
      </w:pPr>
      <w:hyperlink w:anchor="_Toc27918" w:history="1">
        <w:r>
          <w:rPr>
            <w:szCs w:val="24"/>
          </w:rPr>
          <w:t>Clădiri existente înalte și foarte înalte</w:t>
        </w:r>
        <w:r>
          <w:tab/>
        </w:r>
        <w:r>
          <w:fldChar w:fldCharType="begin"/>
        </w:r>
        <w:r>
          <w:instrText xml:space="preserve"> PAGEREF _Toc27918 \h </w:instrText>
        </w:r>
        <w:r>
          <w:fldChar w:fldCharType="separate"/>
        </w:r>
        <w:r>
          <w:t>631</w:t>
        </w:r>
        <w:r>
          <w:fldChar w:fldCharType="end"/>
        </w:r>
      </w:hyperlink>
    </w:p>
    <w:p w14:paraId="55A5D627" w14:textId="77777777" w:rsidR="001C08A5" w:rsidRDefault="00000000">
      <w:pPr>
        <w:pStyle w:val="TOC4"/>
        <w:tabs>
          <w:tab w:val="right" w:leader="dot" w:pos="9639"/>
        </w:tabs>
        <w:ind w:left="1200"/>
      </w:pPr>
      <w:hyperlink w:anchor="_Toc9643" w:history="1">
        <w:r>
          <w:rPr>
            <w:szCs w:val="24"/>
          </w:rPr>
          <w:t>Clădiri existente cu săli aglomerate</w:t>
        </w:r>
        <w:r>
          <w:tab/>
        </w:r>
        <w:r>
          <w:fldChar w:fldCharType="begin"/>
        </w:r>
        <w:r>
          <w:instrText xml:space="preserve"> PAGEREF _Toc9643 \h </w:instrText>
        </w:r>
        <w:r>
          <w:fldChar w:fldCharType="separate"/>
        </w:r>
        <w:r>
          <w:t>635</w:t>
        </w:r>
        <w:r>
          <w:fldChar w:fldCharType="end"/>
        </w:r>
      </w:hyperlink>
    </w:p>
    <w:p w14:paraId="561584B0" w14:textId="77777777" w:rsidR="001C08A5" w:rsidRDefault="00000000">
      <w:pPr>
        <w:pStyle w:val="TOC4"/>
        <w:tabs>
          <w:tab w:val="right" w:leader="dot" w:pos="9639"/>
        </w:tabs>
        <w:ind w:left="1200"/>
      </w:pPr>
      <w:hyperlink w:anchor="_Toc7449" w:history="1">
        <w:r>
          <w:rPr>
            <w:szCs w:val="24"/>
          </w:rPr>
          <w:t>Clădiri existente subterane</w:t>
        </w:r>
        <w:r>
          <w:tab/>
        </w:r>
        <w:r>
          <w:fldChar w:fldCharType="begin"/>
        </w:r>
        <w:r>
          <w:instrText xml:space="preserve"> PAGEREF _Toc7449 \h </w:instrText>
        </w:r>
        <w:r>
          <w:fldChar w:fldCharType="separate"/>
        </w:r>
        <w:r>
          <w:t>642</w:t>
        </w:r>
        <w:r>
          <w:fldChar w:fldCharType="end"/>
        </w:r>
      </w:hyperlink>
    </w:p>
    <w:p w14:paraId="12902AB5" w14:textId="77777777" w:rsidR="001C08A5" w:rsidRDefault="00000000">
      <w:pPr>
        <w:pStyle w:val="TOC2"/>
        <w:tabs>
          <w:tab w:val="right" w:leader="dot" w:pos="9639"/>
        </w:tabs>
        <w:ind w:left="400"/>
      </w:pPr>
      <w:hyperlink w:anchor="_Toc32046" w:history="1">
        <w:r>
          <w:t>SECŢIUNEA III</w:t>
        </w:r>
        <w:r>
          <w:tab/>
        </w:r>
        <w:r>
          <w:fldChar w:fldCharType="begin"/>
        </w:r>
        <w:r>
          <w:instrText xml:space="preserve"> PAGEREF _Toc32046 \h </w:instrText>
        </w:r>
        <w:r>
          <w:fldChar w:fldCharType="separate"/>
        </w:r>
        <w:r>
          <w:t>644</w:t>
        </w:r>
        <w:r>
          <w:fldChar w:fldCharType="end"/>
        </w:r>
      </w:hyperlink>
    </w:p>
    <w:p w14:paraId="3FC32244" w14:textId="77777777" w:rsidR="001C08A5" w:rsidRDefault="00000000">
      <w:pPr>
        <w:pStyle w:val="TOC2"/>
        <w:tabs>
          <w:tab w:val="right" w:leader="dot" w:pos="9639"/>
        </w:tabs>
        <w:ind w:left="400"/>
      </w:pPr>
      <w:hyperlink w:anchor="_Toc4759" w:history="1">
        <w:r>
          <w:t>CONSTRUCȚII DE PRODUCȚIE ȘI/SAU DEPOZITARE</w:t>
        </w:r>
        <w:r>
          <w:tab/>
        </w:r>
        <w:r>
          <w:fldChar w:fldCharType="begin"/>
        </w:r>
        <w:r>
          <w:instrText xml:space="preserve"> PAGEREF _Toc4759 \h </w:instrText>
        </w:r>
        <w:r>
          <w:fldChar w:fldCharType="separate"/>
        </w:r>
        <w:r>
          <w:t>644</w:t>
        </w:r>
        <w:r>
          <w:fldChar w:fldCharType="end"/>
        </w:r>
      </w:hyperlink>
    </w:p>
    <w:p w14:paraId="3C06739A" w14:textId="77777777" w:rsidR="001C08A5" w:rsidRDefault="00000000">
      <w:pPr>
        <w:pStyle w:val="TOC3"/>
        <w:tabs>
          <w:tab w:val="right" w:leader="dot" w:pos="9639"/>
        </w:tabs>
        <w:ind w:left="800"/>
      </w:pPr>
      <w:hyperlink w:anchor="_Toc11038" w:history="1">
        <w:r>
          <w:rPr>
            <w:i/>
            <w:iCs/>
          </w:rPr>
          <w:t>CAPITOLUL 5</w:t>
        </w:r>
        <w:r>
          <w:tab/>
        </w:r>
        <w:r>
          <w:fldChar w:fldCharType="begin"/>
        </w:r>
        <w:r>
          <w:instrText xml:space="preserve"> PAGEREF _Toc11038 \h </w:instrText>
        </w:r>
        <w:r>
          <w:fldChar w:fldCharType="separate"/>
        </w:r>
        <w:r>
          <w:t>644</w:t>
        </w:r>
        <w:r>
          <w:fldChar w:fldCharType="end"/>
        </w:r>
      </w:hyperlink>
    </w:p>
    <w:p w14:paraId="5E8DC02C" w14:textId="77777777" w:rsidR="001C08A5" w:rsidRDefault="00000000">
      <w:pPr>
        <w:pStyle w:val="TOC3"/>
        <w:tabs>
          <w:tab w:val="right" w:leader="dot" w:pos="9639"/>
        </w:tabs>
        <w:ind w:left="800"/>
      </w:pPr>
      <w:hyperlink w:anchor="_Toc17851" w:history="1">
        <w:r>
          <w:rPr>
            <w:i/>
            <w:iCs/>
          </w:rPr>
          <w:t>PERFORMANȚE COMUNE CONSTRUCȚIILOR DE PRODUCȚIE ȘI/SAU DEPOZITARE</w:t>
        </w:r>
        <w:r>
          <w:tab/>
        </w:r>
        <w:r>
          <w:fldChar w:fldCharType="begin"/>
        </w:r>
        <w:r>
          <w:instrText xml:space="preserve"> PAGEREF _Toc17851 \h </w:instrText>
        </w:r>
        <w:r>
          <w:fldChar w:fldCharType="separate"/>
        </w:r>
        <w:r>
          <w:t>644</w:t>
        </w:r>
        <w:r>
          <w:fldChar w:fldCharType="end"/>
        </w:r>
      </w:hyperlink>
    </w:p>
    <w:p w14:paraId="7F124108" w14:textId="77777777" w:rsidR="001C08A5" w:rsidRDefault="00000000">
      <w:pPr>
        <w:pStyle w:val="TOC3"/>
        <w:tabs>
          <w:tab w:val="right" w:leader="dot" w:pos="9639"/>
        </w:tabs>
        <w:ind w:left="800"/>
      </w:pPr>
      <w:hyperlink w:anchor="_Toc13307" w:history="1">
        <w:r>
          <w:rPr>
            <w:i/>
            <w:iCs/>
            <w:szCs w:val="24"/>
          </w:rPr>
          <w:t>A.10. 5.1. RISC DE INCENDIU (CATEGORII DE PERICOL DE INCENDIU) ȘI NIVEL DE STABILITATE LA INCENDIU</w:t>
        </w:r>
        <w:r>
          <w:tab/>
        </w:r>
        <w:r>
          <w:fldChar w:fldCharType="begin"/>
        </w:r>
        <w:r>
          <w:instrText xml:space="preserve"> PAGEREF _Toc13307 \h </w:instrText>
        </w:r>
        <w:r>
          <w:fldChar w:fldCharType="separate"/>
        </w:r>
        <w:r>
          <w:t>644</w:t>
        </w:r>
        <w:r>
          <w:fldChar w:fldCharType="end"/>
        </w:r>
      </w:hyperlink>
    </w:p>
    <w:p w14:paraId="7A55C311" w14:textId="77777777" w:rsidR="001C08A5" w:rsidRDefault="00000000">
      <w:pPr>
        <w:pStyle w:val="TOC4"/>
        <w:tabs>
          <w:tab w:val="right" w:leader="dot" w:pos="9639"/>
        </w:tabs>
        <w:ind w:left="1200"/>
      </w:pPr>
      <w:hyperlink w:anchor="_Toc17712" w:history="1">
        <w:r>
          <w:rPr>
            <w:szCs w:val="24"/>
          </w:rPr>
          <w:t>Categorii de pericol de incendiu</w:t>
        </w:r>
        <w:r>
          <w:tab/>
        </w:r>
        <w:r>
          <w:fldChar w:fldCharType="begin"/>
        </w:r>
        <w:r>
          <w:instrText xml:space="preserve"> PAGEREF _Toc17712 \h </w:instrText>
        </w:r>
        <w:r>
          <w:fldChar w:fldCharType="separate"/>
        </w:r>
        <w:r>
          <w:t>644</w:t>
        </w:r>
        <w:r>
          <w:fldChar w:fldCharType="end"/>
        </w:r>
      </w:hyperlink>
    </w:p>
    <w:p w14:paraId="47296A6C" w14:textId="77777777" w:rsidR="001C08A5" w:rsidRDefault="00000000">
      <w:pPr>
        <w:pStyle w:val="TOC4"/>
        <w:tabs>
          <w:tab w:val="right" w:leader="dot" w:pos="9639"/>
        </w:tabs>
        <w:ind w:left="1200"/>
      </w:pPr>
      <w:hyperlink w:anchor="_Toc8547" w:history="1">
        <w:r>
          <w:rPr>
            <w:szCs w:val="24"/>
          </w:rPr>
          <w:t>Nivel de stabilitate la incendiu</w:t>
        </w:r>
        <w:r>
          <w:tab/>
        </w:r>
        <w:r>
          <w:fldChar w:fldCharType="begin"/>
        </w:r>
        <w:r>
          <w:instrText xml:space="preserve"> PAGEREF _Toc8547 \h </w:instrText>
        </w:r>
        <w:r>
          <w:fldChar w:fldCharType="separate"/>
        </w:r>
        <w:r>
          <w:t>644</w:t>
        </w:r>
        <w:r>
          <w:fldChar w:fldCharType="end"/>
        </w:r>
      </w:hyperlink>
    </w:p>
    <w:p w14:paraId="1AE485D5" w14:textId="77777777" w:rsidR="001C08A5" w:rsidRDefault="00000000">
      <w:pPr>
        <w:pStyle w:val="TOC3"/>
        <w:tabs>
          <w:tab w:val="right" w:leader="dot" w:pos="9639"/>
        </w:tabs>
        <w:ind w:left="800"/>
      </w:pPr>
      <w:hyperlink w:anchor="_Toc20558" w:history="1">
        <w:r>
          <w:rPr>
            <w:i/>
            <w:iCs/>
            <w:szCs w:val="24"/>
          </w:rPr>
          <w:t>A.10. 5.2. AMPLASAREA ȘI CONFORMAREA LA FOC</w:t>
        </w:r>
        <w:r>
          <w:tab/>
        </w:r>
        <w:r>
          <w:fldChar w:fldCharType="begin"/>
        </w:r>
        <w:r>
          <w:instrText xml:space="preserve"> PAGEREF _Toc20558 \h </w:instrText>
        </w:r>
        <w:r>
          <w:fldChar w:fldCharType="separate"/>
        </w:r>
        <w:r>
          <w:t>645</w:t>
        </w:r>
        <w:r>
          <w:fldChar w:fldCharType="end"/>
        </w:r>
      </w:hyperlink>
    </w:p>
    <w:p w14:paraId="4BEEF2A0" w14:textId="77777777" w:rsidR="001C08A5" w:rsidRDefault="00000000">
      <w:pPr>
        <w:pStyle w:val="TOC4"/>
        <w:tabs>
          <w:tab w:val="right" w:leader="dot" w:pos="9639"/>
        </w:tabs>
        <w:ind w:left="1200"/>
      </w:pPr>
      <w:hyperlink w:anchor="_Toc141" w:history="1">
        <w:r>
          <w:rPr>
            <w:szCs w:val="24"/>
          </w:rPr>
          <w:t>Amplasare</w:t>
        </w:r>
        <w:r>
          <w:tab/>
        </w:r>
        <w:r>
          <w:fldChar w:fldCharType="begin"/>
        </w:r>
        <w:r>
          <w:instrText xml:space="preserve"> PAGEREF _Toc141 \h </w:instrText>
        </w:r>
        <w:r>
          <w:fldChar w:fldCharType="separate"/>
        </w:r>
        <w:r>
          <w:t>645</w:t>
        </w:r>
        <w:r>
          <w:fldChar w:fldCharType="end"/>
        </w:r>
      </w:hyperlink>
    </w:p>
    <w:p w14:paraId="28DED172" w14:textId="77777777" w:rsidR="001C08A5" w:rsidRDefault="00000000">
      <w:pPr>
        <w:pStyle w:val="TOC4"/>
        <w:tabs>
          <w:tab w:val="right" w:leader="dot" w:pos="9639"/>
        </w:tabs>
        <w:ind w:left="1200"/>
      </w:pPr>
      <w:hyperlink w:anchor="_Toc7048" w:history="1">
        <w:r>
          <w:rPr>
            <w:szCs w:val="24"/>
          </w:rPr>
          <w:t>Conformare la foc</w:t>
        </w:r>
        <w:r>
          <w:tab/>
        </w:r>
        <w:r>
          <w:fldChar w:fldCharType="begin"/>
        </w:r>
        <w:r>
          <w:instrText xml:space="preserve"> PAGEREF _Toc7048 \h </w:instrText>
        </w:r>
        <w:r>
          <w:fldChar w:fldCharType="separate"/>
        </w:r>
        <w:r>
          <w:t>645</w:t>
        </w:r>
        <w:r>
          <w:fldChar w:fldCharType="end"/>
        </w:r>
      </w:hyperlink>
    </w:p>
    <w:p w14:paraId="0715DCC8" w14:textId="77777777" w:rsidR="001C08A5" w:rsidRDefault="00000000">
      <w:pPr>
        <w:pStyle w:val="TOC3"/>
        <w:tabs>
          <w:tab w:val="right" w:leader="dot" w:pos="9639"/>
        </w:tabs>
        <w:ind w:left="800"/>
      </w:pPr>
      <w:hyperlink w:anchor="_Toc10081" w:history="1">
        <w:r>
          <w:rPr>
            <w:i/>
            <w:iCs/>
            <w:szCs w:val="24"/>
          </w:rPr>
          <w:t>A.10. 5.3. ALCĂTUIRI CONSTRUCTIVE</w:t>
        </w:r>
        <w:r>
          <w:tab/>
        </w:r>
        <w:r>
          <w:fldChar w:fldCharType="begin"/>
        </w:r>
        <w:r>
          <w:instrText xml:space="preserve"> PAGEREF _Toc10081 \h </w:instrText>
        </w:r>
        <w:r>
          <w:fldChar w:fldCharType="separate"/>
        </w:r>
        <w:r>
          <w:t>646</w:t>
        </w:r>
        <w:r>
          <w:fldChar w:fldCharType="end"/>
        </w:r>
      </w:hyperlink>
    </w:p>
    <w:p w14:paraId="6CC39A61" w14:textId="77777777" w:rsidR="001C08A5" w:rsidRDefault="00000000">
      <w:pPr>
        <w:pStyle w:val="TOC3"/>
        <w:tabs>
          <w:tab w:val="right" w:leader="dot" w:pos="9639"/>
        </w:tabs>
        <w:ind w:left="800"/>
      </w:pPr>
      <w:hyperlink w:anchor="_Toc19219" w:history="1">
        <w:r>
          <w:rPr>
            <w:i/>
            <w:iCs/>
            <w:szCs w:val="24"/>
          </w:rPr>
          <w:t>A.10. 5.4. LIMITAREA PROPAGĂRII FOCULUI ȘI A FUMULUI</w:t>
        </w:r>
        <w:r>
          <w:tab/>
        </w:r>
        <w:r>
          <w:fldChar w:fldCharType="begin"/>
        </w:r>
        <w:r>
          <w:instrText xml:space="preserve"> PAGEREF _Toc19219 \h </w:instrText>
        </w:r>
        <w:r>
          <w:fldChar w:fldCharType="separate"/>
        </w:r>
        <w:r>
          <w:t>647</w:t>
        </w:r>
        <w:r>
          <w:fldChar w:fldCharType="end"/>
        </w:r>
      </w:hyperlink>
    </w:p>
    <w:p w14:paraId="27065E25" w14:textId="77777777" w:rsidR="001C08A5" w:rsidRDefault="00000000">
      <w:pPr>
        <w:pStyle w:val="TOC3"/>
        <w:tabs>
          <w:tab w:val="right" w:leader="dot" w:pos="9639"/>
        </w:tabs>
        <w:ind w:left="800"/>
      </w:pPr>
      <w:hyperlink w:anchor="_Toc10514" w:history="1">
        <w:r>
          <w:rPr>
            <w:i/>
            <w:iCs/>
            <w:szCs w:val="24"/>
          </w:rPr>
          <w:t>A.10. 5.5. EVACUARE FUM (DESFUMARE)</w:t>
        </w:r>
        <w:r>
          <w:tab/>
        </w:r>
        <w:r>
          <w:fldChar w:fldCharType="begin"/>
        </w:r>
        <w:r>
          <w:instrText xml:space="preserve"> PAGEREF _Toc10514 \h </w:instrText>
        </w:r>
        <w:r>
          <w:fldChar w:fldCharType="separate"/>
        </w:r>
        <w:r>
          <w:t>648</w:t>
        </w:r>
        <w:r>
          <w:fldChar w:fldCharType="end"/>
        </w:r>
      </w:hyperlink>
    </w:p>
    <w:p w14:paraId="3A56824A" w14:textId="77777777" w:rsidR="001C08A5" w:rsidRDefault="00000000">
      <w:pPr>
        <w:pStyle w:val="TOC3"/>
        <w:tabs>
          <w:tab w:val="right" w:leader="dot" w:pos="9639"/>
        </w:tabs>
        <w:ind w:left="800"/>
      </w:pPr>
      <w:hyperlink w:anchor="_Toc17015" w:history="1">
        <w:r>
          <w:rPr>
            <w:i/>
            <w:iCs/>
            <w:szCs w:val="24"/>
          </w:rPr>
          <w:t>A.10. 5.6. CĂI DE EVACUARE ÎN CAZ DE INCENDIU</w:t>
        </w:r>
        <w:r>
          <w:tab/>
        </w:r>
        <w:r>
          <w:fldChar w:fldCharType="begin"/>
        </w:r>
        <w:r>
          <w:instrText xml:space="preserve"> PAGEREF _Toc17015 \h </w:instrText>
        </w:r>
        <w:r>
          <w:fldChar w:fldCharType="separate"/>
        </w:r>
        <w:r>
          <w:t>649</w:t>
        </w:r>
        <w:r>
          <w:fldChar w:fldCharType="end"/>
        </w:r>
      </w:hyperlink>
    </w:p>
    <w:p w14:paraId="23D12A59" w14:textId="77777777" w:rsidR="001C08A5" w:rsidRDefault="00000000">
      <w:pPr>
        <w:pStyle w:val="TOC3"/>
        <w:tabs>
          <w:tab w:val="right" w:leader="dot" w:pos="9639"/>
        </w:tabs>
        <w:ind w:left="800"/>
      </w:pPr>
      <w:hyperlink w:anchor="_Toc7860" w:history="1">
        <w:r>
          <w:rPr>
            <w:i/>
            <w:iCs/>
            <w:szCs w:val="24"/>
          </w:rPr>
          <w:t>A.10. 5.7. INSTALAȚII DE SEMNALIZARE ȘI STINGERE A INCENDIILOR</w:t>
        </w:r>
        <w:r>
          <w:tab/>
        </w:r>
        <w:r>
          <w:fldChar w:fldCharType="begin"/>
        </w:r>
        <w:r>
          <w:instrText xml:space="preserve"> PAGEREF _Toc7860 \h </w:instrText>
        </w:r>
        <w:r>
          <w:fldChar w:fldCharType="separate"/>
        </w:r>
        <w:r>
          <w:t>652</w:t>
        </w:r>
        <w:r>
          <w:fldChar w:fldCharType="end"/>
        </w:r>
      </w:hyperlink>
    </w:p>
    <w:p w14:paraId="2A526D87" w14:textId="77777777" w:rsidR="001C08A5" w:rsidRDefault="00000000">
      <w:pPr>
        <w:pStyle w:val="TOC3"/>
        <w:tabs>
          <w:tab w:val="right" w:leader="dot" w:pos="9639"/>
        </w:tabs>
        <w:ind w:left="800"/>
      </w:pPr>
      <w:hyperlink w:anchor="_Toc26228" w:history="1">
        <w:r>
          <w:rPr>
            <w:i/>
            <w:iCs/>
            <w:szCs w:val="24"/>
          </w:rPr>
          <w:t>A.10. 5.8. INSTALAȚII UTILITARE AFERENTE CONSTRUCȚIILOR EXISTENTE</w:t>
        </w:r>
        <w:r>
          <w:tab/>
        </w:r>
        <w:r>
          <w:fldChar w:fldCharType="begin"/>
        </w:r>
        <w:r>
          <w:instrText xml:space="preserve"> PAGEREF _Toc26228 \h </w:instrText>
        </w:r>
        <w:r>
          <w:fldChar w:fldCharType="separate"/>
        </w:r>
        <w:r>
          <w:t>652</w:t>
        </w:r>
        <w:r>
          <w:fldChar w:fldCharType="end"/>
        </w:r>
      </w:hyperlink>
    </w:p>
    <w:p w14:paraId="37409BAD" w14:textId="77777777" w:rsidR="001C08A5" w:rsidRDefault="00000000">
      <w:pPr>
        <w:pStyle w:val="TOC3"/>
        <w:tabs>
          <w:tab w:val="right" w:leader="dot" w:pos="9639"/>
        </w:tabs>
        <w:ind w:left="800"/>
      </w:pPr>
      <w:hyperlink w:anchor="_Toc26185" w:history="1">
        <w:r>
          <w:rPr>
            <w:i/>
            <w:iCs/>
            <w:szCs w:val="24"/>
          </w:rPr>
          <w:t>A.10. 5.9. CĂI DE ACCES, INTERVENȚIE ȘI SALVARE</w:t>
        </w:r>
        <w:r>
          <w:tab/>
        </w:r>
        <w:r>
          <w:fldChar w:fldCharType="begin"/>
        </w:r>
        <w:r>
          <w:instrText xml:space="preserve"> PAGEREF _Toc26185 \h </w:instrText>
        </w:r>
        <w:r>
          <w:fldChar w:fldCharType="separate"/>
        </w:r>
        <w:r>
          <w:t>652</w:t>
        </w:r>
        <w:r>
          <w:fldChar w:fldCharType="end"/>
        </w:r>
      </w:hyperlink>
    </w:p>
    <w:p w14:paraId="44A10833" w14:textId="77777777" w:rsidR="001C08A5" w:rsidRDefault="00000000">
      <w:pPr>
        <w:pStyle w:val="TOC3"/>
        <w:tabs>
          <w:tab w:val="right" w:leader="dot" w:pos="9639"/>
        </w:tabs>
        <w:ind w:left="800"/>
      </w:pPr>
      <w:hyperlink w:anchor="_Toc14318" w:history="1">
        <w:r>
          <w:rPr>
            <w:i/>
            <w:iCs/>
            <w:szCs w:val="24"/>
          </w:rPr>
          <w:t>A.10. 5.10. DOTAREA CU MIJLOACE TEHNICE DE STINGERE A INCENDIILOR Și SERVICIUL DE POMPIERI</w:t>
        </w:r>
        <w:r>
          <w:tab/>
        </w:r>
        <w:r>
          <w:fldChar w:fldCharType="begin"/>
        </w:r>
        <w:r>
          <w:instrText xml:space="preserve"> PAGEREF _Toc14318 \h </w:instrText>
        </w:r>
        <w:r>
          <w:fldChar w:fldCharType="separate"/>
        </w:r>
        <w:r>
          <w:t>653</w:t>
        </w:r>
        <w:r>
          <w:fldChar w:fldCharType="end"/>
        </w:r>
      </w:hyperlink>
    </w:p>
    <w:p w14:paraId="70C469E3" w14:textId="77777777" w:rsidR="001C08A5" w:rsidRDefault="00000000">
      <w:pPr>
        <w:pStyle w:val="TOC3"/>
        <w:tabs>
          <w:tab w:val="right" w:leader="dot" w:pos="9639"/>
        </w:tabs>
        <w:ind w:left="800"/>
      </w:pPr>
      <w:hyperlink w:anchor="_Toc8672" w:history="1">
        <w:r>
          <w:rPr>
            <w:i/>
            <w:iCs/>
          </w:rPr>
          <w:t>CAPITOLUL 6</w:t>
        </w:r>
        <w:r>
          <w:tab/>
        </w:r>
        <w:r>
          <w:fldChar w:fldCharType="begin"/>
        </w:r>
        <w:r>
          <w:instrText xml:space="preserve"> PAGEREF _Toc8672 \h </w:instrText>
        </w:r>
        <w:r>
          <w:fldChar w:fldCharType="separate"/>
        </w:r>
        <w:r>
          <w:t>654</w:t>
        </w:r>
        <w:r>
          <w:fldChar w:fldCharType="end"/>
        </w:r>
      </w:hyperlink>
    </w:p>
    <w:p w14:paraId="3A1F0FBE" w14:textId="77777777" w:rsidR="001C08A5" w:rsidRDefault="00000000">
      <w:pPr>
        <w:pStyle w:val="TOC3"/>
        <w:tabs>
          <w:tab w:val="right" w:leader="dot" w:pos="9639"/>
        </w:tabs>
        <w:ind w:left="800"/>
      </w:pPr>
      <w:hyperlink w:anchor="_Toc16874" w:history="1">
        <w:r>
          <w:rPr>
            <w:i/>
            <w:iCs/>
          </w:rPr>
          <w:t>PERFORMANȚE SPECIFICE CONSTRUCȚIILOR DE PRODUCȚIE ȘI/SAU DEPOZITARE</w:t>
        </w:r>
        <w:r>
          <w:tab/>
        </w:r>
        <w:r>
          <w:fldChar w:fldCharType="begin"/>
        </w:r>
        <w:r>
          <w:instrText xml:space="preserve"> PAGEREF _Toc16874 \h </w:instrText>
        </w:r>
        <w:r>
          <w:fldChar w:fldCharType="separate"/>
        </w:r>
        <w:r>
          <w:t>654</w:t>
        </w:r>
        <w:r>
          <w:fldChar w:fldCharType="end"/>
        </w:r>
      </w:hyperlink>
    </w:p>
    <w:p w14:paraId="54ABC39D" w14:textId="77777777" w:rsidR="001C08A5" w:rsidRDefault="00000000">
      <w:pPr>
        <w:pStyle w:val="TOC3"/>
        <w:tabs>
          <w:tab w:val="right" w:leader="dot" w:pos="9639"/>
        </w:tabs>
        <w:ind w:left="800"/>
      </w:pPr>
      <w:hyperlink w:anchor="_Toc16293" w:history="1">
        <w:r>
          <w:rPr>
            <w:i/>
            <w:iCs/>
            <w:szCs w:val="24"/>
          </w:rPr>
          <w:t>A.10. 6.1. PERFORMANȚE ALE TIPURILOR DE CONSTRUCȚII DE PRODUCȚIE ȘI/SAU DEPOZITARE</w:t>
        </w:r>
        <w:r>
          <w:tab/>
        </w:r>
        <w:r>
          <w:fldChar w:fldCharType="begin"/>
        </w:r>
        <w:r>
          <w:instrText xml:space="preserve"> PAGEREF _Toc16293 \h </w:instrText>
        </w:r>
        <w:r>
          <w:fldChar w:fldCharType="separate"/>
        </w:r>
        <w:r>
          <w:t>654</w:t>
        </w:r>
        <w:r>
          <w:fldChar w:fldCharType="end"/>
        </w:r>
      </w:hyperlink>
    </w:p>
    <w:p w14:paraId="5C7C44D6" w14:textId="77777777" w:rsidR="001C08A5" w:rsidRDefault="00000000">
      <w:pPr>
        <w:pStyle w:val="TOC4"/>
        <w:tabs>
          <w:tab w:val="right" w:leader="dot" w:pos="9639"/>
        </w:tabs>
        <w:ind w:left="1200"/>
      </w:pPr>
      <w:hyperlink w:anchor="_Toc13071" w:history="1">
        <w:r>
          <w:rPr>
            <w:szCs w:val="24"/>
          </w:rPr>
          <w:t>Construcții existente de tip obișnuit</w:t>
        </w:r>
        <w:r>
          <w:tab/>
        </w:r>
        <w:r>
          <w:fldChar w:fldCharType="begin"/>
        </w:r>
        <w:r>
          <w:instrText xml:space="preserve"> PAGEREF _Toc13071 \h </w:instrText>
        </w:r>
        <w:r>
          <w:fldChar w:fldCharType="separate"/>
        </w:r>
        <w:r>
          <w:t>654</w:t>
        </w:r>
        <w:r>
          <w:fldChar w:fldCharType="end"/>
        </w:r>
      </w:hyperlink>
    </w:p>
    <w:p w14:paraId="2669A7AD" w14:textId="77777777" w:rsidR="001C08A5" w:rsidRDefault="00000000">
      <w:pPr>
        <w:pStyle w:val="TOC4"/>
        <w:tabs>
          <w:tab w:val="right" w:leader="dot" w:pos="9639"/>
        </w:tabs>
        <w:ind w:left="1200"/>
      </w:pPr>
      <w:hyperlink w:anchor="_Toc28846" w:history="1">
        <w:r>
          <w:rPr>
            <w:szCs w:val="24"/>
          </w:rPr>
          <w:t>Construcții existente monobloc</w:t>
        </w:r>
        <w:r>
          <w:tab/>
        </w:r>
        <w:r>
          <w:fldChar w:fldCharType="begin"/>
        </w:r>
        <w:r>
          <w:instrText xml:space="preserve"> PAGEREF _Toc28846 \h </w:instrText>
        </w:r>
        <w:r>
          <w:fldChar w:fldCharType="separate"/>
        </w:r>
        <w:r>
          <w:t>655</w:t>
        </w:r>
        <w:r>
          <w:fldChar w:fldCharType="end"/>
        </w:r>
      </w:hyperlink>
    </w:p>
    <w:p w14:paraId="3E525AD5" w14:textId="77777777" w:rsidR="001C08A5" w:rsidRDefault="00000000">
      <w:pPr>
        <w:pStyle w:val="TOC4"/>
        <w:tabs>
          <w:tab w:val="right" w:leader="dot" w:pos="9639"/>
        </w:tabs>
        <w:ind w:left="1200"/>
      </w:pPr>
      <w:hyperlink w:anchor="_Toc20699" w:history="1">
        <w:r>
          <w:rPr>
            <w:szCs w:val="24"/>
          </w:rPr>
          <w:t>Construcții existente blindate</w:t>
        </w:r>
        <w:r>
          <w:tab/>
        </w:r>
        <w:r>
          <w:fldChar w:fldCharType="begin"/>
        </w:r>
        <w:r>
          <w:instrText xml:space="preserve"> PAGEREF _Toc20699 \h </w:instrText>
        </w:r>
        <w:r>
          <w:fldChar w:fldCharType="separate"/>
        </w:r>
        <w:r>
          <w:t>656</w:t>
        </w:r>
        <w:r>
          <w:fldChar w:fldCharType="end"/>
        </w:r>
      </w:hyperlink>
    </w:p>
    <w:p w14:paraId="7873860D" w14:textId="77777777" w:rsidR="001C08A5" w:rsidRDefault="00000000">
      <w:pPr>
        <w:pStyle w:val="TOC3"/>
        <w:tabs>
          <w:tab w:val="right" w:leader="dot" w:pos="9639"/>
        </w:tabs>
        <w:ind w:left="800"/>
      </w:pPr>
      <w:hyperlink w:anchor="_Toc31433" w:history="1">
        <w:r>
          <w:rPr>
            <w:i/>
            <w:iCs/>
            <w:szCs w:val="24"/>
          </w:rPr>
          <w:t>A.10. 6.2. PERFORMANȚE ALE CONSTRUCȚIILOR EXISTENTE DE DEPOZITARE</w:t>
        </w:r>
        <w:r>
          <w:tab/>
        </w:r>
        <w:r>
          <w:fldChar w:fldCharType="begin"/>
        </w:r>
        <w:r>
          <w:instrText xml:space="preserve"> PAGEREF _Toc31433 \h </w:instrText>
        </w:r>
        <w:r>
          <w:fldChar w:fldCharType="separate"/>
        </w:r>
        <w:r>
          <w:t>657</w:t>
        </w:r>
        <w:r>
          <w:fldChar w:fldCharType="end"/>
        </w:r>
      </w:hyperlink>
    </w:p>
    <w:p w14:paraId="02EA976A" w14:textId="77777777" w:rsidR="001C08A5" w:rsidRDefault="00000000">
      <w:pPr>
        <w:pStyle w:val="TOC4"/>
        <w:tabs>
          <w:tab w:val="right" w:leader="dot" w:pos="9639"/>
        </w:tabs>
        <w:ind w:left="1200"/>
      </w:pPr>
      <w:hyperlink w:anchor="_Toc10739" w:history="1">
        <w:r>
          <w:rPr>
            <w:szCs w:val="24"/>
          </w:rPr>
          <w:t>Prevederi comune</w:t>
        </w:r>
        <w:r>
          <w:tab/>
        </w:r>
        <w:r>
          <w:fldChar w:fldCharType="begin"/>
        </w:r>
        <w:r>
          <w:instrText xml:space="preserve"> PAGEREF _Toc10739 \h </w:instrText>
        </w:r>
        <w:r>
          <w:fldChar w:fldCharType="separate"/>
        </w:r>
        <w:r>
          <w:t>657</w:t>
        </w:r>
        <w:r>
          <w:fldChar w:fldCharType="end"/>
        </w:r>
      </w:hyperlink>
    </w:p>
    <w:p w14:paraId="7CBF6631" w14:textId="77777777" w:rsidR="001C08A5" w:rsidRDefault="00000000">
      <w:pPr>
        <w:pStyle w:val="TOC4"/>
        <w:tabs>
          <w:tab w:val="right" w:leader="dot" w:pos="9639"/>
        </w:tabs>
        <w:ind w:left="1200"/>
      </w:pPr>
      <w:hyperlink w:anchor="_Toc1680" w:history="1">
        <w:r>
          <w:rPr>
            <w:szCs w:val="24"/>
          </w:rPr>
          <w:t>Depozite existente închise</w:t>
        </w:r>
        <w:r>
          <w:tab/>
        </w:r>
        <w:r>
          <w:fldChar w:fldCharType="begin"/>
        </w:r>
        <w:r>
          <w:instrText xml:space="preserve"> PAGEREF _Toc1680 \h </w:instrText>
        </w:r>
        <w:r>
          <w:fldChar w:fldCharType="separate"/>
        </w:r>
        <w:r>
          <w:t>663</w:t>
        </w:r>
        <w:r>
          <w:fldChar w:fldCharType="end"/>
        </w:r>
      </w:hyperlink>
    </w:p>
    <w:p w14:paraId="55C057D8" w14:textId="77777777" w:rsidR="001C08A5" w:rsidRDefault="00000000">
      <w:pPr>
        <w:pStyle w:val="TOC4"/>
        <w:tabs>
          <w:tab w:val="right" w:leader="dot" w:pos="9639"/>
        </w:tabs>
        <w:ind w:left="1200"/>
      </w:pPr>
      <w:hyperlink w:anchor="_Toc28580" w:history="1">
        <w:r>
          <w:rPr>
            <w:szCs w:val="24"/>
          </w:rPr>
          <w:t>Depozite deschise existente</w:t>
        </w:r>
        <w:r>
          <w:tab/>
        </w:r>
        <w:r>
          <w:fldChar w:fldCharType="begin"/>
        </w:r>
        <w:r>
          <w:instrText xml:space="preserve"> PAGEREF _Toc28580 \h </w:instrText>
        </w:r>
        <w:r>
          <w:fldChar w:fldCharType="separate"/>
        </w:r>
        <w:r>
          <w:t>665</w:t>
        </w:r>
        <w:r>
          <w:fldChar w:fldCharType="end"/>
        </w:r>
      </w:hyperlink>
    </w:p>
    <w:p w14:paraId="4EF6D58E" w14:textId="77777777" w:rsidR="001C08A5" w:rsidRDefault="00000000">
      <w:pPr>
        <w:pStyle w:val="TOC2"/>
        <w:tabs>
          <w:tab w:val="right" w:leader="dot" w:pos="9639"/>
        </w:tabs>
        <w:ind w:left="400"/>
      </w:pPr>
      <w:hyperlink w:anchor="_Toc22198" w:history="1">
        <w:r>
          <w:t>SECŢIUNEA IV</w:t>
        </w:r>
        <w:r>
          <w:tab/>
        </w:r>
        <w:r>
          <w:fldChar w:fldCharType="begin"/>
        </w:r>
        <w:r>
          <w:instrText xml:space="preserve"> PAGEREF _Toc22198 \h </w:instrText>
        </w:r>
        <w:r>
          <w:fldChar w:fldCharType="separate"/>
        </w:r>
        <w:r>
          <w:t>666</w:t>
        </w:r>
        <w:r>
          <w:fldChar w:fldCharType="end"/>
        </w:r>
      </w:hyperlink>
    </w:p>
    <w:p w14:paraId="6E6B8B7D" w14:textId="77777777" w:rsidR="001C08A5" w:rsidRDefault="00000000">
      <w:pPr>
        <w:pStyle w:val="TOC2"/>
        <w:tabs>
          <w:tab w:val="right" w:leader="dot" w:pos="9639"/>
        </w:tabs>
        <w:ind w:left="400"/>
      </w:pPr>
      <w:hyperlink w:anchor="_Toc2858" w:history="1">
        <w:r>
          <w:t>CONSTRUCȚII EXISTENTE CU FUNCȚIUNI MIXTE</w:t>
        </w:r>
        <w:r>
          <w:tab/>
        </w:r>
        <w:r>
          <w:fldChar w:fldCharType="begin"/>
        </w:r>
        <w:r>
          <w:instrText xml:space="preserve"> PAGEREF _Toc2858 \h </w:instrText>
        </w:r>
        <w:r>
          <w:fldChar w:fldCharType="separate"/>
        </w:r>
        <w:r>
          <w:t>666</w:t>
        </w:r>
        <w:r>
          <w:fldChar w:fldCharType="end"/>
        </w:r>
      </w:hyperlink>
    </w:p>
    <w:p w14:paraId="2ED3319F" w14:textId="77777777" w:rsidR="001C08A5" w:rsidRDefault="00000000">
      <w:pPr>
        <w:pStyle w:val="TOC3"/>
        <w:tabs>
          <w:tab w:val="right" w:leader="dot" w:pos="9639"/>
        </w:tabs>
        <w:ind w:left="800"/>
      </w:pPr>
      <w:hyperlink w:anchor="_Toc5158" w:history="1">
        <w:r>
          <w:rPr>
            <w:i/>
            <w:iCs/>
          </w:rPr>
          <w:t>CAPITOLUL 7</w:t>
        </w:r>
        <w:r>
          <w:tab/>
        </w:r>
        <w:r>
          <w:fldChar w:fldCharType="begin"/>
        </w:r>
        <w:r>
          <w:instrText xml:space="preserve"> PAGEREF _Toc5158 \h </w:instrText>
        </w:r>
        <w:r>
          <w:fldChar w:fldCharType="separate"/>
        </w:r>
        <w:r>
          <w:t>666</w:t>
        </w:r>
        <w:r>
          <w:fldChar w:fldCharType="end"/>
        </w:r>
      </w:hyperlink>
    </w:p>
    <w:p w14:paraId="77237A4C" w14:textId="77777777" w:rsidR="001C08A5" w:rsidRDefault="00000000">
      <w:pPr>
        <w:pStyle w:val="TOC3"/>
        <w:tabs>
          <w:tab w:val="right" w:leader="dot" w:pos="9639"/>
        </w:tabs>
        <w:ind w:left="800"/>
      </w:pPr>
      <w:hyperlink w:anchor="_Toc24154" w:history="1">
        <w:r>
          <w:rPr>
            <w:i/>
            <w:iCs/>
          </w:rPr>
          <w:t>PERFORMANȚE COMUNE CONSTRUCȚIILOR EXISTENTE CU FUNCȚIUNI MIXTE</w:t>
        </w:r>
        <w:r>
          <w:tab/>
        </w:r>
        <w:r>
          <w:fldChar w:fldCharType="begin"/>
        </w:r>
        <w:r>
          <w:instrText xml:space="preserve"> PAGEREF _Toc24154 \h </w:instrText>
        </w:r>
        <w:r>
          <w:fldChar w:fldCharType="separate"/>
        </w:r>
        <w:r>
          <w:t>666</w:t>
        </w:r>
        <w:r>
          <w:fldChar w:fldCharType="end"/>
        </w:r>
      </w:hyperlink>
    </w:p>
    <w:p w14:paraId="2717B823" w14:textId="77777777" w:rsidR="001C08A5" w:rsidRDefault="00000000">
      <w:pPr>
        <w:pStyle w:val="TOC3"/>
        <w:tabs>
          <w:tab w:val="right" w:leader="dot" w:pos="9639"/>
        </w:tabs>
        <w:ind w:left="800"/>
      </w:pPr>
      <w:hyperlink w:anchor="_Toc1975" w:history="1">
        <w:r>
          <w:rPr>
            <w:i/>
            <w:iCs/>
            <w:szCs w:val="24"/>
          </w:rPr>
          <w:t>A.10. 7.1. RISC ȘI CATEGORIE DE PERICOL DE INCENDIU, NIVEL DE STABILITATE LA INCENDIU</w:t>
        </w:r>
        <w:r>
          <w:tab/>
        </w:r>
        <w:r>
          <w:fldChar w:fldCharType="begin"/>
        </w:r>
        <w:r>
          <w:instrText xml:space="preserve"> PAGEREF _Toc1975 \h </w:instrText>
        </w:r>
        <w:r>
          <w:fldChar w:fldCharType="separate"/>
        </w:r>
        <w:r>
          <w:t>666</w:t>
        </w:r>
        <w:r>
          <w:fldChar w:fldCharType="end"/>
        </w:r>
      </w:hyperlink>
    </w:p>
    <w:p w14:paraId="53FFDA60" w14:textId="77777777" w:rsidR="001C08A5" w:rsidRDefault="00000000">
      <w:pPr>
        <w:pStyle w:val="TOC4"/>
        <w:tabs>
          <w:tab w:val="right" w:leader="dot" w:pos="9639"/>
        </w:tabs>
        <w:ind w:left="1200"/>
      </w:pPr>
      <w:hyperlink w:anchor="_Toc3424" w:history="1">
        <w:r>
          <w:rPr>
            <w:szCs w:val="24"/>
          </w:rPr>
          <w:t>Risc și categorie de pericol de incendiu</w:t>
        </w:r>
        <w:r>
          <w:tab/>
        </w:r>
        <w:r>
          <w:fldChar w:fldCharType="begin"/>
        </w:r>
        <w:r>
          <w:instrText xml:space="preserve"> PAGEREF _Toc3424 \h </w:instrText>
        </w:r>
        <w:r>
          <w:fldChar w:fldCharType="separate"/>
        </w:r>
        <w:r>
          <w:t>666</w:t>
        </w:r>
        <w:r>
          <w:fldChar w:fldCharType="end"/>
        </w:r>
      </w:hyperlink>
    </w:p>
    <w:p w14:paraId="19696F8A" w14:textId="77777777" w:rsidR="001C08A5" w:rsidRDefault="00000000">
      <w:pPr>
        <w:pStyle w:val="TOC4"/>
        <w:tabs>
          <w:tab w:val="right" w:leader="dot" w:pos="9639"/>
        </w:tabs>
        <w:ind w:left="1200"/>
      </w:pPr>
      <w:hyperlink w:anchor="_Toc27158" w:history="1">
        <w:r>
          <w:rPr>
            <w:szCs w:val="24"/>
          </w:rPr>
          <w:t>Nivel de stabilitate la incendiu</w:t>
        </w:r>
        <w:r>
          <w:tab/>
        </w:r>
        <w:r>
          <w:fldChar w:fldCharType="begin"/>
        </w:r>
        <w:r>
          <w:instrText xml:space="preserve"> PAGEREF _Toc27158 \h </w:instrText>
        </w:r>
        <w:r>
          <w:fldChar w:fldCharType="separate"/>
        </w:r>
        <w:r>
          <w:t>667</w:t>
        </w:r>
        <w:r>
          <w:fldChar w:fldCharType="end"/>
        </w:r>
      </w:hyperlink>
    </w:p>
    <w:p w14:paraId="7CE8D2BA" w14:textId="77777777" w:rsidR="001C08A5" w:rsidRDefault="00000000">
      <w:pPr>
        <w:pStyle w:val="TOC3"/>
        <w:tabs>
          <w:tab w:val="right" w:leader="dot" w:pos="9639"/>
        </w:tabs>
        <w:ind w:left="800"/>
      </w:pPr>
      <w:hyperlink w:anchor="_Toc29204" w:history="1">
        <w:r>
          <w:rPr>
            <w:i/>
            <w:iCs/>
            <w:szCs w:val="24"/>
          </w:rPr>
          <w:t>A.10. 7.2. AMPLASARE ȘI CONFORMARE LA FOC</w:t>
        </w:r>
        <w:r>
          <w:tab/>
        </w:r>
        <w:r>
          <w:fldChar w:fldCharType="begin"/>
        </w:r>
        <w:r>
          <w:instrText xml:space="preserve"> PAGEREF _Toc29204 \h </w:instrText>
        </w:r>
        <w:r>
          <w:fldChar w:fldCharType="separate"/>
        </w:r>
        <w:r>
          <w:t>667</w:t>
        </w:r>
        <w:r>
          <w:fldChar w:fldCharType="end"/>
        </w:r>
      </w:hyperlink>
    </w:p>
    <w:p w14:paraId="0AE9225C" w14:textId="77777777" w:rsidR="001C08A5" w:rsidRDefault="00000000">
      <w:pPr>
        <w:pStyle w:val="TOC4"/>
        <w:tabs>
          <w:tab w:val="right" w:leader="dot" w:pos="9639"/>
        </w:tabs>
        <w:ind w:left="1200"/>
      </w:pPr>
      <w:hyperlink w:anchor="_Toc2602" w:history="1">
        <w:r>
          <w:rPr>
            <w:szCs w:val="24"/>
          </w:rPr>
          <w:t>Amplasare</w:t>
        </w:r>
        <w:r>
          <w:tab/>
        </w:r>
        <w:r>
          <w:fldChar w:fldCharType="begin"/>
        </w:r>
        <w:r>
          <w:instrText xml:space="preserve"> PAGEREF _Toc2602 \h </w:instrText>
        </w:r>
        <w:r>
          <w:fldChar w:fldCharType="separate"/>
        </w:r>
        <w:r>
          <w:t>667</w:t>
        </w:r>
        <w:r>
          <w:fldChar w:fldCharType="end"/>
        </w:r>
      </w:hyperlink>
    </w:p>
    <w:p w14:paraId="2CD7CF68" w14:textId="77777777" w:rsidR="001C08A5" w:rsidRDefault="00000000">
      <w:pPr>
        <w:pStyle w:val="TOC4"/>
        <w:tabs>
          <w:tab w:val="right" w:leader="dot" w:pos="9639"/>
        </w:tabs>
        <w:ind w:left="1200"/>
      </w:pPr>
      <w:hyperlink w:anchor="_Toc9766" w:history="1">
        <w:r>
          <w:rPr>
            <w:szCs w:val="24"/>
          </w:rPr>
          <w:t>Conformare la foc</w:t>
        </w:r>
        <w:r>
          <w:tab/>
        </w:r>
        <w:r>
          <w:fldChar w:fldCharType="begin"/>
        </w:r>
        <w:r>
          <w:instrText xml:space="preserve"> PAGEREF _Toc9766 \h </w:instrText>
        </w:r>
        <w:r>
          <w:fldChar w:fldCharType="separate"/>
        </w:r>
        <w:r>
          <w:t>667</w:t>
        </w:r>
        <w:r>
          <w:fldChar w:fldCharType="end"/>
        </w:r>
      </w:hyperlink>
    </w:p>
    <w:p w14:paraId="6E3C9428" w14:textId="77777777" w:rsidR="001C08A5" w:rsidRDefault="00000000">
      <w:pPr>
        <w:pStyle w:val="TOC3"/>
        <w:tabs>
          <w:tab w:val="right" w:leader="dot" w:pos="9639"/>
        </w:tabs>
        <w:ind w:left="800"/>
      </w:pPr>
      <w:hyperlink w:anchor="_Toc28212" w:history="1">
        <w:r>
          <w:rPr>
            <w:i/>
            <w:iCs/>
            <w:szCs w:val="24"/>
          </w:rPr>
          <w:t>A.10. 7.3. ALCĂTUIRI CONSTRUCTIVE</w:t>
        </w:r>
        <w:r>
          <w:tab/>
        </w:r>
        <w:r>
          <w:fldChar w:fldCharType="begin"/>
        </w:r>
        <w:r>
          <w:instrText xml:space="preserve"> PAGEREF _Toc28212 \h </w:instrText>
        </w:r>
        <w:r>
          <w:fldChar w:fldCharType="separate"/>
        </w:r>
        <w:r>
          <w:t>668</w:t>
        </w:r>
        <w:r>
          <w:fldChar w:fldCharType="end"/>
        </w:r>
      </w:hyperlink>
    </w:p>
    <w:p w14:paraId="250CB865" w14:textId="77777777" w:rsidR="001C08A5" w:rsidRDefault="00000000">
      <w:pPr>
        <w:pStyle w:val="TOC3"/>
        <w:tabs>
          <w:tab w:val="right" w:leader="dot" w:pos="9639"/>
        </w:tabs>
        <w:ind w:left="800"/>
      </w:pPr>
      <w:hyperlink w:anchor="_Toc27072" w:history="1">
        <w:r>
          <w:rPr>
            <w:i/>
            <w:iCs/>
            <w:szCs w:val="24"/>
          </w:rPr>
          <w:t>A.10. 7.4. LIMITAREA PROPAGĂRII FOCULUI ȘI A FUMULUI</w:t>
        </w:r>
        <w:r>
          <w:tab/>
        </w:r>
        <w:r>
          <w:fldChar w:fldCharType="begin"/>
        </w:r>
        <w:r>
          <w:instrText xml:space="preserve"> PAGEREF _Toc27072 \h </w:instrText>
        </w:r>
        <w:r>
          <w:fldChar w:fldCharType="separate"/>
        </w:r>
        <w:r>
          <w:t>668</w:t>
        </w:r>
        <w:r>
          <w:fldChar w:fldCharType="end"/>
        </w:r>
      </w:hyperlink>
    </w:p>
    <w:p w14:paraId="740AC9E3" w14:textId="77777777" w:rsidR="001C08A5" w:rsidRDefault="00000000">
      <w:pPr>
        <w:pStyle w:val="TOC3"/>
        <w:tabs>
          <w:tab w:val="right" w:leader="dot" w:pos="9639"/>
        </w:tabs>
        <w:ind w:left="800"/>
      </w:pPr>
      <w:hyperlink w:anchor="_Toc14174" w:history="1">
        <w:r>
          <w:rPr>
            <w:i/>
            <w:iCs/>
            <w:szCs w:val="24"/>
          </w:rPr>
          <w:t>A.10. 7.5. EVACUARE FUM (DESFUMARE)</w:t>
        </w:r>
        <w:r>
          <w:tab/>
        </w:r>
        <w:r>
          <w:fldChar w:fldCharType="begin"/>
        </w:r>
        <w:r>
          <w:instrText xml:space="preserve"> PAGEREF _Toc14174 \h </w:instrText>
        </w:r>
        <w:r>
          <w:fldChar w:fldCharType="separate"/>
        </w:r>
        <w:r>
          <w:t>669</w:t>
        </w:r>
        <w:r>
          <w:fldChar w:fldCharType="end"/>
        </w:r>
      </w:hyperlink>
    </w:p>
    <w:p w14:paraId="5CF00971" w14:textId="77777777" w:rsidR="001C08A5" w:rsidRDefault="00000000">
      <w:pPr>
        <w:pStyle w:val="TOC3"/>
        <w:tabs>
          <w:tab w:val="right" w:leader="dot" w:pos="9639"/>
        </w:tabs>
        <w:ind w:left="800"/>
      </w:pPr>
      <w:hyperlink w:anchor="_Toc24813" w:history="1">
        <w:r>
          <w:rPr>
            <w:i/>
            <w:iCs/>
            <w:szCs w:val="24"/>
          </w:rPr>
          <w:t>A.10. 7.6. CĂI DE EVACUARE ÎN CAZ DE INCENDIU</w:t>
        </w:r>
        <w:r>
          <w:tab/>
        </w:r>
        <w:r>
          <w:fldChar w:fldCharType="begin"/>
        </w:r>
        <w:r>
          <w:instrText xml:space="preserve"> PAGEREF _Toc24813 \h </w:instrText>
        </w:r>
        <w:r>
          <w:fldChar w:fldCharType="separate"/>
        </w:r>
        <w:r>
          <w:t>670</w:t>
        </w:r>
        <w:r>
          <w:fldChar w:fldCharType="end"/>
        </w:r>
      </w:hyperlink>
    </w:p>
    <w:p w14:paraId="7FA7172D" w14:textId="77777777" w:rsidR="001C08A5" w:rsidRDefault="00000000">
      <w:pPr>
        <w:pStyle w:val="TOC3"/>
        <w:tabs>
          <w:tab w:val="right" w:leader="dot" w:pos="9639"/>
        </w:tabs>
        <w:ind w:left="800"/>
      </w:pPr>
      <w:hyperlink w:anchor="_Toc17724" w:history="1">
        <w:r>
          <w:rPr>
            <w:i/>
            <w:iCs/>
            <w:szCs w:val="24"/>
          </w:rPr>
          <w:t>A.10. 7.7. INSTALAȚII DE SEMNALIZARE ȘI STINGERE A INCENDIILOR</w:t>
        </w:r>
        <w:r>
          <w:tab/>
        </w:r>
        <w:r>
          <w:fldChar w:fldCharType="begin"/>
        </w:r>
        <w:r>
          <w:instrText xml:space="preserve"> PAGEREF _Toc17724 \h </w:instrText>
        </w:r>
        <w:r>
          <w:fldChar w:fldCharType="separate"/>
        </w:r>
        <w:r>
          <w:t>671</w:t>
        </w:r>
        <w:r>
          <w:fldChar w:fldCharType="end"/>
        </w:r>
      </w:hyperlink>
    </w:p>
    <w:p w14:paraId="48312577" w14:textId="77777777" w:rsidR="001C08A5" w:rsidRDefault="00000000">
      <w:pPr>
        <w:pStyle w:val="TOC3"/>
        <w:tabs>
          <w:tab w:val="right" w:leader="dot" w:pos="9639"/>
        </w:tabs>
        <w:ind w:left="800"/>
      </w:pPr>
      <w:hyperlink w:anchor="_Toc7273" w:history="1">
        <w:r>
          <w:rPr>
            <w:i/>
            <w:iCs/>
            <w:szCs w:val="24"/>
          </w:rPr>
          <w:t>A.10. 7.8. INSTALAȚII UTILITARE AFERENTE</w:t>
        </w:r>
        <w:r>
          <w:tab/>
        </w:r>
        <w:r>
          <w:fldChar w:fldCharType="begin"/>
        </w:r>
        <w:r>
          <w:instrText xml:space="preserve"> PAGEREF _Toc7273 \h </w:instrText>
        </w:r>
        <w:r>
          <w:fldChar w:fldCharType="separate"/>
        </w:r>
        <w:r>
          <w:t>671</w:t>
        </w:r>
        <w:r>
          <w:fldChar w:fldCharType="end"/>
        </w:r>
      </w:hyperlink>
    </w:p>
    <w:p w14:paraId="2077137C" w14:textId="77777777" w:rsidR="001C08A5" w:rsidRDefault="00000000">
      <w:pPr>
        <w:pStyle w:val="TOC3"/>
        <w:tabs>
          <w:tab w:val="right" w:leader="dot" w:pos="9639"/>
        </w:tabs>
        <w:ind w:left="800"/>
      </w:pPr>
      <w:hyperlink w:anchor="_Toc24646" w:history="1">
        <w:r>
          <w:rPr>
            <w:i/>
            <w:iCs/>
            <w:szCs w:val="24"/>
          </w:rPr>
          <w:t>A.10. 7.9. CĂI DE ACCES, INTERVENȚIE ȘI SALVARE</w:t>
        </w:r>
        <w:r>
          <w:tab/>
        </w:r>
        <w:r>
          <w:fldChar w:fldCharType="begin"/>
        </w:r>
        <w:r>
          <w:instrText xml:space="preserve"> PAGEREF _Toc24646 \h </w:instrText>
        </w:r>
        <w:r>
          <w:fldChar w:fldCharType="separate"/>
        </w:r>
        <w:r>
          <w:t>672</w:t>
        </w:r>
        <w:r>
          <w:fldChar w:fldCharType="end"/>
        </w:r>
      </w:hyperlink>
    </w:p>
    <w:p w14:paraId="133339F1" w14:textId="77777777" w:rsidR="001C08A5" w:rsidRDefault="00000000">
      <w:pPr>
        <w:pStyle w:val="TOC3"/>
        <w:tabs>
          <w:tab w:val="right" w:leader="dot" w:pos="9639"/>
        </w:tabs>
        <w:ind w:left="800"/>
      </w:pPr>
      <w:hyperlink w:anchor="_Toc29375" w:history="1">
        <w:r>
          <w:rPr>
            <w:i/>
            <w:iCs/>
            <w:szCs w:val="24"/>
          </w:rPr>
          <w:t>A.10. 7.10. DOTAREA CU MIJLOACE DE INTERVENȚIE ȘI SERVICIUL DE POMPIERI</w:t>
        </w:r>
        <w:r>
          <w:tab/>
        </w:r>
        <w:r>
          <w:fldChar w:fldCharType="begin"/>
        </w:r>
        <w:r>
          <w:instrText xml:space="preserve"> PAGEREF _Toc29375 \h </w:instrText>
        </w:r>
        <w:r>
          <w:fldChar w:fldCharType="separate"/>
        </w:r>
        <w:r>
          <w:t>672</w:t>
        </w:r>
        <w:r>
          <w:fldChar w:fldCharType="end"/>
        </w:r>
      </w:hyperlink>
    </w:p>
    <w:p w14:paraId="2F428760" w14:textId="77777777" w:rsidR="001C08A5" w:rsidRDefault="00000000">
      <w:pPr>
        <w:pStyle w:val="TOC3"/>
        <w:tabs>
          <w:tab w:val="right" w:leader="dot" w:pos="9639"/>
        </w:tabs>
        <w:ind w:left="800"/>
      </w:pPr>
      <w:hyperlink w:anchor="_Toc27607" w:history="1">
        <w:r>
          <w:rPr>
            <w:i/>
            <w:iCs/>
          </w:rPr>
          <w:t>CAPITOLUL 8</w:t>
        </w:r>
        <w:r>
          <w:tab/>
        </w:r>
        <w:r>
          <w:fldChar w:fldCharType="begin"/>
        </w:r>
        <w:r>
          <w:instrText xml:space="preserve"> PAGEREF _Toc27607 \h </w:instrText>
        </w:r>
        <w:r>
          <w:fldChar w:fldCharType="separate"/>
        </w:r>
        <w:r>
          <w:t>673</w:t>
        </w:r>
        <w:r>
          <w:fldChar w:fldCharType="end"/>
        </w:r>
      </w:hyperlink>
    </w:p>
    <w:p w14:paraId="265049E4" w14:textId="77777777" w:rsidR="001C08A5" w:rsidRDefault="00000000">
      <w:pPr>
        <w:pStyle w:val="TOC3"/>
        <w:tabs>
          <w:tab w:val="right" w:leader="dot" w:pos="9639"/>
        </w:tabs>
        <w:ind w:left="800"/>
      </w:pPr>
      <w:hyperlink w:anchor="_Toc26953" w:history="1">
        <w:r>
          <w:rPr>
            <w:i/>
            <w:iCs/>
          </w:rPr>
          <w:t>PERFORMANȚE SPECIFICE CONSTRUCȚIILOR EXISTENTE  CU FUNCȚIUNI MIXTE</w:t>
        </w:r>
        <w:r>
          <w:tab/>
        </w:r>
        <w:r>
          <w:fldChar w:fldCharType="begin"/>
        </w:r>
        <w:r>
          <w:instrText xml:space="preserve"> PAGEREF _Toc26953 \h </w:instrText>
        </w:r>
        <w:r>
          <w:fldChar w:fldCharType="separate"/>
        </w:r>
        <w:r>
          <w:t>673</w:t>
        </w:r>
        <w:r>
          <w:fldChar w:fldCharType="end"/>
        </w:r>
      </w:hyperlink>
    </w:p>
    <w:p w14:paraId="712F6566" w14:textId="77777777" w:rsidR="001C08A5" w:rsidRDefault="00000000">
      <w:pPr>
        <w:pStyle w:val="TOC3"/>
        <w:tabs>
          <w:tab w:val="right" w:leader="dot" w:pos="9639"/>
        </w:tabs>
        <w:ind w:left="800"/>
      </w:pPr>
      <w:hyperlink w:anchor="_Toc14580" w:history="1">
        <w:r>
          <w:rPr>
            <w:i/>
            <w:iCs/>
            <w:szCs w:val="24"/>
          </w:rPr>
          <w:t>A.10. 8.1. PERFORMANȚE ALE TIPURILOR DE CONSTRUCȚII CU FUNCȚIUNI MIXTE</w:t>
        </w:r>
        <w:r>
          <w:tab/>
        </w:r>
        <w:r>
          <w:fldChar w:fldCharType="begin"/>
        </w:r>
        <w:r>
          <w:instrText xml:space="preserve"> PAGEREF _Toc14580 \h </w:instrText>
        </w:r>
        <w:r>
          <w:fldChar w:fldCharType="separate"/>
        </w:r>
        <w:r>
          <w:t>673</w:t>
        </w:r>
        <w:r>
          <w:fldChar w:fldCharType="end"/>
        </w:r>
      </w:hyperlink>
    </w:p>
    <w:p w14:paraId="4251F563" w14:textId="77777777" w:rsidR="001C08A5" w:rsidRDefault="00000000">
      <w:pPr>
        <w:pStyle w:val="TOC4"/>
        <w:tabs>
          <w:tab w:val="right" w:leader="dot" w:pos="9639"/>
        </w:tabs>
        <w:ind w:left="1200"/>
      </w:pPr>
      <w:hyperlink w:anchor="_Toc17267" w:history="1">
        <w:r>
          <w:rPr>
            <w:szCs w:val="24"/>
          </w:rPr>
          <w:t>Construcții existente de tip obișnuit</w:t>
        </w:r>
        <w:r>
          <w:tab/>
        </w:r>
        <w:r>
          <w:fldChar w:fldCharType="begin"/>
        </w:r>
        <w:r>
          <w:instrText xml:space="preserve"> PAGEREF _Toc17267 \h </w:instrText>
        </w:r>
        <w:r>
          <w:fldChar w:fldCharType="separate"/>
        </w:r>
        <w:r>
          <w:t>673</w:t>
        </w:r>
        <w:r>
          <w:fldChar w:fldCharType="end"/>
        </w:r>
      </w:hyperlink>
    </w:p>
    <w:p w14:paraId="5D3FB034" w14:textId="77777777" w:rsidR="001C08A5" w:rsidRDefault="00000000">
      <w:pPr>
        <w:pStyle w:val="TOC4"/>
        <w:tabs>
          <w:tab w:val="right" w:leader="dot" w:pos="9639"/>
        </w:tabs>
        <w:ind w:left="1200"/>
      </w:pPr>
      <w:hyperlink w:anchor="_Toc29374" w:history="1">
        <w:r>
          <w:rPr>
            <w:szCs w:val="24"/>
          </w:rPr>
          <w:t>Construcții existente înalte, foarte înalte, cu săli aglomerate, monobloc sau blindate</w:t>
        </w:r>
        <w:r>
          <w:tab/>
        </w:r>
        <w:r>
          <w:fldChar w:fldCharType="begin"/>
        </w:r>
        <w:r>
          <w:instrText xml:space="preserve"> PAGEREF _Toc29374 \h </w:instrText>
        </w:r>
        <w:r>
          <w:fldChar w:fldCharType="separate"/>
        </w:r>
        <w:r>
          <w:t>673</w:t>
        </w:r>
        <w:r>
          <w:fldChar w:fldCharType="end"/>
        </w:r>
      </w:hyperlink>
    </w:p>
    <w:p w14:paraId="6F57A18A" w14:textId="77777777" w:rsidR="001C08A5" w:rsidRDefault="00000000">
      <w:pPr>
        <w:pStyle w:val="TOC3"/>
        <w:tabs>
          <w:tab w:val="right" w:leader="dot" w:pos="9639"/>
        </w:tabs>
        <w:ind w:left="800"/>
      </w:pPr>
      <w:hyperlink w:anchor="_Toc14187" w:history="1">
        <w:r>
          <w:rPr>
            <w:i/>
            <w:iCs/>
            <w:szCs w:val="24"/>
          </w:rPr>
          <w:t>A.10. 8.2. PERFORMANȚE ALE UNOR DESTINAȚII DIN CONSTRUCȚIILE EXISTENTE CU FUNCȚIUNI MIXTE</w:t>
        </w:r>
        <w:r>
          <w:tab/>
        </w:r>
        <w:r>
          <w:fldChar w:fldCharType="begin"/>
        </w:r>
        <w:r>
          <w:instrText xml:space="preserve"> PAGEREF _Toc14187 \h </w:instrText>
        </w:r>
        <w:r>
          <w:fldChar w:fldCharType="separate"/>
        </w:r>
        <w:r>
          <w:t>674</w:t>
        </w:r>
        <w:r>
          <w:fldChar w:fldCharType="end"/>
        </w:r>
      </w:hyperlink>
    </w:p>
    <w:p w14:paraId="0FDD257E" w14:textId="77777777" w:rsidR="001C08A5" w:rsidRDefault="00000000">
      <w:pPr>
        <w:pStyle w:val="TOC4"/>
        <w:tabs>
          <w:tab w:val="right" w:leader="dot" w:pos="9639"/>
        </w:tabs>
        <w:ind w:left="1200"/>
      </w:pPr>
      <w:hyperlink w:anchor="_Toc4199" w:history="1">
        <w:r>
          <w:rPr>
            <w:szCs w:val="24"/>
          </w:rPr>
          <w:t>Funcțiuni mixte civile (publice)</w:t>
        </w:r>
        <w:r>
          <w:tab/>
        </w:r>
        <w:r>
          <w:fldChar w:fldCharType="begin"/>
        </w:r>
        <w:r>
          <w:instrText xml:space="preserve"> PAGEREF _Toc4199 \h </w:instrText>
        </w:r>
        <w:r>
          <w:fldChar w:fldCharType="separate"/>
        </w:r>
        <w:r>
          <w:t>675</w:t>
        </w:r>
        <w:r>
          <w:fldChar w:fldCharType="end"/>
        </w:r>
      </w:hyperlink>
    </w:p>
    <w:p w14:paraId="31F41E14" w14:textId="77777777" w:rsidR="001C08A5" w:rsidRDefault="00000000">
      <w:pPr>
        <w:pStyle w:val="TOC4"/>
        <w:tabs>
          <w:tab w:val="right" w:leader="dot" w:pos="9639"/>
        </w:tabs>
        <w:ind w:left="1200"/>
      </w:pPr>
      <w:hyperlink w:anchor="_Toc12288" w:history="1">
        <w:r>
          <w:rPr>
            <w:szCs w:val="24"/>
          </w:rPr>
          <w:t>Funcțiuni  existente mixte civile (publice) și unele activități de producție și/sau depozitare existente</w:t>
        </w:r>
        <w:r>
          <w:tab/>
        </w:r>
        <w:r>
          <w:fldChar w:fldCharType="begin"/>
        </w:r>
        <w:r>
          <w:instrText xml:space="preserve"> PAGEREF _Toc12288 \h </w:instrText>
        </w:r>
        <w:r>
          <w:fldChar w:fldCharType="separate"/>
        </w:r>
        <w:r>
          <w:t>676</w:t>
        </w:r>
        <w:r>
          <w:fldChar w:fldCharType="end"/>
        </w:r>
      </w:hyperlink>
    </w:p>
    <w:p w14:paraId="7D32ADCB" w14:textId="77777777" w:rsidR="001C08A5" w:rsidRDefault="00000000">
      <w:pPr>
        <w:pStyle w:val="TOC4"/>
        <w:tabs>
          <w:tab w:val="right" w:leader="dot" w:pos="9639"/>
        </w:tabs>
        <w:ind w:left="1200"/>
      </w:pPr>
      <w:hyperlink w:anchor="_Toc20997" w:history="1">
        <w:r>
          <w:rPr>
            <w:szCs w:val="24"/>
          </w:rPr>
          <w:t>Funcțiuni  existente mixte de producție și/sau depozitare</w:t>
        </w:r>
        <w:r>
          <w:tab/>
        </w:r>
        <w:r>
          <w:fldChar w:fldCharType="begin"/>
        </w:r>
        <w:r>
          <w:instrText xml:space="preserve"> PAGEREF _Toc20997 \h </w:instrText>
        </w:r>
        <w:r>
          <w:fldChar w:fldCharType="separate"/>
        </w:r>
        <w:r>
          <w:t>678</w:t>
        </w:r>
        <w:r>
          <w:fldChar w:fldCharType="end"/>
        </w:r>
      </w:hyperlink>
    </w:p>
    <w:p w14:paraId="1C423E5B" w14:textId="77777777" w:rsidR="001C08A5" w:rsidRDefault="00000000">
      <w:pPr>
        <w:pStyle w:val="TOC2"/>
        <w:tabs>
          <w:tab w:val="right" w:leader="dot" w:pos="9639"/>
        </w:tabs>
        <w:ind w:left="400"/>
      </w:pPr>
      <w:hyperlink w:anchor="_Toc2749" w:history="1">
        <w:r>
          <w:t>SECŢIUNEA V</w:t>
        </w:r>
        <w:r>
          <w:tab/>
        </w:r>
        <w:r>
          <w:fldChar w:fldCharType="begin"/>
        </w:r>
        <w:r>
          <w:instrText xml:space="preserve"> PAGEREF _Toc2749 \h </w:instrText>
        </w:r>
        <w:r>
          <w:fldChar w:fldCharType="separate"/>
        </w:r>
        <w:r>
          <w:t>679</w:t>
        </w:r>
        <w:r>
          <w:fldChar w:fldCharType="end"/>
        </w:r>
      </w:hyperlink>
    </w:p>
    <w:p w14:paraId="345EFB68" w14:textId="77777777" w:rsidR="001C08A5" w:rsidRDefault="00000000">
      <w:pPr>
        <w:pStyle w:val="TOC2"/>
        <w:tabs>
          <w:tab w:val="right" w:leader="dot" w:pos="9639"/>
        </w:tabs>
        <w:ind w:left="400"/>
      </w:pPr>
      <w:hyperlink w:anchor="_Toc5377" w:history="1">
        <w:r>
          <w:t>EVACUARE FUM (DESFUMARE) ȘI GAZE FIERBINȚI</w:t>
        </w:r>
        <w:r>
          <w:tab/>
        </w:r>
        <w:r>
          <w:fldChar w:fldCharType="begin"/>
        </w:r>
        <w:r>
          <w:instrText xml:space="preserve"> PAGEREF _Toc5377 \h </w:instrText>
        </w:r>
        <w:r>
          <w:fldChar w:fldCharType="separate"/>
        </w:r>
        <w:r>
          <w:t>679</w:t>
        </w:r>
        <w:r>
          <w:fldChar w:fldCharType="end"/>
        </w:r>
      </w:hyperlink>
    </w:p>
    <w:p w14:paraId="3ADF9029" w14:textId="77777777" w:rsidR="001C08A5" w:rsidRDefault="00000000">
      <w:pPr>
        <w:pStyle w:val="TOC3"/>
        <w:tabs>
          <w:tab w:val="right" w:leader="dot" w:pos="9639"/>
        </w:tabs>
        <w:ind w:left="800"/>
      </w:pPr>
      <w:hyperlink w:anchor="_Toc23276" w:history="1">
        <w:r>
          <w:rPr>
            <w:i/>
            <w:iCs/>
          </w:rPr>
          <w:t>CAPITOLUL 9</w:t>
        </w:r>
        <w:r>
          <w:tab/>
        </w:r>
        <w:r>
          <w:fldChar w:fldCharType="begin"/>
        </w:r>
        <w:r>
          <w:instrText xml:space="preserve"> PAGEREF _Toc23276 \h </w:instrText>
        </w:r>
        <w:r>
          <w:fldChar w:fldCharType="separate"/>
        </w:r>
        <w:r>
          <w:t>679</w:t>
        </w:r>
        <w:r>
          <w:fldChar w:fldCharType="end"/>
        </w:r>
      </w:hyperlink>
    </w:p>
    <w:p w14:paraId="2DAA4465" w14:textId="77777777" w:rsidR="001C08A5" w:rsidRDefault="00000000">
      <w:pPr>
        <w:pStyle w:val="TOC3"/>
        <w:tabs>
          <w:tab w:val="right" w:leader="dot" w:pos="9639"/>
        </w:tabs>
        <w:ind w:left="800"/>
      </w:pPr>
      <w:hyperlink w:anchor="_Toc27460" w:history="1">
        <w:r>
          <w:rPr>
            <w:i/>
            <w:iCs/>
          </w:rPr>
          <w:t>EVACUARE FUM ȘI GAZE FIERBINȚI</w:t>
        </w:r>
        <w:r>
          <w:tab/>
        </w:r>
        <w:r>
          <w:fldChar w:fldCharType="begin"/>
        </w:r>
        <w:r>
          <w:instrText xml:space="preserve"> PAGEREF _Toc27460 \h </w:instrText>
        </w:r>
        <w:r>
          <w:fldChar w:fldCharType="separate"/>
        </w:r>
        <w:r>
          <w:t>679</w:t>
        </w:r>
        <w:r>
          <w:fldChar w:fldCharType="end"/>
        </w:r>
      </w:hyperlink>
    </w:p>
    <w:p w14:paraId="780EA5D0" w14:textId="77777777" w:rsidR="001C08A5" w:rsidRDefault="00000000">
      <w:pPr>
        <w:pStyle w:val="TOC4"/>
        <w:tabs>
          <w:tab w:val="right" w:leader="dot" w:pos="9639"/>
        </w:tabs>
        <w:ind w:left="1200"/>
      </w:pPr>
      <w:hyperlink w:anchor="_Toc17103" w:history="1">
        <w:r>
          <w:rPr>
            <w:szCs w:val="24"/>
          </w:rPr>
          <w:t>Dispoziții generale</w:t>
        </w:r>
        <w:r>
          <w:tab/>
        </w:r>
        <w:r>
          <w:fldChar w:fldCharType="begin"/>
        </w:r>
        <w:r>
          <w:instrText xml:space="preserve"> PAGEREF _Toc17103 \h </w:instrText>
        </w:r>
        <w:r>
          <w:fldChar w:fldCharType="separate"/>
        </w:r>
        <w:r>
          <w:t>679</w:t>
        </w:r>
        <w:r>
          <w:fldChar w:fldCharType="end"/>
        </w:r>
      </w:hyperlink>
    </w:p>
    <w:p w14:paraId="64FC1592" w14:textId="77777777" w:rsidR="001C08A5" w:rsidRDefault="00000000">
      <w:pPr>
        <w:pStyle w:val="TOC4"/>
        <w:tabs>
          <w:tab w:val="right" w:leader="dot" w:pos="9639"/>
        </w:tabs>
        <w:ind w:left="1200"/>
      </w:pPr>
      <w:hyperlink w:anchor="_Toc13741" w:history="1">
        <w:r>
          <w:rPr>
            <w:szCs w:val="24"/>
          </w:rPr>
          <w:t>Evacuarea fumului (desfumare)</w:t>
        </w:r>
        <w:r>
          <w:tab/>
        </w:r>
        <w:r>
          <w:fldChar w:fldCharType="begin"/>
        </w:r>
        <w:r>
          <w:instrText xml:space="preserve"> PAGEREF _Toc13741 \h </w:instrText>
        </w:r>
        <w:r>
          <w:fldChar w:fldCharType="separate"/>
        </w:r>
        <w:r>
          <w:t>680</w:t>
        </w:r>
        <w:r>
          <w:fldChar w:fldCharType="end"/>
        </w:r>
      </w:hyperlink>
    </w:p>
    <w:p w14:paraId="35D4695E" w14:textId="77777777" w:rsidR="001C08A5" w:rsidRDefault="00000000">
      <w:pPr>
        <w:pStyle w:val="TOC5"/>
        <w:tabs>
          <w:tab w:val="right" w:leader="dot" w:pos="9639"/>
        </w:tabs>
        <w:ind w:left="1600"/>
      </w:pPr>
      <w:hyperlink w:anchor="_Toc4035" w:history="1">
        <w:r>
          <w:rPr>
            <w:szCs w:val="24"/>
          </w:rPr>
          <w:t>Desfumare prin tiraj natural - organizat</w:t>
        </w:r>
        <w:r>
          <w:tab/>
        </w:r>
        <w:r>
          <w:fldChar w:fldCharType="begin"/>
        </w:r>
        <w:r>
          <w:instrText xml:space="preserve"> PAGEREF _Toc4035 \h </w:instrText>
        </w:r>
        <w:r>
          <w:fldChar w:fldCharType="separate"/>
        </w:r>
        <w:r>
          <w:t>680</w:t>
        </w:r>
        <w:r>
          <w:fldChar w:fldCharType="end"/>
        </w:r>
      </w:hyperlink>
    </w:p>
    <w:p w14:paraId="30DB0122" w14:textId="77777777" w:rsidR="001C08A5" w:rsidRDefault="00000000">
      <w:pPr>
        <w:pStyle w:val="TOC5"/>
        <w:tabs>
          <w:tab w:val="right" w:leader="dot" w:pos="9639"/>
        </w:tabs>
        <w:ind w:left="1600"/>
      </w:pPr>
      <w:hyperlink w:anchor="_Toc2715" w:history="1">
        <w:r>
          <w:rPr>
            <w:szCs w:val="24"/>
          </w:rPr>
          <w:t>Desfumarea mecanică</w:t>
        </w:r>
        <w:r>
          <w:tab/>
        </w:r>
        <w:r>
          <w:fldChar w:fldCharType="begin"/>
        </w:r>
        <w:r>
          <w:instrText xml:space="preserve"> PAGEREF _Toc2715 \h </w:instrText>
        </w:r>
        <w:r>
          <w:fldChar w:fldCharType="separate"/>
        </w:r>
        <w:r>
          <w:t>681</w:t>
        </w:r>
        <w:r>
          <w:fldChar w:fldCharType="end"/>
        </w:r>
      </w:hyperlink>
    </w:p>
    <w:p w14:paraId="5CC741DA" w14:textId="77777777" w:rsidR="001C08A5" w:rsidRDefault="00000000">
      <w:pPr>
        <w:pStyle w:val="TOC5"/>
        <w:tabs>
          <w:tab w:val="right" w:leader="dot" w:pos="9639"/>
        </w:tabs>
        <w:ind w:left="1600"/>
      </w:pPr>
      <w:hyperlink w:anchor="_Toc30892" w:history="1">
        <w:r>
          <w:rPr>
            <w:szCs w:val="24"/>
          </w:rPr>
          <w:t>Condiții specifice de desfumare</w:t>
        </w:r>
        <w:r>
          <w:tab/>
        </w:r>
        <w:r>
          <w:fldChar w:fldCharType="begin"/>
        </w:r>
        <w:r>
          <w:instrText xml:space="preserve"> PAGEREF _Toc30892 \h </w:instrText>
        </w:r>
        <w:r>
          <w:fldChar w:fldCharType="separate"/>
        </w:r>
        <w:r>
          <w:t>682</w:t>
        </w:r>
        <w:r>
          <w:fldChar w:fldCharType="end"/>
        </w:r>
      </w:hyperlink>
    </w:p>
    <w:p w14:paraId="6336337E" w14:textId="77777777" w:rsidR="001C08A5" w:rsidRDefault="00000000">
      <w:pPr>
        <w:pStyle w:val="TOC6"/>
        <w:tabs>
          <w:tab w:val="right" w:leader="dot" w:pos="9639"/>
        </w:tabs>
        <w:ind w:left="2000"/>
      </w:pPr>
      <w:hyperlink w:anchor="_Toc24674" w:history="1">
        <w:r>
          <w:rPr>
            <w:i/>
            <w:iCs/>
          </w:rPr>
          <w:t>Case de scări închise</w:t>
        </w:r>
        <w:r>
          <w:tab/>
        </w:r>
        <w:r>
          <w:fldChar w:fldCharType="begin"/>
        </w:r>
        <w:r>
          <w:instrText xml:space="preserve"> PAGEREF _Toc24674 \h </w:instrText>
        </w:r>
        <w:r>
          <w:fldChar w:fldCharType="separate"/>
        </w:r>
        <w:r>
          <w:t>682</w:t>
        </w:r>
        <w:r>
          <w:fldChar w:fldCharType="end"/>
        </w:r>
      </w:hyperlink>
    </w:p>
    <w:p w14:paraId="316246CF" w14:textId="77777777" w:rsidR="001C08A5" w:rsidRDefault="00000000">
      <w:pPr>
        <w:pStyle w:val="TOC6"/>
        <w:tabs>
          <w:tab w:val="right" w:leader="dot" w:pos="9639"/>
        </w:tabs>
        <w:ind w:left="2000"/>
      </w:pPr>
      <w:hyperlink w:anchor="_Toc27253" w:history="1">
        <w:r>
          <w:rPr>
            <w:i/>
            <w:iCs/>
          </w:rPr>
          <w:t>Circulațiile comune orizontale închise</w:t>
        </w:r>
        <w:r>
          <w:tab/>
        </w:r>
        <w:r>
          <w:fldChar w:fldCharType="begin"/>
        </w:r>
        <w:r>
          <w:instrText xml:space="preserve"> PAGEREF _Toc27253 \h </w:instrText>
        </w:r>
        <w:r>
          <w:fldChar w:fldCharType="separate"/>
        </w:r>
        <w:r>
          <w:t>684</w:t>
        </w:r>
        <w:r>
          <w:fldChar w:fldCharType="end"/>
        </w:r>
      </w:hyperlink>
    </w:p>
    <w:p w14:paraId="22434B78" w14:textId="77777777" w:rsidR="001C08A5" w:rsidRDefault="00000000">
      <w:pPr>
        <w:pStyle w:val="TOC4"/>
        <w:tabs>
          <w:tab w:val="right" w:leader="dot" w:pos="9639"/>
        </w:tabs>
        <w:ind w:left="1200"/>
      </w:pPr>
      <w:hyperlink w:anchor="_Toc17355" w:history="1">
        <w:r>
          <w:rPr>
            <w:szCs w:val="24"/>
          </w:rPr>
          <w:t>Evacuarea fumului și a gazelor fierbinți</w:t>
        </w:r>
        <w:r>
          <w:tab/>
        </w:r>
        <w:r>
          <w:fldChar w:fldCharType="begin"/>
        </w:r>
        <w:r>
          <w:instrText xml:space="preserve"> PAGEREF _Toc17355 \h </w:instrText>
        </w:r>
        <w:r>
          <w:fldChar w:fldCharType="separate"/>
        </w:r>
        <w:r>
          <w:t>684</w:t>
        </w:r>
        <w:r>
          <w:fldChar w:fldCharType="end"/>
        </w:r>
      </w:hyperlink>
    </w:p>
    <w:p w14:paraId="0AB2ED06" w14:textId="77777777" w:rsidR="001C08A5" w:rsidRDefault="00000000">
      <w:pPr>
        <w:pStyle w:val="TOC2"/>
        <w:tabs>
          <w:tab w:val="right" w:leader="dot" w:pos="9639"/>
        </w:tabs>
        <w:ind w:left="400"/>
      </w:pPr>
      <w:hyperlink w:anchor="_Toc24454" w:history="1">
        <w:r>
          <w:t>ANEXA 11 - SISTEME DE EVACUARE A FUMULUI ȘI A GAZELOR FIERBINȚI</w:t>
        </w:r>
        <w:r>
          <w:tab/>
        </w:r>
        <w:r>
          <w:fldChar w:fldCharType="begin"/>
        </w:r>
        <w:r>
          <w:instrText xml:space="preserve"> PAGEREF _Toc24454 \h </w:instrText>
        </w:r>
        <w:r>
          <w:fldChar w:fldCharType="separate"/>
        </w:r>
        <w:r>
          <w:t>686</w:t>
        </w:r>
        <w:r>
          <w:fldChar w:fldCharType="end"/>
        </w:r>
      </w:hyperlink>
    </w:p>
    <w:p w14:paraId="0D3BBC06" w14:textId="77777777" w:rsidR="001C08A5" w:rsidRDefault="00000000">
      <w:pPr>
        <w:pStyle w:val="TOC1"/>
        <w:tabs>
          <w:tab w:val="right" w:leader="dot" w:pos="9639"/>
        </w:tabs>
      </w:pPr>
      <w:hyperlink w:anchor="_Toc10701" w:history="1">
        <w:r>
          <w:rPr>
            <w:bCs/>
            <w:iCs/>
            <w:szCs w:val="24"/>
          </w:rPr>
          <w:t xml:space="preserve">Figura 288 - </w:t>
        </w:r>
        <w:r>
          <w:rPr>
            <w:bCs/>
            <w:szCs w:val="24"/>
          </w:rPr>
          <w:t>Evacuarea fumului pe acoperiș</w:t>
        </w:r>
        <w:r>
          <w:tab/>
        </w:r>
        <w:r>
          <w:fldChar w:fldCharType="begin"/>
        </w:r>
        <w:r>
          <w:instrText xml:space="preserve"> PAGEREF _Toc10701 \h </w:instrText>
        </w:r>
        <w:r>
          <w:fldChar w:fldCharType="separate"/>
        </w:r>
        <w:r>
          <w:t>695</w:t>
        </w:r>
        <w:r>
          <w:fldChar w:fldCharType="end"/>
        </w:r>
      </w:hyperlink>
    </w:p>
    <w:p w14:paraId="47A8F88A" w14:textId="77777777" w:rsidR="001C08A5" w:rsidRDefault="00000000">
      <w:pPr>
        <w:pStyle w:val="TOC1"/>
        <w:tabs>
          <w:tab w:val="right" w:leader="dot" w:pos="9639"/>
        </w:tabs>
      </w:pPr>
      <w:hyperlink w:anchor="_Toc20983" w:history="1">
        <w:r>
          <w:t>REFERINŢE LEGISLATIVE ŞI TEHNICE</w:t>
        </w:r>
        <w:r>
          <w:tab/>
        </w:r>
        <w:r>
          <w:fldChar w:fldCharType="begin"/>
        </w:r>
        <w:r>
          <w:instrText xml:space="preserve"> PAGEREF _Toc20983 \h </w:instrText>
        </w:r>
        <w:r>
          <w:fldChar w:fldCharType="separate"/>
        </w:r>
        <w:r>
          <w:t>696</w:t>
        </w:r>
        <w:r>
          <w:fldChar w:fldCharType="end"/>
        </w:r>
      </w:hyperlink>
    </w:p>
    <w:p w14:paraId="38538F1D" w14:textId="77777777" w:rsidR="001C08A5" w:rsidRDefault="00000000">
      <w:pPr>
        <w:pStyle w:val="TOC5"/>
        <w:tabs>
          <w:tab w:val="right" w:leader="dot" w:pos="9639"/>
        </w:tabs>
        <w:ind w:left="1600"/>
      </w:pPr>
      <w:hyperlink w:anchor="_Toc4681" w:history="1">
        <w:r>
          <w:rPr>
            <w:szCs w:val="24"/>
          </w:rPr>
          <w:t>Listă tabele:</w:t>
        </w:r>
        <w:r>
          <w:tab/>
        </w:r>
        <w:r>
          <w:fldChar w:fldCharType="begin"/>
        </w:r>
        <w:r>
          <w:instrText xml:space="preserve"> PAGEREF _Toc4681 \h </w:instrText>
        </w:r>
        <w:r>
          <w:fldChar w:fldCharType="separate"/>
        </w:r>
        <w:r>
          <w:t>707</w:t>
        </w:r>
        <w:r>
          <w:fldChar w:fldCharType="end"/>
        </w:r>
      </w:hyperlink>
    </w:p>
    <w:p w14:paraId="78A62239" w14:textId="77777777" w:rsidR="001C08A5" w:rsidRDefault="00000000">
      <w:pPr>
        <w:pStyle w:val="TOC5"/>
        <w:tabs>
          <w:tab w:val="right" w:leader="dot" w:pos="9639"/>
        </w:tabs>
        <w:ind w:left="1600"/>
      </w:pPr>
      <w:hyperlink w:anchor="_Toc21236" w:history="1">
        <w:r>
          <w:rPr>
            <w:szCs w:val="24"/>
          </w:rPr>
          <w:t>Listă figuri:</w:t>
        </w:r>
        <w:r>
          <w:tab/>
        </w:r>
        <w:r>
          <w:fldChar w:fldCharType="begin"/>
        </w:r>
        <w:r>
          <w:instrText xml:space="preserve"> PAGEREF _Toc21236 \h </w:instrText>
        </w:r>
        <w:r>
          <w:fldChar w:fldCharType="separate"/>
        </w:r>
        <w:r>
          <w:t>712</w:t>
        </w:r>
        <w:r>
          <w:fldChar w:fldCharType="end"/>
        </w:r>
      </w:hyperlink>
    </w:p>
    <w:p w14:paraId="187BEAFB" w14:textId="77777777" w:rsidR="001C08A5" w:rsidRDefault="00000000">
      <w:pPr>
        <w:rPr>
          <w:i/>
          <w:sz w:val="22"/>
          <w:szCs w:val="22"/>
        </w:rPr>
      </w:pPr>
      <w:r>
        <w:rPr>
          <w:i/>
          <w:szCs w:val="22"/>
        </w:rPr>
        <w:fldChar w:fldCharType="end"/>
      </w:r>
    </w:p>
    <w:p w14:paraId="64F265D7" w14:textId="77777777" w:rsidR="001C08A5" w:rsidRDefault="001C08A5">
      <w:pPr>
        <w:rPr>
          <w:i/>
          <w:sz w:val="22"/>
          <w:szCs w:val="22"/>
        </w:rPr>
      </w:pPr>
    </w:p>
    <w:p w14:paraId="4239CDF6" w14:textId="77777777" w:rsidR="001C08A5" w:rsidRDefault="001C08A5">
      <w:pPr>
        <w:rPr>
          <w:i/>
          <w:sz w:val="22"/>
          <w:szCs w:val="22"/>
        </w:rPr>
      </w:pPr>
    </w:p>
    <w:p w14:paraId="3E9F1C93" w14:textId="77777777" w:rsidR="001C08A5" w:rsidRDefault="001C08A5">
      <w:pPr>
        <w:rPr>
          <w:i/>
          <w:sz w:val="22"/>
          <w:szCs w:val="22"/>
        </w:rPr>
      </w:pPr>
    </w:p>
    <w:p w14:paraId="791814CE" w14:textId="77777777" w:rsidR="001C08A5" w:rsidRDefault="001C08A5">
      <w:pPr>
        <w:rPr>
          <w:i/>
          <w:sz w:val="22"/>
          <w:szCs w:val="22"/>
        </w:rPr>
      </w:pPr>
    </w:p>
    <w:p w14:paraId="2BE32823" w14:textId="77777777" w:rsidR="001C08A5" w:rsidRDefault="001C08A5">
      <w:pPr>
        <w:rPr>
          <w:i/>
          <w:sz w:val="22"/>
          <w:szCs w:val="22"/>
        </w:rPr>
      </w:pPr>
    </w:p>
    <w:p w14:paraId="44877F96" w14:textId="77777777" w:rsidR="001C08A5" w:rsidRDefault="001C08A5">
      <w:pPr>
        <w:rPr>
          <w:i/>
          <w:sz w:val="22"/>
          <w:szCs w:val="22"/>
        </w:rPr>
      </w:pPr>
    </w:p>
    <w:p w14:paraId="1D36722A" w14:textId="77777777" w:rsidR="001C08A5" w:rsidRDefault="001C08A5">
      <w:pPr>
        <w:rPr>
          <w:i/>
          <w:sz w:val="22"/>
          <w:szCs w:val="22"/>
        </w:rPr>
      </w:pPr>
    </w:p>
    <w:p w14:paraId="4CC67279" w14:textId="77777777" w:rsidR="001C08A5" w:rsidRDefault="001C08A5">
      <w:pPr>
        <w:rPr>
          <w:i/>
          <w:sz w:val="22"/>
          <w:szCs w:val="22"/>
        </w:rPr>
      </w:pPr>
    </w:p>
    <w:p w14:paraId="74227527" w14:textId="77777777" w:rsidR="001C08A5" w:rsidRDefault="001C08A5">
      <w:pPr>
        <w:rPr>
          <w:i/>
          <w:sz w:val="22"/>
          <w:szCs w:val="22"/>
        </w:rPr>
      </w:pPr>
    </w:p>
    <w:p w14:paraId="68F55A44" w14:textId="77777777" w:rsidR="001C08A5" w:rsidRDefault="001C08A5">
      <w:pPr>
        <w:rPr>
          <w:i/>
          <w:sz w:val="22"/>
          <w:szCs w:val="22"/>
        </w:rPr>
      </w:pPr>
    </w:p>
    <w:p w14:paraId="2794E1B5" w14:textId="77777777" w:rsidR="001C08A5" w:rsidRDefault="001C08A5">
      <w:pPr>
        <w:rPr>
          <w:i/>
          <w:sz w:val="22"/>
          <w:szCs w:val="22"/>
        </w:rPr>
      </w:pPr>
    </w:p>
    <w:p w14:paraId="15A3B206" w14:textId="77777777" w:rsidR="001C08A5" w:rsidRDefault="001C08A5">
      <w:pPr>
        <w:rPr>
          <w:i/>
          <w:sz w:val="22"/>
          <w:szCs w:val="22"/>
        </w:rPr>
      </w:pPr>
    </w:p>
    <w:p w14:paraId="43F15EC8" w14:textId="77777777" w:rsidR="001C08A5" w:rsidRDefault="001C08A5">
      <w:pPr>
        <w:rPr>
          <w:i/>
          <w:sz w:val="22"/>
          <w:szCs w:val="22"/>
        </w:rPr>
      </w:pPr>
    </w:p>
    <w:p w14:paraId="1DCDE6E4" w14:textId="77777777" w:rsidR="001C08A5" w:rsidRDefault="001C08A5">
      <w:pPr>
        <w:pStyle w:val="Heading1"/>
        <w:ind w:left="0" w:firstLine="0"/>
        <w:rPr>
          <w:sz w:val="24"/>
          <w:szCs w:val="24"/>
        </w:rPr>
      </w:pPr>
    </w:p>
    <w:p w14:paraId="7F1F7032" w14:textId="77777777" w:rsidR="001C08A5" w:rsidRDefault="001C08A5"/>
    <w:p w14:paraId="74203748" w14:textId="77777777" w:rsidR="001C08A5" w:rsidRDefault="001C08A5"/>
    <w:p w14:paraId="12F5AE95" w14:textId="77777777" w:rsidR="001C08A5" w:rsidRDefault="001C08A5"/>
    <w:p w14:paraId="7637537B" w14:textId="77777777" w:rsidR="001C08A5" w:rsidRDefault="00000000">
      <w:pPr>
        <w:pStyle w:val="Heading1"/>
        <w:ind w:left="0" w:firstLine="0"/>
      </w:pPr>
      <w:bookmarkStart w:id="5" w:name="_Toc8984"/>
      <w:bookmarkStart w:id="6" w:name="_Toc10137"/>
      <w:bookmarkStart w:id="7" w:name="_Toc12853"/>
      <w:bookmarkStart w:id="8" w:name="_Toc162355176"/>
      <w:bookmarkStart w:id="9" w:name="_Toc15741"/>
      <w:bookmarkStart w:id="10" w:name="_Toc18426"/>
      <w:r>
        <w:t>CAPITOLUL 1</w:t>
      </w:r>
      <w:bookmarkEnd w:id="1"/>
      <w:bookmarkEnd w:id="2"/>
      <w:bookmarkEnd w:id="3"/>
      <w:bookmarkEnd w:id="4"/>
      <w:bookmarkEnd w:id="5"/>
      <w:bookmarkEnd w:id="6"/>
      <w:bookmarkEnd w:id="7"/>
      <w:bookmarkEnd w:id="8"/>
      <w:bookmarkEnd w:id="9"/>
      <w:bookmarkEnd w:id="10"/>
    </w:p>
    <w:p w14:paraId="438A8F38" w14:textId="77777777" w:rsidR="001C08A5" w:rsidRDefault="00000000">
      <w:pPr>
        <w:pStyle w:val="Heading2"/>
        <w:rPr>
          <w:rFonts w:cs="Times New Roman"/>
        </w:rPr>
      </w:pPr>
      <w:bookmarkStart w:id="11" w:name="_Toc162355177"/>
      <w:bookmarkStart w:id="12" w:name="_Toc11185"/>
      <w:bookmarkStart w:id="13" w:name="_Toc498"/>
      <w:bookmarkStart w:id="14" w:name="_Toc12153"/>
      <w:bookmarkStart w:id="15" w:name="_Toc19224"/>
      <w:bookmarkStart w:id="16" w:name="_Toc8160"/>
      <w:bookmarkStart w:id="17" w:name="_Toc270"/>
      <w:bookmarkStart w:id="18" w:name="_Toc13120"/>
      <w:bookmarkStart w:id="19" w:name="_Toc20215"/>
      <w:bookmarkStart w:id="20" w:name="_Toc17744"/>
      <w:r>
        <w:rPr>
          <w:rFonts w:cs="Times New Roman"/>
        </w:rPr>
        <w:t>1. PREVEDERI GENERALE</w:t>
      </w:r>
      <w:bookmarkEnd w:id="11"/>
      <w:bookmarkEnd w:id="12"/>
      <w:bookmarkEnd w:id="13"/>
      <w:bookmarkEnd w:id="14"/>
      <w:bookmarkEnd w:id="15"/>
      <w:bookmarkEnd w:id="16"/>
      <w:bookmarkEnd w:id="17"/>
      <w:bookmarkEnd w:id="18"/>
      <w:bookmarkEnd w:id="19"/>
      <w:bookmarkEnd w:id="20"/>
    </w:p>
    <w:p w14:paraId="35A522CC" w14:textId="77777777" w:rsidR="001C08A5" w:rsidRDefault="00000000">
      <w:pPr>
        <w:pStyle w:val="Heading3"/>
      </w:pPr>
      <w:bookmarkStart w:id="21" w:name="_Toc12332"/>
      <w:bookmarkStart w:id="22" w:name="_Toc17540"/>
      <w:bookmarkStart w:id="23" w:name="_Toc25258"/>
      <w:bookmarkStart w:id="24" w:name="_Toc13845"/>
      <w:bookmarkStart w:id="25" w:name="_Toc3415"/>
      <w:bookmarkStart w:id="26" w:name="_Toc162355178"/>
      <w:bookmarkStart w:id="27" w:name="_Toc16055"/>
      <w:bookmarkStart w:id="28" w:name="_Toc2947"/>
      <w:bookmarkStart w:id="29" w:name="_Toc4976"/>
      <w:bookmarkStart w:id="30" w:name="_Toc23754"/>
      <w:r>
        <w:t>SECŢIUNEA I</w:t>
      </w:r>
      <w:bookmarkEnd w:id="21"/>
      <w:bookmarkEnd w:id="22"/>
      <w:bookmarkEnd w:id="23"/>
      <w:bookmarkEnd w:id="24"/>
      <w:bookmarkEnd w:id="25"/>
      <w:bookmarkEnd w:id="26"/>
      <w:bookmarkEnd w:id="27"/>
      <w:bookmarkEnd w:id="28"/>
      <w:bookmarkEnd w:id="29"/>
      <w:bookmarkEnd w:id="30"/>
    </w:p>
    <w:p w14:paraId="1B34C294" w14:textId="77777777" w:rsidR="001C08A5" w:rsidRDefault="00000000">
      <w:pPr>
        <w:pStyle w:val="Heading3"/>
      </w:pPr>
      <w:bookmarkStart w:id="31" w:name="_Toc18819"/>
      <w:bookmarkStart w:id="32" w:name="_Toc27713"/>
      <w:bookmarkStart w:id="33" w:name="_Toc13440"/>
      <w:bookmarkStart w:id="34" w:name="_Toc32492"/>
      <w:bookmarkStart w:id="35" w:name="_Toc3979"/>
      <w:bookmarkStart w:id="36" w:name="_Toc8768"/>
      <w:bookmarkStart w:id="37" w:name="_Toc20181"/>
      <w:bookmarkStart w:id="38" w:name="_Toc162355179"/>
      <w:bookmarkStart w:id="39" w:name="_Toc15564"/>
      <w:bookmarkStart w:id="40" w:name="_Toc31487"/>
      <w:r>
        <w:t>1.1. Obiect, domeniu de aplicare</w:t>
      </w:r>
      <w:bookmarkEnd w:id="31"/>
      <w:bookmarkEnd w:id="32"/>
      <w:bookmarkEnd w:id="33"/>
      <w:bookmarkEnd w:id="34"/>
      <w:bookmarkEnd w:id="35"/>
      <w:bookmarkEnd w:id="36"/>
      <w:bookmarkEnd w:id="37"/>
      <w:bookmarkEnd w:id="38"/>
      <w:bookmarkEnd w:id="39"/>
      <w:bookmarkEnd w:id="40"/>
    </w:p>
    <w:p w14:paraId="521972C5" w14:textId="77777777" w:rsidR="001C08A5" w:rsidRDefault="001C08A5">
      <w:pPr>
        <w:rPr>
          <w:b/>
          <w:sz w:val="24"/>
          <w:szCs w:val="24"/>
        </w:rPr>
      </w:pPr>
    </w:p>
    <w:p w14:paraId="3554C297" w14:textId="77777777" w:rsidR="001C08A5" w:rsidRDefault="00000000">
      <w:pPr>
        <w:widowControl w:val="0"/>
        <w:ind w:firstLine="567"/>
        <w:jc w:val="both"/>
        <w:rPr>
          <w:sz w:val="24"/>
          <w:szCs w:val="24"/>
        </w:rPr>
      </w:pPr>
      <w:r>
        <w:rPr>
          <w:b/>
          <w:sz w:val="24"/>
          <w:szCs w:val="24"/>
        </w:rPr>
        <w:t>Art. 1.</w:t>
      </w:r>
      <w:r>
        <w:rPr>
          <w:b/>
          <w:caps/>
          <w:sz w:val="24"/>
          <w:szCs w:val="24"/>
        </w:rPr>
        <w:t xml:space="preserve">1.1. </w:t>
      </w:r>
      <w:r>
        <w:rPr>
          <w:b/>
          <w:sz w:val="24"/>
          <w:szCs w:val="24"/>
        </w:rPr>
        <w:t xml:space="preserve">(1) </w:t>
      </w:r>
      <w:r>
        <w:rPr>
          <w:sz w:val="24"/>
          <w:szCs w:val="24"/>
        </w:rPr>
        <w:t>Prezentul normativ stabileşte principalele condiţii, performanţe şi niveluri de performanţă pentru construcţii, astfel încât acestea să îndeplinească cerinţa fundamentală „securitate la incendiu” în conformitate cu Legea nr. 10/1995, privind calitatea în construcţii, republicată, cu modificările şi completările ulterioare.</w:t>
      </w:r>
      <w:r>
        <w:rPr>
          <w:sz w:val="24"/>
          <w:szCs w:val="24"/>
        </w:rPr>
        <w:tab/>
      </w:r>
    </w:p>
    <w:p w14:paraId="0FB9D83A" w14:textId="77777777" w:rsidR="001C08A5" w:rsidRDefault="00000000">
      <w:pPr>
        <w:ind w:firstLine="720"/>
        <w:rPr>
          <w:sz w:val="24"/>
          <w:szCs w:val="24"/>
        </w:rPr>
      </w:pPr>
      <w:r>
        <w:rPr>
          <w:b/>
          <w:sz w:val="24"/>
          <w:szCs w:val="24"/>
        </w:rPr>
        <w:t xml:space="preserve">(2) </w:t>
      </w:r>
      <w:r>
        <w:rPr>
          <w:sz w:val="24"/>
          <w:szCs w:val="24"/>
        </w:rPr>
        <w:t>Măsurile prevăzute în prezentul normativ au carcter minimal și nu sunt limitative.</w:t>
      </w:r>
    </w:p>
    <w:p w14:paraId="67A8D37A" w14:textId="77777777" w:rsidR="001C08A5" w:rsidRDefault="001C08A5">
      <w:pPr>
        <w:rPr>
          <w:sz w:val="24"/>
          <w:szCs w:val="24"/>
        </w:rPr>
      </w:pPr>
    </w:p>
    <w:p w14:paraId="52C5E82E" w14:textId="77777777" w:rsidR="001C08A5" w:rsidRDefault="00000000">
      <w:pPr>
        <w:pStyle w:val="BodyText"/>
        <w:widowControl w:val="0"/>
        <w:ind w:firstLine="567"/>
        <w:rPr>
          <w:i w:val="0"/>
          <w:iCs/>
        </w:rPr>
      </w:pPr>
      <w:r>
        <w:rPr>
          <w:i w:val="0"/>
          <w:iCs/>
        </w:rPr>
        <w:t xml:space="preserve">Art. 1.1.2. (1) </w:t>
      </w:r>
      <w:r>
        <w:rPr>
          <w:b w:val="0"/>
          <w:i w:val="0"/>
          <w:iCs/>
        </w:rPr>
        <w:t xml:space="preserve">Prevederile generale, </w:t>
      </w:r>
      <w:r>
        <w:rPr>
          <w:b w:val="0"/>
          <w:bCs w:val="0"/>
          <w:i w:val="0"/>
          <w:iCs/>
        </w:rPr>
        <w:t>performanțele comune şi cele specifice ale normativului, inclusiv anexele acestuia, sunt obligatorii pentru toţi factorii cu atribuţii în proiectarea, realizarea și exploatarea construcţiilor, respectiv pentru proiectanţi, verificatori de proiecte, experţi tehnici, executanţi, consultanți, responsabili tehnici cu execuţia, diriginţi de şantier, proprietari sub orice titlu şi utilizatori ai construcţiilor, precum și pentru autorităţile administraţiei publice și organele de control, potrivit obligaţiilor şi răspunderilor ce le revin în conformitate cu prevederile legale.</w:t>
      </w:r>
    </w:p>
    <w:p w14:paraId="0D690607" w14:textId="77777777" w:rsidR="001C08A5" w:rsidRDefault="00000000">
      <w:pPr>
        <w:pStyle w:val="BodyText"/>
        <w:widowControl w:val="0"/>
        <w:ind w:firstLine="720"/>
        <w:rPr>
          <w:rFonts w:eastAsia="MS Mincho"/>
          <w:b w:val="0"/>
          <w:i w:val="0"/>
          <w:iCs/>
        </w:rPr>
      </w:pPr>
      <w:r>
        <w:rPr>
          <w:bCs w:val="0"/>
          <w:i w:val="0"/>
          <w:iCs/>
        </w:rPr>
        <w:t xml:space="preserve">(2) </w:t>
      </w:r>
      <w:r>
        <w:rPr>
          <w:rFonts w:eastAsia="MS Mincho"/>
          <w:b w:val="0"/>
          <w:bCs w:val="0"/>
          <w:i w:val="0"/>
          <w:iCs/>
        </w:rPr>
        <w:t>Măsurile de securitate la incendiu asigurate construcţiilor trebuie să răspundă condiţiilor, criteriilor şi nivelurilor de performanţă stabilite în prezentul normativ.</w:t>
      </w:r>
    </w:p>
    <w:p w14:paraId="111901CE" w14:textId="77777777" w:rsidR="001C08A5" w:rsidRDefault="001C08A5">
      <w:pPr>
        <w:rPr>
          <w:sz w:val="24"/>
          <w:szCs w:val="24"/>
        </w:rPr>
      </w:pPr>
    </w:p>
    <w:p w14:paraId="0766E55A" w14:textId="77777777" w:rsidR="001C08A5" w:rsidRDefault="00000000">
      <w:pPr>
        <w:widowControl w:val="0"/>
        <w:ind w:firstLine="567"/>
        <w:jc w:val="both"/>
        <w:rPr>
          <w:b/>
          <w:sz w:val="24"/>
          <w:szCs w:val="24"/>
        </w:rPr>
      </w:pPr>
      <w:r>
        <w:rPr>
          <w:b/>
          <w:sz w:val="24"/>
          <w:szCs w:val="24"/>
        </w:rPr>
        <w:t xml:space="preserve">Art. </w:t>
      </w:r>
      <w:r>
        <w:rPr>
          <w:b/>
          <w:caps/>
          <w:sz w:val="24"/>
          <w:szCs w:val="24"/>
        </w:rPr>
        <w:t>1.1.</w:t>
      </w:r>
      <w:r>
        <w:rPr>
          <w:b/>
          <w:sz w:val="24"/>
          <w:szCs w:val="24"/>
        </w:rPr>
        <w:t xml:space="preserve">3. </w:t>
      </w:r>
      <w:r>
        <w:rPr>
          <w:sz w:val="24"/>
          <w:szCs w:val="24"/>
        </w:rPr>
        <w:t xml:space="preserve">Pentru îndeplinirea cerinţei </w:t>
      </w:r>
      <w:r>
        <w:rPr>
          <w:rFonts w:eastAsia="MS Mincho"/>
          <w:sz w:val="24"/>
          <w:szCs w:val="24"/>
        </w:rPr>
        <w:t>fundamentale „securitate la incendiu”</w:t>
      </w:r>
      <w:r>
        <w:rPr>
          <w:sz w:val="24"/>
          <w:szCs w:val="24"/>
        </w:rPr>
        <w:t>, construcţiile, în ansamblu şi pe părţile lor componente, trebuie proiectate, executate, echipate şi utilizate conform prevederilor prezentului normativ, reglementărilor tehnice de specialitate și reglementărilor tehnice specifice destinaţiilor respective, astfel încât în cazul producerii unui incendiu:</w:t>
      </w:r>
    </w:p>
    <w:p w14:paraId="117952F0" w14:textId="77777777" w:rsidR="001C08A5" w:rsidRDefault="00000000">
      <w:pPr>
        <w:pStyle w:val="ListParagraph"/>
        <w:widowControl w:val="0"/>
        <w:tabs>
          <w:tab w:val="left" w:pos="1134"/>
        </w:tabs>
        <w:ind w:left="567"/>
        <w:jc w:val="both"/>
        <w:rPr>
          <w:b/>
        </w:rPr>
      </w:pPr>
      <w:r>
        <w:rPr>
          <w:b/>
        </w:rPr>
        <w:t>a)</w:t>
      </w:r>
      <w:r>
        <w:t xml:space="preserve"> stabilitatea elementelor portante să fie asigurată pe perioada de timp </w:t>
      </w:r>
      <w:hyperlink r:id="rId46" w:history="1">
        <w:r>
          <w:rPr>
            <w:rStyle w:val="Hyperlink"/>
            <w:color w:val="auto"/>
            <w:u w:val="none"/>
          </w:rPr>
          <w:t>normată;</w:t>
        </w:r>
      </w:hyperlink>
    </w:p>
    <w:p w14:paraId="766F7F3A" w14:textId="77777777" w:rsidR="001C08A5" w:rsidRDefault="00000000">
      <w:pPr>
        <w:pStyle w:val="ListParagraph"/>
        <w:widowControl w:val="0"/>
        <w:tabs>
          <w:tab w:val="left" w:pos="1134"/>
        </w:tabs>
        <w:ind w:left="567"/>
        <w:jc w:val="both"/>
        <w:rPr>
          <w:b/>
        </w:rPr>
      </w:pPr>
      <w:r>
        <w:rPr>
          <w:b/>
        </w:rPr>
        <w:t>b)</w:t>
      </w:r>
      <w:r>
        <w:t xml:space="preserve"> apariţia şi propagarea incendiului şi a fumului în interiorul construcţiei să fie limitată;</w:t>
      </w:r>
    </w:p>
    <w:p w14:paraId="2E70BD32" w14:textId="77777777" w:rsidR="001C08A5" w:rsidRDefault="00000000">
      <w:pPr>
        <w:pStyle w:val="ListParagraph"/>
        <w:widowControl w:val="0"/>
        <w:tabs>
          <w:tab w:val="left" w:pos="1134"/>
        </w:tabs>
        <w:ind w:left="567"/>
        <w:jc w:val="both"/>
        <w:rPr>
          <w:b/>
        </w:rPr>
      </w:pPr>
      <w:r>
        <w:rPr>
          <w:b/>
        </w:rPr>
        <w:t>c)</w:t>
      </w:r>
      <w:r>
        <w:t xml:space="preserve"> extinderea incendiului la și de la construcţii învecinate să fie limitată;</w:t>
      </w:r>
    </w:p>
    <w:p w14:paraId="3616FB02" w14:textId="77777777" w:rsidR="001C08A5" w:rsidRDefault="00000000">
      <w:pPr>
        <w:pStyle w:val="ListParagraph"/>
        <w:widowControl w:val="0"/>
        <w:tabs>
          <w:tab w:val="left" w:pos="1134"/>
        </w:tabs>
        <w:ind w:left="567"/>
        <w:jc w:val="both"/>
      </w:pPr>
      <w:r>
        <w:rPr>
          <w:b/>
        </w:rPr>
        <w:t>d)</w:t>
      </w:r>
      <w:r>
        <w:t xml:space="preserve"> utilizatorii să poată părăsi construcţia sau să poată fi salvaţi prin alte mijloace acceptate;</w:t>
      </w:r>
    </w:p>
    <w:p w14:paraId="2AA85F62" w14:textId="77777777" w:rsidR="001C08A5" w:rsidRDefault="00000000">
      <w:pPr>
        <w:pStyle w:val="ListParagraph"/>
        <w:widowControl w:val="0"/>
        <w:tabs>
          <w:tab w:val="left" w:pos="1134"/>
        </w:tabs>
        <w:ind w:left="567"/>
        <w:jc w:val="both"/>
      </w:pPr>
      <w:r>
        <w:rPr>
          <w:b/>
        </w:rPr>
        <w:t>e)</w:t>
      </w:r>
      <w:r>
        <w:t xml:space="preserve"> securitatea echipelor de intervenţie să fie luată în considerare.</w:t>
      </w:r>
    </w:p>
    <w:p w14:paraId="185FFC69" w14:textId="77777777" w:rsidR="001C08A5" w:rsidRDefault="001C08A5">
      <w:pPr>
        <w:rPr>
          <w:sz w:val="24"/>
          <w:szCs w:val="24"/>
        </w:rPr>
      </w:pPr>
    </w:p>
    <w:p w14:paraId="3562F866" w14:textId="77777777" w:rsidR="001C08A5" w:rsidRDefault="00000000">
      <w:pPr>
        <w:widowControl w:val="0"/>
        <w:ind w:firstLine="567"/>
        <w:jc w:val="both"/>
        <w:rPr>
          <w:sz w:val="24"/>
          <w:szCs w:val="24"/>
        </w:rPr>
      </w:pPr>
      <w:r>
        <w:rPr>
          <w:b/>
          <w:sz w:val="24"/>
          <w:szCs w:val="24"/>
        </w:rPr>
        <w:t xml:space="preserve">Art. </w:t>
      </w:r>
      <w:r>
        <w:rPr>
          <w:b/>
          <w:caps/>
          <w:sz w:val="24"/>
          <w:szCs w:val="24"/>
        </w:rPr>
        <w:t>1.1.</w:t>
      </w:r>
      <w:r>
        <w:rPr>
          <w:b/>
          <w:sz w:val="24"/>
          <w:szCs w:val="24"/>
        </w:rPr>
        <w:t xml:space="preserve">4. (1) </w:t>
      </w:r>
      <w:r>
        <w:rPr>
          <w:sz w:val="24"/>
          <w:szCs w:val="24"/>
        </w:rPr>
        <w:t>Prevederile prezentului normativ de securitate la incendiu a construcţiilor sunt obligatorii la proiectarea și realizarea construcţiilor noi, precum și la lucrările de intervenţie efectuate asupra construcţiilor existente, indiferent de forma de proprietate, destinaţie, categorie şi clasă de importanţă sau sursă de finanţare, în scopul asigurării protecției vieţii oamenilor, bunurilor acestora, societăţii şi mediului înconjurător.</w:t>
      </w:r>
    </w:p>
    <w:p w14:paraId="30E039FF" w14:textId="77777777" w:rsidR="001C08A5" w:rsidRDefault="00000000">
      <w:pPr>
        <w:widowControl w:val="0"/>
        <w:ind w:firstLine="720"/>
        <w:jc w:val="both"/>
        <w:rPr>
          <w:sz w:val="24"/>
          <w:szCs w:val="24"/>
        </w:rPr>
      </w:pPr>
      <w:r>
        <w:rPr>
          <w:b/>
          <w:sz w:val="24"/>
          <w:szCs w:val="24"/>
        </w:rPr>
        <w:t>(2)</w:t>
      </w:r>
      <w:r>
        <w:rPr>
          <w:sz w:val="24"/>
          <w:szCs w:val="24"/>
        </w:rPr>
        <w:t xml:space="preserve"> La lucrările de intervenţii efectuate asupra construcţiilor existente edificate în baza prezentului normativ, atunci când în mod justificat tehnic nu pot fi îndeplinite unele prevederi de securitate la incendiu normate, se asigură măsuri alternative de protecţie (pasive, active sau combinații ale acestora) care care să vizeze suplinirea cerințelor care nu pot fi respectate.</w:t>
      </w:r>
    </w:p>
    <w:p w14:paraId="251DB66B" w14:textId="77777777" w:rsidR="001C08A5" w:rsidRDefault="00000000">
      <w:pPr>
        <w:widowControl w:val="0"/>
        <w:ind w:firstLine="720"/>
        <w:jc w:val="both"/>
        <w:rPr>
          <w:sz w:val="24"/>
          <w:szCs w:val="24"/>
        </w:rPr>
      </w:pPr>
      <w:r>
        <w:rPr>
          <w:b/>
          <w:bCs/>
          <w:sz w:val="24"/>
          <w:szCs w:val="24"/>
        </w:rPr>
        <w:t xml:space="preserve">(3) </w:t>
      </w:r>
      <w:r>
        <w:rPr>
          <w:sz w:val="24"/>
          <w:szCs w:val="24"/>
        </w:rPr>
        <w:t xml:space="preserve">Modificarea clădirilor existente care se constituie ca fond construit anterior datei intrării în vigoare a normativului se vor conforma potrivit </w:t>
      </w:r>
      <w:r>
        <w:rPr>
          <w:b/>
          <w:bCs/>
          <w:sz w:val="24"/>
          <w:szCs w:val="24"/>
        </w:rPr>
        <w:t>capitolului 9</w:t>
      </w:r>
      <w:r>
        <w:rPr>
          <w:sz w:val="24"/>
          <w:szCs w:val="24"/>
        </w:rPr>
        <w:t xml:space="preserve"> din prezentul normativ. </w:t>
      </w:r>
    </w:p>
    <w:p w14:paraId="7FEBE4FC" w14:textId="77777777" w:rsidR="001C08A5" w:rsidRDefault="001C08A5">
      <w:pPr>
        <w:rPr>
          <w:sz w:val="24"/>
          <w:szCs w:val="24"/>
        </w:rPr>
      </w:pPr>
    </w:p>
    <w:p w14:paraId="17BC87A4" w14:textId="77777777" w:rsidR="001C08A5" w:rsidRDefault="00000000">
      <w:pPr>
        <w:ind w:firstLine="720"/>
        <w:jc w:val="both"/>
        <w:rPr>
          <w:sz w:val="24"/>
          <w:szCs w:val="24"/>
        </w:rPr>
      </w:pPr>
      <w:r>
        <w:rPr>
          <w:b/>
          <w:sz w:val="24"/>
          <w:szCs w:val="24"/>
        </w:rPr>
        <w:t>Art</w:t>
      </w:r>
      <w:r>
        <w:rPr>
          <w:b/>
          <w:bCs/>
          <w:sz w:val="24"/>
          <w:szCs w:val="24"/>
        </w:rPr>
        <w:t xml:space="preserve">. </w:t>
      </w:r>
      <w:r>
        <w:rPr>
          <w:b/>
          <w:caps/>
          <w:sz w:val="24"/>
          <w:szCs w:val="24"/>
        </w:rPr>
        <w:t>1.1.</w:t>
      </w:r>
      <w:r>
        <w:rPr>
          <w:b/>
          <w:sz w:val="24"/>
          <w:szCs w:val="24"/>
        </w:rPr>
        <w:t xml:space="preserve">5. (1) </w:t>
      </w:r>
      <w:r>
        <w:rPr>
          <w:sz w:val="24"/>
          <w:szCs w:val="24"/>
        </w:rPr>
        <w:t>Pentru construcţiile monumente istorice sau de arhitectură clasificate potrivit legii, prevederile prezentului normativ au caracter de recomandare, urmând ca la acestea să fie asigurate numai măsurile de îmbunătăţire a securităţii la incendiu posibil de realizat şi care nu afectează caracterul monumentelor respective.</w:t>
      </w:r>
    </w:p>
    <w:p w14:paraId="36AC6E3A" w14:textId="77777777" w:rsidR="001C08A5" w:rsidRDefault="00000000">
      <w:pPr>
        <w:ind w:firstLine="720"/>
        <w:jc w:val="both"/>
        <w:rPr>
          <w:sz w:val="24"/>
          <w:szCs w:val="24"/>
        </w:rPr>
      </w:pPr>
      <w:r>
        <w:rPr>
          <w:b/>
          <w:sz w:val="24"/>
          <w:szCs w:val="24"/>
        </w:rPr>
        <w:t xml:space="preserve">(2) </w:t>
      </w:r>
      <w:r>
        <w:rPr>
          <w:sz w:val="24"/>
          <w:szCs w:val="24"/>
        </w:rPr>
        <w:t xml:space="preserve">Măsurile de îmbunătăţire a securităţii la incendiu posibil de realizat şi care nu afectează caracterul monumentelor respective se efectuează în baza unei expertize tehnice pentru cerința </w:t>
      </w:r>
      <w:r>
        <w:rPr>
          <w:sz w:val="24"/>
          <w:szCs w:val="24"/>
        </w:rPr>
        <w:lastRenderedPageBreak/>
        <w:t xml:space="preserve">fundamentală securitate la incendiu, iar măsurile propuse de către expertul tehnic în vederea îmbunătățirii cerinței de securitate la incendiu se iau cu aprobarea acestora de către ministerul de resort. Evaluarea riscului de incendiu prin care se reprezintă procesul de estimare şi cuantificare a riscului asociat unui sistem, denumit risc de incendiu existent, determinat pe baza probabilităţii de producere a incendiului şi a consecinţelor evenimentului respectiv, precum și de comparare a acestuia cu un nivel limită prestabilit, denumit risc de incendiu acceptat este o modalitate suplimentară prin care o clădire monument istoric poate fi evaluată și în urma ei, în baza unei expertize tehnice, luate măsurile măsurile de îmbunătăţire a securităţii la incendiu posibil de realizat şi care nu afectează caracterul respectivului monument. </w:t>
      </w:r>
    </w:p>
    <w:p w14:paraId="100D8422" w14:textId="77777777" w:rsidR="001C08A5" w:rsidRDefault="001C08A5">
      <w:pPr>
        <w:rPr>
          <w:sz w:val="24"/>
          <w:szCs w:val="24"/>
        </w:rPr>
      </w:pPr>
    </w:p>
    <w:p w14:paraId="7192D6C1" w14:textId="77777777" w:rsidR="001C08A5" w:rsidRDefault="00000000">
      <w:pPr>
        <w:widowControl w:val="0"/>
        <w:ind w:firstLine="567"/>
        <w:jc w:val="both"/>
        <w:rPr>
          <w:b/>
          <w:sz w:val="24"/>
          <w:szCs w:val="24"/>
        </w:rPr>
      </w:pPr>
      <w:r>
        <w:rPr>
          <w:b/>
          <w:sz w:val="24"/>
          <w:szCs w:val="24"/>
        </w:rPr>
        <w:t xml:space="preserve">Art. </w:t>
      </w:r>
      <w:r>
        <w:rPr>
          <w:b/>
          <w:caps/>
          <w:sz w:val="24"/>
          <w:szCs w:val="24"/>
        </w:rPr>
        <w:t>1.1.</w:t>
      </w:r>
      <w:r>
        <w:rPr>
          <w:b/>
          <w:sz w:val="24"/>
          <w:szCs w:val="24"/>
        </w:rPr>
        <w:t xml:space="preserve">6. (1) </w:t>
      </w:r>
      <w:r>
        <w:rPr>
          <w:sz w:val="24"/>
          <w:szCs w:val="24"/>
        </w:rPr>
        <w:t>Prevederile normativului nu se aplică, la proiectarea şi realizarea:</w:t>
      </w:r>
    </w:p>
    <w:p w14:paraId="2945921E" w14:textId="77777777" w:rsidR="001C08A5" w:rsidRDefault="00000000">
      <w:pPr>
        <w:pStyle w:val="ListParagraph"/>
        <w:widowControl w:val="0"/>
        <w:tabs>
          <w:tab w:val="left" w:pos="1134"/>
        </w:tabs>
        <w:ind w:left="0"/>
        <w:jc w:val="both"/>
        <w:rPr>
          <w:b/>
        </w:rPr>
      </w:pPr>
      <w:r>
        <w:rPr>
          <w:b/>
        </w:rPr>
        <w:t xml:space="preserve">          a)</w:t>
      </w:r>
      <w:r>
        <w:t xml:space="preserve"> instalaţiilor, sistemelor, utilajelor, agregatelor, dispozitivelor și echipamentelor de producţie;</w:t>
      </w:r>
    </w:p>
    <w:p w14:paraId="6D0340DE" w14:textId="77777777" w:rsidR="001C08A5" w:rsidRDefault="00000000">
      <w:pPr>
        <w:pStyle w:val="ListParagraph"/>
        <w:widowControl w:val="0"/>
        <w:tabs>
          <w:tab w:val="left" w:pos="1134"/>
        </w:tabs>
        <w:ind w:left="0"/>
        <w:jc w:val="both"/>
        <w:rPr>
          <w:b/>
        </w:rPr>
      </w:pPr>
      <w:r>
        <w:rPr>
          <w:b/>
        </w:rPr>
        <w:t xml:space="preserve">          b)</w:t>
      </w:r>
      <w:r>
        <w:t xml:space="preserve"> construcţiilor şi instalaţiilor destinate fabricării, manipulării şi/sau depozitării substanţelor pirotehnice; </w:t>
      </w:r>
    </w:p>
    <w:p w14:paraId="30DC78CA" w14:textId="77777777" w:rsidR="001C08A5" w:rsidRDefault="00000000">
      <w:pPr>
        <w:pStyle w:val="ListParagraph"/>
        <w:widowControl w:val="0"/>
        <w:tabs>
          <w:tab w:val="left" w:pos="1134"/>
        </w:tabs>
        <w:ind w:left="0"/>
        <w:jc w:val="both"/>
        <w:rPr>
          <w:b/>
        </w:rPr>
      </w:pPr>
      <w:r>
        <w:rPr>
          <w:b/>
        </w:rPr>
        <w:t xml:space="preserve">          c)</w:t>
      </w:r>
      <w:r>
        <w:t xml:space="preserve"> instalaţiilor tehnologice chimice și petrochimice amplasate în aer liber; </w:t>
      </w:r>
    </w:p>
    <w:p w14:paraId="1512A5D7" w14:textId="77777777" w:rsidR="001C08A5" w:rsidRDefault="00000000">
      <w:pPr>
        <w:pStyle w:val="ListParagraph"/>
        <w:widowControl w:val="0"/>
        <w:tabs>
          <w:tab w:val="left" w:pos="1134"/>
        </w:tabs>
        <w:ind w:left="0"/>
        <w:jc w:val="both"/>
        <w:rPr>
          <w:b/>
        </w:rPr>
      </w:pPr>
      <w:r>
        <w:rPr>
          <w:b/>
        </w:rPr>
        <w:t xml:space="preserve">          d)</w:t>
      </w:r>
      <w:r>
        <w:t xml:space="preserve"> construcţiilor şi instalaţiilor nucleare; </w:t>
      </w:r>
    </w:p>
    <w:p w14:paraId="0770F563" w14:textId="77777777" w:rsidR="001C08A5" w:rsidRDefault="00000000">
      <w:pPr>
        <w:pStyle w:val="ListParagraph"/>
        <w:widowControl w:val="0"/>
        <w:tabs>
          <w:tab w:val="left" w:pos="1134"/>
        </w:tabs>
        <w:ind w:left="0"/>
        <w:jc w:val="both"/>
        <w:rPr>
          <w:b/>
        </w:rPr>
      </w:pPr>
      <w:r>
        <w:rPr>
          <w:b/>
        </w:rPr>
        <w:t xml:space="preserve">          e)</w:t>
      </w:r>
      <w:r>
        <w:t xml:space="preserve"> construcţiilor şi instalaţiilor aferente construcțiilor destinate producerii energei electrice ; </w:t>
      </w:r>
    </w:p>
    <w:p w14:paraId="138286FF" w14:textId="77777777" w:rsidR="001C08A5" w:rsidRDefault="00000000">
      <w:pPr>
        <w:pStyle w:val="ListParagraph"/>
        <w:widowControl w:val="0"/>
        <w:tabs>
          <w:tab w:val="left" w:pos="1134"/>
        </w:tabs>
        <w:ind w:left="0"/>
        <w:jc w:val="both"/>
        <w:rPr>
          <w:b/>
        </w:rPr>
      </w:pPr>
      <w:r>
        <w:rPr>
          <w:b/>
        </w:rPr>
        <w:t xml:space="preserve">          f)</w:t>
      </w:r>
      <w:r>
        <w:t xml:space="preserve"> construcţiilor şi instalaţiilor subterane aferente metroului; </w:t>
      </w:r>
    </w:p>
    <w:p w14:paraId="1181A8AD" w14:textId="77777777" w:rsidR="001C08A5" w:rsidRDefault="00000000">
      <w:pPr>
        <w:pStyle w:val="ListParagraph"/>
        <w:widowControl w:val="0"/>
        <w:tabs>
          <w:tab w:val="left" w:pos="1134"/>
        </w:tabs>
        <w:ind w:left="0"/>
        <w:jc w:val="both"/>
        <w:rPr>
          <w:b/>
        </w:rPr>
      </w:pPr>
      <w:r>
        <w:rPr>
          <w:b/>
        </w:rPr>
        <w:t xml:space="preserve">          g)</w:t>
      </w:r>
      <w:r>
        <w:t xml:space="preserve"> construcţiilor şi instalaţiilor specifice organizărilor de şantier;</w:t>
      </w:r>
    </w:p>
    <w:p w14:paraId="3630A5A0" w14:textId="77777777" w:rsidR="001C08A5" w:rsidRDefault="00000000">
      <w:pPr>
        <w:pStyle w:val="ListParagraph"/>
        <w:widowControl w:val="0"/>
        <w:tabs>
          <w:tab w:val="left" w:pos="1134"/>
        </w:tabs>
        <w:ind w:left="0"/>
        <w:jc w:val="both"/>
      </w:pPr>
      <w:r>
        <w:rPr>
          <w:b/>
        </w:rPr>
        <w:t xml:space="preserve">          h)</w:t>
      </w:r>
      <w:r>
        <w:t xml:space="preserve"> construcţiilor şi instalaţiilor cu caracter special ale structurilor de apărare naţională, ordine publică și siguranţă naţională, nominalizate prin ordine ale comandamentelor structurilor respective;</w:t>
      </w:r>
    </w:p>
    <w:p w14:paraId="034ECE7C" w14:textId="77777777" w:rsidR="001C08A5" w:rsidRDefault="00000000">
      <w:pPr>
        <w:pStyle w:val="ListParagraph"/>
        <w:widowControl w:val="0"/>
        <w:tabs>
          <w:tab w:val="left" w:pos="1134"/>
        </w:tabs>
        <w:ind w:left="0" w:firstLineChars="300" w:firstLine="723"/>
        <w:jc w:val="both"/>
        <w:rPr>
          <w:bCs/>
        </w:rPr>
      </w:pPr>
      <w:r>
        <w:rPr>
          <w:b/>
          <w:bCs/>
        </w:rPr>
        <w:t>i)</w:t>
      </w:r>
      <w:r>
        <w:rPr>
          <w:bCs/>
        </w:rPr>
        <w:t xml:space="preserve"> construcţiilor inginereşti: căi de comunicaţie [drumuri, căi ferate, poduri, tuneluri (cu excepția c</w:t>
      </w:r>
      <w:r>
        <w:t>anivourilor și a canalelor tehnice subterane ale construcțiilor, piste, etc), construcții industriale speciale</w:t>
      </w:r>
      <w:r>
        <w:rPr>
          <w:bCs/>
        </w:rPr>
        <w:t xml:space="preserve"> (coșuri de fum, turnuri de răcire, antene, buncăre, silozuri, castele de apă, telegondole sau alte sisteme de transport pe cablu, liniile de transport ale energiei electrice și ale fluidelor tehnologice, sisteme de canalizare, precum şi altele similare];</w:t>
      </w:r>
    </w:p>
    <w:p w14:paraId="015418FB" w14:textId="77777777" w:rsidR="001C08A5" w:rsidRDefault="00000000">
      <w:pPr>
        <w:pStyle w:val="ListParagraph"/>
        <w:widowControl w:val="0"/>
        <w:tabs>
          <w:tab w:val="left" w:pos="1134"/>
        </w:tabs>
        <w:ind w:left="0" w:firstLineChars="300" w:firstLine="723"/>
        <w:jc w:val="both"/>
        <w:rPr>
          <w:rFonts w:eastAsia="TimesNewRomanPS-ItalicMT"/>
        </w:rPr>
      </w:pPr>
      <w:r>
        <w:rPr>
          <w:b/>
          <w:bCs/>
        </w:rPr>
        <w:t xml:space="preserve">j) </w:t>
      </w:r>
      <w:r>
        <w:rPr>
          <w:rFonts w:eastAsia="TimesNewRomanPS-ItalicMT"/>
        </w:rPr>
        <w:t>depozitelor  de lichide sau gaze în aer liber și a instalațiilor tehnologice aferente ;</w:t>
      </w:r>
    </w:p>
    <w:p w14:paraId="124F15ED" w14:textId="77777777" w:rsidR="001C08A5" w:rsidRDefault="00000000">
      <w:pPr>
        <w:pStyle w:val="ListParagraph"/>
        <w:widowControl w:val="0"/>
        <w:autoSpaceDE w:val="0"/>
        <w:autoSpaceDN w:val="0"/>
        <w:adjustRightInd w:val="0"/>
        <w:jc w:val="both"/>
        <w:rPr>
          <w:rFonts w:eastAsia="TimesNewRomanPS-ItalicMT"/>
        </w:rPr>
      </w:pPr>
      <w:r>
        <w:rPr>
          <w:b/>
          <w:bCs/>
        </w:rPr>
        <w:t xml:space="preserve">k) </w:t>
      </w:r>
      <w:r>
        <w:rPr>
          <w:rFonts w:eastAsia="TimesNewRomanPS-ItalicMT"/>
        </w:rPr>
        <w:t xml:space="preserve">stațiilor de distribuție carburanți indiferent de tipul acestora </w:t>
      </w:r>
    </w:p>
    <w:p w14:paraId="7F08ED2B" w14:textId="77777777" w:rsidR="001C08A5" w:rsidRDefault="00000000">
      <w:pPr>
        <w:pStyle w:val="ListParagraph"/>
        <w:widowControl w:val="0"/>
        <w:autoSpaceDE w:val="0"/>
        <w:autoSpaceDN w:val="0"/>
        <w:adjustRightInd w:val="0"/>
        <w:jc w:val="both"/>
        <w:rPr>
          <w:rFonts w:eastAsia="TimesNewRomanPS-ItalicMT"/>
        </w:rPr>
      </w:pPr>
      <w:r>
        <w:rPr>
          <w:b/>
          <w:bCs/>
        </w:rPr>
        <w:t xml:space="preserve">l) </w:t>
      </w:r>
      <w:r>
        <w:rPr>
          <w:rFonts w:eastAsia="TimesNewRomanPS-ItalicMT"/>
        </w:rPr>
        <w:t xml:space="preserve">sistemelor de distributie GPL la consumatori casnici sau industriali. </w:t>
      </w:r>
    </w:p>
    <w:p w14:paraId="147F9406" w14:textId="77777777" w:rsidR="001C08A5" w:rsidRDefault="00000000">
      <w:pPr>
        <w:pStyle w:val="ListParagraph"/>
        <w:widowControl w:val="0"/>
        <w:autoSpaceDE w:val="0"/>
        <w:autoSpaceDN w:val="0"/>
        <w:adjustRightInd w:val="0"/>
        <w:jc w:val="both"/>
        <w:rPr>
          <w:rFonts w:eastAsia="TimesNewRomanPS-ItalicMT"/>
        </w:rPr>
      </w:pPr>
      <w:r>
        <w:rPr>
          <w:b/>
          <w:bCs/>
        </w:rPr>
        <w:t xml:space="preserve">m) </w:t>
      </w:r>
      <w:r>
        <w:t>platforme maritime</w:t>
      </w:r>
      <w:r>
        <w:rPr>
          <w:rFonts w:eastAsia="TimesNewRomanPS-ItalicMT"/>
        </w:rPr>
        <w:t>;</w:t>
      </w:r>
    </w:p>
    <w:p w14:paraId="7D5E6A8A" w14:textId="77777777" w:rsidR="001C08A5" w:rsidRDefault="00000000">
      <w:pPr>
        <w:pStyle w:val="ListParagraph"/>
        <w:widowControl w:val="0"/>
        <w:autoSpaceDE w:val="0"/>
        <w:autoSpaceDN w:val="0"/>
        <w:adjustRightInd w:val="0"/>
        <w:jc w:val="both"/>
        <w:rPr>
          <w:rFonts w:eastAsia="TimesNewRomanPS-ItalicMT"/>
        </w:rPr>
      </w:pPr>
      <w:r>
        <w:rPr>
          <w:b/>
          <w:bCs/>
        </w:rPr>
        <w:t xml:space="preserve">n) </w:t>
      </w:r>
      <w:r>
        <w:t xml:space="preserve">heliporturile amenajate </w:t>
      </w:r>
      <w:r>
        <w:rPr>
          <w:lang w:val="en-US"/>
        </w:rPr>
        <w:t>pe</w:t>
      </w:r>
      <w:r>
        <w:t xml:space="preserve"> clădiri</w:t>
      </w:r>
      <w:r>
        <w:rPr>
          <w:rFonts w:eastAsia="TimesNewRomanPS-ItalicMT"/>
        </w:rPr>
        <w:t>.</w:t>
      </w:r>
    </w:p>
    <w:p w14:paraId="2A2A3176" w14:textId="77777777" w:rsidR="001C08A5" w:rsidRDefault="00000000">
      <w:pPr>
        <w:widowControl w:val="0"/>
        <w:autoSpaceDE w:val="0"/>
        <w:autoSpaceDN w:val="0"/>
        <w:adjustRightInd w:val="0"/>
        <w:jc w:val="both"/>
        <w:rPr>
          <w:i/>
          <w:iCs/>
          <w:sz w:val="22"/>
          <w:szCs w:val="22"/>
        </w:rPr>
      </w:pPr>
      <w:r>
        <w:rPr>
          <w:rFonts w:eastAsia="TimesNewRomanPS-ItalicMT"/>
          <w:i/>
          <w:iCs/>
          <w:sz w:val="22"/>
          <w:szCs w:val="22"/>
        </w:rPr>
        <w:t>Nota : organizarea incintelor, amplasarea utilajelor și echipamentelor și cerințele de siguranta și de securitate la incnediu vor fi preluate din Normativele de proiectare, execuție și exploatare specifice, existente în legislație.</w:t>
      </w:r>
    </w:p>
    <w:p w14:paraId="2FB84320" w14:textId="77777777" w:rsidR="001C08A5" w:rsidRDefault="00000000">
      <w:pPr>
        <w:pStyle w:val="ListParagraph"/>
        <w:widowControl w:val="0"/>
        <w:tabs>
          <w:tab w:val="left" w:pos="1134"/>
        </w:tabs>
        <w:ind w:left="0" w:firstLineChars="300" w:firstLine="723"/>
        <w:jc w:val="both"/>
        <w:rPr>
          <w:bCs/>
          <w:lang w:eastAsia="ro-RO"/>
        </w:rPr>
      </w:pPr>
      <w:r>
        <w:rPr>
          <w:b/>
        </w:rPr>
        <w:t>(2)</w:t>
      </w:r>
      <w:r>
        <w:t xml:space="preserve"> Clădirile agrozootehnice se tratează prin asimilare cu construcţiile civile sau de producţie sau depozitare, în funcţie de destinaţia acestora, respectându-se </w:t>
      </w:r>
      <w:r>
        <w:rPr>
          <w:bCs/>
          <w:lang w:eastAsia="ro-RO"/>
        </w:rPr>
        <w:t xml:space="preserve">prevederile normativului </w:t>
      </w:r>
      <w:r>
        <w:t>şi normele specifice acestora</w:t>
      </w:r>
      <w:r>
        <w:rPr>
          <w:bCs/>
          <w:lang w:eastAsia="ro-RO"/>
        </w:rPr>
        <w:t>.</w:t>
      </w:r>
    </w:p>
    <w:p w14:paraId="4AF3F280" w14:textId="77777777" w:rsidR="001C08A5" w:rsidRDefault="001C08A5">
      <w:pPr>
        <w:pStyle w:val="ListParagraph"/>
        <w:widowControl w:val="0"/>
        <w:tabs>
          <w:tab w:val="left" w:pos="1134"/>
        </w:tabs>
        <w:ind w:left="0" w:firstLineChars="300" w:firstLine="720"/>
        <w:jc w:val="both"/>
        <w:rPr>
          <w:bCs/>
          <w:lang w:eastAsia="ro-RO"/>
        </w:rPr>
      </w:pPr>
    </w:p>
    <w:p w14:paraId="0BAAE41B" w14:textId="77777777" w:rsidR="001C08A5" w:rsidRDefault="00000000">
      <w:pPr>
        <w:ind w:firstLine="720"/>
        <w:jc w:val="both"/>
        <w:rPr>
          <w:sz w:val="24"/>
          <w:szCs w:val="24"/>
          <w:lang w:eastAsia="zh-CN"/>
        </w:rPr>
      </w:pPr>
      <w:r>
        <w:rPr>
          <w:b/>
          <w:sz w:val="24"/>
          <w:szCs w:val="24"/>
        </w:rPr>
        <w:t xml:space="preserve">Art. </w:t>
      </w:r>
      <w:r>
        <w:rPr>
          <w:b/>
          <w:caps/>
          <w:sz w:val="24"/>
          <w:szCs w:val="24"/>
        </w:rPr>
        <w:t>1.1.7</w:t>
      </w:r>
      <w:r>
        <w:rPr>
          <w:b/>
          <w:sz w:val="24"/>
          <w:szCs w:val="24"/>
        </w:rPr>
        <w:t xml:space="preserve">. (1) </w:t>
      </w:r>
      <w:r>
        <w:rPr>
          <w:sz w:val="24"/>
          <w:szCs w:val="24"/>
        </w:rPr>
        <w:t xml:space="preserve"> Se consideră îndeplinite criteriile referitoare la clasa de reacţie la foc dacă performanţele efectiv realizate sunt egale sau superioare celor minime stabilite de normativ. </w:t>
      </w:r>
      <w:r>
        <w:rPr>
          <w:sz w:val="24"/>
          <w:szCs w:val="24"/>
          <w:lang w:eastAsia="zh-CN"/>
        </w:rPr>
        <w:t xml:space="preserve">Sunt permise clase de reacție la foc având numere cardinale mai mici decât cele indicate în cuprinsul normativului sau printr-o literă anterioară a alfabetului (de exemplu, dacă este permisă clasa </w:t>
      </w:r>
      <w:r>
        <w:rPr>
          <w:b/>
          <w:bCs/>
          <w:sz w:val="24"/>
          <w:szCs w:val="24"/>
          <w:lang w:eastAsia="zh-CN"/>
        </w:rPr>
        <w:t>B-s3d1</w:t>
      </w:r>
      <w:r>
        <w:rPr>
          <w:sz w:val="24"/>
          <w:szCs w:val="24"/>
          <w:lang w:eastAsia="zh-CN"/>
        </w:rPr>
        <w:t xml:space="preserve">, atunci clasele </w:t>
      </w:r>
      <w:r>
        <w:rPr>
          <w:b/>
          <w:bCs/>
          <w:sz w:val="24"/>
          <w:szCs w:val="24"/>
          <w:lang w:eastAsia="zh-CN"/>
        </w:rPr>
        <w:t>B-s3d0, B-s2d1, B-s2d0, B-s1d1, B-s1d0, A2-s1÷s3,d0÷d1</w:t>
      </w:r>
      <w:r>
        <w:rPr>
          <w:sz w:val="24"/>
          <w:szCs w:val="24"/>
          <w:lang w:eastAsia="zh-CN"/>
        </w:rPr>
        <w:t xml:space="preserve">și </w:t>
      </w:r>
      <w:r>
        <w:rPr>
          <w:b/>
          <w:bCs/>
          <w:sz w:val="24"/>
          <w:szCs w:val="24"/>
          <w:lang w:eastAsia="zh-CN"/>
        </w:rPr>
        <w:t>A1</w:t>
      </w:r>
      <w:r>
        <w:rPr>
          <w:sz w:val="24"/>
          <w:szCs w:val="24"/>
          <w:lang w:eastAsia="zh-CN"/>
        </w:rPr>
        <w:t xml:space="preserve"> sunt de asemenea permise).</w:t>
      </w:r>
    </w:p>
    <w:p w14:paraId="35FD9DDA" w14:textId="77777777" w:rsidR="001C08A5" w:rsidRDefault="00000000">
      <w:pPr>
        <w:pStyle w:val="ListParagraph"/>
        <w:widowControl w:val="0"/>
        <w:tabs>
          <w:tab w:val="left" w:pos="1134"/>
        </w:tabs>
        <w:ind w:left="0" w:firstLineChars="300" w:firstLine="723"/>
        <w:jc w:val="both"/>
      </w:pPr>
      <w:r>
        <w:rPr>
          <w:b/>
        </w:rPr>
        <w:t xml:space="preserve"> (2) </w:t>
      </w:r>
      <w:r>
        <w:t>Clasificarea rezistenței la foc a unui produs pentru o anumită perioadă de timp include toate clasele inferioare, astfel:</w:t>
      </w:r>
    </w:p>
    <w:p w14:paraId="5D9D76F4" w14:textId="77777777" w:rsidR="001C08A5" w:rsidRDefault="00000000">
      <w:pPr>
        <w:pStyle w:val="ListParagraph"/>
        <w:widowControl w:val="0"/>
        <w:tabs>
          <w:tab w:val="left" w:pos="1134"/>
        </w:tabs>
        <w:ind w:left="1440" w:firstLineChars="300" w:firstLine="720"/>
        <w:jc w:val="both"/>
      </w:pPr>
      <w:r>
        <w:t xml:space="preserve"> - Clasificarea </w:t>
      </w:r>
      <w:r>
        <w:rPr>
          <w:b/>
          <w:bCs/>
        </w:rPr>
        <w:t>REI-M</w:t>
      </w:r>
      <w:r>
        <w:t xml:space="preserve"> a unui produs pentru un interval de timp dat include clasificările</w:t>
      </w:r>
      <w:r>
        <w:rPr>
          <w:b/>
          <w:bCs/>
        </w:rPr>
        <w:t xml:space="preserve"> REI, RE, R</w:t>
      </w:r>
      <w:r>
        <w:t xml:space="preserve"> pentru aceeași perioadă.</w:t>
      </w:r>
    </w:p>
    <w:p w14:paraId="7CE968C5" w14:textId="77777777" w:rsidR="001C08A5" w:rsidRDefault="00000000">
      <w:pPr>
        <w:pStyle w:val="ListParagraph"/>
        <w:widowControl w:val="0"/>
        <w:tabs>
          <w:tab w:val="left" w:pos="1134"/>
        </w:tabs>
        <w:ind w:left="1440" w:firstLineChars="300" w:firstLine="720"/>
        <w:jc w:val="both"/>
      </w:pPr>
      <w:r>
        <w:t xml:space="preserve">- Clasificarea </w:t>
      </w:r>
      <w:r>
        <w:rPr>
          <w:b/>
          <w:bCs/>
        </w:rPr>
        <w:t>REI</w:t>
      </w:r>
      <w:r>
        <w:t xml:space="preserve"> a unui produs pentru un interval de timp dat include clasificările </w:t>
      </w:r>
      <w:r>
        <w:rPr>
          <w:b/>
          <w:bCs/>
        </w:rPr>
        <w:t xml:space="preserve"> RE, R</w:t>
      </w:r>
      <w:r>
        <w:t xml:space="preserve"> pentru aceeași perioadă.</w:t>
      </w:r>
    </w:p>
    <w:p w14:paraId="2165509E" w14:textId="77777777" w:rsidR="001C08A5" w:rsidRDefault="00000000">
      <w:pPr>
        <w:pStyle w:val="ListParagraph"/>
        <w:widowControl w:val="0"/>
        <w:tabs>
          <w:tab w:val="left" w:pos="1134"/>
        </w:tabs>
        <w:ind w:left="1440" w:firstLineChars="300" w:firstLine="720"/>
        <w:jc w:val="both"/>
      </w:pPr>
      <w:r>
        <w:t xml:space="preserve">- Clasificarea </w:t>
      </w:r>
      <w:r>
        <w:rPr>
          <w:b/>
          <w:bCs/>
        </w:rPr>
        <w:t>EI-M</w:t>
      </w:r>
      <w:r>
        <w:t xml:space="preserve"> a unui produs pentru un interval de timp dat include clasificările </w:t>
      </w:r>
      <w:r>
        <w:rPr>
          <w:b/>
          <w:bCs/>
        </w:rPr>
        <w:t xml:space="preserve">EI </w:t>
      </w:r>
      <w:r>
        <w:t>și</w:t>
      </w:r>
      <w:r>
        <w:rPr>
          <w:b/>
          <w:bCs/>
        </w:rPr>
        <w:t xml:space="preserve"> E</w:t>
      </w:r>
      <w:r>
        <w:t xml:space="preserve"> pentru aceeași perioadă.</w:t>
      </w:r>
    </w:p>
    <w:p w14:paraId="46D28B66" w14:textId="77777777" w:rsidR="001C08A5" w:rsidRDefault="00000000">
      <w:pPr>
        <w:pStyle w:val="ListParagraph"/>
        <w:widowControl w:val="0"/>
        <w:tabs>
          <w:tab w:val="left" w:pos="1134"/>
        </w:tabs>
        <w:ind w:left="1440" w:firstLineChars="300" w:firstLine="720"/>
        <w:jc w:val="both"/>
      </w:pPr>
      <w:r>
        <w:t xml:space="preserve">- Clasificarea </w:t>
      </w:r>
      <w:r>
        <w:rPr>
          <w:b/>
          <w:bCs/>
        </w:rPr>
        <w:t>EI</w:t>
      </w:r>
      <w:r>
        <w:t xml:space="preserve"> a unui produs pentru un interval de timp dat include clasificarea </w:t>
      </w:r>
      <w:r>
        <w:rPr>
          <w:b/>
          <w:bCs/>
        </w:rPr>
        <w:t xml:space="preserve"> E</w:t>
      </w:r>
      <w:r>
        <w:t xml:space="preserve"> pentru aceeași perioadă.</w:t>
      </w:r>
    </w:p>
    <w:p w14:paraId="163AA545" w14:textId="77777777" w:rsidR="001C08A5" w:rsidRDefault="00000000">
      <w:pPr>
        <w:pStyle w:val="ListParagraph"/>
        <w:widowControl w:val="0"/>
        <w:tabs>
          <w:tab w:val="left" w:pos="1134"/>
        </w:tabs>
        <w:ind w:left="1440" w:firstLineChars="300" w:firstLine="720"/>
        <w:jc w:val="both"/>
      </w:pPr>
      <w:r>
        <w:lastRenderedPageBreak/>
        <w:t xml:space="preserve">- Cerința </w:t>
      </w:r>
      <w:r>
        <w:rPr>
          <w:b/>
          <w:bCs/>
        </w:rPr>
        <w:t>I</w:t>
      </w:r>
      <w:r>
        <w:t xml:space="preserve"> a unui produs pentru un interval de timp dat include cerința </w:t>
      </w:r>
      <w:r>
        <w:rPr>
          <w:b/>
          <w:bCs/>
        </w:rPr>
        <w:t>W</w:t>
      </w:r>
      <w:r>
        <w:t xml:space="preserve">pentru aceeași perioadă (cerința </w:t>
      </w:r>
      <w:r>
        <w:rPr>
          <w:b/>
          <w:bCs/>
        </w:rPr>
        <w:t>W</w:t>
      </w:r>
      <w:r>
        <w:t xml:space="preserve"> a unui produs pentru un interval de timp dat </w:t>
      </w:r>
      <w:r>
        <w:rPr>
          <w:b/>
          <w:bCs/>
        </w:rPr>
        <w:t>nu</w:t>
      </w:r>
      <w:r>
        <w:t xml:space="preserve"> include cerința </w:t>
      </w:r>
      <w:r>
        <w:rPr>
          <w:b/>
          <w:bCs/>
        </w:rPr>
        <w:t>I</w:t>
      </w:r>
      <w:r>
        <w:t xml:space="preserve"> pentru aceeași perioadă).</w:t>
      </w:r>
    </w:p>
    <w:p w14:paraId="62E2FA0B" w14:textId="77777777" w:rsidR="001C08A5" w:rsidRDefault="001C08A5">
      <w:pPr>
        <w:rPr>
          <w:sz w:val="24"/>
          <w:szCs w:val="24"/>
          <w:lang w:eastAsia="ro-RO"/>
        </w:rPr>
      </w:pPr>
    </w:p>
    <w:p w14:paraId="389F57C1" w14:textId="77777777" w:rsidR="001C08A5" w:rsidRDefault="00000000">
      <w:pPr>
        <w:shd w:val="clear" w:color="auto" w:fill="FFFFFF"/>
        <w:ind w:firstLine="720"/>
        <w:jc w:val="both"/>
        <w:rPr>
          <w:i/>
          <w:iCs/>
          <w:sz w:val="24"/>
          <w:szCs w:val="24"/>
        </w:rPr>
      </w:pPr>
      <w:r>
        <w:rPr>
          <w:b/>
          <w:sz w:val="24"/>
          <w:szCs w:val="24"/>
        </w:rPr>
        <w:t xml:space="preserve">Art. </w:t>
      </w:r>
      <w:r>
        <w:rPr>
          <w:b/>
          <w:caps/>
          <w:sz w:val="24"/>
          <w:szCs w:val="24"/>
        </w:rPr>
        <w:t>1.1.</w:t>
      </w:r>
      <w:r>
        <w:rPr>
          <w:b/>
          <w:sz w:val="24"/>
          <w:szCs w:val="24"/>
        </w:rPr>
        <w:t xml:space="preserve">8. (1) </w:t>
      </w:r>
      <w:r>
        <w:rPr>
          <w:sz w:val="24"/>
          <w:szCs w:val="24"/>
          <w:shd w:val="clear" w:color="auto" w:fill="FFFFFF"/>
          <w:lang w:eastAsia="zh-CN"/>
        </w:rPr>
        <w:t xml:space="preserve">Pentru îndeplinirea condiţiilor, criteriilor şi nivelurilor de performanţă normate, se vor utiliza materiale, elemente şi produse de construcţii realizate în ţară sau importate, conforme cu </w:t>
      </w:r>
      <w:r>
        <w:rPr>
          <w:sz w:val="24"/>
          <w:szCs w:val="24"/>
        </w:rPr>
        <w:t>Hotârîrea Guvernului nr. 668/2017</w:t>
      </w:r>
      <w:r>
        <w:rPr>
          <w:rFonts w:eastAsia="Cambria"/>
          <w:sz w:val="24"/>
          <w:szCs w:val="24"/>
          <w:shd w:val="clear" w:color="auto" w:fill="FFFFFF"/>
          <w:lang w:eastAsia="zh-CN"/>
        </w:rPr>
        <w:t> </w:t>
      </w:r>
      <w:r>
        <w:rPr>
          <w:sz w:val="24"/>
          <w:szCs w:val="24"/>
          <w:shd w:val="clear" w:color="auto" w:fill="FFFFFF"/>
          <w:lang w:eastAsia="zh-CN"/>
        </w:rPr>
        <w:t>privind stabilirea condițiilor pentru comercializarea produselor pentru construcții. Nu sunt permise materiale, elemente şi produse de construcţii pentru care fabricantul/importatorul/distribuitorul declară „nicio performanță determinată (NPD)” sau performanță deschisă (OD – open description)”. Comportarea la foc a materialelor, elementelor și produselor de construcţii se determină pe baza regulamentelor UE, regulamentelor delegate UE și a deciziilor CE aplicabile.</w:t>
      </w:r>
    </w:p>
    <w:p w14:paraId="53F66632" w14:textId="77777777" w:rsidR="001C08A5" w:rsidRDefault="00000000">
      <w:pPr>
        <w:widowControl w:val="0"/>
        <w:autoSpaceDE w:val="0"/>
        <w:ind w:firstLine="720"/>
        <w:jc w:val="both"/>
        <w:rPr>
          <w:b/>
          <w:sz w:val="24"/>
          <w:szCs w:val="24"/>
        </w:rPr>
      </w:pPr>
      <w:r>
        <w:rPr>
          <w:b/>
          <w:sz w:val="24"/>
          <w:szCs w:val="24"/>
        </w:rPr>
        <w:t xml:space="preserve">(2) </w:t>
      </w:r>
      <w:r>
        <w:rPr>
          <w:sz w:val="24"/>
          <w:szCs w:val="24"/>
        </w:rPr>
        <w:t xml:space="preserve"> Ca alternativă la metoda de încercare la foc în laborator, pentru evaluarea criteriului de performanță privind rezistența la foc a elementelor de construcții se pot utiliza procedurile de calcul prezentate în eurocoduri.</w:t>
      </w:r>
      <w:r>
        <w:rPr>
          <w:b/>
          <w:sz w:val="24"/>
          <w:szCs w:val="24"/>
        </w:rPr>
        <w:tab/>
      </w:r>
    </w:p>
    <w:p w14:paraId="2EBB7943" w14:textId="77777777" w:rsidR="001C08A5" w:rsidRDefault="00000000">
      <w:pPr>
        <w:ind w:firstLine="720"/>
        <w:jc w:val="both"/>
        <w:rPr>
          <w:sz w:val="24"/>
          <w:szCs w:val="24"/>
        </w:rPr>
      </w:pPr>
      <w:r>
        <w:rPr>
          <w:b/>
          <w:sz w:val="24"/>
          <w:szCs w:val="24"/>
        </w:rPr>
        <w:t xml:space="preserve">(3) </w:t>
      </w:r>
      <w:r>
        <w:rPr>
          <w:bCs/>
          <w:sz w:val="24"/>
          <w:szCs w:val="24"/>
        </w:rPr>
        <w:t>P</w:t>
      </w:r>
      <w:r>
        <w:rPr>
          <w:sz w:val="24"/>
          <w:szCs w:val="24"/>
        </w:rPr>
        <w:t>ereţii de tip ușor realizaţi în montaj uscat din plăci subțiri (din gips-carton, ipsos armat cu fibră de sticlă, plăci din ciment etc.), cu sau fără elemente vitrate, precum și pereții realizați din alte tipuri de componente (panouri din tablă cutată cu termoizolație, etc.) se pot pune în operă, în baza agrementelor tehnice pentru sisteme de pereți de tip ușor sau a evaluării tehnice europene pentru punerea în piață a produselor pentru construcții, unde rezistenţa la foc a acestora se determină conform standardelor de încercări în vigoare pentru clasificarea lor privind comportarea la foc.</w:t>
      </w:r>
    </w:p>
    <w:p w14:paraId="6927C4CC" w14:textId="77777777" w:rsidR="001C08A5" w:rsidRDefault="00000000">
      <w:pPr>
        <w:widowControl w:val="0"/>
        <w:ind w:firstLine="720"/>
        <w:jc w:val="both"/>
        <w:rPr>
          <w:sz w:val="24"/>
          <w:szCs w:val="24"/>
        </w:rPr>
      </w:pPr>
      <w:r>
        <w:rPr>
          <w:b/>
          <w:bCs/>
          <w:sz w:val="24"/>
          <w:szCs w:val="24"/>
        </w:rPr>
        <w:t>(4)</w:t>
      </w:r>
      <w:r>
        <w:rPr>
          <w:sz w:val="24"/>
          <w:szCs w:val="24"/>
        </w:rPr>
        <w:t xml:space="preserve"> Clasa de reactie la foc a peretilor de gips carton impusă în normativ se referă la elementele componente ale peretelui (placi de gips carton, montanți, traverse, elemente de fixare, izolații interioare). </w:t>
      </w:r>
    </w:p>
    <w:p w14:paraId="35B5AE8F" w14:textId="77777777" w:rsidR="001C08A5" w:rsidRDefault="00000000">
      <w:pPr>
        <w:widowControl w:val="0"/>
        <w:ind w:firstLine="720"/>
        <w:jc w:val="both"/>
        <w:rPr>
          <w:sz w:val="24"/>
          <w:szCs w:val="24"/>
        </w:rPr>
      </w:pPr>
      <w:r>
        <w:rPr>
          <w:b/>
          <w:bCs/>
          <w:sz w:val="24"/>
          <w:szCs w:val="24"/>
          <w:lang w:val="en-US" w:eastAsia="ro-RO"/>
        </w:rPr>
        <w:t>(5)</w:t>
      </w:r>
      <w:r>
        <w:rPr>
          <w:sz w:val="24"/>
          <w:szCs w:val="24"/>
          <w:lang w:val="en-US" w:eastAsia="ro-RO"/>
        </w:rPr>
        <w:t xml:space="preserve"> Atunci când în decursul normativului se prevăd condiții de echipare cu </w:t>
      </w:r>
      <w:r>
        <w:rPr>
          <w:sz w:val="24"/>
          <w:szCs w:val="24"/>
        </w:rPr>
        <w:t xml:space="preserve">instalaţii automate de stingere a incendiului cu sprinklere </w:t>
      </w:r>
      <w:r>
        <w:rPr>
          <w:sz w:val="24"/>
          <w:szCs w:val="24"/>
          <w:lang w:val="en-US" w:eastAsia="ro-RO"/>
        </w:rPr>
        <w:t>pentru construcție, clădire ori compartiment de incendiu</w:t>
      </w:r>
      <w:r>
        <w:rPr>
          <w:sz w:val="24"/>
          <w:szCs w:val="24"/>
        </w:rPr>
        <w:t xml:space="preserve">, aceste instalații automate se prevăd conform prevederilor Normativului </w:t>
      </w:r>
      <w:r>
        <w:rPr>
          <w:b/>
          <w:bCs/>
          <w:sz w:val="24"/>
          <w:szCs w:val="24"/>
        </w:rPr>
        <w:t xml:space="preserve">P118:2 </w:t>
      </w:r>
      <w:r>
        <w:rPr>
          <w:sz w:val="24"/>
          <w:szCs w:val="24"/>
        </w:rPr>
        <w:t>și/ sau</w:t>
      </w:r>
      <w:r>
        <w:rPr>
          <w:b/>
          <w:bCs/>
          <w:sz w:val="24"/>
          <w:szCs w:val="24"/>
        </w:rPr>
        <w:t xml:space="preserve"> SR EN 12845 </w:t>
      </w:r>
      <w:r>
        <w:rPr>
          <w:sz w:val="24"/>
          <w:szCs w:val="24"/>
          <w:lang w:val="en-US" w:eastAsia="ro-RO"/>
        </w:rPr>
        <w:t>pentru toată construcția, clădirea ori pentru tot compartimentul de incendiu (cu excepția clădirilor înalte sau foarte înalte la care dotarea se face pentru întraga clădire</w:t>
      </w:r>
      <w:r>
        <w:rPr>
          <w:sz w:val="24"/>
          <w:szCs w:val="24"/>
        </w:rPr>
        <w:t xml:space="preserve">), având în vedere spațiile exceptate de la echipare și cele protejate cu alte instalații automate de stingere compatibile. Nu se prevăd instalații automate de stingere tip sprinkler în cazurile în care stingerea incendiului se asigură cu instalații automate de stingere cu alte substanțe prevăzute în Normativul </w:t>
      </w:r>
      <w:r>
        <w:rPr>
          <w:b/>
          <w:bCs/>
          <w:sz w:val="24"/>
          <w:szCs w:val="24"/>
        </w:rPr>
        <w:t>P118:2</w:t>
      </w:r>
      <w:r>
        <w:rPr>
          <w:sz w:val="24"/>
          <w:szCs w:val="24"/>
        </w:rPr>
        <w:t xml:space="preserve"> și/ sau</w:t>
      </w:r>
      <w:r>
        <w:rPr>
          <w:b/>
          <w:bCs/>
          <w:sz w:val="24"/>
          <w:szCs w:val="24"/>
        </w:rPr>
        <w:t xml:space="preserve"> SR EN 12845</w:t>
      </w:r>
      <w:r>
        <w:rPr>
          <w:sz w:val="24"/>
          <w:szCs w:val="24"/>
        </w:rPr>
        <w:t xml:space="preserve">, precum și atunci când apa nu este indicată ca substanță de stingere, situație în care se prevăd instalații automate de stingere cu alte substanțe prevăzute conform </w:t>
      </w:r>
      <w:r>
        <w:rPr>
          <w:b/>
          <w:bCs/>
          <w:sz w:val="24"/>
          <w:szCs w:val="24"/>
        </w:rPr>
        <w:t>P118:2</w:t>
      </w:r>
      <w:r>
        <w:rPr>
          <w:sz w:val="24"/>
          <w:szCs w:val="24"/>
        </w:rPr>
        <w:t xml:space="preserve"> și/ sau</w:t>
      </w:r>
      <w:r>
        <w:rPr>
          <w:b/>
          <w:bCs/>
          <w:sz w:val="24"/>
          <w:szCs w:val="24"/>
        </w:rPr>
        <w:t xml:space="preserve"> SR EN 12845</w:t>
      </w:r>
      <w:r>
        <w:rPr>
          <w:sz w:val="24"/>
          <w:szCs w:val="24"/>
        </w:rPr>
        <w:t>.</w:t>
      </w:r>
    </w:p>
    <w:p w14:paraId="15F685BC" w14:textId="77777777" w:rsidR="001C08A5" w:rsidRDefault="00000000">
      <w:pPr>
        <w:widowControl w:val="0"/>
        <w:ind w:firstLine="720"/>
        <w:jc w:val="both"/>
        <w:rPr>
          <w:sz w:val="24"/>
          <w:szCs w:val="24"/>
        </w:rPr>
      </w:pPr>
      <w:r>
        <w:rPr>
          <w:b/>
          <w:bCs/>
          <w:sz w:val="24"/>
          <w:szCs w:val="24"/>
          <w:lang w:val="en-US" w:eastAsia="ro-RO"/>
        </w:rPr>
        <w:t>(6)</w:t>
      </w:r>
      <w:r>
        <w:rPr>
          <w:sz w:val="24"/>
          <w:szCs w:val="24"/>
          <w:lang w:val="en-US" w:eastAsia="ro-RO"/>
        </w:rPr>
        <w:t xml:space="preserve"> Atunci când în decursul normativului se prevăd condiții de echipare cu </w:t>
      </w:r>
      <w:r>
        <w:rPr>
          <w:sz w:val="24"/>
          <w:szCs w:val="24"/>
        </w:rPr>
        <w:t>sisteme cu ceaţă de apă (</w:t>
      </w:r>
      <w:r>
        <w:rPr>
          <w:sz w:val="24"/>
          <w:szCs w:val="24"/>
          <w:lang w:val="en-US" w:eastAsia="ro-RO"/>
        </w:rPr>
        <w:t>i</w:t>
      </w:r>
      <w:r>
        <w:rPr>
          <w:sz w:val="24"/>
          <w:szCs w:val="24"/>
        </w:rPr>
        <w:t xml:space="preserve">nstalaţii fixe de stingere </w:t>
      </w:r>
      <w:proofErr w:type="gramStart"/>
      <w:r>
        <w:rPr>
          <w:sz w:val="24"/>
          <w:szCs w:val="24"/>
        </w:rPr>
        <w:t>a</w:t>
      </w:r>
      <w:proofErr w:type="gramEnd"/>
      <w:r>
        <w:rPr>
          <w:sz w:val="24"/>
          <w:szCs w:val="24"/>
        </w:rPr>
        <w:t xml:space="preserve"> incendiilor), acestea se prevăd doar în cazul precum și în condițiile în care au fost testate conform standardelor.</w:t>
      </w:r>
    </w:p>
    <w:p w14:paraId="2D753259" w14:textId="77777777" w:rsidR="001C08A5" w:rsidRDefault="00000000">
      <w:pPr>
        <w:widowControl w:val="0"/>
        <w:ind w:firstLine="720"/>
        <w:jc w:val="both"/>
        <w:rPr>
          <w:sz w:val="24"/>
          <w:szCs w:val="24"/>
        </w:rPr>
      </w:pPr>
      <w:r>
        <w:rPr>
          <w:b/>
          <w:bCs/>
          <w:sz w:val="24"/>
          <w:szCs w:val="24"/>
          <w:lang w:val="en-US" w:eastAsia="ro-RO"/>
        </w:rPr>
        <w:t>(7)</w:t>
      </w:r>
      <w:r>
        <w:rPr>
          <w:sz w:val="24"/>
          <w:szCs w:val="24"/>
          <w:lang w:val="en-US" w:eastAsia="ro-RO"/>
        </w:rPr>
        <w:t xml:space="preserve"> Atunci când în decursul normativului se prevăd condiții de echipare </w:t>
      </w:r>
      <w:r>
        <w:rPr>
          <w:sz w:val="24"/>
          <w:szCs w:val="24"/>
        </w:rPr>
        <w:t xml:space="preserve">cu instalaţii de stingere </w:t>
      </w:r>
      <w:proofErr w:type="gramStart"/>
      <w:r>
        <w:rPr>
          <w:sz w:val="24"/>
          <w:szCs w:val="24"/>
        </w:rPr>
        <w:t>a</w:t>
      </w:r>
      <w:proofErr w:type="gramEnd"/>
      <w:r>
        <w:rPr>
          <w:sz w:val="24"/>
          <w:szCs w:val="24"/>
        </w:rPr>
        <w:t xml:space="preserve"> incendiilor cu apă pulverizată, acestea se prevăd conform prevederilor Normativului </w:t>
      </w:r>
      <w:r>
        <w:rPr>
          <w:b/>
          <w:bCs/>
          <w:sz w:val="24"/>
          <w:szCs w:val="24"/>
        </w:rPr>
        <w:t>P118:2.</w:t>
      </w:r>
    </w:p>
    <w:p w14:paraId="04194AE4" w14:textId="77777777" w:rsidR="001C08A5" w:rsidRDefault="001C08A5">
      <w:pPr>
        <w:widowControl w:val="0"/>
        <w:ind w:firstLine="720"/>
        <w:jc w:val="both"/>
        <w:rPr>
          <w:rFonts w:ascii="Arial" w:hAnsi="Arial" w:cs="Arial"/>
          <w:sz w:val="24"/>
          <w:szCs w:val="24"/>
          <w:lang w:eastAsia="ro-RO"/>
        </w:rPr>
      </w:pPr>
    </w:p>
    <w:p w14:paraId="595AB60A" w14:textId="77777777" w:rsidR="001C08A5" w:rsidRDefault="00000000">
      <w:pPr>
        <w:widowControl w:val="0"/>
        <w:ind w:firstLine="567"/>
        <w:jc w:val="both"/>
        <w:rPr>
          <w:sz w:val="24"/>
          <w:szCs w:val="24"/>
        </w:rPr>
      </w:pPr>
      <w:r>
        <w:rPr>
          <w:b/>
          <w:sz w:val="24"/>
          <w:szCs w:val="24"/>
        </w:rPr>
        <w:t xml:space="preserve">Art. </w:t>
      </w:r>
      <w:r>
        <w:rPr>
          <w:b/>
          <w:caps/>
          <w:sz w:val="24"/>
          <w:szCs w:val="24"/>
        </w:rPr>
        <w:t>1.1.</w:t>
      </w:r>
      <w:r>
        <w:rPr>
          <w:b/>
          <w:sz w:val="24"/>
          <w:szCs w:val="24"/>
        </w:rPr>
        <w:t xml:space="preserve">9. (1) </w:t>
      </w:r>
      <w:r>
        <w:rPr>
          <w:sz w:val="24"/>
          <w:szCs w:val="24"/>
        </w:rPr>
        <w:t xml:space="preserve">Prevederile prezentului normativ stabilesc condiţiile și nivelurile de performanţă specifice securităţii la incendiu a construcţiilor civile, de producţie şi/sau depozitare </w:t>
      </w:r>
      <w:r>
        <w:rPr>
          <w:bCs/>
          <w:sz w:val="24"/>
          <w:szCs w:val="24"/>
        </w:rPr>
        <w:t xml:space="preserve">ori </w:t>
      </w:r>
      <w:r>
        <w:rPr>
          <w:sz w:val="24"/>
          <w:szCs w:val="24"/>
        </w:rPr>
        <w:t xml:space="preserve">cu funcţiuni mixte, </w:t>
      </w:r>
      <w:r>
        <w:rPr>
          <w:bCs/>
          <w:sz w:val="24"/>
          <w:szCs w:val="24"/>
        </w:rPr>
        <w:t xml:space="preserve">din </w:t>
      </w:r>
      <w:r>
        <w:rPr>
          <w:sz w:val="24"/>
          <w:szCs w:val="24"/>
        </w:rPr>
        <w:t xml:space="preserve">toate categoriile de importanţă. </w:t>
      </w:r>
    </w:p>
    <w:p w14:paraId="080673BB" w14:textId="77777777" w:rsidR="001C08A5" w:rsidRDefault="00000000">
      <w:pPr>
        <w:widowControl w:val="0"/>
        <w:numPr>
          <w:ilvl w:val="0"/>
          <w:numId w:val="9"/>
        </w:numPr>
        <w:ind w:firstLine="567"/>
        <w:jc w:val="both"/>
        <w:rPr>
          <w:sz w:val="24"/>
          <w:szCs w:val="24"/>
        </w:rPr>
      </w:pPr>
      <w:r>
        <w:rPr>
          <w:sz w:val="24"/>
          <w:szCs w:val="24"/>
        </w:rPr>
        <w:t>Construcţiile noi încadrate în categoriile de importanţă “</w:t>
      </w:r>
      <w:r>
        <w:rPr>
          <w:b/>
          <w:bCs/>
          <w:sz w:val="24"/>
          <w:szCs w:val="24"/>
        </w:rPr>
        <w:t>A</w:t>
      </w:r>
      <w:r>
        <w:rPr>
          <w:sz w:val="24"/>
          <w:szCs w:val="24"/>
        </w:rPr>
        <w:t>” și “</w:t>
      </w:r>
      <w:r>
        <w:rPr>
          <w:b/>
          <w:bCs/>
          <w:sz w:val="24"/>
          <w:szCs w:val="24"/>
        </w:rPr>
        <w:t>B</w:t>
      </w:r>
      <w:r>
        <w:rPr>
          <w:sz w:val="24"/>
          <w:szCs w:val="24"/>
        </w:rPr>
        <w:t xml:space="preserve">” trebuie să îndeplinească criteriile de încadrare în nivelul </w:t>
      </w:r>
      <w:r>
        <w:rPr>
          <w:b/>
          <w:bCs/>
          <w:sz w:val="24"/>
          <w:szCs w:val="24"/>
        </w:rPr>
        <w:t>I</w:t>
      </w:r>
      <w:r>
        <w:rPr>
          <w:sz w:val="24"/>
          <w:szCs w:val="24"/>
        </w:rPr>
        <w:t xml:space="preserve"> sau </w:t>
      </w:r>
      <w:r>
        <w:rPr>
          <w:b/>
          <w:bCs/>
          <w:sz w:val="24"/>
          <w:szCs w:val="24"/>
        </w:rPr>
        <w:t>II</w:t>
      </w:r>
      <w:r>
        <w:rPr>
          <w:sz w:val="24"/>
          <w:szCs w:val="24"/>
        </w:rPr>
        <w:t xml:space="preserve"> de stabilitate la incendiu.</w:t>
      </w:r>
    </w:p>
    <w:p w14:paraId="7A927518" w14:textId="77777777" w:rsidR="001C08A5" w:rsidRDefault="00000000">
      <w:pPr>
        <w:widowControl w:val="0"/>
        <w:numPr>
          <w:ilvl w:val="0"/>
          <w:numId w:val="9"/>
        </w:numPr>
        <w:ind w:firstLine="567"/>
        <w:jc w:val="both"/>
        <w:rPr>
          <w:sz w:val="24"/>
          <w:szCs w:val="24"/>
        </w:rPr>
      </w:pPr>
      <w:r>
        <w:rPr>
          <w:sz w:val="24"/>
          <w:szCs w:val="24"/>
        </w:rPr>
        <w:t xml:space="preserve"> La construcţiile încadrate în categoriile de importanţă “</w:t>
      </w:r>
      <w:r>
        <w:rPr>
          <w:b/>
          <w:bCs/>
          <w:sz w:val="24"/>
          <w:szCs w:val="24"/>
        </w:rPr>
        <w:t>A</w:t>
      </w:r>
      <w:r>
        <w:rPr>
          <w:sz w:val="24"/>
          <w:szCs w:val="24"/>
        </w:rPr>
        <w:t>” și “</w:t>
      </w:r>
      <w:r>
        <w:rPr>
          <w:b/>
          <w:bCs/>
          <w:sz w:val="24"/>
          <w:szCs w:val="24"/>
        </w:rPr>
        <w:t>B</w:t>
      </w:r>
      <w:r>
        <w:rPr>
          <w:sz w:val="24"/>
          <w:szCs w:val="24"/>
        </w:rPr>
        <w:t xml:space="preserve">”, cu excepția construcţiilor monumente istorice sau de arhitectură clasificate potrivit legii la care se respectă prevederile </w:t>
      </w:r>
      <w:r>
        <w:rPr>
          <w:b/>
          <w:sz w:val="24"/>
          <w:szCs w:val="24"/>
        </w:rPr>
        <w:t>Art</w:t>
      </w:r>
      <w:r>
        <w:rPr>
          <w:b/>
          <w:bCs/>
          <w:sz w:val="24"/>
          <w:szCs w:val="24"/>
        </w:rPr>
        <w:t xml:space="preserve">. </w:t>
      </w:r>
      <w:r>
        <w:rPr>
          <w:b/>
          <w:caps/>
          <w:sz w:val="24"/>
          <w:szCs w:val="24"/>
        </w:rPr>
        <w:t>1.1.</w:t>
      </w:r>
      <w:r>
        <w:rPr>
          <w:b/>
          <w:sz w:val="24"/>
          <w:szCs w:val="24"/>
        </w:rPr>
        <w:t>5.</w:t>
      </w:r>
      <w:r>
        <w:rPr>
          <w:bCs/>
          <w:sz w:val="24"/>
          <w:szCs w:val="24"/>
        </w:rPr>
        <w:t>,</w:t>
      </w:r>
      <w:r>
        <w:rPr>
          <w:sz w:val="24"/>
          <w:szCs w:val="24"/>
        </w:rPr>
        <w:t xml:space="preserve"> se iau măsuri suplimentare de securitate la incendiu, stabilite de către proiectant.</w:t>
      </w:r>
    </w:p>
    <w:p w14:paraId="5FA30158" w14:textId="77777777" w:rsidR="001C08A5" w:rsidRDefault="001C08A5">
      <w:pPr>
        <w:ind w:firstLine="720"/>
        <w:rPr>
          <w:sz w:val="24"/>
          <w:szCs w:val="24"/>
          <w:lang w:eastAsia="ro-RO"/>
        </w:rPr>
      </w:pPr>
    </w:p>
    <w:p w14:paraId="0B776EE7" w14:textId="77777777" w:rsidR="001C08A5" w:rsidRDefault="00000000">
      <w:pPr>
        <w:widowControl w:val="0"/>
        <w:ind w:firstLine="567"/>
        <w:jc w:val="both"/>
        <w:rPr>
          <w:b/>
          <w:sz w:val="24"/>
          <w:szCs w:val="24"/>
        </w:rPr>
      </w:pPr>
      <w:r>
        <w:rPr>
          <w:b/>
          <w:sz w:val="24"/>
          <w:szCs w:val="24"/>
        </w:rPr>
        <w:t xml:space="preserve">Art. </w:t>
      </w:r>
      <w:r>
        <w:rPr>
          <w:b/>
          <w:caps/>
          <w:sz w:val="24"/>
          <w:szCs w:val="24"/>
        </w:rPr>
        <w:t>1.1.</w:t>
      </w:r>
      <w:r>
        <w:rPr>
          <w:b/>
          <w:sz w:val="24"/>
          <w:szCs w:val="24"/>
        </w:rPr>
        <w:t xml:space="preserve">10.  (1) </w:t>
      </w:r>
      <w:r>
        <w:rPr>
          <w:sz w:val="24"/>
          <w:szCs w:val="24"/>
        </w:rPr>
        <w:t xml:space="preserve">Condiţiile de comportare la foc și măsurile de securitate la incendiu asigurate de principalele materiale, produse şi elemente de construcţii şi instalaţii utilizate la proiectarea și realizarea construcţiilor, se prevăd obligatoriu în documentaţiile tehnice elaborate de către </w:t>
      </w:r>
      <w:r>
        <w:rPr>
          <w:sz w:val="24"/>
          <w:szCs w:val="24"/>
        </w:rPr>
        <w:lastRenderedPageBreak/>
        <w:t xml:space="preserve">proiectanţii de specialitate respectivi care răspund de măsurile luate, astfel: </w:t>
      </w:r>
    </w:p>
    <w:p w14:paraId="7FE656E6" w14:textId="77777777" w:rsidR="001C08A5" w:rsidRDefault="00000000">
      <w:pPr>
        <w:pStyle w:val="ListParagraph"/>
        <w:widowControl w:val="0"/>
        <w:tabs>
          <w:tab w:val="left" w:pos="1134"/>
        </w:tabs>
        <w:ind w:firstLine="720"/>
        <w:jc w:val="both"/>
        <w:rPr>
          <w:b/>
        </w:rPr>
      </w:pPr>
      <w:r>
        <w:rPr>
          <w:b/>
        </w:rPr>
        <w:t xml:space="preserve">          a)</w:t>
      </w:r>
      <w:r>
        <w:t xml:space="preserve"> arhitecţii, pentru: conformarea și corelarea la foc a construcţiei, elemente de compartimentare, închideri exterioare perimetrale și acoperiş, pereţi despărţitori, căi pentru evacuare a utilizatorilor, protecţia golurilor funcţionale pentru circulaţie şi comunicare din pereţi și planşee, tratamente termice, acustice (fonice), hidroizolaţii, finisaje (interioare şi exterioare) inclusiv placările utilizate, conformarea </w:t>
      </w:r>
      <w:r>
        <w:rPr>
          <w:rFonts w:eastAsia="Times New Roman"/>
        </w:rPr>
        <w:t>căilor de acces pentru autospecialele de intervenţie (număr de accese la faţade, lăţimi minime a accesului carosabil, raze de racordare, etc.)</w:t>
      </w:r>
      <w:r>
        <w:t xml:space="preserve">; </w:t>
      </w:r>
    </w:p>
    <w:p w14:paraId="42A0C498" w14:textId="77777777" w:rsidR="001C08A5" w:rsidRDefault="00000000">
      <w:pPr>
        <w:pStyle w:val="ListParagraph"/>
        <w:widowControl w:val="0"/>
        <w:tabs>
          <w:tab w:val="left" w:pos="1134"/>
        </w:tabs>
        <w:ind w:firstLine="720"/>
        <w:jc w:val="both"/>
        <w:rPr>
          <w:b/>
        </w:rPr>
      </w:pPr>
      <w:r>
        <w:rPr>
          <w:b/>
        </w:rPr>
        <w:t xml:space="preserve">          b)</w:t>
      </w:r>
      <w:r>
        <w:t xml:space="preserve"> inginerii constructori, pentru: asigurarea rezistenţei la foc a elementelor cu rol în stabilitatea la incendiu a construcţiei (stâlpi, pereți portanţi, planşee, acoperişuri, scări, balcoane, pasarele etc.), a protecțiilor pasive ale structurilor metalice, din beton, din lemn, etc., precum și pentru precizarea temperaturii critice la structurile metalice pentru care trebuie asigurate protecţii la acţiunile termice generate de incendii, în baza unor calcule întocmite în conformitate cu eurocodurile;</w:t>
      </w:r>
    </w:p>
    <w:p w14:paraId="2CA2CB9E" w14:textId="77777777" w:rsidR="001C08A5" w:rsidRDefault="00000000">
      <w:pPr>
        <w:pStyle w:val="ListParagraph"/>
        <w:widowControl w:val="0"/>
        <w:tabs>
          <w:tab w:val="left" w:pos="1134"/>
        </w:tabs>
        <w:ind w:firstLine="720"/>
        <w:jc w:val="both"/>
      </w:pPr>
      <w:r>
        <w:rPr>
          <w:b/>
        </w:rPr>
        <w:t xml:space="preserve">          c)</w:t>
      </w:r>
      <w:r>
        <w:t xml:space="preserve"> inginerii instalatori cu specializarea instalaţii pentru construcţii, pentru sistemele, echipamentele şi instalaţiile proiectate, respectiv: sanitare, pentru gaze, electrice, automatizări, ventilare, climatizare, frigorifice, pentru încălzire și pentru protecție împotriva incendiilor, cum sunt cele pentru detectare, semnalizare şi alarmare, pentru stingere cu apă sau alte substanţe speciale, pentru evacuare a fumului şi a gazelor fierbinţi prin tiraj natural-organizat sau ventilare mecanică, pentru detectarea gazelor inflamabile, etc.</w:t>
      </w:r>
    </w:p>
    <w:p w14:paraId="7C6A426A" w14:textId="77777777" w:rsidR="001C08A5" w:rsidRDefault="00000000">
      <w:pPr>
        <w:widowControl w:val="0"/>
        <w:jc w:val="both"/>
        <w:rPr>
          <w:sz w:val="24"/>
          <w:szCs w:val="24"/>
        </w:rPr>
      </w:pPr>
      <w:r>
        <w:rPr>
          <w:b/>
          <w:sz w:val="24"/>
          <w:szCs w:val="24"/>
        </w:rPr>
        <w:t xml:space="preserve">          (2) </w:t>
      </w:r>
      <w:r>
        <w:rPr>
          <w:sz w:val="24"/>
          <w:szCs w:val="24"/>
        </w:rPr>
        <w:t>Răspunderea pentru veridicitatea datelor furnizate proiectanților revine:</w:t>
      </w:r>
    </w:p>
    <w:p w14:paraId="1382CA6E" w14:textId="77777777" w:rsidR="001C08A5" w:rsidRDefault="00000000">
      <w:pPr>
        <w:widowControl w:val="0"/>
        <w:ind w:left="720" w:firstLine="720"/>
        <w:jc w:val="both"/>
        <w:rPr>
          <w:sz w:val="24"/>
          <w:szCs w:val="24"/>
        </w:rPr>
      </w:pPr>
      <w:r>
        <w:rPr>
          <w:b/>
          <w:sz w:val="24"/>
          <w:szCs w:val="24"/>
        </w:rPr>
        <w:t xml:space="preserve">          a)</w:t>
      </w:r>
      <w:r>
        <w:rPr>
          <w:sz w:val="24"/>
          <w:szCs w:val="24"/>
        </w:rPr>
        <w:t xml:space="preserve"> inginerilor tehnologi pentru stabilirea riscurilor de incendiu aferente proceselor tehnologice și pentru măsurile de reducere/control a riscurilor respective;</w:t>
      </w:r>
    </w:p>
    <w:p w14:paraId="1B9CA36C" w14:textId="77777777" w:rsidR="001C08A5" w:rsidRDefault="00000000">
      <w:pPr>
        <w:widowControl w:val="0"/>
        <w:ind w:left="720" w:firstLine="720"/>
        <w:jc w:val="both"/>
        <w:rPr>
          <w:sz w:val="24"/>
          <w:szCs w:val="24"/>
        </w:rPr>
      </w:pPr>
      <w:r>
        <w:rPr>
          <w:b/>
          <w:sz w:val="24"/>
          <w:szCs w:val="24"/>
        </w:rPr>
        <w:t xml:space="preserve">          b)</w:t>
      </w:r>
      <w:r>
        <w:rPr>
          <w:sz w:val="24"/>
          <w:szCs w:val="24"/>
        </w:rPr>
        <w:t xml:space="preserve"> investitorilor pentru determinarea și prezentarea naturii și cantităților de materiale combustibile maximum admise mobile care urmeaza să fie utilizate, manipulate, depozitate în construcțiile ce urmează a fi proiectate.</w:t>
      </w:r>
    </w:p>
    <w:p w14:paraId="63362852" w14:textId="77777777" w:rsidR="001C08A5" w:rsidRDefault="001C08A5">
      <w:pPr>
        <w:widowControl w:val="0"/>
        <w:jc w:val="both"/>
        <w:rPr>
          <w:sz w:val="24"/>
          <w:szCs w:val="24"/>
        </w:rPr>
      </w:pPr>
    </w:p>
    <w:p w14:paraId="2FB5B392" w14:textId="77777777" w:rsidR="001C08A5" w:rsidRDefault="00000000">
      <w:pPr>
        <w:widowControl w:val="0"/>
        <w:ind w:firstLine="720"/>
        <w:jc w:val="both"/>
        <w:rPr>
          <w:bCs/>
          <w:sz w:val="24"/>
          <w:szCs w:val="24"/>
        </w:rPr>
      </w:pPr>
      <w:r>
        <w:rPr>
          <w:b/>
          <w:sz w:val="24"/>
          <w:szCs w:val="24"/>
        </w:rPr>
        <w:t xml:space="preserve">Art. </w:t>
      </w:r>
      <w:r>
        <w:rPr>
          <w:b/>
          <w:caps/>
          <w:sz w:val="24"/>
          <w:szCs w:val="24"/>
        </w:rPr>
        <w:t>1.1.</w:t>
      </w:r>
      <w:r>
        <w:rPr>
          <w:b/>
          <w:sz w:val="24"/>
          <w:szCs w:val="24"/>
        </w:rPr>
        <w:t xml:space="preserve">11. </w:t>
      </w:r>
      <w:r>
        <w:rPr>
          <w:bCs/>
          <w:sz w:val="24"/>
          <w:szCs w:val="24"/>
        </w:rPr>
        <w:t>În prezenta normă tehnică se utilizează următorii termeni pentru indicarea gradului de obligativitate a prevederilor:</w:t>
      </w:r>
    </w:p>
    <w:p w14:paraId="68B6C373" w14:textId="77777777" w:rsidR="001C08A5" w:rsidRDefault="00000000">
      <w:pPr>
        <w:widowControl w:val="0"/>
        <w:ind w:left="1440" w:firstLine="720"/>
        <w:jc w:val="both"/>
        <w:rPr>
          <w:sz w:val="24"/>
          <w:szCs w:val="24"/>
        </w:rPr>
      </w:pPr>
      <w:r>
        <w:rPr>
          <w:b/>
          <w:bCs/>
          <w:sz w:val="24"/>
          <w:szCs w:val="24"/>
        </w:rPr>
        <w:t>a)</w:t>
      </w:r>
      <w:r>
        <w:rPr>
          <w:sz w:val="24"/>
          <w:szCs w:val="24"/>
        </w:rPr>
        <w:t xml:space="preserve"> ”este obligatoriu”, ”este necesar”, ”trebuie” (utilizarea modală a lui „trebuie” cu alte verbe, de exemplu, „înălțimea trebuie să fie...”) indică obligativitatea strictă a respectării prevederilor în cauză;</w:t>
      </w:r>
    </w:p>
    <w:p w14:paraId="467503B2" w14:textId="77777777" w:rsidR="001C08A5" w:rsidRDefault="00000000">
      <w:pPr>
        <w:widowControl w:val="0"/>
        <w:ind w:left="1440" w:firstLine="720"/>
        <w:jc w:val="both"/>
        <w:rPr>
          <w:sz w:val="24"/>
          <w:szCs w:val="24"/>
        </w:rPr>
      </w:pPr>
      <w:r>
        <w:rPr>
          <w:b/>
          <w:bCs/>
          <w:sz w:val="24"/>
          <w:szCs w:val="24"/>
        </w:rPr>
        <w:t xml:space="preserve">b) </w:t>
      </w:r>
      <w:r>
        <w:rPr>
          <w:sz w:val="24"/>
          <w:szCs w:val="24"/>
        </w:rPr>
        <w:t>”de regulă” indică faptul că prevederea respectivă trebuie să fie aplicată în majoritatea cazurilor; nerespectarea unei astfel de prevederi este permisă, dar trebuie să fie temeinic justificată în proiect;</w:t>
      </w:r>
    </w:p>
    <w:p w14:paraId="121B933E" w14:textId="77777777" w:rsidR="001C08A5" w:rsidRDefault="00000000">
      <w:pPr>
        <w:widowControl w:val="0"/>
        <w:ind w:left="1440" w:firstLine="720"/>
        <w:jc w:val="both"/>
        <w:rPr>
          <w:sz w:val="24"/>
          <w:szCs w:val="24"/>
        </w:rPr>
      </w:pPr>
      <w:r>
        <w:rPr>
          <w:b/>
          <w:bCs/>
          <w:sz w:val="24"/>
          <w:szCs w:val="24"/>
        </w:rPr>
        <w:t>c)</w:t>
      </w:r>
      <w:r>
        <w:rPr>
          <w:sz w:val="24"/>
          <w:szCs w:val="24"/>
        </w:rPr>
        <w:t xml:space="preserve"> ”se admite” indică o soluţie satisfăcătoare care poate fi aplicată în cazuri particulare, fiind obligatorie justificarea ei în proiect;</w:t>
      </w:r>
    </w:p>
    <w:p w14:paraId="46EC6141" w14:textId="77777777" w:rsidR="001C08A5" w:rsidRDefault="00000000">
      <w:pPr>
        <w:widowControl w:val="0"/>
        <w:ind w:left="1440" w:firstLine="720"/>
        <w:jc w:val="both"/>
        <w:rPr>
          <w:sz w:val="24"/>
          <w:szCs w:val="24"/>
        </w:rPr>
      </w:pPr>
      <w:r>
        <w:rPr>
          <w:b/>
          <w:bCs/>
          <w:sz w:val="24"/>
          <w:szCs w:val="24"/>
        </w:rPr>
        <w:t>d)</w:t>
      </w:r>
      <w:r>
        <w:rPr>
          <w:sz w:val="24"/>
          <w:szCs w:val="24"/>
        </w:rPr>
        <w:t xml:space="preserve"> ”se recomandă” indică o soluţie preferabilă, care trebuie avută în vedere la alegerea soluţiei; nerespectarea unei astfel de prevederi nu trebuie justificată în proiect;</w:t>
      </w:r>
    </w:p>
    <w:p w14:paraId="755BC923" w14:textId="77777777" w:rsidR="001C08A5" w:rsidRDefault="00000000">
      <w:pPr>
        <w:widowControl w:val="0"/>
        <w:ind w:left="1440" w:firstLine="720"/>
        <w:jc w:val="both"/>
        <w:rPr>
          <w:sz w:val="24"/>
          <w:szCs w:val="24"/>
        </w:rPr>
      </w:pPr>
      <w:r>
        <w:rPr>
          <w:b/>
          <w:bCs/>
          <w:sz w:val="24"/>
          <w:szCs w:val="24"/>
        </w:rPr>
        <w:t xml:space="preserve">e) </w:t>
      </w:r>
      <w:r>
        <w:rPr>
          <w:bCs/>
          <w:sz w:val="24"/>
          <w:szCs w:val="24"/>
        </w:rPr>
        <w:t>c</w:t>
      </w:r>
      <w:r>
        <w:rPr>
          <w:sz w:val="24"/>
          <w:szCs w:val="24"/>
        </w:rPr>
        <w:t>onjuncția „și” este folosită pentru a conecta două condiții care trebuie să fie valide în același timp (echivalent cu operatorul logic ȘI);</w:t>
      </w:r>
    </w:p>
    <w:p w14:paraId="5D402B57" w14:textId="77777777" w:rsidR="001C08A5" w:rsidRDefault="00000000">
      <w:pPr>
        <w:widowControl w:val="0"/>
        <w:ind w:left="1440" w:firstLine="720"/>
        <w:jc w:val="both"/>
        <w:rPr>
          <w:sz w:val="24"/>
          <w:szCs w:val="24"/>
        </w:rPr>
      </w:pPr>
      <w:r>
        <w:rPr>
          <w:b/>
          <w:bCs/>
          <w:sz w:val="24"/>
          <w:szCs w:val="24"/>
        </w:rPr>
        <w:t>f)</w:t>
      </w:r>
      <w:r>
        <w:rPr>
          <w:sz w:val="24"/>
          <w:szCs w:val="24"/>
        </w:rPr>
        <w:t xml:space="preserve"> conjuncția „sau” (precum și echivalentele acesteia) este folosită pentru a conecta două condiții care pot fi valide în același timp sau alternativ (echivalent cu operatorul logic SAU);</w:t>
      </w:r>
    </w:p>
    <w:p w14:paraId="01CB8A8A" w14:textId="77777777" w:rsidR="001C08A5" w:rsidRDefault="00000000">
      <w:pPr>
        <w:widowControl w:val="0"/>
        <w:ind w:left="1440" w:firstLine="720"/>
        <w:jc w:val="both"/>
        <w:rPr>
          <w:sz w:val="24"/>
          <w:szCs w:val="24"/>
        </w:rPr>
      </w:pPr>
      <w:r>
        <w:rPr>
          <w:b/>
          <w:bCs/>
          <w:sz w:val="24"/>
          <w:szCs w:val="24"/>
        </w:rPr>
        <w:t>g)</w:t>
      </w:r>
      <w:r>
        <w:rPr>
          <w:sz w:val="24"/>
          <w:szCs w:val="24"/>
        </w:rPr>
        <w:t xml:space="preserve"> substantivul „exemplu” sau abrevierea sa „ex.” este folosit pentru a indica una sau mai multe posibilități în simplul scop de a indica aplicații practice ale unei reguli sau ale unui principiu. </w:t>
      </w:r>
      <w:r>
        <w:rPr>
          <w:b/>
          <w:bCs/>
          <w:sz w:val="24"/>
          <w:szCs w:val="24"/>
        </w:rPr>
        <w:t>Exemplele și desenele (figurile) trebuie considerate cazuri orientative, neexhaustive, furnizate doar ca ilustrare</w:t>
      </w:r>
      <w:r>
        <w:rPr>
          <w:sz w:val="24"/>
          <w:szCs w:val="24"/>
        </w:rPr>
        <w:t>.</w:t>
      </w:r>
    </w:p>
    <w:p w14:paraId="788E931E" w14:textId="77777777" w:rsidR="001C08A5" w:rsidRDefault="00000000">
      <w:pPr>
        <w:pStyle w:val="Heading3"/>
        <w:ind w:left="0" w:firstLine="0"/>
      </w:pPr>
      <w:bookmarkStart w:id="41" w:name="_Toc10235"/>
      <w:bookmarkStart w:id="42" w:name="_Toc162355180"/>
      <w:bookmarkStart w:id="43" w:name="_Toc26248"/>
      <w:bookmarkStart w:id="44" w:name="_Toc30734"/>
      <w:bookmarkStart w:id="45" w:name="_Toc8093"/>
      <w:bookmarkStart w:id="46" w:name="_Toc14514"/>
      <w:bookmarkStart w:id="47" w:name="_Toc21875"/>
      <w:bookmarkStart w:id="48" w:name="_Toc17931"/>
      <w:bookmarkStart w:id="49" w:name="_Toc8511"/>
      <w:bookmarkStart w:id="50" w:name="_Toc11641"/>
      <w:r>
        <w:lastRenderedPageBreak/>
        <w:t>SECŢIUNEA  II</w:t>
      </w:r>
      <w:bookmarkEnd w:id="41"/>
      <w:bookmarkEnd w:id="42"/>
      <w:bookmarkEnd w:id="43"/>
      <w:bookmarkEnd w:id="44"/>
      <w:bookmarkEnd w:id="45"/>
      <w:bookmarkEnd w:id="46"/>
      <w:bookmarkEnd w:id="47"/>
      <w:bookmarkEnd w:id="48"/>
      <w:bookmarkEnd w:id="49"/>
      <w:bookmarkEnd w:id="50"/>
    </w:p>
    <w:p w14:paraId="10AECE94" w14:textId="77777777" w:rsidR="001C08A5" w:rsidRDefault="00000000">
      <w:pPr>
        <w:pStyle w:val="Heading3"/>
      </w:pPr>
      <w:bookmarkStart w:id="51" w:name="_Toc30884"/>
      <w:bookmarkStart w:id="52" w:name="_Toc10538"/>
      <w:bookmarkStart w:id="53" w:name="_Toc2798"/>
      <w:bookmarkStart w:id="54" w:name="_Toc23064"/>
      <w:bookmarkStart w:id="55" w:name="_Toc162355181"/>
      <w:bookmarkStart w:id="56" w:name="_Toc19070"/>
      <w:bookmarkStart w:id="57" w:name="_Toc19322"/>
      <w:bookmarkStart w:id="58" w:name="_Toc3331"/>
      <w:bookmarkStart w:id="59" w:name="_Toc9413"/>
      <w:bookmarkStart w:id="60" w:name="_Toc21415"/>
      <w:r>
        <w:t>1.2. Terminologie, clasificări</w:t>
      </w:r>
      <w:bookmarkEnd w:id="51"/>
      <w:bookmarkEnd w:id="52"/>
      <w:bookmarkEnd w:id="53"/>
      <w:bookmarkEnd w:id="54"/>
      <w:bookmarkEnd w:id="55"/>
      <w:bookmarkEnd w:id="56"/>
      <w:bookmarkEnd w:id="57"/>
      <w:bookmarkEnd w:id="58"/>
      <w:bookmarkEnd w:id="59"/>
      <w:bookmarkEnd w:id="60"/>
    </w:p>
    <w:p w14:paraId="1D37C4BB" w14:textId="77777777" w:rsidR="001C08A5" w:rsidRDefault="001C08A5">
      <w:pPr>
        <w:ind w:firstLine="567"/>
        <w:jc w:val="both"/>
        <w:rPr>
          <w:b/>
          <w:sz w:val="24"/>
          <w:szCs w:val="24"/>
        </w:rPr>
      </w:pPr>
    </w:p>
    <w:p w14:paraId="7F82FFEA" w14:textId="77777777" w:rsidR="001C08A5" w:rsidRDefault="00000000">
      <w:pPr>
        <w:ind w:firstLine="567"/>
        <w:jc w:val="both"/>
        <w:rPr>
          <w:sz w:val="24"/>
          <w:szCs w:val="24"/>
        </w:rPr>
      </w:pPr>
      <w:r>
        <w:rPr>
          <w:b/>
          <w:bCs/>
          <w:sz w:val="24"/>
          <w:szCs w:val="24"/>
        </w:rPr>
        <w:t>Art. 1.2.1.</w:t>
      </w:r>
      <w:r>
        <w:rPr>
          <w:sz w:val="24"/>
          <w:szCs w:val="24"/>
        </w:rPr>
        <w:t xml:space="preserve"> În sensul prezentului normativ, terminologia și clasificările utilizate au următoarele semnificaţii:</w:t>
      </w:r>
    </w:p>
    <w:p w14:paraId="5FA0A6DF" w14:textId="77777777" w:rsidR="001C08A5" w:rsidRDefault="001C08A5">
      <w:pPr>
        <w:pStyle w:val="Style13"/>
        <w:tabs>
          <w:tab w:val="left" w:pos="9070"/>
        </w:tabs>
        <w:spacing w:line="240" w:lineRule="auto"/>
        <w:ind w:right="-2"/>
        <w:jc w:val="both"/>
        <w:rPr>
          <w:rStyle w:val="FontStyle48"/>
          <w:rFonts w:ascii="Times New Roman" w:hAnsi="Times New Roman" w:cs="Times New Roman"/>
          <w:spacing w:val="8"/>
          <w:sz w:val="24"/>
          <w:szCs w:val="24"/>
          <w:lang w:eastAsia="ro-RO"/>
        </w:rPr>
      </w:pPr>
    </w:p>
    <w:p w14:paraId="312EA463" w14:textId="77777777" w:rsidR="001C08A5" w:rsidRDefault="00000000">
      <w:pPr>
        <w:widowControl w:val="0"/>
        <w:numPr>
          <w:ilvl w:val="0"/>
          <w:numId w:val="10"/>
        </w:numPr>
        <w:jc w:val="both"/>
        <w:rPr>
          <w:i/>
          <w:iCs/>
          <w:sz w:val="24"/>
          <w:szCs w:val="24"/>
        </w:rPr>
      </w:pPr>
      <w:r>
        <w:rPr>
          <w:b/>
          <w:i/>
          <w:iCs/>
          <w:sz w:val="24"/>
          <w:szCs w:val="24"/>
        </w:rPr>
        <w:t>Acoperiş</w:t>
      </w:r>
      <w:r>
        <w:rPr>
          <w:i/>
          <w:iCs/>
          <w:sz w:val="24"/>
          <w:szCs w:val="24"/>
        </w:rPr>
        <w:t xml:space="preserve"> - parte a construcţiei care închide construcția faţă de exterior peste ultimul nivel construit, format din elemente de construcție și componente structurale și nestructurale. Acesta poate fi în pantă (tip şarpantă) sau terasă.)</w:t>
      </w:r>
    </w:p>
    <w:p w14:paraId="6565289A" w14:textId="77777777" w:rsidR="001C08A5" w:rsidRDefault="001C08A5">
      <w:pPr>
        <w:widowControl w:val="0"/>
        <w:jc w:val="both"/>
      </w:pPr>
    </w:p>
    <w:p w14:paraId="74D39673" w14:textId="77777777" w:rsidR="001C08A5" w:rsidRDefault="00000000">
      <w:pPr>
        <w:widowControl w:val="0"/>
        <w:numPr>
          <w:ilvl w:val="0"/>
          <w:numId w:val="11"/>
        </w:numPr>
        <w:tabs>
          <w:tab w:val="left" w:pos="360"/>
        </w:tabs>
        <w:jc w:val="both"/>
        <w:rPr>
          <w:i/>
          <w:iCs/>
          <w:sz w:val="24"/>
          <w:szCs w:val="24"/>
        </w:rPr>
      </w:pPr>
      <w:r>
        <w:rPr>
          <w:b/>
          <w:bCs/>
          <w:i/>
          <w:iCs/>
          <w:sz w:val="24"/>
          <w:szCs w:val="24"/>
        </w:rPr>
        <w:t>Acoperiș în pantă</w:t>
      </w:r>
      <w:r>
        <w:rPr>
          <w:i/>
          <w:iCs/>
          <w:sz w:val="24"/>
          <w:szCs w:val="24"/>
        </w:rPr>
        <w:t xml:space="preserve"> (tip șarpantă) – acoperiș la care panta acoperișului față de proiecția orizontală a acestuia formează un unghi</w:t>
      </w:r>
      <w:r>
        <w:rPr>
          <w:i/>
          <w:iCs/>
          <w:sz w:val="24"/>
          <w:szCs w:val="24"/>
          <w:lang w:val="en-GB"/>
        </w:rPr>
        <w:t xml:space="preserve"> alfa</w:t>
      </w:r>
      <w:r>
        <w:rPr>
          <w:i/>
          <w:iCs/>
          <w:sz w:val="24"/>
          <w:szCs w:val="24"/>
        </w:rPr>
        <w:t xml:space="preserve"> (</w:t>
      </w:r>
      <w:r>
        <w:rPr>
          <w:b/>
          <w:bCs/>
          <w:i/>
          <w:iCs/>
          <w:sz w:val="24"/>
          <w:szCs w:val="24"/>
        </w:rPr>
        <w:t>α</w:t>
      </w:r>
      <w:r>
        <w:rPr>
          <w:i/>
          <w:iCs/>
          <w:sz w:val="24"/>
          <w:szCs w:val="24"/>
        </w:rPr>
        <w:t>). Cu pantă mică (denumite ”acoperișuri plate*”) sunt considerate acoperișurile cu unghiul (</w:t>
      </w:r>
      <w:r>
        <w:rPr>
          <w:b/>
          <w:bCs/>
          <w:i/>
          <w:iCs/>
          <w:sz w:val="24"/>
          <w:szCs w:val="24"/>
        </w:rPr>
        <w:t>α</w:t>
      </w:r>
      <w:r>
        <w:rPr>
          <w:i/>
          <w:iCs/>
          <w:sz w:val="24"/>
          <w:szCs w:val="24"/>
        </w:rPr>
        <w:t xml:space="preserve">), </w:t>
      </w:r>
      <w:r>
        <w:rPr>
          <w:b/>
          <w:bCs/>
          <w:i/>
          <w:iCs/>
          <w:sz w:val="24"/>
          <w:szCs w:val="24"/>
        </w:rPr>
        <w:t xml:space="preserve">α </w:t>
      </w:r>
      <w:r>
        <w:rPr>
          <w:b/>
          <w:bCs/>
          <w:i/>
          <w:iCs/>
          <w:sz w:val="24"/>
          <w:szCs w:val="24"/>
          <w:lang w:val="en-GB"/>
        </w:rPr>
        <w:t>≤</w:t>
      </w:r>
      <w:r>
        <w:rPr>
          <w:b/>
          <w:bCs/>
          <w:i/>
          <w:iCs/>
          <w:sz w:val="24"/>
          <w:szCs w:val="24"/>
        </w:rPr>
        <w:t xml:space="preserve"> 10</w:t>
      </w:r>
      <w:r>
        <w:rPr>
          <w:b/>
          <w:bCs/>
          <w:i/>
          <w:iCs/>
          <w:sz w:val="24"/>
          <w:szCs w:val="24"/>
          <w:vertAlign w:val="superscript"/>
        </w:rPr>
        <w:t>0</w:t>
      </w:r>
      <w:r>
        <w:rPr>
          <w:i/>
          <w:iCs/>
          <w:sz w:val="24"/>
          <w:szCs w:val="24"/>
        </w:rPr>
        <w:t xml:space="preserve">, cu pantă mare sunt considerate acoperișurile cu unghiul </w:t>
      </w:r>
      <w:r>
        <w:rPr>
          <w:b/>
          <w:bCs/>
          <w:i/>
          <w:iCs/>
          <w:sz w:val="24"/>
          <w:szCs w:val="24"/>
        </w:rPr>
        <w:t>10</w:t>
      </w:r>
      <w:r>
        <w:rPr>
          <w:b/>
          <w:bCs/>
          <w:i/>
          <w:iCs/>
          <w:sz w:val="24"/>
          <w:szCs w:val="24"/>
          <w:vertAlign w:val="superscript"/>
        </w:rPr>
        <w:t xml:space="preserve">0 </w:t>
      </w:r>
      <w:r>
        <w:rPr>
          <w:b/>
          <w:bCs/>
          <w:i/>
          <w:iCs/>
          <w:sz w:val="24"/>
          <w:szCs w:val="24"/>
        </w:rPr>
        <w:t xml:space="preserve">&lt; α </w:t>
      </w:r>
      <w:r>
        <w:rPr>
          <w:b/>
          <w:bCs/>
          <w:i/>
          <w:iCs/>
          <w:sz w:val="24"/>
          <w:szCs w:val="24"/>
          <w:lang w:val="en-GB"/>
        </w:rPr>
        <w:t>≤</w:t>
      </w:r>
      <w:r>
        <w:rPr>
          <w:b/>
          <w:bCs/>
          <w:i/>
          <w:iCs/>
          <w:sz w:val="24"/>
          <w:szCs w:val="24"/>
        </w:rPr>
        <w:t xml:space="preserve"> 80</w:t>
      </w:r>
      <w:r>
        <w:rPr>
          <w:b/>
          <w:bCs/>
          <w:i/>
          <w:iCs/>
          <w:sz w:val="24"/>
          <w:szCs w:val="24"/>
          <w:vertAlign w:val="superscript"/>
        </w:rPr>
        <w:t>0</w:t>
      </w:r>
      <w:r>
        <w:rPr>
          <w:i/>
          <w:iCs/>
          <w:sz w:val="24"/>
          <w:szCs w:val="24"/>
        </w:rPr>
        <w:t xml:space="preserve">, precum și cele cu o suprafață curbă. Panta unui acoperiş/a versantului de acoperiş este determinată de linia de cea mai mare pantă. Tipurile de suprafeţe – versanţi pot fi: </w:t>
      </w:r>
    </w:p>
    <w:p w14:paraId="743FB94D" w14:textId="77777777" w:rsidR="001C08A5" w:rsidRDefault="00000000">
      <w:pPr>
        <w:widowControl w:val="0"/>
        <w:tabs>
          <w:tab w:val="left" w:pos="360"/>
        </w:tabs>
        <w:jc w:val="both"/>
        <w:rPr>
          <w:i/>
          <w:iCs/>
          <w:sz w:val="24"/>
          <w:szCs w:val="24"/>
        </w:rPr>
      </w:pPr>
      <w:r>
        <w:rPr>
          <w:i/>
          <w:iCs/>
          <w:sz w:val="24"/>
          <w:szCs w:val="24"/>
        </w:rPr>
        <w:tab/>
      </w:r>
      <w:r>
        <w:rPr>
          <w:i/>
          <w:iCs/>
          <w:sz w:val="24"/>
          <w:szCs w:val="24"/>
        </w:rPr>
        <w:tab/>
      </w:r>
      <w:r>
        <w:rPr>
          <w:i/>
          <w:iCs/>
          <w:sz w:val="24"/>
          <w:szCs w:val="24"/>
        </w:rPr>
        <w:tab/>
        <w:t xml:space="preserve">- cu suprafaţă plană </w:t>
      </w:r>
    </w:p>
    <w:p w14:paraId="4BB4C52B" w14:textId="77777777" w:rsidR="001C08A5" w:rsidRDefault="00000000">
      <w:pPr>
        <w:widowControl w:val="0"/>
        <w:tabs>
          <w:tab w:val="left" w:pos="360"/>
        </w:tabs>
        <w:jc w:val="both"/>
        <w:rPr>
          <w:i/>
          <w:iCs/>
          <w:sz w:val="24"/>
          <w:szCs w:val="24"/>
        </w:rPr>
      </w:pPr>
      <w:r>
        <w:rPr>
          <w:i/>
          <w:iCs/>
          <w:sz w:val="24"/>
          <w:szCs w:val="24"/>
        </w:rPr>
        <w:tab/>
      </w:r>
      <w:r>
        <w:rPr>
          <w:i/>
          <w:iCs/>
          <w:sz w:val="24"/>
          <w:szCs w:val="24"/>
        </w:rPr>
        <w:tab/>
      </w:r>
      <w:r>
        <w:rPr>
          <w:i/>
          <w:iCs/>
          <w:sz w:val="24"/>
          <w:szCs w:val="24"/>
        </w:rPr>
        <w:tab/>
      </w:r>
      <w:r>
        <w:rPr>
          <w:i/>
          <w:iCs/>
          <w:sz w:val="24"/>
          <w:szCs w:val="24"/>
        </w:rPr>
        <w:tab/>
        <w:t xml:space="preserve">- continuă, într-un singur plan în conformitate cu </w:t>
      </w:r>
      <w:r>
        <w:fldChar w:fldCharType="begin"/>
      </w:r>
      <w:r>
        <w:instrText xml:space="preserve"> REF _Ref4486 \h </w:instrText>
      </w:r>
      <w:r>
        <w:fldChar w:fldCharType="separate"/>
      </w:r>
      <w:r>
        <w:t>Figura 1</w:t>
      </w:r>
      <w:r>
        <w:fldChar w:fldCharType="end"/>
      </w:r>
      <w:r>
        <w:t xml:space="preserve"> </w:t>
      </w:r>
      <w:r>
        <w:rPr>
          <w:i/>
          <w:iCs/>
          <w:sz w:val="24"/>
          <w:szCs w:val="24"/>
        </w:rPr>
        <w:t xml:space="preserve">varianta a) </w:t>
      </w:r>
    </w:p>
    <w:p w14:paraId="70FCE8BF" w14:textId="77777777" w:rsidR="001C08A5" w:rsidRDefault="00000000">
      <w:pPr>
        <w:widowControl w:val="0"/>
        <w:tabs>
          <w:tab w:val="left" w:pos="360"/>
        </w:tabs>
        <w:jc w:val="both"/>
        <w:rPr>
          <w:i/>
          <w:iCs/>
          <w:sz w:val="24"/>
          <w:szCs w:val="24"/>
        </w:rPr>
      </w:pPr>
      <w:r>
        <w:rPr>
          <w:i/>
          <w:iCs/>
          <w:sz w:val="24"/>
          <w:szCs w:val="24"/>
        </w:rPr>
        <w:tab/>
      </w:r>
      <w:r>
        <w:rPr>
          <w:i/>
          <w:iCs/>
          <w:sz w:val="24"/>
          <w:szCs w:val="24"/>
        </w:rPr>
        <w:tab/>
      </w:r>
      <w:r>
        <w:rPr>
          <w:i/>
          <w:iCs/>
          <w:sz w:val="24"/>
          <w:szCs w:val="24"/>
        </w:rPr>
        <w:tab/>
      </w:r>
      <w:r>
        <w:rPr>
          <w:i/>
          <w:iCs/>
          <w:sz w:val="24"/>
          <w:szCs w:val="24"/>
        </w:rPr>
        <w:tab/>
        <w:t xml:space="preserve">- discontinuă  </w:t>
      </w:r>
    </w:p>
    <w:p w14:paraId="3179D755" w14:textId="77777777" w:rsidR="001C08A5" w:rsidRDefault="00000000">
      <w:pPr>
        <w:widowControl w:val="0"/>
        <w:tabs>
          <w:tab w:val="left" w:pos="360"/>
        </w:tabs>
        <w:ind w:left="2880" w:firstLine="720"/>
        <w:jc w:val="both"/>
        <w:rPr>
          <w:i/>
          <w:iCs/>
          <w:sz w:val="24"/>
          <w:szCs w:val="24"/>
        </w:rPr>
      </w:pPr>
      <w:r>
        <w:rPr>
          <w:i/>
          <w:iCs/>
          <w:sz w:val="24"/>
          <w:szCs w:val="24"/>
        </w:rPr>
        <w:t xml:space="preserve">- cu rupere de pantă în conformitate cu </w:t>
      </w:r>
      <w:r>
        <w:fldChar w:fldCharType="begin"/>
      </w:r>
      <w:r>
        <w:instrText xml:space="preserve"> REF _Ref4486 \h </w:instrText>
      </w:r>
      <w:r>
        <w:fldChar w:fldCharType="separate"/>
      </w:r>
      <w:r>
        <w:t>Figura 1</w:t>
      </w:r>
      <w:r>
        <w:fldChar w:fldCharType="end"/>
      </w:r>
      <w:r>
        <w:rPr>
          <w:i/>
          <w:iCs/>
          <w:sz w:val="24"/>
          <w:szCs w:val="24"/>
        </w:rPr>
        <w:t xml:space="preserve"> varianta b) sau cu rupere de nivel</w:t>
      </w:r>
    </w:p>
    <w:p w14:paraId="2A4699BE" w14:textId="77777777" w:rsidR="001C08A5" w:rsidRDefault="00000000">
      <w:pPr>
        <w:widowControl w:val="0"/>
        <w:tabs>
          <w:tab w:val="left" w:pos="360"/>
        </w:tabs>
        <w:ind w:left="2880" w:firstLine="720"/>
        <w:jc w:val="both"/>
        <w:rPr>
          <w:i/>
          <w:iCs/>
          <w:sz w:val="24"/>
          <w:szCs w:val="24"/>
        </w:rPr>
      </w:pPr>
      <w:r>
        <w:rPr>
          <w:i/>
          <w:iCs/>
          <w:sz w:val="24"/>
          <w:szCs w:val="24"/>
        </w:rPr>
        <w:t xml:space="preserve">- cu rupere de nivel și pantă în conformitate cu </w:t>
      </w:r>
      <w:r>
        <w:fldChar w:fldCharType="begin"/>
      </w:r>
      <w:r>
        <w:instrText xml:space="preserve"> REF _Ref4486 \h </w:instrText>
      </w:r>
      <w:r>
        <w:fldChar w:fldCharType="separate"/>
      </w:r>
      <w:r>
        <w:t>Figura 1</w:t>
      </w:r>
      <w:r>
        <w:fldChar w:fldCharType="end"/>
      </w:r>
      <w:r>
        <w:rPr>
          <w:i/>
          <w:iCs/>
          <w:sz w:val="24"/>
          <w:szCs w:val="24"/>
        </w:rPr>
        <w:t xml:space="preserve"> varianta d)</w:t>
      </w:r>
    </w:p>
    <w:p w14:paraId="7184DAE6" w14:textId="77777777" w:rsidR="001C08A5" w:rsidRDefault="00000000">
      <w:pPr>
        <w:widowControl w:val="0"/>
        <w:tabs>
          <w:tab w:val="left" w:pos="360"/>
        </w:tabs>
        <w:ind w:left="720" w:firstLine="720"/>
        <w:jc w:val="both"/>
        <w:rPr>
          <w:i/>
          <w:iCs/>
          <w:sz w:val="24"/>
          <w:szCs w:val="24"/>
        </w:rPr>
      </w:pPr>
      <w:r>
        <w:rPr>
          <w:i/>
          <w:iCs/>
          <w:sz w:val="24"/>
          <w:szCs w:val="24"/>
        </w:rPr>
        <w:t xml:space="preserve">- cu suprafaţă curbă (cu o singură curbură în conformitate cu </w:t>
      </w:r>
      <w:r>
        <w:fldChar w:fldCharType="begin"/>
      </w:r>
      <w:r>
        <w:instrText xml:space="preserve"> REF _Ref4486 \h </w:instrText>
      </w:r>
      <w:r>
        <w:fldChar w:fldCharType="separate"/>
      </w:r>
      <w:r>
        <w:t>Figura 1</w:t>
      </w:r>
      <w:r>
        <w:fldChar w:fldCharType="end"/>
      </w:r>
      <w:r>
        <w:rPr>
          <w:i/>
          <w:iCs/>
          <w:sz w:val="24"/>
          <w:szCs w:val="24"/>
        </w:rPr>
        <w:t xml:space="preserve"> varianta c) sau cu dublă curbură).</w:t>
      </w:r>
    </w:p>
    <w:p w14:paraId="10CE9155" w14:textId="77777777" w:rsidR="001C08A5" w:rsidRDefault="00000000">
      <w:pPr>
        <w:tabs>
          <w:tab w:val="left" w:pos="420"/>
        </w:tabs>
        <w:jc w:val="both"/>
        <w:rPr>
          <w:i/>
          <w:iCs/>
          <w:sz w:val="22"/>
          <w:szCs w:val="22"/>
        </w:rPr>
      </w:pPr>
      <w:r>
        <w:rPr>
          <w:b/>
          <w:bCs/>
          <w:i/>
          <w:iCs/>
          <w:sz w:val="22"/>
          <w:szCs w:val="22"/>
        </w:rPr>
        <w:t>Notă</w:t>
      </w:r>
      <w:r>
        <w:rPr>
          <w:i/>
          <w:iCs/>
          <w:sz w:val="22"/>
          <w:szCs w:val="22"/>
        </w:rPr>
        <w:t xml:space="preserve">: Atunci când acoperișurile în pantă reprezintă acoperișuri plate (cu o înclinare de până la </w:t>
      </w:r>
      <w:r>
        <w:rPr>
          <w:b/>
          <w:bCs/>
          <w:i/>
          <w:iCs/>
          <w:sz w:val="22"/>
          <w:szCs w:val="22"/>
        </w:rPr>
        <w:t>10°</w:t>
      </w:r>
      <w:r>
        <w:rPr>
          <w:i/>
          <w:iCs/>
          <w:sz w:val="22"/>
          <w:szCs w:val="22"/>
        </w:rPr>
        <w:t xml:space="preserve">) acestea trebuie testate pe orizontală. Rezultatele testelor obținute cu o înclinare de </w:t>
      </w:r>
      <w:r>
        <w:rPr>
          <w:b/>
          <w:bCs/>
          <w:i/>
          <w:iCs/>
          <w:sz w:val="22"/>
          <w:szCs w:val="22"/>
        </w:rPr>
        <w:t>0°</w:t>
      </w:r>
      <w:r>
        <w:rPr>
          <w:i/>
          <w:iCs/>
          <w:sz w:val="22"/>
          <w:szCs w:val="22"/>
        </w:rPr>
        <w:t xml:space="preserve"> (orizontală) pot fi valabile pentru acoperișri plate (cu o înclinare de până la </w:t>
      </w:r>
      <w:r>
        <w:rPr>
          <w:b/>
          <w:bCs/>
          <w:i/>
          <w:iCs/>
          <w:sz w:val="22"/>
          <w:szCs w:val="22"/>
        </w:rPr>
        <w:t>10°</w:t>
      </w:r>
      <w:r>
        <w:rPr>
          <w:i/>
          <w:iCs/>
          <w:sz w:val="22"/>
          <w:szCs w:val="22"/>
        </w:rPr>
        <w:t>).</w:t>
      </w:r>
    </w:p>
    <w:p w14:paraId="5FAA3362" w14:textId="77777777" w:rsidR="001C08A5" w:rsidRDefault="001C08A5">
      <w:pPr>
        <w:widowControl w:val="0"/>
        <w:tabs>
          <w:tab w:val="left" w:pos="360"/>
        </w:tabs>
        <w:jc w:val="both"/>
        <w:rPr>
          <w:i/>
          <w:iCs/>
          <w:sz w:val="24"/>
          <w:szCs w:val="24"/>
        </w:rPr>
      </w:pPr>
    </w:p>
    <w:p w14:paraId="1F8217B6" w14:textId="77777777" w:rsidR="001C08A5" w:rsidRDefault="00000000">
      <w:pPr>
        <w:widowControl w:val="0"/>
        <w:jc w:val="center"/>
        <w:rPr>
          <w:sz w:val="24"/>
          <w:szCs w:val="24"/>
        </w:rPr>
      </w:pPr>
      <w:r>
        <w:rPr>
          <w:noProof/>
          <w:lang w:eastAsia="ro-RO"/>
        </w:rPr>
        <w:drawing>
          <wp:inline distT="0" distB="0" distL="0" distR="0" wp14:anchorId="676BBFA8" wp14:editId="2BA4903C">
            <wp:extent cx="6075680" cy="2307590"/>
            <wp:effectExtent l="0" t="0" r="1270" b="16510"/>
            <wp:docPr id="1028" name="Picture 4"/>
            <wp:cNvGraphicFramePr/>
            <a:graphic xmlns:a="http://schemas.openxmlformats.org/drawingml/2006/main">
              <a:graphicData uri="http://schemas.openxmlformats.org/drawingml/2006/picture">
                <pic:pic xmlns:pic="http://schemas.openxmlformats.org/drawingml/2006/picture">
                  <pic:nvPicPr>
                    <pic:cNvPr id="1028" name="Picture 4"/>
                    <pic:cNvPicPr/>
                  </pic:nvPicPr>
                  <pic:blipFill>
                    <a:blip r:embed="rId47" cstate="print"/>
                    <a:srcRect l="12392" t="9426" r="7117" b="44904"/>
                    <a:stretch>
                      <a:fillRect/>
                    </a:stretch>
                  </pic:blipFill>
                  <pic:spPr>
                    <a:xfrm>
                      <a:off x="0" y="0"/>
                      <a:ext cx="6075680" cy="2307590"/>
                    </a:xfrm>
                    <a:prstGeom prst="rect">
                      <a:avLst/>
                    </a:prstGeom>
                    <a:ln>
                      <a:noFill/>
                    </a:ln>
                  </pic:spPr>
                </pic:pic>
              </a:graphicData>
            </a:graphic>
          </wp:inline>
        </w:drawing>
      </w:r>
    </w:p>
    <w:tbl>
      <w:tblPr>
        <w:tblStyle w:val="TableGrid"/>
        <w:tblW w:w="7890" w:type="dxa"/>
        <w:tblInd w:w="9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1"/>
        <w:gridCol w:w="3849"/>
      </w:tblGrid>
      <w:tr w:rsidR="001C08A5" w14:paraId="299D397A" w14:textId="77777777">
        <w:tc>
          <w:tcPr>
            <w:tcW w:w="4041" w:type="dxa"/>
          </w:tcPr>
          <w:p w14:paraId="5CD4642D" w14:textId="77777777" w:rsidR="001C08A5" w:rsidRDefault="00000000">
            <w:pPr>
              <w:ind w:left="425"/>
              <w:rPr>
                <w:i/>
                <w:iCs/>
                <w:sz w:val="22"/>
                <w:szCs w:val="22"/>
              </w:rPr>
            </w:pPr>
            <w:r>
              <w:rPr>
                <w:b/>
                <w:bCs/>
                <w:i/>
                <w:iCs/>
                <w:sz w:val="22"/>
                <w:szCs w:val="22"/>
              </w:rPr>
              <w:t>Varianta a)</w:t>
            </w:r>
            <w:r>
              <w:rPr>
                <w:i/>
                <w:iCs/>
                <w:sz w:val="22"/>
                <w:szCs w:val="22"/>
              </w:rPr>
              <w:t xml:space="preserve"> - cu suprafaţă plană continuă, într-un singur plan</w:t>
            </w:r>
          </w:p>
        </w:tc>
        <w:tc>
          <w:tcPr>
            <w:tcW w:w="3849" w:type="dxa"/>
          </w:tcPr>
          <w:p w14:paraId="5B1401FD" w14:textId="77777777" w:rsidR="001C08A5" w:rsidRDefault="00000000">
            <w:pPr>
              <w:ind w:left="425"/>
              <w:rPr>
                <w:i/>
                <w:iCs/>
                <w:sz w:val="22"/>
                <w:szCs w:val="22"/>
              </w:rPr>
            </w:pPr>
            <w:r>
              <w:rPr>
                <w:b/>
                <w:bCs/>
                <w:i/>
                <w:iCs/>
                <w:sz w:val="22"/>
                <w:szCs w:val="22"/>
              </w:rPr>
              <w:t>Varianta b)</w:t>
            </w:r>
            <w:r>
              <w:rPr>
                <w:i/>
                <w:iCs/>
                <w:sz w:val="22"/>
                <w:szCs w:val="22"/>
              </w:rPr>
              <w:t xml:space="preserve"> - cu suprafaţă plană discontinuă, cu rupere de pantă </w:t>
            </w:r>
          </w:p>
        </w:tc>
      </w:tr>
    </w:tbl>
    <w:p w14:paraId="0FB2CCBF" w14:textId="77777777" w:rsidR="001C08A5" w:rsidRDefault="00000000">
      <w:pPr>
        <w:widowControl w:val="0"/>
        <w:jc w:val="center"/>
        <w:rPr>
          <w:sz w:val="24"/>
          <w:szCs w:val="24"/>
        </w:rPr>
      </w:pPr>
      <w:r>
        <w:rPr>
          <w:noProof/>
          <w:lang w:eastAsia="ro-RO"/>
        </w:rPr>
        <w:lastRenderedPageBreak/>
        <w:drawing>
          <wp:inline distT="0" distB="0" distL="0" distR="0" wp14:anchorId="633E1F78" wp14:editId="614A17FB">
            <wp:extent cx="6076315" cy="2307590"/>
            <wp:effectExtent l="0" t="0" r="635" b="16510"/>
            <wp:docPr id="1029" name="Picture 5"/>
            <wp:cNvGraphicFramePr/>
            <a:graphic xmlns:a="http://schemas.openxmlformats.org/drawingml/2006/main">
              <a:graphicData uri="http://schemas.openxmlformats.org/drawingml/2006/picture">
                <pic:pic xmlns:pic="http://schemas.openxmlformats.org/drawingml/2006/picture">
                  <pic:nvPicPr>
                    <pic:cNvPr id="1029" name="Picture 5"/>
                    <pic:cNvPicPr/>
                  </pic:nvPicPr>
                  <pic:blipFill>
                    <a:blip r:embed="rId48" cstate="print"/>
                    <a:srcRect l="12383" t="31708" r="7117" b="22622"/>
                    <a:stretch>
                      <a:fillRect/>
                    </a:stretch>
                  </pic:blipFill>
                  <pic:spPr>
                    <a:xfrm>
                      <a:off x="0" y="0"/>
                      <a:ext cx="6076315" cy="2307590"/>
                    </a:xfrm>
                    <a:prstGeom prst="rect">
                      <a:avLst/>
                    </a:prstGeom>
                    <a:ln>
                      <a:noFill/>
                    </a:ln>
                  </pic:spPr>
                </pic:pic>
              </a:graphicData>
            </a:graphic>
          </wp:inline>
        </w:drawing>
      </w:r>
    </w:p>
    <w:tbl>
      <w:tblPr>
        <w:tblStyle w:val="TableGrid"/>
        <w:tblW w:w="8124" w:type="dxa"/>
        <w:tblInd w:w="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5"/>
        <w:gridCol w:w="3879"/>
      </w:tblGrid>
      <w:tr w:rsidR="001C08A5" w14:paraId="551EEB37" w14:textId="77777777">
        <w:tc>
          <w:tcPr>
            <w:tcW w:w="4245" w:type="dxa"/>
          </w:tcPr>
          <w:p w14:paraId="5965838B" w14:textId="77777777" w:rsidR="001C08A5" w:rsidRDefault="00000000">
            <w:pPr>
              <w:ind w:left="425"/>
              <w:rPr>
                <w:i/>
                <w:iCs/>
                <w:sz w:val="22"/>
                <w:szCs w:val="22"/>
              </w:rPr>
            </w:pPr>
            <w:r>
              <w:rPr>
                <w:b/>
                <w:bCs/>
                <w:i/>
                <w:iCs/>
                <w:sz w:val="22"/>
                <w:szCs w:val="22"/>
              </w:rPr>
              <w:t>Varianta c)</w:t>
            </w:r>
            <w:r>
              <w:rPr>
                <w:i/>
                <w:iCs/>
                <w:sz w:val="22"/>
                <w:szCs w:val="22"/>
              </w:rPr>
              <w:t xml:space="preserve"> - cu suprafaţă plană discontinuă,  cu rupere de nivel și pantă</w:t>
            </w:r>
          </w:p>
        </w:tc>
        <w:tc>
          <w:tcPr>
            <w:tcW w:w="3879" w:type="dxa"/>
          </w:tcPr>
          <w:p w14:paraId="26744244" w14:textId="77777777" w:rsidR="001C08A5" w:rsidRDefault="00000000">
            <w:pPr>
              <w:ind w:left="425"/>
              <w:rPr>
                <w:i/>
                <w:iCs/>
                <w:sz w:val="22"/>
                <w:szCs w:val="22"/>
              </w:rPr>
            </w:pPr>
            <w:r>
              <w:rPr>
                <w:b/>
                <w:bCs/>
                <w:i/>
                <w:iCs/>
                <w:sz w:val="22"/>
                <w:szCs w:val="22"/>
              </w:rPr>
              <w:t>Varianta d)</w:t>
            </w:r>
            <w:r>
              <w:rPr>
                <w:i/>
                <w:iCs/>
                <w:sz w:val="22"/>
                <w:szCs w:val="22"/>
              </w:rPr>
              <w:t xml:space="preserve"> - </w:t>
            </w:r>
            <w:r>
              <w:rPr>
                <w:bCs/>
                <w:i/>
                <w:iCs/>
                <w:sz w:val="22"/>
                <w:szCs w:val="22"/>
              </w:rPr>
              <w:t xml:space="preserve"> cu suprafață curbă</w:t>
            </w:r>
          </w:p>
        </w:tc>
      </w:tr>
    </w:tbl>
    <w:p w14:paraId="1E3285E2" w14:textId="77777777" w:rsidR="001C08A5" w:rsidRDefault="00000000">
      <w:pPr>
        <w:jc w:val="center"/>
        <w:rPr>
          <w:b/>
          <w:bCs/>
          <w:i/>
          <w:iCs/>
          <w:sz w:val="24"/>
          <w:szCs w:val="24"/>
        </w:rPr>
      </w:pPr>
      <w:bookmarkStart w:id="61" w:name="_Ref4486"/>
      <w:bookmarkStart w:id="62" w:name="_Toc162360225"/>
      <w:r>
        <w:rPr>
          <w:b/>
          <w:bCs/>
          <w:i/>
          <w:iCs/>
          <w:sz w:val="24"/>
          <w:szCs w:val="24"/>
        </w:rPr>
        <w:t xml:space="preserve">Figura </w:t>
      </w:r>
      <w:r>
        <w:rPr>
          <w:b/>
          <w:bCs/>
          <w:i/>
          <w:iCs/>
          <w:sz w:val="24"/>
          <w:szCs w:val="24"/>
        </w:rPr>
        <w:fldChar w:fldCharType="begin"/>
      </w:r>
      <w:r>
        <w:rPr>
          <w:b/>
          <w:bCs/>
          <w:i/>
          <w:iCs/>
          <w:sz w:val="24"/>
          <w:szCs w:val="24"/>
        </w:rPr>
        <w:instrText xml:space="preserve"> SEQ Figura \* ARABIC </w:instrText>
      </w:r>
      <w:r>
        <w:rPr>
          <w:b/>
          <w:bCs/>
          <w:i/>
          <w:iCs/>
          <w:sz w:val="24"/>
          <w:szCs w:val="24"/>
        </w:rPr>
        <w:fldChar w:fldCharType="separate"/>
      </w:r>
      <w:r>
        <w:rPr>
          <w:b/>
          <w:bCs/>
          <w:i/>
          <w:iCs/>
          <w:sz w:val="24"/>
          <w:szCs w:val="24"/>
        </w:rPr>
        <w:t>1</w:t>
      </w:r>
      <w:r>
        <w:rPr>
          <w:b/>
          <w:bCs/>
          <w:i/>
          <w:iCs/>
          <w:sz w:val="24"/>
          <w:szCs w:val="24"/>
        </w:rPr>
        <w:fldChar w:fldCharType="end"/>
      </w:r>
      <w:bookmarkStart w:id="63" w:name="_Toc11999"/>
      <w:bookmarkStart w:id="64" w:name="_Toc23033"/>
      <w:bookmarkStart w:id="65" w:name="_Toc1168"/>
      <w:bookmarkStart w:id="66" w:name="_Toc23894"/>
      <w:bookmarkStart w:id="67" w:name="_Toc10312"/>
      <w:bookmarkStart w:id="68" w:name="_Toc22993"/>
      <w:bookmarkStart w:id="69" w:name="_Toc8706"/>
      <w:bookmarkStart w:id="70" w:name="_Toc31872"/>
      <w:bookmarkStart w:id="71" w:name="_Toc4111"/>
      <w:bookmarkStart w:id="72" w:name="_Toc16393"/>
      <w:bookmarkStart w:id="73" w:name="_Toc4354"/>
      <w:bookmarkEnd w:id="61"/>
      <w:r>
        <w:rPr>
          <w:b/>
          <w:bCs/>
          <w:i/>
          <w:iCs/>
          <w:sz w:val="24"/>
          <w:szCs w:val="24"/>
        </w:rPr>
        <w:t xml:space="preserve"> - Tipuri de acoperișuri în pantă</w:t>
      </w:r>
      <w:bookmarkEnd w:id="62"/>
      <w:bookmarkEnd w:id="63"/>
      <w:bookmarkEnd w:id="64"/>
      <w:bookmarkEnd w:id="65"/>
      <w:bookmarkEnd w:id="66"/>
      <w:bookmarkEnd w:id="67"/>
      <w:bookmarkEnd w:id="68"/>
      <w:bookmarkEnd w:id="69"/>
      <w:bookmarkEnd w:id="70"/>
      <w:bookmarkEnd w:id="71"/>
      <w:bookmarkEnd w:id="72"/>
      <w:bookmarkEnd w:id="73"/>
    </w:p>
    <w:p w14:paraId="1346EDF8" w14:textId="77777777" w:rsidR="001C08A5" w:rsidRDefault="001C08A5">
      <w:pPr>
        <w:jc w:val="both"/>
        <w:rPr>
          <w:b/>
          <w:bCs/>
          <w:i/>
          <w:iCs/>
          <w:sz w:val="24"/>
          <w:szCs w:val="24"/>
        </w:rPr>
      </w:pPr>
    </w:p>
    <w:p w14:paraId="232405C8" w14:textId="77777777" w:rsidR="001C08A5" w:rsidRDefault="00000000">
      <w:pPr>
        <w:widowControl w:val="0"/>
        <w:numPr>
          <w:ilvl w:val="0"/>
          <w:numId w:val="11"/>
        </w:numPr>
        <w:tabs>
          <w:tab w:val="left" w:pos="360"/>
        </w:tabs>
        <w:jc w:val="both"/>
        <w:rPr>
          <w:b/>
          <w:bCs/>
          <w:i/>
          <w:iCs/>
          <w:sz w:val="24"/>
          <w:szCs w:val="24"/>
        </w:rPr>
      </w:pPr>
      <w:bookmarkStart w:id="74" w:name="_Toc257098384"/>
      <w:bookmarkStart w:id="75" w:name="_Toc519167847"/>
      <w:bookmarkStart w:id="76" w:name="_Toc257183458"/>
      <w:bookmarkStart w:id="77" w:name="_Toc257098301"/>
      <w:bookmarkStart w:id="78" w:name="_Toc208241619"/>
      <w:bookmarkStart w:id="79" w:name="_Toc257183553"/>
      <w:r>
        <w:rPr>
          <w:b/>
          <w:bCs/>
          <w:i/>
          <w:iCs/>
          <w:sz w:val="24"/>
          <w:szCs w:val="24"/>
        </w:rPr>
        <w:t>Acoperiș terasă (tip planșeu)</w:t>
      </w:r>
      <w:r>
        <w:rPr>
          <w:i/>
          <w:iCs/>
          <w:sz w:val="24"/>
          <w:szCs w:val="24"/>
          <w:lang w:val="en-GB"/>
        </w:rPr>
        <w:t xml:space="preserve"> - </w:t>
      </w:r>
      <w:r>
        <w:rPr>
          <w:i/>
          <w:iCs/>
          <w:sz w:val="24"/>
          <w:szCs w:val="24"/>
        </w:rPr>
        <w:t xml:space="preserve">element de construcţie </w:t>
      </w:r>
      <w:r>
        <w:rPr>
          <w:i/>
          <w:iCs/>
          <w:sz w:val="24"/>
          <w:szCs w:val="24"/>
          <w:lang w:val="en-GB" w:eastAsia="ro-RO"/>
        </w:rPr>
        <w:t xml:space="preserve">orizontal sau </w:t>
      </w:r>
      <w:r>
        <w:rPr>
          <w:i/>
          <w:iCs/>
          <w:sz w:val="24"/>
          <w:szCs w:val="24"/>
          <w:lang w:val="en-US" w:eastAsia="ro-RO"/>
        </w:rPr>
        <w:t>î</w:t>
      </w:r>
      <w:r>
        <w:rPr>
          <w:i/>
          <w:iCs/>
          <w:sz w:val="24"/>
          <w:szCs w:val="24"/>
          <w:lang w:val="en-GB" w:eastAsia="ro-RO"/>
        </w:rPr>
        <w:t>nclinat care închide construcția la partea superioară, peste ultimul nivel construit</w:t>
      </w:r>
      <w:r>
        <w:rPr>
          <w:i/>
          <w:iCs/>
          <w:sz w:val="24"/>
          <w:szCs w:val="24"/>
          <w:lang w:val="en-US" w:eastAsia="ro-RO"/>
        </w:rPr>
        <w:t xml:space="preserve">, </w:t>
      </w:r>
      <w:r>
        <w:rPr>
          <w:i/>
          <w:iCs/>
          <w:sz w:val="24"/>
          <w:szCs w:val="24"/>
        </w:rPr>
        <w:t xml:space="preserve">obligatoriu prevăzut cu capacitate portantă </w:t>
      </w:r>
      <w:r>
        <w:rPr>
          <w:b/>
          <w:bCs/>
          <w:i/>
          <w:iCs/>
          <w:sz w:val="24"/>
          <w:szCs w:val="24"/>
        </w:rPr>
        <w:t>R</w:t>
      </w:r>
      <w:r>
        <w:rPr>
          <w:i/>
          <w:iCs/>
          <w:sz w:val="24"/>
          <w:szCs w:val="24"/>
        </w:rPr>
        <w:t xml:space="preserve"> (aptitudinea acestuia de a rezista la o expunere la foc, pe o faţă sau pe mai multe feţe, pe timpul normat, sub acţiuni mecanice specificate, fără pierderea stabilităţii structurale). Se consideră că îndeplinește această prevedere (tip planșeu) orice acoperiș cu structura din beton armat sau precomprimat / </w:t>
      </w:r>
      <w:r>
        <w:rPr>
          <w:rFonts w:eastAsia="Times New Roman"/>
          <w:i/>
          <w:sz w:val="22"/>
          <w:szCs w:val="22"/>
        </w:rPr>
        <w:t xml:space="preserve">beton armat monolit sau prefabricat, </w:t>
      </w:r>
      <w:r>
        <w:rPr>
          <w:i/>
          <w:iCs/>
          <w:sz w:val="24"/>
          <w:szCs w:val="24"/>
        </w:rPr>
        <w:t>cu panta mai mică sau egală de</w:t>
      </w:r>
      <w:r>
        <w:rPr>
          <w:b/>
          <w:bCs/>
          <w:i/>
          <w:iCs/>
          <w:sz w:val="24"/>
          <w:szCs w:val="24"/>
        </w:rPr>
        <w:t xml:space="preserve"> 10</w:t>
      </w:r>
      <w:r>
        <w:rPr>
          <w:b/>
          <w:bCs/>
          <w:i/>
          <w:iCs/>
          <w:sz w:val="24"/>
          <w:szCs w:val="24"/>
          <w:vertAlign w:val="superscript"/>
        </w:rPr>
        <w:t>0</w:t>
      </w:r>
      <w:r>
        <w:rPr>
          <w:b/>
          <w:bCs/>
          <w:i/>
          <w:iCs/>
          <w:sz w:val="24"/>
          <w:szCs w:val="24"/>
        </w:rPr>
        <w:t xml:space="preserve">. </w:t>
      </w:r>
      <w:r>
        <w:rPr>
          <w:i/>
          <w:iCs/>
        </w:rPr>
        <w:t>A</w:t>
      </w:r>
      <w:r>
        <w:rPr>
          <w:i/>
          <w:iCs/>
          <w:sz w:val="24"/>
          <w:szCs w:val="24"/>
          <w:lang w:eastAsia="ro-RO"/>
        </w:rPr>
        <w:t>coperișul terasă amenajat pentru diverse funcțiuni cum ar fi parcaje, comerț etc trebuie să respecte cerințele de proiectare specifice funcțiunii amenajate</w:t>
      </w:r>
      <w:r>
        <w:rPr>
          <w:i/>
          <w:iCs/>
          <w:sz w:val="24"/>
          <w:szCs w:val="24"/>
          <w:lang w:val="en-US" w:eastAsia="ro-RO"/>
        </w:rPr>
        <w:t xml:space="preserve"> precum și tipului de clădire</w:t>
      </w:r>
      <w:r>
        <w:rPr>
          <w:i/>
          <w:iCs/>
          <w:sz w:val="24"/>
          <w:szCs w:val="24"/>
          <w:lang w:eastAsia="ro-RO"/>
        </w:rPr>
        <w:t>.</w:t>
      </w:r>
    </w:p>
    <w:p w14:paraId="37FE9675"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bCs/>
          <w:i/>
          <w:iCs/>
          <w:sz w:val="22"/>
          <w:szCs w:val="22"/>
        </w:rPr>
      </w:pPr>
      <w:r>
        <w:rPr>
          <w:b/>
          <w:i/>
          <w:iCs/>
          <w:sz w:val="22"/>
          <w:szCs w:val="22"/>
        </w:rPr>
        <w:t>Note</w:t>
      </w:r>
      <w:r>
        <w:rPr>
          <w:bCs/>
          <w:i/>
          <w:iCs/>
          <w:sz w:val="22"/>
          <w:szCs w:val="22"/>
        </w:rPr>
        <w:t>: 1.Pentru planşeele și acoperişurile portante fără funcţie de separare la foc</w:t>
      </w:r>
      <w:bookmarkEnd w:id="74"/>
      <w:bookmarkEnd w:id="75"/>
      <w:bookmarkEnd w:id="76"/>
      <w:bookmarkEnd w:id="77"/>
      <w:bookmarkEnd w:id="78"/>
      <w:bookmarkEnd w:id="79"/>
      <w:r>
        <w:rPr>
          <w:bCs/>
          <w:i/>
          <w:iCs/>
          <w:sz w:val="22"/>
          <w:szCs w:val="22"/>
        </w:rPr>
        <w:t xml:space="preserve"> (încercate și clasificate pentru foc aplicat numai de dedesubt doar în cazuri excepţionale, când un planşeu sau un acoperiş portant este expus la foc simultan pe ambele feţe, trebuie încercat ca balcon / pasarelă), criteriul de performanţă este capacitatea portantă și sunt definite prin clasa </w:t>
      </w:r>
      <w:r>
        <w:rPr>
          <w:b/>
          <w:i/>
          <w:iCs/>
          <w:sz w:val="22"/>
          <w:szCs w:val="22"/>
        </w:rPr>
        <w:t>R</w:t>
      </w:r>
      <w:r>
        <w:rPr>
          <w:bCs/>
          <w:i/>
          <w:iCs/>
          <w:sz w:val="22"/>
          <w:szCs w:val="22"/>
        </w:rPr>
        <w:t>.</w:t>
      </w:r>
      <w:bookmarkStart w:id="80" w:name="_Toc257098391"/>
      <w:bookmarkStart w:id="81" w:name="_Toc257183465"/>
      <w:bookmarkStart w:id="82" w:name="_Toc257183560"/>
      <w:bookmarkStart w:id="83" w:name="_Toc208241626"/>
      <w:bookmarkStart w:id="84" w:name="_Toc519167854"/>
      <w:bookmarkStart w:id="85" w:name="_Toc257098308"/>
      <w:r>
        <w:rPr>
          <w:bCs/>
          <w:i/>
          <w:iCs/>
          <w:sz w:val="22"/>
          <w:szCs w:val="22"/>
        </w:rPr>
        <w:t xml:space="preserve"> Pentru planşeele şi acoperişurile portante cu funcţie de separare la foc</w:t>
      </w:r>
      <w:bookmarkEnd w:id="80"/>
      <w:bookmarkEnd w:id="81"/>
      <w:bookmarkEnd w:id="82"/>
      <w:bookmarkEnd w:id="83"/>
      <w:bookmarkEnd w:id="84"/>
      <w:bookmarkEnd w:id="85"/>
      <w:r>
        <w:rPr>
          <w:bCs/>
          <w:i/>
          <w:iCs/>
          <w:sz w:val="22"/>
          <w:szCs w:val="22"/>
        </w:rPr>
        <w:t xml:space="preserve"> (încercate şi clasificate pentru foc aplicat numai de dedesubt), criteriile de performanţă sunt capacitatea portantă și etanşeitatea la foc sau capacitatea portantă, etanşeitatea la foc și izolarea termică, fiind definite prin clasa </w:t>
      </w:r>
      <w:r>
        <w:rPr>
          <w:b/>
          <w:i/>
          <w:iCs/>
          <w:sz w:val="22"/>
          <w:szCs w:val="22"/>
        </w:rPr>
        <w:t>RE</w:t>
      </w:r>
      <w:r>
        <w:rPr>
          <w:bCs/>
          <w:i/>
          <w:iCs/>
          <w:sz w:val="22"/>
          <w:szCs w:val="22"/>
        </w:rPr>
        <w:t xml:space="preserve"> sau </w:t>
      </w:r>
      <w:r>
        <w:rPr>
          <w:b/>
          <w:i/>
          <w:iCs/>
          <w:sz w:val="22"/>
          <w:szCs w:val="22"/>
        </w:rPr>
        <w:t>REI</w:t>
      </w:r>
      <w:r>
        <w:rPr>
          <w:bCs/>
          <w:i/>
          <w:iCs/>
          <w:sz w:val="22"/>
          <w:szCs w:val="22"/>
        </w:rPr>
        <w:t>.</w:t>
      </w:r>
    </w:p>
    <w:p w14:paraId="3CDEE750"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Times New Roman"/>
          <w:i/>
          <w:sz w:val="22"/>
          <w:szCs w:val="22"/>
        </w:rPr>
      </w:pPr>
      <w:r>
        <w:rPr>
          <w:rFonts w:eastAsia="Times New Roman"/>
          <w:i/>
          <w:sz w:val="22"/>
          <w:szCs w:val="22"/>
        </w:rPr>
        <w:t xml:space="preserve">2.În situația în care peste stratul final de hidroizolație se aplică dispozitive fotovoltaice, se vor avea în vedere prevederile </w:t>
      </w:r>
      <w:r>
        <w:rPr>
          <w:i/>
          <w:iCs/>
          <w:sz w:val="22"/>
          <w:szCs w:val="22"/>
        </w:rPr>
        <w:t>din</w:t>
      </w:r>
      <w:r>
        <w:rPr>
          <w:sz w:val="22"/>
          <w:szCs w:val="22"/>
        </w:rPr>
        <w:t xml:space="preserve"> </w:t>
      </w:r>
      <w:r>
        <w:rPr>
          <w:rStyle w:val="CaptiontabelChar"/>
          <w:sz w:val="22"/>
          <w:szCs w:val="22"/>
        </w:rPr>
        <w:fldChar w:fldCharType="begin"/>
      </w:r>
      <w:r>
        <w:rPr>
          <w:rStyle w:val="CaptiontabelChar"/>
          <w:sz w:val="22"/>
          <w:szCs w:val="22"/>
        </w:rPr>
        <w:instrText xml:space="preserve"> REF _Ref26473 \h  \* MERGEFORMAT </w:instrText>
      </w:r>
      <w:r>
        <w:rPr>
          <w:rStyle w:val="CaptiontabelChar"/>
          <w:sz w:val="22"/>
          <w:szCs w:val="22"/>
        </w:rPr>
      </w:r>
      <w:r>
        <w:rPr>
          <w:rStyle w:val="CaptiontabelChar"/>
          <w:sz w:val="22"/>
          <w:szCs w:val="22"/>
        </w:rPr>
        <w:fldChar w:fldCharType="separate"/>
      </w:r>
      <w:r>
        <w:rPr>
          <w:rStyle w:val="CaptiontabelChar"/>
          <w:sz w:val="22"/>
          <w:szCs w:val="22"/>
        </w:rPr>
        <w:t>Tabelul 2</w:t>
      </w:r>
      <w:r>
        <w:rPr>
          <w:rStyle w:val="CaptiontabelChar"/>
          <w:sz w:val="22"/>
          <w:szCs w:val="22"/>
        </w:rPr>
        <w:fldChar w:fldCharType="end"/>
      </w:r>
      <w:r>
        <w:rPr>
          <w:sz w:val="22"/>
          <w:szCs w:val="22"/>
        </w:rPr>
        <w:t xml:space="preserve">, </w:t>
      </w:r>
      <w:r>
        <w:rPr>
          <w:b/>
          <w:bCs/>
          <w:i/>
          <w:iCs/>
          <w:sz w:val="22"/>
          <w:szCs w:val="22"/>
        </w:rPr>
        <w:t>nr. crt. 10, lit. b</w:t>
      </w:r>
      <w:r>
        <w:rPr>
          <w:sz w:val="22"/>
          <w:szCs w:val="22"/>
        </w:rPr>
        <w:t xml:space="preserve">. sau </w:t>
      </w:r>
      <w:r>
        <w:rPr>
          <w:b/>
          <w:bCs/>
          <w:i/>
          <w:iCs/>
          <w:sz w:val="22"/>
          <w:szCs w:val="22"/>
        </w:rPr>
        <w:fldChar w:fldCharType="begin"/>
      </w:r>
      <w:r>
        <w:rPr>
          <w:b/>
          <w:bCs/>
          <w:i/>
          <w:iCs/>
          <w:sz w:val="22"/>
          <w:szCs w:val="22"/>
        </w:rPr>
        <w:instrText xml:space="preserve"> REF _Ref11612 \h </w:instrText>
      </w:r>
      <w:r>
        <w:rPr>
          <w:b/>
          <w:bCs/>
          <w:i/>
          <w:iCs/>
          <w:sz w:val="22"/>
          <w:szCs w:val="22"/>
        </w:rPr>
      </w:r>
      <w:r>
        <w:rPr>
          <w:b/>
          <w:bCs/>
          <w:i/>
          <w:iCs/>
          <w:sz w:val="22"/>
          <w:szCs w:val="22"/>
        </w:rPr>
        <w:fldChar w:fldCharType="separate"/>
      </w:r>
      <w:r>
        <w:t>Tabelul 3</w:t>
      </w:r>
      <w:r>
        <w:rPr>
          <w:b/>
          <w:bCs/>
          <w:i/>
          <w:iCs/>
          <w:sz w:val="22"/>
          <w:szCs w:val="22"/>
        </w:rPr>
        <w:fldChar w:fldCharType="end"/>
      </w:r>
      <w:r>
        <w:rPr>
          <w:rStyle w:val="CaptiontabelChar"/>
          <w:sz w:val="22"/>
          <w:szCs w:val="22"/>
        </w:rPr>
        <w:t xml:space="preserve"> </w:t>
      </w:r>
      <w:r>
        <w:rPr>
          <w:b/>
          <w:bCs/>
          <w:i/>
          <w:iCs/>
          <w:sz w:val="22"/>
          <w:szCs w:val="22"/>
        </w:rPr>
        <w:t>nr. crt. 10, lit. b</w:t>
      </w:r>
      <w:r>
        <w:rPr>
          <w:rFonts w:eastAsia="Times New Roman"/>
          <w:i/>
          <w:sz w:val="22"/>
          <w:szCs w:val="22"/>
        </w:rPr>
        <w:t xml:space="preserve"> </w:t>
      </w:r>
    </w:p>
    <w:p w14:paraId="4E5CB59D"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eastAsia="Times New Roman"/>
          <w:i/>
          <w:sz w:val="22"/>
          <w:szCs w:val="22"/>
        </w:rPr>
      </w:pPr>
      <w:r>
        <w:rPr>
          <w:rFonts w:eastAsia="Times New Roman"/>
          <w:i/>
          <w:sz w:val="22"/>
          <w:szCs w:val="22"/>
        </w:rPr>
        <w:t xml:space="preserve">3.În situația pozitionării termoizolației între planșeul din beton armat și un strat de beton de pantă, de minimum </w:t>
      </w:r>
      <w:r>
        <w:rPr>
          <w:rFonts w:eastAsia="Times New Roman"/>
          <w:b/>
          <w:bCs/>
          <w:i/>
          <w:sz w:val="22"/>
          <w:szCs w:val="22"/>
        </w:rPr>
        <w:t>3,00 cm</w:t>
      </w:r>
      <w:r>
        <w:rPr>
          <w:rFonts w:eastAsia="Times New Roman"/>
          <w:i/>
          <w:sz w:val="22"/>
          <w:szCs w:val="22"/>
        </w:rPr>
        <w:t xml:space="preserve">, se admite utilizarea materialelor conform prevederilor </w:t>
      </w:r>
      <w:r>
        <w:rPr>
          <w:rFonts w:eastAsia="Times New Roman"/>
          <w:b/>
          <w:bCs/>
          <w:i/>
          <w:sz w:val="22"/>
          <w:szCs w:val="22"/>
        </w:rPr>
        <w:t>Art. 2.3.6.2.1. (4)</w:t>
      </w:r>
      <w:r>
        <w:rPr>
          <w:rFonts w:eastAsia="Times New Roman"/>
          <w:i/>
          <w:sz w:val="22"/>
          <w:szCs w:val="22"/>
        </w:rPr>
        <w:t>)</w:t>
      </w:r>
    </w:p>
    <w:p w14:paraId="55B021CC" w14:textId="77777777" w:rsidR="001C08A5" w:rsidRDefault="001C08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bCs/>
          <w:i/>
          <w:iCs/>
          <w:sz w:val="24"/>
          <w:szCs w:val="24"/>
        </w:rPr>
      </w:pPr>
    </w:p>
    <w:p w14:paraId="610D802D" w14:textId="77777777" w:rsidR="001C08A5" w:rsidRDefault="00000000">
      <w:pPr>
        <w:widowControl w:val="0"/>
        <w:tabs>
          <w:tab w:val="left" w:pos="360"/>
          <w:tab w:val="left" w:pos="1265"/>
        </w:tabs>
        <w:ind w:left="1265"/>
        <w:jc w:val="both"/>
        <w:rPr>
          <w:bCs/>
          <w:i/>
          <w:iCs/>
          <w:spacing w:val="8"/>
          <w:sz w:val="24"/>
          <w:szCs w:val="24"/>
        </w:rPr>
      </w:pPr>
      <w:r>
        <w:rPr>
          <w:b/>
          <w:i/>
          <w:iCs/>
          <w:spacing w:val="8"/>
          <w:sz w:val="24"/>
          <w:szCs w:val="24"/>
        </w:rPr>
        <w:t>c) Acoperiş verde -</w:t>
      </w:r>
      <w:r>
        <w:rPr>
          <w:bCs/>
          <w:i/>
          <w:iCs/>
          <w:spacing w:val="8"/>
          <w:sz w:val="24"/>
          <w:szCs w:val="24"/>
        </w:rPr>
        <w:t xml:space="preserve">  așa cum este definit în </w:t>
      </w:r>
      <w:r>
        <w:rPr>
          <w:i/>
          <w:iCs/>
          <w:sz w:val="24"/>
          <w:szCs w:val="24"/>
        </w:rPr>
        <w:t>Ghid privind proiectarea și execuția acoperișurilor verzi la clădiri noi și existente</w:t>
      </w:r>
      <w:r>
        <w:rPr>
          <w:bCs/>
          <w:i/>
          <w:iCs/>
          <w:spacing w:val="8"/>
          <w:sz w:val="24"/>
          <w:szCs w:val="24"/>
        </w:rPr>
        <w:t xml:space="preserve">, indicativ GP 120 din 21.11.2013 </w:t>
      </w:r>
    </w:p>
    <w:p w14:paraId="5DFB1BDB" w14:textId="77777777" w:rsidR="001C08A5" w:rsidRDefault="001C08A5">
      <w:pPr>
        <w:jc w:val="both"/>
        <w:rPr>
          <w:b/>
          <w:i/>
          <w:iCs/>
          <w:sz w:val="24"/>
          <w:szCs w:val="24"/>
        </w:rPr>
      </w:pPr>
    </w:p>
    <w:p w14:paraId="056894C7" w14:textId="77777777" w:rsidR="001C08A5" w:rsidRDefault="00000000">
      <w:pPr>
        <w:numPr>
          <w:ilvl w:val="0"/>
          <w:numId w:val="10"/>
        </w:numPr>
        <w:jc w:val="both"/>
        <w:rPr>
          <w:bCs/>
          <w:i/>
          <w:iCs/>
          <w:strike/>
          <w:sz w:val="24"/>
          <w:szCs w:val="24"/>
        </w:rPr>
      </w:pPr>
      <w:r>
        <w:rPr>
          <w:b/>
          <w:bCs/>
          <w:i/>
          <w:iCs/>
          <w:sz w:val="24"/>
          <w:szCs w:val="24"/>
        </w:rPr>
        <w:t>Anvelopa clădirii</w:t>
      </w:r>
      <w:r>
        <w:rPr>
          <w:bCs/>
          <w:i/>
          <w:iCs/>
          <w:sz w:val="24"/>
          <w:szCs w:val="24"/>
        </w:rPr>
        <w:t xml:space="preserve"> - Ansamblul constructiv de închidere perimetrală a clădirii, compus din fațade, indiferent de materiale și sistem de realizare, precum și sistem de acoperire </w:t>
      </w:r>
    </w:p>
    <w:p w14:paraId="18203F35" w14:textId="77777777" w:rsidR="001C08A5" w:rsidRDefault="001C08A5">
      <w:pPr>
        <w:jc w:val="both"/>
        <w:rPr>
          <w:bCs/>
          <w:i/>
          <w:iCs/>
          <w:strike/>
          <w:sz w:val="24"/>
          <w:szCs w:val="24"/>
        </w:rPr>
      </w:pPr>
    </w:p>
    <w:p w14:paraId="28258E7A" w14:textId="77777777" w:rsidR="001C08A5" w:rsidRDefault="00000000">
      <w:pPr>
        <w:widowControl w:val="0"/>
        <w:numPr>
          <w:ilvl w:val="0"/>
          <w:numId w:val="10"/>
        </w:numPr>
        <w:jc w:val="both"/>
        <w:rPr>
          <w:i/>
          <w:iCs/>
          <w:sz w:val="24"/>
          <w:szCs w:val="24"/>
        </w:rPr>
      </w:pPr>
      <w:r>
        <w:rPr>
          <w:b/>
          <w:bCs/>
          <w:i/>
          <w:iCs/>
          <w:sz w:val="24"/>
          <w:szCs w:val="24"/>
        </w:rPr>
        <w:t>Ardere</w:t>
      </w:r>
      <w:r>
        <w:rPr>
          <w:i/>
          <w:iCs/>
          <w:sz w:val="24"/>
          <w:szCs w:val="24"/>
        </w:rPr>
        <w:t xml:space="preserve"> - reacţie exotermă a unei substanţe cu un oxidant. </w:t>
      </w:r>
      <w:r>
        <w:rPr>
          <w:i/>
          <w:iCs/>
          <w:sz w:val="24"/>
          <w:szCs w:val="24"/>
          <w:lang w:eastAsia="ro-RO"/>
        </w:rPr>
        <w:t>Arderea emite în general efluenţi ai incendiului însoţiţi de flăcări şi/sau incandescenţă.</w:t>
      </w:r>
    </w:p>
    <w:p w14:paraId="43D796F7" w14:textId="77777777" w:rsidR="001C08A5" w:rsidRDefault="00000000">
      <w:pPr>
        <w:widowControl w:val="0"/>
        <w:numPr>
          <w:ilvl w:val="0"/>
          <w:numId w:val="12"/>
        </w:numPr>
        <w:tabs>
          <w:tab w:val="clear" w:pos="425"/>
        </w:tabs>
        <w:ind w:left="1265"/>
        <w:jc w:val="both"/>
        <w:rPr>
          <w:i/>
          <w:iCs/>
          <w:sz w:val="24"/>
          <w:szCs w:val="24"/>
        </w:rPr>
      </w:pPr>
      <w:r>
        <w:rPr>
          <w:b/>
          <w:bCs/>
          <w:i/>
          <w:iCs/>
          <w:sz w:val="24"/>
          <w:szCs w:val="24"/>
        </w:rPr>
        <w:t>Oxidare</w:t>
      </w:r>
      <w:r>
        <w:rPr>
          <w:i/>
          <w:iCs/>
          <w:sz w:val="24"/>
          <w:szCs w:val="24"/>
        </w:rPr>
        <w:t xml:space="preserve"> - reacţie chimică în care proporţia de oxigen sau de alt element electronegativ într-o substanţă este mărită. </w:t>
      </w:r>
    </w:p>
    <w:p w14:paraId="40C767DC" w14:textId="77777777" w:rsidR="001C08A5" w:rsidRDefault="00000000">
      <w:pPr>
        <w:widowControl w:val="0"/>
        <w:numPr>
          <w:ilvl w:val="0"/>
          <w:numId w:val="12"/>
        </w:numPr>
        <w:tabs>
          <w:tab w:val="clear" w:pos="425"/>
        </w:tabs>
        <w:ind w:left="1265"/>
        <w:jc w:val="both"/>
        <w:rPr>
          <w:i/>
          <w:iCs/>
          <w:sz w:val="24"/>
          <w:szCs w:val="24"/>
        </w:rPr>
      </w:pPr>
      <w:r>
        <w:rPr>
          <w:b/>
          <w:bCs/>
          <w:i/>
          <w:iCs/>
          <w:sz w:val="24"/>
          <w:szCs w:val="24"/>
        </w:rPr>
        <w:t>Oxidant</w:t>
      </w:r>
      <w:r>
        <w:rPr>
          <w:i/>
          <w:iCs/>
          <w:sz w:val="24"/>
          <w:szCs w:val="24"/>
        </w:rPr>
        <w:t xml:space="preserve"> - substanţă susceptibilă de a produce o reacţie de oxidare. Arderea este o oxidare.</w:t>
      </w:r>
    </w:p>
    <w:p w14:paraId="3CE82C81" w14:textId="77777777" w:rsidR="001C08A5" w:rsidRDefault="001C08A5">
      <w:pPr>
        <w:rPr>
          <w:rFonts w:eastAsia="Times-Roman"/>
          <w:i/>
          <w:iCs/>
          <w:sz w:val="24"/>
          <w:szCs w:val="24"/>
          <w:lang w:eastAsia="ro-RO"/>
        </w:rPr>
      </w:pPr>
    </w:p>
    <w:p w14:paraId="32001294" w14:textId="77777777" w:rsidR="001C08A5" w:rsidRDefault="00000000">
      <w:pPr>
        <w:widowControl w:val="0"/>
        <w:numPr>
          <w:ilvl w:val="0"/>
          <w:numId w:val="10"/>
        </w:numPr>
        <w:jc w:val="both"/>
        <w:rPr>
          <w:i/>
          <w:iCs/>
          <w:sz w:val="24"/>
          <w:szCs w:val="24"/>
        </w:rPr>
      </w:pPr>
      <w:r>
        <w:rPr>
          <w:rFonts w:eastAsia="Times-Roman"/>
          <w:b/>
          <w:bCs/>
          <w:i/>
          <w:iCs/>
          <w:sz w:val="24"/>
          <w:szCs w:val="24"/>
          <w:lang w:eastAsia="ro-RO"/>
        </w:rPr>
        <w:t>Aria construită (Ac)</w:t>
      </w:r>
      <w:r>
        <w:rPr>
          <w:rFonts w:eastAsia="Times-Roman"/>
          <w:i/>
          <w:iCs/>
          <w:sz w:val="24"/>
          <w:szCs w:val="24"/>
          <w:lang w:eastAsia="ro-RO"/>
        </w:rPr>
        <w:t xml:space="preserve"> -  aria sectiunii orizontale a clădirii,  la cota ± 0,00, a parterului, măsurată </w:t>
      </w:r>
      <w:r>
        <w:rPr>
          <w:i/>
          <w:iCs/>
          <w:sz w:val="24"/>
          <w:szCs w:val="24"/>
        </w:rPr>
        <w:t xml:space="preserve">conform </w:t>
      </w:r>
      <w:r>
        <w:rPr>
          <w:b/>
          <w:bCs/>
          <w:i/>
          <w:iCs/>
          <w:sz w:val="24"/>
          <w:szCs w:val="24"/>
        </w:rPr>
        <w:t>STAS 4908</w:t>
      </w:r>
      <w:r>
        <w:rPr>
          <w:i/>
          <w:iCs/>
          <w:sz w:val="24"/>
          <w:szCs w:val="24"/>
        </w:rPr>
        <w:t xml:space="preserve"> – Clădiri civile, industriale și agrozootehnice. Arii și volume conventionale</w:t>
      </w:r>
    </w:p>
    <w:p w14:paraId="47D576B5" w14:textId="77777777" w:rsidR="001C08A5" w:rsidRDefault="00000000">
      <w:pPr>
        <w:ind w:left="425"/>
        <w:jc w:val="both"/>
        <w:rPr>
          <w:i/>
          <w:iCs/>
        </w:rPr>
      </w:pPr>
      <w:r>
        <w:rPr>
          <w:b/>
          <w:bCs/>
          <w:i/>
          <w:iCs/>
        </w:rPr>
        <w:lastRenderedPageBreak/>
        <w:t>Notă</w:t>
      </w:r>
      <w:r>
        <w:rPr>
          <w:i/>
          <w:iCs/>
        </w:rPr>
        <w:t>: Se au în vedere următoarele:</w:t>
      </w:r>
    </w:p>
    <w:p w14:paraId="6337C768" w14:textId="77777777" w:rsidR="001C08A5" w:rsidRDefault="00000000">
      <w:pPr>
        <w:widowControl w:val="0"/>
        <w:tabs>
          <w:tab w:val="left" w:pos="360"/>
        </w:tabs>
        <w:ind w:left="840"/>
        <w:jc w:val="both"/>
        <w:rPr>
          <w:i/>
          <w:iCs/>
          <w:sz w:val="24"/>
          <w:szCs w:val="24"/>
        </w:rPr>
      </w:pPr>
      <w:r>
        <w:rPr>
          <w:b/>
          <w:bCs/>
          <w:i/>
          <w:iCs/>
          <w:sz w:val="24"/>
          <w:szCs w:val="24"/>
        </w:rPr>
        <w:t>a) Aria construită</w:t>
      </w:r>
      <w:r>
        <w:rPr>
          <w:i/>
          <w:iCs/>
          <w:sz w:val="24"/>
          <w:szCs w:val="24"/>
        </w:rPr>
        <w:t xml:space="preserve"> - aria secțiunii orizontale a clădirii, la cota ±0,000 a parterului, măsurată pe conturul exterior al pereților (sau proiecţia pe sol a conturului nivelurilor supraterane dacă suprafața acestora este mai mare).</w:t>
      </w:r>
    </w:p>
    <w:p w14:paraId="6DE9CFD3" w14:textId="77777777" w:rsidR="001C08A5" w:rsidRDefault="00000000">
      <w:pPr>
        <w:jc w:val="both"/>
        <w:rPr>
          <w:i/>
          <w:iCs/>
          <w:sz w:val="22"/>
          <w:szCs w:val="22"/>
        </w:rPr>
      </w:pPr>
      <w:r>
        <w:rPr>
          <w:i/>
          <w:iCs/>
          <w:sz w:val="22"/>
          <w:szCs w:val="22"/>
        </w:rPr>
        <w:t>Observație:</w:t>
      </w:r>
    </w:p>
    <w:p w14:paraId="3DD6B2D6" w14:textId="77777777" w:rsidR="001C08A5" w:rsidRDefault="00000000">
      <w:pPr>
        <w:numPr>
          <w:ilvl w:val="0"/>
          <w:numId w:val="13"/>
        </w:numPr>
        <w:jc w:val="both"/>
        <w:rPr>
          <w:i/>
          <w:iCs/>
          <w:sz w:val="22"/>
          <w:szCs w:val="22"/>
        </w:rPr>
      </w:pPr>
      <w:r>
        <w:rPr>
          <w:i/>
          <w:iCs/>
          <w:sz w:val="22"/>
          <w:szCs w:val="22"/>
        </w:rPr>
        <w:t>În aria construită, nu intră:</w:t>
      </w:r>
    </w:p>
    <w:p w14:paraId="709785D8" w14:textId="77777777" w:rsidR="001C08A5" w:rsidRDefault="00000000">
      <w:pPr>
        <w:numPr>
          <w:ilvl w:val="5"/>
          <w:numId w:val="10"/>
        </w:numPr>
        <w:jc w:val="both"/>
        <w:rPr>
          <w:i/>
          <w:iCs/>
          <w:sz w:val="22"/>
          <w:szCs w:val="22"/>
        </w:rPr>
      </w:pPr>
      <w:r>
        <w:rPr>
          <w:i/>
          <w:iCs/>
          <w:sz w:val="22"/>
          <w:szCs w:val="22"/>
        </w:rPr>
        <w:t xml:space="preserve">- rezaliturile cu aria mai mică de </w:t>
      </w:r>
      <w:r>
        <w:rPr>
          <w:b/>
          <w:bCs/>
          <w:i/>
          <w:iCs/>
          <w:sz w:val="22"/>
          <w:szCs w:val="22"/>
        </w:rPr>
        <w:t>0,4 m</w:t>
      </w:r>
      <w:r>
        <w:rPr>
          <w:b/>
          <w:bCs/>
          <w:i/>
          <w:iCs/>
          <w:sz w:val="22"/>
          <w:szCs w:val="22"/>
          <w:vertAlign w:val="superscript"/>
        </w:rPr>
        <w:t>2</w:t>
      </w:r>
      <w:r>
        <w:rPr>
          <w:i/>
          <w:iCs/>
          <w:sz w:val="22"/>
          <w:szCs w:val="22"/>
        </w:rPr>
        <w:t xml:space="preserve"> și nișele cu aria mai mare de </w:t>
      </w:r>
      <w:r>
        <w:rPr>
          <w:b/>
          <w:bCs/>
          <w:i/>
          <w:iCs/>
          <w:sz w:val="22"/>
          <w:szCs w:val="22"/>
        </w:rPr>
        <w:t>0,4 m</w:t>
      </w:r>
      <w:r>
        <w:rPr>
          <w:b/>
          <w:bCs/>
          <w:i/>
          <w:iCs/>
          <w:sz w:val="22"/>
          <w:szCs w:val="22"/>
          <w:vertAlign w:val="superscript"/>
        </w:rPr>
        <w:t>2</w:t>
      </w:r>
      <w:r>
        <w:rPr>
          <w:i/>
          <w:iCs/>
          <w:sz w:val="22"/>
          <w:szCs w:val="22"/>
        </w:rPr>
        <w:t>;</w:t>
      </w:r>
    </w:p>
    <w:p w14:paraId="7FF6A1F5" w14:textId="77777777" w:rsidR="001C08A5" w:rsidRDefault="00000000">
      <w:pPr>
        <w:numPr>
          <w:ilvl w:val="5"/>
          <w:numId w:val="10"/>
        </w:numPr>
        <w:jc w:val="both"/>
        <w:rPr>
          <w:i/>
          <w:iCs/>
          <w:sz w:val="22"/>
          <w:szCs w:val="22"/>
        </w:rPr>
      </w:pPr>
      <w:r>
        <w:rPr>
          <w:i/>
          <w:iCs/>
          <w:sz w:val="22"/>
          <w:szCs w:val="22"/>
        </w:rPr>
        <w:t>- treptele exterioare și terasele neacoperite;</w:t>
      </w:r>
    </w:p>
    <w:p w14:paraId="33B022D3" w14:textId="77777777" w:rsidR="001C08A5" w:rsidRDefault="00000000">
      <w:pPr>
        <w:numPr>
          <w:ilvl w:val="5"/>
          <w:numId w:val="10"/>
        </w:numPr>
        <w:jc w:val="both"/>
        <w:rPr>
          <w:i/>
          <w:iCs/>
          <w:sz w:val="22"/>
          <w:szCs w:val="22"/>
        </w:rPr>
      </w:pPr>
      <w:r>
        <w:rPr>
          <w:i/>
          <w:iCs/>
          <w:sz w:val="22"/>
          <w:szCs w:val="22"/>
        </w:rPr>
        <w:t xml:space="preserve">- terasele descoperite ale parterului care depăşesc planul faţadei, platformele, scările de acces. Proiecţia la sol a balcoanelor a căror cotă de nivel este sub </w:t>
      </w:r>
      <w:r>
        <w:rPr>
          <w:b/>
          <w:bCs/>
          <w:i/>
          <w:iCs/>
          <w:sz w:val="22"/>
          <w:szCs w:val="22"/>
        </w:rPr>
        <w:t>3,00 m</w:t>
      </w:r>
      <w:r>
        <w:rPr>
          <w:i/>
          <w:iCs/>
          <w:sz w:val="22"/>
          <w:szCs w:val="22"/>
        </w:rPr>
        <w:t xml:space="preserve"> de la nivelul solului amenajat şi a logiilor închise ale etajelor se include în aria construită.</w:t>
      </w:r>
    </w:p>
    <w:p w14:paraId="0734C502" w14:textId="77777777" w:rsidR="001C08A5" w:rsidRDefault="00000000">
      <w:pPr>
        <w:numPr>
          <w:ilvl w:val="5"/>
          <w:numId w:val="10"/>
        </w:numPr>
        <w:jc w:val="both"/>
        <w:rPr>
          <w:i/>
          <w:iCs/>
          <w:sz w:val="22"/>
          <w:szCs w:val="22"/>
        </w:rPr>
      </w:pPr>
      <w:r>
        <w:rPr>
          <w:i/>
          <w:iCs/>
          <w:sz w:val="22"/>
          <w:szCs w:val="22"/>
        </w:rPr>
        <w:t xml:space="preserve">- ariile curților interioare, ale curților exterioare de lumină sau de acces (denumite în mod curent curți englezești) mai mari de </w:t>
      </w:r>
      <w:r>
        <w:rPr>
          <w:b/>
          <w:bCs/>
          <w:i/>
          <w:iCs/>
          <w:sz w:val="22"/>
          <w:szCs w:val="22"/>
        </w:rPr>
        <w:t>4 m</w:t>
      </w:r>
      <w:r>
        <w:rPr>
          <w:b/>
          <w:bCs/>
          <w:i/>
          <w:iCs/>
          <w:sz w:val="22"/>
          <w:szCs w:val="22"/>
          <w:vertAlign w:val="superscript"/>
        </w:rPr>
        <w:t xml:space="preserve">2 </w:t>
      </w:r>
    </w:p>
    <w:p w14:paraId="0E7694BA" w14:textId="77777777" w:rsidR="001C08A5" w:rsidRDefault="00000000">
      <w:pPr>
        <w:numPr>
          <w:ilvl w:val="0"/>
          <w:numId w:val="13"/>
        </w:numPr>
        <w:jc w:val="both"/>
        <w:rPr>
          <w:i/>
          <w:iCs/>
          <w:sz w:val="22"/>
          <w:szCs w:val="22"/>
        </w:rPr>
      </w:pPr>
      <w:r>
        <w:rPr>
          <w:i/>
          <w:iCs/>
          <w:sz w:val="22"/>
          <w:szCs w:val="22"/>
        </w:rPr>
        <w:t>Pentru construcțiile subterane și subsoluri aria construită se măsoară la cota finită a pardoselii și se consideră aria secțiunii orizontale cuprinsă în conturul exterior al pereților, inclusiv grosimea zidului de protecție a izolației. În cazul construcției amplasate pe teren în pantă, aria construcției se calculează în plane orizontale în trepte, funcție de teren și specificul construcției.</w:t>
      </w:r>
    </w:p>
    <w:p w14:paraId="7634637B" w14:textId="77777777" w:rsidR="001C08A5" w:rsidRDefault="00000000">
      <w:pPr>
        <w:numPr>
          <w:ilvl w:val="0"/>
          <w:numId w:val="13"/>
        </w:numPr>
        <w:jc w:val="both"/>
        <w:rPr>
          <w:i/>
          <w:iCs/>
          <w:sz w:val="22"/>
          <w:szCs w:val="22"/>
        </w:rPr>
      </w:pPr>
      <w:r>
        <w:rPr>
          <w:i/>
          <w:iCs/>
          <w:sz w:val="22"/>
          <w:szCs w:val="22"/>
        </w:rPr>
        <w:t>Întrucât nu sunt luate în calculul ariei construite a construcției elementele de construcție dispuse pentru accesul în clădiri (planuri înclinate exterioare, scări exterioare - trepte exterioare și terase neacoperite) nu trebuie să îndeplinească cerințele pentru scări exterioare de evacuare.</w:t>
      </w:r>
    </w:p>
    <w:p w14:paraId="52D96390" w14:textId="77777777" w:rsidR="001C08A5" w:rsidRDefault="00000000">
      <w:pPr>
        <w:widowControl w:val="0"/>
        <w:numPr>
          <w:ilvl w:val="255"/>
          <w:numId w:val="0"/>
        </w:numPr>
        <w:tabs>
          <w:tab w:val="left" w:pos="360"/>
        </w:tabs>
        <w:ind w:left="840"/>
        <w:jc w:val="both"/>
        <w:rPr>
          <w:i/>
          <w:iCs/>
          <w:sz w:val="24"/>
          <w:szCs w:val="24"/>
        </w:rPr>
      </w:pPr>
      <w:r>
        <w:rPr>
          <w:b/>
          <w:bCs/>
          <w:i/>
          <w:iCs/>
          <w:sz w:val="24"/>
          <w:szCs w:val="24"/>
        </w:rPr>
        <w:t xml:space="preserve">b) Aria construită pe apartament </w:t>
      </w:r>
      <w:r>
        <w:rPr>
          <w:i/>
          <w:iCs/>
          <w:sz w:val="24"/>
          <w:szCs w:val="24"/>
        </w:rPr>
        <w:t xml:space="preserve">- conform </w:t>
      </w:r>
      <w:r>
        <w:rPr>
          <w:b/>
          <w:bCs/>
          <w:i/>
          <w:iCs/>
          <w:sz w:val="24"/>
          <w:szCs w:val="24"/>
        </w:rPr>
        <w:t>STAS 4908</w:t>
      </w:r>
      <w:r>
        <w:rPr>
          <w:i/>
          <w:iCs/>
          <w:sz w:val="24"/>
          <w:szCs w:val="24"/>
          <w:lang w:eastAsia="zh-CN"/>
        </w:rPr>
        <w:t xml:space="preserve"> – ”Clădiri civile, industriale și agrozootehnice. Arii și volume conventionale”</w:t>
      </w:r>
    </w:p>
    <w:p w14:paraId="78CD6B25" w14:textId="77777777" w:rsidR="001C08A5" w:rsidRDefault="00000000">
      <w:pPr>
        <w:widowControl w:val="0"/>
        <w:tabs>
          <w:tab w:val="left" w:pos="360"/>
          <w:tab w:val="left" w:pos="1265"/>
        </w:tabs>
        <w:ind w:left="840"/>
        <w:jc w:val="both"/>
        <w:rPr>
          <w:i/>
          <w:iCs/>
          <w:sz w:val="24"/>
          <w:szCs w:val="24"/>
        </w:rPr>
      </w:pPr>
      <w:r>
        <w:rPr>
          <w:b/>
          <w:bCs/>
          <w:i/>
          <w:iCs/>
          <w:sz w:val="24"/>
          <w:szCs w:val="24"/>
        </w:rPr>
        <w:t>c) Aria nivelului</w:t>
      </w:r>
      <w:r>
        <w:rPr>
          <w:i/>
          <w:iCs/>
          <w:sz w:val="24"/>
          <w:szCs w:val="24"/>
        </w:rPr>
        <w:t xml:space="preserve"> - Aria secțiunii orizontale a clădirii la nivelul respectiv delimitată de conturul său exterior.</w:t>
      </w:r>
    </w:p>
    <w:p w14:paraId="7B94507E" w14:textId="77777777" w:rsidR="001C08A5" w:rsidRDefault="00000000">
      <w:pPr>
        <w:jc w:val="both"/>
        <w:rPr>
          <w:i/>
          <w:iCs/>
          <w:sz w:val="22"/>
          <w:szCs w:val="22"/>
        </w:rPr>
      </w:pPr>
      <w:r>
        <w:rPr>
          <w:i/>
          <w:iCs/>
          <w:sz w:val="22"/>
          <w:szCs w:val="22"/>
        </w:rPr>
        <w:t>Observație: Podul nu se consideră etaj. Mansardele, mezaninele și supantele (a căror arie este mai mare de 40% din cea a încăperii în care sunt realizate) se consideră etaje (niveluri).</w:t>
      </w:r>
    </w:p>
    <w:p w14:paraId="03E0DAE7" w14:textId="77777777" w:rsidR="001C08A5" w:rsidRDefault="001C08A5">
      <w:pPr>
        <w:jc w:val="both"/>
        <w:rPr>
          <w:i/>
          <w:iCs/>
          <w:sz w:val="24"/>
          <w:szCs w:val="24"/>
        </w:rPr>
      </w:pPr>
    </w:p>
    <w:p w14:paraId="643A7D66" w14:textId="77777777" w:rsidR="001C08A5" w:rsidRDefault="00000000">
      <w:pPr>
        <w:jc w:val="both"/>
        <w:rPr>
          <w:i/>
          <w:iCs/>
          <w:sz w:val="24"/>
          <w:szCs w:val="24"/>
        </w:rPr>
      </w:pPr>
      <w:r>
        <w:rPr>
          <w:i/>
          <w:iCs/>
          <w:sz w:val="24"/>
          <w:szCs w:val="24"/>
        </w:rPr>
        <w:t xml:space="preserve">Aria nivelului se măsoară la </w:t>
      </w:r>
      <w:r>
        <w:rPr>
          <w:b/>
          <w:bCs/>
          <w:i/>
          <w:iCs/>
          <w:sz w:val="24"/>
          <w:szCs w:val="24"/>
        </w:rPr>
        <w:t>1 m</w:t>
      </w:r>
      <w:r>
        <w:rPr>
          <w:i/>
          <w:iCs/>
          <w:sz w:val="24"/>
          <w:szCs w:val="24"/>
        </w:rPr>
        <w:t xml:space="preserve"> deasupra pardoselii finite.</w:t>
      </w:r>
    </w:p>
    <w:p w14:paraId="32E995B6" w14:textId="77777777" w:rsidR="001C08A5" w:rsidRDefault="00000000">
      <w:pPr>
        <w:jc w:val="both"/>
        <w:rPr>
          <w:i/>
          <w:iCs/>
          <w:sz w:val="24"/>
          <w:szCs w:val="24"/>
        </w:rPr>
      </w:pPr>
      <w:r>
        <w:rPr>
          <w:i/>
          <w:iCs/>
          <w:sz w:val="24"/>
          <w:szCs w:val="24"/>
        </w:rPr>
        <w:t>În aria nivelului se cuprind și ariile nivelurilor intermediare sau anexe interioare sau exterioare cum sunt:</w:t>
      </w:r>
    </w:p>
    <w:p w14:paraId="462130EC" w14:textId="77777777" w:rsidR="001C08A5" w:rsidRDefault="00000000">
      <w:pPr>
        <w:ind w:left="2940"/>
        <w:jc w:val="both"/>
        <w:rPr>
          <w:i/>
          <w:iCs/>
          <w:sz w:val="24"/>
          <w:szCs w:val="24"/>
        </w:rPr>
      </w:pPr>
      <w:r>
        <w:rPr>
          <w:i/>
          <w:iCs/>
          <w:sz w:val="24"/>
          <w:szCs w:val="24"/>
        </w:rPr>
        <w:t>- ariile teraselor circulabile pentru diferite funcțiuni;</w:t>
      </w:r>
    </w:p>
    <w:p w14:paraId="025EA45B" w14:textId="77777777" w:rsidR="001C08A5" w:rsidRDefault="00000000">
      <w:pPr>
        <w:ind w:left="2940"/>
        <w:jc w:val="both"/>
        <w:rPr>
          <w:i/>
          <w:iCs/>
          <w:sz w:val="24"/>
          <w:szCs w:val="24"/>
        </w:rPr>
      </w:pPr>
      <w:r>
        <w:rPr>
          <w:i/>
          <w:iCs/>
          <w:sz w:val="24"/>
          <w:szCs w:val="24"/>
        </w:rPr>
        <w:t>- ariile logiilor și a balcoanelor interioare (în cazul teatrelor, cinematografelor, aulelor sau ale altor săli similare);</w:t>
      </w:r>
    </w:p>
    <w:p w14:paraId="03D3E9A4" w14:textId="77777777" w:rsidR="001C08A5" w:rsidRDefault="00000000">
      <w:pPr>
        <w:ind w:left="2940"/>
        <w:jc w:val="both"/>
        <w:rPr>
          <w:i/>
          <w:iCs/>
          <w:sz w:val="24"/>
          <w:szCs w:val="24"/>
        </w:rPr>
      </w:pPr>
      <w:r>
        <w:rPr>
          <w:i/>
          <w:iCs/>
          <w:sz w:val="24"/>
          <w:szCs w:val="24"/>
        </w:rPr>
        <w:t>- ariile supantelor (a căror arie este mai mică sau egală de 40% din cea a încăperii în care sunt realizate);</w:t>
      </w:r>
    </w:p>
    <w:p w14:paraId="73B6DCFE" w14:textId="77777777" w:rsidR="001C08A5" w:rsidRDefault="00000000">
      <w:pPr>
        <w:ind w:left="2940"/>
        <w:jc w:val="both"/>
        <w:rPr>
          <w:i/>
          <w:iCs/>
          <w:sz w:val="24"/>
          <w:szCs w:val="24"/>
        </w:rPr>
      </w:pPr>
      <w:r>
        <w:rPr>
          <w:i/>
          <w:iCs/>
          <w:sz w:val="24"/>
          <w:szCs w:val="24"/>
        </w:rPr>
        <w:t>- ariile balcoanelor și logiilor;</w:t>
      </w:r>
    </w:p>
    <w:p w14:paraId="4948F7BF" w14:textId="77777777" w:rsidR="001C08A5" w:rsidRDefault="00000000">
      <w:pPr>
        <w:ind w:left="2940"/>
        <w:jc w:val="both"/>
        <w:rPr>
          <w:i/>
          <w:iCs/>
          <w:sz w:val="24"/>
          <w:szCs w:val="24"/>
        </w:rPr>
      </w:pPr>
      <w:r>
        <w:rPr>
          <w:i/>
          <w:iCs/>
          <w:sz w:val="24"/>
          <w:szCs w:val="24"/>
        </w:rPr>
        <w:t>- ariile porticelor de circulație și gangurilor de trecere dacă acestea nu au înălțimea mai mare decât a unui etaj, se consideră, aferente numai primului nivel deservit ;</w:t>
      </w:r>
    </w:p>
    <w:p w14:paraId="0F553248" w14:textId="77777777" w:rsidR="001C08A5" w:rsidRDefault="00000000">
      <w:pPr>
        <w:ind w:left="2940"/>
        <w:jc w:val="both"/>
        <w:rPr>
          <w:i/>
          <w:iCs/>
          <w:sz w:val="24"/>
          <w:szCs w:val="24"/>
        </w:rPr>
      </w:pPr>
      <w:r>
        <w:rPr>
          <w:i/>
          <w:iCs/>
          <w:sz w:val="24"/>
          <w:szCs w:val="24"/>
        </w:rPr>
        <w:t>- aria coridoarelor exterioare;</w:t>
      </w:r>
    </w:p>
    <w:p w14:paraId="5276AA1B" w14:textId="77777777" w:rsidR="001C08A5" w:rsidRDefault="00000000">
      <w:pPr>
        <w:ind w:left="2940"/>
        <w:jc w:val="both"/>
        <w:rPr>
          <w:i/>
          <w:iCs/>
          <w:sz w:val="24"/>
          <w:szCs w:val="24"/>
        </w:rPr>
      </w:pPr>
      <w:r>
        <w:rPr>
          <w:i/>
          <w:iCs/>
          <w:sz w:val="24"/>
          <w:szCs w:val="24"/>
        </w:rPr>
        <w:t>- aria scărilor exterioare de acces între niveluri, intră în calculul ariei nivelului deservit ;</w:t>
      </w:r>
    </w:p>
    <w:p w14:paraId="2D689F42" w14:textId="77777777" w:rsidR="001C08A5" w:rsidRDefault="00000000">
      <w:pPr>
        <w:ind w:left="2940"/>
        <w:jc w:val="both"/>
        <w:rPr>
          <w:i/>
          <w:iCs/>
          <w:sz w:val="24"/>
          <w:szCs w:val="24"/>
        </w:rPr>
      </w:pPr>
      <w:r>
        <w:rPr>
          <w:i/>
          <w:iCs/>
          <w:sz w:val="24"/>
          <w:szCs w:val="24"/>
        </w:rPr>
        <w:t>- aria încăperilor cu înălțime liberă mai mare de 1,80 m (de exemplu subsol, încăperile motoarelor de ascensor, pompe, etc., părți ieșite și închise pentru iluminatul subsolurilor, încăperi la mansarde, etc.);</w:t>
      </w:r>
    </w:p>
    <w:p w14:paraId="21B26B77" w14:textId="77777777" w:rsidR="001C08A5" w:rsidRDefault="00000000">
      <w:pPr>
        <w:ind w:left="2940"/>
        <w:jc w:val="both"/>
        <w:rPr>
          <w:i/>
          <w:iCs/>
          <w:sz w:val="24"/>
          <w:szCs w:val="24"/>
        </w:rPr>
      </w:pPr>
      <w:r>
        <w:rPr>
          <w:i/>
          <w:iCs/>
          <w:sz w:val="24"/>
          <w:szCs w:val="24"/>
        </w:rPr>
        <w:t>- ariile rampelor exterioare și a scărilor de acces de la magazii, depozite etc.;</w:t>
      </w:r>
    </w:p>
    <w:p w14:paraId="54D16874" w14:textId="77777777" w:rsidR="001C08A5" w:rsidRDefault="00000000">
      <w:pPr>
        <w:ind w:left="2940"/>
        <w:jc w:val="both"/>
        <w:rPr>
          <w:i/>
          <w:iCs/>
          <w:sz w:val="24"/>
          <w:szCs w:val="24"/>
        </w:rPr>
      </w:pPr>
      <w:r>
        <w:rPr>
          <w:i/>
          <w:iCs/>
          <w:sz w:val="24"/>
          <w:szCs w:val="24"/>
        </w:rPr>
        <w:t>- aria aferentă lucarnelor în cazul mansardelor dacă înălțimea h ≥ 1,80 m.</w:t>
      </w:r>
    </w:p>
    <w:p w14:paraId="00A11B23" w14:textId="77777777" w:rsidR="001C08A5" w:rsidRDefault="00000000">
      <w:pPr>
        <w:jc w:val="both"/>
        <w:rPr>
          <w:i/>
          <w:iCs/>
          <w:sz w:val="24"/>
          <w:szCs w:val="24"/>
        </w:rPr>
      </w:pPr>
      <w:r>
        <w:rPr>
          <w:i/>
          <w:iCs/>
          <w:sz w:val="24"/>
          <w:szCs w:val="24"/>
        </w:rPr>
        <w:t>În aria nivelului nu se cuprind:</w:t>
      </w:r>
    </w:p>
    <w:p w14:paraId="3F9ABDE5" w14:textId="77777777" w:rsidR="001C08A5" w:rsidRDefault="00000000">
      <w:pPr>
        <w:ind w:left="2940"/>
        <w:jc w:val="both"/>
        <w:rPr>
          <w:i/>
          <w:iCs/>
          <w:sz w:val="24"/>
          <w:szCs w:val="24"/>
        </w:rPr>
      </w:pPr>
      <w:r>
        <w:rPr>
          <w:i/>
          <w:iCs/>
          <w:sz w:val="24"/>
          <w:szCs w:val="24"/>
        </w:rPr>
        <w:t>- copertinele cu suprafele mai mici de 4</w:t>
      </w:r>
      <w:r>
        <w:rPr>
          <w:b/>
          <w:bCs/>
          <w:i/>
          <w:iCs/>
          <w:sz w:val="24"/>
          <w:szCs w:val="24"/>
        </w:rPr>
        <w:t xml:space="preserve"> m</w:t>
      </w:r>
      <w:r>
        <w:rPr>
          <w:b/>
          <w:bCs/>
          <w:i/>
          <w:iCs/>
          <w:sz w:val="24"/>
          <w:szCs w:val="24"/>
          <w:vertAlign w:val="superscript"/>
        </w:rPr>
        <w:t>2</w:t>
      </w:r>
      <w:r>
        <w:rPr>
          <w:b/>
          <w:bCs/>
          <w:i/>
          <w:iCs/>
          <w:sz w:val="24"/>
          <w:szCs w:val="24"/>
        </w:rPr>
        <w:t xml:space="preserve"> </w:t>
      </w:r>
      <w:r>
        <w:rPr>
          <w:i/>
          <w:iCs/>
          <w:sz w:val="24"/>
          <w:szCs w:val="24"/>
        </w:rPr>
        <w:t xml:space="preserve">și adâncimea mai mică de </w:t>
      </w:r>
      <w:r>
        <w:rPr>
          <w:b/>
          <w:bCs/>
          <w:i/>
          <w:iCs/>
          <w:sz w:val="24"/>
          <w:szCs w:val="24"/>
        </w:rPr>
        <w:t>2 m</w:t>
      </w:r>
      <w:r>
        <w:rPr>
          <w:i/>
          <w:iCs/>
          <w:sz w:val="24"/>
          <w:szCs w:val="24"/>
        </w:rPr>
        <w:t>, profilele ornamentale și cornișele;</w:t>
      </w:r>
    </w:p>
    <w:p w14:paraId="2E73CC2A" w14:textId="77777777" w:rsidR="001C08A5" w:rsidRDefault="00000000">
      <w:pPr>
        <w:ind w:left="2940"/>
        <w:jc w:val="both"/>
        <w:rPr>
          <w:i/>
          <w:iCs/>
          <w:sz w:val="24"/>
          <w:szCs w:val="24"/>
        </w:rPr>
      </w:pPr>
      <w:r>
        <w:rPr>
          <w:i/>
          <w:iCs/>
          <w:sz w:val="24"/>
          <w:szCs w:val="24"/>
        </w:rPr>
        <w:lastRenderedPageBreak/>
        <w:t>- învelitoarele, terasele necirculabile (rezultate din retragere) de peste nivelul imediat inferior;</w:t>
      </w:r>
    </w:p>
    <w:p w14:paraId="2B6C419F" w14:textId="77777777" w:rsidR="001C08A5" w:rsidRDefault="00000000">
      <w:pPr>
        <w:ind w:left="2940"/>
        <w:jc w:val="both"/>
        <w:rPr>
          <w:i/>
          <w:iCs/>
          <w:sz w:val="24"/>
          <w:szCs w:val="24"/>
        </w:rPr>
      </w:pPr>
      <w:r>
        <w:rPr>
          <w:i/>
          <w:iCs/>
          <w:sz w:val="24"/>
          <w:szCs w:val="24"/>
        </w:rPr>
        <w:t xml:space="preserve">- golurile mai mari de </w:t>
      </w:r>
      <w:r>
        <w:rPr>
          <w:b/>
          <w:bCs/>
          <w:i/>
          <w:iCs/>
          <w:sz w:val="24"/>
          <w:szCs w:val="24"/>
        </w:rPr>
        <w:t>4 m</w:t>
      </w:r>
      <w:r>
        <w:rPr>
          <w:b/>
          <w:bCs/>
          <w:i/>
          <w:iCs/>
          <w:sz w:val="24"/>
          <w:szCs w:val="24"/>
          <w:vertAlign w:val="superscript"/>
        </w:rPr>
        <w:t>2</w:t>
      </w:r>
      <w:r>
        <w:rPr>
          <w:i/>
          <w:iCs/>
          <w:sz w:val="24"/>
          <w:szCs w:val="24"/>
        </w:rPr>
        <w:t>, fiecare în parte numai la curți de lumină și curți englezești.</w:t>
      </w:r>
    </w:p>
    <w:p w14:paraId="731E4CD9" w14:textId="77777777" w:rsidR="001C08A5" w:rsidRDefault="00000000">
      <w:pPr>
        <w:ind w:left="2940"/>
        <w:jc w:val="both"/>
        <w:rPr>
          <w:i/>
          <w:iCs/>
          <w:sz w:val="24"/>
          <w:szCs w:val="24"/>
        </w:rPr>
      </w:pPr>
      <w:r>
        <w:rPr>
          <w:i/>
          <w:iCs/>
          <w:sz w:val="24"/>
          <w:szCs w:val="24"/>
        </w:rPr>
        <w:t>- ariile prevăzute la definiția ”aria construită”, alineatul (1);</w:t>
      </w:r>
    </w:p>
    <w:p w14:paraId="6C7703BC" w14:textId="77777777" w:rsidR="001C08A5" w:rsidRDefault="00000000">
      <w:pPr>
        <w:ind w:left="2940"/>
        <w:jc w:val="both"/>
        <w:rPr>
          <w:i/>
          <w:iCs/>
          <w:sz w:val="24"/>
          <w:szCs w:val="24"/>
        </w:rPr>
      </w:pPr>
      <w:r>
        <w:rPr>
          <w:i/>
          <w:iCs/>
          <w:sz w:val="24"/>
          <w:szCs w:val="24"/>
        </w:rPr>
        <w:t xml:space="preserve">- aria aferentă lucarnelor în cazul mansardelor, dacă înălțimea </w:t>
      </w:r>
      <w:r>
        <w:rPr>
          <w:b/>
          <w:bCs/>
          <w:i/>
          <w:iCs/>
          <w:sz w:val="24"/>
          <w:szCs w:val="24"/>
        </w:rPr>
        <w:t>h &lt; 1,80 m</w:t>
      </w:r>
    </w:p>
    <w:p w14:paraId="2CD73A82" w14:textId="77777777" w:rsidR="001C08A5" w:rsidRDefault="00000000">
      <w:pPr>
        <w:jc w:val="both"/>
        <w:rPr>
          <w:i/>
          <w:iCs/>
          <w:sz w:val="24"/>
          <w:szCs w:val="24"/>
          <w:lang w:eastAsia="zh-CN"/>
        </w:rPr>
      </w:pPr>
      <w:r>
        <w:rPr>
          <w:i/>
          <w:iCs/>
          <w:sz w:val="24"/>
          <w:szCs w:val="24"/>
        </w:rPr>
        <w:t xml:space="preserve">La clădiri, cu excepția locuințelor, care au porțiuni cu număr diferit de niveluri sau cu niveluri denivelate de înălțimi egale sau diferite, deservite de o aceeași scară, numărul de niveluri se determină conform figurilor din </w:t>
      </w:r>
      <w:r>
        <w:rPr>
          <w:b/>
          <w:bCs/>
          <w:i/>
          <w:iCs/>
          <w:sz w:val="24"/>
          <w:szCs w:val="24"/>
        </w:rPr>
        <w:t>STAS 4908</w:t>
      </w:r>
      <w:r>
        <w:rPr>
          <w:i/>
          <w:iCs/>
          <w:sz w:val="24"/>
          <w:szCs w:val="24"/>
          <w:lang w:eastAsia="zh-CN"/>
        </w:rPr>
        <w:t xml:space="preserve"> – ”Clădiri civile, industriale și agrozootehnice. Arii și volume conventionale”</w:t>
      </w:r>
    </w:p>
    <w:p w14:paraId="57EC66C4" w14:textId="77777777" w:rsidR="001C08A5" w:rsidRDefault="00000000">
      <w:pPr>
        <w:widowControl w:val="0"/>
        <w:tabs>
          <w:tab w:val="left" w:pos="360"/>
          <w:tab w:val="left" w:pos="1265"/>
        </w:tabs>
        <w:ind w:left="840"/>
        <w:jc w:val="both"/>
        <w:rPr>
          <w:b/>
          <w:bCs/>
          <w:i/>
          <w:iCs/>
          <w:sz w:val="24"/>
          <w:szCs w:val="24"/>
        </w:rPr>
      </w:pPr>
      <w:r>
        <w:rPr>
          <w:b/>
          <w:bCs/>
          <w:i/>
          <w:iCs/>
          <w:sz w:val="24"/>
          <w:szCs w:val="24"/>
        </w:rPr>
        <w:t xml:space="preserve">d) Aria pereților, Aria utilă, Aria utilă a apartamentului </w:t>
      </w:r>
      <w:r>
        <w:rPr>
          <w:i/>
          <w:iCs/>
          <w:sz w:val="24"/>
          <w:szCs w:val="24"/>
        </w:rPr>
        <w:t xml:space="preserve">- conform </w:t>
      </w:r>
      <w:r>
        <w:rPr>
          <w:b/>
          <w:bCs/>
          <w:i/>
          <w:iCs/>
          <w:sz w:val="24"/>
          <w:szCs w:val="24"/>
        </w:rPr>
        <w:t>STAS 4908</w:t>
      </w:r>
      <w:r>
        <w:rPr>
          <w:i/>
          <w:iCs/>
          <w:sz w:val="24"/>
          <w:szCs w:val="24"/>
          <w:lang w:eastAsia="zh-CN"/>
        </w:rPr>
        <w:t xml:space="preserve"> – ”Clădiri civile, industriale și agrozootehnice. Arii și volume convenționale”</w:t>
      </w:r>
    </w:p>
    <w:p w14:paraId="232F495E" w14:textId="77777777" w:rsidR="001C08A5" w:rsidRDefault="001C08A5">
      <w:pPr>
        <w:widowControl w:val="0"/>
        <w:tabs>
          <w:tab w:val="left" w:pos="360"/>
        </w:tabs>
        <w:ind w:left="840"/>
        <w:jc w:val="both"/>
        <w:rPr>
          <w:b/>
          <w:bCs/>
          <w:i/>
          <w:iCs/>
          <w:sz w:val="24"/>
          <w:szCs w:val="24"/>
        </w:rPr>
      </w:pPr>
    </w:p>
    <w:p w14:paraId="681E5EA8" w14:textId="77777777" w:rsidR="001C08A5" w:rsidRDefault="00000000">
      <w:pPr>
        <w:numPr>
          <w:ilvl w:val="0"/>
          <w:numId w:val="10"/>
        </w:numPr>
        <w:jc w:val="both"/>
        <w:rPr>
          <w:b/>
          <w:bCs/>
          <w:i/>
          <w:iCs/>
          <w:sz w:val="24"/>
          <w:szCs w:val="24"/>
        </w:rPr>
      </w:pPr>
      <w:r>
        <w:rPr>
          <w:b/>
          <w:bCs/>
          <w:i/>
          <w:iCs/>
          <w:sz w:val="24"/>
          <w:szCs w:val="24"/>
        </w:rPr>
        <w:t>Aria desfășurată, Aria desfășurată construită (la locuințe)</w:t>
      </w:r>
      <w:r>
        <w:rPr>
          <w:i/>
          <w:iCs/>
          <w:sz w:val="24"/>
          <w:szCs w:val="24"/>
        </w:rPr>
        <w:t xml:space="preserve"> - conform </w:t>
      </w:r>
      <w:r>
        <w:rPr>
          <w:b/>
          <w:bCs/>
          <w:i/>
          <w:iCs/>
          <w:sz w:val="24"/>
          <w:szCs w:val="24"/>
        </w:rPr>
        <w:t>STAS 4908</w:t>
      </w:r>
      <w:r>
        <w:rPr>
          <w:i/>
          <w:iCs/>
          <w:sz w:val="24"/>
          <w:szCs w:val="24"/>
          <w:lang w:eastAsia="zh-CN"/>
        </w:rPr>
        <w:t xml:space="preserve"> – ”Clădiri civile, industriale și agrozootehnice. Arii și volume conventionale”</w:t>
      </w:r>
    </w:p>
    <w:p w14:paraId="7022461E" w14:textId="77777777" w:rsidR="001C08A5" w:rsidRDefault="00000000">
      <w:pPr>
        <w:jc w:val="both"/>
        <w:rPr>
          <w:b/>
          <w:bCs/>
          <w:i/>
          <w:iCs/>
          <w:sz w:val="22"/>
          <w:szCs w:val="22"/>
        </w:rPr>
      </w:pPr>
      <w:r>
        <w:rPr>
          <w:bCs/>
          <w:i/>
          <w:iCs/>
          <w:sz w:val="22"/>
          <w:szCs w:val="22"/>
        </w:rPr>
        <w:t>Notă</w:t>
      </w:r>
      <w:r>
        <w:rPr>
          <w:i/>
          <w:iCs/>
          <w:sz w:val="22"/>
          <w:szCs w:val="22"/>
        </w:rPr>
        <w:t xml:space="preserve">:se asigură măsurile de securitate la incendiu specifice inclusiv la suprafaţa subsolurilor cu înălţimea liberă de la </w:t>
      </w:r>
      <w:r>
        <w:rPr>
          <w:b/>
          <w:bCs/>
          <w:i/>
          <w:iCs/>
          <w:sz w:val="22"/>
          <w:szCs w:val="22"/>
        </w:rPr>
        <w:t>1,80 m</w:t>
      </w:r>
      <w:r>
        <w:rPr>
          <w:i/>
          <w:iCs/>
          <w:sz w:val="22"/>
          <w:szCs w:val="22"/>
        </w:rPr>
        <w:t xml:space="preserve"> până la </w:t>
      </w:r>
      <w:r>
        <w:rPr>
          <w:b/>
          <w:bCs/>
          <w:i/>
          <w:iCs/>
          <w:sz w:val="22"/>
          <w:szCs w:val="22"/>
        </w:rPr>
        <w:t>2,10 m</w:t>
      </w:r>
      <w:r>
        <w:rPr>
          <w:i/>
          <w:iCs/>
          <w:sz w:val="22"/>
          <w:szCs w:val="22"/>
        </w:rPr>
        <w:t>, la suprafaţa subsolurilor cu destinaţie strictă pentru gararea autovehiculelor, la spaţiile tehnice sau la balcoanele, logiile, terasele deschise şi neacoperite prevăzute pentru evacuare, precum și a separării podurilor (neamenajabile) față de spații utilizate, precum și a scărilor exterioare.</w:t>
      </w:r>
    </w:p>
    <w:p w14:paraId="6DE8ED19" w14:textId="77777777" w:rsidR="001C08A5" w:rsidRDefault="001C08A5">
      <w:pPr>
        <w:jc w:val="both"/>
        <w:rPr>
          <w:rFonts w:eastAsia="Times-Roman"/>
          <w:b/>
          <w:bCs/>
          <w:i/>
          <w:iCs/>
          <w:sz w:val="24"/>
          <w:szCs w:val="24"/>
          <w:lang w:eastAsia="ro-RO"/>
        </w:rPr>
      </w:pPr>
    </w:p>
    <w:p w14:paraId="1BDCD032" w14:textId="77777777" w:rsidR="001C08A5" w:rsidRDefault="00000000">
      <w:pPr>
        <w:widowControl w:val="0"/>
        <w:numPr>
          <w:ilvl w:val="0"/>
          <w:numId w:val="10"/>
        </w:numPr>
        <w:jc w:val="both"/>
        <w:rPr>
          <w:rFonts w:eastAsia="Times-Roman"/>
          <w:i/>
          <w:iCs/>
          <w:sz w:val="24"/>
          <w:szCs w:val="24"/>
          <w:lang w:eastAsia="ro-RO"/>
        </w:rPr>
      </w:pPr>
      <w:r>
        <w:rPr>
          <w:rFonts w:eastAsia="Times-Roman"/>
          <w:b/>
          <w:bCs/>
          <w:i/>
          <w:iCs/>
          <w:sz w:val="24"/>
          <w:szCs w:val="24"/>
          <w:lang w:eastAsia="ro-RO"/>
        </w:rPr>
        <w:t>Atrium</w:t>
      </w:r>
      <w:r>
        <w:rPr>
          <w:rFonts w:eastAsia="Times-Roman"/>
          <w:i/>
          <w:iCs/>
          <w:sz w:val="24"/>
          <w:szCs w:val="24"/>
          <w:lang w:eastAsia="ro-RO"/>
        </w:rPr>
        <w:t xml:space="preserve"> - volumul liber din interiorul unei clădiri, sau volumul generat de mai multe clădiri, delimitat pe una sau mai multe laturi de cel puţin patru niveluri ale clădirii şi </w:t>
      </w:r>
      <w:r>
        <w:rPr>
          <w:rFonts w:eastAsia="Times-Roman"/>
          <w:i/>
          <w:iCs/>
          <w:sz w:val="24"/>
          <w:szCs w:val="24"/>
          <w:lang w:eastAsia="en-US"/>
        </w:rPr>
        <w:t>care nu este necesar să fie aliniat pe verticală.</w:t>
      </w:r>
      <w:r>
        <w:rPr>
          <w:rFonts w:eastAsia="Times-Roman"/>
          <w:i/>
          <w:iCs/>
          <w:sz w:val="24"/>
          <w:szCs w:val="24"/>
          <w:lang w:eastAsia="ro-RO"/>
        </w:rPr>
        <w:t xml:space="preserve"> Atriumurile pot fi descoperite, acoperite închise sau acoperite deschise (conform</w:t>
      </w:r>
      <w:r>
        <w:rPr>
          <w:rFonts w:eastAsia="Times-Roman"/>
          <w:i/>
          <w:iCs/>
          <w:sz w:val="24"/>
          <w:szCs w:val="24"/>
          <w:lang w:val="en-US" w:eastAsia="ro-RO"/>
        </w:rPr>
        <w:t xml:space="preserve"> </w:t>
      </w:r>
      <w:r>
        <w:rPr>
          <w:rFonts w:eastAsia="Times-Roman"/>
          <w:lang w:val="en-US" w:eastAsia="ro-RO"/>
        </w:rPr>
        <w:fldChar w:fldCharType="begin"/>
      </w:r>
      <w:r>
        <w:rPr>
          <w:rFonts w:eastAsia="Times-Roman"/>
          <w:lang w:val="en-US" w:eastAsia="ro-RO"/>
        </w:rPr>
        <w:instrText xml:space="preserve"> REF _Ref4780 \h </w:instrText>
      </w:r>
      <w:r>
        <w:rPr>
          <w:rFonts w:eastAsia="Times-Roman"/>
          <w:lang w:val="en-US" w:eastAsia="ro-RO"/>
        </w:rPr>
      </w:r>
      <w:r>
        <w:rPr>
          <w:rFonts w:eastAsia="Times-Roman"/>
          <w:lang w:val="en-US" w:eastAsia="ro-RO"/>
        </w:rPr>
        <w:fldChar w:fldCharType="separate"/>
      </w:r>
      <w:r>
        <w:t>Figura 2</w:t>
      </w:r>
      <w:r>
        <w:rPr>
          <w:rFonts w:eastAsia="Times-Roman"/>
          <w:lang w:val="en-US" w:eastAsia="ro-RO"/>
        </w:rPr>
        <w:fldChar w:fldCharType="end"/>
      </w:r>
      <w:r>
        <w:rPr>
          <w:rStyle w:val="CaptionChar"/>
          <w:bCs/>
        </w:rPr>
        <w:t xml:space="preserve"> </w:t>
      </w:r>
      <w:r>
        <w:rPr>
          <w:rStyle w:val="CaptionChar"/>
          <w:b w:val="0"/>
        </w:rPr>
        <w:t>și</w:t>
      </w:r>
      <w:r>
        <w:rPr>
          <w:rStyle w:val="CaptionChar"/>
          <w:bCs/>
        </w:rPr>
        <w:t xml:space="preserve"> </w:t>
      </w:r>
      <w:r>
        <w:rPr>
          <w:rFonts w:eastAsia="Times-Roman"/>
          <w:bCs/>
          <w:lang w:val="en-US" w:eastAsia="ro-RO"/>
        </w:rPr>
        <w:fldChar w:fldCharType="begin"/>
      </w:r>
      <w:r>
        <w:rPr>
          <w:rFonts w:eastAsia="Times-Roman"/>
          <w:bCs/>
          <w:lang w:val="en-US" w:eastAsia="ro-RO"/>
        </w:rPr>
        <w:instrText xml:space="preserve"> REF _Ref4816 \h </w:instrText>
      </w:r>
      <w:r>
        <w:rPr>
          <w:rFonts w:eastAsia="Times-Roman"/>
          <w:bCs/>
          <w:lang w:val="en-US" w:eastAsia="ro-RO"/>
        </w:rPr>
      </w:r>
      <w:r>
        <w:rPr>
          <w:rFonts w:eastAsia="Times-Roman"/>
          <w:bCs/>
          <w:lang w:val="en-US" w:eastAsia="ro-RO"/>
        </w:rPr>
        <w:fldChar w:fldCharType="separate"/>
      </w:r>
      <w:r>
        <w:rPr>
          <w:rFonts w:eastAsia="Times-Roman"/>
          <w:bCs/>
          <w:lang w:val="en-US" w:eastAsia="ro-RO"/>
        </w:rPr>
        <w:t>Figura 3</w:t>
      </w:r>
      <w:r>
        <w:rPr>
          <w:rFonts w:eastAsia="Times-Roman"/>
          <w:bCs/>
          <w:lang w:val="en-US" w:eastAsia="ro-RO"/>
        </w:rPr>
        <w:fldChar w:fldCharType="end"/>
      </w:r>
      <w:r>
        <w:rPr>
          <w:rFonts w:eastAsia="Times-Roman"/>
          <w:i/>
          <w:iCs/>
          <w:sz w:val="24"/>
          <w:szCs w:val="24"/>
          <w:lang w:eastAsia="ro-RO"/>
        </w:rPr>
        <w:t xml:space="preserve">). Pentru mai multe informații a se consulta </w:t>
      </w:r>
      <w:r>
        <w:rPr>
          <w:rFonts w:eastAsia="Times-Roman"/>
          <w:b/>
          <w:bCs/>
          <w:i/>
          <w:iCs/>
          <w:sz w:val="24"/>
          <w:szCs w:val="24"/>
          <w:lang w:eastAsia="ro-RO"/>
        </w:rPr>
        <w:t xml:space="preserve">Anexa </w:t>
      </w:r>
      <w:r>
        <w:rPr>
          <w:rFonts w:eastAsia="Times-Roman"/>
          <w:i/>
          <w:iCs/>
          <w:sz w:val="24"/>
          <w:szCs w:val="24"/>
          <w:lang w:eastAsia="ro-RO"/>
        </w:rPr>
        <w:t>“Alcătuiri constructive - Atriumuri”</w:t>
      </w:r>
    </w:p>
    <w:p w14:paraId="012BC83D" w14:textId="77777777" w:rsidR="001C08A5" w:rsidRDefault="00000000">
      <w:pPr>
        <w:widowControl w:val="0"/>
        <w:jc w:val="center"/>
        <w:rPr>
          <w:sz w:val="24"/>
          <w:szCs w:val="24"/>
          <w:lang w:eastAsia="ro-RO"/>
        </w:rPr>
      </w:pPr>
      <w:r>
        <w:rPr>
          <w:noProof/>
          <w:lang w:eastAsia="ro-RO"/>
        </w:rPr>
        <w:drawing>
          <wp:inline distT="0" distB="0" distL="0" distR="0" wp14:anchorId="7286ECC5" wp14:editId="3D3633AF">
            <wp:extent cx="6102985" cy="2109470"/>
            <wp:effectExtent l="0" t="0" r="12065" b="5080"/>
            <wp:docPr id="1030" name="Picture 3"/>
            <wp:cNvGraphicFramePr/>
            <a:graphic xmlns:a="http://schemas.openxmlformats.org/drawingml/2006/main">
              <a:graphicData uri="http://schemas.openxmlformats.org/drawingml/2006/picture">
                <pic:pic xmlns:pic="http://schemas.openxmlformats.org/drawingml/2006/picture">
                  <pic:nvPicPr>
                    <pic:cNvPr id="1030" name="Picture 3"/>
                    <pic:cNvPicPr/>
                  </pic:nvPicPr>
                  <pic:blipFill>
                    <a:blip r:embed="rId49" cstate="print"/>
                    <a:srcRect l="12038" t="1194" r="7109" b="57057"/>
                    <a:stretch>
                      <a:fillRect/>
                    </a:stretch>
                  </pic:blipFill>
                  <pic:spPr>
                    <a:xfrm>
                      <a:off x="0" y="0"/>
                      <a:ext cx="6102985" cy="2109470"/>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3211"/>
        <w:gridCol w:w="3212"/>
      </w:tblGrid>
      <w:tr w:rsidR="001C08A5" w14:paraId="5F79A635" w14:textId="77777777">
        <w:tc>
          <w:tcPr>
            <w:tcW w:w="3285" w:type="dxa"/>
          </w:tcPr>
          <w:p w14:paraId="07AD76E0" w14:textId="77777777" w:rsidR="001C08A5" w:rsidRDefault="00000000">
            <w:pPr>
              <w:widowControl/>
              <w:ind w:left="425"/>
              <w:jc w:val="center"/>
              <w:rPr>
                <w:i/>
                <w:iCs/>
                <w:sz w:val="22"/>
                <w:szCs w:val="22"/>
              </w:rPr>
            </w:pPr>
            <w:r>
              <w:rPr>
                <w:b/>
                <w:bCs/>
                <w:i/>
                <w:iCs/>
                <w:sz w:val="22"/>
                <w:szCs w:val="22"/>
              </w:rPr>
              <w:t>Varianta 1</w:t>
            </w:r>
            <w:r>
              <w:rPr>
                <w:i/>
                <w:iCs/>
                <w:sz w:val="22"/>
                <w:szCs w:val="22"/>
              </w:rPr>
              <w:t xml:space="preserve"> - Atrium descoperit</w:t>
            </w:r>
          </w:p>
        </w:tc>
        <w:tc>
          <w:tcPr>
            <w:tcW w:w="3285" w:type="dxa"/>
          </w:tcPr>
          <w:p w14:paraId="24B61105" w14:textId="77777777" w:rsidR="001C08A5" w:rsidRDefault="00000000">
            <w:pPr>
              <w:widowControl/>
              <w:ind w:left="425"/>
              <w:jc w:val="center"/>
              <w:rPr>
                <w:i/>
                <w:iCs/>
                <w:sz w:val="22"/>
                <w:szCs w:val="22"/>
              </w:rPr>
            </w:pPr>
            <w:r>
              <w:rPr>
                <w:b/>
                <w:bCs/>
                <w:i/>
                <w:iCs/>
                <w:sz w:val="22"/>
                <w:szCs w:val="22"/>
              </w:rPr>
              <w:t>Varianta 2.a)</w:t>
            </w:r>
            <w:r>
              <w:rPr>
                <w:i/>
                <w:iCs/>
                <w:sz w:val="22"/>
                <w:szCs w:val="22"/>
              </w:rPr>
              <w:t xml:space="preserve"> - Atrium acoperit deschis</w:t>
            </w:r>
          </w:p>
        </w:tc>
        <w:tc>
          <w:tcPr>
            <w:tcW w:w="3286" w:type="dxa"/>
          </w:tcPr>
          <w:p w14:paraId="77B7C125" w14:textId="77777777" w:rsidR="001C08A5" w:rsidRDefault="00000000">
            <w:pPr>
              <w:widowControl/>
              <w:ind w:left="425"/>
              <w:jc w:val="center"/>
              <w:rPr>
                <w:i/>
                <w:iCs/>
                <w:sz w:val="22"/>
                <w:szCs w:val="22"/>
              </w:rPr>
            </w:pPr>
            <w:r>
              <w:rPr>
                <w:b/>
                <w:bCs/>
                <w:i/>
                <w:iCs/>
                <w:sz w:val="22"/>
                <w:szCs w:val="22"/>
              </w:rPr>
              <w:t>Varianta 2.b)</w:t>
            </w:r>
            <w:r>
              <w:rPr>
                <w:i/>
                <w:iCs/>
                <w:sz w:val="22"/>
                <w:szCs w:val="22"/>
              </w:rPr>
              <w:t xml:space="preserve"> - Atrium acoperit deschis</w:t>
            </w:r>
          </w:p>
        </w:tc>
      </w:tr>
    </w:tbl>
    <w:p w14:paraId="58EA27ED" w14:textId="77777777" w:rsidR="001C08A5" w:rsidRDefault="00000000">
      <w:pPr>
        <w:jc w:val="center"/>
        <w:rPr>
          <w:i/>
          <w:iCs/>
          <w:sz w:val="24"/>
          <w:szCs w:val="24"/>
        </w:rPr>
      </w:pPr>
      <w:r>
        <w:rPr>
          <w:noProof/>
          <w:lang w:eastAsia="ro-RO"/>
        </w:rPr>
        <w:drawing>
          <wp:inline distT="0" distB="0" distL="0" distR="0" wp14:anchorId="63698CA0" wp14:editId="6344BDF9">
            <wp:extent cx="6102985" cy="2126615"/>
            <wp:effectExtent l="0" t="0" r="12065" b="6985"/>
            <wp:docPr id="1031" name="Picture 3"/>
            <wp:cNvGraphicFramePr/>
            <a:graphic xmlns:a="http://schemas.openxmlformats.org/drawingml/2006/main">
              <a:graphicData uri="http://schemas.openxmlformats.org/drawingml/2006/picture">
                <pic:pic xmlns:pic="http://schemas.openxmlformats.org/drawingml/2006/picture">
                  <pic:nvPicPr>
                    <pic:cNvPr id="1031" name="Picture 3"/>
                    <pic:cNvPicPr/>
                  </pic:nvPicPr>
                  <pic:blipFill>
                    <a:blip r:embed="rId49" cstate="print"/>
                    <a:srcRect l="12038" t="47983" r="7109" b="9929"/>
                    <a:stretch>
                      <a:fillRect/>
                    </a:stretch>
                  </pic:blipFill>
                  <pic:spPr>
                    <a:xfrm>
                      <a:off x="0" y="0"/>
                      <a:ext cx="6102985" cy="2126615"/>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3"/>
        <w:gridCol w:w="3214"/>
      </w:tblGrid>
      <w:tr w:rsidR="001C08A5" w14:paraId="76F20680" w14:textId="77777777">
        <w:tc>
          <w:tcPr>
            <w:tcW w:w="3285" w:type="dxa"/>
          </w:tcPr>
          <w:p w14:paraId="2A0AA5C9" w14:textId="77777777" w:rsidR="001C08A5" w:rsidRDefault="00000000">
            <w:pPr>
              <w:widowControl/>
              <w:ind w:left="425"/>
              <w:jc w:val="center"/>
              <w:rPr>
                <w:i/>
                <w:iCs/>
                <w:sz w:val="22"/>
                <w:szCs w:val="22"/>
              </w:rPr>
            </w:pPr>
            <w:r>
              <w:rPr>
                <w:b/>
                <w:bCs/>
                <w:i/>
                <w:iCs/>
                <w:sz w:val="22"/>
                <w:szCs w:val="22"/>
              </w:rPr>
              <w:lastRenderedPageBreak/>
              <w:t>Varianta 3.a)</w:t>
            </w:r>
            <w:r>
              <w:rPr>
                <w:i/>
                <w:iCs/>
                <w:sz w:val="22"/>
                <w:szCs w:val="22"/>
              </w:rPr>
              <w:t xml:space="preserve"> - Atrium acoperit închis</w:t>
            </w:r>
          </w:p>
        </w:tc>
        <w:tc>
          <w:tcPr>
            <w:tcW w:w="3285" w:type="dxa"/>
          </w:tcPr>
          <w:p w14:paraId="7586DF11" w14:textId="77777777" w:rsidR="001C08A5" w:rsidRDefault="00000000">
            <w:pPr>
              <w:widowControl/>
              <w:ind w:left="425"/>
              <w:jc w:val="center"/>
              <w:rPr>
                <w:i/>
                <w:iCs/>
                <w:sz w:val="22"/>
                <w:szCs w:val="22"/>
              </w:rPr>
            </w:pPr>
            <w:r>
              <w:rPr>
                <w:b/>
                <w:bCs/>
                <w:i/>
                <w:iCs/>
                <w:sz w:val="22"/>
                <w:szCs w:val="22"/>
              </w:rPr>
              <w:t>Varianta 3.b)</w:t>
            </w:r>
            <w:r>
              <w:rPr>
                <w:i/>
                <w:iCs/>
                <w:sz w:val="22"/>
                <w:szCs w:val="22"/>
              </w:rPr>
              <w:t xml:space="preserve"> - Atrium acoperit închis</w:t>
            </w:r>
          </w:p>
        </w:tc>
        <w:tc>
          <w:tcPr>
            <w:tcW w:w="3286" w:type="dxa"/>
          </w:tcPr>
          <w:p w14:paraId="52288137" w14:textId="77777777" w:rsidR="001C08A5" w:rsidRDefault="00000000">
            <w:pPr>
              <w:widowControl/>
              <w:ind w:left="425"/>
              <w:jc w:val="center"/>
              <w:rPr>
                <w:i/>
                <w:iCs/>
                <w:sz w:val="22"/>
                <w:szCs w:val="22"/>
              </w:rPr>
            </w:pPr>
            <w:r>
              <w:rPr>
                <w:b/>
                <w:bCs/>
                <w:i/>
                <w:iCs/>
                <w:sz w:val="22"/>
                <w:szCs w:val="22"/>
              </w:rPr>
              <w:t>Varianta 3.c)</w:t>
            </w:r>
            <w:r>
              <w:rPr>
                <w:i/>
                <w:iCs/>
                <w:sz w:val="22"/>
                <w:szCs w:val="22"/>
              </w:rPr>
              <w:t xml:space="preserve"> - Atrium acoperit închis</w:t>
            </w:r>
          </w:p>
        </w:tc>
      </w:tr>
    </w:tbl>
    <w:p w14:paraId="3DF04F71" w14:textId="77777777" w:rsidR="001C08A5" w:rsidRDefault="00000000">
      <w:pPr>
        <w:pStyle w:val="Caption"/>
        <w:jc w:val="center"/>
      </w:pPr>
      <w:bookmarkStart w:id="86" w:name="_Ref4780"/>
      <w:bookmarkStart w:id="87" w:name="_Toc162360226"/>
      <w:r>
        <w:t xml:space="preserve">Figura </w:t>
      </w:r>
      <w:r>
        <w:fldChar w:fldCharType="begin"/>
      </w:r>
      <w:r>
        <w:instrText xml:space="preserve"> SEQ Figura \* ARABIC </w:instrText>
      </w:r>
      <w:r>
        <w:fldChar w:fldCharType="separate"/>
      </w:r>
      <w:r>
        <w:t>2</w:t>
      </w:r>
      <w:r>
        <w:fldChar w:fldCharType="end"/>
      </w:r>
      <w:bookmarkStart w:id="88" w:name="_Toc9605"/>
      <w:bookmarkStart w:id="89" w:name="_Toc18773"/>
      <w:bookmarkStart w:id="90" w:name="_Toc24043"/>
      <w:bookmarkStart w:id="91" w:name="_Toc25644"/>
      <w:bookmarkStart w:id="92" w:name="_Toc7704"/>
      <w:bookmarkStart w:id="93" w:name="_Toc1063"/>
      <w:bookmarkStart w:id="94" w:name="_Toc1957"/>
      <w:bookmarkStart w:id="95" w:name="_Toc28061"/>
      <w:bookmarkStart w:id="96" w:name="_Toc5623"/>
      <w:bookmarkStart w:id="97" w:name="_Toc13270"/>
      <w:bookmarkStart w:id="98" w:name="_Toc1231"/>
      <w:bookmarkStart w:id="99" w:name="_Toc1633"/>
      <w:bookmarkStart w:id="100" w:name="_Toc11941"/>
      <w:bookmarkStart w:id="101" w:name="_Toc5946"/>
      <w:bookmarkStart w:id="102" w:name="_Toc9865"/>
      <w:bookmarkEnd w:id="86"/>
      <w:r>
        <w:t xml:space="preserve"> - </w:t>
      </w:r>
      <w:r>
        <w:rPr>
          <w:rFonts w:cs="Times New Roman"/>
        </w:rPr>
        <w:t>Tipuri de atriumuri</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47246E1A" w14:textId="77777777" w:rsidR="001C08A5" w:rsidRDefault="00000000">
      <w:pPr>
        <w:rPr>
          <w:sz w:val="24"/>
          <w:szCs w:val="24"/>
        </w:rPr>
      </w:pPr>
      <w:r>
        <w:rPr>
          <w:noProof/>
          <w:sz w:val="24"/>
          <w:szCs w:val="24"/>
          <w:lang w:eastAsia="ro-RO"/>
        </w:rPr>
        <w:drawing>
          <wp:inline distT="0" distB="0" distL="0" distR="0" wp14:anchorId="5F38F037" wp14:editId="26646A5D">
            <wp:extent cx="6117590" cy="2113915"/>
            <wp:effectExtent l="0" t="0" r="16510" b="635"/>
            <wp:docPr id="1032" name="Picture 13"/>
            <wp:cNvGraphicFramePr/>
            <a:graphic xmlns:a="http://schemas.openxmlformats.org/drawingml/2006/main">
              <a:graphicData uri="http://schemas.openxmlformats.org/drawingml/2006/picture">
                <pic:pic xmlns:pic="http://schemas.openxmlformats.org/drawingml/2006/picture">
                  <pic:nvPicPr>
                    <pic:cNvPr id="1032" name="Picture 13"/>
                    <pic:cNvPicPr/>
                  </pic:nvPicPr>
                  <pic:blipFill>
                    <a:blip r:embed="rId50" cstate="print"/>
                    <a:srcRect l="12040" t="5076" r="6899"/>
                    <a:stretch>
                      <a:fillRect/>
                    </a:stretch>
                  </pic:blipFill>
                  <pic:spPr>
                    <a:xfrm>
                      <a:off x="0" y="0"/>
                      <a:ext cx="6117590" cy="2113915"/>
                    </a:xfrm>
                    <a:prstGeom prst="rect">
                      <a:avLst/>
                    </a:prstGeom>
                    <a:ln>
                      <a:noFill/>
                    </a:ln>
                  </pic:spPr>
                </pic:pic>
              </a:graphicData>
            </a:graphic>
          </wp:inline>
        </w:drawing>
      </w:r>
    </w:p>
    <w:p w14:paraId="5BA0C34B" w14:textId="77777777" w:rsidR="001C08A5" w:rsidRDefault="00000000">
      <w:pPr>
        <w:widowControl w:val="0"/>
        <w:ind w:left="425"/>
        <w:jc w:val="both"/>
        <w:rPr>
          <w:sz w:val="22"/>
          <w:szCs w:val="22"/>
        </w:rPr>
      </w:pPr>
      <w:r>
        <w:rPr>
          <w:b/>
          <w:bCs/>
          <w:i/>
          <w:iCs/>
          <w:sz w:val="22"/>
          <w:szCs w:val="22"/>
        </w:rPr>
        <w:t>Varianta a)</w:t>
      </w:r>
      <w:r>
        <w:rPr>
          <w:i/>
          <w:iCs/>
          <w:sz w:val="22"/>
          <w:szCs w:val="22"/>
        </w:rPr>
        <w:t xml:space="preserve"> - Variantă corectă</w:t>
      </w:r>
      <w:r>
        <w:rPr>
          <w:i/>
          <w:iCs/>
          <w:sz w:val="22"/>
          <w:szCs w:val="22"/>
        </w:rPr>
        <w:tab/>
      </w:r>
      <w:r>
        <w:rPr>
          <w:i/>
          <w:iCs/>
          <w:sz w:val="22"/>
          <w:szCs w:val="22"/>
        </w:rPr>
        <w:tab/>
      </w:r>
      <w:r>
        <w:rPr>
          <w:i/>
          <w:iCs/>
          <w:sz w:val="22"/>
          <w:szCs w:val="22"/>
        </w:rPr>
        <w:tab/>
      </w:r>
      <w:r>
        <w:rPr>
          <w:b/>
          <w:bCs/>
          <w:i/>
          <w:iCs/>
          <w:sz w:val="22"/>
          <w:szCs w:val="22"/>
        </w:rPr>
        <w:t>Varianta b)</w:t>
      </w:r>
      <w:r>
        <w:rPr>
          <w:i/>
          <w:iCs/>
          <w:sz w:val="22"/>
          <w:szCs w:val="22"/>
        </w:rPr>
        <w:t xml:space="preserve"> -Variantă incorectă</w:t>
      </w:r>
    </w:p>
    <w:p w14:paraId="41710B02" w14:textId="77777777" w:rsidR="001C08A5" w:rsidRDefault="00000000">
      <w:pPr>
        <w:pStyle w:val="Caption"/>
        <w:jc w:val="center"/>
        <w:rPr>
          <w:rFonts w:cs="Times New Roman"/>
        </w:rPr>
      </w:pPr>
      <w:bookmarkStart w:id="103" w:name="_Ref4816"/>
      <w:bookmarkStart w:id="104" w:name="_Toc1782"/>
      <w:bookmarkStart w:id="105" w:name="_Toc28092"/>
      <w:bookmarkStart w:id="106" w:name="_Toc16101"/>
      <w:bookmarkStart w:id="107" w:name="_Toc86"/>
      <w:bookmarkStart w:id="108" w:name="_Toc1364"/>
      <w:bookmarkStart w:id="109" w:name="_Toc162360227"/>
      <w:bookmarkStart w:id="110" w:name="_Toc6761"/>
      <w:r>
        <w:t xml:space="preserve">Figura </w:t>
      </w:r>
      <w:r>
        <w:fldChar w:fldCharType="begin"/>
      </w:r>
      <w:r>
        <w:instrText xml:space="preserve"> SEQ Figura \* ARABIC </w:instrText>
      </w:r>
      <w:r>
        <w:fldChar w:fldCharType="separate"/>
      </w:r>
      <w:r>
        <w:t>3</w:t>
      </w:r>
      <w:r>
        <w:fldChar w:fldCharType="end"/>
      </w:r>
      <w:bookmarkStart w:id="111" w:name="_Toc28554"/>
      <w:bookmarkStart w:id="112" w:name="_Toc12338"/>
      <w:bookmarkStart w:id="113" w:name="_Toc13516"/>
      <w:bookmarkStart w:id="114" w:name="_Toc14140"/>
      <w:bookmarkStart w:id="115" w:name="_Toc28173"/>
      <w:bookmarkStart w:id="116" w:name="_Toc19698"/>
      <w:bookmarkStart w:id="117" w:name="_Toc26007"/>
      <w:bookmarkStart w:id="118" w:name="_Toc8471"/>
      <w:bookmarkStart w:id="119" w:name="_Toc29249"/>
      <w:bookmarkStart w:id="120" w:name="_Toc9635"/>
      <w:bookmarkStart w:id="121" w:name="_Toc13168"/>
      <w:bookmarkEnd w:id="103"/>
      <w:r>
        <w:t xml:space="preserve"> - </w:t>
      </w:r>
      <w:r>
        <w:rPr>
          <w:rFonts w:cs="Times New Roman"/>
        </w:rPr>
        <w:t>Atrium</w:t>
      </w:r>
      <w:bookmarkEnd w:id="104"/>
      <w:bookmarkEnd w:id="105"/>
      <w:r>
        <w:rPr>
          <w:rFonts w:cs="Times New Roman"/>
        </w:rPr>
        <w:t xml:space="preserve"> interconectat în subteran</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28C021BF" w14:textId="77777777" w:rsidR="001C08A5" w:rsidRDefault="00000000">
      <w:pPr>
        <w:widowControl w:val="0"/>
        <w:jc w:val="both"/>
        <w:rPr>
          <w:i/>
          <w:iCs/>
          <w:sz w:val="22"/>
          <w:szCs w:val="22"/>
          <w:lang w:eastAsia="ro-RO"/>
        </w:rPr>
      </w:pPr>
      <w:r>
        <w:rPr>
          <w:rFonts w:eastAsia="Times-Roman"/>
          <w:i/>
          <w:iCs/>
          <w:sz w:val="22"/>
          <w:szCs w:val="22"/>
          <w:lang w:eastAsia="ro-RO"/>
        </w:rPr>
        <w:t xml:space="preserve">Note la </w:t>
      </w:r>
      <w:r>
        <w:rPr>
          <w:b/>
          <w:bCs/>
          <w:i/>
          <w:iCs/>
          <w:sz w:val="22"/>
          <w:szCs w:val="22"/>
          <w:lang w:eastAsia="ro-RO"/>
        </w:rPr>
        <w:fldChar w:fldCharType="begin"/>
      </w:r>
      <w:r>
        <w:rPr>
          <w:b/>
          <w:bCs/>
          <w:i/>
          <w:iCs/>
          <w:sz w:val="22"/>
          <w:szCs w:val="22"/>
          <w:lang w:eastAsia="ro-RO"/>
        </w:rPr>
        <w:instrText xml:space="preserve"> REF _Ref4816 \h </w:instrText>
      </w:r>
      <w:r>
        <w:rPr>
          <w:b/>
          <w:bCs/>
          <w:i/>
          <w:iCs/>
          <w:sz w:val="22"/>
          <w:szCs w:val="22"/>
          <w:lang w:eastAsia="ro-RO"/>
        </w:rPr>
      </w:r>
      <w:r>
        <w:rPr>
          <w:b/>
          <w:bCs/>
          <w:i/>
          <w:iCs/>
          <w:sz w:val="22"/>
          <w:szCs w:val="22"/>
          <w:lang w:eastAsia="ro-RO"/>
        </w:rPr>
        <w:fldChar w:fldCharType="separate"/>
      </w:r>
      <w:r>
        <w:rPr>
          <w:b/>
          <w:bCs/>
          <w:i/>
          <w:iCs/>
          <w:sz w:val="22"/>
          <w:szCs w:val="22"/>
          <w:lang w:eastAsia="ro-RO"/>
        </w:rPr>
        <w:t>Figura 3</w:t>
      </w:r>
      <w:r>
        <w:rPr>
          <w:b/>
          <w:bCs/>
          <w:i/>
          <w:iCs/>
          <w:sz w:val="22"/>
          <w:szCs w:val="22"/>
          <w:lang w:eastAsia="ro-RO"/>
        </w:rPr>
        <w:fldChar w:fldCharType="end"/>
      </w:r>
      <w:r>
        <w:rPr>
          <w:rFonts w:eastAsia="Times-Roman"/>
          <w:i/>
          <w:iCs/>
          <w:sz w:val="22"/>
          <w:szCs w:val="22"/>
          <w:lang w:eastAsia="ro-RO"/>
        </w:rPr>
        <w:t>:</w:t>
      </w:r>
      <w:r>
        <w:rPr>
          <w:rFonts w:eastAsia="Times-Roman"/>
          <w:i/>
          <w:iCs/>
          <w:sz w:val="22"/>
          <w:szCs w:val="22"/>
          <w:lang w:val="en-US" w:eastAsia="ro-RO"/>
        </w:rPr>
        <w:t xml:space="preserve"> </w:t>
      </w:r>
      <w:r>
        <w:rPr>
          <w:i/>
          <w:iCs/>
          <w:sz w:val="22"/>
          <w:szCs w:val="22"/>
          <w:lang w:eastAsia="ro-RO"/>
        </w:rPr>
        <w:t>Întreaga suprafață a părții sup</w:t>
      </w:r>
      <w:r>
        <w:rPr>
          <w:i/>
          <w:iCs/>
          <w:sz w:val="22"/>
          <w:szCs w:val="22"/>
          <w:lang w:val="en-US" w:eastAsia="ro-RO"/>
        </w:rPr>
        <w:t>r</w:t>
      </w:r>
      <w:r>
        <w:rPr>
          <w:i/>
          <w:iCs/>
          <w:sz w:val="22"/>
          <w:szCs w:val="22"/>
          <w:lang w:eastAsia="ro-RO"/>
        </w:rPr>
        <w:t xml:space="preserve">aterane a spațiului interconectat prin atrium este deschisă și neobstrucționată, astfel încât un incendiu în orice parte a spațiului interconectat prin atrium va fi ușor vizibil pentru utilizatorii spațiului înainte de momentul în care acesta devine un pericol pentru ei. </w:t>
      </w:r>
    </w:p>
    <w:p w14:paraId="6DDB63F1" w14:textId="77777777" w:rsidR="001C08A5" w:rsidRDefault="00000000">
      <w:pPr>
        <w:widowControl w:val="0"/>
        <w:jc w:val="both"/>
        <w:rPr>
          <w:i/>
          <w:iCs/>
          <w:sz w:val="22"/>
          <w:szCs w:val="22"/>
          <w:lang w:eastAsia="ro-RO"/>
        </w:rPr>
      </w:pPr>
      <w:r>
        <w:rPr>
          <w:i/>
          <w:iCs/>
          <w:sz w:val="22"/>
          <w:szCs w:val="22"/>
          <w:lang w:eastAsia="ro-RO"/>
        </w:rPr>
        <w:t>Se acceptă un singur nivel subteran interconectat cu porțiunea supraterană a construcției, interconectat prin atrium, (</w:t>
      </w:r>
      <w:r>
        <w:rPr>
          <w:b/>
          <w:bCs/>
          <w:i/>
          <w:iCs/>
          <w:sz w:val="22"/>
          <w:szCs w:val="22"/>
          <w:lang w:eastAsia="ro-RO"/>
        </w:rPr>
        <w:fldChar w:fldCharType="begin"/>
      </w:r>
      <w:r>
        <w:rPr>
          <w:b/>
          <w:bCs/>
          <w:i/>
          <w:iCs/>
          <w:sz w:val="22"/>
          <w:szCs w:val="22"/>
          <w:lang w:eastAsia="ro-RO"/>
        </w:rPr>
        <w:instrText xml:space="preserve"> REF _Ref4816 \h </w:instrText>
      </w:r>
      <w:r>
        <w:rPr>
          <w:b/>
          <w:bCs/>
          <w:i/>
          <w:iCs/>
          <w:sz w:val="22"/>
          <w:szCs w:val="22"/>
          <w:lang w:eastAsia="ro-RO"/>
        </w:rPr>
      </w:r>
      <w:r>
        <w:rPr>
          <w:b/>
          <w:bCs/>
          <w:i/>
          <w:iCs/>
          <w:sz w:val="22"/>
          <w:szCs w:val="22"/>
          <w:lang w:eastAsia="ro-RO"/>
        </w:rPr>
        <w:fldChar w:fldCharType="separate"/>
      </w:r>
      <w:r>
        <w:rPr>
          <w:b/>
          <w:bCs/>
          <w:i/>
          <w:iCs/>
          <w:sz w:val="22"/>
          <w:szCs w:val="22"/>
        </w:rPr>
        <w:t>Figura 3</w:t>
      </w:r>
      <w:r>
        <w:rPr>
          <w:b/>
          <w:bCs/>
          <w:i/>
          <w:iCs/>
          <w:sz w:val="22"/>
          <w:szCs w:val="22"/>
          <w:lang w:eastAsia="ro-RO"/>
        </w:rPr>
        <w:fldChar w:fldCharType="end"/>
      </w:r>
      <w:r>
        <w:rPr>
          <w:b/>
          <w:bCs/>
          <w:i/>
          <w:iCs/>
          <w:sz w:val="22"/>
          <w:szCs w:val="22"/>
        </w:rPr>
        <w:t xml:space="preserve"> </w:t>
      </w:r>
      <w:r>
        <w:rPr>
          <w:b/>
          <w:bCs/>
          <w:i/>
          <w:iCs/>
          <w:sz w:val="24"/>
          <w:szCs w:val="24"/>
        </w:rPr>
        <w:t xml:space="preserve">varianta </w:t>
      </w:r>
      <w:r>
        <w:rPr>
          <w:b/>
          <w:bCs/>
          <w:i/>
          <w:iCs/>
          <w:sz w:val="22"/>
          <w:szCs w:val="22"/>
          <w:lang w:eastAsia="ro-RO"/>
        </w:rPr>
        <w:t>a</w:t>
      </w:r>
      <w:r>
        <w:rPr>
          <w:i/>
          <w:iCs/>
          <w:sz w:val="22"/>
          <w:szCs w:val="22"/>
          <w:lang w:eastAsia="ro-RO"/>
        </w:rPr>
        <w:t>).</w:t>
      </w:r>
    </w:p>
    <w:p w14:paraId="1496004D" w14:textId="77777777" w:rsidR="001C08A5" w:rsidRDefault="00000000">
      <w:pPr>
        <w:widowControl w:val="0"/>
        <w:jc w:val="both"/>
        <w:rPr>
          <w:b/>
          <w:bCs/>
          <w:i/>
          <w:iCs/>
          <w:sz w:val="22"/>
          <w:szCs w:val="22"/>
          <w:lang w:eastAsia="ro-RO"/>
        </w:rPr>
      </w:pPr>
      <w:r>
        <w:rPr>
          <w:i/>
          <w:iCs/>
          <w:sz w:val="22"/>
          <w:szCs w:val="22"/>
          <w:lang w:eastAsia="ro-RO"/>
        </w:rPr>
        <w:t xml:space="preserve">In vederea diminuării consecințelor efectului de panică, pentru clădirile cu atrium a căror capacitate maximă simultană este mai mare de </w:t>
      </w:r>
      <w:r>
        <w:rPr>
          <w:b/>
          <w:bCs/>
          <w:i/>
          <w:iCs/>
          <w:sz w:val="22"/>
          <w:szCs w:val="22"/>
          <w:lang w:eastAsia="ro-RO"/>
        </w:rPr>
        <w:t>1500</w:t>
      </w:r>
      <w:r>
        <w:rPr>
          <w:i/>
          <w:iCs/>
          <w:sz w:val="22"/>
          <w:szCs w:val="22"/>
          <w:lang w:eastAsia="ro-RO"/>
        </w:rPr>
        <w:t xml:space="preserve"> de persoane, numărul fluxurilor pentru care trebuie asigurată evacuarea în exteriorul clădirii prin ușile exterioare care constituie și accese folosite în mod curent în utilizare de către public sau vizitatori (persoane străine de construcție) trebuie să fie mărite prin înmulțire cu un coeficient de minimum </w:t>
      </w:r>
      <w:r>
        <w:rPr>
          <w:b/>
          <w:bCs/>
          <w:i/>
          <w:iCs/>
          <w:sz w:val="22"/>
          <w:szCs w:val="22"/>
          <w:lang w:eastAsia="ro-RO"/>
        </w:rPr>
        <w:t>1,25.</w:t>
      </w:r>
    </w:p>
    <w:p w14:paraId="5996453D" w14:textId="77777777" w:rsidR="001C08A5" w:rsidRDefault="001C08A5">
      <w:pPr>
        <w:widowControl w:val="0"/>
        <w:jc w:val="both"/>
        <w:rPr>
          <w:b/>
          <w:bCs/>
          <w:i/>
          <w:iCs/>
          <w:sz w:val="24"/>
          <w:szCs w:val="24"/>
          <w:lang w:eastAsia="ro-RO"/>
        </w:rPr>
      </w:pPr>
    </w:p>
    <w:p w14:paraId="74EB28FF" w14:textId="77777777" w:rsidR="001C08A5" w:rsidRDefault="00000000">
      <w:pPr>
        <w:widowControl w:val="0"/>
        <w:numPr>
          <w:ilvl w:val="0"/>
          <w:numId w:val="10"/>
        </w:numPr>
        <w:jc w:val="both"/>
        <w:rPr>
          <w:i/>
          <w:iCs/>
          <w:sz w:val="24"/>
          <w:szCs w:val="24"/>
          <w:lang w:eastAsia="ro-RO"/>
        </w:rPr>
      </w:pPr>
      <w:r>
        <w:rPr>
          <w:rFonts w:eastAsia="Arial"/>
          <w:b/>
          <w:i/>
          <w:sz w:val="24"/>
          <w:szCs w:val="24"/>
        </w:rPr>
        <w:t>Cale de evacuare</w:t>
      </w:r>
      <w:r>
        <w:rPr>
          <w:rFonts w:eastAsia="Arial"/>
          <w:i/>
          <w:sz w:val="24"/>
          <w:szCs w:val="24"/>
        </w:rPr>
        <w:t xml:space="preserve"> - circulaţie comună funcţională (orizontală sau verticală) înglobată sau alipită construcției, destinată evacuării utilizatorilor în caz de incendiu, separată de restul construcţiei cu elemente rezistente la foc. Sunt considerate căi de evacuare</w:t>
      </w:r>
      <w:r>
        <w:rPr>
          <w:i/>
          <w:iCs/>
          <w:sz w:val="24"/>
          <w:szCs w:val="24"/>
          <w:lang w:eastAsia="ro-RO"/>
        </w:rPr>
        <w:t xml:space="preserve"> circulaţiile libere (fără obstacole) care, îndeplinind condiţiile stabilite prin prezentul normativ, asigură evacuarea prin uşi, coridoare, degajamente protejate, tuneluri, holuri sau vestibuluri, etc. la nivelul terenului circulabil sau al unor suprafeţe carosabile sau către compartimente de incendiu învecinate (în condițiile permise de normativ), astfel: direct; prin case de scări de evacuare; prin terase, cursive, logii, pasaje de evacuare.</w:t>
      </w:r>
    </w:p>
    <w:p w14:paraId="7C90B7CB" w14:textId="77777777" w:rsidR="001C08A5" w:rsidRDefault="00000000">
      <w:pPr>
        <w:widowControl w:val="0"/>
        <w:ind w:left="1380"/>
        <w:jc w:val="both"/>
        <w:rPr>
          <w:i/>
          <w:iCs/>
          <w:sz w:val="24"/>
          <w:szCs w:val="24"/>
          <w:lang w:eastAsia="ro-RO"/>
        </w:rPr>
      </w:pPr>
      <w:r>
        <w:rPr>
          <w:i/>
          <w:iCs/>
          <w:sz w:val="24"/>
          <w:szCs w:val="24"/>
          <w:lang w:eastAsia="ro-RO"/>
        </w:rPr>
        <w:t xml:space="preserve">Căile de evacuare în caz de incendiu pot fi: </w:t>
      </w:r>
    </w:p>
    <w:p w14:paraId="56E7DC02" w14:textId="77777777" w:rsidR="001C08A5" w:rsidRDefault="00000000">
      <w:pPr>
        <w:pStyle w:val="ListParagraph"/>
        <w:widowControl w:val="0"/>
        <w:numPr>
          <w:ilvl w:val="1"/>
          <w:numId w:val="14"/>
        </w:numPr>
        <w:jc w:val="both"/>
        <w:rPr>
          <w:i/>
          <w:iCs/>
          <w:lang w:eastAsia="ro-RO"/>
        </w:rPr>
      </w:pPr>
      <w:r>
        <w:rPr>
          <w:i/>
          <w:iCs/>
          <w:lang w:eastAsia="ro-RO"/>
        </w:rPr>
        <w:t xml:space="preserve">căile de circulație </w:t>
      </w:r>
      <w:r>
        <w:rPr>
          <w:i/>
          <w:iCs/>
          <w:lang w:val="en-US" w:eastAsia="ro-RO"/>
        </w:rPr>
        <w:t>comune</w:t>
      </w:r>
      <w:r>
        <w:rPr>
          <w:i/>
          <w:iCs/>
          <w:lang w:eastAsia="ro-RO"/>
        </w:rPr>
        <w:t xml:space="preserve"> orizontale sau verticale înglobate sau alipite construcției și separate de restul acesteia cu elemente cu performanță privind rezistența ș</w:t>
      </w:r>
      <w:r>
        <w:rPr>
          <w:i/>
          <w:iCs/>
          <w:lang w:val="en-US" w:eastAsia="ro-RO"/>
        </w:rPr>
        <w:t xml:space="preserve">i clasa de reacție </w:t>
      </w:r>
      <w:r>
        <w:rPr>
          <w:i/>
          <w:iCs/>
          <w:lang w:eastAsia="ro-RO"/>
        </w:rPr>
        <w:t>la foc</w:t>
      </w:r>
    </w:p>
    <w:p w14:paraId="17F01CE9" w14:textId="77777777" w:rsidR="001C08A5" w:rsidRDefault="00000000">
      <w:pPr>
        <w:pStyle w:val="ListParagraph"/>
        <w:widowControl w:val="0"/>
        <w:numPr>
          <w:ilvl w:val="1"/>
          <w:numId w:val="14"/>
        </w:numPr>
        <w:jc w:val="both"/>
        <w:rPr>
          <w:i/>
          <w:iCs/>
          <w:lang w:eastAsia="ro-RO"/>
        </w:rPr>
      </w:pPr>
      <w:r>
        <w:rPr>
          <w:i/>
          <w:iCs/>
          <w:lang w:eastAsia="ro-RO"/>
        </w:rPr>
        <w:t>căile special destinate evacuării care se prevăd numai atunci când cele funcţionale sunt insuficiente sau nu pot satisface condiţiile de siguranţă la foc, separate de restul construcției cu elemente cu performanță privind rezistența ș</w:t>
      </w:r>
      <w:r>
        <w:rPr>
          <w:i/>
          <w:iCs/>
          <w:lang w:val="en-US" w:eastAsia="ro-RO"/>
        </w:rPr>
        <w:t xml:space="preserve">i clasa de reacție </w:t>
      </w:r>
      <w:r>
        <w:rPr>
          <w:i/>
          <w:iCs/>
          <w:lang w:eastAsia="ro-RO"/>
        </w:rPr>
        <w:t>la foc.</w:t>
      </w:r>
    </w:p>
    <w:p w14:paraId="7191C47F" w14:textId="77777777" w:rsidR="001C08A5" w:rsidRDefault="001C08A5">
      <w:pPr>
        <w:pStyle w:val="ListParagraph"/>
        <w:widowControl w:val="0"/>
        <w:numPr>
          <w:ilvl w:val="255"/>
          <w:numId w:val="0"/>
        </w:numPr>
        <w:jc w:val="center"/>
        <w:rPr>
          <w:lang w:eastAsia="ro-RO"/>
        </w:rPr>
      </w:pPr>
    </w:p>
    <w:p w14:paraId="002C42A3" w14:textId="77777777" w:rsidR="001C08A5" w:rsidRDefault="00000000">
      <w:pPr>
        <w:pStyle w:val="ListParagraph"/>
        <w:widowControl w:val="0"/>
        <w:numPr>
          <w:ilvl w:val="255"/>
          <w:numId w:val="0"/>
        </w:numPr>
        <w:jc w:val="center"/>
        <w:rPr>
          <w:lang w:eastAsia="ro-RO"/>
        </w:rPr>
      </w:pPr>
      <w:r>
        <w:rPr>
          <w:noProof/>
        </w:rPr>
        <w:lastRenderedPageBreak/>
        <w:drawing>
          <wp:inline distT="0" distB="0" distL="114300" distR="114300" wp14:anchorId="75513957" wp14:editId="4811AA5A">
            <wp:extent cx="5957570" cy="4205605"/>
            <wp:effectExtent l="0" t="0" r="5080" b="444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51"/>
                    <a:srcRect l="13526" r="7654"/>
                    <a:stretch>
                      <a:fillRect/>
                    </a:stretch>
                  </pic:blipFill>
                  <pic:spPr>
                    <a:xfrm>
                      <a:off x="0" y="0"/>
                      <a:ext cx="5957570" cy="4205605"/>
                    </a:xfrm>
                    <a:prstGeom prst="rect">
                      <a:avLst/>
                    </a:prstGeom>
                    <a:noFill/>
                    <a:ln>
                      <a:noFill/>
                    </a:ln>
                  </pic:spPr>
                </pic:pic>
              </a:graphicData>
            </a:graphic>
          </wp:inline>
        </w:drawing>
      </w:r>
    </w:p>
    <w:p w14:paraId="3D051C7D" w14:textId="77777777" w:rsidR="001C08A5" w:rsidRDefault="00000000">
      <w:pPr>
        <w:pStyle w:val="Caption"/>
        <w:widowControl w:val="0"/>
        <w:jc w:val="center"/>
        <w:rPr>
          <w:bCs/>
        </w:rPr>
      </w:pPr>
      <w:bookmarkStart w:id="122" w:name="_Ref5188"/>
      <w:bookmarkStart w:id="123" w:name="_Toc162360228"/>
      <w:r>
        <w:t xml:space="preserve">Figura </w:t>
      </w:r>
      <w:r>
        <w:fldChar w:fldCharType="begin"/>
      </w:r>
      <w:r>
        <w:instrText xml:space="preserve"> SEQ Figura \* ARABIC </w:instrText>
      </w:r>
      <w:r>
        <w:fldChar w:fldCharType="separate"/>
      </w:r>
      <w:r>
        <w:t>4</w:t>
      </w:r>
      <w:r>
        <w:fldChar w:fldCharType="end"/>
      </w:r>
      <w:bookmarkStart w:id="124" w:name="_Toc25191"/>
      <w:bookmarkStart w:id="125" w:name="_Toc12794"/>
      <w:bookmarkStart w:id="126" w:name="_Toc7184"/>
      <w:bookmarkStart w:id="127" w:name="_Toc8039"/>
      <w:bookmarkStart w:id="128" w:name="_Toc23534"/>
      <w:bookmarkStart w:id="129" w:name="_Toc8811"/>
      <w:bookmarkStart w:id="130" w:name="_Toc15211"/>
      <w:bookmarkStart w:id="131" w:name="_Toc21704"/>
      <w:bookmarkStart w:id="132" w:name="_Toc24657"/>
      <w:bookmarkStart w:id="133" w:name="_Toc4330"/>
      <w:bookmarkStart w:id="134" w:name="_Toc27393"/>
      <w:bookmarkEnd w:id="122"/>
      <w:r>
        <w:t xml:space="preserve"> - </w:t>
      </w:r>
      <w:r>
        <w:rPr>
          <w:bCs/>
        </w:rPr>
        <w:t>Circulații de evacuare</w:t>
      </w:r>
      <w:bookmarkEnd w:id="123"/>
      <w:r>
        <w:rPr>
          <w:bCs/>
        </w:rPr>
        <w:t xml:space="preserve"> </w:t>
      </w:r>
      <w:bookmarkEnd w:id="124"/>
      <w:bookmarkEnd w:id="125"/>
      <w:bookmarkEnd w:id="126"/>
      <w:bookmarkEnd w:id="127"/>
      <w:bookmarkEnd w:id="128"/>
      <w:bookmarkEnd w:id="129"/>
      <w:bookmarkEnd w:id="130"/>
      <w:bookmarkEnd w:id="131"/>
      <w:bookmarkEnd w:id="132"/>
      <w:bookmarkEnd w:id="133"/>
      <w:bookmarkEnd w:id="134"/>
    </w:p>
    <w:p w14:paraId="0822C6E0" w14:textId="77777777" w:rsidR="001C08A5" w:rsidRDefault="00000000">
      <w:pPr>
        <w:widowControl w:val="0"/>
        <w:jc w:val="both"/>
        <w:rPr>
          <w:i/>
          <w:iCs/>
          <w:sz w:val="22"/>
          <w:szCs w:val="22"/>
          <w:lang w:val="en-US" w:eastAsia="ro-RO"/>
        </w:rPr>
      </w:pPr>
      <w:r>
        <w:rPr>
          <w:i/>
          <w:iCs/>
          <w:sz w:val="22"/>
          <w:szCs w:val="22"/>
        </w:rPr>
        <w:t xml:space="preserve">Notă </w:t>
      </w:r>
      <w:r>
        <w:rPr>
          <w:b/>
          <w:bCs/>
          <w:i/>
          <w:iCs/>
          <w:sz w:val="22"/>
          <w:szCs w:val="22"/>
        </w:rPr>
        <w:fldChar w:fldCharType="begin"/>
      </w:r>
      <w:r>
        <w:rPr>
          <w:b/>
          <w:bCs/>
          <w:i/>
          <w:iCs/>
          <w:sz w:val="22"/>
          <w:szCs w:val="22"/>
        </w:rPr>
        <w:instrText xml:space="preserve"> REF _Ref5188 \h </w:instrText>
      </w:r>
      <w:r>
        <w:rPr>
          <w:b/>
          <w:bCs/>
          <w:i/>
          <w:iCs/>
          <w:sz w:val="22"/>
          <w:szCs w:val="22"/>
        </w:rPr>
      </w:r>
      <w:r>
        <w:rPr>
          <w:b/>
          <w:bCs/>
          <w:i/>
          <w:iCs/>
          <w:sz w:val="22"/>
          <w:szCs w:val="22"/>
        </w:rPr>
        <w:fldChar w:fldCharType="separate"/>
      </w:r>
      <w:r>
        <w:rPr>
          <w:b/>
          <w:bCs/>
          <w:i/>
          <w:iCs/>
          <w:sz w:val="22"/>
          <w:szCs w:val="22"/>
        </w:rPr>
        <w:t>Figura 4</w:t>
      </w:r>
      <w:r>
        <w:rPr>
          <w:b/>
          <w:bCs/>
          <w:i/>
          <w:iCs/>
          <w:sz w:val="22"/>
          <w:szCs w:val="22"/>
        </w:rPr>
        <w:fldChar w:fldCharType="end"/>
      </w:r>
      <w:r>
        <w:rPr>
          <w:i/>
          <w:iCs/>
          <w:sz w:val="22"/>
          <w:szCs w:val="22"/>
        </w:rPr>
        <w:t xml:space="preserve">: Este admisă gruparea încăperilor de tip open space cu risc mic de incendiu și aceeași destinație compartimentate cu parapete, panouri opace sau vitrate, fixe sau mobile folosite ca separări funcționale, incluzand și destinatii colaterale, inclusiv cele de comunicari functionale orizontale. Gruparea încăperilor de tip open space se compartimentează la limita față de circulațiile comune de evacuare (coridoare, degajamente protejate, încaperi tampon, scări închise, etc.) precum și față de spații cu risc diferit de incendiu (provenit din densitatea de sarcină termică și/ sau din funcțiune), cu pereți rezistenți la foc specifici spațiilor tip open space sau conform prevederilor spațiilor alăturate (obligatoriu se aleg cerințele cele mai restrictive), conform încadrării fiecărei funcțiuni sau tip de construcție. În interiorul gruprii spațiilor de tip open space, încăperile cu risc diferit de incendiu (provenit din densitatea de sarcină termică și/ sau din funcțiune) se compartimentează cu pereți rezistenți la foc specifici acestor încăperi. </w:t>
      </w:r>
      <w:r>
        <w:rPr>
          <w:i/>
          <w:iCs/>
          <w:sz w:val="22"/>
          <w:szCs w:val="22"/>
          <w:lang w:val="en-US" w:eastAsia="ro-RO"/>
        </w:rPr>
        <w:t xml:space="preserve">Comunicarea funcțională dintre spații de tip open space și circulații commune orizontale se poate face prin spații comune ce aparțin open space (circulații funcționale) care trebuie să îndeplinească condițiile specific spațiilor de tip open space. </w:t>
      </w:r>
    </w:p>
    <w:p w14:paraId="39342A9C" w14:textId="77777777" w:rsidR="001C08A5" w:rsidRDefault="001C08A5">
      <w:pPr>
        <w:widowControl w:val="0"/>
        <w:jc w:val="both"/>
        <w:rPr>
          <w:b/>
          <w:bCs/>
          <w:i/>
          <w:iCs/>
          <w:sz w:val="22"/>
          <w:szCs w:val="22"/>
          <w:lang w:eastAsia="ro-RO"/>
        </w:rPr>
      </w:pPr>
    </w:p>
    <w:p w14:paraId="21537518" w14:textId="77777777" w:rsidR="001C08A5" w:rsidRDefault="00000000">
      <w:pPr>
        <w:widowControl w:val="0"/>
        <w:numPr>
          <w:ilvl w:val="0"/>
          <w:numId w:val="10"/>
        </w:numPr>
        <w:jc w:val="both"/>
        <w:rPr>
          <w:i/>
          <w:iCs/>
          <w:sz w:val="24"/>
          <w:szCs w:val="24"/>
          <w:lang w:eastAsia="ro-RO"/>
        </w:rPr>
      </w:pPr>
      <w:r>
        <w:rPr>
          <w:rFonts w:eastAsia="Arial"/>
          <w:b/>
          <w:i/>
          <w:sz w:val="24"/>
          <w:szCs w:val="24"/>
          <w:lang w:eastAsia="ro-RO"/>
        </w:rPr>
        <w:t>Căi / circulații de acces, intervenție și salvare</w:t>
      </w:r>
      <w:r>
        <w:rPr>
          <w:i/>
          <w:iCs/>
          <w:sz w:val="24"/>
          <w:szCs w:val="24"/>
          <w:lang w:eastAsia="ro-RO"/>
        </w:rPr>
        <w:t xml:space="preserve"> - căi de acces, intervenţie și salvare, corespunzător alcătuite dimensionate și marcate, astfel încât să poată fi utilizate de personalul care intervine în caz de incendiu</w:t>
      </w:r>
      <w:r>
        <w:rPr>
          <w:sz w:val="24"/>
          <w:szCs w:val="24"/>
        </w:rPr>
        <w:t xml:space="preserve">. </w:t>
      </w:r>
    </w:p>
    <w:p w14:paraId="19BFEC11" w14:textId="77777777" w:rsidR="001C08A5" w:rsidRDefault="00000000">
      <w:pPr>
        <w:pStyle w:val="ListParagraph"/>
        <w:widowControl w:val="0"/>
        <w:ind w:left="0" w:firstLine="720"/>
        <w:jc w:val="both"/>
        <w:rPr>
          <w:i/>
          <w:iCs/>
          <w:lang w:eastAsia="ro-RO"/>
        </w:rPr>
      </w:pPr>
      <w:r>
        <w:rPr>
          <w:i/>
          <w:iCs/>
          <w:lang w:eastAsia="ro-RO"/>
        </w:rPr>
        <w:t xml:space="preserve">Căile de acces, intervenție și salvare sunt : </w:t>
      </w:r>
    </w:p>
    <w:p w14:paraId="72D0138D" w14:textId="77777777" w:rsidR="001C08A5" w:rsidRDefault="00000000">
      <w:pPr>
        <w:pStyle w:val="ListParagraph"/>
        <w:widowControl w:val="0"/>
        <w:numPr>
          <w:ilvl w:val="1"/>
          <w:numId w:val="14"/>
        </w:numPr>
        <w:jc w:val="both"/>
        <w:rPr>
          <w:i/>
          <w:iCs/>
          <w:lang w:eastAsia="ro-RO"/>
        </w:rPr>
      </w:pPr>
      <w:r>
        <w:rPr>
          <w:i/>
          <w:iCs/>
          <w:lang w:eastAsia="ro-RO"/>
        </w:rPr>
        <w:t>Exterioare – pentru accesul uşor al autospecialelor de intervenţie ale pompierilor, fiind marcate și menţinute permanent libere. De regulă, vor asigura intervenţia cel puţin la o faţadă a clădirii, cu excepţia situaţiilor precizate în normativ.</w:t>
      </w:r>
    </w:p>
    <w:p w14:paraId="338AFE16" w14:textId="77777777" w:rsidR="001C08A5" w:rsidRDefault="00000000">
      <w:pPr>
        <w:pStyle w:val="ListParagraph"/>
        <w:widowControl w:val="0"/>
        <w:numPr>
          <w:ilvl w:val="1"/>
          <w:numId w:val="14"/>
        </w:numPr>
        <w:jc w:val="both"/>
        <w:rPr>
          <w:i/>
          <w:iCs/>
          <w:lang w:eastAsia="ro-RO"/>
        </w:rPr>
      </w:pPr>
      <w:r>
        <w:rPr>
          <w:i/>
          <w:iCs/>
          <w:lang w:eastAsia="ro-RO"/>
        </w:rPr>
        <w:t>Interioare – pentru accesul uşor la principalele circulaţii funcţionale (orizontale şi verticale), precum și la spaţiile cu risc sau pericol de incendiu.</w:t>
      </w:r>
    </w:p>
    <w:p w14:paraId="76426130" w14:textId="77777777" w:rsidR="001C08A5" w:rsidRDefault="001C08A5">
      <w:pPr>
        <w:jc w:val="both"/>
        <w:rPr>
          <w:b/>
          <w:i/>
          <w:iCs/>
          <w:sz w:val="24"/>
          <w:szCs w:val="24"/>
        </w:rPr>
      </w:pPr>
    </w:p>
    <w:p w14:paraId="6B976E6A" w14:textId="77777777" w:rsidR="001C08A5" w:rsidRDefault="00000000">
      <w:pPr>
        <w:widowControl w:val="0"/>
        <w:numPr>
          <w:ilvl w:val="0"/>
          <w:numId w:val="10"/>
        </w:numPr>
        <w:jc w:val="both"/>
        <w:rPr>
          <w:i/>
          <w:iCs/>
          <w:sz w:val="24"/>
          <w:szCs w:val="24"/>
          <w:lang w:eastAsia="ro-RO"/>
        </w:rPr>
      </w:pPr>
      <w:r>
        <w:rPr>
          <w:b/>
          <w:bCs/>
          <w:i/>
          <w:iCs/>
          <w:sz w:val="24"/>
          <w:szCs w:val="24"/>
          <w:lang w:eastAsia="ro-RO"/>
        </w:rPr>
        <w:t>Cale de circulație interioară</w:t>
      </w:r>
      <w:r>
        <w:rPr>
          <w:i/>
          <w:iCs/>
          <w:sz w:val="24"/>
          <w:szCs w:val="24"/>
          <w:lang w:eastAsia="ro-RO"/>
        </w:rPr>
        <w:t xml:space="preserve"> - traseu orizontal/ circulaţie funcţională orizontală destinată circulației într-o încăpere.</w:t>
      </w:r>
    </w:p>
    <w:p w14:paraId="2B73BBA4" w14:textId="77777777" w:rsidR="001C08A5" w:rsidRDefault="001C08A5">
      <w:pPr>
        <w:widowControl w:val="0"/>
        <w:ind w:left="400"/>
        <w:jc w:val="both"/>
        <w:rPr>
          <w:i/>
          <w:iCs/>
          <w:sz w:val="24"/>
          <w:szCs w:val="24"/>
          <w:lang w:eastAsia="ro-RO"/>
        </w:rPr>
      </w:pPr>
    </w:p>
    <w:p w14:paraId="11F2420C" w14:textId="77777777" w:rsidR="001C08A5" w:rsidRDefault="00000000">
      <w:pPr>
        <w:widowControl w:val="0"/>
        <w:numPr>
          <w:ilvl w:val="0"/>
          <w:numId w:val="10"/>
        </w:numPr>
        <w:jc w:val="both"/>
        <w:rPr>
          <w:sz w:val="24"/>
          <w:szCs w:val="24"/>
        </w:rPr>
      </w:pPr>
      <w:r>
        <w:rPr>
          <w:b/>
          <w:bCs/>
          <w:i/>
          <w:iCs/>
          <w:sz w:val="24"/>
          <w:szCs w:val="24"/>
          <w:lang w:eastAsia="ro-RO"/>
        </w:rPr>
        <w:t>Conducte de control a fumului</w:t>
      </w:r>
      <w:r>
        <w:rPr>
          <w:i/>
          <w:iCs/>
          <w:sz w:val="24"/>
          <w:szCs w:val="24"/>
          <w:lang w:eastAsia="ro-RO"/>
        </w:rPr>
        <w:t xml:space="preserve"> - conducte utilizate într-un sistem de control al mișcării și/sau reținerii fumului și căldurii</w:t>
      </w:r>
    </w:p>
    <w:p w14:paraId="15DC7412" w14:textId="77777777" w:rsidR="001C08A5" w:rsidRDefault="00000000">
      <w:pPr>
        <w:ind w:left="1418" w:hanging="1"/>
        <w:jc w:val="both"/>
        <w:rPr>
          <w:i/>
          <w:iCs/>
          <w:sz w:val="24"/>
          <w:szCs w:val="24"/>
          <w:lang w:eastAsia="ro-RO"/>
        </w:rPr>
      </w:pPr>
      <w:r>
        <w:rPr>
          <w:b/>
          <w:bCs/>
          <w:i/>
          <w:iCs/>
          <w:sz w:val="24"/>
          <w:szCs w:val="24"/>
          <w:lang w:eastAsia="ro-RO"/>
        </w:rPr>
        <w:lastRenderedPageBreak/>
        <w:t>Conducte de evacuare a fumului dintr-un compartiment unic</w:t>
      </w:r>
      <w:r>
        <w:rPr>
          <w:i/>
          <w:iCs/>
          <w:sz w:val="24"/>
          <w:szCs w:val="24"/>
          <w:lang w:eastAsia="ro-RO"/>
        </w:rPr>
        <w:t xml:space="preserve"> - conductă de control al fumului proiectată pentru a oferi un grad de rezistență la foc pentru utilizare într- un singur compartiment </w:t>
      </w:r>
    </w:p>
    <w:p w14:paraId="455D825F" w14:textId="77777777" w:rsidR="001C08A5" w:rsidRDefault="00000000">
      <w:pPr>
        <w:ind w:left="1418" w:hanging="1"/>
        <w:jc w:val="both"/>
        <w:rPr>
          <w:bCs/>
          <w:i/>
          <w:iCs/>
          <w:sz w:val="24"/>
          <w:szCs w:val="24"/>
        </w:rPr>
      </w:pPr>
      <w:r>
        <w:rPr>
          <w:b/>
          <w:i/>
          <w:iCs/>
          <w:sz w:val="24"/>
          <w:szCs w:val="24"/>
        </w:rPr>
        <w:t xml:space="preserve">Conducte rezistente la foc de evacuare a fumului multicompartiment </w:t>
      </w:r>
      <w:r>
        <w:rPr>
          <w:bCs/>
          <w:i/>
          <w:iCs/>
          <w:sz w:val="24"/>
          <w:szCs w:val="24"/>
        </w:rPr>
        <w:t>- conductă de control al fumului concepută pentru a oferi un grad de rezistență la foc pentru utilizare în mai multe compartimente.</w:t>
      </w:r>
    </w:p>
    <w:p w14:paraId="2F5F5A51" w14:textId="77777777" w:rsidR="001C08A5" w:rsidRDefault="00000000">
      <w:pPr>
        <w:ind w:left="1418" w:hanging="1"/>
        <w:jc w:val="both"/>
        <w:rPr>
          <w:bCs/>
          <w:i/>
          <w:iCs/>
          <w:sz w:val="24"/>
          <w:szCs w:val="24"/>
        </w:rPr>
      </w:pPr>
      <w:r>
        <w:rPr>
          <w:b/>
          <w:i/>
          <w:iCs/>
          <w:sz w:val="24"/>
          <w:szCs w:val="24"/>
        </w:rPr>
        <w:t xml:space="preserve">Volet de control a fumului </w:t>
      </w:r>
      <w:r>
        <w:rPr>
          <w:bCs/>
          <w:i/>
          <w:iCs/>
          <w:sz w:val="24"/>
          <w:szCs w:val="24"/>
        </w:rPr>
        <w:t>- dispozitiv care poate fi deschis sau închis pentru a controla curgerea fumului şi gazelor fierbinţi</w:t>
      </w:r>
    </w:p>
    <w:p w14:paraId="7818AD2A" w14:textId="77777777" w:rsidR="001C08A5" w:rsidRDefault="00000000">
      <w:pPr>
        <w:jc w:val="both"/>
        <w:rPr>
          <w:bCs/>
          <w:i/>
          <w:iCs/>
          <w:sz w:val="22"/>
          <w:szCs w:val="22"/>
        </w:rPr>
      </w:pPr>
      <w:r>
        <w:rPr>
          <w:b/>
          <w:i/>
          <w:iCs/>
          <w:sz w:val="22"/>
          <w:szCs w:val="22"/>
        </w:rPr>
        <w:t>Nota 1</w:t>
      </w:r>
      <w:r>
        <w:rPr>
          <w:bCs/>
          <w:i/>
          <w:iCs/>
          <w:sz w:val="24"/>
          <w:szCs w:val="24"/>
        </w:rPr>
        <w:t>:</w:t>
      </w:r>
      <w:r>
        <w:rPr>
          <w:bCs/>
          <w:i/>
          <w:iCs/>
          <w:sz w:val="22"/>
          <w:szCs w:val="22"/>
        </w:rPr>
        <w:t xml:space="preserve"> În poziţia de funcţionare la incendiu, voletul de control a fumului poate fi deschis (pentru a evacua fumul din compartimentul incendiat) sau închis (pentru a evita propagarea fumului la alte zone).</w:t>
      </w:r>
    </w:p>
    <w:p w14:paraId="65B818FE" w14:textId="77777777" w:rsidR="001C08A5" w:rsidRDefault="00000000">
      <w:pPr>
        <w:spacing w:line="239" w:lineRule="auto"/>
        <w:jc w:val="both"/>
        <w:rPr>
          <w:bCs/>
          <w:i/>
          <w:iCs/>
          <w:sz w:val="22"/>
          <w:szCs w:val="22"/>
        </w:rPr>
      </w:pPr>
      <w:r>
        <w:rPr>
          <w:b/>
          <w:i/>
          <w:iCs/>
          <w:sz w:val="22"/>
          <w:szCs w:val="22"/>
        </w:rPr>
        <w:t>Nota 2</w:t>
      </w:r>
      <w:r>
        <w:rPr>
          <w:bCs/>
          <w:i/>
          <w:iCs/>
          <w:sz w:val="22"/>
          <w:szCs w:val="22"/>
        </w:rPr>
        <w:t>: Clasificările se referă la termenul”</w:t>
      </w:r>
      <w:r>
        <w:rPr>
          <w:rFonts w:eastAsia="Arial"/>
          <w:bCs/>
          <w:i/>
          <w:iCs/>
          <w:sz w:val="22"/>
          <w:szCs w:val="22"/>
        </w:rPr>
        <w:t xml:space="preserve">compartiment” reprezentând un </w:t>
      </w:r>
      <w:r>
        <w:rPr>
          <w:rFonts w:eastAsia="Arial"/>
          <w:i/>
          <w:iCs/>
          <w:sz w:val="22"/>
          <w:szCs w:val="22"/>
        </w:rPr>
        <w:t>spaţiu închis, care cuprinde unul sau mai multe spaţii separate, limitat de elemente de construcţie care au o rezistenţă la foc specificată, pentru ca să împiedice propagarea incendiului în orice direcţie pentru o perioadă de timp dată. Termenul în această accepțiune se va referi strict la clasificările acestor produse.</w:t>
      </w:r>
    </w:p>
    <w:p w14:paraId="62A3C879" w14:textId="77777777" w:rsidR="001C08A5" w:rsidRDefault="00000000">
      <w:pPr>
        <w:ind w:left="1418" w:hanging="1"/>
        <w:jc w:val="both"/>
        <w:rPr>
          <w:bCs/>
          <w:i/>
          <w:iCs/>
          <w:sz w:val="24"/>
          <w:szCs w:val="24"/>
        </w:rPr>
      </w:pPr>
      <w:r>
        <w:rPr>
          <w:b/>
          <w:i/>
          <w:iCs/>
          <w:sz w:val="24"/>
          <w:szCs w:val="24"/>
        </w:rPr>
        <w:t>Ecran de fum (bariera de fum)</w:t>
      </w:r>
      <w:r>
        <w:rPr>
          <w:bCs/>
          <w:i/>
          <w:iCs/>
          <w:sz w:val="24"/>
          <w:szCs w:val="24"/>
        </w:rPr>
        <w:t xml:space="preserve"> - dispozitiv proiectat pentru a canaliza, a reține și/sau a preveni migrarea fumului, utilizat pentru a limita şi/sau a împiedica propagarea fumului, clasificate </w:t>
      </w:r>
      <w:r>
        <w:rPr>
          <w:b/>
          <w:i/>
          <w:iCs/>
          <w:sz w:val="24"/>
          <w:szCs w:val="24"/>
        </w:rPr>
        <w:t xml:space="preserve">DH </w:t>
      </w:r>
      <w:r>
        <w:rPr>
          <w:bCs/>
          <w:i/>
          <w:iCs/>
          <w:sz w:val="24"/>
          <w:szCs w:val="24"/>
        </w:rPr>
        <w:t xml:space="preserve">sau </w:t>
      </w:r>
      <w:r>
        <w:rPr>
          <w:b/>
          <w:i/>
          <w:iCs/>
          <w:sz w:val="24"/>
          <w:szCs w:val="24"/>
        </w:rPr>
        <w:t>D</w:t>
      </w:r>
      <w:r>
        <w:rPr>
          <w:b/>
          <w:i/>
          <w:iCs/>
          <w:sz w:val="24"/>
          <w:szCs w:val="24"/>
          <w:vertAlign w:val="subscript"/>
        </w:rPr>
        <w:t>600</w:t>
      </w:r>
    </w:p>
    <w:p w14:paraId="404EC1FE" w14:textId="77777777" w:rsidR="001C08A5" w:rsidRDefault="00000000">
      <w:pPr>
        <w:ind w:left="1418" w:hanging="1"/>
        <w:jc w:val="both"/>
        <w:rPr>
          <w:bCs/>
          <w:i/>
          <w:iCs/>
          <w:sz w:val="24"/>
          <w:szCs w:val="24"/>
        </w:rPr>
      </w:pPr>
      <w:r>
        <w:rPr>
          <w:bCs/>
          <w:i/>
          <w:iCs/>
          <w:sz w:val="24"/>
          <w:szCs w:val="24"/>
        </w:rPr>
        <w:t>Nota: Barierele de fum mai sunt denumite perdele de fum, jaluzele antifum sau ecrane de fum.</w:t>
      </w:r>
    </w:p>
    <w:p w14:paraId="287506AA" w14:textId="77777777" w:rsidR="001C08A5" w:rsidRDefault="00000000">
      <w:pPr>
        <w:jc w:val="both"/>
        <w:rPr>
          <w:bCs/>
          <w:i/>
          <w:iCs/>
          <w:sz w:val="22"/>
          <w:szCs w:val="22"/>
        </w:rPr>
      </w:pPr>
      <w:r>
        <w:rPr>
          <w:b/>
          <w:i/>
          <w:iCs/>
          <w:sz w:val="22"/>
          <w:szCs w:val="22"/>
        </w:rPr>
        <w:t>Notă</w:t>
      </w:r>
      <w:r>
        <w:rPr>
          <w:bCs/>
          <w:i/>
          <w:iCs/>
          <w:sz w:val="22"/>
          <w:szCs w:val="22"/>
        </w:rPr>
        <w:t xml:space="preserve">: Alternativ prevederilor prezentului normativ, înălțimea ecranelor sistemelor de evacuare a fumului şi gazelor fierbinţi (pentru structuri nestandardizate sau clădiri unde dimensiunile mari, forma sau configuraţia fac necesare controlul fumului și/sau conform criteriilor de proiectare sau la solicitarea autorităţilor competente se cer niveluri de performanţă adecvate privind înălţimea stratului de aer fără fum, temperatura din stratul de aer, influenţe externe etc.), poate fi diferită, fără a fi mai mică de </w:t>
      </w:r>
      <w:r>
        <w:rPr>
          <w:b/>
          <w:i/>
          <w:iCs/>
          <w:sz w:val="22"/>
          <w:szCs w:val="22"/>
        </w:rPr>
        <w:t>50 cm</w:t>
      </w:r>
      <w:r>
        <w:rPr>
          <w:bCs/>
          <w:i/>
          <w:iCs/>
          <w:sz w:val="22"/>
          <w:szCs w:val="22"/>
        </w:rPr>
        <w:t>.</w:t>
      </w:r>
    </w:p>
    <w:p w14:paraId="2C8D75FC" w14:textId="77777777" w:rsidR="001C08A5" w:rsidRDefault="00000000">
      <w:pPr>
        <w:ind w:left="1418" w:hanging="1"/>
        <w:jc w:val="both"/>
        <w:rPr>
          <w:bCs/>
          <w:i/>
          <w:iCs/>
          <w:sz w:val="24"/>
          <w:szCs w:val="24"/>
        </w:rPr>
      </w:pPr>
      <w:r>
        <w:rPr>
          <w:b/>
          <w:i/>
          <w:iCs/>
          <w:sz w:val="24"/>
          <w:szCs w:val="24"/>
        </w:rPr>
        <w:t xml:space="preserve">Ventilator de evacuare a fumului și căldurii </w:t>
      </w:r>
      <w:r>
        <w:rPr>
          <w:bCs/>
          <w:i/>
          <w:iCs/>
          <w:sz w:val="24"/>
          <w:szCs w:val="24"/>
        </w:rPr>
        <w:t>- dispozitiv special conceput pentru a evacua fumul și gazele fierbinți dintr-o construcție în condiții de incendiu</w:t>
      </w:r>
    </w:p>
    <w:p w14:paraId="49F4104D" w14:textId="77777777" w:rsidR="001C08A5" w:rsidRDefault="00000000">
      <w:pPr>
        <w:ind w:left="1418" w:hanging="1"/>
        <w:jc w:val="both"/>
        <w:rPr>
          <w:bCs/>
          <w:i/>
          <w:iCs/>
          <w:sz w:val="24"/>
          <w:szCs w:val="24"/>
        </w:rPr>
      </w:pPr>
      <w:r>
        <w:rPr>
          <w:b/>
          <w:i/>
          <w:iCs/>
          <w:sz w:val="24"/>
          <w:szCs w:val="24"/>
        </w:rPr>
        <w:t>Ventilator natural de evacuare a fumului și a căldurii</w:t>
      </w:r>
      <w:r>
        <w:rPr>
          <w:bCs/>
          <w:i/>
          <w:iCs/>
          <w:sz w:val="24"/>
          <w:szCs w:val="24"/>
        </w:rPr>
        <w:t xml:space="preserve"> (trapă de evacuare fum) - dispozitiv special conceput pentru a scoate fumul și gazele fierbinți din lucrările de construcție prin forța de flotabilitate</w:t>
      </w:r>
    </w:p>
    <w:p w14:paraId="332225F3" w14:textId="77777777" w:rsidR="001C08A5" w:rsidRDefault="00000000">
      <w:pPr>
        <w:ind w:left="1418" w:hanging="1"/>
        <w:jc w:val="both"/>
        <w:rPr>
          <w:bCs/>
          <w:i/>
          <w:iCs/>
          <w:sz w:val="24"/>
          <w:szCs w:val="24"/>
        </w:rPr>
      </w:pPr>
      <w:r>
        <w:rPr>
          <w:b/>
          <w:i/>
          <w:iCs/>
          <w:sz w:val="24"/>
          <w:szCs w:val="24"/>
        </w:rPr>
        <w:t>Ventilare naturală</w:t>
      </w:r>
      <w:r>
        <w:rPr>
          <w:bCs/>
          <w:i/>
          <w:iCs/>
          <w:sz w:val="24"/>
          <w:szCs w:val="24"/>
        </w:rPr>
        <w:t xml:space="preserve"> - ventilare cauzată de forţe ascendente care rezultă din diferenţele de densitate dintre gazele cu fum şi cele din aerul ambiant datorită diferenţelor de temperatură</w:t>
      </w:r>
    </w:p>
    <w:p w14:paraId="4016BC29" w14:textId="77777777" w:rsidR="001C08A5" w:rsidRDefault="00000000">
      <w:pPr>
        <w:ind w:left="1418" w:hanging="1"/>
        <w:jc w:val="both"/>
        <w:rPr>
          <w:bCs/>
          <w:i/>
          <w:iCs/>
          <w:sz w:val="24"/>
          <w:szCs w:val="24"/>
        </w:rPr>
      </w:pPr>
      <w:r>
        <w:rPr>
          <w:b/>
          <w:i/>
          <w:iCs/>
          <w:sz w:val="24"/>
          <w:szCs w:val="24"/>
        </w:rPr>
        <w:t>Aria geometrică</w:t>
      </w:r>
      <w:r>
        <w:rPr>
          <w:bCs/>
          <w:i/>
          <w:iCs/>
          <w:sz w:val="24"/>
          <w:szCs w:val="24"/>
        </w:rPr>
        <w:t xml:space="preserve"> - aria unei secţiuni printr-un ventilator, măsurată în planul definit de suprafaţa clădirii care este în contact cu structura ventilatorului</w:t>
      </w:r>
    </w:p>
    <w:p w14:paraId="433D456A" w14:textId="77777777" w:rsidR="001C08A5" w:rsidRDefault="00000000">
      <w:pPr>
        <w:widowControl w:val="0"/>
        <w:ind w:left="400"/>
        <w:jc w:val="both"/>
        <w:rPr>
          <w:bCs/>
          <w:i/>
          <w:iCs/>
          <w:sz w:val="22"/>
          <w:szCs w:val="22"/>
        </w:rPr>
      </w:pPr>
      <w:r>
        <w:rPr>
          <w:bCs/>
          <w:i/>
          <w:iCs/>
          <w:sz w:val="22"/>
          <w:szCs w:val="22"/>
        </w:rPr>
        <w:t xml:space="preserve">Notă: Aria geometrică este exprimată ca </w:t>
      </w:r>
      <w:r>
        <w:rPr>
          <w:b/>
          <w:i/>
          <w:iCs/>
          <w:sz w:val="22"/>
          <w:szCs w:val="22"/>
        </w:rPr>
        <w:t>Av</w:t>
      </w:r>
      <w:r>
        <w:rPr>
          <w:bCs/>
          <w:i/>
          <w:iCs/>
          <w:sz w:val="22"/>
          <w:szCs w:val="22"/>
        </w:rPr>
        <w:t>. Nu se face vreo reducere pentru ghidaje, fante de ventilare sau alte obstrucţii.</w:t>
      </w:r>
    </w:p>
    <w:p w14:paraId="209CC927" w14:textId="77777777" w:rsidR="001C08A5" w:rsidRDefault="00000000">
      <w:pPr>
        <w:ind w:left="1418" w:hanging="1"/>
        <w:jc w:val="both"/>
        <w:rPr>
          <w:b/>
          <w:i/>
          <w:iCs/>
          <w:sz w:val="24"/>
          <w:szCs w:val="24"/>
        </w:rPr>
      </w:pPr>
      <w:r>
        <w:rPr>
          <w:b/>
          <w:i/>
          <w:iCs/>
          <w:sz w:val="24"/>
          <w:szCs w:val="24"/>
        </w:rPr>
        <w:t xml:space="preserve">Ventilare mecanică </w:t>
      </w:r>
      <w:r>
        <w:rPr>
          <w:bCs/>
          <w:i/>
          <w:iCs/>
          <w:sz w:val="24"/>
          <w:szCs w:val="24"/>
        </w:rPr>
        <w:t>- ventilare care este provocată de aplicarea unei energii externe pentru a deplasa gazele printr-un ventilator.</w:t>
      </w:r>
    </w:p>
    <w:p w14:paraId="39DDA83F" w14:textId="77777777" w:rsidR="001C08A5" w:rsidRDefault="001C08A5">
      <w:pPr>
        <w:widowControl w:val="0"/>
        <w:jc w:val="both"/>
        <w:rPr>
          <w:bCs/>
          <w:i/>
          <w:iCs/>
          <w:sz w:val="24"/>
          <w:szCs w:val="24"/>
        </w:rPr>
      </w:pPr>
    </w:p>
    <w:p w14:paraId="078C52E1" w14:textId="77777777" w:rsidR="001C08A5" w:rsidRDefault="00000000">
      <w:pPr>
        <w:widowControl w:val="0"/>
        <w:numPr>
          <w:ilvl w:val="0"/>
          <w:numId w:val="10"/>
        </w:numPr>
        <w:jc w:val="both"/>
        <w:rPr>
          <w:i/>
          <w:iCs/>
          <w:sz w:val="24"/>
          <w:szCs w:val="24"/>
          <w:lang w:eastAsia="ro-RO"/>
        </w:rPr>
      </w:pPr>
      <w:r>
        <w:rPr>
          <w:b/>
          <w:i/>
          <w:iCs/>
          <w:sz w:val="24"/>
          <w:szCs w:val="24"/>
          <w:lang w:eastAsia="ro-RO"/>
        </w:rPr>
        <w:t>i)Coridor</w:t>
      </w:r>
      <w:r>
        <w:rPr>
          <w:i/>
          <w:iCs/>
          <w:sz w:val="24"/>
          <w:szCs w:val="24"/>
          <w:lang w:eastAsia="ro-RO"/>
        </w:rPr>
        <w:t xml:space="preserve"> (culoar)/cursivă - </w:t>
      </w:r>
      <w:r>
        <w:rPr>
          <w:i/>
          <w:iCs/>
          <w:sz w:val="24"/>
          <w:szCs w:val="24"/>
        </w:rPr>
        <w:t>încăpere de tranzit</w:t>
      </w:r>
      <w:r>
        <w:rPr>
          <w:i/>
          <w:iCs/>
          <w:sz w:val="24"/>
          <w:szCs w:val="24"/>
          <w:lang w:eastAsia="ro-RO"/>
        </w:rPr>
        <w:t>lungă și îngustă (cu lungimea de cel puțin doua ori cât latimea);</w:t>
      </w:r>
    </w:p>
    <w:p w14:paraId="2D543AFC" w14:textId="77777777" w:rsidR="001C08A5" w:rsidRDefault="00000000">
      <w:pPr>
        <w:widowControl w:val="0"/>
        <w:ind w:left="720" w:firstLine="720"/>
        <w:jc w:val="both"/>
        <w:rPr>
          <w:i/>
          <w:iCs/>
          <w:sz w:val="24"/>
          <w:szCs w:val="24"/>
        </w:rPr>
      </w:pPr>
      <w:r>
        <w:rPr>
          <w:b/>
          <w:i/>
          <w:iCs/>
          <w:sz w:val="24"/>
          <w:szCs w:val="24"/>
          <w:lang w:eastAsia="ro-RO"/>
        </w:rPr>
        <w:t>ii) Hol</w:t>
      </w:r>
      <w:r>
        <w:rPr>
          <w:i/>
          <w:iCs/>
          <w:sz w:val="24"/>
          <w:szCs w:val="24"/>
          <w:lang w:eastAsia="ro-RO"/>
        </w:rPr>
        <w:t xml:space="preserve"> (vestibul) - </w:t>
      </w:r>
      <w:r>
        <w:rPr>
          <w:i/>
          <w:iCs/>
          <w:sz w:val="24"/>
          <w:szCs w:val="24"/>
        </w:rPr>
        <w:t>încăpere de tranzit care nu îndeplinește condițiile de coridor.</w:t>
      </w:r>
    </w:p>
    <w:p w14:paraId="1367A6B2" w14:textId="77777777" w:rsidR="001C08A5" w:rsidRDefault="001C08A5">
      <w:pPr>
        <w:jc w:val="both"/>
        <w:rPr>
          <w:b/>
          <w:i/>
          <w:iCs/>
          <w:sz w:val="24"/>
          <w:szCs w:val="24"/>
        </w:rPr>
      </w:pPr>
    </w:p>
    <w:p w14:paraId="0A72C9A4" w14:textId="77777777" w:rsidR="001C08A5" w:rsidRDefault="00000000">
      <w:pPr>
        <w:numPr>
          <w:ilvl w:val="0"/>
          <w:numId w:val="10"/>
        </w:numPr>
        <w:jc w:val="both"/>
        <w:rPr>
          <w:b/>
          <w:i/>
          <w:iCs/>
          <w:sz w:val="24"/>
          <w:szCs w:val="24"/>
        </w:rPr>
      </w:pPr>
      <w:r>
        <w:rPr>
          <w:b/>
          <w:bCs/>
          <w:i/>
          <w:iCs/>
          <w:sz w:val="24"/>
          <w:szCs w:val="24"/>
          <w:lang w:eastAsia="ro-RO"/>
        </w:rPr>
        <w:t>Clasă de reacţie la foc</w:t>
      </w:r>
      <w:r>
        <w:rPr>
          <w:i/>
          <w:iCs/>
          <w:sz w:val="24"/>
          <w:szCs w:val="24"/>
          <w:lang w:eastAsia="ro-RO"/>
        </w:rPr>
        <w:t xml:space="preserve"> - expresie cantitativă, formulată în termeni de performanţă, pentru modul de comportare a unui produs în condiţii de utilizare finală, care prin propria sa descompunere alimentează un foc la care este expus; este exprimată prin nivelul parametrilor specifici, determinaţi în urma unor încercări standardizate. Structurarea în niveluri de performanţă a claselor de reacţie la foc este stabilită prin Regulamentul privind clasificarea şi încadrarea produselor pentru construcţii pe baza performanţelor de comportare la foc. În cuprinsul prezentului normativ prin clasa de reacţie la foc minimă se înţelege un criteriu de performanţă minim pentru clasă </w:t>
      </w:r>
      <w:r>
        <w:rPr>
          <w:b/>
          <w:bCs/>
          <w:i/>
          <w:iCs/>
          <w:sz w:val="24"/>
          <w:szCs w:val="24"/>
          <w:lang w:eastAsia="ro-RO"/>
        </w:rPr>
        <w:t>A÷F</w:t>
      </w:r>
      <w:r>
        <w:rPr>
          <w:i/>
          <w:iCs/>
          <w:sz w:val="24"/>
          <w:szCs w:val="24"/>
          <w:lang w:eastAsia="ro-RO"/>
        </w:rPr>
        <w:t xml:space="preserve">, minim pentru emisiile de fum </w:t>
      </w:r>
      <w:r>
        <w:rPr>
          <w:b/>
          <w:bCs/>
          <w:i/>
          <w:iCs/>
          <w:sz w:val="24"/>
          <w:szCs w:val="24"/>
          <w:lang w:eastAsia="ro-RO"/>
        </w:rPr>
        <w:t>s1</w:t>
      </w:r>
      <w:r>
        <w:rPr>
          <w:i/>
          <w:iCs/>
          <w:sz w:val="24"/>
          <w:szCs w:val="24"/>
          <w:lang w:eastAsia="ro-RO"/>
        </w:rPr>
        <w:t xml:space="preserve">, </w:t>
      </w:r>
      <w:r>
        <w:rPr>
          <w:b/>
          <w:bCs/>
          <w:i/>
          <w:iCs/>
          <w:sz w:val="24"/>
          <w:szCs w:val="24"/>
          <w:lang w:eastAsia="ro-RO"/>
        </w:rPr>
        <w:t>s2</w:t>
      </w:r>
      <w:r>
        <w:rPr>
          <w:i/>
          <w:iCs/>
          <w:sz w:val="24"/>
          <w:szCs w:val="24"/>
          <w:lang w:eastAsia="ro-RO"/>
        </w:rPr>
        <w:t xml:space="preserve"> şi </w:t>
      </w:r>
      <w:r>
        <w:rPr>
          <w:b/>
          <w:bCs/>
          <w:i/>
          <w:iCs/>
          <w:sz w:val="24"/>
          <w:szCs w:val="24"/>
          <w:lang w:eastAsia="ro-RO"/>
        </w:rPr>
        <w:t>s3</w:t>
      </w:r>
      <w:r>
        <w:rPr>
          <w:i/>
          <w:iCs/>
          <w:sz w:val="24"/>
          <w:szCs w:val="24"/>
          <w:lang w:eastAsia="ro-RO"/>
        </w:rPr>
        <w:t xml:space="preserve"> și minim pentru picături </w:t>
      </w:r>
      <w:r>
        <w:rPr>
          <w:b/>
          <w:bCs/>
          <w:i/>
          <w:iCs/>
          <w:sz w:val="24"/>
          <w:szCs w:val="24"/>
          <w:lang w:eastAsia="ro-RO"/>
        </w:rPr>
        <w:t>d0</w:t>
      </w:r>
      <w:r>
        <w:rPr>
          <w:i/>
          <w:iCs/>
          <w:sz w:val="24"/>
          <w:szCs w:val="24"/>
          <w:lang w:eastAsia="ro-RO"/>
        </w:rPr>
        <w:t xml:space="preserve">, </w:t>
      </w:r>
      <w:r>
        <w:rPr>
          <w:b/>
          <w:bCs/>
          <w:i/>
          <w:iCs/>
          <w:sz w:val="24"/>
          <w:szCs w:val="24"/>
          <w:lang w:eastAsia="ro-RO"/>
        </w:rPr>
        <w:t>d1</w:t>
      </w:r>
      <w:r>
        <w:rPr>
          <w:i/>
          <w:iCs/>
          <w:sz w:val="24"/>
          <w:szCs w:val="24"/>
          <w:lang w:eastAsia="ro-RO"/>
        </w:rPr>
        <w:t xml:space="preserve"> și </w:t>
      </w:r>
      <w:r>
        <w:rPr>
          <w:b/>
          <w:bCs/>
          <w:i/>
          <w:iCs/>
          <w:sz w:val="24"/>
          <w:szCs w:val="24"/>
          <w:lang w:eastAsia="ro-RO"/>
        </w:rPr>
        <w:t>d2</w:t>
      </w:r>
      <w:r>
        <w:rPr>
          <w:i/>
          <w:iCs/>
          <w:sz w:val="24"/>
          <w:szCs w:val="24"/>
          <w:lang w:eastAsia="ro-RO"/>
        </w:rPr>
        <w:t xml:space="preserve">. Exemplu: minim </w:t>
      </w:r>
      <w:r>
        <w:rPr>
          <w:b/>
          <w:bCs/>
          <w:i/>
          <w:iCs/>
          <w:sz w:val="24"/>
          <w:szCs w:val="24"/>
          <w:lang w:eastAsia="ro-RO"/>
        </w:rPr>
        <w:t>C-s2d0</w:t>
      </w:r>
      <w:r>
        <w:rPr>
          <w:i/>
          <w:iCs/>
          <w:sz w:val="24"/>
          <w:szCs w:val="24"/>
          <w:lang w:eastAsia="ro-RO"/>
        </w:rPr>
        <w:t xml:space="preserve">, inseamnă că se admite aceasta sau orice clasă de reacţie la foc superioară acesteia, pentru emisiile de fum numai </w:t>
      </w:r>
      <w:r>
        <w:rPr>
          <w:b/>
          <w:bCs/>
          <w:i/>
          <w:iCs/>
          <w:sz w:val="24"/>
          <w:szCs w:val="24"/>
          <w:lang w:eastAsia="ro-RO"/>
        </w:rPr>
        <w:t>s1</w:t>
      </w:r>
      <w:r>
        <w:rPr>
          <w:i/>
          <w:iCs/>
          <w:sz w:val="24"/>
          <w:szCs w:val="24"/>
          <w:lang w:eastAsia="ro-RO"/>
        </w:rPr>
        <w:t xml:space="preserve"> şi </w:t>
      </w:r>
      <w:r>
        <w:rPr>
          <w:b/>
          <w:bCs/>
          <w:i/>
          <w:iCs/>
          <w:sz w:val="24"/>
          <w:szCs w:val="24"/>
          <w:lang w:eastAsia="ro-RO"/>
        </w:rPr>
        <w:t>s2</w:t>
      </w:r>
      <w:r>
        <w:rPr>
          <w:i/>
          <w:iCs/>
          <w:sz w:val="24"/>
          <w:szCs w:val="24"/>
          <w:lang w:eastAsia="ro-RO"/>
        </w:rPr>
        <w:t xml:space="preserve">, iar pentru picături numai </w:t>
      </w:r>
      <w:r>
        <w:rPr>
          <w:b/>
          <w:bCs/>
          <w:i/>
          <w:iCs/>
          <w:sz w:val="24"/>
          <w:szCs w:val="24"/>
          <w:lang w:eastAsia="ro-RO"/>
        </w:rPr>
        <w:t>d0</w:t>
      </w:r>
      <w:r>
        <w:rPr>
          <w:i/>
          <w:iCs/>
          <w:sz w:val="24"/>
          <w:szCs w:val="24"/>
          <w:lang w:eastAsia="ro-RO"/>
        </w:rPr>
        <w:t>;</w:t>
      </w:r>
    </w:p>
    <w:p w14:paraId="70AE5D49" w14:textId="77777777" w:rsidR="001C08A5" w:rsidRDefault="00000000">
      <w:pPr>
        <w:tabs>
          <w:tab w:val="left" w:pos="425"/>
        </w:tabs>
        <w:ind w:left="800"/>
        <w:jc w:val="both"/>
        <w:rPr>
          <w:b/>
          <w:i/>
          <w:iCs/>
          <w:sz w:val="24"/>
          <w:szCs w:val="24"/>
        </w:rPr>
      </w:pPr>
      <w:r>
        <w:rPr>
          <w:i/>
          <w:iCs/>
          <w:sz w:val="24"/>
          <w:szCs w:val="24"/>
        </w:rPr>
        <w:lastRenderedPageBreak/>
        <w:t>Atunci când în normativ se precizeză “minimum” sau „cel puţin”, acestea se referă la fiecare din componenţii indicaţiei (litere şi sufixuri).</w:t>
      </w:r>
    </w:p>
    <w:p w14:paraId="6C3DA903" w14:textId="77777777" w:rsidR="001C08A5" w:rsidRDefault="001C08A5">
      <w:pPr>
        <w:ind w:left="1276" w:firstLine="11"/>
        <w:jc w:val="both"/>
        <w:rPr>
          <w:i/>
          <w:iCs/>
          <w:sz w:val="24"/>
          <w:szCs w:val="24"/>
        </w:rPr>
      </w:pPr>
    </w:p>
    <w:p w14:paraId="1489BCB9" w14:textId="77777777" w:rsidR="001C08A5" w:rsidRDefault="00000000">
      <w:pPr>
        <w:widowControl w:val="0"/>
        <w:numPr>
          <w:ilvl w:val="0"/>
          <w:numId w:val="10"/>
        </w:numPr>
        <w:jc w:val="both"/>
        <w:rPr>
          <w:b/>
          <w:i/>
          <w:iCs/>
          <w:sz w:val="24"/>
          <w:szCs w:val="24"/>
        </w:rPr>
      </w:pPr>
      <w:r>
        <w:rPr>
          <w:b/>
          <w:i/>
          <w:iCs/>
          <w:sz w:val="24"/>
          <w:szCs w:val="24"/>
        </w:rPr>
        <w:t xml:space="preserve">Clase de comportare la foc a produselor pentru construcţii </w:t>
      </w:r>
    </w:p>
    <w:p w14:paraId="0319B697" w14:textId="77777777" w:rsidR="001C08A5" w:rsidRDefault="00000000">
      <w:pPr>
        <w:widowControl w:val="0"/>
        <w:ind w:left="425"/>
        <w:jc w:val="both"/>
        <w:rPr>
          <w:i/>
          <w:iCs/>
          <w:sz w:val="24"/>
          <w:szCs w:val="24"/>
        </w:rPr>
      </w:pPr>
      <w:r>
        <w:rPr>
          <w:b/>
          <w:i/>
          <w:iCs/>
          <w:sz w:val="24"/>
          <w:szCs w:val="24"/>
        </w:rPr>
        <w:t xml:space="preserve">(13.1) </w:t>
      </w:r>
      <w:r>
        <w:rPr>
          <w:i/>
          <w:iCs/>
          <w:sz w:val="24"/>
          <w:szCs w:val="24"/>
        </w:rPr>
        <w:t xml:space="preserve">Clasele de performanţă privind reacţia la foc a produselor pentru construcţii (cu excepţia pardoselilor, </w:t>
      </w:r>
      <w:r>
        <w:rPr>
          <w:bCs/>
          <w:i/>
          <w:iCs/>
          <w:sz w:val="24"/>
          <w:szCs w:val="24"/>
        </w:rPr>
        <w:t>produselor termoizolante pentru tubulaturi liniare şi a cablurilor electrice</w:t>
      </w:r>
      <w:r>
        <w:rPr>
          <w:i/>
          <w:iCs/>
          <w:sz w:val="24"/>
          <w:szCs w:val="24"/>
        </w:rPr>
        <w:t xml:space="preserve">), sunt </w:t>
      </w:r>
      <w:r>
        <w:rPr>
          <w:b/>
          <w:i/>
          <w:iCs/>
          <w:sz w:val="24"/>
          <w:szCs w:val="24"/>
        </w:rPr>
        <w:t>A1, A2. B, C, D, E și F</w:t>
      </w:r>
      <w:r>
        <w:rPr>
          <w:i/>
          <w:iCs/>
          <w:sz w:val="24"/>
          <w:szCs w:val="24"/>
        </w:rPr>
        <w:t>, respectiv:</w:t>
      </w:r>
    </w:p>
    <w:p w14:paraId="0C7E66DF" w14:textId="77777777" w:rsidR="001C08A5" w:rsidRDefault="00000000">
      <w:pPr>
        <w:widowControl w:val="0"/>
        <w:numPr>
          <w:ilvl w:val="3"/>
          <w:numId w:val="10"/>
        </w:numPr>
        <w:jc w:val="both"/>
        <w:rPr>
          <w:i/>
          <w:iCs/>
          <w:sz w:val="24"/>
          <w:szCs w:val="24"/>
        </w:rPr>
      </w:pPr>
      <w:r>
        <w:rPr>
          <w:i/>
          <w:iCs/>
          <w:sz w:val="24"/>
          <w:szCs w:val="24"/>
        </w:rPr>
        <w:t>A1 - produse incombustibile care nu contribuie deloc la dezvoltarea incendiului;</w:t>
      </w:r>
    </w:p>
    <w:p w14:paraId="683D2C56" w14:textId="77777777" w:rsidR="001C08A5" w:rsidRDefault="00000000">
      <w:pPr>
        <w:widowControl w:val="0"/>
        <w:numPr>
          <w:ilvl w:val="3"/>
          <w:numId w:val="10"/>
        </w:numPr>
        <w:jc w:val="both"/>
        <w:rPr>
          <w:i/>
          <w:iCs/>
          <w:sz w:val="24"/>
          <w:szCs w:val="24"/>
        </w:rPr>
      </w:pPr>
      <w:r>
        <w:rPr>
          <w:i/>
          <w:iCs/>
          <w:sz w:val="24"/>
          <w:szCs w:val="24"/>
        </w:rPr>
        <w:t xml:space="preserve">A2 - produse care nu se pot aprinde cu flacără şi a căror contribuţie la dezvoltarea incendiului este extrem de limitată; </w:t>
      </w:r>
    </w:p>
    <w:p w14:paraId="0DDAE056" w14:textId="77777777" w:rsidR="001C08A5" w:rsidRDefault="00000000">
      <w:pPr>
        <w:widowControl w:val="0"/>
        <w:numPr>
          <w:ilvl w:val="3"/>
          <w:numId w:val="10"/>
        </w:numPr>
        <w:jc w:val="both"/>
        <w:rPr>
          <w:i/>
          <w:iCs/>
          <w:sz w:val="24"/>
          <w:szCs w:val="24"/>
        </w:rPr>
      </w:pPr>
      <w:r>
        <w:rPr>
          <w:i/>
          <w:iCs/>
          <w:sz w:val="24"/>
          <w:szCs w:val="24"/>
        </w:rPr>
        <w:t xml:space="preserve">B - produse care se sting în lipsa unei flăcări de întreţinere și al căror aport la dezvoltarea incendiului este foarte mic; </w:t>
      </w:r>
      <w:r>
        <w:rPr>
          <w:i/>
          <w:iCs/>
          <w:sz w:val="24"/>
          <w:szCs w:val="24"/>
        </w:rPr>
        <w:tab/>
      </w:r>
    </w:p>
    <w:p w14:paraId="20DD0C86" w14:textId="77777777" w:rsidR="001C08A5" w:rsidRDefault="00000000">
      <w:pPr>
        <w:widowControl w:val="0"/>
        <w:numPr>
          <w:ilvl w:val="3"/>
          <w:numId w:val="10"/>
        </w:numPr>
        <w:jc w:val="both"/>
        <w:rPr>
          <w:i/>
          <w:iCs/>
          <w:sz w:val="24"/>
          <w:szCs w:val="24"/>
        </w:rPr>
      </w:pPr>
      <w:r>
        <w:rPr>
          <w:i/>
          <w:iCs/>
          <w:sz w:val="24"/>
          <w:szCs w:val="24"/>
        </w:rPr>
        <w:t xml:space="preserve">C - produse combustibile care contribuie la dezvoltarea incendiului în anumite limite; </w:t>
      </w:r>
    </w:p>
    <w:p w14:paraId="5B363CE1" w14:textId="77777777" w:rsidR="001C08A5" w:rsidRDefault="00000000">
      <w:pPr>
        <w:widowControl w:val="0"/>
        <w:numPr>
          <w:ilvl w:val="3"/>
          <w:numId w:val="10"/>
        </w:numPr>
        <w:jc w:val="both"/>
        <w:rPr>
          <w:i/>
          <w:iCs/>
          <w:sz w:val="24"/>
          <w:szCs w:val="24"/>
        </w:rPr>
      </w:pPr>
      <w:r>
        <w:rPr>
          <w:i/>
          <w:iCs/>
          <w:sz w:val="24"/>
          <w:szCs w:val="24"/>
        </w:rPr>
        <w:t xml:space="preserve">D - produse combustibile care contribuie la dezvoltarea şi propagarea incendiului; </w:t>
      </w:r>
    </w:p>
    <w:p w14:paraId="4ACA7986" w14:textId="77777777" w:rsidR="001C08A5" w:rsidRDefault="00000000">
      <w:pPr>
        <w:widowControl w:val="0"/>
        <w:numPr>
          <w:ilvl w:val="3"/>
          <w:numId w:val="10"/>
        </w:numPr>
        <w:jc w:val="both"/>
        <w:rPr>
          <w:i/>
          <w:iCs/>
          <w:sz w:val="24"/>
          <w:szCs w:val="24"/>
        </w:rPr>
      </w:pPr>
      <w:r>
        <w:rPr>
          <w:i/>
          <w:iCs/>
          <w:sz w:val="24"/>
          <w:szCs w:val="24"/>
        </w:rPr>
        <w:t xml:space="preserve">E - produse combustibile a căror contribuţie la propagarea rapidă a incendiului este importantă; </w:t>
      </w:r>
    </w:p>
    <w:p w14:paraId="54A4F833" w14:textId="77777777" w:rsidR="001C08A5" w:rsidRDefault="00000000">
      <w:pPr>
        <w:widowControl w:val="0"/>
        <w:numPr>
          <w:ilvl w:val="3"/>
          <w:numId w:val="10"/>
        </w:numPr>
        <w:jc w:val="both"/>
        <w:rPr>
          <w:i/>
          <w:iCs/>
          <w:sz w:val="24"/>
          <w:szCs w:val="24"/>
        </w:rPr>
      </w:pPr>
      <w:r>
        <w:rPr>
          <w:i/>
          <w:iCs/>
          <w:sz w:val="24"/>
          <w:szCs w:val="24"/>
        </w:rPr>
        <w:t>F - produse combustibile a căror contribuţie la propagarea rapidă a incendiului este foarte importantă.</w:t>
      </w:r>
    </w:p>
    <w:p w14:paraId="57D2934B" w14:textId="77777777" w:rsidR="001C08A5" w:rsidRDefault="001C08A5">
      <w:pPr>
        <w:widowControl w:val="0"/>
        <w:ind w:left="1276"/>
        <w:jc w:val="both"/>
        <w:rPr>
          <w:i/>
          <w:iCs/>
          <w:sz w:val="24"/>
          <w:szCs w:val="24"/>
        </w:rPr>
      </w:pPr>
    </w:p>
    <w:p w14:paraId="44698B1F" w14:textId="77777777" w:rsidR="001C08A5" w:rsidRDefault="00000000">
      <w:pPr>
        <w:widowControl w:val="0"/>
        <w:ind w:left="425"/>
        <w:jc w:val="both"/>
        <w:rPr>
          <w:b/>
          <w:i/>
          <w:iCs/>
          <w:sz w:val="24"/>
          <w:szCs w:val="24"/>
        </w:rPr>
      </w:pPr>
      <w:r>
        <w:rPr>
          <w:i/>
          <w:iCs/>
          <w:sz w:val="24"/>
          <w:szCs w:val="24"/>
        </w:rPr>
        <w:t xml:space="preserve">La fiecare produs se specifică </w:t>
      </w:r>
      <w:r>
        <w:rPr>
          <w:bCs/>
          <w:i/>
          <w:iCs/>
          <w:sz w:val="24"/>
          <w:szCs w:val="24"/>
        </w:rPr>
        <w:t>emisia de fum (</w:t>
      </w:r>
      <w:r>
        <w:rPr>
          <w:b/>
          <w:i/>
          <w:iCs/>
          <w:sz w:val="24"/>
          <w:szCs w:val="24"/>
        </w:rPr>
        <w:t>s1</w:t>
      </w:r>
      <w:r>
        <w:rPr>
          <w:bCs/>
          <w:i/>
          <w:iCs/>
          <w:sz w:val="24"/>
          <w:szCs w:val="24"/>
        </w:rPr>
        <w:t xml:space="preserve">, </w:t>
      </w:r>
      <w:r>
        <w:rPr>
          <w:b/>
          <w:i/>
          <w:iCs/>
          <w:sz w:val="24"/>
          <w:szCs w:val="24"/>
        </w:rPr>
        <w:t>s2</w:t>
      </w:r>
      <w:r>
        <w:rPr>
          <w:bCs/>
          <w:i/>
          <w:iCs/>
          <w:sz w:val="24"/>
          <w:szCs w:val="24"/>
        </w:rPr>
        <w:t xml:space="preserve"> şi </w:t>
      </w:r>
      <w:r>
        <w:rPr>
          <w:b/>
          <w:i/>
          <w:iCs/>
          <w:sz w:val="24"/>
          <w:szCs w:val="24"/>
        </w:rPr>
        <w:t>s3</w:t>
      </w:r>
      <w:r>
        <w:rPr>
          <w:bCs/>
          <w:i/>
          <w:iCs/>
          <w:sz w:val="24"/>
          <w:szCs w:val="24"/>
        </w:rPr>
        <w:t>) și a picăturilor/particulelor arzânde (</w:t>
      </w:r>
      <w:r>
        <w:rPr>
          <w:b/>
          <w:i/>
          <w:iCs/>
          <w:sz w:val="24"/>
          <w:szCs w:val="24"/>
        </w:rPr>
        <w:t>d0</w:t>
      </w:r>
      <w:r>
        <w:rPr>
          <w:bCs/>
          <w:i/>
          <w:iCs/>
          <w:sz w:val="24"/>
          <w:szCs w:val="24"/>
        </w:rPr>
        <w:t xml:space="preserve">, </w:t>
      </w:r>
      <w:r>
        <w:rPr>
          <w:b/>
          <w:i/>
          <w:iCs/>
          <w:sz w:val="24"/>
          <w:szCs w:val="24"/>
        </w:rPr>
        <w:t>d1</w:t>
      </w:r>
      <w:r>
        <w:rPr>
          <w:bCs/>
          <w:i/>
          <w:iCs/>
          <w:sz w:val="24"/>
          <w:szCs w:val="24"/>
        </w:rPr>
        <w:t xml:space="preserve"> și </w:t>
      </w:r>
      <w:r>
        <w:rPr>
          <w:b/>
          <w:i/>
          <w:iCs/>
          <w:sz w:val="24"/>
          <w:szCs w:val="24"/>
        </w:rPr>
        <w:t>d2</w:t>
      </w:r>
      <w:r>
        <w:rPr>
          <w:i/>
          <w:iCs/>
          <w:sz w:val="24"/>
          <w:szCs w:val="24"/>
        </w:rPr>
        <w:t xml:space="preserve">), conform </w:t>
      </w:r>
      <w:r>
        <w:rPr>
          <w:b/>
          <w:i/>
          <w:iCs/>
          <w:sz w:val="24"/>
          <w:szCs w:val="24"/>
        </w:rPr>
        <w:t>“</w:t>
      </w:r>
      <w:r>
        <w:rPr>
          <w:i/>
          <w:iCs/>
          <w:sz w:val="24"/>
          <w:szCs w:val="24"/>
          <w:lang w:eastAsia="th-TH" w:bidi="th-TH"/>
        </w:rPr>
        <w:t>Regulamentului privind clasificarea şi încadrarea produselor pentru construc</w:t>
      </w:r>
      <w:r>
        <w:rPr>
          <w:i/>
          <w:iCs/>
          <w:sz w:val="24"/>
          <w:szCs w:val="24"/>
        </w:rPr>
        <w:t>ţ</w:t>
      </w:r>
      <w:r>
        <w:rPr>
          <w:i/>
          <w:iCs/>
          <w:sz w:val="24"/>
          <w:szCs w:val="24"/>
          <w:lang w:eastAsia="th-TH" w:bidi="th-TH"/>
        </w:rPr>
        <w:t>ii pe baza performanţelor de comportare la foc”</w:t>
      </w:r>
    </w:p>
    <w:p w14:paraId="200B0D2A" w14:textId="77777777" w:rsidR="001C08A5" w:rsidRDefault="001C08A5">
      <w:pPr>
        <w:widowControl w:val="0"/>
        <w:ind w:left="1276"/>
        <w:jc w:val="both"/>
        <w:rPr>
          <w:b/>
          <w:i/>
          <w:iCs/>
          <w:sz w:val="24"/>
          <w:szCs w:val="24"/>
        </w:rPr>
      </w:pPr>
    </w:p>
    <w:p w14:paraId="6304C31F" w14:textId="77777777" w:rsidR="001C08A5" w:rsidRDefault="00000000">
      <w:pPr>
        <w:widowControl w:val="0"/>
        <w:ind w:left="425"/>
        <w:jc w:val="both"/>
        <w:rPr>
          <w:b/>
          <w:i/>
          <w:iCs/>
          <w:sz w:val="24"/>
          <w:szCs w:val="24"/>
        </w:rPr>
      </w:pPr>
      <w:r>
        <w:rPr>
          <w:b/>
          <w:i/>
          <w:iCs/>
          <w:sz w:val="24"/>
          <w:szCs w:val="24"/>
        </w:rPr>
        <w:t xml:space="preserve">(13.2) </w:t>
      </w:r>
      <w:r>
        <w:rPr>
          <w:i/>
          <w:iCs/>
          <w:sz w:val="24"/>
          <w:szCs w:val="24"/>
        </w:rPr>
        <w:t xml:space="preserve">Clasele de performanţă privind reacţia la foc a pardoselilor pentru construcţii sunt: </w:t>
      </w:r>
      <w:r>
        <w:rPr>
          <w:b/>
          <w:i/>
          <w:iCs/>
          <w:sz w:val="24"/>
          <w:szCs w:val="24"/>
        </w:rPr>
        <w:t>A1</w:t>
      </w:r>
      <w:r>
        <w:rPr>
          <w:b/>
          <w:i/>
          <w:iCs/>
          <w:sz w:val="24"/>
          <w:szCs w:val="24"/>
          <w:vertAlign w:val="subscript"/>
        </w:rPr>
        <w:t>FL</w:t>
      </w:r>
      <w:r>
        <w:rPr>
          <w:b/>
          <w:i/>
          <w:iCs/>
          <w:sz w:val="24"/>
          <w:szCs w:val="24"/>
        </w:rPr>
        <w:t>, A2</w:t>
      </w:r>
      <w:r>
        <w:rPr>
          <w:b/>
          <w:i/>
          <w:iCs/>
          <w:sz w:val="24"/>
          <w:szCs w:val="24"/>
          <w:vertAlign w:val="subscript"/>
        </w:rPr>
        <w:t>FL</w:t>
      </w:r>
      <w:r>
        <w:rPr>
          <w:b/>
          <w:i/>
          <w:iCs/>
          <w:sz w:val="24"/>
          <w:szCs w:val="24"/>
        </w:rPr>
        <w:t>, B</w:t>
      </w:r>
      <w:r>
        <w:rPr>
          <w:b/>
          <w:i/>
          <w:iCs/>
          <w:sz w:val="24"/>
          <w:szCs w:val="24"/>
          <w:vertAlign w:val="subscript"/>
        </w:rPr>
        <w:t>FL</w:t>
      </w:r>
      <w:r>
        <w:rPr>
          <w:b/>
          <w:i/>
          <w:iCs/>
          <w:sz w:val="24"/>
          <w:szCs w:val="24"/>
        </w:rPr>
        <w:t>, C</w:t>
      </w:r>
      <w:r>
        <w:rPr>
          <w:b/>
          <w:i/>
          <w:iCs/>
          <w:sz w:val="24"/>
          <w:szCs w:val="24"/>
          <w:vertAlign w:val="subscript"/>
        </w:rPr>
        <w:t>FL</w:t>
      </w:r>
      <w:r>
        <w:rPr>
          <w:b/>
          <w:i/>
          <w:iCs/>
          <w:sz w:val="24"/>
          <w:szCs w:val="24"/>
        </w:rPr>
        <w:t>, D</w:t>
      </w:r>
      <w:r>
        <w:rPr>
          <w:b/>
          <w:i/>
          <w:iCs/>
          <w:sz w:val="24"/>
          <w:szCs w:val="24"/>
          <w:vertAlign w:val="subscript"/>
        </w:rPr>
        <w:t>FL</w:t>
      </w:r>
      <w:r>
        <w:rPr>
          <w:b/>
          <w:i/>
          <w:iCs/>
          <w:sz w:val="24"/>
          <w:szCs w:val="24"/>
        </w:rPr>
        <w:t>, E</w:t>
      </w:r>
      <w:r>
        <w:rPr>
          <w:b/>
          <w:i/>
          <w:iCs/>
          <w:sz w:val="24"/>
          <w:szCs w:val="24"/>
          <w:vertAlign w:val="subscript"/>
        </w:rPr>
        <w:t xml:space="preserve">FL </w:t>
      </w:r>
      <w:r>
        <w:rPr>
          <w:bCs/>
          <w:i/>
          <w:iCs/>
          <w:sz w:val="24"/>
          <w:szCs w:val="24"/>
        </w:rPr>
        <w:t>şi</w:t>
      </w:r>
      <w:r>
        <w:rPr>
          <w:b/>
          <w:i/>
          <w:iCs/>
          <w:sz w:val="24"/>
          <w:szCs w:val="24"/>
        </w:rPr>
        <w:t xml:space="preserve"> F</w:t>
      </w:r>
      <w:r>
        <w:rPr>
          <w:b/>
          <w:i/>
          <w:iCs/>
          <w:sz w:val="24"/>
          <w:szCs w:val="24"/>
          <w:vertAlign w:val="subscript"/>
        </w:rPr>
        <w:t>FL</w:t>
      </w:r>
      <w:r>
        <w:rPr>
          <w:bCs/>
          <w:i/>
          <w:iCs/>
          <w:sz w:val="24"/>
          <w:szCs w:val="24"/>
        </w:rPr>
        <w:t xml:space="preserve">, cu specificarea emisiei de fum </w:t>
      </w:r>
      <w:r>
        <w:rPr>
          <w:i/>
          <w:iCs/>
          <w:sz w:val="24"/>
          <w:szCs w:val="24"/>
        </w:rPr>
        <w:t>(</w:t>
      </w:r>
      <w:r>
        <w:rPr>
          <w:b/>
          <w:i/>
          <w:iCs/>
          <w:sz w:val="24"/>
          <w:szCs w:val="24"/>
        </w:rPr>
        <w:t xml:space="preserve">s1 </w:t>
      </w:r>
      <w:r>
        <w:rPr>
          <w:bCs/>
          <w:i/>
          <w:iCs/>
          <w:sz w:val="24"/>
          <w:szCs w:val="24"/>
        </w:rPr>
        <w:t>sau</w:t>
      </w:r>
      <w:r>
        <w:rPr>
          <w:b/>
          <w:i/>
          <w:iCs/>
          <w:sz w:val="24"/>
          <w:szCs w:val="24"/>
        </w:rPr>
        <w:t xml:space="preserve"> s2</w:t>
      </w:r>
      <w:r>
        <w:rPr>
          <w:i/>
          <w:iCs/>
          <w:sz w:val="24"/>
          <w:szCs w:val="24"/>
        </w:rPr>
        <w:t>).</w:t>
      </w:r>
    </w:p>
    <w:p w14:paraId="48BE6550" w14:textId="77777777" w:rsidR="001C08A5" w:rsidRDefault="001C08A5">
      <w:pPr>
        <w:widowControl w:val="0"/>
        <w:ind w:left="1276"/>
        <w:jc w:val="both"/>
        <w:rPr>
          <w:b/>
          <w:i/>
          <w:iCs/>
          <w:sz w:val="24"/>
          <w:szCs w:val="24"/>
        </w:rPr>
      </w:pPr>
    </w:p>
    <w:p w14:paraId="4B417ADD" w14:textId="77777777" w:rsidR="001C08A5" w:rsidRDefault="00000000">
      <w:pPr>
        <w:widowControl w:val="0"/>
        <w:ind w:left="425"/>
        <w:jc w:val="both"/>
        <w:rPr>
          <w:b/>
          <w:i/>
          <w:iCs/>
          <w:sz w:val="24"/>
          <w:szCs w:val="24"/>
        </w:rPr>
      </w:pPr>
      <w:r>
        <w:rPr>
          <w:b/>
          <w:i/>
          <w:iCs/>
          <w:sz w:val="24"/>
          <w:szCs w:val="24"/>
        </w:rPr>
        <w:t xml:space="preserve">(13.3) </w:t>
      </w:r>
      <w:r>
        <w:rPr>
          <w:i/>
          <w:iCs/>
          <w:sz w:val="24"/>
          <w:szCs w:val="24"/>
        </w:rPr>
        <w:t xml:space="preserve">Clasele de performanţă privind reacţia la foc a produselor termoizolante pentru tubulaturi lineare, sunt: </w:t>
      </w:r>
      <w:r>
        <w:rPr>
          <w:b/>
          <w:i/>
          <w:iCs/>
          <w:sz w:val="24"/>
          <w:szCs w:val="24"/>
        </w:rPr>
        <w:t>A1</w:t>
      </w:r>
      <w:r>
        <w:rPr>
          <w:b/>
          <w:i/>
          <w:iCs/>
          <w:sz w:val="24"/>
          <w:szCs w:val="24"/>
          <w:vertAlign w:val="subscript"/>
        </w:rPr>
        <w:t>L</w:t>
      </w:r>
      <w:r>
        <w:rPr>
          <w:b/>
          <w:i/>
          <w:iCs/>
          <w:sz w:val="24"/>
          <w:szCs w:val="24"/>
        </w:rPr>
        <w:t>, A2</w:t>
      </w:r>
      <w:r>
        <w:rPr>
          <w:b/>
          <w:i/>
          <w:iCs/>
          <w:sz w:val="24"/>
          <w:szCs w:val="24"/>
          <w:vertAlign w:val="subscript"/>
        </w:rPr>
        <w:t>L</w:t>
      </w:r>
      <w:r>
        <w:rPr>
          <w:b/>
          <w:i/>
          <w:iCs/>
          <w:sz w:val="24"/>
          <w:szCs w:val="24"/>
        </w:rPr>
        <w:t>, B</w:t>
      </w:r>
      <w:r>
        <w:rPr>
          <w:b/>
          <w:i/>
          <w:iCs/>
          <w:sz w:val="24"/>
          <w:szCs w:val="24"/>
          <w:vertAlign w:val="subscript"/>
        </w:rPr>
        <w:t>L</w:t>
      </w:r>
      <w:r>
        <w:rPr>
          <w:b/>
          <w:i/>
          <w:iCs/>
          <w:sz w:val="24"/>
          <w:szCs w:val="24"/>
        </w:rPr>
        <w:t>, C</w:t>
      </w:r>
      <w:r>
        <w:rPr>
          <w:b/>
          <w:i/>
          <w:iCs/>
          <w:sz w:val="24"/>
          <w:szCs w:val="24"/>
          <w:vertAlign w:val="subscript"/>
        </w:rPr>
        <w:t>L</w:t>
      </w:r>
      <w:r>
        <w:rPr>
          <w:b/>
          <w:i/>
          <w:iCs/>
          <w:sz w:val="24"/>
          <w:szCs w:val="24"/>
        </w:rPr>
        <w:t>, D</w:t>
      </w:r>
      <w:r>
        <w:rPr>
          <w:b/>
          <w:i/>
          <w:iCs/>
          <w:sz w:val="24"/>
          <w:szCs w:val="24"/>
          <w:vertAlign w:val="subscript"/>
        </w:rPr>
        <w:t>L</w:t>
      </w:r>
      <w:r>
        <w:rPr>
          <w:b/>
          <w:i/>
          <w:iCs/>
          <w:sz w:val="24"/>
          <w:szCs w:val="24"/>
        </w:rPr>
        <w:t>, E</w:t>
      </w:r>
      <w:r>
        <w:rPr>
          <w:b/>
          <w:i/>
          <w:iCs/>
          <w:sz w:val="24"/>
          <w:szCs w:val="24"/>
          <w:vertAlign w:val="subscript"/>
        </w:rPr>
        <w:t xml:space="preserve">L și </w:t>
      </w:r>
      <w:r>
        <w:rPr>
          <w:b/>
          <w:i/>
          <w:iCs/>
          <w:sz w:val="24"/>
          <w:szCs w:val="24"/>
        </w:rPr>
        <w:t>F</w:t>
      </w:r>
      <w:r>
        <w:rPr>
          <w:b/>
          <w:i/>
          <w:iCs/>
          <w:sz w:val="24"/>
          <w:szCs w:val="24"/>
          <w:vertAlign w:val="subscript"/>
        </w:rPr>
        <w:t xml:space="preserve">L </w:t>
      </w:r>
      <w:r>
        <w:rPr>
          <w:i/>
          <w:iCs/>
          <w:sz w:val="24"/>
          <w:szCs w:val="24"/>
        </w:rPr>
        <w:t xml:space="preserve">cu specificarea </w:t>
      </w:r>
      <w:r>
        <w:rPr>
          <w:bCs/>
          <w:i/>
          <w:iCs/>
          <w:sz w:val="24"/>
          <w:szCs w:val="24"/>
        </w:rPr>
        <w:t>emisiei de fum (</w:t>
      </w:r>
      <w:r>
        <w:rPr>
          <w:b/>
          <w:i/>
          <w:iCs/>
          <w:sz w:val="24"/>
          <w:szCs w:val="24"/>
        </w:rPr>
        <w:t>s1</w:t>
      </w:r>
      <w:r>
        <w:rPr>
          <w:bCs/>
          <w:i/>
          <w:iCs/>
          <w:sz w:val="24"/>
          <w:szCs w:val="24"/>
        </w:rPr>
        <w:t xml:space="preserve">, </w:t>
      </w:r>
      <w:r>
        <w:rPr>
          <w:b/>
          <w:i/>
          <w:iCs/>
          <w:sz w:val="24"/>
          <w:szCs w:val="24"/>
        </w:rPr>
        <w:t>s2</w:t>
      </w:r>
      <w:r>
        <w:rPr>
          <w:bCs/>
          <w:i/>
          <w:iCs/>
          <w:sz w:val="24"/>
          <w:szCs w:val="24"/>
        </w:rPr>
        <w:t xml:space="preserve"> și </w:t>
      </w:r>
      <w:r>
        <w:rPr>
          <w:b/>
          <w:i/>
          <w:iCs/>
          <w:sz w:val="24"/>
          <w:szCs w:val="24"/>
        </w:rPr>
        <w:t>s3</w:t>
      </w:r>
      <w:r>
        <w:rPr>
          <w:bCs/>
          <w:i/>
          <w:iCs/>
          <w:sz w:val="24"/>
          <w:szCs w:val="24"/>
        </w:rPr>
        <w:t>) şi a picăturilor/particulelor arzânde (</w:t>
      </w:r>
      <w:r>
        <w:rPr>
          <w:b/>
          <w:i/>
          <w:iCs/>
          <w:sz w:val="24"/>
          <w:szCs w:val="24"/>
        </w:rPr>
        <w:t>d0</w:t>
      </w:r>
      <w:r>
        <w:rPr>
          <w:bCs/>
          <w:i/>
          <w:iCs/>
          <w:sz w:val="24"/>
          <w:szCs w:val="24"/>
        </w:rPr>
        <w:t xml:space="preserve">, </w:t>
      </w:r>
      <w:r>
        <w:rPr>
          <w:b/>
          <w:i/>
          <w:iCs/>
          <w:sz w:val="24"/>
          <w:szCs w:val="24"/>
        </w:rPr>
        <w:t>d1</w:t>
      </w:r>
      <w:r>
        <w:rPr>
          <w:bCs/>
          <w:i/>
          <w:iCs/>
          <w:sz w:val="24"/>
          <w:szCs w:val="24"/>
        </w:rPr>
        <w:t xml:space="preserve"> și </w:t>
      </w:r>
      <w:r>
        <w:rPr>
          <w:b/>
          <w:i/>
          <w:iCs/>
          <w:sz w:val="24"/>
          <w:szCs w:val="24"/>
        </w:rPr>
        <w:t>d2</w:t>
      </w:r>
      <w:r>
        <w:rPr>
          <w:i/>
          <w:iCs/>
          <w:sz w:val="24"/>
          <w:szCs w:val="24"/>
        </w:rPr>
        <w:t>).</w:t>
      </w:r>
    </w:p>
    <w:p w14:paraId="2A135118" w14:textId="77777777" w:rsidR="001C08A5" w:rsidRDefault="001C08A5">
      <w:pPr>
        <w:widowControl w:val="0"/>
        <w:jc w:val="both"/>
        <w:rPr>
          <w:b/>
          <w:i/>
          <w:iCs/>
          <w:sz w:val="24"/>
          <w:szCs w:val="24"/>
        </w:rPr>
      </w:pPr>
    </w:p>
    <w:p w14:paraId="421AD345" w14:textId="77777777" w:rsidR="001C08A5" w:rsidRDefault="00000000">
      <w:pPr>
        <w:widowControl w:val="0"/>
        <w:ind w:left="425"/>
        <w:jc w:val="both"/>
        <w:rPr>
          <w:bCs/>
          <w:i/>
          <w:iCs/>
          <w:sz w:val="24"/>
          <w:szCs w:val="24"/>
        </w:rPr>
      </w:pPr>
      <w:r>
        <w:rPr>
          <w:b/>
          <w:i/>
          <w:iCs/>
          <w:sz w:val="24"/>
          <w:szCs w:val="24"/>
        </w:rPr>
        <w:t>(13.4)</w:t>
      </w:r>
      <w:r>
        <w:rPr>
          <w:bCs/>
          <w:i/>
          <w:iCs/>
          <w:sz w:val="24"/>
          <w:szCs w:val="24"/>
        </w:rPr>
        <w:t xml:space="preserve"> Clasele de reacţie la foc ale cablurilor electrice, sunt: </w:t>
      </w:r>
      <w:r>
        <w:rPr>
          <w:b/>
          <w:i/>
          <w:iCs/>
          <w:sz w:val="24"/>
          <w:szCs w:val="24"/>
        </w:rPr>
        <w:t>A</w:t>
      </w:r>
      <w:r>
        <w:rPr>
          <w:b/>
          <w:i/>
          <w:iCs/>
          <w:sz w:val="24"/>
          <w:szCs w:val="24"/>
          <w:vertAlign w:val="subscript"/>
        </w:rPr>
        <w:t>ca</w:t>
      </w:r>
      <w:r>
        <w:rPr>
          <w:i/>
          <w:iCs/>
          <w:sz w:val="24"/>
          <w:szCs w:val="24"/>
        </w:rPr>
        <w:t>,</w:t>
      </w:r>
      <w:r>
        <w:rPr>
          <w:b/>
          <w:i/>
          <w:iCs/>
          <w:sz w:val="24"/>
          <w:szCs w:val="24"/>
        </w:rPr>
        <w:t xml:space="preserve"> B1</w:t>
      </w:r>
      <w:r>
        <w:rPr>
          <w:b/>
          <w:i/>
          <w:iCs/>
          <w:sz w:val="24"/>
          <w:szCs w:val="24"/>
          <w:vertAlign w:val="subscript"/>
        </w:rPr>
        <w:t>ca</w:t>
      </w:r>
      <w:r>
        <w:rPr>
          <w:i/>
          <w:iCs/>
          <w:sz w:val="24"/>
          <w:szCs w:val="24"/>
        </w:rPr>
        <w:t>,</w:t>
      </w:r>
      <w:r>
        <w:rPr>
          <w:b/>
          <w:i/>
          <w:iCs/>
          <w:sz w:val="24"/>
          <w:szCs w:val="24"/>
        </w:rPr>
        <w:t xml:space="preserve"> B2</w:t>
      </w:r>
      <w:r>
        <w:rPr>
          <w:b/>
          <w:i/>
          <w:iCs/>
          <w:sz w:val="24"/>
          <w:szCs w:val="24"/>
          <w:vertAlign w:val="subscript"/>
        </w:rPr>
        <w:t>ca</w:t>
      </w:r>
      <w:r>
        <w:rPr>
          <w:i/>
          <w:iCs/>
          <w:sz w:val="24"/>
          <w:szCs w:val="24"/>
        </w:rPr>
        <w:t>,</w:t>
      </w:r>
      <w:r>
        <w:rPr>
          <w:b/>
          <w:i/>
          <w:iCs/>
          <w:sz w:val="24"/>
          <w:szCs w:val="24"/>
        </w:rPr>
        <w:t xml:space="preserve"> C</w:t>
      </w:r>
      <w:r>
        <w:rPr>
          <w:b/>
          <w:i/>
          <w:iCs/>
          <w:sz w:val="24"/>
          <w:szCs w:val="24"/>
          <w:vertAlign w:val="subscript"/>
        </w:rPr>
        <w:t>ca</w:t>
      </w:r>
      <w:r>
        <w:rPr>
          <w:i/>
          <w:iCs/>
          <w:sz w:val="24"/>
          <w:szCs w:val="24"/>
        </w:rPr>
        <w:t>,</w:t>
      </w:r>
      <w:r>
        <w:rPr>
          <w:b/>
          <w:i/>
          <w:iCs/>
          <w:sz w:val="24"/>
          <w:szCs w:val="24"/>
        </w:rPr>
        <w:t xml:space="preserve"> D</w:t>
      </w:r>
      <w:r>
        <w:rPr>
          <w:b/>
          <w:i/>
          <w:iCs/>
          <w:sz w:val="24"/>
          <w:szCs w:val="24"/>
          <w:vertAlign w:val="subscript"/>
        </w:rPr>
        <w:t>ca</w:t>
      </w:r>
      <w:r>
        <w:rPr>
          <w:i/>
          <w:iCs/>
          <w:sz w:val="24"/>
          <w:szCs w:val="24"/>
        </w:rPr>
        <w:t>,</w:t>
      </w:r>
      <w:r>
        <w:rPr>
          <w:b/>
          <w:i/>
          <w:iCs/>
          <w:sz w:val="24"/>
          <w:szCs w:val="24"/>
        </w:rPr>
        <w:t xml:space="preserve"> E</w:t>
      </w:r>
      <w:r>
        <w:rPr>
          <w:b/>
          <w:i/>
          <w:iCs/>
          <w:sz w:val="24"/>
          <w:szCs w:val="24"/>
          <w:vertAlign w:val="subscript"/>
        </w:rPr>
        <w:t xml:space="preserve">ca  </w:t>
      </w:r>
      <w:r>
        <w:rPr>
          <w:i/>
          <w:iCs/>
          <w:sz w:val="24"/>
          <w:szCs w:val="24"/>
        </w:rPr>
        <w:t>şi</w:t>
      </w:r>
      <w:r>
        <w:rPr>
          <w:b/>
          <w:i/>
          <w:iCs/>
          <w:sz w:val="24"/>
          <w:szCs w:val="24"/>
        </w:rPr>
        <w:t xml:space="preserve"> F</w:t>
      </w:r>
      <w:r>
        <w:rPr>
          <w:b/>
          <w:i/>
          <w:iCs/>
          <w:sz w:val="24"/>
          <w:szCs w:val="24"/>
          <w:vertAlign w:val="subscript"/>
        </w:rPr>
        <w:t xml:space="preserve">ca,  </w:t>
      </w:r>
      <w:r>
        <w:rPr>
          <w:bCs/>
          <w:i/>
          <w:iCs/>
          <w:sz w:val="24"/>
          <w:szCs w:val="24"/>
        </w:rPr>
        <w:t>cu specificarea emisiei de fum (</w:t>
      </w:r>
      <w:r>
        <w:rPr>
          <w:b/>
          <w:bCs/>
          <w:i/>
          <w:iCs/>
          <w:sz w:val="24"/>
          <w:szCs w:val="24"/>
        </w:rPr>
        <w:t>s1, s1a, s1b, s2</w:t>
      </w:r>
      <w:r>
        <w:rPr>
          <w:bCs/>
          <w:i/>
          <w:iCs/>
          <w:sz w:val="24"/>
          <w:szCs w:val="24"/>
        </w:rPr>
        <w:t xml:space="preserve"> sau </w:t>
      </w:r>
      <w:r>
        <w:rPr>
          <w:b/>
          <w:bCs/>
          <w:i/>
          <w:iCs/>
          <w:sz w:val="24"/>
          <w:szCs w:val="24"/>
        </w:rPr>
        <w:t>s3</w:t>
      </w:r>
      <w:r>
        <w:rPr>
          <w:bCs/>
          <w:i/>
          <w:iCs/>
          <w:sz w:val="24"/>
          <w:szCs w:val="24"/>
        </w:rPr>
        <w:t>) și a picăturilor/particulelor arz</w:t>
      </w:r>
      <w:r>
        <w:rPr>
          <w:i/>
          <w:iCs/>
          <w:sz w:val="24"/>
          <w:szCs w:val="24"/>
        </w:rPr>
        <w:t>ânde</w:t>
      </w:r>
      <w:r>
        <w:rPr>
          <w:bCs/>
          <w:i/>
          <w:iCs/>
          <w:sz w:val="24"/>
          <w:szCs w:val="24"/>
        </w:rPr>
        <w:t xml:space="preserve"> (</w:t>
      </w:r>
      <w:r>
        <w:rPr>
          <w:b/>
          <w:bCs/>
          <w:i/>
          <w:iCs/>
          <w:sz w:val="24"/>
          <w:szCs w:val="24"/>
        </w:rPr>
        <w:t xml:space="preserve">d0, d1 </w:t>
      </w:r>
      <w:r>
        <w:rPr>
          <w:i/>
          <w:iCs/>
          <w:sz w:val="24"/>
          <w:szCs w:val="24"/>
        </w:rPr>
        <w:t xml:space="preserve">sau </w:t>
      </w:r>
      <w:r>
        <w:rPr>
          <w:b/>
          <w:bCs/>
          <w:i/>
          <w:iCs/>
          <w:sz w:val="24"/>
          <w:szCs w:val="24"/>
        </w:rPr>
        <w:t xml:space="preserve">d2) și </w:t>
      </w:r>
      <w:r>
        <w:rPr>
          <w:bCs/>
          <w:i/>
          <w:iCs/>
          <w:sz w:val="24"/>
          <w:szCs w:val="24"/>
        </w:rPr>
        <w:t>a conductivităţii</w:t>
      </w:r>
      <w:r>
        <w:rPr>
          <w:b/>
          <w:bCs/>
          <w:i/>
          <w:iCs/>
          <w:sz w:val="24"/>
          <w:szCs w:val="24"/>
        </w:rPr>
        <w:t xml:space="preserve"> (a1, a2 </w:t>
      </w:r>
      <w:r>
        <w:rPr>
          <w:i/>
          <w:iCs/>
          <w:sz w:val="24"/>
          <w:szCs w:val="24"/>
        </w:rPr>
        <w:t xml:space="preserve">sau </w:t>
      </w:r>
      <w:r>
        <w:rPr>
          <w:b/>
          <w:bCs/>
          <w:i/>
          <w:iCs/>
          <w:sz w:val="24"/>
          <w:szCs w:val="24"/>
        </w:rPr>
        <w:t>a3)</w:t>
      </w:r>
      <w:r>
        <w:rPr>
          <w:bCs/>
          <w:i/>
          <w:iCs/>
          <w:sz w:val="24"/>
          <w:szCs w:val="24"/>
        </w:rPr>
        <w:t>.</w:t>
      </w:r>
    </w:p>
    <w:p w14:paraId="1A27D7D5" w14:textId="77777777" w:rsidR="001C08A5" w:rsidRDefault="001C08A5">
      <w:pPr>
        <w:widowControl w:val="0"/>
        <w:jc w:val="both"/>
        <w:rPr>
          <w:bCs/>
          <w:i/>
          <w:iCs/>
          <w:sz w:val="24"/>
          <w:szCs w:val="24"/>
          <w:lang w:eastAsia="ro-RO"/>
        </w:rPr>
      </w:pPr>
    </w:p>
    <w:p w14:paraId="058FD116" w14:textId="77777777" w:rsidR="001C08A5" w:rsidRDefault="00000000">
      <w:pPr>
        <w:numPr>
          <w:ilvl w:val="0"/>
          <w:numId w:val="10"/>
        </w:numPr>
        <w:jc w:val="both"/>
        <w:rPr>
          <w:i/>
          <w:iCs/>
          <w:sz w:val="24"/>
          <w:szCs w:val="24"/>
          <w:lang w:eastAsia="ro-RO"/>
        </w:rPr>
      </w:pPr>
      <w:r>
        <w:rPr>
          <w:b/>
          <w:i/>
          <w:iCs/>
          <w:sz w:val="24"/>
          <w:szCs w:val="24"/>
        </w:rPr>
        <w:t>Clădire civilă</w:t>
      </w:r>
      <w:r>
        <w:rPr>
          <w:i/>
          <w:iCs/>
          <w:sz w:val="24"/>
          <w:szCs w:val="24"/>
        </w:rPr>
        <w:t xml:space="preserve"> - construcţie destinată utilizatorilor, cu excepţia celor destinate activităţilor pentru producţie şi/sau depozitare și celor agrozootehnice; în contextul prezentului normativ, se definesc </w:t>
      </w:r>
      <w:r>
        <w:rPr>
          <w:b/>
          <w:i/>
          <w:iCs/>
          <w:sz w:val="24"/>
          <w:szCs w:val="24"/>
        </w:rPr>
        <w:t xml:space="preserve">tipuri de clădiri </w:t>
      </w:r>
      <w:r>
        <w:rPr>
          <w:bCs/>
          <w:i/>
          <w:iCs/>
          <w:sz w:val="24"/>
          <w:szCs w:val="24"/>
        </w:rPr>
        <w:t>(clădiri cu înălțime obișnuită, clădiri înalte, clădiri subterane, clădiri foarte înalte și clădiri cu săli aglomerate).</w:t>
      </w:r>
    </w:p>
    <w:p w14:paraId="7954F023" w14:textId="77777777" w:rsidR="001C08A5" w:rsidRDefault="001C08A5">
      <w:pPr>
        <w:jc w:val="both"/>
        <w:rPr>
          <w:b/>
          <w:bCs/>
          <w:i/>
          <w:iCs/>
          <w:sz w:val="24"/>
          <w:szCs w:val="24"/>
        </w:rPr>
      </w:pPr>
    </w:p>
    <w:p w14:paraId="4A8D62EE" w14:textId="77777777" w:rsidR="001C08A5" w:rsidRDefault="00000000">
      <w:pPr>
        <w:widowControl w:val="0"/>
        <w:numPr>
          <w:ilvl w:val="0"/>
          <w:numId w:val="10"/>
        </w:numPr>
        <w:jc w:val="both"/>
        <w:rPr>
          <w:i/>
          <w:iCs/>
          <w:sz w:val="24"/>
          <w:szCs w:val="24"/>
        </w:rPr>
      </w:pPr>
      <w:r>
        <w:rPr>
          <w:b/>
          <w:i/>
          <w:iCs/>
          <w:sz w:val="24"/>
          <w:szCs w:val="24"/>
        </w:rPr>
        <w:t>Clădire înaltă</w:t>
      </w:r>
      <w:r>
        <w:rPr>
          <w:i/>
          <w:iCs/>
          <w:sz w:val="24"/>
          <w:szCs w:val="24"/>
        </w:rPr>
        <w:t xml:space="preserve"> -  clădire civilă (publică) supraterană, la care cota superioară a stratului de uzură al pardoselii ultimului nivel folosit de utilizatori este situat la peste 28 m şi la mai puțin de 45 m faţă de cota nivelului de referință (</w:t>
      </w:r>
      <w:r>
        <w:rPr>
          <w:b/>
          <w:bCs/>
          <w:i/>
          <w:iCs/>
          <w:sz w:val="24"/>
          <w:szCs w:val="24"/>
        </w:rPr>
        <w:t>28 m &lt; h &lt;45 m</w:t>
      </w:r>
      <w:r>
        <w:rPr>
          <w:i/>
          <w:iCs/>
          <w:sz w:val="24"/>
          <w:szCs w:val="24"/>
        </w:rPr>
        <w:t xml:space="preserve">). </w:t>
      </w:r>
      <w:r>
        <w:rPr>
          <w:bCs/>
          <w:i/>
          <w:iCs/>
          <w:sz w:val="24"/>
          <w:szCs w:val="24"/>
        </w:rPr>
        <w:t>Clădirile înalte trebuie să permită accesul autospecialelor serviciilor pentru situații de urgență integral pe minimum două (</w:t>
      </w:r>
      <w:r>
        <w:rPr>
          <w:b/>
          <w:i/>
          <w:iCs/>
          <w:sz w:val="24"/>
          <w:szCs w:val="24"/>
        </w:rPr>
        <w:t>2</w:t>
      </w:r>
      <w:r>
        <w:rPr>
          <w:bCs/>
          <w:i/>
          <w:iCs/>
          <w:sz w:val="24"/>
          <w:szCs w:val="24"/>
        </w:rPr>
        <w:t xml:space="preserve">) laturi alăturate și totodată, cel puţin pe </w:t>
      </w:r>
      <w:r>
        <w:rPr>
          <w:b/>
          <w:i/>
          <w:iCs/>
          <w:sz w:val="24"/>
          <w:szCs w:val="24"/>
        </w:rPr>
        <w:t>50%</w:t>
      </w:r>
      <w:r>
        <w:rPr>
          <w:bCs/>
          <w:i/>
          <w:iCs/>
          <w:sz w:val="24"/>
          <w:szCs w:val="24"/>
        </w:rPr>
        <w:t xml:space="preserve"> din perimetrul pereților exteriori</w:t>
      </w:r>
      <w:r>
        <w:rPr>
          <w:i/>
          <w:iCs/>
          <w:sz w:val="24"/>
          <w:szCs w:val="24"/>
        </w:rPr>
        <w:t>. S</w:t>
      </w:r>
      <w:r>
        <w:rPr>
          <w:i/>
          <w:iCs/>
          <w:sz w:val="24"/>
          <w:szCs w:val="24"/>
          <w:lang w:eastAsia="ro-RO"/>
        </w:rPr>
        <w:t>tabilirea înălțimii clădirilor la care acoperișul terasă este amenajat pentru diverse funcțiuni cum ar fi parcaje, comerț etc</w:t>
      </w:r>
      <w:r>
        <w:rPr>
          <w:i/>
          <w:iCs/>
          <w:sz w:val="24"/>
          <w:szCs w:val="24"/>
          <w:lang w:val="en-US" w:eastAsia="ro-RO"/>
        </w:rPr>
        <w:t>. se face ținând cont de cota de călcare a terasei circulabile în raport cu nivelul de referință.</w:t>
      </w:r>
    </w:p>
    <w:p w14:paraId="2D1913D0" w14:textId="77777777" w:rsidR="001C08A5" w:rsidRDefault="00000000">
      <w:pPr>
        <w:widowControl w:val="0"/>
        <w:numPr>
          <w:ilvl w:val="1"/>
          <w:numId w:val="10"/>
        </w:numPr>
        <w:jc w:val="both"/>
        <w:rPr>
          <w:i/>
          <w:iCs/>
          <w:sz w:val="24"/>
          <w:szCs w:val="24"/>
        </w:rPr>
      </w:pPr>
      <w:r>
        <w:rPr>
          <w:i/>
          <w:iCs/>
          <w:sz w:val="24"/>
          <w:szCs w:val="24"/>
        </w:rPr>
        <w:t xml:space="preserve">Nu sunt considerate clădiri înalte (conform </w:t>
      </w:r>
      <w:r>
        <w:fldChar w:fldCharType="begin"/>
      </w:r>
      <w:r>
        <w:instrText xml:space="preserve"> REF _Ref5264 \h </w:instrText>
      </w:r>
      <w:r>
        <w:fldChar w:fldCharType="separate"/>
      </w:r>
      <w:r>
        <w:t>Figura 5</w:t>
      </w:r>
      <w:r>
        <w:fldChar w:fldCharType="end"/>
      </w:r>
      <w:r>
        <w:rPr>
          <w:rStyle w:val="CaptionChar"/>
          <w:b w:val="0"/>
          <w:bCs/>
        </w:rPr>
        <w:t>)</w:t>
      </w:r>
      <w:r>
        <w:rPr>
          <w:i/>
          <w:iCs/>
          <w:sz w:val="24"/>
          <w:szCs w:val="24"/>
        </w:rPr>
        <w:t>:</w:t>
      </w:r>
    </w:p>
    <w:p w14:paraId="3619D3C0" w14:textId="77777777" w:rsidR="001C08A5" w:rsidRDefault="00000000">
      <w:pPr>
        <w:widowControl w:val="0"/>
        <w:numPr>
          <w:ilvl w:val="3"/>
          <w:numId w:val="10"/>
        </w:numPr>
        <w:jc w:val="both"/>
        <w:rPr>
          <w:i/>
          <w:iCs/>
          <w:sz w:val="24"/>
          <w:szCs w:val="24"/>
        </w:rPr>
      </w:pPr>
      <w:r>
        <w:rPr>
          <w:i/>
          <w:iCs/>
          <w:sz w:val="24"/>
          <w:szCs w:val="24"/>
        </w:rPr>
        <w:t>- construcţiile pentru producţie şi/sau depozitare;</w:t>
      </w:r>
    </w:p>
    <w:p w14:paraId="17DD47A4" w14:textId="77777777" w:rsidR="001C08A5" w:rsidRDefault="00000000">
      <w:pPr>
        <w:widowControl w:val="0"/>
        <w:numPr>
          <w:ilvl w:val="3"/>
          <w:numId w:val="10"/>
        </w:numPr>
        <w:jc w:val="both"/>
        <w:rPr>
          <w:i/>
          <w:iCs/>
          <w:sz w:val="24"/>
          <w:szCs w:val="24"/>
        </w:rPr>
      </w:pPr>
      <w:r>
        <w:rPr>
          <w:i/>
          <w:iCs/>
          <w:sz w:val="24"/>
          <w:szCs w:val="24"/>
        </w:rPr>
        <w:t>- clădirile pentru locuit colective care au maximum</w:t>
      </w:r>
      <w:r>
        <w:rPr>
          <w:b/>
          <w:bCs/>
          <w:i/>
          <w:iCs/>
          <w:sz w:val="24"/>
          <w:szCs w:val="24"/>
        </w:rPr>
        <w:t xml:space="preserve"> 12</w:t>
      </w:r>
      <w:r>
        <w:rPr>
          <w:i/>
          <w:iCs/>
          <w:sz w:val="24"/>
          <w:szCs w:val="24"/>
        </w:rPr>
        <w:t xml:space="preserve"> niveluri supraterane, cu </w:t>
      </w:r>
      <w:r>
        <w:rPr>
          <w:i/>
          <w:iCs/>
          <w:sz w:val="24"/>
          <w:szCs w:val="24"/>
        </w:rPr>
        <w:lastRenderedPageBreak/>
        <w:t xml:space="preserve">exceptia construcțiilor civile cu functiuni mixte atunci cand functiunea de locuinte colective are aria desfăsurată mai mare de </w:t>
      </w:r>
      <w:r>
        <w:rPr>
          <w:b/>
          <w:bCs/>
          <w:i/>
          <w:iCs/>
          <w:sz w:val="24"/>
          <w:szCs w:val="24"/>
        </w:rPr>
        <w:t>75%</w:t>
      </w:r>
      <w:r>
        <w:rPr>
          <w:i/>
          <w:iCs/>
          <w:sz w:val="24"/>
          <w:szCs w:val="24"/>
        </w:rPr>
        <w:t xml:space="preserve"> din cea a clădirii analizate;</w:t>
      </w:r>
    </w:p>
    <w:p w14:paraId="1F121EB8" w14:textId="77777777" w:rsidR="001C08A5" w:rsidRDefault="00000000">
      <w:pPr>
        <w:widowControl w:val="0"/>
        <w:numPr>
          <w:ilvl w:val="3"/>
          <w:numId w:val="10"/>
        </w:numPr>
        <w:jc w:val="both"/>
        <w:rPr>
          <w:i/>
          <w:iCs/>
          <w:sz w:val="24"/>
          <w:szCs w:val="24"/>
        </w:rPr>
      </w:pPr>
      <w:r>
        <w:rPr>
          <w:i/>
          <w:iCs/>
          <w:sz w:val="24"/>
          <w:szCs w:val="24"/>
        </w:rPr>
        <w:t>- atunci când la ultimele niveluri sunt locuinţe de tip duplex sau triplex, la stabilirea înălţimii construcţiei se ia în considerare numai nivelul de acces la acestea din circulaţiile comune orizontale ale clădirii, nivel de acces care determină încadrarea în clădire înaltă sau în clădire cu înălţime obişnuită. Se admite ca un singur nivel să fie constituit tip duplex sau tip triplex cu acces conform alineatului precedent, cele două niveluri la tip duplex sau cele trei niveluri la triplex fiind considerate un singur nivel, reprezentând ultimul nivel al construcţiei. Daca nivelurile de acces la locuinţele de tip duplex sau triplex se află la alte niveluri faţă de cel precizat anterior, la stabilirea înălţimii construcţiei se iau în considerare toate nivelurile din care sunt constituite locuinţele de tip duplex sau triplex.</w:t>
      </w:r>
    </w:p>
    <w:p w14:paraId="15313EE8" w14:textId="77777777" w:rsidR="001C08A5" w:rsidRDefault="00000000">
      <w:pPr>
        <w:widowControl w:val="0"/>
        <w:numPr>
          <w:ilvl w:val="3"/>
          <w:numId w:val="10"/>
        </w:numPr>
        <w:jc w:val="both"/>
        <w:rPr>
          <w:b/>
          <w:bCs/>
          <w:i/>
          <w:iCs/>
          <w:sz w:val="24"/>
          <w:szCs w:val="24"/>
        </w:rPr>
      </w:pPr>
      <w:r>
        <w:rPr>
          <w:i/>
          <w:iCs/>
          <w:sz w:val="24"/>
          <w:szCs w:val="24"/>
        </w:rPr>
        <w:t xml:space="preserve">- clădirile civile (indiferent de destinaţie), la care deasupra nivelului limită normat se află un singur nivel construit ce ocupă maximum </w:t>
      </w:r>
      <w:r>
        <w:rPr>
          <w:b/>
          <w:bCs/>
          <w:i/>
          <w:iCs/>
          <w:sz w:val="24"/>
          <w:szCs w:val="24"/>
        </w:rPr>
        <w:t xml:space="preserve">50% </w:t>
      </w:r>
      <w:r>
        <w:rPr>
          <w:i/>
          <w:iCs/>
          <w:sz w:val="24"/>
          <w:szCs w:val="24"/>
        </w:rPr>
        <w:t>din aria construită a nivelului inferior acestuia şi cuprinde numai spaţii tehnice aferente clădirii (încăperi pentru ascensoare, centrale termice, centrale de ventilare etc.), circulaţii funcţionale și de evacuare (holuri, coridoare, încăperi tampon ventilate în suprapresiune</w:t>
      </w:r>
      <w:r>
        <w:rPr>
          <w:sz w:val="24"/>
          <w:szCs w:val="24"/>
        </w:rPr>
        <w:t xml:space="preserve">, </w:t>
      </w:r>
      <w:r>
        <w:rPr>
          <w:i/>
          <w:iCs/>
          <w:sz w:val="24"/>
          <w:szCs w:val="24"/>
        </w:rPr>
        <w:t>etc.) sau spaţii anexă (spălătorii, călcătorii, uscătorii etc.), făra prezență permanentă de persoane.</w:t>
      </w:r>
    </w:p>
    <w:p w14:paraId="1D46F764" w14:textId="77777777" w:rsidR="001C08A5" w:rsidRDefault="00000000">
      <w:pPr>
        <w:widowControl w:val="0"/>
        <w:jc w:val="center"/>
        <w:rPr>
          <w:b/>
          <w:bCs/>
          <w:i/>
          <w:iCs/>
          <w:sz w:val="24"/>
          <w:szCs w:val="24"/>
        </w:rPr>
      </w:pPr>
      <w:r>
        <w:rPr>
          <w:noProof/>
          <w:lang w:eastAsia="ro-RO"/>
        </w:rPr>
        <w:drawing>
          <wp:inline distT="0" distB="0" distL="0" distR="0" wp14:anchorId="68C12053" wp14:editId="540203FE">
            <wp:extent cx="6067425" cy="2614295"/>
            <wp:effectExtent l="0" t="0" r="0" b="0"/>
            <wp:docPr id="1033" name="Picture 6"/>
            <wp:cNvGraphicFramePr/>
            <a:graphic xmlns:a="http://schemas.openxmlformats.org/drawingml/2006/main">
              <a:graphicData uri="http://schemas.openxmlformats.org/drawingml/2006/picture">
                <pic:pic xmlns:pic="http://schemas.openxmlformats.org/drawingml/2006/picture">
                  <pic:nvPicPr>
                    <pic:cNvPr id="1033" name="Picture 6"/>
                    <pic:cNvPicPr/>
                  </pic:nvPicPr>
                  <pic:blipFill>
                    <a:blip r:embed="rId52" cstate="print"/>
                    <a:srcRect l="12392" t="12165" r="7226" b="36094"/>
                    <a:stretch>
                      <a:fillRect/>
                    </a:stretch>
                  </pic:blipFill>
                  <pic:spPr>
                    <a:xfrm>
                      <a:off x="0" y="0"/>
                      <a:ext cx="6067425" cy="2614295"/>
                    </a:xfrm>
                    <a:prstGeom prst="rect">
                      <a:avLst/>
                    </a:prstGeom>
                    <a:ln>
                      <a:noFill/>
                    </a:ln>
                  </pic:spPr>
                </pic:pic>
              </a:graphicData>
            </a:graphic>
          </wp:inline>
        </w:drawing>
      </w:r>
    </w:p>
    <w:p w14:paraId="468D7824" w14:textId="77777777" w:rsidR="001C08A5" w:rsidRDefault="00000000">
      <w:pPr>
        <w:widowControl w:val="0"/>
        <w:tabs>
          <w:tab w:val="left" w:pos="1265"/>
          <w:tab w:val="left" w:pos="1680"/>
          <w:tab w:val="left" w:pos="2100"/>
          <w:tab w:val="left" w:pos="2520"/>
          <w:tab w:val="left" w:pos="2940"/>
        </w:tabs>
        <w:jc w:val="both"/>
        <w:rPr>
          <w:sz w:val="24"/>
          <w:szCs w:val="24"/>
          <w:lang w:eastAsia="ro-RO"/>
        </w:rPr>
      </w:pPr>
      <w:r>
        <w:rPr>
          <w:lang w:eastAsia="ro-RO"/>
        </w:rPr>
        <w:t xml:space="preserve">                    a)                                   b)                                  c)                                   d)                                  e)_</w:t>
      </w:r>
    </w:p>
    <w:p w14:paraId="3C46DB7D" w14:textId="77777777" w:rsidR="001C08A5" w:rsidRDefault="001C08A5">
      <w:pPr>
        <w:widowControl w:val="0"/>
        <w:jc w:val="both"/>
        <w:rPr>
          <w:sz w:val="24"/>
          <w:szCs w:val="24"/>
        </w:rPr>
      </w:pPr>
    </w:p>
    <w:tbl>
      <w:tblPr>
        <w:tblW w:w="0" w:type="auto"/>
        <w:jc w:val="right"/>
        <w:tblLook w:val="04A0" w:firstRow="1" w:lastRow="0" w:firstColumn="1" w:lastColumn="0" w:noHBand="0" w:noVBand="1"/>
      </w:tblPr>
      <w:tblGrid>
        <w:gridCol w:w="1927"/>
        <w:gridCol w:w="1927"/>
        <w:gridCol w:w="1926"/>
        <w:gridCol w:w="1929"/>
        <w:gridCol w:w="1930"/>
      </w:tblGrid>
      <w:tr w:rsidR="001C08A5" w14:paraId="3C6E44D2" w14:textId="77777777">
        <w:trPr>
          <w:jc w:val="right"/>
        </w:trPr>
        <w:tc>
          <w:tcPr>
            <w:tcW w:w="1927" w:type="dxa"/>
          </w:tcPr>
          <w:p w14:paraId="055F1F28" w14:textId="77777777" w:rsidR="001C08A5" w:rsidRDefault="00000000">
            <w:pPr>
              <w:widowControl w:val="0"/>
              <w:ind w:left="425"/>
              <w:jc w:val="center"/>
              <w:rPr>
                <w:b/>
                <w:bCs/>
                <w:i/>
                <w:iCs/>
                <w:sz w:val="22"/>
                <w:szCs w:val="22"/>
              </w:rPr>
            </w:pPr>
            <w:r>
              <w:rPr>
                <w:b/>
                <w:bCs/>
                <w:i/>
                <w:iCs/>
                <w:sz w:val="22"/>
                <w:szCs w:val="22"/>
              </w:rPr>
              <w:t>Varianta corectă</w:t>
            </w:r>
          </w:p>
          <w:p w14:paraId="2D3B05B8" w14:textId="77777777" w:rsidR="001C08A5" w:rsidRDefault="00000000">
            <w:pPr>
              <w:widowControl w:val="0"/>
              <w:ind w:left="425"/>
              <w:jc w:val="center"/>
              <w:rPr>
                <w:b/>
                <w:bCs/>
                <w:i/>
                <w:iCs/>
                <w:sz w:val="22"/>
                <w:szCs w:val="22"/>
              </w:rPr>
            </w:pPr>
            <w:r>
              <w:rPr>
                <w:b/>
                <w:bCs/>
                <w:i/>
                <w:iCs/>
                <w:sz w:val="22"/>
                <w:szCs w:val="22"/>
              </w:rPr>
              <w:t>12 niveluri-a)</w:t>
            </w:r>
          </w:p>
        </w:tc>
        <w:tc>
          <w:tcPr>
            <w:tcW w:w="1927" w:type="dxa"/>
          </w:tcPr>
          <w:p w14:paraId="4C57228F" w14:textId="77777777" w:rsidR="001C08A5" w:rsidRDefault="00000000">
            <w:pPr>
              <w:widowControl w:val="0"/>
              <w:ind w:left="425"/>
              <w:jc w:val="center"/>
              <w:rPr>
                <w:b/>
                <w:bCs/>
                <w:i/>
                <w:iCs/>
                <w:sz w:val="22"/>
                <w:szCs w:val="22"/>
              </w:rPr>
            </w:pPr>
            <w:r>
              <w:rPr>
                <w:b/>
                <w:bCs/>
                <w:i/>
                <w:iCs/>
                <w:sz w:val="22"/>
                <w:szCs w:val="22"/>
              </w:rPr>
              <w:t>Varianta corectă</w:t>
            </w:r>
          </w:p>
          <w:p w14:paraId="45D5A310" w14:textId="77777777" w:rsidR="001C08A5" w:rsidRDefault="00000000">
            <w:pPr>
              <w:widowControl w:val="0"/>
              <w:ind w:left="425"/>
              <w:jc w:val="center"/>
              <w:rPr>
                <w:b/>
                <w:bCs/>
                <w:i/>
                <w:iCs/>
                <w:sz w:val="22"/>
                <w:szCs w:val="22"/>
              </w:rPr>
            </w:pPr>
            <w:r>
              <w:rPr>
                <w:b/>
                <w:bCs/>
                <w:i/>
                <w:iCs/>
                <w:sz w:val="22"/>
                <w:szCs w:val="22"/>
              </w:rPr>
              <w:t>12 niveluri-b)</w:t>
            </w:r>
          </w:p>
        </w:tc>
        <w:tc>
          <w:tcPr>
            <w:tcW w:w="1926" w:type="dxa"/>
          </w:tcPr>
          <w:p w14:paraId="2FDD71DC" w14:textId="77777777" w:rsidR="001C08A5" w:rsidRDefault="00000000">
            <w:pPr>
              <w:widowControl w:val="0"/>
              <w:ind w:left="425"/>
              <w:jc w:val="center"/>
              <w:rPr>
                <w:b/>
                <w:bCs/>
                <w:i/>
                <w:iCs/>
                <w:sz w:val="22"/>
                <w:szCs w:val="22"/>
              </w:rPr>
            </w:pPr>
            <w:r>
              <w:rPr>
                <w:b/>
                <w:bCs/>
                <w:i/>
                <w:iCs/>
                <w:sz w:val="22"/>
                <w:szCs w:val="22"/>
              </w:rPr>
              <w:t>Varianta corectă</w:t>
            </w:r>
          </w:p>
          <w:p w14:paraId="5D65BE9D" w14:textId="77777777" w:rsidR="001C08A5" w:rsidRDefault="00000000">
            <w:pPr>
              <w:widowControl w:val="0"/>
              <w:ind w:left="425"/>
              <w:jc w:val="center"/>
              <w:rPr>
                <w:b/>
                <w:bCs/>
                <w:i/>
                <w:iCs/>
                <w:sz w:val="22"/>
                <w:szCs w:val="22"/>
              </w:rPr>
            </w:pPr>
            <w:r>
              <w:rPr>
                <w:b/>
                <w:bCs/>
                <w:i/>
                <w:iCs/>
                <w:sz w:val="22"/>
                <w:szCs w:val="22"/>
              </w:rPr>
              <w:t>12 niveluri-c)</w:t>
            </w:r>
          </w:p>
        </w:tc>
        <w:tc>
          <w:tcPr>
            <w:tcW w:w="1929" w:type="dxa"/>
          </w:tcPr>
          <w:p w14:paraId="234E87FF" w14:textId="77777777" w:rsidR="001C08A5" w:rsidRDefault="00000000">
            <w:pPr>
              <w:widowControl w:val="0"/>
              <w:ind w:left="425"/>
              <w:jc w:val="center"/>
              <w:rPr>
                <w:b/>
                <w:bCs/>
                <w:i/>
                <w:iCs/>
                <w:sz w:val="22"/>
                <w:szCs w:val="22"/>
              </w:rPr>
            </w:pPr>
            <w:r>
              <w:rPr>
                <w:b/>
                <w:bCs/>
                <w:i/>
                <w:iCs/>
                <w:sz w:val="22"/>
                <w:szCs w:val="22"/>
              </w:rPr>
              <w:t>Varianta incorectă</w:t>
            </w:r>
          </w:p>
          <w:p w14:paraId="16C3F7E3" w14:textId="77777777" w:rsidR="001C08A5" w:rsidRDefault="00000000">
            <w:pPr>
              <w:widowControl w:val="0"/>
              <w:ind w:left="425"/>
              <w:jc w:val="center"/>
              <w:rPr>
                <w:b/>
                <w:bCs/>
                <w:i/>
                <w:iCs/>
                <w:sz w:val="22"/>
                <w:szCs w:val="22"/>
              </w:rPr>
            </w:pPr>
            <w:r>
              <w:rPr>
                <w:b/>
                <w:bCs/>
                <w:i/>
                <w:iCs/>
                <w:sz w:val="22"/>
                <w:szCs w:val="22"/>
              </w:rPr>
              <w:t>13 niveluri-d)</w:t>
            </w:r>
          </w:p>
        </w:tc>
        <w:tc>
          <w:tcPr>
            <w:tcW w:w="1930" w:type="dxa"/>
          </w:tcPr>
          <w:p w14:paraId="7709866B" w14:textId="77777777" w:rsidR="001C08A5" w:rsidRDefault="00000000">
            <w:pPr>
              <w:widowControl w:val="0"/>
              <w:ind w:left="425"/>
              <w:jc w:val="center"/>
              <w:rPr>
                <w:b/>
                <w:bCs/>
                <w:i/>
                <w:iCs/>
                <w:sz w:val="22"/>
                <w:szCs w:val="22"/>
              </w:rPr>
            </w:pPr>
            <w:r>
              <w:rPr>
                <w:b/>
                <w:bCs/>
                <w:i/>
                <w:iCs/>
                <w:sz w:val="22"/>
                <w:szCs w:val="22"/>
              </w:rPr>
              <w:t>Varianta incorectă</w:t>
            </w:r>
          </w:p>
          <w:p w14:paraId="4376B799" w14:textId="77777777" w:rsidR="001C08A5" w:rsidRDefault="00000000">
            <w:pPr>
              <w:widowControl w:val="0"/>
              <w:ind w:left="425"/>
              <w:jc w:val="center"/>
              <w:rPr>
                <w:b/>
                <w:bCs/>
                <w:i/>
                <w:iCs/>
                <w:sz w:val="22"/>
                <w:szCs w:val="22"/>
              </w:rPr>
            </w:pPr>
            <w:r>
              <w:rPr>
                <w:b/>
                <w:bCs/>
                <w:i/>
                <w:iCs/>
                <w:sz w:val="22"/>
                <w:szCs w:val="22"/>
              </w:rPr>
              <w:t>14 niveluri-e)</w:t>
            </w:r>
          </w:p>
        </w:tc>
      </w:tr>
    </w:tbl>
    <w:p w14:paraId="6D52F6C4" w14:textId="77777777" w:rsidR="001C08A5" w:rsidRDefault="00000000">
      <w:pPr>
        <w:pStyle w:val="Caption"/>
        <w:widowControl w:val="0"/>
        <w:jc w:val="center"/>
        <w:rPr>
          <w:rFonts w:cs="Times New Roman"/>
        </w:rPr>
      </w:pPr>
      <w:bookmarkStart w:id="135" w:name="_Ref5264"/>
      <w:bookmarkStart w:id="136" w:name="_Toc32594"/>
      <w:bookmarkStart w:id="137" w:name="_Toc162360229"/>
      <w:bookmarkStart w:id="138" w:name="_Toc29284"/>
      <w:bookmarkStart w:id="139" w:name="_Toc28306"/>
      <w:bookmarkStart w:id="140" w:name="_Toc15596"/>
      <w:bookmarkStart w:id="141" w:name="_Toc7750"/>
      <w:bookmarkStart w:id="142" w:name="_Toc32252"/>
      <w:r>
        <w:rPr>
          <w:noProof/>
          <w:lang w:eastAsia="ro-RO"/>
        </w:rPr>
        <w:drawing>
          <wp:inline distT="0" distB="0" distL="0" distR="0" wp14:anchorId="6C5FFA11" wp14:editId="3909535D">
            <wp:extent cx="6120765" cy="464185"/>
            <wp:effectExtent l="0" t="0" r="0" b="0"/>
            <wp:docPr id="1209738692" name="Picture 4"/>
            <wp:cNvGraphicFramePr/>
            <a:graphic xmlns:a="http://schemas.openxmlformats.org/drawingml/2006/main">
              <a:graphicData uri="http://schemas.openxmlformats.org/drawingml/2006/picture">
                <pic:pic xmlns:pic="http://schemas.openxmlformats.org/drawingml/2006/picture">
                  <pic:nvPicPr>
                    <pic:cNvPr id="1209738692" name="Picture 4"/>
                    <pic:cNvPicPr/>
                  </pic:nvPicPr>
                  <pic:blipFill>
                    <a:blip r:embed="rId53" cstate="print"/>
                    <a:srcRect l="13193" t="66706" r="8439" b="22350"/>
                    <a:stretch>
                      <a:fillRect/>
                    </a:stretch>
                  </pic:blipFill>
                  <pic:spPr>
                    <a:xfrm>
                      <a:off x="0" y="0"/>
                      <a:ext cx="6120765" cy="464660"/>
                    </a:xfrm>
                    <a:prstGeom prst="rect">
                      <a:avLst/>
                    </a:prstGeom>
                    <a:ln>
                      <a:noFill/>
                    </a:ln>
                  </pic:spPr>
                </pic:pic>
              </a:graphicData>
            </a:graphic>
          </wp:inline>
        </w:drawing>
      </w:r>
      <w:r>
        <w:t xml:space="preserve">Figura </w:t>
      </w:r>
      <w:r>
        <w:fldChar w:fldCharType="begin"/>
      </w:r>
      <w:r>
        <w:instrText xml:space="preserve"> SEQ Figura \* ARABIC </w:instrText>
      </w:r>
      <w:r>
        <w:fldChar w:fldCharType="separate"/>
      </w:r>
      <w:r>
        <w:t>5</w:t>
      </w:r>
      <w:r>
        <w:fldChar w:fldCharType="end"/>
      </w:r>
      <w:bookmarkStart w:id="143" w:name="_Toc13331"/>
      <w:bookmarkStart w:id="144" w:name="_Toc24616"/>
      <w:bookmarkStart w:id="145" w:name="_Toc15146"/>
      <w:bookmarkStart w:id="146" w:name="_Toc1668"/>
      <w:bookmarkStart w:id="147" w:name="_Toc13843"/>
      <w:bookmarkStart w:id="148" w:name="_Toc23492"/>
      <w:bookmarkStart w:id="149" w:name="_Toc23486"/>
      <w:bookmarkStart w:id="150" w:name="_Toc8873"/>
      <w:bookmarkStart w:id="151" w:name="_Toc26092"/>
      <w:bookmarkStart w:id="152" w:name="_Toc21139"/>
      <w:bookmarkStart w:id="153" w:name="_Toc4900"/>
      <w:bookmarkEnd w:id="135"/>
      <w:r>
        <w:t xml:space="preserve"> - </w:t>
      </w:r>
      <w:r>
        <w:rPr>
          <w:rFonts w:cs="Times New Roman"/>
        </w:rPr>
        <w:t>Locuinte de tip duplex sau triplex la clădiri cu înălțime obișnuită</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14:paraId="22D1AC2D" w14:textId="77777777" w:rsidR="001C08A5" w:rsidRDefault="001C08A5">
      <w:pPr>
        <w:jc w:val="both"/>
        <w:rPr>
          <w:b/>
          <w:bCs/>
          <w:i/>
          <w:iCs/>
          <w:sz w:val="24"/>
          <w:szCs w:val="24"/>
        </w:rPr>
      </w:pPr>
    </w:p>
    <w:p w14:paraId="60C6EE45" w14:textId="77777777" w:rsidR="001C08A5" w:rsidRDefault="00000000">
      <w:pPr>
        <w:widowControl w:val="0"/>
        <w:numPr>
          <w:ilvl w:val="0"/>
          <w:numId w:val="10"/>
        </w:numPr>
        <w:jc w:val="both"/>
        <w:rPr>
          <w:b/>
          <w:i/>
          <w:iCs/>
          <w:sz w:val="24"/>
          <w:szCs w:val="24"/>
        </w:rPr>
      </w:pPr>
      <w:r>
        <w:rPr>
          <w:b/>
          <w:i/>
          <w:iCs/>
          <w:sz w:val="24"/>
          <w:szCs w:val="24"/>
        </w:rPr>
        <w:t>Clădire foarte înaltă</w:t>
      </w:r>
      <w:r>
        <w:rPr>
          <w:i/>
          <w:iCs/>
          <w:sz w:val="24"/>
          <w:szCs w:val="24"/>
        </w:rPr>
        <w:t xml:space="preserve"> - clădire civilă (publică) supraterană la care cota superioară a stratului de uzură al pardoselii ultimului nivel folosibil este situată la înălţimea de </w:t>
      </w:r>
      <w:r>
        <w:rPr>
          <w:b/>
          <w:bCs/>
          <w:i/>
          <w:iCs/>
          <w:sz w:val="24"/>
          <w:szCs w:val="24"/>
        </w:rPr>
        <w:t>45 m</w:t>
      </w:r>
      <w:r>
        <w:rPr>
          <w:i/>
          <w:iCs/>
          <w:sz w:val="24"/>
          <w:szCs w:val="24"/>
        </w:rPr>
        <w:t xml:space="preserve"> sau mai mult faţă de cota nivelului de referință. </w:t>
      </w:r>
      <w:r>
        <w:rPr>
          <w:bCs/>
          <w:i/>
          <w:iCs/>
          <w:sz w:val="24"/>
          <w:szCs w:val="24"/>
        </w:rPr>
        <w:t>Clădirile foarte înalte trebuie să permită accesul autospecialelor serviciilor pentru situații de urgență integral pe minimum două (</w:t>
      </w:r>
      <w:r>
        <w:rPr>
          <w:b/>
          <w:i/>
          <w:iCs/>
          <w:sz w:val="24"/>
          <w:szCs w:val="24"/>
        </w:rPr>
        <w:t>2</w:t>
      </w:r>
      <w:r>
        <w:rPr>
          <w:bCs/>
          <w:i/>
          <w:iCs/>
          <w:sz w:val="24"/>
          <w:szCs w:val="24"/>
        </w:rPr>
        <w:t xml:space="preserve">) laturi alăturate și totodată, cel puţin pe </w:t>
      </w:r>
      <w:r>
        <w:rPr>
          <w:b/>
          <w:i/>
          <w:iCs/>
          <w:sz w:val="24"/>
          <w:szCs w:val="24"/>
        </w:rPr>
        <w:t>50%</w:t>
      </w:r>
      <w:r>
        <w:rPr>
          <w:bCs/>
          <w:i/>
          <w:iCs/>
          <w:sz w:val="24"/>
          <w:szCs w:val="24"/>
        </w:rPr>
        <w:t xml:space="preserve"> din perimetrul pereților exteriori</w:t>
      </w:r>
      <w:r>
        <w:rPr>
          <w:i/>
          <w:iCs/>
          <w:sz w:val="24"/>
          <w:szCs w:val="24"/>
        </w:rPr>
        <w:t xml:space="preserve">. Sunt considerate foarte înalte, clădirile de locuit la care pardoseala ultimului nivel locuibil este situată la înălţimea de peste </w:t>
      </w:r>
      <w:r>
        <w:rPr>
          <w:b/>
          <w:bCs/>
          <w:i/>
          <w:iCs/>
          <w:sz w:val="24"/>
          <w:szCs w:val="24"/>
        </w:rPr>
        <w:t>50 m</w:t>
      </w:r>
      <w:r>
        <w:rPr>
          <w:i/>
          <w:iCs/>
          <w:sz w:val="24"/>
          <w:szCs w:val="24"/>
        </w:rPr>
        <w:t xml:space="preserve"> faţă de cota nivelului de referință (conform definiție). </w:t>
      </w:r>
      <w:r>
        <w:rPr>
          <w:bCs/>
          <w:i/>
          <w:iCs/>
          <w:sz w:val="24"/>
          <w:szCs w:val="24"/>
        </w:rPr>
        <w:t>S</w:t>
      </w:r>
      <w:r>
        <w:rPr>
          <w:bCs/>
          <w:i/>
          <w:iCs/>
          <w:sz w:val="24"/>
          <w:szCs w:val="24"/>
          <w:lang w:eastAsia="ro-RO"/>
        </w:rPr>
        <w:t xml:space="preserve">tabilirea </w:t>
      </w:r>
      <w:r>
        <w:rPr>
          <w:bCs/>
          <w:i/>
          <w:iCs/>
          <w:sz w:val="24"/>
          <w:szCs w:val="24"/>
          <w:lang w:eastAsia="ro-RO"/>
        </w:rPr>
        <w:lastRenderedPageBreak/>
        <w:t>înălțimii clădirilor la care acoperișul terasă este amenajat pentru diverse funcțiuni cum ar fi parcaje, comerț etc</w:t>
      </w:r>
      <w:r>
        <w:rPr>
          <w:bCs/>
          <w:i/>
          <w:iCs/>
          <w:sz w:val="24"/>
          <w:szCs w:val="24"/>
          <w:lang w:val="en-US" w:eastAsia="ro-RO"/>
        </w:rPr>
        <w:t>. se face ținândcont de cota de călcare a terasei circulabile în raport cu nivelul de referință.</w:t>
      </w:r>
    </w:p>
    <w:p w14:paraId="4AAFC88C" w14:textId="77777777" w:rsidR="001C08A5" w:rsidRDefault="00000000">
      <w:pPr>
        <w:widowControl w:val="0"/>
        <w:tabs>
          <w:tab w:val="left" w:pos="425"/>
        </w:tabs>
        <w:ind w:left="800"/>
        <w:jc w:val="both"/>
        <w:rPr>
          <w:b/>
          <w:i/>
          <w:iCs/>
          <w:sz w:val="24"/>
          <w:szCs w:val="24"/>
        </w:rPr>
      </w:pPr>
      <w:r>
        <w:rPr>
          <w:i/>
          <w:iCs/>
          <w:sz w:val="24"/>
          <w:szCs w:val="24"/>
        </w:rPr>
        <w:t>Nu sunt considerate clădiri foarte înalte:</w:t>
      </w:r>
    </w:p>
    <w:p w14:paraId="54AD89E3" w14:textId="77777777" w:rsidR="001C08A5" w:rsidRDefault="00000000">
      <w:pPr>
        <w:widowControl w:val="0"/>
        <w:numPr>
          <w:ilvl w:val="1"/>
          <w:numId w:val="10"/>
        </w:numPr>
        <w:jc w:val="both"/>
        <w:rPr>
          <w:i/>
          <w:iCs/>
          <w:sz w:val="24"/>
          <w:szCs w:val="24"/>
        </w:rPr>
      </w:pPr>
      <w:r>
        <w:rPr>
          <w:i/>
          <w:iCs/>
          <w:sz w:val="24"/>
          <w:szCs w:val="24"/>
        </w:rPr>
        <w:t>- construcţiile pentru producţie şi/sau depozitare;</w:t>
      </w:r>
    </w:p>
    <w:p w14:paraId="208F99F1" w14:textId="77777777" w:rsidR="001C08A5" w:rsidRDefault="00000000">
      <w:pPr>
        <w:widowControl w:val="0"/>
        <w:numPr>
          <w:ilvl w:val="1"/>
          <w:numId w:val="10"/>
        </w:numPr>
        <w:jc w:val="both"/>
        <w:rPr>
          <w:i/>
          <w:iCs/>
          <w:sz w:val="24"/>
          <w:szCs w:val="24"/>
        </w:rPr>
      </w:pPr>
      <w:r>
        <w:rPr>
          <w:i/>
          <w:iCs/>
          <w:sz w:val="24"/>
          <w:szCs w:val="24"/>
        </w:rPr>
        <w:t xml:space="preserve">- clădirile civile (indiferent de destinaţie), la care deasupra nivelului limită normat se află un singur nivel construit ce ocupă maximum </w:t>
      </w:r>
      <w:r>
        <w:rPr>
          <w:b/>
          <w:bCs/>
          <w:i/>
          <w:iCs/>
          <w:sz w:val="24"/>
          <w:szCs w:val="24"/>
        </w:rPr>
        <w:t>50%</w:t>
      </w:r>
      <w:r>
        <w:rPr>
          <w:i/>
          <w:iCs/>
          <w:sz w:val="24"/>
          <w:szCs w:val="24"/>
        </w:rPr>
        <w:t xml:space="preserve"> din aria construită a nivelului inferior  acestuia şi cuprinde numai spaţii tehnice aferente clădirii (încăperi pentru ascensoare, centrale termice, centrale de ventilare etc.), circulaţii funcţionale și de evacuare (holuri, coridoare, încăperi tampon ventilate în suprapresiune, etc.) sau spaţii anexă (spălătorii, călcătorii, uscătorii etc.), făra prezență permanentă de persoane.</w:t>
      </w:r>
    </w:p>
    <w:p w14:paraId="4011692D" w14:textId="77777777" w:rsidR="001C08A5" w:rsidRDefault="001C08A5">
      <w:pPr>
        <w:jc w:val="both"/>
        <w:rPr>
          <w:b/>
          <w:bCs/>
          <w:i/>
          <w:iCs/>
          <w:sz w:val="24"/>
          <w:szCs w:val="24"/>
        </w:rPr>
      </w:pPr>
    </w:p>
    <w:p w14:paraId="76FCA6C8" w14:textId="77777777" w:rsidR="001C08A5" w:rsidRDefault="00000000">
      <w:pPr>
        <w:widowControl w:val="0"/>
        <w:numPr>
          <w:ilvl w:val="0"/>
          <w:numId w:val="10"/>
        </w:numPr>
        <w:jc w:val="both"/>
        <w:rPr>
          <w:i/>
          <w:iCs/>
          <w:sz w:val="24"/>
          <w:szCs w:val="24"/>
        </w:rPr>
      </w:pPr>
      <w:r>
        <w:rPr>
          <w:b/>
          <w:bCs/>
          <w:i/>
          <w:iCs/>
          <w:sz w:val="24"/>
          <w:szCs w:val="24"/>
        </w:rPr>
        <w:t>Clădire cu înălţime obişnuită</w:t>
      </w:r>
      <w:r>
        <w:rPr>
          <w:i/>
          <w:iCs/>
          <w:sz w:val="24"/>
          <w:szCs w:val="24"/>
        </w:rPr>
        <w:t xml:space="preserve"> - clădire civilă supraterană care nu este clădire înaltă sau foarte înaltă.</w:t>
      </w:r>
    </w:p>
    <w:p w14:paraId="559732C7" w14:textId="77777777" w:rsidR="001C08A5" w:rsidRDefault="001C08A5">
      <w:pPr>
        <w:jc w:val="both"/>
        <w:rPr>
          <w:b/>
          <w:bCs/>
          <w:i/>
          <w:iCs/>
          <w:sz w:val="24"/>
          <w:szCs w:val="24"/>
        </w:rPr>
      </w:pPr>
    </w:p>
    <w:p w14:paraId="2483DA54" w14:textId="77777777" w:rsidR="001C08A5" w:rsidRDefault="00000000">
      <w:pPr>
        <w:widowControl w:val="0"/>
        <w:numPr>
          <w:ilvl w:val="0"/>
          <w:numId w:val="10"/>
        </w:numPr>
        <w:jc w:val="both"/>
        <w:rPr>
          <w:i/>
          <w:iCs/>
          <w:sz w:val="24"/>
          <w:szCs w:val="24"/>
        </w:rPr>
      </w:pPr>
      <w:r>
        <w:rPr>
          <w:b/>
          <w:i/>
          <w:iCs/>
          <w:sz w:val="24"/>
          <w:szCs w:val="24"/>
        </w:rPr>
        <w:t xml:space="preserve">Clădire cu funcţiuni mixte </w:t>
      </w:r>
      <w:r>
        <w:rPr>
          <w:i/>
          <w:iCs/>
          <w:sz w:val="24"/>
          <w:szCs w:val="24"/>
        </w:rPr>
        <w:t xml:space="preserve">- construcţie care cuprinde diferite funcţiuni principale civile-civile sau civile-de producţie şi/sau depozitare ori producţie-depozitare. </w:t>
      </w:r>
    </w:p>
    <w:p w14:paraId="715BA0C7" w14:textId="77777777" w:rsidR="001C08A5" w:rsidRDefault="001C08A5">
      <w:pPr>
        <w:jc w:val="both"/>
        <w:rPr>
          <w:b/>
          <w:bCs/>
          <w:i/>
          <w:iCs/>
          <w:sz w:val="24"/>
          <w:szCs w:val="24"/>
        </w:rPr>
      </w:pPr>
    </w:p>
    <w:p w14:paraId="6333F172" w14:textId="77777777" w:rsidR="001C08A5" w:rsidRDefault="00000000">
      <w:pPr>
        <w:numPr>
          <w:ilvl w:val="0"/>
          <w:numId w:val="10"/>
        </w:numPr>
        <w:jc w:val="both"/>
        <w:rPr>
          <w:b/>
          <w:bCs/>
          <w:i/>
          <w:iCs/>
          <w:sz w:val="24"/>
          <w:szCs w:val="24"/>
        </w:rPr>
      </w:pPr>
      <w:r>
        <w:rPr>
          <w:b/>
          <w:i/>
          <w:iCs/>
          <w:sz w:val="24"/>
          <w:szCs w:val="24"/>
        </w:rPr>
        <w:t>Clădire agrozootehnică</w:t>
      </w:r>
      <w:r>
        <w:rPr>
          <w:i/>
          <w:iCs/>
          <w:sz w:val="24"/>
          <w:szCs w:val="24"/>
        </w:rPr>
        <w:t xml:space="preserve"> - construcţie destinată diferitelor procese de producție din sectorul zootehnic (grajduri și adăposturi pentru animale și păsări) și cel agrovegetal (răsadnițe, sere, fabrici de nutrețuri, crame, secții de vinificație etc.). Din această categorie fac parte și construcțiile auxiliare producției: magazii de cereale pentru furajare animale, silozuri de nutrețuri, garaje, remize, ateliere etc.</w:t>
      </w:r>
    </w:p>
    <w:p w14:paraId="5AC285B1" w14:textId="77777777" w:rsidR="001C08A5" w:rsidRDefault="001C08A5">
      <w:pPr>
        <w:jc w:val="both"/>
        <w:rPr>
          <w:b/>
          <w:bCs/>
          <w:i/>
          <w:iCs/>
          <w:sz w:val="24"/>
          <w:szCs w:val="24"/>
        </w:rPr>
      </w:pPr>
    </w:p>
    <w:p w14:paraId="738FCAFD" w14:textId="77777777" w:rsidR="001C08A5" w:rsidRDefault="00000000">
      <w:pPr>
        <w:widowControl w:val="0"/>
        <w:numPr>
          <w:ilvl w:val="0"/>
          <w:numId w:val="10"/>
        </w:numPr>
        <w:jc w:val="both"/>
        <w:rPr>
          <w:i/>
          <w:iCs/>
          <w:sz w:val="24"/>
          <w:szCs w:val="24"/>
        </w:rPr>
      </w:pPr>
      <w:r>
        <w:rPr>
          <w:b/>
          <w:i/>
          <w:iCs/>
          <w:sz w:val="24"/>
          <w:szCs w:val="24"/>
        </w:rPr>
        <w:t>Compartiment de incendiu</w:t>
      </w:r>
      <w:r>
        <w:rPr>
          <w:i/>
          <w:iCs/>
          <w:sz w:val="24"/>
          <w:szCs w:val="24"/>
        </w:rPr>
        <w:t xml:space="preserve"> – poate fi constituit din:</w:t>
      </w:r>
    </w:p>
    <w:p w14:paraId="6E6B3721" w14:textId="77777777" w:rsidR="001C08A5" w:rsidRDefault="00000000">
      <w:pPr>
        <w:pStyle w:val="ListParagraph"/>
        <w:widowControl w:val="0"/>
        <w:numPr>
          <w:ilvl w:val="1"/>
          <w:numId w:val="10"/>
        </w:numPr>
        <w:ind w:left="2105"/>
        <w:jc w:val="both"/>
        <w:rPr>
          <w:i/>
          <w:iCs/>
          <w:kern w:val="1"/>
          <w:lang w:eastAsia="hi-IN" w:bidi="hi-IN"/>
        </w:rPr>
      </w:pPr>
      <w:r>
        <w:rPr>
          <w:i/>
          <w:iCs/>
        </w:rPr>
        <w:t>construcţie independentă,  amplasată la distanțe de siguranță față de clădirile adiacente;</w:t>
      </w:r>
    </w:p>
    <w:p w14:paraId="222EEA7F" w14:textId="77777777" w:rsidR="001C08A5" w:rsidRDefault="00000000">
      <w:pPr>
        <w:pStyle w:val="ListParagraph"/>
        <w:widowControl w:val="0"/>
        <w:numPr>
          <w:ilvl w:val="1"/>
          <w:numId w:val="10"/>
        </w:numPr>
        <w:ind w:left="2105"/>
        <w:jc w:val="both"/>
        <w:rPr>
          <w:i/>
          <w:iCs/>
          <w:kern w:val="1"/>
          <w:lang w:eastAsia="hi-IN" w:bidi="hi-IN"/>
        </w:rPr>
      </w:pPr>
      <w:r>
        <w:rPr>
          <w:i/>
          <w:iCs/>
        </w:rPr>
        <w:t>porţiune a unei clădiri înalte sau foarte înalte delimitată cu pereți și/sau planșee rezistenţi/ rezistente la foc de separare a compartimentelor de incendiu (pereti antifoc și planșee antifoc) față de restul construcției;</w:t>
      </w:r>
    </w:p>
    <w:p w14:paraId="7CE6C733" w14:textId="77777777" w:rsidR="001C08A5" w:rsidRDefault="00000000">
      <w:pPr>
        <w:pStyle w:val="ListParagraph"/>
        <w:widowControl w:val="0"/>
        <w:numPr>
          <w:ilvl w:val="1"/>
          <w:numId w:val="10"/>
        </w:numPr>
        <w:ind w:left="2105"/>
        <w:jc w:val="both"/>
        <w:rPr>
          <w:i/>
          <w:iCs/>
          <w:kern w:val="1"/>
          <w:lang w:eastAsia="hi-IN" w:bidi="hi-IN"/>
        </w:rPr>
      </w:pPr>
      <w:r>
        <w:rPr>
          <w:i/>
          <w:iCs/>
          <w:kern w:val="1"/>
          <w:lang w:eastAsia="hi-IN" w:bidi="hi-IN"/>
        </w:rPr>
        <w:t>grup de construcţii comasate în limita ariilor construite (</w:t>
      </w:r>
      <w:r>
        <w:rPr>
          <w:b/>
          <w:bCs/>
          <w:i/>
          <w:iCs/>
          <w:kern w:val="1"/>
          <w:lang w:eastAsia="hi-IN" w:bidi="hi-IN"/>
        </w:rPr>
        <w:t>Ac</w:t>
      </w:r>
      <w:r>
        <w:rPr>
          <w:i/>
          <w:iCs/>
          <w:kern w:val="1"/>
          <w:lang w:eastAsia="hi-IN" w:bidi="hi-IN"/>
        </w:rPr>
        <w:t xml:space="preserve">) maxime normate; în interiorul unui astfel de grup, construcţiile pot fi amplasate la distanţe mai mici decât distanţele de siguranţă normate </w:t>
      </w:r>
      <w:r>
        <w:rPr>
          <w:bCs/>
          <w:i/>
          <w:iCs/>
          <w:kern w:val="1"/>
          <w:lang w:eastAsia="hi-IN" w:bidi="hi-IN"/>
        </w:rPr>
        <w:t>ș</w:t>
      </w:r>
      <w:r>
        <w:rPr>
          <w:i/>
          <w:iCs/>
          <w:kern w:val="1"/>
          <w:lang w:eastAsia="hi-IN" w:bidi="hi-IN"/>
        </w:rPr>
        <w:t>i pot s</w:t>
      </w:r>
      <w:r>
        <w:rPr>
          <w:bCs/>
          <w:i/>
          <w:iCs/>
          <w:kern w:val="1"/>
          <w:lang w:eastAsia="hi-IN" w:bidi="hi-IN"/>
        </w:rPr>
        <w:t>ă</w:t>
      </w:r>
      <w:r>
        <w:rPr>
          <w:i/>
          <w:iCs/>
          <w:kern w:val="1"/>
          <w:lang w:eastAsia="hi-IN" w:bidi="hi-IN"/>
        </w:rPr>
        <w:t xml:space="preserve"> fie delimitate între ele numai prin elementele de compartimentare rezistente la foc necesare în interiorul compartimentului de incendiu; un grup de cl</w:t>
      </w:r>
      <w:r>
        <w:rPr>
          <w:bCs/>
          <w:i/>
          <w:iCs/>
          <w:kern w:val="1"/>
          <w:lang w:eastAsia="hi-IN" w:bidi="hi-IN"/>
        </w:rPr>
        <w:t>ă</w:t>
      </w:r>
      <w:r>
        <w:rPr>
          <w:i/>
          <w:iCs/>
          <w:kern w:val="1"/>
          <w:lang w:eastAsia="hi-IN" w:bidi="hi-IN"/>
        </w:rPr>
        <w:t>diri care constituie un compartiment de incendiu trebuie s</w:t>
      </w:r>
      <w:r>
        <w:rPr>
          <w:bCs/>
          <w:i/>
          <w:iCs/>
          <w:kern w:val="1"/>
          <w:lang w:eastAsia="hi-IN" w:bidi="hi-IN"/>
        </w:rPr>
        <w:t>ă</w:t>
      </w:r>
      <w:r>
        <w:rPr>
          <w:i/>
          <w:iCs/>
          <w:kern w:val="1"/>
          <w:lang w:eastAsia="hi-IN" w:bidi="hi-IN"/>
        </w:rPr>
        <w:t xml:space="preserve"> fie, îns</w:t>
      </w:r>
      <w:r>
        <w:rPr>
          <w:bCs/>
          <w:i/>
          <w:iCs/>
          <w:kern w:val="1"/>
          <w:lang w:eastAsia="hi-IN" w:bidi="hi-IN"/>
        </w:rPr>
        <w:t>ă</w:t>
      </w:r>
      <w:r>
        <w:rPr>
          <w:i/>
          <w:iCs/>
          <w:kern w:val="1"/>
          <w:lang w:eastAsia="hi-IN" w:bidi="hi-IN"/>
        </w:rPr>
        <w:t>, amplasat faţ</w:t>
      </w:r>
      <w:r>
        <w:rPr>
          <w:bCs/>
          <w:i/>
          <w:iCs/>
          <w:kern w:val="1"/>
          <w:lang w:eastAsia="hi-IN" w:bidi="hi-IN"/>
        </w:rPr>
        <w:t>ă</w:t>
      </w:r>
      <w:r>
        <w:rPr>
          <w:i/>
          <w:iCs/>
          <w:kern w:val="1"/>
          <w:lang w:eastAsia="hi-IN" w:bidi="hi-IN"/>
        </w:rPr>
        <w:t xml:space="preserve"> de alte cl</w:t>
      </w:r>
      <w:r>
        <w:rPr>
          <w:bCs/>
          <w:i/>
          <w:iCs/>
          <w:kern w:val="1"/>
          <w:lang w:eastAsia="hi-IN" w:bidi="hi-IN"/>
        </w:rPr>
        <w:t>ă</w:t>
      </w:r>
      <w:r>
        <w:rPr>
          <w:i/>
          <w:iCs/>
          <w:kern w:val="1"/>
          <w:lang w:eastAsia="hi-IN" w:bidi="hi-IN"/>
        </w:rPr>
        <w:t>diri la distanţele de siguranţ</w:t>
      </w:r>
      <w:r>
        <w:rPr>
          <w:bCs/>
          <w:i/>
          <w:iCs/>
          <w:kern w:val="1"/>
          <w:lang w:eastAsia="hi-IN" w:bidi="hi-IN"/>
        </w:rPr>
        <w:t>ă</w:t>
      </w:r>
      <w:r>
        <w:rPr>
          <w:i/>
          <w:iCs/>
          <w:kern w:val="1"/>
          <w:lang w:eastAsia="hi-IN" w:bidi="hi-IN"/>
        </w:rPr>
        <w:t xml:space="preserve"> normate, sau s</w:t>
      </w:r>
      <w:r>
        <w:rPr>
          <w:bCs/>
          <w:i/>
          <w:iCs/>
          <w:kern w:val="1"/>
          <w:lang w:eastAsia="hi-IN" w:bidi="hi-IN"/>
        </w:rPr>
        <w:t>ă</w:t>
      </w:r>
      <w:r>
        <w:rPr>
          <w:i/>
          <w:iCs/>
          <w:kern w:val="1"/>
          <w:lang w:eastAsia="hi-IN" w:bidi="hi-IN"/>
        </w:rPr>
        <w:t xml:space="preserve"> fie delimitat faţ</w:t>
      </w:r>
      <w:r>
        <w:rPr>
          <w:bCs/>
          <w:i/>
          <w:iCs/>
          <w:kern w:val="1"/>
          <w:lang w:eastAsia="hi-IN" w:bidi="hi-IN"/>
        </w:rPr>
        <w:t>ă</w:t>
      </w:r>
      <w:r>
        <w:rPr>
          <w:i/>
          <w:iCs/>
          <w:kern w:val="1"/>
          <w:lang w:eastAsia="hi-IN" w:bidi="hi-IN"/>
        </w:rPr>
        <w:t xml:space="preserve"> de acestea prin elemente de compartimentare rezistente la foc de separare a compartimentelor de incendiu;</w:t>
      </w:r>
    </w:p>
    <w:p w14:paraId="3C74F127" w14:textId="77777777" w:rsidR="001C08A5" w:rsidRDefault="00000000">
      <w:pPr>
        <w:widowControl w:val="0"/>
        <w:numPr>
          <w:ilvl w:val="0"/>
          <w:numId w:val="15"/>
        </w:numPr>
        <w:jc w:val="both"/>
        <w:rPr>
          <w:i/>
          <w:iCs/>
          <w:sz w:val="24"/>
          <w:szCs w:val="24"/>
        </w:rPr>
      </w:pPr>
      <w:r>
        <w:rPr>
          <w:i/>
          <w:iCs/>
          <w:sz w:val="24"/>
          <w:szCs w:val="24"/>
          <w:lang w:eastAsia="ro-RO"/>
        </w:rPr>
        <w:t xml:space="preserve">Clădirile înalte sau foarte înalte se pot compartimenta în maximum trei porţiuni volumetrice a câte trei niveluri fiecare </w:t>
      </w:r>
      <w:r>
        <w:rPr>
          <w:i/>
          <w:iCs/>
          <w:sz w:val="24"/>
          <w:szCs w:val="24"/>
        </w:rPr>
        <w:t>cu aria totală desfăşurată (</w:t>
      </w:r>
      <w:r>
        <w:rPr>
          <w:b/>
          <w:i/>
          <w:iCs/>
          <w:sz w:val="24"/>
          <w:szCs w:val="24"/>
        </w:rPr>
        <w:t>Ad</w:t>
      </w:r>
      <w:r>
        <w:rPr>
          <w:i/>
          <w:iCs/>
          <w:sz w:val="24"/>
          <w:szCs w:val="24"/>
        </w:rPr>
        <w:t xml:space="preserve">) de maximum </w:t>
      </w:r>
      <w:r>
        <w:rPr>
          <w:b/>
          <w:i/>
          <w:iCs/>
          <w:sz w:val="24"/>
          <w:szCs w:val="24"/>
        </w:rPr>
        <w:t xml:space="preserve">3.500 </w:t>
      </w:r>
      <w:r>
        <w:rPr>
          <w:b/>
          <w:bCs/>
          <w:i/>
          <w:iCs/>
          <w:sz w:val="24"/>
          <w:szCs w:val="24"/>
        </w:rPr>
        <w:t>m²</w:t>
      </w:r>
      <w:r>
        <w:rPr>
          <w:b/>
          <w:bCs/>
          <w:i/>
          <w:iCs/>
          <w:sz w:val="24"/>
          <w:szCs w:val="24"/>
          <w:lang w:eastAsia="ro-RO"/>
        </w:rPr>
        <w:t xml:space="preserve"> </w:t>
      </w:r>
      <w:r>
        <w:rPr>
          <w:i/>
          <w:iCs/>
          <w:sz w:val="24"/>
          <w:szCs w:val="24"/>
          <w:lang w:val="en-US" w:eastAsia="ro-RO"/>
        </w:rPr>
        <w:t xml:space="preserve">(cu excepția clădirilor de locuit foarte înalte la care se respectă dispozițiile specifice) </w:t>
      </w:r>
      <w:r>
        <w:rPr>
          <w:i/>
          <w:iCs/>
          <w:sz w:val="24"/>
          <w:szCs w:val="24"/>
          <w:lang w:eastAsia="ro-RO"/>
        </w:rPr>
        <w:t xml:space="preserve">și oricâte compartimente delimitate de pereți antifoc ce secționează clădirea integral pe verticală conform prevederilor normativului. Compartimentele formate din porţiuni volumetrice </w:t>
      </w:r>
      <w:r>
        <w:rPr>
          <w:i/>
          <w:iCs/>
          <w:sz w:val="24"/>
          <w:szCs w:val="24"/>
        </w:rPr>
        <w:t xml:space="preserve">sunt constituite din unul până la trei niveluri construite succesiv delimitate de planşee de separare a compartimentelor de incendiu rezistente la foc (planșee antifoc) şi după caz, pereţi de compartimentare rezistenți la foc (pereți antifoc), conform situații prezentate în </w:t>
      </w:r>
      <w:r>
        <w:fldChar w:fldCharType="begin"/>
      </w:r>
      <w:r>
        <w:instrText xml:space="preserve"> REF _Ref5727 \h </w:instrText>
      </w:r>
      <w:r>
        <w:fldChar w:fldCharType="separate"/>
      </w:r>
      <w:r>
        <w:t>Figura 8</w:t>
      </w:r>
      <w:r>
        <w:fldChar w:fldCharType="end"/>
      </w:r>
      <w:r>
        <w:rPr>
          <w:i/>
          <w:iCs/>
          <w:sz w:val="24"/>
          <w:szCs w:val="24"/>
        </w:rPr>
        <w:t xml:space="preserve"> și</w:t>
      </w:r>
      <w:r>
        <w:rPr>
          <w:b/>
          <w:bCs/>
          <w:i/>
          <w:iCs/>
          <w:sz w:val="24"/>
          <w:szCs w:val="24"/>
        </w:rPr>
        <w:t xml:space="preserve"> </w:t>
      </w:r>
      <w:r>
        <w:fldChar w:fldCharType="begin"/>
      </w:r>
      <w:r>
        <w:instrText xml:space="preserve"> REF _Ref5734 \h </w:instrText>
      </w:r>
      <w:r>
        <w:fldChar w:fldCharType="separate"/>
      </w:r>
      <w:r>
        <w:t>Figura 9</w:t>
      </w:r>
      <w:r>
        <w:fldChar w:fldCharType="end"/>
      </w:r>
      <w:r>
        <w:rPr>
          <w:i/>
          <w:iCs/>
          <w:sz w:val="24"/>
          <w:szCs w:val="24"/>
        </w:rPr>
        <w:t>.</w:t>
      </w:r>
    </w:p>
    <w:p w14:paraId="6D54484C" w14:textId="77777777" w:rsidR="001C08A5" w:rsidRDefault="00000000">
      <w:pPr>
        <w:widowControl w:val="0"/>
        <w:numPr>
          <w:ilvl w:val="0"/>
          <w:numId w:val="15"/>
        </w:numPr>
        <w:jc w:val="both"/>
        <w:rPr>
          <w:i/>
          <w:iCs/>
          <w:sz w:val="24"/>
          <w:szCs w:val="24"/>
        </w:rPr>
      </w:pPr>
      <w:r>
        <w:rPr>
          <w:i/>
          <w:iCs/>
          <w:sz w:val="24"/>
          <w:szCs w:val="24"/>
        </w:rPr>
        <w:t xml:space="preserve">Clădirile subterane (și porțiunile subterane ale clădirilor supraterane) cu excepţia parcajelor subterane (exemplu: </w:t>
      </w:r>
      <w:r>
        <w:rPr>
          <w:b/>
          <w:bCs/>
          <w:i/>
          <w:iCs/>
          <w:sz w:val="24"/>
          <w:szCs w:val="24"/>
        </w:rPr>
        <w:fldChar w:fldCharType="begin"/>
      </w:r>
      <w:r>
        <w:rPr>
          <w:b/>
          <w:bCs/>
          <w:i/>
          <w:iCs/>
          <w:sz w:val="24"/>
          <w:szCs w:val="24"/>
        </w:rPr>
        <w:instrText xml:space="preserve"> REF _Ref5473 \h </w:instrText>
      </w:r>
      <w:r>
        <w:rPr>
          <w:b/>
          <w:bCs/>
          <w:i/>
          <w:iCs/>
          <w:sz w:val="24"/>
          <w:szCs w:val="24"/>
        </w:rPr>
      </w:r>
      <w:r>
        <w:rPr>
          <w:b/>
          <w:bCs/>
          <w:i/>
          <w:iCs/>
          <w:sz w:val="24"/>
          <w:szCs w:val="24"/>
        </w:rPr>
        <w:fldChar w:fldCharType="separate"/>
      </w:r>
      <w:r>
        <w:t>Figura 6</w:t>
      </w:r>
      <w:r>
        <w:rPr>
          <w:b/>
          <w:bCs/>
          <w:i/>
          <w:iCs/>
          <w:sz w:val="24"/>
          <w:szCs w:val="24"/>
        </w:rPr>
        <w:fldChar w:fldCharType="end"/>
      </w:r>
      <w:r>
        <w:rPr>
          <w:i/>
          <w:iCs/>
          <w:sz w:val="24"/>
          <w:szCs w:val="24"/>
        </w:rPr>
        <w:t>), se pot compartimenta pe toată înălţimea lor cu pereţi rezistenţi la foc de delimitare a compartimentelor de incendiu (pe aceeași verticală), în limita ariei construite (</w:t>
      </w:r>
      <w:r>
        <w:rPr>
          <w:b/>
          <w:i/>
          <w:iCs/>
          <w:sz w:val="24"/>
          <w:szCs w:val="24"/>
        </w:rPr>
        <w:t>Ac</w:t>
      </w:r>
      <w:r>
        <w:rPr>
          <w:i/>
          <w:iCs/>
          <w:sz w:val="24"/>
          <w:szCs w:val="24"/>
        </w:rPr>
        <w:t xml:space="preserve">) de maximum </w:t>
      </w:r>
      <w:r>
        <w:rPr>
          <w:b/>
          <w:i/>
          <w:iCs/>
          <w:sz w:val="24"/>
          <w:szCs w:val="24"/>
        </w:rPr>
        <w:t xml:space="preserve">3.500 </w:t>
      </w:r>
      <w:r>
        <w:rPr>
          <w:i/>
          <w:iCs/>
          <w:sz w:val="24"/>
          <w:szCs w:val="24"/>
        </w:rPr>
        <w:t>m²sau se pot compartimenta în porţiuni volumetrice ale acestora cu aria totală desfăşurată (</w:t>
      </w:r>
      <w:r>
        <w:rPr>
          <w:b/>
          <w:i/>
          <w:iCs/>
          <w:sz w:val="24"/>
          <w:szCs w:val="24"/>
        </w:rPr>
        <w:t>Ad</w:t>
      </w:r>
      <w:r>
        <w:rPr>
          <w:i/>
          <w:iCs/>
          <w:sz w:val="24"/>
          <w:szCs w:val="24"/>
        </w:rPr>
        <w:t xml:space="preserve">) de maximum </w:t>
      </w:r>
      <w:r>
        <w:rPr>
          <w:b/>
          <w:i/>
          <w:iCs/>
          <w:sz w:val="24"/>
          <w:szCs w:val="24"/>
        </w:rPr>
        <w:t xml:space="preserve">3.500 </w:t>
      </w:r>
      <w:r>
        <w:rPr>
          <w:b/>
          <w:bCs/>
          <w:i/>
          <w:iCs/>
          <w:sz w:val="24"/>
          <w:szCs w:val="24"/>
        </w:rPr>
        <w:t>m²</w:t>
      </w:r>
      <w:r>
        <w:rPr>
          <w:i/>
          <w:iCs/>
          <w:sz w:val="24"/>
          <w:szCs w:val="24"/>
        </w:rPr>
        <w:t xml:space="preserve">, porţiuni </w:t>
      </w:r>
      <w:r>
        <w:rPr>
          <w:i/>
          <w:iCs/>
          <w:sz w:val="24"/>
          <w:szCs w:val="24"/>
        </w:rPr>
        <w:lastRenderedPageBreak/>
        <w:t xml:space="preserve">constituite </w:t>
      </w:r>
      <w:r>
        <w:rPr>
          <w:i/>
          <w:iCs/>
          <w:sz w:val="24"/>
          <w:szCs w:val="24"/>
          <w:lang w:eastAsia="ro-RO"/>
        </w:rPr>
        <w:t>din unul până la trei niveluri construite succesive,</w:t>
      </w:r>
      <w:r>
        <w:rPr>
          <w:i/>
          <w:iCs/>
          <w:sz w:val="24"/>
          <w:szCs w:val="24"/>
        </w:rPr>
        <w:t xml:space="preserve"> delimitate de planşee şi, după caz, pereţi de compartimentare rezistenţi la foc </w:t>
      </w:r>
      <w:r>
        <w:rPr>
          <w:i/>
          <w:iCs/>
          <w:sz w:val="24"/>
          <w:szCs w:val="24"/>
          <w:lang w:eastAsia="ro-RO"/>
        </w:rPr>
        <w:t>(planșee antifoc și pereți antifoc).</w:t>
      </w:r>
    </w:p>
    <w:p w14:paraId="5566715C" w14:textId="77777777" w:rsidR="001C08A5" w:rsidRDefault="00000000">
      <w:pPr>
        <w:widowControl w:val="0"/>
        <w:numPr>
          <w:ilvl w:val="255"/>
          <w:numId w:val="0"/>
        </w:numPr>
        <w:ind w:left="420"/>
        <w:jc w:val="center"/>
        <w:rPr>
          <w:i/>
          <w:iCs/>
          <w:sz w:val="24"/>
          <w:szCs w:val="24"/>
        </w:rPr>
      </w:pPr>
      <w:r>
        <w:rPr>
          <w:noProof/>
        </w:rPr>
        <w:drawing>
          <wp:inline distT="0" distB="0" distL="114300" distR="114300" wp14:anchorId="35CFF3EC" wp14:editId="05CD761C">
            <wp:extent cx="5429250" cy="2319655"/>
            <wp:effectExtent l="0" t="0" r="0" b="4445"/>
            <wp:docPr id="4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7"/>
                    <pic:cNvPicPr>
                      <a:picLocks noChangeAspect="1"/>
                    </pic:cNvPicPr>
                  </pic:nvPicPr>
                  <pic:blipFill>
                    <a:blip r:embed="rId54"/>
                    <a:srcRect l="16294" t="9831" r="11785" b="1932"/>
                    <a:stretch>
                      <a:fillRect/>
                    </a:stretch>
                  </pic:blipFill>
                  <pic:spPr>
                    <a:xfrm>
                      <a:off x="0" y="0"/>
                      <a:ext cx="5429250" cy="2319655"/>
                    </a:xfrm>
                    <a:prstGeom prst="rect">
                      <a:avLst/>
                    </a:prstGeom>
                    <a:noFill/>
                    <a:ln>
                      <a:noFill/>
                    </a:ln>
                  </pic:spPr>
                </pic:pic>
              </a:graphicData>
            </a:graphic>
          </wp:inline>
        </w:drawing>
      </w:r>
    </w:p>
    <w:p w14:paraId="5617CA09" w14:textId="77777777" w:rsidR="001C08A5" w:rsidRDefault="00000000">
      <w:pPr>
        <w:pStyle w:val="Caption"/>
        <w:jc w:val="center"/>
        <w:rPr>
          <w:rFonts w:cs="Times New Roman"/>
          <w:b w:val="0"/>
          <w:bCs/>
          <w:sz w:val="22"/>
          <w:szCs w:val="22"/>
        </w:rPr>
      </w:pPr>
      <w:r>
        <w:rPr>
          <w:rFonts w:cs="Times New Roman"/>
          <w:sz w:val="22"/>
          <w:szCs w:val="22"/>
        </w:rPr>
        <w:t xml:space="preserve">Varianta a) </w:t>
      </w:r>
      <w:r>
        <w:rPr>
          <w:rFonts w:eastAsia="Times New Roman" w:cs="Times New Roman"/>
          <w:b w:val="0"/>
          <w:bCs/>
          <w:sz w:val="22"/>
          <w:szCs w:val="22"/>
        </w:rPr>
        <w:t xml:space="preserve">Compartimentare antifoc la clădirile și compartimentele de incendiu supraterane civile cu înălțime obișnuită (nivel </w:t>
      </w:r>
      <w:r>
        <w:rPr>
          <w:rFonts w:eastAsia="Times New Roman" w:cs="Times New Roman"/>
          <w:sz w:val="22"/>
          <w:szCs w:val="22"/>
        </w:rPr>
        <w:t xml:space="preserve">II </w:t>
      </w:r>
      <w:r>
        <w:rPr>
          <w:rFonts w:eastAsia="Times New Roman" w:cs="Times New Roman"/>
          <w:b w:val="0"/>
          <w:bCs/>
          <w:sz w:val="22"/>
          <w:szCs w:val="22"/>
        </w:rPr>
        <w:t>de stabilitate la incendiu) prevăzute cu parcaj subteran</w:t>
      </w:r>
    </w:p>
    <w:p w14:paraId="69AE9F85" w14:textId="77777777" w:rsidR="001C08A5" w:rsidRDefault="00000000">
      <w:pPr>
        <w:jc w:val="center"/>
      </w:pPr>
      <w:r>
        <w:rPr>
          <w:noProof/>
        </w:rPr>
        <w:drawing>
          <wp:inline distT="0" distB="0" distL="114300" distR="114300" wp14:anchorId="3638CDB0" wp14:editId="3C37B7A6">
            <wp:extent cx="5394960" cy="2291715"/>
            <wp:effectExtent l="0" t="0" r="15240" b="13335"/>
            <wp:docPr id="4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8"/>
                    <pic:cNvPicPr>
                      <a:picLocks noChangeAspect="1"/>
                    </pic:cNvPicPr>
                  </pic:nvPicPr>
                  <pic:blipFill>
                    <a:blip r:embed="rId55"/>
                    <a:srcRect l="16524" t="12979" r="11997" b="6534"/>
                    <a:stretch>
                      <a:fillRect/>
                    </a:stretch>
                  </pic:blipFill>
                  <pic:spPr>
                    <a:xfrm>
                      <a:off x="0" y="0"/>
                      <a:ext cx="5394960" cy="2291715"/>
                    </a:xfrm>
                    <a:prstGeom prst="rect">
                      <a:avLst/>
                    </a:prstGeom>
                    <a:noFill/>
                    <a:ln>
                      <a:noFill/>
                    </a:ln>
                  </pic:spPr>
                </pic:pic>
              </a:graphicData>
            </a:graphic>
          </wp:inline>
        </w:drawing>
      </w:r>
    </w:p>
    <w:p w14:paraId="6B2AB2DD" w14:textId="77777777" w:rsidR="001C08A5" w:rsidRDefault="00000000">
      <w:pPr>
        <w:pStyle w:val="Caption"/>
        <w:jc w:val="center"/>
        <w:rPr>
          <w:rFonts w:cs="Times New Roman"/>
          <w:b w:val="0"/>
          <w:bCs/>
          <w:sz w:val="22"/>
          <w:szCs w:val="22"/>
        </w:rPr>
      </w:pPr>
      <w:r>
        <w:rPr>
          <w:rFonts w:cs="Times New Roman"/>
          <w:sz w:val="22"/>
          <w:szCs w:val="22"/>
        </w:rPr>
        <w:t xml:space="preserve">Varianta b) </w:t>
      </w:r>
      <w:r>
        <w:rPr>
          <w:rFonts w:eastAsia="Times New Roman" w:cs="Times New Roman"/>
          <w:b w:val="0"/>
          <w:bCs/>
          <w:sz w:val="22"/>
          <w:szCs w:val="22"/>
        </w:rPr>
        <w:t xml:space="preserve">Compartimentare antifoc la clădirile și compartimentele de incendiu supraterane civile cu înălțime obișnuită (nivel </w:t>
      </w:r>
      <w:r>
        <w:rPr>
          <w:rFonts w:eastAsia="Times New Roman" w:cs="Times New Roman"/>
          <w:sz w:val="22"/>
          <w:szCs w:val="22"/>
        </w:rPr>
        <w:t xml:space="preserve">II </w:t>
      </w:r>
      <w:r>
        <w:rPr>
          <w:rFonts w:eastAsia="Times New Roman" w:cs="Times New Roman"/>
          <w:b w:val="0"/>
          <w:bCs/>
          <w:sz w:val="22"/>
          <w:szCs w:val="22"/>
        </w:rPr>
        <w:t>de stabilitate la incendiu) care nu sunt prevăzute cu parcaj suprateran și/ sau subteran</w:t>
      </w:r>
    </w:p>
    <w:p w14:paraId="601CCAA9" w14:textId="77777777" w:rsidR="001C08A5" w:rsidRDefault="001C08A5">
      <w:pPr>
        <w:jc w:val="center"/>
      </w:pPr>
    </w:p>
    <w:p w14:paraId="4B979155" w14:textId="77777777" w:rsidR="001C08A5" w:rsidRDefault="001C08A5">
      <w:pPr>
        <w:jc w:val="center"/>
        <w:rPr>
          <w:lang w:eastAsia="ro-RO"/>
        </w:rPr>
      </w:pPr>
    </w:p>
    <w:p w14:paraId="10AF3EDA" w14:textId="77777777" w:rsidR="001C08A5" w:rsidRDefault="00000000">
      <w:pPr>
        <w:jc w:val="center"/>
        <w:rPr>
          <w:lang w:eastAsia="ro-RO"/>
        </w:rPr>
      </w:pPr>
      <w:r>
        <w:rPr>
          <w:noProof/>
        </w:rPr>
        <w:drawing>
          <wp:inline distT="0" distB="0" distL="114300" distR="114300" wp14:anchorId="408D258F" wp14:editId="01E6B904">
            <wp:extent cx="5386070" cy="2903855"/>
            <wp:effectExtent l="0" t="0" r="5080" b="10795"/>
            <wp:docPr id="4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9"/>
                    <pic:cNvPicPr>
                      <a:picLocks noChangeAspect="1"/>
                    </pic:cNvPicPr>
                  </pic:nvPicPr>
                  <pic:blipFill>
                    <a:blip r:embed="rId56"/>
                    <a:srcRect l="16524" t="2929" r="12115" b="10658"/>
                    <a:stretch>
                      <a:fillRect/>
                    </a:stretch>
                  </pic:blipFill>
                  <pic:spPr>
                    <a:xfrm>
                      <a:off x="0" y="0"/>
                      <a:ext cx="5386070" cy="2903855"/>
                    </a:xfrm>
                    <a:prstGeom prst="rect">
                      <a:avLst/>
                    </a:prstGeom>
                    <a:noFill/>
                    <a:ln>
                      <a:noFill/>
                    </a:ln>
                  </pic:spPr>
                </pic:pic>
              </a:graphicData>
            </a:graphic>
          </wp:inline>
        </w:drawing>
      </w:r>
    </w:p>
    <w:p w14:paraId="2E0AE3EC" w14:textId="77777777" w:rsidR="001C08A5" w:rsidRDefault="00000000">
      <w:pPr>
        <w:pStyle w:val="Caption"/>
        <w:jc w:val="center"/>
        <w:rPr>
          <w:rFonts w:cs="Times New Roman"/>
          <w:sz w:val="22"/>
          <w:szCs w:val="22"/>
        </w:rPr>
      </w:pPr>
      <w:bookmarkStart w:id="154" w:name="_Toc9210"/>
      <w:bookmarkStart w:id="155" w:name="_Toc8217"/>
      <w:r>
        <w:rPr>
          <w:rFonts w:cs="Times New Roman"/>
          <w:sz w:val="22"/>
          <w:szCs w:val="22"/>
        </w:rPr>
        <w:lastRenderedPageBreak/>
        <w:t xml:space="preserve">Varianta c) </w:t>
      </w:r>
      <w:r>
        <w:rPr>
          <w:rFonts w:eastAsia="Times New Roman" w:cs="Times New Roman"/>
          <w:b w:val="0"/>
          <w:bCs/>
          <w:sz w:val="22"/>
          <w:szCs w:val="22"/>
        </w:rPr>
        <w:t xml:space="preserve">Compartimentare antifoc la clădirile și compartimentele de incendiu supraterane civile cu înălțime obișnuită (nivel </w:t>
      </w:r>
      <w:r>
        <w:rPr>
          <w:rFonts w:eastAsia="Times New Roman" w:cs="Times New Roman"/>
          <w:sz w:val="22"/>
          <w:szCs w:val="22"/>
        </w:rPr>
        <w:t>II</w:t>
      </w:r>
      <w:r>
        <w:rPr>
          <w:rFonts w:eastAsia="Times New Roman" w:cs="Times New Roman"/>
          <w:b w:val="0"/>
          <w:bCs/>
          <w:sz w:val="22"/>
          <w:szCs w:val="22"/>
        </w:rPr>
        <w:t xml:space="preserve"> de stabilitate la incendiu) prevăzute cu parcaj suprateran și subteran</w:t>
      </w:r>
      <w:bookmarkEnd w:id="154"/>
      <w:bookmarkEnd w:id="155"/>
    </w:p>
    <w:p w14:paraId="72D6AD72" w14:textId="77777777" w:rsidR="001C08A5" w:rsidRDefault="00000000">
      <w:pPr>
        <w:pStyle w:val="Caption"/>
        <w:jc w:val="center"/>
        <w:rPr>
          <w:rFonts w:cs="Times New Roman"/>
        </w:rPr>
      </w:pPr>
      <w:bookmarkStart w:id="156" w:name="_Ref5473"/>
      <w:bookmarkStart w:id="157" w:name="_Toc162360230"/>
      <w:bookmarkStart w:id="158" w:name="_Toc18214"/>
      <w:bookmarkStart w:id="159" w:name="_Toc32712"/>
      <w:bookmarkStart w:id="160" w:name="_Toc22145"/>
      <w:bookmarkStart w:id="161" w:name="_Toc25936"/>
      <w:bookmarkStart w:id="162" w:name="_Toc7868"/>
      <w:bookmarkStart w:id="163" w:name="_Toc2596"/>
      <w:r>
        <w:t xml:space="preserve">Figura </w:t>
      </w:r>
      <w:r>
        <w:fldChar w:fldCharType="begin"/>
      </w:r>
      <w:r>
        <w:instrText xml:space="preserve"> SEQ Figura \* ARABIC </w:instrText>
      </w:r>
      <w:r>
        <w:fldChar w:fldCharType="separate"/>
      </w:r>
      <w:r>
        <w:t>6</w:t>
      </w:r>
      <w:r>
        <w:fldChar w:fldCharType="end"/>
      </w:r>
      <w:bookmarkStart w:id="164" w:name="_Toc14117"/>
      <w:bookmarkStart w:id="165" w:name="_Toc18138"/>
      <w:bookmarkStart w:id="166" w:name="_Toc439"/>
      <w:bookmarkStart w:id="167" w:name="_Toc7293"/>
      <w:bookmarkStart w:id="168" w:name="_Toc9771"/>
      <w:bookmarkStart w:id="169" w:name="_Toc10010"/>
      <w:bookmarkStart w:id="170" w:name="_Toc23617"/>
      <w:bookmarkStart w:id="171" w:name="_Toc4099"/>
      <w:bookmarkStart w:id="172" w:name="_Toc23588"/>
      <w:bookmarkStart w:id="173" w:name="_Toc10013"/>
      <w:bookmarkStart w:id="174" w:name="_Toc11659"/>
      <w:bookmarkEnd w:id="156"/>
      <w:r>
        <w:t xml:space="preserve"> - </w:t>
      </w:r>
      <w:r>
        <w:rPr>
          <w:rFonts w:eastAsia="Times New Roman" w:cs="Times New Roman"/>
        </w:rPr>
        <w:t>Compartimentare antifoc la partea supraterană și subterană la clădirile și compartimentele de incendiu civile cu înălțime obișnuită (nivel II de stabilitate la incendiu)</w:t>
      </w:r>
      <w:bookmarkEnd w:id="157"/>
      <w:r>
        <w:rPr>
          <w:rFonts w:eastAsia="Times New Roman" w:cs="Times New Roman"/>
        </w:rPr>
        <w:t xml:space="preserve"> </w:t>
      </w:r>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p w14:paraId="30C8F104" w14:textId="77777777" w:rsidR="001C08A5" w:rsidRDefault="00000000">
      <w:pPr>
        <w:widowControl w:val="0"/>
        <w:numPr>
          <w:ilvl w:val="0"/>
          <w:numId w:val="15"/>
        </w:numPr>
        <w:jc w:val="both"/>
        <w:rPr>
          <w:i/>
          <w:iCs/>
          <w:sz w:val="24"/>
          <w:szCs w:val="24"/>
        </w:rPr>
      </w:pPr>
      <w:r>
        <w:rPr>
          <w:i/>
          <w:iCs/>
          <w:sz w:val="24"/>
          <w:szCs w:val="24"/>
        </w:rPr>
        <w:t xml:space="preserve">Construcțiile pot fi constituite din mai multe compartimente de incendiu alipite, înglobate sau suprapuse, în condițiile alineatelor anterioare (exemplu: </w:t>
      </w:r>
      <w:r>
        <w:rPr>
          <w:b/>
          <w:bCs/>
          <w:i/>
          <w:iCs/>
          <w:sz w:val="24"/>
          <w:szCs w:val="24"/>
        </w:rPr>
        <w:fldChar w:fldCharType="begin"/>
      </w:r>
      <w:r>
        <w:rPr>
          <w:b/>
          <w:bCs/>
          <w:i/>
          <w:iCs/>
          <w:sz w:val="24"/>
          <w:szCs w:val="24"/>
        </w:rPr>
        <w:instrText xml:space="preserve"> REF _Ref5711 \h </w:instrText>
      </w:r>
      <w:r>
        <w:rPr>
          <w:b/>
          <w:bCs/>
          <w:i/>
          <w:iCs/>
          <w:sz w:val="24"/>
          <w:szCs w:val="24"/>
        </w:rPr>
      </w:r>
      <w:r>
        <w:rPr>
          <w:b/>
          <w:bCs/>
          <w:i/>
          <w:iCs/>
          <w:sz w:val="24"/>
          <w:szCs w:val="24"/>
        </w:rPr>
        <w:fldChar w:fldCharType="separate"/>
      </w:r>
      <w:r>
        <w:t>Figura 7</w:t>
      </w:r>
      <w:r>
        <w:rPr>
          <w:b/>
          <w:bCs/>
          <w:i/>
          <w:iCs/>
          <w:sz w:val="24"/>
          <w:szCs w:val="24"/>
        </w:rPr>
        <w:fldChar w:fldCharType="end"/>
      </w:r>
      <w:r>
        <w:rPr>
          <w:b/>
          <w:bCs/>
          <w:i/>
          <w:iCs/>
          <w:sz w:val="24"/>
          <w:szCs w:val="24"/>
        </w:rPr>
        <w:t xml:space="preserve">, </w:t>
      </w:r>
      <w:r>
        <w:rPr>
          <w:b/>
          <w:bCs/>
          <w:i/>
          <w:iCs/>
          <w:sz w:val="24"/>
          <w:szCs w:val="24"/>
        </w:rPr>
        <w:fldChar w:fldCharType="begin"/>
      </w:r>
      <w:r>
        <w:rPr>
          <w:b/>
          <w:bCs/>
          <w:i/>
          <w:iCs/>
          <w:sz w:val="24"/>
          <w:szCs w:val="24"/>
        </w:rPr>
        <w:instrText xml:space="preserve"> REF _Ref5727 \h </w:instrText>
      </w:r>
      <w:r>
        <w:rPr>
          <w:b/>
          <w:bCs/>
          <w:i/>
          <w:iCs/>
          <w:sz w:val="24"/>
          <w:szCs w:val="24"/>
        </w:rPr>
      </w:r>
      <w:r>
        <w:rPr>
          <w:b/>
          <w:bCs/>
          <w:i/>
          <w:iCs/>
          <w:sz w:val="24"/>
          <w:szCs w:val="24"/>
        </w:rPr>
        <w:fldChar w:fldCharType="separate"/>
      </w:r>
      <w:r>
        <w:t>Figura 8</w:t>
      </w:r>
      <w:r>
        <w:rPr>
          <w:b/>
          <w:bCs/>
          <w:i/>
          <w:iCs/>
          <w:sz w:val="24"/>
          <w:szCs w:val="24"/>
        </w:rPr>
        <w:fldChar w:fldCharType="end"/>
      </w:r>
      <w:r>
        <w:rPr>
          <w:b/>
          <w:bCs/>
          <w:i/>
          <w:iCs/>
          <w:sz w:val="24"/>
          <w:szCs w:val="24"/>
        </w:rPr>
        <w:t xml:space="preserve"> </w:t>
      </w:r>
      <w:r>
        <w:rPr>
          <w:i/>
          <w:iCs/>
          <w:sz w:val="24"/>
          <w:szCs w:val="24"/>
        </w:rPr>
        <w:t>și</w:t>
      </w:r>
      <w:r>
        <w:rPr>
          <w:b/>
          <w:bCs/>
          <w:i/>
          <w:iCs/>
          <w:sz w:val="24"/>
          <w:szCs w:val="24"/>
        </w:rPr>
        <w:t xml:space="preserve"> </w:t>
      </w:r>
      <w:r>
        <w:rPr>
          <w:b/>
          <w:bCs/>
          <w:i/>
          <w:iCs/>
          <w:sz w:val="24"/>
          <w:szCs w:val="24"/>
        </w:rPr>
        <w:fldChar w:fldCharType="begin"/>
      </w:r>
      <w:r>
        <w:rPr>
          <w:b/>
          <w:bCs/>
          <w:i/>
          <w:iCs/>
          <w:sz w:val="24"/>
          <w:szCs w:val="24"/>
        </w:rPr>
        <w:instrText xml:space="preserve"> REF _Ref5734 \h </w:instrText>
      </w:r>
      <w:r>
        <w:rPr>
          <w:b/>
          <w:bCs/>
          <w:i/>
          <w:iCs/>
          <w:sz w:val="24"/>
          <w:szCs w:val="24"/>
        </w:rPr>
      </w:r>
      <w:r>
        <w:rPr>
          <w:b/>
          <w:bCs/>
          <w:i/>
          <w:iCs/>
          <w:sz w:val="24"/>
          <w:szCs w:val="24"/>
        </w:rPr>
        <w:fldChar w:fldCharType="separate"/>
      </w:r>
      <w:r>
        <w:t>Figura 9</w:t>
      </w:r>
      <w:r>
        <w:rPr>
          <w:b/>
          <w:bCs/>
          <w:i/>
          <w:iCs/>
          <w:sz w:val="24"/>
          <w:szCs w:val="24"/>
        </w:rPr>
        <w:fldChar w:fldCharType="end"/>
      </w:r>
      <w:r>
        <w:rPr>
          <w:i/>
          <w:iCs/>
          <w:sz w:val="24"/>
          <w:szCs w:val="24"/>
        </w:rPr>
        <w:t>).</w:t>
      </w:r>
    </w:p>
    <w:p w14:paraId="27D2F102" w14:textId="77777777" w:rsidR="001C08A5" w:rsidRDefault="001C08A5">
      <w:pPr>
        <w:widowControl w:val="0"/>
        <w:numPr>
          <w:ilvl w:val="255"/>
          <w:numId w:val="0"/>
        </w:numPr>
        <w:ind w:left="420"/>
        <w:jc w:val="both"/>
        <w:rPr>
          <w:i/>
          <w:iCs/>
          <w:sz w:val="24"/>
          <w:szCs w:val="24"/>
        </w:rPr>
      </w:pPr>
    </w:p>
    <w:tbl>
      <w:tblPr>
        <w:tblW w:w="0" w:type="auto"/>
        <w:tblLook w:val="04A0" w:firstRow="1" w:lastRow="0" w:firstColumn="1" w:lastColumn="0" w:noHBand="0" w:noVBand="1"/>
      </w:tblPr>
      <w:tblGrid>
        <w:gridCol w:w="6006"/>
        <w:gridCol w:w="3633"/>
      </w:tblGrid>
      <w:tr w:rsidR="001C08A5" w14:paraId="605D7847" w14:textId="77777777">
        <w:tc>
          <w:tcPr>
            <w:tcW w:w="4927" w:type="dxa"/>
          </w:tcPr>
          <w:p w14:paraId="6274A94C" w14:textId="77777777" w:rsidR="001C08A5" w:rsidRDefault="00000000">
            <w:pPr>
              <w:widowControl w:val="0"/>
              <w:tabs>
                <w:tab w:val="left" w:pos="845"/>
              </w:tabs>
              <w:jc w:val="center"/>
              <w:rPr>
                <w:sz w:val="22"/>
                <w:szCs w:val="22"/>
                <w:lang w:eastAsia="ro-RO"/>
              </w:rPr>
            </w:pPr>
            <w:r>
              <w:rPr>
                <w:noProof/>
                <w:sz w:val="22"/>
                <w:szCs w:val="22"/>
                <w:lang w:eastAsia="ro-RO"/>
              </w:rPr>
              <w:drawing>
                <wp:inline distT="0" distB="0" distL="114300" distR="114300" wp14:anchorId="0B548EAC" wp14:editId="45F20326">
                  <wp:extent cx="3667125" cy="2402840"/>
                  <wp:effectExtent l="0" t="0" r="9525" b="16510"/>
                  <wp:docPr id="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pic:cNvPicPr>
                        </pic:nvPicPr>
                        <pic:blipFill>
                          <a:blip r:embed="rId57"/>
                          <a:srcRect l="28138" t="4780" r="23312" b="8669"/>
                          <a:stretch>
                            <a:fillRect/>
                          </a:stretch>
                        </pic:blipFill>
                        <pic:spPr>
                          <a:xfrm>
                            <a:off x="0" y="0"/>
                            <a:ext cx="3667125" cy="2402840"/>
                          </a:xfrm>
                          <a:prstGeom prst="rect">
                            <a:avLst/>
                          </a:prstGeom>
                          <a:noFill/>
                          <a:ln>
                            <a:noFill/>
                          </a:ln>
                        </pic:spPr>
                      </pic:pic>
                    </a:graphicData>
                  </a:graphic>
                </wp:inline>
              </w:drawing>
            </w:r>
          </w:p>
        </w:tc>
        <w:tc>
          <w:tcPr>
            <w:tcW w:w="4928" w:type="dxa"/>
          </w:tcPr>
          <w:p w14:paraId="308FC511"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1687EBB4" w14:textId="77777777" w:rsidR="001C08A5" w:rsidRDefault="00000000">
            <w:pPr>
              <w:widowControl w:val="0"/>
              <w:tabs>
                <w:tab w:val="left" w:pos="845"/>
              </w:tabs>
              <w:rPr>
                <w:b/>
                <w:bCs/>
                <w:i/>
                <w:iCs/>
                <w:sz w:val="22"/>
                <w:szCs w:val="22"/>
              </w:rPr>
            </w:pPr>
            <w:r>
              <w:rPr>
                <w:b/>
                <w:bCs/>
                <w:i/>
                <w:iCs/>
                <w:sz w:val="22"/>
                <w:szCs w:val="22"/>
              </w:rPr>
              <w:t>C1, C2, C3, C4 - compartimente de incendiu distincte, nivel II de stabilitate la incendiu</w:t>
            </w:r>
          </w:p>
          <w:p w14:paraId="776A19A6" w14:textId="77777777" w:rsidR="001C08A5" w:rsidRDefault="001C08A5">
            <w:pPr>
              <w:widowControl w:val="0"/>
              <w:tabs>
                <w:tab w:val="left" w:pos="845"/>
              </w:tabs>
              <w:rPr>
                <w:i/>
                <w:iCs/>
                <w:sz w:val="10"/>
                <w:szCs w:val="10"/>
              </w:rPr>
            </w:pPr>
          </w:p>
          <w:p w14:paraId="3C66FD86" w14:textId="77777777" w:rsidR="001C08A5" w:rsidRDefault="00000000">
            <w:pPr>
              <w:widowControl w:val="0"/>
              <w:tabs>
                <w:tab w:val="left" w:pos="845"/>
              </w:tabs>
              <w:rPr>
                <w:i/>
                <w:iCs/>
                <w:sz w:val="22"/>
                <w:szCs w:val="22"/>
              </w:rPr>
            </w:pPr>
            <w:r>
              <w:rPr>
                <w:i/>
                <w:iCs/>
                <w:sz w:val="22"/>
                <w:szCs w:val="22"/>
              </w:rPr>
              <w:t>Arii compartimente de incendiu:</w:t>
            </w:r>
          </w:p>
          <w:p w14:paraId="5618E036" w14:textId="77777777" w:rsidR="001C08A5" w:rsidRDefault="00000000">
            <w:pPr>
              <w:widowControl w:val="0"/>
              <w:tabs>
                <w:tab w:val="left" w:pos="845"/>
              </w:tabs>
              <w:rPr>
                <w:i/>
                <w:iCs/>
                <w:sz w:val="22"/>
                <w:szCs w:val="22"/>
                <w:vertAlign w:val="superscript"/>
              </w:rPr>
            </w:pPr>
            <w:r>
              <w:rPr>
                <w:i/>
                <w:iCs/>
                <w:sz w:val="22"/>
                <w:szCs w:val="22"/>
              </w:rPr>
              <w:t>Compartiment C1 - Arie construită ≤ 3.500 m</w:t>
            </w:r>
            <w:r>
              <w:rPr>
                <w:i/>
                <w:iCs/>
                <w:sz w:val="22"/>
                <w:szCs w:val="22"/>
                <w:vertAlign w:val="superscript"/>
              </w:rPr>
              <w:t>2</w:t>
            </w:r>
          </w:p>
          <w:p w14:paraId="135E4BFD" w14:textId="77777777" w:rsidR="001C08A5" w:rsidRDefault="00000000">
            <w:pPr>
              <w:widowControl w:val="0"/>
              <w:tabs>
                <w:tab w:val="left" w:pos="845"/>
              </w:tabs>
              <w:rPr>
                <w:i/>
                <w:iCs/>
                <w:sz w:val="22"/>
                <w:szCs w:val="22"/>
                <w:vertAlign w:val="superscript"/>
              </w:rPr>
            </w:pPr>
            <w:r>
              <w:rPr>
                <w:i/>
                <w:iCs/>
                <w:sz w:val="22"/>
                <w:szCs w:val="22"/>
              </w:rPr>
              <w:t>Compartiment C2 - Arie construită ≤ 3.500 m</w:t>
            </w:r>
            <w:r>
              <w:rPr>
                <w:i/>
                <w:iCs/>
                <w:sz w:val="22"/>
                <w:szCs w:val="22"/>
                <w:vertAlign w:val="superscript"/>
              </w:rPr>
              <w:t>2</w:t>
            </w:r>
          </w:p>
          <w:p w14:paraId="2395F09E" w14:textId="77777777" w:rsidR="001C08A5" w:rsidRDefault="00000000">
            <w:pPr>
              <w:widowControl w:val="0"/>
              <w:tabs>
                <w:tab w:val="left" w:pos="845"/>
              </w:tabs>
              <w:rPr>
                <w:i/>
                <w:iCs/>
                <w:sz w:val="22"/>
                <w:szCs w:val="22"/>
              </w:rPr>
            </w:pPr>
            <w:r>
              <w:rPr>
                <w:i/>
                <w:iCs/>
                <w:sz w:val="22"/>
                <w:szCs w:val="22"/>
              </w:rPr>
              <w:t>Compartiment C3 - Arie construită ≤ 3.500 m</w:t>
            </w:r>
            <w:r>
              <w:rPr>
                <w:i/>
                <w:iCs/>
                <w:sz w:val="22"/>
                <w:szCs w:val="22"/>
                <w:vertAlign w:val="superscript"/>
              </w:rPr>
              <w:t>2</w:t>
            </w:r>
          </w:p>
          <w:p w14:paraId="4A3CB0B8" w14:textId="77777777" w:rsidR="001C08A5" w:rsidRDefault="00000000">
            <w:pPr>
              <w:widowControl w:val="0"/>
              <w:tabs>
                <w:tab w:val="left" w:pos="845"/>
              </w:tabs>
              <w:rPr>
                <w:sz w:val="22"/>
                <w:szCs w:val="22"/>
                <w:vertAlign w:val="superscript"/>
              </w:rPr>
            </w:pPr>
            <w:r>
              <w:rPr>
                <w:i/>
                <w:iCs/>
                <w:sz w:val="22"/>
                <w:szCs w:val="22"/>
              </w:rPr>
              <w:t>Compartiment C4 - Arie construită ≤ 3.500 m</w:t>
            </w:r>
            <w:r>
              <w:rPr>
                <w:i/>
                <w:iCs/>
                <w:sz w:val="22"/>
                <w:szCs w:val="22"/>
                <w:vertAlign w:val="superscript"/>
              </w:rPr>
              <w:t>2</w:t>
            </w:r>
          </w:p>
          <w:p w14:paraId="15545C16" w14:textId="77777777" w:rsidR="001C08A5" w:rsidRDefault="001C08A5">
            <w:pPr>
              <w:widowControl w:val="0"/>
              <w:tabs>
                <w:tab w:val="left" w:pos="845"/>
              </w:tabs>
              <w:jc w:val="center"/>
              <w:rPr>
                <w:sz w:val="22"/>
                <w:szCs w:val="22"/>
                <w:lang w:eastAsia="ro-RO"/>
              </w:rPr>
            </w:pPr>
          </w:p>
        </w:tc>
      </w:tr>
    </w:tbl>
    <w:p w14:paraId="7CDC3626" w14:textId="77777777" w:rsidR="001C08A5" w:rsidRDefault="00000000">
      <w:pPr>
        <w:pStyle w:val="Caption"/>
        <w:widowControl w:val="0"/>
        <w:tabs>
          <w:tab w:val="left" w:pos="845"/>
        </w:tabs>
        <w:jc w:val="center"/>
        <w:rPr>
          <w:rFonts w:cs="Times New Roman"/>
          <w:sz w:val="22"/>
          <w:szCs w:val="22"/>
        </w:rPr>
      </w:pPr>
      <w:bookmarkStart w:id="175" w:name="_Ref6308"/>
      <w:r>
        <w:rPr>
          <w:rFonts w:cs="Times New Roman"/>
          <w:sz w:val="22"/>
          <w:szCs w:val="22"/>
        </w:rPr>
        <w:t xml:space="preserve">Varianta a) </w:t>
      </w:r>
      <w:bookmarkEnd w:id="175"/>
      <w:r>
        <w:rPr>
          <w:rFonts w:cs="Times New Roman"/>
          <w:sz w:val="22"/>
          <w:szCs w:val="22"/>
        </w:rPr>
        <w:t xml:space="preserve">: </w:t>
      </w:r>
      <w:r>
        <w:rPr>
          <w:rFonts w:eastAsia="Times New Roman" w:cs="Times New Roman"/>
          <w:sz w:val="22"/>
          <w:szCs w:val="22"/>
        </w:rPr>
        <w:t xml:space="preserve">neechipate cu instalație automată de stingere a incendiilor sau </w:t>
      </w:r>
      <w:r>
        <w:rPr>
          <w:rFonts w:cs="Times New Roman"/>
          <w:sz w:val="22"/>
          <w:szCs w:val="22"/>
        </w:rPr>
        <w:t>cu instalaţie de detectare, semnalizare și alarmare la incendiu</w:t>
      </w:r>
    </w:p>
    <w:tbl>
      <w:tblPr>
        <w:tblW w:w="0" w:type="auto"/>
        <w:tblLook w:val="04A0" w:firstRow="1" w:lastRow="0" w:firstColumn="1" w:lastColumn="0" w:noHBand="0" w:noVBand="1"/>
      </w:tblPr>
      <w:tblGrid>
        <w:gridCol w:w="5976"/>
        <w:gridCol w:w="3663"/>
      </w:tblGrid>
      <w:tr w:rsidR="001C08A5" w14:paraId="25CF3576" w14:textId="77777777">
        <w:tc>
          <w:tcPr>
            <w:tcW w:w="4927" w:type="dxa"/>
          </w:tcPr>
          <w:p w14:paraId="27164166" w14:textId="77777777" w:rsidR="001C08A5" w:rsidRDefault="00000000">
            <w:pPr>
              <w:widowControl w:val="0"/>
              <w:tabs>
                <w:tab w:val="left" w:pos="845"/>
              </w:tabs>
              <w:jc w:val="center"/>
              <w:rPr>
                <w:sz w:val="22"/>
                <w:szCs w:val="22"/>
                <w:lang w:eastAsia="ro-RO"/>
              </w:rPr>
            </w:pPr>
            <w:r>
              <w:rPr>
                <w:noProof/>
                <w:sz w:val="22"/>
                <w:szCs w:val="22"/>
                <w:lang w:eastAsia="ro-RO"/>
              </w:rPr>
              <w:drawing>
                <wp:inline distT="0" distB="0" distL="114300" distR="114300" wp14:anchorId="706FAF25" wp14:editId="079F1402">
                  <wp:extent cx="3651250" cy="2389505"/>
                  <wp:effectExtent l="0" t="0" r="6350" b="10795"/>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6"/>
                          <pic:cNvPicPr>
                            <a:picLocks noChangeAspect="1"/>
                          </pic:cNvPicPr>
                        </pic:nvPicPr>
                        <pic:blipFill>
                          <a:blip r:embed="rId58"/>
                          <a:srcRect l="26268" t="5123" r="25351" b="9199"/>
                          <a:stretch>
                            <a:fillRect/>
                          </a:stretch>
                        </pic:blipFill>
                        <pic:spPr>
                          <a:xfrm>
                            <a:off x="0" y="0"/>
                            <a:ext cx="3651250" cy="2389505"/>
                          </a:xfrm>
                          <a:prstGeom prst="rect">
                            <a:avLst/>
                          </a:prstGeom>
                          <a:noFill/>
                          <a:ln>
                            <a:noFill/>
                          </a:ln>
                        </pic:spPr>
                      </pic:pic>
                    </a:graphicData>
                  </a:graphic>
                </wp:inline>
              </w:drawing>
            </w:r>
          </w:p>
        </w:tc>
        <w:tc>
          <w:tcPr>
            <w:tcW w:w="4928" w:type="dxa"/>
          </w:tcPr>
          <w:p w14:paraId="1BD7A79F"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3B462FC4" w14:textId="77777777" w:rsidR="001C08A5" w:rsidRDefault="00000000">
            <w:pPr>
              <w:widowControl w:val="0"/>
              <w:tabs>
                <w:tab w:val="left" w:pos="845"/>
              </w:tabs>
              <w:rPr>
                <w:b/>
                <w:bCs/>
                <w:i/>
                <w:iCs/>
                <w:sz w:val="22"/>
                <w:szCs w:val="22"/>
              </w:rPr>
            </w:pPr>
            <w:r>
              <w:rPr>
                <w:b/>
                <w:bCs/>
                <w:i/>
                <w:iCs/>
                <w:sz w:val="22"/>
                <w:szCs w:val="22"/>
              </w:rPr>
              <w:t>C1, C2 - compartimente de incendiu distincte, nivel III de stabilitate la incendiu</w:t>
            </w:r>
          </w:p>
          <w:p w14:paraId="0EA3441A" w14:textId="77777777" w:rsidR="001C08A5" w:rsidRDefault="00000000">
            <w:pPr>
              <w:widowControl w:val="0"/>
              <w:tabs>
                <w:tab w:val="left" w:pos="845"/>
              </w:tabs>
              <w:rPr>
                <w:b/>
                <w:bCs/>
                <w:i/>
                <w:iCs/>
                <w:sz w:val="22"/>
                <w:szCs w:val="22"/>
              </w:rPr>
            </w:pPr>
            <w:r>
              <w:rPr>
                <w:b/>
                <w:bCs/>
                <w:i/>
                <w:iCs/>
                <w:sz w:val="22"/>
                <w:szCs w:val="22"/>
              </w:rPr>
              <w:t>C3, C4 - compartimente de incendiu distincte, nivel II de stabilitate la incendiu</w:t>
            </w:r>
          </w:p>
          <w:p w14:paraId="28786161" w14:textId="77777777" w:rsidR="001C08A5" w:rsidRDefault="001C08A5">
            <w:pPr>
              <w:widowControl w:val="0"/>
              <w:tabs>
                <w:tab w:val="left" w:pos="845"/>
              </w:tabs>
              <w:rPr>
                <w:i/>
                <w:iCs/>
                <w:sz w:val="10"/>
                <w:szCs w:val="10"/>
              </w:rPr>
            </w:pPr>
          </w:p>
          <w:p w14:paraId="2D3C881A" w14:textId="77777777" w:rsidR="001C08A5" w:rsidRDefault="00000000">
            <w:pPr>
              <w:widowControl w:val="0"/>
              <w:tabs>
                <w:tab w:val="left" w:pos="845"/>
              </w:tabs>
              <w:rPr>
                <w:i/>
                <w:iCs/>
                <w:sz w:val="22"/>
                <w:szCs w:val="22"/>
              </w:rPr>
            </w:pPr>
            <w:r>
              <w:rPr>
                <w:i/>
                <w:iCs/>
                <w:sz w:val="22"/>
                <w:szCs w:val="22"/>
              </w:rPr>
              <w:t>Arii compartimente de incendiu:</w:t>
            </w:r>
          </w:p>
          <w:p w14:paraId="063E1A53" w14:textId="77777777" w:rsidR="001C08A5" w:rsidRDefault="00000000">
            <w:pPr>
              <w:widowControl w:val="0"/>
              <w:tabs>
                <w:tab w:val="left" w:pos="845"/>
              </w:tabs>
              <w:rPr>
                <w:i/>
                <w:iCs/>
                <w:sz w:val="22"/>
                <w:szCs w:val="22"/>
                <w:vertAlign w:val="superscript"/>
              </w:rPr>
            </w:pPr>
            <w:r>
              <w:rPr>
                <w:i/>
                <w:iCs/>
                <w:sz w:val="22"/>
                <w:szCs w:val="22"/>
              </w:rPr>
              <w:t>Compartiment C1 - Arie construită ≤ 3.125 m</w:t>
            </w:r>
            <w:r>
              <w:rPr>
                <w:i/>
                <w:iCs/>
                <w:sz w:val="22"/>
                <w:szCs w:val="22"/>
                <w:vertAlign w:val="superscript"/>
              </w:rPr>
              <w:t>2</w:t>
            </w:r>
          </w:p>
          <w:p w14:paraId="1784A391" w14:textId="77777777" w:rsidR="001C08A5" w:rsidRDefault="00000000">
            <w:pPr>
              <w:widowControl w:val="0"/>
              <w:tabs>
                <w:tab w:val="left" w:pos="845"/>
              </w:tabs>
              <w:rPr>
                <w:i/>
                <w:iCs/>
                <w:sz w:val="22"/>
                <w:szCs w:val="22"/>
                <w:vertAlign w:val="superscript"/>
              </w:rPr>
            </w:pPr>
            <w:r>
              <w:rPr>
                <w:i/>
                <w:iCs/>
                <w:sz w:val="22"/>
                <w:szCs w:val="22"/>
              </w:rPr>
              <w:t>Compartiment C2 - Arie construită ≤ 3.125 m</w:t>
            </w:r>
            <w:r>
              <w:rPr>
                <w:i/>
                <w:iCs/>
                <w:sz w:val="22"/>
                <w:szCs w:val="22"/>
                <w:vertAlign w:val="superscript"/>
              </w:rPr>
              <w:t>2</w:t>
            </w:r>
          </w:p>
          <w:p w14:paraId="5683BB1B" w14:textId="77777777" w:rsidR="001C08A5" w:rsidRDefault="00000000">
            <w:pPr>
              <w:widowControl w:val="0"/>
              <w:tabs>
                <w:tab w:val="left" w:pos="845"/>
              </w:tabs>
              <w:rPr>
                <w:i/>
                <w:iCs/>
                <w:sz w:val="22"/>
                <w:szCs w:val="22"/>
              </w:rPr>
            </w:pPr>
            <w:r>
              <w:rPr>
                <w:i/>
                <w:iCs/>
                <w:sz w:val="22"/>
                <w:szCs w:val="22"/>
              </w:rPr>
              <w:t>Compartiment C3 - Arie construită ≤ 4.375 m</w:t>
            </w:r>
            <w:r>
              <w:rPr>
                <w:i/>
                <w:iCs/>
                <w:sz w:val="22"/>
                <w:szCs w:val="22"/>
                <w:vertAlign w:val="superscript"/>
              </w:rPr>
              <w:t>2</w:t>
            </w:r>
          </w:p>
          <w:p w14:paraId="16ADD4F3" w14:textId="77777777" w:rsidR="001C08A5" w:rsidRDefault="00000000">
            <w:pPr>
              <w:widowControl w:val="0"/>
              <w:tabs>
                <w:tab w:val="left" w:pos="845"/>
              </w:tabs>
              <w:rPr>
                <w:sz w:val="22"/>
                <w:szCs w:val="22"/>
                <w:lang w:eastAsia="ro-RO"/>
              </w:rPr>
            </w:pPr>
            <w:r>
              <w:rPr>
                <w:i/>
                <w:iCs/>
                <w:sz w:val="22"/>
                <w:szCs w:val="22"/>
              </w:rPr>
              <w:t>Compartiment C4 - Arie construită ≤ 4.375 m</w:t>
            </w:r>
            <w:r>
              <w:rPr>
                <w:i/>
                <w:iCs/>
                <w:sz w:val="22"/>
                <w:szCs w:val="22"/>
                <w:vertAlign w:val="superscript"/>
              </w:rPr>
              <w:t>2</w:t>
            </w:r>
          </w:p>
        </w:tc>
      </w:tr>
    </w:tbl>
    <w:p w14:paraId="1942B8C6" w14:textId="77777777" w:rsidR="001C08A5" w:rsidRDefault="00000000">
      <w:pPr>
        <w:pStyle w:val="Caption"/>
        <w:widowControl w:val="0"/>
        <w:jc w:val="center"/>
        <w:rPr>
          <w:rFonts w:cs="Times New Roman"/>
          <w:sz w:val="22"/>
          <w:szCs w:val="22"/>
          <w:lang w:eastAsia="ro-RO"/>
        </w:rPr>
      </w:pPr>
      <w:r>
        <w:rPr>
          <w:rFonts w:cs="Times New Roman"/>
          <w:sz w:val="22"/>
          <w:szCs w:val="22"/>
        </w:rPr>
        <w:t xml:space="preserve">Varianta b) prevăzute cu instalaţie de detectare, semnalizare și alarmare la incendiu cu acoperire totală </w:t>
      </w:r>
      <w:r>
        <w:rPr>
          <w:rFonts w:cs="Times New Roman"/>
          <w:b w:val="0"/>
          <w:bCs/>
          <w:sz w:val="22"/>
          <w:szCs w:val="22"/>
        </w:rPr>
        <w:t>(toate compartimentele sunt prevăzute cu instalație  de detectare, semnalizare şi alarmare la incendiu cu acoperire totală)</w:t>
      </w:r>
    </w:p>
    <w:tbl>
      <w:tblPr>
        <w:tblW w:w="0" w:type="auto"/>
        <w:tblLook w:val="04A0" w:firstRow="1" w:lastRow="0" w:firstColumn="1" w:lastColumn="0" w:noHBand="0" w:noVBand="1"/>
      </w:tblPr>
      <w:tblGrid>
        <w:gridCol w:w="6006"/>
        <w:gridCol w:w="3633"/>
      </w:tblGrid>
      <w:tr w:rsidR="001C08A5" w14:paraId="575FA72D" w14:textId="77777777">
        <w:trPr>
          <w:trHeight w:val="90"/>
        </w:trPr>
        <w:tc>
          <w:tcPr>
            <w:tcW w:w="4927" w:type="dxa"/>
          </w:tcPr>
          <w:p w14:paraId="2FB753A8" w14:textId="77777777" w:rsidR="001C08A5" w:rsidRDefault="00000000">
            <w:pPr>
              <w:widowControl w:val="0"/>
              <w:tabs>
                <w:tab w:val="left" w:pos="845"/>
              </w:tabs>
              <w:jc w:val="center"/>
              <w:rPr>
                <w:sz w:val="22"/>
                <w:szCs w:val="22"/>
                <w:lang w:eastAsia="ro-RO"/>
              </w:rPr>
            </w:pPr>
            <w:r>
              <w:rPr>
                <w:noProof/>
                <w:sz w:val="22"/>
                <w:szCs w:val="22"/>
                <w:lang w:eastAsia="ro-RO"/>
              </w:rPr>
              <w:lastRenderedPageBreak/>
              <w:drawing>
                <wp:inline distT="0" distB="0" distL="114300" distR="114300" wp14:anchorId="7CCF440D" wp14:editId="367290D2">
                  <wp:extent cx="3667125" cy="2395220"/>
                  <wp:effectExtent l="0" t="0" r="9525" b="508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5"/>
                          <pic:cNvPicPr>
                            <a:picLocks noChangeAspect="1"/>
                          </pic:cNvPicPr>
                        </pic:nvPicPr>
                        <pic:blipFill>
                          <a:blip r:embed="rId59"/>
                          <a:srcRect l="28138" t="7051" r="23312" b="3395"/>
                          <a:stretch>
                            <a:fillRect/>
                          </a:stretch>
                        </pic:blipFill>
                        <pic:spPr>
                          <a:xfrm>
                            <a:off x="0" y="0"/>
                            <a:ext cx="3667125" cy="2395220"/>
                          </a:xfrm>
                          <a:prstGeom prst="rect">
                            <a:avLst/>
                          </a:prstGeom>
                          <a:noFill/>
                          <a:ln>
                            <a:noFill/>
                          </a:ln>
                        </pic:spPr>
                      </pic:pic>
                    </a:graphicData>
                  </a:graphic>
                </wp:inline>
              </w:drawing>
            </w:r>
          </w:p>
        </w:tc>
        <w:tc>
          <w:tcPr>
            <w:tcW w:w="4928" w:type="dxa"/>
          </w:tcPr>
          <w:p w14:paraId="271111B3"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54E0C64F" w14:textId="77777777" w:rsidR="001C08A5" w:rsidRDefault="00000000">
            <w:pPr>
              <w:widowControl w:val="0"/>
              <w:tabs>
                <w:tab w:val="left" w:pos="845"/>
              </w:tabs>
              <w:rPr>
                <w:b/>
                <w:bCs/>
                <w:i/>
                <w:iCs/>
                <w:sz w:val="22"/>
                <w:szCs w:val="22"/>
              </w:rPr>
            </w:pPr>
            <w:r>
              <w:rPr>
                <w:b/>
                <w:bCs/>
                <w:i/>
                <w:iCs/>
                <w:sz w:val="22"/>
                <w:szCs w:val="22"/>
              </w:rPr>
              <w:t>C1, C2, C3, C4 - compartimente de incendiu distincte, nivel III de stabilitate la incendiu</w:t>
            </w:r>
          </w:p>
          <w:p w14:paraId="4E24AD13" w14:textId="77777777" w:rsidR="001C08A5" w:rsidRDefault="001C08A5">
            <w:pPr>
              <w:widowControl w:val="0"/>
              <w:tabs>
                <w:tab w:val="left" w:pos="845"/>
              </w:tabs>
              <w:rPr>
                <w:i/>
                <w:iCs/>
                <w:sz w:val="10"/>
                <w:szCs w:val="10"/>
              </w:rPr>
            </w:pPr>
          </w:p>
          <w:p w14:paraId="70108CB6" w14:textId="77777777" w:rsidR="001C08A5" w:rsidRDefault="00000000">
            <w:pPr>
              <w:widowControl w:val="0"/>
              <w:tabs>
                <w:tab w:val="left" w:pos="845"/>
              </w:tabs>
              <w:rPr>
                <w:i/>
                <w:iCs/>
                <w:sz w:val="22"/>
                <w:szCs w:val="22"/>
              </w:rPr>
            </w:pPr>
            <w:r>
              <w:rPr>
                <w:i/>
                <w:iCs/>
                <w:sz w:val="22"/>
                <w:szCs w:val="22"/>
              </w:rPr>
              <w:t>Arii compartimente de incendiu:</w:t>
            </w:r>
          </w:p>
          <w:p w14:paraId="45F32804" w14:textId="77777777" w:rsidR="001C08A5" w:rsidRDefault="00000000">
            <w:pPr>
              <w:widowControl w:val="0"/>
              <w:tabs>
                <w:tab w:val="left" w:pos="845"/>
              </w:tabs>
              <w:rPr>
                <w:i/>
                <w:iCs/>
                <w:sz w:val="22"/>
                <w:szCs w:val="22"/>
                <w:vertAlign w:val="superscript"/>
              </w:rPr>
            </w:pPr>
            <w:r>
              <w:rPr>
                <w:i/>
                <w:iCs/>
                <w:sz w:val="22"/>
                <w:szCs w:val="22"/>
              </w:rPr>
              <w:t>Compartiment C1 - Arie construită ≤ 5.000 m</w:t>
            </w:r>
            <w:r>
              <w:rPr>
                <w:i/>
                <w:iCs/>
                <w:sz w:val="22"/>
                <w:szCs w:val="22"/>
                <w:vertAlign w:val="superscript"/>
              </w:rPr>
              <w:t>2</w:t>
            </w:r>
          </w:p>
          <w:p w14:paraId="1C52EBB6" w14:textId="77777777" w:rsidR="001C08A5" w:rsidRDefault="00000000">
            <w:pPr>
              <w:widowControl w:val="0"/>
              <w:tabs>
                <w:tab w:val="left" w:pos="845"/>
              </w:tabs>
              <w:rPr>
                <w:i/>
                <w:iCs/>
                <w:sz w:val="22"/>
                <w:szCs w:val="22"/>
                <w:vertAlign w:val="superscript"/>
              </w:rPr>
            </w:pPr>
            <w:r>
              <w:rPr>
                <w:i/>
                <w:iCs/>
                <w:sz w:val="22"/>
                <w:szCs w:val="22"/>
              </w:rPr>
              <w:t>Compartiment C2 - Arie construită ≤ 5.000 m</w:t>
            </w:r>
            <w:r>
              <w:rPr>
                <w:i/>
                <w:iCs/>
                <w:sz w:val="22"/>
                <w:szCs w:val="22"/>
                <w:vertAlign w:val="superscript"/>
              </w:rPr>
              <w:t>2</w:t>
            </w:r>
          </w:p>
          <w:p w14:paraId="342958D2" w14:textId="77777777" w:rsidR="001C08A5" w:rsidRDefault="00000000">
            <w:pPr>
              <w:widowControl w:val="0"/>
              <w:tabs>
                <w:tab w:val="left" w:pos="845"/>
              </w:tabs>
              <w:rPr>
                <w:i/>
                <w:iCs/>
                <w:sz w:val="22"/>
                <w:szCs w:val="22"/>
              </w:rPr>
            </w:pPr>
            <w:r>
              <w:rPr>
                <w:i/>
                <w:iCs/>
                <w:sz w:val="22"/>
                <w:szCs w:val="22"/>
              </w:rPr>
              <w:t>Compartiment C3 - Arie construită ≤ 5.000 m</w:t>
            </w:r>
            <w:r>
              <w:rPr>
                <w:i/>
                <w:iCs/>
                <w:sz w:val="22"/>
                <w:szCs w:val="22"/>
                <w:vertAlign w:val="superscript"/>
              </w:rPr>
              <w:t>2</w:t>
            </w:r>
          </w:p>
          <w:p w14:paraId="31413081" w14:textId="77777777" w:rsidR="001C08A5" w:rsidRDefault="00000000">
            <w:pPr>
              <w:widowControl w:val="0"/>
              <w:tabs>
                <w:tab w:val="left" w:pos="845"/>
              </w:tabs>
              <w:rPr>
                <w:sz w:val="22"/>
                <w:szCs w:val="22"/>
                <w:vertAlign w:val="superscript"/>
              </w:rPr>
            </w:pPr>
            <w:r>
              <w:rPr>
                <w:i/>
                <w:iCs/>
                <w:sz w:val="22"/>
                <w:szCs w:val="22"/>
              </w:rPr>
              <w:t>Compartiment C4 - Arie construită ≤ 5.000 m</w:t>
            </w:r>
            <w:r>
              <w:rPr>
                <w:i/>
                <w:iCs/>
                <w:sz w:val="22"/>
                <w:szCs w:val="22"/>
                <w:vertAlign w:val="superscript"/>
              </w:rPr>
              <w:t>2</w:t>
            </w:r>
          </w:p>
          <w:p w14:paraId="2CEE91E4" w14:textId="77777777" w:rsidR="001C08A5" w:rsidRDefault="001C08A5">
            <w:pPr>
              <w:widowControl w:val="0"/>
              <w:tabs>
                <w:tab w:val="left" w:pos="845"/>
              </w:tabs>
              <w:jc w:val="center"/>
              <w:rPr>
                <w:sz w:val="22"/>
                <w:szCs w:val="22"/>
                <w:lang w:eastAsia="ro-RO"/>
              </w:rPr>
            </w:pPr>
          </w:p>
        </w:tc>
      </w:tr>
    </w:tbl>
    <w:p w14:paraId="0B9D50E7" w14:textId="77777777" w:rsidR="001C08A5" w:rsidRDefault="00000000">
      <w:pPr>
        <w:pStyle w:val="Caption"/>
        <w:widowControl w:val="0"/>
        <w:ind w:left="420"/>
        <w:jc w:val="center"/>
        <w:rPr>
          <w:i w:val="0"/>
          <w:iCs w:val="0"/>
        </w:rPr>
      </w:pPr>
      <w:r>
        <w:rPr>
          <w:rFonts w:cs="Times New Roman"/>
          <w:sz w:val="22"/>
          <w:szCs w:val="22"/>
        </w:rPr>
        <w:t xml:space="preserve">Varianta c) echipate cu instalație automată de stingere a incendiilor și instalații automate de detectare, semnalizare și alarmare a incendiului </w:t>
      </w:r>
      <w:r>
        <w:rPr>
          <w:rFonts w:cs="Times New Roman"/>
          <w:b w:val="0"/>
          <w:bCs/>
          <w:sz w:val="22"/>
          <w:szCs w:val="22"/>
        </w:rPr>
        <w:t>(toate compartimentele sunt prevăzute cu instalații automate de detectare, semnalizare și alarmare a incendiului, cu acoperire totală și instalație automată de stingere a  incendiilor)</w:t>
      </w:r>
    </w:p>
    <w:tbl>
      <w:tblPr>
        <w:tblW w:w="0" w:type="auto"/>
        <w:tblLook w:val="04A0" w:firstRow="1" w:lastRow="0" w:firstColumn="1" w:lastColumn="0" w:noHBand="0" w:noVBand="1"/>
      </w:tblPr>
      <w:tblGrid>
        <w:gridCol w:w="6006"/>
        <w:gridCol w:w="3633"/>
      </w:tblGrid>
      <w:tr w:rsidR="001C08A5" w14:paraId="1C33C9CE" w14:textId="77777777">
        <w:tc>
          <w:tcPr>
            <w:tcW w:w="4927" w:type="dxa"/>
          </w:tcPr>
          <w:p w14:paraId="2D356272" w14:textId="77777777" w:rsidR="001C08A5" w:rsidRDefault="00000000">
            <w:pPr>
              <w:widowControl w:val="0"/>
              <w:tabs>
                <w:tab w:val="left" w:pos="845"/>
              </w:tabs>
              <w:jc w:val="center"/>
              <w:rPr>
                <w:sz w:val="22"/>
                <w:szCs w:val="22"/>
                <w:lang w:eastAsia="ro-RO"/>
              </w:rPr>
            </w:pPr>
            <w:r>
              <w:rPr>
                <w:noProof/>
                <w:sz w:val="22"/>
                <w:szCs w:val="22"/>
                <w:lang w:eastAsia="ro-RO"/>
              </w:rPr>
              <w:drawing>
                <wp:inline distT="0" distB="0" distL="114300" distR="114300" wp14:anchorId="642AA9EB" wp14:editId="53C59036">
                  <wp:extent cx="3667125" cy="2395220"/>
                  <wp:effectExtent l="0" t="0" r="9525" b="5080"/>
                  <wp:docPr id="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5"/>
                          <pic:cNvPicPr>
                            <a:picLocks noChangeAspect="1"/>
                          </pic:cNvPicPr>
                        </pic:nvPicPr>
                        <pic:blipFill>
                          <a:blip r:embed="rId59"/>
                          <a:srcRect l="28138" t="7051" r="23312" b="3395"/>
                          <a:stretch>
                            <a:fillRect/>
                          </a:stretch>
                        </pic:blipFill>
                        <pic:spPr>
                          <a:xfrm>
                            <a:off x="0" y="0"/>
                            <a:ext cx="3667125" cy="2395220"/>
                          </a:xfrm>
                          <a:prstGeom prst="rect">
                            <a:avLst/>
                          </a:prstGeom>
                          <a:noFill/>
                          <a:ln>
                            <a:noFill/>
                          </a:ln>
                        </pic:spPr>
                      </pic:pic>
                    </a:graphicData>
                  </a:graphic>
                </wp:inline>
              </w:drawing>
            </w:r>
          </w:p>
        </w:tc>
        <w:tc>
          <w:tcPr>
            <w:tcW w:w="4928" w:type="dxa"/>
          </w:tcPr>
          <w:p w14:paraId="740E6F8D"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68DA60A4" w14:textId="77777777" w:rsidR="001C08A5" w:rsidRDefault="00000000">
            <w:pPr>
              <w:widowControl w:val="0"/>
              <w:tabs>
                <w:tab w:val="left" w:pos="845"/>
              </w:tabs>
              <w:rPr>
                <w:b/>
                <w:bCs/>
                <w:i/>
                <w:iCs/>
                <w:sz w:val="22"/>
                <w:szCs w:val="22"/>
              </w:rPr>
            </w:pPr>
            <w:r>
              <w:rPr>
                <w:b/>
                <w:bCs/>
                <w:i/>
                <w:iCs/>
                <w:sz w:val="22"/>
                <w:szCs w:val="22"/>
              </w:rPr>
              <w:t>C1, C2 - compartimente de incendiu distincte, nivel III de stabilitate la incendiu</w:t>
            </w:r>
          </w:p>
          <w:p w14:paraId="1CBA6D7D" w14:textId="77777777" w:rsidR="001C08A5" w:rsidRDefault="00000000">
            <w:pPr>
              <w:widowControl w:val="0"/>
              <w:tabs>
                <w:tab w:val="left" w:pos="845"/>
              </w:tabs>
              <w:rPr>
                <w:b/>
                <w:bCs/>
                <w:i/>
                <w:iCs/>
                <w:sz w:val="10"/>
                <w:szCs w:val="10"/>
              </w:rPr>
            </w:pPr>
            <w:r>
              <w:rPr>
                <w:b/>
                <w:bCs/>
                <w:i/>
                <w:iCs/>
                <w:sz w:val="22"/>
                <w:szCs w:val="22"/>
              </w:rPr>
              <w:t>C3, C4 - compartimente de incendiu distincte, nivel II de stabilitate la incendiu</w:t>
            </w:r>
          </w:p>
          <w:p w14:paraId="37071C31" w14:textId="77777777" w:rsidR="001C08A5" w:rsidRDefault="00000000">
            <w:pPr>
              <w:widowControl w:val="0"/>
              <w:tabs>
                <w:tab w:val="left" w:pos="845"/>
              </w:tabs>
              <w:rPr>
                <w:i/>
                <w:iCs/>
                <w:sz w:val="22"/>
                <w:szCs w:val="22"/>
              </w:rPr>
            </w:pPr>
            <w:r>
              <w:rPr>
                <w:i/>
                <w:iCs/>
                <w:sz w:val="22"/>
                <w:szCs w:val="22"/>
              </w:rPr>
              <w:t>Arii compartimente de incendiu:</w:t>
            </w:r>
          </w:p>
          <w:p w14:paraId="26D15E17" w14:textId="77777777" w:rsidR="001C08A5" w:rsidRDefault="00000000">
            <w:pPr>
              <w:widowControl w:val="0"/>
              <w:tabs>
                <w:tab w:val="left" w:pos="845"/>
              </w:tabs>
              <w:rPr>
                <w:i/>
                <w:iCs/>
                <w:sz w:val="22"/>
                <w:szCs w:val="22"/>
                <w:vertAlign w:val="superscript"/>
              </w:rPr>
            </w:pPr>
            <w:r>
              <w:rPr>
                <w:i/>
                <w:iCs/>
                <w:sz w:val="22"/>
                <w:szCs w:val="22"/>
              </w:rPr>
              <w:t>Compartiment C1 - Arie construită ≤ 5.000 m</w:t>
            </w:r>
            <w:r>
              <w:rPr>
                <w:i/>
                <w:iCs/>
                <w:sz w:val="22"/>
                <w:szCs w:val="22"/>
                <w:vertAlign w:val="superscript"/>
              </w:rPr>
              <w:t>2</w:t>
            </w:r>
          </w:p>
          <w:p w14:paraId="49136D79" w14:textId="77777777" w:rsidR="001C08A5" w:rsidRDefault="00000000">
            <w:pPr>
              <w:widowControl w:val="0"/>
              <w:tabs>
                <w:tab w:val="left" w:pos="845"/>
              </w:tabs>
              <w:rPr>
                <w:i/>
                <w:iCs/>
                <w:sz w:val="22"/>
                <w:szCs w:val="22"/>
                <w:vertAlign w:val="superscript"/>
              </w:rPr>
            </w:pPr>
            <w:r>
              <w:rPr>
                <w:i/>
                <w:iCs/>
                <w:sz w:val="22"/>
                <w:szCs w:val="22"/>
              </w:rPr>
              <w:t>Compartiment C2 - Arie construită ≤ 5.000 m</w:t>
            </w:r>
            <w:r>
              <w:rPr>
                <w:i/>
                <w:iCs/>
                <w:sz w:val="22"/>
                <w:szCs w:val="22"/>
                <w:vertAlign w:val="superscript"/>
              </w:rPr>
              <w:t>2</w:t>
            </w:r>
          </w:p>
          <w:p w14:paraId="095BA1FD" w14:textId="77777777" w:rsidR="001C08A5" w:rsidRDefault="00000000">
            <w:pPr>
              <w:widowControl w:val="0"/>
              <w:tabs>
                <w:tab w:val="left" w:pos="845"/>
              </w:tabs>
              <w:rPr>
                <w:i/>
                <w:iCs/>
                <w:sz w:val="22"/>
                <w:szCs w:val="22"/>
              </w:rPr>
            </w:pPr>
            <w:r>
              <w:rPr>
                <w:i/>
                <w:iCs/>
                <w:sz w:val="22"/>
                <w:szCs w:val="22"/>
              </w:rPr>
              <w:t>Compartiment C3 - Arie construită - nelimitată</w:t>
            </w:r>
          </w:p>
          <w:p w14:paraId="1B621106" w14:textId="77777777" w:rsidR="001C08A5" w:rsidRDefault="00000000">
            <w:pPr>
              <w:widowControl w:val="0"/>
              <w:tabs>
                <w:tab w:val="left" w:pos="845"/>
              </w:tabs>
              <w:rPr>
                <w:sz w:val="22"/>
                <w:szCs w:val="22"/>
                <w:lang w:eastAsia="ro-RO"/>
              </w:rPr>
            </w:pPr>
            <w:r>
              <w:rPr>
                <w:i/>
                <w:iCs/>
                <w:sz w:val="22"/>
                <w:szCs w:val="22"/>
              </w:rPr>
              <w:t>Compartiment C4 - Arie construită - nelimitată</w:t>
            </w:r>
          </w:p>
        </w:tc>
      </w:tr>
    </w:tbl>
    <w:p w14:paraId="09D1A746" w14:textId="77777777" w:rsidR="001C08A5" w:rsidRDefault="00000000">
      <w:pPr>
        <w:pStyle w:val="Caption"/>
        <w:widowControl w:val="0"/>
        <w:jc w:val="center"/>
        <w:rPr>
          <w:rFonts w:cs="Times New Roman"/>
          <w:sz w:val="22"/>
          <w:szCs w:val="22"/>
        </w:rPr>
      </w:pPr>
      <w:r>
        <w:rPr>
          <w:rFonts w:cs="Times New Roman"/>
          <w:sz w:val="22"/>
          <w:szCs w:val="22"/>
        </w:rPr>
        <w:t xml:space="preserve">Varianta d) echipate cu instalație automată de stingere a incendiilor, instalaţii de detectare, semnalizare şi alarmare a incendiului cu acoperire totală </w:t>
      </w:r>
      <w:r>
        <w:rPr>
          <w:rFonts w:cs="Times New Roman"/>
          <w:bCs/>
          <w:sz w:val="22"/>
          <w:szCs w:val="22"/>
        </w:rPr>
        <w:t xml:space="preserve">şi </w:t>
      </w:r>
      <w:r>
        <w:rPr>
          <w:rFonts w:cs="Times New Roman"/>
          <w:sz w:val="22"/>
          <w:szCs w:val="22"/>
        </w:rPr>
        <w:t xml:space="preserve">instalaţii de </w:t>
      </w:r>
      <w:r>
        <w:rPr>
          <w:rFonts w:cs="Times New Roman"/>
          <w:bCs/>
          <w:sz w:val="22"/>
          <w:szCs w:val="22"/>
        </w:rPr>
        <w:t xml:space="preserve">evacuare a fumului din circulațiile comune orizontale (coridoare/holuri) și casele de scări </w:t>
      </w:r>
      <w:r>
        <w:rPr>
          <w:rFonts w:cs="Times New Roman"/>
          <w:b w:val="0"/>
          <w:bCs/>
          <w:sz w:val="22"/>
          <w:szCs w:val="22"/>
        </w:rPr>
        <w:t>(toate compartimentele sunt prevăzute cu aceste instalații)</w:t>
      </w:r>
    </w:p>
    <w:p w14:paraId="4B0AEE30" w14:textId="77777777" w:rsidR="001C08A5" w:rsidRDefault="00000000">
      <w:pPr>
        <w:pStyle w:val="Caption"/>
        <w:widowControl w:val="0"/>
        <w:ind w:left="420"/>
        <w:jc w:val="center"/>
      </w:pPr>
      <w:bookmarkStart w:id="176" w:name="_Ref5711"/>
      <w:bookmarkStart w:id="177" w:name="_Toc162360231"/>
      <w:r>
        <w:t xml:space="preserve">Figura </w:t>
      </w:r>
      <w:r>
        <w:fldChar w:fldCharType="begin"/>
      </w:r>
      <w:r>
        <w:instrText xml:space="preserve"> SEQ Figura \* ARABIC </w:instrText>
      </w:r>
      <w:r>
        <w:fldChar w:fldCharType="separate"/>
      </w:r>
      <w:r>
        <w:t>7</w:t>
      </w:r>
      <w:r>
        <w:fldChar w:fldCharType="end"/>
      </w:r>
      <w:bookmarkStart w:id="178" w:name="_Toc5010"/>
      <w:bookmarkStart w:id="179" w:name="_Toc13750"/>
      <w:bookmarkStart w:id="180" w:name="_Toc1927"/>
      <w:bookmarkStart w:id="181" w:name="_Toc18579"/>
      <w:bookmarkStart w:id="182" w:name="_Toc23568"/>
      <w:bookmarkStart w:id="183" w:name="_Toc19357"/>
      <w:bookmarkStart w:id="184" w:name="_Toc21300"/>
      <w:bookmarkStart w:id="185" w:name="_Toc27833"/>
      <w:bookmarkStart w:id="186" w:name="_Toc5024"/>
      <w:bookmarkStart w:id="187" w:name="_Toc21347"/>
      <w:bookmarkStart w:id="188" w:name="_Toc29887"/>
      <w:bookmarkEnd w:id="176"/>
      <w:r>
        <w:t xml:space="preserve"> - Compartimentare antifoc și arii compartimente de incendiu la clădirile şi compartimentele de incendiu supraterane civile cu înălțime obișnuită</w:t>
      </w:r>
      <w:bookmarkEnd w:id="177"/>
      <w:bookmarkEnd w:id="178"/>
      <w:bookmarkEnd w:id="179"/>
      <w:bookmarkEnd w:id="180"/>
      <w:bookmarkEnd w:id="181"/>
      <w:bookmarkEnd w:id="182"/>
      <w:bookmarkEnd w:id="183"/>
      <w:bookmarkEnd w:id="184"/>
      <w:bookmarkEnd w:id="185"/>
      <w:bookmarkEnd w:id="186"/>
      <w:bookmarkEnd w:id="187"/>
      <w:bookmarkEnd w:id="188"/>
    </w:p>
    <w:p w14:paraId="7D608565" w14:textId="77777777" w:rsidR="001C08A5" w:rsidRDefault="001C08A5">
      <w:pPr>
        <w:pStyle w:val="Captiontabel"/>
      </w:pPr>
    </w:p>
    <w:tbl>
      <w:tblPr>
        <w:tblW w:w="0" w:type="auto"/>
        <w:tblLook w:val="04A0" w:firstRow="1" w:lastRow="0" w:firstColumn="1" w:lastColumn="0" w:noHBand="0" w:noVBand="1"/>
      </w:tblPr>
      <w:tblGrid>
        <w:gridCol w:w="6036"/>
        <w:gridCol w:w="3603"/>
      </w:tblGrid>
      <w:tr w:rsidR="001C08A5" w14:paraId="09D82F45" w14:textId="77777777">
        <w:tc>
          <w:tcPr>
            <w:tcW w:w="4927" w:type="dxa"/>
          </w:tcPr>
          <w:p w14:paraId="7AEA6B59" w14:textId="77777777" w:rsidR="001C08A5" w:rsidRDefault="00000000">
            <w:pPr>
              <w:widowControl w:val="0"/>
              <w:tabs>
                <w:tab w:val="left" w:pos="845"/>
              </w:tabs>
              <w:jc w:val="center"/>
              <w:rPr>
                <w:sz w:val="22"/>
                <w:szCs w:val="22"/>
                <w:lang w:eastAsia="ro-RO"/>
              </w:rPr>
            </w:pPr>
            <w:r>
              <w:rPr>
                <w:noProof/>
                <w:sz w:val="22"/>
                <w:szCs w:val="22"/>
                <w:lang w:eastAsia="ro-RO"/>
              </w:rPr>
              <w:lastRenderedPageBreak/>
              <w:drawing>
                <wp:inline distT="0" distB="0" distL="114300" distR="114300" wp14:anchorId="5D3A3A69" wp14:editId="1DDFC356">
                  <wp:extent cx="3683000" cy="3759200"/>
                  <wp:effectExtent l="0" t="0" r="12700" b="12700"/>
                  <wp:docPr id="1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7"/>
                          <pic:cNvPicPr>
                            <a:picLocks noChangeAspect="1"/>
                          </pic:cNvPicPr>
                        </pic:nvPicPr>
                        <pic:blipFill>
                          <a:blip r:embed="rId60"/>
                          <a:srcRect l="40958" t="1570" r="7650" b="2401"/>
                          <a:stretch>
                            <a:fillRect/>
                          </a:stretch>
                        </pic:blipFill>
                        <pic:spPr>
                          <a:xfrm>
                            <a:off x="0" y="0"/>
                            <a:ext cx="3683000" cy="3759200"/>
                          </a:xfrm>
                          <a:prstGeom prst="rect">
                            <a:avLst/>
                          </a:prstGeom>
                          <a:noFill/>
                          <a:ln>
                            <a:noFill/>
                          </a:ln>
                        </pic:spPr>
                      </pic:pic>
                    </a:graphicData>
                  </a:graphic>
                </wp:inline>
              </w:drawing>
            </w:r>
          </w:p>
        </w:tc>
        <w:tc>
          <w:tcPr>
            <w:tcW w:w="4928" w:type="dxa"/>
          </w:tcPr>
          <w:p w14:paraId="0E2538AF"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44FC5516" w14:textId="77777777" w:rsidR="001C08A5" w:rsidRDefault="00000000">
            <w:pPr>
              <w:widowControl w:val="0"/>
              <w:tabs>
                <w:tab w:val="left" w:pos="845"/>
              </w:tabs>
              <w:rPr>
                <w:b/>
                <w:bCs/>
                <w:i/>
                <w:iCs/>
                <w:sz w:val="22"/>
                <w:szCs w:val="22"/>
              </w:rPr>
            </w:pPr>
            <w:r>
              <w:rPr>
                <w:b/>
                <w:bCs/>
                <w:i/>
                <w:iCs/>
                <w:sz w:val="22"/>
                <w:szCs w:val="22"/>
              </w:rPr>
              <w:t>C1, C2 - compartimente de incendiu distincte, nivel I sau II de stabilitate la incendiu</w:t>
            </w:r>
          </w:p>
          <w:p w14:paraId="1F58F9B9" w14:textId="77777777" w:rsidR="001C08A5" w:rsidRDefault="00000000">
            <w:pPr>
              <w:widowControl w:val="0"/>
              <w:tabs>
                <w:tab w:val="left" w:pos="845"/>
              </w:tabs>
              <w:rPr>
                <w:b/>
                <w:bCs/>
                <w:i/>
                <w:iCs/>
                <w:sz w:val="22"/>
                <w:szCs w:val="22"/>
              </w:rPr>
            </w:pPr>
            <w:r>
              <w:rPr>
                <w:b/>
                <w:bCs/>
                <w:i/>
                <w:iCs/>
                <w:sz w:val="22"/>
                <w:szCs w:val="22"/>
              </w:rPr>
              <w:t>C3 - compartiment de incendiu distinct clădire înaltă, nivel I de stabilitate la incendiu</w:t>
            </w:r>
          </w:p>
          <w:p w14:paraId="3370E1AF" w14:textId="77777777" w:rsidR="001C08A5" w:rsidRDefault="00000000">
            <w:pPr>
              <w:widowControl w:val="0"/>
              <w:tabs>
                <w:tab w:val="left" w:pos="845"/>
              </w:tabs>
              <w:rPr>
                <w:b/>
                <w:bCs/>
                <w:i/>
                <w:iCs/>
                <w:sz w:val="22"/>
                <w:szCs w:val="22"/>
              </w:rPr>
            </w:pPr>
            <w:r>
              <w:rPr>
                <w:b/>
                <w:bCs/>
                <w:i/>
                <w:iCs/>
                <w:sz w:val="22"/>
                <w:szCs w:val="22"/>
              </w:rPr>
              <w:t>C4 - compartiment de incendiu distinct volumetric în clădire înaltă, nivel I de stabilitate la incendiu</w:t>
            </w:r>
          </w:p>
          <w:p w14:paraId="0C8EC840" w14:textId="77777777" w:rsidR="001C08A5" w:rsidRDefault="001C08A5">
            <w:pPr>
              <w:widowControl w:val="0"/>
              <w:tabs>
                <w:tab w:val="left" w:pos="845"/>
              </w:tabs>
              <w:rPr>
                <w:i/>
                <w:iCs/>
                <w:sz w:val="10"/>
                <w:szCs w:val="10"/>
              </w:rPr>
            </w:pPr>
          </w:p>
          <w:p w14:paraId="5CA4F246" w14:textId="77777777" w:rsidR="001C08A5" w:rsidRDefault="00000000">
            <w:pPr>
              <w:widowControl w:val="0"/>
              <w:tabs>
                <w:tab w:val="left" w:pos="845"/>
              </w:tabs>
              <w:rPr>
                <w:sz w:val="22"/>
                <w:szCs w:val="22"/>
                <w:lang w:eastAsia="ro-RO"/>
              </w:rPr>
            </w:pPr>
            <w:r>
              <w:rPr>
                <w:i/>
                <w:iCs/>
                <w:sz w:val="22"/>
                <w:szCs w:val="22"/>
              </w:rPr>
              <w:t>Arii compartimente de incendiu:</w:t>
            </w:r>
          </w:p>
          <w:p w14:paraId="3EEF5C05" w14:textId="77777777" w:rsidR="001C08A5" w:rsidRDefault="00000000">
            <w:pPr>
              <w:widowControl w:val="0"/>
              <w:tabs>
                <w:tab w:val="left" w:pos="845"/>
              </w:tabs>
              <w:rPr>
                <w:i/>
                <w:iCs/>
                <w:sz w:val="22"/>
                <w:szCs w:val="22"/>
                <w:vertAlign w:val="superscript"/>
              </w:rPr>
            </w:pPr>
            <w:r>
              <w:rPr>
                <w:i/>
                <w:iCs/>
                <w:sz w:val="22"/>
                <w:szCs w:val="22"/>
              </w:rPr>
              <w:t xml:space="preserve">Compartiment C1 (clădire cu înălțime obișnuită) - Arie construită </w:t>
            </w:r>
            <w:r>
              <w:rPr>
                <w:rFonts w:hint="eastAsia"/>
                <w:i/>
                <w:iCs/>
                <w:sz w:val="22"/>
                <w:szCs w:val="22"/>
              </w:rPr>
              <w:t>≤</w:t>
            </w:r>
            <w:r>
              <w:rPr>
                <w:i/>
                <w:iCs/>
                <w:sz w:val="22"/>
                <w:szCs w:val="22"/>
              </w:rPr>
              <w:t xml:space="preserve"> 3.500 m</w:t>
            </w:r>
            <w:r>
              <w:rPr>
                <w:i/>
                <w:iCs/>
                <w:sz w:val="22"/>
                <w:szCs w:val="22"/>
                <w:vertAlign w:val="superscript"/>
              </w:rPr>
              <w:t>2</w:t>
            </w:r>
          </w:p>
          <w:p w14:paraId="7FA9F791" w14:textId="77777777" w:rsidR="001C08A5" w:rsidRDefault="00000000">
            <w:pPr>
              <w:widowControl w:val="0"/>
              <w:tabs>
                <w:tab w:val="left" w:pos="845"/>
              </w:tabs>
              <w:rPr>
                <w:i/>
                <w:iCs/>
                <w:sz w:val="22"/>
                <w:szCs w:val="22"/>
                <w:vertAlign w:val="superscript"/>
              </w:rPr>
            </w:pPr>
            <w:r>
              <w:rPr>
                <w:i/>
                <w:iCs/>
                <w:sz w:val="22"/>
                <w:szCs w:val="22"/>
              </w:rPr>
              <w:t xml:space="preserve">Compartiment C2 (clădire cu înălțime obișnuită) - Arie construită </w:t>
            </w:r>
            <w:r>
              <w:rPr>
                <w:rFonts w:hint="eastAsia"/>
                <w:i/>
                <w:iCs/>
                <w:sz w:val="22"/>
                <w:szCs w:val="22"/>
              </w:rPr>
              <w:t>≤</w:t>
            </w:r>
            <w:r>
              <w:rPr>
                <w:i/>
                <w:iCs/>
                <w:sz w:val="22"/>
                <w:szCs w:val="22"/>
              </w:rPr>
              <w:t xml:space="preserve"> 3.500 m</w:t>
            </w:r>
            <w:r>
              <w:rPr>
                <w:i/>
                <w:iCs/>
                <w:sz w:val="22"/>
                <w:szCs w:val="22"/>
                <w:vertAlign w:val="superscript"/>
              </w:rPr>
              <w:t>2</w:t>
            </w:r>
          </w:p>
          <w:p w14:paraId="368B6804" w14:textId="77777777" w:rsidR="001C08A5" w:rsidRDefault="00000000">
            <w:pPr>
              <w:widowControl w:val="0"/>
              <w:tabs>
                <w:tab w:val="left" w:pos="845"/>
              </w:tabs>
              <w:rPr>
                <w:i/>
                <w:iCs/>
                <w:sz w:val="22"/>
                <w:szCs w:val="22"/>
                <w:vertAlign w:val="superscript"/>
              </w:rPr>
            </w:pPr>
            <w:r>
              <w:rPr>
                <w:i/>
                <w:iCs/>
                <w:sz w:val="22"/>
                <w:szCs w:val="22"/>
              </w:rPr>
              <w:t xml:space="preserve">Compartiment C3 (clădire înaltă) - Arie construită </w:t>
            </w:r>
            <w:r>
              <w:rPr>
                <w:rFonts w:hint="eastAsia"/>
                <w:i/>
                <w:iCs/>
                <w:sz w:val="22"/>
                <w:szCs w:val="22"/>
              </w:rPr>
              <w:t>≤</w:t>
            </w:r>
            <w:r>
              <w:rPr>
                <w:i/>
                <w:iCs/>
                <w:sz w:val="22"/>
                <w:szCs w:val="22"/>
              </w:rPr>
              <w:t xml:space="preserve"> 3.500 m</w:t>
            </w:r>
            <w:r>
              <w:rPr>
                <w:i/>
                <w:iCs/>
                <w:sz w:val="22"/>
                <w:szCs w:val="22"/>
                <w:vertAlign w:val="superscript"/>
              </w:rPr>
              <w:t>2</w:t>
            </w:r>
          </w:p>
          <w:p w14:paraId="1D22427D" w14:textId="77777777" w:rsidR="001C08A5" w:rsidRDefault="00000000">
            <w:pPr>
              <w:widowControl w:val="0"/>
              <w:tabs>
                <w:tab w:val="left" w:pos="845"/>
              </w:tabs>
              <w:rPr>
                <w:i/>
                <w:iCs/>
                <w:sz w:val="22"/>
                <w:szCs w:val="22"/>
              </w:rPr>
            </w:pPr>
            <w:r>
              <w:rPr>
                <w:i/>
                <w:iCs/>
                <w:sz w:val="22"/>
                <w:szCs w:val="22"/>
              </w:rPr>
              <w:t>Compartiment C4 (compartiment volumetric in clădire înaltă) - Arie desfășurată</w:t>
            </w:r>
            <w:r>
              <w:rPr>
                <w:rFonts w:hint="eastAsia"/>
                <w:i/>
                <w:iCs/>
                <w:sz w:val="22"/>
                <w:szCs w:val="22"/>
              </w:rPr>
              <w:t>≤</w:t>
            </w:r>
            <w:r>
              <w:rPr>
                <w:i/>
                <w:iCs/>
                <w:sz w:val="22"/>
                <w:szCs w:val="22"/>
              </w:rPr>
              <w:t xml:space="preserve"> 2.500 m</w:t>
            </w:r>
            <w:r>
              <w:rPr>
                <w:i/>
                <w:iCs/>
                <w:sz w:val="22"/>
                <w:szCs w:val="22"/>
                <w:vertAlign w:val="superscript"/>
              </w:rPr>
              <w:t>2</w:t>
            </w:r>
            <w:r>
              <w:rPr>
                <w:i/>
                <w:iCs/>
                <w:sz w:val="22"/>
                <w:szCs w:val="22"/>
              </w:rPr>
              <w:t xml:space="preserve"> </w:t>
            </w:r>
          </w:p>
          <w:p w14:paraId="465D7181" w14:textId="77777777" w:rsidR="001C08A5" w:rsidRDefault="001C08A5">
            <w:pPr>
              <w:widowControl w:val="0"/>
              <w:tabs>
                <w:tab w:val="left" w:pos="845"/>
              </w:tabs>
              <w:jc w:val="center"/>
              <w:rPr>
                <w:sz w:val="22"/>
                <w:szCs w:val="22"/>
                <w:lang w:eastAsia="ro-RO"/>
              </w:rPr>
            </w:pPr>
          </w:p>
        </w:tc>
      </w:tr>
    </w:tbl>
    <w:p w14:paraId="459A0F88" w14:textId="77777777" w:rsidR="001C08A5" w:rsidRDefault="00000000">
      <w:pPr>
        <w:jc w:val="center"/>
        <w:rPr>
          <w:i/>
          <w:iCs/>
          <w:sz w:val="22"/>
          <w:szCs w:val="22"/>
        </w:rPr>
      </w:pPr>
      <w:r>
        <w:rPr>
          <w:b/>
          <w:bCs/>
          <w:i/>
          <w:iCs/>
          <w:sz w:val="22"/>
          <w:szCs w:val="22"/>
        </w:rPr>
        <w:t>Varianta a)</w:t>
      </w:r>
      <w:r>
        <w:rPr>
          <w:i/>
          <w:iCs/>
          <w:sz w:val="22"/>
          <w:szCs w:val="22"/>
        </w:rPr>
        <w:t xml:space="preserve"> </w:t>
      </w:r>
      <w:r>
        <w:rPr>
          <w:b/>
          <w:bCs/>
          <w:i/>
          <w:iCs/>
          <w:sz w:val="22"/>
          <w:szCs w:val="22"/>
        </w:rPr>
        <w:t xml:space="preserve">clădiri cu înălțime obișnuită și clădire înaltă cu funcțiune de locuit, neechipate cu instalație automată de stingere a  incendiilor sau cu </w:t>
      </w:r>
      <w:r>
        <w:rPr>
          <w:b/>
          <w:bCs/>
          <w:i/>
          <w:sz w:val="22"/>
          <w:szCs w:val="22"/>
        </w:rPr>
        <w:t xml:space="preserve">instalaţii de detectare, semnalizare şi alarmare a incendiului cu acoperire totală </w:t>
      </w:r>
    </w:p>
    <w:p w14:paraId="4252A75A" w14:textId="77777777" w:rsidR="001C08A5" w:rsidRDefault="001C08A5">
      <w:pPr>
        <w:widowControl w:val="0"/>
        <w:numPr>
          <w:ilvl w:val="255"/>
          <w:numId w:val="0"/>
        </w:numPr>
        <w:ind w:left="420"/>
        <w:jc w:val="center"/>
        <w:rPr>
          <w:i/>
          <w:iCs/>
          <w:sz w:val="24"/>
          <w:szCs w:val="24"/>
        </w:rPr>
      </w:pPr>
    </w:p>
    <w:tbl>
      <w:tblPr>
        <w:tblW w:w="0" w:type="auto"/>
        <w:tblLook w:val="04A0" w:firstRow="1" w:lastRow="0" w:firstColumn="1" w:lastColumn="0" w:noHBand="0" w:noVBand="1"/>
      </w:tblPr>
      <w:tblGrid>
        <w:gridCol w:w="6096"/>
        <w:gridCol w:w="3543"/>
      </w:tblGrid>
      <w:tr w:rsidR="001C08A5" w14:paraId="55E4CEF3" w14:textId="77777777">
        <w:tc>
          <w:tcPr>
            <w:tcW w:w="4927" w:type="dxa"/>
          </w:tcPr>
          <w:p w14:paraId="77EB0474" w14:textId="77777777" w:rsidR="001C08A5" w:rsidRDefault="00000000">
            <w:pPr>
              <w:widowControl w:val="0"/>
              <w:tabs>
                <w:tab w:val="left" w:pos="845"/>
              </w:tabs>
              <w:jc w:val="center"/>
              <w:rPr>
                <w:sz w:val="22"/>
                <w:szCs w:val="22"/>
                <w:lang w:eastAsia="ro-RO"/>
              </w:rPr>
            </w:pPr>
            <w:r>
              <w:rPr>
                <w:noProof/>
                <w:sz w:val="22"/>
                <w:szCs w:val="22"/>
                <w:lang w:eastAsia="ro-RO"/>
              </w:rPr>
              <w:drawing>
                <wp:inline distT="0" distB="0" distL="114300" distR="114300" wp14:anchorId="2C557104" wp14:editId="64DD77D3">
                  <wp:extent cx="3716020" cy="3792855"/>
                  <wp:effectExtent l="0" t="0" r="17780" b="17145"/>
                  <wp:docPr id="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7"/>
                          <pic:cNvPicPr>
                            <a:picLocks noChangeAspect="1"/>
                          </pic:cNvPicPr>
                        </pic:nvPicPr>
                        <pic:blipFill>
                          <a:blip r:embed="rId60"/>
                          <a:srcRect l="40958" t="1570" r="7650" b="2401"/>
                          <a:stretch>
                            <a:fillRect/>
                          </a:stretch>
                        </pic:blipFill>
                        <pic:spPr>
                          <a:xfrm>
                            <a:off x="0" y="0"/>
                            <a:ext cx="3716020" cy="3792855"/>
                          </a:xfrm>
                          <a:prstGeom prst="rect">
                            <a:avLst/>
                          </a:prstGeom>
                          <a:noFill/>
                          <a:ln>
                            <a:noFill/>
                          </a:ln>
                        </pic:spPr>
                      </pic:pic>
                    </a:graphicData>
                  </a:graphic>
                </wp:inline>
              </w:drawing>
            </w:r>
          </w:p>
        </w:tc>
        <w:tc>
          <w:tcPr>
            <w:tcW w:w="4928" w:type="dxa"/>
          </w:tcPr>
          <w:p w14:paraId="0E16D167"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1C6C0841" w14:textId="77777777" w:rsidR="001C08A5" w:rsidRDefault="00000000">
            <w:pPr>
              <w:widowControl w:val="0"/>
              <w:tabs>
                <w:tab w:val="left" w:pos="845"/>
              </w:tabs>
              <w:rPr>
                <w:b/>
                <w:bCs/>
                <w:i/>
                <w:iCs/>
                <w:sz w:val="22"/>
                <w:szCs w:val="22"/>
              </w:rPr>
            </w:pPr>
            <w:r>
              <w:rPr>
                <w:b/>
                <w:bCs/>
                <w:i/>
                <w:iCs/>
                <w:sz w:val="22"/>
                <w:szCs w:val="22"/>
              </w:rPr>
              <w:t>C1, C2 - compartimente de incendiu distincte, nivel I sau II de stabilitate la incendiu</w:t>
            </w:r>
          </w:p>
          <w:p w14:paraId="7785630D" w14:textId="77777777" w:rsidR="001C08A5" w:rsidRDefault="00000000">
            <w:pPr>
              <w:widowControl w:val="0"/>
              <w:tabs>
                <w:tab w:val="left" w:pos="845"/>
              </w:tabs>
              <w:rPr>
                <w:b/>
                <w:bCs/>
                <w:i/>
                <w:iCs/>
                <w:sz w:val="22"/>
                <w:szCs w:val="22"/>
              </w:rPr>
            </w:pPr>
            <w:r>
              <w:rPr>
                <w:b/>
                <w:bCs/>
                <w:i/>
                <w:iCs/>
                <w:sz w:val="22"/>
                <w:szCs w:val="22"/>
              </w:rPr>
              <w:t>C3 - compartiment de incendiu distinct clădire înaltă, nivel I de stabilitate la incendiu</w:t>
            </w:r>
          </w:p>
          <w:p w14:paraId="5335E7D3" w14:textId="77777777" w:rsidR="001C08A5" w:rsidRDefault="00000000">
            <w:pPr>
              <w:widowControl w:val="0"/>
              <w:tabs>
                <w:tab w:val="left" w:pos="845"/>
              </w:tabs>
              <w:rPr>
                <w:b/>
                <w:bCs/>
                <w:i/>
                <w:iCs/>
                <w:sz w:val="22"/>
                <w:szCs w:val="22"/>
              </w:rPr>
            </w:pPr>
            <w:r>
              <w:rPr>
                <w:b/>
                <w:bCs/>
                <w:i/>
                <w:iCs/>
                <w:sz w:val="22"/>
                <w:szCs w:val="22"/>
              </w:rPr>
              <w:t>C4 - compartiment de incendiu distinct volumetric în clădire înaltă, nivel I de stabilitate la incendiu</w:t>
            </w:r>
          </w:p>
          <w:p w14:paraId="560B7E77" w14:textId="77777777" w:rsidR="001C08A5" w:rsidRDefault="001C08A5">
            <w:pPr>
              <w:widowControl w:val="0"/>
              <w:tabs>
                <w:tab w:val="left" w:pos="845"/>
              </w:tabs>
              <w:rPr>
                <w:i/>
                <w:iCs/>
                <w:sz w:val="10"/>
                <w:szCs w:val="10"/>
              </w:rPr>
            </w:pPr>
          </w:p>
          <w:p w14:paraId="11FF7BE4" w14:textId="77777777" w:rsidR="001C08A5" w:rsidRDefault="00000000">
            <w:pPr>
              <w:widowControl w:val="0"/>
              <w:tabs>
                <w:tab w:val="left" w:pos="845"/>
              </w:tabs>
              <w:rPr>
                <w:sz w:val="22"/>
                <w:szCs w:val="22"/>
                <w:lang w:eastAsia="ro-RO"/>
              </w:rPr>
            </w:pPr>
            <w:r>
              <w:rPr>
                <w:i/>
                <w:iCs/>
                <w:sz w:val="22"/>
                <w:szCs w:val="22"/>
              </w:rPr>
              <w:t>Arii compartimente de incendiu:</w:t>
            </w:r>
          </w:p>
          <w:p w14:paraId="11409972" w14:textId="77777777" w:rsidR="001C08A5" w:rsidRDefault="00000000">
            <w:pPr>
              <w:widowControl w:val="0"/>
              <w:tabs>
                <w:tab w:val="left" w:pos="845"/>
              </w:tabs>
              <w:rPr>
                <w:i/>
                <w:iCs/>
                <w:sz w:val="22"/>
                <w:szCs w:val="22"/>
                <w:vertAlign w:val="superscript"/>
              </w:rPr>
            </w:pPr>
            <w:r>
              <w:rPr>
                <w:i/>
                <w:iCs/>
                <w:sz w:val="22"/>
                <w:szCs w:val="22"/>
              </w:rPr>
              <w:t>Compartiment C1 (clădire cu înălțime obișnuită) - Arie construită ≤ 4.375 m</w:t>
            </w:r>
            <w:r>
              <w:rPr>
                <w:i/>
                <w:iCs/>
                <w:sz w:val="22"/>
                <w:szCs w:val="22"/>
                <w:vertAlign w:val="superscript"/>
              </w:rPr>
              <w:t>2</w:t>
            </w:r>
          </w:p>
          <w:p w14:paraId="764B660E" w14:textId="77777777" w:rsidR="001C08A5" w:rsidRDefault="00000000">
            <w:pPr>
              <w:widowControl w:val="0"/>
              <w:tabs>
                <w:tab w:val="left" w:pos="845"/>
              </w:tabs>
              <w:rPr>
                <w:i/>
                <w:iCs/>
                <w:sz w:val="22"/>
                <w:szCs w:val="22"/>
                <w:vertAlign w:val="superscript"/>
              </w:rPr>
            </w:pPr>
            <w:r>
              <w:rPr>
                <w:i/>
                <w:iCs/>
                <w:sz w:val="22"/>
                <w:szCs w:val="22"/>
              </w:rPr>
              <w:t>Compartiment C2 (clădire cu înălțime obișnuită) - Arie construită ≤ 4.375 m</w:t>
            </w:r>
            <w:r>
              <w:rPr>
                <w:i/>
                <w:iCs/>
                <w:sz w:val="22"/>
                <w:szCs w:val="22"/>
                <w:vertAlign w:val="superscript"/>
              </w:rPr>
              <w:t>2</w:t>
            </w:r>
          </w:p>
          <w:p w14:paraId="45971767" w14:textId="77777777" w:rsidR="001C08A5" w:rsidRDefault="00000000">
            <w:pPr>
              <w:widowControl w:val="0"/>
              <w:tabs>
                <w:tab w:val="left" w:pos="845"/>
              </w:tabs>
              <w:rPr>
                <w:i/>
                <w:iCs/>
                <w:sz w:val="22"/>
                <w:szCs w:val="22"/>
                <w:vertAlign w:val="superscript"/>
              </w:rPr>
            </w:pPr>
            <w:r>
              <w:rPr>
                <w:i/>
                <w:iCs/>
                <w:sz w:val="22"/>
                <w:szCs w:val="22"/>
              </w:rPr>
              <w:t>Compartiment C3 (clădire înaltă) - Arie construită ≤ 3.500 m</w:t>
            </w:r>
            <w:r>
              <w:rPr>
                <w:i/>
                <w:iCs/>
                <w:sz w:val="22"/>
                <w:szCs w:val="22"/>
                <w:vertAlign w:val="superscript"/>
              </w:rPr>
              <w:t>2</w:t>
            </w:r>
          </w:p>
          <w:p w14:paraId="5069AF0C" w14:textId="77777777" w:rsidR="001C08A5" w:rsidRDefault="00000000">
            <w:pPr>
              <w:widowControl w:val="0"/>
              <w:tabs>
                <w:tab w:val="left" w:pos="845"/>
              </w:tabs>
              <w:rPr>
                <w:i/>
                <w:iCs/>
                <w:sz w:val="22"/>
                <w:szCs w:val="22"/>
              </w:rPr>
            </w:pPr>
            <w:r>
              <w:rPr>
                <w:i/>
                <w:iCs/>
                <w:sz w:val="22"/>
                <w:szCs w:val="22"/>
              </w:rPr>
              <w:t>Compartiment C4 (compartiment volumetric in clădire înaltă) - Arie desfășurată</w:t>
            </w:r>
            <w:r>
              <w:rPr>
                <w:rFonts w:hint="eastAsia"/>
                <w:i/>
                <w:iCs/>
                <w:sz w:val="22"/>
                <w:szCs w:val="22"/>
              </w:rPr>
              <w:t>≤</w:t>
            </w:r>
            <w:r>
              <w:rPr>
                <w:i/>
                <w:iCs/>
                <w:sz w:val="22"/>
                <w:szCs w:val="22"/>
              </w:rPr>
              <w:t>3.500 m</w:t>
            </w:r>
            <w:r>
              <w:rPr>
                <w:i/>
                <w:iCs/>
                <w:sz w:val="22"/>
                <w:szCs w:val="22"/>
                <w:vertAlign w:val="superscript"/>
              </w:rPr>
              <w:t>2</w:t>
            </w:r>
          </w:p>
          <w:p w14:paraId="016D3708" w14:textId="77777777" w:rsidR="001C08A5" w:rsidRDefault="001C08A5">
            <w:pPr>
              <w:widowControl w:val="0"/>
              <w:tabs>
                <w:tab w:val="left" w:pos="845"/>
              </w:tabs>
              <w:jc w:val="center"/>
              <w:rPr>
                <w:sz w:val="22"/>
                <w:szCs w:val="22"/>
                <w:lang w:eastAsia="ro-RO"/>
              </w:rPr>
            </w:pPr>
          </w:p>
        </w:tc>
      </w:tr>
    </w:tbl>
    <w:p w14:paraId="45E41E17" w14:textId="77777777" w:rsidR="001C08A5" w:rsidRDefault="00000000">
      <w:pPr>
        <w:jc w:val="center"/>
        <w:rPr>
          <w:i/>
          <w:iCs/>
          <w:sz w:val="22"/>
          <w:szCs w:val="22"/>
        </w:rPr>
      </w:pPr>
      <w:r>
        <w:rPr>
          <w:b/>
          <w:bCs/>
          <w:i/>
          <w:iCs/>
          <w:sz w:val="22"/>
          <w:szCs w:val="22"/>
        </w:rPr>
        <w:t>Varianta b)</w:t>
      </w:r>
      <w:r>
        <w:rPr>
          <w:i/>
          <w:iCs/>
          <w:sz w:val="22"/>
          <w:szCs w:val="22"/>
        </w:rPr>
        <w:t xml:space="preserve"> </w:t>
      </w:r>
      <w:r>
        <w:rPr>
          <w:b/>
          <w:bCs/>
          <w:i/>
          <w:iCs/>
          <w:sz w:val="22"/>
          <w:szCs w:val="22"/>
        </w:rPr>
        <w:t>clădiri cu înălțime obișnuită și clădire înaltă cu funcțiune de locuit, neechipate cu instalație automată de stingere a  incendiilor</w:t>
      </w:r>
      <w:r>
        <w:rPr>
          <w:i/>
          <w:iCs/>
          <w:sz w:val="22"/>
          <w:szCs w:val="22"/>
        </w:rPr>
        <w:t xml:space="preserve"> (toate compartimentele sunt echipate cu </w:t>
      </w:r>
      <w:r>
        <w:rPr>
          <w:i/>
          <w:sz w:val="22"/>
          <w:szCs w:val="22"/>
        </w:rPr>
        <w:t xml:space="preserve">instalaţii de detectare, semnalizare şi alarmare a incendiului cu acoperire totală </w:t>
      </w:r>
      <w:r>
        <w:rPr>
          <w:i/>
          <w:iCs/>
          <w:sz w:val="22"/>
          <w:szCs w:val="22"/>
        </w:rPr>
        <w:t>)</w:t>
      </w:r>
    </w:p>
    <w:p w14:paraId="5B63272E" w14:textId="77777777" w:rsidR="001C08A5" w:rsidRDefault="001C08A5">
      <w:pPr>
        <w:jc w:val="center"/>
        <w:rPr>
          <w:i/>
          <w:iCs/>
          <w:sz w:val="22"/>
          <w:szCs w:val="22"/>
        </w:rPr>
      </w:pPr>
    </w:p>
    <w:tbl>
      <w:tblPr>
        <w:tblW w:w="0" w:type="auto"/>
        <w:tblLook w:val="04A0" w:firstRow="1" w:lastRow="0" w:firstColumn="1" w:lastColumn="0" w:noHBand="0" w:noVBand="1"/>
      </w:tblPr>
      <w:tblGrid>
        <w:gridCol w:w="6156"/>
        <w:gridCol w:w="3483"/>
      </w:tblGrid>
      <w:tr w:rsidR="001C08A5" w14:paraId="19AB3FA2" w14:textId="77777777">
        <w:tc>
          <w:tcPr>
            <w:tcW w:w="4927" w:type="dxa"/>
          </w:tcPr>
          <w:p w14:paraId="05E2ECDA" w14:textId="77777777" w:rsidR="001C08A5" w:rsidRDefault="00000000">
            <w:pPr>
              <w:widowControl w:val="0"/>
              <w:tabs>
                <w:tab w:val="left" w:pos="845"/>
              </w:tabs>
              <w:jc w:val="center"/>
              <w:rPr>
                <w:sz w:val="22"/>
                <w:szCs w:val="22"/>
                <w:lang w:eastAsia="ro-RO"/>
              </w:rPr>
            </w:pPr>
            <w:r>
              <w:rPr>
                <w:noProof/>
                <w:sz w:val="22"/>
                <w:szCs w:val="22"/>
                <w:lang w:eastAsia="ro-RO"/>
              </w:rPr>
              <w:lastRenderedPageBreak/>
              <w:drawing>
                <wp:inline distT="0" distB="0" distL="114300" distR="114300" wp14:anchorId="1F4ABD89" wp14:editId="1155E91E">
                  <wp:extent cx="3771265" cy="3849370"/>
                  <wp:effectExtent l="0" t="0" r="635" b="17780"/>
                  <wp:docPr id="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7"/>
                          <pic:cNvPicPr>
                            <a:picLocks noChangeAspect="1"/>
                          </pic:cNvPicPr>
                        </pic:nvPicPr>
                        <pic:blipFill>
                          <a:blip r:embed="rId60"/>
                          <a:srcRect l="40958" t="1570" r="7650" b="2401"/>
                          <a:stretch>
                            <a:fillRect/>
                          </a:stretch>
                        </pic:blipFill>
                        <pic:spPr>
                          <a:xfrm>
                            <a:off x="0" y="0"/>
                            <a:ext cx="3771265" cy="3849370"/>
                          </a:xfrm>
                          <a:prstGeom prst="rect">
                            <a:avLst/>
                          </a:prstGeom>
                          <a:noFill/>
                          <a:ln>
                            <a:noFill/>
                          </a:ln>
                        </pic:spPr>
                      </pic:pic>
                    </a:graphicData>
                  </a:graphic>
                </wp:inline>
              </w:drawing>
            </w:r>
          </w:p>
        </w:tc>
        <w:tc>
          <w:tcPr>
            <w:tcW w:w="4928" w:type="dxa"/>
          </w:tcPr>
          <w:p w14:paraId="6DA51234"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70B838C4" w14:textId="77777777" w:rsidR="001C08A5" w:rsidRDefault="00000000">
            <w:pPr>
              <w:widowControl w:val="0"/>
              <w:tabs>
                <w:tab w:val="left" w:pos="845"/>
              </w:tabs>
              <w:rPr>
                <w:b/>
                <w:bCs/>
                <w:i/>
                <w:iCs/>
                <w:sz w:val="22"/>
                <w:szCs w:val="22"/>
              </w:rPr>
            </w:pPr>
            <w:r>
              <w:rPr>
                <w:b/>
                <w:bCs/>
                <w:i/>
                <w:iCs/>
                <w:sz w:val="22"/>
                <w:szCs w:val="22"/>
              </w:rPr>
              <w:t>C1, C2 - compartimente de incendiu distincte, nivel I sau II de stabilitate la incendiu</w:t>
            </w:r>
          </w:p>
          <w:p w14:paraId="6666BC59" w14:textId="77777777" w:rsidR="001C08A5" w:rsidRDefault="00000000">
            <w:pPr>
              <w:widowControl w:val="0"/>
              <w:tabs>
                <w:tab w:val="left" w:pos="845"/>
              </w:tabs>
              <w:rPr>
                <w:b/>
                <w:bCs/>
                <w:i/>
                <w:iCs/>
                <w:sz w:val="22"/>
                <w:szCs w:val="22"/>
              </w:rPr>
            </w:pPr>
            <w:r>
              <w:rPr>
                <w:b/>
                <w:bCs/>
                <w:i/>
                <w:iCs/>
                <w:sz w:val="22"/>
                <w:szCs w:val="22"/>
              </w:rPr>
              <w:t>C3 - compartiment de incendiu distinct clădire înaltă, nivel I de stabilitate la incendiu</w:t>
            </w:r>
          </w:p>
          <w:p w14:paraId="0E5499FF" w14:textId="77777777" w:rsidR="001C08A5" w:rsidRDefault="00000000">
            <w:pPr>
              <w:widowControl w:val="0"/>
              <w:tabs>
                <w:tab w:val="left" w:pos="845"/>
              </w:tabs>
              <w:rPr>
                <w:b/>
                <w:bCs/>
                <w:i/>
                <w:iCs/>
                <w:sz w:val="22"/>
                <w:szCs w:val="22"/>
              </w:rPr>
            </w:pPr>
            <w:r>
              <w:rPr>
                <w:b/>
                <w:bCs/>
                <w:i/>
                <w:iCs/>
                <w:sz w:val="22"/>
                <w:szCs w:val="22"/>
              </w:rPr>
              <w:t>C4 - compartiment de incendiu distinct volumetric în clădire înaltă, nivel I de stabilitate la incendiu</w:t>
            </w:r>
          </w:p>
          <w:p w14:paraId="5EA4822F" w14:textId="77777777" w:rsidR="001C08A5" w:rsidRDefault="001C08A5">
            <w:pPr>
              <w:widowControl w:val="0"/>
              <w:tabs>
                <w:tab w:val="left" w:pos="845"/>
              </w:tabs>
              <w:rPr>
                <w:i/>
                <w:iCs/>
                <w:sz w:val="10"/>
                <w:szCs w:val="10"/>
              </w:rPr>
            </w:pPr>
          </w:p>
          <w:p w14:paraId="682327E7" w14:textId="77777777" w:rsidR="001C08A5" w:rsidRDefault="00000000">
            <w:pPr>
              <w:widowControl w:val="0"/>
              <w:tabs>
                <w:tab w:val="left" w:pos="845"/>
              </w:tabs>
              <w:rPr>
                <w:sz w:val="22"/>
                <w:szCs w:val="22"/>
                <w:lang w:eastAsia="ro-RO"/>
              </w:rPr>
            </w:pPr>
            <w:r>
              <w:rPr>
                <w:i/>
                <w:iCs/>
                <w:sz w:val="22"/>
                <w:szCs w:val="22"/>
              </w:rPr>
              <w:t>Arii compartimente de incendiu:</w:t>
            </w:r>
          </w:p>
          <w:p w14:paraId="27BEB92A" w14:textId="77777777" w:rsidR="001C08A5" w:rsidRDefault="00000000">
            <w:pPr>
              <w:widowControl w:val="0"/>
              <w:tabs>
                <w:tab w:val="left" w:pos="845"/>
              </w:tabs>
              <w:rPr>
                <w:i/>
                <w:iCs/>
                <w:sz w:val="22"/>
                <w:szCs w:val="22"/>
                <w:vertAlign w:val="superscript"/>
              </w:rPr>
            </w:pPr>
            <w:r>
              <w:rPr>
                <w:i/>
                <w:iCs/>
                <w:sz w:val="22"/>
                <w:szCs w:val="22"/>
              </w:rPr>
              <w:t>Compartiment C1 (clădire cu înălțime obișnuită) - Arie construită ≤ nelimitat</w:t>
            </w:r>
          </w:p>
          <w:p w14:paraId="5AD2377B" w14:textId="77777777" w:rsidR="001C08A5" w:rsidRDefault="00000000">
            <w:pPr>
              <w:widowControl w:val="0"/>
              <w:tabs>
                <w:tab w:val="left" w:pos="845"/>
              </w:tabs>
              <w:rPr>
                <w:i/>
                <w:iCs/>
                <w:sz w:val="22"/>
                <w:szCs w:val="22"/>
                <w:vertAlign w:val="superscript"/>
              </w:rPr>
            </w:pPr>
            <w:r>
              <w:rPr>
                <w:i/>
                <w:iCs/>
                <w:sz w:val="22"/>
                <w:szCs w:val="22"/>
              </w:rPr>
              <w:t>Compartiment C2 (clădire cu înălțime obișnuită) - Arie construită ≤ nelimitat</w:t>
            </w:r>
          </w:p>
          <w:p w14:paraId="4DA73E80" w14:textId="77777777" w:rsidR="001C08A5" w:rsidRDefault="00000000">
            <w:pPr>
              <w:widowControl w:val="0"/>
              <w:tabs>
                <w:tab w:val="left" w:pos="845"/>
              </w:tabs>
              <w:rPr>
                <w:i/>
                <w:iCs/>
                <w:sz w:val="22"/>
                <w:szCs w:val="22"/>
                <w:vertAlign w:val="superscript"/>
              </w:rPr>
            </w:pPr>
            <w:r>
              <w:rPr>
                <w:i/>
                <w:iCs/>
                <w:sz w:val="22"/>
                <w:szCs w:val="22"/>
              </w:rPr>
              <w:t>Compartiment C3 (clădire înaltă) - Arie construită ≤ 5.250 m</w:t>
            </w:r>
            <w:r>
              <w:rPr>
                <w:i/>
                <w:iCs/>
                <w:sz w:val="22"/>
                <w:szCs w:val="22"/>
                <w:vertAlign w:val="superscript"/>
              </w:rPr>
              <w:t>2</w:t>
            </w:r>
          </w:p>
          <w:p w14:paraId="2415A605" w14:textId="77777777" w:rsidR="001C08A5" w:rsidRDefault="00000000">
            <w:pPr>
              <w:widowControl w:val="0"/>
              <w:tabs>
                <w:tab w:val="left" w:pos="845"/>
              </w:tabs>
              <w:rPr>
                <w:i/>
                <w:iCs/>
                <w:sz w:val="22"/>
                <w:szCs w:val="22"/>
              </w:rPr>
            </w:pPr>
            <w:r>
              <w:rPr>
                <w:i/>
                <w:iCs/>
                <w:sz w:val="22"/>
                <w:szCs w:val="22"/>
              </w:rPr>
              <w:t>Compartiment C4 (compartiment volumetric in clădire înaltă) - Arie desfășurată ≤ 3.500 m</w:t>
            </w:r>
            <w:r>
              <w:rPr>
                <w:i/>
                <w:iCs/>
                <w:sz w:val="22"/>
                <w:szCs w:val="22"/>
                <w:vertAlign w:val="superscript"/>
              </w:rPr>
              <w:t xml:space="preserve">2 </w:t>
            </w:r>
          </w:p>
          <w:p w14:paraId="6D8EC868" w14:textId="77777777" w:rsidR="001C08A5" w:rsidRDefault="001C08A5">
            <w:pPr>
              <w:widowControl w:val="0"/>
              <w:tabs>
                <w:tab w:val="left" w:pos="845"/>
              </w:tabs>
              <w:jc w:val="center"/>
              <w:rPr>
                <w:sz w:val="22"/>
                <w:szCs w:val="22"/>
                <w:lang w:eastAsia="ro-RO"/>
              </w:rPr>
            </w:pPr>
          </w:p>
        </w:tc>
      </w:tr>
    </w:tbl>
    <w:p w14:paraId="59B4FB72" w14:textId="77777777" w:rsidR="001C08A5" w:rsidRDefault="00000000">
      <w:pPr>
        <w:jc w:val="center"/>
        <w:rPr>
          <w:i/>
          <w:iCs/>
          <w:sz w:val="22"/>
          <w:szCs w:val="22"/>
        </w:rPr>
      </w:pPr>
      <w:r>
        <w:rPr>
          <w:b/>
          <w:bCs/>
          <w:i/>
          <w:iCs/>
          <w:sz w:val="22"/>
          <w:szCs w:val="22"/>
        </w:rPr>
        <w:t>Varianta c)</w:t>
      </w:r>
      <w:r>
        <w:rPr>
          <w:i/>
          <w:iCs/>
          <w:sz w:val="22"/>
          <w:szCs w:val="22"/>
        </w:rPr>
        <w:t xml:space="preserve"> </w:t>
      </w:r>
      <w:r>
        <w:rPr>
          <w:b/>
          <w:bCs/>
          <w:i/>
          <w:iCs/>
          <w:sz w:val="22"/>
          <w:szCs w:val="22"/>
        </w:rPr>
        <w:t>clădiri cu înălțime obișnuită și clădire înaltă cu funcțiune de locuit, echipate cu instalație automată de stingere a  incendiilor</w:t>
      </w:r>
      <w:r>
        <w:rPr>
          <w:i/>
          <w:iCs/>
          <w:sz w:val="22"/>
          <w:szCs w:val="22"/>
        </w:rPr>
        <w:t xml:space="preserve"> (toate compartimentele sunt prevăzute cu instalație automată de stingere a  incendiilor și cu </w:t>
      </w:r>
      <w:r>
        <w:rPr>
          <w:i/>
          <w:sz w:val="22"/>
          <w:szCs w:val="22"/>
        </w:rPr>
        <w:t xml:space="preserve">instalaţii de detectare, semnalizare şi alarmare a incendiului cu acoperire totală, precum si cu </w:t>
      </w:r>
      <w:r>
        <w:rPr>
          <w:i/>
          <w:iCs/>
          <w:sz w:val="22"/>
          <w:szCs w:val="22"/>
        </w:rPr>
        <w:t>instalație</w:t>
      </w:r>
      <w:r>
        <w:rPr>
          <w:i/>
          <w:sz w:val="22"/>
          <w:szCs w:val="22"/>
        </w:rPr>
        <w:t xml:space="preserve"> de evacuare a fumului din circulațiile comune orizontale (coridoare/holuri) și casele de scări </w:t>
      </w:r>
      <w:r>
        <w:rPr>
          <w:i/>
          <w:iCs/>
          <w:sz w:val="22"/>
          <w:szCs w:val="22"/>
        </w:rPr>
        <w:t>)</w:t>
      </w:r>
    </w:p>
    <w:p w14:paraId="0F1F3D34" w14:textId="77777777" w:rsidR="001C08A5" w:rsidRDefault="001C08A5">
      <w:pPr>
        <w:pStyle w:val="BodyText"/>
        <w:rPr>
          <w:lang w:eastAsia="ro-RO"/>
        </w:rPr>
      </w:pPr>
    </w:p>
    <w:tbl>
      <w:tblPr>
        <w:tblW w:w="0" w:type="auto"/>
        <w:tblLook w:val="04A0" w:firstRow="1" w:lastRow="0" w:firstColumn="1" w:lastColumn="0" w:noHBand="0" w:noVBand="1"/>
      </w:tblPr>
      <w:tblGrid>
        <w:gridCol w:w="4919"/>
        <w:gridCol w:w="4720"/>
      </w:tblGrid>
      <w:tr w:rsidR="001C08A5" w14:paraId="2B7CEA5B" w14:textId="77777777">
        <w:tc>
          <w:tcPr>
            <w:tcW w:w="4927" w:type="dxa"/>
          </w:tcPr>
          <w:p w14:paraId="3C7B9FE0" w14:textId="77777777" w:rsidR="001C08A5" w:rsidRDefault="00000000">
            <w:pPr>
              <w:widowControl w:val="0"/>
              <w:tabs>
                <w:tab w:val="left" w:pos="845"/>
              </w:tabs>
              <w:jc w:val="center"/>
              <w:rPr>
                <w:sz w:val="22"/>
                <w:szCs w:val="22"/>
                <w:lang w:eastAsia="ro-RO"/>
              </w:rPr>
            </w:pPr>
            <w:r>
              <w:rPr>
                <w:noProof/>
                <w:sz w:val="22"/>
                <w:szCs w:val="22"/>
                <w:lang w:eastAsia="ro-RO"/>
              </w:rPr>
              <w:drawing>
                <wp:inline distT="0" distB="0" distL="114300" distR="114300" wp14:anchorId="27DCEE27" wp14:editId="61A9283B">
                  <wp:extent cx="2900045" cy="3910965"/>
                  <wp:effectExtent l="0" t="0" r="14605" b="13335"/>
                  <wp:docPr id="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20"/>
                          <pic:cNvPicPr>
                            <a:picLocks noChangeAspect="1"/>
                          </pic:cNvPicPr>
                        </pic:nvPicPr>
                        <pic:blipFill>
                          <a:blip r:embed="rId61"/>
                          <a:srcRect l="12788" t="1491" r="47824" b="311"/>
                          <a:stretch>
                            <a:fillRect/>
                          </a:stretch>
                        </pic:blipFill>
                        <pic:spPr>
                          <a:xfrm>
                            <a:off x="0" y="0"/>
                            <a:ext cx="2900045" cy="3910965"/>
                          </a:xfrm>
                          <a:prstGeom prst="rect">
                            <a:avLst/>
                          </a:prstGeom>
                          <a:noFill/>
                          <a:ln>
                            <a:noFill/>
                          </a:ln>
                        </pic:spPr>
                      </pic:pic>
                    </a:graphicData>
                  </a:graphic>
                </wp:inline>
              </w:drawing>
            </w:r>
          </w:p>
        </w:tc>
        <w:tc>
          <w:tcPr>
            <w:tcW w:w="4928" w:type="dxa"/>
          </w:tcPr>
          <w:p w14:paraId="6DB11FC0"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3F1BFE9D" w14:textId="77777777" w:rsidR="001C08A5" w:rsidRDefault="00000000">
            <w:pPr>
              <w:widowControl w:val="0"/>
              <w:tabs>
                <w:tab w:val="left" w:pos="845"/>
              </w:tabs>
              <w:rPr>
                <w:b/>
                <w:bCs/>
                <w:i/>
                <w:iCs/>
                <w:sz w:val="22"/>
                <w:szCs w:val="22"/>
              </w:rPr>
            </w:pPr>
            <w:r>
              <w:rPr>
                <w:b/>
                <w:bCs/>
                <w:i/>
                <w:iCs/>
                <w:sz w:val="22"/>
                <w:szCs w:val="22"/>
              </w:rPr>
              <w:t xml:space="preserve">C1 - compartiment de incendiu distinct, nivel I sau II de stabilitate la incendiu </w:t>
            </w:r>
          </w:p>
          <w:p w14:paraId="30039C3C" w14:textId="77777777" w:rsidR="001C08A5" w:rsidRDefault="00000000">
            <w:pPr>
              <w:widowControl w:val="0"/>
              <w:tabs>
                <w:tab w:val="left" w:pos="845"/>
              </w:tabs>
              <w:rPr>
                <w:b/>
                <w:bCs/>
                <w:i/>
                <w:iCs/>
                <w:sz w:val="22"/>
                <w:szCs w:val="22"/>
              </w:rPr>
            </w:pPr>
            <w:r>
              <w:rPr>
                <w:b/>
                <w:bCs/>
                <w:i/>
                <w:iCs/>
                <w:sz w:val="22"/>
                <w:szCs w:val="22"/>
              </w:rPr>
              <w:t>C2, C3, C4, C5 - compartimente de incendiu distincte, nivel I de stabilitate la incendiu</w:t>
            </w:r>
          </w:p>
          <w:p w14:paraId="158D836A" w14:textId="77777777" w:rsidR="001C08A5" w:rsidRDefault="001C08A5">
            <w:pPr>
              <w:widowControl w:val="0"/>
              <w:tabs>
                <w:tab w:val="left" w:pos="845"/>
              </w:tabs>
              <w:rPr>
                <w:i/>
                <w:iCs/>
                <w:sz w:val="10"/>
                <w:szCs w:val="10"/>
              </w:rPr>
            </w:pPr>
          </w:p>
          <w:p w14:paraId="70F73646" w14:textId="77777777" w:rsidR="001C08A5" w:rsidRDefault="00000000">
            <w:pPr>
              <w:widowControl w:val="0"/>
              <w:tabs>
                <w:tab w:val="left" w:pos="845"/>
              </w:tabs>
              <w:rPr>
                <w:i/>
                <w:iCs/>
                <w:sz w:val="22"/>
                <w:szCs w:val="22"/>
              </w:rPr>
            </w:pPr>
            <w:r>
              <w:rPr>
                <w:i/>
                <w:iCs/>
                <w:sz w:val="22"/>
                <w:szCs w:val="22"/>
              </w:rPr>
              <w:t>Arii compartimente de incendiu:</w:t>
            </w:r>
          </w:p>
          <w:p w14:paraId="56EA012E" w14:textId="77777777" w:rsidR="001C08A5" w:rsidRDefault="00000000">
            <w:pPr>
              <w:widowControl w:val="0"/>
              <w:tabs>
                <w:tab w:val="left" w:pos="845"/>
              </w:tabs>
              <w:rPr>
                <w:i/>
                <w:iCs/>
                <w:sz w:val="22"/>
                <w:szCs w:val="22"/>
                <w:vertAlign w:val="superscript"/>
              </w:rPr>
            </w:pPr>
            <w:r>
              <w:rPr>
                <w:i/>
                <w:iCs/>
                <w:sz w:val="22"/>
                <w:szCs w:val="22"/>
              </w:rPr>
              <w:t>Compartiment C1 (clădire cu înălțime obișnuită) - Arie construită ≤ nelimitat</w:t>
            </w:r>
          </w:p>
          <w:p w14:paraId="6A3C3553" w14:textId="77777777" w:rsidR="001C08A5" w:rsidRDefault="00000000">
            <w:pPr>
              <w:widowControl w:val="0"/>
              <w:tabs>
                <w:tab w:val="left" w:pos="845"/>
              </w:tabs>
              <w:rPr>
                <w:i/>
                <w:iCs/>
                <w:sz w:val="22"/>
                <w:szCs w:val="22"/>
                <w:vertAlign w:val="superscript"/>
              </w:rPr>
            </w:pPr>
            <w:r>
              <w:rPr>
                <w:i/>
                <w:iCs/>
                <w:sz w:val="22"/>
                <w:szCs w:val="22"/>
              </w:rPr>
              <w:t>Compartiment C2 (clădire înaltă) - Arie construită ≤ 3.500 m</w:t>
            </w:r>
            <w:r>
              <w:rPr>
                <w:i/>
                <w:iCs/>
                <w:sz w:val="22"/>
                <w:szCs w:val="22"/>
                <w:vertAlign w:val="superscript"/>
              </w:rPr>
              <w:t>2</w:t>
            </w:r>
          </w:p>
          <w:p w14:paraId="22D69569" w14:textId="77777777" w:rsidR="001C08A5" w:rsidRDefault="00000000">
            <w:pPr>
              <w:widowControl w:val="0"/>
              <w:tabs>
                <w:tab w:val="left" w:pos="845"/>
              </w:tabs>
              <w:rPr>
                <w:i/>
                <w:iCs/>
                <w:sz w:val="22"/>
                <w:szCs w:val="22"/>
              </w:rPr>
            </w:pPr>
            <w:r>
              <w:rPr>
                <w:i/>
                <w:iCs/>
                <w:sz w:val="22"/>
                <w:szCs w:val="22"/>
              </w:rPr>
              <w:t xml:space="preserve">Compartiment C3 (compartiment volumetric in clădire înaltă) - Arie construită </w:t>
            </w:r>
            <w:r>
              <w:rPr>
                <w:rFonts w:hint="eastAsia"/>
                <w:i/>
                <w:iCs/>
                <w:sz w:val="22"/>
                <w:szCs w:val="22"/>
              </w:rPr>
              <w:t>≤</w:t>
            </w:r>
            <w:r>
              <w:rPr>
                <w:i/>
                <w:iCs/>
                <w:sz w:val="22"/>
                <w:szCs w:val="22"/>
              </w:rPr>
              <w:t xml:space="preserve"> 3.500 m</w:t>
            </w:r>
            <w:r>
              <w:rPr>
                <w:i/>
                <w:iCs/>
                <w:sz w:val="22"/>
                <w:szCs w:val="22"/>
                <w:vertAlign w:val="superscript"/>
              </w:rPr>
              <w:t>2</w:t>
            </w:r>
          </w:p>
          <w:p w14:paraId="1D2E91F9" w14:textId="77777777" w:rsidR="001C08A5" w:rsidRDefault="00000000">
            <w:pPr>
              <w:widowControl w:val="0"/>
              <w:tabs>
                <w:tab w:val="left" w:pos="845"/>
              </w:tabs>
              <w:rPr>
                <w:sz w:val="22"/>
                <w:szCs w:val="22"/>
                <w:vertAlign w:val="superscript"/>
              </w:rPr>
            </w:pPr>
            <w:r>
              <w:rPr>
                <w:i/>
                <w:iCs/>
                <w:sz w:val="22"/>
                <w:szCs w:val="22"/>
              </w:rPr>
              <w:t xml:space="preserve">Compartiment C4 (compartiment volumetric in clădire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1EA2B31C" w14:textId="77777777" w:rsidR="001C08A5" w:rsidRDefault="00000000">
            <w:pPr>
              <w:widowControl w:val="0"/>
              <w:tabs>
                <w:tab w:val="left" w:pos="845"/>
              </w:tabs>
              <w:rPr>
                <w:sz w:val="22"/>
                <w:szCs w:val="22"/>
                <w:vertAlign w:val="superscript"/>
              </w:rPr>
            </w:pPr>
            <w:r>
              <w:rPr>
                <w:i/>
                <w:iCs/>
                <w:sz w:val="22"/>
                <w:szCs w:val="22"/>
              </w:rPr>
              <w:t xml:space="preserve">Compartiment C5 (compartiment volumetric in clădire înaltă) - Arie desfășurată </w:t>
            </w:r>
            <w:r>
              <w:rPr>
                <w:rFonts w:hint="eastAsia"/>
                <w:i/>
                <w:iCs/>
                <w:sz w:val="22"/>
                <w:szCs w:val="22"/>
              </w:rPr>
              <w:t>≤</w:t>
            </w:r>
            <w:r>
              <w:rPr>
                <w:i/>
                <w:iCs/>
                <w:sz w:val="22"/>
                <w:szCs w:val="22"/>
              </w:rPr>
              <w:t xml:space="preserve"> 3.500 m</w:t>
            </w:r>
            <w:r>
              <w:rPr>
                <w:i/>
                <w:iCs/>
                <w:sz w:val="22"/>
                <w:szCs w:val="22"/>
                <w:vertAlign w:val="superscript"/>
              </w:rPr>
              <w:t xml:space="preserve">2 </w:t>
            </w:r>
          </w:p>
          <w:p w14:paraId="62BDEEBE" w14:textId="77777777" w:rsidR="001C08A5" w:rsidRDefault="001C08A5">
            <w:pPr>
              <w:widowControl w:val="0"/>
              <w:tabs>
                <w:tab w:val="left" w:pos="845"/>
              </w:tabs>
              <w:jc w:val="center"/>
              <w:rPr>
                <w:sz w:val="22"/>
                <w:szCs w:val="22"/>
                <w:lang w:eastAsia="ro-RO"/>
              </w:rPr>
            </w:pPr>
          </w:p>
        </w:tc>
      </w:tr>
      <w:tr w:rsidR="001C08A5" w14:paraId="58F0DA8D" w14:textId="77777777">
        <w:tc>
          <w:tcPr>
            <w:tcW w:w="9855" w:type="dxa"/>
            <w:gridSpan w:val="2"/>
          </w:tcPr>
          <w:p w14:paraId="72377E25" w14:textId="77777777" w:rsidR="001C08A5" w:rsidRDefault="00000000">
            <w:pPr>
              <w:jc w:val="center"/>
              <w:rPr>
                <w:sz w:val="22"/>
                <w:szCs w:val="22"/>
                <w:lang w:eastAsia="ro-RO"/>
              </w:rPr>
            </w:pPr>
            <w:r>
              <w:rPr>
                <w:b/>
                <w:bCs/>
                <w:i/>
                <w:iCs/>
                <w:sz w:val="22"/>
                <w:szCs w:val="22"/>
              </w:rPr>
              <w:t>Varianta d)</w:t>
            </w:r>
            <w:r>
              <w:rPr>
                <w:i/>
                <w:iCs/>
                <w:sz w:val="22"/>
                <w:szCs w:val="22"/>
              </w:rPr>
              <w:t xml:space="preserve"> </w:t>
            </w:r>
            <w:r>
              <w:rPr>
                <w:b/>
                <w:bCs/>
                <w:i/>
                <w:iCs/>
                <w:sz w:val="22"/>
                <w:szCs w:val="22"/>
              </w:rPr>
              <w:t>clădire cu înălțime obișnuită și clădire înaltă cu excepția funcțiunii de locuit, echipate cu instalație automată de stingere a  incendiilor</w:t>
            </w:r>
            <w:r>
              <w:rPr>
                <w:i/>
                <w:iCs/>
                <w:sz w:val="22"/>
                <w:szCs w:val="22"/>
              </w:rPr>
              <w:t xml:space="preserve"> (toate compartimentele sunt prevăzute cu instalație automată de stingere a incendiilor și cu </w:t>
            </w:r>
            <w:r>
              <w:rPr>
                <w:i/>
                <w:sz w:val="22"/>
                <w:szCs w:val="22"/>
              </w:rPr>
              <w:t xml:space="preserve">instalaţii de detectare, semnalizare şi alarmare a incendiului cu </w:t>
            </w:r>
            <w:r>
              <w:rPr>
                <w:i/>
                <w:sz w:val="22"/>
                <w:szCs w:val="22"/>
              </w:rPr>
              <w:lastRenderedPageBreak/>
              <w:t xml:space="preserve">acoperire totală, precum si cu </w:t>
            </w:r>
            <w:r>
              <w:rPr>
                <w:i/>
                <w:iCs/>
                <w:sz w:val="22"/>
                <w:szCs w:val="22"/>
              </w:rPr>
              <w:t xml:space="preserve">instalație de </w:t>
            </w:r>
            <w:r>
              <w:rPr>
                <w:i/>
                <w:sz w:val="22"/>
                <w:szCs w:val="22"/>
              </w:rPr>
              <w:t>evacuare a fumului din circulațiile comune orizontale (coridoare/holuri) și casele de scări</w:t>
            </w:r>
            <w:r>
              <w:rPr>
                <w:i/>
                <w:iCs/>
                <w:sz w:val="22"/>
                <w:szCs w:val="22"/>
              </w:rPr>
              <w:t xml:space="preserve">) </w:t>
            </w:r>
          </w:p>
          <w:p w14:paraId="55EF5085" w14:textId="77777777" w:rsidR="001C08A5" w:rsidRDefault="001C08A5">
            <w:pPr>
              <w:widowControl w:val="0"/>
              <w:tabs>
                <w:tab w:val="left" w:pos="845"/>
              </w:tabs>
              <w:jc w:val="center"/>
              <w:rPr>
                <w:sz w:val="22"/>
                <w:szCs w:val="22"/>
                <w:lang w:eastAsia="ro-RO"/>
              </w:rPr>
            </w:pPr>
          </w:p>
        </w:tc>
      </w:tr>
      <w:tr w:rsidR="001C08A5" w14:paraId="0454B34A" w14:textId="77777777">
        <w:tc>
          <w:tcPr>
            <w:tcW w:w="4927" w:type="dxa"/>
          </w:tcPr>
          <w:p w14:paraId="2AFD4411" w14:textId="77777777" w:rsidR="001C08A5" w:rsidRDefault="00000000">
            <w:pPr>
              <w:widowControl w:val="0"/>
              <w:tabs>
                <w:tab w:val="left" w:pos="845"/>
              </w:tabs>
              <w:jc w:val="center"/>
              <w:rPr>
                <w:sz w:val="22"/>
                <w:szCs w:val="22"/>
              </w:rPr>
            </w:pPr>
            <w:r>
              <w:rPr>
                <w:noProof/>
                <w:sz w:val="22"/>
                <w:szCs w:val="22"/>
                <w:lang w:eastAsia="ro-RO"/>
              </w:rPr>
              <w:lastRenderedPageBreak/>
              <w:drawing>
                <wp:inline distT="0" distB="0" distL="114300" distR="114300" wp14:anchorId="31794603" wp14:editId="147FAE1E">
                  <wp:extent cx="2887980" cy="3876675"/>
                  <wp:effectExtent l="0" t="0" r="7620" b="9525"/>
                  <wp:docPr id="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0"/>
                          <pic:cNvPicPr>
                            <a:picLocks noChangeAspect="1"/>
                          </pic:cNvPicPr>
                        </pic:nvPicPr>
                        <pic:blipFill>
                          <a:blip r:embed="rId61"/>
                          <a:srcRect l="52932" t="1491" r="7495" b="311"/>
                          <a:stretch>
                            <a:fillRect/>
                          </a:stretch>
                        </pic:blipFill>
                        <pic:spPr>
                          <a:xfrm>
                            <a:off x="0" y="0"/>
                            <a:ext cx="2887980" cy="3876675"/>
                          </a:xfrm>
                          <a:prstGeom prst="rect">
                            <a:avLst/>
                          </a:prstGeom>
                          <a:noFill/>
                          <a:ln>
                            <a:noFill/>
                          </a:ln>
                        </pic:spPr>
                      </pic:pic>
                    </a:graphicData>
                  </a:graphic>
                </wp:inline>
              </w:drawing>
            </w:r>
          </w:p>
        </w:tc>
        <w:tc>
          <w:tcPr>
            <w:tcW w:w="4928" w:type="dxa"/>
          </w:tcPr>
          <w:p w14:paraId="512908C8"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2E42BADF" w14:textId="77777777" w:rsidR="001C08A5" w:rsidRDefault="00000000">
            <w:pPr>
              <w:widowControl w:val="0"/>
              <w:tabs>
                <w:tab w:val="left" w:pos="845"/>
              </w:tabs>
              <w:rPr>
                <w:b/>
                <w:bCs/>
                <w:i/>
                <w:iCs/>
                <w:sz w:val="22"/>
                <w:szCs w:val="22"/>
              </w:rPr>
            </w:pPr>
            <w:r>
              <w:rPr>
                <w:b/>
                <w:bCs/>
                <w:i/>
                <w:iCs/>
                <w:sz w:val="22"/>
                <w:szCs w:val="22"/>
              </w:rPr>
              <w:t>C1, C2, C3, C4 - compartimente de incendiu distincte, nivel I de stabilitate la incendiu</w:t>
            </w:r>
          </w:p>
          <w:p w14:paraId="5107CB29" w14:textId="77777777" w:rsidR="001C08A5" w:rsidRDefault="001C08A5">
            <w:pPr>
              <w:widowControl w:val="0"/>
              <w:tabs>
                <w:tab w:val="left" w:pos="845"/>
              </w:tabs>
              <w:rPr>
                <w:i/>
                <w:iCs/>
                <w:sz w:val="10"/>
                <w:szCs w:val="10"/>
              </w:rPr>
            </w:pPr>
          </w:p>
          <w:p w14:paraId="3309CF0B" w14:textId="77777777" w:rsidR="001C08A5" w:rsidRDefault="00000000">
            <w:pPr>
              <w:widowControl w:val="0"/>
              <w:tabs>
                <w:tab w:val="left" w:pos="845"/>
              </w:tabs>
              <w:rPr>
                <w:i/>
                <w:iCs/>
                <w:sz w:val="22"/>
                <w:szCs w:val="22"/>
              </w:rPr>
            </w:pPr>
            <w:r>
              <w:rPr>
                <w:i/>
                <w:iCs/>
                <w:sz w:val="22"/>
                <w:szCs w:val="22"/>
              </w:rPr>
              <w:t>Arii compartimente de incendiu:</w:t>
            </w:r>
          </w:p>
          <w:p w14:paraId="1A58A919" w14:textId="77777777" w:rsidR="001C08A5" w:rsidRDefault="00000000">
            <w:pPr>
              <w:widowControl w:val="0"/>
              <w:tabs>
                <w:tab w:val="left" w:pos="845"/>
              </w:tabs>
              <w:rPr>
                <w:i/>
                <w:iCs/>
                <w:sz w:val="22"/>
                <w:szCs w:val="22"/>
                <w:vertAlign w:val="superscript"/>
              </w:rPr>
            </w:pPr>
            <w:r>
              <w:rPr>
                <w:i/>
                <w:iCs/>
                <w:sz w:val="22"/>
                <w:szCs w:val="22"/>
              </w:rPr>
              <w:t xml:space="preserve">Compartiment C1  (clădire înaltă) - Arie construită </w:t>
            </w:r>
            <w:r>
              <w:rPr>
                <w:rFonts w:hint="eastAsia"/>
                <w:i/>
                <w:iCs/>
                <w:sz w:val="22"/>
                <w:szCs w:val="22"/>
              </w:rPr>
              <w:t>≤</w:t>
            </w:r>
            <w:r>
              <w:rPr>
                <w:i/>
                <w:iCs/>
                <w:sz w:val="22"/>
                <w:szCs w:val="22"/>
              </w:rPr>
              <w:t>3.500 m</w:t>
            </w:r>
            <w:r>
              <w:rPr>
                <w:i/>
                <w:iCs/>
                <w:sz w:val="22"/>
                <w:szCs w:val="22"/>
                <w:vertAlign w:val="superscript"/>
              </w:rPr>
              <w:t>2</w:t>
            </w:r>
          </w:p>
          <w:p w14:paraId="565BDE3A" w14:textId="77777777" w:rsidR="001C08A5" w:rsidRDefault="00000000">
            <w:pPr>
              <w:widowControl w:val="0"/>
              <w:tabs>
                <w:tab w:val="left" w:pos="845"/>
              </w:tabs>
              <w:rPr>
                <w:i/>
                <w:iCs/>
                <w:sz w:val="22"/>
                <w:szCs w:val="22"/>
              </w:rPr>
            </w:pPr>
            <w:r>
              <w:rPr>
                <w:i/>
                <w:iCs/>
                <w:sz w:val="22"/>
                <w:szCs w:val="22"/>
              </w:rPr>
              <w:t>Compartiment C2  (compartiment volumetric în clădire înaltă) - Arie desfășurată ≤ 3.500 m</w:t>
            </w:r>
            <w:r>
              <w:rPr>
                <w:i/>
                <w:iCs/>
                <w:sz w:val="22"/>
                <w:szCs w:val="22"/>
                <w:vertAlign w:val="superscript"/>
              </w:rPr>
              <w:t>2</w:t>
            </w:r>
          </w:p>
          <w:p w14:paraId="1D692F1D" w14:textId="77777777" w:rsidR="001C08A5" w:rsidRDefault="00000000">
            <w:pPr>
              <w:widowControl w:val="0"/>
              <w:tabs>
                <w:tab w:val="left" w:pos="845"/>
              </w:tabs>
              <w:rPr>
                <w:sz w:val="22"/>
                <w:szCs w:val="22"/>
                <w:vertAlign w:val="superscript"/>
              </w:rPr>
            </w:pPr>
            <w:r>
              <w:rPr>
                <w:i/>
                <w:iCs/>
                <w:sz w:val="22"/>
                <w:szCs w:val="22"/>
              </w:rPr>
              <w:t xml:space="preserve">Compartiment C3 (compartiment volumetric în clădire înaltă) - Arie </w:t>
            </w:r>
            <w:bookmarkStart w:id="189" w:name="_Hlk151668116"/>
            <w:r>
              <w:rPr>
                <w:i/>
                <w:iCs/>
                <w:sz w:val="22"/>
                <w:szCs w:val="22"/>
              </w:rPr>
              <w:t>desfășurată</w:t>
            </w:r>
            <w:bookmarkEnd w:id="189"/>
            <w:r>
              <w:rPr>
                <w:i/>
                <w:iCs/>
                <w:sz w:val="22"/>
                <w:szCs w:val="22"/>
              </w:rPr>
              <w:t xml:space="preserve"> ≤ 3.500 m</w:t>
            </w:r>
            <w:r>
              <w:rPr>
                <w:i/>
                <w:iCs/>
                <w:sz w:val="22"/>
                <w:szCs w:val="22"/>
                <w:vertAlign w:val="superscript"/>
              </w:rPr>
              <w:t>2</w:t>
            </w:r>
          </w:p>
          <w:p w14:paraId="67412F6B" w14:textId="77777777" w:rsidR="001C08A5" w:rsidRDefault="00000000">
            <w:pPr>
              <w:widowControl w:val="0"/>
              <w:tabs>
                <w:tab w:val="left" w:pos="845"/>
              </w:tabs>
              <w:rPr>
                <w:sz w:val="22"/>
                <w:szCs w:val="22"/>
                <w:vertAlign w:val="superscript"/>
              </w:rPr>
            </w:pPr>
            <w:r>
              <w:rPr>
                <w:i/>
                <w:iCs/>
                <w:sz w:val="22"/>
                <w:szCs w:val="22"/>
              </w:rPr>
              <w:t>Compartiment C4 (compartiment volumetric în clădire înaltă) - Arie desfășurată ≤ 3.500 m</w:t>
            </w:r>
            <w:r>
              <w:rPr>
                <w:i/>
                <w:iCs/>
                <w:sz w:val="22"/>
                <w:szCs w:val="22"/>
                <w:vertAlign w:val="superscript"/>
              </w:rPr>
              <w:t>2</w:t>
            </w:r>
          </w:p>
          <w:p w14:paraId="4AC50B70" w14:textId="77777777" w:rsidR="001C08A5" w:rsidRDefault="001C08A5">
            <w:pPr>
              <w:widowControl w:val="0"/>
              <w:tabs>
                <w:tab w:val="left" w:pos="845"/>
              </w:tabs>
              <w:jc w:val="center"/>
              <w:rPr>
                <w:sz w:val="22"/>
                <w:szCs w:val="22"/>
                <w:lang w:eastAsia="ro-RO"/>
              </w:rPr>
            </w:pPr>
          </w:p>
        </w:tc>
      </w:tr>
    </w:tbl>
    <w:p w14:paraId="406ECB11" w14:textId="77777777" w:rsidR="001C08A5" w:rsidRDefault="00000000">
      <w:pPr>
        <w:jc w:val="center"/>
        <w:rPr>
          <w:i/>
          <w:iCs/>
          <w:sz w:val="22"/>
          <w:szCs w:val="22"/>
        </w:rPr>
      </w:pPr>
      <w:r>
        <w:rPr>
          <w:b/>
          <w:bCs/>
          <w:i/>
          <w:iCs/>
          <w:sz w:val="22"/>
          <w:szCs w:val="22"/>
        </w:rPr>
        <w:t>varianta e)</w:t>
      </w:r>
      <w:r>
        <w:rPr>
          <w:i/>
          <w:iCs/>
          <w:sz w:val="22"/>
          <w:szCs w:val="22"/>
        </w:rPr>
        <w:t xml:space="preserve"> </w:t>
      </w:r>
      <w:r>
        <w:rPr>
          <w:b/>
          <w:bCs/>
          <w:i/>
          <w:iCs/>
          <w:sz w:val="22"/>
          <w:szCs w:val="22"/>
        </w:rPr>
        <w:t>clădire înaltă cu orice funcțiune, cu excepția celei de locuit, echipată cu instalație automată de stingere a  incendiilor</w:t>
      </w:r>
      <w:r>
        <w:rPr>
          <w:i/>
          <w:iCs/>
          <w:sz w:val="22"/>
          <w:szCs w:val="22"/>
        </w:rPr>
        <w:t xml:space="preserve"> (toate compartimentele sunt prevăzute cu instalație automată de stingere a  incendiilor și cu </w:t>
      </w:r>
      <w:r>
        <w:rPr>
          <w:i/>
          <w:sz w:val="22"/>
          <w:szCs w:val="22"/>
        </w:rPr>
        <w:t xml:space="preserve">instalaţii de detectare, semnalizare şi alarmare a incendiului cu acoperire totală, precum și cu </w:t>
      </w:r>
      <w:r>
        <w:rPr>
          <w:i/>
          <w:iCs/>
          <w:sz w:val="22"/>
          <w:szCs w:val="22"/>
        </w:rPr>
        <w:t xml:space="preserve">instalație de </w:t>
      </w:r>
      <w:r>
        <w:rPr>
          <w:i/>
          <w:sz w:val="22"/>
          <w:szCs w:val="22"/>
        </w:rPr>
        <w:t>evacuare a fumului din circulațiile comune orizontale (coridoare/holuri) și casele de scări</w:t>
      </w:r>
      <w:r>
        <w:rPr>
          <w:i/>
          <w:iCs/>
          <w:sz w:val="22"/>
          <w:szCs w:val="22"/>
        </w:rPr>
        <w:t xml:space="preserve">) </w:t>
      </w:r>
    </w:p>
    <w:p w14:paraId="757112F4" w14:textId="77777777" w:rsidR="001C08A5" w:rsidRDefault="001C08A5">
      <w:pPr>
        <w:jc w:val="center"/>
        <w:rPr>
          <w:i/>
          <w:iCs/>
          <w:sz w:val="22"/>
          <w:szCs w:val="22"/>
        </w:rPr>
      </w:pPr>
    </w:p>
    <w:p w14:paraId="0DF11B4C" w14:textId="77777777" w:rsidR="001C08A5" w:rsidRDefault="00000000">
      <w:pPr>
        <w:pStyle w:val="Caption"/>
        <w:jc w:val="center"/>
        <w:rPr>
          <w:bCs/>
        </w:rPr>
      </w:pPr>
      <w:bookmarkStart w:id="190" w:name="_Ref5727"/>
      <w:bookmarkStart w:id="191" w:name="_Toc162360232"/>
      <w:r>
        <w:t xml:space="preserve">Figura </w:t>
      </w:r>
      <w:r>
        <w:fldChar w:fldCharType="begin"/>
      </w:r>
      <w:r>
        <w:instrText xml:space="preserve"> SEQ Figura \* ARABIC </w:instrText>
      </w:r>
      <w:r>
        <w:fldChar w:fldCharType="separate"/>
      </w:r>
      <w:r>
        <w:t>8</w:t>
      </w:r>
      <w:r>
        <w:fldChar w:fldCharType="end"/>
      </w:r>
      <w:bookmarkStart w:id="192" w:name="_Toc1179"/>
      <w:bookmarkStart w:id="193" w:name="_Toc22136"/>
      <w:bookmarkStart w:id="194" w:name="_Toc30990"/>
      <w:bookmarkStart w:id="195" w:name="_Toc12806"/>
      <w:bookmarkStart w:id="196" w:name="_Toc6453"/>
      <w:bookmarkStart w:id="197" w:name="_Toc31280"/>
      <w:bookmarkStart w:id="198" w:name="_Toc15801"/>
      <w:bookmarkStart w:id="199" w:name="_Toc28427"/>
      <w:bookmarkStart w:id="200" w:name="_Toc14473"/>
      <w:bookmarkStart w:id="201" w:name="_Toc30093"/>
      <w:bookmarkStart w:id="202" w:name="_Toc20700"/>
      <w:bookmarkEnd w:id="190"/>
      <w:r>
        <w:t xml:space="preserve"> - </w:t>
      </w:r>
      <w:r>
        <w:rPr>
          <w:bCs/>
        </w:rPr>
        <w:t>Compartimentare antifoc și arii compartimente de incendiu la clădirile şi compartimentele de incendiu supraterane civile înalte</w:t>
      </w:r>
      <w:bookmarkEnd w:id="191"/>
      <w:bookmarkEnd w:id="192"/>
      <w:bookmarkEnd w:id="193"/>
      <w:bookmarkEnd w:id="194"/>
      <w:bookmarkEnd w:id="195"/>
      <w:bookmarkEnd w:id="196"/>
      <w:bookmarkEnd w:id="197"/>
      <w:bookmarkEnd w:id="198"/>
      <w:bookmarkEnd w:id="199"/>
      <w:bookmarkEnd w:id="200"/>
      <w:bookmarkEnd w:id="201"/>
      <w:bookmarkEnd w:id="202"/>
    </w:p>
    <w:p w14:paraId="75B0E170" w14:textId="77777777" w:rsidR="001C08A5" w:rsidRDefault="001C08A5">
      <w:pPr>
        <w:jc w:val="center"/>
        <w:rPr>
          <w:i/>
          <w:iCs/>
          <w:sz w:val="22"/>
          <w:szCs w:val="22"/>
        </w:rPr>
      </w:pPr>
    </w:p>
    <w:tbl>
      <w:tblPr>
        <w:tblW w:w="0" w:type="auto"/>
        <w:tblLook w:val="04A0" w:firstRow="1" w:lastRow="0" w:firstColumn="1" w:lastColumn="0" w:noHBand="0" w:noVBand="1"/>
      </w:tblPr>
      <w:tblGrid>
        <w:gridCol w:w="5796"/>
        <w:gridCol w:w="3843"/>
      </w:tblGrid>
      <w:tr w:rsidR="001C08A5" w14:paraId="381F9D23" w14:textId="77777777">
        <w:tc>
          <w:tcPr>
            <w:tcW w:w="4927" w:type="dxa"/>
          </w:tcPr>
          <w:p w14:paraId="1DC573AF" w14:textId="77777777" w:rsidR="001C08A5" w:rsidRDefault="00000000">
            <w:pPr>
              <w:widowControl w:val="0"/>
              <w:tabs>
                <w:tab w:val="left" w:pos="845"/>
              </w:tabs>
              <w:jc w:val="center"/>
              <w:rPr>
                <w:sz w:val="22"/>
                <w:szCs w:val="22"/>
                <w:lang w:eastAsia="ro-RO"/>
              </w:rPr>
            </w:pPr>
            <w:r>
              <w:rPr>
                <w:noProof/>
                <w:sz w:val="22"/>
                <w:szCs w:val="22"/>
                <w:lang w:eastAsia="ro-RO"/>
              </w:rPr>
              <w:lastRenderedPageBreak/>
              <w:drawing>
                <wp:inline distT="0" distB="0" distL="114300" distR="114300" wp14:anchorId="01478440" wp14:editId="2FA94C70">
                  <wp:extent cx="3535680" cy="3763010"/>
                  <wp:effectExtent l="0" t="0" r="7620" b="8890"/>
                  <wp:docPr id="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9"/>
                          <pic:cNvPicPr>
                            <a:picLocks noChangeAspect="1"/>
                          </pic:cNvPicPr>
                        </pic:nvPicPr>
                        <pic:blipFill>
                          <a:blip r:embed="rId62"/>
                          <a:srcRect l="40437" r="8180" b="657"/>
                          <a:stretch>
                            <a:fillRect/>
                          </a:stretch>
                        </pic:blipFill>
                        <pic:spPr>
                          <a:xfrm>
                            <a:off x="0" y="0"/>
                            <a:ext cx="3535680" cy="3763010"/>
                          </a:xfrm>
                          <a:prstGeom prst="rect">
                            <a:avLst/>
                          </a:prstGeom>
                          <a:noFill/>
                          <a:ln>
                            <a:noFill/>
                          </a:ln>
                        </pic:spPr>
                      </pic:pic>
                    </a:graphicData>
                  </a:graphic>
                </wp:inline>
              </w:drawing>
            </w:r>
          </w:p>
        </w:tc>
        <w:tc>
          <w:tcPr>
            <w:tcW w:w="4928" w:type="dxa"/>
          </w:tcPr>
          <w:p w14:paraId="3AF3CCED"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36097D76" w14:textId="77777777" w:rsidR="001C08A5" w:rsidRDefault="00000000">
            <w:pPr>
              <w:widowControl w:val="0"/>
              <w:tabs>
                <w:tab w:val="left" w:pos="845"/>
              </w:tabs>
              <w:rPr>
                <w:b/>
                <w:bCs/>
                <w:i/>
                <w:iCs/>
                <w:sz w:val="22"/>
                <w:szCs w:val="22"/>
              </w:rPr>
            </w:pPr>
            <w:r>
              <w:rPr>
                <w:b/>
                <w:bCs/>
                <w:i/>
                <w:iCs/>
                <w:sz w:val="22"/>
                <w:szCs w:val="22"/>
              </w:rPr>
              <w:t>C1, C2 - compartimente de incendiu distincte, nivel I sau II de stabilitate la incendiu</w:t>
            </w:r>
          </w:p>
          <w:p w14:paraId="251ED7C8" w14:textId="77777777" w:rsidR="001C08A5" w:rsidRDefault="00000000">
            <w:pPr>
              <w:widowControl w:val="0"/>
              <w:tabs>
                <w:tab w:val="left" w:pos="845"/>
              </w:tabs>
              <w:rPr>
                <w:b/>
                <w:bCs/>
                <w:i/>
                <w:iCs/>
                <w:sz w:val="22"/>
                <w:szCs w:val="22"/>
              </w:rPr>
            </w:pPr>
            <w:r>
              <w:rPr>
                <w:b/>
                <w:bCs/>
                <w:i/>
                <w:iCs/>
                <w:sz w:val="22"/>
                <w:szCs w:val="22"/>
              </w:rPr>
              <w:t>C3, C4 - compartimente de incendiu distincte, nivel I de stabilitate la incendiu</w:t>
            </w:r>
          </w:p>
          <w:p w14:paraId="2B48EB2D" w14:textId="77777777" w:rsidR="001C08A5" w:rsidRDefault="001C08A5">
            <w:pPr>
              <w:widowControl w:val="0"/>
              <w:tabs>
                <w:tab w:val="left" w:pos="845"/>
              </w:tabs>
              <w:rPr>
                <w:i/>
                <w:iCs/>
                <w:sz w:val="10"/>
                <w:szCs w:val="10"/>
              </w:rPr>
            </w:pPr>
          </w:p>
          <w:p w14:paraId="2772D6D2" w14:textId="77777777" w:rsidR="001C08A5" w:rsidRDefault="00000000">
            <w:pPr>
              <w:widowControl w:val="0"/>
              <w:tabs>
                <w:tab w:val="left" w:pos="845"/>
              </w:tabs>
              <w:rPr>
                <w:i/>
                <w:iCs/>
                <w:sz w:val="22"/>
                <w:szCs w:val="22"/>
              </w:rPr>
            </w:pPr>
            <w:r>
              <w:rPr>
                <w:i/>
                <w:iCs/>
                <w:sz w:val="22"/>
                <w:szCs w:val="22"/>
              </w:rPr>
              <w:t>Arii compartimente de incendiu:</w:t>
            </w:r>
          </w:p>
          <w:p w14:paraId="7BA7F5FA" w14:textId="77777777" w:rsidR="001C08A5" w:rsidRDefault="00000000">
            <w:pPr>
              <w:widowControl w:val="0"/>
              <w:tabs>
                <w:tab w:val="left" w:pos="845"/>
              </w:tabs>
              <w:rPr>
                <w:i/>
                <w:iCs/>
                <w:sz w:val="22"/>
                <w:szCs w:val="22"/>
              </w:rPr>
            </w:pPr>
            <w:r>
              <w:rPr>
                <w:i/>
                <w:iCs/>
                <w:sz w:val="22"/>
                <w:szCs w:val="22"/>
              </w:rPr>
              <w:t xml:space="preserve">Compartiment C1 (clădire cu înălțime obișnuită) - Arie construită </w:t>
            </w:r>
            <w:r>
              <w:rPr>
                <w:rFonts w:hint="eastAsia"/>
                <w:i/>
                <w:iCs/>
                <w:sz w:val="22"/>
                <w:szCs w:val="22"/>
              </w:rPr>
              <w:t>≤</w:t>
            </w:r>
            <w:r>
              <w:rPr>
                <w:i/>
                <w:iCs/>
                <w:sz w:val="22"/>
                <w:szCs w:val="22"/>
              </w:rPr>
              <w:t>4.375 m</w:t>
            </w:r>
            <w:r>
              <w:rPr>
                <w:i/>
                <w:iCs/>
                <w:sz w:val="22"/>
                <w:szCs w:val="22"/>
                <w:vertAlign w:val="superscript"/>
              </w:rPr>
              <w:t xml:space="preserve">2 </w:t>
            </w:r>
          </w:p>
          <w:p w14:paraId="759460CB" w14:textId="77777777" w:rsidR="001C08A5" w:rsidRDefault="00000000">
            <w:pPr>
              <w:widowControl w:val="0"/>
              <w:tabs>
                <w:tab w:val="left" w:pos="845"/>
              </w:tabs>
              <w:rPr>
                <w:i/>
                <w:iCs/>
                <w:sz w:val="22"/>
                <w:szCs w:val="22"/>
                <w:vertAlign w:val="superscript"/>
              </w:rPr>
            </w:pPr>
            <w:r>
              <w:rPr>
                <w:i/>
                <w:iCs/>
                <w:sz w:val="22"/>
                <w:szCs w:val="22"/>
              </w:rPr>
              <w:t xml:space="preserve">Compartiment C2 (clădire cu înălțime obișnuită) - Arie construită </w:t>
            </w:r>
            <w:r>
              <w:rPr>
                <w:rFonts w:hint="eastAsia"/>
                <w:i/>
                <w:iCs/>
                <w:sz w:val="22"/>
                <w:szCs w:val="22"/>
              </w:rPr>
              <w:t>≤</w:t>
            </w:r>
            <w:r>
              <w:rPr>
                <w:i/>
                <w:iCs/>
                <w:sz w:val="22"/>
                <w:szCs w:val="22"/>
              </w:rPr>
              <w:t xml:space="preserve"> 4.375 m</w:t>
            </w:r>
            <w:r>
              <w:rPr>
                <w:i/>
                <w:iCs/>
                <w:sz w:val="22"/>
                <w:szCs w:val="22"/>
                <w:vertAlign w:val="superscript"/>
              </w:rPr>
              <w:t>2</w:t>
            </w:r>
          </w:p>
          <w:p w14:paraId="58523804" w14:textId="77777777" w:rsidR="001C08A5" w:rsidRDefault="00000000">
            <w:pPr>
              <w:widowControl w:val="0"/>
              <w:tabs>
                <w:tab w:val="left" w:pos="845"/>
              </w:tabs>
              <w:rPr>
                <w:i/>
                <w:iCs/>
                <w:sz w:val="22"/>
                <w:szCs w:val="22"/>
              </w:rPr>
            </w:pPr>
            <w:r>
              <w:rPr>
                <w:i/>
                <w:iCs/>
                <w:sz w:val="22"/>
                <w:szCs w:val="22"/>
              </w:rPr>
              <w:t xml:space="preserve">Compartiment C3 (clădire foarte înaltă) - Arie construită </w:t>
            </w:r>
            <w:r>
              <w:rPr>
                <w:rFonts w:hint="eastAsia"/>
                <w:i/>
                <w:iCs/>
                <w:sz w:val="22"/>
                <w:szCs w:val="22"/>
              </w:rPr>
              <w:t>≤</w:t>
            </w:r>
            <w:r>
              <w:rPr>
                <w:i/>
                <w:iCs/>
                <w:sz w:val="22"/>
                <w:szCs w:val="22"/>
              </w:rPr>
              <w:t xml:space="preserve"> 3.500 m</w:t>
            </w:r>
            <w:r>
              <w:rPr>
                <w:i/>
                <w:iCs/>
                <w:sz w:val="22"/>
                <w:szCs w:val="22"/>
                <w:vertAlign w:val="superscript"/>
              </w:rPr>
              <w:t>2</w:t>
            </w:r>
          </w:p>
          <w:p w14:paraId="653BDD6C" w14:textId="77777777" w:rsidR="001C08A5" w:rsidRDefault="00000000">
            <w:pPr>
              <w:widowControl w:val="0"/>
              <w:tabs>
                <w:tab w:val="left" w:pos="845"/>
              </w:tabs>
              <w:rPr>
                <w:sz w:val="22"/>
                <w:szCs w:val="22"/>
                <w:vertAlign w:val="superscript"/>
              </w:rPr>
            </w:pPr>
            <w:r>
              <w:rPr>
                <w:i/>
                <w:iCs/>
                <w:sz w:val="22"/>
                <w:szCs w:val="22"/>
              </w:rPr>
              <w:t xml:space="preserve">Compartiment C4 (compartiment volumetric in clădire înaltă) - Arie desfășurată </w:t>
            </w:r>
            <w:r>
              <w:rPr>
                <w:rFonts w:hint="eastAsia"/>
                <w:i/>
                <w:iCs/>
                <w:sz w:val="22"/>
                <w:szCs w:val="22"/>
              </w:rPr>
              <w:t>≤</w:t>
            </w:r>
            <w:r>
              <w:rPr>
                <w:i/>
                <w:iCs/>
                <w:sz w:val="22"/>
                <w:szCs w:val="22"/>
              </w:rPr>
              <w:t xml:space="preserve"> 2.500 m</w:t>
            </w:r>
            <w:r>
              <w:rPr>
                <w:i/>
                <w:iCs/>
                <w:sz w:val="22"/>
                <w:szCs w:val="22"/>
                <w:vertAlign w:val="superscript"/>
              </w:rPr>
              <w:t>2</w:t>
            </w:r>
          </w:p>
          <w:p w14:paraId="44AA6E9F" w14:textId="77777777" w:rsidR="001C08A5" w:rsidRDefault="001C08A5">
            <w:pPr>
              <w:widowControl w:val="0"/>
              <w:tabs>
                <w:tab w:val="left" w:pos="845"/>
              </w:tabs>
              <w:jc w:val="center"/>
              <w:rPr>
                <w:sz w:val="22"/>
                <w:szCs w:val="22"/>
                <w:lang w:eastAsia="ro-RO"/>
              </w:rPr>
            </w:pPr>
          </w:p>
          <w:p w14:paraId="5962A34D" w14:textId="77777777" w:rsidR="001C08A5" w:rsidRDefault="001C08A5">
            <w:pPr>
              <w:widowControl w:val="0"/>
              <w:tabs>
                <w:tab w:val="left" w:pos="845"/>
              </w:tabs>
              <w:jc w:val="center"/>
              <w:rPr>
                <w:sz w:val="22"/>
                <w:szCs w:val="22"/>
                <w:lang w:eastAsia="ro-RO"/>
              </w:rPr>
            </w:pPr>
          </w:p>
        </w:tc>
      </w:tr>
    </w:tbl>
    <w:p w14:paraId="2FDC0B3A" w14:textId="77777777" w:rsidR="001C08A5" w:rsidRDefault="00000000">
      <w:pPr>
        <w:jc w:val="center"/>
        <w:rPr>
          <w:i/>
          <w:iCs/>
          <w:sz w:val="22"/>
          <w:szCs w:val="22"/>
        </w:rPr>
      </w:pPr>
      <w:r>
        <w:rPr>
          <w:b/>
          <w:bCs/>
          <w:i/>
          <w:iCs/>
          <w:sz w:val="22"/>
          <w:szCs w:val="22"/>
        </w:rPr>
        <w:t>Varianta a)</w:t>
      </w:r>
      <w:r>
        <w:rPr>
          <w:i/>
          <w:iCs/>
          <w:sz w:val="22"/>
          <w:szCs w:val="22"/>
        </w:rPr>
        <w:t xml:space="preserve"> </w:t>
      </w:r>
      <w:r>
        <w:rPr>
          <w:b/>
          <w:bCs/>
          <w:i/>
          <w:iCs/>
          <w:sz w:val="22"/>
          <w:szCs w:val="22"/>
        </w:rPr>
        <w:t>clădire cu înălțime obișnuită și clădire foarte înaltă cu funcțiune de locuit, neechipate cu instalație automată de stingere a  incendiilor</w:t>
      </w:r>
      <w:r>
        <w:rPr>
          <w:i/>
          <w:iCs/>
          <w:sz w:val="22"/>
          <w:szCs w:val="22"/>
        </w:rPr>
        <w:t xml:space="preserve"> (toate compartimentele sunt prevăzute cu </w:t>
      </w:r>
      <w:r>
        <w:rPr>
          <w:i/>
          <w:sz w:val="22"/>
          <w:szCs w:val="22"/>
        </w:rPr>
        <w:t>instalaţii de detectare, semnalizare şi alarmare a incendiului cu acoperire totală</w:t>
      </w:r>
      <w:r>
        <w:rPr>
          <w:i/>
          <w:iCs/>
          <w:sz w:val="22"/>
          <w:szCs w:val="22"/>
        </w:rPr>
        <w:t>)</w:t>
      </w:r>
    </w:p>
    <w:p w14:paraId="27A77CCC" w14:textId="77777777" w:rsidR="001C08A5" w:rsidRDefault="001C08A5">
      <w:pPr>
        <w:jc w:val="center"/>
        <w:rPr>
          <w:i/>
          <w:iCs/>
          <w:sz w:val="22"/>
          <w:szCs w:val="22"/>
        </w:rPr>
      </w:pPr>
    </w:p>
    <w:tbl>
      <w:tblPr>
        <w:tblW w:w="0" w:type="auto"/>
        <w:tblLook w:val="04A0" w:firstRow="1" w:lastRow="0" w:firstColumn="1" w:lastColumn="0" w:noHBand="0" w:noVBand="1"/>
      </w:tblPr>
      <w:tblGrid>
        <w:gridCol w:w="6036"/>
        <w:gridCol w:w="3603"/>
      </w:tblGrid>
      <w:tr w:rsidR="001C08A5" w14:paraId="35A8AD1B" w14:textId="77777777">
        <w:tc>
          <w:tcPr>
            <w:tcW w:w="4927" w:type="dxa"/>
          </w:tcPr>
          <w:p w14:paraId="5F6B77F2" w14:textId="77777777" w:rsidR="001C08A5" w:rsidRDefault="00000000">
            <w:pPr>
              <w:widowControl w:val="0"/>
              <w:tabs>
                <w:tab w:val="left" w:pos="845"/>
              </w:tabs>
              <w:jc w:val="center"/>
              <w:rPr>
                <w:sz w:val="22"/>
                <w:szCs w:val="22"/>
                <w:lang w:eastAsia="ro-RO"/>
              </w:rPr>
            </w:pPr>
            <w:r>
              <w:rPr>
                <w:noProof/>
                <w:sz w:val="22"/>
                <w:szCs w:val="22"/>
                <w:lang w:eastAsia="ro-RO"/>
              </w:rPr>
              <w:drawing>
                <wp:inline distT="0" distB="0" distL="114300" distR="114300" wp14:anchorId="0CE63F95" wp14:editId="7821DC67">
                  <wp:extent cx="3691255" cy="3928745"/>
                  <wp:effectExtent l="0" t="0" r="4445" b="14605"/>
                  <wp:docPr id="1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9"/>
                          <pic:cNvPicPr>
                            <a:picLocks noChangeAspect="1"/>
                          </pic:cNvPicPr>
                        </pic:nvPicPr>
                        <pic:blipFill>
                          <a:blip r:embed="rId62"/>
                          <a:srcRect l="40437" r="8180" b="657"/>
                          <a:stretch>
                            <a:fillRect/>
                          </a:stretch>
                        </pic:blipFill>
                        <pic:spPr>
                          <a:xfrm>
                            <a:off x="0" y="0"/>
                            <a:ext cx="3691255" cy="3928745"/>
                          </a:xfrm>
                          <a:prstGeom prst="rect">
                            <a:avLst/>
                          </a:prstGeom>
                          <a:noFill/>
                          <a:ln>
                            <a:noFill/>
                          </a:ln>
                        </pic:spPr>
                      </pic:pic>
                    </a:graphicData>
                  </a:graphic>
                </wp:inline>
              </w:drawing>
            </w:r>
          </w:p>
        </w:tc>
        <w:tc>
          <w:tcPr>
            <w:tcW w:w="4928" w:type="dxa"/>
          </w:tcPr>
          <w:p w14:paraId="38E576F3"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561121AA" w14:textId="77777777" w:rsidR="001C08A5" w:rsidRDefault="00000000">
            <w:pPr>
              <w:widowControl w:val="0"/>
              <w:tabs>
                <w:tab w:val="left" w:pos="845"/>
              </w:tabs>
              <w:rPr>
                <w:b/>
                <w:bCs/>
                <w:i/>
                <w:iCs/>
                <w:sz w:val="22"/>
                <w:szCs w:val="22"/>
              </w:rPr>
            </w:pPr>
            <w:r>
              <w:rPr>
                <w:b/>
                <w:bCs/>
                <w:i/>
                <w:iCs/>
                <w:sz w:val="22"/>
                <w:szCs w:val="22"/>
              </w:rPr>
              <w:t>C1, C2 - compartimente de incendiu distincte, nivel I sau II de stabilitate la incendiu</w:t>
            </w:r>
          </w:p>
          <w:p w14:paraId="6A456B58" w14:textId="77777777" w:rsidR="001C08A5" w:rsidRDefault="00000000">
            <w:pPr>
              <w:widowControl w:val="0"/>
              <w:tabs>
                <w:tab w:val="left" w:pos="845"/>
              </w:tabs>
              <w:rPr>
                <w:b/>
                <w:bCs/>
                <w:i/>
                <w:iCs/>
                <w:sz w:val="22"/>
                <w:szCs w:val="22"/>
              </w:rPr>
            </w:pPr>
            <w:r>
              <w:rPr>
                <w:b/>
                <w:bCs/>
                <w:i/>
                <w:iCs/>
                <w:sz w:val="22"/>
                <w:szCs w:val="22"/>
              </w:rPr>
              <w:t>C3, C4 - compartimente de incendiu distincte, nivelul I de stabilitate la incendiu</w:t>
            </w:r>
          </w:p>
          <w:p w14:paraId="04340117" w14:textId="77777777" w:rsidR="001C08A5" w:rsidRDefault="001C08A5">
            <w:pPr>
              <w:widowControl w:val="0"/>
              <w:tabs>
                <w:tab w:val="left" w:pos="845"/>
              </w:tabs>
              <w:rPr>
                <w:i/>
                <w:iCs/>
                <w:sz w:val="10"/>
                <w:szCs w:val="10"/>
              </w:rPr>
            </w:pPr>
          </w:p>
          <w:p w14:paraId="5A1A74F8" w14:textId="77777777" w:rsidR="001C08A5" w:rsidRDefault="00000000">
            <w:pPr>
              <w:widowControl w:val="0"/>
              <w:tabs>
                <w:tab w:val="left" w:pos="845"/>
              </w:tabs>
              <w:rPr>
                <w:i/>
                <w:iCs/>
                <w:sz w:val="22"/>
                <w:szCs w:val="22"/>
              </w:rPr>
            </w:pPr>
            <w:r>
              <w:rPr>
                <w:i/>
                <w:iCs/>
                <w:sz w:val="22"/>
                <w:szCs w:val="22"/>
              </w:rPr>
              <w:t>Arii compartimente de incendiu:</w:t>
            </w:r>
          </w:p>
          <w:p w14:paraId="44062EFA" w14:textId="77777777" w:rsidR="001C08A5" w:rsidRDefault="00000000">
            <w:pPr>
              <w:widowControl w:val="0"/>
              <w:tabs>
                <w:tab w:val="left" w:pos="845"/>
              </w:tabs>
              <w:rPr>
                <w:i/>
                <w:iCs/>
                <w:sz w:val="22"/>
                <w:szCs w:val="22"/>
              </w:rPr>
            </w:pPr>
            <w:r>
              <w:rPr>
                <w:i/>
                <w:iCs/>
                <w:sz w:val="22"/>
                <w:szCs w:val="22"/>
              </w:rPr>
              <w:t xml:space="preserve">Compartiment C1 (clădire cu înălțime obișnuită) - Arie construită </w:t>
            </w:r>
            <w:r>
              <w:rPr>
                <w:rFonts w:hint="eastAsia"/>
                <w:i/>
                <w:iCs/>
                <w:sz w:val="22"/>
                <w:szCs w:val="22"/>
              </w:rPr>
              <w:t>≤</w:t>
            </w:r>
            <w:r>
              <w:rPr>
                <w:i/>
                <w:iCs/>
                <w:sz w:val="22"/>
                <w:szCs w:val="22"/>
              </w:rPr>
              <w:t xml:space="preserve"> nelimitat</w:t>
            </w:r>
          </w:p>
          <w:p w14:paraId="3C450157" w14:textId="77777777" w:rsidR="001C08A5" w:rsidRDefault="00000000">
            <w:pPr>
              <w:widowControl w:val="0"/>
              <w:tabs>
                <w:tab w:val="left" w:pos="845"/>
              </w:tabs>
              <w:rPr>
                <w:i/>
                <w:iCs/>
                <w:sz w:val="22"/>
                <w:szCs w:val="22"/>
                <w:vertAlign w:val="superscript"/>
              </w:rPr>
            </w:pPr>
            <w:r>
              <w:rPr>
                <w:i/>
                <w:iCs/>
                <w:sz w:val="22"/>
                <w:szCs w:val="22"/>
              </w:rPr>
              <w:t xml:space="preserve">Compartiment C2 (clădire cu înălțime obișnuită) - Arie construită </w:t>
            </w:r>
            <w:r>
              <w:rPr>
                <w:rFonts w:hint="eastAsia"/>
                <w:i/>
                <w:iCs/>
                <w:sz w:val="22"/>
                <w:szCs w:val="22"/>
              </w:rPr>
              <w:t>≤</w:t>
            </w:r>
            <w:r>
              <w:rPr>
                <w:i/>
                <w:iCs/>
                <w:sz w:val="22"/>
                <w:szCs w:val="22"/>
              </w:rPr>
              <w:t xml:space="preserve"> nelimitat</w:t>
            </w:r>
          </w:p>
          <w:p w14:paraId="3E513C40" w14:textId="77777777" w:rsidR="001C08A5" w:rsidRDefault="00000000">
            <w:pPr>
              <w:widowControl w:val="0"/>
              <w:tabs>
                <w:tab w:val="left" w:pos="845"/>
              </w:tabs>
              <w:rPr>
                <w:i/>
                <w:iCs/>
                <w:sz w:val="22"/>
                <w:szCs w:val="22"/>
              </w:rPr>
            </w:pPr>
            <w:r>
              <w:rPr>
                <w:i/>
                <w:iCs/>
                <w:sz w:val="22"/>
                <w:szCs w:val="22"/>
              </w:rPr>
              <w:t xml:space="preserve">Compartiment C3 (clădire foarte înaltă) - Arie construită </w:t>
            </w:r>
            <w:r>
              <w:rPr>
                <w:rFonts w:hint="eastAsia"/>
                <w:i/>
                <w:iCs/>
                <w:sz w:val="22"/>
                <w:szCs w:val="22"/>
              </w:rPr>
              <w:t>≤</w:t>
            </w:r>
            <w:r>
              <w:rPr>
                <w:i/>
                <w:iCs/>
                <w:sz w:val="22"/>
                <w:szCs w:val="22"/>
              </w:rPr>
              <w:t xml:space="preserve"> 4.375 m</w:t>
            </w:r>
            <w:r>
              <w:rPr>
                <w:i/>
                <w:iCs/>
                <w:sz w:val="22"/>
                <w:szCs w:val="22"/>
                <w:vertAlign w:val="superscript"/>
              </w:rPr>
              <w:t>2</w:t>
            </w:r>
          </w:p>
          <w:p w14:paraId="4D812E54" w14:textId="77777777" w:rsidR="001C08A5" w:rsidRDefault="00000000">
            <w:pPr>
              <w:widowControl w:val="0"/>
              <w:tabs>
                <w:tab w:val="left" w:pos="845"/>
              </w:tabs>
              <w:rPr>
                <w:sz w:val="22"/>
                <w:szCs w:val="22"/>
                <w:vertAlign w:val="superscript"/>
              </w:rPr>
            </w:pPr>
            <w:r>
              <w:rPr>
                <w:i/>
                <w:iCs/>
                <w:sz w:val="22"/>
                <w:szCs w:val="22"/>
              </w:rPr>
              <w:t xml:space="preserve">Compartiment C4 (compartiment volumetric in clădire foarte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6FDB2680" w14:textId="77777777" w:rsidR="001C08A5" w:rsidRDefault="001C08A5">
            <w:pPr>
              <w:widowControl w:val="0"/>
              <w:tabs>
                <w:tab w:val="left" w:pos="845"/>
              </w:tabs>
              <w:jc w:val="center"/>
              <w:rPr>
                <w:i/>
                <w:iCs/>
                <w:sz w:val="22"/>
                <w:szCs w:val="22"/>
              </w:rPr>
            </w:pPr>
          </w:p>
          <w:p w14:paraId="45610279" w14:textId="77777777" w:rsidR="001C08A5" w:rsidRDefault="001C08A5">
            <w:pPr>
              <w:widowControl w:val="0"/>
              <w:tabs>
                <w:tab w:val="left" w:pos="845"/>
              </w:tabs>
              <w:jc w:val="center"/>
              <w:rPr>
                <w:sz w:val="22"/>
                <w:szCs w:val="22"/>
                <w:lang w:eastAsia="ro-RO"/>
              </w:rPr>
            </w:pPr>
          </w:p>
        </w:tc>
      </w:tr>
    </w:tbl>
    <w:p w14:paraId="2305B3C9" w14:textId="77777777" w:rsidR="001C08A5" w:rsidRDefault="00000000">
      <w:pPr>
        <w:jc w:val="center"/>
        <w:rPr>
          <w:i/>
          <w:iCs/>
          <w:sz w:val="22"/>
          <w:szCs w:val="22"/>
        </w:rPr>
      </w:pPr>
      <w:r>
        <w:rPr>
          <w:b/>
          <w:bCs/>
          <w:i/>
          <w:iCs/>
          <w:sz w:val="22"/>
          <w:szCs w:val="22"/>
        </w:rPr>
        <w:t>Varianta b)</w:t>
      </w:r>
      <w:r>
        <w:rPr>
          <w:i/>
          <w:iCs/>
          <w:sz w:val="22"/>
          <w:szCs w:val="22"/>
        </w:rPr>
        <w:t xml:space="preserve"> </w:t>
      </w:r>
      <w:r>
        <w:rPr>
          <w:b/>
          <w:bCs/>
          <w:i/>
          <w:iCs/>
          <w:sz w:val="22"/>
          <w:szCs w:val="22"/>
        </w:rPr>
        <w:t>clădire cu înălțime obișnuită și clădire foarte înaltă cu funcțiune de locuit, echipate cu instalație automată de stingere a  incendiilor</w:t>
      </w:r>
      <w:r>
        <w:rPr>
          <w:i/>
          <w:iCs/>
          <w:sz w:val="22"/>
          <w:szCs w:val="22"/>
        </w:rPr>
        <w:t xml:space="preserve"> (toate compartimentele sunt prevăzute cu instalație automată de stingere a  incendiilor și cu </w:t>
      </w:r>
      <w:r>
        <w:rPr>
          <w:i/>
          <w:sz w:val="22"/>
          <w:szCs w:val="22"/>
        </w:rPr>
        <w:t xml:space="preserve">instalaţii de detectare, semnalizare şi alarmare a incendiului cu acoperire totală, precum si cu </w:t>
      </w:r>
      <w:r>
        <w:rPr>
          <w:i/>
          <w:iCs/>
          <w:sz w:val="22"/>
          <w:szCs w:val="22"/>
        </w:rPr>
        <w:t xml:space="preserve">instalație de </w:t>
      </w:r>
      <w:r>
        <w:rPr>
          <w:i/>
          <w:sz w:val="22"/>
          <w:szCs w:val="22"/>
        </w:rPr>
        <w:t>evacuare a fumului din circulațiile comune orizontale (coridoare/holuri) și casele de scări</w:t>
      </w:r>
      <w:r>
        <w:rPr>
          <w:i/>
          <w:iCs/>
          <w:sz w:val="22"/>
          <w:szCs w:val="22"/>
        </w:rPr>
        <w:t xml:space="preserve">) </w:t>
      </w:r>
    </w:p>
    <w:p w14:paraId="2CCEEABB" w14:textId="77777777" w:rsidR="001C08A5" w:rsidRDefault="001C08A5">
      <w:pPr>
        <w:jc w:val="center"/>
        <w:rPr>
          <w:i/>
          <w:iCs/>
          <w:sz w:val="22"/>
          <w:szCs w:val="22"/>
        </w:rPr>
      </w:pPr>
    </w:p>
    <w:tbl>
      <w:tblPr>
        <w:tblW w:w="0" w:type="auto"/>
        <w:tblLook w:val="04A0" w:firstRow="1" w:lastRow="0" w:firstColumn="1" w:lastColumn="0" w:noHBand="0" w:noVBand="1"/>
      </w:tblPr>
      <w:tblGrid>
        <w:gridCol w:w="4923"/>
        <w:gridCol w:w="4716"/>
      </w:tblGrid>
      <w:tr w:rsidR="001C08A5" w14:paraId="0BC7F6FA" w14:textId="77777777">
        <w:tc>
          <w:tcPr>
            <w:tcW w:w="4927" w:type="dxa"/>
          </w:tcPr>
          <w:p w14:paraId="190FD111" w14:textId="77777777" w:rsidR="001C08A5" w:rsidRDefault="00000000">
            <w:pPr>
              <w:widowControl w:val="0"/>
              <w:tabs>
                <w:tab w:val="left" w:pos="845"/>
              </w:tabs>
              <w:jc w:val="center"/>
              <w:rPr>
                <w:sz w:val="22"/>
                <w:szCs w:val="22"/>
                <w:lang w:eastAsia="ro-RO"/>
              </w:rPr>
            </w:pPr>
            <w:r>
              <w:rPr>
                <w:noProof/>
                <w:sz w:val="22"/>
                <w:szCs w:val="22"/>
                <w:lang w:eastAsia="ro-RO"/>
              </w:rPr>
              <w:lastRenderedPageBreak/>
              <w:drawing>
                <wp:inline distT="0" distB="0" distL="114300" distR="114300" wp14:anchorId="4611567D" wp14:editId="222FCD68">
                  <wp:extent cx="2942590" cy="4135120"/>
                  <wp:effectExtent l="0" t="0" r="10160" b="1778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22"/>
                          <pic:cNvPicPr>
                            <a:picLocks noChangeAspect="1"/>
                          </pic:cNvPicPr>
                        </pic:nvPicPr>
                        <pic:blipFill>
                          <a:blip r:embed="rId63"/>
                          <a:srcRect l="12788" r="47715"/>
                          <a:stretch>
                            <a:fillRect/>
                          </a:stretch>
                        </pic:blipFill>
                        <pic:spPr>
                          <a:xfrm>
                            <a:off x="0" y="0"/>
                            <a:ext cx="2942590" cy="4135120"/>
                          </a:xfrm>
                          <a:prstGeom prst="rect">
                            <a:avLst/>
                          </a:prstGeom>
                          <a:noFill/>
                          <a:ln>
                            <a:noFill/>
                          </a:ln>
                        </pic:spPr>
                      </pic:pic>
                    </a:graphicData>
                  </a:graphic>
                </wp:inline>
              </w:drawing>
            </w:r>
          </w:p>
        </w:tc>
        <w:tc>
          <w:tcPr>
            <w:tcW w:w="4928" w:type="dxa"/>
          </w:tcPr>
          <w:p w14:paraId="0ED43772"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7E5FC1B7" w14:textId="77777777" w:rsidR="001C08A5" w:rsidRDefault="00000000">
            <w:pPr>
              <w:widowControl w:val="0"/>
              <w:tabs>
                <w:tab w:val="left" w:pos="845"/>
              </w:tabs>
              <w:rPr>
                <w:b/>
                <w:bCs/>
                <w:i/>
                <w:iCs/>
                <w:sz w:val="22"/>
                <w:szCs w:val="22"/>
              </w:rPr>
            </w:pPr>
            <w:r>
              <w:rPr>
                <w:b/>
                <w:bCs/>
                <w:i/>
                <w:iCs/>
                <w:sz w:val="22"/>
                <w:szCs w:val="22"/>
              </w:rPr>
              <w:t>C1 - compartiment de incendiu distinct, nivel I sau II de stabilitate la incendiu</w:t>
            </w:r>
          </w:p>
          <w:p w14:paraId="3A977740" w14:textId="77777777" w:rsidR="001C08A5" w:rsidRDefault="00000000">
            <w:pPr>
              <w:widowControl w:val="0"/>
              <w:tabs>
                <w:tab w:val="left" w:pos="845"/>
              </w:tabs>
              <w:rPr>
                <w:b/>
                <w:bCs/>
                <w:i/>
                <w:iCs/>
                <w:sz w:val="22"/>
                <w:szCs w:val="22"/>
              </w:rPr>
            </w:pPr>
            <w:r>
              <w:rPr>
                <w:b/>
                <w:bCs/>
                <w:i/>
                <w:iCs/>
                <w:sz w:val="22"/>
                <w:szCs w:val="22"/>
              </w:rPr>
              <w:t>C2, C3, C4, C5 - compartimente de incendiu distincte, nivelul I de stabilitate la incendiu</w:t>
            </w:r>
          </w:p>
          <w:p w14:paraId="5FC6B022" w14:textId="77777777" w:rsidR="001C08A5" w:rsidRDefault="001C08A5">
            <w:pPr>
              <w:widowControl w:val="0"/>
              <w:tabs>
                <w:tab w:val="left" w:pos="845"/>
              </w:tabs>
              <w:rPr>
                <w:i/>
                <w:iCs/>
                <w:sz w:val="22"/>
                <w:szCs w:val="22"/>
              </w:rPr>
            </w:pPr>
          </w:p>
          <w:p w14:paraId="645FF90B" w14:textId="77777777" w:rsidR="001C08A5" w:rsidRDefault="00000000">
            <w:pPr>
              <w:widowControl w:val="0"/>
              <w:tabs>
                <w:tab w:val="left" w:pos="845"/>
              </w:tabs>
              <w:rPr>
                <w:i/>
                <w:iCs/>
                <w:sz w:val="22"/>
                <w:szCs w:val="22"/>
              </w:rPr>
            </w:pPr>
            <w:r>
              <w:rPr>
                <w:i/>
                <w:iCs/>
                <w:sz w:val="22"/>
                <w:szCs w:val="22"/>
              </w:rPr>
              <w:t>Arii compartimente de incendiu:</w:t>
            </w:r>
          </w:p>
          <w:p w14:paraId="50E1FC07" w14:textId="77777777" w:rsidR="001C08A5" w:rsidRDefault="00000000">
            <w:pPr>
              <w:widowControl w:val="0"/>
              <w:tabs>
                <w:tab w:val="left" w:pos="845"/>
              </w:tabs>
              <w:rPr>
                <w:i/>
                <w:iCs/>
                <w:sz w:val="22"/>
                <w:szCs w:val="22"/>
                <w:vertAlign w:val="superscript"/>
              </w:rPr>
            </w:pPr>
            <w:r>
              <w:rPr>
                <w:i/>
                <w:iCs/>
                <w:sz w:val="22"/>
                <w:szCs w:val="22"/>
              </w:rPr>
              <w:t>Compartiment C1 (clădire cu înălțime obișnuită) - Arie construită ≤ nelimitat</w:t>
            </w:r>
          </w:p>
          <w:p w14:paraId="088E7B01" w14:textId="77777777" w:rsidR="001C08A5" w:rsidRDefault="00000000">
            <w:pPr>
              <w:widowControl w:val="0"/>
              <w:tabs>
                <w:tab w:val="left" w:pos="845"/>
              </w:tabs>
              <w:rPr>
                <w:i/>
                <w:iCs/>
                <w:sz w:val="22"/>
                <w:szCs w:val="22"/>
                <w:vertAlign w:val="superscript"/>
              </w:rPr>
            </w:pPr>
            <w:r>
              <w:rPr>
                <w:i/>
                <w:iCs/>
                <w:sz w:val="22"/>
                <w:szCs w:val="22"/>
              </w:rPr>
              <w:t xml:space="preserve">Compartiment C2  (clădire foarte înaltă) - Arie construită </w:t>
            </w:r>
            <w:r>
              <w:rPr>
                <w:rFonts w:hint="eastAsia"/>
                <w:i/>
                <w:iCs/>
                <w:sz w:val="22"/>
                <w:szCs w:val="22"/>
              </w:rPr>
              <w:t>≤</w:t>
            </w:r>
            <w:r>
              <w:rPr>
                <w:i/>
                <w:iCs/>
                <w:sz w:val="22"/>
                <w:szCs w:val="22"/>
              </w:rPr>
              <w:t xml:space="preserve"> 3.500 m</w:t>
            </w:r>
            <w:r>
              <w:rPr>
                <w:i/>
                <w:iCs/>
                <w:sz w:val="22"/>
                <w:szCs w:val="22"/>
                <w:vertAlign w:val="superscript"/>
              </w:rPr>
              <w:t>2</w:t>
            </w:r>
          </w:p>
          <w:p w14:paraId="5D117C66" w14:textId="77777777" w:rsidR="001C08A5" w:rsidRDefault="00000000">
            <w:pPr>
              <w:widowControl w:val="0"/>
              <w:tabs>
                <w:tab w:val="left" w:pos="845"/>
              </w:tabs>
              <w:rPr>
                <w:i/>
                <w:iCs/>
                <w:sz w:val="22"/>
                <w:szCs w:val="22"/>
              </w:rPr>
            </w:pPr>
            <w:r>
              <w:rPr>
                <w:i/>
                <w:iCs/>
                <w:sz w:val="22"/>
                <w:szCs w:val="22"/>
              </w:rPr>
              <w:t>Compartiment C3  (compartiment volumetric în clădire foarte înaltă) - Arie desfășurată ≤ 3.500 m</w:t>
            </w:r>
            <w:r>
              <w:rPr>
                <w:i/>
                <w:iCs/>
                <w:sz w:val="22"/>
                <w:szCs w:val="22"/>
                <w:vertAlign w:val="superscript"/>
              </w:rPr>
              <w:t>2</w:t>
            </w:r>
          </w:p>
          <w:p w14:paraId="02DE4740" w14:textId="77777777" w:rsidR="001C08A5" w:rsidRDefault="00000000">
            <w:pPr>
              <w:widowControl w:val="0"/>
              <w:tabs>
                <w:tab w:val="left" w:pos="845"/>
              </w:tabs>
              <w:rPr>
                <w:sz w:val="22"/>
                <w:szCs w:val="22"/>
                <w:vertAlign w:val="superscript"/>
              </w:rPr>
            </w:pPr>
            <w:r>
              <w:rPr>
                <w:i/>
                <w:iCs/>
                <w:sz w:val="22"/>
                <w:szCs w:val="22"/>
              </w:rPr>
              <w:t>Compartiment C4 (compartiment volumetric in clădire foarte înaltă) - Arie desfășurată ≤ 3.500 m</w:t>
            </w:r>
            <w:r>
              <w:rPr>
                <w:i/>
                <w:iCs/>
                <w:sz w:val="22"/>
                <w:szCs w:val="22"/>
                <w:vertAlign w:val="superscript"/>
              </w:rPr>
              <w:t>2</w:t>
            </w:r>
          </w:p>
          <w:p w14:paraId="24600ED6" w14:textId="77777777" w:rsidR="001C08A5" w:rsidRDefault="00000000">
            <w:pPr>
              <w:widowControl w:val="0"/>
              <w:tabs>
                <w:tab w:val="left" w:pos="845"/>
              </w:tabs>
              <w:rPr>
                <w:sz w:val="22"/>
                <w:szCs w:val="22"/>
                <w:vertAlign w:val="superscript"/>
              </w:rPr>
            </w:pPr>
            <w:r>
              <w:rPr>
                <w:i/>
                <w:iCs/>
                <w:sz w:val="22"/>
                <w:szCs w:val="22"/>
              </w:rPr>
              <w:t>Compartiment C5 (compartiment volumetric in clădire foarte înaltă) - Arie desfășurată ≤ 3.500 m</w:t>
            </w:r>
            <w:r>
              <w:rPr>
                <w:i/>
                <w:iCs/>
                <w:sz w:val="22"/>
                <w:szCs w:val="22"/>
                <w:vertAlign w:val="superscript"/>
              </w:rPr>
              <w:t>2</w:t>
            </w:r>
          </w:p>
          <w:p w14:paraId="1425DE25" w14:textId="77777777" w:rsidR="001C08A5" w:rsidRDefault="001C08A5">
            <w:pPr>
              <w:widowControl w:val="0"/>
              <w:tabs>
                <w:tab w:val="left" w:pos="845"/>
              </w:tabs>
              <w:jc w:val="center"/>
              <w:rPr>
                <w:sz w:val="22"/>
                <w:szCs w:val="22"/>
                <w:lang w:eastAsia="ro-RO"/>
              </w:rPr>
            </w:pPr>
          </w:p>
        </w:tc>
      </w:tr>
      <w:tr w:rsidR="001C08A5" w14:paraId="5C677809" w14:textId="77777777">
        <w:tc>
          <w:tcPr>
            <w:tcW w:w="9855" w:type="dxa"/>
            <w:gridSpan w:val="2"/>
          </w:tcPr>
          <w:p w14:paraId="115A9DE1" w14:textId="77777777" w:rsidR="001C08A5" w:rsidRDefault="00000000">
            <w:pPr>
              <w:jc w:val="center"/>
              <w:rPr>
                <w:sz w:val="22"/>
                <w:szCs w:val="22"/>
                <w:lang w:eastAsia="ro-RO"/>
              </w:rPr>
            </w:pPr>
            <w:r>
              <w:rPr>
                <w:b/>
                <w:bCs/>
                <w:i/>
                <w:iCs/>
                <w:sz w:val="22"/>
                <w:szCs w:val="22"/>
              </w:rPr>
              <w:t>Varianta c)</w:t>
            </w:r>
            <w:r>
              <w:rPr>
                <w:i/>
                <w:iCs/>
                <w:sz w:val="22"/>
                <w:szCs w:val="22"/>
              </w:rPr>
              <w:t xml:space="preserve"> </w:t>
            </w:r>
            <w:r>
              <w:rPr>
                <w:b/>
                <w:bCs/>
                <w:i/>
                <w:iCs/>
                <w:sz w:val="22"/>
                <w:szCs w:val="22"/>
              </w:rPr>
              <w:t>clădire cu înălțime obișnuită și clădire foarte înaltă cu orice funcțiune, cu excepția celei de locuit, echipate cu instalație automată de stingere a  incendiilor</w:t>
            </w:r>
            <w:r>
              <w:rPr>
                <w:i/>
                <w:iCs/>
                <w:sz w:val="22"/>
                <w:szCs w:val="22"/>
              </w:rPr>
              <w:t xml:space="preserve"> (toate compartimentele sunt prevăzute cu instalație automată de stingere a  incendiilor și cu </w:t>
            </w:r>
            <w:r>
              <w:rPr>
                <w:i/>
                <w:sz w:val="22"/>
                <w:szCs w:val="22"/>
              </w:rPr>
              <w:t xml:space="preserve">instalaţii de detectare, semnalizare şi alarmare a incendiului cu acoperire totală, pecum si cu </w:t>
            </w:r>
            <w:r>
              <w:rPr>
                <w:i/>
                <w:iCs/>
                <w:sz w:val="22"/>
                <w:szCs w:val="22"/>
              </w:rPr>
              <w:t xml:space="preserve">instalație de </w:t>
            </w:r>
            <w:r>
              <w:rPr>
                <w:i/>
                <w:sz w:val="22"/>
                <w:szCs w:val="22"/>
              </w:rPr>
              <w:t>evacuare a fumului din circulațiile comune orizontale (coridoare/holuri) și casele de scări</w:t>
            </w:r>
            <w:r>
              <w:rPr>
                <w:i/>
                <w:iCs/>
                <w:sz w:val="22"/>
                <w:szCs w:val="22"/>
              </w:rPr>
              <w:t xml:space="preserve">) </w:t>
            </w:r>
          </w:p>
        </w:tc>
      </w:tr>
    </w:tbl>
    <w:p w14:paraId="0874CD0F" w14:textId="77777777" w:rsidR="001C08A5" w:rsidRDefault="001C08A5">
      <w:pPr>
        <w:jc w:val="center"/>
        <w:rPr>
          <w:b/>
          <w:bCs/>
          <w:i/>
          <w:iCs/>
          <w:sz w:val="24"/>
          <w:szCs w:val="24"/>
        </w:rPr>
      </w:pPr>
    </w:p>
    <w:tbl>
      <w:tblPr>
        <w:tblW w:w="0" w:type="auto"/>
        <w:tblLook w:val="04A0" w:firstRow="1" w:lastRow="0" w:firstColumn="1" w:lastColumn="0" w:noHBand="0" w:noVBand="1"/>
      </w:tblPr>
      <w:tblGrid>
        <w:gridCol w:w="4927"/>
        <w:gridCol w:w="4712"/>
      </w:tblGrid>
      <w:tr w:rsidR="001C08A5" w14:paraId="037675DE" w14:textId="77777777">
        <w:tc>
          <w:tcPr>
            <w:tcW w:w="4927" w:type="dxa"/>
          </w:tcPr>
          <w:p w14:paraId="03EB7F7C" w14:textId="77777777" w:rsidR="001C08A5" w:rsidRDefault="00000000">
            <w:pPr>
              <w:widowControl w:val="0"/>
              <w:tabs>
                <w:tab w:val="left" w:pos="845"/>
              </w:tabs>
              <w:jc w:val="center"/>
              <w:rPr>
                <w:sz w:val="22"/>
                <w:szCs w:val="22"/>
              </w:rPr>
            </w:pPr>
            <w:r>
              <w:rPr>
                <w:noProof/>
                <w:sz w:val="22"/>
                <w:szCs w:val="22"/>
                <w:lang w:eastAsia="ro-RO"/>
              </w:rPr>
              <w:drawing>
                <wp:inline distT="0" distB="0" distL="114300" distR="114300" wp14:anchorId="1EE7DA03" wp14:editId="3FA366A7">
                  <wp:extent cx="2982595" cy="4194810"/>
                  <wp:effectExtent l="0" t="0" r="8255" b="15240"/>
                  <wp:docPr id="1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22"/>
                          <pic:cNvPicPr>
                            <a:picLocks noChangeAspect="1"/>
                          </pic:cNvPicPr>
                        </pic:nvPicPr>
                        <pic:blipFill>
                          <a:blip r:embed="rId63"/>
                          <a:srcRect l="53041" r="7495"/>
                          <a:stretch>
                            <a:fillRect/>
                          </a:stretch>
                        </pic:blipFill>
                        <pic:spPr>
                          <a:xfrm>
                            <a:off x="0" y="0"/>
                            <a:ext cx="2982595" cy="4194810"/>
                          </a:xfrm>
                          <a:prstGeom prst="rect">
                            <a:avLst/>
                          </a:prstGeom>
                          <a:noFill/>
                          <a:ln>
                            <a:noFill/>
                          </a:ln>
                        </pic:spPr>
                      </pic:pic>
                    </a:graphicData>
                  </a:graphic>
                </wp:inline>
              </w:drawing>
            </w:r>
          </w:p>
        </w:tc>
        <w:tc>
          <w:tcPr>
            <w:tcW w:w="4928" w:type="dxa"/>
          </w:tcPr>
          <w:p w14:paraId="7C867303"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4CF7386B" w14:textId="77777777" w:rsidR="001C08A5" w:rsidRDefault="00000000">
            <w:pPr>
              <w:widowControl w:val="0"/>
              <w:tabs>
                <w:tab w:val="left" w:pos="845"/>
              </w:tabs>
              <w:rPr>
                <w:b/>
                <w:bCs/>
                <w:i/>
                <w:iCs/>
                <w:sz w:val="22"/>
                <w:szCs w:val="22"/>
              </w:rPr>
            </w:pPr>
            <w:r>
              <w:rPr>
                <w:b/>
                <w:bCs/>
                <w:i/>
                <w:iCs/>
                <w:sz w:val="22"/>
                <w:szCs w:val="22"/>
              </w:rPr>
              <w:t>C1, C2, C3, C4 - compartimente de incendiu distincte, nivelul I de stabilitate la incendiu</w:t>
            </w:r>
          </w:p>
          <w:p w14:paraId="433C444D" w14:textId="77777777" w:rsidR="001C08A5" w:rsidRDefault="001C08A5">
            <w:pPr>
              <w:widowControl w:val="0"/>
              <w:tabs>
                <w:tab w:val="left" w:pos="845"/>
              </w:tabs>
              <w:rPr>
                <w:i/>
                <w:iCs/>
                <w:sz w:val="22"/>
                <w:szCs w:val="22"/>
              </w:rPr>
            </w:pPr>
          </w:p>
          <w:p w14:paraId="7A15193B" w14:textId="77777777" w:rsidR="001C08A5" w:rsidRDefault="00000000">
            <w:pPr>
              <w:widowControl w:val="0"/>
              <w:tabs>
                <w:tab w:val="left" w:pos="845"/>
              </w:tabs>
              <w:rPr>
                <w:i/>
                <w:iCs/>
                <w:sz w:val="22"/>
                <w:szCs w:val="22"/>
              </w:rPr>
            </w:pPr>
            <w:r>
              <w:rPr>
                <w:i/>
                <w:iCs/>
                <w:sz w:val="22"/>
                <w:szCs w:val="22"/>
              </w:rPr>
              <w:t>Arii compartimente de incendiu:</w:t>
            </w:r>
          </w:p>
          <w:p w14:paraId="1675F5C8" w14:textId="77777777" w:rsidR="001C08A5" w:rsidRDefault="00000000">
            <w:pPr>
              <w:widowControl w:val="0"/>
              <w:tabs>
                <w:tab w:val="left" w:pos="845"/>
              </w:tabs>
              <w:rPr>
                <w:i/>
                <w:iCs/>
                <w:sz w:val="22"/>
                <w:szCs w:val="22"/>
                <w:vertAlign w:val="superscript"/>
              </w:rPr>
            </w:pPr>
            <w:r>
              <w:rPr>
                <w:i/>
                <w:iCs/>
                <w:sz w:val="22"/>
                <w:szCs w:val="22"/>
              </w:rPr>
              <w:t xml:space="preserve">Compartiment C1  (clădire foarte înaltă) - Arie construită </w:t>
            </w:r>
            <w:r>
              <w:rPr>
                <w:rFonts w:hint="eastAsia"/>
                <w:i/>
                <w:iCs/>
                <w:sz w:val="22"/>
                <w:szCs w:val="22"/>
              </w:rPr>
              <w:t>≤</w:t>
            </w:r>
            <w:r>
              <w:rPr>
                <w:i/>
                <w:iCs/>
                <w:sz w:val="22"/>
                <w:szCs w:val="22"/>
              </w:rPr>
              <w:t xml:space="preserve"> 3.500 m</w:t>
            </w:r>
            <w:r>
              <w:rPr>
                <w:i/>
                <w:iCs/>
                <w:sz w:val="22"/>
                <w:szCs w:val="22"/>
                <w:vertAlign w:val="superscript"/>
              </w:rPr>
              <w:t>2</w:t>
            </w:r>
          </w:p>
          <w:p w14:paraId="4662AB2F" w14:textId="77777777" w:rsidR="001C08A5" w:rsidRDefault="00000000">
            <w:pPr>
              <w:widowControl w:val="0"/>
              <w:tabs>
                <w:tab w:val="left" w:pos="845"/>
              </w:tabs>
              <w:rPr>
                <w:i/>
                <w:iCs/>
                <w:sz w:val="22"/>
                <w:szCs w:val="22"/>
              </w:rPr>
            </w:pPr>
            <w:r>
              <w:rPr>
                <w:i/>
                <w:iCs/>
                <w:sz w:val="22"/>
                <w:szCs w:val="22"/>
              </w:rPr>
              <w:t xml:space="preserve">Compartiment C2  (compartiment volumetric în clădire foarte înaltă) - Arie construită </w:t>
            </w:r>
            <w:r>
              <w:rPr>
                <w:rFonts w:hint="eastAsia"/>
                <w:i/>
                <w:iCs/>
                <w:sz w:val="22"/>
                <w:szCs w:val="22"/>
              </w:rPr>
              <w:t>≤</w:t>
            </w:r>
            <w:r>
              <w:rPr>
                <w:i/>
                <w:iCs/>
                <w:sz w:val="22"/>
                <w:szCs w:val="22"/>
              </w:rPr>
              <w:t xml:space="preserve"> 3.500 m</w:t>
            </w:r>
            <w:r>
              <w:rPr>
                <w:i/>
                <w:iCs/>
                <w:sz w:val="22"/>
                <w:szCs w:val="22"/>
                <w:vertAlign w:val="superscript"/>
              </w:rPr>
              <w:t>2</w:t>
            </w:r>
          </w:p>
          <w:p w14:paraId="524E0663" w14:textId="77777777" w:rsidR="001C08A5" w:rsidRDefault="00000000">
            <w:pPr>
              <w:widowControl w:val="0"/>
              <w:tabs>
                <w:tab w:val="left" w:pos="845"/>
              </w:tabs>
              <w:rPr>
                <w:sz w:val="22"/>
                <w:szCs w:val="22"/>
                <w:vertAlign w:val="superscript"/>
              </w:rPr>
            </w:pPr>
            <w:r>
              <w:rPr>
                <w:i/>
                <w:iCs/>
                <w:sz w:val="22"/>
                <w:szCs w:val="22"/>
              </w:rPr>
              <w:t xml:space="preserve">Compartiment C3 (compartiment volumetric în clădire foarte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1657D56A" w14:textId="77777777" w:rsidR="001C08A5" w:rsidRDefault="00000000">
            <w:pPr>
              <w:widowControl w:val="0"/>
              <w:tabs>
                <w:tab w:val="left" w:pos="845"/>
              </w:tabs>
              <w:rPr>
                <w:sz w:val="22"/>
                <w:szCs w:val="22"/>
                <w:vertAlign w:val="superscript"/>
              </w:rPr>
            </w:pPr>
            <w:r>
              <w:rPr>
                <w:i/>
                <w:iCs/>
                <w:sz w:val="22"/>
                <w:szCs w:val="22"/>
              </w:rPr>
              <w:t xml:space="preserve">Compartiment C4 (compartiment volumetric în clădire foarte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42A307FE" w14:textId="77777777" w:rsidR="001C08A5" w:rsidRDefault="001C08A5">
            <w:pPr>
              <w:widowControl w:val="0"/>
              <w:tabs>
                <w:tab w:val="left" w:pos="845"/>
              </w:tabs>
              <w:jc w:val="center"/>
              <w:rPr>
                <w:sz w:val="22"/>
                <w:szCs w:val="22"/>
                <w:lang w:eastAsia="ro-RO"/>
              </w:rPr>
            </w:pPr>
          </w:p>
        </w:tc>
      </w:tr>
    </w:tbl>
    <w:p w14:paraId="729469E9" w14:textId="77777777" w:rsidR="001C08A5" w:rsidRDefault="001C08A5">
      <w:pPr>
        <w:jc w:val="center"/>
        <w:rPr>
          <w:i/>
          <w:iCs/>
          <w:sz w:val="22"/>
          <w:szCs w:val="22"/>
        </w:rPr>
      </w:pPr>
    </w:p>
    <w:p w14:paraId="42B00C8D" w14:textId="77777777" w:rsidR="001C08A5" w:rsidRDefault="00000000">
      <w:pPr>
        <w:jc w:val="center"/>
        <w:rPr>
          <w:b/>
          <w:bCs/>
          <w:i/>
          <w:iCs/>
          <w:sz w:val="24"/>
          <w:szCs w:val="24"/>
        </w:rPr>
      </w:pPr>
      <w:r>
        <w:rPr>
          <w:b/>
          <w:bCs/>
          <w:i/>
          <w:iCs/>
          <w:sz w:val="22"/>
          <w:szCs w:val="22"/>
        </w:rPr>
        <w:t>varianta d) clădire foarte înaltă cu orice funcțiune, cu excepția celei de locuit, echipată cu instalație automată de stingere a  incendiilor</w:t>
      </w:r>
      <w:r>
        <w:rPr>
          <w:i/>
          <w:iCs/>
          <w:sz w:val="22"/>
          <w:szCs w:val="22"/>
        </w:rPr>
        <w:t xml:space="preserve"> (toate compartimentele sunt prevăzute cu instalație automată de stingere a  incendiilor și cu </w:t>
      </w:r>
      <w:r>
        <w:rPr>
          <w:i/>
          <w:sz w:val="22"/>
          <w:szCs w:val="22"/>
        </w:rPr>
        <w:t xml:space="preserve">instalaţii de detectare, semnalizare şi alarmare a incendiului cu acoperire totală, pecum si cu </w:t>
      </w:r>
      <w:r>
        <w:rPr>
          <w:i/>
          <w:iCs/>
          <w:sz w:val="22"/>
          <w:szCs w:val="22"/>
        </w:rPr>
        <w:t xml:space="preserve">instalație de </w:t>
      </w:r>
      <w:r>
        <w:rPr>
          <w:i/>
          <w:sz w:val="22"/>
          <w:szCs w:val="22"/>
        </w:rPr>
        <w:t>evacuare a fumului din circulațiile comune orizontale (coridoare/holuri) și casele de scări</w:t>
      </w:r>
      <w:r>
        <w:rPr>
          <w:i/>
          <w:iCs/>
          <w:sz w:val="22"/>
          <w:szCs w:val="22"/>
        </w:rPr>
        <w:t xml:space="preserve">) </w:t>
      </w:r>
    </w:p>
    <w:p w14:paraId="76DE4F44" w14:textId="77777777" w:rsidR="001C08A5" w:rsidRDefault="00000000">
      <w:pPr>
        <w:pStyle w:val="Caption"/>
        <w:jc w:val="center"/>
        <w:rPr>
          <w:bCs/>
        </w:rPr>
      </w:pPr>
      <w:bookmarkStart w:id="203" w:name="_Ref5734"/>
      <w:bookmarkStart w:id="204" w:name="_Toc162360233"/>
      <w:r>
        <w:t xml:space="preserve">Figura </w:t>
      </w:r>
      <w:r>
        <w:fldChar w:fldCharType="begin"/>
      </w:r>
      <w:r>
        <w:instrText xml:space="preserve"> SEQ Figura \* ARABIC </w:instrText>
      </w:r>
      <w:r>
        <w:fldChar w:fldCharType="separate"/>
      </w:r>
      <w:r>
        <w:t>9</w:t>
      </w:r>
      <w:r>
        <w:fldChar w:fldCharType="end"/>
      </w:r>
      <w:bookmarkStart w:id="205" w:name="_Toc5931"/>
      <w:bookmarkStart w:id="206" w:name="_Toc24551"/>
      <w:bookmarkStart w:id="207" w:name="_Toc5492"/>
      <w:bookmarkStart w:id="208" w:name="_Toc28391"/>
      <w:bookmarkStart w:id="209" w:name="_Toc22632"/>
      <w:bookmarkStart w:id="210" w:name="_Toc19716"/>
      <w:bookmarkStart w:id="211" w:name="_Toc30081"/>
      <w:bookmarkStart w:id="212" w:name="_Toc12043"/>
      <w:bookmarkStart w:id="213" w:name="_Toc5042"/>
      <w:bookmarkStart w:id="214" w:name="_Toc10850"/>
      <w:bookmarkStart w:id="215" w:name="_Toc20622"/>
      <w:bookmarkEnd w:id="203"/>
      <w:r>
        <w:t xml:space="preserve"> - </w:t>
      </w:r>
      <w:r>
        <w:rPr>
          <w:bCs/>
        </w:rPr>
        <w:t>Compartimentare antifoc și arii compartimente de incendiu la clădirile şi compartimentele de incendiu supraterane civile foarte înalte</w:t>
      </w:r>
      <w:bookmarkEnd w:id="204"/>
      <w:bookmarkEnd w:id="205"/>
      <w:bookmarkEnd w:id="206"/>
      <w:bookmarkEnd w:id="207"/>
      <w:bookmarkEnd w:id="208"/>
      <w:bookmarkEnd w:id="209"/>
      <w:bookmarkEnd w:id="210"/>
      <w:bookmarkEnd w:id="211"/>
      <w:bookmarkEnd w:id="212"/>
      <w:bookmarkEnd w:id="213"/>
      <w:bookmarkEnd w:id="214"/>
      <w:bookmarkEnd w:id="215"/>
    </w:p>
    <w:p w14:paraId="4993DFEF" w14:textId="77777777" w:rsidR="001C08A5" w:rsidRDefault="001C08A5">
      <w:pPr>
        <w:jc w:val="center"/>
        <w:rPr>
          <w:b/>
          <w:bCs/>
          <w:i/>
          <w:iCs/>
          <w:sz w:val="24"/>
          <w:szCs w:val="24"/>
        </w:rPr>
      </w:pPr>
    </w:p>
    <w:p w14:paraId="4902B3F5" w14:textId="77777777" w:rsidR="001C08A5" w:rsidRDefault="00000000">
      <w:pPr>
        <w:widowControl w:val="0"/>
        <w:numPr>
          <w:ilvl w:val="0"/>
          <w:numId w:val="10"/>
        </w:numPr>
        <w:jc w:val="both"/>
        <w:rPr>
          <w:i/>
          <w:iCs/>
          <w:sz w:val="24"/>
          <w:szCs w:val="24"/>
        </w:rPr>
      </w:pPr>
      <w:r>
        <w:rPr>
          <w:b/>
          <w:i/>
          <w:iCs/>
          <w:sz w:val="24"/>
          <w:szCs w:val="24"/>
        </w:rPr>
        <w:t xml:space="preserve">Construcţie </w:t>
      </w:r>
      <w:r>
        <w:rPr>
          <w:i/>
          <w:iCs/>
          <w:sz w:val="24"/>
          <w:szCs w:val="24"/>
        </w:rPr>
        <w:t>- este sistemul tehnic definit prin ansamblul constructiv și instalaţiile utilitare aferente acesteia, inclusiv mijloacele tehnice de contracarare a incendiilor prevăzute; în contextul prezentului normativ, se definesc ”</w:t>
      </w:r>
      <w:r>
        <w:rPr>
          <w:b/>
          <w:i/>
          <w:iCs/>
          <w:sz w:val="24"/>
          <w:szCs w:val="24"/>
        </w:rPr>
        <w:t>Categorii de construcții din punct de vedere al securitatii la incendiu”</w:t>
      </w:r>
      <w:r>
        <w:rPr>
          <w:i/>
          <w:iCs/>
          <w:sz w:val="24"/>
          <w:szCs w:val="24"/>
        </w:rPr>
        <w:t xml:space="preserve"> - clădiri/ construcții (civile, industriale, mixte), corturi, platforme exterioare și depozite deschise.</w:t>
      </w:r>
    </w:p>
    <w:p w14:paraId="07BE9992" w14:textId="77777777" w:rsidR="001C08A5" w:rsidRDefault="001C08A5">
      <w:pPr>
        <w:jc w:val="both"/>
        <w:rPr>
          <w:b/>
          <w:i/>
          <w:iCs/>
          <w:sz w:val="24"/>
          <w:szCs w:val="24"/>
        </w:rPr>
      </w:pPr>
    </w:p>
    <w:p w14:paraId="3616282B" w14:textId="77777777" w:rsidR="001C08A5" w:rsidRDefault="00000000">
      <w:pPr>
        <w:numPr>
          <w:ilvl w:val="0"/>
          <w:numId w:val="16"/>
        </w:numPr>
        <w:jc w:val="both"/>
        <w:rPr>
          <w:i/>
          <w:iCs/>
          <w:sz w:val="24"/>
          <w:szCs w:val="24"/>
        </w:rPr>
      </w:pPr>
      <w:r>
        <w:rPr>
          <w:b/>
          <w:i/>
          <w:iCs/>
          <w:sz w:val="24"/>
          <w:szCs w:val="24"/>
        </w:rPr>
        <w:t>Construcţie închisă</w:t>
      </w:r>
      <w:r>
        <w:rPr>
          <w:i/>
          <w:iCs/>
          <w:sz w:val="24"/>
          <w:szCs w:val="24"/>
        </w:rPr>
        <w:t xml:space="preserve"> - </w:t>
      </w:r>
      <w:r>
        <w:rPr>
          <w:bCs/>
          <w:i/>
          <w:iCs/>
          <w:sz w:val="24"/>
          <w:szCs w:val="24"/>
        </w:rPr>
        <w:t>construcţie</w:t>
      </w:r>
      <w:r>
        <w:rPr>
          <w:i/>
          <w:iCs/>
          <w:sz w:val="24"/>
          <w:szCs w:val="24"/>
        </w:rPr>
        <w:t xml:space="preserve"> supraterană/ subterană închisă perimetral cu pereţi care nu îndeplinesc criteriile prevăzute la </w:t>
      </w:r>
      <w:r>
        <w:rPr>
          <w:b/>
          <w:bCs/>
          <w:i/>
          <w:iCs/>
          <w:sz w:val="24"/>
          <w:szCs w:val="24"/>
        </w:rPr>
        <w:t>pct 2) lit.ii</w:t>
      </w:r>
      <w:r>
        <w:rPr>
          <w:i/>
          <w:iCs/>
          <w:sz w:val="24"/>
          <w:szCs w:val="24"/>
        </w:rPr>
        <w:t xml:space="preserve"> şi prevăzută cu acoperiş</w:t>
      </w:r>
    </w:p>
    <w:p w14:paraId="0B0FC0F5" w14:textId="77777777" w:rsidR="001C08A5" w:rsidRDefault="00000000">
      <w:pPr>
        <w:numPr>
          <w:ilvl w:val="0"/>
          <w:numId w:val="16"/>
        </w:numPr>
        <w:jc w:val="both"/>
        <w:rPr>
          <w:i/>
          <w:iCs/>
          <w:sz w:val="24"/>
          <w:szCs w:val="24"/>
        </w:rPr>
      </w:pPr>
      <w:r>
        <w:rPr>
          <w:b/>
          <w:bCs/>
          <w:i/>
          <w:iCs/>
          <w:sz w:val="24"/>
          <w:szCs w:val="24"/>
        </w:rPr>
        <w:t>Construcție deschisă</w:t>
      </w:r>
      <w:r>
        <w:rPr>
          <w:i/>
          <w:iCs/>
          <w:sz w:val="24"/>
          <w:szCs w:val="24"/>
        </w:rPr>
        <w:t xml:space="preserve"> - construcție supraterană/ subterană care îndeplinește una din următoarele condiții:</w:t>
      </w:r>
    </w:p>
    <w:p w14:paraId="766A277B" w14:textId="77777777" w:rsidR="001C08A5" w:rsidRDefault="00000000">
      <w:pPr>
        <w:pStyle w:val="ListParagraph"/>
        <w:widowControl w:val="0"/>
        <w:numPr>
          <w:ilvl w:val="0"/>
          <w:numId w:val="17"/>
        </w:numPr>
        <w:jc w:val="both"/>
        <w:rPr>
          <w:i/>
          <w:iCs/>
        </w:rPr>
      </w:pPr>
      <w:r>
        <w:rPr>
          <w:i/>
          <w:iCs/>
        </w:rPr>
        <w:t>este descoperită (fără acoperiș);</w:t>
      </w:r>
    </w:p>
    <w:p w14:paraId="61798787" w14:textId="77777777" w:rsidR="001C08A5" w:rsidRDefault="00000000">
      <w:pPr>
        <w:pStyle w:val="ListParagraph"/>
        <w:widowControl w:val="0"/>
        <w:numPr>
          <w:ilvl w:val="0"/>
          <w:numId w:val="17"/>
        </w:numPr>
        <w:jc w:val="both"/>
        <w:rPr>
          <w:i/>
          <w:iCs/>
        </w:rPr>
      </w:pPr>
      <w:r>
        <w:rPr>
          <w:i/>
          <w:iCs/>
        </w:rPr>
        <w:t xml:space="preserve">construcție acoperită care are goluri permanent deschise pe cel puțin 50% din suprafața pereților exteriori. </w:t>
      </w:r>
    </w:p>
    <w:p w14:paraId="0E512AFA" w14:textId="77777777" w:rsidR="001C08A5" w:rsidRDefault="00000000">
      <w:pPr>
        <w:pStyle w:val="ListParagraph"/>
        <w:widowControl w:val="0"/>
        <w:ind w:left="1680"/>
        <w:jc w:val="both"/>
        <w:rPr>
          <w:i/>
          <w:iCs/>
        </w:rPr>
      </w:pPr>
      <w:r>
        <w:rPr>
          <w:i/>
          <w:iCs/>
        </w:rPr>
        <w:t xml:space="preserve">Cu excepția spațiilor amenajate sub tribune, stadioanele acoperite sunt considerate construcții deschise dacă la partea superioară (ultima cota de nivel accesibilă publicului), în cadrul închiderilor perimetrale sunt prevăzute goluri deschise permanent spre exterior cu înălțimea de minimum </w:t>
      </w:r>
      <w:r>
        <w:rPr>
          <w:b/>
          <w:bCs/>
          <w:i/>
          <w:iCs/>
        </w:rPr>
        <w:t>1 m</w:t>
      </w:r>
      <w:r>
        <w:rPr>
          <w:i/>
          <w:iCs/>
        </w:rPr>
        <w:t xml:space="preserve"> și lungimea lor însumată reprezintă cel puțin </w:t>
      </w:r>
      <w:r>
        <w:rPr>
          <w:b/>
          <w:bCs/>
          <w:i/>
          <w:iCs/>
        </w:rPr>
        <w:t>75%</w:t>
      </w:r>
      <w:r>
        <w:rPr>
          <w:i/>
          <w:iCs/>
        </w:rPr>
        <w:t xml:space="preserve"> din perimetru (</w:t>
      </w:r>
      <w:r>
        <w:rPr>
          <w:b/>
          <w:bCs/>
          <w:i/>
          <w:iCs/>
          <w:sz w:val="20"/>
          <w:szCs w:val="20"/>
        </w:rPr>
        <w:fldChar w:fldCharType="begin"/>
      </w:r>
      <w:r>
        <w:rPr>
          <w:b/>
          <w:bCs/>
          <w:i/>
          <w:iCs/>
          <w:sz w:val="20"/>
          <w:szCs w:val="20"/>
        </w:rPr>
        <w:instrText xml:space="preserve"> REF _Ref5926 \h </w:instrText>
      </w:r>
      <w:r>
        <w:rPr>
          <w:b/>
          <w:bCs/>
          <w:i/>
          <w:iCs/>
          <w:sz w:val="20"/>
          <w:szCs w:val="20"/>
        </w:rPr>
      </w:r>
      <w:r>
        <w:rPr>
          <w:b/>
          <w:bCs/>
          <w:i/>
          <w:iCs/>
          <w:sz w:val="20"/>
          <w:szCs w:val="20"/>
        </w:rPr>
        <w:fldChar w:fldCharType="separate"/>
      </w:r>
      <w:r>
        <w:rPr>
          <w:sz w:val="20"/>
          <w:szCs w:val="20"/>
        </w:rPr>
        <w:t>Figura 10</w:t>
      </w:r>
      <w:r>
        <w:rPr>
          <w:b/>
          <w:bCs/>
          <w:i/>
          <w:iCs/>
          <w:sz w:val="20"/>
          <w:szCs w:val="20"/>
        </w:rPr>
        <w:fldChar w:fldCharType="end"/>
      </w:r>
      <w:r>
        <w:rPr>
          <w:i/>
          <w:iCs/>
        </w:rPr>
        <w:t xml:space="preserve">). </w:t>
      </w:r>
    </w:p>
    <w:p w14:paraId="5AEA5FA2" w14:textId="77777777" w:rsidR="001C08A5" w:rsidRDefault="00000000">
      <w:pPr>
        <w:pStyle w:val="ListParagraph"/>
        <w:widowControl w:val="0"/>
        <w:ind w:left="1680"/>
        <w:jc w:val="both"/>
        <w:rPr>
          <w:i/>
          <w:iCs/>
        </w:rPr>
      </w:pPr>
      <w:r>
        <w:rPr>
          <w:i/>
          <w:iCs/>
        </w:rPr>
        <w:t xml:space="preserve">Construcțiile care nu îndeplinesc unul din criteriile prevăzute la </w:t>
      </w:r>
      <w:r>
        <w:rPr>
          <w:b/>
          <w:bCs/>
          <w:i/>
          <w:iCs/>
        </w:rPr>
        <w:t xml:space="preserve">lit. i) </w:t>
      </w:r>
      <w:r>
        <w:rPr>
          <w:i/>
          <w:iCs/>
        </w:rPr>
        <w:t>și</w:t>
      </w:r>
      <w:r>
        <w:rPr>
          <w:b/>
          <w:bCs/>
          <w:i/>
          <w:iCs/>
        </w:rPr>
        <w:t xml:space="preserve"> lit. ii)</w:t>
      </w:r>
      <w:r>
        <w:rPr>
          <w:i/>
          <w:iCs/>
        </w:rPr>
        <w:t xml:space="preserve"> sunt considerate construcții închise.</w:t>
      </w:r>
    </w:p>
    <w:p w14:paraId="6C63A723" w14:textId="77777777" w:rsidR="001C08A5" w:rsidRDefault="00000000">
      <w:pPr>
        <w:pStyle w:val="ListParagraph"/>
        <w:widowControl w:val="0"/>
        <w:ind w:left="0"/>
        <w:jc w:val="center"/>
      </w:pPr>
      <w:r>
        <w:rPr>
          <w:noProof/>
          <w:lang w:eastAsia="ro-RO"/>
        </w:rPr>
        <w:drawing>
          <wp:inline distT="0" distB="0" distL="0" distR="0" wp14:anchorId="7AA5EC08" wp14:editId="4A5CE72A">
            <wp:extent cx="3703955" cy="2234565"/>
            <wp:effectExtent l="0" t="0" r="10795" b="13334"/>
            <wp:docPr id="1047" name="Picture 17"/>
            <wp:cNvGraphicFramePr/>
            <a:graphic xmlns:a="http://schemas.openxmlformats.org/drawingml/2006/main">
              <a:graphicData uri="http://schemas.openxmlformats.org/drawingml/2006/picture">
                <pic:pic xmlns:pic="http://schemas.openxmlformats.org/drawingml/2006/picture">
                  <pic:nvPicPr>
                    <pic:cNvPr id="1047" name="Picture 17"/>
                    <pic:cNvPicPr/>
                  </pic:nvPicPr>
                  <pic:blipFill>
                    <a:blip r:embed="rId64" cstate="print"/>
                    <a:srcRect l="18011" t="24004" r="19155" b="19367"/>
                    <a:stretch>
                      <a:fillRect/>
                    </a:stretch>
                  </pic:blipFill>
                  <pic:spPr>
                    <a:xfrm>
                      <a:off x="0" y="0"/>
                      <a:ext cx="3703955" cy="2234565"/>
                    </a:xfrm>
                    <a:prstGeom prst="rect">
                      <a:avLst/>
                    </a:prstGeom>
                    <a:ln>
                      <a:noFill/>
                    </a:ln>
                  </pic:spPr>
                </pic:pic>
              </a:graphicData>
            </a:graphic>
          </wp:inline>
        </w:drawing>
      </w:r>
    </w:p>
    <w:p w14:paraId="460FC906" w14:textId="77777777" w:rsidR="001C08A5" w:rsidRDefault="00000000">
      <w:pPr>
        <w:pStyle w:val="Caption"/>
        <w:widowControl w:val="0"/>
        <w:jc w:val="center"/>
        <w:rPr>
          <w:rFonts w:cs="Times New Roman"/>
        </w:rPr>
      </w:pPr>
      <w:bookmarkStart w:id="216" w:name="_Ref5926"/>
      <w:bookmarkStart w:id="217" w:name="_Toc5602"/>
      <w:bookmarkStart w:id="218" w:name="_Toc23164"/>
      <w:bookmarkStart w:id="219" w:name="_Toc20366"/>
      <w:bookmarkStart w:id="220" w:name="_Toc2412"/>
      <w:bookmarkStart w:id="221" w:name="_Toc24852"/>
      <w:bookmarkStart w:id="222" w:name="_Toc15384"/>
      <w:bookmarkStart w:id="223" w:name="_Toc162360234"/>
      <w:r>
        <w:t xml:space="preserve">Figura </w:t>
      </w:r>
      <w:r>
        <w:fldChar w:fldCharType="begin"/>
      </w:r>
      <w:r>
        <w:instrText xml:space="preserve"> SEQ Figura \* ARABIC </w:instrText>
      </w:r>
      <w:r>
        <w:fldChar w:fldCharType="separate"/>
      </w:r>
      <w:r>
        <w:t>10</w:t>
      </w:r>
      <w:r>
        <w:fldChar w:fldCharType="end"/>
      </w:r>
      <w:bookmarkStart w:id="224" w:name="_Toc19067"/>
      <w:bookmarkStart w:id="225" w:name="_Toc18709"/>
      <w:bookmarkStart w:id="226" w:name="_Toc18353"/>
      <w:bookmarkStart w:id="227" w:name="_Toc12306"/>
      <w:bookmarkStart w:id="228" w:name="_Toc24783"/>
      <w:bookmarkStart w:id="229" w:name="_Toc19247"/>
      <w:bookmarkStart w:id="230" w:name="_Toc7596"/>
      <w:bookmarkStart w:id="231" w:name="_Toc7571"/>
      <w:bookmarkStart w:id="232" w:name="_Toc23185"/>
      <w:bookmarkStart w:id="233" w:name="_Toc7730"/>
      <w:bookmarkStart w:id="234" w:name="_Toc22997"/>
      <w:bookmarkEnd w:id="216"/>
      <w:r>
        <w:t xml:space="preserve"> – </w:t>
      </w:r>
      <w:r>
        <w:rPr>
          <w:rFonts w:cs="Times New Roman"/>
        </w:rPr>
        <w:t>Stadion acoperit - construcție deschisă</w:t>
      </w:r>
      <w:bookmarkEnd w:id="217"/>
      <w:bookmarkEnd w:id="218"/>
      <w:bookmarkEnd w:id="219"/>
      <w:bookmarkEnd w:id="220"/>
      <w:bookmarkEnd w:id="221"/>
      <w:bookmarkEnd w:id="222"/>
      <w:bookmarkEnd w:id="223"/>
      <w:bookmarkEnd w:id="224"/>
      <w:bookmarkEnd w:id="225"/>
      <w:bookmarkEnd w:id="226"/>
      <w:bookmarkEnd w:id="227"/>
      <w:r>
        <w:rPr>
          <w:rFonts w:cs="Times New Roman"/>
        </w:rPr>
        <w:t xml:space="preserve"> </w:t>
      </w:r>
      <w:bookmarkEnd w:id="228"/>
      <w:bookmarkEnd w:id="229"/>
      <w:bookmarkEnd w:id="230"/>
      <w:bookmarkEnd w:id="231"/>
      <w:bookmarkEnd w:id="232"/>
      <w:bookmarkEnd w:id="233"/>
      <w:bookmarkEnd w:id="234"/>
    </w:p>
    <w:p w14:paraId="669FC6D1" w14:textId="77777777" w:rsidR="001C08A5" w:rsidRDefault="00000000">
      <w:pPr>
        <w:jc w:val="center"/>
        <w:rPr>
          <w:i/>
          <w:iCs/>
          <w:sz w:val="22"/>
          <w:szCs w:val="22"/>
        </w:rPr>
      </w:pPr>
      <w:r>
        <w:rPr>
          <w:bCs/>
          <w:i/>
          <w:iCs/>
          <w:sz w:val="22"/>
          <w:szCs w:val="22"/>
        </w:rPr>
        <w:t xml:space="preserve">(”gol” figură = </w:t>
      </w:r>
      <w:r>
        <w:rPr>
          <w:i/>
          <w:iCs/>
          <w:sz w:val="22"/>
          <w:szCs w:val="22"/>
        </w:rPr>
        <w:t xml:space="preserve">goluri </w:t>
      </w:r>
      <w:r>
        <w:rPr>
          <w:bCs/>
          <w:i/>
          <w:iCs/>
          <w:sz w:val="22"/>
          <w:szCs w:val="22"/>
        </w:rPr>
        <w:t>perimetrale</w:t>
      </w:r>
      <w:r>
        <w:rPr>
          <w:i/>
          <w:iCs/>
          <w:sz w:val="22"/>
          <w:szCs w:val="22"/>
        </w:rPr>
        <w:t xml:space="preserve"> deschise permanent spre exterior cu înălțimea de minimum </w:t>
      </w:r>
      <w:r>
        <w:rPr>
          <w:b/>
          <w:bCs/>
          <w:i/>
          <w:iCs/>
          <w:sz w:val="22"/>
          <w:szCs w:val="22"/>
        </w:rPr>
        <w:t>1 m</w:t>
      </w:r>
    </w:p>
    <w:p w14:paraId="1A9B1F63" w14:textId="77777777" w:rsidR="001C08A5" w:rsidRDefault="00000000">
      <w:pPr>
        <w:ind w:left="425"/>
        <w:jc w:val="center"/>
        <w:rPr>
          <w:bCs/>
          <w:i/>
          <w:iCs/>
          <w:sz w:val="22"/>
          <w:szCs w:val="22"/>
        </w:rPr>
      </w:pPr>
      <w:r>
        <w:rPr>
          <w:i/>
          <w:iCs/>
          <w:sz w:val="22"/>
          <w:szCs w:val="22"/>
        </w:rPr>
        <w:t xml:space="preserve">și lungimea lor însumată de cel puțin </w:t>
      </w:r>
      <w:r>
        <w:rPr>
          <w:b/>
          <w:bCs/>
          <w:i/>
          <w:iCs/>
          <w:sz w:val="22"/>
          <w:szCs w:val="22"/>
        </w:rPr>
        <w:t>75%</w:t>
      </w:r>
      <w:r>
        <w:rPr>
          <w:i/>
          <w:iCs/>
          <w:sz w:val="22"/>
          <w:szCs w:val="22"/>
        </w:rPr>
        <w:t xml:space="preserve"> din perimetru</w:t>
      </w:r>
      <w:r>
        <w:rPr>
          <w:bCs/>
          <w:i/>
          <w:iCs/>
          <w:sz w:val="22"/>
          <w:szCs w:val="22"/>
        </w:rPr>
        <w:t>)</w:t>
      </w:r>
    </w:p>
    <w:p w14:paraId="4C0FDC2D" w14:textId="77777777" w:rsidR="001C08A5" w:rsidRDefault="001C08A5">
      <w:pPr>
        <w:jc w:val="both"/>
        <w:rPr>
          <w:b/>
          <w:bCs/>
          <w:i/>
          <w:iCs/>
          <w:sz w:val="24"/>
          <w:szCs w:val="24"/>
        </w:rPr>
      </w:pPr>
    </w:p>
    <w:p w14:paraId="177E8191" w14:textId="77777777" w:rsidR="001C08A5" w:rsidRDefault="00000000">
      <w:pPr>
        <w:numPr>
          <w:ilvl w:val="0"/>
          <w:numId w:val="16"/>
        </w:numPr>
        <w:jc w:val="both"/>
        <w:rPr>
          <w:b/>
          <w:bCs/>
          <w:i/>
          <w:iCs/>
          <w:sz w:val="24"/>
          <w:szCs w:val="24"/>
        </w:rPr>
      </w:pPr>
      <w:r>
        <w:rPr>
          <w:b/>
          <w:bCs/>
          <w:i/>
          <w:iCs/>
          <w:sz w:val="24"/>
          <w:szCs w:val="24"/>
        </w:rPr>
        <w:t xml:space="preserve">Construcţii / clădiri destinate persoanelor care nu se pot evacua singure </w:t>
      </w:r>
      <w:r>
        <w:rPr>
          <w:i/>
          <w:iCs/>
          <w:sz w:val="24"/>
          <w:szCs w:val="24"/>
        </w:rPr>
        <w:t xml:space="preserve">sunt considerate următoarele, în contextul prezentului normativ: clădiri pentru copii de vârstă preşcolară / clădiri de învăţământ nivelul antepreşcolar (0 - 3 ani) (creșe și case de copii), </w:t>
      </w:r>
      <w:r>
        <w:rPr>
          <w:i/>
          <w:iCs/>
          <w:sz w:val="24"/>
          <w:szCs w:val="24"/>
          <w:lang w:eastAsia="zh-CN"/>
        </w:rPr>
        <w:t>unități sanitare cu spitalizare continuă (definite conform legislatiei de specialitate)</w:t>
      </w:r>
      <w:r>
        <w:rPr>
          <w:i/>
          <w:iCs/>
          <w:sz w:val="24"/>
          <w:szCs w:val="24"/>
        </w:rPr>
        <w:t>, aziluri sau cămine pentru bătrâni și persoane cu dizabilități, ospicii pentru alienaţi mintal, , etc.).</w:t>
      </w:r>
    </w:p>
    <w:p w14:paraId="6B3D5BA2" w14:textId="77777777" w:rsidR="001C08A5" w:rsidRDefault="001C08A5">
      <w:pPr>
        <w:ind w:left="840"/>
        <w:jc w:val="both"/>
        <w:rPr>
          <w:b/>
          <w:bCs/>
          <w:i/>
          <w:iCs/>
          <w:sz w:val="24"/>
          <w:szCs w:val="24"/>
        </w:rPr>
      </w:pPr>
    </w:p>
    <w:p w14:paraId="2BF14C64" w14:textId="77777777" w:rsidR="001C08A5" w:rsidRDefault="00000000">
      <w:pPr>
        <w:numPr>
          <w:ilvl w:val="0"/>
          <w:numId w:val="10"/>
        </w:numPr>
        <w:jc w:val="both"/>
        <w:rPr>
          <w:i/>
          <w:iCs/>
          <w:sz w:val="24"/>
          <w:szCs w:val="24"/>
        </w:rPr>
      </w:pPr>
      <w:r>
        <w:rPr>
          <w:b/>
          <w:i/>
          <w:iCs/>
          <w:sz w:val="24"/>
          <w:szCs w:val="24"/>
        </w:rPr>
        <w:t>Construcţie subterană</w:t>
      </w:r>
      <w:r>
        <w:rPr>
          <w:i/>
          <w:iCs/>
          <w:sz w:val="24"/>
          <w:szCs w:val="24"/>
        </w:rPr>
        <w:t xml:space="preserve"> - </w:t>
      </w:r>
      <w:r>
        <w:rPr>
          <w:bCs/>
          <w:i/>
          <w:iCs/>
          <w:sz w:val="24"/>
          <w:szCs w:val="24"/>
        </w:rPr>
        <w:t>construcţie</w:t>
      </w:r>
      <w:r>
        <w:rPr>
          <w:i/>
          <w:iCs/>
          <w:sz w:val="24"/>
          <w:szCs w:val="24"/>
        </w:rPr>
        <w:t xml:space="preserve"> independentă realizată în întregime sub nivelul terenului înconjurător (natural sau amenajat), având numai căi pentru acces şi pentru evacuare la nivelul terenului. </w:t>
      </w:r>
    </w:p>
    <w:p w14:paraId="630C5997" w14:textId="77777777" w:rsidR="001C08A5" w:rsidRDefault="001C08A5">
      <w:pPr>
        <w:jc w:val="both"/>
        <w:rPr>
          <w:i/>
          <w:iCs/>
          <w:sz w:val="24"/>
          <w:szCs w:val="24"/>
        </w:rPr>
      </w:pPr>
    </w:p>
    <w:p w14:paraId="6BD5D7B6" w14:textId="77777777" w:rsidR="001C08A5" w:rsidRDefault="00000000">
      <w:pPr>
        <w:numPr>
          <w:ilvl w:val="0"/>
          <w:numId w:val="10"/>
        </w:numPr>
        <w:jc w:val="both"/>
        <w:rPr>
          <w:i/>
          <w:iCs/>
          <w:sz w:val="24"/>
          <w:szCs w:val="24"/>
        </w:rPr>
      </w:pPr>
      <w:r>
        <w:rPr>
          <w:b/>
          <w:i/>
          <w:iCs/>
          <w:sz w:val="24"/>
          <w:szCs w:val="24"/>
        </w:rPr>
        <w:t>Construcţie supraterană</w:t>
      </w:r>
      <w:r>
        <w:rPr>
          <w:i/>
          <w:iCs/>
          <w:sz w:val="24"/>
          <w:szCs w:val="24"/>
        </w:rPr>
        <w:t xml:space="preserve"> - </w:t>
      </w:r>
      <w:r>
        <w:rPr>
          <w:bCs/>
          <w:i/>
          <w:iCs/>
          <w:sz w:val="24"/>
          <w:szCs w:val="24"/>
        </w:rPr>
        <w:t>construcţie</w:t>
      </w:r>
      <w:r>
        <w:rPr>
          <w:i/>
          <w:iCs/>
          <w:sz w:val="24"/>
          <w:szCs w:val="24"/>
        </w:rPr>
        <w:t xml:space="preserve"> realizată peste cota terenului înconjurător natural sau amenajat, cu sau fără subsoluri.</w:t>
      </w:r>
    </w:p>
    <w:p w14:paraId="05C14380" w14:textId="77777777" w:rsidR="001C08A5" w:rsidRDefault="001C08A5">
      <w:pPr>
        <w:jc w:val="both"/>
        <w:rPr>
          <w:i/>
          <w:iCs/>
          <w:sz w:val="24"/>
          <w:szCs w:val="24"/>
        </w:rPr>
      </w:pPr>
    </w:p>
    <w:p w14:paraId="62474C01" w14:textId="77777777" w:rsidR="001C08A5" w:rsidRDefault="00000000">
      <w:pPr>
        <w:numPr>
          <w:ilvl w:val="0"/>
          <w:numId w:val="10"/>
        </w:numPr>
        <w:jc w:val="both"/>
        <w:rPr>
          <w:i/>
          <w:iCs/>
          <w:sz w:val="24"/>
          <w:szCs w:val="24"/>
        </w:rPr>
      </w:pPr>
      <w:r>
        <w:rPr>
          <w:b/>
          <w:bCs/>
          <w:i/>
          <w:iCs/>
          <w:sz w:val="24"/>
          <w:szCs w:val="24"/>
        </w:rPr>
        <w:t>Construcție independentă</w:t>
      </w:r>
      <w:r>
        <w:rPr>
          <w:i/>
          <w:iCs/>
          <w:sz w:val="24"/>
          <w:szCs w:val="24"/>
        </w:rPr>
        <w:t xml:space="preserve"> – construcție cu fundație și structură proprie.</w:t>
      </w:r>
    </w:p>
    <w:p w14:paraId="643BBFA4" w14:textId="77777777" w:rsidR="001C08A5" w:rsidRDefault="001C08A5">
      <w:pPr>
        <w:jc w:val="both"/>
        <w:rPr>
          <w:b/>
          <w:bCs/>
          <w:i/>
          <w:iCs/>
          <w:sz w:val="24"/>
          <w:szCs w:val="24"/>
        </w:rPr>
      </w:pPr>
    </w:p>
    <w:p w14:paraId="6333EB64" w14:textId="77777777" w:rsidR="001C08A5" w:rsidRDefault="00000000">
      <w:pPr>
        <w:numPr>
          <w:ilvl w:val="0"/>
          <w:numId w:val="10"/>
        </w:numPr>
        <w:jc w:val="both"/>
        <w:rPr>
          <w:i/>
          <w:iCs/>
          <w:sz w:val="24"/>
          <w:szCs w:val="24"/>
        </w:rPr>
      </w:pPr>
      <w:r>
        <w:rPr>
          <w:b/>
          <w:bCs/>
          <w:i/>
          <w:iCs/>
          <w:sz w:val="24"/>
          <w:szCs w:val="24"/>
        </w:rPr>
        <w:t>Cort</w:t>
      </w:r>
      <w:r>
        <w:rPr>
          <w:i/>
          <w:iCs/>
          <w:sz w:val="24"/>
          <w:szCs w:val="24"/>
        </w:rPr>
        <w:t xml:space="preserve"> – construcție în care forma structurală a membranei este asigurată de cabluri tensionate sau elemente portante de tipul grinzilor, stâlpilor sau arcelor. Pentru a fi considerat cort, membrana trebuie să constituie minim </w:t>
      </w:r>
      <w:r>
        <w:rPr>
          <w:b/>
          <w:bCs/>
          <w:i/>
          <w:iCs/>
          <w:sz w:val="24"/>
          <w:szCs w:val="24"/>
        </w:rPr>
        <w:t>75%</w:t>
      </w:r>
      <w:r>
        <w:rPr>
          <w:i/>
          <w:iCs/>
          <w:sz w:val="24"/>
          <w:szCs w:val="24"/>
        </w:rPr>
        <w:t xml:space="preserve"> din anvelopa clădirii.</w:t>
      </w:r>
    </w:p>
    <w:p w14:paraId="59DA3BFC" w14:textId="77777777" w:rsidR="001C08A5" w:rsidRDefault="001C08A5">
      <w:pPr>
        <w:jc w:val="both"/>
        <w:rPr>
          <w:b/>
          <w:bCs/>
          <w:i/>
          <w:iCs/>
          <w:sz w:val="24"/>
          <w:szCs w:val="24"/>
        </w:rPr>
      </w:pPr>
    </w:p>
    <w:p w14:paraId="243C1887" w14:textId="77777777" w:rsidR="001C08A5" w:rsidRDefault="00000000">
      <w:pPr>
        <w:numPr>
          <w:ilvl w:val="0"/>
          <w:numId w:val="10"/>
        </w:numPr>
        <w:jc w:val="both"/>
        <w:rPr>
          <w:b/>
          <w:bCs/>
          <w:i/>
          <w:iCs/>
          <w:sz w:val="24"/>
          <w:szCs w:val="24"/>
        </w:rPr>
      </w:pPr>
      <w:r>
        <w:rPr>
          <w:b/>
          <w:i/>
          <w:iCs/>
          <w:sz w:val="24"/>
          <w:szCs w:val="24"/>
        </w:rPr>
        <w:t xml:space="preserve">Cortină de siguranţă </w:t>
      </w:r>
      <w:r>
        <w:rPr>
          <w:b/>
          <w:i/>
          <w:iCs/>
          <w:sz w:val="24"/>
          <w:szCs w:val="24"/>
          <w:lang w:eastAsia="ro-RO"/>
        </w:rPr>
        <w:t>rezistentă la foc</w:t>
      </w:r>
      <w:r>
        <w:rPr>
          <w:i/>
          <w:iCs/>
          <w:sz w:val="24"/>
          <w:szCs w:val="24"/>
        </w:rPr>
        <w:t xml:space="preserve"> - element mobil de protecţie în caz de incendiu a golurilor funcţionale din pereţii care delimitează încăperi, spații sau compartimente de incendiu. </w:t>
      </w:r>
    </w:p>
    <w:p w14:paraId="3085AEB0" w14:textId="77777777" w:rsidR="001C08A5" w:rsidRDefault="001C08A5">
      <w:pPr>
        <w:jc w:val="both"/>
        <w:rPr>
          <w:b/>
          <w:bCs/>
          <w:i/>
          <w:iCs/>
          <w:sz w:val="24"/>
          <w:szCs w:val="24"/>
        </w:rPr>
      </w:pPr>
    </w:p>
    <w:p w14:paraId="138B5FE5" w14:textId="77777777" w:rsidR="001C08A5" w:rsidRDefault="00000000">
      <w:pPr>
        <w:widowControl w:val="0"/>
        <w:numPr>
          <w:ilvl w:val="0"/>
          <w:numId w:val="10"/>
        </w:numPr>
        <w:jc w:val="both"/>
        <w:rPr>
          <w:i/>
          <w:iCs/>
          <w:sz w:val="24"/>
          <w:szCs w:val="24"/>
        </w:rPr>
      </w:pPr>
      <w:r>
        <w:rPr>
          <w:b/>
          <w:i/>
          <w:iCs/>
          <w:sz w:val="24"/>
          <w:szCs w:val="24"/>
        </w:rPr>
        <w:t>Criterii de performanţă</w:t>
      </w:r>
      <w:r>
        <w:rPr>
          <w:i/>
          <w:iCs/>
          <w:sz w:val="24"/>
          <w:szCs w:val="24"/>
        </w:rPr>
        <w:t xml:space="preserve"> - condiţii specifice în raport de care se evaluează îndeplinirea unei cerinţe de performanţă. </w:t>
      </w:r>
      <w:r>
        <w:rPr>
          <w:b/>
          <w:bCs/>
          <w:i/>
          <w:iCs/>
          <w:sz w:val="24"/>
          <w:szCs w:val="24"/>
        </w:rPr>
        <w:t>Criteriile de performanţă</w:t>
      </w:r>
      <w:r>
        <w:rPr>
          <w:i/>
          <w:iCs/>
          <w:sz w:val="24"/>
          <w:szCs w:val="24"/>
        </w:rPr>
        <w:t xml:space="preserve"> pentru rezistenţa la foc sunt simbolizate astfel:</w:t>
      </w:r>
    </w:p>
    <w:p w14:paraId="64EA9261"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4"/>
          <w:szCs w:val="24"/>
        </w:rPr>
      </w:pPr>
      <w:r>
        <w:rPr>
          <w:b/>
          <w:i/>
          <w:iCs/>
          <w:sz w:val="24"/>
          <w:szCs w:val="24"/>
        </w:rPr>
        <w:t>R -</w:t>
      </w:r>
      <w:r>
        <w:rPr>
          <w:i/>
          <w:iCs/>
          <w:sz w:val="24"/>
          <w:szCs w:val="24"/>
        </w:rPr>
        <w:t xml:space="preserve"> capacitate portantă (aptitudinea elementului de construcţie să reziste la o expunere la foc sub acţiuni mecanice specificate, pe o faţă sau pe mai multe feţe, pe timpul normat, sub acţiuni mecanice specificate, fără pierderea stabilităţii structurale);</w:t>
      </w:r>
    </w:p>
    <w:p w14:paraId="15FE8A4D"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4"/>
          <w:szCs w:val="24"/>
        </w:rPr>
      </w:pPr>
      <w:r>
        <w:rPr>
          <w:b/>
          <w:i/>
          <w:iCs/>
          <w:sz w:val="24"/>
          <w:szCs w:val="24"/>
        </w:rPr>
        <w:t xml:space="preserve">E - </w:t>
      </w:r>
      <w:r>
        <w:rPr>
          <w:i/>
          <w:iCs/>
          <w:sz w:val="24"/>
          <w:szCs w:val="24"/>
        </w:rPr>
        <w:t>etanşeitate la foc (capacitatea unui element de construcţie cu funcţie de separare, de a rezista la expunere la foc pe o faţă, fără transmiterea focului la faţa neexpusă ca rezultat al trecerii flăcărilor sau a gazelor fierbinţi şi care pot provoca aprinderea feţei neexpuse sau a oricărui material situat adiacent acestei suprafeţe);</w:t>
      </w:r>
    </w:p>
    <w:p w14:paraId="610C7780"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4"/>
          <w:szCs w:val="24"/>
        </w:rPr>
      </w:pPr>
      <w:r>
        <w:rPr>
          <w:b/>
          <w:i/>
          <w:iCs/>
          <w:sz w:val="24"/>
          <w:szCs w:val="24"/>
        </w:rPr>
        <w:t xml:space="preserve">I - </w:t>
      </w:r>
      <w:r>
        <w:rPr>
          <w:i/>
          <w:iCs/>
          <w:sz w:val="24"/>
          <w:szCs w:val="24"/>
        </w:rPr>
        <w:t xml:space="preserve">izolare </w:t>
      </w:r>
      <w:hyperlink r:id="rId65" w:history="1">
        <w:r>
          <w:rPr>
            <w:rStyle w:val="Hyperlink"/>
            <w:i/>
            <w:iCs/>
            <w:color w:val="auto"/>
            <w:sz w:val="24"/>
            <w:szCs w:val="24"/>
            <w:u w:val="none"/>
          </w:rPr>
          <w:t xml:space="preserve">termică la foc </w:t>
        </w:r>
        <w:r>
          <w:rPr>
            <w:i/>
            <w:iCs/>
            <w:sz w:val="24"/>
            <w:szCs w:val="24"/>
          </w:rPr>
          <w:t>(capacitatea elementului de construcţie de a rezista la expunere la foc numai pe o faţă, fără propagarea focului ca rezultat al transferului important de căldură de la faţa expusă la faţa neexpusă. Propagarea trebuie limitată, astfel încât, nici suprafaţa neexpusă, nici orice material din imediata vecinătate a acelei suprafeţe, să nu se aprindă. De asemenea, elementul trebuie să asigure o barieră împotriva căldurii, suficientă pentru a proteja persoanele din apropierea sa. În cazul în care un element de construcţie a fost evaluat pentru diferite niveluri de performanţă termică corespunzătoare cu diverse suprafeţe distincte, clasificarea elementului ca ansamblu trebuie dată pe baza timpului cel mai scurt pentru care sunt îndeplinite criteriile de creştere a temperaturii maxime sau medii pe oricare din suprafeţele  distincte.);</w:t>
        </w:r>
      </w:hyperlink>
    </w:p>
    <w:p w14:paraId="365146F0"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i/>
          <w:iCs/>
          <w:sz w:val="22"/>
          <w:szCs w:val="22"/>
        </w:rPr>
      </w:pPr>
      <w:r>
        <w:rPr>
          <w:i/>
          <w:iCs/>
          <w:sz w:val="22"/>
          <w:szCs w:val="22"/>
          <w:u w:val="single"/>
        </w:rPr>
        <w:t>Note (în conformitate cu SR EN 13501-2)</w:t>
      </w:r>
      <w:r>
        <w:rPr>
          <w:i/>
          <w:iCs/>
          <w:sz w:val="22"/>
          <w:szCs w:val="22"/>
        </w:rPr>
        <w:t xml:space="preserve">: </w:t>
      </w:r>
    </w:p>
    <w:p w14:paraId="671B2C11"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i/>
          <w:iCs/>
          <w:sz w:val="22"/>
          <w:szCs w:val="22"/>
        </w:rPr>
      </w:pPr>
      <w:r>
        <w:rPr>
          <w:i/>
          <w:iCs/>
          <w:sz w:val="22"/>
          <w:szCs w:val="22"/>
        </w:rPr>
        <w:t xml:space="preserve">Izolarea termică a elementelor cu excepţia uşilor, obloanelor și ansamblurilor de închidere sisteme de conveiere </w:t>
      </w:r>
    </w:p>
    <w:p w14:paraId="187681F0"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firstLine="720"/>
        <w:jc w:val="both"/>
        <w:rPr>
          <w:i/>
          <w:iCs/>
          <w:sz w:val="22"/>
          <w:szCs w:val="22"/>
        </w:rPr>
      </w:pPr>
      <w:r>
        <w:rPr>
          <w:i/>
          <w:iCs/>
          <w:sz w:val="22"/>
          <w:szCs w:val="22"/>
        </w:rPr>
        <w:t xml:space="preserve">Pentru toate elementele având funcţie de separare cu excepţia uşilor și obloanelor, nivelul de performanţă folosit pentru a defini izolarea termică trebuie să fie creşterea temperaturii medii pe faţa neexpusă limitată la 140 </w:t>
      </w:r>
      <w:r>
        <w:rPr>
          <w:i/>
          <w:iCs/>
          <w:sz w:val="22"/>
          <w:szCs w:val="22"/>
          <w:vertAlign w:val="superscript"/>
        </w:rPr>
        <w:t>o</w:t>
      </w:r>
      <w:r>
        <w:rPr>
          <w:i/>
          <w:iCs/>
          <w:sz w:val="22"/>
          <w:szCs w:val="22"/>
        </w:rPr>
        <w:t xml:space="preserve">C peste temperatura medie iniţială, cu creşterea temperaturii maxime în orice punct limitată la 180 </w:t>
      </w:r>
      <w:r>
        <w:rPr>
          <w:i/>
          <w:iCs/>
          <w:sz w:val="22"/>
          <w:szCs w:val="22"/>
          <w:vertAlign w:val="superscript"/>
        </w:rPr>
        <w:t>o</w:t>
      </w:r>
      <w:r>
        <w:rPr>
          <w:i/>
          <w:iCs/>
          <w:sz w:val="22"/>
          <w:szCs w:val="22"/>
        </w:rPr>
        <w:t>C peste temperatura medie iniţială.</w:t>
      </w:r>
    </w:p>
    <w:p w14:paraId="15638E09"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firstLine="720"/>
        <w:jc w:val="both"/>
        <w:rPr>
          <w:i/>
          <w:iCs/>
          <w:sz w:val="22"/>
          <w:szCs w:val="22"/>
        </w:rPr>
      </w:pPr>
      <w:r>
        <w:rPr>
          <w:i/>
          <w:iCs/>
          <w:sz w:val="22"/>
          <w:szCs w:val="22"/>
        </w:rPr>
        <w:t>În cazul elementelor cu suprafeţe mici (precum etanşări de rost) conceptul de creştere a temperaturii medii este irelevant şi izolarea termică trebuie evaluată numai pe baza temperaturii maxime</w:t>
      </w:r>
    </w:p>
    <w:p w14:paraId="274CAB70"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firstLine="720"/>
        <w:jc w:val="both"/>
        <w:rPr>
          <w:i/>
          <w:iCs/>
          <w:sz w:val="22"/>
          <w:szCs w:val="22"/>
        </w:rPr>
      </w:pPr>
      <w:r>
        <w:rPr>
          <w:i/>
          <w:iCs/>
          <w:sz w:val="22"/>
          <w:szCs w:val="22"/>
        </w:rPr>
        <w:t>Neîndeplinirea oricărui criteriu de capacitate portantă sau de etanşeitate la foc trebuie să însemne de asemenea și neîndeplinirea criteriului de izolare termică, indiferent dacă au fost depăşite sau nu limitele de temperatură ale izolării termice specifice.</w:t>
      </w:r>
    </w:p>
    <w:p w14:paraId="4359BC0F"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i/>
          <w:iCs/>
          <w:sz w:val="22"/>
          <w:szCs w:val="22"/>
        </w:rPr>
      </w:pPr>
      <w:r>
        <w:rPr>
          <w:i/>
          <w:iCs/>
          <w:sz w:val="22"/>
          <w:szCs w:val="22"/>
        </w:rPr>
        <w:t>Izolarea termică a uşilor și obloanelor</w:t>
      </w:r>
    </w:p>
    <w:p w14:paraId="64905327"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firstLine="720"/>
        <w:jc w:val="both"/>
        <w:rPr>
          <w:i/>
          <w:iCs/>
          <w:sz w:val="22"/>
          <w:szCs w:val="22"/>
        </w:rPr>
      </w:pPr>
      <w:r>
        <w:rPr>
          <w:i/>
          <w:iCs/>
          <w:sz w:val="22"/>
          <w:szCs w:val="22"/>
        </w:rPr>
        <w:lastRenderedPageBreak/>
        <w:t>În cazul specific al uşilor și obloanelor, trebuie utilizată una dintre cele două opţiuni pentru criteriul de izolare termică:</w:t>
      </w:r>
    </w:p>
    <w:p w14:paraId="0FD2F8DB"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2"/>
          <w:szCs w:val="22"/>
          <w:vertAlign w:val="subscript"/>
        </w:rPr>
      </w:pPr>
      <w:r>
        <w:rPr>
          <w:i/>
          <w:iCs/>
          <w:sz w:val="22"/>
          <w:szCs w:val="22"/>
        </w:rPr>
        <w:t>- Izolare termică I</w:t>
      </w:r>
      <w:r>
        <w:rPr>
          <w:i/>
          <w:iCs/>
          <w:sz w:val="22"/>
          <w:szCs w:val="22"/>
          <w:vertAlign w:val="subscript"/>
        </w:rPr>
        <w:t>1</w:t>
      </w:r>
    </w:p>
    <w:p w14:paraId="2BA19C70"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2"/>
          <w:szCs w:val="22"/>
        </w:rPr>
      </w:pPr>
      <w:r>
        <w:rPr>
          <w:i/>
          <w:iCs/>
          <w:sz w:val="22"/>
          <w:szCs w:val="22"/>
        </w:rPr>
        <w:t xml:space="preserve">Creşterea temperaturii medii pe faţa neexpusă a canatului uşii nu trebuie să depășească 140 </w:t>
      </w:r>
      <w:r>
        <w:rPr>
          <w:i/>
          <w:iCs/>
          <w:sz w:val="22"/>
          <w:szCs w:val="22"/>
          <w:vertAlign w:val="superscript"/>
        </w:rPr>
        <w:t>o</w:t>
      </w:r>
      <w:r>
        <w:rPr>
          <w:i/>
          <w:iCs/>
          <w:sz w:val="22"/>
          <w:szCs w:val="22"/>
        </w:rPr>
        <w:t xml:space="preserve">C peste temperatura medie iniţială, cu creşterea temperaturii maxime în orice punct al canatului uşii limitată la 180 </w:t>
      </w:r>
      <w:r>
        <w:rPr>
          <w:i/>
          <w:iCs/>
          <w:sz w:val="22"/>
          <w:szCs w:val="22"/>
          <w:vertAlign w:val="superscript"/>
        </w:rPr>
        <w:t>o</w:t>
      </w:r>
      <w:r>
        <w:rPr>
          <w:i/>
          <w:iCs/>
          <w:sz w:val="22"/>
          <w:szCs w:val="22"/>
        </w:rPr>
        <w:t xml:space="preserve">C. Nu trebuie efectuate măsurători de temperatură pe canatul uşii la mai puțin de 25 mm de limita părţii vizibile a canatului uşii. Creşterea temperaturii în orice punct pe cadru nu trebuie să depășească 180 </w:t>
      </w:r>
      <w:r>
        <w:rPr>
          <w:i/>
          <w:iCs/>
          <w:sz w:val="22"/>
          <w:szCs w:val="22"/>
          <w:vertAlign w:val="superscript"/>
        </w:rPr>
        <w:t>o</w:t>
      </w:r>
      <w:r>
        <w:rPr>
          <w:i/>
          <w:iCs/>
          <w:sz w:val="22"/>
          <w:szCs w:val="22"/>
        </w:rPr>
        <w:t>C, măsurată la 100 mm de marginea vizibilă (pe faţa neexpusă) a canatului uşii, în cazul în care cadrul este mai lat de 100 mm, altfel trebuie măsurată amplasând centrul discului la 20 mm de joncțiunea dintre cadrul ușii și construcția suport.</w:t>
      </w:r>
    </w:p>
    <w:p w14:paraId="71FB34F9"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rFonts w:eastAsia="Times New Roman"/>
          <w:i/>
          <w:iCs/>
          <w:sz w:val="22"/>
          <w:szCs w:val="22"/>
          <w:vertAlign w:val="subscript"/>
        </w:rPr>
      </w:pPr>
      <w:r>
        <w:rPr>
          <w:i/>
          <w:iCs/>
          <w:sz w:val="22"/>
          <w:szCs w:val="22"/>
        </w:rPr>
        <w:t xml:space="preserve">- </w:t>
      </w:r>
      <w:r>
        <w:rPr>
          <w:rFonts w:eastAsia="Times New Roman"/>
          <w:i/>
          <w:iCs/>
          <w:sz w:val="22"/>
          <w:szCs w:val="22"/>
        </w:rPr>
        <w:t>Izolare termică I</w:t>
      </w:r>
      <w:r>
        <w:rPr>
          <w:rFonts w:eastAsia="Times New Roman"/>
          <w:i/>
          <w:iCs/>
          <w:sz w:val="22"/>
          <w:szCs w:val="22"/>
          <w:vertAlign w:val="subscript"/>
        </w:rPr>
        <w:t>2</w:t>
      </w:r>
    </w:p>
    <w:p w14:paraId="4D2C2ED1"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rFonts w:eastAsia="Times New Roman"/>
          <w:i/>
          <w:iCs/>
          <w:sz w:val="22"/>
          <w:szCs w:val="22"/>
        </w:rPr>
      </w:pPr>
      <w:r>
        <w:rPr>
          <w:rFonts w:eastAsia="Times New Roman"/>
          <w:i/>
          <w:iCs/>
          <w:sz w:val="22"/>
          <w:szCs w:val="22"/>
        </w:rPr>
        <w:t xml:space="preserve">Creşterea temperaturii medii pe faţa neexpusă a canatului uşii nu trebuie să depășească 140 </w:t>
      </w:r>
      <w:r>
        <w:rPr>
          <w:rFonts w:eastAsia="Times New Roman"/>
          <w:i/>
          <w:iCs/>
          <w:sz w:val="22"/>
          <w:szCs w:val="22"/>
          <w:vertAlign w:val="superscript"/>
        </w:rPr>
        <w:t>o</w:t>
      </w:r>
      <w:r>
        <w:rPr>
          <w:rFonts w:eastAsia="Times New Roman"/>
          <w:i/>
          <w:iCs/>
          <w:sz w:val="22"/>
          <w:szCs w:val="22"/>
        </w:rPr>
        <w:t xml:space="preserve">C peste temperatura medie iniţială, cu creşterea temperaturii maxime în orice punct al canatului uşii limitată la 180 </w:t>
      </w:r>
      <w:r>
        <w:rPr>
          <w:rFonts w:eastAsia="Times New Roman"/>
          <w:i/>
          <w:iCs/>
          <w:sz w:val="22"/>
          <w:szCs w:val="22"/>
          <w:vertAlign w:val="superscript"/>
        </w:rPr>
        <w:t>o</w:t>
      </w:r>
      <w:r>
        <w:rPr>
          <w:rFonts w:eastAsia="Times New Roman"/>
          <w:i/>
          <w:iCs/>
          <w:sz w:val="22"/>
          <w:szCs w:val="22"/>
        </w:rPr>
        <w:t xml:space="preserve">C. Nu trebuie efectuate măsurători de temperatură pe canatul uşii la mai puțin de 100 mm de limita părţii vizibile a canatului uşii. Creşterea temperaturii în orice punct pe cadru nu trebuie să depășească 360 </w:t>
      </w:r>
      <w:r>
        <w:rPr>
          <w:rFonts w:eastAsia="Times New Roman"/>
          <w:i/>
          <w:iCs/>
          <w:sz w:val="22"/>
          <w:szCs w:val="22"/>
          <w:vertAlign w:val="superscript"/>
        </w:rPr>
        <w:t>o</w:t>
      </w:r>
      <w:r>
        <w:rPr>
          <w:rFonts w:eastAsia="Times New Roman"/>
          <w:i/>
          <w:iCs/>
          <w:sz w:val="22"/>
          <w:szCs w:val="22"/>
        </w:rPr>
        <w:t xml:space="preserve">C, măsurată la 100 mm de marginea vizibilă (pe faţa neexpusă) a canatului uşii, în cazul în care cadrul este mai lat de 100 mm, în caz contrar trebuie măsurată la limita de separație cadru/construcţie suport. </w:t>
      </w:r>
    </w:p>
    <w:p w14:paraId="330CD33B"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rFonts w:eastAsia="Times New Roman"/>
          <w:i/>
          <w:iCs/>
          <w:sz w:val="22"/>
          <w:szCs w:val="22"/>
        </w:rPr>
      </w:pPr>
      <w:r>
        <w:rPr>
          <w:rFonts w:eastAsia="Times New Roman"/>
          <w:i/>
          <w:iCs/>
          <w:sz w:val="22"/>
          <w:szCs w:val="22"/>
        </w:rPr>
        <w:t>Clasificarea izolării termice trebuie specificată prin utilizarea sufixelor 1 și 2 care corespund, respectiv, celor două definiţii de mai sus (de exemplu I</w:t>
      </w:r>
      <w:r>
        <w:rPr>
          <w:rFonts w:eastAsia="Times New Roman"/>
          <w:i/>
          <w:iCs/>
          <w:sz w:val="22"/>
          <w:szCs w:val="22"/>
          <w:vertAlign w:val="subscript"/>
        </w:rPr>
        <w:t>1</w:t>
      </w:r>
      <w:r>
        <w:rPr>
          <w:rFonts w:eastAsia="Times New Roman"/>
          <w:i/>
          <w:iCs/>
          <w:sz w:val="22"/>
          <w:szCs w:val="22"/>
        </w:rPr>
        <w:t>). Aceste sufixe trebuie utilizate numai pentru uşi și obloane rezistente la foc și închideri pentru sisteme de conveiere, însă nu pentru oricare alt element cu o clasificare I.</w:t>
      </w:r>
    </w:p>
    <w:p w14:paraId="0E1046F8"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rFonts w:eastAsia="Times New Roman"/>
          <w:i/>
          <w:iCs/>
          <w:sz w:val="22"/>
          <w:szCs w:val="22"/>
        </w:rPr>
      </w:pPr>
      <w:r>
        <w:rPr>
          <w:rFonts w:eastAsia="Times New Roman"/>
          <w:i/>
          <w:iCs/>
          <w:sz w:val="22"/>
          <w:szCs w:val="22"/>
        </w:rPr>
        <w:t>Neîndeplinirea criteriului de etanşeitate la foc trebuie să însemne de asemenea și neîndeplinirea criteriului de izolare termică, indiferent dacă au fost depăşite sau nu limitele de temperatură ale izolării termice specifice.</w:t>
      </w:r>
    </w:p>
    <w:p w14:paraId="217F44FA"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i/>
          <w:iCs/>
          <w:sz w:val="22"/>
          <w:szCs w:val="22"/>
        </w:rPr>
      </w:pPr>
      <w:r>
        <w:rPr>
          <w:i/>
          <w:iCs/>
          <w:sz w:val="22"/>
          <w:szCs w:val="22"/>
        </w:rPr>
        <w:t>Izolarea termică a ansamblurilor de închidere sisteme de conveiere</w:t>
      </w:r>
    </w:p>
    <w:p w14:paraId="2A85FD18"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firstLine="720"/>
        <w:jc w:val="both"/>
        <w:rPr>
          <w:i/>
          <w:iCs/>
          <w:sz w:val="22"/>
          <w:szCs w:val="22"/>
        </w:rPr>
      </w:pPr>
      <w:r>
        <w:rPr>
          <w:i/>
          <w:iCs/>
          <w:sz w:val="22"/>
          <w:szCs w:val="22"/>
        </w:rPr>
        <w:t>În cazul specific al ansamblurilor de închidere sisteme de conveiere, trebuie utilizată una dintre cele trei opţiuni ale criteriului de izolare termică:</w:t>
      </w:r>
    </w:p>
    <w:p w14:paraId="714B4620"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2"/>
          <w:szCs w:val="22"/>
        </w:rPr>
      </w:pPr>
      <w:r>
        <w:rPr>
          <w:i/>
          <w:iCs/>
          <w:sz w:val="22"/>
          <w:szCs w:val="22"/>
        </w:rPr>
        <w:t>Izolare termică I</w:t>
      </w:r>
      <w:r>
        <w:rPr>
          <w:i/>
          <w:iCs/>
          <w:sz w:val="22"/>
          <w:szCs w:val="22"/>
          <w:vertAlign w:val="subscript"/>
        </w:rPr>
        <w:t>1</w:t>
      </w:r>
    </w:p>
    <w:p w14:paraId="6FCE339B"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2"/>
          <w:szCs w:val="22"/>
        </w:rPr>
      </w:pPr>
      <w:r>
        <w:rPr>
          <w:i/>
          <w:iCs/>
          <w:sz w:val="22"/>
          <w:szCs w:val="22"/>
        </w:rPr>
        <w:t xml:space="preserve">Creşterea temperaturii medii pe faţa neexpusă a canatului închiderii nu trebuie să depășească 140 </w:t>
      </w:r>
      <w:r>
        <w:rPr>
          <w:i/>
          <w:iCs/>
          <w:sz w:val="22"/>
          <w:szCs w:val="22"/>
          <w:vertAlign w:val="superscript"/>
        </w:rPr>
        <w:t>o</w:t>
      </w:r>
      <w:r>
        <w:rPr>
          <w:i/>
          <w:iCs/>
          <w:sz w:val="22"/>
          <w:szCs w:val="22"/>
        </w:rPr>
        <w:t xml:space="preserve">C, peste temperatura medie iniţială, cu creşterea temperaturii maxime în orice punct al canatului închiderii limitată la 180 </w:t>
      </w:r>
      <w:r>
        <w:rPr>
          <w:i/>
          <w:iCs/>
          <w:sz w:val="22"/>
          <w:szCs w:val="22"/>
          <w:vertAlign w:val="superscript"/>
        </w:rPr>
        <w:t>o</w:t>
      </w:r>
      <w:r>
        <w:rPr>
          <w:i/>
          <w:iCs/>
          <w:sz w:val="22"/>
          <w:szCs w:val="22"/>
        </w:rPr>
        <w:t xml:space="preserve">C. Nu trebuie efectuate măsurători de temperatură pe canatul închiderii la mai puțin de 25 mm de limita părţii vizibile a canatului închiderii. Creşterea temperaturii în orice punct pe cadru/ghidaj nu trebuie să depășească 180 </w:t>
      </w:r>
      <w:r>
        <w:rPr>
          <w:i/>
          <w:iCs/>
          <w:sz w:val="22"/>
          <w:szCs w:val="22"/>
          <w:vertAlign w:val="superscript"/>
        </w:rPr>
        <w:t>o</w:t>
      </w:r>
      <w:r>
        <w:rPr>
          <w:i/>
          <w:iCs/>
          <w:sz w:val="22"/>
          <w:szCs w:val="22"/>
        </w:rPr>
        <w:t>C, măsurată la 100 mm de marginea vizibilă (pe faţa neexpusă) a canatului închiderii, în cazul în care cadrul/ghidajul este mai lat de 100 mm, altfel trebuie măsurată la limita de separație cadru/construcţie suport.</w:t>
      </w:r>
    </w:p>
    <w:p w14:paraId="549EB66C"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2"/>
          <w:szCs w:val="22"/>
        </w:rPr>
      </w:pPr>
      <w:r>
        <w:rPr>
          <w:i/>
          <w:iCs/>
          <w:sz w:val="22"/>
          <w:szCs w:val="22"/>
        </w:rPr>
        <w:t>Izolare termică I</w:t>
      </w:r>
      <w:r>
        <w:rPr>
          <w:i/>
          <w:iCs/>
          <w:sz w:val="22"/>
          <w:szCs w:val="22"/>
          <w:vertAlign w:val="subscript"/>
        </w:rPr>
        <w:t>2</w:t>
      </w:r>
    </w:p>
    <w:p w14:paraId="67C9237A"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2"/>
          <w:szCs w:val="22"/>
        </w:rPr>
      </w:pPr>
      <w:r>
        <w:rPr>
          <w:i/>
          <w:iCs/>
          <w:sz w:val="22"/>
          <w:szCs w:val="22"/>
        </w:rPr>
        <w:t xml:space="preserve">Creşterea temperaturii medii pe faţa neexpusă a canatului închiderii nu trebuie să depășească 140 </w:t>
      </w:r>
      <w:r>
        <w:rPr>
          <w:i/>
          <w:iCs/>
          <w:sz w:val="22"/>
          <w:szCs w:val="22"/>
          <w:vertAlign w:val="superscript"/>
        </w:rPr>
        <w:t>o</w:t>
      </w:r>
      <w:r>
        <w:rPr>
          <w:i/>
          <w:iCs/>
          <w:sz w:val="22"/>
          <w:szCs w:val="22"/>
        </w:rPr>
        <w:t xml:space="preserve">C peste temperatura medie iniţială, cu creşterea temperaturii maxime în orice punct al canatului închiderii limitată la 180 </w:t>
      </w:r>
      <w:r>
        <w:rPr>
          <w:i/>
          <w:iCs/>
          <w:sz w:val="22"/>
          <w:szCs w:val="22"/>
          <w:vertAlign w:val="superscript"/>
        </w:rPr>
        <w:t>o</w:t>
      </w:r>
      <w:r>
        <w:rPr>
          <w:i/>
          <w:iCs/>
          <w:sz w:val="22"/>
          <w:szCs w:val="22"/>
        </w:rPr>
        <w:t xml:space="preserve">C. Nu trebuie efectuate măsurători de temperatură pe canatul uşii la mai puțin de 100 mm de limita părţii vizibile a canatului închiderii. Creşterea temperaturii în orice punct pe cadru/ghidaj nu trebuie să depășească 360 </w:t>
      </w:r>
      <w:r>
        <w:rPr>
          <w:i/>
          <w:iCs/>
          <w:sz w:val="22"/>
          <w:szCs w:val="22"/>
          <w:vertAlign w:val="superscript"/>
        </w:rPr>
        <w:t>o</w:t>
      </w:r>
      <w:r>
        <w:rPr>
          <w:i/>
          <w:iCs/>
          <w:sz w:val="22"/>
          <w:szCs w:val="22"/>
        </w:rPr>
        <w:t>C, măsurată la 100 mm de marginea vizibilă (pe faţa neexpusă) a canatului închiderii, în cazul în care cadrul este mai lat de 100 mm, altfel trebuie măsurată la limita de separație cadru/construcţie suport.</w:t>
      </w:r>
    </w:p>
    <w:p w14:paraId="2A62DBC9"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2"/>
          <w:szCs w:val="22"/>
        </w:rPr>
      </w:pPr>
      <w:r>
        <w:rPr>
          <w:i/>
          <w:iCs/>
          <w:sz w:val="22"/>
          <w:szCs w:val="22"/>
        </w:rPr>
        <w:t>Izolare termică I</w:t>
      </w:r>
    </w:p>
    <w:p w14:paraId="2D96670B"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2"/>
          <w:szCs w:val="22"/>
        </w:rPr>
      </w:pPr>
      <w:r>
        <w:rPr>
          <w:i/>
          <w:iCs/>
          <w:sz w:val="22"/>
          <w:szCs w:val="22"/>
        </w:rPr>
        <w:t>În acele cazuri în care epruveta este o configuraţie tip ţeavă sau o conductă fără nici o evaluare a închiderii pentru sistemul conveier, nu este posibilă o clasificare I</w:t>
      </w:r>
      <w:r>
        <w:rPr>
          <w:i/>
          <w:iCs/>
          <w:sz w:val="22"/>
          <w:szCs w:val="22"/>
          <w:vertAlign w:val="subscript"/>
        </w:rPr>
        <w:t>1</w:t>
      </w:r>
      <w:r>
        <w:rPr>
          <w:i/>
          <w:iCs/>
          <w:sz w:val="22"/>
          <w:szCs w:val="22"/>
        </w:rPr>
        <w:t xml:space="preserve"> sau I</w:t>
      </w:r>
      <w:r>
        <w:rPr>
          <w:i/>
          <w:iCs/>
          <w:sz w:val="22"/>
          <w:szCs w:val="22"/>
          <w:vertAlign w:val="subscript"/>
        </w:rPr>
        <w:t>2</w:t>
      </w:r>
      <w:r>
        <w:rPr>
          <w:i/>
          <w:iCs/>
          <w:sz w:val="22"/>
          <w:szCs w:val="22"/>
        </w:rPr>
        <w:t>. În acest caz trebuie utilizată o clasificare I.</w:t>
      </w:r>
    </w:p>
    <w:p w14:paraId="7DFBCD3C"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2"/>
          <w:szCs w:val="22"/>
        </w:rPr>
      </w:pPr>
      <w:r>
        <w:rPr>
          <w:i/>
          <w:iCs/>
          <w:sz w:val="22"/>
          <w:szCs w:val="22"/>
        </w:rPr>
        <w:t>Atunci când o epruvetă încorporează o închidere pentru un sistem conveier împreună cu o trecere şi componentele sale de trecere, aceasta trebuie să aibă drept rezultat o clasificare I alocată componentei de trecere sau etanşării pătrunderii. Ansamblul complet închidere şi sistem de transport trebuie clasificat totuşi folosind indicele corespunzător pentru I</w:t>
      </w:r>
      <w:r>
        <w:rPr>
          <w:i/>
          <w:iCs/>
          <w:sz w:val="22"/>
          <w:szCs w:val="22"/>
          <w:vertAlign w:val="subscript"/>
        </w:rPr>
        <w:t>1</w:t>
      </w:r>
      <w:r>
        <w:rPr>
          <w:i/>
          <w:iCs/>
          <w:sz w:val="22"/>
          <w:szCs w:val="22"/>
        </w:rPr>
        <w:t xml:space="preserve"> sau I</w:t>
      </w:r>
      <w:r>
        <w:rPr>
          <w:i/>
          <w:iCs/>
          <w:sz w:val="22"/>
          <w:szCs w:val="22"/>
          <w:vertAlign w:val="subscript"/>
        </w:rPr>
        <w:t>2</w:t>
      </w:r>
      <w:r>
        <w:rPr>
          <w:i/>
          <w:iCs/>
          <w:sz w:val="22"/>
          <w:szCs w:val="22"/>
        </w:rPr>
        <w:t xml:space="preserve"> pentru a distinge între două posibile căi de evaluare a închiderii pentru sistemul de transport.</w:t>
      </w:r>
    </w:p>
    <w:p w14:paraId="3FFD7880"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firstLine="720"/>
        <w:jc w:val="both"/>
        <w:rPr>
          <w:i/>
          <w:iCs/>
          <w:sz w:val="22"/>
          <w:szCs w:val="22"/>
        </w:rPr>
      </w:pPr>
      <w:r>
        <w:rPr>
          <w:i/>
          <w:iCs/>
          <w:sz w:val="22"/>
          <w:szCs w:val="22"/>
        </w:rPr>
        <w:lastRenderedPageBreak/>
        <w:t>Neîndeplinirea oricărui criteriu de etanşeitate la foc trebuie să însemne de asemenea și neîndeplinirea criteriului de izolare termică, indiferent dacă au fost depăşite sau nu limitele de temperatură ale izolării termice specifice.</w:t>
      </w:r>
      <w:bookmarkStart w:id="235" w:name="_Toc208241603"/>
      <w:bookmarkStart w:id="236" w:name="_Toc257098285"/>
      <w:bookmarkStart w:id="237" w:name="_Toc257183537"/>
      <w:bookmarkStart w:id="238" w:name="_Toc519167830"/>
      <w:bookmarkStart w:id="239" w:name="_Toc257098368"/>
      <w:bookmarkStart w:id="240" w:name="_Toc257183442"/>
    </w:p>
    <w:p w14:paraId="7A048A28"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i/>
          <w:iCs/>
          <w:sz w:val="22"/>
          <w:szCs w:val="22"/>
          <w:u w:val="single"/>
        </w:rPr>
      </w:pPr>
      <w:r>
        <w:rPr>
          <w:i/>
          <w:iCs/>
          <w:sz w:val="22"/>
          <w:szCs w:val="22"/>
          <w:u w:val="single"/>
        </w:rPr>
        <w:t>Clasificări specifice</w:t>
      </w:r>
      <w:bookmarkStart w:id="241" w:name="_Toc208241604"/>
      <w:bookmarkStart w:id="242" w:name="_Toc519167831"/>
      <w:bookmarkStart w:id="243" w:name="_Toc257183538"/>
      <w:bookmarkStart w:id="244" w:name="_Toc257098369"/>
      <w:bookmarkStart w:id="245" w:name="_Toc257098286"/>
      <w:bookmarkStart w:id="246" w:name="_Toc257183443"/>
      <w:bookmarkEnd w:id="235"/>
      <w:bookmarkEnd w:id="236"/>
      <w:bookmarkEnd w:id="237"/>
      <w:bookmarkEnd w:id="238"/>
      <w:bookmarkEnd w:id="239"/>
      <w:bookmarkEnd w:id="240"/>
    </w:p>
    <w:p w14:paraId="1B35218F"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20"/>
        <w:jc w:val="both"/>
        <w:rPr>
          <w:i/>
          <w:iCs/>
          <w:sz w:val="22"/>
          <w:szCs w:val="22"/>
          <w:u w:val="single"/>
        </w:rPr>
      </w:pPr>
      <w:r>
        <w:rPr>
          <w:i/>
          <w:iCs/>
          <w:sz w:val="22"/>
          <w:szCs w:val="22"/>
          <w:u w:val="single"/>
        </w:rPr>
        <w:t>Uşi și obloane rezistente la foc</w:t>
      </w:r>
      <w:bookmarkEnd w:id="241"/>
      <w:bookmarkEnd w:id="242"/>
      <w:bookmarkEnd w:id="243"/>
      <w:bookmarkEnd w:id="244"/>
      <w:bookmarkEnd w:id="245"/>
      <w:bookmarkEnd w:id="246"/>
    </w:p>
    <w:p w14:paraId="60553CB2"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i/>
          <w:iCs/>
          <w:sz w:val="22"/>
          <w:szCs w:val="22"/>
        </w:rPr>
      </w:pPr>
      <w:r>
        <w:rPr>
          <w:i/>
          <w:iCs/>
          <w:sz w:val="22"/>
          <w:szCs w:val="22"/>
        </w:rPr>
        <w:tab/>
        <w:t xml:space="preserve">În cazul specific al uşilor și obloanelor pentru criteriul de izolare termică sunt definite două criterii diferite. De aceea clasificarea trebuie făcută în mod specific prin utilizarea unuia din sufixele 1 sau 2 pentru a indica subclasa. </w:t>
      </w:r>
    </w:p>
    <w:p w14:paraId="41065906"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i/>
          <w:iCs/>
          <w:sz w:val="22"/>
          <w:szCs w:val="22"/>
        </w:rPr>
      </w:pPr>
      <w:r>
        <w:rPr>
          <w:i/>
          <w:iCs/>
          <w:sz w:val="22"/>
          <w:szCs w:val="22"/>
        </w:rPr>
        <w:tab/>
        <w:t>Atunci când rezultatele încercării şi rezultatele aplicării extinse conduc la o diferenţă în timpul de neîndeplinire pentru I</w:t>
      </w:r>
      <w:r>
        <w:rPr>
          <w:i/>
          <w:iCs/>
          <w:sz w:val="22"/>
          <w:szCs w:val="22"/>
          <w:vertAlign w:val="subscript"/>
        </w:rPr>
        <w:t>1</w:t>
      </w:r>
      <w:r>
        <w:rPr>
          <w:i/>
          <w:iCs/>
          <w:sz w:val="22"/>
          <w:szCs w:val="22"/>
        </w:rPr>
        <w:t xml:space="preserve"> şi I</w:t>
      </w:r>
      <w:r>
        <w:rPr>
          <w:i/>
          <w:iCs/>
          <w:sz w:val="22"/>
          <w:szCs w:val="22"/>
          <w:vertAlign w:val="subscript"/>
        </w:rPr>
        <w:t>2</w:t>
      </w:r>
      <w:r>
        <w:rPr>
          <w:i/>
          <w:iCs/>
          <w:sz w:val="22"/>
          <w:szCs w:val="22"/>
        </w:rPr>
        <w:t>, elementul poate avea mai mult decât o clasificare. De exemplu, o uşă care nu îndeplineşte primul criteriu de izolare termică după 50 min și al doilea criteriu după 70 min (E nefiind îndeplinit după 95 min) trebuie clasificat EI</w:t>
      </w:r>
      <w:r>
        <w:rPr>
          <w:i/>
          <w:iCs/>
          <w:sz w:val="22"/>
          <w:szCs w:val="22"/>
          <w:vertAlign w:val="subscript"/>
        </w:rPr>
        <w:t xml:space="preserve">1  </w:t>
      </w:r>
      <w:r>
        <w:rPr>
          <w:i/>
          <w:iCs/>
          <w:sz w:val="22"/>
          <w:szCs w:val="22"/>
        </w:rPr>
        <w:t>45/EI</w:t>
      </w:r>
      <w:r>
        <w:rPr>
          <w:i/>
          <w:iCs/>
          <w:sz w:val="22"/>
          <w:szCs w:val="22"/>
          <w:vertAlign w:val="subscript"/>
        </w:rPr>
        <w:t xml:space="preserve">2  </w:t>
      </w:r>
      <w:r>
        <w:rPr>
          <w:i/>
          <w:iCs/>
          <w:sz w:val="22"/>
          <w:szCs w:val="22"/>
        </w:rPr>
        <w:t xml:space="preserve">60/E 90. </w:t>
      </w:r>
    </w:p>
    <w:p w14:paraId="2B920549"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i/>
          <w:iCs/>
          <w:sz w:val="22"/>
          <w:szCs w:val="22"/>
        </w:rPr>
      </w:pPr>
      <w:r>
        <w:rPr>
          <w:i/>
          <w:iCs/>
          <w:sz w:val="22"/>
          <w:szCs w:val="22"/>
        </w:rPr>
        <w:tab/>
        <w:t>Atunci când diferenţa de performanţă nu conduce la o diferenţă de clasificare, elementul trebuie clasificat cu sufixul cerinţei celei mai severe. Sufixul 1 indică aici că uşa îndeplineşte de asemenea cel de al doilea criteriu de izolare termică. De exemplu, o uşă care nu îndeplineşte primul criteriu de izolare după 50 min și pe cel de al doilea după 55 min (E nefiind îndeplinit după 70 min) trebuie clasificat EI</w:t>
      </w:r>
      <w:r>
        <w:rPr>
          <w:i/>
          <w:iCs/>
          <w:sz w:val="22"/>
          <w:szCs w:val="22"/>
          <w:vertAlign w:val="subscript"/>
        </w:rPr>
        <w:t>1</w:t>
      </w:r>
      <w:r>
        <w:rPr>
          <w:i/>
          <w:iCs/>
          <w:sz w:val="22"/>
          <w:szCs w:val="22"/>
        </w:rPr>
        <w:t xml:space="preserve"> 45/E 60.</w:t>
      </w:r>
      <w:bookmarkStart w:id="247" w:name="_Toc519167832"/>
    </w:p>
    <w:p w14:paraId="1BE18DA6"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20"/>
        <w:jc w:val="both"/>
        <w:rPr>
          <w:i/>
          <w:iCs/>
          <w:sz w:val="22"/>
          <w:szCs w:val="22"/>
        </w:rPr>
      </w:pPr>
      <w:r>
        <w:rPr>
          <w:i/>
          <w:iCs/>
          <w:sz w:val="22"/>
          <w:szCs w:val="22"/>
          <w:u w:val="single"/>
        </w:rPr>
        <w:t>Închideri de trecere pentru sisteme de conveiere</w:t>
      </w:r>
      <w:bookmarkEnd w:id="247"/>
    </w:p>
    <w:p w14:paraId="3703E1C3"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i/>
          <w:iCs/>
          <w:sz w:val="22"/>
          <w:szCs w:val="22"/>
        </w:rPr>
      </w:pPr>
      <w:r>
        <w:rPr>
          <w:i/>
          <w:iCs/>
          <w:sz w:val="22"/>
          <w:szCs w:val="22"/>
        </w:rPr>
        <w:tab/>
        <w:t>În cazul specific al ansamblurilor de închidere sisteme conveiere, pentru criteriul de izolare termică sunt definite trei niveluri diferite. De aceea clasificarea trebuie făcută specific prin utilizarea unuia din sufixele 1 sau 2, după caz,  pentru a indica orice subclasă. De exemplu ansamblul complet de închidere sisteme conveiere, trebuie să aibă una sau mai multe din următoarele clasificări pentru diferite epruvete: EI</w:t>
      </w:r>
      <w:r>
        <w:rPr>
          <w:i/>
          <w:iCs/>
          <w:sz w:val="22"/>
          <w:szCs w:val="22"/>
          <w:vertAlign w:val="subscript"/>
        </w:rPr>
        <w:t xml:space="preserve">1 </w:t>
      </w:r>
      <w:r>
        <w:rPr>
          <w:i/>
          <w:iCs/>
          <w:sz w:val="22"/>
          <w:szCs w:val="22"/>
        </w:rPr>
        <w:t>45, EI</w:t>
      </w:r>
      <w:r>
        <w:rPr>
          <w:i/>
          <w:iCs/>
          <w:sz w:val="22"/>
          <w:szCs w:val="22"/>
          <w:vertAlign w:val="subscript"/>
        </w:rPr>
        <w:t>2</w:t>
      </w:r>
      <w:r>
        <w:rPr>
          <w:i/>
          <w:iCs/>
          <w:sz w:val="22"/>
          <w:szCs w:val="22"/>
        </w:rPr>
        <w:t xml:space="preserve"> 60, EI 90, E 120. De asemenea, trebuie aplicate principiile clasificării etanşeităţii la foc date la ansamblurile de închidere sisteme conveiere.</w:t>
      </w:r>
    </w:p>
    <w:p w14:paraId="2AF8C21E"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b/>
          <w:i/>
          <w:iCs/>
          <w:sz w:val="24"/>
          <w:szCs w:val="24"/>
        </w:rPr>
      </w:pPr>
      <w:r>
        <w:rPr>
          <w:b/>
          <w:i/>
          <w:iCs/>
          <w:sz w:val="24"/>
          <w:szCs w:val="24"/>
        </w:rPr>
        <w:t>W -</w:t>
      </w:r>
      <w:r>
        <w:rPr>
          <w:i/>
          <w:iCs/>
          <w:sz w:val="24"/>
          <w:szCs w:val="24"/>
        </w:rPr>
        <w:t xml:space="preserve"> radiaţie termică (capacitatea unui element de construcţie de a rezista la expunerea la foc numai pe o faţă, astfel încât să reducă posibilitatea propagării focului ca rezultat al radiaţiei de căldură fie prin element, fie de la faţa neexpusă la foc la materialele situate adiacent acestei suprafeţe/ la materialele adiacente);</w:t>
      </w:r>
    </w:p>
    <w:p w14:paraId="243BCF4B"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4"/>
          <w:szCs w:val="24"/>
        </w:rPr>
      </w:pPr>
      <w:r>
        <w:rPr>
          <w:b/>
          <w:i/>
          <w:iCs/>
          <w:sz w:val="24"/>
          <w:szCs w:val="24"/>
        </w:rPr>
        <w:t>M -</w:t>
      </w:r>
      <w:r>
        <w:rPr>
          <w:i/>
          <w:iCs/>
          <w:sz w:val="24"/>
          <w:szCs w:val="24"/>
        </w:rPr>
        <w:t xml:space="preserve"> acţiune mecanică (capacitatea unui element de construcţie de a rezista la impactul generat de afectarea structurală a unui alt element de construcţie expus la foc fără ca performanţele R, E şi/sau I să fie compromise); </w:t>
      </w:r>
    </w:p>
    <w:p w14:paraId="258C3448"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rStyle w:val="CaptiontabelChar"/>
        </w:rPr>
      </w:pPr>
      <w:r>
        <w:rPr>
          <w:b/>
          <w:i/>
          <w:iCs/>
          <w:sz w:val="24"/>
          <w:szCs w:val="24"/>
        </w:rPr>
        <w:t>C -</w:t>
      </w:r>
      <w:r>
        <w:rPr>
          <w:i/>
          <w:iCs/>
          <w:sz w:val="24"/>
          <w:szCs w:val="24"/>
        </w:rPr>
        <w:t xml:space="preserve"> autoînchidere este capacitatea unui element de protecţie (uşă, fereastră deschisa, oblon etc. precum și a elementelului de închidere pentru sisteme de conveiere deschise), de a se închide complet în rama sa (n cadrul său) şi de a acţiona orice dispozitiv de zăvorâre fără intervenţie umană, prin energia acumulată sau prin redarea energiei acumulate în cazul întreruperii alimentării cu energie. Indicele atașat literei„</w:t>
      </w:r>
      <w:r>
        <w:rPr>
          <w:b/>
          <w:bCs/>
          <w:i/>
          <w:iCs/>
          <w:sz w:val="24"/>
          <w:szCs w:val="24"/>
        </w:rPr>
        <w:t>C</w:t>
      </w:r>
      <w:r>
        <w:rPr>
          <w:i/>
          <w:iCs/>
          <w:sz w:val="24"/>
          <w:szCs w:val="24"/>
        </w:rPr>
        <w:t>” reprezintă clasa de autoînchidere/închidere automată şi se precizează în documentaţia tehnică de proiectare în conformitate cu</w:t>
      </w:r>
      <w:r>
        <w:rPr>
          <w:rStyle w:val="CaptionChar"/>
        </w:rPr>
        <w:t xml:space="preserve"> </w:t>
      </w:r>
      <w:r>
        <w:rPr>
          <w:rStyle w:val="CaptiontabelChar"/>
        </w:rPr>
        <w:fldChar w:fldCharType="begin"/>
      </w:r>
      <w:r>
        <w:rPr>
          <w:rStyle w:val="CaptiontabelChar"/>
        </w:rPr>
        <w:instrText xml:space="preserve"> REF _Ref4673 \h </w:instrText>
      </w:r>
      <w:r>
        <w:rPr>
          <w:rStyle w:val="CaptiontabelChar"/>
        </w:rPr>
      </w:r>
      <w:r>
        <w:rPr>
          <w:rStyle w:val="CaptiontabelChar"/>
        </w:rPr>
        <w:fldChar w:fldCharType="separate"/>
      </w:r>
      <w:r>
        <w:t>Tabelul 1</w:t>
      </w:r>
      <w:r>
        <w:rPr>
          <w:rStyle w:val="CaptiontabelChar"/>
        </w:rPr>
        <w:fldChar w:fldCharType="end"/>
      </w:r>
      <w:r>
        <w:rPr>
          <w:b/>
          <w:bCs/>
          <w:i/>
          <w:iCs/>
          <w:sz w:val="24"/>
          <w:szCs w:val="24"/>
        </w:rPr>
        <w:t xml:space="preserve"> .</w:t>
      </w:r>
    </w:p>
    <w:p w14:paraId="0EBE854D" w14:textId="77777777" w:rsidR="001C08A5" w:rsidRDefault="001C08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rStyle w:val="CaptiontabelChar"/>
        </w:rPr>
      </w:pPr>
    </w:p>
    <w:p w14:paraId="3E0C97F7" w14:textId="77777777" w:rsidR="001C08A5" w:rsidRDefault="00000000">
      <w:pPr>
        <w:pStyle w:val="Captiontabel"/>
      </w:pPr>
      <w:bookmarkStart w:id="248" w:name="_Ref4673"/>
      <w:bookmarkStart w:id="249" w:name="_Ref4068"/>
      <w:bookmarkStart w:id="250" w:name="_Toc162360051"/>
      <w:r>
        <w:t xml:space="preserve">Tabelul </w:t>
      </w:r>
      <w:r>
        <w:fldChar w:fldCharType="begin"/>
      </w:r>
      <w:r>
        <w:instrText xml:space="preserve"> SEQ Tabelul \* ARABIC </w:instrText>
      </w:r>
      <w:r>
        <w:fldChar w:fldCharType="separate"/>
      </w:r>
      <w:r>
        <w:t>1</w:t>
      </w:r>
      <w:r>
        <w:fldChar w:fldCharType="end"/>
      </w:r>
      <w:bookmarkStart w:id="251" w:name="_Toc4915"/>
      <w:bookmarkStart w:id="252" w:name="_Toc11188"/>
      <w:bookmarkStart w:id="253" w:name="_Toc29901"/>
      <w:bookmarkStart w:id="254" w:name="_Toc17444"/>
      <w:bookmarkStart w:id="255" w:name="_Toc15043"/>
      <w:bookmarkStart w:id="256" w:name="_Toc11983"/>
      <w:bookmarkStart w:id="257" w:name="_Toc2560"/>
      <w:bookmarkStart w:id="258" w:name="_Toc5221"/>
      <w:bookmarkStart w:id="259" w:name="_Toc13613"/>
      <w:bookmarkStart w:id="260" w:name="_Toc13620"/>
      <w:bookmarkStart w:id="261" w:name="_Toc27274"/>
      <w:bookmarkStart w:id="262" w:name="_Toc7382"/>
      <w:bookmarkStart w:id="263" w:name="_Toc8504"/>
      <w:bookmarkStart w:id="264" w:name="_Toc19232"/>
      <w:bookmarkStart w:id="265" w:name="_Toc6203"/>
      <w:bookmarkStart w:id="266" w:name="_Toc25797"/>
      <w:bookmarkStart w:id="267" w:name="_Toc13207"/>
      <w:bookmarkStart w:id="268" w:name="_Toc31933"/>
      <w:bookmarkStart w:id="269" w:name="_Toc26640"/>
      <w:bookmarkEnd w:id="248"/>
      <w:r>
        <w:t>: Clasa de autoînchidere (închidere automată) a uşilor</w:t>
      </w:r>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14:paraId="042EB307" w14:textId="77777777" w:rsidR="001C08A5" w:rsidRDefault="001C08A5">
      <w:pPr>
        <w:widowControl w:val="0"/>
        <w:jc w:val="both"/>
        <w:rPr>
          <w:i/>
          <w:iCs/>
          <w:sz w:val="24"/>
          <w:szCs w:val="24"/>
        </w:rPr>
      </w:pPr>
    </w:p>
    <w:tbl>
      <w:tblPr>
        <w:tblW w:w="0" w:type="auto"/>
        <w:tblLayout w:type="fixed"/>
        <w:tblLook w:val="04A0" w:firstRow="1" w:lastRow="0" w:firstColumn="1" w:lastColumn="0" w:noHBand="0" w:noVBand="1"/>
      </w:tblPr>
      <w:tblGrid>
        <w:gridCol w:w="1106"/>
        <w:gridCol w:w="6080"/>
        <w:gridCol w:w="2142"/>
      </w:tblGrid>
      <w:tr w:rsidR="001C08A5" w14:paraId="777D7A96" w14:textId="77777777">
        <w:tc>
          <w:tcPr>
            <w:tcW w:w="1106" w:type="dxa"/>
            <w:tcBorders>
              <w:top w:val="single" w:sz="8" w:space="0" w:color="000000"/>
              <w:left w:val="single" w:sz="8" w:space="0" w:color="000000"/>
              <w:bottom w:val="single" w:sz="4" w:space="0" w:color="auto"/>
              <w:right w:val="single" w:sz="4" w:space="0" w:color="auto"/>
            </w:tcBorders>
            <w:shd w:val="clear" w:color="auto" w:fill="BFBFBF"/>
          </w:tcPr>
          <w:p w14:paraId="0E96D449" w14:textId="77777777" w:rsidR="001C08A5" w:rsidRDefault="00000000">
            <w:pPr>
              <w:jc w:val="both"/>
              <w:rPr>
                <w:b/>
                <w:bCs/>
                <w:i/>
                <w:iCs/>
                <w:sz w:val="22"/>
                <w:szCs w:val="22"/>
              </w:rPr>
            </w:pPr>
            <w:r>
              <w:rPr>
                <w:b/>
                <w:bCs/>
                <w:i/>
                <w:iCs/>
                <w:sz w:val="22"/>
                <w:szCs w:val="22"/>
              </w:rPr>
              <w:t>Clasa</w:t>
            </w:r>
          </w:p>
        </w:tc>
        <w:tc>
          <w:tcPr>
            <w:tcW w:w="6080" w:type="dxa"/>
            <w:tcBorders>
              <w:top w:val="single" w:sz="8" w:space="0" w:color="000000"/>
              <w:left w:val="single" w:sz="4" w:space="0" w:color="auto"/>
              <w:bottom w:val="single" w:sz="4" w:space="0" w:color="auto"/>
              <w:right w:val="single" w:sz="4" w:space="0" w:color="auto"/>
            </w:tcBorders>
            <w:shd w:val="clear" w:color="auto" w:fill="BFBFBF"/>
          </w:tcPr>
          <w:p w14:paraId="4B5AA599" w14:textId="77777777" w:rsidR="001C08A5" w:rsidRDefault="00000000">
            <w:pPr>
              <w:ind w:left="425"/>
              <w:jc w:val="center"/>
              <w:rPr>
                <w:b/>
                <w:bCs/>
                <w:i/>
                <w:iCs/>
                <w:sz w:val="22"/>
                <w:szCs w:val="22"/>
              </w:rPr>
            </w:pPr>
            <w:r>
              <w:rPr>
                <w:b/>
                <w:bCs/>
                <w:i/>
                <w:iCs/>
                <w:sz w:val="22"/>
                <w:szCs w:val="22"/>
              </w:rPr>
              <w:t>Grad de utilizare</w:t>
            </w:r>
          </w:p>
        </w:tc>
        <w:tc>
          <w:tcPr>
            <w:tcW w:w="2142" w:type="dxa"/>
            <w:tcBorders>
              <w:top w:val="single" w:sz="8" w:space="0" w:color="000000"/>
              <w:left w:val="single" w:sz="4" w:space="0" w:color="auto"/>
              <w:bottom w:val="single" w:sz="4" w:space="0" w:color="auto"/>
              <w:right w:val="single" w:sz="4" w:space="0" w:color="auto"/>
            </w:tcBorders>
            <w:shd w:val="clear" w:color="auto" w:fill="BFBFBF"/>
          </w:tcPr>
          <w:p w14:paraId="6F8FB772" w14:textId="77777777" w:rsidR="001C08A5" w:rsidRDefault="00000000">
            <w:pPr>
              <w:ind w:left="425"/>
              <w:jc w:val="center"/>
              <w:rPr>
                <w:b/>
                <w:bCs/>
                <w:i/>
                <w:iCs/>
                <w:sz w:val="22"/>
                <w:szCs w:val="22"/>
              </w:rPr>
            </w:pPr>
            <w:r>
              <w:rPr>
                <w:b/>
                <w:bCs/>
                <w:i/>
                <w:iCs/>
                <w:sz w:val="22"/>
                <w:szCs w:val="22"/>
              </w:rPr>
              <w:t>Cicluri</w:t>
            </w:r>
          </w:p>
        </w:tc>
      </w:tr>
      <w:tr w:rsidR="001C08A5" w14:paraId="3AA2554D" w14:textId="77777777">
        <w:tc>
          <w:tcPr>
            <w:tcW w:w="1106" w:type="dxa"/>
            <w:tcBorders>
              <w:top w:val="single" w:sz="4" w:space="0" w:color="auto"/>
              <w:left w:val="single" w:sz="4" w:space="0" w:color="auto"/>
              <w:bottom w:val="single" w:sz="4" w:space="0" w:color="auto"/>
              <w:right w:val="single" w:sz="4" w:space="0" w:color="auto"/>
            </w:tcBorders>
          </w:tcPr>
          <w:p w14:paraId="23D4B52B" w14:textId="77777777" w:rsidR="001C08A5" w:rsidRDefault="00000000">
            <w:pPr>
              <w:jc w:val="both"/>
              <w:rPr>
                <w:b/>
                <w:bCs/>
                <w:i/>
                <w:iCs/>
                <w:sz w:val="22"/>
                <w:szCs w:val="22"/>
              </w:rPr>
            </w:pPr>
            <w:r>
              <w:rPr>
                <w:b/>
                <w:bCs/>
                <w:i/>
                <w:iCs/>
                <w:sz w:val="22"/>
                <w:szCs w:val="22"/>
              </w:rPr>
              <w:t>C5</w:t>
            </w:r>
          </w:p>
        </w:tc>
        <w:tc>
          <w:tcPr>
            <w:tcW w:w="6080" w:type="dxa"/>
            <w:tcBorders>
              <w:top w:val="single" w:sz="4" w:space="0" w:color="auto"/>
              <w:left w:val="single" w:sz="4" w:space="0" w:color="auto"/>
              <w:bottom w:val="single" w:sz="4" w:space="0" w:color="auto"/>
              <w:right w:val="single" w:sz="4" w:space="0" w:color="auto"/>
            </w:tcBorders>
          </w:tcPr>
          <w:p w14:paraId="32370305" w14:textId="77777777" w:rsidR="001C08A5" w:rsidRDefault="00000000">
            <w:pPr>
              <w:ind w:left="425"/>
              <w:jc w:val="center"/>
              <w:rPr>
                <w:b/>
                <w:bCs/>
                <w:i/>
                <w:iCs/>
                <w:sz w:val="22"/>
                <w:szCs w:val="22"/>
              </w:rPr>
            </w:pPr>
            <w:r>
              <w:rPr>
                <w:i/>
                <w:iCs/>
                <w:sz w:val="22"/>
                <w:szCs w:val="22"/>
              </w:rPr>
              <w:t>folosire frecventă;</w:t>
            </w:r>
          </w:p>
        </w:tc>
        <w:tc>
          <w:tcPr>
            <w:tcW w:w="2142" w:type="dxa"/>
            <w:tcBorders>
              <w:top w:val="single" w:sz="4" w:space="0" w:color="auto"/>
              <w:left w:val="single" w:sz="4" w:space="0" w:color="auto"/>
              <w:bottom w:val="single" w:sz="4" w:space="0" w:color="auto"/>
              <w:right w:val="single" w:sz="4" w:space="0" w:color="auto"/>
            </w:tcBorders>
          </w:tcPr>
          <w:p w14:paraId="037BACD7" w14:textId="77777777" w:rsidR="001C08A5" w:rsidRDefault="00000000">
            <w:pPr>
              <w:ind w:left="425"/>
              <w:jc w:val="center"/>
              <w:rPr>
                <w:b/>
                <w:bCs/>
                <w:i/>
                <w:iCs/>
                <w:sz w:val="22"/>
                <w:szCs w:val="22"/>
              </w:rPr>
            </w:pPr>
            <w:r>
              <w:rPr>
                <w:b/>
                <w:bCs/>
                <w:i/>
                <w:iCs/>
                <w:sz w:val="22"/>
                <w:szCs w:val="22"/>
              </w:rPr>
              <w:t>≥ 200 000</w:t>
            </w:r>
          </w:p>
        </w:tc>
      </w:tr>
      <w:tr w:rsidR="001C08A5" w14:paraId="3A6A97C6" w14:textId="77777777">
        <w:tc>
          <w:tcPr>
            <w:tcW w:w="1106" w:type="dxa"/>
            <w:tcBorders>
              <w:top w:val="single" w:sz="4" w:space="0" w:color="auto"/>
              <w:left w:val="single" w:sz="4" w:space="0" w:color="auto"/>
              <w:bottom w:val="single" w:sz="4" w:space="0" w:color="auto"/>
              <w:right w:val="single" w:sz="4" w:space="0" w:color="auto"/>
            </w:tcBorders>
          </w:tcPr>
          <w:p w14:paraId="00AF305C" w14:textId="77777777" w:rsidR="001C08A5" w:rsidRDefault="00000000">
            <w:pPr>
              <w:jc w:val="both"/>
              <w:rPr>
                <w:b/>
                <w:bCs/>
                <w:i/>
                <w:iCs/>
                <w:sz w:val="22"/>
                <w:szCs w:val="22"/>
              </w:rPr>
            </w:pPr>
            <w:r>
              <w:rPr>
                <w:b/>
                <w:bCs/>
                <w:i/>
                <w:iCs/>
                <w:sz w:val="22"/>
                <w:szCs w:val="22"/>
              </w:rPr>
              <w:t>C4</w:t>
            </w:r>
          </w:p>
        </w:tc>
        <w:tc>
          <w:tcPr>
            <w:tcW w:w="6080" w:type="dxa"/>
            <w:tcBorders>
              <w:top w:val="single" w:sz="4" w:space="0" w:color="auto"/>
              <w:left w:val="single" w:sz="4" w:space="0" w:color="auto"/>
              <w:bottom w:val="single" w:sz="4" w:space="0" w:color="auto"/>
              <w:right w:val="single" w:sz="4" w:space="0" w:color="auto"/>
            </w:tcBorders>
          </w:tcPr>
          <w:p w14:paraId="5BDEF48A" w14:textId="77777777" w:rsidR="001C08A5" w:rsidRDefault="00000000">
            <w:pPr>
              <w:ind w:left="425"/>
              <w:jc w:val="center"/>
              <w:rPr>
                <w:b/>
                <w:bCs/>
                <w:i/>
                <w:iCs/>
                <w:sz w:val="22"/>
                <w:szCs w:val="22"/>
              </w:rPr>
            </w:pPr>
            <w:r>
              <w:rPr>
                <w:i/>
                <w:iCs/>
                <w:sz w:val="22"/>
                <w:szCs w:val="22"/>
              </w:rPr>
              <w:t>frecvenţă mare în utilizare (folosire publică, fără atenţie în folosire);</w:t>
            </w:r>
          </w:p>
        </w:tc>
        <w:tc>
          <w:tcPr>
            <w:tcW w:w="2142" w:type="dxa"/>
            <w:tcBorders>
              <w:top w:val="single" w:sz="4" w:space="0" w:color="auto"/>
              <w:left w:val="single" w:sz="4" w:space="0" w:color="auto"/>
              <w:bottom w:val="single" w:sz="4" w:space="0" w:color="auto"/>
              <w:right w:val="single" w:sz="4" w:space="0" w:color="auto"/>
            </w:tcBorders>
          </w:tcPr>
          <w:p w14:paraId="1358380A" w14:textId="77777777" w:rsidR="001C08A5" w:rsidRDefault="00000000">
            <w:pPr>
              <w:ind w:left="425"/>
              <w:jc w:val="center"/>
              <w:rPr>
                <w:b/>
                <w:bCs/>
                <w:i/>
                <w:iCs/>
                <w:sz w:val="22"/>
                <w:szCs w:val="22"/>
              </w:rPr>
            </w:pPr>
            <w:r>
              <w:rPr>
                <w:b/>
                <w:bCs/>
                <w:i/>
                <w:iCs/>
                <w:sz w:val="22"/>
                <w:szCs w:val="22"/>
              </w:rPr>
              <w:t>≥ 100 000</w:t>
            </w:r>
          </w:p>
        </w:tc>
      </w:tr>
      <w:tr w:rsidR="001C08A5" w14:paraId="20F651FF" w14:textId="77777777">
        <w:trPr>
          <w:trHeight w:val="90"/>
        </w:trPr>
        <w:tc>
          <w:tcPr>
            <w:tcW w:w="1106" w:type="dxa"/>
            <w:tcBorders>
              <w:top w:val="single" w:sz="4" w:space="0" w:color="auto"/>
              <w:left w:val="single" w:sz="4" w:space="0" w:color="auto"/>
              <w:bottom w:val="single" w:sz="4" w:space="0" w:color="auto"/>
              <w:right w:val="single" w:sz="4" w:space="0" w:color="auto"/>
            </w:tcBorders>
          </w:tcPr>
          <w:p w14:paraId="264D4CFD" w14:textId="77777777" w:rsidR="001C08A5" w:rsidRDefault="00000000">
            <w:pPr>
              <w:jc w:val="both"/>
              <w:rPr>
                <w:b/>
                <w:bCs/>
                <w:i/>
                <w:iCs/>
                <w:sz w:val="22"/>
                <w:szCs w:val="22"/>
              </w:rPr>
            </w:pPr>
            <w:r>
              <w:rPr>
                <w:b/>
                <w:bCs/>
                <w:i/>
                <w:iCs/>
                <w:sz w:val="22"/>
                <w:szCs w:val="22"/>
              </w:rPr>
              <w:t>C3</w:t>
            </w:r>
          </w:p>
        </w:tc>
        <w:tc>
          <w:tcPr>
            <w:tcW w:w="6080" w:type="dxa"/>
            <w:tcBorders>
              <w:top w:val="single" w:sz="4" w:space="0" w:color="auto"/>
              <w:left w:val="single" w:sz="4" w:space="0" w:color="auto"/>
              <w:bottom w:val="single" w:sz="4" w:space="0" w:color="auto"/>
              <w:right w:val="single" w:sz="4" w:space="0" w:color="auto"/>
            </w:tcBorders>
          </w:tcPr>
          <w:p w14:paraId="7E8F5960" w14:textId="77777777" w:rsidR="001C08A5" w:rsidRDefault="00000000">
            <w:pPr>
              <w:ind w:left="425"/>
              <w:jc w:val="center"/>
              <w:rPr>
                <w:b/>
                <w:bCs/>
                <w:i/>
                <w:iCs/>
                <w:sz w:val="22"/>
                <w:szCs w:val="22"/>
              </w:rPr>
            </w:pPr>
            <w:r>
              <w:rPr>
                <w:i/>
                <w:iCs/>
                <w:sz w:val="22"/>
                <w:szCs w:val="22"/>
              </w:rPr>
              <w:t>frecvenţă medie de utilizare (utilizare de către personalul clădirii);</w:t>
            </w:r>
          </w:p>
        </w:tc>
        <w:tc>
          <w:tcPr>
            <w:tcW w:w="2142" w:type="dxa"/>
            <w:tcBorders>
              <w:top w:val="single" w:sz="4" w:space="0" w:color="auto"/>
              <w:left w:val="single" w:sz="4" w:space="0" w:color="auto"/>
              <w:bottom w:val="single" w:sz="4" w:space="0" w:color="auto"/>
              <w:right w:val="single" w:sz="4" w:space="0" w:color="auto"/>
            </w:tcBorders>
          </w:tcPr>
          <w:p w14:paraId="5C64C56A" w14:textId="77777777" w:rsidR="001C08A5" w:rsidRDefault="00000000">
            <w:pPr>
              <w:ind w:left="425"/>
              <w:jc w:val="center"/>
              <w:rPr>
                <w:b/>
                <w:bCs/>
                <w:i/>
                <w:iCs/>
                <w:sz w:val="22"/>
                <w:szCs w:val="22"/>
              </w:rPr>
            </w:pPr>
            <w:r>
              <w:rPr>
                <w:b/>
                <w:bCs/>
                <w:i/>
                <w:iCs/>
                <w:sz w:val="22"/>
                <w:szCs w:val="22"/>
              </w:rPr>
              <w:t>≥ 50 000</w:t>
            </w:r>
          </w:p>
        </w:tc>
      </w:tr>
      <w:tr w:rsidR="001C08A5" w14:paraId="6D1C6C3C" w14:textId="77777777">
        <w:tc>
          <w:tcPr>
            <w:tcW w:w="1106" w:type="dxa"/>
            <w:tcBorders>
              <w:top w:val="single" w:sz="4" w:space="0" w:color="auto"/>
              <w:left w:val="single" w:sz="4" w:space="0" w:color="auto"/>
              <w:bottom w:val="single" w:sz="4" w:space="0" w:color="auto"/>
              <w:right w:val="single" w:sz="4" w:space="0" w:color="auto"/>
            </w:tcBorders>
          </w:tcPr>
          <w:p w14:paraId="24B458FD" w14:textId="77777777" w:rsidR="001C08A5" w:rsidRDefault="00000000">
            <w:pPr>
              <w:jc w:val="both"/>
              <w:rPr>
                <w:b/>
                <w:bCs/>
                <w:i/>
                <w:iCs/>
                <w:sz w:val="22"/>
                <w:szCs w:val="22"/>
              </w:rPr>
            </w:pPr>
            <w:r>
              <w:rPr>
                <w:b/>
                <w:bCs/>
                <w:i/>
                <w:iCs/>
                <w:sz w:val="22"/>
                <w:szCs w:val="22"/>
              </w:rPr>
              <w:t>C2</w:t>
            </w:r>
          </w:p>
        </w:tc>
        <w:tc>
          <w:tcPr>
            <w:tcW w:w="6080" w:type="dxa"/>
            <w:tcBorders>
              <w:top w:val="single" w:sz="4" w:space="0" w:color="auto"/>
              <w:left w:val="single" w:sz="4" w:space="0" w:color="auto"/>
              <w:bottom w:val="single" w:sz="4" w:space="0" w:color="auto"/>
              <w:right w:val="single" w:sz="4" w:space="0" w:color="auto"/>
            </w:tcBorders>
          </w:tcPr>
          <w:p w14:paraId="35C6A1FA" w14:textId="77777777" w:rsidR="001C08A5" w:rsidRDefault="00000000">
            <w:pPr>
              <w:ind w:left="425"/>
              <w:jc w:val="center"/>
              <w:rPr>
                <w:i/>
                <w:iCs/>
                <w:sz w:val="22"/>
                <w:szCs w:val="22"/>
              </w:rPr>
            </w:pPr>
            <w:r>
              <w:rPr>
                <w:i/>
                <w:iCs/>
                <w:sz w:val="22"/>
                <w:szCs w:val="22"/>
              </w:rPr>
              <w:t>frecvenţă redusă de utilizare (de la locuinţe unifamiliale, până la ușile mari industriale);</w:t>
            </w:r>
          </w:p>
        </w:tc>
        <w:tc>
          <w:tcPr>
            <w:tcW w:w="2142" w:type="dxa"/>
            <w:tcBorders>
              <w:top w:val="single" w:sz="4" w:space="0" w:color="auto"/>
              <w:left w:val="single" w:sz="4" w:space="0" w:color="auto"/>
              <w:bottom w:val="single" w:sz="4" w:space="0" w:color="auto"/>
              <w:right w:val="single" w:sz="4" w:space="0" w:color="auto"/>
            </w:tcBorders>
          </w:tcPr>
          <w:p w14:paraId="2040B2EA" w14:textId="77777777" w:rsidR="001C08A5" w:rsidRDefault="00000000">
            <w:pPr>
              <w:ind w:left="425"/>
              <w:jc w:val="center"/>
              <w:rPr>
                <w:b/>
                <w:bCs/>
                <w:i/>
                <w:iCs/>
                <w:sz w:val="22"/>
                <w:szCs w:val="22"/>
              </w:rPr>
            </w:pPr>
            <w:r>
              <w:rPr>
                <w:b/>
                <w:bCs/>
                <w:i/>
                <w:iCs/>
                <w:sz w:val="22"/>
                <w:szCs w:val="22"/>
              </w:rPr>
              <w:t>≥ 10 000</w:t>
            </w:r>
          </w:p>
        </w:tc>
      </w:tr>
      <w:tr w:rsidR="001C08A5" w14:paraId="0BA808D0" w14:textId="77777777">
        <w:tc>
          <w:tcPr>
            <w:tcW w:w="1106" w:type="dxa"/>
            <w:tcBorders>
              <w:top w:val="single" w:sz="4" w:space="0" w:color="auto"/>
              <w:left w:val="single" w:sz="4" w:space="0" w:color="auto"/>
              <w:bottom w:val="single" w:sz="4" w:space="0" w:color="auto"/>
              <w:right w:val="single" w:sz="4" w:space="0" w:color="auto"/>
            </w:tcBorders>
          </w:tcPr>
          <w:p w14:paraId="76712098" w14:textId="77777777" w:rsidR="001C08A5" w:rsidRDefault="00000000">
            <w:pPr>
              <w:jc w:val="both"/>
              <w:rPr>
                <w:b/>
                <w:bCs/>
                <w:i/>
                <w:iCs/>
                <w:sz w:val="22"/>
                <w:szCs w:val="22"/>
              </w:rPr>
            </w:pPr>
            <w:r>
              <w:rPr>
                <w:b/>
                <w:bCs/>
                <w:i/>
                <w:iCs/>
                <w:sz w:val="22"/>
                <w:szCs w:val="22"/>
              </w:rPr>
              <w:t>C1</w:t>
            </w:r>
          </w:p>
        </w:tc>
        <w:tc>
          <w:tcPr>
            <w:tcW w:w="6080" w:type="dxa"/>
            <w:tcBorders>
              <w:top w:val="single" w:sz="4" w:space="0" w:color="auto"/>
              <w:left w:val="single" w:sz="4" w:space="0" w:color="auto"/>
              <w:bottom w:val="single" w:sz="4" w:space="0" w:color="auto"/>
              <w:right w:val="single" w:sz="4" w:space="0" w:color="auto"/>
            </w:tcBorders>
          </w:tcPr>
          <w:p w14:paraId="6CFC6F83" w14:textId="77777777" w:rsidR="001C08A5" w:rsidRDefault="00000000">
            <w:pPr>
              <w:ind w:left="425"/>
              <w:jc w:val="center"/>
              <w:rPr>
                <w:b/>
                <w:bCs/>
                <w:i/>
                <w:iCs/>
                <w:sz w:val="22"/>
                <w:szCs w:val="22"/>
              </w:rPr>
            </w:pPr>
            <w:r>
              <w:rPr>
                <w:i/>
                <w:iCs/>
                <w:sz w:val="22"/>
                <w:szCs w:val="22"/>
              </w:rPr>
              <w:t>frecvenţă pentru uşi în poziţie normală „deschisă”;</w:t>
            </w:r>
          </w:p>
        </w:tc>
        <w:tc>
          <w:tcPr>
            <w:tcW w:w="2142" w:type="dxa"/>
            <w:tcBorders>
              <w:top w:val="single" w:sz="4" w:space="0" w:color="auto"/>
              <w:left w:val="single" w:sz="4" w:space="0" w:color="auto"/>
              <w:bottom w:val="single" w:sz="4" w:space="0" w:color="auto"/>
              <w:right w:val="single" w:sz="4" w:space="0" w:color="auto"/>
            </w:tcBorders>
          </w:tcPr>
          <w:p w14:paraId="2B4EDE04" w14:textId="77777777" w:rsidR="001C08A5" w:rsidRDefault="00000000">
            <w:pPr>
              <w:ind w:left="425"/>
              <w:jc w:val="center"/>
              <w:rPr>
                <w:b/>
                <w:bCs/>
                <w:i/>
                <w:iCs/>
                <w:sz w:val="22"/>
                <w:szCs w:val="22"/>
              </w:rPr>
            </w:pPr>
            <w:r>
              <w:rPr>
                <w:b/>
                <w:bCs/>
                <w:i/>
                <w:iCs/>
                <w:sz w:val="22"/>
                <w:szCs w:val="22"/>
              </w:rPr>
              <w:t>≥ 500</w:t>
            </w:r>
          </w:p>
        </w:tc>
      </w:tr>
      <w:tr w:rsidR="001C08A5" w14:paraId="6B650CBF" w14:textId="77777777">
        <w:tc>
          <w:tcPr>
            <w:tcW w:w="1106" w:type="dxa"/>
            <w:tcBorders>
              <w:top w:val="single" w:sz="4" w:space="0" w:color="auto"/>
              <w:left w:val="single" w:sz="4" w:space="0" w:color="auto"/>
              <w:bottom w:val="single" w:sz="4" w:space="0" w:color="auto"/>
              <w:right w:val="single" w:sz="4" w:space="0" w:color="auto"/>
            </w:tcBorders>
          </w:tcPr>
          <w:p w14:paraId="4866C05F" w14:textId="77777777" w:rsidR="001C08A5" w:rsidRDefault="00000000">
            <w:pPr>
              <w:jc w:val="both"/>
              <w:rPr>
                <w:b/>
                <w:bCs/>
                <w:i/>
                <w:iCs/>
                <w:sz w:val="22"/>
                <w:szCs w:val="22"/>
              </w:rPr>
            </w:pPr>
            <w:r>
              <w:rPr>
                <w:b/>
                <w:bCs/>
                <w:i/>
                <w:iCs/>
                <w:sz w:val="22"/>
                <w:szCs w:val="22"/>
              </w:rPr>
              <w:t>C0</w:t>
            </w:r>
          </w:p>
        </w:tc>
        <w:tc>
          <w:tcPr>
            <w:tcW w:w="6080" w:type="dxa"/>
            <w:tcBorders>
              <w:top w:val="single" w:sz="4" w:space="0" w:color="auto"/>
              <w:left w:val="single" w:sz="4" w:space="0" w:color="auto"/>
              <w:bottom w:val="single" w:sz="4" w:space="0" w:color="auto"/>
              <w:right w:val="single" w:sz="4" w:space="0" w:color="auto"/>
            </w:tcBorders>
          </w:tcPr>
          <w:p w14:paraId="28EEC7D1" w14:textId="77777777" w:rsidR="001C08A5" w:rsidRDefault="00000000">
            <w:pPr>
              <w:ind w:left="425"/>
              <w:jc w:val="center"/>
              <w:rPr>
                <w:i/>
                <w:iCs/>
                <w:sz w:val="22"/>
                <w:szCs w:val="22"/>
              </w:rPr>
            </w:pPr>
            <w:r>
              <w:rPr>
                <w:i/>
                <w:iCs/>
                <w:sz w:val="22"/>
                <w:szCs w:val="22"/>
              </w:rPr>
              <w:t>frecvenţă pentru uşi fără performanţe stabilite (determinate).</w:t>
            </w:r>
          </w:p>
        </w:tc>
        <w:tc>
          <w:tcPr>
            <w:tcW w:w="2142" w:type="dxa"/>
            <w:tcBorders>
              <w:top w:val="single" w:sz="4" w:space="0" w:color="auto"/>
              <w:left w:val="single" w:sz="4" w:space="0" w:color="auto"/>
              <w:bottom w:val="single" w:sz="4" w:space="0" w:color="auto"/>
              <w:right w:val="single" w:sz="4" w:space="0" w:color="auto"/>
            </w:tcBorders>
          </w:tcPr>
          <w:p w14:paraId="6B746574" w14:textId="77777777" w:rsidR="001C08A5" w:rsidRDefault="00000000">
            <w:pPr>
              <w:ind w:left="425"/>
              <w:jc w:val="center"/>
              <w:rPr>
                <w:b/>
                <w:bCs/>
                <w:i/>
                <w:iCs/>
                <w:sz w:val="22"/>
                <w:szCs w:val="22"/>
              </w:rPr>
            </w:pPr>
            <w:r>
              <w:rPr>
                <w:b/>
                <w:bCs/>
                <w:i/>
                <w:iCs/>
                <w:sz w:val="22"/>
                <w:szCs w:val="22"/>
              </w:rPr>
              <w:t>de la 1 până la 499</w:t>
            </w:r>
          </w:p>
        </w:tc>
      </w:tr>
    </w:tbl>
    <w:p w14:paraId="1EA6F419" w14:textId="77777777" w:rsidR="001C08A5" w:rsidRDefault="001C08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b/>
          <w:i/>
          <w:iCs/>
          <w:sz w:val="24"/>
          <w:szCs w:val="24"/>
        </w:rPr>
      </w:pPr>
    </w:p>
    <w:p w14:paraId="05EF2E8A" w14:textId="77777777" w:rsidR="001C08A5" w:rsidRDefault="00000000">
      <w:pPr>
        <w:tabs>
          <w:tab w:val="left" w:pos="708"/>
          <w:tab w:val="left" w:pos="1416"/>
          <w:tab w:val="left" w:pos="2109"/>
          <w:tab w:val="left" w:pos="2832"/>
          <w:tab w:val="left" w:pos="3540"/>
          <w:tab w:val="left" w:pos="4248"/>
          <w:tab w:val="left" w:pos="4956"/>
          <w:tab w:val="left" w:pos="5664"/>
          <w:tab w:val="left" w:pos="6372"/>
          <w:tab w:val="left" w:pos="7080"/>
          <w:tab w:val="left" w:pos="7788"/>
          <w:tab w:val="left" w:pos="8496"/>
          <w:tab w:val="left" w:pos="9132"/>
        </w:tabs>
        <w:ind w:left="1440" w:firstLine="720"/>
        <w:jc w:val="both"/>
        <w:rPr>
          <w:i/>
          <w:iCs/>
          <w:sz w:val="24"/>
          <w:szCs w:val="24"/>
        </w:rPr>
      </w:pPr>
      <w:r>
        <w:rPr>
          <w:b/>
          <w:i/>
          <w:iCs/>
          <w:sz w:val="24"/>
          <w:szCs w:val="24"/>
        </w:rPr>
        <w:t>S -</w:t>
      </w:r>
      <w:r>
        <w:rPr>
          <w:i/>
          <w:iCs/>
          <w:sz w:val="24"/>
          <w:szCs w:val="24"/>
        </w:rPr>
        <w:t xml:space="preserve"> etanşeitate la fum (capacitatea unui element de construcţie de a reduce sau elimina trecerea gazelor sau a fumului de pe o parte, pe cealaltă parte a sa).  </w:t>
      </w:r>
      <w:r>
        <w:rPr>
          <w:b/>
          <w:bCs/>
          <w:i/>
          <w:iCs/>
          <w:sz w:val="24"/>
          <w:szCs w:val="24"/>
        </w:rPr>
        <w:t>S</w:t>
      </w:r>
      <w:r>
        <w:rPr>
          <w:b/>
          <w:bCs/>
          <w:i/>
          <w:iCs/>
          <w:sz w:val="24"/>
          <w:szCs w:val="24"/>
          <w:vertAlign w:val="subscript"/>
        </w:rPr>
        <w:t>a</w:t>
      </w:r>
      <w:r>
        <w:rPr>
          <w:i/>
          <w:iCs/>
          <w:sz w:val="24"/>
          <w:szCs w:val="24"/>
          <w:vertAlign w:val="subscript"/>
        </w:rPr>
        <w:t xml:space="preserve">  </w:t>
      </w:r>
      <w:r>
        <w:rPr>
          <w:i/>
          <w:iCs/>
          <w:sz w:val="24"/>
          <w:szCs w:val="24"/>
        </w:rPr>
        <w:t xml:space="preserve">ia în considerare etanşeitatea la fum numai la temperatura ambiantă, iar </w:t>
      </w:r>
      <w:r>
        <w:rPr>
          <w:b/>
          <w:bCs/>
          <w:i/>
          <w:iCs/>
          <w:sz w:val="24"/>
          <w:szCs w:val="24"/>
        </w:rPr>
        <w:t>S</w:t>
      </w:r>
      <w:r>
        <w:rPr>
          <w:b/>
          <w:bCs/>
          <w:i/>
          <w:iCs/>
          <w:sz w:val="24"/>
          <w:szCs w:val="24"/>
          <w:vertAlign w:val="subscript"/>
        </w:rPr>
        <w:t>200</w:t>
      </w:r>
      <w:r>
        <w:rPr>
          <w:i/>
          <w:iCs/>
          <w:sz w:val="24"/>
          <w:szCs w:val="24"/>
        </w:rPr>
        <w:t xml:space="preserve"> ia în considerare etanşeitatea la fum atât la temperatura ambiantă cât şi la cea de </w:t>
      </w:r>
      <w:r>
        <w:rPr>
          <w:b/>
          <w:bCs/>
          <w:i/>
          <w:iCs/>
          <w:sz w:val="24"/>
          <w:szCs w:val="24"/>
        </w:rPr>
        <w:t>200ºC</w:t>
      </w:r>
      <w:r>
        <w:rPr>
          <w:i/>
          <w:iCs/>
          <w:sz w:val="24"/>
          <w:szCs w:val="24"/>
        </w:rPr>
        <w:t xml:space="preserve">. </w:t>
      </w:r>
      <w:r>
        <w:rPr>
          <w:i/>
          <w:iCs/>
          <w:sz w:val="24"/>
          <w:szCs w:val="24"/>
        </w:rPr>
        <w:lastRenderedPageBreak/>
        <w:t xml:space="preserve">În cazul tubulaturii de evacuare a fumului „S” indică un debit de trecere mai mic de </w:t>
      </w:r>
      <w:r>
        <w:rPr>
          <w:b/>
          <w:bCs/>
          <w:i/>
          <w:iCs/>
          <w:sz w:val="24"/>
          <w:szCs w:val="24"/>
        </w:rPr>
        <w:t>5 m</w:t>
      </w:r>
      <w:r>
        <w:rPr>
          <w:b/>
          <w:bCs/>
          <w:i/>
          <w:iCs/>
          <w:sz w:val="24"/>
          <w:szCs w:val="24"/>
          <w:vertAlign w:val="superscript"/>
        </w:rPr>
        <w:t>3</w:t>
      </w:r>
      <w:r>
        <w:rPr>
          <w:b/>
          <w:bCs/>
          <w:i/>
          <w:iCs/>
          <w:sz w:val="24"/>
          <w:szCs w:val="24"/>
        </w:rPr>
        <w:t>/(h·m</w:t>
      </w:r>
      <w:r>
        <w:rPr>
          <w:b/>
          <w:bCs/>
          <w:i/>
          <w:iCs/>
          <w:sz w:val="24"/>
          <w:szCs w:val="24"/>
          <w:vertAlign w:val="superscript"/>
        </w:rPr>
        <w:t>2</w:t>
      </w:r>
      <w:r>
        <w:rPr>
          <w:b/>
          <w:bCs/>
          <w:i/>
          <w:iCs/>
          <w:sz w:val="24"/>
          <w:szCs w:val="24"/>
        </w:rPr>
        <w:t>)</w:t>
      </w:r>
      <w:r>
        <w:rPr>
          <w:i/>
          <w:iCs/>
          <w:sz w:val="24"/>
          <w:szCs w:val="24"/>
        </w:rPr>
        <w:t>.</w:t>
      </w:r>
    </w:p>
    <w:p w14:paraId="43D9143D" w14:textId="77777777" w:rsidR="001C08A5" w:rsidRDefault="00000000">
      <w:pPr>
        <w:widowControl w:val="0"/>
        <w:jc w:val="both"/>
        <w:rPr>
          <w:i/>
          <w:iCs/>
          <w:sz w:val="22"/>
          <w:szCs w:val="22"/>
        </w:rPr>
      </w:pPr>
      <w:r>
        <w:rPr>
          <w:b/>
          <w:bCs/>
          <w:i/>
          <w:iCs/>
          <w:sz w:val="22"/>
          <w:szCs w:val="22"/>
        </w:rPr>
        <w:t>Notă (în conformitate cu SR EN 13501-2)</w:t>
      </w:r>
      <w:r>
        <w:rPr>
          <w:i/>
          <w:iCs/>
          <w:sz w:val="22"/>
          <w:szCs w:val="22"/>
        </w:rPr>
        <w:t xml:space="preserve">: Pentru elemente rezistente la foc trebuie adăugat </w:t>
      </w:r>
      <w:r>
        <w:rPr>
          <w:b/>
          <w:bCs/>
          <w:i/>
          <w:iCs/>
          <w:sz w:val="22"/>
          <w:szCs w:val="22"/>
        </w:rPr>
        <w:t>S</w:t>
      </w:r>
      <w:r>
        <w:rPr>
          <w:i/>
          <w:iCs/>
          <w:sz w:val="22"/>
          <w:szCs w:val="22"/>
        </w:rPr>
        <w:t xml:space="preserve"> la clasificarea de rezistenţă la foc (de exemplu </w:t>
      </w:r>
      <w:r>
        <w:rPr>
          <w:b/>
          <w:bCs/>
          <w:i/>
          <w:iCs/>
          <w:sz w:val="22"/>
          <w:szCs w:val="22"/>
        </w:rPr>
        <w:t>EI</w:t>
      </w:r>
      <w:r>
        <w:rPr>
          <w:b/>
          <w:bCs/>
          <w:i/>
          <w:iCs/>
          <w:sz w:val="22"/>
          <w:szCs w:val="22"/>
          <w:vertAlign w:val="subscript"/>
        </w:rPr>
        <w:t>2</w:t>
      </w:r>
      <w:r>
        <w:rPr>
          <w:b/>
          <w:bCs/>
          <w:i/>
          <w:iCs/>
          <w:sz w:val="22"/>
          <w:szCs w:val="22"/>
        </w:rPr>
        <w:t xml:space="preserve"> 60-S</w:t>
      </w:r>
      <w:r>
        <w:rPr>
          <w:b/>
          <w:bCs/>
          <w:i/>
          <w:iCs/>
          <w:sz w:val="22"/>
          <w:szCs w:val="22"/>
          <w:vertAlign w:val="subscript"/>
        </w:rPr>
        <w:t>200</w:t>
      </w:r>
      <w:r>
        <w:rPr>
          <w:i/>
          <w:iCs/>
          <w:sz w:val="22"/>
          <w:szCs w:val="22"/>
        </w:rPr>
        <w:t xml:space="preserve">). Atunci când nu este relevantă clasificarea de rezistenţă la foc, elementul trebuie clasificat pur şi simplu </w:t>
      </w:r>
      <w:r>
        <w:rPr>
          <w:b/>
          <w:bCs/>
          <w:i/>
          <w:iCs/>
          <w:sz w:val="22"/>
          <w:szCs w:val="22"/>
        </w:rPr>
        <w:t>S</w:t>
      </w:r>
      <w:r>
        <w:rPr>
          <w:i/>
          <w:iCs/>
          <w:sz w:val="22"/>
          <w:szCs w:val="22"/>
        </w:rPr>
        <w:t xml:space="preserve">. Clasificarea </w:t>
      </w:r>
      <w:r>
        <w:rPr>
          <w:b/>
          <w:bCs/>
          <w:i/>
          <w:iCs/>
          <w:sz w:val="22"/>
          <w:szCs w:val="22"/>
        </w:rPr>
        <w:t>S</w:t>
      </w:r>
      <w:r>
        <w:rPr>
          <w:i/>
          <w:iCs/>
          <w:sz w:val="22"/>
          <w:szCs w:val="22"/>
        </w:rPr>
        <w:t xml:space="preserve"> trebuie determinată în condiţii de temperatură ambiantă </w:t>
      </w:r>
      <w:r>
        <w:rPr>
          <w:b/>
          <w:bCs/>
          <w:i/>
          <w:iCs/>
          <w:sz w:val="22"/>
          <w:szCs w:val="22"/>
        </w:rPr>
        <w:t>S</w:t>
      </w:r>
      <w:r>
        <w:rPr>
          <w:b/>
          <w:bCs/>
          <w:i/>
          <w:iCs/>
          <w:sz w:val="22"/>
          <w:szCs w:val="22"/>
          <w:vertAlign w:val="subscript"/>
        </w:rPr>
        <w:t>a</w:t>
      </w:r>
      <w:r>
        <w:rPr>
          <w:i/>
          <w:iCs/>
          <w:sz w:val="22"/>
          <w:szCs w:val="22"/>
        </w:rPr>
        <w:t xml:space="preserve"> şi/sau temperatură medie </w:t>
      </w:r>
      <w:r>
        <w:rPr>
          <w:b/>
          <w:bCs/>
          <w:i/>
          <w:iCs/>
          <w:sz w:val="22"/>
          <w:szCs w:val="22"/>
        </w:rPr>
        <w:t>S</w:t>
      </w:r>
      <w:r>
        <w:rPr>
          <w:b/>
          <w:bCs/>
          <w:i/>
          <w:iCs/>
          <w:sz w:val="22"/>
          <w:szCs w:val="22"/>
          <w:vertAlign w:val="subscript"/>
        </w:rPr>
        <w:t>200</w:t>
      </w:r>
      <w:r>
        <w:rPr>
          <w:i/>
          <w:iCs/>
          <w:sz w:val="22"/>
          <w:szCs w:val="22"/>
        </w:rPr>
        <w:t xml:space="preserve"> în funcţie de clasificarea preconizată;</w:t>
      </w:r>
    </w:p>
    <w:p w14:paraId="79EA3329" w14:textId="77777777" w:rsidR="001C08A5" w:rsidRDefault="00000000">
      <w:pPr>
        <w:widowControl w:val="0"/>
        <w:jc w:val="both"/>
        <w:rPr>
          <w:i/>
          <w:iCs/>
          <w:sz w:val="22"/>
          <w:szCs w:val="22"/>
        </w:rPr>
      </w:pPr>
      <w:r>
        <w:rPr>
          <w:i/>
          <w:iCs/>
          <w:sz w:val="22"/>
          <w:szCs w:val="22"/>
        </w:rPr>
        <w:t>Sunt definite următoarele niveluri de performanţă:</w:t>
      </w:r>
    </w:p>
    <w:p w14:paraId="28B9A548" w14:textId="77777777" w:rsidR="001C08A5" w:rsidRDefault="00000000">
      <w:pPr>
        <w:widowControl w:val="0"/>
        <w:ind w:left="720" w:firstLine="720"/>
        <w:jc w:val="both"/>
        <w:rPr>
          <w:i/>
          <w:iCs/>
          <w:sz w:val="22"/>
          <w:szCs w:val="22"/>
        </w:rPr>
      </w:pPr>
      <w:r>
        <w:rPr>
          <w:i/>
          <w:iCs/>
          <w:sz w:val="22"/>
          <w:szCs w:val="22"/>
        </w:rPr>
        <w:t xml:space="preserve">- etanşeitate la fum </w:t>
      </w:r>
      <w:r>
        <w:rPr>
          <w:b/>
          <w:bCs/>
          <w:i/>
          <w:iCs/>
          <w:sz w:val="22"/>
          <w:szCs w:val="22"/>
        </w:rPr>
        <w:t>S</w:t>
      </w:r>
      <w:r>
        <w:rPr>
          <w:b/>
          <w:bCs/>
          <w:i/>
          <w:iCs/>
          <w:sz w:val="22"/>
          <w:szCs w:val="22"/>
          <w:vertAlign w:val="subscript"/>
        </w:rPr>
        <w:t>200</w:t>
      </w:r>
      <w:r>
        <w:rPr>
          <w:i/>
          <w:iCs/>
          <w:sz w:val="22"/>
          <w:szCs w:val="22"/>
        </w:rPr>
        <w:t xml:space="preserve"> când viteza maximă de scurgere măsurată atât la temperatura ambiantă cât şi la </w:t>
      </w:r>
      <w:r>
        <w:rPr>
          <w:b/>
          <w:bCs/>
          <w:i/>
          <w:iCs/>
          <w:sz w:val="22"/>
          <w:szCs w:val="22"/>
        </w:rPr>
        <w:t xml:space="preserve">200 </w:t>
      </w:r>
      <w:r>
        <w:rPr>
          <w:b/>
          <w:bCs/>
          <w:i/>
          <w:iCs/>
          <w:sz w:val="22"/>
          <w:szCs w:val="22"/>
          <w:vertAlign w:val="superscript"/>
        </w:rPr>
        <w:t>o</w:t>
      </w:r>
      <w:r>
        <w:rPr>
          <w:b/>
          <w:bCs/>
          <w:i/>
          <w:iCs/>
          <w:sz w:val="22"/>
          <w:szCs w:val="22"/>
        </w:rPr>
        <w:t>C</w:t>
      </w:r>
      <w:r>
        <w:rPr>
          <w:i/>
          <w:iCs/>
          <w:sz w:val="22"/>
          <w:szCs w:val="22"/>
        </w:rPr>
        <w:t xml:space="preserve"> şi până la o presiune de </w:t>
      </w:r>
      <w:r>
        <w:rPr>
          <w:b/>
          <w:bCs/>
          <w:i/>
          <w:iCs/>
          <w:sz w:val="22"/>
          <w:szCs w:val="22"/>
        </w:rPr>
        <w:t>50 Pa</w:t>
      </w:r>
      <w:r>
        <w:rPr>
          <w:i/>
          <w:iCs/>
          <w:sz w:val="22"/>
          <w:szCs w:val="22"/>
        </w:rPr>
        <w:t xml:space="preserve"> nu depăşeşte </w:t>
      </w:r>
      <w:r>
        <w:rPr>
          <w:b/>
          <w:bCs/>
          <w:i/>
          <w:iCs/>
          <w:sz w:val="22"/>
          <w:szCs w:val="22"/>
        </w:rPr>
        <w:t>20 m</w:t>
      </w:r>
      <w:r>
        <w:rPr>
          <w:b/>
          <w:bCs/>
          <w:i/>
          <w:iCs/>
          <w:sz w:val="22"/>
          <w:szCs w:val="22"/>
          <w:vertAlign w:val="superscript"/>
        </w:rPr>
        <w:t>3</w:t>
      </w:r>
      <w:r>
        <w:rPr>
          <w:b/>
          <w:bCs/>
          <w:i/>
          <w:iCs/>
          <w:sz w:val="22"/>
          <w:szCs w:val="22"/>
        </w:rPr>
        <w:t>/h</w:t>
      </w:r>
      <w:r>
        <w:rPr>
          <w:i/>
          <w:iCs/>
          <w:sz w:val="22"/>
          <w:szCs w:val="22"/>
        </w:rPr>
        <w:t xml:space="preserve"> pentru o uşă simplă (cu o singură parte/canat) sau </w:t>
      </w:r>
      <w:r>
        <w:rPr>
          <w:b/>
          <w:bCs/>
          <w:i/>
          <w:iCs/>
          <w:sz w:val="22"/>
          <w:szCs w:val="22"/>
        </w:rPr>
        <w:t>30 m</w:t>
      </w:r>
      <w:r>
        <w:rPr>
          <w:b/>
          <w:bCs/>
          <w:i/>
          <w:iCs/>
          <w:sz w:val="22"/>
          <w:szCs w:val="22"/>
          <w:vertAlign w:val="superscript"/>
        </w:rPr>
        <w:t>3</w:t>
      </w:r>
      <w:r>
        <w:rPr>
          <w:b/>
          <w:bCs/>
          <w:i/>
          <w:iCs/>
          <w:sz w:val="22"/>
          <w:szCs w:val="22"/>
        </w:rPr>
        <w:t>/h</w:t>
      </w:r>
      <w:r>
        <w:rPr>
          <w:i/>
          <w:iCs/>
          <w:sz w:val="22"/>
          <w:szCs w:val="22"/>
        </w:rPr>
        <w:t xml:space="preserve"> pentru o uşă dublă (cu două părţi/canaturi);</w:t>
      </w:r>
    </w:p>
    <w:p w14:paraId="75067885" w14:textId="77777777" w:rsidR="001C08A5" w:rsidRDefault="00000000">
      <w:pPr>
        <w:widowControl w:val="0"/>
        <w:ind w:left="720" w:firstLine="720"/>
        <w:jc w:val="both"/>
        <w:rPr>
          <w:i/>
          <w:iCs/>
          <w:sz w:val="22"/>
          <w:szCs w:val="22"/>
        </w:rPr>
      </w:pPr>
      <w:r>
        <w:rPr>
          <w:i/>
          <w:iCs/>
          <w:sz w:val="22"/>
          <w:szCs w:val="22"/>
        </w:rPr>
        <w:t xml:space="preserve">- etanşeitate la fum </w:t>
      </w:r>
      <w:r>
        <w:rPr>
          <w:b/>
          <w:bCs/>
          <w:i/>
          <w:iCs/>
          <w:sz w:val="22"/>
          <w:szCs w:val="22"/>
        </w:rPr>
        <w:t>S</w:t>
      </w:r>
      <w:r>
        <w:rPr>
          <w:b/>
          <w:bCs/>
          <w:i/>
          <w:iCs/>
          <w:sz w:val="22"/>
          <w:szCs w:val="22"/>
          <w:vertAlign w:val="subscript"/>
        </w:rPr>
        <w:t>a</w:t>
      </w:r>
      <w:r>
        <w:rPr>
          <w:i/>
          <w:iCs/>
          <w:sz w:val="22"/>
          <w:szCs w:val="22"/>
        </w:rPr>
        <w:t xml:space="preserve"> când viteza maximă de scurgere măsurată numai la temperatura ambiantă şi până la o presiune de </w:t>
      </w:r>
      <w:r>
        <w:rPr>
          <w:b/>
          <w:bCs/>
          <w:i/>
          <w:iCs/>
          <w:sz w:val="22"/>
          <w:szCs w:val="22"/>
        </w:rPr>
        <w:t>25 Pa</w:t>
      </w:r>
      <w:r>
        <w:rPr>
          <w:i/>
          <w:iCs/>
          <w:sz w:val="22"/>
          <w:szCs w:val="22"/>
        </w:rPr>
        <w:t xml:space="preserve"> nu depăşeşte </w:t>
      </w:r>
      <w:r>
        <w:rPr>
          <w:b/>
          <w:bCs/>
          <w:i/>
          <w:iCs/>
          <w:sz w:val="22"/>
          <w:szCs w:val="22"/>
        </w:rPr>
        <w:t>3 m</w:t>
      </w:r>
      <w:r>
        <w:rPr>
          <w:b/>
          <w:bCs/>
          <w:i/>
          <w:iCs/>
          <w:sz w:val="22"/>
          <w:szCs w:val="22"/>
          <w:vertAlign w:val="superscript"/>
        </w:rPr>
        <w:t>3</w:t>
      </w:r>
      <w:r>
        <w:rPr>
          <w:b/>
          <w:bCs/>
          <w:i/>
          <w:iCs/>
          <w:sz w:val="22"/>
          <w:szCs w:val="22"/>
        </w:rPr>
        <w:t>/h</w:t>
      </w:r>
      <w:r>
        <w:rPr>
          <w:i/>
          <w:iCs/>
          <w:sz w:val="22"/>
          <w:szCs w:val="22"/>
        </w:rPr>
        <w:t xml:space="preserve"> pe metru din lungimea golului dintre componentele fixe şi mobile ale setului de uşă (de exemplu între foaia și cadrul uşii), excluzând  pierderea la prag.</w:t>
      </w:r>
    </w:p>
    <w:p w14:paraId="144A7D75" w14:textId="77777777" w:rsidR="001C08A5" w:rsidRDefault="00000000">
      <w:pPr>
        <w:widowControl w:val="0"/>
        <w:jc w:val="both"/>
        <w:rPr>
          <w:i/>
          <w:iCs/>
          <w:sz w:val="22"/>
          <w:szCs w:val="22"/>
        </w:rPr>
      </w:pPr>
      <w:r>
        <w:rPr>
          <w:b/>
          <w:bCs/>
          <w:i/>
          <w:iCs/>
          <w:sz w:val="22"/>
          <w:szCs w:val="22"/>
        </w:rPr>
        <w:t>Notă</w:t>
      </w:r>
      <w:r>
        <w:rPr>
          <w:i/>
          <w:iCs/>
          <w:sz w:val="22"/>
          <w:szCs w:val="22"/>
        </w:rPr>
        <w:t xml:space="preserve">: Atunci când în cerințele normate pentru elemente de construcție rezistente la foc este adăugat </w:t>
      </w:r>
      <w:r>
        <w:rPr>
          <w:b/>
          <w:bCs/>
          <w:i/>
          <w:iCs/>
          <w:sz w:val="22"/>
          <w:szCs w:val="22"/>
        </w:rPr>
        <w:t>S</w:t>
      </w:r>
      <w:r>
        <w:rPr>
          <w:b/>
          <w:bCs/>
          <w:i/>
          <w:iCs/>
          <w:sz w:val="22"/>
          <w:szCs w:val="22"/>
          <w:vertAlign w:val="subscript"/>
        </w:rPr>
        <w:t>200</w:t>
      </w:r>
      <w:r>
        <w:rPr>
          <w:i/>
          <w:iCs/>
          <w:sz w:val="22"/>
          <w:szCs w:val="22"/>
        </w:rPr>
        <w:t xml:space="preserve"> la clasificarea de rezistenţă la foc (de exemplu </w:t>
      </w:r>
      <w:r>
        <w:rPr>
          <w:b/>
          <w:bCs/>
          <w:i/>
          <w:iCs/>
          <w:sz w:val="22"/>
          <w:szCs w:val="22"/>
        </w:rPr>
        <w:t>EI</w:t>
      </w:r>
      <w:r>
        <w:rPr>
          <w:b/>
          <w:bCs/>
          <w:i/>
          <w:iCs/>
          <w:sz w:val="22"/>
          <w:szCs w:val="22"/>
          <w:vertAlign w:val="subscript"/>
        </w:rPr>
        <w:t>2</w:t>
      </w:r>
      <w:r>
        <w:rPr>
          <w:b/>
          <w:bCs/>
          <w:i/>
          <w:iCs/>
          <w:sz w:val="22"/>
          <w:szCs w:val="22"/>
        </w:rPr>
        <w:t xml:space="preserve"> 60-S</w:t>
      </w:r>
      <w:r>
        <w:rPr>
          <w:b/>
          <w:bCs/>
          <w:i/>
          <w:iCs/>
          <w:sz w:val="22"/>
          <w:szCs w:val="22"/>
          <w:vertAlign w:val="subscript"/>
        </w:rPr>
        <w:t>200</w:t>
      </w:r>
      <w:r>
        <w:rPr>
          <w:i/>
          <w:iCs/>
          <w:sz w:val="22"/>
          <w:szCs w:val="22"/>
        </w:rPr>
        <w:t xml:space="preserve">) și acest element de construcție (de exemplu ușă) se află dispus între două spații presurizate diferențial (de exemplu între un degajament protejat și o încăpere tampon ventilată în suprapresiune se poate folosi etanșeitatea la fum </w:t>
      </w:r>
      <w:r>
        <w:rPr>
          <w:b/>
          <w:bCs/>
          <w:i/>
          <w:iCs/>
          <w:sz w:val="22"/>
          <w:szCs w:val="22"/>
        </w:rPr>
        <w:t>S</w:t>
      </w:r>
      <w:r>
        <w:rPr>
          <w:b/>
          <w:bCs/>
          <w:i/>
          <w:iCs/>
          <w:sz w:val="22"/>
          <w:szCs w:val="22"/>
          <w:vertAlign w:val="subscript"/>
        </w:rPr>
        <w:t>a</w:t>
      </w:r>
      <w:r>
        <w:rPr>
          <w:i/>
          <w:iCs/>
          <w:sz w:val="22"/>
          <w:szCs w:val="22"/>
          <w:vertAlign w:val="subscript"/>
        </w:rPr>
        <w:t xml:space="preserve">, </w:t>
      </w:r>
      <w:r>
        <w:rPr>
          <w:i/>
          <w:iCs/>
          <w:sz w:val="22"/>
          <w:szCs w:val="22"/>
        </w:rPr>
        <w:t xml:space="preserve">respectiv </w:t>
      </w:r>
      <w:r>
        <w:rPr>
          <w:b/>
          <w:bCs/>
          <w:i/>
          <w:iCs/>
          <w:sz w:val="22"/>
          <w:szCs w:val="22"/>
        </w:rPr>
        <w:t>EI</w:t>
      </w:r>
      <w:r>
        <w:rPr>
          <w:b/>
          <w:bCs/>
          <w:i/>
          <w:iCs/>
          <w:sz w:val="22"/>
          <w:szCs w:val="22"/>
          <w:vertAlign w:val="subscript"/>
        </w:rPr>
        <w:t>2</w:t>
      </w:r>
      <w:r>
        <w:rPr>
          <w:b/>
          <w:bCs/>
          <w:i/>
          <w:iCs/>
          <w:sz w:val="22"/>
          <w:szCs w:val="22"/>
        </w:rPr>
        <w:t xml:space="preserve"> 60-S</w:t>
      </w:r>
      <w:r>
        <w:rPr>
          <w:b/>
          <w:bCs/>
          <w:i/>
          <w:iCs/>
          <w:sz w:val="22"/>
          <w:szCs w:val="22"/>
          <w:vertAlign w:val="subscript"/>
        </w:rPr>
        <w:t>a</w:t>
      </w:r>
      <w:r>
        <w:rPr>
          <w:i/>
          <w:iCs/>
          <w:sz w:val="22"/>
          <w:szCs w:val="22"/>
          <w:vertAlign w:val="subscript"/>
        </w:rPr>
        <w:t xml:space="preserve"> </w:t>
      </w:r>
      <w:r>
        <w:rPr>
          <w:i/>
          <w:iCs/>
          <w:sz w:val="22"/>
          <w:szCs w:val="22"/>
        </w:rPr>
        <w:t>în loc de</w:t>
      </w:r>
      <w:r>
        <w:rPr>
          <w:i/>
          <w:iCs/>
          <w:sz w:val="22"/>
          <w:szCs w:val="22"/>
          <w:vertAlign w:val="subscript"/>
        </w:rPr>
        <w:t xml:space="preserve"> </w:t>
      </w:r>
      <w:r>
        <w:rPr>
          <w:b/>
          <w:bCs/>
          <w:i/>
          <w:iCs/>
          <w:sz w:val="22"/>
          <w:szCs w:val="22"/>
        </w:rPr>
        <w:t>EI</w:t>
      </w:r>
      <w:r>
        <w:rPr>
          <w:b/>
          <w:bCs/>
          <w:i/>
          <w:iCs/>
          <w:sz w:val="22"/>
          <w:szCs w:val="22"/>
          <w:vertAlign w:val="subscript"/>
        </w:rPr>
        <w:t>2</w:t>
      </w:r>
      <w:r>
        <w:rPr>
          <w:b/>
          <w:bCs/>
          <w:i/>
          <w:iCs/>
          <w:sz w:val="22"/>
          <w:szCs w:val="22"/>
        </w:rPr>
        <w:t xml:space="preserve"> 60-S</w:t>
      </w:r>
      <w:r>
        <w:rPr>
          <w:b/>
          <w:bCs/>
          <w:i/>
          <w:iCs/>
          <w:sz w:val="22"/>
          <w:szCs w:val="22"/>
          <w:vertAlign w:val="subscript"/>
        </w:rPr>
        <w:t>200</w:t>
      </w:r>
      <w:r>
        <w:rPr>
          <w:i/>
          <w:iCs/>
          <w:sz w:val="22"/>
          <w:szCs w:val="22"/>
        </w:rPr>
        <w:t xml:space="preserve">). </w:t>
      </w:r>
    </w:p>
    <w:p w14:paraId="08BB9DCA" w14:textId="77777777" w:rsidR="001C08A5" w:rsidRDefault="00000000">
      <w:pPr>
        <w:tabs>
          <w:tab w:val="left" w:pos="2109"/>
        </w:tabs>
        <w:ind w:left="1440" w:firstLine="720"/>
        <w:jc w:val="both"/>
        <w:rPr>
          <w:i/>
          <w:iCs/>
          <w:sz w:val="24"/>
          <w:szCs w:val="24"/>
        </w:rPr>
      </w:pPr>
      <w:r>
        <w:rPr>
          <w:b/>
          <w:i/>
          <w:iCs/>
          <w:sz w:val="24"/>
          <w:szCs w:val="24"/>
        </w:rPr>
        <w:t xml:space="preserve">P </w:t>
      </w:r>
      <w:r>
        <w:rPr>
          <w:i/>
          <w:iCs/>
          <w:sz w:val="24"/>
          <w:szCs w:val="24"/>
        </w:rPr>
        <w:t xml:space="preserve">sau </w:t>
      </w:r>
      <w:r>
        <w:rPr>
          <w:b/>
          <w:i/>
          <w:iCs/>
          <w:sz w:val="24"/>
          <w:szCs w:val="24"/>
        </w:rPr>
        <w:t xml:space="preserve">PH </w:t>
      </w:r>
      <w:r>
        <w:rPr>
          <w:i/>
          <w:iCs/>
          <w:sz w:val="24"/>
          <w:szCs w:val="24"/>
        </w:rPr>
        <w:t>(continuitate în alimentarea cu energie electrică şi/sau transmisie de semnal pe durata incendiului);</w:t>
      </w:r>
    </w:p>
    <w:p w14:paraId="20A10F46" w14:textId="77777777" w:rsidR="001C08A5" w:rsidRDefault="00000000">
      <w:pPr>
        <w:tabs>
          <w:tab w:val="left" w:pos="2109"/>
        </w:tabs>
        <w:ind w:left="1440" w:firstLine="720"/>
        <w:jc w:val="both"/>
        <w:rPr>
          <w:i/>
          <w:iCs/>
          <w:sz w:val="24"/>
          <w:szCs w:val="24"/>
        </w:rPr>
      </w:pPr>
      <w:r>
        <w:rPr>
          <w:b/>
          <w:i/>
          <w:iCs/>
          <w:sz w:val="24"/>
          <w:szCs w:val="24"/>
        </w:rPr>
        <w:t xml:space="preserve">G - </w:t>
      </w:r>
      <w:r>
        <w:rPr>
          <w:i/>
          <w:iCs/>
          <w:sz w:val="24"/>
          <w:szCs w:val="24"/>
        </w:rPr>
        <w:t xml:space="preserve">rezistenţa la foc de funingine (capacitatea coşului şi a produselor pentru coşuri cum ar fi hornuri şi racorduri de a rezista la foc de funingine; include aspecte de etanşeitate la fum și de izolare termică; clasificarea </w:t>
      </w:r>
      <w:r>
        <w:rPr>
          <w:b/>
          <w:bCs/>
          <w:i/>
          <w:iCs/>
          <w:sz w:val="24"/>
          <w:szCs w:val="24"/>
        </w:rPr>
        <w:t>G</w:t>
      </w:r>
      <w:r>
        <w:rPr>
          <w:i/>
          <w:iCs/>
          <w:sz w:val="24"/>
          <w:szCs w:val="24"/>
        </w:rPr>
        <w:t xml:space="preserve"> trebuie însoţită de indicarea distanţei necesare faţă de produse cu clasă de reacţie la foc diferită de </w:t>
      </w:r>
      <w:r>
        <w:rPr>
          <w:b/>
          <w:bCs/>
          <w:i/>
          <w:iCs/>
          <w:sz w:val="24"/>
          <w:szCs w:val="24"/>
        </w:rPr>
        <w:t>A1</w:t>
      </w:r>
      <w:r>
        <w:rPr>
          <w:i/>
          <w:iCs/>
          <w:sz w:val="24"/>
          <w:szCs w:val="24"/>
        </w:rPr>
        <w:t xml:space="preserve"> în condiţii de exploatare normală); </w:t>
      </w:r>
    </w:p>
    <w:p w14:paraId="5DD3AF71" w14:textId="77777777" w:rsidR="001C08A5" w:rsidRDefault="00000000">
      <w:pPr>
        <w:tabs>
          <w:tab w:val="left" w:pos="2109"/>
        </w:tabs>
        <w:ind w:left="1440" w:firstLine="720"/>
        <w:jc w:val="both"/>
        <w:rPr>
          <w:i/>
          <w:iCs/>
          <w:sz w:val="24"/>
          <w:szCs w:val="24"/>
        </w:rPr>
      </w:pPr>
      <w:r>
        <w:rPr>
          <w:b/>
          <w:i/>
          <w:iCs/>
          <w:sz w:val="24"/>
          <w:szCs w:val="24"/>
        </w:rPr>
        <w:t>K -</w:t>
      </w:r>
      <w:r>
        <w:rPr>
          <w:i/>
          <w:iCs/>
          <w:sz w:val="24"/>
          <w:szCs w:val="24"/>
        </w:rPr>
        <w:t xml:space="preserve"> capacitatea de protecţie la foc (capacitatea unei acoperiri de perete sau plafon de a asigura pentru materialul de sub acoperire, protecţie la aprindere, carbonizare sau altă deteriorare, pentru o durată de timp specificată; acoperirile sunt părţile exterioare ale elementelor de construcţii precum pereţi, pardoseli şi acoperişuri.);</w:t>
      </w:r>
    </w:p>
    <w:p w14:paraId="1CFE790A" w14:textId="77777777" w:rsidR="001C08A5" w:rsidRDefault="00000000">
      <w:pPr>
        <w:tabs>
          <w:tab w:val="left" w:pos="2109"/>
        </w:tabs>
        <w:ind w:left="1440" w:firstLine="720"/>
        <w:jc w:val="both"/>
        <w:rPr>
          <w:i/>
          <w:iCs/>
          <w:sz w:val="24"/>
          <w:szCs w:val="24"/>
        </w:rPr>
      </w:pPr>
      <w:r>
        <w:rPr>
          <w:b/>
          <w:bCs/>
          <w:i/>
          <w:iCs/>
          <w:sz w:val="24"/>
          <w:szCs w:val="24"/>
        </w:rPr>
        <w:t xml:space="preserve">r </w:t>
      </w:r>
      <w:r>
        <w:rPr>
          <w:i/>
          <w:iCs/>
          <w:sz w:val="24"/>
          <w:szCs w:val="24"/>
        </w:rPr>
        <w:t xml:space="preserve">- dacă este determinată performanţa faţă de curba de expunere la un atac termic de </w:t>
      </w:r>
      <w:r>
        <w:rPr>
          <w:b/>
          <w:bCs/>
          <w:i/>
          <w:iCs/>
          <w:sz w:val="24"/>
          <w:szCs w:val="24"/>
        </w:rPr>
        <w:t>500</w:t>
      </w:r>
      <w:r>
        <w:rPr>
          <w:b/>
          <w:bCs/>
          <w:i/>
          <w:iCs/>
          <w:sz w:val="24"/>
          <w:szCs w:val="24"/>
          <w:vertAlign w:val="superscript"/>
        </w:rPr>
        <w:t>0</w:t>
      </w:r>
      <w:r>
        <w:rPr>
          <w:b/>
          <w:bCs/>
          <w:i/>
          <w:iCs/>
          <w:sz w:val="24"/>
          <w:szCs w:val="24"/>
        </w:rPr>
        <w:t>C</w:t>
      </w:r>
      <w:r>
        <w:rPr>
          <w:i/>
          <w:iCs/>
          <w:sz w:val="24"/>
          <w:szCs w:val="24"/>
        </w:rPr>
        <w:t xml:space="preserve"> (expunere la temperatură redusă) în locul expunerii standardizate temperatură /timp, clasificarea elementului trebuie astfel identificată, de exemplu </w:t>
      </w:r>
      <w:r>
        <w:rPr>
          <w:b/>
          <w:bCs/>
          <w:i/>
          <w:iCs/>
          <w:sz w:val="24"/>
          <w:szCs w:val="24"/>
        </w:rPr>
        <w:t>RE 30-r</w:t>
      </w:r>
      <w:r>
        <w:rPr>
          <w:i/>
          <w:iCs/>
          <w:sz w:val="24"/>
          <w:szCs w:val="24"/>
        </w:rPr>
        <w:t xml:space="preserve">. </w:t>
      </w:r>
    </w:p>
    <w:p w14:paraId="69763931" w14:textId="77777777" w:rsidR="001C08A5" w:rsidRDefault="00000000">
      <w:pPr>
        <w:tabs>
          <w:tab w:val="left" w:pos="2109"/>
        </w:tabs>
        <w:ind w:left="2100"/>
        <w:jc w:val="both"/>
        <w:rPr>
          <w:rStyle w:val="FontStyle48"/>
          <w:rFonts w:ascii="Times New Roman" w:hAnsi="Times New Roman" w:cs="Times New Roman"/>
          <w:i/>
          <w:iCs/>
          <w:spacing w:val="8"/>
          <w:sz w:val="24"/>
          <w:szCs w:val="24"/>
          <w:lang w:eastAsia="ro-RO"/>
        </w:rPr>
      </w:pPr>
      <w:r>
        <w:rPr>
          <w:b/>
          <w:i/>
          <w:iCs/>
          <w:sz w:val="24"/>
          <w:szCs w:val="24"/>
        </w:rPr>
        <w:t xml:space="preserve">DH - </w:t>
      </w:r>
      <w:r>
        <w:rPr>
          <w:i/>
          <w:iCs/>
          <w:sz w:val="24"/>
          <w:szCs w:val="24"/>
        </w:rPr>
        <w:t>durata de stabilitate la curba standard temperatură - timp.</w:t>
      </w:r>
    </w:p>
    <w:p w14:paraId="777CEE5B" w14:textId="77777777" w:rsidR="001C08A5" w:rsidRDefault="001C08A5">
      <w:pPr>
        <w:jc w:val="both"/>
        <w:rPr>
          <w:b/>
          <w:i/>
          <w:iCs/>
          <w:sz w:val="24"/>
          <w:szCs w:val="24"/>
        </w:rPr>
      </w:pPr>
    </w:p>
    <w:p w14:paraId="0ED105EF" w14:textId="77777777" w:rsidR="001C08A5" w:rsidRDefault="00000000">
      <w:pPr>
        <w:widowControl w:val="0"/>
        <w:numPr>
          <w:ilvl w:val="0"/>
          <w:numId w:val="10"/>
        </w:numPr>
        <w:jc w:val="both"/>
        <w:rPr>
          <w:rStyle w:val="FontStyle57"/>
          <w:rFonts w:ascii="Times New Roman" w:hAnsi="Times New Roman" w:cs="Times New Roman"/>
          <w:bCs/>
          <w:i/>
          <w:iCs/>
          <w:spacing w:val="8"/>
          <w:sz w:val="24"/>
          <w:szCs w:val="24"/>
          <w:lang w:eastAsia="ro-RO"/>
        </w:rPr>
      </w:pPr>
      <w:r>
        <w:rPr>
          <w:b/>
          <w:i/>
          <w:iCs/>
          <w:sz w:val="24"/>
          <w:szCs w:val="24"/>
        </w:rPr>
        <w:t>Degajament protejat</w:t>
      </w:r>
      <w:r>
        <w:rPr>
          <w:i/>
          <w:iCs/>
          <w:sz w:val="24"/>
          <w:szCs w:val="24"/>
        </w:rPr>
        <w:t xml:space="preserve"> - spaţiu construit închis </w:t>
      </w:r>
      <w:r>
        <w:rPr>
          <w:rStyle w:val="FontStyle57"/>
          <w:rFonts w:ascii="Times New Roman" w:hAnsi="Times New Roman" w:cs="Times New Roman"/>
          <w:bCs/>
          <w:i/>
          <w:iCs/>
          <w:spacing w:val="8"/>
          <w:sz w:val="24"/>
          <w:szCs w:val="24"/>
          <w:lang w:eastAsia="ro-RO"/>
        </w:rPr>
        <w:t xml:space="preserve">cu lungimea maximă de </w:t>
      </w:r>
      <w:r>
        <w:rPr>
          <w:rStyle w:val="FontStyle57"/>
          <w:rFonts w:ascii="Times New Roman" w:hAnsi="Times New Roman" w:cs="Times New Roman"/>
          <w:b/>
          <w:i/>
          <w:iCs/>
          <w:spacing w:val="8"/>
          <w:sz w:val="24"/>
          <w:szCs w:val="24"/>
          <w:lang w:eastAsia="ro-RO"/>
        </w:rPr>
        <w:t>200 m</w:t>
      </w:r>
      <w:r>
        <w:rPr>
          <w:i/>
          <w:iCs/>
          <w:sz w:val="24"/>
          <w:szCs w:val="24"/>
        </w:rPr>
        <w:t xml:space="preserve">destinat </w:t>
      </w:r>
      <w:r>
        <w:rPr>
          <w:b/>
          <w:bCs/>
          <w:i/>
          <w:iCs/>
          <w:sz w:val="24"/>
          <w:szCs w:val="24"/>
        </w:rPr>
        <w:t xml:space="preserve">evacuării </w:t>
      </w:r>
      <w:r>
        <w:rPr>
          <w:b/>
          <w:i/>
          <w:iCs/>
          <w:sz w:val="24"/>
          <w:szCs w:val="24"/>
        </w:rPr>
        <w:t>utilizatorilor</w:t>
      </w:r>
      <w:r>
        <w:rPr>
          <w:i/>
          <w:iCs/>
          <w:sz w:val="24"/>
          <w:szCs w:val="24"/>
        </w:rPr>
        <w:t xml:space="preserve"> în caz de incendiu, precum și intervenţiei pompierilor, separat de restul construcţiei cu </w:t>
      </w:r>
      <w:r>
        <w:rPr>
          <w:rStyle w:val="FontStyle57"/>
          <w:rFonts w:ascii="Times New Roman" w:hAnsi="Times New Roman" w:cs="Times New Roman"/>
          <w:bCs/>
          <w:i/>
          <w:iCs/>
          <w:spacing w:val="8"/>
          <w:sz w:val="24"/>
          <w:szCs w:val="24"/>
          <w:lang w:eastAsia="ro-RO"/>
        </w:rPr>
        <w:t xml:space="preserve">elemente </w:t>
      </w:r>
      <w:r>
        <w:rPr>
          <w:rStyle w:val="FontStyle57"/>
          <w:rFonts w:ascii="Times New Roman" w:hAnsi="Times New Roman" w:cs="Times New Roman"/>
          <w:b/>
          <w:i/>
          <w:iCs/>
          <w:spacing w:val="8"/>
          <w:sz w:val="24"/>
          <w:szCs w:val="24"/>
          <w:lang w:eastAsia="ro-RO"/>
        </w:rPr>
        <w:t>A1</w:t>
      </w:r>
      <w:r>
        <w:rPr>
          <w:rStyle w:val="FontStyle57"/>
          <w:rFonts w:ascii="Times New Roman" w:hAnsi="Times New Roman" w:cs="Times New Roman"/>
          <w:bCs/>
          <w:i/>
          <w:iCs/>
          <w:spacing w:val="8"/>
          <w:sz w:val="24"/>
          <w:szCs w:val="24"/>
          <w:lang w:eastAsia="ro-RO"/>
        </w:rPr>
        <w:t xml:space="preserve"> sau </w:t>
      </w:r>
      <w:r>
        <w:rPr>
          <w:rStyle w:val="FontStyle57"/>
          <w:rFonts w:ascii="Times New Roman" w:hAnsi="Times New Roman" w:cs="Times New Roman"/>
          <w:b/>
          <w:i/>
          <w:iCs/>
          <w:spacing w:val="8"/>
          <w:sz w:val="24"/>
          <w:szCs w:val="24"/>
          <w:lang w:eastAsia="ro-RO"/>
        </w:rPr>
        <w:t>A2-s1d0</w:t>
      </w:r>
      <w:r>
        <w:rPr>
          <w:rStyle w:val="FontStyle57"/>
          <w:rFonts w:ascii="Times New Roman" w:hAnsi="Times New Roman" w:cs="Times New Roman"/>
          <w:bCs/>
          <w:i/>
          <w:iCs/>
          <w:spacing w:val="8"/>
          <w:sz w:val="24"/>
          <w:szCs w:val="24"/>
          <w:lang w:eastAsia="ro-RO"/>
        </w:rPr>
        <w:t xml:space="preserve"> rezistente la foc</w:t>
      </w:r>
      <w:r>
        <w:rPr>
          <w:i/>
          <w:iCs/>
          <w:sz w:val="24"/>
          <w:szCs w:val="24"/>
        </w:rPr>
        <w:t xml:space="preserve"> (</w:t>
      </w:r>
      <w:r>
        <w:rPr>
          <w:b/>
          <w:i/>
          <w:iCs/>
          <w:sz w:val="24"/>
          <w:szCs w:val="24"/>
        </w:rPr>
        <w:t>pereţi</w:t>
      </w:r>
      <w:r>
        <w:rPr>
          <w:i/>
          <w:iCs/>
          <w:sz w:val="24"/>
          <w:szCs w:val="24"/>
        </w:rPr>
        <w:t xml:space="preserve">, </w:t>
      </w:r>
      <w:r>
        <w:rPr>
          <w:b/>
          <w:i/>
          <w:iCs/>
          <w:sz w:val="24"/>
          <w:szCs w:val="24"/>
        </w:rPr>
        <w:t xml:space="preserve">planşee </w:t>
      </w:r>
      <w:r>
        <w:rPr>
          <w:bCs/>
          <w:i/>
          <w:iCs/>
          <w:sz w:val="24"/>
          <w:szCs w:val="24"/>
        </w:rPr>
        <w:t xml:space="preserve">şi </w:t>
      </w:r>
      <w:r>
        <w:rPr>
          <w:b/>
          <w:i/>
          <w:iCs/>
          <w:sz w:val="24"/>
          <w:szCs w:val="24"/>
        </w:rPr>
        <w:t>uși</w:t>
      </w:r>
      <w:r>
        <w:rPr>
          <w:bCs/>
          <w:i/>
          <w:iCs/>
          <w:sz w:val="24"/>
          <w:szCs w:val="24"/>
        </w:rPr>
        <w:t xml:space="preserve"> rezistente la foc </w:t>
      </w:r>
      <w:r>
        <w:rPr>
          <w:rStyle w:val="FontStyle57"/>
          <w:rFonts w:ascii="Times New Roman" w:hAnsi="Times New Roman" w:cs="Times New Roman"/>
          <w:bCs/>
          <w:i/>
          <w:iCs/>
          <w:spacing w:val="8"/>
          <w:sz w:val="24"/>
          <w:szCs w:val="24"/>
          <w:lang w:eastAsia="ro-RO"/>
        </w:rPr>
        <w:t>conform</w:t>
      </w:r>
      <w:r>
        <w:rPr>
          <w:i/>
          <w:iCs/>
          <w:sz w:val="24"/>
          <w:szCs w:val="24"/>
        </w:rPr>
        <w:t xml:space="preserve"> prevederilor normativului)</w:t>
      </w:r>
      <w:r>
        <w:rPr>
          <w:bCs/>
          <w:i/>
          <w:iCs/>
          <w:sz w:val="24"/>
          <w:szCs w:val="24"/>
        </w:rPr>
        <w:t xml:space="preserve"> și </w:t>
      </w:r>
      <w:r>
        <w:rPr>
          <w:i/>
          <w:iCs/>
          <w:sz w:val="24"/>
          <w:szCs w:val="24"/>
        </w:rPr>
        <w:t>prevăzut cu</w:t>
      </w:r>
      <w:r>
        <w:rPr>
          <w:i/>
          <w:iCs/>
          <w:sz w:val="24"/>
          <w:szCs w:val="24"/>
          <w:lang w:eastAsia="ro-RO"/>
        </w:rPr>
        <w:t xml:space="preserve"> suprapresiune </w:t>
      </w:r>
      <w:r>
        <w:rPr>
          <w:i/>
          <w:iCs/>
          <w:sz w:val="24"/>
          <w:szCs w:val="24"/>
        </w:rPr>
        <w:t>conform prevederilor normativului, astfel alcătuit, realizat și echipat încât să nu fie inundat cu fum şi afectat de temperatură într-un timp normat. Degajamentul protejat</w:t>
      </w:r>
      <w:r>
        <w:rPr>
          <w:rStyle w:val="FontStyle57"/>
          <w:rFonts w:ascii="Times New Roman" w:hAnsi="Times New Roman" w:cs="Times New Roman"/>
          <w:bCs/>
          <w:i/>
          <w:iCs/>
          <w:spacing w:val="8"/>
          <w:sz w:val="24"/>
          <w:szCs w:val="24"/>
          <w:lang w:eastAsia="ro-RO"/>
        </w:rPr>
        <w:t xml:space="preserve"> nu se ia în calculul lungimii căii de evacuare</w:t>
      </w:r>
    </w:p>
    <w:p w14:paraId="03DD5275" w14:textId="77777777" w:rsidR="001C08A5" w:rsidRDefault="00000000">
      <w:pPr>
        <w:numPr>
          <w:ilvl w:val="3"/>
          <w:numId w:val="10"/>
        </w:numPr>
        <w:jc w:val="both"/>
        <w:rPr>
          <w:i/>
          <w:iCs/>
          <w:sz w:val="24"/>
          <w:szCs w:val="24"/>
          <w:lang w:eastAsia="ro-RO"/>
        </w:rPr>
      </w:pPr>
      <w:r>
        <w:rPr>
          <w:b/>
          <w:bCs/>
          <w:i/>
          <w:iCs/>
          <w:sz w:val="24"/>
          <w:szCs w:val="24"/>
          <w:lang w:eastAsia="ro-RO"/>
        </w:rPr>
        <w:t>Tunel de evacuare</w:t>
      </w:r>
      <w:r>
        <w:rPr>
          <w:i/>
          <w:iCs/>
          <w:sz w:val="24"/>
          <w:szCs w:val="24"/>
          <w:lang w:eastAsia="ro-RO"/>
        </w:rPr>
        <w:t xml:space="preserve"> - degajament protejat care are ieşire direct la nivelul terenului sau al unor suprafeţe exterioare carosabile. Tunelul de evacuare nu se ia în calculul lungimii căii de evacuare;</w:t>
      </w:r>
    </w:p>
    <w:p w14:paraId="5CB1018F" w14:textId="77777777" w:rsidR="001C08A5" w:rsidRDefault="001C08A5">
      <w:pPr>
        <w:jc w:val="both"/>
        <w:rPr>
          <w:i/>
          <w:iCs/>
          <w:sz w:val="24"/>
          <w:szCs w:val="24"/>
          <w:lang w:eastAsia="ro-RO"/>
        </w:rPr>
      </w:pPr>
    </w:p>
    <w:p w14:paraId="0D95A77D" w14:textId="77777777" w:rsidR="001C08A5" w:rsidRDefault="00000000">
      <w:pPr>
        <w:widowControl w:val="0"/>
        <w:numPr>
          <w:ilvl w:val="0"/>
          <w:numId w:val="10"/>
        </w:numPr>
        <w:jc w:val="both"/>
        <w:rPr>
          <w:bCs/>
          <w:i/>
          <w:iCs/>
          <w:sz w:val="24"/>
          <w:szCs w:val="24"/>
        </w:rPr>
      </w:pPr>
      <w:r>
        <w:rPr>
          <w:b/>
          <w:i/>
          <w:iCs/>
          <w:sz w:val="24"/>
          <w:szCs w:val="24"/>
        </w:rPr>
        <w:t>Densitatea sarcinii termice</w:t>
      </w:r>
      <w:r>
        <w:rPr>
          <w:i/>
          <w:iCs/>
          <w:sz w:val="24"/>
          <w:szCs w:val="24"/>
        </w:rPr>
        <w:t xml:space="preserve"> (</w:t>
      </w:r>
      <w:r>
        <w:rPr>
          <w:b/>
          <w:i/>
          <w:iCs/>
          <w:sz w:val="24"/>
          <w:szCs w:val="24"/>
        </w:rPr>
        <w:t>q</w:t>
      </w:r>
      <w:r>
        <w:rPr>
          <w:i/>
          <w:iCs/>
          <w:sz w:val="24"/>
          <w:szCs w:val="24"/>
        </w:rPr>
        <w:t xml:space="preserve">) - potenţial calorific total al unei încăperi, spaţiu, compartiment de incendiu sau construcţii, raportat la aria pardoselii luată în considerare (sarcină termică pe unitatea de suprafaţă), exprimată în MJ/m². Determinarea densității sarcinii termice se realizează conform </w:t>
      </w:r>
      <w:r>
        <w:rPr>
          <w:b/>
          <w:bCs/>
          <w:i/>
          <w:iCs/>
          <w:sz w:val="24"/>
          <w:szCs w:val="24"/>
        </w:rPr>
        <w:t xml:space="preserve">SR 10903-2 </w:t>
      </w:r>
      <w:r>
        <w:rPr>
          <w:bCs/>
          <w:i/>
          <w:iCs/>
          <w:sz w:val="24"/>
          <w:szCs w:val="24"/>
        </w:rPr>
        <w:t xml:space="preserve">Măsuri de protecţie contra incendiilor. Determinarea sarcinii termice în construcţii. </w:t>
      </w:r>
    </w:p>
    <w:p w14:paraId="41472666" w14:textId="77777777" w:rsidR="001C08A5" w:rsidRDefault="00000000">
      <w:pPr>
        <w:numPr>
          <w:ilvl w:val="3"/>
          <w:numId w:val="10"/>
        </w:numPr>
        <w:jc w:val="both"/>
        <w:rPr>
          <w:i/>
          <w:iCs/>
          <w:sz w:val="24"/>
          <w:szCs w:val="24"/>
        </w:rPr>
      </w:pPr>
      <w:r>
        <w:rPr>
          <w:b/>
          <w:bCs/>
          <w:i/>
          <w:iCs/>
          <w:sz w:val="24"/>
          <w:szCs w:val="24"/>
          <w:lang w:eastAsia="ro-RO"/>
        </w:rPr>
        <w:t>Sarcină termică</w:t>
      </w:r>
      <w:r>
        <w:rPr>
          <w:i/>
          <w:iCs/>
          <w:sz w:val="24"/>
          <w:szCs w:val="24"/>
          <w:lang w:eastAsia="ro-RO"/>
        </w:rPr>
        <w:t xml:space="preserve">  - cantitatea de căldură care poate fi produsă prin arderea completă a tuturor materialelor combustibile conţinute într-un spaţiu, inclusiv </w:t>
      </w:r>
      <w:r>
        <w:rPr>
          <w:i/>
          <w:iCs/>
          <w:sz w:val="24"/>
          <w:szCs w:val="24"/>
          <w:lang w:eastAsia="ro-RO"/>
        </w:rPr>
        <w:lastRenderedPageBreak/>
        <w:t>finisajele tuturor suprafeţelor laterale. În contextul normativului, termenul este utilizat pentru a desemna energia. Se exprimă în kJ sau MJ.</w:t>
      </w:r>
    </w:p>
    <w:p w14:paraId="6198F58A" w14:textId="77777777" w:rsidR="001C08A5" w:rsidRDefault="001C08A5">
      <w:pPr>
        <w:widowControl w:val="0"/>
        <w:jc w:val="both"/>
        <w:rPr>
          <w:b/>
          <w:i/>
          <w:iCs/>
          <w:sz w:val="24"/>
          <w:szCs w:val="24"/>
        </w:rPr>
      </w:pPr>
    </w:p>
    <w:p w14:paraId="44108AD8" w14:textId="77777777" w:rsidR="001C08A5" w:rsidRDefault="00000000">
      <w:pPr>
        <w:widowControl w:val="0"/>
        <w:numPr>
          <w:ilvl w:val="0"/>
          <w:numId w:val="10"/>
        </w:numPr>
        <w:jc w:val="both"/>
        <w:rPr>
          <w:b/>
          <w:bCs/>
          <w:i/>
          <w:iCs/>
          <w:sz w:val="24"/>
          <w:szCs w:val="24"/>
        </w:rPr>
      </w:pPr>
      <w:r>
        <w:rPr>
          <w:b/>
          <w:i/>
          <w:iCs/>
          <w:sz w:val="24"/>
          <w:szCs w:val="24"/>
        </w:rPr>
        <w:t>Demisol</w:t>
      </w:r>
      <w:r>
        <w:rPr>
          <w:i/>
          <w:iCs/>
          <w:sz w:val="24"/>
          <w:szCs w:val="24"/>
        </w:rPr>
        <w:t xml:space="preserve"> - nivel construit al construcţiei având pardoseala situată sub nivelul terenului (carosabilului) adiacent cu cel mult jumătate din înălţimea lui liberă. </w:t>
      </w:r>
    </w:p>
    <w:p w14:paraId="49AB66E5" w14:textId="77777777" w:rsidR="001C08A5" w:rsidRDefault="00000000">
      <w:pPr>
        <w:numPr>
          <w:ilvl w:val="0"/>
          <w:numId w:val="18"/>
        </w:numPr>
        <w:tabs>
          <w:tab w:val="clear" w:pos="845"/>
        </w:tabs>
        <w:ind w:firstLine="1255"/>
        <w:jc w:val="both"/>
        <w:rPr>
          <w:i/>
          <w:iCs/>
          <w:sz w:val="24"/>
          <w:szCs w:val="24"/>
        </w:rPr>
      </w:pPr>
      <w:r>
        <w:rPr>
          <w:b/>
          <w:bCs/>
          <w:i/>
          <w:iCs/>
          <w:sz w:val="24"/>
          <w:szCs w:val="24"/>
          <w:lang w:eastAsia="ro-RO"/>
        </w:rPr>
        <w:t>Demisolul</w:t>
      </w:r>
      <w:r>
        <w:rPr>
          <w:i/>
          <w:iCs/>
          <w:sz w:val="24"/>
          <w:szCs w:val="24"/>
          <w:lang w:eastAsia="ro-RO"/>
        </w:rPr>
        <w:t xml:space="preserve"> se consideră </w:t>
      </w:r>
      <w:r>
        <w:rPr>
          <w:b/>
          <w:bCs/>
          <w:i/>
          <w:iCs/>
          <w:sz w:val="24"/>
          <w:szCs w:val="24"/>
          <w:lang w:eastAsia="ro-RO"/>
        </w:rPr>
        <w:t xml:space="preserve">nivel suprateran </w:t>
      </w:r>
      <w:r>
        <w:rPr>
          <w:i/>
          <w:iCs/>
          <w:sz w:val="24"/>
          <w:szCs w:val="24"/>
          <w:lang w:eastAsia="ro-RO"/>
        </w:rPr>
        <w:t xml:space="preserve">al construcţiei atunci când pardoseala lui este situată sub nivelul terenului (carosabilului) înconjurător, cu </w:t>
      </w:r>
      <m:oMath>
        <m:sSub>
          <m:sSubPr>
            <m:ctrlPr>
              <w:rPr>
                <w:rFonts w:ascii="Cambria Math" w:hAnsi="Cambria Math"/>
                <w:i/>
                <w:iCs/>
                <w:sz w:val="24"/>
                <w:szCs w:val="24"/>
                <w:lang w:eastAsia="ro-RO"/>
              </w:rPr>
            </m:ctrlPr>
          </m:sSubPr>
          <m:e>
            <m:r>
              <w:rPr>
                <w:rFonts w:ascii="Cambria Math" w:hAnsi="Cambria Math"/>
                <w:sz w:val="24"/>
                <w:szCs w:val="24"/>
                <w:lang w:eastAsia="ro-RO"/>
              </w:rPr>
              <m:t>h</m:t>
            </m:r>
          </m:e>
          <m:sub>
            <m:r>
              <w:rPr>
                <w:rFonts w:ascii="Cambria Math" w:hAnsi="Cambria Math"/>
                <w:sz w:val="24"/>
                <w:szCs w:val="24"/>
                <w:lang w:eastAsia="ro-RO"/>
              </w:rPr>
              <m:t>l</m:t>
            </m:r>
          </m:sub>
        </m:sSub>
        <m:r>
          <w:rPr>
            <w:rFonts w:ascii="Cambria Math" w:hAnsi="Cambria Math"/>
            <w:sz w:val="24"/>
            <w:szCs w:val="24"/>
            <w:lang w:eastAsia="ro-RO"/>
          </w:rPr>
          <m:t>≤</m:t>
        </m:r>
        <m:f>
          <m:fPr>
            <m:type m:val="skw"/>
            <m:ctrlPr>
              <w:rPr>
                <w:rFonts w:ascii="Cambria Math" w:hAnsi="Cambria Math"/>
                <w:i/>
                <w:iCs/>
                <w:sz w:val="24"/>
                <w:szCs w:val="24"/>
                <w:lang w:eastAsia="ro-RO"/>
              </w:rPr>
            </m:ctrlPr>
          </m:fPr>
          <m:num>
            <m:r>
              <w:rPr>
                <w:rFonts w:ascii="Cambria Math" w:hAnsi="Cambria Math"/>
                <w:sz w:val="24"/>
                <w:szCs w:val="24"/>
                <w:lang w:eastAsia="ro-RO"/>
              </w:rPr>
              <m:t>1</m:t>
            </m:r>
          </m:num>
          <m:den>
            <m:r>
              <w:rPr>
                <w:rFonts w:ascii="Cambria Math" w:hAnsi="Cambria Math"/>
                <w:sz w:val="24"/>
                <w:szCs w:val="24"/>
                <w:lang w:eastAsia="ro-RO"/>
              </w:rPr>
              <m:t>2</m:t>
            </m:r>
          </m:den>
        </m:f>
        <m:r>
          <w:rPr>
            <w:rFonts w:ascii="Cambria Math" w:hAnsi="Cambria Math"/>
            <w:sz w:val="24"/>
            <w:szCs w:val="24"/>
            <w:lang w:eastAsia="ro-RO"/>
          </w:rPr>
          <m:t xml:space="preserve"> h</m:t>
        </m:r>
      </m:oMath>
      <w:r>
        <w:rPr>
          <w:i/>
          <w:iCs/>
          <w:sz w:val="24"/>
          <w:szCs w:val="24"/>
          <w:lang w:eastAsia="ro-RO"/>
        </w:rPr>
        <w:t xml:space="preserve"> amplasată sub nivelul terenului şi se include în numărul de niveluri supraterane. Pe terenurile în pantă, demisolul este considerat nivel suprateran atunci când are îndeplinită condiţia de suprateran pe </w:t>
      </w:r>
      <w:r>
        <w:rPr>
          <w:b/>
          <w:bCs/>
          <w:i/>
          <w:iCs/>
          <w:sz w:val="24"/>
          <w:szCs w:val="24"/>
          <w:lang w:eastAsia="ro-RO"/>
        </w:rPr>
        <w:t xml:space="preserve">50% sau mai mult </w:t>
      </w:r>
      <w:r>
        <w:rPr>
          <w:i/>
          <w:iCs/>
          <w:sz w:val="24"/>
          <w:szCs w:val="24"/>
          <w:lang w:eastAsia="ro-RO"/>
        </w:rPr>
        <w:t>din perimetru (</w:t>
      </w:r>
      <w:r>
        <w:rPr>
          <w:b/>
          <w:bCs/>
          <w:i/>
          <w:iCs/>
          <w:sz w:val="24"/>
          <w:szCs w:val="24"/>
          <w:lang w:eastAsia="ro-RO"/>
        </w:rPr>
        <w:fldChar w:fldCharType="begin"/>
      </w:r>
      <w:r>
        <w:rPr>
          <w:b/>
          <w:bCs/>
          <w:i/>
          <w:iCs/>
          <w:sz w:val="24"/>
          <w:szCs w:val="24"/>
          <w:lang w:eastAsia="ro-RO"/>
        </w:rPr>
        <w:instrText xml:space="preserve"> REF _Ref6044 \h </w:instrText>
      </w:r>
      <w:r>
        <w:rPr>
          <w:b/>
          <w:bCs/>
          <w:i/>
          <w:iCs/>
          <w:sz w:val="24"/>
          <w:szCs w:val="24"/>
          <w:lang w:eastAsia="ro-RO"/>
        </w:rPr>
      </w:r>
      <w:r>
        <w:rPr>
          <w:b/>
          <w:bCs/>
          <w:i/>
          <w:iCs/>
          <w:sz w:val="24"/>
          <w:szCs w:val="24"/>
          <w:lang w:eastAsia="ro-RO"/>
        </w:rPr>
        <w:fldChar w:fldCharType="separate"/>
      </w:r>
      <w:r>
        <w:t>Figura 11</w:t>
      </w:r>
      <w:r>
        <w:rPr>
          <w:b/>
          <w:bCs/>
          <w:i/>
          <w:iCs/>
          <w:sz w:val="24"/>
          <w:szCs w:val="24"/>
          <w:lang w:eastAsia="ro-RO"/>
        </w:rPr>
        <w:fldChar w:fldCharType="end"/>
      </w:r>
      <w:r>
        <w:rPr>
          <w:i/>
          <w:iCs/>
          <w:sz w:val="24"/>
          <w:szCs w:val="24"/>
          <w:lang w:eastAsia="ro-RO"/>
        </w:rPr>
        <w:t xml:space="preserve">). </w:t>
      </w:r>
      <w:r>
        <w:rPr>
          <w:i/>
          <w:iCs/>
          <w:sz w:val="24"/>
          <w:szCs w:val="24"/>
        </w:rPr>
        <w:t>Circulațiile comune din demisol cu functiuni tehnice, fără lumină și ventilare naturală, nu se prevăd cu sisteme de evacuare a fumului și gazelor fierbinți în caz de incendiu</w:t>
      </w:r>
    </w:p>
    <w:p w14:paraId="4F9744A5" w14:textId="77777777" w:rsidR="001C08A5" w:rsidRDefault="00000000">
      <w:pPr>
        <w:numPr>
          <w:ilvl w:val="0"/>
          <w:numId w:val="18"/>
        </w:numPr>
        <w:tabs>
          <w:tab w:val="clear" w:pos="845"/>
        </w:tabs>
        <w:ind w:firstLine="1255"/>
        <w:jc w:val="both"/>
        <w:rPr>
          <w:sz w:val="24"/>
          <w:szCs w:val="24"/>
        </w:rPr>
      </w:pPr>
      <w:r>
        <w:rPr>
          <w:b/>
          <w:bCs/>
          <w:i/>
          <w:iCs/>
          <w:sz w:val="24"/>
          <w:szCs w:val="24"/>
        </w:rPr>
        <w:t>Subsol</w:t>
      </w:r>
      <w:r>
        <w:rPr>
          <w:i/>
          <w:iCs/>
          <w:sz w:val="24"/>
          <w:szCs w:val="24"/>
        </w:rPr>
        <w:t xml:space="preserve"> - nivel construit al construcţiei având pardoseala situată sub nivelul terenului (carosabilului) adiacent cu mai mult de jumătate din înălţimea lui liberă. Subsolurile se includ în numărul nivelurilor subterane ale construcţiei.</w:t>
      </w:r>
    </w:p>
    <w:p w14:paraId="79314588" w14:textId="77777777" w:rsidR="001C08A5" w:rsidRDefault="001C08A5">
      <w:pPr>
        <w:ind w:left="425"/>
        <w:jc w:val="center"/>
        <w:rPr>
          <w:b/>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16"/>
      </w:tblGrid>
      <w:tr w:rsidR="001C08A5" w14:paraId="697C282F" w14:textId="77777777">
        <w:tc>
          <w:tcPr>
            <w:tcW w:w="9855" w:type="dxa"/>
            <w:gridSpan w:val="2"/>
          </w:tcPr>
          <w:p w14:paraId="72455935" w14:textId="77777777" w:rsidR="001C08A5" w:rsidRDefault="00000000">
            <w:pPr>
              <w:jc w:val="center"/>
              <w:rPr>
                <w:b/>
                <w:bCs/>
                <w:sz w:val="24"/>
                <w:szCs w:val="24"/>
              </w:rPr>
            </w:pPr>
            <w:r>
              <w:rPr>
                <w:noProof/>
                <w:lang w:eastAsia="ro-RO"/>
              </w:rPr>
              <w:drawing>
                <wp:inline distT="0" distB="0" distL="114300" distR="114300" wp14:anchorId="691D24A0" wp14:editId="1E12FD52">
                  <wp:extent cx="6096000" cy="1140460"/>
                  <wp:effectExtent l="0" t="0" r="0" b="2540"/>
                  <wp:docPr id="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3"/>
                          <pic:cNvPicPr>
                            <a:picLocks noChangeAspect="1"/>
                          </pic:cNvPicPr>
                        </pic:nvPicPr>
                        <pic:blipFill>
                          <a:blip r:embed="rId66"/>
                          <a:srcRect l="12267" t="25786" r="7074" b="14147"/>
                          <a:stretch>
                            <a:fillRect/>
                          </a:stretch>
                        </pic:blipFill>
                        <pic:spPr>
                          <a:xfrm>
                            <a:off x="0" y="0"/>
                            <a:ext cx="6096000" cy="1140460"/>
                          </a:xfrm>
                          <a:prstGeom prst="rect">
                            <a:avLst/>
                          </a:prstGeom>
                          <a:noFill/>
                          <a:ln>
                            <a:noFill/>
                          </a:ln>
                        </pic:spPr>
                      </pic:pic>
                    </a:graphicData>
                  </a:graphic>
                </wp:inline>
              </w:drawing>
            </w:r>
          </w:p>
        </w:tc>
      </w:tr>
      <w:tr w:rsidR="001C08A5" w14:paraId="44ECDBDC" w14:textId="77777777">
        <w:tc>
          <w:tcPr>
            <w:tcW w:w="4927" w:type="dxa"/>
          </w:tcPr>
          <w:p w14:paraId="5B1E7C7F" w14:textId="77777777" w:rsidR="001C08A5" w:rsidRDefault="00000000">
            <w:pPr>
              <w:jc w:val="center"/>
              <w:rPr>
                <w:b/>
                <w:bCs/>
                <w:sz w:val="24"/>
                <w:szCs w:val="24"/>
              </w:rPr>
            </w:pPr>
            <w:r>
              <w:rPr>
                <w:b/>
                <w:bCs/>
                <w:i/>
                <w:iCs/>
                <w:sz w:val="24"/>
                <w:szCs w:val="24"/>
              </w:rPr>
              <w:t>Secțiune subsol</w:t>
            </w:r>
          </w:p>
        </w:tc>
        <w:tc>
          <w:tcPr>
            <w:tcW w:w="4928" w:type="dxa"/>
          </w:tcPr>
          <w:p w14:paraId="3B9B03C8" w14:textId="77777777" w:rsidR="001C08A5" w:rsidRDefault="00000000">
            <w:pPr>
              <w:jc w:val="center"/>
              <w:rPr>
                <w:b/>
                <w:bCs/>
                <w:sz w:val="24"/>
                <w:szCs w:val="24"/>
              </w:rPr>
            </w:pPr>
            <w:r>
              <w:rPr>
                <w:b/>
                <w:bCs/>
                <w:i/>
                <w:iCs/>
                <w:sz w:val="24"/>
                <w:szCs w:val="24"/>
              </w:rPr>
              <w:t>Secțiune demisol</w:t>
            </w:r>
          </w:p>
        </w:tc>
      </w:tr>
      <w:tr w:rsidR="001C08A5" w14:paraId="26EC5C7D" w14:textId="77777777">
        <w:tc>
          <w:tcPr>
            <w:tcW w:w="9855" w:type="dxa"/>
            <w:gridSpan w:val="2"/>
          </w:tcPr>
          <w:p w14:paraId="4DBB5658" w14:textId="77777777" w:rsidR="001C08A5" w:rsidRDefault="00000000">
            <w:pPr>
              <w:jc w:val="center"/>
              <w:rPr>
                <w:b/>
                <w:bCs/>
                <w:sz w:val="24"/>
                <w:szCs w:val="24"/>
              </w:rPr>
            </w:pPr>
            <w:r>
              <w:rPr>
                <w:noProof/>
                <w:lang w:eastAsia="ro-RO"/>
              </w:rPr>
              <w:drawing>
                <wp:inline distT="0" distB="0" distL="114300" distR="114300" wp14:anchorId="598CFB8B" wp14:editId="109AEBA6">
                  <wp:extent cx="6096000" cy="2099310"/>
                  <wp:effectExtent l="0" t="0" r="0" b="15240"/>
                  <wp:docPr id="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4"/>
                          <pic:cNvPicPr>
                            <a:picLocks noChangeAspect="1"/>
                          </pic:cNvPicPr>
                        </pic:nvPicPr>
                        <pic:blipFill>
                          <a:blip r:embed="rId67"/>
                          <a:srcRect l="12274" t="7820" r="7020" b="3950"/>
                          <a:stretch>
                            <a:fillRect/>
                          </a:stretch>
                        </pic:blipFill>
                        <pic:spPr>
                          <a:xfrm>
                            <a:off x="0" y="0"/>
                            <a:ext cx="6096000" cy="2099310"/>
                          </a:xfrm>
                          <a:prstGeom prst="rect">
                            <a:avLst/>
                          </a:prstGeom>
                          <a:noFill/>
                          <a:ln>
                            <a:noFill/>
                          </a:ln>
                        </pic:spPr>
                      </pic:pic>
                    </a:graphicData>
                  </a:graphic>
                </wp:inline>
              </w:drawing>
            </w:r>
          </w:p>
        </w:tc>
      </w:tr>
      <w:tr w:rsidR="001C08A5" w14:paraId="58B7EB39" w14:textId="77777777">
        <w:tc>
          <w:tcPr>
            <w:tcW w:w="9855" w:type="dxa"/>
            <w:gridSpan w:val="2"/>
          </w:tcPr>
          <w:p w14:paraId="54A4FE2D" w14:textId="77777777" w:rsidR="001C08A5" w:rsidRDefault="00000000">
            <w:pPr>
              <w:widowControl/>
              <w:ind w:left="425"/>
              <w:jc w:val="center"/>
              <w:rPr>
                <w:b/>
                <w:bCs/>
                <w:sz w:val="24"/>
                <w:szCs w:val="24"/>
              </w:rPr>
            </w:pPr>
            <w:r>
              <w:rPr>
                <w:b/>
                <w:bCs/>
                <w:i/>
                <w:iCs/>
                <w:sz w:val="24"/>
                <w:szCs w:val="24"/>
              </w:rPr>
              <w:t>Axonometrie subsol</w:t>
            </w:r>
          </w:p>
        </w:tc>
      </w:tr>
      <w:tr w:rsidR="001C08A5" w14:paraId="66E76989" w14:textId="77777777">
        <w:tc>
          <w:tcPr>
            <w:tcW w:w="9855" w:type="dxa"/>
            <w:gridSpan w:val="2"/>
          </w:tcPr>
          <w:p w14:paraId="22C7D29C" w14:textId="77777777" w:rsidR="001C08A5" w:rsidRDefault="00000000">
            <w:pPr>
              <w:jc w:val="center"/>
              <w:rPr>
                <w:b/>
                <w:bCs/>
                <w:sz w:val="24"/>
                <w:szCs w:val="24"/>
              </w:rPr>
            </w:pPr>
            <w:r>
              <w:rPr>
                <w:noProof/>
                <w:lang w:eastAsia="ro-RO"/>
              </w:rPr>
              <w:drawing>
                <wp:inline distT="0" distB="0" distL="114300" distR="114300" wp14:anchorId="224F0537" wp14:editId="4C87D483">
                  <wp:extent cx="6104255" cy="2302510"/>
                  <wp:effectExtent l="0" t="0" r="10795" b="2540"/>
                  <wp:docPr id="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25"/>
                          <pic:cNvPicPr>
                            <a:picLocks noChangeAspect="1"/>
                          </pic:cNvPicPr>
                        </pic:nvPicPr>
                        <pic:blipFill>
                          <a:blip r:embed="rId68"/>
                          <a:srcRect l="12173" t="17287" r="6957" b="1938"/>
                          <a:stretch>
                            <a:fillRect/>
                          </a:stretch>
                        </pic:blipFill>
                        <pic:spPr>
                          <a:xfrm>
                            <a:off x="0" y="0"/>
                            <a:ext cx="6104255" cy="2302510"/>
                          </a:xfrm>
                          <a:prstGeom prst="rect">
                            <a:avLst/>
                          </a:prstGeom>
                          <a:noFill/>
                          <a:ln>
                            <a:noFill/>
                          </a:ln>
                        </pic:spPr>
                      </pic:pic>
                    </a:graphicData>
                  </a:graphic>
                </wp:inline>
              </w:drawing>
            </w:r>
          </w:p>
        </w:tc>
      </w:tr>
      <w:tr w:rsidR="001C08A5" w14:paraId="68286617" w14:textId="77777777">
        <w:tc>
          <w:tcPr>
            <w:tcW w:w="9855" w:type="dxa"/>
            <w:gridSpan w:val="2"/>
          </w:tcPr>
          <w:p w14:paraId="56C895D1" w14:textId="77777777" w:rsidR="001C08A5" w:rsidRDefault="00000000">
            <w:pPr>
              <w:widowControl/>
              <w:ind w:left="425"/>
              <w:jc w:val="center"/>
              <w:rPr>
                <w:b/>
                <w:bCs/>
                <w:sz w:val="24"/>
                <w:szCs w:val="24"/>
              </w:rPr>
            </w:pPr>
            <w:r>
              <w:rPr>
                <w:b/>
                <w:bCs/>
                <w:i/>
                <w:iCs/>
                <w:sz w:val="24"/>
                <w:szCs w:val="24"/>
              </w:rPr>
              <w:t>Axonometrie demisol</w:t>
            </w:r>
          </w:p>
        </w:tc>
      </w:tr>
    </w:tbl>
    <w:p w14:paraId="70E16129" w14:textId="77777777" w:rsidR="001C08A5" w:rsidRDefault="001C08A5">
      <w:pPr>
        <w:ind w:left="425"/>
        <w:jc w:val="center"/>
        <w:rPr>
          <w:b/>
          <w:bCs/>
          <w:sz w:val="24"/>
          <w:szCs w:val="24"/>
        </w:rPr>
      </w:pPr>
    </w:p>
    <w:p w14:paraId="115955D0" w14:textId="77777777" w:rsidR="001C08A5" w:rsidRDefault="00000000">
      <w:pPr>
        <w:ind w:left="425"/>
        <w:jc w:val="center"/>
        <w:rPr>
          <w:sz w:val="24"/>
          <w:szCs w:val="24"/>
        </w:rPr>
      </w:pPr>
      <w:r>
        <w:rPr>
          <w:sz w:val="24"/>
          <w:szCs w:val="24"/>
        </w:rPr>
        <w:t xml:space="preserve">Dacă </w:t>
      </w:r>
      <w:r>
        <w:rPr>
          <w:b/>
          <w:bCs/>
          <w:sz w:val="24"/>
          <w:szCs w:val="24"/>
        </w:rPr>
        <w:t>x</w:t>
      </w:r>
      <w:r>
        <w:rPr>
          <w:b/>
          <w:bCs/>
          <w:sz w:val="24"/>
          <w:szCs w:val="24"/>
          <w:vertAlign w:val="subscript"/>
        </w:rPr>
        <w:t>1</w:t>
      </w:r>
      <w:r>
        <w:rPr>
          <w:b/>
          <w:bCs/>
          <w:sz w:val="24"/>
          <w:szCs w:val="24"/>
        </w:rPr>
        <w:t xml:space="preserve"> + x</w:t>
      </w:r>
      <w:r>
        <w:rPr>
          <w:b/>
          <w:bCs/>
          <w:sz w:val="24"/>
          <w:szCs w:val="24"/>
          <w:vertAlign w:val="subscript"/>
        </w:rPr>
        <w:t xml:space="preserve">2 </w:t>
      </w:r>
      <w:r>
        <w:rPr>
          <w:b/>
          <w:bCs/>
          <w:sz w:val="24"/>
          <w:szCs w:val="24"/>
        </w:rPr>
        <w:t>+x</w:t>
      </w:r>
      <w:r>
        <w:rPr>
          <w:b/>
          <w:bCs/>
          <w:sz w:val="24"/>
          <w:szCs w:val="24"/>
          <w:vertAlign w:val="subscript"/>
        </w:rPr>
        <w:t>3</w:t>
      </w:r>
      <w:r>
        <w:rPr>
          <w:b/>
          <w:bCs/>
          <w:sz w:val="24"/>
          <w:szCs w:val="24"/>
        </w:rPr>
        <w:t>&gt; y</w:t>
      </w:r>
      <w:r>
        <w:rPr>
          <w:b/>
          <w:bCs/>
          <w:sz w:val="24"/>
          <w:szCs w:val="24"/>
          <w:vertAlign w:val="subscript"/>
        </w:rPr>
        <w:t>1</w:t>
      </w:r>
      <w:r>
        <w:rPr>
          <w:b/>
          <w:bCs/>
          <w:sz w:val="24"/>
          <w:szCs w:val="24"/>
        </w:rPr>
        <w:t xml:space="preserve"> + y</w:t>
      </w:r>
      <w:r>
        <w:rPr>
          <w:b/>
          <w:bCs/>
          <w:sz w:val="24"/>
          <w:szCs w:val="24"/>
          <w:vertAlign w:val="subscript"/>
        </w:rPr>
        <w:t>2</w:t>
      </w:r>
      <w:r>
        <w:rPr>
          <w:b/>
          <w:bCs/>
          <w:sz w:val="24"/>
          <w:szCs w:val="24"/>
        </w:rPr>
        <w:t xml:space="preserve"> + y</w:t>
      </w:r>
      <w:r>
        <w:rPr>
          <w:b/>
          <w:bCs/>
          <w:sz w:val="24"/>
          <w:szCs w:val="24"/>
          <w:vertAlign w:val="subscript"/>
        </w:rPr>
        <w:t>3</w:t>
      </w:r>
      <w:r>
        <w:rPr>
          <w:sz w:val="24"/>
          <w:szCs w:val="24"/>
        </w:rPr>
        <w:t xml:space="preserve"> → este </w:t>
      </w:r>
      <w:r>
        <w:rPr>
          <w:b/>
          <w:bCs/>
          <w:sz w:val="24"/>
          <w:szCs w:val="24"/>
        </w:rPr>
        <w:t>SUBSOL</w:t>
      </w:r>
    </w:p>
    <w:p w14:paraId="2B3DC00A" w14:textId="77777777" w:rsidR="001C08A5" w:rsidRDefault="00000000">
      <w:pPr>
        <w:ind w:left="425"/>
        <w:jc w:val="center"/>
        <w:rPr>
          <w:sz w:val="24"/>
          <w:szCs w:val="24"/>
        </w:rPr>
      </w:pPr>
      <w:r>
        <w:rPr>
          <w:sz w:val="24"/>
          <w:szCs w:val="24"/>
        </w:rPr>
        <w:lastRenderedPageBreak/>
        <w:t xml:space="preserve">Dacă </w:t>
      </w:r>
      <w:r>
        <w:rPr>
          <w:b/>
          <w:bCs/>
          <w:sz w:val="24"/>
          <w:szCs w:val="24"/>
        </w:rPr>
        <w:t>x</w:t>
      </w:r>
      <w:r>
        <w:rPr>
          <w:b/>
          <w:bCs/>
          <w:sz w:val="24"/>
          <w:szCs w:val="24"/>
          <w:vertAlign w:val="subscript"/>
        </w:rPr>
        <w:t>1</w:t>
      </w:r>
      <w:r>
        <w:rPr>
          <w:b/>
          <w:bCs/>
          <w:sz w:val="24"/>
          <w:szCs w:val="24"/>
        </w:rPr>
        <w:t xml:space="preserve"> + x</w:t>
      </w:r>
      <w:r>
        <w:rPr>
          <w:b/>
          <w:bCs/>
          <w:sz w:val="24"/>
          <w:szCs w:val="24"/>
          <w:vertAlign w:val="subscript"/>
        </w:rPr>
        <w:t xml:space="preserve">2 </w:t>
      </w:r>
      <w:r>
        <w:rPr>
          <w:b/>
          <w:bCs/>
          <w:sz w:val="24"/>
          <w:szCs w:val="24"/>
        </w:rPr>
        <w:t>+x</w:t>
      </w:r>
      <w:r>
        <w:rPr>
          <w:b/>
          <w:bCs/>
          <w:sz w:val="24"/>
          <w:szCs w:val="24"/>
          <w:vertAlign w:val="subscript"/>
        </w:rPr>
        <w:t>3</w:t>
      </w:r>
      <w:r>
        <w:rPr>
          <w:b/>
          <w:bCs/>
          <w:sz w:val="24"/>
          <w:szCs w:val="24"/>
        </w:rPr>
        <w:t xml:space="preserve"> ≤ y</w:t>
      </w:r>
      <w:r>
        <w:rPr>
          <w:b/>
          <w:bCs/>
          <w:sz w:val="24"/>
          <w:szCs w:val="24"/>
          <w:vertAlign w:val="subscript"/>
        </w:rPr>
        <w:t>1</w:t>
      </w:r>
      <w:r>
        <w:rPr>
          <w:b/>
          <w:bCs/>
          <w:sz w:val="24"/>
          <w:szCs w:val="24"/>
        </w:rPr>
        <w:t xml:space="preserve"> + y</w:t>
      </w:r>
      <w:r>
        <w:rPr>
          <w:b/>
          <w:bCs/>
          <w:sz w:val="24"/>
          <w:szCs w:val="24"/>
          <w:vertAlign w:val="subscript"/>
        </w:rPr>
        <w:t>2</w:t>
      </w:r>
      <w:r>
        <w:rPr>
          <w:b/>
          <w:bCs/>
          <w:sz w:val="24"/>
          <w:szCs w:val="24"/>
        </w:rPr>
        <w:t xml:space="preserve"> + y</w:t>
      </w:r>
      <w:r>
        <w:rPr>
          <w:b/>
          <w:bCs/>
          <w:sz w:val="24"/>
          <w:szCs w:val="24"/>
          <w:vertAlign w:val="subscript"/>
        </w:rPr>
        <w:t>3</w:t>
      </w:r>
      <w:r>
        <w:rPr>
          <w:sz w:val="24"/>
          <w:szCs w:val="24"/>
        </w:rPr>
        <w:t xml:space="preserve"> → este </w:t>
      </w:r>
      <w:r>
        <w:rPr>
          <w:b/>
          <w:bCs/>
          <w:sz w:val="24"/>
          <w:szCs w:val="24"/>
        </w:rPr>
        <w:t>DEMISOL</w:t>
      </w:r>
    </w:p>
    <w:p w14:paraId="7AFD114D" w14:textId="77777777" w:rsidR="001C08A5" w:rsidRDefault="00000000">
      <w:pPr>
        <w:pStyle w:val="Caption"/>
        <w:jc w:val="center"/>
        <w:rPr>
          <w:rFonts w:cs="Times New Roman"/>
        </w:rPr>
      </w:pPr>
      <w:bookmarkStart w:id="270" w:name="_Ref6044"/>
      <w:bookmarkStart w:id="271" w:name="_Toc7520"/>
      <w:bookmarkStart w:id="272" w:name="_Toc162360235"/>
      <w:bookmarkStart w:id="273" w:name="_Toc22882"/>
      <w:bookmarkStart w:id="274" w:name="_Toc18863"/>
      <w:bookmarkStart w:id="275" w:name="_Toc19289"/>
      <w:bookmarkStart w:id="276" w:name="_Toc27268"/>
      <w:bookmarkStart w:id="277" w:name="_Toc20918"/>
      <w:r>
        <w:t xml:space="preserve">Figura </w:t>
      </w:r>
      <w:r>
        <w:fldChar w:fldCharType="begin"/>
      </w:r>
      <w:r>
        <w:instrText xml:space="preserve"> SEQ Figura \* ARABIC </w:instrText>
      </w:r>
      <w:r>
        <w:fldChar w:fldCharType="separate"/>
      </w:r>
      <w:r>
        <w:t>11</w:t>
      </w:r>
      <w:r>
        <w:fldChar w:fldCharType="end"/>
      </w:r>
      <w:bookmarkStart w:id="278" w:name="_Toc24358"/>
      <w:bookmarkStart w:id="279" w:name="_Toc29181"/>
      <w:bookmarkStart w:id="280" w:name="_Toc17174"/>
      <w:bookmarkStart w:id="281" w:name="_Toc28382"/>
      <w:bookmarkStart w:id="282" w:name="_Toc16243"/>
      <w:bookmarkStart w:id="283" w:name="_Toc6743"/>
      <w:bookmarkStart w:id="284" w:name="_Toc17632"/>
      <w:bookmarkStart w:id="285" w:name="_Toc22400"/>
      <w:bookmarkStart w:id="286" w:name="_Toc26768"/>
      <w:bookmarkStart w:id="287" w:name="_Toc7631"/>
      <w:bookmarkStart w:id="288" w:name="_Toc1375"/>
      <w:bookmarkEnd w:id="270"/>
      <w:r>
        <w:t xml:space="preserve"> - </w:t>
      </w:r>
      <w:r>
        <w:rPr>
          <w:rFonts w:cs="Times New Roman"/>
        </w:rPr>
        <w:t>Determinare demisol / subsol</w:t>
      </w:r>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p>
    <w:p w14:paraId="598DB6B9" w14:textId="77777777" w:rsidR="001C08A5" w:rsidRDefault="001C08A5">
      <w:pPr>
        <w:pStyle w:val="BodyText"/>
      </w:pPr>
    </w:p>
    <w:p w14:paraId="2CA7CBDF" w14:textId="77777777" w:rsidR="001C08A5" w:rsidRDefault="00000000">
      <w:pPr>
        <w:widowControl w:val="0"/>
        <w:numPr>
          <w:ilvl w:val="0"/>
          <w:numId w:val="10"/>
        </w:numPr>
        <w:jc w:val="both"/>
        <w:rPr>
          <w:i/>
          <w:iCs/>
          <w:sz w:val="24"/>
          <w:szCs w:val="24"/>
        </w:rPr>
      </w:pPr>
      <w:r>
        <w:rPr>
          <w:b/>
          <w:i/>
          <w:iCs/>
          <w:sz w:val="24"/>
          <w:szCs w:val="24"/>
        </w:rPr>
        <w:t xml:space="preserve">Dispozitiv </w:t>
      </w:r>
      <w:r>
        <w:rPr>
          <w:b/>
          <w:bCs/>
          <w:i/>
          <w:iCs/>
          <w:sz w:val="24"/>
          <w:szCs w:val="24"/>
        </w:rPr>
        <w:t>(gură)</w:t>
      </w:r>
      <w:r>
        <w:rPr>
          <w:b/>
          <w:i/>
          <w:iCs/>
          <w:sz w:val="24"/>
          <w:szCs w:val="24"/>
        </w:rPr>
        <w:t>pentru evacuarea fumului în caz de incendiu</w:t>
      </w:r>
      <w:r>
        <w:rPr>
          <w:i/>
          <w:iCs/>
          <w:sz w:val="24"/>
          <w:szCs w:val="24"/>
        </w:rPr>
        <w:t xml:space="preserve"> - gol permanent deschis sau închis cu dispozitiv de protecţie care se deschide automat în caz de incendiu (prevăzut şi cu acţionare manuală), practicat în treimea superioară a închiderilor perimetrale ale încăperii (pereţii exteriori) sau în acoperiş şi care permite evacuarea fumului produs în caz de incendiu (conform </w:t>
      </w:r>
      <w:r>
        <w:rPr>
          <w:b/>
          <w:bCs/>
          <w:i/>
          <w:iCs/>
          <w:sz w:val="24"/>
          <w:szCs w:val="24"/>
        </w:rPr>
        <w:fldChar w:fldCharType="begin"/>
      </w:r>
      <w:r>
        <w:rPr>
          <w:b/>
          <w:bCs/>
          <w:i/>
          <w:iCs/>
          <w:sz w:val="24"/>
          <w:szCs w:val="24"/>
        </w:rPr>
        <w:instrText xml:space="preserve"> REF _Ref6096 \h </w:instrText>
      </w:r>
      <w:r>
        <w:rPr>
          <w:b/>
          <w:bCs/>
          <w:i/>
          <w:iCs/>
          <w:sz w:val="24"/>
          <w:szCs w:val="24"/>
        </w:rPr>
      </w:r>
      <w:r>
        <w:rPr>
          <w:b/>
          <w:bCs/>
          <w:i/>
          <w:iCs/>
          <w:sz w:val="24"/>
          <w:szCs w:val="24"/>
        </w:rPr>
        <w:fldChar w:fldCharType="separate"/>
      </w:r>
      <w:r>
        <w:t>Figura 12</w:t>
      </w:r>
      <w:r>
        <w:rPr>
          <w:b/>
          <w:bCs/>
          <w:i/>
          <w:iCs/>
          <w:sz w:val="24"/>
          <w:szCs w:val="24"/>
        </w:rPr>
        <w:fldChar w:fldCharType="end"/>
      </w:r>
      <w:r>
        <w:rPr>
          <w:i/>
          <w:iCs/>
          <w:sz w:val="24"/>
          <w:szCs w:val="24"/>
        </w:rPr>
        <w:t xml:space="preserve">), certificate potrivit </w:t>
      </w:r>
      <w:r>
        <w:rPr>
          <w:b/>
          <w:bCs/>
          <w:i/>
          <w:iCs/>
          <w:sz w:val="24"/>
          <w:szCs w:val="24"/>
        </w:rPr>
        <w:t>SR EN 12101-2</w:t>
      </w:r>
      <w:r>
        <w:rPr>
          <w:i/>
          <w:iCs/>
          <w:sz w:val="24"/>
          <w:szCs w:val="24"/>
        </w:rPr>
        <w:t>.</w:t>
      </w:r>
    </w:p>
    <w:p w14:paraId="3C44FCBC" w14:textId="77777777" w:rsidR="001C08A5" w:rsidRDefault="00000000">
      <w:pPr>
        <w:jc w:val="center"/>
      </w:pPr>
      <w:r>
        <w:rPr>
          <w:noProof/>
          <w:lang w:eastAsia="ro-RO"/>
        </w:rPr>
        <w:drawing>
          <wp:inline distT="0" distB="0" distL="114300" distR="114300" wp14:anchorId="11F09503" wp14:editId="55914B63">
            <wp:extent cx="6076950" cy="1736090"/>
            <wp:effectExtent l="0" t="0" r="0" b="16510"/>
            <wp:docPr id="1972980759" name="Picture 197298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80759" name="Picture 1972980759"/>
                    <pic:cNvPicPr>
                      <a:picLocks noChangeAspect="1"/>
                    </pic:cNvPicPr>
                  </pic:nvPicPr>
                  <pic:blipFill>
                    <a:blip r:embed="rId69"/>
                    <a:srcRect l="12356" t="4062" r="7203" b="62685"/>
                    <a:stretch>
                      <a:fillRect/>
                    </a:stretch>
                  </pic:blipFill>
                  <pic:spPr>
                    <a:xfrm>
                      <a:off x="0" y="0"/>
                      <a:ext cx="6076950" cy="1736090"/>
                    </a:xfrm>
                    <a:prstGeom prst="rect">
                      <a:avLst/>
                    </a:prstGeom>
                    <a:noFill/>
                    <a:ln>
                      <a:noFill/>
                    </a:ln>
                  </pic:spPr>
                </pic:pic>
              </a:graphicData>
            </a:graphic>
          </wp:inline>
        </w:drawing>
      </w:r>
    </w:p>
    <w:p w14:paraId="3DA08027" w14:textId="77777777" w:rsidR="001C08A5" w:rsidRDefault="00000000">
      <w:pPr>
        <w:jc w:val="center"/>
      </w:pPr>
      <w:r>
        <w:rPr>
          <w:noProof/>
          <w:lang w:eastAsia="ro-RO"/>
        </w:rPr>
        <w:drawing>
          <wp:inline distT="0" distB="0" distL="114300" distR="114300" wp14:anchorId="4205F0C1" wp14:editId="78F1E324">
            <wp:extent cx="6076950" cy="2284730"/>
            <wp:effectExtent l="0" t="0" r="0" b="1270"/>
            <wp:docPr id="1189608650" name="Picture 118960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08650" name="Picture 1189608650"/>
                    <pic:cNvPicPr>
                      <a:picLocks noChangeAspect="1"/>
                    </pic:cNvPicPr>
                  </pic:nvPicPr>
                  <pic:blipFill>
                    <a:blip r:embed="rId69"/>
                    <a:srcRect l="12356" t="56239" r="7203"/>
                    <a:stretch>
                      <a:fillRect/>
                    </a:stretch>
                  </pic:blipFill>
                  <pic:spPr>
                    <a:xfrm>
                      <a:off x="0" y="0"/>
                      <a:ext cx="6076950" cy="2284730"/>
                    </a:xfrm>
                    <a:prstGeom prst="rect">
                      <a:avLst/>
                    </a:prstGeom>
                    <a:noFill/>
                    <a:ln>
                      <a:noFill/>
                    </a:ln>
                  </pic:spPr>
                </pic:pic>
              </a:graphicData>
            </a:graphic>
          </wp:inline>
        </w:drawing>
      </w:r>
    </w:p>
    <w:p w14:paraId="5161396D" w14:textId="77777777" w:rsidR="001C08A5" w:rsidRDefault="00000000">
      <w:pPr>
        <w:pStyle w:val="Caption"/>
        <w:jc w:val="center"/>
      </w:pPr>
      <w:bookmarkStart w:id="289" w:name="_Ref6096"/>
      <w:bookmarkStart w:id="290" w:name="_Toc5067"/>
      <w:bookmarkStart w:id="291" w:name="_Toc14568"/>
      <w:bookmarkStart w:id="292" w:name="_Toc636"/>
      <w:bookmarkStart w:id="293" w:name="_Toc25700"/>
      <w:bookmarkStart w:id="294" w:name="_Toc27232"/>
      <w:bookmarkStart w:id="295" w:name="_Toc17184"/>
      <w:bookmarkStart w:id="296" w:name="_Toc162360236"/>
      <w:r>
        <w:t xml:space="preserve">Figura </w:t>
      </w:r>
      <w:r>
        <w:fldChar w:fldCharType="begin"/>
      </w:r>
      <w:r>
        <w:instrText xml:space="preserve"> SEQ Figura \* ARABIC </w:instrText>
      </w:r>
      <w:r>
        <w:fldChar w:fldCharType="separate"/>
      </w:r>
      <w:r>
        <w:t>12</w:t>
      </w:r>
      <w:r>
        <w:fldChar w:fldCharType="end"/>
      </w:r>
      <w:bookmarkStart w:id="297" w:name="_Toc1419"/>
      <w:bookmarkStart w:id="298" w:name="_Toc7387"/>
      <w:bookmarkStart w:id="299" w:name="_Toc2563"/>
      <w:bookmarkStart w:id="300" w:name="_Toc5900"/>
      <w:bookmarkStart w:id="301" w:name="_Toc16882"/>
      <w:bookmarkStart w:id="302" w:name="_Toc2503"/>
      <w:bookmarkStart w:id="303" w:name="_Toc11994"/>
      <w:bookmarkStart w:id="304" w:name="_Toc26393"/>
      <w:bookmarkStart w:id="305" w:name="_Toc2018"/>
      <w:bookmarkStart w:id="306" w:name="_Toc17967"/>
      <w:bookmarkStart w:id="307" w:name="_Toc22860"/>
      <w:bookmarkEnd w:id="289"/>
      <w:r>
        <w:t xml:space="preserve"> - </w:t>
      </w:r>
      <w:r>
        <w:rPr>
          <w:rFonts w:cs="Times New Roman"/>
        </w:rPr>
        <w:t>Dispozitive (guri) pentru evacuarea fumului în caz de incendiu</w:t>
      </w:r>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14:paraId="19E4DB99" w14:textId="77777777" w:rsidR="001C08A5" w:rsidRDefault="00000000">
      <w:pPr>
        <w:widowControl w:val="0"/>
        <w:numPr>
          <w:ilvl w:val="0"/>
          <w:numId w:val="10"/>
        </w:numPr>
        <w:jc w:val="both"/>
        <w:rPr>
          <w:sz w:val="24"/>
          <w:szCs w:val="24"/>
        </w:rPr>
      </w:pPr>
      <w:r>
        <w:rPr>
          <w:b/>
          <w:i/>
          <w:iCs/>
          <w:sz w:val="24"/>
          <w:szCs w:val="24"/>
        </w:rPr>
        <w:t xml:space="preserve">Dispozitiv (gură) </w:t>
      </w:r>
      <w:r>
        <w:rPr>
          <w:b/>
          <w:bCs/>
          <w:i/>
          <w:iCs/>
          <w:sz w:val="24"/>
          <w:szCs w:val="24"/>
        </w:rPr>
        <w:t>pentru admisia aerului în caz de incendiu</w:t>
      </w:r>
      <w:r>
        <w:rPr>
          <w:i/>
          <w:iCs/>
          <w:sz w:val="24"/>
          <w:szCs w:val="24"/>
        </w:rPr>
        <w:t xml:space="preserve"> - gol permanent deschis sau închis cu dispozitiv de protecţie care se deschide automat în caz de incendiu, fiind prevăzut şi cu acţionare manuală, practicat în partea inferioară a închiderilor perimetrale ale încăperii din care se evacuează fumul (pereţii exteriori), fiind dispus cât mai aproape de pardoseală (practicat în treimea inferioară, conform </w:t>
      </w:r>
      <w:r>
        <w:rPr>
          <w:b/>
          <w:bCs/>
          <w:i/>
          <w:iCs/>
          <w:sz w:val="24"/>
          <w:szCs w:val="24"/>
        </w:rPr>
        <w:fldChar w:fldCharType="begin"/>
      </w:r>
      <w:r>
        <w:rPr>
          <w:b/>
          <w:bCs/>
          <w:i/>
          <w:iCs/>
          <w:sz w:val="24"/>
          <w:szCs w:val="24"/>
        </w:rPr>
        <w:instrText xml:space="preserve"> REF _Ref6194 \h </w:instrText>
      </w:r>
      <w:r>
        <w:rPr>
          <w:b/>
          <w:bCs/>
          <w:i/>
          <w:iCs/>
          <w:sz w:val="24"/>
          <w:szCs w:val="24"/>
        </w:rPr>
      </w:r>
      <w:r>
        <w:rPr>
          <w:b/>
          <w:bCs/>
          <w:i/>
          <w:iCs/>
          <w:sz w:val="24"/>
          <w:szCs w:val="24"/>
        </w:rPr>
        <w:fldChar w:fldCharType="separate"/>
      </w:r>
      <w:r>
        <w:t>Figura 13</w:t>
      </w:r>
      <w:r>
        <w:rPr>
          <w:b/>
          <w:bCs/>
          <w:i/>
          <w:iCs/>
          <w:sz w:val="24"/>
          <w:szCs w:val="24"/>
        </w:rPr>
        <w:fldChar w:fldCharType="end"/>
      </w:r>
      <w:r>
        <w:rPr>
          <w:i/>
          <w:iCs/>
          <w:sz w:val="24"/>
          <w:szCs w:val="24"/>
        </w:rPr>
        <w:t>).</w:t>
      </w:r>
    </w:p>
    <w:p w14:paraId="7BC93D9E" w14:textId="77777777" w:rsidR="001C08A5" w:rsidRDefault="00000000">
      <w:pPr>
        <w:jc w:val="center"/>
        <w:rPr>
          <w:sz w:val="24"/>
          <w:szCs w:val="24"/>
        </w:rPr>
      </w:pPr>
      <w:r>
        <w:rPr>
          <w:noProof/>
          <w:lang w:eastAsia="ro-RO"/>
        </w:rPr>
        <w:drawing>
          <wp:inline distT="0" distB="0" distL="0" distR="0" wp14:anchorId="72A3E3C5" wp14:editId="1465FAF9">
            <wp:extent cx="4761865" cy="1419860"/>
            <wp:effectExtent l="0" t="0" r="635" b="8890"/>
            <wp:docPr id="1051" name="Picture 92"/>
            <wp:cNvGraphicFramePr/>
            <a:graphic xmlns:a="http://schemas.openxmlformats.org/drawingml/2006/main">
              <a:graphicData uri="http://schemas.openxmlformats.org/drawingml/2006/picture">
                <pic:pic xmlns:pic="http://schemas.openxmlformats.org/drawingml/2006/picture">
                  <pic:nvPicPr>
                    <pic:cNvPr id="1051" name="Picture 92"/>
                    <pic:cNvPicPr/>
                  </pic:nvPicPr>
                  <pic:blipFill>
                    <a:blip r:embed="rId70" cstate="print"/>
                    <a:srcRect l="21909" t="23003" r="15021" b="41425"/>
                    <a:stretch>
                      <a:fillRect/>
                    </a:stretch>
                  </pic:blipFill>
                  <pic:spPr>
                    <a:xfrm>
                      <a:off x="0" y="0"/>
                      <a:ext cx="4761865" cy="1419860"/>
                    </a:xfrm>
                    <a:prstGeom prst="rect">
                      <a:avLst/>
                    </a:prstGeom>
                    <a:ln>
                      <a:noFill/>
                    </a:ln>
                  </pic:spPr>
                </pic:pic>
              </a:graphicData>
            </a:graphic>
          </wp:inline>
        </w:drawing>
      </w:r>
    </w:p>
    <w:p w14:paraId="724DC9B6" w14:textId="77777777" w:rsidR="001C08A5" w:rsidRDefault="00000000">
      <w:pPr>
        <w:pStyle w:val="Caption"/>
        <w:jc w:val="center"/>
        <w:rPr>
          <w:rFonts w:cs="Times New Roman"/>
        </w:rPr>
      </w:pPr>
      <w:bookmarkStart w:id="308" w:name="_Ref6194"/>
      <w:bookmarkStart w:id="309" w:name="_Toc6297"/>
      <w:bookmarkStart w:id="310" w:name="_Toc16574"/>
      <w:bookmarkStart w:id="311" w:name="_Toc24609"/>
      <w:bookmarkStart w:id="312" w:name="_Toc162360237"/>
      <w:bookmarkStart w:id="313" w:name="_Toc28100"/>
      <w:bookmarkStart w:id="314" w:name="_Toc16405"/>
      <w:bookmarkStart w:id="315" w:name="_Toc14705"/>
      <w:r>
        <w:t xml:space="preserve">Figura </w:t>
      </w:r>
      <w:r>
        <w:fldChar w:fldCharType="begin"/>
      </w:r>
      <w:r>
        <w:instrText xml:space="preserve"> SEQ Figura \* ARABIC </w:instrText>
      </w:r>
      <w:r>
        <w:fldChar w:fldCharType="separate"/>
      </w:r>
      <w:r>
        <w:t>13</w:t>
      </w:r>
      <w:r>
        <w:fldChar w:fldCharType="end"/>
      </w:r>
      <w:bookmarkStart w:id="316" w:name="_Toc27432"/>
      <w:bookmarkStart w:id="317" w:name="_Toc28005"/>
      <w:bookmarkStart w:id="318" w:name="_Toc29369"/>
      <w:bookmarkStart w:id="319" w:name="_Toc9995"/>
      <w:bookmarkStart w:id="320" w:name="_Toc22592"/>
      <w:bookmarkStart w:id="321" w:name="_Toc31813"/>
      <w:bookmarkStart w:id="322" w:name="_Toc22227"/>
      <w:bookmarkStart w:id="323" w:name="_Toc4974"/>
      <w:bookmarkStart w:id="324" w:name="_Toc4775"/>
      <w:bookmarkStart w:id="325" w:name="_Toc30546"/>
      <w:bookmarkStart w:id="326" w:name="_Toc15465"/>
      <w:bookmarkEnd w:id="308"/>
      <w:r>
        <w:t xml:space="preserve"> - </w:t>
      </w:r>
      <w:r>
        <w:rPr>
          <w:rFonts w:cs="Times New Roman"/>
        </w:rPr>
        <w:t>Dispozitiv (gură) pentru pentru admisia aerului în caz de incendiu și pentru pentru evacuarea fumului în caz de incendiu</w:t>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p w14:paraId="2D4039F0" w14:textId="77777777" w:rsidR="001C08A5" w:rsidRDefault="00000000">
      <w:pPr>
        <w:pStyle w:val="BodyText"/>
        <w:rPr>
          <w:b w:val="0"/>
          <w:bCs w:val="0"/>
          <w:sz w:val="22"/>
          <w:szCs w:val="22"/>
        </w:rPr>
      </w:pPr>
      <w:r>
        <w:rPr>
          <w:sz w:val="22"/>
          <w:szCs w:val="22"/>
        </w:rPr>
        <w:t xml:space="preserve">Notă Figura 14: </w:t>
      </w:r>
      <w:r>
        <w:rPr>
          <w:b w:val="0"/>
          <w:bCs w:val="0"/>
          <w:sz w:val="22"/>
          <w:szCs w:val="22"/>
        </w:rPr>
        <w:t xml:space="preserve">Amplasarea dispozitivelor pentru pentru admisia aerului (în treimea inferioară, la max </w:t>
      </w:r>
      <w:r>
        <w:rPr>
          <w:sz w:val="22"/>
          <w:szCs w:val="22"/>
        </w:rPr>
        <w:t>1,00 m</w:t>
      </w:r>
      <w:r>
        <w:rPr>
          <w:b w:val="0"/>
          <w:bCs w:val="0"/>
          <w:sz w:val="22"/>
          <w:szCs w:val="22"/>
        </w:rPr>
        <w:t xml:space="preserve"> față de statul finit al pardoselii) în caz de incendiu și pentru pentru evacuarea fumului în caz de incendiu din </w:t>
      </w:r>
      <w:r>
        <w:rPr>
          <w:sz w:val="22"/>
          <w:szCs w:val="22"/>
        </w:rPr>
        <w:t>Figura 14</w:t>
      </w:r>
      <w:r>
        <w:rPr>
          <w:b w:val="0"/>
          <w:bCs w:val="0"/>
          <w:sz w:val="22"/>
          <w:szCs w:val="22"/>
        </w:rPr>
        <w:t xml:space="preserve"> se utilizează pentru spatii/încăperi cu înălțimea liberă de maxim </w:t>
      </w:r>
      <w:r>
        <w:rPr>
          <w:sz w:val="22"/>
          <w:szCs w:val="22"/>
        </w:rPr>
        <w:t>3,00 m</w:t>
      </w:r>
      <w:r>
        <w:rPr>
          <w:b w:val="0"/>
          <w:bCs w:val="0"/>
          <w:sz w:val="22"/>
          <w:szCs w:val="22"/>
        </w:rPr>
        <w:t xml:space="preserve">. Pentru cele cu înălțimea mai mare de </w:t>
      </w:r>
      <w:r>
        <w:rPr>
          <w:sz w:val="22"/>
          <w:szCs w:val="22"/>
        </w:rPr>
        <w:t>3,00 m</w:t>
      </w:r>
      <w:r>
        <w:rPr>
          <w:b w:val="0"/>
          <w:bCs w:val="0"/>
          <w:sz w:val="22"/>
          <w:szCs w:val="22"/>
        </w:rPr>
        <w:t xml:space="preserve"> dispozitivele pentru admisia aerului în caz de incendiu se amplasează în treimea </w:t>
      </w:r>
      <w:r>
        <w:rPr>
          <w:b w:val="0"/>
          <w:bCs w:val="0"/>
          <w:sz w:val="22"/>
          <w:szCs w:val="22"/>
        </w:rPr>
        <w:lastRenderedPageBreak/>
        <w:t>inferioară iar cele pentru evacuarea fumului în caz de incendiu se amplasează în treimea superioară, raportat la înălțimea spațiului/încăperii.</w:t>
      </w:r>
    </w:p>
    <w:p w14:paraId="13FB788B" w14:textId="77777777" w:rsidR="001C08A5" w:rsidRDefault="001C08A5">
      <w:pPr>
        <w:pStyle w:val="BodyText"/>
        <w:rPr>
          <w:b w:val="0"/>
          <w:bCs w:val="0"/>
          <w:sz w:val="22"/>
          <w:szCs w:val="22"/>
          <w:lang w:eastAsia="ro-RO"/>
        </w:rPr>
      </w:pPr>
    </w:p>
    <w:p w14:paraId="314C237F" w14:textId="77777777" w:rsidR="001C08A5" w:rsidRDefault="00000000">
      <w:pPr>
        <w:widowControl w:val="0"/>
        <w:numPr>
          <w:ilvl w:val="0"/>
          <w:numId w:val="10"/>
        </w:numPr>
        <w:tabs>
          <w:tab w:val="clear" w:pos="425"/>
        </w:tabs>
        <w:jc w:val="both"/>
        <w:rPr>
          <w:i/>
          <w:iCs/>
          <w:sz w:val="24"/>
          <w:szCs w:val="24"/>
        </w:rPr>
      </w:pPr>
      <w:r>
        <w:rPr>
          <w:b/>
          <w:i/>
          <w:iCs/>
          <w:sz w:val="24"/>
          <w:szCs w:val="24"/>
        </w:rPr>
        <w:t>Elemente structurale</w:t>
      </w:r>
      <w:r>
        <w:rPr>
          <w:i/>
          <w:iCs/>
          <w:sz w:val="24"/>
          <w:szCs w:val="24"/>
        </w:rPr>
        <w:t xml:space="preserve"> - elemente portante ale unei construcții, care asigură stabilitatea acesteia în caz de incendiu.</w:t>
      </w:r>
    </w:p>
    <w:p w14:paraId="50FA7F0D" w14:textId="77777777" w:rsidR="001C08A5" w:rsidRDefault="001C08A5">
      <w:pPr>
        <w:tabs>
          <w:tab w:val="left" w:pos="567"/>
        </w:tabs>
        <w:jc w:val="both"/>
        <w:rPr>
          <w:i/>
          <w:iCs/>
          <w:sz w:val="24"/>
          <w:szCs w:val="24"/>
        </w:rPr>
      </w:pPr>
    </w:p>
    <w:p w14:paraId="34E8ED3D" w14:textId="77777777" w:rsidR="001C08A5" w:rsidRDefault="00000000">
      <w:pPr>
        <w:numPr>
          <w:ilvl w:val="0"/>
          <w:numId w:val="10"/>
        </w:numPr>
        <w:jc w:val="both"/>
        <w:rPr>
          <w:i/>
          <w:iCs/>
          <w:sz w:val="24"/>
          <w:szCs w:val="24"/>
          <w:lang w:eastAsia="ro-RO"/>
        </w:rPr>
      </w:pPr>
      <w:r>
        <w:rPr>
          <w:b/>
          <w:bCs/>
          <w:i/>
          <w:iCs/>
          <w:sz w:val="24"/>
          <w:szCs w:val="24"/>
          <w:lang w:eastAsia="ro-RO"/>
        </w:rPr>
        <w:t>Element pentru construcţii</w:t>
      </w:r>
      <w:r>
        <w:rPr>
          <w:i/>
          <w:iCs/>
          <w:sz w:val="24"/>
          <w:szCs w:val="24"/>
          <w:lang w:eastAsia="ro-RO"/>
        </w:rPr>
        <w:t xml:space="preserve"> - parte integrantă a unei construcţii (planşee, pereţi, grinzi, stâlpi, uşi şi treceri, fațade, etc.)</w:t>
      </w:r>
    </w:p>
    <w:p w14:paraId="66E21CFE" w14:textId="77777777" w:rsidR="001C08A5" w:rsidRDefault="001C08A5">
      <w:pPr>
        <w:jc w:val="both"/>
        <w:rPr>
          <w:i/>
          <w:iCs/>
          <w:sz w:val="24"/>
          <w:szCs w:val="24"/>
          <w:lang w:eastAsia="ro-RO"/>
        </w:rPr>
      </w:pPr>
    </w:p>
    <w:p w14:paraId="0B7F2254" w14:textId="77777777" w:rsidR="001C08A5" w:rsidRDefault="00000000">
      <w:pPr>
        <w:widowControl w:val="0"/>
        <w:numPr>
          <w:ilvl w:val="0"/>
          <w:numId w:val="10"/>
        </w:numPr>
        <w:jc w:val="both"/>
        <w:rPr>
          <w:i/>
          <w:iCs/>
          <w:sz w:val="24"/>
          <w:szCs w:val="24"/>
          <w:lang w:eastAsia="ro-RO"/>
        </w:rPr>
      </w:pPr>
      <w:r>
        <w:rPr>
          <w:b/>
          <w:bCs/>
          <w:i/>
          <w:iCs/>
          <w:sz w:val="24"/>
          <w:szCs w:val="24"/>
          <w:lang w:eastAsia="ro-RO"/>
        </w:rPr>
        <w:t>Element de separare</w:t>
      </w:r>
      <w:r>
        <w:rPr>
          <w:i/>
          <w:iCs/>
          <w:sz w:val="24"/>
          <w:szCs w:val="24"/>
          <w:lang w:eastAsia="ro-RO"/>
        </w:rPr>
        <w:t xml:space="preserve"> - barieră materială destinată să reziste la propagarea incendiului de la o parte a barierei pe partea opusă.</w:t>
      </w:r>
    </w:p>
    <w:p w14:paraId="2754B321" w14:textId="77777777" w:rsidR="001C08A5" w:rsidRDefault="00000000">
      <w:pPr>
        <w:numPr>
          <w:ilvl w:val="0"/>
          <w:numId w:val="19"/>
        </w:numPr>
        <w:jc w:val="both"/>
        <w:rPr>
          <w:i/>
          <w:iCs/>
          <w:sz w:val="24"/>
          <w:szCs w:val="24"/>
          <w:lang w:eastAsia="ro-RO"/>
        </w:rPr>
      </w:pPr>
      <w:r>
        <w:rPr>
          <w:b/>
          <w:bCs/>
          <w:i/>
          <w:iCs/>
          <w:sz w:val="24"/>
          <w:szCs w:val="24"/>
          <w:lang w:eastAsia="ro-RO"/>
        </w:rPr>
        <w:t>Perete de separare a compartimentelor de incendiu (perete antifoc)</w:t>
      </w:r>
      <w:r>
        <w:rPr>
          <w:i/>
          <w:iCs/>
          <w:sz w:val="24"/>
          <w:szCs w:val="24"/>
          <w:lang w:eastAsia="ro-RO"/>
        </w:rPr>
        <w:t xml:space="preserve"> - element vertical de separare a două construcţii sau porţiuni ale uneii construcţii, alcătuit cu materiale clasa de reacţie la foc </w:t>
      </w:r>
      <w:r>
        <w:rPr>
          <w:b/>
          <w:bCs/>
          <w:i/>
          <w:iCs/>
          <w:sz w:val="24"/>
          <w:szCs w:val="24"/>
          <w:lang w:eastAsia="ro-RO"/>
        </w:rPr>
        <w:t>A1</w:t>
      </w:r>
      <w:r>
        <w:rPr>
          <w:i/>
          <w:iCs/>
          <w:sz w:val="24"/>
          <w:szCs w:val="24"/>
          <w:lang w:eastAsia="ro-RO"/>
        </w:rPr>
        <w:t xml:space="preserve"> sau </w:t>
      </w:r>
      <w:r>
        <w:rPr>
          <w:b/>
          <w:bCs/>
          <w:i/>
          <w:iCs/>
          <w:sz w:val="24"/>
          <w:szCs w:val="24"/>
          <w:lang w:eastAsia="ro-RO"/>
        </w:rPr>
        <w:t>A2s1d0</w:t>
      </w:r>
      <w:r>
        <w:rPr>
          <w:i/>
          <w:iCs/>
          <w:sz w:val="24"/>
          <w:szCs w:val="24"/>
          <w:lang w:eastAsia="ro-RO"/>
        </w:rPr>
        <w:t xml:space="preserve">, conceput şi realizat astfel încât să asigure rezistenţa la foc normată minimum </w:t>
      </w:r>
      <w:r>
        <w:rPr>
          <w:b/>
          <w:bCs/>
          <w:i/>
          <w:iCs/>
          <w:sz w:val="24"/>
          <w:szCs w:val="24"/>
          <w:lang w:eastAsia="ro-RO"/>
        </w:rPr>
        <w:t>REI 180 sau EI</w:t>
      </w:r>
      <w:r>
        <w:rPr>
          <w:b/>
          <w:bCs/>
          <w:i/>
          <w:iCs/>
          <w:sz w:val="24"/>
          <w:szCs w:val="24"/>
          <w:lang w:val="en-US" w:eastAsia="ro-RO"/>
        </w:rPr>
        <w:t>-M</w:t>
      </w:r>
      <w:r>
        <w:rPr>
          <w:b/>
          <w:bCs/>
          <w:i/>
          <w:iCs/>
          <w:sz w:val="24"/>
          <w:szCs w:val="24"/>
          <w:lang w:eastAsia="ro-RO"/>
        </w:rPr>
        <w:t xml:space="preserve"> 180</w:t>
      </w:r>
      <w:r>
        <w:rPr>
          <w:rStyle w:val="FontStyle48"/>
          <w:rFonts w:ascii="Times New Roman" w:hAnsi="Times New Roman" w:cs="Times New Roman"/>
          <w:b w:val="0"/>
          <w:bCs w:val="0"/>
          <w:i/>
          <w:iCs/>
          <w:spacing w:val="8"/>
          <w:sz w:val="24"/>
          <w:szCs w:val="24"/>
          <w:lang w:eastAsia="ro-RO"/>
        </w:rPr>
        <w:t xml:space="preserve">(include și rezistența la acțiuni orizontale care se manifestă pe durata incendiului în gruparea de încărcări specifică acestei situații de proiectare), </w:t>
      </w:r>
      <w:r>
        <w:rPr>
          <w:i/>
          <w:iCs/>
          <w:sz w:val="24"/>
          <w:szCs w:val="24"/>
          <w:lang w:eastAsia="ro-RO"/>
        </w:rPr>
        <w:t>împiedicând propagarea focului dincolo de perete în cazul prăbuşirii structurii pe una din părţile peretelui de separare.</w:t>
      </w:r>
    </w:p>
    <w:p w14:paraId="7768BED2" w14:textId="77777777" w:rsidR="001C08A5" w:rsidRDefault="00000000">
      <w:pPr>
        <w:numPr>
          <w:ilvl w:val="0"/>
          <w:numId w:val="19"/>
        </w:numPr>
        <w:jc w:val="both"/>
        <w:rPr>
          <w:i/>
          <w:iCs/>
          <w:sz w:val="24"/>
          <w:szCs w:val="24"/>
          <w:lang w:eastAsia="ro-RO"/>
        </w:rPr>
      </w:pPr>
      <w:r>
        <w:rPr>
          <w:b/>
          <w:bCs/>
          <w:i/>
          <w:iCs/>
          <w:sz w:val="24"/>
          <w:szCs w:val="24"/>
          <w:lang w:eastAsia="ro-RO"/>
        </w:rPr>
        <w:t>Planșeu de separare a compartimentelor de incendiu (planșeu antifoc)</w:t>
      </w:r>
      <w:r>
        <w:rPr>
          <w:i/>
          <w:iCs/>
          <w:sz w:val="24"/>
          <w:szCs w:val="24"/>
          <w:lang w:eastAsia="ro-RO"/>
        </w:rPr>
        <w:t xml:space="preserve"> - element orizontal sau inclinat de separare a două porţiuni de construcţie,  realizat din materiale clasa de reacţie la foc </w:t>
      </w:r>
      <w:r>
        <w:rPr>
          <w:b/>
          <w:bCs/>
          <w:i/>
          <w:iCs/>
          <w:sz w:val="24"/>
          <w:szCs w:val="24"/>
          <w:lang w:eastAsia="ro-RO"/>
        </w:rPr>
        <w:t>A1</w:t>
      </w:r>
      <w:r>
        <w:rPr>
          <w:i/>
          <w:iCs/>
          <w:sz w:val="24"/>
          <w:szCs w:val="24"/>
          <w:lang w:eastAsia="ro-RO"/>
        </w:rPr>
        <w:t xml:space="preserve"> sau </w:t>
      </w:r>
      <w:r>
        <w:rPr>
          <w:b/>
          <w:bCs/>
          <w:i/>
          <w:iCs/>
          <w:sz w:val="24"/>
          <w:szCs w:val="24"/>
          <w:lang w:eastAsia="ro-RO"/>
        </w:rPr>
        <w:t>A2s1d0</w:t>
      </w:r>
      <w:r>
        <w:rPr>
          <w:i/>
          <w:iCs/>
          <w:sz w:val="24"/>
          <w:szCs w:val="24"/>
          <w:lang w:eastAsia="ro-RO"/>
        </w:rPr>
        <w:t xml:space="preserve">, conceput şi realizat astfel încât să asigure rezistenţa la foc normată minimum </w:t>
      </w:r>
      <w:r>
        <w:rPr>
          <w:b/>
          <w:bCs/>
          <w:i/>
          <w:iCs/>
          <w:sz w:val="24"/>
          <w:szCs w:val="24"/>
          <w:lang w:eastAsia="ro-RO"/>
        </w:rPr>
        <w:t>REI 120</w:t>
      </w:r>
      <w:r>
        <w:rPr>
          <w:i/>
          <w:iCs/>
          <w:sz w:val="24"/>
          <w:szCs w:val="24"/>
          <w:lang w:eastAsia="ro-RO"/>
        </w:rPr>
        <w:t>.</w:t>
      </w:r>
    </w:p>
    <w:p w14:paraId="086D6339" w14:textId="77777777" w:rsidR="001C08A5" w:rsidRDefault="00000000">
      <w:pPr>
        <w:numPr>
          <w:ilvl w:val="0"/>
          <w:numId w:val="19"/>
        </w:numPr>
        <w:jc w:val="both"/>
        <w:rPr>
          <w:i/>
          <w:iCs/>
          <w:sz w:val="24"/>
          <w:szCs w:val="24"/>
          <w:lang w:eastAsia="ro-RO"/>
        </w:rPr>
      </w:pPr>
      <w:r>
        <w:rPr>
          <w:b/>
          <w:i/>
          <w:iCs/>
          <w:sz w:val="24"/>
          <w:szCs w:val="24"/>
        </w:rPr>
        <w:t>Perete sau planşeu rezistent la foc</w:t>
      </w:r>
      <w:r>
        <w:rPr>
          <w:i/>
          <w:iCs/>
          <w:sz w:val="24"/>
          <w:szCs w:val="24"/>
        </w:rPr>
        <w:t xml:space="preserve"> - element al construcţie, vertical/orizontal sau înclinat, având rezistenţa la foc cel puţin egală cu nivelul normat (funcţie de rolul de protecţie la foc pe care îl are).</w:t>
      </w:r>
    </w:p>
    <w:p w14:paraId="67842898" w14:textId="77777777" w:rsidR="001C08A5" w:rsidRDefault="00000000">
      <w:pPr>
        <w:numPr>
          <w:ilvl w:val="0"/>
          <w:numId w:val="19"/>
        </w:numPr>
        <w:jc w:val="both"/>
        <w:rPr>
          <w:i/>
          <w:iCs/>
          <w:sz w:val="24"/>
          <w:szCs w:val="24"/>
          <w:lang w:eastAsia="ro-RO"/>
        </w:rPr>
      </w:pPr>
      <w:r>
        <w:rPr>
          <w:b/>
          <w:i/>
          <w:iCs/>
          <w:sz w:val="24"/>
          <w:szCs w:val="24"/>
        </w:rPr>
        <w:t xml:space="preserve">Perete sau planşeu rezistent la explozie </w:t>
      </w:r>
      <w:r>
        <w:rPr>
          <w:i/>
          <w:iCs/>
          <w:sz w:val="24"/>
          <w:szCs w:val="24"/>
        </w:rPr>
        <w:t xml:space="preserve">- element de construcţie vertical, orizontal sau înclinat, realizat din materiale fără goluri interioare, clasa de reacţie la foc </w:t>
      </w:r>
      <w:r>
        <w:rPr>
          <w:b/>
          <w:bCs/>
          <w:i/>
          <w:iCs/>
          <w:sz w:val="24"/>
          <w:szCs w:val="24"/>
        </w:rPr>
        <w:t>A1</w:t>
      </w:r>
      <w:r>
        <w:rPr>
          <w:i/>
          <w:iCs/>
          <w:sz w:val="24"/>
          <w:szCs w:val="24"/>
        </w:rPr>
        <w:t>, (cu exceptiile prevăzute de către normativ în capitolele dedicate ”exploziei”), alcătuit şi dimensionat astfel încât să reziste la presiunea exploziei volumetrice dintr-un spaţiu închis. Atunci când separă compartimente de incendiu, elementele trebuie să îndeplinească și condiţiile normate de rezistenţă la foc.</w:t>
      </w:r>
    </w:p>
    <w:p w14:paraId="54163379" w14:textId="77777777" w:rsidR="001C08A5" w:rsidRDefault="00000000">
      <w:pPr>
        <w:numPr>
          <w:ilvl w:val="0"/>
          <w:numId w:val="19"/>
        </w:numPr>
        <w:jc w:val="both"/>
        <w:rPr>
          <w:i/>
          <w:iCs/>
          <w:sz w:val="24"/>
          <w:szCs w:val="24"/>
          <w:lang w:eastAsia="ro-RO"/>
        </w:rPr>
      </w:pPr>
      <w:r>
        <w:rPr>
          <w:b/>
          <w:bCs/>
          <w:i/>
          <w:iCs/>
          <w:sz w:val="24"/>
          <w:szCs w:val="24"/>
          <w:lang w:eastAsia="ro-RO"/>
        </w:rPr>
        <w:t>Element de construcţie rezistent la explozie</w:t>
      </w:r>
      <w:r>
        <w:rPr>
          <w:i/>
          <w:iCs/>
          <w:sz w:val="24"/>
          <w:szCs w:val="24"/>
          <w:lang w:eastAsia="ro-RO"/>
        </w:rPr>
        <w:t xml:space="preserve"> – produse certificate conform Directivei 2014/34/UE – ATEX .</w:t>
      </w:r>
    </w:p>
    <w:p w14:paraId="72C18424" w14:textId="77777777" w:rsidR="001C08A5" w:rsidRDefault="00000000">
      <w:pPr>
        <w:numPr>
          <w:ilvl w:val="1"/>
          <w:numId w:val="19"/>
        </w:numPr>
        <w:jc w:val="both"/>
        <w:rPr>
          <w:i/>
          <w:iCs/>
          <w:sz w:val="24"/>
          <w:szCs w:val="24"/>
          <w:lang w:eastAsia="ro-RO"/>
        </w:rPr>
      </w:pPr>
      <w:r>
        <w:rPr>
          <w:b/>
          <w:bCs/>
          <w:i/>
          <w:iCs/>
          <w:sz w:val="24"/>
          <w:szCs w:val="24"/>
          <w:lang w:eastAsia="ro-RO"/>
        </w:rPr>
        <w:t xml:space="preserve">Explozie (volumetrică) </w:t>
      </w:r>
      <w:r>
        <w:rPr>
          <w:i/>
          <w:iCs/>
          <w:sz w:val="24"/>
          <w:szCs w:val="24"/>
          <w:lang w:eastAsia="ro-RO"/>
        </w:rPr>
        <w:t>– expansiune bruscă a unui gaz care poate rezulta dintr-o reacţie rapidă de oxidare sau de descompunere, cu sau fără creştere de temperatură.</w:t>
      </w:r>
    </w:p>
    <w:p w14:paraId="04F75B75" w14:textId="77777777" w:rsidR="001C08A5" w:rsidRDefault="00000000">
      <w:pPr>
        <w:jc w:val="both"/>
        <w:rPr>
          <w:i/>
          <w:iCs/>
          <w:sz w:val="22"/>
          <w:szCs w:val="22"/>
          <w:lang w:eastAsia="ro-RO"/>
        </w:rPr>
      </w:pPr>
      <w:r>
        <w:rPr>
          <w:b/>
          <w:bCs/>
          <w:i/>
          <w:iCs/>
          <w:sz w:val="22"/>
          <w:szCs w:val="22"/>
          <w:lang w:eastAsia="ro-RO"/>
        </w:rPr>
        <w:t>Notă</w:t>
      </w:r>
      <w:r>
        <w:rPr>
          <w:i/>
          <w:iCs/>
          <w:sz w:val="22"/>
          <w:szCs w:val="22"/>
          <w:lang w:eastAsia="ro-RO"/>
        </w:rPr>
        <w:t xml:space="preserve">: Perete rezistent la explozie poate fi considerat (în lipsa altor calcule) un perete alcătuit din materiale care la lovire nu produc scântei, respectiv un perete din beton armat minimum </w:t>
      </w:r>
      <w:r>
        <w:rPr>
          <w:b/>
          <w:bCs/>
          <w:i/>
          <w:iCs/>
          <w:sz w:val="22"/>
          <w:szCs w:val="22"/>
          <w:lang w:eastAsia="ro-RO"/>
        </w:rPr>
        <w:t>B 200</w:t>
      </w:r>
      <w:r>
        <w:rPr>
          <w:b/>
          <w:bCs/>
          <w:i/>
          <w:iCs/>
          <w:sz w:val="22"/>
          <w:szCs w:val="22"/>
          <w:lang w:val="en-US" w:eastAsia="ro-RO"/>
        </w:rPr>
        <w:t xml:space="preserve"> (clasa C12/15)</w:t>
      </w:r>
      <w:r>
        <w:rPr>
          <w:i/>
          <w:iCs/>
          <w:sz w:val="22"/>
          <w:szCs w:val="22"/>
          <w:lang w:eastAsia="ro-RO"/>
        </w:rPr>
        <w:t xml:space="preserve">, cu grosimea de minimum </w:t>
      </w:r>
      <w:r>
        <w:rPr>
          <w:b/>
          <w:bCs/>
          <w:i/>
          <w:iCs/>
          <w:sz w:val="22"/>
          <w:szCs w:val="22"/>
          <w:lang w:val="en-US" w:eastAsia="ro-RO"/>
        </w:rPr>
        <w:t xml:space="preserve">15 </w:t>
      </w:r>
      <w:r>
        <w:rPr>
          <w:b/>
          <w:bCs/>
          <w:i/>
          <w:iCs/>
          <w:sz w:val="22"/>
          <w:szCs w:val="22"/>
          <w:lang w:eastAsia="ro-RO"/>
        </w:rPr>
        <w:t>cm</w:t>
      </w:r>
      <w:r>
        <w:rPr>
          <w:i/>
          <w:iCs/>
          <w:sz w:val="22"/>
          <w:szCs w:val="22"/>
          <w:lang w:eastAsia="ro-RO"/>
        </w:rPr>
        <w:t xml:space="preserve">, cu un procent de armare de cel puţin </w:t>
      </w:r>
      <w:r>
        <w:rPr>
          <w:b/>
          <w:bCs/>
          <w:i/>
          <w:iCs/>
          <w:sz w:val="22"/>
          <w:szCs w:val="22"/>
          <w:lang w:eastAsia="ro-RO"/>
        </w:rPr>
        <w:t>0,1%</w:t>
      </w:r>
      <w:r>
        <w:rPr>
          <w:i/>
          <w:iCs/>
          <w:sz w:val="22"/>
          <w:szCs w:val="22"/>
          <w:lang w:eastAsia="ro-RO"/>
        </w:rPr>
        <w:t>, sau din cărămidă roşie plină,</w:t>
      </w:r>
      <w:r>
        <w:rPr>
          <w:i/>
          <w:iCs/>
          <w:sz w:val="22"/>
          <w:szCs w:val="22"/>
          <w:lang w:val="en-US" w:eastAsia="ro-RO"/>
        </w:rPr>
        <w:t xml:space="preserve"> armat cu plasă sudată de oțel pe ambele fețe,</w:t>
      </w:r>
      <w:r>
        <w:rPr>
          <w:i/>
          <w:iCs/>
          <w:sz w:val="22"/>
          <w:szCs w:val="22"/>
          <w:lang w:eastAsia="ro-RO"/>
        </w:rPr>
        <w:t xml:space="preserve"> cu grosime de </w:t>
      </w:r>
      <w:r>
        <w:rPr>
          <w:b/>
          <w:bCs/>
          <w:i/>
          <w:iCs/>
          <w:sz w:val="22"/>
          <w:szCs w:val="22"/>
          <w:lang w:eastAsia="ro-RO"/>
        </w:rPr>
        <w:t>37,5 cm</w:t>
      </w:r>
      <w:r>
        <w:rPr>
          <w:i/>
          <w:iCs/>
          <w:sz w:val="22"/>
          <w:szCs w:val="22"/>
          <w:lang w:eastAsia="ro-RO"/>
        </w:rPr>
        <w:t xml:space="preserve"> și mortar marca </w:t>
      </w:r>
      <w:r>
        <w:rPr>
          <w:b/>
          <w:bCs/>
          <w:i/>
          <w:iCs/>
          <w:sz w:val="22"/>
          <w:szCs w:val="22"/>
          <w:lang w:eastAsia="ro-RO"/>
        </w:rPr>
        <w:t>M 25</w:t>
      </w:r>
      <w:r>
        <w:rPr>
          <w:i/>
          <w:iCs/>
          <w:sz w:val="22"/>
          <w:szCs w:val="22"/>
          <w:lang w:eastAsia="ro-RO"/>
        </w:rPr>
        <w:t>.</w:t>
      </w:r>
    </w:p>
    <w:p w14:paraId="207C4D14" w14:textId="77777777" w:rsidR="001C08A5" w:rsidRDefault="00000000">
      <w:pPr>
        <w:numPr>
          <w:ilvl w:val="0"/>
          <w:numId w:val="19"/>
        </w:numPr>
        <w:jc w:val="both"/>
        <w:rPr>
          <w:i/>
          <w:iCs/>
          <w:sz w:val="24"/>
          <w:szCs w:val="24"/>
          <w:lang w:eastAsia="ro-RO"/>
        </w:rPr>
      </w:pPr>
      <w:r>
        <w:rPr>
          <w:b/>
          <w:i/>
          <w:iCs/>
          <w:sz w:val="24"/>
          <w:szCs w:val="24"/>
        </w:rPr>
        <w:t>Perete portant</w:t>
      </w:r>
      <w:r>
        <w:rPr>
          <w:i/>
          <w:iCs/>
          <w:sz w:val="24"/>
          <w:szCs w:val="24"/>
        </w:rPr>
        <w:t xml:space="preserve"> - element de construcţie vertical cu rol structural.</w:t>
      </w:r>
    </w:p>
    <w:p w14:paraId="5BA5CD3C" w14:textId="77777777" w:rsidR="001C08A5" w:rsidRDefault="00000000">
      <w:pPr>
        <w:numPr>
          <w:ilvl w:val="0"/>
          <w:numId w:val="19"/>
        </w:numPr>
        <w:jc w:val="both"/>
        <w:rPr>
          <w:i/>
          <w:iCs/>
          <w:sz w:val="24"/>
          <w:szCs w:val="24"/>
        </w:rPr>
      </w:pPr>
      <w:r>
        <w:rPr>
          <w:b/>
          <w:i/>
          <w:iCs/>
          <w:sz w:val="24"/>
          <w:szCs w:val="24"/>
        </w:rPr>
        <w:t>Perete neportant</w:t>
      </w:r>
      <w:r>
        <w:rPr>
          <w:i/>
          <w:iCs/>
          <w:sz w:val="24"/>
          <w:szCs w:val="24"/>
        </w:rPr>
        <w:t xml:space="preserve"> - element de construcţie vertical sau înclinat, fără rol structural.</w:t>
      </w:r>
    </w:p>
    <w:p w14:paraId="02BF4FE4" w14:textId="77777777" w:rsidR="001C08A5" w:rsidRDefault="001C08A5">
      <w:pPr>
        <w:jc w:val="center"/>
        <w:rPr>
          <w:i/>
          <w:iCs/>
          <w:sz w:val="24"/>
          <w:szCs w:val="24"/>
          <w:lang w:eastAsia="ro-RO"/>
        </w:rPr>
      </w:pPr>
    </w:p>
    <w:p w14:paraId="0068902F" w14:textId="77777777" w:rsidR="001C08A5" w:rsidRDefault="00000000">
      <w:pPr>
        <w:widowControl w:val="0"/>
        <w:numPr>
          <w:ilvl w:val="0"/>
          <w:numId w:val="10"/>
        </w:numPr>
        <w:jc w:val="both"/>
        <w:rPr>
          <w:i/>
          <w:iCs/>
          <w:strike/>
          <w:sz w:val="24"/>
          <w:szCs w:val="24"/>
        </w:rPr>
      </w:pPr>
      <w:r>
        <w:rPr>
          <w:b/>
          <w:i/>
          <w:iCs/>
          <w:sz w:val="24"/>
          <w:szCs w:val="24"/>
        </w:rPr>
        <w:t>Element de vitraj izolant</w:t>
      </w:r>
      <w:r>
        <w:rPr>
          <w:i/>
          <w:iCs/>
          <w:sz w:val="24"/>
          <w:szCs w:val="24"/>
        </w:rPr>
        <w:t xml:space="preserve"> - ansamblu constituit din cel puțin două panouri de sticlă, separate de una sau mai multe baghete-distanțier, sigilate ermetic de-a lungul perimetrului, stabil și rezistent din punct de vedere mecanic. Panourile de sticlă pot fi de tip monolitic sau de tip stratificat, acestea din urmă fiind alcătuite din cel puțin două panouri de sticlă lipite între ele cu una sau mai multe folii speciale.</w:t>
      </w:r>
    </w:p>
    <w:p w14:paraId="467010F3" w14:textId="77777777" w:rsidR="001C08A5" w:rsidRDefault="001C08A5">
      <w:pPr>
        <w:jc w:val="both"/>
        <w:rPr>
          <w:i/>
          <w:iCs/>
          <w:strike/>
          <w:sz w:val="24"/>
          <w:szCs w:val="24"/>
        </w:rPr>
      </w:pPr>
    </w:p>
    <w:p w14:paraId="54471BC1" w14:textId="77777777" w:rsidR="001C08A5" w:rsidRDefault="00000000">
      <w:pPr>
        <w:numPr>
          <w:ilvl w:val="0"/>
          <w:numId w:val="10"/>
        </w:numPr>
        <w:jc w:val="both"/>
        <w:rPr>
          <w:i/>
          <w:iCs/>
          <w:sz w:val="24"/>
          <w:szCs w:val="24"/>
        </w:rPr>
      </w:pPr>
      <w:r>
        <w:rPr>
          <w:b/>
          <w:i/>
          <w:iCs/>
          <w:sz w:val="24"/>
          <w:szCs w:val="24"/>
        </w:rPr>
        <w:t>Element de vitraj simplu</w:t>
      </w:r>
      <w:r>
        <w:rPr>
          <w:i/>
          <w:iCs/>
          <w:sz w:val="24"/>
          <w:szCs w:val="24"/>
        </w:rPr>
        <w:t xml:space="preserve"> - panou format dintr-o sticlă de tip monolitic sau de tip stratificat.</w:t>
      </w:r>
    </w:p>
    <w:p w14:paraId="470090C2" w14:textId="77777777" w:rsidR="001C08A5" w:rsidRDefault="001C08A5">
      <w:pPr>
        <w:jc w:val="both"/>
        <w:rPr>
          <w:i/>
          <w:iCs/>
          <w:sz w:val="24"/>
          <w:szCs w:val="24"/>
        </w:rPr>
      </w:pPr>
    </w:p>
    <w:p w14:paraId="7BBE2D8D" w14:textId="77777777" w:rsidR="001C08A5" w:rsidRDefault="00000000">
      <w:pPr>
        <w:widowControl w:val="0"/>
        <w:numPr>
          <w:ilvl w:val="0"/>
          <w:numId w:val="10"/>
        </w:numPr>
        <w:jc w:val="both"/>
        <w:rPr>
          <w:i/>
          <w:iCs/>
          <w:sz w:val="24"/>
          <w:szCs w:val="24"/>
          <w:lang w:eastAsia="ro-RO"/>
        </w:rPr>
      </w:pPr>
      <w:r>
        <w:rPr>
          <w:b/>
          <w:bCs/>
          <w:i/>
          <w:iCs/>
          <w:sz w:val="24"/>
          <w:szCs w:val="24"/>
          <w:lang w:eastAsia="ro-RO"/>
        </w:rPr>
        <w:t>Evacuare</w:t>
      </w:r>
      <w:r>
        <w:rPr>
          <w:i/>
          <w:iCs/>
          <w:sz w:val="24"/>
          <w:szCs w:val="24"/>
          <w:lang w:eastAsia="ro-RO"/>
        </w:rPr>
        <w:t xml:space="preserve"> - o acţiune efectuată pentru a ajunge la un </w:t>
      </w:r>
      <w:r>
        <w:rPr>
          <w:b/>
          <w:bCs/>
          <w:i/>
          <w:iCs/>
          <w:sz w:val="24"/>
          <w:szCs w:val="24"/>
          <w:lang w:eastAsia="ro-RO"/>
        </w:rPr>
        <w:t>refugiu sigur</w:t>
      </w:r>
      <w:r>
        <w:rPr>
          <w:i/>
          <w:iCs/>
          <w:sz w:val="24"/>
          <w:szCs w:val="24"/>
          <w:lang w:eastAsia="ro-RO"/>
        </w:rPr>
        <w:t xml:space="preserve"> sau într-o </w:t>
      </w:r>
      <w:r>
        <w:rPr>
          <w:b/>
          <w:bCs/>
          <w:i/>
          <w:iCs/>
          <w:sz w:val="24"/>
          <w:szCs w:val="24"/>
          <w:lang w:eastAsia="ro-RO"/>
        </w:rPr>
        <w:t xml:space="preserve">zonă de </w:t>
      </w:r>
      <w:r>
        <w:rPr>
          <w:b/>
          <w:bCs/>
          <w:i/>
          <w:iCs/>
          <w:sz w:val="24"/>
          <w:szCs w:val="24"/>
          <w:lang w:eastAsia="ro-RO"/>
        </w:rPr>
        <w:lastRenderedPageBreak/>
        <w:t>securitate</w:t>
      </w:r>
      <w:r>
        <w:rPr>
          <w:i/>
          <w:iCs/>
          <w:sz w:val="24"/>
          <w:szCs w:val="24"/>
          <w:lang w:eastAsia="ro-RO"/>
        </w:rPr>
        <w:t>;</w:t>
      </w:r>
    </w:p>
    <w:p w14:paraId="49E67A93" w14:textId="77777777" w:rsidR="001C08A5" w:rsidRDefault="00000000">
      <w:pPr>
        <w:widowControl w:val="0"/>
        <w:numPr>
          <w:ilvl w:val="0"/>
          <w:numId w:val="20"/>
        </w:numPr>
        <w:tabs>
          <w:tab w:val="clear" w:pos="425"/>
        </w:tabs>
        <w:ind w:firstLine="1255"/>
        <w:jc w:val="both"/>
        <w:rPr>
          <w:i/>
          <w:iCs/>
          <w:sz w:val="24"/>
          <w:szCs w:val="24"/>
          <w:lang w:eastAsia="ro-RO"/>
        </w:rPr>
      </w:pPr>
      <w:r>
        <w:rPr>
          <w:b/>
          <w:bCs/>
          <w:i/>
          <w:iCs/>
          <w:sz w:val="24"/>
          <w:szCs w:val="24"/>
          <w:lang w:eastAsia="ro-RO"/>
        </w:rPr>
        <w:t xml:space="preserve">Refugiu sigur </w:t>
      </w:r>
      <w:r>
        <w:rPr>
          <w:i/>
          <w:iCs/>
          <w:sz w:val="24"/>
          <w:szCs w:val="24"/>
          <w:lang w:eastAsia="ro-RO"/>
        </w:rPr>
        <w:t xml:space="preserve">- amplasament temporar care asigură protecție la un pericol imediat datorat efectelor incendiului </w:t>
      </w:r>
      <w:r>
        <w:rPr>
          <w:rFonts w:eastAsia="Times-Roman"/>
          <w:i/>
          <w:iCs/>
          <w:sz w:val="24"/>
          <w:szCs w:val="24"/>
          <w:lang w:eastAsia="ro-RO"/>
        </w:rPr>
        <w:t>(conform</w:t>
      </w:r>
      <w:r>
        <w:rPr>
          <w:rFonts w:eastAsia="Times-Roman"/>
          <w:i/>
          <w:iCs/>
          <w:sz w:val="24"/>
          <w:szCs w:val="24"/>
          <w:lang w:val="en-US" w:eastAsia="ro-RO"/>
        </w:rPr>
        <w:t xml:space="preserve"> </w:t>
      </w:r>
      <w:r>
        <w:rPr>
          <w:rFonts w:eastAsia="Times-Roman"/>
          <w:b/>
          <w:bCs/>
          <w:i/>
          <w:iCs/>
          <w:sz w:val="24"/>
          <w:szCs w:val="24"/>
          <w:lang w:val="en-US" w:eastAsia="ro-RO"/>
        </w:rPr>
        <w:fldChar w:fldCharType="begin"/>
      </w:r>
      <w:r>
        <w:rPr>
          <w:rFonts w:eastAsia="Times-Roman"/>
          <w:b/>
          <w:bCs/>
          <w:i/>
          <w:iCs/>
          <w:sz w:val="24"/>
          <w:szCs w:val="24"/>
          <w:lang w:val="en-US" w:eastAsia="ro-RO"/>
        </w:rPr>
        <w:instrText xml:space="preserve"> REF _Ref6260 \h </w:instrText>
      </w:r>
      <w:r>
        <w:rPr>
          <w:rFonts w:eastAsia="Times-Roman"/>
          <w:b/>
          <w:bCs/>
          <w:i/>
          <w:iCs/>
          <w:sz w:val="24"/>
          <w:szCs w:val="24"/>
          <w:lang w:val="en-US" w:eastAsia="ro-RO"/>
        </w:rPr>
      </w:r>
      <w:r>
        <w:rPr>
          <w:rFonts w:eastAsia="Times-Roman"/>
          <w:b/>
          <w:bCs/>
          <w:i/>
          <w:iCs/>
          <w:sz w:val="24"/>
          <w:szCs w:val="24"/>
          <w:lang w:val="en-US" w:eastAsia="ro-RO"/>
        </w:rPr>
        <w:fldChar w:fldCharType="separate"/>
      </w:r>
      <w:r>
        <w:t>Figura 14</w:t>
      </w:r>
      <w:r>
        <w:rPr>
          <w:rFonts w:eastAsia="Times-Roman"/>
          <w:b/>
          <w:bCs/>
          <w:i/>
          <w:iCs/>
          <w:sz w:val="24"/>
          <w:szCs w:val="24"/>
          <w:lang w:val="en-US" w:eastAsia="ro-RO"/>
        </w:rPr>
        <w:fldChar w:fldCharType="end"/>
      </w:r>
      <w:r>
        <w:rPr>
          <w:rFonts w:eastAsia="Times-Roman"/>
          <w:i/>
          <w:iCs/>
          <w:sz w:val="24"/>
          <w:szCs w:val="24"/>
          <w:lang w:eastAsia="ro-RO"/>
        </w:rPr>
        <w:t>)</w:t>
      </w:r>
      <w:r>
        <w:rPr>
          <w:i/>
          <w:iCs/>
          <w:sz w:val="24"/>
          <w:szCs w:val="24"/>
          <w:lang w:eastAsia="ro-RO"/>
        </w:rPr>
        <w:t xml:space="preserve">; </w:t>
      </w:r>
    </w:p>
    <w:p w14:paraId="29F93916" w14:textId="77777777" w:rsidR="001C08A5" w:rsidRDefault="00000000">
      <w:pPr>
        <w:widowControl w:val="0"/>
        <w:jc w:val="both"/>
      </w:pPr>
      <w:r>
        <w:rPr>
          <w:b/>
          <w:bCs/>
          <w:i/>
          <w:iCs/>
          <w:sz w:val="22"/>
          <w:szCs w:val="22"/>
          <w:lang w:eastAsia="ro-RO"/>
        </w:rPr>
        <w:t>Notă</w:t>
      </w:r>
      <w:r>
        <w:rPr>
          <w:i/>
          <w:iCs/>
          <w:sz w:val="22"/>
          <w:szCs w:val="22"/>
          <w:lang w:eastAsia="ro-RO"/>
        </w:rPr>
        <w:t xml:space="preserve">: De exemplu, un loc în care o persoană într-un fotoliu rulant poate aştepta ajutoare într-o securitate relativă. De asemenea, poate fi o zonă de aşteptare în clădirile înalte, foarte înalte sau cu persoane care nu se pot evacua singure (conform definiție), care lasă persoanelor şansa de a se odihni înainte de a continua evacuarea lor spre o </w:t>
      </w:r>
      <w:r>
        <w:rPr>
          <w:b/>
          <w:bCs/>
          <w:i/>
          <w:iCs/>
          <w:sz w:val="22"/>
          <w:szCs w:val="22"/>
          <w:lang w:eastAsia="ro-RO"/>
        </w:rPr>
        <w:t>zonă de securitate</w:t>
      </w:r>
      <w:r>
        <w:rPr>
          <w:i/>
          <w:iCs/>
          <w:sz w:val="22"/>
          <w:szCs w:val="22"/>
          <w:lang w:eastAsia="ro-RO"/>
        </w:rPr>
        <w:t xml:space="preserve"> (sau de a aștepta echipele de salvare pentru a le evacua catre o zona de siguranță); </w:t>
      </w:r>
    </w:p>
    <w:p w14:paraId="590FD91B" w14:textId="77777777" w:rsidR="001C08A5" w:rsidRDefault="00000000">
      <w:pPr>
        <w:widowControl w:val="0"/>
        <w:ind w:left="425"/>
        <w:jc w:val="center"/>
        <w:rPr>
          <w:lang w:eastAsia="ro-RO"/>
        </w:rPr>
      </w:pPr>
      <w:r>
        <w:rPr>
          <w:noProof/>
          <w:lang w:eastAsia="ro-RO"/>
        </w:rPr>
        <w:drawing>
          <wp:inline distT="0" distB="0" distL="0" distR="0" wp14:anchorId="2759E66B" wp14:editId="3EE9670B">
            <wp:extent cx="4388485" cy="2905125"/>
            <wp:effectExtent l="0" t="0" r="12065" b="9525"/>
            <wp:docPr id="1052" name="Picture 21"/>
            <wp:cNvGraphicFramePr/>
            <a:graphic xmlns:a="http://schemas.openxmlformats.org/drawingml/2006/main">
              <a:graphicData uri="http://schemas.openxmlformats.org/drawingml/2006/picture">
                <pic:pic xmlns:pic="http://schemas.openxmlformats.org/drawingml/2006/picture">
                  <pic:nvPicPr>
                    <pic:cNvPr id="1052" name="Picture 21"/>
                    <pic:cNvPicPr/>
                  </pic:nvPicPr>
                  <pic:blipFill>
                    <a:blip r:embed="rId71" cstate="print"/>
                    <a:srcRect l="20426" t="7025" r="15370" b="29483"/>
                    <a:stretch>
                      <a:fillRect/>
                    </a:stretch>
                  </pic:blipFill>
                  <pic:spPr>
                    <a:xfrm>
                      <a:off x="0" y="0"/>
                      <a:ext cx="4388485" cy="2905125"/>
                    </a:xfrm>
                    <a:prstGeom prst="rect">
                      <a:avLst/>
                    </a:prstGeom>
                    <a:ln>
                      <a:noFill/>
                    </a:ln>
                  </pic:spPr>
                </pic:pic>
              </a:graphicData>
            </a:graphic>
          </wp:inline>
        </w:drawing>
      </w:r>
    </w:p>
    <w:p w14:paraId="5008D206" w14:textId="77777777" w:rsidR="001C08A5" w:rsidRDefault="001C08A5">
      <w:pPr>
        <w:widowControl w:val="0"/>
        <w:ind w:left="425"/>
        <w:jc w:val="center"/>
        <w:rPr>
          <w:lang w:eastAsia="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3"/>
        <w:gridCol w:w="3214"/>
      </w:tblGrid>
      <w:tr w:rsidR="001C08A5" w14:paraId="4656D538" w14:textId="77777777">
        <w:tc>
          <w:tcPr>
            <w:tcW w:w="3285" w:type="dxa"/>
          </w:tcPr>
          <w:p w14:paraId="7D6E1BA0" w14:textId="77777777" w:rsidR="001C08A5" w:rsidRDefault="00000000">
            <w:pPr>
              <w:jc w:val="center"/>
              <w:rPr>
                <w:b/>
                <w:bCs/>
                <w:i/>
                <w:iCs/>
                <w:sz w:val="22"/>
                <w:szCs w:val="22"/>
              </w:rPr>
            </w:pPr>
            <w:r>
              <w:rPr>
                <w:b/>
                <w:bCs/>
                <w:i/>
                <w:iCs/>
                <w:sz w:val="22"/>
                <w:szCs w:val="22"/>
              </w:rPr>
              <w:t>Varianta a)</w:t>
            </w:r>
          </w:p>
        </w:tc>
        <w:tc>
          <w:tcPr>
            <w:tcW w:w="3285" w:type="dxa"/>
          </w:tcPr>
          <w:p w14:paraId="0426B51A" w14:textId="77777777" w:rsidR="001C08A5" w:rsidRDefault="00000000">
            <w:pPr>
              <w:jc w:val="center"/>
              <w:rPr>
                <w:b/>
                <w:bCs/>
                <w:i/>
                <w:iCs/>
                <w:sz w:val="22"/>
                <w:szCs w:val="22"/>
              </w:rPr>
            </w:pPr>
            <w:r>
              <w:rPr>
                <w:b/>
                <w:bCs/>
                <w:i/>
                <w:iCs/>
                <w:sz w:val="22"/>
                <w:szCs w:val="22"/>
              </w:rPr>
              <w:t>Varianta b)</w:t>
            </w:r>
          </w:p>
        </w:tc>
        <w:tc>
          <w:tcPr>
            <w:tcW w:w="3286" w:type="dxa"/>
          </w:tcPr>
          <w:p w14:paraId="5BFE502E" w14:textId="77777777" w:rsidR="001C08A5" w:rsidRDefault="00000000">
            <w:pPr>
              <w:jc w:val="center"/>
              <w:rPr>
                <w:b/>
                <w:bCs/>
                <w:i/>
                <w:iCs/>
                <w:sz w:val="22"/>
                <w:szCs w:val="22"/>
              </w:rPr>
            </w:pPr>
            <w:r>
              <w:rPr>
                <w:b/>
                <w:bCs/>
                <w:i/>
                <w:iCs/>
                <w:sz w:val="22"/>
                <w:szCs w:val="22"/>
              </w:rPr>
              <w:t>Varianta c)</w:t>
            </w:r>
          </w:p>
        </w:tc>
      </w:tr>
    </w:tbl>
    <w:p w14:paraId="0C3E9D63" w14:textId="77777777" w:rsidR="001C08A5" w:rsidRDefault="00000000">
      <w:pPr>
        <w:pStyle w:val="Caption"/>
        <w:widowControl w:val="0"/>
        <w:jc w:val="center"/>
        <w:rPr>
          <w:rFonts w:cs="Times New Roman"/>
          <w:lang w:eastAsia="ro-RO"/>
        </w:rPr>
      </w:pPr>
      <w:bookmarkStart w:id="327" w:name="_Ref6260"/>
      <w:bookmarkStart w:id="328" w:name="_Toc2699"/>
      <w:bookmarkStart w:id="329" w:name="_Toc11418"/>
      <w:bookmarkStart w:id="330" w:name="_Toc11598"/>
      <w:bookmarkStart w:id="331" w:name="_Toc24718"/>
      <w:bookmarkStart w:id="332" w:name="_Toc23540"/>
      <w:bookmarkStart w:id="333" w:name="_Toc162360238"/>
      <w:bookmarkStart w:id="334" w:name="_Toc720"/>
      <w:r>
        <w:t xml:space="preserve">Figura </w:t>
      </w:r>
      <w:r>
        <w:fldChar w:fldCharType="begin"/>
      </w:r>
      <w:r>
        <w:instrText xml:space="preserve"> SEQ Figura \* ARABIC </w:instrText>
      </w:r>
      <w:r>
        <w:fldChar w:fldCharType="separate"/>
      </w:r>
      <w:r>
        <w:t>14</w:t>
      </w:r>
      <w:r>
        <w:fldChar w:fldCharType="end"/>
      </w:r>
      <w:bookmarkStart w:id="335" w:name="_Toc18375"/>
      <w:bookmarkStart w:id="336" w:name="_Toc6841"/>
      <w:bookmarkStart w:id="337" w:name="_Toc684"/>
      <w:bookmarkStart w:id="338" w:name="_Toc10817"/>
      <w:bookmarkStart w:id="339" w:name="_Toc3684"/>
      <w:bookmarkStart w:id="340" w:name="_Toc28998"/>
      <w:bookmarkStart w:id="341" w:name="_Toc31789"/>
      <w:bookmarkStart w:id="342" w:name="_Toc1067"/>
      <w:bookmarkStart w:id="343" w:name="_Toc4851"/>
      <w:bookmarkStart w:id="344" w:name="_Toc494"/>
      <w:bookmarkStart w:id="345" w:name="_Toc26990"/>
      <w:bookmarkEnd w:id="327"/>
      <w:r>
        <w:t xml:space="preserve"> - </w:t>
      </w:r>
      <w:r>
        <w:rPr>
          <w:rFonts w:cs="Times New Roman"/>
          <w:bCs/>
          <w:lang w:eastAsia="ro-RO"/>
        </w:rPr>
        <w:t>Refugiu sigur (reprezentat printr-un p</w:t>
      </w:r>
      <w:r>
        <w:rPr>
          <w:rFonts w:cs="Times New Roman"/>
          <w:lang w:eastAsia="ro-RO"/>
        </w:rPr>
        <w:t>unct de staționare a persoanelor cu dizabilitati</w:t>
      </w:r>
      <w:r>
        <w:rPr>
          <w:rFonts w:cs="Times New Roman"/>
          <w:bCs/>
          <w:lang w:eastAsia="ro-RO"/>
        </w:rPr>
        <w:t>, fiind o zonă de securitate relativă de amplasare temporară a acestora)</w:t>
      </w:r>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14:paraId="5928A2D9" w14:textId="77777777" w:rsidR="001C08A5" w:rsidRDefault="00000000">
      <w:pPr>
        <w:widowControl w:val="0"/>
        <w:jc w:val="center"/>
        <w:rPr>
          <w:i/>
          <w:iCs/>
          <w:sz w:val="24"/>
          <w:szCs w:val="24"/>
          <w:lang w:eastAsia="ro-RO"/>
        </w:rPr>
      </w:pPr>
      <w:r>
        <w:rPr>
          <w:i/>
          <w:iCs/>
          <w:sz w:val="22"/>
          <w:szCs w:val="22"/>
          <w:lang w:eastAsia="ro-RO"/>
        </w:rPr>
        <w:t>Amplasare în scara de evacuare (</w:t>
      </w:r>
      <w:r>
        <w:rPr>
          <w:b/>
          <w:bCs/>
          <w:i/>
          <w:iCs/>
          <w:sz w:val="22"/>
          <w:szCs w:val="22"/>
          <w:lang w:eastAsia="ro-RO"/>
        </w:rPr>
        <w:t>varianta a și varianta b</w:t>
      </w:r>
      <w:r>
        <w:rPr>
          <w:i/>
          <w:iCs/>
          <w:sz w:val="22"/>
          <w:szCs w:val="22"/>
          <w:lang w:eastAsia="ro-RO"/>
        </w:rPr>
        <w:t>) sau în încaperea tampon ventilată în suprapresiune (</w:t>
      </w:r>
      <w:r>
        <w:rPr>
          <w:b/>
          <w:bCs/>
          <w:i/>
          <w:iCs/>
          <w:sz w:val="22"/>
          <w:szCs w:val="22"/>
          <w:lang w:eastAsia="ro-RO"/>
        </w:rPr>
        <w:t>varianta c</w:t>
      </w:r>
      <w:r>
        <w:rPr>
          <w:i/>
          <w:iCs/>
          <w:sz w:val="22"/>
          <w:szCs w:val="22"/>
          <w:lang w:eastAsia="ro-RO"/>
        </w:rPr>
        <w:t>).</w:t>
      </w:r>
    </w:p>
    <w:p w14:paraId="06FC4E67" w14:textId="77777777" w:rsidR="001C08A5" w:rsidRDefault="00000000">
      <w:pPr>
        <w:widowControl w:val="0"/>
        <w:numPr>
          <w:ilvl w:val="0"/>
          <w:numId w:val="20"/>
        </w:numPr>
        <w:tabs>
          <w:tab w:val="clear" w:pos="425"/>
        </w:tabs>
        <w:ind w:firstLine="1255"/>
        <w:jc w:val="both"/>
        <w:rPr>
          <w:i/>
          <w:iCs/>
          <w:sz w:val="24"/>
          <w:szCs w:val="24"/>
        </w:rPr>
      </w:pPr>
      <w:r>
        <w:rPr>
          <w:b/>
          <w:bCs/>
          <w:i/>
          <w:iCs/>
          <w:sz w:val="24"/>
          <w:szCs w:val="24"/>
        </w:rPr>
        <w:t>Zonă de securitate la incendiu</w:t>
      </w:r>
      <w:r>
        <w:rPr>
          <w:i/>
          <w:iCs/>
          <w:sz w:val="24"/>
          <w:szCs w:val="24"/>
        </w:rPr>
        <w:t xml:space="preserve">  - zonă fără pericol datorat unui incendiu în desfășurare și din care este posibilă deplasarea liberă fără expunere la efectele acestuia. În general, în cazul unui incendiu într-o clădire, zona de securitate este un loc în afara clădirii.Zonele protejate din interiorul unei clădiri pot fi considerate </w:t>
      </w:r>
      <w:r>
        <w:rPr>
          <w:b/>
          <w:bCs/>
          <w:i/>
          <w:iCs/>
          <w:sz w:val="24"/>
          <w:szCs w:val="24"/>
        </w:rPr>
        <w:t>zone de securitate relativă</w:t>
      </w:r>
      <w:r>
        <w:rPr>
          <w:i/>
          <w:iCs/>
          <w:sz w:val="24"/>
          <w:szCs w:val="24"/>
        </w:rPr>
        <w:t xml:space="preserve"> înainte de evacuarea din clădire.</w:t>
      </w:r>
    </w:p>
    <w:p w14:paraId="18588AA8" w14:textId="77777777" w:rsidR="001C08A5" w:rsidRDefault="00000000">
      <w:pPr>
        <w:widowControl w:val="0"/>
        <w:numPr>
          <w:ilvl w:val="0"/>
          <w:numId w:val="20"/>
        </w:numPr>
        <w:tabs>
          <w:tab w:val="clear" w:pos="425"/>
        </w:tabs>
        <w:ind w:firstLine="1255"/>
        <w:jc w:val="both"/>
        <w:rPr>
          <w:i/>
          <w:iCs/>
          <w:sz w:val="24"/>
          <w:szCs w:val="24"/>
        </w:rPr>
      </w:pPr>
      <w:r>
        <w:rPr>
          <w:b/>
          <w:bCs/>
          <w:i/>
          <w:iCs/>
          <w:sz w:val="24"/>
          <w:szCs w:val="24"/>
        </w:rPr>
        <w:t>Lungime cale de evacuare</w:t>
      </w:r>
      <w:r>
        <w:rPr>
          <w:i/>
          <w:iCs/>
          <w:sz w:val="24"/>
          <w:szCs w:val="24"/>
        </w:rPr>
        <w:t xml:space="preserve"> (evacuare în caz de incendiu) - distanță care trebuie parcursă, ocolind elementele de mobilier sau alte obstacole de o persoană de la un punct oarecare dintr-o construcție până la cea mai apropiată ieșire în exterior, încăpere tampon protejată, degajament protejat sau scară de evacuare. Lungimea căii de evacuare se calculează în axul traseului parcurs de la punctul de plecare al utilizatorului până la cea mai apropiată uşă de evacuare </w:t>
      </w:r>
      <w:r>
        <w:rPr>
          <w:rFonts w:eastAsia="Times-Roman"/>
          <w:i/>
          <w:iCs/>
          <w:sz w:val="24"/>
          <w:szCs w:val="24"/>
          <w:lang w:eastAsia="ro-RO"/>
        </w:rPr>
        <w:t>(conform</w:t>
      </w:r>
      <w:r>
        <w:rPr>
          <w:rFonts w:eastAsia="Times-Roman"/>
          <w:i/>
          <w:iCs/>
          <w:sz w:val="24"/>
          <w:szCs w:val="24"/>
          <w:lang w:val="en-US" w:eastAsia="ro-RO"/>
        </w:rPr>
        <w:t xml:space="preserve"> </w:t>
      </w:r>
      <w:r>
        <w:rPr>
          <w:rFonts w:eastAsia="Times-Roman"/>
          <w:b/>
          <w:bCs/>
          <w:i/>
          <w:iCs/>
          <w:sz w:val="24"/>
          <w:szCs w:val="24"/>
          <w:lang w:val="en-US" w:eastAsia="ro-RO"/>
        </w:rPr>
        <w:fldChar w:fldCharType="begin"/>
      </w:r>
      <w:r>
        <w:rPr>
          <w:rFonts w:eastAsia="Times-Roman"/>
          <w:b/>
          <w:bCs/>
          <w:i/>
          <w:iCs/>
          <w:sz w:val="24"/>
          <w:szCs w:val="24"/>
          <w:lang w:val="en-US" w:eastAsia="ro-RO"/>
        </w:rPr>
        <w:instrText xml:space="preserve"> REF _Ref6302 \h </w:instrText>
      </w:r>
      <w:r>
        <w:rPr>
          <w:rFonts w:eastAsia="Times-Roman"/>
          <w:b/>
          <w:bCs/>
          <w:i/>
          <w:iCs/>
          <w:sz w:val="24"/>
          <w:szCs w:val="24"/>
          <w:lang w:val="en-US" w:eastAsia="ro-RO"/>
        </w:rPr>
      </w:r>
      <w:r>
        <w:rPr>
          <w:rFonts w:eastAsia="Times-Roman"/>
          <w:b/>
          <w:bCs/>
          <w:i/>
          <w:iCs/>
          <w:sz w:val="24"/>
          <w:szCs w:val="24"/>
          <w:lang w:val="en-US" w:eastAsia="ro-RO"/>
        </w:rPr>
        <w:fldChar w:fldCharType="separate"/>
      </w:r>
      <w:r>
        <w:t>Figura 15</w:t>
      </w:r>
      <w:r>
        <w:rPr>
          <w:rFonts w:eastAsia="Times-Roman"/>
          <w:b/>
          <w:bCs/>
          <w:i/>
          <w:iCs/>
          <w:sz w:val="24"/>
          <w:szCs w:val="24"/>
          <w:lang w:val="en-US" w:eastAsia="ro-RO"/>
        </w:rPr>
        <w:fldChar w:fldCharType="end"/>
      </w:r>
      <w:r>
        <w:rPr>
          <w:rFonts w:eastAsia="Times-Roman"/>
          <w:i/>
          <w:iCs/>
          <w:sz w:val="24"/>
          <w:szCs w:val="24"/>
          <w:lang w:eastAsia="ro-RO"/>
        </w:rPr>
        <w:t>)</w:t>
      </w:r>
      <w:r>
        <w:rPr>
          <w:i/>
          <w:iCs/>
          <w:sz w:val="24"/>
          <w:szCs w:val="24"/>
        </w:rPr>
        <w:t>. Prin axul traseului parcurs se înțelege prin axul căilor de evacuare pe circulații comune orizontale și verticale (scări) precum și prin axul circulațiilor funcționale interioare din încăperi sau spații tip open space (ocolind obiecte de mobilier sau alte obstacole).</w:t>
      </w:r>
    </w:p>
    <w:p w14:paraId="17CBFC37" w14:textId="77777777" w:rsidR="001C08A5" w:rsidRDefault="001C08A5">
      <w:pPr>
        <w:widowControl w:val="0"/>
      </w:pPr>
    </w:p>
    <w:p w14:paraId="079791C4" w14:textId="77777777" w:rsidR="001C08A5" w:rsidRDefault="00000000">
      <w:pPr>
        <w:widowControl w:val="0"/>
        <w:ind w:left="425"/>
      </w:pPr>
      <w:r>
        <w:rPr>
          <w:noProof/>
          <w:lang w:eastAsia="ro-RO"/>
        </w:rPr>
        <w:lastRenderedPageBreak/>
        <w:drawing>
          <wp:inline distT="0" distB="0" distL="0" distR="0" wp14:anchorId="1B22F87A" wp14:editId="27A30DE1">
            <wp:extent cx="5738495" cy="3502025"/>
            <wp:effectExtent l="0" t="0" r="14605" b="3175"/>
            <wp:docPr id="1053" name="Picture 22"/>
            <wp:cNvGraphicFramePr/>
            <a:graphic xmlns:a="http://schemas.openxmlformats.org/drawingml/2006/main">
              <a:graphicData uri="http://schemas.openxmlformats.org/drawingml/2006/picture">
                <pic:pic xmlns:pic="http://schemas.openxmlformats.org/drawingml/2006/picture">
                  <pic:nvPicPr>
                    <pic:cNvPr id="1053" name="Picture 22"/>
                    <pic:cNvPicPr/>
                  </pic:nvPicPr>
                  <pic:blipFill>
                    <a:blip r:embed="rId72" cstate="print"/>
                    <a:srcRect l="13998" t="20561" r="8606" b="7892"/>
                    <a:stretch>
                      <a:fillRect/>
                    </a:stretch>
                  </pic:blipFill>
                  <pic:spPr>
                    <a:xfrm>
                      <a:off x="0" y="0"/>
                      <a:ext cx="5738495" cy="3502025"/>
                    </a:xfrm>
                    <a:prstGeom prst="rect">
                      <a:avLst/>
                    </a:prstGeom>
                    <a:ln>
                      <a:noFill/>
                    </a:ln>
                  </pic:spPr>
                </pic:pic>
              </a:graphicData>
            </a:graphic>
          </wp:inline>
        </w:drawing>
      </w:r>
    </w:p>
    <w:p w14:paraId="5CBFC021" w14:textId="77777777" w:rsidR="001C08A5" w:rsidRDefault="00000000">
      <w:pPr>
        <w:widowControl w:val="0"/>
        <w:ind w:left="425"/>
        <w:jc w:val="center"/>
        <w:rPr>
          <w:b/>
          <w:bCs/>
          <w:i/>
          <w:iCs/>
          <w:sz w:val="22"/>
          <w:szCs w:val="22"/>
          <w:lang w:eastAsia="zh-CN"/>
        </w:rPr>
      </w:pPr>
      <w:r>
        <w:rPr>
          <w:b/>
          <w:bCs/>
          <w:i/>
          <w:iCs/>
          <w:sz w:val="22"/>
          <w:szCs w:val="22"/>
        </w:rPr>
        <w:t>Varianta a) - Lungimi de evacuare la clădiri cu înălțime obișnuită î</w:t>
      </w:r>
      <w:r>
        <w:rPr>
          <w:b/>
          <w:bCs/>
          <w:i/>
          <w:iCs/>
          <w:sz w:val="22"/>
          <w:szCs w:val="22"/>
          <w:lang w:eastAsia="zh-CN"/>
        </w:rPr>
        <w:t xml:space="preserve">n interiorul încăperilor </w:t>
      </w:r>
      <w:r>
        <w:rPr>
          <w:b/>
          <w:bCs/>
          <w:i/>
          <w:iCs/>
          <w:sz w:val="22"/>
          <w:szCs w:val="22"/>
        </w:rPr>
        <w:t xml:space="preserve">prin axul circulațiilor funcționale interioare (ocolind obiecte de mobilier sau alte obstacole) și lungimi </w:t>
      </w:r>
      <w:r>
        <w:rPr>
          <w:b/>
          <w:bCs/>
          <w:i/>
          <w:iCs/>
          <w:sz w:val="22"/>
          <w:szCs w:val="22"/>
          <w:lang w:eastAsia="zh-CN"/>
        </w:rPr>
        <w:t>pe circulații comune orizontale (în axul căii de evcuare)</w:t>
      </w:r>
    </w:p>
    <w:p w14:paraId="433A871B" w14:textId="77777777" w:rsidR="001C08A5" w:rsidRDefault="001C08A5">
      <w:pPr>
        <w:widowControl w:val="0"/>
        <w:jc w:val="both"/>
      </w:pPr>
    </w:p>
    <w:p w14:paraId="375DFDD6" w14:textId="77777777" w:rsidR="001C08A5" w:rsidRDefault="00000000">
      <w:pPr>
        <w:widowControl w:val="0"/>
        <w:jc w:val="center"/>
      </w:pPr>
      <w:r>
        <w:rPr>
          <w:noProof/>
          <w:lang w:eastAsia="ro-RO"/>
        </w:rPr>
        <w:drawing>
          <wp:inline distT="0" distB="0" distL="0" distR="0" wp14:anchorId="35583500" wp14:editId="13F606B0">
            <wp:extent cx="5930265" cy="3968750"/>
            <wp:effectExtent l="0" t="0" r="13335" b="12700"/>
            <wp:docPr id="1054" name="Picture 23"/>
            <wp:cNvGraphicFramePr/>
            <a:graphic xmlns:a="http://schemas.openxmlformats.org/drawingml/2006/main">
              <a:graphicData uri="http://schemas.openxmlformats.org/drawingml/2006/picture">
                <pic:pic xmlns:pic="http://schemas.openxmlformats.org/drawingml/2006/picture">
                  <pic:nvPicPr>
                    <pic:cNvPr id="1054" name="Picture 23"/>
                    <pic:cNvPicPr/>
                  </pic:nvPicPr>
                  <pic:blipFill>
                    <a:blip r:embed="rId73" cstate="print"/>
                    <a:srcRect l="12847" t="9602" r="7337" b="9086"/>
                    <a:stretch>
                      <a:fillRect/>
                    </a:stretch>
                  </pic:blipFill>
                  <pic:spPr>
                    <a:xfrm>
                      <a:off x="0" y="0"/>
                      <a:ext cx="5930265" cy="3968750"/>
                    </a:xfrm>
                    <a:prstGeom prst="rect">
                      <a:avLst/>
                    </a:prstGeom>
                    <a:ln>
                      <a:noFill/>
                    </a:ln>
                  </pic:spPr>
                </pic:pic>
              </a:graphicData>
            </a:graphic>
          </wp:inline>
        </w:drawing>
      </w:r>
    </w:p>
    <w:p w14:paraId="2BDFCB37" w14:textId="77777777" w:rsidR="001C08A5" w:rsidRDefault="00000000">
      <w:pPr>
        <w:widowControl w:val="0"/>
        <w:ind w:left="425"/>
        <w:jc w:val="center"/>
        <w:rPr>
          <w:b/>
          <w:bCs/>
          <w:i/>
          <w:iCs/>
          <w:sz w:val="22"/>
          <w:szCs w:val="22"/>
          <w:lang w:eastAsia="zh-CN"/>
        </w:rPr>
      </w:pPr>
      <w:r>
        <w:rPr>
          <w:b/>
          <w:bCs/>
          <w:i/>
          <w:iCs/>
          <w:sz w:val="22"/>
          <w:szCs w:val="22"/>
        </w:rPr>
        <w:t>Varianta b)  - Lungimi de evacuare la clădiri înalte sau foarte înalte î</w:t>
      </w:r>
      <w:r>
        <w:rPr>
          <w:b/>
          <w:bCs/>
          <w:i/>
          <w:iCs/>
          <w:sz w:val="22"/>
          <w:szCs w:val="22"/>
          <w:lang w:eastAsia="zh-CN"/>
        </w:rPr>
        <w:t xml:space="preserve">n interiorul încăperilor </w:t>
      </w:r>
      <w:r>
        <w:rPr>
          <w:b/>
          <w:bCs/>
          <w:i/>
          <w:iCs/>
          <w:sz w:val="22"/>
          <w:szCs w:val="22"/>
        </w:rPr>
        <w:t>prin axul circulațiilor funcționale interioare (ocolind obiecte de mobilier sau alte obstacole)</w:t>
      </w:r>
      <w:r>
        <w:rPr>
          <w:b/>
          <w:bCs/>
          <w:i/>
          <w:iCs/>
          <w:sz w:val="22"/>
          <w:szCs w:val="22"/>
          <w:lang w:eastAsia="zh-CN"/>
        </w:rPr>
        <w:t xml:space="preserve"> și </w:t>
      </w:r>
      <w:r>
        <w:rPr>
          <w:b/>
          <w:bCs/>
          <w:i/>
          <w:iCs/>
          <w:sz w:val="22"/>
          <w:szCs w:val="22"/>
        </w:rPr>
        <w:t xml:space="preserve">lungimi </w:t>
      </w:r>
      <w:r>
        <w:rPr>
          <w:b/>
          <w:bCs/>
          <w:i/>
          <w:iCs/>
          <w:sz w:val="22"/>
          <w:szCs w:val="22"/>
          <w:lang w:eastAsia="zh-CN"/>
        </w:rPr>
        <w:t>pe circulații comune orizontale (în axul căii de evcuare)</w:t>
      </w:r>
    </w:p>
    <w:p w14:paraId="4383D9F7" w14:textId="77777777" w:rsidR="001C08A5" w:rsidRDefault="001C08A5">
      <w:pPr>
        <w:widowControl w:val="0"/>
        <w:ind w:left="425"/>
        <w:jc w:val="center"/>
        <w:rPr>
          <w:b/>
          <w:bCs/>
          <w:i/>
          <w:iCs/>
          <w:sz w:val="24"/>
          <w:szCs w:val="24"/>
          <w:lang w:eastAsia="zh-CN"/>
        </w:rPr>
      </w:pPr>
    </w:p>
    <w:p w14:paraId="344DC288" w14:textId="77777777" w:rsidR="001C08A5" w:rsidRDefault="00000000">
      <w:pPr>
        <w:widowControl w:val="0"/>
        <w:jc w:val="both"/>
        <w:rPr>
          <w:i/>
          <w:iCs/>
          <w:sz w:val="22"/>
          <w:szCs w:val="22"/>
        </w:rPr>
      </w:pPr>
      <w:r>
        <w:rPr>
          <w:i/>
          <w:iCs/>
          <w:sz w:val="22"/>
          <w:szCs w:val="22"/>
        </w:rPr>
        <w:t xml:space="preserve">Notă la </w:t>
      </w:r>
      <w:r>
        <w:rPr>
          <w:b/>
          <w:bCs/>
          <w:i/>
          <w:iCs/>
          <w:sz w:val="22"/>
          <w:szCs w:val="22"/>
        </w:rPr>
        <w:fldChar w:fldCharType="begin"/>
      </w:r>
      <w:r>
        <w:rPr>
          <w:b/>
          <w:bCs/>
          <w:i/>
          <w:iCs/>
          <w:sz w:val="22"/>
          <w:szCs w:val="22"/>
        </w:rPr>
        <w:instrText xml:space="preserve"> REF _Ref6302 \h </w:instrText>
      </w:r>
      <w:r>
        <w:rPr>
          <w:b/>
          <w:bCs/>
          <w:i/>
          <w:iCs/>
          <w:sz w:val="22"/>
          <w:szCs w:val="22"/>
        </w:rPr>
      </w:r>
      <w:r>
        <w:rPr>
          <w:b/>
          <w:bCs/>
          <w:i/>
          <w:iCs/>
          <w:sz w:val="22"/>
          <w:szCs w:val="22"/>
        </w:rPr>
        <w:fldChar w:fldCharType="separate"/>
      </w:r>
      <w:r>
        <w:t>Figura 15</w:t>
      </w:r>
      <w:r>
        <w:rPr>
          <w:b/>
          <w:bCs/>
          <w:i/>
          <w:iCs/>
          <w:sz w:val="22"/>
          <w:szCs w:val="22"/>
        </w:rPr>
        <w:fldChar w:fldCharType="end"/>
      </w:r>
      <w:r>
        <w:rPr>
          <w:i/>
          <w:iCs/>
          <w:sz w:val="22"/>
          <w:szCs w:val="22"/>
        </w:rPr>
        <w:t xml:space="preserve"> Varianta a) și Varianta b): liniile punctate din interiorul încăperilor reprezintă lungimea de evacuare normată (valoarea maximă pentru o direcție/ ”coridor înfundat”) conform funcțiune sau tip clădire</w:t>
      </w:r>
    </w:p>
    <w:p w14:paraId="262CA12B" w14:textId="77777777" w:rsidR="001C08A5" w:rsidRDefault="001C08A5">
      <w:pPr>
        <w:widowControl w:val="0"/>
        <w:jc w:val="center"/>
        <w:rPr>
          <w:lang w:eastAsia="ro-RO"/>
        </w:rPr>
      </w:pPr>
    </w:p>
    <w:p w14:paraId="192FA638" w14:textId="77777777" w:rsidR="001C08A5" w:rsidRDefault="00000000">
      <w:pPr>
        <w:widowControl w:val="0"/>
        <w:jc w:val="center"/>
        <w:rPr>
          <w:lang w:eastAsia="ro-RO"/>
        </w:rPr>
      </w:pPr>
      <w:r>
        <w:rPr>
          <w:noProof/>
          <w:lang w:eastAsia="ro-RO"/>
        </w:rPr>
        <w:lastRenderedPageBreak/>
        <w:drawing>
          <wp:inline distT="0" distB="0" distL="114300" distR="114300" wp14:anchorId="606B3E90" wp14:editId="0D4C1619">
            <wp:extent cx="4996815" cy="2273300"/>
            <wp:effectExtent l="0" t="0" r="13335" b="12700"/>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4"/>
                    <pic:cNvPicPr>
                      <a:picLocks noChangeAspect="1"/>
                    </pic:cNvPicPr>
                  </pic:nvPicPr>
                  <pic:blipFill>
                    <a:blip r:embed="rId74"/>
                    <a:srcRect l="21116" t="15633" r="12686" b="42476"/>
                    <a:stretch>
                      <a:fillRect/>
                    </a:stretch>
                  </pic:blipFill>
                  <pic:spPr>
                    <a:xfrm>
                      <a:off x="0" y="0"/>
                      <a:ext cx="4996815" cy="2273300"/>
                    </a:xfrm>
                    <a:prstGeom prst="rect">
                      <a:avLst/>
                    </a:prstGeom>
                    <a:noFill/>
                    <a:ln>
                      <a:noFill/>
                    </a:ln>
                  </pic:spPr>
                </pic:pic>
              </a:graphicData>
            </a:graphic>
          </wp:inline>
        </w:drawing>
      </w:r>
    </w:p>
    <w:p w14:paraId="540883A4" w14:textId="77777777" w:rsidR="001C08A5" w:rsidRDefault="00000000">
      <w:pPr>
        <w:widowControl w:val="0"/>
        <w:ind w:left="425"/>
        <w:jc w:val="center"/>
        <w:rPr>
          <w:b/>
          <w:bCs/>
          <w:i/>
          <w:iCs/>
          <w:sz w:val="22"/>
          <w:szCs w:val="22"/>
        </w:rPr>
      </w:pPr>
      <w:r>
        <w:rPr>
          <w:b/>
          <w:bCs/>
          <w:i/>
          <w:iCs/>
          <w:sz w:val="22"/>
          <w:szCs w:val="22"/>
        </w:rPr>
        <w:t>Varianta c) - Lungimi de evacuare în situația de ”coridor înfundat” (coridoarele sunt prevăzute cu pereți rezistenți la foc)</w:t>
      </w:r>
    </w:p>
    <w:p w14:paraId="65AF077D" w14:textId="77777777" w:rsidR="001C08A5" w:rsidRDefault="00000000">
      <w:pPr>
        <w:widowControl w:val="0"/>
        <w:jc w:val="both"/>
        <w:rPr>
          <w:i/>
          <w:iCs/>
          <w:sz w:val="22"/>
          <w:szCs w:val="22"/>
          <w:lang w:eastAsia="ro-RO"/>
        </w:rPr>
      </w:pPr>
      <w:r>
        <w:rPr>
          <w:rFonts w:eastAsia="Times-Roman"/>
          <w:b/>
          <w:bCs/>
          <w:i/>
          <w:iCs/>
          <w:sz w:val="22"/>
          <w:szCs w:val="22"/>
          <w:lang w:eastAsia="ro-RO"/>
        </w:rPr>
        <w:t xml:space="preserve">Note la </w:t>
      </w:r>
      <w:r>
        <w:rPr>
          <w:rFonts w:eastAsia="Times-Roman"/>
          <w:b/>
          <w:bCs/>
          <w:i/>
          <w:iCs/>
          <w:sz w:val="22"/>
          <w:szCs w:val="22"/>
          <w:lang w:eastAsia="ro-RO"/>
        </w:rPr>
        <w:fldChar w:fldCharType="begin"/>
      </w:r>
      <w:r>
        <w:rPr>
          <w:rFonts w:eastAsia="Times-Roman"/>
          <w:b/>
          <w:bCs/>
          <w:i/>
          <w:iCs/>
          <w:sz w:val="22"/>
          <w:szCs w:val="22"/>
          <w:lang w:eastAsia="ro-RO"/>
        </w:rPr>
        <w:instrText xml:space="preserve"> REF _Ref6302 \h </w:instrText>
      </w:r>
      <w:r>
        <w:rPr>
          <w:rFonts w:eastAsia="Times-Roman"/>
          <w:b/>
          <w:bCs/>
          <w:i/>
          <w:iCs/>
          <w:sz w:val="22"/>
          <w:szCs w:val="22"/>
          <w:lang w:eastAsia="ro-RO"/>
        </w:rPr>
      </w:r>
      <w:r>
        <w:rPr>
          <w:rFonts w:eastAsia="Times-Roman"/>
          <w:b/>
          <w:bCs/>
          <w:i/>
          <w:iCs/>
          <w:sz w:val="22"/>
          <w:szCs w:val="22"/>
          <w:lang w:eastAsia="ro-RO"/>
        </w:rPr>
        <w:fldChar w:fldCharType="separate"/>
      </w:r>
      <w:r>
        <w:t>Figura 15</w:t>
      </w:r>
      <w:r>
        <w:rPr>
          <w:rFonts w:eastAsia="Times-Roman"/>
          <w:b/>
          <w:bCs/>
          <w:i/>
          <w:iCs/>
          <w:sz w:val="22"/>
          <w:szCs w:val="22"/>
          <w:lang w:eastAsia="ro-RO"/>
        </w:rPr>
        <w:fldChar w:fldCharType="end"/>
      </w:r>
      <w:r>
        <w:rPr>
          <w:rFonts w:eastAsia="Times-Roman"/>
          <w:b/>
          <w:bCs/>
          <w:i/>
          <w:iCs/>
          <w:sz w:val="22"/>
          <w:szCs w:val="22"/>
          <w:lang w:eastAsia="ro-RO"/>
        </w:rPr>
        <w:t>, varianta c)</w:t>
      </w:r>
      <w:r>
        <w:rPr>
          <w:rFonts w:eastAsia="Times-Roman"/>
          <w:i/>
          <w:iCs/>
          <w:sz w:val="22"/>
          <w:szCs w:val="22"/>
          <w:lang w:eastAsia="ro-RO"/>
        </w:rPr>
        <w:t xml:space="preserve">: </w:t>
      </w:r>
      <w:r>
        <w:rPr>
          <w:rFonts w:eastAsia="Times-Roman"/>
          <w:i/>
          <w:iCs/>
          <w:sz w:val="22"/>
          <w:szCs w:val="22"/>
          <w:lang w:val="en-US" w:eastAsia="ro-RO"/>
        </w:rPr>
        <w:t xml:space="preserve">1) </w:t>
      </w:r>
      <w:r>
        <w:rPr>
          <w:i/>
          <w:iCs/>
          <w:sz w:val="22"/>
          <w:szCs w:val="22"/>
          <w:lang w:eastAsia="ro-RO"/>
        </w:rPr>
        <w:t xml:space="preserve">În cazul încăperilor delimitate de elemente de separare (perete) cu performanțe de rezistență la foc și doar în condițiile în care în interiorul încaperii nu se depășeste lungimea stabilită pentru evacuarea într-o direcție (lungime de coridor înfundat), lungimea căii de evacuare se măsoară de la ușa de acces din elementul de separare (perete) cu performanțe de rezistență la foc către circulațiile comune orizontale. </w:t>
      </w:r>
    </w:p>
    <w:p w14:paraId="06BF293F" w14:textId="77777777" w:rsidR="001C08A5" w:rsidRDefault="00000000">
      <w:pPr>
        <w:widowControl w:val="0"/>
        <w:numPr>
          <w:ilvl w:val="0"/>
          <w:numId w:val="21"/>
        </w:numPr>
        <w:ind w:firstLine="720"/>
        <w:jc w:val="both"/>
        <w:rPr>
          <w:i/>
          <w:iCs/>
          <w:sz w:val="22"/>
          <w:szCs w:val="22"/>
          <w:lang w:eastAsia="ro-RO"/>
        </w:rPr>
      </w:pPr>
      <w:r>
        <w:rPr>
          <w:i/>
          <w:iCs/>
          <w:sz w:val="22"/>
          <w:szCs w:val="22"/>
          <w:lang w:eastAsia="ro-RO"/>
        </w:rPr>
        <w:t>În cazul coridoarelor înfundate, pentru construcțiile la care sunt obligatorii două căi de evacuare, pentru încăperile delimitate de elemente de separare (perete) cu performanțe de rezistență la foc, lungimea căii de evacuare, măsurată de la ultima ușă a încăperii de la care se evacuează utilizatorii până la cea mai apropiată ieșire (</w:t>
      </w:r>
      <w:r>
        <w:rPr>
          <w:i/>
          <w:iCs/>
          <w:sz w:val="22"/>
          <w:szCs w:val="22"/>
          <w:lang w:eastAsia="zh-CN"/>
        </w:rPr>
        <w:t>ușa scării, a degajamentului protejat sau a a încaperii tampon protejată de acces la cea mai apropiată scară de evacuare ori o la o ușă/ ieșire direct în exterior</w:t>
      </w:r>
      <w:r>
        <w:rPr>
          <w:i/>
          <w:iCs/>
          <w:sz w:val="22"/>
          <w:szCs w:val="22"/>
          <w:lang w:eastAsia="ro-RO"/>
        </w:rPr>
        <w:t xml:space="preserve">), trebuie sa fie maximul valorii stabilite de normativ pentru o directie. </w:t>
      </w:r>
    </w:p>
    <w:p w14:paraId="6E9DF966" w14:textId="77777777" w:rsidR="001C08A5" w:rsidRDefault="00000000">
      <w:pPr>
        <w:widowControl w:val="0"/>
        <w:numPr>
          <w:ilvl w:val="0"/>
          <w:numId w:val="21"/>
        </w:numPr>
        <w:ind w:firstLine="720"/>
        <w:jc w:val="both"/>
        <w:rPr>
          <w:i/>
          <w:iCs/>
          <w:sz w:val="22"/>
          <w:szCs w:val="22"/>
          <w:lang w:eastAsia="ro-RO"/>
        </w:rPr>
      </w:pPr>
      <w:r>
        <w:rPr>
          <w:i/>
          <w:iCs/>
          <w:sz w:val="22"/>
          <w:szCs w:val="22"/>
          <w:lang w:eastAsia="ro-RO"/>
        </w:rPr>
        <w:t>Lungimea de evacuare în cazul coridoarelor înfundate până la cea de a doua ieșire (</w:t>
      </w:r>
      <w:r>
        <w:rPr>
          <w:i/>
          <w:iCs/>
          <w:sz w:val="22"/>
          <w:szCs w:val="22"/>
          <w:lang w:eastAsia="zh-CN"/>
        </w:rPr>
        <w:t>ușa scării, a degajamentului protejat sau a a încaperii tampon protejată de acces la cea mai apropiată scară de evacuare ori o la o ușă/ ieșire direct în exterior</w:t>
      </w:r>
      <w:r>
        <w:rPr>
          <w:i/>
          <w:iCs/>
          <w:sz w:val="22"/>
          <w:szCs w:val="22"/>
          <w:lang w:eastAsia="ro-RO"/>
        </w:rPr>
        <w:t>) nu este normată. De asemenea, distanța dintre ușile de evacuare prevăzute între cele două scări de evacuare în foarfecă nu este limitată (se recomandă ca aceasta să fie</w:t>
      </w:r>
      <w:r>
        <w:rPr>
          <w:rFonts w:hint="eastAsia"/>
          <w:b/>
          <w:bCs/>
          <w:i/>
          <w:iCs/>
          <w:sz w:val="22"/>
          <w:szCs w:val="22"/>
          <w:lang w:eastAsia="ro-RO"/>
        </w:rPr>
        <w:t>≥</w:t>
      </w:r>
      <w:r>
        <w:rPr>
          <w:b/>
          <w:bCs/>
          <w:i/>
          <w:iCs/>
          <w:sz w:val="22"/>
          <w:szCs w:val="22"/>
          <w:lang w:eastAsia="ro-RO"/>
        </w:rPr>
        <w:t xml:space="preserve"> 7</w:t>
      </w:r>
      <w:r>
        <w:rPr>
          <w:b/>
          <w:bCs/>
          <w:i/>
          <w:iCs/>
          <w:sz w:val="22"/>
          <w:szCs w:val="22"/>
          <w:lang w:val="en-US" w:eastAsia="ro-RO"/>
        </w:rPr>
        <w:t xml:space="preserve"> </w:t>
      </w:r>
      <w:r>
        <w:rPr>
          <w:b/>
          <w:bCs/>
          <w:i/>
          <w:iCs/>
          <w:sz w:val="22"/>
          <w:szCs w:val="22"/>
          <w:lang w:eastAsia="ro-RO"/>
        </w:rPr>
        <w:t>m</w:t>
      </w:r>
      <w:r>
        <w:rPr>
          <w:i/>
          <w:iCs/>
          <w:sz w:val="22"/>
          <w:szCs w:val="22"/>
          <w:lang w:eastAsia="ro-RO"/>
        </w:rPr>
        <w:t>), fiind generată de configurațiile ușilor de acces în spațiile pe care le deservește calea de evacuare.</w:t>
      </w:r>
    </w:p>
    <w:p w14:paraId="3D75C201" w14:textId="77777777" w:rsidR="001C08A5" w:rsidRDefault="001C08A5">
      <w:pPr>
        <w:widowControl w:val="0"/>
        <w:ind w:firstLine="720"/>
        <w:jc w:val="both"/>
        <w:rPr>
          <w:i/>
          <w:iCs/>
          <w:sz w:val="15"/>
          <w:szCs w:val="15"/>
          <w:lang w:eastAsia="ro-RO"/>
        </w:rPr>
      </w:pPr>
    </w:p>
    <w:p w14:paraId="69A07541" w14:textId="77777777" w:rsidR="001C08A5" w:rsidRDefault="00000000">
      <w:r>
        <w:rPr>
          <w:noProof/>
          <w:lang w:eastAsia="ro-RO"/>
        </w:rPr>
        <w:drawing>
          <wp:inline distT="0" distB="0" distL="114300" distR="114300" wp14:anchorId="3AF87341" wp14:editId="686A6AF7">
            <wp:extent cx="6124575" cy="4092575"/>
            <wp:effectExtent l="0" t="0" r="9525" b="317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pic:cNvPicPr>
                  </pic:nvPicPr>
                  <pic:blipFill>
                    <a:blip r:embed="rId75"/>
                    <a:srcRect l="11900" t="2332" r="7043" b="3745"/>
                    <a:stretch>
                      <a:fillRect/>
                    </a:stretch>
                  </pic:blipFill>
                  <pic:spPr>
                    <a:xfrm>
                      <a:off x="0" y="0"/>
                      <a:ext cx="6124575" cy="4092575"/>
                    </a:xfrm>
                    <a:prstGeom prst="rect">
                      <a:avLst/>
                    </a:prstGeom>
                    <a:noFill/>
                    <a:ln>
                      <a:noFill/>
                    </a:ln>
                  </pic:spPr>
                </pic:pic>
              </a:graphicData>
            </a:graphic>
          </wp:inline>
        </w:drawing>
      </w:r>
    </w:p>
    <w:p w14:paraId="4BBF3719" w14:textId="77777777" w:rsidR="001C08A5" w:rsidRDefault="00000000">
      <w:pPr>
        <w:widowControl w:val="0"/>
        <w:jc w:val="center"/>
        <w:rPr>
          <w:b/>
          <w:bCs/>
          <w:i/>
          <w:iCs/>
          <w:sz w:val="22"/>
          <w:szCs w:val="22"/>
        </w:rPr>
      </w:pPr>
      <w:r>
        <w:rPr>
          <w:b/>
          <w:bCs/>
          <w:i/>
          <w:iCs/>
          <w:sz w:val="22"/>
          <w:szCs w:val="22"/>
        </w:rPr>
        <w:lastRenderedPageBreak/>
        <w:t>Varianta d1) - Lungimi de evacuare în spații ”open space” prevăzute cu partiții fără rezistență la foc</w:t>
      </w:r>
    </w:p>
    <w:p w14:paraId="01B196EC" w14:textId="77777777" w:rsidR="001C08A5" w:rsidRDefault="001C08A5"/>
    <w:p w14:paraId="14F7913C" w14:textId="77777777" w:rsidR="001C08A5" w:rsidRDefault="00000000">
      <w:r>
        <w:rPr>
          <w:noProof/>
          <w:lang w:eastAsia="ro-RO"/>
        </w:rPr>
        <w:drawing>
          <wp:inline distT="0" distB="0" distL="114300" distR="114300" wp14:anchorId="55966437" wp14:editId="058F6DB2">
            <wp:extent cx="6115050" cy="4100830"/>
            <wp:effectExtent l="0" t="0" r="0" b="1397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pic:cNvPicPr>
                      <a:picLocks noChangeAspect="1"/>
                    </pic:cNvPicPr>
                  </pic:nvPicPr>
                  <pic:blipFill>
                    <a:blip r:embed="rId76"/>
                    <a:srcRect l="12038" t="2354" r="6949" b="1416"/>
                    <a:stretch>
                      <a:fillRect/>
                    </a:stretch>
                  </pic:blipFill>
                  <pic:spPr>
                    <a:xfrm>
                      <a:off x="0" y="0"/>
                      <a:ext cx="6115050" cy="4100830"/>
                    </a:xfrm>
                    <a:prstGeom prst="rect">
                      <a:avLst/>
                    </a:prstGeom>
                    <a:noFill/>
                    <a:ln>
                      <a:noFill/>
                    </a:ln>
                  </pic:spPr>
                </pic:pic>
              </a:graphicData>
            </a:graphic>
          </wp:inline>
        </w:drawing>
      </w:r>
    </w:p>
    <w:p w14:paraId="788B78CC" w14:textId="77777777" w:rsidR="001C08A5" w:rsidRDefault="00000000">
      <w:pPr>
        <w:widowControl w:val="0"/>
        <w:ind w:left="425"/>
        <w:jc w:val="center"/>
      </w:pPr>
      <w:r>
        <w:rPr>
          <w:b/>
          <w:bCs/>
          <w:i/>
          <w:iCs/>
          <w:sz w:val="22"/>
          <w:szCs w:val="22"/>
        </w:rPr>
        <w:t>Varianta d2) - Lungimi de evacuare în spații ”open space” nepartiționate</w:t>
      </w:r>
    </w:p>
    <w:p w14:paraId="19A61E53" w14:textId="77777777" w:rsidR="001C08A5" w:rsidRDefault="001C08A5"/>
    <w:p w14:paraId="14E62581" w14:textId="77777777" w:rsidR="001C08A5" w:rsidRDefault="00000000">
      <w:r>
        <w:rPr>
          <w:noProof/>
          <w:lang w:eastAsia="ro-RO"/>
        </w:rPr>
        <w:drawing>
          <wp:inline distT="0" distB="0" distL="114300" distR="114300" wp14:anchorId="6A7005BA" wp14:editId="66989605">
            <wp:extent cx="6115050" cy="4088130"/>
            <wp:effectExtent l="0" t="0" r="0" b="762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pic:cNvPicPr>
                  </pic:nvPicPr>
                  <pic:blipFill>
                    <a:blip r:embed="rId77"/>
                    <a:srcRect l="12038" t="2225" r="6949" b="4145"/>
                    <a:stretch>
                      <a:fillRect/>
                    </a:stretch>
                  </pic:blipFill>
                  <pic:spPr>
                    <a:xfrm>
                      <a:off x="0" y="0"/>
                      <a:ext cx="6115050" cy="4088130"/>
                    </a:xfrm>
                    <a:prstGeom prst="rect">
                      <a:avLst/>
                    </a:prstGeom>
                    <a:noFill/>
                    <a:ln>
                      <a:noFill/>
                    </a:ln>
                  </pic:spPr>
                </pic:pic>
              </a:graphicData>
            </a:graphic>
          </wp:inline>
        </w:drawing>
      </w:r>
    </w:p>
    <w:p w14:paraId="5C39870D" w14:textId="77777777" w:rsidR="001C08A5" w:rsidRDefault="00000000">
      <w:pPr>
        <w:widowControl w:val="0"/>
        <w:jc w:val="center"/>
        <w:rPr>
          <w:b/>
          <w:bCs/>
          <w:i/>
          <w:iCs/>
          <w:sz w:val="22"/>
          <w:szCs w:val="22"/>
          <w:lang w:eastAsia="ro-RO"/>
        </w:rPr>
      </w:pPr>
      <w:r>
        <w:rPr>
          <w:b/>
          <w:bCs/>
          <w:i/>
          <w:iCs/>
          <w:sz w:val="22"/>
          <w:szCs w:val="22"/>
        </w:rPr>
        <w:t>Varianta d3) - Lungimi de evacuare în spații ”open space” prevăzute cu partiții cu rezistență la foc</w:t>
      </w:r>
    </w:p>
    <w:p w14:paraId="25FED89D" w14:textId="77777777" w:rsidR="001C08A5" w:rsidRDefault="00000000">
      <w:pPr>
        <w:widowControl w:val="0"/>
        <w:ind w:left="425"/>
        <w:jc w:val="both"/>
        <w:rPr>
          <w:b/>
          <w:bCs/>
          <w:i/>
          <w:iCs/>
          <w:sz w:val="22"/>
          <w:szCs w:val="22"/>
          <w:lang w:eastAsia="ro-RO"/>
        </w:rPr>
      </w:pPr>
      <w:r>
        <w:rPr>
          <w:b/>
          <w:bCs/>
          <w:i/>
          <w:iCs/>
          <w:sz w:val="22"/>
          <w:szCs w:val="22"/>
          <w:lang w:eastAsia="ro-RO"/>
        </w:rPr>
        <w:t xml:space="preserve">Note la </w:t>
      </w:r>
      <w:r>
        <w:rPr>
          <w:b/>
          <w:bCs/>
          <w:i/>
          <w:iCs/>
          <w:sz w:val="22"/>
          <w:szCs w:val="22"/>
          <w:lang w:eastAsia="ro-RO"/>
        </w:rPr>
        <w:fldChar w:fldCharType="begin"/>
      </w:r>
      <w:r>
        <w:rPr>
          <w:b/>
          <w:bCs/>
          <w:i/>
          <w:iCs/>
          <w:sz w:val="22"/>
          <w:szCs w:val="22"/>
          <w:lang w:eastAsia="ro-RO"/>
        </w:rPr>
        <w:instrText xml:space="preserve"> REF _Ref6302 \h </w:instrText>
      </w:r>
      <w:r>
        <w:rPr>
          <w:b/>
          <w:bCs/>
          <w:i/>
          <w:iCs/>
          <w:sz w:val="22"/>
          <w:szCs w:val="22"/>
          <w:lang w:eastAsia="ro-RO"/>
        </w:rPr>
      </w:r>
      <w:r>
        <w:rPr>
          <w:b/>
          <w:bCs/>
          <w:i/>
          <w:iCs/>
          <w:sz w:val="22"/>
          <w:szCs w:val="22"/>
          <w:lang w:eastAsia="ro-RO"/>
        </w:rPr>
        <w:fldChar w:fldCharType="separate"/>
      </w:r>
      <w:r>
        <w:t>Figura 15</w:t>
      </w:r>
      <w:r>
        <w:rPr>
          <w:b/>
          <w:bCs/>
          <w:i/>
          <w:iCs/>
          <w:sz w:val="22"/>
          <w:szCs w:val="22"/>
          <w:lang w:eastAsia="ro-RO"/>
        </w:rPr>
        <w:fldChar w:fldCharType="end"/>
      </w:r>
      <w:r>
        <w:rPr>
          <w:b/>
          <w:bCs/>
          <w:i/>
          <w:iCs/>
          <w:sz w:val="22"/>
          <w:szCs w:val="22"/>
          <w:lang w:eastAsia="ro-RO"/>
        </w:rPr>
        <w:t>, varianta d1</w:t>
      </w:r>
      <w:r>
        <w:rPr>
          <w:b/>
          <w:bCs/>
          <w:i/>
          <w:iCs/>
          <w:sz w:val="22"/>
          <w:szCs w:val="22"/>
          <w:lang w:val="en-US" w:eastAsia="ro-RO"/>
        </w:rPr>
        <w:t>), d2)</w:t>
      </w:r>
      <w:r>
        <w:rPr>
          <w:b/>
          <w:bCs/>
          <w:i/>
          <w:iCs/>
          <w:sz w:val="22"/>
          <w:szCs w:val="22"/>
          <w:lang w:eastAsia="ro-RO"/>
        </w:rPr>
        <w:t xml:space="preserve"> și varianta d</w:t>
      </w:r>
      <w:r>
        <w:rPr>
          <w:b/>
          <w:bCs/>
          <w:i/>
          <w:iCs/>
          <w:sz w:val="22"/>
          <w:szCs w:val="22"/>
          <w:lang w:val="en-US" w:eastAsia="ro-RO"/>
        </w:rPr>
        <w:t>3</w:t>
      </w:r>
      <w:r>
        <w:rPr>
          <w:i/>
          <w:iCs/>
          <w:sz w:val="22"/>
          <w:szCs w:val="22"/>
          <w:lang w:eastAsia="ro-RO"/>
        </w:rPr>
        <w:t xml:space="preserve">): În cazul încăperilor care au în componență spatii nedelimitate de elemente de separare cu performanțe la foc (compartimentate cu mobilier și/sau parapete, </w:t>
      </w:r>
      <w:r>
        <w:rPr>
          <w:i/>
          <w:iCs/>
          <w:sz w:val="22"/>
          <w:szCs w:val="22"/>
          <w:lang w:eastAsia="ro-RO"/>
        </w:rPr>
        <w:lastRenderedPageBreak/>
        <w:t xml:space="preserve">panouri opace sau vitrate care generează plenum nepartiționat sau pardoseală supraînălțată continuă), în interiorul cărora nu se depașește lungimea de coridor înfundat, lungimea căii de evacuare se calculează pornind de la punctul cel mai îndepărtat (la maximum </w:t>
      </w:r>
      <w:r>
        <w:rPr>
          <w:b/>
          <w:bCs/>
          <w:i/>
          <w:iCs/>
          <w:sz w:val="22"/>
          <w:szCs w:val="22"/>
          <w:lang w:eastAsia="ro-RO"/>
        </w:rPr>
        <w:t>40 cm</w:t>
      </w:r>
      <w:r>
        <w:rPr>
          <w:i/>
          <w:iCs/>
          <w:sz w:val="22"/>
          <w:szCs w:val="22"/>
          <w:lang w:eastAsia="ro-RO"/>
        </w:rPr>
        <w:t xml:space="preserve"> față de perete sau potrivit planului de mobilare) al spaţiilor nedelimitate până la intrarea în cel mai apropiat spațiu protejat (încapere tamon protejată, degajament protejat, scară de evacuare, etc.) sau până la cea mai apropiată ieșire în exterior. Lungimea căii de evacuare, măsurată de la punctul cel mai îndepărtat (la maximum </w:t>
      </w:r>
      <w:r>
        <w:rPr>
          <w:b/>
          <w:bCs/>
          <w:i/>
          <w:iCs/>
          <w:sz w:val="22"/>
          <w:szCs w:val="22"/>
          <w:lang w:eastAsia="ro-RO"/>
        </w:rPr>
        <w:t>40 cm</w:t>
      </w:r>
      <w:r>
        <w:rPr>
          <w:i/>
          <w:iCs/>
          <w:sz w:val="22"/>
          <w:szCs w:val="22"/>
          <w:lang w:eastAsia="ro-RO"/>
        </w:rPr>
        <w:t xml:space="preserve"> față de perete sau potrivit planului de mobilare) al spatiilor nedelimitate de elemente de separare cu performanțe la foc prin care se evacuează utilizatorii până la cel mai apropiat spaţiu protejat (încapere tamon protejată, degajament protejat, scară de evacuare, etc.) sau până la cea mai apropiată iesire în exterior, să fie maximul valorii stabilite de normativ pentru 2 directii, atunci cand acestea sunt necesare</w:t>
      </w:r>
      <w:r>
        <w:rPr>
          <w:i/>
          <w:iCs/>
          <w:sz w:val="22"/>
          <w:szCs w:val="22"/>
          <w:lang w:val="en-US" w:eastAsia="ro-RO"/>
        </w:rPr>
        <w:t>.</w:t>
      </w:r>
      <w:r>
        <w:rPr>
          <w:i/>
          <w:iCs/>
          <w:sz w:val="22"/>
          <w:szCs w:val="22"/>
          <w:lang w:eastAsia="ro-RO"/>
        </w:rPr>
        <w:t xml:space="preserve"> Pentru spațiile de tip open space se recomandă să se asigure minimum două căi de evacuare distincte și independente, inclusiv atunci când se folosesc partiții</w:t>
      </w:r>
      <w:r>
        <w:rPr>
          <w:i/>
          <w:iCs/>
          <w:sz w:val="22"/>
          <w:szCs w:val="22"/>
          <w:lang w:val="en-US" w:eastAsia="ro-RO"/>
        </w:rPr>
        <w:t xml:space="preserve">, </w:t>
      </w:r>
      <w:r>
        <w:rPr>
          <w:i/>
          <w:iCs/>
          <w:sz w:val="22"/>
          <w:szCs w:val="22"/>
          <w:lang w:eastAsia="ro-RO"/>
        </w:rPr>
        <w:t xml:space="preserve">situație </w:t>
      </w:r>
      <w:r>
        <w:rPr>
          <w:i/>
          <w:iCs/>
          <w:sz w:val="22"/>
          <w:szCs w:val="22"/>
          <w:lang w:val="en-US" w:eastAsia="ro-RO"/>
        </w:rPr>
        <w:t>î</w:t>
      </w:r>
      <w:r>
        <w:rPr>
          <w:i/>
          <w:iCs/>
          <w:sz w:val="22"/>
          <w:szCs w:val="22"/>
          <w:lang w:eastAsia="ro-RO"/>
        </w:rPr>
        <w:t xml:space="preserve">n care partițiile fără performanță la foc se dispun la minimum </w:t>
      </w:r>
      <w:r>
        <w:rPr>
          <w:b/>
          <w:bCs/>
          <w:i/>
          <w:iCs/>
          <w:sz w:val="22"/>
          <w:szCs w:val="22"/>
          <w:lang w:eastAsia="ro-RO"/>
        </w:rPr>
        <w:t>1.80 m</w:t>
      </w:r>
      <w:r>
        <w:rPr>
          <w:i/>
          <w:iCs/>
          <w:sz w:val="22"/>
          <w:szCs w:val="22"/>
          <w:lang w:eastAsia="ro-RO"/>
        </w:rPr>
        <w:t xml:space="preserve"> de pereții rezistenți la foc aferenți nodurilor de circulație.</w:t>
      </w:r>
    </w:p>
    <w:p w14:paraId="3CC8BF2D" w14:textId="77777777" w:rsidR="001C08A5" w:rsidRDefault="00000000">
      <w:pPr>
        <w:pStyle w:val="Caption"/>
        <w:jc w:val="center"/>
        <w:rPr>
          <w:rFonts w:cs="Times New Roman"/>
          <w:bCs/>
          <w:lang w:eastAsia="ro-RO"/>
        </w:rPr>
      </w:pPr>
      <w:bookmarkStart w:id="346" w:name="_Ref6302"/>
      <w:bookmarkStart w:id="347" w:name="_Toc29704"/>
      <w:bookmarkStart w:id="348" w:name="_Toc20548"/>
      <w:bookmarkStart w:id="349" w:name="_Toc13573"/>
      <w:bookmarkStart w:id="350" w:name="_Toc32129"/>
      <w:bookmarkStart w:id="351" w:name="_Toc13514"/>
      <w:bookmarkStart w:id="352" w:name="_Toc2106"/>
      <w:bookmarkStart w:id="353" w:name="_Toc162360239"/>
      <w:r>
        <w:t xml:space="preserve">Figura </w:t>
      </w:r>
      <w:r>
        <w:fldChar w:fldCharType="begin"/>
      </w:r>
      <w:r>
        <w:instrText xml:space="preserve"> SEQ Figura \* ARABIC </w:instrText>
      </w:r>
      <w:r>
        <w:fldChar w:fldCharType="separate"/>
      </w:r>
      <w:r>
        <w:t>15</w:t>
      </w:r>
      <w:r>
        <w:fldChar w:fldCharType="end"/>
      </w:r>
      <w:bookmarkStart w:id="354" w:name="_Toc28386"/>
      <w:bookmarkStart w:id="355" w:name="_Toc13072"/>
      <w:bookmarkStart w:id="356" w:name="_Toc15684"/>
      <w:bookmarkStart w:id="357" w:name="_Toc9201"/>
      <w:bookmarkStart w:id="358" w:name="_Toc17646"/>
      <w:bookmarkStart w:id="359" w:name="_Toc21135"/>
      <w:bookmarkStart w:id="360" w:name="_Toc2572"/>
      <w:bookmarkStart w:id="361" w:name="_Toc30858"/>
      <w:bookmarkStart w:id="362" w:name="_Toc17265"/>
      <w:bookmarkStart w:id="363" w:name="_Toc6444"/>
      <w:bookmarkStart w:id="364" w:name="_Toc6688"/>
      <w:bookmarkEnd w:id="346"/>
      <w:r>
        <w:t xml:space="preserve"> - </w:t>
      </w:r>
      <w:r>
        <w:rPr>
          <w:rFonts w:cs="Times New Roman"/>
          <w:bCs/>
          <w:lang w:eastAsia="ro-RO"/>
        </w:rPr>
        <w:t>Lungimi de evacuare</w:t>
      </w:r>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p>
    <w:p w14:paraId="7C5AE767" w14:textId="77777777" w:rsidR="001C08A5" w:rsidRDefault="00000000">
      <w:pPr>
        <w:widowControl w:val="0"/>
        <w:numPr>
          <w:ilvl w:val="0"/>
          <w:numId w:val="20"/>
        </w:numPr>
        <w:tabs>
          <w:tab w:val="clear" w:pos="425"/>
        </w:tabs>
        <w:ind w:firstLine="1255"/>
        <w:jc w:val="both"/>
        <w:rPr>
          <w:i/>
          <w:iCs/>
          <w:sz w:val="24"/>
          <w:szCs w:val="24"/>
          <w:lang w:eastAsia="ro-RO"/>
        </w:rPr>
      </w:pPr>
      <w:r>
        <w:rPr>
          <w:b/>
          <w:bCs/>
          <w:i/>
          <w:iCs/>
          <w:sz w:val="24"/>
          <w:szCs w:val="24"/>
          <w:lang w:eastAsia="ro-RO"/>
        </w:rPr>
        <w:t>Timp de evacuare</w:t>
      </w:r>
      <w:r>
        <w:rPr>
          <w:i/>
          <w:iCs/>
          <w:sz w:val="24"/>
          <w:szCs w:val="24"/>
          <w:lang w:eastAsia="ro-RO"/>
        </w:rPr>
        <w:t xml:space="preserve"> - interval de timp care se scurge între declanşarea alarmei de incendiu emisă către utilizatori și momentul în care utilizatorii unei părţi specificate din clădire sau a întregii clădiri sunt capabili să pătrundă într-o </w:t>
      </w:r>
      <w:r>
        <w:rPr>
          <w:b/>
          <w:bCs/>
          <w:i/>
          <w:iCs/>
          <w:sz w:val="24"/>
          <w:szCs w:val="24"/>
          <w:lang w:eastAsia="ro-RO"/>
        </w:rPr>
        <w:t>zonă de securitate</w:t>
      </w:r>
      <w:r>
        <w:rPr>
          <w:i/>
          <w:iCs/>
          <w:sz w:val="24"/>
          <w:szCs w:val="24"/>
          <w:lang w:eastAsia="ro-RO"/>
        </w:rPr>
        <w:t>;</w:t>
      </w:r>
    </w:p>
    <w:p w14:paraId="466C5440" w14:textId="77777777" w:rsidR="001C08A5" w:rsidRDefault="00000000">
      <w:pPr>
        <w:widowControl w:val="0"/>
        <w:numPr>
          <w:ilvl w:val="0"/>
          <w:numId w:val="20"/>
        </w:numPr>
        <w:tabs>
          <w:tab w:val="clear" w:pos="425"/>
        </w:tabs>
        <w:ind w:firstLine="1255"/>
        <w:jc w:val="both"/>
        <w:rPr>
          <w:rStyle w:val="FontStyle48"/>
          <w:rFonts w:ascii="Times New Roman" w:hAnsi="Times New Roman" w:cs="Times New Roman"/>
          <w:i/>
          <w:iCs/>
          <w:spacing w:val="8"/>
          <w:sz w:val="24"/>
          <w:szCs w:val="24"/>
          <w:lang w:eastAsia="ro-RO"/>
        </w:rPr>
      </w:pPr>
      <w:r>
        <w:rPr>
          <w:b/>
          <w:bCs/>
          <w:i/>
          <w:iCs/>
          <w:sz w:val="24"/>
          <w:szCs w:val="24"/>
          <w:lang w:eastAsia="ro-RO"/>
        </w:rPr>
        <w:t>Mijloace de evacuare</w:t>
      </w:r>
      <w:r>
        <w:rPr>
          <w:i/>
          <w:iCs/>
          <w:sz w:val="24"/>
          <w:szCs w:val="24"/>
          <w:lang w:eastAsia="ro-RO"/>
        </w:rPr>
        <w:t xml:space="preserve"> - mijloace constructive (structurale sau independente de structura clădirii) prin care sunt amenajate căi destinate a fi sigure, permiţând persoanelor să se deplaseze dintr-un punct în altul al unei construcţii până la o </w:t>
      </w:r>
      <w:r>
        <w:rPr>
          <w:b/>
          <w:bCs/>
          <w:i/>
          <w:iCs/>
          <w:sz w:val="24"/>
          <w:szCs w:val="24"/>
          <w:lang w:eastAsia="ro-RO"/>
        </w:rPr>
        <w:t>zonă de securitate</w:t>
      </w:r>
      <w:r>
        <w:rPr>
          <w:i/>
          <w:iCs/>
          <w:sz w:val="24"/>
          <w:szCs w:val="24"/>
          <w:lang w:eastAsia="ro-RO"/>
        </w:rPr>
        <w:t>;</w:t>
      </w:r>
    </w:p>
    <w:p w14:paraId="44E90293" w14:textId="77777777" w:rsidR="001C08A5" w:rsidRDefault="001C08A5">
      <w:pPr>
        <w:jc w:val="both"/>
        <w:rPr>
          <w:rStyle w:val="FontStyle48"/>
          <w:rFonts w:ascii="Times New Roman" w:hAnsi="Times New Roman" w:cs="Times New Roman"/>
          <w:i/>
          <w:iCs/>
          <w:spacing w:val="8"/>
          <w:sz w:val="24"/>
          <w:szCs w:val="24"/>
          <w:lang w:eastAsia="ro-RO"/>
        </w:rPr>
      </w:pPr>
    </w:p>
    <w:p w14:paraId="3A14ADC0" w14:textId="77777777" w:rsidR="001C08A5" w:rsidRDefault="00000000">
      <w:pPr>
        <w:numPr>
          <w:ilvl w:val="0"/>
          <w:numId w:val="10"/>
        </w:numPr>
        <w:jc w:val="both"/>
        <w:rPr>
          <w:rStyle w:val="FontStyle57"/>
          <w:rFonts w:ascii="Times New Roman" w:hAnsi="Times New Roman" w:cs="Times New Roman"/>
          <w:b/>
          <w:i/>
          <w:iCs/>
          <w:spacing w:val="8"/>
          <w:sz w:val="24"/>
          <w:szCs w:val="24"/>
          <w:lang w:eastAsia="ro-RO"/>
        </w:rPr>
      </w:pPr>
      <w:r>
        <w:rPr>
          <w:rStyle w:val="FontStyle57"/>
          <w:rFonts w:ascii="Times New Roman" w:hAnsi="Times New Roman" w:cs="Times New Roman"/>
          <w:b/>
          <w:i/>
          <w:iCs/>
          <w:spacing w:val="8"/>
          <w:sz w:val="24"/>
          <w:szCs w:val="24"/>
          <w:lang w:eastAsia="ro-RO"/>
        </w:rPr>
        <w:t xml:space="preserve">Factor de secțiune </w:t>
      </w:r>
      <w:r>
        <w:rPr>
          <w:rStyle w:val="FontStyle57"/>
          <w:rFonts w:ascii="Times New Roman" w:hAnsi="Times New Roman" w:cs="Times New Roman"/>
          <w:bCs/>
          <w:i/>
          <w:iCs/>
          <w:spacing w:val="8"/>
          <w:sz w:val="24"/>
          <w:szCs w:val="24"/>
          <w:lang w:eastAsia="ro-RO"/>
        </w:rPr>
        <w:t>(pentru un element metalic) - este raportul dintre aria suprafeței expuse la foc pe unitatea de lungime și volumul elementului metalic pe unitatea de lungime Pentru un element metalic a cărui suprafață nu este expusă direct la acțiunea focului, factorul de secțiune este raportul dintre suprafața interioară pe unitatea de lungime a învelișului expus la foc și volumul elementului metalic pe unitatea de lungime.</w:t>
      </w:r>
    </w:p>
    <w:p w14:paraId="465A6B40" w14:textId="77777777" w:rsidR="001C08A5" w:rsidRDefault="00000000">
      <w:pPr>
        <w:ind w:left="1440" w:firstLine="720"/>
        <w:jc w:val="both"/>
        <w:rPr>
          <w:rStyle w:val="FontStyle57"/>
          <w:rFonts w:ascii="Times New Roman" w:hAnsi="Times New Roman" w:cs="Times New Roman"/>
          <w:bCs/>
          <w:i/>
          <w:iCs/>
          <w:spacing w:val="8"/>
          <w:sz w:val="24"/>
          <w:szCs w:val="24"/>
          <w:lang w:eastAsia="ro-RO"/>
        </w:rPr>
      </w:pPr>
      <w:r>
        <w:rPr>
          <w:rStyle w:val="FontStyle57"/>
          <w:rFonts w:ascii="Times New Roman" w:hAnsi="Times New Roman" w:cs="Times New Roman"/>
          <w:b/>
          <w:i/>
          <w:iCs/>
          <w:spacing w:val="8"/>
          <w:sz w:val="24"/>
          <w:szCs w:val="24"/>
          <w:lang w:eastAsia="ro-RO"/>
        </w:rPr>
        <w:t>- Temperatura critică a elementului structural metalic</w:t>
      </w:r>
      <w:r>
        <w:rPr>
          <w:rStyle w:val="FontStyle57"/>
          <w:rFonts w:ascii="Times New Roman" w:hAnsi="Times New Roman" w:cs="Times New Roman"/>
          <w:bCs/>
          <w:i/>
          <w:iCs/>
          <w:spacing w:val="8"/>
          <w:sz w:val="24"/>
          <w:szCs w:val="24"/>
          <w:lang w:eastAsia="ro-RO"/>
        </w:rPr>
        <w:t xml:space="preserve"> - pentru un anumit nivel de încărcare</w:t>
      </w:r>
      <w:r>
        <w:rPr>
          <w:rStyle w:val="FontStyle57"/>
          <w:rFonts w:cs="Times New Roman"/>
          <w:bCs/>
          <w:i/>
          <w:iCs/>
          <w:spacing w:val="8"/>
          <w:sz w:val="24"/>
          <w:szCs w:val="24"/>
          <w:lang w:val="en-US" w:eastAsia="ro-RO"/>
        </w:rPr>
        <w:t>*</w:t>
      </w:r>
      <w:r>
        <w:rPr>
          <w:rStyle w:val="FontStyle57"/>
          <w:rFonts w:ascii="Times New Roman" w:hAnsi="Times New Roman" w:cs="Times New Roman"/>
          <w:bCs/>
          <w:i/>
          <w:iCs/>
          <w:spacing w:val="8"/>
          <w:sz w:val="24"/>
          <w:szCs w:val="24"/>
          <w:lang w:eastAsia="ro-RO"/>
        </w:rPr>
        <w:t xml:space="preserve"> temperatura critică este temperatura corespunzătoare cedării elementului structural (în ipoteza unei distribuții uniforme a temperaturii pe elementul metalic.</w:t>
      </w:r>
    </w:p>
    <w:p w14:paraId="15D1618D" w14:textId="77777777" w:rsidR="001C08A5" w:rsidRDefault="00000000">
      <w:pPr>
        <w:ind w:left="1440" w:firstLine="720"/>
        <w:jc w:val="both"/>
        <w:rPr>
          <w:rStyle w:val="FontStyle57"/>
          <w:rFonts w:ascii="Times New Roman" w:hAnsi="Times New Roman" w:cs="Times New Roman"/>
          <w:bCs/>
          <w:i/>
          <w:iCs/>
          <w:spacing w:val="8"/>
          <w:sz w:val="24"/>
          <w:szCs w:val="24"/>
          <w:lang w:eastAsia="ro-RO"/>
        </w:rPr>
      </w:pPr>
      <w:r>
        <w:rPr>
          <w:rStyle w:val="FontStyle57"/>
          <w:rFonts w:ascii="Times New Roman" w:hAnsi="Times New Roman" w:cs="Times New Roman"/>
          <w:bCs/>
          <w:i/>
          <w:iCs/>
          <w:spacing w:val="8"/>
          <w:sz w:val="24"/>
          <w:szCs w:val="24"/>
          <w:lang w:eastAsia="ro-RO"/>
        </w:rPr>
        <w:t xml:space="preserve">- </w:t>
      </w:r>
      <w:r>
        <w:rPr>
          <w:rStyle w:val="FontStyle57"/>
          <w:rFonts w:ascii="Times New Roman" w:hAnsi="Times New Roman" w:cs="Times New Roman"/>
          <w:b/>
          <w:bCs/>
          <w:i/>
          <w:iCs/>
          <w:spacing w:val="8"/>
          <w:sz w:val="24"/>
          <w:szCs w:val="24"/>
          <w:lang w:eastAsia="ro-RO"/>
        </w:rPr>
        <w:t>Factor de masivitate</w:t>
      </w:r>
      <w:r>
        <w:rPr>
          <w:rStyle w:val="FontStyle57"/>
          <w:rFonts w:ascii="Times New Roman" w:hAnsi="Times New Roman" w:cs="Times New Roman"/>
          <w:bCs/>
          <w:i/>
          <w:iCs/>
          <w:spacing w:val="8"/>
          <w:sz w:val="24"/>
          <w:szCs w:val="24"/>
          <w:lang w:eastAsia="ro-RO"/>
        </w:rPr>
        <w:t xml:space="preserve"> (m</w:t>
      </w:r>
      <w:r>
        <w:rPr>
          <w:rStyle w:val="FontStyle57"/>
          <w:rFonts w:ascii="Times New Roman" w:hAnsi="Times New Roman" w:cs="Times New Roman"/>
          <w:bCs/>
          <w:i/>
          <w:iCs/>
          <w:spacing w:val="8"/>
          <w:sz w:val="24"/>
          <w:szCs w:val="24"/>
          <w:vertAlign w:val="superscript"/>
          <w:lang w:eastAsia="ro-RO"/>
        </w:rPr>
        <w:t>-1</w:t>
      </w:r>
      <w:r>
        <w:rPr>
          <w:rStyle w:val="FontStyle57"/>
          <w:rFonts w:ascii="Times New Roman" w:hAnsi="Times New Roman" w:cs="Times New Roman"/>
          <w:bCs/>
          <w:i/>
          <w:iCs/>
          <w:spacing w:val="8"/>
          <w:sz w:val="24"/>
          <w:szCs w:val="24"/>
          <w:lang w:eastAsia="ro-RO"/>
        </w:rPr>
        <w:t>) – raportul dintre perimetrul profilului metalic si aria sectiunii</w:t>
      </w:r>
    </w:p>
    <w:p w14:paraId="1C9815E6" w14:textId="77777777" w:rsidR="001C08A5" w:rsidRDefault="00000000">
      <w:pPr>
        <w:widowControl w:val="0"/>
        <w:jc w:val="both"/>
        <w:rPr>
          <w:i/>
          <w:iCs/>
          <w:sz w:val="22"/>
          <w:szCs w:val="22"/>
          <w:lang w:eastAsia="ro-RO"/>
        </w:rPr>
      </w:pPr>
      <w:r>
        <w:rPr>
          <w:b/>
          <w:bCs/>
          <w:i/>
          <w:iCs/>
          <w:sz w:val="22"/>
          <w:szCs w:val="22"/>
          <w:lang w:eastAsia="ro-RO"/>
        </w:rPr>
        <w:t>No</w:t>
      </w:r>
      <w:r>
        <w:rPr>
          <w:b/>
          <w:bCs/>
          <w:i/>
          <w:iCs/>
          <w:sz w:val="22"/>
          <w:szCs w:val="22"/>
          <w:lang w:val="en-US" w:eastAsia="ro-RO"/>
        </w:rPr>
        <w:t>te</w:t>
      </w:r>
      <w:r>
        <w:rPr>
          <w:b/>
          <w:bCs/>
          <w:i/>
          <w:iCs/>
          <w:sz w:val="22"/>
          <w:szCs w:val="22"/>
          <w:lang w:eastAsia="ro-RO"/>
        </w:rPr>
        <w:t>:</w:t>
      </w:r>
      <w:r>
        <w:rPr>
          <w:i/>
          <w:iCs/>
          <w:sz w:val="22"/>
          <w:szCs w:val="22"/>
          <w:lang w:eastAsia="ro-RO"/>
        </w:rPr>
        <w:t xml:space="preserve"> </w:t>
      </w:r>
    </w:p>
    <w:p w14:paraId="118CCA76" w14:textId="77777777" w:rsidR="001C08A5" w:rsidRDefault="00000000">
      <w:pPr>
        <w:widowControl w:val="0"/>
        <w:numPr>
          <w:ilvl w:val="0"/>
          <w:numId w:val="22"/>
        </w:numPr>
        <w:jc w:val="both"/>
        <w:rPr>
          <w:i/>
          <w:iCs/>
          <w:sz w:val="22"/>
          <w:szCs w:val="22"/>
          <w:lang w:val="en-US" w:eastAsia="ro-RO"/>
        </w:rPr>
      </w:pPr>
      <w:r>
        <w:rPr>
          <w:i/>
          <w:iCs/>
          <w:sz w:val="22"/>
          <w:szCs w:val="22"/>
          <w:lang w:val="en-US" w:eastAsia="ro-RO"/>
        </w:rPr>
        <w:t>* - se referă la combinația de încărcări corespunzătoare situației accidentale, care include acțiunea focului</w:t>
      </w:r>
    </w:p>
    <w:p w14:paraId="613FC34B" w14:textId="77777777" w:rsidR="001C08A5" w:rsidRDefault="00000000">
      <w:pPr>
        <w:widowControl w:val="0"/>
        <w:numPr>
          <w:ilvl w:val="0"/>
          <w:numId w:val="22"/>
        </w:numPr>
        <w:jc w:val="both"/>
        <w:rPr>
          <w:i/>
          <w:iCs/>
          <w:sz w:val="22"/>
          <w:szCs w:val="22"/>
          <w:lang w:eastAsia="ro-RO"/>
        </w:rPr>
      </w:pPr>
      <w:r>
        <w:rPr>
          <w:i/>
          <w:iCs/>
          <w:sz w:val="22"/>
          <w:szCs w:val="22"/>
          <w:lang w:eastAsia="ro-RO"/>
        </w:rPr>
        <w:t>Temperatura funcție de factorul de secțiune se calculează astfel:</w:t>
      </w:r>
    </w:p>
    <w:p w14:paraId="6633F773" w14:textId="77777777" w:rsidR="001C08A5" w:rsidRDefault="00000000">
      <w:pPr>
        <w:widowControl w:val="0"/>
        <w:jc w:val="both"/>
        <w:rPr>
          <w:i/>
          <w:iCs/>
          <w:sz w:val="22"/>
          <w:szCs w:val="22"/>
          <w:lang w:eastAsia="ro-RO"/>
        </w:rPr>
      </w:pPr>
      <w:r>
        <w:rPr>
          <w:i/>
          <w:iCs/>
          <w:sz w:val="22"/>
          <w:szCs w:val="22"/>
          <w:lang w:eastAsia="ro-RO"/>
        </w:rPr>
        <w:t>- Pentru structură de oțel interioare neprotejate - conform 4.2.5.1 din Eurocod 1993-1-2:2006 unde factorul de secțiune Am/V pentru elemente de oțel neprotejate se calculează conform tabel 4.2 din Eurocod 1993 -1-2:2006;</w:t>
      </w:r>
    </w:p>
    <w:p w14:paraId="72A8E37F" w14:textId="77777777" w:rsidR="001C08A5" w:rsidRDefault="00000000">
      <w:pPr>
        <w:widowControl w:val="0"/>
        <w:jc w:val="both"/>
        <w:rPr>
          <w:i/>
          <w:iCs/>
          <w:sz w:val="22"/>
          <w:szCs w:val="22"/>
          <w:lang w:eastAsia="ro-RO"/>
        </w:rPr>
      </w:pPr>
      <w:r>
        <w:rPr>
          <w:i/>
          <w:iCs/>
          <w:sz w:val="22"/>
          <w:szCs w:val="22"/>
          <w:lang w:eastAsia="ro-RO"/>
        </w:rPr>
        <w:t>- Pentru structură interioară din oțel protejată cu un material de protecție la foc - conform 4.2.5.2 din Eurocod 1993-1-2:2006 unde factorul de secțiune Ap/V pentru elementul de oțel izolat prin materialul de protecție se calculează conform tabel 4.3 din Eurocod 1993-1-2:2006;</w:t>
      </w:r>
    </w:p>
    <w:p w14:paraId="542C6E7B" w14:textId="77777777" w:rsidR="001C08A5" w:rsidRDefault="00000000">
      <w:pPr>
        <w:widowControl w:val="0"/>
        <w:jc w:val="both"/>
        <w:rPr>
          <w:i/>
          <w:iCs/>
          <w:sz w:val="22"/>
          <w:szCs w:val="22"/>
          <w:lang w:eastAsia="ro-RO"/>
        </w:rPr>
      </w:pPr>
      <w:r>
        <w:rPr>
          <w:i/>
          <w:iCs/>
          <w:sz w:val="22"/>
          <w:szCs w:val="22"/>
          <w:lang w:eastAsia="ro-RO"/>
        </w:rPr>
        <w:t>- Pentru elemente structurale interioare din oțel protejate prin ecrane termice - conform 4.2.5.3 din Eurocod 1993-1-2:2006;</w:t>
      </w:r>
    </w:p>
    <w:p w14:paraId="47973B86" w14:textId="77777777" w:rsidR="001C08A5" w:rsidRDefault="00000000">
      <w:pPr>
        <w:widowControl w:val="0"/>
        <w:jc w:val="both"/>
        <w:rPr>
          <w:i/>
          <w:iCs/>
          <w:sz w:val="22"/>
          <w:szCs w:val="22"/>
          <w:lang w:eastAsia="ro-RO"/>
        </w:rPr>
      </w:pPr>
      <w:r>
        <w:rPr>
          <w:i/>
          <w:iCs/>
          <w:sz w:val="22"/>
          <w:szCs w:val="22"/>
          <w:lang w:eastAsia="ro-RO"/>
        </w:rPr>
        <w:t>- Pentru elemente structurale exterioare din oțel - conform 4.2.5.4 din Eurocod 1993-1-2:2006.</w:t>
      </w:r>
    </w:p>
    <w:p w14:paraId="0FD37187" w14:textId="77777777" w:rsidR="001C08A5" w:rsidRDefault="001C08A5">
      <w:pPr>
        <w:ind w:left="1440" w:firstLine="720"/>
        <w:jc w:val="both"/>
        <w:rPr>
          <w:rStyle w:val="FontStyle57"/>
          <w:rFonts w:ascii="Times New Roman" w:hAnsi="Times New Roman" w:cs="Times New Roman"/>
          <w:bCs/>
          <w:i/>
          <w:iCs/>
          <w:spacing w:val="8"/>
          <w:sz w:val="24"/>
          <w:szCs w:val="24"/>
          <w:lang w:eastAsia="ro-RO"/>
        </w:rPr>
      </w:pPr>
    </w:p>
    <w:p w14:paraId="3DB70675" w14:textId="77777777" w:rsidR="001C08A5" w:rsidRDefault="00000000">
      <w:pPr>
        <w:widowControl w:val="0"/>
        <w:numPr>
          <w:ilvl w:val="0"/>
          <w:numId w:val="10"/>
        </w:numPr>
        <w:jc w:val="both"/>
        <w:rPr>
          <w:i/>
          <w:iCs/>
          <w:sz w:val="24"/>
          <w:szCs w:val="24"/>
          <w:lang w:eastAsia="ro-RO"/>
        </w:rPr>
      </w:pPr>
      <w:r>
        <w:rPr>
          <w:b/>
          <w:bCs/>
          <w:i/>
          <w:iCs/>
          <w:sz w:val="24"/>
          <w:szCs w:val="24"/>
          <w:lang w:eastAsia="ro-RO"/>
        </w:rPr>
        <w:t>Faţadă</w:t>
      </w:r>
      <w:r>
        <w:rPr>
          <w:i/>
          <w:iCs/>
          <w:sz w:val="24"/>
          <w:szCs w:val="24"/>
          <w:lang w:eastAsia="ro-RO"/>
        </w:rPr>
        <w:t xml:space="preserve"> - închidere perimetrală a construcţiei - elemente de construcţie, cu excepţia acoperişului, care alcătuiesc anvelopanta clădirii şi o izolează pe aceasta faţă de exterior.</w:t>
      </w:r>
    </w:p>
    <w:p w14:paraId="317F9C1C" w14:textId="77777777" w:rsidR="001C08A5" w:rsidRDefault="00000000">
      <w:pPr>
        <w:numPr>
          <w:ilvl w:val="3"/>
          <w:numId w:val="10"/>
        </w:numPr>
        <w:jc w:val="both"/>
        <w:rPr>
          <w:i/>
          <w:iCs/>
          <w:sz w:val="24"/>
          <w:szCs w:val="24"/>
        </w:rPr>
      </w:pPr>
      <w:r>
        <w:rPr>
          <w:b/>
          <w:i/>
          <w:iCs/>
          <w:sz w:val="24"/>
          <w:szCs w:val="24"/>
        </w:rPr>
        <w:t xml:space="preserve">Faţadă dublă („double skin” </w:t>
      </w:r>
      <w:r>
        <w:rPr>
          <w:i/>
          <w:iCs/>
          <w:sz w:val="24"/>
          <w:szCs w:val="24"/>
        </w:rPr>
        <w:t xml:space="preserve">-construcţie alcătuită dintr-un înveliş interior și unul exterior cu un spaţiu de aer intermediar, ventilat, concepută astfel încât să îndeplinească rolul unui perete cortină. Fațadele duble sunt de mai multe tipuri, în functie de sistemul de ventilare al spațiului de aer intermediar (mecanic, natural sau mixt) și de compartimentare al acestuia (conform </w:t>
      </w:r>
      <w:r>
        <w:rPr>
          <w:b/>
          <w:bCs/>
          <w:i/>
          <w:iCs/>
          <w:sz w:val="24"/>
          <w:szCs w:val="24"/>
        </w:rPr>
        <w:fldChar w:fldCharType="begin"/>
      </w:r>
      <w:r>
        <w:rPr>
          <w:b/>
          <w:bCs/>
          <w:i/>
          <w:iCs/>
          <w:sz w:val="24"/>
          <w:szCs w:val="24"/>
        </w:rPr>
        <w:instrText xml:space="preserve"> REF _Ref6632 \h </w:instrText>
      </w:r>
      <w:r>
        <w:rPr>
          <w:b/>
          <w:bCs/>
          <w:i/>
          <w:iCs/>
          <w:sz w:val="24"/>
          <w:szCs w:val="24"/>
        </w:rPr>
      </w:r>
      <w:r>
        <w:rPr>
          <w:b/>
          <w:bCs/>
          <w:i/>
          <w:iCs/>
          <w:sz w:val="24"/>
          <w:szCs w:val="24"/>
        </w:rPr>
        <w:fldChar w:fldCharType="separate"/>
      </w:r>
      <w:r>
        <w:t>Figura 16</w:t>
      </w:r>
      <w:r>
        <w:rPr>
          <w:b/>
          <w:bCs/>
          <w:i/>
          <w:iCs/>
          <w:sz w:val="24"/>
          <w:szCs w:val="24"/>
        </w:rPr>
        <w:fldChar w:fldCharType="end"/>
      </w:r>
      <w:r>
        <w:rPr>
          <w:i/>
          <w:iCs/>
          <w:sz w:val="24"/>
          <w:szCs w:val="24"/>
        </w:rPr>
        <w:t>).</w:t>
      </w:r>
    </w:p>
    <w:p w14:paraId="07949D57" w14:textId="77777777" w:rsidR="001C08A5" w:rsidRDefault="001C08A5">
      <w:pPr>
        <w:jc w:val="both"/>
        <w:rPr>
          <w:sz w:val="24"/>
          <w:szCs w:val="24"/>
        </w:rPr>
      </w:pPr>
    </w:p>
    <w:p w14:paraId="6B64CACD" w14:textId="77777777" w:rsidR="001C08A5" w:rsidRDefault="00000000">
      <w:pPr>
        <w:jc w:val="both"/>
        <w:rPr>
          <w:sz w:val="24"/>
          <w:szCs w:val="24"/>
        </w:rPr>
      </w:pPr>
      <w:r>
        <w:rPr>
          <w:noProof/>
          <w:sz w:val="24"/>
          <w:szCs w:val="24"/>
          <w:lang w:eastAsia="ro-RO"/>
        </w:rPr>
        <w:lastRenderedPageBreak/>
        <w:drawing>
          <wp:inline distT="0" distB="0" distL="0" distR="0" wp14:anchorId="06C03BC6" wp14:editId="17C1DB5F">
            <wp:extent cx="6094730" cy="2287905"/>
            <wp:effectExtent l="0" t="0" r="1270" b="17145"/>
            <wp:docPr id="1058" name="Picture 23"/>
            <wp:cNvGraphicFramePr/>
            <a:graphic xmlns:a="http://schemas.openxmlformats.org/drawingml/2006/main">
              <a:graphicData uri="http://schemas.openxmlformats.org/drawingml/2006/picture">
                <pic:pic xmlns:pic="http://schemas.openxmlformats.org/drawingml/2006/picture">
                  <pic:nvPicPr>
                    <pic:cNvPr id="1058" name="Picture 23"/>
                    <pic:cNvPicPr/>
                  </pic:nvPicPr>
                  <pic:blipFill>
                    <a:blip r:embed="rId78" cstate="print"/>
                    <a:srcRect l="12218" t="5034" r="7072" b="29494"/>
                    <a:stretch>
                      <a:fillRect/>
                    </a:stretch>
                  </pic:blipFill>
                  <pic:spPr>
                    <a:xfrm>
                      <a:off x="0" y="0"/>
                      <a:ext cx="6094730" cy="2287905"/>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8"/>
        <w:gridCol w:w="2407"/>
        <w:gridCol w:w="2407"/>
        <w:gridCol w:w="2417"/>
      </w:tblGrid>
      <w:tr w:rsidR="001C08A5" w14:paraId="16DB89C2" w14:textId="77777777">
        <w:tc>
          <w:tcPr>
            <w:tcW w:w="2464" w:type="dxa"/>
          </w:tcPr>
          <w:p w14:paraId="14C4FD28" w14:textId="77777777" w:rsidR="001C08A5" w:rsidRDefault="00000000">
            <w:pPr>
              <w:jc w:val="center"/>
              <w:rPr>
                <w:i/>
                <w:iCs/>
                <w:sz w:val="22"/>
                <w:szCs w:val="22"/>
              </w:rPr>
            </w:pPr>
            <w:r>
              <w:rPr>
                <w:b/>
                <w:bCs/>
                <w:i/>
                <w:iCs/>
                <w:sz w:val="22"/>
                <w:szCs w:val="22"/>
              </w:rPr>
              <w:t xml:space="preserve">Varianta a) </w:t>
            </w:r>
            <w:r>
              <w:rPr>
                <w:i/>
                <w:iCs/>
                <w:sz w:val="22"/>
                <w:szCs w:val="22"/>
              </w:rPr>
              <w:t>Fațadă double skin ”box” partiționată pe verticală</w:t>
            </w:r>
          </w:p>
        </w:tc>
        <w:tc>
          <w:tcPr>
            <w:tcW w:w="2464" w:type="dxa"/>
          </w:tcPr>
          <w:p w14:paraId="6430A38C" w14:textId="77777777" w:rsidR="001C08A5" w:rsidRDefault="00000000">
            <w:pPr>
              <w:jc w:val="center"/>
              <w:rPr>
                <w:i/>
                <w:iCs/>
                <w:sz w:val="22"/>
                <w:szCs w:val="22"/>
              </w:rPr>
            </w:pPr>
            <w:r>
              <w:rPr>
                <w:b/>
                <w:bCs/>
                <w:i/>
                <w:iCs/>
                <w:sz w:val="22"/>
                <w:szCs w:val="22"/>
              </w:rPr>
              <w:t xml:space="preserve">Varianta b) </w:t>
            </w:r>
            <w:r>
              <w:rPr>
                <w:i/>
                <w:iCs/>
                <w:sz w:val="22"/>
                <w:szCs w:val="22"/>
              </w:rPr>
              <w:t>Fațadă double skin ”box” partiționată pe orizontală</w:t>
            </w:r>
          </w:p>
        </w:tc>
        <w:tc>
          <w:tcPr>
            <w:tcW w:w="2464" w:type="dxa"/>
          </w:tcPr>
          <w:p w14:paraId="38FF1EA8" w14:textId="77777777" w:rsidR="001C08A5" w:rsidRDefault="00000000">
            <w:pPr>
              <w:jc w:val="center"/>
              <w:rPr>
                <w:i/>
                <w:iCs/>
                <w:sz w:val="22"/>
                <w:szCs w:val="22"/>
              </w:rPr>
            </w:pPr>
            <w:r>
              <w:rPr>
                <w:b/>
                <w:bCs/>
                <w:i/>
                <w:iCs/>
                <w:sz w:val="22"/>
                <w:szCs w:val="22"/>
              </w:rPr>
              <w:t xml:space="preserve">Varianta c) </w:t>
            </w:r>
            <w:r>
              <w:rPr>
                <w:i/>
                <w:iCs/>
                <w:sz w:val="22"/>
                <w:szCs w:val="22"/>
              </w:rPr>
              <w:t>Fațadă double skin ”box” partiționată pe orizontală și verticală</w:t>
            </w:r>
          </w:p>
        </w:tc>
        <w:tc>
          <w:tcPr>
            <w:tcW w:w="2464" w:type="dxa"/>
          </w:tcPr>
          <w:p w14:paraId="2E47E2FB" w14:textId="77777777" w:rsidR="001C08A5" w:rsidRDefault="00000000">
            <w:pPr>
              <w:jc w:val="center"/>
              <w:rPr>
                <w:i/>
                <w:iCs/>
                <w:sz w:val="22"/>
                <w:szCs w:val="22"/>
              </w:rPr>
            </w:pPr>
            <w:r>
              <w:rPr>
                <w:b/>
                <w:bCs/>
                <w:i/>
                <w:iCs/>
                <w:sz w:val="22"/>
                <w:szCs w:val="22"/>
              </w:rPr>
              <w:t xml:space="preserve">Varianta d) </w:t>
            </w:r>
            <w:r>
              <w:rPr>
                <w:i/>
                <w:iCs/>
                <w:sz w:val="22"/>
                <w:szCs w:val="22"/>
              </w:rPr>
              <w:t>Fațadă double skin  nepartiționată</w:t>
            </w:r>
          </w:p>
        </w:tc>
      </w:tr>
    </w:tbl>
    <w:p w14:paraId="7F409165" w14:textId="77777777" w:rsidR="001C08A5" w:rsidRDefault="00000000">
      <w:pPr>
        <w:pStyle w:val="Caption"/>
        <w:jc w:val="center"/>
        <w:rPr>
          <w:rFonts w:cs="Times New Roman"/>
          <w:lang w:eastAsia="ro-RO"/>
        </w:rPr>
      </w:pPr>
      <w:bookmarkStart w:id="365" w:name="_Ref6632"/>
      <w:bookmarkStart w:id="366" w:name="_Toc162360240"/>
      <w:bookmarkStart w:id="367" w:name="_Toc21677"/>
      <w:bookmarkStart w:id="368" w:name="_Toc26104"/>
      <w:bookmarkStart w:id="369" w:name="_Toc6472"/>
      <w:bookmarkStart w:id="370" w:name="_Toc8339"/>
      <w:bookmarkStart w:id="371" w:name="_Toc13434"/>
      <w:bookmarkStart w:id="372" w:name="_Toc25025"/>
      <w:r>
        <w:t xml:space="preserve">Figura </w:t>
      </w:r>
      <w:r>
        <w:fldChar w:fldCharType="begin"/>
      </w:r>
      <w:r>
        <w:instrText xml:space="preserve"> SEQ Figura \* ARABIC </w:instrText>
      </w:r>
      <w:r>
        <w:fldChar w:fldCharType="separate"/>
      </w:r>
      <w:r>
        <w:t>16</w:t>
      </w:r>
      <w:r>
        <w:fldChar w:fldCharType="end"/>
      </w:r>
      <w:bookmarkStart w:id="373" w:name="_Toc26694"/>
      <w:bookmarkStart w:id="374" w:name="_Toc27475"/>
      <w:bookmarkStart w:id="375" w:name="_Toc15123"/>
      <w:bookmarkStart w:id="376" w:name="_Toc16716"/>
      <w:bookmarkStart w:id="377" w:name="_Toc8601"/>
      <w:bookmarkStart w:id="378" w:name="_Toc10528"/>
      <w:bookmarkStart w:id="379" w:name="_Toc29561"/>
      <w:bookmarkStart w:id="380" w:name="_Toc23702"/>
      <w:bookmarkStart w:id="381" w:name="_Toc10804"/>
      <w:bookmarkStart w:id="382" w:name="_Toc9224"/>
      <w:bookmarkStart w:id="383" w:name="_Toc3555"/>
      <w:bookmarkEnd w:id="365"/>
      <w:r>
        <w:t xml:space="preserve"> - </w:t>
      </w:r>
      <w:r>
        <w:rPr>
          <w:rFonts w:cs="Times New Roman"/>
        </w:rPr>
        <w:t xml:space="preserve">Faţade duble (cu două foi de sticlă / „double skin”) </w:t>
      </w:r>
      <w:r>
        <w:rPr>
          <w:rFonts w:cs="Times New Roman"/>
          <w:lang w:eastAsia="ro-RO"/>
        </w:rPr>
        <w:t>- tipuri</w:t>
      </w:r>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p>
    <w:p w14:paraId="6B16B930" w14:textId="77777777" w:rsidR="001C08A5" w:rsidRDefault="001C08A5">
      <w:pPr>
        <w:pStyle w:val="BodyText"/>
      </w:pPr>
    </w:p>
    <w:p w14:paraId="61CB5D0C" w14:textId="77777777" w:rsidR="001C08A5" w:rsidRDefault="00000000">
      <w:pPr>
        <w:numPr>
          <w:ilvl w:val="3"/>
          <w:numId w:val="10"/>
        </w:numPr>
        <w:jc w:val="both"/>
        <w:rPr>
          <w:i/>
          <w:iCs/>
          <w:sz w:val="24"/>
          <w:szCs w:val="24"/>
        </w:rPr>
      </w:pPr>
      <w:r>
        <w:rPr>
          <w:b/>
          <w:bCs/>
          <w:i/>
          <w:iCs/>
          <w:sz w:val="24"/>
          <w:szCs w:val="24"/>
        </w:rPr>
        <w:t>Fațada neventilată (fațadă cu alcătuire neventilată)</w:t>
      </w:r>
      <w:r>
        <w:rPr>
          <w:i/>
          <w:iCs/>
          <w:sz w:val="24"/>
          <w:szCs w:val="24"/>
        </w:rPr>
        <w:t xml:space="preserve"> - partea exterioară a unui perete de închidere exterior, constând dintr-un sistem de închidere perimetrală cu alcatuire neventilată (compact sau cu strat de aer neventilat).</w:t>
      </w:r>
    </w:p>
    <w:p w14:paraId="51BD83E1" w14:textId="77777777" w:rsidR="001C08A5" w:rsidRDefault="00000000">
      <w:pPr>
        <w:numPr>
          <w:ilvl w:val="3"/>
          <w:numId w:val="10"/>
        </w:numPr>
        <w:jc w:val="both"/>
        <w:rPr>
          <w:i/>
          <w:iCs/>
          <w:sz w:val="24"/>
          <w:szCs w:val="24"/>
        </w:rPr>
      </w:pPr>
      <w:r>
        <w:rPr>
          <w:b/>
          <w:i/>
          <w:iCs/>
          <w:sz w:val="24"/>
          <w:szCs w:val="24"/>
        </w:rPr>
        <w:t xml:space="preserve">Faţadă ventilată </w:t>
      </w:r>
      <w:r>
        <w:rPr>
          <w:i/>
          <w:iCs/>
          <w:sz w:val="24"/>
          <w:szCs w:val="24"/>
        </w:rPr>
        <w:t>(</w:t>
      </w:r>
      <w:r>
        <w:rPr>
          <w:b/>
          <w:i/>
          <w:iCs/>
          <w:sz w:val="24"/>
          <w:szCs w:val="24"/>
        </w:rPr>
        <w:t>faţadă cu alcătuire ventilată</w:t>
      </w:r>
      <w:r>
        <w:rPr>
          <w:i/>
          <w:iCs/>
          <w:sz w:val="24"/>
          <w:szCs w:val="24"/>
        </w:rPr>
        <w:t>) - sistem de faţadă în care finisajul are alcătuire ventilată. Una dintre componentele sistemului de finisare este prevazută cu o lamă de aer (slab sau puternic) ventilată natural. Lama de aer este amplasată între faţa exterioară a peretelui suport sau a stratului termoizolant (dacă acesta există) şi faţa interioară a elementului de construcţie aflat între stratul de aer ventilat şi atmosfera exterioară (structură care poate fi sau nu termoizolată, faţa exterioară putând fi opacă sau vitrată).</w:t>
      </w:r>
    </w:p>
    <w:p w14:paraId="6E792581" w14:textId="77777777" w:rsidR="001C08A5" w:rsidRDefault="00000000">
      <w:pPr>
        <w:numPr>
          <w:ilvl w:val="3"/>
          <w:numId w:val="10"/>
        </w:numPr>
        <w:jc w:val="both"/>
        <w:rPr>
          <w:i/>
          <w:iCs/>
          <w:sz w:val="24"/>
          <w:szCs w:val="24"/>
        </w:rPr>
      </w:pPr>
      <w:r>
        <w:rPr>
          <w:b/>
          <w:bCs/>
          <w:i/>
          <w:iCs/>
          <w:sz w:val="24"/>
          <w:szCs w:val="24"/>
        </w:rPr>
        <w:t>Perete de închidere la exterior</w:t>
      </w:r>
      <w:r>
        <w:rPr>
          <w:i/>
          <w:iCs/>
          <w:sz w:val="24"/>
          <w:szCs w:val="24"/>
        </w:rPr>
        <w:t xml:space="preserve"> - element de construcție structural sau nestructural, realizat din zidarie, beton, pe structuri ușoare metalice, lemn, tablă cutata, panouri sandwich din tablă cutată și termoizolație etc. (</w:t>
      </w:r>
      <w:r>
        <w:rPr>
          <w:b/>
          <w:bCs/>
          <w:i/>
          <w:iCs/>
          <w:sz w:val="24"/>
          <w:szCs w:val="24"/>
        </w:rPr>
        <w:t>perete exterior</w:t>
      </w:r>
      <w:r>
        <w:rPr>
          <w:i/>
          <w:iCs/>
          <w:sz w:val="24"/>
          <w:szCs w:val="24"/>
        </w:rPr>
        <w:t xml:space="preserve"> - perete care formează anvelopa exterioară a unei construcţii, inclusiv elemente vitrate, care poate fi expus separat la un foc din interior sau exterior - Conform </w:t>
      </w:r>
      <w:r>
        <w:rPr>
          <w:b/>
          <w:bCs/>
          <w:i/>
          <w:iCs/>
          <w:sz w:val="24"/>
          <w:szCs w:val="24"/>
        </w:rPr>
        <w:t>SR EN 13501-2; SR EN 1364-1 și SR EN 1365-1</w:t>
      </w:r>
      <w:r>
        <w:rPr>
          <w:i/>
          <w:iCs/>
          <w:sz w:val="24"/>
          <w:szCs w:val="24"/>
        </w:rPr>
        <w:t xml:space="preserve">)                                                                                                                                                                                                                                                                                                                                                                                                                                                                                                                                                                                                                                                                                                                                                                                                                                                                                                                                                                                                                                                                                                                                                                                                                                                                                                                                                                                                                                                                                                                                                                                                                                                                                                                                                                                                                                                                                                                                                                                                                                                                                                                                                                                                                                                                                                                                                                                                                                                                                                                                                                                                                                                                                                                                                                                                                                                                                                                                                                                                                                                                                                                                                                                                                                                                                                                                                                                                                                                                                                                                                                                                                                                                                                                                                                                                                                                                                                                                                                                                                       </w:t>
      </w:r>
    </w:p>
    <w:p w14:paraId="38A0ACBE" w14:textId="77777777" w:rsidR="001C08A5" w:rsidRDefault="001C08A5">
      <w:pPr>
        <w:jc w:val="both"/>
        <w:rPr>
          <w:b/>
          <w:i/>
          <w:iCs/>
          <w:sz w:val="24"/>
          <w:szCs w:val="24"/>
        </w:rPr>
      </w:pPr>
    </w:p>
    <w:p w14:paraId="070FB7A3" w14:textId="77777777" w:rsidR="001C08A5" w:rsidRDefault="00000000">
      <w:pPr>
        <w:numPr>
          <w:ilvl w:val="0"/>
          <w:numId w:val="10"/>
        </w:numPr>
        <w:jc w:val="both"/>
        <w:rPr>
          <w:i/>
          <w:iCs/>
          <w:sz w:val="24"/>
          <w:szCs w:val="24"/>
        </w:rPr>
      </w:pPr>
      <w:r>
        <w:rPr>
          <w:b/>
          <w:bCs/>
          <w:i/>
          <w:iCs/>
          <w:sz w:val="24"/>
          <w:szCs w:val="24"/>
        </w:rPr>
        <w:t>Ghenă</w:t>
      </w:r>
      <w:r>
        <w:rPr>
          <w:i/>
          <w:iCs/>
          <w:sz w:val="24"/>
          <w:szCs w:val="24"/>
        </w:rPr>
        <w:t xml:space="preserve"> - canal vertical închis în construcţie destinat instalaţiilor (conducte, cabluri, tubulaturi, etc.).</w:t>
      </w:r>
    </w:p>
    <w:p w14:paraId="0104AE0D" w14:textId="77777777" w:rsidR="001C08A5" w:rsidRDefault="001C08A5">
      <w:pPr>
        <w:jc w:val="both"/>
        <w:rPr>
          <w:b/>
          <w:i/>
          <w:iCs/>
          <w:sz w:val="24"/>
          <w:szCs w:val="24"/>
        </w:rPr>
      </w:pPr>
    </w:p>
    <w:p w14:paraId="2B95E74A" w14:textId="77777777" w:rsidR="001C08A5" w:rsidRDefault="00000000">
      <w:pPr>
        <w:numPr>
          <w:ilvl w:val="0"/>
          <w:numId w:val="10"/>
        </w:numPr>
        <w:jc w:val="both"/>
        <w:rPr>
          <w:i/>
          <w:iCs/>
          <w:sz w:val="24"/>
          <w:szCs w:val="24"/>
          <w:lang w:eastAsia="ro-RO"/>
        </w:rPr>
      </w:pPr>
      <w:r>
        <w:rPr>
          <w:b/>
          <w:bCs/>
          <w:i/>
          <w:iCs/>
          <w:sz w:val="24"/>
          <w:szCs w:val="24"/>
        </w:rPr>
        <w:t xml:space="preserve">Incendiu </w:t>
      </w:r>
      <w:r>
        <w:rPr>
          <w:i/>
          <w:iCs/>
          <w:sz w:val="24"/>
          <w:szCs w:val="24"/>
          <w:lang w:eastAsia="ro-RO"/>
        </w:rPr>
        <w:t>(termen general) - proces de ardere caracterizat prin emisie de căldură şi de efluenţi ai incendiului și în general însoțit de fum, flăcări, incandescenţă sau de o combinaţie a acestor elemente</w:t>
      </w:r>
    </w:p>
    <w:p w14:paraId="30D6CF10" w14:textId="77777777" w:rsidR="001C08A5" w:rsidRDefault="00000000">
      <w:pPr>
        <w:numPr>
          <w:ilvl w:val="3"/>
          <w:numId w:val="10"/>
        </w:numPr>
        <w:jc w:val="both"/>
        <w:rPr>
          <w:i/>
          <w:iCs/>
          <w:sz w:val="24"/>
          <w:szCs w:val="24"/>
          <w:lang w:eastAsia="ro-RO"/>
        </w:rPr>
      </w:pPr>
      <w:r>
        <w:rPr>
          <w:b/>
          <w:bCs/>
          <w:i/>
          <w:iCs/>
          <w:sz w:val="24"/>
          <w:szCs w:val="24"/>
          <w:lang w:eastAsia="ro-RO"/>
        </w:rPr>
        <w:t>Incendiu</w:t>
      </w:r>
      <w:r>
        <w:rPr>
          <w:i/>
          <w:iCs/>
          <w:sz w:val="24"/>
          <w:szCs w:val="24"/>
          <w:lang w:eastAsia="ro-RO"/>
        </w:rPr>
        <w:t xml:space="preserve"> (necontrolat) - ardere autoîntreţinută care nu a fost deliberat organizată pentru a produce efecte utile şi a cărei propagare în timp şi spaţiu nu este controlată</w:t>
      </w:r>
    </w:p>
    <w:p w14:paraId="3BD25B3D" w14:textId="77777777" w:rsidR="001C08A5" w:rsidRDefault="00000000">
      <w:pPr>
        <w:numPr>
          <w:ilvl w:val="3"/>
          <w:numId w:val="10"/>
        </w:numPr>
        <w:jc w:val="both"/>
        <w:rPr>
          <w:i/>
          <w:iCs/>
          <w:sz w:val="24"/>
          <w:szCs w:val="24"/>
        </w:rPr>
      </w:pPr>
      <w:r>
        <w:rPr>
          <w:b/>
          <w:bCs/>
          <w:i/>
          <w:iCs/>
          <w:sz w:val="24"/>
          <w:szCs w:val="24"/>
          <w:lang w:eastAsia="ro-RO"/>
        </w:rPr>
        <w:t>Incendiu generalizat</w:t>
      </w:r>
      <w:r>
        <w:rPr>
          <w:i/>
          <w:iCs/>
          <w:sz w:val="24"/>
          <w:szCs w:val="24"/>
          <w:lang w:eastAsia="ro-RO"/>
        </w:rPr>
        <w:t xml:space="preserve"> - fază în care ansamblul materialelor combustibile sunt implicate într-un incendiu; </w:t>
      </w:r>
      <w:r>
        <w:rPr>
          <w:i/>
          <w:iCs/>
          <w:sz w:val="24"/>
          <w:szCs w:val="24"/>
        </w:rPr>
        <w:t xml:space="preserve"> stare de ardere cu flacără a tuturor materialelor combustibile pe durata unui incendiu.</w:t>
      </w:r>
    </w:p>
    <w:p w14:paraId="1002FAC2" w14:textId="77777777" w:rsidR="001C08A5" w:rsidRDefault="00000000">
      <w:pPr>
        <w:numPr>
          <w:ilvl w:val="3"/>
          <w:numId w:val="10"/>
        </w:numPr>
        <w:jc w:val="both"/>
        <w:rPr>
          <w:i/>
          <w:iCs/>
          <w:sz w:val="24"/>
          <w:szCs w:val="24"/>
          <w:lang w:eastAsia="ro-RO"/>
        </w:rPr>
      </w:pPr>
      <w:r>
        <w:rPr>
          <w:b/>
          <w:bCs/>
          <w:i/>
          <w:iCs/>
          <w:sz w:val="24"/>
          <w:szCs w:val="24"/>
          <w:lang w:eastAsia="ro-RO"/>
        </w:rPr>
        <w:t>”Flashover” / Inflamare generalizată</w:t>
      </w:r>
      <w:r>
        <w:rPr>
          <w:i/>
          <w:iCs/>
          <w:sz w:val="24"/>
          <w:szCs w:val="24"/>
          <w:lang w:eastAsia="ro-RO"/>
        </w:rPr>
        <w:t>&lt;moment al incendiului&gt; - trecere la faza de ardere generalizată a suprafeţei tuturor materialelor combustibile expuse la un incendiu într-o incintă</w:t>
      </w:r>
    </w:p>
    <w:p w14:paraId="5D5A9A20" w14:textId="77777777" w:rsidR="001C08A5" w:rsidRDefault="00000000">
      <w:pPr>
        <w:numPr>
          <w:ilvl w:val="3"/>
          <w:numId w:val="10"/>
        </w:numPr>
        <w:jc w:val="both"/>
        <w:rPr>
          <w:i/>
          <w:iCs/>
          <w:sz w:val="24"/>
          <w:szCs w:val="24"/>
          <w:lang w:eastAsia="ro-RO"/>
        </w:rPr>
      </w:pPr>
      <w:r>
        <w:rPr>
          <w:b/>
          <w:bCs/>
          <w:i/>
          <w:iCs/>
          <w:sz w:val="24"/>
          <w:szCs w:val="24"/>
          <w:lang w:eastAsia="ro-RO"/>
        </w:rPr>
        <w:t>Clasificare a incendiilor</w:t>
      </w:r>
      <w:r>
        <w:rPr>
          <w:i/>
          <w:iCs/>
          <w:sz w:val="24"/>
          <w:szCs w:val="24"/>
          <w:lang w:eastAsia="ro-RO"/>
        </w:rPr>
        <w:t xml:space="preserve"> - sistem standardizat de clasificare a incendiilor în funcţie de natura combustibilului. Există şase clase de incendii:</w:t>
      </w:r>
    </w:p>
    <w:p w14:paraId="77D7998F" w14:textId="77777777" w:rsidR="001C08A5" w:rsidRDefault="00000000">
      <w:pPr>
        <w:numPr>
          <w:ilvl w:val="6"/>
          <w:numId w:val="10"/>
        </w:numPr>
        <w:jc w:val="both"/>
        <w:rPr>
          <w:i/>
          <w:iCs/>
          <w:sz w:val="24"/>
          <w:szCs w:val="24"/>
          <w:lang w:eastAsia="ro-RO"/>
        </w:rPr>
      </w:pPr>
      <w:r>
        <w:rPr>
          <w:i/>
          <w:iCs/>
          <w:sz w:val="24"/>
          <w:szCs w:val="24"/>
          <w:lang w:eastAsia="ro-RO"/>
        </w:rPr>
        <w:lastRenderedPageBreak/>
        <w:t>- Clasa A: incendiu care implică materiale solide, în general de natură organică, a căror ardere are loc în mod normal cu formarea de jar incandescent;</w:t>
      </w:r>
    </w:p>
    <w:p w14:paraId="252AFE48" w14:textId="77777777" w:rsidR="001C08A5" w:rsidRDefault="00000000">
      <w:pPr>
        <w:numPr>
          <w:ilvl w:val="6"/>
          <w:numId w:val="10"/>
        </w:numPr>
        <w:jc w:val="both"/>
        <w:rPr>
          <w:i/>
          <w:iCs/>
          <w:sz w:val="24"/>
          <w:szCs w:val="24"/>
          <w:lang w:eastAsia="ro-RO"/>
        </w:rPr>
      </w:pPr>
      <w:r>
        <w:rPr>
          <w:i/>
          <w:iCs/>
          <w:sz w:val="24"/>
          <w:szCs w:val="24"/>
          <w:lang w:eastAsia="ro-RO"/>
        </w:rPr>
        <w:t>- Clasa B : incendiu care implică lichide sau solide lichefiabile;</w:t>
      </w:r>
    </w:p>
    <w:p w14:paraId="7D69E964" w14:textId="77777777" w:rsidR="001C08A5" w:rsidRDefault="00000000">
      <w:pPr>
        <w:numPr>
          <w:ilvl w:val="6"/>
          <w:numId w:val="10"/>
        </w:numPr>
        <w:jc w:val="both"/>
        <w:rPr>
          <w:i/>
          <w:iCs/>
          <w:sz w:val="24"/>
          <w:szCs w:val="24"/>
          <w:lang w:eastAsia="ro-RO"/>
        </w:rPr>
      </w:pPr>
      <w:r>
        <w:rPr>
          <w:i/>
          <w:iCs/>
          <w:sz w:val="24"/>
          <w:szCs w:val="24"/>
          <w:lang w:eastAsia="ro-RO"/>
        </w:rPr>
        <w:t>- Clasa C: incendiu care implică gaze;</w:t>
      </w:r>
    </w:p>
    <w:p w14:paraId="632BAE57" w14:textId="77777777" w:rsidR="001C08A5" w:rsidRDefault="00000000">
      <w:pPr>
        <w:numPr>
          <w:ilvl w:val="6"/>
          <w:numId w:val="10"/>
        </w:numPr>
        <w:jc w:val="both"/>
        <w:rPr>
          <w:i/>
          <w:iCs/>
          <w:sz w:val="24"/>
          <w:szCs w:val="24"/>
          <w:lang w:eastAsia="ro-RO"/>
        </w:rPr>
      </w:pPr>
      <w:r>
        <w:rPr>
          <w:i/>
          <w:iCs/>
          <w:sz w:val="24"/>
          <w:szCs w:val="24"/>
          <w:lang w:eastAsia="ro-RO"/>
        </w:rPr>
        <w:t>- Clasa D: incendiu care implică metale;</w:t>
      </w:r>
    </w:p>
    <w:p w14:paraId="1DCC3A1E" w14:textId="77777777" w:rsidR="001C08A5" w:rsidRDefault="00000000">
      <w:pPr>
        <w:numPr>
          <w:ilvl w:val="6"/>
          <w:numId w:val="10"/>
        </w:numPr>
        <w:jc w:val="both"/>
        <w:rPr>
          <w:i/>
          <w:iCs/>
          <w:sz w:val="24"/>
          <w:szCs w:val="24"/>
          <w:lang w:eastAsia="ro-RO"/>
        </w:rPr>
      </w:pPr>
      <w:r>
        <w:rPr>
          <w:i/>
          <w:iCs/>
          <w:sz w:val="24"/>
          <w:szCs w:val="24"/>
          <w:lang w:eastAsia="ro-RO"/>
        </w:rPr>
        <w:t xml:space="preserve">- Clasa E: incendiu care implică pericole de origine electrică (În </w:t>
      </w:r>
      <w:r>
        <w:rPr>
          <w:b/>
          <w:bCs/>
          <w:i/>
          <w:iCs/>
          <w:sz w:val="24"/>
          <w:szCs w:val="24"/>
          <w:lang w:eastAsia="ro-RO"/>
        </w:rPr>
        <w:t>SR EN 2</w:t>
      </w:r>
      <w:r>
        <w:rPr>
          <w:i/>
          <w:iCs/>
          <w:sz w:val="24"/>
          <w:szCs w:val="24"/>
          <w:lang w:eastAsia="ro-RO"/>
        </w:rPr>
        <w:t xml:space="preserve"> nu este menţionată clasa E);</w:t>
      </w:r>
    </w:p>
    <w:p w14:paraId="3EDE43B3" w14:textId="77777777" w:rsidR="001C08A5" w:rsidRDefault="00000000">
      <w:pPr>
        <w:numPr>
          <w:ilvl w:val="6"/>
          <w:numId w:val="10"/>
        </w:numPr>
        <w:jc w:val="both"/>
        <w:rPr>
          <w:rFonts w:eastAsia="Helvetica-Bold"/>
          <w:b/>
          <w:sz w:val="24"/>
          <w:szCs w:val="24"/>
        </w:rPr>
      </w:pPr>
      <w:r>
        <w:rPr>
          <w:i/>
          <w:iCs/>
          <w:sz w:val="24"/>
          <w:szCs w:val="24"/>
          <w:lang w:eastAsia="ro-RO"/>
        </w:rPr>
        <w:t>- Clasa F: incendiu care implică uleiuri sau grăsimi pentru gătit</w:t>
      </w:r>
    </w:p>
    <w:p w14:paraId="6FD809B5" w14:textId="77777777" w:rsidR="001C08A5" w:rsidRDefault="00000000">
      <w:pPr>
        <w:numPr>
          <w:ilvl w:val="3"/>
          <w:numId w:val="10"/>
        </w:numPr>
        <w:jc w:val="both"/>
        <w:rPr>
          <w:rFonts w:eastAsia="Helvetica-Bold"/>
          <w:b/>
          <w:i/>
          <w:iCs/>
          <w:sz w:val="24"/>
          <w:szCs w:val="24"/>
        </w:rPr>
      </w:pPr>
      <w:r>
        <w:rPr>
          <w:b/>
          <w:bCs/>
          <w:i/>
          <w:iCs/>
          <w:sz w:val="24"/>
          <w:szCs w:val="24"/>
          <w:lang w:eastAsia="ro-RO"/>
        </w:rPr>
        <w:t xml:space="preserve">Efluenți ai incendiului - </w:t>
      </w:r>
      <w:r>
        <w:rPr>
          <w:rFonts w:eastAsia="Helvetica"/>
          <w:i/>
          <w:iCs/>
          <w:sz w:val="24"/>
          <w:szCs w:val="24"/>
        </w:rPr>
        <w:t xml:space="preserve">totalitatea gazelor </w:t>
      </w:r>
      <w:r>
        <w:rPr>
          <w:rFonts w:eastAsia="Helvetica-Bold"/>
          <w:i/>
          <w:iCs/>
          <w:sz w:val="24"/>
          <w:szCs w:val="24"/>
        </w:rPr>
        <w:t>ș</w:t>
      </w:r>
      <w:r>
        <w:rPr>
          <w:rFonts w:eastAsia="Helvetica"/>
          <w:i/>
          <w:iCs/>
          <w:sz w:val="24"/>
          <w:szCs w:val="24"/>
        </w:rPr>
        <w:t xml:space="preserve">i aerosolilor, inclusiv particule în suspensie, degajate prin </w:t>
      </w:r>
      <w:r>
        <w:rPr>
          <w:rFonts w:eastAsia="Helvetica-Oblique"/>
          <w:i/>
          <w:iCs/>
          <w:sz w:val="24"/>
          <w:szCs w:val="24"/>
        </w:rPr>
        <w:t xml:space="preserve">ardere </w:t>
      </w:r>
      <w:r>
        <w:rPr>
          <w:rFonts w:eastAsia="Helvetica"/>
          <w:i/>
          <w:iCs/>
          <w:sz w:val="24"/>
          <w:szCs w:val="24"/>
        </w:rPr>
        <w:t xml:space="preserve">sau </w:t>
      </w:r>
      <w:r>
        <w:rPr>
          <w:rFonts w:eastAsia="Helvetica-Oblique"/>
          <w:i/>
          <w:iCs/>
          <w:sz w:val="24"/>
          <w:szCs w:val="24"/>
        </w:rPr>
        <w:t>piroliz</w:t>
      </w:r>
      <w:r>
        <w:rPr>
          <w:rFonts w:eastAsia="Arial,Italic"/>
          <w:i/>
          <w:iCs/>
          <w:sz w:val="24"/>
          <w:szCs w:val="24"/>
        </w:rPr>
        <w:t xml:space="preserve">ă și </w:t>
      </w:r>
      <w:r>
        <w:rPr>
          <w:rFonts w:eastAsia="Helvetica"/>
          <w:i/>
          <w:iCs/>
          <w:sz w:val="24"/>
          <w:szCs w:val="24"/>
        </w:rPr>
        <w:t xml:space="preserve">emise și difuzate în </w:t>
      </w:r>
      <w:r>
        <w:rPr>
          <w:rFonts w:eastAsia="Helvetica-Oblique"/>
          <w:i/>
          <w:iCs/>
          <w:sz w:val="24"/>
          <w:szCs w:val="24"/>
        </w:rPr>
        <w:t>mediu</w:t>
      </w:r>
      <w:r>
        <w:rPr>
          <w:rFonts w:eastAsia="Helvetica"/>
          <w:i/>
          <w:iCs/>
          <w:sz w:val="24"/>
          <w:szCs w:val="24"/>
        </w:rPr>
        <w:t>;</w:t>
      </w:r>
    </w:p>
    <w:p w14:paraId="4DF9633B" w14:textId="77777777" w:rsidR="001C08A5" w:rsidRDefault="00000000">
      <w:pPr>
        <w:numPr>
          <w:ilvl w:val="3"/>
          <w:numId w:val="10"/>
        </w:numPr>
        <w:jc w:val="both"/>
        <w:rPr>
          <w:rFonts w:eastAsia="Arial,Bold"/>
          <w:b/>
          <w:i/>
          <w:iCs/>
          <w:sz w:val="24"/>
          <w:szCs w:val="24"/>
        </w:rPr>
      </w:pPr>
      <w:r>
        <w:rPr>
          <w:rFonts w:eastAsia="Helvetica-Bold"/>
          <w:b/>
          <w:i/>
          <w:iCs/>
          <w:sz w:val="24"/>
          <w:szCs w:val="24"/>
        </w:rPr>
        <w:t xml:space="preserve">Fum - </w:t>
      </w:r>
      <w:r>
        <w:rPr>
          <w:rFonts w:eastAsia="Helvetica"/>
          <w:i/>
          <w:iCs/>
          <w:sz w:val="24"/>
          <w:szCs w:val="24"/>
        </w:rPr>
        <w:t>parte vizibil</w:t>
      </w:r>
      <w:r>
        <w:rPr>
          <w:rFonts w:eastAsia="Helvetica-Bold"/>
          <w:i/>
          <w:iCs/>
          <w:sz w:val="24"/>
          <w:szCs w:val="24"/>
        </w:rPr>
        <w:t xml:space="preserve">ă </w:t>
      </w:r>
      <w:r>
        <w:rPr>
          <w:rFonts w:eastAsia="Helvetica"/>
          <w:i/>
          <w:iCs/>
          <w:sz w:val="24"/>
          <w:szCs w:val="24"/>
        </w:rPr>
        <w:t xml:space="preserve">a </w:t>
      </w:r>
      <w:r>
        <w:rPr>
          <w:rFonts w:eastAsia="Helvetica-Oblique"/>
          <w:i/>
          <w:iCs/>
          <w:sz w:val="24"/>
          <w:szCs w:val="24"/>
        </w:rPr>
        <w:t>efluen</w:t>
      </w:r>
      <w:r>
        <w:rPr>
          <w:rFonts w:eastAsia="Arial,Italic"/>
          <w:i/>
          <w:iCs/>
          <w:sz w:val="24"/>
          <w:szCs w:val="24"/>
        </w:rPr>
        <w:t>ț</w:t>
      </w:r>
      <w:r>
        <w:rPr>
          <w:rFonts w:eastAsia="Helvetica-Oblique"/>
          <w:i/>
          <w:iCs/>
          <w:sz w:val="24"/>
          <w:szCs w:val="24"/>
        </w:rPr>
        <w:t>ilor incendiului;</w:t>
      </w:r>
    </w:p>
    <w:p w14:paraId="7360BFA6" w14:textId="77777777" w:rsidR="001C08A5" w:rsidRDefault="00000000">
      <w:pPr>
        <w:numPr>
          <w:ilvl w:val="3"/>
          <w:numId w:val="10"/>
        </w:numPr>
        <w:jc w:val="both"/>
        <w:rPr>
          <w:rFonts w:eastAsia="Helvetica"/>
          <w:i/>
          <w:iCs/>
          <w:sz w:val="24"/>
          <w:szCs w:val="24"/>
        </w:rPr>
      </w:pPr>
      <w:r>
        <w:rPr>
          <w:rFonts w:eastAsia="Helvetica-Bold"/>
          <w:b/>
          <w:i/>
          <w:iCs/>
          <w:sz w:val="24"/>
          <w:szCs w:val="24"/>
        </w:rPr>
        <w:t>Flac</w:t>
      </w:r>
      <w:r>
        <w:rPr>
          <w:rFonts w:eastAsia="Arial,Bold"/>
          <w:b/>
          <w:i/>
          <w:iCs/>
          <w:sz w:val="24"/>
          <w:szCs w:val="24"/>
        </w:rPr>
        <w:t>ă</w:t>
      </w:r>
      <w:r>
        <w:rPr>
          <w:rFonts w:eastAsia="Helvetica-Bold"/>
          <w:b/>
          <w:i/>
          <w:iCs/>
          <w:sz w:val="24"/>
          <w:szCs w:val="24"/>
        </w:rPr>
        <w:t>r</w:t>
      </w:r>
      <w:r>
        <w:rPr>
          <w:rFonts w:eastAsia="Arial,Bold"/>
          <w:b/>
          <w:i/>
          <w:iCs/>
          <w:sz w:val="24"/>
          <w:szCs w:val="24"/>
        </w:rPr>
        <w:t xml:space="preserve">ă - </w:t>
      </w:r>
      <w:r>
        <w:rPr>
          <w:rFonts w:eastAsia="Helvetica"/>
          <w:i/>
          <w:iCs/>
          <w:sz w:val="24"/>
          <w:szCs w:val="24"/>
        </w:rPr>
        <w:t>propagare rapid</w:t>
      </w:r>
      <w:r>
        <w:rPr>
          <w:rFonts w:eastAsia="Helvetica-Bold"/>
          <w:i/>
          <w:iCs/>
          <w:sz w:val="24"/>
          <w:szCs w:val="24"/>
        </w:rPr>
        <w:t>ă</w:t>
      </w:r>
      <w:r>
        <w:rPr>
          <w:rFonts w:eastAsia="Helvetica"/>
          <w:i/>
          <w:iCs/>
          <w:sz w:val="24"/>
          <w:szCs w:val="24"/>
        </w:rPr>
        <w:t>, autoîntre</w:t>
      </w:r>
      <w:r>
        <w:rPr>
          <w:rFonts w:eastAsia="Helvetica-Bold"/>
          <w:i/>
          <w:iCs/>
          <w:sz w:val="24"/>
          <w:szCs w:val="24"/>
        </w:rPr>
        <w:t>ț</w:t>
      </w:r>
      <w:r>
        <w:rPr>
          <w:rFonts w:eastAsia="Helvetica"/>
          <w:i/>
          <w:iCs/>
          <w:sz w:val="24"/>
          <w:szCs w:val="24"/>
        </w:rPr>
        <w:t>inut</w:t>
      </w:r>
      <w:r>
        <w:rPr>
          <w:rFonts w:eastAsia="Helvetica-Bold"/>
          <w:i/>
          <w:iCs/>
          <w:sz w:val="24"/>
          <w:szCs w:val="24"/>
        </w:rPr>
        <w:t>ă ș</w:t>
      </w:r>
      <w:r>
        <w:rPr>
          <w:rFonts w:eastAsia="Helvetica"/>
          <w:i/>
          <w:iCs/>
          <w:sz w:val="24"/>
          <w:szCs w:val="24"/>
        </w:rPr>
        <w:t>i subsonic</w:t>
      </w:r>
      <w:r>
        <w:rPr>
          <w:rFonts w:eastAsia="Helvetica-Bold"/>
          <w:i/>
          <w:iCs/>
          <w:sz w:val="24"/>
          <w:szCs w:val="24"/>
        </w:rPr>
        <w:t xml:space="preserve">ă </w:t>
      </w:r>
      <w:r>
        <w:rPr>
          <w:rFonts w:eastAsia="Helvetica"/>
          <w:i/>
          <w:iCs/>
          <w:sz w:val="24"/>
          <w:szCs w:val="24"/>
        </w:rPr>
        <w:t xml:space="preserve">a </w:t>
      </w:r>
      <w:r>
        <w:rPr>
          <w:rFonts w:eastAsia="Helvetica-Oblique"/>
          <w:i/>
          <w:iCs/>
          <w:sz w:val="24"/>
          <w:szCs w:val="24"/>
        </w:rPr>
        <w:t>arderii</w:t>
      </w:r>
      <w:r>
        <w:rPr>
          <w:rFonts w:eastAsia="Helvetica"/>
          <w:i/>
          <w:iCs/>
          <w:sz w:val="24"/>
          <w:szCs w:val="24"/>
        </w:rPr>
        <w:t xml:space="preserve"> într-un mediu gazos, în general înso</w:t>
      </w:r>
      <w:r>
        <w:rPr>
          <w:rFonts w:eastAsia="Helvetica-Bold"/>
          <w:i/>
          <w:iCs/>
          <w:sz w:val="24"/>
          <w:szCs w:val="24"/>
        </w:rPr>
        <w:t>ț</w:t>
      </w:r>
      <w:r>
        <w:rPr>
          <w:rFonts w:eastAsia="Helvetica"/>
          <w:i/>
          <w:iCs/>
          <w:sz w:val="24"/>
          <w:szCs w:val="24"/>
        </w:rPr>
        <w:t>it</w:t>
      </w:r>
      <w:r>
        <w:rPr>
          <w:rFonts w:eastAsia="Helvetica-Bold"/>
          <w:i/>
          <w:iCs/>
          <w:sz w:val="24"/>
          <w:szCs w:val="24"/>
        </w:rPr>
        <w:t xml:space="preserve">ă </w:t>
      </w:r>
      <w:r>
        <w:rPr>
          <w:rFonts w:eastAsia="Helvetica"/>
          <w:i/>
          <w:iCs/>
          <w:sz w:val="24"/>
          <w:szCs w:val="24"/>
        </w:rPr>
        <w:t>de emisie de lumin</w:t>
      </w:r>
      <w:r>
        <w:rPr>
          <w:rFonts w:eastAsia="Helvetica-Bold"/>
          <w:i/>
          <w:iCs/>
          <w:sz w:val="24"/>
          <w:szCs w:val="24"/>
        </w:rPr>
        <w:t>ă;</w:t>
      </w:r>
    </w:p>
    <w:p w14:paraId="61A52EC0" w14:textId="77777777" w:rsidR="001C08A5" w:rsidRDefault="001C08A5">
      <w:pPr>
        <w:jc w:val="both"/>
        <w:rPr>
          <w:i/>
          <w:iCs/>
          <w:sz w:val="24"/>
          <w:szCs w:val="24"/>
          <w:lang w:eastAsia="ro-RO"/>
        </w:rPr>
      </w:pPr>
    </w:p>
    <w:p w14:paraId="18FF67E0" w14:textId="77777777" w:rsidR="001C08A5" w:rsidRDefault="00000000">
      <w:pPr>
        <w:numPr>
          <w:ilvl w:val="0"/>
          <w:numId w:val="10"/>
        </w:numPr>
        <w:jc w:val="both"/>
        <w:rPr>
          <w:i/>
          <w:iCs/>
          <w:sz w:val="24"/>
          <w:szCs w:val="24"/>
        </w:rPr>
      </w:pPr>
      <w:r>
        <w:rPr>
          <w:rStyle w:val="FontStyle48"/>
          <w:rFonts w:ascii="Times New Roman" w:hAnsi="Times New Roman" w:cs="Times New Roman"/>
          <w:i/>
          <w:iCs/>
          <w:spacing w:val="8"/>
          <w:sz w:val="24"/>
          <w:szCs w:val="24"/>
          <w:lang w:eastAsia="ro-RO"/>
        </w:rPr>
        <w:t xml:space="preserve">Incombustibil </w:t>
      </w:r>
      <w:r>
        <w:rPr>
          <w:rStyle w:val="FontStyle48"/>
          <w:rFonts w:ascii="Times New Roman" w:hAnsi="Times New Roman" w:cs="Times New Roman"/>
          <w:b w:val="0"/>
          <w:i/>
          <w:iCs/>
          <w:spacing w:val="8"/>
          <w:sz w:val="24"/>
          <w:szCs w:val="24"/>
          <w:lang w:eastAsia="ro-RO"/>
        </w:rPr>
        <w:t>-</w:t>
      </w:r>
      <w:r>
        <w:rPr>
          <w:i/>
          <w:iCs/>
          <w:sz w:val="24"/>
          <w:szCs w:val="24"/>
        </w:rPr>
        <w:t>material sau produs incapabil să ardă în condiţii specificate.</w:t>
      </w:r>
    </w:p>
    <w:p w14:paraId="1940B3F9" w14:textId="77777777" w:rsidR="001C08A5" w:rsidRDefault="00000000">
      <w:pPr>
        <w:numPr>
          <w:ilvl w:val="3"/>
          <w:numId w:val="10"/>
        </w:numPr>
        <w:jc w:val="both"/>
        <w:rPr>
          <w:rFonts w:eastAsia="Helvetica"/>
          <w:i/>
          <w:iCs/>
          <w:sz w:val="24"/>
          <w:szCs w:val="24"/>
        </w:rPr>
      </w:pPr>
      <w:r>
        <w:rPr>
          <w:rFonts w:eastAsia="Helvetica-Bold"/>
          <w:b/>
          <w:i/>
          <w:iCs/>
          <w:sz w:val="24"/>
          <w:szCs w:val="24"/>
        </w:rPr>
        <w:t xml:space="preserve">combustibil, </w:t>
      </w:r>
      <w:r>
        <w:rPr>
          <w:rFonts w:eastAsia="Helvetica-Bold"/>
          <w:bCs/>
          <w:i/>
          <w:iCs/>
          <w:sz w:val="24"/>
          <w:szCs w:val="24"/>
        </w:rPr>
        <w:t xml:space="preserve">adjectiv - </w:t>
      </w:r>
      <w:r>
        <w:rPr>
          <w:rFonts w:eastAsia="Helvetica"/>
          <w:i/>
          <w:iCs/>
          <w:sz w:val="24"/>
          <w:szCs w:val="24"/>
        </w:rPr>
        <w:t xml:space="preserve">capabil de a fi </w:t>
      </w:r>
      <w:r>
        <w:rPr>
          <w:rFonts w:eastAsia="Helvetica-Oblique"/>
          <w:i/>
          <w:iCs/>
          <w:sz w:val="24"/>
          <w:szCs w:val="24"/>
        </w:rPr>
        <w:t>aprins</w:t>
      </w:r>
      <w:r>
        <w:rPr>
          <w:rFonts w:eastAsia="Helvetica"/>
          <w:i/>
          <w:iCs/>
          <w:sz w:val="24"/>
          <w:szCs w:val="24"/>
        </w:rPr>
        <w:t xml:space="preserve"> și de </w:t>
      </w:r>
      <w:r>
        <w:rPr>
          <w:rFonts w:eastAsia="Helvetica-Oblique"/>
          <w:i/>
          <w:iCs/>
          <w:sz w:val="24"/>
          <w:szCs w:val="24"/>
        </w:rPr>
        <w:t xml:space="preserve">a arde </w:t>
      </w:r>
    </w:p>
    <w:p w14:paraId="624528C1" w14:textId="77777777" w:rsidR="001C08A5" w:rsidRDefault="00000000">
      <w:pPr>
        <w:numPr>
          <w:ilvl w:val="3"/>
          <w:numId w:val="10"/>
        </w:numPr>
        <w:jc w:val="both"/>
        <w:rPr>
          <w:rFonts w:eastAsia="Helvetica"/>
          <w:i/>
          <w:iCs/>
          <w:sz w:val="24"/>
          <w:szCs w:val="24"/>
        </w:rPr>
      </w:pPr>
      <w:r>
        <w:rPr>
          <w:rFonts w:eastAsia="Helvetica-Bold"/>
          <w:b/>
          <w:i/>
          <w:iCs/>
          <w:sz w:val="24"/>
          <w:szCs w:val="24"/>
        </w:rPr>
        <w:t xml:space="preserve">combustibil, </w:t>
      </w:r>
      <w:r>
        <w:rPr>
          <w:rFonts w:eastAsia="Helvetica"/>
          <w:i/>
          <w:iCs/>
          <w:sz w:val="24"/>
          <w:szCs w:val="24"/>
        </w:rPr>
        <w:t>substantiv - obiect capabil de a ini</w:t>
      </w:r>
      <w:r>
        <w:rPr>
          <w:rFonts w:eastAsia="Helvetica-Bold"/>
          <w:i/>
          <w:iCs/>
          <w:sz w:val="24"/>
          <w:szCs w:val="24"/>
        </w:rPr>
        <w:t>ț</w:t>
      </w:r>
      <w:r>
        <w:rPr>
          <w:rFonts w:eastAsia="Helvetica"/>
          <w:i/>
          <w:iCs/>
          <w:sz w:val="24"/>
          <w:szCs w:val="24"/>
        </w:rPr>
        <w:t xml:space="preserve">ia o </w:t>
      </w:r>
      <w:r>
        <w:rPr>
          <w:rFonts w:eastAsia="Helvetica-Oblique"/>
          <w:i/>
          <w:iCs/>
          <w:sz w:val="24"/>
          <w:szCs w:val="24"/>
        </w:rPr>
        <w:t xml:space="preserve">ardere </w:t>
      </w:r>
    </w:p>
    <w:p w14:paraId="12395107" w14:textId="77777777" w:rsidR="001C08A5" w:rsidRDefault="00000000">
      <w:pPr>
        <w:jc w:val="both"/>
        <w:rPr>
          <w:i/>
          <w:iCs/>
          <w:sz w:val="22"/>
          <w:szCs w:val="22"/>
        </w:rPr>
      </w:pPr>
      <w:r>
        <w:rPr>
          <w:i/>
          <w:iCs/>
          <w:sz w:val="22"/>
          <w:szCs w:val="22"/>
        </w:rPr>
        <w:t xml:space="preserve">Notă 1: În decursul normativului sunt considerate materiale sau produse incombustibile cele care au clasa de reacție la foc </w:t>
      </w:r>
      <w:r>
        <w:rPr>
          <w:b/>
          <w:bCs/>
          <w:i/>
          <w:iCs/>
          <w:sz w:val="22"/>
          <w:szCs w:val="22"/>
        </w:rPr>
        <w:t>A1</w:t>
      </w:r>
      <w:r>
        <w:rPr>
          <w:i/>
          <w:iCs/>
          <w:sz w:val="22"/>
          <w:szCs w:val="22"/>
        </w:rPr>
        <w:t xml:space="preserve"> sau </w:t>
      </w:r>
      <w:r>
        <w:rPr>
          <w:b/>
          <w:bCs/>
          <w:i/>
          <w:iCs/>
          <w:sz w:val="22"/>
          <w:szCs w:val="22"/>
        </w:rPr>
        <w:t>A2-s1d0.</w:t>
      </w:r>
    </w:p>
    <w:p w14:paraId="3BE63603" w14:textId="77777777" w:rsidR="001C08A5" w:rsidRDefault="00000000">
      <w:pPr>
        <w:jc w:val="both"/>
        <w:rPr>
          <w:i/>
          <w:iCs/>
          <w:sz w:val="22"/>
          <w:szCs w:val="22"/>
        </w:rPr>
      </w:pPr>
      <w:r>
        <w:rPr>
          <w:i/>
          <w:iCs/>
          <w:sz w:val="22"/>
          <w:szCs w:val="22"/>
        </w:rPr>
        <w:t xml:space="preserve">Notă 2: Materialele sau produsele capabile să ardă în condiţii specificate (în decursul normativului fiind considerate materiale sau produse combustibile) au clasa de reacţie la foc diferită de </w:t>
      </w:r>
      <w:r>
        <w:rPr>
          <w:b/>
          <w:bCs/>
          <w:i/>
          <w:iCs/>
          <w:sz w:val="22"/>
          <w:szCs w:val="22"/>
        </w:rPr>
        <w:t>A1</w:t>
      </w:r>
      <w:r>
        <w:rPr>
          <w:i/>
          <w:iCs/>
          <w:sz w:val="22"/>
          <w:szCs w:val="22"/>
        </w:rPr>
        <w:t xml:space="preserve"> sau </w:t>
      </w:r>
      <w:r>
        <w:rPr>
          <w:b/>
          <w:bCs/>
          <w:i/>
          <w:iCs/>
          <w:sz w:val="22"/>
          <w:szCs w:val="22"/>
        </w:rPr>
        <w:t>A2-s1d0</w:t>
      </w:r>
      <w:r>
        <w:rPr>
          <w:i/>
          <w:iCs/>
          <w:sz w:val="22"/>
          <w:szCs w:val="22"/>
        </w:rPr>
        <w:t>.</w:t>
      </w:r>
    </w:p>
    <w:p w14:paraId="09B2DAF9" w14:textId="77777777" w:rsidR="001C08A5" w:rsidRDefault="001C08A5">
      <w:pPr>
        <w:jc w:val="both"/>
        <w:rPr>
          <w:i/>
          <w:iCs/>
          <w:sz w:val="24"/>
          <w:szCs w:val="24"/>
        </w:rPr>
      </w:pPr>
    </w:p>
    <w:p w14:paraId="2D8739AE" w14:textId="77777777" w:rsidR="001C08A5" w:rsidRDefault="00000000">
      <w:pPr>
        <w:numPr>
          <w:ilvl w:val="0"/>
          <w:numId w:val="10"/>
        </w:numPr>
        <w:jc w:val="both"/>
        <w:rPr>
          <w:i/>
          <w:iCs/>
          <w:sz w:val="24"/>
          <w:szCs w:val="24"/>
        </w:rPr>
      </w:pPr>
      <w:r>
        <w:rPr>
          <w:b/>
          <w:i/>
          <w:iCs/>
          <w:sz w:val="24"/>
          <w:szCs w:val="24"/>
        </w:rPr>
        <w:t xml:space="preserve">Inflamabilitate </w:t>
      </w:r>
      <w:r>
        <w:rPr>
          <w:i/>
          <w:iCs/>
          <w:sz w:val="24"/>
          <w:szCs w:val="24"/>
        </w:rPr>
        <w:t>- aptitudine a unui material sau produs, de a arde cu flacără în condiţii specificate .</w:t>
      </w:r>
    </w:p>
    <w:p w14:paraId="37BC9D08" w14:textId="77777777" w:rsidR="001C08A5" w:rsidRDefault="00000000">
      <w:pPr>
        <w:numPr>
          <w:ilvl w:val="3"/>
          <w:numId w:val="10"/>
        </w:numPr>
        <w:jc w:val="both"/>
        <w:rPr>
          <w:i/>
          <w:iCs/>
          <w:sz w:val="24"/>
          <w:szCs w:val="24"/>
        </w:rPr>
      </w:pPr>
      <w:r>
        <w:rPr>
          <w:b/>
          <w:i/>
          <w:iCs/>
          <w:sz w:val="24"/>
          <w:szCs w:val="24"/>
        </w:rPr>
        <w:t>Inflamabil</w:t>
      </w:r>
      <w:r>
        <w:rPr>
          <w:i/>
          <w:iCs/>
          <w:sz w:val="24"/>
          <w:szCs w:val="24"/>
        </w:rPr>
        <w:t xml:space="preserve"> - material sau produs capabil să ardă cu flacără în condiţii specificate.</w:t>
      </w:r>
    </w:p>
    <w:p w14:paraId="59E1070F" w14:textId="77777777" w:rsidR="001C08A5" w:rsidRDefault="00000000">
      <w:pPr>
        <w:numPr>
          <w:ilvl w:val="3"/>
          <w:numId w:val="10"/>
        </w:numPr>
        <w:jc w:val="both"/>
        <w:rPr>
          <w:rStyle w:val="FontStyle57"/>
          <w:rFonts w:ascii="Times New Roman" w:hAnsi="Times New Roman" w:cs="Times New Roman"/>
          <w:i/>
          <w:iCs/>
          <w:spacing w:val="8"/>
          <w:sz w:val="24"/>
          <w:szCs w:val="24"/>
          <w:lang w:eastAsia="ro-RO"/>
        </w:rPr>
      </w:pPr>
      <w:r>
        <w:rPr>
          <w:rStyle w:val="FontStyle48"/>
          <w:rFonts w:ascii="Times New Roman" w:hAnsi="Times New Roman" w:cs="Times New Roman"/>
          <w:i/>
          <w:iCs/>
          <w:spacing w:val="8"/>
          <w:sz w:val="24"/>
          <w:szCs w:val="24"/>
          <w:lang w:eastAsia="ro-RO"/>
        </w:rPr>
        <w:t xml:space="preserve">Neinflamabil - </w:t>
      </w:r>
      <w:r>
        <w:rPr>
          <w:rStyle w:val="FontStyle57"/>
          <w:rFonts w:ascii="Times New Roman" w:hAnsi="Times New Roman" w:cs="Times New Roman"/>
          <w:i/>
          <w:iCs/>
          <w:spacing w:val="8"/>
          <w:sz w:val="24"/>
          <w:szCs w:val="24"/>
          <w:lang w:eastAsia="ro-RO"/>
        </w:rPr>
        <w:t xml:space="preserve">incapabil de a arde cu </w:t>
      </w:r>
      <w:r>
        <w:rPr>
          <w:rStyle w:val="FontStyle48"/>
          <w:rFonts w:ascii="Times New Roman" w:hAnsi="Times New Roman" w:cs="Times New Roman"/>
          <w:i/>
          <w:iCs/>
          <w:spacing w:val="8"/>
          <w:sz w:val="24"/>
          <w:szCs w:val="24"/>
          <w:lang w:eastAsia="ro-RO"/>
        </w:rPr>
        <w:t xml:space="preserve">flacără </w:t>
      </w:r>
      <w:r>
        <w:rPr>
          <w:rStyle w:val="FontStyle57"/>
          <w:rFonts w:ascii="Times New Roman" w:hAnsi="Times New Roman" w:cs="Times New Roman"/>
          <w:i/>
          <w:iCs/>
          <w:spacing w:val="8"/>
          <w:sz w:val="24"/>
          <w:szCs w:val="24"/>
          <w:lang w:eastAsia="ro-RO"/>
        </w:rPr>
        <w:t>în condiţii specificate</w:t>
      </w:r>
    </w:p>
    <w:p w14:paraId="28D8AB68" w14:textId="77777777" w:rsidR="001C08A5" w:rsidRDefault="001C08A5">
      <w:pPr>
        <w:jc w:val="both"/>
        <w:rPr>
          <w:b/>
          <w:i/>
          <w:iCs/>
          <w:sz w:val="24"/>
          <w:szCs w:val="24"/>
        </w:rPr>
      </w:pPr>
    </w:p>
    <w:p w14:paraId="1B349045" w14:textId="77777777" w:rsidR="001C08A5" w:rsidRDefault="00000000">
      <w:pPr>
        <w:numPr>
          <w:ilvl w:val="0"/>
          <w:numId w:val="10"/>
        </w:numPr>
        <w:jc w:val="both"/>
        <w:rPr>
          <w:i/>
          <w:iCs/>
          <w:strike/>
          <w:sz w:val="24"/>
          <w:szCs w:val="24"/>
        </w:rPr>
      </w:pPr>
      <w:r>
        <w:rPr>
          <w:b/>
          <w:i/>
          <w:iCs/>
          <w:sz w:val="24"/>
          <w:szCs w:val="24"/>
        </w:rPr>
        <w:t xml:space="preserve">Încăpere - </w:t>
      </w:r>
      <w:r>
        <w:rPr>
          <w:i/>
          <w:iCs/>
          <w:sz w:val="24"/>
          <w:szCs w:val="24"/>
        </w:rPr>
        <w:t xml:space="preserve">unitate specifică construcțiilor, delimitată de pereți și planșee cu performanţe de comportare la foc prevăzute în normativ funcţie de destinaţia acesteia și/sau riscul de incendiu; </w:t>
      </w:r>
    </w:p>
    <w:p w14:paraId="4A8F7897" w14:textId="77777777" w:rsidR="001C08A5" w:rsidRDefault="00000000">
      <w:pPr>
        <w:pStyle w:val="ListParagraph"/>
        <w:numPr>
          <w:ilvl w:val="0"/>
          <w:numId w:val="23"/>
        </w:numPr>
        <w:ind w:left="1440" w:firstLine="720"/>
        <w:jc w:val="both"/>
      </w:pPr>
      <w:r>
        <w:rPr>
          <w:b/>
          <w:i/>
          <w:iCs/>
        </w:rPr>
        <w:t xml:space="preserve">Încăpere tampon </w:t>
      </w:r>
      <w:r>
        <w:rPr>
          <w:i/>
          <w:iCs/>
        </w:rPr>
        <w:t>- încăpere de protecţie a golurilor de circulaţie funcţională şi de evacuare din pereţi, astfel conformată, alcătuită și echipată, încât să corespundă rolului pe care îl are în caz de incendiu (</w:t>
      </w:r>
      <w:r>
        <w:rPr>
          <w:b/>
          <w:bCs/>
          <w:i/>
          <w:iCs/>
        </w:rPr>
        <w:fldChar w:fldCharType="begin"/>
      </w:r>
      <w:r>
        <w:rPr>
          <w:b/>
          <w:bCs/>
          <w:i/>
          <w:iCs/>
        </w:rPr>
        <w:instrText xml:space="preserve"> REF _Ref6681 \h </w:instrText>
      </w:r>
      <w:r>
        <w:rPr>
          <w:b/>
          <w:bCs/>
          <w:i/>
          <w:iCs/>
        </w:rPr>
      </w:r>
      <w:r>
        <w:rPr>
          <w:b/>
          <w:bCs/>
          <w:i/>
          <w:iCs/>
        </w:rPr>
        <w:fldChar w:fldCharType="separate"/>
      </w:r>
      <w:r>
        <w:t>Figura 17</w:t>
      </w:r>
      <w:r>
        <w:rPr>
          <w:b/>
          <w:bCs/>
          <w:i/>
          <w:iCs/>
        </w:rPr>
        <w:fldChar w:fldCharType="end"/>
      </w:r>
      <w:r>
        <w:rPr>
          <w:i/>
          <w:iCs/>
        </w:rPr>
        <w:t>). Încăperile tampon trebuie prevăzute cu unul din următoarele sisteme:</w:t>
      </w:r>
    </w:p>
    <w:p w14:paraId="7D12044E" w14:textId="77777777" w:rsidR="001C08A5" w:rsidRDefault="00000000">
      <w:pPr>
        <w:numPr>
          <w:ilvl w:val="255"/>
          <w:numId w:val="0"/>
        </w:numPr>
        <w:tabs>
          <w:tab w:val="left" w:pos="2525"/>
        </w:tabs>
        <w:ind w:left="2950"/>
        <w:jc w:val="both"/>
        <w:rPr>
          <w:i/>
          <w:iCs/>
          <w:sz w:val="24"/>
          <w:szCs w:val="24"/>
        </w:rPr>
      </w:pPr>
      <w:r>
        <w:rPr>
          <w:b/>
          <w:i/>
          <w:iCs/>
          <w:sz w:val="24"/>
          <w:szCs w:val="24"/>
        </w:rPr>
        <w:t>i.</w:t>
      </w:r>
      <w:r>
        <w:rPr>
          <w:i/>
          <w:iCs/>
          <w:sz w:val="24"/>
          <w:szCs w:val="24"/>
        </w:rPr>
        <w:t xml:space="preserve"> cu sisteme mecanice de evacuare a fumului și a gazelor fierbinți (admisie mecanică de aer și evacuare mecanică de fum) ;</w:t>
      </w:r>
    </w:p>
    <w:p w14:paraId="373C212B" w14:textId="77777777" w:rsidR="001C08A5" w:rsidRDefault="00000000">
      <w:pPr>
        <w:numPr>
          <w:ilvl w:val="255"/>
          <w:numId w:val="0"/>
        </w:numPr>
        <w:tabs>
          <w:tab w:val="left" w:pos="2525"/>
        </w:tabs>
        <w:ind w:left="2950"/>
        <w:jc w:val="both"/>
      </w:pPr>
      <w:r>
        <w:rPr>
          <w:b/>
          <w:i/>
          <w:iCs/>
          <w:sz w:val="24"/>
          <w:szCs w:val="24"/>
        </w:rPr>
        <w:t xml:space="preserve">ii. </w:t>
      </w:r>
      <w:r>
        <w:rPr>
          <w:rStyle w:val="Strong"/>
          <w:rFonts w:eastAsia="sans-serif"/>
          <w:b w:val="0"/>
          <w:bCs w:val="0"/>
          <w:i/>
          <w:iCs/>
          <w:sz w:val="24"/>
          <w:szCs w:val="24"/>
          <w:shd w:val="clear" w:color="auto" w:fill="FFFFFF"/>
        </w:rPr>
        <w:t>cu sisteme cu presiune diferențială (</w:t>
      </w:r>
      <w:r>
        <w:rPr>
          <w:rStyle w:val="Strong"/>
          <w:rFonts w:eastAsia="sans-serif"/>
          <w:i/>
          <w:iCs/>
          <w:sz w:val="24"/>
          <w:szCs w:val="24"/>
          <w:shd w:val="clear" w:color="auto" w:fill="FFFFFF"/>
        </w:rPr>
        <w:t>SPD</w:t>
      </w:r>
      <w:r>
        <w:rPr>
          <w:rStyle w:val="Strong"/>
          <w:rFonts w:eastAsia="sans-serif"/>
          <w:b w:val="0"/>
          <w:bCs w:val="0"/>
          <w:i/>
          <w:iCs/>
          <w:sz w:val="24"/>
          <w:szCs w:val="24"/>
          <w:shd w:val="clear" w:color="auto" w:fill="FFFFFF"/>
        </w:rPr>
        <w:t xml:space="preserve">) </w:t>
      </w:r>
      <w:r>
        <w:rPr>
          <w:bCs/>
          <w:i/>
          <w:iCs/>
          <w:sz w:val="24"/>
          <w:szCs w:val="24"/>
        </w:rPr>
        <w:t xml:space="preserve">(în suprapresiune) </w:t>
      </w:r>
      <w:r>
        <w:rPr>
          <w:i/>
          <w:iCs/>
          <w:sz w:val="24"/>
          <w:szCs w:val="24"/>
        </w:rPr>
        <w:t xml:space="preserve">- în conformitate cu standardele </w:t>
      </w:r>
      <w:hyperlink r:id="rId79" w:history="1">
        <w:r>
          <w:rPr>
            <w:rStyle w:val="Strong"/>
            <w:rFonts w:eastAsia="sans-serif"/>
            <w:i/>
            <w:iCs/>
            <w:sz w:val="24"/>
            <w:szCs w:val="24"/>
            <w:shd w:val="clear" w:color="auto" w:fill="FFFFFF"/>
          </w:rPr>
          <w:t>SR EN 12101-6 -</w:t>
        </w:r>
      </w:hyperlink>
      <w:r>
        <w:rPr>
          <w:rStyle w:val="Strong"/>
          <w:rFonts w:eastAsia="sans-serif"/>
          <w:i/>
          <w:iCs/>
          <w:sz w:val="24"/>
          <w:szCs w:val="24"/>
          <w:shd w:val="clear" w:color="auto" w:fill="FFFFFF"/>
        </w:rPr>
        <w:t xml:space="preserve"> </w:t>
      </w:r>
      <w:r>
        <w:rPr>
          <w:i/>
          <w:iCs/>
          <w:sz w:val="24"/>
          <w:szCs w:val="24"/>
        </w:rPr>
        <w:t xml:space="preserve">Sisteme pentru controlul fumului și gazelor fierbinți. Partea 6: Specificații pentru sisteme cu presiune diferențială. Kituri și </w:t>
      </w:r>
      <w:hyperlink r:id="rId80" w:history="1">
        <w:r>
          <w:rPr>
            <w:rStyle w:val="Strong"/>
            <w:rFonts w:eastAsia="sans-serif"/>
            <w:i/>
            <w:iCs/>
            <w:sz w:val="24"/>
            <w:szCs w:val="24"/>
            <w:shd w:val="clear" w:color="auto" w:fill="FFFFFF"/>
          </w:rPr>
          <w:t>SR EN 12101-13 -</w:t>
        </w:r>
      </w:hyperlink>
      <w:r>
        <w:rPr>
          <w:rStyle w:val="Strong"/>
          <w:rFonts w:eastAsia="sans-serif"/>
          <w:i/>
          <w:iCs/>
          <w:sz w:val="24"/>
          <w:szCs w:val="24"/>
          <w:shd w:val="clear" w:color="auto" w:fill="FFFFFF"/>
        </w:rPr>
        <w:t xml:space="preserve"> </w:t>
      </w:r>
      <w:r>
        <w:rPr>
          <w:rStyle w:val="Strong"/>
          <w:rFonts w:eastAsia="sans-serif"/>
          <w:b w:val="0"/>
          <w:bCs w:val="0"/>
          <w:i/>
          <w:iCs/>
          <w:sz w:val="24"/>
          <w:szCs w:val="24"/>
          <w:shd w:val="clear" w:color="auto" w:fill="FFFFFF"/>
        </w:rPr>
        <w:t>Sisteme pentru controlul fumului și gazelor fierbinți. Partea 13: Sisteme cu presiune diferențială (</w:t>
      </w:r>
      <w:r>
        <w:rPr>
          <w:rStyle w:val="Strong"/>
          <w:rFonts w:eastAsia="sans-serif"/>
          <w:i/>
          <w:iCs/>
          <w:sz w:val="24"/>
          <w:szCs w:val="24"/>
          <w:shd w:val="clear" w:color="auto" w:fill="FFFFFF"/>
        </w:rPr>
        <w:t>SPD</w:t>
      </w:r>
      <w:r>
        <w:rPr>
          <w:rStyle w:val="Strong"/>
          <w:rFonts w:eastAsia="sans-serif"/>
          <w:b w:val="0"/>
          <w:bCs w:val="0"/>
          <w:i/>
          <w:iCs/>
          <w:sz w:val="24"/>
          <w:szCs w:val="24"/>
          <w:shd w:val="clear" w:color="auto" w:fill="FFFFFF"/>
        </w:rPr>
        <w:t>). Metode de proiectare și de calcul, instalare, încercări în vederea recepției, încercări periodice și mentenanță,</w:t>
      </w:r>
      <w:r>
        <w:rPr>
          <w:i/>
          <w:iCs/>
          <w:sz w:val="24"/>
          <w:szCs w:val="24"/>
        </w:rPr>
        <w:t xml:space="preserve"> încăperile tampon se echipează cu sisteme cu presiune diferențială în conformitate cu prevederile acestor standarde </w:t>
      </w:r>
    </w:p>
    <w:p w14:paraId="18D139C7" w14:textId="77777777" w:rsidR="001C08A5" w:rsidRDefault="00000000">
      <w:pPr>
        <w:jc w:val="center"/>
      </w:pPr>
      <w:r>
        <w:rPr>
          <w:noProof/>
          <w:lang w:eastAsia="ro-RO"/>
        </w:rPr>
        <w:lastRenderedPageBreak/>
        <w:drawing>
          <wp:inline distT="0" distB="0" distL="114300" distR="114300" wp14:anchorId="03098715" wp14:editId="1F8FF39E">
            <wp:extent cx="5568315" cy="2270125"/>
            <wp:effectExtent l="0" t="0" r="0"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5"/>
                    <pic:cNvPicPr>
                      <a:picLocks noChangeAspect="1"/>
                    </pic:cNvPicPr>
                  </pic:nvPicPr>
                  <pic:blipFill>
                    <a:blip r:embed="rId81"/>
                    <a:srcRect l="15092" t="11877" r="11138" b="46291"/>
                    <a:stretch>
                      <a:fillRect/>
                    </a:stretch>
                  </pic:blipFill>
                  <pic:spPr>
                    <a:xfrm>
                      <a:off x="0" y="0"/>
                      <a:ext cx="5568315" cy="2270125"/>
                    </a:xfrm>
                    <a:prstGeom prst="rect">
                      <a:avLst/>
                    </a:prstGeom>
                    <a:noFill/>
                    <a:ln>
                      <a:noFill/>
                    </a:ln>
                  </pic:spPr>
                </pic:pic>
              </a:graphicData>
            </a:graphic>
          </wp:inline>
        </w:drawing>
      </w:r>
    </w:p>
    <w:p w14:paraId="2DA241E3" w14:textId="77777777" w:rsidR="001C08A5" w:rsidRDefault="00000000">
      <w:pPr>
        <w:jc w:val="center"/>
      </w:pPr>
      <w:r>
        <w:rPr>
          <w:noProof/>
          <w:lang w:eastAsia="ro-RO"/>
        </w:rPr>
        <w:drawing>
          <wp:inline distT="0" distB="0" distL="114300" distR="114300" wp14:anchorId="7081B6B6" wp14:editId="3B4B4B72">
            <wp:extent cx="5568315" cy="1726565"/>
            <wp:effectExtent l="0" t="0" r="13335" b="6985"/>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5"/>
                    <pic:cNvPicPr>
                      <a:picLocks noChangeAspect="1"/>
                    </pic:cNvPicPr>
                  </pic:nvPicPr>
                  <pic:blipFill>
                    <a:blip r:embed="rId81"/>
                    <a:srcRect l="15092" t="54575" r="11138" b="13609"/>
                    <a:stretch>
                      <a:fillRect/>
                    </a:stretch>
                  </pic:blipFill>
                  <pic:spPr>
                    <a:xfrm>
                      <a:off x="0" y="0"/>
                      <a:ext cx="5568315" cy="172656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5"/>
        <w:gridCol w:w="3205"/>
        <w:gridCol w:w="3229"/>
      </w:tblGrid>
      <w:tr w:rsidR="001C08A5" w14:paraId="503B7895" w14:textId="77777777">
        <w:tc>
          <w:tcPr>
            <w:tcW w:w="3285" w:type="dxa"/>
          </w:tcPr>
          <w:p w14:paraId="44C67CF4" w14:textId="77777777" w:rsidR="001C08A5" w:rsidRDefault="00000000">
            <w:pPr>
              <w:numPr>
                <w:ilvl w:val="0"/>
                <w:numId w:val="24"/>
              </w:numPr>
              <w:tabs>
                <w:tab w:val="clear" w:pos="425"/>
              </w:tabs>
              <w:ind w:firstLine="415"/>
              <w:jc w:val="right"/>
              <w:rPr>
                <w:i/>
                <w:iCs/>
                <w:sz w:val="22"/>
                <w:szCs w:val="22"/>
                <w:lang w:eastAsia="ro-RO"/>
              </w:rPr>
            </w:pPr>
            <w:r>
              <w:rPr>
                <w:b/>
                <w:bCs/>
                <w:i/>
                <w:iCs/>
                <w:sz w:val="22"/>
                <w:szCs w:val="22"/>
                <w:lang w:eastAsia="ro-RO"/>
              </w:rPr>
              <w:t>Plan</w:t>
            </w:r>
            <w:r>
              <w:rPr>
                <w:i/>
                <w:iCs/>
                <w:sz w:val="22"/>
                <w:szCs w:val="22"/>
                <w:lang w:eastAsia="ro-RO"/>
              </w:rPr>
              <w:t xml:space="preserve"> (ușă     într-un canat)</w:t>
            </w:r>
          </w:p>
        </w:tc>
        <w:tc>
          <w:tcPr>
            <w:tcW w:w="3285" w:type="dxa"/>
          </w:tcPr>
          <w:p w14:paraId="0DB46E2A" w14:textId="77777777" w:rsidR="001C08A5" w:rsidRDefault="00000000">
            <w:pPr>
              <w:numPr>
                <w:ilvl w:val="0"/>
                <w:numId w:val="24"/>
              </w:numPr>
              <w:tabs>
                <w:tab w:val="clear" w:pos="425"/>
              </w:tabs>
              <w:ind w:firstLine="415"/>
              <w:jc w:val="center"/>
              <w:rPr>
                <w:i/>
                <w:iCs/>
                <w:sz w:val="22"/>
                <w:szCs w:val="22"/>
                <w:lang w:eastAsia="ro-RO"/>
              </w:rPr>
            </w:pPr>
            <w:r>
              <w:rPr>
                <w:b/>
                <w:bCs/>
                <w:i/>
                <w:iCs/>
                <w:sz w:val="22"/>
                <w:szCs w:val="22"/>
                <w:lang w:eastAsia="ro-RO"/>
              </w:rPr>
              <w:t>Plan</w:t>
            </w:r>
            <w:r>
              <w:rPr>
                <w:i/>
                <w:iCs/>
                <w:sz w:val="22"/>
                <w:szCs w:val="22"/>
                <w:lang w:eastAsia="ro-RO"/>
              </w:rPr>
              <w:t xml:space="preserve"> (ușă în două canaturi)</w:t>
            </w:r>
          </w:p>
        </w:tc>
        <w:tc>
          <w:tcPr>
            <w:tcW w:w="3286" w:type="dxa"/>
          </w:tcPr>
          <w:p w14:paraId="5DF30CB6" w14:textId="77777777" w:rsidR="001C08A5" w:rsidRDefault="00000000">
            <w:pPr>
              <w:numPr>
                <w:ilvl w:val="0"/>
                <w:numId w:val="24"/>
              </w:numPr>
              <w:tabs>
                <w:tab w:val="clear" w:pos="425"/>
              </w:tabs>
              <w:ind w:firstLine="415"/>
              <w:jc w:val="left"/>
              <w:rPr>
                <w:i/>
                <w:iCs/>
                <w:sz w:val="22"/>
                <w:szCs w:val="22"/>
                <w:lang w:eastAsia="ro-RO"/>
              </w:rPr>
            </w:pPr>
            <w:r>
              <w:rPr>
                <w:b/>
                <w:bCs/>
                <w:i/>
                <w:iCs/>
                <w:sz w:val="22"/>
                <w:szCs w:val="22"/>
                <w:lang w:eastAsia="ro-RO"/>
              </w:rPr>
              <w:t>Secțiune</w:t>
            </w:r>
          </w:p>
        </w:tc>
      </w:tr>
    </w:tbl>
    <w:p w14:paraId="148DDD80" w14:textId="77777777" w:rsidR="001C08A5" w:rsidRDefault="00000000">
      <w:pPr>
        <w:pStyle w:val="Caption"/>
        <w:jc w:val="center"/>
        <w:rPr>
          <w:rFonts w:cs="Times New Roman"/>
        </w:rPr>
      </w:pPr>
      <w:bookmarkStart w:id="384" w:name="_Ref6681"/>
      <w:bookmarkStart w:id="385" w:name="_Toc29847"/>
      <w:bookmarkStart w:id="386" w:name="_Toc16754"/>
      <w:bookmarkStart w:id="387" w:name="_Toc27781"/>
      <w:bookmarkStart w:id="388" w:name="_Toc15201"/>
      <w:bookmarkStart w:id="389" w:name="_Toc20525"/>
      <w:bookmarkStart w:id="390" w:name="_Toc28268"/>
      <w:bookmarkStart w:id="391" w:name="_Toc162360241"/>
      <w:r>
        <w:t xml:space="preserve">Figura </w:t>
      </w:r>
      <w:r>
        <w:fldChar w:fldCharType="begin"/>
      </w:r>
      <w:r>
        <w:instrText xml:space="preserve"> SEQ Figura \* ARABIC </w:instrText>
      </w:r>
      <w:r>
        <w:fldChar w:fldCharType="separate"/>
      </w:r>
      <w:r>
        <w:t>17</w:t>
      </w:r>
      <w:r>
        <w:fldChar w:fldCharType="end"/>
      </w:r>
      <w:bookmarkStart w:id="392" w:name="_Toc8569"/>
      <w:bookmarkStart w:id="393" w:name="_Toc601"/>
      <w:bookmarkStart w:id="394" w:name="_Toc1188"/>
      <w:bookmarkStart w:id="395" w:name="_Toc24580"/>
      <w:bookmarkStart w:id="396" w:name="_Toc2104"/>
      <w:bookmarkStart w:id="397" w:name="_Toc10553"/>
      <w:bookmarkStart w:id="398" w:name="_Toc4993"/>
      <w:bookmarkStart w:id="399" w:name="_Toc19640"/>
      <w:bookmarkStart w:id="400" w:name="_Toc29782"/>
      <w:bookmarkStart w:id="401" w:name="_Toc12125"/>
      <w:bookmarkStart w:id="402" w:name="_Toc12940"/>
      <w:bookmarkEnd w:id="384"/>
      <w:r>
        <w:t xml:space="preserve"> - </w:t>
      </w:r>
      <w:r>
        <w:rPr>
          <w:rFonts w:cs="Times New Roman"/>
        </w:rPr>
        <w:t xml:space="preserve">Încăpere tampon </w:t>
      </w:r>
      <w:r>
        <w:rPr>
          <w:rFonts w:cs="Times New Roman"/>
          <w:bCs/>
        </w:rPr>
        <w:t>protejată</w:t>
      </w:r>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14:paraId="21772429" w14:textId="77777777" w:rsidR="001C08A5" w:rsidRDefault="00000000">
      <w:pPr>
        <w:pStyle w:val="ListParagraph"/>
        <w:numPr>
          <w:ilvl w:val="0"/>
          <w:numId w:val="23"/>
        </w:numPr>
        <w:tabs>
          <w:tab w:val="left" w:pos="2525"/>
        </w:tabs>
        <w:ind w:left="2040"/>
        <w:jc w:val="both"/>
        <w:rPr>
          <w:i/>
          <w:iCs/>
        </w:rPr>
      </w:pPr>
      <w:r>
        <w:rPr>
          <w:b/>
          <w:i/>
          <w:iCs/>
        </w:rPr>
        <w:t>Încăperi cu aglomerări de persoane</w:t>
      </w:r>
      <w:r>
        <w:rPr>
          <w:i/>
          <w:iCs/>
        </w:rPr>
        <w:t xml:space="preserve"> - încăperi sau grup de încăperi care comunică direct între ele prin goluri </w:t>
      </w:r>
      <w:r>
        <w:rPr>
          <w:b/>
          <w:bCs/>
          <w:i/>
          <w:iCs/>
        </w:rPr>
        <w:t>neprotejate</w:t>
      </w:r>
      <w:r>
        <w:rPr>
          <w:i/>
          <w:iCs/>
        </w:rPr>
        <w:t xml:space="preserve"> în care se pot afla simultan cel puţin </w:t>
      </w:r>
      <w:r>
        <w:rPr>
          <w:b/>
          <w:bCs/>
          <w:i/>
          <w:iCs/>
        </w:rPr>
        <w:t>50</w:t>
      </w:r>
      <w:r>
        <w:rPr>
          <w:i/>
          <w:iCs/>
        </w:rPr>
        <w:t xml:space="preserve"> de persoane, fiecăreia din acestea revenindu-i o arie de pardoseală de maximum </w:t>
      </w:r>
      <w:r>
        <w:rPr>
          <w:b/>
          <w:bCs/>
          <w:i/>
          <w:iCs/>
        </w:rPr>
        <w:t>4 m</w:t>
      </w:r>
      <w:r>
        <w:rPr>
          <w:b/>
          <w:bCs/>
          <w:i/>
          <w:iCs/>
          <w:vertAlign w:val="superscript"/>
        </w:rPr>
        <w:t>2</w:t>
      </w:r>
      <w:r>
        <w:rPr>
          <w:i/>
          <w:iCs/>
        </w:rPr>
        <w:t>.</w:t>
      </w:r>
    </w:p>
    <w:p w14:paraId="72B2F642" w14:textId="77777777" w:rsidR="001C08A5" w:rsidRDefault="001C08A5">
      <w:pPr>
        <w:jc w:val="both"/>
        <w:rPr>
          <w:b/>
          <w:i/>
          <w:iCs/>
          <w:sz w:val="24"/>
          <w:szCs w:val="24"/>
        </w:rPr>
      </w:pPr>
    </w:p>
    <w:p w14:paraId="569E391D" w14:textId="77777777" w:rsidR="001C08A5" w:rsidRDefault="00000000">
      <w:pPr>
        <w:pStyle w:val="ListParagraph"/>
        <w:widowControl w:val="0"/>
        <w:numPr>
          <w:ilvl w:val="0"/>
          <w:numId w:val="10"/>
        </w:numPr>
        <w:jc w:val="both"/>
        <w:rPr>
          <w:i/>
          <w:iCs/>
        </w:rPr>
      </w:pPr>
      <w:r>
        <w:rPr>
          <w:b/>
          <w:i/>
          <w:iCs/>
        </w:rPr>
        <w:t xml:space="preserve">Învelitoare </w:t>
      </w:r>
      <w:r>
        <w:rPr>
          <w:bCs/>
          <w:i/>
          <w:iCs/>
        </w:rPr>
        <w:t>- element component exterior al acoperişurilor tip şarpantă sau terasă, cu rol de asigurare a etanşeităţii construcţiei faţă de intemperii (hidroizolaţie). Învelitoarea poate fi continuă (din produse aplicate prin lipiri/suduri, realizate cu membrane hidroizolante, bituminoase, cu suprapunerile sudate, etc.); semicontinuă (din produse montate prin suprapuneri sau prin îmbinări, realizate din foi metalice plane, îmbinate prin falţ şi din panouri metalice profilate şi panouri prefabricate, termoizolate, cu suprapunerile etanşe); discontinuă (din materiale/produse pozate şi montate prin suprapuneri). Învelitorile pot fi plane (la terase plate); cu pantă (într-o apă, în shed, în două ape) sau cu pantă constantă (conice, etc.) sau cu pantă variabilă (forme de cilindru, cupolă, elipsoid, suprafețe riglate,etc., forme evazate)</w:t>
      </w:r>
    </w:p>
    <w:p w14:paraId="0F01E02F" w14:textId="77777777" w:rsidR="001C08A5" w:rsidRDefault="001C08A5">
      <w:pPr>
        <w:jc w:val="center"/>
        <w:rPr>
          <w:b/>
          <w:i/>
          <w:iCs/>
          <w:sz w:val="24"/>
          <w:szCs w:val="24"/>
        </w:rPr>
      </w:pPr>
    </w:p>
    <w:p w14:paraId="56022BF6" w14:textId="77777777" w:rsidR="001C08A5" w:rsidRDefault="00000000">
      <w:pPr>
        <w:numPr>
          <w:ilvl w:val="0"/>
          <w:numId w:val="10"/>
        </w:numPr>
        <w:jc w:val="both"/>
        <w:rPr>
          <w:i/>
          <w:iCs/>
          <w:sz w:val="24"/>
          <w:szCs w:val="24"/>
          <w:lang w:eastAsia="zh-CN"/>
        </w:rPr>
      </w:pPr>
      <w:r>
        <w:rPr>
          <w:b/>
          <w:i/>
          <w:iCs/>
          <w:sz w:val="24"/>
          <w:szCs w:val="24"/>
        </w:rPr>
        <w:t>Limitarea propagării incendiilor</w:t>
      </w:r>
      <w:r>
        <w:rPr>
          <w:i/>
          <w:iCs/>
          <w:sz w:val="24"/>
          <w:szCs w:val="24"/>
        </w:rPr>
        <w:t xml:space="preserve"> - ansamblul măsurilor constructive și al echipării cu instalaţii de protecţie împotriva incendiilor, prevăzute pentru împiedicarea extinderii incendiului pe durate normate de timp, în interiorul construcţiei sau în afara acesteia.</w:t>
      </w:r>
    </w:p>
    <w:p w14:paraId="2C5D61BF" w14:textId="77777777" w:rsidR="001C08A5" w:rsidRDefault="001C08A5">
      <w:pPr>
        <w:ind w:left="400"/>
        <w:jc w:val="both"/>
        <w:rPr>
          <w:i/>
          <w:iCs/>
          <w:sz w:val="24"/>
          <w:szCs w:val="24"/>
          <w:lang w:eastAsia="zh-CN"/>
        </w:rPr>
      </w:pPr>
    </w:p>
    <w:p w14:paraId="157BAD03" w14:textId="77777777" w:rsidR="001C08A5" w:rsidRDefault="00000000">
      <w:pPr>
        <w:numPr>
          <w:ilvl w:val="0"/>
          <w:numId w:val="10"/>
        </w:numPr>
        <w:jc w:val="both"/>
        <w:rPr>
          <w:i/>
          <w:iCs/>
          <w:sz w:val="24"/>
          <w:szCs w:val="24"/>
        </w:rPr>
      </w:pPr>
      <w:r>
        <w:rPr>
          <w:b/>
          <w:i/>
          <w:iCs/>
          <w:sz w:val="24"/>
          <w:szCs w:val="24"/>
        </w:rPr>
        <w:t xml:space="preserve">Mansardă </w:t>
      </w:r>
      <w:r>
        <w:rPr>
          <w:i/>
          <w:iCs/>
          <w:sz w:val="24"/>
          <w:szCs w:val="24"/>
        </w:rPr>
        <w:t>- spaţiu</w:t>
      </w:r>
      <w:r>
        <w:rPr>
          <w:i/>
          <w:iCs/>
          <w:sz w:val="24"/>
          <w:szCs w:val="24"/>
          <w:lang w:eastAsia="zh-CN"/>
        </w:rPr>
        <w:t xml:space="preserve"> construit </w:t>
      </w:r>
      <w:r>
        <w:rPr>
          <w:i/>
          <w:iCs/>
          <w:sz w:val="24"/>
          <w:szCs w:val="24"/>
        </w:rPr>
        <w:t xml:space="preserve">(realizat funcțional conform reglementării specifice) </w:t>
      </w:r>
      <w:r>
        <w:rPr>
          <w:i/>
          <w:iCs/>
          <w:sz w:val="24"/>
          <w:szCs w:val="24"/>
          <w:lang w:eastAsia="zh-CN"/>
        </w:rPr>
        <w:t>sau amenajat funcţional situat între ultimul planşeu utilizat pentru diferite destinații al clădirii şi acoperişul în pantă (sau a podului neamenajat), care asigură respectarea cerinţelor de siguranță (securitate) şi confort corespunzătoare utilizării specifice. Numărul de niveluri al mansardei se include în numărul de niveluri supraterane ale construcţiei și se ia în calcul la determinarea nivelului de stabilitate la incendiu al construcţiei.</w:t>
      </w:r>
    </w:p>
    <w:p w14:paraId="44A910A6" w14:textId="77777777" w:rsidR="001C08A5" w:rsidRDefault="00000000">
      <w:pPr>
        <w:widowControl w:val="0"/>
        <w:jc w:val="both"/>
        <w:rPr>
          <w:i/>
          <w:iCs/>
          <w:sz w:val="22"/>
          <w:szCs w:val="22"/>
        </w:rPr>
      </w:pPr>
      <w:r>
        <w:rPr>
          <w:b/>
          <w:bCs/>
          <w:i/>
          <w:iCs/>
          <w:sz w:val="22"/>
          <w:szCs w:val="22"/>
        </w:rPr>
        <w:t>Notă</w:t>
      </w:r>
      <w:r>
        <w:rPr>
          <w:i/>
          <w:iCs/>
          <w:sz w:val="22"/>
          <w:szCs w:val="22"/>
        </w:rPr>
        <w:t xml:space="preserve">: atunci când la ultimele niveluri ale mansardei sunt locuinţe de tip duplex sau triplex, la stabilirea </w:t>
      </w:r>
      <w:r>
        <w:rPr>
          <w:i/>
          <w:iCs/>
          <w:sz w:val="22"/>
          <w:szCs w:val="22"/>
        </w:rPr>
        <w:lastRenderedPageBreak/>
        <w:t xml:space="preserve">înălţimii construcţiei se ia în considerare numai nivelul de acces la acestea din circulaţiile comune orizontale ale clădirii, nivel de acces care determină numărul de niveluri și/sau încadrarea în clădire înaltă sau în clădire cu înălţime obişnuită. Se admite ca un singur nivel să fie constituit tip duplex sau tip triplex cu acces conform alineatului precedent, cele două niveluri la tip duplex sau cele trei niveluri la triplex fiind considerate un singur nivel, reprezentând ultimul nivel al construcţiei. Daca nivelurile de acces la locuinţele de tip duplex sau triplex se află la alte niveluri faţă de cel precizat anterior, la stabilirea înălţimii construcţiei se iau în considerare toate nivelurile din care sunt constituite locuinţele de tip duplex sau triplex. </w:t>
      </w:r>
    </w:p>
    <w:p w14:paraId="24F091DD" w14:textId="77777777" w:rsidR="001C08A5" w:rsidRDefault="001C08A5">
      <w:pPr>
        <w:widowControl w:val="0"/>
        <w:jc w:val="both"/>
        <w:rPr>
          <w:i/>
          <w:iCs/>
          <w:sz w:val="24"/>
          <w:szCs w:val="24"/>
        </w:rPr>
      </w:pPr>
    </w:p>
    <w:p w14:paraId="3C1891CB" w14:textId="77777777" w:rsidR="001C08A5" w:rsidRDefault="00000000">
      <w:pPr>
        <w:widowControl w:val="0"/>
        <w:numPr>
          <w:ilvl w:val="0"/>
          <w:numId w:val="10"/>
        </w:numPr>
        <w:jc w:val="both"/>
        <w:rPr>
          <w:i/>
          <w:iCs/>
          <w:sz w:val="24"/>
          <w:szCs w:val="24"/>
        </w:rPr>
      </w:pPr>
      <w:r>
        <w:rPr>
          <w:b/>
          <w:i/>
          <w:iCs/>
          <w:sz w:val="24"/>
          <w:szCs w:val="24"/>
        </w:rPr>
        <w:t xml:space="preserve">Material </w:t>
      </w:r>
      <w:r>
        <w:rPr>
          <w:i/>
          <w:iCs/>
          <w:sz w:val="24"/>
          <w:szCs w:val="24"/>
        </w:rPr>
        <w:t xml:space="preserve">- substanţă unică de bază sau amestec uniform distribuit de substanţe, de exemplu metal, piatră, lemn, beton, vată minerală cu liant uniform distribuit sau polimeri (din care este constituit un produs). </w:t>
      </w:r>
    </w:p>
    <w:p w14:paraId="159DEFAA" w14:textId="77777777" w:rsidR="001C08A5" w:rsidRDefault="00000000">
      <w:pPr>
        <w:widowControl w:val="0"/>
        <w:numPr>
          <w:ilvl w:val="3"/>
          <w:numId w:val="10"/>
        </w:numPr>
        <w:jc w:val="both"/>
        <w:rPr>
          <w:rStyle w:val="FontStyle48"/>
          <w:rFonts w:ascii="Times New Roman" w:hAnsi="Times New Roman" w:cs="Times New Roman"/>
          <w:b w:val="0"/>
          <w:bCs w:val="0"/>
          <w:i/>
          <w:iCs/>
          <w:spacing w:val="8"/>
          <w:sz w:val="24"/>
          <w:szCs w:val="24"/>
          <w:lang w:eastAsia="ro-RO"/>
        </w:rPr>
      </w:pPr>
      <w:r>
        <w:rPr>
          <w:rStyle w:val="FontStyle48"/>
          <w:rFonts w:ascii="Times New Roman" w:hAnsi="Times New Roman" w:cs="Times New Roman"/>
          <w:i/>
          <w:iCs/>
          <w:spacing w:val="8"/>
          <w:sz w:val="24"/>
          <w:szCs w:val="24"/>
          <w:lang w:eastAsia="ro-RO"/>
        </w:rPr>
        <w:t xml:space="preserve">Component substanţial - </w:t>
      </w:r>
      <w:r>
        <w:rPr>
          <w:rStyle w:val="FontStyle48"/>
          <w:rFonts w:ascii="Times New Roman" w:hAnsi="Times New Roman" w:cs="Times New Roman"/>
          <w:b w:val="0"/>
          <w:bCs w:val="0"/>
          <w:i/>
          <w:iCs/>
          <w:spacing w:val="8"/>
          <w:sz w:val="24"/>
          <w:szCs w:val="24"/>
          <w:lang w:eastAsia="ro-RO"/>
        </w:rPr>
        <w:t xml:space="preserve">material care constituie o parte semnificativă dintr-un produs neomogen. Este considerat un component substanţial un strat cu masa/unitatea de suprafaţă </w:t>
      </w:r>
      <w:r>
        <w:rPr>
          <w:rStyle w:val="FontStyle48"/>
          <w:rFonts w:ascii="Times New Roman" w:hAnsi="Times New Roman" w:cs="Times New Roman"/>
          <w:b w:val="0"/>
          <w:bCs w:val="0"/>
          <w:i/>
          <w:iCs/>
          <w:spacing w:val="8"/>
          <w:sz w:val="24"/>
          <w:szCs w:val="24"/>
          <w:lang w:eastAsia="ro-RO"/>
        </w:rPr>
        <w:sym w:font="Symbol" w:char="F0B3"/>
      </w:r>
      <w:r>
        <w:rPr>
          <w:rStyle w:val="FontStyle48"/>
          <w:rFonts w:ascii="Times New Roman" w:hAnsi="Times New Roman" w:cs="Times New Roman"/>
          <w:b w:val="0"/>
          <w:bCs w:val="0"/>
          <w:i/>
          <w:iCs/>
          <w:spacing w:val="8"/>
          <w:sz w:val="24"/>
          <w:szCs w:val="24"/>
          <w:lang w:eastAsia="ro-RO"/>
        </w:rPr>
        <w:t xml:space="preserve"> 1,0 kg/m</w:t>
      </w:r>
      <w:r>
        <w:rPr>
          <w:rStyle w:val="FontStyle48"/>
          <w:rFonts w:ascii="Times New Roman" w:hAnsi="Times New Roman" w:cs="Times New Roman"/>
          <w:b w:val="0"/>
          <w:bCs w:val="0"/>
          <w:i/>
          <w:iCs/>
          <w:spacing w:val="8"/>
          <w:sz w:val="24"/>
          <w:szCs w:val="24"/>
          <w:vertAlign w:val="superscript"/>
          <w:lang w:eastAsia="ro-RO"/>
        </w:rPr>
        <w:t>2</w:t>
      </w:r>
      <w:r>
        <w:rPr>
          <w:rStyle w:val="FontStyle48"/>
          <w:rFonts w:ascii="Times New Roman" w:hAnsi="Times New Roman" w:cs="Times New Roman"/>
          <w:b w:val="0"/>
          <w:bCs w:val="0"/>
          <w:i/>
          <w:iCs/>
          <w:spacing w:val="8"/>
          <w:sz w:val="24"/>
          <w:szCs w:val="24"/>
          <w:lang w:eastAsia="ro-RO"/>
        </w:rPr>
        <w:t xml:space="preserve"> sau cu o grosime </w:t>
      </w:r>
      <w:r>
        <w:rPr>
          <w:rStyle w:val="FontStyle48"/>
          <w:rFonts w:ascii="Times New Roman" w:hAnsi="Times New Roman" w:cs="Times New Roman"/>
          <w:b w:val="0"/>
          <w:bCs w:val="0"/>
          <w:i/>
          <w:iCs/>
          <w:spacing w:val="8"/>
          <w:sz w:val="24"/>
          <w:szCs w:val="24"/>
          <w:lang w:eastAsia="ro-RO"/>
        </w:rPr>
        <w:sym w:font="Symbol" w:char="F0B3"/>
      </w:r>
      <w:r>
        <w:rPr>
          <w:rStyle w:val="FontStyle48"/>
          <w:rFonts w:ascii="Times New Roman" w:hAnsi="Times New Roman" w:cs="Times New Roman"/>
          <w:b w:val="0"/>
          <w:bCs w:val="0"/>
          <w:i/>
          <w:iCs/>
          <w:spacing w:val="8"/>
          <w:sz w:val="24"/>
          <w:szCs w:val="24"/>
          <w:lang w:eastAsia="ro-RO"/>
        </w:rPr>
        <w:t xml:space="preserve"> 1,0 mm</w:t>
      </w:r>
    </w:p>
    <w:p w14:paraId="67001B35" w14:textId="77777777" w:rsidR="001C08A5" w:rsidRDefault="00000000">
      <w:pPr>
        <w:widowControl w:val="0"/>
        <w:numPr>
          <w:ilvl w:val="3"/>
          <w:numId w:val="10"/>
        </w:numPr>
        <w:jc w:val="both"/>
        <w:rPr>
          <w:rStyle w:val="FontStyle48"/>
          <w:rFonts w:ascii="Times New Roman" w:hAnsi="Times New Roman" w:cs="Times New Roman"/>
          <w:b w:val="0"/>
          <w:bCs w:val="0"/>
          <w:i/>
          <w:iCs/>
          <w:spacing w:val="8"/>
          <w:sz w:val="24"/>
          <w:szCs w:val="24"/>
          <w:lang w:eastAsia="ro-RO"/>
        </w:rPr>
      </w:pPr>
      <w:r>
        <w:rPr>
          <w:rStyle w:val="FontStyle48"/>
          <w:rFonts w:ascii="Times New Roman" w:hAnsi="Times New Roman" w:cs="Times New Roman"/>
          <w:i/>
          <w:iCs/>
          <w:spacing w:val="8"/>
          <w:sz w:val="24"/>
          <w:szCs w:val="24"/>
          <w:lang w:eastAsia="ro-RO"/>
        </w:rPr>
        <w:t xml:space="preserve">Component nesubstanţial - </w:t>
      </w:r>
      <w:r>
        <w:rPr>
          <w:rStyle w:val="FontStyle48"/>
          <w:rFonts w:ascii="Times New Roman" w:hAnsi="Times New Roman" w:cs="Times New Roman"/>
          <w:b w:val="0"/>
          <w:bCs w:val="0"/>
          <w:i/>
          <w:iCs/>
          <w:spacing w:val="8"/>
          <w:sz w:val="24"/>
          <w:szCs w:val="24"/>
          <w:lang w:eastAsia="ro-RO"/>
        </w:rPr>
        <w:t xml:space="preserve">material care nu constituie o parte semnificativă dintr-un produs neomogen. Este considerat un component nesubstanţial un strat cu masa/unitatea de suprafaţă </w:t>
      </w:r>
      <w:r>
        <w:rPr>
          <w:rStyle w:val="FontStyle48"/>
          <w:rFonts w:ascii="Times New Roman" w:hAnsi="Times New Roman" w:cs="Times New Roman"/>
          <w:b w:val="0"/>
          <w:bCs w:val="0"/>
          <w:i/>
          <w:iCs/>
          <w:spacing w:val="8"/>
          <w:sz w:val="24"/>
          <w:szCs w:val="24"/>
          <w:lang w:eastAsia="ro-RO"/>
        </w:rPr>
        <w:sym w:font="Symbol" w:char="F03C"/>
      </w:r>
      <w:r>
        <w:rPr>
          <w:rStyle w:val="FontStyle48"/>
          <w:rFonts w:ascii="Times New Roman" w:hAnsi="Times New Roman" w:cs="Times New Roman"/>
          <w:b w:val="0"/>
          <w:bCs w:val="0"/>
          <w:i/>
          <w:iCs/>
          <w:spacing w:val="8"/>
          <w:sz w:val="24"/>
          <w:szCs w:val="24"/>
          <w:lang w:eastAsia="ro-RO"/>
        </w:rPr>
        <w:t xml:space="preserve"> 1,0 kg/m</w:t>
      </w:r>
      <w:r>
        <w:rPr>
          <w:rStyle w:val="FontStyle48"/>
          <w:rFonts w:ascii="Times New Roman" w:hAnsi="Times New Roman" w:cs="Times New Roman"/>
          <w:b w:val="0"/>
          <w:bCs w:val="0"/>
          <w:i/>
          <w:iCs/>
          <w:spacing w:val="8"/>
          <w:sz w:val="24"/>
          <w:szCs w:val="24"/>
          <w:vertAlign w:val="superscript"/>
          <w:lang w:eastAsia="ro-RO"/>
        </w:rPr>
        <w:t>2</w:t>
      </w:r>
      <w:r>
        <w:rPr>
          <w:rStyle w:val="FontStyle48"/>
          <w:rFonts w:ascii="Times New Roman" w:hAnsi="Times New Roman" w:cs="Times New Roman"/>
          <w:b w:val="0"/>
          <w:bCs w:val="0"/>
          <w:i/>
          <w:iCs/>
          <w:spacing w:val="8"/>
          <w:sz w:val="24"/>
          <w:szCs w:val="24"/>
          <w:lang w:eastAsia="ro-RO"/>
        </w:rPr>
        <w:t xml:space="preserve"> și o grosime </w:t>
      </w:r>
      <w:r>
        <w:rPr>
          <w:rStyle w:val="FontStyle48"/>
          <w:rFonts w:ascii="Times New Roman" w:hAnsi="Times New Roman" w:cs="Times New Roman"/>
          <w:b w:val="0"/>
          <w:bCs w:val="0"/>
          <w:i/>
          <w:iCs/>
          <w:spacing w:val="8"/>
          <w:sz w:val="24"/>
          <w:szCs w:val="24"/>
          <w:lang w:eastAsia="ro-RO"/>
        </w:rPr>
        <w:sym w:font="Symbol" w:char="F03C"/>
      </w:r>
      <w:r>
        <w:rPr>
          <w:rStyle w:val="FontStyle48"/>
          <w:rFonts w:ascii="Times New Roman" w:hAnsi="Times New Roman" w:cs="Times New Roman"/>
          <w:b w:val="0"/>
          <w:bCs w:val="0"/>
          <w:i/>
          <w:iCs/>
          <w:spacing w:val="8"/>
          <w:sz w:val="24"/>
          <w:szCs w:val="24"/>
          <w:lang w:eastAsia="ro-RO"/>
        </w:rPr>
        <w:t xml:space="preserve"> 1,0 mm. Două sau mai multe straturi nesubstanţiale adiacente (adică fără niciun component(e) substantial(e) între straturi) sunt considerate ca un singur component nesubstanţial atunci când îndeplinesc împreună cerinţele aplicabile unui strat care constituie un component nesubstanţial.</w:t>
      </w:r>
    </w:p>
    <w:p w14:paraId="0A20A0EA" w14:textId="77777777" w:rsidR="001C08A5" w:rsidRDefault="00000000">
      <w:pPr>
        <w:widowControl w:val="0"/>
        <w:numPr>
          <w:ilvl w:val="0"/>
          <w:numId w:val="25"/>
        </w:numPr>
        <w:tabs>
          <w:tab w:val="clear" w:pos="425"/>
        </w:tabs>
        <w:ind w:firstLine="2515"/>
        <w:jc w:val="both"/>
        <w:rPr>
          <w:rStyle w:val="FontStyle48"/>
          <w:rFonts w:ascii="Times New Roman" w:hAnsi="Times New Roman" w:cs="Times New Roman"/>
          <w:b w:val="0"/>
          <w:bCs w:val="0"/>
          <w:i/>
          <w:iCs/>
          <w:spacing w:val="8"/>
          <w:sz w:val="24"/>
          <w:szCs w:val="24"/>
          <w:lang w:eastAsia="ro-RO"/>
        </w:rPr>
      </w:pPr>
      <w:r>
        <w:rPr>
          <w:rStyle w:val="FontStyle48"/>
          <w:rFonts w:ascii="Times New Roman" w:hAnsi="Times New Roman" w:cs="Times New Roman"/>
          <w:i/>
          <w:iCs/>
          <w:spacing w:val="8"/>
          <w:sz w:val="24"/>
          <w:szCs w:val="24"/>
          <w:lang w:eastAsia="ro-RO"/>
        </w:rPr>
        <w:t xml:space="preserve">Component nesubstanţial interior - </w:t>
      </w:r>
      <w:r>
        <w:rPr>
          <w:rStyle w:val="FontStyle48"/>
          <w:rFonts w:ascii="Times New Roman" w:hAnsi="Times New Roman" w:cs="Times New Roman"/>
          <w:b w:val="0"/>
          <w:bCs w:val="0"/>
          <w:i/>
          <w:iCs/>
          <w:spacing w:val="8"/>
          <w:sz w:val="24"/>
          <w:szCs w:val="24"/>
          <w:lang w:eastAsia="ro-RO"/>
        </w:rPr>
        <w:t>component nesubstanţial care este acoperit pe ambele feţe de cel puţin un component substanţial;</w:t>
      </w:r>
    </w:p>
    <w:p w14:paraId="20C9F0A0" w14:textId="77777777" w:rsidR="001C08A5" w:rsidRDefault="00000000">
      <w:pPr>
        <w:widowControl w:val="0"/>
        <w:numPr>
          <w:ilvl w:val="0"/>
          <w:numId w:val="25"/>
        </w:numPr>
        <w:tabs>
          <w:tab w:val="clear" w:pos="425"/>
        </w:tabs>
        <w:ind w:firstLine="2515"/>
        <w:jc w:val="both"/>
        <w:rPr>
          <w:rStyle w:val="FontStyle48"/>
          <w:rFonts w:ascii="Times New Roman" w:hAnsi="Times New Roman" w:cs="Times New Roman"/>
          <w:b w:val="0"/>
          <w:bCs w:val="0"/>
          <w:i/>
          <w:iCs/>
          <w:spacing w:val="8"/>
          <w:sz w:val="24"/>
          <w:szCs w:val="24"/>
          <w:lang w:eastAsia="ro-RO"/>
        </w:rPr>
      </w:pPr>
      <w:r>
        <w:rPr>
          <w:rStyle w:val="FontStyle48"/>
          <w:rFonts w:ascii="Times New Roman" w:hAnsi="Times New Roman" w:cs="Times New Roman"/>
          <w:i/>
          <w:iCs/>
          <w:spacing w:val="8"/>
          <w:sz w:val="24"/>
          <w:szCs w:val="24"/>
          <w:lang w:eastAsia="ro-RO"/>
        </w:rPr>
        <w:t xml:space="preserve">Component nesubstanţial exterior - </w:t>
      </w:r>
      <w:r>
        <w:rPr>
          <w:rStyle w:val="FontStyle48"/>
          <w:rFonts w:ascii="Times New Roman" w:hAnsi="Times New Roman" w:cs="Times New Roman"/>
          <w:b w:val="0"/>
          <w:bCs w:val="0"/>
          <w:i/>
          <w:iCs/>
          <w:spacing w:val="8"/>
          <w:sz w:val="24"/>
          <w:szCs w:val="24"/>
          <w:lang w:eastAsia="ro-RO"/>
        </w:rPr>
        <w:t>component nesubstanţial care nu este acoperit de un component substanţial, pe una din feţe .</w:t>
      </w:r>
    </w:p>
    <w:p w14:paraId="7E20E5C4" w14:textId="77777777" w:rsidR="001C08A5" w:rsidRDefault="00000000">
      <w:pPr>
        <w:widowControl w:val="0"/>
        <w:numPr>
          <w:ilvl w:val="3"/>
          <w:numId w:val="10"/>
        </w:numPr>
        <w:jc w:val="both"/>
        <w:rPr>
          <w:rStyle w:val="FontStyle57"/>
          <w:rFonts w:ascii="Times New Roman" w:hAnsi="Times New Roman" w:cs="Times New Roman"/>
          <w:i/>
          <w:iCs/>
          <w:spacing w:val="8"/>
          <w:sz w:val="24"/>
          <w:szCs w:val="24"/>
          <w:lang w:eastAsia="ro-RO"/>
        </w:rPr>
      </w:pPr>
      <w:r>
        <w:rPr>
          <w:rStyle w:val="FontStyle48"/>
          <w:rFonts w:ascii="Times New Roman" w:hAnsi="Times New Roman" w:cs="Times New Roman"/>
          <w:i/>
          <w:iCs/>
          <w:spacing w:val="8"/>
          <w:sz w:val="24"/>
          <w:szCs w:val="24"/>
          <w:lang w:eastAsia="ro-RO"/>
        </w:rPr>
        <w:t xml:space="preserve">Material compozit- </w:t>
      </w:r>
      <w:r>
        <w:rPr>
          <w:rStyle w:val="FontStyle57"/>
          <w:rFonts w:ascii="Times New Roman" w:hAnsi="Times New Roman" w:cs="Times New Roman"/>
          <w:i/>
          <w:iCs/>
          <w:spacing w:val="8"/>
          <w:sz w:val="24"/>
          <w:szCs w:val="24"/>
          <w:lang w:eastAsia="ro-RO"/>
        </w:rPr>
        <w:t xml:space="preserve">asociere structurată a două sau mai multe materiale distincte. </w:t>
      </w:r>
    </w:p>
    <w:p w14:paraId="4F1B8085" w14:textId="77777777" w:rsidR="001C08A5" w:rsidRDefault="00000000">
      <w:pPr>
        <w:widowControl w:val="0"/>
        <w:numPr>
          <w:ilvl w:val="3"/>
          <w:numId w:val="10"/>
        </w:numPr>
        <w:jc w:val="both"/>
        <w:rPr>
          <w:rStyle w:val="FontStyle57"/>
          <w:rFonts w:ascii="Times New Roman" w:hAnsi="Times New Roman" w:cs="Times New Roman"/>
          <w:i/>
          <w:iCs/>
          <w:spacing w:val="8"/>
          <w:sz w:val="24"/>
          <w:szCs w:val="24"/>
          <w:lang w:eastAsia="ro-RO"/>
        </w:rPr>
      </w:pPr>
      <w:r>
        <w:rPr>
          <w:rStyle w:val="FontStyle48"/>
          <w:rFonts w:ascii="Times New Roman" w:hAnsi="Times New Roman" w:cs="Times New Roman"/>
          <w:i/>
          <w:iCs/>
          <w:spacing w:val="8"/>
          <w:sz w:val="24"/>
          <w:szCs w:val="24"/>
          <w:lang w:eastAsia="ro-RO"/>
        </w:rPr>
        <w:t xml:space="preserve">Material combustibil, </w:t>
      </w:r>
      <w:r>
        <w:rPr>
          <w:rStyle w:val="FontStyle57"/>
          <w:rFonts w:ascii="Times New Roman" w:hAnsi="Times New Roman" w:cs="Times New Roman"/>
          <w:i/>
          <w:iCs/>
          <w:spacing w:val="8"/>
          <w:sz w:val="24"/>
          <w:szCs w:val="24"/>
          <w:lang w:eastAsia="ro-RO"/>
        </w:rPr>
        <w:t xml:space="preserve">material capabil să fie </w:t>
      </w:r>
      <w:r>
        <w:rPr>
          <w:rStyle w:val="FontStyle57"/>
          <w:rFonts w:ascii="Times New Roman" w:hAnsi="Times New Roman" w:cs="Times New Roman"/>
          <w:b/>
          <w:bCs/>
          <w:i/>
          <w:iCs/>
          <w:spacing w:val="8"/>
          <w:sz w:val="24"/>
          <w:szCs w:val="24"/>
          <w:lang w:eastAsia="ro-RO"/>
        </w:rPr>
        <w:t>aprins</w:t>
      </w:r>
      <w:r>
        <w:rPr>
          <w:rStyle w:val="FontStyle57"/>
          <w:rFonts w:ascii="Times New Roman" w:hAnsi="Times New Roman" w:cs="Times New Roman"/>
          <w:i/>
          <w:iCs/>
          <w:spacing w:val="8"/>
          <w:sz w:val="24"/>
          <w:szCs w:val="24"/>
          <w:lang w:eastAsia="ro-RO"/>
        </w:rPr>
        <w:t xml:space="preserve"> și să ardă</w:t>
      </w:r>
    </w:p>
    <w:p w14:paraId="6D1E52F1" w14:textId="77777777" w:rsidR="001C08A5" w:rsidRDefault="00000000">
      <w:pPr>
        <w:widowControl w:val="0"/>
        <w:numPr>
          <w:ilvl w:val="3"/>
          <w:numId w:val="10"/>
        </w:numPr>
        <w:jc w:val="both"/>
        <w:rPr>
          <w:i/>
          <w:iCs/>
          <w:spacing w:val="8"/>
          <w:sz w:val="24"/>
          <w:szCs w:val="24"/>
        </w:rPr>
      </w:pPr>
      <w:r>
        <w:rPr>
          <w:rStyle w:val="FontStyle48"/>
          <w:rFonts w:ascii="Times New Roman" w:hAnsi="Times New Roman" w:cs="Times New Roman"/>
          <w:i/>
          <w:iCs/>
          <w:spacing w:val="8"/>
          <w:sz w:val="24"/>
          <w:szCs w:val="24"/>
          <w:lang w:eastAsia="ro-RO"/>
        </w:rPr>
        <w:t xml:space="preserve">Material polimeric - </w:t>
      </w:r>
      <w:r>
        <w:rPr>
          <w:rStyle w:val="FontStyle48"/>
          <w:rFonts w:ascii="Times New Roman" w:hAnsi="Times New Roman" w:cs="Times New Roman"/>
          <w:b w:val="0"/>
          <w:i/>
          <w:iCs/>
          <w:spacing w:val="8"/>
          <w:sz w:val="24"/>
          <w:szCs w:val="24"/>
          <w:lang w:eastAsia="ro-RO"/>
        </w:rPr>
        <w:t xml:space="preserve">material compus din molecule de mari dimensiuni constituite din unităţi chimice mai mici, repetitive, legate între ele, numite polimeri. </w:t>
      </w:r>
      <w:r>
        <w:rPr>
          <w:i/>
          <w:iCs/>
          <w:spacing w:val="8"/>
          <w:sz w:val="24"/>
          <w:szCs w:val="24"/>
        </w:rPr>
        <w:t>Un polimer este o moleculă de mari dimensiuni constituită din numeroase unităţi chimice mai mici, repetitive, legate între ele, numite monomeri. Unii polimeri sunt naturali, alţii sunt sintetici.</w:t>
      </w:r>
    </w:p>
    <w:p w14:paraId="3F60E595" w14:textId="77777777" w:rsidR="001C08A5" w:rsidRDefault="00000000">
      <w:pPr>
        <w:widowControl w:val="0"/>
        <w:numPr>
          <w:ilvl w:val="3"/>
          <w:numId w:val="10"/>
        </w:numPr>
        <w:jc w:val="both"/>
        <w:rPr>
          <w:i/>
          <w:iCs/>
          <w:sz w:val="24"/>
          <w:szCs w:val="24"/>
        </w:rPr>
      </w:pPr>
      <w:r>
        <w:rPr>
          <w:b/>
          <w:bCs/>
          <w:i/>
          <w:iCs/>
          <w:sz w:val="24"/>
          <w:szCs w:val="24"/>
        </w:rPr>
        <w:t>Substrat</w:t>
      </w:r>
      <w:r>
        <w:rPr>
          <w:i/>
          <w:iCs/>
          <w:sz w:val="24"/>
          <w:szCs w:val="24"/>
        </w:rPr>
        <w:t xml:space="preserve"> - material care este utilizat imediat sub produsul despre care se cer informaţii (ex: pentru pardoseală, este solul pe care aceasta este montată sau de materialul care reprezintă acest sol). </w:t>
      </w:r>
    </w:p>
    <w:p w14:paraId="03544CB1" w14:textId="77777777" w:rsidR="001C08A5" w:rsidRDefault="00000000">
      <w:pPr>
        <w:widowControl w:val="0"/>
        <w:numPr>
          <w:ilvl w:val="0"/>
          <w:numId w:val="26"/>
        </w:numPr>
        <w:tabs>
          <w:tab w:val="clear" w:pos="425"/>
        </w:tabs>
        <w:ind w:firstLine="2515"/>
        <w:jc w:val="both"/>
        <w:rPr>
          <w:i/>
          <w:iCs/>
          <w:sz w:val="24"/>
          <w:szCs w:val="24"/>
        </w:rPr>
      </w:pPr>
      <w:r>
        <w:rPr>
          <w:b/>
          <w:bCs/>
          <w:i/>
          <w:iCs/>
          <w:sz w:val="24"/>
          <w:szCs w:val="24"/>
        </w:rPr>
        <w:t>Substrat standardizat</w:t>
      </w:r>
      <w:r>
        <w:rPr>
          <w:i/>
          <w:iCs/>
          <w:sz w:val="24"/>
          <w:szCs w:val="24"/>
        </w:rPr>
        <w:t xml:space="preserve"> - material care este reprezentativ pentru substratul utilizat în condiţiile de utilizare finală. </w:t>
      </w:r>
    </w:p>
    <w:p w14:paraId="540EC152" w14:textId="77777777" w:rsidR="001C08A5" w:rsidRDefault="001C08A5">
      <w:pPr>
        <w:jc w:val="both"/>
        <w:rPr>
          <w:i/>
          <w:iCs/>
          <w:sz w:val="24"/>
          <w:szCs w:val="24"/>
        </w:rPr>
      </w:pPr>
    </w:p>
    <w:p w14:paraId="551B4846" w14:textId="77777777" w:rsidR="001C08A5" w:rsidRDefault="00000000">
      <w:pPr>
        <w:numPr>
          <w:ilvl w:val="0"/>
          <w:numId w:val="10"/>
        </w:numPr>
        <w:jc w:val="both"/>
        <w:rPr>
          <w:i/>
          <w:iCs/>
          <w:sz w:val="24"/>
          <w:szCs w:val="24"/>
        </w:rPr>
      </w:pPr>
      <w:r>
        <w:rPr>
          <w:b/>
          <w:bCs/>
          <w:i/>
          <w:iCs/>
          <w:sz w:val="24"/>
          <w:szCs w:val="24"/>
        </w:rPr>
        <w:t xml:space="preserve">Mezanin </w:t>
      </w:r>
      <w:r>
        <w:rPr>
          <w:i/>
          <w:iCs/>
          <w:sz w:val="24"/>
          <w:szCs w:val="24"/>
        </w:rPr>
        <w:t>- nivel intercalat între două niveluri care se deosebește de celelalte niveluri fie prin înălțimea liberă mai mică, fie prin lipsa balcoanelor sau a altor ieșinduri în planul fațadelor. Mezaninul se include în numărul de niveluri supraterane ale construcţiei și se ia în calcul la determinarea nivelului de stabilitate la incendiu al construcţiei.</w:t>
      </w:r>
    </w:p>
    <w:p w14:paraId="12B07BFA" w14:textId="77777777" w:rsidR="001C08A5" w:rsidRDefault="001C08A5">
      <w:pPr>
        <w:jc w:val="both"/>
        <w:rPr>
          <w:i/>
          <w:iCs/>
          <w:sz w:val="24"/>
          <w:szCs w:val="24"/>
        </w:rPr>
      </w:pPr>
    </w:p>
    <w:p w14:paraId="1790D16E" w14:textId="77777777" w:rsidR="001C08A5" w:rsidRDefault="00000000">
      <w:pPr>
        <w:numPr>
          <w:ilvl w:val="0"/>
          <w:numId w:val="10"/>
        </w:numPr>
        <w:jc w:val="both"/>
        <w:rPr>
          <w:i/>
          <w:iCs/>
          <w:sz w:val="24"/>
          <w:szCs w:val="24"/>
        </w:rPr>
      </w:pPr>
      <w:r>
        <w:rPr>
          <w:b/>
          <w:bCs/>
          <w:i/>
          <w:iCs/>
          <w:sz w:val="24"/>
          <w:szCs w:val="24"/>
        </w:rPr>
        <w:t>Niveluri (etaje)</w:t>
      </w:r>
      <w:r>
        <w:rPr>
          <w:i/>
          <w:iCs/>
          <w:sz w:val="24"/>
          <w:szCs w:val="24"/>
        </w:rPr>
        <w:t xml:space="preserve"> - spații construite supraterane și/sau subterane ale construcției, închise sau deschise, delimitate de planșee. Constituie nivel al construcției supanta a cărei arie este mai mare de 40% din cea a spațiului în care este realizată.  </w:t>
      </w:r>
    </w:p>
    <w:p w14:paraId="29BF37DD" w14:textId="77777777" w:rsidR="001C08A5" w:rsidRDefault="00000000">
      <w:pPr>
        <w:numPr>
          <w:ilvl w:val="3"/>
          <w:numId w:val="10"/>
        </w:numPr>
        <w:jc w:val="both"/>
        <w:rPr>
          <w:i/>
          <w:iCs/>
          <w:sz w:val="24"/>
          <w:szCs w:val="24"/>
        </w:rPr>
      </w:pPr>
      <w:r>
        <w:rPr>
          <w:b/>
          <w:i/>
          <w:iCs/>
          <w:sz w:val="24"/>
          <w:szCs w:val="24"/>
        </w:rPr>
        <w:t>Nivel tehnic</w:t>
      </w:r>
      <w:r>
        <w:rPr>
          <w:i/>
          <w:iCs/>
          <w:sz w:val="24"/>
          <w:szCs w:val="24"/>
        </w:rPr>
        <w:t xml:space="preserve"> - </w:t>
      </w:r>
      <w:r>
        <w:rPr>
          <w:b/>
          <w:i/>
          <w:iCs/>
          <w:sz w:val="24"/>
          <w:szCs w:val="24"/>
        </w:rPr>
        <w:t>etaj tehnic</w:t>
      </w:r>
      <w:r>
        <w:rPr>
          <w:i/>
          <w:iCs/>
          <w:sz w:val="24"/>
          <w:szCs w:val="24"/>
        </w:rPr>
        <w:t xml:space="preserve"> - spaţiu special construit suprateran sau subteran delimitat de planşee, în care sunt amplasate instalaţii aferente construcției. (de apă, de canalizare, termice, electrice, de ventilare, telefonie etc. şi utilaje şi/sau aparatură aferentă acestora pentru funcţionarea optimă a imobilului în raport cu destinaţia acestuia). Aceste spaţii pot avea compartimentări interioare în </w:t>
      </w:r>
      <w:r>
        <w:rPr>
          <w:i/>
          <w:iCs/>
          <w:sz w:val="24"/>
          <w:szCs w:val="24"/>
        </w:rPr>
        <w:lastRenderedPageBreak/>
        <w:t>funcţie de necesităţile de separare a instalaţiliilor, aparaturii şi protecţiei acesteia. În aceste spaţii nu sunt admise încăperi cu alte funcțiuni (ca de exemplu de locuit, ateliere pentru intervenţii (reparaţii) și nici vestiare sau spaţii de odihnă pentru personalul de întreţinere.</w:t>
      </w:r>
    </w:p>
    <w:p w14:paraId="27CED707" w14:textId="77777777" w:rsidR="001C08A5" w:rsidRDefault="00000000">
      <w:pPr>
        <w:numPr>
          <w:ilvl w:val="0"/>
          <w:numId w:val="27"/>
        </w:numPr>
        <w:ind w:left="1680"/>
        <w:jc w:val="both"/>
        <w:rPr>
          <w:i/>
          <w:iCs/>
          <w:sz w:val="24"/>
          <w:szCs w:val="24"/>
        </w:rPr>
      </w:pPr>
      <w:r>
        <w:rPr>
          <w:b/>
          <w:bCs/>
          <w:i/>
          <w:iCs/>
          <w:sz w:val="24"/>
          <w:szCs w:val="24"/>
        </w:rPr>
        <w:t>nivel tehnic amplasat deasupra nivelului limită normat al constructiei</w:t>
      </w:r>
      <w:r>
        <w:rPr>
          <w:i/>
          <w:iCs/>
          <w:sz w:val="24"/>
          <w:szCs w:val="24"/>
        </w:rPr>
        <w:t xml:space="preserve"> - spaţiu special construit suprateran, delimitat de planşee, aflat deasupra nivelului limită normat al constructiei, ce ocupă maximum </w:t>
      </w:r>
      <w:r>
        <w:rPr>
          <w:b/>
          <w:bCs/>
          <w:i/>
          <w:iCs/>
          <w:sz w:val="24"/>
          <w:szCs w:val="24"/>
        </w:rPr>
        <w:t>50%</w:t>
      </w:r>
      <w:r>
        <w:rPr>
          <w:i/>
          <w:iCs/>
          <w:sz w:val="24"/>
          <w:szCs w:val="24"/>
        </w:rPr>
        <w:t xml:space="preserve"> din aria construită a nivelului de dedesuptul acestuia nu se ia în considerare la înălţimea construcţiei şi la numărul de niveluri al constructiei. </w:t>
      </w:r>
    </w:p>
    <w:p w14:paraId="451BF4CB" w14:textId="77777777" w:rsidR="001C08A5" w:rsidRDefault="00000000">
      <w:pPr>
        <w:numPr>
          <w:ilvl w:val="0"/>
          <w:numId w:val="27"/>
        </w:numPr>
        <w:ind w:left="1680"/>
        <w:jc w:val="both"/>
        <w:rPr>
          <w:i/>
          <w:iCs/>
          <w:sz w:val="24"/>
          <w:szCs w:val="24"/>
        </w:rPr>
      </w:pPr>
      <w:r>
        <w:rPr>
          <w:b/>
          <w:bCs/>
          <w:i/>
          <w:iCs/>
          <w:sz w:val="24"/>
          <w:szCs w:val="24"/>
        </w:rPr>
        <w:t>nivel tehnic intermediar</w:t>
      </w:r>
      <w:r>
        <w:rPr>
          <w:i/>
          <w:iCs/>
          <w:sz w:val="24"/>
          <w:szCs w:val="24"/>
        </w:rPr>
        <w:t xml:space="preserve"> - etaj tehnic intermediar - spaţiu special construit suprateran, delimitat de planşee, aflat intermediar intre alte niveluri utilizate ale constructiei</w:t>
      </w:r>
      <w:r>
        <w:rPr>
          <w:b/>
          <w:bCs/>
          <w:i/>
          <w:iCs/>
          <w:sz w:val="24"/>
          <w:szCs w:val="24"/>
        </w:rPr>
        <w:t xml:space="preserve">, </w:t>
      </w:r>
      <w:r>
        <w:rPr>
          <w:i/>
          <w:iCs/>
          <w:sz w:val="24"/>
          <w:szCs w:val="24"/>
        </w:rPr>
        <w:t xml:space="preserve">cu înălţime liberă mai mare de </w:t>
      </w:r>
      <w:r>
        <w:rPr>
          <w:b/>
          <w:bCs/>
          <w:i/>
          <w:iCs/>
          <w:sz w:val="24"/>
          <w:szCs w:val="24"/>
        </w:rPr>
        <w:t>1,80 m</w:t>
      </w:r>
      <w:r>
        <w:rPr>
          <w:i/>
          <w:iCs/>
          <w:sz w:val="24"/>
          <w:szCs w:val="24"/>
        </w:rPr>
        <w:t xml:space="preserve"> și se ia în considerare la înălţimea construcţiei şi la numărul de niveluri al constructiei. </w:t>
      </w:r>
    </w:p>
    <w:p w14:paraId="5C8AF400" w14:textId="77777777" w:rsidR="001C08A5" w:rsidRDefault="00000000">
      <w:pPr>
        <w:ind w:left="1680"/>
        <w:jc w:val="both"/>
        <w:rPr>
          <w:i/>
          <w:iCs/>
          <w:sz w:val="24"/>
          <w:szCs w:val="24"/>
        </w:rPr>
      </w:pPr>
      <w:r>
        <w:rPr>
          <w:b/>
          <w:bCs/>
          <w:i/>
          <w:iCs/>
          <w:sz w:val="24"/>
          <w:szCs w:val="24"/>
        </w:rPr>
        <w:t xml:space="preserve">c) nivel tehnic subteran </w:t>
      </w:r>
      <w:r>
        <w:rPr>
          <w:i/>
          <w:iCs/>
          <w:sz w:val="24"/>
          <w:szCs w:val="24"/>
        </w:rPr>
        <w:t>- etaj tehnic subteran - spaţiu special construit subteran, delimitat de pereti și planşee, aflat sub ultimul nivel de referinta/ utilizat al constructiei</w:t>
      </w:r>
      <w:r>
        <w:rPr>
          <w:b/>
          <w:bCs/>
          <w:i/>
          <w:iCs/>
          <w:sz w:val="24"/>
          <w:szCs w:val="24"/>
        </w:rPr>
        <w:t xml:space="preserve">, </w:t>
      </w:r>
      <w:r>
        <w:rPr>
          <w:i/>
          <w:iCs/>
          <w:sz w:val="24"/>
          <w:szCs w:val="24"/>
        </w:rPr>
        <w:t xml:space="preserve">cu înălţime liberă mai mică de </w:t>
      </w:r>
      <w:r>
        <w:rPr>
          <w:b/>
          <w:bCs/>
          <w:i/>
          <w:iCs/>
          <w:sz w:val="24"/>
          <w:szCs w:val="24"/>
        </w:rPr>
        <w:t>1,80 m</w:t>
      </w:r>
      <w:r>
        <w:rPr>
          <w:i/>
          <w:iCs/>
          <w:sz w:val="24"/>
          <w:szCs w:val="24"/>
        </w:rPr>
        <w:t xml:space="preserve"> și se ia în considerare la înălţimea construcţiei şi la numărul de niveluri subterane al constructiei. Canivourile și canalele tehnice subterane cu înăltime liberă de maximum </w:t>
      </w:r>
      <w:r>
        <w:rPr>
          <w:b/>
          <w:bCs/>
          <w:i/>
          <w:iCs/>
          <w:sz w:val="24"/>
          <w:szCs w:val="24"/>
        </w:rPr>
        <w:t>1,80 m</w:t>
      </w:r>
      <w:r>
        <w:rPr>
          <w:i/>
          <w:iCs/>
          <w:sz w:val="24"/>
          <w:szCs w:val="24"/>
        </w:rPr>
        <w:t xml:space="preserve"> nu constituie nivel. </w:t>
      </w:r>
    </w:p>
    <w:p w14:paraId="59BF7F30" w14:textId="77777777" w:rsidR="001C08A5" w:rsidRDefault="001C08A5">
      <w:pPr>
        <w:jc w:val="both"/>
        <w:rPr>
          <w:b/>
          <w:i/>
          <w:iCs/>
          <w:sz w:val="24"/>
          <w:szCs w:val="24"/>
        </w:rPr>
      </w:pPr>
    </w:p>
    <w:p w14:paraId="227F3074" w14:textId="77777777" w:rsidR="001C08A5" w:rsidRDefault="00000000">
      <w:pPr>
        <w:numPr>
          <w:ilvl w:val="0"/>
          <w:numId w:val="10"/>
        </w:numPr>
        <w:jc w:val="both"/>
        <w:rPr>
          <w:i/>
          <w:iCs/>
          <w:sz w:val="24"/>
          <w:szCs w:val="24"/>
        </w:rPr>
      </w:pPr>
      <w:r>
        <w:rPr>
          <w:b/>
          <w:i/>
          <w:iCs/>
          <w:sz w:val="24"/>
          <w:szCs w:val="24"/>
        </w:rPr>
        <w:t xml:space="preserve">Nivel de referinţă </w:t>
      </w:r>
      <w:r>
        <w:rPr>
          <w:i/>
          <w:iCs/>
          <w:sz w:val="24"/>
          <w:szCs w:val="24"/>
        </w:rPr>
        <w:t>- nivelul terenului sau al carosabilului exterior cel mai de jos, accesibil autospecialelor de intervenţie în caz de incendiu la care se face evacuarea utilizatorilor în exterior și accesul forțelor de intervenție în clădire (</w:t>
      </w:r>
      <w:r>
        <w:rPr>
          <w:b/>
          <w:bCs/>
          <w:i/>
          <w:iCs/>
          <w:sz w:val="24"/>
          <w:szCs w:val="24"/>
        </w:rPr>
        <w:fldChar w:fldCharType="begin"/>
      </w:r>
      <w:r>
        <w:rPr>
          <w:b/>
          <w:bCs/>
          <w:i/>
          <w:iCs/>
          <w:sz w:val="24"/>
          <w:szCs w:val="24"/>
        </w:rPr>
        <w:instrText xml:space="preserve"> REF _Ref6743 \h </w:instrText>
      </w:r>
      <w:r>
        <w:rPr>
          <w:b/>
          <w:bCs/>
          <w:i/>
          <w:iCs/>
          <w:sz w:val="24"/>
          <w:szCs w:val="24"/>
        </w:rPr>
      </w:r>
      <w:r>
        <w:rPr>
          <w:b/>
          <w:bCs/>
          <w:i/>
          <w:iCs/>
          <w:sz w:val="24"/>
          <w:szCs w:val="24"/>
        </w:rPr>
        <w:fldChar w:fldCharType="separate"/>
      </w:r>
      <w:r>
        <w:t>Figura 18</w:t>
      </w:r>
      <w:r>
        <w:rPr>
          <w:b/>
          <w:bCs/>
          <w:i/>
          <w:iCs/>
          <w:sz w:val="24"/>
          <w:szCs w:val="24"/>
        </w:rPr>
        <w:fldChar w:fldCharType="end"/>
      </w:r>
      <w:r>
        <w:rPr>
          <w:i/>
          <w:iCs/>
          <w:sz w:val="24"/>
          <w:szCs w:val="24"/>
        </w:rPr>
        <w:t>).</w:t>
      </w:r>
    </w:p>
    <w:p w14:paraId="047287B8" w14:textId="77777777" w:rsidR="001C08A5" w:rsidRDefault="001C08A5">
      <w:pPr>
        <w:jc w:val="both"/>
      </w:pPr>
    </w:p>
    <w:p w14:paraId="38CD4C73" w14:textId="77777777" w:rsidR="001C08A5" w:rsidRDefault="00000000">
      <w:pPr>
        <w:pStyle w:val="Default"/>
        <w:rPr>
          <w:color w:val="auto"/>
        </w:rPr>
      </w:pPr>
      <w:r>
        <w:rPr>
          <w:noProof/>
          <w:color w:val="auto"/>
          <w:lang w:val="ro-RO" w:eastAsia="ro-RO"/>
        </w:rPr>
        <w:drawing>
          <wp:inline distT="0" distB="0" distL="114300" distR="114300" wp14:anchorId="529A1A79" wp14:editId="7CF6676C">
            <wp:extent cx="6125210" cy="1492250"/>
            <wp:effectExtent l="0" t="0" r="8890" b="1270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
                    <pic:cNvPicPr>
                      <a:picLocks noChangeAspect="1"/>
                    </pic:cNvPicPr>
                  </pic:nvPicPr>
                  <pic:blipFill>
                    <a:blip r:embed="rId82"/>
                    <a:srcRect l="11794" t="23052" r="7058" b="49450"/>
                    <a:stretch>
                      <a:fillRect/>
                    </a:stretch>
                  </pic:blipFill>
                  <pic:spPr>
                    <a:xfrm>
                      <a:off x="0" y="0"/>
                      <a:ext cx="6125210" cy="1492250"/>
                    </a:xfrm>
                    <a:prstGeom prst="rect">
                      <a:avLst/>
                    </a:prstGeom>
                    <a:noFill/>
                    <a:ln>
                      <a:noFill/>
                    </a:ln>
                  </pic:spPr>
                </pic:pic>
              </a:graphicData>
            </a:graphic>
          </wp:inline>
        </w:drawing>
      </w:r>
    </w:p>
    <w:p w14:paraId="36FAB0DE" w14:textId="77777777" w:rsidR="001C08A5" w:rsidRDefault="00000000">
      <w:pPr>
        <w:pStyle w:val="Default"/>
        <w:jc w:val="both"/>
        <w:rPr>
          <w:b/>
          <w:bCs/>
          <w:i/>
          <w:iCs/>
          <w:color w:val="auto"/>
          <w:lang w:eastAsia="ro-RO"/>
        </w:rPr>
      </w:pPr>
      <w:r>
        <w:rPr>
          <w:noProof/>
          <w:color w:val="auto"/>
          <w:lang w:val="ro-RO" w:eastAsia="ro-RO"/>
        </w:rPr>
        <w:drawing>
          <wp:inline distT="0" distB="0" distL="114300" distR="114300" wp14:anchorId="13EAA7C7" wp14:editId="2C33356A">
            <wp:extent cx="6125210" cy="1489075"/>
            <wp:effectExtent l="0" t="0" r="8890" b="15875"/>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6"/>
                    <pic:cNvPicPr>
                      <a:picLocks noChangeAspect="1"/>
                    </pic:cNvPicPr>
                  </pic:nvPicPr>
                  <pic:blipFill>
                    <a:blip r:embed="rId82"/>
                    <a:srcRect l="11794" t="57887" r="7058" b="14674"/>
                    <a:stretch>
                      <a:fillRect/>
                    </a:stretch>
                  </pic:blipFill>
                  <pic:spPr>
                    <a:xfrm>
                      <a:off x="0" y="0"/>
                      <a:ext cx="6125210" cy="1489075"/>
                    </a:xfrm>
                    <a:prstGeom prst="rect">
                      <a:avLst/>
                    </a:prstGeom>
                    <a:noFill/>
                    <a:ln>
                      <a:noFill/>
                    </a:ln>
                  </pic:spPr>
                </pic:pic>
              </a:graphicData>
            </a:graphic>
          </wp:inline>
        </w:drawing>
      </w:r>
    </w:p>
    <w:p w14:paraId="4A600D5D" w14:textId="77777777" w:rsidR="001C08A5" w:rsidRDefault="00000000">
      <w:pPr>
        <w:pStyle w:val="Default"/>
        <w:jc w:val="center"/>
        <w:rPr>
          <w:b/>
          <w:bCs/>
          <w:i/>
          <w:iCs/>
          <w:color w:val="auto"/>
          <w:sz w:val="22"/>
          <w:szCs w:val="22"/>
          <w:lang w:eastAsia="ro-RO"/>
        </w:rPr>
      </w:pPr>
      <w:r>
        <w:rPr>
          <w:rFonts w:ascii="Times New Roman" w:hAnsi="Times New Roman" w:cs="Times New Roman"/>
          <w:b/>
          <w:bCs/>
          <w:i/>
          <w:iCs/>
          <w:color w:val="auto"/>
          <w:sz w:val="22"/>
          <w:szCs w:val="22"/>
          <w:lang w:eastAsia="ro-RO"/>
        </w:rPr>
        <w:t>Varianta a): clădiri fără spații amenajate pe acoperișul tip terasă</w:t>
      </w:r>
    </w:p>
    <w:p w14:paraId="61ED8505" w14:textId="77777777" w:rsidR="001C08A5" w:rsidRDefault="001C08A5">
      <w:pPr>
        <w:pStyle w:val="Default"/>
        <w:jc w:val="center"/>
        <w:rPr>
          <w:b/>
          <w:bCs/>
          <w:i/>
          <w:iCs/>
          <w:color w:val="auto"/>
          <w:sz w:val="22"/>
          <w:szCs w:val="22"/>
          <w:lang w:eastAsia="ro-RO"/>
        </w:rPr>
      </w:pPr>
    </w:p>
    <w:p w14:paraId="701501A8" w14:textId="77777777" w:rsidR="001C08A5" w:rsidRDefault="00000000">
      <w:pPr>
        <w:pStyle w:val="Default"/>
        <w:rPr>
          <w:color w:val="auto"/>
        </w:rPr>
      </w:pPr>
      <w:r>
        <w:rPr>
          <w:noProof/>
          <w:color w:val="auto"/>
          <w:lang w:val="ro-RO" w:eastAsia="ro-RO"/>
        </w:rPr>
        <w:drawing>
          <wp:inline distT="0" distB="0" distL="114300" distR="114300" wp14:anchorId="4394FF38" wp14:editId="460FEDC5">
            <wp:extent cx="6118225" cy="1500505"/>
            <wp:effectExtent l="0" t="0" r="15875" b="4445"/>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7"/>
                    <pic:cNvPicPr>
                      <a:picLocks noChangeAspect="1"/>
                    </pic:cNvPicPr>
                  </pic:nvPicPr>
                  <pic:blipFill>
                    <a:blip r:embed="rId83"/>
                    <a:srcRect l="11887" t="17248" r="7058" b="55102"/>
                    <a:stretch>
                      <a:fillRect/>
                    </a:stretch>
                  </pic:blipFill>
                  <pic:spPr>
                    <a:xfrm>
                      <a:off x="0" y="0"/>
                      <a:ext cx="6118225" cy="1500505"/>
                    </a:xfrm>
                    <a:prstGeom prst="rect">
                      <a:avLst/>
                    </a:prstGeom>
                    <a:noFill/>
                    <a:ln>
                      <a:noFill/>
                    </a:ln>
                  </pic:spPr>
                </pic:pic>
              </a:graphicData>
            </a:graphic>
          </wp:inline>
        </w:drawing>
      </w:r>
    </w:p>
    <w:p w14:paraId="70ED78FF" w14:textId="77777777" w:rsidR="001C08A5" w:rsidRDefault="001C08A5">
      <w:pPr>
        <w:pStyle w:val="Default"/>
        <w:rPr>
          <w:color w:val="auto"/>
        </w:rPr>
      </w:pPr>
    </w:p>
    <w:p w14:paraId="6147CF49" w14:textId="77777777" w:rsidR="001C08A5" w:rsidRDefault="001C08A5">
      <w:pPr>
        <w:pStyle w:val="Default"/>
        <w:rPr>
          <w:color w:val="auto"/>
        </w:rPr>
      </w:pPr>
    </w:p>
    <w:p w14:paraId="1AE81F14" w14:textId="77777777" w:rsidR="001C08A5" w:rsidRDefault="00000000">
      <w:pPr>
        <w:jc w:val="center"/>
        <w:rPr>
          <w:b/>
          <w:bCs/>
          <w:i/>
          <w:iCs/>
          <w:sz w:val="22"/>
          <w:szCs w:val="22"/>
          <w:lang w:val="en-US" w:eastAsia="ro-RO"/>
        </w:rPr>
      </w:pPr>
      <w:r>
        <w:rPr>
          <w:noProof/>
          <w:lang w:eastAsia="ro-RO"/>
        </w:rPr>
        <w:lastRenderedPageBreak/>
        <w:drawing>
          <wp:inline distT="0" distB="0" distL="114300" distR="114300" wp14:anchorId="6C218404" wp14:editId="5CD28B68">
            <wp:extent cx="6118225" cy="1477645"/>
            <wp:effectExtent l="0" t="0" r="15875" b="8255"/>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
                    <pic:cNvPicPr>
                      <a:picLocks noChangeAspect="1"/>
                    </pic:cNvPicPr>
                  </pic:nvPicPr>
                  <pic:blipFill>
                    <a:blip r:embed="rId83"/>
                    <a:srcRect l="11887" t="52223" r="7058" b="20548"/>
                    <a:stretch>
                      <a:fillRect/>
                    </a:stretch>
                  </pic:blipFill>
                  <pic:spPr>
                    <a:xfrm>
                      <a:off x="0" y="0"/>
                      <a:ext cx="6118225" cy="1477645"/>
                    </a:xfrm>
                    <a:prstGeom prst="rect">
                      <a:avLst/>
                    </a:prstGeom>
                    <a:noFill/>
                    <a:ln>
                      <a:noFill/>
                    </a:ln>
                  </pic:spPr>
                </pic:pic>
              </a:graphicData>
            </a:graphic>
          </wp:inline>
        </w:drawing>
      </w:r>
      <w:r>
        <w:rPr>
          <w:b/>
          <w:bCs/>
          <w:i/>
          <w:iCs/>
          <w:sz w:val="22"/>
          <w:szCs w:val="22"/>
          <w:lang w:val="en-US" w:eastAsia="ro-RO"/>
        </w:rPr>
        <w:t>Varianta b): clădiri cu spații amenajate pe acoperișul tip terasă</w:t>
      </w:r>
    </w:p>
    <w:p w14:paraId="55FD09E5" w14:textId="77777777" w:rsidR="001C08A5" w:rsidRDefault="001C08A5">
      <w:pPr>
        <w:jc w:val="center"/>
        <w:rPr>
          <w:b/>
          <w:bCs/>
          <w:i/>
          <w:iCs/>
          <w:sz w:val="22"/>
          <w:szCs w:val="22"/>
          <w:lang w:val="en-US" w:eastAsia="ro-RO"/>
        </w:rPr>
      </w:pPr>
    </w:p>
    <w:p w14:paraId="677188E8" w14:textId="77777777" w:rsidR="001C08A5" w:rsidRDefault="00000000">
      <w:pPr>
        <w:jc w:val="both"/>
        <w:rPr>
          <w:b/>
          <w:bCs/>
          <w:i/>
          <w:iCs/>
          <w:sz w:val="24"/>
          <w:szCs w:val="24"/>
        </w:rPr>
      </w:pPr>
      <w:r>
        <w:rPr>
          <w:b/>
          <w:bCs/>
          <w:i/>
          <w:iCs/>
          <w:sz w:val="22"/>
          <w:szCs w:val="22"/>
          <w:lang w:val="en-US" w:eastAsia="ro-RO"/>
        </w:rPr>
        <w:t>Notă</w:t>
      </w:r>
      <w:r>
        <w:rPr>
          <w:b/>
          <w:bCs/>
          <w:i/>
          <w:iCs/>
          <w:sz w:val="24"/>
          <w:szCs w:val="24"/>
        </w:rPr>
        <w:t xml:space="preserve"> </w:t>
      </w:r>
      <w:r>
        <w:rPr>
          <w:b/>
          <w:bCs/>
          <w:i/>
          <w:iCs/>
          <w:sz w:val="22"/>
          <w:szCs w:val="22"/>
        </w:rPr>
        <w:fldChar w:fldCharType="begin"/>
      </w:r>
      <w:r>
        <w:rPr>
          <w:b/>
          <w:bCs/>
          <w:i/>
          <w:iCs/>
          <w:sz w:val="22"/>
          <w:szCs w:val="22"/>
        </w:rPr>
        <w:instrText xml:space="preserve"> REF _Ref6743 \h </w:instrText>
      </w:r>
      <w:r>
        <w:rPr>
          <w:b/>
          <w:bCs/>
          <w:i/>
          <w:iCs/>
          <w:sz w:val="22"/>
          <w:szCs w:val="22"/>
        </w:rPr>
      </w:r>
      <w:r>
        <w:rPr>
          <w:b/>
          <w:bCs/>
          <w:i/>
          <w:iCs/>
          <w:sz w:val="22"/>
          <w:szCs w:val="22"/>
        </w:rPr>
        <w:fldChar w:fldCharType="separate"/>
      </w:r>
      <w:r>
        <w:t>Figura 18</w:t>
      </w:r>
      <w:r>
        <w:rPr>
          <w:b/>
          <w:bCs/>
          <w:i/>
          <w:iCs/>
          <w:sz w:val="22"/>
          <w:szCs w:val="22"/>
        </w:rPr>
        <w:fldChar w:fldCharType="end"/>
      </w:r>
      <w:r>
        <w:rPr>
          <w:b/>
          <w:bCs/>
          <w:i/>
          <w:iCs/>
          <w:sz w:val="22"/>
          <w:szCs w:val="22"/>
          <w:lang w:val="en-US" w:eastAsia="ro-RO"/>
        </w:rPr>
        <w:t>, Varianta b)</w:t>
      </w:r>
      <w:r>
        <w:rPr>
          <w:i/>
          <w:iCs/>
          <w:sz w:val="22"/>
          <w:szCs w:val="22"/>
          <w:lang w:val="en-US" w:eastAsia="ro-RO"/>
        </w:rPr>
        <w:t xml:space="preserve">: </w:t>
      </w:r>
      <w:r>
        <w:rPr>
          <w:bCs/>
          <w:i/>
          <w:iCs/>
          <w:sz w:val="22"/>
          <w:szCs w:val="22"/>
        </w:rPr>
        <w:t>S</w:t>
      </w:r>
      <w:r>
        <w:rPr>
          <w:bCs/>
          <w:i/>
          <w:iCs/>
          <w:sz w:val="22"/>
          <w:szCs w:val="22"/>
          <w:lang w:eastAsia="ro-RO"/>
        </w:rPr>
        <w:t>tabilirea înălțimii clădirilor la care acoperișul terasă este amenajat pentru diverse funcțiuni cum ar fi parcaje, comerț etc</w:t>
      </w:r>
      <w:r>
        <w:rPr>
          <w:bCs/>
          <w:i/>
          <w:iCs/>
          <w:sz w:val="22"/>
          <w:szCs w:val="22"/>
          <w:lang w:val="en-US" w:eastAsia="ro-RO"/>
        </w:rPr>
        <w:t>. se face ținândcont de cota de călcare a teraseicirculabileînraport cu nivelul de referință.</w:t>
      </w:r>
      <w:bookmarkStart w:id="403" w:name="_Toc7896"/>
      <w:bookmarkStart w:id="404" w:name="_Toc14562"/>
      <w:bookmarkStart w:id="405" w:name="_Toc9061"/>
      <w:bookmarkStart w:id="406" w:name="_Toc25723"/>
      <w:bookmarkStart w:id="407" w:name="_Toc19953"/>
      <w:bookmarkStart w:id="408" w:name="_Toc5160"/>
    </w:p>
    <w:p w14:paraId="099E09A5" w14:textId="77777777" w:rsidR="001C08A5" w:rsidRDefault="00000000">
      <w:pPr>
        <w:pStyle w:val="Caption"/>
        <w:ind w:left="400"/>
        <w:jc w:val="center"/>
        <w:rPr>
          <w:bCs/>
        </w:rPr>
      </w:pPr>
      <w:bookmarkStart w:id="409" w:name="_Ref6743"/>
      <w:bookmarkStart w:id="410" w:name="_Toc162360242"/>
      <w:r>
        <w:t xml:space="preserve">Figura </w:t>
      </w:r>
      <w:r>
        <w:fldChar w:fldCharType="begin"/>
      </w:r>
      <w:r>
        <w:instrText xml:space="preserve"> SEQ Figura \* ARABIC </w:instrText>
      </w:r>
      <w:r>
        <w:fldChar w:fldCharType="separate"/>
      </w:r>
      <w:r>
        <w:t>18</w:t>
      </w:r>
      <w:r>
        <w:fldChar w:fldCharType="end"/>
      </w:r>
      <w:bookmarkStart w:id="411" w:name="_Toc19143"/>
      <w:bookmarkStart w:id="412" w:name="_Toc7162"/>
      <w:bookmarkStart w:id="413" w:name="_Toc9587"/>
      <w:bookmarkStart w:id="414" w:name="_Toc28208"/>
      <w:bookmarkStart w:id="415" w:name="_Toc18415"/>
      <w:bookmarkStart w:id="416" w:name="_Toc2927"/>
      <w:bookmarkStart w:id="417" w:name="_Toc12330"/>
      <w:bookmarkStart w:id="418" w:name="_Toc10507"/>
      <w:bookmarkStart w:id="419" w:name="_Toc13656"/>
      <w:bookmarkStart w:id="420" w:name="_Toc2638"/>
      <w:bookmarkStart w:id="421" w:name="_Toc11129"/>
      <w:bookmarkEnd w:id="409"/>
      <w:r>
        <w:t xml:space="preserve"> - </w:t>
      </w:r>
      <w:r>
        <w:rPr>
          <w:bCs/>
        </w:rPr>
        <w:t>Nivel de referinţă</w:t>
      </w:r>
      <w:bookmarkEnd w:id="403"/>
      <w:bookmarkEnd w:id="404"/>
      <w:bookmarkEnd w:id="405"/>
      <w:bookmarkEnd w:id="406"/>
      <w:bookmarkEnd w:id="407"/>
      <w:bookmarkEnd w:id="408"/>
      <w:bookmarkEnd w:id="410"/>
      <w:bookmarkEnd w:id="411"/>
      <w:bookmarkEnd w:id="412"/>
      <w:bookmarkEnd w:id="413"/>
      <w:bookmarkEnd w:id="414"/>
      <w:bookmarkEnd w:id="415"/>
      <w:bookmarkEnd w:id="416"/>
      <w:bookmarkEnd w:id="417"/>
      <w:bookmarkEnd w:id="418"/>
      <w:bookmarkEnd w:id="419"/>
      <w:bookmarkEnd w:id="420"/>
      <w:bookmarkEnd w:id="421"/>
    </w:p>
    <w:p w14:paraId="0EE4BEDC" w14:textId="77777777" w:rsidR="001C08A5" w:rsidRDefault="001C08A5">
      <w:pPr>
        <w:jc w:val="both"/>
        <w:rPr>
          <w:bCs/>
          <w:i/>
          <w:iCs/>
          <w:sz w:val="22"/>
          <w:szCs w:val="22"/>
          <w:lang w:val="en-US" w:eastAsia="ro-RO"/>
        </w:rPr>
      </w:pPr>
    </w:p>
    <w:p w14:paraId="787AAF12" w14:textId="77777777" w:rsidR="001C08A5" w:rsidRDefault="00000000">
      <w:pPr>
        <w:numPr>
          <w:ilvl w:val="0"/>
          <w:numId w:val="10"/>
        </w:numPr>
        <w:jc w:val="both"/>
        <w:rPr>
          <w:i/>
          <w:iCs/>
          <w:sz w:val="24"/>
          <w:szCs w:val="24"/>
        </w:rPr>
      </w:pPr>
      <w:r>
        <w:rPr>
          <w:b/>
          <w:i/>
          <w:iCs/>
          <w:sz w:val="24"/>
          <w:szCs w:val="24"/>
        </w:rPr>
        <w:t>Nivel de stabilitate la incendiu </w:t>
      </w:r>
      <w:r>
        <w:rPr>
          <w:i/>
          <w:iCs/>
          <w:sz w:val="24"/>
          <w:szCs w:val="24"/>
        </w:rPr>
        <w:t>- capacitatea globală normată a unei construcţii sau a unui compartiment de incendiu de a răspunde la acţiunea unui incendiu standard. Nivelul de stabilitate la incendiu al construcţiei sau al compartimentului de incendiu, este determinat de elementul său cu cea mai defavorabilă încadrare în valorile normate.</w:t>
      </w:r>
    </w:p>
    <w:p w14:paraId="159B4BBD" w14:textId="77777777" w:rsidR="001C08A5" w:rsidRDefault="001C08A5">
      <w:pPr>
        <w:jc w:val="both"/>
        <w:rPr>
          <w:b/>
          <w:i/>
          <w:iCs/>
          <w:sz w:val="24"/>
          <w:szCs w:val="24"/>
        </w:rPr>
      </w:pPr>
    </w:p>
    <w:p w14:paraId="01B5516E" w14:textId="77777777" w:rsidR="001C08A5" w:rsidRDefault="00000000">
      <w:pPr>
        <w:numPr>
          <w:ilvl w:val="0"/>
          <w:numId w:val="10"/>
        </w:numPr>
        <w:jc w:val="both"/>
        <w:rPr>
          <w:i/>
          <w:iCs/>
          <w:sz w:val="24"/>
          <w:szCs w:val="24"/>
        </w:rPr>
      </w:pPr>
      <w:r>
        <w:rPr>
          <w:b/>
          <w:bCs/>
          <w:i/>
          <w:iCs/>
          <w:sz w:val="24"/>
          <w:szCs w:val="24"/>
        </w:rPr>
        <w:t>”Open space”</w:t>
      </w:r>
      <w:r>
        <w:rPr>
          <w:i/>
          <w:iCs/>
          <w:sz w:val="24"/>
          <w:szCs w:val="24"/>
        </w:rPr>
        <w:t xml:space="preserve"> – spațiu (de exemplu de lucru - pentru funcțiunea administrativă) deschis, pentru activități care necesită o comunicare frecventă, ori grupare de încăperi cu același risc de incendiu și aceeași destinație (proprie sau complementară folosită în exploatarea curentă) compartimentate cu mobilier și/sau parapete, panouri opace sau vitrate, fixe sau mobile folosite ca separări funcționale și/sau izolante fonic (</w:t>
      </w:r>
      <w:r>
        <w:rPr>
          <w:b/>
          <w:bCs/>
          <w:i/>
          <w:iCs/>
          <w:sz w:val="24"/>
          <w:szCs w:val="24"/>
        </w:rPr>
        <w:fldChar w:fldCharType="begin"/>
      </w:r>
      <w:r>
        <w:rPr>
          <w:b/>
          <w:bCs/>
          <w:i/>
          <w:iCs/>
          <w:sz w:val="24"/>
          <w:szCs w:val="24"/>
        </w:rPr>
        <w:instrText xml:space="preserve"> REF _Ref7096 \h </w:instrText>
      </w:r>
      <w:r>
        <w:rPr>
          <w:b/>
          <w:bCs/>
          <w:i/>
          <w:iCs/>
          <w:sz w:val="24"/>
          <w:szCs w:val="24"/>
        </w:rPr>
      </w:r>
      <w:r>
        <w:rPr>
          <w:b/>
          <w:bCs/>
          <w:i/>
          <w:iCs/>
          <w:sz w:val="24"/>
          <w:szCs w:val="24"/>
        </w:rPr>
        <w:fldChar w:fldCharType="separate"/>
      </w:r>
      <w:r>
        <w:t>Figura 20</w:t>
      </w:r>
      <w:r>
        <w:rPr>
          <w:b/>
          <w:bCs/>
          <w:i/>
          <w:iCs/>
          <w:sz w:val="24"/>
          <w:szCs w:val="24"/>
        </w:rPr>
        <w:fldChar w:fldCharType="end"/>
      </w:r>
      <w:r>
        <w:rPr>
          <w:i/>
          <w:iCs/>
          <w:sz w:val="24"/>
          <w:szCs w:val="24"/>
        </w:rPr>
        <w:t>). Panourile opace sau vitrate de delimitare care întrerup spațiul dintre tavanul suspendat incombustibil față de planșeu și/sau spațiul dintre pardoseala supraînalțată incombustibilă și planșeul inferior din cadrul unor grupări cu suprafața normată coroborată cu lungimile căilor de evacuare, trebuie realizate astfel încât să nu fie influențată funcționarea instalațiilor de protecție împotriva incendiilor. Este admisă gruparea încăperilor cu risc mic de incendiu și aceeași destinație, incluzând și destinatii colaterale, inclusiv cele de comunicari functionale orizontale. Gruparea încăperilor de tip open space se compartimentează la limita față de circulațiile comune de evacuare (coridoare, degajamente protejate, încaperi tampon, scări închise, etc.) precum și față de spații cu risc diferit de incendiu (provenit din densitatea de sarcină termică și/ sau din funcțiune), cu pereți rezistenți la foc specifici spațiilor tip open space sau conform prevederilor spațiilor alăturate (obligatoriu se aleg cerințele cele mai restrictive), conform încadrării fiecărei funcțiuni sau tip de construcție. În interiorul gruprii spațiilor de tip open space, încăperile cu risc mai mare de incendiu (provenit din densitatea de sarcină termică și/ sau din funcțiune) se compartimentează cu pereți rezistenți la foc specifici acestor încăperi</w:t>
      </w:r>
    </w:p>
    <w:p w14:paraId="24018C2E" w14:textId="77777777" w:rsidR="001C08A5" w:rsidRDefault="00000000">
      <w:pPr>
        <w:widowControl w:val="0"/>
        <w:numPr>
          <w:ilvl w:val="3"/>
          <w:numId w:val="10"/>
        </w:numPr>
        <w:jc w:val="both"/>
        <w:rPr>
          <w:i/>
          <w:iCs/>
          <w:sz w:val="24"/>
          <w:szCs w:val="24"/>
        </w:rPr>
      </w:pPr>
      <w:r>
        <w:rPr>
          <w:i/>
          <w:iCs/>
          <w:sz w:val="24"/>
          <w:szCs w:val="24"/>
        </w:rPr>
        <w:t>Încăperile tip ”open space” cu aglomerări de persoane se prevăd cu instalaţii de detectare, semnalizare şi alarmare la incendiu cu acoperire totală si nu se recomandă a fi dispuse în spații care nu sunt prevăzute cu instalaţii automate de stingere a incendiilor.</w:t>
      </w:r>
    </w:p>
    <w:p w14:paraId="6A6B826C" w14:textId="77777777" w:rsidR="001C08A5" w:rsidRDefault="00000000">
      <w:pPr>
        <w:widowControl w:val="0"/>
        <w:numPr>
          <w:ilvl w:val="3"/>
          <w:numId w:val="10"/>
        </w:numPr>
        <w:jc w:val="both"/>
        <w:rPr>
          <w:i/>
          <w:iCs/>
          <w:sz w:val="24"/>
          <w:szCs w:val="24"/>
        </w:rPr>
      </w:pPr>
      <w:r>
        <w:rPr>
          <w:i/>
          <w:iCs/>
          <w:sz w:val="24"/>
          <w:szCs w:val="24"/>
        </w:rPr>
        <w:t>Nu se admit grupări tip “open space” care includ săli aglomerate, cu excepția clădirilor de comerț prevazute în normativ.</w:t>
      </w:r>
    </w:p>
    <w:p w14:paraId="3977658B" w14:textId="77777777" w:rsidR="001C08A5" w:rsidRDefault="00000000">
      <w:pPr>
        <w:widowControl w:val="0"/>
        <w:numPr>
          <w:ilvl w:val="3"/>
          <w:numId w:val="10"/>
        </w:numPr>
        <w:jc w:val="both"/>
        <w:rPr>
          <w:i/>
          <w:iCs/>
          <w:sz w:val="24"/>
          <w:szCs w:val="24"/>
          <w:shd w:val="clear" w:color="auto" w:fill="FFFFFF"/>
          <w:lang w:eastAsia="zh-CN"/>
        </w:rPr>
      </w:pPr>
      <w:r>
        <w:rPr>
          <w:i/>
          <w:iCs/>
          <w:sz w:val="24"/>
          <w:szCs w:val="24"/>
        </w:rPr>
        <w:t>Nu se admit grupări tip ”open space” în clădiri destinate persoanelor care nu se pot evacua singure,</w:t>
      </w:r>
      <w:r>
        <w:rPr>
          <w:i/>
          <w:iCs/>
          <w:sz w:val="24"/>
          <w:szCs w:val="24"/>
          <w:shd w:val="clear" w:color="auto" w:fill="FFFFFF"/>
          <w:lang w:eastAsia="zh-CN"/>
        </w:rPr>
        <w:t xml:space="preserve"> cu excepția celor explicit nominalizate in prezentul normativ la clădirile cu funcțiunea de sănătate.</w:t>
      </w:r>
    </w:p>
    <w:p w14:paraId="347F4616" w14:textId="77777777" w:rsidR="001C08A5" w:rsidRDefault="00000000">
      <w:pPr>
        <w:widowControl w:val="0"/>
        <w:numPr>
          <w:ilvl w:val="3"/>
          <w:numId w:val="10"/>
        </w:numPr>
        <w:jc w:val="both"/>
        <w:rPr>
          <w:i/>
          <w:iCs/>
          <w:sz w:val="24"/>
          <w:szCs w:val="24"/>
          <w:shd w:val="clear" w:color="auto" w:fill="FFFFFF"/>
          <w:lang w:eastAsia="zh-CN"/>
        </w:rPr>
      </w:pPr>
      <w:r>
        <w:rPr>
          <w:i/>
          <w:iCs/>
          <w:sz w:val="24"/>
          <w:szCs w:val="24"/>
          <w:shd w:val="clear" w:color="auto" w:fill="FFFFFF"/>
          <w:lang w:eastAsia="zh-CN"/>
        </w:rPr>
        <w:t xml:space="preserve">Incăperile de dormit (dormitoare comune) sau cu locuri de dormit sau spitalizare (saloane, rezerve din clădiri de sănătate, cabinete medicale, etc.), </w:t>
      </w:r>
      <w:r>
        <w:rPr>
          <w:i/>
          <w:iCs/>
          <w:sz w:val="24"/>
          <w:szCs w:val="24"/>
        </w:rPr>
        <w:t xml:space="preserve">spatiile de dormit (chilii) situate în ansambluri mănăstireşti, încăperile de </w:t>
      </w:r>
      <w:r>
        <w:rPr>
          <w:i/>
          <w:iCs/>
          <w:sz w:val="24"/>
          <w:szCs w:val="24"/>
        </w:rPr>
        <w:lastRenderedPageBreak/>
        <w:t xml:space="preserve">dormit din hoteluri, hosteluri, moteluri, vile, bungalouri, cabane, pensiuni etc., sau cele situate în afara zonelor construite ale localităţilor (cabane, refugii, hoteluri, moteluri, pensiuni, sanatorii etc.), spitale și altele similare, cămine / dormitoare comune ori camere de cămin / internat, </w:t>
      </w:r>
      <w:r>
        <w:rPr>
          <w:i/>
          <w:iCs/>
          <w:sz w:val="24"/>
          <w:szCs w:val="24"/>
          <w:shd w:val="clear" w:color="auto" w:fill="FFFFFF"/>
          <w:lang w:eastAsia="zh-CN"/>
        </w:rPr>
        <w:t>nu se pot constitui în spații deschise de tip open space, acestea trebuind să fie delimitate între ele (prin minimum pereti neportanţi despărţitori interiori cu rol de limitare a propagării focului (</w:t>
      </w:r>
      <w:r>
        <w:rPr>
          <w:b/>
          <w:bCs/>
          <w:i/>
          <w:iCs/>
          <w:sz w:val="24"/>
          <w:szCs w:val="24"/>
          <w:shd w:val="clear" w:color="auto" w:fill="FFFFFF"/>
          <w:lang w:eastAsia="zh-CN"/>
        </w:rPr>
        <w:t>EI</w:t>
      </w:r>
      <w:r>
        <w:rPr>
          <w:i/>
          <w:iCs/>
          <w:sz w:val="24"/>
          <w:szCs w:val="24"/>
          <w:shd w:val="clear" w:color="auto" w:fill="FFFFFF"/>
          <w:lang w:eastAsia="zh-CN"/>
        </w:rPr>
        <w:t>) ) precum și la limita către căile de circulație comune conform încadrării construcţiei/compartimentului de incendiu în nivel de stabilitate.</w:t>
      </w:r>
    </w:p>
    <w:p w14:paraId="11B08380" w14:textId="77777777" w:rsidR="001C08A5" w:rsidRDefault="00000000">
      <w:pPr>
        <w:widowControl w:val="0"/>
        <w:numPr>
          <w:ilvl w:val="3"/>
          <w:numId w:val="10"/>
        </w:numPr>
        <w:jc w:val="both"/>
        <w:rPr>
          <w:i/>
          <w:iCs/>
          <w:sz w:val="24"/>
          <w:szCs w:val="24"/>
          <w:shd w:val="clear" w:color="auto" w:fill="FFFFFF"/>
          <w:lang w:eastAsia="zh-CN"/>
        </w:rPr>
      </w:pPr>
      <w:r>
        <w:rPr>
          <w:i/>
          <w:iCs/>
          <w:sz w:val="24"/>
          <w:szCs w:val="24"/>
        </w:rPr>
        <w:t>Grupările de încăperi cu același risc de incendiu și aceeasi destinație (proprie sau complementară) de tip open space se compartimentează între ele și la limita față de circulațiile comune de evacuare (coridoare, degajamente protejate, încaperi tampon protejate sau neprotejate, scări închise, etc.) precum și față de spații cu risc diferit de incendiu (conform densităţilor sarcinilor termice (</w:t>
      </w:r>
      <w:r>
        <w:rPr>
          <w:b/>
          <w:bCs/>
          <w:i/>
          <w:iCs/>
          <w:sz w:val="24"/>
          <w:szCs w:val="24"/>
        </w:rPr>
        <w:t>q</w:t>
      </w:r>
      <w:r>
        <w:rPr>
          <w:i/>
          <w:iCs/>
          <w:sz w:val="24"/>
          <w:szCs w:val="24"/>
        </w:rPr>
        <w:t>) din spaţiile adiacente şi/sau densităţilor sarcinilor termice (</w:t>
      </w:r>
      <w:r>
        <w:rPr>
          <w:b/>
          <w:bCs/>
          <w:i/>
          <w:iCs/>
          <w:sz w:val="24"/>
          <w:szCs w:val="24"/>
        </w:rPr>
        <w:t>q</w:t>
      </w:r>
      <w:r>
        <w:rPr>
          <w:i/>
          <w:iCs/>
          <w:sz w:val="24"/>
          <w:szCs w:val="24"/>
        </w:rPr>
        <w:t xml:space="preserve">) cele mai mari din spaţiile pe care le despart și/ sau cele cu risc diferit de incendiu provenit din funcțiune), în funcție de încadrarea acestora în funcțiuni sau tip de construcție, </w:t>
      </w:r>
      <w:r>
        <w:rPr>
          <w:b/>
          <w:bCs/>
          <w:i/>
          <w:iCs/>
          <w:sz w:val="24"/>
          <w:szCs w:val="24"/>
        </w:rPr>
        <w:t xml:space="preserve">prin </w:t>
      </w:r>
      <w:r>
        <w:rPr>
          <w:b/>
          <w:bCs/>
          <w:i/>
          <w:iCs/>
          <w:sz w:val="24"/>
          <w:szCs w:val="24"/>
          <w:shd w:val="clear" w:color="auto" w:fill="FFFFFF"/>
          <w:lang w:eastAsia="zh-CN"/>
        </w:rPr>
        <w:t xml:space="preserve">pereţi </w:t>
      </w:r>
      <w:hyperlink r:id="rId84" w:history="1">
        <w:r>
          <w:rPr>
            <w:b/>
            <w:bCs/>
            <w:i/>
            <w:iCs/>
            <w:sz w:val="24"/>
            <w:szCs w:val="24"/>
            <w:shd w:val="clear" w:color="auto" w:fill="FFFFFF"/>
            <w:lang w:eastAsia="zh-CN"/>
          </w:rPr>
          <w:t>de</w:t>
        </w:r>
      </w:hyperlink>
      <w:r>
        <w:rPr>
          <w:b/>
          <w:bCs/>
          <w:i/>
          <w:iCs/>
          <w:sz w:val="24"/>
          <w:szCs w:val="24"/>
          <w:shd w:val="clear" w:color="auto" w:fill="FFFFFF"/>
          <w:lang w:eastAsia="zh-CN"/>
        </w:rPr>
        <w:t> sectorizare cu rol de limitare a propagării focului</w:t>
      </w:r>
      <w:r>
        <w:rPr>
          <w:i/>
          <w:iCs/>
          <w:sz w:val="24"/>
          <w:szCs w:val="24"/>
          <w:shd w:val="clear" w:color="auto" w:fill="FFFFFF"/>
          <w:lang w:eastAsia="zh-CN"/>
        </w:rPr>
        <w:t xml:space="preserve"> </w:t>
      </w:r>
      <w:r>
        <w:rPr>
          <w:b/>
          <w:bCs/>
          <w:i/>
          <w:iCs/>
          <w:sz w:val="24"/>
          <w:szCs w:val="24"/>
          <w:shd w:val="clear" w:color="auto" w:fill="FFFFFF"/>
          <w:lang w:eastAsia="zh-CN"/>
        </w:rPr>
        <w:t>REI/EI</w:t>
      </w:r>
      <w:r>
        <w:rPr>
          <w:i/>
          <w:iCs/>
          <w:sz w:val="24"/>
          <w:szCs w:val="24"/>
          <w:shd w:val="clear" w:color="auto" w:fill="FFFFFF"/>
          <w:lang w:eastAsia="zh-CN"/>
        </w:rPr>
        <w:t xml:space="preserve"> (de protecție contra incendiilor care limitează propagarea în interiorul compartimentelor de incendiu), conform încadrării construcţiei/ compartimentului de incendiu în nivelul de stabilitate la incendiu</w:t>
      </w:r>
      <w:r>
        <w:rPr>
          <w:i/>
          <w:iCs/>
          <w:sz w:val="24"/>
          <w:szCs w:val="24"/>
        </w:rPr>
        <w:t xml:space="preserve">, </w:t>
      </w:r>
      <w:r>
        <w:rPr>
          <w:b/>
          <w:bCs/>
          <w:i/>
          <w:iCs/>
          <w:sz w:val="24"/>
          <w:szCs w:val="24"/>
          <w:shd w:val="clear" w:color="auto" w:fill="FFFFFF"/>
          <w:lang w:eastAsia="zh-CN"/>
        </w:rPr>
        <w:t>dacă densitatea sarcinii termice din spațiile adiacente nu genereaza performanțe mai mari</w:t>
      </w:r>
      <w:r>
        <w:rPr>
          <w:i/>
          <w:iCs/>
          <w:sz w:val="24"/>
          <w:szCs w:val="24"/>
          <w:shd w:val="clear" w:color="auto" w:fill="FFFFFF"/>
          <w:lang w:eastAsia="zh-CN"/>
        </w:rPr>
        <w:t>.</w:t>
      </w:r>
    </w:p>
    <w:p w14:paraId="3BB1803F" w14:textId="77777777" w:rsidR="001C08A5" w:rsidRDefault="00000000">
      <w:pPr>
        <w:widowControl w:val="0"/>
        <w:numPr>
          <w:ilvl w:val="3"/>
          <w:numId w:val="10"/>
        </w:numPr>
        <w:jc w:val="both"/>
        <w:rPr>
          <w:i/>
          <w:iCs/>
          <w:sz w:val="24"/>
          <w:szCs w:val="24"/>
        </w:rPr>
      </w:pPr>
      <w:r>
        <w:rPr>
          <w:i/>
          <w:iCs/>
          <w:sz w:val="24"/>
          <w:szCs w:val="24"/>
        </w:rPr>
        <w:t>Fiecare grupare de încăperi cu același risc de incendiu și aceeasi destinație (proprie sau complementară de tip open space, cu excepția celor prezentate la alineatele anterioare) compartimentate cu panouri opace sau vitrate, fixe sau mobile folosite ca separări funcționale și/sau izolante fonic sau pereţi interiori despărţitori funcţionali se admit în limita următoarelor arii construite:</w:t>
      </w:r>
    </w:p>
    <w:p w14:paraId="2391B3F3" w14:textId="77777777" w:rsidR="001C08A5" w:rsidRDefault="00000000">
      <w:pPr>
        <w:ind w:left="1440" w:firstLine="720"/>
        <w:jc w:val="both"/>
        <w:rPr>
          <w:i/>
          <w:iCs/>
          <w:sz w:val="24"/>
          <w:szCs w:val="24"/>
          <w:lang w:eastAsia="zh-CN"/>
        </w:rPr>
      </w:pPr>
      <w:r>
        <w:rPr>
          <w:i/>
          <w:iCs/>
          <w:sz w:val="24"/>
          <w:szCs w:val="24"/>
          <w:lang w:eastAsia="zh-CN"/>
        </w:rPr>
        <w:t xml:space="preserve">- nelimitat, cu condiția ca aria construită a încăperilor de tip open space să fie de maximum </w:t>
      </w:r>
      <w:r>
        <w:rPr>
          <w:b/>
          <w:bCs/>
          <w:i/>
          <w:iCs/>
          <w:sz w:val="24"/>
          <w:szCs w:val="24"/>
          <w:lang w:eastAsia="zh-CN"/>
        </w:rPr>
        <w:t>75%</w:t>
      </w:r>
      <w:r>
        <w:rPr>
          <w:i/>
          <w:iCs/>
          <w:sz w:val="24"/>
          <w:szCs w:val="24"/>
          <w:lang w:eastAsia="zh-CN"/>
        </w:rPr>
        <w:t xml:space="preserve"> din cea a ariei construite a nivelului respectiv pentru construcții încadrate în nivelul </w:t>
      </w:r>
      <w:r>
        <w:rPr>
          <w:b/>
          <w:bCs/>
          <w:i/>
          <w:iCs/>
          <w:sz w:val="24"/>
          <w:szCs w:val="24"/>
          <w:lang w:eastAsia="zh-CN"/>
        </w:rPr>
        <w:t>I</w:t>
      </w:r>
      <w:r>
        <w:rPr>
          <w:i/>
          <w:iCs/>
          <w:sz w:val="24"/>
          <w:szCs w:val="24"/>
          <w:lang w:eastAsia="zh-CN"/>
        </w:rPr>
        <w:t xml:space="preserve"> de stabilitate la incendiu;</w:t>
      </w:r>
    </w:p>
    <w:p w14:paraId="27B13A8F" w14:textId="77777777" w:rsidR="001C08A5" w:rsidRDefault="00000000">
      <w:pPr>
        <w:ind w:left="1440" w:firstLine="720"/>
        <w:jc w:val="both"/>
        <w:rPr>
          <w:i/>
          <w:iCs/>
          <w:sz w:val="24"/>
          <w:szCs w:val="24"/>
          <w:lang w:eastAsia="zh-CN"/>
        </w:rPr>
      </w:pPr>
      <w:r>
        <w:rPr>
          <w:i/>
          <w:iCs/>
          <w:sz w:val="24"/>
          <w:szCs w:val="24"/>
          <w:lang w:eastAsia="zh-CN"/>
        </w:rPr>
        <w:t xml:space="preserve">- maximum </w:t>
      </w:r>
      <w:r>
        <w:rPr>
          <w:b/>
          <w:bCs/>
          <w:i/>
          <w:iCs/>
          <w:sz w:val="24"/>
          <w:szCs w:val="24"/>
          <w:lang w:eastAsia="zh-CN"/>
        </w:rPr>
        <w:t xml:space="preserve">400 </w:t>
      </w:r>
      <w:r>
        <w:rPr>
          <w:b/>
          <w:sz w:val="24"/>
          <w:szCs w:val="24"/>
        </w:rPr>
        <w:t>m²</w:t>
      </w:r>
      <w:r>
        <w:rPr>
          <w:b/>
          <w:bCs/>
          <w:i/>
          <w:iCs/>
          <w:sz w:val="24"/>
          <w:szCs w:val="24"/>
          <w:lang w:eastAsia="zh-CN"/>
        </w:rPr>
        <w:t xml:space="preserve"> </w:t>
      </w:r>
      <w:r>
        <w:rPr>
          <w:i/>
          <w:iCs/>
          <w:sz w:val="24"/>
          <w:szCs w:val="24"/>
        </w:rPr>
        <w:t>fiecare grupare</w:t>
      </w:r>
      <w:r>
        <w:rPr>
          <w:i/>
          <w:iCs/>
          <w:sz w:val="24"/>
          <w:szCs w:val="24"/>
          <w:lang w:eastAsia="zh-CN"/>
        </w:rPr>
        <w:t xml:space="preserve">, cu condiția ca aria construită a tuturor grupărilor de pe nivel (de tip open space) sa fie de maximum </w:t>
      </w:r>
      <w:r>
        <w:rPr>
          <w:b/>
          <w:bCs/>
          <w:i/>
          <w:iCs/>
          <w:sz w:val="24"/>
          <w:szCs w:val="24"/>
          <w:lang w:eastAsia="zh-CN"/>
        </w:rPr>
        <w:t>75%</w:t>
      </w:r>
      <w:r>
        <w:rPr>
          <w:i/>
          <w:iCs/>
          <w:sz w:val="24"/>
          <w:szCs w:val="24"/>
          <w:lang w:eastAsia="zh-CN"/>
        </w:rPr>
        <w:t xml:space="preserve"> din cea a ariei construite a nivelului respectiv pentru construcții încadrate în nivelul </w:t>
      </w:r>
      <w:r>
        <w:rPr>
          <w:b/>
          <w:bCs/>
          <w:i/>
          <w:iCs/>
          <w:sz w:val="24"/>
          <w:szCs w:val="24"/>
          <w:lang w:eastAsia="zh-CN"/>
        </w:rPr>
        <w:t>II</w:t>
      </w:r>
      <w:r>
        <w:rPr>
          <w:i/>
          <w:iCs/>
          <w:sz w:val="24"/>
          <w:szCs w:val="24"/>
          <w:lang w:eastAsia="zh-CN"/>
        </w:rPr>
        <w:t xml:space="preserve"> de stabilitate la incendiu;</w:t>
      </w:r>
    </w:p>
    <w:p w14:paraId="55204C26" w14:textId="77777777" w:rsidR="001C08A5" w:rsidRDefault="00000000">
      <w:pPr>
        <w:ind w:left="1440" w:firstLine="720"/>
        <w:jc w:val="both"/>
        <w:rPr>
          <w:i/>
          <w:iCs/>
          <w:sz w:val="24"/>
          <w:szCs w:val="24"/>
          <w:lang w:eastAsia="zh-CN"/>
        </w:rPr>
      </w:pPr>
      <w:r>
        <w:rPr>
          <w:i/>
          <w:iCs/>
          <w:sz w:val="24"/>
          <w:szCs w:val="24"/>
          <w:lang w:eastAsia="zh-CN"/>
        </w:rPr>
        <w:t xml:space="preserve">- maximum </w:t>
      </w:r>
      <w:r>
        <w:rPr>
          <w:b/>
          <w:bCs/>
          <w:i/>
          <w:iCs/>
          <w:sz w:val="24"/>
          <w:szCs w:val="24"/>
          <w:lang w:eastAsia="zh-CN"/>
        </w:rPr>
        <w:t xml:space="preserve">200 </w:t>
      </w:r>
      <w:r>
        <w:rPr>
          <w:b/>
          <w:sz w:val="24"/>
          <w:szCs w:val="24"/>
        </w:rPr>
        <w:t>m²</w:t>
      </w:r>
      <w:r>
        <w:rPr>
          <w:b/>
          <w:bCs/>
          <w:i/>
          <w:iCs/>
          <w:sz w:val="24"/>
          <w:szCs w:val="24"/>
          <w:lang w:eastAsia="zh-CN"/>
        </w:rPr>
        <w:t xml:space="preserve"> </w:t>
      </w:r>
      <w:r>
        <w:rPr>
          <w:i/>
          <w:iCs/>
          <w:sz w:val="24"/>
          <w:szCs w:val="24"/>
        </w:rPr>
        <w:t>fiecare grupare</w:t>
      </w:r>
      <w:r>
        <w:rPr>
          <w:i/>
          <w:iCs/>
          <w:sz w:val="24"/>
          <w:szCs w:val="24"/>
          <w:lang w:eastAsia="zh-CN"/>
        </w:rPr>
        <w:t xml:space="preserve">, cu condiția ca aria construită a tuturor grupărilor de pe nivel (de tip open space) sa fie de maximum </w:t>
      </w:r>
      <w:r>
        <w:rPr>
          <w:b/>
          <w:bCs/>
          <w:i/>
          <w:iCs/>
          <w:sz w:val="24"/>
          <w:szCs w:val="24"/>
          <w:lang w:eastAsia="zh-CN"/>
        </w:rPr>
        <w:t>50%</w:t>
      </w:r>
      <w:r>
        <w:rPr>
          <w:i/>
          <w:iCs/>
          <w:sz w:val="24"/>
          <w:szCs w:val="24"/>
          <w:lang w:eastAsia="zh-CN"/>
        </w:rPr>
        <w:t xml:space="preserve"> din cea a ariei construite a nivelului respectiv pentru construcții încadrate în nivelul </w:t>
      </w:r>
      <w:r>
        <w:rPr>
          <w:b/>
          <w:bCs/>
          <w:i/>
          <w:iCs/>
          <w:sz w:val="24"/>
          <w:szCs w:val="24"/>
          <w:lang w:eastAsia="zh-CN"/>
        </w:rPr>
        <w:t>III</w:t>
      </w:r>
      <w:r>
        <w:rPr>
          <w:i/>
          <w:iCs/>
          <w:sz w:val="24"/>
          <w:szCs w:val="24"/>
          <w:lang w:eastAsia="zh-CN"/>
        </w:rPr>
        <w:t xml:space="preserve"> de stabilitate la incendiu;</w:t>
      </w:r>
    </w:p>
    <w:p w14:paraId="53164397" w14:textId="77777777" w:rsidR="001C08A5" w:rsidRDefault="00000000">
      <w:pPr>
        <w:ind w:left="1440" w:firstLine="720"/>
        <w:jc w:val="both"/>
        <w:rPr>
          <w:i/>
          <w:iCs/>
          <w:sz w:val="24"/>
          <w:szCs w:val="24"/>
          <w:lang w:eastAsia="zh-CN"/>
        </w:rPr>
      </w:pPr>
      <w:r>
        <w:rPr>
          <w:i/>
          <w:iCs/>
          <w:sz w:val="24"/>
          <w:szCs w:val="24"/>
          <w:lang w:eastAsia="zh-CN"/>
        </w:rPr>
        <w:t xml:space="preserve">- maximum </w:t>
      </w:r>
      <w:r>
        <w:rPr>
          <w:b/>
          <w:bCs/>
          <w:i/>
          <w:iCs/>
          <w:sz w:val="24"/>
          <w:szCs w:val="24"/>
          <w:lang w:eastAsia="zh-CN"/>
        </w:rPr>
        <w:t xml:space="preserve">100 </w:t>
      </w:r>
      <w:r>
        <w:rPr>
          <w:b/>
          <w:sz w:val="24"/>
          <w:szCs w:val="24"/>
        </w:rPr>
        <w:t>m²</w:t>
      </w:r>
      <w:r>
        <w:rPr>
          <w:b/>
          <w:bCs/>
          <w:i/>
          <w:iCs/>
          <w:sz w:val="24"/>
          <w:szCs w:val="24"/>
          <w:lang w:eastAsia="zh-CN"/>
        </w:rPr>
        <w:t xml:space="preserve"> </w:t>
      </w:r>
      <w:r>
        <w:rPr>
          <w:i/>
          <w:iCs/>
          <w:sz w:val="24"/>
          <w:szCs w:val="24"/>
        </w:rPr>
        <w:t>fiecare grupare</w:t>
      </w:r>
      <w:r>
        <w:rPr>
          <w:i/>
          <w:iCs/>
          <w:sz w:val="24"/>
          <w:szCs w:val="24"/>
          <w:lang w:eastAsia="zh-CN"/>
        </w:rPr>
        <w:t xml:space="preserve">, cu condiția ca aria construită a tuturor grupărilor de pe nivel (de tip open space) sa fie de maximum </w:t>
      </w:r>
      <w:r>
        <w:rPr>
          <w:b/>
          <w:bCs/>
          <w:i/>
          <w:iCs/>
          <w:sz w:val="24"/>
          <w:szCs w:val="24"/>
          <w:lang w:eastAsia="zh-CN"/>
        </w:rPr>
        <w:t>25%</w:t>
      </w:r>
      <w:r>
        <w:rPr>
          <w:i/>
          <w:iCs/>
          <w:sz w:val="24"/>
          <w:szCs w:val="24"/>
          <w:lang w:eastAsia="zh-CN"/>
        </w:rPr>
        <w:t xml:space="preserve"> din cea a ariei construite a nivelului respectiv pentru construcții încadrate în nivelul </w:t>
      </w:r>
      <w:r>
        <w:rPr>
          <w:b/>
          <w:bCs/>
          <w:i/>
          <w:iCs/>
          <w:sz w:val="24"/>
          <w:szCs w:val="24"/>
          <w:lang w:eastAsia="zh-CN"/>
        </w:rPr>
        <w:t>IV</w:t>
      </w:r>
      <w:r>
        <w:rPr>
          <w:i/>
          <w:iCs/>
          <w:sz w:val="24"/>
          <w:szCs w:val="24"/>
          <w:lang w:eastAsia="zh-CN"/>
        </w:rPr>
        <w:t xml:space="preserve"> de stabilitate la incendiu;</w:t>
      </w:r>
    </w:p>
    <w:p w14:paraId="182BE661" w14:textId="77777777" w:rsidR="001C08A5" w:rsidRDefault="00000000">
      <w:pPr>
        <w:ind w:left="1440" w:firstLine="720"/>
        <w:jc w:val="both"/>
        <w:rPr>
          <w:i/>
          <w:iCs/>
          <w:sz w:val="24"/>
          <w:szCs w:val="24"/>
          <w:lang w:eastAsia="zh-CN"/>
        </w:rPr>
      </w:pPr>
      <w:r>
        <w:rPr>
          <w:i/>
          <w:iCs/>
          <w:sz w:val="24"/>
          <w:szCs w:val="24"/>
          <w:lang w:eastAsia="zh-CN"/>
        </w:rPr>
        <w:t xml:space="preserve">- maximum </w:t>
      </w:r>
      <w:r>
        <w:rPr>
          <w:b/>
          <w:bCs/>
          <w:i/>
          <w:iCs/>
          <w:sz w:val="24"/>
          <w:szCs w:val="24"/>
          <w:lang w:eastAsia="zh-CN"/>
        </w:rPr>
        <w:t xml:space="preserve">50 </w:t>
      </w:r>
      <w:r>
        <w:rPr>
          <w:b/>
          <w:sz w:val="24"/>
          <w:szCs w:val="24"/>
        </w:rPr>
        <w:t>m²</w:t>
      </w:r>
      <w:r>
        <w:rPr>
          <w:b/>
          <w:bCs/>
          <w:i/>
          <w:iCs/>
          <w:sz w:val="24"/>
          <w:szCs w:val="24"/>
          <w:lang w:eastAsia="zh-CN"/>
        </w:rPr>
        <w:t xml:space="preserve"> </w:t>
      </w:r>
      <w:r>
        <w:rPr>
          <w:i/>
          <w:iCs/>
          <w:sz w:val="24"/>
          <w:szCs w:val="24"/>
        </w:rPr>
        <w:t>fiecare grupare</w:t>
      </w:r>
      <w:r>
        <w:rPr>
          <w:i/>
          <w:iCs/>
          <w:sz w:val="24"/>
          <w:szCs w:val="24"/>
          <w:lang w:eastAsia="zh-CN"/>
        </w:rPr>
        <w:t xml:space="preserve">, cu condiția ca aria construită a tuturor grupărilor de pe nivel (de tip open space) sa fie de maximum </w:t>
      </w:r>
      <w:r>
        <w:rPr>
          <w:b/>
          <w:bCs/>
          <w:i/>
          <w:iCs/>
          <w:sz w:val="24"/>
          <w:szCs w:val="24"/>
          <w:lang w:eastAsia="zh-CN"/>
        </w:rPr>
        <w:t>25%</w:t>
      </w:r>
      <w:r>
        <w:rPr>
          <w:i/>
          <w:iCs/>
          <w:sz w:val="24"/>
          <w:szCs w:val="24"/>
          <w:lang w:eastAsia="zh-CN"/>
        </w:rPr>
        <w:t xml:space="preserve"> din cea a ariei construite a nivelului respectiv pentru construcții încadrate în nivelul </w:t>
      </w:r>
      <w:r>
        <w:rPr>
          <w:b/>
          <w:bCs/>
          <w:i/>
          <w:iCs/>
          <w:sz w:val="24"/>
          <w:szCs w:val="24"/>
          <w:lang w:eastAsia="zh-CN"/>
        </w:rPr>
        <w:t>V</w:t>
      </w:r>
      <w:r>
        <w:rPr>
          <w:i/>
          <w:iCs/>
          <w:sz w:val="24"/>
          <w:szCs w:val="24"/>
          <w:lang w:eastAsia="zh-CN"/>
        </w:rPr>
        <w:t xml:space="preserve"> de stabilitate la incendiu;</w:t>
      </w:r>
    </w:p>
    <w:p w14:paraId="6731C7A4" w14:textId="77777777" w:rsidR="001C08A5" w:rsidRDefault="00000000">
      <w:pPr>
        <w:widowControl w:val="0"/>
        <w:numPr>
          <w:ilvl w:val="3"/>
          <w:numId w:val="10"/>
        </w:numPr>
        <w:jc w:val="both"/>
        <w:rPr>
          <w:i/>
          <w:iCs/>
          <w:sz w:val="24"/>
          <w:szCs w:val="24"/>
        </w:rPr>
      </w:pPr>
      <w:r>
        <w:rPr>
          <w:i/>
          <w:iCs/>
          <w:sz w:val="24"/>
          <w:szCs w:val="24"/>
          <w:shd w:val="clear" w:color="auto" w:fill="FFFFFF"/>
          <w:lang w:eastAsia="zh-CN"/>
        </w:rPr>
        <w:t>G</w:t>
      </w:r>
      <w:r>
        <w:rPr>
          <w:i/>
          <w:iCs/>
          <w:sz w:val="24"/>
          <w:szCs w:val="24"/>
        </w:rPr>
        <w:t xml:space="preserve">ruparea încăperilor cu risc mic de incendiu și aceeași destinație, incluzând și destinații colaterale, inclusiv cele de comunicări funcționale orizontale (precum vestiare + grupuri sanitare; birouri + sas funcțional acces; camera RMN + camera de comanda + sas acces; cameră computer tomograf + camera de comanda + sas acces, etc.) se compartimentează în limitele suprafețelor stabilite la alineatul precedent, </w:t>
      </w:r>
      <w:r>
        <w:rPr>
          <w:b/>
          <w:bCs/>
          <w:i/>
          <w:iCs/>
          <w:sz w:val="24"/>
          <w:szCs w:val="24"/>
        </w:rPr>
        <w:t xml:space="preserve">prin </w:t>
      </w:r>
      <w:r>
        <w:rPr>
          <w:b/>
          <w:bCs/>
          <w:i/>
          <w:iCs/>
          <w:sz w:val="24"/>
          <w:szCs w:val="24"/>
          <w:shd w:val="clear" w:color="auto" w:fill="FFFFFF"/>
          <w:lang w:eastAsia="zh-CN"/>
        </w:rPr>
        <w:t xml:space="preserve">pereţi </w:t>
      </w:r>
      <w:hyperlink r:id="rId85" w:history="1">
        <w:r>
          <w:rPr>
            <w:b/>
            <w:bCs/>
            <w:i/>
            <w:iCs/>
            <w:sz w:val="24"/>
            <w:szCs w:val="24"/>
            <w:shd w:val="clear" w:color="auto" w:fill="FFFFFF"/>
            <w:lang w:eastAsia="zh-CN"/>
          </w:rPr>
          <w:t>de</w:t>
        </w:r>
      </w:hyperlink>
      <w:r>
        <w:rPr>
          <w:b/>
          <w:bCs/>
          <w:i/>
          <w:iCs/>
          <w:sz w:val="24"/>
          <w:szCs w:val="24"/>
          <w:shd w:val="clear" w:color="auto" w:fill="FFFFFF"/>
          <w:lang w:eastAsia="zh-CN"/>
        </w:rPr>
        <w:t xml:space="preserve"> sectorizare cu rol de limitare a propagării focului REI/EI </w:t>
      </w:r>
      <w:r>
        <w:rPr>
          <w:i/>
          <w:iCs/>
          <w:sz w:val="24"/>
          <w:szCs w:val="24"/>
          <w:shd w:val="clear" w:color="auto" w:fill="FFFFFF"/>
          <w:lang w:eastAsia="zh-CN"/>
        </w:rPr>
        <w:t xml:space="preserve">(de protecție contra incendiilor care limitează </w:t>
      </w:r>
      <w:r>
        <w:rPr>
          <w:i/>
          <w:iCs/>
          <w:sz w:val="24"/>
          <w:szCs w:val="24"/>
          <w:shd w:val="clear" w:color="auto" w:fill="FFFFFF"/>
          <w:lang w:eastAsia="zh-CN"/>
        </w:rPr>
        <w:lastRenderedPageBreak/>
        <w:t xml:space="preserve">propagarea în interiorul compartimentelor de incendiu), conform încadrării construcţiei/ compartimentului de incendiu în nivelul de stabilitate la incendiu, </w:t>
      </w:r>
      <w:r>
        <w:rPr>
          <w:b/>
          <w:bCs/>
          <w:i/>
          <w:iCs/>
          <w:sz w:val="24"/>
          <w:szCs w:val="24"/>
          <w:shd w:val="clear" w:color="auto" w:fill="FFFFFF"/>
          <w:lang w:eastAsia="zh-CN"/>
        </w:rPr>
        <w:t>dacă densitatea sarcinii termice din spațiile adiacente nu generează performanțe mai mari</w:t>
      </w:r>
      <w:r>
        <w:rPr>
          <w:i/>
          <w:iCs/>
          <w:sz w:val="24"/>
          <w:szCs w:val="24"/>
          <w:shd w:val="clear" w:color="auto" w:fill="FFFFFF"/>
          <w:lang w:eastAsia="zh-CN"/>
        </w:rPr>
        <w:t>.</w:t>
      </w:r>
    </w:p>
    <w:p w14:paraId="7BC4C574" w14:textId="77777777" w:rsidR="001C08A5" w:rsidRDefault="00000000">
      <w:pPr>
        <w:widowControl w:val="0"/>
        <w:tabs>
          <w:tab w:val="left" w:pos="425"/>
        </w:tabs>
        <w:jc w:val="both"/>
        <w:rPr>
          <w:i/>
          <w:iCs/>
          <w:sz w:val="24"/>
          <w:szCs w:val="24"/>
        </w:rPr>
      </w:pPr>
      <w:r>
        <w:rPr>
          <w:i/>
          <w:iCs/>
          <w:sz w:val="24"/>
          <w:szCs w:val="24"/>
          <w:shd w:val="clear" w:color="auto" w:fill="FFFFFF"/>
          <w:lang w:eastAsia="zh-CN"/>
        </w:rPr>
        <w:t>Nu sunt considerate spații open-space încăperile prevăzute în interiorul acestora cu</w:t>
      </w:r>
      <w:r>
        <w:rPr>
          <w:b/>
          <w:bCs/>
          <w:i/>
          <w:iCs/>
          <w:sz w:val="22"/>
          <w:szCs w:val="22"/>
        </w:rPr>
        <w:t xml:space="preserve"> </w:t>
      </w:r>
      <w:r>
        <w:rPr>
          <w:i/>
          <w:iCs/>
          <w:sz w:val="24"/>
          <w:szCs w:val="24"/>
        </w:rPr>
        <w:t xml:space="preserve">pereți cu performanță privind rezistența la foc (din planșeu în planșeu), </w:t>
      </w:r>
      <w:r>
        <w:rPr>
          <w:i/>
          <w:iCs/>
          <w:sz w:val="24"/>
          <w:szCs w:val="24"/>
          <w:shd w:val="clear" w:color="auto" w:fill="FFFFFF"/>
          <w:lang w:eastAsia="zh-CN"/>
        </w:rPr>
        <w:t xml:space="preserve">conform </w:t>
      </w:r>
      <w:r>
        <w:rPr>
          <w:shd w:val="clear" w:color="auto" w:fill="FFFFFF"/>
          <w:lang w:eastAsia="zh-CN"/>
        </w:rPr>
        <w:fldChar w:fldCharType="begin"/>
      </w:r>
      <w:r>
        <w:rPr>
          <w:shd w:val="clear" w:color="auto" w:fill="FFFFFF"/>
          <w:lang w:eastAsia="zh-CN"/>
        </w:rPr>
        <w:instrText xml:space="preserve"> REF _Ref6913 \h </w:instrText>
      </w:r>
      <w:r>
        <w:rPr>
          <w:shd w:val="clear" w:color="auto" w:fill="FFFFFF"/>
          <w:lang w:eastAsia="zh-CN"/>
        </w:rPr>
      </w:r>
      <w:r>
        <w:rPr>
          <w:shd w:val="clear" w:color="auto" w:fill="FFFFFF"/>
          <w:lang w:eastAsia="zh-CN"/>
        </w:rPr>
        <w:fldChar w:fldCharType="separate"/>
      </w:r>
      <w:r>
        <w:t>Figura 19</w:t>
      </w:r>
      <w:r>
        <w:rPr>
          <w:shd w:val="clear" w:color="auto" w:fill="FFFFFF"/>
          <w:lang w:eastAsia="zh-CN"/>
        </w:rPr>
        <w:fldChar w:fldCharType="end"/>
      </w:r>
      <w:r>
        <w:rPr>
          <w:b/>
          <w:bCs/>
          <w:i/>
          <w:iCs/>
          <w:sz w:val="24"/>
          <w:szCs w:val="24"/>
          <w:shd w:val="clear" w:color="auto" w:fill="FFFFFF"/>
          <w:lang w:eastAsia="zh-CN"/>
        </w:rPr>
        <w:t xml:space="preserve">. </w:t>
      </w:r>
      <w:r>
        <w:rPr>
          <w:i/>
          <w:iCs/>
          <w:sz w:val="24"/>
          <w:szCs w:val="24"/>
          <w:shd w:val="clear" w:color="auto" w:fill="FFFFFF"/>
          <w:lang w:eastAsia="zh-CN"/>
        </w:rPr>
        <w:t xml:space="preserve">Acestea se partiționează </w:t>
      </w:r>
      <w:r>
        <w:rPr>
          <w:i/>
          <w:iCs/>
          <w:sz w:val="24"/>
          <w:szCs w:val="24"/>
        </w:rPr>
        <w:t>față de încăperile adiacente prin pereți cu performanță la foc (din planșeu în planșeu), conform prevederi normate.</w:t>
      </w:r>
    </w:p>
    <w:p w14:paraId="46D7DC0A" w14:textId="77777777" w:rsidR="001C08A5" w:rsidRDefault="001C08A5">
      <w:pPr>
        <w:pStyle w:val="Default"/>
        <w:jc w:val="center"/>
        <w:rPr>
          <w:color w:val="auto"/>
        </w:rPr>
      </w:pPr>
    </w:p>
    <w:p w14:paraId="622150DC" w14:textId="77777777" w:rsidR="001C08A5" w:rsidRDefault="00000000">
      <w:pPr>
        <w:pStyle w:val="Default"/>
        <w:jc w:val="center"/>
        <w:rPr>
          <w:color w:val="auto"/>
        </w:rPr>
      </w:pPr>
      <w:r>
        <w:rPr>
          <w:noProof/>
          <w:lang w:eastAsia="ro-RO"/>
        </w:rPr>
        <w:drawing>
          <wp:inline distT="0" distB="0" distL="114300" distR="114300" wp14:anchorId="143AFBA9" wp14:editId="35D544EF">
            <wp:extent cx="4234815" cy="1796415"/>
            <wp:effectExtent l="0" t="0" r="13335" b="13335"/>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2"/>
                    <pic:cNvPicPr>
                      <a:picLocks noChangeAspect="1"/>
                    </pic:cNvPicPr>
                  </pic:nvPicPr>
                  <pic:blipFill>
                    <a:blip r:embed="rId86"/>
                    <a:srcRect l="20140" t="4236" r="23757" b="62661"/>
                    <a:stretch>
                      <a:fillRect/>
                    </a:stretch>
                  </pic:blipFill>
                  <pic:spPr>
                    <a:xfrm>
                      <a:off x="0" y="0"/>
                      <a:ext cx="4234815" cy="1796415"/>
                    </a:xfrm>
                    <a:prstGeom prst="rect">
                      <a:avLst/>
                    </a:prstGeom>
                    <a:noFill/>
                    <a:ln>
                      <a:noFill/>
                    </a:ln>
                  </pic:spPr>
                </pic:pic>
              </a:graphicData>
            </a:graphic>
          </wp:inline>
        </w:drawing>
      </w:r>
    </w:p>
    <w:p w14:paraId="3327F0F9"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Varianta a) Încăpere prevăzută cu pereți cu rezistență la foc față de încăperile adiacente: fără pardoseală supraînălțată și fără tavan (plafon) suspendat - nu creează plenum</w:t>
      </w:r>
    </w:p>
    <w:p w14:paraId="1E544D43" w14:textId="77777777" w:rsidR="001C08A5" w:rsidRDefault="001C08A5">
      <w:pPr>
        <w:pStyle w:val="Default"/>
        <w:jc w:val="center"/>
        <w:rPr>
          <w:rFonts w:ascii="Times New Roman" w:hAnsi="Times New Roman" w:cs="Times New Roman"/>
          <w:b/>
          <w:bCs/>
          <w:i/>
          <w:iCs/>
          <w:color w:val="auto"/>
          <w:sz w:val="22"/>
          <w:szCs w:val="22"/>
          <w:lang w:val="ro-RO"/>
        </w:rPr>
      </w:pPr>
    </w:p>
    <w:p w14:paraId="2324BDC9" w14:textId="77777777" w:rsidR="001C08A5" w:rsidRDefault="00000000">
      <w:pPr>
        <w:pStyle w:val="Default"/>
        <w:jc w:val="center"/>
        <w:rPr>
          <w:color w:val="auto"/>
        </w:rPr>
      </w:pPr>
      <w:r>
        <w:rPr>
          <w:noProof/>
          <w:color w:val="auto"/>
          <w:lang w:val="ro-RO" w:eastAsia="ro-RO"/>
        </w:rPr>
        <w:drawing>
          <wp:inline distT="0" distB="0" distL="114300" distR="114300" wp14:anchorId="51C243B0" wp14:editId="24AB9FFD">
            <wp:extent cx="4234815" cy="2012315"/>
            <wp:effectExtent l="0" t="0" r="13335" b="6985"/>
            <wp:docPr id="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2"/>
                    <pic:cNvPicPr>
                      <a:picLocks noChangeAspect="1"/>
                    </pic:cNvPicPr>
                  </pic:nvPicPr>
                  <pic:blipFill>
                    <a:blip r:embed="rId86"/>
                    <a:srcRect l="20140" t="45518" r="23757" b="17400"/>
                    <a:stretch>
                      <a:fillRect/>
                    </a:stretch>
                  </pic:blipFill>
                  <pic:spPr>
                    <a:xfrm>
                      <a:off x="0" y="0"/>
                      <a:ext cx="4234815" cy="2012315"/>
                    </a:xfrm>
                    <a:prstGeom prst="rect">
                      <a:avLst/>
                    </a:prstGeom>
                    <a:noFill/>
                    <a:ln>
                      <a:noFill/>
                    </a:ln>
                  </pic:spPr>
                </pic:pic>
              </a:graphicData>
            </a:graphic>
          </wp:inline>
        </w:drawing>
      </w:r>
    </w:p>
    <w:p w14:paraId="53919592"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Varianta b) Încăpere prevăzută cu pereți cu rezistență la foc față de încăperile adiacente: cu pardoseală supraînălțată și cu tavan (plafon) suspendat; s</w:t>
      </w:r>
      <w:r>
        <w:rPr>
          <w:rFonts w:ascii="Times New Roman" w:hAnsi="Times New Roman" w:cs="Times New Roman"/>
          <w:b/>
          <w:bCs/>
          <w:i/>
          <w:iCs/>
          <w:color w:val="auto"/>
          <w:sz w:val="22"/>
          <w:szCs w:val="22"/>
        </w:rPr>
        <w:t>pați</w:t>
      </w:r>
      <w:r>
        <w:rPr>
          <w:rFonts w:ascii="Times New Roman" w:hAnsi="Times New Roman" w:cs="Times New Roman"/>
          <w:b/>
          <w:bCs/>
          <w:i/>
          <w:iCs/>
          <w:color w:val="auto"/>
          <w:sz w:val="22"/>
          <w:szCs w:val="22"/>
          <w:lang w:val="ro-RO"/>
        </w:rPr>
        <w:t>ile</w:t>
      </w:r>
      <w:r>
        <w:rPr>
          <w:rFonts w:ascii="Times New Roman" w:hAnsi="Times New Roman" w:cs="Times New Roman"/>
          <w:b/>
          <w:bCs/>
          <w:i/>
          <w:iCs/>
          <w:color w:val="auto"/>
          <w:sz w:val="22"/>
          <w:szCs w:val="22"/>
        </w:rPr>
        <w:t xml:space="preserve"> din tavanul suspendat </w:t>
      </w:r>
      <w:r>
        <w:rPr>
          <w:rFonts w:ascii="Times New Roman" w:hAnsi="Times New Roman" w:cs="Times New Roman"/>
          <w:b/>
          <w:bCs/>
          <w:i/>
          <w:iCs/>
          <w:color w:val="auto"/>
          <w:sz w:val="22"/>
          <w:szCs w:val="22"/>
          <w:lang w:val="ro-RO"/>
        </w:rPr>
        <w:t>și din pardoseala supraînălțată sunt delimitate prin</w:t>
      </w:r>
      <w:r>
        <w:rPr>
          <w:rFonts w:ascii="Times New Roman" w:hAnsi="Times New Roman" w:cs="Times New Roman"/>
          <w:b/>
          <w:bCs/>
          <w:i/>
          <w:iCs/>
          <w:color w:val="auto"/>
          <w:sz w:val="22"/>
          <w:szCs w:val="22"/>
        </w:rPr>
        <w:t xml:space="preserve"> element</w:t>
      </w:r>
      <w:r>
        <w:rPr>
          <w:rFonts w:ascii="Times New Roman" w:hAnsi="Times New Roman" w:cs="Times New Roman"/>
          <w:b/>
          <w:bCs/>
          <w:i/>
          <w:iCs/>
          <w:color w:val="auto"/>
          <w:sz w:val="22"/>
          <w:szCs w:val="22"/>
          <w:lang w:val="ro-RO"/>
        </w:rPr>
        <w:t>e</w:t>
      </w:r>
      <w:r>
        <w:rPr>
          <w:rFonts w:ascii="Times New Roman" w:hAnsi="Times New Roman" w:cs="Times New Roman"/>
          <w:b/>
          <w:bCs/>
          <w:i/>
          <w:iCs/>
          <w:color w:val="auto"/>
          <w:sz w:val="22"/>
          <w:szCs w:val="22"/>
        </w:rPr>
        <w:t xml:space="preserve"> de separare (</w:t>
      </w:r>
      <w:r>
        <w:rPr>
          <w:rFonts w:ascii="Times New Roman" w:hAnsi="Times New Roman" w:cs="Times New Roman"/>
          <w:b/>
          <w:bCs/>
          <w:i/>
          <w:iCs/>
          <w:color w:val="auto"/>
          <w:sz w:val="22"/>
          <w:szCs w:val="22"/>
          <w:lang w:val="ro-RO"/>
        </w:rPr>
        <w:t>pereți cu rezistență la foc</w:t>
      </w:r>
      <w:r>
        <w:rPr>
          <w:rFonts w:ascii="Times New Roman" w:hAnsi="Times New Roman" w:cs="Times New Roman"/>
          <w:b/>
          <w:bCs/>
          <w:i/>
          <w:iCs/>
          <w:color w:val="auto"/>
          <w:sz w:val="22"/>
          <w:szCs w:val="22"/>
        </w:rPr>
        <w:t>)</w:t>
      </w:r>
      <w:r>
        <w:rPr>
          <w:rFonts w:ascii="Times New Roman" w:hAnsi="Times New Roman" w:cs="Times New Roman"/>
          <w:b/>
          <w:bCs/>
          <w:i/>
          <w:iCs/>
          <w:color w:val="auto"/>
          <w:sz w:val="22"/>
          <w:szCs w:val="22"/>
          <w:lang w:val="ro-RO"/>
        </w:rPr>
        <w:t xml:space="preserve"> față de încăperile adiacente - nu creează plenum</w:t>
      </w:r>
    </w:p>
    <w:p w14:paraId="1323DBCE" w14:textId="77777777" w:rsidR="001C08A5" w:rsidRDefault="00000000">
      <w:pPr>
        <w:pStyle w:val="Default"/>
        <w:jc w:val="both"/>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Notă: spațiile adiacente delimitate prin pereți rezistenți la foc pot avea sau nu tavane suspendate</w:t>
      </w:r>
    </w:p>
    <w:p w14:paraId="61B4388A" w14:textId="77777777" w:rsidR="001C08A5" w:rsidRDefault="001C08A5">
      <w:pPr>
        <w:pStyle w:val="Default"/>
        <w:jc w:val="both"/>
        <w:rPr>
          <w:color w:val="auto"/>
        </w:rPr>
      </w:pPr>
    </w:p>
    <w:p w14:paraId="59E9E3A4" w14:textId="77777777" w:rsidR="001C08A5" w:rsidRDefault="00000000">
      <w:pPr>
        <w:pStyle w:val="Default"/>
        <w:jc w:val="center"/>
        <w:rPr>
          <w:color w:val="auto"/>
        </w:rPr>
      </w:pPr>
      <w:r>
        <w:rPr>
          <w:noProof/>
          <w:color w:val="auto"/>
          <w:lang w:val="ro-RO" w:eastAsia="ro-RO"/>
        </w:rPr>
        <w:drawing>
          <wp:inline distT="0" distB="0" distL="114300" distR="114300" wp14:anchorId="672579B6" wp14:editId="23BB1BED">
            <wp:extent cx="4234815" cy="2022475"/>
            <wp:effectExtent l="0" t="0" r="13335" b="15875"/>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3"/>
                    <pic:cNvPicPr>
                      <a:picLocks noChangeAspect="1"/>
                    </pic:cNvPicPr>
                  </pic:nvPicPr>
                  <pic:blipFill>
                    <a:blip r:embed="rId87"/>
                    <a:srcRect l="20140" t="16850" r="23757" b="45881"/>
                    <a:stretch>
                      <a:fillRect/>
                    </a:stretch>
                  </pic:blipFill>
                  <pic:spPr>
                    <a:xfrm>
                      <a:off x="0" y="0"/>
                      <a:ext cx="4234815" cy="2022475"/>
                    </a:xfrm>
                    <a:prstGeom prst="rect">
                      <a:avLst/>
                    </a:prstGeom>
                    <a:noFill/>
                    <a:ln>
                      <a:noFill/>
                    </a:ln>
                  </pic:spPr>
                </pic:pic>
              </a:graphicData>
            </a:graphic>
          </wp:inline>
        </w:drawing>
      </w:r>
    </w:p>
    <w:p w14:paraId="7CCEFECA"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Varianta c) Încăpere prevăzută cu pereți cu rezistență la foc față de încăperile adiacente: cu pardoseală supraînălțată și fară tavan (plafon) suspendat; s</w:t>
      </w:r>
      <w:r>
        <w:rPr>
          <w:rFonts w:ascii="Times New Roman" w:hAnsi="Times New Roman" w:cs="Times New Roman"/>
          <w:b/>
          <w:bCs/>
          <w:i/>
          <w:iCs/>
          <w:color w:val="auto"/>
          <w:sz w:val="22"/>
          <w:szCs w:val="22"/>
        </w:rPr>
        <w:t>pați</w:t>
      </w:r>
      <w:r>
        <w:rPr>
          <w:rFonts w:ascii="Times New Roman" w:hAnsi="Times New Roman" w:cs="Times New Roman"/>
          <w:b/>
          <w:bCs/>
          <w:i/>
          <w:iCs/>
          <w:color w:val="auto"/>
          <w:sz w:val="22"/>
          <w:szCs w:val="22"/>
          <w:lang w:val="ro-RO"/>
        </w:rPr>
        <w:t>ile din pardoseala supraînălțată sunt delimitate prin</w:t>
      </w:r>
      <w:r>
        <w:rPr>
          <w:rFonts w:ascii="Times New Roman" w:hAnsi="Times New Roman" w:cs="Times New Roman"/>
          <w:b/>
          <w:bCs/>
          <w:i/>
          <w:iCs/>
          <w:color w:val="auto"/>
          <w:sz w:val="22"/>
          <w:szCs w:val="22"/>
        </w:rPr>
        <w:t xml:space="preserve"> element</w:t>
      </w:r>
      <w:r>
        <w:rPr>
          <w:rFonts w:ascii="Times New Roman" w:hAnsi="Times New Roman" w:cs="Times New Roman"/>
          <w:b/>
          <w:bCs/>
          <w:i/>
          <w:iCs/>
          <w:color w:val="auto"/>
          <w:sz w:val="22"/>
          <w:szCs w:val="22"/>
          <w:lang w:val="ro-RO"/>
        </w:rPr>
        <w:t>e</w:t>
      </w:r>
      <w:r>
        <w:rPr>
          <w:rFonts w:ascii="Times New Roman" w:hAnsi="Times New Roman" w:cs="Times New Roman"/>
          <w:b/>
          <w:bCs/>
          <w:i/>
          <w:iCs/>
          <w:color w:val="auto"/>
          <w:sz w:val="22"/>
          <w:szCs w:val="22"/>
        </w:rPr>
        <w:t xml:space="preserve"> de separare (</w:t>
      </w:r>
      <w:r>
        <w:rPr>
          <w:rFonts w:ascii="Times New Roman" w:hAnsi="Times New Roman" w:cs="Times New Roman"/>
          <w:b/>
          <w:bCs/>
          <w:i/>
          <w:iCs/>
          <w:color w:val="auto"/>
          <w:sz w:val="22"/>
          <w:szCs w:val="22"/>
          <w:lang w:val="ro-RO"/>
        </w:rPr>
        <w:t>pereți cu rezistență la foc</w:t>
      </w:r>
      <w:r>
        <w:rPr>
          <w:rFonts w:ascii="Times New Roman" w:hAnsi="Times New Roman" w:cs="Times New Roman"/>
          <w:b/>
          <w:bCs/>
          <w:i/>
          <w:iCs/>
          <w:color w:val="auto"/>
          <w:sz w:val="22"/>
          <w:szCs w:val="22"/>
        </w:rPr>
        <w:t>)</w:t>
      </w:r>
      <w:r>
        <w:rPr>
          <w:rFonts w:ascii="Times New Roman" w:hAnsi="Times New Roman" w:cs="Times New Roman"/>
          <w:b/>
          <w:bCs/>
          <w:i/>
          <w:iCs/>
          <w:color w:val="auto"/>
          <w:sz w:val="22"/>
          <w:szCs w:val="22"/>
          <w:lang w:val="ro-RO"/>
        </w:rPr>
        <w:t xml:space="preserve"> față de încăperile adiacente - nu creează plenum </w:t>
      </w:r>
    </w:p>
    <w:p w14:paraId="2C118106" w14:textId="77777777" w:rsidR="001C08A5" w:rsidRDefault="00000000">
      <w:pPr>
        <w:pStyle w:val="Default"/>
        <w:jc w:val="both"/>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lastRenderedPageBreak/>
        <w:t>Notă: spațiile adiacente delimitate prin pereți rezistenți la foc pot avea sau nu tavane suspendate</w:t>
      </w:r>
    </w:p>
    <w:p w14:paraId="368F7D8D" w14:textId="77777777" w:rsidR="001C08A5" w:rsidRDefault="001C08A5">
      <w:pPr>
        <w:pStyle w:val="Default"/>
        <w:jc w:val="center"/>
        <w:rPr>
          <w:color w:val="auto"/>
        </w:rPr>
      </w:pPr>
    </w:p>
    <w:p w14:paraId="39D050CE" w14:textId="77777777" w:rsidR="001C08A5" w:rsidRDefault="00000000">
      <w:pPr>
        <w:pStyle w:val="Default"/>
        <w:jc w:val="center"/>
        <w:rPr>
          <w:color w:val="auto"/>
        </w:rPr>
      </w:pPr>
      <w:r>
        <w:rPr>
          <w:noProof/>
          <w:color w:val="auto"/>
          <w:lang w:val="ro-RO" w:eastAsia="ro-RO"/>
        </w:rPr>
        <w:drawing>
          <wp:inline distT="0" distB="0" distL="114300" distR="114300" wp14:anchorId="5C2B20A6" wp14:editId="7D905A11">
            <wp:extent cx="4234815" cy="1767840"/>
            <wp:effectExtent l="0" t="0" r="13335" b="381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3"/>
                    <pic:cNvPicPr>
                      <a:picLocks noChangeAspect="1"/>
                    </pic:cNvPicPr>
                  </pic:nvPicPr>
                  <pic:blipFill>
                    <a:blip r:embed="rId87"/>
                    <a:srcRect l="20140" t="56482" r="23757" b="10941"/>
                    <a:stretch>
                      <a:fillRect/>
                    </a:stretch>
                  </pic:blipFill>
                  <pic:spPr>
                    <a:xfrm>
                      <a:off x="0" y="0"/>
                      <a:ext cx="4234815" cy="1767840"/>
                    </a:xfrm>
                    <a:prstGeom prst="rect">
                      <a:avLst/>
                    </a:prstGeom>
                    <a:noFill/>
                    <a:ln>
                      <a:noFill/>
                    </a:ln>
                  </pic:spPr>
                </pic:pic>
              </a:graphicData>
            </a:graphic>
          </wp:inline>
        </w:drawing>
      </w:r>
    </w:p>
    <w:p w14:paraId="07B8CCBA"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Varianta d) Încăpere prevăzută cu pereți cu rezistență la foc față de încăperile adiacente: fără pardoseală supraînălțată și cu tavan (plafon) suspendat; s</w:t>
      </w:r>
      <w:r>
        <w:rPr>
          <w:rFonts w:ascii="Times New Roman" w:hAnsi="Times New Roman" w:cs="Times New Roman"/>
          <w:b/>
          <w:bCs/>
          <w:i/>
          <w:iCs/>
          <w:color w:val="auto"/>
          <w:sz w:val="22"/>
          <w:szCs w:val="22"/>
        </w:rPr>
        <w:t>pați</w:t>
      </w:r>
      <w:r>
        <w:rPr>
          <w:rFonts w:ascii="Times New Roman" w:hAnsi="Times New Roman" w:cs="Times New Roman"/>
          <w:b/>
          <w:bCs/>
          <w:i/>
          <w:iCs/>
          <w:color w:val="auto"/>
          <w:sz w:val="22"/>
          <w:szCs w:val="22"/>
          <w:lang w:val="ro-RO"/>
        </w:rPr>
        <w:t xml:space="preserve">ile din </w:t>
      </w:r>
      <w:r>
        <w:rPr>
          <w:rFonts w:ascii="Times New Roman" w:hAnsi="Times New Roman" w:cs="Times New Roman"/>
          <w:b/>
          <w:bCs/>
          <w:i/>
          <w:iCs/>
          <w:color w:val="auto"/>
          <w:sz w:val="22"/>
          <w:szCs w:val="22"/>
        </w:rPr>
        <w:t>tavanul suspendat</w:t>
      </w:r>
      <w:r>
        <w:rPr>
          <w:rFonts w:ascii="Times New Roman" w:hAnsi="Times New Roman" w:cs="Times New Roman"/>
          <w:b/>
          <w:bCs/>
          <w:i/>
          <w:iCs/>
          <w:color w:val="auto"/>
          <w:sz w:val="22"/>
          <w:szCs w:val="22"/>
          <w:lang w:val="ro-RO"/>
        </w:rPr>
        <w:t xml:space="preserve"> sunt delimitate prin</w:t>
      </w:r>
      <w:r>
        <w:rPr>
          <w:rFonts w:ascii="Times New Roman" w:hAnsi="Times New Roman" w:cs="Times New Roman"/>
          <w:b/>
          <w:bCs/>
          <w:i/>
          <w:iCs/>
          <w:color w:val="auto"/>
          <w:sz w:val="22"/>
          <w:szCs w:val="22"/>
        </w:rPr>
        <w:t xml:space="preserve"> element</w:t>
      </w:r>
      <w:r>
        <w:rPr>
          <w:rFonts w:ascii="Times New Roman" w:hAnsi="Times New Roman" w:cs="Times New Roman"/>
          <w:b/>
          <w:bCs/>
          <w:i/>
          <w:iCs/>
          <w:color w:val="auto"/>
          <w:sz w:val="22"/>
          <w:szCs w:val="22"/>
          <w:lang w:val="ro-RO"/>
        </w:rPr>
        <w:t>e</w:t>
      </w:r>
      <w:r>
        <w:rPr>
          <w:rFonts w:ascii="Times New Roman" w:hAnsi="Times New Roman" w:cs="Times New Roman"/>
          <w:b/>
          <w:bCs/>
          <w:i/>
          <w:iCs/>
          <w:color w:val="auto"/>
          <w:sz w:val="22"/>
          <w:szCs w:val="22"/>
        </w:rPr>
        <w:t xml:space="preserve"> de separare (</w:t>
      </w:r>
      <w:r>
        <w:rPr>
          <w:rFonts w:ascii="Times New Roman" w:hAnsi="Times New Roman" w:cs="Times New Roman"/>
          <w:b/>
          <w:bCs/>
          <w:i/>
          <w:iCs/>
          <w:color w:val="auto"/>
          <w:sz w:val="22"/>
          <w:szCs w:val="22"/>
          <w:lang w:val="ro-RO"/>
        </w:rPr>
        <w:t>pereți cu rezistență la foc</w:t>
      </w:r>
      <w:r>
        <w:rPr>
          <w:rFonts w:ascii="Times New Roman" w:hAnsi="Times New Roman" w:cs="Times New Roman"/>
          <w:b/>
          <w:bCs/>
          <w:i/>
          <w:iCs/>
          <w:color w:val="auto"/>
          <w:sz w:val="22"/>
          <w:szCs w:val="22"/>
        </w:rPr>
        <w:t>)</w:t>
      </w:r>
      <w:r>
        <w:rPr>
          <w:rFonts w:ascii="Times New Roman" w:hAnsi="Times New Roman" w:cs="Times New Roman"/>
          <w:b/>
          <w:bCs/>
          <w:i/>
          <w:iCs/>
          <w:color w:val="auto"/>
          <w:sz w:val="22"/>
          <w:szCs w:val="22"/>
          <w:lang w:val="ro-RO"/>
        </w:rPr>
        <w:t xml:space="preserve"> față de încăperile adiacente - nu creează plenum </w:t>
      </w:r>
    </w:p>
    <w:p w14:paraId="57929F89" w14:textId="77777777" w:rsidR="001C08A5" w:rsidRDefault="00000000">
      <w:pPr>
        <w:pStyle w:val="Default"/>
        <w:jc w:val="both"/>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Notă: spațiile adiacente delimitate prin pereți rezistenți la foc pot avea sau nu tavane suspendate</w:t>
      </w:r>
    </w:p>
    <w:p w14:paraId="2EFF2BCE" w14:textId="77777777" w:rsidR="001C08A5" w:rsidRDefault="00000000">
      <w:pPr>
        <w:pStyle w:val="Caption"/>
        <w:jc w:val="center"/>
        <w:rPr>
          <w:rFonts w:cs="Times New Roman"/>
          <w:bCs/>
        </w:rPr>
      </w:pPr>
      <w:bookmarkStart w:id="422" w:name="_Ref6913"/>
      <w:bookmarkStart w:id="423" w:name="_Toc162360243"/>
      <w:r>
        <w:t xml:space="preserve">Figura </w:t>
      </w:r>
      <w:r>
        <w:fldChar w:fldCharType="begin"/>
      </w:r>
      <w:r>
        <w:instrText xml:space="preserve"> SEQ Figura \* ARABIC </w:instrText>
      </w:r>
      <w:r>
        <w:fldChar w:fldCharType="separate"/>
      </w:r>
      <w:r>
        <w:t>19</w:t>
      </w:r>
      <w:r>
        <w:fldChar w:fldCharType="end"/>
      </w:r>
      <w:bookmarkStart w:id="424" w:name="_Toc1636"/>
      <w:bookmarkStart w:id="425" w:name="_Toc13599"/>
      <w:bookmarkStart w:id="426" w:name="_Toc28658"/>
      <w:bookmarkStart w:id="427" w:name="_Toc3999"/>
      <w:bookmarkStart w:id="428" w:name="_Toc13044"/>
      <w:bookmarkStart w:id="429" w:name="_Toc21446"/>
      <w:bookmarkStart w:id="430" w:name="_Toc16931"/>
      <w:bookmarkStart w:id="431" w:name="_Toc22351"/>
      <w:bookmarkStart w:id="432" w:name="_Toc9280"/>
      <w:bookmarkStart w:id="433" w:name="_Toc7814"/>
      <w:bookmarkStart w:id="434" w:name="_Toc4186"/>
      <w:bookmarkEnd w:id="422"/>
      <w:r>
        <w:t xml:space="preserve"> - </w:t>
      </w:r>
      <w:r>
        <w:rPr>
          <w:rFonts w:cs="Times New Roman"/>
          <w:bCs/>
        </w:rPr>
        <w:t>Încăperi închise, delimitate prin pereți cu rezistență la foc față de încăperile adiacente</w:t>
      </w:r>
      <w:bookmarkEnd w:id="423"/>
      <w:bookmarkEnd w:id="424"/>
      <w:bookmarkEnd w:id="425"/>
      <w:bookmarkEnd w:id="426"/>
      <w:bookmarkEnd w:id="427"/>
      <w:bookmarkEnd w:id="428"/>
      <w:bookmarkEnd w:id="429"/>
      <w:bookmarkEnd w:id="430"/>
      <w:bookmarkEnd w:id="431"/>
      <w:bookmarkEnd w:id="432"/>
      <w:bookmarkEnd w:id="433"/>
      <w:bookmarkEnd w:id="434"/>
    </w:p>
    <w:p w14:paraId="0E4039EF" w14:textId="77777777" w:rsidR="001C08A5" w:rsidRDefault="001C08A5">
      <w:pPr>
        <w:pStyle w:val="Default"/>
        <w:jc w:val="center"/>
        <w:rPr>
          <w:rFonts w:ascii="Times New Roman" w:hAnsi="Times New Roman" w:cs="Times New Roman"/>
          <w:b/>
          <w:bCs/>
          <w:i/>
          <w:iCs/>
          <w:color w:val="auto"/>
          <w:lang w:val="ro-RO"/>
        </w:rPr>
      </w:pPr>
    </w:p>
    <w:p w14:paraId="50FB2CDC" w14:textId="77777777" w:rsidR="001C08A5" w:rsidRDefault="00000000">
      <w:pPr>
        <w:pStyle w:val="Default"/>
        <w:jc w:val="center"/>
        <w:rPr>
          <w:color w:val="auto"/>
        </w:rPr>
      </w:pPr>
      <w:r>
        <w:rPr>
          <w:noProof/>
          <w:color w:val="auto"/>
          <w:lang w:val="ro-RO" w:eastAsia="ro-RO"/>
        </w:rPr>
        <w:drawing>
          <wp:inline distT="0" distB="0" distL="114300" distR="114300" wp14:anchorId="25DC2F3F" wp14:editId="0B0D3B1D">
            <wp:extent cx="4242435" cy="2058670"/>
            <wp:effectExtent l="0" t="0" r="5715" b="17780"/>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4"/>
                    <pic:cNvPicPr>
                      <a:picLocks noChangeAspect="1"/>
                    </pic:cNvPicPr>
                  </pic:nvPicPr>
                  <pic:blipFill>
                    <a:blip r:embed="rId88"/>
                    <a:srcRect l="18196" t="3265" r="25599" b="58799"/>
                    <a:stretch>
                      <a:fillRect/>
                    </a:stretch>
                  </pic:blipFill>
                  <pic:spPr>
                    <a:xfrm>
                      <a:off x="0" y="0"/>
                      <a:ext cx="4242435" cy="2058670"/>
                    </a:xfrm>
                    <a:prstGeom prst="rect">
                      <a:avLst/>
                    </a:prstGeom>
                    <a:noFill/>
                    <a:ln>
                      <a:noFill/>
                    </a:ln>
                  </pic:spPr>
                </pic:pic>
              </a:graphicData>
            </a:graphic>
          </wp:inline>
        </w:drawing>
      </w:r>
    </w:p>
    <w:p w14:paraId="4EF4E61D"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Varianta a) Spațiu prevăzut cu separări funcționale fără rezistență la foc față de spațiile adiacente: cu pardoseală supraînălțată și cu tavan (plafon) suspendat, s</w:t>
      </w:r>
      <w:r>
        <w:rPr>
          <w:rFonts w:ascii="Times New Roman" w:hAnsi="Times New Roman" w:cs="Times New Roman"/>
          <w:b/>
          <w:bCs/>
          <w:i/>
          <w:iCs/>
          <w:color w:val="auto"/>
          <w:sz w:val="22"/>
          <w:szCs w:val="22"/>
        </w:rPr>
        <w:t>pați</w:t>
      </w:r>
      <w:r>
        <w:rPr>
          <w:rFonts w:ascii="Times New Roman" w:hAnsi="Times New Roman" w:cs="Times New Roman"/>
          <w:b/>
          <w:bCs/>
          <w:i/>
          <w:iCs/>
          <w:color w:val="auto"/>
          <w:sz w:val="22"/>
          <w:szCs w:val="22"/>
          <w:lang w:val="ro-RO"/>
        </w:rPr>
        <w:t>ile</w:t>
      </w:r>
      <w:r>
        <w:rPr>
          <w:rFonts w:ascii="Times New Roman" w:hAnsi="Times New Roman" w:cs="Times New Roman"/>
          <w:b/>
          <w:bCs/>
          <w:i/>
          <w:iCs/>
          <w:color w:val="auto"/>
          <w:sz w:val="22"/>
          <w:szCs w:val="22"/>
        </w:rPr>
        <w:t xml:space="preserve"> din tavanul suspendat</w:t>
      </w:r>
      <w:r>
        <w:rPr>
          <w:rFonts w:ascii="Times New Roman" w:hAnsi="Times New Roman" w:cs="Times New Roman"/>
          <w:b/>
          <w:bCs/>
          <w:i/>
          <w:iCs/>
          <w:color w:val="auto"/>
          <w:sz w:val="22"/>
          <w:szCs w:val="22"/>
          <w:lang w:val="ro-RO"/>
        </w:rPr>
        <w:t xml:space="preserve"> nu sunt delimitate prin pereți cu rezistență la foc față de spațiile adiacente - creează plenum prin tavanul suspendat continuu nedelimitat</w:t>
      </w:r>
    </w:p>
    <w:p w14:paraId="242CB97C" w14:textId="77777777" w:rsidR="001C08A5" w:rsidRDefault="001C08A5">
      <w:pPr>
        <w:pStyle w:val="Default"/>
        <w:jc w:val="center"/>
        <w:rPr>
          <w:rFonts w:ascii="Times New Roman" w:hAnsi="Times New Roman" w:cs="Times New Roman"/>
          <w:b/>
          <w:bCs/>
          <w:i/>
          <w:iCs/>
          <w:color w:val="auto"/>
          <w:sz w:val="22"/>
          <w:szCs w:val="22"/>
          <w:lang w:val="ro-RO"/>
        </w:rPr>
      </w:pPr>
    </w:p>
    <w:p w14:paraId="62D48071" w14:textId="77777777" w:rsidR="001C08A5" w:rsidRDefault="00000000">
      <w:pPr>
        <w:pStyle w:val="Default"/>
        <w:jc w:val="center"/>
        <w:rPr>
          <w:color w:val="auto"/>
        </w:rPr>
      </w:pPr>
      <w:r>
        <w:rPr>
          <w:noProof/>
          <w:color w:val="auto"/>
          <w:lang w:val="ro-RO" w:eastAsia="ro-RO"/>
        </w:rPr>
        <w:drawing>
          <wp:inline distT="0" distB="0" distL="114300" distR="114300" wp14:anchorId="15A175FE" wp14:editId="6E385C6D">
            <wp:extent cx="4242435" cy="1821815"/>
            <wp:effectExtent l="0" t="0" r="5715" b="6985"/>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4"/>
                    <pic:cNvPicPr>
                      <a:picLocks noChangeAspect="1"/>
                    </pic:cNvPicPr>
                  </pic:nvPicPr>
                  <pic:blipFill>
                    <a:blip r:embed="rId88"/>
                    <a:srcRect l="18196" t="42359" r="25599" b="24070"/>
                    <a:stretch>
                      <a:fillRect/>
                    </a:stretch>
                  </pic:blipFill>
                  <pic:spPr>
                    <a:xfrm>
                      <a:off x="0" y="0"/>
                      <a:ext cx="4242435" cy="1821815"/>
                    </a:xfrm>
                    <a:prstGeom prst="rect">
                      <a:avLst/>
                    </a:prstGeom>
                    <a:noFill/>
                    <a:ln>
                      <a:noFill/>
                    </a:ln>
                  </pic:spPr>
                </pic:pic>
              </a:graphicData>
            </a:graphic>
          </wp:inline>
        </w:drawing>
      </w:r>
    </w:p>
    <w:p w14:paraId="0D506A50" w14:textId="77777777" w:rsidR="001C08A5" w:rsidRDefault="00000000">
      <w:pPr>
        <w:pStyle w:val="Default"/>
        <w:jc w:val="center"/>
        <w:rPr>
          <w:color w:val="auto"/>
        </w:rPr>
      </w:pPr>
      <w:r>
        <w:rPr>
          <w:rFonts w:ascii="Times New Roman" w:hAnsi="Times New Roman" w:cs="Times New Roman"/>
          <w:b/>
          <w:bCs/>
          <w:i/>
          <w:iCs/>
          <w:color w:val="auto"/>
          <w:sz w:val="22"/>
          <w:szCs w:val="22"/>
          <w:lang w:val="ro-RO"/>
        </w:rPr>
        <w:t>Varianta b) Spațiu prevăzut cu separări funcționale fără rezistență la foc față de spațiile adiacente: fără pardoseală supraînălțată și cu tavan (plafon) suspendat, s</w:t>
      </w:r>
      <w:r>
        <w:rPr>
          <w:rFonts w:ascii="Times New Roman" w:hAnsi="Times New Roman" w:cs="Times New Roman"/>
          <w:b/>
          <w:bCs/>
          <w:i/>
          <w:iCs/>
          <w:color w:val="auto"/>
          <w:sz w:val="22"/>
          <w:szCs w:val="22"/>
        </w:rPr>
        <w:t>pați</w:t>
      </w:r>
      <w:r>
        <w:rPr>
          <w:rFonts w:ascii="Times New Roman" w:hAnsi="Times New Roman" w:cs="Times New Roman"/>
          <w:b/>
          <w:bCs/>
          <w:i/>
          <w:iCs/>
          <w:color w:val="auto"/>
          <w:sz w:val="22"/>
          <w:szCs w:val="22"/>
          <w:lang w:val="ro-RO"/>
        </w:rPr>
        <w:t>ile</w:t>
      </w:r>
      <w:r>
        <w:rPr>
          <w:rFonts w:ascii="Times New Roman" w:hAnsi="Times New Roman" w:cs="Times New Roman"/>
          <w:b/>
          <w:bCs/>
          <w:i/>
          <w:iCs/>
          <w:color w:val="auto"/>
          <w:sz w:val="22"/>
          <w:szCs w:val="22"/>
        </w:rPr>
        <w:t xml:space="preserve"> din tavanul suspendat</w:t>
      </w:r>
      <w:r>
        <w:rPr>
          <w:rFonts w:ascii="Times New Roman" w:hAnsi="Times New Roman" w:cs="Times New Roman"/>
          <w:b/>
          <w:bCs/>
          <w:i/>
          <w:iCs/>
          <w:color w:val="auto"/>
          <w:sz w:val="22"/>
          <w:szCs w:val="22"/>
          <w:lang w:val="ro-RO"/>
        </w:rPr>
        <w:t xml:space="preserve"> nu sunt delimitate prin pereți cu rezistență la foc față de spațiile adiacente - creează plenum prin tavanul suspendat continuu nedelimitat</w:t>
      </w:r>
    </w:p>
    <w:p w14:paraId="610B2AD2" w14:textId="77777777" w:rsidR="001C08A5" w:rsidRDefault="001C08A5">
      <w:pPr>
        <w:pStyle w:val="Default"/>
        <w:jc w:val="center"/>
        <w:rPr>
          <w:color w:val="auto"/>
        </w:rPr>
      </w:pPr>
    </w:p>
    <w:p w14:paraId="04769721" w14:textId="77777777" w:rsidR="001C08A5" w:rsidRDefault="00000000">
      <w:pPr>
        <w:pStyle w:val="Default"/>
        <w:jc w:val="center"/>
        <w:rPr>
          <w:color w:val="auto"/>
        </w:rPr>
      </w:pPr>
      <w:r>
        <w:rPr>
          <w:noProof/>
          <w:color w:val="auto"/>
          <w:lang w:val="ro-RO" w:eastAsia="ro-RO"/>
        </w:rPr>
        <w:lastRenderedPageBreak/>
        <w:drawing>
          <wp:inline distT="0" distB="0" distL="114300" distR="114300" wp14:anchorId="033EA28F" wp14:editId="14EEFD3A">
            <wp:extent cx="4250055" cy="2047875"/>
            <wp:effectExtent l="0" t="0" r="17145" b="9525"/>
            <wp:docPr id="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5"/>
                    <pic:cNvPicPr>
                      <a:picLocks noChangeAspect="1"/>
                    </pic:cNvPicPr>
                  </pic:nvPicPr>
                  <pic:blipFill>
                    <a:blip r:embed="rId89"/>
                    <a:srcRect l="18196" t="13948" r="25498" b="48315"/>
                    <a:stretch>
                      <a:fillRect/>
                    </a:stretch>
                  </pic:blipFill>
                  <pic:spPr>
                    <a:xfrm>
                      <a:off x="0" y="0"/>
                      <a:ext cx="4250055" cy="2047875"/>
                    </a:xfrm>
                    <a:prstGeom prst="rect">
                      <a:avLst/>
                    </a:prstGeom>
                    <a:noFill/>
                    <a:ln>
                      <a:noFill/>
                    </a:ln>
                  </pic:spPr>
                </pic:pic>
              </a:graphicData>
            </a:graphic>
          </wp:inline>
        </w:drawing>
      </w:r>
    </w:p>
    <w:p w14:paraId="5490827C" w14:textId="77777777" w:rsidR="001C08A5" w:rsidRDefault="00000000">
      <w:pPr>
        <w:pStyle w:val="Default"/>
        <w:jc w:val="center"/>
        <w:rPr>
          <w:color w:val="auto"/>
          <w:lang w:val="ro-RO"/>
        </w:rPr>
      </w:pPr>
      <w:r>
        <w:rPr>
          <w:rFonts w:ascii="Times New Roman" w:hAnsi="Times New Roman" w:cs="Times New Roman"/>
          <w:b/>
          <w:bCs/>
          <w:i/>
          <w:iCs/>
          <w:color w:val="auto"/>
          <w:sz w:val="22"/>
          <w:szCs w:val="22"/>
          <w:lang w:val="ro-RO"/>
        </w:rPr>
        <w:t>Varianta c) Spațiu prevăzut cu separări funcționale fără rezistență la foc față de spațiile adiacente: cu pardoseală supraînălțată și cu tavan (plafon) suspendat, s</w:t>
      </w:r>
      <w:r>
        <w:rPr>
          <w:rFonts w:ascii="Times New Roman" w:hAnsi="Times New Roman" w:cs="Times New Roman"/>
          <w:b/>
          <w:bCs/>
          <w:i/>
          <w:iCs/>
          <w:color w:val="auto"/>
          <w:sz w:val="22"/>
          <w:szCs w:val="22"/>
        </w:rPr>
        <w:t>pați</w:t>
      </w:r>
      <w:r>
        <w:rPr>
          <w:rFonts w:ascii="Times New Roman" w:hAnsi="Times New Roman" w:cs="Times New Roman"/>
          <w:b/>
          <w:bCs/>
          <w:i/>
          <w:iCs/>
          <w:color w:val="auto"/>
          <w:sz w:val="22"/>
          <w:szCs w:val="22"/>
          <w:lang w:val="ro-RO"/>
        </w:rPr>
        <w:t>ile</w:t>
      </w:r>
      <w:r>
        <w:rPr>
          <w:rFonts w:ascii="Times New Roman" w:hAnsi="Times New Roman" w:cs="Times New Roman"/>
          <w:b/>
          <w:bCs/>
          <w:i/>
          <w:iCs/>
          <w:color w:val="auto"/>
          <w:sz w:val="22"/>
          <w:szCs w:val="22"/>
        </w:rPr>
        <w:t xml:space="preserve"> din</w:t>
      </w:r>
      <w:r>
        <w:rPr>
          <w:rFonts w:ascii="Times New Roman" w:hAnsi="Times New Roman" w:cs="Times New Roman"/>
          <w:b/>
          <w:bCs/>
          <w:i/>
          <w:iCs/>
          <w:color w:val="auto"/>
          <w:sz w:val="22"/>
          <w:szCs w:val="22"/>
          <w:lang w:val="ro-RO"/>
        </w:rPr>
        <w:t xml:space="preserve"> pardoseala supraînălțată nu sunt delimitate prin pereți cu rezistență la foc față de spațiile adiacente - creează plenum prin pardoseala supraînălțată continuă nedelimitată</w:t>
      </w:r>
    </w:p>
    <w:p w14:paraId="46EAC369" w14:textId="77777777" w:rsidR="001C08A5" w:rsidRDefault="001C08A5">
      <w:pPr>
        <w:pStyle w:val="Default"/>
        <w:jc w:val="center"/>
        <w:rPr>
          <w:color w:val="auto"/>
        </w:rPr>
      </w:pPr>
    </w:p>
    <w:p w14:paraId="3757705B" w14:textId="77777777" w:rsidR="001C08A5" w:rsidRDefault="00000000">
      <w:pPr>
        <w:pStyle w:val="Default"/>
        <w:jc w:val="center"/>
        <w:rPr>
          <w:color w:val="auto"/>
        </w:rPr>
      </w:pPr>
      <w:r>
        <w:rPr>
          <w:noProof/>
          <w:color w:val="auto"/>
          <w:lang w:val="ro-RO" w:eastAsia="ro-RO"/>
        </w:rPr>
        <w:drawing>
          <wp:inline distT="0" distB="0" distL="114300" distR="114300" wp14:anchorId="2F75532B" wp14:editId="430472D6">
            <wp:extent cx="4250055" cy="2049145"/>
            <wp:effectExtent l="0" t="0" r="17145" b="8255"/>
            <wp:docPr id="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5"/>
                    <pic:cNvPicPr>
                      <a:picLocks noChangeAspect="1"/>
                    </pic:cNvPicPr>
                  </pic:nvPicPr>
                  <pic:blipFill>
                    <a:blip r:embed="rId89"/>
                    <a:srcRect l="18196" t="53078" r="25498" b="9162"/>
                    <a:stretch>
                      <a:fillRect/>
                    </a:stretch>
                  </pic:blipFill>
                  <pic:spPr>
                    <a:xfrm>
                      <a:off x="0" y="0"/>
                      <a:ext cx="4250055" cy="2049145"/>
                    </a:xfrm>
                    <a:prstGeom prst="rect">
                      <a:avLst/>
                    </a:prstGeom>
                    <a:noFill/>
                    <a:ln>
                      <a:noFill/>
                    </a:ln>
                  </pic:spPr>
                </pic:pic>
              </a:graphicData>
            </a:graphic>
          </wp:inline>
        </w:drawing>
      </w:r>
    </w:p>
    <w:p w14:paraId="307E2B66" w14:textId="77777777" w:rsidR="001C08A5" w:rsidRDefault="00000000">
      <w:pPr>
        <w:pStyle w:val="Default"/>
        <w:jc w:val="center"/>
        <w:rPr>
          <w:color w:val="auto"/>
          <w:lang w:val="ro-RO"/>
        </w:rPr>
      </w:pPr>
      <w:r>
        <w:rPr>
          <w:rFonts w:ascii="Times New Roman" w:hAnsi="Times New Roman" w:cs="Times New Roman"/>
          <w:b/>
          <w:bCs/>
          <w:i/>
          <w:iCs/>
          <w:color w:val="auto"/>
          <w:sz w:val="22"/>
          <w:szCs w:val="22"/>
          <w:lang w:val="ro-RO"/>
        </w:rPr>
        <w:t>Varianta d) Spațiu prevăzut cu separări funcționale fără rezistență la foc față de spațiile adiacente: cu pardoseală supraînălțată și fără tavan (plafon) suspendat, s</w:t>
      </w:r>
      <w:r>
        <w:rPr>
          <w:rFonts w:ascii="Times New Roman" w:hAnsi="Times New Roman" w:cs="Times New Roman"/>
          <w:b/>
          <w:bCs/>
          <w:i/>
          <w:iCs/>
          <w:color w:val="auto"/>
          <w:sz w:val="22"/>
          <w:szCs w:val="22"/>
        </w:rPr>
        <w:t>pați</w:t>
      </w:r>
      <w:r>
        <w:rPr>
          <w:rFonts w:ascii="Times New Roman" w:hAnsi="Times New Roman" w:cs="Times New Roman"/>
          <w:b/>
          <w:bCs/>
          <w:i/>
          <w:iCs/>
          <w:color w:val="auto"/>
          <w:sz w:val="22"/>
          <w:szCs w:val="22"/>
          <w:lang w:val="ro-RO"/>
        </w:rPr>
        <w:t>ile</w:t>
      </w:r>
      <w:r>
        <w:rPr>
          <w:rFonts w:ascii="Times New Roman" w:hAnsi="Times New Roman" w:cs="Times New Roman"/>
          <w:b/>
          <w:bCs/>
          <w:i/>
          <w:iCs/>
          <w:color w:val="auto"/>
          <w:sz w:val="22"/>
          <w:szCs w:val="22"/>
        </w:rPr>
        <w:t xml:space="preserve"> din </w:t>
      </w:r>
      <w:r>
        <w:rPr>
          <w:rFonts w:ascii="Times New Roman" w:hAnsi="Times New Roman" w:cs="Times New Roman"/>
          <w:b/>
          <w:bCs/>
          <w:i/>
          <w:iCs/>
          <w:color w:val="auto"/>
          <w:sz w:val="22"/>
          <w:szCs w:val="22"/>
          <w:lang w:val="ro-RO"/>
        </w:rPr>
        <w:t>pardoseala supraînălțată nu sunt delimitate prin pereți cu rezistență la foc față de spațiile adiacente - creează plenum prin pardoseala supraînălțată continuă nedelimitată</w:t>
      </w:r>
    </w:p>
    <w:p w14:paraId="7353C7CF" w14:textId="77777777" w:rsidR="001C08A5" w:rsidRDefault="001C08A5">
      <w:pPr>
        <w:pStyle w:val="Default"/>
        <w:jc w:val="center"/>
        <w:rPr>
          <w:color w:val="auto"/>
        </w:rPr>
      </w:pPr>
    </w:p>
    <w:p w14:paraId="702555A5" w14:textId="77777777" w:rsidR="001C08A5" w:rsidRDefault="00000000">
      <w:pPr>
        <w:pStyle w:val="Default"/>
        <w:jc w:val="center"/>
        <w:rPr>
          <w:color w:val="auto"/>
        </w:rPr>
      </w:pPr>
      <w:r>
        <w:rPr>
          <w:noProof/>
          <w:color w:val="auto"/>
          <w:lang w:val="ro-RO" w:eastAsia="ro-RO"/>
        </w:rPr>
        <w:drawing>
          <wp:inline distT="0" distB="0" distL="114300" distR="114300" wp14:anchorId="1CB649E5" wp14:editId="183D9AFA">
            <wp:extent cx="4250055" cy="2063115"/>
            <wp:effectExtent l="0" t="0" r="17145" b="13335"/>
            <wp:docPr id="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6"/>
                    <pic:cNvPicPr>
                      <a:picLocks noChangeAspect="1"/>
                    </pic:cNvPicPr>
                  </pic:nvPicPr>
                  <pic:blipFill>
                    <a:blip r:embed="rId90"/>
                    <a:srcRect l="18196" t="58027" r="25498" b="3955"/>
                    <a:stretch>
                      <a:fillRect/>
                    </a:stretch>
                  </pic:blipFill>
                  <pic:spPr>
                    <a:xfrm>
                      <a:off x="0" y="0"/>
                      <a:ext cx="4250055" cy="2063115"/>
                    </a:xfrm>
                    <a:prstGeom prst="rect">
                      <a:avLst/>
                    </a:prstGeom>
                    <a:noFill/>
                    <a:ln>
                      <a:noFill/>
                    </a:ln>
                  </pic:spPr>
                </pic:pic>
              </a:graphicData>
            </a:graphic>
          </wp:inline>
        </w:drawing>
      </w:r>
    </w:p>
    <w:p w14:paraId="6353881C" w14:textId="77777777" w:rsidR="001C08A5" w:rsidRDefault="00000000">
      <w:pPr>
        <w:pStyle w:val="Default"/>
        <w:jc w:val="center"/>
        <w:rPr>
          <w:rFonts w:ascii="Times New Roman" w:hAnsi="Times New Roman" w:cs="Times New Roman"/>
          <w:b/>
          <w:bCs/>
          <w:i/>
          <w:iCs/>
          <w:color w:val="auto"/>
        </w:rPr>
      </w:pPr>
      <w:r>
        <w:rPr>
          <w:rFonts w:ascii="Times New Roman" w:hAnsi="Times New Roman" w:cs="Times New Roman"/>
          <w:b/>
          <w:bCs/>
          <w:i/>
          <w:iCs/>
          <w:color w:val="auto"/>
          <w:sz w:val="22"/>
          <w:szCs w:val="22"/>
          <w:lang w:val="ro-RO"/>
        </w:rPr>
        <w:t>Varianta e) Spațiu prevăzut cu separări funcționale fără rezistență la foc față de spațiile adiacente: cu pardoseală supraînălțată și cu tavan (plafon) suspendat, s</w:t>
      </w:r>
      <w:r>
        <w:rPr>
          <w:rFonts w:ascii="Times New Roman" w:hAnsi="Times New Roman" w:cs="Times New Roman"/>
          <w:b/>
          <w:bCs/>
          <w:i/>
          <w:iCs/>
          <w:color w:val="auto"/>
          <w:sz w:val="22"/>
          <w:szCs w:val="22"/>
        </w:rPr>
        <w:t>pați</w:t>
      </w:r>
      <w:r>
        <w:rPr>
          <w:rFonts w:ascii="Times New Roman" w:hAnsi="Times New Roman" w:cs="Times New Roman"/>
          <w:b/>
          <w:bCs/>
          <w:i/>
          <w:iCs/>
          <w:color w:val="auto"/>
          <w:sz w:val="22"/>
          <w:szCs w:val="22"/>
          <w:lang w:val="ro-RO"/>
        </w:rPr>
        <w:t>ile</w:t>
      </w:r>
      <w:r>
        <w:rPr>
          <w:rFonts w:ascii="Times New Roman" w:hAnsi="Times New Roman" w:cs="Times New Roman"/>
          <w:b/>
          <w:bCs/>
          <w:i/>
          <w:iCs/>
          <w:color w:val="auto"/>
          <w:sz w:val="22"/>
          <w:szCs w:val="22"/>
        </w:rPr>
        <w:t xml:space="preserve"> din tavanul suspendat</w:t>
      </w:r>
      <w:r>
        <w:rPr>
          <w:rFonts w:ascii="Times New Roman" w:hAnsi="Times New Roman" w:cs="Times New Roman"/>
          <w:b/>
          <w:bCs/>
          <w:i/>
          <w:iCs/>
          <w:color w:val="auto"/>
          <w:sz w:val="22"/>
          <w:szCs w:val="22"/>
          <w:lang w:val="ro-RO"/>
        </w:rPr>
        <w:t xml:space="preserve"> și din pardoseala supraînălțată nu sunt delimitate prin pereți cu rezistență la foc față de spațiile adiacente - creează plenum prin tavanul suspendat continuu nedelimitat și prin pardoseala supraînălțată continuă nedelimitată</w:t>
      </w:r>
    </w:p>
    <w:p w14:paraId="16998D0A" w14:textId="77777777" w:rsidR="001C08A5" w:rsidRDefault="00000000">
      <w:pPr>
        <w:pStyle w:val="Caption"/>
        <w:jc w:val="center"/>
        <w:rPr>
          <w:rFonts w:cs="Times New Roman"/>
          <w:bCs/>
        </w:rPr>
      </w:pPr>
      <w:bookmarkStart w:id="435" w:name="_Ref7096"/>
      <w:bookmarkStart w:id="436" w:name="_Toc162360244"/>
      <w:r>
        <w:t xml:space="preserve">Figura </w:t>
      </w:r>
      <w:r>
        <w:fldChar w:fldCharType="begin"/>
      </w:r>
      <w:r>
        <w:instrText xml:space="preserve"> SEQ Figura \* ARABIC </w:instrText>
      </w:r>
      <w:r>
        <w:fldChar w:fldCharType="separate"/>
      </w:r>
      <w:r>
        <w:t>20</w:t>
      </w:r>
      <w:r>
        <w:fldChar w:fldCharType="end"/>
      </w:r>
      <w:bookmarkStart w:id="437" w:name="_Toc6748"/>
      <w:bookmarkStart w:id="438" w:name="_Toc7240"/>
      <w:bookmarkStart w:id="439" w:name="_Toc26253"/>
      <w:bookmarkStart w:id="440" w:name="_Toc22474"/>
      <w:bookmarkStart w:id="441" w:name="_Toc18219"/>
      <w:bookmarkStart w:id="442" w:name="_Toc26829"/>
      <w:bookmarkStart w:id="443" w:name="_Toc28572"/>
      <w:bookmarkStart w:id="444" w:name="_Toc2276"/>
      <w:bookmarkStart w:id="445" w:name="_Toc4407"/>
      <w:bookmarkStart w:id="446" w:name="_Toc14657"/>
      <w:bookmarkStart w:id="447" w:name="_Toc19818"/>
      <w:bookmarkEnd w:id="435"/>
      <w:r>
        <w:t xml:space="preserve"> - </w:t>
      </w:r>
      <w:r>
        <w:rPr>
          <w:rFonts w:cs="Times New Roman"/>
          <w:bCs/>
        </w:rPr>
        <w:t>Spații deschise de tip open space</w:t>
      </w:r>
      <w:bookmarkEnd w:id="436"/>
      <w:r>
        <w:rPr>
          <w:rFonts w:cs="Times New Roman"/>
          <w:bCs/>
        </w:rPr>
        <w:t xml:space="preserve"> </w:t>
      </w:r>
      <w:bookmarkEnd w:id="437"/>
      <w:bookmarkEnd w:id="438"/>
      <w:bookmarkEnd w:id="439"/>
      <w:bookmarkEnd w:id="440"/>
      <w:bookmarkEnd w:id="441"/>
      <w:bookmarkEnd w:id="442"/>
      <w:bookmarkEnd w:id="443"/>
      <w:bookmarkEnd w:id="444"/>
      <w:bookmarkEnd w:id="445"/>
      <w:bookmarkEnd w:id="446"/>
      <w:bookmarkEnd w:id="447"/>
    </w:p>
    <w:p w14:paraId="1BC47D92" w14:textId="77777777" w:rsidR="001C08A5" w:rsidRDefault="001C08A5">
      <w:pPr>
        <w:pStyle w:val="Default"/>
        <w:jc w:val="center"/>
        <w:rPr>
          <w:color w:val="auto"/>
          <w:lang w:val="ro-RO"/>
        </w:rPr>
      </w:pPr>
    </w:p>
    <w:p w14:paraId="5C1201B6" w14:textId="77777777" w:rsidR="001C08A5" w:rsidRDefault="00000000">
      <w:pPr>
        <w:pStyle w:val="Default"/>
        <w:jc w:val="center"/>
        <w:rPr>
          <w:color w:val="auto"/>
        </w:rPr>
      </w:pPr>
      <w:r>
        <w:rPr>
          <w:noProof/>
          <w:color w:val="auto"/>
          <w:lang w:val="ro-RO" w:eastAsia="ro-RO"/>
        </w:rPr>
        <w:lastRenderedPageBreak/>
        <w:drawing>
          <wp:inline distT="0" distB="0" distL="114300" distR="114300" wp14:anchorId="0E6F38EC" wp14:editId="5BE76FE1">
            <wp:extent cx="5793105" cy="2030730"/>
            <wp:effectExtent l="0" t="0" r="17145" b="7620"/>
            <wp:docPr id="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7"/>
                    <pic:cNvPicPr>
                      <a:picLocks noChangeAspect="1"/>
                    </pic:cNvPicPr>
                  </pic:nvPicPr>
                  <pic:blipFill>
                    <a:blip r:embed="rId91"/>
                    <a:srcRect l="14158" t="22829" r="9094" b="39750"/>
                    <a:stretch>
                      <a:fillRect/>
                    </a:stretch>
                  </pic:blipFill>
                  <pic:spPr>
                    <a:xfrm>
                      <a:off x="0" y="0"/>
                      <a:ext cx="5793105" cy="2030730"/>
                    </a:xfrm>
                    <a:prstGeom prst="rect">
                      <a:avLst/>
                    </a:prstGeom>
                    <a:noFill/>
                    <a:ln>
                      <a:noFill/>
                    </a:ln>
                  </pic:spPr>
                </pic:pic>
              </a:graphicData>
            </a:graphic>
          </wp:inline>
        </w:drawing>
      </w:r>
    </w:p>
    <w:p w14:paraId="39D87B62" w14:textId="77777777" w:rsidR="001C08A5" w:rsidRDefault="001C08A5">
      <w:pPr>
        <w:pStyle w:val="Default"/>
        <w:jc w:val="center"/>
        <w:rPr>
          <w:rFonts w:ascii="Times New Roman" w:hAnsi="Times New Roman" w:cs="Times New Roman"/>
          <w:b/>
          <w:bCs/>
          <w:i/>
          <w:iCs/>
          <w:color w:val="auto"/>
        </w:rPr>
      </w:pPr>
    </w:p>
    <w:p w14:paraId="41023764" w14:textId="77777777" w:rsidR="001C08A5" w:rsidRDefault="00000000">
      <w:pPr>
        <w:pStyle w:val="Caption"/>
        <w:jc w:val="center"/>
        <w:rPr>
          <w:rFonts w:cs="Times New Roman"/>
          <w:bCs/>
        </w:rPr>
      </w:pPr>
      <w:bookmarkStart w:id="448" w:name="_Toc162360245"/>
      <w:r>
        <w:t xml:space="preserve">Figura </w:t>
      </w:r>
      <w:r>
        <w:fldChar w:fldCharType="begin"/>
      </w:r>
      <w:r>
        <w:instrText xml:space="preserve"> SEQ Figura \* ARABIC </w:instrText>
      </w:r>
      <w:r>
        <w:fldChar w:fldCharType="separate"/>
      </w:r>
      <w:r>
        <w:t>21</w:t>
      </w:r>
      <w:r>
        <w:fldChar w:fldCharType="end"/>
      </w:r>
      <w:bookmarkStart w:id="449" w:name="_Toc4415"/>
      <w:bookmarkStart w:id="450" w:name="_Toc23193"/>
      <w:bookmarkStart w:id="451" w:name="_Toc31196"/>
      <w:bookmarkStart w:id="452" w:name="_Toc4495"/>
      <w:bookmarkStart w:id="453" w:name="_Toc12308"/>
      <w:bookmarkStart w:id="454" w:name="_Toc12105"/>
      <w:bookmarkStart w:id="455" w:name="_Toc2231"/>
      <w:bookmarkStart w:id="456" w:name="_Toc31599"/>
      <w:bookmarkStart w:id="457" w:name="_Toc24042"/>
      <w:bookmarkStart w:id="458" w:name="_Toc29652"/>
      <w:bookmarkStart w:id="459" w:name="_Toc14442"/>
      <w:r>
        <w:t xml:space="preserve"> - </w:t>
      </w:r>
      <w:r>
        <w:rPr>
          <w:rFonts w:cs="Times New Roman"/>
          <w:bCs/>
        </w:rPr>
        <w:t>Spații deschise de tip open space, delimitate prin pereți cu rezistență la foc față de încăperile adiacente</w:t>
      </w:r>
      <w:bookmarkEnd w:id="448"/>
      <w:bookmarkEnd w:id="449"/>
      <w:bookmarkEnd w:id="450"/>
      <w:bookmarkEnd w:id="451"/>
      <w:bookmarkEnd w:id="452"/>
      <w:bookmarkEnd w:id="453"/>
      <w:bookmarkEnd w:id="454"/>
      <w:bookmarkEnd w:id="455"/>
      <w:bookmarkEnd w:id="456"/>
      <w:bookmarkEnd w:id="457"/>
      <w:bookmarkEnd w:id="458"/>
      <w:bookmarkEnd w:id="459"/>
    </w:p>
    <w:p w14:paraId="0D13DA89" w14:textId="77777777" w:rsidR="001C08A5" w:rsidRDefault="001C08A5">
      <w:pPr>
        <w:pStyle w:val="BodyText"/>
        <w:jc w:val="center"/>
      </w:pPr>
    </w:p>
    <w:p w14:paraId="4DB38020" w14:textId="77777777" w:rsidR="001C08A5" w:rsidRDefault="00000000">
      <w:pPr>
        <w:numPr>
          <w:ilvl w:val="0"/>
          <w:numId w:val="10"/>
        </w:numPr>
        <w:jc w:val="both"/>
        <w:rPr>
          <w:i/>
          <w:iCs/>
          <w:sz w:val="24"/>
          <w:szCs w:val="24"/>
        </w:rPr>
      </w:pPr>
      <w:r>
        <w:rPr>
          <w:b/>
          <w:i/>
          <w:iCs/>
          <w:sz w:val="24"/>
          <w:szCs w:val="24"/>
        </w:rPr>
        <w:t>Panouri de învelitoare</w:t>
      </w:r>
      <w:r>
        <w:rPr>
          <w:i/>
          <w:iCs/>
          <w:sz w:val="24"/>
          <w:szCs w:val="24"/>
        </w:rPr>
        <w:t xml:space="preserve"> - elemente autoportante montate pe şarpantele acoperişurilor construcţiilor, cu rol de izolare hidrofugă şi după caz, termică.</w:t>
      </w:r>
    </w:p>
    <w:p w14:paraId="7A473AF7" w14:textId="77777777" w:rsidR="001C08A5" w:rsidRDefault="001C08A5">
      <w:pPr>
        <w:jc w:val="both"/>
        <w:rPr>
          <w:b/>
          <w:i/>
          <w:iCs/>
          <w:sz w:val="24"/>
          <w:szCs w:val="24"/>
        </w:rPr>
      </w:pPr>
    </w:p>
    <w:p w14:paraId="19AE12CA" w14:textId="77777777" w:rsidR="001C08A5" w:rsidRDefault="00000000">
      <w:pPr>
        <w:numPr>
          <w:ilvl w:val="0"/>
          <w:numId w:val="10"/>
        </w:numPr>
        <w:jc w:val="both"/>
        <w:rPr>
          <w:i/>
          <w:iCs/>
          <w:sz w:val="24"/>
          <w:szCs w:val="24"/>
        </w:rPr>
      </w:pPr>
      <w:r>
        <w:rPr>
          <w:b/>
          <w:bCs/>
          <w:i/>
          <w:iCs/>
          <w:sz w:val="24"/>
          <w:szCs w:val="24"/>
        </w:rPr>
        <w:t>Panou de tâmplărie</w:t>
      </w:r>
      <w:r>
        <w:rPr>
          <w:i/>
          <w:iCs/>
          <w:sz w:val="24"/>
          <w:szCs w:val="24"/>
        </w:rPr>
        <w:t xml:space="preserve"> - ramă nestructurală, fixată perimetral ori, după caz, prin ancorarea profilelor verticale sau orizontale, de structura clădirii, care conține elemente de umplere transparente și/sau opace, fixe și/sau mobile (deschizibile).</w:t>
      </w:r>
    </w:p>
    <w:p w14:paraId="46138901" w14:textId="77777777" w:rsidR="001C08A5" w:rsidRDefault="001C08A5">
      <w:pPr>
        <w:jc w:val="both"/>
        <w:rPr>
          <w:i/>
          <w:iCs/>
          <w:sz w:val="24"/>
          <w:szCs w:val="24"/>
        </w:rPr>
      </w:pPr>
    </w:p>
    <w:p w14:paraId="767BB8FC" w14:textId="77777777" w:rsidR="001C08A5" w:rsidRDefault="00000000">
      <w:pPr>
        <w:numPr>
          <w:ilvl w:val="0"/>
          <w:numId w:val="10"/>
        </w:numPr>
        <w:jc w:val="both"/>
        <w:rPr>
          <w:i/>
          <w:iCs/>
          <w:sz w:val="24"/>
          <w:szCs w:val="24"/>
        </w:rPr>
      </w:pPr>
      <w:r>
        <w:rPr>
          <w:b/>
          <w:i/>
          <w:iCs/>
          <w:sz w:val="24"/>
          <w:szCs w:val="24"/>
        </w:rPr>
        <w:t xml:space="preserve">Parcaj </w:t>
      </w:r>
      <w:r>
        <w:rPr>
          <w:i/>
          <w:iCs/>
          <w:sz w:val="24"/>
          <w:szCs w:val="24"/>
        </w:rPr>
        <w:t>- construcţie supraterană sau subterană închisă sau deschisă, cu unul sau mai multe niveluri, destinată exclusiv parcării autovehiculelor şi remorcilor acestora (în care nu se efectuează lucrări de reparaţii).</w:t>
      </w:r>
    </w:p>
    <w:p w14:paraId="0374A2A6" w14:textId="77777777" w:rsidR="001C08A5" w:rsidRDefault="00000000">
      <w:pPr>
        <w:numPr>
          <w:ilvl w:val="3"/>
          <w:numId w:val="10"/>
        </w:numPr>
        <w:jc w:val="both"/>
        <w:rPr>
          <w:i/>
          <w:iCs/>
          <w:sz w:val="24"/>
          <w:szCs w:val="24"/>
        </w:rPr>
      </w:pPr>
      <w:r>
        <w:rPr>
          <w:b/>
          <w:i/>
          <w:iCs/>
          <w:sz w:val="24"/>
          <w:szCs w:val="24"/>
        </w:rPr>
        <w:t>Parcaj închis</w:t>
      </w:r>
      <w:r>
        <w:rPr>
          <w:i/>
          <w:iCs/>
          <w:sz w:val="24"/>
          <w:szCs w:val="24"/>
        </w:rPr>
        <w:t xml:space="preserve"> - construcţie închisă cu pereţi exteriori perimetrali şi planșeu.</w:t>
      </w:r>
    </w:p>
    <w:p w14:paraId="2C905A9A" w14:textId="77777777" w:rsidR="001C08A5" w:rsidRDefault="00000000">
      <w:pPr>
        <w:widowControl w:val="0"/>
        <w:numPr>
          <w:ilvl w:val="3"/>
          <w:numId w:val="10"/>
        </w:numPr>
        <w:jc w:val="both"/>
        <w:rPr>
          <w:bCs/>
          <w:i/>
          <w:iCs/>
          <w:sz w:val="24"/>
          <w:szCs w:val="24"/>
          <w:lang w:eastAsia="ro-RO"/>
        </w:rPr>
      </w:pPr>
      <w:r>
        <w:rPr>
          <w:b/>
          <w:i/>
          <w:iCs/>
          <w:sz w:val="24"/>
          <w:szCs w:val="24"/>
        </w:rPr>
        <w:t xml:space="preserve">Parcaj deschis suprateran </w:t>
      </w:r>
      <w:r>
        <w:rPr>
          <w:i/>
          <w:iCs/>
          <w:sz w:val="24"/>
          <w:szCs w:val="24"/>
        </w:rPr>
        <w:t xml:space="preserve">- construcţie deschisă care are goluri permanent deschise pe cel puțin </w:t>
      </w:r>
      <w:r>
        <w:rPr>
          <w:b/>
          <w:bCs/>
          <w:i/>
          <w:iCs/>
          <w:sz w:val="24"/>
          <w:szCs w:val="24"/>
        </w:rPr>
        <w:t>50%</w:t>
      </w:r>
      <w:r>
        <w:rPr>
          <w:i/>
          <w:iCs/>
          <w:sz w:val="24"/>
          <w:szCs w:val="24"/>
        </w:rPr>
        <w:t xml:space="preserve"> din suprafața pereților exteriori destinată adăpostirii autovehiculelor şi remorcilor acestora (în care nu se efectuează lucrări de reparaţii). La parcajele deschise supraterane evacuarea fumului se asigură prin deschiderile perimetrale existente, în condiţiile normativului (golurile de evacuare a fumului dispuse în pereții exteriori se iau în considerare numai pentru adâncimea de maximum </w:t>
      </w:r>
      <w:r>
        <w:rPr>
          <w:b/>
          <w:bCs/>
          <w:i/>
          <w:iCs/>
          <w:sz w:val="24"/>
          <w:szCs w:val="24"/>
        </w:rPr>
        <w:t>30 m</w:t>
      </w:r>
      <w:r>
        <w:rPr>
          <w:i/>
          <w:iCs/>
          <w:sz w:val="24"/>
          <w:szCs w:val="24"/>
        </w:rPr>
        <w:t>)</w:t>
      </w:r>
    </w:p>
    <w:p w14:paraId="38F08470" w14:textId="77777777" w:rsidR="001C08A5" w:rsidRDefault="00000000">
      <w:pPr>
        <w:widowControl w:val="0"/>
        <w:numPr>
          <w:ilvl w:val="3"/>
          <w:numId w:val="10"/>
        </w:numPr>
        <w:jc w:val="both"/>
        <w:rPr>
          <w:bCs/>
          <w:i/>
          <w:iCs/>
          <w:sz w:val="24"/>
          <w:szCs w:val="24"/>
          <w:lang w:eastAsia="ro-RO"/>
        </w:rPr>
      </w:pPr>
      <w:r>
        <w:rPr>
          <w:b/>
          <w:bCs/>
          <w:i/>
          <w:iCs/>
          <w:sz w:val="24"/>
          <w:szCs w:val="24"/>
        </w:rPr>
        <w:t>Parcaj suprateran puternic ventilat natural</w:t>
      </w:r>
      <w:r>
        <w:rPr>
          <w:bCs/>
          <w:i/>
          <w:iCs/>
          <w:sz w:val="24"/>
          <w:szCs w:val="24"/>
          <w:lang w:eastAsia="ro-RO"/>
        </w:rPr>
        <w:t xml:space="preserve"> – categorie distinctă a parcajelor deschise supraterane care  îndeplineşte cumulativ următoarele condiţii: </w:t>
      </w:r>
    </w:p>
    <w:p w14:paraId="7E1582E4" w14:textId="77777777" w:rsidR="001C08A5" w:rsidRDefault="00000000">
      <w:pPr>
        <w:widowControl w:val="0"/>
        <w:numPr>
          <w:ilvl w:val="5"/>
          <w:numId w:val="10"/>
        </w:numPr>
        <w:jc w:val="both"/>
        <w:rPr>
          <w:bCs/>
          <w:i/>
          <w:iCs/>
          <w:sz w:val="24"/>
          <w:szCs w:val="24"/>
          <w:lang w:eastAsia="ro-RO"/>
        </w:rPr>
      </w:pPr>
      <w:r>
        <w:rPr>
          <w:bCs/>
          <w:i/>
          <w:iCs/>
          <w:sz w:val="24"/>
          <w:szCs w:val="24"/>
          <w:lang w:eastAsia="ro-RO"/>
        </w:rPr>
        <w:t xml:space="preserve">- pe fiecare nivel de parcare, suprafeţele libere din pereţii laterali deschişi spre exterior sunt amplasate pe cel puţin două faţade opuse şi fiecare reprezintă minimum </w:t>
      </w:r>
      <w:r>
        <w:rPr>
          <w:b/>
          <w:i/>
          <w:iCs/>
          <w:sz w:val="24"/>
          <w:szCs w:val="24"/>
          <w:lang w:eastAsia="ro-RO"/>
        </w:rPr>
        <w:t>50%</w:t>
      </w:r>
      <w:r>
        <w:rPr>
          <w:bCs/>
          <w:i/>
          <w:iCs/>
          <w:sz w:val="24"/>
          <w:szCs w:val="24"/>
          <w:lang w:eastAsia="ro-RO"/>
        </w:rPr>
        <w:t xml:space="preserve"> din suprafaţa totală a faţadei deschise, înălţimea luată în considerare fiind distanţa liberă dintre pardoseala finită şi plafon;</w:t>
      </w:r>
    </w:p>
    <w:p w14:paraId="1A4B6C9A" w14:textId="77777777" w:rsidR="001C08A5" w:rsidRDefault="00000000">
      <w:pPr>
        <w:widowControl w:val="0"/>
        <w:numPr>
          <w:ilvl w:val="5"/>
          <w:numId w:val="10"/>
        </w:numPr>
        <w:jc w:val="both"/>
        <w:rPr>
          <w:bCs/>
          <w:i/>
          <w:iCs/>
          <w:sz w:val="24"/>
          <w:szCs w:val="24"/>
          <w:lang w:eastAsia="ro-RO"/>
        </w:rPr>
      </w:pPr>
      <w:r>
        <w:rPr>
          <w:bCs/>
          <w:i/>
          <w:iCs/>
          <w:sz w:val="24"/>
          <w:szCs w:val="24"/>
          <w:lang w:eastAsia="ro-RO"/>
        </w:rPr>
        <w:t xml:space="preserve">- distanţa dintre faţadele libere opuse, deschise spre exterior, este de cel mult </w:t>
      </w:r>
      <w:r>
        <w:rPr>
          <w:b/>
          <w:i/>
          <w:iCs/>
          <w:sz w:val="24"/>
          <w:szCs w:val="24"/>
          <w:lang w:eastAsia="ro-RO"/>
        </w:rPr>
        <w:t>75,00 m</w:t>
      </w:r>
      <w:r>
        <w:rPr>
          <w:bCs/>
          <w:i/>
          <w:iCs/>
          <w:sz w:val="24"/>
          <w:szCs w:val="24"/>
          <w:lang w:eastAsia="ro-RO"/>
        </w:rPr>
        <w:t xml:space="preserve">; </w:t>
      </w:r>
    </w:p>
    <w:p w14:paraId="5A920884" w14:textId="77777777" w:rsidR="001C08A5" w:rsidRDefault="00000000">
      <w:pPr>
        <w:widowControl w:val="0"/>
        <w:numPr>
          <w:ilvl w:val="5"/>
          <w:numId w:val="10"/>
        </w:numPr>
        <w:jc w:val="both"/>
        <w:rPr>
          <w:i/>
          <w:iCs/>
          <w:sz w:val="24"/>
          <w:szCs w:val="24"/>
        </w:rPr>
      </w:pPr>
      <w:r>
        <w:rPr>
          <w:bCs/>
          <w:i/>
          <w:iCs/>
          <w:sz w:val="24"/>
          <w:szCs w:val="24"/>
          <w:lang w:eastAsia="ro-RO"/>
        </w:rPr>
        <w:t xml:space="preserve">- suprafeţele libere perimetrale, deschise spre exterior, la fiecare nivel de parcare reprezintă cel puţin </w:t>
      </w:r>
      <w:r>
        <w:rPr>
          <w:b/>
          <w:i/>
          <w:iCs/>
          <w:sz w:val="24"/>
          <w:szCs w:val="24"/>
          <w:lang w:eastAsia="ro-RO"/>
        </w:rPr>
        <w:t>5%</w:t>
      </w:r>
      <w:r>
        <w:rPr>
          <w:bCs/>
          <w:i/>
          <w:iCs/>
          <w:sz w:val="24"/>
          <w:szCs w:val="24"/>
          <w:lang w:eastAsia="ro-RO"/>
        </w:rPr>
        <w:t xml:space="preserve"> din aria utilă a spaţiului de parcare a nivelului respectiv; nu se iau în considerare suprafeţele spaţiilor închise destinate circulaţiilor pietonale orizontale şi verticale precum și al spaţiilor cu alte destinaţii;</w:t>
      </w:r>
    </w:p>
    <w:p w14:paraId="2F5D8F1D" w14:textId="77777777" w:rsidR="001C08A5" w:rsidRDefault="00000000">
      <w:pPr>
        <w:widowControl w:val="0"/>
        <w:numPr>
          <w:ilvl w:val="5"/>
          <w:numId w:val="10"/>
        </w:numPr>
        <w:jc w:val="both"/>
        <w:rPr>
          <w:i/>
          <w:iCs/>
          <w:sz w:val="24"/>
          <w:szCs w:val="24"/>
        </w:rPr>
      </w:pPr>
      <w:r>
        <w:rPr>
          <w:bCs/>
          <w:i/>
          <w:iCs/>
          <w:sz w:val="24"/>
          <w:szCs w:val="24"/>
          <w:lang w:eastAsia="ro-RO"/>
        </w:rPr>
        <w:t>spaţiul exterior deschis are aria orizontală cel puţin egală cu suma suprafeţelor libere adiacente perimetrale.</w:t>
      </w:r>
      <w:r>
        <w:rPr>
          <w:i/>
          <w:iCs/>
          <w:sz w:val="24"/>
          <w:szCs w:val="24"/>
        </w:rPr>
        <w:t xml:space="preserve"> </w:t>
      </w:r>
    </w:p>
    <w:p w14:paraId="3348193D" w14:textId="77777777" w:rsidR="001C08A5" w:rsidRDefault="00000000">
      <w:pPr>
        <w:widowControl w:val="0"/>
        <w:jc w:val="both"/>
        <w:rPr>
          <w:i/>
          <w:iCs/>
          <w:sz w:val="24"/>
          <w:szCs w:val="24"/>
        </w:rPr>
      </w:pPr>
      <w:r>
        <w:rPr>
          <w:i/>
          <w:iCs/>
          <w:sz w:val="24"/>
          <w:szCs w:val="24"/>
        </w:rPr>
        <w:t>Parcajele supraterane puternic ventilate natural se consideră că au asigurată evacuarea fumului și gazelor fierbinți.</w:t>
      </w:r>
    </w:p>
    <w:p w14:paraId="6FFCFA7F" w14:textId="77777777" w:rsidR="001C08A5" w:rsidRDefault="001C08A5">
      <w:pPr>
        <w:jc w:val="both"/>
        <w:rPr>
          <w:b/>
          <w:i/>
          <w:iCs/>
          <w:sz w:val="24"/>
          <w:szCs w:val="24"/>
        </w:rPr>
      </w:pPr>
    </w:p>
    <w:p w14:paraId="5722C2F6" w14:textId="77777777" w:rsidR="001C08A5" w:rsidRDefault="00000000">
      <w:pPr>
        <w:numPr>
          <w:ilvl w:val="0"/>
          <w:numId w:val="10"/>
        </w:numPr>
        <w:jc w:val="both"/>
        <w:rPr>
          <w:i/>
          <w:iCs/>
          <w:sz w:val="24"/>
          <w:szCs w:val="24"/>
        </w:rPr>
      </w:pPr>
      <w:r>
        <w:rPr>
          <w:b/>
          <w:bCs/>
          <w:i/>
          <w:iCs/>
          <w:sz w:val="24"/>
          <w:szCs w:val="24"/>
        </w:rPr>
        <w:t>Pardoseală</w:t>
      </w:r>
      <w:r>
        <w:rPr>
          <w:i/>
          <w:iCs/>
          <w:sz w:val="24"/>
          <w:szCs w:val="24"/>
        </w:rPr>
        <w:t xml:space="preserve"> - subansamblu nestructural de elemente de finisaj,  permanent, al încăperilor și spațiilor exterioare, format din totalitatea straturilor executate peste sol sau </w:t>
      </w:r>
      <w:r>
        <w:rPr>
          <w:i/>
          <w:iCs/>
          <w:sz w:val="24"/>
          <w:szCs w:val="24"/>
        </w:rPr>
        <w:lastRenderedPageBreak/>
        <w:t xml:space="preserve">peste un element structural plan, de regulă orizontal (înclinat la rampe), cu scopul de a realiza o suprafață orizontală care sa îndeplinească cerințele specifice de utilizare. </w:t>
      </w:r>
    </w:p>
    <w:p w14:paraId="6B9E35B3" w14:textId="77777777" w:rsidR="001C08A5" w:rsidRDefault="00000000">
      <w:pPr>
        <w:numPr>
          <w:ilvl w:val="3"/>
          <w:numId w:val="10"/>
        </w:numPr>
        <w:jc w:val="both"/>
        <w:rPr>
          <w:i/>
          <w:iCs/>
          <w:sz w:val="24"/>
          <w:szCs w:val="24"/>
        </w:rPr>
      </w:pPr>
      <w:r>
        <w:rPr>
          <w:b/>
          <w:i/>
          <w:iCs/>
          <w:sz w:val="24"/>
          <w:szCs w:val="24"/>
        </w:rPr>
        <w:t xml:space="preserve">Pardoseală supraînălţată </w:t>
      </w:r>
      <w:r>
        <w:rPr>
          <w:i/>
          <w:iCs/>
          <w:sz w:val="24"/>
          <w:szCs w:val="24"/>
        </w:rPr>
        <w:t xml:space="preserve">- pardoseală independentă, montată peste planşeul de rezistenţă; </w:t>
      </w:r>
      <w:r>
        <w:rPr>
          <w:bCs/>
          <w:i/>
          <w:iCs/>
          <w:sz w:val="24"/>
          <w:szCs w:val="24"/>
        </w:rPr>
        <w:t>sisteme portante introduse pe piaţă ca seturi (planşee supraînălţate; cavităţi</w:t>
      </w:r>
      <w:r>
        <w:rPr>
          <w:i/>
          <w:iCs/>
          <w:sz w:val="24"/>
          <w:szCs w:val="24"/>
        </w:rPr>
        <w:t>)</w:t>
      </w:r>
    </w:p>
    <w:p w14:paraId="2F7F082B" w14:textId="77777777" w:rsidR="001C08A5" w:rsidRDefault="001C08A5">
      <w:pPr>
        <w:tabs>
          <w:tab w:val="left" w:pos="567"/>
        </w:tabs>
        <w:jc w:val="both"/>
        <w:rPr>
          <w:b/>
          <w:i/>
          <w:iCs/>
          <w:sz w:val="24"/>
          <w:szCs w:val="24"/>
        </w:rPr>
      </w:pPr>
    </w:p>
    <w:p w14:paraId="37692214" w14:textId="77777777" w:rsidR="001C08A5" w:rsidRDefault="00000000">
      <w:pPr>
        <w:widowControl w:val="0"/>
        <w:numPr>
          <w:ilvl w:val="0"/>
          <w:numId w:val="10"/>
        </w:numPr>
        <w:jc w:val="both"/>
      </w:pPr>
      <w:r>
        <w:rPr>
          <w:b/>
          <w:bCs/>
          <w:i/>
          <w:iCs/>
          <w:sz w:val="24"/>
          <w:szCs w:val="24"/>
        </w:rPr>
        <w:t>Perete -</w:t>
      </w:r>
      <w:r>
        <w:rPr>
          <w:i/>
          <w:iCs/>
          <w:sz w:val="24"/>
          <w:szCs w:val="24"/>
        </w:rPr>
        <w:t xml:space="preserve"> element de construcție vertical sau înclinat până la un unghi maxim de </w:t>
      </w:r>
      <w:r>
        <w:rPr>
          <w:b/>
          <w:bCs/>
          <w:i/>
          <w:iCs/>
          <w:sz w:val="24"/>
          <w:szCs w:val="24"/>
        </w:rPr>
        <w:t>10</w:t>
      </w:r>
      <w:r>
        <w:rPr>
          <w:b/>
          <w:bCs/>
          <w:i/>
          <w:iCs/>
          <w:sz w:val="24"/>
          <w:szCs w:val="24"/>
          <w:vertAlign w:val="superscript"/>
        </w:rPr>
        <w:t xml:space="preserve">0 </w:t>
      </w:r>
      <w:r>
        <w:rPr>
          <w:i/>
          <w:iCs/>
          <w:sz w:val="24"/>
          <w:szCs w:val="24"/>
        </w:rPr>
        <w:t xml:space="preserve">(caz general) față de verticală sau de maxim </w:t>
      </w:r>
      <w:r>
        <w:rPr>
          <w:b/>
          <w:bCs/>
          <w:i/>
          <w:iCs/>
          <w:sz w:val="24"/>
          <w:szCs w:val="24"/>
        </w:rPr>
        <w:t>15</w:t>
      </w:r>
      <w:r>
        <w:rPr>
          <w:b/>
          <w:bCs/>
          <w:i/>
          <w:iCs/>
          <w:sz w:val="24"/>
          <w:szCs w:val="24"/>
          <w:vertAlign w:val="superscript"/>
        </w:rPr>
        <w:t xml:space="preserve">0 </w:t>
      </w:r>
      <w:r>
        <w:rPr>
          <w:i/>
          <w:iCs/>
          <w:sz w:val="24"/>
          <w:szCs w:val="24"/>
        </w:rPr>
        <w:t>în cazul fațadelor cu pereți cortină, realizat între planșeele unei construcții (</w:t>
      </w:r>
      <w:r>
        <w:rPr>
          <w:b/>
          <w:bCs/>
          <w:i/>
          <w:iCs/>
          <w:sz w:val="24"/>
          <w:szCs w:val="24"/>
        </w:rPr>
        <w:fldChar w:fldCharType="begin"/>
      </w:r>
      <w:r>
        <w:rPr>
          <w:b/>
          <w:bCs/>
          <w:i/>
          <w:iCs/>
          <w:sz w:val="24"/>
          <w:szCs w:val="24"/>
        </w:rPr>
        <w:instrText xml:space="preserve"> REF _Ref7262 \h </w:instrText>
      </w:r>
      <w:r>
        <w:rPr>
          <w:b/>
          <w:bCs/>
          <w:i/>
          <w:iCs/>
          <w:sz w:val="24"/>
          <w:szCs w:val="24"/>
        </w:rPr>
      </w:r>
      <w:r>
        <w:rPr>
          <w:b/>
          <w:bCs/>
          <w:i/>
          <w:iCs/>
          <w:sz w:val="24"/>
          <w:szCs w:val="24"/>
        </w:rPr>
        <w:fldChar w:fldCharType="separate"/>
      </w:r>
      <w:r>
        <w:t>Figura 22</w:t>
      </w:r>
      <w:r>
        <w:rPr>
          <w:b/>
          <w:bCs/>
          <w:i/>
          <w:iCs/>
          <w:sz w:val="24"/>
          <w:szCs w:val="24"/>
        </w:rPr>
        <w:fldChar w:fldCharType="end"/>
      </w:r>
      <w:r>
        <w:rPr>
          <w:i/>
          <w:iCs/>
          <w:sz w:val="24"/>
          <w:szCs w:val="24"/>
        </w:rPr>
        <w:t>).</w:t>
      </w:r>
    </w:p>
    <w:p w14:paraId="574D258B" w14:textId="77777777" w:rsidR="001C08A5" w:rsidRDefault="001C08A5">
      <w:pPr>
        <w:ind w:left="400"/>
        <w:jc w:val="center"/>
        <w:rPr>
          <w:lang w:eastAsia="ro-RO"/>
        </w:rPr>
      </w:pPr>
    </w:p>
    <w:p w14:paraId="45A61BE3" w14:textId="77777777" w:rsidR="001C08A5" w:rsidRDefault="00000000">
      <w:pPr>
        <w:ind w:left="400"/>
        <w:jc w:val="center"/>
        <w:rPr>
          <w:lang w:eastAsia="ro-RO"/>
        </w:rPr>
      </w:pPr>
      <w:r>
        <w:rPr>
          <w:noProof/>
          <w:lang w:eastAsia="ro-RO"/>
        </w:rPr>
        <w:drawing>
          <wp:inline distT="0" distB="0" distL="114300" distR="114300" wp14:anchorId="58BBE2C7" wp14:editId="3AF7D68B">
            <wp:extent cx="5353685" cy="2289810"/>
            <wp:effectExtent l="0" t="0" r="18415" b="15240"/>
            <wp:docPr id="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9"/>
                    <pic:cNvPicPr>
                      <a:picLocks noChangeAspect="1"/>
                    </pic:cNvPicPr>
                  </pic:nvPicPr>
                  <pic:blipFill>
                    <a:blip r:embed="rId92"/>
                    <a:srcRect l="16480" t="22619" r="12594" b="35186"/>
                    <a:stretch>
                      <a:fillRect/>
                    </a:stretch>
                  </pic:blipFill>
                  <pic:spPr>
                    <a:xfrm>
                      <a:off x="0" y="0"/>
                      <a:ext cx="5353685" cy="2289810"/>
                    </a:xfrm>
                    <a:prstGeom prst="rect">
                      <a:avLst/>
                    </a:prstGeom>
                    <a:noFill/>
                    <a:ln>
                      <a:noFill/>
                    </a:ln>
                  </pic:spPr>
                </pic:pic>
              </a:graphicData>
            </a:graphic>
          </wp:inline>
        </w:drawing>
      </w:r>
    </w:p>
    <w:p w14:paraId="1088BDDE" w14:textId="77777777" w:rsidR="001C08A5" w:rsidRDefault="00000000">
      <w:pPr>
        <w:pStyle w:val="Caption"/>
        <w:ind w:left="400"/>
        <w:jc w:val="center"/>
        <w:rPr>
          <w:rFonts w:cs="Times New Roman"/>
          <w:bCs/>
        </w:rPr>
      </w:pPr>
      <w:bookmarkStart w:id="460" w:name="_Ref7262"/>
      <w:bookmarkStart w:id="461" w:name="_Toc16950"/>
      <w:bookmarkStart w:id="462" w:name="_Toc162360246"/>
      <w:bookmarkStart w:id="463" w:name="_Toc23529"/>
      <w:bookmarkStart w:id="464" w:name="_Toc21058"/>
      <w:bookmarkStart w:id="465" w:name="_Toc18599"/>
      <w:bookmarkStart w:id="466" w:name="_Toc12839"/>
      <w:bookmarkStart w:id="467" w:name="_Toc21885"/>
      <w:r>
        <w:t xml:space="preserve">Figura </w:t>
      </w:r>
      <w:r>
        <w:fldChar w:fldCharType="begin"/>
      </w:r>
      <w:r>
        <w:instrText xml:space="preserve"> SEQ Figura \* ARABIC </w:instrText>
      </w:r>
      <w:r>
        <w:fldChar w:fldCharType="separate"/>
      </w:r>
      <w:r>
        <w:t>22</w:t>
      </w:r>
      <w:r>
        <w:fldChar w:fldCharType="end"/>
      </w:r>
      <w:bookmarkStart w:id="468" w:name="_Toc17962"/>
      <w:bookmarkStart w:id="469" w:name="_Toc29085"/>
      <w:bookmarkStart w:id="470" w:name="_Toc27547"/>
      <w:bookmarkStart w:id="471" w:name="_Toc24451"/>
      <w:bookmarkStart w:id="472" w:name="_Toc8476"/>
      <w:bookmarkStart w:id="473" w:name="_Toc18779"/>
      <w:bookmarkStart w:id="474" w:name="_Toc8344"/>
      <w:bookmarkStart w:id="475" w:name="_Toc7942"/>
      <w:bookmarkStart w:id="476" w:name="_Toc7961"/>
      <w:bookmarkStart w:id="477" w:name="_Toc16588"/>
      <w:bookmarkStart w:id="478" w:name="_Toc7411"/>
      <w:bookmarkEnd w:id="460"/>
      <w:r>
        <w:t xml:space="preserve"> - </w:t>
      </w:r>
      <w:r>
        <w:rPr>
          <w:rFonts w:cs="Times New Roman"/>
        </w:rPr>
        <w:t>Perete - înclinare</w:t>
      </w:r>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p>
    <w:p w14:paraId="68E89E6D" w14:textId="77777777" w:rsidR="001C08A5" w:rsidRDefault="00000000">
      <w:pPr>
        <w:numPr>
          <w:ilvl w:val="0"/>
          <w:numId w:val="10"/>
        </w:numPr>
        <w:tabs>
          <w:tab w:val="clear" w:pos="425"/>
        </w:tabs>
        <w:jc w:val="both"/>
        <w:rPr>
          <w:bCs/>
          <w:i/>
          <w:iCs/>
          <w:sz w:val="24"/>
          <w:szCs w:val="24"/>
          <w:lang w:eastAsia="ro-RO"/>
        </w:rPr>
      </w:pPr>
      <w:r>
        <w:rPr>
          <w:b/>
          <w:i/>
          <w:iCs/>
          <w:sz w:val="24"/>
          <w:szCs w:val="24"/>
        </w:rPr>
        <w:t>Perete cortină</w:t>
      </w:r>
      <w:r>
        <w:rPr>
          <w:i/>
          <w:iCs/>
          <w:sz w:val="24"/>
          <w:szCs w:val="24"/>
        </w:rPr>
        <w:t xml:space="preserve"> - </w:t>
      </w:r>
      <w:r>
        <w:rPr>
          <w:i/>
          <w:iCs/>
          <w:sz w:val="24"/>
          <w:szCs w:val="24"/>
          <w:lang w:eastAsia="ro-RO"/>
        </w:rPr>
        <w:t xml:space="preserve">perete exterior neportant ancorat (prins) de structura portană a clădirii, alcătuit, în general, dintr-o rețea de profile verticale și profile orizontale asamblate între ele. Un perete cortină include montanți și traverse, element/e vitrat/e, element/e opac/e, etanșări, elemente de fixare și elemente mobile (ferestre sau uși). </w:t>
      </w:r>
      <w:r>
        <w:rPr>
          <w:i/>
          <w:iCs/>
          <w:sz w:val="24"/>
          <w:szCs w:val="24"/>
        </w:rPr>
        <w:t xml:space="preserve">Peretele cortină este proiectat astfel încît să aibă o structură proprie care transmite sarcini moarte – permanente sau statice proprii/ încărcări statice permanente provenite din greutate proprie, sarcini impuse – temporare și dinamice generate de traficul auto, etc. (încărcări utile variabile dinamice de scurtă durată provenite din traficul auto), sarcini de mediu (vânt, zăpadă, etc.)/ încărcări climatice (vânt, zăpadă, variații de temperatură), sarcini generate de seism care se transmit structurii principale a clădirii/ încărcări seismice. </w:t>
      </w:r>
      <w:r>
        <w:rPr>
          <w:rFonts w:eastAsia="Times-Roman"/>
          <w:bCs/>
          <w:i/>
          <w:iCs/>
          <w:sz w:val="24"/>
          <w:szCs w:val="24"/>
        </w:rPr>
        <w:t>Peretele cortină se realizează conform reglementării specifice, cerințele privind securitatea la incendiu se asigură conform cerințelor prezentului normativ.</w:t>
      </w:r>
    </w:p>
    <w:p w14:paraId="3F129EF4" w14:textId="77777777" w:rsidR="001C08A5" w:rsidRDefault="001C08A5">
      <w:pPr>
        <w:tabs>
          <w:tab w:val="left" w:pos="567"/>
        </w:tabs>
        <w:ind w:left="800"/>
        <w:jc w:val="both"/>
        <w:rPr>
          <w:bCs/>
          <w:i/>
          <w:iCs/>
          <w:sz w:val="24"/>
          <w:szCs w:val="24"/>
          <w:lang w:eastAsia="ro-RO"/>
        </w:rPr>
      </w:pPr>
    </w:p>
    <w:p w14:paraId="4868CAEF" w14:textId="77777777" w:rsidR="001C08A5" w:rsidRDefault="00000000">
      <w:pPr>
        <w:numPr>
          <w:ilvl w:val="0"/>
          <w:numId w:val="10"/>
        </w:numPr>
        <w:tabs>
          <w:tab w:val="clear" w:pos="425"/>
        </w:tabs>
        <w:jc w:val="both"/>
        <w:rPr>
          <w:bCs/>
          <w:i/>
          <w:iCs/>
          <w:sz w:val="24"/>
          <w:szCs w:val="24"/>
          <w:lang w:eastAsia="ro-RO"/>
        </w:rPr>
      </w:pPr>
      <w:r>
        <w:rPr>
          <w:b/>
          <w:i/>
          <w:iCs/>
          <w:sz w:val="24"/>
          <w:szCs w:val="24"/>
          <w:lang w:eastAsia="ro-RO"/>
        </w:rPr>
        <w:t xml:space="preserve"> Performanţă la foc exterior </w:t>
      </w:r>
      <w:r>
        <w:rPr>
          <w:bCs/>
          <w:i/>
          <w:iCs/>
          <w:sz w:val="24"/>
          <w:szCs w:val="24"/>
          <w:lang w:eastAsia="ro-RO"/>
        </w:rPr>
        <w:t>- Expresie convenţională a modului de comportare a unui acoperiş sau a unei învelitori de acoperiş pentru situaţia în care, în condiţii de utilizare finală, este expus(ă) la un incendiu din afara construcţiei.</w:t>
      </w:r>
    </w:p>
    <w:p w14:paraId="773E19EC" w14:textId="77777777" w:rsidR="001C08A5" w:rsidRDefault="00000000">
      <w:pPr>
        <w:widowControl w:val="0"/>
        <w:ind w:left="425"/>
        <w:jc w:val="both"/>
        <w:rPr>
          <w:bCs/>
          <w:i/>
          <w:iCs/>
          <w:sz w:val="24"/>
          <w:szCs w:val="24"/>
          <w:lang w:eastAsia="ro-RO"/>
        </w:rPr>
      </w:pPr>
      <w:r>
        <w:rPr>
          <w:bCs/>
          <w:i/>
          <w:iCs/>
          <w:sz w:val="24"/>
          <w:szCs w:val="24"/>
          <w:lang w:eastAsia="ro-RO"/>
        </w:rPr>
        <w:t>Clasificarea performanţei la foc exterior a acoperişurilor și învelitorilor de acoperiş:</w:t>
      </w:r>
    </w:p>
    <w:p w14:paraId="2475708A" w14:textId="77777777" w:rsidR="001C08A5" w:rsidRDefault="00000000">
      <w:pPr>
        <w:widowControl w:val="0"/>
        <w:ind w:left="425" w:firstLine="1432"/>
        <w:jc w:val="both"/>
        <w:rPr>
          <w:bCs/>
          <w:i/>
          <w:iCs/>
          <w:sz w:val="24"/>
          <w:szCs w:val="24"/>
          <w:lang w:eastAsia="ro-RO"/>
        </w:rPr>
      </w:pPr>
      <w:r>
        <w:rPr>
          <w:bCs/>
          <w:i/>
          <w:iCs/>
          <w:sz w:val="24"/>
          <w:szCs w:val="24"/>
          <w:lang w:eastAsia="ro-RO"/>
        </w:rPr>
        <w:t>B</w:t>
      </w:r>
      <w:r>
        <w:rPr>
          <w:bCs/>
          <w:i/>
          <w:iCs/>
          <w:sz w:val="24"/>
          <w:szCs w:val="24"/>
          <w:vertAlign w:val="subscript"/>
          <w:lang w:eastAsia="ro-RO"/>
        </w:rPr>
        <w:t>ROOF</w:t>
      </w:r>
      <w:r>
        <w:rPr>
          <w:bCs/>
          <w:i/>
          <w:iCs/>
          <w:sz w:val="24"/>
          <w:szCs w:val="24"/>
          <w:lang w:eastAsia="ro-RO"/>
        </w:rPr>
        <w:t>(t1), F</w:t>
      </w:r>
      <w:r>
        <w:rPr>
          <w:bCs/>
          <w:i/>
          <w:iCs/>
          <w:sz w:val="24"/>
          <w:szCs w:val="24"/>
          <w:vertAlign w:val="subscript"/>
          <w:lang w:eastAsia="ro-RO"/>
        </w:rPr>
        <w:t>ROOF</w:t>
      </w:r>
      <w:r>
        <w:rPr>
          <w:bCs/>
          <w:i/>
          <w:iCs/>
          <w:sz w:val="24"/>
          <w:szCs w:val="24"/>
          <w:lang w:eastAsia="ro-RO"/>
        </w:rPr>
        <w:t xml:space="preserve">(t1) unde t1 = Numai corpuri arzânde; </w:t>
      </w:r>
    </w:p>
    <w:p w14:paraId="486B3713" w14:textId="77777777" w:rsidR="001C08A5" w:rsidRDefault="00000000">
      <w:pPr>
        <w:widowControl w:val="0"/>
        <w:ind w:left="425" w:firstLine="1432"/>
        <w:jc w:val="both"/>
        <w:rPr>
          <w:bCs/>
          <w:i/>
          <w:iCs/>
          <w:sz w:val="24"/>
          <w:szCs w:val="24"/>
          <w:lang w:eastAsia="ro-RO"/>
        </w:rPr>
      </w:pPr>
      <w:r>
        <w:rPr>
          <w:bCs/>
          <w:i/>
          <w:iCs/>
          <w:sz w:val="24"/>
          <w:szCs w:val="24"/>
          <w:lang w:eastAsia="ro-RO"/>
        </w:rPr>
        <w:t>B</w:t>
      </w:r>
      <w:r>
        <w:rPr>
          <w:bCs/>
          <w:i/>
          <w:iCs/>
          <w:sz w:val="24"/>
          <w:szCs w:val="24"/>
          <w:vertAlign w:val="subscript"/>
          <w:lang w:eastAsia="ro-RO"/>
        </w:rPr>
        <w:t>ROOF</w:t>
      </w:r>
      <w:r>
        <w:rPr>
          <w:bCs/>
          <w:i/>
          <w:iCs/>
          <w:sz w:val="24"/>
          <w:szCs w:val="24"/>
          <w:lang w:eastAsia="ro-RO"/>
        </w:rPr>
        <w:t>(t2), F</w:t>
      </w:r>
      <w:r>
        <w:rPr>
          <w:bCs/>
          <w:i/>
          <w:iCs/>
          <w:sz w:val="24"/>
          <w:szCs w:val="24"/>
          <w:vertAlign w:val="subscript"/>
          <w:lang w:eastAsia="ro-RO"/>
        </w:rPr>
        <w:t>ROOF</w:t>
      </w:r>
      <w:r>
        <w:rPr>
          <w:bCs/>
          <w:i/>
          <w:iCs/>
          <w:sz w:val="24"/>
          <w:szCs w:val="24"/>
          <w:lang w:eastAsia="ro-RO"/>
        </w:rPr>
        <w:t xml:space="preserve">(t2) unde t2 = Corpuri arzânde + vânt; </w:t>
      </w:r>
    </w:p>
    <w:p w14:paraId="542C9EAE" w14:textId="77777777" w:rsidR="001C08A5" w:rsidRDefault="00000000">
      <w:pPr>
        <w:widowControl w:val="0"/>
        <w:ind w:left="425" w:firstLine="1432"/>
        <w:jc w:val="both"/>
        <w:rPr>
          <w:bCs/>
          <w:i/>
          <w:iCs/>
          <w:sz w:val="24"/>
          <w:szCs w:val="24"/>
          <w:lang w:eastAsia="ro-RO"/>
        </w:rPr>
      </w:pPr>
      <w:r>
        <w:rPr>
          <w:bCs/>
          <w:i/>
          <w:iCs/>
          <w:sz w:val="24"/>
          <w:szCs w:val="24"/>
          <w:lang w:eastAsia="ro-RO"/>
        </w:rPr>
        <w:t>B</w:t>
      </w:r>
      <w:r>
        <w:rPr>
          <w:bCs/>
          <w:i/>
          <w:iCs/>
          <w:sz w:val="24"/>
          <w:szCs w:val="24"/>
          <w:vertAlign w:val="subscript"/>
          <w:lang w:eastAsia="ro-RO"/>
        </w:rPr>
        <w:t>ROOF</w:t>
      </w:r>
      <w:r>
        <w:rPr>
          <w:bCs/>
          <w:i/>
          <w:iCs/>
          <w:sz w:val="24"/>
          <w:szCs w:val="24"/>
          <w:lang w:eastAsia="ro-RO"/>
        </w:rPr>
        <w:t>(t3), C</w:t>
      </w:r>
      <w:r>
        <w:rPr>
          <w:bCs/>
          <w:i/>
          <w:iCs/>
          <w:sz w:val="24"/>
          <w:szCs w:val="24"/>
          <w:vertAlign w:val="subscript"/>
          <w:lang w:eastAsia="ro-RO"/>
        </w:rPr>
        <w:t>ROOF</w:t>
      </w:r>
      <w:r>
        <w:rPr>
          <w:bCs/>
          <w:i/>
          <w:iCs/>
          <w:sz w:val="24"/>
          <w:szCs w:val="24"/>
          <w:lang w:eastAsia="ro-RO"/>
        </w:rPr>
        <w:t>(t3), D</w:t>
      </w:r>
      <w:r>
        <w:rPr>
          <w:bCs/>
          <w:i/>
          <w:iCs/>
          <w:sz w:val="24"/>
          <w:szCs w:val="24"/>
          <w:vertAlign w:val="subscript"/>
          <w:lang w:eastAsia="ro-RO"/>
        </w:rPr>
        <w:t>ROOF</w:t>
      </w:r>
      <w:r>
        <w:rPr>
          <w:bCs/>
          <w:i/>
          <w:iCs/>
          <w:sz w:val="24"/>
          <w:szCs w:val="24"/>
          <w:lang w:eastAsia="ro-RO"/>
        </w:rPr>
        <w:t>(t3), F</w:t>
      </w:r>
      <w:r>
        <w:rPr>
          <w:bCs/>
          <w:i/>
          <w:iCs/>
          <w:sz w:val="24"/>
          <w:szCs w:val="24"/>
          <w:vertAlign w:val="subscript"/>
          <w:lang w:eastAsia="ro-RO"/>
        </w:rPr>
        <w:t>ROOF</w:t>
      </w:r>
      <w:r>
        <w:rPr>
          <w:bCs/>
          <w:i/>
          <w:iCs/>
          <w:sz w:val="24"/>
          <w:szCs w:val="24"/>
          <w:lang w:eastAsia="ro-RO"/>
        </w:rPr>
        <w:t>(t3) unde t3 = Corpuri arzânde + vânt + radiaţie;</w:t>
      </w:r>
    </w:p>
    <w:p w14:paraId="4ED05DB0" w14:textId="77777777" w:rsidR="001C08A5" w:rsidRDefault="00000000">
      <w:pPr>
        <w:widowControl w:val="0"/>
        <w:ind w:left="425" w:firstLine="1432"/>
        <w:jc w:val="both"/>
        <w:rPr>
          <w:bCs/>
          <w:i/>
          <w:iCs/>
          <w:sz w:val="24"/>
          <w:szCs w:val="24"/>
          <w:lang w:eastAsia="ro-RO"/>
        </w:rPr>
      </w:pPr>
      <w:r>
        <w:rPr>
          <w:bCs/>
          <w:i/>
          <w:iCs/>
          <w:sz w:val="24"/>
          <w:szCs w:val="24"/>
          <w:lang w:eastAsia="ro-RO"/>
        </w:rPr>
        <w:t>B</w:t>
      </w:r>
      <w:r>
        <w:rPr>
          <w:bCs/>
          <w:i/>
          <w:iCs/>
          <w:sz w:val="24"/>
          <w:szCs w:val="24"/>
          <w:vertAlign w:val="subscript"/>
          <w:lang w:eastAsia="ro-RO"/>
        </w:rPr>
        <w:t>ROOF</w:t>
      </w:r>
      <w:r>
        <w:rPr>
          <w:bCs/>
          <w:i/>
          <w:iCs/>
          <w:sz w:val="24"/>
          <w:szCs w:val="24"/>
          <w:lang w:eastAsia="ro-RO"/>
        </w:rPr>
        <w:t>(t4), C</w:t>
      </w:r>
      <w:r>
        <w:rPr>
          <w:bCs/>
          <w:i/>
          <w:iCs/>
          <w:sz w:val="24"/>
          <w:szCs w:val="24"/>
          <w:vertAlign w:val="subscript"/>
          <w:lang w:eastAsia="ro-RO"/>
        </w:rPr>
        <w:t>ROOF</w:t>
      </w:r>
      <w:r>
        <w:rPr>
          <w:bCs/>
          <w:i/>
          <w:iCs/>
          <w:sz w:val="24"/>
          <w:szCs w:val="24"/>
          <w:lang w:eastAsia="ro-RO"/>
        </w:rPr>
        <w:t>(t4), D</w:t>
      </w:r>
      <w:r>
        <w:rPr>
          <w:bCs/>
          <w:i/>
          <w:iCs/>
          <w:sz w:val="24"/>
          <w:szCs w:val="24"/>
          <w:vertAlign w:val="subscript"/>
          <w:lang w:eastAsia="ro-RO"/>
        </w:rPr>
        <w:t>ROOF</w:t>
      </w:r>
      <w:r>
        <w:rPr>
          <w:bCs/>
          <w:i/>
          <w:iCs/>
          <w:sz w:val="24"/>
          <w:szCs w:val="24"/>
          <w:lang w:eastAsia="ro-RO"/>
        </w:rPr>
        <w:t>(t4), E</w:t>
      </w:r>
      <w:r>
        <w:rPr>
          <w:bCs/>
          <w:i/>
          <w:iCs/>
          <w:sz w:val="24"/>
          <w:szCs w:val="24"/>
          <w:vertAlign w:val="subscript"/>
          <w:lang w:eastAsia="ro-RO"/>
        </w:rPr>
        <w:t>ROOF</w:t>
      </w:r>
      <w:r>
        <w:rPr>
          <w:bCs/>
          <w:i/>
          <w:iCs/>
          <w:sz w:val="24"/>
          <w:szCs w:val="24"/>
          <w:lang w:eastAsia="ro-RO"/>
        </w:rPr>
        <w:t>(t4), F</w:t>
      </w:r>
      <w:r>
        <w:rPr>
          <w:bCs/>
          <w:i/>
          <w:iCs/>
          <w:sz w:val="24"/>
          <w:szCs w:val="24"/>
          <w:vertAlign w:val="subscript"/>
          <w:lang w:eastAsia="ro-RO"/>
        </w:rPr>
        <w:t>ROOF</w:t>
      </w:r>
      <w:r>
        <w:rPr>
          <w:bCs/>
          <w:i/>
          <w:iCs/>
          <w:sz w:val="24"/>
          <w:szCs w:val="24"/>
          <w:lang w:eastAsia="ro-RO"/>
        </w:rPr>
        <w:t>(t4) unde t4 = Corpuri arzânde + vânt + radiaţie suplimentară.</w:t>
      </w:r>
    </w:p>
    <w:p w14:paraId="2AA71908" w14:textId="77777777" w:rsidR="001C08A5" w:rsidRDefault="00000000">
      <w:pPr>
        <w:numPr>
          <w:ilvl w:val="255"/>
          <w:numId w:val="0"/>
        </w:numPr>
        <w:jc w:val="both"/>
        <w:rPr>
          <w:i/>
          <w:iCs/>
          <w:sz w:val="22"/>
          <w:szCs w:val="22"/>
        </w:rPr>
      </w:pPr>
      <w:r>
        <w:rPr>
          <w:i/>
          <w:iCs/>
          <w:sz w:val="22"/>
          <w:szCs w:val="22"/>
        </w:rPr>
        <w:t xml:space="preserve">Note: </w:t>
      </w:r>
    </w:p>
    <w:p w14:paraId="6778178E" w14:textId="77777777" w:rsidR="001C08A5" w:rsidRDefault="00000000">
      <w:pPr>
        <w:jc w:val="both"/>
        <w:rPr>
          <w:i/>
          <w:iCs/>
          <w:sz w:val="22"/>
          <w:szCs w:val="22"/>
        </w:rPr>
      </w:pPr>
      <w:r>
        <w:rPr>
          <w:i/>
          <w:iCs/>
          <w:sz w:val="22"/>
          <w:szCs w:val="22"/>
        </w:rPr>
        <w:t>- Comisia Europeana a elaborat o lista cu produsele care, în anumite condiții, pot fi încadrate în clasa B</w:t>
      </w:r>
      <w:r>
        <w:rPr>
          <w:bCs/>
          <w:i/>
          <w:iCs/>
          <w:sz w:val="24"/>
          <w:szCs w:val="24"/>
          <w:vertAlign w:val="subscript"/>
          <w:lang w:eastAsia="ro-RO"/>
        </w:rPr>
        <w:t>ROOF</w:t>
      </w:r>
      <w:r>
        <w:rPr>
          <w:i/>
          <w:iCs/>
          <w:sz w:val="22"/>
          <w:szCs w:val="22"/>
        </w:rPr>
        <w:t xml:space="preserve"> fara a fi incercate. Aceasta informatie este prezentata in Decizia Comisiei din 6 septembrie 2009, care stabileste lista produselor incadrate in clasele B</w:t>
      </w:r>
      <w:r>
        <w:rPr>
          <w:bCs/>
          <w:i/>
          <w:iCs/>
          <w:sz w:val="24"/>
          <w:szCs w:val="24"/>
          <w:vertAlign w:val="subscript"/>
          <w:lang w:eastAsia="ro-RO"/>
        </w:rPr>
        <w:t>ROOF</w:t>
      </w:r>
      <w:r>
        <w:rPr>
          <w:i/>
          <w:iCs/>
          <w:sz w:val="22"/>
          <w:szCs w:val="22"/>
        </w:rPr>
        <w:t xml:space="preserve"> (Decizia 2000/553/CE - 2005/403/CE - 2006/600/CE).</w:t>
      </w:r>
    </w:p>
    <w:p w14:paraId="052C7FA7" w14:textId="77777777" w:rsidR="001C08A5" w:rsidRDefault="00000000">
      <w:pPr>
        <w:jc w:val="both"/>
        <w:rPr>
          <w:i/>
          <w:iCs/>
          <w:sz w:val="22"/>
          <w:szCs w:val="22"/>
        </w:rPr>
      </w:pPr>
      <w:r>
        <w:rPr>
          <w:i/>
          <w:iCs/>
          <w:sz w:val="22"/>
          <w:szCs w:val="22"/>
        </w:rPr>
        <w:t xml:space="preserve">- Suplimentar, exista o procedura care permite ca anumitor produse sa li se atribuie o clasificare specified la foc, fara a fi necesar sa fie încercate. Astfel de produse trebuie sa aibă performante de reacție la foc bine </w:t>
      </w:r>
      <w:r>
        <w:rPr>
          <w:i/>
          <w:iCs/>
          <w:sz w:val="22"/>
          <w:szCs w:val="22"/>
        </w:rPr>
        <w:lastRenderedPageBreak/>
        <w:t>stabilite și să fie omologate de Comitetul permanent pentru construcții. Agrementele referitoare la aceste produse, care pot fi „clasificate fara incercari suplimentare” (CWFT</w:t>
      </w:r>
      <w:r>
        <w:rPr>
          <w:i/>
          <w:iCs/>
          <w:sz w:val="22"/>
          <w:szCs w:val="22"/>
          <w:vertAlign w:val="superscript"/>
        </w:rPr>
        <w:t>N1</w:t>
      </w:r>
      <w:r>
        <w:rPr>
          <w:i/>
          <w:iCs/>
          <w:sz w:val="22"/>
          <w:szCs w:val="22"/>
        </w:rPr>
        <w:t>)), sunt publicate in Jurnalul Oficial al UE.</w:t>
      </w:r>
    </w:p>
    <w:p w14:paraId="1729CDB6" w14:textId="77777777" w:rsidR="001C08A5" w:rsidRDefault="00000000">
      <w:pPr>
        <w:jc w:val="both"/>
        <w:rPr>
          <w:i/>
          <w:iCs/>
          <w:sz w:val="22"/>
          <w:szCs w:val="22"/>
        </w:rPr>
      </w:pPr>
      <w:r>
        <w:rPr>
          <w:i/>
          <w:iCs/>
          <w:sz w:val="22"/>
          <w:szCs w:val="22"/>
          <w:vertAlign w:val="superscript"/>
        </w:rPr>
        <w:t>N1</w:t>
      </w:r>
      <w:r>
        <w:rPr>
          <w:i/>
          <w:iCs/>
          <w:sz w:val="22"/>
          <w:szCs w:val="22"/>
        </w:rPr>
        <w:t>) NOTA NATIONALA- Acronimul CWFT provine din limba engleza, “classified without further testing”.</w:t>
      </w:r>
    </w:p>
    <w:p w14:paraId="39C580C1" w14:textId="77777777" w:rsidR="001C08A5" w:rsidRDefault="00000000">
      <w:pPr>
        <w:jc w:val="both"/>
        <w:rPr>
          <w:i/>
          <w:iCs/>
          <w:sz w:val="22"/>
          <w:szCs w:val="22"/>
        </w:rPr>
      </w:pPr>
      <w:r>
        <w:rPr>
          <w:i/>
          <w:iCs/>
          <w:sz w:val="22"/>
          <w:szCs w:val="22"/>
        </w:rPr>
        <w:t>- Pentru clasificarea unui acoperiș/a unei învelitori pentru acoperiș este necesar să fie aplicate doar acele metode de încercare și acele reguli de aplicare pentru care este preconizată clasificarea corespunzătoare.</w:t>
      </w:r>
    </w:p>
    <w:p w14:paraId="68E94A72" w14:textId="77777777" w:rsidR="001C08A5" w:rsidRDefault="00000000">
      <w:pPr>
        <w:jc w:val="both"/>
        <w:rPr>
          <w:i/>
          <w:iCs/>
          <w:sz w:val="22"/>
          <w:szCs w:val="22"/>
        </w:rPr>
      </w:pPr>
      <w:r>
        <w:rPr>
          <w:i/>
          <w:iCs/>
          <w:sz w:val="22"/>
          <w:szCs w:val="22"/>
        </w:rPr>
        <w:t>- Produsele sunt analizate în raport cu utilizarea finală a acestora.</w:t>
      </w:r>
    </w:p>
    <w:p w14:paraId="58D9EB8D" w14:textId="77777777" w:rsidR="001C08A5" w:rsidRDefault="00000000">
      <w:pPr>
        <w:jc w:val="both"/>
        <w:rPr>
          <w:i/>
          <w:iCs/>
          <w:sz w:val="22"/>
          <w:szCs w:val="22"/>
        </w:rPr>
      </w:pPr>
      <w:r>
        <w:rPr>
          <w:i/>
          <w:iCs/>
          <w:sz w:val="22"/>
          <w:szCs w:val="22"/>
        </w:rPr>
        <w:t xml:space="preserve">- Se considera ca produsele clasificate într-o clasă dată îndeplinesc toate cerințele oricarei clase inferioare pentru aceeași metodă de încercare/scenariu de pericol de incendiu. </w:t>
      </w:r>
    </w:p>
    <w:p w14:paraId="3B2E6EE4" w14:textId="77777777" w:rsidR="001C08A5" w:rsidRDefault="00000000">
      <w:pPr>
        <w:jc w:val="both"/>
        <w:rPr>
          <w:i/>
          <w:iCs/>
          <w:sz w:val="22"/>
          <w:szCs w:val="22"/>
        </w:rPr>
      </w:pPr>
      <w:r>
        <w:rPr>
          <w:i/>
          <w:iCs/>
          <w:sz w:val="22"/>
          <w:szCs w:val="22"/>
        </w:rPr>
        <w:t>- Performanta la foc exterior a unui acoperiș/a unei învelitori pentru acoperiș nu depinde numai de proprietățile intrinseci ale componentelor acestuia/acesteia și de condițiile de acțiune a focului, ci, în mare măsură, și de panta acoperișului.</w:t>
      </w:r>
    </w:p>
    <w:p w14:paraId="7F610587" w14:textId="77777777" w:rsidR="001C08A5" w:rsidRDefault="00000000">
      <w:pPr>
        <w:numPr>
          <w:ilvl w:val="255"/>
          <w:numId w:val="0"/>
        </w:numPr>
        <w:jc w:val="both"/>
        <w:rPr>
          <w:i/>
          <w:iCs/>
          <w:sz w:val="22"/>
          <w:szCs w:val="22"/>
        </w:rPr>
      </w:pPr>
      <w:r>
        <w:rPr>
          <w:i/>
          <w:iCs/>
          <w:sz w:val="22"/>
          <w:szCs w:val="22"/>
        </w:rPr>
        <w:t>- Încercări și domenii de aplicare (conform SR EN 13501-5):</w:t>
      </w:r>
    </w:p>
    <w:p w14:paraId="481E110A" w14:textId="77777777" w:rsidR="001C08A5" w:rsidRDefault="00000000">
      <w:pPr>
        <w:jc w:val="both"/>
        <w:rPr>
          <w:b/>
          <w:bCs/>
          <w:i/>
          <w:iCs/>
          <w:sz w:val="22"/>
          <w:szCs w:val="22"/>
        </w:rPr>
      </w:pPr>
      <w:r>
        <w:rPr>
          <w:b/>
          <w:bCs/>
          <w:i/>
          <w:iCs/>
          <w:sz w:val="22"/>
          <w:szCs w:val="22"/>
        </w:rPr>
        <w:t>Incercarea 2</w:t>
      </w:r>
    </w:p>
    <w:p w14:paraId="4480965B" w14:textId="77777777" w:rsidR="001C08A5" w:rsidRDefault="00000000">
      <w:pPr>
        <w:jc w:val="both"/>
        <w:rPr>
          <w:i/>
          <w:iCs/>
          <w:sz w:val="22"/>
          <w:szCs w:val="22"/>
        </w:rPr>
      </w:pPr>
      <w:r>
        <w:rPr>
          <w:i/>
          <w:iCs/>
          <w:sz w:val="22"/>
          <w:szCs w:val="22"/>
        </w:rPr>
        <w:t>- Panta de încercare standardizata este de 30°.</w:t>
      </w:r>
    </w:p>
    <w:p w14:paraId="14150637" w14:textId="77777777" w:rsidR="001C08A5" w:rsidRDefault="00000000">
      <w:pPr>
        <w:jc w:val="both"/>
        <w:rPr>
          <w:i/>
          <w:iCs/>
          <w:sz w:val="22"/>
          <w:szCs w:val="22"/>
        </w:rPr>
      </w:pPr>
      <w:r>
        <w:rPr>
          <w:i/>
          <w:iCs/>
          <w:sz w:val="22"/>
          <w:szCs w:val="22"/>
        </w:rPr>
        <w:t>- Substaturile standardizate sunt:</w:t>
      </w:r>
    </w:p>
    <w:p w14:paraId="059C27B4" w14:textId="77777777" w:rsidR="001C08A5" w:rsidRDefault="00000000">
      <w:pPr>
        <w:ind w:left="420"/>
        <w:jc w:val="both"/>
        <w:rPr>
          <w:i/>
          <w:iCs/>
          <w:sz w:val="22"/>
          <w:szCs w:val="22"/>
        </w:rPr>
      </w:pPr>
      <w:r>
        <w:rPr>
          <w:i/>
          <w:iCs/>
          <w:sz w:val="22"/>
          <w:szCs w:val="22"/>
        </w:rPr>
        <w:t>a) placa aglomerata de lemn (neignifugată), cu densitatea de (680 ± 50) kg/m</w:t>
      </w:r>
      <w:r>
        <w:rPr>
          <w:i/>
          <w:iCs/>
          <w:sz w:val="22"/>
          <w:szCs w:val="22"/>
          <w:vertAlign w:val="superscript"/>
        </w:rPr>
        <w:t>3</w:t>
      </w:r>
      <w:r>
        <w:rPr>
          <w:i/>
          <w:iCs/>
          <w:sz w:val="22"/>
          <w:szCs w:val="22"/>
        </w:rPr>
        <w:t xml:space="preserve"> și grosimea de (19 ± 2) mm;</w:t>
      </w:r>
    </w:p>
    <w:p w14:paraId="52ABCEF3" w14:textId="77777777" w:rsidR="001C08A5" w:rsidRDefault="00000000">
      <w:pPr>
        <w:ind w:left="420"/>
        <w:jc w:val="both"/>
        <w:rPr>
          <w:i/>
          <w:iCs/>
          <w:sz w:val="22"/>
          <w:szCs w:val="22"/>
        </w:rPr>
      </w:pPr>
      <w:r>
        <w:rPr>
          <w:i/>
          <w:iCs/>
          <w:sz w:val="22"/>
          <w:szCs w:val="22"/>
        </w:rPr>
        <w:t>b) polistiren expandat (EPS) (neignifugat), cu densitatea de (20 ± 5) kg/m</w:t>
      </w:r>
      <w:r>
        <w:rPr>
          <w:i/>
          <w:iCs/>
          <w:sz w:val="22"/>
          <w:szCs w:val="22"/>
          <w:vertAlign w:val="superscript"/>
        </w:rPr>
        <w:t>3</w:t>
      </w:r>
      <w:r>
        <w:rPr>
          <w:i/>
          <w:iCs/>
          <w:sz w:val="22"/>
          <w:szCs w:val="22"/>
        </w:rPr>
        <w:t xml:space="preserve"> și grosimea de (50 ± 10) mm;</w:t>
      </w:r>
    </w:p>
    <w:p w14:paraId="242F20B6" w14:textId="77777777" w:rsidR="001C08A5" w:rsidRDefault="00000000">
      <w:pPr>
        <w:ind w:left="420"/>
        <w:jc w:val="both"/>
        <w:rPr>
          <w:i/>
          <w:iCs/>
          <w:sz w:val="22"/>
          <w:szCs w:val="22"/>
        </w:rPr>
      </w:pPr>
      <w:r>
        <w:rPr>
          <w:i/>
          <w:iCs/>
          <w:sz w:val="22"/>
          <w:szCs w:val="22"/>
        </w:rPr>
        <w:t>c) placă armată de silicat de calciu, cu densitatea de (680 ± 50) kg/m</w:t>
      </w:r>
      <w:r>
        <w:rPr>
          <w:i/>
          <w:iCs/>
          <w:sz w:val="22"/>
          <w:szCs w:val="22"/>
          <w:vertAlign w:val="superscript"/>
        </w:rPr>
        <w:t>3</w:t>
      </w:r>
      <w:r>
        <w:rPr>
          <w:i/>
          <w:iCs/>
          <w:sz w:val="22"/>
          <w:szCs w:val="22"/>
        </w:rPr>
        <w:t xml:space="preserve"> și grosimea de (10 ± 2) mm;</w:t>
      </w:r>
    </w:p>
    <w:p w14:paraId="3F06B731" w14:textId="77777777" w:rsidR="001C08A5" w:rsidRDefault="00000000">
      <w:pPr>
        <w:ind w:left="420"/>
        <w:jc w:val="both"/>
        <w:rPr>
          <w:i/>
          <w:iCs/>
          <w:sz w:val="22"/>
          <w:szCs w:val="22"/>
        </w:rPr>
      </w:pPr>
      <w:r>
        <w:rPr>
          <w:i/>
          <w:iCs/>
          <w:sz w:val="22"/>
          <w:szCs w:val="22"/>
        </w:rPr>
        <w:t>d) vată minerală, cu densitatea de (150 ± 20) kg/m</w:t>
      </w:r>
      <w:r>
        <w:rPr>
          <w:i/>
          <w:iCs/>
          <w:sz w:val="22"/>
          <w:szCs w:val="22"/>
          <w:vertAlign w:val="superscript"/>
        </w:rPr>
        <w:t>3</w:t>
      </w:r>
      <w:r>
        <w:rPr>
          <w:i/>
          <w:iCs/>
          <w:sz w:val="22"/>
          <w:szCs w:val="22"/>
        </w:rPr>
        <w:t xml:space="preserve"> și grosimea de (50 ± 10) mm.</w:t>
      </w:r>
    </w:p>
    <w:p w14:paraId="7FAE9ACE" w14:textId="77777777" w:rsidR="001C08A5" w:rsidRDefault="00000000">
      <w:pPr>
        <w:jc w:val="both"/>
        <w:rPr>
          <w:i/>
          <w:iCs/>
          <w:sz w:val="22"/>
          <w:szCs w:val="22"/>
        </w:rPr>
      </w:pPr>
      <w:r>
        <w:rPr>
          <w:i/>
          <w:iCs/>
          <w:sz w:val="22"/>
          <w:szCs w:val="22"/>
        </w:rPr>
        <w:t>- Încercările pot fi efectuate cu substratul din utilizarea finală, dar, în acest caz, rezultatul încercării obținut este aplicabil doar pentru aceasta utilizare finală.</w:t>
      </w:r>
    </w:p>
    <w:p w14:paraId="6875C007" w14:textId="77777777" w:rsidR="001C08A5" w:rsidRDefault="00000000">
      <w:pPr>
        <w:jc w:val="both"/>
        <w:rPr>
          <w:i/>
          <w:iCs/>
          <w:sz w:val="22"/>
          <w:szCs w:val="22"/>
        </w:rPr>
      </w:pPr>
      <w:r>
        <w:rPr>
          <w:i/>
          <w:iCs/>
          <w:sz w:val="22"/>
          <w:szCs w:val="22"/>
        </w:rPr>
        <w:t>- Domeniu direct de aplicare a rezultatelor încercării:</w:t>
      </w:r>
    </w:p>
    <w:p w14:paraId="0854BBAA" w14:textId="77777777" w:rsidR="001C08A5" w:rsidRDefault="00000000">
      <w:pPr>
        <w:ind w:left="1260"/>
        <w:jc w:val="both"/>
        <w:rPr>
          <w:i/>
          <w:iCs/>
          <w:sz w:val="22"/>
          <w:szCs w:val="22"/>
        </w:rPr>
      </w:pPr>
      <w:r>
        <w:rPr>
          <w:i/>
          <w:iCs/>
          <w:sz w:val="22"/>
          <w:szCs w:val="22"/>
        </w:rPr>
        <w:t>a) Rezultatele încercării obținute cu o pantă de 30° sunt valabile pentru toate pantele.</w:t>
      </w:r>
    </w:p>
    <w:p w14:paraId="35B02A8C" w14:textId="77777777" w:rsidR="001C08A5" w:rsidRDefault="00000000">
      <w:pPr>
        <w:ind w:left="1260"/>
        <w:jc w:val="both"/>
        <w:rPr>
          <w:i/>
          <w:iCs/>
          <w:sz w:val="22"/>
          <w:szCs w:val="22"/>
        </w:rPr>
      </w:pPr>
      <w:r>
        <w:rPr>
          <w:i/>
          <w:iCs/>
          <w:sz w:val="22"/>
          <w:szCs w:val="22"/>
        </w:rPr>
        <w:t>b) Rezultatele încercării obținute pentru o învelitoare pentru acoperiș fixată pe un substrat se aplică numai pentru învelitoarea pentru acoperiș pe substraturi care au o densitate mai mare sau egala cu de 0,75 ori densitatea utilizată la încercare.</w:t>
      </w:r>
    </w:p>
    <w:p w14:paraId="425D02C5" w14:textId="77777777" w:rsidR="001C08A5" w:rsidRDefault="00000000">
      <w:pPr>
        <w:ind w:left="1260"/>
        <w:jc w:val="both"/>
        <w:rPr>
          <w:i/>
          <w:iCs/>
          <w:sz w:val="22"/>
          <w:szCs w:val="22"/>
        </w:rPr>
      </w:pPr>
      <w:r>
        <w:rPr>
          <w:i/>
          <w:iCs/>
          <w:sz w:val="22"/>
          <w:szCs w:val="22"/>
        </w:rPr>
        <w:t>c) Rezultatele încercării obținute pe un substrat incombustibil standardizat se aplică numai pentru substraturi incombustibile care respectă și cerința de la lit. b).</w:t>
      </w:r>
    </w:p>
    <w:p w14:paraId="0540051B" w14:textId="77777777" w:rsidR="001C08A5" w:rsidRDefault="00000000">
      <w:pPr>
        <w:ind w:left="1260"/>
        <w:jc w:val="both"/>
        <w:rPr>
          <w:i/>
          <w:iCs/>
          <w:sz w:val="22"/>
          <w:szCs w:val="22"/>
        </w:rPr>
      </w:pPr>
      <w:r>
        <w:rPr>
          <w:i/>
          <w:iCs/>
          <w:sz w:val="22"/>
          <w:szCs w:val="22"/>
        </w:rPr>
        <w:t>d) Rezultatele încercării obținute pe un substrat combustibil standardizat se aplică pentru substraturi combustibile și incombustibile care respectă și cerința de la lit. b).</w:t>
      </w:r>
    </w:p>
    <w:p w14:paraId="04107F81" w14:textId="77777777" w:rsidR="001C08A5" w:rsidRDefault="00000000">
      <w:pPr>
        <w:ind w:left="1260"/>
        <w:jc w:val="both"/>
        <w:rPr>
          <w:i/>
          <w:iCs/>
          <w:sz w:val="22"/>
          <w:szCs w:val="22"/>
        </w:rPr>
      </w:pPr>
      <w:r>
        <w:rPr>
          <w:i/>
          <w:iCs/>
          <w:sz w:val="22"/>
          <w:szCs w:val="22"/>
        </w:rPr>
        <w:t>e) Rezultatele încercării obținute pe un substrat nestandardizat se aplică numai pentru substratul respectiv, care respecta si cerința de la lit. b).</w:t>
      </w:r>
    </w:p>
    <w:p w14:paraId="07F82F2A" w14:textId="77777777" w:rsidR="001C08A5" w:rsidRDefault="00000000">
      <w:pPr>
        <w:jc w:val="both"/>
        <w:rPr>
          <w:b/>
          <w:bCs/>
          <w:i/>
          <w:iCs/>
          <w:sz w:val="22"/>
          <w:szCs w:val="22"/>
        </w:rPr>
      </w:pPr>
      <w:r>
        <w:rPr>
          <w:b/>
          <w:bCs/>
          <w:i/>
          <w:iCs/>
          <w:sz w:val="22"/>
          <w:szCs w:val="22"/>
        </w:rPr>
        <w:t>Incercarea 3</w:t>
      </w:r>
    </w:p>
    <w:p w14:paraId="573613AE" w14:textId="77777777" w:rsidR="001C08A5" w:rsidRDefault="00000000">
      <w:pPr>
        <w:jc w:val="both"/>
        <w:rPr>
          <w:i/>
          <w:iCs/>
          <w:sz w:val="22"/>
          <w:szCs w:val="22"/>
        </w:rPr>
      </w:pPr>
      <w:r>
        <w:rPr>
          <w:i/>
          <w:iCs/>
          <w:sz w:val="22"/>
          <w:szCs w:val="22"/>
        </w:rPr>
        <w:t>- Pantele de încercare standardizate sunt 5° si 30°. Încercările pot fi efectuate și cu panta preconizată efectivă. Clasificarea astfel obtinută este valabilă numai pentru panta respectivă.</w:t>
      </w:r>
    </w:p>
    <w:p w14:paraId="509DE79B" w14:textId="77777777" w:rsidR="001C08A5" w:rsidRDefault="00000000">
      <w:pPr>
        <w:jc w:val="both"/>
        <w:rPr>
          <w:i/>
          <w:iCs/>
          <w:sz w:val="22"/>
          <w:szCs w:val="22"/>
        </w:rPr>
      </w:pPr>
      <w:r>
        <w:rPr>
          <w:i/>
          <w:iCs/>
          <w:sz w:val="22"/>
          <w:szCs w:val="22"/>
        </w:rPr>
        <w:t>- Suporturile standardizate sunt:</w:t>
      </w:r>
    </w:p>
    <w:p w14:paraId="54CB06A4" w14:textId="77777777" w:rsidR="001C08A5" w:rsidRDefault="00000000">
      <w:pPr>
        <w:ind w:left="420"/>
        <w:jc w:val="both"/>
        <w:rPr>
          <w:i/>
          <w:iCs/>
          <w:sz w:val="22"/>
          <w:szCs w:val="22"/>
        </w:rPr>
      </w:pPr>
      <w:r>
        <w:rPr>
          <w:i/>
          <w:iCs/>
          <w:sz w:val="22"/>
          <w:szCs w:val="22"/>
        </w:rPr>
        <w:t>a) suport din placă aglomerată de lemn, construit din scânduri de 250 mm latime x 16 mm grosime, cu o densitate de (680 ± 50) kg/m</w:t>
      </w:r>
      <w:r>
        <w:rPr>
          <w:i/>
          <w:iCs/>
          <w:sz w:val="22"/>
          <w:szCs w:val="22"/>
          <w:vertAlign w:val="superscript"/>
        </w:rPr>
        <w:t>3</w:t>
      </w:r>
      <w:r>
        <w:rPr>
          <w:i/>
          <w:iCs/>
          <w:sz w:val="22"/>
          <w:szCs w:val="22"/>
        </w:rPr>
        <w:t>, cu margini drepte și îmbinate strâns una lângă alta, astfel încât rosturile dintre scânduri să nu depășească 0,5 mm;</w:t>
      </w:r>
    </w:p>
    <w:p w14:paraId="0BCA998C" w14:textId="77777777" w:rsidR="001C08A5" w:rsidRDefault="00000000">
      <w:pPr>
        <w:ind w:left="420"/>
        <w:jc w:val="both"/>
        <w:rPr>
          <w:i/>
          <w:iCs/>
          <w:sz w:val="22"/>
          <w:szCs w:val="22"/>
        </w:rPr>
      </w:pPr>
      <w:r>
        <w:rPr>
          <w:i/>
          <w:iCs/>
          <w:sz w:val="22"/>
          <w:szCs w:val="22"/>
        </w:rPr>
        <w:t>b) suport din scânduri din plăci aglomerate de lemn ca la a), cu margini drepte, cu rosturi de (5 ± 0,5) mm;</w:t>
      </w:r>
    </w:p>
    <w:p w14:paraId="76714CC6" w14:textId="77777777" w:rsidR="001C08A5" w:rsidRDefault="00000000">
      <w:pPr>
        <w:ind w:left="420"/>
        <w:jc w:val="both"/>
        <w:rPr>
          <w:i/>
          <w:iCs/>
          <w:sz w:val="22"/>
          <w:szCs w:val="22"/>
        </w:rPr>
      </w:pPr>
      <w:r>
        <w:rPr>
          <w:i/>
          <w:iCs/>
          <w:sz w:val="22"/>
          <w:szCs w:val="22"/>
        </w:rPr>
        <w:t>c) suport din placă armată de silicat de calciu, de (12 ± 2) mm grosime, cu densitatea în stare uscată de (680 ± 50) kg/m3;</w:t>
      </w:r>
    </w:p>
    <w:p w14:paraId="739B3B9E" w14:textId="77777777" w:rsidR="001C08A5" w:rsidRDefault="00000000">
      <w:pPr>
        <w:ind w:left="420"/>
        <w:jc w:val="both"/>
        <w:rPr>
          <w:i/>
          <w:iCs/>
          <w:sz w:val="22"/>
          <w:szCs w:val="22"/>
        </w:rPr>
      </w:pPr>
      <w:r>
        <w:rPr>
          <w:i/>
          <w:iCs/>
          <w:sz w:val="22"/>
          <w:szCs w:val="22"/>
        </w:rPr>
        <w:t>d) suport din oțel cu profil trapezoidal;</w:t>
      </w:r>
    </w:p>
    <w:p w14:paraId="254B079F" w14:textId="77777777" w:rsidR="001C08A5" w:rsidRDefault="00000000">
      <w:pPr>
        <w:ind w:left="420"/>
        <w:jc w:val="both"/>
        <w:rPr>
          <w:i/>
          <w:iCs/>
          <w:sz w:val="22"/>
          <w:szCs w:val="22"/>
        </w:rPr>
      </w:pPr>
      <w:r>
        <w:rPr>
          <w:i/>
          <w:iCs/>
          <w:sz w:val="22"/>
          <w:szCs w:val="22"/>
        </w:rPr>
        <w:t>e) fără niciun suport continuu.</w:t>
      </w:r>
    </w:p>
    <w:p w14:paraId="4A7035E7" w14:textId="77777777" w:rsidR="001C08A5" w:rsidRDefault="00000000">
      <w:pPr>
        <w:jc w:val="both"/>
        <w:rPr>
          <w:i/>
          <w:iCs/>
          <w:sz w:val="22"/>
          <w:szCs w:val="22"/>
        </w:rPr>
      </w:pPr>
      <w:r>
        <w:rPr>
          <w:i/>
          <w:iCs/>
          <w:sz w:val="22"/>
          <w:szCs w:val="22"/>
        </w:rPr>
        <w:t>- Încercările pot fi, de asemenea, efectuate cu suportul efectiv preconizat. Clasificarea obținută astfel este valabilă doar pentru suportul încercat.</w:t>
      </w:r>
    </w:p>
    <w:p w14:paraId="4DD0C246" w14:textId="77777777" w:rsidR="001C08A5" w:rsidRDefault="00000000">
      <w:pPr>
        <w:jc w:val="both"/>
        <w:rPr>
          <w:i/>
          <w:iCs/>
          <w:sz w:val="22"/>
          <w:szCs w:val="22"/>
        </w:rPr>
      </w:pPr>
      <w:r>
        <w:rPr>
          <w:i/>
          <w:iCs/>
          <w:sz w:val="22"/>
          <w:szCs w:val="22"/>
        </w:rPr>
        <w:t>- Domeniu direct de aplicare a rezultatelor încercării:</w:t>
      </w:r>
    </w:p>
    <w:p w14:paraId="5CB9CBB9" w14:textId="77777777" w:rsidR="001C08A5" w:rsidRDefault="00000000">
      <w:pPr>
        <w:ind w:firstLine="720"/>
        <w:jc w:val="both"/>
        <w:rPr>
          <w:i/>
          <w:iCs/>
          <w:sz w:val="22"/>
          <w:szCs w:val="22"/>
        </w:rPr>
      </w:pPr>
      <w:r>
        <w:rPr>
          <w:i/>
          <w:iCs/>
          <w:sz w:val="22"/>
          <w:szCs w:val="22"/>
        </w:rPr>
        <w:t>1) Panta:</w:t>
      </w:r>
    </w:p>
    <w:p w14:paraId="5EC95F4F" w14:textId="77777777" w:rsidR="001C08A5" w:rsidRDefault="00000000">
      <w:pPr>
        <w:ind w:left="1260"/>
        <w:jc w:val="both"/>
        <w:rPr>
          <w:i/>
          <w:iCs/>
          <w:sz w:val="22"/>
          <w:szCs w:val="22"/>
        </w:rPr>
      </w:pPr>
      <w:r>
        <w:rPr>
          <w:i/>
          <w:iCs/>
          <w:sz w:val="22"/>
          <w:szCs w:val="22"/>
        </w:rPr>
        <w:t>- Rezultatele încercării obținute pentru o pantă de 5° se aplică la acoperișuri cu pante &lt; 10°.</w:t>
      </w:r>
    </w:p>
    <w:p w14:paraId="6E5A3123" w14:textId="77777777" w:rsidR="001C08A5" w:rsidRDefault="00000000">
      <w:pPr>
        <w:ind w:left="1260"/>
        <w:jc w:val="both"/>
        <w:rPr>
          <w:i/>
          <w:iCs/>
          <w:sz w:val="22"/>
          <w:szCs w:val="22"/>
        </w:rPr>
      </w:pPr>
      <w:r>
        <w:rPr>
          <w:i/>
          <w:iCs/>
          <w:sz w:val="22"/>
          <w:szCs w:val="22"/>
        </w:rPr>
        <w:t>- Rezultatele încercării obținute pentru o panta de 30° se aplică la acoperișuri cu pante &gt; 10° si &lt; 70°.</w:t>
      </w:r>
    </w:p>
    <w:p w14:paraId="151C0AF2" w14:textId="77777777" w:rsidR="001C08A5" w:rsidRDefault="00000000">
      <w:pPr>
        <w:ind w:left="1260"/>
        <w:jc w:val="both"/>
        <w:rPr>
          <w:i/>
          <w:iCs/>
          <w:sz w:val="22"/>
          <w:szCs w:val="22"/>
        </w:rPr>
      </w:pPr>
      <w:r>
        <w:rPr>
          <w:i/>
          <w:iCs/>
          <w:sz w:val="22"/>
          <w:szCs w:val="22"/>
        </w:rPr>
        <w:t>- Rezultatele încercării obținute pentru o alta pantă specificată se aplică numai la acoperișurile cu panta respectivă.</w:t>
      </w:r>
    </w:p>
    <w:p w14:paraId="6FDCA9DF" w14:textId="77777777" w:rsidR="001C08A5" w:rsidRDefault="00000000">
      <w:pPr>
        <w:ind w:firstLine="720"/>
        <w:jc w:val="both"/>
        <w:rPr>
          <w:i/>
          <w:iCs/>
          <w:sz w:val="22"/>
          <w:szCs w:val="22"/>
        </w:rPr>
      </w:pPr>
      <w:r>
        <w:rPr>
          <w:i/>
          <w:iCs/>
          <w:sz w:val="22"/>
          <w:szCs w:val="22"/>
        </w:rPr>
        <w:t>2) Natura suportului:</w:t>
      </w:r>
    </w:p>
    <w:p w14:paraId="7F6DC68B" w14:textId="77777777" w:rsidR="001C08A5" w:rsidRDefault="00000000">
      <w:pPr>
        <w:ind w:left="720" w:firstLine="720"/>
        <w:jc w:val="both"/>
        <w:rPr>
          <w:i/>
          <w:iCs/>
          <w:sz w:val="22"/>
          <w:szCs w:val="22"/>
        </w:rPr>
      </w:pPr>
      <w:r>
        <w:rPr>
          <w:i/>
          <w:iCs/>
          <w:sz w:val="22"/>
          <w:szCs w:val="22"/>
        </w:rPr>
        <w:t>2.1) Încercare cu suporturi standardizate:</w:t>
      </w:r>
    </w:p>
    <w:p w14:paraId="3166D07D" w14:textId="77777777" w:rsidR="001C08A5" w:rsidRDefault="00000000">
      <w:pPr>
        <w:jc w:val="both"/>
        <w:rPr>
          <w:i/>
          <w:iCs/>
          <w:sz w:val="22"/>
          <w:szCs w:val="22"/>
        </w:rPr>
      </w:pPr>
      <w:r>
        <w:rPr>
          <w:i/>
          <w:iCs/>
          <w:sz w:val="22"/>
          <w:szCs w:val="22"/>
        </w:rPr>
        <w:lastRenderedPageBreak/>
        <w:t>Rezultatele încercării obținute cu suporturi standardizate trebuie aplicate la toate sistemele cu aceleași componente (inclusiv grosimea), montate în același mod, dar cu suporturi diferite, după cum urmează:</w:t>
      </w:r>
    </w:p>
    <w:p w14:paraId="505906FA" w14:textId="77777777" w:rsidR="001C08A5" w:rsidRDefault="00000000">
      <w:pPr>
        <w:tabs>
          <w:tab w:val="left" w:pos="425"/>
        </w:tabs>
        <w:ind w:left="420"/>
        <w:jc w:val="both"/>
        <w:rPr>
          <w:i/>
          <w:iCs/>
          <w:sz w:val="22"/>
          <w:szCs w:val="22"/>
        </w:rPr>
      </w:pPr>
      <w:r>
        <w:rPr>
          <w:i/>
          <w:iCs/>
          <w:sz w:val="22"/>
          <w:szCs w:val="22"/>
        </w:rPr>
        <w:t>a) Rezultatele încercării obținute cu un suport din plăci aglomerate de lemn cu rosturi între scânduri care nu depășesc 0,5 mm se utilizează la:</w:t>
      </w:r>
    </w:p>
    <w:p w14:paraId="026D8E2C" w14:textId="77777777" w:rsidR="001C08A5" w:rsidRDefault="00000000">
      <w:pPr>
        <w:tabs>
          <w:tab w:val="left" w:pos="425"/>
        </w:tabs>
        <w:ind w:left="1440" w:firstLine="720"/>
        <w:jc w:val="both"/>
        <w:rPr>
          <w:i/>
          <w:iCs/>
          <w:sz w:val="22"/>
          <w:szCs w:val="22"/>
        </w:rPr>
      </w:pPr>
      <w:r>
        <w:rPr>
          <w:i/>
          <w:iCs/>
          <w:sz w:val="22"/>
          <w:szCs w:val="22"/>
        </w:rPr>
        <w:t>- orice suport continuu de lemn cu o grosime minimă de 12 mm și cu rosturi care nu depășesc 0,5 mm;</w:t>
      </w:r>
    </w:p>
    <w:p w14:paraId="3FF3F04C" w14:textId="77777777" w:rsidR="001C08A5" w:rsidRDefault="00000000">
      <w:pPr>
        <w:tabs>
          <w:tab w:val="left" w:pos="425"/>
        </w:tabs>
        <w:ind w:left="1440" w:firstLine="720"/>
        <w:jc w:val="both"/>
        <w:rPr>
          <w:i/>
          <w:iCs/>
          <w:sz w:val="22"/>
          <w:szCs w:val="22"/>
        </w:rPr>
      </w:pPr>
      <w:r>
        <w:rPr>
          <w:i/>
          <w:iCs/>
          <w:sz w:val="22"/>
          <w:szCs w:val="22"/>
        </w:rPr>
        <w:t>- orice suport continuu incombustibil cu o grosime minimă de 10 mm, fără rosturi.</w:t>
      </w:r>
    </w:p>
    <w:p w14:paraId="0C5663F0" w14:textId="77777777" w:rsidR="001C08A5" w:rsidRDefault="00000000">
      <w:pPr>
        <w:tabs>
          <w:tab w:val="left" w:pos="425"/>
        </w:tabs>
        <w:ind w:left="420"/>
        <w:jc w:val="both"/>
        <w:rPr>
          <w:i/>
          <w:iCs/>
          <w:sz w:val="22"/>
          <w:szCs w:val="22"/>
        </w:rPr>
      </w:pPr>
      <w:r>
        <w:rPr>
          <w:i/>
          <w:iCs/>
          <w:sz w:val="22"/>
          <w:szCs w:val="22"/>
        </w:rPr>
        <w:t>b) Rezultatele încercării obținute cu un suport de plăci aglomerate de lemn, cu rosturi între scânduri de (5,0 ± 0,5) mm se utilizează la:</w:t>
      </w:r>
    </w:p>
    <w:p w14:paraId="6944ADE0" w14:textId="77777777" w:rsidR="001C08A5" w:rsidRDefault="00000000">
      <w:pPr>
        <w:tabs>
          <w:tab w:val="left" w:pos="425"/>
        </w:tabs>
        <w:ind w:left="1440" w:firstLine="720"/>
        <w:jc w:val="both"/>
        <w:rPr>
          <w:i/>
          <w:iCs/>
          <w:sz w:val="22"/>
          <w:szCs w:val="22"/>
        </w:rPr>
      </w:pPr>
      <w:r>
        <w:rPr>
          <w:i/>
          <w:iCs/>
          <w:sz w:val="22"/>
          <w:szCs w:val="22"/>
        </w:rPr>
        <w:t>- orice suport continuu de lemn cu o grosime minimă de 12 mm;</w:t>
      </w:r>
    </w:p>
    <w:p w14:paraId="0ACF535A" w14:textId="77777777" w:rsidR="001C08A5" w:rsidRDefault="00000000">
      <w:pPr>
        <w:tabs>
          <w:tab w:val="left" w:pos="425"/>
        </w:tabs>
        <w:ind w:left="1440" w:firstLine="720"/>
        <w:jc w:val="both"/>
        <w:rPr>
          <w:i/>
          <w:iCs/>
          <w:sz w:val="22"/>
          <w:szCs w:val="22"/>
        </w:rPr>
      </w:pPr>
      <w:r>
        <w:rPr>
          <w:i/>
          <w:iCs/>
          <w:sz w:val="22"/>
          <w:szCs w:val="22"/>
        </w:rPr>
        <w:t>- orice suport din scânduri de lemn cu margini netede;</w:t>
      </w:r>
    </w:p>
    <w:p w14:paraId="4EBD6987" w14:textId="77777777" w:rsidR="001C08A5" w:rsidRDefault="00000000">
      <w:pPr>
        <w:tabs>
          <w:tab w:val="left" w:pos="425"/>
        </w:tabs>
        <w:ind w:left="1440" w:firstLine="720"/>
        <w:jc w:val="both"/>
        <w:rPr>
          <w:i/>
          <w:iCs/>
          <w:sz w:val="22"/>
          <w:szCs w:val="22"/>
        </w:rPr>
      </w:pPr>
      <w:r>
        <w:rPr>
          <w:i/>
          <w:iCs/>
          <w:sz w:val="22"/>
          <w:szCs w:val="22"/>
        </w:rPr>
        <w:t>- orice suport incombustibil cu rosturi care nu depășesc 5 mm.</w:t>
      </w:r>
    </w:p>
    <w:p w14:paraId="538644F8" w14:textId="77777777" w:rsidR="001C08A5" w:rsidRDefault="00000000">
      <w:pPr>
        <w:tabs>
          <w:tab w:val="left" w:pos="425"/>
        </w:tabs>
        <w:ind w:left="420"/>
        <w:jc w:val="both"/>
        <w:rPr>
          <w:i/>
          <w:iCs/>
          <w:sz w:val="22"/>
          <w:szCs w:val="22"/>
        </w:rPr>
      </w:pPr>
      <w:r>
        <w:rPr>
          <w:i/>
          <w:iCs/>
          <w:sz w:val="22"/>
          <w:szCs w:val="22"/>
        </w:rPr>
        <w:t xml:space="preserve">c) Rezultatele încercării obținute cu o placă armată de silicat de calciu se utilizează la: </w:t>
      </w:r>
    </w:p>
    <w:p w14:paraId="6110D1A2" w14:textId="77777777" w:rsidR="001C08A5" w:rsidRDefault="00000000">
      <w:pPr>
        <w:tabs>
          <w:tab w:val="left" w:pos="425"/>
        </w:tabs>
        <w:ind w:left="1440" w:firstLine="720"/>
        <w:jc w:val="both"/>
        <w:rPr>
          <w:i/>
          <w:iCs/>
          <w:sz w:val="22"/>
          <w:szCs w:val="22"/>
        </w:rPr>
      </w:pPr>
      <w:r>
        <w:rPr>
          <w:i/>
          <w:iCs/>
          <w:sz w:val="22"/>
          <w:szCs w:val="22"/>
        </w:rPr>
        <w:t>- orice suport continuu incombustibil cu o grosime minimă de 10 mm.</w:t>
      </w:r>
    </w:p>
    <w:p w14:paraId="5D471123" w14:textId="77777777" w:rsidR="001C08A5" w:rsidRDefault="00000000">
      <w:pPr>
        <w:tabs>
          <w:tab w:val="left" w:pos="425"/>
        </w:tabs>
        <w:ind w:left="420"/>
        <w:jc w:val="both"/>
        <w:rPr>
          <w:i/>
          <w:iCs/>
          <w:sz w:val="22"/>
          <w:szCs w:val="22"/>
        </w:rPr>
      </w:pPr>
      <w:r>
        <w:rPr>
          <w:i/>
          <w:iCs/>
          <w:sz w:val="22"/>
          <w:szCs w:val="22"/>
        </w:rPr>
        <w:t xml:space="preserve">d) Rezultatele încercării obținute cu un suport de oțel cu profil trapezoidal se utilizează la: </w:t>
      </w:r>
    </w:p>
    <w:p w14:paraId="0A694B07" w14:textId="77777777" w:rsidR="001C08A5" w:rsidRDefault="00000000">
      <w:pPr>
        <w:tabs>
          <w:tab w:val="left" w:pos="425"/>
        </w:tabs>
        <w:ind w:left="1440" w:firstLine="720"/>
        <w:jc w:val="both"/>
        <w:rPr>
          <w:i/>
          <w:iCs/>
          <w:sz w:val="22"/>
          <w:szCs w:val="22"/>
        </w:rPr>
      </w:pPr>
      <w:r>
        <w:rPr>
          <w:i/>
          <w:iCs/>
          <w:sz w:val="22"/>
          <w:szCs w:val="22"/>
        </w:rPr>
        <w:t>- orice suport de oțel profilat și neperforat;</w:t>
      </w:r>
    </w:p>
    <w:p w14:paraId="047000D2" w14:textId="77777777" w:rsidR="001C08A5" w:rsidRDefault="00000000">
      <w:pPr>
        <w:tabs>
          <w:tab w:val="left" w:pos="425"/>
        </w:tabs>
        <w:ind w:left="1440" w:firstLine="720"/>
        <w:jc w:val="both"/>
        <w:rPr>
          <w:i/>
          <w:iCs/>
          <w:sz w:val="22"/>
          <w:szCs w:val="22"/>
        </w:rPr>
      </w:pPr>
      <w:r>
        <w:rPr>
          <w:i/>
          <w:iCs/>
          <w:sz w:val="22"/>
          <w:szCs w:val="22"/>
        </w:rPr>
        <w:t>- orice suport continuu incombustibil cu o grosime minimă de 10 mm.</w:t>
      </w:r>
    </w:p>
    <w:p w14:paraId="57DC3162" w14:textId="77777777" w:rsidR="001C08A5" w:rsidRDefault="00000000">
      <w:pPr>
        <w:tabs>
          <w:tab w:val="left" w:pos="425"/>
        </w:tabs>
        <w:ind w:left="420"/>
        <w:jc w:val="both"/>
        <w:rPr>
          <w:i/>
          <w:iCs/>
          <w:sz w:val="22"/>
          <w:szCs w:val="22"/>
        </w:rPr>
      </w:pPr>
      <w:r>
        <w:rPr>
          <w:i/>
          <w:iCs/>
          <w:sz w:val="22"/>
          <w:szCs w:val="22"/>
        </w:rPr>
        <w:t>e) Rezultatele încercării obținute fără niciun suport continuu se utilizează numai la sisteme fără suport continuu.</w:t>
      </w:r>
    </w:p>
    <w:p w14:paraId="355F662D" w14:textId="77777777" w:rsidR="001C08A5" w:rsidRDefault="00000000">
      <w:pPr>
        <w:ind w:left="720" w:firstLine="720"/>
        <w:jc w:val="both"/>
        <w:rPr>
          <w:i/>
          <w:iCs/>
          <w:sz w:val="22"/>
          <w:szCs w:val="22"/>
        </w:rPr>
      </w:pPr>
      <w:r>
        <w:rPr>
          <w:i/>
          <w:iCs/>
          <w:sz w:val="22"/>
          <w:szCs w:val="22"/>
        </w:rPr>
        <w:t>2.2) Încercare cu un alt suport:</w:t>
      </w:r>
    </w:p>
    <w:p w14:paraId="27DFA391" w14:textId="77777777" w:rsidR="001C08A5" w:rsidRDefault="00000000">
      <w:pPr>
        <w:jc w:val="both"/>
        <w:rPr>
          <w:i/>
          <w:iCs/>
          <w:sz w:val="22"/>
          <w:szCs w:val="22"/>
        </w:rPr>
      </w:pPr>
      <w:r>
        <w:rPr>
          <w:i/>
          <w:iCs/>
          <w:sz w:val="22"/>
          <w:szCs w:val="22"/>
        </w:rPr>
        <w:t>Rezultatele încercării obținute cu un alt suport se utilizează numai pentru sistemul de acoperiș respectiv (de exemplu, componența, materialele, dimensiunile componentelor și grosimea sunt identice).</w:t>
      </w:r>
    </w:p>
    <w:p w14:paraId="4992B5A3" w14:textId="77777777" w:rsidR="001C08A5" w:rsidRDefault="00000000">
      <w:pPr>
        <w:jc w:val="both"/>
        <w:rPr>
          <w:b/>
          <w:bCs/>
          <w:i/>
          <w:iCs/>
          <w:sz w:val="22"/>
          <w:szCs w:val="22"/>
        </w:rPr>
      </w:pPr>
      <w:r>
        <w:rPr>
          <w:b/>
          <w:bCs/>
          <w:i/>
          <w:iCs/>
          <w:sz w:val="22"/>
          <w:szCs w:val="22"/>
        </w:rPr>
        <w:t>Incercarea 4</w:t>
      </w:r>
    </w:p>
    <w:p w14:paraId="1C4EFE64" w14:textId="77777777" w:rsidR="001C08A5" w:rsidRDefault="00000000">
      <w:pPr>
        <w:jc w:val="both"/>
        <w:rPr>
          <w:i/>
          <w:iCs/>
          <w:sz w:val="22"/>
          <w:szCs w:val="22"/>
          <w:lang w:eastAsia="en-GB"/>
        </w:rPr>
      </w:pPr>
      <w:r>
        <w:rPr>
          <w:i/>
          <w:iCs/>
          <w:sz w:val="22"/>
          <w:szCs w:val="22"/>
        </w:rPr>
        <w:t xml:space="preserve">- </w:t>
      </w:r>
      <w:r>
        <w:rPr>
          <w:i/>
          <w:iCs/>
          <w:sz w:val="22"/>
          <w:szCs w:val="22"/>
          <w:lang w:val="en-GB" w:eastAsia="en-GB"/>
        </w:rPr>
        <w:t xml:space="preserve">Panta de </w:t>
      </w:r>
      <w:r>
        <w:rPr>
          <w:i/>
          <w:iCs/>
          <w:sz w:val="22"/>
          <w:szCs w:val="22"/>
          <w:lang w:eastAsia="en-GB"/>
        </w:rPr>
        <w:t>î</w:t>
      </w:r>
      <w:r>
        <w:rPr>
          <w:i/>
          <w:iCs/>
          <w:sz w:val="22"/>
          <w:szCs w:val="22"/>
          <w:lang w:val="en-GB" w:eastAsia="en-GB"/>
        </w:rPr>
        <w:t>ncercare standardizat</w:t>
      </w:r>
      <w:r>
        <w:rPr>
          <w:i/>
          <w:iCs/>
          <w:sz w:val="22"/>
          <w:szCs w:val="22"/>
          <w:lang w:eastAsia="en-GB"/>
        </w:rPr>
        <w:t xml:space="preserve">ă </w:t>
      </w:r>
      <w:r>
        <w:rPr>
          <w:i/>
          <w:iCs/>
          <w:sz w:val="22"/>
          <w:szCs w:val="22"/>
          <w:lang w:val="en-GB" w:eastAsia="en-GB"/>
        </w:rPr>
        <w:t>este de 45°, cu excep</w:t>
      </w:r>
      <w:r>
        <w:rPr>
          <w:i/>
          <w:iCs/>
          <w:sz w:val="22"/>
          <w:szCs w:val="22"/>
          <w:lang w:eastAsia="en-GB"/>
        </w:rPr>
        <w:t>ț</w:t>
      </w:r>
      <w:r>
        <w:rPr>
          <w:i/>
          <w:iCs/>
          <w:sz w:val="22"/>
          <w:szCs w:val="22"/>
          <w:lang w:val="en-GB" w:eastAsia="en-GB"/>
        </w:rPr>
        <w:t>ia cazului în care epruvetele reprezint</w:t>
      </w:r>
      <w:r>
        <w:rPr>
          <w:i/>
          <w:iCs/>
          <w:sz w:val="22"/>
          <w:szCs w:val="22"/>
          <w:lang w:eastAsia="en-GB"/>
        </w:rPr>
        <w:t xml:space="preserve">ă </w:t>
      </w:r>
      <w:r>
        <w:rPr>
          <w:i/>
          <w:iCs/>
          <w:sz w:val="22"/>
          <w:szCs w:val="22"/>
          <w:lang w:val="en-GB" w:eastAsia="en-GB"/>
        </w:rPr>
        <w:t>acoperi</w:t>
      </w:r>
      <w:r>
        <w:rPr>
          <w:i/>
          <w:iCs/>
          <w:sz w:val="22"/>
          <w:szCs w:val="22"/>
          <w:lang w:eastAsia="en-GB"/>
        </w:rPr>
        <w:t>ș</w:t>
      </w:r>
      <w:r>
        <w:rPr>
          <w:i/>
          <w:iCs/>
          <w:sz w:val="22"/>
          <w:szCs w:val="22"/>
          <w:lang w:val="en-GB" w:eastAsia="en-GB"/>
        </w:rPr>
        <w:t>uri  plate (cu o panta de p</w:t>
      </w:r>
      <w:r>
        <w:rPr>
          <w:i/>
          <w:iCs/>
          <w:sz w:val="22"/>
          <w:szCs w:val="22"/>
          <w:lang w:eastAsia="en-GB"/>
        </w:rPr>
        <w:t>ână</w:t>
      </w:r>
      <w:r>
        <w:rPr>
          <w:i/>
          <w:iCs/>
          <w:sz w:val="22"/>
          <w:szCs w:val="22"/>
          <w:lang w:val="en-GB" w:eastAsia="en-GB"/>
        </w:rPr>
        <w:t xml:space="preserve"> la 10°) si trebuie încercate orizontal. </w:t>
      </w:r>
      <w:r>
        <w:rPr>
          <w:i/>
          <w:iCs/>
          <w:sz w:val="22"/>
          <w:szCs w:val="22"/>
          <w:lang w:eastAsia="en-GB"/>
        </w:rPr>
        <w:t>Î</w:t>
      </w:r>
      <w:r>
        <w:rPr>
          <w:i/>
          <w:iCs/>
          <w:sz w:val="22"/>
          <w:szCs w:val="22"/>
          <w:lang w:val="en-GB" w:eastAsia="en-GB"/>
        </w:rPr>
        <w:t>ncerc</w:t>
      </w:r>
      <w:r>
        <w:rPr>
          <w:i/>
          <w:iCs/>
          <w:sz w:val="22"/>
          <w:szCs w:val="22"/>
          <w:lang w:eastAsia="en-GB"/>
        </w:rPr>
        <w:t>ă</w:t>
      </w:r>
      <w:r>
        <w:rPr>
          <w:i/>
          <w:iCs/>
          <w:sz w:val="22"/>
          <w:szCs w:val="22"/>
          <w:lang w:val="en-GB" w:eastAsia="en-GB"/>
        </w:rPr>
        <w:t xml:space="preserve">rile pot fi effectuate </w:t>
      </w:r>
      <w:r>
        <w:rPr>
          <w:i/>
          <w:iCs/>
          <w:sz w:val="22"/>
          <w:szCs w:val="22"/>
          <w:lang w:eastAsia="en-GB"/>
        </w:rPr>
        <w:t>ș</w:t>
      </w:r>
      <w:r>
        <w:rPr>
          <w:i/>
          <w:iCs/>
          <w:sz w:val="22"/>
          <w:szCs w:val="22"/>
          <w:lang w:val="en-GB" w:eastAsia="en-GB"/>
        </w:rPr>
        <w:t>i cu panta preconizat</w:t>
      </w:r>
      <w:r>
        <w:rPr>
          <w:i/>
          <w:iCs/>
          <w:sz w:val="22"/>
          <w:szCs w:val="22"/>
          <w:lang w:eastAsia="en-GB"/>
        </w:rPr>
        <w:t xml:space="preserve">ă </w:t>
      </w:r>
      <w:r>
        <w:rPr>
          <w:i/>
          <w:iCs/>
          <w:sz w:val="22"/>
          <w:szCs w:val="22"/>
          <w:lang w:val="en-GB" w:eastAsia="en-GB"/>
        </w:rPr>
        <w:t>efectiv</w:t>
      </w:r>
      <w:r>
        <w:rPr>
          <w:i/>
          <w:iCs/>
          <w:sz w:val="22"/>
          <w:szCs w:val="22"/>
          <w:lang w:eastAsia="en-GB"/>
        </w:rPr>
        <w:t>ă</w:t>
      </w:r>
      <w:r>
        <w:rPr>
          <w:i/>
          <w:iCs/>
          <w:sz w:val="22"/>
          <w:szCs w:val="22"/>
          <w:lang w:val="en-GB" w:eastAsia="en-GB"/>
        </w:rPr>
        <w:t>. Clasificarea ob</w:t>
      </w:r>
      <w:r>
        <w:rPr>
          <w:i/>
          <w:iCs/>
          <w:sz w:val="22"/>
          <w:szCs w:val="22"/>
          <w:lang w:eastAsia="en-GB"/>
        </w:rPr>
        <w:t>ț</w:t>
      </w:r>
      <w:r>
        <w:rPr>
          <w:i/>
          <w:iCs/>
          <w:sz w:val="22"/>
          <w:szCs w:val="22"/>
          <w:lang w:val="en-GB" w:eastAsia="en-GB"/>
        </w:rPr>
        <w:t>inut</w:t>
      </w:r>
      <w:r>
        <w:rPr>
          <w:i/>
          <w:iCs/>
          <w:sz w:val="22"/>
          <w:szCs w:val="22"/>
          <w:lang w:eastAsia="en-GB"/>
        </w:rPr>
        <w:t xml:space="preserve">ă </w:t>
      </w:r>
      <w:r>
        <w:rPr>
          <w:i/>
          <w:iCs/>
          <w:sz w:val="22"/>
          <w:szCs w:val="22"/>
          <w:lang w:val="en-GB" w:eastAsia="en-GB"/>
        </w:rPr>
        <w:t>astfel este valabil</w:t>
      </w:r>
      <w:r>
        <w:rPr>
          <w:i/>
          <w:iCs/>
          <w:sz w:val="22"/>
          <w:szCs w:val="22"/>
          <w:lang w:eastAsia="en-GB"/>
        </w:rPr>
        <w:t xml:space="preserve">ă </w:t>
      </w:r>
      <w:r>
        <w:rPr>
          <w:i/>
          <w:iCs/>
          <w:sz w:val="22"/>
          <w:szCs w:val="22"/>
          <w:lang w:val="en-GB" w:eastAsia="en-GB"/>
        </w:rPr>
        <w:t>numai pentru panta respectivă</w:t>
      </w:r>
      <w:r>
        <w:rPr>
          <w:i/>
          <w:iCs/>
          <w:sz w:val="22"/>
          <w:szCs w:val="22"/>
          <w:lang w:eastAsia="en-GB"/>
        </w:rPr>
        <w:t>.</w:t>
      </w:r>
    </w:p>
    <w:p w14:paraId="1D820371" w14:textId="77777777" w:rsidR="001C08A5" w:rsidRDefault="00000000">
      <w:pPr>
        <w:jc w:val="both"/>
        <w:rPr>
          <w:i/>
          <w:iCs/>
          <w:sz w:val="22"/>
          <w:szCs w:val="22"/>
          <w:lang w:val="en-GB" w:eastAsia="en-GB"/>
        </w:rPr>
      </w:pPr>
      <w:r>
        <w:rPr>
          <w:i/>
          <w:iCs/>
          <w:sz w:val="22"/>
          <w:szCs w:val="22"/>
          <w:lang w:eastAsia="en-GB"/>
        </w:rPr>
        <w:t xml:space="preserve">- </w:t>
      </w:r>
      <w:r>
        <w:rPr>
          <w:i/>
          <w:iCs/>
          <w:sz w:val="22"/>
          <w:szCs w:val="22"/>
          <w:lang w:val="en-GB" w:eastAsia="en-GB"/>
        </w:rPr>
        <w:t>Natura suportului</w:t>
      </w:r>
      <w:r>
        <w:rPr>
          <w:i/>
          <w:iCs/>
          <w:sz w:val="22"/>
          <w:szCs w:val="22"/>
          <w:lang w:eastAsia="en-GB"/>
        </w:rPr>
        <w:t>: î</w:t>
      </w:r>
      <w:r>
        <w:rPr>
          <w:i/>
          <w:iCs/>
          <w:sz w:val="22"/>
          <w:szCs w:val="22"/>
          <w:lang w:val="en-GB" w:eastAsia="en-GB"/>
        </w:rPr>
        <w:t>ncerc</w:t>
      </w:r>
      <w:r>
        <w:rPr>
          <w:i/>
          <w:iCs/>
          <w:sz w:val="22"/>
          <w:szCs w:val="22"/>
          <w:lang w:eastAsia="en-GB"/>
        </w:rPr>
        <w:t>ă</w:t>
      </w:r>
      <w:r>
        <w:rPr>
          <w:i/>
          <w:iCs/>
          <w:sz w:val="22"/>
          <w:szCs w:val="22"/>
          <w:lang w:val="en-GB" w:eastAsia="en-GB"/>
        </w:rPr>
        <w:t>rile trebuie efectuate pe o epruveta cu structura complet</w:t>
      </w:r>
      <w:r>
        <w:rPr>
          <w:i/>
          <w:iCs/>
          <w:sz w:val="22"/>
          <w:szCs w:val="22"/>
          <w:lang w:eastAsia="en-GB"/>
        </w:rPr>
        <w:t>ă</w:t>
      </w:r>
      <w:r>
        <w:rPr>
          <w:i/>
          <w:iCs/>
          <w:sz w:val="22"/>
          <w:szCs w:val="22"/>
          <w:lang w:val="en-GB" w:eastAsia="en-GB"/>
        </w:rPr>
        <w:t xml:space="preserve"> a acoperisului, reprezentativ</w:t>
      </w:r>
      <w:r>
        <w:rPr>
          <w:i/>
          <w:iCs/>
          <w:sz w:val="22"/>
          <w:szCs w:val="22"/>
          <w:lang w:eastAsia="en-GB"/>
        </w:rPr>
        <w:t xml:space="preserve">ă </w:t>
      </w:r>
      <w:r>
        <w:rPr>
          <w:i/>
          <w:iCs/>
          <w:sz w:val="22"/>
          <w:szCs w:val="22"/>
          <w:lang w:val="en-GB" w:eastAsia="en-GB"/>
        </w:rPr>
        <w:t>pentru construc</w:t>
      </w:r>
      <w:r>
        <w:rPr>
          <w:i/>
          <w:iCs/>
          <w:sz w:val="22"/>
          <w:szCs w:val="22"/>
          <w:lang w:eastAsia="en-GB"/>
        </w:rPr>
        <w:t>ț</w:t>
      </w:r>
      <w:r>
        <w:rPr>
          <w:i/>
          <w:iCs/>
          <w:sz w:val="22"/>
          <w:szCs w:val="22"/>
          <w:lang w:val="en-GB" w:eastAsia="en-GB"/>
        </w:rPr>
        <w:t>ia complet</w:t>
      </w:r>
      <w:r>
        <w:rPr>
          <w:i/>
          <w:iCs/>
          <w:sz w:val="22"/>
          <w:szCs w:val="22"/>
          <w:lang w:eastAsia="en-GB"/>
        </w:rPr>
        <w:t>ă</w:t>
      </w:r>
      <w:r>
        <w:rPr>
          <w:i/>
          <w:iCs/>
          <w:sz w:val="22"/>
          <w:szCs w:val="22"/>
          <w:lang w:val="en-GB" w:eastAsia="en-GB"/>
        </w:rPr>
        <w:t xml:space="preserve"> a acoperi</w:t>
      </w:r>
      <w:r>
        <w:rPr>
          <w:i/>
          <w:iCs/>
          <w:sz w:val="22"/>
          <w:szCs w:val="22"/>
          <w:lang w:eastAsia="en-GB"/>
        </w:rPr>
        <w:t>ș</w:t>
      </w:r>
      <w:r>
        <w:rPr>
          <w:i/>
          <w:iCs/>
          <w:sz w:val="22"/>
          <w:szCs w:val="22"/>
          <w:lang w:val="en-GB" w:eastAsia="en-GB"/>
        </w:rPr>
        <w:t>ului în utilizare final</w:t>
      </w:r>
      <w:r>
        <w:rPr>
          <w:i/>
          <w:iCs/>
          <w:sz w:val="22"/>
          <w:szCs w:val="22"/>
          <w:lang w:eastAsia="en-GB"/>
        </w:rPr>
        <w:t>ă</w:t>
      </w:r>
      <w:r>
        <w:rPr>
          <w:i/>
          <w:iCs/>
          <w:sz w:val="22"/>
          <w:szCs w:val="22"/>
          <w:lang w:val="en-GB" w:eastAsia="en-GB"/>
        </w:rPr>
        <w:t xml:space="preserve">, care include suportul </w:t>
      </w:r>
      <w:r>
        <w:rPr>
          <w:i/>
          <w:iCs/>
          <w:sz w:val="22"/>
          <w:szCs w:val="22"/>
          <w:lang w:eastAsia="en-GB"/>
        </w:rPr>
        <w:t>ș</w:t>
      </w:r>
      <w:r>
        <w:rPr>
          <w:i/>
          <w:iCs/>
          <w:sz w:val="22"/>
          <w:szCs w:val="22"/>
          <w:lang w:val="en-GB" w:eastAsia="en-GB"/>
        </w:rPr>
        <w:t>i structura de sus</w:t>
      </w:r>
      <w:r>
        <w:rPr>
          <w:i/>
          <w:iCs/>
          <w:sz w:val="22"/>
          <w:szCs w:val="22"/>
          <w:lang w:eastAsia="en-GB"/>
        </w:rPr>
        <w:t>ț</w:t>
      </w:r>
      <w:r>
        <w:rPr>
          <w:i/>
          <w:iCs/>
          <w:sz w:val="22"/>
          <w:szCs w:val="22"/>
          <w:lang w:val="en-GB" w:eastAsia="en-GB"/>
        </w:rPr>
        <w:t>iner eefectiv</w:t>
      </w:r>
      <w:r>
        <w:rPr>
          <w:i/>
          <w:iCs/>
          <w:sz w:val="22"/>
          <w:szCs w:val="22"/>
          <w:lang w:eastAsia="en-GB"/>
        </w:rPr>
        <w:t>ă</w:t>
      </w:r>
      <w:r>
        <w:rPr>
          <w:i/>
          <w:iCs/>
          <w:sz w:val="22"/>
          <w:szCs w:val="22"/>
          <w:lang w:val="en-GB" w:eastAsia="en-GB"/>
        </w:rPr>
        <w:t>.</w:t>
      </w:r>
    </w:p>
    <w:p w14:paraId="1FCAD9F9" w14:textId="77777777" w:rsidR="001C08A5" w:rsidRDefault="00000000">
      <w:pPr>
        <w:jc w:val="both"/>
        <w:rPr>
          <w:i/>
          <w:iCs/>
          <w:sz w:val="22"/>
          <w:szCs w:val="22"/>
          <w:lang w:val="en-GB" w:eastAsia="en-GB"/>
        </w:rPr>
      </w:pPr>
      <w:r>
        <w:rPr>
          <w:i/>
          <w:iCs/>
          <w:sz w:val="22"/>
          <w:szCs w:val="22"/>
          <w:lang w:eastAsia="en-GB"/>
        </w:rPr>
        <w:t xml:space="preserve">- </w:t>
      </w:r>
      <w:r>
        <w:rPr>
          <w:i/>
          <w:iCs/>
          <w:sz w:val="22"/>
          <w:szCs w:val="22"/>
          <w:lang w:val="en-GB" w:eastAsia="en-GB"/>
        </w:rPr>
        <w:t>Includerea îmbinarilor</w:t>
      </w:r>
      <w:r>
        <w:rPr>
          <w:i/>
          <w:iCs/>
          <w:sz w:val="22"/>
          <w:szCs w:val="22"/>
          <w:lang w:eastAsia="en-GB"/>
        </w:rPr>
        <w:t>: c</w:t>
      </w:r>
      <w:r>
        <w:rPr>
          <w:i/>
          <w:iCs/>
          <w:sz w:val="22"/>
          <w:szCs w:val="22"/>
          <w:lang w:val="en-GB" w:eastAsia="en-GB"/>
        </w:rPr>
        <w:t>el pu</w:t>
      </w:r>
      <w:r>
        <w:rPr>
          <w:i/>
          <w:iCs/>
          <w:sz w:val="22"/>
          <w:szCs w:val="22"/>
          <w:lang w:eastAsia="en-GB"/>
        </w:rPr>
        <w:t>ț</w:t>
      </w:r>
      <w:r>
        <w:rPr>
          <w:i/>
          <w:iCs/>
          <w:sz w:val="22"/>
          <w:szCs w:val="22"/>
          <w:lang w:val="en-GB" w:eastAsia="en-GB"/>
        </w:rPr>
        <w:t>in una dintre epruvetel eutilizate în încercarea de penetrare trebuie să includ</w:t>
      </w:r>
      <w:r>
        <w:rPr>
          <w:i/>
          <w:iCs/>
          <w:sz w:val="22"/>
          <w:szCs w:val="22"/>
          <w:lang w:eastAsia="en-GB"/>
        </w:rPr>
        <w:t xml:space="preserve">ă </w:t>
      </w:r>
      <w:r>
        <w:rPr>
          <w:i/>
          <w:iCs/>
          <w:sz w:val="22"/>
          <w:szCs w:val="22"/>
          <w:lang w:val="en-GB" w:eastAsia="en-GB"/>
        </w:rPr>
        <w:t>cel pu</w:t>
      </w:r>
      <w:r>
        <w:rPr>
          <w:i/>
          <w:iCs/>
          <w:sz w:val="22"/>
          <w:szCs w:val="22"/>
          <w:lang w:eastAsia="en-GB"/>
        </w:rPr>
        <w:t>ț</w:t>
      </w:r>
      <w:r>
        <w:rPr>
          <w:i/>
          <w:iCs/>
          <w:sz w:val="22"/>
          <w:szCs w:val="22"/>
          <w:lang w:val="en-GB" w:eastAsia="en-GB"/>
        </w:rPr>
        <w:t>in un exemplu de îmbinare în fiecare strat al sistemului de acoperi</w:t>
      </w:r>
      <w:r>
        <w:rPr>
          <w:i/>
          <w:iCs/>
          <w:sz w:val="22"/>
          <w:szCs w:val="22"/>
          <w:lang w:eastAsia="en-GB"/>
        </w:rPr>
        <w:t>ș</w:t>
      </w:r>
      <w:r>
        <w:rPr>
          <w:i/>
          <w:iCs/>
          <w:sz w:val="22"/>
          <w:szCs w:val="22"/>
          <w:lang w:val="en-GB" w:eastAsia="en-GB"/>
        </w:rPr>
        <w:t xml:space="preserve"> care se încearcă.</w:t>
      </w:r>
    </w:p>
    <w:p w14:paraId="4418E9B7" w14:textId="77777777" w:rsidR="001C08A5" w:rsidRDefault="00000000">
      <w:pPr>
        <w:jc w:val="both"/>
        <w:rPr>
          <w:i/>
          <w:iCs/>
          <w:sz w:val="22"/>
          <w:szCs w:val="22"/>
        </w:rPr>
      </w:pPr>
      <w:r>
        <w:rPr>
          <w:i/>
          <w:iCs/>
          <w:sz w:val="22"/>
          <w:szCs w:val="22"/>
        </w:rPr>
        <w:t>- Domeniu direct de aplicare a rezultatelor încercării:</w:t>
      </w:r>
    </w:p>
    <w:p w14:paraId="0ACAFD88" w14:textId="77777777" w:rsidR="001C08A5" w:rsidRDefault="00000000">
      <w:pPr>
        <w:ind w:firstLine="720"/>
        <w:jc w:val="both"/>
        <w:rPr>
          <w:i/>
          <w:iCs/>
          <w:sz w:val="22"/>
          <w:szCs w:val="22"/>
        </w:rPr>
      </w:pPr>
      <w:r>
        <w:rPr>
          <w:i/>
          <w:iCs/>
          <w:sz w:val="22"/>
          <w:szCs w:val="22"/>
        </w:rPr>
        <w:t>1) Panta:</w:t>
      </w:r>
    </w:p>
    <w:p w14:paraId="286CFB09" w14:textId="77777777" w:rsidR="001C08A5" w:rsidRDefault="00000000">
      <w:pPr>
        <w:ind w:left="1260"/>
        <w:jc w:val="both"/>
        <w:rPr>
          <w:i/>
          <w:iCs/>
          <w:sz w:val="22"/>
          <w:szCs w:val="22"/>
        </w:rPr>
      </w:pPr>
      <w:r>
        <w:rPr>
          <w:i/>
          <w:iCs/>
          <w:sz w:val="22"/>
          <w:szCs w:val="22"/>
        </w:rPr>
        <w:t>a) Rezultatele încercării obținute cu o pantă de 0° (orizontală) sunt valabile pentru acoperișuri plane (cu o pantă de până la 10°)</w:t>
      </w:r>
    </w:p>
    <w:p w14:paraId="77E75DAF" w14:textId="77777777" w:rsidR="001C08A5" w:rsidRDefault="00000000">
      <w:pPr>
        <w:ind w:left="1260"/>
        <w:jc w:val="both"/>
        <w:rPr>
          <w:i/>
          <w:iCs/>
          <w:sz w:val="22"/>
          <w:szCs w:val="22"/>
          <w:lang w:val="en-GB" w:eastAsia="en-GB"/>
        </w:rPr>
      </w:pPr>
      <w:r>
        <w:rPr>
          <w:i/>
          <w:iCs/>
          <w:sz w:val="22"/>
          <w:szCs w:val="22"/>
        </w:rPr>
        <w:t xml:space="preserve">b) Rezultatele încercării obținute </w:t>
      </w:r>
      <w:r>
        <w:rPr>
          <w:i/>
          <w:iCs/>
          <w:sz w:val="22"/>
          <w:szCs w:val="22"/>
          <w:lang w:val="en-GB" w:eastAsia="en-GB"/>
        </w:rPr>
        <w:t>cu o pant</w:t>
      </w:r>
      <w:r>
        <w:rPr>
          <w:i/>
          <w:iCs/>
          <w:sz w:val="22"/>
          <w:szCs w:val="22"/>
          <w:lang w:eastAsia="en-GB"/>
        </w:rPr>
        <w:t>ă</w:t>
      </w:r>
      <w:r>
        <w:rPr>
          <w:i/>
          <w:iCs/>
          <w:sz w:val="22"/>
          <w:szCs w:val="22"/>
          <w:lang w:val="en-GB" w:eastAsia="en-GB"/>
        </w:rPr>
        <w:t xml:space="preserve"> de 45° sunt valabile pentru acoperi</w:t>
      </w:r>
      <w:r>
        <w:rPr>
          <w:i/>
          <w:iCs/>
          <w:sz w:val="22"/>
          <w:szCs w:val="22"/>
          <w:lang w:eastAsia="en-GB"/>
        </w:rPr>
        <w:t>ș</w:t>
      </w:r>
      <w:r>
        <w:rPr>
          <w:i/>
          <w:iCs/>
          <w:sz w:val="22"/>
          <w:szCs w:val="22"/>
          <w:lang w:val="en-GB" w:eastAsia="en-GB"/>
        </w:rPr>
        <w:t>uri cu pante mai mari de 10°.</w:t>
      </w:r>
    </w:p>
    <w:p w14:paraId="0202057A" w14:textId="77777777" w:rsidR="001C08A5" w:rsidRDefault="00000000">
      <w:pPr>
        <w:ind w:left="1260"/>
        <w:jc w:val="both"/>
        <w:rPr>
          <w:i/>
          <w:iCs/>
          <w:sz w:val="22"/>
          <w:szCs w:val="22"/>
        </w:rPr>
      </w:pPr>
      <w:r>
        <w:rPr>
          <w:i/>
          <w:iCs/>
          <w:sz w:val="22"/>
          <w:szCs w:val="22"/>
        </w:rPr>
        <w:t xml:space="preserve">c) Rezultatele încercării obținute </w:t>
      </w:r>
      <w:r>
        <w:rPr>
          <w:i/>
          <w:iCs/>
          <w:sz w:val="22"/>
          <w:szCs w:val="22"/>
          <w:lang w:val="en-GB" w:eastAsia="en-GB"/>
        </w:rPr>
        <w:t>cu o alt</w:t>
      </w:r>
      <w:r>
        <w:rPr>
          <w:i/>
          <w:iCs/>
          <w:sz w:val="22"/>
          <w:szCs w:val="22"/>
          <w:lang w:eastAsia="en-GB"/>
        </w:rPr>
        <w:t>ă</w:t>
      </w:r>
      <w:r>
        <w:rPr>
          <w:i/>
          <w:iCs/>
          <w:sz w:val="22"/>
          <w:szCs w:val="22"/>
          <w:lang w:val="en-GB" w:eastAsia="en-GB"/>
        </w:rPr>
        <w:t xml:space="preserve"> pant</w:t>
      </w:r>
      <w:r>
        <w:rPr>
          <w:i/>
          <w:iCs/>
          <w:sz w:val="22"/>
          <w:szCs w:val="22"/>
          <w:lang w:eastAsia="en-GB"/>
        </w:rPr>
        <w:t xml:space="preserve">ă </w:t>
      </w:r>
      <w:r>
        <w:rPr>
          <w:i/>
          <w:iCs/>
          <w:sz w:val="22"/>
          <w:szCs w:val="22"/>
          <w:lang w:val="en-GB" w:eastAsia="en-GB"/>
        </w:rPr>
        <w:t>specificate se aplic</w:t>
      </w:r>
      <w:r>
        <w:rPr>
          <w:i/>
          <w:iCs/>
          <w:sz w:val="22"/>
          <w:szCs w:val="22"/>
          <w:lang w:eastAsia="en-GB"/>
        </w:rPr>
        <w:t xml:space="preserve">ă </w:t>
      </w:r>
      <w:r>
        <w:rPr>
          <w:i/>
          <w:iCs/>
          <w:sz w:val="22"/>
          <w:szCs w:val="22"/>
          <w:lang w:val="en-GB" w:eastAsia="en-GB"/>
        </w:rPr>
        <w:t>numai la acoperi</w:t>
      </w:r>
      <w:r>
        <w:rPr>
          <w:i/>
          <w:iCs/>
          <w:sz w:val="22"/>
          <w:szCs w:val="22"/>
          <w:lang w:eastAsia="en-GB"/>
        </w:rPr>
        <w:t>ș</w:t>
      </w:r>
      <w:r>
        <w:rPr>
          <w:i/>
          <w:iCs/>
          <w:sz w:val="22"/>
          <w:szCs w:val="22"/>
          <w:lang w:val="en-GB" w:eastAsia="en-GB"/>
        </w:rPr>
        <w:t>urile cu panta respectiv</w:t>
      </w:r>
      <w:r>
        <w:rPr>
          <w:i/>
          <w:iCs/>
          <w:sz w:val="22"/>
          <w:szCs w:val="22"/>
          <w:lang w:eastAsia="en-GB"/>
        </w:rPr>
        <w:t>ă</w:t>
      </w:r>
      <w:r>
        <w:rPr>
          <w:i/>
          <w:iCs/>
          <w:sz w:val="22"/>
          <w:szCs w:val="22"/>
          <w:lang w:val="en-GB" w:eastAsia="en-GB"/>
        </w:rPr>
        <w:t>.</w:t>
      </w:r>
    </w:p>
    <w:p w14:paraId="2298D963" w14:textId="77777777" w:rsidR="001C08A5" w:rsidRDefault="00000000">
      <w:pPr>
        <w:ind w:firstLine="720"/>
        <w:jc w:val="both"/>
        <w:rPr>
          <w:i/>
          <w:iCs/>
          <w:sz w:val="22"/>
          <w:szCs w:val="22"/>
        </w:rPr>
      </w:pPr>
      <w:r>
        <w:rPr>
          <w:i/>
          <w:iCs/>
          <w:sz w:val="22"/>
          <w:szCs w:val="22"/>
        </w:rPr>
        <w:t xml:space="preserve">2) Natura suportului </w:t>
      </w:r>
      <w:r>
        <w:rPr>
          <w:i/>
          <w:iCs/>
          <w:sz w:val="22"/>
          <w:szCs w:val="22"/>
          <w:lang w:val="en-GB" w:eastAsia="en-GB"/>
        </w:rPr>
        <w:t>si a structurii de sustinere</w:t>
      </w:r>
      <w:r>
        <w:rPr>
          <w:i/>
          <w:iCs/>
          <w:sz w:val="22"/>
          <w:szCs w:val="22"/>
        </w:rPr>
        <w:t>:</w:t>
      </w:r>
    </w:p>
    <w:p w14:paraId="5CD86A0E" w14:textId="77777777" w:rsidR="001C08A5" w:rsidRDefault="00000000">
      <w:pPr>
        <w:jc w:val="both"/>
        <w:rPr>
          <w:i/>
          <w:iCs/>
          <w:sz w:val="22"/>
          <w:szCs w:val="22"/>
          <w:lang w:eastAsia="en-GB"/>
        </w:rPr>
      </w:pPr>
      <w:r>
        <w:rPr>
          <w:i/>
          <w:iCs/>
          <w:sz w:val="22"/>
          <w:szCs w:val="22"/>
        </w:rPr>
        <w:t xml:space="preserve">- </w:t>
      </w:r>
      <w:r>
        <w:rPr>
          <w:i/>
          <w:iCs/>
          <w:sz w:val="22"/>
          <w:szCs w:val="22"/>
          <w:lang w:val="en-GB" w:eastAsia="en-GB"/>
        </w:rPr>
        <w:t>Clasificarea este valabil</w:t>
      </w:r>
      <w:r>
        <w:rPr>
          <w:i/>
          <w:iCs/>
          <w:sz w:val="22"/>
          <w:szCs w:val="22"/>
          <w:lang w:eastAsia="en-GB"/>
        </w:rPr>
        <w:t xml:space="preserve">ă </w:t>
      </w:r>
      <w:r>
        <w:rPr>
          <w:i/>
          <w:iCs/>
          <w:sz w:val="22"/>
          <w:szCs w:val="22"/>
          <w:lang w:val="en-GB" w:eastAsia="en-GB"/>
        </w:rPr>
        <w:t xml:space="preserve">numai pentru suportul </w:t>
      </w:r>
      <w:r>
        <w:rPr>
          <w:i/>
          <w:iCs/>
          <w:sz w:val="22"/>
          <w:szCs w:val="22"/>
          <w:lang w:eastAsia="en-GB"/>
        </w:rPr>
        <w:t>ș</w:t>
      </w:r>
      <w:r>
        <w:rPr>
          <w:i/>
          <w:iCs/>
          <w:sz w:val="22"/>
          <w:szCs w:val="22"/>
          <w:lang w:val="en-GB" w:eastAsia="en-GB"/>
        </w:rPr>
        <w:t>i structura de sus</w:t>
      </w:r>
      <w:r>
        <w:rPr>
          <w:i/>
          <w:iCs/>
          <w:sz w:val="22"/>
          <w:szCs w:val="22"/>
          <w:lang w:eastAsia="en-GB"/>
        </w:rPr>
        <w:t>ț</w:t>
      </w:r>
      <w:r>
        <w:rPr>
          <w:i/>
          <w:iCs/>
          <w:sz w:val="22"/>
          <w:szCs w:val="22"/>
          <w:lang w:val="en-GB" w:eastAsia="en-GB"/>
        </w:rPr>
        <w:t xml:space="preserve">inere încercate. </w:t>
      </w:r>
      <w:r>
        <w:rPr>
          <w:i/>
          <w:iCs/>
          <w:sz w:val="22"/>
          <w:szCs w:val="22"/>
          <w:lang w:eastAsia="en-GB"/>
        </w:rPr>
        <w:t xml:space="preserve">Regulile de extindere a domeniului de aplicare sunt detaliate in standardul </w:t>
      </w:r>
      <w:r>
        <w:rPr>
          <w:b/>
          <w:bCs/>
          <w:i/>
          <w:iCs/>
          <w:sz w:val="22"/>
          <w:szCs w:val="22"/>
          <w:lang w:eastAsia="en-GB"/>
        </w:rPr>
        <w:t>SR EN 13501-5</w:t>
      </w:r>
      <w:r>
        <w:rPr>
          <w:i/>
          <w:iCs/>
          <w:sz w:val="22"/>
          <w:szCs w:val="22"/>
          <w:lang w:eastAsia="en-GB"/>
        </w:rPr>
        <w:t>.</w:t>
      </w:r>
    </w:p>
    <w:p w14:paraId="756989AD" w14:textId="77777777" w:rsidR="001C08A5" w:rsidRDefault="001C08A5">
      <w:pPr>
        <w:jc w:val="both"/>
        <w:rPr>
          <w:i/>
          <w:iCs/>
          <w:lang w:eastAsia="en-GB"/>
        </w:rPr>
      </w:pPr>
    </w:p>
    <w:p w14:paraId="6CD3B5F2" w14:textId="77777777" w:rsidR="001C08A5" w:rsidRDefault="00000000">
      <w:pPr>
        <w:numPr>
          <w:ilvl w:val="0"/>
          <w:numId w:val="10"/>
        </w:numPr>
        <w:jc w:val="both"/>
        <w:rPr>
          <w:i/>
          <w:iCs/>
          <w:sz w:val="24"/>
          <w:szCs w:val="24"/>
        </w:rPr>
      </w:pPr>
      <w:r>
        <w:rPr>
          <w:b/>
          <w:bCs/>
          <w:i/>
          <w:iCs/>
          <w:sz w:val="24"/>
          <w:szCs w:val="24"/>
        </w:rPr>
        <w:t xml:space="preserve">Plafon </w:t>
      </w:r>
      <w:r>
        <w:rPr>
          <w:i/>
          <w:iCs/>
          <w:sz w:val="24"/>
          <w:szCs w:val="24"/>
        </w:rPr>
        <w:t>- element de constructie nestructural reprezentand o suprafata orizontala sau inclinata de inchidere/ separare a unui spatiu/ plenum cu destinatie tehnica sau nu, pozitionat sub un planșeu, acoperis sau alt element de rezistență. Plafonul poate fi autoportant (fixat pe contur, fără alte susțineri) sau suspendat (fixat direct sau la o distanță oarecare de planșeu, acoperiș).</w:t>
      </w:r>
    </w:p>
    <w:p w14:paraId="10F7E7BF" w14:textId="77777777" w:rsidR="001C08A5" w:rsidRDefault="00000000">
      <w:pPr>
        <w:widowControl w:val="0"/>
        <w:numPr>
          <w:ilvl w:val="3"/>
          <w:numId w:val="10"/>
        </w:numPr>
        <w:autoSpaceDE w:val="0"/>
        <w:autoSpaceDN w:val="0"/>
        <w:adjustRightInd w:val="0"/>
        <w:jc w:val="both"/>
        <w:rPr>
          <w:rFonts w:eastAsia="Times New Roman"/>
          <w:i/>
          <w:iCs/>
          <w:sz w:val="24"/>
          <w:szCs w:val="24"/>
        </w:rPr>
      </w:pPr>
      <w:r>
        <w:rPr>
          <w:rFonts w:eastAsia="Times New Roman"/>
          <w:b/>
          <w:i/>
          <w:iCs/>
          <w:sz w:val="24"/>
          <w:szCs w:val="24"/>
        </w:rPr>
        <w:t xml:space="preserve">- plafon (suspendat) - </w:t>
      </w:r>
      <w:r>
        <w:rPr>
          <w:rFonts w:eastAsia="Times New Roman"/>
          <w:i/>
          <w:iCs/>
          <w:sz w:val="24"/>
          <w:szCs w:val="24"/>
        </w:rPr>
        <w:t>tavan suspendat de elementul structural de construcţie, inclusiv structura de prindere și atunci când este prezăzut, materialul izolant</w:t>
      </w:r>
    </w:p>
    <w:p w14:paraId="11825458" w14:textId="77777777" w:rsidR="001C08A5" w:rsidRDefault="00000000">
      <w:pPr>
        <w:widowControl w:val="0"/>
        <w:numPr>
          <w:ilvl w:val="3"/>
          <w:numId w:val="10"/>
        </w:numPr>
        <w:autoSpaceDE w:val="0"/>
        <w:autoSpaceDN w:val="0"/>
        <w:adjustRightInd w:val="0"/>
        <w:jc w:val="both"/>
        <w:rPr>
          <w:i/>
          <w:iCs/>
          <w:sz w:val="24"/>
          <w:szCs w:val="24"/>
        </w:rPr>
      </w:pPr>
      <w:r>
        <w:rPr>
          <w:rFonts w:eastAsia="Times New Roman"/>
          <w:b/>
          <w:i/>
          <w:iCs/>
          <w:sz w:val="24"/>
          <w:szCs w:val="24"/>
        </w:rPr>
        <w:t xml:space="preserve">- sistem de plafon - </w:t>
      </w:r>
      <w:r>
        <w:rPr>
          <w:rFonts w:eastAsia="Times New Roman"/>
          <w:i/>
          <w:iCs/>
          <w:sz w:val="24"/>
          <w:szCs w:val="24"/>
        </w:rPr>
        <w:t xml:space="preserve">ansamblu complet al unui plafon supus încercării, incluzând structura de prindere și de exemplu corpurile de iluminat, panourile de acces, etc. </w:t>
      </w:r>
    </w:p>
    <w:p w14:paraId="4FEA7229" w14:textId="77777777" w:rsidR="001C08A5" w:rsidRDefault="001C08A5">
      <w:pPr>
        <w:jc w:val="both"/>
        <w:rPr>
          <w:b/>
          <w:i/>
          <w:iCs/>
          <w:sz w:val="24"/>
          <w:szCs w:val="24"/>
        </w:rPr>
      </w:pPr>
    </w:p>
    <w:p w14:paraId="702A5F97" w14:textId="77777777" w:rsidR="001C08A5" w:rsidRDefault="00000000">
      <w:pPr>
        <w:numPr>
          <w:ilvl w:val="0"/>
          <w:numId w:val="10"/>
        </w:numPr>
        <w:jc w:val="both"/>
        <w:rPr>
          <w:i/>
          <w:iCs/>
          <w:sz w:val="24"/>
          <w:szCs w:val="24"/>
        </w:rPr>
      </w:pPr>
      <w:r>
        <w:rPr>
          <w:b/>
          <w:i/>
          <w:iCs/>
          <w:sz w:val="24"/>
          <w:szCs w:val="24"/>
        </w:rPr>
        <w:t>Planşeu</w:t>
      </w:r>
      <w:r>
        <w:rPr>
          <w:i/>
          <w:iCs/>
          <w:sz w:val="24"/>
          <w:szCs w:val="24"/>
        </w:rPr>
        <w:t xml:space="preserve"> - element de construcţie structural, orizontal sau înclinat, care delimitează oricare 2 niveluri ale construcţiei.</w:t>
      </w:r>
    </w:p>
    <w:p w14:paraId="24A215C0" w14:textId="77777777" w:rsidR="001C08A5" w:rsidRDefault="001C08A5">
      <w:pPr>
        <w:jc w:val="both"/>
        <w:rPr>
          <w:b/>
          <w:i/>
          <w:iCs/>
          <w:sz w:val="24"/>
          <w:szCs w:val="24"/>
        </w:rPr>
      </w:pPr>
    </w:p>
    <w:p w14:paraId="79291DD2" w14:textId="77777777" w:rsidR="001C08A5" w:rsidRDefault="00000000">
      <w:pPr>
        <w:numPr>
          <w:ilvl w:val="0"/>
          <w:numId w:val="10"/>
        </w:numPr>
        <w:jc w:val="both"/>
        <w:rPr>
          <w:i/>
          <w:iCs/>
          <w:sz w:val="24"/>
          <w:szCs w:val="24"/>
        </w:rPr>
      </w:pPr>
      <w:r>
        <w:rPr>
          <w:b/>
          <w:i/>
          <w:iCs/>
          <w:sz w:val="24"/>
          <w:szCs w:val="24"/>
        </w:rPr>
        <w:lastRenderedPageBreak/>
        <w:t>Platformă</w:t>
      </w:r>
      <w:r>
        <w:rPr>
          <w:i/>
          <w:iCs/>
          <w:sz w:val="24"/>
          <w:szCs w:val="24"/>
        </w:rPr>
        <w:t xml:space="preserve"> - element de construcţie orizontal plin sau perforat maximum 50%, destinat accesului şi circulaţiei ocazionale, de maximum 8 ori pe schimb, (fără loc permanent de activitate). Platformele nu se iau în calcul la determinarea nivelului de stabilitate la incendiu și a numărului de niveluri ale construcţiei.</w:t>
      </w:r>
    </w:p>
    <w:p w14:paraId="3969EE89" w14:textId="77777777" w:rsidR="001C08A5" w:rsidRDefault="001C08A5">
      <w:pPr>
        <w:jc w:val="both"/>
        <w:rPr>
          <w:b/>
          <w:bCs/>
          <w:i/>
          <w:iCs/>
          <w:sz w:val="24"/>
          <w:szCs w:val="24"/>
        </w:rPr>
      </w:pPr>
    </w:p>
    <w:p w14:paraId="2FF0D151" w14:textId="77777777" w:rsidR="001C08A5" w:rsidRDefault="00000000">
      <w:pPr>
        <w:numPr>
          <w:ilvl w:val="0"/>
          <w:numId w:val="10"/>
        </w:numPr>
        <w:jc w:val="both"/>
        <w:rPr>
          <w:i/>
          <w:iCs/>
          <w:sz w:val="24"/>
          <w:szCs w:val="24"/>
        </w:rPr>
      </w:pPr>
      <w:r>
        <w:rPr>
          <w:b/>
          <w:bCs/>
          <w:i/>
          <w:iCs/>
          <w:sz w:val="24"/>
          <w:szCs w:val="24"/>
        </w:rPr>
        <w:t xml:space="preserve">Platformă exterioară - </w:t>
      </w:r>
      <w:r>
        <w:rPr>
          <w:i/>
          <w:iCs/>
          <w:sz w:val="24"/>
          <w:szCs w:val="24"/>
        </w:rPr>
        <w:t>construcție deschisă destinată depozitării materialelor/utilajelor.</w:t>
      </w:r>
    </w:p>
    <w:p w14:paraId="449AD835" w14:textId="77777777" w:rsidR="001C08A5" w:rsidRDefault="001C08A5">
      <w:pPr>
        <w:jc w:val="both"/>
        <w:rPr>
          <w:b/>
          <w:i/>
          <w:iCs/>
          <w:sz w:val="24"/>
          <w:szCs w:val="24"/>
        </w:rPr>
      </w:pPr>
    </w:p>
    <w:p w14:paraId="0365438C" w14:textId="77777777" w:rsidR="001C08A5" w:rsidRDefault="00000000">
      <w:pPr>
        <w:widowControl w:val="0"/>
        <w:numPr>
          <w:ilvl w:val="0"/>
          <w:numId w:val="10"/>
        </w:numPr>
        <w:jc w:val="both"/>
        <w:rPr>
          <w:i/>
          <w:iCs/>
          <w:sz w:val="24"/>
          <w:szCs w:val="24"/>
        </w:rPr>
      </w:pPr>
      <w:r>
        <w:rPr>
          <w:b/>
          <w:bCs/>
          <w:i/>
          <w:iCs/>
          <w:sz w:val="24"/>
          <w:szCs w:val="24"/>
        </w:rPr>
        <w:t xml:space="preserve">Plenum </w:t>
      </w:r>
      <w:r>
        <w:rPr>
          <w:i/>
          <w:iCs/>
          <w:sz w:val="24"/>
          <w:szCs w:val="24"/>
        </w:rPr>
        <w:t>- spațiu delimitat de o pardoseală supraînălțată și planșeu și/sau de un plafon suspendat și planșeu (</w:t>
      </w:r>
      <w:r>
        <w:rPr>
          <w:b/>
          <w:bCs/>
          <w:i/>
          <w:iCs/>
          <w:sz w:val="24"/>
          <w:szCs w:val="24"/>
        </w:rPr>
        <w:fldChar w:fldCharType="begin"/>
      </w:r>
      <w:r>
        <w:rPr>
          <w:b/>
          <w:bCs/>
          <w:i/>
          <w:iCs/>
          <w:sz w:val="24"/>
          <w:szCs w:val="24"/>
        </w:rPr>
        <w:instrText xml:space="preserve"> REF _Ref7393 \h </w:instrText>
      </w:r>
      <w:r>
        <w:rPr>
          <w:b/>
          <w:bCs/>
          <w:i/>
          <w:iCs/>
          <w:sz w:val="24"/>
          <w:szCs w:val="24"/>
        </w:rPr>
      </w:r>
      <w:r>
        <w:rPr>
          <w:b/>
          <w:bCs/>
          <w:i/>
          <w:iCs/>
          <w:sz w:val="24"/>
          <w:szCs w:val="24"/>
        </w:rPr>
        <w:fldChar w:fldCharType="separate"/>
      </w:r>
      <w:r>
        <w:t>Figura 23</w:t>
      </w:r>
      <w:r>
        <w:rPr>
          <w:b/>
          <w:bCs/>
          <w:i/>
          <w:iCs/>
          <w:sz w:val="24"/>
          <w:szCs w:val="24"/>
        </w:rPr>
        <w:fldChar w:fldCharType="end"/>
      </w:r>
      <w:r>
        <w:rPr>
          <w:i/>
          <w:iCs/>
          <w:sz w:val="24"/>
          <w:szCs w:val="24"/>
        </w:rPr>
        <w:t>)</w:t>
      </w:r>
    </w:p>
    <w:p w14:paraId="5EDD009D" w14:textId="77777777" w:rsidR="001C08A5" w:rsidRDefault="001C08A5">
      <w:pPr>
        <w:widowControl w:val="0"/>
        <w:ind w:left="800"/>
        <w:jc w:val="both"/>
        <w:rPr>
          <w:i/>
          <w:iCs/>
          <w:sz w:val="24"/>
          <w:szCs w:val="24"/>
        </w:rPr>
      </w:pPr>
    </w:p>
    <w:p w14:paraId="5F6D6E0F" w14:textId="77777777" w:rsidR="001C08A5" w:rsidRDefault="00000000">
      <w:pPr>
        <w:widowControl w:val="0"/>
        <w:ind w:left="425"/>
        <w:jc w:val="center"/>
        <w:rPr>
          <w:sz w:val="24"/>
          <w:szCs w:val="24"/>
        </w:rPr>
      </w:pPr>
      <w:r>
        <w:rPr>
          <w:noProof/>
          <w:lang w:eastAsia="ro-RO"/>
        </w:rPr>
        <w:drawing>
          <wp:inline distT="0" distB="0" distL="114300" distR="114300" wp14:anchorId="50EE5BB3" wp14:editId="6340CD9F">
            <wp:extent cx="4941570" cy="2253615"/>
            <wp:effectExtent l="0" t="0" r="11430" b="13335"/>
            <wp:docPr id="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20"/>
                    <pic:cNvPicPr>
                      <a:picLocks noChangeAspect="1"/>
                    </pic:cNvPicPr>
                  </pic:nvPicPr>
                  <pic:blipFill>
                    <a:blip r:embed="rId93"/>
                    <a:srcRect l="17330" t="1907" r="10549" b="52340"/>
                    <a:stretch>
                      <a:fillRect/>
                    </a:stretch>
                  </pic:blipFill>
                  <pic:spPr>
                    <a:xfrm>
                      <a:off x="0" y="0"/>
                      <a:ext cx="4941570" cy="2253615"/>
                    </a:xfrm>
                    <a:prstGeom prst="rect">
                      <a:avLst/>
                    </a:prstGeom>
                    <a:noFill/>
                    <a:ln>
                      <a:noFill/>
                    </a:ln>
                  </pic:spPr>
                </pic:pic>
              </a:graphicData>
            </a:graphic>
          </wp:inline>
        </w:drawing>
      </w:r>
    </w:p>
    <w:p w14:paraId="04242C4A" w14:textId="77777777" w:rsidR="001C08A5" w:rsidRDefault="00000000">
      <w:pPr>
        <w:widowControl w:val="0"/>
        <w:ind w:left="425"/>
        <w:jc w:val="center"/>
        <w:rPr>
          <w:i/>
          <w:iCs/>
          <w:sz w:val="22"/>
          <w:szCs w:val="22"/>
        </w:rPr>
      </w:pPr>
      <w:r>
        <w:rPr>
          <w:b/>
          <w:bCs/>
          <w:i/>
          <w:iCs/>
          <w:sz w:val="22"/>
          <w:szCs w:val="22"/>
        </w:rPr>
        <w:t>Varianta a)</w:t>
      </w:r>
      <w:r>
        <w:rPr>
          <w:i/>
          <w:iCs/>
          <w:sz w:val="22"/>
          <w:szCs w:val="22"/>
        </w:rPr>
        <w:t xml:space="preserve"> - nu este plenum</w:t>
      </w:r>
    </w:p>
    <w:p w14:paraId="7AC3C981" w14:textId="77777777" w:rsidR="001C08A5" w:rsidRDefault="00000000">
      <w:pPr>
        <w:widowControl w:val="0"/>
        <w:ind w:left="425"/>
        <w:jc w:val="center"/>
        <w:rPr>
          <w:i/>
          <w:iCs/>
          <w:sz w:val="24"/>
          <w:szCs w:val="24"/>
        </w:rPr>
      </w:pPr>
      <w:r>
        <w:rPr>
          <w:noProof/>
          <w:lang w:eastAsia="ro-RO"/>
        </w:rPr>
        <w:drawing>
          <wp:inline distT="0" distB="0" distL="114300" distR="114300" wp14:anchorId="481D46AB" wp14:editId="262CFC45">
            <wp:extent cx="5000625" cy="2426970"/>
            <wp:effectExtent l="0" t="0" r="9525" b="11430"/>
            <wp:docPr id="8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0"/>
                    <pic:cNvPicPr>
                      <a:picLocks noChangeAspect="1"/>
                    </pic:cNvPicPr>
                  </pic:nvPicPr>
                  <pic:blipFill>
                    <a:blip r:embed="rId93"/>
                    <a:srcRect l="17330" t="49415" r="10549" b="1907"/>
                    <a:stretch>
                      <a:fillRect/>
                    </a:stretch>
                  </pic:blipFill>
                  <pic:spPr>
                    <a:xfrm>
                      <a:off x="0" y="0"/>
                      <a:ext cx="5000625" cy="2426970"/>
                    </a:xfrm>
                    <a:prstGeom prst="rect">
                      <a:avLst/>
                    </a:prstGeom>
                    <a:noFill/>
                    <a:ln>
                      <a:noFill/>
                    </a:ln>
                  </pic:spPr>
                </pic:pic>
              </a:graphicData>
            </a:graphic>
          </wp:inline>
        </w:drawing>
      </w:r>
    </w:p>
    <w:p w14:paraId="441643A9" w14:textId="77777777" w:rsidR="001C08A5" w:rsidRDefault="00000000">
      <w:pPr>
        <w:widowControl w:val="0"/>
        <w:jc w:val="center"/>
        <w:rPr>
          <w:i/>
          <w:iCs/>
          <w:sz w:val="22"/>
          <w:szCs w:val="22"/>
        </w:rPr>
      </w:pPr>
      <w:r>
        <w:rPr>
          <w:b/>
          <w:bCs/>
          <w:i/>
          <w:iCs/>
          <w:sz w:val="22"/>
          <w:szCs w:val="22"/>
        </w:rPr>
        <w:t xml:space="preserve">Varianta b) </w:t>
      </w:r>
      <w:r>
        <w:rPr>
          <w:i/>
          <w:iCs/>
          <w:sz w:val="22"/>
          <w:szCs w:val="22"/>
        </w:rPr>
        <w:t>- este plenum</w:t>
      </w:r>
    </w:p>
    <w:p w14:paraId="252E9685" w14:textId="77777777" w:rsidR="001C08A5" w:rsidRDefault="00000000">
      <w:pPr>
        <w:widowControl w:val="0"/>
        <w:jc w:val="center"/>
      </w:pPr>
      <w:r>
        <w:rPr>
          <w:noProof/>
          <w:lang w:eastAsia="ro-RO"/>
        </w:rPr>
        <w:drawing>
          <wp:inline distT="0" distB="0" distL="114300" distR="114300" wp14:anchorId="26D696FE" wp14:editId="116B6365">
            <wp:extent cx="5716905" cy="2313305"/>
            <wp:effectExtent l="0" t="0" r="17145" b="10795"/>
            <wp:docPr id="8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22"/>
                    <pic:cNvPicPr>
                      <a:picLocks noChangeAspect="1"/>
                    </pic:cNvPicPr>
                  </pic:nvPicPr>
                  <pic:blipFill>
                    <a:blip r:embed="rId94"/>
                    <a:srcRect l="12762" t="26621" r="8413" b="29008"/>
                    <a:stretch>
                      <a:fillRect/>
                    </a:stretch>
                  </pic:blipFill>
                  <pic:spPr>
                    <a:xfrm>
                      <a:off x="0" y="0"/>
                      <a:ext cx="5716905" cy="2313305"/>
                    </a:xfrm>
                    <a:prstGeom prst="rect">
                      <a:avLst/>
                    </a:prstGeom>
                    <a:noFill/>
                    <a:ln>
                      <a:noFill/>
                    </a:ln>
                  </pic:spPr>
                </pic:pic>
              </a:graphicData>
            </a:graphic>
          </wp:inline>
        </w:drawing>
      </w:r>
    </w:p>
    <w:p w14:paraId="075123EB" w14:textId="77777777" w:rsidR="001C08A5" w:rsidRDefault="00000000">
      <w:pPr>
        <w:widowControl w:val="0"/>
        <w:jc w:val="center"/>
      </w:pPr>
      <w:r>
        <w:rPr>
          <w:b/>
          <w:bCs/>
          <w:i/>
          <w:iCs/>
          <w:sz w:val="22"/>
          <w:szCs w:val="22"/>
        </w:rPr>
        <w:lastRenderedPageBreak/>
        <w:t xml:space="preserve">Varianta c) </w:t>
      </w:r>
      <w:r>
        <w:rPr>
          <w:i/>
          <w:iCs/>
          <w:sz w:val="22"/>
          <w:szCs w:val="22"/>
        </w:rPr>
        <w:t>- delimitare plenum cu pereți rezistenți la foc</w:t>
      </w:r>
    </w:p>
    <w:p w14:paraId="4EDB994E" w14:textId="77777777" w:rsidR="001C08A5" w:rsidRDefault="00000000">
      <w:pPr>
        <w:pStyle w:val="Caption"/>
        <w:widowControl w:val="0"/>
        <w:ind w:left="425"/>
        <w:jc w:val="center"/>
        <w:rPr>
          <w:rFonts w:cs="Times New Roman"/>
          <w:bCs/>
        </w:rPr>
      </w:pPr>
      <w:bookmarkStart w:id="479" w:name="_Ref7393"/>
      <w:bookmarkStart w:id="480" w:name="_Toc1422"/>
      <w:bookmarkStart w:id="481" w:name="_Toc26387"/>
      <w:bookmarkStart w:id="482" w:name="_Toc13210"/>
      <w:bookmarkStart w:id="483" w:name="_Toc7413"/>
      <w:bookmarkStart w:id="484" w:name="_Toc29784"/>
      <w:bookmarkStart w:id="485" w:name="_Toc26811"/>
      <w:bookmarkStart w:id="486" w:name="_Toc162360247"/>
      <w:r>
        <w:t xml:space="preserve">Figura </w:t>
      </w:r>
      <w:r>
        <w:fldChar w:fldCharType="begin"/>
      </w:r>
      <w:r>
        <w:instrText xml:space="preserve"> SEQ Figura \* ARABIC </w:instrText>
      </w:r>
      <w:r>
        <w:fldChar w:fldCharType="separate"/>
      </w:r>
      <w:r>
        <w:t>23</w:t>
      </w:r>
      <w:r>
        <w:fldChar w:fldCharType="end"/>
      </w:r>
      <w:bookmarkStart w:id="487" w:name="_Toc26189"/>
      <w:bookmarkStart w:id="488" w:name="_Toc3532"/>
      <w:bookmarkStart w:id="489" w:name="_Toc32055"/>
      <w:bookmarkStart w:id="490" w:name="_Toc23414"/>
      <w:bookmarkStart w:id="491" w:name="_Toc4307"/>
      <w:bookmarkStart w:id="492" w:name="_Toc4287"/>
      <w:bookmarkStart w:id="493" w:name="_Toc612"/>
      <w:bookmarkStart w:id="494" w:name="_Toc2274"/>
      <w:bookmarkStart w:id="495" w:name="_Toc21978"/>
      <w:bookmarkStart w:id="496" w:name="_Toc23252"/>
      <w:bookmarkStart w:id="497" w:name="_Toc22375"/>
      <w:bookmarkEnd w:id="479"/>
      <w:r>
        <w:t xml:space="preserve"> - </w:t>
      </w:r>
      <w:r>
        <w:rPr>
          <w:rFonts w:cs="Times New Roman"/>
        </w:rPr>
        <w:t>Plenum</w:t>
      </w:r>
      <w:bookmarkEnd w:id="480"/>
      <w:bookmarkEnd w:id="481"/>
      <w:bookmarkEnd w:id="482"/>
      <w:bookmarkEnd w:id="483"/>
      <w:bookmarkEnd w:id="484"/>
      <w:bookmarkEnd w:id="485"/>
      <w:r>
        <w:rPr>
          <w:rFonts w:cs="Times New Roman"/>
        </w:rPr>
        <w:t xml:space="preserve"> pentru spații de tip open-space</w:t>
      </w:r>
      <w:bookmarkEnd w:id="486"/>
      <w:bookmarkEnd w:id="487"/>
      <w:bookmarkEnd w:id="488"/>
      <w:bookmarkEnd w:id="489"/>
      <w:bookmarkEnd w:id="490"/>
      <w:bookmarkEnd w:id="491"/>
      <w:bookmarkEnd w:id="492"/>
      <w:bookmarkEnd w:id="493"/>
      <w:bookmarkEnd w:id="494"/>
      <w:bookmarkEnd w:id="495"/>
      <w:bookmarkEnd w:id="496"/>
      <w:bookmarkEnd w:id="497"/>
    </w:p>
    <w:p w14:paraId="5995223F" w14:textId="77777777" w:rsidR="001C08A5" w:rsidRDefault="00000000">
      <w:pPr>
        <w:numPr>
          <w:ilvl w:val="0"/>
          <w:numId w:val="10"/>
        </w:numPr>
        <w:jc w:val="both"/>
        <w:rPr>
          <w:i/>
          <w:iCs/>
          <w:sz w:val="24"/>
          <w:szCs w:val="24"/>
        </w:rPr>
      </w:pPr>
      <w:r>
        <w:rPr>
          <w:b/>
          <w:i/>
          <w:iCs/>
          <w:sz w:val="24"/>
          <w:szCs w:val="24"/>
        </w:rPr>
        <w:t xml:space="preserve">Pod </w:t>
      </w:r>
      <w:r>
        <w:rPr>
          <w:i/>
          <w:iCs/>
          <w:sz w:val="24"/>
          <w:szCs w:val="24"/>
        </w:rPr>
        <w:t xml:space="preserve">- volum construit fără funcţiuni, neîncălzit, cuprins între ultimul planşeu al construcţiei şi </w:t>
      </w:r>
      <w:r>
        <w:rPr>
          <w:rFonts w:eastAsia="Arial"/>
          <w:i/>
          <w:sz w:val="24"/>
          <w:szCs w:val="24"/>
        </w:rPr>
        <w:t>învelitoarea</w:t>
      </w:r>
      <w:r>
        <w:rPr>
          <w:i/>
          <w:iCs/>
          <w:sz w:val="24"/>
          <w:szCs w:val="24"/>
        </w:rPr>
        <w:t xml:space="preserve"> acoperişului de tip șarpantă al acesteia.</w:t>
      </w:r>
    </w:p>
    <w:p w14:paraId="494FADB8" w14:textId="77777777" w:rsidR="001C08A5" w:rsidRDefault="001C08A5">
      <w:pPr>
        <w:jc w:val="both"/>
        <w:rPr>
          <w:i/>
          <w:iCs/>
          <w:sz w:val="24"/>
          <w:szCs w:val="24"/>
        </w:rPr>
      </w:pPr>
    </w:p>
    <w:p w14:paraId="10C835BA" w14:textId="77777777" w:rsidR="001C08A5" w:rsidRDefault="00000000">
      <w:pPr>
        <w:widowControl w:val="0"/>
        <w:numPr>
          <w:ilvl w:val="0"/>
          <w:numId w:val="10"/>
        </w:numPr>
        <w:jc w:val="both"/>
        <w:rPr>
          <w:i/>
          <w:iCs/>
          <w:sz w:val="24"/>
          <w:szCs w:val="24"/>
        </w:rPr>
      </w:pPr>
      <w:r>
        <w:rPr>
          <w:b/>
          <w:bCs/>
          <w:i/>
          <w:iCs/>
          <w:sz w:val="24"/>
          <w:szCs w:val="24"/>
        </w:rPr>
        <w:t xml:space="preserve">Produs - </w:t>
      </w:r>
      <w:r>
        <w:rPr>
          <w:i/>
          <w:iCs/>
          <w:sz w:val="24"/>
          <w:szCs w:val="24"/>
        </w:rPr>
        <w:t xml:space="preserve">material, element sau component despre care sunt cerute informaţii </w:t>
      </w:r>
    </w:p>
    <w:p w14:paraId="6BC1D7CA" w14:textId="77777777" w:rsidR="001C08A5" w:rsidRDefault="00000000">
      <w:pPr>
        <w:widowControl w:val="0"/>
        <w:numPr>
          <w:ilvl w:val="0"/>
          <w:numId w:val="28"/>
        </w:numPr>
        <w:tabs>
          <w:tab w:val="clear" w:pos="845"/>
        </w:tabs>
        <w:ind w:firstLine="1255"/>
        <w:jc w:val="both"/>
        <w:rPr>
          <w:bCs/>
          <w:i/>
          <w:iCs/>
          <w:sz w:val="24"/>
          <w:szCs w:val="24"/>
        </w:rPr>
      </w:pPr>
      <w:r>
        <w:rPr>
          <w:b/>
          <w:i/>
          <w:iCs/>
          <w:sz w:val="24"/>
          <w:szCs w:val="24"/>
        </w:rPr>
        <w:t xml:space="preserve">Produs omogen - </w:t>
      </w:r>
      <w:r>
        <w:rPr>
          <w:bCs/>
          <w:i/>
          <w:iCs/>
          <w:sz w:val="24"/>
          <w:szCs w:val="24"/>
        </w:rPr>
        <w:t>produs constând dintr-un singur material, având densitate şi compoziţie uniforme în tot produsul</w:t>
      </w:r>
    </w:p>
    <w:p w14:paraId="06805B92" w14:textId="77777777" w:rsidR="001C08A5" w:rsidRDefault="00000000">
      <w:pPr>
        <w:widowControl w:val="0"/>
        <w:numPr>
          <w:ilvl w:val="0"/>
          <w:numId w:val="28"/>
        </w:numPr>
        <w:tabs>
          <w:tab w:val="clear" w:pos="845"/>
        </w:tabs>
        <w:ind w:firstLine="1255"/>
        <w:jc w:val="both"/>
        <w:rPr>
          <w:bCs/>
          <w:i/>
          <w:iCs/>
          <w:sz w:val="24"/>
          <w:szCs w:val="24"/>
        </w:rPr>
      </w:pPr>
      <w:r>
        <w:rPr>
          <w:b/>
          <w:i/>
          <w:iCs/>
          <w:sz w:val="24"/>
          <w:szCs w:val="24"/>
        </w:rPr>
        <w:t xml:space="preserve">Produs neomogen - </w:t>
      </w:r>
      <w:r>
        <w:rPr>
          <w:bCs/>
          <w:i/>
          <w:iCs/>
          <w:sz w:val="24"/>
          <w:szCs w:val="24"/>
        </w:rPr>
        <w:t>produs care nu satisface cerinţele pentru un produs omogen. Este un produs realizat din unul sau mai multe componente, substanţiale şi/sau nesubstanţiale.</w:t>
      </w:r>
    </w:p>
    <w:p w14:paraId="054594D5" w14:textId="77777777" w:rsidR="001C08A5" w:rsidRDefault="00000000">
      <w:pPr>
        <w:widowControl w:val="0"/>
        <w:numPr>
          <w:ilvl w:val="0"/>
          <w:numId w:val="28"/>
        </w:numPr>
        <w:tabs>
          <w:tab w:val="clear" w:pos="845"/>
        </w:tabs>
        <w:ind w:firstLine="1255"/>
        <w:jc w:val="both"/>
        <w:rPr>
          <w:i/>
          <w:iCs/>
          <w:sz w:val="24"/>
          <w:szCs w:val="24"/>
        </w:rPr>
      </w:pPr>
      <w:r>
        <w:rPr>
          <w:b/>
          <w:i/>
          <w:iCs/>
          <w:sz w:val="24"/>
          <w:szCs w:val="24"/>
        </w:rPr>
        <w:t>Produs termoizolant pentru  tubulatură liniară -</w:t>
      </w:r>
      <w:r>
        <w:rPr>
          <w:i/>
          <w:iCs/>
          <w:sz w:val="24"/>
          <w:szCs w:val="24"/>
        </w:rPr>
        <w:t xml:space="preserve"> lungime de produs de izolare proiectată să fie montată în jurul conductelor, cu un diametru exterior maxim de izolare de 300 mm.</w:t>
      </w:r>
    </w:p>
    <w:p w14:paraId="596B69F9" w14:textId="77777777" w:rsidR="001C08A5" w:rsidRDefault="001C08A5">
      <w:pPr>
        <w:jc w:val="both"/>
        <w:rPr>
          <w:i/>
          <w:iCs/>
          <w:sz w:val="24"/>
          <w:szCs w:val="24"/>
        </w:rPr>
      </w:pPr>
    </w:p>
    <w:p w14:paraId="08CD50F3" w14:textId="77777777" w:rsidR="001C08A5" w:rsidRDefault="00000000">
      <w:pPr>
        <w:numPr>
          <w:ilvl w:val="0"/>
          <w:numId w:val="10"/>
        </w:numPr>
        <w:jc w:val="both"/>
        <w:rPr>
          <w:i/>
          <w:iCs/>
          <w:sz w:val="24"/>
          <w:szCs w:val="24"/>
        </w:rPr>
      </w:pPr>
      <w:r>
        <w:rPr>
          <w:b/>
          <w:bCs/>
          <w:i/>
          <w:iCs/>
          <w:sz w:val="24"/>
          <w:szCs w:val="24"/>
          <w:lang w:eastAsia="ro-RO"/>
        </w:rPr>
        <w:t>Protecţie împotriva incendiului</w:t>
      </w:r>
      <w:r>
        <w:rPr>
          <w:i/>
          <w:iCs/>
          <w:sz w:val="24"/>
          <w:szCs w:val="24"/>
          <w:lang w:eastAsia="ro-RO"/>
        </w:rPr>
        <w:t xml:space="preserve"> - metodă utilizată pentru a reduce propagarea și efectele incendiului</w:t>
      </w:r>
    </w:p>
    <w:p w14:paraId="47A72570" w14:textId="77777777" w:rsidR="001C08A5" w:rsidRDefault="00000000">
      <w:pPr>
        <w:numPr>
          <w:ilvl w:val="255"/>
          <w:numId w:val="0"/>
        </w:numPr>
        <w:ind w:left="1680"/>
        <w:jc w:val="both"/>
        <w:rPr>
          <w:i/>
          <w:iCs/>
          <w:sz w:val="24"/>
          <w:szCs w:val="24"/>
          <w:lang w:eastAsia="ro-RO"/>
        </w:rPr>
      </w:pPr>
      <w:r>
        <w:rPr>
          <w:b/>
          <w:bCs/>
          <w:i/>
          <w:iCs/>
          <w:sz w:val="24"/>
          <w:szCs w:val="24"/>
          <w:lang w:val="en-US" w:eastAsia="ro-RO"/>
        </w:rPr>
        <w:t xml:space="preserve">1. </w:t>
      </w:r>
      <w:r>
        <w:rPr>
          <w:b/>
          <w:bCs/>
          <w:i/>
          <w:iCs/>
          <w:sz w:val="24"/>
          <w:szCs w:val="24"/>
          <w:lang w:eastAsia="ro-RO"/>
        </w:rPr>
        <w:t>Protecţie activă împotriva incendiului</w:t>
      </w:r>
      <w:r>
        <w:rPr>
          <w:i/>
          <w:iCs/>
          <w:sz w:val="24"/>
          <w:szCs w:val="24"/>
          <w:lang w:eastAsia="ro-RO"/>
        </w:rPr>
        <w:t xml:space="preserve"> - metodă(e) utilizată(e) pentru a reduce sau preveni propagarea sau efectele incendiului, căldurii sau fumului prin detectarea sau/şi stingerea incendiului și care necesită o anumită acţiune sau un răspuns pentru a deveni activă. </w:t>
      </w:r>
    </w:p>
    <w:p w14:paraId="72540523" w14:textId="77777777" w:rsidR="001C08A5" w:rsidRDefault="00000000">
      <w:pPr>
        <w:tabs>
          <w:tab w:val="left" w:pos="425"/>
        </w:tabs>
        <w:ind w:left="1680"/>
        <w:rPr>
          <w:i/>
          <w:iCs/>
          <w:sz w:val="24"/>
          <w:szCs w:val="24"/>
          <w:lang w:eastAsia="ro-RO"/>
        </w:rPr>
      </w:pPr>
      <w:r>
        <w:rPr>
          <w:b/>
          <w:bCs/>
          <w:i/>
          <w:iCs/>
          <w:sz w:val="24"/>
          <w:szCs w:val="24"/>
          <w:lang w:val="en-US" w:eastAsia="ro-RO"/>
        </w:rPr>
        <w:t xml:space="preserve">2. </w:t>
      </w:r>
      <w:r>
        <w:rPr>
          <w:b/>
          <w:bCs/>
          <w:i/>
          <w:iCs/>
          <w:sz w:val="24"/>
          <w:szCs w:val="24"/>
          <w:lang w:eastAsia="ro-RO"/>
        </w:rPr>
        <w:t>Protecţie pasivă împotriva incendiului</w:t>
      </w:r>
      <w:r>
        <w:rPr>
          <w:i/>
          <w:iCs/>
          <w:sz w:val="24"/>
          <w:szCs w:val="24"/>
          <w:lang w:eastAsia="ro-RO"/>
        </w:rPr>
        <w:t xml:space="preserve"> - metodă utilizată pentru a reduce sau a împiedica propagarea şi efectele incendiului, căldurii şi fumului prin proiectarea, utilizarea, protejarea și amplasarea adecvată a produselor şi elementelor de construcție și a materialelor din componența acestora şi/sau prin utilizarea adecvată a materialelor şi care nu necesită o detectare şi/sau o activare ca urmare a unei detectări. </w:t>
      </w:r>
    </w:p>
    <w:p w14:paraId="1C560C8C" w14:textId="77777777" w:rsidR="001C08A5" w:rsidRDefault="001C08A5">
      <w:pPr>
        <w:pStyle w:val="Default"/>
        <w:rPr>
          <w:color w:val="auto"/>
        </w:rPr>
      </w:pPr>
    </w:p>
    <w:p w14:paraId="2C2C2204" w14:textId="77777777" w:rsidR="001C08A5" w:rsidRDefault="00000000">
      <w:pPr>
        <w:numPr>
          <w:ilvl w:val="0"/>
          <w:numId w:val="10"/>
        </w:numPr>
        <w:jc w:val="both"/>
        <w:rPr>
          <w:rFonts w:eastAsia="Helvetica"/>
          <w:sz w:val="24"/>
          <w:szCs w:val="24"/>
        </w:rPr>
      </w:pPr>
      <w:r>
        <w:rPr>
          <w:b/>
          <w:i/>
          <w:iCs/>
          <w:sz w:val="24"/>
          <w:szCs w:val="24"/>
        </w:rPr>
        <w:t xml:space="preserve">Reacţie la foc </w:t>
      </w:r>
      <w:r>
        <w:rPr>
          <w:i/>
          <w:iCs/>
          <w:sz w:val="24"/>
          <w:szCs w:val="24"/>
        </w:rPr>
        <w:t xml:space="preserve">- comportare a unui produs care, în condiţii specificate, alimentează prin propria sa descompunere un foc la care este expus. </w:t>
      </w:r>
    </w:p>
    <w:p w14:paraId="3421AE0C" w14:textId="77777777" w:rsidR="001C08A5" w:rsidRDefault="001C08A5">
      <w:pPr>
        <w:ind w:left="400"/>
        <w:jc w:val="both"/>
        <w:rPr>
          <w:rFonts w:eastAsia="Helvetica"/>
          <w:sz w:val="24"/>
          <w:szCs w:val="24"/>
        </w:rPr>
      </w:pPr>
    </w:p>
    <w:p w14:paraId="0B1EDDDA" w14:textId="77777777" w:rsidR="001C08A5" w:rsidRDefault="00000000">
      <w:pPr>
        <w:numPr>
          <w:ilvl w:val="0"/>
          <w:numId w:val="10"/>
        </w:numPr>
        <w:jc w:val="both"/>
        <w:rPr>
          <w:rFonts w:eastAsia="Helvetica"/>
          <w:i/>
          <w:iCs/>
          <w:sz w:val="24"/>
          <w:szCs w:val="24"/>
        </w:rPr>
      </w:pPr>
      <w:r>
        <w:rPr>
          <w:b/>
          <w:i/>
          <w:iCs/>
          <w:sz w:val="24"/>
          <w:szCs w:val="24"/>
        </w:rPr>
        <w:t xml:space="preserve">Risc de incendiu - </w:t>
      </w:r>
      <w:r>
        <w:rPr>
          <w:rFonts w:eastAsia="Helvetica"/>
          <w:i/>
          <w:iCs/>
          <w:sz w:val="24"/>
          <w:szCs w:val="24"/>
        </w:rPr>
        <w:t>estimare a pierderilor a</w:t>
      </w:r>
      <w:r>
        <w:rPr>
          <w:rFonts w:eastAsia="Helvetica-Bold"/>
          <w:i/>
          <w:iCs/>
          <w:sz w:val="24"/>
          <w:szCs w:val="24"/>
        </w:rPr>
        <w:t>ș</w:t>
      </w:r>
      <w:r>
        <w:rPr>
          <w:rFonts w:eastAsia="Helvetica"/>
          <w:i/>
          <w:iCs/>
          <w:sz w:val="24"/>
          <w:szCs w:val="24"/>
        </w:rPr>
        <w:t>teptate datorate unui incendiu, care combin</w:t>
      </w:r>
      <w:r>
        <w:rPr>
          <w:rFonts w:eastAsia="Helvetica-Bold"/>
          <w:i/>
          <w:iCs/>
          <w:sz w:val="24"/>
          <w:szCs w:val="24"/>
        </w:rPr>
        <w:t xml:space="preserve">ă </w:t>
      </w:r>
      <w:r>
        <w:rPr>
          <w:rFonts w:eastAsia="Helvetica"/>
          <w:i/>
          <w:iCs/>
          <w:sz w:val="24"/>
          <w:szCs w:val="24"/>
        </w:rPr>
        <w:t>pagubele poten</w:t>
      </w:r>
      <w:r>
        <w:rPr>
          <w:rFonts w:eastAsia="Helvetica-Bold"/>
          <w:i/>
          <w:iCs/>
          <w:sz w:val="24"/>
          <w:szCs w:val="24"/>
        </w:rPr>
        <w:t>ț</w:t>
      </w:r>
      <w:r>
        <w:rPr>
          <w:rFonts w:eastAsia="Helvetica"/>
          <w:i/>
          <w:iCs/>
          <w:sz w:val="24"/>
          <w:szCs w:val="24"/>
        </w:rPr>
        <w:t xml:space="preserve">iale asociate diferitelor </w:t>
      </w:r>
      <w:r>
        <w:rPr>
          <w:rFonts w:eastAsia="Helvetica-Oblique"/>
          <w:i/>
          <w:iCs/>
          <w:sz w:val="24"/>
          <w:szCs w:val="24"/>
        </w:rPr>
        <w:t xml:space="preserve">scenarii de incendiu </w:t>
      </w:r>
      <w:r>
        <w:rPr>
          <w:rFonts w:eastAsia="Helvetica"/>
          <w:i/>
          <w:iCs/>
          <w:sz w:val="24"/>
          <w:szCs w:val="24"/>
        </w:rPr>
        <w:t xml:space="preserve">care se pot produce </w:t>
      </w:r>
      <w:r>
        <w:rPr>
          <w:rFonts w:eastAsia="Helvetica-Bold"/>
          <w:i/>
          <w:iCs/>
          <w:sz w:val="24"/>
          <w:szCs w:val="24"/>
        </w:rPr>
        <w:t>ș</w:t>
      </w:r>
      <w:r>
        <w:rPr>
          <w:rFonts w:eastAsia="Helvetica"/>
          <w:i/>
          <w:iCs/>
          <w:sz w:val="24"/>
          <w:szCs w:val="24"/>
        </w:rPr>
        <w:t>i probabilit</w:t>
      </w:r>
      <w:r>
        <w:rPr>
          <w:rFonts w:eastAsia="Helvetica-Bold"/>
          <w:i/>
          <w:iCs/>
          <w:sz w:val="24"/>
          <w:szCs w:val="24"/>
        </w:rPr>
        <w:t>ăț</w:t>
      </w:r>
      <w:r>
        <w:rPr>
          <w:rFonts w:eastAsia="Helvetica"/>
          <w:i/>
          <w:iCs/>
          <w:sz w:val="24"/>
          <w:szCs w:val="24"/>
        </w:rPr>
        <w:t>ile ca aceste scenarii s</w:t>
      </w:r>
      <w:r>
        <w:rPr>
          <w:rFonts w:eastAsia="Helvetica-Bold"/>
          <w:i/>
          <w:iCs/>
          <w:sz w:val="24"/>
          <w:szCs w:val="24"/>
        </w:rPr>
        <w:t xml:space="preserve">ă </w:t>
      </w:r>
      <w:r>
        <w:rPr>
          <w:rFonts w:eastAsia="Helvetica"/>
          <w:i/>
          <w:iCs/>
          <w:sz w:val="24"/>
          <w:szCs w:val="24"/>
        </w:rPr>
        <w:t>aib</w:t>
      </w:r>
      <w:r>
        <w:rPr>
          <w:rFonts w:eastAsia="Helvetica-Bold"/>
          <w:i/>
          <w:iCs/>
          <w:sz w:val="24"/>
          <w:szCs w:val="24"/>
        </w:rPr>
        <w:t xml:space="preserve">ă </w:t>
      </w:r>
      <w:r>
        <w:rPr>
          <w:rFonts w:eastAsia="Helvetica"/>
          <w:i/>
          <w:iCs/>
          <w:sz w:val="24"/>
          <w:szCs w:val="24"/>
        </w:rPr>
        <w:t>loc (O defini</w:t>
      </w:r>
      <w:r>
        <w:rPr>
          <w:rFonts w:eastAsia="Helvetica-Bold"/>
          <w:i/>
          <w:iCs/>
          <w:sz w:val="24"/>
          <w:szCs w:val="24"/>
        </w:rPr>
        <w:t>ț</w:t>
      </w:r>
      <w:r>
        <w:rPr>
          <w:rFonts w:eastAsia="Helvetica"/>
          <w:i/>
          <w:iCs/>
          <w:sz w:val="24"/>
          <w:szCs w:val="24"/>
        </w:rPr>
        <w:t>ie alternativ</w:t>
      </w:r>
      <w:r>
        <w:rPr>
          <w:rFonts w:eastAsia="Helvetica-Bold"/>
          <w:i/>
          <w:iCs/>
          <w:sz w:val="24"/>
          <w:szCs w:val="24"/>
        </w:rPr>
        <w:t xml:space="preserve">ă </w:t>
      </w:r>
      <w:r>
        <w:rPr>
          <w:rFonts w:eastAsia="Helvetica"/>
          <w:i/>
          <w:iCs/>
          <w:sz w:val="24"/>
          <w:szCs w:val="24"/>
        </w:rPr>
        <w:t>pentru riscul de incendiu este „combina</w:t>
      </w:r>
      <w:r>
        <w:rPr>
          <w:rFonts w:eastAsia="Helvetica-Bold"/>
          <w:i/>
          <w:iCs/>
          <w:sz w:val="24"/>
          <w:szCs w:val="24"/>
        </w:rPr>
        <w:t>ț</w:t>
      </w:r>
      <w:r>
        <w:rPr>
          <w:rFonts w:eastAsia="Helvetica"/>
          <w:i/>
          <w:iCs/>
          <w:sz w:val="24"/>
          <w:szCs w:val="24"/>
        </w:rPr>
        <w:t>ia probabilit</w:t>
      </w:r>
      <w:r>
        <w:rPr>
          <w:rFonts w:eastAsia="Helvetica-Bold"/>
          <w:i/>
          <w:iCs/>
          <w:sz w:val="24"/>
          <w:szCs w:val="24"/>
        </w:rPr>
        <w:t>ăț</w:t>
      </w:r>
      <w:r>
        <w:rPr>
          <w:rFonts w:eastAsia="Helvetica"/>
          <w:i/>
          <w:iCs/>
          <w:sz w:val="24"/>
          <w:szCs w:val="24"/>
        </w:rPr>
        <w:t xml:space="preserve">ii unui </w:t>
      </w:r>
      <w:r>
        <w:rPr>
          <w:rFonts w:eastAsia="Helvetica-Oblique"/>
          <w:i/>
          <w:iCs/>
          <w:sz w:val="24"/>
          <w:szCs w:val="24"/>
        </w:rPr>
        <w:t xml:space="preserve">incendiu </w:t>
      </w:r>
      <w:r>
        <w:rPr>
          <w:rFonts w:eastAsia="Helvetica-Bold"/>
          <w:i/>
          <w:iCs/>
          <w:sz w:val="24"/>
          <w:szCs w:val="24"/>
        </w:rPr>
        <w:t>ș</w:t>
      </w:r>
      <w:r>
        <w:rPr>
          <w:rFonts w:eastAsia="Helvetica"/>
          <w:i/>
          <w:iCs/>
          <w:sz w:val="24"/>
          <w:szCs w:val="24"/>
        </w:rPr>
        <w:t>i m</w:t>
      </w:r>
      <w:r>
        <w:rPr>
          <w:rFonts w:eastAsia="Helvetica-Bold"/>
          <w:i/>
          <w:iCs/>
          <w:sz w:val="24"/>
          <w:szCs w:val="24"/>
        </w:rPr>
        <w:t>ă</w:t>
      </w:r>
      <w:r>
        <w:rPr>
          <w:rFonts w:eastAsia="Helvetica"/>
          <w:i/>
          <w:iCs/>
          <w:sz w:val="24"/>
          <w:szCs w:val="24"/>
        </w:rPr>
        <w:t>sura cuantificat</w:t>
      </w:r>
      <w:r>
        <w:rPr>
          <w:rFonts w:eastAsia="Helvetica-Bold"/>
          <w:i/>
          <w:iCs/>
          <w:sz w:val="24"/>
          <w:szCs w:val="24"/>
        </w:rPr>
        <w:t xml:space="preserve">ă </w:t>
      </w:r>
      <w:r>
        <w:rPr>
          <w:rFonts w:eastAsia="Helvetica"/>
          <w:i/>
          <w:iCs/>
          <w:sz w:val="24"/>
          <w:szCs w:val="24"/>
        </w:rPr>
        <w:t>a consecin</w:t>
      </w:r>
      <w:r>
        <w:rPr>
          <w:rFonts w:eastAsia="Helvetica-Bold"/>
          <w:i/>
          <w:iCs/>
          <w:sz w:val="24"/>
          <w:szCs w:val="24"/>
        </w:rPr>
        <w:t>ț</w:t>
      </w:r>
      <w:r>
        <w:rPr>
          <w:rFonts w:eastAsia="Helvetica"/>
          <w:i/>
          <w:iCs/>
          <w:sz w:val="24"/>
          <w:szCs w:val="24"/>
        </w:rPr>
        <w:t xml:space="preserve">elor sale”. Riscul de incendiu este adesea calculat ca produsul dintre probabilitate </w:t>
      </w:r>
      <w:r>
        <w:rPr>
          <w:rFonts w:eastAsia="Helvetica-Bold"/>
          <w:i/>
          <w:iCs/>
          <w:sz w:val="24"/>
          <w:szCs w:val="24"/>
        </w:rPr>
        <w:t>ș</w:t>
      </w:r>
      <w:r>
        <w:rPr>
          <w:rFonts w:eastAsia="Helvetica"/>
          <w:i/>
          <w:iCs/>
          <w:sz w:val="24"/>
          <w:szCs w:val="24"/>
        </w:rPr>
        <w:t>i consecin</w:t>
      </w:r>
      <w:r>
        <w:rPr>
          <w:rFonts w:eastAsia="Helvetica-Bold"/>
          <w:i/>
          <w:iCs/>
          <w:sz w:val="24"/>
          <w:szCs w:val="24"/>
        </w:rPr>
        <w:t>ț</w:t>
      </w:r>
      <w:r>
        <w:rPr>
          <w:rFonts w:eastAsia="Helvetica"/>
          <w:i/>
          <w:iCs/>
          <w:sz w:val="24"/>
          <w:szCs w:val="24"/>
        </w:rPr>
        <w:t>e).</w:t>
      </w:r>
    </w:p>
    <w:p w14:paraId="3A319F5B" w14:textId="77777777" w:rsidR="001C08A5" w:rsidRDefault="001C08A5">
      <w:pPr>
        <w:jc w:val="both"/>
        <w:rPr>
          <w:b/>
          <w:i/>
          <w:iCs/>
          <w:sz w:val="24"/>
          <w:szCs w:val="24"/>
        </w:rPr>
      </w:pPr>
    </w:p>
    <w:p w14:paraId="1CBB3184" w14:textId="77777777" w:rsidR="001C08A5" w:rsidRDefault="00000000">
      <w:pPr>
        <w:numPr>
          <w:ilvl w:val="0"/>
          <w:numId w:val="10"/>
        </w:numPr>
        <w:jc w:val="both"/>
        <w:rPr>
          <w:i/>
          <w:iCs/>
          <w:sz w:val="24"/>
          <w:szCs w:val="24"/>
        </w:rPr>
      </w:pPr>
      <w:r>
        <w:rPr>
          <w:b/>
          <w:i/>
          <w:iCs/>
          <w:sz w:val="24"/>
          <w:szCs w:val="24"/>
        </w:rPr>
        <w:t>Rezistenţă la foc</w:t>
      </w:r>
      <w:r>
        <w:rPr>
          <w:i/>
          <w:iCs/>
          <w:sz w:val="24"/>
          <w:szCs w:val="24"/>
        </w:rPr>
        <w:t xml:space="preserve"> - aptitudinea unui produs/element de construcţie de a răspunde funcţiei sau funcţiilor cerute prin criterii de performanţă (şi/ sau capacitate portantă şi/ sau etanşeitate şi/ sau izolare termică la foc; ex: R, REI, RE, EI, etc.), pe o durată de timp determinată şi/sau orice altă funcţie, determinată într-o încercare standardizată de rezistenţă la foc sau în baza modelelor de calcul din standardele </w:t>
      </w:r>
      <w:r>
        <w:rPr>
          <w:b/>
          <w:bCs/>
          <w:i/>
          <w:iCs/>
          <w:sz w:val="24"/>
          <w:szCs w:val="24"/>
        </w:rPr>
        <w:t>SR EN 1991-1-2, SR EN 1992-1-2, SR EN 1993-1-2, SR EN 1994-1-2, SR EN 1995-1-2, SR EN 1996-1-2</w:t>
      </w:r>
      <w:r>
        <w:rPr>
          <w:i/>
          <w:iCs/>
          <w:sz w:val="24"/>
          <w:szCs w:val="24"/>
        </w:rPr>
        <w:t xml:space="preserve">, precum și </w:t>
      </w:r>
      <w:r>
        <w:rPr>
          <w:b/>
          <w:bCs/>
          <w:i/>
          <w:iCs/>
          <w:sz w:val="24"/>
          <w:szCs w:val="24"/>
        </w:rPr>
        <w:t>SR EN 1999-1-2</w:t>
      </w:r>
      <w:r>
        <w:rPr>
          <w:i/>
          <w:iCs/>
          <w:sz w:val="24"/>
          <w:szCs w:val="24"/>
        </w:rPr>
        <w:t xml:space="preserve">, împreună cu amendamentele, eratele și Anexele naţionale ale acestora. </w:t>
      </w:r>
    </w:p>
    <w:p w14:paraId="5467450E" w14:textId="77777777" w:rsidR="001C08A5" w:rsidRDefault="001C08A5">
      <w:pPr>
        <w:jc w:val="both"/>
        <w:rPr>
          <w:b/>
          <w:i/>
          <w:iCs/>
          <w:sz w:val="24"/>
          <w:szCs w:val="24"/>
        </w:rPr>
      </w:pPr>
    </w:p>
    <w:p w14:paraId="18D11B75" w14:textId="77777777" w:rsidR="001C08A5" w:rsidRDefault="00000000">
      <w:pPr>
        <w:numPr>
          <w:ilvl w:val="0"/>
          <w:numId w:val="10"/>
        </w:numPr>
        <w:jc w:val="both"/>
        <w:rPr>
          <w:i/>
          <w:iCs/>
          <w:sz w:val="24"/>
          <w:szCs w:val="24"/>
        </w:rPr>
      </w:pPr>
      <w:r>
        <w:rPr>
          <w:b/>
          <w:i/>
          <w:iCs/>
          <w:sz w:val="24"/>
          <w:szCs w:val="24"/>
        </w:rPr>
        <w:t xml:space="preserve">Sală aglomerată </w:t>
      </w:r>
      <w:r>
        <w:rPr>
          <w:i/>
          <w:iCs/>
          <w:sz w:val="24"/>
          <w:szCs w:val="24"/>
        </w:rPr>
        <w:t xml:space="preserve">- construcţie independentă sau încăpere / grup de încăperi care comunică direct între ele prin goluri (protejate ori neprotejate) practicate în pereţii care le despart și în care se pot întruni simultan cel puţin </w:t>
      </w:r>
      <w:r>
        <w:rPr>
          <w:b/>
          <w:bCs/>
          <w:i/>
          <w:iCs/>
          <w:sz w:val="24"/>
          <w:szCs w:val="24"/>
        </w:rPr>
        <w:t>200</w:t>
      </w:r>
      <w:r>
        <w:rPr>
          <w:i/>
          <w:iCs/>
          <w:sz w:val="24"/>
          <w:szCs w:val="24"/>
        </w:rPr>
        <w:t xml:space="preserve"> de utilizatori la nivelul/nivelurile de la care se poate face evacuarea direct la cota nivelului de referință sau </w:t>
      </w:r>
      <w:r>
        <w:rPr>
          <w:b/>
          <w:bCs/>
          <w:i/>
          <w:iCs/>
          <w:sz w:val="24"/>
          <w:szCs w:val="24"/>
        </w:rPr>
        <w:t xml:space="preserve">150 </w:t>
      </w:r>
      <w:r>
        <w:rPr>
          <w:i/>
          <w:iCs/>
          <w:sz w:val="24"/>
          <w:szCs w:val="24"/>
        </w:rPr>
        <w:t xml:space="preserve">la alte niveluri ale construcţiei de la care nu se poate face evacuarea direct la cota nivelului de referință, iar aria de pardoseală ce-i revine unei persoane este mai mică sau egală cu </w:t>
      </w:r>
      <w:r>
        <w:rPr>
          <w:b/>
          <w:bCs/>
          <w:i/>
          <w:iCs/>
          <w:sz w:val="24"/>
          <w:szCs w:val="24"/>
        </w:rPr>
        <w:t>4 m</w:t>
      </w:r>
      <w:r>
        <w:rPr>
          <w:b/>
          <w:bCs/>
          <w:i/>
          <w:iCs/>
          <w:sz w:val="24"/>
          <w:szCs w:val="24"/>
          <w:vertAlign w:val="superscript"/>
        </w:rPr>
        <w:t>2</w:t>
      </w:r>
      <w:r>
        <w:rPr>
          <w:i/>
          <w:iCs/>
          <w:sz w:val="24"/>
          <w:szCs w:val="24"/>
        </w:rPr>
        <w:t xml:space="preserve">. </w:t>
      </w:r>
    </w:p>
    <w:p w14:paraId="2917042A" w14:textId="77777777" w:rsidR="001C08A5" w:rsidRDefault="00000000">
      <w:pPr>
        <w:numPr>
          <w:ilvl w:val="3"/>
          <w:numId w:val="10"/>
        </w:numPr>
        <w:jc w:val="both"/>
        <w:rPr>
          <w:i/>
          <w:iCs/>
          <w:sz w:val="24"/>
          <w:szCs w:val="24"/>
        </w:rPr>
      </w:pPr>
      <w:r>
        <w:rPr>
          <w:b/>
          <w:i/>
          <w:iCs/>
          <w:sz w:val="24"/>
          <w:szCs w:val="24"/>
        </w:rPr>
        <w:t xml:space="preserve">Săli cu aglomerări de persoane - </w:t>
      </w:r>
      <w:r>
        <w:rPr>
          <w:i/>
          <w:iCs/>
          <w:sz w:val="24"/>
          <w:szCs w:val="24"/>
        </w:rPr>
        <w:t xml:space="preserve">vezi “Încăperi cu aglomerări de persoane” </w:t>
      </w:r>
    </w:p>
    <w:p w14:paraId="73077C9F" w14:textId="77777777" w:rsidR="001C08A5" w:rsidRDefault="001C08A5">
      <w:pPr>
        <w:jc w:val="both"/>
        <w:rPr>
          <w:b/>
          <w:i/>
          <w:iCs/>
          <w:sz w:val="24"/>
          <w:szCs w:val="24"/>
        </w:rPr>
      </w:pPr>
    </w:p>
    <w:p w14:paraId="0144D6E7" w14:textId="77777777" w:rsidR="001C08A5" w:rsidRDefault="00000000">
      <w:pPr>
        <w:numPr>
          <w:ilvl w:val="0"/>
          <w:numId w:val="10"/>
        </w:numPr>
        <w:jc w:val="both"/>
        <w:rPr>
          <w:i/>
          <w:iCs/>
          <w:sz w:val="24"/>
          <w:szCs w:val="24"/>
        </w:rPr>
      </w:pPr>
      <w:r>
        <w:rPr>
          <w:b/>
          <w:i/>
          <w:iCs/>
          <w:sz w:val="24"/>
          <w:szCs w:val="24"/>
        </w:rPr>
        <w:lastRenderedPageBreak/>
        <w:t xml:space="preserve">Sarcină termică </w:t>
      </w:r>
      <w:r>
        <w:rPr>
          <w:i/>
          <w:iCs/>
          <w:sz w:val="24"/>
          <w:szCs w:val="24"/>
        </w:rPr>
        <w:t>- energie termică care poate fi produsă prin arderea completă a tuturor materialelor și produselor combustibile dintr-o incintă, inclusiv elementele de construcţie și finisajele suprafeţelor construite (exprimată în MJ).</w:t>
      </w:r>
    </w:p>
    <w:p w14:paraId="48F50833" w14:textId="77777777" w:rsidR="001C08A5" w:rsidRDefault="001C08A5">
      <w:pPr>
        <w:jc w:val="both"/>
        <w:rPr>
          <w:b/>
          <w:i/>
          <w:iCs/>
          <w:sz w:val="24"/>
          <w:szCs w:val="24"/>
        </w:rPr>
      </w:pPr>
    </w:p>
    <w:p w14:paraId="7B4873C7" w14:textId="77777777" w:rsidR="001C08A5" w:rsidRDefault="00000000">
      <w:pPr>
        <w:numPr>
          <w:ilvl w:val="0"/>
          <w:numId w:val="10"/>
        </w:numPr>
        <w:jc w:val="both"/>
        <w:rPr>
          <w:i/>
          <w:iCs/>
          <w:sz w:val="24"/>
          <w:szCs w:val="24"/>
        </w:rPr>
      </w:pPr>
      <w:r>
        <w:rPr>
          <w:b/>
          <w:i/>
          <w:iCs/>
          <w:sz w:val="24"/>
          <w:szCs w:val="24"/>
        </w:rPr>
        <w:t>Scară de evacuare</w:t>
      </w:r>
      <w:r>
        <w:rPr>
          <w:i/>
          <w:iCs/>
          <w:sz w:val="24"/>
          <w:szCs w:val="24"/>
        </w:rPr>
        <w:t xml:space="preserve"> - circulaţie verticală (realizată conform reglementării specifice) închisă sau deschisă, corespunzător dispusă, alcătuită, conformată, dimensionată și protejată conform prevederilor normativului, astfel încăt să asigure condiţii corespunzătoare de evacuare în condiţii de siguranţă a utilizatorilor în caz de incendiu.</w:t>
      </w:r>
    </w:p>
    <w:p w14:paraId="258E8A23" w14:textId="77777777" w:rsidR="001C08A5" w:rsidRDefault="001C08A5">
      <w:pPr>
        <w:jc w:val="both"/>
        <w:rPr>
          <w:b/>
          <w:i/>
          <w:iCs/>
          <w:sz w:val="24"/>
          <w:szCs w:val="24"/>
        </w:rPr>
      </w:pPr>
    </w:p>
    <w:p w14:paraId="68562978" w14:textId="77777777" w:rsidR="001C08A5" w:rsidRDefault="00000000">
      <w:pPr>
        <w:numPr>
          <w:ilvl w:val="0"/>
          <w:numId w:val="10"/>
        </w:numPr>
        <w:jc w:val="both"/>
        <w:rPr>
          <w:i/>
          <w:iCs/>
          <w:sz w:val="24"/>
          <w:szCs w:val="24"/>
        </w:rPr>
      </w:pPr>
      <w:r>
        <w:rPr>
          <w:b/>
          <w:i/>
          <w:iCs/>
          <w:sz w:val="24"/>
          <w:szCs w:val="24"/>
        </w:rPr>
        <w:t>Scară cu trepte balansate</w:t>
      </w:r>
      <w:r>
        <w:rPr>
          <w:i/>
          <w:iCs/>
          <w:sz w:val="24"/>
          <w:szCs w:val="24"/>
        </w:rPr>
        <w:t xml:space="preserve"> - scară (realizată conform reglementării specifice și </w:t>
      </w:r>
      <w:r>
        <w:rPr>
          <w:b/>
          <w:bCs/>
          <w:i/>
          <w:iCs/>
          <w:sz w:val="24"/>
          <w:szCs w:val="24"/>
        </w:rPr>
        <w:fldChar w:fldCharType="begin"/>
      </w:r>
      <w:r>
        <w:rPr>
          <w:b/>
          <w:bCs/>
          <w:i/>
          <w:iCs/>
          <w:sz w:val="24"/>
          <w:szCs w:val="24"/>
        </w:rPr>
        <w:instrText xml:space="preserve"> REF _Ref7484 \h </w:instrText>
      </w:r>
      <w:r>
        <w:rPr>
          <w:b/>
          <w:bCs/>
          <w:i/>
          <w:iCs/>
          <w:sz w:val="24"/>
          <w:szCs w:val="24"/>
        </w:rPr>
      </w:r>
      <w:r>
        <w:rPr>
          <w:b/>
          <w:bCs/>
          <w:i/>
          <w:iCs/>
          <w:sz w:val="24"/>
          <w:szCs w:val="24"/>
        </w:rPr>
        <w:fldChar w:fldCharType="separate"/>
      </w:r>
      <w:r>
        <w:t>Figura 24</w:t>
      </w:r>
      <w:r>
        <w:rPr>
          <w:b/>
          <w:bCs/>
          <w:i/>
          <w:iCs/>
          <w:sz w:val="24"/>
          <w:szCs w:val="24"/>
        </w:rPr>
        <w:fldChar w:fldCharType="end"/>
      </w:r>
      <w:r>
        <w:rPr>
          <w:i/>
          <w:iCs/>
          <w:sz w:val="24"/>
          <w:szCs w:val="24"/>
        </w:rPr>
        <w:t>) la care forma în plan a unor trepte este diferită de celelalte trepte (pe înălţimea uneia sau a mai multor rampe).</w:t>
      </w:r>
    </w:p>
    <w:p w14:paraId="4C81C8BE" w14:textId="77777777" w:rsidR="001C08A5" w:rsidRDefault="001C08A5">
      <w:pPr>
        <w:ind w:left="400"/>
        <w:jc w:val="both"/>
        <w:rPr>
          <w:i/>
          <w:iCs/>
          <w:sz w:val="24"/>
          <w:szCs w:val="24"/>
        </w:rPr>
      </w:pPr>
    </w:p>
    <w:p w14:paraId="29FF0D4C" w14:textId="77777777" w:rsidR="001C08A5" w:rsidRDefault="00000000">
      <w:pPr>
        <w:jc w:val="center"/>
        <w:rPr>
          <w:sz w:val="24"/>
          <w:szCs w:val="24"/>
        </w:rPr>
      </w:pPr>
      <w:r>
        <w:rPr>
          <w:noProof/>
          <w:lang w:eastAsia="ro-RO"/>
        </w:rPr>
        <w:drawing>
          <wp:inline distT="0" distB="0" distL="0" distR="0" wp14:anchorId="5FD0DA5A" wp14:editId="6A55A588">
            <wp:extent cx="4629785" cy="2739390"/>
            <wp:effectExtent l="0" t="0" r="18415" b="3810"/>
            <wp:docPr id="1067" name="Picture 38"/>
            <wp:cNvGraphicFramePr/>
            <a:graphic xmlns:a="http://schemas.openxmlformats.org/drawingml/2006/main">
              <a:graphicData uri="http://schemas.openxmlformats.org/drawingml/2006/picture">
                <pic:pic xmlns:pic="http://schemas.openxmlformats.org/drawingml/2006/picture">
                  <pic:nvPicPr>
                    <pic:cNvPr id="1067" name="Picture 38"/>
                    <pic:cNvPicPr/>
                  </pic:nvPicPr>
                  <pic:blipFill>
                    <a:blip r:embed="rId95" cstate="print"/>
                    <a:srcRect l="18928" t="15257" r="15832" b="27071"/>
                    <a:stretch>
                      <a:fillRect/>
                    </a:stretch>
                  </pic:blipFill>
                  <pic:spPr>
                    <a:xfrm>
                      <a:off x="0" y="0"/>
                      <a:ext cx="4629785" cy="2739390"/>
                    </a:xfrm>
                    <a:prstGeom prst="rect">
                      <a:avLst/>
                    </a:prstGeom>
                    <a:ln>
                      <a:noFill/>
                    </a:ln>
                  </pic:spPr>
                </pic:pic>
              </a:graphicData>
            </a:graphic>
          </wp:inline>
        </w:drawing>
      </w:r>
    </w:p>
    <w:p w14:paraId="38ADE225" w14:textId="77777777" w:rsidR="001C08A5" w:rsidRDefault="00000000">
      <w:pPr>
        <w:pStyle w:val="Caption"/>
        <w:jc w:val="center"/>
        <w:rPr>
          <w:rFonts w:cs="Times New Roman"/>
        </w:rPr>
      </w:pPr>
      <w:bookmarkStart w:id="498" w:name="_Ref7484"/>
      <w:bookmarkStart w:id="499" w:name="_Toc162360248"/>
      <w:bookmarkStart w:id="500" w:name="_Toc5246"/>
      <w:bookmarkStart w:id="501" w:name="_Toc23674"/>
      <w:bookmarkStart w:id="502" w:name="_Toc29055"/>
      <w:bookmarkStart w:id="503" w:name="_Toc32409"/>
      <w:bookmarkStart w:id="504" w:name="_Toc2906"/>
      <w:bookmarkStart w:id="505" w:name="_Toc5207"/>
      <w:r>
        <w:t xml:space="preserve">Figura </w:t>
      </w:r>
      <w:r>
        <w:fldChar w:fldCharType="begin"/>
      </w:r>
      <w:r>
        <w:instrText xml:space="preserve"> SEQ Figura \* ARABIC </w:instrText>
      </w:r>
      <w:r>
        <w:fldChar w:fldCharType="separate"/>
      </w:r>
      <w:r>
        <w:t>24</w:t>
      </w:r>
      <w:r>
        <w:fldChar w:fldCharType="end"/>
      </w:r>
      <w:bookmarkStart w:id="506" w:name="_Toc1913"/>
      <w:bookmarkStart w:id="507" w:name="_Toc9339"/>
      <w:bookmarkStart w:id="508" w:name="_Toc1483"/>
      <w:bookmarkStart w:id="509" w:name="_Toc31316"/>
      <w:bookmarkStart w:id="510" w:name="_Toc25498"/>
      <w:bookmarkStart w:id="511" w:name="_Toc13622"/>
      <w:bookmarkStart w:id="512" w:name="_Toc23118"/>
      <w:bookmarkStart w:id="513" w:name="_Toc29333"/>
      <w:bookmarkStart w:id="514" w:name="_Toc21697"/>
      <w:bookmarkStart w:id="515" w:name="_Toc24442"/>
      <w:bookmarkStart w:id="516" w:name="_Toc12661"/>
      <w:bookmarkEnd w:id="498"/>
      <w:r>
        <w:t xml:space="preserve"> - </w:t>
      </w:r>
      <w:r>
        <w:rPr>
          <w:rFonts w:cs="Times New Roman"/>
        </w:rPr>
        <w:t>Scări cu trepte balansate</w:t>
      </w:r>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p>
    <w:p w14:paraId="01C96E80" w14:textId="77777777" w:rsidR="001C08A5" w:rsidRDefault="00000000">
      <w:pPr>
        <w:ind w:left="425"/>
        <w:jc w:val="center"/>
        <w:rPr>
          <w:rStyle w:val="t"/>
          <w:i/>
          <w:iCs/>
          <w:sz w:val="24"/>
          <w:szCs w:val="24"/>
        </w:rPr>
      </w:pPr>
      <w:r>
        <w:rPr>
          <w:rStyle w:val="t"/>
          <w:i/>
          <w:iCs/>
          <w:sz w:val="22"/>
          <w:szCs w:val="22"/>
        </w:rPr>
        <w:t>(“Linia pasului - linia pe care se măsoară în proiecţie orizontală lăţimea treptelor ”L” și care indică grafic sensul de urcare”, în conformitate cu normativul specific)</w:t>
      </w:r>
    </w:p>
    <w:p w14:paraId="27A0DBCD" w14:textId="77777777" w:rsidR="001C08A5" w:rsidRDefault="00000000">
      <w:pPr>
        <w:jc w:val="both"/>
        <w:rPr>
          <w:rStyle w:val="t"/>
          <w:i/>
          <w:iCs/>
          <w:sz w:val="22"/>
          <w:szCs w:val="22"/>
        </w:rPr>
      </w:pPr>
      <w:r>
        <w:rPr>
          <w:bCs/>
          <w:i/>
          <w:iCs/>
          <w:sz w:val="22"/>
          <w:szCs w:val="22"/>
        </w:rPr>
        <w:t xml:space="preserve">Notă la </w:t>
      </w:r>
      <w:r>
        <w:rPr>
          <w:b/>
          <w:bCs/>
          <w:i/>
          <w:iCs/>
          <w:sz w:val="22"/>
          <w:szCs w:val="22"/>
        </w:rPr>
        <w:fldChar w:fldCharType="begin"/>
      </w:r>
      <w:r>
        <w:rPr>
          <w:b/>
          <w:bCs/>
          <w:i/>
          <w:iCs/>
          <w:sz w:val="22"/>
          <w:szCs w:val="22"/>
        </w:rPr>
        <w:instrText xml:space="preserve"> REF _Ref7484 \h </w:instrText>
      </w:r>
      <w:r>
        <w:rPr>
          <w:b/>
          <w:bCs/>
          <w:i/>
          <w:iCs/>
          <w:sz w:val="22"/>
          <w:szCs w:val="22"/>
        </w:rPr>
      </w:r>
      <w:r>
        <w:rPr>
          <w:b/>
          <w:bCs/>
          <w:i/>
          <w:iCs/>
          <w:sz w:val="22"/>
          <w:szCs w:val="22"/>
        </w:rPr>
        <w:fldChar w:fldCharType="separate"/>
      </w:r>
      <w:r>
        <w:t>Figura 24</w:t>
      </w:r>
      <w:r>
        <w:rPr>
          <w:b/>
          <w:bCs/>
          <w:i/>
          <w:iCs/>
          <w:sz w:val="22"/>
          <w:szCs w:val="22"/>
        </w:rPr>
        <w:fldChar w:fldCharType="end"/>
      </w:r>
      <w:r>
        <w:rPr>
          <w:bCs/>
          <w:i/>
          <w:iCs/>
          <w:sz w:val="22"/>
          <w:szCs w:val="22"/>
        </w:rPr>
        <w:t xml:space="preserve">: Scările cu trepte balansate </w:t>
      </w:r>
      <w:r>
        <w:rPr>
          <w:i/>
          <w:iCs/>
          <w:sz w:val="22"/>
          <w:szCs w:val="22"/>
        </w:rPr>
        <w:t>pot fi considerate căi de evacuare numai pentru o (</w:t>
      </w:r>
      <w:r>
        <w:rPr>
          <w:b/>
          <w:bCs/>
          <w:i/>
          <w:iCs/>
          <w:sz w:val="22"/>
          <w:szCs w:val="22"/>
        </w:rPr>
        <w:t>1</w:t>
      </w:r>
      <w:r>
        <w:rPr>
          <w:i/>
          <w:iCs/>
          <w:sz w:val="22"/>
          <w:szCs w:val="22"/>
        </w:rPr>
        <w:t>) unitate de trecere (flux) de evacuare a utilizatorilor, atunci când îndeplinesc condiţiile de alcătuire și dimensionare prevăzute în normativ şi reglementările tehnice specifice scărilor</w:t>
      </w:r>
      <w:r>
        <w:rPr>
          <w:rStyle w:val="t"/>
          <w:i/>
          <w:iCs/>
          <w:sz w:val="22"/>
          <w:szCs w:val="22"/>
        </w:rPr>
        <w:t xml:space="preserve"> (în porţiunea de rampă în care lăţimea minimă a treptei este de </w:t>
      </w:r>
      <w:r>
        <w:rPr>
          <w:rStyle w:val="t"/>
          <w:b/>
          <w:bCs/>
          <w:i/>
          <w:iCs/>
          <w:sz w:val="22"/>
          <w:szCs w:val="22"/>
        </w:rPr>
        <w:t>18 cm</w:t>
      </w:r>
      <w:r>
        <w:rPr>
          <w:rStyle w:val="t"/>
          <w:i/>
          <w:iCs/>
          <w:sz w:val="22"/>
          <w:szCs w:val="22"/>
        </w:rPr>
        <w:t xml:space="preserve">, iar lăţimea maximă de </w:t>
      </w:r>
      <w:r>
        <w:rPr>
          <w:rStyle w:val="t"/>
          <w:b/>
          <w:bCs/>
          <w:i/>
          <w:iCs/>
          <w:sz w:val="22"/>
          <w:szCs w:val="22"/>
        </w:rPr>
        <w:t>40 cm</w:t>
      </w:r>
      <w:r>
        <w:rPr>
          <w:rStyle w:val="t"/>
          <w:i/>
          <w:iCs/>
          <w:sz w:val="22"/>
          <w:szCs w:val="22"/>
        </w:rPr>
        <w:t>).</w:t>
      </w:r>
    </w:p>
    <w:p w14:paraId="611CFCE6" w14:textId="77777777" w:rsidR="001C08A5" w:rsidRDefault="001C08A5">
      <w:pPr>
        <w:jc w:val="both"/>
        <w:rPr>
          <w:b/>
          <w:bCs/>
          <w:i/>
          <w:iCs/>
          <w:sz w:val="24"/>
          <w:szCs w:val="24"/>
        </w:rPr>
      </w:pPr>
    </w:p>
    <w:p w14:paraId="301EE197" w14:textId="77777777" w:rsidR="001C08A5" w:rsidRDefault="00000000">
      <w:pPr>
        <w:numPr>
          <w:ilvl w:val="0"/>
          <w:numId w:val="10"/>
        </w:numPr>
        <w:jc w:val="both"/>
        <w:rPr>
          <w:bCs/>
          <w:i/>
          <w:iCs/>
          <w:sz w:val="24"/>
          <w:szCs w:val="24"/>
        </w:rPr>
      </w:pPr>
      <w:r>
        <w:rPr>
          <w:b/>
          <w:i/>
          <w:iCs/>
          <w:sz w:val="24"/>
          <w:szCs w:val="24"/>
        </w:rPr>
        <w:t xml:space="preserve">Scară monumentală </w:t>
      </w:r>
      <w:r>
        <w:rPr>
          <w:bCs/>
          <w:i/>
          <w:iCs/>
          <w:sz w:val="24"/>
          <w:szCs w:val="24"/>
        </w:rPr>
        <w:t>- scară care urmăreşte realizarea unui efect arhitectural deosebit, astfel alcătuită încât să asigure (dacă este cazul) și evacuarea în caz de pericol.</w:t>
      </w:r>
    </w:p>
    <w:p w14:paraId="2BC1361F" w14:textId="77777777" w:rsidR="001C08A5" w:rsidRDefault="001C08A5">
      <w:pPr>
        <w:jc w:val="both"/>
        <w:rPr>
          <w:b/>
          <w:i/>
          <w:iCs/>
          <w:sz w:val="24"/>
          <w:szCs w:val="24"/>
        </w:rPr>
      </w:pPr>
    </w:p>
    <w:p w14:paraId="2E461C0E" w14:textId="77777777" w:rsidR="001C08A5" w:rsidRDefault="00000000">
      <w:pPr>
        <w:numPr>
          <w:ilvl w:val="0"/>
          <w:numId w:val="10"/>
        </w:numPr>
        <w:jc w:val="both"/>
        <w:rPr>
          <w:i/>
          <w:iCs/>
          <w:sz w:val="24"/>
          <w:szCs w:val="24"/>
        </w:rPr>
      </w:pPr>
      <w:r>
        <w:rPr>
          <w:b/>
          <w:i/>
          <w:iCs/>
          <w:sz w:val="24"/>
          <w:szCs w:val="24"/>
        </w:rPr>
        <w:t>Scenariu de securitate la incendiu</w:t>
      </w:r>
      <w:r>
        <w:rPr>
          <w:i/>
          <w:iCs/>
          <w:sz w:val="24"/>
          <w:szCs w:val="24"/>
        </w:rPr>
        <w:t xml:space="preserve"> - terminologie care difera de “scenariu de incendiu” - parte a pieselor scrise ale proiectului construcţiei sau amenajării, care sintetizează regulile și măsurile de apărare împotriva incendiilor stabilite prin documentaţiile tehnice de proiectare/execuţie elaborate, în scopul asigurării securităţii utilizatorilor și a bunurilor.</w:t>
      </w:r>
    </w:p>
    <w:p w14:paraId="52AF01ED" w14:textId="77777777" w:rsidR="001C08A5" w:rsidRDefault="001C08A5">
      <w:pPr>
        <w:jc w:val="both"/>
        <w:rPr>
          <w:b/>
          <w:i/>
          <w:iCs/>
          <w:sz w:val="24"/>
          <w:szCs w:val="24"/>
        </w:rPr>
      </w:pPr>
    </w:p>
    <w:p w14:paraId="1EE9CDD2" w14:textId="77777777" w:rsidR="001C08A5" w:rsidRDefault="00000000">
      <w:pPr>
        <w:numPr>
          <w:ilvl w:val="0"/>
          <w:numId w:val="10"/>
        </w:numPr>
        <w:jc w:val="both"/>
        <w:rPr>
          <w:i/>
          <w:iCs/>
          <w:sz w:val="24"/>
          <w:szCs w:val="24"/>
        </w:rPr>
      </w:pPr>
      <w:r>
        <w:rPr>
          <w:b/>
          <w:i/>
          <w:iCs/>
          <w:sz w:val="24"/>
          <w:szCs w:val="24"/>
        </w:rPr>
        <w:t>Scena amenajată</w:t>
      </w:r>
      <w:r>
        <w:rPr>
          <w:i/>
          <w:iCs/>
          <w:sz w:val="24"/>
          <w:szCs w:val="24"/>
        </w:rPr>
        <w:t xml:space="preserve"> - spațiu de joc aferent sălilor de spectacole, cu aria minimă de </w:t>
      </w:r>
      <w:r>
        <w:rPr>
          <w:b/>
          <w:bCs/>
          <w:i/>
          <w:iCs/>
          <w:sz w:val="24"/>
          <w:szCs w:val="24"/>
        </w:rPr>
        <w:t>150 m</w:t>
      </w:r>
      <w:r>
        <w:rPr>
          <w:b/>
          <w:bCs/>
          <w:i/>
          <w:iCs/>
          <w:sz w:val="24"/>
          <w:szCs w:val="24"/>
          <w:vertAlign w:val="superscript"/>
        </w:rPr>
        <w:t>2</w:t>
      </w:r>
      <w:r>
        <w:rPr>
          <w:i/>
          <w:iCs/>
          <w:sz w:val="24"/>
          <w:szCs w:val="24"/>
        </w:rPr>
        <w:t xml:space="preserve"> (inclusiv buzunarele şi depozitele acesteia), prevăzut cu turn de scenă, cu sau fără trape în pardoseală şi echipat cu dispozitive de manevrare a decorurilor.</w:t>
      </w:r>
    </w:p>
    <w:p w14:paraId="0A89BA46" w14:textId="77777777" w:rsidR="001C08A5" w:rsidRDefault="001C08A5">
      <w:pPr>
        <w:jc w:val="both"/>
        <w:rPr>
          <w:b/>
          <w:i/>
          <w:iCs/>
          <w:sz w:val="24"/>
          <w:szCs w:val="24"/>
        </w:rPr>
      </w:pPr>
    </w:p>
    <w:p w14:paraId="60BBBFC2" w14:textId="77777777" w:rsidR="001C08A5" w:rsidRDefault="00000000">
      <w:pPr>
        <w:numPr>
          <w:ilvl w:val="0"/>
          <w:numId w:val="10"/>
        </w:numPr>
        <w:jc w:val="both"/>
        <w:rPr>
          <w:i/>
          <w:iCs/>
          <w:sz w:val="24"/>
          <w:szCs w:val="24"/>
        </w:rPr>
      </w:pPr>
      <w:r>
        <w:rPr>
          <w:b/>
          <w:i/>
          <w:iCs/>
          <w:sz w:val="24"/>
          <w:szCs w:val="24"/>
        </w:rPr>
        <w:t>Sistem de evacuare a fumului şi a gazelor fierbinţi</w:t>
      </w:r>
      <w:r>
        <w:rPr>
          <w:i/>
          <w:iCs/>
          <w:sz w:val="24"/>
          <w:szCs w:val="24"/>
        </w:rPr>
        <w:t xml:space="preserve"> - sistem de limitare a propagării incendiilor în construcţii, constituit din dispozitive de evacuare a fumului şi a gazelor fierbinţi dispuse în acoperiş sau în treimea superioară a pereţilor exteriori, precum şi ecrane </w:t>
      </w:r>
      <w:r>
        <w:rPr>
          <w:i/>
          <w:iCs/>
          <w:sz w:val="24"/>
          <w:szCs w:val="24"/>
        </w:rPr>
        <w:lastRenderedPageBreak/>
        <w:t xml:space="preserve">continue verticale dispuse sub planşee sau acoperiş, având şi admisii de aer amplasate la partea inferioară a spaţiului respectiv.  </w:t>
      </w:r>
    </w:p>
    <w:p w14:paraId="1DB85563" w14:textId="77777777" w:rsidR="001C08A5" w:rsidRDefault="00000000">
      <w:pPr>
        <w:ind w:left="1418" w:hanging="1"/>
        <w:jc w:val="both"/>
        <w:rPr>
          <w:bCs/>
          <w:i/>
          <w:iCs/>
          <w:sz w:val="24"/>
          <w:szCs w:val="24"/>
        </w:rPr>
      </w:pPr>
      <w:r>
        <w:rPr>
          <w:b/>
          <w:i/>
          <w:iCs/>
          <w:sz w:val="24"/>
          <w:szCs w:val="24"/>
        </w:rPr>
        <w:t>Sistem de evacuare a fumului și gazelor fierbinți (SHEVS - sistem de presurizare)</w:t>
      </w:r>
      <w:r>
        <w:rPr>
          <w:bCs/>
          <w:i/>
          <w:iCs/>
          <w:sz w:val="24"/>
          <w:szCs w:val="24"/>
        </w:rPr>
        <w:t xml:space="preserve"> - sistem în care componentele sunt selectate în comun pentru a evacua fumul și gazele fierbinți pentru a stabili un strat plutitor de gaze calde deasupra aerului mai rece și mai curat</w:t>
      </w:r>
    </w:p>
    <w:p w14:paraId="43B07D9F" w14:textId="77777777" w:rsidR="001C08A5" w:rsidRDefault="00000000">
      <w:pPr>
        <w:ind w:left="1418" w:hanging="1"/>
        <w:jc w:val="both"/>
        <w:rPr>
          <w:bCs/>
          <w:i/>
          <w:iCs/>
          <w:sz w:val="24"/>
          <w:szCs w:val="24"/>
        </w:rPr>
      </w:pPr>
      <w:r>
        <w:rPr>
          <w:b/>
          <w:i/>
          <w:iCs/>
          <w:sz w:val="24"/>
          <w:szCs w:val="24"/>
        </w:rPr>
        <w:t>Presurizare</w:t>
      </w:r>
      <w:r>
        <w:rPr>
          <w:bCs/>
          <w:i/>
          <w:iCs/>
          <w:sz w:val="24"/>
          <w:szCs w:val="24"/>
        </w:rPr>
        <w:t xml:space="preserve"> - controlul fumului folosind diferențe de presiune între spațiul protejat și spațiul neprotejat, cu o presiune mai mare în spațiul protejat</w:t>
      </w:r>
    </w:p>
    <w:p w14:paraId="64D0219D" w14:textId="77777777" w:rsidR="001C08A5" w:rsidRDefault="00000000">
      <w:pPr>
        <w:ind w:left="1418" w:hanging="1"/>
        <w:jc w:val="both"/>
        <w:rPr>
          <w:i/>
          <w:iCs/>
          <w:sz w:val="24"/>
          <w:szCs w:val="24"/>
        </w:rPr>
      </w:pPr>
      <w:r>
        <w:rPr>
          <w:b/>
          <w:bCs/>
          <w:i/>
          <w:iCs/>
          <w:sz w:val="24"/>
          <w:szCs w:val="24"/>
        </w:rPr>
        <w:t>Sistem diferential de presiune (PDS)</w:t>
      </w:r>
      <w:r>
        <w:rPr>
          <w:i/>
          <w:iCs/>
          <w:sz w:val="24"/>
          <w:szCs w:val="24"/>
        </w:rPr>
        <w:t xml:space="preserve"> - combinație de cel puțin un kit și componente suplimentare, menite să producă diferența de presiune și fluxul de aer între spațiile protejate și neprotejate</w:t>
      </w:r>
    </w:p>
    <w:p w14:paraId="1FA6709C" w14:textId="77777777" w:rsidR="001C08A5" w:rsidRDefault="001C08A5">
      <w:pPr>
        <w:jc w:val="both"/>
        <w:rPr>
          <w:i/>
          <w:iCs/>
          <w:sz w:val="24"/>
          <w:szCs w:val="24"/>
        </w:rPr>
      </w:pPr>
    </w:p>
    <w:p w14:paraId="4F3ACBB7" w14:textId="77777777" w:rsidR="001C08A5" w:rsidRDefault="00000000">
      <w:pPr>
        <w:numPr>
          <w:ilvl w:val="0"/>
          <w:numId w:val="10"/>
        </w:numPr>
        <w:jc w:val="both"/>
        <w:rPr>
          <w:i/>
          <w:iCs/>
          <w:sz w:val="24"/>
          <w:szCs w:val="24"/>
        </w:rPr>
      </w:pPr>
      <w:r>
        <w:rPr>
          <w:b/>
          <w:bCs/>
          <w:i/>
          <w:iCs/>
          <w:sz w:val="24"/>
          <w:szCs w:val="24"/>
        </w:rPr>
        <w:t xml:space="preserve">Sisteme solare - </w:t>
      </w:r>
      <w:r>
        <w:rPr>
          <w:i/>
          <w:iCs/>
          <w:sz w:val="24"/>
          <w:szCs w:val="24"/>
        </w:rPr>
        <w:t xml:space="preserve">În sensul acestui normativ, această expresie include atât instalațiile fotovoltaice, cât și instalațiile solare termice. </w:t>
      </w:r>
    </w:p>
    <w:p w14:paraId="1DA60A6B" w14:textId="77777777" w:rsidR="001C08A5" w:rsidRDefault="00000000">
      <w:pPr>
        <w:ind w:left="1418" w:hanging="1"/>
        <w:jc w:val="both"/>
        <w:rPr>
          <w:b/>
          <w:i/>
          <w:iCs/>
          <w:sz w:val="24"/>
          <w:szCs w:val="24"/>
        </w:rPr>
      </w:pPr>
      <w:r>
        <w:rPr>
          <w:b/>
          <w:i/>
          <w:iCs/>
          <w:sz w:val="24"/>
          <w:szCs w:val="24"/>
        </w:rPr>
        <w:t xml:space="preserve">Sistem fotovoltaic (PV) - </w:t>
      </w:r>
      <w:r>
        <w:rPr>
          <w:bCs/>
          <w:i/>
          <w:iCs/>
          <w:sz w:val="24"/>
          <w:szCs w:val="24"/>
        </w:rPr>
        <w:t>Dispozitiv care convertește direct radiația solară în energie electrică, folosind celule fotovoltaice.</w:t>
      </w:r>
    </w:p>
    <w:p w14:paraId="05EA63AC" w14:textId="77777777" w:rsidR="001C08A5" w:rsidRDefault="00000000">
      <w:pPr>
        <w:ind w:left="1418" w:hanging="1"/>
        <w:jc w:val="both"/>
        <w:rPr>
          <w:b/>
          <w:i/>
          <w:iCs/>
          <w:sz w:val="24"/>
          <w:szCs w:val="24"/>
        </w:rPr>
      </w:pPr>
      <w:r>
        <w:rPr>
          <w:b/>
          <w:i/>
          <w:iCs/>
          <w:sz w:val="24"/>
          <w:szCs w:val="24"/>
        </w:rPr>
        <w:t xml:space="preserve">Sistem integrat fotovoltaic (BIPV) </w:t>
      </w:r>
      <w:r>
        <w:rPr>
          <w:bCs/>
          <w:i/>
          <w:iCs/>
          <w:sz w:val="24"/>
          <w:szCs w:val="24"/>
        </w:rPr>
        <w:t>- sistem integrat în fațadă sau acoperiș (</w:t>
      </w:r>
      <w:r>
        <w:rPr>
          <w:rFonts w:eastAsia="NotoSans-Regular"/>
          <w:bCs/>
          <w:i/>
          <w:iCs/>
          <w:sz w:val="24"/>
          <w:szCs w:val="24"/>
        </w:rPr>
        <w:t>parte funcțională a anvelopei clădirii</w:t>
      </w:r>
      <w:r>
        <w:rPr>
          <w:bCs/>
          <w:i/>
          <w:iCs/>
          <w:sz w:val="24"/>
          <w:szCs w:val="24"/>
        </w:rPr>
        <w:t xml:space="preserve">) care </w:t>
      </w:r>
      <w:r>
        <w:rPr>
          <w:rFonts w:eastAsia="NotoSans-Regular"/>
          <w:i/>
          <w:iCs/>
          <w:sz w:val="24"/>
          <w:szCs w:val="24"/>
        </w:rPr>
        <w:t xml:space="preserve">terbuie să respecte </w:t>
      </w:r>
      <w:r>
        <w:rPr>
          <w:rFonts w:eastAsia="NotoSans-Regular"/>
          <w:b/>
          <w:bCs/>
          <w:i/>
          <w:iCs/>
          <w:sz w:val="24"/>
          <w:szCs w:val="24"/>
        </w:rPr>
        <w:t>IEC 61730-2:2016</w:t>
      </w:r>
      <w:r>
        <w:rPr>
          <w:rFonts w:eastAsia="NotoSans-Regular"/>
          <w:i/>
          <w:iCs/>
          <w:sz w:val="24"/>
          <w:szCs w:val="24"/>
        </w:rPr>
        <w:t xml:space="preserve"> (reguli privind rezistența la foc și aprinderea modulelor fotovoltaice) și standardele de construcție privind securitatea la incendiu, definite în funcție de categoria de montaj a modulelor BIPV incluse în fațade conform </w:t>
      </w:r>
      <w:r>
        <w:rPr>
          <w:rFonts w:eastAsia="NotoSans-Regular"/>
          <w:b/>
          <w:bCs/>
          <w:i/>
          <w:iCs/>
          <w:sz w:val="24"/>
          <w:szCs w:val="24"/>
        </w:rPr>
        <w:t>SR EN 50583</w:t>
      </w:r>
    </w:p>
    <w:p w14:paraId="0BFE64D3" w14:textId="77777777" w:rsidR="001C08A5" w:rsidRDefault="001C08A5">
      <w:pPr>
        <w:ind w:left="400"/>
        <w:jc w:val="both"/>
        <w:rPr>
          <w:i/>
          <w:iCs/>
          <w:sz w:val="24"/>
          <w:szCs w:val="24"/>
        </w:rPr>
      </w:pPr>
    </w:p>
    <w:p w14:paraId="396EB3FE" w14:textId="77777777" w:rsidR="001C08A5" w:rsidRDefault="00000000">
      <w:pPr>
        <w:numPr>
          <w:ilvl w:val="0"/>
          <w:numId w:val="10"/>
        </w:numPr>
        <w:jc w:val="both"/>
        <w:rPr>
          <w:i/>
          <w:iCs/>
          <w:sz w:val="24"/>
          <w:szCs w:val="24"/>
        </w:rPr>
      </w:pPr>
      <w:r>
        <w:rPr>
          <w:b/>
          <w:bCs/>
          <w:i/>
          <w:iCs/>
          <w:sz w:val="24"/>
          <w:szCs w:val="24"/>
        </w:rPr>
        <w:t>Structură flotantă</w:t>
      </w:r>
      <w:r>
        <w:rPr>
          <w:i/>
          <w:iCs/>
          <w:sz w:val="24"/>
          <w:szCs w:val="24"/>
        </w:rPr>
        <w:t xml:space="preserve"> – structură în care forma structurală a membranei este asigurată prin elemente presurizate cu aer, iar utilizatorii folosesc spațiul nepresurizat</w:t>
      </w:r>
    </w:p>
    <w:p w14:paraId="66FBD9BC" w14:textId="77777777" w:rsidR="001C08A5" w:rsidRDefault="001C08A5">
      <w:pPr>
        <w:jc w:val="both"/>
        <w:rPr>
          <w:i/>
          <w:iCs/>
          <w:sz w:val="24"/>
          <w:szCs w:val="24"/>
        </w:rPr>
      </w:pPr>
    </w:p>
    <w:p w14:paraId="66DCDF8E" w14:textId="77777777" w:rsidR="001C08A5" w:rsidRDefault="00000000">
      <w:pPr>
        <w:numPr>
          <w:ilvl w:val="0"/>
          <w:numId w:val="10"/>
        </w:numPr>
        <w:jc w:val="both"/>
        <w:rPr>
          <w:i/>
          <w:iCs/>
          <w:sz w:val="24"/>
          <w:szCs w:val="24"/>
        </w:rPr>
      </w:pPr>
      <w:r>
        <w:rPr>
          <w:b/>
          <w:bCs/>
          <w:i/>
          <w:iCs/>
          <w:sz w:val="24"/>
          <w:szCs w:val="24"/>
        </w:rPr>
        <w:t>Structură presurizată</w:t>
      </w:r>
      <w:r>
        <w:rPr>
          <w:i/>
          <w:iCs/>
          <w:sz w:val="24"/>
          <w:szCs w:val="24"/>
        </w:rPr>
        <w:t xml:space="preserve"> – în care forma structurală este asigurată de presiunea aerului, iar utilizatorii folosesc spațiul presurizat</w:t>
      </w:r>
    </w:p>
    <w:p w14:paraId="427937C2" w14:textId="77777777" w:rsidR="001C08A5" w:rsidRDefault="001C08A5">
      <w:pPr>
        <w:jc w:val="both"/>
        <w:rPr>
          <w:i/>
          <w:iCs/>
          <w:sz w:val="24"/>
          <w:szCs w:val="24"/>
        </w:rPr>
      </w:pPr>
    </w:p>
    <w:p w14:paraId="3F5CD9E7" w14:textId="77777777" w:rsidR="001C08A5" w:rsidRDefault="00000000">
      <w:pPr>
        <w:numPr>
          <w:ilvl w:val="0"/>
          <w:numId w:val="10"/>
        </w:numPr>
        <w:jc w:val="both"/>
        <w:rPr>
          <w:i/>
          <w:iCs/>
          <w:sz w:val="24"/>
          <w:szCs w:val="24"/>
        </w:rPr>
      </w:pPr>
      <w:r>
        <w:rPr>
          <w:b/>
          <w:bCs/>
          <w:i/>
          <w:iCs/>
          <w:sz w:val="24"/>
          <w:szCs w:val="24"/>
        </w:rPr>
        <w:t xml:space="preserve">Structuri anexe </w:t>
      </w:r>
      <w:r>
        <w:rPr>
          <w:i/>
          <w:iCs/>
          <w:sz w:val="24"/>
          <w:szCs w:val="24"/>
        </w:rPr>
        <w:t>– construcții edificate în proximitatea corturilor pe care le deservesc funcțional, de tipul bucătării, toalete, depozite de mobilier, garderobe, rulote</w:t>
      </w:r>
    </w:p>
    <w:p w14:paraId="6820573F" w14:textId="77777777" w:rsidR="001C08A5" w:rsidRDefault="001C08A5">
      <w:pPr>
        <w:jc w:val="both"/>
        <w:rPr>
          <w:i/>
          <w:iCs/>
          <w:sz w:val="24"/>
          <w:szCs w:val="24"/>
        </w:rPr>
      </w:pPr>
    </w:p>
    <w:p w14:paraId="3BBFEE0B" w14:textId="77777777" w:rsidR="001C08A5" w:rsidRDefault="00000000">
      <w:pPr>
        <w:numPr>
          <w:ilvl w:val="0"/>
          <w:numId w:val="10"/>
        </w:numPr>
        <w:jc w:val="both"/>
        <w:rPr>
          <w:i/>
          <w:iCs/>
          <w:sz w:val="24"/>
          <w:szCs w:val="24"/>
        </w:rPr>
      </w:pPr>
      <w:r>
        <w:rPr>
          <w:b/>
          <w:i/>
          <w:iCs/>
          <w:sz w:val="24"/>
          <w:szCs w:val="24"/>
        </w:rPr>
        <w:t xml:space="preserve">Supantă </w:t>
      </w:r>
      <w:r>
        <w:rPr>
          <w:i/>
          <w:iCs/>
          <w:sz w:val="24"/>
          <w:szCs w:val="24"/>
        </w:rPr>
        <w:t xml:space="preserve">- planşeu parţial plin, deschis pe una sau mai multe laturi faţă de încăperea în care este dispus. Supantele (planşeele parţiale), care ocupă mai mult de </w:t>
      </w:r>
      <w:r>
        <w:rPr>
          <w:b/>
          <w:bCs/>
          <w:i/>
          <w:iCs/>
          <w:sz w:val="24"/>
          <w:szCs w:val="24"/>
        </w:rPr>
        <w:t>40%</w:t>
      </w:r>
      <w:r>
        <w:rPr>
          <w:i/>
          <w:iCs/>
          <w:sz w:val="24"/>
          <w:szCs w:val="24"/>
        </w:rPr>
        <w:t xml:space="preserve"> din aria încăperii în care sunt dispuse, sunt considerate niveluri și se iau în calcul la determinarea nivelului de stabilitate la incendiu al construcţiei.</w:t>
      </w:r>
    </w:p>
    <w:p w14:paraId="4D1BF3E3" w14:textId="77777777" w:rsidR="001C08A5" w:rsidRDefault="001C08A5">
      <w:pPr>
        <w:jc w:val="both"/>
        <w:rPr>
          <w:i/>
          <w:iCs/>
          <w:sz w:val="24"/>
          <w:szCs w:val="24"/>
        </w:rPr>
      </w:pPr>
    </w:p>
    <w:p w14:paraId="446827C7" w14:textId="77777777" w:rsidR="001C08A5" w:rsidRDefault="00000000">
      <w:pPr>
        <w:numPr>
          <w:ilvl w:val="0"/>
          <w:numId w:val="10"/>
        </w:numPr>
        <w:jc w:val="both"/>
        <w:rPr>
          <w:i/>
          <w:iCs/>
          <w:sz w:val="24"/>
          <w:szCs w:val="24"/>
        </w:rPr>
      </w:pPr>
      <w:r>
        <w:rPr>
          <w:b/>
          <w:i/>
          <w:iCs/>
          <w:sz w:val="24"/>
          <w:szCs w:val="24"/>
        </w:rPr>
        <w:t>Şarpantă</w:t>
      </w:r>
      <w:r>
        <w:rPr>
          <w:i/>
          <w:iCs/>
          <w:sz w:val="24"/>
          <w:szCs w:val="24"/>
        </w:rPr>
        <w:t xml:space="preserve"> - ansamblul structural înclinat al acoperişului unei construcţii, pe care se dispun suportul învelitorii şi învelitoarea sau panourile de învelitoare (</w:t>
      </w:r>
      <w:r>
        <w:rPr>
          <w:b/>
          <w:bCs/>
          <w:i/>
          <w:iCs/>
          <w:sz w:val="24"/>
          <w:szCs w:val="24"/>
        </w:rPr>
        <w:fldChar w:fldCharType="begin"/>
      </w:r>
      <w:r>
        <w:rPr>
          <w:b/>
          <w:bCs/>
          <w:i/>
          <w:iCs/>
          <w:sz w:val="24"/>
          <w:szCs w:val="24"/>
        </w:rPr>
        <w:instrText xml:space="preserve"> REF _Ref7602 \h </w:instrText>
      </w:r>
      <w:r>
        <w:rPr>
          <w:b/>
          <w:bCs/>
          <w:i/>
          <w:iCs/>
          <w:sz w:val="24"/>
          <w:szCs w:val="24"/>
        </w:rPr>
      </w:r>
      <w:r>
        <w:rPr>
          <w:b/>
          <w:bCs/>
          <w:i/>
          <w:iCs/>
          <w:sz w:val="24"/>
          <w:szCs w:val="24"/>
        </w:rPr>
        <w:fldChar w:fldCharType="separate"/>
      </w:r>
      <w:r>
        <w:t>Figura 25</w:t>
      </w:r>
      <w:r>
        <w:rPr>
          <w:b/>
          <w:bCs/>
          <w:i/>
          <w:iCs/>
          <w:sz w:val="24"/>
          <w:szCs w:val="24"/>
        </w:rPr>
        <w:fldChar w:fldCharType="end"/>
      </w:r>
      <w:r>
        <w:rPr>
          <w:i/>
          <w:iCs/>
          <w:sz w:val="24"/>
          <w:szCs w:val="24"/>
        </w:rPr>
        <w:t>).</w:t>
      </w:r>
    </w:p>
    <w:p w14:paraId="6ACACEBD" w14:textId="77777777" w:rsidR="001C08A5" w:rsidRDefault="001C08A5">
      <w:pPr>
        <w:ind w:left="400"/>
        <w:jc w:val="both"/>
        <w:rPr>
          <w:i/>
          <w:iCs/>
          <w:sz w:val="24"/>
          <w:szCs w:val="24"/>
        </w:rPr>
      </w:pPr>
    </w:p>
    <w:p w14:paraId="016A1383" w14:textId="77777777" w:rsidR="001C08A5" w:rsidRDefault="00000000">
      <w:pPr>
        <w:jc w:val="center"/>
        <w:rPr>
          <w:sz w:val="24"/>
          <w:szCs w:val="24"/>
        </w:rPr>
      </w:pPr>
      <w:r>
        <w:rPr>
          <w:noProof/>
        </w:rPr>
        <w:drawing>
          <wp:inline distT="0" distB="0" distL="114300" distR="114300" wp14:anchorId="72BC2F64" wp14:editId="3872F921">
            <wp:extent cx="5897245" cy="1926590"/>
            <wp:effectExtent l="0" t="0" r="8255" b="16510"/>
            <wp:docPr id="4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10"/>
                    <pic:cNvPicPr>
                      <a:picLocks noChangeAspect="1"/>
                    </pic:cNvPicPr>
                  </pic:nvPicPr>
                  <pic:blipFill>
                    <a:blip r:embed="rId96"/>
                    <a:srcRect l="14727" t="5275" r="7250" b="7741"/>
                    <a:stretch>
                      <a:fillRect/>
                    </a:stretch>
                  </pic:blipFill>
                  <pic:spPr>
                    <a:xfrm>
                      <a:off x="0" y="0"/>
                      <a:ext cx="5897245" cy="1926590"/>
                    </a:xfrm>
                    <a:prstGeom prst="rect">
                      <a:avLst/>
                    </a:prstGeom>
                    <a:noFill/>
                    <a:ln>
                      <a:noFill/>
                    </a:ln>
                  </pic:spPr>
                </pic:pic>
              </a:graphicData>
            </a:graphic>
          </wp:inline>
        </w:drawing>
      </w:r>
    </w:p>
    <w:p w14:paraId="5D7B3CF7" w14:textId="77777777" w:rsidR="001C08A5" w:rsidRDefault="00000000">
      <w:pPr>
        <w:ind w:left="1680" w:firstLine="718"/>
        <w:jc w:val="both"/>
        <w:rPr>
          <w:b/>
          <w:sz w:val="22"/>
          <w:szCs w:val="22"/>
        </w:rPr>
      </w:pPr>
      <w:r>
        <w:rPr>
          <w:b/>
          <w:i/>
          <w:iCs/>
          <w:sz w:val="22"/>
          <w:szCs w:val="22"/>
        </w:rPr>
        <w:t>Secțiune ax 2</w:t>
      </w:r>
      <w:r>
        <w:rPr>
          <w:b/>
          <w:i/>
          <w:iCs/>
          <w:sz w:val="22"/>
          <w:szCs w:val="22"/>
        </w:rPr>
        <w:tab/>
      </w:r>
      <w:r>
        <w:rPr>
          <w:b/>
          <w:i/>
          <w:iCs/>
          <w:sz w:val="22"/>
          <w:szCs w:val="22"/>
        </w:rPr>
        <w:tab/>
      </w:r>
      <w:r>
        <w:rPr>
          <w:b/>
          <w:i/>
          <w:iCs/>
          <w:sz w:val="22"/>
          <w:szCs w:val="22"/>
        </w:rPr>
        <w:tab/>
      </w:r>
      <w:r>
        <w:rPr>
          <w:b/>
          <w:i/>
          <w:iCs/>
          <w:sz w:val="22"/>
          <w:szCs w:val="22"/>
        </w:rPr>
        <w:tab/>
      </w:r>
      <w:r>
        <w:rPr>
          <w:b/>
          <w:i/>
          <w:iCs/>
          <w:sz w:val="22"/>
          <w:szCs w:val="22"/>
        </w:rPr>
        <w:tab/>
        <w:t>Plan șarpantă</w:t>
      </w:r>
    </w:p>
    <w:p w14:paraId="5BDEA84C" w14:textId="77777777" w:rsidR="001C08A5" w:rsidRDefault="00000000">
      <w:pPr>
        <w:pStyle w:val="Caption"/>
        <w:jc w:val="center"/>
        <w:rPr>
          <w:rFonts w:cs="Times New Roman"/>
        </w:rPr>
      </w:pPr>
      <w:bookmarkStart w:id="517" w:name="_Ref7602"/>
      <w:bookmarkStart w:id="518" w:name="_Toc15366"/>
      <w:bookmarkStart w:id="519" w:name="_Toc19785"/>
      <w:bookmarkStart w:id="520" w:name="_Toc17523"/>
      <w:bookmarkStart w:id="521" w:name="_Toc6815"/>
      <w:bookmarkStart w:id="522" w:name="_Toc15899"/>
      <w:bookmarkStart w:id="523" w:name="_Toc162360249"/>
      <w:bookmarkStart w:id="524" w:name="_Toc18058"/>
      <w:r>
        <w:t xml:space="preserve">Figura </w:t>
      </w:r>
      <w:r>
        <w:fldChar w:fldCharType="begin"/>
      </w:r>
      <w:r>
        <w:instrText xml:space="preserve"> SEQ Figura \* ARABIC </w:instrText>
      </w:r>
      <w:r>
        <w:fldChar w:fldCharType="separate"/>
      </w:r>
      <w:r>
        <w:t>25</w:t>
      </w:r>
      <w:r>
        <w:fldChar w:fldCharType="end"/>
      </w:r>
      <w:bookmarkStart w:id="525" w:name="_Toc7034"/>
      <w:bookmarkStart w:id="526" w:name="_Toc19321"/>
      <w:bookmarkStart w:id="527" w:name="_Toc30380"/>
      <w:bookmarkStart w:id="528" w:name="_Toc5302"/>
      <w:bookmarkStart w:id="529" w:name="_Toc15685"/>
      <w:bookmarkStart w:id="530" w:name="_Toc3847"/>
      <w:bookmarkStart w:id="531" w:name="_Toc32248"/>
      <w:bookmarkStart w:id="532" w:name="_Toc17546"/>
      <w:bookmarkStart w:id="533" w:name="_Toc20774"/>
      <w:bookmarkStart w:id="534" w:name="_Toc1279"/>
      <w:bookmarkStart w:id="535" w:name="_Toc31418"/>
      <w:bookmarkEnd w:id="517"/>
      <w:r>
        <w:t xml:space="preserve"> - </w:t>
      </w:r>
      <w:r>
        <w:rPr>
          <w:rFonts w:cs="Times New Roman"/>
        </w:rPr>
        <w:t>Șarpantă - elemente componente</w:t>
      </w:r>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p>
    <w:p w14:paraId="07EB4561" w14:textId="77777777" w:rsidR="001C08A5" w:rsidRDefault="00000000">
      <w:pPr>
        <w:numPr>
          <w:ilvl w:val="0"/>
          <w:numId w:val="10"/>
        </w:numPr>
        <w:jc w:val="both"/>
        <w:rPr>
          <w:sz w:val="24"/>
          <w:szCs w:val="24"/>
        </w:rPr>
      </w:pPr>
      <w:r>
        <w:rPr>
          <w:b/>
          <w:i/>
          <w:iCs/>
          <w:sz w:val="24"/>
          <w:szCs w:val="24"/>
        </w:rPr>
        <w:lastRenderedPageBreak/>
        <w:t>Subsol</w:t>
      </w:r>
      <w:r>
        <w:rPr>
          <w:i/>
          <w:iCs/>
          <w:sz w:val="24"/>
          <w:szCs w:val="24"/>
        </w:rPr>
        <w:t xml:space="preserve"> - nivel construit al construcţiei având pardoseala situată sub nivelul terenului (carosabilului) adiacent cu mai mult de jumătate din înălţimea lui liberă. Subsolurile se includ în numărul nivelurilor subterane ale construcţiei.</w:t>
      </w:r>
    </w:p>
    <w:p w14:paraId="67D13E94" w14:textId="77777777" w:rsidR="001C08A5" w:rsidRDefault="00000000">
      <w:pPr>
        <w:jc w:val="both"/>
        <w:rPr>
          <w:i/>
          <w:iCs/>
          <w:sz w:val="22"/>
          <w:szCs w:val="22"/>
        </w:rPr>
      </w:pPr>
      <w:r>
        <w:rPr>
          <w:i/>
          <w:iCs/>
          <w:sz w:val="22"/>
          <w:szCs w:val="22"/>
        </w:rPr>
        <w:t>Notă: a se vedea definiția ”</w:t>
      </w:r>
      <w:r>
        <w:rPr>
          <w:b/>
          <w:bCs/>
          <w:i/>
          <w:iCs/>
          <w:sz w:val="22"/>
          <w:szCs w:val="22"/>
        </w:rPr>
        <w:t>demisol</w:t>
      </w:r>
      <w:r>
        <w:rPr>
          <w:i/>
          <w:iCs/>
          <w:sz w:val="22"/>
          <w:szCs w:val="22"/>
        </w:rPr>
        <w:t xml:space="preserve">” și </w:t>
      </w:r>
      <w:r>
        <w:rPr>
          <w:b/>
          <w:bCs/>
          <w:i/>
          <w:iCs/>
          <w:sz w:val="22"/>
          <w:szCs w:val="22"/>
        </w:rPr>
        <w:fldChar w:fldCharType="begin"/>
      </w:r>
      <w:r>
        <w:rPr>
          <w:b/>
          <w:bCs/>
          <w:i/>
          <w:iCs/>
          <w:sz w:val="22"/>
          <w:szCs w:val="22"/>
        </w:rPr>
        <w:instrText xml:space="preserve"> REF _Ref6044 \h </w:instrText>
      </w:r>
      <w:r>
        <w:rPr>
          <w:b/>
          <w:bCs/>
          <w:i/>
          <w:iCs/>
          <w:sz w:val="22"/>
          <w:szCs w:val="22"/>
        </w:rPr>
      </w:r>
      <w:r>
        <w:rPr>
          <w:b/>
          <w:bCs/>
          <w:i/>
          <w:iCs/>
          <w:sz w:val="22"/>
          <w:szCs w:val="22"/>
        </w:rPr>
        <w:fldChar w:fldCharType="separate"/>
      </w:r>
      <w:r>
        <w:t>Figura 11</w:t>
      </w:r>
      <w:r>
        <w:rPr>
          <w:b/>
          <w:bCs/>
          <w:i/>
          <w:iCs/>
          <w:sz w:val="22"/>
          <w:szCs w:val="22"/>
        </w:rPr>
        <w:fldChar w:fldCharType="end"/>
      </w:r>
      <w:r>
        <w:rPr>
          <w:b/>
          <w:bCs/>
          <w:i/>
          <w:iCs/>
          <w:sz w:val="22"/>
          <w:szCs w:val="22"/>
        </w:rPr>
        <w:t xml:space="preserve"> (demisol)</w:t>
      </w:r>
      <w:r>
        <w:rPr>
          <w:i/>
          <w:iCs/>
          <w:sz w:val="22"/>
          <w:szCs w:val="22"/>
        </w:rPr>
        <w:t>.</w:t>
      </w:r>
    </w:p>
    <w:p w14:paraId="615A9146" w14:textId="77777777" w:rsidR="001C08A5" w:rsidRDefault="001C08A5">
      <w:pPr>
        <w:ind w:left="800" w:firstLine="1438"/>
        <w:jc w:val="both"/>
        <w:rPr>
          <w:i/>
          <w:iCs/>
          <w:sz w:val="24"/>
          <w:szCs w:val="24"/>
        </w:rPr>
      </w:pPr>
    </w:p>
    <w:p w14:paraId="6A841EA4" w14:textId="77777777" w:rsidR="001C08A5" w:rsidRDefault="00000000">
      <w:pPr>
        <w:numPr>
          <w:ilvl w:val="0"/>
          <w:numId w:val="10"/>
        </w:numPr>
        <w:jc w:val="both"/>
        <w:rPr>
          <w:rStyle w:val="FontStyle57"/>
          <w:rFonts w:ascii="Times New Roman" w:hAnsi="Times New Roman" w:cs="Times New Roman"/>
          <w:b/>
          <w:i/>
          <w:iCs/>
          <w:spacing w:val="8"/>
          <w:sz w:val="24"/>
          <w:szCs w:val="24"/>
          <w:lang w:eastAsia="ro-RO"/>
        </w:rPr>
      </w:pPr>
      <w:r>
        <w:rPr>
          <w:b/>
          <w:i/>
          <w:iCs/>
          <w:sz w:val="24"/>
          <w:szCs w:val="24"/>
        </w:rPr>
        <w:t>Tambur deschis</w:t>
      </w:r>
      <w:r>
        <w:rPr>
          <w:i/>
          <w:iCs/>
          <w:sz w:val="24"/>
          <w:szCs w:val="24"/>
        </w:rPr>
        <w:t xml:space="preserve"> - sistem de protecţie a golurilor de circulaţie</w:t>
      </w:r>
      <w:r>
        <w:rPr>
          <w:i/>
          <w:iCs/>
          <w:sz w:val="24"/>
          <w:szCs w:val="24"/>
          <w:shd w:val="clear" w:color="auto" w:fill="FFFFFF"/>
          <w:lang w:eastAsia="zh-CN"/>
        </w:rPr>
        <w:t xml:space="preserve"> comune</w:t>
      </w:r>
      <w:r>
        <w:rPr>
          <w:i/>
          <w:iCs/>
          <w:sz w:val="24"/>
          <w:szCs w:val="24"/>
        </w:rPr>
        <w:t xml:space="preserve"> funcţionale și de evacuare din pereții antifoc sau rezistenți la foc (</w:t>
      </w:r>
      <w:r>
        <w:rPr>
          <w:b/>
          <w:bCs/>
          <w:i/>
          <w:iCs/>
          <w:sz w:val="24"/>
          <w:szCs w:val="24"/>
        </w:rPr>
        <w:fldChar w:fldCharType="begin"/>
      </w:r>
      <w:r>
        <w:rPr>
          <w:b/>
          <w:bCs/>
          <w:i/>
          <w:iCs/>
          <w:sz w:val="24"/>
          <w:szCs w:val="24"/>
        </w:rPr>
        <w:instrText xml:space="preserve"> REF _Ref7752 \h </w:instrText>
      </w:r>
      <w:r>
        <w:rPr>
          <w:b/>
          <w:bCs/>
          <w:i/>
          <w:iCs/>
          <w:sz w:val="24"/>
          <w:szCs w:val="24"/>
        </w:rPr>
      </w:r>
      <w:r>
        <w:rPr>
          <w:b/>
          <w:bCs/>
          <w:i/>
          <w:iCs/>
          <w:sz w:val="24"/>
          <w:szCs w:val="24"/>
        </w:rPr>
        <w:fldChar w:fldCharType="separate"/>
      </w:r>
      <w:r>
        <w:t>Figura 26</w:t>
      </w:r>
      <w:r>
        <w:rPr>
          <w:b/>
          <w:bCs/>
          <w:i/>
          <w:iCs/>
          <w:sz w:val="24"/>
          <w:szCs w:val="24"/>
        </w:rPr>
        <w:fldChar w:fldCharType="end"/>
      </w:r>
      <w:r>
        <w:rPr>
          <w:i/>
          <w:iCs/>
          <w:sz w:val="24"/>
          <w:szCs w:val="24"/>
        </w:rPr>
        <w:t xml:space="preserve">), folosit atunci când motivat tehnic nu pot fi utilizate ușile sau încăperile tampon. Se prevede câte un cap sprinkler la fiecare </w:t>
      </w:r>
      <w:r>
        <w:rPr>
          <w:b/>
          <w:bCs/>
          <w:i/>
          <w:iCs/>
          <w:sz w:val="24"/>
          <w:szCs w:val="24"/>
        </w:rPr>
        <w:t>1 m²</w:t>
      </w:r>
      <w:r>
        <w:rPr>
          <w:i/>
          <w:iCs/>
          <w:sz w:val="24"/>
          <w:szCs w:val="24"/>
        </w:rPr>
        <w:t xml:space="preserve"> de suprafață orizontală a tamburului.</w:t>
      </w:r>
    </w:p>
    <w:p w14:paraId="69986F37" w14:textId="77777777" w:rsidR="001C08A5" w:rsidRDefault="00000000">
      <w:pPr>
        <w:jc w:val="center"/>
        <w:rPr>
          <w:sz w:val="24"/>
          <w:szCs w:val="24"/>
        </w:rPr>
      </w:pPr>
      <w:r>
        <w:rPr>
          <w:noProof/>
          <w:lang w:eastAsia="ro-RO"/>
        </w:rPr>
        <w:drawing>
          <wp:inline distT="0" distB="0" distL="114300" distR="114300" wp14:anchorId="2DCC2CBF" wp14:editId="0CDD795A">
            <wp:extent cx="5470525" cy="2070100"/>
            <wp:effectExtent l="0" t="0" r="15875" b="6350"/>
            <wp:docPr id="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4"/>
                    <pic:cNvPicPr>
                      <a:picLocks noChangeAspect="1"/>
                    </pic:cNvPicPr>
                  </pic:nvPicPr>
                  <pic:blipFill>
                    <a:blip r:embed="rId97"/>
                    <a:srcRect l="12282" r="7100" b="57571"/>
                    <a:stretch>
                      <a:fillRect/>
                    </a:stretch>
                  </pic:blipFill>
                  <pic:spPr>
                    <a:xfrm>
                      <a:off x="0" y="0"/>
                      <a:ext cx="5470525" cy="2070100"/>
                    </a:xfrm>
                    <a:prstGeom prst="rect">
                      <a:avLst/>
                    </a:prstGeom>
                    <a:noFill/>
                    <a:ln>
                      <a:noFill/>
                    </a:ln>
                  </pic:spPr>
                </pic:pic>
              </a:graphicData>
            </a:graphic>
          </wp:inline>
        </w:drawing>
      </w:r>
    </w:p>
    <w:p w14:paraId="17EF7191" w14:textId="77777777" w:rsidR="001C08A5" w:rsidRDefault="00000000">
      <w:pPr>
        <w:ind w:left="2160" w:firstLine="720"/>
        <w:rPr>
          <w:b/>
          <w:i/>
          <w:iCs/>
          <w:sz w:val="22"/>
          <w:szCs w:val="22"/>
        </w:rPr>
      </w:pPr>
      <w:r>
        <w:rPr>
          <w:b/>
          <w:i/>
          <w:iCs/>
          <w:sz w:val="22"/>
          <w:szCs w:val="22"/>
        </w:rPr>
        <w:t>Plan</w:t>
      </w:r>
      <w:r>
        <w:rPr>
          <w:b/>
          <w:i/>
          <w:iCs/>
          <w:sz w:val="22"/>
          <w:szCs w:val="22"/>
        </w:rPr>
        <w:tab/>
      </w:r>
      <w:r>
        <w:rPr>
          <w:b/>
          <w:i/>
          <w:iCs/>
          <w:sz w:val="22"/>
          <w:szCs w:val="22"/>
        </w:rPr>
        <w:tab/>
      </w:r>
      <w:r>
        <w:rPr>
          <w:b/>
          <w:i/>
          <w:iCs/>
          <w:sz w:val="22"/>
          <w:szCs w:val="22"/>
        </w:rPr>
        <w:tab/>
      </w:r>
      <w:r>
        <w:rPr>
          <w:b/>
          <w:i/>
          <w:iCs/>
          <w:sz w:val="22"/>
          <w:szCs w:val="22"/>
        </w:rPr>
        <w:tab/>
      </w:r>
      <w:r>
        <w:rPr>
          <w:b/>
          <w:i/>
          <w:iCs/>
          <w:sz w:val="22"/>
          <w:szCs w:val="22"/>
        </w:rPr>
        <w:tab/>
      </w:r>
      <w:r>
        <w:rPr>
          <w:b/>
          <w:i/>
          <w:iCs/>
          <w:sz w:val="22"/>
          <w:szCs w:val="22"/>
        </w:rPr>
        <w:tab/>
        <w:t>Secțiune</w:t>
      </w:r>
    </w:p>
    <w:p w14:paraId="57E48052" w14:textId="77777777" w:rsidR="001C08A5" w:rsidRDefault="00000000">
      <w:pPr>
        <w:jc w:val="center"/>
        <w:rPr>
          <w:b/>
          <w:bCs/>
          <w:i/>
          <w:iCs/>
          <w:sz w:val="22"/>
          <w:szCs w:val="22"/>
        </w:rPr>
      </w:pPr>
      <w:r>
        <w:rPr>
          <w:b/>
          <w:bCs/>
          <w:i/>
          <w:iCs/>
          <w:sz w:val="22"/>
          <w:szCs w:val="22"/>
        </w:rPr>
        <w:t>Varianta a) - amplasare integrală de o parte a peretelui de compartimentare rezistent la foc</w:t>
      </w:r>
    </w:p>
    <w:p w14:paraId="741BAFEA" w14:textId="77777777" w:rsidR="001C08A5" w:rsidRDefault="00000000">
      <w:pPr>
        <w:jc w:val="center"/>
        <w:rPr>
          <w:sz w:val="24"/>
          <w:szCs w:val="24"/>
        </w:rPr>
      </w:pPr>
      <w:r>
        <w:rPr>
          <w:noProof/>
          <w:lang w:eastAsia="ro-RO"/>
        </w:rPr>
        <w:drawing>
          <wp:inline distT="0" distB="0" distL="114300" distR="114300" wp14:anchorId="27851CA2" wp14:editId="38A82966">
            <wp:extent cx="5506085" cy="2106930"/>
            <wp:effectExtent l="0" t="0" r="18415" b="7620"/>
            <wp:docPr id="8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4"/>
                    <pic:cNvPicPr>
                      <a:picLocks noChangeAspect="1"/>
                    </pic:cNvPicPr>
                  </pic:nvPicPr>
                  <pic:blipFill>
                    <a:blip r:embed="rId97"/>
                    <a:srcRect l="12282" t="57079" r="7100"/>
                    <a:stretch>
                      <a:fillRect/>
                    </a:stretch>
                  </pic:blipFill>
                  <pic:spPr>
                    <a:xfrm>
                      <a:off x="0" y="0"/>
                      <a:ext cx="5506085" cy="2106930"/>
                    </a:xfrm>
                    <a:prstGeom prst="rect">
                      <a:avLst/>
                    </a:prstGeom>
                    <a:noFill/>
                    <a:ln>
                      <a:noFill/>
                    </a:ln>
                  </pic:spPr>
                </pic:pic>
              </a:graphicData>
            </a:graphic>
          </wp:inline>
        </w:drawing>
      </w:r>
    </w:p>
    <w:p w14:paraId="653893F3" w14:textId="77777777" w:rsidR="001C08A5" w:rsidRDefault="00000000">
      <w:pPr>
        <w:ind w:left="2160" w:firstLine="720"/>
        <w:rPr>
          <w:b/>
          <w:i/>
          <w:iCs/>
          <w:sz w:val="24"/>
          <w:szCs w:val="24"/>
        </w:rPr>
      </w:pPr>
      <w:r>
        <w:rPr>
          <w:b/>
          <w:i/>
          <w:iCs/>
          <w:sz w:val="22"/>
          <w:szCs w:val="22"/>
        </w:rPr>
        <w:t>Plan</w:t>
      </w:r>
      <w:r>
        <w:rPr>
          <w:b/>
          <w:i/>
          <w:iCs/>
          <w:sz w:val="22"/>
          <w:szCs w:val="22"/>
        </w:rPr>
        <w:tab/>
      </w:r>
      <w:r>
        <w:rPr>
          <w:b/>
          <w:i/>
          <w:iCs/>
          <w:sz w:val="22"/>
          <w:szCs w:val="22"/>
        </w:rPr>
        <w:tab/>
      </w:r>
      <w:r>
        <w:rPr>
          <w:b/>
          <w:i/>
          <w:iCs/>
          <w:sz w:val="22"/>
          <w:szCs w:val="22"/>
        </w:rPr>
        <w:tab/>
      </w:r>
      <w:r>
        <w:rPr>
          <w:b/>
          <w:i/>
          <w:iCs/>
          <w:sz w:val="22"/>
          <w:szCs w:val="22"/>
        </w:rPr>
        <w:tab/>
      </w:r>
      <w:r>
        <w:rPr>
          <w:b/>
          <w:i/>
          <w:iCs/>
          <w:sz w:val="22"/>
          <w:szCs w:val="22"/>
        </w:rPr>
        <w:tab/>
      </w:r>
      <w:r>
        <w:rPr>
          <w:b/>
          <w:i/>
          <w:iCs/>
          <w:sz w:val="22"/>
          <w:szCs w:val="22"/>
        </w:rPr>
        <w:tab/>
        <w:t>Secțiune</w:t>
      </w:r>
    </w:p>
    <w:p w14:paraId="4690B981" w14:textId="77777777" w:rsidR="001C08A5" w:rsidRDefault="00000000">
      <w:pPr>
        <w:jc w:val="center"/>
        <w:rPr>
          <w:b/>
          <w:bCs/>
          <w:i/>
          <w:iCs/>
          <w:sz w:val="22"/>
          <w:szCs w:val="22"/>
        </w:rPr>
      </w:pPr>
      <w:r>
        <w:rPr>
          <w:b/>
          <w:bCs/>
          <w:i/>
          <w:iCs/>
          <w:sz w:val="22"/>
          <w:szCs w:val="22"/>
        </w:rPr>
        <w:t>Varianta b) - amplasare intercalată, de o parte și de alta a peretelui  de compartimentare rezistent la foc</w:t>
      </w:r>
    </w:p>
    <w:p w14:paraId="392956BE" w14:textId="77777777" w:rsidR="001C08A5" w:rsidRDefault="00000000">
      <w:pPr>
        <w:pStyle w:val="Caption"/>
        <w:jc w:val="center"/>
        <w:rPr>
          <w:rFonts w:eastAsia="sans-serif" w:cs="Times New Roman"/>
          <w:spacing w:val="1"/>
          <w:lang w:eastAsia="ro-RO"/>
        </w:rPr>
      </w:pPr>
      <w:bookmarkStart w:id="536" w:name="_Ref7752"/>
      <w:bookmarkStart w:id="537" w:name="_Toc1641"/>
      <w:bookmarkStart w:id="538" w:name="_Toc421"/>
      <w:bookmarkStart w:id="539" w:name="_Toc28811"/>
      <w:bookmarkStart w:id="540" w:name="_Toc16061"/>
      <w:bookmarkStart w:id="541" w:name="_Toc25732"/>
      <w:bookmarkStart w:id="542" w:name="_Toc162360250"/>
      <w:bookmarkStart w:id="543" w:name="_Toc29626"/>
      <w:r>
        <w:t xml:space="preserve">Figura </w:t>
      </w:r>
      <w:r>
        <w:fldChar w:fldCharType="begin"/>
      </w:r>
      <w:r>
        <w:instrText xml:space="preserve"> SEQ Figura \* ARABIC </w:instrText>
      </w:r>
      <w:r>
        <w:fldChar w:fldCharType="separate"/>
      </w:r>
      <w:r>
        <w:t>26</w:t>
      </w:r>
      <w:r>
        <w:fldChar w:fldCharType="end"/>
      </w:r>
      <w:bookmarkStart w:id="544" w:name="_Toc29798"/>
      <w:bookmarkStart w:id="545" w:name="_Toc6372"/>
      <w:bookmarkStart w:id="546" w:name="_Toc28516"/>
      <w:bookmarkStart w:id="547" w:name="_Toc5724"/>
      <w:bookmarkStart w:id="548" w:name="_Toc7444"/>
      <w:bookmarkStart w:id="549" w:name="_Toc16593"/>
      <w:bookmarkStart w:id="550" w:name="_Toc28383"/>
      <w:bookmarkStart w:id="551" w:name="_Toc7963"/>
      <w:bookmarkStart w:id="552" w:name="_Toc24158"/>
      <w:bookmarkStart w:id="553" w:name="_Toc8109"/>
      <w:bookmarkStart w:id="554" w:name="_Toc14349"/>
      <w:bookmarkEnd w:id="536"/>
      <w:r>
        <w:t xml:space="preserve"> - </w:t>
      </w:r>
      <w:r>
        <w:rPr>
          <w:rFonts w:cs="Times New Roman"/>
        </w:rPr>
        <w:t>Tambur deschis</w:t>
      </w:r>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14:paraId="01F17871" w14:textId="77777777" w:rsidR="001C08A5" w:rsidRDefault="00000000">
      <w:pPr>
        <w:numPr>
          <w:ilvl w:val="0"/>
          <w:numId w:val="10"/>
        </w:numPr>
        <w:jc w:val="both"/>
        <w:rPr>
          <w:b/>
          <w:i/>
          <w:iCs/>
          <w:sz w:val="24"/>
          <w:szCs w:val="24"/>
        </w:rPr>
      </w:pPr>
      <w:r>
        <w:rPr>
          <w:b/>
          <w:i/>
          <w:iCs/>
          <w:sz w:val="24"/>
          <w:szCs w:val="24"/>
        </w:rPr>
        <w:t xml:space="preserve">Uşi, cortine și obloane rezistente la foc </w:t>
      </w:r>
      <w:r>
        <w:rPr>
          <w:i/>
          <w:iCs/>
          <w:sz w:val="24"/>
          <w:szCs w:val="24"/>
        </w:rPr>
        <w:t>- elemente mobile de protecţie a golurilor (de circulaţie funcţională sau nu) din elementele de construcţie cu rol de limitare a propagării incendiilor, alcătuite și echipate corespunzător prevederilor normativului.</w:t>
      </w:r>
    </w:p>
    <w:p w14:paraId="27A62A1E" w14:textId="77777777" w:rsidR="001C08A5" w:rsidRDefault="001C08A5">
      <w:pPr>
        <w:ind w:left="800"/>
        <w:jc w:val="both"/>
        <w:rPr>
          <w:b/>
          <w:i/>
          <w:iCs/>
          <w:sz w:val="24"/>
          <w:szCs w:val="24"/>
        </w:rPr>
      </w:pPr>
    </w:p>
    <w:p w14:paraId="2CAA9B0B" w14:textId="77777777" w:rsidR="001C08A5" w:rsidRDefault="00000000">
      <w:pPr>
        <w:widowControl w:val="0"/>
        <w:numPr>
          <w:ilvl w:val="0"/>
          <w:numId w:val="10"/>
        </w:numPr>
        <w:jc w:val="both"/>
        <w:rPr>
          <w:i/>
          <w:iCs/>
          <w:sz w:val="24"/>
          <w:szCs w:val="24"/>
        </w:rPr>
      </w:pPr>
      <w:r>
        <w:rPr>
          <w:b/>
          <w:i/>
          <w:iCs/>
          <w:sz w:val="24"/>
          <w:szCs w:val="24"/>
        </w:rPr>
        <w:t>Uşi de evacuare</w:t>
      </w:r>
      <w:r>
        <w:rPr>
          <w:i/>
          <w:iCs/>
          <w:sz w:val="24"/>
          <w:szCs w:val="24"/>
          <w:lang w:eastAsia="ro-RO"/>
        </w:rPr>
        <w:t xml:space="preserve"> - elemente mobile cu deschidere normală, pe balamale sau pivoţi, ori uși cu deschidere pe balamale sau pivoti echipate cu sisteme de încuiere și dispozitive de ieșire care să permită deshiderea lor din interior, chiar și dacă acestea sunt încuiate cu cheia, prin simplă apăsare pe mâner, ori uşi culisante automate cu “break-out” sau uși culisante automate redundante, ori uși turnante prevăzute cu posibilitatea plierii uşoare a foilor de uşă și prin aceasta se asigură lățimea liberă necesară evacuării, ori alte tipuri de uși prevăzute în normativ, utilizate pentru închiderea golurilor din pereţi şi destinate circulaţiei funcţionale și de evacuare a utilizatorilor. </w:t>
      </w:r>
    </w:p>
    <w:p w14:paraId="280AACD2" w14:textId="77777777" w:rsidR="001C08A5" w:rsidRDefault="00000000">
      <w:pPr>
        <w:widowControl w:val="0"/>
        <w:jc w:val="both"/>
        <w:rPr>
          <w:rFonts w:eastAsia="sans-serif"/>
          <w:i/>
          <w:iCs/>
          <w:spacing w:val="1"/>
          <w:sz w:val="22"/>
          <w:szCs w:val="22"/>
        </w:rPr>
      </w:pPr>
      <w:r>
        <w:rPr>
          <w:rFonts w:eastAsia="Arial-ItalicMT"/>
          <w:i/>
          <w:iCs/>
          <w:sz w:val="22"/>
          <w:szCs w:val="22"/>
          <w:lang w:eastAsia="ro-RO"/>
        </w:rPr>
        <w:t xml:space="preserve">Nota 1: Echiparea ușilor cu </w:t>
      </w:r>
      <w:r>
        <w:rPr>
          <w:i/>
          <w:iCs/>
          <w:sz w:val="22"/>
          <w:szCs w:val="22"/>
          <w:lang w:eastAsia="ro-RO"/>
        </w:rPr>
        <w:t xml:space="preserve">dispozitive de ieşire antipanică sau </w:t>
      </w:r>
      <w:r>
        <w:rPr>
          <w:rFonts w:eastAsia="sans-serif"/>
          <w:i/>
          <w:iCs/>
          <w:spacing w:val="1"/>
          <w:sz w:val="22"/>
          <w:szCs w:val="22"/>
        </w:rPr>
        <w:t>dispozitive pentru ieşiri de urgenţă este stabilită în normativ.</w:t>
      </w:r>
    </w:p>
    <w:p w14:paraId="3C94B421" w14:textId="77777777" w:rsidR="001C08A5" w:rsidRDefault="00000000">
      <w:pPr>
        <w:widowControl w:val="0"/>
        <w:jc w:val="both"/>
        <w:rPr>
          <w:rFonts w:eastAsia="sans-serif"/>
          <w:i/>
          <w:iCs/>
          <w:spacing w:val="1"/>
          <w:sz w:val="22"/>
          <w:szCs w:val="22"/>
        </w:rPr>
      </w:pPr>
      <w:r>
        <w:rPr>
          <w:rFonts w:eastAsia="sans-serif"/>
          <w:i/>
          <w:iCs/>
          <w:spacing w:val="1"/>
          <w:sz w:val="22"/>
          <w:szCs w:val="22"/>
        </w:rPr>
        <w:t>Nota 2: Pot fi considerate uși de evacuare și alte tipuri de uși,</w:t>
      </w:r>
      <w:r>
        <w:rPr>
          <w:i/>
          <w:iCs/>
          <w:sz w:val="22"/>
          <w:szCs w:val="22"/>
        </w:rPr>
        <w:t xml:space="preserve"> în condițiile în care sunt conformate în acord </w:t>
      </w:r>
      <w:r>
        <w:rPr>
          <w:i/>
          <w:iCs/>
          <w:sz w:val="22"/>
          <w:szCs w:val="22"/>
        </w:rPr>
        <w:lastRenderedPageBreak/>
        <w:t>cu condițiile normate și sunt prevăzute exclusiv în scopul și condițiile prevăzute de către normativ.</w:t>
      </w:r>
    </w:p>
    <w:p w14:paraId="2FCF268A" w14:textId="77777777" w:rsidR="001C08A5" w:rsidRDefault="001C08A5">
      <w:pPr>
        <w:widowControl w:val="0"/>
        <w:ind w:left="800"/>
        <w:jc w:val="both"/>
        <w:rPr>
          <w:i/>
          <w:iCs/>
          <w:sz w:val="24"/>
          <w:szCs w:val="24"/>
        </w:rPr>
      </w:pPr>
    </w:p>
    <w:p w14:paraId="390639BA" w14:textId="77777777" w:rsidR="001C08A5" w:rsidRDefault="00000000">
      <w:pPr>
        <w:widowControl w:val="0"/>
        <w:numPr>
          <w:ilvl w:val="0"/>
          <w:numId w:val="29"/>
        </w:numPr>
        <w:jc w:val="both"/>
        <w:rPr>
          <w:i/>
          <w:iCs/>
          <w:sz w:val="24"/>
          <w:szCs w:val="24"/>
        </w:rPr>
      </w:pPr>
      <w:r>
        <w:rPr>
          <w:b/>
          <w:i/>
          <w:iCs/>
          <w:sz w:val="24"/>
          <w:szCs w:val="24"/>
        </w:rPr>
        <w:t>Uşă de evacuare cu deschidere normală</w:t>
      </w:r>
      <w:r>
        <w:rPr>
          <w:i/>
          <w:iCs/>
          <w:sz w:val="24"/>
          <w:szCs w:val="24"/>
          <w:lang w:eastAsia="ro-RO"/>
        </w:rPr>
        <w:t xml:space="preserve"> - element mobil cu deschidere normală, pe balamale sau pivoţi, neechipat cu sistem de încuiere.</w:t>
      </w:r>
    </w:p>
    <w:p w14:paraId="3EE153E3" w14:textId="77777777" w:rsidR="001C08A5" w:rsidRDefault="001C08A5">
      <w:pPr>
        <w:widowControl w:val="0"/>
        <w:ind w:left="1260"/>
        <w:jc w:val="both"/>
        <w:rPr>
          <w:i/>
          <w:iCs/>
          <w:sz w:val="24"/>
          <w:szCs w:val="24"/>
        </w:rPr>
      </w:pPr>
    </w:p>
    <w:p w14:paraId="655BF199" w14:textId="77777777" w:rsidR="001C08A5" w:rsidRDefault="00000000">
      <w:pPr>
        <w:widowControl w:val="0"/>
        <w:numPr>
          <w:ilvl w:val="0"/>
          <w:numId w:val="29"/>
        </w:numPr>
        <w:jc w:val="both"/>
        <w:rPr>
          <w:i/>
          <w:iCs/>
          <w:sz w:val="24"/>
          <w:szCs w:val="24"/>
        </w:rPr>
      </w:pPr>
      <w:r>
        <w:rPr>
          <w:b/>
          <w:bCs/>
          <w:i/>
          <w:iCs/>
          <w:sz w:val="24"/>
          <w:szCs w:val="24"/>
          <w:lang w:eastAsia="ro-RO"/>
        </w:rPr>
        <w:t>Ușă de evacuare echipată cu sistem de încuiere și dispozitiv de ieșire</w:t>
      </w:r>
      <w:r>
        <w:rPr>
          <w:i/>
          <w:iCs/>
          <w:sz w:val="24"/>
          <w:szCs w:val="24"/>
          <w:lang w:eastAsia="ro-RO"/>
        </w:rPr>
        <w:t xml:space="preserve"> - ușă cu deschidere pe balamale sau pivoți echipată cu sistem de încuiere și dispozitiv de ieșire care să permită deschiderea acesteia din interior, chiar și dacă aceasta este încuiată cu cheia, prin simplă apăsare pe mâner</w:t>
      </w:r>
      <w:r>
        <w:rPr>
          <w:i/>
          <w:iCs/>
          <w:sz w:val="24"/>
          <w:szCs w:val="24"/>
          <w:lang w:val="en-US" w:eastAsia="ro-RO"/>
        </w:rPr>
        <w:t>,</w:t>
      </w:r>
      <w:r>
        <w:rPr>
          <w:i/>
          <w:iCs/>
          <w:sz w:val="24"/>
          <w:szCs w:val="24"/>
          <w:lang w:eastAsia="ro-RO"/>
        </w:rPr>
        <w:t xml:space="preserve"> utilizată pentru închiderea golurilor din pereţi şi destinată circulaţiei funcţionale și de evacuare a utilizatorilor. </w:t>
      </w:r>
    </w:p>
    <w:p w14:paraId="13505506" w14:textId="77777777" w:rsidR="001C08A5" w:rsidRDefault="00000000">
      <w:pPr>
        <w:widowControl w:val="0"/>
        <w:autoSpaceDE w:val="0"/>
        <w:autoSpaceDN w:val="0"/>
        <w:adjustRightInd w:val="0"/>
        <w:ind w:left="2160" w:firstLine="720"/>
        <w:jc w:val="both"/>
        <w:rPr>
          <w:rFonts w:eastAsia="Arial-ItalicMT"/>
          <w:i/>
          <w:iCs/>
          <w:sz w:val="24"/>
          <w:szCs w:val="24"/>
          <w:lang w:eastAsia="ro-RO"/>
        </w:rPr>
      </w:pPr>
      <w:r>
        <w:rPr>
          <w:rFonts w:eastAsia="Arial-ItalicMT"/>
          <w:i/>
          <w:iCs/>
          <w:sz w:val="24"/>
          <w:szCs w:val="24"/>
          <w:lang w:eastAsia="ro-RO"/>
        </w:rPr>
        <w:t xml:space="preserve">- </w:t>
      </w:r>
      <w:r>
        <w:rPr>
          <w:i/>
          <w:iCs/>
          <w:sz w:val="24"/>
          <w:szCs w:val="24"/>
          <w:lang w:eastAsia="ro-RO"/>
        </w:rPr>
        <w:t xml:space="preserve">Atunci când ușa de evacuare cu deschidere pe balamale sau pivoţi este amplasată într-o zonă cu acces cu public (cu vizitatori) ușa va fi echipată cu dispozitiv de ieşire antipanică, acţionat mecanic, fie printr-o bară orizontală de împingere, fie printr-o bară orizontală de apăsare, ca dispozitiv de acționare pe fața interioară și este denumită în continuare </w:t>
      </w:r>
      <w:r>
        <w:rPr>
          <w:rFonts w:eastAsia="Arial-ItalicMT"/>
          <w:b/>
          <w:bCs/>
          <w:i/>
          <w:iCs/>
          <w:sz w:val="24"/>
          <w:szCs w:val="24"/>
          <w:lang w:eastAsia="ro-RO"/>
        </w:rPr>
        <w:t>ușă antipanică</w:t>
      </w:r>
      <w:r>
        <w:rPr>
          <w:rFonts w:eastAsia="Arial-ItalicMT"/>
          <w:i/>
          <w:iCs/>
          <w:sz w:val="24"/>
          <w:szCs w:val="24"/>
          <w:lang w:eastAsia="ro-RO"/>
        </w:rPr>
        <w:t xml:space="preserve"> (SR EN 1125).</w:t>
      </w:r>
    </w:p>
    <w:p w14:paraId="0BDA83E0" w14:textId="77777777" w:rsidR="001C08A5" w:rsidRDefault="00000000">
      <w:pPr>
        <w:widowControl w:val="0"/>
        <w:ind w:left="2160" w:firstLine="720"/>
        <w:jc w:val="both"/>
        <w:rPr>
          <w:rFonts w:eastAsia="Arial-ItalicMT"/>
          <w:i/>
          <w:iCs/>
          <w:sz w:val="24"/>
          <w:szCs w:val="24"/>
          <w:lang w:eastAsia="ro-RO"/>
        </w:rPr>
      </w:pPr>
      <w:r>
        <w:rPr>
          <w:rFonts w:eastAsia="Arial-ItalicMT"/>
          <w:i/>
          <w:iCs/>
          <w:sz w:val="24"/>
          <w:szCs w:val="24"/>
          <w:lang w:eastAsia="ro-RO"/>
        </w:rPr>
        <w:t xml:space="preserve">- </w:t>
      </w:r>
      <w:r>
        <w:rPr>
          <w:i/>
          <w:iCs/>
          <w:sz w:val="24"/>
          <w:szCs w:val="24"/>
          <w:lang w:eastAsia="ro-RO"/>
        </w:rPr>
        <w:t xml:space="preserve">Atunci când ușa de evacuare cu deschidere pe balamale sau pivoţi este amplasată într-o zonă fără acces cu public, ci numai cu persoane care cunosc </w:t>
      </w:r>
      <w:r>
        <w:rPr>
          <w:i/>
          <w:iCs/>
          <w:sz w:val="24"/>
          <w:szCs w:val="24"/>
          <w:lang w:val="en-US" w:eastAsia="ro-RO"/>
        </w:rPr>
        <w:t xml:space="preserve">atât </w:t>
      </w:r>
      <w:r>
        <w:rPr>
          <w:i/>
          <w:iCs/>
          <w:sz w:val="24"/>
          <w:szCs w:val="24"/>
          <w:lang w:eastAsia="ro-RO"/>
        </w:rPr>
        <w:t xml:space="preserve">tipologia clădirii (fără vizitatori) </w:t>
      </w:r>
      <w:r>
        <w:rPr>
          <w:i/>
          <w:iCs/>
          <w:sz w:val="24"/>
          <w:szCs w:val="24"/>
          <w:lang w:val="en-US" w:eastAsia="ro-RO"/>
        </w:rPr>
        <w:t>cât</w:t>
      </w:r>
      <w:r>
        <w:rPr>
          <w:i/>
          <w:iCs/>
          <w:sz w:val="24"/>
          <w:szCs w:val="24"/>
          <w:lang w:eastAsia="ro-RO"/>
        </w:rPr>
        <w:t xml:space="preserve"> și funcțiile ușii de evacuare, ușa va fi echipată cu </w:t>
      </w:r>
      <w:r>
        <w:rPr>
          <w:rFonts w:eastAsia="sans-serif"/>
          <w:i/>
          <w:iCs/>
          <w:spacing w:val="1"/>
          <w:sz w:val="24"/>
          <w:szCs w:val="24"/>
        </w:rPr>
        <w:t>dispozitiv pentru ieşiri de urgenţă acţionat mecanic fie printr-un</w:t>
      </w:r>
      <w:r>
        <w:rPr>
          <w:i/>
          <w:iCs/>
          <w:sz w:val="24"/>
          <w:szCs w:val="24"/>
          <w:lang w:eastAsia="ro-RO"/>
        </w:rPr>
        <w:t xml:space="preserve"> mâner tip clanță </w:t>
      </w:r>
      <w:r>
        <w:rPr>
          <w:rFonts w:eastAsia="Arial-ItalicMT"/>
          <w:i/>
          <w:iCs/>
          <w:sz w:val="24"/>
          <w:szCs w:val="24"/>
          <w:lang w:eastAsia="ro-RO"/>
        </w:rPr>
        <w:t>(care respectă cerințele SR EN 179)</w:t>
      </w:r>
      <w:r>
        <w:rPr>
          <w:rFonts w:eastAsia="Arial-ItalicMT"/>
          <w:i/>
          <w:iCs/>
          <w:sz w:val="24"/>
          <w:szCs w:val="24"/>
          <w:lang w:val="en-US" w:eastAsia="ro-RO"/>
        </w:rPr>
        <w:t xml:space="preserve"> </w:t>
      </w:r>
      <w:r>
        <w:rPr>
          <w:rFonts w:eastAsia="sans-serif"/>
          <w:i/>
          <w:iCs/>
          <w:spacing w:val="1"/>
          <w:sz w:val="24"/>
          <w:szCs w:val="24"/>
        </w:rPr>
        <w:t xml:space="preserve">fie printr-o </w:t>
      </w:r>
      <w:r>
        <w:rPr>
          <w:i/>
          <w:iCs/>
          <w:sz w:val="24"/>
          <w:szCs w:val="24"/>
          <w:lang w:eastAsia="ro-RO"/>
        </w:rPr>
        <w:t xml:space="preserve">placă de împingere pe fața interioară și este denumită în continuare ușă de </w:t>
      </w:r>
      <w:r>
        <w:rPr>
          <w:rFonts w:eastAsia="Arial-ItalicMT"/>
          <w:b/>
          <w:bCs/>
          <w:i/>
          <w:iCs/>
          <w:sz w:val="24"/>
          <w:szCs w:val="24"/>
          <w:lang w:eastAsia="ro-RO"/>
        </w:rPr>
        <w:t>ieșire de urgență</w:t>
      </w:r>
      <w:r>
        <w:rPr>
          <w:rFonts w:eastAsia="Arial-ItalicMT"/>
          <w:i/>
          <w:iCs/>
          <w:sz w:val="24"/>
          <w:szCs w:val="24"/>
          <w:lang w:eastAsia="ro-RO"/>
        </w:rPr>
        <w:t xml:space="preserve"> (SR EN 179).</w:t>
      </w:r>
    </w:p>
    <w:p w14:paraId="5901E0CB" w14:textId="77777777" w:rsidR="001C08A5" w:rsidRDefault="001C08A5">
      <w:pPr>
        <w:jc w:val="both"/>
        <w:rPr>
          <w:b/>
          <w:i/>
          <w:iCs/>
          <w:sz w:val="24"/>
          <w:szCs w:val="24"/>
        </w:rPr>
      </w:pPr>
    </w:p>
    <w:p w14:paraId="3819C355" w14:textId="77777777" w:rsidR="001C08A5" w:rsidRDefault="00000000">
      <w:pPr>
        <w:widowControl w:val="0"/>
        <w:numPr>
          <w:ilvl w:val="0"/>
          <w:numId w:val="29"/>
        </w:numPr>
        <w:jc w:val="both"/>
        <w:rPr>
          <w:i/>
          <w:iCs/>
          <w:sz w:val="24"/>
          <w:szCs w:val="24"/>
        </w:rPr>
      </w:pPr>
      <w:r>
        <w:rPr>
          <w:b/>
          <w:bCs/>
          <w:i/>
          <w:iCs/>
          <w:sz w:val="24"/>
          <w:szCs w:val="24"/>
          <w:lang w:eastAsia="ro-RO"/>
        </w:rPr>
        <w:t xml:space="preserve">Uşă de evacuare culisantă automată cu “break-out” </w:t>
      </w:r>
      <w:r>
        <w:rPr>
          <w:i/>
          <w:iCs/>
          <w:sz w:val="24"/>
          <w:szCs w:val="24"/>
          <w:lang w:eastAsia="ro-RO"/>
        </w:rPr>
        <w:t xml:space="preserve">- ușă culisantă acționată de un sistem complet de automatizare care pe lângă mișcarea de culisare pentru deschidere automată prin senzor de prezenţă are și posibilitatea de a se deschide pivotant prin împingerea canatelor de către fluxul de persoane și plierea acestora </w:t>
      </w:r>
      <w:r>
        <w:rPr>
          <w:i/>
          <w:iCs/>
          <w:sz w:val="24"/>
          <w:szCs w:val="24"/>
          <w:lang w:val="en-US" w:eastAsia="ro-RO"/>
        </w:rPr>
        <w:t xml:space="preserve">(a canatelor) </w:t>
      </w:r>
      <w:r>
        <w:rPr>
          <w:i/>
          <w:iCs/>
          <w:sz w:val="24"/>
          <w:szCs w:val="24"/>
          <w:lang w:eastAsia="ro-RO"/>
        </w:rPr>
        <w:t>înspre sensul de evacuare.</w:t>
      </w:r>
    </w:p>
    <w:p w14:paraId="4F6769D2" w14:textId="77777777" w:rsidR="001C08A5" w:rsidRDefault="001C08A5">
      <w:pPr>
        <w:widowControl w:val="0"/>
        <w:ind w:left="1260"/>
        <w:jc w:val="both"/>
        <w:rPr>
          <w:i/>
          <w:iCs/>
          <w:sz w:val="24"/>
          <w:szCs w:val="24"/>
        </w:rPr>
      </w:pPr>
    </w:p>
    <w:p w14:paraId="4D53843D" w14:textId="77777777" w:rsidR="001C08A5" w:rsidRDefault="00000000">
      <w:pPr>
        <w:widowControl w:val="0"/>
        <w:numPr>
          <w:ilvl w:val="0"/>
          <w:numId w:val="29"/>
        </w:numPr>
        <w:jc w:val="both"/>
        <w:rPr>
          <w:sz w:val="24"/>
          <w:szCs w:val="24"/>
        </w:rPr>
      </w:pPr>
      <w:r>
        <w:rPr>
          <w:b/>
          <w:i/>
          <w:iCs/>
          <w:sz w:val="24"/>
          <w:szCs w:val="24"/>
        </w:rPr>
        <w:t xml:space="preserve">Ușa de evacuare culisantă </w:t>
      </w:r>
      <w:r>
        <w:rPr>
          <w:b/>
          <w:bCs/>
          <w:i/>
          <w:iCs/>
          <w:sz w:val="24"/>
          <w:szCs w:val="24"/>
          <w:lang w:eastAsia="ro-RO"/>
        </w:rPr>
        <w:t xml:space="preserve">automată </w:t>
      </w:r>
      <w:r>
        <w:rPr>
          <w:b/>
          <w:i/>
          <w:iCs/>
          <w:sz w:val="24"/>
          <w:szCs w:val="24"/>
        </w:rPr>
        <w:t xml:space="preserve">redundantă: </w:t>
      </w:r>
      <w:r>
        <w:rPr>
          <w:i/>
          <w:iCs/>
          <w:sz w:val="24"/>
          <w:szCs w:val="24"/>
        </w:rPr>
        <w:t>ușă acționată de un sistem complet de automatizare în care pentru fiecare echipament component esențial (motor, procesor, detector de mișcare, acumulator) există constituită o rezervă care garantează ca în cazul unei pene de curent, defect sau incendiu, ușa culisantă se va deschide automat în siguranță fără să fie necesară acționarea mecanică.</w:t>
      </w:r>
    </w:p>
    <w:p w14:paraId="18050808" w14:textId="77777777" w:rsidR="001C08A5" w:rsidRDefault="001C08A5">
      <w:pPr>
        <w:widowControl w:val="0"/>
        <w:ind w:left="1260"/>
        <w:jc w:val="both"/>
        <w:rPr>
          <w:sz w:val="24"/>
          <w:szCs w:val="24"/>
        </w:rPr>
      </w:pPr>
    </w:p>
    <w:p w14:paraId="1411D5A7" w14:textId="77777777" w:rsidR="001C08A5" w:rsidRDefault="00000000">
      <w:pPr>
        <w:widowControl w:val="0"/>
        <w:numPr>
          <w:ilvl w:val="0"/>
          <w:numId w:val="29"/>
        </w:numPr>
        <w:jc w:val="both"/>
        <w:rPr>
          <w:sz w:val="24"/>
          <w:szCs w:val="24"/>
        </w:rPr>
      </w:pPr>
      <w:r>
        <w:rPr>
          <w:b/>
          <w:i/>
          <w:iCs/>
          <w:sz w:val="24"/>
          <w:szCs w:val="24"/>
        </w:rPr>
        <w:t xml:space="preserve">Ușa de evacuare turnantă: </w:t>
      </w:r>
      <w:r>
        <w:rPr>
          <w:i/>
          <w:iCs/>
          <w:sz w:val="24"/>
          <w:szCs w:val="24"/>
        </w:rPr>
        <w:t>ușă prevăzută cu posibilitatea plierii foilor de uşă, prin pliere se asigură numărul de fluxuri.</w:t>
      </w:r>
    </w:p>
    <w:p w14:paraId="0B3E2ABB" w14:textId="77777777" w:rsidR="001C08A5" w:rsidRDefault="001C08A5">
      <w:pPr>
        <w:jc w:val="both"/>
        <w:rPr>
          <w:i/>
          <w:iCs/>
          <w:sz w:val="24"/>
          <w:szCs w:val="24"/>
        </w:rPr>
      </w:pPr>
    </w:p>
    <w:p w14:paraId="6AFA1136" w14:textId="77777777" w:rsidR="001C08A5" w:rsidRDefault="00000000">
      <w:pPr>
        <w:numPr>
          <w:ilvl w:val="0"/>
          <w:numId w:val="10"/>
        </w:numPr>
        <w:jc w:val="both"/>
        <w:rPr>
          <w:i/>
          <w:iCs/>
          <w:sz w:val="24"/>
          <w:szCs w:val="24"/>
        </w:rPr>
      </w:pPr>
      <w:r>
        <w:rPr>
          <w:b/>
          <w:i/>
          <w:iCs/>
          <w:sz w:val="24"/>
          <w:szCs w:val="24"/>
        </w:rPr>
        <w:t>Utilizatori</w:t>
      </w:r>
      <w:r>
        <w:rPr>
          <w:i/>
          <w:iCs/>
          <w:sz w:val="24"/>
          <w:szCs w:val="24"/>
        </w:rPr>
        <w:t xml:space="preserve"> - persoane și animale care folosesc construcţia;</w:t>
      </w:r>
    </w:p>
    <w:p w14:paraId="1673372F" w14:textId="77777777" w:rsidR="001C08A5" w:rsidRDefault="001C08A5">
      <w:pPr>
        <w:pStyle w:val="Style13"/>
        <w:spacing w:line="240" w:lineRule="auto"/>
        <w:ind w:right="281"/>
        <w:jc w:val="both"/>
        <w:rPr>
          <w:rStyle w:val="FontStyle48"/>
          <w:rFonts w:ascii="Times New Roman" w:hAnsi="Times New Roman" w:cs="Times New Roman"/>
          <w:i/>
          <w:iCs/>
          <w:spacing w:val="8"/>
          <w:sz w:val="24"/>
          <w:szCs w:val="24"/>
          <w:lang w:eastAsia="ro-RO"/>
        </w:rPr>
      </w:pPr>
    </w:p>
    <w:p w14:paraId="5D18D592" w14:textId="77777777" w:rsidR="001C08A5" w:rsidRDefault="00000000">
      <w:pPr>
        <w:numPr>
          <w:ilvl w:val="0"/>
          <w:numId w:val="10"/>
        </w:numPr>
        <w:jc w:val="both"/>
        <w:rPr>
          <w:i/>
          <w:iCs/>
          <w:sz w:val="24"/>
          <w:szCs w:val="24"/>
          <w:lang w:eastAsia="zh-CN"/>
        </w:rPr>
      </w:pPr>
      <w:r>
        <w:rPr>
          <w:b/>
          <w:bCs/>
          <w:i/>
          <w:iCs/>
          <w:sz w:val="24"/>
          <w:szCs w:val="24"/>
          <w:lang w:eastAsia="zh-CN"/>
        </w:rPr>
        <w:t xml:space="preserve">Volum - </w:t>
      </w:r>
      <w:r>
        <w:rPr>
          <w:i/>
          <w:iCs/>
          <w:sz w:val="24"/>
          <w:szCs w:val="24"/>
          <w:lang w:eastAsia="zh-CN"/>
        </w:rPr>
        <w:t>produsul dintre arie şi înălţime</w:t>
      </w:r>
    </w:p>
    <w:p w14:paraId="1CC63787" w14:textId="77777777" w:rsidR="001C08A5" w:rsidRDefault="00000000">
      <w:pPr>
        <w:numPr>
          <w:ilvl w:val="3"/>
          <w:numId w:val="10"/>
        </w:numPr>
        <w:jc w:val="both"/>
        <w:rPr>
          <w:i/>
          <w:iCs/>
          <w:sz w:val="24"/>
          <w:szCs w:val="24"/>
          <w:lang w:eastAsia="zh-CN"/>
        </w:rPr>
      </w:pPr>
      <w:r>
        <w:rPr>
          <w:b/>
          <w:bCs/>
          <w:i/>
          <w:iCs/>
          <w:sz w:val="24"/>
          <w:szCs w:val="24"/>
          <w:lang w:eastAsia="zh-CN"/>
        </w:rPr>
        <w:t>Volumul nivelului (V</w:t>
      </w:r>
      <w:r>
        <w:rPr>
          <w:b/>
          <w:bCs/>
          <w:i/>
          <w:iCs/>
          <w:sz w:val="24"/>
          <w:szCs w:val="24"/>
          <w:vertAlign w:val="subscript"/>
          <w:lang w:eastAsia="zh-CN"/>
        </w:rPr>
        <w:t>niv</w:t>
      </w:r>
      <w:r>
        <w:rPr>
          <w:b/>
          <w:bCs/>
          <w:i/>
          <w:iCs/>
          <w:sz w:val="24"/>
          <w:szCs w:val="24"/>
          <w:lang w:eastAsia="zh-CN"/>
        </w:rPr>
        <w:t xml:space="preserve">)  - </w:t>
      </w:r>
      <w:r>
        <w:rPr>
          <w:i/>
          <w:iCs/>
          <w:sz w:val="24"/>
          <w:szCs w:val="24"/>
          <w:lang w:eastAsia="zh-CN"/>
        </w:rPr>
        <w:t xml:space="preserve">Volumul obtinut din produsul dintre aria nivelului şi înălţimea lui, determinat conform </w:t>
      </w:r>
      <w:r>
        <w:rPr>
          <w:b/>
          <w:bCs/>
          <w:i/>
          <w:iCs/>
          <w:sz w:val="24"/>
          <w:szCs w:val="24"/>
          <w:lang w:eastAsia="zh-CN"/>
        </w:rPr>
        <w:t>STAS 4908</w:t>
      </w:r>
      <w:r>
        <w:rPr>
          <w:i/>
          <w:iCs/>
          <w:sz w:val="24"/>
          <w:szCs w:val="24"/>
          <w:lang w:eastAsia="zh-CN"/>
        </w:rPr>
        <w:t xml:space="preserve"> – Clădiri civile, industriale și agrozootehnice. Arii și volume conventionale. Volumul de aer din încapere se raportează la fețele interioare, reprezentând volumul obținut din produsul dintre aria încăperii şi înălţimea acesteia.</w:t>
      </w:r>
    </w:p>
    <w:p w14:paraId="7B4D08B0" w14:textId="77777777" w:rsidR="001C08A5" w:rsidRDefault="00000000">
      <w:pPr>
        <w:numPr>
          <w:ilvl w:val="3"/>
          <w:numId w:val="10"/>
        </w:numPr>
        <w:jc w:val="both"/>
        <w:rPr>
          <w:i/>
          <w:iCs/>
          <w:sz w:val="24"/>
          <w:szCs w:val="24"/>
          <w:lang w:eastAsia="zh-CN"/>
        </w:rPr>
      </w:pPr>
      <w:r>
        <w:rPr>
          <w:b/>
          <w:bCs/>
          <w:i/>
          <w:iCs/>
          <w:sz w:val="24"/>
          <w:szCs w:val="24"/>
          <w:lang w:eastAsia="zh-CN"/>
        </w:rPr>
        <w:t xml:space="preserve">Volumul total (Vt) </w:t>
      </w:r>
      <w:r>
        <w:rPr>
          <w:i/>
          <w:iCs/>
          <w:sz w:val="24"/>
          <w:szCs w:val="24"/>
          <w:lang w:eastAsia="zh-CN"/>
        </w:rPr>
        <w:t xml:space="preserve">- Suma volumelor nivelurilor, conform </w:t>
      </w:r>
      <w:r>
        <w:rPr>
          <w:b/>
          <w:bCs/>
          <w:i/>
          <w:iCs/>
          <w:sz w:val="24"/>
          <w:szCs w:val="24"/>
          <w:lang w:eastAsia="zh-CN"/>
        </w:rPr>
        <w:t>STAS 4908</w:t>
      </w:r>
      <w:r>
        <w:rPr>
          <w:i/>
          <w:iCs/>
          <w:sz w:val="24"/>
          <w:szCs w:val="24"/>
          <w:lang w:eastAsia="zh-CN"/>
        </w:rPr>
        <w:t xml:space="preserve"> – Clădiri civile, industriale și agrozootehnice. Arii și volume conventionale, raportat la contururile exterioare ale construcției.</w:t>
      </w:r>
    </w:p>
    <w:p w14:paraId="55532F30" w14:textId="77777777" w:rsidR="001C08A5" w:rsidRDefault="001C08A5">
      <w:pPr>
        <w:pStyle w:val="Style13"/>
        <w:spacing w:line="240" w:lineRule="auto"/>
        <w:ind w:right="281"/>
        <w:jc w:val="both"/>
        <w:rPr>
          <w:rStyle w:val="FontStyle48"/>
          <w:rFonts w:ascii="Times New Roman" w:hAnsi="Times New Roman" w:cs="Times New Roman"/>
          <w:spacing w:val="8"/>
          <w:sz w:val="24"/>
          <w:szCs w:val="24"/>
          <w:lang w:eastAsia="ro-RO"/>
        </w:rPr>
      </w:pPr>
    </w:p>
    <w:p w14:paraId="734629F6" w14:textId="77777777" w:rsidR="001C08A5" w:rsidRDefault="00000000">
      <w:pPr>
        <w:pStyle w:val="Heading1"/>
      </w:pPr>
      <w:bookmarkStart w:id="555" w:name="_Toc14832"/>
      <w:bookmarkStart w:id="556" w:name="_Toc8268"/>
      <w:bookmarkStart w:id="557" w:name="_Toc20069"/>
      <w:bookmarkStart w:id="558" w:name="_Toc162355182"/>
      <w:bookmarkStart w:id="559" w:name="_Toc1549"/>
      <w:bookmarkStart w:id="560" w:name="_Toc7335"/>
      <w:bookmarkStart w:id="561" w:name="_Toc31115"/>
      <w:bookmarkStart w:id="562" w:name="_Toc3375"/>
      <w:bookmarkStart w:id="563" w:name="_Toc10629"/>
      <w:bookmarkStart w:id="564" w:name="_Toc5448"/>
      <w:r>
        <w:lastRenderedPageBreak/>
        <w:t>CAPITOLUL 2</w:t>
      </w:r>
      <w:bookmarkEnd w:id="555"/>
      <w:bookmarkEnd w:id="556"/>
      <w:bookmarkEnd w:id="557"/>
      <w:bookmarkEnd w:id="558"/>
      <w:bookmarkEnd w:id="559"/>
      <w:bookmarkEnd w:id="560"/>
      <w:bookmarkEnd w:id="561"/>
      <w:bookmarkEnd w:id="562"/>
      <w:bookmarkEnd w:id="563"/>
      <w:bookmarkEnd w:id="564"/>
    </w:p>
    <w:p w14:paraId="65C4C74A" w14:textId="77777777" w:rsidR="001C08A5" w:rsidRDefault="00000000">
      <w:pPr>
        <w:pStyle w:val="Heading2"/>
        <w:rPr>
          <w:rFonts w:cs="Times New Roman"/>
          <w:sz w:val="24"/>
          <w:szCs w:val="24"/>
        </w:rPr>
      </w:pPr>
      <w:bookmarkStart w:id="565" w:name="_Toc23197"/>
      <w:bookmarkStart w:id="566" w:name="_Toc24322"/>
      <w:bookmarkStart w:id="567" w:name="_Toc5110"/>
      <w:bookmarkStart w:id="568" w:name="_Toc25311"/>
      <w:bookmarkStart w:id="569" w:name="_Toc15167"/>
      <w:bookmarkStart w:id="570" w:name="_Toc27140"/>
      <w:bookmarkStart w:id="571" w:name="_Toc12447"/>
      <w:bookmarkStart w:id="572" w:name="_Toc23556"/>
      <w:bookmarkStart w:id="573" w:name="_Toc162355183"/>
      <w:bookmarkStart w:id="574" w:name="_Toc3806"/>
      <w:r>
        <w:rPr>
          <w:rFonts w:cs="Times New Roman"/>
        </w:rPr>
        <w:t>2. PERFORMANŢE COMUNE CONSTRUCŢIILOR CU ORICE DESTINAŢIE (CIVILE, DE PRODUCŢIE ŞI/SAU DEPOZITARE)</w:t>
      </w:r>
      <w:bookmarkEnd w:id="565"/>
      <w:bookmarkEnd w:id="566"/>
      <w:bookmarkEnd w:id="567"/>
      <w:bookmarkEnd w:id="568"/>
      <w:bookmarkEnd w:id="569"/>
      <w:bookmarkEnd w:id="570"/>
      <w:bookmarkEnd w:id="571"/>
      <w:bookmarkEnd w:id="572"/>
      <w:bookmarkEnd w:id="573"/>
      <w:bookmarkEnd w:id="574"/>
    </w:p>
    <w:p w14:paraId="491E44B7" w14:textId="77777777" w:rsidR="001C08A5" w:rsidRDefault="00000000">
      <w:pPr>
        <w:pStyle w:val="Heading3"/>
      </w:pPr>
      <w:bookmarkStart w:id="575" w:name="_Toc162355184"/>
      <w:bookmarkStart w:id="576" w:name="_Toc21667"/>
      <w:bookmarkStart w:id="577" w:name="_Toc30338"/>
      <w:bookmarkStart w:id="578" w:name="_Toc3365"/>
      <w:bookmarkStart w:id="579" w:name="_Toc31360"/>
      <w:bookmarkStart w:id="580" w:name="_Toc31976"/>
      <w:bookmarkStart w:id="581" w:name="_Toc24013"/>
      <w:bookmarkStart w:id="582" w:name="_Toc28040"/>
      <w:bookmarkStart w:id="583" w:name="_Toc16863"/>
      <w:bookmarkStart w:id="584" w:name="_Toc21386"/>
      <w:r>
        <w:t>SECŢIUNEA I</w:t>
      </w:r>
      <w:bookmarkEnd w:id="575"/>
      <w:bookmarkEnd w:id="576"/>
      <w:bookmarkEnd w:id="577"/>
      <w:bookmarkEnd w:id="578"/>
      <w:bookmarkEnd w:id="579"/>
      <w:bookmarkEnd w:id="580"/>
      <w:bookmarkEnd w:id="581"/>
      <w:bookmarkEnd w:id="582"/>
      <w:bookmarkEnd w:id="583"/>
      <w:bookmarkEnd w:id="584"/>
    </w:p>
    <w:p w14:paraId="293EEA5D" w14:textId="77777777" w:rsidR="001C08A5" w:rsidRDefault="00000000">
      <w:pPr>
        <w:pStyle w:val="Heading3"/>
      </w:pPr>
      <w:bookmarkStart w:id="585" w:name="_Toc29126"/>
      <w:bookmarkStart w:id="586" w:name="_Toc27396"/>
      <w:bookmarkStart w:id="587" w:name="_Toc13297"/>
      <w:bookmarkStart w:id="588" w:name="_Toc17377"/>
      <w:bookmarkStart w:id="589" w:name="_Toc27889"/>
      <w:bookmarkStart w:id="590" w:name="_Toc162355185"/>
      <w:bookmarkStart w:id="591" w:name="_Toc26687"/>
      <w:bookmarkStart w:id="592" w:name="_Toc9548"/>
      <w:bookmarkStart w:id="593" w:name="_Toc1326"/>
      <w:bookmarkStart w:id="594" w:name="_Toc14709"/>
      <w:r>
        <w:t>2.1. CONDIȚII GENERALE DE PERFORMANŢĂ A CONSTRUCŢIILOR</w:t>
      </w:r>
      <w:bookmarkEnd w:id="585"/>
      <w:bookmarkEnd w:id="586"/>
      <w:bookmarkEnd w:id="587"/>
      <w:bookmarkEnd w:id="588"/>
      <w:bookmarkEnd w:id="589"/>
      <w:bookmarkEnd w:id="590"/>
      <w:bookmarkEnd w:id="591"/>
      <w:bookmarkEnd w:id="592"/>
      <w:bookmarkEnd w:id="593"/>
      <w:bookmarkEnd w:id="594"/>
    </w:p>
    <w:p w14:paraId="6DB1A901" w14:textId="77777777" w:rsidR="001C08A5" w:rsidRDefault="00000000">
      <w:pPr>
        <w:pStyle w:val="Heading4"/>
      </w:pPr>
      <w:bookmarkStart w:id="595" w:name="_Toc26302"/>
      <w:bookmarkStart w:id="596" w:name="_Toc11578"/>
      <w:bookmarkStart w:id="597" w:name="_Toc12025"/>
      <w:bookmarkStart w:id="598" w:name="_Toc29430"/>
      <w:bookmarkStart w:id="599" w:name="_Toc27018"/>
      <w:bookmarkStart w:id="600" w:name="_Toc31568"/>
      <w:bookmarkStart w:id="601" w:name="_Toc271"/>
      <w:bookmarkStart w:id="602" w:name="_Toc162355186"/>
      <w:r>
        <w:t>2.1.1. Dispoziţii generale</w:t>
      </w:r>
      <w:bookmarkEnd w:id="595"/>
      <w:bookmarkEnd w:id="596"/>
      <w:bookmarkEnd w:id="597"/>
      <w:bookmarkEnd w:id="598"/>
      <w:bookmarkEnd w:id="599"/>
      <w:bookmarkEnd w:id="600"/>
      <w:bookmarkEnd w:id="601"/>
      <w:bookmarkEnd w:id="602"/>
    </w:p>
    <w:p w14:paraId="53AD868B" w14:textId="77777777" w:rsidR="001C08A5" w:rsidRDefault="001C08A5">
      <w:pPr>
        <w:jc w:val="center"/>
        <w:rPr>
          <w:b/>
          <w:sz w:val="24"/>
          <w:szCs w:val="24"/>
        </w:rPr>
      </w:pPr>
    </w:p>
    <w:p w14:paraId="430F7403" w14:textId="77777777" w:rsidR="001C08A5" w:rsidRDefault="00000000">
      <w:pPr>
        <w:jc w:val="both"/>
        <w:rPr>
          <w:sz w:val="24"/>
          <w:szCs w:val="24"/>
        </w:rPr>
      </w:pPr>
      <w:r>
        <w:rPr>
          <w:b/>
          <w:sz w:val="24"/>
          <w:szCs w:val="24"/>
        </w:rPr>
        <w:tab/>
        <w:t>Art. 2.1.1.1.</w:t>
      </w:r>
      <w:r>
        <w:rPr>
          <w:sz w:val="24"/>
          <w:szCs w:val="24"/>
        </w:rPr>
        <w:t xml:space="preserve"> Performanţele, nivelurile de performanţă și condiţiile de securitate în caz de incendiu a construcţiilor cu orice destinaţie (civile, de producţie şi/sau depozitare, mixte), se stabilesc prin proiect şi se realizează corespunzător prevederilor normativului, precizându-se în documentaţii corespunzător:</w:t>
      </w:r>
    </w:p>
    <w:p w14:paraId="42E2780C" w14:textId="77777777" w:rsidR="001C08A5" w:rsidRDefault="00000000">
      <w:pPr>
        <w:jc w:val="both"/>
        <w:rPr>
          <w:b/>
          <w:sz w:val="24"/>
          <w:szCs w:val="24"/>
        </w:rPr>
      </w:pPr>
      <w:r>
        <w:rPr>
          <w:sz w:val="24"/>
          <w:szCs w:val="24"/>
        </w:rPr>
        <w:tab/>
      </w:r>
      <w:r>
        <w:rPr>
          <w:b/>
          <w:sz w:val="24"/>
          <w:szCs w:val="24"/>
        </w:rPr>
        <w:t>a)</w:t>
      </w:r>
      <w:r>
        <w:rPr>
          <w:sz w:val="24"/>
          <w:szCs w:val="24"/>
        </w:rPr>
        <w:t xml:space="preserve"> categoriei și clasei de importanţă a construcţiei;</w:t>
      </w:r>
    </w:p>
    <w:p w14:paraId="05243FDA" w14:textId="77777777" w:rsidR="001C08A5" w:rsidRDefault="00000000">
      <w:pPr>
        <w:ind w:left="720"/>
        <w:jc w:val="both"/>
        <w:rPr>
          <w:b/>
          <w:sz w:val="24"/>
          <w:szCs w:val="24"/>
        </w:rPr>
      </w:pPr>
      <w:r>
        <w:rPr>
          <w:b/>
          <w:sz w:val="24"/>
          <w:szCs w:val="24"/>
        </w:rPr>
        <w:t>b)</w:t>
      </w:r>
      <w:r>
        <w:rPr>
          <w:sz w:val="24"/>
          <w:szCs w:val="24"/>
        </w:rPr>
        <w:t xml:space="preserve"> destinaţiei, tipului de construcţie și capacităţii maxime simultane de utilizatori;</w:t>
      </w:r>
    </w:p>
    <w:p w14:paraId="5AB2395A" w14:textId="77777777" w:rsidR="001C08A5" w:rsidRDefault="00000000">
      <w:pPr>
        <w:ind w:left="720"/>
        <w:jc w:val="both"/>
        <w:rPr>
          <w:b/>
          <w:sz w:val="24"/>
          <w:szCs w:val="24"/>
        </w:rPr>
      </w:pPr>
      <w:r>
        <w:rPr>
          <w:b/>
          <w:sz w:val="24"/>
          <w:szCs w:val="24"/>
        </w:rPr>
        <w:t>c)</w:t>
      </w:r>
      <w:r>
        <w:rPr>
          <w:sz w:val="24"/>
          <w:szCs w:val="24"/>
        </w:rPr>
        <w:t xml:space="preserve"> riscurilor de incendiu din încăperi, compartimente de incendiu şi construcţie;</w:t>
      </w:r>
    </w:p>
    <w:p w14:paraId="024F2384" w14:textId="77777777" w:rsidR="001C08A5" w:rsidRDefault="00000000">
      <w:pPr>
        <w:tabs>
          <w:tab w:val="left" w:pos="851"/>
          <w:tab w:val="left" w:pos="993"/>
        </w:tabs>
        <w:ind w:left="708"/>
        <w:jc w:val="both"/>
        <w:rPr>
          <w:sz w:val="24"/>
          <w:szCs w:val="24"/>
        </w:rPr>
      </w:pPr>
      <w:r>
        <w:rPr>
          <w:b/>
          <w:sz w:val="24"/>
          <w:szCs w:val="24"/>
        </w:rPr>
        <w:t>d)</w:t>
      </w:r>
      <w:r>
        <w:rPr>
          <w:sz w:val="24"/>
          <w:szCs w:val="24"/>
        </w:rPr>
        <w:t xml:space="preserve"> nivelului de stabilitate la incendiu al construcţiei (compartimentului de incendiu), realizat astfel încât să asigure îndeplinirea condiţiilor de corelare normate;</w:t>
      </w:r>
    </w:p>
    <w:p w14:paraId="31122F0F" w14:textId="77777777" w:rsidR="001C08A5" w:rsidRDefault="00000000">
      <w:pPr>
        <w:jc w:val="both"/>
        <w:rPr>
          <w:b/>
          <w:sz w:val="24"/>
          <w:szCs w:val="24"/>
        </w:rPr>
      </w:pPr>
      <w:r>
        <w:rPr>
          <w:sz w:val="24"/>
          <w:szCs w:val="24"/>
        </w:rPr>
        <w:tab/>
      </w:r>
      <w:r>
        <w:rPr>
          <w:b/>
          <w:sz w:val="24"/>
          <w:szCs w:val="24"/>
        </w:rPr>
        <w:t>e)</w:t>
      </w:r>
      <w:r>
        <w:rPr>
          <w:sz w:val="24"/>
          <w:szCs w:val="24"/>
        </w:rPr>
        <w:t xml:space="preserve"> condiţiilor specifice destinaţiei construcţiei (compartimentului de incendiu);</w:t>
      </w:r>
    </w:p>
    <w:p w14:paraId="21A41D75" w14:textId="77777777" w:rsidR="001C08A5" w:rsidRDefault="00000000">
      <w:pPr>
        <w:ind w:firstLine="708"/>
        <w:jc w:val="both"/>
        <w:rPr>
          <w:b/>
          <w:sz w:val="24"/>
          <w:szCs w:val="24"/>
        </w:rPr>
      </w:pPr>
      <w:r>
        <w:rPr>
          <w:b/>
          <w:sz w:val="24"/>
          <w:szCs w:val="24"/>
        </w:rPr>
        <w:t>f)</w:t>
      </w:r>
      <w:r>
        <w:rPr>
          <w:sz w:val="24"/>
          <w:szCs w:val="24"/>
        </w:rPr>
        <w:t xml:space="preserve"> posibilităţilor de acces, pentru intervenţie și salvare în caz de incendiu.</w:t>
      </w:r>
    </w:p>
    <w:p w14:paraId="300AD52A" w14:textId="77777777" w:rsidR="001C08A5" w:rsidRDefault="001C08A5">
      <w:pPr>
        <w:rPr>
          <w:b/>
          <w:sz w:val="24"/>
          <w:szCs w:val="24"/>
        </w:rPr>
      </w:pPr>
    </w:p>
    <w:p w14:paraId="2AA086EC" w14:textId="77777777" w:rsidR="001C08A5" w:rsidRDefault="00000000">
      <w:pPr>
        <w:jc w:val="both"/>
        <w:rPr>
          <w:sz w:val="24"/>
          <w:szCs w:val="24"/>
        </w:rPr>
      </w:pPr>
      <w:r>
        <w:rPr>
          <w:b/>
          <w:sz w:val="24"/>
          <w:szCs w:val="24"/>
        </w:rPr>
        <w:tab/>
        <w:t xml:space="preserve">Art. 2.1.1.2. </w:t>
      </w:r>
      <w:r>
        <w:rPr>
          <w:sz w:val="24"/>
          <w:szCs w:val="24"/>
        </w:rPr>
        <w:t>Categoria de importanţă și clasa de importanţă a construcţiei se stabilesc potrivit prevederilor legale.</w:t>
      </w:r>
    </w:p>
    <w:p w14:paraId="6B64DD54" w14:textId="77777777" w:rsidR="001C08A5" w:rsidRDefault="00000000">
      <w:pPr>
        <w:ind w:firstLine="720"/>
        <w:jc w:val="both"/>
        <w:rPr>
          <w:b/>
          <w:sz w:val="24"/>
          <w:szCs w:val="24"/>
        </w:rPr>
      </w:pPr>
      <w:r>
        <w:rPr>
          <w:sz w:val="24"/>
          <w:szCs w:val="24"/>
        </w:rPr>
        <w:tab/>
      </w:r>
    </w:p>
    <w:p w14:paraId="178BD84E" w14:textId="77777777" w:rsidR="001C08A5" w:rsidRDefault="00000000">
      <w:pPr>
        <w:jc w:val="both"/>
        <w:rPr>
          <w:b/>
          <w:sz w:val="24"/>
          <w:szCs w:val="24"/>
        </w:rPr>
      </w:pPr>
      <w:r>
        <w:rPr>
          <w:b/>
          <w:sz w:val="24"/>
          <w:szCs w:val="24"/>
        </w:rPr>
        <w:tab/>
        <w:t>Art. 2.1.1.3.</w:t>
      </w:r>
      <w:r>
        <w:rPr>
          <w:sz w:val="24"/>
          <w:szCs w:val="24"/>
        </w:rPr>
        <w:t xml:space="preserve"> Destinaţia construcţiei, compartimentelor de incendiu, a încăperilor și după caz a spaţiilor acesteia, precum şi tipul de construcţie și capacităţile maximum simultane de utilizatori se precizează în documentaţii în vederea stabilirii şi realizării măsurilor normate de securitate la incendiu. </w:t>
      </w:r>
    </w:p>
    <w:p w14:paraId="6AF5D451" w14:textId="77777777" w:rsidR="001C08A5" w:rsidRDefault="00000000">
      <w:pPr>
        <w:pStyle w:val="Heading4"/>
      </w:pPr>
      <w:bookmarkStart w:id="603" w:name="_Toc8907"/>
      <w:bookmarkStart w:id="604" w:name="_Toc26030"/>
      <w:bookmarkStart w:id="605" w:name="_Toc14347"/>
      <w:bookmarkStart w:id="606" w:name="_Toc28650"/>
      <w:bookmarkStart w:id="607" w:name="_Toc30301"/>
      <w:bookmarkStart w:id="608" w:name="_Toc162355187"/>
      <w:bookmarkStart w:id="609" w:name="_Toc20486"/>
      <w:bookmarkStart w:id="610" w:name="_Toc10119"/>
      <w:r>
        <w:t>2.1.2. Risc de incendiu</w:t>
      </w:r>
      <w:bookmarkEnd w:id="603"/>
      <w:bookmarkEnd w:id="604"/>
      <w:bookmarkEnd w:id="605"/>
      <w:bookmarkEnd w:id="606"/>
      <w:bookmarkEnd w:id="607"/>
      <w:bookmarkEnd w:id="608"/>
      <w:bookmarkEnd w:id="609"/>
      <w:bookmarkEnd w:id="610"/>
    </w:p>
    <w:p w14:paraId="73DF192A" w14:textId="77777777" w:rsidR="001C08A5" w:rsidRDefault="001C08A5">
      <w:pPr>
        <w:jc w:val="both"/>
        <w:rPr>
          <w:b/>
          <w:sz w:val="24"/>
          <w:szCs w:val="24"/>
        </w:rPr>
      </w:pPr>
    </w:p>
    <w:p w14:paraId="50D55645" w14:textId="77777777" w:rsidR="001C08A5" w:rsidRDefault="00000000">
      <w:pPr>
        <w:jc w:val="both"/>
        <w:rPr>
          <w:sz w:val="24"/>
          <w:szCs w:val="24"/>
        </w:rPr>
      </w:pPr>
      <w:r>
        <w:rPr>
          <w:sz w:val="24"/>
          <w:szCs w:val="24"/>
        </w:rPr>
        <w:tab/>
      </w:r>
      <w:r>
        <w:rPr>
          <w:b/>
          <w:sz w:val="24"/>
          <w:szCs w:val="24"/>
        </w:rPr>
        <w:t>Art. 2.1.2.1.</w:t>
      </w:r>
      <w:r>
        <w:rPr>
          <w:b/>
          <w:sz w:val="24"/>
          <w:szCs w:val="24"/>
        </w:rPr>
        <w:tab/>
        <w:t xml:space="preserve">(1) </w:t>
      </w:r>
      <w:r>
        <w:rPr>
          <w:sz w:val="24"/>
          <w:szCs w:val="24"/>
        </w:rPr>
        <w:t>Riscurile de incendiu şi, după caz, pericolul de explozie volumetrică, se determină și se precizează pentru fiecare încăpere (în cazuri particulare și pe zone ale acesteia), compartiment de incendiu şi întreaga construcţie, în funcţie de densitatea sarcinii termice (</w:t>
      </w:r>
      <w:r>
        <w:rPr>
          <w:b/>
          <w:bCs/>
          <w:sz w:val="24"/>
          <w:szCs w:val="24"/>
        </w:rPr>
        <w:t>q</w:t>
      </w:r>
      <w:r>
        <w:rPr>
          <w:sz w:val="24"/>
          <w:szCs w:val="24"/>
        </w:rPr>
        <w:t xml:space="preserve">) și funcţiunile respective (luându-se în calcul valoarea cea mai restrictivă), conform prevederilor normativului. </w:t>
      </w:r>
    </w:p>
    <w:p w14:paraId="235B7234" w14:textId="77777777" w:rsidR="001C08A5" w:rsidRDefault="00000000">
      <w:pPr>
        <w:ind w:firstLine="720"/>
        <w:jc w:val="both"/>
        <w:rPr>
          <w:sz w:val="24"/>
          <w:szCs w:val="24"/>
        </w:rPr>
      </w:pPr>
      <w:r>
        <w:rPr>
          <w:b/>
          <w:sz w:val="24"/>
          <w:szCs w:val="24"/>
        </w:rPr>
        <w:t>(2)</w:t>
      </w:r>
      <w:r>
        <w:rPr>
          <w:sz w:val="24"/>
          <w:szCs w:val="24"/>
        </w:rPr>
        <w:t xml:space="preserve"> Pentru construcții de producție și/sau depozitare riscul de incendiu se poate determina și pe zone. </w:t>
      </w:r>
    </w:p>
    <w:p w14:paraId="06390644" w14:textId="77777777" w:rsidR="001C08A5" w:rsidRDefault="00000000">
      <w:pPr>
        <w:ind w:firstLine="720"/>
        <w:jc w:val="both"/>
        <w:rPr>
          <w:sz w:val="24"/>
          <w:szCs w:val="24"/>
        </w:rPr>
      </w:pPr>
      <w:r>
        <w:rPr>
          <w:b/>
          <w:sz w:val="24"/>
          <w:szCs w:val="24"/>
        </w:rPr>
        <w:t>(3)</w:t>
      </w:r>
      <w:r>
        <w:rPr>
          <w:sz w:val="24"/>
          <w:szCs w:val="24"/>
        </w:rPr>
        <w:t xml:space="preserve"> În documentaţiile tehnice de proiectare şi execuţie se precizează obligatoriu riscul de incendiu al încăperilor, zonelor, compartimentelor de incendiu şi construcţiilor, iar atunci când există și risc de explozie volumetrică se precizează şi zonele de protecţie ale acestuia.</w:t>
      </w:r>
    </w:p>
    <w:p w14:paraId="54B21C38" w14:textId="77777777" w:rsidR="001C08A5" w:rsidRDefault="00000000">
      <w:pPr>
        <w:ind w:firstLine="720"/>
        <w:jc w:val="both"/>
        <w:rPr>
          <w:sz w:val="24"/>
          <w:szCs w:val="24"/>
        </w:rPr>
      </w:pPr>
      <w:r>
        <w:rPr>
          <w:b/>
          <w:sz w:val="24"/>
          <w:szCs w:val="24"/>
        </w:rPr>
        <w:t>(4)</w:t>
      </w:r>
      <w:r>
        <w:rPr>
          <w:sz w:val="24"/>
          <w:szCs w:val="24"/>
        </w:rPr>
        <w:t xml:space="preserve"> Riscul de incendiu al întregii construcții/ al întregului compartiment de incendiu se determină prin însumarea sarcinii termice determinată pentru fiecare încăpere/zonă și raportare la aria desfășurată.</w:t>
      </w:r>
    </w:p>
    <w:p w14:paraId="4FF16F0D" w14:textId="77777777" w:rsidR="001C08A5" w:rsidRDefault="001C08A5">
      <w:pPr>
        <w:pStyle w:val="Default"/>
        <w:rPr>
          <w:color w:val="auto"/>
          <w:lang w:val="ro-RO"/>
        </w:rPr>
      </w:pPr>
    </w:p>
    <w:p w14:paraId="7C3E3656" w14:textId="77777777" w:rsidR="001C08A5" w:rsidRDefault="00000000">
      <w:pPr>
        <w:ind w:firstLine="720"/>
        <w:jc w:val="both"/>
        <w:rPr>
          <w:b/>
          <w:sz w:val="24"/>
          <w:szCs w:val="24"/>
        </w:rPr>
      </w:pPr>
      <w:r>
        <w:rPr>
          <w:b/>
          <w:sz w:val="24"/>
          <w:szCs w:val="24"/>
        </w:rPr>
        <w:t xml:space="preserve">Art. 2.1.2.2. </w:t>
      </w:r>
      <w:r>
        <w:rPr>
          <w:b/>
          <w:bCs/>
          <w:sz w:val="24"/>
          <w:szCs w:val="24"/>
        </w:rPr>
        <w:t xml:space="preserve">(1) </w:t>
      </w:r>
      <w:r>
        <w:rPr>
          <w:sz w:val="24"/>
          <w:szCs w:val="24"/>
        </w:rPr>
        <w:t xml:space="preserve">Funcţie de cele precizate în art. </w:t>
      </w:r>
      <w:r>
        <w:rPr>
          <w:b/>
          <w:sz w:val="24"/>
          <w:szCs w:val="24"/>
        </w:rPr>
        <w:t>2.1.2.1.</w:t>
      </w:r>
      <w:r>
        <w:rPr>
          <w:sz w:val="24"/>
          <w:szCs w:val="24"/>
        </w:rPr>
        <w:t>, riscul de incendiu poate fi considerat:</w:t>
      </w:r>
    </w:p>
    <w:p w14:paraId="79B781AB" w14:textId="77777777" w:rsidR="001C08A5" w:rsidRDefault="00000000">
      <w:pPr>
        <w:ind w:left="1728"/>
        <w:jc w:val="both"/>
        <w:rPr>
          <w:b/>
          <w:sz w:val="24"/>
          <w:szCs w:val="24"/>
        </w:rPr>
      </w:pPr>
      <w:r>
        <w:rPr>
          <w:b/>
          <w:sz w:val="24"/>
          <w:szCs w:val="24"/>
        </w:rPr>
        <w:lastRenderedPageBreak/>
        <w:t>a) - risc mic,</w:t>
      </w:r>
      <w:r>
        <w:rPr>
          <w:sz w:val="24"/>
          <w:szCs w:val="24"/>
        </w:rPr>
        <w:t xml:space="preserve"> atunci când densitatea sarcinii termice (</w:t>
      </w:r>
      <w:r>
        <w:rPr>
          <w:b/>
          <w:bCs/>
          <w:sz w:val="24"/>
          <w:szCs w:val="24"/>
        </w:rPr>
        <w:t>q</w:t>
      </w:r>
      <w:r>
        <w:rPr>
          <w:sz w:val="24"/>
          <w:szCs w:val="24"/>
        </w:rPr>
        <w:t xml:space="preserve">) este maximum </w:t>
      </w:r>
      <w:r>
        <w:rPr>
          <w:b/>
          <w:bCs/>
          <w:sz w:val="24"/>
          <w:szCs w:val="24"/>
        </w:rPr>
        <w:t>420 MJ/m²</w:t>
      </w:r>
      <w:r>
        <w:rPr>
          <w:sz w:val="24"/>
          <w:szCs w:val="24"/>
        </w:rPr>
        <w:t>;</w:t>
      </w:r>
    </w:p>
    <w:p w14:paraId="0FF663DA" w14:textId="77777777" w:rsidR="001C08A5" w:rsidRDefault="00000000">
      <w:pPr>
        <w:ind w:left="1728"/>
        <w:jc w:val="both"/>
        <w:rPr>
          <w:b/>
          <w:sz w:val="24"/>
          <w:szCs w:val="24"/>
        </w:rPr>
      </w:pPr>
      <w:r>
        <w:rPr>
          <w:b/>
          <w:sz w:val="24"/>
          <w:szCs w:val="24"/>
        </w:rPr>
        <w:t>b) - risc mijlociu,</w:t>
      </w:r>
      <w:r>
        <w:rPr>
          <w:sz w:val="24"/>
          <w:szCs w:val="24"/>
        </w:rPr>
        <w:t xml:space="preserve"> atunci când densitatea sarcinii termice (</w:t>
      </w:r>
      <w:r>
        <w:rPr>
          <w:b/>
          <w:bCs/>
          <w:sz w:val="24"/>
          <w:szCs w:val="24"/>
        </w:rPr>
        <w:t>q</w:t>
      </w:r>
      <w:r>
        <w:rPr>
          <w:sz w:val="24"/>
          <w:szCs w:val="24"/>
        </w:rPr>
        <w:t xml:space="preserve">) este mai mare de </w:t>
      </w:r>
      <w:r>
        <w:rPr>
          <w:b/>
          <w:bCs/>
          <w:sz w:val="24"/>
          <w:szCs w:val="24"/>
        </w:rPr>
        <w:t>420 MJ/m²</w:t>
      </w:r>
      <w:r>
        <w:rPr>
          <w:sz w:val="24"/>
          <w:szCs w:val="24"/>
        </w:rPr>
        <w:t xml:space="preserve"> şi maximum </w:t>
      </w:r>
      <w:r>
        <w:rPr>
          <w:b/>
          <w:bCs/>
          <w:sz w:val="24"/>
          <w:szCs w:val="24"/>
        </w:rPr>
        <w:t>840 MJ/m²</w:t>
      </w:r>
      <w:r>
        <w:rPr>
          <w:sz w:val="24"/>
          <w:szCs w:val="24"/>
        </w:rPr>
        <w:t xml:space="preserve"> sau se utilizează foc deschis sub orice formă;</w:t>
      </w:r>
    </w:p>
    <w:p w14:paraId="7A6156DE" w14:textId="77777777" w:rsidR="001C08A5" w:rsidRDefault="00000000">
      <w:pPr>
        <w:ind w:left="1728"/>
        <w:jc w:val="both"/>
        <w:rPr>
          <w:b/>
          <w:sz w:val="24"/>
          <w:szCs w:val="24"/>
        </w:rPr>
      </w:pPr>
      <w:r>
        <w:rPr>
          <w:b/>
          <w:sz w:val="24"/>
          <w:szCs w:val="24"/>
        </w:rPr>
        <w:t>c) - risc mare,</w:t>
      </w:r>
      <w:r>
        <w:rPr>
          <w:sz w:val="24"/>
          <w:szCs w:val="24"/>
        </w:rPr>
        <w:t xml:space="preserve"> atunci când densitatea sarcinii termice (</w:t>
      </w:r>
      <w:r>
        <w:rPr>
          <w:b/>
          <w:bCs/>
          <w:sz w:val="24"/>
          <w:szCs w:val="24"/>
        </w:rPr>
        <w:t>q</w:t>
      </w:r>
      <w:r>
        <w:rPr>
          <w:sz w:val="24"/>
          <w:szCs w:val="24"/>
        </w:rPr>
        <w:t xml:space="preserve">) este mai mare de </w:t>
      </w:r>
      <w:r>
        <w:rPr>
          <w:b/>
          <w:bCs/>
          <w:sz w:val="24"/>
          <w:szCs w:val="24"/>
        </w:rPr>
        <w:t>840 MJ/m²</w:t>
      </w:r>
      <w:r>
        <w:rPr>
          <w:sz w:val="24"/>
          <w:szCs w:val="24"/>
        </w:rPr>
        <w:t xml:space="preserve"> şi maximum </w:t>
      </w:r>
      <w:r>
        <w:rPr>
          <w:b/>
          <w:bCs/>
          <w:sz w:val="24"/>
          <w:szCs w:val="24"/>
        </w:rPr>
        <w:t>1680 MJ/m²</w:t>
      </w:r>
      <w:r>
        <w:rPr>
          <w:sz w:val="24"/>
          <w:szCs w:val="24"/>
        </w:rPr>
        <w:t>;</w:t>
      </w:r>
    </w:p>
    <w:p w14:paraId="034E7717" w14:textId="77777777" w:rsidR="001C08A5" w:rsidRDefault="00000000">
      <w:pPr>
        <w:ind w:left="1728"/>
        <w:jc w:val="both"/>
        <w:rPr>
          <w:sz w:val="24"/>
          <w:szCs w:val="24"/>
        </w:rPr>
      </w:pPr>
      <w:r>
        <w:rPr>
          <w:b/>
          <w:sz w:val="24"/>
          <w:szCs w:val="24"/>
        </w:rPr>
        <w:t>d) - risc foarte mare,</w:t>
      </w:r>
      <w:r>
        <w:rPr>
          <w:sz w:val="24"/>
          <w:szCs w:val="24"/>
        </w:rPr>
        <w:t xml:space="preserve"> atunci când densitatea sarcinii termice (</w:t>
      </w:r>
      <w:r>
        <w:rPr>
          <w:b/>
          <w:bCs/>
          <w:sz w:val="24"/>
          <w:szCs w:val="24"/>
        </w:rPr>
        <w:t>q</w:t>
      </w:r>
      <w:r>
        <w:rPr>
          <w:sz w:val="24"/>
          <w:szCs w:val="24"/>
        </w:rPr>
        <w:t xml:space="preserve">) este mai mare de </w:t>
      </w:r>
      <w:r>
        <w:rPr>
          <w:b/>
          <w:bCs/>
          <w:sz w:val="24"/>
          <w:szCs w:val="24"/>
        </w:rPr>
        <w:t>1680 MJ/m²</w:t>
      </w:r>
      <w:r>
        <w:rPr>
          <w:sz w:val="24"/>
          <w:szCs w:val="24"/>
        </w:rPr>
        <w:t xml:space="preserve"> şi/sau există risc de explozie volumetrică.</w:t>
      </w:r>
    </w:p>
    <w:p w14:paraId="743B6B51" w14:textId="77777777" w:rsidR="001C08A5" w:rsidRDefault="00000000">
      <w:pPr>
        <w:widowControl w:val="0"/>
        <w:ind w:firstLine="720"/>
        <w:jc w:val="both"/>
        <w:rPr>
          <w:sz w:val="24"/>
          <w:szCs w:val="24"/>
        </w:rPr>
      </w:pPr>
      <w:r>
        <w:rPr>
          <w:b/>
          <w:bCs/>
          <w:sz w:val="24"/>
          <w:szCs w:val="24"/>
        </w:rPr>
        <w:t xml:space="preserve">(2) </w:t>
      </w:r>
      <w:r>
        <w:rPr>
          <w:sz w:val="24"/>
          <w:szCs w:val="24"/>
        </w:rPr>
        <w:t>Densitatea sarcinii termice (</w:t>
      </w:r>
      <w:r>
        <w:rPr>
          <w:b/>
          <w:bCs/>
          <w:sz w:val="24"/>
          <w:szCs w:val="24"/>
        </w:rPr>
        <w:t>q</w:t>
      </w:r>
      <w:r>
        <w:rPr>
          <w:sz w:val="24"/>
          <w:szCs w:val="24"/>
        </w:rPr>
        <w:t>) se determină prin calcul, luând în considerare totalitatea produselor, materialelor și substanţelor combustibile fixe şi mobile utilizate, prelucrate, manipulate sau depozitate în încăperi, compartimente de incendiu şi construcţie.</w:t>
      </w:r>
    </w:p>
    <w:p w14:paraId="26910AF3" w14:textId="77777777" w:rsidR="001C08A5" w:rsidRDefault="00000000">
      <w:pPr>
        <w:widowControl w:val="0"/>
        <w:ind w:firstLine="720"/>
        <w:jc w:val="both"/>
        <w:rPr>
          <w:sz w:val="24"/>
          <w:szCs w:val="24"/>
        </w:rPr>
      </w:pPr>
      <w:r>
        <w:rPr>
          <w:b/>
          <w:sz w:val="24"/>
          <w:szCs w:val="24"/>
        </w:rPr>
        <w:t xml:space="preserve">(3)   </w:t>
      </w:r>
      <w:r>
        <w:rPr>
          <w:sz w:val="24"/>
          <w:szCs w:val="24"/>
        </w:rPr>
        <w:t xml:space="preserve">Sarcina termică pentru diferite materiale poate fi consultată în </w:t>
      </w:r>
      <w:r>
        <w:rPr>
          <w:i/>
          <w:iCs/>
          <w:sz w:val="24"/>
          <w:szCs w:val="24"/>
        </w:rPr>
        <w:t>Anexa ”Puteri calorifice inferioare”</w:t>
      </w:r>
      <w:r>
        <w:rPr>
          <w:sz w:val="24"/>
          <w:szCs w:val="24"/>
        </w:rPr>
        <w:t>.</w:t>
      </w:r>
    </w:p>
    <w:p w14:paraId="255DD4E3" w14:textId="77777777" w:rsidR="001C08A5" w:rsidRDefault="001C08A5">
      <w:pPr>
        <w:jc w:val="both"/>
        <w:rPr>
          <w:b/>
          <w:sz w:val="24"/>
          <w:szCs w:val="24"/>
        </w:rPr>
      </w:pPr>
    </w:p>
    <w:p w14:paraId="1BBCBC51" w14:textId="77777777" w:rsidR="001C08A5" w:rsidRDefault="00000000">
      <w:pPr>
        <w:jc w:val="both"/>
        <w:rPr>
          <w:b/>
          <w:sz w:val="24"/>
          <w:szCs w:val="24"/>
        </w:rPr>
      </w:pPr>
      <w:r>
        <w:rPr>
          <w:b/>
          <w:sz w:val="24"/>
          <w:szCs w:val="24"/>
        </w:rPr>
        <w:tab/>
        <w:t>Art. 2.1.2.3.</w:t>
      </w:r>
      <w:r>
        <w:rPr>
          <w:b/>
          <w:sz w:val="24"/>
          <w:szCs w:val="24"/>
        </w:rPr>
        <w:tab/>
        <w:t>(1)</w:t>
      </w:r>
      <w:r>
        <w:rPr>
          <w:sz w:val="24"/>
          <w:szCs w:val="24"/>
        </w:rPr>
        <w:t xml:space="preserve"> Ca regulă generală riscul de incendiu al încăperii se determină prin determinarea densității sarcinii termice, respectiv prin însumarea sarcinii termice determinată pentru fiecare zonă a încăperii și raportare la aria utilă. Ca excepție, cel mai mare risc de incendiu al unei zone neseparate cu pereţi rezistenţi la foc  (</w:t>
      </w:r>
      <w:r>
        <w:rPr>
          <w:b/>
          <w:sz w:val="24"/>
          <w:szCs w:val="24"/>
        </w:rPr>
        <w:t>EI</w:t>
      </w:r>
      <w:r>
        <w:rPr>
          <w:sz w:val="24"/>
          <w:szCs w:val="24"/>
        </w:rPr>
        <w:t xml:space="preserve">, după caz, </w:t>
      </w:r>
      <w:r>
        <w:rPr>
          <w:b/>
          <w:sz w:val="24"/>
          <w:szCs w:val="24"/>
        </w:rPr>
        <w:t>REI</w:t>
      </w:r>
      <w:r>
        <w:rPr>
          <w:sz w:val="24"/>
          <w:szCs w:val="24"/>
        </w:rPr>
        <w:t>) şi planşee rezistente la foc (</w:t>
      </w:r>
      <w:r>
        <w:rPr>
          <w:b/>
          <w:sz w:val="24"/>
          <w:szCs w:val="24"/>
        </w:rPr>
        <w:t>REI</w:t>
      </w:r>
      <w:r>
        <w:rPr>
          <w:sz w:val="24"/>
          <w:szCs w:val="24"/>
        </w:rPr>
        <w:t>), determină riscul de incendiu al întregii încăperi în care este situată, atunci când:</w:t>
      </w:r>
      <w:r>
        <w:rPr>
          <w:b/>
          <w:sz w:val="24"/>
          <w:szCs w:val="24"/>
        </w:rPr>
        <w:tab/>
      </w:r>
    </w:p>
    <w:p w14:paraId="32913D94" w14:textId="77777777" w:rsidR="001C08A5" w:rsidRDefault="00000000">
      <w:pPr>
        <w:ind w:left="2835"/>
        <w:jc w:val="both"/>
        <w:rPr>
          <w:sz w:val="24"/>
          <w:szCs w:val="24"/>
        </w:rPr>
      </w:pPr>
      <w:r>
        <w:rPr>
          <w:b/>
          <w:sz w:val="24"/>
          <w:szCs w:val="24"/>
        </w:rPr>
        <w:t>a)</w:t>
      </w:r>
      <w:r>
        <w:rPr>
          <w:sz w:val="24"/>
          <w:szCs w:val="24"/>
        </w:rPr>
        <w:t xml:space="preserve"> zona cu risc de incendiu mare sau foarte mare, fără pericol de explozie volumetrică, are aria mai mare de </w:t>
      </w:r>
      <w:r>
        <w:rPr>
          <w:b/>
          <w:bCs/>
          <w:sz w:val="24"/>
          <w:szCs w:val="24"/>
        </w:rPr>
        <w:t>10%</w:t>
      </w:r>
      <w:r>
        <w:rPr>
          <w:sz w:val="24"/>
          <w:szCs w:val="24"/>
        </w:rPr>
        <w:t xml:space="preserve"> din aria încăperii în care se află, sau depăşeşte aria de </w:t>
      </w:r>
      <w:r>
        <w:rPr>
          <w:b/>
          <w:bCs/>
          <w:sz w:val="24"/>
          <w:szCs w:val="24"/>
        </w:rPr>
        <w:t>400 m</w:t>
      </w:r>
      <w:r>
        <w:rPr>
          <w:b/>
          <w:bCs/>
          <w:sz w:val="24"/>
          <w:szCs w:val="24"/>
          <w:vertAlign w:val="superscript"/>
        </w:rPr>
        <w:t>2</w:t>
      </w:r>
      <w:r>
        <w:rPr>
          <w:sz w:val="24"/>
          <w:szCs w:val="24"/>
        </w:rPr>
        <w:t>;</w:t>
      </w:r>
    </w:p>
    <w:p w14:paraId="08F41B8E" w14:textId="77777777" w:rsidR="001C08A5" w:rsidRDefault="00000000">
      <w:pPr>
        <w:ind w:left="2835"/>
        <w:jc w:val="both"/>
        <w:rPr>
          <w:sz w:val="24"/>
          <w:szCs w:val="24"/>
        </w:rPr>
      </w:pPr>
      <w:r>
        <w:rPr>
          <w:b/>
          <w:sz w:val="24"/>
          <w:szCs w:val="24"/>
        </w:rPr>
        <w:t>b)</w:t>
      </w:r>
      <w:r>
        <w:rPr>
          <w:sz w:val="24"/>
          <w:szCs w:val="24"/>
        </w:rPr>
        <w:t xml:space="preserve"> zona cu risc foarte mare de incendiu, cu pericol de explozie volumetrică, are un volum mai mare de </w:t>
      </w:r>
      <w:r>
        <w:rPr>
          <w:b/>
          <w:bCs/>
          <w:sz w:val="24"/>
          <w:szCs w:val="24"/>
        </w:rPr>
        <w:t>5%</w:t>
      </w:r>
      <w:r>
        <w:rPr>
          <w:sz w:val="24"/>
          <w:szCs w:val="24"/>
        </w:rPr>
        <w:t xml:space="preserve"> din volumul  încăperii în care se află;</w:t>
      </w:r>
    </w:p>
    <w:p w14:paraId="17D1C053" w14:textId="77777777" w:rsidR="001C08A5" w:rsidRDefault="00000000">
      <w:pPr>
        <w:ind w:firstLine="720"/>
        <w:jc w:val="both"/>
        <w:rPr>
          <w:sz w:val="24"/>
          <w:szCs w:val="24"/>
        </w:rPr>
      </w:pPr>
      <w:r>
        <w:rPr>
          <w:b/>
          <w:sz w:val="24"/>
          <w:szCs w:val="24"/>
        </w:rPr>
        <w:t>(2)</w:t>
      </w:r>
      <w:r>
        <w:rPr>
          <w:sz w:val="24"/>
          <w:szCs w:val="24"/>
        </w:rPr>
        <w:t xml:space="preserve"> În cazurile în care zonele cu cel mai mare risc au valori sub condiţiile precizate la literele </w:t>
      </w:r>
      <w:r>
        <w:rPr>
          <w:b/>
          <w:sz w:val="24"/>
          <w:szCs w:val="24"/>
        </w:rPr>
        <w:t>a)</w:t>
      </w:r>
      <w:r>
        <w:rPr>
          <w:sz w:val="24"/>
          <w:szCs w:val="24"/>
        </w:rPr>
        <w:t xml:space="preserve"> și </w:t>
      </w:r>
      <w:r>
        <w:rPr>
          <w:b/>
          <w:sz w:val="24"/>
          <w:szCs w:val="24"/>
        </w:rPr>
        <w:t>b)</w:t>
      </w:r>
      <w:r>
        <w:rPr>
          <w:sz w:val="24"/>
          <w:szCs w:val="24"/>
        </w:rPr>
        <w:t>, în încăpere se adoptă riscul de incendiu mai mic existent (care îndeplineşte condiţiile respective), provenit din calculul densității de sarcină termică și se iau măsurile tehnice de protecţie corespunzătoare în zonele cu risc de incendiu mai mare sau cu risc de explozie volumetrică (inclusiv în zonele de protecţie a acestora), în scopul reducerii posibilităţilor de propagare uşoară a incendiului în zonele învecinate și a formării concentraţiilor locale cu risc de explozie volumetrică.</w:t>
      </w:r>
    </w:p>
    <w:p w14:paraId="64CBEA4B" w14:textId="77777777" w:rsidR="001C08A5" w:rsidRDefault="00000000">
      <w:pPr>
        <w:ind w:firstLine="720"/>
        <w:jc w:val="both"/>
        <w:rPr>
          <w:sz w:val="24"/>
          <w:szCs w:val="24"/>
        </w:rPr>
      </w:pPr>
      <w:r>
        <w:rPr>
          <w:b/>
          <w:sz w:val="24"/>
          <w:szCs w:val="24"/>
        </w:rPr>
        <w:t xml:space="preserve">(3) </w:t>
      </w:r>
      <w:r>
        <w:rPr>
          <w:sz w:val="24"/>
          <w:szCs w:val="24"/>
        </w:rPr>
        <w:t xml:space="preserve">Atunci când sunt mai multe zone cu riscuri de incendiu şi/sau de explozie volumetrică situate în puncte/ zone distincte ale unei încăperi (zone neseparate cu pereţi şi planşee rezistente la foc), riscul de incendiu al întregii încăperi se determină astfel: </w:t>
      </w:r>
    </w:p>
    <w:p w14:paraId="7DE83DA6" w14:textId="77777777" w:rsidR="001C08A5" w:rsidRDefault="00000000">
      <w:pPr>
        <w:ind w:left="2160" w:firstLine="720"/>
        <w:jc w:val="both"/>
        <w:rPr>
          <w:sz w:val="24"/>
          <w:szCs w:val="24"/>
        </w:rPr>
      </w:pPr>
      <w:r>
        <w:rPr>
          <w:b/>
          <w:bCs/>
          <w:sz w:val="24"/>
          <w:szCs w:val="24"/>
        </w:rPr>
        <w:t>a)</w:t>
      </w:r>
      <w:r>
        <w:rPr>
          <w:sz w:val="24"/>
          <w:szCs w:val="24"/>
        </w:rPr>
        <w:t xml:space="preserve"> – când distanţa dintre zonele respective (măsurată pe orizontală) este mai mică de </w:t>
      </w:r>
      <w:r>
        <w:rPr>
          <w:b/>
          <w:bCs/>
          <w:sz w:val="24"/>
          <w:szCs w:val="24"/>
        </w:rPr>
        <w:t>40 m</w:t>
      </w:r>
      <w:r>
        <w:rPr>
          <w:sz w:val="24"/>
          <w:szCs w:val="24"/>
        </w:rPr>
        <w:t>, se ia în considerare cel mai mare risc de incendiu existent şi suma ariilor efective ale acestuia, respectiv suma volumelor aferente riscului de explozie volumetrică;</w:t>
      </w:r>
    </w:p>
    <w:p w14:paraId="5191F38D" w14:textId="77777777" w:rsidR="001C08A5" w:rsidRDefault="00000000">
      <w:pPr>
        <w:ind w:left="2160" w:firstLine="720"/>
        <w:jc w:val="both"/>
        <w:rPr>
          <w:b/>
          <w:sz w:val="24"/>
          <w:szCs w:val="24"/>
        </w:rPr>
      </w:pPr>
      <w:r>
        <w:rPr>
          <w:b/>
          <w:bCs/>
          <w:sz w:val="24"/>
          <w:szCs w:val="24"/>
        </w:rPr>
        <w:t>b)</w:t>
      </w:r>
      <w:r>
        <w:rPr>
          <w:sz w:val="24"/>
          <w:szCs w:val="24"/>
        </w:rPr>
        <w:t xml:space="preserve"> – când distanţa dintre zonele respective este mai mare de </w:t>
      </w:r>
      <w:r>
        <w:rPr>
          <w:b/>
          <w:bCs/>
          <w:sz w:val="24"/>
          <w:szCs w:val="24"/>
        </w:rPr>
        <w:t>40 m</w:t>
      </w:r>
      <w:r>
        <w:rPr>
          <w:sz w:val="24"/>
          <w:szCs w:val="24"/>
        </w:rPr>
        <w:t>, ariile efective nu se însumează și se asigură local (pentru fiecare zonă cu risc de incendiu sau pericol de explozie volumetrică ), condiţiile și măsurile de securitate la incendiu corespunzătoare riscului respectiv.</w:t>
      </w:r>
    </w:p>
    <w:p w14:paraId="673957F0" w14:textId="77777777" w:rsidR="001C08A5" w:rsidRDefault="001C08A5">
      <w:pPr>
        <w:jc w:val="both"/>
        <w:rPr>
          <w:sz w:val="24"/>
          <w:szCs w:val="24"/>
        </w:rPr>
      </w:pPr>
    </w:p>
    <w:p w14:paraId="1DEF8BB9" w14:textId="77777777" w:rsidR="001C08A5" w:rsidRDefault="00000000">
      <w:pPr>
        <w:jc w:val="both"/>
        <w:rPr>
          <w:sz w:val="24"/>
          <w:szCs w:val="24"/>
        </w:rPr>
      </w:pPr>
      <w:r>
        <w:rPr>
          <w:b/>
          <w:sz w:val="24"/>
          <w:szCs w:val="24"/>
        </w:rPr>
        <w:tab/>
        <w:t>Art. 2.1.2.4.</w:t>
      </w:r>
      <w:r>
        <w:rPr>
          <w:sz w:val="24"/>
          <w:szCs w:val="24"/>
        </w:rPr>
        <w:t xml:space="preserve"> Riscul de incendiu pe compartiment de incendiu/construcție, se consideră riscul cel mai mare al încăperilor și zonelor:</w:t>
      </w:r>
    </w:p>
    <w:p w14:paraId="09D00383" w14:textId="77777777" w:rsidR="001C08A5" w:rsidRDefault="00000000">
      <w:pPr>
        <w:pStyle w:val="ListParagraph"/>
        <w:numPr>
          <w:ilvl w:val="1"/>
          <w:numId w:val="20"/>
        </w:numPr>
        <w:jc w:val="both"/>
      </w:pPr>
      <w:r>
        <w:t xml:space="preserve"> ale căror volume însumate reprezintă mai mult de </w:t>
      </w:r>
      <w:r>
        <w:rPr>
          <w:b/>
          <w:bCs/>
        </w:rPr>
        <w:t>30%</w:t>
      </w:r>
      <w:r>
        <w:t xml:space="preserve"> din volumul construcţiei sau al compartimentului de incendiu, indiferent de destinaţia acestora, dacă în construcție sunt zone cu risc foarte mare de incendiu,  cu pericol de explozie volumetrică;</w:t>
      </w:r>
    </w:p>
    <w:p w14:paraId="0C238120" w14:textId="77777777" w:rsidR="001C08A5" w:rsidRDefault="00000000">
      <w:pPr>
        <w:pStyle w:val="ListParagraph"/>
        <w:numPr>
          <w:ilvl w:val="1"/>
          <w:numId w:val="20"/>
        </w:numPr>
        <w:jc w:val="both"/>
        <w:rPr>
          <w:sz w:val="20"/>
        </w:rPr>
      </w:pPr>
      <w:r>
        <w:t xml:space="preserve">ale căror suprafețe însumate reprezintă mai mult de </w:t>
      </w:r>
      <w:r>
        <w:rPr>
          <w:b/>
          <w:bCs/>
        </w:rPr>
        <w:t>30%</w:t>
      </w:r>
      <w:r>
        <w:t xml:space="preserve"> din aria desfășurată a construcţiei sau al compartimentului de incendiu, indiferent de destinaţia acestora</w:t>
      </w:r>
    </w:p>
    <w:p w14:paraId="491D5582" w14:textId="77777777" w:rsidR="001C08A5" w:rsidRDefault="001C08A5">
      <w:pPr>
        <w:rPr>
          <w:sz w:val="24"/>
          <w:szCs w:val="24"/>
        </w:rPr>
      </w:pPr>
    </w:p>
    <w:p w14:paraId="05662E80" w14:textId="77777777" w:rsidR="001C08A5" w:rsidRDefault="00000000">
      <w:pPr>
        <w:jc w:val="both"/>
        <w:rPr>
          <w:b/>
          <w:sz w:val="24"/>
          <w:szCs w:val="24"/>
        </w:rPr>
      </w:pPr>
      <w:r>
        <w:rPr>
          <w:b/>
          <w:sz w:val="24"/>
          <w:szCs w:val="24"/>
        </w:rPr>
        <w:tab/>
        <w:t>Art. 2.1.2.5.</w:t>
      </w:r>
      <w:r>
        <w:rPr>
          <w:b/>
          <w:sz w:val="24"/>
          <w:szCs w:val="24"/>
        </w:rPr>
        <w:tab/>
        <w:t>(1)</w:t>
      </w:r>
      <w:r>
        <w:rPr>
          <w:sz w:val="24"/>
          <w:szCs w:val="24"/>
        </w:rPr>
        <w:t xml:space="preserve"> La determinarea riscurilor de incendiu în zonele, spaţiile, încăperile, compartimentele de incendiu şi construcţiile în care se desfăşoară activităţi de producţie şi/sau depozitare, se au în vedere prevederile </w:t>
      </w:r>
      <w:r>
        <w:rPr>
          <w:b/>
          <w:sz w:val="24"/>
          <w:szCs w:val="24"/>
        </w:rPr>
        <w:t xml:space="preserve">Anexei </w:t>
      </w:r>
      <w:r>
        <w:rPr>
          <w:bCs/>
          <w:sz w:val="24"/>
          <w:szCs w:val="24"/>
        </w:rPr>
        <w:t xml:space="preserve">privind </w:t>
      </w:r>
      <w:r>
        <w:rPr>
          <w:bCs/>
          <w:i/>
          <w:iCs/>
          <w:sz w:val="24"/>
          <w:szCs w:val="24"/>
        </w:rPr>
        <w:t xml:space="preserve">“Caracteristicile substanţelor și materialelor </w:t>
      </w:r>
      <w:r>
        <w:rPr>
          <w:bCs/>
          <w:i/>
          <w:iCs/>
          <w:sz w:val="24"/>
          <w:szCs w:val="24"/>
        </w:rPr>
        <w:lastRenderedPageBreak/>
        <w:t xml:space="preserve">ce determină încadrarea în riscuri de incendiu a spaţiilor, încăperilor, compartimentelor de incendiu şi construcţiilor de producţie şi/sau depozitare” </w:t>
      </w:r>
      <w:r>
        <w:rPr>
          <w:bCs/>
          <w:sz w:val="24"/>
          <w:szCs w:val="24"/>
        </w:rPr>
        <w:t>precum și articolele precedente</w:t>
      </w:r>
      <w:r>
        <w:rPr>
          <w:bCs/>
          <w:i/>
          <w:iCs/>
          <w:sz w:val="24"/>
          <w:szCs w:val="24"/>
        </w:rPr>
        <w:t xml:space="preserve">, </w:t>
      </w:r>
      <w:r>
        <w:rPr>
          <w:bCs/>
          <w:sz w:val="24"/>
          <w:szCs w:val="24"/>
        </w:rPr>
        <w:t xml:space="preserve">luându-se obligatoriu în considerare </w:t>
      </w:r>
      <w:r>
        <w:rPr>
          <w:rFonts w:eastAsia="TimesNewRomanPS-ItalicMT"/>
          <w:sz w:val="24"/>
          <w:szCs w:val="24"/>
        </w:rPr>
        <w:t xml:space="preserve">caracteristicile fizico chimice specificate în fișele tehnice cu date de securitate ale materialelor vehiculate, stocate sau depozitate. </w:t>
      </w:r>
    </w:p>
    <w:p w14:paraId="3C12A8E9" w14:textId="77777777" w:rsidR="001C08A5" w:rsidRDefault="00000000">
      <w:pPr>
        <w:ind w:firstLine="720"/>
        <w:jc w:val="both"/>
        <w:rPr>
          <w:b/>
          <w:sz w:val="24"/>
          <w:szCs w:val="24"/>
        </w:rPr>
      </w:pPr>
      <w:r>
        <w:rPr>
          <w:b/>
          <w:sz w:val="24"/>
          <w:szCs w:val="24"/>
        </w:rPr>
        <w:t>(2)</w:t>
      </w:r>
      <w:r>
        <w:rPr>
          <w:sz w:val="24"/>
          <w:szCs w:val="24"/>
        </w:rPr>
        <w:t xml:space="preserve"> În încăperile de producţie este admisă depozitarea materialelor şi substanţelor combustibile ori incombustibile, numai în cantităţile și sorturile necesare tehnologic pentru un singur schimb de lucru.</w:t>
      </w:r>
    </w:p>
    <w:p w14:paraId="32E6C644" w14:textId="77777777" w:rsidR="001C08A5" w:rsidRDefault="001C08A5">
      <w:pPr>
        <w:ind w:firstLine="720"/>
        <w:jc w:val="both"/>
        <w:rPr>
          <w:b/>
          <w:sz w:val="24"/>
          <w:szCs w:val="24"/>
        </w:rPr>
      </w:pPr>
    </w:p>
    <w:p w14:paraId="5A50ED74" w14:textId="77777777" w:rsidR="001C08A5" w:rsidRDefault="00000000">
      <w:pPr>
        <w:ind w:firstLine="720"/>
        <w:jc w:val="both"/>
        <w:rPr>
          <w:strike/>
          <w:sz w:val="24"/>
          <w:szCs w:val="24"/>
        </w:rPr>
      </w:pPr>
      <w:r>
        <w:rPr>
          <w:b/>
          <w:sz w:val="24"/>
          <w:szCs w:val="24"/>
        </w:rPr>
        <w:t>Art. 2.1.2.6.</w:t>
      </w:r>
      <w:r>
        <w:rPr>
          <w:sz w:val="24"/>
          <w:szCs w:val="24"/>
        </w:rPr>
        <w:t xml:space="preserve"> La determinarea concentraţiilor amestecurilor cu risc de explozie volumetrică se iau în considerare scăpările şi degajările de gaze, vapori sau praf posibile în timpul desfăşurării normale a activităţii. Delimitarea zonelor în care se asigură măsurile specifice de securitate la incendiu impuse de pericolele de explozie volumetrică este obligatorie și are în vedere posibilitatea prezenţei amestecurilor de aer cu gaze, vapori sau praf în concentraţii cu pericol de explozie în timpul funcţionării normale.</w:t>
      </w:r>
    </w:p>
    <w:p w14:paraId="6DB2514E" w14:textId="77777777" w:rsidR="001C08A5" w:rsidRDefault="00000000">
      <w:pPr>
        <w:pStyle w:val="Heading4"/>
      </w:pPr>
      <w:bookmarkStart w:id="611" w:name="_Toc16221"/>
      <w:bookmarkStart w:id="612" w:name="_Toc162355188"/>
      <w:bookmarkStart w:id="613" w:name="_Toc415"/>
      <w:bookmarkStart w:id="614" w:name="_Toc7351"/>
      <w:bookmarkStart w:id="615" w:name="_Toc1816"/>
      <w:bookmarkStart w:id="616" w:name="_Toc24741"/>
      <w:bookmarkStart w:id="617" w:name="_Toc3419"/>
      <w:bookmarkStart w:id="618" w:name="_Toc13352"/>
      <w:r>
        <w:t>2.1.3. Nivel de stabilitate la incendiu al construcţiei</w:t>
      </w:r>
      <w:bookmarkEnd w:id="611"/>
      <w:bookmarkEnd w:id="612"/>
      <w:bookmarkEnd w:id="613"/>
      <w:bookmarkEnd w:id="614"/>
      <w:bookmarkEnd w:id="615"/>
      <w:bookmarkEnd w:id="616"/>
      <w:bookmarkEnd w:id="617"/>
      <w:bookmarkEnd w:id="618"/>
    </w:p>
    <w:p w14:paraId="6CE61931" w14:textId="77777777" w:rsidR="001C08A5" w:rsidRDefault="001C08A5">
      <w:pPr>
        <w:jc w:val="both"/>
        <w:rPr>
          <w:b/>
          <w:sz w:val="24"/>
          <w:szCs w:val="24"/>
        </w:rPr>
      </w:pPr>
    </w:p>
    <w:p w14:paraId="52615061" w14:textId="77777777" w:rsidR="001C08A5" w:rsidRDefault="00000000">
      <w:pPr>
        <w:jc w:val="both"/>
        <w:rPr>
          <w:b/>
          <w:sz w:val="24"/>
          <w:szCs w:val="24"/>
        </w:rPr>
      </w:pPr>
      <w:r>
        <w:rPr>
          <w:b/>
          <w:sz w:val="24"/>
          <w:szCs w:val="24"/>
        </w:rPr>
        <w:tab/>
        <w:t xml:space="preserve">Art. </w:t>
      </w:r>
      <w:r>
        <w:rPr>
          <w:b/>
          <w:bCs/>
          <w:sz w:val="24"/>
          <w:szCs w:val="24"/>
        </w:rPr>
        <w:t>2.1.3.</w:t>
      </w:r>
      <w:r>
        <w:rPr>
          <w:b/>
          <w:sz w:val="24"/>
          <w:szCs w:val="24"/>
        </w:rPr>
        <w:t>1.</w:t>
      </w:r>
      <w:r>
        <w:rPr>
          <w:b/>
          <w:sz w:val="24"/>
          <w:szCs w:val="24"/>
        </w:rPr>
        <w:tab/>
        <w:t>(1)</w:t>
      </w:r>
      <w:r>
        <w:rPr>
          <w:sz w:val="24"/>
          <w:szCs w:val="24"/>
        </w:rPr>
        <w:t xml:space="preserve"> Nivelul de stabilitate la incendiu se asigură astfel încât construcţia sau compartimentul de incendiu să îndeplinească condiţiile de conformare şi corelare normate, având în vedere clasele de rezistenţă la foc ale principalelor elemente de construcţie utilizate. </w:t>
      </w:r>
    </w:p>
    <w:p w14:paraId="7A558282" w14:textId="77777777" w:rsidR="001C08A5" w:rsidRDefault="00000000">
      <w:pPr>
        <w:ind w:firstLine="720"/>
        <w:jc w:val="both"/>
        <w:rPr>
          <w:b/>
          <w:sz w:val="24"/>
          <w:szCs w:val="24"/>
        </w:rPr>
      </w:pPr>
      <w:r>
        <w:rPr>
          <w:b/>
          <w:sz w:val="24"/>
          <w:szCs w:val="24"/>
        </w:rPr>
        <w:t>(2)</w:t>
      </w:r>
      <w:r>
        <w:rPr>
          <w:sz w:val="24"/>
          <w:szCs w:val="24"/>
        </w:rPr>
        <w:t xml:space="preserve"> Trebuie luate în considerare  clasele de reacţie la foc ale produselor, materialelor şi elementelor constructive utilizate, obligatoriu: </w:t>
      </w:r>
    </w:p>
    <w:p w14:paraId="3D7CBD4C" w14:textId="77777777" w:rsidR="001C08A5" w:rsidRDefault="00000000">
      <w:pPr>
        <w:ind w:left="1418" w:firstLine="22"/>
        <w:jc w:val="both"/>
        <w:rPr>
          <w:b/>
          <w:sz w:val="24"/>
          <w:szCs w:val="24"/>
        </w:rPr>
      </w:pPr>
      <w:r>
        <w:rPr>
          <w:b/>
          <w:sz w:val="24"/>
          <w:szCs w:val="24"/>
        </w:rPr>
        <w:t xml:space="preserve">a) </w:t>
      </w:r>
      <w:r>
        <w:rPr>
          <w:sz w:val="24"/>
          <w:szCs w:val="24"/>
        </w:rPr>
        <w:t xml:space="preserve">la clădirile civile supraterane înalte, foarte înalte ori cu săli aglomerate, la încăperile cu aglomerări de persoane, precum și acolo unde normativul impune cerințe în acest sens; </w:t>
      </w:r>
    </w:p>
    <w:p w14:paraId="7576E10D" w14:textId="77777777" w:rsidR="001C08A5" w:rsidRDefault="00000000">
      <w:pPr>
        <w:ind w:left="1440"/>
        <w:jc w:val="both"/>
        <w:rPr>
          <w:sz w:val="24"/>
          <w:szCs w:val="24"/>
        </w:rPr>
      </w:pPr>
      <w:r>
        <w:rPr>
          <w:b/>
          <w:sz w:val="24"/>
          <w:szCs w:val="24"/>
        </w:rPr>
        <w:t xml:space="preserve">b) </w:t>
      </w:r>
      <w:r>
        <w:rPr>
          <w:sz w:val="24"/>
          <w:szCs w:val="24"/>
        </w:rPr>
        <w:t>la finisajele căilor de evacuare a utilizatorilor construcţiilor supraterane sau subterane de orice tip şi destinaţie;</w:t>
      </w:r>
    </w:p>
    <w:p w14:paraId="6CA4A4C2" w14:textId="77777777" w:rsidR="001C08A5" w:rsidRDefault="00000000">
      <w:pPr>
        <w:ind w:left="1440"/>
        <w:jc w:val="both"/>
        <w:rPr>
          <w:sz w:val="24"/>
          <w:szCs w:val="24"/>
        </w:rPr>
      </w:pPr>
      <w:r>
        <w:rPr>
          <w:b/>
          <w:sz w:val="24"/>
          <w:szCs w:val="24"/>
        </w:rPr>
        <w:t xml:space="preserve">c) </w:t>
      </w:r>
      <w:r>
        <w:rPr>
          <w:sz w:val="24"/>
          <w:szCs w:val="24"/>
        </w:rPr>
        <w:t>în situaţiile precizate în normativ sau în reglementările tehnice aplicabile.</w:t>
      </w:r>
    </w:p>
    <w:p w14:paraId="03519C31" w14:textId="77777777" w:rsidR="001C08A5" w:rsidRDefault="00000000">
      <w:pPr>
        <w:jc w:val="both"/>
        <w:rPr>
          <w:b/>
          <w:sz w:val="24"/>
          <w:szCs w:val="24"/>
        </w:rPr>
      </w:pPr>
      <w:r>
        <w:rPr>
          <w:sz w:val="24"/>
          <w:szCs w:val="24"/>
        </w:rPr>
        <w:tab/>
      </w:r>
      <w:r>
        <w:rPr>
          <w:sz w:val="24"/>
          <w:szCs w:val="24"/>
        </w:rPr>
        <w:tab/>
      </w:r>
    </w:p>
    <w:p w14:paraId="6CE1C510" w14:textId="77777777" w:rsidR="001C08A5" w:rsidRDefault="00000000">
      <w:pPr>
        <w:jc w:val="both"/>
        <w:rPr>
          <w:sz w:val="24"/>
          <w:szCs w:val="24"/>
        </w:rPr>
      </w:pPr>
      <w:r>
        <w:rPr>
          <w:b/>
          <w:sz w:val="24"/>
          <w:szCs w:val="24"/>
        </w:rPr>
        <w:tab/>
        <w:t xml:space="preserve">Art. </w:t>
      </w:r>
      <w:r>
        <w:rPr>
          <w:b/>
          <w:bCs/>
          <w:sz w:val="24"/>
          <w:szCs w:val="24"/>
        </w:rPr>
        <w:t>2.1.3.</w:t>
      </w:r>
      <w:r>
        <w:rPr>
          <w:b/>
          <w:sz w:val="24"/>
          <w:szCs w:val="24"/>
        </w:rPr>
        <w:t>2.</w:t>
      </w:r>
      <w:r>
        <w:rPr>
          <w:sz w:val="24"/>
          <w:szCs w:val="24"/>
        </w:rPr>
        <w:t xml:space="preserve"> Condiţiile minime de rezistenţă la foc pe care trebuie să le îndeplinească principalele elemente de construcţie utilizate pentru încadrarea construcţiei sau a compartimentului de incendiu într-un anumit  nivel de stabilitate la incendiu, sunt precizate în </w:t>
      </w:r>
      <w:r>
        <w:rPr>
          <w:b/>
          <w:bCs/>
          <w:i/>
          <w:iCs/>
          <w:sz w:val="24"/>
          <w:szCs w:val="24"/>
        </w:rPr>
        <w:fldChar w:fldCharType="begin"/>
      </w:r>
      <w:r>
        <w:rPr>
          <w:b/>
          <w:bCs/>
          <w:i/>
          <w:iCs/>
          <w:sz w:val="24"/>
          <w:szCs w:val="24"/>
        </w:rPr>
        <w:instrText xml:space="preserve"> REF _Ref26473 \h </w:instrText>
      </w:r>
      <w:r>
        <w:rPr>
          <w:b/>
          <w:bCs/>
          <w:i/>
          <w:iCs/>
          <w:sz w:val="24"/>
          <w:szCs w:val="24"/>
        </w:rPr>
      </w:r>
      <w:r>
        <w:rPr>
          <w:b/>
          <w:bCs/>
          <w:i/>
          <w:iCs/>
          <w:sz w:val="24"/>
          <w:szCs w:val="24"/>
        </w:rPr>
        <w:fldChar w:fldCharType="separate"/>
      </w:r>
      <w:r>
        <w:t>Tabelul 2</w:t>
      </w:r>
      <w:r>
        <w:rPr>
          <w:b/>
          <w:bCs/>
          <w:i/>
          <w:iCs/>
          <w:sz w:val="24"/>
          <w:szCs w:val="24"/>
        </w:rPr>
        <w:fldChar w:fldCharType="end"/>
      </w:r>
      <w:r>
        <w:rPr>
          <w:i/>
          <w:iCs/>
          <w:sz w:val="24"/>
          <w:szCs w:val="24"/>
        </w:rPr>
        <w:t xml:space="preserve"> </w:t>
      </w:r>
      <w:r>
        <w:rPr>
          <w:sz w:val="24"/>
          <w:szCs w:val="24"/>
        </w:rPr>
        <w:t>și</w:t>
      </w:r>
      <w:r>
        <w:rPr>
          <w:i/>
          <w:iCs/>
          <w:sz w:val="24"/>
          <w:szCs w:val="24"/>
        </w:rPr>
        <w:t xml:space="preserve"> </w:t>
      </w:r>
      <w:r>
        <w:rPr>
          <w:b/>
          <w:bCs/>
          <w:i/>
          <w:iCs/>
          <w:sz w:val="24"/>
          <w:szCs w:val="24"/>
        </w:rPr>
        <w:fldChar w:fldCharType="begin"/>
      </w:r>
      <w:r>
        <w:rPr>
          <w:b/>
          <w:bCs/>
          <w:i/>
          <w:iCs/>
          <w:sz w:val="24"/>
          <w:szCs w:val="24"/>
        </w:rPr>
        <w:instrText xml:space="preserve"> REF _Ref11612 \h </w:instrText>
      </w:r>
      <w:r>
        <w:rPr>
          <w:b/>
          <w:bCs/>
          <w:i/>
          <w:iCs/>
          <w:sz w:val="24"/>
          <w:szCs w:val="24"/>
        </w:rPr>
      </w:r>
      <w:r>
        <w:rPr>
          <w:b/>
          <w:bCs/>
          <w:i/>
          <w:iCs/>
          <w:sz w:val="24"/>
          <w:szCs w:val="24"/>
        </w:rPr>
        <w:fldChar w:fldCharType="separate"/>
      </w:r>
      <w:r>
        <w:t>Tabelul 3</w:t>
      </w:r>
      <w:r>
        <w:rPr>
          <w:b/>
          <w:bCs/>
          <w:i/>
          <w:iCs/>
          <w:sz w:val="24"/>
          <w:szCs w:val="24"/>
        </w:rPr>
        <w:fldChar w:fldCharType="end"/>
      </w:r>
      <w:r>
        <w:rPr>
          <w:b/>
          <w:bCs/>
          <w:i/>
          <w:iCs/>
          <w:sz w:val="24"/>
          <w:szCs w:val="24"/>
        </w:rPr>
        <w:t>.</w:t>
      </w:r>
    </w:p>
    <w:p w14:paraId="2C51D8AC" w14:textId="77777777" w:rsidR="001C08A5" w:rsidRDefault="001C08A5">
      <w:pPr>
        <w:jc w:val="both"/>
        <w:rPr>
          <w:b/>
          <w:sz w:val="24"/>
          <w:szCs w:val="24"/>
        </w:rPr>
      </w:pPr>
    </w:p>
    <w:p w14:paraId="5AF21194" w14:textId="77777777" w:rsidR="001C08A5" w:rsidRDefault="00000000">
      <w:pPr>
        <w:pStyle w:val="Captiontabel"/>
      </w:pPr>
      <w:bookmarkStart w:id="619" w:name="_Ref26473"/>
      <w:bookmarkStart w:id="620" w:name="_Toc162360052"/>
      <w:bookmarkStart w:id="621" w:name="_Ref4440"/>
      <w:r>
        <w:t xml:space="preserve">Tabelul </w:t>
      </w:r>
      <w:r>
        <w:fldChar w:fldCharType="begin"/>
      </w:r>
      <w:r>
        <w:instrText xml:space="preserve"> SEQ Tabelul \* ARABIC </w:instrText>
      </w:r>
      <w:r>
        <w:fldChar w:fldCharType="separate"/>
      </w:r>
      <w:r>
        <w:t>2</w:t>
      </w:r>
      <w:r>
        <w:fldChar w:fldCharType="end"/>
      </w:r>
      <w:bookmarkStart w:id="622" w:name="_Toc14374"/>
      <w:bookmarkStart w:id="623" w:name="_Toc28474"/>
      <w:bookmarkStart w:id="624" w:name="_Toc14422"/>
      <w:bookmarkStart w:id="625" w:name="_Toc27133"/>
      <w:bookmarkStart w:id="626" w:name="_Toc350"/>
      <w:bookmarkStart w:id="627" w:name="_Toc28371"/>
      <w:bookmarkStart w:id="628" w:name="_Toc4969"/>
      <w:bookmarkStart w:id="629" w:name="_Toc11233"/>
      <w:bookmarkStart w:id="630" w:name="_Toc416"/>
      <w:bookmarkStart w:id="631" w:name="_Toc11699"/>
      <w:bookmarkStart w:id="632" w:name="_Toc26705"/>
      <w:bookmarkStart w:id="633" w:name="_Toc29503"/>
      <w:bookmarkStart w:id="634" w:name="_Toc30446"/>
      <w:bookmarkStart w:id="635" w:name="_Toc15343"/>
      <w:bookmarkStart w:id="636" w:name="_Toc20937"/>
      <w:bookmarkStart w:id="637" w:name="_Toc17970"/>
      <w:bookmarkStart w:id="638" w:name="_Toc3948"/>
      <w:bookmarkStart w:id="639" w:name="_Toc25898"/>
      <w:bookmarkStart w:id="640" w:name="_Toc21447"/>
      <w:bookmarkEnd w:id="619"/>
      <w:r>
        <w:t>: Condiţii minime pentru încadrarea construcţiei sau a compartimentului de incendiu în niveluri de stabilitate la incendiu pentru construcții civile</w:t>
      </w:r>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p>
    <w:p w14:paraId="13994577" w14:textId="77777777" w:rsidR="001C08A5" w:rsidRDefault="001C08A5">
      <w:pPr>
        <w:suppressAutoHyphens w:val="0"/>
        <w:autoSpaceDE w:val="0"/>
        <w:autoSpaceDN w:val="0"/>
        <w:adjustRightInd w:val="0"/>
        <w:jc w:val="both"/>
        <w:rPr>
          <w:i/>
          <w:sz w:val="24"/>
          <w:szCs w:val="24"/>
        </w:rPr>
      </w:pPr>
    </w:p>
    <w:tbl>
      <w:tblPr>
        <w:tblStyle w:val="TableGrid"/>
        <w:tblW w:w="0" w:type="auto"/>
        <w:jc w:val="right"/>
        <w:tblLayout w:type="fixed"/>
        <w:tblLook w:val="04A0" w:firstRow="1" w:lastRow="0" w:firstColumn="1" w:lastColumn="0" w:noHBand="0" w:noVBand="1"/>
      </w:tblPr>
      <w:tblGrid>
        <w:gridCol w:w="305"/>
        <w:gridCol w:w="844"/>
        <w:gridCol w:w="1223"/>
        <w:gridCol w:w="690"/>
        <w:gridCol w:w="675"/>
        <w:gridCol w:w="675"/>
        <w:gridCol w:w="690"/>
        <w:gridCol w:w="675"/>
        <w:gridCol w:w="675"/>
        <w:gridCol w:w="690"/>
        <w:gridCol w:w="675"/>
        <w:gridCol w:w="675"/>
        <w:gridCol w:w="690"/>
        <w:gridCol w:w="673"/>
      </w:tblGrid>
      <w:tr w:rsidR="001C08A5" w14:paraId="00D5A803" w14:textId="77777777">
        <w:trPr>
          <w:tblHeader/>
          <w:jc w:val="right"/>
        </w:trPr>
        <w:tc>
          <w:tcPr>
            <w:tcW w:w="305" w:type="dxa"/>
            <w:vMerge w:val="restart"/>
            <w:shd w:val="clear" w:color="auto" w:fill="BFBFBF" w:themeFill="background1" w:themeFillShade="BF"/>
            <w:textDirection w:val="btLr"/>
          </w:tcPr>
          <w:p w14:paraId="7A0AB2E1" w14:textId="77777777" w:rsidR="001C08A5" w:rsidRDefault="00000000">
            <w:pPr>
              <w:ind w:left="113" w:right="113"/>
              <w:rPr>
                <w:b/>
                <w:iCs/>
                <w:sz w:val="18"/>
                <w:szCs w:val="18"/>
              </w:rPr>
            </w:pPr>
            <w:r>
              <w:rPr>
                <w:b/>
                <w:iCs/>
                <w:sz w:val="18"/>
                <w:szCs w:val="18"/>
              </w:rPr>
              <w:t>Nr. Crt.</w:t>
            </w:r>
          </w:p>
        </w:tc>
        <w:tc>
          <w:tcPr>
            <w:tcW w:w="2067" w:type="dxa"/>
            <w:gridSpan w:val="2"/>
            <w:vMerge w:val="restart"/>
            <w:shd w:val="clear" w:color="auto" w:fill="BFBFBF" w:themeFill="background1" w:themeFillShade="BF"/>
            <w:vAlign w:val="center"/>
          </w:tcPr>
          <w:p w14:paraId="077D5AFA" w14:textId="77777777" w:rsidR="001C08A5" w:rsidRDefault="00000000">
            <w:pPr>
              <w:jc w:val="center"/>
              <w:rPr>
                <w:b/>
                <w:iCs/>
                <w:sz w:val="24"/>
                <w:szCs w:val="24"/>
              </w:rPr>
            </w:pPr>
            <w:r>
              <w:rPr>
                <w:b/>
                <w:sz w:val="18"/>
                <w:szCs w:val="18"/>
              </w:rPr>
              <w:t>Tipul elementelor de construcţie utilizate</w:t>
            </w:r>
          </w:p>
        </w:tc>
        <w:tc>
          <w:tcPr>
            <w:tcW w:w="7483" w:type="dxa"/>
            <w:gridSpan w:val="11"/>
            <w:shd w:val="clear" w:color="auto" w:fill="BFBFBF" w:themeFill="background1" w:themeFillShade="BF"/>
            <w:vAlign w:val="center"/>
          </w:tcPr>
          <w:p w14:paraId="6F17D866" w14:textId="77777777" w:rsidR="001C08A5" w:rsidRDefault="00000000">
            <w:pPr>
              <w:jc w:val="center"/>
              <w:rPr>
                <w:b/>
                <w:iCs/>
                <w:sz w:val="24"/>
                <w:szCs w:val="24"/>
              </w:rPr>
            </w:pPr>
            <w:r>
              <w:rPr>
                <w:b/>
                <w:sz w:val="18"/>
                <w:szCs w:val="18"/>
              </w:rPr>
              <w:t>Nivelul de stabilitate la incendiu al construcţiei/compartimentului de incendiu</w:t>
            </w:r>
          </w:p>
        </w:tc>
      </w:tr>
      <w:tr w:rsidR="001C08A5" w14:paraId="39371997" w14:textId="77777777">
        <w:trPr>
          <w:tblHeader/>
          <w:jc w:val="right"/>
        </w:trPr>
        <w:tc>
          <w:tcPr>
            <w:tcW w:w="305" w:type="dxa"/>
            <w:vMerge/>
            <w:shd w:val="clear" w:color="auto" w:fill="BFBFBF" w:themeFill="background1" w:themeFillShade="BF"/>
          </w:tcPr>
          <w:p w14:paraId="1F9B1E62" w14:textId="77777777" w:rsidR="001C08A5" w:rsidRDefault="001C08A5">
            <w:pPr>
              <w:rPr>
                <w:b/>
                <w:iCs/>
                <w:sz w:val="24"/>
                <w:szCs w:val="24"/>
              </w:rPr>
            </w:pPr>
          </w:p>
        </w:tc>
        <w:tc>
          <w:tcPr>
            <w:tcW w:w="2067" w:type="dxa"/>
            <w:gridSpan w:val="2"/>
            <w:vMerge/>
            <w:shd w:val="clear" w:color="auto" w:fill="BFBFBF" w:themeFill="background1" w:themeFillShade="BF"/>
          </w:tcPr>
          <w:p w14:paraId="1CE95E49" w14:textId="77777777" w:rsidR="001C08A5" w:rsidRDefault="001C08A5">
            <w:pPr>
              <w:rPr>
                <w:b/>
                <w:iCs/>
                <w:sz w:val="24"/>
                <w:szCs w:val="24"/>
              </w:rPr>
            </w:pPr>
          </w:p>
        </w:tc>
        <w:tc>
          <w:tcPr>
            <w:tcW w:w="690" w:type="dxa"/>
            <w:shd w:val="clear" w:color="auto" w:fill="BFBFBF" w:themeFill="background1" w:themeFillShade="BF"/>
            <w:vAlign w:val="center"/>
          </w:tcPr>
          <w:p w14:paraId="3FD2DCD7" w14:textId="77777777" w:rsidR="001C08A5" w:rsidRDefault="001C08A5">
            <w:pPr>
              <w:jc w:val="center"/>
              <w:rPr>
                <w:b/>
                <w:sz w:val="18"/>
                <w:szCs w:val="18"/>
              </w:rPr>
            </w:pPr>
          </w:p>
          <w:p w14:paraId="176EFCC9" w14:textId="77777777" w:rsidR="001C08A5" w:rsidRDefault="00000000">
            <w:pPr>
              <w:jc w:val="center"/>
              <w:rPr>
                <w:b/>
                <w:sz w:val="18"/>
                <w:szCs w:val="18"/>
              </w:rPr>
            </w:pPr>
            <w:r>
              <w:rPr>
                <w:b/>
                <w:sz w:val="18"/>
                <w:szCs w:val="18"/>
              </w:rPr>
              <w:t>I</w:t>
            </w:r>
          </w:p>
          <w:p w14:paraId="17E4708E" w14:textId="77777777" w:rsidR="001C08A5" w:rsidRDefault="00000000">
            <w:pPr>
              <w:jc w:val="center"/>
              <w:rPr>
                <w:b/>
                <w:iCs/>
                <w:sz w:val="24"/>
                <w:szCs w:val="24"/>
              </w:rPr>
            </w:pPr>
            <w:r>
              <w:rPr>
                <w:b/>
                <w:sz w:val="18"/>
                <w:szCs w:val="18"/>
              </w:rPr>
              <w:t>h≥125m</w:t>
            </w:r>
          </w:p>
        </w:tc>
        <w:tc>
          <w:tcPr>
            <w:tcW w:w="675" w:type="dxa"/>
            <w:shd w:val="clear" w:color="auto" w:fill="BFBFBF" w:themeFill="background1" w:themeFillShade="BF"/>
            <w:vAlign w:val="center"/>
          </w:tcPr>
          <w:p w14:paraId="31BEC0A4" w14:textId="77777777" w:rsidR="001C08A5" w:rsidRDefault="00000000">
            <w:pPr>
              <w:jc w:val="center"/>
              <w:rPr>
                <w:b/>
                <w:sz w:val="18"/>
                <w:szCs w:val="18"/>
              </w:rPr>
            </w:pPr>
            <w:r>
              <w:rPr>
                <w:b/>
                <w:sz w:val="18"/>
                <w:szCs w:val="18"/>
              </w:rPr>
              <w:t>I</w:t>
            </w:r>
          </w:p>
          <w:p w14:paraId="7DF1313C" w14:textId="77777777" w:rsidR="001C08A5" w:rsidRDefault="00000000">
            <w:pPr>
              <w:jc w:val="center"/>
              <w:rPr>
                <w:b/>
                <w:sz w:val="18"/>
                <w:szCs w:val="18"/>
              </w:rPr>
            </w:pPr>
            <w:r>
              <w:rPr>
                <w:b/>
                <w:sz w:val="18"/>
                <w:szCs w:val="18"/>
              </w:rPr>
              <w:t>75m≤h</w:t>
            </w:r>
          </w:p>
          <w:p w14:paraId="28FACCF3" w14:textId="77777777" w:rsidR="001C08A5" w:rsidRDefault="00000000">
            <w:pPr>
              <w:jc w:val="center"/>
              <w:rPr>
                <w:b/>
                <w:iCs/>
                <w:sz w:val="24"/>
                <w:szCs w:val="24"/>
              </w:rPr>
            </w:pPr>
            <w:r>
              <w:rPr>
                <w:b/>
                <w:sz w:val="18"/>
                <w:szCs w:val="18"/>
              </w:rPr>
              <w:t>&lt;125m</w:t>
            </w:r>
          </w:p>
        </w:tc>
        <w:tc>
          <w:tcPr>
            <w:tcW w:w="675" w:type="dxa"/>
            <w:shd w:val="clear" w:color="auto" w:fill="BFBFBF" w:themeFill="background1" w:themeFillShade="BF"/>
            <w:vAlign w:val="center"/>
          </w:tcPr>
          <w:p w14:paraId="38954D63" w14:textId="77777777" w:rsidR="001C08A5" w:rsidRDefault="00000000">
            <w:pPr>
              <w:jc w:val="center"/>
              <w:rPr>
                <w:b/>
                <w:sz w:val="18"/>
                <w:szCs w:val="18"/>
              </w:rPr>
            </w:pPr>
            <w:r>
              <w:rPr>
                <w:b/>
                <w:sz w:val="18"/>
                <w:szCs w:val="18"/>
              </w:rPr>
              <w:t>I</w:t>
            </w:r>
          </w:p>
          <w:p w14:paraId="52C690E7" w14:textId="77777777" w:rsidR="001C08A5" w:rsidRDefault="00000000">
            <w:pPr>
              <w:jc w:val="center"/>
              <w:rPr>
                <w:b/>
                <w:iCs/>
                <w:sz w:val="24"/>
                <w:szCs w:val="24"/>
              </w:rPr>
            </w:pPr>
            <w:r>
              <w:rPr>
                <w:b/>
                <w:sz w:val="18"/>
                <w:szCs w:val="18"/>
              </w:rPr>
              <w:t>45m≤ h&lt;75m</w:t>
            </w:r>
          </w:p>
        </w:tc>
        <w:tc>
          <w:tcPr>
            <w:tcW w:w="690" w:type="dxa"/>
            <w:shd w:val="clear" w:color="auto" w:fill="BFBFBF" w:themeFill="background1" w:themeFillShade="BF"/>
            <w:vAlign w:val="center"/>
          </w:tcPr>
          <w:p w14:paraId="26B1C1C4" w14:textId="77777777" w:rsidR="001C08A5" w:rsidRDefault="00000000">
            <w:pPr>
              <w:jc w:val="center"/>
              <w:rPr>
                <w:b/>
                <w:sz w:val="18"/>
                <w:szCs w:val="18"/>
              </w:rPr>
            </w:pPr>
            <w:r>
              <w:rPr>
                <w:b/>
                <w:sz w:val="18"/>
                <w:szCs w:val="18"/>
              </w:rPr>
              <w:t>I</w:t>
            </w:r>
          </w:p>
          <w:p w14:paraId="0C63397F" w14:textId="77777777" w:rsidR="001C08A5" w:rsidRDefault="00000000">
            <w:pPr>
              <w:jc w:val="center"/>
              <w:rPr>
                <w:b/>
                <w:iCs/>
                <w:sz w:val="24"/>
                <w:szCs w:val="24"/>
              </w:rPr>
            </w:pPr>
            <w:r>
              <w:rPr>
                <w:b/>
                <w:sz w:val="18"/>
                <w:szCs w:val="18"/>
              </w:rPr>
              <w:t>28m&lt;h&lt;45m</w:t>
            </w:r>
          </w:p>
        </w:tc>
        <w:tc>
          <w:tcPr>
            <w:tcW w:w="675" w:type="dxa"/>
            <w:shd w:val="clear" w:color="auto" w:fill="BFBFBF" w:themeFill="background1" w:themeFillShade="BF"/>
            <w:vAlign w:val="center"/>
          </w:tcPr>
          <w:p w14:paraId="55A186F1" w14:textId="77777777" w:rsidR="001C08A5" w:rsidRDefault="00000000">
            <w:pPr>
              <w:jc w:val="center"/>
              <w:rPr>
                <w:b/>
                <w:sz w:val="18"/>
                <w:szCs w:val="18"/>
              </w:rPr>
            </w:pPr>
            <w:r>
              <w:rPr>
                <w:b/>
                <w:sz w:val="18"/>
                <w:szCs w:val="18"/>
              </w:rPr>
              <w:t>I</w:t>
            </w:r>
          </w:p>
          <w:p w14:paraId="30C2A22B" w14:textId="77777777" w:rsidR="001C08A5" w:rsidRDefault="00000000">
            <w:pPr>
              <w:jc w:val="center"/>
              <w:rPr>
                <w:b/>
                <w:sz w:val="18"/>
                <w:szCs w:val="18"/>
              </w:rPr>
            </w:pPr>
            <w:r>
              <w:rPr>
                <w:b/>
                <w:sz w:val="18"/>
                <w:szCs w:val="18"/>
              </w:rPr>
              <w:t>h≤28m</w:t>
            </w:r>
          </w:p>
          <w:p w14:paraId="35D42490" w14:textId="77777777" w:rsidR="001C08A5" w:rsidRDefault="001C08A5">
            <w:pPr>
              <w:jc w:val="center"/>
              <w:rPr>
                <w:b/>
                <w:iCs/>
                <w:sz w:val="24"/>
                <w:szCs w:val="24"/>
              </w:rPr>
            </w:pPr>
          </w:p>
        </w:tc>
        <w:tc>
          <w:tcPr>
            <w:tcW w:w="675" w:type="dxa"/>
            <w:shd w:val="clear" w:color="auto" w:fill="BFBFBF" w:themeFill="background1" w:themeFillShade="BF"/>
            <w:vAlign w:val="center"/>
          </w:tcPr>
          <w:p w14:paraId="268B7318" w14:textId="77777777" w:rsidR="001C08A5" w:rsidRDefault="001C08A5">
            <w:pPr>
              <w:jc w:val="center"/>
              <w:rPr>
                <w:b/>
                <w:sz w:val="18"/>
                <w:szCs w:val="18"/>
              </w:rPr>
            </w:pPr>
          </w:p>
          <w:p w14:paraId="4ECB1DD5" w14:textId="77777777" w:rsidR="001C08A5" w:rsidRDefault="00000000">
            <w:pPr>
              <w:jc w:val="center"/>
              <w:rPr>
                <w:b/>
                <w:sz w:val="18"/>
                <w:szCs w:val="18"/>
              </w:rPr>
            </w:pPr>
            <w:r>
              <w:rPr>
                <w:b/>
                <w:sz w:val="18"/>
                <w:szCs w:val="18"/>
              </w:rPr>
              <w:t>II</w:t>
            </w:r>
          </w:p>
          <w:p w14:paraId="61446478" w14:textId="77777777" w:rsidR="001C08A5" w:rsidRDefault="001C08A5">
            <w:pPr>
              <w:jc w:val="center"/>
              <w:rPr>
                <w:b/>
                <w:iCs/>
                <w:sz w:val="24"/>
                <w:szCs w:val="24"/>
              </w:rPr>
            </w:pPr>
          </w:p>
        </w:tc>
        <w:tc>
          <w:tcPr>
            <w:tcW w:w="690" w:type="dxa"/>
            <w:shd w:val="clear" w:color="auto" w:fill="BFBFBF" w:themeFill="background1" w:themeFillShade="BF"/>
            <w:vAlign w:val="center"/>
          </w:tcPr>
          <w:p w14:paraId="17CF459C" w14:textId="77777777" w:rsidR="001C08A5" w:rsidRDefault="00000000">
            <w:pPr>
              <w:jc w:val="center"/>
              <w:rPr>
                <w:b/>
                <w:iCs/>
                <w:sz w:val="24"/>
                <w:szCs w:val="24"/>
              </w:rPr>
            </w:pPr>
            <w:r>
              <w:rPr>
                <w:b/>
                <w:sz w:val="18"/>
                <w:szCs w:val="18"/>
              </w:rPr>
              <w:t xml:space="preserve">II </w:t>
            </w:r>
            <w:r>
              <w:rPr>
                <w:rFonts w:eastAsia="Times New Roman"/>
                <w:b/>
                <w:sz w:val="18"/>
                <w:szCs w:val="18"/>
              </w:rPr>
              <w:t>(+)</w:t>
            </w:r>
          </w:p>
        </w:tc>
        <w:tc>
          <w:tcPr>
            <w:tcW w:w="675" w:type="dxa"/>
            <w:shd w:val="clear" w:color="auto" w:fill="BFBFBF" w:themeFill="background1" w:themeFillShade="BF"/>
            <w:vAlign w:val="center"/>
          </w:tcPr>
          <w:p w14:paraId="05AE2860" w14:textId="77777777" w:rsidR="001C08A5" w:rsidRDefault="00000000">
            <w:pPr>
              <w:jc w:val="center"/>
              <w:rPr>
                <w:b/>
                <w:iCs/>
                <w:sz w:val="24"/>
                <w:szCs w:val="24"/>
              </w:rPr>
            </w:pPr>
            <w:r>
              <w:rPr>
                <w:b/>
                <w:sz w:val="18"/>
                <w:szCs w:val="18"/>
              </w:rPr>
              <w:t>III</w:t>
            </w:r>
          </w:p>
        </w:tc>
        <w:tc>
          <w:tcPr>
            <w:tcW w:w="675" w:type="dxa"/>
            <w:shd w:val="clear" w:color="auto" w:fill="BFBFBF" w:themeFill="background1" w:themeFillShade="BF"/>
            <w:vAlign w:val="center"/>
          </w:tcPr>
          <w:p w14:paraId="054F8EEB" w14:textId="77777777" w:rsidR="001C08A5" w:rsidRDefault="00000000">
            <w:pPr>
              <w:jc w:val="center"/>
              <w:rPr>
                <w:b/>
                <w:iCs/>
                <w:sz w:val="24"/>
                <w:szCs w:val="24"/>
              </w:rPr>
            </w:pPr>
            <w:r>
              <w:rPr>
                <w:b/>
                <w:sz w:val="18"/>
                <w:szCs w:val="18"/>
              </w:rPr>
              <w:t xml:space="preserve">III </w:t>
            </w:r>
            <w:r>
              <w:rPr>
                <w:rFonts w:eastAsia="Times New Roman"/>
                <w:b/>
                <w:sz w:val="18"/>
                <w:szCs w:val="18"/>
              </w:rPr>
              <w:t>(+)</w:t>
            </w:r>
          </w:p>
        </w:tc>
        <w:tc>
          <w:tcPr>
            <w:tcW w:w="690" w:type="dxa"/>
            <w:shd w:val="clear" w:color="auto" w:fill="BFBFBF" w:themeFill="background1" w:themeFillShade="BF"/>
            <w:vAlign w:val="center"/>
          </w:tcPr>
          <w:p w14:paraId="582A8F02" w14:textId="77777777" w:rsidR="001C08A5" w:rsidRDefault="00000000">
            <w:pPr>
              <w:jc w:val="center"/>
              <w:rPr>
                <w:b/>
                <w:iCs/>
                <w:sz w:val="24"/>
                <w:szCs w:val="24"/>
              </w:rPr>
            </w:pPr>
            <w:r>
              <w:rPr>
                <w:b/>
                <w:sz w:val="18"/>
                <w:szCs w:val="18"/>
              </w:rPr>
              <w:t>IV</w:t>
            </w:r>
          </w:p>
        </w:tc>
        <w:tc>
          <w:tcPr>
            <w:tcW w:w="673" w:type="dxa"/>
            <w:shd w:val="clear" w:color="auto" w:fill="BFBFBF" w:themeFill="background1" w:themeFillShade="BF"/>
            <w:vAlign w:val="center"/>
          </w:tcPr>
          <w:p w14:paraId="73BD1E0F" w14:textId="77777777" w:rsidR="001C08A5" w:rsidRDefault="00000000">
            <w:pPr>
              <w:jc w:val="center"/>
              <w:rPr>
                <w:b/>
                <w:iCs/>
                <w:sz w:val="24"/>
                <w:szCs w:val="24"/>
              </w:rPr>
            </w:pPr>
            <w:r>
              <w:rPr>
                <w:b/>
                <w:sz w:val="18"/>
                <w:szCs w:val="18"/>
              </w:rPr>
              <w:t>V</w:t>
            </w:r>
          </w:p>
        </w:tc>
      </w:tr>
      <w:tr w:rsidR="001C08A5" w14:paraId="2644597E" w14:textId="77777777">
        <w:trPr>
          <w:jc w:val="right"/>
        </w:trPr>
        <w:tc>
          <w:tcPr>
            <w:tcW w:w="305" w:type="dxa"/>
            <w:shd w:val="clear" w:color="auto" w:fill="auto"/>
            <w:vAlign w:val="center"/>
          </w:tcPr>
          <w:p w14:paraId="11DD7E50" w14:textId="77777777" w:rsidR="001C08A5" w:rsidRDefault="00000000">
            <w:pPr>
              <w:jc w:val="center"/>
              <w:rPr>
                <w:b/>
                <w:iCs/>
                <w:sz w:val="24"/>
                <w:szCs w:val="24"/>
              </w:rPr>
            </w:pPr>
            <w:r>
              <w:rPr>
                <w:b/>
                <w:sz w:val="18"/>
                <w:szCs w:val="18"/>
              </w:rPr>
              <w:t>1</w:t>
            </w:r>
          </w:p>
        </w:tc>
        <w:tc>
          <w:tcPr>
            <w:tcW w:w="2067" w:type="dxa"/>
            <w:gridSpan w:val="2"/>
            <w:shd w:val="clear" w:color="auto" w:fill="auto"/>
            <w:vAlign w:val="center"/>
          </w:tcPr>
          <w:p w14:paraId="79438F56" w14:textId="77777777" w:rsidR="001C08A5" w:rsidRDefault="00000000">
            <w:pPr>
              <w:rPr>
                <w:b/>
                <w:iCs/>
                <w:sz w:val="24"/>
                <w:szCs w:val="24"/>
              </w:rPr>
            </w:pPr>
            <w:r>
              <w:rPr>
                <w:b/>
                <w:sz w:val="18"/>
                <w:szCs w:val="18"/>
              </w:rPr>
              <w:t>STALPI (R)</w:t>
            </w:r>
          </w:p>
        </w:tc>
        <w:tc>
          <w:tcPr>
            <w:tcW w:w="690" w:type="dxa"/>
            <w:shd w:val="clear" w:color="auto" w:fill="auto"/>
            <w:vAlign w:val="center"/>
          </w:tcPr>
          <w:p w14:paraId="2FDED300" w14:textId="77777777" w:rsidR="001C08A5" w:rsidRDefault="00000000">
            <w:pPr>
              <w:jc w:val="center"/>
              <w:rPr>
                <w:b/>
                <w:iCs/>
                <w:sz w:val="24"/>
                <w:szCs w:val="24"/>
              </w:rPr>
            </w:pPr>
            <w:r>
              <w:rPr>
                <w:b/>
              </w:rPr>
              <w:t>240 (</w:t>
            </w:r>
            <w:r>
              <w:rPr>
                <w:rFonts w:eastAsia="Times New Roman"/>
                <w:b/>
              </w:rPr>
              <w:t>A1</w:t>
            </w:r>
            <w:r>
              <w:rPr>
                <w:b/>
              </w:rPr>
              <w:t>)</w:t>
            </w:r>
          </w:p>
        </w:tc>
        <w:tc>
          <w:tcPr>
            <w:tcW w:w="675" w:type="dxa"/>
            <w:shd w:val="clear" w:color="auto" w:fill="auto"/>
            <w:vAlign w:val="center"/>
          </w:tcPr>
          <w:p w14:paraId="12516B1D" w14:textId="77777777" w:rsidR="001C08A5" w:rsidRDefault="00000000">
            <w:pPr>
              <w:jc w:val="center"/>
              <w:rPr>
                <w:b/>
                <w:iCs/>
                <w:sz w:val="24"/>
                <w:szCs w:val="24"/>
              </w:rPr>
            </w:pPr>
            <w:r>
              <w:rPr>
                <w:b/>
              </w:rPr>
              <w:t>180 (</w:t>
            </w:r>
            <w:r>
              <w:rPr>
                <w:rFonts w:eastAsia="Times New Roman"/>
                <w:b/>
              </w:rPr>
              <w:t>A1</w:t>
            </w:r>
            <w:r>
              <w:rPr>
                <w:b/>
              </w:rPr>
              <w:t>)</w:t>
            </w:r>
          </w:p>
        </w:tc>
        <w:tc>
          <w:tcPr>
            <w:tcW w:w="675" w:type="dxa"/>
            <w:shd w:val="clear" w:color="auto" w:fill="auto"/>
            <w:vAlign w:val="center"/>
          </w:tcPr>
          <w:p w14:paraId="5886EF48" w14:textId="77777777" w:rsidR="001C08A5" w:rsidRDefault="00000000">
            <w:pPr>
              <w:jc w:val="center"/>
              <w:rPr>
                <w:b/>
                <w:iCs/>
                <w:sz w:val="24"/>
                <w:szCs w:val="24"/>
              </w:rPr>
            </w:pPr>
            <w:r>
              <w:rPr>
                <w:b/>
              </w:rPr>
              <w:t>180 (</w:t>
            </w:r>
            <w:r>
              <w:rPr>
                <w:rFonts w:eastAsia="Times New Roman"/>
                <w:b/>
              </w:rPr>
              <w:t>A1</w:t>
            </w:r>
            <w:r>
              <w:rPr>
                <w:b/>
              </w:rPr>
              <w:t>)</w:t>
            </w:r>
          </w:p>
        </w:tc>
        <w:tc>
          <w:tcPr>
            <w:tcW w:w="690" w:type="dxa"/>
            <w:shd w:val="clear" w:color="auto" w:fill="auto"/>
            <w:vAlign w:val="center"/>
          </w:tcPr>
          <w:p w14:paraId="4B967C64" w14:textId="77777777" w:rsidR="001C08A5" w:rsidRDefault="00000000">
            <w:pPr>
              <w:jc w:val="center"/>
              <w:rPr>
                <w:b/>
                <w:iCs/>
                <w:sz w:val="24"/>
                <w:szCs w:val="24"/>
              </w:rPr>
            </w:pPr>
            <w:r>
              <w:rPr>
                <w:b/>
              </w:rPr>
              <w:t>120 (</w:t>
            </w:r>
            <w:r>
              <w:rPr>
                <w:rFonts w:eastAsia="Times New Roman"/>
                <w:b/>
              </w:rPr>
              <w:t>A1</w:t>
            </w:r>
            <w:r>
              <w:rPr>
                <w:b/>
              </w:rPr>
              <w:t>)</w:t>
            </w:r>
          </w:p>
        </w:tc>
        <w:tc>
          <w:tcPr>
            <w:tcW w:w="675" w:type="dxa"/>
            <w:shd w:val="clear" w:color="auto" w:fill="auto"/>
            <w:vAlign w:val="center"/>
          </w:tcPr>
          <w:p w14:paraId="672EDCFF" w14:textId="77777777" w:rsidR="001C08A5" w:rsidRDefault="00000000">
            <w:pPr>
              <w:jc w:val="center"/>
              <w:rPr>
                <w:b/>
                <w:iCs/>
                <w:sz w:val="24"/>
                <w:szCs w:val="24"/>
              </w:rPr>
            </w:pPr>
            <w:r>
              <w:rPr>
                <w:b/>
              </w:rPr>
              <w:t>120 (</w:t>
            </w:r>
            <w:r>
              <w:rPr>
                <w:rFonts w:eastAsia="Times New Roman"/>
                <w:b/>
              </w:rPr>
              <w:t>A1</w:t>
            </w:r>
            <w:r>
              <w:rPr>
                <w:b/>
              </w:rPr>
              <w:t>)</w:t>
            </w:r>
          </w:p>
        </w:tc>
        <w:tc>
          <w:tcPr>
            <w:tcW w:w="675" w:type="dxa"/>
            <w:shd w:val="clear" w:color="auto" w:fill="auto"/>
            <w:vAlign w:val="center"/>
          </w:tcPr>
          <w:p w14:paraId="0BE10638" w14:textId="77777777" w:rsidR="001C08A5" w:rsidRDefault="00000000">
            <w:pPr>
              <w:jc w:val="center"/>
              <w:rPr>
                <w:b/>
                <w:iCs/>
                <w:sz w:val="24"/>
                <w:szCs w:val="24"/>
              </w:rPr>
            </w:pPr>
            <w:r>
              <w:rPr>
                <w:b/>
              </w:rPr>
              <w:t>120 (</w:t>
            </w:r>
            <w:r>
              <w:rPr>
                <w:rFonts w:eastAsia="Times New Roman"/>
                <w:b/>
              </w:rPr>
              <w:t>A1</w:t>
            </w:r>
            <w:r>
              <w:rPr>
                <w:b/>
              </w:rPr>
              <w:t>)</w:t>
            </w:r>
          </w:p>
        </w:tc>
        <w:tc>
          <w:tcPr>
            <w:tcW w:w="690" w:type="dxa"/>
            <w:shd w:val="clear" w:color="auto" w:fill="auto"/>
            <w:vAlign w:val="center"/>
          </w:tcPr>
          <w:p w14:paraId="52B8552E" w14:textId="77777777" w:rsidR="001C08A5" w:rsidRDefault="00000000">
            <w:pPr>
              <w:jc w:val="center"/>
              <w:rPr>
                <w:b/>
                <w:iCs/>
                <w:sz w:val="24"/>
                <w:szCs w:val="24"/>
              </w:rPr>
            </w:pPr>
            <w:r>
              <w:rPr>
                <w:b/>
              </w:rPr>
              <w:t>90</w:t>
            </w:r>
          </w:p>
        </w:tc>
        <w:tc>
          <w:tcPr>
            <w:tcW w:w="675" w:type="dxa"/>
            <w:shd w:val="clear" w:color="auto" w:fill="auto"/>
            <w:vAlign w:val="center"/>
          </w:tcPr>
          <w:p w14:paraId="04A8A074" w14:textId="77777777" w:rsidR="001C08A5" w:rsidRDefault="00000000">
            <w:pPr>
              <w:jc w:val="center"/>
              <w:rPr>
                <w:b/>
                <w:iCs/>
                <w:sz w:val="24"/>
                <w:szCs w:val="24"/>
              </w:rPr>
            </w:pPr>
            <w:r>
              <w:rPr>
                <w:b/>
              </w:rPr>
              <w:t>60</w:t>
            </w:r>
          </w:p>
        </w:tc>
        <w:tc>
          <w:tcPr>
            <w:tcW w:w="675" w:type="dxa"/>
            <w:shd w:val="clear" w:color="auto" w:fill="auto"/>
            <w:vAlign w:val="center"/>
          </w:tcPr>
          <w:p w14:paraId="54203457" w14:textId="77777777" w:rsidR="001C08A5" w:rsidRDefault="00000000">
            <w:pPr>
              <w:jc w:val="center"/>
              <w:rPr>
                <w:b/>
                <w:iCs/>
                <w:sz w:val="24"/>
                <w:szCs w:val="24"/>
              </w:rPr>
            </w:pPr>
            <w:r>
              <w:rPr>
                <w:b/>
              </w:rPr>
              <w:t>45</w:t>
            </w:r>
          </w:p>
        </w:tc>
        <w:tc>
          <w:tcPr>
            <w:tcW w:w="690" w:type="dxa"/>
            <w:shd w:val="clear" w:color="auto" w:fill="auto"/>
            <w:vAlign w:val="center"/>
          </w:tcPr>
          <w:p w14:paraId="7284E244" w14:textId="77777777" w:rsidR="001C08A5" w:rsidRDefault="00000000">
            <w:pPr>
              <w:jc w:val="center"/>
              <w:rPr>
                <w:b/>
                <w:iCs/>
                <w:sz w:val="24"/>
                <w:szCs w:val="24"/>
              </w:rPr>
            </w:pPr>
            <w:r>
              <w:rPr>
                <w:b/>
              </w:rPr>
              <w:t>30</w:t>
            </w:r>
          </w:p>
        </w:tc>
        <w:tc>
          <w:tcPr>
            <w:tcW w:w="673" w:type="dxa"/>
            <w:shd w:val="clear" w:color="auto" w:fill="auto"/>
            <w:vAlign w:val="center"/>
          </w:tcPr>
          <w:p w14:paraId="6EE943C9" w14:textId="77777777" w:rsidR="001C08A5" w:rsidRDefault="00000000">
            <w:pPr>
              <w:jc w:val="center"/>
              <w:rPr>
                <w:b/>
              </w:rPr>
            </w:pPr>
            <w:r>
              <w:rPr>
                <w:b/>
              </w:rPr>
              <w:t>-</w:t>
            </w:r>
          </w:p>
          <w:p w14:paraId="05DA643E" w14:textId="77777777" w:rsidR="001C08A5" w:rsidRDefault="00000000">
            <w:pPr>
              <w:jc w:val="center"/>
              <w:rPr>
                <w:b/>
                <w:iCs/>
                <w:sz w:val="24"/>
                <w:szCs w:val="24"/>
              </w:rPr>
            </w:pPr>
            <w:r>
              <w:rPr>
                <w:b/>
              </w:rPr>
              <w:t>(15 **)</w:t>
            </w:r>
          </w:p>
        </w:tc>
      </w:tr>
      <w:tr w:rsidR="001C08A5" w14:paraId="44D8487B" w14:textId="77777777">
        <w:trPr>
          <w:jc w:val="right"/>
        </w:trPr>
        <w:tc>
          <w:tcPr>
            <w:tcW w:w="305" w:type="dxa"/>
            <w:shd w:val="clear" w:color="auto" w:fill="auto"/>
            <w:vAlign w:val="center"/>
          </w:tcPr>
          <w:p w14:paraId="272A0EBE" w14:textId="77777777" w:rsidR="001C08A5" w:rsidRDefault="00000000">
            <w:pPr>
              <w:rPr>
                <w:b/>
                <w:iCs/>
                <w:sz w:val="24"/>
                <w:szCs w:val="24"/>
              </w:rPr>
            </w:pPr>
            <w:r>
              <w:rPr>
                <w:b/>
                <w:sz w:val="18"/>
                <w:szCs w:val="18"/>
              </w:rPr>
              <w:t>2</w:t>
            </w:r>
          </w:p>
        </w:tc>
        <w:tc>
          <w:tcPr>
            <w:tcW w:w="2067" w:type="dxa"/>
            <w:gridSpan w:val="2"/>
            <w:shd w:val="clear" w:color="auto" w:fill="auto"/>
            <w:vAlign w:val="center"/>
          </w:tcPr>
          <w:p w14:paraId="13844BF1" w14:textId="77777777" w:rsidR="001C08A5" w:rsidRDefault="00000000">
            <w:pPr>
              <w:rPr>
                <w:b/>
                <w:iCs/>
                <w:sz w:val="24"/>
                <w:szCs w:val="24"/>
              </w:rPr>
            </w:pPr>
            <w:r>
              <w:rPr>
                <w:b/>
                <w:sz w:val="18"/>
                <w:szCs w:val="18"/>
              </w:rPr>
              <w:t>GRINZI (R)</w:t>
            </w:r>
          </w:p>
        </w:tc>
        <w:tc>
          <w:tcPr>
            <w:tcW w:w="690" w:type="dxa"/>
            <w:shd w:val="clear" w:color="auto" w:fill="auto"/>
            <w:vAlign w:val="center"/>
          </w:tcPr>
          <w:p w14:paraId="556229E0" w14:textId="77777777" w:rsidR="001C08A5" w:rsidRDefault="00000000">
            <w:pPr>
              <w:jc w:val="center"/>
              <w:rPr>
                <w:b/>
              </w:rPr>
            </w:pPr>
            <w:r>
              <w:rPr>
                <w:b/>
              </w:rPr>
              <w:t xml:space="preserve"> 180</w:t>
            </w:r>
          </w:p>
          <w:p w14:paraId="31ED6199" w14:textId="77777777" w:rsidR="001C08A5" w:rsidRDefault="00000000">
            <w:pPr>
              <w:jc w:val="center"/>
              <w:rPr>
                <w:b/>
                <w:iCs/>
                <w:sz w:val="24"/>
                <w:szCs w:val="24"/>
              </w:rPr>
            </w:pPr>
            <w:r>
              <w:rPr>
                <w:b/>
              </w:rPr>
              <w:t>(</w:t>
            </w:r>
            <w:r>
              <w:rPr>
                <w:rFonts w:eastAsia="Times New Roman"/>
                <w:b/>
              </w:rPr>
              <w:t>A1</w:t>
            </w:r>
            <w:r>
              <w:rPr>
                <w:b/>
              </w:rPr>
              <w:t>)</w:t>
            </w:r>
          </w:p>
        </w:tc>
        <w:tc>
          <w:tcPr>
            <w:tcW w:w="675" w:type="dxa"/>
            <w:shd w:val="clear" w:color="auto" w:fill="auto"/>
            <w:vAlign w:val="center"/>
          </w:tcPr>
          <w:p w14:paraId="7AC601A5" w14:textId="77777777" w:rsidR="001C08A5" w:rsidRDefault="00000000">
            <w:pPr>
              <w:jc w:val="center"/>
              <w:rPr>
                <w:b/>
              </w:rPr>
            </w:pPr>
            <w:r>
              <w:rPr>
                <w:b/>
              </w:rPr>
              <w:t>120</w:t>
            </w:r>
          </w:p>
          <w:p w14:paraId="193A19B2" w14:textId="77777777" w:rsidR="001C08A5" w:rsidRDefault="00000000">
            <w:pPr>
              <w:jc w:val="center"/>
              <w:rPr>
                <w:b/>
                <w:iCs/>
                <w:sz w:val="24"/>
                <w:szCs w:val="24"/>
              </w:rPr>
            </w:pPr>
            <w:r>
              <w:rPr>
                <w:b/>
              </w:rPr>
              <w:t>(</w:t>
            </w:r>
            <w:r>
              <w:rPr>
                <w:rFonts w:eastAsia="Times New Roman"/>
                <w:b/>
              </w:rPr>
              <w:t>A1</w:t>
            </w:r>
            <w:r>
              <w:rPr>
                <w:b/>
              </w:rPr>
              <w:t>)</w:t>
            </w:r>
          </w:p>
        </w:tc>
        <w:tc>
          <w:tcPr>
            <w:tcW w:w="675" w:type="dxa"/>
            <w:shd w:val="clear" w:color="auto" w:fill="auto"/>
            <w:vAlign w:val="center"/>
          </w:tcPr>
          <w:p w14:paraId="64F873CA" w14:textId="77777777" w:rsidR="001C08A5" w:rsidRDefault="00000000">
            <w:pPr>
              <w:jc w:val="center"/>
              <w:rPr>
                <w:b/>
              </w:rPr>
            </w:pPr>
            <w:r>
              <w:rPr>
                <w:b/>
              </w:rPr>
              <w:t>120</w:t>
            </w:r>
          </w:p>
          <w:p w14:paraId="2A7EFA14" w14:textId="77777777" w:rsidR="001C08A5" w:rsidRDefault="00000000">
            <w:pPr>
              <w:jc w:val="center"/>
              <w:rPr>
                <w:b/>
                <w:iCs/>
                <w:sz w:val="24"/>
                <w:szCs w:val="24"/>
              </w:rPr>
            </w:pPr>
            <w:r>
              <w:rPr>
                <w:b/>
              </w:rPr>
              <w:t>(</w:t>
            </w:r>
            <w:r>
              <w:rPr>
                <w:rFonts w:eastAsia="Times New Roman"/>
                <w:b/>
              </w:rPr>
              <w:t>A1</w:t>
            </w:r>
            <w:r>
              <w:rPr>
                <w:b/>
              </w:rPr>
              <w:t>)</w:t>
            </w:r>
          </w:p>
        </w:tc>
        <w:tc>
          <w:tcPr>
            <w:tcW w:w="690" w:type="dxa"/>
            <w:shd w:val="clear" w:color="auto" w:fill="auto"/>
            <w:vAlign w:val="center"/>
          </w:tcPr>
          <w:p w14:paraId="644CA81B" w14:textId="77777777" w:rsidR="001C08A5" w:rsidRDefault="00000000">
            <w:pPr>
              <w:jc w:val="center"/>
              <w:rPr>
                <w:b/>
                <w:lang w:val="en-US"/>
              </w:rPr>
            </w:pPr>
            <w:r>
              <w:rPr>
                <w:b/>
                <w:lang w:val="en-US"/>
              </w:rPr>
              <w:t>90</w:t>
            </w:r>
          </w:p>
          <w:p w14:paraId="6BDA01A7" w14:textId="77777777" w:rsidR="001C08A5" w:rsidRDefault="00000000">
            <w:pPr>
              <w:jc w:val="center"/>
              <w:rPr>
                <w:b/>
              </w:rPr>
            </w:pPr>
            <w:r>
              <w:rPr>
                <w:b/>
              </w:rPr>
              <w:t>(</w:t>
            </w:r>
            <w:r>
              <w:rPr>
                <w:rFonts w:eastAsia="Times New Roman"/>
                <w:b/>
              </w:rPr>
              <w:t>A1</w:t>
            </w:r>
            <w:r>
              <w:rPr>
                <w:b/>
              </w:rPr>
              <w:t>)</w:t>
            </w:r>
          </w:p>
        </w:tc>
        <w:tc>
          <w:tcPr>
            <w:tcW w:w="675" w:type="dxa"/>
            <w:shd w:val="clear" w:color="auto" w:fill="auto"/>
            <w:vAlign w:val="center"/>
          </w:tcPr>
          <w:p w14:paraId="257E4873" w14:textId="77777777" w:rsidR="001C08A5" w:rsidRDefault="00000000">
            <w:pPr>
              <w:jc w:val="center"/>
              <w:rPr>
                <w:b/>
                <w:iCs/>
                <w:sz w:val="24"/>
                <w:szCs w:val="24"/>
              </w:rPr>
            </w:pPr>
            <w:r>
              <w:rPr>
                <w:b/>
              </w:rPr>
              <w:t>90 (</w:t>
            </w:r>
            <w:r>
              <w:rPr>
                <w:rFonts w:eastAsia="Times New Roman"/>
                <w:b/>
              </w:rPr>
              <w:t>A1</w:t>
            </w:r>
            <w:r>
              <w:rPr>
                <w:b/>
              </w:rPr>
              <w:t>)</w:t>
            </w:r>
          </w:p>
        </w:tc>
        <w:tc>
          <w:tcPr>
            <w:tcW w:w="675" w:type="dxa"/>
            <w:shd w:val="clear" w:color="auto" w:fill="auto"/>
            <w:vAlign w:val="center"/>
          </w:tcPr>
          <w:p w14:paraId="78AE2317" w14:textId="77777777" w:rsidR="001C08A5" w:rsidRDefault="00000000">
            <w:pPr>
              <w:jc w:val="center"/>
              <w:rPr>
                <w:b/>
                <w:iCs/>
                <w:sz w:val="24"/>
                <w:szCs w:val="24"/>
              </w:rPr>
            </w:pPr>
            <w:r>
              <w:rPr>
                <w:b/>
              </w:rPr>
              <w:t>90 (</w:t>
            </w:r>
            <w:r>
              <w:rPr>
                <w:rFonts w:eastAsia="Times New Roman"/>
                <w:b/>
              </w:rPr>
              <w:t>A1</w:t>
            </w:r>
            <w:r>
              <w:rPr>
                <w:b/>
              </w:rPr>
              <w:t>)</w:t>
            </w:r>
          </w:p>
        </w:tc>
        <w:tc>
          <w:tcPr>
            <w:tcW w:w="690" w:type="dxa"/>
            <w:shd w:val="clear" w:color="auto" w:fill="auto"/>
            <w:vAlign w:val="center"/>
          </w:tcPr>
          <w:p w14:paraId="4B8515DA" w14:textId="77777777" w:rsidR="001C08A5" w:rsidRDefault="00000000">
            <w:pPr>
              <w:jc w:val="center"/>
              <w:rPr>
                <w:b/>
                <w:iCs/>
                <w:sz w:val="24"/>
                <w:szCs w:val="24"/>
              </w:rPr>
            </w:pPr>
            <w:r>
              <w:rPr>
                <w:b/>
              </w:rPr>
              <w:t>90</w:t>
            </w:r>
          </w:p>
        </w:tc>
        <w:tc>
          <w:tcPr>
            <w:tcW w:w="675" w:type="dxa"/>
            <w:shd w:val="clear" w:color="auto" w:fill="auto"/>
            <w:vAlign w:val="center"/>
          </w:tcPr>
          <w:p w14:paraId="4BA426A2" w14:textId="77777777" w:rsidR="001C08A5" w:rsidRDefault="00000000">
            <w:pPr>
              <w:jc w:val="center"/>
              <w:rPr>
                <w:b/>
                <w:iCs/>
                <w:sz w:val="24"/>
                <w:szCs w:val="24"/>
              </w:rPr>
            </w:pPr>
            <w:r>
              <w:rPr>
                <w:b/>
              </w:rPr>
              <w:t>60</w:t>
            </w:r>
          </w:p>
        </w:tc>
        <w:tc>
          <w:tcPr>
            <w:tcW w:w="675" w:type="dxa"/>
            <w:shd w:val="clear" w:color="auto" w:fill="auto"/>
            <w:vAlign w:val="center"/>
          </w:tcPr>
          <w:p w14:paraId="736AF7E7" w14:textId="77777777" w:rsidR="001C08A5" w:rsidRDefault="00000000">
            <w:pPr>
              <w:jc w:val="center"/>
              <w:rPr>
                <w:b/>
                <w:iCs/>
                <w:sz w:val="24"/>
                <w:szCs w:val="24"/>
              </w:rPr>
            </w:pPr>
            <w:r>
              <w:rPr>
                <w:b/>
              </w:rPr>
              <w:t>45</w:t>
            </w:r>
          </w:p>
        </w:tc>
        <w:tc>
          <w:tcPr>
            <w:tcW w:w="690" w:type="dxa"/>
            <w:shd w:val="clear" w:color="auto" w:fill="auto"/>
            <w:vAlign w:val="center"/>
          </w:tcPr>
          <w:p w14:paraId="69B55E10" w14:textId="77777777" w:rsidR="001C08A5" w:rsidRDefault="00000000">
            <w:pPr>
              <w:jc w:val="center"/>
              <w:rPr>
                <w:b/>
                <w:iCs/>
                <w:sz w:val="24"/>
                <w:szCs w:val="24"/>
              </w:rPr>
            </w:pPr>
            <w:r>
              <w:rPr>
                <w:b/>
              </w:rPr>
              <w:t>30</w:t>
            </w:r>
          </w:p>
        </w:tc>
        <w:tc>
          <w:tcPr>
            <w:tcW w:w="673" w:type="dxa"/>
            <w:shd w:val="clear" w:color="auto" w:fill="auto"/>
            <w:vAlign w:val="center"/>
          </w:tcPr>
          <w:p w14:paraId="6DE68378" w14:textId="77777777" w:rsidR="001C08A5" w:rsidRDefault="00000000">
            <w:pPr>
              <w:jc w:val="center"/>
              <w:rPr>
                <w:b/>
              </w:rPr>
            </w:pPr>
            <w:r>
              <w:rPr>
                <w:b/>
              </w:rPr>
              <w:t>-</w:t>
            </w:r>
          </w:p>
          <w:p w14:paraId="3F4E95DE" w14:textId="77777777" w:rsidR="001C08A5" w:rsidRDefault="00000000">
            <w:pPr>
              <w:jc w:val="center"/>
              <w:rPr>
                <w:b/>
                <w:iCs/>
                <w:sz w:val="24"/>
                <w:szCs w:val="24"/>
              </w:rPr>
            </w:pPr>
            <w:r>
              <w:rPr>
                <w:b/>
              </w:rPr>
              <w:t>(15 **)</w:t>
            </w:r>
          </w:p>
        </w:tc>
      </w:tr>
      <w:tr w:rsidR="001C08A5" w14:paraId="0E621ADE" w14:textId="77777777">
        <w:trPr>
          <w:jc w:val="right"/>
        </w:trPr>
        <w:tc>
          <w:tcPr>
            <w:tcW w:w="305" w:type="dxa"/>
            <w:shd w:val="clear" w:color="auto" w:fill="auto"/>
            <w:vAlign w:val="center"/>
          </w:tcPr>
          <w:p w14:paraId="38616090" w14:textId="77777777" w:rsidR="001C08A5" w:rsidRDefault="00000000">
            <w:pPr>
              <w:rPr>
                <w:b/>
                <w:iCs/>
                <w:sz w:val="24"/>
                <w:szCs w:val="24"/>
              </w:rPr>
            </w:pPr>
            <w:r>
              <w:rPr>
                <w:b/>
                <w:sz w:val="18"/>
                <w:szCs w:val="18"/>
              </w:rPr>
              <w:t>3</w:t>
            </w:r>
          </w:p>
        </w:tc>
        <w:tc>
          <w:tcPr>
            <w:tcW w:w="2067" w:type="dxa"/>
            <w:gridSpan w:val="2"/>
            <w:shd w:val="clear" w:color="auto" w:fill="auto"/>
            <w:vAlign w:val="center"/>
          </w:tcPr>
          <w:p w14:paraId="0AC251E7" w14:textId="77777777" w:rsidR="001C08A5" w:rsidRDefault="00000000">
            <w:pPr>
              <w:rPr>
                <w:b/>
                <w:iCs/>
                <w:sz w:val="24"/>
                <w:szCs w:val="24"/>
              </w:rPr>
            </w:pPr>
            <w:r>
              <w:rPr>
                <w:b/>
                <w:sz w:val="18"/>
                <w:szCs w:val="18"/>
              </w:rPr>
              <w:t>planșee, inclusiv</w:t>
            </w:r>
            <w:r>
              <w:rPr>
                <w:b/>
                <w:sz w:val="18"/>
                <w:szCs w:val="18"/>
                <w:lang w:val="en-GB"/>
              </w:rPr>
              <w:t xml:space="preserve"> plan</w:t>
            </w:r>
            <w:r>
              <w:rPr>
                <w:b/>
                <w:sz w:val="18"/>
                <w:szCs w:val="18"/>
              </w:rPr>
              <w:t>ș</w:t>
            </w:r>
            <w:r>
              <w:rPr>
                <w:b/>
                <w:sz w:val="18"/>
                <w:szCs w:val="18"/>
                <w:lang w:val="en-GB"/>
              </w:rPr>
              <w:t>ee - teras</w:t>
            </w:r>
            <w:r>
              <w:rPr>
                <w:b/>
                <w:sz w:val="18"/>
                <w:szCs w:val="18"/>
              </w:rPr>
              <w:t xml:space="preserve">ă </w:t>
            </w:r>
            <w:r>
              <w:rPr>
                <w:b/>
                <w:sz w:val="18"/>
                <w:szCs w:val="18"/>
                <w:lang w:val="en-GB"/>
              </w:rPr>
              <w:t>care  constituie c</w:t>
            </w:r>
            <w:r>
              <w:rPr>
                <w:b/>
                <w:sz w:val="18"/>
                <w:szCs w:val="18"/>
              </w:rPr>
              <w:t>ă</w:t>
            </w:r>
            <w:r>
              <w:rPr>
                <w:b/>
                <w:sz w:val="18"/>
                <w:szCs w:val="18"/>
                <w:lang w:val="en-GB"/>
              </w:rPr>
              <w:t>i de evacuare</w:t>
            </w:r>
            <w:r>
              <w:rPr>
                <w:b/>
                <w:sz w:val="18"/>
                <w:szCs w:val="18"/>
              </w:rPr>
              <w:t xml:space="preserve"> sau care preiau încărcări suplimentare </w:t>
            </w:r>
            <w:r>
              <w:rPr>
                <w:b/>
                <w:sz w:val="18"/>
                <w:szCs w:val="18"/>
                <w:lang w:val="en-GB"/>
              </w:rPr>
              <w:t xml:space="preserve"> </w:t>
            </w:r>
            <w:r>
              <w:rPr>
                <w:b/>
                <w:sz w:val="18"/>
                <w:szCs w:val="18"/>
              </w:rPr>
              <w:t xml:space="preserve">altele decât cele provenite numai din zăpadă </w:t>
            </w:r>
            <w:r>
              <w:rPr>
                <w:b/>
                <w:sz w:val="18"/>
                <w:szCs w:val="18"/>
                <w:lang w:val="en-GB"/>
              </w:rPr>
              <w:t>(REI)</w:t>
            </w:r>
          </w:p>
        </w:tc>
        <w:tc>
          <w:tcPr>
            <w:tcW w:w="690" w:type="dxa"/>
            <w:shd w:val="clear" w:color="auto" w:fill="auto"/>
            <w:vAlign w:val="center"/>
          </w:tcPr>
          <w:p w14:paraId="5BCCB95F" w14:textId="77777777" w:rsidR="001C08A5" w:rsidRDefault="00000000">
            <w:pPr>
              <w:jc w:val="center"/>
              <w:rPr>
                <w:b/>
              </w:rPr>
            </w:pPr>
            <w:r>
              <w:rPr>
                <w:b/>
              </w:rPr>
              <w:t>120</w:t>
            </w:r>
          </w:p>
          <w:p w14:paraId="57F06307" w14:textId="77777777" w:rsidR="001C08A5" w:rsidRDefault="00000000">
            <w:pPr>
              <w:jc w:val="center"/>
              <w:rPr>
                <w:b/>
                <w:iCs/>
                <w:sz w:val="24"/>
                <w:szCs w:val="24"/>
              </w:rPr>
            </w:pPr>
            <w:r>
              <w:rPr>
                <w:b/>
              </w:rPr>
              <w:t>(</w:t>
            </w:r>
            <w:r>
              <w:rPr>
                <w:rFonts w:eastAsia="Times New Roman"/>
                <w:b/>
              </w:rPr>
              <w:t>A1</w:t>
            </w:r>
            <w:r>
              <w:rPr>
                <w:b/>
              </w:rPr>
              <w:t>)</w:t>
            </w:r>
          </w:p>
        </w:tc>
        <w:tc>
          <w:tcPr>
            <w:tcW w:w="675" w:type="dxa"/>
            <w:shd w:val="clear" w:color="auto" w:fill="auto"/>
            <w:vAlign w:val="center"/>
          </w:tcPr>
          <w:p w14:paraId="3C13E480" w14:textId="77777777" w:rsidR="001C08A5" w:rsidRDefault="00000000">
            <w:pPr>
              <w:jc w:val="center"/>
              <w:rPr>
                <w:b/>
              </w:rPr>
            </w:pPr>
            <w:r>
              <w:rPr>
                <w:b/>
              </w:rPr>
              <w:t>120</w:t>
            </w:r>
          </w:p>
          <w:p w14:paraId="6231DDFC" w14:textId="77777777" w:rsidR="001C08A5" w:rsidRDefault="00000000">
            <w:pPr>
              <w:jc w:val="center"/>
              <w:rPr>
                <w:b/>
                <w:iCs/>
                <w:sz w:val="24"/>
                <w:szCs w:val="24"/>
              </w:rPr>
            </w:pPr>
            <w:r>
              <w:rPr>
                <w:b/>
              </w:rPr>
              <w:t>(</w:t>
            </w:r>
            <w:r>
              <w:rPr>
                <w:rFonts w:eastAsia="Times New Roman"/>
                <w:b/>
              </w:rPr>
              <w:t>A1</w:t>
            </w:r>
            <w:r>
              <w:rPr>
                <w:b/>
              </w:rPr>
              <w:t>)</w:t>
            </w:r>
          </w:p>
        </w:tc>
        <w:tc>
          <w:tcPr>
            <w:tcW w:w="675" w:type="dxa"/>
            <w:shd w:val="clear" w:color="auto" w:fill="auto"/>
            <w:vAlign w:val="center"/>
          </w:tcPr>
          <w:p w14:paraId="2E1E046F" w14:textId="77777777" w:rsidR="001C08A5" w:rsidRDefault="00000000">
            <w:pPr>
              <w:jc w:val="center"/>
              <w:rPr>
                <w:b/>
              </w:rPr>
            </w:pPr>
            <w:r>
              <w:rPr>
                <w:b/>
              </w:rPr>
              <w:t>120</w:t>
            </w:r>
          </w:p>
          <w:p w14:paraId="509CE1C7" w14:textId="77777777" w:rsidR="001C08A5" w:rsidRDefault="00000000">
            <w:pPr>
              <w:jc w:val="center"/>
              <w:rPr>
                <w:b/>
                <w:iCs/>
                <w:sz w:val="24"/>
                <w:szCs w:val="24"/>
              </w:rPr>
            </w:pPr>
            <w:r>
              <w:rPr>
                <w:b/>
              </w:rPr>
              <w:t>(</w:t>
            </w:r>
            <w:r>
              <w:rPr>
                <w:rFonts w:eastAsia="Times New Roman"/>
                <w:b/>
              </w:rPr>
              <w:t>A1</w:t>
            </w:r>
            <w:r>
              <w:rPr>
                <w:b/>
              </w:rPr>
              <w:t>)</w:t>
            </w:r>
          </w:p>
        </w:tc>
        <w:tc>
          <w:tcPr>
            <w:tcW w:w="690" w:type="dxa"/>
            <w:shd w:val="clear" w:color="auto" w:fill="auto"/>
            <w:vAlign w:val="center"/>
          </w:tcPr>
          <w:p w14:paraId="2D8E65C3" w14:textId="77777777" w:rsidR="001C08A5" w:rsidRDefault="00000000">
            <w:pPr>
              <w:jc w:val="center"/>
              <w:rPr>
                <w:b/>
              </w:rPr>
            </w:pPr>
            <w:r>
              <w:rPr>
                <w:b/>
              </w:rPr>
              <w:t>90</w:t>
            </w:r>
          </w:p>
          <w:p w14:paraId="4AE2B4D8" w14:textId="77777777" w:rsidR="001C08A5" w:rsidRDefault="00000000">
            <w:pPr>
              <w:jc w:val="center"/>
              <w:rPr>
                <w:b/>
                <w:iCs/>
                <w:sz w:val="24"/>
                <w:szCs w:val="24"/>
              </w:rPr>
            </w:pPr>
            <w:r>
              <w:rPr>
                <w:b/>
              </w:rPr>
              <w:t>(</w:t>
            </w:r>
            <w:r>
              <w:rPr>
                <w:rFonts w:eastAsia="Times New Roman"/>
                <w:b/>
              </w:rPr>
              <w:t>A1</w:t>
            </w:r>
            <w:r>
              <w:rPr>
                <w:b/>
              </w:rPr>
              <w:t>)</w:t>
            </w:r>
          </w:p>
        </w:tc>
        <w:tc>
          <w:tcPr>
            <w:tcW w:w="675" w:type="dxa"/>
            <w:shd w:val="clear" w:color="auto" w:fill="auto"/>
            <w:vAlign w:val="center"/>
          </w:tcPr>
          <w:p w14:paraId="7640957C" w14:textId="77777777" w:rsidR="001C08A5" w:rsidRDefault="00000000">
            <w:pPr>
              <w:jc w:val="center"/>
              <w:rPr>
                <w:b/>
                <w:iCs/>
                <w:sz w:val="24"/>
                <w:szCs w:val="24"/>
              </w:rPr>
            </w:pPr>
            <w:r>
              <w:rPr>
                <w:b/>
              </w:rPr>
              <w:t>90 (</w:t>
            </w:r>
            <w:r>
              <w:rPr>
                <w:rFonts w:eastAsia="Times New Roman"/>
                <w:b/>
              </w:rPr>
              <w:t>A1</w:t>
            </w:r>
            <w:r>
              <w:rPr>
                <w:b/>
              </w:rPr>
              <w:t>)</w:t>
            </w:r>
          </w:p>
        </w:tc>
        <w:tc>
          <w:tcPr>
            <w:tcW w:w="675" w:type="dxa"/>
            <w:shd w:val="clear" w:color="auto" w:fill="auto"/>
            <w:vAlign w:val="center"/>
          </w:tcPr>
          <w:p w14:paraId="26B3C024" w14:textId="77777777" w:rsidR="001C08A5" w:rsidRDefault="00000000">
            <w:pPr>
              <w:jc w:val="center"/>
              <w:rPr>
                <w:b/>
                <w:iCs/>
                <w:sz w:val="24"/>
                <w:szCs w:val="24"/>
              </w:rPr>
            </w:pPr>
            <w:r>
              <w:rPr>
                <w:b/>
              </w:rPr>
              <w:t>90 (</w:t>
            </w:r>
            <w:r>
              <w:rPr>
                <w:rFonts w:eastAsia="Times New Roman"/>
                <w:b/>
              </w:rPr>
              <w:t>A1</w:t>
            </w:r>
            <w:r>
              <w:rPr>
                <w:b/>
              </w:rPr>
              <w:t>)</w:t>
            </w:r>
          </w:p>
        </w:tc>
        <w:tc>
          <w:tcPr>
            <w:tcW w:w="690" w:type="dxa"/>
            <w:shd w:val="clear" w:color="auto" w:fill="auto"/>
            <w:vAlign w:val="center"/>
          </w:tcPr>
          <w:p w14:paraId="58DEF5ED" w14:textId="77777777" w:rsidR="001C08A5" w:rsidRDefault="00000000">
            <w:pPr>
              <w:jc w:val="center"/>
              <w:rPr>
                <w:b/>
                <w:iCs/>
                <w:sz w:val="24"/>
                <w:szCs w:val="24"/>
              </w:rPr>
            </w:pPr>
            <w:r>
              <w:rPr>
                <w:b/>
              </w:rPr>
              <w:t>90</w:t>
            </w:r>
          </w:p>
        </w:tc>
        <w:tc>
          <w:tcPr>
            <w:tcW w:w="675" w:type="dxa"/>
            <w:shd w:val="clear" w:color="auto" w:fill="auto"/>
            <w:vAlign w:val="center"/>
          </w:tcPr>
          <w:p w14:paraId="7C8D5E8F" w14:textId="77777777" w:rsidR="001C08A5" w:rsidRDefault="00000000">
            <w:pPr>
              <w:jc w:val="center"/>
              <w:rPr>
                <w:b/>
                <w:iCs/>
                <w:sz w:val="24"/>
                <w:szCs w:val="24"/>
              </w:rPr>
            </w:pPr>
            <w:r>
              <w:rPr>
                <w:b/>
              </w:rPr>
              <w:t>60</w:t>
            </w:r>
          </w:p>
        </w:tc>
        <w:tc>
          <w:tcPr>
            <w:tcW w:w="675" w:type="dxa"/>
            <w:shd w:val="clear" w:color="auto" w:fill="auto"/>
            <w:vAlign w:val="center"/>
          </w:tcPr>
          <w:p w14:paraId="56718F81" w14:textId="77777777" w:rsidR="001C08A5" w:rsidRDefault="00000000">
            <w:pPr>
              <w:jc w:val="center"/>
              <w:rPr>
                <w:b/>
                <w:iCs/>
                <w:sz w:val="24"/>
                <w:szCs w:val="24"/>
              </w:rPr>
            </w:pPr>
            <w:r>
              <w:rPr>
                <w:b/>
              </w:rPr>
              <w:t>45</w:t>
            </w:r>
          </w:p>
        </w:tc>
        <w:tc>
          <w:tcPr>
            <w:tcW w:w="690" w:type="dxa"/>
            <w:shd w:val="clear" w:color="auto" w:fill="auto"/>
            <w:vAlign w:val="center"/>
          </w:tcPr>
          <w:p w14:paraId="5D9B35EE" w14:textId="77777777" w:rsidR="001C08A5" w:rsidRDefault="00000000">
            <w:pPr>
              <w:jc w:val="center"/>
              <w:rPr>
                <w:b/>
                <w:iCs/>
                <w:sz w:val="24"/>
                <w:szCs w:val="24"/>
              </w:rPr>
            </w:pPr>
            <w:r>
              <w:rPr>
                <w:b/>
              </w:rPr>
              <w:t>30</w:t>
            </w:r>
          </w:p>
        </w:tc>
        <w:tc>
          <w:tcPr>
            <w:tcW w:w="673" w:type="dxa"/>
            <w:shd w:val="clear" w:color="auto" w:fill="auto"/>
            <w:vAlign w:val="center"/>
          </w:tcPr>
          <w:p w14:paraId="2670E525" w14:textId="77777777" w:rsidR="001C08A5" w:rsidRDefault="00000000">
            <w:pPr>
              <w:jc w:val="center"/>
              <w:rPr>
                <w:b/>
              </w:rPr>
            </w:pPr>
            <w:r>
              <w:rPr>
                <w:b/>
              </w:rPr>
              <w:t>-</w:t>
            </w:r>
          </w:p>
          <w:p w14:paraId="541395AE" w14:textId="77777777" w:rsidR="001C08A5" w:rsidRDefault="00000000">
            <w:pPr>
              <w:jc w:val="center"/>
              <w:rPr>
                <w:b/>
                <w:iCs/>
                <w:sz w:val="24"/>
                <w:szCs w:val="24"/>
              </w:rPr>
            </w:pPr>
            <w:r>
              <w:rPr>
                <w:b/>
              </w:rPr>
              <w:t>(15 **)</w:t>
            </w:r>
          </w:p>
        </w:tc>
      </w:tr>
      <w:tr w:rsidR="001C08A5" w14:paraId="1833A6FF" w14:textId="77777777">
        <w:trPr>
          <w:jc w:val="right"/>
        </w:trPr>
        <w:tc>
          <w:tcPr>
            <w:tcW w:w="305" w:type="dxa"/>
            <w:shd w:val="clear" w:color="auto" w:fill="auto"/>
            <w:vAlign w:val="center"/>
          </w:tcPr>
          <w:p w14:paraId="64AD6447" w14:textId="77777777" w:rsidR="001C08A5" w:rsidRDefault="00000000">
            <w:pPr>
              <w:rPr>
                <w:b/>
                <w:sz w:val="18"/>
                <w:szCs w:val="18"/>
              </w:rPr>
            </w:pPr>
            <w:r>
              <w:rPr>
                <w:b/>
                <w:sz w:val="18"/>
                <w:szCs w:val="18"/>
              </w:rPr>
              <w:t>4</w:t>
            </w:r>
          </w:p>
        </w:tc>
        <w:tc>
          <w:tcPr>
            <w:tcW w:w="2067" w:type="dxa"/>
            <w:gridSpan w:val="2"/>
            <w:shd w:val="clear" w:color="auto" w:fill="auto"/>
            <w:vAlign w:val="center"/>
          </w:tcPr>
          <w:p w14:paraId="6AECE962" w14:textId="77777777" w:rsidR="001C08A5" w:rsidRDefault="00000000">
            <w:pPr>
              <w:rPr>
                <w:b/>
                <w:sz w:val="18"/>
                <w:szCs w:val="18"/>
                <w:shd w:val="clear" w:color="auto" w:fill="FABF8F" w:themeFill="accent6" w:themeFillTint="99"/>
                <w:lang w:val="en-GB"/>
              </w:rPr>
            </w:pPr>
            <w:r>
              <w:rPr>
                <w:b/>
                <w:sz w:val="18"/>
                <w:szCs w:val="18"/>
              </w:rPr>
              <w:t xml:space="preserve">planșee </w:t>
            </w:r>
            <w:r>
              <w:rPr>
                <w:b/>
                <w:sz w:val="18"/>
                <w:szCs w:val="18"/>
                <w:lang w:val="en-GB"/>
              </w:rPr>
              <w:t>teras</w:t>
            </w:r>
            <w:r>
              <w:rPr>
                <w:b/>
                <w:sz w:val="18"/>
                <w:szCs w:val="18"/>
              </w:rPr>
              <w:t>ă</w:t>
            </w:r>
            <w:r>
              <w:rPr>
                <w:b/>
                <w:sz w:val="18"/>
                <w:szCs w:val="18"/>
                <w:lang w:val="en-GB"/>
              </w:rPr>
              <w:t xml:space="preserve"> care nu constituie</w:t>
            </w:r>
            <w:r>
              <w:rPr>
                <w:b/>
                <w:sz w:val="18"/>
                <w:szCs w:val="18"/>
              </w:rPr>
              <w:t xml:space="preserve"> </w:t>
            </w:r>
            <w:r>
              <w:rPr>
                <w:b/>
                <w:sz w:val="18"/>
                <w:szCs w:val="18"/>
                <w:lang w:val="en-GB"/>
              </w:rPr>
              <w:t>c</w:t>
            </w:r>
            <w:r>
              <w:rPr>
                <w:b/>
                <w:sz w:val="18"/>
                <w:szCs w:val="18"/>
              </w:rPr>
              <w:t>ă</w:t>
            </w:r>
            <w:r>
              <w:rPr>
                <w:b/>
                <w:sz w:val="18"/>
                <w:szCs w:val="18"/>
                <w:lang w:val="en-GB"/>
              </w:rPr>
              <w:t>i de evacuare</w:t>
            </w:r>
            <w:r>
              <w:rPr>
                <w:b/>
                <w:sz w:val="18"/>
                <w:szCs w:val="18"/>
              </w:rPr>
              <w:t xml:space="preserve"> sau care </w:t>
            </w:r>
            <w:r>
              <w:rPr>
                <w:b/>
                <w:sz w:val="18"/>
                <w:szCs w:val="18"/>
              </w:rPr>
              <w:lastRenderedPageBreak/>
              <w:t>preiau încărcări provenite numai din zăpadă</w:t>
            </w:r>
            <w:r>
              <w:rPr>
                <w:b/>
                <w:sz w:val="18"/>
                <w:szCs w:val="18"/>
                <w:lang w:val="en-GB"/>
              </w:rPr>
              <w:t>) (RE)</w:t>
            </w:r>
          </w:p>
        </w:tc>
        <w:tc>
          <w:tcPr>
            <w:tcW w:w="690" w:type="dxa"/>
            <w:shd w:val="clear" w:color="auto" w:fill="auto"/>
            <w:vAlign w:val="center"/>
          </w:tcPr>
          <w:p w14:paraId="1DC23C88" w14:textId="77777777" w:rsidR="001C08A5" w:rsidRDefault="00000000">
            <w:pPr>
              <w:jc w:val="center"/>
              <w:rPr>
                <w:b/>
                <w:lang w:val="en-GB"/>
              </w:rPr>
            </w:pPr>
            <w:r>
              <w:rPr>
                <w:b/>
                <w:lang w:val="en-GB"/>
              </w:rPr>
              <w:lastRenderedPageBreak/>
              <w:t>1</w:t>
            </w:r>
            <w:r>
              <w:rPr>
                <w:b/>
              </w:rPr>
              <w:t>2</w:t>
            </w:r>
            <w:r>
              <w:rPr>
                <w:b/>
                <w:lang w:val="en-GB"/>
              </w:rPr>
              <w:t>0</w:t>
            </w:r>
          </w:p>
          <w:p w14:paraId="3F98DE7C" w14:textId="77777777" w:rsidR="001C08A5" w:rsidRDefault="00000000">
            <w:pPr>
              <w:jc w:val="center"/>
              <w:rPr>
                <w:b/>
              </w:rPr>
            </w:pPr>
            <w:r>
              <w:rPr>
                <w:b/>
                <w:lang w:val="en-GB"/>
              </w:rPr>
              <w:t>(</w:t>
            </w:r>
            <w:r>
              <w:rPr>
                <w:rFonts w:eastAsia="Times New Roman"/>
                <w:b/>
              </w:rPr>
              <w:t>A1</w:t>
            </w:r>
            <w:r>
              <w:rPr>
                <w:b/>
                <w:lang w:val="en-GB"/>
              </w:rPr>
              <w:t>)</w:t>
            </w:r>
          </w:p>
        </w:tc>
        <w:tc>
          <w:tcPr>
            <w:tcW w:w="675" w:type="dxa"/>
            <w:shd w:val="clear" w:color="auto" w:fill="auto"/>
            <w:vAlign w:val="center"/>
          </w:tcPr>
          <w:p w14:paraId="669C13E9" w14:textId="77777777" w:rsidR="001C08A5" w:rsidRDefault="001C08A5"/>
          <w:p w14:paraId="0CB4BBD2" w14:textId="77777777" w:rsidR="001C08A5" w:rsidRDefault="00000000">
            <w:pPr>
              <w:jc w:val="center"/>
              <w:rPr>
                <w:b/>
              </w:rPr>
            </w:pPr>
            <w:r>
              <w:rPr>
                <w:b/>
              </w:rPr>
              <w:t>90</w:t>
            </w:r>
          </w:p>
          <w:p w14:paraId="0C962987" w14:textId="77777777" w:rsidR="001C08A5" w:rsidRDefault="00000000">
            <w:pPr>
              <w:jc w:val="center"/>
              <w:rPr>
                <w:b/>
              </w:rPr>
            </w:pPr>
            <w:r>
              <w:rPr>
                <w:b/>
                <w:lang w:val="en-GB"/>
              </w:rPr>
              <w:t>(</w:t>
            </w:r>
            <w:r>
              <w:rPr>
                <w:rFonts w:eastAsia="Times New Roman"/>
                <w:b/>
              </w:rPr>
              <w:t>A1</w:t>
            </w:r>
            <w:r>
              <w:rPr>
                <w:b/>
                <w:lang w:val="en-GB"/>
              </w:rPr>
              <w:t>)</w:t>
            </w:r>
          </w:p>
        </w:tc>
        <w:tc>
          <w:tcPr>
            <w:tcW w:w="675" w:type="dxa"/>
            <w:shd w:val="clear" w:color="auto" w:fill="auto"/>
            <w:vAlign w:val="center"/>
          </w:tcPr>
          <w:p w14:paraId="77C3E965" w14:textId="77777777" w:rsidR="001C08A5" w:rsidRDefault="001C08A5"/>
          <w:p w14:paraId="31DDC13A" w14:textId="77777777" w:rsidR="001C08A5" w:rsidRDefault="00000000">
            <w:pPr>
              <w:jc w:val="center"/>
              <w:rPr>
                <w:b/>
              </w:rPr>
            </w:pPr>
            <w:r>
              <w:rPr>
                <w:b/>
              </w:rPr>
              <w:t>90</w:t>
            </w:r>
          </w:p>
          <w:p w14:paraId="234A9986" w14:textId="77777777" w:rsidR="001C08A5" w:rsidRDefault="00000000">
            <w:pPr>
              <w:jc w:val="center"/>
              <w:rPr>
                <w:b/>
              </w:rPr>
            </w:pPr>
            <w:r>
              <w:rPr>
                <w:b/>
                <w:lang w:val="en-GB"/>
              </w:rPr>
              <w:t>(</w:t>
            </w:r>
            <w:r>
              <w:rPr>
                <w:rFonts w:eastAsia="Times New Roman"/>
                <w:b/>
              </w:rPr>
              <w:t>A1</w:t>
            </w:r>
            <w:r>
              <w:rPr>
                <w:b/>
                <w:lang w:val="en-GB"/>
              </w:rPr>
              <w:t>)</w:t>
            </w:r>
          </w:p>
        </w:tc>
        <w:tc>
          <w:tcPr>
            <w:tcW w:w="690" w:type="dxa"/>
            <w:shd w:val="clear" w:color="auto" w:fill="auto"/>
            <w:vAlign w:val="center"/>
          </w:tcPr>
          <w:p w14:paraId="7FF08025" w14:textId="77777777" w:rsidR="001C08A5" w:rsidRDefault="001C08A5"/>
          <w:p w14:paraId="4870FCCF" w14:textId="77777777" w:rsidR="001C08A5" w:rsidRDefault="00000000">
            <w:pPr>
              <w:jc w:val="center"/>
              <w:rPr>
                <w:b/>
              </w:rPr>
            </w:pPr>
            <w:r>
              <w:rPr>
                <w:b/>
              </w:rPr>
              <w:t xml:space="preserve">60 </w:t>
            </w:r>
            <w:r>
              <w:rPr>
                <w:b/>
                <w:lang w:val="en-GB"/>
              </w:rPr>
              <w:t>(</w:t>
            </w:r>
            <w:r>
              <w:rPr>
                <w:rFonts w:eastAsia="Times New Roman"/>
                <w:b/>
              </w:rPr>
              <w:t>A1</w:t>
            </w:r>
            <w:r>
              <w:rPr>
                <w:b/>
                <w:lang w:val="en-GB"/>
              </w:rPr>
              <w:t>)</w:t>
            </w:r>
          </w:p>
        </w:tc>
        <w:tc>
          <w:tcPr>
            <w:tcW w:w="675" w:type="dxa"/>
            <w:shd w:val="clear" w:color="auto" w:fill="auto"/>
            <w:vAlign w:val="center"/>
          </w:tcPr>
          <w:p w14:paraId="319F644C" w14:textId="77777777" w:rsidR="001C08A5" w:rsidRDefault="001C08A5">
            <w:pPr>
              <w:jc w:val="center"/>
              <w:rPr>
                <w:b/>
                <w:lang w:val="en-US"/>
              </w:rPr>
            </w:pPr>
          </w:p>
          <w:p w14:paraId="4AD77BF2" w14:textId="77777777" w:rsidR="001C08A5" w:rsidRDefault="00000000">
            <w:pPr>
              <w:jc w:val="center"/>
              <w:rPr>
                <w:b/>
              </w:rPr>
            </w:pPr>
            <w:r>
              <w:rPr>
                <w:b/>
              </w:rPr>
              <w:t xml:space="preserve">60 </w:t>
            </w:r>
            <w:r>
              <w:rPr>
                <w:b/>
                <w:lang w:val="en-GB"/>
              </w:rPr>
              <w:t>(</w:t>
            </w:r>
            <w:r>
              <w:rPr>
                <w:rFonts w:eastAsia="Times New Roman"/>
                <w:b/>
              </w:rPr>
              <w:t>A1</w:t>
            </w:r>
            <w:r>
              <w:rPr>
                <w:b/>
                <w:lang w:val="en-GB"/>
              </w:rPr>
              <w:t>)</w:t>
            </w:r>
          </w:p>
        </w:tc>
        <w:tc>
          <w:tcPr>
            <w:tcW w:w="675" w:type="dxa"/>
            <w:shd w:val="clear" w:color="auto" w:fill="auto"/>
            <w:vAlign w:val="center"/>
          </w:tcPr>
          <w:p w14:paraId="47BABF91" w14:textId="77777777" w:rsidR="001C08A5" w:rsidRDefault="001C08A5">
            <w:pPr>
              <w:jc w:val="center"/>
              <w:rPr>
                <w:b/>
                <w:lang w:val="en-US"/>
              </w:rPr>
            </w:pPr>
          </w:p>
          <w:p w14:paraId="6253F08B" w14:textId="77777777" w:rsidR="001C08A5" w:rsidRDefault="00000000">
            <w:pPr>
              <w:jc w:val="center"/>
              <w:rPr>
                <w:b/>
              </w:rPr>
            </w:pPr>
            <w:r>
              <w:rPr>
                <w:b/>
              </w:rPr>
              <w:t>60</w:t>
            </w:r>
            <w:r>
              <w:rPr>
                <w:b/>
                <w:lang w:val="en-GB"/>
              </w:rPr>
              <w:t xml:space="preserve"> (</w:t>
            </w:r>
            <w:r>
              <w:rPr>
                <w:rFonts w:eastAsia="Times New Roman"/>
                <w:b/>
              </w:rPr>
              <w:t>A1</w:t>
            </w:r>
            <w:r>
              <w:rPr>
                <w:b/>
                <w:lang w:val="en-GB"/>
              </w:rPr>
              <w:t>)</w:t>
            </w:r>
          </w:p>
        </w:tc>
        <w:tc>
          <w:tcPr>
            <w:tcW w:w="690" w:type="dxa"/>
            <w:shd w:val="clear" w:color="auto" w:fill="auto"/>
            <w:vAlign w:val="center"/>
          </w:tcPr>
          <w:p w14:paraId="494000A7" w14:textId="77777777" w:rsidR="001C08A5" w:rsidRDefault="001C08A5">
            <w:pPr>
              <w:jc w:val="center"/>
              <w:rPr>
                <w:b/>
                <w:lang w:val="en-US"/>
              </w:rPr>
            </w:pPr>
          </w:p>
          <w:p w14:paraId="3765DFAF" w14:textId="77777777" w:rsidR="001C08A5" w:rsidRDefault="00000000">
            <w:pPr>
              <w:jc w:val="center"/>
              <w:rPr>
                <w:b/>
              </w:rPr>
            </w:pPr>
            <w:r>
              <w:rPr>
                <w:b/>
              </w:rPr>
              <w:t>45</w:t>
            </w:r>
          </w:p>
        </w:tc>
        <w:tc>
          <w:tcPr>
            <w:tcW w:w="675" w:type="dxa"/>
            <w:shd w:val="clear" w:color="auto" w:fill="auto"/>
            <w:vAlign w:val="center"/>
          </w:tcPr>
          <w:p w14:paraId="5A430E52" w14:textId="77777777" w:rsidR="001C08A5" w:rsidRDefault="001C08A5">
            <w:pPr>
              <w:jc w:val="center"/>
              <w:rPr>
                <w:b/>
                <w:lang w:val="en-US"/>
              </w:rPr>
            </w:pPr>
          </w:p>
          <w:p w14:paraId="59894025" w14:textId="77777777" w:rsidR="001C08A5" w:rsidRDefault="00000000">
            <w:pPr>
              <w:jc w:val="center"/>
              <w:rPr>
                <w:b/>
              </w:rPr>
            </w:pPr>
            <w:r>
              <w:rPr>
                <w:b/>
              </w:rPr>
              <w:t>45</w:t>
            </w:r>
          </w:p>
        </w:tc>
        <w:tc>
          <w:tcPr>
            <w:tcW w:w="675" w:type="dxa"/>
            <w:shd w:val="clear" w:color="auto" w:fill="auto"/>
            <w:vAlign w:val="center"/>
          </w:tcPr>
          <w:p w14:paraId="016EBBEA" w14:textId="77777777" w:rsidR="001C08A5" w:rsidRDefault="001C08A5">
            <w:pPr>
              <w:jc w:val="center"/>
              <w:rPr>
                <w:b/>
                <w:lang w:val="en-US"/>
              </w:rPr>
            </w:pPr>
          </w:p>
          <w:p w14:paraId="102BA5C6" w14:textId="77777777" w:rsidR="001C08A5" w:rsidRDefault="00000000">
            <w:pPr>
              <w:jc w:val="center"/>
              <w:rPr>
                <w:b/>
              </w:rPr>
            </w:pPr>
            <w:r>
              <w:rPr>
                <w:b/>
              </w:rPr>
              <w:t>30</w:t>
            </w:r>
          </w:p>
        </w:tc>
        <w:tc>
          <w:tcPr>
            <w:tcW w:w="690" w:type="dxa"/>
            <w:shd w:val="clear" w:color="auto" w:fill="auto"/>
            <w:vAlign w:val="center"/>
          </w:tcPr>
          <w:p w14:paraId="75836562" w14:textId="77777777" w:rsidR="001C08A5" w:rsidRDefault="001C08A5">
            <w:pPr>
              <w:jc w:val="center"/>
              <w:rPr>
                <w:b/>
                <w:lang w:val="en-US"/>
              </w:rPr>
            </w:pPr>
          </w:p>
          <w:p w14:paraId="4CD55EBE" w14:textId="77777777" w:rsidR="001C08A5" w:rsidRDefault="00000000">
            <w:pPr>
              <w:jc w:val="center"/>
              <w:rPr>
                <w:b/>
              </w:rPr>
            </w:pPr>
            <w:r>
              <w:rPr>
                <w:b/>
              </w:rPr>
              <w:t>15</w:t>
            </w:r>
          </w:p>
        </w:tc>
        <w:tc>
          <w:tcPr>
            <w:tcW w:w="673" w:type="dxa"/>
            <w:shd w:val="clear" w:color="auto" w:fill="auto"/>
            <w:vAlign w:val="center"/>
          </w:tcPr>
          <w:p w14:paraId="30A0841A" w14:textId="77777777" w:rsidR="001C08A5" w:rsidRDefault="00000000">
            <w:pPr>
              <w:jc w:val="center"/>
              <w:rPr>
                <w:b/>
              </w:rPr>
            </w:pPr>
            <w:r>
              <w:rPr>
                <w:b/>
              </w:rPr>
              <w:t>-</w:t>
            </w:r>
          </w:p>
          <w:p w14:paraId="18F8B490" w14:textId="77777777" w:rsidR="001C08A5" w:rsidRDefault="001C08A5">
            <w:pPr>
              <w:jc w:val="center"/>
              <w:rPr>
                <w:b/>
              </w:rPr>
            </w:pPr>
          </w:p>
        </w:tc>
      </w:tr>
      <w:tr w:rsidR="001C08A5" w14:paraId="2B588EAD" w14:textId="77777777">
        <w:trPr>
          <w:jc w:val="right"/>
        </w:trPr>
        <w:tc>
          <w:tcPr>
            <w:tcW w:w="305" w:type="dxa"/>
            <w:shd w:val="clear" w:color="auto" w:fill="auto"/>
            <w:vAlign w:val="center"/>
          </w:tcPr>
          <w:p w14:paraId="109A3E56" w14:textId="77777777" w:rsidR="001C08A5" w:rsidRDefault="00000000">
            <w:pPr>
              <w:jc w:val="center"/>
              <w:rPr>
                <w:b/>
                <w:iCs/>
                <w:sz w:val="24"/>
                <w:szCs w:val="24"/>
              </w:rPr>
            </w:pPr>
            <w:r>
              <w:rPr>
                <w:b/>
                <w:sz w:val="18"/>
                <w:szCs w:val="18"/>
              </w:rPr>
              <w:t>5</w:t>
            </w:r>
          </w:p>
        </w:tc>
        <w:tc>
          <w:tcPr>
            <w:tcW w:w="2067" w:type="dxa"/>
            <w:gridSpan w:val="2"/>
            <w:shd w:val="clear" w:color="auto" w:fill="auto"/>
            <w:vAlign w:val="center"/>
          </w:tcPr>
          <w:p w14:paraId="0856177A" w14:textId="77777777" w:rsidR="001C08A5" w:rsidRDefault="00000000">
            <w:pPr>
              <w:rPr>
                <w:b/>
                <w:iCs/>
                <w:sz w:val="24"/>
                <w:szCs w:val="24"/>
              </w:rPr>
            </w:pPr>
            <w:r>
              <w:rPr>
                <w:b/>
                <w:sz w:val="18"/>
                <w:szCs w:val="18"/>
              </w:rPr>
              <w:t>PERETI PORTANTI  (STRUCTURALI) cu rol de limitare a propagării focului (REI)</w:t>
            </w:r>
          </w:p>
        </w:tc>
        <w:tc>
          <w:tcPr>
            <w:tcW w:w="690" w:type="dxa"/>
            <w:shd w:val="clear" w:color="auto" w:fill="auto"/>
            <w:vAlign w:val="center"/>
          </w:tcPr>
          <w:p w14:paraId="69CF5991" w14:textId="77777777" w:rsidR="001C08A5" w:rsidRDefault="00000000">
            <w:pPr>
              <w:jc w:val="center"/>
              <w:rPr>
                <w:b/>
              </w:rPr>
            </w:pPr>
            <w:r>
              <w:rPr>
                <w:b/>
              </w:rPr>
              <w:t>240</w:t>
            </w:r>
          </w:p>
          <w:p w14:paraId="52ABFCFF" w14:textId="77777777" w:rsidR="001C08A5" w:rsidRDefault="00000000">
            <w:pPr>
              <w:jc w:val="center"/>
              <w:rPr>
                <w:b/>
                <w:iCs/>
                <w:sz w:val="24"/>
                <w:szCs w:val="24"/>
              </w:rPr>
            </w:pPr>
            <w:r>
              <w:rPr>
                <w:b/>
              </w:rPr>
              <w:t>(</w:t>
            </w:r>
            <w:r>
              <w:rPr>
                <w:rFonts w:eastAsia="Times New Roman"/>
                <w:b/>
              </w:rPr>
              <w:t>A1</w:t>
            </w:r>
            <w:r>
              <w:rPr>
                <w:b/>
              </w:rPr>
              <w:t>)</w:t>
            </w:r>
          </w:p>
        </w:tc>
        <w:tc>
          <w:tcPr>
            <w:tcW w:w="675" w:type="dxa"/>
            <w:shd w:val="clear" w:color="auto" w:fill="auto"/>
            <w:vAlign w:val="center"/>
          </w:tcPr>
          <w:p w14:paraId="2B159D00" w14:textId="77777777" w:rsidR="001C08A5" w:rsidRDefault="00000000">
            <w:pPr>
              <w:jc w:val="center"/>
              <w:rPr>
                <w:b/>
              </w:rPr>
            </w:pPr>
            <w:r>
              <w:rPr>
                <w:b/>
              </w:rPr>
              <w:t>180</w:t>
            </w:r>
          </w:p>
          <w:p w14:paraId="7734E515" w14:textId="77777777" w:rsidR="001C08A5" w:rsidRDefault="00000000">
            <w:pPr>
              <w:jc w:val="center"/>
              <w:rPr>
                <w:b/>
                <w:iCs/>
                <w:sz w:val="24"/>
                <w:szCs w:val="24"/>
              </w:rPr>
            </w:pPr>
            <w:r>
              <w:rPr>
                <w:b/>
              </w:rPr>
              <w:t>(</w:t>
            </w:r>
            <w:r>
              <w:rPr>
                <w:rFonts w:eastAsia="Times New Roman"/>
                <w:b/>
              </w:rPr>
              <w:t>A1</w:t>
            </w:r>
            <w:r>
              <w:rPr>
                <w:b/>
              </w:rPr>
              <w:t>)</w:t>
            </w:r>
          </w:p>
        </w:tc>
        <w:tc>
          <w:tcPr>
            <w:tcW w:w="675" w:type="dxa"/>
            <w:shd w:val="clear" w:color="auto" w:fill="auto"/>
            <w:vAlign w:val="center"/>
          </w:tcPr>
          <w:p w14:paraId="43455FE6" w14:textId="77777777" w:rsidR="001C08A5" w:rsidRDefault="00000000">
            <w:pPr>
              <w:jc w:val="center"/>
              <w:rPr>
                <w:b/>
              </w:rPr>
            </w:pPr>
            <w:r>
              <w:rPr>
                <w:b/>
              </w:rPr>
              <w:t>180</w:t>
            </w:r>
          </w:p>
          <w:p w14:paraId="577CCB67" w14:textId="77777777" w:rsidR="001C08A5" w:rsidRDefault="00000000">
            <w:pPr>
              <w:jc w:val="center"/>
              <w:rPr>
                <w:b/>
                <w:iCs/>
                <w:sz w:val="24"/>
                <w:szCs w:val="24"/>
              </w:rPr>
            </w:pPr>
            <w:r>
              <w:rPr>
                <w:b/>
              </w:rPr>
              <w:t>(</w:t>
            </w:r>
            <w:r>
              <w:rPr>
                <w:rFonts w:eastAsia="Times New Roman"/>
                <w:b/>
              </w:rPr>
              <w:t>A1</w:t>
            </w:r>
            <w:r>
              <w:rPr>
                <w:b/>
              </w:rPr>
              <w:t>)</w:t>
            </w:r>
          </w:p>
        </w:tc>
        <w:tc>
          <w:tcPr>
            <w:tcW w:w="690" w:type="dxa"/>
            <w:shd w:val="clear" w:color="auto" w:fill="auto"/>
            <w:vAlign w:val="center"/>
          </w:tcPr>
          <w:p w14:paraId="699407E1" w14:textId="77777777" w:rsidR="001C08A5" w:rsidRDefault="00000000">
            <w:pPr>
              <w:jc w:val="center"/>
              <w:rPr>
                <w:b/>
                <w:iCs/>
                <w:sz w:val="24"/>
                <w:szCs w:val="24"/>
              </w:rPr>
            </w:pPr>
            <w:r>
              <w:rPr>
                <w:b/>
              </w:rPr>
              <w:t>120 (</w:t>
            </w:r>
            <w:r>
              <w:rPr>
                <w:rFonts w:eastAsia="Times New Roman"/>
                <w:b/>
              </w:rPr>
              <w:t>A1</w:t>
            </w:r>
            <w:r>
              <w:rPr>
                <w:b/>
              </w:rPr>
              <w:t>)</w:t>
            </w:r>
          </w:p>
        </w:tc>
        <w:tc>
          <w:tcPr>
            <w:tcW w:w="675" w:type="dxa"/>
            <w:shd w:val="clear" w:color="auto" w:fill="auto"/>
            <w:vAlign w:val="center"/>
          </w:tcPr>
          <w:p w14:paraId="6EFF3E4B" w14:textId="77777777" w:rsidR="001C08A5" w:rsidRDefault="00000000">
            <w:pPr>
              <w:jc w:val="center"/>
              <w:rPr>
                <w:b/>
                <w:iCs/>
                <w:sz w:val="24"/>
                <w:szCs w:val="24"/>
              </w:rPr>
            </w:pPr>
            <w:r>
              <w:rPr>
                <w:b/>
              </w:rPr>
              <w:t>120 (</w:t>
            </w:r>
            <w:r>
              <w:rPr>
                <w:rFonts w:eastAsia="Times New Roman"/>
                <w:b/>
              </w:rPr>
              <w:t>A1</w:t>
            </w:r>
            <w:r>
              <w:rPr>
                <w:b/>
              </w:rPr>
              <w:t>)</w:t>
            </w:r>
          </w:p>
        </w:tc>
        <w:tc>
          <w:tcPr>
            <w:tcW w:w="675" w:type="dxa"/>
            <w:shd w:val="clear" w:color="auto" w:fill="auto"/>
            <w:vAlign w:val="center"/>
          </w:tcPr>
          <w:p w14:paraId="5105B13D" w14:textId="77777777" w:rsidR="001C08A5" w:rsidRDefault="00000000">
            <w:pPr>
              <w:jc w:val="center"/>
              <w:rPr>
                <w:b/>
                <w:iCs/>
                <w:sz w:val="24"/>
                <w:szCs w:val="24"/>
              </w:rPr>
            </w:pPr>
            <w:r>
              <w:rPr>
                <w:b/>
              </w:rPr>
              <w:t>120 (</w:t>
            </w:r>
            <w:r>
              <w:rPr>
                <w:rFonts w:eastAsia="Times New Roman"/>
                <w:b/>
              </w:rPr>
              <w:t>A1</w:t>
            </w:r>
            <w:r>
              <w:rPr>
                <w:b/>
              </w:rPr>
              <w:t>)</w:t>
            </w:r>
          </w:p>
        </w:tc>
        <w:tc>
          <w:tcPr>
            <w:tcW w:w="690" w:type="dxa"/>
            <w:shd w:val="clear" w:color="auto" w:fill="auto"/>
            <w:vAlign w:val="center"/>
          </w:tcPr>
          <w:p w14:paraId="626D63E0" w14:textId="77777777" w:rsidR="001C08A5" w:rsidRDefault="00000000">
            <w:pPr>
              <w:jc w:val="center"/>
              <w:rPr>
                <w:b/>
                <w:iCs/>
                <w:sz w:val="24"/>
                <w:szCs w:val="24"/>
              </w:rPr>
            </w:pPr>
            <w:r>
              <w:rPr>
                <w:b/>
              </w:rPr>
              <w:t>90</w:t>
            </w:r>
          </w:p>
        </w:tc>
        <w:tc>
          <w:tcPr>
            <w:tcW w:w="675" w:type="dxa"/>
            <w:shd w:val="clear" w:color="auto" w:fill="auto"/>
            <w:vAlign w:val="center"/>
          </w:tcPr>
          <w:p w14:paraId="199D65BD" w14:textId="77777777" w:rsidR="001C08A5" w:rsidRDefault="00000000">
            <w:pPr>
              <w:jc w:val="center"/>
              <w:rPr>
                <w:b/>
                <w:iCs/>
                <w:sz w:val="24"/>
                <w:szCs w:val="24"/>
              </w:rPr>
            </w:pPr>
            <w:r>
              <w:rPr>
                <w:b/>
              </w:rPr>
              <w:t>60</w:t>
            </w:r>
          </w:p>
        </w:tc>
        <w:tc>
          <w:tcPr>
            <w:tcW w:w="675" w:type="dxa"/>
            <w:shd w:val="clear" w:color="auto" w:fill="auto"/>
            <w:vAlign w:val="center"/>
          </w:tcPr>
          <w:p w14:paraId="4654C393" w14:textId="77777777" w:rsidR="001C08A5" w:rsidRDefault="00000000">
            <w:pPr>
              <w:jc w:val="center"/>
              <w:rPr>
                <w:b/>
                <w:iCs/>
                <w:sz w:val="24"/>
                <w:szCs w:val="24"/>
              </w:rPr>
            </w:pPr>
            <w:r>
              <w:rPr>
                <w:b/>
              </w:rPr>
              <w:t>45</w:t>
            </w:r>
          </w:p>
        </w:tc>
        <w:tc>
          <w:tcPr>
            <w:tcW w:w="690" w:type="dxa"/>
            <w:shd w:val="clear" w:color="auto" w:fill="auto"/>
            <w:vAlign w:val="center"/>
          </w:tcPr>
          <w:p w14:paraId="3CDFB5EB" w14:textId="77777777" w:rsidR="001C08A5" w:rsidRDefault="00000000">
            <w:pPr>
              <w:jc w:val="center"/>
              <w:rPr>
                <w:b/>
                <w:iCs/>
                <w:sz w:val="24"/>
                <w:szCs w:val="24"/>
              </w:rPr>
            </w:pPr>
            <w:r>
              <w:rPr>
                <w:b/>
              </w:rPr>
              <w:t>30</w:t>
            </w:r>
          </w:p>
        </w:tc>
        <w:tc>
          <w:tcPr>
            <w:tcW w:w="673" w:type="dxa"/>
            <w:shd w:val="clear" w:color="auto" w:fill="auto"/>
            <w:vAlign w:val="center"/>
          </w:tcPr>
          <w:p w14:paraId="6D52D834" w14:textId="77777777" w:rsidR="001C08A5" w:rsidRDefault="00000000">
            <w:pPr>
              <w:jc w:val="center"/>
              <w:rPr>
                <w:b/>
              </w:rPr>
            </w:pPr>
            <w:r>
              <w:rPr>
                <w:b/>
              </w:rPr>
              <w:t>-</w:t>
            </w:r>
          </w:p>
          <w:p w14:paraId="1E3D28F2" w14:textId="77777777" w:rsidR="001C08A5" w:rsidRDefault="00000000">
            <w:pPr>
              <w:jc w:val="center"/>
              <w:rPr>
                <w:b/>
                <w:iCs/>
                <w:sz w:val="24"/>
                <w:szCs w:val="24"/>
              </w:rPr>
            </w:pPr>
            <w:r>
              <w:rPr>
                <w:b/>
              </w:rPr>
              <w:t>(15**)</w:t>
            </w:r>
          </w:p>
        </w:tc>
      </w:tr>
      <w:tr w:rsidR="001C08A5" w14:paraId="1CCF6016" w14:textId="77777777">
        <w:trPr>
          <w:jc w:val="right"/>
        </w:trPr>
        <w:tc>
          <w:tcPr>
            <w:tcW w:w="305" w:type="dxa"/>
            <w:shd w:val="clear" w:color="auto" w:fill="auto"/>
            <w:vAlign w:val="center"/>
          </w:tcPr>
          <w:p w14:paraId="7F66569D" w14:textId="77777777" w:rsidR="001C08A5" w:rsidRDefault="00000000">
            <w:pPr>
              <w:jc w:val="center"/>
              <w:rPr>
                <w:b/>
                <w:iCs/>
                <w:sz w:val="24"/>
                <w:szCs w:val="24"/>
              </w:rPr>
            </w:pPr>
            <w:r>
              <w:rPr>
                <w:b/>
                <w:sz w:val="18"/>
                <w:szCs w:val="18"/>
              </w:rPr>
              <w:t>6</w:t>
            </w:r>
          </w:p>
        </w:tc>
        <w:tc>
          <w:tcPr>
            <w:tcW w:w="2067" w:type="dxa"/>
            <w:gridSpan w:val="2"/>
            <w:shd w:val="clear" w:color="auto" w:fill="auto"/>
          </w:tcPr>
          <w:p w14:paraId="1415C816" w14:textId="77777777" w:rsidR="001C08A5" w:rsidRDefault="00000000">
            <w:pPr>
              <w:rPr>
                <w:b/>
                <w:iCs/>
                <w:sz w:val="24"/>
                <w:szCs w:val="24"/>
              </w:rPr>
            </w:pPr>
            <w:r>
              <w:rPr>
                <w:b/>
                <w:sz w:val="18"/>
                <w:szCs w:val="18"/>
              </w:rPr>
              <w:t xml:space="preserve">Pereţi </w:t>
            </w:r>
            <w:hyperlink r:id="rId98" w:history="1">
              <w:r>
                <w:rPr>
                  <w:b/>
                  <w:sz w:val="18"/>
                  <w:szCs w:val="18"/>
                </w:rPr>
                <w:t>de</w:t>
              </w:r>
            </w:hyperlink>
            <w:r>
              <w:rPr>
                <w:b/>
                <w:sz w:val="18"/>
                <w:szCs w:val="18"/>
              </w:rPr>
              <w:t> sectorizare cu rol de limitare a propagării focului (de protecție contra incendiilor care limitează propagarea în interiorul compartimentelor de incendiu) (REI/EI)</w:t>
            </w:r>
          </w:p>
        </w:tc>
        <w:tc>
          <w:tcPr>
            <w:tcW w:w="690" w:type="dxa"/>
            <w:shd w:val="clear" w:color="auto" w:fill="auto"/>
            <w:vAlign w:val="center"/>
          </w:tcPr>
          <w:p w14:paraId="22A9C1FF" w14:textId="77777777" w:rsidR="001C08A5" w:rsidRDefault="00000000">
            <w:pPr>
              <w:jc w:val="center"/>
              <w:rPr>
                <w:b/>
                <w:iCs/>
                <w:sz w:val="24"/>
                <w:szCs w:val="24"/>
              </w:rPr>
            </w:pPr>
            <w:r>
              <w:rPr>
                <w:b/>
              </w:rPr>
              <w:t xml:space="preserve">180 </w:t>
            </w:r>
            <w:r>
              <w:rPr>
                <w:b/>
                <w:sz w:val="16"/>
                <w:szCs w:val="16"/>
              </w:rPr>
              <w:t>(A1 sau A2-s1,d0)</w:t>
            </w:r>
          </w:p>
        </w:tc>
        <w:tc>
          <w:tcPr>
            <w:tcW w:w="675" w:type="dxa"/>
            <w:shd w:val="clear" w:color="auto" w:fill="auto"/>
            <w:vAlign w:val="center"/>
          </w:tcPr>
          <w:p w14:paraId="65840A7B" w14:textId="77777777" w:rsidR="001C08A5" w:rsidRDefault="00000000">
            <w:pPr>
              <w:jc w:val="center"/>
              <w:rPr>
                <w:b/>
              </w:rPr>
            </w:pPr>
            <w:r>
              <w:rPr>
                <w:b/>
              </w:rPr>
              <w:t>180</w:t>
            </w:r>
          </w:p>
          <w:p w14:paraId="15930F64" w14:textId="77777777" w:rsidR="001C08A5" w:rsidRDefault="00000000">
            <w:pPr>
              <w:jc w:val="center"/>
              <w:rPr>
                <w:b/>
                <w:iCs/>
                <w:sz w:val="24"/>
                <w:szCs w:val="24"/>
              </w:rPr>
            </w:pPr>
            <w:r>
              <w:rPr>
                <w:b/>
                <w:sz w:val="16"/>
                <w:szCs w:val="16"/>
              </w:rPr>
              <w:t>(A1 sau A2-s1,d0)</w:t>
            </w:r>
          </w:p>
        </w:tc>
        <w:tc>
          <w:tcPr>
            <w:tcW w:w="675" w:type="dxa"/>
            <w:shd w:val="clear" w:color="auto" w:fill="auto"/>
            <w:vAlign w:val="center"/>
          </w:tcPr>
          <w:p w14:paraId="45C228B9" w14:textId="77777777" w:rsidR="001C08A5" w:rsidRDefault="00000000">
            <w:pPr>
              <w:jc w:val="center"/>
              <w:rPr>
                <w:b/>
              </w:rPr>
            </w:pPr>
            <w:r>
              <w:rPr>
                <w:b/>
              </w:rPr>
              <w:t>120</w:t>
            </w:r>
          </w:p>
          <w:p w14:paraId="44A1204B" w14:textId="77777777" w:rsidR="001C08A5" w:rsidRDefault="00000000">
            <w:pPr>
              <w:jc w:val="center"/>
              <w:rPr>
                <w:b/>
                <w:iCs/>
                <w:sz w:val="24"/>
                <w:szCs w:val="24"/>
              </w:rPr>
            </w:pPr>
            <w:r>
              <w:rPr>
                <w:b/>
                <w:sz w:val="16"/>
                <w:szCs w:val="16"/>
              </w:rPr>
              <w:t>(A1 sau A2-s1,d0)</w:t>
            </w:r>
          </w:p>
        </w:tc>
        <w:tc>
          <w:tcPr>
            <w:tcW w:w="690" w:type="dxa"/>
            <w:shd w:val="clear" w:color="auto" w:fill="auto"/>
            <w:vAlign w:val="center"/>
          </w:tcPr>
          <w:p w14:paraId="7460A3FA" w14:textId="77777777" w:rsidR="001C08A5" w:rsidRDefault="00000000">
            <w:pPr>
              <w:jc w:val="center"/>
              <w:rPr>
                <w:b/>
              </w:rPr>
            </w:pPr>
            <w:r>
              <w:rPr>
                <w:b/>
              </w:rPr>
              <w:t>120</w:t>
            </w:r>
          </w:p>
          <w:p w14:paraId="3A7F99A5" w14:textId="77777777" w:rsidR="001C08A5" w:rsidRDefault="00000000">
            <w:pPr>
              <w:jc w:val="center"/>
              <w:rPr>
                <w:b/>
                <w:iCs/>
                <w:sz w:val="24"/>
                <w:szCs w:val="24"/>
              </w:rPr>
            </w:pPr>
            <w:r>
              <w:rPr>
                <w:b/>
                <w:sz w:val="16"/>
                <w:szCs w:val="16"/>
              </w:rPr>
              <w:t>(A1 sau A2-s1,d0)</w:t>
            </w:r>
          </w:p>
        </w:tc>
        <w:tc>
          <w:tcPr>
            <w:tcW w:w="675" w:type="dxa"/>
            <w:shd w:val="clear" w:color="auto" w:fill="auto"/>
            <w:vAlign w:val="center"/>
          </w:tcPr>
          <w:p w14:paraId="4C36111A" w14:textId="77777777" w:rsidR="001C08A5" w:rsidRDefault="00000000">
            <w:pPr>
              <w:jc w:val="center"/>
              <w:rPr>
                <w:b/>
              </w:rPr>
            </w:pPr>
            <w:r>
              <w:rPr>
                <w:b/>
              </w:rPr>
              <w:t>120</w:t>
            </w:r>
          </w:p>
          <w:p w14:paraId="513AFB32" w14:textId="77777777" w:rsidR="001C08A5" w:rsidRDefault="00000000">
            <w:pPr>
              <w:jc w:val="center"/>
              <w:rPr>
                <w:b/>
                <w:iCs/>
                <w:sz w:val="24"/>
                <w:szCs w:val="24"/>
              </w:rPr>
            </w:pPr>
            <w:r>
              <w:rPr>
                <w:b/>
                <w:sz w:val="16"/>
                <w:szCs w:val="16"/>
              </w:rPr>
              <w:t>(A1 sau A2-s1,d0)</w:t>
            </w:r>
          </w:p>
        </w:tc>
        <w:tc>
          <w:tcPr>
            <w:tcW w:w="675" w:type="dxa"/>
            <w:shd w:val="clear" w:color="auto" w:fill="auto"/>
            <w:vAlign w:val="center"/>
          </w:tcPr>
          <w:p w14:paraId="5EC38474" w14:textId="77777777" w:rsidR="001C08A5" w:rsidRDefault="00000000">
            <w:pPr>
              <w:jc w:val="center"/>
              <w:rPr>
                <w:b/>
              </w:rPr>
            </w:pPr>
            <w:r>
              <w:rPr>
                <w:b/>
              </w:rPr>
              <w:t>90</w:t>
            </w:r>
          </w:p>
          <w:p w14:paraId="0DBD4770" w14:textId="77777777" w:rsidR="001C08A5" w:rsidRDefault="00000000">
            <w:pPr>
              <w:jc w:val="center"/>
              <w:rPr>
                <w:b/>
                <w:iCs/>
                <w:sz w:val="24"/>
                <w:szCs w:val="24"/>
              </w:rPr>
            </w:pPr>
            <w:r>
              <w:rPr>
                <w:b/>
                <w:sz w:val="16"/>
                <w:szCs w:val="16"/>
              </w:rPr>
              <w:t>(A1 sau A2-s1,d0)</w:t>
            </w:r>
          </w:p>
        </w:tc>
        <w:tc>
          <w:tcPr>
            <w:tcW w:w="690" w:type="dxa"/>
            <w:shd w:val="clear" w:color="auto" w:fill="auto"/>
            <w:vAlign w:val="center"/>
          </w:tcPr>
          <w:p w14:paraId="316A3961" w14:textId="77777777" w:rsidR="001C08A5" w:rsidRDefault="00000000">
            <w:pPr>
              <w:jc w:val="center"/>
              <w:rPr>
                <w:b/>
              </w:rPr>
            </w:pPr>
            <w:r>
              <w:rPr>
                <w:b/>
              </w:rPr>
              <w:t>90</w:t>
            </w:r>
          </w:p>
          <w:p w14:paraId="5327FFBA" w14:textId="77777777" w:rsidR="001C08A5" w:rsidRDefault="001C08A5">
            <w:pPr>
              <w:jc w:val="center"/>
              <w:rPr>
                <w:b/>
                <w:iCs/>
                <w:sz w:val="24"/>
                <w:szCs w:val="24"/>
              </w:rPr>
            </w:pPr>
          </w:p>
        </w:tc>
        <w:tc>
          <w:tcPr>
            <w:tcW w:w="675" w:type="dxa"/>
            <w:shd w:val="clear" w:color="auto" w:fill="auto"/>
            <w:vAlign w:val="center"/>
          </w:tcPr>
          <w:p w14:paraId="408A52F8" w14:textId="77777777" w:rsidR="001C08A5" w:rsidRDefault="00000000">
            <w:pPr>
              <w:jc w:val="center"/>
              <w:rPr>
                <w:b/>
              </w:rPr>
            </w:pPr>
            <w:r>
              <w:rPr>
                <w:b/>
              </w:rPr>
              <w:t>60</w:t>
            </w:r>
          </w:p>
          <w:p w14:paraId="159DCA1D" w14:textId="77777777" w:rsidR="001C08A5" w:rsidRDefault="001C08A5">
            <w:pPr>
              <w:jc w:val="center"/>
              <w:rPr>
                <w:b/>
                <w:iCs/>
                <w:sz w:val="24"/>
                <w:szCs w:val="24"/>
              </w:rPr>
            </w:pPr>
          </w:p>
        </w:tc>
        <w:tc>
          <w:tcPr>
            <w:tcW w:w="675" w:type="dxa"/>
            <w:shd w:val="clear" w:color="auto" w:fill="auto"/>
            <w:vAlign w:val="center"/>
          </w:tcPr>
          <w:p w14:paraId="615F8217" w14:textId="77777777" w:rsidR="001C08A5" w:rsidRDefault="00000000">
            <w:pPr>
              <w:jc w:val="center"/>
              <w:rPr>
                <w:b/>
              </w:rPr>
            </w:pPr>
            <w:r>
              <w:rPr>
                <w:b/>
              </w:rPr>
              <w:t>45</w:t>
            </w:r>
          </w:p>
          <w:p w14:paraId="280E981B" w14:textId="77777777" w:rsidR="001C08A5" w:rsidRDefault="001C08A5">
            <w:pPr>
              <w:jc w:val="center"/>
              <w:rPr>
                <w:b/>
                <w:iCs/>
                <w:sz w:val="24"/>
                <w:szCs w:val="24"/>
              </w:rPr>
            </w:pPr>
          </w:p>
        </w:tc>
        <w:tc>
          <w:tcPr>
            <w:tcW w:w="690" w:type="dxa"/>
            <w:shd w:val="clear" w:color="auto" w:fill="auto"/>
            <w:vAlign w:val="center"/>
          </w:tcPr>
          <w:p w14:paraId="52EDFEED" w14:textId="77777777" w:rsidR="001C08A5" w:rsidRDefault="00000000">
            <w:pPr>
              <w:jc w:val="center"/>
              <w:rPr>
                <w:b/>
              </w:rPr>
            </w:pPr>
            <w:r>
              <w:rPr>
                <w:b/>
              </w:rPr>
              <w:t>30</w:t>
            </w:r>
          </w:p>
          <w:p w14:paraId="0F59B001" w14:textId="77777777" w:rsidR="001C08A5" w:rsidRDefault="001C08A5">
            <w:pPr>
              <w:jc w:val="center"/>
              <w:rPr>
                <w:b/>
                <w:iCs/>
                <w:sz w:val="24"/>
                <w:szCs w:val="24"/>
              </w:rPr>
            </w:pPr>
          </w:p>
        </w:tc>
        <w:tc>
          <w:tcPr>
            <w:tcW w:w="673" w:type="dxa"/>
            <w:shd w:val="clear" w:color="auto" w:fill="auto"/>
            <w:vAlign w:val="center"/>
          </w:tcPr>
          <w:p w14:paraId="7EC1CB09" w14:textId="77777777" w:rsidR="001C08A5" w:rsidRDefault="00000000">
            <w:pPr>
              <w:jc w:val="center"/>
              <w:rPr>
                <w:b/>
              </w:rPr>
            </w:pPr>
            <w:r>
              <w:rPr>
                <w:b/>
              </w:rPr>
              <w:t>-</w:t>
            </w:r>
          </w:p>
          <w:p w14:paraId="6B970CB5" w14:textId="77777777" w:rsidR="001C08A5" w:rsidRDefault="00000000">
            <w:pPr>
              <w:jc w:val="center"/>
              <w:rPr>
                <w:b/>
                <w:iCs/>
                <w:sz w:val="24"/>
                <w:szCs w:val="24"/>
              </w:rPr>
            </w:pPr>
            <w:r>
              <w:rPr>
                <w:b/>
              </w:rPr>
              <w:t>(15 **)</w:t>
            </w:r>
          </w:p>
        </w:tc>
      </w:tr>
      <w:tr w:rsidR="001C08A5" w14:paraId="3A19E13C" w14:textId="77777777">
        <w:trPr>
          <w:jc w:val="right"/>
        </w:trPr>
        <w:tc>
          <w:tcPr>
            <w:tcW w:w="305" w:type="dxa"/>
            <w:shd w:val="clear" w:color="auto" w:fill="auto"/>
            <w:vAlign w:val="center"/>
          </w:tcPr>
          <w:p w14:paraId="5AA5E7DC" w14:textId="77777777" w:rsidR="001C08A5" w:rsidRDefault="00000000">
            <w:pPr>
              <w:jc w:val="center"/>
              <w:rPr>
                <w:b/>
                <w:iCs/>
                <w:sz w:val="24"/>
                <w:szCs w:val="24"/>
              </w:rPr>
            </w:pPr>
            <w:r>
              <w:rPr>
                <w:b/>
                <w:sz w:val="18"/>
                <w:szCs w:val="18"/>
              </w:rPr>
              <w:t>7</w:t>
            </w:r>
          </w:p>
        </w:tc>
        <w:tc>
          <w:tcPr>
            <w:tcW w:w="2067" w:type="dxa"/>
            <w:gridSpan w:val="2"/>
            <w:shd w:val="clear" w:color="auto" w:fill="auto"/>
          </w:tcPr>
          <w:p w14:paraId="29BCC1C8" w14:textId="77777777" w:rsidR="001C08A5" w:rsidRDefault="00000000">
            <w:pPr>
              <w:rPr>
                <w:b/>
                <w:iCs/>
                <w:sz w:val="24"/>
                <w:szCs w:val="24"/>
              </w:rPr>
            </w:pPr>
            <w:r>
              <w:rPr>
                <w:b/>
                <w:sz w:val="18"/>
                <w:szCs w:val="18"/>
              </w:rPr>
              <w:t>Pereti neportanţi despărţitori interiori cu rol de limitare a propagării focului (EI)</w:t>
            </w:r>
          </w:p>
        </w:tc>
        <w:tc>
          <w:tcPr>
            <w:tcW w:w="690" w:type="dxa"/>
            <w:shd w:val="clear" w:color="auto" w:fill="auto"/>
            <w:vAlign w:val="center"/>
          </w:tcPr>
          <w:p w14:paraId="4962EDD9" w14:textId="77777777" w:rsidR="001C08A5" w:rsidRDefault="00000000">
            <w:pPr>
              <w:jc w:val="center"/>
              <w:rPr>
                <w:b/>
              </w:rPr>
            </w:pPr>
            <w:r>
              <w:rPr>
                <w:b/>
              </w:rPr>
              <w:t>90</w:t>
            </w:r>
          </w:p>
          <w:p w14:paraId="734B6FA7" w14:textId="77777777" w:rsidR="001C08A5" w:rsidRDefault="00000000">
            <w:pPr>
              <w:jc w:val="center"/>
              <w:rPr>
                <w:b/>
              </w:rPr>
            </w:pPr>
            <w:r>
              <w:rPr>
                <w:b/>
                <w:sz w:val="16"/>
                <w:szCs w:val="16"/>
              </w:rPr>
              <w:t>(A1 sau A2-s1,d0)</w:t>
            </w:r>
          </w:p>
        </w:tc>
        <w:tc>
          <w:tcPr>
            <w:tcW w:w="675" w:type="dxa"/>
            <w:shd w:val="clear" w:color="auto" w:fill="auto"/>
            <w:vAlign w:val="center"/>
          </w:tcPr>
          <w:p w14:paraId="300740FF" w14:textId="77777777" w:rsidR="001C08A5" w:rsidRDefault="00000000">
            <w:pPr>
              <w:jc w:val="center"/>
              <w:rPr>
                <w:b/>
              </w:rPr>
            </w:pPr>
            <w:r>
              <w:rPr>
                <w:b/>
              </w:rPr>
              <w:t>60</w:t>
            </w:r>
          </w:p>
          <w:p w14:paraId="21553CB2" w14:textId="77777777" w:rsidR="001C08A5" w:rsidRDefault="00000000">
            <w:pPr>
              <w:jc w:val="center"/>
              <w:rPr>
                <w:b/>
              </w:rPr>
            </w:pPr>
            <w:r>
              <w:rPr>
                <w:b/>
                <w:sz w:val="16"/>
                <w:szCs w:val="16"/>
              </w:rPr>
              <w:t>(A1 sau A2-s1,d0)</w:t>
            </w:r>
          </w:p>
        </w:tc>
        <w:tc>
          <w:tcPr>
            <w:tcW w:w="675" w:type="dxa"/>
            <w:shd w:val="clear" w:color="auto" w:fill="auto"/>
            <w:vAlign w:val="center"/>
          </w:tcPr>
          <w:p w14:paraId="5E064C22" w14:textId="77777777" w:rsidR="001C08A5" w:rsidRDefault="00000000">
            <w:pPr>
              <w:jc w:val="center"/>
              <w:rPr>
                <w:b/>
              </w:rPr>
            </w:pPr>
            <w:r>
              <w:rPr>
                <w:b/>
              </w:rPr>
              <w:t>60</w:t>
            </w:r>
          </w:p>
          <w:p w14:paraId="32A39B87" w14:textId="77777777" w:rsidR="001C08A5" w:rsidRDefault="00000000">
            <w:pPr>
              <w:jc w:val="center"/>
              <w:rPr>
                <w:b/>
              </w:rPr>
            </w:pPr>
            <w:r>
              <w:rPr>
                <w:b/>
                <w:sz w:val="16"/>
                <w:szCs w:val="16"/>
              </w:rPr>
              <w:t>(A1 sau A2-s1,d0)</w:t>
            </w:r>
          </w:p>
        </w:tc>
        <w:tc>
          <w:tcPr>
            <w:tcW w:w="690" w:type="dxa"/>
            <w:shd w:val="clear" w:color="auto" w:fill="auto"/>
            <w:vAlign w:val="center"/>
          </w:tcPr>
          <w:p w14:paraId="49926874" w14:textId="77777777" w:rsidR="001C08A5" w:rsidRDefault="00000000">
            <w:pPr>
              <w:jc w:val="center"/>
              <w:rPr>
                <w:b/>
              </w:rPr>
            </w:pPr>
            <w:r>
              <w:rPr>
                <w:b/>
              </w:rPr>
              <w:t>60</w:t>
            </w:r>
          </w:p>
          <w:p w14:paraId="10BDFEE3" w14:textId="77777777" w:rsidR="001C08A5" w:rsidRDefault="00000000">
            <w:pPr>
              <w:jc w:val="center"/>
              <w:rPr>
                <w:b/>
              </w:rPr>
            </w:pPr>
            <w:r>
              <w:rPr>
                <w:b/>
                <w:sz w:val="16"/>
                <w:szCs w:val="16"/>
              </w:rPr>
              <w:t>(A1 sau A2-s1,d0)</w:t>
            </w:r>
          </w:p>
        </w:tc>
        <w:tc>
          <w:tcPr>
            <w:tcW w:w="675" w:type="dxa"/>
            <w:shd w:val="clear" w:color="auto" w:fill="auto"/>
            <w:vAlign w:val="center"/>
          </w:tcPr>
          <w:p w14:paraId="63E80EA6" w14:textId="77777777" w:rsidR="001C08A5" w:rsidRDefault="00000000">
            <w:pPr>
              <w:jc w:val="center"/>
              <w:rPr>
                <w:b/>
              </w:rPr>
            </w:pPr>
            <w:r>
              <w:rPr>
                <w:b/>
              </w:rPr>
              <w:t>60</w:t>
            </w:r>
          </w:p>
          <w:p w14:paraId="5886DB62" w14:textId="77777777" w:rsidR="001C08A5" w:rsidRDefault="00000000">
            <w:pPr>
              <w:jc w:val="center"/>
              <w:rPr>
                <w:b/>
              </w:rPr>
            </w:pPr>
            <w:r>
              <w:rPr>
                <w:b/>
                <w:sz w:val="16"/>
                <w:szCs w:val="16"/>
              </w:rPr>
              <w:t>(A1 sau A2-s1,d0)</w:t>
            </w:r>
          </w:p>
        </w:tc>
        <w:tc>
          <w:tcPr>
            <w:tcW w:w="675" w:type="dxa"/>
            <w:shd w:val="clear" w:color="auto" w:fill="auto"/>
            <w:vAlign w:val="center"/>
          </w:tcPr>
          <w:p w14:paraId="489B19B7" w14:textId="77777777" w:rsidR="001C08A5" w:rsidRDefault="00000000">
            <w:pPr>
              <w:jc w:val="center"/>
              <w:rPr>
                <w:b/>
              </w:rPr>
            </w:pPr>
            <w:r>
              <w:rPr>
                <w:b/>
              </w:rPr>
              <w:t>45</w:t>
            </w:r>
          </w:p>
          <w:p w14:paraId="01365687" w14:textId="77777777" w:rsidR="001C08A5" w:rsidRDefault="00000000">
            <w:pPr>
              <w:jc w:val="center"/>
              <w:rPr>
                <w:b/>
              </w:rPr>
            </w:pPr>
            <w:r>
              <w:rPr>
                <w:b/>
                <w:sz w:val="16"/>
                <w:szCs w:val="16"/>
              </w:rPr>
              <w:t>(A1 sau A2-s1,d0)</w:t>
            </w:r>
          </w:p>
        </w:tc>
        <w:tc>
          <w:tcPr>
            <w:tcW w:w="690" w:type="dxa"/>
            <w:shd w:val="clear" w:color="auto" w:fill="auto"/>
            <w:vAlign w:val="center"/>
          </w:tcPr>
          <w:p w14:paraId="1CA232BE" w14:textId="77777777" w:rsidR="001C08A5" w:rsidRDefault="001C08A5">
            <w:pPr>
              <w:jc w:val="center"/>
              <w:rPr>
                <w:b/>
                <w:lang w:val="en-US"/>
              </w:rPr>
            </w:pPr>
          </w:p>
          <w:p w14:paraId="15815142" w14:textId="77777777" w:rsidR="001C08A5" w:rsidRDefault="00000000">
            <w:pPr>
              <w:jc w:val="center"/>
              <w:rPr>
                <w:b/>
                <w:iCs/>
                <w:sz w:val="24"/>
                <w:szCs w:val="24"/>
              </w:rPr>
            </w:pPr>
            <w:r>
              <w:rPr>
                <w:b/>
              </w:rPr>
              <w:t>45</w:t>
            </w:r>
          </w:p>
        </w:tc>
        <w:tc>
          <w:tcPr>
            <w:tcW w:w="675" w:type="dxa"/>
            <w:shd w:val="clear" w:color="auto" w:fill="auto"/>
            <w:vAlign w:val="center"/>
          </w:tcPr>
          <w:p w14:paraId="1D1712BB" w14:textId="77777777" w:rsidR="001C08A5" w:rsidRDefault="00000000">
            <w:pPr>
              <w:jc w:val="center"/>
              <w:rPr>
                <w:b/>
                <w:iCs/>
                <w:sz w:val="24"/>
                <w:szCs w:val="24"/>
              </w:rPr>
            </w:pPr>
            <w:r>
              <w:rPr>
                <w:b/>
              </w:rPr>
              <w:t>30</w:t>
            </w:r>
          </w:p>
        </w:tc>
        <w:tc>
          <w:tcPr>
            <w:tcW w:w="675" w:type="dxa"/>
            <w:shd w:val="clear" w:color="auto" w:fill="auto"/>
            <w:vAlign w:val="center"/>
          </w:tcPr>
          <w:p w14:paraId="19363F2E" w14:textId="77777777" w:rsidR="001C08A5" w:rsidRDefault="00000000">
            <w:pPr>
              <w:jc w:val="center"/>
              <w:rPr>
                <w:b/>
                <w:iCs/>
                <w:sz w:val="24"/>
                <w:szCs w:val="24"/>
              </w:rPr>
            </w:pPr>
            <w:r>
              <w:rPr>
                <w:b/>
              </w:rPr>
              <w:t>15</w:t>
            </w:r>
          </w:p>
        </w:tc>
        <w:tc>
          <w:tcPr>
            <w:tcW w:w="690" w:type="dxa"/>
            <w:shd w:val="clear" w:color="auto" w:fill="auto"/>
            <w:vAlign w:val="center"/>
          </w:tcPr>
          <w:p w14:paraId="51227C1F" w14:textId="77777777" w:rsidR="001C08A5" w:rsidRDefault="00000000">
            <w:pPr>
              <w:jc w:val="center"/>
              <w:rPr>
                <w:b/>
                <w:iCs/>
                <w:sz w:val="24"/>
                <w:szCs w:val="24"/>
              </w:rPr>
            </w:pPr>
            <w:r>
              <w:rPr>
                <w:b/>
              </w:rPr>
              <w:t>15</w:t>
            </w:r>
          </w:p>
        </w:tc>
        <w:tc>
          <w:tcPr>
            <w:tcW w:w="673" w:type="dxa"/>
            <w:shd w:val="clear" w:color="auto" w:fill="auto"/>
            <w:vAlign w:val="center"/>
          </w:tcPr>
          <w:p w14:paraId="3300A07E" w14:textId="77777777" w:rsidR="001C08A5" w:rsidRDefault="00000000">
            <w:pPr>
              <w:jc w:val="center"/>
              <w:rPr>
                <w:b/>
                <w:iCs/>
                <w:sz w:val="24"/>
                <w:szCs w:val="24"/>
              </w:rPr>
            </w:pPr>
            <w:r>
              <w:rPr>
                <w:b/>
              </w:rPr>
              <w:t>-</w:t>
            </w:r>
          </w:p>
        </w:tc>
      </w:tr>
      <w:tr w:rsidR="001C08A5" w14:paraId="4EEF1D30" w14:textId="77777777">
        <w:trPr>
          <w:jc w:val="right"/>
        </w:trPr>
        <w:tc>
          <w:tcPr>
            <w:tcW w:w="305" w:type="dxa"/>
            <w:shd w:val="clear" w:color="auto" w:fill="auto"/>
            <w:vAlign w:val="center"/>
          </w:tcPr>
          <w:p w14:paraId="0DE27E03" w14:textId="77777777" w:rsidR="001C08A5" w:rsidRDefault="00000000">
            <w:pPr>
              <w:jc w:val="center"/>
              <w:rPr>
                <w:b/>
                <w:iCs/>
                <w:sz w:val="24"/>
                <w:szCs w:val="24"/>
              </w:rPr>
            </w:pPr>
            <w:r>
              <w:rPr>
                <w:b/>
                <w:sz w:val="18"/>
                <w:szCs w:val="18"/>
              </w:rPr>
              <w:t>8</w:t>
            </w:r>
          </w:p>
        </w:tc>
        <w:tc>
          <w:tcPr>
            <w:tcW w:w="2067" w:type="dxa"/>
            <w:gridSpan w:val="2"/>
            <w:shd w:val="clear" w:color="auto" w:fill="auto"/>
          </w:tcPr>
          <w:p w14:paraId="4508E9F1" w14:textId="77777777" w:rsidR="001C08A5" w:rsidRDefault="00000000">
            <w:pPr>
              <w:rPr>
                <w:b/>
                <w:iCs/>
                <w:sz w:val="24"/>
                <w:szCs w:val="24"/>
              </w:rPr>
            </w:pPr>
            <w:r>
              <w:rPr>
                <w:b/>
                <w:sz w:val="18"/>
                <w:szCs w:val="18"/>
              </w:rPr>
              <w:t xml:space="preserve">Pereţi exteriori neportanţi (cu exceptia panourilor de tâmplărie, a pereţilor cortină, faţadelor ventilate, fațadelor duble „double skin”) (E </w:t>
            </w:r>
            <w:r>
              <w:rPr>
                <w:b/>
                <w:bCs/>
              </w:rPr>
              <w:t>„o↔i”</w:t>
            </w:r>
            <w:r>
              <w:rPr>
                <w:b/>
                <w:sz w:val="18"/>
                <w:szCs w:val="18"/>
              </w:rPr>
              <w:t>)</w:t>
            </w:r>
          </w:p>
        </w:tc>
        <w:tc>
          <w:tcPr>
            <w:tcW w:w="690" w:type="dxa"/>
            <w:shd w:val="clear" w:color="auto" w:fill="auto"/>
            <w:vAlign w:val="center"/>
          </w:tcPr>
          <w:p w14:paraId="0203ACE1" w14:textId="77777777" w:rsidR="001C08A5" w:rsidRDefault="00000000">
            <w:pPr>
              <w:jc w:val="center"/>
              <w:rPr>
                <w:b/>
              </w:rPr>
            </w:pPr>
            <w:r>
              <w:rPr>
                <w:b/>
              </w:rPr>
              <w:t>60</w:t>
            </w:r>
          </w:p>
          <w:p w14:paraId="620BDD8C" w14:textId="77777777" w:rsidR="001C08A5" w:rsidRDefault="00000000">
            <w:pPr>
              <w:jc w:val="center"/>
              <w:rPr>
                <w:b/>
                <w:iCs/>
                <w:sz w:val="24"/>
                <w:szCs w:val="24"/>
              </w:rPr>
            </w:pPr>
            <w:r>
              <w:rPr>
                <w:b/>
                <w:sz w:val="16"/>
                <w:szCs w:val="16"/>
              </w:rPr>
              <w:t>(A1 sau A2-s1,d0)</w:t>
            </w:r>
          </w:p>
        </w:tc>
        <w:tc>
          <w:tcPr>
            <w:tcW w:w="675" w:type="dxa"/>
            <w:shd w:val="clear" w:color="auto" w:fill="auto"/>
            <w:vAlign w:val="center"/>
          </w:tcPr>
          <w:p w14:paraId="7C3F2B56" w14:textId="77777777" w:rsidR="001C08A5" w:rsidRDefault="00000000">
            <w:pPr>
              <w:jc w:val="center"/>
              <w:rPr>
                <w:b/>
              </w:rPr>
            </w:pPr>
            <w:r>
              <w:rPr>
                <w:b/>
              </w:rPr>
              <w:t>45</w:t>
            </w:r>
          </w:p>
          <w:p w14:paraId="1E6E6D2B" w14:textId="77777777" w:rsidR="001C08A5" w:rsidRDefault="00000000">
            <w:pPr>
              <w:jc w:val="center"/>
              <w:rPr>
                <w:b/>
                <w:iCs/>
                <w:sz w:val="24"/>
                <w:szCs w:val="24"/>
              </w:rPr>
            </w:pPr>
            <w:r>
              <w:rPr>
                <w:b/>
                <w:sz w:val="16"/>
                <w:szCs w:val="16"/>
              </w:rPr>
              <w:t>(A1 sau A2-s1,d0)</w:t>
            </w:r>
          </w:p>
        </w:tc>
        <w:tc>
          <w:tcPr>
            <w:tcW w:w="675" w:type="dxa"/>
            <w:shd w:val="clear" w:color="auto" w:fill="auto"/>
            <w:vAlign w:val="center"/>
          </w:tcPr>
          <w:p w14:paraId="0D5EC5E5" w14:textId="77777777" w:rsidR="001C08A5" w:rsidRDefault="00000000">
            <w:pPr>
              <w:jc w:val="center"/>
              <w:rPr>
                <w:b/>
              </w:rPr>
            </w:pPr>
            <w:r>
              <w:rPr>
                <w:b/>
              </w:rPr>
              <w:t>30</w:t>
            </w:r>
          </w:p>
          <w:p w14:paraId="07DA894F" w14:textId="77777777" w:rsidR="001C08A5" w:rsidRDefault="00000000">
            <w:pPr>
              <w:jc w:val="center"/>
              <w:rPr>
                <w:b/>
                <w:iCs/>
                <w:sz w:val="24"/>
                <w:szCs w:val="24"/>
              </w:rPr>
            </w:pPr>
            <w:r>
              <w:rPr>
                <w:b/>
                <w:sz w:val="16"/>
                <w:szCs w:val="16"/>
              </w:rPr>
              <w:t>(A1 sau A2-s1,d0)</w:t>
            </w:r>
          </w:p>
        </w:tc>
        <w:tc>
          <w:tcPr>
            <w:tcW w:w="690" w:type="dxa"/>
            <w:shd w:val="clear" w:color="auto" w:fill="auto"/>
            <w:vAlign w:val="center"/>
          </w:tcPr>
          <w:p w14:paraId="65D24821" w14:textId="77777777" w:rsidR="001C08A5" w:rsidRDefault="00000000">
            <w:pPr>
              <w:jc w:val="center"/>
              <w:rPr>
                <w:b/>
              </w:rPr>
            </w:pPr>
            <w:r>
              <w:rPr>
                <w:b/>
              </w:rPr>
              <w:t>30</w:t>
            </w:r>
          </w:p>
          <w:p w14:paraId="4F260F2D" w14:textId="77777777" w:rsidR="001C08A5" w:rsidRDefault="00000000">
            <w:pPr>
              <w:jc w:val="center"/>
              <w:rPr>
                <w:b/>
                <w:iCs/>
                <w:sz w:val="24"/>
                <w:szCs w:val="24"/>
              </w:rPr>
            </w:pPr>
            <w:r>
              <w:rPr>
                <w:b/>
                <w:sz w:val="16"/>
                <w:szCs w:val="16"/>
              </w:rPr>
              <w:t>(A1 sau A2-s1,d0)</w:t>
            </w:r>
          </w:p>
        </w:tc>
        <w:tc>
          <w:tcPr>
            <w:tcW w:w="675" w:type="dxa"/>
            <w:shd w:val="clear" w:color="auto" w:fill="auto"/>
            <w:vAlign w:val="center"/>
          </w:tcPr>
          <w:p w14:paraId="02210E7D" w14:textId="77777777" w:rsidR="001C08A5" w:rsidRDefault="00000000">
            <w:pPr>
              <w:jc w:val="center"/>
              <w:rPr>
                <w:b/>
              </w:rPr>
            </w:pPr>
            <w:r>
              <w:rPr>
                <w:b/>
              </w:rPr>
              <w:t>15</w:t>
            </w:r>
          </w:p>
          <w:p w14:paraId="49357C6B" w14:textId="77777777" w:rsidR="001C08A5" w:rsidRDefault="00000000">
            <w:pPr>
              <w:jc w:val="center"/>
              <w:rPr>
                <w:b/>
                <w:iCs/>
                <w:sz w:val="24"/>
                <w:szCs w:val="24"/>
              </w:rPr>
            </w:pPr>
            <w:r>
              <w:rPr>
                <w:b/>
                <w:sz w:val="16"/>
                <w:szCs w:val="16"/>
              </w:rPr>
              <w:t>(A1 sau A2-s1,d0)</w:t>
            </w:r>
          </w:p>
        </w:tc>
        <w:tc>
          <w:tcPr>
            <w:tcW w:w="675" w:type="dxa"/>
            <w:shd w:val="clear" w:color="auto" w:fill="auto"/>
            <w:vAlign w:val="center"/>
          </w:tcPr>
          <w:p w14:paraId="23F2F8C1" w14:textId="77777777" w:rsidR="001C08A5" w:rsidRDefault="00000000">
            <w:pPr>
              <w:jc w:val="center"/>
              <w:rPr>
                <w:b/>
              </w:rPr>
            </w:pPr>
            <w:r>
              <w:rPr>
                <w:b/>
              </w:rPr>
              <w:t>15</w:t>
            </w:r>
          </w:p>
          <w:p w14:paraId="3B3DD377" w14:textId="77777777" w:rsidR="001C08A5" w:rsidRDefault="00000000">
            <w:pPr>
              <w:jc w:val="center"/>
              <w:rPr>
                <w:b/>
                <w:iCs/>
                <w:sz w:val="24"/>
                <w:szCs w:val="24"/>
              </w:rPr>
            </w:pPr>
            <w:r>
              <w:rPr>
                <w:b/>
                <w:sz w:val="16"/>
                <w:szCs w:val="16"/>
              </w:rPr>
              <w:t>(A1 sau A2-s1,d0)</w:t>
            </w:r>
          </w:p>
        </w:tc>
        <w:tc>
          <w:tcPr>
            <w:tcW w:w="690" w:type="dxa"/>
            <w:shd w:val="clear" w:color="auto" w:fill="auto"/>
            <w:vAlign w:val="center"/>
          </w:tcPr>
          <w:p w14:paraId="4DE63D6B" w14:textId="77777777" w:rsidR="001C08A5" w:rsidRDefault="00000000">
            <w:pPr>
              <w:jc w:val="center"/>
              <w:rPr>
                <w:b/>
              </w:rPr>
            </w:pPr>
            <w:r>
              <w:rPr>
                <w:b/>
              </w:rPr>
              <w:t>15</w:t>
            </w:r>
          </w:p>
          <w:p w14:paraId="14CF0CC3" w14:textId="77777777" w:rsidR="001C08A5" w:rsidRDefault="00000000">
            <w:pPr>
              <w:jc w:val="center"/>
              <w:rPr>
                <w:b/>
                <w:iCs/>
                <w:sz w:val="24"/>
                <w:szCs w:val="24"/>
              </w:rPr>
            </w:pPr>
            <w:r>
              <w:rPr>
                <w:b/>
                <w:sz w:val="16"/>
                <w:szCs w:val="16"/>
              </w:rPr>
              <w:t>(A1 sau A2-s1,d0)</w:t>
            </w:r>
          </w:p>
        </w:tc>
        <w:tc>
          <w:tcPr>
            <w:tcW w:w="675" w:type="dxa"/>
            <w:shd w:val="clear" w:color="auto" w:fill="auto"/>
            <w:vAlign w:val="center"/>
          </w:tcPr>
          <w:p w14:paraId="662954FA" w14:textId="77777777" w:rsidR="001C08A5" w:rsidRDefault="00000000">
            <w:pPr>
              <w:jc w:val="center"/>
              <w:rPr>
                <w:b/>
                <w:iCs/>
                <w:sz w:val="24"/>
                <w:szCs w:val="24"/>
              </w:rPr>
            </w:pPr>
            <w:r>
              <w:rPr>
                <w:b/>
              </w:rPr>
              <w:t>15</w:t>
            </w:r>
          </w:p>
        </w:tc>
        <w:tc>
          <w:tcPr>
            <w:tcW w:w="675" w:type="dxa"/>
            <w:shd w:val="clear" w:color="auto" w:fill="auto"/>
            <w:vAlign w:val="center"/>
          </w:tcPr>
          <w:p w14:paraId="5AADE73E" w14:textId="77777777" w:rsidR="001C08A5" w:rsidRDefault="00000000">
            <w:pPr>
              <w:jc w:val="center"/>
              <w:rPr>
                <w:b/>
                <w:iCs/>
                <w:sz w:val="24"/>
                <w:szCs w:val="24"/>
              </w:rPr>
            </w:pPr>
            <w:r>
              <w:rPr>
                <w:b/>
              </w:rPr>
              <w:t>15</w:t>
            </w:r>
          </w:p>
        </w:tc>
        <w:tc>
          <w:tcPr>
            <w:tcW w:w="690" w:type="dxa"/>
            <w:shd w:val="clear" w:color="auto" w:fill="auto"/>
            <w:vAlign w:val="center"/>
          </w:tcPr>
          <w:p w14:paraId="5C8D08FE" w14:textId="77777777" w:rsidR="001C08A5" w:rsidRDefault="00000000">
            <w:pPr>
              <w:jc w:val="center"/>
              <w:rPr>
                <w:b/>
                <w:iCs/>
                <w:sz w:val="24"/>
                <w:szCs w:val="24"/>
              </w:rPr>
            </w:pPr>
            <w:r>
              <w:rPr>
                <w:b/>
              </w:rPr>
              <w:t>-</w:t>
            </w:r>
          </w:p>
        </w:tc>
        <w:tc>
          <w:tcPr>
            <w:tcW w:w="673" w:type="dxa"/>
            <w:shd w:val="clear" w:color="auto" w:fill="auto"/>
            <w:vAlign w:val="center"/>
          </w:tcPr>
          <w:p w14:paraId="299EDF74" w14:textId="77777777" w:rsidR="001C08A5" w:rsidRDefault="00000000">
            <w:pPr>
              <w:jc w:val="center"/>
              <w:rPr>
                <w:b/>
                <w:iCs/>
                <w:sz w:val="24"/>
                <w:szCs w:val="24"/>
              </w:rPr>
            </w:pPr>
            <w:r>
              <w:rPr>
                <w:b/>
              </w:rPr>
              <w:t>-</w:t>
            </w:r>
          </w:p>
        </w:tc>
      </w:tr>
      <w:tr w:rsidR="001C08A5" w14:paraId="63A97E01" w14:textId="77777777">
        <w:trPr>
          <w:jc w:val="right"/>
        </w:trPr>
        <w:tc>
          <w:tcPr>
            <w:tcW w:w="305" w:type="dxa"/>
            <w:shd w:val="clear" w:color="auto" w:fill="auto"/>
            <w:vAlign w:val="center"/>
          </w:tcPr>
          <w:p w14:paraId="463F8F2E" w14:textId="77777777" w:rsidR="001C08A5" w:rsidRDefault="00000000">
            <w:pPr>
              <w:jc w:val="center"/>
              <w:rPr>
                <w:b/>
                <w:iCs/>
                <w:sz w:val="24"/>
                <w:szCs w:val="24"/>
              </w:rPr>
            </w:pPr>
            <w:r>
              <w:rPr>
                <w:b/>
                <w:sz w:val="18"/>
                <w:szCs w:val="18"/>
              </w:rPr>
              <w:t>9</w:t>
            </w:r>
          </w:p>
        </w:tc>
        <w:tc>
          <w:tcPr>
            <w:tcW w:w="2067" w:type="dxa"/>
            <w:gridSpan w:val="2"/>
            <w:shd w:val="clear" w:color="auto" w:fill="auto"/>
          </w:tcPr>
          <w:p w14:paraId="0F64C243" w14:textId="77777777" w:rsidR="001C08A5" w:rsidRDefault="00000000">
            <w:pPr>
              <w:rPr>
                <w:b/>
                <w:sz w:val="18"/>
                <w:szCs w:val="18"/>
              </w:rPr>
            </w:pPr>
            <w:r>
              <w:rPr>
                <w:b/>
                <w:sz w:val="18"/>
                <w:szCs w:val="18"/>
              </w:rPr>
              <w:t xml:space="preserve">Şarpante ale acoperişurilor, acoperișuri autoportante </w:t>
            </w:r>
            <w:r>
              <w:rPr>
                <w:b/>
                <w:bCs/>
                <w:sz w:val="18"/>
                <w:szCs w:val="18"/>
              </w:rPr>
              <w:t xml:space="preserve">(cupole, structuri spaţiale reticulate etc.) </w:t>
            </w:r>
            <w:r>
              <w:rPr>
                <w:b/>
                <w:sz w:val="18"/>
                <w:szCs w:val="18"/>
              </w:rPr>
              <w:t xml:space="preserve"> </w:t>
            </w:r>
            <w:r>
              <w:rPr>
                <w:b/>
                <w:sz w:val="18"/>
                <w:szCs w:val="18"/>
                <w:lang w:val="en-GB"/>
              </w:rPr>
              <w:t>(R)</w:t>
            </w:r>
          </w:p>
        </w:tc>
        <w:tc>
          <w:tcPr>
            <w:tcW w:w="690" w:type="dxa"/>
            <w:shd w:val="clear" w:color="auto" w:fill="auto"/>
            <w:vAlign w:val="center"/>
          </w:tcPr>
          <w:p w14:paraId="277D430F" w14:textId="77777777" w:rsidR="001C08A5" w:rsidRDefault="00000000">
            <w:pPr>
              <w:jc w:val="center"/>
              <w:rPr>
                <w:b/>
                <w:lang w:val="en-GB"/>
              </w:rPr>
            </w:pPr>
            <w:r>
              <w:rPr>
                <w:b/>
                <w:lang w:val="en-GB"/>
              </w:rPr>
              <w:t>1</w:t>
            </w:r>
            <w:r>
              <w:rPr>
                <w:b/>
              </w:rPr>
              <w:t>2</w:t>
            </w:r>
            <w:r>
              <w:rPr>
                <w:b/>
                <w:lang w:val="en-GB"/>
              </w:rPr>
              <w:t>0</w:t>
            </w:r>
          </w:p>
          <w:p w14:paraId="0B824B34" w14:textId="77777777" w:rsidR="001C08A5" w:rsidRDefault="00000000">
            <w:pPr>
              <w:jc w:val="center"/>
              <w:rPr>
                <w:b/>
                <w:iCs/>
                <w:sz w:val="24"/>
                <w:szCs w:val="24"/>
              </w:rPr>
            </w:pPr>
            <w:r>
              <w:rPr>
                <w:b/>
                <w:lang w:val="en-GB"/>
              </w:rPr>
              <w:t>(</w:t>
            </w:r>
            <w:r>
              <w:rPr>
                <w:rFonts w:eastAsia="Times New Roman"/>
                <w:b/>
              </w:rPr>
              <w:t>A1</w:t>
            </w:r>
            <w:r>
              <w:rPr>
                <w:b/>
                <w:lang w:val="en-GB"/>
              </w:rPr>
              <w:t>)</w:t>
            </w:r>
          </w:p>
        </w:tc>
        <w:tc>
          <w:tcPr>
            <w:tcW w:w="675" w:type="dxa"/>
            <w:shd w:val="clear" w:color="auto" w:fill="auto"/>
            <w:vAlign w:val="center"/>
          </w:tcPr>
          <w:p w14:paraId="208BB893" w14:textId="77777777" w:rsidR="001C08A5" w:rsidRDefault="001C08A5"/>
          <w:p w14:paraId="2B349919" w14:textId="77777777" w:rsidR="001C08A5" w:rsidRDefault="00000000">
            <w:pPr>
              <w:jc w:val="center"/>
              <w:rPr>
                <w:b/>
              </w:rPr>
            </w:pPr>
            <w:r>
              <w:rPr>
                <w:b/>
              </w:rPr>
              <w:t>90</w:t>
            </w:r>
          </w:p>
          <w:p w14:paraId="1BE228AE" w14:textId="77777777" w:rsidR="001C08A5" w:rsidRDefault="00000000">
            <w:pPr>
              <w:jc w:val="center"/>
              <w:rPr>
                <w:b/>
                <w:iCs/>
                <w:sz w:val="24"/>
                <w:szCs w:val="24"/>
              </w:rPr>
            </w:pPr>
            <w:r>
              <w:rPr>
                <w:b/>
                <w:lang w:val="en-GB"/>
              </w:rPr>
              <w:t>(</w:t>
            </w:r>
            <w:r>
              <w:rPr>
                <w:rFonts w:eastAsia="Times New Roman"/>
                <w:b/>
              </w:rPr>
              <w:t>A1</w:t>
            </w:r>
            <w:r>
              <w:rPr>
                <w:b/>
                <w:lang w:val="en-GB"/>
              </w:rPr>
              <w:t>)</w:t>
            </w:r>
          </w:p>
        </w:tc>
        <w:tc>
          <w:tcPr>
            <w:tcW w:w="675" w:type="dxa"/>
            <w:shd w:val="clear" w:color="auto" w:fill="auto"/>
            <w:vAlign w:val="center"/>
          </w:tcPr>
          <w:p w14:paraId="4E3F5175" w14:textId="77777777" w:rsidR="001C08A5" w:rsidRDefault="001C08A5"/>
          <w:p w14:paraId="6E24E2D2" w14:textId="77777777" w:rsidR="001C08A5" w:rsidRDefault="00000000">
            <w:pPr>
              <w:jc w:val="center"/>
              <w:rPr>
                <w:b/>
              </w:rPr>
            </w:pPr>
            <w:r>
              <w:rPr>
                <w:b/>
              </w:rPr>
              <w:t>90</w:t>
            </w:r>
          </w:p>
          <w:p w14:paraId="181E9305" w14:textId="77777777" w:rsidR="001C08A5" w:rsidRDefault="00000000">
            <w:pPr>
              <w:jc w:val="center"/>
              <w:rPr>
                <w:b/>
                <w:iCs/>
                <w:sz w:val="24"/>
                <w:szCs w:val="24"/>
              </w:rPr>
            </w:pPr>
            <w:r>
              <w:rPr>
                <w:b/>
                <w:lang w:val="en-GB"/>
              </w:rPr>
              <w:t>(</w:t>
            </w:r>
            <w:r>
              <w:rPr>
                <w:rFonts w:eastAsia="Times New Roman"/>
                <w:b/>
              </w:rPr>
              <w:t>A1</w:t>
            </w:r>
            <w:r>
              <w:rPr>
                <w:b/>
                <w:lang w:val="en-GB"/>
              </w:rPr>
              <w:t>)</w:t>
            </w:r>
          </w:p>
        </w:tc>
        <w:tc>
          <w:tcPr>
            <w:tcW w:w="690" w:type="dxa"/>
            <w:shd w:val="clear" w:color="auto" w:fill="auto"/>
            <w:vAlign w:val="center"/>
          </w:tcPr>
          <w:p w14:paraId="67FADCB0" w14:textId="77777777" w:rsidR="001C08A5" w:rsidRDefault="001C08A5"/>
          <w:p w14:paraId="1DF13CC8" w14:textId="77777777" w:rsidR="001C08A5" w:rsidRDefault="00000000">
            <w:pPr>
              <w:jc w:val="center"/>
              <w:rPr>
                <w:b/>
                <w:iCs/>
                <w:sz w:val="24"/>
                <w:szCs w:val="24"/>
              </w:rPr>
            </w:pPr>
            <w:r>
              <w:rPr>
                <w:b/>
              </w:rPr>
              <w:t xml:space="preserve">60 </w:t>
            </w:r>
            <w:r>
              <w:rPr>
                <w:b/>
                <w:lang w:val="en-GB"/>
              </w:rPr>
              <w:t>(</w:t>
            </w:r>
            <w:r>
              <w:rPr>
                <w:rFonts w:eastAsia="Times New Roman"/>
                <w:b/>
              </w:rPr>
              <w:t>A1</w:t>
            </w:r>
            <w:r>
              <w:rPr>
                <w:b/>
                <w:lang w:val="en-GB"/>
              </w:rPr>
              <w:t>)</w:t>
            </w:r>
          </w:p>
        </w:tc>
        <w:tc>
          <w:tcPr>
            <w:tcW w:w="675" w:type="dxa"/>
            <w:shd w:val="clear" w:color="auto" w:fill="auto"/>
            <w:vAlign w:val="center"/>
          </w:tcPr>
          <w:p w14:paraId="4AB58D43" w14:textId="77777777" w:rsidR="001C08A5" w:rsidRDefault="001C08A5">
            <w:pPr>
              <w:jc w:val="center"/>
              <w:rPr>
                <w:b/>
                <w:lang w:val="en-US"/>
              </w:rPr>
            </w:pPr>
          </w:p>
          <w:p w14:paraId="31F91D8E" w14:textId="77777777" w:rsidR="001C08A5" w:rsidRDefault="00000000">
            <w:pPr>
              <w:jc w:val="center"/>
              <w:rPr>
                <w:b/>
                <w:iCs/>
                <w:sz w:val="24"/>
                <w:szCs w:val="24"/>
              </w:rPr>
            </w:pPr>
            <w:r>
              <w:rPr>
                <w:b/>
              </w:rPr>
              <w:t xml:space="preserve">60 </w:t>
            </w:r>
            <w:r>
              <w:rPr>
                <w:b/>
                <w:lang w:val="en-GB"/>
              </w:rPr>
              <w:t>(</w:t>
            </w:r>
            <w:r>
              <w:rPr>
                <w:rFonts w:eastAsia="Times New Roman"/>
                <w:b/>
              </w:rPr>
              <w:t>A1</w:t>
            </w:r>
            <w:r>
              <w:rPr>
                <w:b/>
                <w:lang w:val="en-GB"/>
              </w:rPr>
              <w:t>)</w:t>
            </w:r>
          </w:p>
        </w:tc>
        <w:tc>
          <w:tcPr>
            <w:tcW w:w="675" w:type="dxa"/>
            <w:shd w:val="clear" w:color="auto" w:fill="auto"/>
            <w:vAlign w:val="center"/>
          </w:tcPr>
          <w:p w14:paraId="3CEF9EBD" w14:textId="77777777" w:rsidR="001C08A5" w:rsidRDefault="001C08A5">
            <w:pPr>
              <w:jc w:val="center"/>
              <w:rPr>
                <w:b/>
                <w:lang w:val="en-US"/>
              </w:rPr>
            </w:pPr>
          </w:p>
          <w:p w14:paraId="4FA97D72" w14:textId="77777777" w:rsidR="001C08A5" w:rsidRDefault="00000000">
            <w:pPr>
              <w:jc w:val="center"/>
              <w:rPr>
                <w:b/>
                <w:iCs/>
              </w:rPr>
            </w:pPr>
            <w:r>
              <w:rPr>
                <w:b/>
              </w:rPr>
              <w:t>60</w:t>
            </w:r>
            <w:r>
              <w:rPr>
                <w:b/>
                <w:lang w:val="en-GB"/>
              </w:rPr>
              <w:t xml:space="preserve"> (</w:t>
            </w:r>
            <w:r>
              <w:rPr>
                <w:rFonts w:eastAsia="Times New Roman"/>
                <w:b/>
              </w:rPr>
              <w:t>A1</w:t>
            </w:r>
            <w:r>
              <w:rPr>
                <w:b/>
                <w:lang w:val="en-GB"/>
              </w:rPr>
              <w:t>)</w:t>
            </w:r>
          </w:p>
        </w:tc>
        <w:tc>
          <w:tcPr>
            <w:tcW w:w="690" w:type="dxa"/>
            <w:shd w:val="clear" w:color="auto" w:fill="auto"/>
            <w:vAlign w:val="center"/>
          </w:tcPr>
          <w:p w14:paraId="343E4E83" w14:textId="77777777" w:rsidR="001C08A5" w:rsidRDefault="001C08A5">
            <w:pPr>
              <w:jc w:val="center"/>
              <w:rPr>
                <w:b/>
                <w:lang w:val="en-US"/>
              </w:rPr>
            </w:pPr>
          </w:p>
          <w:p w14:paraId="5556D819" w14:textId="77777777" w:rsidR="001C08A5" w:rsidRDefault="00000000">
            <w:pPr>
              <w:jc w:val="center"/>
              <w:rPr>
                <w:b/>
                <w:iCs/>
              </w:rPr>
            </w:pPr>
            <w:r>
              <w:rPr>
                <w:b/>
              </w:rPr>
              <w:t>45</w:t>
            </w:r>
          </w:p>
        </w:tc>
        <w:tc>
          <w:tcPr>
            <w:tcW w:w="675" w:type="dxa"/>
            <w:shd w:val="clear" w:color="auto" w:fill="auto"/>
            <w:vAlign w:val="center"/>
          </w:tcPr>
          <w:p w14:paraId="7FAD0F1F" w14:textId="77777777" w:rsidR="001C08A5" w:rsidRDefault="001C08A5">
            <w:pPr>
              <w:jc w:val="center"/>
              <w:rPr>
                <w:b/>
                <w:lang w:val="en-US"/>
              </w:rPr>
            </w:pPr>
          </w:p>
          <w:p w14:paraId="2D2A0283" w14:textId="77777777" w:rsidR="001C08A5" w:rsidRDefault="00000000">
            <w:pPr>
              <w:jc w:val="center"/>
              <w:rPr>
                <w:b/>
                <w:iCs/>
                <w:sz w:val="24"/>
                <w:szCs w:val="24"/>
              </w:rPr>
            </w:pPr>
            <w:r>
              <w:rPr>
                <w:b/>
              </w:rPr>
              <w:t>45</w:t>
            </w:r>
          </w:p>
        </w:tc>
        <w:tc>
          <w:tcPr>
            <w:tcW w:w="675" w:type="dxa"/>
            <w:shd w:val="clear" w:color="auto" w:fill="auto"/>
            <w:vAlign w:val="center"/>
          </w:tcPr>
          <w:p w14:paraId="3FAF24F2" w14:textId="77777777" w:rsidR="001C08A5" w:rsidRDefault="001C08A5">
            <w:pPr>
              <w:jc w:val="center"/>
              <w:rPr>
                <w:b/>
                <w:lang w:val="en-US"/>
              </w:rPr>
            </w:pPr>
          </w:p>
          <w:p w14:paraId="3D292B16" w14:textId="77777777" w:rsidR="001C08A5" w:rsidRDefault="00000000">
            <w:pPr>
              <w:jc w:val="center"/>
              <w:rPr>
                <w:b/>
                <w:iCs/>
                <w:sz w:val="24"/>
                <w:szCs w:val="24"/>
              </w:rPr>
            </w:pPr>
            <w:r>
              <w:rPr>
                <w:b/>
              </w:rPr>
              <w:t>30</w:t>
            </w:r>
          </w:p>
        </w:tc>
        <w:tc>
          <w:tcPr>
            <w:tcW w:w="690" w:type="dxa"/>
            <w:shd w:val="clear" w:color="auto" w:fill="auto"/>
            <w:vAlign w:val="center"/>
          </w:tcPr>
          <w:p w14:paraId="6F66B64B" w14:textId="77777777" w:rsidR="001C08A5" w:rsidRDefault="001C08A5">
            <w:pPr>
              <w:jc w:val="center"/>
              <w:rPr>
                <w:b/>
                <w:lang w:val="en-US"/>
              </w:rPr>
            </w:pPr>
          </w:p>
          <w:p w14:paraId="526C4A24" w14:textId="77777777" w:rsidR="001C08A5" w:rsidRDefault="00000000">
            <w:pPr>
              <w:jc w:val="center"/>
              <w:rPr>
                <w:b/>
                <w:iCs/>
                <w:sz w:val="24"/>
                <w:szCs w:val="24"/>
              </w:rPr>
            </w:pPr>
            <w:r>
              <w:rPr>
                <w:b/>
              </w:rPr>
              <w:t>15</w:t>
            </w:r>
          </w:p>
        </w:tc>
        <w:tc>
          <w:tcPr>
            <w:tcW w:w="673" w:type="dxa"/>
            <w:shd w:val="clear" w:color="auto" w:fill="auto"/>
            <w:vAlign w:val="center"/>
          </w:tcPr>
          <w:p w14:paraId="1F651A53" w14:textId="77777777" w:rsidR="001C08A5" w:rsidRDefault="00000000">
            <w:pPr>
              <w:jc w:val="center"/>
              <w:rPr>
                <w:b/>
              </w:rPr>
            </w:pPr>
            <w:r>
              <w:rPr>
                <w:b/>
              </w:rPr>
              <w:t>-</w:t>
            </w:r>
          </w:p>
          <w:p w14:paraId="04AFB46D" w14:textId="77777777" w:rsidR="001C08A5" w:rsidRDefault="001C08A5">
            <w:pPr>
              <w:jc w:val="center"/>
              <w:rPr>
                <w:b/>
                <w:iCs/>
                <w:sz w:val="24"/>
                <w:szCs w:val="24"/>
              </w:rPr>
            </w:pPr>
          </w:p>
        </w:tc>
      </w:tr>
      <w:tr w:rsidR="001C08A5" w14:paraId="582470DB" w14:textId="77777777">
        <w:trPr>
          <w:jc w:val="right"/>
        </w:trPr>
        <w:tc>
          <w:tcPr>
            <w:tcW w:w="305" w:type="dxa"/>
            <w:vMerge w:val="restart"/>
            <w:shd w:val="clear" w:color="auto" w:fill="auto"/>
          </w:tcPr>
          <w:p w14:paraId="7853E658" w14:textId="77777777" w:rsidR="001C08A5" w:rsidRDefault="00000000">
            <w:pPr>
              <w:rPr>
                <w:b/>
                <w:iCs/>
                <w:sz w:val="24"/>
                <w:szCs w:val="24"/>
              </w:rPr>
            </w:pPr>
            <w:r>
              <w:rPr>
                <w:b/>
                <w:sz w:val="18"/>
                <w:szCs w:val="18"/>
              </w:rPr>
              <w:t>10</w:t>
            </w:r>
          </w:p>
        </w:tc>
        <w:tc>
          <w:tcPr>
            <w:tcW w:w="844" w:type="dxa"/>
            <w:vMerge w:val="restart"/>
            <w:shd w:val="clear" w:color="auto" w:fill="auto"/>
            <w:vAlign w:val="center"/>
          </w:tcPr>
          <w:p w14:paraId="45B8B315" w14:textId="77777777" w:rsidR="001C08A5" w:rsidRDefault="001C08A5">
            <w:pPr>
              <w:jc w:val="center"/>
              <w:rPr>
                <w:b/>
                <w:sz w:val="18"/>
                <w:szCs w:val="18"/>
              </w:rPr>
            </w:pPr>
          </w:p>
          <w:p w14:paraId="59BB02DF" w14:textId="77777777" w:rsidR="001C08A5" w:rsidRDefault="00000000">
            <w:pPr>
              <w:jc w:val="left"/>
              <w:rPr>
                <w:b/>
                <w:sz w:val="18"/>
                <w:szCs w:val="18"/>
              </w:rPr>
            </w:pPr>
            <w:r>
              <w:rPr>
                <w:b/>
                <w:sz w:val="18"/>
                <w:szCs w:val="18"/>
              </w:rPr>
              <w:t>Panouri/ sisteme de învelitoare ale acoperişurilor în pantă definite conform termino logie (*)</w:t>
            </w:r>
          </w:p>
        </w:tc>
        <w:tc>
          <w:tcPr>
            <w:tcW w:w="1223" w:type="dxa"/>
            <w:shd w:val="clear" w:color="auto" w:fill="auto"/>
            <w:vAlign w:val="center"/>
          </w:tcPr>
          <w:p w14:paraId="766A0178" w14:textId="77777777" w:rsidR="001C08A5" w:rsidRDefault="00000000">
            <w:pPr>
              <w:numPr>
                <w:ilvl w:val="255"/>
                <w:numId w:val="0"/>
              </w:numPr>
              <w:rPr>
                <w:b/>
                <w:sz w:val="18"/>
                <w:szCs w:val="18"/>
              </w:rPr>
            </w:pPr>
            <w:r>
              <w:rPr>
                <w:b/>
                <w:sz w:val="18"/>
                <w:szCs w:val="18"/>
              </w:rPr>
              <w:t>a.</w:t>
            </w:r>
          </w:p>
          <w:p w14:paraId="5BC75E57" w14:textId="77777777" w:rsidR="001C08A5" w:rsidRDefault="00000000">
            <w:pPr>
              <w:numPr>
                <w:ilvl w:val="255"/>
                <w:numId w:val="0"/>
              </w:numPr>
              <w:rPr>
                <w:b/>
                <w:sz w:val="18"/>
                <w:szCs w:val="18"/>
                <w:lang w:eastAsia="en-US"/>
              </w:rPr>
            </w:pPr>
            <w:r>
              <w:rPr>
                <w:b/>
                <w:sz w:val="18"/>
                <w:szCs w:val="18"/>
              </w:rPr>
              <w:t>c</w:t>
            </w:r>
            <w:r>
              <w:rPr>
                <w:b/>
                <w:sz w:val="18"/>
                <w:szCs w:val="18"/>
                <w:lang w:eastAsia="en-US"/>
              </w:rPr>
              <w:t>u încărcări din vânt și zăpadă (E)</w:t>
            </w:r>
          </w:p>
          <w:p w14:paraId="0A7B124A" w14:textId="77777777" w:rsidR="001C08A5" w:rsidRDefault="001C08A5">
            <w:pPr>
              <w:numPr>
                <w:ilvl w:val="255"/>
                <w:numId w:val="0"/>
              </w:numPr>
              <w:rPr>
                <w:b/>
                <w:sz w:val="18"/>
                <w:szCs w:val="18"/>
                <w:lang w:eastAsia="en-US"/>
              </w:rPr>
            </w:pPr>
          </w:p>
        </w:tc>
        <w:tc>
          <w:tcPr>
            <w:tcW w:w="690" w:type="dxa"/>
            <w:shd w:val="clear" w:color="auto" w:fill="auto"/>
            <w:vAlign w:val="center"/>
          </w:tcPr>
          <w:p w14:paraId="2E795CD4" w14:textId="77777777" w:rsidR="001C08A5" w:rsidRDefault="00000000">
            <w:pPr>
              <w:jc w:val="center"/>
              <w:rPr>
                <w:b/>
              </w:rPr>
            </w:pPr>
            <w:r>
              <w:rPr>
                <w:b/>
              </w:rPr>
              <w:t>60</w:t>
            </w:r>
          </w:p>
          <w:p w14:paraId="00EAF07C" w14:textId="77777777" w:rsidR="001C08A5" w:rsidRDefault="00000000">
            <w:pPr>
              <w:jc w:val="center"/>
              <w:rPr>
                <w:b/>
                <w:iCs/>
                <w:sz w:val="24"/>
                <w:szCs w:val="24"/>
              </w:rPr>
            </w:pPr>
            <w:r>
              <w:rPr>
                <w:b/>
                <w:sz w:val="15"/>
                <w:szCs w:val="15"/>
                <w:lang w:val="en-GB"/>
              </w:rPr>
              <w:t>(A1 sau A2-s</w:t>
            </w:r>
            <w:proofErr w:type="gramStart"/>
            <w:r>
              <w:rPr>
                <w:b/>
                <w:sz w:val="15"/>
                <w:szCs w:val="15"/>
                <w:lang w:val="en-GB"/>
              </w:rPr>
              <w:t>1,d</w:t>
            </w:r>
            <w:proofErr w:type="gramEnd"/>
            <w:r>
              <w:rPr>
                <w:b/>
                <w:sz w:val="15"/>
                <w:szCs w:val="15"/>
                <w:lang w:val="en-GB"/>
              </w:rPr>
              <w:t>0)</w:t>
            </w:r>
          </w:p>
        </w:tc>
        <w:tc>
          <w:tcPr>
            <w:tcW w:w="675" w:type="dxa"/>
            <w:shd w:val="clear" w:color="auto" w:fill="auto"/>
            <w:vAlign w:val="center"/>
          </w:tcPr>
          <w:p w14:paraId="501872C1" w14:textId="77777777" w:rsidR="001C08A5" w:rsidRDefault="00000000">
            <w:pPr>
              <w:jc w:val="center"/>
              <w:rPr>
                <w:b/>
                <w:iCs/>
                <w:sz w:val="24"/>
                <w:szCs w:val="24"/>
              </w:rPr>
            </w:pPr>
            <w:r>
              <w:rPr>
                <w:b/>
              </w:rPr>
              <w:t xml:space="preserve">45 </w:t>
            </w:r>
            <w:r>
              <w:rPr>
                <w:b/>
                <w:sz w:val="15"/>
                <w:szCs w:val="15"/>
                <w:lang w:val="en-GB"/>
              </w:rPr>
              <w:t>(A1 sau A2-s1,d0)</w:t>
            </w:r>
          </w:p>
        </w:tc>
        <w:tc>
          <w:tcPr>
            <w:tcW w:w="675" w:type="dxa"/>
            <w:shd w:val="clear" w:color="auto" w:fill="auto"/>
            <w:vAlign w:val="center"/>
          </w:tcPr>
          <w:p w14:paraId="54F7284F" w14:textId="77777777" w:rsidR="001C08A5" w:rsidRDefault="00000000">
            <w:pPr>
              <w:jc w:val="center"/>
              <w:rPr>
                <w:b/>
                <w:iCs/>
                <w:sz w:val="24"/>
                <w:szCs w:val="24"/>
              </w:rPr>
            </w:pPr>
            <w:r>
              <w:rPr>
                <w:b/>
              </w:rPr>
              <w:t xml:space="preserve">45 </w:t>
            </w:r>
            <w:r>
              <w:rPr>
                <w:b/>
                <w:sz w:val="15"/>
                <w:szCs w:val="15"/>
                <w:lang w:val="en-GB"/>
              </w:rPr>
              <w:t>(A1 sau A2-s1,d0)</w:t>
            </w:r>
          </w:p>
        </w:tc>
        <w:tc>
          <w:tcPr>
            <w:tcW w:w="690" w:type="dxa"/>
            <w:shd w:val="clear" w:color="auto" w:fill="auto"/>
            <w:vAlign w:val="center"/>
          </w:tcPr>
          <w:p w14:paraId="28D24DF8" w14:textId="77777777" w:rsidR="001C08A5" w:rsidRDefault="00000000">
            <w:pPr>
              <w:jc w:val="center"/>
              <w:rPr>
                <w:b/>
              </w:rPr>
            </w:pPr>
            <w:r>
              <w:rPr>
                <w:b/>
              </w:rPr>
              <w:t>30</w:t>
            </w:r>
          </w:p>
          <w:p w14:paraId="2705F2D2" w14:textId="77777777" w:rsidR="001C08A5" w:rsidRDefault="00000000">
            <w:pPr>
              <w:jc w:val="center"/>
              <w:rPr>
                <w:b/>
                <w:iCs/>
                <w:sz w:val="24"/>
                <w:szCs w:val="24"/>
              </w:rPr>
            </w:pPr>
            <w:r>
              <w:rPr>
                <w:b/>
                <w:sz w:val="15"/>
                <w:szCs w:val="15"/>
                <w:lang w:val="en-GB"/>
              </w:rPr>
              <w:t>(A1 sau A2-s</w:t>
            </w:r>
            <w:proofErr w:type="gramStart"/>
            <w:r>
              <w:rPr>
                <w:b/>
                <w:sz w:val="15"/>
                <w:szCs w:val="15"/>
                <w:lang w:val="en-GB"/>
              </w:rPr>
              <w:t>1,d</w:t>
            </w:r>
            <w:proofErr w:type="gramEnd"/>
            <w:r>
              <w:rPr>
                <w:b/>
                <w:sz w:val="15"/>
                <w:szCs w:val="15"/>
                <w:lang w:val="en-GB"/>
              </w:rPr>
              <w:t>0)</w:t>
            </w:r>
          </w:p>
        </w:tc>
        <w:tc>
          <w:tcPr>
            <w:tcW w:w="675" w:type="dxa"/>
            <w:shd w:val="clear" w:color="auto" w:fill="auto"/>
            <w:vAlign w:val="center"/>
          </w:tcPr>
          <w:p w14:paraId="2A411FF5" w14:textId="77777777" w:rsidR="001C08A5" w:rsidRDefault="00000000">
            <w:pPr>
              <w:jc w:val="center"/>
              <w:rPr>
                <w:b/>
              </w:rPr>
            </w:pPr>
            <w:r>
              <w:rPr>
                <w:b/>
              </w:rPr>
              <w:t>30</w:t>
            </w:r>
          </w:p>
          <w:p w14:paraId="1F73C04A" w14:textId="77777777" w:rsidR="001C08A5" w:rsidRDefault="00000000">
            <w:pPr>
              <w:jc w:val="center"/>
              <w:rPr>
                <w:b/>
                <w:iCs/>
                <w:sz w:val="24"/>
                <w:szCs w:val="24"/>
              </w:rPr>
            </w:pPr>
            <w:r>
              <w:rPr>
                <w:b/>
                <w:sz w:val="15"/>
                <w:szCs w:val="15"/>
                <w:lang w:val="en-GB"/>
              </w:rPr>
              <w:t>(A1sau A2-s</w:t>
            </w:r>
            <w:proofErr w:type="gramStart"/>
            <w:r>
              <w:rPr>
                <w:b/>
                <w:sz w:val="15"/>
                <w:szCs w:val="15"/>
                <w:lang w:val="en-GB"/>
              </w:rPr>
              <w:t>1,d</w:t>
            </w:r>
            <w:proofErr w:type="gramEnd"/>
            <w:r>
              <w:rPr>
                <w:b/>
                <w:sz w:val="15"/>
                <w:szCs w:val="15"/>
                <w:lang w:val="en-GB"/>
              </w:rPr>
              <w:t>0)</w:t>
            </w:r>
          </w:p>
        </w:tc>
        <w:tc>
          <w:tcPr>
            <w:tcW w:w="675" w:type="dxa"/>
            <w:shd w:val="clear" w:color="auto" w:fill="auto"/>
            <w:vAlign w:val="center"/>
          </w:tcPr>
          <w:p w14:paraId="36A498E5" w14:textId="77777777" w:rsidR="001C08A5" w:rsidRDefault="00000000">
            <w:pPr>
              <w:jc w:val="center"/>
              <w:rPr>
                <w:b/>
              </w:rPr>
            </w:pPr>
            <w:r>
              <w:rPr>
                <w:b/>
              </w:rPr>
              <w:t>30</w:t>
            </w:r>
          </w:p>
          <w:p w14:paraId="638A6401" w14:textId="77777777" w:rsidR="001C08A5" w:rsidRDefault="00000000">
            <w:pPr>
              <w:jc w:val="center"/>
              <w:rPr>
                <w:b/>
                <w:lang w:val="en-GB"/>
              </w:rPr>
            </w:pPr>
            <w:r>
              <w:rPr>
                <w:b/>
                <w:lang w:val="en-GB"/>
              </w:rPr>
              <w:t>(*)</w:t>
            </w:r>
          </w:p>
          <w:p w14:paraId="4F2B59E5" w14:textId="77777777" w:rsidR="001C08A5" w:rsidRDefault="00000000">
            <w:pPr>
              <w:jc w:val="center"/>
              <w:rPr>
                <w:b/>
                <w:iCs/>
                <w:sz w:val="24"/>
                <w:szCs w:val="24"/>
              </w:rPr>
            </w:pPr>
            <w:r>
              <w:rPr>
                <w:b/>
                <w:sz w:val="15"/>
                <w:szCs w:val="15"/>
                <w:lang w:val="en-GB"/>
              </w:rPr>
              <w:t>(min B-s</w:t>
            </w:r>
            <w:proofErr w:type="gramStart"/>
            <w:r>
              <w:rPr>
                <w:b/>
                <w:sz w:val="15"/>
                <w:szCs w:val="15"/>
                <w:lang w:val="en-GB"/>
              </w:rPr>
              <w:t>2,d</w:t>
            </w:r>
            <w:proofErr w:type="gramEnd"/>
            <w:r>
              <w:rPr>
                <w:b/>
                <w:sz w:val="15"/>
                <w:szCs w:val="15"/>
                <w:lang w:val="en-GB"/>
              </w:rPr>
              <w:t>0)</w:t>
            </w:r>
          </w:p>
        </w:tc>
        <w:tc>
          <w:tcPr>
            <w:tcW w:w="690" w:type="dxa"/>
            <w:shd w:val="clear" w:color="auto" w:fill="auto"/>
            <w:vAlign w:val="center"/>
          </w:tcPr>
          <w:p w14:paraId="4D2496BC" w14:textId="77777777" w:rsidR="001C08A5" w:rsidRDefault="00000000">
            <w:pPr>
              <w:jc w:val="center"/>
              <w:rPr>
                <w:b/>
              </w:rPr>
            </w:pPr>
            <w:r>
              <w:rPr>
                <w:b/>
              </w:rPr>
              <w:t>30</w:t>
            </w:r>
          </w:p>
          <w:p w14:paraId="0FB77D65" w14:textId="77777777" w:rsidR="001C08A5" w:rsidRDefault="00000000">
            <w:pPr>
              <w:jc w:val="center"/>
              <w:rPr>
                <w:b/>
                <w:lang w:val="en-GB"/>
              </w:rPr>
            </w:pPr>
            <w:r>
              <w:rPr>
                <w:b/>
                <w:lang w:val="en-GB"/>
              </w:rPr>
              <w:t>(*)</w:t>
            </w:r>
          </w:p>
          <w:p w14:paraId="0D525008" w14:textId="77777777" w:rsidR="001C08A5" w:rsidRDefault="00000000">
            <w:pPr>
              <w:jc w:val="center"/>
              <w:rPr>
                <w:b/>
                <w:iCs/>
                <w:sz w:val="24"/>
                <w:szCs w:val="24"/>
              </w:rPr>
            </w:pPr>
            <w:r>
              <w:rPr>
                <w:b/>
                <w:sz w:val="15"/>
                <w:szCs w:val="15"/>
                <w:lang w:val="en-GB"/>
              </w:rPr>
              <w:t>(min B-s</w:t>
            </w:r>
            <w:proofErr w:type="gramStart"/>
            <w:r>
              <w:rPr>
                <w:b/>
                <w:sz w:val="15"/>
                <w:szCs w:val="15"/>
                <w:lang w:val="en-GB"/>
              </w:rPr>
              <w:t>2,d</w:t>
            </w:r>
            <w:proofErr w:type="gramEnd"/>
            <w:r>
              <w:rPr>
                <w:b/>
                <w:sz w:val="15"/>
                <w:szCs w:val="15"/>
                <w:lang w:val="en-GB"/>
              </w:rPr>
              <w:t>0)</w:t>
            </w:r>
          </w:p>
        </w:tc>
        <w:tc>
          <w:tcPr>
            <w:tcW w:w="675" w:type="dxa"/>
            <w:shd w:val="clear" w:color="auto" w:fill="auto"/>
            <w:vAlign w:val="center"/>
          </w:tcPr>
          <w:p w14:paraId="29D4E932" w14:textId="77777777" w:rsidR="001C08A5" w:rsidRDefault="00000000">
            <w:pPr>
              <w:jc w:val="center"/>
              <w:rPr>
                <w:b/>
              </w:rPr>
            </w:pPr>
            <w:r>
              <w:rPr>
                <w:b/>
              </w:rPr>
              <w:t>15</w:t>
            </w:r>
          </w:p>
          <w:p w14:paraId="6802F608" w14:textId="77777777" w:rsidR="001C08A5" w:rsidRDefault="00000000">
            <w:pPr>
              <w:jc w:val="center"/>
              <w:rPr>
                <w:b/>
                <w:lang w:val="en-GB"/>
              </w:rPr>
            </w:pPr>
            <w:r>
              <w:rPr>
                <w:b/>
                <w:lang w:val="en-GB"/>
              </w:rPr>
              <w:t>(*)</w:t>
            </w:r>
          </w:p>
          <w:p w14:paraId="54A58D10" w14:textId="77777777" w:rsidR="001C08A5" w:rsidRDefault="00000000">
            <w:pPr>
              <w:jc w:val="center"/>
              <w:rPr>
                <w:b/>
                <w:iCs/>
                <w:sz w:val="24"/>
                <w:szCs w:val="24"/>
              </w:rPr>
            </w:pPr>
            <w:r>
              <w:rPr>
                <w:b/>
                <w:sz w:val="15"/>
                <w:szCs w:val="15"/>
                <w:lang w:val="en-GB"/>
              </w:rPr>
              <w:t>(min C-s</w:t>
            </w:r>
            <w:proofErr w:type="gramStart"/>
            <w:r>
              <w:rPr>
                <w:b/>
                <w:sz w:val="15"/>
                <w:szCs w:val="15"/>
                <w:lang w:val="en-GB"/>
              </w:rPr>
              <w:t>3,d</w:t>
            </w:r>
            <w:proofErr w:type="gramEnd"/>
            <w:r>
              <w:rPr>
                <w:b/>
                <w:sz w:val="15"/>
                <w:szCs w:val="15"/>
                <w:lang w:val="en-GB"/>
              </w:rPr>
              <w:t>0)</w:t>
            </w:r>
          </w:p>
        </w:tc>
        <w:tc>
          <w:tcPr>
            <w:tcW w:w="675" w:type="dxa"/>
            <w:shd w:val="clear" w:color="auto" w:fill="auto"/>
            <w:vAlign w:val="center"/>
          </w:tcPr>
          <w:p w14:paraId="6E2177D3" w14:textId="77777777" w:rsidR="001C08A5" w:rsidRDefault="00000000">
            <w:pPr>
              <w:jc w:val="center"/>
              <w:rPr>
                <w:b/>
              </w:rPr>
            </w:pPr>
            <w:r>
              <w:rPr>
                <w:b/>
              </w:rPr>
              <w:t>15</w:t>
            </w:r>
          </w:p>
          <w:p w14:paraId="14FED1C4" w14:textId="77777777" w:rsidR="001C08A5" w:rsidRDefault="00000000">
            <w:pPr>
              <w:jc w:val="center"/>
              <w:rPr>
                <w:b/>
                <w:lang w:val="en-GB"/>
              </w:rPr>
            </w:pPr>
            <w:r>
              <w:rPr>
                <w:b/>
                <w:lang w:val="en-GB"/>
              </w:rPr>
              <w:t>(*)</w:t>
            </w:r>
          </w:p>
          <w:p w14:paraId="0EC20647" w14:textId="77777777" w:rsidR="001C08A5" w:rsidRDefault="00000000">
            <w:pPr>
              <w:jc w:val="center"/>
              <w:rPr>
                <w:b/>
                <w:iCs/>
                <w:sz w:val="24"/>
                <w:szCs w:val="24"/>
              </w:rPr>
            </w:pPr>
            <w:r>
              <w:rPr>
                <w:b/>
                <w:sz w:val="15"/>
                <w:szCs w:val="15"/>
                <w:lang w:val="en-GB"/>
              </w:rPr>
              <w:t>(min C-s</w:t>
            </w:r>
            <w:proofErr w:type="gramStart"/>
            <w:r>
              <w:rPr>
                <w:b/>
                <w:sz w:val="15"/>
                <w:szCs w:val="15"/>
                <w:lang w:val="en-GB"/>
              </w:rPr>
              <w:t>3,d</w:t>
            </w:r>
            <w:proofErr w:type="gramEnd"/>
            <w:r>
              <w:rPr>
                <w:b/>
                <w:sz w:val="15"/>
                <w:szCs w:val="15"/>
                <w:lang w:val="en-GB"/>
              </w:rPr>
              <w:t>0)</w:t>
            </w:r>
          </w:p>
        </w:tc>
        <w:tc>
          <w:tcPr>
            <w:tcW w:w="690" w:type="dxa"/>
            <w:shd w:val="clear" w:color="auto" w:fill="auto"/>
            <w:vAlign w:val="center"/>
          </w:tcPr>
          <w:p w14:paraId="44777C81" w14:textId="77777777" w:rsidR="001C08A5" w:rsidRDefault="00000000">
            <w:pPr>
              <w:jc w:val="center"/>
              <w:rPr>
                <w:b/>
                <w:lang w:val="en-GB"/>
              </w:rPr>
            </w:pPr>
            <w:r>
              <w:rPr>
                <w:b/>
                <w:lang w:val="en-GB"/>
              </w:rPr>
              <w:t>(*)</w:t>
            </w:r>
          </w:p>
          <w:p w14:paraId="36F028DF" w14:textId="77777777" w:rsidR="001C08A5" w:rsidRDefault="00000000">
            <w:pPr>
              <w:jc w:val="center"/>
              <w:rPr>
                <w:b/>
                <w:iCs/>
                <w:sz w:val="24"/>
                <w:szCs w:val="24"/>
              </w:rPr>
            </w:pPr>
            <w:r>
              <w:rPr>
                <w:b/>
                <w:sz w:val="15"/>
                <w:szCs w:val="15"/>
                <w:lang w:val="en-GB"/>
              </w:rPr>
              <w:t>(min D-s</w:t>
            </w:r>
            <w:proofErr w:type="gramStart"/>
            <w:r>
              <w:rPr>
                <w:b/>
                <w:sz w:val="15"/>
                <w:szCs w:val="15"/>
                <w:lang w:val="en-GB"/>
              </w:rPr>
              <w:t>3,d</w:t>
            </w:r>
            <w:proofErr w:type="gramEnd"/>
            <w:r>
              <w:rPr>
                <w:b/>
                <w:sz w:val="15"/>
                <w:szCs w:val="15"/>
                <w:lang w:val="en-GB"/>
              </w:rPr>
              <w:t>0)</w:t>
            </w:r>
          </w:p>
        </w:tc>
        <w:tc>
          <w:tcPr>
            <w:tcW w:w="673" w:type="dxa"/>
            <w:shd w:val="clear" w:color="auto" w:fill="auto"/>
            <w:vAlign w:val="center"/>
          </w:tcPr>
          <w:p w14:paraId="365CBBD8" w14:textId="77777777" w:rsidR="001C08A5" w:rsidRDefault="00000000">
            <w:pPr>
              <w:jc w:val="center"/>
              <w:rPr>
                <w:b/>
                <w:lang w:val="en-GB"/>
              </w:rPr>
            </w:pPr>
            <w:r>
              <w:rPr>
                <w:b/>
                <w:lang w:val="en-GB"/>
              </w:rPr>
              <w:t>(*)</w:t>
            </w:r>
          </w:p>
          <w:p w14:paraId="1E9F163A" w14:textId="77777777" w:rsidR="001C08A5" w:rsidRDefault="00000000">
            <w:pPr>
              <w:jc w:val="center"/>
              <w:rPr>
                <w:b/>
                <w:iCs/>
                <w:sz w:val="24"/>
                <w:szCs w:val="24"/>
              </w:rPr>
            </w:pPr>
            <w:r>
              <w:rPr>
                <w:b/>
                <w:sz w:val="15"/>
                <w:szCs w:val="15"/>
                <w:lang w:val="en-GB"/>
              </w:rPr>
              <w:t>(minD-s</w:t>
            </w:r>
            <w:proofErr w:type="gramStart"/>
            <w:r>
              <w:rPr>
                <w:b/>
                <w:sz w:val="15"/>
                <w:szCs w:val="15"/>
                <w:lang w:val="en-GB"/>
              </w:rPr>
              <w:t>3,d</w:t>
            </w:r>
            <w:proofErr w:type="gramEnd"/>
            <w:r>
              <w:rPr>
                <w:b/>
                <w:sz w:val="15"/>
                <w:szCs w:val="15"/>
                <w:lang w:val="en-GB"/>
              </w:rPr>
              <w:t>1)</w:t>
            </w:r>
          </w:p>
        </w:tc>
      </w:tr>
      <w:tr w:rsidR="001C08A5" w14:paraId="531FDA21" w14:textId="77777777">
        <w:trPr>
          <w:jc w:val="right"/>
        </w:trPr>
        <w:tc>
          <w:tcPr>
            <w:tcW w:w="305" w:type="dxa"/>
            <w:vMerge/>
            <w:shd w:val="clear" w:color="auto" w:fill="auto"/>
          </w:tcPr>
          <w:p w14:paraId="090A6DD5" w14:textId="77777777" w:rsidR="001C08A5" w:rsidRDefault="001C08A5">
            <w:pPr>
              <w:rPr>
                <w:b/>
                <w:sz w:val="18"/>
                <w:szCs w:val="18"/>
              </w:rPr>
            </w:pPr>
          </w:p>
        </w:tc>
        <w:tc>
          <w:tcPr>
            <w:tcW w:w="844" w:type="dxa"/>
            <w:vMerge/>
            <w:shd w:val="clear" w:color="auto" w:fill="auto"/>
            <w:vAlign w:val="center"/>
          </w:tcPr>
          <w:p w14:paraId="702449E9" w14:textId="77777777" w:rsidR="001C08A5" w:rsidRDefault="001C08A5">
            <w:pPr>
              <w:jc w:val="center"/>
              <w:rPr>
                <w:b/>
                <w:sz w:val="18"/>
                <w:szCs w:val="18"/>
              </w:rPr>
            </w:pPr>
          </w:p>
        </w:tc>
        <w:tc>
          <w:tcPr>
            <w:tcW w:w="1223" w:type="dxa"/>
            <w:shd w:val="clear" w:color="auto" w:fill="auto"/>
            <w:vAlign w:val="center"/>
          </w:tcPr>
          <w:p w14:paraId="3B345F10" w14:textId="77777777" w:rsidR="001C08A5" w:rsidRDefault="00000000">
            <w:pPr>
              <w:jc w:val="left"/>
              <w:rPr>
                <w:b/>
                <w:sz w:val="18"/>
                <w:szCs w:val="18"/>
              </w:rPr>
            </w:pPr>
            <w:r>
              <w:rPr>
                <w:b/>
                <w:sz w:val="18"/>
                <w:szCs w:val="18"/>
              </w:rPr>
              <w:t xml:space="preserve">b. </w:t>
            </w:r>
          </w:p>
          <w:p w14:paraId="632FC68C" w14:textId="77777777" w:rsidR="001C08A5" w:rsidRDefault="00000000">
            <w:pPr>
              <w:jc w:val="left"/>
              <w:rPr>
                <w:b/>
                <w:sz w:val="18"/>
                <w:szCs w:val="18"/>
              </w:rPr>
            </w:pPr>
            <w:r>
              <w:rPr>
                <w:b/>
                <w:sz w:val="18"/>
                <w:szCs w:val="18"/>
              </w:rPr>
              <w:t>c</w:t>
            </w:r>
            <w:r>
              <w:rPr>
                <w:b/>
                <w:sz w:val="18"/>
                <w:szCs w:val="18"/>
                <w:lang w:eastAsia="en-US"/>
              </w:rPr>
              <w:t xml:space="preserve">u  încărcări suplimentare provenite din fotovoltaice </w:t>
            </w:r>
          </w:p>
        </w:tc>
        <w:tc>
          <w:tcPr>
            <w:tcW w:w="690" w:type="dxa"/>
            <w:shd w:val="clear" w:color="auto" w:fill="auto"/>
            <w:vAlign w:val="center"/>
          </w:tcPr>
          <w:p w14:paraId="3AE0CB9E" w14:textId="77777777" w:rsidR="001C08A5" w:rsidRDefault="00000000">
            <w:pPr>
              <w:jc w:val="center"/>
              <w:rPr>
                <w:rFonts w:ascii="Arial" w:hAnsi="Arial" w:cs="Arial"/>
                <w:b/>
              </w:rPr>
            </w:pPr>
            <w:r>
              <w:rPr>
                <w:rFonts w:ascii="Arial" w:hAnsi="Arial" w:cs="Arial"/>
                <w:b/>
              </w:rPr>
              <w:t>(***)</w:t>
            </w:r>
          </w:p>
          <w:p w14:paraId="5CF02F4F" w14:textId="77777777" w:rsidR="001C08A5" w:rsidRDefault="00000000">
            <w:pPr>
              <w:jc w:val="center"/>
              <w:rPr>
                <w:b/>
                <w:iCs/>
                <w:sz w:val="15"/>
                <w:szCs w:val="15"/>
              </w:rPr>
            </w:pPr>
            <w:r>
              <w:rPr>
                <w:b/>
                <w:iCs/>
                <w:sz w:val="15"/>
                <w:szCs w:val="15"/>
              </w:rPr>
              <w:t>B</w:t>
            </w:r>
            <w:r>
              <w:rPr>
                <w:b/>
                <w:iCs/>
                <w:sz w:val="15"/>
                <w:szCs w:val="15"/>
                <w:vertAlign w:val="subscript"/>
              </w:rPr>
              <w:t>ROOF</w:t>
            </w:r>
          </w:p>
          <w:p w14:paraId="0553CB69" w14:textId="77777777" w:rsidR="001C08A5" w:rsidRDefault="00000000">
            <w:pPr>
              <w:jc w:val="center"/>
              <w:rPr>
                <w:b/>
                <w:iCs/>
                <w:sz w:val="24"/>
                <w:szCs w:val="24"/>
              </w:rPr>
            </w:pPr>
            <w:r>
              <w:rPr>
                <w:b/>
                <w:iCs/>
                <w:sz w:val="15"/>
                <w:szCs w:val="15"/>
              </w:rPr>
              <w:t>(T4)</w:t>
            </w:r>
          </w:p>
        </w:tc>
        <w:tc>
          <w:tcPr>
            <w:tcW w:w="675" w:type="dxa"/>
            <w:shd w:val="clear" w:color="auto" w:fill="auto"/>
            <w:vAlign w:val="center"/>
          </w:tcPr>
          <w:p w14:paraId="7AAF2939" w14:textId="77777777" w:rsidR="001C08A5" w:rsidRDefault="00000000">
            <w:pPr>
              <w:jc w:val="center"/>
              <w:rPr>
                <w:rFonts w:ascii="Arial" w:hAnsi="Arial" w:cs="Arial"/>
                <w:b/>
              </w:rPr>
            </w:pPr>
            <w:r>
              <w:rPr>
                <w:rFonts w:ascii="Arial" w:hAnsi="Arial" w:cs="Arial"/>
                <w:b/>
              </w:rPr>
              <w:t>(***)</w:t>
            </w:r>
          </w:p>
          <w:p w14:paraId="2CCD64BF" w14:textId="77777777" w:rsidR="001C08A5" w:rsidRDefault="00000000">
            <w:pPr>
              <w:jc w:val="center"/>
              <w:rPr>
                <w:b/>
                <w:iCs/>
                <w:sz w:val="15"/>
                <w:szCs w:val="15"/>
              </w:rPr>
            </w:pPr>
            <w:r>
              <w:rPr>
                <w:b/>
                <w:iCs/>
                <w:sz w:val="15"/>
                <w:szCs w:val="15"/>
              </w:rPr>
              <w:t>B</w:t>
            </w:r>
            <w:r>
              <w:rPr>
                <w:b/>
                <w:iCs/>
                <w:sz w:val="15"/>
                <w:szCs w:val="15"/>
                <w:vertAlign w:val="subscript"/>
              </w:rPr>
              <w:t>ROOF</w:t>
            </w:r>
          </w:p>
          <w:p w14:paraId="5E9EC2BC" w14:textId="77777777" w:rsidR="001C08A5" w:rsidRDefault="00000000">
            <w:pPr>
              <w:jc w:val="center"/>
              <w:rPr>
                <w:b/>
                <w:iCs/>
                <w:sz w:val="24"/>
                <w:szCs w:val="24"/>
              </w:rPr>
            </w:pPr>
            <w:r>
              <w:rPr>
                <w:b/>
                <w:iCs/>
                <w:sz w:val="15"/>
                <w:szCs w:val="15"/>
              </w:rPr>
              <w:t>(T4)</w:t>
            </w:r>
          </w:p>
        </w:tc>
        <w:tc>
          <w:tcPr>
            <w:tcW w:w="675" w:type="dxa"/>
            <w:shd w:val="clear" w:color="auto" w:fill="auto"/>
            <w:vAlign w:val="center"/>
          </w:tcPr>
          <w:p w14:paraId="0BA18DDA" w14:textId="77777777" w:rsidR="001C08A5" w:rsidRDefault="00000000">
            <w:pPr>
              <w:jc w:val="center"/>
              <w:rPr>
                <w:rFonts w:ascii="Arial" w:hAnsi="Arial" w:cs="Arial"/>
                <w:b/>
              </w:rPr>
            </w:pPr>
            <w:r>
              <w:rPr>
                <w:rFonts w:ascii="Arial" w:hAnsi="Arial" w:cs="Arial"/>
                <w:b/>
              </w:rPr>
              <w:t>(***)</w:t>
            </w:r>
          </w:p>
          <w:p w14:paraId="4FCB98B8" w14:textId="77777777" w:rsidR="001C08A5" w:rsidRDefault="00000000">
            <w:pPr>
              <w:jc w:val="center"/>
              <w:rPr>
                <w:b/>
                <w:iCs/>
                <w:sz w:val="15"/>
                <w:szCs w:val="15"/>
              </w:rPr>
            </w:pPr>
            <w:r>
              <w:rPr>
                <w:b/>
                <w:iCs/>
                <w:sz w:val="15"/>
                <w:szCs w:val="15"/>
              </w:rPr>
              <w:t>B</w:t>
            </w:r>
            <w:r>
              <w:rPr>
                <w:b/>
                <w:iCs/>
                <w:sz w:val="15"/>
                <w:szCs w:val="15"/>
                <w:vertAlign w:val="subscript"/>
              </w:rPr>
              <w:t>ROOF</w:t>
            </w:r>
          </w:p>
          <w:p w14:paraId="50AEB158" w14:textId="77777777" w:rsidR="001C08A5" w:rsidRDefault="00000000">
            <w:pPr>
              <w:jc w:val="center"/>
              <w:rPr>
                <w:b/>
                <w:iCs/>
                <w:sz w:val="24"/>
                <w:szCs w:val="24"/>
              </w:rPr>
            </w:pPr>
            <w:r>
              <w:rPr>
                <w:b/>
                <w:iCs/>
                <w:sz w:val="15"/>
                <w:szCs w:val="15"/>
              </w:rPr>
              <w:t>(T4)</w:t>
            </w:r>
          </w:p>
        </w:tc>
        <w:tc>
          <w:tcPr>
            <w:tcW w:w="690" w:type="dxa"/>
            <w:shd w:val="clear" w:color="auto" w:fill="auto"/>
            <w:vAlign w:val="center"/>
          </w:tcPr>
          <w:p w14:paraId="58D66964" w14:textId="77777777" w:rsidR="001C08A5" w:rsidRDefault="00000000">
            <w:pPr>
              <w:jc w:val="center"/>
              <w:rPr>
                <w:rFonts w:ascii="Arial" w:hAnsi="Arial" w:cs="Arial"/>
                <w:b/>
              </w:rPr>
            </w:pPr>
            <w:r>
              <w:rPr>
                <w:rFonts w:ascii="Arial" w:hAnsi="Arial" w:cs="Arial"/>
                <w:b/>
              </w:rPr>
              <w:t>(***)</w:t>
            </w:r>
          </w:p>
          <w:p w14:paraId="3495F4CD" w14:textId="77777777" w:rsidR="001C08A5" w:rsidRDefault="00000000">
            <w:pPr>
              <w:jc w:val="center"/>
              <w:rPr>
                <w:b/>
                <w:iCs/>
                <w:sz w:val="15"/>
                <w:szCs w:val="15"/>
              </w:rPr>
            </w:pPr>
            <w:r>
              <w:rPr>
                <w:b/>
                <w:iCs/>
                <w:sz w:val="15"/>
                <w:szCs w:val="15"/>
              </w:rPr>
              <w:t>B</w:t>
            </w:r>
            <w:r>
              <w:rPr>
                <w:b/>
                <w:iCs/>
                <w:sz w:val="15"/>
                <w:szCs w:val="15"/>
                <w:vertAlign w:val="subscript"/>
              </w:rPr>
              <w:t>ROOF</w:t>
            </w:r>
          </w:p>
          <w:p w14:paraId="77DD1D48" w14:textId="77777777" w:rsidR="001C08A5" w:rsidRDefault="00000000">
            <w:pPr>
              <w:jc w:val="center"/>
              <w:rPr>
                <w:b/>
                <w:iCs/>
                <w:sz w:val="24"/>
                <w:szCs w:val="24"/>
              </w:rPr>
            </w:pPr>
            <w:r>
              <w:rPr>
                <w:b/>
                <w:iCs/>
                <w:sz w:val="15"/>
                <w:szCs w:val="15"/>
              </w:rPr>
              <w:t>(T4)</w:t>
            </w:r>
          </w:p>
        </w:tc>
        <w:tc>
          <w:tcPr>
            <w:tcW w:w="675" w:type="dxa"/>
            <w:shd w:val="clear" w:color="auto" w:fill="auto"/>
            <w:vAlign w:val="center"/>
          </w:tcPr>
          <w:p w14:paraId="78B957ED" w14:textId="77777777" w:rsidR="001C08A5" w:rsidRDefault="00000000">
            <w:pPr>
              <w:jc w:val="center"/>
              <w:rPr>
                <w:rFonts w:ascii="Arial" w:hAnsi="Arial" w:cs="Arial"/>
                <w:b/>
              </w:rPr>
            </w:pPr>
            <w:r>
              <w:rPr>
                <w:rFonts w:ascii="Arial" w:hAnsi="Arial" w:cs="Arial"/>
                <w:b/>
              </w:rPr>
              <w:t>(***)</w:t>
            </w:r>
          </w:p>
          <w:p w14:paraId="796F1A34" w14:textId="77777777" w:rsidR="001C08A5" w:rsidRDefault="00000000">
            <w:pPr>
              <w:jc w:val="center"/>
              <w:rPr>
                <w:b/>
                <w:iCs/>
                <w:sz w:val="15"/>
                <w:szCs w:val="15"/>
              </w:rPr>
            </w:pPr>
            <w:r>
              <w:rPr>
                <w:b/>
                <w:iCs/>
                <w:sz w:val="15"/>
                <w:szCs w:val="15"/>
              </w:rPr>
              <w:t>B</w:t>
            </w:r>
            <w:r>
              <w:rPr>
                <w:b/>
                <w:iCs/>
                <w:sz w:val="15"/>
                <w:szCs w:val="15"/>
                <w:vertAlign w:val="subscript"/>
              </w:rPr>
              <w:t>ROOF</w:t>
            </w:r>
          </w:p>
          <w:p w14:paraId="364D2784" w14:textId="77777777" w:rsidR="001C08A5" w:rsidRDefault="00000000">
            <w:pPr>
              <w:jc w:val="center"/>
              <w:rPr>
                <w:b/>
                <w:iCs/>
                <w:sz w:val="24"/>
                <w:szCs w:val="24"/>
              </w:rPr>
            </w:pPr>
            <w:r>
              <w:rPr>
                <w:b/>
                <w:iCs/>
                <w:sz w:val="15"/>
                <w:szCs w:val="15"/>
              </w:rPr>
              <w:t>(T3)</w:t>
            </w:r>
          </w:p>
        </w:tc>
        <w:tc>
          <w:tcPr>
            <w:tcW w:w="675" w:type="dxa"/>
            <w:shd w:val="clear" w:color="auto" w:fill="auto"/>
            <w:vAlign w:val="center"/>
          </w:tcPr>
          <w:p w14:paraId="48F1B8B6" w14:textId="77777777" w:rsidR="001C08A5" w:rsidRDefault="00000000">
            <w:pPr>
              <w:jc w:val="center"/>
              <w:rPr>
                <w:rFonts w:ascii="Arial" w:hAnsi="Arial" w:cs="Arial"/>
                <w:b/>
              </w:rPr>
            </w:pPr>
            <w:r>
              <w:rPr>
                <w:rFonts w:ascii="Arial" w:hAnsi="Arial" w:cs="Arial"/>
                <w:b/>
              </w:rPr>
              <w:t>(***)</w:t>
            </w:r>
          </w:p>
          <w:p w14:paraId="7C47FC13" w14:textId="77777777" w:rsidR="001C08A5" w:rsidRDefault="00000000">
            <w:pPr>
              <w:jc w:val="center"/>
              <w:rPr>
                <w:b/>
                <w:iCs/>
                <w:sz w:val="15"/>
                <w:szCs w:val="15"/>
              </w:rPr>
            </w:pPr>
            <w:r>
              <w:rPr>
                <w:b/>
                <w:iCs/>
                <w:sz w:val="15"/>
                <w:szCs w:val="15"/>
              </w:rPr>
              <w:t>B</w:t>
            </w:r>
            <w:r>
              <w:rPr>
                <w:b/>
                <w:iCs/>
                <w:sz w:val="15"/>
                <w:szCs w:val="15"/>
                <w:vertAlign w:val="subscript"/>
              </w:rPr>
              <w:t>ROOF</w:t>
            </w:r>
          </w:p>
          <w:p w14:paraId="709E5C8F" w14:textId="77777777" w:rsidR="001C08A5" w:rsidRDefault="00000000">
            <w:pPr>
              <w:jc w:val="center"/>
              <w:rPr>
                <w:b/>
                <w:iCs/>
                <w:sz w:val="24"/>
                <w:szCs w:val="24"/>
              </w:rPr>
            </w:pPr>
            <w:r>
              <w:rPr>
                <w:b/>
                <w:iCs/>
                <w:sz w:val="15"/>
                <w:szCs w:val="15"/>
              </w:rPr>
              <w:t>(T3)</w:t>
            </w:r>
          </w:p>
        </w:tc>
        <w:tc>
          <w:tcPr>
            <w:tcW w:w="690" w:type="dxa"/>
            <w:shd w:val="clear" w:color="auto" w:fill="auto"/>
            <w:vAlign w:val="center"/>
          </w:tcPr>
          <w:p w14:paraId="0651DD4D" w14:textId="77777777" w:rsidR="001C08A5" w:rsidRDefault="00000000">
            <w:pPr>
              <w:jc w:val="center"/>
              <w:rPr>
                <w:rFonts w:ascii="Arial" w:hAnsi="Arial" w:cs="Arial"/>
                <w:b/>
              </w:rPr>
            </w:pPr>
            <w:r>
              <w:rPr>
                <w:rFonts w:ascii="Arial" w:hAnsi="Arial" w:cs="Arial"/>
                <w:b/>
              </w:rPr>
              <w:t>(***)</w:t>
            </w:r>
          </w:p>
          <w:p w14:paraId="0DA3967D" w14:textId="77777777" w:rsidR="001C08A5" w:rsidRDefault="00000000">
            <w:pPr>
              <w:jc w:val="center"/>
              <w:rPr>
                <w:b/>
                <w:iCs/>
                <w:sz w:val="15"/>
                <w:szCs w:val="15"/>
              </w:rPr>
            </w:pPr>
            <w:r>
              <w:rPr>
                <w:b/>
                <w:iCs/>
                <w:sz w:val="15"/>
                <w:szCs w:val="15"/>
              </w:rPr>
              <w:t>B</w:t>
            </w:r>
            <w:r>
              <w:rPr>
                <w:b/>
                <w:iCs/>
                <w:sz w:val="15"/>
                <w:szCs w:val="15"/>
                <w:vertAlign w:val="subscript"/>
              </w:rPr>
              <w:t>ROOF</w:t>
            </w:r>
          </w:p>
          <w:p w14:paraId="57D0DFC6" w14:textId="77777777" w:rsidR="001C08A5" w:rsidRDefault="00000000">
            <w:pPr>
              <w:jc w:val="center"/>
              <w:rPr>
                <w:b/>
                <w:iCs/>
                <w:sz w:val="24"/>
                <w:szCs w:val="24"/>
              </w:rPr>
            </w:pPr>
            <w:r>
              <w:rPr>
                <w:b/>
                <w:iCs/>
                <w:sz w:val="15"/>
                <w:szCs w:val="15"/>
              </w:rPr>
              <w:t>(T3)</w:t>
            </w:r>
          </w:p>
        </w:tc>
        <w:tc>
          <w:tcPr>
            <w:tcW w:w="675" w:type="dxa"/>
            <w:shd w:val="clear" w:color="auto" w:fill="auto"/>
            <w:vAlign w:val="center"/>
          </w:tcPr>
          <w:p w14:paraId="032588C6" w14:textId="77777777" w:rsidR="001C08A5" w:rsidRDefault="00000000">
            <w:pPr>
              <w:jc w:val="center"/>
              <w:rPr>
                <w:rFonts w:ascii="Arial" w:hAnsi="Arial" w:cs="Arial"/>
                <w:b/>
              </w:rPr>
            </w:pPr>
            <w:r>
              <w:rPr>
                <w:rFonts w:ascii="Arial" w:hAnsi="Arial" w:cs="Arial"/>
                <w:b/>
              </w:rPr>
              <w:t>(***)</w:t>
            </w:r>
          </w:p>
          <w:p w14:paraId="51FCBF3D" w14:textId="77777777" w:rsidR="001C08A5" w:rsidRDefault="00000000">
            <w:pPr>
              <w:jc w:val="center"/>
              <w:rPr>
                <w:b/>
                <w:iCs/>
                <w:sz w:val="15"/>
                <w:szCs w:val="15"/>
              </w:rPr>
            </w:pPr>
            <w:r>
              <w:rPr>
                <w:b/>
                <w:iCs/>
                <w:sz w:val="15"/>
                <w:szCs w:val="15"/>
              </w:rPr>
              <w:t>B</w:t>
            </w:r>
            <w:r>
              <w:rPr>
                <w:b/>
                <w:iCs/>
                <w:sz w:val="15"/>
                <w:szCs w:val="15"/>
                <w:vertAlign w:val="subscript"/>
              </w:rPr>
              <w:t>ROOF</w:t>
            </w:r>
          </w:p>
          <w:p w14:paraId="6841608D" w14:textId="77777777" w:rsidR="001C08A5" w:rsidRDefault="00000000">
            <w:pPr>
              <w:jc w:val="center"/>
              <w:rPr>
                <w:b/>
                <w:iCs/>
                <w:sz w:val="24"/>
                <w:szCs w:val="24"/>
              </w:rPr>
            </w:pPr>
            <w:r>
              <w:rPr>
                <w:b/>
                <w:iCs/>
                <w:sz w:val="15"/>
                <w:szCs w:val="15"/>
              </w:rPr>
              <w:t>(T3)</w:t>
            </w:r>
          </w:p>
        </w:tc>
        <w:tc>
          <w:tcPr>
            <w:tcW w:w="675" w:type="dxa"/>
            <w:shd w:val="clear" w:color="auto" w:fill="auto"/>
            <w:vAlign w:val="center"/>
          </w:tcPr>
          <w:p w14:paraId="2F21E674" w14:textId="77777777" w:rsidR="001C08A5" w:rsidRDefault="00000000">
            <w:pPr>
              <w:jc w:val="center"/>
              <w:rPr>
                <w:rFonts w:ascii="Arial" w:hAnsi="Arial" w:cs="Arial"/>
                <w:b/>
              </w:rPr>
            </w:pPr>
            <w:r>
              <w:rPr>
                <w:rFonts w:ascii="Arial" w:hAnsi="Arial" w:cs="Arial"/>
                <w:b/>
              </w:rPr>
              <w:t>(***)</w:t>
            </w:r>
          </w:p>
          <w:p w14:paraId="4292B2D4" w14:textId="77777777" w:rsidR="001C08A5" w:rsidRDefault="00000000">
            <w:pPr>
              <w:jc w:val="center"/>
              <w:rPr>
                <w:b/>
                <w:iCs/>
                <w:sz w:val="15"/>
                <w:szCs w:val="15"/>
              </w:rPr>
            </w:pPr>
            <w:r>
              <w:rPr>
                <w:b/>
                <w:iCs/>
                <w:sz w:val="15"/>
                <w:szCs w:val="15"/>
              </w:rPr>
              <w:t>B</w:t>
            </w:r>
            <w:r>
              <w:rPr>
                <w:b/>
                <w:iCs/>
                <w:sz w:val="15"/>
                <w:szCs w:val="15"/>
                <w:vertAlign w:val="subscript"/>
              </w:rPr>
              <w:t>ROOF</w:t>
            </w:r>
          </w:p>
          <w:p w14:paraId="10E33BD2" w14:textId="77777777" w:rsidR="001C08A5" w:rsidRDefault="00000000">
            <w:pPr>
              <w:jc w:val="center"/>
              <w:rPr>
                <w:b/>
                <w:iCs/>
                <w:sz w:val="24"/>
                <w:szCs w:val="24"/>
              </w:rPr>
            </w:pPr>
            <w:r>
              <w:rPr>
                <w:b/>
                <w:iCs/>
                <w:sz w:val="15"/>
                <w:szCs w:val="15"/>
              </w:rPr>
              <w:t>(T3)</w:t>
            </w:r>
          </w:p>
        </w:tc>
        <w:tc>
          <w:tcPr>
            <w:tcW w:w="690" w:type="dxa"/>
            <w:shd w:val="clear" w:color="auto" w:fill="auto"/>
            <w:vAlign w:val="center"/>
          </w:tcPr>
          <w:p w14:paraId="787AA1BB" w14:textId="77777777" w:rsidR="001C08A5" w:rsidRDefault="00000000">
            <w:pPr>
              <w:jc w:val="center"/>
              <w:rPr>
                <w:rFonts w:ascii="Arial" w:hAnsi="Arial" w:cs="Arial"/>
                <w:b/>
              </w:rPr>
            </w:pPr>
            <w:r>
              <w:rPr>
                <w:rFonts w:ascii="Arial" w:hAnsi="Arial" w:cs="Arial"/>
                <w:b/>
              </w:rPr>
              <w:t>(***)</w:t>
            </w:r>
          </w:p>
          <w:p w14:paraId="139B76DA" w14:textId="77777777" w:rsidR="001C08A5" w:rsidRDefault="00000000">
            <w:pPr>
              <w:jc w:val="center"/>
              <w:rPr>
                <w:b/>
                <w:iCs/>
                <w:sz w:val="15"/>
                <w:szCs w:val="15"/>
              </w:rPr>
            </w:pPr>
            <w:r>
              <w:rPr>
                <w:b/>
                <w:iCs/>
                <w:sz w:val="15"/>
                <w:szCs w:val="15"/>
              </w:rPr>
              <w:t>C</w:t>
            </w:r>
            <w:r>
              <w:rPr>
                <w:b/>
                <w:iCs/>
                <w:sz w:val="15"/>
                <w:szCs w:val="15"/>
                <w:vertAlign w:val="subscript"/>
              </w:rPr>
              <w:t>ROOF</w:t>
            </w:r>
          </w:p>
          <w:p w14:paraId="4E2B3CAC" w14:textId="77777777" w:rsidR="001C08A5" w:rsidRDefault="00000000">
            <w:pPr>
              <w:jc w:val="center"/>
              <w:rPr>
                <w:b/>
                <w:iCs/>
                <w:sz w:val="24"/>
                <w:szCs w:val="24"/>
              </w:rPr>
            </w:pPr>
            <w:r>
              <w:rPr>
                <w:b/>
                <w:iCs/>
                <w:sz w:val="15"/>
                <w:szCs w:val="15"/>
              </w:rPr>
              <w:t>(T3)</w:t>
            </w:r>
          </w:p>
        </w:tc>
        <w:tc>
          <w:tcPr>
            <w:tcW w:w="673" w:type="dxa"/>
            <w:shd w:val="clear" w:color="auto" w:fill="auto"/>
            <w:vAlign w:val="center"/>
          </w:tcPr>
          <w:p w14:paraId="6BC36427" w14:textId="77777777" w:rsidR="001C08A5" w:rsidRDefault="00000000">
            <w:pPr>
              <w:jc w:val="center"/>
              <w:rPr>
                <w:rFonts w:ascii="Arial" w:hAnsi="Arial" w:cs="Arial"/>
                <w:b/>
              </w:rPr>
            </w:pPr>
            <w:r>
              <w:rPr>
                <w:rFonts w:ascii="Arial" w:hAnsi="Arial" w:cs="Arial"/>
                <w:b/>
              </w:rPr>
              <w:t>(**)</w:t>
            </w:r>
          </w:p>
          <w:p w14:paraId="41E62BEC" w14:textId="77777777" w:rsidR="001C08A5" w:rsidRDefault="00000000">
            <w:pPr>
              <w:jc w:val="center"/>
              <w:rPr>
                <w:rFonts w:ascii="Arial" w:hAnsi="Arial" w:cs="Arial"/>
                <w:b/>
              </w:rPr>
            </w:pPr>
            <w:r>
              <w:rPr>
                <w:rFonts w:ascii="Arial" w:hAnsi="Arial" w:cs="Arial"/>
                <w:b/>
              </w:rPr>
              <w:t>(***)</w:t>
            </w:r>
          </w:p>
          <w:p w14:paraId="362FCB09" w14:textId="77777777" w:rsidR="001C08A5" w:rsidRDefault="00000000">
            <w:pPr>
              <w:jc w:val="center"/>
              <w:rPr>
                <w:b/>
                <w:iCs/>
                <w:sz w:val="15"/>
                <w:szCs w:val="15"/>
              </w:rPr>
            </w:pPr>
            <w:r>
              <w:rPr>
                <w:b/>
                <w:iCs/>
                <w:sz w:val="15"/>
                <w:szCs w:val="15"/>
              </w:rPr>
              <w:t>C</w:t>
            </w:r>
            <w:r>
              <w:rPr>
                <w:b/>
                <w:iCs/>
                <w:sz w:val="15"/>
                <w:szCs w:val="15"/>
                <w:vertAlign w:val="subscript"/>
              </w:rPr>
              <w:t>ROOF</w:t>
            </w:r>
          </w:p>
          <w:p w14:paraId="628CEAFD" w14:textId="77777777" w:rsidR="001C08A5" w:rsidRDefault="00000000">
            <w:pPr>
              <w:jc w:val="center"/>
              <w:rPr>
                <w:b/>
                <w:iCs/>
                <w:sz w:val="15"/>
                <w:szCs w:val="15"/>
              </w:rPr>
            </w:pPr>
            <w:r>
              <w:rPr>
                <w:b/>
                <w:iCs/>
                <w:sz w:val="15"/>
                <w:szCs w:val="15"/>
              </w:rPr>
              <w:t>(T3)</w:t>
            </w:r>
          </w:p>
        </w:tc>
      </w:tr>
      <w:tr w:rsidR="001C08A5" w14:paraId="7100034E" w14:textId="77777777">
        <w:trPr>
          <w:jc w:val="right"/>
        </w:trPr>
        <w:tc>
          <w:tcPr>
            <w:tcW w:w="305" w:type="dxa"/>
            <w:vMerge/>
            <w:shd w:val="clear" w:color="auto" w:fill="auto"/>
          </w:tcPr>
          <w:p w14:paraId="08000540" w14:textId="77777777" w:rsidR="001C08A5" w:rsidRDefault="001C08A5">
            <w:pPr>
              <w:rPr>
                <w:b/>
                <w:sz w:val="18"/>
                <w:szCs w:val="18"/>
              </w:rPr>
            </w:pPr>
          </w:p>
        </w:tc>
        <w:tc>
          <w:tcPr>
            <w:tcW w:w="844" w:type="dxa"/>
            <w:vMerge/>
            <w:shd w:val="clear" w:color="auto" w:fill="auto"/>
            <w:vAlign w:val="center"/>
          </w:tcPr>
          <w:p w14:paraId="03D612E3" w14:textId="77777777" w:rsidR="001C08A5" w:rsidRDefault="001C08A5">
            <w:pPr>
              <w:jc w:val="center"/>
              <w:rPr>
                <w:b/>
                <w:sz w:val="18"/>
                <w:szCs w:val="18"/>
              </w:rPr>
            </w:pPr>
          </w:p>
        </w:tc>
        <w:tc>
          <w:tcPr>
            <w:tcW w:w="1223" w:type="dxa"/>
            <w:shd w:val="clear" w:color="auto" w:fill="auto"/>
            <w:vAlign w:val="center"/>
          </w:tcPr>
          <w:p w14:paraId="469F4F81" w14:textId="77777777" w:rsidR="001C08A5" w:rsidRDefault="00000000">
            <w:pPr>
              <w:jc w:val="left"/>
              <w:rPr>
                <w:b/>
                <w:sz w:val="18"/>
                <w:szCs w:val="18"/>
              </w:rPr>
            </w:pPr>
            <w:r>
              <w:rPr>
                <w:b/>
                <w:sz w:val="18"/>
                <w:szCs w:val="18"/>
              </w:rPr>
              <w:t xml:space="preserve">c. </w:t>
            </w:r>
          </w:p>
          <w:p w14:paraId="68B9D4D0" w14:textId="77777777" w:rsidR="001C08A5" w:rsidRDefault="00000000">
            <w:pPr>
              <w:jc w:val="left"/>
              <w:rPr>
                <w:b/>
                <w:sz w:val="18"/>
                <w:szCs w:val="18"/>
              </w:rPr>
            </w:pPr>
            <w:r>
              <w:rPr>
                <w:b/>
                <w:sz w:val="18"/>
                <w:szCs w:val="18"/>
              </w:rPr>
              <w:t xml:space="preserve">c) </w:t>
            </w:r>
          </w:p>
          <w:p w14:paraId="3C261E4F" w14:textId="77777777" w:rsidR="001C08A5" w:rsidRDefault="00000000">
            <w:pPr>
              <w:jc w:val="left"/>
              <w:rPr>
                <w:b/>
                <w:sz w:val="18"/>
                <w:szCs w:val="18"/>
              </w:rPr>
            </w:pPr>
            <w:r>
              <w:rPr>
                <w:b/>
                <w:sz w:val="18"/>
                <w:szCs w:val="18"/>
              </w:rPr>
              <w:t>c1) cu</w:t>
            </w:r>
            <w:r>
              <w:rPr>
                <w:b/>
                <w:sz w:val="18"/>
                <w:szCs w:val="18"/>
                <w:lang w:eastAsia="en-US"/>
              </w:rPr>
              <w:t xml:space="preserve"> alte încărcări </w:t>
            </w:r>
            <w:r>
              <w:rPr>
                <w:b/>
                <w:sz w:val="18"/>
                <w:szCs w:val="18"/>
              </w:rPr>
              <w:t xml:space="preserve">cu excepția celor de lit. a) și b): </w:t>
            </w:r>
          </w:p>
          <w:p w14:paraId="1D658203" w14:textId="77777777" w:rsidR="001C08A5" w:rsidRDefault="00000000">
            <w:pPr>
              <w:rPr>
                <w:b/>
                <w:sz w:val="18"/>
                <w:szCs w:val="18"/>
              </w:rPr>
            </w:pPr>
            <w:r>
              <w:rPr>
                <w:b/>
                <w:sz w:val="18"/>
                <w:szCs w:val="18"/>
              </w:rPr>
              <w:t xml:space="preserve">(E) iar pentru încărcări se prevede structură proprie având performanța la foc stabilită la pct. 9 care </w:t>
            </w:r>
            <w:r>
              <w:rPr>
                <w:b/>
                <w:sz w:val="18"/>
                <w:szCs w:val="18"/>
              </w:rPr>
              <w:lastRenderedPageBreak/>
              <w:t>descarcă direct pe sarpantă (R).</w:t>
            </w:r>
          </w:p>
          <w:p w14:paraId="5A39613D" w14:textId="77777777" w:rsidR="001C08A5" w:rsidRDefault="00000000">
            <w:pPr>
              <w:rPr>
                <w:b/>
                <w:sz w:val="18"/>
                <w:szCs w:val="18"/>
              </w:rPr>
            </w:pPr>
            <w:r>
              <w:rPr>
                <w:b/>
                <w:sz w:val="18"/>
                <w:szCs w:val="18"/>
              </w:rPr>
              <w:t>c2) (REI) atunci când descărcarea se face direct pe panouri/</w:t>
            </w:r>
          </w:p>
          <w:p w14:paraId="66544B2F" w14:textId="77777777" w:rsidR="001C08A5" w:rsidRDefault="00000000">
            <w:pPr>
              <w:rPr>
                <w:b/>
                <w:sz w:val="18"/>
                <w:szCs w:val="18"/>
              </w:rPr>
            </w:pPr>
            <w:r>
              <w:rPr>
                <w:b/>
                <w:sz w:val="18"/>
                <w:szCs w:val="18"/>
              </w:rPr>
              <w:t>sisteme de învelitoare;</w:t>
            </w:r>
          </w:p>
        </w:tc>
        <w:tc>
          <w:tcPr>
            <w:tcW w:w="690" w:type="dxa"/>
            <w:shd w:val="clear" w:color="auto" w:fill="auto"/>
            <w:vAlign w:val="center"/>
          </w:tcPr>
          <w:p w14:paraId="4AD524BD" w14:textId="77777777" w:rsidR="001C08A5" w:rsidRDefault="00000000">
            <w:pPr>
              <w:jc w:val="center"/>
              <w:rPr>
                <w:b/>
              </w:rPr>
            </w:pPr>
            <w:r>
              <w:rPr>
                <w:b/>
              </w:rPr>
              <w:lastRenderedPageBreak/>
              <w:t>90</w:t>
            </w:r>
          </w:p>
          <w:p w14:paraId="6DEF3841" w14:textId="77777777" w:rsidR="001C08A5" w:rsidRDefault="00000000">
            <w:pPr>
              <w:jc w:val="center"/>
              <w:rPr>
                <w:b/>
                <w:iCs/>
                <w:sz w:val="15"/>
                <w:szCs w:val="15"/>
              </w:rPr>
            </w:pPr>
            <w:r>
              <w:rPr>
                <w:b/>
                <w:sz w:val="15"/>
                <w:szCs w:val="15"/>
                <w:lang w:val="en-GB"/>
              </w:rPr>
              <w:t>(A1 sau A2-s</w:t>
            </w:r>
            <w:proofErr w:type="gramStart"/>
            <w:r>
              <w:rPr>
                <w:b/>
                <w:sz w:val="15"/>
                <w:szCs w:val="15"/>
                <w:lang w:val="en-GB"/>
              </w:rPr>
              <w:t>1,d</w:t>
            </w:r>
            <w:proofErr w:type="gramEnd"/>
            <w:r>
              <w:rPr>
                <w:b/>
                <w:sz w:val="15"/>
                <w:szCs w:val="15"/>
                <w:lang w:val="en-GB"/>
              </w:rPr>
              <w:t>0)</w:t>
            </w:r>
          </w:p>
        </w:tc>
        <w:tc>
          <w:tcPr>
            <w:tcW w:w="675" w:type="dxa"/>
            <w:shd w:val="clear" w:color="auto" w:fill="auto"/>
            <w:vAlign w:val="center"/>
          </w:tcPr>
          <w:p w14:paraId="0D4E0E67" w14:textId="77777777" w:rsidR="001C08A5" w:rsidRDefault="00000000">
            <w:pPr>
              <w:jc w:val="center"/>
              <w:rPr>
                <w:b/>
                <w:iCs/>
                <w:sz w:val="15"/>
                <w:szCs w:val="15"/>
              </w:rPr>
            </w:pPr>
            <w:r>
              <w:rPr>
                <w:b/>
              </w:rPr>
              <w:t xml:space="preserve">60 </w:t>
            </w:r>
            <w:r>
              <w:rPr>
                <w:b/>
                <w:sz w:val="15"/>
                <w:szCs w:val="15"/>
                <w:lang w:val="en-GB"/>
              </w:rPr>
              <w:t>(A1 sau A2-s1,d0)</w:t>
            </w:r>
          </w:p>
        </w:tc>
        <w:tc>
          <w:tcPr>
            <w:tcW w:w="675" w:type="dxa"/>
            <w:shd w:val="clear" w:color="auto" w:fill="auto"/>
            <w:vAlign w:val="center"/>
          </w:tcPr>
          <w:p w14:paraId="068B3168" w14:textId="77777777" w:rsidR="001C08A5" w:rsidRDefault="00000000">
            <w:pPr>
              <w:jc w:val="center"/>
              <w:rPr>
                <w:b/>
                <w:iCs/>
                <w:sz w:val="15"/>
                <w:szCs w:val="15"/>
              </w:rPr>
            </w:pPr>
            <w:r>
              <w:rPr>
                <w:b/>
              </w:rPr>
              <w:t xml:space="preserve">45 </w:t>
            </w:r>
            <w:r>
              <w:rPr>
                <w:b/>
                <w:sz w:val="15"/>
                <w:szCs w:val="15"/>
                <w:lang w:val="en-GB"/>
              </w:rPr>
              <w:t>(A1 sau A2-s1,d0)</w:t>
            </w:r>
          </w:p>
        </w:tc>
        <w:tc>
          <w:tcPr>
            <w:tcW w:w="690" w:type="dxa"/>
            <w:shd w:val="clear" w:color="auto" w:fill="auto"/>
            <w:vAlign w:val="center"/>
          </w:tcPr>
          <w:p w14:paraId="24F307CC" w14:textId="77777777" w:rsidR="001C08A5" w:rsidRDefault="00000000">
            <w:pPr>
              <w:jc w:val="center"/>
              <w:rPr>
                <w:b/>
              </w:rPr>
            </w:pPr>
            <w:r>
              <w:rPr>
                <w:b/>
              </w:rPr>
              <w:t>45</w:t>
            </w:r>
          </w:p>
          <w:p w14:paraId="1A7EEC9C" w14:textId="77777777" w:rsidR="001C08A5" w:rsidRDefault="00000000">
            <w:pPr>
              <w:jc w:val="center"/>
              <w:rPr>
                <w:b/>
                <w:iCs/>
                <w:sz w:val="15"/>
                <w:szCs w:val="15"/>
              </w:rPr>
            </w:pPr>
            <w:r>
              <w:rPr>
                <w:b/>
                <w:sz w:val="15"/>
                <w:szCs w:val="15"/>
                <w:lang w:val="en-GB"/>
              </w:rPr>
              <w:t>(A1 sau A2-s</w:t>
            </w:r>
            <w:proofErr w:type="gramStart"/>
            <w:r>
              <w:rPr>
                <w:b/>
                <w:sz w:val="15"/>
                <w:szCs w:val="15"/>
                <w:lang w:val="en-GB"/>
              </w:rPr>
              <w:t>1,d</w:t>
            </w:r>
            <w:proofErr w:type="gramEnd"/>
            <w:r>
              <w:rPr>
                <w:b/>
                <w:sz w:val="15"/>
                <w:szCs w:val="15"/>
                <w:lang w:val="en-GB"/>
              </w:rPr>
              <w:t>0)</w:t>
            </w:r>
          </w:p>
        </w:tc>
        <w:tc>
          <w:tcPr>
            <w:tcW w:w="675" w:type="dxa"/>
            <w:shd w:val="clear" w:color="auto" w:fill="auto"/>
            <w:vAlign w:val="center"/>
          </w:tcPr>
          <w:p w14:paraId="1247EBCD" w14:textId="77777777" w:rsidR="001C08A5" w:rsidRDefault="00000000">
            <w:pPr>
              <w:jc w:val="center"/>
              <w:rPr>
                <w:b/>
              </w:rPr>
            </w:pPr>
            <w:r>
              <w:rPr>
                <w:b/>
              </w:rPr>
              <w:t>45</w:t>
            </w:r>
          </w:p>
          <w:p w14:paraId="6C2DC3C1" w14:textId="77777777" w:rsidR="001C08A5" w:rsidRDefault="00000000">
            <w:pPr>
              <w:jc w:val="center"/>
              <w:rPr>
                <w:b/>
                <w:iCs/>
                <w:sz w:val="15"/>
                <w:szCs w:val="15"/>
              </w:rPr>
            </w:pPr>
            <w:r>
              <w:rPr>
                <w:b/>
                <w:sz w:val="15"/>
                <w:szCs w:val="15"/>
                <w:lang w:val="en-GB"/>
              </w:rPr>
              <w:t>(A1sau A2-s</w:t>
            </w:r>
            <w:proofErr w:type="gramStart"/>
            <w:r>
              <w:rPr>
                <w:b/>
                <w:sz w:val="15"/>
                <w:szCs w:val="15"/>
                <w:lang w:val="en-GB"/>
              </w:rPr>
              <w:t>1,d</w:t>
            </w:r>
            <w:proofErr w:type="gramEnd"/>
            <w:r>
              <w:rPr>
                <w:b/>
                <w:sz w:val="15"/>
                <w:szCs w:val="15"/>
                <w:lang w:val="en-GB"/>
              </w:rPr>
              <w:t>0)</w:t>
            </w:r>
          </w:p>
        </w:tc>
        <w:tc>
          <w:tcPr>
            <w:tcW w:w="675" w:type="dxa"/>
            <w:shd w:val="clear" w:color="auto" w:fill="auto"/>
            <w:vAlign w:val="center"/>
          </w:tcPr>
          <w:p w14:paraId="32BBAA5E" w14:textId="77777777" w:rsidR="001C08A5" w:rsidRDefault="00000000">
            <w:pPr>
              <w:jc w:val="center"/>
              <w:rPr>
                <w:b/>
              </w:rPr>
            </w:pPr>
            <w:r>
              <w:rPr>
                <w:b/>
              </w:rPr>
              <w:t>30</w:t>
            </w:r>
          </w:p>
          <w:p w14:paraId="64839750" w14:textId="77777777" w:rsidR="001C08A5" w:rsidRDefault="00000000">
            <w:pPr>
              <w:jc w:val="center"/>
              <w:rPr>
                <w:b/>
                <w:lang w:val="en-GB"/>
              </w:rPr>
            </w:pPr>
            <w:r>
              <w:rPr>
                <w:b/>
                <w:lang w:val="en-GB"/>
              </w:rPr>
              <w:t>(*)</w:t>
            </w:r>
          </w:p>
          <w:p w14:paraId="2750B6A0" w14:textId="77777777" w:rsidR="001C08A5" w:rsidRDefault="00000000">
            <w:pPr>
              <w:jc w:val="center"/>
              <w:rPr>
                <w:b/>
                <w:iCs/>
                <w:sz w:val="15"/>
                <w:szCs w:val="15"/>
              </w:rPr>
            </w:pPr>
            <w:r>
              <w:rPr>
                <w:b/>
                <w:sz w:val="15"/>
                <w:szCs w:val="15"/>
                <w:lang w:val="en-GB"/>
              </w:rPr>
              <w:t>(min B-s</w:t>
            </w:r>
            <w:proofErr w:type="gramStart"/>
            <w:r>
              <w:rPr>
                <w:b/>
                <w:sz w:val="15"/>
                <w:szCs w:val="15"/>
                <w:lang w:val="en-GB"/>
              </w:rPr>
              <w:t>2,d</w:t>
            </w:r>
            <w:proofErr w:type="gramEnd"/>
            <w:r>
              <w:rPr>
                <w:b/>
                <w:sz w:val="15"/>
                <w:szCs w:val="15"/>
                <w:lang w:val="en-GB"/>
              </w:rPr>
              <w:t>0)</w:t>
            </w:r>
          </w:p>
        </w:tc>
        <w:tc>
          <w:tcPr>
            <w:tcW w:w="690" w:type="dxa"/>
            <w:shd w:val="clear" w:color="auto" w:fill="auto"/>
            <w:vAlign w:val="center"/>
          </w:tcPr>
          <w:p w14:paraId="5E7AD471" w14:textId="77777777" w:rsidR="001C08A5" w:rsidRDefault="00000000">
            <w:pPr>
              <w:jc w:val="center"/>
              <w:rPr>
                <w:b/>
              </w:rPr>
            </w:pPr>
            <w:r>
              <w:rPr>
                <w:b/>
              </w:rPr>
              <w:t>30</w:t>
            </w:r>
          </w:p>
          <w:p w14:paraId="2934D55C" w14:textId="77777777" w:rsidR="001C08A5" w:rsidRDefault="00000000">
            <w:pPr>
              <w:jc w:val="center"/>
              <w:rPr>
                <w:b/>
                <w:lang w:val="en-GB"/>
              </w:rPr>
            </w:pPr>
            <w:r>
              <w:rPr>
                <w:b/>
                <w:lang w:val="en-GB"/>
              </w:rPr>
              <w:t>(*)</w:t>
            </w:r>
          </w:p>
          <w:p w14:paraId="6AE9E9E2" w14:textId="77777777" w:rsidR="001C08A5" w:rsidRDefault="00000000">
            <w:pPr>
              <w:jc w:val="center"/>
              <w:rPr>
                <w:b/>
                <w:iCs/>
                <w:sz w:val="15"/>
                <w:szCs w:val="15"/>
              </w:rPr>
            </w:pPr>
            <w:r>
              <w:rPr>
                <w:b/>
                <w:sz w:val="15"/>
                <w:szCs w:val="15"/>
                <w:lang w:val="en-GB"/>
              </w:rPr>
              <w:t>(min B-s</w:t>
            </w:r>
            <w:proofErr w:type="gramStart"/>
            <w:r>
              <w:rPr>
                <w:b/>
                <w:sz w:val="15"/>
                <w:szCs w:val="15"/>
                <w:lang w:val="en-GB"/>
              </w:rPr>
              <w:t>2,d</w:t>
            </w:r>
            <w:proofErr w:type="gramEnd"/>
            <w:r>
              <w:rPr>
                <w:b/>
                <w:sz w:val="15"/>
                <w:szCs w:val="15"/>
                <w:lang w:val="en-GB"/>
              </w:rPr>
              <w:t>0)</w:t>
            </w:r>
          </w:p>
        </w:tc>
        <w:tc>
          <w:tcPr>
            <w:tcW w:w="675" w:type="dxa"/>
            <w:shd w:val="clear" w:color="auto" w:fill="auto"/>
            <w:vAlign w:val="center"/>
          </w:tcPr>
          <w:p w14:paraId="2ABE7D89" w14:textId="77777777" w:rsidR="001C08A5" w:rsidRDefault="00000000">
            <w:pPr>
              <w:jc w:val="center"/>
              <w:rPr>
                <w:b/>
              </w:rPr>
            </w:pPr>
            <w:r>
              <w:rPr>
                <w:b/>
              </w:rPr>
              <w:t>15</w:t>
            </w:r>
          </w:p>
          <w:p w14:paraId="68E2C31D" w14:textId="77777777" w:rsidR="001C08A5" w:rsidRDefault="00000000">
            <w:pPr>
              <w:jc w:val="center"/>
              <w:rPr>
                <w:b/>
                <w:lang w:val="en-GB"/>
              </w:rPr>
            </w:pPr>
            <w:r>
              <w:rPr>
                <w:b/>
                <w:lang w:val="en-GB"/>
              </w:rPr>
              <w:t>(*)</w:t>
            </w:r>
          </w:p>
          <w:p w14:paraId="5E642146" w14:textId="77777777" w:rsidR="001C08A5" w:rsidRDefault="00000000">
            <w:pPr>
              <w:jc w:val="center"/>
              <w:rPr>
                <w:b/>
                <w:iCs/>
                <w:sz w:val="15"/>
                <w:szCs w:val="15"/>
              </w:rPr>
            </w:pPr>
            <w:r>
              <w:rPr>
                <w:b/>
                <w:sz w:val="15"/>
                <w:szCs w:val="15"/>
                <w:lang w:val="en-GB"/>
              </w:rPr>
              <w:t>(min C-s</w:t>
            </w:r>
            <w:proofErr w:type="gramStart"/>
            <w:r>
              <w:rPr>
                <w:b/>
                <w:sz w:val="15"/>
                <w:szCs w:val="15"/>
                <w:lang w:val="en-GB"/>
              </w:rPr>
              <w:t>3,d</w:t>
            </w:r>
            <w:proofErr w:type="gramEnd"/>
            <w:r>
              <w:rPr>
                <w:b/>
                <w:sz w:val="15"/>
                <w:szCs w:val="15"/>
                <w:lang w:val="en-GB"/>
              </w:rPr>
              <w:t>0)</w:t>
            </w:r>
          </w:p>
        </w:tc>
        <w:tc>
          <w:tcPr>
            <w:tcW w:w="675" w:type="dxa"/>
            <w:shd w:val="clear" w:color="auto" w:fill="auto"/>
            <w:vAlign w:val="center"/>
          </w:tcPr>
          <w:p w14:paraId="425D704B" w14:textId="77777777" w:rsidR="001C08A5" w:rsidRDefault="00000000">
            <w:pPr>
              <w:jc w:val="center"/>
              <w:rPr>
                <w:b/>
              </w:rPr>
            </w:pPr>
            <w:r>
              <w:rPr>
                <w:b/>
              </w:rPr>
              <w:t>15</w:t>
            </w:r>
          </w:p>
          <w:p w14:paraId="15A9BC60" w14:textId="77777777" w:rsidR="001C08A5" w:rsidRDefault="00000000">
            <w:pPr>
              <w:jc w:val="center"/>
              <w:rPr>
                <w:b/>
                <w:lang w:val="en-GB"/>
              </w:rPr>
            </w:pPr>
            <w:r>
              <w:rPr>
                <w:b/>
                <w:lang w:val="en-GB"/>
              </w:rPr>
              <w:t>(*)</w:t>
            </w:r>
          </w:p>
          <w:p w14:paraId="2BAC5B29" w14:textId="77777777" w:rsidR="001C08A5" w:rsidRDefault="00000000">
            <w:pPr>
              <w:jc w:val="center"/>
              <w:rPr>
                <w:b/>
                <w:iCs/>
                <w:sz w:val="15"/>
                <w:szCs w:val="15"/>
              </w:rPr>
            </w:pPr>
            <w:r>
              <w:rPr>
                <w:b/>
                <w:sz w:val="15"/>
                <w:szCs w:val="15"/>
                <w:lang w:val="en-GB"/>
              </w:rPr>
              <w:t>(min C-s</w:t>
            </w:r>
            <w:proofErr w:type="gramStart"/>
            <w:r>
              <w:rPr>
                <w:b/>
                <w:sz w:val="15"/>
                <w:szCs w:val="15"/>
                <w:lang w:val="en-GB"/>
              </w:rPr>
              <w:t>3,d</w:t>
            </w:r>
            <w:proofErr w:type="gramEnd"/>
            <w:r>
              <w:rPr>
                <w:b/>
                <w:sz w:val="15"/>
                <w:szCs w:val="15"/>
                <w:lang w:val="en-GB"/>
              </w:rPr>
              <w:t>0)</w:t>
            </w:r>
          </w:p>
        </w:tc>
        <w:tc>
          <w:tcPr>
            <w:tcW w:w="690" w:type="dxa"/>
            <w:shd w:val="clear" w:color="auto" w:fill="auto"/>
            <w:vAlign w:val="center"/>
          </w:tcPr>
          <w:p w14:paraId="0E31F4C9" w14:textId="77777777" w:rsidR="001C08A5" w:rsidRDefault="00000000">
            <w:pPr>
              <w:jc w:val="center"/>
              <w:rPr>
                <w:b/>
                <w:lang w:val="en-GB"/>
              </w:rPr>
            </w:pPr>
            <w:r>
              <w:rPr>
                <w:b/>
                <w:lang w:val="en-GB"/>
              </w:rPr>
              <w:t>(*)</w:t>
            </w:r>
          </w:p>
          <w:p w14:paraId="2D888209" w14:textId="77777777" w:rsidR="001C08A5" w:rsidRDefault="00000000">
            <w:pPr>
              <w:jc w:val="center"/>
              <w:rPr>
                <w:b/>
                <w:iCs/>
                <w:sz w:val="15"/>
                <w:szCs w:val="15"/>
              </w:rPr>
            </w:pPr>
            <w:r>
              <w:rPr>
                <w:b/>
                <w:sz w:val="15"/>
                <w:szCs w:val="15"/>
                <w:lang w:val="en-GB"/>
              </w:rPr>
              <w:t>(min D-s</w:t>
            </w:r>
            <w:proofErr w:type="gramStart"/>
            <w:r>
              <w:rPr>
                <w:b/>
                <w:sz w:val="15"/>
                <w:szCs w:val="15"/>
                <w:lang w:val="en-GB"/>
              </w:rPr>
              <w:t>3,d</w:t>
            </w:r>
            <w:proofErr w:type="gramEnd"/>
            <w:r>
              <w:rPr>
                <w:b/>
                <w:sz w:val="15"/>
                <w:szCs w:val="15"/>
                <w:lang w:val="en-GB"/>
              </w:rPr>
              <w:t>0)</w:t>
            </w:r>
          </w:p>
        </w:tc>
        <w:tc>
          <w:tcPr>
            <w:tcW w:w="673" w:type="dxa"/>
            <w:shd w:val="clear" w:color="auto" w:fill="auto"/>
            <w:vAlign w:val="center"/>
          </w:tcPr>
          <w:p w14:paraId="68F163E4" w14:textId="77777777" w:rsidR="001C08A5" w:rsidRDefault="00000000">
            <w:pPr>
              <w:jc w:val="center"/>
              <w:rPr>
                <w:b/>
                <w:lang w:val="en-GB"/>
              </w:rPr>
            </w:pPr>
            <w:r>
              <w:rPr>
                <w:b/>
                <w:lang w:val="en-GB"/>
              </w:rPr>
              <w:t>(*)</w:t>
            </w:r>
          </w:p>
          <w:p w14:paraId="0F920CC1" w14:textId="77777777" w:rsidR="001C08A5" w:rsidRDefault="00000000">
            <w:pPr>
              <w:jc w:val="center"/>
              <w:rPr>
                <w:b/>
                <w:iCs/>
                <w:sz w:val="15"/>
                <w:szCs w:val="15"/>
              </w:rPr>
            </w:pPr>
            <w:r>
              <w:rPr>
                <w:b/>
                <w:sz w:val="15"/>
                <w:szCs w:val="15"/>
                <w:lang w:val="en-GB"/>
              </w:rPr>
              <w:t>(minD-s</w:t>
            </w:r>
            <w:proofErr w:type="gramStart"/>
            <w:r>
              <w:rPr>
                <w:b/>
                <w:sz w:val="15"/>
                <w:szCs w:val="15"/>
                <w:lang w:val="en-GB"/>
              </w:rPr>
              <w:t>3,d</w:t>
            </w:r>
            <w:proofErr w:type="gramEnd"/>
            <w:r>
              <w:rPr>
                <w:b/>
                <w:sz w:val="15"/>
                <w:szCs w:val="15"/>
                <w:lang w:val="en-GB"/>
              </w:rPr>
              <w:t>1)</w:t>
            </w:r>
          </w:p>
        </w:tc>
      </w:tr>
    </w:tbl>
    <w:p w14:paraId="288BB435" w14:textId="77777777" w:rsidR="001C08A5" w:rsidRDefault="00000000">
      <w:pPr>
        <w:jc w:val="both"/>
        <w:rPr>
          <w:rFonts w:eastAsia="ArialMT"/>
          <w:b/>
          <w:bCs/>
          <w:i/>
          <w:sz w:val="22"/>
          <w:szCs w:val="22"/>
          <w:u w:val="single"/>
        </w:rPr>
      </w:pPr>
      <w:r>
        <w:rPr>
          <w:rFonts w:eastAsia="ArialMT"/>
          <w:b/>
          <w:bCs/>
          <w:i/>
          <w:sz w:val="22"/>
          <w:szCs w:val="22"/>
          <w:u w:val="single"/>
        </w:rPr>
        <w:t>Note:</w:t>
      </w:r>
    </w:p>
    <w:p w14:paraId="128D2C40" w14:textId="77777777" w:rsidR="001C08A5" w:rsidRDefault="00000000">
      <w:pPr>
        <w:jc w:val="both"/>
        <w:rPr>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4CE7424E" w14:textId="77777777" w:rsidR="001C08A5" w:rsidRDefault="00000000">
      <w:pPr>
        <w:jc w:val="both"/>
        <w:rPr>
          <w:i/>
          <w:sz w:val="22"/>
          <w:szCs w:val="22"/>
        </w:rPr>
      </w:pPr>
      <w:r>
        <w:rPr>
          <w:sz w:val="22"/>
          <w:szCs w:val="22"/>
        </w:rPr>
        <w:t>(*)</w:t>
      </w:r>
      <w:r>
        <w:rPr>
          <w:i/>
          <w:sz w:val="22"/>
          <w:szCs w:val="22"/>
        </w:rPr>
        <w:t xml:space="preserve"> La construcțiile echipate cu instalații de stingere a incendiilor cu sprinklere ori ceață de apă, cu exceptia celor incadrate în nivel </w:t>
      </w:r>
      <w:r>
        <w:rPr>
          <w:b/>
          <w:bCs/>
          <w:i/>
          <w:sz w:val="22"/>
          <w:szCs w:val="22"/>
        </w:rPr>
        <w:t>I</w:t>
      </w:r>
      <w:r>
        <w:rPr>
          <w:i/>
          <w:sz w:val="22"/>
          <w:szCs w:val="22"/>
        </w:rPr>
        <w:t xml:space="preserve"> de stabilitate, se consideră că este satisfăcută condiția de încadrare în nivelul de stabilitate la incendiu, dacă  sistemul de învelitoare este compus din:</w:t>
      </w:r>
    </w:p>
    <w:p w14:paraId="5EE786DF" w14:textId="77777777" w:rsidR="001C08A5" w:rsidRDefault="00000000">
      <w:pPr>
        <w:ind w:left="720" w:firstLine="720"/>
        <w:jc w:val="both"/>
        <w:rPr>
          <w:i/>
          <w:sz w:val="22"/>
          <w:szCs w:val="22"/>
        </w:rPr>
      </w:pPr>
      <w:r>
        <w:rPr>
          <w:i/>
          <w:sz w:val="22"/>
          <w:szCs w:val="22"/>
        </w:rPr>
        <w:t xml:space="preserve">- strat cu profil trapezoidal din oțel cu grosimea mai mare sau egală cu </w:t>
      </w:r>
      <w:r>
        <w:rPr>
          <w:b/>
          <w:bCs/>
          <w:i/>
          <w:sz w:val="22"/>
          <w:szCs w:val="22"/>
        </w:rPr>
        <w:t>1,00</w:t>
      </w:r>
      <w:r>
        <w:rPr>
          <w:i/>
          <w:sz w:val="22"/>
          <w:szCs w:val="22"/>
        </w:rPr>
        <w:t xml:space="preserve"> </w:t>
      </w:r>
      <w:r>
        <w:rPr>
          <w:b/>
          <w:bCs/>
          <w:i/>
          <w:sz w:val="22"/>
          <w:szCs w:val="22"/>
        </w:rPr>
        <w:t>mm</w:t>
      </w:r>
      <w:r>
        <w:rPr>
          <w:i/>
          <w:sz w:val="22"/>
          <w:szCs w:val="22"/>
        </w:rPr>
        <w:t>;</w:t>
      </w:r>
    </w:p>
    <w:p w14:paraId="732DFF5C" w14:textId="77777777" w:rsidR="001C08A5" w:rsidRDefault="00000000">
      <w:pPr>
        <w:ind w:left="720" w:firstLine="720"/>
        <w:jc w:val="both"/>
        <w:rPr>
          <w:i/>
          <w:sz w:val="22"/>
          <w:szCs w:val="22"/>
        </w:rPr>
      </w:pPr>
      <w:r>
        <w:rPr>
          <w:i/>
          <w:sz w:val="22"/>
          <w:szCs w:val="22"/>
        </w:rPr>
        <w:t xml:space="preserve">- barieră de vapori care are mai puțin de </w:t>
      </w:r>
      <w:r>
        <w:rPr>
          <w:b/>
          <w:bCs/>
          <w:i/>
          <w:sz w:val="22"/>
          <w:szCs w:val="22"/>
        </w:rPr>
        <w:t>11.6 MJ/m</w:t>
      </w:r>
      <w:r>
        <w:rPr>
          <w:b/>
          <w:bCs/>
          <w:i/>
          <w:sz w:val="22"/>
          <w:szCs w:val="22"/>
          <w:vertAlign w:val="superscript"/>
        </w:rPr>
        <w:t>2</w:t>
      </w:r>
      <w:r>
        <w:rPr>
          <w:i/>
          <w:sz w:val="22"/>
          <w:szCs w:val="22"/>
        </w:rPr>
        <w:t xml:space="preserve">, grosimea mai mica de </w:t>
      </w:r>
      <w:r>
        <w:rPr>
          <w:b/>
          <w:bCs/>
          <w:i/>
          <w:sz w:val="22"/>
          <w:szCs w:val="22"/>
        </w:rPr>
        <w:t>1,00</w:t>
      </w:r>
      <w:r>
        <w:rPr>
          <w:i/>
          <w:sz w:val="22"/>
          <w:szCs w:val="22"/>
        </w:rPr>
        <w:t xml:space="preserve"> </w:t>
      </w:r>
      <w:r>
        <w:rPr>
          <w:b/>
          <w:bCs/>
          <w:i/>
          <w:sz w:val="22"/>
          <w:szCs w:val="22"/>
        </w:rPr>
        <w:t>mm</w:t>
      </w:r>
      <w:r>
        <w:rPr>
          <w:i/>
          <w:sz w:val="22"/>
          <w:szCs w:val="22"/>
        </w:rPr>
        <w:t xml:space="preserve"> și masa pe unitatea de suprafata mai mica de </w:t>
      </w:r>
      <w:r>
        <w:rPr>
          <w:b/>
          <w:bCs/>
          <w:i/>
          <w:sz w:val="22"/>
          <w:szCs w:val="22"/>
        </w:rPr>
        <w:t>1 kg/m</w:t>
      </w:r>
      <w:r>
        <w:rPr>
          <w:b/>
          <w:bCs/>
          <w:i/>
          <w:sz w:val="22"/>
          <w:szCs w:val="22"/>
          <w:vertAlign w:val="superscript"/>
        </w:rPr>
        <w:t>2</w:t>
      </w:r>
      <w:r>
        <w:rPr>
          <w:i/>
          <w:sz w:val="22"/>
          <w:szCs w:val="22"/>
        </w:rPr>
        <w:t>;</w:t>
      </w:r>
    </w:p>
    <w:p w14:paraId="46AA7145" w14:textId="77777777" w:rsidR="001C08A5" w:rsidRDefault="00000000">
      <w:pPr>
        <w:ind w:left="720" w:firstLine="720"/>
        <w:jc w:val="both"/>
        <w:rPr>
          <w:i/>
          <w:sz w:val="22"/>
          <w:szCs w:val="22"/>
        </w:rPr>
      </w:pPr>
      <w:r>
        <w:rPr>
          <w:i/>
          <w:sz w:val="22"/>
          <w:szCs w:val="22"/>
        </w:rPr>
        <w:t xml:space="preserve">- termoizolație cu grosime de minimum </w:t>
      </w:r>
      <w:r>
        <w:rPr>
          <w:b/>
          <w:bCs/>
          <w:i/>
          <w:sz w:val="22"/>
          <w:szCs w:val="22"/>
        </w:rPr>
        <w:t>20 cm</w:t>
      </w:r>
      <w:r>
        <w:rPr>
          <w:i/>
          <w:sz w:val="22"/>
          <w:szCs w:val="22"/>
        </w:rPr>
        <w:t xml:space="preserve">, clasa de reacție la foc </w:t>
      </w:r>
      <w:r>
        <w:rPr>
          <w:b/>
          <w:bCs/>
          <w:i/>
          <w:sz w:val="22"/>
          <w:szCs w:val="22"/>
        </w:rPr>
        <w:t xml:space="preserve">A1, </w:t>
      </w:r>
      <w:r>
        <w:rPr>
          <w:i/>
          <w:sz w:val="22"/>
          <w:szCs w:val="22"/>
        </w:rPr>
        <w:t xml:space="preserve">cu densitatea minimă </w:t>
      </w:r>
      <w:r>
        <w:rPr>
          <w:b/>
          <w:bCs/>
          <w:i/>
          <w:sz w:val="22"/>
          <w:szCs w:val="22"/>
        </w:rPr>
        <w:t>150kg/m</w:t>
      </w:r>
      <w:r>
        <w:rPr>
          <w:b/>
          <w:bCs/>
          <w:i/>
          <w:sz w:val="22"/>
          <w:szCs w:val="22"/>
          <w:vertAlign w:val="superscript"/>
        </w:rPr>
        <w:t>3</w:t>
      </w:r>
      <w:r>
        <w:rPr>
          <w:i/>
          <w:sz w:val="22"/>
          <w:szCs w:val="22"/>
        </w:rPr>
        <w:t>;</w:t>
      </w:r>
    </w:p>
    <w:p w14:paraId="13C83FDB" w14:textId="77777777" w:rsidR="001C08A5" w:rsidRDefault="00000000">
      <w:pPr>
        <w:ind w:left="720" w:firstLine="720"/>
        <w:jc w:val="both"/>
        <w:rPr>
          <w:i/>
          <w:sz w:val="22"/>
          <w:szCs w:val="22"/>
        </w:rPr>
      </w:pPr>
      <w:r>
        <w:rPr>
          <w:i/>
          <w:sz w:val="22"/>
          <w:szCs w:val="22"/>
        </w:rPr>
        <w:t xml:space="preserve">- membrană hidroizolantă  care trebuie să îndeplinească numai clasa de performanță la foc exterior, astfel: minimum </w:t>
      </w:r>
      <w:r>
        <w:rPr>
          <w:b/>
          <w:bCs/>
          <w:i/>
          <w:sz w:val="22"/>
          <w:szCs w:val="22"/>
        </w:rPr>
        <w:t>B</w:t>
      </w:r>
      <w:r>
        <w:rPr>
          <w:b/>
          <w:bCs/>
          <w:i/>
          <w:sz w:val="22"/>
          <w:szCs w:val="22"/>
          <w:vertAlign w:val="subscript"/>
        </w:rPr>
        <w:t>ROOF</w:t>
      </w:r>
      <w:r>
        <w:rPr>
          <w:b/>
          <w:bCs/>
          <w:i/>
          <w:sz w:val="22"/>
          <w:szCs w:val="22"/>
        </w:rPr>
        <w:t>(T3)</w:t>
      </w:r>
      <w:r>
        <w:rPr>
          <w:i/>
          <w:sz w:val="22"/>
          <w:szCs w:val="22"/>
        </w:rPr>
        <w:t xml:space="preserve"> pentru nivelul </w:t>
      </w:r>
      <w:r>
        <w:rPr>
          <w:b/>
          <w:bCs/>
          <w:i/>
          <w:sz w:val="22"/>
          <w:szCs w:val="22"/>
        </w:rPr>
        <w:t>II</w:t>
      </w:r>
      <w:r>
        <w:rPr>
          <w:i/>
          <w:sz w:val="22"/>
          <w:szCs w:val="22"/>
        </w:rPr>
        <w:t xml:space="preserve"> și </w:t>
      </w:r>
      <w:r>
        <w:rPr>
          <w:b/>
          <w:bCs/>
          <w:i/>
          <w:sz w:val="22"/>
          <w:szCs w:val="22"/>
        </w:rPr>
        <w:t>III</w:t>
      </w:r>
      <w:r>
        <w:rPr>
          <w:i/>
          <w:sz w:val="22"/>
          <w:szCs w:val="22"/>
        </w:rPr>
        <w:t xml:space="preserve"> de stabilitate la incendiu sau </w:t>
      </w:r>
      <w:r>
        <w:rPr>
          <w:b/>
          <w:bCs/>
          <w:i/>
          <w:iCs/>
          <w:sz w:val="22"/>
          <w:szCs w:val="22"/>
        </w:rPr>
        <w:t>C</w:t>
      </w:r>
      <w:r>
        <w:rPr>
          <w:b/>
          <w:bCs/>
          <w:i/>
          <w:iCs/>
          <w:sz w:val="22"/>
          <w:szCs w:val="22"/>
          <w:vertAlign w:val="subscript"/>
        </w:rPr>
        <w:t>ROOF</w:t>
      </w:r>
      <w:r>
        <w:rPr>
          <w:b/>
          <w:bCs/>
          <w:i/>
          <w:iCs/>
          <w:sz w:val="22"/>
          <w:szCs w:val="22"/>
        </w:rPr>
        <w:t>(T3)</w:t>
      </w:r>
      <w:r>
        <w:rPr>
          <w:i/>
          <w:sz w:val="22"/>
          <w:szCs w:val="22"/>
        </w:rPr>
        <w:t xml:space="preserve">pentru nivelul </w:t>
      </w:r>
      <w:r>
        <w:rPr>
          <w:b/>
          <w:bCs/>
          <w:i/>
          <w:sz w:val="22"/>
          <w:szCs w:val="22"/>
        </w:rPr>
        <w:t>IV</w:t>
      </w:r>
      <w:r>
        <w:rPr>
          <w:i/>
          <w:sz w:val="22"/>
          <w:szCs w:val="22"/>
        </w:rPr>
        <w:t xml:space="preserve"> de stabilitate la incendiu. </w:t>
      </w:r>
    </w:p>
    <w:p w14:paraId="04467B98" w14:textId="77777777" w:rsidR="001C08A5" w:rsidRDefault="00000000">
      <w:pPr>
        <w:pStyle w:val="Captiontabel"/>
        <w:rPr>
          <w:sz w:val="22"/>
          <w:szCs w:val="22"/>
        </w:rPr>
      </w:pPr>
      <w:r>
        <w:rPr>
          <w:bCs/>
          <w:iCs/>
          <w:sz w:val="22"/>
          <w:szCs w:val="22"/>
        </w:rPr>
        <w:t>(**)</w:t>
      </w:r>
      <w:r>
        <w:rPr>
          <w:iCs/>
          <w:sz w:val="22"/>
          <w:szCs w:val="22"/>
        </w:rPr>
        <w:t xml:space="preserve"> </w:t>
      </w:r>
      <w:r>
        <w:rPr>
          <w:b w:val="0"/>
          <w:bCs/>
          <w:iCs/>
          <w:sz w:val="22"/>
          <w:szCs w:val="22"/>
        </w:rPr>
        <w:t>Constituie exceptie de la încadrarea în condiţii</w:t>
      </w:r>
      <w:r>
        <w:rPr>
          <w:iCs/>
          <w:sz w:val="22"/>
          <w:szCs w:val="22"/>
        </w:rPr>
        <w:t xml:space="preserve"> ”</w:t>
      </w:r>
      <w:r>
        <w:rPr>
          <w:bCs/>
          <w:iCs/>
          <w:sz w:val="22"/>
          <w:szCs w:val="22"/>
        </w:rPr>
        <w:t xml:space="preserve">fără performanţe determinate la foc” </w:t>
      </w:r>
      <w:r>
        <w:rPr>
          <w:iCs/>
          <w:sz w:val="22"/>
          <w:szCs w:val="22"/>
        </w:rPr>
        <w:t>Nota (</w:t>
      </w:r>
      <w:r>
        <w:rPr>
          <w:bCs/>
          <w:iCs/>
          <w:sz w:val="22"/>
          <w:szCs w:val="22"/>
        </w:rPr>
        <w:t>3</w:t>
      </w:r>
      <w:r>
        <w:rPr>
          <w:iCs/>
          <w:sz w:val="22"/>
          <w:szCs w:val="22"/>
        </w:rPr>
        <w:t>)</w:t>
      </w:r>
      <w:r>
        <w:rPr>
          <w:b w:val="0"/>
          <w:bCs/>
          <w:iCs/>
          <w:sz w:val="22"/>
          <w:szCs w:val="22"/>
        </w:rPr>
        <w:t xml:space="preserve"> de la</w:t>
      </w:r>
      <w:r>
        <w:rPr>
          <w:iCs/>
          <w:sz w:val="22"/>
          <w:szCs w:val="22"/>
        </w:rPr>
        <w:t xml:space="preserve"> </w:t>
      </w:r>
      <w:r>
        <w:rPr>
          <w:iCs/>
          <w:sz w:val="22"/>
          <w:szCs w:val="22"/>
        </w:rPr>
        <w:fldChar w:fldCharType="begin"/>
      </w:r>
      <w:r>
        <w:rPr>
          <w:iCs/>
          <w:sz w:val="22"/>
          <w:szCs w:val="22"/>
        </w:rPr>
        <w:instrText xml:space="preserve"> REF _Ref26891 \h </w:instrText>
      </w:r>
      <w:r>
        <w:rPr>
          <w:iCs/>
          <w:sz w:val="22"/>
          <w:szCs w:val="22"/>
        </w:rPr>
      </w:r>
      <w:r>
        <w:rPr>
          <w:iCs/>
          <w:sz w:val="22"/>
          <w:szCs w:val="22"/>
        </w:rPr>
        <w:fldChar w:fldCharType="separate"/>
      </w:r>
      <w:r>
        <w:rPr>
          <w:sz w:val="22"/>
          <w:szCs w:val="22"/>
        </w:rPr>
        <w:t>Tabelul 42: Condiţii de corelare între destinaţie, capacitatea maximă simultană şi numărul de niveluri supraterane ale clădirilor civile, cu nivel de stabilitate la incendiu III, IV sau V</w:t>
      </w:r>
      <w:r>
        <w:rPr>
          <w:iCs/>
          <w:sz w:val="22"/>
          <w:szCs w:val="22"/>
        </w:rPr>
        <w:fldChar w:fldCharType="end"/>
      </w:r>
      <w:r>
        <w:rPr>
          <w:iCs/>
          <w:sz w:val="22"/>
          <w:szCs w:val="22"/>
        </w:rPr>
        <w:t xml:space="preserve"> </w:t>
      </w:r>
      <w:r>
        <w:rPr>
          <w:b w:val="0"/>
          <w:bCs/>
          <w:iCs/>
          <w:sz w:val="22"/>
          <w:szCs w:val="22"/>
        </w:rPr>
        <w:t xml:space="preserve">pentru nivelul de stabilitate la incendiu </w:t>
      </w:r>
      <w:r>
        <w:rPr>
          <w:iCs/>
          <w:sz w:val="22"/>
          <w:szCs w:val="22"/>
        </w:rPr>
        <w:t>V</w:t>
      </w:r>
      <w:r>
        <w:rPr>
          <w:b w:val="0"/>
          <w:bCs/>
          <w:iCs/>
          <w:sz w:val="22"/>
          <w:szCs w:val="22"/>
        </w:rPr>
        <w:t>.</w:t>
      </w:r>
    </w:p>
    <w:p w14:paraId="1F003131" w14:textId="77777777" w:rsidR="001C08A5" w:rsidRDefault="00000000">
      <w:pPr>
        <w:suppressAutoHyphens w:val="0"/>
        <w:autoSpaceDE w:val="0"/>
        <w:autoSpaceDN w:val="0"/>
        <w:adjustRightInd w:val="0"/>
        <w:jc w:val="both"/>
        <w:rPr>
          <w:i/>
          <w:iCs/>
          <w:sz w:val="22"/>
          <w:szCs w:val="22"/>
        </w:rPr>
      </w:pPr>
      <w:r>
        <w:rPr>
          <w:i/>
          <w:iCs/>
          <w:sz w:val="22"/>
          <w:szCs w:val="22"/>
        </w:rPr>
        <w:t xml:space="preserve">(***) Este obligatorie asigurarea și a </w:t>
      </w:r>
      <w:r>
        <w:rPr>
          <w:b/>
          <w:bCs/>
          <w:i/>
          <w:iCs/>
          <w:sz w:val="22"/>
          <w:szCs w:val="22"/>
          <w:u w:val="single"/>
        </w:rPr>
        <w:t>minimum</w:t>
      </w:r>
      <w:r>
        <w:rPr>
          <w:i/>
          <w:iCs/>
          <w:sz w:val="22"/>
          <w:szCs w:val="22"/>
        </w:rPr>
        <w:t xml:space="preserve"> condițiilor prevăzute pentru suporturi standardizate de panouri sau sisteme de învelitoare ale acoperişurilor în pantă prevăzute la </w:t>
      </w:r>
      <w:r>
        <w:rPr>
          <w:b/>
          <w:bCs/>
          <w:i/>
          <w:iCs/>
          <w:sz w:val="22"/>
          <w:szCs w:val="22"/>
        </w:rPr>
        <w:t>Nr. Crt. 10 lit. b)</w:t>
      </w:r>
      <w:r>
        <w:rPr>
          <w:i/>
          <w:iCs/>
          <w:sz w:val="22"/>
          <w:szCs w:val="22"/>
        </w:rPr>
        <w:t>.</w:t>
      </w:r>
    </w:p>
    <w:p w14:paraId="656BD667" w14:textId="77777777" w:rsidR="001C08A5" w:rsidRDefault="00000000">
      <w:pPr>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750D10B2" w14:textId="77777777" w:rsidR="001C08A5" w:rsidRDefault="00000000">
      <w:pPr>
        <w:rPr>
          <w:bCs/>
          <w:i/>
          <w:sz w:val="22"/>
          <w:szCs w:val="22"/>
        </w:rPr>
      </w:pPr>
      <w:r>
        <w:rPr>
          <w:b/>
          <w:i/>
          <w:sz w:val="22"/>
          <w:szCs w:val="22"/>
        </w:rPr>
        <w:t>”h”</w:t>
      </w:r>
      <w:r>
        <w:rPr>
          <w:bCs/>
          <w:i/>
          <w:sz w:val="22"/>
          <w:szCs w:val="22"/>
        </w:rPr>
        <w:t xml:space="preserve">= cota ultimului planșeu accesibil/folosibil al </w:t>
      </w:r>
      <w:r>
        <w:rPr>
          <w:i/>
          <w:iCs/>
          <w:sz w:val="22"/>
          <w:szCs w:val="22"/>
        </w:rPr>
        <w:t>construcției, față de nivelul de referință</w:t>
      </w:r>
    </w:p>
    <w:p w14:paraId="1146705B" w14:textId="77777777" w:rsidR="001C08A5" w:rsidRDefault="00000000">
      <w:pPr>
        <w:pStyle w:val="BodyText"/>
        <w:rPr>
          <w:b w:val="0"/>
          <w:bCs w:val="0"/>
          <w:iCs/>
          <w:sz w:val="22"/>
          <w:szCs w:val="22"/>
        </w:rPr>
      </w:pPr>
      <w:r>
        <w:rPr>
          <w:b w:val="0"/>
          <w:bCs w:val="0"/>
          <w:iCs/>
          <w:sz w:val="22"/>
          <w:szCs w:val="22"/>
        </w:rPr>
        <w:t>- În scopul verificării cerințelor de rezistență la foc ale elementelor structurale secundare, proiectantul trebuie să verifice că prăbușirea acestor elemente prin efectul incendiului nu va compromite: capacitatea portantă a altor elemente structurale care fac parte din structură (în condiții de incendiu), eficacitatea compartimentării elementelor structurale, operarea sistemelor active de protecție împotriva incendiilor, evacuarea în siguranță a utilizatorilor precum și siguranța echipelor de intervenție.</w:t>
      </w:r>
    </w:p>
    <w:p w14:paraId="565117EB" w14:textId="77777777" w:rsidR="001C08A5" w:rsidRDefault="001C08A5">
      <w:pPr>
        <w:suppressAutoHyphens w:val="0"/>
        <w:autoSpaceDE w:val="0"/>
        <w:autoSpaceDN w:val="0"/>
        <w:adjustRightInd w:val="0"/>
        <w:jc w:val="both"/>
        <w:rPr>
          <w:i/>
          <w:sz w:val="24"/>
          <w:szCs w:val="24"/>
        </w:rPr>
      </w:pPr>
    </w:p>
    <w:p w14:paraId="000F6971" w14:textId="77777777" w:rsidR="001C08A5" w:rsidRDefault="00000000">
      <w:pPr>
        <w:pStyle w:val="Captiontabel"/>
      </w:pPr>
      <w:bookmarkStart w:id="641" w:name="_Ref11612"/>
      <w:bookmarkStart w:id="642" w:name="_Ref22312"/>
      <w:bookmarkStart w:id="643" w:name="_Toc162360053"/>
      <w:r>
        <w:t xml:space="preserve">Tabelul </w:t>
      </w:r>
      <w:r>
        <w:fldChar w:fldCharType="begin"/>
      </w:r>
      <w:r>
        <w:instrText xml:space="preserve"> SEQ Tabelul \* ARABIC </w:instrText>
      </w:r>
      <w:r>
        <w:fldChar w:fldCharType="separate"/>
      </w:r>
      <w:r>
        <w:t>3</w:t>
      </w:r>
      <w:r>
        <w:fldChar w:fldCharType="end"/>
      </w:r>
      <w:bookmarkStart w:id="644" w:name="_Toc5691"/>
      <w:bookmarkStart w:id="645" w:name="_Toc27528"/>
      <w:bookmarkStart w:id="646" w:name="_Toc25890"/>
      <w:bookmarkStart w:id="647" w:name="_Toc18603"/>
      <w:bookmarkStart w:id="648" w:name="_Toc30484"/>
      <w:bookmarkStart w:id="649" w:name="_Toc30520"/>
      <w:bookmarkStart w:id="650" w:name="_Toc20075"/>
      <w:bookmarkStart w:id="651" w:name="_Toc27441"/>
      <w:bookmarkStart w:id="652" w:name="_Toc23421"/>
      <w:bookmarkStart w:id="653" w:name="_Toc24722"/>
      <w:bookmarkStart w:id="654" w:name="_Toc9215"/>
      <w:bookmarkStart w:id="655" w:name="_Toc29756"/>
      <w:bookmarkEnd w:id="641"/>
      <w:r>
        <w:t>: Condiţii minime pentru încadrarea construcţiei sau a compartimentului de incendiu în niveluri de stabilitate la incendiu pentru construcții de productie și /sau depozitare</w:t>
      </w:r>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p>
    <w:p w14:paraId="6A4CCA12" w14:textId="77777777" w:rsidR="001C08A5" w:rsidRDefault="001C08A5">
      <w:pPr>
        <w:pStyle w:val="BodyText"/>
      </w:pPr>
    </w:p>
    <w:tbl>
      <w:tblPr>
        <w:tblW w:w="9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92"/>
        <w:gridCol w:w="1359"/>
        <w:gridCol w:w="1077"/>
        <w:gridCol w:w="1077"/>
        <w:gridCol w:w="1077"/>
        <w:gridCol w:w="1077"/>
        <w:gridCol w:w="1077"/>
        <w:gridCol w:w="1077"/>
      </w:tblGrid>
      <w:tr w:rsidR="001C08A5" w14:paraId="7116678E" w14:textId="77777777">
        <w:trPr>
          <w:cantSplit/>
          <w:trHeight w:val="260"/>
          <w:tblHeader/>
        </w:trPr>
        <w:tc>
          <w:tcPr>
            <w:tcW w:w="568" w:type="dxa"/>
            <w:vMerge w:val="restart"/>
            <w:shd w:val="clear" w:color="auto" w:fill="D9D9D9"/>
            <w:vAlign w:val="center"/>
          </w:tcPr>
          <w:p w14:paraId="1EF11352" w14:textId="77777777" w:rsidR="001C08A5" w:rsidRDefault="00000000">
            <w:pPr>
              <w:jc w:val="center"/>
              <w:rPr>
                <w:rFonts w:eastAsia="Times New Roman"/>
                <w:sz w:val="18"/>
                <w:szCs w:val="18"/>
              </w:rPr>
            </w:pPr>
            <w:r>
              <w:rPr>
                <w:b/>
                <w:sz w:val="18"/>
                <w:szCs w:val="18"/>
              </w:rPr>
              <w:t>Nr. crt.</w:t>
            </w:r>
          </w:p>
        </w:tc>
        <w:tc>
          <w:tcPr>
            <w:tcW w:w="2551" w:type="dxa"/>
            <w:gridSpan w:val="2"/>
            <w:vMerge w:val="restart"/>
            <w:shd w:val="clear" w:color="auto" w:fill="D9D9D9"/>
            <w:vAlign w:val="center"/>
          </w:tcPr>
          <w:p w14:paraId="217EFECB" w14:textId="77777777" w:rsidR="001C08A5" w:rsidRDefault="00000000">
            <w:pPr>
              <w:jc w:val="both"/>
              <w:rPr>
                <w:rFonts w:eastAsia="Times New Roman"/>
                <w:b/>
                <w:sz w:val="18"/>
                <w:szCs w:val="18"/>
              </w:rPr>
            </w:pPr>
            <w:r>
              <w:rPr>
                <w:b/>
                <w:sz w:val="18"/>
                <w:szCs w:val="18"/>
              </w:rPr>
              <w:t>Tipul elementelor de construcţie utilizate</w:t>
            </w:r>
          </w:p>
        </w:tc>
        <w:tc>
          <w:tcPr>
            <w:tcW w:w="6462" w:type="dxa"/>
            <w:gridSpan w:val="6"/>
            <w:shd w:val="clear" w:color="auto" w:fill="D9D9D9"/>
            <w:vAlign w:val="center"/>
          </w:tcPr>
          <w:p w14:paraId="20016899" w14:textId="77777777" w:rsidR="001C08A5" w:rsidRDefault="00000000">
            <w:pPr>
              <w:jc w:val="center"/>
              <w:rPr>
                <w:rFonts w:eastAsia="Times New Roman"/>
                <w:b/>
                <w:sz w:val="18"/>
                <w:szCs w:val="18"/>
              </w:rPr>
            </w:pPr>
            <w:r>
              <w:rPr>
                <w:b/>
                <w:sz w:val="18"/>
                <w:szCs w:val="18"/>
              </w:rPr>
              <w:t>Nivelul de stabilitate la incendiu al construcţiei/compartimentului</w:t>
            </w:r>
          </w:p>
        </w:tc>
      </w:tr>
      <w:tr w:rsidR="001C08A5" w14:paraId="2348E957" w14:textId="77777777">
        <w:trPr>
          <w:cantSplit/>
          <w:trHeight w:val="260"/>
          <w:tblHeader/>
        </w:trPr>
        <w:tc>
          <w:tcPr>
            <w:tcW w:w="568" w:type="dxa"/>
            <w:vMerge/>
            <w:shd w:val="clear" w:color="auto" w:fill="D9D9D9"/>
            <w:vAlign w:val="center"/>
          </w:tcPr>
          <w:p w14:paraId="038FB8B6" w14:textId="77777777" w:rsidR="001C08A5" w:rsidRDefault="001C08A5">
            <w:pPr>
              <w:jc w:val="center"/>
              <w:rPr>
                <w:rFonts w:eastAsia="Times New Roman"/>
                <w:sz w:val="18"/>
                <w:szCs w:val="18"/>
              </w:rPr>
            </w:pPr>
          </w:p>
        </w:tc>
        <w:tc>
          <w:tcPr>
            <w:tcW w:w="2551" w:type="dxa"/>
            <w:gridSpan w:val="2"/>
            <w:vMerge/>
            <w:shd w:val="clear" w:color="auto" w:fill="D9D9D9"/>
            <w:vAlign w:val="center"/>
          </w:tcPr>
          <w:p w14:paraId="3BADD6FD" w14:textId="77777777" w:rsidR="001C08A5" w:rsidRDefault="001C08A5">
            <w:pPr>
              <w:jc w:val="both"/>
              <w:rPr>
                <w:rFonts w:eastAsia="Times New Roman"/>
                <w:b/>
                <w:sz w:val="18"/>
                <w:szCs w:val="18"/>
              </w:rPr>
            </w:pPr>
          </w:p>
        </w:tc>
        <w:tc>
          <w:tcPr>
            <w:tcW w:w="1077" w:type="dxa"/>
            <w:shd w:val="clear" w:color="auto" w:fill="D9D9D9"/>
            <w:vAlign w:val="center"/>
          </w:tcPr>
          <w:p w14:paraId="171D7C95" w14:textId="77777777" w:rsidR="001C08A5" w:rsidRDefault="00000000">
            <w:pPr>
              <w:jc w:val="center"/>
              <w:rPr>
                <w:rFonts w:eastAsia="Times New Roman"/>
                <w:b/>
              </w:rPr>
            </w:pPr>
            <w:r>
              <w:rPr>
                <w:b/>
              </w:rPr>
              <w:t>I</w:t>
            </w:r>
          </w:p>
        </w:tc>
        <w:tc>
          <w:tcPr>
            <w:tcW w:w="1077" w:type="dxa"/>
            <w:shd w:val="clear" w:color="auto" w:fill="D9D9D9"/>
            <w:vAlign w:val="center"/>
          </w:tcPr>
          <w:p w14:paraId="61411D58" w14:textId="77777777" w:rsidR="001C08A5" w:rsidRDefault="00000000">
            <w:pPr>
              <w:jc w:val="center"/>
              <w:rPr>
                <w:rFonts w:eastAsia="Times New Roman"/>
                <w:b/>
              </w:rPr>
            </w:pPr>
            <w:r>
              <w:rPr>
                <w:b/>
              </w:rPr>
              <w:t>II</w:t>
            </w:r>
          </w:p>
        </w:tc>
        <w:tc>
          <w:tcPr>
            <w:tcW w:w="1077" w:type="dxa"/>
            <w:shd w:val="clear" w:color="auto" w:fill="D9D9D9"/>
            <w:vAlign w:val="center"/>
          </w:tcPr>
          <w:p w14:paraId="1A0FA22C" w14:textId="77777777" w:rsidR="001C08A5" w:rsidRDefault="00000000">
            <w:pPr>
              <w:jc w:val="center"/>
              <w:rPr>
                <w:b/>
              </w:rPr>
            </w:pPr>
            <w:r>
              <w:rPr>
                <w:b/>
              </w:rPr>
              <w:t>II (+)</w:t>
            </w:r>
          </w:p>
        </w:tc>
        <w:tc>
          <w:tcPr>
            <w:tcW w:w="1077" w:type="dxa"/>
            <w:shd w:val="clear" w:color="auto" w:fill="D9D9D9"/>
            <w:vAlign w:val="center"/>
          </w:tcPr>
          <w:p w14:paraId="64CD265B" w14:textId="77777777" w:rsidR="001C08A5" w:rsidRDefault="00000000">
            <w:pPr>
              <w:jc w:val="center"/>
              <w:rPr>
                <w:rFonts w:eastAsia="Times New Roman"/>
                <w:b/>
              </w:rPr>
            </w:pPr>
            <w:r>
              <w:rPr>
                <w:b/>
              </w:rPr>
              <w:t>III</w:t>
            </w:r>
          </w:p>
        </w:tc>
        <w:tc>
          <w:tcPr>
            <w:tcW w:w="1077" w:type="dxa"/>
            <w:shd w:val="clear" w:color="auto" w:fill="D9D9D9"/>
            <w:vAlign w:val="center"/>
          </w:tcPr>
          <w:p w14:paraId="2D456FFD" w14:textId="77777777" w:rsidR="001C08A5" w:rsidRDefault="00000000">
            <w:pPr>
              <w:jc w:val="center"/>
              <w:rPr>
                <w:rFonts w:eastAsia="Times New Roman"/>
                <w:b/>
              </w:rPr>
            </w:pPr>
            <w:r>
              <w:rPr>
                <w:b/>
              </w:rPr>
              <w:t>IV</w:t>
            </w:r>
          </w:p>
        </w:tc>
        <w:tc>
          <w:tcPr>
            <w:tcW w:w="1077" w:type="dxa"/>
            <w:shd w:val="clear" w:color="auto" w:fill="D9D9D9"/>
            <w:vAlign w:val="center"/>
          </w:tcPr>
          <w:p w14:paraId="5BE60B35" w14:textId="77777777" w:rsidR="001C08A5" w:rsidRDefault="00000000">
            <w:pPr>
              <w:jc w:val="center"/>
              <w:rPr>
                <w:rFonts w:eastAsia="Times New Roman"/>
                <w:b/>
              </w:rPr>
            </w:pPr>
            <w:r>
              <w:rPr>
                <w:b/>
              </w:rPr>
              <w:t>V</w:t>
            </w:r>
          </w:p>
        </w:tc>
      </w:tr>
      <w:tr w:rsidR="001C08A5" w14:paraId="0D56DCCB" w14:textId="77777777">
        <w:trPr>
          <w:cantSplit/>
          <w:trHeight w:val="260"/>
        </w:trPr>
        <w:tc>
          <w:tcPr>
            <w:tcW w:w="568" w:type="dxa"/>
            <w:shd w:val="clear" w:color="auto" w:fill="auto"/>
            <w:vAlign w:val="center"/>
          </w:tcPr>
          <w:p w14:paraId="3F2C7676" w14:textId="77777777" w:rsidR="001C08A5" w:rsidRDefault="00000000">
            <w:pPr>
              <w:jc w:val="center"/>
              <w:rPr>
                <w:sz w:val="18"/>
                <w:szCs w:val="18"/>
              </w:rPr>
            </w:pPr>
            <w:r>
              <w:rPr>
                <w:sz w:val="18"/>
                <w:szCs w:val="18"/>
              </w:rPr>
              <w:t>1</w:t>
            </w:r>
          </w:p>
        </w:tc>
        <w:tc>
          <w:tcPr>
            <w:tcW w:w="2551" w:type="dxa"/>
            <w:gridSpan w:val="2"/>
            <w:shd w:val="clear" w:color="auto" w:fill="auto"/>
            <w:vAlign w:val="center"/>
          </w:tcPr>
          <w:p w14:paraId="27C96E20" w14:textId="77777777" w:rsidR="001C08A5" w:rsidRDefault="00000000">
            <w:pPr>
              <w:jc w:val="both"/>
              <w:rPr>
                <w:b/>
                <w:sz w:val="18"/>
                <w:szCs w:val="18"/>
              </w:rPr>
            </w:pPr>
            <w:r>
              <w:rPr>
                <w:b/>
                <w:sz w:val="18"/>
                <w:szCs w:val="18"/>
              </w:rPr>
              <w:t>STALPI (R)</w:t>
            </w:r>
          </w:p>
        </w:tc>
        <w:tc>
          <w:tcPr>
            <w:tcW w:w="1077" w:type="dxa"/>
            <w:shd w:val="clear" w:color="auto" w:fill="auto"/>
            <w:vAlign w:val="center"/>
          </w:tcPr>
          <w:p w14:paraId="7592929F" w14:textId="77777777" w:rsidR="001C08A5" w:rsidRDefault="00000000">
            <w:pPr>
              <w:jc w:val="center"/>
              <w:rPr>
                <w:b/>
              </w:rPr>
            </w:pPr>
            <w:r>
              <w:rPr>
                <w:b/>
              </w:rPr>
              <w:t>180</w:t>
            </w:r>
          </w:p>
          <w:p w14:paraId="130FC52A"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5F0BA935" w14:textId="77777777" w:rsidR="001C08A5" w:rsidRDefault="00000000">
            <w:pPr>
              <w:jc w:val="center"/>
              <w:rPr>
                <w:b/>
              </w:rPr>
            </w:pPr>
            <w:r>
              <w:rPr>
                <w:b/>
              </w:rPr>
              <w:t>120</w:t>
            </w:r>
          </w:p>
          <w:p w14:paraId="5D6744FF"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5DCED64F" w14:textId="77777777" w:rsidR="001C08A5" w:rsidRDefault="00000000">
            <w:pPr>
              <w:jc w:val="center"/>
              <w:rPr>
                <w:b/>
              </w:rPr>
            </w:pPr>
            <w:r>
              <w:rPr>
                <w:b/>
              </w:rPr>
              <w:t>90</w:t>
            </w:r>
          </w:p>
          <w:p w14:paraId="63006F36"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22B754A5" w14:textId="77777777" w:rsidR="001C08A5" w:rsidRDefault="00000000">
            <w:pPr>
              <w:jc w:val="center"/>
              <w:rPr>
                <w:b/>
              </w:rPr>
            </w:pPr>
            <w:r>
              <w:rPr>
                <w:b/>
              </w:rPr>
              <w:t>60</w:t>
            </w:r>
          </w:p>
        </w:tc>
        <w:tc>
          <w:tcPr>
            <w:tcW w:w="1077" w:type="dxa"/>
            <w:shd w:val="clear" w:color="auto" w:fill="auto"/>
            <w:vAlign w:val="center"/>
          </w:tcPr>
          <w:p w14:paraId="6E36F23D" w14:textId="77777777" w:rsidR="001C08A5" w:rsidRDefault="00000000">
            <w:pPr>
              <w:jc w:val="center"/>
              <w:rPr>
                <w:b/>
              </w:rPr>
            </w:pPr>
            <w:r>
              <w:rPr>
                <w:b/>
              </w:rPr>
              <w:t>30/(**)</w:t>
            </w:r>
          </w:p>
          <w:p w14:paraId="4CF8061F" w14:textId="77777777" w:rsidR="001C08A5" w:rsidRDefault="001C08A5">
            <w:pPr>
              <w:jc w:val="center"/>
              <w:rPr>
                <w:b/>
              </w:rPr>
            </w:pPr>
          </w:p>
        </w:tc>
        <w:tc>
          <w:tcPr>
            <w:tcW w:w="1077" w:type="dxa"/>
            <w:shd w:val="clear" w:color="auto" w:fill="auto"/>
            <w:vAlign w:val="center"/>
          </w:tcPr>
          <w:p w14:paraId="620FA5C2" w14:textId="77777777" w:rsidR="001C08A5" w:rsidRDefault="00000000">
            <w:pPr>
              <w:jc w:val="center"/>
              <w:rPr>
                <w:b/>
                <w:sz w:val="18"/>
                <w:szCs w:val="18"/>
              </w:rPr>
            </w:pPr>
            <w:r>
              <w:rPr>
                <w:b/>
                <w:sz w:val="18"/>
                <w:szCs w:val="18"/>
              </w:rPr>
              <w:t>-</w:t>
            </w:r>
          </w:p>
        </w:tc>
      </w:tr>
      <w:tr w:rsidR="001C08A5" w14:paraId="42E4A6AB" w14:textId="77777777">
        <w:trPr>
          <w:cantSplit/>
          <w:trHeight w:val="260"/>
        </w:trPr>
        <w:tc>
          <w:tcPr>
            <w:tcW w:w="568" w:type="dxa"/>
            <w:shd w:val="clear" w:color="auto" w:fill="auto"/>
            <w:vAlign w:val="center"/>
          </w:tcPr>
          <w:p w14:paraId="58611F00" w14:textId="77777777" w:rsidR="001C08A5" w:rsidRDefault="00000000">
            <w:pPr>
              <w:jc w:val="center"/>
              <w:rPr>
                <w:sz w:val="18"/>
                <w:szCs w:val="18"/>
              </w:rPr>
            </w:pPr>
            <w:r>
              <w:rPr>
                <w:sz w:val="18"/>
                <w:szCs w:val="18"/>
              </w:rPr>
              <w:t>2</w:t>
            </w:r>
          </w:p>
        </w:tc>
        <w:tc>
          <w:tcPr>
            <w:tcW w:w="2551" w:type="dxa"/>
            <w:gridSpan w:val="2"/>
            <w:shd w:val="clear" w:color="auto" w:fill="auto"/>
            <w:vAlign w:val="center"/>
          </w:tcPr>
          <w:p w14:paraId="20EF393D" w14:textId="77777777" w:rsidR="001C08A5" w:rsidRDefault="00000000">
            <w:pPr>
              <w:jc w:val="both"/>
              <w:rPr>
                <w:b/>
                <w:sz w:val="18"/>
                <w:szCs w:val="18"/>
              </w:rPr>
            </w:pPr>
            <w:r>
              <w:rPr>
                <w:b/>
                <w:sz w:val="18"/>
                <w:szCs w:val="18"/>
              </w:rPr>
              <w:t>GRINZI (R)</w:t>
            </w:r>
          </w:p>
        </w:tc>
        <w:tc>
          <w:tcPr>
            <w:tcW w:w="1077" w:type="dxa"/>
            <w:shd w:val="clear" w:color="auto" w:fill="auto"/>
            <w:vAlign w:val="center"/>
          </w:tcPr>
          <w:p w14:paraId="1473A4C4" w14:textId="77777777" w:rsidR="001C08A5" w:rsidRDefault="00000000">
            <w:pPr>
              <w:jc w:val="center"/>
              <w:rPr>
                <w:b/>
              </w:rPr>
            </w:pPr>
            <w:r>
              <w:rPr>
                <w:b/>
              </w:rPr>
              <w:t>120</w:t>
            </w:r>
          </w:p>
          <w:p w14:paraId="3384B13F"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049080A7" w14:textId="77777777" w:rsidR="001C08A5" w:rsidRDefault="00000000">
            <w:pPr>
              <w:jc w:val="center"/>
              <w:rPr>
                <w:b/>
              </w:rPr>
            </w:pPr>
            <w:r>
              <w:rPr>
                <w:b/>
              </w:rPr>
              <w:t>90</w:t>
            </w:r>
          </w:p>
          <w:p w14:paraId="36A43413"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546E9996" w14:textId="77777777" w:rsidR="001C08A5" w:rsidRDefault="00000000">
            <w:pPr>
              <w:jc w:val="center"/>
              <w:rPr>
                <w:b/>
              </w:rPr>
            </w:pPr>
            <w:r>
              <w:rPr>
                <w:b/>
              </w:rPr>
              <w:t>90</w:t>
            </w:r>
          </w:p>
          <w:p w14:paraId="320703C8"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5228E5E6" w14:textId="77777777" w:rsidR="001C08A5" w:rsidRDefault="00000000">
            <w:pPr>
              <w:jc w:val="center"/>
              <w:rPr>
                <w:b/>
              </w:rPr>
            </w:pPr>
            <w:r>
              <w:rPr>
                <w:b/>
              </w:rPr>
              <w:t>60</w:t>
            </w:r>
          </w:p>
        </w:tc>
        <w:tc>
          <w:tcPr>
            <w:tcW w:w="1077" w:type="dxa"/>
            <w:shd w:val="clear" w:color="auto" w:fill="auto"/>
            <w:vAlign w:val="center"/>
          </w:tcPr>
          <w:p w14:paraId="06088505" w14:textId="77777777" w:rsidR="001C08A5" w:rsidRDefault="00000000">
            <w:pPr>
              <w:jc w:val="center"/>
              <w:rPr>
                <w:b/>
              </w:rPr>
            </w:pPr>
            <w:r>
              <w:rPr>
                <w:b/>
              </w:rPr>
              <w:t>30/(**)</w:t>
            </w:r>
          </w:p>
          <w:p w14:paraId="0FE3C9D7" w14:textId="77777777" w:rsidR="001C08A5" w:rsidRDefault="001C08A5">
            <w:pPr>
              <w:jc w:val="center"/>
              <w:rPr>
                <w:b/>
              </w:rPr>
            </w:pPr>
          </w:p>
        </w:tc>
        <w:tc>
          <w:tcPr>
            <w:tcW w:w="1077" w:type="dxa"/>
            <w:shd w:val="clear" w:color="auto" w:fill="auto"/>
            <w:vAlign w:val="center"/>
          </w:tcPr>
          <w:p w14:paraId="30C2F959" w14:textId="77777777" w:rsidR="001C08A5" w:rsidRDefault="00000000">
            <w:pPr>
              <w:jc w:val="center"/>
              <w:rPr>
                <w:b/>
                <w:sz w:val="18"/>
                <w:szCs w:val="18"/>
              </w:rPr>
            </w:pPr>
            <w:r>
              <w:rPr>
                <w:b/>
                <w:sz w:val="18"/>
                <w:szCs w:val="18"/>
              </w:rPr>
              <w:t>-</w:t>
            </w:r>
          </w:p>
        </w:tc>
      </w:tr>
      <w:tr w:rsidR="001C08A5" w14:paraId="7292A71E" w14:textId="77777777">
        <w:trPr>
          <w:cantSplit/>
          <w:trHeight w:val="260"/>
        </w:trPr>
        <w:tc>
          <w:tcPr>
            <w:tcW w:w="568" w:type="dxa"/>
            <w:shd w:val="clear" w:color="auto" w:fill="auto"/>
            <w:vAlign w:val="center"/>
          </w:tcPr>
          <w:p w14:paraId="58DAD812" w14:textId="77777777" w:rsidR="001C08A5" w:rsidRDefault="00000000">
            <w:pPr>
              <w:jc w:val="center"/>
              <w:rPr>
                <w:sz w:val="18"/>
                <w:szCs w:val="18"/>
              </w:rPr>
            </w:pPr>
            <w:r>
              <w:rPr>
                <w:sz w:val="18"/>
                <w:szCs w:val="18"/>
              </w:rPr>
              <w:t>3</w:t>
            </w:r>
          </w:p>
        </w:tc>
        <w:tc>
          <w:tcPr>
            <w:tcW w:w="2551" w:type="dxa"/>
            <w:gridSpan w:val="2"/>
            <w:shd w:val="clear" w:color="auto" w:fill="auto"/>
            <w:vAlign w:val="center"/>
          </w:tcPr>
          <w:p w14:paraId="5E9FFE3C" w14:textId="77777777" w:rsidR="001C08A5" w:rsidRDefault="00000000">
            <w:pPr>
              <w:jc w:val="both"/>
              <w:rPr>
                <w:b/>
                <w:sz w:val="18"/>
                <w:szCs w:val="18"/>
              </w:rPr>
            </w:pPr>
            <w:r>
              <w:rPr>
                <w:b/>
                <w:sz w:val="18"/>
                <w:szCs w:val="18"/>
              </w:rPr>
              <w:t>planșee, inclusiv</w:t>
            </w:r>
            <w:r>
              <w:rPr>
                <w:b/>
                <w:sz w:val="18"/>
                <w:szCs w:val="18"/>
                <w:lang w:val="en-GB"/>
              </w:rPr>
              <w:t xml:space="preserve"> plan</w:t>
            </w:r>
            <w:r>
              <w:rPr>
                <w:b/>
                <w:sz w:val="18"/>
                <w:szCs w:val="18"/>
              </w:rPr>
              <w:t>ș</w:t>
            </w:r>
            <w:r>
              <w:rPr>
                <w:b/>
                <w:sz w:val="18"/>
                <w:szCs w:val="18"/>
                <w:lang w:val="en-GB"/>
              </w:rPr>
              <w:t>ee - teras</w:t>
            </w:r>
            <w:r>
              <w:rPr>
                <w:b/>
                <w:sz w:val="18"/>
                <w:szCs w:val="18"/>
              </w:rPr>
              <w:t xml:space="preserve">ă </w:t>
            </w:r>
            <w:r>
              <w:rPr>
                <w:b/>
                <w:sz w:val="18"/>
                <w:szCs w:val="18"/>
                <w:lang w:val="en-GB"/>
              </w:rPr>
              <w:t>care  constituie c</w:t>
            </w:r>
            <w:r>
              <w:rPr>
                <w:b/>
                <w:sz w:val="18"/>
                <w:szCs w:val="18"/>
              </w:rPr>
              <w:t>ă</w:t>
            </w:r>
            <w:r>
              <w:rPr>
                <w:b/>
                <w:sz w:val="18"/>
                <w:szCs w:val="18"/>
                <w:lang w:val="en-GB"/>
              </w:rPr>
              <w:t>i de evacuare</w:t>
            </w:r>
            <w:r>
              <w:rPr>
                <w:b/>
                <w:sz w:val="18"/>
                <w:szCs w:val="18"/>
              </w:rPr>
              <w:t xml:space="preserve"> sau care preiau încărcări suplimentare altele decât cele provenite numai din zăpadă (REI)</w:t>
            </w:r>
          </w:p>
        </w:tc>
        <w:tc>
          <w:tcPr>
            <w:tcW w:w="1077" w:type="dxa"/>
            <w:shd w:val="clear" w:color="auto" w:fill="auto"/>
            <w:vAlign w:val="center"/>
          </w:tcPr>
          <w:p w14:paraId="3AE91984" w14:textId="77777777" w:rsidR="001C08A5" w:rsidRDefault="00000000">
            <w:pPr>
              <w:jc w:val="center"/>
              <w:rPr>
                <w:b/>
              </w:rPr>
            </w:pPr>
            <w:r>
              <w:rPr>
                <w:b/>
              </w:rPr>
              <w:t>120</w:t>
            </w:r>
          </w:p>
          <w:p w14:paraId="1B84AF01"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4C3A68DE" w14:textId="77777777" w:rsidR="001C08A5" w:rsidRDefault="00000000">
            <w:pPr>
              <w:jc w:val="center"/>
              <w:rPr>
                <w:b/>
              </w:rPr>
            </w:pPr>
            <w:r>
              <w:rPr>
                <w:b/>
              </w:rPr>
              <w:t>90</w:t>
            </w:r>
          </w:p>
          <w:p w14:paraId="77D5ECA1"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64E3D07A" w14:textId="77777777" w:rsidR="001C08A5" w:rsidRDefault="00000000">
            <w:pPr>
              <w:jc w:val="center"/>
              <w:rPr>
                <w:b/>
              </w:rPr>
            </w:pPr>
            <w:r>
              <w:rPr>
                <w:b/>
              </w:rPr>
              <w:t>90</w:t>
            </w:r>
          </w:p>
          <w:p w14:paraId="12C1B90E"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2CE514AB" w14:textId="77777777" w:rsidR="001C08A5" w:rsidRDefault="00000000">
            <w:pPr>
              <w:jc w:val="center"/>
              <w:rPr>
                <w:b/>
              </w:rPr>
            </w:pPr>
            <w:r>
              <w:rPr>
                <w:b/>
              </w:rPr>
              <w:t>60</w:t>
            </w:r>
          </w:p>
        </w:tc>
        <w:tc>
          <w:tcPr>
            <w:tcW w:w="1077" w:type="dxa"/>
            <w:shd w:val="clear" w:color="auto" w:fill="auto"/>
            <w:vAlign w:val="center"/>
          </w:tcPr>
          <w:p w14:paraId="6B56C201" w14:textId="77777777" w:rsidR="001C08A5" w:rsidRDefault="00000000">
            <w:pPr>
              <w:jc w:val="center"/>
              <w:rPr>
                <w:b/>
              </w:rPr>
            </w:pPr>
            <w:r>
              <w:rPr>
                <w:b/>
              </w:rPr>
              <w:t>30</w:t>
            </w:r>
          </w:p>
        </w:tc>
        <w:tc>
          <w:tcPr>
            <w:tcW w:w="1077" w:type="dxa"/>
            <w:shd w:val="clear" w:color="auto" w:fill="auto"/>
            <w:vAlign w:val="center"/>
          </w:tcPr>
          <w:p w14:paraId="7A5D910D" w14:textId="77777777" w:rsidR="001C08A5" w:rsidRDefault="00000000">
            <w:pPr>
              <w:jc w:val="center"/>
              <w:rPr>
                <w:b/>
                <w:sz w:val="18"/>
                <w:szCs w:val="18"/>
              </w:rPr>
            </w:pPr>
            <w:r>
              <w:rPr>
                <w:b/>
                <w:sz w:val="18"/>
                <w:szCs w:val="18"/>
              </w:rPr>
              <w:t>-</w:t>
            </w:r>
          </w:p>
        </w:tc>
      </w:tr>
      <w:tr w:rsidR="001C08A5" w14:paraId="14AB2FEA" w14:textId="77777777">
        <w:trPr>
          <w:cantSplit/>
          <w:trHeight w:val="260"/>
        </w:trPr>
        <w:tc>
          <w:tcPr>
            <w:tcW w:w="568" w:type="dxa"/>
            <w:shd w:val="clear" w:color="auto" w:fill="auto"/>
            <w:vAlign w:val="center"/>
          </w:tcPr>
          <w:p w14:paraId="7F220C6D" w14:textId="77777777" w:rsidR="001C08A5" w:rsidRDefault="00000000">
            <w:pPr>
              <w:widowControl w:val="0"/>
              <w:jc w:val="center"/>
              <w:rPr>
                <w:sz w:val="18"/>
                <w:szCs w:val="18"/>
              </w:rPr>
            </w:pPr>
            <w:r>
              <w:rPr>
                <w:b/>
                <w:sz w:val="18"/>
                <w:szCs w:val="18"/>
              </w:rPr>
              <w:lastRenderedPageBreak/>
              <w:t>4</w:t>
            </w:r>
          </w:p>
        </w:tc>
        <w:tc>
          <w:tcPr>
            <w:tcW w:w="2551" w:type="dxa"/>
            <w:gridSpan w:val="2"/>
            <w:shd w:val="clear" w:color="auto" w:fill="auto"/>
            <w:vAlign w:val="center"/>
          </w:tcPr>
          <w:p w14:paraId="5843AC67" w14:textId="77777777" w:rsidR="001C08A5" w:rsidRDefault="00000000">
            <w:pPr>
              <w:widowControl w:val="0"/>
              <w:jc w:val="both"/>
              <w:rPr>
                <w:b/>
                <w:sz w:val="18"/>
                <w:szCs w:val="18"/>
              </w:rPr>
            </w:pPr>
            <w:r>
              <w:rPr>
                <w:b/>
                <w:sz w:val="18"/>
                <w:szCs w:val="18"/>
              </w:rPr>
              <w:t xml:space="preserve">planșee </w:t>
            </w:r>
            <w:r>
              <w:rPr>
                <w:b/>
                <w:sz w:val="18"/>
                <w:szCs w:val="18"/>
                <w:lang w:val="en-GB"/>
              </w:rPr>
              <w:t>teras</w:t>
            </w:r>
            <w:r>
              <w:rPr>
                <w:b/>
                <w:sz w:val="18"/>
                <w:szCs w:val="18"/>
              </w:rPr>
              <w:t>ă</w:t>
            </w:r>
            <w:r>
              <w:rPr>
                <w:b/>
                <w:sz w:val="18"/>
                <w:szCs w:val="18"/>
                <w:lang w:val="en-GB"/>
              </w:rPr>
              <w:t xml:space="preserve"> care nu constituie</w:t>
            </w:r>
            <w:r>
              <w:rPr>
                <w:b/>
                <w:sz w:val="18"/>
                <w:szCs w:val="18"/>
              </w:rPr>
              <w:t xml:space="preserve"> </w:t>
            </w:r>
            <w:r>
              <w:rPr>
                <w:b/>
                <w:sz w:val="18"/>
                <w:szCs w:val="18"/>
                <w:lang w:val="en-GB"/>
              </w:rPr>
              <w:t>c</w:t>
            </w:r>
            <w:r>
              <w:rPr>
                <w:b/>
                <w:sz w:val="18"/>
                <w:szCs w:val="18"/>
              </w:rPr>
              <w:t>ă</w:t>
            </w:r>
            <w:r>
              <w:rPr>
                <w:b/>
                <w:sz w:val="18"/>
                <w:szCs w:val="18"/>
                <w:lang w:val="en-GB"/>
              </w:rPr>
              <w:t>i de evacuare</w:t>
            </w:r>
            <w:r>
              <w:rPr>
                <w:b/>
                <w:sz w:val="18"/>
                <w:szCs w:val="18"/>
              </w:rPr>
              <w:t xml:space="preserve"> sau care preiau încărcări provenite numai din zăpadă</w:t>
            </w:r>
            <w:r>
              <w:rPr>
                <w:b/>
                <w:sz w:val="18"/>
                <w:szCs w:val="18"/>
                <w:lang w:val="en-GB"/>
              </w:rPr>
              <w:t>) (RE)</w:t>
            </w:r>
          </w:p>
        </w:tc>
        <w:tc>
          <w:tcPr>
            <w:tcW w:w="1077" w:type="dxa"/>
            <w:shd w:val="clear" w:color="auto" w:fill="auto"/>
            <w:vAlign w:val="center"/>
          </w:tcPr>
          <w:p w14:paraId="3739E088" w14:textId="77777777" w:rsidR="001C08A5" w:rsidRDefault="00000000">
            <w:pPr>
              <w:widowControl w:val="0"/>
              <w:jc w:val="center"/>
              <w:rPr>
                <w:b/>
              </w:rPr>
            </w:pPr>
            <w:r>
              <w:rPr>
                <w:b/>
              </w:rPr>
              <w:t>60</w:t>
            </w:r>
          </w:p>
          <w:p w14:paraId="42679793" w14:textId="77777777" w:rsidR="001C08A5" w:rsidRDefault="00000000">
            <w:pPr>
              <w:widowControl w:val="0"/>
              <w:jc w:val="center"/>
              <w:rPr>
                <w:b/>
              </w:rPr>
            </w:pPr>
            <w:r>
              <w:rPr>
                <w:b/>
                <w:lang w:val="en-GB"/>
              </w:rPr>
              <w:t>(</w:t>
            </w:r>
            <w:r>
              <w:rPr>
                <w:rFonts w:eastAsia="Times New Roman"/>
                <w:b/>
              </w:rPr>
              <w:t>A1</w:t>
            </w:r>
            <w:r>
              <w:rPr>
                <w:b/>
                <w:lang w:val="en-GB"/>
              </w:rPr>
              <w:t>)</w:t>
            </w:r>
          </w:p>
        </w:tc>
        <w:tc>
          <w:tcPr>
            <w:tcW w:w="1077" w:type="dxa"/>
            <w:shd w:val="clear" w:color="auto" w:fill="auto"/>
            <w:vAlign w:val="center"/>
          </w:tcPr>
          <w:p w14:paraId="1B2EB7E6" w14:textId="77777777" w:rsidR="001C08A5" w:rsidRDefault="00000000">
            <w:pPr>
              <w:widowControl w:val="0"/>
              <w:jc w:val="center"/>
              <w:rPr>
                <w:b/>
              </w:rPr>
            </w:pPr>
            <w:r>
              <w:rPr>
                <w:b/>
              </w:rPr>
              <w:t>45</w:t>
            </w:r>
          </w:p>
          <w:p w14:paraId="6A51AFB2" w14:textId="77777777" w:rsidR="001C08A5" w:rsidRDefault="00000000">
            <w:pPr>
              <w:widowControl w:val="0"/>
              <w:jc w:val="center"/>
              <w:rPr>
                <w:b/>
              </w:rPr>
            </w:pPr>
            <w:r>
              <w:rPr>
                <w:b/>
                <w:lang w:val="en-GB"/>
              </w:rPr>
              <w:t>(</w:t>
            </w:r>
            <w:r>
              <w:rPr>
                <w:rFonts w:eastAsia="Times New Roman"/>
                <w:b/>
              </w:rPr>
              <w:t>A1</w:t>
            </w:r>
            <w:r>
              <w:rPr>
                <w:b/>
                <w:lang w:val="en-GB"/>
              </w:rPr>
              <w:t>)</w:t>
            </w:r>
          </w:p>
        </w:tc>
        <w:tc>
          <w:tcPr>
            <w:tcW w:w="1077" w:type="dxa"/>
            <w:shd w:val="clear" w:color="auto" w:fill="auto"/>
            <w:vAlign w:val="center"/>
          </w:tcPr>
          <w:p w14:paraId="5ACE21E5" w14:textId="77777777" w:rsidR="001C08A5" w:rsidRDefault="00000000">
            <w:pPr>
              <w:widowControl w:val="0"/>
              <w:jc w:val="center"/>
              <w:rPr>
                <w:b/>
              </w:rPr>
            </w:pPr>
            <w:r>
              <w:rPr>
                <w:b/>
              </w:rPr>
              <w:t xml:space="preserve">45 </w:t>
            </w:r>
          </w:p>
          <w:p w14:paraId="30F72D0D" w14:textId="77777777" w:rsidR="001C08A5" w:rsidRDefault="00000000">
            <w:pPr>
              <w:widowControl w:val="0"/>
              <w:jc w:val="center"/>
              <w:rPr>
                <w:b/>
              </w:rPr>
            </w:pPr>
            <w:r>
              <w:rPr>
                <w:b/>
                <w:lang w:val="en-GB"/>
              </w:rPr>
              <w:t>(</w:t>
            </w:r>
            <w:r>
              <w:rPr>
                <w:rFonts w:eastAsia="Times New Roman"/>
                <w:b/>
              </w:rPr>
              <w:t>A1</w:t>
            </w:r>
            <w:r>
              <w:rPr>
                <w:b/>
                <w:lang w:val="en-GB"/>
              </w:rPr>
              <w:t>)</w:t>
            </w:r>
          </w:p>
        </w:tc>
        <w:tc>
          <w:tcPr>
            <w:tcW w:w="1077" w:type="dxa"/>
            <w:shd w:val="clear" w:color="auto" w:fill="auto"/>
            <w:vAlign w:val="center"/>
          </w:tcPr>
          <w:p w14:paraId="158823EB" w14:textId="77777777" w:rsidR="001C08A5" w:rsidRDefault="001C08A5">
            <w:pPr>
              <w:widowControl w:val="0"/>
              <w:jc w:val="both"/>
            </w:pPr>
          </w:p>
          <w:p w14:paraId="22D699D5" w14:textId="77777777" w:rsidR="001C08A5" w:rsidRDefault="00000000">
            <w:pPr>
              <w:widowControl w:val="0"/>
              <w:jc w:val="center"/>
              <w:rPr>
                <w:b/>
              </w:rPr>
            </w:pPr>
            <w:r>
              <w:rPr>
                <w:b/>
              </w:rPr>
              <w:t xml:space="preserve">30 </w:t>
            </w:r>
          </w:p>
        </w:tc>
        <w:tc>
          <w:tcPr>
            <w:tcW w:w="1077" w:type="dxa"/>
            <w:shd w:val="clear" w:color="auto" w:fill="auto"/>
            <w:vAlign w:val="center"/>
          </w:tcPr>
          <w:p w14:paraId="1DD84158" w14:textId="77777777" w:rsidR="001C08A5" w:rsidRDefault="001C08A5">
            <w:pPr>
              <w:widowControl w:val="0"/>
              <w:jc w:val="center"/>
              <w:rPr>
                <w:b/>
                <w:lang w:val="en-US"/>
              </w:rPr>
            </w:pPr>
          </w:p>
          <w:p w14:paraId="0C4F92F5" w14:textId="77777777" w:rsidR="001C08A5" w:rsidRDefault="00000000">
            <w:pPr>
              <w:widowControl w:val="0"/>
              <w:jc w:val="center"/>
              <w:rPr>
                <w:b/>
              </w:rPr>
            </w:pPr>
            <w:r>
              <w:rPr>
                <w:b/>
              </w:rPr>
              <w:t>15</w:t>
            </w:r>
          </w:p>
        </w:tc>
        <w:tc>
          <w:tcPr>
            <w:tcW w:w="1077" w:type="dxa"/>
            <w:shd w:val="clear" w:color="auto" w:fill="auto"/>
            <w:vAlign w:val="center"/>
          </w:tcPr>
          <w:p w14:paraId="63C56724" w14:textId="77777777" w:rsidR="001C08A5" w:rsidRDefault="001C08A5">
            <w:pPr>
              <w:widowControl w:val="0"/>
              <w:jc w:val="center"/>
              <w:rPr>
                <w:b/>
                <w:lang w:val="en-US"/>
              </w:rPr>
            </w:pPr>
          </w:p>
          <w:p w14:paraId="2712BB61" w14:textId="77777777" w:rsidR="001C08A5" w:rsidRDefault="00000000">
            <w:pPr>
              <w:widowControl w:val="0"/>
              <w:jc w:val="center"/>
              <w:rPr>
                <w:b/>
                <w:sz w:val="18"/>
                <w:szCs w:val="18"/>
              </w:rPr>
            </w:pPr>
            <w:r>
              <w:rPr>
                <w:b/>
              </w:rPr>
              <w:t>-</w:t>
            </w:r>
          </w:p>
        </w:tc>
      </w:tr>
      <w:tr w:rsidR="001C08A5" w14:paraId="1954D0D1" w14:textId="77777777">
        <w:trPr>
          <w:cantSplit/>
          <w:trHeight w:val="260"/>
        </w:trPr>
        <w:tc>
          <w:tcPr>
            <w:tcW w:w="568" w:type="dxa"/>
            <w:shd w:val="clear" w:color="auto" w:fill="auto"/>
            <w:vAlign w:val="center"/>
          </w:tcPr>
          <w:p w14:paraId="0659D5EA" w14:textId="77777777" w:rsidR="001C08A5" w:rsidRDefault="00000000">
            <w:pPr>
              <w:jc w:val="center"/>
              <w:rPr>
                <w:sz w:val="18"/>
                <w:szCs w:val="18"/>
              </w:rPr>
            </w:pPr>
            <w:r>
              <w:rPr>
                <w:sz w:val="18"/>
                <w:szCs w:val="18"/>
              </w:rPr>
              <w:t>5</w:t>
            </w:r>
          </w:p>
        </w:tc>
        <w:tc>
          <w:tcPr>
            <w:tcW w:w="2551" w:type="dxa"/>
            <w:gridSpan w:val="2"/>
            <w:shd w:val="clear" w:color="auto" w:fill="auto"/>
            <w:vAlign w:val="center"/>
          </w:tcPr>
          <w:p w14:paraId="3F70246F" w14:textId="77777777" w:rsidR="001C08A5" w:rsidRDefault="00000000">
            <w:pPr>
              <w:jc w:val="both"/>
              <w:rPr>
                <w:b/>
                <w:sz w:val="18"/>
                <w:szCs w:val="18"/>
              </w:rPr>
            </w:pPr>
            <w:r>
              <w:rPr>
                <w:b/>
                <w:sz w:val="18"/>
                <w:szCs w:val="18"/>
              </w:rPr>
              <w:t>PERETI PORTANTI (STRUCTURALI) cu rol de limitare a propagării focului (REI)</w:t>
            </w:r>
          </w:p>
        </w:tc>
        <w:tc>
          <w:tcPr>
            <w:tcW w:w="1077" w:type="dxa"/>
            <w:shd w:val="clear" w:color="auto" w:fill="auto"/>
            <w:vAlign w:val="center"/>
          </w:tcPr>
          <w:p w14:paraId="4C329987" w14:textId="77777777" w:rsidR="001C08A5" w:rsidRDefault="00000000">
            <w:pPr>
              <w:jc w:val="center"/>
              <w:rPr>
                <w:b/>
              </w:rPr>
            </w:pPr>
            <w:r>
              <w:rPr>
                <w:b/>
              </w:rPr>
              <w:t>180</w:t>
            </w:r>
          </w:p>
          <w:p w14:paraId="4C38BCC3"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37AE742F" w14:textId="77777777" w:rsidR="001C08A5" w:rsidRDefault="00000000">
            <w:pPr>
              <w:jc w:val="center"/>
              <w:rPr>
                <w:b/>
              </w:rPr>
            </w:pPr>
            <w:r>
              <w:rPr>
                <w:b/>
              </w:rPr>
              <w:t>120</w:t>
            </w:r>
          </w:p>
          <w:p w14:paraId="3AAC05C4"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7466101C" w14:textId="77777777" w:rsidR="001C08A5" w:rsidRDefault="00000000">
            <w:pPr>
              <w:jc w:val="center"/>
              <w:rPr>
                <w:b/>
              </w:rPr>
            </w:pPr>
            <w:r>
              <w:rPr>
                <w:b/>
              </w:rPr>
              <w:t>90</w:t>
            </w:r>
          </w:p>
          <w:p w14:paraId="0A84EF32" w14:textId="77777777" w:rsidR="001C08A5" w:rsidRDefault="00000000">
            <w:pPr>
              <w:jc w:val="center"/>
              <w:rPr>
                <w:b/>
              </w:rPr>
            </w:pPr>
            <w:r>
              <w:rPr>
                <w:b/>
              </w:rPr>
              <w:t>(</w:t>
            </w:r>
            <w:r>
              <w:rPr>
                <w:rFonts w:eastAsia="Times New Roman"/>
                <w:b/>
              </w:rPr>
              <w:t>A1</w:t>
            </w:r>
            <w:r>
              <w:rPr>
                <w:b/>
              </w:rPr>
              <w:t>)</w:t>
            </w:r>
          </w:p>
        </w:tc>
        <w:tc>
          <w:tcPr>
            <w:tcW w:w="1077" w:type="dxa"/>
            <w:shd w:val="clear" w:color="auto" w:fill="auto"/>
            <w:vAlign w:val="center"/>
          </w:tcPr>
          <w:p w14:paraId="28D90FBB" w14:textId="77777777" w:rsidR="001C08A5" w:rsidRDefault="00000000">
            <w:pPr>
              <w:jc w:val="center"/>
              <w:rPr>
                <w:b/>
              </w:rPr>
            </w:pPr>
            <w:r>
              <w:rPr>
                <w:b/>
              </w:rPr>
              <w:t>60</w:t>
            </w:r>
          </w:p>
        </w:tc>
        <w:tc>
          <w:tcPr>
            <w:tcW w:w="1077" w:type="dxa"/>
            <w:shd w:val="clear" w:color="auto" w:fill="auto"/>
            <w:vAlign w:val="center"/>
          </w:tcPr>
          <w:p w14:paraId="2A3D461D" w14:textId="77777777" w:rsidR="001C08A5" w:rsidRDefault="00000000">
            <w:pPr>
              <w:jc w:val="center"/>
              <w:rPr>
                <w:b/>
              </w:rPr>
            </w:pPr>
            <w:r>
              <w:rPr>
                <w:b/>
              </w:rPr>
              <w:t>30/(**)</w:t>
            </w:r>
          </w:p>
        </w:tc>
        <w:tc>
          <w:tcPr>
            <w:tcW w:w="1077" w:type="dxa"/>
            <w:shd w:val="clear" w:color="auto" w:fill="auto"/>
            <w:vAlign w:val="center"/>
          </w:tcPr>
          <w:p w14:paraId="0BB77D76" w14:textId="77777777" w:rsidR="001C08A5" w:rsidRDefault="00000000">
            <w:pPr>
              <w:jc w:val="center"/>
              <w:rPr>
                <w:b/>
                <w:sz w:val="18"/>
                <w:szCs w:val="18"/>
              </w:rPr>
            </w:pPr>
            <w:r>
              <w:rPr>
                <w:b/>
                <w:sz w:val="18"/>
                <w:szCs w:val="18"/>
              </w:rPr>
              <w:t>-</w:t>
            </w:r>
          </w:p>
        </w:tc>
      </w:tr>
      <w:tr w:rsidR="001C08A5" w14:paraId="033A3E84" w14:textId="77777777">
        <w:trPr>
          <w:cantSplit/>
          <w:trHeight w:val="260"/>
        </w:trPr>
        <w:tc>
          <w:tcPr>
            <w:tcW w:w="568" w:type="dxa"/>
            <w:vAlign w:val="center"/>
          </w:tcPr>
          <w:p w14:paraId="65DB9733" w14:textId="77777777" w:rsidR="001C08A5" w:rsidRDefault="00000000">
            <w:pPr>
              <w:jc w:val="center"/>
              <w:rPr>
                <w:sz w:val="18"/>
                <w:szCs w:val="18"/>
              </w:rPr>
            </w:pPr>
            <w:r>
              <w:rPr>
                <w:sz w:val="18"/>
                <w:szCs w:val="18"/>
              </w:rPr>
              <w:t>6</w:t>
            </w:r>
          </w:p>
        </w:tc>
        <w:tc>
          <w:tcPr>
            <w:tcW w:w="2551" w:type="dxa"/>
            <w:gridSpan w:val="2"/>
          </w:tcPr>
          <w:p w14:paraId="34445EFD" w14:textId="77777777" w:rsidR="001C08A5" w:rsidRDefault="00000000">
            <w:pPr>
              <w:jc w:val="both"/>
              <w:rPr>
                <w:b/>
                <w:sz w:val="18"/>
                <w:szCs w:val="18"/>
              </w:rPr>
            </w:pPr>
            <w:r>
              <w:rPr>
                <w:b/>
                <w:sz w:val="18"/>
                <w:szCs w:val="18"/>
              </w:rPr>
              <w:t xml:space="preserve">Pereţi </w:t>
            </w:r>
            <w:hyperlink r:id="rId99" w:history="1">
              <w:r>
                <w:rPr>
                  <w:b/>
                  <w:sz w:val="18"/>
                  <w:szCs w:val="18"/>
                </w:rPr>
                <w:t>de</w:t>
              </w:r>
            </w:hyperlink>
            <w:r>
              <w:rPr>
                <w:b/>
                <w:sz w:val="18"/>
                <w:szCs w:val="18"/>
              </w:rPr>
              <w:t> sectorizare cu rol de limitare a propagării focului (</w:t>
            </w:r>
            <w:hyperlink r:id="rId100" w:history="1">
              <w:r>
                <w:rPr>
                  <w:b/>
                  <w:sz w:val="18"/>
                  <w:szCs w:val="18"/>
                </w:rPr>
                <w:t>de</w:t>
              </w:r>
            </w:hyperlink>
            <w:r>
              <w:rPr>
                <w:b/>
                <w:sz w:val="18"/>
                <w:szCs w:val="18"/>
              </w:rPr>
              <w:t> </w:t>
            </w:r>
            <w:hyperlink r:id="rId101" w:history="1">
              <w:r>
                <w:rPr>
                  <w:b/>
                  <w:sz w:val="18"/>
                  <w:szCs w:val="18"/>
                </w:rPr>
                <w:t>protecţie</w:t>
              </w:r>
            </w:hyperlink>
            <w:r>
              <w:rPr>
                <w:b/>
                <w:sz w:val="18"/>
                <w:szCs w:val="18"/>
              </w:rPr>
              <w:t> </w:t>
            </w:r>
            <w:hyperlink r:id="rId102" w:history="1">
              <w:r>
                <w:rPr>
                  <w:b/>
                  <w:sz w:val="18"/>
                  <w:szCs w:val="18"/>
                </w:rPr>
                <w:t>contra</w:t>
              </w:r>
            </w:hyperlink>
            <w:r>
              <w:rPr>
                <w:b/>
                <w:sz w:val="18"/>
                <w:szCs w:val="18"/>
              </w:rPr>
              <w:t> incendiilr care limitează propagarea în interiorul compartimentelor de incendiu) (REI/EI)</w:t>
            </w:r>
          </w:p>
        </w:tc>
        <w:tc>
          <w:tcPr>
            <w:tcW w:w="1077" w:type="dxa"/>
            <w:vAlign w:val="center"/>
          </w:tcPr>
          <w:p w14:paraId="3DFCD31F" w14:textId="77777777" w:rsidR="001C08A5" w:rsidRDefault="00000000">
            <w:pPr>
              <w:jc w:val="center"/>
              <w:rPr>
                <w:b/>
              </w:rPr>
            </w:pPr>
            <w:r>
              <w:rPr>
                <w:b/>
              </w:rPr>
              <w:t>1</w:t>
            </w:r>
            <w:r>
              <w:rPr>
                <w:b/>
                <w:lang w:val="en-US"/>
              </w:rPr>
              <w:t>2</w:t>
            </w:r>
            <w:r>
              <w:rPr>
                <w:b/>
              </w:rPr>
              <w:t>0</w:t>
            </w:r>
          </w:p>
          <w:p w14:paraId="273C237B" w14:textId="77777777" w:rsidR="001C08A5" w:rsidRDefault="00000000">
            <w:pPr>
              <w:jc w:val="center"/>
              <w:rPr>
                <w:b/>
              </w:rPr>
            </w:pPr>
            <w:r>
              <w:rPr>
                <w:b/>
              </w:rPr>
              <w:t>(A1 sau A2-s1,d0)</w:t>
            </w:r>
          </w:p>
        </w:tc>
        <w:tc>
          <w:tcPr>
            <w:tcW w:w="1077" w:type="dxa"/>
            <w:vAlign w:val="center"/>
          </w:tcPr>
          <w:p w14:paraId="4929E9A5" w14:textId="77777777" w:rsidR="001C08A5" w:rsidRDefault="00000000">
            <w:pPr>
              <w:jc w:val="center"/>
              <w:rPr>
                <w:b/>
              </w:rPr>
            </w:pPr>
            <w:r>
              <w:rPr>
                <w:b/>
              </w:rPr>
              <w:t>120</w:t>
            </w:r>
          </w:p>
          <w:p w14:paraId="67F52F1D" w14:textId="77777777" w:rsidR="001C08A5" w:rsidRDefault="00000000">
            <w:pPr>
              <w:jc w:val="center"/>
              <w:rPr>
                <w:b/>
              </w:rPr>
            </w:pPr>
            <w:r>
              <w:rPr>
                <w:b/>
              </w:rPr>
              <w:t>(A1 sau</w:t>
            </w:r>
          </w:p>
          <w:p w14:paraId="441D5303" w14:textId="77777777" w:rsidR="001C08A5" w:rsidRDefault="00000000">
            <w:pPr>
              <w:jc w:val="center"/>
              <w:rPr>
                <w:b/>
              </w:rPr>
            </w:pPr>
            <w:r>
              <w:rPr>
                <w:b/>
              </w:rPr>
              <w:t>A2-s1,d0)</w:t>
            </w:r>
          </w:p>
        </w:tc>
        <w:tc>
          <w:tcPr>
            <w:tcW w:w="1077" w:type="dxa"/>
            <w:vAlign w:val="center"/>
          </w:tcPr>
          <w:p w14:paraId="34066E03" w14:textId="77777777" w:rsidR="001C08A5" w:rsidRDefault="00000000">
            <w:pPr>
              <w:jc w:val="center"/>
              <w:rPr>
                <w:b/>
              </w:rPr>
            </w:pPr>
            <w:r>
              <w:rPr>
                <w:b/>
              </w:rPr>
              <w:t>90</w:t>
            </w:r>
          </w:p>
          <w:p w14:paraId="75B72D59" w14:textId="77777777" w:rsidR="001C08A5" w:rsidRDefault="00000000">
            <w:pPr>
              <w:jc w:val="center"/>
              <w:rPr>
                <w:b/>
              </w:rPr>
            </w:pPr>
            <w:r>
              <w:rPr>
                <w:b/>
              </w:rPr>
              <w:t>(A1 sau A2-s1,d0)</w:t>
            </w:r>
          </w:p>
        </w:tc>
        <w:tc>
          <w:tcPr>
            <w:tcW w:w="1077" w:type="dxa"/>
            <w:vAlign w:val="center"/>
          </w:tcPr>
          <w:p w14:paraId="0F539B62" w14:textId="77777777" w:rsidR="001C08A5" w:rsidRDefault="00000000">
            <w:pPr>
              <w:jc w:val="center"/>
              <w:rPr>
                <w:b/>
              </w:rPr>
            </w:pPr>
            <w:r>
              <w:rPr>
                <w:b/>
              </w:rPr>
              <w:t>60</w:t>
            </w:r>
          </w:p>
        </w:tc>
        <w:tc>
          <w:tcPr>
            <w:tcW w:w="1077" w:type="dxa"/>
            <w:vAlign w:val="center"/>
          </w:tcPr>
          <w:p w14:paraId="157CAF62" w14:textId="77777777" w:rsidR="001C08A5" w:rsidRDefault="00000000">
            <w:pPr>
              <w:jc w:val="center"/>
              <w:rPr>
                <w:b/>
              </w:rPr>
            </w:pPr>
            <w:r>
              <w:rPr>
                <w:b/>
              </w:rPr>
              <w:t>30/(**)</w:t>
            </w:r>
          </w:p>
        </w:tc>
        <w:tc>
          <w:tcPr>
            <w:tcW w:w="1077" w:type="dxa"/>
            <w:vAlign w:val="center"/>
          </w:tcPr>
          <w:p w14:paraId="6B60FF97" w14:textId="77777777" w:rsidR="001C08A5" w:rsidRDefault="00000000">
            <w:pPr>
              <w:jc w:val="center"/>
              <w:rPr>
                <w:b/>
                <w:sz w:val="18"/>
                <w:szCs w:val="18"/>
              </w:rPr>
            </w:pPr>
            <w:r>
              <w:rPr>
                <w:b/>
                <w:sz w:val="18"/>
                <w:szCs w:val="18"/>
              </w:rPr>
              <w:t>-</w:t>
            </w:r>
          </w:p>
        </w:tc>
      </w:tr>
      <w:tr w:rsidR="001C08A5" w14:paraId="78AA7230" w14:textId="77777777">
        <w:trPr>
          <w:cantSplit/>
          <w:trHeight w:val="260"/>
        </w:trPr>
        <w:tc>
          <w:tcPr>
            <w:tcW w:w="568" w:type="dxa"/>
            <w:vAlign w:val="center"/>
          </w:tcPr>
          <w:p w14:paraId="6C7D0EC4" w14:textId="77777777" w:rsidR="001C08A5" w:rsidRDefault="00000000">
            <w:pPr>
              <w:jc w:val="center"/>
              <w:rPr>
                <w:sz w:val="18"/>
                <w:szCs w:val="18"/>
              </w:rPr>
            </w:pPr>
            <w:r>
              <w:rPr>
                <w:sz w:val="18"/>
                <w:szCs w:val="18"/>
              </w:rPr>
              <w:t>7</w:t>
            </w:r>
          </w:p>
        </w:tc>
        <w:tc>
          <w:tcPr>
            <w:tcW w:w="2551" w:type="dxa"/>
            <w:gridSpan w:val="2"/>
          </w:tcPr>
          <w:p w14:paraId="14AC539E" w14:textId="77777777" w:rsidR="001C08A5" w:rsidRDefault="00000000">
            <w:pPr>
              <w:jc w:val="both"/>
              <w:rPr>
                <w:b/>
                <w:sz w:val="18"/>
                <w:szCs w:val="18"/>
              </w:rPr>
            </w:pPr>
            <w:r>
              <w:rPr>
                <w:b/>
                <w:sz w:val="18"/>
                <w:szCs w:val="18"/>
              </w:rPr>
              <w:t>Pereti neportanţi despărţitori interiori cu rol de limitare a propagării focului (EI)</w:t>
            </w:r>
          </w:p>
        </w:tc>
        <w:tc>
          <w:tcPr>
            <w:tcW w:w="1077" w:type="dxa"/>
            <w:vAlign w:val="center"/>
          </w:tcPr>
          <w:p w14:paraId="321099DC" w14:textId="77777777" w:rsidR="001C08A5" w:rsidRDefault="00000000">
            <w:pPr>
              <w:jc w:val="center"/>
              <w:rPr>
                <w:b/>
              </w:rPr>
            </w:pPr>
            <w:r>
              <w:rPr>
                <w:b/>
              </w:rPr>
              <w:t>60</w:t>
            </w:r>
          </w:p>
        </w:tc>
        <w:tc>
          <w:tcPr>
            <w:tcW w:w="1077" w:type="dxa"/>
            <w:vAlign w:val="center"/>
          </w:tcPr>
          <w:p w14:paraId="41EB4F02" w14:textId="77777777" w:rsidR="001C08A5" w:rsidRDefault="00000000">
            <w:pPr>
              <w:jc w:val="center"/>
              <w:rPr>
                <w:b/>
              </w:rPr>
            </w:pPr>
            <w:r>
              <w:rPr>
                <w:b/>
              </w:rPr>
              <w:t>45</w:t>
            </w:r>
          </w:p>
        </w:tc>
        <w:tc>
          <w:tcPr>
            <w:tcW w:w="1077" w:type="dxa"/>
            <w:vAlign w:val="center"/>
          </w:tcPr>
          <w:p w14:paraId="7B42E181" w14:textId="77777777" w:rsidR="001C08A5" w:rsidRDefault="00000000">
            <w:pPr>
              <w:jc w:val="center"/>
              <w:rPr>
                <w:b/>
              </w:rPr>
            </w:pPr>
            <w:r>
              <w:rPr>
                <w:b/>
              </w:rPr>
              <w:t>45</w:t>
            </w:r>
          </w:p>
        </w:tc>
        <w:tc>
          <w:tcPr>
            <w:tcW w:w="1077" w:type="dxa"/>
            <w:vAlign w:val="center"/>
          </w:tcPr>
          <w:p w14:paraId="4FD213A3" w14:textId="77777777" w:rsidR="001C08A5" w:rsidRDefault="00000000">
            <w:pPr>
              <w:jc w:val="center"/>
              <w:rPr>
                <w:b/>
              </w:rPr>
            </w:pPr>
            <w:r>
              <w:rPr>
                <w:b/>
              </w:rPr>
              <w:t>30</w:t>
            </w:r>
          </w:p>
        </w:tc>
        <w:tc>
          <w:tcPr>
            <w:tcW w:w="1077" w:type="dxa"/>
            <w:vAlign w:val="center"/>
          </w:tcPr>
          <w:p w14:paraId="49484522" w14:textId="77777777" w:rsidR="001C08A5" w:rsidRDefault="00000000">
            <w:pPr>
              <w:jc w:val="center"/>
              <w:rPr>
                <w:b/>
              </w:rPr>
            </w:pPr>
            <w:r>
              <w:rPr>
                <w:b/>
              </w:rPr>
              <w:t>15</w:t>
            </w:r>
          </w:p>
        </w:tc>
        <w:tc>
          <w:tcPr>
            <w:tcW w:w="1077" w:type="dxa"/>
            <w:vAlign w:val="center"/>
          </w:tcPr>
          <w:p w14:paraId="7490F8EC" w14:textId="77777777" w:rsidR="001C08A5" w:rsidRDefault="00000000">
            <w:pPr>
              <w:jc w:val="center"/>
              <w:rPr>
                <w:b/>
                <w:sz w:val="18"/>
                <w:szCs w:val="18"/>
              </w:rPr>
            </w:pPr>
            <w:r>
              <w:rPr>
                <w:b/>
                <w:sz w:val="18"/>
                <w:szCs w:val="18"/>
              </w:rPr>
              <w:t>-</w:t>
            </w:r>
          </w:p>
        </w:tc>
      </w:tr>
      <w:tr w:rsidR="001C08A5" w14:paraId="02C37179" w14:textId="77777777">
        <w:trPr>
          <w:cantSplit/>
          <w:trHeight w:val="725"/>
        </w:trPr>
        <w:tc>
          <w:tcPr>
            <w:tcW w:w="568" w:type="dxa"/>
            <w:vAlign w:val="center"/>
          </w:tcPr>
          <w:p w14:paraId="3DEB9067" w14:textId="77777777" w:rsidR="001C08A5" w:rsidRDefault="00000000">
            <w:pPr>
              <w:jc w:val="center"/>
              <w:rPr>
                <w:sz w:val="18"/>
                <w:szCs w:val="18"/>
              </w:rPr>
            </w:pPr>
            <w:r>
              <w:rPr>
                <w:sz w:val="18"/>
                <w:szCs w:val="18"/>
              </w:rPr>
              <w:t>8</w:t>
            </w:r>
          </w:p>
        </w:tc>
        <w:tc>
          <w:tcPr>
            <w:tcW w:w="2551" w:type="dxa"/>
            <w:gridSpan w:val="2"/>
          </w:tcPr>
          <w:p w14:paraId="110F87BA" w14:textId="77777777" w:rsidR="001C08A5" w:rsidRDefault="00000000">
            <w:pPr>
              <w:jc w:val="both"/>
              <w:rPr>
                <w:b/>
                <w:sz w:val="18"/>
                <w:szCs w:val="18"/>
              </w:rPr>
            </w:pPr>
            <w:r>
              <w:rPr>
                <w:b/>
                <w:sz w:val="18"/>
                <w:szCs w:val="18"/>
              </w:rPr>
              <w:t>Pereţi exteriori neportanţi (cu exceptia panourilor de tâmplărie, a pereţilor cortină, faţadelor ventilate, fațadelor duble „double skin”). (E)</w:t>
            </w:r>
          </w:p>
        </w:tc>
        <w:tc>
          <w:tcPr>
            <w:tcW w:w="1077" w:type="dxa"/>
            <w:vAlign w:val="center"/>
          </w:tcPr>
          <w:p w14:paraId="1BD6A8EA" w14:textId="77777777" w:rsidR="001C08A5" w:rsidRDefault="00000000">
            <w:pPr>
              <w:jc w:val="center"/>
              <w:rPr>
                <w:b/>
              </w:rPr>
            </w:pPr>
            <w:r>
              <w:rPr>
                <w:b/>
              </w:rPr>
              <w:t>30</w:t>
            </w:r>
          </w:p>
          <w:p w14:paraId="151AD148" w14:textId="77777777" w:rsidR="001C08A5" w:rsidRDefault="00000000">
            <w:pPr>
              <w:jc w:val="center"/>
              <w:rPr>
                <w:b/>
              </w:rPr>
            </w:pPr>
            <w:r>
              <w:rPr>
                <w:b/>
              </w:rPr>
              <w:t>(A1 sau A2-s1,d0)</w:t>
            </w:r>
          </w:p>
        </w:tc>
        <w:tc>
          <w:tcPr>
            <w:tcW w:w="1077" w:type="dxa"/>
            <w:vAlign w:val="center"/>
          </w:tcPr>
          <w:p w14:paraId="40DB7A71" w14:textId="77777777" w:rsidR="001C08A5" w:rsidRDefault="00000000">
            <w:pPr>
              <w:jc w:val="center"/>
              <w:rPr>
                <w:b/>
              </w:rPr>
            </w:pPr>
            <w:r>
              <w:rPr>
                <w:b/>
              </w:rPr>
              <w:t>15</w:t>
            </w:r>
          </w:p>
          <w:p w14:paraId="3EF51F3C" w14:textId="77777777" w:rsidR="001C08A5" w:rsidRDefault="00000000">
            <w:pPr>
              <w:jc w:val="center"/>
              <w:rPr>
                <w:b/>
              </w:rPr>
            </w:pPr>
            <w:r>
              <w:rPr>
                <w:b/>
              </w:rPr>
              <w:t>(B-s1d0)</w:t>
            </w:r>
          </w:p>
        </w:tc>
        <w:tc>
          <w:tcPr>
            <w:tcW w:w="1077" w:type="dxa"/>
            <w:vAlign w:val="center"/>
          </w:tcPr>
          <w:p w14:paraId="5CBC26FF" w14:textId="77777777" w:rsidR="001C08A5" w:rsidRDefault="00000000">
            <w:pPr>
              <w:jc w:val="center"/>
              <w:rPr>
                <w:b/>
              </w:rPr>
            </w:pPr>
            <w:r>
              <w:rPr>
                <w:b/>
              </w:rPr>
              <w:t>15</w:t>
            </w:r>
          </w:p>
          <w:p w14:paraId="3930FB8C" w14:textId="77777777" w:rsidR="001C08A5" w:rsidRDefault="00000000">
            <w:pPr>
              <w:jc w:val="center"/>
              <w:rPr>
                <w:b/>
              </w:rPr>
            </w:pPr>
            <w:r>
              <w:rPr>
                <w:b/>
              </w:rPr>
              <w:t>(B-s2d0)</w:t>
            </w:r>
          </w:p>
        </w:tc>
        <w:tc>
          <w:tcPr>
            <w:tcW w:w="1077" w:type="dxa"/>
            <w:vAlign w:val="center"/>
          </w:tcPr>
          <w:p w14:paraId="272F0DD1" w14:textId="77777777" w:rsidR="001C08A5" w:rsidRDefault="00000000">
            <w:pPr>
              <w:jc w:val="center"/>
              <w:rPr>
                <w:b/>
              </w:rPr>
            </w:pPr>
            <w:r>
              <w:rPr>
                <w:b/>
              </w:rPr>
              <w:t>15</w:t>
            </w:r>
          </w:p>
        </w:tc>
        <w:tc>
          <w:tcPr>
            <w:tcW w:w="1077" w:type="dxa"/>
            <w:vAlign w:val="center"/>
          </w:tcPr>
          <w:p w14:paraId="5331CA3D" w14:textId="77777777" w:rsidR="001C08A5" w:rsidRDefault="00000000">
            <w:pPr>
              <w:jc w:val="center"/>
              <w:rPr>
                <w:b/>
              </w:rPr>
            </w:pPr>
            <w:r>
              <w:rPr>
                <w:b/>
              </w:rPr>
              <w:t>-</w:t>
            </w:r>
          </w:p>
        </w:tc>
        <w:tc>
          <w:tcPr>
            <w:tcW w:w="1077" w:type="dxa"/>
            <w:vAlign w:val="center"/>
          </w:tcPr>
          <w:p w14:paraId="382872A8" w14:textId="77777777" w:rsidR="001C08A5" w:rsidRDefault="00000000">
            <w:pPr>
              <w:jc w:val="center"/>
              <w:rPr>
                <w:b/>
                <w:sz w:val="18"/>
                <w:szCs w:val="18"/>
              </w:rPr>
            </w:pPr>
            <w:r>
              <w:rPr>
                <w:b/>
                <w:sz w:val="18"/>
                <w:szCs w:val="18"/>
              </w:rPr>
              <w:t>-</w:t>
            </w:r>
          </w:p>
        </w:tc>
      </w:tr>
      <w:tr w:rsidR="001C08A5" w14:paraId="6F6FE25E" w14:textId="77777777">
        <w:trPr>
          <w:cantSplit/>
          <w:trHeight w:val="260"/>
        </w:trPr>
        <w:tc>
          <w:tcPr>
            <w:tcW w:w="568" w:type="dxa"/>
            <w:vAlign w:val="center"/>
          </w:tcPr>
          <w:p w14:paraId="1EE4EBA7" w14:textId="77777777" w:rsidR="001C08A5" w:rsidRDefault="00000000">
            <w:pPr>
              <w:jc w:val="center"/>
              <w:rPr>
                <w:sz w:val="18"/>
                <w:szCs w:val="18"/>
              </w:rPr>
            </w:pPr>
            <w:r>
              <w:rPr>
                <w:sz w:val="18"/>
                <w:szCs w:val="18"/>
              </w:rPr>
              <w:t>9</w:t>
            </w:r>
          </w:p>
        </w:tc>
        <w:tc>
          <w:tcPr>
            <w:tcW w:w="2551" w:type="dxa"/>
            <w:gridSpan w:val="2"/>
          </w:tcPr>
          <w:p w14:paraId="4F311E17" w14:textId="77777777" w:rsidR="001C08A5" w:rsidRDefault="00000000">
            <w:pPr>
              <w:jc w:val="both"/>
              <w:rPr>
                <w:b/>
                <w:bCs/>
                <w:sz w:val="18"/>
                <w:szCs w:val="18"/>
              </w:rPr>
            </w:pPr>
            <w:r>
              <w:rPr>
                <w:b/>
                <w:sz w:val="18"/>
                <w:szCs w:val="18"/>
              </w:rPr>
              <w:t xml:space="preserve">Şarpante ale acoperişurilor, acoperișuri autoportante </w:t>
            </w:r>
            <w:r>
              <w:rPr>
                <w:b/>
                <w:bCs/>
                <w:sz w:val="18"/>
                <w:szCs w:val="18"/>
              </w:rPr>
              <w:t>(cupole, structuri spaţiale reticulate etc.)</w:t>
            </w:r>
            <w:r>
              <w:rPr>
                <w:b/>
                <w:sz w:val="18"/>
                <w:szCs w:val="18"/>
              </w:rPr>
              <w:t xml:space="preserve"> (R)</w:t>
            </w:r>
          </w:p>
        </w:tc>
        <w:tc>
          <w:tcPr>
            <w:tcW w:w="1077" w:type="dxa"/>
            <w:vAlign w:val="center"/>
          </w:tcPr>
          <w:p w14:paraId="2A5C4095" w14:textId="77777777" w:rsidR="001C08A5" w:rsidRDefault="00000000">
            <w:pPr>
              <w:jc w:val="center"/>
              <w:rPr>
                <w:b/>
              </w:rPr>
            </w:pPr>
            <w:r>
              <w:rPr>
                <w:b/>
              </w:rPr>
              <w:t>60</w:t>
            </w:r>
          </w:p>
          <w:p w14:paraId="30266102" w14:textId="77777777" w:rsidR="001C08A5" w:rsidRDefault="00000000">
            <w:pPr>
              <w:jc w:val="center"/>
              <w:rPr>
                <w:b/>
              </w:rPr>
            </w:pPr>
            <w:r>
              <w:rPr>
                <w:b/>
              </w:rPr>
              <w:t>(</w:t>
            </w:r>
            <w:r>
              <w:rPr>
                <w:rFonts w:eastAsia="Times New Roman"/>
                <w:b/>
              </w:rPr>
              <w:t>A1</w:t>
            </w:r>
            <w:r>
              <w:rPr>
                <w:b/>
              </w:rPr>
              <w:t>)</w:t>
            </w:r>
          </w:p>
        </w:tc>
        <w:tc>
          <w:tcPr>
            <w:tcW w:w="1077" w:type="dxa"/>
            <w:vAlign w:val="center"/>
          </w:tcPr>
          <w:p w14:paraId="4B644B23" w14:textId="77777777" w:rsidR="001C08A5" w:rsidRDefault="00000000">
            <w:pPr>
              <w:jc w:val="center"/>
              <w:rPr>
                <w:b/>
              </w:rPr>
            </w:pPr>
            <w:r>
              <w:rPr>
                <w:b/>
              </w:rPr>
              <w:t>45</w:t>
            </w:r>
          </w:p>
          <w:p w14:paraId="61A36D82" w14:textId="77777777" w:rsidR="001C08A5" w:rsidRDefault="00000000">
            <w:pPr>
              <w:jc w:val="center"/>
              <w:rPr>
                <w:b/>
              </w:rPr>
            </w:pPr>
            <w:r>
              <w:rPr>
                <w:b/>
              </w:rPr>
              <w:t>(</w:t>
            </w:r>
            <w:r>
              <w:rPr>
                <w:rFonts w:eastAsia="Times New Roman"/>
                <w:b/>
              </w:rPr>
              <w:t>A1</w:t>
            </w:r>
            <w:r>
              <w:rPr>
                <w:b/>
              </w:rPr>
              <w:t>)</w:t>
            </w:r>
          </w:p>
        </w:tc>
        <w:tc>
          <w:tcPr>
            <w:tcW w:w="1077" w:type="dxa"/>
            <w:vAlign w:val="center"/>
          </w:tcPr>
          <w:p w14:paraId="55ACEE5D" w14:textId="77777777" w:rsidR="001C08A5" w:rsidRDefault="00000000">
            <w:pPr>
              <w:jc w:val="center"/>
              <w:rPr>
                <w:b/>
              </w:rPr>
            </w:pPr>
            <w:r>
              <w:rPr>
                <w:b/>
              </w:rPr>
              <w:t>45</w:t>
            </w:r>
          </w:p>
          <w:p w14:paraId="66415354" w14:textId="77777777" w:rsidR="001C08A5" w:rsidRDefault="00000000">
            <w:pPr>
              <w:jc w:val="center"/>
              <w:rPr>
                <w:b/>
              </w:rPr>
            </w:pPr>
            <w:r>
              <w:rPr>
                <w:b/>
              </w:rPr>
              <w:t>(</w:t>
            </w:r>
            <w:r>
              <w:rPr>
                <w:rFonts w:eastAsia="Times New Roman"/>
                <w:b/>
              </w:rPr>
              <w:t>A1</w:t>
            </w:r>
            <w:r>
              <w:rPr>
                <w:b/>
              </w:rPr>
              <w:t>)</w:t>
            </w:r>
          </w:p>
        </w:tc>
        <w:tc>
          <w:tcPr>
            <w:tcW w:w="1077" w:type="dxa"/>
            <w:vAlign w:val="center"/>
          </w:tcPr>
          <w:p w14:paraId="7326ACC8" w14:textId="77777777" w:rsidR="001C08A5" w:rsidRDefault="00000000">
            <w:pPr>
              <w:jc w:val="center"/>
              <w:rPr>
                <w:b/>
              </w:rPr>
            </w:pPr>
            <w:r>
              <w:rPr>
                <w:b/>
              </w:rPr>
              <w:t>30</w:t>
            </w:r>
          </w:p>
        </w:tc>
        <w:tc>
          <w:tcPr>
            <w:tcW w:w="1077" w:type="dxa"/>
            <w:vAlign w:val="center"/>
          </w:tcPr>
          <w:p w14:paraId="2DBF6ABF" w14:textId="77777777" w:rsidR="001C08A5" w:rsidRDefault="00000000">
            <w:pPr>
              <w:jc w:val="center"/>
              <w:rPr>
                <w:b/>
              </w:rPr>
            </w:pPr>
            <w:r>
              <w:rPr>
                <w:b/>
              </w:rPr>
              <w:t>15</w:t>
            </w:r>
          </w:p>
        </w:tc>
        <w:tc>
          <w:tcPr>
            <w:tcW w:w="1077" w:type="dxa"/>
            <w:vAlign w:val="center"/>
          </w:tcPr>
          <w:p w14:paraId="236EDF0E" w14:textId="77777777" w:rsidR="001C08A5" w:rsidRDefault="00000000">
            <w:pPr>
              <w:jc w:val="center"/>
              <w:rPr>
                <w:b/>
                <w:sz w:val="18"/>
                <w:szCs w:val="18"/>
              </w:rPr>
            </w:pPr>
            <w:r>
              <w:rPr>
                <w:b/>
                <w:sz w:val="18"/>
                <w:szCs w:val="18"/>
              </w:rPr>
              <w:t>-</w:t>
            </w:r>
          </w:p>
        </w:tc>
      </w:tr>
      <w:tr w:rsidR="001C08A5" w14:paraId="136E1016" w14:textId="77777777">
        <w:trPr>
          <w:cantSplit/>
          <w:trHeight w:val="260"/>
        </w:trPr>
        <w:tc>
          <w:tcPr>
            <w:tcW w:w="568" w:type="dxa"/>
            <w:vMerge w:val="restart"/>
            <w:vAlign w:val="center"/>
          </w:tcPr>
          <w:p w14:paraId="324C1886" w14:textId="77777777" w:rsidR="001C08A5" w:rsidRDefault="00000000">
            <w:pPr>
              <w:jc w:val="center"/>
              <w:rPr>
                <w:sz w:val="18"/>
                <w:szCs w:val="18"/>
              </w:rPr>
            </w:pPr>
            <w:r>
              <w:rPr>
                <w:sz w:val="18"/>
                <w:szCs w:val="18"/>
              </w:rPr>
              <w:t>10</w:t>
            </w:r>
          </w:p>
        </w:tc>
        <w:tc>
          <w:tcPr>
            <w:tcW w:w="1192" w:type="dxa"/>
            <w:vMerge w:val="restart"/>
            <w:vAlign w:val="center"/>
          </w:tcPr>
          <w:p w14:paraId="2C55A792" w14:textId="77777777" w:rsidR="001C08A5" w:rsidRDefault="00000000">
            <w:pPr>
              <w:widowControl w:val="0"/>
              <w:jc w:val="center"/>
              <w:rPr>
                <w:b/>
                <w:sz w:val="18"/>
                <w:szCs w:val="18"/>
              </w:rPr>
            </w:pPr>
            <w:r>
              <w:rPr>
                <w:b/>
                <w:sz w:val="18"/>
                <w:szCs w:val="18"/>
              </w:rPr>
              <w:t>Panouri/ sisteme de învelitoare ale acoperişurilor în pantă definite conform terminologie  (*)</w:t>
            </w:r>
          </w:p>
        </w:tc>
        <w:tc>
          <w:tcPr>
            <w:tcW w:w="1359" w:type="dxa"/>
            <w:vAlign w:val="center"/>
          </w:tcPr>
          <w:p w14:paraId="6D0A4C2D" w14:textId="77777777" w:rsidR="001C08A5" w:rsidRDefault="00000000">
            <w:pPr>
              <w:widowControl w:val="0"/>
              <w:numPr>
                <w:ilvl w:val="255"/>
                <w:numId w:val="0"/>
              </w:numPr>
              <w:jc w:val="both"/>
              <w:rPr>
                <w:b/>
                <w:sz w:val="18"/>
                <w:szCs w:val="18"/>
              </w:rPr>
            </w:pPr>
            <w:r>
              <w:rPr>
                <w:b/>
                <w:sz w:val="18"/>
                <w:szCs w:val="18"/>
              </w:rPr>
              <w:t>a.</w:t>
            </w:r>
          </w:p>
          <w:p w14:paraId="3F1946C5" w14:textId="77777777" w:rsidR="001C08A5" w:rsidRDefault="00000000">
            <w:pPr>
              <w:widowControl w:val="0"/>
              <w:numPr>
                <w:ilvl w:val="255"/>
                <w:numId w:val="0"/>
              </w:numPr>
              <w:jc w:val="both"/>
              <w:rPr>
                <w:b/>
                <w:sz w:val="18"/>
                <w:szCs w:val="18"/>
                <w:lang w:eastAsia="en-US"/>
              </w:rPr>
            </w:pPr>
            <w:r>
              <w:rPr>
                <w:b/>
                <w:sz w:val="18"/>
                <w:szCs w:val="18"/>
              </w:rPr>
              <w:t>c</w:t>
            </w:r>
            <w:r>
              <w:rPr>
                <w:b/>
                <w:sz w:val="18"/>
                <w:szCs w:val="18"/>
                <w:lang w:eastAsia="en-US"/>
              </w:rPr>
              <w:t>u încărcări din vânt și zăpadă (E)</w:t>
            </w:r>
          </w:p>
          <w:p w14:paraId="47BCC71C" w14:textId="77777777" w:rsidR="001C08A5" w:rsidRDefault="001C08A5">
            <w:pPr>
              <w:widowControl w:val="0"/>
              <w:numPr>
                <w:ilvl w:val="255"/>
                <w:numId w:val="0"/>
              </w:numPr>
              <w:jc w:val="both"/>
              <w:rPr>
                <w:b/>
                <w:sz w:val="18"/>
                <w:szCs w:val="18"/>
              </w:rPr>
            </w:pPr>
          </w:p>
        </w:tc>
        <w:tc>
          <w:tcPr>
            <w:tcW w:w="1077" w:type="dxa"/>
            <w:vAlign w:val="center"/>
          </w:tcPr>
          <w:p w14:paraId="302F6B51" w14:textId="77777777" w:rsidR="001C08A5" w:rsidRDefault="00000000">
            <w:pPr>
              <w:widowControl w:val="0"/>
              <w:jc w:val="center"/>
              <w:rPr>
                <w:b/>
              </w:rPr>
            </w:pPr>
            <w:r>
              <w:rPr>
                <w:b/>
              </w:rPr>
              <w:t>30</w:t>
            </w:r>
          </w:p>
          <w:p w14:paraId="2634DCB7" w14:textId="77777777" w:rsidR="001C08A5" w:rsidRDefault="00000000">
            <w:pPr>
              <w:widowControl w:val="0"/>
              <w:jc w:val="center"/>
              <w:rPr>
                <w:b/>
              </w:rPr>
            </w:pPr>
            <w:r>
              <w:rPr>
                <w:b/>
                <w:sz w:val="15"/>
                <w:szCs w:val="15"/>
                <w:lang w:val="en-GB"/>
              </w:rPr>
              <w:t>(A1sau A2-s</w:t>
            </w:r>
            <w:proofErr w:type="gramStart"/>
            <w:r>
              <w:rPr>
                <w:b/>
                <w:sz w:val="15"/>
                <w:szCs w:val="15"/>
                <w:lang w:val="en-GB"/>
              </w:rPr>
              <w:t>1,d</w:t>
            </w:r>
            <w:proofErr w:type="gramEnd"/>
            <w:r>
              <w:rPr>
                <w:b/>
                <w:sz w:val="15"/>
                <w:szCs w:val="15"/>
                <w:lang w:val="en-GB"/>
              </w:rPr>
              <w:t>0)</w:t>
            </w:r>
          </w:p>
        </w:tc>
        <w:tc>
          <w:tcPr>
            <w:tcW w:w="1077" w:type="dxa"/>
            <w:vAlign w:val="center"/>
          </w:tcPr>
          <w:p w14:paraId="55042D99" w14:textId="77777777" w:rsidR="001C08A5" w:rsidRDefault="00000000">
            <w:pPr>
              <w:widowControl w:val="0"/>
              <w:jc w:val="center"/>
              <w:rPr>
                <w:b/>
              </w:rPr>
            </w:pPr>
            <w:r>
              <w:rPr>
                <w:b/>
              </w:rPr>
              <w:t>30</w:t>
            </w:r>
          </w:p>
          <w:p w14:paraId="1C562D9C" w14:textId="77777777" w:rsidR="001C08A5" w:rsidRDefault="00000000">
            <w:pPr>
              <w:widowControl w:val="0"/>
              <w:jc w:val="center"/>
              <w:rPr>
                <w:b/>
                <w:lang w:val="en-GB"/>
              </w:rPr>
            </w:pPr>
            <w:r>
              <w:rPr>
                <w:b/>
                <w:lang w:val="en-GB"/>
              </w:rPr>
              <w:t>(*)</w:t>
            </w:r>
          </w:p>
          <w:p w14:paraId="31208A25" w14:textId="77777777" w:rsidR="001C08A5" w:rsidRDefault="00000000">
            <w:pPr>
              <w:widowControl w:val="0"/>
              <w:jc w:val="center"/>
              <w:rPr>
                <w:b/>
              </w:rPr>
            </w:pPr>
            <w:r>
              <w:rPr>
                <w:b/>
                <w:sz w:val="15"/>
                <w:szCs w:val="15"/>
                <w:lang w:val="en-GB"/>
              </w:rPr>
              <w:t>(min B-s</w:t>
            </w:r>
            <w:proofErr w:type="gramStart"/>
            <w:r>
              <w:rPr>
                <w:b/>
                <w:sz w:val="15"/>
                <w:szCs w:val="15"/>
                <w:lang w:val="en-GB"/>
              </w:rPr>
              <w:t>2,d</w:t>
            </w:r>
            <w:proofErr w:type="gramEnd"/>
            <w:r>
              <w:rPr>
                <w:b/>
                <w:sz w:val="15"/>
                <w:szCs w:val="15"/>
                <w:lang w:val="en-GB"/>
              </w:rPr>
              <w:t>0)</w:t>
            </w:r>
          </w:p>
        </w:tc>
        <w:tc>
          <w:tcPr>
            <w:tcW w:w="1077" w:type="dxa"/>
            <w:vAlign w:val="center"/>
          </w:tcPr>
          <w:p w14:paraId="48608A6D" w14:textId="77777777" w:rsidR="001C08A5" w:rsidRDefault="00000000">
            <w:pPr>
              <w:widowControl w:val="0"/>
              <w:jc w:val="center"/>
              <w:rPr>
                <w:b/>
              </w:rPr>
            </w:pPr>
            <w:r>
              <w:rPr>
                <w:b/>
              </w:rPr>
              <w:t xml:space="preserve">15 </w:t>
            </w:r>
          </w:p>
          <w:p w14:paraId="3AAB6166" w14:textId="77777777" w:rsidR="001C08A5" w:rsidRDefault="00000000">
            <w:pPr>
              <w:widowControl w:val="0"/>
              <w:jc w:val="center"/>
              <w:rPr>
                <w:b/>
                <w:lang w:val="en-GB"/>
              </w:rPr>
            </w:pPr>
            <w:r>
              <w:rPr>
                <w:b/>
                <w:lang w:val="en-GB"/>
              </w:rPr>
              <w:t>(*)</w:t>
            </w:r>
          </w:p>
          <w:p w14:paraId="5BC44BD0" w14:textId="77777777" w:rsidR="001C08A5" w:rsidRDefault="00000000">
            <w:pPr>
              <w:widowControl w:val="0"/>
              <w:jc w:val="center"/>
              <w:rPr>
                <w:b/>
              </w:rPr>
            </w:pPr>
            <w:r>
              <w:rPr>
                <w:b/>
                <w:sz w:val="15"/>
                <w:szCs w:val="15"/>
                <w:lang w:val="en-GB"/>
              </w:rPr>
              <w:t>(min B-s</w:t>
            </w:r>
            <w:proofErr w:type="gramStart"/>
            <w:r>
              <w:rPr>
                <w:b/>
                <w:sz w:val="15"/>
                <w:szCs w:val="15"/>
                <w:lang w:val="en-GB"/>
              </w:rPr>
              <w:t>2,d</w:t>
            </w:r>
            <w:proofErr w:type="gramEnd"/>
            <w:r>
              <w:rPr>
                <w:b/>
                <w:sz w:val="15"/>
                <w:szCs w:val="15"/>
                <w:lang w:val="en-GB"/>
              </w:rPr>
              <w:t>0)</w:t>
            </w:r>
          </w:p>
        </w:tc>
        <w:tc>
          <w:tcPr>
            <w:tcW w:w="1077" w:type="dxa"/>
            <w:vAlign w:val="center"/>
          </w:tcPr>
          <w:p w14:paraId="149D4887" w14:textId="77777777" w:rsidR="001C08A5" w:rsidRDefault="00000000">
            <w:pPr>
              <w:widowControl w:val="0"/>
              <w:jc w:val="center"/>
              <w:rPr>
                <w:b/>
              </w:rPr>
            </w:pPr>
            <w:r>
              <w:rPr>
                <w:b/>
              </w:rPr>
              <w:t>15</w:t>
            </w:r>
          </w:p>
          <w:p w14:paraId="70F40DF9" w14:textId="77777777" w:rsidR="001C08A5" w:rsidRDefault="00000000">
            <w:pPr>
              <w:widowControl w:val="0"/>
              <w:jc w:val="center"/>
              <w:rPr>
                <w:b/>
                <w:lang w:val="en-GB"/>
              </w:rPr>
            </w:pPr>
            <w:r>
              <w:rPr>
                <w:b/>
                <w:lang w:val="en-GB"/>
              </w:rPr>
              <w:t>(*)</w:t>
            </w:r>
          </w:p>
          <w:p w14:paraId="5DC90CBB" w14:textId="77777777" w:rsidR="001C08A5" w:rsidRDefault="00000000">
            <w:pPr>
              <w:widowControl w:val="0"/>
              <w:jc w:val="center"/>
              <w:rPr>
                <w:b/>
              </w:rPr>
            </w:pPr>
            <w:r>
              <w:rPr>
                <w:b/>
                <w:sz w:val="15"/>
                <w:szCs w:val="15"/>
                <w:lang w:val="en-GB"/>
              </w:rPr>
              <w:t>(min C-s</w:t>
            </w:r>
            <w:proofErr w:type="gramStart"/>
            <w:r>
              <w:rPr>
                <w:b/>
                <w:sz w:val="15"/>
                <w:szCs w:val="15"/>
                <w:lang w:val="en-GB"/>
              </w:rPr>
              <w:t>3,d</w:t>
            </w:r>
            <w:proofErr w:type="gramEnd"/>
            <w:r>
              <w:rPr>
                <w:b/>
                <w:sz w:val="15"/>
                <w:szCs w:val="15"/>
                <w:lang w:val="en-GB"/>
              </w:rPr>
              <w:t>0)</w:t>
            </w:r>
          </w:p>
        </w:tc>
        <w:tc>
          <w:tcPr>
            <w:tcW w:w="1077" w:type="dxa"/>
            <w:vAlign w:val="center"/>
          </w:tcPr>
          <w:p w14:paraId="04FA44C5" w14:textId="77777777" w:rsidR="001C08A5" w:rsidRDefault="00000000">
            <w:pPr>
              <w:widowControl w:val="0"/>
              <w:jc w:val="center"/>
              <w:rPr>
                <w:b/>
              </w:rPr>
            </w:pPr>
            <w:r>
              <w:rPr>
                <w:b/>
              </w:rPr>
              <w:t>15</w:t>
            </w:r>
          </w:p>
          <w:p w14:paraId="102CDD16" w14:textId="77777777" w:rsidR="001C08A5" w:rsidRDefault="00000000">
            <w:pPr>
              <w:widowControl w:val="0"/>
              <w:jc w:val="center"/>
              <w:rPr>
                <w:b/>
                <w:lang w:val="en-GB"/>
              </w:rPr>
            </w:pPr>
            <w:r>
              <w:rPr>
                <w:b/>
                <w:lang w:val="en-GB"/>
              </w:rPr>
              <w:t>(*)</w:t>
            </w:r>
          </w:p>
          <w:p w14:paraId="242A4C37" w14:textId="77777777" w:rsidR="001C08A5" w:rsidRDefault="00000000">
            <w:pPr>
              <w:widowControl w:val="0"/>
              <w:jc w:val="center"/>
              <w:rPr>
                <w:b/>
              </w:rPr>
            </w:pPr>
            <w:r>
              <w:rPr>
                <w:b/>
                <w:sz w:val="15"/>
                <w:szCs w:val="15"/>
                <w:lang w:val="en-GB"/>
              </w:rPr>
              <w:t>(min C-s</w:t>
            </w:r>
            <w:proofErr w:type="gramStart"/>
            <w:r>
              <w:rPr>
                <w:b/>
                <w:sz w:val="15"/>
                <w:szCs w:val="15"/>
                <w:lang w:val="en-GB"/>
              </w:rPr>
              <w:t>3,d</w:t>
            </w:r>
            <w:proofErr w:type="gramEnd"/>
            <w:r>
              <w:rPr>
                <w:b/>
                <w:sz w:val="15"/>
                <w:szCs w:val="15"/>
                <w:lang w:val="en-GB"/>
              </w:rPr>
              <w:t>0)</w:t>
            </w:r>
          </w:p>
        </w:tc>
        <w:tc>
          <w:tcPr>
            <w:tcW w:w="1077" w:type="dxa"/>
            <w:vAlign w:val="center"/>
          </w:tcPr>
          <w:p w14:paraId="05BAAECE" w14:textId="77777777" w:rsidR="001C08A5" w:rsidRDefault="00000000">
            <w:pPr>
              <w:widowControl w:val="0"/>
              <w:jc w:val="center"/>
              <w:rPr>
                <w:b/>
                <w:lang w:val="en-GB"/>
              </w:rPr>
            </w:pPr>
            <w:r>
              <w:rPr>
                <w:b/>
                <w:lang w:val="en-GB"/>
              </w:rPr>
              <w:t>(*)</w:t>
            </w:r>
          </w:p>
          <w:p w14:paraId="65D0B9A0" w14:textId="77777777" w:rsidR="001C08A5" w:rsidRDefault="00000000">
            <w:pPr>
              <w:widowControl w:val="0"/>
              <w:jc w:val="center"/>
              <w:rPr>
                <w:b/>
                <w:sz w:val="18"/>
                <w:szCs w:val="18"/>
              </w:rPr>
            </w:pPr>
            <w:r>
              <w:rPr>
                <w:b/>
                <w:sz w:val="15"/>
                <w:szCs w:val="15"/>
                <w:lang w:val="en-GB"/>
              </w:rPr>
              <w:t>(min D-s</w:t>
            </w:r>
            <w:proofErr w:type="gramStart"/>
            <w:r>
              <w:rPr>
                <w:b/>
                <w:sz w:val="15"/>
                <w:szCs w:val="15"/>
                <w:lang w:val="en-GB"/>
              </w:rPr>
              <w:t>3,d</w:t>
            </w:r>
            <w:proofErr w:type="gramEnd"/>
            <w:r>
              <w:rPr>
                <w:b/>
                <w:sz w:val="15"/>
                <w:szCs w:val="15"/>
                <w:lang w:val="en-GB"/>
              </w:rPr>
              <w:t>0)</w:t>
            </w:r>
          </w:p>
        </w:tc>
      </w:tr>
      <w:tr w:rsidR="001C08A5" w14:paraId="4FDB971A" w14:textId="77777777">
        <w:trPr>
          <w:cantSplit/>
          <w:trHeight w:val="493"/>
        </w:trPr>
        <w:tc>
          <w:tcPr>
            <w:tcW w:w="568" w:type="dxa"/>
            <w:vMerge/>
            <w:vAlign w:val="center"/>
          </w:tcPr>
          <w:p w14:paraId="006BD11F" w14:textId="77777777" w:rsidR="001C08A5" w:rsidRDefault="001C08A5">
            <w:pPr>
              <w:jc w:val="center"/>
              <w:rPr>
                <w:sz w:val="18"/>
                <w:szCs w:val="18"/>
              </w:rPr>
            </w:pPr>
          </w:p>
        </w:tc>
        <w:tc>
          <w:tcPr>
            <w:tcW w:w="1192" w:type="dxa"/>
            <w:vMerge/>
            <w:vAlign w:val="center"/>
          </w:tcPr>
          <w:p w14:paraId="43423D6C" w14:textId="77777777" w:rsidR="001C08A5" w:rsidRDefault="001C08A5">
            <w:pPr>
              <w:widowControl w:val="0"/>
              <w:jc w:val="center"/>
              <w:rPr>
                <w:b/>
                <w:sz w:val="18"/>
                <w:szCs w:val="18"/>
              </w:rPr>
            </w:pPr>
          </w:p>
        </w:tc>
        <w:tc>
          <w:tcPr>
            <w:tcW w:w="1359" w:type="dxa"/>
            <w:vAlign w:val="center"/>
          </w:tcPr>
          <w:p w14:paraId="5F3B23B0" w14:textId="77777777" w:rsidR="001C08A5" w:rsidRDefault="00000000">
            <w:pPr>
              <w:widowControl w:val="0"/>
              <w:rPr>
                <w:b/>
                <w:sz w:val="18"/>
                <w:szCs w:val="18"/>
              </w:rPr>
            </w:pPr>
            <w:r>
              <w:rPr>
                <w:b/>
                <w:sz w:val="18"/>
                <w:szCs w:val="18"/>
              </w:rPr>
              <w:t xml:space="preserve">b. </w:t>
            </w:r>
          </w:p>
          <w:p w14:paraId="7AD4F8DE" w14:textId="77777777" w:rsidR="001C08A5" w:rsidRDefault="00000000">
            <w:pPr>
              <w:widowControl w:val="0"/>
              <w:numPr>
                <w:ilvl w:val="255"/>
                <w:numId w:val="0"/>
              </w:numPr>
              <w:rPr>
                <w:b/>
                <w:sz w:val="18"/>
                <w:szCs w:val="18"/>
              </w:rPr>
            </w:pPr>
            <w:r>
              <w:rPr>
                <w:b/>
                <w:sz w:val="18"/>
                <w:szCs w:val="18"/>
              </w:rPr>
              <w:t>c</w:t>
            </w:r>
            <w:r>
              <w:rPr>
                <w:b/>
                <w:sz w:val="18"/>
                <w:szCs w:val="18"/>
                <w:lang w:eastAsia="en-US"/>
              </w:rPr>
              <w:t xml:space="preserve">u  încărcări suplimentare provenite din fotovoltaice </w:t>
            </w:r>
          </w:p>
        </w:tc>
        <w:tc>
          <w:tcPr>
            <w:tcW w:w="1077" w:type="dxa"/>
            <w:vAlign w:val="center"/>
          </w:tcPr>
          <w:p w14:paraId="575C45FF" w14:textId="77777777" w:rsidR="001C08A5" w:rsidRDefault="00000000">
            <w:pPr>
              <w:widowControl w:val="0"/>
              <w:jc w:val="center"/>
              <w:rPr>
                <w:rFonts w:ascii="Arial" w:hAnsi="Arial" w:cs="Arial"/>
                <w:b/>
              </w:rPr>
            </w:pPr>
            <w:r>
              <w:rPr>
                <w:rFonts w:ascii="Arial" w:hAnsi="Arial" w:cs="Arial"/>
                <w:b/>
              </w:rPr>
              <w:t>(***)</w:t>
            </w:r>
          </w:p>
          <w:p w14:paraId="09F63077" w14:textId="77777777" w:rsidR="001C08A5" w:rsidRDefault="00000000">
            <w:pPr>
              <w:widowControl w:val="0"/>
              <w:jc w:val="center"/>
              <w:rPr>
                <w:b/>
                <w:iCs/>
                <w:sz w:val="15"/>
                <w:szCs w:val="15"/>
              </w:rPr>
            </w:pPr>
            <w:r>
              <w:rPr>
                <w:b/>
                <w:iCs/>
                <w:sz w:val="15"/>
                <w:szCs w:val="15"/>
              </w:rPr>
              <w:t>B</w:t>
            </w:r>
            <w:r>
              <w:rPr>
                <w:b/>
                <w:iCs/>
                <w:sz w:val="15"/>
                <w:szCs w:val="15"/>
                <w:vertAlign w:val="subscript"/>
              </w:rPr>
              <w:t>ROOF</w:t>
            </w:r>
          </w:p>
          <w:p w14:paraId="44ADFD21" w14:textId="77777777" w:rsidR="001C08A5" w:rsidRDefault="00000000">
            <w:pPr>
              <w:widowControl w:val="0"/>
              <w:jc w:val="center"/>
              <w:rPr>
                <w:b/>
              </w:rPr>
            </w:pPr>
            <w:r>
              <w:rPr>
                <w:b/>
                <w:iCs/>
                <w:sz w:val="15"/>
                <w:szCs w:val="15"/>
              </w:rPr>
              <w:t>(T4)</w:t>
            </w:r>
          </w:p>
        </w:tc>
        <w:tc>
          <w:tcPr>
            <w:tcW w:w="1077" w:type="dxa"/>
            <w:vAlign w:val="center"/>
          </w:tcPr>
          <w:p w14:paraId="61D4A1CB" w14:textId="77777777" w:rsidR="001C08A5" w:rsidRDefault="00000000">
            <w:pPr>
              <w:widowControl w:val="0"/>
              <w:jc w:val="center"/>
              <w:rPr>
                <w:rFonts w:ascii="Arial" w:hAnsi="Arial" w:cs="Arial"/>
                <w:b/>
              </w:rPr>
            </w:pPr>
            <w:r>
              <w:rPr>
                <w:rFonts w:ascii="Arial" w:hAnsi="Arial" w:cs="Arial"/>
                <w:b/>
              </w:rPr>
              <w:t>(***)</w:t>
            </w:r>
          </w:p>
          <w:p w14:paraId="354FDB8A" w14:textId="77777777" w:rsidR="001C08A5" w:rsidRDefault="00000000">
            <w:pPr>
              <w:widowControl w:val="0"/>
              <w:jc w:val="center"/>
              <w:rPr>
                <w:b/>
                <w:iCs/>
                <w:sz w:val="15"/>
                <w:szCs w:val="15"/>
              </w:rPr>
            </w:pPr>
            <w:r>
              <w:rPr>
                <w:b/>
                <w:iCs/>
                <w:sz w:val="15"/>
                <w:szCs w:val="15"/>
              </w:rPr>
              <w:t>B</w:t>
            </w:r>
            <w:r>
              <w:rPr>
                <w:b/>
                <w:iCs/>
                <w:sz w:val="15"/>
                <w:szCs w:val="15"/>
                <w:vertAlign w:val="subscript"/>
              </w:rPr>
              <w:t>ROOF</w:t>
            </w:r>
          </w:p>
          <w:p w14:paraId="53A5FB19" w14:textId="77777777" w:rsidR="001C08A5" w:rsidRDefault="00000000">
            <w:pPr>
              <w:widowControl w:val="0"/>
              <w:jc w:val="center"/>
              <w:rPr>
                <w:b/>
              </w:rPr>
            </w:pPr>
            <w:r>
              <w:rPr>
                <w:b/>
                <w:iCs/>
                <w:sz w:val="15"/>
                <w:szCs w:val="15"/>
              </w:rPr>
              <w:t>(T3)</w:t>
            </w:r>
          </w:p>
        </w:tc>
        <w:tc>
          <w:tcPr>
            <w:tcW w:w="1077" w:type="dxa"/>
            <w:vAlign w:val="center"/>
          </w:tcPr>
          <w:p w14:paraId="219ED03E" w14:textId="77777777" w:rsidR="001C08A5" w:rsidRDefault="00000000">
            <w:pPr>
              <w:widowControl w:val="0"/>
              <w:jc w:val="center"/>
              <w:rPr>
                <w:rFonts w:ascii="Arial" w:hAnsi="Arial" w:cs="Arial"/>
                <w:b/>
              </w:rPr>
            </w:pPr>
            <w:r>
              <w:rPr>
                <w:rFonts w:ascii="Arial" w:hAnsi="Arial" w:cs="Arial"/>
                <w:b/>
              </w:rPr>
              <w:t>(***)</w:t>
            </w:r>
          </w:p>
          <w:p w14:paraId="64A78C0D" w14:textId="77777777" w:rsidR="001C08A5" w:rsidRDefault="00000000">
            <w:pPr>
              <w:widowControl w:val="0"/>
              <w:jc w:val="center"/>
              <w:rPr>
                <w:b/>
                <w:iCs/>
                <w:sz w:val="15"/>
                <w:szCs w:val="15"/>
              </w:rPr>
            </w:pPr>
            <w:r>
              <w:rPr>
                <w:b/>
                <w:iCs/>
                <w:sz w:val="15"/>
                <w:szCs w:val="15"/>
              </w:rPr>
              <w:t>B</w:t>
            </w:r>
            <w:r>
              <w:rPr>
                <w:b/>
                <w:iCs/>
                <w:sz w:val="15"/>
                <w:szCs w:val="15"/>
                <w:vertAlign w:val="subscript"/>
              </w:rPr>
              <w:t>ROOF</w:t>
            </w:r>
          </w:p>
          <w:p w14:paraId="0AB4AB0A" w14:textId="77777777" w:rsidR="001C08A5" w:rsidRDefault="00000000">
            <w:pPr>
              <w:widowControl w:val="0"/>
              <w:jc w:val="center"/>
              <w:rPr>
                <w:b/>
              </w:rPr>
            </w:pPr>
            <w:r>
              <w:rPr>
                <w:b/>
                <w:iCs/>
                <w:sz w:val="15"/>
                <w:szCs w:val="15"/>
              </w:rPr>
              <w:t>(T3)</w:t>
            </w:r>
          </w:p>
        </w:tc>
        <w:tc>
          <w:tcPr>
            <w:tcW w:w="1077" w:type="dxa"/>
            <w:vAlign w:val="center"/>
          </w:tcPr>
          <w:p w14:paraId="501249B7" w14:textId="77777777" w:rsidR="001C08A5" w:rsidRDefault="00000000">
            <w:pPr>
              <w:widowControl w:val="0"/>
              <w:jc w:val="center"/>
              <w:rPr>
                <w:rFonts w:ascii="Arial" w:hAnsi="Arial" w:cs="Arial"/>
                <w:b/>
              </w:rPr>
            </w:pPr>
            <w:r>
              <w:rPr>
                <w:rFonts w:ascii="Arial" w:hAnsi="Arial" w:cs="Arial"/>
                <w:b/>
              </w:rPr>
              <w:t>(***)</w:t>
            </w:r>
          </w:p>
          <w:p w14:paraId="68A2DC53" w14:textId="77777777" w:rsidR="001C08A5" w:rsidRDefault="00000000">
            <w:pPr>
              <w:widowControl w:val="0"/>
              <w:jc w:val="center"/>
              <w:rPr>
                <w:b/>
                <w:iCs/>
                <w:sz w:val="15"/>
                <w:szCs w:val="15"/>
              </w:rPr>
            </w:pPr>
            <w:r>
              <w:rPr>
                <w:b/>
                <w:iCs/>
                <w:sz w:val="15"/>
                <w:szCs w:val="15"/>
              </w:rPr>
              <w:t>B</w:t>
            </w:r>
            <w:r>
              <w:rPr>
                <w:b/>
                <w:iCs/>
                <w:sz w:val="15"/>
                <w:szCs w:val="15"/>
                <w:vertAlign w:val="subscript"/>
              </w:rPr>
              <w:t>ROOF</w:t>
            </w:r>
          </w:p>
          <w:p w14:paraId="4AEB5D1B" w14:textId="77777777" w:rsidR="001C08A5" w:rsidRDefault="00000000">
            <w:pPr>
              <w:widowControl w:val="0"/>
              <w:jc w:val="center"/>
              <w:rPr>
                <w:b/>
              </w:rPr>
            </w:pPr>
            <w:r>
              <w:rPr>
                <w:b/>
                <w:iCs/>
                <w:sz w:val="15"/>
                <w:szCs w:val="15"/>
              </w:rPr>
              <w:t>(T3)</w:t>
            </w:r>
          </w:p>
        </w:tc>
        <w:tc>
          <w:tcPr>
            <w:tcW w:w="1077" w:type="dxa"/>
            <w:vAlign w:val="center"/>
          </w:tcPr>
          <w:p w14:paraId="425F9F70" w14:textId="77777777" w:rsidR="001C08A5" w:rsidRDefault="00000000">
            <w:pPr>
              <w:widowControl w:val="0"/>
              <w:jc w:val="center"/>
              <w:rPr>
                <w:rFonts w:ascii="Arial" w:hAnsi="Arial" w:cs="Arial"/>
                <w:b/>
              </w:rPr>
            </w:pPr>
            <w:r>
              <w:rPr>
                <w:rFonts w:ascii="Arial" w:hAnsi="Arial" w:cs="Arial"/>
                <w:b/>
              </w:rPr>
              <w:t>(***)</w:t>
            </w:r>
          </w:p>
          <w:p w14:paraId="6974623A" w14:textId="77777777" w:rsidR="001C08A5" w:rsidRDefault="00000000">
            <w:pPr>
              <w:widowControl w:val="0"/>
              <w:jc w:val="center"/>
              <w:rPr>
                <w:b/>
                <w:iCs/>
                <w:sz w:val="15"/>
                <w:szCs w:val="15"/>
              </w:rPr>
            </w:pPr>
            <w:r>
              <w:rPr>
                <w:b/>
                <w:iCs/>
                <w:sz w:val="15"/>
                <w:szCs w:val="15"/>
              </w:rPr>
              <w:t>C</w:t>
            </w:r>
            <w:r>
              <w:rPr>
                <w:b/>
                <w:iCs/>
                <w:sz w:val="15"/>
                <w:szCs w:val="15"/>
                <w:vertAlign w:val="subscript"/>
              </w:rPr>
              <w:t>ROOF</w:t>
            </w:r>
          </w:p>
          <w:p w14:paraId="30E94368" w14:textId="77777777" w:rsidR="001C08A5" w:rsidRDefault="00000000">
            <w:pPr>
              <w:widowControl w:val="0"/>
              <w:jc w:val="center"/>
              <w:rPr>
                <w:b/>
              </w:rPr>
            </w:pPr>
            <w:r>
              <w:rPr>
                <w:b/>
                <w:iCs/>
                <w:sz w:val="15"/>
                <w:szCs w:val="15"/>
              </w:rPr>
              <w:t>(T3)</w:t>
            </w:r>
          </w:p>
        </w:tc>
        <w:tc>
          <w:tcPr>
            <w:tcW w:w="1077" w:type="dxa"/>
            <w:vAlign w:val="center"/>
          </w:tcPr>
          <w:p w14:paraId="7FCBBBAD" w14:textId="77777777" w:rsidR="001C08A5" w:rsidRDefault="00000000">
            <w:pPr>
              <w:widowControl w:val="0"/>
              <w:jc w:val="center"/>
              <w:rPr>
                <w:rFonts w:ascii="Arial" w:hAnsi="Arial" w:cs="Arial"/>
                <w:b/>
              </w:rPr>
            </w:pPr>
            <w:r>
              <w:rPr>
                <w:rFonts w:ascii="Arial" w:hAnsi="Arial" w:cs="Arial"/>
                <w:b/>
              </w:rPr>
              <w:t>(***)</w:t>
            </w:r>
          </w:p>
          <w:p w14:paraId="45EBE651" w14:textId="77777777" w:rsidR="001C08A5" w:rsidRDefault="00000000">
            <w:pPr>
              <w:widowControl w:val="0"/>
              <w:jc w:val="center"/>
              <w:rPr>
                <w:b/>
                <w:iCs/>
                <w:sz w:val="15"/>
                <w:szCs w:val="15"/>
              </w:rPr>
            </w:pPr>
            <w:r>
              <w:rPr>
                <w:b/>
                <w:iCs/>
                <w:sz w:val="15"/>
                <w:szCs w:val="15"/>
              </w:rPr>
              <w:t>D</w:t>
            </w:r>
            <w:r>
              <w:rPr>
                <w:b/>
                <w:iCs/>
                <w:sz w:val="15"/>
                <w:szCs w:val="15"/>
                <w:vertAlign w:val="subscript"/>
              </w:rPr>
              <w:t>ROOF</w:t>
            </w:r>
          </w:p>
          <w:p w14:paraId="05EF7EAE" w14:textId="77777777" w:rsidR="001C08A5" w:rsidRDefault="00000000">
            <w:pPr>
              <w:widowControl w:val="0"/>
              <w:jc w:val="center"/>
              <w:rPr>
                <w:b/>
                <w:sz w:val="18"/>
                <w:szCs w:val="18"/>
              </w:rPr>
            </w:pPr>
            <w:r>
              <w:rPr>
                <w:b/>
                <w:iCs/>
                <w:sz w:val="15"/>
                <w:szCs w:val="15"/>
              </w:rPr>
              <w:t>(T3)</w:t>
            </w:r>
          </w:p>
        </w:tc>
      </w:tr>
      <w:tr w:rsidR="001C08A5" w14:paraId="53D96C64" w14:textId="77777777">
        <w:trPr>
          <w:cantSplit/>
          <w:trHeight w:val="398"/>
        </w:trPr>
        <w:tc>
          <w:tcPr>
            <w:tcW w:w="568" w:type="dxa"/>
            <w:vMerge/>
            <w:vAlign w:val="center"/>
          </w:tcPr>
          <w:p w14:paraId="36409BA2" w14:textId="77777777" w:rsidR="001C08A5" w:rsidRDefault="001C08A5">
            <w:pPr>
              <w:jc w:val="center"/>
              <w:rPr>
                <w:sz w:val="18"/>
                <w:szCs w:val="18"/>
              </w:rPr>
            </w:pPr>
          </w:p>
        </w:tc>
        <w:tc>
          <w:tcPr>
            <w:tcW w:w="1192" w:type="dxa"/>
            <w:vMerge/>
            <w:vAlign w:val="center"/>
          </w:tcPr>
          <w:p w14:paraId="679F71DD" w14:textId="77777777" w:rsidR="001C08A5" w:rsidRDefault="001C08A5">
            <w:pPr>
              <w:widowControl w:val="0"/>
              <w:jc w:val="center"/>
              <w:rPr>
                <w:b/>
                <w:sz w:val="18"/>
                <w:szCs w:val="18"/>
              </w:rPr>
            </w:pPr>
          </w:p>
        </w:tc>
        <w:tc>
          <w:tcPr>
            <w:tcW w:w="1359" w:type="dxa"/>
            <w:vAlign w:val="center"/>
          </w:tcPr>
          <w:p w14:paraId="6AE00738" w14:textId="77777777" w:rsidR="001C08A5" w:rsidRDefault="00000000">
            <w:pPr>
              <w:rPr>
                <w:b/>
                <w:sz w:val="18"/>
                <w:szCs w:val="18"/>
              </w:rPr>
            </w:pPr>
            <w:r>
              <w:rPr>
                <w:b/>
                <w:sz w:val="18"/>
                <w:szCs w:val="18"/>
              </w:rPr>
              <w:t xml:space="preserve">c) </w:t>
            </w:r>
          </w:p>
          <w:p w14:paraId="2F81EAAD" w14:textId="77777777" w:rsidR="001C08A5" w:rsidRDefault="00000000">
            <w:pPr>
              <w:rPr>
                <w:b/>
                <w:sz w:val="18"/>
                <w:szCs w:val="18"/>
              </w:rPr>
            </w:pPr>
            <w:r>
              <w:rPr>
                <w:b/>
                <w:sz w:val="18"/>
                <w:szCs w:val="18"/>
              </w:rPr>
              <w:t>c1) cu</w:t>
            </w:r>
            <w:r>
              <w:rPr>
                <w:b/>
                <w:sz w:val="18"/>
                <w:szCs w:val="18"/>
                <w:lang w:eastAsia="en-US"/>
              </w:rPr>
              <w:t xml:space="preserve"> alte încărcări </w:t>
            </w:r>
            <w:r>
              <w:rPr>
                <w:b/>
                <w:sz w:val="18"/>
                <w:szCs w:val="18"/>
              </w:rPr>
              <w:t>cu excepția celor de la lit. a) și b): (E) iar pentru încărcări se prevede structură proprie având performanța la foc stabilită la pct. 9, care descarcă direct pe sarpantă (R);</w:t>
            </w:r>
          </w:p>
          <w:p w14:paraId="2614C817" w14:textId="77777777" w:rsidR="001C08A5" w:rsidRDefault="00000000">
            <w:pPr>
              <w:rPr>
                <w:b/>
                <w:sz w:val="18"/>
                <w:szCs w:val="18"/>
              </w:rPr>
            </w:pPr>
            <w:r>
              <w:rPr>
                <w:b/>
                <w:sz w:val="18"/>
                <w:szCs w:val="18"/>
              </w:rPr>
              <w:t>c2) (REI) atunci cand descarcarea se face direct pe panouri/</w:t>
            </w:r>
          </w:p>
          <w:p w14:paraId="064CDAA6" w14:textId="77777777" w:rsidR="001C08A5" w:rsidRDefault="00000000">
            <w:pPr>
              <w:widowControl w:val="0"/>
              <w:rPr>
                <w:b/>
                <w:sz w:val="18"/>
                <w:szCs w:val="18"/>
              </w:rPr>
            </w:pPr>
            <w:r>
              <w:rPr>
                <w:b/>
                <w:sz w:val="18"/>
                <w:szCs w:val="18"/>
              </w:rPr>
              <w:t>sisteme de învelitoare.</w:t>
            </w:r>
          </w:p>
        </w:tc>
        <w:tc>
          <w:tcPr>
            <w:tcW w:w="1077" w:type="dxa"/>
            <w:vAlign w:val="center"/>
          </w:tcPr>
          <w:p w14:paraId="4D6CBFEF" w14:textId="77777777" w:rsidR="001C08A5" w:rsidRDefault="00000000">
            <w:pPr>
              <w:widowControl w:val="0"/>
              <w:jc w:val="center"/>
              <w:rPr>
                <w:b/>
              </w:rPr>
            </w:pPr>
            <w:r>
              <w:rPr>
                <w:b/>
              </w:rPr>
              <w:t>60</w:t>
            </w:r>
          </w:p>
          <w:p w14:paraId="600C256A" w14:textId="77777777" w:rsidR="001C08A5" w:rsidRDefault="00000000">
            <w:pPr>
              <w:widowControl w:val="0"/>
              <w:jc w:val="center"/>
              <w:rPr>
                <w:b/>
                <w:iCs/>
                <w:sz w:val="15"/>
                <w:szCs w:val="15"/>
              </w:rPr>
            </w:pPr>
            <w:r>
              <w:rPr>
                <w:b/>
                <w:sz w:val="15"/>
                <w:szCs w:val="15"/>
                <w:lang w:val="en-GB"/>
              </w:rPr>
              <w:t>(A1sau A2-s</w:t>
            </w:r>
            <w:proofErr w:type="gramStart"/>
            <w:r>
              <w:rPr>
                <w:b/>
                <w:sz w:val="15"/>
                <w:szCs w:val="15"/>
                <w:lang w:val="en-GB"/>
              </w:rPr>
              <w:t>1,d</w:t>
            </w:r>
            <w:proofErr w:type="gramEnd"/>
            <w:r>
              <w:rPr>
                <w:b/>
                <w:sz w:val="15"/>
                <w:szCs w:val="15"/>
                <w:lang w:val="en-GB"/>
              </w:rPr>
              <w:t>0)</w:t>
            </w:r>
          </w:p>
        </w:tc>
        <w:tc>
          <w:tcPr>
            <w:tcW w:w="1077" w:type="dxa"/>
            <w:vAlign w:val="center"/>
          </w:tcPr>
          <w:p w14:paraId="4D043B6F" w14:textId="77777777" w:rsidR="001C08A5" w:rsidRDefault="00000000">
            <w:pPr>
              <w:widowControl w:val="0"/>
              <w:jc w:val="center"/>
              <w:rPr>
                <w:b/>
              </w:rPr>
            </w:pPr>
            <w:r>
              <w:rPr>
                <w:b/>
              </w:rPr>
              <w:t>45</w:t>
            </w:r>
          </w:p>
          <w:p w14:paraId="3668E8B1" w14:textId="77777777" w:rsidR="001C08A5" w:rsidRDefault="00000000">
            <w:pPr>
              <w:widowControl w:val="0"/>
              <w:jc w:val="center"/>
              <w:rPr>
                <w:b/>
                <w:lang w:val="en-GB"/>
              </w:rPr>
            </w:pPr>
            <w:r>
              <w:rPr>
                <w:b/>
                <w:lang w:val="en-GB"/>
              </w:rPr>
              <w:t>(*)</w:t>
            </w:r>
          </w:p>
          <w:p w14:paraId="71B3A032" w14:textId="77777777" w:rsidR="001C08A5" w:rsidRDefault="00000000">
            <w:pPr>
              <w:widowControl w:val="0"/>
              <w:jc w:val="center"/>
              <w:rPr>
                <w:b/>
                <w:iCs/>
                <w:sz w:val="15"/>
                <w:szCs w:val="15"/>
              </w:rPr>
            </w:pPr>
            <w:r>
              <w:rPr>
                <w:b/>
                <w:sz w:val="15"/>
                <w:szCs w:val="15"/>
                <w:lang w:val="en-GB"/>
              </w:rPr>
              <w:t>(A1sau A2-s</w:t>
            </w:r>
            <w:proofErr w:type="gramStart"/>
            <w:r>
              <w:rPr>
                <w:b/>
                <w:sz w:val="15"/>
                <w:szCs w:val="15"/>
                <w:lang w:val="en-GB"/>
              </w:rPr>
              <w:t>1,d</w:t>
            </w:r>
            <w:proofErr w:type="gramEnd"/>
            <w:r>
              <w:rPr>
                <w:b/>
                <w:sz w:val="15"/>
                <w:szCs w:val="15"/>
                <w:lang w:val="en-GB"/>
              </w:rPr>
              <w:t>0)</w:t>
            </w:r>
          </w:p>
        </w:tc>
        <w:tc>
          <w:tcPr>
            <w:tcW w:w="1077" w:type="dxa"/>
            <w:vAlign w:val="center"/>
          </w:tcPr>
          <w:p w14:paraId="13158C76" w14:textId="77777777" w:rsidR="001C08A5" w:rsidRDefault="00000000">
            <w:pPr>
              <w:widowControl w:val="0"/>
              <w:jc w:val="center"/>
              <w:rPr>
                <w:b/>
              </w:rPr>
            </w:pPr>
            <w:r>
              <w:rPr>
                <w:b/>
              </w:rPr>
              <w:t>30</w:t>
            </w:r>
          </w:p>
          <w:p w14:paraId="3CBA4CBB" w14:textId="77777777" w:rsidR="001C08A5" w:rsidRDefault="00000000">
            <w:pPr>
              <w:widowControl w:val="0"/>
              <w:jc w:val="center"/>
              <w:rPr>
                <w:b/>
                <w:lang w:val="en-GB"/>
              </w:rPr>
            </w:pPr>
            <w:r>
              <w:rPr>
                <w:b/>
                <w:lang w:val="en-GB"/>
              </w:rPr>
              <w:t>(*)</w:t>
            </w:r>
          </w:p>
          <w:p w14:paraId="521E6ECF" w14:textId="77777777" w:rsidR="001C08A5" w:rsidRDefault="00000000">
            <w:pPr>
              <w:widowControl w:val="0"/>
              <w:jc w:val="center"/>
              <w:rPr>
                <w:b/>
                <w:iCs/>
                <w:sz w:val="15"/>
                <w:szCs w:val="15"/>
              </w:rPr>
            </w:pPr>
            <w:r>
              <w:rPr>
                <w:b/>
                <w:sz w:val="15"/>
                <w:szCs w:val="15"/>
                <w:lang w:val="en-GB"/>
              </w:rPr>
              <w:t>(min B-s</w:t>
            </w:r>
            <w:proofErr w:type="gramStart"/>
            <w:r>
              <w:rPr>
                <w:b/>
                <w:sz w:val="15"/>
                <w:szCs w:val="15"/>
                <w:lang w:val="en-GB"/>
              </w:rPr>
              <w:t>2,d</w:t>
            </w:r>
            <w:proofErr w:type="gramEnd"/>
            <w:r>
              <w:rPr>
                <w:b/>
                <w:sz w:val="15"/>
                <w:szCs w:val="15"/>
                <w:lang w:val="en-GB"/>
              </w:rPr>
              <w:t>0)</w:t>
            </w:r>
          </w:p>
        </w:tc>
        <w:tc>
          <w:tcPr>
            <w:tcW w:w="1077" w:type="dxa"/>
            <w:vAlign w:val="center"/>
          </w:tcPr>
          <w:p w14:paraId="748DE2F9" w14:textId="77777777" w:rsidR="001C08A5" w:rsidRDefault="00000000">
            <w:pPr>
              <w:widowControl w:val="0"/>
              <w:jc w:val="center"/>
              <w:rPr>
                <w:b/>
              </w:rPr>
            </w:pPr>
            <w:r>
              <w:rPr>
                <w:b/>
              </w:rPr>
              <w:t>30</w:t>
            </w:r>
          </w:p>
          <w:p w14:paraId="02495A41" w14:textId="77777777" w:rsidR="001C08A5" w:rsidRDefault="00000000">
            <w:pPr>
              <w:widowControl w:val="0"/>
              <w:jc w:val="center"/>
              <w:rPr>
                <w:b/>
                <w:lang w:val="en-GB"/>
              </w:rPr>
            </w:pPr>
            <w:r>
              <w:rPr>
                <w:b/>
                <w:lang w:val="en-GB"/>
              </w:rPr>
              <w:t>(*)</w:t>
            </w:r>
          </w:p>
          <w:p w14:paraId="53182363" w14:textId="77777777" w:rsidR="001C08A5" w:rsidRDefault="00000000">
            <w:pPr>
              <w:widowControl w:val="0"/>
              <w:jc w:val="center"/>
              <w:rPr>
                <w:b/>
                <w:iCs/>
                <w:sz w:val="15"/>
                <w:szCs w:val="15"/>
              </w:rPr>
            </w:pPr>
            <w:r>
              <w:rPr>
                <w:b/>
                <w:sz w:val="15"/>
                <w:szCs w:val="15"/>
                <w:lang w:val="en-GB"/>
              </w:rPr>
              <w:t>(min C-s</w:t>
            </w:r>
            <w:proofErr w:type="gramStart"/>
            <w:r>
              <w:rPr>
                <w:b/>
                <w:sz w:val="15"/>
                <w:szCs w:val="15"/>
                <w:lang w:val="en-GB"/>
              </w:rPr>
              <w:t>3,d</w:t>
            </w:r>
            <w:proofErr w:type="gramEnd"/>
            <w:r>
              <w:rPr>
                <w:b/>
                <w:sz w:val="15"/>
                <w:szCs w:val="15"/>
                <w:lang w:val="en-GB"/>
              </w:rPr>
              <w:t>0)</w:t>
            </w:r>
          </w:p>
        </w:tc>
        <w:tc>
          <w:tcPr>
            <w:tcW w:w="1077" w:type="dxa"/>
            <w:vAlign w:val="center"/>
          </w:tcPr>
          <w:p w14:paraId="60127A83" w14:textId="77777777" w:rsidR="001C08A5" w:rsidRDefault="00000000">
            <w:pPr>
              <w:widowControl w:val="0"/>
              <w:jc w:val="center"/>
              <w:rPr>
                <w:b/>
              </w:rPr>
            </w:pPr>
            <w:r>
              <w:rPr>
                <w:b/>
              </w:rPr>
              <w:t>15</w:t>
            </w:r>
          </w:p>
          <w:p w14:paraId="3FF2D380" w14:textId="77777777" w:rsidR="001C08A5" w:rsidRDefault="00000000">
            <w:pPr>
              <w:widowControl w:val="0"/>
              <w:jc w:val="center"/>
              <w:rPr>
                <w:b/>
                <w:lang w:val="en-GB"/>
              </w:rPr>
            </w:pPr>
            <w:r>
              <w:rPr>
                <w:b/>
                <w:lang w:val="en-GB"/>
              </w:rPr>
              <w:t>(*)</w:t>
            </w:r>
          </w:p>
          <w:p w14:paraId="61A89C28" w14:textId="77777777" w:rsidR="001C08A5" w:rsidRDefault="00000000">
            <w:pPr>
              <w:widowControl w:val="0"/>
              <w:jc w:val="center"/>
              <w:rPr>
                <w:b/>
                <w:iCs/>
                <w:sz w:val="15"/>
                <w:szCs w:val="15"/>
              </w:rPr>
            </w:pPr>
            <w:r>
              <w:rPr>
                <w:b/>
                <w:sz w:val="15"/>
                <w:szCs w:val="15"/>
                <w:lang w:val="en-GB"/>
              </w:rPr>
              <w:t>(min C-s</w:t>
            </w:r>
            <w:proofErr w:type="gramStart"/>
            <w:r>
              <w:rPr>
                <w:b/>
                <w:sz w:val="15"/>
                <w:szCs w:val="15"/>
                <w:lang w:val="en-GB"/>
              </w:rPr>
              <w:t>3,d</w:t>
            </w:r>
            <w:proofErr w:type="gramEnd"/>
            <w:r>
              <w:rPr>
                <w:b/>
                <w:sz w:val="15"/>
                <w:szCs w:val="15"/>
                <w:lang w:val="en-GB"/>
              </w:rPr>
              <w:t>0)</w:t>
            </w:r>
          </w:p>
        </w:tc>
        <w:tc>
          <w:tcPr>
            <w:tcW w:w="1077" w:type="dxa"/>
            <w:vAlign w:val="center"/>
          </w:tcPr>
          <w:p w14:paraId="1C7B8F63" w14:textId="77777777" w:rsidR="001C08A5" w:rsidRDefault="00000000">
            <w:pPr>
              <w:widowControl w:val="0"/>
              <w:jc w:val="center"/>
              <w:rPr>
                <w:b/>
                <w:lang w:val="en-GB"/>
              </w:rPr>
            </w:pPr>
            <w:r>
              <w:rPr>
                <w:b/>
                <w:lang w:val="en-GB"/>
              </w:rPr>
              <w:t>(*)</w:t>
            </w:r>
          </w:p>
          <w:p w14:paraId="4B388F2C" w14:textId="77777777" w:rsidR="001C08A5" w:rsidRDefault="00000000">
            <w:pPr>
              <w:widowControl w:val="0"/>
              <w:jc w:val="center"/>
              <w:rPr>
                <w:b/>
                <w:sz w:val="18"/>
                <w:szCs w:val="18"/>
              </w:rPr>
            </w:pPr>
            <w:r>
              <w:rPr>
                <w:b/>
                <w:sz w:val="15"/>
                <w:szCs w:val="15"/>
                <w:lang w:val="en-GB"/>
              </w:rPr>
              <w:t>(min D-s</w:t>
            </w:r>
            <w:proofErr w:type="gramStart"/>
            <w:r>
              <w:rPr>
                <w:b/>
                <w:sz w:val="15"/>
                <w:szCs w:val="15"/>
                <w:lang w:val="en-GB"/>
              </w:rPr>
              <w:t>3,d</w:t>
            </w:r>
            <w:proofErr w:type="gramEnd"/>
            <w:r>
              <w:rPr>
                <w:b/>
                <w:sz w:val="15"/>
                <w:szCs w:val="15"/>
                <w:lang w:val="en-GB"/>
              </w:rPr>
              <w:t>0)</w:t>
            </w:r>
          </w:p>
        </w:tc>
      </w:tr>
    </w:tbl>
    <w:p w14:paraId="57201743" w14:textId="77777777" w:rsidR="001C08A5" w:rsidRDefault="00000000">
      <w:pPr>
        <w:jc w:val="both"/>
        <w:rPr>
          <w:rFonts w:eastAsia="ArialMT"/>
          <w:b/>
          <w:bCs/>
          <w:i/>
          <w:sz w:val="22"/>
          <w:szCs w:val="22"/>
          <w:u w:val="single"/>
        </w:rPr>
      </w:pPr>
      <w:r>
        <w:rPr>
          <w:rFonts w:eastAsia="ArialMT"/>
          <w:b/>
          <w:bCs/>
          <w:i/>
          <w:sz w:val="22"/>
          <w:szCs w:val="22"/>
          <w:u w:val="single"/>
        </w:rPr>
        <w:t>Note:</w:t>
      </w:r>
    </w:p>
    <w:p w14:paraId="05294481" w14:textId="77777777" w:rsidR="001C08A5" w:rsidRDefault="00000000">
      <w:pPr>
        <w:jc w:val="both"/>
        <w:rPr>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1B35B034" w14:textId="77777777" w:rsidR="001C08A5" w:rsidRDefault="00000000">
      <w:pPr>
        <w:jc w:val="both"/>
        <w:rPr>
          <w:i/>
          <w:sz w:val="22"/>
          <w:szCs w:val="22"/>
        </w:rPr>
      </w:pPr>
      <w:r>
        <w:rPr>
          <w:sz w:val="22"/>
          <w:szCs w:val="22"/>
        </w:rPr>
        <w:t>(*)</w:t>
      </w:r>
      <w:r>
        <w:rPr>
          <w:i/>
          <w:sz w:val="22"/>
          <w:szCs w:val="22"/>
        </w:rPr>
        <w:t xml:space="preserve"> La construcțiile echipate cu instalații de stingere a incendiilor cu sprinklere ori ceață de apă, cu exceptia celor incadrate în nivel </w:t>
      </w:r>
      <w:r>
        <w:rPr>
          <w:b/>
          <w:bCs/>
          <w:i/>
          <w:sz w:val="22"/>
          <w:szCs w:val="22"/>
        </w:rPr>
        <w:t>I</w:t>
      </w:r>
      <w:r>
        <w:rPr>
          <w:i/>
          <w:sz w:val="22"/>
          <w:szCs w:val="22"/>
        </w:rPr>
        <w:t xml:space="preserve"> de stabilitate, se consideră că este satisfăcută condiția de încadrare în nivelul de stabilitate la incendiu, dacă  sistemul de învelitoare este compus din:</w:t>
      </w:r>
    </w:p>
    <w:p w14:paraId="75B57C3A" w14:textId="77777777" w:rsidR="001C08A5" w:rsidRDefault="00000000">
      <w:pPr>
        <w:ind w:left="720" w:firstLine="720"/>
        <w:jc w:val="both"/>
        <w:rPr>
          <w:i/>
          <w:sz w:val="22"/>
          <w:szCs w:val="22"/>
        </w:rPr>
      </w:pPr>
      <w:r>
        <w:rPr>
          <w:i/>
          <w:sz w:val="22"/>
          <w:szCs w:val="22"/>
        </w:rPr>
        <w:lastRenderedPageBreak/>
        <w:t xml:space="preserve">- strat cu profil trapezoidal din oțel cu grosimea mai mare sau egală cu </w:t>
      </w:r>
      <w:r>
        <w:rPr>
          <w:b/>
          <w:bCs/>
          <w:i/>
          <w:sz w:val="22"/>
          <w:szCs w:val="22"/>
        </w:rPr>
        <w:t>1,00</w:t>
      </w:r>
      <w:r>
        <w:rPr>
          <w:i/>
          <w:sz w:val="22"/>
          <w:szCs w:val="22"/>
        </w:rPr>
        <w:t xml:space="preserve"> </w:t>
      </w:r>
      <w:r>
        <w:rPr>
          <w:b/>
          <w:bCs/>
          <w:i/>
          <w:sz w:val="22"/>
          <w:szCs w:val="22"/>
        </w:rPr>
        <w:t>mm</w:t>
      </w:r>
      <w:r>
        <w:rPr>
          <w:i/>
          <w:sz w:val="22"/>
          <w:szCs w:val="22"/>
        </w:rPr>
        <w:t>;</w:t>
      </w:r>
    </w:p>
    <w:p w14:paraId="4E6BA5E5" w14:textId="77777777" w:rsidR="001C08A5" w:rsidRDefault="00000000">
      <w:pPr>
        <w:ind w:left="720" w:firstLine="720"/>
        <w:jc w:val="both"/>
        <w:rPr>
          <w:i/>
          <w:sz w:val="22"/>
          <w:szCs w:val="22"/>
        </w:rPr>
      </w:pPr>
      <w:r>
        <w:rPr>
          <w:i/>
          <w:sz w:val="22"/>
          <w:szCs w:val="22"/>
        </w:rPr>
        <w:t xml:space="preserve">- barieră de vapori care are mai puțin de </w:t>
      </w:r>
      <w:r>
        <w:rPr>
          <w:b/>
          <w:bCs/>
          <w:i/>
          <w:sz w:val="22"/>
          <w:szCs w:val="22"/>
        </w:rPr>
        <w:t>11.6 MJ/m</w:t>
      </w:r>
      <w:r>
        <w:rPr>
          <w:b/>
          <w:bCs/>
          <w:i/>
          <w:sz w:val="22"/>
          <w:szCs w:val="22"/>
          <w:vertAlign w:val="superscript"/>
        </w:rPr>
        <w:t>2</w:t>
      </w:r>
      <w:r>
        <w:rPr>
          <w:i/>
          <w:sz w:val="22"/>
          <w:szCs w:val="22"/>
        </w:rPr>
        <w:t xml:space="preserve">, grosimea mai mica de </w:t>
      </w:r>
      <w:r>
        <w:rPr>
          <w:b/>
          <w:bCs/>
          <w:i/>
          <w:sz w:val="22"/>
          <w:szCs w:val="22"/>
        </w:rPr>
        <w:t>1,00</w:t>
      </w:r>
      <w:r>
        <w:rPr>
          <w:i/>
          <w:sz w:val="22"/>
          <w:szCs w:val="22"/>
        </w:rPr>
        <w:t xml:space="preserve"> </w:t>
      </w:r>
      <w:r>
        <w:rPr>
          <w:b/>
          <w:bCs/>
          <w:i/>
          <w:sz w:val="22"/>
          <w:szCs w:val="22"/>
        </w:rPr>
        <w:t>mm</w:t>
      </w:r>
      <w:r>
        <w:rPr>
          <w:i/>
          <w:sz w:val="22"/>
          <w:szCs w:val="22"/>
        </w:rPr>
        <w:t xml:space="preserve"> și masa pe unitatea de suprafata mai mica de </w:t>
      </w:r>
      <w:r>
        <w:rPr>
          <w:b/>
          <w:bCs/>
          <w:i/>
          <w:sz w:val="22"/>
          <w:szCs w:val="22"/>
        </w:rPr>
        <w:t>1 kg/m</w:t>
      </w:r>
      <w:r>
        <w:rPr>
          <w:b/>
          <w:bCs/>
          <w:i/>
          <w:sz w:val="22"/>
          <w:szCs w:val="22"/>
          <w:vertAlign w:val="superscript"/>
        </w:rPr>
        <w:t>2</w:t>
      </w:r>
      <w:r>
        <w:rPr>
          <w:i/>
          <w:sz w:val="22"/>
          <w:szCs w:val="22"/>
        </w:rPr>
        <w:t>;</w:t>
      </w:r>
    </w:p>
    <w:p w14:paraId="12C82087" w14:textId="77777777" w:rsidR="001C08A5" w:rsidRDefault="00000000">
      <w:pPr>
        <w:ind w:left="720" w:firstLine="720"/>
        <w:jc w:val="both"/>
        <w:rPr>
          <w:i/>
          <w:sz w:val="22"/>
          <w:szCs w:val="22"/>
        </w:rPr>
      </w:pPr>
      <w:r>
        <w:rPr>
          <w:i/>
          <w:sz w:val="22"/>
          <w:szCs w:val="22"/>
        </w:rPr>
        <w:t xml:space="preserve">- termoizolație cu grosime de minimum </w:t>
      </w:r>
      <w:r>
        <w:rPr>
          <w:b/>
          <w:bCs/>
          <w:i/>
          <w:sz w:val="22"/>
          <w:szCs w:val="22"/>
        </w:rPr>
        <w:t>20 cm</w:t>
      </w:r>
      <w:r>
        <w:rPr>
          <w:i/>
          <w:sz w:val="22"/>
          <w:szCs w:val="22"/>
        </w:rPr>
        <w:t xml:space="preserve">, clasa de reacție la foc </w:t>
      </w:r>
      <w:r>
        <w:rPr>
          <w:b/>
          <w:bCs/>
          <w:i/>
          <w:sz w:val="22"/>
          <w:szCs w:val="22"/>
        </w:rPr>
        <w:t xml:space="preserve">A1, </w:t>
      </w:r>
      <w:r>
        <w:rPr>
          <w:i/>
          <w:sz w:val="22"/>
          <w:szCs w:val="22"/>
        </w:rPr>
        <w:t xml:space="preserve">cu densitatea minimă </w:t>
      </w:r>
      <w:r>
        <w:rPr>
          <w:b/>
          <w:bCs/>
          <w:i/>
          <w:sz w:val="22"/>
          <w:szCs w:val="22"/>
        </w:rPr>
        <w:t>150kg/m</w:t>
      </w:r>
      <w:r>
        <w:rPr>
          <w:b/>
          <w:bCs/>
          <w:i/>
          <w:sz w:val="22"/>
          <w:szCs w:val="22"/>
          <w:vertAlign w:val="superscript"/>
        </w:rPr>
        <w:t>3</w:t>
      </w:r>
      <w:r>
        <w:rPr>
          <w:i/>
          <w:sz w:val="22"/>
          <w:szCs w:val="22"/>
        </w:rPr>
        <w:t>;</w:t>
      </w:r>
    </w:p>
    <w:p w14:paraId="2294A8D2" w14:textId="77777777" w:rsidR="001C08A5" w:rsidRDefault="00000000">
      <w:pPr>
        <w:ind w:left="720" w:firstLine="720"/>
        <w:jc w:val="both"/>
        <w:rPr>
          <w:i/>
          <w:sz w:val="22"/>
          <w:szCs w:val="22"/>
        </w:rPr>
      </w:pPr>
      <w:r>
        <w:rPr>
          <w:i/>
          <w:sz w:val="22"/>
          <w:szCs w:val="22"/>
        </w:rPr>
        <w:t xml:space="preserve">- membrană hidroizolantă  care trebuie să îndeplinească numai clasa de performanță la foc exterior, astfel: minimum </w:t>
      </w:r>
      <w:r>
        <w:rPr>
          <w:b/>
          <w:bCs/>
          <w:i/>
          <w:sz w:val="22"/>
          <w:szCs w:val="22"/>
        </w:rPr>
        <w:t>B</w:t>
      </w:r>
      <w:r>
        <w:rPr>
          <w:b/>
          <w:bCs/>
          <w:i/>
          <w:sz w:val="22"/>
          <w:szCs w:val="22"/>
          <w:vertAlign w:val="subscript"/>
        </w:rPr>
        <w:t>ROOF</w:t>
      </w:r>
      <w:r>
        <w:rPr>
          <w:b/>
          <w:bCs/>
          <w:i/>
          <w:sz w:val="22"/>
          <w:szCs w:val="22"/>
        </w:rPr>
        <w:t>(T3)</w:t>
      </w:r>
      <w:r>
        <w:rPr>
          <w:i/>
          <w:sz w:val="22"/>
          <w:szCs w:val="22"/>
        </w:rPr>
        <w:t xml:space="preserve"> pentru nivelul </w:t>
      </w:r>
      <w:r>
        <w:rPr>
          <w:b/>
          <w:bCs/>
          <w:i/>
          <w:sz w:val="22"/>
          <w:szCs w:val="22"/>
        </w:rPr>
        <w:t>II</w:t>
      </w:r>
      <w:r>
        <w:rPr>
          <w:i/>
          <w:sz w:val="22"/>
          <w:szCs w:val="22"/>
        </w:rPr>
        <w:t xml:space="preserve"> și </w:t>
      </w:r>
      <w:r>
        <w:rPr>
          <w:b/>
          <w:bCs/>
          <w:i/>
          <w:sz w:val="22"/>
          <w:szCs w:val="22"/>
        </w:rPr>
        <w:t>III</w:t>
      </w:r>
      <w:r>
        <w:rPr>
          <w:i/>
          <w:sz w:val="22"/>
          <w:szCs w:val="22"/>
        </w:rPr>
        <w:t xml:space="preserve"> de stabilitate la incendiu sau </w:t>
      </w:r>
      <w:r>
        <w:rPr>
          <w:b/>
          <w:bCs/>
          <w:i/>
          <w:iCs/>
          <w:sz w:val="22"/>
          <w:szCs w:val="22"/>
        </w:rPr>
        <w:t>C</w:t>
      </w:r>
      <w:r>
        <w:rPr>
          <w:b/>
          <w:bCs/>
          <w:i/>
          <w:iCs/>
          <w:sz w:val="22"/>
          <w:szCs w:val="22"/>
          <w:vertAlign w:val="subscript"/>
        </w:rPr>
        <w:t>ROOF</w:t>
      </w:r>
      <w:r>
        <w:rPr>
          <w:b/>
          <w:bCs/>
          <w:i/>
          <w:iCs/>
          <w:sz w:val="22"/>
          <w:szCs w:val="22"/>
        </w:rPr>
        <w:t xml:space="preserve">(T3) </w:t>
      </w:r>
      <w:r>
        <w:rPr>
          <w:i/>
          <w:sz w:val="22"/>
          <w:szCs w:val="22"/>
        </w:rPr>
        <w:t xml:space="preserve">pentru nivelul </w:t>
      </w:r>
      <w:r>
        <w:rPr>
          <w:b/>
          <w:bCs/>
          <w:i/>
          <w:sz w:val="22"/>
          <w:szCs w:val="22"/>
        </w:rPr>
        <w:t>IV</w:t>
      </w:r>
      <w:r>
        <w:rPr>
          <w:i/>
          <w:sz w:val="22"/>
          <w:szCs w:val="22"/>
        </w:rPr>
        <w:t xml:space="preserve"> de stabilitate la incendiu. </w:t>
      </w:r>
    </w:p>
    <w:p w14:paraId="3C1D4898" w14:textId="77777777" w:rsidR="001C08A5" w:rsidRDefault="00000000">
      <w:pPr>
        <w:jc w:val="both"/>
        <w:rPr>
          <w:iCs/>
          <w:sz w:val="22"/>
          <w:szCs w:val="22"/>
        </w:rPr>
      </w:pPr>
      <w:r>
        <w:rPr>
          <w:b/>
          <w:bCs/>
          <w:i/>
          <w:iCs/>
          <w:sz w:val="22"/>
          <w:szCs w:val="22"/>
        </w:rPr>
        <w:t>(**)</w:t>
      </w:r>
      <w:r>
        <w:rPr>
          <w:i/>
          <w:iCs/>
          <w:sz w:val="22"/>
          <w:szCs w:val="22"/>
        </w:rPr>
        <w:t xml:space="preserve"> Constituie excepție de la încadrare construcțiile de producție-depozitare parter cu risc mic și mijlociu de incendiu, la care structura (stâlpi, grinzi, pereți structurali) poate avea rezistență la foc de </w:t>
      </w:r>
      <w:r>
        <w:rPr>
          <w:b/>
          <w:bCs/>
          <w:i/>
          <w:iCs/>
          <w:sz w:val="22"/>
          <w:szCs w:val="22"/>
        </w:rPr>
        <w:t>15</w:t>
      </w:r>
      <w:r>
        <w:rPr>
          <w:i/>
          <w:iCs/>
          <w:sz w:val="22"/>
          <w:szCs w:val="22"/>
        </w:rPr>
        <w:t xml:space="preserve"> minute.</w:t>
      </w:r>
      <w:r>
        <w:rPr>
          <w:iCs/>
          <w:sz w:val="22"/>
          <w:szCs w:val="22"/>
        </w:rPr>
        <w:t xml:space="preserve">  </w:t>
      </w:r>
    </w:p>
    <w:p w14:paraId="4A76D3EC" w14:textId="77777777" w:rsidR="001C08A5" w:rsidRDefault="00000000">
      <w:pPr>
        <w:suppressAutoHyphens w:val="0"/>
        <w:autoSpaceDE w:val="0"/>
        <w:autoSpaceDN w:val="0"/>
        <w:adjustRightInd w:val="0"/>
        <w:jc w:val="both"/>
        <w:rPr>
          <w:i/>
          <w:sz w:val="22"/>
          <w:szCs w:val="22"/>
        </w:rPr>
      </w:pPr>
      <w:r>
        <w:rPr>
          <w:i/>
          <w:iCs/>
          <w:sz w:val="22"/>
          <w:szCs w:val="22"/>
        </w:rPr>
        <w:t xml:space="preserve">(***) Este obligatorie asigurarea și a </w:t>
      </w:r>
      <w:r>
        <w:rPr>
          <w:b/>
          <w:bCs/>
          <w:i/>
          <w:iCs/>
          <w:sz w:val="22"/>
          <w:szCs w:val="22"/>
          <w:u w:val="single"/>
        </w:rPr>
        <w:t>minimum</w:t>
      </w:r>
      <w:r>
        <w:rPr>
          <w:i/>
          <w:iCs/>
          <w:sz w:val="22"/>
          <w:szCs w:val="22"/>
        </w:rPr>
        <w:t xml:space="preserve"> condițiilor prevăzute pentru suporturi standardizate de panouri sau sisteme de învelitoare ale acoperişurilor în pantă prevăzute la </w:t>
      </w:r>
      <w:r>
        <w:rPr>
          <w:b/>
          <w:bCs/>
          <w:i/>
          <w:iCs/>
          <w:sz w:val="22"/>
          <w:szCs w:val="22"/>
        </w:rPr>
        <w:t>Nr. Crt. 10 lit. b</w:t>
      </w:r>
      <w:r>
        <w:rPr>
          <w:i/>
          <w:iCs/>
          <w:sz w:val="22"/>
          <w:szCs w:val="22"/>
        </w:rPr>
        <w:t>)</w:t>
      </w:r>
      <w:r>
        <w:rPr>
          <w:i/>
          <w:iCs/>
          <w:strike/>
          <w:sz w:val="22"/>
          <w:szCs w:val="22"/>
        </w:rPr>
        <w:t>.</w:t>
      </w:r>
    </w:p>
    <w:p w14:paraId="4BACE35E" w14:textId="77777777" w:rsidR="001C08A5" w:rsidRDefault="00000000">
      <w:pPr>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429B76CC" w14:textId="77777777" w:rsidR="001C08A5" w:rsidRDefault="00000000">
      <w:pPr>
        <w:rPr>
          <w:bCs/>
          <w:i/>
          <w:sz w:val="22"/>
          <w:szCs w:val="22"/>
        </w:rPr>
      </w:pPr>
      <w:r>
        <w:rPr>
          <w:b/>
          <w:i/>
          <w:sz w:val="22"/>
          <w:szCs w:val="22"/>
        </w:rPr>
        <w:t>”h”</w:t>
      </w:r>
      <w:r>
        <w:rPr>
          <w:bCs/>
          <w:i/>
          <w:sz w:val="22"/>
          <w:szCs w:val="22"/>
        </w:rPr>
        <w:t xml:space="preserve">= cota ultimului planșeu accesibil/folosibil al </w:t>
      </w:r>
      <w:r>
        <w:rPr>
          <w:i/>
          <w:iCs/>
          <w:sz w:val="22"/>
          <w:szCs w:val="22"/>
        </w:rPr>
        <w:t>constructiei, față de nivelul de referință</w:t>
      </w:r>
    </w:p>
    <w:p w14:paraId="61294E4B" w14:textId="77777777" w:rsidR="001C08A5" w:rsidRDefault="00000000">
      <w:pPr>
        <w:suppressAutoHyphens w:val="0"/>
        <w:autoSpaceDE w:val="0"/>
        <w:autoSpaceDN w:val="0"/>
        <w:adjustRightInd w:val="0"/>
        <w:jc w:val="both"/>
        <w:rPr>
          <w:i/>
          <w:sz w:val="22"/>
          <w:szCs w:val="22"/>
        </w:rPr>
      </w:pPr>
      <w:r>
        <w:rPr>
          <w:i/>
          <w:sz w:val="22"/>
          <w:szCs w:val="22"/>
        </w:rPr>
        <w:t>- În scopul verificării cerințelor de rezistență la foc ale elementelor structurale secundare, proiectantul trebuie să verifice că prăbușirea acestor elemente prin efectul incendiului nu va compromite: capacitatea portantă a altor elemente structurale care fac parte din structură (în condiții de incendiu), eficacitatea compartimentării elementelor structurale, operarea sistemelor active de protecție împotriva incendiilor, evacuarea în siguranță a utilizatorilor precum și siguranța echipelor de intervenție.</w:t>
      </w:r>
    </w:p>
    <w:p w14:paraId="08AD7974" w14:textId="77777777" w:rsidR="001C08A5" w:rsidRDefault="001C08A5">
      <w:pPr>
        <w:suppressAutoHyphens w:val="0"/>
        <w:autoSpaceDE w:val="0"/>
        <w:autoSpaceDN w:val="0"/>
        <w:adjustRightInd w:val="0"/>
        <w:jc w:val="both"/>
        <w:rPr>
          <w:iCs/>
          <w:sz w:val="22"/>
          <w:szCs w:val="22"/>
        </w:rPr>
      </w:pPr>
    </w:p>
    <w:p w14:paraId="02190154" w14:textId="77777777" w:rsidR="001C08A5" w:rsidRDefault="00000000">
      <w:pPr>
        <w:jc w:val="both"/>
        <w:rPr>
          <w:sz w:val="24"/>
          <w:szCs w:val="24"/>
        </w:rPr>
      </w:pPr>
      <w:r>
        <w:rPr>
          <w:b/>
          <w:sz w:val="24"/>
          <w:szCs w:val="24"/>
        </w:rPr>
        <w:tab/>
        <w:t xml:space="preserve">Art. </w:t>
      </w:r>
      <w:r>
        <w:rPr>
          <w:b/>
          <w:bCs/>
          <w:sz w:val="24"/>
          <w:szCs w:val="24"/>
        </w:rPr>
        <w:t>2.1.3.</w:t>
      </w:r>
      <w:r>
        <w:rPr>
          <w:b/>
          <w:sz w:val="24"/>
          <w:szCs w:val="24"/>
        </w:rPr>
        <w:t>3.</w:t>
      </w:r>
      <w:r>
        <w:rPr>
          <w:b/>
          <w:sz w:val="24"/>
          <w:szCs w:val="24"/>
        </w:rPr>
        <w:tab/>
        <w:t xml:space="preserve">(1) </w:t>
      </w:r>
      <w:r>
        <w:rPr>
          <w:sz w:val="24"/>
          <w:szCs w:val="24"/>
        </w:rPr>
        <w:t xml:space="preserve">Nivelul de stabilitate la incendiu al construcţiei sau al compartimentului de incendiu, este determinat de elementul său cu cea mai defavorabilă încadrare.  </w:t>
      </w:r>
    </w:p>
    <w:p w14:paraId="1454B11C" w14:textId="77777777" w:rsidR="001C08A5" w:rsidRDefault="00000000">
      <w:pPr>
        <w:ind w:firstLine="720"/>
        <w:jc w:val="both"/>
        <w:rPr>
          <w:b/>
          <w:sz w:val="24"/>
          <w:szCs w:val="24"/>
        </w:rPr>
      </w:pPr>
      <w:r>
        <w:rPr>
          <w:b/>
          <w:sz w:val="24"/>
          <w:szCs w:val="24"/>
        </w:rPr>
        <w:t>(2)</w:t>
      </w:r>
      <w:r>
        <w:rPr>
          <w:sz w:val="24"/>
          <w:szCs w:val="24"/>
        </w:rPr>
        <w:t xml:space="preserve"> La clădirile supraterane înalte, foarte înalte și la cele cu săli aglomerate cu nivelul </w:t>
      </w:r>
      <w:r>
        <w:rPr>
          <w:b/>
          <w:bCs/>
          <w:sz w:val="24"/>
          <w:szCs w:val="24"/>
        </w:rPr>
        <w:t>I</w:t>
      </w:r>
      <w:r>
        <w:rPr>
          <w:sz w:val="24"/>
          <w:szCs w:val="24"/>
        </w:rPr>
        <w:t xml:space="preserve"> de stabilitate la incendiu, şarpantele acoperişurilor cu sau fără pod vor fi realizate integral din materiale și elemente din clasa de reacţie la foc </w:t>
      </w:r>
      <w:r>
        <w:rPr>
          <w:b/>
          <w:sz w:val="24"/>
          <w:szCs w:val="24"/>
        </w:rPr>
        <w:t>A1,</w:t>
      </w:r>
      <w:r>
        <w:rPr>
          <w:sz w:val="24"/>
          <w:szCs w:val="24"/>
        </w:rPr>
        <w:t xml:space="preserve"> iar la sălile aglomerate cu nivelul </w:t>
      </w:r>
      <w:r>
        <w:rPr>
          <w:b/>
          <w:sz w:val="24"/>
          <w:szCs w:val="24"/>
        </w:rPr>
        <w:t>II</w:t>
      </w:r>
      <w:r>
        <w:rPr>
          <w:sz w:val="24"/>
          <w:szCs w:val="24"/>
        </w:rPr>
        <w:t xml:space="preserve"> de stabilitate la incendiu pot fi minimum </w:t>
      </w:r>
      <w:r>
        <w:rPr>
          <w:bCs/>
          <w:sz w:val="24"/>
          <w:szCs w:val="24"/>
        </w:rPr>
        <w:t xml:space="preserve">conform încadrare în </w:t>
      </w:r>
      <w:r>
        <w:rPr>
          <w:rStyle w:val="CaptiontabelChar"/>
        </w:rPr>
        <w:fldChar w:fldCharType="begin"/>
      </w:r>
      <w:r>
        <w:rPr>
          <w:rStyle w:val="CaptiontabelChar"/>
        </w:rPr>
        <w:instrText xml:space="preserve"> REF _Ref26473 \h </w:instrText>
      </w:r>
      <w:r>
        <w:rPr>
          <w:rStyle w:val="CaptiontabelChar"/>
        </w:rPr>
      </w:r>
      <w:r>
        <w:rPr>
          <w:rStyle w:val="CaptiontabelChar"/>
        </w:rPr>
        <w:fldChar w:fldCharType="separate"/>
      </w:r>
      <w:r>
        <w:t>Tabelul 2</w:t>
      </w:r>
      <w:r>
        <w:rPr>
          <w:rStyle w:val="CaptiontabelChar"/>
        </w:rPr>
        <w:fldChar w:fldCharType="end"/>
      </w:r>
      <w:r>
        <w:rPr>
          <w:sz w:val="24"/>
          <w:szCs w:val="24"/>
        </w:rPr>
        <w:t xml:space="preserve">, respectiv minimum </w:t>
      </w:r>
      <w:r>
        <w:rPr>
          <w:b/>
          <w:sz w:val="24"/>
          <w:szCs w:val="24"/>
        </w:rPr>
        <w:t>C-s1d0</w:t>
      </w:r>
      <w:r>
        <w:rPr>
          <w:sz w:val="24"/>
          <w:szCs w:val="24"/>
        </w:rPr>
        <w:t xml:space="preserve"> pentru cele cu nivelul </w:t>
      </w:r>
      <w:r>
        <w:rPr>
          <w:b/>
          <w:sz w:val="24"/>
          <w:szCs w:val="24"/>
        </w:rPr>
        <w:t>III</w:t>
      </w:r>
      <w:r>
        <w:rPr>
          <w:sz w:val="24"/>
          <w:szCs w:val="24"/>
        </w:rPr>
        <w:t xml:space="preserve"> de stabilitate la </w:t>
      </w:r>
      <w:r>
        <w:rPr>
          <w:iCs/>
          <w:sz w:val="24"/>
          <w:szCs w:val="24"/>
        </w:rPr>
        <w:t>incendiu</w:t>
      </w:r>
      <w:r>
        <w:rPr>
          <w:sz w:val="24"/>
          <w:szCs w:val="24"/>
        </w:rPr>
        <w:t xml:space="preserve"> (prevăzute cu instalație automată de stingere).</w:t>
      </w:r>
    </w:p>
    <w:p w14:paraId="101B3E7E" w14:textId="77777777" w:rsidR="001C08A5" w:rsidRDefault="00000000">
      <w:pPr>
        <w:widowControl w:val="0"/>
        <w:autoSpaceDE w:val="0"/>
        <w:ind w:firstLine="720"/>
        <w:jc w:val="both"/>
        <w:rPr>
          <w:sz w:val="24"/>
          <w:szCs w:val="24"/>
        </w:rPr>
      </w:pPr>
      <w:r>
        <w:rPr>
          <w:b/>
          <w:sz w:val="24"/>
          <w:szCs w:val="24"/>
        </w:rPr>
        <w:t xml:space="preserve">(3) </w:t>
      </w:r>
      <w:r>
        <w:rPr>
          <w:sz w:val="24"/>
          <w:szCs w:val="24"/>
        </w:rPr>
        <w:t xml:space="preserve">Protejarea structurilor metalice la acţiunile termice ale incendiilor (protecție cu vopsea termospumantă, protecție cu torcret, placări ori alte sisteme), trebuie să corespundă temperaturilor critice ale structurilor respective și factorilor de secțiune respectivi.  </w:t>
      </w:r>
    </w:p>
    <w:p w14:paraId="00391E8D" w14:textId="77777777" w:rsidR="001C08A5" w:rsidRDefault="00000000">
      <w:pPr>
        <w:ind w:firstLine="720"/>
        <w:jc w:val="both"/>
        <w:rPr>
          <w:sz w:val="24"/>
          <w:szCs w:val="24"/>
        </w:rPr>
      </w:pPr>
      <w:r>
        <w:rPr>
          <w:b/>
          <w:sz w:val="24"/>
          <w:szCs w:val="24"/>
        </w:rPr>
        <w:t xml:space="preserve">(4) </w:t>
      </w:r>
      <w:r>
        <w:rPr>
          <w:sz w:val="24"/>
          <w:szCs w:val="24"/>
        </w:rPr>
        <w:t>În absenţa unui calcul specific, valoarea temperaturii critice pentru elementele din oţel cu secţiune transversală de clasa</w:t>
      </w:r>
      <w:r>
        <w:rPr>
          <w:b/>
          <w:bCs/>
          <w:sz w:val="24"/>
          <w:szCs w:val="24"/>
        </w:rPr>
        <w:t xml:space="preserve"> 1, 2 </w:t>
      </w:r>
      <w:r>
        <w:rPr>
          <w:sz w:val="24"/>
          <w:szCs w:val="24"/>
        </w:rPr>
        <w:t>şi</w:t>
      </w:r>
      <w:r>
        <w:rPr>
          <w:b/>
          <w:bCs/>
          <w:sz w:val="24"/>
          <w:szCs w:val="24"/>
        </w:rPr>
        <w:t xml:space="preserve"> 3</w:t>
      </w:r>
      <w:r>
        <w:rPr>
          <w:sz w:val="24"/>
          <w:szCs w:val="24"/>
        </w:rPr>
        <w:t xml:space="preserve"> utilizate în clădiri poate să fie considerată egală cu </w:t>
      </w:r>
      <w:r>
        <w:rPr>
          <w:b/>
          <w:sz w:val="24"/>
          <w:szCs w:val="24"/>
        </w:rPr>
        <w:t>500°C</w:t>
      </w:r>
      <w:r>
        <w:rPr>
          <w:sz w:val="24"/>
          <w:szCs w:val="24"/>
        </w:rPr>
        <w:t xml:space="preserve">, iar pentru elementele din oţel cu secţiune transversală de clasa </w:t>
      </w:r>
      <w:r>
        <w:rPr>
          <w:b/>
          <w:bCs/>
          <w:sz w:val="24"/>
          <w:szCs w:val="24"/>
        </w:rPr>
        <w:t>4</w:t>
      </w:r>
      <w:r>
        <w:rPr>
          <w:sz w:val="24"/>
          <w:szCs w:val="24"/>
        </w:rPr>
        <w:t xml:space="preserve"> se stabileşte potrivit anexei naţionale a </w:t>
      </w:r>
      <w:r>
        <w:rPr>
          <w:b/>
          <w:bCs/>
          <w:sz w:val="24"/>
          <w:szCs w:val="24"/>
        </w:rPr>
        <w:t>SR EN 1993-1-2</w:t>
      </w:r>
      <w:r>
        <w:rPr>
          <w:sz w:val="24"/>
          <w:szCs w:val="24"/>
        </w:rPr>
        <w:t>.</w:t>
      </w:r>
    </w:p>
    <w:p w14:paraId="2A55B23C" w14:textId="77777777" w:rsidR="001C08A5" w:rsidRDefault="00000000">
      <w:pPr>
        <w:ind w:firstLine="720"/>
        <w:jc w:val="both"/>
        <w:rPr>
          <w:sz w:val="24"/>
          <w:szCs w:val="24"/>
        </w:rPr>
      </w:pPr>
      <w:r>
        <w:rPr>
          <w:b/>
          <w:sz w:val="24"/>
          <w:szCs w:val="24"/>
        </w:rPr>
        <w:t xml:space="preserve">(5) </w:t>
      </w:r>
      <w:r>
        <w:rPr>
          <w:sz w:val="24"/>
          <w:szCs w:val="24"/>
        </w:rPr>
        <w:t>În documentaţiile tehnico-economice se precizează obligatoriu nivelul de stabilitate la incendiu al construcţiei şi după caz, al compartimentului de incendiu.</w:t>
      </w:r>
    </w:p>
    <w:p w14:paraId="34A36551" w14:textId="77777777" w:rsidR="001C08A5" w:rsidRDefault="001C08A5">
      <w:pPr>
        <w:rPr>
          <w:sz w:val="24"/>
          <w:szCs w:val="24"/>
        </w:rPr>
      </w:pPr>
    </w:p>
    <w:p w14:paraId="7B729B28" w14:textId="77777777" w:rsidR="001C08A5" w:rsidRDefault="00000000">
      <w:pPr>
        <w:jc w:val="both"/>
        <w:rPr>
          <w:b/>
          <w:sz w:val="24"/>
          <w:szCs w:val="24"/>
        </w:rPr>
      </w:pPr>
      <w:r>
        <w:rPr>
          <w:b/>
          <w:sz w:val="24"/>
          <w:szCs w:val="24"/>
        </w:rPr>
        <w:tab/>
        <w:t xml:space="preserve">Art. </w:t>
      </w:r>
      <w:r>
        <w:rPr>
          <w:b/>
          <w:bCs/>
          <w:sz w:val="24"/>
          <w:szCs w:val="24"/>
        </w:rPr>
        <w:t>2.1.3.</w:t>
      </w:r>
      <w:r>
        <w:rPr>
          <w:b/>
          <w:sz w:val="24"/>
          <w:szCs w:val="24"/>
        </w:rPr>
        <w:t>4.</w:t>
      </w:r>
      <w:r>
        <w:rPr>
          <w:sz w:val="24"/>
          <w:szCs w:val="24"/>
        </w:rPr>
        <w:t xml:space="preserve">  La determinarea nivelului de stabilitate la incendiu al construcţiei sau al compartimentului de incendiu, nu se iau în considerare următoarele:</w:t>
      </w:r>
    </w:p>
    <w:p w14:paraId="76B7395A" w14:textId="77777777" w:rsidR="001C08A5" w:rsidRDefault="00000000">
      <w:pPr>
        <w:ind w:firstLine="720"/>
        <w:jc w:val="both"/>
        <w:rPr>
          <w:sz w:val="24"/>
          <w:szCs w:val="24"/>
        </w:rPr>
      </w:pPr>
      <w:r>
        <w:rPr>
          <w:b/>
          <w:sz w:val="24"/>
          <w:szCs w:val="24"/>
        </w:rPr>
        <w:t>a)</w:t>
      </w:r>
      <w:r>
        <w:rPr>
          <w:sz w:val="24"/>
          <w:szCs w:val="24"/>
        </w:rPr>
        <w:t xml:space="preserve"> şarpanta şi suportul învelitorii construcţiilor cu pod (</w:t>
      </w:r>
      <w:r>
        <w:rPr>
          <w:b/>
          <w:bCs/>
          <w:i/>
          <w:iCs/>
          <w:sz w:val="24"/>
          <w:szCs w:val="24"/>
        </w:rPr>
        <w:fldChar w:fldCharType="begin"/>
      </w:r>
      <w:r>
        <w:rPr>
          <w:b/>
          <w:bCs/>
          <w:i/>
          <w:iCs/>
          <w:sz w:val="24"/>
          <w:szCs w:val="24"/>
        </w:rPr>
        <w:instrText xml:space="preserve"> REF _Ref8225 \h </w:instrText>
      </w:r>
      <w:r>
        <w:rPr>
          <w:b/>
          <w:bCs/>
          <w:i/>
          <w:iCs/>
          <w:sz w:val="24"/>
          <w:szCs w:val="24"/>
        </w:rPr>
      </w:r>
      <w:r>
        <w:rPr>
          <w:b/>
          <w:bCs/>
          <w:i/>
          <w:iCs/>
          <w:sz w:val="24"/>
          <w:szCs w:val="24"/>
        </w:rPr>
        <w:fldChar w:fldCharType="separate"/>
      </w:r>
      <w:r>
        <w:t>Figura 27</w:t>
      </w:r>
      <w:r>
        <w:rPr>
          <w:b/>
          <w:bCs/>
          <w:i/>
          <w:iCs/>
          <w:sz w:val="24"/>
          <w:szCs w:val="24"/>
        </w:rPr>
        <w:fldChar w:fldCharType="end"/>
      </w:r>
      <w:r>
        <w:rPr>
          <w:sz w:val="24"/>
          <w:szCs w:val="24"/>
        </w:rPr>
        <w:t>):</w:t>
      </w:r>
    </w:p>
    <w:p w14:paraId="6E201A38" w14:textId="77777777" w:rsidR="001C08A5" w:rsidRDefault="00000000">
      <w:pPr>
        <w:ind w:left="1418" w:firstLine="713"/>
        <w:jc w:val="both"/>
        <w:rPr>
          <w:sz w:val="24"/>
          <w:szCs w:val="24"/>
        </w:rPr>
      </w:pPr>
      <w:r>
        <w:rPr>
          <w:sz w:val="24"/>
          <w:szCs w:val="24"/>
        </w:rPr>
        <w:t xml:space="preserve">- pentru nivelul </w:t>
      </w:r>
      <w:r>
        <w:rPr>
          <w:b/>
          <w:sz w:val="24"/>
          <w:szCs w:val="24"/>
        </w:rPr>
        <w:t>I</w:t>
      </w:r>
      <w:r>
        <w:rPr>
          <w:sz w:val="24"/>
          <w:szCs w:val="24"/>
        </w:rPr>
        <w:t xml:space="preserve"> de stabilitate la incendiu, dacă planşeul spre pod are rezistenţa la foc </w:t>
      </w:r>
      <w:r>
        <w:rPr>
          <w:b/>
          <w:sz w:val="24"/>
          <w:szCs w:val="24"/>
        </w:rPr>
        <w:t xml:space="preserve">REI 90 </w:t>
      </w:r>
      <w:r>
        <w:rPr>
          <w:bCs/>
          <w:sz w:val="24"/>
          <w:szCs w:val="24"/>
        </w:rPr>
        <w:t>și</w:t>
      </w:r>
      <w:r>
        <w:rPr>
          <w:b/>
          <w:sz w:val="24"/>
          <w:szCs w:val="24"/>
        </w:rPr>
        <w:t xml:space="preserve"> </w:t>
      </w:r>
      <w:r>
        <w:rPr>
          <w:sz w:val="24"/>
          <w:szCs w:val="24"/>
        </w:rPr>
        <w:t xml:space="preserve">nu este suspendat de şarpanta acoperişului, iar golurile din planşeul spre pod sunt protejate cu elemente de închidere rezistente la foc minimum </w:t>
      </w:r>
      <w:r>
        <w:rPr>
          <w:b/>
          <w:sz w:val="24"/>
          <w:szCs w:val="24"/>
        </w:rPr>
        <w:t>EI 90</w:t>
      </w:r>
      <w:r>
        <w:rPr>
          <w:sz w:val="24"/>
          <w:szCs w:val="24"/>
        </w:rPr>
        <w:t xml:space="preserve">, normal închise; </w:t>
      </w:r>
    </w:p>
    <w:p w14:paraId="609ABF2B" w14:textId="77777777" w:rsidR="001C08A5" w:rsidRDefault="00000000">
      <w:pPr>
        <w:ind w:left="1418" w:firstLine="713"/>
        <w:jc w:val="both"/>
        <w:rPr>
          <w:sz w:val="24"/>
          <w:szCs w:val="24"/>
        </w:rPr>
      </w:pPr>
      <w:r>
        <w:rPr>
          <w:sz w:val="24"/>
          <w:szCs w:val="24"/>
        </w:rPr>
        <w:t xml:space="preserve">- pentru nivelul </w:t>
      </w:r>
      <w:r>
        <w:rPr>
          <w:b/>
          <w:sz w:val="24"/>
          <w:szCs w:val="24"/>
        </w:rPr>
        <w:t>II</w:t>
      </w:r>
      <w:r>
        <w:rPr>
          <w:sz w:val="24"/>
          <w:szCs w:val="24"/>
        </w:rPr>
        <w:t xml:space="preserve"> de stabilitate la incendiu, dacă planşeul spre pod are rezistenţa la foc </w:t>
      </w:r>
      <w:r>
        <w:rPr>
          <w:b/>
          <w:sz w:val="24"/>
          <w:szCs w:val="24"/>
        </w:rPr>
        <w:t>REI 60</w:t>
      </w:r>
      <w:r>
        <w:rPr>
          <w:sz w:val="24"/>
          <w:szCs w:val="24"/>
        </w:rPr>
        <w:t xml:space="preserve"> și nu este suspendat de şarpanta acoperişului, iar golurile din planşeul spre pod sunt protejate cu elemente de închidere rezistente la foc minimum </w:t>
      </w:r>
      <w:r>
        <w:rPr>
          <w:b/>
          <w:sz w:val="24"/>
          <w:szCs w:val="24"/>
        </w:rPr>
        <w:t>EI 60</w:t>
      </w:r>
      <w:r>
        <w:rPr>
          <w:sz w:val="24"/>
          <w:szCs w:val="24"/>
        </w:rPr>
        <w:t xml:space="preserve">, normal închise; </w:t>
      </w:r>
    </w:p>
    <w:p w14:paraId="2BA4B2F5" w14:textId="77777777" w:rsidR="001C08A5" w:rsidRDefault="00000000">
      <w:pPr>
        <w:ind w:left="1418" w:firstLine="713"/>
        <w:jc w:val="both"/>
        <w:rPr>
          <w:sz w:val="24"/>
          <w:szCs w:val="24"/>
        </w:rPr>
      </w:pPr>
      <w:r>
        <w:rPr>
          <w:sz w:val="24"/>
          <w:szCs w:val="24"/>
        </w:rPr>
        <w:t xml:space="preserve">- pentru nivelul </w:t>
      </w:r>
      <w:r>
        <w:rPr>
          <w:b/>
          <w:sz w:val="24"/>
          <w:szCs w:val="24"/>
        </w:rPr>
        <w:t>III</w:t>
      </w:r>
      <w:r>
        <w:rPr>
          <w:sz w:val="24"/>
          <w:szCs w:val="24"/>
        </w:rPr>
        <w:t xml:space="preserve"> de stabilitate la incendiu, dacă planşeul spre pod are rezistenţa la foc </w:t>
      </w:r>
      <w:r>
        <w:rPr>
          <w:b/>
          <w:sz w:val="24"/>
          <w:szCs w:val="24"/>
        </w:rPr>
        <w:t>REI 45</w:t>
      </w:r>
      <w:r>
        <w:rPr>
          <w:sz w:val="24"/>
          <w:szCs w:val="24"/>
        </w:rPr>
        <w:t xml:space="preserve"> și nu este suspendat de şarpanta acoperişului, iar golurile din planşeul spre pod sunt protejate cu elemente de închidere rezistente la foc minimum </w:t>
      </w:r>
      <w:r>
        <w:rPr>
          <w:b/>
          <w:sz w:val="24"/>
          <w:szCs w:val="24"/>
        </w:rPr>
        <w:t>EI 45</w:t>
      </w:r>
      <w:r>
        <w:rPr>
          <w:sz w:val="24"/>
          <w:szCs w:val="24"/>
        </w:rPr>
        <w:t xml:space="preserve">, normal închise; </w:t>
      </w:r>
    </w:p>
    <w:p w14:paraId="68722EC7" w14:textId="77777777" w:rsidR="001C08A5" w:rsidRDefault="00000000">
      <w:pPr>
        <w:ind w:left="1418" w:firstLine="713"/>
        <w:jc w:val="both"/>
        <w:rPr>
          <w:sz w:val="24"/>
          <w:szCs w:val="24"/>
        </w:rPr>
      </w:pPr>
      <w:r>
        <w:rPr>
          <w:sz w:val="24"/>
          <w:szCs w:val="24"/>
        </w:rPr>
        <w:t xml:space="preserve">- pentru nivelul </w:t>
      </w:r>
      <w:r>
        <w:rPr>
          <w:b/>
          <w:sz w:val="24"/>
          <w:szCs w:val="24"/>
        </w:rPr>
        <w:t>IV</w:t>
      </w:r>
      <w:r>
        <w:rPr>
          <w:sz w:val="24"/>
          <w:szCs w:val="24"/>
        </w:rPr>
        <w:t xml:space="preserve"> de stabilitate la incendiu la care elementele componente ale structurii (stâlpi, grinzi, pereți structurali) au rezistența la foc de </w:t>
      </w:r>
      <w:r>
        <w:rPr>
          <w:b/>
          <w:bCs/>
          <w:sz w:val="24"/>
          <w:szCs w:val="24"/>
        </w:rPr>
        <w:t>30</w:t>
      </w:r>
      <w:r>
        <w:rPr>
          <w:sz w:val="24"/>
          <w:szCs w:val="24"/>
        </w:rPr>
        <w:t xml:space="preserve"> minute, dacă planşeul spre pod are rezistenţa la foc </w:t>
      </w:r>
      <w:r>
        <w:rPr>
          <w:b/>
          <w:sz w:val="24"/>
          <w:szCs w:val="24"/>
        </w:rPr>
        <w:t>REI 30</w:t>
      </w:r>
      <w:r>
        <w:rPr>
          <w:sz w:val="24"/>
          <w:szCs w:val="24"/>
        </w:rPr>
        <w:t xml:space="preserve"> și nu este suspendat de şarpanta </w:t>
      </w:r>
      <w:r>
        <w:rPr>
          <w:sz w:val="24"/>
          <w:szCs w:val="24"/>
        </w:rPr>
        <w:lastRenderedPageBreak/>
        <w:t xml:space="preserve">acoperişului, iar golurile din planşeul spre pod sunt protejate cu elemente de închidere rezistente la foc minimum </w:t>
      </w:r>
      <w:r>
        <w:rPr>
          <w:b/>
          <w:sz w:val="24"/>
          <w:szCs w:val="24"/>
        </w:rPr>
        <w:t>EI 30</w:t>
      </w:r>
      <w:r>
        <w:rPr>
          <w:sz w:val="24"/>
          <w:szCs w:val="24"/>
        </w:rPr>
        <w:t xml:space="preserve">, normal închise; </w:t>
      </w:r>
    </w:p>
    <w:p w14:paraId="7F7976F5" w14:textId="77777777" w:rsidR="001C08A5" w:rsidRDefault="00000000">
      <w:pPr>
        <w:ind w:left="1418" w:firstLine="713"/>
        <w:jc w:val="both"/>
        <w:rPr>
          <w:lang w:eastAsia="ro-RO"/>
        </w:rPr>
      </w:pPr>
      <w:r>
        <w:rPr>
          <w:bCs/>
          <w:sz w:val="24"/>
          <w:szCs w:val="24"/>
        </w:rPr>
        <w:t xml:space="preserve">- pentru nivelul </w:t>
      </w:r>
      <w:r>
        <w:rPr>
          <w:b/>
          <w:bCs/>
          <w:sz w:val="24"/>
          <w:szCs w:val="24"/>
        </w:rPr>
        <w:t>V</w:t>
      </w:r>
      <w:r>
        <w:rPr>
          <w:bCs/>
          <w:sz w:val="24"/>
          <w:szCs w:val="24"/>
        </w:rPr>
        <w:t xml:space="preserve"> de stabilitate la incendiu (pentru situațiile prevăzute la </w:t>
      </w:r>
      <w:r>
        <w:rPr>
          <w:b/>
          <w:bCs/>
          <w:i/>
          <w:sz w:val="24"/>
          <w:szCs w:val="24"/>
        </w:rPr>
        <w:t xml:space="preserve">Nota (3) de la </w:t>
      </w:r>
      <w:r>
        <w:rPr>
          <w:b/>
          <w:bCs/>
          <w:i/>
          <w:sz w:val="24"/>
          <w:szCs w:val="24"/>
        </w:rPr>
        <w:fldChar w:fldCharType="begin"/>
      </w:r>
      <w:r>
        <w:rPr>
          <w:b/>
          <w:bCs/>
          <w:i/>
          <w:sz w:val="24"/>
          <w:szCs w:val="24"/>
        </w:rPr>
        <w:instrText xml:space="preserve"> REF _Ref26891 \h </w:instrText>
      </w:r>
      <w:r>
        <w:rPr>
          <w:b/>
          <w:bCs/>
          <w:i/>
          <w:sz w:val="24"/>
          <w:szCs w:val="24"/>
        </w:rPr>
      </w:r>
      <w:r>
        <w:rPr>
          <w:b/>
          <w:bCs/>
          <w:i/>
          <w:sz w:val="24"/>
          <w:szCs w:val="24"/>
        </w:rPr>
        <w:fldChar w:fldCharType="separate"/>
      </w:r>
      <w:r>
        <w:t>Tabelul 42: Condiţii de corelare între destinaţie, capacitatea maximă simultană şi numărul de niveluri supraterane ale clădirilor civile, cu nivel de stabilitate la incendiu III, IV sau V</w:t>
      </w:r>
      <w:r>
        <w:rPr>
          <w:b/>
          <w:bCs/>
          <w:i/>
          <w:sz w:val="24"/>
          <w:szCs w:val="24"/>
        </w:rPr>
        <w:fldChar w:fldCharType="end"/>
      </w:r>
      <w:r>
        <w:rPr>
          <w:b/>
          <w:bCs/>
          <w:i/>
          <w:sz w:val="24"/>
          <w:szCs w:val="24"/>
        </w:rPr>
        <w:t xml:space="preserve"> </w:t>
      </w:r>
      <w:r>
        <w:rPr>
          <w:bCs/>
          <w:iCs/>
          <w:sz w:val="24"/>
          <w:szCs w:val="24"/>
        </w:rPr>
        <w:t xml:space="preserve">, </w:t>
      </w:r>
      <w:r>
        <w:rPr>
          <w:bCs/>
          <w:sz w:val="24"/>
          <w:szCs w:val="24"/>
        </w:rPr>
        <w:t xml:space="preserve">pentru nivelul de stabilitate la incendiu </w:t>
      </w:r>
      <w:r>
        <w:rPr>
          <w:b/>
          <w:bCs/>
          <w:sz w:val="24"/>
          <w:szCs w:val="24"/>
        </w:rPr>
        <w:t>V</w:t>
      </w:r>
      <w:r>
        <w:rPr>
          <w:bCs/>
          <w:sz w:val="24"/>
          <w:szCs w:val="24"/>
        </w:rPr>
        <w:t>), dacă planşeul spre pod are rezistenţa la foc</w:t>
      </w:r>
      <w:r>
        <w:rPr>
          <w:sz w:val="24"/>
          <w:szCs w:val="24"/>
        </w:rPr>
        <w:t xml:space="preserve"> </w:t>
      </w:r>
      <w:r>
        <w:rPr>
          <w:b/>
          <w:bCs/>
          <w:sz w:val="24"/>
          <w:szCs w:val="24"/>
        </w:rPr>
        <w:t>REI 15</w:t>
      </w:r>
      <w:r>
        <w:rPr>
          <w:bCs/>
          <w:sz w:val="24"/>
          <w:szCs w:val="24"/>
        </w:rPr>
        <w:t xml:space="preserve"> și nu este suspendat de şarpanta acoperişului, iar golurile din planşeul spre pod sunt protejate cu elemente de închidere rezistente la foc minimum</w:t>
      </w:r>
      <w:r>
        <w:rPr>
          <w:sz w:val="24"/>
          <w:szCs w:val="24"/>
        </w:rPr>
        <w:t xml:space="preserve"> </w:t>
      </w:r>
      <w:r>
        <w:rPr>
          <w:b/>
          <w:bCs/>
          <w:sz w:val="24"/>
          <w:szCs w:val="24"/>
        </w:rPr>
        <w:t>EI 15</w:t>
      </w:r>
      <w:r>
        <w:rPr>
          <w:bCs/>
          <w:sz w:val="24"/>
          <w:szCs w:val="24"/>
        </w:rPr>
        <w:t>, normal închise.</w:t>
      </w:r>
    </w:p>
    <w:p w14:paraId="71D5A011" w14:textId="77777777" w:rsidR="001C08A5" w:rsidRDefault="00000000">
      <w:pPr>
        <w:pStyle w:val="Default"/>
        <w:jc w:val="center"/>
        <w:rPr>
          <w:color w:val="auto"/>
          <w:lang w:val="ro-RO" w:eastAsia="ro-RO"/>
        </w:rPr>
      </w:pPr>
      <w:r>
        <w:rPr>
          <w:noProof/>
        </w:rPr>
        <w:drawing>
          <wp:inline distT="0" distB="0" distL="114300" distR="114300" wp14:anchorId="264910E3" wp14:editId="5C199E58">
            <wp:extent cx="5117465" cy="2140585"/>
            <wp:effectExtent l="0" t="0" r="6985" b="12065"/>
            <wp:docPr id="4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12"/>
                    <pic:cNvPicPr>
                      <a:picLocks noChangeAspect="1"/>
                    </pic:cNvPicPr>
                  </pic:nvPicPr>
                  <pic:blipFill>
                    <a:blip r:embed="rId103"/>
                    <a:srcRect l="18649" r="13560" b="50339"/>
                    <a:stretch>
                      <a:fillRect/>
                    </a:stretch>
                  </pic:blipFill>
                  <pic:spPr>
                    <a:xfrm>
                      <a:off x="0" y="0"/>
                      <a:ext cx="5117465" cy="2140585"/>
                    </a:xfrm>
                    <a:prstGeom prst="rect">
                      <a:avLst/>
                    </a:prstGeom>
                    <a:noFill/>
                    <a:ln>
                      <a:noFill/>
                    </a:ln>
                  </pic:spPr>
                </pic:pic>
              </a:graphicData>
            </a:graphic>
          </wp:inline>
        </w:drawing>
      </w:r>
    </w:p>
    <w:p w14:paraId="2B6AB12D" w14:textId="77777777" w:rsidR="001C08A5" w:rsidRDefault="00000000">
      <w:pPr>
        <w:pStyle w:val="Default"/>
        <w:jc w:val="center"/>
        <w:rPr>
          <w:color w:val="auto"/>
          <w:lang w:val="ro-RO" w:eastAsia="ro-RO"/>
        </w:rPr>
      </w:pPr>
      <w:r>
        <w:rPr>
          <w:rFonts w:ascii="Times New Roman" w:hAnsi="Times New Roman" w:cs="Times New Roman"/>
          <w:b/>
          <w:bCs/>
          <w:i/>
          <w:iCs/>
          <w:color w:val="auto"/>
          <w:sz w:val="22"/>
          <w:szCs w:val="22"/>
          <w:lang w:val="ro-RO"/>
        </w:rPr>
        <w:t xml:space="preserve">a.1) Variantă admisibilă nerecomandată, </w:t>
      </w:r>
      <w:r>
        <w:rPr>
          <w:rFonts w:ascii="Times New Roman" w:hAnsi="Times New Roman" w:cs="Times New Roman"/>
          <w:b/>
          <w:bCs/>
          <w:i/>
          <w:iCs/>
          <w:color w:val="auto"/>
          <w:sz w:val="22"/>
          <w:szCs w:val="22"/>
          <w:highlight w:val="yellow"/>
          <w:lang w:val="ro-RO"/>
        </w:rPr>
        <w:t>necesar a fi</w:t>
      </w:r>
      <w:r>
        <w:rPr>
          <w:rFonts w:ascii="Times New Roman" w:hAnsi="Times New Roman" w:cs="Times New Roman"/>
          <w:b/>
          <w:bCs/>
          <w:i/>
          <w:iCs/>
          <w:color w:val="auto"/>
          <w:sz w:val="22"/>
          <w:szCs w:val="22"/>
          <w:lang w:val="ro-RO"/>
        </w:rPr>
        <w:t xml:space="preserve"> justificată tehnic privind propagarea incendiului la șarpantă </w:t>
      </w:r>
      <w:bookmarkStart w:id="656" w:name="_Ref28987"/>
    </w:p>
    <w:p w14:paraId="371BCEB6" w14:textId="77777777" w:rsidR="001C08A5" w:rsidRDefault="00000000">
      <w:pPr>
        <w:pStyle w:val="Default"/>
        <w:jc w:val="center"/>
        <w:rPr>
          <w:color w:val="auto"/>
          <w:lang w:val="ro-RO" w:eastAsia="ro-RO"/>
        </w:rPr>
      </w:pPr>
      <w:r>
        <w:rPr>
          <w:noProof/>
        </w:rPr>
        <w:drawing>
          <wp:inline distT="0" distB="0" distL="114300" distR="114300" wp14:anchorId="5DDC738D" wp14:editId="6D49E367">
            <wp:extent cx="5117465" cy="2142490"/>
            <wp:effectExtent l="0" t="0" r="6985" b="10160"/>
            <wp:docPr id="4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12"/>
                    <pic:cNvPicPr>
                      <a:picLocks noChangeAspect="1"/>
                    </pic:cNvPicPr>
                  </pic:nvPicPr>
                  <pic:blipFill>
                    <a:blip r:embed="rId103"/>
                    <a:srcRect l="18649" t="50295" r="13560"/>
                    <a:stretch>
                      <a:fillRect/>
                    </a:stretch>
                  </pic:blipFill>
                  <pic:spPr>
                    <a:xfrm>
                      <a:off x="0" y="0"/>
                      <a:ext cx="5117465" cy="2142490"/>
                    </a:xfrm>
                    <a:prstGeom prst="rect">
                      <a:avLst/>
                    </a:prstGeom>
                    <a:noFill/>
                    <a:ln>
                      <a:noFill/>
                    </a:ln>
                  </pic:spPr>
                </pic:pic>
              </a:graphicData>
            </a:graphic>
          </wp:inline>
        </w:drawing>
      </w:r>
    </w:p>
    <w:p w14:paraId="40D5DAE8"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 xml:space="preserve">a.2) Variantă admisibilă, </w:t>
      </w:r>
      <w:r>
        <w:rPr>
          <w:rFonts w:ascii="Times New Roman" w:hAnsi="Times New Roman" w:cs="Times New Roman"/>
          <w:b/>
          <w:bCs/>
          <w:i/>
          <w:iCs/>
          <w:color w:val="auto"/>
          <w:sz w:val="22"/>
          <w:szCs w:val="22"/>
          <w:highlight w:val="yellow"/>
          <w:lang w:val="ro-RO"/>
        </w:rPr>
        <w:t>necesar a fi</w:t>
      </w:r>
      <w:r>
        <w:rPr>
          <w:rFonts w:ascii="Times New Roman" w:hAnsi="Times New Roman" w:cs="Times New Roman"/>
          <w:b/>
          <w:bCs/>
          <w:i/>
          <w:iCs/>
          <w:color w:val="auto"/>
          <w:sz w:val="22"/>
          <w:szCs w:val="22"/>
          <w:lang w:val="ro-RO"/>
        </w:rPr>
        <w:t xml:space="preserve"> justificată tehnic privind propagarea incendiului la șarpantă</w:t>
      </w:r>
    </w:p>
    <w:p w14:paraId="673BD85C" w14:textId="77777777" w:rsidR="001C08A5" w:rsidRDefault="001C08A5">
      <w:pPr>
        <w:pStyle w:val="Default"/>
        <w:jc w:val="both"/>
        <w:rPr>
          <w:color w:val="auto"/>
          <w:lang w:val="ro-RO" w:eastAsia="ro-RO"/>
        </w:rPr>
      </w:pPr>
    </w:p>
    <w:p w14:paraId="7DE838B4" w14:textId="77777777" w:rsidR="001C08A5" w:rsidRDefault="00000000">
      <w:pPr>
        <w:pStyle w:val="Default"/>
        <w:jc w:val="center"/>
        <w:rPr>
          <w:color w:val="auto"/>
          <w:lang w:val="ro-RO" w:eastAsia="ro-RO"/>
        </w:rPr>
      </w:pPr>
      <w:r>
        <w:rPr>
          <w:noProof/>
        </w:rPr>
        <w:drawing>
          <wp:inline distT="0" distB="0" distL="114300" distR="114300" wp14:anchorId="46A5D7EF" wp14:editId="6359CCDB">
            <wp:extent cx="5113655" cy="2129155"/>
            <wp:effectExtent l="0" t="0" r="10795" b="4445"/>
            <wp:docPr id="4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13"/>
                    <pic:cNvPicPr>
                      <a:picLocks noChangeAspect="1"/>
                    </pic:cNvPicPr>
                  </pic:nvPicPr>
                  <pic:blipFill>
                    <a:blip r:embed="rId104"/>
                    <a:srcRect l="18743" r="13602" b="50604"/>
                    <a:stretch>
                      <a:fillRect/>
                    </a:stretch>
                  </pic:blipFill>
                  <pic:spPr>
                    <a:xfrm>
                      <a:off x="0" y="0"/>
                      <a:ext cx="5113655" cy="2129155"/>
                    </a:xfrm>
                    <a:prstGeom prst="rect">
                      <a:avLst/>
                    </a:prstGeom>
                    <a:noFill/>
                    <a:ln>
                      <a:noFill/>
                    </a:ln>
                  </pic:spPr>
                </pic:pic>
              </a:graphicData>
            </a:graphic>
          </wp:inline>
        </w:drawing>
      </w:r>
    </w:p>
    <w:p w14:paraId="50D45830" w14:textId="77777777" w:rsidR="001C08A5" w:rsidRDefault="00000000">
      <w:pPr>
        <w:pStyle w:val="Default"/>
        <w:jc w:val="center"/>
        <w:rPr>
          <w:color w:val="auto"/>
          <w:lang w:val="ro-RO"/>
        </w:rPr>
      </w:pPr>
      <w:r>
        <w:rPr>
          <w:rFonts w:ascii="Times New Roman" w:hAnsi="Times New Roman" w:cs="Times New Roman"/>
          <w:b/>
          <w:bCs/>
          <w:i/>
          <w:iCs/>
          <w:color w:val="auto"/>
          <w:sz w:val="22"/>
          <w:szCs w:val="22"/>
          <w:lang w:val="ro-RO"/>
        </w:rPr>
        <w:t>a.3) Variantă recomandată</w:t>
      </w:r>
    </w:p>
    <w:p w14:paraId="7D47FA95" w14:textId="77777777" w:rsidR="001C08A5" w:rsidRDefault="00000000">
      <w:pPr>
        <w:pStyle w:val="Default"/>
        <w:jc w:val="center"/>
        <w:rPr>
          <w:color w:val="auto"/>
          <w:lang w:val="ro-RO"/>
        </w:rPr>
      </w:pPr>
      <w:r>
        <w:rPr>
          <w:noProof/>
        </w:rPr>
        <w:lastRenderedPageBreak/>
        <w:drawing>
          <wp:inline distT="0" distB="0" distL="114300" distR="114300" wp14:anchorId="0714D005" wp14:editId="447CF6DB">
            <wp:extent cx="5113655" cy="2136775"/>
            <wp:effectExtent l="0" t="0" r="10795" b="15875"/>
            <wp:docPr id="4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13"/>
                    <pic:cNvPicPr>
                      <a:picLocks noChangeAspect="1"/>
                    </pic:cNvPicPr>
                  </pic:nvPicPr>
                  <pic:blipFill>
                    <a:blip r:embed="rId104"/>
                    <a:srcRect l="18743" t="50427" r="13602"/>
                    <a:stretch>
                      <a:fillRect/>
                    </a:stretch>
                  </pic:blipFill>
                  <pic:spPr>
                    <a:xfrm>
                      <a:off x="0" y="0"/>
                      <a:ext cx="5113655" cy="2136775"/>
                    </a:xfrm>
                    <a:prstGeom prst="rect">
                      <a:avLst/>
                    </a:prstGeom>
                    <a:noFill/>
                    <a:ln>
                      <a:noFill/>
                    </a:ln>
                  </pic:spPr>
                </pic:pic>
              </a:graphicData>
            </a:graphic>
          </wp:inline>
        </w:drawing>
      </w:r>
    </w:p>
    <w:p w14:paraId="4D651B77"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a.4) Variantă recomandată</w:t>
      </w:r>
    </w:p>
    <w:p w14:paraId="3ADB8F74" w14:textId="77777777" w:rsidR="001C08A5" w:rsidRDefault="001C08A5">
      <w:pPr>
        <w:pStyle w:val="Default"/>
        <w:jc w:val="center"/>
        <w:rPr>
          <w:rFonts w:ascii="Times New Roman" w:hAnsi="Times New Roman" w:cs="Times New Roman"/>
          <w:b/>
          <w:bCs/>
          <w:i/>
          <w:iCs/>
          <w:color w:val="auto"/>
          <w:sz w:val="10"/>
          <w:szCs w:val="10"/>
          <w:lang w:val="ro-RO"/>
        </w:rPr>
      </w:pPr>
    </w:p>
    <w:p w14:paraId="141B2C36" w14:textId="77777777" w:rsidR="001C08A5" w:rsidRDefault="00000000">
      <w:pPr>
        <w:pStyle w:val="Default"/>
        <w:numPr>
          <w:ilvl w:val="0"/>
          <w:numId w:val="30"/>
        </w:numPr>
        <w:jc w:val="center"/>
        <w:rPr>
          <w:rFonts w:ascii="Times New Roman" w:hAnsi="Times New Roman" w:cs="Times New Roman"/>
          <w:b/>
          <w:bCs/>
          <w:i/>
          <w:iCs/>
          <w:color w:val="auto"/>
          <w:lang w:eastAsia="en-GB"/>
        </w:rPr>
      </w:pPr>
      <w:r>
        <w:rPr>
          <w:rFonts w:ascii="Times New Roman" w:hAnsi="Times New Roman" w:cs="Times New Roman"/>
          <w:b/>
          <w:bCs/>
          <w:i/>
          <w:iCs/>
          <w:color w:val="auto"/>
        </w:rPr>
        <w:t>delimitare</w:t>
      </w:r>
      <w:r>
        <w:rPr>
          <w:rFonts w:ascii="Times New Roman" w:hAnsi="Times New Roman" w:cs="Times New Roman"/>
          <w:b/>
          <w:bCs/>
          <w:i/>
          <w:iCs/>
          <w:color w:val="auto"/>
          <w:lang w:val="ro-RO"/>
        </w:rPr>
        <w:t>a ș</w:t>
      </w:r>
      <w:r>
        <w:rPr>
          <w:rFonts w:ascii="Times New Roman" w:hAnsi="Times New Roman" w:cs="Times New Roman"/>
          <w:b/>
          <w:bCs/>
          <w:i/>
          <w:iCs/>
          <w:color w:val="auto"/>
        </w:rPr>
        <w:t>arpant</w:t>
      </w:r>
      <w:r>
        <w:rPr>
          <w:rFonts w:ascii="Times New Roman" w:hAnsi="Times New Roman" w:cs="Times New Roman"/>
          <w:b/>
          <w:bCs/>
          <w:i/>
          <w:iCs/>
          <w:color w:val="auto"/>
          <w:lang w:val="ro-RO"/>
        </w:rPr>
        <w:t xml:space="preserve">ei </w:t>
      </w:r>
      <w:r>
        <w:rPr>
          <w:rFonts w:ascii="Times New Roman" w:hAnsi="Times New Roman" w:cs="Times New Roman"/>
          <w:b/>
          <w:bCs/>
          <w:i/>
          <w:iCs/>
          <w:color w:val="auto"/>
          <w:lang w:eastAsia="en-GB"/>
        </w:rPr>
        <w:t>acoperișului cu pod</w:t>
      </w:r>
      <w:r>
        <w:rPr>
          <w:rFonts w:ascii="Times New Roman" w:hAnsi="Times New Roman" w:cs="Times New Roman"/>
          <w:b/>
          <w:bCs/>
          <w:i/>
          <w:iCs/>
          <w:color w:val="auto"/>
          <w:lang w:val="ro-RO" w:eastAsia="en-GB"/>
        </w:rPr>
        <w:t xml:space="preserve"> (exemple)</w:t>
      </w:r>
    </w:p>
    <w:p w14:paraId="717BC9A3" w14:textId="77777777" w:rsidR="001C08A5" w:rsidRDefault="001C08A5">
      <w:pPr>
        <w:pStyle w:val="Default"/>
        <w:jc w:val="both"/>
        <w:rPr>
          <w:color w:val="auto"/>
          <w:lang w:val="ro-RO" w:eastAsia="ro-RO"/>
        </w:rPr>
      </w:pPr>
    </w:p>
    <w:p w14:paraId="34F370FF" w14:textId="77777777" w:rsidR="001C08A5" w:rsidRDefault="00000000">
      <w:pPr>
        <w:pStyle w:val="Default"/>
        <w:jc w:val="center"/>
        <w:rPr>
          <w:color w:val="auto"/>
          <w:lang w:val="ro-RO" w:eastAsia="ro-RO"/>
        </w:rPr>
      </w:pPr>
      <w:r>
        <w:rPr>
          <w:noProof/>
        </w:rPr>
        <w:drawing>
          <wp:inline distT="0" distB="0" distL="114300" distR="114300" wp14:anchorId="0916FB64" wp14:editId="51B6D7E9">
            <wp:extent cx="4000500" cy="1585595"/>
            <wp:effectExtent l="0" t="0" r="0" b="14605"/>
            <wp:docPr id="4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15"/>
                    <pic:cNvPicPr>
                      <a:picLocks noChangeAspect="1"/>
                    </pic:cNvPicPr>
                  </pic:nvPicPr>
                  <pic:blipFill>
                    <a:blip r:embed="rId105"/>
                    <a:srcRect l="25860" t="4784" r="21177" b="52858"/>
                    <a:stretch>
                      <a:fillRect/>
                    </a:stretch>
                  </pic:blipFill>
                  <pic:spPr>
                    <a:xfrm>
                      <a:off x="0" y="0"/>
                      <a:ext cx="4000500" cy="1585595"/>
                    </a:xfrm>
                    <a:prstGeom prst="rect">
                      <a:avLst/>
                    </a:prstGeom>
                    <a:noFill/>
                    <a:ln>
                      <a:noFill/>
                    </a:ln>
                  </pic:spPr>
                </pic:pic>
              </a:graphicData>
            </a:graphic>
          </wp:inline>
        </w:drawing>
      </w:r>
    </w:p>
    <w:tbl>
      <w:tblPr>
        <w:tblW w:w="0" w:type="auto"/>
        <w:tblInd w:w="1760" w:type="dxa"/>
        <w:tblLook w:val="04A0" w:firstRow="1" w:lastRow="0" w:firstColumn="1" w:lastColumn="0" w:noHBand="0" w:noVBand="1"/>
      </w:tblPr>
      <w:tblGrid>
        <w:gridCol w:w="3167"/>
        <w:gridCol w:w="3174"/>
      </w:tblGrid>
      <w:tr w:rsidR="001C08A5" w14:paraId="23D91BFD" w14:textId="77777777">
        <w:tc>
          <w:tcPr>
            <w:tcW w:w="3167" w:type="dxa"/>
          </w:tcPr>
          <w:p w14:paraId="7A42A6FF"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 xml:space="preserve">b.1) Variantă admisibilă, nerecomandată </w:t>
            </w:r>
          </w:p>
        </w:tc>
        <w:tc>
          <w:tcPr>
            <w:tcW w:w="3174" w:type="dxa"/>
          </w:tcPr>
          <w:p w14:paraId="6A0D85F6"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b.2) Variantă admisibilă</w:t>
            </w:r>
          </w:p>
        </w:tc>
      </w:tr>
    </w:tbl>
    <w:p w14:paraId="5B1388C8" w14:textId="77777777" w:rsidR="001C08A5" w:rsidRDefault="00000000">
      <w:pPr>
        <w:pStyle w:val="Default"/>
        <w:jc w:val="center"/>
        <w:rPr>
          <w:color w:val="auto"/>
        </w:rPr>
      </w:pPr>
      <w:r>
        <w:rPr>
          <w:noProof/>
        </w:rPr>
        <w:drawing>
          <wp:inline distT="0" distB="0" distL="114300" distR="114300" wp14:anchorId="6E85E267" wp14:editId="214B84AD">
            <wp:extent cx="4000500" cy="1591310"/>
            <wp:effectExtent l="0" t="0" r="0" b="8890"/>
            <wp:docPr id="4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15"/>
                    <pic:cNvPicPr>
                      <a:picLocks noChangeAspect="1"/>
                    </pic:cNvPicPr>
                  </pic:nvPicPr>
                  <pic:blipFill>
                    <a:blip r:embed="rId105"/>
                    <a:srcRect l="25860" t="49635" r="21177" b="7854"/>
                    <a:stretch>
                      <a:fillRect/>
                    </a:stretch>
                  </pic:blipFill>
                  <pic:spPr>
                    <a:xfrm>
                      <a:off x="0" y="0"/>
                      <a:ext cx="4000500" cy="1591310"/>
                    </a:xfrm>
                    <a:prstGeom prst="rect">
                      <a:avLst/>
                    </a:prstGeom>
                    <a:noFill/>
                    <a:ln>
                      <a:noFill/>
                    </a:ln>
                  </pic:spPr>
                </pic:pic>
              </a:graphicData>
            </a:graphic>
          </wp:inline>
        </w:drawing>
      </w:r>
    </w:p>
    <w:tbl>
      <w:tblPr>
        <w:tblW w:w="0" w:type="auto"/>
        <w:tblInd w:w="1760" w:type="dxa"/>
        <w:tblLook w:val="04A0" w:firstRow="1" w:lastRow="0" w:firstColumn="1" w:lastColumn="0" w:noHBand="0" w:noVBand="1"/>
      </w:tblPr>
      <w:tblGrid>
        <w:gridCol w:w="3167"/>
        <w:gridCol w:w="3174"/>
      </w:tblGrid>
      <w:tr w:rsidR="001C08A5" w14:paraId="25CF6E62" w14:textId="77777777">
        <w:tc>
          <w:tcPr>
            <w:tcW w:w="3167" w:type="dxa"/>
          </w:tcPr>
          <w:p w14:paraId="177352A0"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 xml:space="preserve">b.3) Variantă recomandabilă </w:t>
            </w:r>
          </w:p>
        </w:tc>
        <w:tc>
          <w:tcPr>
            <w:tcW w:w="3174" w:type="dxa"/>
          </w:tcPr>
          <w:p w14:paraId="3E35822B"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b.4) Variantă recomandabilă</w:t>
            </w:r>
          </w:p>
        </w:tc>
      </w:tr>
    </w:tbl>
    <w:p w14:paraId="21CA7960" w14:textId="77777777" w:rsidR="001C08A5" w:rsidRDefault="001C08A5">
      <w:pPr>
        <w:pStyle w:val="Default"/>
        <w:jc w:val="both"/>
        <w:rPr>
          <w:rFonts w:ascii="Times New Roman" w:hAnsi="Times New Roman" w:cs="Times New Roman"/>
          <w:b/>
          <w:bCs/>
          <w:i/>
          <w:iCs/>
          <w:color w:val="auto"/>
          <w:sz w:val="10"/>
          <w:szCs w:val="10"/>
          <w:lang w:val="ro-RO"/>
        </w:rPr>
      </w:pPr>
    </w:p>
    <w:p w14:paraId="6F9F0E32" w14:textId="77777777" w:rsidR="001C08A5" w:rsidRDefault="00000000">
      <w:pPr>
        <w:pStyle w:val="Default"/>
        <w:jc w:val="center"/>
        <w:rPr>
          <w:rFonts w:ascii="Times New Roman" w:hAnsi="Times New Roman" w:cs="Times New Roman"/>
          <w:b/>
          <w:bCs/>
          <w:i/>
          <w:iCs/>
          <w:color w:val="auto"/>
          <w:sz w:val="22"/>
          <w:szCs w:val="22"/>
          <w:lang w:val="ro-RO"/>
        </w:rPr>
      </w:pPr>
      <w:r>
        <w:rPr>
          <w:rFonts w:ascii="Times New Roman" w:hAnsi="Times New Roman" w:cs="Times New Roman"/>
          <w:b/>
          <w:bCs/>
          <w:i/>
          <w:iCs/>
          <w:color w:val="auto"/>
          <w:sz w:val="22"/>
          <w:szCs w:val="22"/>
          <w:lang w:val="ro-RO"/>
        </w:rPr>
        <w:t>b)</w:t>
      </w:r>
      <w:r>
        <w:rPr>
          <w:rFonts w:ascii="Times New Roman" w:hAnsi="Times New Roman" w:cs="Times New Roman"/>
          <w:b/>
          <w:bCs/>
          <w:i/>
          <w:iCs/>
          <w:color w:val="auto"/>
          <w:lang w:val="ro-RO"/>
        </w:rPr>
        <w:t xml:space="preserve"> detalii de </w:t>
      </w:r>
      <w:r>
        <w:rPr>
          <w:rFonts w:ascii="Times New Roman" w:hAnsi="Times New Roman" w:cs="Times New Roman"/>
          <w:b/>
          <w:bCs/>
          <w:i/>
          <w:iCs/>
          <w:color w:val="auto"/>
        </w:rPr>
        <w:t>delimitare</w:t>
      </w:r>
      <w:r>
        <w:rPr>
          <w:rFonts w:ascii="Times New Roman" w:hAnsi="Times New Roman" w:cs="Times New Roman"/>
          <w:b/>
          <w:bCs/>
          <w:i/>
          <w:iCs/>
          <w:color w:val="auto"/>
          <w:lang w:val="ro-RO"/>
        </w:rPr>
        <w:t xml:space="preserve"> a ș</w:t>
      </w:r>
      <w:r>
        <w:rPr>
          <w:rFonts w:ascii="Times New Roman" w:hAnsi="Times New Roman" w:cs="Times New Roman"/>
          <w:b/>
          <w:bCs/>
          <w:i/>
          <w:iCs/>
          <w:color w:val="auto"/>
        </w:rPr>
        <w:t>arpant</w:t>
      </w:r>
      <w:r>
        <w:rPr>
          <w:rFonts w:ascii="Times New Roman" w:hAnsi="Times New Roman" w:cs="Times New Roman"/>
          <w:b/>
          <w:bCs/>
          <w:i/>
          <w:iCs/>
          <w:color w:val="auto"/>
          <w:lang w:val="ro-RO"/>
        </w:rPr>
        <w:t xml:space="preserve">ei </w:t>
      </w:r>
      <w:r>
        <w:rPr>
          <w:rFonts w:ascii="Times New Roman" w:hAnsi="Times New Roman" w:cs="Times New Roman"/>
          <w:b/>
          <w:bCs/>
          <w:i/>
          <w:iCs/>
          <w:color w:val="auto"/>
          <w:lang w:eastAsia="en-GB"/>
        </w:rPr>
        <w:t>acoperișului cu pod</w:t>
      </w:r>
      <w:r>
        <w:rPr>
          <w:rFonts w:ascii="Times New Roman" w:hAnsi="Times New Roman" w:cs="Times New Roman"/>
          <w:b/>
          <w:bCs/>
          <w:i/>
          <w:iCs/>
          <w:color w:val="auto"/>
          <w:lang w:val="ro-RO" w:eastAsia="en-GB"/>
        </w:rPr>
        <w:t xml:space="preserve"> (exemple)</w:t>
      </w:r>
    </w:p>
    <w:p w14:paraId="43F08874" w14:textId="77777777" w:rsidR="001C08A5" w:rsidRDefault="001C08A5">
      <w:pPr>
        <w:pStyle w:val="Default"/>
        <w:jc w:val="center"/>
        <w:rPr>
          <w:rFonts w:ascii="Times New Roman" w:hAnsi="Times New Roman" w:cs="Times New Roman"/>
          <w:b/>
          <w:bCs/>
          <w:i/>
          <w:iCs/>
          <w:color w:val="auto"/>
          <w:sz w:val="10"/>
          <w:szCs w:val="10"/>
          <w:lang w:val="ro-RO"/>
        </w:rPr>
      </w:pPr>
    </w:p>
    <w:p w14:paraId="7DAFA061" w14:textId="77777777" w:rsidR="001C08A5" w:rsidRDefault="00000000">
      <w:pPr>
        <w:pStyle w:val="Caption"/>
        <w:jc w:val="center"/>
        <w:rPr>
          <w:rFonts w:cs="Times New Roman"/>
        </w:rPr>
      </w:pPr>
      <w:bookmarkStart w:id="657" w:name="_Ref8225"/>
      <w:bookmarkStart w:id="658" w:name="_Toc10636"/>
      <w:bookmarkStart w:id="659" w:name="_Toc29610"/>
      <w:bookmarkStart w:id="660" w:name="_Toc23377"/>
      <w:bookmarkStart w:id="661" w:name="_Toc3117"/>
      <w:bookmarkStart w:id="662" w:name="_Toc162360251"/>
      <w:bookmarkStart w:id="663" w:name="_Toc22871"/>
      <w:bookmarkStart w:id="664" w:name="_Toc24157"/>
      <w:bookmarkEnd w:id="656"/>
      <w:r>
        <w:t xml:space="preserve">Figura </w:t>
      </w:r>
      <w:r>
        <w:fldChar w:fldCharType="begin"/>
      </w:r>
      <w:r>
        <w:instrText xml:space="preserve"> SEQ Figura \* ARABIC </w:instrText>
      </w:r>
      <w:r>
        <w:fldChar w:fldCharType="separate"/>
      </w:r>
      <w:r>
        <w:t>27</w:t>
      </w:r>
      <w:r>
        <w:fldChar w:fldCharType="end"/>
      </w:r>
      <w:bookmarkStart w:id="665" w:name="_Toc18988"/>
      <w:bookmarkStart w:id="666" w:name="_Toc26664"/>
      <w:bookmarkStart w:id="667" w:name="_Toc17502"/>
      <w:bookmarkStart w:id="668" w:name="_Toc16290"/>
      <w:bookmarkStart w:id="669" w:name="_Toc14933"/>
      <w:bookmarkStart w:id="670" w:name="_Toc10417"/>
      <w:bookmarkStart w:id="671" w:name="_Toc17529"/>
      <w:bookmarkStart w:id="672" w:name="_Toc23959"/>
      <w:bookmarkStart w:id="673" w:name="_Toc31157"/>
      <w:bookmarkStart w:id="674" w:name="_Toc9833"/>
      <w:bookmarkStart w:id="675" w:name="_Toc22586"/>
      <w:bookmarkEnd w:id="657"/>
      <w:r>
        <w:t xml:space="preserve"> - </w:t>
      </w:r>
      <w:r>
        <w:rPr>
          <w:rFonts w:cs="Times New Roman"/>
        </w:rPr>
        <w:t xml:space="preserve">Șarpanta </w:t>
      </w:r>
      <w:r>
        <w:rPr>
          <w:rFonts w:cs="Times New Roman"/>
          <w:lang w:eastAsia="en-GB"/>
        </w:rPr>
        <w:t>acoperișului cu pod</w:t>
      </w:r>
      <w:r>
        <w:rPr>
          <w:rFonts w:cs="Times New Roman"/>
        </w:rPr>
        <w:t xml:space="preserve"> - delimitare minimală prin planșeu rezistent la foc</w:t>
      </w:r>
      <w:bookmarkEnd w:id="658"/>
      <w:bookmarkEnd w:id="659"/>
      <w:bookmarkEnd w:id="660"/>
      <w:bookmarkEnd w:id="661"/>
      <w:bookmarkEnd w:id="662"/>
      <w:bookmarkEnd w:id="663"/>
      <w:bookmarkEnd w:id="664"/>
      <w:bookmarkEnd w:id="665"/>
      <w:bookmarkEnd w:id="666"/>
      <w:bookmarkEnd w:id="667"/>
      <w:r>
        <w:rPr>
          <w:rFonts w:cs="Times New Roman"/>
        </w:rPr>
        <w:t xml:space="preserve"> </w:t>
      </w:r>
      <w:bookmarkEnd w:id="668"/>
      <w:bookmarkEnd w:id="669"/>
      <w:bookmarkEnd w:id="670"/>
      <w:bookmarkEnd w:id="671"/>
      <w:bookmarkEnd w:id="672"/>
      <w:bookmarkEnd w:id="673"/>
      <w:bookmarkEnd w:id="674"/>
      <w:bookmarkEnd w:id="675"/>
    </w:p>
    <w:p w14:paraId="55A8AC10" w14:textId="77777777" w:rsidR="001C08A5" w:rsidRDefault="00000000">
      <w:pPr>
        <w:suppressAutoHyphens w:val="0"/>
        <w:autoSpaceDE w:val="0"/>
        <w:autoSpaceDN w:val="0"/>
        <w:adjustRightInd w:val="0"/>
        <w:jc w:val="both"/>
        <w:rPr>
          <w:b/>
          <w:bCs/>
          <w:i/>
          <w:sz w:val="22"/>
          <w:szCs w:val="22"/>
          <w:lang w:eastAsia="en-GB"/>
        </w:rPr>
      </w:pPr>
      <w:r>
        <w:rPr>
          <w:i/>
          <w:sz w:val="22"/>
          <w:szCs w:val="22"/>
          <w:lang w:eastAsia="en-GB"/>
        </w:rPr>
        <w:t>Notă: În condițiile în care nu sunt îndeplinite măsurile de mai sus, șarpanta acoperișului cu pod va îndeplini cerințele prevazute în</w:t>
      </w:r>
      <w:r>
        <w:rPr>
          <w:rStyle w:val="CaptiontabelChar"/>
          <w:lang w:eastAsia="en-GB"/>
        </w:rPr>
        <w:t xml:space="preserve"> </w:t>
      </w:r>
      <w:r>
        <w:rPr>
          <w:rStyle w:val="CaptiontabelChar"/>
          <w:lang w:eastAsia="en-GB"/>
        </w:rPr>
        <w:fldChar w:fldCharType="begin"/>
      </w:r>
      <w:r>
        <w:rPr>
          <w:rStyle w:val="CaptiontabelChar"/>
          <w:lang w:eastAsia="en-GB"/>
        </w:rPr>
        <w:instrText xml:space="preserve"> REF _Ref26473 \h </w:instrText>
      </w:r>
      <w:r>
        <w:rPr>
          <w:rStyle w:val="CaptiontabelChar"/>
          <w:lang w:eastAsia="en-GB"/>
        </w:rPr>
      </w:r>
      <w:r>
        <w:rPr>
          <w:rStyle w:val="CaptiontabelChar"/>
          <w:lang w:eastAsia="en-GB"/>
        </w:rPr>
        <w:fldChar w:fldCharType="separate"/>
      </w:r>
      <w:r>
        <w:t>Tabelul 2</w:t>
      </w:r>
      <w:r>
        <w:rPr>
          <w:rStyle w:val="CaptiontabelChar"/>
          <w:lang w:eastAsia="en-GB"/>
        </w:rPr>
        <w:fldChar w:fldCharType="end"/>
      </w:r>
      <w:r>
        <w:rPr>
          <w:b/>
          <w:i/>
          <w:sz w:val="22"/>
          <w:szCs w:val="22"/>
          <w:lang w:eastAsia="en-GB"/>
        </w:rPr>
        <w:t xml:space="preserve"> pct. 9. </w:t>
      </w:r>
      <w:r>
        <w:rPr>
          <w:bCs/>
          <w:iCs/>
          <w:sz w:val="22"/>
          <w:szCs w:val="22"/>
          <w:lang w:eastAsia="en-GB"/>
        </w:rPr>
        <w:t xml:space="preserve">și </w:t>
      </w:r>
      <w:r>
        <w:rPr>
          <w:rStyle w:val="CaptiontabelChar"/>
          <w:lang w:eastAsia="en-GB"/>
        </w:rPr>
        <w:fldChar w:fldCharType="begin"/>
      </w:r>
      <w:r>
        <w:rPr>
          <w:rStyle w:val="CaptiontabelChar"/>
          <w:lang w:eastAsia="en-GB"/>
        </w:rPr>
        <w:instrText xml:space="preserve"> REF _Ref11612 \h </w:instrText>
      </w:r>
      <w:r>
        <w:rPr>
          <w:rStyle w:val="CaptiontabelChar"/>
          <w:lang w:eastAsia="en-GB"/>
        </w:rPr>
      </w:r>
      <w:r>
        <w:rPr>
          <w:rStyle w:val="CaptiontabelChar"/>
          <w:lang w:eastAsia="en-GB"/>
        </w:rPr>
        <w:fldChar w:fldCharType="separate"/>
      </w:r>
      <w:r>
        <w:t>Tabelul 3</w:t>
      </w:r>
      <w:r>
        <w:rPr>
          <w:rStyle w:val="CaptiontabelChar"/>
          <w:lang w:eastAsia="en-GB"/>
        </w:rPr>
        <w:fldChar w:fldCharType="end"/>
      </w:r>
      <w:r>
        <w:rPr>
          <w:b/>
          <w:i/>
          <w:sz w:val="22"/>
          <w:szCs w:val="22"/>
          <w:lang w:eastAsia="en-GB"/>
        </w:rPr>
        <w:t xml:space="preserve"> pct. 9.,</w:t>
      </w:r>
      <w:r>
        <w:rPr>
          <w:i/>
          <w:sz w:val="22"/>
          <w:szCs w:val="22"/>
          <w:lang w:eastAsia="en-GB"/>
        </w:rPr>
        <w:t xml:space="preserve">corespunzatoare nivelului de stabilitate la incendiu. La clădirile înalte și foarte înalte acoperișurile cu pod vor fi realizate integral din materiale </w:t>
      </w:r>
      <w:r>
        <w:rPr>
          <w:b/>
          <w:bCs/>
          <w:i/>
          <w:sz w:val="22"/>
          <w:szCs w:val="22"/>
          <w:lang w:eastAsia="en-GB"/>
        </w:rPr>
        <w:t>A1</w:t>
      </w:r>
      <w:r>
        <w:rPr>
          <w:i/>
          <w:sz w:val="22"/>
          <w:szCs w:val="22"/>
          <w:lang w:eastAsia="en-GB"/>
        </w:rPr>
        <w:t xml:space="preserve">, iar la clădirile cu săli aglomerate se va prevedea conform </w:t>
      </w:r>
      <w:r>
        <w:rPr>
          <w:b/>
          <w:bCs/>
          <w:i/>
          <w:sz w:val="22"/>
          <w:szCs w:val="22"/>
          <w:lang w:eastAsia="en-GB"/>
        </w:rPr>
        <w:t>Art. 2.1.3.3. alin. 2.</w:t>
      </w:r>
    </w:p>
    <w:p w14:paraId="42DDC159" w14:textId="77777777" w:rsidR="001C08A5" w:rsidRDefault="00000000">
      <w:pPr>
        <w:suppressAutoHyphens w:val="0"/>
        <w:autoSpaceDE w:val="0"/>
        <w:autoSpaceDN w:val="0"/>
        <w:adjustRightInd w:val="0"/>
        <w:jc w:val="both"/>
        <w:rPr>
          <w:i/>
          <w:sz w:val="22"/>
          <w:szCs w:val="22"/>
          <w:lang w:eastAsia="en-GB"/>
        </w:rPr>
      </w:pPr>
      <w:r>
        <w:rPr>
          <w:i/>
          <w:sz w:val="22"/>
          <w:szCs w:val="22"/>
          <w:lang w:eastAsia="en-GB"/>
        </w:rPr>
        <w:t>Exemple streaşină înfundată. Respectând aceleaşi principii de delimitare minimală prin planșeu rezistent la foc (conform A</w:t>
      </w:r>
      <w:r>
        <w:rPr>
          <w:b/>
          <w:bCs/>
          <w:i/>
          <w:sz w:val="22"/>
          <w:szCs w:val="22"/>
          <w:lang w:eastAsia="en-GB"/>
        </w:rPr>
        <w:t>rt. 2.1.3.4</w:t>
      </w:r>
      <w:r>
        <w:rPr>
          <w:i/>
          <w:sz w:val="22"/>
          <w:szCs w:val="22"/>
          <w:lang w:eastAsia="en-GB"/>
        </w:rPr>
        <w:t>., în funcție de încadrarea construcției în nivel de stabilitate la incendiu), se pot alege şi soluţii arhitecturale cu streaşină semiînfundată sau neînfundată.</w:t>
      </w:r>
    </w:p>
    <w:p w14:paraId="504F3D83" w14:textId="77777777" w:rsidR="001C08A5" w:rsidRDefault="001C08A5">
      <w:pPr>
        <w:suppressAutoHyphens w:val="0"/>
        <w:autoSpaceDE w:val="0"/>
        <w:autoSpaceDN w:val="0"/>
        <w:adjustRightInd w:val="0"/>
        <w:jc w:val="both"/>
        <w:rPr>
          <w:b/>
          <w:bCs/>
          <w:i/>
          <w:sz w:val="22"/>
          <w:szCs w:val="22"/>
          <w:lang w:eastAsia="en-GB"/>
        </w:rPr>
      </w:pPr>
    </w:p>
    <w:p w14:paraId="0AF79DB0" w14:textId="77777777" w:rsidR="001C08A5" w:rsidRDefault="00000000">
      <w:pPr>
        <w:ind w:left="1429" w:firstLine="720"/>
        <w:jc w:val="both"/>
        <w:rPr>
          <w:b/>
          <w:sz w:val="24"/>
          <w:szCs w:val="24"/>
        </w:rPr>
      </w:pPr>
      <w:r>
        <w:rPr>
          <w:b/>
          <w:sz w:val="24"/>
          <w:szCs w:val="24"/>
        </w:rPr>
        <w:t>b)</w:t>
      </w:r>
      <w:r>
        <w:rPr>
          <w:sz w:val="24"/>
          <w:szCs w:val="24"/>
        </w:rPr>
        <w:t xml:space="preserve"> învelitorile acoperişurilor de orice fel, cu excepția panourilor de învelitoare precizate </w:t>
      </w:r>
      <w:r>
        <w:rPr>
          <w:rStyle w:val="CaptiontabelChar"/>
          <w:lang w:eastAsia="en-GB"/>
        </w:rPr>
        <w:fldChar w:fldCharType="begin"/>
      </w:r>
      <w:r>
        <w:rPr>
          <w:rStyle w:val="CaptiontabelChar"/>
          <w:lang w:eastAsia="en-GB"/>
        </w:rPr>
        <w:instrText xml:space="preserve"> REF _Ref26473 \h </w:instrText>
      </w:r>
      <w:r>
        <w:rPr>
          <w:rStyle w:val="CaptiontabelChar"/>
          <w:lang w:eastAsia="en-GB"/>
        </w:rPr>
      </w:r>
      <w:r>
        <w:rPr>
          <w:rStyle w:val="CaptiontabelChar"/>
          <w:lang w:eastAsia="en-GB"/>
        </w:rPr>
        <w:fldChar w:fldCharType="separate"/>
      </w:r>
      <w:r>
        <w:t>Tabelul 2</w:t>
      </w:r>
      <w:r>
        <w:rPr>
          <w:rStyle w:val="CaptiontabelChar"/>
          <w:lang w:eastAsia="en-GB"/>
        </w:rPr>
        <w:fldChar w:fldCharType="end"/>
      </w:r>
      <w:r>
        <w:rPr>
          <w:b/>
          <w:i/>
          <w:sz w:val="22"/>
          <w:szCs w:val="22"/>
          <w:lang w:eastAsia="en-GB"/>
        </w:rPr>
        <w:t xml:space="preserve"> </w:t>
      </w:r>
      <w:r>
        <w:rPr>
          <w:b/>
          <w:i/>
          <w:sz w:val="24"/>
          <w:szCs w:val="24"/>
          <w:lang w:eastAsia="en-GB"/>
        </w:rPr>
        <w:t>pct. 10</w:t>
      </w:r>
      <w:r>
        <w:rPr>
          <w:b/>
          <w:i/>
          <w:sz w:val="22"/>
          <w:szCs w:val="22"/>
          <w:lang w:eastAsia="en-GB"/>
        </w:rPr>
        <w:t xml:space="preserve">. </w:t>
      </w:r>
      <w:r>
        <w:rPr>
          <w:bCs/>
          <w:iCs/>
          <w:sz w:val="22"/>
          <w:szCs w:val="22"/>
          <w:lang w:eastAsia="en-GB"/>
        </w:rPr>
        <w:t xml:space="preserve">și </w:t>
      </w:r>
      <w:r>
        <w:rPr>
          <w:rStyle w:val="CaptiontabelChar"/>
          <w:lang w:eastAsia="en-GB"/>
        </w:rPr>
        <w:fldChar w:fldCharType="begin"/>
      </w:r>
      <w:r>
        <w:rPr>
          <w:rStyle w:val="CaptiontabelChar"/>
          <w:lang w:eastAsia="en-GB"/>
        </w:rPr>
        <w:instrText xml:space="preserve"> REF _Ref11612 \h </w:instrText>
      </w:r>
      <w:r>
        <w:rPr>
          <w:rStyle w:val="CaptiontabelChar"/>
          <w:lang w:eastAsia="en-GB"/>
        </w:rPr>
      </w:r>
      <w:r>
        <w:rPr>
          <w:rStyle w:val="CaptiontabelChar"/>
          <w:lang w:eastAsia="en-GB"/>
        </w:rPr>
        <w:fldChar w:fldCharType="separate"/>
      </w:r>
      <w:r>
        <w:t>Tabelul 3</w:t>
      </w:r>
      <w:r>
        <w:rPr>
          <w:rStyle w:val="CaptiontabelChar"/>
          <w:lang w:eastAsia="en-GB"/>
        </w:rPr>
        <w:fldChar w:fldCharType="end"/>
      </w:r>
      <w:r>
        <w:rPr>
          <w:b/>
          <w:i/>
          <w:sz w:val="22"/>
          <w:szCs w:val="22"/>
          <w:lang w:eastAsia="en-GB"/>
        </w:rPr>
        <w:t xml:space="preserve"> </w:t>
      </w:r>
      <w:r>
        <w:rPr>
          <w:b/>
          <w:i/>
          <w:sz w:val="24"/>
          <w:szCs w:val="24"/>
          <w:lang w:eastAsia="en-GB"/>
        </w:rPr>
        <w:t>pct. 10</w:t>
      </w:r>
      <w:r>
        <w:rPr>
          <w:b/>
          <w:sz w:val="24"/>
          <w:szCs w:val="24"/>
        </w:rPr>
        <w:t xml:space="preserve">, </w:t>
      </w:r>
      <w:r>
        <w:rPr>
          <w:sz w:val="24"/>
          <w:szCs w:val="24"/>
        </w:rPr>
        <w:t xml:space="preserve">precum şi termoizolaţiile și hidroizolaţiile montate deasupra unui suport continuu rezistent la foc conform </w:t>
      </w:r>
      <w:r>
        <w:rPr>
          <w:rStyle w:val="CaptiontabelChar"/>
          <w:lang w:eastAsia="en-GB"/>
        </w:rPr>
        <w:fldChar w:fldCharType="begin"/>
      </w:r>
      <w:r>
        <w:rPr>
          <w:rStyle w:val="CaptiontabelChar"/>
          <w:lang w:eastAsia="en-GB"/>
        </w:rPr>
        <w:instrText xml:space="preserve"> REF _Ref26473 \h </w:instrText>
      </w:r>
      <w:r>
        <w:rPr>
          <w:rStyle w:val="CaptiontabelChar"/>
          <w:lang w:eastAsia="en-GB"/>
        </w:rPr>
      </w:r>
      <w:r>
        <w:rPr>
          <w:rStyle w:val="CaptiontabelChar"/>
          <w:lang w:eastAsia="en-GB"/>
        </w:rPr>
        <w:fldChar w:fldCharType="separate"/>
      </w:r>
      <w:r>
        <w:t>Tabelul 2</w:t>
      </w:r>
      <w:r>
        <w:rPr>
          <w:rStyle w:val="CaptiontabelChar"/>
          <w:lang w:eastAsia="en-GB"/>
        </w:rPr>
        <w:fldChar w:fldCharType="end"/>
      </w:r>
      <w:r>
        <w:rPr>
          <w:b/>
          <w:i/>
          <w:sz w:val="22"/>
          <w:szCs w:val="22"/>
          <w:lang w:eastAsia="en-GB"/>
        </w:rPr>
        <w:t xml:space="preserve"> </w:t>
      </w:r>
      <w:r>
        <w:rPr>
          <w:b/>
          <w:i/>
          <w:sz w:val="24"/>
          <w:szCs w:val="24"/>
          <w:lang w:eastAsia="en-GB"/>
        </w:rPr>
        <w:t>pct. 3 și pct. 4</w:t>
      </w:r>
      <w:r>
        <w:rPr>
          <w:b/>
          <w:i/>
          <w:sz w:val="22"/>
          <w:szCs w:val="22"/>
          <w:lang w:eastAsia="en-GB"/>
        </w:rPr>
        <w:t xml:space="preserve"> </w:t>
      </w:r>
      <w:r>
        <w:rPr>
          <w:bCs/>
          <w:iCs/>
          <w:sz w:val="22"/>
          <w:szCs w:val="22"/>
          <w:lang w:eastAsia="en-GB"/>
        </w:rPr>
        <w:t xml:space="preserve">și </w:t>
      </w:r>
      <w:r>
        <w:rPr>
          <w:rStyle w:val="CaptiontabelChar"/>
          <w:lang w:eastAsia="en-GB"/>
        </w:rPr>
        <w:fldChar w:fldCharType="begin"/>
      </w:r>
      <w:r>
        <w:rPr>
          <w:rStyle w:val="CaptiontabelChar"/>
          <w:lang w:eastAsia="en-GB"/>
        </w:rPr>
        <w:instrText xml:space="preserve"> REF _Ref11612 \h </w:instrText>
      </w:r>
      <w:r>
        <w:rPr>
          <w:rStyle w:val="CaptiontabelChar"/>
          <w:lang w:eastAsia="en-GB"/>
        </w:rPr>
      </w:r>
      <w:r>
        <w:rPr>
          <w:rStyle w:val="CaptiontabelChar"/>
          <w:lang w:eastAsia="en-GB"/>
        </w:rPr>
        <w:fldChar w:fldCharType="separate"/>
      </w:r>
      <w:r>
        <w:t>Tabelul 3</w:t>
      </w:r>
      <w:r>
        <w:rPr>
          <w:rStyle w:val="CaptiontabelChar"/>
          <w:lang w:eastAsia="en-GB"/>
        </w:rPr>
        <w:fldChar w:fldCharType="end"/>
      </w:r>
      <w:r>
        <w:rPr>
          <w:b/>
          <w:i/>
          <w:sz w:val="22"/>
          <w:szCs w:val="22"/>
          <w:lang w:eastAsia="en-GB"/>
        </w:rPr>
        <w:t xml:space="preserve"> </w:t>
      </w:r>
      <w:r>
        <w:rPr>
          <w:b/>
          <w:i/>
          <w:sz w:val="24"/>
          <w:szCs w:val="24"/>
          <w:lang w:eastAsia="en-GB"/>
        </w:rPr>
        <w:t>pct. 3 și pct. 4</w:t>
      </w:r>
      <w:r>
        <w:rPr>
          <w:sz w:val="24"/>
          <w:szCs w:val="24"/>
        </w:rPr>
        <w:t xml:space="preserve">; </w:t>
      </w:r>
    </w:p>
    <w:p w14:paraId="58692D45" w14:textId="77777777" w:rsidR="001C08A5" w:rsidRDefault="00000000">
      <w:pPr>
        <w:ind w:left="1429" w:firstLine="720"/>
        <w:jc w:val="both"/>
        <w:rPr>
          <w:sz w:val="24"/>
          <w:szCs w:val="24"/>
        </w:rPr>
      </w:pPr>
      <w:r>
        <w:rPr>
          <w:b/>
          <w:sz w:val="24"/>
          <w:szCs w:val="24"/>
        </w:rPr>
        <w:lastRenderedPageBreak/>
        <w:t xml:space="preserve">c) </w:t>
      </w:r>
      <w:r>
        <w:rPr>
          <w:sz w:val="24"/>
          <w:szCs w:val="24"/>
        </w:rPr>
        <w:t>luminatoarele dispuse pe acoperiş, a căror arie însumată (în proiecţie orizontală) este mai mică de</w:t>
      </w:r>
      <w:r>
        <w:rPr>
          <w:b/>
          <w:bCs/>
          <w:sz w:val="24"/>
          <w:szCs w:val="24"/>
        </w:rPr>
        <w:t xml:space="preserve"> 25%</w:t>
      </w:r>
      <w:r>
        <w:rPr>
          <w:sz w:val="24"/>
          <w:szCs w:val="24"/>
        </w:rPr>
        <w:t xml:space="preserve"> din aria spațiului în care sunt dispuse, dar nu mai mult de </w:t>
      </w:r>
      <w:r>
        <w:rPr>
          <w:b/>
          <w:bCs/>
          <w:sz w:val="24"/>
          <w:szCs w:val="24"/>
        </w:rPr>
        <w:t>25 mp</w:t>
      </w:r>
      <w:r>
        <w:rPr>
          <w:sz w:val="24"/>
          <w:szCs w:val="24"/>
        </w:rPr>
        <w:t>, indiferent de clasa lor de reacţie la foc;</w:t>
      </w:r>
    </w:p>
    <w:p w14:paraId="55FAA315" w14:textId="77777777" w:rsidR="001C08A5" w:rsidRDefault="00000000">
      <w:pPr>
        <w:ind w:left="1429" w:firstLine="720"/>
        <w:jc w:val="both"/>
        <w:rPr>
          <w:sz w:val="24"/>
          <w:szCs w:val="24"/>
        </w:rPr>
      </w:pPr>
      <w:r>
        <w:rPr>
          <w:b/>
          <w:sz w:val="24"/>
          <w:szCs w:val="24"/>
        </w:rPr>
        <w:t>d)</w:t>
      </w:r>
      <w:r>
        <w:rPr>
          <w:sz w:val="24"/>
          <w:szCs w:val="24"/>
        </w:rPr>
        <w:t xml:space="preserve"> luminatoarele atriumurilor (indiferent de aria lor) sau luminatoarele dispuse în acoperiş cu aria mai mare de </w:t>
      </w:r>
      <w:r>
        <w:rPr>
          <w:b/>
          <w:bCs/>
          <w:sz w:val="24"/>
          <w:szCs w:val="24"/>
        </w:rPr>
        <w:t>25%</w:t>
      </w:r>
      <w:r>
        <w:rPr>
          <w:sz w:val="24"/>
          <w:szCs w:val="24"/>
        </w:rPr>
        <w:t xml:space="preserve"> din aria spațiului în care sunt amplasate, atunci când sunt realizate cu structuri din profile având clasa de reacţie la foc </w:t>
      </w:r>
      <w:r>
        <w:rPr>
          <w:b/>
          <w:bCs/>
          <w:sz w:val="24"/>
          <w:szCs w:val="24"/>
        </w:rPr>
        <w:t xml:space="preserve">A1 </w:t>
      </w:r>
      <w:r>
        <w:rPr>
          <w:sz w:val="24"/>
          <w:szCs w:val="24"/>
        </w:rPr>
        <w:t xml:space="preserve">sau </w:t>
      </w:r>
      <w:r>
        <w:rPr>
          <w:b/>
          <w:bCs/>
          <w:sz w:val="24"/>
          <w:szCs w:val="24"/>
        </w:rPr>
        <w:t xml:space="preserve">A2-s1d0, </w:t>
      </w:r>
      <w:r>
        <w:rPr>
          <w:sz w:val="24"/>
          <w:szCs w:val="24"/>
        </w:rPr>
        <w:t xml:space="preserve">cu excepția componentelor nesubstanțiale, a izolatorilor și garniturilor, prevăzute cu panouri de umplere din elemente de vitraj/sticlă simplu sau izolant ori din produse clasa de reacţie la foc </w:t>
      </w:r>
      <w:r>
        <w:rPr>
          <w:b/>
          <w:bCs/>
          <w:sz w:val="24"/>
          <w:szCs w:val="24"/>
        </w:rPr>
        <w:t xml:space="preserve">A1 </w:t>
      </w:r>
      <w:r>
        <w:rPr>
          <w:sz w:val="24"/>
          <w:szCs w:val="24"/>
        </w:rPr>
        <w:t xml:space="preserve">sau </w:t>
      </w:r>
      <w:r>
        <w:rPr>
          <w:b/>
          <w:bCs/>
          <w:sz w:val="24"/>
          <w:szCs w:val="24"/>
        </w:rPr>
        <w:t>A2-s1d0</w:t>
      </w:r>
      <w:r>
        <w:rPr>
          <w:sz w:val="24"/>
          <w:szCs w:val="24"/>
        </w:rPr>
        <w:t>.</w:t>
      </w:r>
    </w:p>
    <w:p w14:paraId="0B4F2F81" w14:textId="77777777" w:rsidR="001C08A5" w:rsidRDefault="00000000">
      <w:pPr>
        <w:ind w:left="1429" w:firstLine="720"/>
        <w:jc w:val="both"/>
        <w:rPr>
          <w:sz w:val="24"/>
          <w:szCs w:val="24"/>
        </w:rPr>
      </w:pPr>
      <w:r>
        <w:rPr>
          <w:b/>
          <w:sz w:val="24"/>
          <w:szCs w:val="24"/>
        </w:rPr>
        <w:t>e)</w:t>
      </w:r>
      <w:r>
        <w:rPr>
          <w:sz w:val="24"/>
          <w:szCs w:val="24"/>
        </w:rPr>
        <w:t xml:space="preserve"> contravântuirile structurilor, platformele şi elementele metalice necesare funcţional sau tehnologic, care nu sunt luate în calcul la rezistenţa şi stabilitatea construcţiei în caz de incendiu;</w:t>
      </w:r>
    </w:p>
    <w:p w14:paraId="77DE174A" w14:textId="77777777" w:rsidR="001C08A5" w:rsidRDefault="00000000">
      <w:pPr>
        <w:ind w:left="1429" w:firstLine="720"/>
        <w:jc w:val="both"/>
        <w:rPr>
          <w:sz w:val="24"/>
          <w:szCs w:val="24"/>
        </w:rPr>
      </w:pPr>
      <w:r>
        <w:rPr>
          <w:b/>
          <w:sz w:val="24"/>
          <w:szCs w:val="24"/>
        </w:rPr>
        <w:t>f)</w:t>
      </w:r>
      <w:r>
        <w:rPr>
          <w:sz w:val="24"/>
          <w:szCs w:val="24"/>
        </w:rPr>
        <w:t xml:space="preserve"> elementele constructive ale marchizelor, windfangurilor, verandelor, pridvoarelor, cerdacurilor,  şi serelor;</w:t>
      </w:r>
    </w:p>
    <w:p w14:paraId="1E307143" w14:textId="77777777" w:rsidR="001C08A5" w:rsidRDefault="00000000">
      <w:pPr>
        <w:ind w:left="1429" w:firstLine="720"/>
        <w:jc w:val="both"/>
        <w:rPr>
          <w:sz w:val="24"/>
          <w:szCs w:val="24"/>
        </w:rPr>
      </w:pPr>
      <w:r>
        <w:rPr>
          <w:b/>
          <w:sz w:val="24"/>
          <w:szCs w:val="24"/>
        </w:rPr>
        <w:t xml:space="preserve">g) </w:t>
      </w:r>
      <w:r>
        <w:rPr>
          <w:sz w:val="24"/>
          <w:szCs w:val="24"/>
        </w:rPr>
        <w:t>componentele nesubstanţiale, garniturile, izolatorii, elementele de vitraj simplu sau izolant (realizate din sticlă) ale ușilor și ferestrelor  exterioare, inclusiv cele inserate în pereții cortină;</w:t>
      </w:r>
    </w:p>
    <w:p w14:paraId="4375E916" w14:textId="77777777" w:rsidR="001C08A5" w:rsidRDefault="00000000">
      <w:pPr>
        <w:ind w:left="1429" w:firstLine="720"/>
        <w:jc w:val="both"/>
        <w:rPr>
          <w:sz w:val="24"/>
          <w:szCs w:val="24"/>
        </w:rPr>
      </w:pPr>
      <w:r>
        <w:rPr>
          <w:b/>
          <w:bCs/>
          <w:sz w:val="24"/>
          <w:szCs w:val="24"/>
        </w:rPr>
        <w:t>h)</w:t>
      </w:r>
      <w:r>
        <w:rPr>
          <w:sz w:val="24"/>
          <w:szCs w:val="24"/>
        </w:rPr>
        <w:t xml:space="preserve"> ușile și ferestrele  exterioare, inclusiv cele inserate în pereții cortină. </w:t>
      </w:r>
    </w:p>
    <w:p w14:paraId="1D7BD15A" w14:textId="77777777" w:rsidR="001C08A5" w:rsidRDefault="00000000">
      <w:pPr>
        <w:ind w:left="1429" w:firstLine="720"/>
        <w:jc w:val="both"/>
        <w:rPr>
          <w:sz w:val="24"/>
          <w:szCs w:val="24"/>
        </w:rPr>
      </w:pPr>
      <w:r>
        <w:rPr>
          <w:b/>
          <w:bCs/>
          <w:sz w:val="24"/>
          <w:szCs w:val="24"/>
        </w:rPr>
        <w:t>i)</w:t>
      </w:r>
      <w:r>
        <w:rPr>
          <w:sz w:val="24"/>
          <w:szCs w:val="24"/>
        </w:rPr>
        <w:t xml:space="preserve"> parapetele, panourile şi pereţii interiori despărţitori funcţionali având clasa de reacţie la foc </w:t>
      </w:r>
      <w:r>
        <w:rPr>
          <w:b/>
          <w:bCs/>
          <w:sz w:val="24"/>
          <w:szCs w:val="24"/>
        </w:rPr>
        <w:t xml:space="preserve">A1 </w:t>
      </w:r>
      <w:r>
        <w:rPr>
          <w:sz w:val="24"/>
          <w:szCs w:val="24"/>
        </w:rPr>
        <w:t xml:space="preserve">sau </w:t>
      </w:r>
      <w:r>
        <w:rPr>
          <w:b/>
          <w:bCs/>
          <w:sz w:val="24"/>
          <w:szCs w:val="24"/>
        </w:rPr>
        <w:t xml:space="preserve">A2-s1d0 </w:t>
      </w:r>
      <w:r>
        <w:rPr>
          <w:sz w:val="24"/>
          <w:szCs w:val="24"/>
        </w:rPr>
        <w:t>din cadrul unor grupări de spații de tip open space, cu suprafaţa maxim normată.</w:t>
      </w:r>
    </w:p>
    <w:p w14:paraId="321B33CD" w14:textId="77777777" w:rsidR="001C08A5" w:rsidRDefault="00000000">
      <w:pPr>
        <w:ind w:left="1429" w:firstLine="720"/>
        <w:jc w:val="both"/>
        <w:rPr>
          <w:sz w:val="24"/>
          <w:szCs w:val="24"/>
        </w:rPr>
      </w:pPr>
      <w:r>
        <w:rPr>
          <w:b/>
          <w:bCs/>
          <w:sz w:val="24"/>
          <w:szCs w:val="24"/>
        </w:rPr>
        <w:t>j)</w:t>
      </w:r>
      <w:r>
        <w:rPr>
          <w:sz w:val="24"/>
          <w:szCs w:val="24"/>
        </w:rPr>
        <w:t xml:space="preserve"> parapetele și/sau panourile din materiale combustibile dacă înălţimea însumată a panourilor pline combustibile este de cel mult </w:t>
      </w:r>
      <w:r>
        <w:rPr>
          <w:b/>
          <w:bCs/>
          <w:sz w:val="24"/>
          <w:szCs w:val="24"/>
        </w:rPr>
        <w:t xml:space="preserve">1,20 m </w:t>
      </w:r>
      <w:r>
        <w:rPr>
          <w:sz w:val="24"/>
          <w:szCs w:val="24"/>
        </w:rPr>
        <w:t xml:space="preserve">din cadrul unor grupări de spații de tip open space, cu suprafaţa maxim normată. Parapetele și/sau panourile din materiale combustibile de cel mult </w:t>
      </w:r>
      <w:r>
        <w:rPr>
          <w:b/>
          <w:bCs/>
          <w:sz w:val="24"/>
          <w:szCs w:val="24"/>
        </w:rPr>
        <w:t>1,20 m</w:t>
      </w:r>
      <w:r>
        <w:rPr>
          <w:sz w:val="24"/>
          <w:szCs w:val="24"/>
        </w:rPr>
        <w:t xml:space="preserve"> trebuie să indeplinească și următoarele condiții:</w:t>
      </w:r>
    </w:p>
    <w:p w14:paraId="589F0B99" w14:textId="77777777" w:rsidR="001C08A5" w:rsidRDefault="00000000">
      <w:pPr>
        <w:ind w:left="2869" w:firstLine="720"/>
        <w:jc w:val="both"/>
        <w:rPr>
          <w:b/>
          <w:bCs/>
          <w:sz w:val="24"/>
          <w:szCs w:val="24"/>
        </w:rPr>
      </w:pPr>
      <w:r>
        <w:rPr>
          <w:sz w:val="24"/>
          <w:szCs w:val="24"/>
        </w:rPr>
        <w:t xml:space="preserve">- minimum clasa de reacție la foc </w:t>
      </w:r>
      <w:r>
        <w:rPr>
          <w:b/>
          <w:bCs/>
          <w:sz w:val="24"/>
          <w:szCs w:val="24"/>
        </w:rPr>
        <w:t>D-s2d0</w:t>
      </w:r>
      <w:r>
        <w:rPr>
          <w:sz w:val="24"/>
          <w:szCs w:val="24"/>
        </w:rPr>
        <w:t xml:space="preserve"> sau a căror finisaje îndeplinesc criteriile de performanță la foc minim </w:t>
      </w:r>
      <w:r>
        <w:rPr>
          <w:b/>
          <w:bCs/>
          <w:sz w:val="24"/>
          <w:szCs w:val="24"/>
        </w:rPr>
        <w:t>K</w:t>
      </w:r>
      <w:r>
        <w:rPr>
          <w:b/>
          <w:bCs/>
          <w:sz w:val="24"/>
          <w:szCs w:val="24"/>
          <w:vertAlign w:val="subscript"/>
        </w:rPr>
        <w:t>2</w:t>
      </w:r>
      <w:r>
        <w:rPr>
          <w:b/>
          <w:bCs/>
          <w:sz w:val="24"/>
          <w:szCs w:val="24"/>
        </w:rPr>
        <w:t xml:space="preserve"> 10 </w:t>
      </w:r>
      <w:r>
        <w:rPr>
          <w:sz w:val="24"/>
          <w:szCs w:val="24"/>
        </w:rPr>
        <w:t xml:space="preserve">(la niv. </w:t>
      </w:r>
      <w:r>
        <w:rPr>
          <w:b/>
          <w:bCs/>
          <w:sz w:val="24"/>
          <w:szCs w:val="24"/>
        </w:rPr>
        <w:t>IV</w:t>
      </w:r>
      <w:r>
        <w:rPr>
          <w:sz w:val="24"/>
          <w:szCs w:val="24"/>
        </w:rPr>
        <w:t xml:space="preserve"> și </w:t>
      </w:r>
      <w:r>
        <w:rPr>
          <w:b/>
          <w:bCs/>
          <w:sz w:val="24"/>
          <w:szCs w:val="24"/>
        </w:rPr>
        <w:t>V</w:t>
      </w:r>
      <w:r>
        <w:rPr>
          <w:sz w:val="24"/>
          <w:szCs w:val="24"/>
        </w:rPr>
        <w:t xml:space="preserve"> de stabilitate la incendiu);</w:t>
      </w:r>
    </w:p>
    <w:p w14:paraId="688CDB66" w14:textId="77777777" w:rsidR="001C08A5" w:rsidRDefault="00000000">
      <w:pPr>
        <w:ind w:left="2869" w:firstLine="720"/>
        <w:jc w:val="both"/>
        <w:rPr>
          <w:b/>
          <w:bCs/>
          <w:sz w:val="24"/>
          <w:szCs w:val="24"/>
        </w:rPr>
      </w:pPr>
      <w:r>
        <w:rPr>
          <w:sz w:val="24"/>
          <w:szCs w:val="24"/>
        </w:rPr>
        <w:t xml:space="preserve">- minimum clasa de reacție la foc </w:t>
      </w:r>
      <w:r>
        <w:rPr>
          <w:b/>
          <w:bCs/>
          <w:sz w:val="24"/>
          <w:szCs w:val="24"/>
        </w:rPr>
        <w:t>C-s2d0</w:t>
      </w:r>
      <w:r>
        <w:rPr>
          <w:sz w:val="24"/>
          <w:szCs w:val="24"/>
        </w:rPr>
        <w:t xml:space="preserve"> sau a căror finisaje îndeplinesc criteriile de performanță la foc minim </w:t>
      </w:r>
      <w:r>
        <w:rPr>
          <w:b/>
          <w:bCs/>
          <w:sz w:val="24"/>
          <w:szCs w:val="24"/>
        </w:rPr>
        <w:t>K</w:t>
      </w:r>
      <w:r>
        <w:rPr>
          <w:b/>
          <w:bCs/>
          <w:sz w:val="24"/>
          <w:szCs w:val="24"/>
          <w:vertAlign w:val="subscript"/>
        </w:rPr>
        <w:t>2</w:t>
      </w:r>
      <w:r>
        <w:rPr>
          <w:b/>
          <w:bCs/>
          <w:sz w:val="24"/>
          <w:szCs w:val="24"/>
        </w:rPr>
        <w:t xml:space="preserve"> 30 </w:t>
      </w:r>
      <w:r>
        <w:rPr>
          <w:sz w:val="24"/>
          <w:szCs w:val="24"/>
        </w:rPr>
        <w:t xml:space="preserve">(la niv. </w:t>
      </w:r>
      <w:r>
        <w:rPr>
          <w:b/>
          <w:bCs/>
          <w:sz w:val="24"/>
          <w:szCs w:val="24"/>
        </w:rPr>
        <w:t>III</w:t>
      </w:r>
      <w:r>
        <w:rPr>
          <w:sz w:val="24"/>
          <w:szCs w:val="24"/>
        </w:rPr>
        <w:t xml:space="preserve"> de stabilitate la incendiu);</w:t>
      </w:r>
    </w:p>
    <w:p w14:paraId="7EC9CAB1" w14:textId="77777777" w:rsidR="001C08A5" w:rsidRDefault="00000000">
      <w:pPr>
        <w:ind w:left="2869" w:firstLine="720"/>
        <w:jc w:val="both"/>
        <w:rPr>
          <w:sz w:val="24"/>
          <w:szCs w:val="24"/>
        </w:rPr>
      </w:pPr>
      <w:r>
        <w:rPr>
          <w:sz w:val="24"/>
          <w:szCs w:val="24"/>
        </w:rPr>
        <w:t xml:space="preserve">- minimum clasa de reacție la foc </w:t>
      </w:r>
      <w:r>
        <w:rPr>
          <w:b/>
          <w:bCs/>
          <w:sz w:val="24"/>
          <w:szCs w:val="24"/>
        </w:rPr>
        <w:t>B-s1d0</w:t>
      </w:r>
      <w:r>
        <w:rPr>
          <w:sz w:val="24"/>
          <w:szCs w:val="24"/>
        </w:rPr>
        <w:t xml:space="preserve"> sau a căror finisaje îndeplinesc criteriile de performanță la foc minim </w:t>
      </w:r>
      <w:r>
        <w:rPr>
          <w:b/>
          <w:bCs/>
          <w:sz w:val="24"/>
          <w:szCs w:val="24"/>
        </w:rPr>
        <w:t>K</w:t>
      </w:r>
      <w:r>
        <w:rPr>
          <w:b/>
          <w:bCs/>
          <w:sz w:val="24"/>
          <w:szCs w:val="24"/>
          <w:vertAlign w:val="subscript"/>
        </w:rPr>
        <w:t>2</w:t>
      </w:r>
      <w:r>
        <w:rPr>
          <w:b/>
          <w:bCs/>
          <w:sz w:val="24"/>
          <w:szCs w:val="24"/>
        </w:rPr>
        <w:t xml:space="preserve"> 60 </w:t>
      </w:r>
      <w:r>
        <w:rPr>
          <w:sz w:val="24"/>
          <w:szCs w:val="24"/>
        </w:rPr>
        <w:t xml:space="preserve">(la niv. </w:t>
      </w:r>
      <w:r>
        <w:rPr>
          <w:b/>
          <w:bCs/>
          <w:sz w:val="24"/>
          <w:szCs w:val="24"/>
        </w:rPr>
        <w:t>II</w:t>
      </w:r>
      <w:r>
        <w:rPr>
          <w:sz w:val="24"/>
          <w:szCs w:val="24"/>
        </w:rPr>
        <w:t xml:space="preserve"> de stabilitate la incendiu).</w:t>
      </w:r>
    </w:p>
    <w:p w14:paraId="1E71E50F" w14:textId="77777777" w:rsidR="001C08A5" w:rsidRDefault="00000000">
      <w:pPr>
        <w:ind w:left="2869" w:firstLine="720"/>
        <w:jc w:val="both"/>
        <w:rPr>
          <w:sz w:val="24"/>
          <w:szCs w:val="24"/>
        </w:rPr>
      </w:pPr>
      <w:r>
        <w:rPr>
          <w:sz w:val="24"/>
          <w:szCs w:val="24"/>
        </w:rPr>
        <w:t xml:space="preserve">- nu se admit (la niv. </w:t>
      </w:r>
      <w:r>
        <w:rPr>
          <w:b/>
          <w:bCs/>
          <w:sz w:val="24"/>
          <w:szCs w:val="24"/>
        </w:rPr>
        <w:t>I</w:t>
      </w:r>
      <w:r>
        <w:rPr>
          <w:sz w:val="24"/>
          <w:szCs w:val="24"/>
        </w:rPr>
        <w:t xml:space="preserve"> de stabilitate la incendiu).</w:t>
      </w:r>
    </w:p>
    <w:p w14:paraId="126D3490" w14:textId="77777777" w:rsidR="001C08A5" w:rsidRDefault="001C08A5">
      <w:pPr>
        <w:rPr>
          <w:b/>
          <w:sz w:val="24"/>
          <w:szCs w:val="24"/>
        </w:rPr>
      </w:pPr>
    </w:p>
    <w:p w14:paraId="02863010" w14:textId="77777777" w:rsidR="001C08A5" w:rsidRDefault="00000000">
      <w:pPr>
        <w:jc w:val="both"/>
        <w:rPr>
          <w:sz w:val="24"/>
          <w:szCs w:val="24"/>
        </w:rPr>
      </w:pPr>
      <w:r>
        <w:rPr>
          <w:b/>
          <w:sz w:val="24"/>
          <w:szCs w:val="24"/>
        </w:rPr>
        <w:tab/>
        <w:t xml:space="preserve">Art. </w:t>
      </w:r>
      <w:r>
        <w:rPr>
          <w:b/>
          <w:bCs/>
          <w:sz w:val="24"/>
          <w:szCs w:val="24"/>
        </w:rPr>
        <w:t>2.1.3.</w:t>
      </w:r>
      <w:r>
        <w:rPr>
          <w:b/>
          <w:sz w:val="24"/>
          <w:szCs w:val="24"/>
        </w:rPr>
        <w:t xml:space="preserve">5. (1) </w:t>
      </w:r>
      <w:r>
        <w:rPr>
          <w:sz w:val="24"/>
          <w:szCs w:val="24"/>
        </w:rPr>
        <w:t xml:space="preserve">Se poate reduce rezistenţa la foc a elementelor de construcţie clasa de reacţie la foc </w:t>
      </w:r>
      <w:r>
        <w:rPr>
          <w:b/>
          <w:sz w:val="24"/>
          <w:szCs w:val="24"/>
        </w:rPr>
        <w:t>A1,</w:t>
      </w:r>
      <w:r>
        <w:rPr>
          <w:sz w:val="24"/>
          <w:szCs w:val="24"/>
        </w:rPr>
        <w:t xml:space="preserve"> până la minimum </w:t>
      </w:r>
      <w:r>
        <w:rPr>
          <w:b/>
          <w:sz w:val="24"/>
          <w:szCs w:val="24"/>
        </w:rPr>
        <w:t>15</w:t>
      </w:r>
      <w:r>
        <w:rPr>
          <w:sz w:val="24"/>
          <w:szCs w:val="24"/>
        </w:rPr>
        <w:t xml:space="preserve"> minute, pentru pereţi şi planşee, stâlpi, grinzi, ferme, contravântuiri şi şarpante ale acoperişurilor construcţiilor şi compartimentelor de incendiu cu înălţimi obişnuite, care nu delimitează căi de evacuare a utilizatorilor, considerându-se că acestea îndeplinesc condiţiile pentru nivelul </w:t>
      </w:r>
      <w:r>
        <w:rPr>
          <w:b/>
          <w:sz w:val="24"/>
          <w:szCs w:val="24"/>
        </w:rPr>
        <w:t>II</w:t>
      </w:r>
      <w:r>
        <w:rPr>
          <w:sz w:val="24"/>
          <w:szCs w:val="24"/>
        </w:rPr>
        <w:t xml:space="preserve"> de stabilitate la incendiu, la:</w:t>
      </w:r>
    </w:p>
    <w:p w14:paraId="70EE8EAE" w14:textId="77777777" w:rsidR="001C08A5" w:rsidRDefault="00000000">
      <w:pPr>
        <w:ind w:left="2977"/>
        <w:jc w:val="both"/>
        <w:rPr>
          <w:b/>
          <w:sz w:val="24"/>
          <w:szCs w:val="24"/>
        </w:rPr>
      </w:pPr>
      <w:r>
        <w:rPr>
          <w:b/>
          <w:sz w:val="24"/>
          <w:szCs w:val="24"/>
        </w:rPr>
        <w:t>a)</w:t>
      </w:r>
      <w:r>
        <w:rPr>
          <w:sz w:val="24"/>
          <w:szCs w:val="24"/>
        </w:rPr>
        <w:t xml:space="preserve"> parcajele supraterane deschise pentru autoturisme cu înălţimea liberă de maximum </w:t>
      </w:r>
      <w:r>
        <w:rPr>
          <w:b/>
          <w:bCs/>
          <w:sz w:val="24"/>
          <w:szCs w:val="24"/>
        </w:rPr>
        <w:t>15 m</w:t>
      </w:r>
      <w:r>
        <w:rPr>
          <w:sz w:val="24"/>
          <w:szCs w:val="24"/>
        </w:rPr>
        <w:t>, cu aria construită (</w:t>
      </w:r>
      <w:r>
        <w:rPr>
          <w:b/>
          <w:bCs/>
          <w:sz w:val="24"/>
          <w:szCs w:val="24"/>
        </w:rPr>
        <w:t>Ac</w:t>
      </w:r>
      <w:r>
        <w:rPr>
          <w:sz w:val="24"/>
          <w:szCs w:val="24"/>
        </w:rPr>
        <w:t xml:space="preserve">) de maximum </w:t>
      </w:r>
      <w:r>
        <w:rPr>
          <w:b/>
          <w:bCs/>
          <w:sz w:val="24"/>
          <w:szCs w:val="24"/>
        </w:rPr>
        <w:t>3.000 m²</w:t>
      </w:r>
      <w:r>
        <w:rPr>
          <w:sz w:val="24"/>
          <w:szCs w:val="24"/>
        </w:rPr>
        <w:t xml:space="preserve"> și maxim </w:t>
      </w:r>
      <w:r>
        <w:rPr>
          <w:b/>
          <w:bCs/>
          <w:sz w:val="24"/>
          <w:szCs w:val="24"/>
        </w:rPr>
        <w:t>3</w:t>
      </w:r>
      <w:r>
        <w:rPr>
          <w:sz w:val="24"/>
          <w:szCs w:val="24"/>
        </w:rPr>
        <w:t xml:space="preserve"> niveluri supraterane;</w:t>
      </w:r>
    </w:p>
    <w:p w14:paraId="0AE4A440" w14:textId="77777777" w:rsidR="001C08A5" w:rsidRDefault="00000000">
      <w:pPr>
        <w:ind w:left="2977"/>
        <w:jc w:val="both"/>
        <w:rPr>
          <w:sz w:val="24"/>
          <w:szCs w:val="24"/>
        </w:rPr>
      </w:pPr>
      <w:r>
        <w:rPr>
          <w:b/>
          <w:sz w:val="24"/>
          <w:szCs w:val="24"/>
        </w:rPr>
        <w:t xml:space="preserve">b) </w:t>
      </w:r>
      <w:r>
        <w:rPr>
          <w:sz w:val="24"/>
          <w:szCs w:val="24"/>
        </w:rPr>
        <w:t xml:space="preserve">construcţiile de producţie şi/sau depozitare cu regim de înălțime parter, având risc mic de incendiu, în condiţiile în care densitatea de sarcină termică rezultată din substanţele și materialele combustibile din spaţiile respective nu depăşeşte </w:t>
      </w:r>
      <w:r>
        <w:rPr>
          <w:b/>
          <w:bCs/>
          <w:sz w:val="24"/>
          <w:szCs w:val="24"/>
        </w:rPr>
        <w:t>420 MJ/m</w:t>
      </w:r>
      <w:r>
        <w:rPr>
          <w:b/>
          <w:bCs/>
          <w:sz w:val="24"/>
          <w:szCs w:val="24"/>
          <w:vertAlign w:val="superscript"/>
        </w:rPr>
        <w:t>2</w:t>
      </w:r>
      <w:r>
        <w:rPr>
          <w:sz w:val="24"/>
          <w:szCs w:val="24"/>
        </w:rPr>
        <w:t xml:space="preserve"> (materialele și substanțele combustibile nu trebuie </w:t>
      </w:r>
      <w:r>
        <w:rPr>
          <w:sz w:val="24"/>
          <w:szCs w:val="24"/>
          <w:lang w:eastAsia="zh-CN"/>
        </w:rPr>
        <w:t>amplasate comasat lângă elementele structurale astfel încât să poată conduce la afectarea acestora</w:t>
      </w:r>
      <w:r>
        <w:rPr>
          <w:sz w:val="24"/>
          <w:szCs w:val="24"/>
        </w:rPr>
        <w:t xml:space="preserve">) cu aria construită de cel mult </w:t>
      </w:r>
      <w:r>
        <w:rPr>
          <w:b/>
          <w:bCs/>
          <w:sz w:val="24"/>
          <w:szCs w:val="24"/>
        </w:rPr>
        <w:t>2.000</w:t>
      </w:r>
      <w:r>
        <w:rPr>
          <w:sz w:val="24"/>
          <w:szCs w:val="24"/>
        </w:rPr>
        <w:t xml:space="preserve"> </w:t>
      </w:r>
      <w:r>
        <w:rPr>
          <w:b/>
          <w:bCs/>
          <w:sz w:val="24"/>
          <w:szCs w:val="24"/>
        </w:rPr>
        <w:t>m</w:t>
      </w:r>
      <w:r>
        <w:rPr>
          <w:b/>
          <w:bCs/>
          <w:sz w:val="24"/>
          <w:szCs w:val="24"/>
          <w:vertAlign w:val="superscript"/>
        </w:rPr>
        <w:t>2</w:t>
      </w:r>
      <w:r>
        <w:rPr>
          <w:sz w:val="24"/>
          <w:szCs w:val="24"/>
        </w:rPr>
        <w:t xml:space="preserve">;  </w:t>
      </w:r>
    </w:p>
    <w:p w14:paraId="007DD92F" w14:textId="77777777" w:rsidR="001C08A5" w:rsidRDefault="00000000">
      <w:pPr>
        <w:ind w:left="2977"/>
        <w:jc w:val="both"/>
        <w:rPr>
          <w:sz w:val="24"/>
          <w:szCs w:val="24"/>
        </w:rPr>
      </w:pPr>
      <w:r>
        <w:rPr>
          <w:b/>
          <w:sz w:val="24"/>
          <w:szCs w:val="24"/>
        </w:rPr>
        <w:lastRenderedPageBreak/>
        <w:t xml:space="preserve">c) </w:t>
      </w:r>
      <w:r>
        <w:rPr>
          <w:sz w:val="24"/>
          <w:szCs w:val="24"/>
        </w:rPr>
        <w:t>construcţiile parter de depozitare, în vrac, a cerealelor cu aria construită (</w:t>
      </w:r>
      <w:r>
        <w:rPr>
          <w:b/>
          <w:bCs/>
          <w:sz w:val="24"/>
          <w:szCs w:val="24"/>
        </w:rPr>
        <w:t>Ac</w:t>
      </w:r>
      <w:r>
        <w:rPr>
          <w:sz w:val="24"/>
          <w:szCs w:val="24"/>
        </w:rPr>
        <w:t xml:space="preserve">) de cel mult </w:t>
      </w:r>
      <w:r>
        <w:rPr>
          <w:b/>
          <w:bCs/>
          <w:sz w:val="24"/>
          <w:szCs w:val="24"/>
        </w:rPr>
        <w:t>2.000 m</w:t>
      </w:r>
      <w:r>
        <w:rPr>
          <w:b/>
          <w:bCs/>
          <w:sz w:val="24"/>
          <w:szCs w:val="24"/>
          <w:vertAlign w:val="superscript"/>
        </w:rPr>
        <w:t>2</w:t>
      </w:r>
      <w:r>
        <w:rPr>
          <w:sz w:val="24"/>
          <w:szCs w:val="24"/>
        </w:rPr>
        <w:t>;</w:t>
      </w:r>
    </w:p>
    <w:p w14:paraId="7701A0CF" w14:textId="77777777" w:rsidR="001C08A5" w:rsidRDefault="00000000">
      <w:pPr>
        <w:ind w:left="2977"/>
        <w:jc w:val="both"/>
        <w:rPr>
          <w:sz w:val="24"/>
          <w:szCs w:val="24"/>
        </w:rPr>
      </w:pPr>
      <w:r>
        <w:rPr>
          <w:b/>
          <w:sz w:val="24"/>
          <w:szCs w:val="24"/>
        </w:rPr>
        <w:t xml:space="preserve">d) </w:t>
      </w:r>
      <w:r>
        <w:rPr>
          <w:sz w:val="24"/>
          <w:szCs w:val="24"/>
        </w:rPr>
        <w:t xml:space="preserve">construcţiile de producţie şi/sau depozitare supraterane cu densitatea sarcinii termice (q) de maximum </w:t>
      </w:r>
      <w:r>
        <w:rPr>
          <w:b/>
          <w:bCs/>
          <w:sz w:val="24"/>
          <w:szCs w:val="24"/>
        </w:rPr>
        <w:t>840 MJ/m²</w:t>
      </w:r>
      <w:r>
        <w:rPr>
          <w:sz w:val="24"/>
          <w:szCs w:val="24"/>
        </w:rPr>
        <w:t>, aria construită (</w:t>
      </w:r>
      <w:r>
        <w:rPr>
          <w:b/>
          <w:bCs/>
          <w:sz w:val="24"/>
          <w:szCs w:val="24"/>
        </w:rPr>
        <w:t>Ac</w:t>
      </w:r>
      <w:r>
        <w:rPr>
          <w:sz w:val="24"/>
          <w:szCs w:val="24"/>
        </w:rPr>
        <w:t xml:space="preserve">) de cel mult </w:t>
      </w:r>
      <w:r>
        <w:rPr>
          <w:b/>
          <w:bCs/>
          <w:sz w:val="24"/>
          <w:szCs w:val="24"/>
        </w:rPr>
        <w:t>2.000 m²</w:t>
      </w:r>
      <w:r>
        <w:rPr>
          <w:sz w:val="24"/>
          <w:szCs w:val="24"/>
        </w:rPr>
        <w:t xml:space="preserve"> și înălţimea liberă de maximum </w:t>
      </w:r>
      <w:r>
        <w:rPr>
          <w:b/>
          <w:bCs/>
          <w:sz w:val="24"/>
          <w:szCs w:val="24"/>
        </w:rPr>
        <w:t>15 m</w:t>
      </w:r>
      <w:r>
        <w:rPr>
          <w:sz w:val="24"/>
          <w:szCs w:val="24"/>
        </w:rPr>
        <w:t>, atunci când sunt prevăzute cu instalaţii automate de stingere a incendiilor.</w:t>
      </w:r>
    </w:p>
    <w:p w14:paraId="14832302" w14:textId="77777777" w:rsidR="001C08A5" w:rsidRDefault="00000000">
      <w:pPr>
        <w:ind w:left="2977"/>
        <w:jc w:val="both"/>
        <w:rPr>
          <w:sz w:val="24"/>
          <w:szCs w:val="24"/>
        </w:rPr>
      </w:pPr>
      <w:r>
        <w:rPr>
          <w:b/>
          <w:sz w:val="24"/>
          <w:szCs w:val="24"/>
        </w:rPr>
        <w:t>e)</w:t>
      </w:r>
      <w:r>
        <w:rPr>
          <w:sz w:val="24"/>
          <w:szCs w:val="24"/>
        </w:rPr>
        <w:t xml:space="preserve"> construcţiile civile, cu maximum trei niveluri supraterane, aria construită (</w:t>
      </w:r>
      <w:r>
        <w:rPr>
          <w:b/>
          <w:bCs/>
          <w:sz w:val="24"/>
          <w:szCs w:val="24"/>
        </w:rPr>
        <w:t>Ac</w:t>
      </w:r>
      <w:r>
        <w:rPr>
          <w:sz w:val="24"/>
          <w:szCs w:val="24"/>
        </w:rPr>
        <w:t xml:space="preserve">) de cel mult </w:t>
      </w:r>
      <w:r>
        <w:rPr>
          <w:b/>
          <w:bCs/>
          <w:sz w:val="24"/>
          <w:szCs w:val="24"/>
        </w:rPr>
        <w:t>600 m²</w:t>
      </w:r>
      <w:r>
        <w:rPr>
          <w:sz w:val="24"/>
          <w:szCs w:val="24"/>
        </w:rPr>
        <w:t xml:space="preserve"> și densitatea sarcinii termice (</w:t>
      </w:r>
      <w:r>
        <w:rPr>
          <w:b/>
          <w:bCs/>
          <w:sz w:val="24"/>
          <w:szCs w:val="24"/>
        </w:rPr>
        <w:t>q</w:t>
      </w:r>
      <w:r>
        <w:rPr>
          <w:sz w:val="24"/>
          <w:szCs w:val="24"/>
        </w:rPr>
        <w:t xml:space="preserve">) de maximum </w:t>
      </w:r>
      <w:r>
        <w:rPr>
          <w:b/>
          <w:sz w:val="24"/>
          <w:szCs w:val="24"/>
        </w:rPr>
        <w:t xml:space="preserve">420 </w:t>
      </w:r>
      <w:r>
        <w:rPr>
          <w:b/>
          <w:bCs/>
          <w:sz w:val="24"/>
          <w:szCs w:val="24"/>
        </w:rPr>
        <w:t>MJ/m²</w:t>
      </w:r>
      <w:r>
        <w:rPr>
          <w:sz w:val="24"/>
          <w:szCs w:val="24"/>
        </w:rPr>
        <w:t>, care nu adăpostesc persoane ce nu se pot evacua singure (definite conform terminologie);</w:t>
      </w:r>
    </w:p>
    <w:p w14:paraId="05E2C1D9" w14:textId="77777777" w:rsidR="001C08A5" w:rsidRDefault="00000000">
      <w:pPr>
        <w:ind w:left="2977"/>
        <w:jc w:val="both"/>
        <w:rPr>
          <w:sz w:val="24"/>
          <w:szCs w:val="24"/>
        </w:rPr>
      </w:pPr>
      <w:r>
        <w:rPr>
          <w:b/>
          <w:sz w:val="24"/>
          <w:szCs w:val="24"/>
        </w:rPr>
        <w:t>f)</w:t>
      </w:r>
      <w:r>
        <w:rPr>
          <w:sz w:val="24"/>
          <w:szCs w:val="24"/>
        </w:rPr>
        <w:t xml:space="preserve"> construcţiile deschise destinate activităţilor sportive cu densitatea sarcinii termice (</w:t>
      </w:r>
      <w:r>
        <w:rPr>
          <w:b/>
          <w:bCs/>
          <w:sz w:val="24"/>
          <w:szCs w:val="24"/>
        </w:rPr>
        <w:t>q</w:t>
      </w:r>
      <w:r>
        <w:rPr>
          <w:sz w:val="24"/>
          <w:szCs w:val="24"/>
        </w:rPr>
        <w:t xml:space="preserve">) de maximum </w:t>
      </w:r>
      <w:r>
        <w:rPr>
          <w:b/>
          <w:sz w:val="24"/>
          <w:szCs w:val="24"/>
        </w:rPr>
        <w:t>420 MJ/m²</w:t>
      </w:r>
      <w:r>
        <w:rPr>
          <w:sz w:val="24"/>
          <w:szCs w:val="24"/>
        </w:rPr>
        <w:t>;</w:t>
      </w:r>
    </w:p>
    <w:p w14:paraId="67334532" w14:textId="77777777" w:rsidR="001C08A5" w:rsidRDefault="00000000">
      <w:pPr>
        <w:ind w:firstLine="720"/>
        <w:jc w:val="both"/>
        <w:rPr>
          <w:sz w:val="24"/>
          <w:szCs w:val="24"/>
        </w:rPr>
      </w:pPr>
      <w:r>
        <w:rPr>
          <w:b/>
          <w:bCs/>
          <w:sz w:val="24"/>
          <w:szCs w:val="24"/>
        </w:rPr>
        <w:t xml:space="preserve">(2) </w:t>
      </w:r>
      <w:r>
        <w:rPr>
          <w:sz w:val="24"/>
          <w:szCs w:val="24"/>
        </w:rPr>
        <w:t xml:space="preserve">La construcţiile menţionate la </w:t>
      </w:r>
      <w:r>
        <w:rPr>
          <w:b/>
          <w:sz w:val="24"/>
          <w:szCs w:val="24"/>
        </w:rPr>
        <w:t>alin. (1)</w:t>
      </w:r>
      <w:r>
        <w:rPr>
          <w:sz w:val="24"/>
          <w:szCs w:val="24"/>
        </w:rPr>
        <w:t xml:space="preserve"> planşeele şi pereţii de separare a căilor de evacuare în </w:t>
      </w:r>
      <w:r>
        <w:rPr>
          <w:rStyle w:val="Emphasis"/>
          <w:i w:val="0"/>
          <w:sz w:val="24"/>
          <w:szCs w:val="24"/>
        </w:rPr>
        <w:t xml:space="preserve">caz </w:t>
      </w:r>
      <w:r>
        <w:rPr>
          <w:sz w:val="24"/>
          <w:szCs w:val="24"/>
        </w:rPr>
        <w:t xml:space="preserve">de incendiu (coridoare, holuri, degajamente protejate, case de scări), rampele scărilor de circulaţie funcţională şi de evacuare în caz de incendiu, precum și structura de rezistenţă aferentă acestor elemente de construcţie, trebuie să îndeplinească condiţiile minime stabilite pentru construcţiile cu nivelul </w:t>
      </w:r>
      <w:r>
        <w:rPr>
          <w:b/>
          <w:bCs/>
          <w:sz w:val="24"/>
          <w:szCs w:val="24"/>
        </w:rPr>
        <w:t>II</w:t>
      </w:r>
      <w:r>
        <w:rPr>
          <w:sz w:val="24"/>
          <w:szCs w:val="24"/>
        </w:rPr>
        <w:t xml:space="preserve"> de stabilitate la incendiu.</w:t>
      </w:r>
    </w:p>
    <w:p w14:paraId="34F2852D" w14:textId="77777777" w:rsidR="001C08A5" w:rsidRDefault="00000000">
      <w:pPr>
        <w:widowControl w:val="0"/>
        <w:ind w:firstLine="720"/>
        <w:jc w:val="both"/>
        <w:rPr>
          <w:sz w:val="24"/>
          <w:szCs w:val="24"/>
        </w:rPr>
      </w:pPr>
      <w:r>
        <w:rPr>
          <w:b/>
          <w:bCs/>
          <w:sz w:val="24"/>
          <w:szCs w:val="24"/>
        </w:rPr>
        <w:t>(3)</w:t>
      </w:r>
      <w:r>
        <w:rPr>
          <w:sz w:val="24"/>
          <w:szCs w:val="24"/>
        </w:rPr>
        <w:t xml:space="preserve"> La construcţiile de producţie şi/sau depozitare parter menţionate la </w:t>
      </w:r>
      <w:r>
        <w:rPr>
          <w:b/>
          <w:sz w:val="24"/>
          <w:szCs w:val="24"/>
        </w:rPr>
        <w:t>alin. (1)</w:t>
      </w:r>
      <w:r>
        <w:rPr>
          <w:bCs/>
          <w:sz w:val="24"/>
          <w:szCs w:val="24"/>
        </w:rPr>
        <w:t>,</w:t>
      </w:r>
      <w:r>
        <w:rPr>
          <w:b/>
          <w:sz w:val="24"/>
          <w:szCs w:val="24"/>
        </w:rPr>
        <w:t xml:space="preserve"> </w:t>
      </w:r>
      <w:r>
        <w:rPr>
          <w:sz w:val="24"/>
          <w:szCs w:val="24"/>
        </w:rPr>
        <w:t xml:space="preserve">având risc mic de incendiu, în condiţiile în care densitatea de sarcină termică rezultată din substanţele și materialele combustibile din spaţiile respective nu depăşeşte </w:t>
      </w:r>
      <w:r>
        <w:rPr>
          <w:b/>
          <w:bCs/>
          <w:sz w:val="24"/>
          <w:szCs w:val="24"/>
        </w:rPr>
        <w:t>420 MJ/m</w:t>
      </w:r>
      <w:r>
        <w:rPr>
          <w:b/>
          <w:bCs/>
          <w:sz w:val="24"/>
          <w:szCs w:val="24"/>
          <w:vertAlign w:val="superscript"/>
        </w:rPr>
        <w:t xml:space="preserve">2 </w:t>
      </w:r>
      <w:r>
        <w:rPr>
          <w:sz w:val="24"/>
          <w:szCs w:val="24"/>
        </w:rPr>
        <w:t xml:space="preserve"> nu se stabilesc criterii de performanță la foc pentru elementele de separare a căilor de evacuare, dar lungimea căilor de evacuare se reduce cu </w:t>
      </w:r>
      <w:r>
        <w:rPr>
          <w:b/>
          <w:bCs/>
          <w:sz w:val="24"/>
          <w:szCs w:val="24"/>
        </w:rPr>
        <w:t>25%</w:t>
      </w:r>
      <w:r>
        <w:rPr>
          <w:sz w:val="24"/>
          <w:szCs w:val="24"/>
        </w:rPr>
        <w:t xml:space="preserve"> față de valoarea stabilită în normativ.</w:t>
      </w:r>
    </w:p>
    <w:p w14:paraId="56EBEC68" w14:textId="77777777" w:rsidR="001C08A5" w:rsidRDefault="00000000">
      <w:pPr>
        <w:widowControl w:val="0"/>
        <w:ind w:firstLine="720"/>
        <w:jc w:val="both"/>
        <w:rPr>
          <w:sz w:val="24"/>
          <w:szCs w:val="24"/>
        </w:rPr>
      </w:pPr>
      <w:r>
        <w:rPr>
          <w:b/>
          <w:sz w:val="24"/>
          <w:szCs w:val="24"/>
        </w:rPr>
        <w:t>(4)</w:t>
      </w:r>
      <w:r>
        <w:rPr>
          <w:sz w:val="24"/>
          <w:szCs w:val="24"/>
        </w:rPr>
        <w:t xml:space="preserve"> Construcţiile menţionate la </w:t>
      </w:r>
      <w:r>
        <w:rPr>
          <w:b/>
          <w:sz w:val="24"/>
          <w:szCs w:val="24"/>
        </w:rPr>
        <w:t>alin. (1)</w:t>
      </w:r>
      <w:r>
        <w:rPr>
          <w:sz w:val="24"/>
          <w:szCs w:val="24"/>
        </w:rPr>
        <w:t xml:space="preserve"> vor avea asigurate condiţiile normate de limitare a propagării incendiilor atât prin exterior (pe faţade), cât şi prin interiorul clădirii.</w:t>
      </w:r>
    </w:p>
    <w:p w14:paraId="33D9428D" w14:textId="77777777" w:rsidR="001C08A5" w:rsidRDefault="001C08A5">
      <w:pPr>
        <w:widowControl w:val="0"/>
        <w:ind w:firstLine="720"/>
        <w:jc w:val="both"/>
        <w:rPr>
          <w:sz w:val="24"/>
          <w:szCs w:val="24"/>
        </w:rPr>
      </w:pPr>
    </w:p>
    <w:p w14:paraId="30DADCDC" w14:textId="77777777" w:rsidR="001C08A5" w:rsidRDefault="00000000">
      <w:pPr>
        <w:widowControl w:val="0"/>
        <w:ind w:firstLine="720"/>
        <w:jc w:val="both"/>
        <w:rPr>
          <w:sz w:val="24"/>
          <w:szCs w:val="24"/>
        </w:rPr>
      </w:pPr>
      <w:r>
        <w:rPr>
          <w:b/>
          <w:bCs/>
          <w:sz w:val="24"/>
          <w:szCs w:val="24"/>
        </w:rPr>
        <w:t xml:space="preserve">Art. 2.3.1.6 (1) </w:t>
      </w:r>
      <w:r>
        <w:rPr>
          <w:sz w:val="24"/>
          <w:szCs w:val="24"/>
        </w:rPr>
        <w:t>Construcțiile modulare (de tip container) , indiferent de nivelul de stabilitate la incendiu, se vor limita la un singur nivel (parter).</w:t>
      </w:r>
    </w:p>
    <w:p w14:paraId="5757C241" w14:textId="77777777" w:rsidR="001C08A5" w:rsidRDefault="00000000">
      <w:pPr>
        <w:widowControl w:val="0"/>
        <w:numPr>
          <w:ilvl w:val="0"/>
          <w:numId w:val="31"/>
        </w:numPr>
        <w:ind w:firstLine="720"/>
        <w:jc w:val="both"/>
        <w:rPr>
          <w:sz w:val="24"/>
          <w:szCs w:val="24"/>
        </w:rPr>
      </w:pPr>
      <w:r>
        <w:rPr>
          <w:sz w:val="24"/>
          <w:szCs w:val="24"/>
        </w:rPr>
        <w:t xml:space="preserve">Prin excepție de la </w:t>
      </w:r>
      <w:r>
        <w:rPr>
          <w:b/>
          <w:bCs/>
          <w:sz w:val="24"/>
          <w:szCs w:val="24"/>
        </w:rPr>
        <w:t xml:space="preserve">alin. (1) </w:t>
      </w:r>
      <w:r>
        <w:rPr>
          <w:sz w:val="24"/>
          <w:szCs w:val="24"/>
        </w:rPr>
        <w:t xml:space="preserve">se pot realiza construcții modulare (de tip container) încadrate în nivelul de stabilitate la incendiu </w:t>
      </w:r>
      <w:r>
        <w:rPr>
          <w:b/>
          <w:bCs/>
          <w:sz w:val="24"/>
          <w:szCs w:val="24"/>
        </w:rPr>
        <w:t>V</w:t>
      </w:r>
      <w:r>
        <w:rPr>
          <w:sz w:val="24"/>
          <w:szCs w:val="24"/>
        </w:rPr>
        <w:t xml:space="preserve"> cu două niveluri (parter și un etaj) cu destinație de organizare de șantier precum și pentru clădiri de locuit cu două niveluri (parter și un etaj). </w:t>
      </w:r>
    </w:p>
    <w:p w14:paraId="5CC42BC0" w14:textId="77777777" w:rsidR="001C08A5" w:rsidRDefault="00000000">
      <w:pPr>
        <w:widowControl w:val="0"/>
        <w:numPr>
          <w:ilvl w:val="0"/>
          <w:numId w:val="31"/>
        </w:numPr>
        <w:ind w:firstLine="720"/>
        <w:jc w:val="both"/>
        <w:rPr>
          <w:b/>
          <w:bCs/>
          <w:sz w:val="24"/>
          <w:szCs w:val="24"/>
        </w:rPr>
      </w:pPr>
      <w:r>
        <w:rPr>
          <w:sz w:val="24"/>
          <w:szCs w:val="24"/>
        </w:rPr>
        <w:t xml:space="preserve">Prin excepție de la </w:t>
      </w:r>
      <w:r>
        <w:rPr>
          <w:b/>
          <w:bCs/>
          <w:sz w:val="24"/>
          <w:szCs w:val="24"/>
        </w:rPr>
        <w:t>alin. (2)</w:t>
      </w:r>
      <w:r>
        <w:rPr>
          <w:sz w:val="24"/>
          <w:szCs w:val="24"/>
        </w:rPr>
        <w:t xml:space="preserve">, în cazul construcțiilor cu destinația de organizare de șantier încadrate în nivelul </w:t>
      </w:r>
      <w:r>
        <w:rPr>
          <w:b/>
          <w:bCs/>
          <w:sz w:val="24"/>
          <w:szCs w:val="24"/>
        </w:rPr>
        <w:t>V</w:t>
      </w:r>
      <w:r>
        <w:rPr>
          <w:sz w:val="24"/>
          <w:szCs w:val="24"/>
        </w:rPr>
        <w:t xml:space="preserve"> de stabilitate la incendiu, investitorii/beneficiarii pot adopta un nivel în plus față de prevederile de la </w:t>
      </w:r>
      <w:r>
        <w:rPr>
          <w:b/>
          <w:bCs/>
          <w:sz w:val="24"/>
          <w:szCs w:val="24"/>
        </w:rPr>
        <w:t>alin. (2)</w:t>
      </w:r>
      <w:r>
        <w:rPr>
          <w:sz w:val="24"/>
          <w:szCs w:val="24"/>
        </w:rPr>
        <w:t>, respectiv un regim de înălțime parter și două etaje, cu condiția echipării acestora cu instalație de detectare, semnalizare și alarmare a incendiului.</w:t>
      </w:r>
    </w:p>
    <w:p w14:paraId="6CCF536B" w14:textId="77777777" w:rsidR="001C08A5" w:rsidRDefault="001C08A5">
      <w:pPr>
        <w:widowControl w:val="0"/>
        <w:ind w:firstLine="720"/>
        <w:jc w:val="both"/>
        <w:rPr>
          <w:b/>
          <w:bCs/>
          <w:sz w:val="24"/>
          <w:szCs w:val="24"/>
        </w:rPr>
      </w:pPr>
    </w:p>
    <w:p w14:paraId="68C01493" w14:textId="77777777" w:rsidR="001C08A5" w:rsidRDefault="00000000">
      <w:pPr>
        <w:widowControl w:val="0"/>
        <w:ind w:firstLine="720"/>
        <w:jc w:val="both"/>
        <w:rPr>
          <w:sz w:val="24"/>
          <w:szCs w:val="24"/>
        </w:rPr>
      </w:pPr>
      <w:r>
        <w:rPr>
          <w:b/>
          <w:bCs/>
          <w:sz w:val="24"/>
          <w:szCs w:val="24"/>
        </w:rPr>
        <w:t xml:space="preserve">Art. 2.3.1.7 (1) </w:t>
      </w:r>
      <w:r>
        <w:rPr>
          <w:sz w:val="24"/>
          <w:szCs w:val="24"/>
        </w:rPr>
        <w:t xml:space="preserve">Construcțiile parter cu destinatia de depozitare, complet automatizate, fără personal în depozit, cu înălțimea liberă mai mare de </w:t>
      </w:r>
      <w:r>
        <w:rPr>
          <w:b/>
          <w:bCs/>
          <w:sz w:val="24"/>
          <w:szCs w:val="24"/>
        </w:rPr>
        <w:t>15 m</w:t>
      </w:r>
      <w:r>
        <w:rPr>
          <w:sz w:val="24"/>
          <w:szCs w:val="24"/>
        </w:rPr>
        <w:t xml:space="preserve"> si sarcina termică mai mare de </w:t>
      </w:r>
      <w:r>
        <w:rPr>
          <w:b/>
          <w:bCs/>
          <w:sz w:val="24"/>
          <w:szCs w:val="24"/>
        </w:rPr>
        <w:t>420MJ/mp</w:t>
      </w:r>
      <w:r>
        <w:rPr>
          <w:sz w:val="24"/>
          <w:szCs w:val="24"/>
        </w:rPr>
        <w:t xml:space="preserve">, echipate cu instalații automate de stingere a incendiilor cu sprinklere atât la tavan cât și în rafturi sau cu instalație de stingere cu ceață de apă ori alte sisteme automate de stingere a incendiilor cu inundare totală a întregului volum al construcției, se pot realiza pe structura metalică neprotejate, fiind considerate corespunzătoare nivelului </w:t>
      </w:r>
      <w:r>
        <w:rPr>
          <w:b/>
          <w:bCs/>
          <w:sz w:val="24"/>
          <w:szCs w:val="24"/>
        </w:rPr>
        <w:t>II</w:t>
      </w:r>
      <w:r>
        <w:rPr>
          <w:sz w:val="24"/>
          <w:szCs w:val="24"/>
        </w:rPr>
        <w:t xml:space="preserve"> de stabilitate la incendiu.</w:t>
      </w:r>
    </w:p>
    <w:p w14:paraId="2BE22A0A" w14:textId="77777777" w:rsidR="001C08A5" w:rsidRDefault="00000000">
      <w:pPr>
        <w:widowControl w:val="0"/>
        <w:ind w:firstLine="720"/>
        <w:jc w:val="both"/>
        <w:rPr>
          <w:sz w:val="24"/>
          <w:szCs w:val="24"/>
        </w:rPr>
      </w:pPr>
      <w:r>
        <w:rPr>
          <w:b/>
          <w:bCs/>
          <w:sz w:val="24"/>
          <w:szCs w:val="24"/>
        </w:rPr>
        <w:t xml:space="preserve">(2) </w:t>
      </w:r>
      <w:r>
        <w:rPr>
          <w:sz w:val="24"/>
          <w:szCs w:val="24"/>
        </w:rPr>
        <w:t>La aceste construcții nu se prevăd hidranti interiori, iar stingerea incendiului de către forțele de intervenție se face numai din exteriorul construcției.</w:t>
      </w:r>
    </w:p>
    <w:p w14:paraId="1E7384EC" w14:textId="77777777" w:rsidR="001C08A5" w:rsidRDefault="00000000">
      <w:pPr>
        <w:widowControl w:val="0"/>
        <w:ind w:firstLine="720"/>
        <w:jc w:val="both"/>
        <w:rPr>
          <w:sz w:val="24"/>
          <w:szCs w:val="24"/>
        </w:rPr>
      </w:pPr>
      <w:r>
        <w:rPr>
          <w:b/>
          <w:bCs/>
          <w:sz w:val="24"/>
          <w:szCs w:val="24"/>
        </w:rPr>
        <w:t>(3)</w:t>
      </w:r>
      <w:r>
        <w:rPr>
          <w:sz w:val="24"/>
          <w:szCs w:val="24"/>
        </w:rPr>
        <w:t xml:space="preserve"> Distanța de siguranță dintre aceste construcții și orice construcție vecină, inclusiv cele din limita de proprietate, va fi cel puțin egală cu înălțimea depozitului, la care se adaugă </w:t>
      </w:r>
      <w:r>
        <w:rPr>
          <w:b/>
          <w:bCs/>
          <w:sz w:val="24"/>
          <w:szCs w:val="24"/>
        </w:rPr>
        <w:t>15 m</w:t>
      </w:r>
      <w:r>
        <w:rPr>
          <w:sz w:val="24"/>
          <w:szCs w:val="24"/>
        </w:rPr>
        <w:t>.</w:t>
      </w:r>
    </w:p>
    <w:p w14:paraId="50BF098E" w14:textId="77777777" w:rsidR="001C08A5" w:rsidRDefault="00000000">
      <w:pPr>
        <w:widowControl w:val="0"/>
        <w:ind w:firstLine="720"/>
        <w:jc w:val="both"/>
        <w:rPr>
          <w:sz w:val="24"/>
          <w:szCs w:val="24"/>
        </w:rPr>
      </w:pPr>
      <w:r>
        <w:rPr>
          <w:b/>
          <w:bCs/>
          <w:sz w:val="24"/>
          <w:szCs w:val="24"/>
        </w:rPr>
        <w:t>(4)</w:t>
      </w:r>
      <w:r>
        <w:rPr>
          <w:sz w:val="24"/>
          <w:szCs w:val="24"/>
        </w:rPr>
        <w:t xml:space="preserve"> În toate situațiile distanța dintre depozit și latura cea mai apropiată aferentă unei căi de acces și intervenție destinată autospecialelor pompierilor va fi va fi cel puțin egală cu înălțimea depozitului la care se adaugă </w:t>
      </w:r>
      <w:r>
        <w:rPr>
          <w:b/>
          <w:bCs/>
          <w:sz w:val="24"/>
          <w:szCs w:val="24"/>
        </w:rPr>
        <w:t>10 m</w:t>
      </w:r>
      <w:r>
        <w:rPr>
          <w:sz w:val="24"/>
          <w:szCs w:val="24"/>
        </w:rPr>
        <w:t>.</w:t>
      </w:r>
    </w:p>
    <w:p w14:paraId="4BDE72CA" w14:textId="77777777" w:rsidR="001C08A5" w:rsidRDefault="001C08A5">
      <w:pPr>
        <w:widowControl w:val="0"/>
        <w:ind w:firstLine="720"/>
        <w:jc w:val="both"/>
        <w:rPr>
          <w:sz w:val="24"/>
          <w:szCs w:val="24"/>
        </w:rPr>
      </w:pPr>
    </w:p>
    <w:p w14:paraId="2FE67FEF" w14:textId="77777777" w:rsidR="001C08A5" w:rsidRDefault="00000000">
      <w:pPr>
        <w:pStyle w:val="Heading3"/>
      </w:pPr>
      <w:bookmarkStart w:id="676" w:name="_Toc162355189"/>
      <w:bookmarkStart w:id="677" w:name="_Toc32230"/>
      <w:bookmarkStart w:id="678" w:name="_Toc30204"/>
      <w:bookmarkStart w:id="679" w:name="_Toc16887"/>
      <w:bookmarkStart w:id="680" w:name="_Toc13837"/>
      <w:bookmarkStart w:id="681" w:name="_Toc23931"/>
      <w:bookmarkStart w:id="682" w:name="_Toc17633"/>
      <w:bookmarkStart w:id="683" w:name="_Toc15370"/>
      <w:bookmarkStart w:id="684" w:name="_Toc21989"/>
      <w:bookmarkStart w:id="685" w:name="_Toc21834"/>
      <w:r>
        <w:lastRenderedPageBreak/>
        <w:t>SECŢIUNEA II</w:t>
      </w:r>
      <w:bookmarkEnd w:id="676"/>
      <w:bookmarkEnd w:id="677"/>
      <w:bookmarkEnd w:id="678"/>
      <w:bookmarkEnd w:id="679"/>
      <w:bookmarkEnd w:id="680"/>
      <w:bookmarkEnd w:id="681"/>
      <w:bookmarkEnd w:id="682"/>
      <w:bookmarkEnd w:id="683"/>
      <w:bookmarkEnd w:id="684"/>
      <w:bookmarkEnd w:id="685"/>
    </w:p>
    <w:p w14:paraId="38C6B16B" w14:textId="77777777" w:rsidR="001C08A5" w:rsidRDefault="00000000">
      <w:pPr>
        <w:pStyle w:val="Heading3"/>
      </w:pPr>
      <w:bookmarkStart w:id="686" w:name="_Toc162355190"/>
      <w:bookmarkStart w:id="687" w:name="_Toc27234"/>
      <w:bookmarkStart w:id="688" w:name="_Toc18097"/>
      <w:bookmarkStart w:id="689" w:name="_Toc1770"/>
      <w:bookmarkStart w:id="690" w:name="_Toc11904"/>
      <w:bookmarkStart w:id="691" w:name="_Toc4329"/>
      <w:bookmarkStart w:id="692" w:name="_Toc12406"/>
      <w:bookmarkStart w:id="693" w:name="_Toc943"/>
      <w:bookmarkStart w:id="694" w:name="_Toc24425"/>
      <w:bookmarkStart w:id="695" w:name="_Toc15349"/>
      <w:r>
        <w:t>2.2. Amplasarea și conformarea construcţiilor</w:t>
      </w:r>
      <w:bookmarkEnd w:id="686"/>
      <w:bookmarkEnd w:id="687"/>
      <w:bookmarkEnd w:id="688"/>
      <w:bookmarkEnd w:id="689"/>
      <w:bookmarkEnd w:id="690"/>
      <w:bookmarkEnd w:id="691"/>
      <w:bookmarkEnd w:id="692"/>
      <w:bookmarkEnd w:id="693"/>
      <w:bookmarkEnd w:id="694"/>
      <w:bookmarkEnd w:id="695"/>
    </w:p>
    <w:p w14:paraId="39911530" w14:textId="77777777" w:rsidR="001C08A5" w:rsidRDefault="001C08A5">
      <w:pPr>
        <w:rPr>
          <w:sz w:val="24"/>
          <w:szCs w:val="24"/>
        </w:rPr>
      </w:pPr>
    </w:p>
    <w:p w14:paraId="0DE69893" w14:textId="77777777" w:rsidR="001C08A5" w:rsidRDefault="00000000">
      <w:pPr>
        <w:jc w:val="both"/>
        <w:rPr>
          <w:sz w:val="24"/>
          <w:szCs w:val="24"/>
        </w:rPr>
      </w:pPr>
      <w:r>
        <w:rPr>
          <w:b/>
          <w:sz w:val="24"/>
          <w:szCs w:val="24"/>
        </w:rPr>
        <w:tab/>
        <w:t xml:space="preserve">Art. </w:t>
      </w:r>
      <w:r>
        <w:rPr>
          <w:b/>
          <w:caps/>
          <w:sz w:val="24"/>
          <w:szCs w:val="24"/>
        </w:rPr>
        <w:t>2.2.0.</w:t>
      </w:r>
      <w:r>
        <w:rPr>
          <w:b/>
          <w:sz w:val="24"/>
          <w:szCs w:val="24"/>
        </w:rPr>
        <w:t xml:space="preserve">1. </w:t>
      </w:r>
      <w:r>
        <w:rPr>
          <w:bCs/>
          <w:sz w:val="24"/>
          <w:szCs w:val="24"/>
        </w:rPr>
        <w:t xml:space="preserve">Condiţiile normate de </w:t>
      </w:r>
      <w:r>
        <w:rPr>
          <w:sz w:val="24"/>
          <w:szCs w:val="24"/>
        </w:rPr>
        <w:t>limitare a posibilităţilor de propagare a incendiilor între construcţii şi compartimente de incendiu, precum și în interiorul acestora,  sunt obligatorii şi se realizează prin:</w:t>
      </w:r>
    </w:p>
    <w:p w14:paraId="6277F37A" w14:textId="77777777" w:rsidR="001C08A5" w:rsidRDefault="00000000">
      <w:pPr>
        <w:ind w:left="1701"/>
        <w:jc w:val="both"/>
        <w:rPr>
          <w:sz w:val="24"/>
          <w:szCs w:val="24"/>
        </w:rPr>
      </w:pPr>
      <w:r>
        <w:rPr>
          <w:b/>
          <w:sz w:val="24"/>
          <w:szCs w:val="24"/>
        </w:rPr>
        <w:t>a)</w:t>
      </w:r>
      <w:r>
        <w:rPr>
          <w:sz w:val="24"/>
          <w:szCs w:val="24"/>
        </w:rPr>
        <w:t xml:space="preserve"> amplasarea la distanţele normate sau compartimentarea construcţiilor și conformarea lor corespunzătoare la foc;</w:t>
      </w:r>
    </w:p>
    <w:p w14:paraId="2EC47260" w14:textId="77777777" w:rsidR="001C08A5" w:rsidRDefault="00000000">
      <w:pPr>
        <w:ind w:left="1701"/>
        <w:jc w:val="both"/>
        <w:rPr>
          <w:b/>
          <w:sz w:val="24"/>
          <w:szCs w:val="24"/>
        </w:rPr>
      </w:pPr>
      <w:r>
        <w:rPr>
          <w:b/>
          <w:sz w:val="24"/>
          <w:szCs w:val="24"/>
        </w:rPr>
        <w:t>b)</w:t>
      </w:r>
      <w:r>
        <w:rPr>
          <w:sz w:val="24"/>
          <w:szCs w:val="24"/>
        </w:rPr>
        <w:t xml:space="preserve"> alcătuirea constructivă a elementelor de construcţii şi de instalaţii utilizate, conform prevederilor normate;</w:t>
      </w:r>
    </w:p>
    <w:p w14:paraId="4164ABA9" w14:textId="77777777" w:rsidR="001C08A5" w:rsidRDefault="00000000">
      <w:pPr>
        <w:ind w:left="1701"/>
        <w:jc w:val="both"/>
        <w:rPr>
          <w:b/>
          <w:bCs/>
          <w:sz w:val="24"/>
          <w:szCs w:val="24"/>
        </w:rPr>
      </w:pPr>
      <w:r>
        <w:rPr>
          <w:b/>
          <w:sz w:val="24"/>
          <w:szCs w:val="24"/>
        </w:rPr>
        <w:t>c)</w:t>
      </w:r>
      <w:r>
        <w:rPr>
          <w:sz w:val="24"/>
          <w:szCs w:val="24"/>
        </w:rPr>
        <w:t xml:space="preserve"> asigurarea măsurilor de protecţie constructive de limitare a propagării incendiilor în interiorul construcţiilor și/sau a compartimentelor de incendiu (pereţi şi planşee rezistente la foc şi, după caz, rezistente la explozie volumetrică), completate cu instalaţiile de protecţie împotriva incendiilor stabilite în reglementările tehnice de specialitate.</w:t>
      </w:r>
    </w:p>
    <w:p w14:paraId="4E1A439E" w14:textId="77777777" w:rsidR="001C08A5" w:rsidRDefault="00000000">
      <w:pPr>
        <w:pStyle w:val="Heading4"/>
      </w:pPr>
      <w:bookmarkStart w:id="696" w:name="_Toc192"/>
      <w:bookmarkStart w:id="697" w:name="_Toc3171"/>
      <w:bookmarkStart w:id="698" w:name="_Toc26075"/>
      <w:bookmarkStart w:id="699" w:name="_Toc137"/>
      <w:bookmarkStart w:id="700" w:name="_Toc162355191"/>
      <w:bookmarkStart w:id="701" w:name="_Toc26386"/>
      <w:bookmarkStart w:id="702" w:name="_Toc30287"/>
      <w:bookmarkStart w:id="703" w:name="_Toc1988"/>
      <w:r>
        <w:t>2.2.1. Amplasare</w:t>
      </w:r>
      <w:bookmarkEnd w:id="696"/>
      <w:bookmarkEnd w:id="697"/>
      <w:bookmarkEnd w:id="698"/>
      <w:bookmarkEnd w:id="699"/>
      <w:bookmarkEnd w:id="700"/>
      <w:bookmarkEnd w:id="701"/>
      <w:bookmarkEnd w:id="702"/>
      <w:bookmarkEnd w:id="703"/>
    </w:p>
    <w:p w14:paraId="60A0DA57" w14:textId="77777777" w:rsidR="001C08A5" w:rsidRDefault="001C08A5">
      <w:pPr>
        <w:rPr>
          <w:bCs/>
          <w:sz w:val="24"/>
          <w:szCs w:val="24"/>
        </w:rPr>
      </w:pPr>
    </w:p>
    <w:p w14:paraId="15E5228F" w14:textId="77777777" w:rsidR="001C08A5" w:rsidRDefault="00000000">
      <w:pPr>
        <w:jc w:val="both"/>
        <w:rPr>
          <w:sz w:val="24"/>
          <w:szCs w:val="24"/>
        </w:rPr>
      </w:pPr>
      <w:r>
        <w:rPr>
          <w:sz w:val="24"/>
          <w:szCs w:val="24"/>
        </w:rPr>
        <w:tab/>
      </w:r>
      <w:r>
        <w:rPr>
          <w:b/>
          <w:sz w:val="24"/>
          <w:szCs w:val="24"/>
        </w:rPr>
        <w:t xml:space="preserve">Art. </w:t>
      </w:r>
      <w:r>
        <w:rPr>
          <w:b/>
          <w:bCs/>
          <w:sz w:val="24"/>
          <w:szCs w:val="24"/>
        </w:rPr>
        <w:t>2.2.1.1</w:t>
      </w:r>
      <w:r>
        <w:rPr>
          <w:b/>
          <w:sz w:val="24"/>
          <w:szCs w:val="24"/>
        </w:rPr>
        <w:t>. (1)</w:t>
      </w:r>
      <w:r>
        <w:rPr>
          <w:sz w:val="24"/>
          <w:szCs w:val="24"/>
        </w:rPr>
        <w:t xml:space="preserve"> Construcţiile supraterane civile, de producţie şi/sau depozitare ori mixte, pot fi: </w:t>
      </w:r>
    </w:p>
    <w:p w14:paraId="126B9175" w14:textId="77777777" w:rsidR="001C08A5" w:rsidRDefault="00000000">
      <w:pPr>
        <w:numPr>
          <w:ilvl w:val="0"/>
          <w:numId w:val="32"/>
        </w:numPr>
        <w:jc w:val="both"/>
        <w:rPr>
          <w:sz w:val="24"/>
          <w:szCs w:val="24"/>
        </w:rPr>
      </w:pPr>
      <w:r>
        <w:rPr>
          <w:sz w:val="24"/>
          <w:szCs w:val="24"/>
        </w:rPr>
        <w:t>amplasate independentă la distanţele normate faţă de vecinătăţi (</w:t>
      </w:r>
      <w:r>
        <w:rPr>
          <w:b/>
          <w:bCs/>
          <w:i/>
          <w:iCs/>
          <w:sz w:val="24"/>
          <w:szCs w:val="24"/>
        </w:rPr>
        <w:fldChar w:fldCharType="begin"/>
      </w:r>
      <w:r>
        <w:rPr>
          <w:b/>
          <w:bCs/>
          <w:i/>
          <w:iCs/>
          <w:sz w:val="24"/>
          <w:szCs w:val="24"/>
        </w:rPr>
        <w:instrText xml:space="preserve"> REF _Ref8438 \h </w:instrText>
      </w:r>
      <w:r>
        <w:rPr>
          <w:b/>
          <w:bCs/>
          <w:i/>
          <w:iCs/>
          <w:sz w:val="24"/>
          <w:szCs w:val="24"/>
        </w:rPr>
      </w:r>
      <w:r>
        <w:rPr>
          <w:b/>
          <w:bCs/>
          <w:i/>
          <w:iCs/>
          <w:sz w:val="24"/>
          <w:szCs w:val="24"/>
        </w:rPr>
        <w:fldChar w:fldCharType="separate"/>
      </w:r>
      <w:r>
        <w:t>Figura 28</w:t>
      </w:r>
      <w:r>
        <w:rPr>
          <w:b/>
          <w:bCs/>
          <w:i/>
          <w:iCs/>
          <w:sz w:val="24"/>
          <w:szCs w:val="24"/>
        </w:rPr>
        <w:fldChar w:fldCharType="end"/>
      </w:r>
      <w:r>
        <w:rPr>
          <w:sz w:val="24"/>
          <w:szCs w:val="24"/>
        </w:rPr>
        <w:t xml:space="preserve">); </w:t>
      </w:r>
    </w:p>
    <w:p w14:paraId="43B7F03F" w14:textId="77777777" w:rsidR="001C08A5" w:rsidRDefault="00000000">
      <w:pPr>
        <w:numPr>
          <w:ilvl w:val="0"/>
          <w:numId w:val="32"/>
        </w:numPr>
        <w:jc w:val="both"/>
        <w:rPr>
          <w:sz w:val="24"/>
          <w:szCs w:val="24"/>
        </w:rPr>
      </w:pPr>
      <w:r>
        <w:rPr>
          <w:sz w:val="24"/>
          <w:szCs w:val="24"/>
        </w:rPr>
        <w:t>delimitate cu pereţi rezistenţi la foc de separare a compartimentelor de incendiu (pereţi antifoc) şi, după caz, planşee rezistente la foc de separare a compartimentelor de incendiu (planşee antifoc) (</w:t>
      </w:r>
      <w:r>
        <w:rPr>
          <w:b/>
          <w:bCs/>
          <w:i/>
          <w:iCs/>
          <w:sz w:val="24"/>
          <w:szCs w:val="24"/>
        </w:rPr>
        <w:fldChar w:fldCharType="begin"/>
      </w:r>
      <w:r>
        <w:rPr>
          <w:b/>
          <w:bCs/>
          <w:i/>
          <w:iCs/>
          <w:sz w:val="24"/>
          <w:szCs w:val="24"/>
        </w:rPr>
        <w:instrText xml:space="preserve"> REF _Ref8519 \h </w:instrText>
      </w:r>
      <w:r>
        <w:rPr>
          <w:b/>
          <w:bCs/>
          <w:i/>
          <w:iCs/>
          <w:sz w:val="24"/>
          <w:szCs w:val="24"/>
        </w:rPr>
      </w:r>
      <w:r>
        <w:rPr>
          <w:b/>
          <w:bCs/>
          <w:i/>
          <w:iCs/>
          <w:sz w:val="24"/>
          <w:szCs w:val="24"/>
        </w:rPr>
        <w:fldChar w:fldCharType="separate"/>
      </w:r>
      <w:r>
        <w:t>Figura 29</w:t>
      </w:r>
      <w:r>
        <w:rPr>
          <w:b/>
          <w:bCs/>
          <w:i/>
          <w:iCs/>
          <w:sz w:val="24"/>
          <w:szCs w:val="24"/>
        </w:rPr>
        <w:fldChar w:fldCharType="end"/>
      </w:r>
      <w:r>
        <w:rPr>
          <w:sz w:val="24"/>
          <w:szCs w:val="24"/>
        </w:rPr>
        <w:t xml:space="preserve">); </w:t>
      </w:r>
    </w:p>
    <w:p w14:paraId="02888A51" w14:textId="77777777" w:rsidR="001C08A5" w:rsidRDefault="00000000">
      <w:pPr>
        <w:numPr>
          <w:ilvl w:val="0"/>
          <w:numId w:val="32"/>
        </w:numPr>
        <w:jc w:val="both"/>
        <w:rPr>
          <w:sz w:val="24"/>
          <w:szCs w:val="24"/>
        </w:rPr>
      </w:pPr>
      <w:r>
        <w:rPr>
          <w:sz w:val="24"/>
          <w:szCs w:val="24"/>
        </w:rPr>
        <w:t>amplasate comasat, în limita ariei construite maxim admisă de normativ (</w:t>
      </w:r>
      <w:r>
        <w:rPr>
          <w:b/>
          <w:bCs/>
          <w:i/>
          <w:iCs/>
          <w:sz w:val="24"/>
          <w:szCs w:val="24"/>
        </w:rPr>
        <w:fldChar w:fldCharType="begin"/>
      </w:r>
      <w:r>
        <w:rPr>
          <w:b/>
          <w:bCs/>
          <w:i/>
          <w:iCs/>
          <w:sz w:val="24"/>
          <w:szCs w:val="24"/>
        </w:rPr>
        <w:instrText xml:space="preserve"> REF _Ref8559 \h </w:instrText>
      </w:r>
      <w:r>
        <w:rPr>
          <w:b/>
          <w:bCs/>
          <w:i/>
          <w:iCs/>
          <w:sz w:val="24"/>
          <w:szCs w:val="24"/>
        </w:rPr>
      </w:r>
      <w:r>
        <w:rPr>
          <w:b/>
          <w:bCs/>
          <w:i/>
          <w:iCs/>
          <w:sz w:val="24"/>
          <w:szCs w:val="24"/>
        </w:rPr>
        <w:fldChar w:fldCharType="separate"/>
      </w:r>
      <w:r>
        <w:t>Figura 30</w:t>
      </w:r>
      <w:r>
        <w:rPr>
          <w:b/>
          <w:bCs/>
          <w:i/>
          <w:iCs/>
          <w:sz w:val="24"/>
          <w:szCs w:val="24"/>
        </w:rPr>
        <w:fldChar w:fldCharType="end"/>
      </w:r>
      <w:r>
        <w:rPr>
          <w:sz w:val="24"/>
          <w:szCs w:val="24"/>
        </w:rPr>
        <w:t>).</w:t>
      </w:r>
    </w:p>
    <w:p w14:paraId="4B2EE858" w14:textId="77777777" w:rsidR="001C08A5" w:rsidRDefault="00000000">
      <w:pPr>
        <w:numPr>
          <w:ilvl w:val="0"/>
          <w:numId w:val="33"/>
        </w:numPr>
        <w:ind w:firstLine="720"/>
        <w:jc w:val="both"/>
        <w:rPr>
          <w:sz w:val="24"/>
          <w:szCs w:val="24"/>
        </w:rPr>
      </w:pPr>
      <w:r>
        <w:rPr>
          <w:sz w:val="24"/>
          <w:szCs w:val="24"/>
        </w:rPr>
        <w:t>Distanţele dintre construcţiile care se comasează nu sunt normate, dar prin însumarea ariilor construite ale clădirilor respective (</w:t>
      </w:r>
      <w:r>
        <w:rPr>
          <w:b/>
          <w:bCs/>
          <w:sz w:val="24"/>
          <w:szCs w:val="24"/>
        </w:rPr>
        <w:t>Ac</w:t>
      </w:r>
      <w:r>
        <w:rPr>
          <w:sz w:val="24"/>
          <w:szCs w:val="24"/>
        </w:rPr>
        <w:t xml:space="preserve">) trebuie respectate valorile maximum admise pentru compartimentele de incendiu, în funcţie de destinaţia și nivelul cel mai defavorabil de stabilitate la incendiu asigurat (e.g, intre nivel </w:t>
      </w:r>
      <w:r>
        <w:rPr>
          <w:b/>
          <w:bCs/>
          <w:sz w:val="24"/>
          <w:szCs w:val="24"/>
        </w:rPr>
        <w:t>II</w:t>
      </w:r>
      <w:r>
        <w:rPr>
          <w:sz w:val="24"/>
          <w:szCs w:val="24"/>
        </w:rPr>
        <w:t xml:space="preserve"> de stabilitate la incendiu si nivel </w:t>
      </w:r>
      <w:r>
        <w:rPr>
          <w:b/>
          <w:bCs/>
          <w:sz w:val="24"/>
          <w:szCs w:val="24"/>
        </w:rPr>
        <w:t>IV</w:t>
      </w:r>
      <w:r>
        <w:rPr>
          <w:sz w:val="24"/>
          <w:szCs w:val="24"/>
        </w:rPr>
        <w:t xml:space="preserve"> de stabilitate la incendiu, se alege nivel</w:t>
      </w:r>
      <w:r>
        <w:rPr>
          <w:b/>
          <w:bCs/>
          <w:sz w:val="24"/>
          <w:szCs w:val="24"/>
        </w:rPr>
        <w:t xml:space="preserve"> IV</w:t>
      </w:r>
      <w:r>
        <w:rPr>
          <w:sz w:val="24"/>
          <w:szCs w:val="24"/>
        </w:rPr>
        <w:t xml:space="preserve"> de stabilitate la incendiu), de riscul de incendiu cel mai mare şi numărul de niveluri cel mai mare normat. Compartimentele de incendiu rezultate din comasarea construcţiilor vor avea nivelul de stabilitate la incendiu determinat de clădirea cu cel mai defavorabil nivel, riscul de incendiu cel mai mare şi numărul de niveluri normat.</w:t>
      </w:r>
    </w:p>
    <w:p w14:paraId="6194442C" w14:textId="77777777" w:rsidR="001C08A5" w:rsidRDefault="00000000">
      <w:pPr>
        <w:numPr>
          <w:ilvl w:val="0"/>
          <w:numId w:val="33"/>
        </w:numPr>
        <w:ind w:firstLine="720"/>
        <w:jc w:val="both"/>
        <w:rPr>
          <w:sz w:val="24"/>
          <w:szCs w:val="24"/>
        </w:rPr>
      </w:pPr>
      <w:r>
        <w:rPr>
          <w:sz w:val="24"/>
          <w:szCs w:val="24"/>
        </w:rPr>
        <w:t>Comasarea construcțiilor se poate realiza numai în cadrul limitei de proprietate, cu excepția c</w:t>
      </w:r>
      <w:r>
        <w:rPr>
          <w:bCs/>
          <w:sz w:val="24"/>
          <w:szCs w:val="24"/>
        </w:rPr>
        <w:t>lădirilor de locuit</w:t>
      </w:r>
      <w:r>
        <w:rPr>
          <w:sz w:val="24"/>
          <w:szCs w:val="24"/>
        </w:rPr>
        <w:t xml:space="preserve"> reprezentând unități individuale cu regim normal de înălțime (max </w:t>
      </w:r>
      <w:r>
        <w:rPr>
          <w:b/>
          <w:bCs/>
          <w:sz w:val="24"/>
          <w:szCs w:val="24"/>
        </w:rPr>
        <w:t>S+P+2+M</w:t>
      </w:r>
      <w:r>
        <w:rPr>
          <w:sz w:val="24"/>
          <w:szCs w:val="24"/>
        </w:rPr>
        <w:t>), care se pot comasa și în afara limitei de proprietate. Astfel, c</w:t>
      </w:r>
      <w:r>
        <w:rPr>
          <w:bCs/>
          <w:sz w:val="24"/>
          <w:szCs w:val="24"/>
        </w:rPr>
        <w:t>lădirile de locuit</w:t>
      </w:r>
      <w:r>
        <w:rPr>
          <w:sz w:val="24"/>
          <w:szCs w:val="24"/>
        </w:rPr>
        <w:t xml:space="preserve"> reprezentând unități individuale cu regim normal de înălțime (max </w:t>
      </w:r>
      <w:r>
        <w:rPr>
          <w:b/>
          <w:bCs/>
          <w:sz w:val="24"/>
          <w:szCs w:val="24"/>
        </w:rPr>
        <w:t>S+P+2+M</w:t>
      </w:r>
      <w:r>
        <w:rPr>
          <w:sz w:val="24"/>
          <w:szCs w:val="24"/>
        </w:rPr>
        <w:t xml:space="preserve">) se amplasează fără normarea distanțelor între ele în interiorul cvartalurilor noi de construcții civile reprezentând unități individuale pentru care există rețele de hidranți exteriori dimensionate pentru cea mai defavorabilă situație, prevazându-se masuri compensatorii care vizeaza limitarea propagarii incendiilor de la o constructie la alta, în limita maxim admisă pentru un compartiment de incendiu (nivelul de stabilitate la incendiu al construcţiei sau al compartimentului de incendiu, este determinat de elementul său sau de construcția comasată cu cea mai defavorabilă încadrare în valorile normate). Ariile maxim admise pentru un compartiment de incendiu nu pot fi marite pe proprie răspundere. </w:t>
      </w:r>
    </w:p>
    <w:p w14:paraId="1008326A" w14:textId="77777777" w:rsidR="001C08A5" w:rsidRDefault="00000000">
      <w:pPr>
        <w:widowControl w:val="0"/>
        <w:ind w:firstLine="720"/>
        <w:jc w:val="both"/>
        <w:rPr>
          <w:sz w:val="24"/>
          <w:szCs w:val="24"/>
        </w:rPr>
      </w:pPr>
      <w:r>
        <w:rPr>
          <w:b/>
          <w:bCs/>
          <w:sz w:val="24"/>
          <w:szCs w:val="24"/>
        </w:rPr>
        <w:t xml:space="preserve">(4) </w:t>
      </w:r>
      <w:r>
        <w:rPr>
          <w:sz w:val="24"/>
          <w:szCs w:val="24"/>
        </w:rPr>
        <w:t xml:space="preserve">Construcţiile destinate persoanelor care nu se pot evacua singure (definite conform terminologie), precum şi cele pentru obiecte, echipamente sau aparatură de importanţă deosebita, clădirile civile supraterane înalte şi/sau foarte înalte sau cu săli aglomerate, nu se comasează cu alte construcţii. </w:t>
      </w:r>
    </w:p>
    <w:p w14:paraId="2582CB99" w14:textId="77777777" w:rsidR="001C08A5" w:rsidRDefault="00000000">
      <w:pPr>
        <w:widowControl w:val="0"/>
        <w:ind w:firstLine="720"/>
        <w:jc w:val="both"/>
        <w:rPr>
          <w:sz w:val="24"/>
          <w:szCs w:val="24"/>
        </w:rPr>
      </w:pPr>
      <w:r>
        <w:rPr>
          <w:b/>
          <w:bCs/>
          <w:sz w:val="24"/>
          <w:szCs w:val="24"/>
        </w:rPr>
        <w:t xml:space="preserve">(5) </w:t>
      </w:r>
      <w:r>
        <w:rPr>
          <w:sz w:val="24"/>
          <w:szCs w:val="24"/>
        </w:rPr>
        <w:t xml:space="preserve">În cazul delimitării cu pereţi rezistenţi la foc de separare a compartimentelor de incendiu (pereţi antifoc) şi, după caz, planşee rezistente la foc de separare a compartimentelor de incendiu (planşee antifoc) compartimentarea față de construcţiile prevăzute la alin. </w:t>
      </w:r>
      <w:r>
        <w:rPr>
          <w:b/>
          <w:bCs/>
          <w:sz w:val="24"/>
          <w:szCs w:val="24"/>
        </w:rPr>
        <w:t>(3)</w:t>
      </w:r>
      <w:r>
        <w:rPr>
          <w:sz w:val="24"/>
          <w:szCs w:val="24"/>
        </w:rPr>
        <w:t xml:space="preserve"> se poate realiza în </w:t>
      </w:r>
      <w:r>
        <w:rPr>
          <w:sz w:val="24"/>
          <w:szCs w:val="24"/>
        </w:rPr>
        <w:lastRenderedPageBreak/>
        <w:t xml:space="preserve">limitele compartimentelor de incendiu stabilite pentru fiecare tip sau functiune distincte potrivit prevederilor normativului. </w:t>
      </w:r>
    </w:p>
    <w:p w14:paraId="25C9842D" w14:textId="77777777" w:rsidR="001C08A5" w:rsidRDefault="00000000">
      <w:pPr>
        <w:widowControl w:val="0"/>
        <w:ind w:firstLine="720"/>
        <w:jc w:val="both"/>
        <w:rPr>
          <w:sz w:val="24"/>
          <w:szCs w:val="24"/>
        </w:rPr>
      </w:pPr>
      <w:r>
        <w:rPr>
          <w:b/>
          <w:bCs/>
          <w:sz w:val="24"/>
          <w:szCs w:val="24"/>
        </w:rPr>
        <w:t xml:space="preserve">(6) </w:t>
      </w:r>
      <w:r>
        <w:rPr>
          <w:sz w:val="24"/>
          <w:szCs w:val="24"/>
        </w:rPr>
        <w:t xml:space="preserve">Pentru construcţiile prevăzute la alin. </w:t>
      </w:r>
      <w:r>
        <w:rPr>
          <w:b/>
          <w:bCs/>
          <w:sz w:val="24"/>
          <w:szCs w:val="24"/>
        </w:rPr>
        <w:t xml:space="preserve">(3) </w:t>
      </w:r>
      <w:r>
        <w:rPr>
          <w:sz w:val="24"/>
          <w:szCs w:val="24"/>
        </w:rPr>
        <w:t xml:space="preserve">se asigură separarea tipurilor și/ sau a funcţiunilor diferite din compartimente diferite cu elemente de construcţie antifoc verticale şi orizontale cu rezistenţe la foc determinate în funcţie de densitatea sarcinii termice </w:t>
      </w:r>
      <w:r>
        <w:rPr>
          <w:b/>
          <w:bCs/>
          <w:sz w:val="24"/>
          <w:szCs w:val="24"/>
        </w:rPr>
        <w:t>(q)</w:t>
      </w:r>
      <w:r>
        <w:rPr>
          <w:sz w:val="24"/>
          <w:szCs w:val="24"/>
        </w:rPr>
        <w:t xml:space="preserve"> din spaţiile adiacente, dar nu mai puţin de </w:t>
      </w:r>
      <w:r>
        <w:rPr>
          <w:b/>
          <w:sz w:val="24"/>
          <w:szCs w:val="24"/>
        </w:rPr>
        <w:t xml:space="preserve">REI 180 </w:t>
      </w:r>
      <w:r>
        <w:rPr>
          <w:bCs/>
          <w:sz w:val="24"/>
          <w:szCs w:val="24"/>
        </w:rPr>
        <w:t xml:space="preserve">sau </w:t>
      </w:r>
      <w:r>
        <w:rPr>
          <w:b/>
          <w:sz w:val="24"/>
          <w:szCs w:val="24"/>
        </w:rPr>
        <w:t>EI-M 180</w:t>
      </w:r>
      <w:r>
        <w:rPr>
          <w:sz w:val="24"/>
          <w:szCs w:val="24"/>
        </w:rPr>
        <w:t xml:space="preserve"> pentru pereţi şi minimum </w:t>
      </w:r>
      <w:r>
        <w:rPr>
          <w:b/>
          <w:sz w:val="24"/>
          <w:szCs w:val="24"/>
        </w:rPr>
        <w:t xml:space="preserve">REI 120 </w:t>
      </w:r>
      <w:r>
        <w:rPr>
          <w:sz w:val="24"/>
          <w:szCs w:val="24"/>
        </w:rPr>
        <w:t>pentru planşee și protectii ale golurilor conform prevederilor normativului, asigurandu-se pentru fiecare compartiment de incendiu distinct căi de acces și de evacuare pentru utilizatori, precum și căi de acces carosabile corespunzător dimensionate pentru circulația și amplasarea autospecialelor pentru intervenție de stingere și salvare în caz de incendiu, cel puţin pe două laturi, cu posibilitate de acces în clădire de pe fațadă.</w:t>
      </w:r>
    </w:p>
    <w:p w14:paraId="3EE072C9" w14:textId="77777777" w:rsidR="001C08A5" w:rsidRDefault="00000000">
      <w:pPr>
        <w:widowControl w:val="0"/>
        <w:ind w:firstLine="720"/>
        <w:jc w:val="both"/>
      </w:pPr>
      <w:r>
        <w:rPr>
          <w:b/>
          <w:bCs/>
          <w:sz w:val="24"/>
          <w:szCs w:val="24"/>
        </w:rPr>
        <w:t xml:space="preserve">(6) </w:t>
      </w:r>
      <w:r>
        <w:rPr>
          <w:rFonts w:eastAsia="Times-Roman"/>
          <w:bCs/>
          <w:sz w:val="24"/>
          <w:szCs w:val="24"/>
        </w:rPr>
        <w:t>Funcțiunile înglobate (comasate) într-o clădire se constituie într-o clădire cu funcțiuni mixte.</w:t>
      </w:r>
    </w:p>
    <w:p w14:paraId="43A06AF3" w14:textId="77777777" w:rsidR="001C08A5" w:rsidRDefault="00000000">
      <w:pPr>
        <w:pStyle w:val="Caption"/>
        <w:jc w:val="center"/>
        <w:rPr>
          <w:rFonts w:cs="Times New Roman"/>
        </w:rPr>
      </w:pPr>
      <w:bookmarkStart w:id="704" w:name="_Ref29516"/>
      <w:r>
        <w:rPr>
          <w:noProof/>
          <w:lang w:eastAsia="ro-RO"/>
        </w:rPr>
        <w:drawing>
          <wp:inline distT="0" distB="0" distL="114300" distR="114300" wp14:anchorId="692DB30B" wp14:editId="193A90CE">
            <wp:extent cx="4572000" cy="2618740"/>
            <wp:effectExtent l="0" t="0" r="0" b="10160"/>
            <wp:docPr id="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5"/>
                    <pic:cNvPicPr>
                      <a:picLocks noChangeAspect="1"/>
                    </pic:cNvPicPr>
                  </pic:nvPicPr>
                  <pic:blipFill>
                    <a:blip r:embed="rId106"/>
                    <a:srcRect l="20140" t="18687" r="19290" b="33056"/>
                    <a:stretch>
                      <a:fillRect/>
                    </a:stretch>
                  </pic:blipFill>
                  <pic:spPr>
                    <a:xfrm>
                      <a:off x="0" y="0"/>
                      <a:ext cx="4572000" cy="2618740"/>
                    </a:xfrm>
                    <a:prstGeom prst="rect">
                      <a:avLst/>
                    </a:prstGeom>
                    <a:noFill/>
                    <a:ln>
                      <a:noFill/>
                    </a:ln>
                  </pic:spPr>
                </pic:pic>
              </a:graphicData>
            </a:graphic>
          </wp:inline>
        </w:drawing>
      </w:r>
    </w:p>
    <w:p w14:paraId="7C33D5A0" w14:textId="77777777" w:rsidR="001C08A5" w:rsidRDefault="00000000">
      <w:pPr>
        <w:pStyle w:val="Caption"/>
        <w:jc w:val="center"/>
        <w:rPr>
          <w:rFonts w:cs="Times New Roman"/>
          <w:bCs/>
        </w:rPr>
      </w:pPr>
      <w:bookmarkStart w:id="705" w:name="_Ref8438"/>
      <w:bookmarkStart w:id="706" w:name="_Toc14337"/>
      <w:bookmarkStart w:id="707" w:name="_Toc28981"/>
      <w:bookmarkStart w:id="708" w:name="_Toc30427"/>
      <w:bookmarkStart w:id="709" w:name="_Toc30029"/>
      <w:bookmarkStart w:id="710" w:name="_Toc12296"/>
      <w:bookmarkStart w:id="711" w:name="_Toc13711"/>
      <w:bookmarkStart w:id="712" w:name="_Toc162360252"/>
      <w:bookmarkEnd w:id="704"/>
      <w:r>
        <w:t xml:space="preserve">Figura </w:t>
      </w:r>
      <w:r>
        <w:fldChar w:fldCharType="begin"/>
      </w:r>
      <w:r>
        <w:instrText xml:space="preserve"> SEQ Figura \* ARABIC </w:instrText>
      </w:r>
      <w:r>
        <w:fldChar w:fldCharType="separate"/>
      </w:r>
      <w:r>
        <w:t>28</w:t>
      </w:r>
      <w:r>
        <w:fldChar w:fldCharType="end"/>
      </w:r>
      <w:bookmarkStart w:id="713" w:name="_Toc27693"/>
      <w:bookmarkStart w:id="714" w:name="_Toc31244"/>
      <w:bookmarkStart w:id="715" w:name="_Toc3882"/>
      <w:bookmarkStart w:id="716" w:name="_Toc7441"/>
      <w:bookmarkStart w:id="717" w:name="_Toc23518"/>
      <w:bookmarkStart w:id="718" w:name="_Toc12355"/>
      <w:bookmarkStart w:id="719" w:name="_Toc4805"/>
      <w:bookmarkStart w:id="720" w:name="_Toc4112"/>
      <w:bookmarkStart w:id="721" w:name="_Toc29247"/>
      <w:bookmarkStart w:id="722" w:name="_Toc6972"/>
      <w:bookmarkStart w:id="723" w:name="_Toc43"/>
      <w:bookmarkEnd w:id="705"/>
      <w:r>
        <w:t xml:space="preserve"> - </w:t>
      </w:r>
      <w:r>
        <w:rPr>
          <w:rFonts w:cs="Times New Roman"/>
          <w:bCs/>
        </w:rPr>
        <w:t>Amplasare independentă a construcţiilor (la distanţe normate)</w:t>
      </w:r>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p>
    <w:p w14:paraId="6B9743CC" w14:textId="77777777" w:rsidR="001C08A5" w:rsidRDefault="00000000">
      <w:pPr>
        <w:pStyle w:val="Caption"/>
        <w:jc w:val="center"/>
        <w:rPr>
          <w:rFonts w:cs="Times New Roman"/>
        </w:rPr>
      </w:pPr>
      <w:bookmarkStart w:id="724" w:name="_Ref29565"/>
      <w:r>
        <w:rPr>
          <w:noProof/>
          <w:lang w:eastAsia="ro-RO"/>
        </w:rPr>
        <w:drawing>
          <wp:inline distT="0" distB="0" distL="114300" distR="114300" wp14:anchorId="76D1E036" wp14:editId="6C936C5A">
            <wp:extent cx="4359275" cy="2682875"/>
            <wp:effectExtent l="0" t="0" r="3175" b="3175"/>
            <wp:docPr id="9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6"/>
                    <pic:cNvPicPr>
                      <a:picLocks noChangeAspect="1"/>
                    </pic:cNvPicPr>
                  </pic:nvPicPr>
                  <pic:blipFill>
                    <a:blip r:embed="rId107"/>
                    <a:srcRect l="26062" t="18699" r="16186" b="31863"/>
                    <a:stretch>
                      <a:fillRect/>
                    </a:stretch>
                  </pic:blipFill>
                  <pic:spPr>
                    <a:xfrm>
                      <a:off x="0" y="0"/>
                      <a:ext cx="4359275" cy="2682875"/>
                    </a:xfrm>
                    <a:prstGeom prst="rect">
                      <a:avLst/>
                    </a:prstGeom>
                    <a:noFill/>
                    <a:ln>
                      <a:noFill/>
                    </a:ln>
                  </pic:spPr>
                </pic:pic>
              </a:graphicData>
            </a:graphic>
          </wp:inline>
        </w:drawing>
      </w:r>
    </w:p>
    <w:p w14:paraId="2510DFDF" w14:textId="77777777" w:rsidR="001C08A5" w:rsidRDefault="00000000">
      <w:pPr>
        <w:pStyle w:val="Caption"/>
        <w:jc w:val="center"/>
        <w:rPr>
          <w:rFonts w:cs="Times New Roman"/>
          <w:bCs/>
        </w:rPr>
      </w:pPr>
      <w:bookmarkStart w:id="725" w:name="_Ref8519"/>
      <w:bookmarkStart w:id="726" w:name="_Toc162360253"/>
      <w:bookmarkStart w:id="727" w:name="_Toc27191"/>
      <w:bookmarkStart w:id="728" w:name="_Toc1835"/>
      <w:bookmarkStart w:id="729" w:name="_Toc19368"/>
      <w:bookmarkStart w:id="730" w:name="_Toc15191"/>
      <w:bookmarkStart w:id="731" w:name="_Toc24692"/>
      <w:bookmarkStart w:id="732" w:name="_Toc30213"/>
      <w:bookmarkEnd w:id="724"/>
      <w:r>
        <w:t xml:space="preserve">Figura </w:t>
      </w:r>
      <w:r>
        <w:fldChar w:fldCharType="begin"/>
      </w:r>
      <w:r>
        <w:instrText xml:space="preserve"> SEQ Figura \* ARABIC </w:instrText>
      </w:r>
      <w:r>
        <w:fldChar w:fldCharType="separate"/>
      </w:r>
      <w:r>
        <w:t>29</w:t>
      </w:r>
      <w:r>
        <w:fldChar w:fldCharType="end"/>
      </w:r>
      <w:bookmarkStart w:id="733" w:name="_Toc2077"/>
      <w:bookmarkStart w:id="734" w:name="_Toc13786"/>
      <w:bookmarkStart w:id="735" w:name="_Toc18422"/>
      <w:bookmarkStart w:id="736" w:name="_Toc16105"/>
      <w:bookmarkStart w:id="737" w:name="_Toc2701"/>
      <w:bookmarkStart w:id="738" w:name="_Toc25473"/>
      <w:bookmarkStart w:id="739" w:name="_Toc14837"/>
      <w:bookmarkStart w:id="740" w:name="_Toc27356"/>
      <w:bookmarkStart w:id="741" w:name="_Toc1337"/>
      <w:bookmarkStart w:id="742" w:name="_Toc16626"/>
      <w:bookmarkStart w:id="743" w:name="_Toc2347"/>
      <w:bookmarkEnd w:id="725"/>
      <w:r>
        <w:t xml:space="preserve"> - </w:t>
      </w:r>
      <w:r>
        <w:rPr>
          <w:rFonts w:cs="Times New Roman"/>
          <w:bCs/>
        </w:rPr>
        <w:t>Amplasare compartimentată</w:t>
      </w:r>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p>
    <w:p w14:paraId="1369441B" w14:textId="77777777" w:rsidR="001C08A5" w:rsidRDefault="00000000">
      <w:pPr>
        <w:pStyle w:val="BodyText"/>
        <w:jc w:val="center"/>
      </w:pPr>
      <w:r>
        <w:rPr>
          <w:noProof/>
          <w:lang w:eastAsia="ro-RO"/>
        </w:rPr>
        <w:lastRenderedPageBreak/>
        <w:drawing>
          <wp:inline distT="0" distB="0" distL="114300" distR="114300" wp14:anchorId="6EB0B8E5" wp14:editId="0CB2214E">
            <wp:extent cx="4923155" cy="2706370"/>
            <wp:effectExtent l="0" t="0" r="10795" b="17780"/>
            <wp:docPr id="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27"/>
                    <pic:cNvPicPr>
                      <a:picLocks noChangeAspect="1"/>
                    </pic:cNvPicPr>
                  </pic:nvPicPr>
                  <pic:blipFill>
                    <a:blip r:embed="rId108"/>
                    <a:srcRect l="19660" t="29218" r="15117" b="20910"/>
                    <a:stretch>
                      <a:fillRect/>
                    </a:stretch>
                  </pic:blipFill>
                  <pic:spPr>
                    <a:xfrm>
                      <a:off x="0" y="0"/>
                      <a:ext cx="4923155" cy="2706370"/>
                    </a:xfrm>
                    <a:prstGeom prst="rect">
                      <a:avLst/>
                    </a:prstGeom>
                    <a:noFill/>
                    <a:ln>
                      <a:noFill/>
                    </a:ln>
                  </pic:spPr>
                </pic:pic>
              </a:graphicData>
            </a:graphic>
          </wp:inline>
        </w:drawing>
      </w:r>
    </w:p>
    <w:p w14:paraId="48668E55" w14:textId="77777777" w:rsidR="001C08A5" w:rsidRDefault="00000000">
      <w:pPr>
        <w:pStyle w:val="Caption"/>
        <w:jc w:val="center"/>
        <w:rPr>
          <w:rFonts w:cs="Times New Roman"/>
          <w:bCs/>
        </w:rPr>
      </w:pPr>
      <w:bookmarkStart w:id="744" w:name="_Ref8559"/>
      <w:bookmarkStart w:id="745" w:name="_Toc162360254"/>
      <w:bookmarkStart w:id="746" w:name="_Toc2094"/>
      <w:bookmarkStart w:id="747" w:name="_Toc4665"/>
      <w:bookmarkStart w:id="748" w:name="_Toc16612"/>
      <w:bookmarkStart w:id="749" w:name="_Toc6843"/>
      <w:bookmarkStart w:id="750" w:name="_Toc7148"/>
      <w:bookmarkStart w:id="751" w:name="_Toc23858"/>
      <w:r>
        <w:t xml:space="preserve">Figura </w:t>
      </w:r>
      <w:r>
        <w:fldChar w:fldCharType="begin"/>
      </w:r>
      <w:r>
        <w:instrText xml:space="preserve"> SEQ Figura \* ARABIC </w:instrText>
      </w:r>
      <w:r>
        <w:fldChar w:fldCharType="separate"/>
      </w:r>
      <w:r>
        <w:t>30</w:t>
      </w:r>
      <w:r>
        <w:fldChar w:fldCharType="end"/>
      </w:r>
      <w:bookmarkStart w:id="752" w:name="_Toc1341"/>
      <w:bookmarkStart w:id="753" w:name="_Toc507"/>
      <w:bookmarkStart w:id="754" w:name="_Toc31575"/>
      <w:bookmarkStart w:id="755" w:name="_Toc22616"/>
      <w:bookmarkStart w:id="756" w:name="_Toc20050"/>
      <w:bookmarkStart w:id="757" w:name="_Toc22666"/>
      <w:bookmarkStart w:id="758" w:name="_Toc22132"/>
      <w:bookmarkStart w:id="759" w:name="_Toc4014"/>
      <w:bookmarkStart w:id="760" w:name="_Toc3150"/>
      <w:bookmarkStart w:id="761" w:name="_Toc30443"/>
      <w:bookmarkStart w:id="762" w:name="_Toc27427"/>
      <w:bookmarkEnd w:id="744"/>
      <w:r>
        <w:t xml:space="preserve"> - </w:t>
      </w:r>
      <w:r>
        <w:rPr>
          <w:rFonts w:cs="Times New Roman"/>
          <w:bCs/>
        </w:rPr>
        <w:t>Amplasare comasată a construcţiilor în limita ariilor compartimentelor de incendiu normate (Ac compartiment de incendiu = suma Ac construcţii comasate)</w:t>
      </w:r>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14:paraId="216F3A82" w14:textId="77777777" w:rsidR="001C08A5" w:rsidRDefault="00000000">
      <w:pPr>
        <w:ind w:firstLine="720"/>
        <w:jc w:val="both"/>
        <w:rPr>
          <w:bCs/>
          <w:spacing w:val="-2"/>
          <w:sz w:val="24"/>
          <w:szCs w:val="24"/>
        </w:rPr>
      </w:pPr>
      <w:r>
        <w:rPr>
          <w:b/>
          <w:sz w:val="24"/>
          <w:szCs w:val="24"/>
        </w:rPr>
        <w:t xml:space="preserve">Art. </w:t>
      </w:r>
      <w:r>
        <w:rPr>
          <w:b/>
          <w:bCs/>
          <w:sz w:val="24"/>
          <w:szCs w:val="24"/>
        </w:rPr>
        <w:t>2.2.1.2</w:t>
      </w:r>
      <w:r>
        <w:rPr>
          <w:b/>
          <w:sz w:val="24"/>
          <w:szCs w:val="24"/>
        </w:rPr>
        <w:t xml:space="preserve">. (1) </w:t>
      </w:r>
      <w:r>
        <w:rPr>
          <w:bCs/>
          <w:spacing w:val="-2"/>
          <w:sz w:val="24"/>
          <w:szCs w:val="24"/>
        </w:rPr>
        <w:t xml:space="preserve">Clădirile independente și/ sau clădirile care sunt alcătuite din mai multe compartimente de incendiu se amplasează faţă de celelalte construcţii ori compartimente de incendiu la distanţele minime de siguranţă stabilite în </w:t>
      </w:r>
      <w:r>
        <w:rPr>
          <w:rStyle w:val="CaptiontabelChar"/>
        </w:rPr>
        <w:fldChar w:fldCharType="begin"/>
      </w:r>
      <w:r>
        <w:rPr>
          <w:rStyle w:val="CaptiontabelChar"/>
        </w:rPr>
        <w:instrText xml:space="preserve"> REF _Ref29888 \h </w:instrText>
      </w:r>
      <w:r>
        <w:rPr>
          <w:rStyle w:val="CaptiontabelChar"/>
        </w:rPr>
      </w:r>
      <w:r>
        <w:rPr>
          <w:rStyle w:val="CaptiontabelChar"/>
        </w:rPr>
        <w:fldChar w:fldCharType="separate"/>
      </w:r>
      <w:r>
        <w:t>Tabelul 4</w:t>
      </w:r>
      <w:r>
        <w:rPr>
          <w:rStyle w:val="CaptiontabelChar"/>
        </w:rPr>
        <w:fldChar w:fldCharType="end"/>
      </w:r>
      <w:r>
        <w:rPr>
          <w:sz w:val="24"/>
          <w:szCs w:val="24"/>
        </w:rPr>
        <w:t xml:space="preserve"> </w:t>
      </w:r>
      <w:r>
        <w:rPr>
          <w:bCs/>
          <w:spacing w:val="-2"/>
          <w:sz w:val="24"/>
          <w:szCs w:val="24"/>
        </w:rPr>
        <w:t>sau se delimitează</w:t>
      </w:r>
      <w:r>
        <w:rPr>
          <w:sz w:val="24"/>
          <w:szCs w:val="24"/>
        </w:rPr>
        <w:t xml:space="preserve"> cu pereţi rezistenţi la foc de separare a compartimentelor de incendiu (pereţi antifoc) şi, după caz, planşee rezistente la foc de separare a compartimentelor de incendiu (planşee antifoc)</w:t>
      </w:r>
      <w:r>
        <w:rPr>
          <w:bCs/>
          <w:spacing w:val="-2"/>
          <w:sz w:val="24"/>
          <w:szCs w:val="24"/>
        </w:rPr>
        <w:t>.</w:t>
      </w:r>
    </w:p>
    <w:p w14:paraId="432448B8" w14:textId="77777777" w:rsidR="001C08A5" w:rsidRDefault="00000000">
      <w:pPr>
        <w:ind w:firstLine="720"/>
        <w:jc w:val="both"/>
        <w:rPr>
          <w:bCs/>
          <w:spacing w:val="-2"/>
          <w:sz w:val="24"/>
          <w:szCs w:val="24"/>
        </w:rPr>
      </w:pPr>
      <w:r>
        <w:rPr>
          <w:b/>
          <w:bCs/>
          <w:spacing w:val="-2"/>
          <w:sz w:val="24"/>
          <w:szCs w:val="24"/>
        </w:rPr>
        <w:t xml:space="preserve">(2) </w:t>
      </w:r>
      <w:r>
        <w:rPr>
          <w:bCs/>
          <w:spacing w:val="-2"/>
          <w:sz w:val="24"/>
          <w:szCs w:val="24"/>
        </w:rPr>
        <w:t xml:space="preserve">Clădirile comasate într-un compartiment de incendiu se amplasează faţă de celelalte construcţii sau compartimente de incendiu la distanţele minime de siguranţă  stabilite în </w:t>
      </w:r>
      <w:r>
        <w:rPr>
          <w:rStyle w:val="CaptiontabelChar"/>
        </w:rPr>
        <w:fldChar w:fldCharType="begin"/>
      </w:r>
      <w:r>
        <w:rPr>
          <w:rStyle w:val="CaptiontabelChar"/>
        </w:rPr>
        <w:instrText xml:space="preserve"> REF _Ref29888 \h </w:instrText>
      </w:r>
      <w:r>
        <w:rPr>
          <w:rStyle w:val="CaptiontabelChar"/>
        </w:rPr>
      </w:r>
      <w:r>
        <w:rPr>
          <w:rStyle w:val="CaptiontabelChar"/>
        </w:rPr>
        <w:fldChar w:fldCharType="separate"/>
      </w:r>
      <w:r>
        <w:t>Tabelul 4</w:t>
      </w:r>
      <w:r>
        <w:rPr>
          <w:rStyle w:val="CaptiontabelChar"/>
        </w:rPr>
        <w:fldChar w:fldCharType="end"/>
      </w:r>
      <w:r>
        <w:rPr>
          <w:bCs/>
          <w:spacing w:val="-2"/>
          <w:sz w:val="24"/>
          <w:szCs w:val="24"/>
        </w:rPr>
        <w:t xml:space="preserve">, funcţie de nivelul de stabilitate la incendiu stabilit conform </w:t>
      </w:r>
      <w:r>
        <w:rPr>
          <w:b/>
          <w:bCs/>
          <w:spacing w:val="-2"/>
          <w:sz w:val="24"/>
          <w:szCs w:val="24"/>
        </w:rPr>
        <w:t xml:space="preserve">Art. </w:t>
      </w:r>
      <w:r>
        <w:rPr>
          <w:b/>
          <w:bCs/>
          <w:sz w:val="24"/>
          <w:szCs w:val="24"/>
        </w:rPr>
        <w:t>2.2.1.1</w:t>
      </w:r>
      <w:r>
        <w:rPr>
          <w:b/>
          <w:sz w:val="24"/>
          <w:szCs w:val="24"/>
        </w:rPr>
        <w:t>.</w:t>
      </w:r>
      <w:r>
        <w:rPr>
          <w:b/>
          <w:bCs/>
          <w:spacing w:val="-2"/>
          <w:sz w:val="24"/>
          <w:szCs w:val="24"/>
        </w:rPr>
        <w:t xml:space="preserve"> alin. (2) </w:t>
      </w:r>
      <w:r>
        <w:rPr>
          <w:bCs/>
          <w:spacing w:val="-2"/>
          <w:sz w:val="24"/>
          <w:szCs w:val="24"/>
        </w:rPr>
        <w:t>sau se delimitează</w:t>
      </w:r>
      <w:r>
        <w:rPr>
          <w:sz w:val="24"/>
          <w:szCs w:val="24"/>
        </w:rPr>
        <w:t xml:space="preserve"> cu pereţi rezistenţi la foc de separare a compartimentelor de incendiu (pereţi antifoc) şi, după caz, planşee rezistente la foc de separare a compartimentelor de incendiu (planşee antifoc)</w:t>
      </w:r>
      <w:r>
        <w:rPr>
          <w:bCs/>
          <w:spacing w:val="-2"/>
          <w:sz w:val="24"/>
          <w:szCs w:val="24"/>
        </w:rPr>
        <w:t>.</w:t>
      </w:r>
    </w:p>
    <w:p w14:paraId="62069D39" w14:textId="77777777" w:rsidR="001C08A5" w:rsidRDefault="001C08A5">
      <w:pPr>
        <w:jc w:val="both"/>
        <w:rPr>
          <w:b/>
          <w:sz w:val="24"/>
          <w:szCs w:val="24"/>
        </w:rPr>
      </w:pPr>
    </w:p>
    <w:p w14:paraId="32CA8081" w14:textId="77777777" w:rsidR="001C08A5" w:rsidRDefault="00000000">
      <w:pPr>
        <w:pStyle w:val="Captiontabel"/>
      </w:pPr>
      <w:bookmarkStart w:id="763" w:name="_Ref29888"/>
      <w:bookmarkStart w:id="764" w:name="_Ref13581"/>
      <w:bookmarkStart w:id="765" w:name="_Toc162360054"/>
      <w:r>
        <w:t xml:space="preserve">Tabelul </w:t>
      </w:r>
      <w:r>
        <w:fldChar w:fldCharType="begin"/>
      </w:r>
      <w:r>
        <w:instrText xml:space="preserve"> SEQ Tabelul \* ARABIC </w:instrText>
      </w:r>
      <w:r>
        <w:fldChar w:fldCharType="separate"/>
      </w:r>
      <w:r>
        <w:t>4</w:t>
      </w:r>
      <w:r>
        <w:fldChar w:fldCharType="end"/>
      </w:r>
      <w:bookmarkStart w:id="766" w:name="_Toc26483"/>
      <w:bookmarkStart w:id="767" w:name="_Toc19298"/>
      <w:bookmarkStart w:id="768" w:name="_Toc21522"/>
      <w:bookmarkStart w:id="769" w:name="_Toc12121"/>
      <w:bookmarkStart w:id="770" w:name="_Toc13910"/>
      <w:bookmarkStart w:id="771" w:name="_Toc30640"/>
      <w:bookmarkStart w:id="772" w:name="_Toc30254"/>
      <w:bookmarkStart w:id="773" w:name="_Toc23091"/>
      <w:bookmarkStart w:id="774" w:name="_Toc6692"/>
      <w:bookmarkStart w:id="775" w:name="_Toc9533"/>
      <w:bookmarkStart w:id="776" w:name="_Toc19590"/>
      <w:bookmarkStart w:id="777" w:name="_Toc21372"/>
      <w:bookmarkStart w:id="778" w:name="_Toc30202"/>
      <w:bookmarkStart w:id="779" w:name="_Toc25758"/>
      <w:bookmarkStart w:id="780" w:name="_Toc18272"/>
      <w:bookmarkStart w:id="781" w:name="_Toc29054"/>
      <w:bookmarkStart w:id="782" w:name="_Toc15582"/>
      <w:bookmarkStart w:id="783" w:name="_Toc30004"/>
      <w:bookmarkStart w:id="784" w:name="_Toc3367"/>
      <w:bookmarkEnd w:id="763"/>
      <w:r>
        <w:t>: Distanţe minime de siguranţă între construcţii sau compartimente de incendiu supraterane (civile, de producţie şi/sau depozitare)</w:t>
      </w:r>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p>
    <w:p w14:paraId="1DB0A4D0" w14:textId="77777777" w:rsidR="001C08A5" w:rsidRDefault="001C08A5">
      <w:pPr>
        <w:jc w:val="both"/>
        <w:rPr>
          <w:bCs/>
          <w:i/>
          <w:sz w:val="24"/>
          <w:szCs w:val="24"/>
          <w:u w:val="single"/>
        </w:rPr>
      </w:pPr>
    </w:p>
    <w:tbl>
      <w:tblPr>
        <w:tblStyle w:val="TableGrid"/>
        <w:tblW w:w="0" w:type="auto"/>
        <w:tblLook w:val="04A0" w:firstRow="1" w:lastRow="0" w:firstColumn="1" w:lastColumn="0" w:noHBand="0" w:noVBand="1"/>
      </w:tblPr>
      <w:tblGrid>
        <w:gridCol w:w="2428"/>
        <w:gridCol w:w="2400"/>
        <w:gridCol w:w="2401"/>
        <w:gridCol w:w="2400"/>
      </w:tblGrid>
      <w:tr w:rsidR="001C08A5" w14:paraId="2E1FEA5A" w14:textId="77777777">
        <w:trPr>
          <w:tblHeader/>
        </w:trPr>
        <w:tc>
          <w:tcPr>
            <w:tcW w:w="2463" w:type="dxa"/>
            <w:vMerge w:val="restart"/>
            <w:shd w:val="clear" w:color="auto" w:fill="BFBFBF"/>
          </w:tcPr>
          <w:p w14:paraId="1CAF9223" w14:textId="77777777" w:rsidR="001C08A5" w:rsidRDefault="00000000">
            <w:pPr>
              <w:jc w:val="center"/>
              <w:rPr>
                <w:bCs/>
                <w:i/>
                <w:iCs/>
                <w:sz w:val="24"/>
                <w:szCs w:val="24"/>
                <w:u w:val="single"/>
              </w:rPr>
            </w:pPr>
            <w:r>
              <w:rPr>
                <w:b/>
                <w:i/>
                <w:iCs/>
                <w:sz w:val="24"/>
                <w:szCs w:val="24"/>
              </w:rPr>
              <w:t>Nivel de stabilitate la incendiu al construcţiei</w:t>
            </w:r>
          </w:p>
        </w:tc>
        <w:tc>
          <w:tcPr>
            <w:tcW w:w="7392" w:type="dxa"/>
            <w:gridSpan w:val="3"/>
            <w:shd w:val="clear" w:color="auto" w:fill="BFBFBF"/>
          </w:tcPr>
          <w:p w14:paraId="168602A3" w14:textId="77777777" w:rsidR="001C08A5" w:rsidRDefault="00000000">
            <w:pPr>
              <w:jc w:val="center"/>
              <w:rPr>
                <w:bCs/>
                <w:i/>
                <w:iCs/>
                <w:sz w:val="24"/>
                <w:szCs w:val="24"/>
                <w:u w:val="single"/>
              </w:rPr>
            </w:pPr>
            <w:r>
              <w:rPr>
                <w:b/>
                <w:i/>
                <w:iCs/>
                <w:sz w:val="24"/>
                <w:szCs w:val="24"/>
              </w:rPr>
              <w:t xml:space="preserve">Distanţe minime de </w:t>
            </w:r>
            <w:r>
              <w:rPr>
                <w:b/>
                <w:bCs/>
                <w:i/>
                <w:iCs/>
                <w:spacing w:val="-2"/>
                <w:sz w:val="24"/>
                <w:szCs w:val="24"/>
              </w:rPr>
              <w:t xml:space="preserve">de siguranţă </w:t>
            </w:r>
            <w:r>
              <w:rPr>
                <w:b/>
                <w:i/>
                <w:iCs/>
                <w:sz w:val="24"/>
                <w:szCs w:val="24"/>
              </w:rPr>
              <w:t>(m), faţă de construcţii învecinate cu nivelul de stabilitate la incendiu:</w:t>
            </w:r>
          </w:p>
        </w:tc>
      </w:tr>
      <w:tr w:rsidR="001C08A5" w14:paraId="263E0651" w14:textId="77777777">
        <w:trPr>
          <w:tblHeader/>
        </w:trPr>
        <w:tc>
          <w:tcPr>
            <w:tcW w:w="2463" w:type="dxa"/>
            <w:vMerge/>
            <w:shd w:val="clear" w:color="auto" w:fill="BFBFBF"/>
          </w:tcPr>
          <w:p w14:paraId="196E4EF2" w14:textId="77777777" w:rsidR="001C08A5" w:rsidRDefault="001C08A5">
            <w:pPr>
              <w:rPr>
                <w:bCs/>
                <w:i/>
                <w:iCs/>
                <w:sz w:val="24"/>
                <w:szCs w:val="24"/>
                <w:u w:val="single"/>
              </w:rPr>
            </w:pPr>
          </w:p>
        </w:tc>
        <w:tc>
          <w:tcPr>
            <w:tcW w:w="2464" w:type="dxa"/>
            <w:shd w:val="clear" w:color="auto" w:fill="BFBFBF"/>
          </w:tcPr>
          <w:p w14:paraId="37D761FF" w14:textId="77777777" w:rsidR="001C08A5" w:rsidRDefault="00000000">
            <w:pPr>
              <w:jc w:val="center"/>
              <w:rPr>
                <w:bCs/>
                <w:i/>
                <w:iCs/>
                <w:sz w:val="24"/>
                <w:szCs w:val="24"/>
                <w:u w:val="single"/>
              </w:rPr>
            </w:pPr>
            <w:r>
              <w:rPr>
                <w:b/>
                <w:i/>
                <w:iCs/>
                <w:sz w:val="24"/>
                <w:szCs w:val="24"/>
              </w:rPr>
              <w:t>I - II</w:t>
            </w:r>
          </w:p>
        </w:tc>
        <w:tc>
          <w:tcPr>
            <w:tcW w:w="2464" w:type="dxa"/>
            <w:shd w:val="clear" w:color="auto" w:fill="BFBFBF"/>
          </w:tcPr>
          <w:p w14:paraId="5CD7436F" w14:textId="77777777" w:rsidR="001C08A5" w:rsidRDefault="00000000">
            <w:pPr>
              <w:jc w:val="center"/>
              <w:rPr>
                <w:bCs/>
                <w:i/>
                <w:iCs/>
                <w:sz w:val="24"/>
                <w:szCs w:val="24"/>
                <w:u w:val="single"/>
              </w:rPr>
            </w:pPr>
            <w:r>
              <w:rPr>
                <w:b/>
                <w:i/>
                <w:iCs/>
                <w:sz w:val="24"/>
                <w:szCs w:val="24"/>
              </w:rPr>
              <w:t>III</w:t>
            </w:r>
          </w:p>
        </w:tc>
        <w:tc>
          <w:tcPr>
            <w:tcW w:w="2464" w:type="dxa"/>
            <w:shd w:val="clear" w:color="auto" w:fill="BFBFBF"/>
          </w:tcPr>
          <w:p w14:paraId="4942E452" w14:textId="77777777" w:rsidR="001C08A5" w:rsidRDefault="00000000">
            <w:pPr>
              <w:jc w:val="center"/>
              <w:rPr>
                <w:bCs/>
                <w:i/>
                <w:iCs/>
                <w:sz w:val="24"/>
                <w:szCs w:val="24"/>
                <w:u w:val="single"/>
              </w:rPr>
            </w:pPr>
            <w:r>
              <w:rPr>
                <w:b/>
                <w:i/>
                <w:iCs/>
                <w:sz w:val="24"/>
                <w:szCs w:val="24"/>
              </w:rPr>
              <w:t>IV - V</w:t>
            </w:r>
          </w:p>
        </w:tc>
      </w:tr>
      <w:tr w:rsidR="001C08A5" w14:paraId="654DAAB7" w14:textId="77777777">
        <w:tc>
          <w:tcPr>
            <w:tcW w:w="2463" w:type="dxa"/>
          </w:tcPr>
          <w:p w14:paraId="348513D0" w14:textId="77777777" w:rsidR="001C08A5" w:rsidRDefault="00000000">
            <w:pPr>
              <w:jc w:val="center"/>
              <w:rPr>
                <w:bCs/>
                <w:i/>
                <w:iCs/>
                <w:sz w:val="24"/>
                <w:szCs w:val="24"/>
                <w:u w:val="single"/>
              </w:rPr>
            </w:pPr>
            <w:r>
              <w:rPr>
                <w:b/>
                <w:i/>
                <w:iCs/>
                <w:sz w:val="24"/>
                <w:szCs w:val="24"/>
              </w:rPr>
              <w:t>I - II</w:t>
            </w:r>
          </w:p>
        </w:tc>
        <w:tc>
          <w:tcPr>
            <w:tcW w:w="2464" w:type="dxa"/>
          </w:tcPr>
          <w:p w14:paraId="7055E9DA" w14:textId="77777777" w:rsidR="001C08A5" w:rsidRDefault="00000000">
            <w:pPr>
              <w:jc w:val="center"/>
              <w:rPr>
                <w:bCs/>
                <w:i/>
                <w:iCs/>
                <w:sz w:val="24"/>
                <w:szCs w:val="24"/>
                <w:u w:val="single"/>
              </w:rPr>
            </w:pPr>
            <w:r>
              <w:rPr>
                <w:b/>
                <w:i/>
                <w:iCs/>
                <w:sz w:val="24"/>
                <w:szCs w:val="24"/>
              </w:rPr>
              <w:t>6</w:t>
            </w:r>
          </w:p>
        </w:tc>
        <w:tc>
          <w:tcPr>
            <w:tcW w:w="2464" w:type="dxa"/>
          </w:tcPr>
          <w:p w14:paraId="2AF9417D" w14:textId="77777777" w:rsidR="001C08A5" w:rsidRDefault="00000000">
            <w:pPr>
              <w:jc w:val="center"/>
              <w:rPr>
                <w:bCs/>
                <w:i/>
                <w:iCs/>
                <w:sz w:val="24"/>
                <w:szCs w:val="24"/>
                <w:u w:val="single"/>
              </w:rPr>
            </w:pPr>
            <w:r>
              <w:rPr>
                <w:b/>
                <w:i/>
                <w:iCs/>
                <w:sz w:val="24"/>
                <w:szCs w:val="24"/>
              </w:rPr>
              <w:t>8</w:t>
            </w:r>
          </w:p>
        </w:tc>
        <w:tc>
          <w:tcPr>
            <w:tcW w:w="2464" w:type="dxa"/>
          </w:tcPr>
          <w:p w14:paraId="37522477" w14:textId="77777777" w:rsidR="001C08A5" w:rsidRDefault="00000000">
            <w:pPr>
              <w:jc w:val="center"/>
              <w:rPr>
                <w:bCs/>
                <w:i/>
                <w:iCs/>
                <w:sz w:val="24"/>
                <w:szCs w:val="24"/>
                <w:u w:val="single"/>
              </w:rPr>
            </w:pPr>
            <w:r>
              <w:rPr>
                <w:b/>
                <w:i/>
                <w:iCs/>
                <w:sz w:val="24"/>
                <w:szCs w:val="24"/>
              </w:rPr>
              <w:t>10</w:t>
            </w:r>
          </w:p>
        </w:tc>
      </w:tr>
      <w:tr w:rsidR="001C08A5" w14:paraId="0003D415" w14:textId="77777777">
        <w:tc>
          <w:tcPr>
            <w:tcW w:w="2463" w:type="dxa"/>
          </w:tcPr>
          <w:p w14:paraId="6F9B253D" w14:textId="77777777" w:rsidR="001C08A5" w:rsidRDefault="00000000">
            <w:pPr>
              <w:jc w:val="center"/>
              <w:rPr>
                <w:bCs/>
                <w:i/>
                <w:iCs/>
                <w:sz w:val="24"/>
                <w:szCs w:val="24"/>
                <w:u w:val="single"/>
              </w:rPr>
            </w:pPr>
            <w:r>
              <w:rPr>
                <w:b/>
                <w:i/>
                <w:iCs/>
                <w:sz w:val="24"/>
                <w:szCs w:val="24"/>
              </w:rPr>
              <w:t>III</w:t>
            </w:r>
          </w:p>
        </w:tc>
        <w:tc>
          <w:tcPr>
            <w:tcW w:w="2464" w:type="dxa"/>
          </w:tcPr>
          <w:p w14:paraId="2DF0918B" w14:textId="77777777" w:rsidR="001C08A5" w:rsidRDefault="00000000">
            <w:pPr>
              <w:jc w:val="center"/>
              <w:rPr>
                <w:bCs/>
                <w:i/>
                <w:iCs/>
                <w:sz w:val="24"/>
                <w:szCs w:val="24"/>
                <w:u w:val="single"/>
              </w:rPr>
            </w:pPr>
            <w:r>
              <w:rPr>
                <w:b/>
                <w:i/>
                <w:iCs/>
                <w:sz w:val="24"/>
                <w:szCs w:val="24"/>
              </w:rPr>
              <w:t>8</w:t>
            </w:r>
          </w:p>
        </w:tc>
        <w:tc>
          <w:tcPr>
            <w:tcW w:w="2464" w:type="dxa"/>
          </w:tcPr>
          <w:p w14:paraId="010C490F" w14:textId="77777777" w:rsidR="001C08A5" w:rsidRDefault="00000000">
            <w:pPr>
              <w:jc w:val="center"/>
              <w:rPr>
                <w:bCs/>
                <w:i/>
                <w:iCs/>
                <w:sz w:val="24"/>
                <w:szCs w:val="24"/>
                <w:u w:val="single"/>
              </w:rPr>
            </w:pPr>
            <w:r>
              <w:rPr>
                <w:b/>
                <w:i/>
                <w:iCs/>
                <w:sz w:val="24"/>
                <w:szCs w:val="24"/>
              </w:rPr>
              <w:t>10</w:t>
            </w:r>
          </w:p>
        </w:tc>
        <w:tc>
          <w:tcPr>
            <w:tcW w:w="2464" w:type="dxa"/>
          </w:tcPr>
          <w:p w14:paraId="4F5B6378" w14:textId="77777777" w:rsidR="001C08A5" w:rsidRDefault="00000000">
            <w:pPr>
              <w:jc w:val="center"/>
              <w:rPr>
                <w:bCs/>
                <w:i/>
                <w:iCs/>
                <w:sz w:val="24"/>
                <w:szCs w:val="24"/>
                <w:u w:val="single"/>
              </w:rPr>
            </w:pPr>
            <w:r>
              <w:rPr>
                <w:b/>
                <w:i/>
                <w:iCs/>
                <w:sz w:val="24"/>
                <w:szCs w:val="24"/>
              </w:rPr>
              <w:t>12</w:t>
            </w:r>
          </w:p>
        </w:tc>
      </w:tr>
      <w:tr w:rsidR="001C08A5" w14:paraId="1610FC93" w14:textId="77777777">
        <w:tc>
          <w:tcPr>
            <w:tcW w:w="2463" w:type="dxa"/>
          </w:tcPr>
          <w:p w14:paraId="2DEBCE45" w14:textId="77777777" w:rsidR="001C08A5" w:rsidRDefault="00000000">
            <w:pPr>
              <w:jc w:val="center"/>
              <w:rPr>
                <w:bCs/>
                <w:i/>
                <w:iCs/>
                <w:sz w:val="24"/>
                <w:szCs w:val="24"/>
                <w:u w:val="single"/>
              </w:rPr>
            </w:pPr>
            <w:r>
              <w:rPr>
                <w:b/>
                <w:i/>
                <w:iCs/>
                <w:sz w:val="24"/>
                <w:szCs w:val="24"/>
              </w:rPr>
              <w:t>IV - V</w:t>
            </w:r>
          </w:p>
        </w:tc>
        <w:tc>
          <w:tcPr>
            <w:tcW w:w="2464" w:type="dxa"/>
          </w:tcPr>
          <w:p w14:paraId="4A550017" w14:textId="77777777" w:rsidR="001C08A5" w:rsidRDefault="00000000">
            <w:pPr>
              <w:jc w:val="center"/>
              <w:rPr>
                <w:bCs/>
                <w:i/>
                <w:iCs/>
                <w:sz w:val="24"/>
                <w:szCs w:val="24"/>
                <w:u w:val="single"/>
              </w:rPr>
            </w:pPr>
            <w:r>
              <w:rPr>
                <w:b/>
                <w:i/>
                <w:iCs/>
                <w:sz w:val="24"/>
                <w:szCs w:val="24"/>
              </w:rPr>
              <w:t>10</w:t>
            </w:r>
          </w:p>
        </w:tc>
        <w:tc>
          <w:tcPr>
            <w:tcW w:w="2464" w:type="dxa"/>
          </w:tcPr>
          <w:p w14:paraId="39F13D8C" w14:textId="77777777" w:rsidR="001C08A5" w:rsidRDefault="00000000">
            <w:pPr>
              <w:jc w:val="center"/>
              <w:rPr>
                <w:bCs/>
                <w:i/>
                <w:iCs/>
                <w:sz w:val="24"/>
                <w:szCs w:val="24"/>
                <w:u w:val="single"/>
              </w:rPr>
            </w:pPr>
            <w:r>
              <w:rPr>
                <w:b/>
                <w:i/>
                <w:iCs/>
                <w:sz w:val="24"/>
                <w:szCs w:val="24"/>
              </w:rPr>
              <w:t>12</w:t>
            </w:r>
          </w:p>
        </w:tc>
        <w:tc>
          <w:tcPr>
            <w:tcW w:w="2464" w:type="dxa"/>
          </w:tcPr>
          <w:p w14:paraId="76D2F514" w14:textId="77777777" w:rsidR="001C08A5" w:rsidRDefault="00000000">
            <w:pPr>
              <w:jc w:val="center"/>
              <w:rPr>
                <w:bCs/>
                <w:i/>
                <w:iCs/>
                <w:sz w:val="24"/>
                <w:szCs w:val="24"/>
                <w:u w:val="single"/>
              </w:rPr>
            </w:pPr>
            <w:r>
              <w:rPr>
                <w:b/>
                <w:i/>
                <w:iCs/>
                <w:sz w:val="24"/>
                <w:szCs w:val="24"/>
              </w:rPr>
              <w:t>15</w:t>
            </w:r>
          </w:p>
        </w:tc>
      </w:tr>
    </w:tbl>
    <w:p w14:paraId="24B65411" w14:textId="77777777" w:rsidR="001C08A5" w:rsidRDefault="001C08A5">
      <w:pPr>
        <w:jc w:val="both"/>
        <w:rPr>
          <w:bCs/>
          <w:i/>
          <w:sz w:val="24"/>
          <w:szCs w:val="24"/>
          <w:u w:val="single"/>
        </w:rPr>
      </w:pPr>
    </w:p>
    <w:p w14:paraId="01C3E0A7" w14:textId="77777777" w:rsidR="001C08A5" w:rsidRDefault="00000000">
      <w:pPr>
        <w:jc w:val="both"/>
        <w:rPr>
          <w:b/>
          <w:i/>
          <w:sz w:val="22"/>
          <w:szCs w:val="22"/>
        </w:rPr>
      </w:pPr>
      <w:r>
        <w:rPr>
          <w:bCs/>
          <w:i/>
          <w:sz w:val="22"/>
          <w:szCs w:val="22"/>
          <w:u w:val="single"/>
        </w:rPr>
        <w:t>Note</w:t>
      </w:r>
      <w:r>
        <w:rPr>
          <w:i/>
          <w:sz w:val="22"/>
          <w:szCs w:val="22"/>
        </w:rPr>
        <w:t xml:space="preserve">: </w:t>
      </w:r>
      <w:r>
        <w:rPr>
          <w:b/>
          <w:i/>
          <w:sz w:val="22"/>
          <w:szCs w:val="22"/>
        </w:rPr>
        <w:t>a)</w:t>
      </w:r>
      <w:r>
        <w:rPr>
          <w:i/>
          <w:sz w:val="22"/>
          <w:szCs w:val="22"/>
        </w:rPr>
        <w:t xml:space="preserve"> Pentru construcţiile cu risc foarte mare de incendiu, distanţele de siguranţă faţă de vecinătăţi se majorează conform prevederilor normativului, dar nu vor fi mai mici de </w:t>
      </w:r>
      <w:r>
        <w:rPr>
          <w:b/>
          <w:bCs/>
          <w:i/>
          <w:sz w:val="22"/>
          <w:szCs w:val="22"/>
        </w:rPr>
        <w:t>12 m</w:t>
      </w:r>
      <w:r>
        <w:rPr>
          <w:i/>
          <w:sz w:val="22"/>
          <w:szCs w:val="22"/>
        </w:rPr>
        <w:t xml:space="preserve">. Atunci când construcţiile sunt și cu risc de explozie volumetrică, distanţele vor corespunde și prevederilor reglementărilor specifice, dar nu vor fi mai mici de </w:t>
      </w:r>
      <w:r>
        <w:rPr>
          <w:b/>
          <w:bCs/>
          <w:i/>
          <w:sz w:val="22"/>
          <w:szCs w:val="22"/>
        </w:rPr>
        <w:t>15 m</w:t>
      </w:r>
      <w:r>
        <w:rPr>
          <w:i/>
          <w:sz w:val="22"/>
          <w:szCs w:val="22"/>
        </w:rPr>
        <w:t>.</w:t>
      </w:r>
    </w:p>
    <w:p w14:paraId="528E1D4A" w14:textId="77777777" w:rsidR="001C08A5" w:rsidRDefault="00000000">
      <w:pPr>
        <w:jc w:val="both"/>
        <w:rPr>
          <w:i/>
          <w:sz w:val="22"/>
          <w:szCs w:val="22"/>
        </w:rPr>
      </w:pPr>
      <w:r>
        <w:rPr>
          <w:b/>
          <w:i/>
          <w:sz w:val="22"/>
          <w:szCs w:val="22"/>
        </w:rPr>
        <w:t>b)</w:t>
      </w:r>
      <w:r>
        <w:rPr>
          <w:i/>
          <w:sz w:val="22"/>
          <w:szCs w:val="22"/>
        </w:rPr>
        <w:t xml:space="preserve"> Distanţa de siguranţă dintre clădiri poate fi redusă cu cel mult </w:t>
      </w:r>
      <w:r>
        <w:rPr>
          <w:b/>
          <w:bCs/>
          <w:i/>
          <w:sz w:val="22"/>
          <w:szCs w:val="22"/>
        </w:rPr>
        <w:t xml:space="preserve">25% </w:t>
      </w:r>
      <w:r>
        <w:rPr>
          <w:i/>
          <w:sz w:val="22"/>
          <w:szCs w:val="22"/>
        </w:rPr>
        <w:t xml:space="preserve">dacă cel puţin una dintre clădiri este echipată integral cu instalaţii de stingere a incendiului cu sprinklere, conform prevederilor Normativului </w:t>
      </w:r>
      <w:r>
        <w:rPr>
          <w:b/>
          <w:bCs/>
          <w:i/>
          <w:sz w:val="22"/>
          <w:szCs w:val="22"/>
        </w:rPr>
        <w:t>P118:2</w:t>
      </w:r>
      <w:r>
        <w:rPr>
          <w:i/>
          <w:sz w:val="22"/>
          <w:szCs w:val="22"/>
        </w:rPr>
        <w:t xml:space="preserve">, având în vedere spațiile exceptate de la echipare și cele protejate cu alte instalații automate de stingere compatibile. </w:t>
      </w:r>
    </w:p>
    <w:p w14:paraId="310689AF" w14:textId="77777777" w:rsidR="001C08A5" w:rsidRDefault="00000000">
      <w:pPr>
        <w:jc w:val="both"/>
        <w:rPr>
          <w:strike/>
          <w:sz w:val="22"/>
          <w:szCs w:val="22"/>
        </w:rPr>
      </w:pPr>
      <w:r>
        <w:rPr>
          <w:b/>
          <w:bCs/>
          <w:i/>
          <w:iCs/>
          <w:sz w:val="22"/>
          <w:szCs w:val="22"/>
        </w:rPr>
        <w:t xml:space="preserve">c) </w:t>
      </w:r>
      <w:r>
        <w:rPr>
          <w:i/>
          <w:sz w:val="22"/>
          <w:szCs w:val="22"/>
        </w:rPr>
        <w:t>Atunci când construcţiile sunt și cu risc de explozie volumetrică, distanţele vor corespunde și prevederilor reglementărilor tehnice specifice.</w:t>
      </w:r>
    </w:p>
    <w:p w14:paraId="62DCDB55" w14:textId="77777777" w:rsidR="001C08A5" w:rsidRDefault="00000000">
      <w:pPr>
        <w:pStyle w:val="Heading4"/>
      </w:pPr>
      <w:bookmarkStart w:id="785" w:name="_Toc31549"/>
      <w:bookmarkStart w:id="786" w:name="_Toc25913"/>
      <w:bookmarkStart w:id="787" w:name="_Toc4417"/>
      <w:bookmarkStart w:id="788" w:name="_Toc162355192"/>
      <w:bookmarkStart w:id="789" w:name="_Toc4745"/>
      <w:bookmarkStart w:id="790" w:name="_Toc25095"/>
      <w:bookmarkStart w:id="791" w:name="_Toc10345"/>
      <w:bookmarkStart w:id="792" w:name="_Toc20388"/>
      <w:r>
        <w:t>2.2.2. Conformare</w:t>
      </w:r>
      <w:bookmarkEnd w:id="785"/>
      <w:bookmarkEnd w:id="786"/>
      <w:bookmarkEnd w:id="787"/>
      <w:bookmarkEnd w:id="788"/>
      <w:bookmarkEnd w:id="789"/>
      <w:bookmarkEnd w:id="790"/>
      <w:bookmarkEnd w:id="791"/>
      <w:bookmarkEnd w:id="792"/>
    </w:p>
    <w:p w14:paraId="4DD74723" w14:textId="77777777" w:rsidR="001C08A5" w:rsidRDefault="001C08A5"/>
    <w:p w14:paraId="56D0DBD6" w14:textId="77777777" w:rsidR="001C08A5" w:rsidRDefault="00000000">
      <w:pPr>
        <w:ind w:firstLine="720"/>
        <w:jc w:val="both"/>
        <w:rPr>
          <w:sz w:val="24"/>
          <w:szCs w:val="24"/>
        </w:rPr>
      </w:pPr>
      <w:r>
        <w:rPr>
          <w:b/>
          <w:sz w:val="24"/>
          <w:szCs w:val="24"/>
        </w:rPr>
        <w:lastRenderedPageBreak/>
        <w:t xml:space="preserve">Art. 2.2.2.1. (1) </w:t>
      </w:r>
      <w:r>
        <w:rPr>
          <w:sz w:val="24"/>
          <w:szCs w:val="24"/>
        </w:rPr>
        <w:t>Prin conformarea construcţiilor și a compartimentelor de incendiu, trebuie respectate condiţiile normate de corelare între nivelul de stabilitate la incendiu asigurat, aria construită (</w:t>
      </w:r>
      <w:r>
        <w:rPr>
          <w:b/>
          <w:bCs/>
          <w:sz w:val="24"/>
          <w:szCs w:val="24"/>
        </w:rPr>
        <w:t>Ac</w:t>
      </w:r>
      <w:r>
        <w:rPr>
          <w:sz w:val="24"/>
          <w:szCs w:val="24"/>
        </w:rPr>
        <w:t xml:space="preserve">), destinaţie, numărul de niveluri, capacitatea maximă simultană de utilizatori și tipul de clădire, limitându-se posibilităţile de propagare a focului şi a fumului în interiorul lor, precum și la vecinătăţi și de la vecinătăţi. </w:t>
      </w:r>
    </w:p>
    <w:p w14:paraId="258E7D95" w14:textId="77777777" w:rsidR="001C08A5" w:rsidRDefault="00000000">
      <w:pPr>
        <w:ind w:firstLine="720"/>
        <w:jc w:val="both"/>
        <w:rPr>
          <w:sz w:val="24"/>
          <w:szCs w:val="24"/>
        </w:rPr>
      </w:pPr>
      <w:r>
        <w:rPr>
          <w:b/>
          <w:sz w:val="24"/>
          <w:szCs w:val="24"/>
        </w:rPr>
        <w:t xml:space="preserve">(2) </w:t>
      </w:r>
      <w:r>
        <w:rPr>
          <w:sz w:val="24"/>
          <w:szCs w:val="24"/>
        </w:rPr>
        <w:t xml:space="preserve">Activităţile/spațiile cu riscuri mari, foarte mari de incendiu şi cele cu riscuri de explozie volumetrică (atunci când sunt admise) se dispun pe cât posibil în zone distincte ale construcţiei (cele cu riscuri/ pericol de explozie volumetrică se recomandă a se amplasa la ultimul nivel suprateran al construcţiei), se realizează conform prevederilor privind performanțele comune și cele specifice ale construcțiilor şi numai cu asigurarea măsurilor de protecţie corespunzătoare. </w:t>
      </w:r>
    </w:p>
    <w:p w14:paraId="667472A0" w14:textId="77777777" w:rsidR="001C08A5" w:rsidRDefault="001C08A5">
      <w:pPr>
        <w:jc w:val="both"/>
        <w:rPr>
          <w:sz w:val="24"/>
          <w:szCs w:val="24"/>
        </w:rPr>
      </w:pPr>
    </w:p>
    <w:p w14:paraId="1C5E587E" w14:textId="77777777" w:rsidR="001C08A5" w:rsidRDefault="00000000">
      <w:pPr>
        <w:jc w:val="both"/>
        <w:rPr>
          <w:b/>
          <w:sz w:val="24"/>
          <w:szCs w:val="24"/>
        </w:rPr>
      </w:pPr>
      <w:r>
        <w:rPr>
          <w:b/>
          <w:sz w:val="24"/>
          <w:szCs w:val="24"/>
        </w:rPr>
        <w:tab/>
        <w:t>Art. 2.2.2.2.</w:t>
      </w:r>
      <w:r>
        <w:rPr>
          <w:b/>
          <w:sz w:val="24"/>
          <w:szCs w:val="24"/>
        </w:rPr>
        <w:tab/>
      </w:r>
      <w:r>
        <w:rPr>
          <w:bCs/>
          <w:sz w:val="24"/>
          <w:szCs w:val="24"/>
        </w:rPr>
        <w:t xml:space="preserve">În funcţie de nivelul de stabilitate la incendiu asigurat, </w:t>
      </w:r>
      <w:r>
        <w:rPr>
          <w:sz w:val="24"/>
          <w:szCs w:val="24"/>
        </w:rPr>
        <w:t>construcţiile și compartimentele de incendiu supraterane civile, de producţie şi/sau depozitare se conformează potrivit prevederilor normativului.</w:t>
      </w:r>
    </w:p>
    <w:p w14:paraId="6A75909E" w14:textId="77777777" w:rsidR="001C08A5" w:rsidRDefault="001C08A5">
      <w:pPr>
        <w:jc w:val="both"/>
        <w:rPr>
          <w:i/>
          <w:sz w:val="24"/>
          <w:szCs w:val="24"/>
        </w:rPr>
      </w:pPr>
    </w:p>
    <w:p w14:paraId="3B39FC1A" w14:textId="77777777" w:rsidR="001C08A5" w:rsidRDefault="00000000">
      <w:pPr>
        <w:jc w:val="both"/>
        <w:rPr>
          <w:sz w:val="24"/>
          <w:szCs w:val="24"/>
        </w:rPr>
      </w:pPr>
      <w:r>
        <w:rPr>
          <w:b/>
          <w:sz w:val="24"/>
          <w:szCs w:val="24"/>
        </w:rPr>
        <w:tab/>
        <w:t>Art. 2.2.2.3.</w:t>
      </w:r>
      <w:r>
        <w:rPr>
          <w:b/>
          <w:sz w:val="24"/>
          <w:szCs w:val="24"/>
        </w:rPr>
        <w:tab/>
      </w:r>
      <w:r>
        <w:rPr>
          <w:sz w:val="24"/>
          <w:szCs w:val="24"/>
        </w:rPr>
        <w:t>Pentru limitarea propagării incendiului, construcţiile civile, de producţie şi/sau depozitare trebuie separate în limita ariilor normate ale compartimentelor de incendiu respective.</w:t>
      </w:r>
    </w:p>
    <w:p w14:paraId="3A895134" w14:textId="77777777" w:rsidR="001C08A5" w:rsidRDefault="001C08A5">
      <w:pPr>
        <w:jc w:val="both"/>
        <w:rPr>
          <w:sz w:val="24"/>
          <w:szCs w:val="24"/>
        </w:rPr>
      </w:pPr>
    </w:p>
    <w:p w14:paraId="40FD16FA" w14:textId="77777777" w:rsidR="001C08A5" w:rsidRDefault="00000000">
      <w:pPr>
        <w:ind w:firstLine="720"/>
        <w:jc w:val="both"/>
        <w:rPr>
          <w:sz w:val="24"/>
          <w:szCs w:val="24"/>
        </w:rPr>
      </w:pPr>
      <w:r>
        <w:rPr>
          <w:b/>
          <w:sz w:val="24"/>
          <w:szCs w:val="24"/>
        </w:rPr>
        <w:t>Art. 2.2.2.4.</w:t>
      </w:r>
      <w:r>
        <w:rPr>
          <w:b/>
          <w:sz w:val="24"/>
          <w:szCs w:val="24"/>
        </w:rPr>
        <w:tab/>
        <w:t xml:space="preserve">(1) </w:t>
      </w:r>
      <w:r>
        <w:rPr>
          <w:sz w:val="24"/>
          <w:szCs w:val="24"/>
        </w:rPr>
        <w:t>Activităţile diferite din construcţie şi din compartimentele de incendiu se separă cu pereţi (</w:t>
      </w:r>
      <w:r>
        <w:rPr>
          <w:b/>
          <w:sz w:val="24"/>
          <w:szCs w:val="24"/>
        </w:rPr>
        <w:t>EI/REI)</w:t>
      </w:r>
      <w:r>
        <w:rPr>
          <w:sz w:val="24"/>
          <w:szCs w:val="24"/>
        </w:rPr>
        <w:t xml:space="preserve"> şi planşee </w:t>
      </w:r>
      <w:r>
        <w:rPr>
          <w:b/>
          <w:sz w:val="24"/>
          <w:szCs w:val="24"/>
        </w:rPr>
        <w:t>(REI),</w:t>
      </w:r>
      <w:r>
        <w:rPr>
          <w:sz w:val="24"/>
          <w:szCs w:val="24"/>
        </w:rPr>
        <w:t xml:space="preserve"> cu rezistenţa la foc corespunzătoare riscurilor de incendiu și a densităţii sarcinii termice (</w:t>
      </w:r>
      <w:r>
        <w:rPr>
          <w:b/>
          <w:bCs/>
          <w:sz w:val="24"/>
          <w:szCs w:val="24"/>
        </w:rPr>
        <w:t>q</w:t>
      </w:r>
      <w:r>
        <w:rPr>
          <w:sz w:val="24"/>
          <w:szCs w:val="24"/>
        </w:rPr>
        <w:t xml:space="preserve">) din încăperile adiacente, potrivit prevederilor normativului şi a celor stabilite la </w:t>
      </w:r>
      <w:r>
        <w:rPr>
          <w:sz w:val="24"/>
          <w:szCs w:val="24"/>
        </w:rPr>
        <w:fldChar w:fldCharType="begin"/>
      </w:r>
      <w:r>
        <w:rPr>
          <w:sz w:val="24"/>
          <w:szCs w:val="24"/>
        </w:rPr>
        <w:instrText xml:space="preserve"> REF _Ref28465 \h </w:instrText>
      </w:r>
      <w:r>
        <w:rPr>
          <w:sz w:val="24"/>
          <w:szCs w:val="24"/>
        </w:rPr>
      </w:r>
      <w:r>
        <w:rPr>
          <w:sz w:val="24"/>
          <w:szCs w:val="24"/>
        </w:rPr>
        <w:fldChar w:fldCharType="separate"/>
      </w:r>
      <w:r>
        <w:t>Tabelul 5</w:t>
      </w:r>
      <w:r>
        <w:rPr>
          <w:sz w:val="24"/>
          <w:szCs w:val="24"/>
        </w:rPr>
        <w:fldChar w:fldCharType="end"/>
      </w:r>
      <w:r>
        <w:rPr>
          <w:sz w:val="24"/>
          <w:szCs w:val="24"/>
        </w:rPr>
        <w:t xml:space="preserve"> și </w:t>
      </w:r>
      <w:r>
        <w:rPr>
          <w:b/>
          <w:bCs/>
          <w:i/>
          <w:iCs/>
          <w:sz w:val="24"/>
          <w:szCs w:val="24"/>
        </w:rPr>
        <w:fldChar w:fldCharType="begin"/>
      </w:r>
      <w:r>
        <w:rPr>
          <w:b/>
          <w:bCs/>
          <w:i/>
          <w:iCs/>
          <w:sz w:val="24"/>
          <w:szCs w:val="24"/>
        </w:rPr>
        <w:instrText xml:space="preserve"> REF _Ref28746 \h </w:instrText>
      </w:r>
      <w:r>
        <w:rPr>
          <w:b/>
          <w:bCs/>
          <w:i/>
          <w:iCs/>
          <w:sz w:val="24"/>
          <w:szCs w:val="24"/>
        </w:rPr>
      </w:r>
      <w:r>
        <w:rPr>
          <w:b/>
          <w:bCs/>
          <w:i/>
          <w:iCs/>
          <w:sz w:val="24"/>
          <w:szCs w:val="24"/>
        </w:rPr>
        <w:fldChar w:fldCharType="separate"/>
      </w:r>
      <w:r>
        <w:t>Tabelul 6</w:t>
      </w:r>
      <w:r>
        <w:rPr>
          <w:b/>
          <w:bCs/>
          <w:i/>
          <w:iCs/>
          <w:sz w:val="24"/>
          <w:szCs w:val="24"/>
        </w:rPr>
        <w:fldChar w:fldCharType="end"/>
      </w:r>
      <w:r>
        <w:rPr>
          <w:sz w:val="24"/>
          <w:szCs w:val="24"/>
        </w:rPr>
        <w:t>. Pereții și planșeele rezistente la foc cu rol de separare a compartimentelor de incendiu vor îndeplini cerințele prevazute în normativ.</w:t>
      </w:r>
    </w:p>
    <w:p w14:paraId="48673B8D" w14:textId="77777777" w:rsidR="001C08A5" w:rsidRDefault="00000000">
      <w:pPr>
        <w:numPr>
          <w:ilvl w:val="0"/>
          <w:numId w:val="34"/>
        </w:numPr>
        <w:ind w:firstLine="720"/>
        <w:jc w:val="both"/>
        <w:rPr>
          <w:bCs/>
          <w:sz w:val="24"/>
          <w:szCs w:val="24"/>
        </w:rPr>
      </w:pPr>
      <w:r>
        <w:rPr>
          <w:bCs/>
          <w:sz w:val="24"/>
          <w:szCs w:val="24"/>
        </w:rPr>
        <w:t xml:space="preserve">Atunci când nu întrunesc distanţele minime de siguranţă normate între construcţii independente care nu sunt comasate și a căror delimitare antifoc trebuie realizată spre fațade prevăzute cu pereţi cortină, prin excepție de la prevederile </w:t>
      </w:r>
      <w:r>
        <w:rPr>
          <w:b/>
          <w:sz w:val="24"/>
          <w:szCs w:val="24"/>
        </w:rPr>
        <w:t>Art. 2.3.2.1.2 lit. d)</w:t>
      </w:r>
      <w:r>
        <w:rPr>
          <w:bCs/>
          <w:sz w:val="24"/>
          <w:szCs w:val="24"/>
        </w:rPr>
        <w:t xml:space="preserve">, se admit în cadrul limitei de proprietate elemente de construcţie verticale de separare a compartimentelor de incendiu realizate din pereți cortină cu rezistenţe la foc minimum </w:t>
      </w:r>
      <w:r>
        <w:rPr>
          <w:b/>
          <w:sz w:val="24"/>
          <w:szCs w:val="24"/>
        </w:rPr>
        <w:t>EI120 (o↔i)</w:t>
      </w:r>
      <w:r>
        <w:rPr>
          <w:bCs/>
          <w:sz w:val="24"/>
          <w:szCs w:val="24"/>
        </w:rPr>
        <w:t xml:space="preserve">, în condițiile în care cel puţin una dintre cele două construcţii independente este echipată integral cu instalaţii de stingere a incendiului cu sprinkler, conform prevederilor Normativului </w:t>
      </w:r>
      <w:r>
        <w:rPr>
          <w:b/>
          <w:sz w:val="24"/>
          <w:szCs w:val="24"/>
        </w:rPr>
        <w:t>P118:2</w:t>
      </w:r>
      <w:r>
        <w:rPr>
          <w:bCs/>
          <w:sz w:val="24"/>
          <w:szCs w:val="24"/>
        </w:rPr>
        <w:t xml:space="preserve"> (</w:t>
      </w:r>
      <w:r>
        <w:rPr>
          <w:b/>
          <w:bCs/>
          <w:i/>
          <w:iCs/>
          <w:sz w:val="24"/>
          <w:szCs w:val="24"/>
        </w:rPr>
        <w:fldChar w:fldCharType="begin"/>
      </w:r>
      <w:r>
        <w:rPr>
          <w:b/>
          <w:bCs/>
          <w:i/>
          <w:iCs/>
          <w:sz w:val="24"/>
          <w:szCs w:val="24"/>
        </w:rPr>
        <w:instrText xml:space="preserve"> REF _Ref9283 \h </w:instrText>
      </w:r>
      <w:r>
        <w:rPr>
          <w:b/>
          <w:bCs/>
          <w:i/>
          <w:iCs/>
          <w:sz w:val="24"/>
          <w:szCs w:val="24"/>
        </w:rPr>
      </w:r>
      <w:r>
        <w:rPr>
          <w:b/>
          <w:bCs/>
          <w:i/>
          <w:iCs/>
          <w:sz w:val="24"/>
          <w:szCs w:val="24"/>
        </w:rPr>
        <w:fldChar w:fldCharType="separate"/>
      </w:r>
      <w:r>
        <w:t>Figura 31</w:t>
      </w:r>
      <w:r>
        <w:rPr>
          <w:b/>
          <w:bCs/>
          <w:i/>
          <w:iCs/>
          <w:sz w:val="24"/>
          <w:szCs w:val="24"/>
        </w:rPr>
        <w:fldChar w:fldCharType="end"/>
      </w:r>
      <w:r>
        <w:rPr>
          <w:bCs/>
          <w:sz w:val="24"/>
          <w:szCs w:val="24"/>
        </w:rPr>
        <w:t xml:space="preserve">). Nu se admit spații cu densitate de sarcină termica mai mare </w:t>
      </w:r>
      <w:r>
        <w:rPr>
          <w:b/>
          <w:sz w:val="24"/>
          <w:szCs w:val="24"/>
        </w:rPr>
        <w:t>630 MJ/m²</w:t>
      </w:r>
      <w:r>
        <w:rPr>
          <w:bCs/>
          <w:sz w:val="24"/>
          <w:szCs w:val="24"/>
        </w:rPr>
        <w:t xml:space="preserve"> sau spatii cu risc foarte mare de incendiu și explozie volumetrică spre peretele antifoc constituit din perete cortină </w:t>
      </w:r>
      <w:r>
        <w:rPr>
          <w:b/>
          <w:sz w:val="24"/>
          <w:szCs w:val="24"/>
        </w:rPr>
        <w:t>EI120 (o↔i).</w:t>
      </w:r>
    </w:p>
    <w:p w14:paraId="3B647C0C" w14:textId="77777777" w:rsidR="001C08A5" w:rsidRDefault="001C08A5">
      <w:pPr>
        <w:pStyle w:val="Default"/>
        <w:rPr>
          <w:color w:val="auto"/>
        </w:rPr>
      </w:pPr>
    </w:p>
    <w:p w14:paraId="18F79A73" w14:textId="77777777" w:rsidR="001C08A5" w:rsidRDefault="00000000">
      <w:pPr>
        <w:jc w:val="center"/>
        <w:rPr>
          <w:bCs/>
          <w:sz w:val="24"/>
          <w:szCs w:val="24"/>
        </w:rPr>
      </w:pPr>
      <w:r>
        <w:rPr>
          <w:noProof/>
          <w:lang w:eastAsia="ro-RO"/>
        </w:rPr>
        <w:drawing>
          <wp:inline distT="0" distB="0" distL="114300" distR="114300" wp14:anchorId="28B46768" wp14:editId="2BEFD1DB">
            <wp:extent cx="4886960" cy="3592195"/>
            <wp:effectExtent l="0" t="0" r="8890" b="8255"/>
            <wp:docPr id="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8"/>
                    <pic:cNvPicPr>
                      <a:picLocks noChangeAspect="1"/>
                    </pic:cNvPicPr>
                  </pic:nvPicPr>
                  <pic:blipFill>
                    <a:blip r:embed="rId109"/>
                    <a:srcRect l="21502" t="5780" r="13755" b="28025"/>
                    <a:stretch>
                      <a:fillRect/>
                    </a:stretch>
                  </pic:blipFill>
                  <pic:spPr>
                    <a:xfrm>
                      <a:off x="0" y="0"/>
                      <a:ext cx="4886960" cy="3592195"/>
                    </a:xfrm>
                    <a:prstGeom prst="rect">
                      <a:avLst/>
                    </a:prstGeom>
                    <a:noFill/>
                    <a:ln>
                      <a:noFill/>
                    </a:ln>
                  </pic:spPr>
                </pic:pic>
              </a:graphicData>
            </a:graphic>
          </wp:inline>
        </w:drawing>
      </w:r>
    </w:p>
    <w:p w14:paraId="6DECE931" w14:textId="77777777" w:rsidR="001C08A5" w:rsidRDefault="00000000">
      <w:pPr>
        <w:pStyle w:val="Caption"/>
        <w:jc w:val="center"/>
        <w:rPr>
          <w:rFonts w:cs="Times New Roman"/>
          <w:bCs/>
        </w:rPr>
      </w:pPr>
      <w:bookmarkStart w:id="793" w:name="_Ref9283"/>
      <w:bookmarkStart w:id="794" w:name="_Toc162360255"/>
      <w:bookmarkStart w:id="795" w:name="_Toc28920"/>
      <w:bookmarkStart w:id="796" w:name="_Toc25036"/>
      <w:bookmarkStart w:id="797" w:name="_Toc6082"/>
      <w:bookmarkStart w:id="798" w:name="_Toc30768"/>
      <w:bookmarkStart w:id="799" w:name="_Toc5975"/>
      <w:bookmarkStart w:id="800" w:name="_Toc23586"/>
      <w:r>
        <w:lastRenderedPageBreak/>
        <w:t xml:space="preserve">Figura </w:t>
      </w:r>
      <w:r>
        <w:fldChar w:fldCharType="begin"/>
      </w:r>
      <w:r>
        <w:instrText xml:space="preserve"> SEQ Figura \* ARABIC </w:instrText>
      </w:r>
      <w:r>
        <w:fldChar w:fldCharType="separate"/>
      </w:r>
      <w:r>
        <w:t>31</w:t>
      </w:r>
      <w:r>
        <w:fldChar w:fldCharType="end"/>
      </w:r>
      <w:bookmarkStart w:id="801" w:name="_Toc31390"/>
      <w:bookmarkStart w:id="802" w:name="_Toc22510"/>
      <w:bookmarkStart w:id="803" w:name="_Toc9318"/>
      <w:bookmarkStart w:id="804" w:name="_Toc26554"/>
      <w:bookmarkStart w:id="805" w:name="_Toc15342"/>
      <w:bookmarkStart w:id="806" w:name="_Toc22953"/>
      <w:bookmarkStart w:id="807" w:name="_Toc11379"/>
      <w:bookmarkStart w:id="808" w:name="_Toc30938"/>
      <w:bookmarkStart w:id="809" w:name="_Toc8689"/>
      <w:bookmarkStart w:id="810" w:name="_Toc1667"/>
      <w:bookmarkStart w:id="811" w:name="_Toc14084"/>
      <w:bookmarkEnd w:id="793"/>
      <w:r>
        <w:t xml:space="preserve"> - </w:t>
      </w:r>
      <w:r>
        <w:rPr>
          <w:rFonts w:cs="Times New Roman"/>
          <w:bCs/>
        </w:rPr>
        <w:t>Distanţe minime de siguranţă între construcţii independente</w:t>
      </w:r>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p>
    <w:p w14:paraId="34BAFE94" w14:textId="77777777" w:rsidR="001C08A5" w:rsidRDefault="001C08A5">
      <w:pPr>
        <w:rPr>
          <w:b/>
          <w:sz w:val="24"/>
          <w:szCs w:val="24"/>
        </w:rPr>
      </w:pPr>
    </w:p>
    <w:p w14:paraId="04C53E53" w14:textId="77777777" w:rsidR="001C08A5" w:rsidRDefault="00000000">
      <w:pPr>
        <w:pStyle w:val="Heading3"/>
      </w:pPr>
      <w:bookmarkStart w:id="812" w:name="_Toc5150"/>
      <w:bookmarkStart w:id="813" w:name="_Toc539"/>
      <w:bookmarkStart w:id="814" w:name="_Toc16113"/>
      <w:bookmarkStart w:id="815" w:name="_Toc13824"/>
      <w:bookmarkStart w:id="816" w:name="_Toc7501"/>
      <w:bookmarkStart w:id="817" w:name="_Toc12139"/>
      <w:bookmarkStart w:id="818" w:name="_Toc13597"/>
      <w:bookmarkStart w:id="819" w:name="_Toc162355193"/>
      <w:bookmarkStart w:id="820" w:name="_Toc27474"/>
      <w:bookmarkStart w:id="821" w:name="_Toc22012"/>
      <w:r>
        <w:t>SECŢIUNEA III</w:t>
      </w:r>
      <w:bookmarkEnd w:id="812"/>
      <w:bookmarkEnd w:id="813"/>
      <w:bookmarkEnd w:id="814"/>
      <w:bookmarkEnd w:id="815"/>
      <w:bookmarkEnd w:id="816"/>
      <w:bookmarkEnd w:id="817"/>
      <w:bookmarkEnd w:id="818"/>
      <w:bookmarkEnd w:id="819"/>
      <w:bookmarkEnd w:id="820"/>
      <w:bookmarkEnd w:id="821"/>
    </w:p>
    <w:p w14:paraId="1DF49F5E" w14:textId="77777777" w:rsidR="001C08A5" w:rsidRDefault="00000000">
      <w:pPr>
        <w:pStyle w:val="Heading3"/>
        <w:rPr>
          <w:rFonts w:cs="Times New Roman"/>
          <w:i/>
          <w:sz w:val="24"/>
          <w:szCs w:val="24"/>
        </w:rPr>
      </w:pPr>
      <w:bookmarkStart w:id="822" w:name="_Toc10882"/>
      <w:bookmarkStart w:id="823" w:name="_Toc2547"/>
      <w:bookmarkStart w:id="824" w:name="_Toc15633"/>
      <w:bookmarkStart w:id="825" w:name="_Toc24590"/>
      <w:bookmarkStart w:id="826" w:name="_Toc11814"/>
      <w:bookmarkStart w:id="827" w:name="_Toc162355194"/>
      <w:bookmarkStart w:id="828" w:name="_Toc5191"/>
      <w:bookmarkStart w:id="829" w:name="_Toc6889"/>
      <w:bookmarkStart w:id="830" w:name="_Toc8729"/>
      <w:bookmarkStart w:id="831" w:name="_Toc17605"/>
      <w:r>
        <w:t>2.3. LIMITAREA PROPAGĂRII INCENDIILOR</w:t>
      </w:r>
      <w:bookmarkEnd w:id="822"/>
      <w:bookmarkEnd w:id="823"/>
      <w:bookmarkEnd w:id="824"/>
      <w:bookmarkEnd w:id="825"/>
      <w:bookmarkEnd w:id="826"/>
      <w:bookmarkEnd w:id="827"/>
      <w:bookmarkEnd w:id="828"/>
      <w:bookmarkEnd w:id="829"/>
      <w:bookmarkEnd w:id="830"/>
      <w:bookmarkEnd w:id="831"/>
    </w:p>
    <w:p w14:paraId="4C9288E1" w14:textId="77777777" w:rsidR="001C08A5" w:rsidRDefault="00000000">
      <w:pPr>
        <w:pStyle w:val="Heading4"/>
      </w:pPr>
      <w:bookmarkStart w:id="832" w:name="_Toc19230"/>
      <w:bookmarkStart w:id="833" w:name="_Toc2859"/>
      <w:bookmarkStart w:id="834" w:name="_Toc21696"/>
      <w:bookmarkStart w:id="835" w:name="_Toc24920"/>
      <w:bookmarkStart w:id="836" w:name="_Toc162355195"/>
      <w:bookmarkStart w:id="837" w:name="_Toc14176"/>
      <w:bookmarkStart w:id="838" w:name="_Toc3172"/>
      <w:bookmarkStart w:id="839" w:name="_Toc516"/>
      <w:r>
        <w:t>2.3.1. Dispoziţii generale</w:t>
      </w:r>
      <w:bookmarkEnd w:id="832"/>
      <w:bookmarkEnd w:id="833"/>
      <w:bookmarkEnd w:id="834"/>
      <w:bookmarkEnd w:id="835"/>
      <w:bookmarkEnd w:id="836"/>
      <w:bookmarkEnd w:id="837"/>
      <w:bookmarkEnd w:id="838"/>
      <w:bookmarkEnd w:id="839"/>
    </w:p>
    <w:p w14:paraId="2C99EE44" w14:textId="77777777" w:rsidR="001C08A5" w:rsidRDefault="001C08A5">
      <w:pPr>
        <w:rPr>
          <w:b/>
          <w:bCs/>
          <w:i/>
          <w:sz w:val="24"/>
          <w:szCs w:val="24"/>
        </w:rPr>
      </w:pPr>
    </w:p>
    <w:p w14:paraId="285667F8" w14:textId="77777777" w:rsidR="001C08A5" w:rsidRDefault="00000000">
      <w:pPr>
        <w:jc w:val="both"/>
        <w:rPr>
          <w:rFonts w:eastAsia="TimesNewRomanPSMT-Identity-H"/>
          <w:sz w:val="24"/>
          <w:szCs w:val="24"/>
        </w:rPr>
      </w:pPr>
      <w:r>
        <w:rPr>
          <w:rFonts w:eastAsia="TimesNewRomanPSMT-Identity-H"/>
          <w:b/>
          <w:sz w:val="24"/>
          <w:szCs w:val="24"/>
        </w:rPr>
        <w:tab/>
        <w:t xml:space="preserve">Art. </w:t>
      </w:r>
      <w:r>
        <w:rPr>
          <w:b/>
          <w:bCs/>
          <w:sz w:val="24"/>
          <w:szCs w:val="24"/>
        </w:rPr>
        <w:t>2.3.1.</w:t>
      </w:r>
      <w:r>
        <w:rPr>
          <w:rFonts w:eastAsia="TimesNewRomanPSMT-Identity-H"/>
          <w:b/>
          <w:sz w:val="24"/>
          <w:szCs w:val="24"/>
        </w:rPr>
        <w:t xml:space="preserve">1. </w:t>
      </w:r>
      <w:r>
        <w:rPr>
          <w:b/>
          <w:sz w:val="24"/>
          <w:szCs w:val="24"/>
        </w:rPr>
        <w:t xml:space="preserve">(1) </w:t>
      </w:r>
      <w:r>
        <w:rPr>
          <w:rFonts w:eastAsia="TimesNewRomanPSMT-Identity-H"/>
          <w:sz w:val="24"/>
          <w:szCs w:val="24"/>
        </w:rPr>
        <w:t>Elementele de construcţii, pereţi și planşee utilizate pentru limitarea propagării incendiilor și a efectelor acestora, precum şi a exploziilor, sunt de tipul:</w:t>
      </w:r>
    </w:p>
    <w:p w14:paraId="15DF5097" w14:textId="77777777" w:rsidR="001C08A5" w:rsidRDefault="00000000">
      <w:pPr>
        <w:autoSpaceDE w:val="0"/>
        <w:jc w:val="both"/>
        <w:rPr>
          <w:rFonts w:eastAsia="TimesNewRomanPSMT-Identity-H"/>
          <w:sz w:val="24"/>
          <w:szCs w:val="24"/>
        </w:rPr>
      </w:pPr>
      <w:r>
        <w:rPr>
          <w:rFonts w:eastAsia="TimesNewRomanPSMT-Identity-H"/>
          <w:sz w:val="24"/>
          <w:szCs w:val="24"/>
        </w:rPr>
        <w:tab/>
      </w:r>
      <w:r>
        <w:rPr>
          <w:rFonts w:eastAsia="TimesNewRomanPSMT-Identity-H"/>
          <w:sz w:val="24"/>
          <w:szCs w:val="24"/>
        </w:rPr>
        <w:tab/>
      </w:r>
      <w:r>
        <w:rPr>
          <w:rFonts w:eastAsia="TimesNewRomanPSMT-Identity-H"/>
          <w:sz w:val="24"/>
          <w:szCs w:val="24"/>
        </w:rPr>
        <w:tab/>
        <w:t>• rezistente la foc (</w:t>
      </w:r>
      <w:r>
        <w:rPr>
          <w:rFonts w:eastAsia="TimesNewRomanPSMT-Identity-H"/>
          <w:b/>
          <w:sz w:val="24"/>
          <w:szCs w:val="24"/>
        </w:rPr>
        <w:t>REI</w:t>
      </w:r>
      <w:r>
        <w:rPr>
          <w:rFonts w:eastAsia="TimesNewRomanPSMT-Identity-H"/>
          <w:sz w:val="24"/>
          <w:szCs w:val="24"/>
        </w:rPr>
        <w:t xml:space="preserve"> sau </w:t>
      </w:r>
      <w:r>
        <w:rPr>
          <w:rFonts w:eastAsia="TimesNewRomanPSMT-Identity-H"/>
          <w:b/>
          <w:sz w:val="24"/>
          <w:szCs w:val="24"/>
        </w:rPr>
        <w:t>EI</w:t>
      </w:r>
      <w:r>
        <w:rPr>
          <w:rFonts w:eastAsia="TimesNewRomanPSMT-Identity-H"/>
          <w:sz w:val="24"/>
          <w:szCs w:val="24"/>
        </w:rPr>
        <w:t>);</w:t>
      </w:r>
    </w:p>
    <w:p w14:paraId="33236CE0" w14:textId="77777777" w:rsidR="001C08A5" w:rsidRDefault="00000000">
      <w:pPr>
        <w:autoSpaceDE w:val="0"/>
        <w:jc w:val="both"/>
        <w:rPr>
          <w:rFonts w:eastAsia="TimesNewRomanPSMT-Identity-H"/>
          <w:sz w:val="24"/>
          <w:szCs w:val="24"/>
        </w:rPr>
      </w:pPr>
      <w:r>
        <w:rPr>
          <w:rFonts w:eastAsia="TimesNewRomanPSMT-Identity-H"/>
          <w:sz w:val="24"/>
          <w:szCs w:val="24"/>
        </w:rPr>
        <w:tab/>
      </w:r>
      <w:r>
        <w:rPr>
          <w:rFonts w:eastAsia="TimesNewRomanPSMT-Identity-H"/>
          <w:sz w:val="24"/>
          <w:szCs w:val="24"/>
        </w:rPr>
        <w:tab/>
      </w:r>
      <w:r>
        <w:rPr>
          <w:rFonts w:eastAsia="TimesNewRomanPSMT-Identity-H"/>
          <w:sz w:val="24"/>
          <w:szCs w:val="24"/>
        </w:rPr>
        <w:tab/>
        <w:t>• rezistente la explozie (</w:t>
      </w:r>
      <w:r>
        <w:rPr>
          <w:rFonts w:eastAsia="TimesNewRomanPSMT-Identity-H"/>
          <w:b/>
          <w:sz w:val="24"/>
          <w:szCs w:val="24"/>
        </w:rPr>
        <w:t>REI</w:t>
      </w:r>
      <w:r>
        <w:rPr>
          <w:rFonts w:eastAsia="TimesNewRomanPSMT-Identity-H"/>
          <w:sz w:val="24"/>
          <w:szCs w:val="24"/>
        </w:rPr>
        <w:t>);</w:t>
      </w:r>
    </w:p>
    <w:p w14:paraId="711493CE" w14:textId="77777777" w:rsidR="001C08A5" w:rsidRDefault="00000000">
      <w:pPr>
        <w:autoSpaceDE w:val="0"/>
        <w:ind w:left="1440" w:firstLine="720"/>
        <w:jc w:val="both"/>
        <w:rPr>
          <w:rFonts w:eastAsia="TimesNewRomanPSMT-Identity-H"/>
          <w:sz w:val="24"/>
          <w:szCs w:val="24"/>
        </w:rPr>
      </w:pPr>
      <w:r>
        <w:rPr>
          <w:rFonts w:eastAsia="TimesNewRomanPSMT-Identity-H"/>
          <w:sz w:val="24"/>
          <w:szCs w:val="24"/>
        </w:rPr>
        <w:t>• radiatie termica</w:t>
      </w:r>
      <w:r>
        <w:rPr>
          <w:rFonts w:eastAsia="TimesNewRomanPSMT-Identity-H"/>
          <w:b/>
          <w:bCs/>
          <w:sz w:val="24"/>
          <w:szCs w:val="24"/>
        </w:rPr>
        <w:t xml:space="preserve"> (W)</w:t>
      </w:r>
      <w:r>
        <w:rPr>
          <w:rFonts w:eastAsia="TimesNewRomanPSMT-Identity-H"/>
          <w:sz w:val="24"/>
          <w:szCs w:val="24"/>
        </w:rPr>
        <w:t>;</w:t>
      </w:r>
    </w:p>
    <w:p w14:paraId="3D773C26" w14:textId="77777777" w:rsidR="001C08A5" w:rsidRDefault="00000000">
      <w:pPr>
        <w:autoSpaceDE w:val="0"/>
        <w:jc w:val="both"/>
        <w:rPr>
          <w:rFonts w:eastAsia="TimesNewRomanPSMT-Identity-H"/>
          <w:sz w:val="24"/>
          <w:szCs w:val="24"/>
        </w:rPr>
      </w:pPr>
      <w:r>
        <w:rPr>
          <w:rFonts w:eastAsia="TimesNewRomanPSMT-Identity-H"/>
          <w:sz w:val="24"/>
          <w:szCs w:val="24"/>
        </w:rPr>
        <w:tab/>
      </w:r>
      <w:r>
        <w:rPr>
          <w:rFonts w:eastAsia="TimesNewRomanPSMT-Identity-H"/>
          <w:sz w:val="24"/>
          <w:szCs w:val="24"/>
        </w:rPr>
        <w:tab/>
      </w:r>
      <w:r>
        <w:rPr>
          <w:rFonts w:eastAsia="TimesNewRomanPSMT-Identity-H"/>
          <w:sz w:val="24"/>
          <w:szCs w:val="24"/>
        </w:rPr>
        <w:tab/>
        <w:t>• etanşe la foc (</w:t>
      </w:r>
      <w:r>
        <w:rPr>
          <w:rFonts w:eastAsia="TimesNewRomanPSMT-Identity-H"/>
          <w:b/>
          <w:sz w:val="24"/>
          <w:szCs w:val="24"/>
        </w:rPr>
        <w:t>E</w:t>
      </w:r>
      <w:r>
        <w:rPr>
          <w:rFonts w:eastAsia="TimesNewRomanPSMT-Identity-H"/>
          <w:sz w:val="24"/>
          <w:szCs w:val="24"/>
        </w:rPr>
        <w:t>)</w:t>
      </w:r>
    </w:p>
    <w:p w14:paraId="224B5074" w14:textId="77777777" w:rsidR="001C08A5" w:rsidRDefault="00000000">
      <w:pPr>
        <w:autoSpaceDE w:val="0"/>
        <w:ind w:left="1440" w:firstLine="720"/>
        <w:jc w:val="both"/>
        <w:rPr>
          <w:rFonts w:eastAsia="TimesNewRomanPSMT-Identity-H"/>
          <w:sz w:val="24"/>
          <w:szCs w:val="24"/>
        </w:rPr>
      </w:pPr>
      <w:r>
        <w:rPr>
          <w:rFonts w:eastAsia="TimesNewRomanPSMT-Identity-H"/>
          <w:sz w:val="24"/>
          <w:szCs w:val="24"/>
        </w:rPr>
        <w:t xml:space="preserve">• rezistente la foc cu </w:t>
      </w:r>
      <w:r>
        <w:rPr>
          <w:sz w:val="24"/>
          <w:szCs w:val="24"/>
        </w:rPr>
        <w:t>acţiune mecanică</w:t>
      </w:r>
      <w:r>
        <w:rPr>
          <w:rFonts w:eastAsia="TimesNewRomanPSMT-Identity-H"/>
          <w:sz w:val="24"/>
          <w:szCs w:val="24"/>
        </w:rPr>
        <w:t>(</w:t>
      </w:r>
      <w:r>
        <w:rPr>
          <w:rFonts w:eastAsia="TimesNewRomanPSMT-Identity-H"/>
          <w:b/>
          <w:sz w:val="24"/>
          <w:szCs w:val="24"/>
        </w:rPr>
        <w:t>REI</w:t>
      </w:r>
      <w:r>
        <w:rPr>
          <w:rFonts w:eastAsia="TimesNewRomanPSMT-Identity-H"/>
          <w:sz w:val="24"/>
          <w:szCs w:val="24"/>
        </w:rPr>
        <w:t xml:space="preserve"> sau </w:t>
      </w:r>
      <w:r>
        <w:rPr>
          <w:rFonts w:eastAsia="TimesNewRomanPSMT-Identity-H"/>
          <w:b/>
          <w:sz w:val="24"/>
          <w:szCs w:val="24"/>
        </w:rPr>
        <w:t>EI-M</w:t>
      </w:r>
      <w:r>
        <w:rPr>
          <w:rFonts w:eastAsia="TimesNewRomanPSMT-Identity-H"/>
          <w:sz w:val="24"/>
          <w:szCs w:val="24"/>
        </w:rPr>
        <w:t>)</w:t>
      </w:r>
    </w:p>
    <w:p w14:paraId="3E5A3307" w14:textId="77777777" w:rsidR="001C08A5" w:rsidRDefault="00000000">
      <w:pPr>
        <w:autoSpaceDE w:val="0"/>
        <w:jc w:val="both"/>
        <w:rPr>
          <w:rFonts w:eastAsia="TimesNewRomanPSMT-Identity-H"/>
          <w:sz w:val="24"/>
          <w:szCs w:val="24"/>
        </w:rPr>
      </w:pPr>
      <w:r>
        <w:rPr>
          <w:rFonts w:eastAsia="TimesNewRomanPSMT-Identity-H"/>
          <w:sz w:val="24"/>
          <w:szCs w:val="24"/>
        </w:rPr>
        <w:tab/>
      </w:r>
      <w:r>
        <w:rPr>
          <w:b/>
          <w:sz w:val="24"/>
          <w:szCs w:val="24"/>
        </w:rPr>
        <w:t xml:space="preserve">(2) </w:t>
      </w:r>
      <w:r>
        <w:rPr>
          <w:rFonts w:eastAsia="TimesNewRomanPSMT-Identity-H"/>
          <w:sz w:val="24"/>
          <w:szCs w:val="24"/>
        </w:rPr>
        <w:t>Este obligatorie asigurarea continuitatii conditiilor minime pentru pereti și planșee în dreptul rosturilor de tasare cu soluții de etansare agrementate.</w:t>
      </w:r>
    </w:p>
    <w:p w14:paraId="256478EC" w14:textId="77777777" w:rsidR="001C08A5" w:rsidRDefault="00000000">
      <w:pPr>
        <w:autoSpaceDE w:val="0"/>
        <w:ind w:firstLine="720"/>
        <w:jc w:val="both"/>
        <w:rPr>
          <w:sz w:val="24"/>
          <w:szCs w:val="24"/>
        </w:rPr>
      </w:pPr>
      <w:r>
        <w:rPr>
          <w:b/>
          <w:sz w:val="24"/>
          <w:szCs w:val="24"/>
        </w:rPr>
        <w:t xml:space="preserve">(3) </w:t>
      </w:r>
      <w:r>
        <w:rPr>
          <w:rFonts w:eastAsia="TimesNewRomanPSMT-Identity-H"/>
          <w:sz w:val="24"/>
          <w:szCs w:val="24"/>
        </w:rPr>
        <w:t>Protecţia golurilor funcţionale din aceste elemente de construcţii, se realizează, după caz, cu uşi, obloane, cortine, încăperi tampon ventilate în suprapresiune sau tamburi deschişi, alcătuite și dimensionate conform prevederilor normativului.</w:t>
      </w:r>
    </w:p>
    <w:p w14:paraId="1A7FC65C" w14:textId="77777777" w:rsidR="001C08A5" w:rsidRDefault="001C08A5">
      <w:pPr>
        <w:autoSpaceDE w:val="0"/>
        <w:rPr>
          <w:sz w:val="24"/>
          <w:szCs w:val="24"/>
        </w:rPr>
      </w:pPr>
    </w:p>
    <w:p w14:paraId="32E97BFB" w14:textId="77777777" w:rsidR="001C08A5" w:rsidRDefault="00000000">
      <w:pPr>
        <w:ind w:firstLine="705"/>
        <w:jc w:val="both"/>
        <w:rPr>
          <w:sz w:val="24"/>
          <w:szCs w:val="24"/>
        </w:rPr>
      </w:pPr>
      <w:r>
        <w:rPr>
          <w:b/>
          <w:sz w:val="24"/>
          <w:szCs w:val="24"/>
        </w:rPr>
        <w:t xml:space="preserve">Art. </w:t>
      </w:r>
      <w:r>
        <w:rPr>
          <w:b/>
          <w:bCs/>
          <w:sz w:val="24"/>
          <w:szCs w:val="24"/>
        </w:rPr>
        <w:t xml:space="preserve">2.3.1.2. </w:t>
      </w:r>
      <w:r>
        <w:rPr>
          <w:bCs/>
          <w:sz w:val="24"/>
          <w:szCs w:val="24"/>
        </w:rPr>
        <w:t xml:space="preserve">Rezistenţele la foc normate ale </w:t>
      </w:r>
      <w:r>
        <w:rPr>
          <w:sz w:val="24"/>
          <w:szCs w:val="24"/>
        </w:rPr>
        <w:t>pereţilor (</w:t>
      </w:r>
      <w:r>
        <w:rPr>
          <w:b/>
          <w:sz w:val="24"/>
          <w:szCs w:val="24"/>
        </w:rPr>
        <w:t>EI/REI</w:t>
      </w:r>
      <w:r>
        <w:rPr>
          <w:sz w:val="24"/>
          <w:szCs w:val="24"/>
        </w:rPr>
        <w:t>) şi a planşeelor (</w:t>
      </w:r>
      <w:r>
        <w:rPr>
          <w:b/>
          <w:sz w:val="24"/>
          <w:szCs w:val="24"/>
        </w:rPr>
        <w:t>REI</w:t>
      </w:r>
      <w:r>
        <w:rPr>
          <w:sz w:val="24"/>
          <w:szCs w:val="24"/>
        </w:rPr>
        <w:t>) de compartimentare  a încăperilor cu funcțiuni diferite (conform ariilor maxime și condițiilor stabilite în normativ), stabilite în funcţie de densitatea sarcinii termice (</w:t>
      </w:r>
      <w:r>
        <w:rPr>
          <w:b/>
          <w:bCs/>
          <w:sz w:val="24"/>
          <w:szCs w:val="24"/>
        </w:rPr>
        <w:t>q</w:t>
      </w:r>
      <w:r>
        <w:rPr>
          <w:sz w:val="24"/>
          <w:szCs w:val="24"/>
        </w:rPr>
        <w:t>) din spaţiile adiacente, şi/sau în funcţie de densitatea sarcinii termice (</w:t>
      </w:r>
      <w:r>
        <w:rPr>
          <w:b/>
          <w:bCs/>
          <w:sz w:val="24"/>
          <w:szCs w:val="24"/>
        </w:rPr>
        <w:t>q</w:t>
      </w:r>
      <w:r>
        <w:rPr>
          <w:sz w:val="24"/>
          <w:szCs w:val="24"/>
        </w:rPr>
        <w:t xml:space="preserve">) cea mai mare din spaţiile pe care le despart sunt precizate în </w:t>
      </w:r>
      <w:r>
        <w:rPr>
          <w:rStyle w:val="CaptiontabelChar"/>
        </w:rPr>
        <w:fldChar w:fldCharType="begin"/>
      </w:r>
      <w:r>
        <w:rPr>
          <w:rStyle w:val="CaptiontabelChar"/>
        </w:rPr>
        <w:instrText xml:space="preserve"> REF _Ref28465 \h </w:instrText>
      </w:r>
      <w:r>
        <w:rPr>
          <w:rStyle w:val="CaptiontabelChar"/>
        </w:rPr>
      </w:r>
      <w:r>
        <w:rPr>
          <w:rStyle w:val="CaptiontabelChar"/>
        </w:rPr>
        <w:fldChar w:fldCharType="separate"/>
      </w:r>
      <w:r>
        <w:t>Tabelul 5</w:t>
      </w:r>
      <w:r>
        <w:rPr>
          <w:rStyle w:val="CaptiontabelChar"/>
        </w:rPr>
        <w:fldChar w:fldCharType="end"/>
      </w:r>
      <w:r>
        <w:rPr>
          <w:rFonts w:eastAsia="TimesNewRomanPSMT-Identity-H"/>
          <w:b/>
          <w:bCs/>
          <w:sz w:val="24"/>
          <w:szCs w:val="24"/>
        </w:rPr>
        <w:t xml:space="preserve">, </w:t>
      </w:r>
      <w:r>
        <w:rPr>
          <w:rFonts w:eastAsia="TimesNewRomanPSMT-Identity-H"/>
          <w:sz w:val="24"/>
          <w:szCs w:val="24"/>
        </w:rPr>
        <w:t>dacă prevederile normativului nu stabilesc alte condiţii</w:t>
      </w:r>
      <w:r>
        <w:rPr>
          <w:sz w:val="24"/>
          <w:szCs w:val="24"/>
        </w:rPr>
        <w:t>.</w:t>
      </w:r>
    </w:p>
    <w:p w14:paraId="42462DBE" w14:textId="77777777" w:rsidR="001C08A5" w:rsidRDefault="00000000">
      <w:pPr>
        <w:jc w:val="both"/>
        <w:rPr>
          <w:b/>
          <w:bCs/>
          <w:sz w:val="24"/>
          <w:szCs w:val="24"/>
        </w:rPr>
      </w:pPr>
      <w:r>
        <w:rPr>
          <w:sz w:val="24"/>
          <w:szCs w:val="24"/>
        </w:rPr>
        <w:tab/>
      </w:r>
    </w:p>
    <w:p w14:paraId="19559889" w14:textId="77777777" w:rsidR="001C08A5" w:rsidRDefault="00000000">
      <w:pPr>
        <w:pStyle w:val="Captiontabel"/>
      </w:pPr>
      <w:bookmarkStart w:id="840" w:name="_Ref28465"/>
      <w:bookmarkStart w:id="841" w:name="_Toc162360055"/>
      <w:r>
        <w:t xml:space="preserve">Tabelul </w:t>
      </w:r>
      <w:r>
        <w:fldChar w:fldCharType="begin"/>
      </w:r>
      <w:r>
        <w:instrText xml:space="preserve"> SEQ Tabelul \* ARABIC </w:instrText>
      </w:r>
      <w:r>
        <w:fldChar w:fldCharType="separate"/>
      </w:r>
      <w:r>
        <w:t>5</w:t>
      </w:r>
      <w:r>
        <w:fldChar w:fldCharType="end"/>
      </w:r>
      <w:bookmarkStart w:id="842" w:name="_Toc26275"/>
      <w:bookmarkStart w:id="843" w:name="_Toc28507"/>
      <w:bookmarkStart w:id="844" w:name="_Toc2734"/>
      <w:bookmarkStart w:id="845" w:name="_Toc3670"/>
      <w:bookmarkStart w:id="846" w:name="_Toc11948"/>
      <w:bookmarkStart w:id="847" w:name="_Ref19044"/>
      <w:bookmarkStart w:id="848" w:name="_Toc4009"/>
      <w:bookmarkStart w:id="849" w:name="_Toc1373"/>
      <w:bookmarkStart w:id="850" w:name="_Toc13984"/>
      <w:bookmarkStart w:id="851" w:name="_Toc4304"/>
      <w:bookmarkStart w:id="852" w:name="_Toc17609"/>
      <w:bookmarkStart w:id="853" w:name="_Toc18673"/>
      <w:bookmarkStart w:id="854" w:name="_Toc21288"/>
      <w:bookmarkStart w:id="855" w:name="_Toc19014"/>
      <w:bookmarkStart w:id="856" w:name="_Toc11253"/>
      <w:bookmarkStart w:id="857" w:name="_Toc22036"/>
      <w:bookmarkStart w:id="858" w:name="_Toc4144"/>
      <w:bookmarkStart w:id="859" w:name="_Toc29028"/>
      <w:bookmarkStart w:id="860" w:name="_Toc16125"/>
      <w:bookmarkStart w:id="861" w:name="_Toc27481"/>
      <w:bookmarkEnd w:id="840"/>
      <w:r>
        <w:t>: Rezistenţe la foc normate ale pereţilor (EI/REI) și planşeelor (REI)  corespunzătoare densităţilor sarcinilor termice (q) din spaţiile adiacente şi/sau densităţilor sarcinilor termice (q) cele mai mari din spaţiile pe care le despart</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p>
    <w:p w14:paraId="03C97054" w14:textId="77777777" w:rsidR="001C08A5" w:rsidRDefault="001C08A5">
      <w:pPr>
        <w:pStyle w:val="Tabel"/>
        <w:numPr>
          <w:ilvl w:val="0"/>
          <w:numId w:val="0"/>
        </w:numPr>
        <w:jc w:val="both"/>
      </w:pPr>
    </w:p>
    <w:tbl>
      <w:tblPr>
        <w:tblW w:w="4854" w:type="pct"/>
        <w:tblLook w:val="04A0" w:firstRow="1" w:lastRow="0" w:firstColumn="1" w:lastColumn="0" w:noHBand="0" w:noVBand="1"/>
      </w:tblPr>
      <w:tblGrid>
        <w:gridCol w:w="2774"/>
        <w:gridCol w:w="1095"/>
        <w:gridCol w:w="1094"/>
        <w:gridCol w:w="1094"/>
        <w:gridCol w:w="1094"/>
        <w:gridCol w:w="1094"/>
        <w:gridCol w:w="1093"/>
      </w:tblGrid>
      <w:tr w:rsidR="001C08A5" w14:paraId="1E700AC7" w14:textId="77777777">
        <w:tc>
          <w:tcPr>
            <w:tcW w:w="1485" w:type="pct"/>
            <w:vMerge w:val="restart"/>
            <w:tcBorders>
              <w:top w:val="single" w:sz="8" w:space="0" w:color="000000"/>
              <w:left w:val="single" w:sz="8" w:space="0" w:color="000000"/>
            </w:tcBorders>
            <w:shd w:val="clear" w:color="auto" w:fill="BFBFBF"/>
            <w:vAlign w:val="center"/>
          </w:tcPr>
          <w:p w14:paraId="61E6EE9A" w14:textId="77777777" w:rsidR="001C08A5" w:rsidRDefault="00000000">
            <w:pPr>
              <w:jc w:val="center"/>
              <w:rPr>
                <w:b/>
                <w:bCs/>
                <w:i/>
                <w:iCs/>
                <w:sz w:val="22"/>
                <w:szCs w:val="22"/>
              </w:rPr>
            </w:pPr>
            <w:r>
              <w:rPr>
                <w:b/>
                <w:bCs/>
                <w:i/>
                <w:iCs/>
                <w:sz w:val="22"/>
                <w:szCs w:val="22"/>
              </w:rPr>
              <w:t>Densitatea sarcinii termice (q) din încăperi</w:t>
            </w:r>
          </w:p>
          <w:p w14:paraId="735C6A9A" w14:textId="77777777" w:rsidR="001C08A5" w:rsidRDefault="00000000">
            <w:pPr>
              <w:jc w:val="center"/>
              <w:rPr>
                <w:b/>
                <w:bCs/>
                <w:i/>
                <w:iCs/>
                <w:sz w:val="22"/>
                <w:szCs w:val="22"/>
              </w:rPr>
            </w:pPr>
            <w:r>
              <w:rPr>
                <w:b/>
                <w:bCs/>
                <w:i/>
                <w:iCs/>
                <w:sz w:val="22"/>
                <w:szCs w:val="22"/>
              </w:rPr>
              <w:t>(MJ/m</w:t>
            </w:r>
            <w:r>
              <w:rPr>
                <w:b/>
                <w:bCs/>
                <w:i/>
                <w:iCs/>
                <w:sz w:val="22"/>
                <w:szCs w:val="22"/>
                <w:vertAlign w:val="superscript"/>
              </w:rPr>
              <w:t>2</w:t>
            </w:r>
            <w:r>
              <w:rPr>
                <w:b/>
                <w:bCs/>
                <w:i/>
                <w:iCs/>
                <w:sz w:val="22"/>
                <w:szCs w:val="22"/>
              </w:rPr>
              <w:t>)</w:t>
            </w:r>
          </w:p>
        </w:tc>
        <w:tc>
          <w:tcPr>
            <w:tcW w:w="1172" w:type="pct"/>
            <w:gridSpan w:val="2"/>
            <w:vMerge w:val="restart"/>
            <w:tcBorders>
              <w:top w:val="single" w:sz="8" w:space="0" w:color="000000"/>
              <w:left w:val="single" w:sz="4" w:space="0" w:color="000000"/>
              <w:right w:val="single" w:sz="8" w:space="0" w:color="000000"/>
            </w:tcBorders>
            <w:shd w:val="clear" w:color="auto" w:fill="BFBFBF"/>
            <w:vAlign w:val="center"/>
          </w:tcPr>
          <w:p w14:paraId="3B727BEC" w14:textId="77777777" w:rsidR="001C08A5" w:rsidRDefault="00000000">
            <w:pPr>
              <w:jc w:val="center"/>
              <w:rPr>
                <w:b/>
                <w:bCs/>
                <w:i/>
                <w:iCs/>
                <w:sz w:val="22"/>
                <w:szCs w:val="22"/>
              </w:rPr>
            </w:pPr>
            <w:r>
              <w:rPr>
                <w:b/>
                <w:bCs/>
                <w:i/>
                <w:iCs/>
                <w:sz w:val="22"/>
                <w:szCs w:val="22"/>
              </w:rPr>
              <w:t>Rezistenţa la foc (EI/REI) minimă a pereţilor</w:t>
            </w:r>
          </w:p>
          <w:p w14:paraId="3208EED1" w14:textId="77777777" w:rsidR="001C08A5" w:rsidRDefault="00000000">
            <w:pPr>
              <w:jc w:val="center"/>
              <w:rPr>
                <w:b/>
                <w:bCs/>
                <w:i/>
                <w:iCs/>
                <w:sz w:val="22"/>
                <w:szCs w:val="22"/>
              </w:rPr>
            </w:pPr>
            <w:r>
              <w:rPr>
                <w:i/>
                <w:iCs/>
                <w:sz w:val="22"/>
                <w:szCs w:val="22"/>
              </w:rPr>
              <w:t>(minute)</w:t>
            </w:r>
          </w:p>
        </w:tc>
        <w:tc>
          <w:tcPr>
            <w:tcW w:w="2343" w:type="pct"/>
            <w:gridSpan w:val="4"/>
            <w:tcBorders>
              <w:top w:val="single" w:sz="8" w:space="0" w:color="000000"/>
              <w:left w:val="single" w:sz="4" w:space="0" w:color="000000"/>
              <w:bottom w:val="single" w:sz="8" w:space="0" w:color="000000"/>
              <w:right w:val="single" w:sz="8" w:space="0" w:color="000000"/>
            </w:tcBorders>
            <w:shd w:val="clear" w:color="auto" w:fill="BFBFBF"/>
            <w:vAlign w:val="center"/>
          </w:tcPr>
          <w:p w14:paraId="1BBE98DA" w14:textId="77777777" w:rsidR="001C08A5" w:rsidRDefault="00000000">
            <w:pPr>
              <w:jc w:val="center"/>
              <w:rPr>
                <w:b/>
                <w:bCs/>
                <w:i/>
                <w:iCs/>
                <w:sz w:val="22"/>
                <w:szCs w:val="22"/>
              </w:rPr>
            </w:pPr>
            <w:r>
              <w:rPr>
                <w:b/>
                <w:bCs/>
                <w:i/>
                <w:iCs/>
                <w:sz w:val="22"/>
                <w:szCs w:val="22"/>
              </w:rPr>
              <w:t>Rezistenţa la foc (REI) minimă a planşeelor</w:t>
            </w:r>
          </w:p>
          <w:p w14:paraId="79FA9D43" w14:textId="77777777" w:rsidR="001C08A5" w:rsidRDefault="00000000">
            <w:pPr>
              <w:pStyle w:val="Contenutotabellacentrato"/>
              <w:rPr>
                <w:i/>
                <w:iCs/>
                <w:sz w:val="22"/>
                <w:szCs w:val="22"/>
              </w:rPr>
            </w:pPr>
            <w:r>
              <w:rPr>
                <w:i/>
                <w:iCs/>
                <w:sz w:val="22"/>
                <w:szCs w:val="22"/>
              </w:rPr>
              <w:t>(minute)</w:t>
            </w:r>
          </w:p>
        </w:tc>
      </w:tr>
      <w:tr w:rsidR="001C08A5" w14:paraId="63773B5F" w14:textId="77777777">
        <w:tc>
          <w:tcPr>
            <w:tcW w:w="1485" w:type="pct"/>
            <w:vMerge/>
            <w:tcBorders>
              <w:left w:val="single" w:sz="8" w:space="0" w:color="000000"/>
              <w:bottom w:val="single" w:sz="8" w:space="0" w:color="000000"/>
            </w:tcBorders>
            <w:shd w:val="clear" w:color="auto" w:fill="BFBFBF"/>
            <w:vAlign w:val="center"/>
          </w:tcPr>
          <w:p w14:paraId="4B5A3C73" w14:textId="77777777" w:rsidR="001C08A5" w:rsidRDefault="001C08A5">
            <w:pPr>
              <w:jc w:val="center"/>
              <w:rPr>
                <w:b/>
                <w:bCs/>
                <w:i/>
                <w:iCs/>
                <w:sz w:val="22"/>
                <w:szCs w:val="22"/>
              </w:rPr>
            </w:pPr>
          </w:p>
        </w:tc>
        <w:tc>
          <w:tcPr>
            <w:tcW w:w="1172" w:type="pct"/>
            <w:gridSpan w:val="2"/>
            <w:vMerge/>
            <w:tcBorders>
              <w:left w:val="single" w:sz="4" w:space="0" w:color="000000"/>
              <w:bottom w:val="single" w:sz="8" w:space="0" w:color="000000"/>
              <w:right w:val="single" w:sz="8" w:space="0" w:color="000000"/>
            </w:tcBorders>
            <w:shd w:val="clear" w:color="auto" w:fill="BFBFBF"/>
            <w:vAlign w:val="center"/>
          </w:tcPr>
          <w:p w14:paraId="5FCDDE8B" w14:textId="77777777" w:rsidR="001C08A5" w:rsidRDefault="001C08A5">
            <w:pPr>
              <w:jc w:val="center"/>
              <w:rPr>
                <w:b/>
                <w:bCs/>
                <w:i/>
                <w:iCs/>
                <w:sz w:val="22"/>
                <w:szCs w:val="22"/>
              </w:rPr>
            </w:pPr>
          </w:p>
        </w:tc>
        <w:tc>
          <w:tcPr>
            <w:tcW w:w="1172" w:type="pct"/>
            <w:gridSpan w:val="2"/>
            <w:tcBorders>
              <w:top w:val="single" w:sz="8" w:space="0" w:color="000000"/>
              <w:left w:val="single" w:sz="4" w:space="0" w:color="000000"/>
              <w:bottom w:val="single" w:sz="8" w:space="0" w:color="000000"/>
              <w:right w:val="single" w:sz="8" w:space="0" w:color="000000"/>
            </w:tcBorders>
            <w:shd w:val="clear" w:color="auto" w:fill="BFBFBF"/>
            <w:vAlign w:val="center"/>
          </w:tcPr>
          <w:p w14:paraId="77DF615F" w14:textId="77777777" w:rsidR="001C08A5" w:rsidRDefault="00000000">
            <w:pPr>
              <w:jc w:val="center"/>
              <w:rPr>
                <w:b/>
                <w:bCs/>
                <w:i/>
                <w:iCs/>
                <w:sz w:val="22"/>
                <w:szCs w:val="22"/>
              </w:rPr>
            </w:pPr>
            <w:r>
              <w:rPr>
                <w:b/>
                <w:bCs/>
                <w:i/>
                <w:iCs/>
                <w:sz w:val="22"/>
                <w:szCs w:val="22"/>
              </w:rPr>
              <w:t>la construcții civile</w:t>
            </w:r>
          </w:p>
        </w:tc>
        <w:tc>
          <w:tcPr>
            <w:tcW w:w="1172" w:type="pct"/>
            <w:gridSpan w:val="2"/>
            <w:tcBorders>
              <w:top w:val="single" w:sz="8" w:space="0" w:color="000000"/>
              <w:left w:val="single" w:sz="4" w:space="0" w:color="000000"/>
              <w:bottom w:val="single" w:sz="8" w:space="0" w:color="000000"/>
              <w:right w:val="single" w:sz="8" w:space="0" w:color="000000"/>
            </w:tcBorders>
            <w:shd w:val="clear" w:color="auto" w:fill="BFBFBF"/>
            <w:vAlign w:val="center"/>
          </w:tcPr>
          <w:p w14:paraId="4FA76269" w14:textId="77777777" w:rsidR="001C08A5" w:rsidRDefault="00000000">
            <w:pPr>
              <w:jc w:val="center"/>
              <w:rPr>
                <w:b/>
                <w:bCs/>
                <w:i/>
                <w:iCs/>
                <w:sz w:val="22"/>
                <w:szCs w:val="22"/>
              </w:rPr>
            </w:pPr>
            <w:r>
              <w:rPr>
                <w:b/>
                <w:bCs/>
                <w:i/>
                <w:iCs/>
                <w:sz w:val="22"/>
                <w:szCs w:val="22"/>
              </w:rPr>
              <w:t>la construcții de producție/ depozitare</w:t>
            </w:r>
          </w:p>
        </w:tc>
      </w:tr>
      <w:tr w:rsidR="001C08A5" w14:paraId="7EAD05D3" w14:textId="77777777">
        <w:tc>
          <w:tcPr>
            <w:tcW w:w="1485" w:type="pct"/>
            <w:tcBorders>
              <w:left w:val="single" w:sz="8" w:space="0" w:color="000000"/>
              <w:bottom w:val="single" w:sz="8" w:space="0" w:color="000000"/>
            </w:tcBorders>
            <w:shd w:val="clear" w:color="auto" w:fill="BFBFBF"/>
            <w:vAlign w:val="center"/>
          </w:tcPr>
          <w:p w14:paraId="702D948F" w14:textId="77777777" w:rsidR="001C08A5" w:rsidRDefault="001C08A5">
            <w:pPr>
              <w:jc w:val="center"/>
              <w:rPr>
                <w:b/>
                <w:bCs/>
                <w:i/>
                <w:iCs/>
                <w:sz w:val="22"/>
                <w:szCs w:val="22"/>
              </w:rPr>
            </w:pPr>
          </w:p>
        </w:tc>
        <w:tc>
          <w:tcPr>
            <w:tcW w:w="586" w:type="pct"/>
            <w:tcBorders>
              <w:top w:val="single" w:sz="8" w:space="0" w:color="000000"/>
              <w:left w:val="single" w:sz="4" w:space="0" w:color="000000"/>
              <w:bottom w:val="single" w:sz="8" w:space="0" w:color="000000"/>
            </w:tcBorders>
            <w:shd w:val="clear" w:color="auto" w:fill="BFBFBF"/>
            <w:vAlign w:val="center"/>
          </w:tcPr>
          <w:p w14:paraId="1FA9251E" w14:textId="77777777" w:rsidR="001C08A5" w:rsidRDefault="00000000">
            <w:pPr>
              <w:jc w:val="center"/>
              <w:rPr>
                <w:b/>
                <w:bCs/>
                <w:i/>
                <w:iCs/>
                <w:sz w:val="18"/>
                <w:szCs w:val="18"/>
              </w:rPr>
            </w:pPr>
            <w:r>
              <w:rPr>
                <w:i/>
                <w:iCs/>
                <w:sz w:val="18"/>
                <w:szCs w:val="18"/>
              </w:rPr>
              <w:t>neechipate cu instalaţii automate de stingere a incendiilor</w:t>
            </w:r>
          </w:p>
        </w:tc>
        <w:tc>
          <w:tcPr>
            <w:tcW w:w="586" w:type="pct"/>
            <w:tcBorders>
              <w:top w:val="single" w:sz="8" w:space="0" w:color="000000"/>
              <w:left w:val="single" w:sz="4" w:space="0" w:color="000000"/>
              <w:bottom w:val="single" w:sz="8" w:space="0" w:color="000000"/>
              <w:right w:val="single" w:sz="8" w:space="0" w:color="000000"/>
            </w:tcBorders>
            <w:shd w:val="clear" w:color="auto" w:fill="BFBFBF"/>
            <w:vAlign w:val="center"/>
          </w:tcPr>
          <w:p w14:paraId="3701AA6B" w14:textId="77777777" w:rsidR="001C08A5" w:rsidRDefault="00000000">
            <w:pPr>
              <w:jc w:val="center"/>
              <w:rPr>
                <w:b/>
                <w:bCs/>
                <w:i/>
                <w:iCs/>
                <w:sz w:val="18"/>
                <w:szCs w:val="18"/>
              </w:rPr>
            </w:pPr>
            <w:r>
              <w:rPr>
                <w:i/>
                <w:iCs/>
                <w:sz w:val="18"/>
                <w:szCs w:val="18"/>
              </w:rPr>
              <w:t>echipate cu instalaţii automate de stingere a incendiilor</w:t>
            </w:r>
          </w:p>
        </w:tc>
        <w:tc>
          <w:tcPr>
            <w:tcW w:w="586" w:type="pct"/>
            <w:tcBorders>
              <w:top w:val="single" w:sz="8" w:space="0" w:color="000000"/>
              <w:left w:val="single" w:sz="4" w:space="0" w:color="000000"/>
              <w:bottom w:val="single" w:sz="8" w:space="0" w:color="000000"/>
              <w:right w:val="single" w:sz="8" w:space="0" w:color="000000"/>
            </w:tcBorders>
            <w:shd w:val="clear" w:color="auto" w:fill="BFBFBF"/>
            <w:vAlign w:val="center"/>
          </w:tcPr>
          <w:p w14:paraId="55F39F64" w14:textId="77777777" w:rsidR="001C08A5" w:rsidRDefault="00000000">
            <w:pPr>
              <w:jc w:val="center"/>
              <w:rPr>
                <w:b/>
                <w:bCs/>
                <w:i/>
                <w:iCs/>
                <w:sz w:val="18"/>
                <w:szCs w:val="18"/>
              </w:rPr>
            </w:pPr>
            <w:r>
              <w:rPr>
                <w:i/>
                <w:iCs/>
                <w:sz w:val="18"/>
                <w:szCs w:val="18"/>
              </w:rPr>
              <w:t>neechipate cu instalaţii automate de stingere a incendiilor</w:t>
            </w:r>
          </w:p>
        </w:tc>
        <w:tc>
          <w:tcPr>
            <w:tcW w:w="586" w:type="pct"/>
            <w:tcBorders>
              <w:top w:val="single" w:sz="8" w:space="0" w:color="000000"/>
              <w:left w:val="single" w:sz="4" w:space="0" w:color="000000"/>
              <w:bottom w:val="single" w:sz="8" w:space="0" w:color="000000"/>
              <w:right w:val="single" w:sz="8" w:space="0" w:color="000000"/>
            </w:tcBorders>
            <w:shd w:val="clear" w:color="auto" w:fill="BFBFBF"/>
            <w:vAlign w:val="center"/>
          </w:tcPr>
          <w:p w14:paraId="7E3694F8" w14:textId="77777777" w:rsidR="001C08A5" w:rsidRDefault="00000000">
            <w:pPr>
              <w:jc w:val="center"/>
              <w:rPr>
                <w:b/>
                <w:bCs/>
                <w:i/>
                <w:iCs/>
                <w:sz w:val="18"/>
                <w:szCs w:val="18"/>
              </w:rPr>
            </w:pPr>
            <w:r>
              <w:rPr>
                <w:i/>
                <w:iCs/>
                <w:sz w:val="18"/>
                <w:szCs w:val="18"/>
              </w:rPr>
              <w:t>echipate cu instalaţii automate de stingere a incendiilor</w:t>
            </w:r>
          </w:p>
        </w:tc>
        <w:tc>
          <w:tcPr>
            <w:tcW w:w="586" w:type="pct"/>
            <w:tcBorders>
              <w:top w:val="single" w:sz="8" w:space="0" w:color="000000"/>
              <w:left w:val="single" w:sz="4" w:space="0" w:color="000000"/>
              <w:bottom w:val="single" w:sz="8" w:space="0" w:color="000000"/>
              <w:right w:val="single" w:sz="8" w:space="0" w:color="000000"/>
            </w:tcBorders>
            <w:shd w:val="clear" w:color="auto" w:fill="BFBFBF"/>
            <w:vAlign w:val="center"/>
          </w:tcPr>
          <w:p w14:paraId="0EFDDF8A" w14:textId="77777777" w:rsidR="001C08A5" w:rsidRDefault="00000000">
            <w:pPr>
              <w:jc w:val="center"/>
              <w:rPr>
                <w:i/>
                <w:iCs/>
                <w:sz w:val="18"/>
                <w:szCs w:val="18"/>
              </w:rPr>
            </w:pPr>
            <w:r>
              <w:rPr>
                <w:i/>
                <w:iCs/>
                <w:sz w:val="18"/>
                <w:szCs w:val="18"/>
              </w:rPr>
              <w:t>neechipate cu instalaţii automate de stingere a incendiilor</w:t>
            </w:r>
          </w:p>
        </w:tc>
        <w:tc>
          <w:tcPr>
            <w:tcW w:w="586" w:type="pct"/>
            <w:tcBorders>
              <w:top w:val="single" w:sz="8" w:space="0" w:color="000000"/>
              <w:left w:val="single" w:sz="4" w:space="0" w:color="000000"/>
              <w:bottom w:val="single" w:sz="8" w:space="0" w:color="000000"/>
              <w:right w:val="single" w:sz="8" w:space="0" w:color="000000"/>
            </w:tcBorders>
            <w:shd w:val="clear" w:color="auto" w:fill="BFBFBF"/>
            <w:vAlign w:val="center"/>
          </w:tcPr>
          <w:p w14:paraId="3C7564E9" w14:textId="77777777" w:rsidR="001C08A5" w:rsidRDefault="00000000">
            <w:pPr>
              <w:jc w:val="center"/>
              <w:rPr>
                <w:i/>
                <w:iCs/>
                <w:sz w:val="18"/>
                <w:szCs w:val="18"/>
              </w:rPr>
            </w:pPr>
            <w:r>
              <w:rPr>
                <w:i/>
                <w:iCs/>
                <w:sz w:val="18"/>
                <w:szCs w:val="18"/>
              </w:rPr>
              <w:t>echipate cu instalaţii automate de stingere a incendiilor</w:t>
            </w:r>
          </w:p>
        </w:tc>
      </w:tr>
      <w:tr w:rsidR="001C08A5" w14:paraId="79B3EC4C" w14:textId="77777777">
        <w:tc>
          <w:tcPr>
            <w:tcW w:w="1485" w:type="pct"/>
            <w:tcBorders>
              <w:top w:val="single" w:sz="8" w:space="0" w:color="000000"/>
              <w:left w:val="single" w:sz="8" w:space="0" w:color="000000"/>
              <w:bottom w:val="single" w:sz="8" w:space="0" w:color="000000"/>
            </w:tcBorders>
            <w:shd w:val="clear" w:color="auto" w:fill="auto"/>
          </w:tcPr>
          <w:p w14:paraId="4EC55EEC" w14:textId="77777777" w:rsidR="001C08A5" w:rsidRDefault="00000000">
            <w:pPr>
              <w:jc w:val="center"/>
              <w:rPr>
                <w:b/>
                <w:bCs/>
                <w:i/>
                <w:iCs/>
                <w:sz w:val="22"/>
                <w:szCs w:val="22"/>
              </w:rPr>
            </w:pPr>
            <w:r>
              <w:rPr>
                <w:b/>
                <w:bCs/>
                <w:i/>
                <w:iCs/>
                <w:sz w:val="22"/>
                <w:szCs w:val="22"/>
              </w:rPr>
              <w:t>q ≤ 105 MJ/m</w:t>
            </w:r>
            <w:r>
              <w:rPr>
                <w:b/>
                <w:bCs/>
                <w:i/>
                <w:iCs/>
                <w:sz w:val="22"/>
                <w:szCs w:val="22"/>
                <w:vertAlign w:val="superscript"/>
              </w:rPr>
              <w:t>2</w:t>
            </w:r>
          </w:p>
        </w:tc>
        <w:tc>
          <w:tcPr>
            <w:tcW w:w="1172" w:type="pct"/>
            <w:gridSpan w:val="2"/>
            <w:tcBorders>
              <w:top w:val="single" w:sz="8" w:space="0" w:color="000000"/>
              <w:left w:val="single" w:sz="4" w:space="0" w:color="000000"/>
              <w:bottom w:val="single" w:sz="8" w:space="0" w:color="000000"/>
              <w:right w:val="single" w:sz="8" w:space="0" w:color="000000"/>
            </w:tcBorders>
            <w:shd w:val="clear" w:color="auto" w:fill="auto"/>
          </w:tcPr>
          <w:p w14:paraId="04D75389" w14:textId="77777777" w:rsidR="001C08A5" w:rsidRDefault="00000000">
            <w:pPr>
              <w:jc w:val="center"/>
              <w:rPr>
                <w:i/>
                <w:iCs/>
                <w:sz w:val="22"/>
                <w:szCs w:val="22"/>
              </w:rPr>
            </w:pPr>
            <w:r>
              <w:rPr>
                <w:i/>
                <w:iCs/>
                <w:sz w:val="22"/>
                <w:szCs w:val="22"/>
              </w:rPr>
              <w:t>Nici o cerință</w:t>
            </w:r>
          </w:p>
        </w:tc>
        <w:tc>
          <w:tcPr>
            <w:tcW w:w="1172" w:type="pct"/>
            <w:gridSpan w:val="2"/>
            <w:tcBorders>
              <w:top w:val="single" w:sz="8" w:space="0" w:color="000000"/>
              <w:left w:val="single" w:sz="4" w:space="0" w:color="000000"/>
              <w:bottom w:val="single" w:sz="8" w:space="0" w:color="000000"/>
              <w:right w:val="single" w:sz="8" w:space="0" w:color="000000"/>
            </w:tcBorders>
            <w:shd w:val="clear" w:color="auto" w:fill="auto"/>
            <w:vAlign w:val="center"/>
          </w:tcPr>
          <w:p w14:paraId="53AC7367" w14:textId="77777777" w:rsidR="001C08A5" w:rsidRDefault="00000000">
            <w:pPr>
              <w:pStyle w:val="Contenutotabellacentrato"/>
              <w:rPr>
                <w:b/>
                <w:bCs/>
                <w:i/>
                <w:iCs/>
                <w:sz w:val="22"/>
                <w:szCs w:val="22"/>
              </w:rPr>
            </w:pPr>
            <w:r>
              <w:rPr>
                <w:i/>
                <w:iCs/>
                <w:sz w:val="22"/>
                <w:szCs w:val="22"/>
              </w:rPr>
              <w:t>Nici o cerință</w:t>
            </w:r>
          </w:p>
        </w:tc>
        <w:tc>
          <w:tcPr>
            <w:tcW w:w="1172" w:type="pct"/>
            <w:gridSpan w:val="2"/>
            <w:tcBorders>
              <w:top w:val="single" w:sz="8" w:space="0" w:color="000000"/>
              <w:left w:val="single" w:sz="4" w:space="0" w:color="000000"/>
              <w:bottom w:val="single" w:sz="8" w:space="0" w:color="000000"/>
              <w:right w:val="single" w:sz="8" w:space="0" w:color="000000"/>
            </w:tcBorders>
            <w:shd w:val="clear" w:color="auto" w:fill="auto"/>
          </w:tcPr>
          <w:p w14:paraId="19D41EF2" w14:textId="77777777" w:rsidR="001C08A5" w:rsidRDefault="00000000">
            <w:pPr>
              <w:jc w:val="center"/>
              <w:rPr>
                <w:i/>
                <w:iCs/>
                <w:sz w:val="22"/>
                <w:szCs w:val="22"/>
              </w:rPr>
            </w:pPr>
            <w:r>
              <w:rPr>
                <w:i/>
                <w:iCs/>
                <w:sz w:val="22"/>
                <w:szCs w:val="22"/>
              </w:rPr>
              <w:t>Nici o cerință</w:t>
            </w:r>
          </w:p>
        </w:tc>
      </w:tr>
      <w:tr w:rsidR="001C08A5" w14:paraId="3D511271" w14:textId="77777777">
        <w:tc>
          <w:tcPr>
            <w:tcW w:w="1485" w:type="pct"/>
            <w:tcBorders>
              <w:top w:val="single" w:sz="8" w:space="0" w:color="000000"/>
              <w:left w:val="single" w:sz="8" w:space="0" w:color="000000"/>
              <w:bottom w:val="single" w:sz="8" w:space="0" w:color="000000"/>
            </w:tcBorders>
            <w:shd w:val="clear" w:color="auto" w:fill="auto"/>
            <w:vAlign w:val="center"/>
          </w:tcPr>
          <w:p w14:paraId="067D1D45" w14:textId="77777777" w:rsidR="001C08A5" w:rsidRDefault="00000000">
            <w:pPr>
              <w:pStyle w:val="Contenutotabellacentrato"/>
              <w:keepNext/>
              <w:rPr>
                <w:b/>
                <w:bCs/>
                <w:i/>
                <w:iCs/>
                <w:sz w:val="22"/>
                <w:szCs w:val="22"/>
              </w:rPr>
            </w:pPr>
            <w:r>
              <w:rPr>
                <w:b/>
                <w:bCs/>
                <w:i/>
                <w:iCs/>
                <w:sz w:val="22"/>
                <w:szCs w:val="22"/>
              </w:rPr>
              <w:t>105 MJ/m</w:t>
            </w:r>
            <w:r>
              <w:rPr>
                <w:b/>
                <w:bCs/>
                <w:i/>
                <w:iCs/>
                <w:sz w:val="22"/>
                <w:szCs w:val="22"/>
                <w:vertAlign w:val="superscript"/>
              </w:rPr>
              <w:t xml:space="preserve">2 </w:t>
            </w:r>
            <w:r>
              <w:rPr>
                <w:b/>
                <w:bCs/>
                <w:i/>
                <w:iCs/>
                <w:sz w:val="22"/>
                <w:szCs w:val="22"/>
              </w:rPr>
              <w:t>&lt;q ≤ 210 MJ/m</w:t>
            </w:r>
            <w:r>
              <w:rPr>
                <w:b/>
                <w:bCs/>
                <w:i/>
                <w:iCs/>
                <w:sz w:val="22"/>
                <w:szCs w:val="22"/>
                <w:vertAlign w:val="superscript"/>
              </w:rPr>
              <w:t>2</w:t>
            </w:r>
          </w:p>
        </w:tc>
        <w:tc>
          <w:tcPr>
            <w:tcW w:w="586" w:type="pct"/>
            <w:tcBorders>
              <w:top w:val="single" w:sz="8" w:space="0" w:color="000000"/>
              <w:left w:val="single" w:sz="4" w:space="0" w:color="000000"/>
              <w:bottom w:val="single" w:sz="8" w:space="0" w:color="000000"/>
            </w:tcBorders>
            <w:shd w:val="clear" w:color="auto" w:fill="auto"/>
            <w:vAlign w:val="center"/>
          </w:tcPr>
          <w:p w14:paraId="08D884B6" w14:textId="77777777" w:rsidR="001C08A5" w:rsidRDefault="00000000">
            <w:pPr>
              <w:pStyle w:val="Contenutotabellacentrato"/>
              <w:rPr>
                <w:b/>
                <w:bCs/>
                <w:i/>
                <w:iCs/>
                <w:sz w:val="22"/>
                <w:szCs w:val="22"/>
              </w:rPr>
            </w:pPr>
            <w:r>
              <w:rPr>
                <w:b/>
                <w:bCs/>
                <w:i/>
                <w:iCs/>
                <w:sz w:val="22"/>
                <w:szCs w:val="22"/>
              </w:rPr>
              <w:t>30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7567E6C6" w14:textId="77777777" w:rsidR="001C08A5" w:rsidRDefault="00000000">
            <w:pPr>
              <w:pStyle w:val="Contenutotabellacentrato"/>
              <w:rPr>
                <w:b/>
                <w:bCs/>
                <w:i/>
                <w:iCs/>
                <w:sz w:val="22"/>
                <w:szCs w:val="22"/>
              </w:rPr>
            </w:pPr>
            <w:r>
              <w:rPr>
                <w:b/>
                <w:bCs/>
                <w:i/>
                <w:iCs/>
                <w:sz w:val="22"/>
                <w:szCs w:val="22"/>
              </w:rPr>
              <w:t>15</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2E0D1DA9" w14:textId="77777777" w:rsidR="001C08A5" w:rsidRDefault="00000000">
            <w:pPr>
              <w:pStyle w:val="Contenutotabellacentrato"/>
              <w:rPr>
                <w:b/>
                <w:bCs/>
                <w:i/>
                <w:iCs/>
                <w:sz w:val="22"/>
                <w:szCs w:val="22"/>
              </w:rPr>
            </w:pPr>
            <w:r>
              <w:rPr>
                <w:b/>
                <w:bCs/>
                <w:i/>
                <w:iCs/>
                <w:sz w:val="22"/>
                <w:szCs w:val="22"/>
              </w:rPr>
              <w:t xml:space="preserve"> 30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4837AD3E" w14:textId="77777777" w:rsidR="001C08A5" w:rsidRDefault="00000000">
            <w:pPr>
              <w:pStyle w:val="Contenutotabellacentrato"/>
              <w:rPr>
                <w:b/>
                <w:bCs/>
                <w:i/>
                <w:iCs/>
                <w:sz w:val="22"/>
                <w:szCs w:val="22"/>
              </w:rPr>
            </w:pPr>
            <w:r>
              <w:rPr>
                <w:b/>
                <w:bCs/>
                <w:i/>
                <w:iCs/>
                <w:sz w:val="22"/>
                <w:szCs w:val="22"/>
              </w:rPr>
              <w:t>15</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1AFDFCFE" w14:textId="77777777" w:rsidR="001C08A5" w:rsidRDefault="00000000">
            <w:pPr>
              <w:pStyle w:val="Contenutotabellacentrato"/>
              <w:rPr>
                <w:b/>
                <w:bCs/>
                <w:i/>
                <w:iCs/>
                <w:sz w:val="22"/>
                <w:szCs w:val="22"/>
              </w:rPr>
            </w:pPr>
            <w:r>
              <w:rPr>
                <w:b/>
                <w:bCs/>
                <w:i/>
                <w:iCs/>
                <w:sz w:val="22"/>
                <w:szCs w:val="22"/>
              </w:rPr>
              <w:t>30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1CDF4B1B" w14:textId="77777777" w:rsidR="001C08A5" w:rsidRDefault="00000000">
            <w:pPr>
              <w:pStyle w:val="Contenutotabellacentrato"/>
              <w:rPr>
                <w:b/>
                <w:bCs/>
                <w:i/>
                <w:iCs/>
                <w:sz w:val="22"/>
                <w:szCs w:val="22"/>
              </w:rPr>
            </w:pPr>
            <w:r>
              <w:rPr>
                <w:b/>
                <w:bCs/>
                <w:i/>
                <w:iCs/>
                <w:sz w:val="22"/>
                <w:szCs w:val="22"/>
              </w:rPr>
              <w:t>15</w:t>
            </w:r>
          </w:p>
        </w:tc>
      </w:tr>
      <w:tr w:rsidR="001C08A5" w14:paraId="2FF93840" w14:textId="77777777">
        <w:tc>
          <w:tcPr>
            <w:tcW w:w="1485" w:type="pct"/>
            <w:tcBorders>
              <w:top w:val="single" w:sz="8" w:space="0" w:color="000000"/>
              <w:left w:val="single" w:sz="8" w:space="0" w:color="000000"/>
              <w:bottom w:val="single" w:sz="8" w:space="0" w:color="000000"/>
            </w:tcBorders>
            <w:shd w:val="clear" w:color="auto" w:fill="auto"/>
            <w:vAlign w:val="center"/>
          </w:tcPr>
          <w:p w14:paraId="6A3D4567" w14:textId="77777777" w:rsidR="001C08A5" w:rsidRDefault="00000000">
            <w:pPr>
              <w:pStyle w:val="Contenutotabellacentrato"/>
              <w:keepNext/>
              <w:rPr>
                <w:b/>
                <w:bCs/>
                <w:i/>
                <w:iCs/>
                <w:sz w:val="22"/>
                <w:szCs w:val="22"/>
              </w:rPr>
            </w:pPr>
            <w:r>
              <w:rPr>
                <w:b/>
                <w:bCs/>
                <w:i/>
                <w:iCs/>
                <w:sz w:val="22"/>
                <w:szCs w:val="22"/>
              </w:rPr>
              <w:t>210 MJ/m</w:t>
            </w:r>
            <w:r>
              <w:rPr>
                <w:b/>
                <w:bCs/>
                <w:i/>
                <w:iCs/>
                <w:sz w:val="22"/>
                <w:szCs w:val="22"/>
                <w:vertAlign w:val="superscript"/>
              </w:rPr>
              <w:t xml:space="preserve">2 </w:t>
            </w:r>
            <w:r>
              <w:rPr>
                <w:b/>
                <w:bCs/>
                <w:i/>
                <w:iCs/>
                <w:sz w:val="22"/>
                <w:szCs w:val="22"/>
              </w:rPr>
              <w:t>&lt;q ≤ 420 MJ/m</w:t>
            </w:r>
            <w:r>
              <w:rPr>
                <w:b/>
                <w:bCs/>
                <w:i/>
                <w:iCs/>
                <w:sz w:val="22"/>
                <w:szCs w:val="22"/>
                <w:vertAlign w:val="superscript"/>
              </w:rPr>
              <w:t>2</w:t>
            </w:r>
          </w:p>
        </w:tc>
        <w:tc>
          <w:tcPr>
            <w:tcW w:w="586" w:type="pct"/>
            <w:tcBorders>
              <w:top w:val="single" w:sz="8" w:space="0" w:color="000000"/>
              <w:left w:val="single" w:sz="4" w:space="0" w:color="000000"/>
              <w:bottom w:val="single" w:sz="8" w:space="0" w:color="000000"/>
            </w:tcBorders>
            <w:shd w:val="clear" w:color="auto" w:fill="auto"/>
            <w:vAlign w:val="center"/>
          </w:tcPr>
          <w:p w14:paraId="4B9C5DC7" w14:textId="77777777" w:rsidR="001C08A5" w:rsidRDefault="00000000">
            <w:pPr>
              <w:pStyle w:val="Contenutotabellacentrato"/>
              <w:rPr>
                <w:b/>
                <w:bCs/>
                <w:i/>
                <w:iCs/>
                <w:sz w:val="22"/>
                <w:szCs w:val="22"/>
              </w:rPr>
            </w:pPr>
            <w:r>
              <w:rPr>
                <w:b/>
                <w:bCs/>
                <w:i/>
                <w:iCs/>
                <w:sz w:val="22"/>
                <w:szCs w:val="22"/>
              </w:rPr>
              <w:t>60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48C68192" w14:textId="77777777" w:rsidR="001C08A5" w:rsidRDefault="00000000">
            <w:pPr>
              <w:pStyle w:val="Contenutotabellacentrato"/>
              <w:rPr>
                <w:b/>
                <w:bCs/>
                <w:i/>
                <w:iCs/>
                <w:sz w:val="22"/>
                <w:szCs w:val="22"/>
              </w:rPr>
            </w:pPr>
            <w:r>
              <w:rPr>
                <w:b/>
                <w:bCs/>
                <w:i/>
                <w:iCs/>
                <w:sz w:val="22"/>
                <w:szCs w:val="22"/>
              </w:rPr>
              <w:t>30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0265958F" w14:textId="77777777" w:rsidR="001C08A5" w:rsidRDefault="00000000">
            <w:pPr>
              <w:pStyle w:val="Contenutotabellacentrato"/>
              <w:rPr>
                <w:b/>
                <w:bCs/>
                <w:i/>
                <w:iCs/>
                <w:sz w:val="22"/>
                <w:szCs w:val="22"/>
              </w:rPr>
            </w:pPr>
            <w:r>
              <w:rPr>
                <w:b/>
                <w:bCs/>
                <w:i/>
                <w:iCs/>
                <w:sz w:val="22"/>
                <w:szCs w:val="22"/>
              </w:rPr>
              <w:t>45</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0E27486C" w14:textId="77777777" w:rsidR="001C08A5" w:rsidRDefault="00000000">
            <w:pPr>
              <w:pStyle w:val="Contenutotabellacentrato"/>
              <w:rPr>
                <w:b/>
                <w:bCs/>
                <w:i/>
                <w:iCs/>
                <w:sz w:val="22"/>
                <w:szCs w:val="22"/>
              </w:rPr>
            </w:pPr>
            <w:r>
              <w:rPr>
                <w:b/>
                <w:bCs/>
                <w:i/>
                <w:iCs/>
                <w:sz w:val="22"/>
                <w:szCs w:val="22"/>
              </w:rPr>
              <w:t>30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141216EE" w14:textId="77777777" w:rsidR="001C08A5" w:rsidRDefault="00000000">
            <w:pPr>
              <w:pStyle w:val="Contenutotabellacentrato"/>
              <w:rPr>
                <w:b/>
                <w:bCs/>
                <w:i/>
                <w:iCs/>
                <w:sz w:val="22"/>
                <w:szCs w:val="22"/>
              </w:rPr>
            </w:pPr>
            <w:r>
              <w:rPr>
                <w:b/>
                <w:bCs/>
                <w:i/>
                <w:iCs/>
                <w:sz w:val="22"/>
                <w:szCs w:val="22"/>
              </w:rPr>
              <w:t>60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15065BB7" w14:textId="77777777" w:rsidR="001C08A5" w:rsidRDefault="00000000">
            <w:pPr>
              <w:pStyle w:val="Contenutotabellacentrato"/>
              <w:rPr>
                <w:b/>
                <w:bCs/>
                <w:i/>
                <w:iCs/>
                <w:sz w:val="22"/>
                <w:szCs w:val="22"/>
              </w:rPr>
            </w:pPr>
            <w:r>
              <w:rPr>
                <w:b/>
                <w:bCs/>
                <w:i/>
                <w:iCs/>
                <w:sz w:val="22"/>
                <w:szCs w:val="22"/>
              </w:rPr>
              <w:t>30</w:t>
            </w:r>
          </w:p>
        </w:tc>
      </w:tr>
      <w:tr w:rsidR="001C08A5" w14:paraId="248F334F" w14:textId="77777777">
        <w:tc>
          <w:tcPr>
            <w:tcW w:w="1485" w:type="pct"/>
            <w:tcBorders>
              <w:top w:val="single" w:sz="8" w:space="0" w:color="000000"/>
              <w:left w:val="single" w:sz="8" w:space="0" w:color="000000"/>
              <w:bottom w:val="single" w:sz="8" w:space="0" w:color="000000"/>
            </w:tcBorders>
            <w:shd w:val="clear" w:color="auto" w:fill="auto"/>
            <w:vAlign w:val="center"/>
          </w:tcPr>
          <w:p w14:paraId="06EFAEA5" w14:textId="77777777" w:rsidR="001C08A5" w:rsidRDefault="00000000">
            <w:pPr>
              <w:pStyle w:val="Contenutotabellacentrato"/>
              <w:keepNext/>
              <w:rPr>
                <w:b/>
                <w:bCs/>
                <w:i/>
                <w:iCs/>
                <w:sz w:val="22"/>
                <w:szCs w:val="22"/>
              </w:rPr>
            </w:pPr>
            <w:r>
              <w:rPr>
                <w:b/>
                <w:bCs/>
                <w:i/>
                <w:iCs/>
                <w:sz w:val="22"/>
                <w:szCs w:val="22"/>
              </w:rPr>
              <w:t>420 MJ/m</w:t>
            </w:r>
            <w:r>
              <w:rPr>
                <w:b/>
                <w:bCs/>
                <w:i/>
                <w:iCs/>
                <w:sz w:val="22"/>
                <w:szCs w:val="22"/>
                <w:vertAlign w:val="superscript"/>
              </w:rPr>
              <w:t xml:space="preserve">2 </w:t>
            </w:r>
            <w:r>
              <w:rPr>
                <w:b/>
                <w:bCs/>
                <w:i/>
                <w:iCs/>
                <w:sz w:val="22"/>
                <w:szCs w:val="22"/>
              </w:rPr>
              <w:t>&lt;q ≤ 630 MJ/m</w:t>
            </w:r>
            <w:r>
              <w:rPr>
                <w:b/>
                <w:bCs/>
                <w:i/>
                <w:iCs/>
                <w:sz w:val="22"/>
                <w:szCs w:val="22"/>
                <w:vertAlign w:val="superscript"/>
              </w:rPr>
              <w:t>2</w:t>
            </w:r>
          </w:p>
        </w:tc>
        <w:tc>
          <w:tcPr>
            <w:tcW w:w="586" w:type="pct"/>
            <w:tcBorders>
              <w:top w:val="single" w:sz="8" w:space="0" w:color="000000"/>
              <w:left w:val="single" w:sz="4" w:space="0" w:color="000000"/>
              <w:bottom w:val="single" w:sz="8" w:space="0" w:color="000000"/>
            </w:tcBorders>
            <w:shd w:val="clear" w:color="auto" w:fill="auto"/>
            <w:vAlign w:val="center"/>
          </w:tcPr>
          <w:p w14:paraId="340B96AE" w14:textId="77777777" w:rsidR="001C08A5" w:rsidRDefault="00000000">
            <w:pPr>
              <w:pStyle w:val="Contenutotabellacentrato"/>
              <w:rPr>
                <w:b/>
                <w:bCs/>
                <w:i/>
                <w:iCs/>
                <w:sz w:val="22"/>
                <w:szCs w:val="22"/>
              </w:rPr>
            </w:pPr>
            <w:r>
              <w:rPr>
                <w:b/>
                <w:bCs/>
                <w:i/>
                <w:iCs/>
                <w:sz w:val="22"/>
                <w:szCs w:val="22"/>
              </w:rPr>
              <w:t>90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3BA06787" w14:textId="77777777" w:rsidR="001C08A5" w:rsidRDefault="00000000">
            <w:pPr>
              <w:pStyle w:val="Contenutotabellacentrato"/>
              <w:rPr>
                <w:b/>
                <w:bCs/>
                <w:i/>
                <w:iCs/>
                <w:sz w:val="22"/>
                <w:szCs w:val="22"/>
              </w:rPr>
            </w:pPr>
            <w:r>
              <w:rPr>
                <w:b/>
                <w:bCs/>
                <w:i/>
                <w:iCs/>
                <w:sz w:val="22"/>
                <w:szCs w:val="22"/>
              </w:rPr>
              <w:t>60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13B0897A" w14:textId="77777777" w:rsidR="001C08A5" w:rsidRDefault="00000000">
            <w:pPr>
              <w:pStyle w:val="Contenutotabellacentrato"/>
              <w:rPr>
                <w:b/>
                <w:bCs/>
                <w:i/>
                <w:iCs/>
                <w:sz w:val="22"/>
                <w:szCs w:val="22"/>
              </w:rPr>
            </w:pPr>
            <w:r>
              <w:rPr>
                <w:b/>
                <w:bCs/>
                <w:i/>
                <w:iCs/>
                <w:sz w:val="22"/>
                <w:szCs w:val="22"/>
              </w:rPr>
              <w:t>60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7696C237" w14:textId="77777777" w:rsidR="001C08A5" w:rsidRDefault="00000000">
            <w:pPr>
              <w:pStyle w:val="Contenutotabellacentrato"/>
              <w:rPr>
                <w:b/>
                <w:bCs/>
                <w:i/>
                <w:iCs/>
                <w:sz w:val="22"/>
                <w:szCs w:val="22"/>
              </w:rPr>
            </w:pPr>
            <w:r>
              <w:rPr>
                <w:b/>
                <w:bCs/>
                <w:i/>
                <w:iCs/>
                <w:sz w:val="22"/>
                <w:szCs w:val="22"/>
              </w:rPr>
              <w:t>45</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10A5C154" w14:textId="77777777" w:rsidR="001C08A5" w:rsidRDefault="00000000">
            <w:pPr>
              <w:pStyle w:val="Contenutotabellacentrato"/>
              <w:rPr>
                <w:b/>
                <w:bCs/>
                <w:i/>
                <w:iCs/>
                <w:sz w:val="22"/>
                <w:szCs w:val="22"/>
              </w:rPr>
            </w:pPr>
            <w:r>
              <w:rPr>
                <w:b/>
                <w:bCs/>
                <w:i/>
                <w:iCs/>
                <w:sz w:val="22"/>
                <w:szCs w:val="22"/>
              </w:rPr>
              <w:t>90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41F6650B" w14:textId="77777777" w:rsidR="001C08A5" w:rsidRDefault="00000000">
            <w:pPr>
              <w:pStyle w:val="Contenutotabellacentrato"/>
              <w:rPr>
                <w:b/>
                <w:bCs/>
                <w:i/>
                <w:iCs/>
                <w:sz w:val="22"/>
                <w:szCs w:val="22"/>
              </w:rPr>
            </w:pPr>
            <w:r>
              <w:rPr>
                <w:b/>
                <w:bCs/>
                <w:i/>
                <w:iCs/>
                <w:sz w:val="22"/>
                <w:szCs w:val="22"/>
              </w:rPr>
              <w:t>60</w:t>
            </w:r>
          </w:p>
        </w:tc>
      </w:tr>
      <w:tr w:rsidR="001C08A5" w14:paraId="45ACAA57" w14:textId="77777777">
        <w:tc>
          <w:tcPr>
            <w:tcW w:w="1485" w:type="pct"/>
            <w:tcBorders>
              <w:top w:val="single" w:sz="8" w:space="0" w:color="000000"/>
              <w:left w:val="single" w:sz="8" w:space="0" w:color="000000"/>
              <w:bottom w:val="single" w:sz="8" w:space="0" w:color="000000"/>
            </w:tcBorders>
            <w:shd w:val="clear" w:color="auto" w:fill="auto"/>
            <w:vAlign w:val="center"/>
          </w:tcPr>
          <w:p w14:paraId="24B02F26" w14:textId="77777777" w:rsidR="001C08A5" w:rsidRDefault="00000000">
            <w:pPr>
              <w:pStyle w:val="Contenutotabellacentrato"/>
              <w:keepNext/>
              <w:rPr>
                <w:b/>
                <w:bCs/>
                <w:i/>
                <w:iCs/>
                <w:sz w:val="22"/>
                <w:szCs w:val="22"/>
              </w:rPr>
            </w:pPr>
            <w:r>
              <w:rPr>
                <w:b/>
                <w:bCs/>
                <w:i/>
                <w:iCs/>
                <w:sz w:val="22"/>
                <w:szCs w:val="22"/>
              </w:rPr>
              <w:t>630 MJ/m</w:t>
            </w:r>
            <w:r>
              <w:rPr>
                <w:b/>
                <w:bCs/>
                <w:i/>
                <w:iCs/>
                <w:sz w:val="22"/>
                <w:szCs w:val="22"/>
                <w:vertAlign w:val="superscript"/>
              </w:rPr>
              <w:t xml:space="preserve">2 </w:t>
            </w:r>
            <w:r>
              <w:rPr>
                <w:b/>
                <w:bCs/>
                <w:i/>
                <w:iCs/>
                <w:sz w:val="22"/>
                <w:szCs w:val="22"/>
              </w:rPr>
              <w:t>&lt;q ≤ 840 MJ/m</w:t>
            </w:r>
            <w:r>
              <w:rPr>
                <w:b/>
                <w:bCs/>
                <w:i/>
                <w:iCs/>
                <w:sz w:val="22"/>
                <w:szCs w:val="22"/>
                <w:vertAlign w:val="superscript"/>
              </w:rPr>
              <w:t>2</w:t>
            </w:r>
          </w:p>
        </w:tc>
        <w:tc>
          <w:tcPr>
            <w:tcW w:w="586" w:type="pct"/>
            <w:tcBorders>
              <w:top w:val="single" w:sz="8" w:space="0" w:color="000000"/>
              <w:left w:val="single" w:sz="4" w:space="0" w:color="000000"/>
              <w:bottom w:val="single" w:sz="8" w:space="0" w:color="000000"/>
            </w:tcBorders>
            <w:shd w:val="clear" w:color="auto" w:fill="auto"/>
            <w:vAlign w:val="center"/>
          </w:tcPr>
          <w:p w14:paraId="160D894B" w14:textId="77777777" w:rsidR="001C08A5" w:rsidRDefault="00000000">
            <w:pPr>
              <w:pStyle w:val="Contenutotabellacentrato"/>
              <w:rPr>
                <w:b/>
                <w:bCs/>
                <w:i/>
                <w:iCs/>
                <w:sz w:val="22"/>
                <w:szCs w:val="22"/>
              </w:rPr>
            </w:pPr>
            <w:r>
              <w:rPr>
                <w:b/>
                <w:bCs/>
                <w:i/>
                <w:iCs/>
                <w:sz w:val="22"/>
                <w:szCs w:val="22"/>
              </w:rPr>
              <w:t>120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2058B679" w14:textId="77777777" w:rsidR="001C08A5" w:rsidRDefault="00000000">
            <w:pPr>
              <w:pStyle w:val="Contenutotabellacentrato"/>
              <w:rPr>
                <w:b/>
                <w:bCs/>
                <w:i/>
                <w:iCs/>
                <w:sz w:val="22"/>
                <w:szCs w:val="22"/>
              </w:rPr>
            </w:pPr>
            <w:r>
              <w:rPr>
                <w:b/>
                <w:bCs/>
                <w:i/>
                <w:iCs/>
                <w:sz w:val="22"/>
                <w:szCs w:val="22"/>
              </w:rPr>
              <w:t>90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065D0A97" w14:textId="77777777" w:rsidR="001C08A5" w:rsidRDefault="00000000">
            <w:pPr>
              <w:pStyle w:val="Contenutotabellacentrato"/>
              <w:rPr>
                <w:b/>
                <w:bCs/>
                <w:i/>
                <w:iCs/>
                <w:sz w:val="22"/>
                <w:szCs w:val="22"/>
              </w:rPr>
            </w:pPr>
            <w:r>
              <w:rPr>
                <w:b/>
                <w:bCs/>
                <w:i/>
                <w:iCs/>
                <w:sz w:val="22"/>
                <w:szCs w:val="22"/>
              </w:rPr>
              <w:t>90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3A6BF309" w14:textId="77777777" w:rsidR="001C08A5" w:rsidRDefault="00000000">
            <w:pPr>
              <w:pStyle w:val="Contenutotabellacentrato"/>
              <w:rPr>
                <w:b/>
                <w:bCs/>
                <w:i/>
                <w:iCs/>
                <w:sz w:val="22"/>
                <w:szCs w:val="22"/>
              </w:rPr>
            </w:pPr>
            <w:r>
              <w:rPr>
                <w:b/>
                <w:bCs/>
                <w:i/>
                <w:iCs/>
                <w:sz w:val="22"/>
                <w:szCs w:val="22"/>
              </w:rPr>
              <w:t>60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5A57723D" w14:textId="77777777" w:rsidR="001C08A5" w:rsidRDefault="00000000">
            <w:pPr>
              <w:pStyle w:val="Contenutotabellacentrato"/>
              <w:rPr>
                <w:b/>
                <w:bCs/>
                <w:i/>
                <w:iCs/>
                <w:sz w:val="22"/>
                <w:szCs w:val="22"/>
              </w:rPr>
            </w:pPr>
            <w:r>
              <w:rPr>
                <w:b/>
                <w:bCs/>
                <w:i/>
                <w:iCs/>
                <w:sz w:val="22"/>
                <w:szCs w:val="22"/>
              </w:rPr>
              <w:t>120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67C6836C" w14:textId="77777777" w:rsidR="001C08A5" w:rsidRDefault="00000000">
            <w:pPr>
              <w:pStyle w:val="Contenutotabellacentrato"/>
              <w:rPr>
                <w:b/>
                <w:bCs/>
                <w:i/>
                <w:iCs/>
                <w:sz w:val="22"/>
                <w:szCs w:val="22"/>
              </w:rPr>
            </w:pPr>
            <w:r>
              <w:rPr>
                <w:b/>
                <w:bCs/>
                <w:i/>
                <w:iCs/>
                <w:sz w:val="22"/>
                <w:szCs w:val="22"/>
              </w:rPr>
              <w:t>90</w:t>
            </w:r>
          </w:p>
        </w:tc>
      </w:tr>
      <w:tr w:rsidR="001C08A5" w14:paraId="63FD89AD" w14:textId="77777777">
        <w:tc>
          <w:tcPr>
            <w:tcW w:w="1485" w:type="pct"/>
            <w:tcBorders>
              <w:top w:val="single" w:sz="8" w:space="0" w:color="000000"/>
              <w:left w:val="single" w:sz="8" w:space="0" w:color="000000"/>
              <w:bottom w:val="single" w:sz="8" w:space="0" w:color="000000"/>
            </w:tcBorders>
            <w:shd w:val="clear" w:color="auto" w:fill="auto"/>
            <w:vAlign w:val="center"/>
          </w:tcPr>
          <w:p w14:paraId="0C0F98DC" w14:textId="77777777" w:rsidR="001C08A5" w:rsidRDefault="00000000">
            <w:pPr>
              <w:pStyle w:val="Contenutotabellacentrato"/>
              <w:keepNext/>
              <w:rPr>
                <w:b/>
                <w:bCs/>
                <w:i/>
                <w:iCs/>
                <w:sz w:val="22"/>
                <w:szCs w:val="22"/>
              </w:rPr>
            </w:pPr>
            <w:r>
              <w:rPr>
                <w:b/>
                <w:bCs/>
                <w:i/>
                <w:iCs/>
                <w:sz w:val="22"/>
                <w:szCs w:val="22"/>
              </w:rPr>
              <w:t>840 MJ/m</w:t>
            </w:r>
            <w:r>
              <w:rPr>
                <w:b/>
                <w:bCs/>
                <w:i/>
                <w:iCs/>
                <w:sz w:val="22"/>
                <w:szCs w:val="22"/>
                <w:vertAlign w:val="superscript"/>
              </w:rPr>
              <w:t xml:space="preserve">2 </w:t>
            </w:r>
            <w:r>
              <w:rPr>
                <w:b/>
                <w:bCs/>
                <w:i/>
                <w:iCs/>
                <w:sz w:val="22"/>
                <w:szCs w:val="22"/>
              </w:rPr>
              <w:t>&lt;q ≤ 1 680 MJ/m</w:t>
            </w:r>
            <w:r>
              <w:rPr>
                <w:b/>
                <w:bCs/>
                <w:i/>
                <w:iCs/>
                <w:sz w:val="22"/>
                <w:szCs w:val="22"/>
                <w:vertAlign w:val="superscript"/>
              </w:rPr>
              <w:t>2</w:t>
            </w:r>
          </w:p>
        </w:tc>
        <w:tc>
          <w:tcPr>
            <w:tcW w:w="586" w:type="pct"/>
            <w:tcBorders>
              <w:top w:val="single" w:sz="8" w:space="0" w:color="000000"/>
              <w:left w:val="single" w:sz="4" w:space="0" w:color="000000"/>
              <w:bottom w:val="single" w:sz="8" w:space="0" w:color="000000"/>
            </w:tcBorders>
            <w:shd w:val="clear" w:color="auto" w:fill="auto"/>
            <w:vAlign w:val="center"/>
          </w:tcPr>
          <w:p w14:paraId="4D67EDD0" w14:textId="77777777" w:rsidR="001C08A5" w:rsidRDefault="00000000">
            <w:pPr>
              <w:pStyle w:val="Contenutotabellacentrato"/>
              <w:rPr>
                <w:b/>
                <w:bCs/>
                <w:i/>
                <w:iCs/>
                <w:sz w:val="22"/>
                <w:szCs w:val="22"/>
              </w:rPr>
            </w:pPr>
            <w:r>
              <w:rPr>
                <w:b/>
                <w:bCs/>
                <w:i/>
                <w:iCs/>
                <w:sz w:val="22"/>
                <w:szCs w:val="22"/>
              </w:rPr>
              <w:t>180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271B1FC1" w14:textId="77777777" w:rsidR="001C08A5" w:rsidRDefault="00000000">
            <w:pPr>
              <w:pStyle w:val="Contenutotabellacentrato"/>
              <w:rPr>
                <w:b/>
                <w:bCs/>
                <w:i/>
                <w:iCs/>
                <w:sz w:val="22"/>
                <w:szCs w:val="22"/>
              </w:rPr>
            </w:pPr>
            <w:r>
              <w:rPr>
                <w:b/>
                <w:bCs/>
                <w:i/>
                <w:iCs/>
                <w:sz w:val="22"/>
                <w:szCs w:val="22"/>
              </w:rPr>
              <w:t>120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569DE4C3" w14:textId="77777777" w:rsidR="001C08A5" w:rsidRDefault="00000000">
            <w:pPr>
              <w:pStyle w:val="Contenutotabellacentrato"/>
              <w:rPr>
                <w:b/>
                <w:bCs/>
                <w:i/>
                <w:iCs/>
                <w:sz w:val="22"/>
                <w:szCs w:val="22"/>
              </w:rPr>
            </w:pPr>
            <w:r>
              <w:rPr>
                <w:b/>
                <w:bCs/>
                <w:i/>
                <w:iCs/>
                <w:sz w:val="22"/>
                <w:szCs w:val="22"/>
              </w:rPr>
              <w:t>120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025DE8C8" w14:textId="77777777" w:rsidR="001C08A5" w:rsidRDefault="00000000">
            <w:pPr>
              <w:pStyle w:val="Contenutotabellacentrato"/>
              <w:rPr>
                <w:b/>
                <w:bCs/>
                <w:i/>
                <w:iCs/>
                <w:sz w:val="22"/>
                <w:szCs w:val="22"/>
              </w:rPr>
            </w:pPr>
            <w:r>
              <w:rPr>
                <w:b/>
                <w:bCs/>
                <w:i/>
                <w:iCs/>
                <w:sz w:val="22"/>
                <w:szCs w:val="22"/>
              </w:rPr>
              <w:t>90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67B7EF42" w14:textId="77777777" w:rsidR="001C08A5" w:rsidRDefault="00000000">
            <w:pPr>
              <w:pStyle w:val="Contenutotabellacentrato"/>
              <w:rPr>
                <w:b/>
                <w:bCs/>
                <w:i/>
                <w:iCs/>
                <w:sz w:val="22"/>
                <w:szCs w:val="22"/>
              </w:rPr>
            </w:pPr>
            <w:r>
              <w:rPr>
                <w:b/>
                <w:bCs/>
                <w:i/>
                <w:iCs/>
                <w:sz w:val="22"/>
                <w:szCs w:val="22"/>
              </w:rPr>
              <w:t>180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1662B66F" w14:textId="77777777" w:rsidR="001C08A5" w:rsidRDefault="00000000">
            <w:pPr>
              <w:pStyle w:val="Contenutotabellacentrato"/>
              <w:rPr>
                <w:b/>
                <w:bCs/>
                <w:i/>
                <w:iCs/>
                <w:sz w:val="22"/>
                <w:szCs w:val="22"/>
              </w:rPr>
            </w:pPr>
            <w:r>
              <w:rPr>
                <w:b/>
                <w:bCs/>
                <w:i/>
                <w:iCs/>
                <w:sz w:val="22"/>
                <w:szCs w:val="22"/>
              </w:rPr>
              <w:t>120</w:t>
            </w:r>
          </w:p>
        </w:tc>
      </w:tr>
      <w:tr w:rsidR="001C08A5" w14:paraId="0960AD52" w14:textId="77777777">
        <w:tc>
          <w:tcPr>
            <w:tcW w:w="1485" w:type="pct"/>
            <w:tcBorders>
              <w:top w:val="single" w:sz="8" w:space="0" w:color="000000"/>
              <w:left w:val="single" w:sz="8" w:space="0" w:color="000000"/>
              <w:bottom w:val="single" w:sz="8" w:space="0" w:color="000000"/>
            </w:tcBorders>
            <w:shd w:val="clear" w:color="auto" w:fill="auto"/>
            <w:vAlign w:val="center"/>
          </w:tcPr>
          <w:p w14:paraId="1097AB62" w14:textId="77777777" w:rsidR="001C08A5" w:rsidRDefault="00000000">
            <w:pPr>
              <w:pStyle w:val="Contenutotabellacentrato"/>
              <w:keepNext/>
              <w:rPr>
                <w:b/>
                <w:bCs/>
                <w:i/>
                <w:iCs/>
                <w:sz w:val="22"/>
                <w:szCs w:val="22"/>
              </w:rPr>
            </w:pPr>
            <w:r>
              <w:rPr>
                <w:b/>
                <w:bCs/>
                <w:i/>
                <w:iCs/>
                <w:sz w:val="22"/>
                <w:szCs w:val="22"/>
              </w:rPr>
              <w:t>q &gt; 1 680 MJ/m</w:t>
            </w:r>
            <w:r>
              <w:rPr>
                <w:b/>
                <w:bCs/>
                <w:i/>
                <w:iCs/>
                <w:sz w:val="22"/>
                <w:szCs w:val="22"/>
                <w:vertAlign w:val="superscript"/>
              </w:rPr>
              <w:t>2</w:t>
            </w:r>
          </w:p>
        </w:tc>
        <w:tc>
          <w:tcPr>
            <w:tcW w:w="586" w:type="pct"/>
            <w:tcBorders>
              <w:top w:val="single" w:sz="8" w:space="0" w:color="000000"/>
              <w:left w:val="single" w:sz="4" w:space="0" w:color="000000"/>
              <w:bottom w:val="single" w:sz="8" w:space="0" w:color="000000"/>
            </w:tcBorders>
            <w:shd w:val="clear" w:color="auto" w:fill="auto"/>
            <w:vAlign w:val="center"/>
          </w:tcPr>
          <w:p w14:paraId="259699E8" w14:textId="77777777" w:rsidR="001C08A5" w:rsidRDefault="00000000">
            <w:pPr>
              <w:pStyle w:val="Contenutotabellacentrato"/>
              <w:rPr>
                <w:b/>
                <w:bCs/>
                <w:i/>
                <w:iCs/>
                <w:sz w:val="22"/>
                <w:szCs w:val="22"/>
              </w:rPr>
            </w:pPr>
            <w:r>
              <w:rPr>
                <w:b/>
                <w:bCs/>
                <w:i/>
                <w:iCs/>
                <w:sz w:val="22"/>
                <w:szCs w:val="22"/>
              </w:rPr>
              <w:t>240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1D9B21D0" w14:textId="77777777" w:rsidR="001C08A5" w:rsidRDefault="00000000">
            <w:pPr>
              <w:pStyle w:val="Contenutotabellacentrato"/>
              <w:rPr>
                <w:b/>
                <w:bCs/>
                <w:i/>
                <w:iCs/>
                <w:sz w:val="22"/>
                <w:szCs w:val="22"/>
              </w:rPr>
            </w:pPr>
            <w:r>
              <w:rPr>
                <w:b/>
                <w:bCs/>
                <w:i/>
                <w:iCs/>
                <w:sz w:val="22"/>
                <w:szCs w:val="22"/>
              </w:rPr>
              <w:t>180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636CFBCE" w14:textId="77777777" w:rsidR="001C08A5" w:rsidRDefault="00000000">
            <w:pPr>
              <w:pStyle w:val="Contenutotabellacentrato"/>
              <w:rPr>
                <w:b/>
                <w:bCs/>
                <w:i/>
                <w:iCs/>
                <w:sz w:val="22"/>
                <w:szCs w:val="22"/>
              </w:rPr>
            </w:pPr>
            <w:r>
              <w:rPr>
                <w:b/>
                <w:bCs/>
                <w:i/>
                <w:iCs/>
                <w:sz w:val="22"/>
                <w:szCs w:val="22"/>
              </w:rPr>
              <w:t>180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67050678" w14:textId="77777777" w:rsidR="001C08A5" w:rsidRDefault="00000000">
            <w:pPr>
              <w:pStyle w:val="Contenutotabellacentrato"/>
              <w:rPr>
                <w:b/>
                <w:bCs/>
                <w:i/>
                <w:iCs/>
                <w:sz w:val="22"/>
                <w:szCs w:val="22"/>
              </w:rPr>
            </w:pPr>
            <w:r>
              <w:rPr>
                <w:b/>
                <w:bCs/>
                <w:i/>
                <w:iCs/>
                <w:sz w:val="22"/>
                <w:szCs w:val="22"/>
              </w:rPr>
              <w:t>120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46D6145E" w14:textId="77777777" w:rsidR="001C08A5" w:rsidRDefault="00000000">
            <w:pPr>
              <w:pStyle w:val="Contenutotabellacentrato"/>
              <w:rPr>
                <w:b/>
                <w:bCs/>
                <w:i/>
                <w:iCs/>
                <w:sz w:val="22"/>
                <w:szCs w:val="22"/>
              </w:rPr>
            </w:pPr>
            <w:r>
              <w:rPr>
                <w:b/>
                <w:bCs/>
                <w:i/>
                <w:iCs/>
                <w:sz w:val="22"/>
                <w:szCs w:val="22"/>
              </w:rPr>
              <w:t>180</w:t>
            </w:r>
          </w:p>
        </w:tc>
        <w:tc>
          <w:tcPr>
            <w:tcW w:w="586" w:type="pct"/>
            <w:tcBorders>
              <w:top w:val="single" w:sz="8" w:space="0" w:color="000000"/>
              <w:left w:val="single" w:sz="4" w:space="0" w:color="000000"/>
              <w:bottom w:val="single" w:sz="8" w:space="0" w:color="000000"/>
              <w:right w:val="single" w:sz="8" w:space="0" w:color="000000"/>
            </w:tcBorders>
            <w:shd w:val="clear" w:color="auto" w:fill="auto"/>
            <w:vAlign w:val="center"/>
          </w:tcPr>
          <w:p w14:paraId="1DD82DC5" w14:textId="77777777" w:rsidR="001C08A5" w:rsidRDefault="00000000">
            <w:pPr>
              <w:pStyle w:val="Contenutotabellacentrato"/>
              <w:rPr>
                <w:b/>
                <w:bCs/>
                <w:i/>
                <w:iCs/>
                <w:sz w:val="22"/>
                <w:szCs w:val="22"/>
              </w:rPr>
            </w:pPr>
            <w:r>
              <w:rPr>
                <w:b/>
                <w:bCs/>
                <w:i/>
                <w:iCs/>
                <w:sz w:val="22"/>
                <w:szCs w:val="22"/>
              </w:rPr>
              <w:t>120</w:t>
            </w:r>
          </w:p>
        </w:tc>
      </w:tr>
    </w:tbl>
    <w:p w14:paraId="5CE5D298" w14:textId="77777777" w:rsidR="001C08A5" w:rsidRDefault="001C08A5">
      <w:pPr>
        <w:jc w:val="both"/>
        <w:rPr>
          <w:b/>
          <w:sz w:val="24"/>
          <w:szCs w:val="24"/>
        </w:rPr>
      </w:pPr>
    </w:p>
    <w:p w14:paraId="77CCE6B5" w14:textId="77777777" w:rsidR="001C08A5" w:rsidRDefault="00000000">
      <w:pPr>
        <w:jc w:val="both"/>
        <w:rPr>
          <w:sz w:val="24"/>
          <w:szCs w:val="24"/>
        </w:rPr>
      </w:pPr>
      <w:r>
        <w:rPr>
          <w:b/>
          <w:sz w:val="24"/>
          <w:szCs w:val="24"/>
        </w:rPr>
        <w:tab/>
        <w:t xml:space="preserve">Art. </w:t>
      </w:r>
      <w:r>
        <w:rPr>
          <w:b/>
          <w:bCs/>
          <w:sz w:val="24"/>
          <w:szCs w:val="24"/>
        </w:rPr>
        <w:t>2.3.1.</w:t>
      </w:r>
      <w:r>
        <w:rPr>
          <w:b/>
          <w:sz w:val="24"/>
          <w:szCs w:val="24"/>
        </w:rPr>
        <w:t xml:space="preserve">3. </w:t>
      </w:r>
      <w:r>
        <w:rPr>
          <w:sz w:val="24"/>
          <w:szCs w:val="24"/>
        </w:rPr>
        <w:t xml:space="preserve">Elementele de construcţie utilizate pentru limitarea propagării incendiilor și a exploziilor volumetrice, precum și a efectelor acestora, sunt rezistente la foc (pereţi </w:t>
      </w:r>
      <w:r>
        <w:rPr>
          <w:b/>
          <w:sz w:val="24"/>
          <w:szCs w:val="24"/>
        </w:rPr>
        <w:t>EI/REI</w:t>
      </w:r>
      <w:r>
        <w:rPr>
          <w:sz w:val="24"/>
          <w:szCs w:val="24"/>
        </w:rPr>
        <w:t xml:space="preserve">, planşee </w:t>
      </w:r>
      <w:r>
        <w:rPr>
          <w:b/>
          <w:sz w:val="24"/>
          <w:szCs w:val="24"/>
        </w:rPr>
        <w:t>REI</w:t>
      </w:r>
      <w:r>
        <w:rPr>
          <w:sz w:val="24"/>
          <w:szCs w:val="24"/>
        </w:rPr>
        <w:t>) şi, după caz, rezistente la explozie.</w:t>
      </w:r>
    </w:p>
    <w:p w14:paraId="0ABBB7A0" w14:textId="77777777" w:rsidR="001C08A5" w:rsidRDefault="001C08A5">
      <w:pPr>
        <w:jc w:val="both"/>
        <w:rPr>
          <w:sz w:val="24"/>
          <w:szCs w:val="24"/>
        </w:rPr>
      </w:pPr>
    </w:p>
    <w:p w14:paraId="5E8030FE" w14:textId="77777777" w:rsidR="001C08A5" w:rsidRDefault="00000000">
      <w:pPr>
        <w:jc w:val="both"/>
        <w:rPr>
          <w:b/>
          <w:bCs/>
          <w:sz w:val="24"/>
          <w:szCs w:val="24"/>
        </w:rPr>
      </w:pPr>
      <w:r>
        <w:rPr>
          <w:sz w:val="24"/>
          <w:szCs w:val="24"/>
        </w:rPr>
        <w:tab/>
      </w:r>
      <w:r>
        <w:rPr>
          <w:b/>
          <w:sz w:val="24"/>
          <w:szCs w:val="24"/>
        </w:rPr>
        <w:t xml:space="preserve">Art. </w:t>
      </w:r>
      <w:r>
        <w:rPr>
          <w:b/>
          <w:bCs/>
          <w:sz w:val="24"/>
          <w:szCs w:val="24"/>
        </w:rPr>
        <w:t>2.3.1.</w:t>
      </w:r>
      <w:r>
        <w:rPr>
          <w:b/>
          <w:sz w:val="24"/>
          <w:szCs w:val="24"/>
        </w:rPr>
        <w:t xml:space="preserve">4. </w:t>
      </w:r>
      <w:r>
        <w:rPr>
          <w:sz w:val="24"/>
          <w:szCs w:val="24"/>
        </w:rPr>
        <w:t>Golurile de circulaţie funcţională şi de evacuare practicate în elementele de construcţie cu rol de limitare a propagării incendiilor şi/sau a exploziilor se protejază obligatoriu cu elemente de închidere corespunzătoare prevederilor normativului.</w:t>
      </w:r>
    </w:p>
    <w:p w14:paraId="76E45F21" w14:textId="77777777" w:rsidR="001C08A5" w:rsidRDefault="00000000">
      <w:pPr>
        <w:pStyle w:val="Heading4"/>
        <w:rPr>
          <w:rFonts w:cs="Times New Roman"/>
          <w:sz w:val="24"/>
          <w:szCs w:val="24"/>
        </w:rPr>
      </w:pPr>
      <w:bookmarkStart w:id="862" w:name="_Toc31194"/>
      <w:bookmarkStart w:id="863" w:name="_Toc16835"/>
      <w:bookmarkStart w:id="864" w:name="_Toc162355196"/>
      <w:bookmarkStart w:id="865" w:name="_Toc7438"/>
      <w:bookmarkStart w:id="866" w:name="_Toc12810"/>
      <w:bookmarkStart w:id="867" w:name="_Toc15867"/>
      <w:bookmarkStart w:id="868" w:name="_Toc24467"/>
      <w:bookmarkStart w:id="869" w:name="_Toc19774"/>
      <w:r>
        <w:t>2.3.2. Elemente antifoc pentru separarea compartimentelor de incendiu şi protecţia golurilor funcţionale de trecere</w:t>
      </w:r>
      <w:bookmarkEnd w:id="862"/>
      <w:bookmarkEnd w:id="863"/>
      <w:bookmarkEnd w:id="864"/>
      <w:bookmarkEnd w:id="865"/>
      <w:bookmarkEnd w:id="866"/>
      <w:bookmarkEnd w:id="867"/>
      <w:bookmarkEnd w:id="868"/>
      <w:bookmarkEnd w:id="869"/>
      <w:r>
        <w:rPr>
          <w:rFonts w:cs="Times New Roman"/>
          <w:sz w:val="24"/>
          <w:szCs w:val="24"/>
        </w:rPr>
        <w:tab/>
      </w:r>
    </w:p>
    <w:p w14:paraId="3222738B" w14:textId="77777777" w:rsidR="001C08A5" w:rsidRDefault="00000000">
      <w:pPr>
        <w:pStyle w:val="Heading5"/>
        <w:rPr>
          <w:lang w:val="ro-RO"/>
        </w:rPr>
      </w:pPr>
      <w:bookmarkStart w:id="870" w:name="_Toc162355197"/>
      <w:bookmarkStart w:id="871" w:name="_Toc12871"/>
      <w:bookmarkStart w:id="872" w:name="_Toc11166"/>
      <w:bookmarkStart w:id="873" w:name="_Toc25715"/>
      <w:bookmarkStart w:id="874" w:name="_Toc16201"/>
      <w:bookmarkStart w:id="875" w:name="_Toc6861"/>
      <w:bookmarkStart w:id="876" w:name="_Toc27487"/>
      <w:bookmarkStart w:id="877" w:name="_Toc23456"/>
      <w:r>
        <w:rPr>
          <w:lang w:val="ro-RO"/>
        </w:rPr>
        <w:t>2.3.2.1. Pereţi antifoc pentru separarea compartimentelor de incendiu</w:t>
      </w:r>
      <w:bookmarkEnd w:id="870"/>
      <w:bookmarkEnd w:id="871"/>
      <w:bookmarkEnd w:id="872"/>
      <w:bookmarkEnd w:id="873"/>
      <w:bookmarkEnd w:id="874"/>
      <w:bookmarkEnd w:id="875"/>
      <w:bookmarkEnd w:id="876"/>
      <w:bookmarkEnd w:id="877"/>
    </w:p>
    <w:p w14:paraId="6EB76D64" w14:textId="77777777" w:rsidR="001C08A5" w:rsidRDefault="001C08A5">
      <w:pPr>
        <w:rPr>
          <w:sz w:val="24"/>
          <w:szCs w:val="24"/>
        </w:rPr>
      </w:pPr>
    </w:p>
    <w:p w14:paraId="0DEC83A0" w14:textId="77777777" w:rsidR="001C08A5" w:rsidRDefault="00000000">
      <w:pPr>
        <w:pStyle w:val="BodyText"/>
        <w:rPr>
          <w:b w:val="0"/>
          <w:bCs w:val="0"/>
          <w:i w:val="0"/>
          <w:iCs/>
        </w:rPr>
      </w:pPr>
      <w:r>
        <w:tab/>
      </w:r>
      <w:r>
        <w:rPr>
          <w:i w:val="0"/>
          <w:iCs/>
        </w:rPr>
        <w:t xml:space="preserve">Art. 2.3.2.1.1. (1) </w:t>
      </w:r>
      <w:r>
        <w:rPr>
          <w:b w:val="0"/>
          <w:bCs w:val="0"/>
          <w:i w:val="0"/>
          <w:iCs/>
        </w:rPr>
        <w:t xml:space="preserve">Pereţii  (antifoc) care separă compartimente de incendiu se execută din materiale </w:t>
      </w:r>
      <w:r>
        <w:rPr>
          <w:i w:val="0"/>
          <w:iCs/>
        </w:rPr>
        <w:t xml:space="preserve">A1 </w:t>
      </w:r>
      <w:r>
        <w:rPr>
          <w:b w:val="0"/>
          <w:i w:val="0"/>
          <w:iCs/>
        </w:rPr>
        <w:t>sau</w:t>
      </w:r>
      <w:r>
        <w:rPr>
          <w:i w:val="0"/>
          <w:iCs/>
        </w:rPr>
        <w:t xml:space="preserve"> A2-s1d0, </w:t>
      </w:r>
      <w:r>
        <w:rPr>
          <w:rFonts w:eastAsia="Calibri"/>
          <w:b w:val="0"/>
          <w:bCs w:val="0"/>
          <w:i w:val="0"/>
          <w:iCs/>
          <w:shd w:val="clear" w:color="auto" w:fill="FFFFFF"/>
        </w:rPr>
        <w:t>astfel amplasați, alcătuiți și dimensionați încât să reziste la efectele incendiilor din compartimente</w:t>
      </w:r>
      <w:r>
        <w:rPr>
          <w:rFonts w:eastAsia="Calibri"/>
          <w:b w:val="0"/>
          <w:bCs w:val="0"/>
          <w:i w:val="0"/>
          <w:iCs/>
          <w:shd w:val="clear" w:color="auto" w:fill="FFFFFF"/>
          <w:lang w:val="en-US"/>
        </w:rPr>
        <w:t>l</w:t>
      </w:r>
      <w:r>
        <w:rPr>
          <w:rFonts w:eastAsia="Calibri"/>
          <w:b w:val="0"/>
          <w:bCs w:val="0"/>
          <w:i w:val="0"/>
          <w:iCs/>
          <w:shd w:val="clear" w:color="auto" w:fill="FFFFFF"/>
        </w:rPr>
        <w:t>e de incendiu pe care le separă</w:t>
      </w:r>
      <w:r>
        <w:rPr>
          <w:b w:val="0"/>
          <w:bCs w:val="0"/>
          <w:i w:val="0"/>
          <w:iCs/>
        </w:rPr>
        <w:t xml:space="preserve">. </w:t>
      </w:r>
    </w:p>
    <w:p w14:paraId="458252FD" w14:textId="77777777" w:rsidR="001C08A5" w:rsidRDefault="00000000">
      <w:pPr>
        <w:pStyle w:val="BodyText"/>
        <w:ind w:firstLine="720"/>
        <w:rPr>
          <w:rFonts w:eastAsia="Calibri"/>
          <w:b w:val="0"/>
          <w:bCs w:val="0"/>
          <w:i w:val="0"/>
          <w:iCs/>
          <w:shd w:val="clear" w:color="auto" w:fill="FFFFFF"/>
        </w:rPr>
      </w:pPr>
      <w:r>
        <w:rPr>
          <w:i w:val="0"/>
          <w:iCs/>
        </w:rPr>
        <w:t xml:space="preserve">(2) </w:t>
      </w:r>
      <w:r>
        <w:rPr>
          <w:rFonts w:eastAsia="Calibri"/>
          <w:b w:val="0"/>
          <w:bCs w:val="0"/>
          <w:i w:val="0"/>
          <w:iCs/>
          <w:shd w:val="clear" w:color="auto" w:fill="FFFFFF"/>
        </w:rPr>
        <w:t xml:space="preserve">În construcțiile cu structuri din beton armat sau metalice, pereții </w:t>
      </w:r>
      <w:r>
        <w:rPr>
          <w:b w:val="0"/>
          <w:bCs w:val="0"/>
          <w:i w:val="0"/>
          <w:iCs/>
        </w:rPr>
        <w:t xml:space="preserve">rezistenţi la foc care separă compartimente de incendiu (pereți </w:t>
      </w:r>
      <w:r>
        <w:rPr>
          <w:rFonts w:eastAsia="Calibri"/>
          <w:b w:val="0"/>
          <w:bCs w:val="0"/>
          <w:i w:val="0"/>
          <w:iCs/>
          <w:shd w:val="clear" w:color="auto" w:fill="FFFFFF"/>
        </w:rPr>
        <w:t>antifoc) pot fi înglobați direct în aceste structuri, care vor fi astfel executate sau protejate încât să aibă rezistență la foc cel puțin egală cu cu cea necesară pentru pereții antifoc respectivi.</w:t>
      </w:r>
    </w:p>
    <w:p w14:paraId="33B680CA" w14:textId="77777777" w:rsidR="001C08A5" w:rsidRDefault="00000000">
      <w:pPr>
        <w:pStyle w:val="BodyText"/>
        <w:ind w:firstLine="720"/>
        <w:rPr>
          <w:rFonts w:eastAsia="Calibri"/>
          <w:i w:val="0"/>
          <w:iCs/>
        </w:rPr>
      </w:pPr>
      <w:r>
        <w:rPr>
          <w:i w:val="0"/>
          <w:iCs/>
        </w:rPr>
        <w:t xml:space="preserve">(3) </w:t>
      </w:r>
      <w:r>
        <w:rPr>
          <w:rFonts w:eastAsia="Calibri"/>
          <w:b w:val="0"/>
          <w:bCs w:val="0"/>
          <w:i w:val="0"/>
          <w:iCs/>
          <w:shd w:val="clear" w:color="auto" w:fill="FFFFFF"/>
        </w:rPr>
        <w:t>Pereții antifoc care separă, pe anumite porțiuni ale lor, spații cu pericol de explozie, trebuie să îndeplinească pe aceste porțiuni și condițiile prevăzute pentru pereții rezistenți la explozie.</w:t>
      </w:r>
    </w:p>
    <w:p w14:paraId="7B7786CB" w14:textId="77777777" w:rsidR="001C08A5" w:rsidRDefault="001C08A5">
      <w:pPr>
        <w:pStyle w:val="BodyText"/>
      </w:pPr>
    </w:p>
    <w:p w14:paraId="337B098A" w14:textId="77777777" w:rsidR="001C08A5" w:rsidRDefault="00000000">
      <w:pPr>
        <w:pStyle w:val="BodyText"/>
        <w:rPr>
          <w:i w:val="0"/>
          <w:iCs/>
        </w:rPr>
      </w:pPr>
      <w:r>
        <w:rPr>
          <w:i w:val="0"/>
          <w:iCs/>
        </w:rPr>
        <w:tab/>
        <w:t xml:space="preserve">Art. 2.3.2.1.2. </w:t>
      </w:r>
      <w:r>
        <w:rPr>
          <w:b w:val="0"/>
          <w:bCs w:val="0"/>
          <w:i w:val="0"/>
          <w:iCs/>
        </w:rPr>
        <w:t>Pereţii antifoc care separă compartimentele de incendiu trebuie să aibă rezistenţa la foc:</w:t>
      </w:r>
    </w:p>
    <w:p w14:paraId="1229CD46" w14:textId="77777777" w:rsidR="001C08A5" w:rsidRDefault="00000000">
      <w:pPr>
        <w:numPr>
          <w:ilvl w:val="0"/>
          <w:numId w:val="35"/>
        </w:numPr>
        <w:jc w:val="both"/>
        <w:rPr>
          <w:sz w:val="24"/>
          <w:szCs w:val="24"/>
        </w:rPr>
      </w:pPr>
      <w:r>
        <w:rPr>
          <w:sz w:val="24"/>
          <w:szCs w:val="24"/>
        </w:rPr>
        <w:t xml:space="preserve">minimum valoarea structurii de rezistență a clădirii (în acord cu </w:t>
      </w:r>
      <w:r>
        <w:rPr>
          <w:rStyle w:val="CaptiontabelChar"/>
        </w:rPr>
        <w:fldChar w:fldCharType="begin"/>
      </w:r>
      <w:r>
        <w:rPr>
          <w:rStyle w:val="CaptiontabelChar"/>
        </w:rPr>
        <w:instrText xml:space="preserve"> REF _Ref26473 \h </w:instrText>
      </w:r>
      <w:r>
        <w:rPr>
          <w:rStyle w:val="CaptiontabelChar"/>
        </w:rPr>
      </w:r>
      <w:r>
        <w:rPr>
          <w:rStyle w:val="CaptiontabelChar"/>
        </w:rPr>
        <w:fldChar w:fldCharType="separate"/>
      </w:r>
      <w:r>
        <w:t>Tabelul 2</w:t>
      </w:r>
      <w:r>
        <w:rPr>
          <w:rStyle w:val="CaptiontabelChar"/>
        </w:rPr>
        <w:fldChar w:fldCharType="end"/>
      </w:r>
      <w:r>
        <w:rPr>
          <w:sz w:val="24"/>
          <w:szCs w:val="24"/>
        </w:rPr>
        <w:t xml:space="preserve"> și </w:t>
      </w:r>
      <w:r>
        <w:rPr>
          <w:rStyle w:val="CaptiontabelChar"/>
        </w:rPr>
        <w:fldChar w:fldCharType="begin"/>
      </w:r>
      <w:r>
        <w:rPr>
          <w:rStyle w:val="CaptiontabelChar"/>
        </w:rPr>
        <w:instrText xml:space="preserve"> REF _Ref11612 \h </w:instrText>
      </w:r>
      <w:r>
        <w:rPr>
          <w:rStyle w:val="CaptiontabelChar"/>
        </w:rPr>
      </w:r>
      <w:r>
        <w:rPr>
          <w:rStyle w:val="CaptiontabelChar"/>
        </w:rPr>
        <w:fldChar w:fldCharType="separate"/>
      </w:r>
      <w:r>
        <w:t>Tabelul 3</w:t>
      </w:r>
      <w:r>
        <w:rPr>
          <w:rStyle w:val="CaptiontabelChar"/>
        </w:rPr>
        <w:fldChar w:fldCharType="end"/>
      </w:r>
      <w:r>
        <w:rPr>
          <w:rStyle w:val="BodyTextChar1"/>
          <w:b w:val="0"/>
          <w:bCs w:val="0"/>
          <w:i w:val="0"/>
          <w:iCs/>
        </w:rPr>
        <w:t>)</w:t>
      </w:r>
      <w:r>
        <w:rPr>
          <w:sz w:val="24"/>
          <w:szCs w:val="24"/>
        </w:rPr>
        <w:t>, fără a fi mai mici de o oră (</w:t>
      </w:r>
      <w:r>
        <w:rPr>
          <w:b/>
          <w:bCs/>
          <w:sz w:val="24"/>
          <w:szCs w:val="24"/>
        </w:rPr>
        <w:t>EI-M 60/REI 60</w:t>
      </w:r>
      <w:r>
        <w:rPr>
          <w:sz w:val="24"/>
          <w:szCs w:val="24"/>
        </w:rPr>
        <w:t xml:space="preserve">), conform </w:t>
      </w:r>
      <w:r>
        <w:rPr>
          <w:rStyle w:val="CaptiontabelChar"/>
        </w:rPr>
        <w:fldChar w:fldCharType="begin"/>
      </w:r>
      <w:r>
        <w:rPr>
          <w:rStyle w:val="CaptiontabelChar"/>
        </w:rPr>
        <w:instrText xml:space="preserve"> REF _Ref28746 \h </w:instrText>
      </w:r>
      <w:r>
        <w:rPr>
          <w:rStyle w:val="CaptiontabelChar"/>
        </w:rPr>
      </w:r>
      <w:r>
        <w:rPr>
          <w:rStyle w:val="CaptiontabelChar"/>
        </w:rPr>
        <w:fldChar w:fldCharType="separate"/>
      </w:r>
      <w:r>
        <w:t>Tabelul 6</w:t>
      </w:r>
      <w:r>
        <w:rPr>
          <w:rStyle w:val="CaptiontabelChar"/>
        </w:rPr>
        <w:fldChar w:fldCharType="end"/>
      </w:r>
      <w:r>
        <w:rPr>
          <w:sz w:val="24"/>
          <w:szCs w:val="24"/>
        </w:rPr>
        <w:t>, coroborată cu densitatea sarcinii termice a clădirii (în acord cu prevederile aceluiași tabel), pentru construcțiile cu regim de înălțime parter</w:t>
      </w:r>
      <w:r>
        <w:rPr>
          <w:b/>
          <w:bCs/>
          <w:i/>
          <w:iCs/>
          <w:sz w:val="24"/>
          <w:szCs w:val="24"/>
        </w:rPr>
        <w:t xml:space="preserve">. </w:t>
      </w:r>
      <w:r>
        <w:rPr>
          <w:sz w:val="24"/>
          <w:szCs w:val="24"/>
          <w:lang w:val="en-US"/>
        </w:rPr>
        <w:t xml:space="preserve">Prevederile nu se aplică </w:t>
      </w:r>
      <w:r>
        <w:rPr>
          <w:sz w:val="24"/>
          <w:szCs w:val="24"/>
        </w:rPr>
        <w:t>clădirilor cu persoane care nu se pot evacua singure (definite conform terminologie) și clădirilor cu săli aglomerate</w:t>
      </w:r>
      <w:r>
        <w:rPr>
          <w:sz w:val="24"/>
          <w:szCs w:val="24"/>
          <w:lang w:val="en-US"/>
        </w:rPr>
        <w:t>.</w:t>
      </w:r>
    </w:p>
    <w:p w14:paraId="68B4BD9C" w14:textId="77777777" w:rsidR="001C08A5" w:rsidRDefault="001C08A5">
      <w:pPr>
        <w:pStyle w:val="Default"/>
        <w:rPr>
          <w:rFonts w:ascii="Times New Roman" w:hAnsi="Times New Roman" w:cs="Times New Roman"/>
          <w:color w:val="auto"/>
        </w:rPr>
      </w:pPr>
    </w:p>
    <w:p w14:paraId="78DAF8F0" w14:textId="77777777" w:rsidR="001C08A5" w:rsidRDefault="00000000">
      <w:pPr>
        <w:pStyle w:val="Caption"/>
        <w:jc w:val="both"/>
      </w:pPr>
      <w:bookmarkStart w:id="878" w:name="_Ref28746"/>
      <w:bookmarkStart w:id="879" w:name="_Toc3048"/>
      <w:bookmarkStart w:id="880" w:name="_Toc29607"/>
      <w:bookmarkStart w:id="881" w:name="_Toc9494"/>
      <w:bookmarkStart w:id="882" w:name="_Toc19468"/>
      <w:bookmarkStart w:id="883" w:name="_Toc162360056"/>
      <w:bookmarkStart w:id="884" w:name="_Toc8987"/>
      <w:bookmarkStart w:id="885" w:name="_Toc25878"/>
      <w:bookmarkStart w:id="886" w:name="_Ref20060"/>
      <w:bookmarkStart w:id="887" w:name="_Toc24978"/>
      <w:r>
        <w:t xml:space="preserve">Tabelul </w:t>
      </w:r>
      <w:r>
        <w:fldChar w:fldCharType="begin"/>
      </w:r>
      <w:r>
        <w:instrText xml:space="preserve"> SEQ Tabelul \* ARABIC </w:instrText>
      </w:r>
      <w:r>
        <w:fldChar w:fldCharType="separate"/>
      </w:r>
      <w:r>
        <w:t>6</w:t>
      </w:r>
      <w:r>
        <w:fldChar w:fldCharType="end"/>
      </w:r>
      <w:bookmarkStart w:id="888" w:name="_Toc18618"/>
      <w:bookmarkStart w:id="889" w:name="_Toc28801"/>
      <w:bookmarkStart w:id="890" w:name="_Toc2351"/>
      <w:bookmarkStart w:id="891" w:name="_Toc30804"/>
      <w:bookmarkStart w:id="892" w:name="_Toc23103"/>
      <w:bookmarkStart w:id="893" w:name="_Toc7270"/>
      <w:bookmarkStart w:id="894" w:name="_Toc27928"/>
      <w:bookmarkStart w:id="895" w:name="_Toc15138"/>
      <w:bookmarkStart w:id="896" w:name="_Toc24209"/>
      <w:bookmarkStart w:id="897" w:name="_Toc15234"/>
      <w:bookmarkStart w:id="898" w:name="_Toc28422"/>
      <w:bookmarkStart w:id="899" w:name="_Toc11280"/>
      <w:bookmarkEnd w:id="878"/>
      <w:r>
        <w:t>: Rezistenţe la foc normate ale pereţilor care separă compartimentele de incendiu (EI-M/REI) pentru construcțiile cu regim de înălțime parter, cu excepția clădirilor cu persoane care nu se pot evacua singure și a clădirilor cu săli aglomerate, corespunzătoare densităţilor sarcinilor termice (q) din spaţiile adiacente şi/sau densităţilor sarcinilor termice (q) cele mai mari din spaţiile pe care le despart</w:t>
      </w:r>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tbl>
      <w:tblPr>
        <w:tblW w:w="4940" w:type="pct"/>
        <w:tblLook w:val="04A0" w:firstRow="1" w:lastRow="0" w:firstColumn="1" w:lastColumn="0" w:noHBand="0" w:noVBand="1"/>
      </w:tblPr>
      <w:tblGrid>
        <w:gridCol w:w="4412"/>
        <w:gridCol w:w="5101"/>
      </w:tblGrid>
      <w:tr w:rsidR="001C08A5" w14:paraId="475D8886" w14:textId="77777777">
        <w:tc>
          <w:tcPr>
            <w:tcW w:w="2319" w:type="pct"/>
            <w:tcBorders>
              <w:top w:val="single" w:sz="4" w:space="0" w:color="auto"/>
              <w:left w:val="single" w:sz="4" w:space="0" w:color="auto"/>
              <w:bottom w:val="single" w:sz="4" w:space="0" w:color="auto"/>
              <w:right w:val="single" w:sz="4" w:space="0" w:color="auto"/>
            </w:tcBorders>
            <w:shd w:val="clear" w:color="auto" w:fill="BFBFBF"/>
          </w:tcPr>
          <w:p w14:paraId="038D0547" w14:textId="77777777" w:rsidR="001C08A5" w:rsidRDefault="00000000">
            <w:pPr>
              <w:jc w:val="center"/>
              <w:rPr>
                <w:b/>
                <w:bCs/>
                <w:i/>
                <w:iCs/>
                <w:sz w:val="22"/>
                <w:szCs w:val="22"/>
              </w:rPr>
            </w:pPr>
            <w:r>
              <w:rPr>
                <w:b/>
                <w:bCs/>
                <w:i/>
                <w:iCs/>
                <w:sz w:val="22"/>
                <w:szCs w:val="22"/>
              </w:rPr>
              <w:t>Densitatea sarcinii termice (q) din încăperi</w:t>
            </w:r>
          </w:p>
          <w:p w14:paraId="54103275" w14:textId="77777777" w:rsidR="001C08A5" w:rsidRDefault="00000000">
            <w:pPr>
              <w:jc w:val="center"/>
              <w:rPr>
                <w:b/>
                <w:bCs/>
                <w:i/>
                <w:iCs/>
                <w:sz w:val="22"/>
                <w:szCs w:val="22"/>
              </w:rPr>
            </w:pPr>
            <w:r>
              <w:rPr>
                <w:b/>
                <w:bCs/>
                <w:i/>
                <w:iCs/>
                <w:sz w:val="22"/>
                <w:szCs w:val="22"/>
              </w:rPr>
              <w:t>(MJ/m</w:t>
            </w:r>
            <w:r>
              <w:rPr>
                <w:b/>
                <w:bCs/>
                <w:i/>
                <w:iCs/>
                <w:sz w:val="22"/>
                <w:szCs w:val="22"/>
                <w:vertAlign w:val="superscript"/>
              </w:rPr>
              <w:t>2</w:t>
            </w:r>
            <w:r>
              <w:rPr>
                <w:b/>
                <w:bCs/>
                <w:i/>
                <w:iCs/>
                <w:sz w:val="22"/>
                <w:szCs w:val="22"/>
              </w:rPr>
              <w:t>)</w:t>
            </w:r>
          </w:p>
        </w:tc>
        <w:tc>
          <w:tcPr>
            <w:tcW w:w="2680" w:type="pct"/>
            <w:tcBorders>
              <w:top w:val="single" w:sz="4" w:space="0" w:color="auto"/>
              <w:left w:val="single" w:sz="4" w:space="0" w:color="auto"/>
              <w:bottom w:val="single" w:sz="4" w:space="0" w:color="auto"/>
              <w:right w:val="single" w:sz="4" w:space="0" w:color="auto"/>
            </w:tcBorders>
            <w:shd w:val="clear" w:color="auto" w:fill="BFBFBF"/>
          </w:tcPr>
          <w:p w14:paraId="0C6C9F27" w14:textId="77777777" w:rsidR="001C08A5" w:rsidRDefault="00000000">
            <w:pPr>
              <w:jc w:val="center"/>
              <w:rPr>
                <w:b/>
                <w:bCs/>
                <w:i/>
                <w:iCs/>
                <w:sz w:val="22"/>
                <w:szCs w:val="22"/>
              </w:rPr>
            </w:pPr>
            <w:r>
              <w:rPr>
                <w:b/>
                <w:bCs/>
                <w:i/>
                <w:iCs/>
                <w:sz w:val="22"/>
                <w:szCs w:val="22"/>
              </w:rPr>
              <w:t>Rezistenţa la foc (EI/REI) minimă a pereţilor</w:t>
            </w:r>
          </w:p>
          <w:p w14:paraId="3E225D2E" w14:textId="77777777" w:rsidR="001C08A5" w:rsidRDefault="00000000">
            <w:pPr>
              <w:jc w:val="center"/>
              <w:rPr>
                <w:i/>
                <w:iCs/>
                <w:sz w:val="22"/>
                <w:szCs w:val="22"/>
              </w:rPr>
            </w:pPr>
            <w:r>
              <w:rPr>
                <w:i/>
                <w:iCs/>
                <w:sz w:val="22"/>
                <w:szCs w:val="22"/>
              </w:rPr>
              <w:t>(minute)</w:t>
            </w:r>
          </w:p>
        </w:tc>
      </w:tr>
      <w:tr w:rsidR="001C08A5" w14:paraId="4CFE1BFD" w14:textId="77777777">
        <w:tc>
          <w:tcPr>
            <w:tcW w:w="2319" w:type="pct"/>
            <w:tcBorders>
              <w:top w:val="single" w:sz="4" w:space="0" w:color="auto"/>
              <w:left w:val="single" w:sz="4" w:space="0" w:color="auto"/>
              <w:bottom w:val="single" w:sz="4" w:space="0" w:color="auto"/>
              <w:right w:val="single" w:sz="4" w:space="0" w:color="auto"/>
            </w:tcBorders>
            <w:shd w:val="clear" w:color="auto" w:fill="auto"/>
            <w:vAlign w:val="center"/>
          </w:tcPr>
          <w:p w14:paraId="6A4B5C36" w14:textId="77777777" w:rsidR="001C08A5" w:rsidRDefault="00000000">
            <w:pPr>
              <w:pStyle w:val="Contenutotabellacentrato"/>
              <w:keepNext/>
              <w:rPr>
                <w:b/>
                <w:bCs/>
                <w:i/>
                <w:iCs/>
                <w:sz w:val="22"/>
                <w:szCs w:val="22"/>
              </w:rPr>
            </w:pPr>
            <w:r>
              <w:rPr>
                <w:b/>
                <w:bCs/>
                <w:i/>
                <w:iCs/>
                <w:sz w:val="22"/>
                <w:szCs w:val="22"/>
              </w:rPr>
              <w:t>q ≤ 420 MJ/m</w:t>
            </w:r>
            <w:r>
              <w:rPr>
                <w:b/>
                <w:bCs/>
                <w:i/>
                <w:iCs/>
                <w:sz w:val="22"/>
                <w:szCs w:val="22"/>
                <w:vertAlign w:val="superscript"/>
              </w:rPr>
              <w:t>2</w:t>
            </w:r>
          </w:p>
        </w:tc>
        <w:tc>
          <w:tcPr>
            <w:tcW w:w="2680" w:type="pct"/>
            <w:tcBorders>
              <w:top w:val="single" w:sz="4" w:space="0" w:color="auto"/>
              <w:left w:val="single" w:sz="4" w:space="0" w:color="auto"/>
              <w:bottom w:val="single" w:sz="4" w:space="0" w:color="auto"/>
              <w:right w:val="single" w:sz="4" w:space="0" w:color="auto"/>
            </w:tcBorders>
            <w:shd w:val="clear" w:color="auto" w:fill="auto"/>
            <w:vAlign w:val="center"/>
          </w:tcPr>
          <w:p w14:paraId="681D7428" w14:textId="77777777" w:rsidR="001C08A5" w:rsidRDefault="00000000">
            <w:pPr>
              <w:pStyle w:val="Contenutotabellacentrato"/>
              <w:rPr>
                <w:b/>
                <w:bCs/>
                <w:i/>
                <w:iCs/>
                <w:sz w:val="22"/>
                <w:szCs w:val="22"/>
              </w:rPr>
            </w:pPr>
            <w:r>
              <w:rPr>
                <w:b/>
                <w:bCs/>
                <w:i/>
                <w:iCs/>
                <w:sz w:val="22"/>
                <w:szCs w:val="22"/>
              </w:rPr>
              <w:t>EI-M 60/REI 60</w:t>
            </w:r>
          </w:p>
        </w:tc>
      </w:tr>
      <w:tr w:rsidR="001C08A5" w14:paraId="2A669706" w14:textId="77777777">
        <w:tc>
          <w:tcPr>
            <w:tcW w:w="2319" w:type="pct"/>
            <w:tcBorders>
              <w:top w:val="single" w:sz="4" w:space="0" w:color="auto"/>
              <w:left w:val="single" w:sz="4" w:space="0" w:color="auto"/>
              <w:bottom w:val="single" w:sz="4" w:space="0" w:color="auto"/>
              <w:right w:val="single" w:sz="4" w:space="0" w:color="auto"/>
            </w:tcBorders>
            <w:shd w:val="clear" w:color="auto" w:fill="auto"/>
            <w:vAlign w:val="center"/>
          </w:tcPr>
          <w:p w14:paraId="4B84A39C" w14:textId="77777777" w:rsidR="001C08A5" w:rsidRDefault="00000000">
            <w:pPr>
              <w:pStyle w:val="Contenutotabellacentrato"/>
              <w:keepNext/>
              <w:rPr>
                <w:b/>
                <w:bCs/>
                <w:i/>
                <w:iCs/>
                <w:sz w:val="22"/>
                <w:szCs w:val="22"/>
              </w:rPr>
            </w:pPr>
            <w:r>
              <w:rPr>
                <w:b/>
                <w:bCs/>
                <w:i/>
                <w:iCs/>
                <w:sz w:val="22"/>
                <w:szCs w:val="22"/>
              </w:rPr>
              <w:t>420 MJ/m</w:t>
            </w:r>
            <w:r>
              <w:rPr>
                <w:b/>
                <w:bCs/>
                <w:i/>
                <w:iCs/>
                <w:sz w:val="22"/>
                <w:szCs w:val="22"/>
                <w:vertAlign w:val="superscript"/>
              </w:rPr>
              <w:t xml:space="preserve">2 </w:t>
            </w:r>
            <w:r>
              <w:rPr>
                <w:b/>
                <w:bCs/>
                <w:i/>
                <w:iCs/>
                <w:sz w:val="22"/>
                <w:szCs w:val="22"/>
              </w:rPr>
              <w:t>&lt;q ≤ 630 MJ/m</w:t>
            </w:r>
            <w:r>
              <w:rPr>
                <w:b/>
                <w:bCs/>
                <w:i/>
                <w:iCs/>
                <w:sz w:val="22"/>
                <w:szCs w:val="22"/>
                <w:vertAlign w:val="superscript"/>
              </w:rPr>
              <w:t>2</w:t>
            </w:r>
          </w:p>
        </w:tc>
        <w:tc>
          <w:tcPr>
            <w:tcW w:w="2680" w:type="pct"/>
            <w:tcBorders>
              <w:top w:val="single" w:sz="4" w:space="0" w:color="auto"/>
              <w:left w:val="single" w:sz="4" w:space="0" w:color="auto"/>
              <w:bottom w:val="single" w:sz="4" w:space="0" w:color="auto"/>
              <w:right w:val="single" w:sz="4" w:space="0" w:color="auto"/>
            </w:tcBorders>
            <w:shd w:val="clear" w:color="auto" w:fill="auto"/>
            <w:vAlign w:val="center"/>
          </w:tcPr>
          <w:p w14:paraId="3A856453" w14:textId="77777777" w:rsidR="001C08A5" w:rsidRDefault="00000000">
            <w:pPr>
              <w:pStyle w:val="Contenutotabellacentrato"/>
              <w:rPr>
                <w:b/>
                <w:bCs/>
                <w:i/>
                <w:iCs/>
                <w:sz w:val="22"/>
                <w:szCs w:val="22"/>
              </w:rPr>
            </w:pPr>
            <w:r>
              <w:rPr>
                <w:b/>
                <w:bCs/>
                <w:i/>
                <w:iCs/>
                <w:sz w:val="22"/>
                <w:szCs w:val="22"/>
              </w:rPr>
              <w:t>EI-M 90/REI 90</w:t>
            </w:r>
          </w:p>
        </w:tc>
      </w:tr>
      <w:tr w:rsidR="001C08A5" w14:paraId="433D9EB4" w14:textId="77777777">
        <w:tc>
          <w:tcPr>
            <w:tcW w:w="2319" w:type="pct"/>
            <w:tcBorders>
              <w:top w:val="single" w:sz="4" w:space="0" w:color="auto"/>
              <w:left w:val="single" w:sz="4" w:space="0" w:color="auto"/>
              <w:bottom w:val="single" w:sz="4" w:space="0" w:color="auto"/>
              <w:right w:val="single" w:sz="4" w:space="0" w:color="auto"/>
            </w:tcBorders>
            <w:shd w:val="clear" w:color="auto" w:fill="auto"/>
            <w:vAlign w:val="center"/>
          </w:tcPr>
          <w:p w14:paraId="3CBC96F9" w14:textId="77777777" w:rsidR="001C08A5" w:rsidRDefault="00000000">
            <w:pPr>
              <w:pStyle w:val="Contenutotabellacentrato"/>
              <w:keepNext/>
              <w:rPr>
                <w:b/>
                <w:bCs/>
                <w:i/>
                <w:iCs/>
                <w:sz w:val="22"/>
                <w:szCs w:val="22"/>
              </w:rPr>
            </w:pPr>
            <w:r>
              <w:rPr>
                <w:b/>
                <w:bCs/>
                <w:i/>
                <w:iCs/>
                <w:sz w:val="22"/>
                <w:szCs w:val="22"/>
              </w:rPr>
              <w:t>630 MJ/m</w:t>
            </w:r>
            <w:r>
              <w:rPr>
                <w:b/>
                <w:bCs/>
                <w:i/>
                <w:iCs/>
                <w:sz w:val="22"/>
                <w:szCs w:val="22"/>
                <w:vertAlign w:val="superscript"/>
              </w:rPr>
              <w:t xml:space="preserve">2 </w:t>
            </w:r>
            <w:r>
              <w:rPr>
                <w:b/>
                <w:bCs/>
                <w:i/>
                <w:iCs/>
                <w:sz w:val="22"/>
                <w:szCs w:val="22"/>
              </w:rPr>
              <w:t>&lt;q ≤ 840 MJ/m</w:t>
            </w:r>
            <w:r>
              <w:rPr>
                <w:b/>
                <w:bCs/>
                <w:i/>
                <w:iCs/>
                <w:sz w:val="22"/>
                <w:szCs w:val="22"/>
                <w:vertAlign w:val="superscript"/>
              </w:rPr>
              <w:t>2</w:t>
            </w:r>
          </w:p>
        </w:tc>
        <w:tc>
          <w:tcPr>
            <w:tcW w:w="2680" w:type="pct"/>
            <w:tcBorders>
              <w:top w:val="single" w:sz="4" w:space="0" w:color="auto"/>
              <w:left w:val="single" w:sz="4" w:space="0" w:color="auto"/>
              <w:bottom w:val="single" w:sz="4" w:space="0" w:color="auto"/>
              <w:right w:val="single" w:sz="4" w:space="0" w:color="auto"/>
            </w:tcBorders>
            <w:shd w:val="clear" w:color="auto" w:fill="auto"/>
            <w:vAlign w:val="center"/>
          </w:tcPr>
          <w:p w14:paraId="29F8A779" w14:textId="77777777" w:rsidR="001C08A5" w:rsidRDefault="00000000">
            <w:pPr>
              <w:pStyle w:val="Contenutotabellacentrato"/>
              <w:rPr>
                <w:b/>
                <w:bCs/>
                <w:i/>
                <w:iCs/>
                <w:sz w:val="22"/>
                <w:szCs w:val="22"/>
              </w:rPr>
            </w:pPr>
            <w:r>
              <w:rPr>
                <w:b/>
                <w:bCs/>
                <w:i/>
                <w:iCs/>
                <w:sz w:val="22"/>
                <w:szCs w:val="22"/>
              </w:rPr>
              <w:t>EI-M 120/REI 120</w:t>
            </w:r>
          </w:p>
        </w:tc>
      </w:tr>
      <w:tr w:rsidR="001C08A5" w14:paraId="76A307AF" w14:textId="77777777">
        <w:tc>
          <w:tcPr>
            <w:tcW w:w="2319" w:type="pct"/>
            <w:tcBorders>
              <w:top w:val="single" w:sz="4" w:space="0" w:color="auto"/>
              <w:left w:val="single" w:sz="4" w:space="0" w:color="auto"/>
              <w:bottom w:val="single" w:sz="4" w:space="0" w:color="auto"/>
              <w:right w:val="single" w:sz="4" w:space="0" w:color="auto"/>
            </w:tcBorders>
            <w:shd w:val="clear" w:color="auto" w:fill="auto"/>
            <w:vAlign w:val="center"/>
          </w:tcPr>
          <w:p w14:paraId="2DFE3FC0" w14:textId="77777777" w:rsidR="001C08A5" w:rsidRDefault="00000000">
            <w:pPr>
              <w:pStyle w:val="Contenutotabellacentrato"/>
              <w:keepNext/>
              <w:rPr>
                <w:b/>
                <w:bCs/>
                <w:i/>
                <w:iCs/>
                <w:sz w:val="22"/>
                <w:szCs w:val="22"/>
              </w:rPr>
            </w:pPr>
            <w:r>
              <w:rPr>
                <w:b/>
                <w:bCs/>
                <w:i/>
                <w:iCs/>
                <w:sz w:val="22"/>
                <w:szCs w:val="22"/>
              </w:rPr>
              <w:t>840 MJ/m</w:t>
            </w:r>
            <w:r>
              <w:rPr>
                <w:b/>
                <w:bCs/>
                <w:i/>
                <w:iCs/>
                <w:sz w:val="22"/>
                <w:szCs w:val="22"/>
                <w:vertAlign w:val="superscript"/>
              </w:rPr>
              <w:t xml:space="preserve">2 </w:t>
            </w:r>
            <w:r>
              <w:rPr>
                <w:b/>
                <w:bCs/>
                <w:i/>
                <w:iCs/>
                <w:sz w:val="22"/>
                <w:szCs w:val="22"/>
              </w:rPr>
              <w:t>&lt;q ≤ 1 680 MJ/m</w:t>
            </w:r>
            <w:r>
              <w:rPr>
                <w:b/>
                <w:bCs/>
                <w:i/>
                <w:iCs/>
                <w:sz w:val="22"/>
                <w:szCs w:val="22"/>
                <w:vertAlign w:val="superscript"/>
              </w:rPr>
              <w:t>2</w:t>
            </w:r>
          </w:p>
        </w:tc>
        <w:tc>
          <w:tcPr>
            <w:tcW w:w="2680" w:type="pct"/>
            <w:tcBorders>
              <w:top w:val="single" w:sz="4" w:space="0" w:color="auto"/>
              <w:left w:val="single" w:sz="4" w:space="0" w:color="auto"/>
              <w:bottom w:val="single" w:sz="4" w:space="0" w:color="auto"/>
              <w:right w:val="single" w:sz="4" w:space="0" w:color="auto"/>
            </w:tcBorders>
            <w:shd w:val="clear" w:color="auto" w:fill="auto"/>
            <w:vAlign w:val="center"/>
          </w:tcPr>
          <w:p w14:paraId="0DE072DC" w14:textId="77777777" w:rsidR="001C08A5" w:rsidRDefault="00000000">
            <w:pPr>
              <w:pStyle w:val="Contenutotabellacentrato"/>
              <w:rPr>
                <w:b/>
                <w:bCs/>
                <w:i/>
                <w:iCs/>
                <w:sz w:val="22"/>
                <w:szCs w:val="22"/>
              </w:rPr>
            </w:pPr>
            <w:r>
              <w:rPr>
                <w:b/>
                <w:bCs/>
                <w:i/>
                <w:iCs/>
                <w:sz w:val="22"/>
                <w:szCs w:val="22"/>
              </w:rPr>
              <w:t>EI-M 180/REI 180</w:t>
            </w:r>
          </w:p>
        </w:tc>
      </w:tr>
      <w:tr w:rsidR="001C08A5" w14:paraId="1F9BE15C" w14:textId="77777777">
        <w:tc>
          <w:tcPr>
            <w:tcW w:w="2319" w:type="pct"/>
            <w:tcBorders>
              <w:top w:val="single" w:sz="4" w:space="0" w:color="auto"/>
              <w:left w:val="single" w:sz="4" w:space="0" w:color="auto"/>
              <w:bottom w:val="single" w:sz="4" w:space="0" w:color="auto"/>
              <w:right w:val="single" w:sz="4" w:space="0" w:color="auto"/>
            </w:tcBorders>
            <w:shd w:val="clear" w:color="auto" w:fill="auto"/>
            <w:vAlign w:val="center"/>
          </w:tcPr>
          <w:p w14:paraId="676AB364" w14:textId="77777777" w:rsidR="001C08A5" w:rsidRDefault="00000000">
            <w:pPr>
              <w:pStyle w:val="Contenutotabellacentrato"/>
              <w:keepNext/>
              <w:rPr>
                <w:b/>
                <w:bCs/>
                <w:i/>
                <w:iCs/>
                <w:sz w:val="22"/>
                <w:szCs w:val="22"/>
              </w:rPr>
            </w:pPr>
            <w:r>
              <w:rPr>
                <w:b/>
                <w:bCs/>
                <w:i/>
                <w:iCs/>
                <w:sz w:val="22"/>
                <w:szCs w:val="22"/>
              </w:rPr>
              <w:t>q &gt; 1 680 MJ/m</w:t>
            </w:r>
            <w:r>
              <w:rPr>
                <w:b/>
                <w:bCs/>
                <w:i/>
                <w:iCs/>
                <w:sz w:val="22"/>
                <w:szCs w:val="22"/>
                <w:vertAlign w:val="superscript"/>
              </w:rPr>
              <w:t xml:space="preserve">2 </w:t>
            </w:r>
            <w:r>
              <w:rPr>
                <w:i/>
                <w:iCs/>
                <w:sz w:val="22"/>
                <w:szCs w:val="22"/>
              </w:rPr>
              <w:t>(şi/sau există pericol de explozie volumetrică)</w:t>
            </w:r>
          </w:p>
        </w:tc>
        <w:tc>
          <w:tcPr>
            <w:tcW w:w="2680" w:type="pct"/>
            <w:tcBorders>
              <w:top w:val="single" w:sz="4" w:space="0" w:color="auto"/>
              <w:left w:val="single" w:sz="4" w:space="0" w:color="auto"/>
              <w:bottom w:val="single" w:sz="4" w:space="0" w:color="auto"/>
              <w:right w:val="single" w:sz="4" w:space="0" w:color="auto"/>
            </w:tcBorders>
            <w:shd w:val="clear" w:color="auto" w:fill="auto"/>
            <w:vAlign w:val="center"/>
          </w:tcPr>
          <w:p w14:paraId="0370F60C" w14:textId="77777777" w:rsidR="001C08A5" w:rsidRDefault="00000000">
            <w:pPr>
              <w:pStyle w:val="Contenutotabellacentrato"/>
              <w:rPr>
                <w:b/>
                <w:bCs/>
                <w:i/>
                <w:iCs/>
                <w:sz w:val="22"/>
                <w:szCs w:val="22"/>
              </w:rPr>
            </w:pPr>
            <w:r>
              <w:rPr>
                <w:b/>
                <w:bCs/>
                <w:i/>
                <w:iCs/>
                <w:sz w:val="22"/>
                <w:szCs w:val="22"/>
              </w:rPr>
              <w:t>EI-M 240/REI 240</w:t>
            </w:r>
          </w:p>
        </w:tc>
      </w:tr>
    </w:tbl>
    <w:p w14:paraId="3A214656" w14:textId="77777777" w:rsidR="001C08A5" w:rsidRDefault="00000000">
      <w:pPr>
        <w:tabs>
          <w:tab w:val="left" w:pos="420"/>
        </w:tabs>
        <w:jc w:val="both"/>
        <w:rPr>
          <w:b/>
          <w:bCs/>
          <w:i/>
          <w:iCs/>
          <w:sz w:val="22"/>
          <w:szCs w:val="22"/>
        </w:rPr>
      </w:pPr>
      <w:r>
        <w:rPr>
          <w:i/>
          <w:iCs/>
          <w:sz w:val="22"/>
          <w:szCs w:val="22"/>
        </w:rPr>
        <w:t xml:space="preserve">Notă: Pentru construcții parter echipate integral cu instalaţii automate de stingere a incendiilor </w:t>
      </w:r>
      <w:r>
        <w:rPr>
          <w:bCs/>
          <w:i/>
          <w:iCs/>
          <w:sz w:val="22"/>
          <w:szCs w:val="22"/>
        </w:rPr>
        <w:t xml:space="preserve">(conform prevederi Normativ </w:t>
      </w:r>
      <w:r>
        <w:rPr>
          <w:b/>
          <w:i/>
          <w:iCs/>
          <w:sz w:val="22"/>
          <w:szCs w:val="22"/>
        </w:rPr>
        <w:t>P118:2</w:t>
      </w:r>
      <w:r>
        <w:rPr>
          <w:bCs/>
          <w:i/>
          <w:iCs/>
          <w:sz w:val="22"/>
          <w:szCs w:val="22"/>
        </w:rPr>
        <w:t>, cu excepțiile prevăzute ale spațiilor care se dotează cu alte instalații automate de stingere)</w:t>
      </w:r>
      <w:r>
        <w:rPr>
          <w:i/>
          <w:iCs/>
          <w:sz w:val="22"/>
          <w:szCs w:val="22"/>
        </w:rPr>
        <w:t xml:space="preserve"> și valori ale densității de sarcină termică mai mari de </w:t>
      </w:r>
      <w:r>
        <w:rPr>
          <w:b/>
          <w:bCs/>
          <w:i/>
          <w:iCs/>
          <w:sz w:val="22"/>
          <w:szCs w:val="22"/>
        </w:rPr>
        <w:t>840 MJ/m²</w:t>
      </w:r>
      <w:r>
        <w:rPr>
          <w:i/>
          <w:iCs/>
          <w:sz w:val="22"/>
          <w:szCs w:val="22"/>
        </w:rPr>
        <w:t xml:space="preserve"> se pot folosi valorile din </w:t>
      </w:r>
      <w:r>
        <w:rPr>
          <w:rStyle w:val="CaptiontabelChar"/>
          <w:sz w:val="22"/>
          <w:szCs w:val="22"/>
        </w:rPr>
        <w:fldChar w:fldCharType="begin"/>
      </w:r>
      <w:r>
        <w:rPr>
          <w:rStyle w:val="CaptiontabelChar"/>
          <w:sz w:val="22"/>
          <w:szCs w:val="22"/>
        </w:rPr>
        <w:instrText xml:space="preserve"> REF _Ref28465 \h </w:instrText>
      </w:r>
      <w:r>
        <w:rPr>
          <w:rStyle w:val="CaptiontabelChar"/>
          <w:sz w:val="22"/>
          <w:szCs w:val="22"/>
        </w:rPr>
      </w:r>
      <w:r>
        <w:rPr>
          <w:rStyle w:val="CaptiontabelChar"/>
          <w:sz w:val="22"/>
          <w:szCs w:val="22"/>
        </w:rPr>
        <w:fldChar w:fldCharType="separate"/>
      </w:r>
      <w:r>
        <w:t>Tabelul 5</w:t>
      </w:r>
      <w:r>
        <w:rPr>
          <w:rStyle w:val="CaptiontabelChar"/>
          <w:sz w:val="22"/>
          <w:szCs w:val="22"/>
        </w:rPr>
        <w:fldChar w:fldCharType="end"/>
      </w:r>
      <w:r>
        <w:rPr>
          <w:b/>
          <w:bCs/>
          <w:i/>
          <w:iCs/>
          <w:sz w:val="22"/>
          <w:szCs w:val="22"/>
        </w:rPr>
        <w:t>.</w:t>
      </w:r>
    </w:p>
    <w:p w14:paraId="299428C3" w14:textId="77777777" w:rsidR="001C08A5" w:rsidRDefault="001C08A5">
      <w:pPr>
        <w:tabs>
          <w:tab w:val="left" w:pos="420"/>
        </w:tabs>
        <w:jc w:val="both"/>
        <w:rPr>
          <w:b/>
          <w:bCs/>
          <w:sz w:val="24"/>
          <w:szCs w:val="24"/>
        </w:rPr>
      </w:pPr>
    </w:p>
    <w:p w14:paraId="33EC7A50" w14:textId="77777777" w:rsidR="001C08A5" w:rsidRDefault="00000000">
      <w:pPr>
        <w:numPr>
          <w:ilvl w:val="0"/>
          <w:numId w:val="35"/>
        </w:numPr>
        <w:jc w:val="both"/>
        <w:rPr>
          <w:sz w:val="24"/>
          <w:szCs w:val="24"/>
        </w:rPr>
      </w:pPr>
      <w:r>
        <w:rPr>
          <w:sz w:val="24"/>
          <w:szCs w:val="24"/>
        </w:rPr>
        <w:t>minimum</w:t>
      </w:r>
      <w:r>
        <w:rPr>
          <w:b/>
          <w:bCs/>
          <w:sz w:val="24"/>
          <w:szCs w:val="24"/>
        </w:rPr>
        <w:t xml:space="preserve"> EI-M 180/REI 180</w:t>
      </w:r>
      <w:r>
        <w:rPr>
          <w:sz w:val="24"/>
          <w:szCs w:val="24"/>
        </w:rPr>
        <w:t xml:space="preserve"> pentru clădiri destinate persoanelor care nu se pot evacua singure (definite conform terminologie</w:t>
      </w:r>
      <w:r>
        <w:rPr>
          <w:sz w:val="24"/>
          <w:szCs w:val="24"/>
          <w:shd w:val="clear" w:color="auto" w:fill="FFFFFF"/>
          <w:lang w:eastAsia="zh-CN"/>
        </w:rPr>
        <w:t>)</w:t>
      </w:r>
      <w:r>
        <w:rPr>
          <w:sz w:val="24"/>
          <w:szCs w:val="24"/>
        </w:rPr>
        <w:t>, pentru construcțiile cu risc mare de incendiu, precum și cele pentru obiecte, echipamente sau aparatură de importanţă deosebita, pentru clădiri civile supraterane înalte şi/sau foarte înalte sau clădiri cu săli aglomerate;</w:t>
      </w:r>
    </w:p>
    <w:p w14:paraId="121D0EC1" w14:textId="77777777" w:rsidR="001C08A5" w:rsidRDefault="00000000">
      <w:pPr>
        <w:numPr>
          <w:ilvl w:val="0"/>
          <w:numId w:val="35"/>
        </w:numPr>
        <w:jc w:val="both"/>
        <w:rPr>
          <w:sz w:val="24"/>
          <w:szCs w:val="24"/>
        </w:rPr>
      </w:pPr>
      <w:r>
        <w:rPr>
          <w:sz w:val="24"/>
          <w:szCs w:val="24"/>
        </w:rPr>
        <w:t>minimum</w:t>
      </w:r>
      <w:r>
        <w:rPr>
          <w:b/>
          <w:bCs/>
          <w:sz w:val="24"/>
          <w:szCs w:val="24"/>
        </w:rPr>
        <w:t xml:space="preserve"> EI-M 240/REI 240</w:t>
      </w:r>
      <w:r>
        <w:rPr>
          <w:sz w:val="24"/>
          <w:szCs w:val="24"/>
        </w:rPr>
        <w:t xml:space="preserve"> pentru construcții cu risc foarte mare de incendiu (atunci când densitatea sarcinii termice (</w:t>
      </w:r>
      <w:r>
        <w:rPr>
          <w:b/>
          <w:bCs/>
          <w:sz w:val="24"/>
          <w:szCs w:val="24"/>
        </w:rPr>
        <w:t>q</w:t>
      </w:r>
      <w:r>
        <w:rPr>
          <w:sz w:val="24"/>
          <w:szCs w:val="24"/>
        </w:rPr>
        <w:t xml:space="preserve">) este mai mare de </w:t>
      </w:r>
      <w:r>
        <w:rPr>
          <w:b/>
          <w:bCs/>
          <w:sz w:val="24"/>
          <w:szCs w:val="24"/>
        </w:rPr>
        <w:t>1680 MJ/m²</w:t>
      </w:r>
      <w:r>
        <w:rPr>
          <w:sz w:val="24"/>
          <w:szCs w:val="24"/>
        </w:rPr>
        <w:t xml:space="preserve"> şi/sau există pericol de explozie volumetrică);</w:t>
      </w:r>
    </w:p>
    <w:p w14:paraId="7FCBC4B9" w14:textId="77777777" w:rsidR="001C08A5" w:rsidRDefault="00000000">
      <w:pPr>
        <w:numPr>
          <w:ilvl w:val="0"/>
          <w:numId w:val="35"/>
        </w:numPr>
        <w:jc w:val="both"/>
        <w:rPr>
          <w:sz w:val="24"/>
          <w:szCs w:val="24"/>
        </w:rPr>
      </w:pPr>
      <w:r>
        <w:rPr>
          <w:sz w:val="24"/>
          <w:szCs w:val="24"/>
        </w:rPr>
        <w:lastRenderedPageBreak/>
        <w:t>minimum</w:t>
      </w:r>
      <w:r>
        <w:rPr>
          <w:b/>
          <w:bCs/>
          <w:sz w:val="24"/>
          <w:szCs w:val="24"/>
        </w:rPr>
        <w:t xml:space="preserve"> EI-M 120/REI 120</w:t>
      </w:r>
      <w:r>
        <w:rPr>
          <w:sz w:val="24"/>
          <w:szCs w:val="24"/>
        </w:rPr>
        <w:t xml:space="preserve"> pentru clădirile cu alt regim de înălțime decât parter, cu excepția clădirilor definite la literele</w:t>
      </w:r>
      <w:r>
        <w:rPr>
          <w:b/>
          <w:bCs/>
          <w:sz w:val="24"/>
          <w:szCs w:val="24"/>
        </w:rPr>
        <w:t xml:space="preserve"> (b) </w:t>
      </w:r>
      <w:r>
        <w:rPr>
          <w:sz w:val="24"/>
          <w:szCs w:val="24"/>
        </w:rPr>
        <w:t>și</w:t>
      </w:r>
      <w:r>
        <w:rPr>
          <w:b/>
          <w:bCs/>
          <w:sz w:val="24"/>
          <w:szCs w:val="24"/>
        </w:rPr>
        <w:t xml:space="preserve"> (c)</w:t>
      </w:r>
      <w:r>
        <w:rPr>
          <w:sz w:val="24"/>
          <w:szCs w:val="24"/>
        </w:rPr>
        <w:t>;</w:t>
      </w:r>
    </w:p>
    <w:p w14:paraId="4746D967" w14:textId="77777777" w:rsidR="001C08A5" w:rsidRDefault="001C08A5">
      <w:pPr>
        <w:jc w:val="both"/>
        <w:rPr>
          <w:strike/>
          <w:sz w:val="24"/>
          <w:szCs w:val="24"/>
        </w:rPr>
      </w:pPr>
    </w:p>
    <w:p w14:paraId="040F295A" w14:textId="77777777" w:rsidR="001C08A5" w:rsidRDefault="00000000">
      <w:pPr>
        <w:ind w:firstLine="705"/>
        <w:jc w:val="both"/>
        <w:rPr>
          <w:sz w:val="24"/>
          <w:szCs w:val="24"/>
        </w:rPr>
      </w:pPr>
      <w:r>
        <w:rPr>
          <w:b/>
          <w:sz w:val="24"/>
          <w:szCs w:val="24"/>
        </w:rPr>
        <w:t xml:space="preserve">Art. </w:t>
      </w:r>
      <w:r>
        <w:rPr>
          <w:b/>
          <w:bCs/>
          <w:sz w:val="24"/>
          <w:szCs w:val="24"/>
        </w:rPr>
        <w:t>2.3.2.1.3.</w:t>
      </w:r>
      <w:r>
        <w:rPr>
          <w:sz w:val="24"/>
          <w:szCs w:val="24"/>
        </w:rPr>
        <w:t xml:space="preserve"> Pereţii care separă compartimente de incendiu, trebuie să secţioneze construcţia pe toată înălţimea acesteia și se pot amplasa:</w:t>
      </w:r>
    </w:p>
    <w:p w14:paraId="54B20882" w14:textId="77777777" w:rsidR="001C08A5" w:rsidRDefault="00000000">
      <w:pPr>
        <w:pStyle w:val="ListParagraph"/>
        <w:numPr>
          <w:ilvl w:val="0"/>
          <w:numId w:val="36"/>
        </w:numPr>
        <w:jc w:val="both"/>
      </w:pPr>
      <w:r>
        <w:t>la clădiri cu înălțimi egale (</w:t>
      </w:r>
      <w:r>
        <w:rPr>
          <w:b/>
          <w:bCs/>
          <w:i/>
          <w:iCs/>
        </w:rPr>
        <w:fldChar w:fldCharType="begin"/>
      </w:r>
      <w:r>
        <w:rPr>
          <w:b/>
          <w:bCs/>
          <w:i/>
          <w:iCs/>
        </w:rPr>
        <w:instrText xml:space="preserve"> REF _Ref10443 \h </w:instrText>
      </w:r>
      <w:r>
        <w:rPr>
          <w:b/>
          <w:bCs/>
          <w:i/>
          <w:iCs/>
        </w:rPr>
      </w:r>
      <w:r>
        <w:rPr>
          <w:b/>
          <w:bCs/>
          <w:i/>
          <w:iCs/>
        </w:rPr>
        <w:fldChar w:fldCharType="separate"/>
      </w:r>
      <w:r>
        <w:t>Figura 35</w:t>
      </w:r>
      <w:r>
        <w:rPr>
          <w:b/>
          <w:bCs/>
          <w:i/>
          <w:iCs/>
        </w:rPr>
        <w:fldChar w:fldCharType="end"/>
      </w:r>
      <w:r>
        <w:t xml:space="preserve"> și </w:t>
      </w:r>
      <w:r>
        <w:rPr>
          <w:b/>
          <w:bCs/>
          <w:i/>
          <w:iCs/>
        </w:rPr>
        <w:fldChar w:fldCharType="begin"/>
      </w:r>
      <w:r>
        <w:rPr>
          <w:b/>
          <w:bCs/>
          <w:i/>
          <w:iCs/>
        </w:rPr>
        <w:instrText xml:space="preserve"> REF _Ref10524 \h </w:instrText>
      </w:r>
      <w:r>
        <w:rPr>
          <w:b/>
          <w:bCs/>
          <w:i/>
          <w:iCs/>
        </w:rPr>
      </w:r>
      <w:r>
        <w:rPr>
          <w:b/>
          <w:bCs/>
          <w:i/>
          <w:iCs/>
        </w:rPr>
        <w:fldChar w:fldCharType="separate"/>
      </w:r>
      <w:r>
        <w:t>Figura 36</w:t>
      </w:r>
      <w:r>
        <w:rPr>
          <w:b/>
          <w:bCs/>
          <w:i/>
          <w:iCs/>
        </w:rPr>
        <w:fldChar w:fldCharType="end"/>
      </w:r>
      <w:r>
        <w:t>);</w:t>
      </w:r>
    </w:p>
    <w:p w14:paraId="4CFD4083" w14:textId="77777777" w:rsidR="001C08A5" w:rsidRDefault="00000000">
      <w:pPr>
        <w:pStyle w:val="ListParagraph"/>
        <w:numPr>
          <w:ilvl w:val="0"/>
          <w:numId w:val="36"/>
        </w:numPr>
        <w:jc w:val="both"/>
      </w:pPr>
      <w:r>
        <w:t>la clădiri cu înălțimi diferite:</w:t>
      </w:r>
    </w:p>
    <w:p w14:paraId="2AA0C0E6" w14:textId="77777777" w:rsidR="001C08A5" w:rsidRDefault="00000000">
      <w:pPr>
        <w:pStyle w:val="ListParagraph"/>
        <w:numPr>
          <w:ilvl w:val="2"/>
          <w:numId w:val="36"/>
        </w:numPr>
        <w:jc w:val="both"/>
      </w:pPr>
      <w:r>
        <w:t>la clădirea cu înălțimea mai mare (</w:t>
      </w:r>
      <w:r>
        <w:rPr>
          <w:b/>
          <w:bCs/>
          <w:i/>
          <w:iCs/>
        </w:rPr>
        <w:fldChar w:fldCharType="begin"/>
      </w:r>
      <w:r>
        <w:rPr>
          <w:b/>
          <w:bCs/>
          <w:i/>
          <w:iCs/>
        </w:rPr>
        <w:instrText xml:space="preserve"> REF _Ref10632 \h </w:instrText>
      </w:r>
      <w:r>
        <w:rPr>
          <w:b/>
          <w:bCs/>
          <w:i/>
          <w:iCs/>
        </w:rPr>
      </w:r>
      <w:r>
        <w:rPr>
          <w:b/>
          <w:bCs/>
          <w:i/>
          <w:iCs/>
        </w:rPr>
        <w:fldChar w:fldCharType="separate"/>
      </w:r>
      <w:r>
        <w:t>Figura 33</w:t>
      </w:r>
      <w:r>
        <w:rPr>
          <w:b/>
          <w:bCs/>
          <w:i/>
          <w:iCs/>
        </w:rPr>
        <w:fldChar w:fldCharType="end"/>
      </w:r>
      <w:r>
        <w:t>);</w:t>
      </w:r>
    </w:p>
    <w:p w14:paraId="74151330" w14:textId="77777777" w:rsidR="001C08A5" w:rsidRDefault="00000000">
      <w:pPr>
        <w:pStyle w:val="ListParagraph"/>
        <w:numPr>
          <w:ilvl w:val="2"/>
          <w:numId w:val="36"/>
        </w:numPr>
        <w:jc w:val="both"/>
      </w:pPr>
      <w:r>
        <w:t>la clădirea cu înălțimea mai mică (</w:t>
      </w:r>
      <w:r>
        <w:rPr>
          <w:b/>
          <w:bCs/>
          <w:i/>
          <w:iCs/>
        </w:rPr>
        <w:fldChar w:fldCharType="begin"/>
      </w:r>
      <w:r>
        <w:rPr>
          <w:b/>
          <w:bCs/>
          <w:i/>
          <w:iCs/>
        </w:rPr>
        <w:instrText xml:space="preserve"> REF _Ref10684 \h </w:instrText>
      </w:r>
      <w:r>
        <w:rPr>
          <w:b/>
          <w:bCs/>
          <w:i/>
          <w:iCs/>
        </w:rPr>
      </w:r>
      <w:r>
        <w:rPr>
          <w:b/>
          <w:bCs/>
          <w:i/>
          <w:iCs/>
        </w:rPr>
        <w:fldChar w:fldCharType="separate"/>
      </w:r>
      <w:r>
        <w:t>Figura 34</w:t>
      </w:r>
      <w:r>
        <w:rPr>
          <w:b/>
          <w:bCs/>
          <w:i/>
          <w:iCs/>
        </w:rPr>
        <w:fldChar w:fldCharType="end"/>
      </w:r>
      <w:r>
        <w:t>).</w:t>
      </w:r>
    </w:p>
    <w:p w14:paraId="678E1E42" w14:textId="77777777" w:rsidR="001C08A5" w:rsidRDefault="001C08A5">
      <w:pPr>
        <w:ind w:firstLine="705"/>
        <w:jc w:val="both"/>
        <w:rPr>
          <w:strike/>
          <w:sz w:val="24"/>
          <w:szCs w:val="24"/>
        </w:rPr>
      </w:pPr>
    </w:p>
    <w:p w14:paraId="522BB3B3" w14:textId="77777777" w:rsidR="001C08A5" w:rsidRDefault="00000000">
      <w:pPr>
        <w:ind w:firstLine="705"/>
        <w:jc w:val="both"/>
        <w:rPr>
          <w:b/>
          <w:sz w:val="24"/>
          <w:szCs w:val="24"/>
        </w:rPr>
      </w:pPr>
      <w:r>
        <w:rPr>
          <w:b/>
          <w:sz w:val="24"/>
          <w:szCs w:val="24"/>
        </w:rPr>
        <w:t>Art. 2.3.2.1.4. (1)</w:t>
      </w:r>
      <w:r>
        <w:rPr>
          <w:bCs/>
          <w:sz w:val="24"/>
          <w:szCs w:val="24"/>
        </w:rPr>
        <w:t xml:space="preserve"> La clădirile cu aceeași înălțime, în acoperiș trebuie prevăzută o fâșie cu rezistența la foc minimum </w:t>
      </w:r>
      <w:r>
        <w:rPr>
          <w:b/>
          <w:sz w:val="24"/>
          <w:szCs w:val="24"/>
        </w:rPr>
        <w:t xml:space="preserve">REI 60. </w:t>
      </w:r>
    </w:p>
    <w:p w14:paraId="7199BF2E" w14:textId="77777777" w:rsidR="001C08A5" w:rsidRDefault="00000000">
      <w:pPr>
        <w:ind w:firstLine="705"/>
        <w:jc w:val="both"/>
        <w:rPr>
          <w:bCs/>
          <w:sz w:val="24"/>
          <w:szCs w:val="24"/>
        </w:rPr>
      </w:pPr>
      <w:r>
        <w:rPr>
          <w:b/>
          <w:sz w:val="24"/>
          <w:szCs w:val="24"/>
        </w:rPr>
        <w:t>(2)</w:t>
      </w:r>
      <w:r>
        <w:rPr>
          <w:bCs/>
          <w:sz w:val="24"/>
          <w:szCs w:val="24"/>
        </w:rPr>
        <w:t xml:space="preserve"> Fâșia prevăzută la </w:t>
      </w:r>
      <w:r>
        <w:rPr>
          <w:b/>
          <w:sz w:val="24"/>
          <w:szCs w:val="24"/>
        </w:rPr>
        <w:t xml:space="preserve">alin. (1). </w:t>
      </w:r>
      <w:r>
        <w:rPr>
          <w:bCs/>
          <w:sz w:val="24"/>
          <w:szCs w:val="24"/>
        </w:rPr>
        <w:t>poate fi amplasată integral de o parte sau de alta a peretelui de separare a compartimentelor de incendiu sau intercalat, de o parte și alta a peretelui antifoc.</w:t>
      </w:r>
    </w:p>
    <w:p w14:paraId="324829CB" w14:textId="77777777" w:rsidR="001C08A5" w:rsidRDefault="001C08A5">
      <w:pPr>
        <w:jc w:val="both"/>
        <w:rPr>
          <w:strike/>
          <w:sz w:val="24"/>
          <w:szCs w:val="24"/>
        </w:rPr>
      </w:pPr>
    </w:p>
    <w:p w14:paraId="157821BF" w14:textId="77777777" w:rsidR="001C08A5" w:rsidRDefault="00000000">
      <w:pPr>
        <w:ind w:firstLine="705"/>
        <w:jc w:val="both"/>
        <w:rPr>
          <w:bCs/>
          <w:sz w:val="24"/>
          <w:szCs w:val="24"/>
        </w:rPr>
      </w:pPr>
      <w:r>
        <w:rPr>
          <w:b/>
          <w:sz w:val="24"/>
          <w:szCs w:val="24"/>
        </w:rPr>
        <w:t>Art. 2.3.2.1.5. (1)</w:t>
      </w:r>
      <w:r>
        <w:rPr>
          <w:bCs/>
          <w:sz w:val="24"/>
          <w:szCs w:val="24"/>
        </w:rPr>
        <w:t xml:space="preserve"> În cazul construcţiilor cu înălţimi diferite, pereţii rezistenţi la foc de separare a compartimentelor de incendiu (pereţi antifoc) se pot prevedea la construcţia cea mai înaltă, pe toată înălţimea acesteia</w:t>
      </w:r>
      <w:r>
        <w:rPr>
          <w:bCs/>
          <w:sz w:val="24"/>
          <w:szCs w:val="24"/>
          <w:lang w:val="en-US"/>
        </w:rPr>
        <w:t>, cu depa</w:t>
      </w:r>
      <w:r>
        <w:rPr>
          <w:bCs/>
          <w:sz w:val="24"/>
          <w:szCs w:val="24"/>
        </w:rPr>
        <w:t>ș</w:t>
      </w:r>
      <w:r>
        <w:rPr>
          <w:bCs/>
          <w:sz w:val="24"/>
          <w:szCs w:val="24"/>
          <w:lang w:val="en-US"/>
        </w:rPr>
        <w:t>irea</w:t>
      </w:r>
      <w:r>
        <w:rPr>
          <w:bCs/>
          <w:sz w:val="24"/>
          <w:szCs w:val="24"/>
        </w:rPr>
        <w:t xml:space="preserve"> </w:t>
      </w:r>
      <w:r>
        <w:rPr>
          <w:bCs/>
          <w:sz w:val="24"/>
          <w:szCs w:val="24"/>
          <w:lang w:val="en-US"/>
        </w:rPr>
        <w:t>planului</w:t>
      </w:r>
      <w:r>
        <w:rPr>
          <w:bCs/>
          <w:sz w:val="24"/>
          <w:szCs w:val="24"/>
        </w:rPr>
        <w:t xml:space="preserve"> î</w:t>
      </w:r>
      <w:r>
        <w:rPr>
          <w:bCs/>
          <w:sz w:val="24"/>
          <w:szCs w:val="24"/>
          <w:lang w:val="en-US"/>
        </w:rPr>
        <w:t xml:space="preserve">nvelitorii cu minim </w:t>
      </w:r>
      <w:r>
        <w:rPr>
          <w:b/>
          <w:sz w:val="24"/>
          <w:szCs w:val="24"/>
          <w:lang w:val="en-US"/>
        </w:rPr>
        <w:t>60</w:t>
      </w:r>
      <w:r>
        <w:rPr>
          <w:b/>
          <w:sz w:val="24"/>
          <w:szCs w:val="24"/>
        </w:rPr>
        <w:t xml:space="preserve"> </w:t>
      </w:r>
      <w:r>
        <w:rPr>
          <w:b/>
          <w:sz w:val="24"/>
          <w:szCs w:val="24"/>
          <w:lang w:val="en-US"/>
        </w:rPr>
        <w:t>cm</w:t>
      </w:r>
      <w:r>
        <w:rPr>
          <w:bCs/>
          <w:sz w:val="24"/>
          <w:szCs w:val="24"/>
          <w:lang w:val="en-US"/>
        </w:rPr>
        <w:t xml:space="preserve"> </w:t>
      </w:r>
      <w:r>
        <w:rPr>
          <w:i/>
          <w:iCs/>
          <w:sz w:val="24"/>
          <w:szCs w:val="24"/>
        </w:rPr>
        <w:t>(</w:t>
      </w:r>
      <w:r>
        <w:rPr>
          <w:b/>
          <w:bCs/>
          <w:i/>
          <w:iCs/>
          <w:sz w:val="24"/>
          <w:szCs w:val="24"/>
        </w:rPr>
        <w:fldChar w:fldCharType="begin"/>
      </w:r>
      <w:r>
        <w:rPr>
          <w:b/>
          <w:bCs/>
          <w:i/>
          <w:iCs/>
          <w:sz w:val="24"/>
          <w:szCs w:val="24"/>
        </w:rPr>
        <w:instrText xml:space="preserve"> REF _Ref10835 \h </w:instrText>
      </w:r>
      <w:r>
        <w:rPr>
          <w:b/>
          <w:bCs/>
          <w:i/>
          <w:iCs/>
          <w:sz w:val="24"/>
          <w:szCs w:val="24"/>
        </w:rPr>
      </w:r>
      <w:r>
        <w:rPr>
          <w:b/>
          <w:bCs/>
          <w:i/>
          <w:iCs/>
          <w:sz w:val="24"/>
          <w:szCs w:val="24"/>
        </w:rPr>
        <w:fldChar w:fldCharType="separate"/>
      </w:r>
      <w:r>
        <w:t>Figura 32</w:t>
      </w:r>
      <w:r>
        <w:rPr>
          <w:b/>
          <w:bCs/>
          <w:i/>
          <w:iCs/>
          <w:sz w:val="24"/>
          <w:szCs w:val="24"/>
        </w:rPr>
        <w:fldChar w:fldCharType="end"/>
      </w:r>
      <w:r>
        <w:rPr>
          <w:i/>
          <w:iCs/>
          <w:sz w:val="24"/>
          <w:szCs w:val="24"/>
        </w:rPr>
        <w:t>)</w:t>
      </w:r>
      <w:r>
        <w:rPr>
          <w:bCs/>
          <w:sz w:val="24"/>
          <w:szCs w:val="24"/>
        </w:rPr>
        <w:t xml:space="preserve"> sau pe cel puţin </w:t>
      </w:r>
      <w:r>
        <w:rPr>
          <w:b/>
          <w:sz w:val="24"/>
          <w:szCs w:val="24"/>
        </w:rPr>
        <w:t>8 m</w:t>
      </w:r>
      <w:r>
        <w:rPr>
          <w:bCs/>
          <w:sz w:val="24"/>
          <w:szCs w:val="24"/>
        </w:rPr>
        <w:t xml:space="preserve"> pe verticală faţă de construcţia mai joasă </w:t>
      </w:r>
      <w:r>
        <w:rPr>
          <w:bCs/>
          <w:i/>
          <w:iCs/>
          <w:sz w:val="24"/>
          <w:szCs w:val="24"/>
        </w:rPr>
        <w:t>(</w:t>
      </w:r>
      <w:r>
        <w:rPr>
          <w:b/>
          <w:bCs/>
          <w:i/>
          <w:iCs/>
          <w:sz w:val="24"/>
          <w:szCs w:val="24"/>
        </w:rPr>
        <w:fldChar w:fldCharType="begin"/>
      </w:r>
      <w:r>
        <w:rPr>
          <w:b/>
          <w:bCs/>
          <w:i/>
          <w:iCs/>
          <w:sz w:val="24"/>
          <w:szCs w:val="24"/>
        </w:rPr>
        <w:instrText xml:space="preserve"> REF _Ref10632 \h </w:instrText>
      </w:r>
      <w:r>
        <w:rPr>
          <w:b/>
          <w:bCs/>
          <w:i/>
          <w:iCs/>
          <w:sz w:val="24"/>
          <w:szCs w:val="24"/>
        </w:rPr>
      </w:r>
      <w:r>
        <w:rPr>
          <w:b/>
          <w:bCs/>
          <w:i/>
          <w:iCs/>
          <w:sz w:val="24"/>
          <w:szCs w:val="24"/>
        </w:rPr>
        <w:fldChar w:fldCharType="separate"/>
      </w:r>
      <w:r>
        <w:t>Figura 33</w:t>
      </w:r>
      <w:r>
        <w:rPr>
          <w:b/>
          <w:bCs/>
          <w:i/>
          <w:iCs/>
          <w:sz w:val="24"/>
          <w:szCs w:val="24"/>
        </w:rPr>
        <w:fldChar w:fldCharType="end"/>
      </w:r>
      <w:r>
        <w:rPr>
          <w:bCs/>
          <w:i/>
          <w:iCs/>
          <w:sz w:val="24"/>
          <w:szCs w:val="24"/>
        </w:rPr>
        <w:t>).</w:t>
      </w:r>
    </w:p>
    <w:p w14:paraId="3CB35D6D" w14:textId="77777777" w:rsidR="001C08A5" w:rsidRDefault="00000000">
      <w:pPr>
        <w:ind w:firstLine="705"/>
        <w:jc w:val="both"/>
        <w:rPr>
          <w:sz w:val="24"/>
          <w:szCs w:val="24"/>
        </w:rPr>
      </w:pPr>
      <w:r>
        <w:rPr>
          <w:b/>
          <w:sz w:val="24"/>
          <w:szCs w:val="24"/>
        </w:rPr>
        <w:t xml:space="preserve">(2) </w:t>
      </w:r>
      <w:r>
        <w:rPr>
          <w:sz w:val="24"/>
          <w:szCs w:val="24"/>
        </w:rPr>
        <w:t xml:space="preserve">În cazul construcţiilor cu înălţimi diferite, pereţii rezistenţi la foc de separare a compartimentelor de incendiu (pereţi antifoc) se pot prevedea la construcţia mai joasă, dacă aceasta este astfel alcătuită încât incendiul să nu se poată propaga prin depăşirea peretelui de separare pe distanţa de </w:t>
      </w:r>
      <w:r>
        <w:rPr>
          <w:b/>
          <w:sz w:val="24"/>
          <w:szCs w:val="24"/>
        </w:rPr>
        <w:t>6 m</w:t>
      </w:r>
      <w:r>
        <w:rPr>
          <w:sz w:val="24"/>
          <w:szCs w:val="24"/>
        </w:rPr>
        <w:t xml:space="preserve"> de la construcţia mai înaltă (</w:t>
      </w:r>
      <w:r>
        <w:rPr>
          <w:b/>
          <w:bCs/>
          <w:i/>
          <w:iCs/>
          <w:sz w:val="24"/>
          <w:szCs w:val="24"/>
        </w:rPr>
        <w:fldChar w:fldCharType="begin"/>
      </w:r>
      <w:r>
        <w:rPr>
          <w:b/>
          <w:bCs/>
          <w:i/>
          <w:iCs/>
          <w:sz w:val="24"/>
          <w:szCs w:val="24"/>
        </w:rPr>
        <w:instrText xml:space="preserve"> REF _Ref10684 \h </w:instrText>
      </w:r>
      <w:r>
        <w:rPr>
          <w:b/>
          <w:bCs/>
          <w:i/>
          <w:iCs/>
          <w:sz w:val="24"/>
          <w:szCs w:val="24"/>
        </w:rPr>
      </w:r>
      <w:r>
        <w:rPr>
          <w:b/>
          <w:bCs/>
          <w:i/>
          <w:iCs/>
          <w:sz w:val="24"/>
          <w:szCs w:val="24"/>
        </w:rPr>
        <w:fldChar w:fldCharType="separate"/>
      </w:r>
      <w:r>
        <w:t>Figura 34</w:t>
      </w:r>
      <w:r>
        <w:rPr>
          <w:b/>
          <w:bCs/>
          <w:i/>
          <w:iCs/>
          <w:sz w:val="24"/>
          <w:szCs w:val="24"/>
        </w:rPr>
        <w:fldChar w:fldCharType="end"/>
      </w:r>
      <w:r>
        <w:rPr>
          <w:sz w:val="24"/>
          <w:szCs w:val="24"/>
        </w:rPr>
        <w:t>). Construcţia cu înălţimea mai mică trebuie să îndeplinească următoarele condiţii:</w:t>
      </w:r>
    </w:p>
    <w:p w14:paraId="4813EB8D" w14:textId="77777777" w:rsidR="001C08A5" w:rsidRDefault="00000000">
      <w:pPr>
        <w:ind w:left="1425" w:firstLine="720"/>
        <w:jc w:val="both"/>
        <w:rPr>
          <w:sz w:val="24"/>
          <w:szCs w:val="24"/>
        </w:rPr>
      </w:pPr>
      <w:r>
        <w:rPr>
          <w:b/>
          <w:sz w:val="24"/>
          <w:szCs w:val="24"/>
        </w:rPr>
        <w:t>a)</w:t>
      </w:r>
      <w:r>
        <w:rPr>
          <w:sz w:val="24"/>
          <w:szCs w:val="24"/>
        </w:rPr>
        <w:t xml:space="preserve"> acoperişul să fie fără goluri, cu rezistenţa la foc minimum </w:t>
      </w:r>
      <w:r>
        <w:rPr>
          <w:b/>
          <w:sz w:val="24"/>
          <w:szCs w:val="24"/>
        </w:rPr>
        <w:t>REI 60</w:t>
      </w:r>
      <w:r>
        <w:rPr>
          <w:sz w:val="24"/>
          <w:szCs w:val="24"/>
        </w:rPr>
        <w:t xml:space="preserve"> și învelitoare având clasa de reacţie la foc </w:t>
      </w:r>
      <w:r>
        <w:rPr>
          <w:b/>
          <w:bCs/>
          <w:sz w:val="24"/>
          <w:szCs w:val="24"/>
        </w:rPr>
        <w:t>A1</w:t>
      </w:r>
      <w:r>
        <w:rPr>
          <w:sz w:val="24"/>
          <w:szCs w:val="24"/>
        </w:rPr>
        <w:t xml:space="preserve"> sau </w:t>
      </w:r>
      <w:r>
        <w:rPr>
          <w:b/>
          <w:bCs/>
          <w:sz w:val="24"/>
          <w:szCs w:val="24"/>
        </w:rPr>
        <w:t>A2-s1d0</w:t>
      </w:r>
      <w:r>
        <w:rPr>
          <w:sz w:val="24"/>
          <w:szCs w:val="24"/>
        </w:rPr>
        <w:t xml:space="preserve"> sau protejată cu materiale clasa de reacţie la foc </w:t>
      </w:r>
      <w:r>
        <w:rPr>
          <w:b/>
          <w:bCs/>
          <w:sz w:val="24"/>
          <w:szCs w:val="24"/>
        </w:rPr>
        <w:t>A1</w:t>
      </w:r>
      <w:r>
        <w:rPr>
          <w:sz w:val="24"/>
          <w:szCs w:val="24"/>
        </w:rPr>
        <w:t xml:space="preserve"> sau </w:t>
      </w:r>
      <w:r>
        <w:rPr>
          <w:b/>
          <w:bCs/>
          <w:sz w:val="24"/>
          <w:szCs w:val="24"/>
        </w:rPr>
        <w:t>A2-s1d0</w:t>
      </w:r>
      <w:r>
        <w:rPr>
          <w:sz w:val="24"/>
          <w:szCs w:val="24"/>
        </w:rPr>
        <w:t xml:space="preserve"> (şapă de ciment slab armată, mortar de protecţie, dale, pietriş, zgură etc.) sau </w:t>
      </w:r>
      <w:r>
        <w:rPr>
          <w:b/>
          <w:bCs/>
          <w:sz w:val="24"/>
          <w:szCs w:val="24"/>
        </w:rPr>
        <w:t>B</w:t>
      </w:r>
      <w:r>
        <w:rPr>
          <w:b/>
          <w:bCs/>
          <w:sz w:val="24"/>
          <w:szCs w:val="24"/>
          <w:vertAlign w:val="subscript"/>
        </w:rPr>
        <w:t>ROOF</w:t>
      </w:r>
      <w:r>
        <w:rPr>
          <w:b/>
          <w:bCs/>
          <w:sz w:val="24"/>
          <w:szCs w:val="24"/>
        </w:rPr>
        <w:t>(T4)</w:t>
      </w:r>
      <w:r>
        <w:rPr>
          <w:sz w:val="24"/>
          <w:szCs w:val="24"/>
        </w:rPr>
        <w:t>;</w:t>
      </w:r>
    </w:p>
    <w:p w14:paraId="3F40489B" w14:textId="77777777" w:rsidR="001C08A5" w:rsidRDefault="00000000">
      <w:pPr>
        <w:ind w:left="1425" w:firstLine="720"/>
        <w:jc w:val="both"/>
        <w:rPr>
          <w:sz w:val="24"/>
          <w:szCs w:val="24"/>
        </w:rPr>
      </w:pPr>
      <w:r>
        <w:rPr>
          <w:b/>
          <w:sz w:val="24"/>
          <w:szCs w:val="24"/>
        </w:rPr>
        <w:t>b)</w:t>
      </w:r>
      <w:r>
        <w:rPr>
          <w:sz w:val="24"/>
          <w:szCs w:val="24"/>
        </w:rPr>
        <w:t xml:space="preserve"> încăperile cu densitatea sarcinii termice mai mare de </w:t>
      </w:r>
      <w:r>
        <w:rPr>
          <w:b/>
          <w:sz w:val="24"/>
          <w:szCs w:val="24"/>
        </w:rPr>
        <w:t xml:space="preserve">840 MJ/m², </w:t>
      </w:r>
      <w:r>
        <w:rPr>
          <w:sz w:val="24"/>
          <w:szCs w:val="24"/>
        </w:rPr>
        <w:t>adiacente peretelui de compartimentare în porţiunea respectivă, să fie prevăzute cu instalaţii automate de stingere a incendiilor.</w:t>
      </w:r>
    </w:p>
    <w:p w14:paraId="202E279F" w14:textId="77777777" w:rsidR="001C08A5" w:rsidRDefault="001C08A5">
      <w:pPr>
        <w:ind w:firstLine="705"/>
        <w:jc w:val="both"/>
        <w:rPr>
          <w:bCs/>
          <w:i/>
          <w:iCs/>
          <w:sz w:val="24"/>
          <w:szCs w:val="24"/>
        </w:rPr>
      </w:pPr>
    </w:p>
    <w:p w14:paraId="25B2B2EA" w14:textId="77777777" w:rsidR="001C08A5" w:rsidRDefault="00000000">
      <w:pPr>
        <w:ind w:firstLine="705"/>
        <w:jc w:val="both"/>
        <w:rPr>
          <w:b/>
          <w:sz w:val="24"/>
          <w:szCs w:val="24"/>
        </w:rPr>
      </w:pPr>
      <w:r>
        <w:rPr>
          <w:b/>
          <w:sz w:val="24"/>
          <w:szCs w:val="24"/>
        </w:rPr>
        <w:t xml:space="preserve">Art. 2.3.2.1.6. (1) </w:t>
      </w:r>
      <w:r>
        <w:rPr>
          <w:sz w:val="24"/>
          <w:szCs w:val="24"/>
        </w:rPr>
        <w:t>Pereţii rezistenţi la foc de separare a compartimentelor de incendiu (pereţi antifoc) trebuie să depăşească cu minimum (</w:t>
      </w:r>
      <w:r>
        <w:rPr>
          <w:b/>
          <w:bCs/>
          <w:i/>
          <w:iCs/>
          <w:sz w:val="24"/>
          <w:szCs w:val="24"/>
        </w:rPr>
        <w:fldChar w:fldCharType="begin"/>
      </w:r>
      <w:r>
        <w:rPr>
          <w:b/>
          <w:bCs/>
          <w:i/>
          <w:iCs/>
          <w:sz w:val="24"/>
          <w:szCs w:val="24"/>
        </w:rPr>
        <w:instrText xml:space="preserve"> REF _Ref10524 \h </w:instrText>
      </w:r>
      <w:r>
        <w:rPr>
          <w:b/>
          <w:bCs/>
          <w:i/>
          <w:iCs/>
          <w:sz w:val="24"/>
          <w:szCs w:val="24"/>
        </w:rPr>
      </w:r>
      <w:r>
        <w:rPr>
          <w:b/>
          <w:bCs/>
          <w:i/>
          <w:iCs/>
          <w:sz w:val="24"/>
          <w:szCs w:val="24"/>
        </w:rPr>
        <w:fldChar w:fldCharType="separate"/>
      </w:r>
      <w:r>
        <w:t>Figura 36</w:t>
      </w:r>
      <w:r>
        <w:rPr>
          <w:b/>
          <w:bCs/>
          <w:i/>
          <w:iCs/>
          <w:sz w:val="24"/>
          <w:szCs w:val="24"/>
        </w:rPr>
        <w:fldChar w:fldCharType="end"/>
      </w:r>
      <w:r>
        <w:rPr>
          <w:i/>
          <w:iCs/>
          <w:sz w:val="24"/>
          <w:szCs w:val="24"/>
        </w:rPr>
        <w:t xml:space="preserve"> varianta a) și b) și </w:t>
      </w:r>
      <w:r>
        <w:rPr>
          <w:b/>
          <w:bCs/>
          <w:i/>
          <w:iCs/>
          <w:sz w:val="24"/>
          <w:szCs w:val="24"/>
        </w:rPr>
        <w:fldChar w:fldCharType="begin"/>
      </w:r>
      <w:r>
        <w:rPr>
          <w:b/>
          <w:bCs/>
          <w:i/>
          <w:iCs/>
          <w:sz w:val="24"/>
          <w:szCs w:val="24"/>
        </w:rPr>
        <w:instrText xml:space="preserve"> REF _Ref11533 \h </w:instrText>
      </w:r>
      <w:r>
        <w:rPr>
          <w:b/>
          <w:bCs/>
          <w:i/>
          <w:iCs/>
          <w:sz w:val="24"/>
          <w:szCs w:val="24"/>
        </w:rPr>
      </w:r>
      <w:r>
        <w:rPr>
          <w:b/>
          <w:bCs/>
          <w:i/>
          <w:iCs/>
          <w:sz w:val="24"/>
          <w:szCs w:val="24"/>
        </w:rPr>
        <w:fldChar w:fldCharType="separate"/>
      </w:r>
      <w:r>
        <w:t>Figura 37</w:t>
      </w:r>
      <w:r>
        <w:rPr>
          <w:b/>
          <w:bCs/>
          <w:i/>
          <w:iCs/>
          <w:sz w:val="24"/>
          <w:szCs w:val="24"/>
        </w:rPr>
        <w:fldChar w:fldCharType="end"/>
      </w:r>
      <w:r>
        <w:rPr>
          <w:sz w:val="24"/>
          <w:szCs w:val="24"/>
        </w:rPr>
        <w:t xml:space="preserve">):  </w:t>
      </w:r>
    </w:p>
    <w:p w14:paraId="53867EAB" w14:textId="77777777" w:rsidR="001C08A5" w:rsidRDefault="00000000">
      <w:pPr>
        <w:ind w:left="1440" w:firstLine="705"/>
        <w:jc w:val="both"/>
        <w:rPr>
          <w:sz w:val="24"/>
          <w:szCs w:val="24"/>
        </w:rPr>
      </w:pPr>
      <w:r>
        <w:rPr>
          <w:b/>
          <w:sz w:val="24"/>
          <w:szCs w:val="24"/>
        </w:rPr>
        <w:t xml:space="preserve">- 60 cm </w:t>
      </w:r>
      <w:r>
        <w:rPr>
          <w:sz w:val="24"/>
          <w:szCs w:val="24"/>
        </w:rPr>
        <w:t xml:space="preserve">(măsurat pe verticală), faţă de orice astfel de element combustibil al acoperişurilor și al luminatoarelor aflate la mai puţin de patru </w:t>
      </w:r>
      <w:r>
        <w:rPr>
          <w:b/>
          <w:sz w:val="24"/>
          <w:szCs w:val="24"/>
        </w:rPr>
        <w:t>4 m</w:t>
      </w:r>
      <w:r>
        <w:rPr>
          <w:sz w:val="24"/>
          <w:szCs w:val="24"/>
        </w:rPr>
        <w:t xml:space="preserve"> distanţă de peretele rezistent la foc, inclusiv a acoperişurilor cu suport din tablă și termoizolaţie care nu sunt clasa de reacţie la foc </w:t>
      </w:r>
      <w:r>
        <w:rPr>
          <w:b/>
          <w:sz w:val="24"/>
          <w:szCs w:val="24"/>
        </w:rPr>
        <w:t xml:space="preserve">A1 </w:t>
      </w:r>
      <w:r>
        <w:rPr>
          <w:sz w:val="24"/>
          <w:szCs w:val="24"/>
        </w:rPr>
        <w:t>sau</w:t>
      </w:r>
      <w:r>
        <w:rPr>
          <w:b/>
          <w:sz w:val="24"/>
          <w:szCs w:val="24"/>
        </w:rPr>
        <w:t xml:space="preserve"> A2-s1d0</w:t>
      </w:r>
      <w:r>
        <w:rPr>
          <w:sz w:val="24"/>
          <w:szCs w:val="24"/>
        </w:rPr>
        <w:t xml:space="preserve">; </w:t>
      </w:r>
    </w:p>
    <w:p w14:paraId="69B640C8" w14:textId="77777777" w:rsidR="001C08A5" w:rsidRDefault="00000000">
      <w:pPr>
        <w:ind w:left="1440" w:firstLine="705"/>
        <w:jc w:val="both"/>
        <w:rPr>
          <w:sz w:val="24"/>
          <w:szCs w:val="24"/>
        </w:rPr>
      </w:pPr>
      <w:r>
        <w:rPr>
          <w:sz w:val="24"/>
          <w:szCs w:val="24"/>
        </w:rPr>
        <w:t xml:space="preserve"> - </w:t>
      </w:r>
      <w:r>
        <w:rPr>
          <w:b/>
          <w:bCs/>
          <w:sz w:val="24"/>
          <w:szCs w:val="24"/>
        </w:rPr>
        <w:t>60 cm</w:t>
      </w:r>
      <w:r>
        <w:rPr>
          <w:sz w:val="24"/>
          <w:szCs w:val="24"/>
        </w:rPr>
        <w:t xml:space="preserve"> (măsurat pe verticală), față de planul exterior al acoperişurilor care nu sunt realizate exclusiv din componente substanțiale cu clasa de reacţie la foc </w:t>
      </w:r>
      <w:r>
        <w:rPr>
          <w:b/>
          <w:bCs/>
          <w:sz w:val="24"/>
          <w:szCs w:val="24"/>
        </w:rPr>
        <w:t>A1</w:t>
      </w:r>
      <w:r>
        <w:rPr>
          <w:sz w:val="24"/>
          <w:szCs w:val="24"/>
        </w:rPr>
        <w:t xml:space="preserve"> sau </w:t>
      </w:r>
      <w:r>
        <w:rPr>
          <w:b/>
          <w:bCs/>
          <w:sz w:val="24"/>
          <w:szCs w:val="24"/>
        </w:rPr>
        <w:t>A2-s1d0</w:t>
      </w:r>
      <w:r>
        <w:rPr>
          <w:sz w:val="24"/>
          <w:szCs w:val="24"/>
        </w:rPr>
        <w:t xml:space="preserve"> pe care le intersectează;</w:t>
      </w:r>
    </w:p>
    <w:p w14:paraId="0FE0309F" w14:textId="77777777" w:rsidR="001C08A5" w:rsidRDefault="00000000">
      <w:pPr>
        <w:ind w:left="1440" w:firstLine="705"/>
        <w:jc w:val="both"/>
        <w:rPr>
          <w:sz w:val="24"/>
          <w:szCs w:val="24"/>
        </w:rPr>
      </w:pPr>
      <w:r>
        <w:rPr>
          <w:sz w:val="24"/>
          <w:szCs w:val="24"/>
        </w:rPr>
        <w:t xml:space="preserve"> - </w:t>
      </w:r>
      <w:r>
        <w:rPr>
          <w:b/>
          <w:bCs/>
          <w:sz w:val="24"/>
          <w:szCs w:val="24"/>
        </w:rPr>
        <w:t>60 cm</w:t>
      </w:r>
      <w:r>
        <w:rPr>
          <w:sz w:val="24"/>
          <w:szCs w:val="24"/>
        </w:rPr>
        <w:t xml:space="preserve"> (măsurat pe verticală), față de planul exterior al luminatoarelor aflate la mai puţin de patru </w:t>
      </w:r>
      <w:r>
        <w:rPr>
          <w:b/>
          <w:sz w:val="24"/>
          <w:szCs w:val="24"/>
        </w:rPr>
        <w:t>4 m</w:t>
      </w:r>
      <w:r>
        <w:rPr>
          <w:sz w:val="24"/>
          <w:szCs w:val="24"/>
        </w:rPr>
        <w:t xml:space="preserve"> distanţă de peretele rezistent la foc de separare a compartimentelor de incendiu;</w:t>
      </w:r>
    </w:p>
    <w:p w14:paraId="26B5EFD2" w14:textId="77777777" w:rsidR="001C08A5" w:rsidRDefault="00000000">
      <w:pPr>
        <w:ind w:left="1440" w:firstLine="705"/>
        <w:jc w:val="both"/>
        <w:rPr>
          <w:sz w:val="24"/>
          <w:szCs w:val="24"/>
        </w:rPr>
      </w:pPr>
      <w:r>
        <w:rPr>
          <w:b/>
          <w:sz w:val="24"/>
          <w:szCs w:val="24"/>
        </w:rPr>
        <w:t xml:space="preserve">- 30 cm </w:t>
      </w:r>
      <w:r>
        <w:rPr>
          <w:sz w:val="24"/>
          <w:szCs w:val="24"/>
        </w:rPr>
        <w:t>(măsurat pe orizontală) faţă de pereţii exteriori şi streaşinile care nu sunt realizate exclusiv din componente substanțiale care nu sunt clasa de reacţie la foc</w:t>
      </w:r>
      <w:r>
        <w:rPr>
          <w:b/>
          <w:sz w:val="24"/>
          <w:szCs w:val="24"/>
        </w:rPr>
        <w:t xml:space="preserve"> A1 </w:t>
      </w:r>
      <w:r>
        <w:rPr>
          <w:sz w:val="24"/>
          <w:szCs w:val="24"/>
        </w:rPr>
        <w:t>sau</w:t>
      </w:r>
      <w:r>
        <w:rPr>
          <w:b/>
          <w:sz w:val="24"/>
          <w:szCs w:val="24"/>
        </w:rPr>
        <w:t xml:space="preserve"> A2-s1d0</w:t>
      </w:r>
      <w:r>
        <w:rPr>
          <w:sz w:val="24"/>
          <w:szCs w:val="24"/>
        </w:rPr>
        <w:t>;</w:t>
      </w:r>
    </w:p>
    <w:p w14:paraId="2CBE1DA3" w14:textId="77777777" w:rsidR="001C08A5" w:rsidRDefault="00000000">
      <w:pPr>
        <w:ind w:firstLine="708"/>
        <w:jc w:val="both"/>
        <w:rPr>
          <w:sz w:val="24"/>
          <w:szCs w:val="24"/>
        </w:rPr>
      </w:pPr>
      <w:r>
        <w:rPr>
          <w:b/>
          <w:sz w:val="24"/>
          <w:szCs w:val="24"/>
        </w:rPr>
        <w:t xml:space="preserve">(2) </w:t>
      </w:r>
      <w:r>
        <w:rPr>
          <w:sz w:val="24"/>
          <w:szCs w:val="24"/>
        </w:rPr>
        <w:t xml:space="preserve">Depăşirea planurilor acoperişurilor, streaşinilor şi pereţilor menţionaţi la </w:t>
      </w:r>
      <w:r>
        <w:rPr>
          <w:b/>
          <w:bCs/>
          <w:sz w:val="24"/>
          <w:szCs w:val="24"/>
        </w:rPr>
        <w:t>a</w:t>
      </w:r>
      <w:r>
        <w:rPr>
          <w:b/>
          <w:bCs/>
          <w:sz w:val="24"/>
          <w:szCs w:val="24"/>
          <w:lang w:val="en-US"/>
        </w:rPr>
        <w:t>lin</w:t>
      </w:r>
      <w:r>
        <w:rPr>
          <w:b/>
          <w:bCs/>
          <w:sz w:val="24"/>
          <w:szCs w:val="24"/>
        </w:rPr>
        <w:t>. (1)</w:t>
      </w:r>
      <w:r>
        <w:rPr>
          <w:sz w:val="24"/>
          <w:szCs w:val="24"/>
        </w:rPr>
        <w:t xml:space="preserve">, pot fi înlocuite cu fâşii de acoperiş </w:t>
      </w:r>
      <w:r>
        <w:rPr>
          <w:b/>
          <w:sz w:val="24"/>
          <w:szCs w:val="24"/>
        </w:rPr>
        <w:t>REI60</w:t>
      </w:r>
      <w:r>
        <w:rPr>
          <w:sz w:val="24"/>
          <w:szCs w:val="24"/>
        </w:rPr>
        <w:t xml:space="preserve"> (</w:t>
      </w:r>
      <w:r>
        <w:rPr>
          <w:bCs/>
          <w:sz w:val="24"/>
          <w:szCs w:val="24"/>
        </w:rPr>
        <w:t>amplasate integral de o parte sau de alta a peretelui de separare a compartimentelor de incendiu sau intercalat, de o parte și alta a peretelui antifoc</w:t>
      </w:r>
      <w:r>
        <w:rPr>
          <w:sz w:val="24"/>
          <w:szCs w:val="24"/>
        </w:rPr>
        <w:t>), respectiv streaşină sau perete,</w:t>
      </w:r>
      <w:r>
        <w:rPr>
          <w:bCs/>
          <w:sz w:val="24"/>
          <w:szCs w:val="24"/>
        </w:rPr>
        <w:t xml:space="preserve"> cu rezistența la foc corespunzatoare nivelului de stabilitate la incendiu al clădirii</w:t>
      </w:r>
      <w:r>
        <w:rPr>
          <w:sz w:val="24"/>
          <w:szCs w:val="24"/>
        </w:rPr>
        <w:t xml:space="preserve">, cu lăţimea de cel puţin  </w:t>
      </w:r>
      <w:r>
        <w:rPr>
          <w:b/>
          <w:sz w:val="24"/>
          <w:szCs w:val="24"/>
        </w:rPr>
        <w:t>6,00 m</w:t>
      </w:r>
      <w:r>
        <w:rPr>
          <w:sz w:val="24"/>
          <w:szCs w:val="24"/>
        </w:rPr>
        <w:t xml:space="preserve"> şi clasa de reacţie la foc </w:t>
      </w:r>
      <w:r>
        <w:rPr>
          <w:b/>
          <w:sz w:val="24"/>
          <w:szCs w:val="24"/>
        </w:rPr>
        <w:t>A1</w:t>
      </w:r>
      <w:r>
        <w:rPr>
          <w:sz w:val="24"/>
          <w:szCs w:val="24"/>
        </w:rPr>
        <w:t xml:space="preserve"> sau </w:t>
      </w:r>
      <w:r>
        <w:rPr>
          <w:b/>
          <w:sz w:val="24"/>
          <w:szCs w:val="24"/>
        </w:rPr>
        <w:t>A2-s1d0</w:t>
      </w:r>
      <w:r>
        <w:rPr>
          <w:sz w:val="24"/>
          <w:szCs w:val="24"/>
        </w:rPr>
        <w:t>.</w:t>
      </w:r>
    </w:p>
    <w:p w14:paraId="1483C198" w14:textId="77777777" w:rsidR="001C08A5" w:rsidRDefault="00000000">
      <w:pPr>
        <w:ind w:firstLine="708"/>
        <w:jc w:val="both"/>
        <w:rPr>
          <w:sz w:val="24"/>
          <w:szCs w:val="24"/>
        </w:rPr>
      </w:pPr>
      <w:r>
        <w:rPr>
          <w:b/>
          <w:sz w:val="24"/>
          <w:szCs w:val="24"/>
        </w:rPr>
        <w:lastRenderedPageBreak/>
        <w:t xml:space="preserve">(3) </w:t>
      </w:r>
      <w:r>
        <w:rPr>
          <w:sz w:val="24"/>
          <w:szCs w:val="24"/>
        </w:rPr>
        <w:t xml:space="preserve">Nu este obligatorie depăşirea de către pereţii rezistenţi la foc de separare a compartimentelor de incendiu (pereţi antifoc) a planului acoperişurilor cu învelitoare şi termoizolaţie executate din materiale combustibile montate pe placă din beton armat </w:t>
      </w:r>
      <w:r>
        <w:rPr>
          <w:b/>
          <w:sz w:val="24"/>
          <w:szCs w:val="24"/>
        </w:rPr>
        <w:t>(REI)</w:t>
      </w:r>
      <w:r>
        <w:rPr>
          <w:sz w:val="24"/>
          <w:szCs w:val="24"/>
        </w:rPr>
        <w:t xml:space="preserve">, precum și a acoperişurilor realizate în întregime din componente substanțiale clasa de reacţie la foc </w:t>
      </w:r>
      <w:r>
        <w:rPr>
          <w:b/>
          <w:sz w:val="24"/>
          <w:szCs w:val="24"/>
        </w:rPr>
        <w:t>A1</w:t>
      </w:r>
      <w:r>
        <w:rPr>
          <w:sz w:val="24"/>
          <w:szCs w:val="24"/>
        </w:rPr>
        <w:t xml:space="preserve"> sau </w:t>
      </w:r>
      <w:r>
        <w:rPr>
          <w:b/>
          <w:sz w:val="24"/>
          <w:szCs w:val="24"/>
        </w:rPr>
        <w:t>A2-s1d0</w:t>
      </w:r>
      <w:r>
        <w:rPr>
          <w:sz w:val="24"/>
          <w:szCs w:val="24"/>
        </w:rPr>
        <w:t>.</w:t>
      </w:r>
    </w:p>
    <w:p w14:paraId="1DA6B3B8" w14:textId="77777777" w:rsidR="001C08A5" w:rsidRDefault="001C08A5">
      <w:pPr>
        <w:rPr>
          <w:sz w:val="24"/>
          <w:szCs w:val="24"/>
        </w:rPr>
      </w:pPr>
    </w:p>
    <w:p w14:paraId="1F4968F8" w14:textId="77777777" w:rsidR="001C08A5" w:rsidRDefault="00000000">
      <w:pPr>
        <w:pStyle w:val="Default"/>
        <w:ind w:firstLine="720"/>
        <w:jc w:val="both"/>
        <w:rPr>
          <w:color w:val="auto"/>
        </w:rPr>
      </w:pPr>
      <w:r>
        <w:rPr>
          <w:rFonts w:ascii="Times New Roman" w:hAnsi="Times New Roman" w:cs="Times New Roman"/>
          <w:b/>
          <w:color w:val="auto"/>
        </w:rPr>
        <w:t xml:space="preserve">Art. 2.3.2.1.7. </w:t>
      </w:r>
      <w:r>
        <w:rPr>
          <w:rFonts w:ascii="Times New Roman" w:hAnsi="Times New Roman" w:cs="Times New Roman"/>
          <w:color w:val="auto"/>
        </w:rPr>
        <w:t xml:space="preserve">Pe acoperişuri, tip terasă sau şarpantă, pe distanţa de cel puţin </w:t>
      </w:r>
      <w:r>
        <w:rPr>
          <w:rFonts w:ascii="Times New Roman" w:hAnsi="Times New Roman" w:cs="Times New Roman"/>
          <w:b/>
          <w:color w:val="auto"/>
        </w:rPr>
        <w:t>4,00</w:t>
      </w:r>
      <w:r>
        <w:rPr>
          <w:rFonts w:ascii="Times New Roman" w:hAnsi="Times New Roman" w:cs="Times New Roman"/>
          <w:b/>
          <w:color w:val="auto"/>
          <w:lang w:val="ro-RO"/>
        </w:rPr>
        <w:t xml:space="preserve"> </w:t>
      </w:r>
      <w:r>
        <w:rPr>
          <w:rFonts w:ascii="Times New Roman" w:hAnsi="Times New Roman" w:cs="Times New Roman"/>
          <w:bCs/>
          <w:color w:val="auto"/>
        </w:rPr>
        <w:t>m</w:t>
      </w:r>
      <w:r>
        <w:rPr>
          <w:rFonts w:ascii="Times New Roman" w:hAnsi="Times New Roman" w:cs="Times New Roman"/>
          <w:color w:val="auto"/>
        </w:rPr>
        <w:t xml:space="preserve"> de o parte şi de alta a peretelui rezistent la foc care delimitează compartimente de incendiu, luminatoarele trebuie să fie fixe, cu rezistența la foc minimum</w:t>
      </w:r>
      <w:r>
        <w:rPr>
          <w:rFonts w:ascii="Times New Roman" w:hAnsi="Times New Roman" w:cs="Times New Roman"/>
          <w:b/>
          <w:color w:val="auto"/>
        </w:rPr>
        <w:t xml:space="preserve"> 30 </w:t>
      </w:r>
      <w:r>
        <w:rPr>
          <w:rFonts w:ascii="Times New Roman" w:hAnsi="Times New Roman" w:cs="Times New Roman"/>
          <w:bCs/>
          <w:color w:val="auto"/>
        </w:rPr>
        <w:t xml:space="preserve">de minute </w:t>
      </w:r>
      <w:r>
        <w:rPr>
          <w:rFonts w:ascii="Times New Roman" w:hAnsi="Times New Roman" w:cs="Times New Roman"/>
          <w:color w:val="auto"/>
        </w:rPr>
        <w:t>în funcție de unghiul de înclinare al acestora.</w:t>
      </w:r>
    </w:p>
    <w:p w14:paraId="5E4CC4BD" w14:textId="77777777" w:rsidR="001C08A5" w:rsidRDefault="00000000">
      <w:pPr>
        <w:jc w:val="center"/>
        <w:rPr>
          <w:sz w:val="24"/>
          <w:szCs w:val="24"/>
        </w:rPr>
      </w:pPr>
      <w:r>
        <w:rPr>
          <w:noProof/>
          <w:lang w:eastAsia="ro-RO"/>
        </w:rPr>
        <w:drawing>
          <wp:inline distT="0" distB="0" distL="0" distR="0" wp14:anchorId="2A528691" wp14:editId="3B013182">
            <wp:extent cx="6076315" cy="1831975"/>
            <wp:effectExtent l="0" t="0" r="635" b="15875"/>
            <wp:docPr id="1076" name="Picture 46"/>
            <wp:cNvGraphicFramePr/>
            <a:graphic xmlns:a="http://schemas.openxmlformats.org/drawingml/2006/main">
              <a:graphicData uri="http://schemas.openxmlformats.org/drawingml/2006/picture">
                <pic:pic xmlns:pic="http://schemas.openxmlformats.org/drawingml/2006/picture">
                  <pic:nvPicPr>
                    <pic:cNvPr id="1076" name="Picture 46"/>
                    <pic:cNvPicPr/>
                  </pic:nvPicPr>
                  <pic:blipFill>
                    <a:blip r:embed="rId110" cstate="print"/>
                    <a:srcRect l="12274" t="37866" r="7226" b="25877"/>
                    <a:stretch>
                      <a:fillRect/>
                    </a:stretch>
                  </pic:blipFill>
                  <pic:spPr>
                    <a:xfrm>
                      <a:off x="0" y="0"/>
                      <a:ext cx="6076315" cy="1831975"/>
                    </a:xfrm>
                    <a:prstGeom prst="rect">
                      <a:avLst/>
                    </a:prstGeom>
                    <a:ln>
                      <a:noFill/>
                    </a:ln>
                  </pic:spPr>
                </pic:pic>
              </a:graphicData>
            </a:graphic>
          </wp:inline>
        </w:drawing>
      </w:r>
    </w:p>
    <w:tbl>
      <w:tblPr>
        <w:tblStyle w:val="TableGrid"/>
        <w:tblW w:w="0" w:type="auto"/>
        <w:tblLook w:val="04A0" w:firstRow="1" w:lastRow="0" w:firstColumn="1" w:lastColumn="0" w:noHBand="0" w:noVBand="1"/>
      </w:tblPr>
      <w:tblGrid>
        <w:gridCol w:w="3199"/>
        <w:gridCol w:w="3213"/>
        <w:gridCol w:w="3227"/>
      </w:tblGrid>
      <w:tr w:rsidR="001C08A5" w14:paraId="64233265" w14:textId="77777777">
        <w:tc>
          <w:tcPr>
            <w:tcW w:w="3285" w:type="dxa"/>
            <w:tcBorders>
              <w:top w:val="nil"/>
              <w:left w:val="nil"/>
              <w:bottom w:val="nil"/>
              <w:right w:val="nil"/>
            </w:tcBorders>
          </w:tcPr>
          <w:p w14:paraId="42246DE9" w14:textId="77777777" w:rsidR="001C08A5" w:rsidRDefault="00000000">
            <w:pPr>
              <w:jc w:val="center"/>
              <w:rPr>
                <w:b/>
                <w:bCs/>
                <w:i/>
                <w:iCs/>
                <w:sz w:val="24"/>
                <w:szCs w:val="24"/>
              </w:rPr>
            </w:pPr>
            <w:r>
              <w:rPr>
                <w:b/>
                <w:bCs/>
                <w:i/>
                <w:iCs/>
                <w:sz w:val="24"/>
                <w:szCs w:val="24"/>
              </w:rPr>
              <w:t>Plan</w:t>
            </w:r>
          </w:p>
        </w:tc>
        <w:tc>
          <w:tcPr>
            <w:tcW w:w="3285" w:type="dxa"/>
            <w:tcBorders>
              <w:top w:val="nil"/>
              <w:left w:val="nil"/>
              <w:bottom w:val="nil"/>
              <w:right w:val="nil"/>
            </w:tcBorders>
          </w:tcPr>
          <w:p w14:paraId="0A996907" w14:textId="77777777" w:rsidR="001C08A5" w:rsidRDefault="00000000">
            <w:pPr>
              <w:jc w:val="center"/>
              <w:rPr>
                <w:b/>
                <w:bCs/>
                <w:i/>
                <w:iCs/>
                <w:sz w:val="24"/>
                <w:szCs w:val="24"/>
              </w:rPr>
            </w:pPr>
            <w:r>
              <w:rPr>
                <w:b/>
                <w:bCs/>
                <w:i/>
                <w:iCs/>
                <w:sz w:val="24"/>
                <w:szCs w:val="24"/>
              </w:rPr>
              <w:t>Secțiune</w:t>
            </w:r>
          </w:p>
        </w:tc>
        <w:tc>
          <w:tcPr>
            <w:tcW w:w="3285" w:type="dxa"/>
            <w:tcBorders>
              <w:top w:val="nil"/>
              <w:left w:val="nil"/>
              <w:bottom w:val="nil"/>
              <w:right w:val="nil"/>
            </w:tcBorders>
          </w:tcPr>
          <w:p w14:paraId="3A5EDBCE" w14:textId="77777777" w:rsidR="001C08A5" w:rsidRDefault="00000000">
            <w:pPr>
              <w:jc w:val="center"/>
              <w:rPr>
                <w:b/>
                <w:bCs/>
                <w:i/>
                <w:iCs/>
                <w:sz w:val="24"/>
                <w:szCs w:val="24"/>
              </w:rPr>
            </w:pPr>
            <w:r>
              <w:rPr>
                <w:b/>
                <w:bCs/>
                <w:i/>
                <w:iCs/>
                <w:sz w:val="24"/>
                <w:szCs w:val="24"/>
              </w:rPr>
              <w:t>Axonometrie</w:t>
            </w:r>
          </w:p>
        </w:tc>
      </w:tr>
    </w:tbl>
    <w:p w14:paraId="35512E40" w14:textId="77777777" w:rsidR="001C08A5" w:rsidRDefault="00000000">
      <w:pPr>
        <w:pStyle w:val="Caption"/>
        <w:jc w:val="center"/>
        <w:rPr>
          <w:rFonts w:cs="Times New Roman"/>
          <w:bCs/>
        </w:rPr>
      </w:pPr>
      <w:bookmarkStart w:id="900" w:name="_Ref10835"/>
      <w:bookmarkStart w:id="901" w:name="_Toc162360256"/>
      <w:bookmarkStart w:id="902" w:name="_Toc25132"/>
      <w:bookmarkStart w:id="903" w:name="_Toc21827"/>
      <w:bookmarkStart w:id="904" w:name="_Toc12098"/>
      <w:bookmarkStart w:id="905" w:name="_Toc18894"/>
      <w:bookmarkStart w:id="906" w:name="_Toc5802"/>
      <w:bookmarkStart w:id="907" w:name="_Toc1833"/>
      <w:r>
        <w:t xml:space="preserve">Figura </w:t>
      </w:r>
      <w:r>
        <w:fldChar w:fldCharType="begin"/>
      </w:r>
      <w:r>
        <w:instrText xml:space="preserve"> SEQ Figura \* ARABIC </w:instrText>
      </w:r>
      <w:r>
        <w:fldChar w:fldCharType="separate"/>
      </w:r>
      <w:r>
        <w:t>32</w:t>
      </w:r>
      <w:r>
        <w:fldChar w:fldCharType="end"/>
      </w:r>
      <w:bookmarkStart w:id="908" w:name="_Toc11072"/>
      <w:bookmarkStart w:id="909" w:name="_Toc24202"/>
      <w:bookmarkStart w:id="910" w:name="_Toc18340"/>
      <w:bookmarkStart w:id="911" w:name="_Toc1754"/>
      <w:bookmarkStart w:id="912" w:name="_Toc39"/>
      <w:bookmarkStart w:id="913" w:name="_Toc19546"/>
      <w:bookmarkStart w:id="914" w:name="_Toc17420"/>
      <w:bookmarkStart w:id="915" w:name="_Toc125"/>
      <w:bookmarkStart w:id="916" w:name="_Toc29846"/>
      <w:bookmarkStart w:id="917" w:name="_Toc11500"/>
      <w:bookmarkStart w:id="918" w:name="_Toc24145"/>
      <w:bookmarkEnd w:id="900"/>
      <w:r>
        <w:t xml:space="preserve"> - </w:t>
      </w:r>
      <w:r>
        <w:rPr>
          <w:rFonts w:cs="Times New Roman"/>
          <w:bCs/>
        </w:rPr>
        <w:t>Perete rezistent la foc de separare a compartimentelor de incendiu (perete antifoc A1, A2s1d0 conform Art. 2.3.2.1.2.) care secţionează construcţia pe toată înălţimea acesteia</w:t>
      </w:r>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p>
    <w:p w14:paraId="066813C3" w14:textId="77777777" w:rsidR="001C08A5" w:rsidRDefault="00000000">
      <w:pPr>
        <w:ind w:firstLine="705"/>
        <w:jc w:val="both"/>
        <w:rPr>
          <w:sz w:val="22"/>
          <w:szCs w:val="22"/>
        </w:rPr>
      </w:pPr>
      <w:r>
        <w:rPr>
          <w:bCs/>
          <w:i/>
          <w:iCs/>
          <w:sz w:val="22"/>
          <w:szCs w:val="22"/>
        </w:rPr>
        <w:t xml:space="preserve">Legendă </w:t>
      </w:r>
      <w:r>
        <w:rPr>
          <w:b/>
          <w:i/>
          <w:iCs/>
          <w:sz w:val="22"/>
          <w:szCs w:val="22"/>
        </w:rPr>
        <w:t>Figura 33</w:t>
      </w:r>
      <w:r>
        <w:rPr>
          <w:bCs/>
          <w:i/>
          <w:iCs/>
          <w:sz w:val="22"/>
          <w:szCs w:val="22"/>
        </w:rPr>
        <w:t xml:space="preserve">: </w:t>
      </w:r>
      <w:r>
        <w:rPr>
          <w:bCs/>
          <w:i/>
          <w:sz w:val="22"/>
          <w:szCs w:val="22"/>
        </w:rPr>
        <w:t xml:space="preserve">1 - compartiment </w:t>
      </w:r>
      <w:r>
        <w:rPr>
          <w:b/>
          <w:i/>
          <w:sz w:val="22"/>
          <w:szCs w:val="22"/>
        </w:rPr>
        <w:t>1</w:t>
      </w:r>
      <w:r>
        <w:rPr>
          <w:bCs/>
          <w:i/>
          <w:sz w:val="22"/>
          <w:szCs w:val="22"/>
        </w:rPr>
        <w:t xml:space="preserve"> de incendiu; 2 - compartiment </w:t>
      </w:r>
      <w:r>
        <w:rPr>
          <w:b/>
          <w:i/>
          <w:sz w:val="22"/>
          <w:szCs w:val="22"/>
        </w:rPr>
        <w:t>2</w:t>
      </w:r>
      <w:r>
        <w:rPr>
          <w:bCs/>
          <w:i/>
          <w:sz w:val="22"/>
          <w:szCs w:val="22"/>
        </w:rPr>
        <w:t xml:space="preserve"> de incendiu; </w:t>
      </w:r>
      <w:r>
        <w:rPr>
          <w:bCs/>
          <w:i/>
          <w:iCs/>
          <w:sz w:val="22"/>
          <w:szCs w:val="22"/>
        </w:rPr>
        <w:t xml:space="preserve">3 - perete antifoc </w:t>
      </w:r>
      <w:r>
        <w:rPr>
          <w:bCs/>
          <w:i/>
          <w:sz w:val="22"/>
          <w:szCs w:val="22"/>
        </w:rPr>
        <w:t xml:space="preserve">conform </w:t>
      </w:r>
      <w:r>
        <w:rPr>
          <w:b/>
          <w:i/>
          <w:sz w:val="22"/>
          <w:szCs w:val="22"/>
        </w:rPr>
        <w:t>Art. 2.3.2.1.2</w:t>
      </w:r>
      <w:r>
        <w:rPr>
          <w:bCs/>
          <w:i/>
          <w:sz w:val="22"/>
          <w:szCs w:val="22"/>
        </w:rPr>
        <w:t>.</w:t>
      </w:r>
    </w:p>
    <w:p w14:paraId="61CAD064" w14:textId="77777777" w:rsidR="001C08A5" w:rsidRDefault="00000000">
      <w:pPr>
        <w:jc w:val="center"/>
        <w:rPr>
          <w:sz w:val="24"/>
          <w:szCs w:val="24"/>
        </w:rPr>
      </w:pPr>
      <w:r>
        <w:rPr>
          <w:noProof/>
          <w:lang w:eastAsia="ro-RO"/>
        </w:rPr>
        <w:drawing>
          <wp:inline distT="0" distB="0" distL="0" distR="0" wp14:anchorId="37D510FC" wp14:editId="03F95557">
            <wp:extent cx="6085205" cy="1891030"/>
            <wp:effectExtent l="0" t="0" r="10795" b="13334"/>
            <wp:docPr id="1077" name="Picture 47"/>
            <wp:cNvGraphicFramePr/>
            <a:graphic xmlns:a="http://schemas.openxmlformats.org/drawingml/2006/main">
              <a:graphicData uri="http://schemas.openxmlformats.org/drawingml/2006/picture">
                <pic:pic xmlns:pic="http://schemas.openxmlformats.org/drawingml/2006/picture">
                  <pic:nvPicPr>
                    <pic:cNvPr id="1077" name="Picture 47"/>
                    <pic:cNvPicPr/>
                  </pic:nvPicPr>
                  <pic:blipFill>
                    <a:blip r:embed="rId111" cstate="print"/>
                    <a:srcRect l="12274" t="26053" r="7109" b="36509"/>
                    <a:stretch>
                      <a:fillRect/>
                    </a:stretch>
                  </pic:blipFill>
                  <pic:spPr>
                    <a:xfrm>
                      <a:off x="0" y="0"/>
                      <a:ext cx="6085205" cy="1891664"/>
                    </a:xfrm>
                    <a:prstGeom prst="rect">
                      <a:avLst/>
                    </a:prstGeom>
                    <a:ln>
                      <a:noFill/>
                    </a:ln>
                  </pic:spPr>
                </pic:pic>
              </a:graphicData>
            </a:graphic>
          </wp:inline>
        </w:drawing>
      </w:r>
    </w:p>
    <w:tbl>
      <w:tblPr>
        <w:tblStyle w:val="TableGrid"/>
        <w:tblW w:w="0" w:type="auto"/>
        <w:tblLook w:val="04A0" w:firstRow="1" w:lastRow="0" w:firstColumn="1" w:lastColumn="0" w:noHBand="0" w:noVBand="1"/>
      </w:tblPr>
      <w:tblGrid>
        <w:gridCol w:w="3199"/>
        <w:gridCol w:w="3213"/>
        <w:gridCol w:w="3227"/>
      </w:tblGrid>
      <w:tr w:rsidR="001C08A5" w14:paraId="3A0F9B70" w14:textId="77777777">
        <w:tc>
          <w:tcPr>
            <w:tcW w:w="3285" w:type="dxa"/>
            <w:tcBorders>
              <w:top w:val="nil"/>
              <w:left w:val="nil"/>
              <w:bottom w:val="nil"/>
              <w:right w:val="nil"/>
            </w:tcBorders>
          </w:tcPr>
          <w:p w14:paraId="3CA98124" w14:textId="77777777" w:rsidR="001C08A5" w:rsidRDefault="00000000">
            <w:pPr>
              <w:jc w:val="center"/>
              <w:rPr>
                <w:b/>
                <w:bCs/>
                <w:i/>
                <w:iCs/>
                <w:sz w:val="24"/>
                <w:szCs w:val="24"/>
              </w:rPr>
            </w:pPr>
            <w:r>
              <w:rPr>
                <w:b/>
                <w:bCs/>
                <w:i/>
                <w:iCs/>
                <w:sz w:val="24"/>
                <w:szCs w:val="24"/>
              </w:rPr>
              <w:t>Plan</w:t>
            </w:r>
          </w:p>
        </w:tc>
        <w:tc>
          <w:tcPr>
            <w:tcW w:w="3285" w:type="dxa"/>
            <w:tcBorders>
              <w:top w:val="nil"/>
              <w:left w:val="nil"/>
              <w:bottom w:val="nil"/>
              <w:right w:val="nil"/>
            </w:tcBorders>
          </w:tcPr>
          <w:p w14:paraId="4DCC22BC" w14:textId="77777777" w:rsidR="001C08A5" w:rsidRDefault="00000000">
            <w:pPr>
              <w:jc w:val="center"/>
              <w:rPr>
                <w:b/>
                <w:bCs/>
                <w:i/>
                <w:iCs/>
                <w:sz w:val="24"/>
                <w:szCs w:val="24"/>
              </w:rPr>
            </w:pPr>
            <w:r>
              <w:rPr>
                <w:b/>
                <w:bCs/>
                <w:i/>
                <w:iCs/>
                <w:sz w:val="24"/>
                <w:szCs w:val="24"/>
              </w:rPr>
              <w:t>Secțiune</w:t>
            </w:r>
          </w:p>
        </w:tc>
        <w:tc>
          <w:tcPr>
            <w:tcW w:w="3285" w:type="dxa"/>
            <w:tcBorders>
              <w:top w:val="nil"/>
              <w:left w:val="nil"/>
              <w:bottom w:val="nil"/>
              <w:right w:val="nil"/>
            </w:tcBorders>
          </w:tcPr>
          <w:p w14:paraId="2B5D6C47" w14:textId="77777777" w:rsidR="001C08A5" w:rsidRDefault="00000000">
            <w:pPr>
              <w:jc w:val="center"/>
              <w:rPr>
                <w:b/>
                <w:bCs/>
                <w:i/>
                <w:iCs/>
                <w:sz w:val="24"/>
                <w:szCs w:val="24"/>
              </w:rPr>
            </w:pPr>
            <w:r>
              <w:rPr>
                <w:b/>
                <w:bCs/>
                <w:i/>
                <w:iCs/>
                <w:sz w:val="24"/>
                <w:szCs w:val="24"/>
              </w:rPr>
              <w:t>Axonometrie</w:t>
            </w:r>
          </w:p>
        </w:tc>
      </w:tr>
    </w:tbl>
    <w:p w14:paraId="03CAE1A5" w14:textId="77777777" w:rsidR="001C08A5" w:rsidRDefault="00000000">
      <w:pPr>
        <w:pStyle w:val="Caption"/>
        <w:jc w:val="center"/>
        <w:rPr>
          <w:rFonts w:cs="Times New Roman"/>
          <w:bCs/>
          <w:iCs w:val="0"/>
        </w:rPr>
      </w:pPr>
      <w:bookmarkStart w:id="919" w:name="_Ref10632"/>
      <w:bookmarkStart w:id="920" w:name="_Toc20957"/>
      <w:bookmarkStart w:id="921" w:name="_Toc8570"/>
      <w:bookmarkStart w:id="922" w:name="_Toc27537"/>
      <w:bookmarkStart w:id="923" w:name="_Toc21301"/>
      <w:bookmarkStart w:id="924" w:name="_Toc24830"/>
      <w:bookmarkStart w:id="925" w:name="_Toc9390"/>
      <w:bookmarkStart w:id="926" w:name="_Toc162360257"/>
      <w:r>
        <w:t xml:space="preserve">Figura </w:t>
      </w:r>
      <w:r>
        <w:fldChar w:fldCharType="begin"/>
      </w:r>
      <w:r>
        <w:instrText xml:space="preserve"> SEQ Figura \* ARABIC </w:instrText>
      </w:r>
      <w:r>
        <w:fldChar w:fldCharType="separate"/>
      </w:r>
      <w:r>
        <w:t>33</w:t>
      </w:r>
      <w:r>
        <w:fldChar w:fldCharType="end"/>
      </w:r>
      <w:bookmarkStart w:id="927" w:name="_Toc12861"/>
      <w:bookmarkStart w:id="928" w:name="_Toc32405"/>
      <w:bookmarkStart w:id="929" w:name="_Toc20317"/>
      <w:bookmarkStart w:id="930" w:name="_Toc24020"/>
      <w:bookmarkStart w:id="931" w:name="_Toc11104"/>
      <w:bookmarkStart w:id="932" w:name="_Toc26834"/>
      <w:bookmarkStart w:id="933" w:name="_Toc13451"/>
      <w:bookmarkStart w:id="934" w:name="_Toc32364"/>
      <w:bookmarkStart w:id="935" w:name="_Toc17538"/>
      <w:bookmarkStart w:id="936" w:name="_Toc24711"/>
      <w:bookmarkStart w:id="937" w:name="_Toc3266"/>
      <w:bookmarkEnd w:id="919"/>
      <w:r>
        <w:t xml:space="preserve"> - </w:t>
      </w:r>
      <w:r>
        <w:rPr>
          <w:rFonts w:cs="Times New Roman"/>
          <w:bCs/>
          <w:iCs w:val="0"/>
        </w:rPr>
        <w:t>Separare compartimente de incendiu la construcții cu înălţimi diferite - separare la clădirea mai înaltă</w:t>
      </w:r>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p>
    <w:p w14:paraId="193F3522" w14:textId="77777777" w:rsidR="001C08A5" w:rsidRDefault="00000000">
      <w:pPr>
        <w:ind w:firstLine="705"/>
        <w:jc w:val="both"/>
        <w:rPr>
          <w:bCs/>
          <w:i/>
          <w:sz w:val="22"/>
          <w:szCs w:val="22"/>
        </w:rPr>
      </w:pPr>
      <w:r>
        <w:rPr>
          <w:bCs/>
          <w:i/>
          <w:sz w:val="22"/>
          <w:szCs w:val="22"/>
        </w:rPr>
        <w:t xml:space="preserve">Legendă </w:t>
      </w:r>
      <w:r>
        <w:rPr>
          <w:b/>
          <w:i/>
          <w:iCs/>
          <w:sz w:val="22"/>
          <w:szCs w:val="22"/>
        </w:rPr>
        <w:t>Figura 34</w:t>
      </w:r>
      <w:r>
        <w:rPr>
          <w:bCs/>
          <w:i/>
          <w:iCs/>
          <w:sz w:val="22"/>
          <w:szCs w:val="22"/>
        </w:rPr>
        <w:t>:</w:t>
      </w:r>
      <w:r>
        <w:rPr>
          <w:bCs/>
          <w:i/>
          <w:sz w:val="22"/>
          <w:szCs w:val="22"/>
        </w:rPr>
        <w:t xml:space="preserve"> 1 - compartiment </w:t>
      </w:r>
      <w:r>
        <w:rPr>
          <w:b/>
          <w:i/>
          <w:sz w:val="22"/>
          <w:szCs w:val="22"/>
        </w:rPr>
        <w:t>1</w:t>
      </w:r>
      <w:r>
        <w:rPr>
          <w:bCs/>
          <w:i/>
          <w:sz w:val="22"/>
          <w:szCs w:val="22"/>
        </w:rPr>
        <w:t xml:space="preserve"> de incendiu; 2 - compartiment </w:t>
      </w:r>
      <w:r>
        <w:rPr>
          <w:b/>
          <w:i/>
          <w:sz w:val="22"/>
          <w:szCs w:val="22"/>
        </w:rPr>
        <w:t>2</w:t>
      </w:r>
      <w:r>
        <w:rPr>
          <w:bCs/>
          <w:i/>
          <w:sz w:val="22"/>
          <w:szCs w:val="22"/>
        </w:rPr>
        <w:t xml:space="preserve"> de incendiu; 3 - perete antifoc conform </w:t>
      </w:r>
      <w:r>
        <w:rPr>
          <w:b/>
          <w:i/>
          <w:sz w:val="22"/>
          <w:szCs w:val="22"/>
        </w:rPr>
        <w:t>Art. 2.3.2.1.2</w:t>
      </w:r>
      <w:r>
        <w:rPr>
          <w:bCs/>
          <w:i/>
          <w:sz w:val="22"/>
          <w:szCs w:val="22"/>
        </w:rPr>
        <w:t>.</w:t>
      </w:r>
    </w:p>
    <w:p w14:paraId="28E62A0D" w14:textId="77777777" w:rsidR="001C08A5" w:rsidRDefault="00000000">
      <w:pPr>
        <w:jc w:val="both"/>
        <w:rPr>
          <w:bCs/>
          <w:i/>
          <w:sz w:val="22"/>
          <w:szCs w:val="22"/>
        </w:rPr>
      </w:pPr>
      <w:r>
        <w:rPr>
          <w:noProof/>
          <w:lang w:eastAsia="ro-RO"/>
        </w:rPr>
        <w:drawing>
          <wp:inline distT="0" distB="0" distL="114300" distR="114300" wp14:anchorId="0F4B8A27" wp14:editId="5FFFBFB3">
            <wp:extent cx="6096000" cy="1818005"/>
            <wp:effectExtent l="0" t="0" r="0" b="10795"/>
            <wp:docPr id="10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37"/>
                    <pic:cNvPicPr>
                      <a:picLocks noChangeAspect="1"/>
                    </pic:cNvPicPr>
                  </pic:nvPicPr>
                  <pic:blipFill>
                    <a:blip r:embed="rId112"/>
                    <a:srcRect l="12089" t="25392" r="7151" b="41107"/>
                    <a:stretch>
                      <a:fillRect/>
                    </a:stretch>
                  </pic:blipFill>
                  <pic:spPr>
                    <a:xfrm>
                      <a:off x="0" y="0"/>
                      <a:ext cx="6096000" cy="1818005"/>
                    </a:xfrm>
                    <a:prstGeom prst="rect">
                      <a:avLst/>
                    </a:prstGeom>
                    <a:noFill/>
                    <a:ln>
                      <a:noFill/>
                    </a:ln>
                  </pic:spPr>
                </pic:pic>
              </a:graphicData>
            </a:graphic>
          </wp:inline>
        </w:drawing>
      </w:r>
    </w:p>
    <w:p w14:paraId="20E80041" w14:textId="77777777" w:rsidR="001C08A5" w:rsidRDefault="001C08A5">
      <w:pPr>
        <w:jc w:val="center"/>
        <w:rPr>
          <w:sz w:val="24"/>
          <w:szCs w:val="24"/>
        </w:rPr>
      </w:pPr>
    </w:p>
    <w:tbl>
      <w:tblPr>
        <w:tblStyle w:val="TableGrid"/>
        <w:tblW w:w="0" w:type="auto"/>
        <w:tblLook w:val="04A0" w:firstRow="1" w:lastRow="0" w:firstColumn="1" w:lastColumn="0" w:noHBand="0" w:noVBand="1"/>
      </w:tblPr>
      <w:tblGrid>
        <w:gridCol w:w="3199"/>
        <w:gridCol w:w="3213"/>
        <w:gridCol w:w="3227"/>
      </w:tblGrid>
      <w:tr w:rsidR="001C08A5" w14:paraId="03A93287" w14:textId="77777777">
        <w:tc>
          <w:tcPr>
            <w:tcW w:w="3285" w:type="dxa"/>
            <w:tcBorders>
              <w:top w:val="nil"/>
              <w:left w:val="nil"/>
              <w:bottom w:val="nil"/>
              <w:right w:val="nil"/>
            </w:tcBorders>
          </w:tcPr>
          <w:p w14:paraId="7F5E74AF" w14:textId="77777777" w:rsidR="001C08A5" w:rsidRDefault="00000000">
            <w:pPr>
              <w:jc w:val="center"/>
              <w:rPr>
                <w:b/>
                <w:bCs/>
                <w:i/>
                <w:iCs/>
                <w:sz w:val="24"/>
                <w:szCs w:val="24"/>
              </w:rPr>
            </w:pPr>
            <w:r>
              <w:rPr>
                <w:b/>
                <w:bCs/>
                <w:i/>
                <w:iCs/>
                <w:sz w:val="24"/>
                <w:szCs w:val="24"/>
              </w:rPr>
              <w:t>Plan</w:t>
            </w:r>
          </w:p>
        </w:tc>
        <w:tc>
          <w:tcPr>
            <w:tcW w:w="3285" w:type="dxa"/>
            <w:tcBorders>
              <w:top w:val="nil"/>
              <w:left w:val="nil"/>
              <w:bottom w:val="nil"/>
              <w:right w:val="nil"/>
            </w:tcBorders>
          </w:tcPr>
          <w:p w14:paraId="65AF4AD1" w14:textId="77777777" w:rsidR="001C08A5" w:rsidRDefault="00000000">
            <w:pPr>
              <w:jc w:val="center"/>
              <w:rPr>
                <w:b/>
                <w:bCs/>
                <w:i/>
                <w:iCs/>
                <w:sz w:val="24"/>
                <w:szCs w:val="24"/>
              </w:rPr>
            </w:pPr>
            <w:r>
              <w:rPr>
                <w:b/>
                <w:bCs/>
                <w:i/>
                <w:iCs/>
                <w:sz w:val="24"/>
                <w:szCs w:val="24"/>
              </w:rPr>
              <w:t>Secțiune</w:t>
            </w:r>
          </w:p>
        </w:tc>
        <w:tc>
          <w:tcPr>
            <w:tcW w:w="3285" w:type="dxa"/>
            <w:tcBorders>
              <w:top w:val="nil"/>
              <w:left w:val="nil"/>
              <w:bottom w:val="nil"/>
              <w:right w:val="nil"/>
            </w:tcBorders>
          </w:tcPr>
          <w:p w14:paraId="10D62DD6" w14:textId="77777777" w:rsidR="001C08A5" w:rsidRDefault="00000000">
            <w:pPr>
              <w:jc w:val="center"/>
              <w:rPr>
                <w:b/>
                <w:bCs/>
                <w:i/>
                <w:iCs/>
                <w:sz w:val="24"/>
                <w:szCs w:val="24"/>
              </w:rPr>
            </w:pPr>
            <w:r>
              <w:rPr>
                <w:b/>
                <w:bCs/>
                <w:i/>
                <w:iCs/>
                <w:sz w:val="24"/>
                <w:szCs w:val="24"/>
              </w:rPr>
              <w:t>Axonometrie</w:t>
            </w:r>
          </w:p>
        </w:tc>
      </w:tr>
    </w:tbl>
    <w:p w14:paraId="0D0418F9" w14:textId="77777777" w:rsidR="001C08A5" w:rsidRDefault="00000000">
      <w:pPr>
        <w:pStyle w:val="Caption"/>
        <w:jc w:val="center"/>
        <w:rPr>
          <w:rFonts w:cs="Times New Roman"/>
          <w:bCs/>
          <w:iCs w:val="0"/>
        </w:rPr>
      </w:pPr>
      <w:bookmarkStart w:id="938" w:name="_Ref10684"/>
      <w:bookmarkStart w:id="939" w:name="_Toc15808"/>
      <w:bookmarkStart w:id="940" w:name="_Toc29591"/>
      <w:bookmarkStart w:id="941" w:name="_Toc17576"/>
      <w:bookmarkStart w:id="942" w:name="_Toc30682"/>
      <w:bookmarkStart w:id="943" w:name="_Toc162360258"/>
      <w:bookmarkStart w:id="944" w:name="_Toc845"/>
      <w:bookmarkStart w:id="945" w:name="_Toc29256"/>
      <w:r>
        <w:t xml:space="preserve">Figura </w:t>
      </w:r>
      <w:r>
        <w:fldChar w:fldCharType="begin"/>
      </w:r>
      <w:r>
        <w:instrText xml:space="preserve"> SEQ Figura \* ARABIC </w:instrText>
      </w:r>
      <w:r>
        <w:fldChar w:fldCharType="separate"/>
      </w:r>
      <w:r>
        <w:t>34</w:t>
      </w:r>
      <w:r>
        <w:fldChar w:fldCharType="end"/>
      </w:r>
      <w:bookmarkStart w:id="946" w:name="_Toc9393"/>
      <w:bookmarkStart w:id="947" w:name="_Toc10369"/>
      <w:bookmarkStart w:id="948" w:name="_Toc26987"/>
      <w:bookmarkStart w:id="949" w:name="_Toc25849"/>
      <w:bookmarkStart w:id="950" w:name="_Toc15580"/>
      <w:bookmarkStart w:id="951" w:name="_Toc14908"/>
      <w:bookmarkStart w:id="952" w:name="_Toc5703"/>
      <w:bookmarkStart w:id="953" w:name="_Toc24953"/>
      <w:bookmarkStart w:id="954" w:name="_Toc15288"/>
      <w:bookmarkStart w:id="955" w:name="_Toc23955"/>
      <w:bookmarkStart w:id="956" w:name="_Toc28599"/>
      <w:bookmarkEnd w:id="938"/>
      <w:r>
        <w:t xml:space="preserve"> - </w:t>
      </w:r>
      <w:r>
        <w:rPr>
          <w:rFonts w:cs="Times New Roman"/>
          <w:bCs/>
          <w:iCs w:val="0"/>
        </w:rPr>
        <w:t>Separare compartimente de incendiu la construcții cu înălţimi diferite - separare la clădirea cu înălțime mai mică</w:t>
      </w:r>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p>
    <w:p w14:paraId="713EB736" w14:textId="77777777" w:rsidR="001C08A5" w:rsidRDefault="00000000">
      <w:pPr>
        <w:ind w:firstLine="705"/>
        <w:jc w:val="both"/>
        <w:rPr>
          <w:b/>
          <w:i/>
          <w:sz w:val="22"/>
          <w:szCs w:val="22"/>
        </w:rPr>
      </w:pPr>
      <w:r>
        <w:rPr>
          <w:bCs/>
          <w:i/>
          <w:sz w:val="22"/>
          <w:szCs w:val="22"/>
        </w:rPr>
        <w:t xml:space="preserve">Legendă </w:t>
      </w:r>
      <w:r>
        <w:rPr>
          <w:b/>
          <w:i/>
          <w:iCs/>
          <w:sz w:val="22"/>
          <w:szCs w:val="22"/>
        </w:rPr>
        <w:t>Figura 35</w:t>
      </w:r>
      <w:r>
        <w:rPr>
          <w:bCs/>
          <w:i/>
          <w:iCs/>
          <w:sz w:val="22"/>
          <w:szCs w:val="22"/>
        </w:rPr>
        <w:t>:</w:t>
      </w:r>
      <w:r>
        <w:rPr>
          <w:bCs/>
          <w:i/>
          <w:sz w:val="22"/>
          <w:szCs w:val="22"/>
        </w:rPr>
        <w:t xml:space="preserve"> 1 - compartiment </w:t>
      </w:r>
      <w:r>
        <w:rPr>
          <w:b/>
          <w:i/>
          <w:sz w:val="22"/>
          <w:szCs w:val="22"/>
        </w:rPr>
        <w:t>1</w:t>
      </w:r>
      <w:r>
        <w:rPr>
          <w:bCs/>
          <w:i/>
          <w:sz w:val="22"/>
          <w:szCs w:val="22"/>
        </w:rPr>
        <w:t xml:space="preserve"> de incendiu; 2 - compartiment </w:t>
      </w:r>
      <w:r>
        <w:rPr>
          <w:b/>
          <w:i/>
          <w:sz w:val="22"/>
          <w:szCs w:val="22"/>
        </w:rPr>
        <w:t>2</w:t>
      </w:r>
      <w:r>
        <w:rPr>
          <w:bCs/>
          <w:i/>
          <w:sz w:val="22"/>
          <w:szCs w:val="22"/>
        </w:rPr>
        <w:t xml:space="preserve"> de incendiu; 3 - perete antifoc conform </w:t>
      </w:r>
      <w:r>
        <w:rPr>
          <w:b/>
          <w:i/>
          <w:sz w:val="22"/>
          <w:szCs w:val="22"/>
        </w:rPr>
        <w:t>Art. 2.3.2.1.2</w:t>
      </w:r>
      <w:r>
        <w:rPr>
          <w:bCs/>
          <w:i/>
          <w:sz w:val="22"/>
          <w:szCs w:val="22"/>
        </w:rPr>
        <w:t xml:space="preserve">.; 4 - planșeu rezistent (fâșie rezistentă) la foc min. </w:t>
      </w:r>
      <w:r>
        <w:rPr>
          <w:b/>
          <w:i/>
          <w:sz w:val="22"/>
          <w:szCs w:val="22"/>
        </w:rPr>
        <w:t>REI60</w:t>
      </w:r>
    </w:p>
    <w:p w14:paraId="0E0779A6" w14:textId="77777777" w:rsidR="001C08A5" w:rsidRDefault="00000000">
      <w:pPr>
        <w:pStyle w:val="Default"/>
        <w:rPr>
          <w:color w:val="auto"/>
          <w:sz w:val="22"/>
          <w:szCs w:val="22"/>
          <w:lang w:val="ro-RO" w:eastAsia="ro-RO"/>
        </w:rPr>
      </w:pPr>
      <w:r>
        <w:rPr>
          <w:noProof/>
          <w:color w:val="auto"/>
          <w:sz w:val="22"/>
          <w:szCs w:val="22"/>
          <w:lang w:val="ro-RO" w:eastAsia="ro-RO"/>
        </w:rPr>
        <w:drawing>
          <wp:inline distT="0" distB="0" distL="114300" distR="114300" wp14:anchorId="716A2571" wp14:editId="102B6414">
            <wp:extent cx="6099810" cy="1966595"/>
            <wp:effectExtent l="0" t="0" r="15240" b="14605"/>
            <wp:docPr id="10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34"/>
                    <pic:cNvPicPr>
                      <a:picLocks noChangeAspect="1"/>
                    </pic:cNvPicPr>
                  </pic:nvPicPr>
                  <pic:blipFill>
                    <a:blip r:embed="rId113"/>
                    <a:srcRect l="12181" t="5441" r="7008" b="58320"/>
                    <a:stretch>
                      <a:fillRect/>
                    </a:stretch>
                  </pic:blipFill>
                  <pic:spPr>
                    <a:xfrm>
                      <a:off x="0" y="0"/>
                      <a:ext cx="6099810" cy="1966595"/>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201"/>
        <w:gridCol w:w="3213"/>
        <w:gridCol w:w="3225"/>
      </w:tblGrid>
      <w:tr w:rsidR="001C08A5" w14:paraId="64074E5D" w14:textId="77777777">
        <w:tc>
          <w:tcPr>
            <w:tcW w:w="3285" w:type="dxa"/>
            <w:tcBorders>
              <w:top w:val="nil"/>
              <w:left w:val="nil"/>
              <w:bottom w:val="nil"/>
              <w:right w:val="nil"/>
            </w:tcBorders>
          </w:tcPr>
          <w:p w14:paraId="4FD27F7D" w14:textId="77777777" w:rsidR="001C08A5" w:rsidRDefault="00000000">
            <w:pPr>
              <w:jc w:val="center"/>
              <w:rPr>
                <w:b/>
                <w:bCs/>
                <w:i/>
                <w:iCs/>
                <w:sz w:val="22"/>
                <w:szCs w:val="22"/>
              </w:rPr>
            </w:pPr>
            <w:r>
              <w:rPr>
                <w:b/>
                <w:bCs/>
                <w:i/>
                <w:iCs/>
                <w:sz w:val="22"/>
                <w:szCs w:val="22"/>
              </w:rPr>
              <w:t>Plan</w:t>
            </w:r>
          </w:p>
        </w:tc>
        <w:tc>
          <w:tcPr>
            <w:tcW w:w="3285" w:type="dxa"/>
            <w:tcBorders>
              <w:top w:val="nil"/>
              <w:left w:val="nil"/>
              <w:bottom w:val="nil"/>
              <w:right w:val="nil"/>
            </w:tcBorders>
          </w:tcPr>
          <w:p w14:paraId="5971C25D" w14:textId="77777777" w:rsidR="001C08A5" w:rsidRDefault="00000000">
            <w:pPr>
              <w:jc w:val="center"/>
              <w:rPr>
                <w:b/>
                <w:bCs/>
                <w:i/>
                <w:iCs/>
                <w:sz w:val="22"/>
                <w:szCs w:val="22"/>
              </w:rPr>
            </w:pPr>
            <w:r>
              <w:rPr>
                <w:b/>
                <w:bCs/>
                <w:i/>
                <w:iCs/>
                <w:sz w:val="22"/>
                <w:szCs w:val="22"/>
              </w:rPr>
              <w:t>Secțiune</w:t>
            </w:r>
          </w:p>
        </w:tc>
        <w:tc>
          <w:tcPr>
            <w:tcW w:w="3285" w:type="dxa"/>
            <w:tcBorders>
              <w:top w:val="nil"/>
              <w:left w:val="nil"/>
              <w:bottom w:val="nil"/>
              <w:right w:val="nil"/>
            </w:tcBorders>
          </w:tcPr>
          <w:p w14:paraId="7C3A4F76" w14:textId="77777777" w:rsidR="001C08A5" w:rsidRDefault="00000000">
            <w:pPr>
              <w:jc w:val="center"/>
              <w:rPr>
                <w:b/>
                <w:bCs/>
                <w:i/>
                <w:iCs/>
                <w:sz w:val="22"/>
                <w:szCs w:val="22"/>
              </w:rPr>
            </w:pPr>
            <w:r>
              <w:rPr>
                <w:b/>
                <w:bCs/>
                <w:i/>
                <w:iCs/>
                <w:sz w:val="22"/>
                <w:szCs w:val="22"/>
              </w:rPr>
              <w:t>Axonometrie</w:t>
            </w:r>
          </w:p>
        </w:tc>
      </w:tr>
    </w:tbl>
    <w:p w14:paraId="0756203A" w14:textId="77777777" w:rsidR="001C08A5" w:rsidRDefault="00000000">
      <w:pPr>
        <w:pStyle w:val="Default"/>
        <w:rPr>
          <w:color w:val="auto"/>
        </w:rPr>
      </w:pPr>
      <w:r>
        <w:rPr>
          <w:noProof/>
          <w:color w:val="auto"/>
          <w:sz w:val="22"/>
          <w:szCs w:val="22"/>
          <w:lang w:val="ro-RO" w:eastAsia="ro-RO"/>
        </w:rPr>
        <w:drawing>
          <wp:inline distT="0" distB="0" distL="114300" distR="114300" wp14:anchorId="6BAB08D6" wp14:editId="1B7EF514">
            <wp:extent cx="6099810" cy="2017395"/>
            <wp:effectExtent l="0" t="0" r="15240" b="1905"/>
            <wp:docPr id="10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34"/>
                    <pic:cNvPicPr>
                      <a:picLocks noChangeAspect="1"/>
                    </pic:cNvPicPr>
                  </pic:nvPicPr>
                  <pic:blipFill>
                    <a:blip r:embed="rId113"/>
                    <a:srcRect l="12181" t="53908" r="7008" b="8916"/>
                    <a:stretch>
                      <a:fillRect/>
                    </a:stretch>
                  </pic:blipFill>
                  <pic:spPr>
                    <a:xfrm>
                      <a:off x="0" y="0"/>
                      <a:ext cx="6099810" cy="2017395"/>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201"/>
        <w:gridCol w:w="3213"/>
        <w:gridCol w:w="3225"/>
      </w:tblGrid>
      <w:tr w:rsidR="001C08A5" w14:paraId="3D643B46" w14:textId="77777777">
        <w:tc>
          <w:tcPr>
            <w:tcW w:w="3285" w:type="dxa"/>
            <w:tcBorders>
              <w:top w:val="nil"/>
              <w:left w:val="nil"/>
              <w:bottom w:val="nil"/>
              <w:right w:val="nil"/>
            </w:tcBorders>
          </w:tcPr>
          <w:p w14:paraId="0E1F0DC4" w14:textId="77777777" w:rsidR="001C08A5" w:rsidRDefault="00000000">
            <w:pPr>
              <w:jc w:val="center"/>
              <w:rPr>
                <w:b/>
                <w:bCs/>
                <w:i/>
                <w:iCs/>
                <w:sz w:val="22"/>
                <w:szCs w:val="22"/>
              </w:rPr>
            </w:pPr>
            <w:r>
              <w:rPr>
                <w:b/>
                <w:bCs/>
                <w:i/>
                <w:iCs/>
                <w:sz w:val="22"/>
                <w:szCs w:val="22"/>
              </w:rPr>
              <w:t>Plan</w:t>
            </w:r>
          </w:p>
        </w:tc>
        <w:tc>
          <w:tcPr>
            <w:tcW w:w="3285" w:type="dxa"/>
            <w:tcBorders>
              <w:top w:val="nil"/>
              <w:left w:val="nil"/>
              <w:bottom w:val="nil"/>
              <w:right w:val="nil"/>
            </w:tcBorders>
          </w:tcPr>
          <w:p w14:paraId="585FD09F" w14:textId="77777777" w:rsidR="001C08A5" w:rsidRDefault="00000000">
            <w:pPr>
              <w:jc w:val="center"/>
              <w:rPr>
                <w:b/>
                <w:bCs/>
                <w:i/>
                <w:iCs/>
                <w:sz w:val="22"/>
                <w:szCs w:val="22"/>
              </w:rPr>
            </w:pPr>
            <w:r>
              <w:rPr>
                <w:b/>
                <w:bCs/>
                <w:i/>
                <w:iCs/>
                <w:sz w:val="22"/>
                <w:szCs w:val="22"/>
              </w:rPr>
              <w:t>Secțiune</w:t>
            </w:r>
          </w:p>
        </w:tc>
        <w:tc>
          <w:tcPr>
            <w:tcW w:w="3285" w:type="dxa"/>
            <w:tcBorders>
              <w:top w:val="nil"/>
              <w:left w:val="nil"/>
              <w:bottom w:val="nil"/>
              <w:right w:val="nil"/>
            </w:tcBorders>
          </w:tcPr>
          <w:p w14:paraId="6ED35B58" w14:textId="77777777" w:rsidR="001C08A5" w:rsidRDefault="00000000">
            <w:pPr>
              <w:jc w:val="center"/>
              <w:rPr>
                <w:b/>
                <w:bCs/>
                <w:i/>
                <w:iCs/>
                <w:sz w:val="22"/>
                <w:szCs w:val="22"/>
              </w:rPr>
            </w:pPr>
            <w:r>
              <w:rPr>
                <w:b/>
                <w:bCs/>
                <w:i/>
                <w:iCs/>
                <w:sz w:val="22"/>
                <w:szCs w:val="22"/>
              </w:rPr>
              <w:t>Axonometrie</w:t>
            </w:r>
          </w:p>
        </w:tc>
      </w:tr>
    </w:tbl>
    <w:p w14:paraId="4942D375" w14:textId="77777777" w:rsidR="001C08A5" w:rsidRDefault="00000000">
      <w:pPr>
        <w:jc w:val="center"/>
        <w:rPr>
          <w:b/>
          <w:bCs/>
          <w:i/>
          <w:iCs/>
          <w:sz w:val="22"/>
          <w:szCs w:val="22"/>
        </w:rPr>
      </w:pPr>
      <w:r>
        <w:rPr>
          <w:b/>
          <w:bCs/>
          <w:i/>
          <w:iCs/>
          <w:sz w:val="22"/>
          <w:szCs w:val="22"/>
        </w:rPr>
        <w:t>Varianta a) Separare compartimente de incendiu cu înălţimi egale cu fâșia REI60 amplasată integral de o parte sau de alta a peretelui antifoc</w:t>
      </w:r>
    </w:p>
    <w:p w14:paraId="23B6FFFB" w14:textId="77777777" w:rsidR="001C08A5" w:rsidRDefault="00000000">
      <w:pPr>
        <w:jc w:val="center"/>
        <w:rPr>
          <w:sz w:val="22"/>
          <w:szCs w:val="22"/>
          <w:lang w:eastAsia="ro-RO"/>
        </w:rPr>
      </w:pPr>
      <w:r>
        <w:rPr>
          <w:noProof/>
          <w:sz w:val="22"/>
          <w:szCs w:val="22"/>
          <w:lang w:eastAsia="ro-RO"/>
        </w:rPr>
        <w:drawing>
          <wp:inline distT="0" distB="0" distL="114300" distR="114300" wp14:anchorId="708CB324" wp14:editId="60C152BA">
            <wp:extent cx="6092190" cy="2062480"/>
            <wp:effectExtent l="0" t="0" r="3810" b="13970"/>
            <wp:docPr id="10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35"/>
                    <pic:cNvPicPr>
                      <a:picLocks noChangeAspect="1"/>
                    </pic:cNvPicPr>
                  </pic:nvPicPr>
                  <pic:blipFill>
                    <a:blip r:embed="rId114"/>
                    <a:srcRect l="12181" t="8788" r="7109" b="53206"/>
                    <a:stretch>
                      <a:fillRect/>
                    </a:stretch>
                  </pic:blipFill>
                  <pic:spPr>
                    <a:xfrm>
                      <a:off x="0" y="0"/>
                      <a:ext cx="6092190" cy="206248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201"/>
        <w:gridCol w:w="3213"/>
        <w:gridCol w:w="3225"/>
      </w:tblGrid>
      <w:tr w:rsidR="001C08A5" w14:paraId="47FC2E6B" w14:textId="77777777">
        <w:tc>
          <w:tcPr>
            <w:tcW w:w="3285" w:type="dxa"/>
            <w:tcBorders>
              <w:top w:val="nil"/>
              <w:left w:val="nil"/>
              <w:bottom w:val="nil"/>
              <w:right w:val="nil"/>
            </w:tcBorders>
          </w:tcPr>
          <w:p w14:paraId="3E86F6CF" w14:textId="77777777" w:rsidR="001C08A5" w:rsidRDefault="00000000">
            <w:pPr>
              <w:jc w:val="center"/>
              <w:rPr>
                <w:b/>
                <w:bCs/>
                <w:i/>
                <w:iCs/>
                <w:sz w:val="22"/>
                <w:szCs w:val="22"/>
              </w:rPr>
            </w:pPr>
            <w:r>
              <w:rPr>
                <w:b/>
                <w:bCs/>
                <w:i/>
                <w:iCs/>
                <w:sz w:val="22"/>
                <w:szCs w:val="22"/>
              </w:rPr>
              <w:t>Plan</w:t>
            </w:r>
          </w:p>
        </w:tc>
        <w:tc>
          <w:tcPr>
            <w:tcW w:w="3285" w:type="dxa"/>
            <w:tcBorders>
              <w:top w:val="nil"/>
              <w:left w:val="nil"/>
              <w:bottom w:val="nil"/>
              <w:right w:val="nil"/>
            </w:tcBorders>
          </w:tcPr>
          <w:p w14:paraId="5AB726A2" w14:textId="77777777" w:rsidR="001C08A5" w:rsidRDefault="00000000">
            <w:pPr>
              <w:jc w:val="center"/>
              <w:rPr>
                <w:b/>
                <w:bCs/>
                <w:i/>
                <w:iCs/>
                <w:sz w:val="22"/>
                <w:szCs w:val="22"/>
              </w:rPr>
            </w:pPr>
            <w:r>
              <w:rPr>
                <w:b/>
                <w:bCs/>
                <w:i/>
                <w:iCs/>
                <w:sz w:val="22"/>
                <w:szCs w:val="22"/>
              </w:rPr>
              <w:t>Secțiune</w:t>
            </w:r>
          </w:p>
        </w:tc>
        <w:tc>
          <w:tcPr>
            <w:tcW w:w="3285" w:type="dxa"/>
            <w:tcBorders>
              <w:top w:val="nil"/>
              <w:left w:val="nil"/>
              <w:bottom w:val="nil"/>
              <w:right w:val="nil"/>
            </w:tcBorders>
          </w:tcPr>
          <w:p w14:paraId="3F5200F9" w14:textId="77777777" w:rsidR="001C08A5" w:rsidRDefault="00000000">
            <w:pPr>
              <w:jc w:val="center"/>
              <w:rPr>
                <w:b/>
                <w:bCs/>
                <w:i/>
                <w:iCs/>
                <w:sz w:val="22"/>
                <w:szCs w:val="22"/>
              </w:rPr>
            </w:pPr>
            <w:r>
              <w:rPr>
                <w:b/>
                <w:bCs/>
                <w:i/>
                <w:iCs/>
                <w:sz w:val="22"/>
                <w:szCs w:val="22"/>
              </w:rPr>
              <w:t>Axonometrie</w:t>
            </w:r>
          </w:p>
        </w:tc>
      </w:tr>
    </w:tbl>
    <w:p w14:paraId="308D902B" w14:textId="77777777" w:rsidR="001C08A5" w:rsidRDefault="00000000">
      <w:pPr>
        <w:pStyle w:val="Default"/>
        <w:rPr>
          <w:color w:val="auto"/>
          <w:sz w:val="22"/>
          <w:szCs w:val="22"/>
        </w:rPr>
      </w:pPr>
      <w:r>
        <w:rPr>
          <w:noProof/>
          <w:color w:val="auto"/>
          <w:sz w:val="22"/>
          <w:szCs w:val="22"/>
          <w:lang w:val="ro-RO" w:eastAsia="ro-RO"/>
        </w:rPr>
        <w:lastRenderedPageBreak/>
        <w:drawing>
          <wp:inline distT="0" distB="0" distL="114300" distR="114300" wp14:anchorId="738FA413" wp14:editId="68966C6E">
            <wp:extent cx="6092190" cy="2470785"/>
            <wp:effectExtent l="0" t="0" r="0" b="0"/>
            <wp:docPr id="10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35"/>
                    <pic:cNvPicPr>
                      <a:picLocks noChangeAspect="1"/>
                    </pic:cNvPicPr>
                  </pic:nvPicPr>
                  <pic:blipFill>
                    <a:blip r:embed="rId114"/>
                    <a:srcRect l="12181" t="50761" r="7109" b="3709"/>
                    <a:stretch>
                      <a:fillRect/>
                    </a:stretch>
                  </pic:blipFill>
                  <pic:spPr>
                    <a:xfrm>
                      <a:off x="0" y="0"/>
                      <a:ext cx="6092190" cy="2470785"/>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201"/>
        <w:gridCol w:w="3213"/>
        <w:gridCol w:w="3225"/>
      </w:tblGrid>
      <w:tr w:rsidR="001C08A5" w14:paraId="4A7F4D38" w14:textId="77777777">
        <w:tc>
          <w:tcPr>
            <w:tcW w:w="3285" w:type="dxa"/>
            <w:tcBorders>
              <w:top w:val="nil"/>
              <w:left w:val="nil"/>
              <w:bottom w:val="nil"/>
              <w:right w:val="nil"/>
            </w:tcBorders>
          </w:tcPr>
          <w:p w14:paraId="41E09E88" w14:textId="77777777" w:rsidR="001C08A5" w:rsidRDefault="00000000">
            <w:pPr>
              <w:jc w:val="center"/>
              <w:rPr>
                <w:b/>
                <w:bCs/>
                <w:i/>
                <w:iCs/>
                <w:sz w:val="22"/>
                <w:szCs w:val="22"/>
              </w:rPr>
            </w:pPr>
            <w:r>
              <w:rPr>
                <w:b/>
                <w:bCs/>
                <w:i/>
                <w:iCs/>
                <w:sz w:val="22"/>
                <w:szCs w:val="22"/>
              </w:rPr>
              <w:t>Plan</w:t>
            </w:r>
          </w:p>
        </w:tc>
        <w:tc>
          <w:tcPr>
            <w:tcW w:w="3285" w:type="dxa"/>
            <w:tcBorders>
              <w:top w:val="nil"/>
              <w:left w:val="nil"/>
              <w:bottom w:val="nil"/>
              <w:right w:val="nil"/>
            </w:tcBorders>
          </w:tcPr>
          <w:p w14:paraId="612EAA3C" w14:textId="77777777" w:rsidR="001C08A5" w:rsidRDefault="00000000">
            <w:pPr>
              <w:jc w:val="center"/>
              <w:rPr>
                <w:b/>
                <w:bCs/>
                <w:i/>
                <w:iCs/>
                <w:sz w:val="22"/>
                <w:szCs w:val="22"/>
              </w:rPr>
            </w:pPr>
            <w:r>
              <w:rPr>
                <w:b/>
                <w:bCs/>
                <w:i/>
                <w:iCs/>
                <w:sz w:val="22"/>
                <w:szCs w:val="22"/>
              </w:rPr>
              <w:t>Secțiune</w:t>
            </w:r>
          </w:p>
        </w:tc>
        <w:tc>
          <w:tcPr>
            <w:tcW w:w="3285" w:type="dxa"/>
            <w:tcBorders>
              <w:top w:val="nil"/>
              <w:left w:val="nil"/>
              <w:bottom w:val="nil"/>
              <w:right w:val="nil"/>
            </w:tcBorders>
          </w:tcPr>
          <w:p w14:paraId="5645B00A" w14:textId="77777777" w:rsidR="001C08A5" w:rsidRDefault="00000000">
            <w:pPr>
              <w:jc w:val="center"/>
              <w:rPr>
                <w:b/>
                <w:bCs/>
                <w:i/>
                <w:iCs/>
                <w:sz w:val="22"/>
                <w:szCs w:val="22"/>
              </w:rPr>
            </w:pPr>
            <w:r>
              <w:rPr>
                <w:b/>
                <w:bCs/>
                <w:i/>
                <w:iCs/>
                <w:sz w:val="22"/>
                <w:szCs w:val="22"/>
              </w:rPr>
              <w:t>Axonometrie</w:t>
            </w:r>
          </w:p>
        </w:tc>
      </w:tr>
    </w:tbl>
    <w:p w14:paraId="10C2322A" w14:textId="77777777" w:rsidR="001C08A5" w:rsidRDefault="00000000">
      <w:pPr>
        <w:jc w:val="center"/>
        <w:rPr>
          <w:i/>
          <w:iCs/>
          <w:sz w:val="22"/>
          <w:szCs w:val="22"/>
        </w:rPr>
      </w:pPr>
      <w:r>
        <w:rPr>
          <w:b/>
          <w:bCs/>
          <w:i/>
          <w:iCs/>
          <w:sz w:val="22"/>
          <w:szCs w:val="22"/>
        </w:rPr>
        <w:t>Varianta b) Separare compartimente de incendiu cu înălţimi egale cu fâșia REI60 amplasată intercalat, de o parte și alta a peretelui antifoc</w:t>
      </w:r>
    </w:p>
    <w:p w14:paraId="050B406A" w14:textId="77777777" w:rsidR="001C08A5" w:rsidRDefault="001C08A5">
      <w:pPr>
        <w:rPr>
          <w:i/>
          <w:iCs/>
          <w:sz w:val="22"/>
          <w:szCs w:val="22"/>
        </w:rPr>
      </w:pPr>
    </w:p>
    <w:p w14:paraId="1BB2DD1B" w14:textId="77777777" w:rsidR="001C08A5" w:rsidRDefault="00000000">
      <w:pPr>
        <w:pStyle w:val="Caption"/>
        <w:jc w:val="center"/>
        <w:rPr>
          <w:bCs/>
        </w:rPr>
      </w:pPr>
      <w:bookmarkStart w:id="957" w:name="_Ref10443"/>
      <w:bookmarkStart w:id="958" w:name="_Toc162360259"/>
      <w:r>
        <w:t xml:space="preserve">Figura </w:t>
      </w:r>
      <w:r>
        <w:fldChar w:fldCharType="begin"/>
      </w:r>
      <w:r>
        <w:instrText xml:space="preserve"> SEQ Figura \* ARABIC </w:instrText>
      </w:r>
      <w:r>
        <w:fldChar w:fldCharType="separate"/>
      </w:r>
      <w:r>
        <w:t>35</w:t>
      </w:r>
      <w:r>
        <w:fldChar w:fldCharType="end"/>
      </w:r>
      <w:bookmarkStart w:id="959" w:name="_Toc13883"/>
      <w:bookmarkStart w:id="960" w:name="_Toc14577"/>
      <w:bookmarkStart w:id="961" w:name="_Toc13952"/>
      <w:bookmarkStart w:id="962" w:name="_Toc10694"/>
      <w:bookmarkStart w:id="963" w:name="_Toc23989"/>
      <w:bookmarkStart w:id="964" w:name="_Toc3222"/>
      <w:bookmarkStart w:id="965" w:name="_Toc10267"/>
      <w:bookmarkStart w:id="966" w:name="_Toc21692"/>
      <w:bookmarkStart w:id="967" w:name="_Toc13474"/>
      <w:bookmarkStart w:id="968" w:name="_Toc18232"/>
      <w:bookmarkStart w:id="969" w:name="_Toc16111"/>
      <w:bookmarkEnd w:id="957"/>
      <w:r>
        <w:t xml:space="preserve"> - </w:t>
      </w:r>
      <w:r>
        <w:rPr>
          <w:bCs/>
        </w:rPr>
        <w:t>Separare compartimente de incendiu cu înălţimi egale cu fâșie REI60</w:t>
      </w:r>
      <w:bookmarkEnd w:id="958"/>
      <w:bookmarkEnd w:id="959"/>
      <w:bookmarkEnd w:id="960"/>
      <w:bookmarkEnd w:id="961"/>
      <w:bookmarkEnd w:id="962"/>
      <w:bookmarkEnd w:id="963"/>
      <w:bookmarkEnd w:id="964"/>
      <w:bookmarkEnd w:id="965"/>
      <w:bookmarkEnd w:id="966"/>
      <w:bookmarkEnd w:id="967"/>
      <w:bookmarkEnd w:id="968"/>
      <w:bookmarkEnd w:id="969"/>
    </w:p>
    <w:p w14:paraId="37D909EF" w14:textId="77777777" w:rsidR="001C08A5" w:rsidRDefault="00000000">
      <w:pPr>
        <w:ind w:firstLine="705"/>
        <w:jc w:val="both"/>
        <w:rPr>
          <w:i/>
          <w:sz w:val="22"/>
          <w:szCs w:val="22"/>
        </w:rPr>
      </w:pPr>
      <w:r>
        <w:rPr>
          <w:bCs/>
          <w:i/>
          <w:sz w:val="22"/>
          <w:szCs w:val="22"/>
        </w:rPr>
        <w:t xml:space="preserve">Legendă </w:t>
      </w:r>
      <w:r>
        <w:rPr>
          <w:b/>
          <w:i/>
          <w:iCs/>
          <w:sz w:val="22"/>
          <w:szCs w:val="22"/>
        </w:rPr>
        <w:t>Figura 36</w:t>
      </w:r>
      <w:r>
        <w:rPr>
          <w:bCs/>
          <w:i/>
          <w:iCs/>
          <w:sz w:val="22"/>
          <w:szCs w:val="22"/>
        </w:rPr>
        <w:t>:</w:t>
      </w:r>
      <w:r>
        <w:rPr>
          <w:bCs/>
          <w:i/>
          <w:sz w:val="22"/>
          <w:szCs w:val="22"/>
        </w:rPr>
        <w:t xml:space="preserve"> 1 - compartiment </w:t>
      </w:r>
      <w:r>
        <w:rPr>
          <w:b/>
          <w:i/>
          <w:sz w:val="22"/>
          <w:szCs w:val="22"/>
        </w:rPr>
        <w:t>1</w:t>
      </w:r>
      <w:r>
        <w:rPr>
          <w:bCs/>
          <w:i/>
          <w:sz w:val="22"/>
          <w:szCs w:val="22"/>
        </w:rPr>
        <w:t xml:space="preserve"> de incendiu; 2 - compartiment </w:t>
      </w:r>
      <w:r>
        <w:rPr>
          <w:b/>
          <w:i/>
          <w:sz w:val="22"/>
          <w:szCs w:val="22"/>
        </w:rPr>
        <w:t>2</w:t>
      </w:r>
      <w:r>
        <w:rPr>
          <w:bCs/>
          <w:i/>
          <w:sz w:val="22"/>
          <w:szCs w:val="22"/>
        </w:rPr>
        <w:t xml:space="preserve"> de incendiu; 3 - perete antifoc conform </w:t>
      </w:r>
      <w:r>
        <w:rPr>
          <w:b/>
          <w:i/>
          <w:sz w:val="22"/>
          <w:szCs w:val="22"/>
        </w:rPr>
        <w:t>Art. 2.3.2.1.2</w:t>
      </w:r>
      <w:r>
        <w:rPr>
          <w:bCs/>
          <w:i/>
          <w:sz w:val="22"/>
          <w:szCs w:val="22"/>
        </w:rPr>
        <w:t xml:space="preserve">.; 4 - fâșie rezistentă la foc min. </w:t>
      </w:r>
      <w:r>
        <w:rPr>
          <w:b/>
          <w:i/>
          <w:sz w:val="22"/>
          <w:szCs w:val="22"/>
        </w:rPr>
        <w:t>REI60</w:t>
      </w:r>
    </w:p>
    <w:p w14:paraId="1C5EE759" w14:textId="77777777" w:rsidR="001C08A5" w:rsidRDefault="001C08A5">
      <w:pPr>
        <w:pStyle w:val="BodyText"/>
      </w:pPr>
    </w:p>
    <w:p w14:paraId="7FDE0CC8" w14:textId="77777777" w:rsidR="001C08A5" w:rsidRDefault="00000000">
      <w:pPr>
        <w:pStyle w:val="Default"/>
        <w:rPr>
          <w:color w:val="auto"/>
          <w:lang w:val="ro-RO" w:eastAsia="ro-RO"/>
        </w:rPr>
      </w:pPr>
      <w:r>
        <w:rPr>
          <w:noProof/>
          <w:color w:val="auto"/>
          <w:lang w:val="ro-RO" w:eastAsia="ro-RO"/>
        </w:rPr>
        <w:drawing>
          <wp:inline distT="0" distB="0" distL="114300" distR="114300" wp14:anchorId="6DCA97CB" wp14:editId="102E2CCD">
            <wp:extent cx="6092190" cy="1793875"/>
            <wp:effectExtent l="0" t="0" r="3810" b="15875"/>
            <wp:docPr id="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33"/>
                    <pic:cNvPicPr>
                      <a:picLocks noChangeAspect="1"/>
                    </pic:cNvPicPr>
                  </pic:nvPicPr>
                  <pic:blipFill>
                    <a:blip r:embed="rId115"/>
                    <a:srcRect l="12089" t="13784" r="7201" b="53159"/>
                    <a:stretch>
                      <a:fillRect/>
                    </a:stretch>
                  </pic:blipFill>
                  <pic:spPr>
                    <a:xfrm>
                      <a:off x="0" y="0"/>
                      <a:ext cx="6092190" cy="1793875"/>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201"/>
        <w:gridCol w:w="3213"/>
        <w:gridCol w:w="3225"/>
      </w:tblGrid>
      <w:tr w:rsidR="001C08A5" w14:paraId="61027E8D" w14:textId="77777777">
        <w:tc>
          <w:tcPr>
            <w:tcW w:w="3285" w:type="dxa"/>
            <w:tcBorders>
              <w:top w:val="nil"/>
              <w:left w:val="nil"/>
              <w:bottom w:val="nil"/>
              <w:right w:val="nil"/>
            </w:tcBorders>
          </w:tcPr>
          <w:p w14:paraId="049D517E" w14:textId="77777777" w:rsidR="001C08A5" w:rsidRDefault="00000000">
            <w:pPr>
              <w:jc w:val="center"/>
              <w:rPr>
                <w:b/>
                <w:bCs/>
                <w:i/>
                <w:iCs/>
                <w:sz w:val="22"/>
                <w:szCs w:val="22"/>
              </w:rPr>
            </w:pPr>
            <w:r>
              <w:rPr>
                <w:b/>
                <w:bCs/>
                <w:i/>
                <w:iCs/>
                <w:sz w:val="22"/>
                <w:szCs w:val="22"/>
              </w:rPr>
              <w:t>Plan</w:t>
            </w:r>
          </w:p>
        </w:tc>
        <w:tc>
          <w:tcPr>
            <w:tcW w:w="3285" w:type="dxa"/>
            <w:tcBorders>
              <w:top w:val="nil"/>
              <w:left w:val="nil"/>
              <w:bottom w:val="nil"/>
              <w:right w:val="nil"/>
            </w:tcBorders>
          </w:tcPr>
          <w:p w14:paraId="224BF391" w14:textId="77777777" w:rsidR="001C08A5" w:rsidRDefault="00000000">
            <w:pPr>
              <w:jc w:val="center"/>
              <w:rPr>
                <w:b/>
                <w:bCs/>
                <w:i/>
                <w:iCs/>
                <w:sz w:val="22"/>
                <w:szCs w:val="22"/>
              </w:rPr>
            </w:pPr>
            <w:r>
              <w:rPr>
                <w:b/>
                <w:bCs/>
                <w:i/>
                <w:iCs/>
                <w:sz w:val="22"/>
                <w:szCs w:val="22"/>
              </w:rPr>
              <w:t>Secțiune</w:t>
            </w:r>
          </w:p>
        </w:tc>
        <w:tc>
          <w:tcPr>
            <w:tcW w:w="3285" w:type="dxa"/>
            <w:tcBorders>
              <w:top w:val="nil"/>
              <w:left w:val="nil"/>
              <w:bottom w:val="nil"/>
              <w:right w:val="nil"/>
            </w:tcBorders>
          </w:tcPr>
          <w:p w14:paraId="56CBBC45" w14:textId="77777777" w:rsidR="001C08A5" w:rsidRDefault="00000000">
            <w:pPr>
              <w:jc w:val="center"/>
              <w:rPr>
                <w:b/>
                <w:bCs/>
                <w:i/>
                <w:iCs/>
                <w:sz w:val="22"/>
                <w:szCs w:val="22"/>
              </w:rPr>
            </w:pPr>
            <w:r>
              <w:rPr>
                <w:b/>
                <w:bCs/>
                <w:i/>
                <w:iCs/>
                <w:sz w:val="22"/>
                <w:szCs w:val="22"/>
              </w:rPr>
              <w:t>Axonometrie</w:t>
            </w:r>
          </w:p>
        </w:tc>
      </w:tr>
    </w:tbl>
    <w:p w14:paraId="37BDDF1C" w14:textId="77777777" w:rsidR="001C08A5" w:rsidRDefault="00000000">
      <w:pPr>
        <w:pStyle w:val="Default"/>
        <w:rPr>
          <w:color w:val="auto"/>
        </w:rPr>
      </w:pPr>
      <w:r>
        <w:rPr>
          <w:noProof/>
          <w:color w:val="auto"/>
          <w:lang w:val="ro-RO" w:eastAsia="ro-RO"/>
        </w:rPr>
        <w:drawing>
          <wp:inline distT="0" distB="0" distL="114300" distR="114300" wp14:anchorId="5679773C" wp14:editId="0CE00C92">
            <wp:extent cx="6092190" cy="2056765"/>
            <wp:effectExtent l="0" t="0" r="3810" b="635"/>
            <wp:docPr id="10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33"/>
                    <pic:cNvPicPr>
                      <a:picLocks noChangeAspect="1"/>
                    </pic:cNvPicPr>
                  </pic:nvPicPr>
                  <pic:blipFill>
                    <a:blip r:embed="rId115"/>
                    <a:srcRect l="12089" t="58518" r="7201" b="3581"/>
                    <a:stretch>
                      <a:fillRect/>
                    </a:stretch>
                  </pic:blipFill>
                  <pic:spPr>
                    <a:xfrm>
                      <a:off x="0" y="0"/>
                      <a:ext cx="6092190" cy="2056765"/>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201"/>
        <w:gridCol w:w="3213"/>
        <w:gridCol w:w="3225"/>
      </w:tblGrid>
      <w:tr w:rsidR="001C08A5" w14:paraId="06DDB7BB" w14:textId="77777777">
        <w:tc>
          <w:tcPr>
            <w:tcW w:w="3285" w:type="dxa"/>
            <w:tcBorders>
              <w:top w:val="nil"/>
              <w:left w:val="nil"/>
              <w:bottom w:val="nil"/>
              <w:right w:val="nil"/>
            </w:tcBorders>
          </w:tcPr>
          <w:p w14:paraId="0A2500A1" w14:textId="77777777" w:rsidR="001C08A5" w:rsidRDefault="00000000">
            <w:pPr>
              <w:jc w:val="center"/>
              <w:rPr>
                <w:b/>
                <w:bCs/>
                <w:i/>
                <w:iCs/>
                <w:sz w:val="22"/>
                <w:szCs w:val="22"/>
              </w:rPr>
            </w:pPr>
            <w:r>
              <w:rPr>
                <w:b/>
                <w:bCs/>
                <w:i/>
                <w:iCs/>
                <w:sz w:val="22"/>
                <w:szCs w:val="22"/>
              </w:rPr>
              <w:t>Plan</w:t>
            </w:r>
          </w:p>
        </w:tc>
        <w:tc>
          <w:tcPr>
            <w:tcW w:w="3285" w:type="dxa"/>
            <w:tcBorders>
              <w:top w:val="nil"/>
              <w:left w:val="nil"/>
              <w:bottom w:val="nil"/>
              <w:right w:val="nil"/>
            </w:tcBorders>
          </w:tcPr>
          <w:p w14:paraId="4895D098" w14:textId="77777777" w:rsidR="001C08A5" w:rsidRDefault="00000000">
            <w:pPr>
              <w:jc w:val="center"/>
              <w:rPr>
                <w:b/>
                <w:bCs/>
                <w:i/>
                <w:iCs/>
                <w:sz w:val="22"/>
                <w:szCs w:val="22"/>
              </w:rPr>
            </w:pPr>
            <w:r>
              <w:rPr>
                <w:b/>
                <w:bCs/>
                <w:i/>
                <w:iCs/>
                <w:sz w:val="22"/>
                <w:szCs w:val="22"/>
              </w:rPr>
              <w:t>Secțiune</w:t>
            </w:r>
          </w:p>
        </w:tc>
        <w:tc>
          <w:tcPr>
            <w:tcW w:w="3285" w:type="dxa"/>
            <w:tcBorders>
              <w:top w:val="nil"/>
              <w:left w:val="nil"/>
              <w:bottom w:val="nil"/>
              <w:right w:val="nil"/>
            </w:tcBorders>
          </w:tcPr>
          <w:p w14:paraId="36702239" w14:textId="77777777" w:rsidR="001C08A5" w:rsidRDefault="00000000">
            <w:pPr>
              <w:jc w:val="center"/>
              <w:rPr>
                <w:b/>
                <w:bCs/>
                <w:i/>
                <w:iCs/>
                <w:sz w:val="22"/>
                <w:szCs w:val="22"/>
              </w:rPr>
            </w:pPr>
            <w:r>
              <w:rPr>
                <w:b/>
                <w:bCs/>
                <w:i/>
                <w:iCs/>
                <w:sz w:val="22"/>
                <w:szCs w:val="22"/>
              </w:rPr>
              <w:t>Axonometrie</w:t>
            </w:r>
          </w:p>
        </w:tc>
      </w:tr>
    </w:tbl>
    <w:p w14:paraId="02DE3E4E" w14:textId="77777777" w:rsidR="001C08A5" w:rsidRDefault="00000000">
      <w:pPr>
        <w:jc w:val="center"/>
        <w:rPr>
          <w:i/>
          <w:iCs/>
          <w:sz w:val="22"/>
          <w:szCs w:val="22"/>
        </w:rPr>
      </w:pPr>
      <w:r>
        <w:rPr>
          <w:i/>
          <w:iCs/>
          <w:sz w:val="22"/>
          <w:szCs w:val="22"/>
        </w:rPr>
        <w:t xml:space="preserve">Separare compartimente de incendiu cu înălţimi egale prin depășire cu minimum </w:t>
      </w:r>
      <w:r>
        <w:rPr>
          <w:b/>
          <w:i/>
          <w:iCs/>
          <w:sz w:val="22"/>
          <w:szCs w:val="22"/>
        </w:rPr>
        <w:t xml:space="preserve">60 cm </w:t>
      </w:r>
      <w:r>
        <w:rPr>
          <w:i/>
          <w:iCs/>
          <w:sz w:val="22"/>
          <w:szCs w:val="22"/>
        </w:rPr>
        <w:t>(măsurat pe verticală), faţă de orice astfel de element combustibil al acoperişurilor</w:t>
      </w:r>
    </w:p>
    <w:p w14:paraId="2308E0BF" w14:textId="77777777" w:rsidR="001C08A5" w:rsidRDefault="00000000">
      <w:pPr>
        <w:pStyle w:val="Caption"/>
        <w:jc w:val="center"/>
        <w:rPr>
          <w:rFonts w:cs="Times New Roman"/>
          <w:bCs/>
          <w:iCs w:val="0"/>
        </w:rPr>
      </w:pPr>
      <w:bookmarkStart w:id="970" w:name="_Ref10524"/>
      <w:bookmarkStart w:id="971" w:name="_Toc2629"/>
      <w:bookmarkStart w:id="972" w:name="_Toc22541"/>
      <w:bookmarkStart w:id="973" w:name="_Toc7829"/>
      <w:bookmarkStart w:id="974" w:name="_Toc28313"/>
      <w:bookmarkStart w:id="975" w:name="_Toc3781"/>
      <w:bookmarkStart w:id="976" w:name="_Toc15060"/>
      <w:bookmarkStart w:id="977" w:name="_Ref5472"/>
      <w:bookmarkStart w:id="978" w:name="_Toc162360260"/>
      <w:r>
        <w:t xml:space="preserve">Figura </w:t>
      </w:r>
      <w:r>
        <w:fldChar w:fldCharType="begin"/>
      </w:r>
      <w:r>
        <w:instrText xml:space="preserve"> SEQ Figura \* ARABIC </w:instrText>
      </w:r>
      <w:r>
        <w:fldChar w:fldCharType="separate"/>
      </w:r>
      <w:r>
        <w:t>36</w:t>
      </w:r>
      <w:r>
        <w:fldChar w:fldCharType="end"/>
      </w:r>
      <w:bookmarkStart w:id="979" w:name="_Toc10298"/>
      <w:bookmarkStart w:id="980" w:name="_Toc27416"/>
      <w:bookmarkStart w:id="981" w:name="_Toc8383"/>
      <w:bookmarkStart w:id="982" w:name="_Toc14516"/>
      <w:bookmarkStart w:id="983" w:name="_Toc16236"/>
      <w:bookmarkStart w:id="984" w:name="_Toc12986"/>
      <w:bookmarkStart w:id="985" w:name="_Toc16095"/>
      <w:bookmarkStart w:id="986" w:name="_Toc23524"/>
      <w:bookmarkStart w:id="987" w:name="_Toc7058"/>
      <w:bookmarkStart w:id="988" w:name="_Toc6376"/>
      <w:bookmarkStart w:id="989" w:name="_Toc9180"/>
      <w:bookmarkEnd w:id="970"/>
      <w:r>
        <w:t xml:space="preserve"> - </w:t>
      </w:r>
      <w:r>
        <w:rPr>
          <w:rFonts w:cs="Times New Roman"/>
          <w:bCs/>
          <w:iCs w:val="0"/>
        </w:rPr>
        <w:t>Separare compartimente de incendiu cu înălţimi egale</w:t>
      </w:r>
      <w:bookmarkEnd w:id="971"/>
      <w:bookmarkEnd w:id="972"/>
      <w:bookmarkEnd w:id="973"/>
      <w:bookmarkEnd w:id="974"/>
      <w:bookmarkEnd w:id="975"/>
      <w:bookmarkEnd w:id="976"/>
      <w:r>
        <w:rPr>
          <w:rFonts w:cs="Times New Roman"/>
          <w:bCs/>
          <w:iCs w:val="0"/>
        </w:rPr>
        <w:t xml:space="preserve"> </w:t>
      </w:r>
      <w:r>
        <w:t>prin depășirea acoperișului cu minimum 60 cm (a peretelui antifoc)</w:t>
      </w:r>
      <w:bookmarkEnd w:id="977"/>
      <w:bookmarkEnd w:id="978"/>
      <w:bookmarkEnd w:id="979"/>
      <w:bookmarkEnd w:id="980"/>
      <w:bookmarkEnd w:id="981"/>
      <w:bookmarkEnd w:id="982"/>
      <w:bookmarkEnd w:id="983"/>
      <w:bookmarkEnd w:id="984"/>
      <w:bookmarkEnd w:id="985"/>
      <w:bookmarkEnd w:id="986"/>
      <w:bookmarkEnd w:id="987"/>
      <w:bookmarkEnd w:id="988"/>
      <w:bookmarkEnd w:id="989"/>
    </w:p>
    <w:p w14:paraId="26A2D1E3" w14:textId="77777777" w:rsidR="001C08A5" w:rsidRDefault="00000000">
      <w:pPr>
        <w:ind w:firstLine="705"/>
        <w:jc w:val="both"/>
        <w:rPr>
          <w:i/>
          <w:sz w:val="22"/>
          <w:szCs w:val="22"/>
        </w:rPr>
      </w:pPr>
      <w:r>
        <w:rPr>
          <w:bCs/>
          <w:i/>
          <w:sz w:val="22"/>
          <w:szCs w:val="22"/>
        </w:rPr>
        <w:t xml:space="preserve">Legendă </w:t>
      </w:r>
      <w:r>
        <w:rPr>
          <w:b/>
          <w:i/>
          <w:iCs/>
          <w:sz w:val="22"/>
          <w:szCs w:val="22"/>
        </w:rPr>
        <w:t>Figura 37</w:t>
      </w:r>
      <w:r>
        <w:rPr>
          <w:bCs/>
          <w:i/>
          <w:iCs/>
          <w:sz w:val="22"/>
          <w:szCs w:val="22"/>
        </w:rPr>
        <w:t>:</w:t>
      </w:r>
      <w:r>
        <w:rPr>
          <w:bCs/>
          <w:i/>
          <w:sz w:val="22"/>
          <w:szCs w:val="22"/>
        </w:rPr>
        <w:t xml:space="preserve"> 1 - compartiment </w:t>
      </w:r>
      <w:r>
        <w:rPr>
          <w:b/>
          <w:i/>
          <w:sz w:val="22"/>
          <w:szCs w:val="22"/>
        </w:rPr>
        <w:t>1</w:t>
      </w:r>
      <w:r>
        <w:rPr>
          <w:bCs/>
          <w:i/>
          <w:sz w:val="22"/>
          <w:szCs w:val="22"/>
        </w:rPr>
        <w:t xml:space="preserve"> de incendiu; 2 - compartiment </w:t>
      </w:r>
      <w:r>
        <w:rPr>
          <w:b/>
          <w:i/>
          <w:sz w:val="22"/>
          <w:szCs w:val="22"/>
        </w:rPr>
        <w:t>2</w:t>
      </w:r>
      <w:r>
        <w:rPr>
          <w:bCs/>
          <w:i/>
          <w:sz w:val="22"/>
          <w:szCs w:val="22"/>
        </w:rPr>
        <w:t xml:space="preserve"> de incendiu; 3 - perete antifoc conform </w:t>
      </w:r>
      <w:r>
        <w:rPr>
          <w:b/>
          <w:i/>
          <w:sz w:val="22"/>
          <w:szCs w:val="22"/>
        </w:rPr>
        <w:t>Art. 2.3.2.1.2</w:t>
      </w:r>
      <w:r>
        <w:rPr>
          <w:bCs/>
          <w:i/>
          <w:sz w:val="22"/>
          <w:szCs w:val="22"/>
        </w:rPr>
        <w:t>.</w:t>
      </w:r>
    </w:p>
    <w:p w14:paraId="4F5ABB6B" w14:textId="77777777" w:rsidR="001C08A5" w:rsidRDefault="001C08A5">
      <w:pPr>
        <w:rPr>
          <w:sz w:val="24"/>
          <w:szCs w:val="24"/>
        </w:rPr>
      </w:pPr>
    </w:p>
    <w:p w14:paraId="66D4DC6C" w14:textId="77777777" w:rsidR="001C08A5" w:rsidRDefault="00000000">
      <w:r>
        <w:rPr>
          <w:noProof/>
          <w:lang w:eastAsia="ro-RO"/>
        </w:rPr>
        <w:drawing>
          <wp:inline distT="0" distB="0" distL="0" distR="0" wp14:anchorId="0A4EF35E" wp14:editId="11DB04B7">
            <wp:extent cx="6058535" cy="1250950"/>
            <wp:effectExtent l="0" t="0" r="18415" b="6350"/>
            <wp:docPr id="1087" name="Picture 53"/>
            <wp:cNvGraphicFramePr/>
            <a:graphic xmlns:a="http://schemas.openxmlformats.org/drawingml/2006/main">
              <a:graphicData uri="http://schemas.openxmlformats.org/drawingml/2006/picture">
                <pic:pic xmlns:pic="http://schemas.openxmlformats.org/drawingml/2006/picture">
                  <pic:nvPicPr>
                    <pic:cNvPr id="1087" name="Picture 53"/>
                    <pic:cNvPicPr/>
                  </pic:nvPicPr>
                  <pic:blipFill>
                    <a:blip r:embed="rId116" cstate="print"/>
                    <a:srcRect l="12392" t="8395" r="7344" b="66847"/>
                    <a:stretch>
                      <a:fillRect/>
                    </a:stretch>
                  </pic:blipFill>
                  <pic:spPr>
                    <a:xfrm>
                      <a:off x="0" y="0"/>
                      <a:ext cx="6058535" cy="1250950"/>
                    </a:xfrm>
                    <a:prstGeom prst="rect">
                      <a:avLst/>
                    </a:prstGeom>
                    <a:ln>
                      <a:noFill/>
                    </a:ln>
                  </pic:spPr>
                </pic:pic>
              </a:graphicData>
            </a:graphic>
          </wp:inline>
        </w:drawing>
      </w:r>
    </w:p>
    <w:p w14:paraId="0F19124C" w14:textId="77777777" w:rsidR="001C08A5" w:rsidRDefault="00000000">
      <w:pPr>
        <w:jc w:val="center"/>
        <w:rPr>
          <w:sz w:val="22"/>
          <w:szCs w:val="22"/>
        </w:rPr>
      </w:pPr>
      <w:r>
        <w:rPr>
          <w:b/>
          <w:bCs/>
          <w:i/>
          <w:iCs/>
          <w:sz w:val="22"/>
          <w:szCs w:val="22"/>
        </w:rPr>
        <w:t>Secțiune</w:t>
      </w:r>
    </w:p>
    <w:p w14:paraId="4FDFB923" w14:textId="77777777" w:rsidR="001C08A5" w:rsidRDefault="00000000">
      <w:pPr>
        <w:jc w:val="center"/>
      </w:pPr>
      <w:r>
        <w:rPr>
          <w:noProof/>
          <w:lang w:eastAsia="ro-RO"/>
        </w:rPr>
        <w:drawing>
          <wp:inline distT="0" distB="0" distL="0" distR="0" wp14:anchorId="1A50905D" wp14:editId="1FBEF5E3">
            <wp:extent cx="6058535" cy="2169160"/>
            <wp:effectExtent l="0" t="0" r="18415" b="2540"/>
            <wp:docPr id="1088" name="Picture 53"/>
            <wp:cNvGraphicFramePr/>
            <a:graphic xmlns:a="http://schemas.openxmlformats.org/drawingml/2006/main">
              <a:graphicData uri="http://schemas.openxmlformats.org/drawingml/2006/picture">
                <pic:pic xmlns:pic="http://schemas.openxmlformats.org/drawingml/2006/picture">
                  <pic:nvPicPr>
                    <pic:cNvPr id="1088" name="Picture 53"/>
                    <pic:cNvPicPr/>
                  </pic:nvPicPr>
                  <pic:blipFill>
                    <a:blip r:embed="rId116" cstate="print"/>
                    <a:srcRect l="12392" t="46098" r="7344" b="10971"/>
                    <a:stretch>
                      <a:fillRect/>
                    </a:stretch>
                  </pic:blipFill>
                  <pic:spPr>
                    <a:xfrm>
                      <a:off x="0" y="0"/>
                      <a:ext cx="6058535" cy="2169160"/>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810"/>
      </w:tblGrid>
      <w:tr w:rsidR="001C08A5" w14:paraId="0B37221F" w14:textId="77777777">
        <w:tc>
          <w:tcPr>
            <w:tcW w:w="4927" w:type="dxa"/>
          </w:tcPr>
          <w:p w14:paraId="54CE5126" w14:textId="77777777" w:rsidR="001C08A5" w:rsidRDefault="00000000">
            <w:pPr>
              <w:jc w:val="center"/>
              <w:rPr>
                <w:sz w:val="22"/>
                <w:szCs w:val="22"/>
              </w:rPr>
            </w:pPr>
            <w:r>
              <w:rPr>
                <w:b/>
                <w:bCs/>
                <w:i/>
                <w:iCs/>
                <w:sz w:val="22"/>
                <w:szCs w:val="22"/>
              </w:rPr>
              <w:t>Axonometrie</w:t>
            </w:r>
          </w:p>
        </w:tc>
        <w:tc>
          <w:tcPr>
            <w:tcW w:w="4928" w:type="dxa"/>
          </w:tcPr>
          <w:p w14:paraId="0A0C0C0E" w14:textId="77777777" w:rsidR="001C08A5" w:rsidRDefault="00000000">
            <w:pPr>
              <w:jc w:val="center"/>
              <w:rPr>
                <w:sz w:val="22"/>
                <w:szCs w:val="22"/>
              </w:rPr>
            </w:pPr>
            <w:r>
              <w:rPr>
                <w:b/>
                <w:bCs/>
                <w:i/>
                <w:iCs/>
                <w:sz w:val="22"/>
                <w:szCs w:val="22"/>
              </w:rPr>
              <w:t>Plan</w:t>
            </w:r>
          </w:p>
        </w:tc>
      </w:tr>
    </w:tbl>
    <w:p w14:paraId="5D24B91B" w14:textId="77777777" w:rsidR="001C08A5" w:rsidRDefault="00000000">
      <w:pPr>
        <w:jc w:val="center"/>
        <w:rPr>
          <w:b/>
          <w:bCs/>
          <w:i/>
          <w:iCs/>
          <w:sz w:val="22"/>
          <w:szCs w:val="22"/>
        </w:rPr>
      </w:pPr>
      <w:r>
        <w:rPr>
          <w:b/>
          <w:bCs/>
          <w:i/>
          <w:iCs/>
          <w:sz w:val="22"/>
          <w:szCs w:val="22"/>
        </w:rPr>
        <w:t>Varianta a) perete antifoc transversal</w:t>
      </w:r>
    </w:p>
    <w:p w14:paraId="64DE2356" w14:textId="77777777" w:rsidR="001C08A5" w:rsidRDefault="001C08A5">
      <w:pPr>
        <w:rPr>
          <w:i/>
          <w:iCs/>
          <w:sz w:val="24"/>
          <w:szCs w:val="24"/>
        </w:rPr>
      </w:pPr>
    </w:p>
    <w:p w14:paraId="38FE94FA" w14:textId="77777777" w:rsidR="001C08A5" w:rsidRDefault="00000000">
      <w:r>
        <w:rPr>
          <w:noProof/>
          <w:lang w:eastAsia="ro-RO"/>
        </w:rPr>
        <w:drawing>
          <wp:inline distT="0" distB="0" distL="0" distR="0" wp14:anchorId="7BEBBE7B" wp14:editId="1DF77DA8">
            <wp:extent cx="6068060" cy="1674495"/>
            <wp:effectExtent l="0" t="0" r="8890" b="1270"/>
            <wp:docPr id="1089" name="Picture 54"/>
            <wp:cNvGraphicFramePr/>
            <a:graphic xmlns:a="http://schemas.openxmlformats.org/drawingml/2006/main">
              <a:graphicData uri="http://schemas.openxmlformats.org/drawingml/2006/picture">
                <pic:pic xmlns:pic="http://schemas.openxmlformats.org/drawingml/2006/picture">
                  <pic:nvPicPr>
                    <pic:cNvPr id="1089" name="Picture 54"/>
                    <pic:cNvPicPr/>
                  </pic:nvPicPr>
                  <pic:blipFill>
                    <a:blip r:embed="rId117" cstate="print"/>
                    <a:srcRect l="12383" t="3770" r="7226" b="63078"/>
                    <a:stretch>
                      <a:fillRect/>
                    </a:stretch>
                  </pic:blipFill>
                  <pic:spPr>
                    <a:xfrm>
                      <a:off x="0" y="0"/>
                      <a:ext cx="6068060" cy="1675128"/>
                    </a:xfrm>
                    <a:prstGeom prst="rect">
                      <a:avLst/>
                    </a:prstGeom>
                    <a:ln>
                      <a:noFill/>
                    </a:ln>
                  </pic:spPr>
                </pic:pic>
              </a:graphicData>
            </a:graphic>
          </wp:inline>
        </w:drawing>
      </w:r>
    </w:p>
    <w:p w14:paraId="19A60288" w14:textId="77777777" w:rsidR="001C08A5" w:rsidRDefault="00000000">
      <w:pPr>
        <w:jc w:val="center"/>
        <w:rPr>
          <w:sz w:val="22"/>
          <w:szCs w:val="22"/>
        </w:rPr>
      </w:pPr>
      <w:r>
        <w:rPr>
          <w:b/>
          <w:bCs/>
          <w:i/>
          <w:iCs/>
          <w:sz w:val="22"/>
          <w:szCs w:val="22"/>
        </w:rPr>
        <w:t>Secțiune</w:t>
      </w:r>
    </w:p>
    <w:p w14:paraId="10BBC85E" w14:textId="77777777" w:rsidR="001C08A5" w:rsidRDefault="00000000">
      <w:r>
        <w:rPr>
          <w:noProof/>
          <w:lang w:eastAsia="ro-RO"/>
        </w:rPr>
        <w:drawing>
          <wp:inline distT="0" distB="0" distL="0" distR="0" wp14:anchorId="3A9C4B02" wp14:editId="18F64F51">
            <wp:extent cx="6068060" cy="2454910"/>
            <wp:effectExtent l="0" t="0" r="8890" b="2540"/>
            <wp:docPr id="1090" name="Picture 54"/>
            <wp:cNvGraphicFramePr/>
            <a:graphic xmlns:a="http://schemas.openxmlformats.org/drawingml/2006/main">
              <a:graphicData uri="http://schemas.openxmlformats.org/drawingml/2006/picture">
                <pic:pic xmlns:pic="http://schemas.openxmlformats.org/drawingml/2006/picture">
                  <pic:nvPicPr>
                    <pic:cNvPr id="1090" name="Picture 54"/>
                    <pic:cNvPicPr/>
                  </pic:nvPicPr>
                  <pic:blipFill>
                    <a:blip r:embed="rId117" cstate="print"/>
                    <a:srcRect l="12383" t="40266" r="7226" b="11147"/>
                    <a:stretch>
                      <a:fillRect/>
                    </a:stretch>
                  </pic:blipFill>
                  <pic:spPr>
                    <a:xfrm>
                      <a:off x="0" y="0"/>
                      <a:ext cx="6068060" cy="2454910"/>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810"/>
      </w:tblGrid>
      <w:tr w:rsidR="001C08A5" w14:paraId="60CF945F" w14:textId="77777777">
        <w:tc>
          <w:tcPr>
            <w:tcW w:w="4927" w:type="dxa"/>
          </w:tcPr>
          <w:p w14:paraId="0F027107" w14:textId="77777777" w:rsidR="001C08A5" w:rsidRDefault="00000000">
            <w:pPr>
              <w:jc w:val="center"/>
              <w:rPr>
                <w:sz w:val="22"/>
                <w:szCs w:val="22"/>
              </w:rPr>
            </w:pPr>
            <w:r>
              <w:rPr>
                <w:b/>
                <w:bCs/>
                <w:i/>
                <w:iCs/>
                <w:sz w:val="22"/>
                <w:szCs w:val="22"/>
              </w:rPr>
              <w:t>Axonometrie</w:t>
            </w:r>
          </w:p>
        </w:tc>
        <w:tc>
          <w:tcPr>
            <w:tcW w:w="4928" w:type="dxa"/>
          </w:tcPr>
          <w:p w14:paraId="6BB6D9D4" w14:textId="77777777" w:rsidR="001C08A5" w:rsidRDefault="00000000">
            <w:pPr>
              <w:jc w:val="center"/>
              <w:rPr>
                <w:sz w:val="22"/>
                <w:szCs w:val="22"/>
              </w:rPr>
            </w:pPr>
            <w:r>
              <w:rPr>
                <w:b/>
                <w:bCs/>
                <w:i/>
                <w:iCs/>
                <w:sz w:val="22"/>
                <w:szCs w:val="22"/>
              </w:rPr>
              <w:t>Plan</w:t>
            </w:r>
          </w:p>
        </w:tc>
      </w:tr>
    </w:tbl>
    <w:p w14:paraId="167BF22E" w14:textId="77777777" w:rsidR="001C08A5" w:rsidRDefault="00000000">
      <w:pPr>
        <w:jc w:val="center"/>
        <w:rPr>
          <w:b/>
          <w:bCs/>
          <w:sz w:val="22"/>
          <w:szCs w:val="22"/>
        </w:rPr>
      </w:pPr>
      <w:r>
        <w:rPr>
          <w:b/>
          <w:bCs/>
          <w:i/>
          <w:iCs/>
          <w:sz w:val="22"/>
          <w:szCs w:val="22"/>
        </w:rPr>
        <w:t>Varianta b) perete antifoc longitudinal</w:t>
      </w:r>
    </w:p>
    <w:p w14:paraId="2C06973E" w14:textId="77777777" w:rsidR="001C08A5" w:rsidRDefault="00000000">
      <w:pPr>
        <w:pStyle w:val="Caption"/>
        <w:jc w:val="center"/>
        <w:rPr>
          <w:rFonts w:cs="Times New Roman"/>
          <w:bCs/>
          <w:iCs w:val="0"/>
        </w:rPr>
      </w:pPr>
      <w:bookmarkStart w:id="990" w:name="_Ref11533"/>
      <w:bookmarkStart w:id="991" w:name="_Toc28951"/>
      <w:bookmarkStart w:id="992" w:name="_Toc27163"/>
      <w:bookmarkStart w:id="993" w:name="_Toc1500"/>
      <w:bookmarkStart w:id="994" w:name="_Toc6492"/>
      <w:bookmarkStart w:id="995" w:name="_Toc162360261"/>
      <w:bookmarkStart w:id="996" w:name="_Toc32006"/>
      <w:bookmarkStart w:id="997" w:name="_Toc4053"/>
      <w:r>
        <w:t xml:space="preserve">Figura </w:t>
      </w:r>
      <w:r>
        <w:fldChar w:fldCharType="begin"/>
      </w:r>
      <w:r>
        <w:instrText xml:space="preserve"> SEQ Figura \* ARABIC </w:instrText>
      </w:r>
      <w:r>
        <w:fldChar w:fldCharType="separate"/>
      </w:r>
      <w:r>
        <w:t>37</w:t>
      </w:r>
      <w:r>
        <w:fldChar w:fldCharType="end"/>
      </w:r>
      <w:bookmarkStart w:id="998" w:name="_Toc18400"/>
      <w:bookmarkStart w:id="999" w:name="_Toc18429"/>
      <w:bookmarkStart w:id="1000" w:name="_Toc23180"/>
      <w:bookmarkStart w:id="1001" w:name="_Toc5199"/>
      <w:bookmarkStart w:id="1002" w:name="_Toc32614"/>
      <w:bookmarkStart w:id="1003" w:name="_Toc14218"/>
      <w:bookmarkStart w:id="1004" w:name="_Toc16763"/>
      <w:bookmarkStart w:id="1005" w:name="_Toc2265"/>
      <w:bookmarkStart w:id="1006" w:name="_Toc21737"/>
      <w:bookmarkStart w:id="1007" w:name="_Toc31935"/>
      <w:bookmarkStart w:id="1008" w:name="_Toc20963"/>
      <w:bookmarkEnd w:id="990"/>
      <w:r>
        <w:t xml:space="preserve"> - </w:t>
      </w:r>
      <w:r>
        <w:rPr>
          <w:rFonts w:cs="Times New Roman"/>
          <w:bCs/>
          <w:iCs w:val="0"/>
        </w:rPr>
        <w:t>Depăşirea planurilor exterioare ale acoperişurilor și pereţilor combustibili</w:t>
      </w:r>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p>
    <w:p w14:paraId="13E4F8C6" w14:textId="77777777" w:rsidR="001C08A5" w:rsidRDefault="00000000">
      <w:pPr>
        <w:jc w:val="center"/>
        <w:rPr>
          <w:i/>
          <w:sz w:val="22"/>
          <w:szCs w:val="22"/>
        </w:rPr>
      </w:pPr>
      <w:r>
        <w:rPr>
          <w:bCs/>
          <w:i/>
          <w:sz w:val="22"/>
          <w:szCs w:val="22"/>
        </w:rPr>
        <w:lastRenderedPageBreak/>
        <w:t xml:space="preserve">Legendă </w:t>
      </w:r>
      <w:r>
        <w:rPr>
          <w:b/>
          <w:i/>
          <w:iCs/>
          <w:sz w:val="22"/>
          <w:szCs w:val="22"/>
        </w:rPr>
        <w:t>Figura 38</w:t>
      </w:r>
      <w:r>
        <w:rPr>
          <w:bCs/>
          <w:i/>
          <w:iCs/>
          <w:sz w:val="22"/>
          <w:szCs w:val="22"/>
        </w:rPr>
        <w:t>:</w:t>
      </w:r>
      <w:r>
        <w:rPr>
          <w:bCs/>
          <w:i/>
          <w:sz w:val="22"/>
          <w:szCs w:val="22"/>
        </w:rPr>
        <w:t xml:space="preserve"> </w:t>
      </w:r>
      <w:r>
        <w:rPr>
          <w:i/>
          <w:sz w:val="22"/>
          <w:szCs w:val="22"/>
        </w:rPr>
        <w:t xml:space="preserve">1 - perete rezistent la foc de separare a compartimentelor de incendiu (antifoc) </w:t>
      </w:r>
      <w:r>
        <w:rPr>
          <w:bCs/>
          <w:i/>
          <w:sz w:val="22"/>
          <w:szCs w:val="22"/>
        </w:rPr>
        <w:t xml:space="preserve">conform </w:t>
      </w:r>
      <w:r>
        <w:rPr>
          <w:b/>
          <w:i/>
          <w:sz w:val="22"/>
          <w:szCs w:val="22"/>
        </w:rPr>
        <w:t>Art. 2.3.2.1.2</w:t>
      </w:r>
      <w:r>
        <w:rPr>
          <w:bCs/>
          <w:i/>
          <w:sz w:val="22"/>
          <w:szCs w:val="22"/>
        </w:rPr>
        <w:t>.</w:t>
      </w:r>
      <w:r>
        <w:rPr>
          <w:i/>
          <w:sz w:val="22"/>
          <w:szCs w:val="22"/>
        </w:rPr>
        <w:t xml:space="preserve">; 2 - luminator dispus la distanța de min. </w:t>
      </w:r>
      <w:r>
        <w:rPr>
          <w:b/>
          <w:bCs/>
          <w:i/>
          <w:sz w:val="22"/>
          <w:szCs w:val="22"/>
        </w:rPr>
        <w:t>4 m</w:t>
      </w:r>
      <w:r>
        <w:rPr>
          <w:i/>
          <w:sz w:val="22"/>
          <w:szCs w:val="22"/>
        </w:rPr>
        <w:t xml:space="preserve"> (nu este realizat din produse clasa de reacţie la foc  </w:t>
      </w:r>
      <w:r>
        <w:rPr>
          <w:b/>
          <w:bCs/>
          <w:i/>
          <w:sz w:val="22"/>
          <w:szCs w:val="22"/>
        </w:rPr>
        <w:t xml:space="preserve">A1 </w:t>
      </w:r>
      <w:r>
        <w:rPr>
          <w:i/>
          <w:sz w:val="22"/>
          <w:szCs w:val="22"/>
        </w:rPr>
        <w:t xml:space="preserve">sau </w:t>
      </w:r>
      <w:r>
        <w:rPr>
          <w:b/>
          <w:bCs/>
          <w:i/>
          <w:sz w:val="22"/>
          <w:szCs w:val="22"/>
        </w:rPr>
        <w:t>A2-s1d0</w:t>
      </w:r>
      <w:r>
        <w:rPr>
          <w:i/>
          <w:sz w:val="22"/>
          <w:szCs w:val="22"/>
        </w:rPr>
        <w:t xml:space="preserve">); 3 - acoperiș combustibil (nu este realizat din produse clasa de reacţie la foc </w:t>
      </w:r>
      <w:r>
        <w:rPr>
          <w:b/>
          <w:bCs/>
          <w:i/>
          <w:sz w:val="22"/>
          <w:szCs w:val="22"/>
        </w:rPr>
        <w:t xml:space="preserve">A1 </w:t>
      </w:r>
      <w:r>
        <w:rPr>
          <w:i/>
          <w:sz w:val="22"/>
          <w:szCs w:val="22"/>
        </w:rPr>
        <w:t xml:space="preserve">sau </w:t>
      </w:r>
      <w:r>
        <w:rPr>
          <w:b/>
          <w:bCs/>
          <w:i/>
          <w:sz w:val="22"/>
          <w:szCs w:val="22"/>
        </w:rPr>
        <w:t>A2-s1d0</w:t>
      </w:r>
      <w:r>
        <w:rPr>
          <w:i/>
          <w:sz w:val="22"/>
          <w:szCs w:val="22"/>
        </w:rPr>
        <w:t>)</w:t>
      </w:r>
    </w:p>
    <w:p w14:paraId="52286FD6" w14:textId="77777777" w:rsidR="001C08A5" w:rsidRDefault="001C08A5">
      <w:pPr>
        <w:rPr>
          <w:sz w:val="24"/>
          <w:szCs w:val="24"/>
        </w:rPr>
      </w:pPr>
    </w:p>
    <w:p w14:paraId="74574F83" w14:textId="77777777" w:rsidR="001C08A5" w:rsidRDefault="00000000">
      <w:pPr>
        <w:ind w:firstLine="705"/>
        <w:jc w:val="both"/>
        <w:rPr>
          <w:sz w:val="24"/>
          <w:szCs w:val="24"/>
        </w:rPr>
      </w:pPr>
      <w:r>
        <w:rPr>
          <w:b/>
          <w:sz w:val="24"/>
          <w:szCs w:val="24"/>
        </w:rPr>
        <w:t>Art. 2.3.2.1.8.</w:t>
      </w:r>
      <w:r>
        <w:rPr>
          <w:sz w:val="24"/>
          <w:szCs w:val="24"/>
        </w:rPr>
        <w:t xml:space="preserve"> Pereţii rezistenţi la foc de separare a compartimentelor de incendiu (pereţi antifoc) se amplasează astfel încât să se evite posibilităţile de propagare a incendiului dintr-un compartiment de incendiu în altul prin golurile neprotejate din pereţii exteriori, dispuse la colţurile intrânde ale construcţiilor sau a unor construcţii combustibile amplasate în vecinătate.</w:t>
      </w:r>
    </w:p>
    <w:p w14:paraId="54924E92" w14:textId="77777777" w:rsidR="001C08A5" w:rsidRDefault="001C08A5">
      <w:pPr>
        <w:widowControl w:val="0"/>
        <w:jc w:val="both"/>
        <w:rPr>
          <w:i/>
          <w:iCs/>
          <w:sz w:val="22"/>
          <w:szCs w:val="22"/>
        </w:rPr>
      </w:pPr>
    </w:p>
    <w:p w14:paraId="0BDD2C28" w14:textId="77777777" w:rsidR="001C08A5" w:rsidRDefault="00000000">
      <w:pPr>
        <w:widowControl w:val="0"/>
        <w:ind w:firstLine="705"/>
        <w:jc w:val="both"/>
        <w:rPr>
          <w:sz w:val="24"/>
          <w:szCs w:val="24"/>
        </w:rPr>
      </w:pPr>
      <w:r>
        <w:rPr>
          <w:b/>
          <w:sz w:val="24"/>
          <w:szCs w:val="24"/>
        </w:rPr>
        <w:t xml:space="preserve">Art. 2.3.2.1.9. (1) </w:t>
      </w:r>
      <w:r>
        <w:rPr>
          <w:sz w:val="24"/>
          <w:szCs w:val="24"/>
        </w:rPr>
        <w:t xml:space="preserve">În cazul în care pereţii de compartimentare sunt amplasaţi la colţurile intrânde ale clădirilor civile în formă de </w:t>
      </w:r>
      <w:r>
        <w:rPr>
          <w:b/>
          <w:sz w:val="24"/>
          <w:szCs w:val="24"/>
        </w:rPr>
        <w:t>L</w:t>
      </w:r>
      <w:r>
        <w:rPr>
          <w:sz w:val="24"/>
          <w:szCs w:val="24"/>
        </w:rPr>
        <w:t xml:space="preserve">, </w:t>
      </w:r>
      <w:r>
        <w:rPr>
          <w:b/>
          <w:sz w:val="24"/>
          <w:szCs w:val="24"/>
        </w:rPr>
        <w:t>T</w:t>
      </w:r>
      <w:r>
        <w:rPr>
          <w:sz w:val="24"/>
          <w:szCs w:val="24"/>
        </w:rPr>
        <w:t xml:space="preserve"> sau </w:t>
      </w:r>
      <w:r>
        <w:rPr>
          <w:b/>
          <w:sz w:val="24"/>
          <w:szCs w:val="24"/>
        </w:rPr>
        <w:t xml:space="preserve">U </w:t>
      </w:r>
      <w:r>
        <w:rPr>
          <w:bCs/>
          <w:sz w:val="24"/>
          <w:szCs w:val="24"/>
        </w:rPr>
        <w:t xml:space="preserve">sub un unghi </w:t>
      </w:r>
      <w:r>
        <w:rPr>
          <w:b/>
          <w:sz w:val="24"/>
          <w:szCs w:val="24"/>
        </w:rPr>
        <w:t xml:space="preserve">α, α &lt;90° </w:t>
      </w:r>
      <w:r>
        <w:rPr>
          <w:bCs/>
          <w:sz w:val="24"/>
          <w:szCs w:val="24"/>
        </w:rPr>
        <w:t>(</w:t>
      </w:r>
      <w:r>
        <w:rPr>
          <w:b/>
          <w:bCs/>
          <w:i/>
          <w:iCs/>
          <w:sz w:val="24"/>
          <w:szCs w:val="24"/>
        </w:rPr>
        <w:fldChar w:fldCharType="begin"/>
      </w:r>
      <w:r>
        <w:rPr>
          <w:b/>
          <w:bCs/>
          <w:i/>
          <w:iCs/>
          <w:sz w:val="24"/>
          <w:szCs w:val="24"/>
        </w:rPr>
        <w:instrText xml:space="preserve"> REF _Ref11739 \h </w:instrText>
      </w:r>
      <w:r>
        <w:rPr>
          <w:b/>
          <w:bCs/>
          <w:i/>
          <w:iCs/>
          <w:sz w:val="24"/>
          <w:szCs w:val="24"/>
        </w:rPr>
      </w:r>
      <w:r>
        <w:rPr>
          <w:b/>
          <w:bCs/>
          <w:i/>
          <w:iCs/>
          <w:sz w:val="24"/>
          <w:szCs w:val="24"/>
        </w:rPr>
        <w:fldChar w:fldCharType="separate"/>
      </w:r>
      <w:r>
        <w:t>Figura 38</w:t>
      </w:r>
      <w:r>
        <w:rPr>
          <w:b/>
          <w:bCs/>
          <w:i/>
          <w:iCs/>
          <w:sz w:val="24"/>
          <w:szCs w:val="24"/>
        </w:rPr>
        <w:fldChar w:fldCharType="end"/>
      </w:r>
      <w:r>
        <w:rPr>
          <w:bCs/>
          <w:sz w:val="24"/>
          <w:szCs w:val="24"/>
        </w:rPr>
        <w:t>)</w:t>
      </w:r>
      <w:r>
        <w:rPr>
          <w:sz w:val="24"/>
          <w:szCs w:val="24"/>
        </w:rPr>
        <w:t xml:space="preserve">, golurile din pereţii exteriori adiacenţi se dispun astfel încât distanţa dintre ele să fie  de cel puţin </w:t>
      </w:r>
      <w:r>
        <w:rPr>
          <w:b/>
          <w:bCs/>
          <w:sz w:val="24"/>
          <w:szCs w:val="24"/>
        </w:rPr>
        <w:t>4</w:t>
      </w:r>
      <w:r>
        <w:rPr>
          <w:sz w:val="24"/>
          <w:szCs w:val="24"/>
        </w:rPr>
        <w:t xml:space="preserve"> m, în funcție de nivelul de stabilitate la incendiu al compartimentelor pe care le desparte (se calculează radial, conform </w:t>
      </w:r>
      <w:r>
        <w:rPr>
          <w:b/>
          <w:bCs/>
          <w:i/>
          <w:iCs/>
          <w:sz w:val="24"/>
          <w:szCs w:val="24"/>
        </w:rPr>
        <w:fldChar w:fldCharType="begin"/>
      </w:r>
      <w:r>
        <w:rPr>
          <w:b/>
          <w:bCs/>
          <w:i/>
          <w:iCs/>
          <w:sz w:val="24"/>
          <w:szCs w:val="24"/>
        </w:rPr>
        <w:instrText xml:space="preserve"> REF _Ref11739 \h </w:instrText>
      </w:r>
      <w:r>
        <w:rPr>
          <w:b/>
          <w:bCs/>
          <w:i/>
          <w:iCs/>
          <w:sz w:val="24"/>
          <w:szCs w:val="24"/>
        </w:rPr>
      </w:r>
      <w:r>
        <w:rPr>
          <w:b/>
          <w:bCs/>
          <w:i/>
          <w:iCs/>
          <w:sz w:val="24"/>
          <w:szCs w:val="24"/>
        </w:rPr>
        <w:fldChar w:fldCharType="separate"/>
      </w:r>
      <w:r>
        <w:t>Figura 38</w:t>
      </w:r>
      <w:r>
        <w:rPr>
          <w:b/>
          <w:bCs/>
          <w:i/>
          <w:iCs/>
          <w:sz w:val="24"/>
          <w:szCs w:val="24"/>
        </w:rPr>
        <w:fldChar w:fldCharType="end"/>
      </w:r>
      <w:r>
        <w:rPr>
          <w:sz w:val="24"/>
          <w:szCs w:val="24"/>
        </w:rPr>
        <w:t xml:space="preserve">). Este obligatoriu ca pe lungimile generate în funcție de nivelul de stabilitate la incendiu al compartimentelor pe care le desparte, pe distanța mai mică sau egală de </w:t>
      </w:r>
      <w:r>
        <w:rPr>
          <w:b/>
          <w:bCs/>
          <w:sz w:val="24"/>
          <w:szCs w:val="24"/>
        </w:rPr>
        <w:t>4</w:t>
      </w:r>
      <w:r>
        <w:rPr>
          <w:sz w:val="24"/>
          <w:szCs w:val="24"/>
        </w:rPr>
        <w:t xml:space="preserve"> m calculată echidistant dintre acestea, pereții exteriori de pe toate laturile exterioare din această porțiune precum și golurile funcţionale din aceasta trebuie protejate cu elemente  rezistente la foc conform </w:t>
      </w:r>
      <w:r>
        <w:rPr>
          <w:rStyle w:val="CaptiontabelChar"/>
        </w:rPr>
        <w:fldChar w:fldCharType="begin"/>
      </w:r>
      <w:r>
        <w:rPr>
          <w:rStyle w:val="CaptiontabelChar"/>
        </w:rPr>
        <w:instrText xml:space="preserve"> REF _Ref29021 \h </w:instrText>
      </w:r>
      <w:r>
        <w:rPr>
          <w:rStyle w:val="CaptiontabelChar"/>
        </w:rPr>
      </w:r>
      <w:r>
        <w:rPr>
          <w:rStyle w:val="CaptiontabelChar"/>
        </w:rPr>
        <w:fldChar w:fldCharType="separate"/>
      </w:r>
      <w:r>
        <w:t>Tabelul 7</w:t>
      </w:r>
      <w:r>
        <w:rPr>
          <w:rStyle w:val="CaptiontabelChar"/>
        </w:rPr>
        <w:fldChar w:fldCharType="end"/>
      </w:r>
      <w:r>
        <w:rPr>
          <w:sz w:val="24"/>
          <w:szCs w:val="24"/>
        </w:rPr>
        <w:t xml:space="preserve"> și </w:t>
      </w:r>
      <w:r>
        <w:rPr>
          <w:rStyle w:val="CaptiontabelChar"/>
        </w:rPr>
        <w:fldChar w:fldCharType="begin"/>
      </w:r>
      <w:r>
        <w:rPr>
          <w:rStyle w:val="CaptiontabelChar"/>
        </w:rPr>
        <w:instrText xml:space="preserve"> REF _Ref29070 \h </w:instrText>
      </w:r>
      <w:r>
        <w:rPr>
          <w:rStyle w:val="CaptiontabelChar"/>
        </w:rPr>
      </w:r>
      <w:r>
        <w:rPr>
          <w:rStyle w:val="CaptiontabelChar"/>
        </w:rPr>
        <w:fldChar w:fldCharType="separate"/>
      </w:r>
      <w:r>
        <w:t>Tabelul 8</w:t>
      </w:r>
      <w:r>
        <w:rPr>
          <w:rStyle w:val="CaptiontabelChar"/>
        </w:rPr>
        <w:fldChar w:fldCharType="end"/>
      </w:r>
      <w:r>
        <w:rPr>
          <w:b/>
          <w:bCs/>
          <w:sz w:val="24"/>
          <w:szCs w:val="24"/>
        </w:rPr>
        <w:t xml:space="preserve">. </w:t>
      </w:r>
      <w:r>
        <w:rPr>
          <w:sz w:val="24"/>
          <w:szCs w:val="24"/>
        </w:rPr>
        <w:t>În toate cazurile în care unghiul</w:t>
      </w:r>
      <w:r>
        <w:rPr>
          <w:b/>
          <w:bCs/>
          <w:sz w:val="24"/>
          <w:szCs w:val="24"/>
        </w:rPr>
        <w:t xml:space="preserve"> α </w:t>
      </w:r>
      <w:r>
        <w:rPr>
          <w:rFonts w:ascii="Arial" w:hAnsi="Arial" w:cs="Arial"/>
          <w:b/>
          <w:sz w:val="24"/>
          <w:szCs w:val="24"/>
        </w:rPr>
        <w:t>&lt;</w:t>
      </w:r>
      <w:r>
        <w:rPr>
          <w:b/>
          <w:bCs/>
          <w:sz w:val="24"/>
          <w:szCs w:val="24"/>
        </w:rPr>
        <w:t xml:space="preserve"> 90° </w:t>
      </w:r>
      <w:r>
        <w:rPr>
          <w:sz w:val="24"/>
          <w:szCs w:val="24"/>
        </w:rPr>
        <w:t xml:space="preserve">se prevede rezistența la foc a pereților exteriori de pe toate laturile exterioare din această porţiune conform </w:t>
      </w:r>
      <w:r>
        <w:rPr>
          <w:rStyle w:val="CaptiontabelChar"/>
        </w:rPr>
        <w:fldChar w:fldCharType="begin"/>
      </w:r>
      <w:r>
        <w:rPr>
          <w:rStyle w:val="CaptiontabelChar"/>
        </w:rPr>
        <w:instrText xml:space="preserve"> REF _Ref29021 \h </w:instrText>
      </w:r>
      <w:r>
        <w:rPr>
          <w:rStyle w:val="CaptiontabelChar"/>
        </w:rPr>
      </w:r>
      <w:r>
        <w:rPr>
          <w:rStyle w:val="CaptiontabelChar"/>
        </w:rPr>
        <w:fldChar w:fldCharType="separate"/>
      </w:r>
      <w:r>
        <w:t>Tabelul 7</w:t>
      </w:r>
      <w:r>
        <w:rPr>
          <w:rStyle w:val="CaptiontabelChar"/>
        </w:rPr>
        <w:fldChar w:fldCharType="end"/>
      </w:r>
      <w:r>
        <w:rPr>
          <w:sz w:val="24"/>
          <w:szCs w:val="24"/>
        </w:rPr>
        <w:t xml:space="preserve"> și </w:t>
      </w:r>
      <w:r>
        <w:rPr>
          <w:rStyle w:val="CaptiontabelChar"/>
        </w:rPr>
        <w:fldChar w:fldCharType="begin"/>
      </w:r>
      <w:r>
        <w:rPr>
          <w:rStyle w:val="CaptiontabelChar"/>
        </w:rPr>
        <w:instrText xml:space="preserve"> REF _Ref29070 \h </w:instrText>
      </w:r>
      <w:r>
        <w:rPr>
          <w:rStyle w:val="CaptiontabelChar"/>
        </w:rPr>
      </w:r>
      <w:r>
        <w:rPr>
          <w:rStyle w:val="CaptiontabelChar"/>
        </w:rPr>
        <w:fldChar w:fldCharType="separate"/>
      </w:r>
      <w:r>
        <w:t>Tabelul 8</w:t>
      </w:r>
      <w:r>
        <w:rPr>
          <w:rStyle w:val="CaptiontabelChar"/>
        </w:rPr>
        <w:fldChar w:fldCharType="end"/>
      </w:r>
      <w:r>
        <w:rPr>
          <w:rStyle w:val="CaptiontabelChar"/>
        </w:rPr>
        <w:t xml:space="preserve"> </w:t>
      </w:r>
      <w:r>
        <w:rPr>
          <w:sz w:val="24"/>
          <w:szCs w:val="24"/>
        </w:rPr>
        <w:t xml:space="preserve">pe o lungime de minimum </w:t>
      </w:r>
      <w:r>
        <w:rPr>
          <w:b/>
          <w:bCs/>
          <w:sz w:val="24"/>
          <w:szCs w:val="24"/>
        </w:rPr>
        <w:t>4 m</w:t>
      </w:r>
      <w:r>
        <w:rPr>
          <w:sz w:val="24"/>
          <w:szCs w:val="24"/>
        </w:rPr>
        <w:t xml:space="preserve"> în fiecare parte (de la inflexiune).</w:t>
      </w:r>
    </w:p>
    <w:p w14:paraId="3EF3AA56" w14:textId="77777777" w:rsidR="001C08A5" w:rsidRDefault="001C08A5">
      <w:pPr>
        <w:widowControl w:val="0"/>
        <w:jc w:val="both"/>
        <w:rPr>
          <w:b/>
          <w:sz w:val="24"/>
          <w:szCs w:val="24"/>
        </w:rPr>
      </w:pPr>
    </w:p>
    <w:p w14:paraId="24DA7ABD" w14:textId="77777777" w:rsidR="001C08A5" w:rsidRDefault="00000000">
      <w:pPr>
        <w:pStyle w:val="Captiontabel"/>
      </w:pPr>
      <w:bookmarkStart w:id="1009" w:name="_Ref29021"/>
      <w:bookmarkStart w:id="1010" w:name="_Toc162360057"/>
      <w:r>
        <w:t xml:space="preserve">Tabelul </w:t>
      </w:r>
      <w:r>
        <w:fldChar w:fldCharType="begin"/>
      </w:r>
      <w:r>
        <w:instrText xml:space="preserve"> SEQ Tabelul \* ARABIC </w:instrText>
      </w:r>
      <w:r>
        <w:fldChar w:fldCharType="separate"/>
      </w:r>
      <w:r>
        <w:t>7</w:t>
      </w:r>
      <w:r>
        <w:fldChar w:fldCharType="end"/>
      </w:r>
      <w:bookmarkStart w:id="1011" w:name="_Toc23487"/>
      <w:bookmarkStart w:id="1012" w:name="_Toc20863"/>
      <w:bookmarkStart w:id="1013" w:name="_Toc22282"/>
      <w:bookmarkStart w:id="1014" w:name="_Toc12316"/>
      <w:bookmarkStart w:id="1015" w:name="_Toc8315"/>
      <w:bookmarkStart w:id="1016" w:name="_Toc16735"/>
      <w:bookmarkStart w:id="1017" w:name="_Toc9680"/>
      <w:bookmarkStart w:id="1018" w:name="_Toc2837"/>
      <w:bookmarkStart w:id="1019" w:name="_Toc20517"/>
      <w:bookmarkStart w:id="1020" w:name="_Toc29638"/>
      <w:bookmarkStart w:id="1021" w:name="_Toc27098"/>
      <w:bookmarkStart w:id="1022" w:name="_Toc26452"/>
      <w:bookmarkStart w:id="1023" w:name="_Toc18231"/>
      <w:bookmarkStart w:id="1024" w:name="_Toc7787"/>
      <w:bookmarkEnd w:id="1009"/>
      <w:r>
        <w:t xml:space="preserve">: Rezistența la foc a pereţilor din exterior și ale elementelor de închidere rezistente la foc ale golurilor funcţionale prevazute în pereţii din exterior amplasate la colţurile intrânde ale construcţiilor civile (cu regim parter, cu excepția clădirilor cu persoane care nu se pot evacua singure și clădirilor cu săli aglomerate) în formă de L, T sau U sub un unghi α, α </w:t>
      </w:r>
      <w:r>
        <w:rPr>
          <w:rFonts w:ascii="Arial" w:hAnsi="Arial" w:cs="Arial"/>
        </w:rPr>
        <w:t>&lt;</w:t>
      </w:r>
      <w:r>
        <w:t xml:space="preserve"> 90°, unde golurile din pereţii exteriori adiacenţi sunt dispuse astfel încât distanţa dintre ele este mai mică de 4 m</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p>
    <w:tbl>
      <w:tblPr>
        <w:tblpPr w:leftFromText="180" w:rightFromText="180" w:vertAnchor="text" w:horzAnchor="page" w:tblpX="1425" w:tblpY="27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5"/>
        <w:gridCol w:w="3091"/>
        <w:gridCol w:w="2739"/>
        <w:gridCol w:w="1784"/>
      </w:tblGrid>
      <w:tr w:rsidR="001C08A5" w14:paraId="2D5848C4" w14:textId="77777777">
        <w:trPr>
          <w:tblHeader/>
        </w:trPr>
        <w:tc>
          <w:tcPr>
            <w:tcW w:w="2029" w:type="dxa"/>
            <w:shd w:val="clear" w:color="auto" w:fill="BFBFBF"/>
            <w:vAlign w:val="center"/>
          </w:tcPr>
          <w:p w14:paraId="6CA361CD" w14:textId="77777777" w:rsidR="001C08A5" w:rsidRDefault="00000000">
            <w:pPr>
              <w:jc w:val="center"/>
              <w:rPr>
                <w:b/>
                <w:bCs/>
                <w:i/>
                <w:iCs/>
                <w:sz w:val="22"/>
                <w:szCs w:val="22"/>
              </w:rPr>
            </w:pPr>
            <w:bookmarkStart w:id="1025" w:name="_Hlk151833909"/>
            <w:r>
              <w:rPr>
                <w:b/>
                <w:bCs/>
                <w:i/>
                <w:iCs/>
                <w:sz w:val="22"/>
                <w:szCs w:val="22"/>
              </w:rPr>
              <w:t xml:space="preserve">În cazul pereţilor antifoc  care separă compartimentele de incendiu </w:t>
            </w:r>
          </w:p>
        </w:tc>
        <w:tc>
          <w:tcPr>
            <w:tcW w:w="3183" w:type="dxa"/>
            <w:shd w:val="clear" w:color="auto" w:fill="BFBFBF"/>
            <w:vAlign w:val="center"/>
          </w:tcPr>
          <w:p w14:paraId="52EBD7B4" w14:textId="77777777" w:rsidR="001C08A5" w:rsidRDefault="00000000">
            <w:pPr>
              <w:jc w:val="center"/>
              <w:rPr>
                <w:i/>
                <w:iCs/>
                <w:sz w:val="22"/>
                <w:szCs w:val="22"/>
              </w:rPr>
            </w:pPr>
            <w:r>
              <w:rPr>
                <w:b/>
                <w:i/>
                <w:iCs/>
                <w:sz w:val="22"/>
                <w:szCs w:val="22"/>
              </w:rPr>
              <w:t>Densitatea sarcinii termice</w:t>
            </w:r>
            <w:r>
              <w:rPr>
                <w:b/>
                <w:bCs/>
                <w:i/>
                <w:iCs/>
                <w:sz w:val="22"/>
                <w:szCs w:val="22"/>
              </w:rPr>
              <w:t>(q) din încăperi perimetrale (pe o distanță mai mică de 4 m)/ construcție (MJ/m</w:t>
            </w:r>
            <w:r>
              <w:rPr>
                <w:b/>
                <w:bCs/>
                <w:i/>
                <w:iCs/>
                <w:sz w:val="22"/>
                <w:szCs w:val="22"/>
                <w:vertAlign w:val="superscript"/>
              </w:rPr>
              <w:t>2</w:t>
            </w:r>
            <w:r>
              <w:rPr>
                <w:b/>
                <w:bCs/>
                <w:i/>
                <w:iCs/>
                <w:sz w:val="22"/>
                <w:szCs w:val="22"/>
              </w:rPr>
              <w:t>)</w:t>
            </w:r>
          </w:p>
        </w:tc>
        <w:tc>
          <w:tcPr>
            <w:tcW w:w="2823" w:type="dxa"/>
            <w:shd w:val="clear" w:color="auto" w:fill="BFBFBF"/>
            <w:vAlign w:val="center"/>
          </w:tcPr>
          <w:p w14:paraId="3CBEF353" w14:textId="77777777" w:rsidR="001C08A5" w:rsidRDefault="00000000">
            <w:pPr>
              <w:jc w:val="center"/>
              <w:rPr>
                <w:i/>
                <w:iCs/>
                <w:sz w:val="22"/>
                <w:szCs w:val="22"/>
              </w:rPr>
            </w:pPr>
            <w:r>
              <w:rPr>
                <w:b/>
                <w:i/>
                <w:iCs/>
                <w:sz w:val="22"/>
                <w:szCs w:val="22"/>
              </w:rPr>
              <w:t xml:space="preserve">Rezistenţa la foc (EI/REI) minimă a pereţilor din exterior </w:t>
            </w:r>
            <w:r>
              <w:rPr>
                <w:i/>
                <w:iCs/>
                <w:sz w:val="22"/>
                <w:szCs w:val="22"/>
              </w:rPr>
              <w:t xml:space="preserve">- </w:t>
            </w:r>
            <w:r>
              <w:rPr>
                <w:b/>
                <w:bCs/>
                <w:i/>
                <w:iCs/>
                <w:sz w:val="22"/>
                <w:szCs w:val="22"/>
              </w:rPr>
              <w:t>pe o distanță de minimum 4 m</w:t>
            </w:r>
          </w:p>
        </w:tc>
        <w:tc>
          <w:tcPr>
            <w:tcW w:w="1817" w:type="dxa"/>
            <w:shd w:val="clear" w:color="auto" w:fill="BFBFBF"/>
            <w:vAlign w:val="center"/>
          </w:tcPr>
          <w:p w14:paraId="04899651" w14:textId="77777777" w:rsidR="001C08A5" w:rsidRDefault="00000000">
            <w:pPr>
              <w:jc w:val="center"/>
              <w:rPr>
                <w:b/>
                <w:i/>
                <w:iCs/>
                <w:sz w:val="22"/>
                <w:szCs w:val="22"/>
              </w:rPr>
            </w:pPr>
            <w:r>
              <w:rPr>
                <w:b/>
                <w:i/>
                <w:iCs/>
                <w:sz w:val="22"/>
                <w:szCs w:val="22"/>
              </w:rPr>
              <w:t xml:space="preserve">Elementul de inchidere rezistent la foc </w:t>
            </w:r>
            <w:r>
              <w:rPr>
                <w:b/>
                <w:i/>
                <w:iCs/>
                <w:vertAlign w:val="superscript"/>
              </w:rPr>
              <w:t>2)</w:t>
            </w:r>
          </w:p>
        </w:tc>
      </w:tr>
      <w:tr w:rsidR="001C08A5" w14:paraId="41C7DC18" w14:textId="77777777">
        <w:trPr>
          <w:tblHeader/>
        </w:trPr>
        <w:tc>
          <w:tcPr>
            <w:tcW w:w="2029" w:type="dxa"/>
            <w:shd w:val="clear" w:color="auto" w:fill="BFBFBF"/>
            <w:vAlign w:val="center"/>
          </w:tcPr>
          <w:p w14:paraId="2EEC488B" w14:textId="77777777" w:rsidR="001C08A5" w:rsidRDefault="00000000">
            <w:pPr>
              <w:jc w:val="center"/>
              <w:rPr>
                <w:b/>
                <w:bCs/>
                <w:i/>
                <w:iCs/>
                <w:sz w:val="22"/>
                <w:szCs w:val="22"/>
              </w:rPr>
            </w:pPr>
            <w:r>
              <w:rPr>
                <w:b/>
                <w:bCs/>
                <w:i/>
                <w:iCs/>
                <w:sz w:val="22"/>
                <w:szCs w:val="22"/>
              </w:rPr>
              <w:t>1</w:t>
            </w:r>
          </w:p>
        </w:tc>
        <w:tc>
          <w:tcPr>
            <w:tcW w:w="3183" w:type="dxa"/>
            <w:shd w:val="clear" w:color="auto" w:fill="BFBFBF"/>
            <w:vAlign w:val="center"/>
          </w:tcPr>
          <w:p w14:paraId="39A7BEF5" w14:textId="77777777" w:rsidR="001C08A5" w:rsidRDefault="00000000">
            <w:pPr>
              <w:jc w:val="center"/>
              <w:rPr>
                <w:b/>
                <w:bCs/>
                <w:i/>
                <w:iCs/>
                <w:sz w:val="22"/>
                <w:szCs w:val="22"/>
              </w:rPr>
            </w:pPr>
            <w:r>
              <w:rPr>
                <w:b/>
                <w:bCs/>
                <w:i/>
                <w:iCs/>
                <w:sz w:val="22"/>
                <w:szCs w:val="22"/>
              </w:rPr>
              <w:t>2</w:t>
            </w:r>
          </w:p>
        </w:tc>
        <w:tc>
          <w:tcPr>
            <w:tcW w:w="2823" w:type="dxa"/>
            <w:shd w:val="clear" w:color="auto" w:fill="BFBFBF"/>
            <w:vAlign w:val="center"/>
          </w:tcPr>
          <w:p w14:paraId="73559B43" w14:textId="77777777" w:rsidR="001C08A5" w:rsidRDefault="00000000">
            <w:pPr>
              <w:jc w:val="center"/>
              <w:rPr>
                <w:b/>
                <w:i/>
                <w:iCs/>
                <w:sz w:val="22"/>
                <w:szCs w:val="22"/>
              </w:rPr>
            </w:pPr>
            <w:r>
              <w:rPr>
                <w:b/>
                <w:i/>
                <w:iCs/>
                <w:sz w:val="22"/>
                <w:szCs w:val="22"/>
              </w:rPr>
              <w:t>3</w:t>
            </w:r>
          </w:p>
        </w:tc>
        <w:tc>
          <w:tcPr>
            <w:tcW w:w="1817" w:type="dxa"/>
            <w:shd w:val="clear" w:color="auto" w:fill="BFBFBF"/>
            <w:vAlign w:val="center"/>
          </w:tcPr>
          <w:p w14:paraId="36324683" w14:textId="77777777" w:rsidR="001C08A5" w:rsidRDefault="00000000">
            <w:pPr>
              <w:jc w:val="center"/>
              <w:rPr>
                <w:b/>
                <w:i/>
                <w:iCs/>
                <w:sz w:val="22"/>
                <w:szCs w:val="22"/>
              </w:rPr>
            </w:pPr>
            <w:r>
              <w:rPr>
                <w:b/>
                <w:i/>
                <w:iCs/>
                <w:sz w:val="22"/>
                <w:szCs w:val="22"/>
              </w:rPr>
              <w:t>4</w:t>
            </w:r>
          </w:p>
        </w:tc>
      </w:tr>
      <w:tr w:rsidR="001C08A5" w14:paraId="025F9A98" w14:textId="77777777">
        <w:trPr>
          <w:trHeight w:val="237"/>
        </w:trPr>
        <w:tc>
          <w:tcPr>
            <w:tcW w:w="2029" w:type="dxa"/>
            <w:vMerge w:val="restart"/>
            <w:shd w:val="clear" w:color="auto" w:fill="auto"/>
            <w:vAlign w:val="center"/>
          </w:tcPr>
          <w:p w14:paraId="2B5349A8" w14:textId="77777777" w:rsidR="001C08A5" w:rsidRDefault="00000000">
            <w:pPr>
              <w:pStyle w:val="Contenutotabellacentrato"/>
              <w:keepNext/>
              <w:jc w:val="both"/>
              <w:rPr>
                <w:i/>
                <w:iCs/>
                <w:sz w:val="22"/>
                <w:szCs w:val="22"/>
              </w:rPr>
            </w:pPr>
            <w:r>
              <w:rPr>
                <w:i/>
                <w:iCs/>
                <w:sz w:val="22"/>
                <w:szCs w:val="22"/>
              </w:rPr>
              <w:t xml:space="preserve">Pentru construcțiile cu regim de înălțime </w:t>
            </w:r>
          </w:p>
          <w:p w14:paraId="353D69B4" w14:textId="77777777" w:rsidR="001C08A5" w:rsidRDefault="00000000">
            <w:pPr>
              <w:pStyle w:val="Contenutotabellacentrato"/>
              <w:keepNext/>
              <w:jc w:val="both"/>
              <w:rPr>
                <w:b/>
                <w:bCs/>
                <w:i/>
                <w:iCs/>
                <w:sz w:val="22"/>
                <w:szCs w:val="22"/>
              </w:rPr>
            </w:pPr>
            <w:r>
              <w:rPr>
                <w:i/>
                <w:iCs/>
                <w:sz w:val="22"/>
                <w:szCs w:val="22"/>
              </w:rPr>
              <w:t>parter</w:t>
            </w:r>
            <w:r>
              <w:rPr>
                <w:b/>
                <w:i/>
                <w:iCs/>
                <w:vertAlign w:val="superscript"/>
              </w:rPr>
              <w:t>1)</w:t>
            </w:r>
          </w:p>
        </w:tc>
        <w:tc>
          <w:tcPr>
            <w:tcW w:w="3183" w:type="dxa"/>
            <w:shd w:val="clear" w:color="auto" w:fill="auto"/>
            <w:vAlign w:val="center"/>
          </w:tcPr>
          <w:p w14:paraId="100CF6A9" w14:textId="77777777" w:rsidR="001C08A5" w:rsidRDefault="00000000">
            <w:pPr>
              <w:pStyle w:val="Contenutotabellacentrato"/>
              <w:rPr>
                <w:b/>
                <w:bCs/>
                <w:i/>
                <w:iCs/>
                <w:sz w:val="22"/>
                <w:szCs w:val="22"/>
              </w:rPr>
            </w:pPr>
            <w:r>
              <w:rPr>
                <w:b/>
                <w:bCs/>
                <w:i/>
                <w:iCs/>
                <w:sz w:val="22"/>
                <w:szCs w:val="22"/>
              </w:rPr>
              <w:t>pentru q</w:t>
            </w:r>
            <w:r>
              <w:rPr>
                <w:rFonts w:ascii="Arial" w:hAnsi="Arial" w:cs="Arial"/>
                <w:b/>
                <w:bCs/>
                <w:i/>
                <w:iCs/>
                <w:sz w:val="22"/>
                <w:szCs w:val="22"/>
              </w:rPr>
              <w:t xml:space="preserve"> ≤ </w:t>
            </w:r>
            <w:r>
              <w:rPr>
                <w:b/>
                <w:bCs/>
                <w:i/>
                <w:iCs/>
                <w:sz w:val="22"/>
                <w:szCs w:val="22"/>
              </w:rPr>
              <w:t>420 MJ/m</w:t>
            </w:r>
            <w:r>
              <w:rPr>
                <w:b/>
                <w:bCs/>
                <w:i/>
                <w:iCs/>
                <w:sz w:val="22"/>
                <w:szCs w:val="22"/>
                <w:vertAlign w:val="superscript"/>
              </w:rPr>
              <w:t>2</w:t>
            </w:r>
          </w:p>
        </w:tc>
        <w:tc>
          <w:tcPr>
            <w:tcW w:w="2823" w:type="dxa"/>
            <w:shd w:val="clear" w:color="auto" w:fill="auto"/>
            <w:vAlign w:val="center"/>
          </w:tcPr>
          <w:p w14:paraId="5C5F63D2" w14:textId="77777777" w:rsidR="001C08A5" w:rsidRDefault="00000000">
            <w:pPr>
              <w:pStyle w:val="Contenutotabellacentrato"/>
              <w:rPr>
                <w:b/>
                <w:bCs/>
                <w:i/>
                <w:iCs/>
                <w:sz w:val="22"/>
                <w:szCs w:val="22"/>
              </w:rPr>
            </w:pPr>
            <w:r>
              <w:rPr>
                <w:b/>
                <w:bCs/>
                <w:i/>
                <w:iCs/>
                <w:sz w:val="22"/>
                <w:szCs w:val="22"/>
              </w:rPr>
              <w:t>EI 45/REI 45</w:t>
            </w:r>
          </w:p>
          <w:p w14:paraId="5285527E" w14:textId="77777777" w:rsidR="001C08A5" w:rsidRDefault="00000000">
            <w:pPr>
              <w:pStyle w:val="Contenutotabellacentrato"/>
              <w:rPr>
                <w:b/>
                <w:bCs/>
                <w:i/>
                <w:iCs/>
                <w:sz w:val="22"/>
                <w:szCs w:val="22"/>
              </w:rPr>
            </w:pPr>
            <w:r>
              <w:rPr>
                <w:b/>
                <w:bCs/>
                <w:i/>
                <w:iCs/>
                <w:sz w:val="22"/>
                <w:szCs w:val="22"/>
              </w:rPr>
              <w:t>(EI 30/REI 30 *)</w:t>
            </w:r>
          </w:p>
        </w:tc>
        <w:tc>
          <w:tcPr>
            <w:tcW w:w="1817" w:type="dxa"/>
            <w:shd w:val="clear" w:color="auto" w:fill="auto"/>
            <w:vAlign w:val="center"/>
          </w:tcPr>
          <w:p w14:paraId="5FBA987E" w14:textId="77777777" w:rsidR="001C08A5" w:rsidRDefault="00000000">
            <w:pPr>
              <w:pStyle w:val="Contenutotabellacentrato"/>
              <w:rPr>
                <w:b/>
                <w:i/>
                <w:iCs/>
                <w:sz w:val="22"/>
                <w:szCs w:val="22"/>
              </w:rPr>
            </w:pPr>
            <w:r>
              <w:rPr>
                <w:b/>
                <w:i/>
                <w:iCs/>
                <w:sz w:val="22"/>
                <w:szCs w:val="22"/>
              </w:rPr>
              <w:t>EI 30</w:t>
            </w:r>
          </w:p>
          <w:p w14:paraId="1479091F" w14:textId="77777777" w:rsidR="001C08A5" w:rsidRDefault="00000000">
            <w:pPr>
              <w:pStyle w:val="Contenutotabellacentrato"/>
              <w:rPr>
                <w:b/>
                <w:i/>
                <w:iCs/>
                <w:sz w:val="22"/>
                <w:szCs w:val="22"/>
              </w:rPr>
            </w:pPr>
            <w:r>
              <w:rPr>
                <w:b/>
                <w:i/>
                <w:iCs/>
              </w:rPr>
              <w:t>(EI 15*)</w:t>
            </w:r>
          </w:p>
        </w:tc>
      </w:tr>
      <w:tr w:rsidR="001C08A5" w14:paraId="5345586C" w14:textId="77777777">
        <w:tc>
          <w:tcPr>
            <w:tcW w:w="2029" w:type="dxa"/>
            <w:vMerge/>
            <w:shd w:val="clear" w:color="auto" w:fill="auto"/>
            <w:vAlign w:val="center"/>
          </w:tcPr>
          <w:p w14:paraId="28BA72C4" w14:textId="77777777" w:rsidR="001C08A5" w:rsidRDefault="001C08A5">
            <w:pPr>
              <w:pStyle w:val="Contenutotabellacentrato"/>
              <w:keepNext/>
              <w:rPr>
                <w:b/>
                <w:bCs/>
                <w:i/>
                <w:iCs/>
                <w:sz w:val="22"/>
                <w:szCs w:val="22"/>
              </w:rPr>
            </w:pPr>
          </w:p>
        </w:tc>
        <w:tc>
          <w:tcPr>
            <w:tcW w:w="3183" w:type="dxa"/>
            <w:shd w:val="clear" w:color="auto" w:fill="auto"/>
            <w:vAlign w:val="center"/>
          </w:tcPr>
          <w:p w14:paraId="13D18FDE" w14:textId="77777777" w:rsidR="001C08A5" w:rsidRDefault="00000000">
            <w:pPr>
              <w:pStyle w:val="Contenutotabellacentrato"/>
              <w:rPr>
                <w:b/>
                <w:bCs/>
                <w:i/>
                <w:iCs/>
                <w:sz w:val="22"/>
                <w:szCs w:val="22"/>
              </w:rPr>
            </w:pPr>
            <w:r>
              <w:rPr>
                <w:b/>
                <w:bCs/>
                <w:i/>
                <w:iCs/>
                <w:sz w:val="22"/>
                <w:szCs w:val="22"/>
              </w:rPr>
              <w:t>420 MJ/m</w:t>
            </w:r>
            <w:r>
              <w:rPr>
                <w:b/>
                <w:bCs/>
                <w:i/>
                <w:iCs/>
                <w:sz w:val="22"/>
                <w:szCs w:val="22"/>
                <w:vertAlign w:val="superscript"/>
              </w:rPr>
              <w:t xml:space="preserve">2 </w:t>
            </w:r>
            <w:r>
              <w:rPr>
                <w:rFonts w:ascii="Arial" w:hAnsi="Arial" w:cs="Arial"/>
                <w:b/>
                <w:bCs/>
                <w:i/>
                <w:iCs/>
                <w:sz w:val="22"/>
                <w:szCs w:val="22"/>
              </w:rPr>
              <w:t xml:space="preserve">&lt; </w:t>
            </w:r>
            <w:r>
              <w:rPr>
                <w:b/>
                <w:bCs/>
                <w:i/>
                <w:iCs/>
                <w:sz w:val="22"/>
                <w:szCs w:val="22"/>
              </w:rPr>
              <w:t>q</w:t>
            </w:r>
            <w:r>
              <w:rPr>
                <w:rFonts w:ascii="Arial" w:hAnsi="Arial" w:cs="Arial"/>
                <w:b/>
                <w:bCs/>
                <w:i/>
                <w:iCs/>
                <w:sz w:val="22"/>
                <w:szCs w:val="22"/>
              </w:rPr>
              <w:t xml:space="preserve"> ≤ </w:t>
            </w:r>
            <w:r>
              <w:rPr>
                <w:b/>
                <w:bCs/>
                <w:i/>
                <w:iCs/>
                <w:sz w:val="22"/>
                <w:szCs w:val="22"/>
              </w:rPr>
              <w:t>630 MJ/m</w:t>
            </w:r>
            <w:r>
              <w:rPr>
                <w:b/>
                <w:bCs/>
                <w:i/>
                <w:iCs/>
                <w:sz w:val="22"/>
                <w:szCs w:val="22"/>
                <w:vertAlign w:val="superscript"/>
              </w:rPr>
              <w:t>2</w:t>
            </w:r>
          </w:p>
        </w:tc>
        <w:tc>
          <w:tcPr>
            <w:tcW w:w="2823" w:type="dxa"/>
            <w:shd w:val="clear" w:color="auto" w:fill="auto"/>
            <w:vAlign w:val="center"/>
          </w:tcPr>
          <w:p w14:paraId="6988E6C7" w14:textId="77777777" w:rsidR="001C08A5" w:rsidRDefault="00000000">
            <w:pPr>
              <w:pStyle w:val="Contenutotabellacentrato"/>
              <w:rPr>
                <w:b/>
                <w:bCs/>
                <w:i/>
                <w:iCs/>
                <w:sz w:val="22"/>
                <w:szCs w:val="22"/>
              </w:rPr>
            </w:pPr>
            <w:r>
              <w:rPr>
                <w:b/>
                <w:bCs/>
                <w:i/>
                <w:iCs/>
                <w:sz w:val="22"/>
                <w:szCs w:val="22"/>
              </w:rPr>
              <w:t xml:space="preserve">EI 60/REI 60 </w:t>
            </w:r>
          </w:p>
          <w:p w14:paraId="440A43CC" w14:textId="77777777" w:rsidR="001C08A5" w:rsidRDefault="00000000">
            <w:pPr>
              <w:pStyle w:val="Contenutotabellacentrato"/>
              <w:rPr>
                <w:b/>
                <w:bCs/>
                <w:i/>
                <w:iCs/>
                <w:sz w:val="22"/>
                <w:szCs w:val="22"/>
              </w:rPr>
            </w:pPr>
            <w:r>
              <w:rPr>
                <w:b/>
                <w:bCs/>
                <w:i/>
                <w:iCs/>
                <w:sz w:val="22"/>
                <w:szCs w:val="22"/>
              </w:rPr>
              <w:t>(EI 45/REI 45 *)</w:t>
            </w:r>
          </w:p>
        </w:tc>
        <w:tc>
          <w:tcPr>
            <w:tcW w:w="1817" w:type="dxa"/>
            <w:shd w:val="clear" w:color="auto" w:fill="auto"/>
            <w:vAlign w:val="center"/>
          </w:tcPr>
          <w:p w14:paraId="58D7CB57" w14:textId="77777777" w:rsidR="001C08A5" w:rsidRDefault="00000000">
            <w:pPr>
              <w:pStyle w:val="Contenutotabellacentrato"/>
              <w:rPr>
                <w:b/>
                <w:i/>
                <w:iCs/>
                <w:sz w:val="22"/>
                <w:szCs w:val="22"/>
              </w:rPr>
            </w:pPr>
            <w:r>
              <w:rPr>
                <w:b/>
                <w:i/>
                <w:iCs/>
                <w:sz w:val="22"/>
                <w:szCs w:val="22"/>
              </w:rPr>
              <w:t>EI 45</w:t>
            </w:r>
          </w:p>
          <w:p w14:paraId="69A0A776" w14:textId="77777777" w:rsidR="001C08A5" w:rsidRDefault="00000000">
            <w:pPr>
              <w:pStyle w:val="Contenutotabellacentrato"/>
              <w:rPr>
                <w:b/>
                <w:i/>
                <w:iCs/>
                <w:sz w:val="22"/>
                <w:szCs w:val="22"/>
              </w:rPr>
            </w:pPr>
            <w:r>
              <w:rPr>
                <w:b/>
                <w:i/>
                <w:iCs/>
              </w:rPr>
              <w:t>(EI 30*)</w:t>
            </w:r>
          </w:p>
        </w:tc>
      </w:tr>
      <w:tr w:rsidR="001C08A5" w14:paraId="01F52CD2" w14:textId="77777777">
        <w:tc>
          <w:tcPr>
            <w:tcW w:w="2029" w:type="dxa"/>
            <w:vMerge/>
            <w:shd w:val="clear" w:color="auto" w:fill="auto"/>
            <w:vAlign w:val="center"/>
          </w:tcPr>
          <w:p w14:paraId="265DF90F" w14:textId="77777777" w:rsidR="001C08A5" w:rsidRDefault="001C08A5">
            <w:pPr>
              <w:pStyle w:val="Contenutotabellacentrato"/>
              <w:keepNext/>
              <w:rPr>
                <w:b/>
                <w:bCs/>
                <w:i/>
                <w:iCs/>
                <w:sz w:val="22"/>
                <w:szCs w:val="22"/>
              </w:rPr>
            </w:pPr>
          </w:p>
        </w:tc>
        <w:tc>
          <w:tcPr>
            <w:tcW w:w="3183" w:type="dxa"/>
            <w:shd w:val="clear" w:color="auto" w:fill="auto"/>
            <w:vAlign w:val="center"/>
          </w:tcPr>
          <w:p w14:paraId="7E287569" w14:textId="77777777" w:rsidR="001C08A5" w:rsidRDefault="00000000">
            <w:pPr>
              <w:pStyle w:val="Contenutotabellacentrato"/>
              <w:rPr>
                <w:b/>
                <w:bCs/>
                <w:i/>
                <w:iCs/>
                <w:sz w:val="22"/>
                <w:szCs w:val="22"/>
              </w:rPr>
            </w:pPr>
            <w:r>
              <w:rPr>
                <w:b/>
                <w:bCs/>
                <w:i/>
                <w:iCs/>
                <w:sz w:val="22"/>
                <w:szCs w:val="22"/>
              </w:rPr>
              <w:t>630 MJ/m</w:t>
            </w:r>
            <w:r>
              <w:rPr>
                <w:b/>
                <w:bCs/>
                <w:i/>
                <w:iCs/>
                <w:sz w:val="22"/>
                <w:szCs w:val="22"/>
                <w:vertAlign w:val="superscript"/>
              </w:rPr>
              <w:t xml:space="preserve">2 </w:t>
            </w:r>
            <w:r>
              <w:rPr>
                <w:rFonts w:ascii="Arial" w:hAnsi="Arial" w:cs="Arial"/>
                <w:b/>
                <w:bCs/>
                <w:i/>
                <w:iCs/>
                <w:sz w:val="22"/>
                <w:szCs w:val="22"/>
              </w:rPr>
              <w:t xml:space="preserve">&lt; </w:t>
            </w:r>
            <w:r>
              <w:rPr>
                <w:b/>
                <w:bCs/>
                <w:i/>
                <w:iCs/>
                <w:sz w:val="22"/>
                <w:szCs w:val="22"/>
              </w:rPr>
              <w:t>q</w:t>
            </w:r>
            <w:r>
              <w:rPr>
                <w:rFonts w:ascii="Arial" w:hAnsi="Arial" w:cs="Arial"/>
                <w:b/>
                <w:bCs/>
                <w:i/>
                <w:iCs/>
                <w:sz w:val="22"/>
                <w:szCs w:val="22"/>
              </w:rPr>
              <w:t xml:space="preserve"> ≤ </w:t>
            </w:r>
            <w:r>
              <w:rPr>
                <w:b/>
                <w:bCs/>
                <w:i/>
                <w:iCs/>
                <w:sz w:val="22"/>
                <w:szCs w:val="22"/>
              </w:rPr>
              <w:t>840 MJ/m</w:t>
            </w:r>
            <w:r>
              <w:rPr>
                <w:b/>
                <w:bCs/>
                <w:i/>
                <w:iCs/>
                <w:sz w:val="22"/>
                <w:szCs w:val="22"/>
                <w:vertAlign w:val="superscript"/>
              </w:rPr>
              <w:t>2</w:t>
            </w:r>
          </w:p>
        </w:tc>
        <w:tc>
          <w:tcPr>
            <w:tcW w:w="2823" w:type="dxa"/>
            <w:shd w:val="clear" w:color="auto" w:fill="auto"/>
            <w:vAlign w:val="center"/>
          </w:tcPr>
          <w:p w14:paraId="712D297D" w14:textId="77777777" w:rsidR="001C08A5" w:rsidRDefault="00000000">
            <w:pPr>
              <w:pStyle w:val="Contenutotabellacentrato"/>
              <w:rPr>
                <w:b/>
                <w:bCs/>
                <w:i/>
                <w:iCs/>
                <w:sz w:val="22"/>
                <w:szCs w:val="22"/>
              </w:rPr>
            </w:pPr>
            <w:r>
              <w:rPr>
                <w:b/>
                <w:bCs/>
                <w:i/>
                <w:iCs/>
                <w:sz w:val="22"/>
                <w:szCs w:val="22"/>
              </w:rPr>
              <w:t xml:space="preserve">EI 90/REI 90 </w:t>
            </w:r>
          </w:p>
          <w:p w14:paraId="6C9D936C" w14:textId="77777777" w:rsidR="001C08A5" w:rsidRDefault="00000000">
            <w:pPr>
              <w:pStyle w:val="Contenutotabellacentrato"/>
              <w:rPr>
                <w:b/>
                <w:bCs/>
                <w:i/>
                <w:iCs/>
                <w:sz w:val="22"/>
                <w:szCs w:val="22"/>
              </w:rPr>
            </w:pPr>
            <w:r>
              <w:rPr>
                <w:b/>
                <w:bCs/>
                <w:i/>
                <w:iCs/>
                <w:sz w:val="22"/>
                <w:szCs w:val="22"/>
              </w:rPr>
              <w:t>(EI 60/REI 60 *)</w:t>
            </w:r>
          </w:p>
        </w:tc>
        <w:tc>
          <w:tcPr>
            <w:tcW w:w="1817" w:type="dxa"/>
            <w:shd w:val="clear" w:color="auto" w:fill="auto"/>
            <w:vAlign w:val="center"/>
          </w:tcPr>
          <w:p w14:paraId="742D8F8A" w14:textId="77777777" w:rsidR="001C08A5" w:rsidRDefault="00000000">
            <w:pPr>
              <w:pStyle w:val="Contenutotabellacentrato"/>
              <w:rPr>
                <w:b/>
                <w:i/>
                <w:iCs/>
                <w:sz w:val="22"/>
                <w:szCs w:val="22"/>
              </w:rPr>
            </w:pPr>
            <w:r>
              <w:rPr>
                <w:b/>
                <w:i/>
                <w:iCs/>
                <w:sz w:val="22"/>
                <w:szCs w:val="22"/>
              </w:rPr>
              <w:t>EI 60</w:t>
            </w:r>
          </w:p>
          <w:p w14:paraId="12E8A456" w14:textId="77777777" w:rsidR="001C08A5" w:rsidRDefault="00000000">
            <w:pPr>
              <w:pStyle w:val="Contenutotabellacentrato"/>
              <w:rPr>
                <w:b/>
                <w:i/>
                <w:iCs/>
                <w:sz w:val="22"/>
                <w:szCs w:val="22"/>
              </w:rPr>
            </w:pPr>
            <w:r>
              <w:rPr>
                <w:b/>
                <w:i/>
                <w:iCs/>
              </w:rPr>
              <w:t>(EI 45*)</w:t>
            </w:r>
          </w:p>
        </w:tc>
      </w:tr>
      <w:tr w:rsidR="001C08A5" w14:paraId="27D4A6A1" w14:textId="77777777">
        <w:tc>
          <w:tcPr>
            <w:tcW w:w="2029" w:type="dxa"/>
            <w:vMerge/>
            <w:shd w:val="clear" w:color="auto" w:fill="auto"/>
            <w:vAlign w:val="center"/>
          </w:tcPr>
          <w:p w14:paraId="35C522E5" w14:textId="77777777" w:rsidR="001C08A5" w:rsidRDefault="001C08A5">
            <w:pPr>
              <w:pStyle w:val="Contenutotabellacentrato"/>
              <w:keepNext/>
              <w:rPr>
                <w:b/>
                <w:bCs/>
                <w:i/>
                <w:iCs/>
                <w:sz w:val="22"/>
                <w:szCs w:val="22"/>
              </w:rPr>
            </w:pPr>
          </w:p>
        </w:tc>
        <w:tc>
          <w:tcPr>
            <w:tcW w:w="3183" w:type="dxa"/>
            <w:shd w:val="clear" w:color="auto" w:fill="auto"/>
            <w:vAlign w:val="center"/>
          </w:tcPr>
          <w:p w14:paraId="66D88448" w14:textId="77777777" w:rsidR="001C08A5" w:rsidRDefault="00000000">
            <w:pPr>
              <w:pStyle w:val="Contenutotabellacentrato"/>
              <w:rPr>
                <w:b/>
                <w:bCs/>
                <w:i/>
                <w:iCs/>
                <w:sz w:val="22"/>
                <w:szCs w:val="22"/>
              </w:rPr>
            </w:pPr>
            <w:r>
              <w:rPr>
                <w:b/>
                <w:bCs/>
                <w:i/>
                <w:iCs/>
                <w:sz w:val="22"/>
                <w:szCs w:val="22"/>
              </w:rPr>
              <w:t>840 MJ/m</w:t>
            </w:r>
            <w:r>
              <w:rPr>
                <w:b/>
                <w:bCs/>
                <w:i/>
                <w:iCs/>
                <w:sz w:val="22"/>
                <w:szCs w:val="22"/>
                <w:vertAlign w:val="superscript"/>
              </w:rPr>
              <w:t xml:space="preserve">2 </w:t>
            </w:r>
            <w:r>
              <w:rPr>
                <w:rFonts w:ascii="Arial" w:hAnsi="Arial" w:cs="Arial"/>
                <w:b/>
                <w:bCs/>
                <w:i/>
                <w:iCs/>
                <w:sz w:val="22"/>
                <w:szCs w:val="22"/>
              </w:rPr>
              <w:t xml:space="preserve">&lt; </w:t>
            </w:r>
            <w:r>
              <w:rPr>
                <w:b/>
                <w:bCs/>
                <w:i/>
                <w:iCs/>
                <w:sz w:val="22"/>
                <w:szCs w:val="22"/>
              </w:rPr>
              <w:t>q</w:t>
            </w:r>
            <w:r>
              <w:rPr>
                <w:rFonts w:ascii="Arial" w:hAnsi="Arial" w:cs="Arial"/>
                <w:b/>
                <w:bCs/>
                <w:i/>
                <w:iCs/>
                <w:sz w:val="22"/>
                <w:szCs w:val="22"/>
              </w:rPr>
              <w:t xml:space="preserve"> ≤ </w:t>
            </w:r>
            <w:r>
              <w:rPr>
                <w:b/>
                <w:bCs/>
                <w:i/>
                <w:iCs/>
                <w:sz w:val="22"/>
                <w:szCs w:val="22"/>
              </w:rPr>
              <w:t>1 680 MJ/m</w:t>
            </w:r>
            <w:r>
              <w:rPr>
                <w:b/>
                <w:bCs/>
                <w:i/>
                <w:iCs/>
                <w:sz w:val="22"/>
                <w:szCs w:val="22"/>
                <w:vertAlign w:val="superscript"/>
              </w:rPr>
              <w:t>2</w:t>
            </w:r>
          </w:p>
        </w:tc>
        <w:tc>
          <w:tcPr>
            <w:tcW w:w="2823" w:type="dxa"/>
            <w:shd w:val="clear" w:color="auto" w:fill="auto"/>
            <w:vAlign w:val="center"/>
          </w:tcPr>
          <w:p w14:paraId="1B57ADE0" w14:textId="77777777" w:rsidR="001C08A5" w:rsidRDefault="00000000">
            <w:pPr>
              <w:pStyle w:val="Contenutotabellacentrato"/>
              <w:rPr>
                <w:b/>
                <w:bCs/>
                <w:i/>
                <w:iCs/>
                <w:sz w:val="22"/>
                <w:szCs w:val="22"/>
              </w:rPr>
            </w:pPr>
            <w:r>
              <w:rPr>
                <w:b/>
                <w:bCs/>
                <w:i/>
                <w:iCs/>
                <w:sz w:val="22"/>
                <w:szCs w:val="22"/>
              </w:rPr>
              <w:t xml:space="preserve">EI 120/REI 120 </w:t>
            </w:r>
          </w:p>
          <w:p w14:paraId="0DB63D8C" w14:textId="77777777" w:rsidR="001C08A5" w:rsidRDefault="00000000">
            <w:pPr>
              <w:pStyle w:val="Contenutotabellacentrato"/>
              <w:rPr>
                <w:b/>
                <w:bCs/>
                <w:i/>
                <w:iCs/>
                <w:sz w:val="22"/>
                <w:szCs w:val="22"/>
              </w:rPr>
            </w:pPr>
            <w:r>
              <w:rPr>
                <w:b/>
                <w:bCs/>
                <w:i/>
                <w:iCs/>
                <w:sz w:val="22"/>
                <w:szCs w:val="22"/>
              </w:rPr>
              <w:t>(EI 90/REI 90 *)</w:t>
            </w:r>
          </w:p>
        </w:tc>
        <w:tc>
          <w:tcPr>
            <w:tcW w:w="1817" w:type="dxa"/>
            <w:shd w:val="clear" w:color="auto" w:fill="auto"/>
            <w:vAlign w:val="center"/>
          </w:tcPr>
          <w:p w14:paraId="2363EF2A" w14:textId="77777777" w:rsidR="001C08A5" w:rsidRDefault="00000000">
            <w:pPr>
              <w:pStyle w:val="Contenutotabellacentrato"/>
              <w:rPr>
                <w:b/>
                <w:i/>
                <w:iCs/>
                <w:sz w:val="22"/>
                <w:szCs w:val="22"/>
              </w:rPr>
            </w:pPr>
            <w:r>
              <w:rPr>
                <w:b/>
                <w:i/>
                <w:iCs/>
                <w:sz w:val="22"/>
                <w:szCs w:val="22"/>
              </w:rPr>
              <w:t>EI 90</w:t>
            </w:r>
          </w:p>
          <w:p w14:paraId="4BDAE6CA" w14:textId="77777777" w:rsidR="001C08A5" w:rsidRDefault="00000000">
            <w:pPr>
              <w:pStyle w:val="Contenutotabellacentrato"/>
              <w:rPr>
                <w:b/>
                <w:i/>
                <w:iCs/>
                <w:sz w:val="22"/>
                <w:szCs w:val="22"/>
              </w:rPr>
            </w:pPr>
            <w:r>
              <w:rPr>
                <w:b/>
                <w:i/>
                <w:iCs/>
              </w:rPr>
              <w:t>(EI 60*)</w:t>
            </w:r>
          </w:p>
        </w:tc>
      </w:tr>
      <w:tr w:rsidR="001C08A5" w14:paraId="2FF388DA" w14:textId="77777777">
        <w:tc>
          <w:tcPr>
            <w:tcW w:w="2029" w:type="dxa"/>
            <w:vMerge/>
            <w:shd w:val="clear" w:color="auto" w:fill="auto"/>
            <w:vAlign w:val="center"/>
          </w:tcPr>
          <w:p w14:paraId="240940C3" w14:textId="77777777" w:rsidR="001C08A5" w:rsidRDefault="001C08A5">
            <w:pPr>
              <w:pStyle w:val="Contenutotabellacentrato"/>
              <w:keepNext/>
              <w:rPr>
                <w:b/>
                <w:bCs/>
                <w:i/>
                <w:iCs/>
                <w:sz w:val="22"/>
                <w:szCs w:val="22"/>
              </w:rPr>
            </w:pPr>
          </w:p>
        </w:tc>
        <w:tc>
          <w:tcPr>
            <w:tcW w:w="3183" w:type="dxa"/>
            <w:shd w:val="clear" w:color="auto" w:fill="auto"/>
            <w:vAlign w:val="center"/>
          </w:tcPr>
          <w:p w14:paraId="12063D41" w14:textId="77777777" w:rsidR="001C08A5" w:rsidRDefault="00000000">
            <w:pPr>
              <w:pStyle w:val="Contenutotabellacentrato"/>
              <w:rPr>
                <w:b/>
                <w:bCs/>
                <w:i/>
                <w:iCs/>
                <w:sz w:val="22"/>
                <w:szCs w:val="22"/>
              </w:rPr>
            </w:pPr>
            <w:r>
              <w:rPr>
                <w:b/>
                <w:bCs/>
                <w:i/>
                <w:iCs/>
                <w:sz w:val="22"/>
                <w:szCs w:val="22"/>
              </w:rPr>
              <w:t>q</w:t>
            </w:r>
            <w:r>
              <w:rPr>
                <w:rFonts w:ascii="Arial" w:hAnsi="Arial" w:cs="Arial"/>
                <w:b/>
                <w:bCs/>
                <w:i/>
                <w:iCs/>
                <w:sz w:val="22"/>
                <w:szCs w:val="22"/>
              </w:rPr>
              <w:t xml:space="preserve"> &gt;</w:t>
            </w:r>
            <w:r>
              <w:rPr>
                <w:b/>
                <w:bCs/>
                <w:i/>
                <w:iCs/>
                <w:sz w:val="22"/>
                <w:szCs w:val="22"/>
              </w:rPr>
              <w:t xml:space="preserve"> 1 680 MJ/m</w:t>
            </w:r>
            <w:r>
              <w:rPr>
                <w:b/>
                <w:bCs/>
                <w:i/>
                <w:iCs/>
                <w:sz w:val="22"/>
                <w:szCs w:val="22"/>
                <w:vertAlign w:val="superscript"/>
              </w:rPr>
              <w:t xml:space="preserve">2 </w:t>
            </w:r>
            <w:r>
              <w:rPr>
                <w:i/>
                <w:iCs/>
                <w:sz w:val="22"/>
                <w:szCs w:val="22"/>
              </w:rPr>
              <w:t>şi/sau există pericol de explozie volumetrică)</w:t>
            </w:r>
          </w:p>
        </w:tc>
        <w:tc>
          <w:tcPr>
            <w:tcW w:w="2823" w:type="dxa"/>
            <w:shd w:val="clear" w:color="auto" w:fill="auto"/>
            <w:vAlign w:val="center"/>
          </w:tcPr>
          <w:p w14:paraId="146893DF" w14:textId="77777777" w:rsidR="001C08A5" w:rsidRDefault="00000000">
            <w:pPr>
              <w:pStyle w:val="Contenutotabellacentrato"/>
              <w:rPr>
                <w:b/>
                <w:bCs/>
                <w:i/>
                <w:iCs/>
                <w:sz w:val="22"/>
                <w:szCs w:val="22"/>
              </w:rPr>
            </w:pPr>
            <w:r>
              <w:rPr>
                <w:b/>
                <w:bCs/>
                <w:i/>
                <w:iCs/>
                <w:sz w:val="22"/>
                <w:szCs w:val="22"/>
              </w:rPr>
              <w:t xml:space="preserve">EI 180/REI 180 </w:t>
            </w:r>
          </w:p>
          <w:p w14:paraId="0AFDA0C4" w14:textId="77777777" w:rsidR="001C08A5" w:rsidRDefault="00000000">
            <w:pPr>
              <w:pStyle w:val="Contenutotabellacentrato"/>
              <w:rPr>
                <w:b/>
                <w:bCs/>
                <w:i/>
                <w:iCs/>
                <w:sz w:val="22"/>
                <w:szCs w:val="22"/>
              </w:rPr>
            </w:pPr>
            <w:r>
              <w:rPr>
                <w:b/>
                <w:bCs/>
                <w:i/>
                <w:iCs/>
                <w:sz w:val="22"/>
                <w:szCs w:val="22"/>
              </w:rPr>
              <w:t>(EI 120/REI 120 *)</w:t>
            </w:r>
          </w:p>
        </w:tc>
        <w:tc>
          <w:tcPr>
            <w:tcW w:w="1817" w:type="dxa"/>
            <w:shd w:val="clear" w:color="auto" w:fill="auto"/>
            <w:vAlign w:val="center"/>
          </w:tcPr>
          <w:p w14:paraId="3F0D2F02" w14:textId="77777777" w:rsidR="001C08A5" w:rsidRDefault="00000000">
            <w:pPr>
              <w:pStyle w:val="Contenutotabellacentrato"/>
              <w:rPr>
                <w:b/>
                <w:i/>
                <w:iCs/>
                <w:sz w:val="22"/>
                <w:szCs w:val="22"/>
              </w:rPr>
            </w:pPr>
            <w:r>
              <w:rPr>
                <w:b/>
                <w:i/>
                <w:iCs/>
                <w:sz w:val="22"/>
                <w:szCs w:val="22"/>
              </w:rPr>
              <w:t>EI 120</w:t>
            </w:r>
          </w:p>
          <w:p w14:paraId="77D13537" w14:textId="77777777" w:rsidR="001C08A5" w:rsidRDefault="00000000">
            <w:pPr>
              <w:pStyle w:val="Contenutotabellacentrato"/>
              <w:rPr>
                <w:b/>
                <w:i/>
                <w:iCs/>
                <w:sz w:val="22"/>
                <w:szCs w:val="22"/>
              </w:rPr>
            </w:pPr>
            <w:r>
              <w:rPr>
                <w:b/>
                <w:i/>
                <w:iCs/>
              </w:rPr>
              <w:t>(EI 90*)</w:t>
            </w:r>
          </w:p>
        </w:tc>
      </w:tr>
      <w:bookmarkEnd w:id="1025"/>
    </w:tbl>
    <w:p w14:paraId="2CD5CF11" w14:textId="77777777" w:rsidR="001C08A5" w:rsidRDefault="001C08A5">
      <w:pPr>
        <w:jc w:val="both"/>
        <w:rPr>
          <w:b/>
          <w:i/>
          <w:iCs/>
          <w:sz w:val="22"/>
          <w:szCs w:val="22"/>
        </w:rPr>
      </w:pPr>
    </w:p>
    <w:p w14:paraId="217577AD" w14:textId="77777777" w:rsidR="001C08A5" w:rsidRDefault="00000000">
      <w:pPr>
        <w:jc w:val="both"/>
        <w:rPr>
          <w:b/>
          <w:i/>
          <w:iCs/>
          <w:sz w:val="22"/>
          <w:szCs w:val="22"/>
        </w:rPr>
      </w:pPr>
      <w:r>
        <w:rPr>
          <w:b/>
          <w:i/>
          <w:iCs/>
          <w:sz w:val="22"/>
          <w:szCs w:val="22"/>
        </w:rPr>
        <w:t>Observații:</w:t>
      </w:r>
    </w:p>
    <w:p w14:paraId="327CD9AD" w14:textId="77777777" w:rsidR="001C08A5" w:rsidRDefault="00000000">
      <w:pPr>
        <w:jc w:val="both"/>
        <w:rPr>
          <w:b/>
          <w:i/>
          <w:iCs/>
          <w:sz w:val="22"/>
          <w:szCs w:val="22"/>
        </w:rPr>
      </w:pPr>
      <w:r>
        <w:rPr>
          <w:b/>
          <w:i/>
          <w:iCs/>
          <w:sz w:val="22"/>
          <w:szCs w:val="22"/>
          <w:vertAlign w:val="superscript"/>
        </w:rPr>
        <w:t>1)</w:t>
      </w:r>
      <w:r>
        <w:rPr>
          <w:b/>
          <w:i/>
          <w:iCs/>
          <w:sz w:val="22"/>
          <w:szCs w:val="22"/>
        </w:rPr>
        <w:t xml:space="preserve">  - </w:t>
      </w:r>
      <w:r>
        <w:rPr>
          <w:bCs/>
          <w:i/>
          <w:iCs/>
          <w:sz w:val="22"/>
          <w:szCs w:val="22"/>
        </w:rPr>
        <w:t>Se referă la ”</w:t>
      </w:r>
      <w:r>
        <w:rPr>
          <w:i/>
          <w:iCs/>
          <w:sz w:val="22"/>
          <w:szCs w:val="22"/>
        </w:rPr>
        <w:t>Pereţi antifoc pentru construcțiile cu regim de înălțime parter</w:t>
      </w:r>
      <w:r>
        <w:rPr>
          <w:bCs/>
          <w:i/>
          <w:iCs/>
          <w:sz w:val="22"/>
          <w:szCs w:val="22"/>
        </w:rPr>
        <w:t xml:space="preserve">” așa cum sunt definiți la </w:t>
      </w:r>
      <w:r>
        <w:rPr>
          <w:b/>
          <w:i/>
          <w:iCs/>
          <w:sz w:val="22"/>
          <w:szCs w:val="22"/>
        </w:rPr>
        <w:t>Art. 2.3.2.1.2. lit. a)</w:t>
      </w:r>
      <w:r>
        <w:rPr>
          <w:bCs/>
          <w:i/>
          <w:iCs/>
          <w:sz w:val="22"/>
          <w:szCs w:val="22"/>
        </w:rPr>
        <w:t>.</w:t>
      </w:r>
    </w:p>
    <w:p w14:paraId="7AB793AB" w14:textId="77777777" w:rsidR="001C08A5" w:rsidRDefault="00000000">
      <w:pPr>
        <w:jc w:val="both"/>
        <w:rPr>
          <w:b/>
          <w:bCs/>
          <w:i/>
          <w:iCs/>
          <w:sz w:val="22"/>
          <w:szCs w:val="22"/>
        </w:rPr>
      </w:pPr>
      <w:r>
        <w:rPr>
          <w:b/>
          <w:i/>
          <w:iCs/>
          <w:sz w:val="22"/>
          <w:szCs w:val="22"/>
          <w:vertAlign w:val="superscript"/>
        </w:rPr>
        <w:t>2)</w:t>
      </w:r>
      <w:r>
        <w:rPr>
          <w:b/>
          <w:i/>
          <w:iCs/>
          <w:sz w:val="22"/>
          <w:szCs w:val="22"/>
        </w:rPr>
        <w:t xml:space="preserve">  - </w:t>
      </w:r>
      <w:r>
        <w:rPr>
          <w:bCs/>
          <w:i/>
          <w:iCs/>
          <w:sz w:val="22"/>
          <w:szCs w:val="22"/>
        </w:rPr>
        <w:t>Se referă la ”Elemente de inchidere rezistente la foc (uși, ferestre) prevăzute cu autoînchidere ”</w:t>
      </w:r>
      <w:r>
        <w:rPr>
          <w:b/>
          <w:i/>
          <w:iCs/>
          <w:sz w:val="22"/>
          <w:szCs w:val="22"/>
        </w:rPr>
        <w:t>C</w:t>
      </w:r>
      <w:r>
        <w:rPr>
          <w:bCs/>
          <w:i/>
          <w:iCs/>
          <w:sz w:val="22"/>
          <w:szCs w:val="22"/>
        </w:rPr>
        <w:t xml:space="preserve">” sau fixe, dacă </w:t>
      </w:r>
      <w:r>
        <w:rPr>
          <w:i/>
          <w:iCs/>
          <w:sz w:val="22"/>
          <w:szCs w:val="22"/>
        </w:rPr>
        <w:t xml:space="preserve">distanţa dintre deschideri este mai mică de  </w:t>
      </w:r>
      <w:r>
        <w:rPr>
          <w:b/>
          <w:i/>
          <w:iCs/>
          <w:sz w:val="22"/>
          <w:szCs w:val="22"/>
        </w:rPr>
        <w:t xml:space="preserve">4 </w:t>
      </w:r>
      <w:r>
        <w:rPr>
          <w:bCs/>
          <w:i/>
          <w:iCs/>
          <w:sz w:val="22"/>
          <w:szCs w:val="22"/>
        </w:rPr>
        <w:t>m”.</w:t>
      </w:r>
    </w:p>
    <w:p w14:paraId="6FA8EE72" w14:textId="77777777" w:rsidR="001C08A5" w:rsidRDefault="00000000">
      <w:pPr>
        <w:widowControl w:val="0"/>
        <w:jc w:val="both"/>
        <w:rPr>
          <w:b/>
          <w:bCs/>
          <w:i/>
          <w:iCs/>
          <w:sz w:val="22"/>
          <w:szCs w:val="22"/>
        </w:rPr>
      </w:pPr>
      <w:r>
        <w:rPr>
          <w:b/>
          <w:bCs/>
          <w:i/>
          <w:iCs/>
          <w:sz w:val="22"/>
          <w:szCs w:val="22"/>
        </w:rPr>
        <w:t xml:space="preserve">Note: </w:t>
      </w:r>
    </w:p>
    <w:p w14:paraId="3ED077D6" w14:textId="77777777" w:rsidR="001C08A5" w:rsidRDefault="00000000">
      <w:pPr>
        <w:widowControl w:val="0"/>
        <w:jc w:val="both"/>
        <w:rPr>
          <w:i/>
          <w:iCs/>
          <w:sz w:val="22"/>
          <w:szCs w:val="22"/>
        </w:rPr>
      </w:pPr>
      <w:r>
        <w:rPr>
          <w:i/>
          <w:iCs/>
          <w:sz w:val="22"/>
          <w:szCs w:val="22"/>
        </w:rPr>
        <w:t xml:space="preserve">Pentru clădiri închise se aplică specificatia </w:t>
      </w:r>
      <w:r>
        <w:rPr>
          <w:b/>
          <w:bCs/>
          <w:i/>
          <w:iCs/>
          <w:sz w:val="22"/>
          <w:szCs w:val="22"/>
        </w:rPr>
        <w:t>EW</w:t>
      </w:r>
      <w:r>
        <w:rPr>
          <w:i/>
          <w:iCs/>
          <w:sz w:val="22"/>
          <w:szCs w:val="22"/>
        </w:rPr>
        <w:t xml:space="preserve"> sau </w:t>
      </w:r>
      <w:r>
        <w:rPr>
          <w:b/>
          <w:bCs/>
          <w:i/>
          <w:iCs/>
          <w:sz w:val="22"/>
          <w:szCs w:val="22"/>
        </w:rPr>
        <w:t>EI</w:t>
      </w:r>
      <w:r>
        <w:rPr>
          <w:i/>
          <w:iCs/>
          <w:sz w:val="22"/>
          <w:szCs w:val="22"/>
        </w:rPr>
        <w:t xml:space="preserve"> la elemente de inchidere rezistente la foc (uși, ferestre), în funcție de apropierea dintre deschideri (dacă este mai mică de </w:t>
      </w:r>
      <w:r>
        <w:rPr>
          <w:b/>
          <w:bCs/>
          <w:i/>
          <w:iCs/>
          <w:sz w:val="22"/>
          <w:szCs w:val="22"/>
        </w:rPr>
        <w:t xml:space="preserve">1 </w:t>
      </w:r>
      <w:r>
        <w:rPr>
          <w:i/>
          <w:iCs/>
          <w:sz w:val="22"/>
          <w:szCs w:val="22"/>
        </w:rPr>
        <w:t xml:space="preserve">m obligatoriu se aplică performanța la foc </w:t>
      </w:r>
      <w:r>
        <w:rPr>
          <w:b/>
          <w:bCs/>
          <w:i/>
          <w:iCs/>
          <w:sz w:val="22"/>
          <w:szCs w:val="22"/>
        </w:rPr>
        <w:t>EI</w:t>
      </w:r>
      <w:r>
        <w:rPr>
          <w:i/>
          <w:iCs/>
          <w:sz w:val="22"/>
          <w:szCs w:val="22"/>
        </w:rPr>
        <w:t>). Pentru clădiri deschise se poate aplica specificatia</w:t>
      </w:r>
      <w:r>
        <w:rPr>
          <w:b/>
          <w:bCs/>
          <w:i/>
          <w:iCs/>
          <w:sz w:val="22"/>
          <w:szCs w:val="22"/>
        </w:rPr>
        <w:t xml:space="preserve"> E</w:t>
      </w:r>
      <w:r>
        <w:rPr>
          <w:i/>
          <w:iCs/>
          <w:sz w:val="22"/>
          <w:szCs w:val="22"/>
        </w:rPr>
        <w:t xml:space="preserve"> la elemente de inchidere rezistente la foc (uși, ferestre).</w:t>
      </w:r>
    </w:p>
    <w:p w14:paraId="5E922049" w14:textId="77777777" w:rsidR="001C08A5" w:rsidRDefault="00000000">
      <w:pPr>
        <w:widowControl w:val="0"/>
        <w:jc w:val="both"/>
        <w:rPr>
          <w:i/>
          <w:iCs/>
          <w:sz w:val="22"/>
          <w:szCs w:val="22"/>
        </w:rPr>
      </w:pP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 xml:space="preserve">pereţilor </w:t>
      </w:r>
      <w:r>
        <w:rPr>
          <w:i/>
          <w:iCs/>
          <w:sz w:val="22"/>
          <w:szCs w:val="22"/>
        </w:rPr>
        <w:t xml:space="preserve">(din exterior) definiți în tabel este </w:t>
      </w:r>
      <w:r>
        <w:rPr>
          <w:b/>
          <w:i/>
          <w:iCs/>
          <w:sz w:val="22"/>
          <w:szCs w:val="22"/>
        </w:rPr>
        <w:t xml:space="preserve">A1 sau A2-s1,d0. </w:t>
      </w: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w:t>
      </w:r>
      <w:r>
        <w:rPr>
          <w:i/>
          <w:iCs/>
          <w:sz w:val="22"/>
          <w:szCs w:val="22"/>
        </w:rPr>
        <w:lastRenderedPageBreak/>
        <w:t xml:space="preserve">de reacție la foc a </w:t>
      </w:r>
      <w:r>
        <w:rPr>
          <w:b/>
          <w:i/>
          <w:iCs/>
          <w:sz w:val="22"/>
          <w:szCs w:val="22"/>
        </w:rPr>
        <w:t>elementelor de închidere rezistente la foc</w:t>
      </w:r>
      <w:r>
        <w:rPr>
          <w:i/>
          <w:iCs/>
          <w:sz w:val="22"/>
          <w:szCs w:val="22"/>
        </w:rPr>
        <w:t xml:space="preserve"> definite în  tabel este </w:t>
      </w:r>
      <w:r>
        <w:rPr>
          <w:b/>
          <w:i/>
          <w:iCs/>
          <w:sz w:val="22"/>
          <w:szCs w:val="22"/>
        </w:rPr>
        <w:t xml:space="preserve">A1 sau A2-s1,d0, </w:t>
      </w:r>
      <w:r>
        <w:rPr>
          <w:bCs/>
          <w:i/>
          <w:iCs/>
          <w:sz w:val="22"/>
          <w:szCs w:val="22"/>
        </w:rPr>
        <w:t>cu excepția componetelor nesubstanţiale, garniturilor, izolatorilor, elementelor de vitraj (din sticlă) simplu sau izolant (realizate din sticlă) ale ușilor și ferestrelor (exterioare), inclusiv cele inserate în pereții cortină.</w:t>
      </w:r>
    </w:p>
    <w:p w14:paraId="26ED7EAA" w14:textId="77777777" w:rsidR="001C08A5" w:rsidRDefault="00000000">
      <w:pPr>
        <w:rPr>
          <w:sz w:val="22"/>
          <w:szCs w:val="22"/>
        </w:rPr>
      </w:pPr>
      <w:r>
        <w:rPr>
          <w:i/>
          <w:iCs/>
          <w:sz w:val="22"/>
          <w:szCs w:val="22"/>
        </w:rPr>
        <w:t xml:space="preserve">Rezistența la foc a tuturor </w:t>
      </w:r>
      <w:r>
        <w:rPr>
          <w:bCs/>
          <w:i/>
          <w:iCs/>
          <w:sz w:val="22"/>
          <w:szCs w:val="22"/>
        </w:rPr>
        <w:t xml:space="preserve">elementelor </w:t>
      </w:r>
      <w:r>
        <w:rPr>
          <w:i/>
          <w:iCs/>
          <w:sz w:val="22"/>
          <w:szCs w:val="22"/>
        </w:rPr>
        <w:t xml:space="preserve">definite în coloanele </w:t>
      </w:r>
      <w:r>
        <w:rPr>
          <w:b/>
          <w:bCs/>
          <w:i/>
          <w:iCs/>
          <w:sz w:val="22"/>
          <w:szCs w:val="22"/>
        </w:rPr>
        <w:t>3</w:t>
      </w:r>
      <w:r>
        <w:rPr>
          <w:i/>
          <w:iCs/>
          <w:sz w:val="22"/>
          <w:szCs w:val="22"/>
        </w:rPr>
        <w:t xml:space="preserve"> și </w:t>
      </w:r>
      <w:r>
        <w:rPr>
          <w:b/>
          <w:bCs/>
          <w:i/>
          <w:iCs/>
          <w:sz w:val="22"/>
          <w:szCs w:val="22"/>
        </w:rPr>
        <w:t>4</w:t>
      </w:r>
      <w:r>
        <w:rPr>
          <w:i/>
          <w:iCs/>
          <w:sz w:val="22"/>
          <w:szCs w:val="22"/>
        </w:rPr>
        <w:t xml:space="preserve"> din tabel este în minute.</w:t>
      </w:r>
    </w:p>
    <w:p w14:paraId="00211A0D" w14:textId="77777777" w:rsidR="001C08A5" w:rsidRDefault="00000000">
      <w:pPr>
        <w:widowControl w:val="0"/>
        <w:jc w:val="both"/>
        <w:rPr>
          <w:i/>
          <w:sz w:val="22"/>
          <w:szCs w:val="22"/>
        </w:rPr>
      </w:pPr>
      <w:r>
        <w:rPr>
          <w:b/>
          <w:sz w:val="22"/>
          <w:szCs w:val="22"/>
        </w:rPr>
        <w:t xml:space="preserve">* </w:t>
      </w:r>
      <w:r>
        <w:rPr>
          <w:i/>
          <w:sz w:val="22"/>
          <w:szCs w:val="22"/>
        </w:rPr>
        <w:t xml:space="preserve">Valorile din paranteze se aplică în cazurile în care încăperile sunt echipate cu instalaţii automate de stingere a incendiilor </w:t>
      </w:r>
      <w:r>
        <w:rPr>
          <w:bCs/>
          <w:i/>
          <w:iCs/>
          <w:sz w:val="22"/>
          <w:szCs w:val="22"/>
        </w:rPr>
        <w:t xml:space="preserve">(conform prevederi Normativ </w:t>
      </w:r>
      <w:r>
        <w:rPr>
          <w:b/>
          <w:i/>
          <w:iCs/>
          <w:sz w:val="22"/>
          <w:szCs w:val="22"/>
        </w:rPr>
        <w:t>P118:2</w:t>
      </w:r>
      <w:r>
        <w:rPr>
          <w:bCs/>
          <w:i/>
          <w:iCs/>
          <w:sz w:val="22"/>
          <w:szCs w:val="22"/>
        </w:rPr>
        <w:t>, cu excepțiile prevăzute ale spațiilor care se dotează cu alte instalații automate de stingere)</w:t>
      </w:r>
      <w:r>
        <w:rPr>
          <w:i/>
          <w:sz w:val="22"/>
          <w:szCs w:val="22"/>
        </w:rPr>
        <w:t>.</w:t>
      </w:r>
    </w:p>
    <w:p w14:paraId="10F1137B" w14:textId="77777777" w:rsidR="001C08A5" w:rsidRDefault="001C08A5">
      <w:pPr>
        <w:widowControl w:val="0"/>
        <w:jc w:val="both"/>
        <w:rPr>
          <w:i/>
          <w:iCs/>
          <w:sz w:val="22"/>
          <w:szCs w:val="22"/>
        </w:rPr>
      </w:pPr>
    </w:p>
    <w:p w14:paraId="0B85165A" w14:textId="77777777" w:rsidR="001C08A5" w:rsidRDefault="00000000">
      <w:pPr>
        <w:pStyle w:val="Caption"/>
      </w:pPr>
      <w:bookmarkStart w:id="1026" w:name="_Ref29070"/>
      <w:bookmarkStart w:id="1027" w:name="_Toc162360058"/>
      <w:r>
        <w:t xml:space="preserve">Tabelul </w:t>
      </w:r>
      <w:r>
        <w:fldChar w:fldCharType="begin"/>
      </w:r>
      <w:r>
        <w:instrText xml:space="preserve"> SEQ Tabelul \* ARABIC </w:instrText>
      </w:r>
      <w:r>
        <w:fldChar w:fldCharType="separate"/>
      </w:r>
      <w:r>
        <w:t>8</w:t>
      </w:r>
      <w:r>
        <w:fldChar w:fldCharType="end"/>
      </w:r>
      <w:bookmarkStart w:id="1028" w:name="_Toc27492"/>
      <w:bookmarkStart w:id="1029" w:name="_Toc12060"/>
      <w:bookmarkStart w:id="1030" w:name="_Toc20837"/>
      <w:bookmarkStart w:id="1031" w:name="_Toc10230"/>
      <w:bookmarkStart w:id="1032" w:name="_Toc20303"/>
      <w:bookmarkStart w:id="1033" w:name="_Toc24526"/>
      <w:bookmarkStart w:id="1034" w:name="_Toc27201"/>
      <w:bookmarkStart w:id="1035" w:name="_Toc15927"/>
      <w:bookmarkStart w:id="1036" w:name="_Toc25102"/>
      <w:bookmarkStart w:id="1037" w:name="_Toc757"/>
      <w:bookmarkStart w:id="1038" w:name="_Toc30499"/>
      <w:bookmarkStart w:id="1039" w:name="_Toc12829"/>
      <w:bookmarkEnd w:id="1026"/>
      <w:r>
        <w:t xml:space="preserve">: Rezistența la foc a pereţilor din exterior și ale elementelor de închidere rezistente la foc ale golurilor funcţionale prevazute în pereţii din exterior amplasate la colţurile intrânde ale construcţiilor civile (cu excepția clădirilor prevăzute la Art. 2.3.2.1.2. lit. a)) în formă de L, T sau U sub un unghi unghi α, α </w:t>
      </w:r>
      <w:r>
        <w:rPr>
          <w:rFonts w:ascii="Arial" w:hAnsi="Arial" w:cs="Arial"/>
        </w:rPr>
        <w:t>&lt;</w:t>
      </w:r>
      <w:r>
        <w:t xml:space="preserve"> 90°, unde golurile din pereţii exteriori adiacenţi sunt dispuse astfel încât distanţa dintre ele este mai mică de 4 m</w:t>
      </w:r>
      <w:bookmarkEnd w:id="1027"/>
      <w:bookmarkEnd w:id="1028"/>
      <w:bookmarkEnd w:id="1029"/>
      <w:bookmarkEnd w:id="1030"/>
      <w:bookmarkEnd w:id="1031"/>
      <w:bookmarkEnd w:id="1032"/>
      <w:bookmarkEnd w:id="1033"/>
      <w:bookmarkEnd w:id="1034"/>
      <w:bookmarkEnd w:id="1035"/>
      <w:bookmarkEnd w:id="1036"/>
      <w:bookmarkEnd w:id="1037"/>
      <w:bookmarkEnd w:id="1038"/>
      <w:bookmarkEnd w:id="1039"/>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7"/>
        <w:gridCol w:w="1402"/>
        <w:gridCol w:w="1322"/>
        <w:gridCol w:w="1335"/>
        <w:gridCol w:w="1367"/>
        <w:gridCol w:w="1225"/>
        <w:gridCol w:w="1424"/>
      </w:tblGrid>
      <w:tr w:rsidR="001C08A5" w14:paraId="556E659F" w14:textId="77777777">
        <w:trPr>
          <w:tblHeader/>
        </w:trPr>
        <w:tc>
          <w:tcPr>
            <w:tcW w:w="755" w:type="pct"/>
            <w:vMerge w:val="restart"/>
            <w:shd w:val="clear" w:color="auto" w:fill="BFBFBF"/>
          </w:tcPr>
          <w:p w14:paraId="0BB7332D" w14:textId="77777777" w:rsidR="001C08A5" w:rsidRDefault="00000000">
            <w:pPr>
              <w:jc w:val="center"/>
              <w:rPr>
                <w:b/>
                <w:i/>
                <w:iCs/>
                <w:sz w:val="21"/>
                <w:szCs w:val="21"/>
              </w:rPr>
            </w:pPr>
            <w:r>
              <w:rPr>
                <w:b/>
                <w:i/>
                <w:iCs/>
                <w:sz w:val="21"/>
                <w:szCs w:val="21"/>
              </w:rPr>
              <w:t>Nivel de stabilitate la incendiu</w:t>
            </w:r>
          </w:p>
        </w:tc>
        <w:tc>
          <w:tcPr>
            <w:tcW w:w="4244" w:type="pct"/>
            <w:gridSpan w:val="6"/>
            <w:shd w:val="clear" w:color="auto" w:fill="BFBFBF"/>
          </w:tcPr>
          <w:p w14:paraId="0E32FF07" w14:textId="77777777" w:rsidR="001C08A5" w:rsidRDefault="00000000">
            <w:pPr>
              <w:jc w:val="center"/>
              <w:rPr>
                <w:b/>
                <w:sz w:val="21"/>
                <w:szCs w:val="21"/>
              </w:rPr>
            </w:pPr>
            <w:r>
              <w:rPr>
                <w:b/>
                <w:bCs/>
                <w:sz w:val="28"/>
                <w:szCs w:val="28"/>
              </w:rPr>
              <w:t xml:space="preserve">α </w:t>
            </w:r>
            <w:r>
              <w:rPr>
                <w:rFonts w:ascii="Arial" w:hAnsi="Arial" w:cs="Arial"/>
                <w:b/>
                <w:sz w:val="24"/>
                <w:szCs w:val="24"/>
              </w:rPr>
              <w:t>&lt;</w:t>
            </w:r>
            <w:r>
              <w:rPr>
                <w:b/>
                <w:sz w:val="24"/>
                <w:szCs w:val="24"/>
              </w:rPr>
              <w:t xml:space="preserve"> 90°</w:t>
            </w:r>
          </w:p>
        </w:tc>
      </w:tr>
      <w:tr w:rsidR="001C08A5" w14:paraId="4C5FF5AF" w14:textId="77777777">
        <w:trPr>
          <w:tblHeader/>
        </w:trPr>
        <w:tc>
          <w:tcPr>
            <w:tcW w:w="755" w:type="pct"/>
            <w:vMerge/>
            <w:shd w:val="clear" w:color="auto" w:fill="BFBFBF"/>
          </w:tcPr>
          <w:p w14:paraId="073D6BFF" w14:textId="77777777" w:rsidR="001C08A5" w:rsidRPr="00C163C7" w:rsidRDefault="001C08A5">
            <w:pPr>
              <w:keepNext/>
              <w:tabs>
                <w:tab w:val="left" w:pos="432"/>
              </w:tabs>
              <w:ind w:left="432" w:hanging="432"/>
              <w:jc w:val="center"/>
              <w:outlineLvl w:val="0"/>
              <w:rPr>
                <w:b/>
                <w:i/>
                <w:iCs/>
                <w:sz w:val="21"/>
                <w:szCs w:val="21"/>
              </w:rPr>
            </w:pPr>
          </w:p>
        </w:tc>
        <w:tc>
          <w:tcPr>
            <w:tcW w:w="1432" w:type="pct"/>
            <w:gridSpan w:val="2"/>
            <w:shd w:val="clear" w:color="auto" w:fill="BFBFBF"/>
          </w:tcPr>
          <w:p w14:paraId="5A64DC85" w14:textId="77777777" w:rsidR="001C08A5" w:rsidRDefault="00000000">
            <w:pPr>
              <w:jc w:val="center"/>
              <w:rPr>
                <w:b/>
                <w:i/>
                <w:iCs/>
                <w:sz w:val="21"/>
                <w:szCs w:val="21"/>
              </w:rPr>
            </w:pPr>
            <w:r>
              <w:rPr>
                <w:i/>
                <w:iCs/>
              </w:rPr>
              <w:t>În cazul p</w:t>
            </w:r>
            <w:r>
              <w:rPr>
                <w:i/>
                <w:iCs/>
                <w:sz w:val="21"/>
                <w:szCs w:val="21"/>
              </w:rPr>
              <w:t>ereţi</w:t>
            </w:r>
            <w:r>
              <w:rPr>
                <w:i/>
                <w:iCs/>
              </w:rPr>
              <w:t>lor</w:t>
            </w:r>
            <w:r>
              <w:rPr>
                <w:i/>
                <w:iCs/>
                <w:sz w:val="21"/>
                <w:szCs w:val="21"/>
              </w:rPr>
              <w:t xml:space="preserve"> antifoc minimum</w:t>
            </w:r>
            <w:r>
              <w:rPr>
                <w:b/>
                <w:i/>
                <w:iCs/>
                <w:sz w:val="21"/>
                <w:szCs w:val="21"/>
              </w:rPr>
              <w:t xml:space="preserve"> EI-M 240/REI 240 </w:t>
            </w:r>
            <w:r>
              <w:rPr>
                <w:b/>
                <w:i/>
                <w:iCs/>
                <w:vertAlign w:val="superscript"/>
              </w:rPr>
              <w:t>1)</w:t>
            </w:r>
          </w:p>
        </w:tc>
        <w:tc>
          <w:tcPr>
            <w:tcW w:w="1420" w:type="pct"/>
            <w:gridSpan w:val="2"/>
            <w:shd w:val="clear" w:color="auto" w:fill="BFBFBF"/>
          </w:tcPr>
          <w:p w14:paraId="6A6CADB6" w14:textId="77777777" w:rsidR="001C08A5" w:rsidRDefault="00000000">
            <w:pPr>
              <w:jc w:val="center"/>
              <w:rPr>
                <w:i/>
                <w:iCs/>
                <w:sz w:val="21"/>
                <w:szCs w:val="21"/>
              </w:rPr>
            </w:pPr>
            <w:r>
              <w:rPr>
                <w:i/>
                <w:iCs/>
              </w:rPr>
              <w:t xml:space="preserve">În cazul pereţilor antifoc  </w:t>
            </w:r>
            <w:r>
              <w:rPr>
                <w:i/>
                <w:iCs/>
                <w:sz w:val="21"/>
                <w:szCs w:val="21"/>
              </w:rPr>
              <w:t>minimum</w:t>
            </w:r>
            <w:r>
              <w:rPr>
                <w:b/>
                <w:bCs/>
                <w:i/>
                <w:iCs/>
                <w:sz w:val="21"/>
                <w:szCs w:val="21"/>
              </w:rPr>
              <w:t xml:space="preserve"> EI-M 180/REI 180</w:t>
            </w:r>
            <w:r>
              <w:rPr>
                <w:b/>
                <w:bCs/>
                <w:i/>
                <w:iCs/>
                <w:vertAlign w:val="superscript"/>
              </w:rPr>
              <w:t>2)</w:t>
            </w:r>
          </w:p>
        </w:tc>
        <w:tc>
          <w:tcPr>
            <w:tcW w:w="1391" w:type="pct"/>
            <w:gridSpan w:val="2"/>
            <w:shd w:val="clear" w:color="auto" w:fill="BFBFBF"/>
          </w:tcPr>
          <w:p w14:paraId="6650FF53" w14:textId="77777777" w:rsidR="001C08A5" w:rsidRDefault="00000000">
            <w:pPr>
              <w:jc w:val="center"/>
              <w:rPr>
                <w:i/>
                <w:iCs/>
                <w:sz w:val="21"/>
                <w:szCs w:val="21"/>
              </w:rPr>
            </w:pPr>
            <w:r>
              <w:rPr>
                <w:i/>
                <w:iCs/>
              </w:rPr>
              <w:t xml:space="preserve">În cazul pereţilor antifoc </w:t>
            </w:r>
            <w:r>
              <w:rPr>
                <w:i/>
                <w:iCs/>
                <w:sz w:val="21"/>
                <w:szCs w:val="21"/>
              </w:rPr>
              <w:t xml:space="preserve"> minimum</w:t>
            </w:r>
            <w:r>
              <w:rPr>
                <w:b/>
                <w:bCs/>
                <w:i/>
                <w:iCs/>
                <w:sz w:val="21"/>
                <w:szCs w:val="21"/>
              </w:rPr>
              <w:t xml:space="preserve"> EI-M 120/REI 120</w:t>
            </w:r>
            <w:r>
              <w:rPr>
                <w:b/>
                <w:i/>
                <w:iCs/>
                <w:vertAlign w:val="superscript"/>
              </w:rPr>
              <w:t>3)</w:t>
            </w:r>
          </w:p>
        </w:tc>
      </w:tr>
      <w:tr w:rsidR="001C08A5" w14:paraId="3282B692" w14:textId="77777777">
        <w:trPr>
          <w:tblHeader/>
        </w:trPr>
        <w:tc>
          <w:tcPr>
            <w:tcW w:w="755" w:type="pct"/>
            <w:vMerge/>
            <w:shd w:val="clear" w:color="auto" w:fill="BFBFBF"/>
          </w:tcPr>
          <w:p w14:paraId="18610EF2" w14:textId="77777777" w:rsidR="001C08A5" w:rsidRPr="00C163C7" w:rsidRDefault="001C08A5">
            <w:pPr>
              <w:keepNext/>
              <w:tabs>
                <w:tab w:val="left" w:pos="432"/>
              </w:tabs>
              <w:ind w:left="432" w:hanging="432"/>
              <w:jc w:val="center"/>
              <w:outlineLvl w:val="0"/>
              <w:rPr>
                <w:b/>
                <w:i/>
                <w:iCs/>
                <w:sz w:val="21"/>
                <w:szCs w:val="21"/>
              </w:rPr>
            </w:pPr>
          </w:p>
        </w:tc>
        <w:tc>
          <w:tcPr>
            <w:tcW w:w="737" w:type="pct"/>
            <w:shd w:val="clear" w:color="auto" w:fill="BFBFBF"/>
          </w:tcPr>
          <w:p w14:paraId="5E87219E" w14:textId="77777777" w:rsidR="001C08A5" w:rsidRDefault="00000000">
            <w:pPr>
              <w:jc w:val="center"/>
              <w:rPr>
                <w:i/>
                <w:iCs/>
              </w:rPr>
            </w:pPr>
            <w:r>
              <w:rPr>
                <w:b/>
                <w:i/>
                <w:iCs/>
              </w:rPr>
              <w:t xml:space="preserve">Rezistenţa la foc (EI/REI) a pereţilor </w:t>
            </w:r>
            <w:r>
              <w:rPr>
                <w:b/>
                <w:bCs/>
                <w:i/>
                <w:iCs/>
              </w:rPr>
              <w:t>din exterior</w:t>
            </w:r>
            <w:r>
              <w:rPr>
                <w:b/>
                <w:i/>
                <w:iCs/>
                <w:vertAlign w:val="superscript"/>
              </w:rPr>
              <w:t>4)</w:t>
            </w:r>
          </w:p>
        </w:tc>
        <w:tc>
          <w:tcPr>
            <w:tcW w:w="694" w:type="pct"/>
            <w:shd w:val="clear" w:color="auto" w:fill="BFBFBF"/>
          </w:tcPr>
          <w:p w14:paraId="0121A416" w14:textId="77777777" w:rsidR="001C08A5" w:rsidRDefault="00000000">
            <w:pPr>
              <w:jc w:val="center"/>
              <w:rPr>
                <w:b/>
                <w:i/>
                <w:iCs/>
              </w:rPr>
            </w:pPr>
            <w:r>
              <w:rPr>
                <w:b/>
                <w:i/>
                <w:iCs/>
              </w:rPr>
              <w:t xml:space="preserve">Elemente de inchidere rezistente la foc </w:t>
            </w:r>
            <w:r>
              <w:rPr>
                <w:b/>
                <w:i/>
                <w:iCs/>
                <w:vertAlign w:val="superscript"/>
              </w:rPr>
              <w:t>5)</w:t>
            </w:r>
          </w:p>
        </w:tc>
        <w:tc>
          <w:tcPr>
            <w:tcW w:w="702" w:type="pct"/>
            <w:shd w:val="clear" w:color="auto" w:fill="BFBFBF"/>
          </w:tcPr>
          <w:p w14:paraId="02A092DF" w14:textId="77777777" w:rsidR="001C08A5" w:rsidRDefault="00000000">
            <w:pPr>
              <w:jc w:val="center"/>
              <w:rPr>
                <w:i/>
                <w:iCs/>
              </w:rPr>
            </w:pPr>
            <w:r>
              <w:rPr>
                <w:b/>
                <w:i/>
                <w:iCs/>
              </w:rPr>
              <w:t xml:space="preserve">Rezistenţa la foc (EI/REI) a pereţilor </w:t>
            </w:r>
            <w:r>
              <w:rPr>
                <w:b/>
                <w:bCs/>
                <w:i/>
                <w:iCs/>
              </w:rPr>
              <w:t>din exterior</w:t>
            </w:r>
            <w:r>
              <w:rPr>
                <w:b/>
                <w:i/>
                <w:iCs/>
                <w:vertAlign w:val="superscript"/>
              </w:rPr>
              <w:t>4)</w:t>
            </w:r>
          </w:p>
        </w:tc>
        <w:tc>
          <w:tcPr>
            <w:tcW w:w="718" w:type="pct"/>
            <w:shd w:val="clear" w:color="auto" w:fill="BFBFBF"/>
          </w:tcPr>
          <w:p w14:paraId="652F354D" w14:textId="77777777" w:rsidR="001C08A5" w:rsidRDefault="00000000">
            <w:pPr>
              <w:jc w:val="center"/>
              <w:rPr>
                <w:i/>
                <w:iCs/>
              </w:rPr>
            </w:pPr>
            <w:r>
              <w:rPr>
                <w:b/>
                <w:i/>
                <w:iCs/>
              </w:rPr>
              <w:t xml:space="preserve">Elemente de inchidere rezistente la foc </w:t>
            </w:r>
            <w:r>
              <w:rPr>
                <w:b/>
                <w:i/>
                <w:iCs/>
                <w:vertAlign w:val="superscript"/>
              </w:rPr>
              <w:t>5)</w:t>
            </w:r>
          </w:p>
        </w:tc>
        <w:tc>
          <w:tcPr>
            <w:tcW w:w="644" w:type="pct"/>
            <w:shd w:val="clear" w:color="auto" w:fill="BFBFBF"/>
          </w:tcPr>
          <w:p w14:paraId="5F1CAA77" w14:textId="77777777" w:rsidR="001C08A5" w:rsidRDefault="00000000">
            <w:pPr>
              <w:jc w:val="center"/>
              <w:rPr>
                <w:b/>
                <w:i/>
                <w:iCs/>
              </w:rPr>
            </w:pPr>
            <w:r>
              <w:rPr>
                <w:b/>
                <w:i/>
                <w:iCs/>
              </w:rPr>
              <w:t>Rezistenţa la foc (EI/REI) a pereţilor</w:t>
            </w:r>
            <w:r>
              <w:rPr>
                <w:bCs/>
                <w:i/>
                <w:iCs/>
              </w:rPr>
              <w:t xml:space="preserve"> din exterior</w:t>
            </w:r>
            <w:r>
              <w:rPr>
                <w:b/>
                <w:i/>
                <w:iCs/>
                <w:vertAlign w:val="superscript"/>
              </w:rPr>
              <w:t>4)</w:t>
            </w:r>
          </w:p>
        </w:tc>
        <w:tc>
          <w:tcPr>
            <w:tcW w:w="747" w:type="pct"/>
            <w:shd w:val="clear" w:color="auto" w:fill="BFBFBF"/>
          </w:tcPr>
          <w:p w14:paraId="69C48081" w14:textId="77777777" w:rsidR="001C08A5" w:rsidRDefault="00000000">
            <w:pPr>
              <w:jc w:val="center"/>
              <w:rPr>
                <w:b/>
                <w:i/>
                <w:iCs/>
              </w:rPr>
            </w:pPr>
            <w:r>
              <w:rPr>
                <w:b/>
                <w:i/>
                <w:iCs/>
              </w:rPr>
              <w:t xml:space="preserve">Elemente de inchidere rezistente la foc </w:t>
            </w:r>
            <w:r>
              <w:rPr>
                <w:b/>
                <w:i/>
                <w:iCs/>
                <w:vertAlign w:val="superscript"/>
              </w:rPr>
              <w:t>5)</w:t>
            </w:r>
          </w:p>
        </w:tc>
      </w:tr>
      <w:tr w:rsidR="001C08A5" w14:paraId="7C50C479" w14:textId="77777777">
        <w:trPr>
          <w:tblHeader/>
        </w:trPr>
        <w:tc>
          <w:tcPr>
            <w:tcW w:w="755" w:type="pct"/>
            <w:shd w:val="clear" w:color="auto" w:fill="BFBFBF"/>
          </w:tcPr>
          <w:p w14:paraId="5BA2D37B" w14:textId="77777777" w:rsidR="001C08A5" w:rsidRDefault="00000000">
            <w:pPr>
              <w:jc w:val="center"/>
              <w:rPr>
                <w:b/>
                <w:i/>
                <w:iCs/>
              </w:rPr>
            </w:pPr>
            <w:r>
              <w:rPr>
                <w:b/>
                <w:i/>
                <w:iCs/>
              </w:rPr>
              <w:t>1</w:t>
            </w:r>
          </w:p>
        </w:tc>
        <w:tc>
          <w:tcPr>
            <w:tcW w:w="737" w:type="pct"/>
            <w:shd w:val="clear" w:color="auto" w:fill="BFBFBF"/>
          </w:tcPr>
          <w:p w14:paraId="10980ABA" w14:textId="77777777" w:rsidR="001C08A5" w:rsidRDefault="00000000">
            <w:pPr>
              <w:jc w:val="center"/>
              <w:rPr>
                <w:b/>
                <w:bCs/>
                <w:i/>
                <w:iCs/>
              </w:rPr>
            </w:pPr>
            <w:r>
              <w:rPr>
                <w:b/>
                <w:bCs/>
                <w:i/>
                <w:iCs/>
              </w:rPr>
              <w:t>2</w:t>
            </w:r>
          </w:p>
        </w:tc>
        <w:tc>
          <w:tcPr>
            <w:tcW w:w="694" w:type="pct"/>
            <w:shd w:val="clear" w:color="auto" w:fill="BFBFBF"/>
          </w:tcPr>
          <w:p w14:paraId="33E02A68" w14:textId="77777777" w:rsidR="001C08A5" w:rsidRDefault="00000000">
            <w:pPr>
              <w:jc w:val="center"/>
              <w:rPr>
                <w:b/>
                <w:i/>
                <w:iCs/>
              </w:rPr>
            </w:pPr>
            <w:r>
              <w:rPr>
                <w:b/>
                <w:i/>
                <w:iCs/>
              </w:rPr>
              <w:t>3</w:t>
            </w:r>
          </w:p>
        </w:tc>
        <w:tc>
          <w:tcPr>
            <w:tcW w:w="702" w:type="pct"/>
            <w:shd w:val="clear" w:color="auto" w:fill="BFBFBF"/>
          </w:tcPr>
          <w:p w14:paraId="39C7B165" w14:textId="77777777" w:rsidR="001C08A5" w:rsidRDefault="00000000">
            <w:pPr>
              <w:jc w:val="center"/>
              <w:rPr>
                <w:b/>
                <w:bCs/>
                <w:i/>
                <w:iCs/>
              </w:rPr>
            </w:pPr>
            <w:r>
              <w:rPr>
                <w:b/>
                <w:bCs/>
                <w:i/>
                <w:iCs/>
              </w:rPr>
              <w:t>4</w:t>
            </w:r>
          </w:p>
        </w:tc>
        <w:tc>
          <w:tcPr>
            <w:tcW w:w="718" w:type="pct"/>
            <w:shd w:val="clear" w:color="auto" w:fill="BFBFBF"/>
          </w:tcPr>
          <w:p w14:paraId="3CED52D2" w14:textId="77777777" w:rsidR="001C08A5" w:rsidRDefault="00000000">
            <w:pPr>
              <w:jc w:val="center"/>
              <w:rPr>
                <w:b/>
                <w:i/>
                <w:iCs/>
              </w:rPr>
            </w:pPr>
            <w:r>
              <w:rPr>
                <w:b/>
                <w:i/>
                <w:iCs/>
              </w:rPr>
              <w:t>5</w:t>
            </w:r>
          </w:p>
        </w:tc>
        <w:tc>
          <w:tcPr>
            <w:tcW w:w="644" w:type="pct"/>
            <w:shd w:val="clear" w:color="auto" w:fill="BFBFBF"/>
          </w:tcPr>
          <w:p w14:paraId="778F280A" w14:textId="77777777" w:rsidR="001C08A5" w:rsidRDefault="00000000">
            <w:pPr>
              <w:jc w:val="center"/>
              <w:rPr>
                <w:b/>
                <w:bCs/>
                <w:i/>
                <w:iCs/>
              </w:rPr>
            </w:pPr>
            <w:r>
              <w:rPr>
                <w:b/>
                <w:bCs/>
                <w:i/>
                <w:iCs/>
              </w:rPr>
              <w:t>6</w:t>
            </w:r>
          </w:p>
        </w:tc>
        <w:tc>
          <w:tcPr>
            <w:tcW w:w="747" w:type="pct"/>
            <w:shd w:val="clear" w:color="auto" w:fill="BFBFBF"/>
          </w:tcPr>
          <w:p w14:paraId="49FFFB19" w14:textId="77777777" w:rsidR="001C08A5" w:rsidRDefault="00000000">
            <w:pPr>
              <w:jc w:val="center"/>
              <w:rPr>
                <w:b/>
                <w:i/>
                <w:iCs/>
              </w:rPr>
            </w:pPr>
            <w:r>
              <w:rPr>
                <w:b/>
                <w:i/>
                <w:iCs/>
              </w:rPr>
              <w:t>7</w:t>
            </w:r>
          </w:p>
        </w:tc>
      </w:tr>
      <w:tr w:rsidR="001C08A5" w14:paraId="7B9B9141" w14:textId="77777777">
        <w:tc>
          <w:tcPr>
            <w:tcW w:w="755" w:type="pct"/>
          </w:tcPr>
          <w:p w14:paraId="418E405B" w14:textId="77777777" w:rsidR="001C08A5" w:rsidRDefault="00000000">
            <w:pPr>
              <w:jc w:val="center"/>
              <w:rPr>
                <w:b/>
                <w:i/>
                <w:iCs/>
                <w:sz w:val="22"/>
                <w:szCs w:val="22"/>
              </w:rPr>
            </w:pPr>
            <w:r>
              <w:rPr>
                <w:b/>
                <w:bCs/>
                <w:i/>
                <w:iCs/>
                <w:sz w:val="22"/>
                <w:szCs w:val="22"/>
              </w:rPr>
              <w:t>V</w:t>
            </w:r>
          </w:p>
        </w:tc>
        <w:tc>
          <w:tcPr>
            <w:tcW w:w="737" w:type="pct"/>
          </w:tcPr>
          <w:p w14:paraId="0947BA34" w14:textId="77777777" w:rsidR="001C08A5" w:rsidRDefault="00000000">
            <w:pPr>
              <w:jc w:val="center"/>
              <w:rPr>
                <w:b/>
                <w:i/>
                <w:iCs/>
                <w:sz w:val="22"/>
                <w:szCs w:val="22"/>
              </w:rPr>
            </w:pPr>
            <w:r>
              <w:rPr>
                <w:b/>
                <w:i/>
                <w:iCs/>
                <w:sz w:val="22"/>
                <w:szCs w:val="22"/>
              </w:rPr>
              <w:t xml:space="preserve">EI/REI 30 </w:t>
            </w:r>
          </w:p>
        </w:tc>
        <w:tc>
          <w:tcPr>
            <w:tcW w:w="694" w:type="pct"/>
          </w:tcPr>
          <w:p w14:paraId="1FBF19E2" w14:textId="77777777" w:rsidR="001C08A5" w:rsidRDefault="00000000">
            <w:pPr>
              <w:jc w:val="center"/>
              <w:rPr>
                <w:b/>
                <w:i/>
                <w:iCs/>
                <w:sz w:val="22"/>
                <w:szCs w:val="22"/>
                <w:vertAlign w:val="subscript"/>
              </w:rPr>
            </w:pPr>
            <w:r>
              <w:rPr>
                <w:b/>
                <w:i/>
                <w:iCs/>
                <w:sz w:val="22"/>
                <w:szCs w:val="22"/>
              </w:rPr>
              <w:t>EI 15</w:t>
            </w:r>
          </w:p>
        </w:tc>
        <w:tc>
          <w:tcPr>
            <w:tcW w:w="702" w:type="pct"/>
          </w:tcPr>
          <w:p w14:paraId="0150C766" w14:textId="77777777" w:rsidR="001C08A5" w:rsidRDefault="00000000">
            <w:pPr>
              <w:jc w:val="center"/>
              <w:rPr>
                <w:b/>
                <w:i/>
                <w:iCs/>
                <w:sz w:val="22"/>
                <w:szCs w:val="22"/>
              </w:rPr>
            </w:pPr>
            <w:r>
              <w:rPr>
                <w:b/>
                <w:i/>
                <w:iCs/>
                <w:sz w:val="22"/>
                <w:szCs w:val="22"/>
              </w:rPr>
              <w:t>EI/REI 15</w:t>
            </w:r>
          </w:p>
        </w:tc>
        <w:tc>
          <w:tcPr>
            <w:tcW w:w="718" w:type="pct"/>
          </w:tcPr>
          <w:p w14:paraId="12FE54CC" w14:textId="77777777" w:rsidR="001C08A5" w:rsidRDefault="00000000">
            <w:pPr>
              <w:jc w:val="center"/>
              <w:rPr>
                <w:b/>
                <w:i/>
                <w:iCs/>
                <w:sz w:val="22"/>
                <w:szCs w:val="22"/>
              </w:rPr>
            </w:pPr>
            <w:r>
              <w:rPr>
                <w:b/>
                <w:i/>
                <w:iCs/>
                <w:sz w:val="22"/>
                <w:szCs w:val="22"/>
              </w:rPr>
              <w:t>EI 15</w:t>
            </w:r>
          </w:p>
        </w:tc>
        <w:tc>
          <w:tcPr>
            <w:tcW w:w="644" w:type="pct"/>
          </w:tcPr>
          <w:p w14:paraId="4207C730" w14:textId="77777777" w:rsidR="001C08A5" w:rsidRDefault="00000000">
            <w:pPr>
              <w:jc w:val="center"/>
              <w:rPr>
                <w:b/>
                <w:i/>
                <w:iCs/>
                <w:sz w:val="22"/>
                <w:szCs w:val="22"/>
              </w:rPr>
            </w:pPr>
            <w:r>
              <w:rPr>
                <w:b/>
                <w:i/>
                <w:iCs/>
                <w:sz w:val="22"/>
                <w:szCs w:val="22"/>
              </w:rPr>
              <w:t>EI/REI 15</w:t>
            </w:r>
          </w:p>
        </w:tc>
        <w:tc>
          <w:tcPr>
            <w:tcW w:w="747" w:type="pct"/>
          </w:tcPr>
          <w:p w14:paraId="3F7160CE" w14:textId="77777777" w:rsidR="001C08A5" w:rsidRDefault="00000000">
            <w:pPr>
              <w:jc w:val="center"/>
              <w:rPr>
                <w:b/>
                <w:i/>
                <w:iCs/>
                <w:sz w:val="22"/>
                <w:szCs w:val="22"/>
              </w:rPr>
            </w:pPr>
            <w:r>
              <w:rPr>
                <w:b/>
                <w:i/>
                <w:iCs/>
                <w:sz w:val="22"/>
                <w:szCs w:val="22"/>
              </w:rPr>
              <w:t>EI 15</w:t>
            </w:r>
          </w:p>
        </w:tc>
      </w:tr>
      <w:tr w:rsidR="001C08A5" w14:paraId="0D50F39A" w14:textId="77777777">
        <w:tc>
          <w:tcPr>
            <w:tcW w:w="755" w:type="pct"/>
          </w:tcPr>
          <w:p w14:paraId="1A206353" w14:textId="77777777" w:rsidR="001C08A5" w:rsidRDefault="00000000">
            <w:pPr>
              <w:jc w:val="center"/>
              <w:rPr>
                <w:b/>
                <w:i/>
                <w:iCs/>
                <w:sz w:val="22"/>
                <w:szCs w:val="22"/>
              </w:rPr>
            </w:pPr>
            <w:r>
              <w:rPr>
                <w:b/>
                <w:i/>
                <w:iCs/>
                <w:sz w:val="22"/>
                <w:szCs w:val="22"/>
              </w:rPr>
              <w:t>IV</w:t>
            </w:r>
          </w:p>
        </w:tc>
        <w:tc>
          <w:tcPr>
            <w:tcW w:w="737" w:type="pct"/>
          </w:tcPr>
          <w:p w14:paraId="678F329A" w14:textId="77777777" w:rsidR="001C08A5" w:rsidRDefault="00000000">
            <w:pPr>
              <w:jc w:val="center"/>
              <w:rPr>
                <w:b/>
                <w:i/>
                <w:iCs/>
                <w:sz w:val="22"/>
                <w:szCs w:val="22"/>
              </w:rPr>
            </w:pPr>
            <w:r>
              <w:rPr>
                <w:b/>
                <w:i/>
                <w:iCs/>
                <w:sz w:val="22"/>
                <w:szCs w:val="22"/>
              </w:rPr>
              <w:t>EI/REI 45 (EI/REI 30*)</w:t>
            </w:r>
          </w:p>
        </w:tc>
        <w:tc>
          <w:tcPr>
            <w:tcW w:w="694" w:type="pct"/>
          </w:tcPr>
          <w:p w14:paraId="7B953AC6" w14:textId="77777777" w:rsidR="001C08A5" w:rsidRDefault="00000000">
            <w:pPr>
              <w:jc w:val="center"/>
              <w:rPr>
                <w:b/>
                <w:i/>
                <w:iCs/>
                <w:sz w:val="22"/>
                <w:szCs w:val="22"/>
              </w:rPr>
            </w:pPr>
            <w:r>
              <w:rPr>
                <w:b/>
                <w:i/>
                <w:iCs/>
                <w:sz w:val="22"/>
                <w:szCs w:val="22"/>
              </w:rPr>
              <w:t xml:space="preserve">EI30 </w:t>
            </w:r>
          </w:p>
        </w:tc>
        <w:tc>
          <w:tcPr>
            <w:tcW w:w="702" w:type="pct"/>
          </w:tcPr>
          <w:p w14:paraId="26FCAF4C" w14:textId="77777777" w:rsidR="001C08A5" w:rsidRDefault="00000000">
            <w:pPr>
              <w:jc w:val="center"/>
              <w:rPr>
                <w:b/>
                <w:i/>
                <w:iCs/>
                <w:sz w:val="22"/>
                <w:szCs w:val="22"/>
              </w:rPr>
            </w:pPr>
            <w:r>
              <w:rPr>
                <w:b/>
                <w:i/>
                <w:iCs/>
                <w:sz w:val="22"/>
                <w:szCs w:val="22"/>
              </w:rPr>
              <w:t>EI/REI 30</w:t>
            </w:r>
          </w:p>
        </w:tc>
        <w:tc>
          <w:tcPr>
            <w:tcW w:w="718" w:type="pct"/>
          </w:tcPr>
          <w:p w14:paraId="46DDC9B4" w14:textId="77777777" w:rsidR="001C08A5" w:rsidRDefault="00000000">
            <w:pPr>
              <w:jc w:val="center"/>
              <w:rPr>
                <w:b/>
                <w:i/>
                <w:iCs/>
                <w:sz w:val="22"/>
                <w:szCs w:val="22"/>
              </w:rPr>
            </w:pPr>
            <w:r>
              <w:rPr>
                <w:b/>
                <w:i/>
                <w:iCs/>
                <w:sz w:val="22"/>
                <w:szCs w:val="22"/>
              </w:rPr>
              <w:t>EI 15</w:t>
            </w:r>
          </w:p>
        </w:tc>
        <w:tc>
          <w:tcPr>
            <w:tcW w:w="644" w:type="pct"/>
          </w:tcPr>
          <w:p w14:paraId="458FE917" w14:textId="77777777" w:rsidR="001C08A5" w:rsidRDefault="00000000">
            <w:pPr>
              <w:jc w:val="center"/>
              <w:rPr>
                <w:b/>
                <w:i/>
                <w:iCs/>
                <w:sz w:val="22"/>
                <w:szCs w:val="22"/>
              </w:rPr>
            </w:pPr>
            <w:r>
              <w:rPr>
                <w:b/>
                <w:i/>
                <w:iCs/>
                <w:sz w:val="22"/>
                <w:szCs w:val="22"/>
              </w:rPr>
              <w:t>EI/REI 30</w:t>
            </w:r>
          </w:p>
        </w:tc>
        <w:tc>
          <w:tcPr>
            <w:tcW w:w="747" w:type="pct"/>
          </w:tcPr>
          <w:p w14:paraId="3CEDE402" w14:textId="77777777" w:rsidR="001C08A5" w:rsidRDefault="00000000">
            <w:pPr>
              <w:jc w:val="center"/>
              <w:rPr>
                <w:b/>
                <w:i/>
                <w:iCs/>
                <w:sz w:val="22"/>
                <w:szCs w:val="22"/>
              </w:rPr>
            </w:pPr>
            <w:r>
              <w:rPr>
                <w:b/>
                <w:i/>
                <w:iCs/>
                <w:sz w:val="22"/>
                <w:szCs w:val="22"/>
              </w:rPr>
              <w:t>EI 15</w:t>
            </w:r>
          </w:p>
        </w:tc>
      </w:tr>
      <w:tr w:rsidR="001C08A5" w14:paraId="24E101B9" w14:textId="77777777">
        <w:tc>
          <w:tcPr>
            <w:tcW w:w="755" w:type="pct"/>
          </w:tcPr>
          <w:p w14:paraId="759E0A5F" w14:textId="77777777" w:rsidR="001C08A5" w:rsidRDefault="00000000">
            <w:pPr>
              <w:jc w:val="center"/>
              <w:rPr>
                <w:b/>
                <w:i/>
                <w:iCs/>
                <w:sz w:val="22"/>
                <w:szCs w:val="22"/>
              </w:rPr>
            </w:pPr>
            <w:r>
              <w:rPr>
                <w:b/>
                <w:i/>
                <w:iCs/>
                <w:sz w:val="22"/>
                <w:szCs w:val="22"/>
              </w:rPr>
              <w:t>III</w:t>
            </w:r>
          </w:p>
        </w:tc>
        <w:tc>
          <w:tcPr>
            <w:tcW w:w="737" w:type="pct"/>
          </w:tcPr>
          <w:p w14:paraId="4B00DDE4" w14:textId="77777777" w:rsidR="001C08A5" w:rsidRDefault="00000000">
            <w:pPr>
              <w:jc w:val="center"/>
              <w:rPr>
                <w:b/>
                <w:i/>
                <w:iCs/>
                <w:sz w:val="22"/>
                <w:szCs w:val="22"/>
              </w:rPr>
            </w:pPr>
            <w:r>
              <w:rPr>
                <w:b/>
                <w:i/>
                <w:iCs/>
                <w:sz w:val="22"/>
                <w:szCs w:val="22"/>
              </w:rPr>
              <w:t>EI/REI 60 (EI/REI 45*)</w:t>
            </w:r>
          </w:p>
        </w:tc>
        <w:tc>
          <w:tcPr>
            <w:tcW w:w="694" w:type="pct"/>
          </w:tcPr>
          <w:p w14:paraId="7B4D4592" w14:textId="77777777" w:rsidR="001C08A5" w:rsidRDefault="00000000">
            <w:pPr>
              <w:jc w:val="center"/>
              <w:rPr>
                <w:b/>
                <w:i/>
                <w:iCs/>
                <w:sz w:val="22"/>
                <w:szCs w:val="22"/>
              </w:rPr>
            </w:pPr>
            <w:r>
              <w:rPr>
                <w:b/>
                <w:i/>
                <w:iCs/>
                <w:sz w:val="22"/>
                <w:szCs w:val="22"/>
              </w:rPr>
              <w:t xml:space="preserve">EI 45 </w:t>
            </w:r>
          </w:p>
          <w:p w14:paraId="5E72F8C2" w14:textId="77777777" w:rsidR="001C08A5" w:rsidRDefault="00000000">
            <w:pPr>
              <w:jc w:val="center"/>
              <w:rPr>
                <w:b/>
                <w:i/>
                <w:iCs/>
                <w:sz w:val="22"/>
                <w:szCs w:val="22"/>
              </w:rPr>
            </w:pPr>
            <w:r>
              <w:rPr>
                <w:b/>
                <w:i/>
                <w:iCs/>
                <w:sz w:val="22"/>
                <w:szCs w:val="22"/>
              </w:rPr>
              <w:t>(EI 30*)</w:t>
            </w:r>
          </w:p>
        </w:tc>
        <w:tc>
          <w:tcPr>
            <w:tcW w:w="702" w:type="pct"/>
          </w:tcPr>
          <w:p w14:paraId="7BBE1B17" w14:textId="77777777" w:rsidR="001C08A5" w:rsidRDefault="00000000">
            <w:pPr>
              <w:jc w:val="center"/>
              <w:rPr>
                <w:b/>
                <w:i/>
                <w:iCs/>
                <w:sz w:val="22"/>
                <w:szCs w:val="22"/>
              </w:rPr>
            </w:pPr>
            <w:r>
              <w:rPr>
                <w:b/>
                <w:i/>
                <w:iCs/>
                <w:sz w:val="22"/>
                <w:szCs w:val="22"/>
              </w:rPr>
              <w:t>EI/REI 45 (EI/REI 30*)</w:t>
            </w:r>
          </w:p>
        </w:tc>
        <w:tc>
          <w:tcPr>
            <w:tcW w:w="718" w:type="pct"/>
          </w:tcPr>
          <w:p w14:paraId="472241C8" w14:textId="77777777" w:rsidR="001C08A5" w:rsidRDefault="00000000">
            <w:pPr>
              <w:jc w:val="center"/>
              <w:rPr>
                <w:b/>
                <w:i/>
                <w:iCs/>
                <w:sz w:val="22"/>
                <w:szCs w:val="22"/>
              </w:rPr>
            </w:pPr>
            <w:r>
              <w:rPr>
                <w:b/>
                <w:i/>
                <w:iCs/>
                <w:sz w:val="22"/>
                <w:szCs w:val="22"/>
              </w:rPr>
              <w:t>EI 30</w:t>
            </w:r>
          </w:p>
          <w:p w14:paraId="08427C63" w14:textId="77777777" w:rsidR="001C08A5" w:rsidRDefault="00000000">
            <w:pPr>
              <w:jc w:val="center"/>
              <w:rPr>
                <w:b/>
                <w:i/>
                <w:iCs/>
                <w:sz w:val="22"/>
                <w:szCs w:val="22"/>
              </w:rPr>
            </w:pPr>
            <w:r>
              <w:rPr>
                <w:b/>
                <w:i/>
                <w:iCs/>
                <w:sz w:val="22"/>
                <w:szCs w:val="22"/>
              </w:rPr>
              <w:t>(EI 15*)</w:t>
            </w:r>
          </w:p>
        </w:tc>
        <w:tc>
          <w:tcPr>
            <w:tcW w:w="644" w:type="pct"/>
          </w:tcPr>
          <w:p w14:paraId="79AA9690" w14:textId="77777777" w:rsidR="001C08A5" w:rsidRDefault="00000000">
            <w:pPr>
              <w:jc w:val="center"/>
              <w:rPr>
                <w:b/>
                <w:i/>
                <w:iCs/>
                <w:sz w:val="22"/>
                <w:szCs w:val="22"/>
              </w:rPr>
            </w:pPr>
            <w:r>
              <w:rPr>
                <w:b/>
                <w:i/>
                <w:iCs/>
                <w:sz w:val="22"/>
                <w:szCs w:val="22"/>
              </w:rPr>
              <w:t>EI/REI 45 (EI/REI 30*)</w:t>
            </w:r>
          </w:p>
        </w:tc>
        <w:tc>
          <w:tcPr>
            <w:tcW w:w="747" w:type="pct"/>
          </w:tcPr>
          <w:p w14:paraId="205EFFC9" w14:textId="77777777" w:rsidR="001C08A5" w:rsidRDefault="00000000">
            <w:pPr>
              <w:jc w:val="center"/>
              <w:rPr>
                <w:b/>
                <w:i/>
                <w:iCs/>
                <w:sz w:val="22"/>
                <w:szCs w:val="22"/>
              </w:rPr>
            </w:pPr>
            <w:r>
              <w:rPr>
                <w:b/>
                <w:i/>
                <w:iCs/>
                <w:sz w:val="22"/>
                <w:szCs w:val="22"/>
              </w:rPr>
              <w:t>EI30</w:t>
            </w:r>
          </w:p>
          <w:p w14:paraId="77878407" w14:textId="77777777" w:rsidR="001C08A5" w:rsidRDefault="00000000">
            <w:pPr>
              <w:jc w:val="center"/>
              <w:rPr>
                <w:b/>
                <w:i/>
                <w:iCs/>
                <w:sz w:val="22"/>
                <w:szCs w:val="22"/>
              </w:rPr>
            </w:pPr>
            <w:r>
              <w:rPr>
                <w:b/>
                <w:i/>
                <w:iCs/>
                <w:sz w:val="22"/>
                <w:szCs w:val="22"/>
              </w:rPr>
              <w:t xml:space="preserve"> (EI 15*)</w:t>
            </w:r>
          </w:p>
        </w:tc>
      </w:tr>
      <w:tr w:rsidR="001C08A5" w14:paraId="1F63F790" w14:textId="77777777">
        <w:tc>
          <w:tcPr>
            <w:tcW w:w="755" w:type="pct"/>
          </w:tcPr>
          <w:p w14:paraId="670BCF60" w14:textId="77777777" w:rsidR="001C08A5" w:rsidRDefault="00000000">
            <w:pPr>
              <w:jc w:val="center"/>
              <w:rPr>
                <w:b/>
                <w:i/>
                <w:iCs/>
                <w:sz w:val="22"/>
                <w:szCs w:val="22"/>
              </w:rPr>
            </w:pPr>
            <w:r>
              <w:rPr>
                <w:b/>
                <w:i/>
                <w:iCs/>
                <w:sz w:val="22"/>
                <w:szCs w:val="22"/>
              </w:rPr>
              <w:t xml:space="preserve">II </w:t>
            </w:r>
          </w:p>
        </w:tc>
        <w:tc>
          <w:tcPr>
            <w:tcW w:w="737" w:type="pct"/>
            <w:shd w:val="clear" w:color="auto" w:fill="FFFFFF" w:themeFill="background1"/>
          </w:tcPr>
          <w:p w14:paraId="4B1F866B" w14:textId="77777777" w:rsidR="001C08A5" w:rsidRDefault="00000000">
            <w:pPr>
              <w:jc w:val="center"/>
              <w:rPr>
                <w:b/>
                <w:i/>
                <w:iCs/>
                <w:sz w:val="22"/>
                <w:szCs w:val="22"/>
              </w:rPr>
            </w:pPr>
            <w:r>
              <w:rPr>
                <w:b/>
                <w:i/>
                <w:iCs/>
                <w:sz w:val="22"/>
                <w:szCs w:val="22"/>
              </w:rPr>
              <w:t>EI/REI 90 (EI/REI 60*)</w:t>
            </w:r>
          </w:p>
        </w:tc>
        <w:tc>
          <w:tcPr>
            <w:tcW w:w="694" w:type="pct"/>
            <w:shd w:val="clear" w:color="auto" w:fill="FFFFFF" w:themeFill="background1"/>
          </w:tcPr>
          <w:p w14:paraId="137489F8" w14:textId="77777777" w:rsidR="001C08A5" w:rsidRDefault="00000000">
            <w:pPr>
              <w:jc w:val="center"/>
              <w:rPr>
                <w:b/>
                <w:i/>
                <w:iCs/>
                <w:sz w:val="22"/>
                <w:szCs w:val="22"/>
              </w:rPr>
            </w:pPr>
            <w:r>
              <w:rPr>
                <w:b/>
                <w:i/>
                <w:iCs/>
                <w:sz w:val="22"/>
                <w:szCs w:val="22"/>
              </w:rPr>
              <w:t xml:space="preserve">EI 60 </w:t>
            </w:r>
          </w:p>
          <w:p w14:paraId="78DDB36D" w14:textId="77777777" w:rsidR="001C08A5" w:rsidRDefault="00000000">
            <w:pPr>
              <w:jc w:val="center"/>
              <w:rPr>
                <w:b/>
                <w:i/>
                <w:iCs/>
                <w:sz w:val="22"/>
                <w:szCs w:val="22"/>
              </w:rPr>
            </w:pPr>
            <w:r>
              <w:rPr>
                <w:b/>
                <w:i/>
                <w:iCs/>
                <w:sz w:val="22"/>
                <w:szCs w:val="22"/>
              </w:rPr>
              <w:t>(EI 45*)</w:t>
            </w:r>
          </w:p>
        </w:tc>
        <w:tc>
          <w:tcPr>
            <w:tcW w:w="702" w:type="pct"/>
            <w:shd w:val="clear" w:color="auto" w:fill="FFFFFF" w:themeFill="background1"/>
          </w:tcPr>
          <w:p w14:paraId="6C394F9C" w14:textId="77777777" w:rsidR="001C08A5" w:rsidRDefault="00000000">
            <w:pPr>
              <w:jc w:val="center"/>
              <w:rPr>
                <w:b/>
                <w:i/>
                <w:iCs/>
                <w:sz w:val="22"/>
                <w:szCs w:val="22"/>
              </w:rPr>
            </w:pPr>
            <w:r>
              <w:rPr>
                <w:b/>
                <w:i/>
                <w:iCs/>
                <w:sz w:val="22"/>
                <w:szCs w:val="22"/>
              </w:rPr>
              <w:t>EI/REI 60 (EI/REI 45*)</w:t>
            </w:r>
          </w:p>
        </w:tc>
        <w:tc>
          <w:tcPr>
            <w:tcW w:w="718" w:type="pct"/>
            <w:shd w:val="clear" w:color="auto" w:fill="FFFFFF" w:themeFill="background1"/>
          </w:tcPr>
          <w:p w14:paraId="6DB00CFA" w14:textId="77777777" w:rsidR="001C08A5" w:rsidRDefault="00000000">
            <w:pPr>
              <w:jc w:val="center"/>
              <w:rPr>
                <w:b/>
                <w:i/>
                <w:iCs/>
                <w:sz w:val="22"/>
                <w:szCs w:val="22"/>
              </w:rPr>
            </w:pPr>
            <w:r>
              <w:rPr>
                <w:b/>
                <w:i/>
                <w:iCs/>
                <w:sz w:val="22"/>
                <w:szCs w:val="22"/>
              </w:rPr>
              <w:t xml:space="preserve">EI 45 </w:t>
            </w:r>
          </w:p>
          <w:p w14:paraId="15EED606" w14:textId="77777777" w:rsidR="001C08A5" w:rsidRDefault="00000000">
            <w:pPr>
              <w:jc w:val="center"/>
              <w:rPr>
                <w:b/>
                <w:i/>
                <w:iCs/>
                <w:sz w:val="22"/>
                <w:szCs w:val="22"/>
              </w:rPr>
            </w:pPr>
            <w:r>
              <w:rPr>
                <w:b/>
                <w:i/>
                <w:iCs/>
                <w:sz w:val="22"/>
                <w:szCs w:val="22"/>
              </w:rPr>
              <w:t>(EI 30*)</w:t>
            </w:r>
          </w:p>
        </w:tc>
        <w:tc>
          <w:tcPr>
            <w:tcW w:w="644" w:type="pct"/>
            <w:shd w:val="clear" w:color="auto" w:fill="FFFFFF" w:themeFill="background1"/>
          </w:tcPr>
          <w:p w14:paraId="069559C2" w14:textId="77777777" w:rsidR="001C08A5" w:rsidRDefault="00000000">
            <w:pPr>
              <w:jc w:val="center"/>
              <w:rPr>
                <w:b/>
                <w:i/>
                <w:iCs/>
                <w:sz w:val="22"/>
                <w:szCs w:val="22"/>
              </w:rPr>
            </w:pPr>
            <w:r>
              <w:rPr>
                <w:b/>
                <w:i/>
                <w:iCs/>
                <w:sz w:val="22"/>
                <w:szCs w:val="22"/>
              </w:rPr>
              <w:t>EI/REI 60 (EI/REI 45*)</w:t>
            </w:r>
          </w:p>
        </w:tc>
        <w:tc>
          <w:tcPr>
            <w:tcW w:w="747" w:type="pct"/>
            <w:shd w:val="clear" w:color="auto" w:fill="FFFFFF" w:themeFill="background1"/>
          </w:tcPr>
          <w:p w14:paraId="2AA11615" w14:textId="77777777" w:rsidR="001C08A5" w:rsidRDefault="00000000">
            <w:pPr>
              <w:jc w:val="center"/>
              <w:rPr>
                <w:b/>
                <w:i/>
                <w:iCs/>
                <w:sz w:val="22"/>
                <w:szCs w:val="22"/>
              </w:rPr>
            </w:pPr>
            <w:r>
              <w:rPr>
                <w:b/>
                <w:i/>
                <w:iCs/>
                <w:sz w:val="22"/>
                <w:szCs w:val="22"/>
              </w:rPr>
              <w:t xml:space="preserve">EI 45 </w:t>
            </w:r>
          </w:p>
          <w:p w14:paraId="00D8FCB9" w14:textId="77777777" w:rsidR="001C08A5" w:rsidRDefault="00000000">
            <w:pPr>
              <w:jc w:val="center"/>
              <w:rPr>
                <w:b/>
                <w:i/>
                <w:iCs/>
                <w:sz w:val="22"/>
                <w:szCs w:val="22"/>
              </w:rPr>
            </w:pPr>
            <w:r>
              <w:rPr>
                <w:b/>
                <w:i/>
                <w:iCs/>
                <w:sz w:val="22"/>
                <w:szCs w:val="22"/>
              </w:rPr>
              <w:t>(EI 30*)</w:t>
            </w:r>
          </w:p>
        </w:tc>
      </w:tr>
      <w:tr w:rsidR="001C08A5" w14:paraId="6F399AC6" w14:textId="77777777">
        <w:tc>
          <w:tcPr>
            <w:tcW w:w="755" w:type="pct"/>
          </w:tcPr>
          <w:p w14:paraId="591D0530" w14:textId="77777777" w:rsidR="001C08A5" w:rsidRDefault="00000000">
            <w:pPr>
              <w:jc w:val="center"/>
              <w:rPr>
                <w:b/>
                <w:i/>
                <w:iCs/>
                <w:sz w:val="22"/>
                <w:szCs w:val="22"/>
              </w:rPr>
            </w:pPr>
            <w:r>
              <w:rPr>
                <w:b/>
                <w:i/>
                <w:iCs/>
                <w:sz w:val="22"/>
                <w:szCs w:val="22"/>
              </w:rPr>
              <w:t>I</w:t>
            </w:r>
          </w:p>
          <w:p w14:paraId="495CD86B" w14:textId="77777777" w:rsidR="001C08A5" w:rsidRDefault="00000000">
            <w:pPr>
              <w:jc w:val="center"/>
              <w:rPr>
                <w:b/>
                <w:i/>
                <w:iCs/>
                <w:sz w:val="22"/>
                <w:szCs w:val="22"/>
              </w:rPr>
            </w:pPr>
            <w:r>
              <w:rPr>
                <w:b/>
                <w:i/>
                <w:iCs/>
                <w:sz w:val="22"/>
                <w:szCs w:val="22"/>
              </w:rPr>
              <w:t>h≤28m</w:t>
            </w:r>
          </w:p>
        </w:tc>
        <w:tc>
          <w:tcPr>
            <w:tcW w:w="737" w:type="pct"/>
            <w:shd w:val="clear" w:color="auto" w:fill="FFFFFF" w:themeFill="background1"/>
          </w:tcPr>
          <w:p w14:paraId="09E75817" w14:textId="77777777" w:rsidR="001C08A5" w:rsidRDefault="00000000">
            <w:pPr>
              <w:jc w:val="center"/>
              <w:rPr>
                <w:b/>
                <w:i/>
                <w:iCs/>
                <w:strike/>
                <w:sz w:val="22"/>
                <w:szCs w:val="22"/>
              </w:rPr>
            </w:pPr>
            <w:r>
              <w:rPr>
                <w:b/>
                <w:i/>
                <w:iCs/>
                <w:sz w:val="22"/>
                <w:szCs w:val="22"/>
              </w:rPr>
              <w:t>EI/REI 90 (EI/REI 60*)</w:t>
            </w:r>
          </w:p>
        </w:tc>
        <w:tc>
          <w:tcPr>
            <w:tcW w:w="694" w:type="pct"/>
            <w:shd w:val="clear" w:color="auto" w:fill="FFFFFF" w:themeFill="background1"/>
          </w:tcPr>
          <w:p w14:paraId="0B2B2E52" w14:textId="77777777" w:rsidR="001C08A5" w:rsidRDefault="00000000">
            <w:pPr>
              <w:jc w:val="center"/>
              <w:rPr>
                <w:b/>
                <w:i/>
                <w:iCs/>
                <w:sz w:val="22"/>
                <w:szCs w:val="22"/>
              </w:rPr>
            </w:pPr>
            <w:r>
              <w:rPr>
                <w:b/>
                <w:i/>
                <w:iCs/>
                <w:sz w:val="22"/>
                <w:szCs w:val="22"/>
              </w:rPr>
              <w:t xml:space="preserve">EI 60 </w:t>
            </w:r>
          </w:p>
          <w:p w14:paraId="129CA99A" w14:textId="77777777" w:rsidR="001C08A5" w:rsidRDefault="00000000">
            <w:pPr>
              <w:jc w:val="center"/>
              <w:rPr>
                <w:b/>
                <w:i/>
                <w:iCs/>
                <w:strike/>
                <w:sz w:val="22"/>
                <w:szCs w:val="22"/>
              </w:rPr>
            </w:pPr>
            <w:r>
              <w:rPr>
                <w:b/>
                <w:i/>
                <w:iCs/>
                <w:sz w:val="22"/>
                <w:szCs w:val="22"/>
              </w:rPr>
              <w:t>(EI 45*)</w:t>
            </w:r>
          </w:p>
        </w:tc>
        <w:tc>
          <w:tcPr>
            <w:tcW w:w="702" w:type="pct"/>
            <w:shd w:val="clear" w:color="auto" w:fill="FFFFFF" w:themeFill="background1"/>
          </w:tcPr>
          <w:p w14:paraId="1F233A0F" w14:textId="77777777" w:rsidR="001C08A5" w:rsidRDefault="00000000">
            <w:pPr>
              <w:jc w:val="center"/>
              <w:rPr>
                <w:b/>
                <w:i/>
                <w:iCs/>
                <w:strike/>
                <w:sz w:val="22"/>
                <w:szCs w:val="22"/>
              </w:rPr>
            </w:pPr>
            <w:r>
              <w:rPr>
                <w:b/>
                <w:i/>
                <w:iCs/>
                <w:sz w:val="22"/>
                <w:szCs w:val="22"/>
              </w:rPr>
              <w:t>EI/REI 60 (EI/REI 45*)</w:t>
            </w:r>
          </w:p>
        </w:tc>
        <w:tc>
          <w:tcPr>
            <w:tcW w:w="718" w:type="pct"/>
            <w:shd w:val="clear" w:color="auto" w:fill="FFFFFF" w:themeFill="background1"/>
          </w:tcPr>
          <w:p w14:paraId="2577255F" w14:textId="77777777" w:rsidR="001C08A5" w:rsidRDefault="00000000">
            <w:pPr>
              <w:jc w:val="center"/>
              <w:rPr>
                <w:b/>
                <w:i/>
                <w:iCs/>
                <w:sz w:val="22"/>
                <w:szCs w:val="22"/>
              </w:rPr>
            </w:pPr>
            <w:r>
              <w:rPr>
                <w:b/>
                <w:i/>
                <w:iCs/>
                <w:sz w:val="22"/>
                <w:szCs w:val="22"/>
              </w:rPr>
              <w:t xml:space="preserve">EI 45 </w:t>
            </w:r>
          </w:p>
          <w:p w14:paraId="66E171C5" w14:textId="77777777" w:rsidR="001C08A5" w:rsidRDefault="00000000">
            <w:pPr>
              <w:jc w:val="center"/>
              <w:rPr>
                <w:b/>
                <w:i/>
                <w:iCs/>
                <w:strike/>
                <w:sz w:val="22"/>
                <w:szCs w:val="22"/>
              </w:rPr>
            </w:pPr>
            <w:r>
              <w:rPr>
                <w:b/>
                <w:i/>
                <w:iCs/>
                <w:sz w:val="22"/>
                <w:szCs w:val="22"/>
              </w:rPr>
              <w:t>(EI 30*)</w:t>
            </w:r>
          </w:p>
        </w:tc>
        <w:tc>
          <w:tcPr>
            <w:tcW w:w="644" w:type="pct"/>
            <w:shd w:val="clear" w:color="auto" w:fill="FFFFFF" w:themeFill="background1"/>
          </w:tcPr>
          <w:p w14:paraId="71D67E9C" w14:textId="77777777" w:rsidR="001C08A5" w:rsidRDefault="00000000">
            <w:pPr>
              <w:jc w:val="center"/>
              <w:rPr>
                <w:b/>
                <w:i/>
                <w:iCs/>
                <w:sz w:val="22"/>
                <w:szCs w:val="22"/>
              </w:rPr>
            </w:pPr>
            <w:r>
              <w:rPr>
                <w:b/>
                <w:i/>
                <w:iCs/>
                <w:sz w:val="22"/>
                <w:szCs w:val="22"/>
              </w:rPr>
              <w:t>EI/REI 60 (EI/REI 45*)</w:t>
            </w:r>
          </w:p>
        </w:tc>
        <w:tc>
          <w:tcPr>
            <w:tcW w:w="747" w:type="pct"/>
            <w:shd w:val="clear" w:color="auto" w:fill="FFFFFF" w:themeFill="background1"/>
          </w:tcPr>
          <w:p w14:paraId="4CC42407" w14:textId="77777777" w:rsidR="001C08A5" w:rsidRDefault="00000000">
            <w:pPr>
              <w:jc w:val="center"/>
              <w:rPr>
                <w:b/>
                <w:i/>
                <w:iCs/>
                <w:sz w:val="22"/>
                <w:szCs w:val="22"/>
              </w:rPr>
            </w:pPr>
            <w:r>
              <w:rPr>
                <w:b/>
                <w:i/>
                <w:iCs/>
                <w:sz w:val="22"/>
                <w:szCs w:val="22"/>
              </w:rPr>
              <w:t xml:space="preserve">EI 45 </w:t>
            </w:r>
          </w:p>
          <w:p w14:paraId="1BA6F60A" w14:textId="77777777" w:rsidR="001C08A5" w:rsidRDefault="00000000">
            <w:pPr>
              <w:jc w:val="center"/>
              <w:rPr>
                <w:b/>
                <w:i/>
                <w:iCs/>
                <w:sz w:val="22"/>
                <w:szCs w:val="22"/>
              </w:rPr>
            </w:pPr>
            <w:r>
              <w:rPr>
                <w:b/>
                <w:i/>
                <w:iCs/>
                <w:sz w:val="22"/>
                <w:szCs w:val="22"/>
              </w:rPr>
              <w:t>(EI 30*)</w:t>
            </w:r>
          </w:p>
        </w:tc>
      </w:tr>
      <w:tr w:rsidR="001C08A5" w14:paraId="3C7A26CD" w14:textId="77777777">
        <w:tc>
          <w:tcPr>
            <w:tcW w:w="755" w:type="pct"/>
          </w:tcPr>
          <w:p w14:paraId="0FF3802A" w14:textId="77777777" w:rsidR="001C08A5" w:rsidRDefault="00000000">
            <w:pPr>
              <w:jc w:val="center"/>
              <w:rPr>
                <w:b/>
                <w:i/>
                <w:iCs/>
                <w:sz w:val="22"/>
                <w:szCs w:val="22"/>
              </w:rPr>
            </w:pPr>
            <w:r>
              <w:rPr>
                <w:b/>
                <w:i/>
                <w:iCs/>
                <w:sz w:val="22"/>
                <w:szCs w:val="22"/>
              </w:rPr>
              <w:t>I</w:t>
            </w:r>
          </w:p>
          <w:p w14:paraId="0B8883D5" w14:textId="77777777" w:rsidR="001C08A5" w:rsidRDefault="00000000">
            <w:pPr>
              <w:jc w:val="center"/>
              <w:rPr>
                <w:b/>
                <w:i/>
                <w:iCs/>
                <w:sz w:val="22"/>
                <w:szCs w:val="22"/>
              </w:rPr>
            </w:pPr>
            <w:r>
              <w:rPr>
                <w:b/>
                <w:i/>
                <w:iCs/>
                <w:sz w:val="22"/>
                <w:szCs w:val="22"/>
              </w:rPr>
              <w:t>28m&lt;h&lt;45m</w:t>
            </w:r>
          </w:p>
        </w:tc>
        <w:tc>
          <w:tcPr>
            <w:tcW w:w="737" w:type="pct"/>
          </w:tcPr>
          <w:p w14:paraId="0F363B2E" w14:textId="77777777" w:rsidR="001C08A5" w:rsidRDefault="00000000">
            <w:pPr>
              <w:jc w:val="center"/>
              <w:rPr>
                <w:b/>
                <w:i/>
                <w:iCs/>
                <w:sz w:val="22"/>
                <w:szCs w:val="22"/>
              </w:rPr>
            </w:pPr>
            <w:r>
              <w:rPr>
                <w:b/>
                <w:i/>
                <w:iCs/>
                <w:sz w:val="22"/>
                <w:szCs w:val="22"/>
              </w:rPr>
              <w:t>EI/REI 120 (EI/REI 90*)</w:t>
            </w:r>
          </w:p>
        </w:tc>
        <w:tc>
          <w:tcPr>
            <w:tcW w:w="694" w:type="pct"/>
          </w:tcPr>
          <w:p w14:paraId="2E88FB0D" w14:textId="77777777" w:rsidR="001C08A5" w:rsidRDefault="00000000">
            <w:pPr>
              <w:jc w:val="center"/>
              <w:rPr>
                <w:b/>
                <w:i/>
                <w:iCs/>
                <w:sz w:val="22"/>
                <w:szCs w:val="22"/>
              </w:rPr>
            </w:pPr>
            <w:r>
              <w:rPr>
                <w:b/>
                <w:i/>
                <w:iCs/>
                <w:sz w:val="22"/>
                <w:szCs w:val="22"/>
              </w:rPr>
              <w:t xml:space="preserve">EI 90 </w:t>
            </w:r>
          </w:p>
          <w:p w14:paraId="5813E30F" w14:textId="77777777" w:rsidR="001C08A5" w:rsidRDefault="00000000">
            <w:pPr>
              <w:jc w:val="center"/>
              <w:rPr>
                <w:b/>
                <w:i/>
                <w:iCs/>
                <w:sz w:val="22"/>
                <w:szCs w:val="22"/>
              </w:rPr>
            </w:pPr>
            <w:r>
              <w:rPr>
                <w:b/>
                <w:i/>
                <w:iCs/>
                <w:sz w:val="22"/>
                <w:szCs w:val="22"/>
              </w:rPr>
              <w:t>(EI 60*)</w:t>
            </w:r>
          </w:p>
        </w:tc>
        <w:tc>
          <w:tcPr>
            <w:tcW w:w="702" w:type="pct"/>
          </w:tcPr>
          <w:p w14:paraId="0DFA9F47" w14:textId="77777777" w:rsidR="001C08A5" w:rsidRDefault="00000000">
            <w:pPr>
              <w:jc w:val="center"/>
              <w:rPr>
                <w:bCs/>
                <w:i/>
                <w:iCs/>
                <w:sz w:val="22"/>
                <w:szCs w:val="22"/>
              </w:rPr>
            </w:pPr>
            <w:r>
              <w:rPr>
                <w:b/>
                <w:i/>
                <w:iCs/>
                <w:sz w:val="22"/>
                <w:szCs w:val="22"/>
              </w:rPr>
              <w:t>EI/REI 90 (EI/REI 60*)</w:t>
            </w:r>
          </w:p>
        </w:tc>
        <w:tc>
          <w:tcPr>
            <w:tcW w:w="718" w:type="pct"/>
          </w:tcPr>
          <w:p w14:paraId="62BD1EB0" w14:textId="77777777" w:rsidR="001C08A5" w:rsidRDefault="00000000">
            <w:pPr>
              <w:jc w:val="center"/>
              <w:rPr>
                <w:b/>
                <w:i/>
                <w:iCs/>
                <w:sz w:val="22"/>
                <w:szCs w:val="22"/>
              </w:rPr>
            </w:pPr>
            <w:r>
              <w:rPr>
                <w:b/>
                <w:i/>
                <w:iCs/>
                <w:sz w:val="22"/>
                <w:szCs w:val="22"/>
              </w:rPr>
              <w:t xml:space="preserve">EI 60 </w:t>
            </w:r>
          </w:p>
          <w:p w14:paraId="0C4F331D" w14:textId="77777777" w:rsidR="001C08A5" w:rsidRDefault="00000000">
            <w:pPr>
              <w:jc w:val="center"/>
              <w:rPr>
                <w:b/>
                <w:i/>
                <w:iCs/>
                <w:sz w:val="22"/>
                <w:szCs w:val="22"/>
              </w:rPr>
            </w:pPr>
            <w:r>
              <w:rPr>
                <w:b/>
                <w:i/>
                <w:iCs/>
                <w:sz w:val="22"/>
                <w:szCs w:val="22"/>
              </w:rPr>
              <w:t>(EI 45*)</w:t>
            </w:r>
          </w:p>
        </w:tc>
        <w:tc>
          <w:tcPr>
            <w:tcW w:w="644" w:type="pct"/>
          </w:tcPr>
          <w:p w14:paraId="55688599" w14:textId="77777777" w:rsidR="001C08A5" w:rsidRDefault="00000000">
            <w:pPr>
              <w:jc w:val="center"/>
              <w:rPr>
                <w:bCs/>
                <w:i/>
                <w:iCs/>
                <w:sz w:val="22"/>
                <w:szCs w:val="22"/>
              </w:rPr>
            </w:pPr>
            <w:r>
              <w:rPr>
                <w:bCs/>
                <w:i/>
                <w:iCs/>
                <w:sz w:val="22"/>
                <w:szCs w:val="22"/>
              </w:rPr>
              <w:t>-</w:t>
            </w:r>
          </w:p>
        </w:tc>
        <w:tc>
          <w:tcPr>
            <w:tcW w:w="747" w:type="pct"/>
          </w:tcPr>
          <w:p w14:paraId="25DA22EA" w14:textId="77777777" w:rsidR="001C08A5" w:rsidRDefault="00000000">
            <w:pPr>
              <w:jc w:val="center"/>
              <w:rPr>
                <w:bCs/>
                <w:i/>
                <w:iCs/>
                <w:sz w:val="22"/>
                <w:szCs w:val="22"/>
              </w:rPr>
            </w:pPr>
            <w:r>
              <w:rPr>
                <w:b/>
                <w:i/>
                <w:iCs/>
                <w:sz w:val="22"/>
                <w:szCs w:val="22"/>
              </w:rPr>
              <w:t>-</w:t>
            </w:r>
          </w:p>
        </w:tc>
      </w:tr>
      <w:tr w:rsidR="001C08A5" w14:paraId="54D65E69" w14:textId="77777777">
        <w:tc>
          <w:tcPr>
            <w:tcW w:w="755" w:type="pct"/>
          </w:tcPr>
          <w:p w14:paraId="352F5E5D" w14:textId="77777777" w:rsidR="001C08A5" w:rsidRDefault="00000000">
            <w:pPr>
              <w:jc w:val="center"/>
              <w:rPr>
                <w:b/>
                <w:i/>
                <w:iCs/>
                <w:sz w:val="22"/>
                <w:szCs w:val="22"/>
              </w:rPr>
            </w:pPr>
            <w:r>
              <w:rPr>
                <w:b/>
                <w:i/>
                <w:iCs/>
                <w:sz w:val="22"/>
                <w:szCs w:val="22"/>
              </w:rPr>
              <w:t>I</w:t>
            </w:r>
          </w:p>
          <w:p w14:paraId="7543F218" w14:textId="77777777" w:rsidR="001C08A5" w:rsidRDefault="00000000">
            <w:pPr>
              <w:jc w:val="center"/>
              <w:rPr>
                <w:b/>
                <w:i/>
                <w:iCs/>
                <w:sz w:val="22"/>
                <w:szCs w:val="22"/>
              </w:rPr>
            </w:pPr>
            <w:r>
              <w:rPr>
                <w:b/>
                <w:i/>
                <w:iCs/>
                <w:sz w:val="22"/>
                <w:szCs w:val="22"/>
              </w:rPr>
              <w:t>45m≤ h&lt;75m</w:t>
            </w:r>
          </w:p>
        </w:tc>
        <w:tc>
          <w:tcPr>
            <w:tcW w:w="737" w:type="pct"/>
          </w:tcPr>
          <w:p w14:paraId="4AAB7A87" w14:textId="77777777" w:rsidR="001C08A5" w:rsidRDefault="00000000">
            <w:pPr>
              <w:jc w:val="center"/>
              <w:rPr>
                <w:b/>
                <w:i/>
                <w:iCs/>
                <w:sz w:val="22"/>
                <w:szCs w:val="22"/>
              </w:rPr>
            </w:pPr>
            <w:r>
              <w:rPr>
                <w:b/>
                <w:i/>
                <w:iCs/>
                <w:sz w:val="22"/>
                <w:szCs w:val="22"/>
              </w:rPr>
              <w:t>EI/REI 180 (EI/REI 120*)</w:t>
            </w:r>
          </w:p>
        </w:tc>
        <w:tc>
          <w:tcPr>
            <w:tcW w:w="694" w:type="pct"/>
          </w:tcPr>
          <w:p w14:paraId="2F8877F8" w14:textId="77777777" w:rsidR="001C08A5" w:rsidRDefault="00000000">
            <w:pPr>
              <w:jc w:val="center"/>
              <w:rPr>
                <w:b/>
                <w:i/>
                <w:iCs/>
                <w:sz w:val="22"/>
                <w:szCs w:val="22"/>
              </w:rPr>
            </w:pPr>
            <w:r>
              <w:rPr>
                <w:b/>
                <w:i/>
                <w:iCs/>
                <w:sz w:val="22"/>
                <w:szCs w:val="22"/>
              </w:rPr>
              <w:t>EI 120</w:t>
            </w:r>
          </w:p>
          <w:p w14:paraId="216F204A" w14:textId="77777777" w:rsidR="001C08A5" w:rsidRDefault="00000000">
            <w:pPr>
              <w:jc w:val="center"/>
              <w:rPr>
                <w:b/>
                <w:i/>
                <w:iCs/>
                <w:sz w:val="22"/>
                <w:szCs w:val="22"/>
              </w:rPr>
            </w:pPr>
            <w:r>
              <w:rPr>
                <w:b/>
                <w:i/>
                <w:iCs/>
                <w:sz w:val="22"/>
                <w:szCs w:val="22"/>
              </w:rPr>
              <w:t>(EI 90*)</w:t>
            </w:r>
          </w:p>
        </w:tc>
        <w:tc>
          <w:tcPr>
            <w:tcW w:w="702" w:type="pct"/>
          </w:tcPr>
          <w:p w14:paraId="3F367D64" w14:textId="77777777" w:rsidR="001C08A5" w:rsidRDefault="00000000">
            <w:pPr>
              <w:jc w:val="center"/>
              <w:rPr>
                <w:b/>
                <w:i/>
                <w:iCs/>
                <w:sz w:val="22"/>
                <w:szCs w:val="22"/>
              </w:rPr>
            </w:pPr>
            <w:r>
              <w:rPr>
                <w:b/>
                <w:i/>
                <w:iCs/>
                <w:sz w:val="22"/>
                <w:szCs w:val="22"/>
              </w:rPr>
              <w:t>EI/REI 120 (EI/REI 90*)</w:t>
            </w:r>
          </w:p>
        </w:tc>
        <w:tc>
          <w:tcPr>
            <w:tcW w:w="718" w:type="pct"/>
          </w:tcPr>
          <w:p w14:paraId="28753C3F" w14:textId="77777777" w:rsidR="001C08A5" w:rsidRDefault="00000000">
            <w:pPr>
              <w:jc w:val="center"/>
              <w:rPr>
                <w:b/>
                <w:i/>
                <w:iCs/>
                <w:sz w:val="22"/>
                <w:szCs w:val="22"/>
              </w:rPr>
            </w:pPr>
            <w:r>
              <w:rPr>
                <w:b/>
                <w:i/>
                <w:iCs/>
                <w:sz w:val="22"/>
                <w:szCs w:val="22"/>
              </w:rPr>
              <w:t xml:space="preserve">EI 90 </w:t>
            </w:r>
          </w:p>
          <w:p w14:paraId="34950B56" w14:textId="77777777" w:rsidR="001C08A5" w:rsidRDefault="00000000">
            <w:pPr>
              <w:jc w:val="center"/>
              <w:rPr>
                <w:b/>
                <w:i/>
                <w:iCs/>
                <w:sz w:val="22"/>
                <w:szCs w:val="22"/>
              </w:rPr>
            </w:pPr>
            <w:r>
              <w:rPr>
                <w:b/>
                <w:i/>
                <w:iCs/>
                <w:sz w:val="22"/>
                <w:szCs w:val="22"/>
              </w:rPr>
              <w:t>(EI 60*)</w:t>
            </w:r>
          </w:p>
        </w:tc>
        <w:tc>
          <w:tcPr>
            <w:tcW w:w="644" w:type="pct"/>
          </w:tcPr>
          <w:p w14:paraId="54E0C2E6" w14:textId="77777777" w:rsidR="001C08A5" w:rsidRDefault="001C08A5">
            <w:pPr>
              <w:jc w:val="center"/>
              <w:rPr>
                <w:bCs/>
                <w:i/>
                <w:iCs/>
                <w:sz w:val="22"/>
                <w:szCs w:val="22"/>
              </w:rPr>
            </w:pPr>
          </w:p>
        </w:tc>
        <w:tc>
          <w:tcPr>
            <w:tcW w:w="747" w:type="pct"/>
          </w:tcPr>
          <w:p w14:paraId="4DA1D788" w14:textId="77777777" w:rsidR="001C08A5" w:rsidRDefault="001C08A5">
            <w:pPr>
              <w:jc w:val="center"/>
              <w:rPr>
                <w:b/>
                <w:i/>
                <w:iCs/>
                <w:sz w:val="22"/>
                <w:szCs w:val="22"/>
              </w:rPr>
            </w:pPr>
          </w:p>
        </w:tc>
      </w:tr>
      <w:tr w:rsidR="001C08A5" w14:paraId="5B583DF4" w14:textId="77777777">
        <w:tc>
          <w:tcPr>
            <w:tcW w:w="755" w:type="pct"/>
          </w:tcPr>
          <w:p w14:paraId="3EF0D276" w14:textId="77777777" w:rsidR="001C08A5" w:rsidRDefault="00000000">
            <w:pPr>
              <w:jc w:val="center"/>
              <w:rPr>
                <w:b/>
                <w:i/>
                <w:iCs/>
                <w:sz w:val="22"/>
                <w:szCs w:val="22"/>
              </w:rPr>
            </w:pPr>
            <w:r>
              <w:rPr>
                <w:b/>
                <w:i/>
                <w:iCs/>
                <w:sz w:val="22"/>
                <w:szCs w:val="22"/>
              </w:rPr>
              <w:t>I</w:t>
            </w:r>
          </w:p>
          <w:p w14:paraId="37C6DD6C" w14:textId="77777777" w:rsidR="001C08A5" w:rsidRDefault="00000000">
            <w:pPr>
              <w:jc w:val="center"/>
              <w:rPr>
                <w:b/>
                <w:i/>
                <w:iCs/>
                <w:sz w:val="22"/>
                <w:szCs w:val="22"/>
              </w:rPr>
            </w:pPr>
            <w:r>
              <w:rPr>
                <w:b/>
                <w:i/>
                <w:iCs/>
                <w:sz w:val="22"/>
                <w:szCs w:val="22"/>
              </w:rPr>
              <w:t>75m≤h&lt;125m</w:t>
            </w:r>
          </w:p>
        </w:tc>
        <w:tc>
          <w:tcPr>
            <w:tcW w:w="737" w:type="pct"/>
          </w:tcPr>
          <w:p w14:paraId="632948EE" w14:textId="77777777" w:rsidR="001C08A5" w:rsidRDefault="00000000">
            <w:pPr>
              <w:jc w:val="center"/>
              <w:rPr>
                <w:b/>
                <w:i/>
                <w:iCs/>
                <w:sz w:val="22"/>
                <w:szCs w:val="22"/>
              </w:rPr>
            </w:pPr>
            <w:r>
              <w:rPr>
                <w:b/>
                <w:i/>
                <w:iCs/>
                <w:sz w:val="22"/>
                <w:szCs w:val="22"/>
              </w:rPr>
              <w:t>-</w:t>
            </w:r>
          </w:p>
          <w:p w14:paraId="41DFC45A" w14:textId="77777777" w:rsidR="001C08A5" w:rsidRDefault="00000000">
            <w:pPr>
              <w:jc w:val="center"/>
              <w:rPr>
                <w:b/>
                <w:i/>
                <w:iCs/>
                <w:sz w:val="22"/>
                <w:szCs w:val="22"/>
              </w:rPr>
            </w:pPr>
            <w:r>
              <w:rPr>
                <w:b/>
                <w:i/>
                <w:iCs/>
                <w:sz w:val="22"/>
                <w:szCs w:val="22"/>
              </w:rPr>
              <w:t>-</w:t>
            </w:r>
          </w:p>
        </w:tc>
        <w:tc>
          <w:tcPr>
            <w:tcW w:w="694" w:type="pct"/>
          </w:tcPr>
          <w:p w14:paraId="407C8E22" w14:textId="77777777" w:rsidR="001C08A5" w:rsidRDefault="00000000">
            <w:pPr>
              <w:jc w:val="center"/>
              <w:rPr>
                <w:b/>
                <w:i/>
                <w:iCs/>
                <w:sz w:val="22"/>
                <w:szCs w:val="22"/>
              </w:rPr>
            </w:pPr>
            <w:r>
              <w:rPr>
                <w:b/>
                <w:i/>
                <w:iCs/>
                <w:sz w:val="22"/>
                <w:szCs w:val="22"/>
              </w:rPr>
              <w:t>-</w:t>
            </w:r>
          </w:p>
          <w:p w14:paraId="0565753D" w14:textId="77777777" w:rsidR="001C08A5" w:rsidRDefault="00000000">
            <w:pPr>
              <w:jc w:val="center"/>
              <w:rPr>
                <w:bCs/>
                <w:i/>
                <w:iCs/>
                <w:sz w:val="22"/>
                <w:szCs w:val="22"/>
              </w:rPr>
            </w:pPr>
            <w:r>
              <w:rPr>
                <w:b/>
                <w:i/>
                <w:iCs/>
                <w:sz w:val="22"/>
                <w:szCs w:val="22"/>
              </w:rPr>
              <w:t>-</w:t>
            </w:r>
          </w:p>
        </w:tc>
        <w:tc>
          <w:tcPr>
            <w:tcW w:w="702" w:type="pct"/>
          </w:tcPr>
          <w:p w14:paraId="204F5232" w14:textId="77777777" w:rsidR="001C08A5" w:rsidRDefault="00000000">
            <w:pPr>
              <w:jc w:val="center"/>
              <w:rPr>
                <w:b/>
                <w:i/>
                <w:iCs/>
                <w:sz w:val="22"/>
                <w:szCs w:val="22"/>
              </w:rPr>
            </w:pPr>
            <w:r>
              <w:rPr>
                <w:b/>
                <w:i/>
                <w:iCs/>
                <w:sz w:val="22"/>
                <w:szCs w:val="22"/>
              </w:rPr>
              <w:t>EI/REI 180 (EI/REI 120*)</w:t>
            </w:r>
          </w:p>
        </w:tc>
        <w:tc>
          <w:tcPr>
            <w:tcW w:w="718" w:type="pct"/>
          </w:tcPr>
          <w:p w14:paraId="1E110203" w14:textId="77777777" w:rsidR="001C08A5" w:rsidRDefault="00000000">
            <w:pPr>
              <w:jc w:val="center"/>
              <w:rPr>
                <w:b/>
                <w:i/>
                <w:iCs/>
                <w:sz w:val="22"/>
                <w:szCs w:val="22"/>
              </w:rPr>
            </w:pPr>
            <w:r>
              <w:rPr>
                <w:b/>
                <w:i/>
                <w:iCs/>
                <w:sz w:val="22"/>
                <w:szCs w:val="22"/>
              </w:rPr>
              <w:t xml:space="preserve">EI 120 </w:t>
            </w:r>
          </w:p>
          <w:p w14:paraId="0D86E943" w14:textId="77777777" w:rsidR="001C08A5" w:rsidRDefault="00000000">
            <w:pPr>
              <w:jc w:val="center"/>
              <w:rPr>
                <w:bCs/>
                <w:i/>
                <w:iCs/>
                <w:sz w:val="22"/>
                <w:szCs w:val="22"/>
              </w:rPr>
            </w:pPr>
            <w:r>
              <w:rPr>
                <w:b/>
                <w:i/>
                <w:iCs/>
                <w:sz w:val="22"/>
                <w:szCs w:val="22"/>
              </w:rPr>
              <w:t>(EI 90*)</w:t>
            </w:r>
          </w:p>
        </w:tc>
        <w:tc>
          <w:tcPr>
            <w:tcW w:w="644" w:type="pct"/>
          </w:tcPr>
          <w:p w14:paraId="0BAF5D59" w14:textId="77777777" w:rsidR="001C08A5" w:rsidRDefault="00000000">
            <w:pPr>
              <w:jc w:val="center"/>
              <w:rPr>
                <w:b/>
                <w:i/>
                <w:iCs/>
                <w:sz w:val="22"/>
                <w:szCs w:val="22"/>
              </w:rPr>
            </w:pPr>
            <w:r>
              <w:rPr>
                <w:b/>
                <w:i/>
                <w:iCs/>
                <w:sz w:val="22"/>
                <w:szCs w:val="22"/>
              </w:rPr>
              <w:t>-</w:t>
            </w:r>
          </w:p>
        </w:tc>
        <w:tc>
          <w:tcPr>
            <w:tcW w:w="747" w:type="pct"/>
          </w:tcPr>
          <w:p w14:paraId="619CE709" w14:textId="77777777" w:rsidR="001C08A5" w:rsidRDefault="00000000">
            <w:pPr>
              <w:jc w:val="center"/>
              <w:rPr>
                <w:b/>
                <w:i/>
                <w:iCs/>
                <w:sz w:val="22"/>
                <w:szCs w:val="22"/>
              </w:rPr>
            </w:pPr>
            <w:r>
              <w:rPr>
                <w:b/>
                <w:i/>
                <w:iCs/>
                <w:sz w:val="22"/>
                <w:szCs w:val="22"/>
              </w:rPr>
              <w:t>-</w:t>
            </w:r>
          </w:p>
        </w:tc>
      </w:tr>
      <w:tr w:rsidR="001C08A5" w14:paraId="3E22FE45" w14:textId="77777777">
        <w:tc>
          <w:tcPr>
            <w:tcW w:w="755" w:type="pct"/>
          </w:tcPr>
          <w:p w14:paraId="634D92E1" w14:textId="77777777" w:rsidR="001C08A5" w:rsidRDefault="00000000">
            <w:pPr>
              <w:jc w:val="center"/>
              <w:rPr>
                <w:b/>
                <w:i/>
                <w:iCs/>
                <w:sz w:val="22"/>
                <w:szCs w:val="22"/>
              </w:rPr>
            </w:pPr>
            <w:r>
              <w:rPr>
                <w:b/>
                <w:i/>
                <w:iCs/>
                <w:sz w:val="22"/>
                <w:szCs w:val="22"/>
              </w:rPr>
              <w:t>I</w:t>
            </w:r>
          </w:p>
          <w:p w14:paraId="3208A864" w14:textId="77777777" w:rsidR="001C08A5" w:rsidRDefault="00000000">
            <w:pPr>
              <w:jc w:val="center"/>
              <w:rPr>
                <w:b/>
                <w:i/>
                <w:iCs/>
                <w:sz w:val="22"/>
                <w:szCs w:val="22"/>
              </w:rPr>
            </w:pPr>
            <w:r>
              <w:rPr>
                <w:b/>
                <w:i/>
                <w:iCs/>
                <w:sz w:val="22"/>
                <w:szCs w:val="22"/>
              </w:rPr>
              <w:t>h≥125m</w:t>
            </w:r>
          </w:p>
        </w:tc>
        <w:tc>
          <w:tcPr>
            <w:tcW w:w="737" w:type="pct"/>
          </w:tcPr>
          <w:p w14:paraId="1130D853" w14:textId="77777777" w:rsidR="001C08A5" w:rsidRDefault="00000000">
            <w:pPr>
              <w:jc w:val="center"/>
              <w:rPr>
                <w:b/>
                <w:i/>
                <w:iCs/>
                <w:sz w:val="22"/>
                <w:szCs w:val="22"/>
              </w:rPr>
            </w:pPr>
            <w:r>
              <w:rPr>
                <w:b/>
                <w:i/>
                <w:iCs/>
                <w:sz w:val="22"/>
                <w:szCs w:val="22"/>
              </w:rPr>
              <w:t>-</w:t>
            </w:r>
          </w:p>
        </w:tc>
        <w:tc>
          <w:tcPr>
            <w:tcW w:w="694" w:type="pct"/>
          </w:tcPr>
          <w:p w14:paraId="19E7B362" w14:textId="77777777" w:rsidR="001C08A5" w:rsidRDefault="00000000">
            <w:pPr>
              <w:jc w:val="center"/>
              <w:rPr>
                <w:b/>
                <w:i/>
                <w:iCs/>
                <w:sz w:val="22"/>
                <w:szCs w:val="22"/>
              </w:rPr>
            </w:pPr>
            <w:r>
              <w:rPr>
                <w:b/>
                <w:i/>
                <w:iCs/>
                <w:sz w:val="22"/>
                <w:szCs w:val="22"/>
              </w:rPr>
              <w:t>-</w:t>
            </w:r>
          </w:p>
        </w:tc>
        <w:tc>
          <w:tcPr>
            <w:tcW w:w="702" w:type="pct"/>
          </w:tcPr>
          <w:p w14:paraId="68D97829" w14:textId="77777777" w:rsidR="001C08A5" w:rsidRDefault="00000000">
            <w:pPr>
              <w:jc w:val="center"/>
              <w:rPr>
                <w:b/>
                <w:i/>
                <w:iCs/>
                <w:sz w:val="22"/>
                <w:szCs w:val="22"/>
              </w:rPr>
            </w:pPr>
            <w:r>
              <w:rPr>
                <w:b/>
                <w:i/>
                <w:iCs/>
                <w:sz w:val="22"/>
                <w:szCs w:val="22"/>
              </w:rPr>
              <w:t>-</w:t>
            </w:r>
          </w:p>
        </w:tc>
        <w:tc>
          <w:tcPr>
            <w:tcW w:w="718" w:type="pct"/>
          </w:tcPr>
          <w:p w14:paraId="79E3BA9F" w14:textId="77777777" w:rsidR="001C08A5" w:rsidRDefault="00000000">
            <w:pPr>
              <w:jc w:val="center"/>
              <w:rPr>
                <w:b/>
                <w:i/>
                <w:iCs/>
                <w:sz w:val="22"/>
                <w:szCs w:val="22"/>
              </w:rPr>
            </w:pPr>
            <w:r>
              <w:rPr>
                <w:b/>
                <w:i/>
                <w:iCs/>
                <w:sz w:val="22"/>
                <w:szCs w:val="22"/>
              </w:rPr>
              <w:t>-</w:t>
            </w:r>
          </w:p>
        </w:tc>
        <w:tc>
          <w:tcPr>
            <w:tcW w:w="644" w:type="pct"/>
          </w:tcPr>
          <w:p w14:paraId="307B5E06" w14:textId="77777777" w:rsidR="001C08A5" w:rsidRDefault="00000000">
            <w:pPr>
              <w:jc w:val="center"/>
              <w:rPr>
                <w:b/>
                <w:i/>
                <w:iCs/>
                <w:sz w:val="22"/>
                <w:szCs w:val="22"/>
              </w:rPr>
            </w:pPr>
            <w:r>
              <w:rPr>
                <w:b/>
                <w:i/>
                <w:iCs/>
                <w:sz w:val="22"/>
                <w:szCs w:val="22"/>
              </w:rPr>
              <w:t>-</w:t>
            </w:r>
          </w:p>
        </w:tc>
        <w:tc>
          <w:tcPr>
            <w:tcW w:w="747" w:type="pct"/>
          </w:tcPr>
          <w:p w14:paraId="07D2D431" w14:textId="77777777" w:rsidR="001C08A5" w:rsidRDefault="00000000">
            <w:pPr>
              <w:jc w:val="center"/>
              <w:rPr>
                <w:b/>
                <w:i/>
                <w:iCs/>
                <w:sz w:val="22"/>
                <w:szCs w:val="22"/>
              </w:rPr>
            </w:pPr>
            <w:r>
              <w:rPr>
                <w:b/>
                <w:i/>
                <w:iCs/>
                <w:sz w:val="22"/>
                <w:szCs w:val="22"/>
              </w:rPr>
              <w:t>-</w:t>
            </w:r>
          </w:p>
        </w:tc>
      </w:tr>
    </w:tbl>
    <w:p w14:paraId="5F8165D2" w14:textId="77777777" w:rsidR="001C08A5" w:rsidRDefault="00000000">
      <w:pPr>
        <w:jc w:val="both"/>
        <w:rPr>
          <w:b/>
          <w:i/>
          <w:iCs/>
          <w:sz w:val="22"/>
          <w:szCs w:val="22"/>
        </w:rPr>
      </w:pPr>
      <w:r>
        <w:rPr>
          <w:b/>
          <w:i/>
          <w:iCs/>
          <w:sz w:val="22"/>
          <w:szCs w:val="22"/>
        </w:rPr>
        <w:t>Observații:</w:t>
      </w:r>
    </w:p>
    <w:p w14:paraId="022C1172" w14:textId="77777777" w:rsidR="001C08A5" w:rsidRDefault="00000000">
      <w:pPr>
        <w:jc w:val="both"/>
        <w:rPr>
          <w:b/>
          <w:i/>
          <w:iCs/>
          <w:sz w:val="22"/>
          <w:szCs w:val="22"/>
        </w:rPr>
      </w:pPr>
      <w:r>
        <w:rPr>
          <w:b/>
          <w:i/>
          <w:iCs/>
          <w:sz w:val="22"/>
          <w:szCs w:val="22"/>
          <w:vertAlign w:val="superscript"/>
        </w:rPr>
        <w:t>1)</w:t>
      </w:r>
      <w:r>
        <w:rPr>
          <w:b/>
          <w:i/>
          <w:iCs/>
          <w:sz w:val="22"/>
          <w:szCs w:val="22"/>
        </w:rPr>
        <w:t xml:space="preserve">  - </w:t>
      </w:r>
      <w:r>
        <w:rPr>
          <w:bCs/>
          <w:i/>
          <w:iCs/>
          <w:sz w:val="22"/>
          <w:szCs w:val="22"/>
        </w:rPr>
        <w:t>Se referă la ”</w:t>
      </w:r>
      <w:r>
        <w:rPr>
          <w:i/>
          <w:iCs/>
          <w:sz w:val="22"/>
          <w:szCs w:val="22"/>
        </w:rPr>
        <w:t>Pereţi antifoc minimum</w:t>
      </w:r>
      <w:r>
        <w:rPr>
          <w:b/>
          <w:i/>
          <w:iCs/>
          <w:sz w:val="22"/>
          <w:szCs w:val="22"/>
        </w:rPr>
        <w:t xml:space="preserve"> EI-M 240/REI 240 </w:t>
      </w:r>
      <w:r>
        <w:rPr>
          <w:bCs/>
          <w:i/>
          <w:iCs/>
          <w:sz w:val="22"/>
          <w:szCs w:val="22"/>
        </w:rPr>
        <w:t xml:space="preserve">pentru construcțiile cu risc foarte mare de incendiu (atunci când densitatea sarcinii termice (q) este mai mare de </w:t>
      </w:r>
      <w:r>
        <w:rPr>
          <w:b/>
          <w:i/>
          <w:iCs/>
          <w:sz w:val="22"/>
          <w:szCs w:val="22"/>
        </w:rPr>
        <w:t xml:space="preserve">1680 MJ/m² </w:t>
      </w:r>
      <w:r>
        <w:rPr>
          <w:bCs/>
          <w:i/>
          <w:iCs/>
          <w:sz w:val="22"/>
          <w:szCs w:val="22"/>
        </w:rPr>
        <w:t xml:space="preserve">şi/sau există pericol de explozie volumetrică)” așa cum sunt definiți la </w:t>
      </w:r>
      <w:r>
        <w:rPr>
          <w:b/>
          <w:i/>
          <w:iCs/>
          <w:sz w:val="22"/>
          <w:szCs w:val="22"/>
        </w:rPr>
        <w:t>Art. 2.3.2.1.2. lit. b)</w:t>
      </w:r>
      <w:r>
        <w:rPr>
          <w:bCs/>
          <w:i/>
          <w:iCs/>
          <w:sz w:val="22"/>
          <w:szCs w:val="22"/>
        </w:rPr>
        <w:t>.</w:t>
      </w:r>
    </w:p>
    <w:p w14:paraId="6FA5E1F5" w14:textId="77777777" w:rsidR="001C08A5" w:rsidRDefault="00000000">
      <w:pPr>
        <w:jc w:val="both"/>
        <w:rPr>
          <w:i/>
          <w:iCs/>
          <w:sz w:val="22"/>
          <w:szCs w:val="22"/>
        </w:rPr>
      </w:pPr>
      <w:r>
        <w:rPr>
          <w:b/>
          <w:i/>
          <w:iCs/>
          <w:sz w:val="22"/>
          <w:szCs w:val="22"/>
          <w:vertAlign w:val="superscript"/>
        </w:rPr>
        <w:t>2)</w:t>
      </w:r>
      <w:r>
        <w:rPr>
          <w:b/>
          <w:i/>
          <w:iCs/>
          <w:sz w:val="22"/>
          <w:szCs w:val="22"/>
        </w:rPr>
        <w:t xml:space="preserve">  - </w:t>
      </w:r>
      <w:r>
        <w:rPr>
          <w:bCs/>
          <w:i/>
          <w:iCs/>
          <w:sz w:val="22"/>
          <w:szCs w:val="22"/>
        </w:rPr>
        <w:t>Se referă la ”</w:t>
      </w:r>
      <w:r>
        <w:rPr>
          <w:i/>
          <w:iCs/>
          <w:sz w:val="22"/>
          <w:szCs w:val="22"/>
        </w:rPr>
        <w:t>Pereţi antifoc minimum</w:t>
      </w:r>
      <w:r>
        <w:rPr>
          <w:b/>
          <w:bCs/>
          <w:i/>
          <w:iCs/>
          <w:sz w:val="22"/>
          <w:szCs w:val="22"/>
        </w:rPr>
        <w:t xml:space="preserve"> EI-M 180/REI 180</w:t>
      </w:r>
      <w:r>
        <w:rPr>
          <w:i/>
          <w:iCs/>
          <w:sz w:val="22"/>
          <w:szCs w:val="22"/>
        </w:rPr>
        <w:t xml:space="preserve"> pentru clădirile destinate persoanelor care nu se pot evacua singure (definite conform terminologie</w:t>
      </w:r>
      <w:r>
        <w:rPr>
          <w:i/>
          <w:iCs/>
          <w:sz w:val="22"/>
          <w:szCs w:val="22"/>
          <w:shd w:val="clear" w:color="auto" w:fill="FFFFFF"/>
          <w:lang w:eastAsia="zh-CN"/>
        </w:rPr>
        <w:t>)</w:t>
      </w:r>
      <w:r>
        <w:rPr>
          <w:i/>
          <w:iCs/>
          <w:sz w:val="22"/>
          <w:szCs w:val="22"/>
        </w:rPr>
        <w:t>, pentru construcțiile cu risc mare de incendiu, precum și cele pentru obiecte, echipamente sau aparatură de importanţă deosebita, pentru clădiri civile supraterane înalte şi/sau foarte înalte sau clădiri cu săli aglomerate</w:t>
      </w:r>
      <w:r>
        <w:rPr>
          <w:bCs/>
          <w:i/>
          <w:iCs/>
          <w:sz w:val="22"/>
          <w:szCs w:val="22"/>
        </w:rPr>
        <w:t xml:space="preserve">” așa cum sunt definiți la </w:t>
      </w:r>
      <w:r>
        <w:rPr>
          <w:b/>
          <w:i/>
          <w:iCs/>
          <w:sz w:val="22"/>
          <w:szCs w:val="22"/>
        </w:rPr>
        <w:t>Art. 2.3.2.1.2. lit. c)</w:t>
      </w:r>
      <w:r>
        <w:rPr>
          <w:bCs/>
          <w:i/>
          <w:iCs/>
          <w:sz w:val="22"/>
          <w:szCs w:val="22"/>
        </w:rPr>
        <w:t>.</w:t>
      </w:r>
    </w:p>
    <w:p w14:paraId="49DA5FE7" w14:textId="77777777" w:rsidR="001C08A5" w:rsidRDefault="00000000">
      <w:pPr>
        <w:jc w:val="both"/>
        <w:rPr>
          <w:bCs/>
          <w:i/>
          <w:iCs/>
          <w:sz w:val="22"/>
          <w:szCs w:val="22"/>
        </w:rPr>
      </w:pPr>
      <w:r>
        <w:rPr>
          <w:b/>
          <w:i/>
          <w:iCs/>
          <w:sz w:val="22"/>
          <w:szCs w:val="22"/>
          <w:vertAlign w:val="superscript"/>
        </w:rPr>
        <w:t>3)</w:t>
      </w:r>
      <w:r>
        <w:rPr>
          <w:b/>
          <w:i/>
          <w:iCs/>
          <w:sz w:val="22"/>
          <w:szCs w:val="22"/>
        </w:rPr>
        <w:t xml:space="preserve">  - </w:t>
      </w:r>
      <w:r>
        <w:rPr>
          <w:bCs/>
          <w:i/>
          <w:iCs/>
          <w:sz w:val="22"/>
          <w:szCs w:val="22"/>
        </w:rPr>
        <w:t>Se referă la ”</w:t>
      </w:r>
      <w:r>
        <w:rPr>
          <w:i/>
          <w:iCs/>
          <w:sz w:val="22"/>
          <w:szCs w:val="22"/>
        </w:rPr>
        <w:t>Pereţi antifoc minimum</w:t>
      </w:r>
      <w:r>
        <w:rPr>
          <w:b/>
          <w:bCs/>
          <w:i/>
          <w:iCs/>
          <w:sz w:val="22"/>
          <w:szCs w:val="22"/>
        </w:rPr>
        <w:t xml:space="preserve"> EI-M 120/REI 120</w:t>
      </w:r>
      <w:r>
        <w:rPr>
          <w:bCs/>
          <w:i/>
          <w:iCs/>
          <w:sz w:val="22"/>
          <w:szCs w:val="22"/>
        </w:rPr>
        <w:t xml:space="preserve">” așa cum sunt definiți la </w:t>
      </w:r>
      <w:r>
        <w:rPr>
          <w:b/>
          <w:i/>
          <w:iCs/>
          <w:sz w:val="22"/>
          <w:szCs w:val="22"/>
        </w:rPr>
        <w:t>Art. 2.3.2.1.2. lit. d)</w:t>
      </w:r>
      <w:r>
        <w:rPr>
          <w:bCs/>
          <w:i/>
          <w:iCs/>
          <w:sz w:val="22"/>
          <w:szCs w:val="22"/>
        </w:rPr>
        <w:t>.</w:t>
      </w:r>
    </w:p>
    <w:p w14:paraId="599E010D" w14:textId="77777777" w:rsidR="001C08A5" w:rsidRDefault="00000000">
      <w:pPr>
        <w:jc w:val="both"/>
        <w:rPr>
          <w:bCs/>
          <w:i/>
          <w:iCs/>
          <w:sz w:val="22"/>
          <w:szCs w:val="22"/>
        </w:rPr>
      </w:pPr>
      <w:r>
        <w:rPr>
          <w:b/>
          <w:i/>
          <w:iCs/>
          <w:sz w:val="22"/>
          <w:szCs w:val="22"/>
          <w:vertAlign w:val="superscript"/>
        </w:rPr>
        <w:t>4)</w:t>
      </w:r>
      <w:r>
        <w:rPr>
          <w:b/>
          <w:i/>
          <w:iCs/>
          <w:sz w:val="22"/>
          <w:szCs w:val="22"/>
        </w:rPr>
        <w:t xml:space="preserve">  - </w:t>
      </w:r>
      <w:r>
        <w:rPr>
          <w:bCs/>
          <w:i/>
          <w:iCs/>
          <w:sz w:val="22"/>
          <w:szCs w:val="22"/>
        </w:rPr>
        <w:t>Se referă la ”Rezistenţa la foc (</w:t>
      </w:r>
      <w:r>
        <w:rPr>
          <w:b/>
          <w:i/>
          <w:iCs/>
          <w:sz w:val="22"/>
          <w:szCs w:val="22"/>
        </w:rPr>
        <w:t>EI/REI</w:t>
      </w:r>
      <w:r>
        <w:rPr>
          <w:bCs/>
          <w:i/>
          <w:iCs/>
          <w:sz w:val="22"/>
          <w:szCs w:val="22"/>
        </w:rPr>
        <w:t xml:space="preserve">) a pereţilor din exterior, pe o distanță de minimum </w:t>
      </w:r>
      <w:r>
        <w:rPr>
          <w:b/>
          <w:i/>
          <w:iCs/>
          <w:sz w:val="22"/>
          <w:szCs w:val="22"/>
        </w:rPr>
        <w:t xml:space="preserve">4 </w:t>
      </w:r>
      <w:r>
        <w:rPr>
          <w:bCs/>
          <w:i/>
          <w:iCs/>
          <w:sz w:val="22"/>
          <w:szCs w:val="22"/>
        </w:rPr>
        <w:t>m”</w:t>
      </w:r>
    </w:p>
    <w:p w14:paraId="1D9B2B4A" w14:textId="77777777" w:rsidR="001C08A5" w:rsidRDefault="00000000">
      <w:pPr>
        <w:jc w:val="both"/>
        <w:rPr>
          <w:bCs/>
          <w:i/>
          <w:iCs/>
          <w:sz w:val="22"/>
          <w:szCs w:val="22"/>
        </w:rPr>
      </w:pPr>
      <w:r>
        <w:rPr>
          <w:b/>
          <w:i/>
          <w:iCs/>
          <w:sz w:val="22"/>
          <w:szCs w:val="22"/>
          <w:vertAlign w:val="superscript"/>
        </w:rPr>
        <w:lastRenderedPageBreak/>
        <w:t>5)</w:t>
      </w:r>
      <w:r>
        <w:rPr>
          <w:b/>
          <w:i/>
          <w:iCs/>
          <w:sz w:val="22"/>
          <w:szCs w:val="22"/>
        </w:rPr>
        <w:t xml:space="preserve">  - </w:t>
      </w:r>
      <w:r>
        <w:rPr>
          <w:bCs/>
          <w:i/>
          <w:iCs/>
          <w:sz w:val="22"/>
          <w:szCs w:val="22"/>
        </w:rPr>
        <w:t>Se referă la ”Elemente de inchidere rezistente la foc(uși, ferestre) prevăzute cu autoînchidere ”</w:t>
      </w:r>
      <w:r>
        <w:rPr>
          <w:b/>
          <w:i/>
          <w:iCs/>
          <w:sz w:val="22"/>
          <w:szCs w:val="22"/>
        </w:rPr>
        <w:t>C</w:t>
      </w:r>
      <w:r>
        <w:rPr>
          <w:bCs/>
          <w:i/>
          <w:iCs/>
          <w:sz w:val="22"/>
          <w:szCs w:val="22"/>
        </w:rPr>
        <w:t xml:space="preserve">” sau fixe, dacă </w:t>
      </w:r>
      <w:r>
        <w:rPr>
          <w:i/>
          <w:iCs/>
          <w:sz w:val="22"/>
          <w:szCs w:val="22"/>
        </w:rPr>
        <w:t xml:space="preserve">distanţa dintre deschideri este mai mică de  </w:t>
      </w:r>
      <w:r>
        <w:rPr>
          <w:b/>
          <w:i/>
          <w:iCs/>
          <w:sz w:val="22"/>
          <w:szCs w:val="22"/>
        </w:rPr>
        <w:t xml:space="preserve">4 </w:t>
      </w:r>
      <w:r>
        <w:rPr>
          <w:bCs/>
          <w:i/>
          <w:iCs/>
          <w:sz w:val="22"/>
          <w:szCs w:val="22"/>
        </w:rPr>
        <w:t>m”.</w:t>
      </w:r>
    </w:p>
    <w:p w14:paraId="64D86802" w14:textId="77777777" w:rsidR="001C08A5" w:rsidRDefault="00000000">
      <w:pPr>
        <w:rPr>
          <w:bCs/>
          <w:i/>
          <w:sz w:val="22"/>
          <w:szCs w:val="22"/>
        </w:rPr>
      </w:pPr>
      <w:r>
        <w:rPr>
          <w:b/>
          <w:i/>
          <w:sz w:val="22"/>
          <w:szCs w:val="22"/>
        </w:rPr>
        <w:t>”h”</w:t>
      </w:r>
      <w:r>
        <w:rPr>
          <w:bCs/>
          <w:i/>
          <w:sz w:val="22"/>
          <w:szCs w:val="22"/>
        </w:rPr>
        <w:t xml:space="preserve">= cota ultimului planșeu accesibil/folosibil al </w:t>
      </w:r>
      <w:r>
        <w:rPr>
          <w:i/>
          <w:iCs/>
          <w:sz w:val="22"/>
          <w:szCs w:val="22"/>
        </w:rPr>
        <w:t>constructiei, față de nivelul de referință</w:t>
      </w:r>
    </w:p>
    <w:p w14:paraId="5D1B026C" w14:textId="77777777" w:rsidR="001C08A5" w:rsidRDefault="00000000">
      <w:pPr>
        <w:jc w:val="both"/>
        <w:rPr>
          <w:b/>
          <w:i/>
          <w:iCs/>
          <w:sz w:val="22"/>
          <w:szCs w:val="22"/>
        </w:rPr>
      </w:pPr>
      <w:r>
        <w:rPr>
          <w:b/>
          <w:i/>
          <w:iCs/>
          <w:sz w:val="22"/>
          <w:szCs w:val="22"/>
        </w:rPr>
        <w:t>Note:</w:t>
      </w:r>
    </w:p>
    <w:p w14:paraId="7038C013" w14:textId="77777777" w:rsidR="001C08A5" w:rsidRDefault="00000000">
      <w:pPr>
        <w:jc w:val="both"/>
        <w:rPr>
          <w:i/>
          <w:iCs/>
          <w:sz w:val="22"/>
          <w:szCs w:val="22"/>
        </w:rPr>
      </w:pP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 xml:space="preserve">pereţilor </w:t>
      </w:r>
      <w:r>
        <w:rPr>
          <w:i/>
          <w:iCs/>
          <w:sz w:val="22"/>
          <w:szCs w:val="22"/>
        </w:rPr>
        <w:t xml:space="preserve">(din exterior) definiți în coloanele </w:t>
      </w:r>
      <w:r>
        <w:rPr>
          <w:b/>
          <w:bCs/>
          <w:i/>
          <w:iCs/>
          <w:sz w:val="22"/>
          <w:szCs w:val="22"/>
        </w:rPr>
        <w:t xml:space="preserve">2, 4 </w:t>
      </w:r>
      <w:r>
        <w:rPr>
          <w:i/>
          <w:iCs/>
          <w:sz w:val="22"/>
          <w:szCs w:val="22"/>
        </w:rPr>
        <w:t>și</w:t>
      </w:r>
      <w:r>
        <w:rPr>
          <w:b/>
          <w:bCs/>
          <w:i/>
          <w:iCs/>
          <w:sz w:val="22"/>
          <w:szCs w:val="22"/>
        </w:rPr>
        <w:t xml:space="preserve"> 6</w:t>
      </w:r>
      <w:r>
        <w:rPr>
          <w:i/>
          <w:iCs/>
          <w:sz w:val="22"/>
          <w:szCs w:val="22"/>
        </w:rPr>
        <w:t xml:space="preserve"> din tabel este </w:t>
      </w:r>
      <w:r>
        <w:rPr>
          <w:b/>
          <w:i/>
          <w:iCs/>
          <w:sz w:val="22"/>
          <w:szCs w:val="22"/>
        </w:rPr>
        <w:t xml:space="preserve">A1 sau A2-s1,d0. </w:t>
      </w: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elementelor de inchidere rezistente la foc</w:t>
      </w:r>
      <w:r>
        <w:rPr>
          <w:i/>
          <w:iCs/>
          <w:sz w:val="22"/>
          <w:szCs w:val="22"/>
        </w:rPr>
        <w:t xml:space="preserve"> definite în coloanele </w:t>
      </w:r>
      <w:r>
        <w:rPr>
          <w:b/>
          <w:bCs/>
          <w:i/>
          <w:iCs/>
          <w:sz w:val="22"/>
          <w:szCs w:val="22"/>
        </w:rPr>
        <w:t>3, 5</w:t>
      </w:r>
      <w:r>
        <w:rPr>
          <w:i/>
          <w:iCs/>
          <w:sz w:val="22"/>
          <w:szCs w:val="22"/>
        </w:rPr>
        <w:t xml:space="preserve"> și</w:t>
      </w:r>
      <w:r>
        <w:rPr>
          <w:b/>
          <w:bCs/>
          <w:i/>
          <w:iCs/>
          <w:sz w:val="22"/>
          <w:szCs w:val="22"/>
        </w:rPr>
        <w:t xml:space="preserve"> 7</w:t>
      </w:r>
      <w:r>
        <w:rPr>
          <w:i/>
          <w:iCs/>
          <w:sz w:val="22"/>
          <w:szCs w:val="22"/>
        </w:rPr>
        <w:t xml:space="preserve"> din tabel este </w:t>
      </w:r>
      <w:r>
        <w:rPr>
          <w:b/>
          <w:i/>
          <w:iCs/>
          <w:sz w:val="22"/>
          <w:szCs w:val="22"/>
        </w:rPr>
        <w:t xml:space="preserve">A1 sau A2-s1,d0, </w:t>
      </w:r>
      <w:r>
        <w:rPr>
          <w:bCs/>
          <w:i/>
          <w:iCs/>
          <w:sz w:val="22"/>
          <w:szCs w:val="22"/>
        </w:rPr>
        <w:t>cu excepția componetelor nesubstanţiale, garniturilor, izolatorilor, elementelor de vitraj (din sticlă) simplu sau izolant (realizate din sticlă) ale ușilor și ferestrelor (exterioare), inclusiv cele inserate în pereții cortină.</w:t>
      </w:r>
    </w:p>
    <w:p w14:paraId="4C2D86BF" w14:textId="77777777" w:rsidR="001C08A5" w:rsidRDefault="00000000">
      <w:pPr>
        <w:widowControl w:val="0"/>
        <w:jc w:val="both"/>
        <w:rPr>
          <w:i/>
          <w:iCs/>
          <w:sz w:val="22"/>
          <w:szCs w:val="22"/>
        </w:rPr>
      </w:pPr>
      <w:r>
        <w:rPr>
          <w:i/>
          <w:iCs/>
          <w:sz w:val="22"/>
          <w:szCs w:val="22"/>
        </w:rPr>
        <w:t xml:space="preserve">Pentru clădiri închise se aplică specificatia </w:t>
      </w:r>
      <w:r>
        <w:rPr>
          <w:b/>
          <w:bCs/>
          <w:i/>
          <w:iCs/>
          <w:sz w:val="22"/>
          <w:szCs w:val="22"/>
        </w:rPr>
        <w:t>EW</w:t>
      </w:r>
      <w:r>
        <w:rPr>
          <w:i/>
          <w:iCs/>
          <w:sz w:val="22"/>
          <w:szCs w:val="22"/>
        </w:rPr>
        <w:t xml:space="preserve"> sau </w:t>
      </w:r>
      <w:r>
        <w:rPr>
          <w:b/>
          <w:bCs/>
          <w:i/>
          <w:iCs/>
          <w:sz w:val="22"/>
          <w:szCs w:val="22"/>
        </w:rPr>
        <w:t>EI</w:t>
      </w:r>
      <w:r>
        <w:rPr>
          <w:i/>
          <w:iCs/>
          <w:sz w:val="22"/>
          <w:szCs w:val="22"/>
        </w:rPr>
        <w:t xml:space="preserve"> la elemente de inchidere rezistente la foc (uși, ferestre), în funcție de apropierea dintre deschideri (dacă este mai mică de </w:t>
      </w:r>
      <w:r>
        <w:rPr>
          <w:b/>
          <w:bCs/>
          <w:i/>
          <w:iCs/>
          <w:sz w:val="22"/>
          <w:szCs w:val="22"/>
        </w:rPr>
        <w:t>1 m</w:t>
      </w:r>
      <w:r>
        <w:rPr>
          <w:i/>
          <w:iCs/>
          <w:sz w:val="22"/>
          <w:szCs w:val="22"/>
        </w:rPr>
        <w:t xml:space="preserve"> obligatoriu se aplică performanța la foc </w:t>
      </w:r>
      <w:r>
        <w:rPr>
          <w:b/>
          <w:bCs/>
          <w:i/>
          <w:iCs/>
          <w:sz w:val="22"/>
          <w:szCs w:val="22"/>
        </w:rPr>
        <w:t>EI</w:t>
      </w:r>
      <w:r>
        <w:rPr>
          <w:i/>
          <w:iCs/>
          <w:sz w:val="22"/>
          <w:szCs w:val="22"/>
        </w:rPr>
        <w:t>). Pentru clădiri deschise se poate aplica specificatia</w:t>
      </w:r>
      <w:r>
        <w:rPr>
          <w:b/>
          <w:bCs/>
          <w:i/>
          <w:iCs/>
          <w:sz w:val="22"/>
          <w:szCs w:val="22"/>
        </w:rPr>
        <w:t xml:space="preserve"> E</w:t>
      </w:r>
      <w:r>
        <w:rPr>
          <w:i/>
          <w:iCs/>
          <w:sz w:val="22"/>
          <w:szCs w:val="22"/>
        </w:rPr>
        <w:t xml:space="preserve"> la elemente de inchidere rezistente la foc (uși, ferestre).</w:t>
      </w:r>
    </w:p>
    <w:p w14:paraId="09973252" w14:textId="77777777" w:rsidR="001C08A5" w:rsidRDefault="00000000">
      <w:pPr>
        <w:rPr>
          <w:sz w:val="22"/>
          <w:szCs w:val="22"/>
        </w:rPr>
      </w:pPr>
      <w:r>
        <w:rPr>
          <w:i/>
          <w:iCs/>
          <w:sz w:val="22"/>
          <w:szCs w:val="22"/>
        </w:rPr>
        <w:t xml:space="preserve">Rezistența la foc a tuturor </w:t>
      </w:r>
      <w:r>
        <w:rPr>
          <w:bCs/>
          <w:i/>
          <w:iCs/>
          <w:sz w:val="22"/>
          <w:szCs w:val="22"/>
        </w:rPr>
        <w:t xml:space="preserve">elementelor </w:t>
      </w:r>
      <w:r>
        <w:rPr>
          <w:i/>
          <w:iCs/>
          <w:sz w:val="22"/>
          <w:szCs w:val="22"/>
        </w:rPr>
        <w:t xml:space="preserve">definite în coloanele </w:t>
      </w:r>
      <w:r>
        <w:rPr>
          <w:b/>
          <w:bCs/>
          <w:i/>
          <w:iCs/>
          <w:sz w:val="22"/>
          <w:szCs w:val="22"/>
        </w:rPr>
        <w:t xml:space="preserve">2, 3, 4, 5, 6 </w:t>
      </w:r>
      <w:r>
        <w:rPr>
          <w:i/>
          <w:iCs/>
          <w:sz w:val="22"/>
          <w:szCs w:val="22"/>
        </w:rPr>
        <w:t>și</w:t>
      </w:r>
      <w:r>
        <w:rPr>
          <w:b/>
          <w:bCs/>
          <w:i/>
          <w:iCs/>
          <w:sz w:val="22"/>
          <w:szCs w:val="22"/>
        </w:rPr>
        <w:t xml:space="preserve"> 7</w:t>
      </w:r>
      <w:r>
        <w:rPr>
          <w:i/>
          <w:iCs/>
          <w:sz w:val="22"/>
          <w:szCs w:val="22"/>
        </w:rPr>
        <w:t xml:space="preserve"> din tabel este în minute.</w:t>
      </w:r>
    </w:p>
    <w:p w14:paraId="08721A9B" w14:textId="77777777" w:rsidR="001C08A5" w:rsidRDefault="001C08A5">
      <w:pPr>
        <w:widowControl w:val="0"/>
        <w:jc w:val="both"/>
        <w:rPr>
          <w:i/>
          <w:iCs/>
          <w:sz w:val="22"/>
          <w:szCs w:val="22"/>
        </w:rPr>
      </w:pPr>
    </w:p>
    <w:p w14:paraId="1C73633C" w14:textId="77777777" w:rsidR="001C08A5" w:rsidRDefault="001C08A5">
      <w:pPr>
        <w:widowControl w:val="0"/>
        <w:jc w:val="center"/>
        <w:rPr>
          <w:lang w:eastAsia="ro-RO"/>
        </w:rPr>
      </w:pPr>
    </w:p>
    <w:p w14:paraId="11B2ADBF" w14:textId="77777777" w:rsidR="001C08A5" w:rsidRDefault="00000000">
      <w:pPr>
        <w:widowControl w:val="0"/>
        <w:jc w:val="center"/>
        <w:rPr>
          <w:lang w:eastAsia="ro-RO"/>
        </w:rPr>
      </w:pPr>
      <w:r>
        <w:rPr>
          <w:noProof/>
        </w:rPr>
        <w:drawing>
          <wp:inline distT="0" distB="0" distL="114300" distR="114300" wp14:anchorId="3C4D83C2" wp14:editId="04C47F33">
            <wp:extent cx="6079490" cy="4077335"/>
            <wp:effectExtent l="0" t="0" r="16510" b="18415"/>
            <wp:docPr id="3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7"/>
                    <pic:cNvPicPr>
                      <a:picLocks noChangeAspect="1"/>
                    </pic:cNvPicPr>
                  </pic:nvPicPr>
                  <pic:blipFill>
                    <a:blip r:embed="rId118"/>
                    <a:srcRect l="12274" t="1408" r="7292" b="2397"/>
                    <a:stretch>
                      <a:fillRect/>
                    </a:stretch>
                  </pic:blipFill>
                  <pic:spPr>
                    <a:xfrm>
                      <a:off x="0" y="0"/>
                      <a:ext cx="6079490" cy="4077335"/>
                    </a:xfrm>
                    <a:prstGeom prst="rect">
                      <a:avLst/>
                    </a:prstGeom>
                    <a:noFill/>
                    <a:ln>
                      <a:noFill/>
                    </a:ln>
                  </pic:spPr>
                </pic:pic>
              </a:graphicData>
            </a:graphic>
          </wp:inline>
        </w:drawing>
      </w:r>
    </w:p>
    <w:p w14:paraId="0EC02DAA" w14:textId="77777777" w:rsidR="001C08A5" w:rsidRDefault="00000000">
      <w:pPr>
        <w:pStyle w:val="Caption"/>
        <w:jc w:val="center"/>
      </w:pPr>
      <w:bookmarkStart w:id="1040" w:name="_Ref11739"/>
      <w:bookmarkStart w:id="1041" w:name="_Toc162360262"/>
      <w:bookmarkStart w:id="1042" w:name="_Toc11979"/>
      <w:bookmarkStart w:id="1043" w:name="_Toc1755"/>
      <w:bookmarkStart w:id="1044" w:name="_Toc22512"/>
      <w:bookmarkStart w:id="1045" w:name="_Toc4492"/>
      <w:bookmarkStart w:id="1046" w:name="_Toc1537"/>
      <w:bookmarkStart w:id="1047" w:name="_Toc30047"/>
      <w:r>
        <w:t xml:space="preserve">Figura </w:t>
      </w:r>
      <w:r>
        <w:fldChar w:fldCharType="begin"/>
      </w:r>
      <w:r>
        <w:instrText xml:space="preserve"> SEQ Figura \* ARABIC </w:instrText>
      </w:r>
      <w:r>
        <w:fldChar w:fldCharType="separate"/>
      </w:r>
      <w:r>
        <w:t>38</w:t>
      </w:r>
      <w:r>
        <w:fldChar w:fldCharType="end"/>
      </w:r>
      <w:bookmarkStart w:id="1048" w:name="_Toc25438"/>
      <w:bookmarkStart w:id="1049" w:name="_Toc20237"/>
      <w:bookmarkStart w:id="1050" w:name="_Toc1238"/>
      <w:bookmarkStart w:id="1051" w:name="_Toc22404"/>
      <w:bookmarkStart w:id="1052" w:name="_Toc13317"/>
      <w:bookmarkStart w:id="1053" w:name="_Toc16604"/>
      <w:bookmarkStart w:id="1054" w:name="_Toc21378"/>
      <w:bookmarkStart w:id="1055" w:name="_Toc7470"/>
      <w:bookmarkStart w:id="1056" w:name="_Toc20301"/>
      <w:bookmarkStart w:id="1057" w:name="_Toc10566"/>
      <w:bookmarkStart w:id="1058" w:name="_Toc307"/>
      <w:bookmarkEnd w:id="1040"/>
      <w:r>
        <w:t xml:space="preserve"> - Perete rezistent la foc (în continuarea pereților antifoc conform Art. 2.3.2.1.2) dispus la exterior, la colţurile intrânde ale clădirilor civile în formă de L, T sau U sub un unghi α, α </w:t>
      </w:r>
      <w:r>
        <w:rPr>
          <w:rFonts w:ascii="Arial" w:hAnsi="Arial" w:cs="Arial"/>
        </w:rPr>
        <w:t xml:space="preserve">&lt; </w:t>
      </w:r>
      <w:r>
        <w:t>90°</w:t>
      </w:r>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p>
    <w:p w14:paraId="7DA48BDA" w14:textId="77777777" w:rsidR="001C08A5" w:rsidRDefault="001C08A5">
      <w:pPr>
        <w:pStyle w:val="BodyText"/>
        <w:jc w:val="center"/>
      </w:pPr>
    </w:p>
    <w:p w14:paraId="2C9613C5" w14:textId="77777777" w:rsidR="001C08A5" w:rsidRDefault="00000000">
      <w:pPr>
        <w:widowControl w:val="0"/>
        <w:numPr>
          <w:ilvl w:val="255"/>
          <w:numId w:val="0"/>
        </w:numPr>
        <w:ind w:firstLine="720"/>
        <w:jc w:val="both"/>
        <w:rPr>
          <w:b/>
          <w:sz w:val="24"/>
          <w:szCs w:val="24"/>
        </w:rPr>
      </w:pPr>
      <w:r>
        <w:rPr>
          <w:b/>
          <w:bCs/>
          <w:sz w:val="24"/>
          <w:szCs w:val="24"/>
        </w:rPr>
        <w:t xml:space="preserve">(2) </w:t>
      </w:r>
      <w:r>
        <w:rPr>
          <w:sz w:val="24"/>
          <w:szCs w:val="24"/>
        </w:rPr>
        <w:t xml:space="preserve">În cazul în care pereţii antifoc sunt amplasaţi la colţurile intrânde ale clădirilor civile în formă de </w:t>
      </w:r>
      <w:r>
        <w:rPr>
          <w:b/>
          <w:sz w:val="24"/>
          <w:szCs w:val="24"/>
        </w:rPr>
        <w:t>L</w:t>
      </w:r>
      <w:r>
        <w:rPr>
          <w:sz w:val="24"/>
          <w:szCs w:val="24"/>
        </w:rPr>
        <w:t xml:space="preserve">, </w:t>
      </w:r>
      <w:r>
        <w:rPr>
          <w:b/>
          <w:sz w:val="24"/>
          <w:szCs w:val="24"/>
        </w:rPr>
        <w:t>T</w:t>
      </w:r>
      <w:r>
        <w:rPr>
          <w:sz w:val="24"/>
          <w:szCs w:val="24"/>
        </w:rPr>
        <w:t xml:space="preserve"> sau </w:t>
      </w:r>
      <w:r>
        <w:rPr>
          <w:b/>
          <w:sz w:val="24"/>
          <w:szCs w:val="24"/>
        </w:rPr>
        <w:t xml:space="preserve">U </w:t>
      </w:r>
      <w:r>
        <w:rPr>
          <w:bCs/>
          <w:sz w:val="24"/>
          <w:szCs w:val="24"/>
        </w:rPr>
        <w:t xml:space="preserve">sub un unghi α, </w:t>
      </w:r>
      <w:r>
        <w:rPr>
          <w:b/>
          <w:sz w:val="24"/>
          <w:szCs w:val="24"/>
        </w:rPr>
        <w:t xml:space="preserve">90° </w:t>
      </w:r>
      <w:r>
        <w:rPr>
          <w:rFonts w:ascii="Arial" w:hAnsi="Arial" w:cs="Arial"/>
          <w:b/>
          <w:sz w:val="24"/>
          <w:szCs w:val="24"/>
        </w:rPr>
        <w:t xml:space="preserve">≤ α ≤ </w:t>
      </w:r>
      <w:r>
        <w:rPr>
          <w:b/>
          <w:sz w:val="24"/>
          <w:szCs w:val="24"/>
        </w:rPr>
        <w:t xml:space="preserve">135° </w:t>
      </w:r>
      <w:r>
        <w:rPr>
          <w:bCs/>
          <w:sz w:val="24"/>
          <w:szCs w:val="24"/>
        </w:rPr>
        <w:t>(</w:t>
      </w:r>
      <w:r>
        <w:rPr>
          <w:b/>
          <w:bCs/>
          <w:i/>
          <w:iCs/>
          <w:sz w:val="24"/>
          <w:szCs w:val="24"/>
        </w:rPr>
        <w:fldChar w:fldCharType="begin"/>
      </w:r>
      <w:r>
        <w:rPr>
          <w:b/>
          <w:bCs/>
          <w:i/>
          <w:iCs/>
          <w:sz w:val="24"/>
          <w:szCs w:val="24"/>
        </w:rPr>
        <w:instrText xml:space="preserve"> REF _Ref12062 \h </w:instrText>
      </w:r>
      <w:r>
        <w:rPr>
          <w:b/>
          <w:bCs/>
          <w:i/>
          <w:iCs/>
          <w:sz w:val="24"/>
          <w:szCs w:val="24"/>
        </w:rPr>
      </w:r>
      <w:r>
        <w:rPr>
          <w:b/>
          <w:bCs/>
          <w:i/>
          <w:iCs/>
          <w:sz w:val="24"/>
          <w:szCs w:val="24"/>
        </w:rPr>
        <w:fldChar w:fldCharType="separate"/>
      </w:r>
      <w:r>
        <w:t>Figura 39</w:t>
      </w:r>
      <w:r>
        <w:rPr>
          <w:b/>
          <w:bCs/>
          <w:i/>
          <w:iCs/>
          <w:sz w:val="24"/>
          <w:szCs w:val="24"/>
        </w:rPr>
        <w:fldChar w:fldCharType="end"/>
      </w:r>
      <w:r>
        <w:rPr>
          <w:bCs/>
          <w:sz w:val="24"/>
          <w:szCs w:val="24"/>
        </w:rPr>
        <w:t>)</w:t>
      </w:r>
      <w:r>
        <w:rPr>
          <w:sz w:val="24"/>
          <w:szCs w:val="24"/>
        </w:rPr>
        <w:t xml:space="preserve">, golurile din pereţii exteriori adiacenţi se dispun astfel încât distanţa dintre ele să fie de cel puţin patru </w:t>
      </w:r>
      <w:r>
        <w:rPr>
          <w:b/>
          <w:sz w:val="24"/>
          <w:szCs w:val="24"/>
        </w:rPr>
        <w:t xml:space="preserve">4 </w:t>
      </w:r>
      <w:r>
        <w:rPr>
          <w:bCs/>
          <w:sz w:val="24"/>
          <w:szCs w:val="24"/>
        </w:rPr>
        <w:t>m</w:t>
      </w:r>
      <w:r>
        <w:rPr>
          <w:b/>
          <w:sz w:val="24"/>
          <w:szCs w:val="24"/>
        </w:rPr>
        <w:t xml:space="preserve"> </w:t>
      </w:r>
      <w:r>
        <w:rPr>
          <w:bCs/>
          <w:sz w:val="24"/>
          <w:szCs w:val="24"/>
        </w:rPr>
        <w:t xml:space="preserve">și trebuie îndeplinită doar performanța privind  rezistența la foc a peretelui exterior sau pereților exteriori pe distanța de </w:t>
      </w:r>
      <w:r>
        <w:rPr>
          <w:b/>
          <w:sz w:val="24"/>
          <w:szCs w:val="24"/>
        </w:rPr>
        <w:t xml:space="preserve">4 </w:t>
      </w:r>
      <w:r>
        <w:rPr>
          <w:bCs/>
          <w:sz w:val="24"/>
          <w:szCs w:val="24"/>
        </w:rPr>
        <w:t xml:space="preserve">m. </w:t>
      </w:r>
      <w:r>
        <w:rPr>
          <w:bCs/>
          <w:iCs/>
          <w:sz w:val="24"/>
          <w:szCs w:val="24"/>
        </w:rPr>
        <w:t>Atunci când se prevăd goluri funcţionale în această porţiune</w:t>
      </w:r>
      <w:r>
        <w:rPr>
          <w:sz w:val="24"/>
          <w:szCs w:val="24"/>
        </w:rPr>
        <w:t xml:space="preserve">, pereții exteriori precum și golurile funcţionale din această porţiune trebuie protejate cu elemente  rezistente la foc conform </w:t>
      </w:r>
      <w:r>
        <w:rPr>
          <w:rStyle w:val="CaptiontabelChar"/>
        </w:rPr>
        <w:fldChar w:fldCharType="begin"/>
      </w:r>
      <w:r>
        <w:rPr>
          <w:rStyle w:val="CaptiontabelChar"/>
        </w:rPr>
        <w:instrText xml:space="preserve"> REF _Ref29305 \h </w:instrText>
      </w:r>
      <w:r>
        <w:rPr>
          <w:rStyle w:val="CaptiontabelChar"/>
        </w:rPr>
      </w:r>
      <w:r>
        <w:rPr>
          <w:rStyle w:val="CaptiontabelChar"/>
        </w:rPr>
        <w:fldChar w:fldCharType="separate"/>
      </w:r>
      <w:r>
        <w:t>Tabelul 9</w:t>
      </w:r>
      <w:r>
        <w:rPr>
          <w:rStyle w:val="CaptiontabelChar"/>
        </w:rPr>
        <w:fldChar w:fldCharType="end"/>
      </w:r>
      <w:r>
        <w:rPr>
          <w:sz w:val="24"/>
          <w:szCs w:val="24"/>
        </w:rPr>
        <w:t xml:space="preserve"> sau </w:t>
      </w:r>
      <w:r>
        <w:rPr>
          <w:rStyle w:val="CaptiontabelChar"/>
        </w:rPr>
        <w:fldChar w:fldCharType="begin"/>
      </w:r>
      <w:r>
        <w:rPr>
          <w:rStyle w:val="CaptiontabelChar"/>
        </w:rPr>
        <w:instrText xml:space="preserve"> REF _Ref29328 \h </w:instrText>
      </w:r>
      <w:r>
        <w:rPr>
          <w:rStyle w:val="CaptiontabelChar"/>
        </w:rPr>
      </w:r>
      <w:r>
        <w:rPr>
          <w:rStyle w:val="CaptiontabelChar"/>
        </w:rPr>
        <w:fldChar w:fldCharType="separate"/>
      </w:r>
      <w:r>
        <w:t>Tabelul 10</w:t>
      </w:r>
      <w:r>
        <w:rPr>
          <w:rStyle w:val="CaptiontabelChar"/>
        </w:rPr>
        <w:fldChar w:fldCharType="end"/>
      </w:r>
      <w:r>
        <w:rPr>
          <w:rStyle w:val="CaptiontabelChar"/>
        </w:rPr>
        <w:t>.</w:t>
      </w:r>
    </w:p>
    <w:p w14:paraId="148143DC" w14:textId="77777777" w:rsidR="001C08A5" w:rsidRDefault="001C08A5">
      <w:pPr>
        <w:pStyle w:val="Captiontabel"/>
      </w:pPr>
    </w:p>
    <w:p w14:paraId="3E1519DA" w14:textId="77777777" w:rsidR="001C08A5" w:rsidRDefault="00000000">
      <w:pPr>
        <w:pStyle w:val="Caption"/>
      </w:pPr>
      <w:bookmarkStart w:id="1059" w:name="_Ref29305"/>
      <w:bookmarkStart w:id="1060" w:name="_Toc162360059"/>
      <w:r>
        <w:lastRenderedPageBreak/>
        <w:t xml:space="preserve">Tabelul </w:t>
      </w:r>
      <w:r>
        <w:fldChar w:fldCharType="begin"/>
      </w:r>
      <w:r>
        <w:instrText xml:space="preserve"> SEQ Tabelul \* ARABIC </w:instrText>
      </w:r>
      <w:r>
        <w:fldChar w:fldCharType="separate"/>
      </w:r>
      <w:r>
        <w:t>9</w:t>
      </w:r>
      <w:r>
        <w:fldChar w:fldCharType="end"/>
      </w:r>
      <w:bookmarkStart w:id="1061" w:name="_Toc25390"/>
      <w:bookmarkStart w:id="1062" w:name="_Toc22502"/>
      <w:bookmarkStart w:id="1063" w:name="_Toc23045"/>
      <w:bookmarkStart w:id="1064" w:name="_Toc23616"/>
      <w:bookmarkStart w:id="1065" w:name="_Toc30034"/>
      <w:bookmarkStart w:id="1066" w:name="_Toc19214"/>
      <w:bookmarkStart w:id="1067" w:name="_Toc27413"/>
      <w:bookmarkStart w:id="1068" w:name="_Toc13444"/>
      <w:bookmarkStart w:id="1069" w:name="_Toc951"/>
      <w:bookmarkStart w:id="1070" w:name="_Toc25526"/>
      <w:bookmarkStart w:id="1071" w:name="_Toc18950"/>
      <w:bookmarkStart w:id="1072" w:name="_Toc30131"/>
      <w:bookmarkEnd w:id="1059"/>
      <w:r>
        <w:t xml:space="preserve">: Rezistența la foc a pereţilor din exterior și ale elementelor de închidere rezistente la foc ale golurilor funcţionale prevazute în pereţii din exterior amplasate la colţurile intrânde ale construcţiilor civile (cu regim parter, cu excepția clădirilor cu persoane care nu se pot evacua singure și clădirilor cu săli aglomerate) în formă de L, T sau U sub un unghi α, 90° </w:t>
      </w:r>
      <w:r>
        <w:rPr>
          <w:rFonts w:ascii="Arial" w:hAnsi="Arial" w:cs="Arial"/>
        </w:rPr>
        <w:t>≤</w:t>
      </w:r>
      <w:r>
        <w:rPr>
          <w:rFonts w:ascii="Arial" w:hAnsi="Arial" w:cs="Arial"/>
          <w:bCs/>
        </w:rPr>
        <w:t xml:space="preserve"> α </w:t>
      </w:r>
      <w:r>
        <w:rPr>
          <w:rFonts w:ascii="Arial" w:hAnsi="Arial" w:cs="Arial"/>
        </w:rPr>
        <w:t xml:space="preserve">&lt; </w:t>
      </w:r>
      <w:r>
        <w:t>135°, unde golurile din pereţii exteriori adiacenţi sunt dispuse astfel încât distanţa dintre ele este mai mică de 4 m</w:t>
      </w:r>
      <w:bookmarkEnd w:id="1060"/>
      <w:bookmarkEnd w:id="1061"/>
      <w:bookmarkEnd w:id="1062"/>
      <w:bookmarkEnd w:id="1063"/>
      <w:bookmarkEnd w:id="1064"/>
      <w:bookmarkEnd w:id="1065"/>
      <w:bookmarkEnd w:id="1066"/>
      <w:bookmarkEnd w:id="1067"/>
      <w:bookmarkEnd w:id="1068"/>
      <w:bookmarkEnd w:id="1069"/>
      <w:bookmarkEnd w:id="1070"/>
      <w:bookmarkEnd w:id="1071"/>
      <w:bookmarkEnd w:id="10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2"/>
        <w:gridCol w:w="3202"/>
        <w:gridCol w:w="2623"/>
        <w:gridCol w:w="1782"/>
      </w:tblGrid>
      <w:tr w:rsidR="001C08A5" w14:paraId="50EDE326" w14:textId="77777777">
        <w:trPr>
          <w:tblHeader/>
        </w:trPr>
        <w:tc>
          <w:tcPr>
            <w:tcW w:w="2036" w:type="dxa"/>
            <w:shd w:val="clear" w:color="auto" w:fill="BFBFBF"/>
            <w:vAlign w:val="center"/>
          </w:tcPr>
          <w:p w14:paraId="4A8D8C3F" w14:textId="77777777" w:rsidR="001C08A5" w:rsidRDefault="00000000">
            <w:pPr>
              <w:jc w:val="center"/>
              <w:rPr>
                <w:b/>
                <w:bCs/>
                <w:i/>
                <w:iCs/>
                <w:sz w:val="22"/>
                <w:szCs w:val="22"/>
              </w:rPr>
            </w:pPr>
            <w:bookmarkStart w:id="1073" w:name="_Hlk151834485"/>
            <w:r>
              <w:rPr>
                <w:b/>
                <w:bCs/>
                <w:i/>
                <w:iCs/>
                <w:sz w:val="22"/>
                <w:szCs w:val="22"/>
              </w:rPr>
              <w:t xml:space="preserve">În cazul pereţilor antifoc  care separă compartimentele de incendiu </w:t>
            </w:r>
          </w:p>
        </w:tc>
        <w:tc>
          <w:tcPr>
            <w:tcW w:w="3300" w:type="dxa"/>
            <w:shd w:val="clear" w:color="auto" w:fill="BFBFBF"/>
            <w:vAlign w:val="center"/>
          </w:tcPr>
          <w:p w14:paraId="334A34BD" w14:textId="77777777" w:rsidR="001C08A5" w:rsidRDefault="00000000">
            <w:pPr>
              <w:jc w:val="center"/>
              <w:rPr>
                <w:i/>
                <w:iCs/>
                <w:sz w:val="22"/>
                <w:szCs w:val="22"/>
              </w:rPr>
            </w:pPr>
            <w:r>
              <w:rPr>
                <w:b/>
                <w:i/>
                <w:iCs/>
                <w:sz w:val="22"/>
                <w:szCs w:val="22"/>
              </w:rPr>
              <w:t>Densitatea sarcinii termice</w:t>
            </w:r>
            <w:r>
              <w:rPr>
                <w:b/>
                <w:bCs/>
                <w:i/>
                <w:iCs/>
                <w:sz w:val="22"/>
                <w:szCs w:val="22"/>
              </w:rPr>
              <w:t>(q) din încăperi perimetrale (pe o distanță mai mică de 4 m)/ construcție (MJ/m</w:t>
            </w:r>
            <w:r>
              <w:rPr>
                <w:b/>
                <w:bCs/>
                <w:i/>
                <w:iCs/>
                <w:sz w:val="22"/>
                <w:szCs w:val="22"/>
                <w:vertAlign w:val="superscript"/>
              </w:rPr>
              <w:t>2</w:t>
            </w:r>
            <w:r>
              <w:rPr>
                <w:b/>
                <w:bCs/>
                <w:i/>
                <w:iCs/>
                <w:sz w:val="22"/>
                <w:szCs w:val="22"/>
              </w:rPr>
              <w:t>)</w:t>
            </w:r>
          </w:p>
        </w:tc>
        <w:tc>
          <w:tcPr>
            <w:tcW w:w="2701" w:type="dxa"/>
            <w:shd w:val="clear" w:color="auto" w:fill="BFBFBF"/>
            <w:vAlign w:val="center"/>
          </w:tcPr>
          <w:p w14:paraId="40D6070F" w14:textId="77777777" w:rsidR="001C08A5" w:rsidRDefault="00000000">
            <w:pPr>
              <w:jc w:val="center"/>
              <w:rPr>
                <w:i/>
                <w:iCs/>
                <w:sz w:val="22"/>
                <w:szCs w:val="22"/>
              </w:rPr>
            </w:pPr>
            <w:r>
              <w:rPr>
                <w:b/>
                <w:i/>
                <w:iCs/>
                <w:sz w:val="22"/>
                <w:szCs w:val="22"/>
              </w:rPr>
              <w:t xml:space="preserve">Rezistenţa la foc (EI/REI) minimă a pereţilor din exterior </w:t>
            </w:r>
            <w:r>
              <w:rPr>
                <w:i/>
                <w:iCs/>
                <w:sz w:val="22"/>
                <w:szCs w:val="22"/>
              </w:rPr>
              <w:t xml:space="preserve">- </w:t>
            </w:r>
            <w:r>
              <w:rPr>
                <w:b/>
                <w:bCs/>
                <w:i/>
                <w:iCs/>
                <w:sz w:val="22"/>
                <w:szCs w:val="22"/>
              </w:rPr>
              <w:t>pe o distanță de minimum 4 m</w:t>
            </w:r>
          </w:p>
        </w:tc>
        <w:tc>
          <w:tcPr>
            <w:tcW w:w="1815" w:type="dxa"/>
            <w:shd w:val="clear" w:color="auto" w:fill="BFBFBF"/>
            <w:vAlign w:val="center"/>
          </w:tcPr>
          <w:p w14:paraId="6DD9A077" w14:textId="77777777" w:rsidR="001C08A5" w:rsidRDefault="00000000">
            <w:pPr>
              <w:jc w:val="center"/>
              <w:rPr>
                <w:b/>
                <w:i/>
                <w:iCs/>
                <w:sz w:val="22"/>
                <w:szCs w:val="22"/>
              </w:rPr>
            </w:pPr>
            <w:r>
              <w:rPr>
                <w:b/>
                <w:i/>
                <w:iCs/>
                <w:sz w:val="22"/>
                <w:szCs w:val="22"/>
              </w:rPr>
              <w:t xml:space="preserve">Elementul de inchidere rezistent la foc </w:t>
            </w:r>
            <w:r>
              <w:rPr>
                <w:b/>
                <w:i/>
                <w:iCs/>
                <w:vertAlign w:val="superscript"/>
              </w:rPr>
              <w:t>2)</w:t>
            </w:r>
          </w:p>
        </w:tc>
      </w:tr>
      <w:tr w:rsidR="001C08A5" w14:paraId="0F80C2F8" w14:textId="77777777">
        <w:trPr>
          <w:tblHeader/>
        </w:trPr>
        <w:tc>
          <w:tcPr>
            <w:tcW w:w="2036" w:type="dxa"/>
            <w:shd w:val="clear" w:color="auto" w:fill="BFBFBF"/>
            <w:vAlign w:val="center"/>
          </w:tcPr>
          <w:p w14:paraId="513014A0" w14:textId="77777777" w:rsidR="001C08A5" w:rsidRDefault="00000000">
            <w:pPr>
              <w:jc w:val="center"/>
              <w:rPr>
                <w:b/>
                <w:bCs/>
                <w:i/>
                <w:iCs/>
                <w:sz w:val="22"/>
                <w:szCs w:val="22"/>
              </w:rPr>
            </w:pPr>
            <w:r>
              <w:rPr>
                <w:b/>
                <w:bCs/>
                <w:i/>
                <w:iCs/>
                <w:sz w:val="22"/>
                <w:szCs w:val="22"/>
              </w:rPr>
              <w:t>1</w:t>
            </w:r>
          </w:p>
        </w:tc>
        <w:tc>
          <w:tcPr>
            <w:tcW w:w="3300" w:type="dxa"/>
            <w:shd w:val="clear" w:color="auto" w:fill="BFBFBF"/>
            <w:vAlign w:val="center"/>
          </w:tcPr>
          <w:p w14:paraId="3C942693" w14:textId="77777777" w:rsidR="001C08A5" w:rsidRDefault="00000000">
            <w:pPr>
              <w:jc w:val="center"/>
              <w:rPr>
                <w:b/>
                <w:bCs/>
                <w:i/>
                <w:iCs/>
                <w:sz w:val="22"/>
                <w:szCs w:val="22"/>
              </w:rPr>
            </w:pPr>
            <w:r>
              <w:rPr>
                <w:b/>
                <w:bCs/>
                <w:i/>
                <w:iCs/>
                <w:sz w:val="22"/>
                <w:szCs w:val="22"/>
              </w:rPr>
              <w:t>2</w:t>
            </w:r>
          </w:p>
        </w:tc>
        <w:tc>
          <w:tcPr>
            <w:tcW w:w="2701" w:type="dxa"/>
            <w:shd w:val="clear" w:color="auto" w:fill="BFBFBF"/>
            <w:vAlign w:val="center"/>
          </w:tcPr>
          <w:p w14:paraId="1A98B730" w14:textId="77777777" w:rsidR="001C08A5" w:rsidRDefault="00000000">
            <w:pPr>
              <w:jc w:val="center"/>
              <w:rPr>
                <w:b/>
                <w:i/>
                <w:iCs/>
                <w:sz w:val="22"/>
                <w:szCs w:val="22"/>
              </w:rPr>
            </w:pPr>
            <w:r>
              <w:rPr>
                <w:b/>
                <w:bCs/>
                <w:i/>
                <w:iCs/>
                <w:sz w:val="22"/>
                <w:szCs w:val="22"/>
              </w:rPr>
              <w:t>3</w:t>
            </w:r>
          </w:p>
        </w:tc>
        <w:tc>
          <w:tcPr>
            <w:tcW w:w="1815" w:type="dxa"/>
            <w:shd w:val="clear" w:color="auto" w:fill="BFBFBF"/>
            <w:vAlign w:val="center"/>
          </w:tcPr>
          <w:p w14:paraId="6FB8617C" w14:textId="77777777" w:rsidR="001C08A5" w:rsidRDefault="00000000">
            <w:pPr>
              <w:jc w:val="center"/>
              <w:rPr>
                <w:b/>
                <w:i/>
                <w:iCs/>
                <w:sz w:val="22"/>
                <w:szCs w:val="22"/>
              </w:rPr>
            </w:pPr>
            <w:r>
              <w:rPr>
                <w:b/>
                <w:i/>
                <w:iCs/>
                <w:sz w:val="22"/>
                <w:szCs w:val="22"/>
              </w:rPr>
              <w:t>4</w:t>
            </w:r>
          </w:p>
        </w:tc>
      </w:tr>
      <w:tr w:rsidR="001C08A5" w14:paraId="18BD8CD8" w14:textId="77777777">
        <w:trPr>
          <w:trHeight w:val="237"/>
        </w:trPr>
        <w:tc>
          <w:tcPr>
            <w:tcW w:w="2036" w:type="dxa"/>
            <w:vMerge w:val="restart"/>
            <w:shd w:val="clear" w:color="auto" w:fill="auto"/>
            <w:vAlign w:val="center"/>
          </w:tcPr>
          <w:p w14:paraId="59C44D61" w14:textId="77777777" w:rsidR="001C08A5" w:rsidRDefault="00000000">
            <w:pPr>
              <w:pStyle w:val="Contenutotabellacentrato"/>
              <w:keepNext/>
              <w:jc w:val="both"/>
              <w:rPr>
                <w:i/>
                <w:iCs/>
                <w:sz w:val="22"/>
                <w:szCs w:val="22"/>
              </w:rPr>
            </w:pPr>
            <w:r>
              <w:rPr>
                <w:i/>
                <w:iCs/>
                <w:sz w:val="22"/>
                <w:szCs w:val="22"/>
              </w:rPr>
              <w:t xml:space="preserve">Pentru construcțiile cu regim de înălțime </w:t>
            </w:r>
          </w:p>
          <w:p w14:paraId="5AD95F4C" w14:textId="77777777" w:rsidR="001C08A5" w:rsidRDefault="00000000">
            <w:pPr>
              <w:pStyle w:val="Contenutotabellacentrato"/>
              <w:keepNext/>
              <w:jc w:val="both"/>
              <w:rPr>
                <w:b/>
                <w:bCs/>
                <w:i/>
                <w:iCs/>
                <w:sz w:val="22"/>
                <w:szCs w:val="22"/>
              </w:rPr>
            </w:pPr>
            <w:r>
              <w:rPr>
                <w:i/>
                <w:iCs/>
                <w:sz w:val="22"/>
                <w:szCs w:val="22"/>
              </w:rPr>
              <w:t>parter</w:t>
            </w:r>
            <w:r>
              <w:rPr>
                <w:b/>
                <w:i/>
                <w:iCs/>
                <w:vertAlign w:val="superscript"/>
              </w:rPr>
              <w:t>1)</w:t>
            </w:r>
          </w:p>
        </w:tc>
        <w:tc>
          <w:tcPr>
            <w:tcW w:w="3300" w:type="dxa"/>
            <w:shd w:val="clear" w:color="auto" w:fill="auto"/>
            <w:vAlign w:val="center"/>
          </w:tcPr>
          <w:p w14:paraId="6029D760" w14:textId="77777777" w:rsidR="001C08A5" w:rsidRDefault="00000000">
            <w:pPr>
              <w:pStyle w:val="Contenutotabellacentrato"/>
              <w:rPr>
                <w:b/>
                <w:bCs/>
                <w:i/>
                <w:iCs/>
                <w:sz w:val="22"/>
                <w:szCs w:val="22"/>
              </w:rPr>
            </w:pPr>
            <w:r>
              <w:rPr>
                <w:b/>
                <w:bCs/>
                <w:i/>
                <w:iCs/>
                <w:sz w:val="22"/>
                <w:szCs w:val="22"/>
              </w:rPr>
              <w:t xml:space="preserve">pentru q </w:t>
            </w:r>
            <w:r>
              <w:rPr>
                <w:rFonts w:hint="eastAsia"/>
                <w:b/>
                <w:bCs/>
                <w:i/>
                <w:iCs/>
                <w:sz w:val="22"/>
                <w:szCs w:val="22"/>
              </w:rPr>
              <w:t>≤</w:t>
            </w:r>
            <w:r>
              <w:rPr>
                <w:b/>
                <w:bCs/>
                <w:i/>
                <w:iCs/>
                <w:sz w:val="22"/>
                <w:szCs w:val="22"/>
              </w:rPr>
              <w:t xml:space="preserve"> 420 MJ/m</w:t>
            </w:r>
            <w:r>
              <w:rPr>
                <w:b/>
                <w:bCs/>
                <w:i/>
                <w:iCs/>
                <w:sz w:val="22"/>
                <w:szCs w:val="22"/>
                <w:vertAlign w:val="superscript"/>
              </w:rPr>
              <w:t>2</w:t>
            </w:r>
          </w:p>
        </w:tc>
        <w:tc>
          <w:tcPr>
            <w:tcW w:w="2701" w:type="dxa"/>
            <w:shd w:val="clear" w:color="auto" w:fill="auto"/>
            <w:vAlign w:val="center"/>
          </w:tcPr>
          <w:p w14:paraId="403865E0" w14:textId="77777777" w:rsidR="001C08A5" w:rsidRDefault="00000000">
            <w:pPr>
              <w:pStyle w:val="Contenutotabellacentrato"/>
              <w:rPr>
                <w:b/>
                <w:bCs/>
                <w:i/>
                <w:iCs/>
                <w:sz w:val="22"/>
                <w:szCs w:val="22"/>
              </w:rPr>
            </w:pPr>
            <w:r>
              <w:rPr>
                <w:b/>
                <w:bCs/>
                <w:i/>
                <w:iCs/>
                <w:sz w:val="22"/>
                <w:szCs w:val="22"/>
              </w:rPr>
              <w:t xml:space="preserve">EI 30/REI 30 </w:t>
            </w:r>
          </w:p>
          <w:p w14:paraId="4EA920B6" w14:textId="77777777" w:rsidR="001C08A5" w:rsidRDefault="00000000">
            <w:pPr>
              <w:pStyle w:val="Contenutotabellacentrato"/>
              <w:rPr>
                <w:b/>
                <w:bCs/>
                <w:i/>
                <w:iCs/>
                <w:sz w:val="22"/>
                <w:szCs w:val="22"/>
              </w:rPr>
            </w:pPr>
            <w:r>
              <w:rPr>
                <w:b/>
                <w:bCs/>
                <w:i/>
                <w:iCs/>
                <w:sz w:val="22"/>
                <w:szCs w:val="22"/>
              </w:rPr>
              <w:t>(EI 15/REI 15 *)</w:t>
            </w:r>
          </w:p>
        </w:tc>
        <w:tc>
          <w:tcPr>
            <w:tcW w:w="1815" w:type="dxa"/>
            <w:shd w:val="clear" w:color="auto" w:fill="auto"/>
            <w:vAlign w:val="center"/>
          </w:tcPr>
          <w:p w14:paraId="4958B3E4" w14:textId="77777777" w:rsidR="001C08A5" w:rsidRDefault="00000000">
            <w:pPr>
              <w:pStyle w:val="Contenutotabellacentrato"/>
              <w:rPr>
                <w:b/>
                <w:i/>
                <w:iCs/>
                <w:sz w:val="22"/>
                <w:szCs w:val="22"/>
              </w:rPr>
            </w:pPr>
            <w:r>
              <w:rPr>
                <w:b/>
                <w:i/>
                <w:iCs/>
                <w:sz w:val="22"/>
                <w:szCs w:val="22"/>
              </w:rPr>
              <w:t>EI 15</w:t>
            </w:r>
          </w:p>
          <w:p w14:paraId="6AFA207F" w14:textId="77777777" w:rsidR="001C08A5" w:rsidRDefault="00000000">
            <w:pPr>
              <w:pStyle w:val="Contenutotabellacentrato"/>
              <w:rPr>
                <w:b/>
                <w:i/>
                <w:iCs/>
                <w:sz w:val="22"/>
                <w:szCs w:val="22"/>
              </w:rPr>
            </w:pPr>
            <w:r>
              <w:rPr>
                <w:b/>
                <w:i/>
                <w:iCs/>
                <w:sz w:val="22"/>
                <w:szCs w:val="22"/>
              </w:rPr>
              <w:t>(fixă)</w:t>
            </w:r>
          </w:p>
        </w:tc>
      </w:tr>
      <w:tr w:rsidR="001C08A5" w14:paraId="6AC53EF7" w14:textId="77777777">
        <w:tc>
          <w:tcPr>
            <w:tcW w:w="2036" w:type="dxa"/>
            <w:vMerge/>
            <w:shd w:val="clear" w:color="auto" w:fill="auto"/>
            <w:vAlign w:val="center"/>
          </w:tcPr>
          <w:p w14:paraId="3AD0F2BE" w14:textId="77777777" w:rsidR="001C08A5" w:rsidRDefault="001C08A5">
            <w:pPr>
              <w:pStyle w:val="Contenutotabellacentrato"/>
              <w:keepNext/>
              <w:rPr>
                <w:b/>
                <w:bCs/>
                <w:i/>
                <w:iCs/>
                <w:sz w:val="22"/>
                <w:szCs w:val="22"/>
              </w:rPr>
            </w:pPr>
          </w:p>
        </w:tc>
        <w:tc>
          <w:tcPr>
            <w:tcW w:w="3300" w:type="dxa"/>
            <w:shd w:val="clear" w:color="auto" w:fill="auto"/>
            <w:vAlign w:val="center"/>
          </w:tcPr>
          <w:p w14:paraId="7CFD264E" w14:textId="77777777" w:rsidR="001C08A5" w:rsidRDefault="00000000">
            <w:pPr>
              <w:pStyle w:val="Contenutotabellacentrato"/>
              <w:rPr>
                <w:b/>
                <w:bCs/>
                <w:i/>
                <w:iCs/>
                <w:sz w:val="22"/>
                <w:szCs w:val="22"/>
              </w:rPr>
            </w:pPr>
            <w:r>
              <w:rPr>
                <w:b/>
                <w:bCs/>
                <w:i/>
                <w:iCs/>
                <w:sz w:val="22"/>
                <w:szCs w:val="22"/>
              </w:rPr>
              <w:t>420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630 MJ/m</w:t>
            </w:r>
            <w:r>
              <w:rPr>
                <w:b/>
                <w:bCs/>
                <w:i/>
                <w:iCs/>
                <w:sz w:val="22"/>
                <w:szCs w:val="22"/>
                <w:vertAlign w:val="superscript"/>
              </w:rPr>
              <w:t>2</w:t>
            </w:r>
          </w:p>
        </w:tc>
        <w:tc>
          <w:tcPr>
            <w:tcW w:w="2701" w:type="dxa"/>
            <w:shd w:val="clear" w:color="auto" w:fill="auto"/>
            <w:vAlign w:val="center"/>
          </w:tcPr>
          <w:p w14:paraId="16B382E3" w14:textId="77777777" w:rsidR="001C08A5" w:rsidRDefault="00000000">
            <w:pPr>
              <w:pStyle w:val="Contenutotabellacentrato"/>
              <w:rPr>
                <w:b/>
                <w:bCs/>
                <w:i/>
                <w:iCs/>
                <w:sz w:val="22"/>
                <w:szCs w:val="22"/>
              </w:rPr>
            </w:pPr>
            <w:r>
              <w:rPr>
                <w:b/>
                <w:bCs/>
                <w:i/>
                <w:iCs/>
                <w:sz w:val="22"/>
                <w:szCs w:val="22"/>
              </w:rPr>
              <w:t>EI 45/REI 45</w:t>
            </w:r>
          </w:p>
          <w:p w14:paraId="7FB0FE60" w14:textId="77777777" w:rsidR="001C08A5" w:rsidRDefault="00000000">
            <w:pPr>
              <w:pStyle w:val="Contenutotabellacentrato"/>
              <w:rPr>
                <w:b/>
                <w:bCs/>
                <w:i/>
                <w:iCs/>
                <w:sz w:val="22"/>
                <w:szCs w:val="22"/>
              </w:rPr>
            </w:pPr>
            <w:r>
              <w:rPr>
                <w:b/>
                <w:bCs/>
                <w:i/>
                <w:iCs/>
                <w:sz w:val="22"/>
                <w:szCs w:val="22"/>
              </w:rPr>
              <w:t>(EI 30/REI 30 *)</w:t>
            </w:r>
          </w:p>
        </w:tc>
        <w:tc>
          <w:tcPr>
            <w:tcW w:w="1815" w:type="dxa"/>
            <w:shd w:val="clear" w:color="auto" w:fill="auto"/>
            <w:vAlign w:val="center"/>
          </w:tcPr>
          <w:p w14:paraId="441BA6C1" w14:textId="77777777" w:rsidR="001C08A5" w:rsidRDefault="00000000">
            <w:pPr>
              <w:pStyle w:val="Contenutotabellacentrato"/>
              <w:rPr>
                <w:b/>
                <w:i/>
                <w:iCs/>
                <w:sz w:val="22"/>
                <w:szCs w:val="22"/>
              </w:rPr>
            </w:pPr>
            <w:r>
              <w:rPr>
                <w:b/>
                <w:i/>
                <w:iCs/>
                <w:sz w:val="22"/>
                <w:szCs w:val="22"/>
              </w:rPr>
              <w:t>EI 30</w:t>
            </w:r>
          </w:p>
          <w:p w14:paraId="73D919F2" w14:textId="77777777" w:rsidR="001C08A5" w:rsidRDefault="00000000">
            <w:pPr>
              <w:pStyle w:val="Contenutotabellacentrato"/>
              <w:rPr>
                <w:b/>
                <w:i/>
                <w:iCs/>
                <w:sz w:val="22"/>
                <w:szCs w:val="22"/>
              </w:rPr>
            </w:pPr>
            <w:r>
              <w:rPr>
                <w:b/>
                <w:i/>
                <w:iCs/>
              </w:rPr>
              <w:t>(EI 15*)</w:t>
            </w:r>
          </w:p>
        </w:tc>
      </w:tr>
      <w:tr w:rsidR="001C08A5" w14:paraId="49D1C3EB" w14:textId="77777777">
        <w:tc>
          <w:tcPr>
            <w:tcW w:w="2036" w:type="dxa"/>
            <w:vMerge/>
            <w:shd w:val="clear" w:color="auto" w:fill="auto"/>
            <w:vAlign w:val="center"/>
          </w:tcPr>
          <w:p w14:paraId="2C0D72DB" w14:textId="77777777" w:rsidR="001C08A5" w:rsidRDefault="001C08A5">
            <w:pPr>
              <w:pStyle w:val="Contenutotabellacentrato"/>
              <w:keepNext/>
              <w:rPr>
                <w:b/>
                <w:bCs/>
                <w:i/>
                <w:iCs/>
                <w:sz w:val="22"/>
                <w:szCs w:val="22"/>
              </w:rPr>
            </w:pPr>
          </w:p>
        </w:tc>
        <w:tc>
          <w:tcPr>
            <w:tcW w:w="3300" w:type="dxa"/>
            <w:shd w:val="clear" w:color="auto" w:fill="auto"/>
            <w:vAlign w:val="center"/>
          </w:tcPr>
          <w:p w14:paraId="1AFC0F68" w14:textId="77777777" w:rsidR="001C08A5" w:rsidRDefault="00000000">
            <w:pPr>
              <w:pStyle w:val="Contenutotabellacentrato"/>
              <w:rPr>
                <w:b/>
                <w:bCs/>
                <w:i/>
                <w:iCs/>
                <w:sz w:val="22"/>
                <w:szCs w:val="22"/>
              </w:rPr>
            </w:pPr>
            <w:r>
              <w:rPr>
                <w:b/>
                <w:bCs/>
                <w:i/>
                <w:iCs/>
                <w:sz w:val="22"/>
                <w:szCs w:val="22"/>
              </w:rPr>
              <w:t>630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840 MJ/m</w:t>
            </w:r>
            <w:r>
              <w:rPr>
                <w:b/>
                <w:bCs/>
                <w:i/>
                <w:iCs/>
                <w:sz w:val="22"/>
                <w:szCs w:val="22"/>
                <w:vertAlign w:val="superscript"/>
              </w:rPr>
              <w:t>2</w:t>
            </w:r>
          </w:p>
        </w:tc>
        <w:tc>
          <w:tcPr>
            <w:tcW w:w="2701" w:type="dxa"/>
            <w:shd w:val="clear" w:color="auto" w:fill="auto"/>
            <w:vAlign w:val="center"/>
          </w:tcPr>
          <w:p w14:paraId="52E7C612" w14:textId="77777777" w:rsidR="001C08A5" w:rsidRDefault="00000000">
            <w:pPr>
              <w:pStyle w:val="Contenutotabellacentrato"/>
              <w:rPr>
                <w:b/>
                <w:bCs/>
                <w:i/>
                <w:iCs/>
                <w:sz w:val="22"/>
                <w:szCs w:val="22"/>
              </w:rPr>
            </w:pPr>
            <w:r>
              <w:rPr>
                <w:b/>
                <w:bCs/>
                <w:i/>
                <w:iCs/>
                <w:sz w:val="22"/>
                <w:szCs w:val="22"/>
              </w:rPr>
              <w:t xml:space="preserve">EI 60/REI 60 </w:t>
            </w:r>
          </w:p>
          <w:p w14:paraId="20A690B5" w14:textId="77777777" w:rsidR="001C08A5" w:rsidRDefault="00000000">
            <w:pPr>
              <w:pStyle w:val="Contenutotabellacentrato"/>
              <w:rPr>
                <w:b/>
                <w:bCs/>
                <w:i/>
                <w:iCs/>
                <w:sz w:val="22"/>
                <w:szCs w:val="22"/>
              </w:rPr>
            </w:pPr>
            <w:r>
              <w:rPr>
                <w:b/>
                <w:bCs/>
                <w:i/>
                <w:iCs/>
                <w:sz w:val="22"/>
                <w:szCs w:val="22"/>
              </w:rPr>
              <w:t>(EI 45/REI 45 *)</w:t>
            </w:r>
          </w:p>
        </w:tc>
        <w:tc>
          <w:tcPr>
            <w:tcW w:w="1815" w:type="dxa"/>
            <w:shd w:val="clear" w:color="auto" w:fill="auto"/>
            <w:vAlign w:val="center"/>
          </w:tcPr>
          <w:p w14:paraId="310A465F" w14:textId="77777777" w:rsidR="001C08A5" w:rsidRDefault="00000000">
            <w:pPr>
              <w:pStyle w:val="Contenutotabellacentrato"/>
              <w:rPr>
                <w:b/>
                <w:i/>
                <w:iCs/>
                <w:sz w:val="22"/>
                <w:szCs w:val="22"/>
              </w:rPr>
            </w:pPr>
            <w:r>
              <w:rPr>
                <w:b/>
                <w:i/>
                <w:iCs/>
                <w:sz w:val="22"/>
                <w:szCs w:val="22"/>
              </w:rPr>
              <w:t>EI 45</w:t>
            </w:r>
          </w:p>
          <w:p w14:paraId="723A8373" w14:textId="77777777" w:rsidR="001C08A5" w:rsidRDefault="00000000">
            <w:pPr>
              <w:pStyle w:val="Contenutotabellacentrato"/>
              <w:rPr>
                <w:b/>
                <w:i/>
                <w:iCs/>
                <w:sz w:val="22"/>
                <w:szCs w:val="22"/>
              </w:rPr>
            </w:pPr>
            <w:r>
              <w:rPr>
                <w:b/>
                <w:i/>
                <w:iCs/>
              </w:rPr>
              <w:t>(EI 30*)</w:t>
            </w:r>
          </w:p>
        </w:tc>
      </w:tr>
      <w:tr w:rsidR="001C08A5" w14:paraId="62E8FBF6" w14:textId="77777777">
        <w:tc>
          <w:tcPr>
            <w:tcW w:w="2036" w:type="dxa"/>
            <w:vMerge/>
            <w:shd w:val="clear" w:color="auto" w:fill="auto"/>
            <w:vAlign w:val="center"/>
          </w:tcPr>
          <w:p w14:paraId="0F55F301" w14:textId="77777777" w:rsidR="001C08A5" w:rsidRDefault="001C08A5">
            <w:pPr>
              <w:pStyle w:val="Contenutotabellacentrato"/>
              <w:keepNext/>
              <w:rPr>
                <w:b/>
                <w:bCs/>
                <w:i/>
                <w:iCs/>
                <w:sz w:val="22"/>
                <w:szCs w:val="22"/>
              </w:rPr>
            </w:pPr>
          </w:p>
        </w:tc>
        <w:tc>
          <w:tcPr>
            <w:tcW w:w="3300" w:type="dxa"/>
            <w:shd w:val="clear" w:color="auto" w:fill="auto"/>
            <w:vAlign w:val="center"/>
          </w:tcPr>
          <w:p w14:paraId="6F581EAA" w14:textId="77777777" w:rsidR="001C08A5" w:rsidRDefault="00000000">
            <w:pPr>
              <w:pStyle w:val="Contenutotabellacentrato"/>
              <w:rPr>
                <w:b/>
                <w:bCs/>
                <w:i/>
                <w:iCs/>
                <w:sz w:val="22"/>
                <w:szCs w:val="22"/>
              </w:rPr>
            </w:pPr>
            <w:r>
              <w:rPr>
                <w:b/>
                <w:bCs/>
                <w:i/>
                <w:iCs/>
                <w:sz w:val="22"/>
                <w:szCs w:val="22"/>
              </w:rPr>
              <w:t>840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1 680 MJ/m</w:t>
            </w:r>
            <w:r>
              <w:rPr>
                <w:b/>
                <w:bCs/>
                <w:i/>
                <w:iCs/>
                <w:sz w:val="22"/>
                <w:szCs w:val="22"/>
                <w:vertAlign w:val="superscript"/>
              </w:rPr>
              <w:t>2</w:t>
            </w:r>
          </w:p>
        </w:tc>
        <w:tc>
          <w:tcPr>
            <w:tcW w:w="2701" w:type="dxa"/>
            <w:shd w:val="clear" w:color="auto" w:fill="auto"/>
            <w:vAlign w:val="center"/>
          </w:tcPr>
          <w:p w14:paraId="229D4D88" w14:textId="77777777" w:rsidR="001C08A5" w:rsidRDefault="00000000">
            <w:pPr>
              <w:pStyle w:val="Contenutotabellacentrato"/>
              <w:rPr>
                <w:b/>
                <w:bCs/>
                <w:i/>
                <w:iCs/>
                <w:sz w:val="22"/>
                <w:szCs w:val="22"/>
              </w:rPr>
            </w:pPr>
            <w:r>
              <w:rPr>
                <w:b/>
                <w:bCs/>
                <w:i/>
                <w:iCs/>
                <w:sz w:val="22"/>
                <w:szCs w:val="22"/>
              </w:rPr>
              <w:t xml:space="preserve">EI 90/REI 90 </w:t>
            </w:r>
          </w:p>
          <w:p w14:paraId="07B411EF" w14:textId="77777777" w:rsidR="001C08A5" w:rsidRDefault="00000000">
            <w:pPr>
              <w:pStyle w:val="Contenutotabellacentrato"/>
              <w:rPr>
                <w:b/>
                <w:bCs/>
                <w:i/>
                <w:iCs/>
                <w:sz w:val="22"/>
                <w:szCs w:val="22"/>
              </w:rPr>
            </w:pPr>
            <w:r>
              <w:rPr>
                <w:b/>
                <w:bCs/>
                <w:i/>
                <w:iCs/>
                <w:sz w:val="22"/>
                <w:szCs w:val="22"/>
              </w:rPr>
              <w:t>(EI 60/REI 60 *)</w:t>
            </w:r>
          </w:p>
        </w:tc>
        <w:tc>
          <w:tcPr>
            <w:tcW w:w="1815" w:type="dxa"/>
            <w:shd w:val="clear" w:color="auto" w:fill="auto"/>
            <w:vAlign w:val="center"/>
          </w:tcPr>
          <w:p w14:paraId="2220A1CB" w14:textId="77777777" w:rsidR="001C08A5" w:rsidRDefault="00000000">
            <w:pPr>
              <w:pStyle w:val="Contenutotabellacentrato"/>
              <w:rPr>
                <w:b/>
                <w:i/>
                <w:iCs/>
                <w:sz w:val="22"/>
                <w:szCs w:val="22"/>
              </w:rPr>
            </w:pPr>
            <w:r>
              <w:rPr>
                <w:b/>
                <w:i/>
                <w:iCs/>
                <w:sz w:val="22"/>
                <w:szCs w:val="22"/>
              </w:rPr>
              <w:t>EI 60</w:t>
            </w:r>
          </w:p>
          <w:p w14:paraId="58EBA36A" w14:textId="77777777" w:rsidR="001C08A5" w:rsidRDefault="00000000">
            <w:pPr>
              <w:pStyle w:val="Contenutotabellacentrato"/>
              <w:rPr>
                <w:b/>
                <w:i/>
                <w:iCs/>
                <w:sz w:val="22"/>
                <w:szCs w:val="22"/>
              </w:rPr>
            </w:pPr>
            <w:r>
              <w:rPr>
                <w:b/>
                <w:i/>
                <w:iCs/>
              </w:rPr>
              <w:t>(EI 45*)</w:t>
            </w:r>
          </w:p>
        </w:tc>
      </w:tr>
      <w:tr w:rsidR="001C08A5" w14:paraId="5C3C1CA5" w14:textId="77777777">
        <w:tc>
          <w:tcPr>
            <w:tcW w:w="2036" w:type="dxa"/>
            <w:vMerge/>
            <w:shd w:val="clear" w:color="auto" w:fill="auto"/>
            <w:vAlign w:val="center"/>
          </w:tcPr>
          <w:p w14:paraId="1F170022" w14:textId="77777777" w:rsidR="001C08A5" w:rsidRDefault="001C08A5">
            <w:pPr>
              <w:pStyle w:val="Contenutotabellacentrato"/>
              <w:keepNext/>
              <w:rPr>
                <w:b/>
                <w:bCs/>
                <w:i/>
                <w:iCs/>
                <w:sz w:val="22"/>
                <w:szCs w:val="22"/>
              </w:rPr>
            </w:pPr>
          </w:p>
        </w:tc>
        <w:tc>
          <w:tcPr>
            <w:tcW w:w="3300" w:type="dxa"/>
            <w:shd w:val="clear" w:color="auto" w:fill="auto"/>
            <w:vAlign w:val="center"/>
          </w:tcPr>
          <w:p w14:paraId="506CE42E" w14:textId="77777777" w:rsidR="001C08A5" w:rsidRDefault="00000000">
            <w:pPr>
              <w:pStyle w:val="Contenutotabellacentrato"/>
              <w:rPr>
                <w:b/>
                <w:bCs/>
                <w:i/>
                <w:iCs/>
                <w:sz w:val="22"/>
                <w:szCs w:val="22"/>
              </w:rPr>
            </w:pPr>
            <w:r>
              <w:rPr>
                <w:b/>
                <w:bCs/>
                <w:i/>
                <w:iCs/>
                <w:sz w:val="22"/>
                <w:szCs w:val="22"/>
              </w:rPr>
              <w:t>q &gt; 1 680 MJ/m</w:t>
            </w:r>
            <w:r>
              <w:rPr>
                <w:b/>
                <w:bCs/>
                <w:i/>
                <w:iCs/>
                <w:sz w:val="22"/>
                <w:szCs w:val="22"/>
                <w:vertAlign w:val="superscript"/>
              </w:rPr>
              <w:t xml:space="preserve">2 </w:t>
            </w:r>
            <w:r>
              <w:rPr>
                <w:i/>
                <w:iCs/>
                <w:sz w:val="22"/>
                <w:szCs w:val="22"/>
              </w:rPr>
              <w:t>şi/sau există pericol de explozie volumetrică)</w:t>
            </w:r>
          </w:p>
        </w:tc>
        <w:tc>
          <w:tcPr>
            <w:tcW w:w="2701" w:type="dxa"/>
            <w:shd w:val="clear" w:color="auto" w:fill="auto"/>
            <w:vAlign w:val="center"/>
          </w:tcPr>
          <w:p w14:paraId="7C7A8BA7" w14:textId="77777777" w:rsidR="001C08A5" w:rsidRDefault="00000000">
            <w:pPr>
              <w:pStyle w:val="Contenutotabellacentrato"/>
              <w:rPr>
                <w:b/>
                <w:bCs/>
                <w:i/>
                <w:iCs/>
                <w:sz w:val="22"/>
                <w:szCs w:val="22"/>
              </w:rPr>
            </w:pPr>
            <w:r>
              <w:rPr>
                <w:b/>
                <w:bCs/>
                <w:i/>
                <w:iCs/>
                <w:sz w:val="22"/>
                <w:szCs w:val="22"/>
              </w:rPr>
              <w:t xml:space="preserve">EI 120/REI 120 </w:t>
            </w:r>
          </w:p>
          <w:p w14:paraId="044C88CC" w14:textId="77777777" w:rsidR="001C08A5" w:rsidRDefault="00000000">
            <w:pPr>
              <w:pStyle w:val="Contenutotabellacentrato"/>
              <w:rPr>
                <w:b/>
                <w:bCs/>
                <w:i/>
                <w:iCs/>
                <w:sz w:val="22"/>
                <w:szCs w:val="22"/>
              </w:rPr>
            </w:pPr>
            <w:r>
              <w:rPr>
                <w:b/>
                <w:bCs/>
                <w:i/>
                <w:iCs/>
                <w:sz w:val="22"/>
                <w:szCs w:val="22"/>
              </w:rPr>
              <w:t>(EI 90/REI 90 *)</w:t>
            </w:r>
          </w:p>
        </w:tc>
        <w:tc>
          <w:tcPr>
            <w:tcW w:w="1815" w:type="dxa"/>
            <w:shd w:val="clear" w:color="auto" w:fill="auto"/>
            <w:vAlign w:val="center"/>
          </w:tcPr>
          <w:p w14:paraId="0728A8CB" w14:textId="77777777" w:rsidR="001C08A5" w:rsidRDefault="00000000">
            <w:pPr>
              <w:pStyle w:val="Contenutotabellacentrato"/>
              <w:rPr>
                <w:b/>
                <w:i/>
                <w:iCs/>
                <w:sz w:val="22"/>
                <w:szCs w:val="22"/>
              </w:rPr>
            </w:pPr>
            <w:r>
              <w:rPr>
                <w:b/>
                <w:i/>
                <w:iCs/>
                <w:sz w:val="22"/>
                <w:szCs w:val="22"/>
              </w:rPr>
              <w:t>EI 90</w:t>
            </w:r>
          </w:p>
          <w:p w14:paraId="3DE02D71" w14:textId="77777777" w:rsidR="001C08A5" w:rsidRDefault="00000000">
            <w:pPr>
              <w:pStyle w:val="Contenutotabellacentrato"/>
              <w:rPr>
                <w:b/>
                <w:i/>
                <w:iCs/>
                <w:sz w:val="22"/>
                <w:szCs w:val="22"/>
              </w:rPr>
            </w:pPr>
            <w:r>
              <w:rPr>
                <w:b/>
                <w:i/>
                <w:iCs/>
              </w:rPr>
              <w:t>(EI 60*)</w:t>
            </w:r>
          </w:p>
        </w:tc>
      </w:tr>
    </w:tbl>
    <w:bookmarkEnd w:id="1073"/>
    <w:p w14:paraId="0923C28E" w14:textId="77777777" w:rsidR="001C08A5" w:rsidRDefault="00000000">
      <w:pPr>
        <w:jc w:val="both"/>
        <w:rPr>
          <w:b/>
          <w:i/>
          <w:iCs/>
          <w:sz w:val="22"/>
          <w:szCs w:val="22"/>
        </w:rPr>
      </w:pPr>
      <w:r>
        <w:rPr>
          <w:b/>
          <w:i/>
          <w:iCs/>
          <w:sz w:val="22"/>
          <w:szCs w:val="22"/>
        </w:rPr>
        <w:t>Observații:</w:t>
      </w:r>
    </w:p>
    <w:p w14:paraId="3BEB888B" w14:textId="77777777" w:rsidR="001C08A5" w:rsidRDefault="00000000">
      <w:pPr>
        <w:jc w:val="both"/>
        <w:rPr>
          <w:b/>
          <w:i/>
          <w:iCs/>
          <w:sz w:val="22"/>
          <w:szCs w:val="22"/>
        </w:rPr>
      </w:pPr>
      <w:r>
        <w:rPr>
          <w:b/>
          <w:i/>
          <w:iCs/>
          <w:sz w:val="22"/>
          <w:szCs w:val="22"/>
          <w:vertAlign w:val="superscript"/>
        </w:rPr>
        <w:t>1)</w:t>
      </w:r>
      <w:r>
        <w:rPr>
          <w:b/>
          <w:i/>
          <w:iCs/>
          <w:sz w:val="22"/>
          <w:szCs w:val="22"/>
        </w:rPr>
        <w:t xml:space="preserve">  - </w:t>
      </w:r>
      <w:r>
        <w:rPr>
          <w:bCs/>
          <w:i/>
          <w:iCs/>
          <w:sz w:val="22"/>
          <w:szCs w:val="22"/>
        </w:rPr>
        <w:t>Se referă la ”</w:t>
      </w:r>
      <w:r>
        <w:rPr>
          <w:i/>
          <w:iCs/>
          <w:sz w:val="22"/>
          <w:szCs w:val="22"/>
        </w:rPr>
        <w:t>Pereţi antifoc pentru construcțiile cu regim de înălțime parter</w:t>
      </w:r>
      <w:r>
        <w:rPr>
          <w:bCs/>
          <w:i/>
          <w:iCs/>
          <w:sz w:val="22"/>
          <w:szCs w:val="22"/>
        </w:rPr>
        <w:t xml:space="preserve">” așa cum sunt definiți la </w:t>
      </w:r>
      <w:r>
        <w:rPr>
          <w:b/>
          <w:i/>
          <w:iCs/>
          <w:sz w:val="22"/>
          <w:szCs w:val="22"/>
        </w:rPr>
        <w:t>Art. 2.3.2.1.2. lit. a)</w:t>
      </w:r>
      <w:r>
        <w:rPr>
          <w:bCs/>
          <w:i/>
          <w:iCs/>
          <w:sz w:val="22"/>
          <w:szCs w:val="22"/>
        </w:rPr>
        <w:t>.</w:t>
      </w:r>
    </w:p>
    <w:p w14:paraId="55E216DC" w14:textId="77777777" w:rsidR="001C08A5" w:rsidRDefault="00000000">
      <w:pPr>
        <w:jc w:val="both"/>
        <w:rPr>
          <w:b/>
          <w:bCs/>
          <w:i/>
          <w:iCs/>
          <w:sz w:val="22"/>
          <w:szCs w:val="22"/>
        </w:rPr>
      </w:pPr>
      <w:r>
        <w:rPr>
          <w:b/>
          <w:i/>
          <w:iCs/>
          <w:sz w:val="22"/>
          <w:szCs w:val="22"/>
          <w:vertAlign w:val="superscript"/>
        </w:rPr>
        <w:t>2)</w:t>
      </w:r>
      <w:r>
        <w:rPr>
          <w:b/>
          <w:i/>
          <w:iCs/>
          <w:sz w:val="22"/>
          <w:szCs w:val="22"/>
        </w:rPr>
        <w:t xml:space="preserve">  - </w:t>
      </w:r>
      <w:r>
        <w:rPr>
          <w:bCs/>
          <w:i/>
          <w:iCs/>
          <w:sz w:val="22"/>
          <w:szCs w:val="22"/>
        </w:rPr>
        <w:t>Se referă la ”Elemente de inchidere rezistente la foc(uși, ferestre) prevăzute cu autoînchidere ”</w:t>
      </w:r>
      <w:r>
        <w:rPr>
          <w:b/>
          <w:i/>
          <w:iCs/>
          <w:sz w:val="22"/>
          <w:szCs w:val="22"/>
        </w:rPr>
        <w:t>C</w:t>
      </w:r>
      <w:r>
        <w:rPr>
          <w:bCs/>
          <w:i/>
          <w:iCs/>
          <w:sz w:val="22"/>
          <w:szCs w:val="22"/>
        </w:rPr>
        <w:t xml:space="preserve">” sau fixe, dacă </w:t>
      </w:r>
      <w:r>
        <w:rPr>
          <w:i/>
          <w:iCs/>
          <w:sz w:val="22"/>
          <w:szCs w:val="22"/>
        </w:rPr>
        <w:t xml:space="preserve">distanţa dintre deschideri este mai mică de  </w:t>
      </w:r>
      <w:r>
        <w:rPr>
          <w:b/>
          <w:i/>
          <w:iCs/>
          <w:sz w:val="22"/>
          <w:szCs w:val="22"/>
        </w:rPr>
        <w:t xml:space="preserve">4 </w:t>
      </w:r>
      <w:r>
        <w:rPr>
          <w:bCs/>
          <w:i/>
          <w:iCs/>
          <w:sz w:val="22"/>
          <w:szCs w:val="22"/>
        </w:rPr>
        <w:t>m”.</w:t>
      </w:r>
    </w:p>
    <w:p w14:paraId="5D93D202" w14:textId="77777777" w:rsidR="001C08A5" w:rsidRDefault="00000000">
      <w:pPr>
        <w:widowControl w:val="0"/>
        <w:jc w:val="both"/>
        <w:rPr>
          <w:b/>
          <w:bCs/>
          <w:i/>
          <w:iCs/>
          <w:sz w:val="22"/>
          <w:szCs w:val="22"/>
        </w:rPr>
      </w:pPr>
      <w:r>
        <w:rPr>
          <w:b/>
          <w:bCs/>
          <w:i/>
          <w:iCs/>
          <w:sz w:val="22"/>
          <w:szCs w:val="22"/>
        </w:rPr>
        <w:t xml:space="preserve">Note: </w:t>
      </w:r>
    </w:p>
    <w:p w14:paraId="0AEC79A3" w14:textId="77777777" w:rsidR="001C08A5" w:rsidRDefault="00000000">
      <w:pPr>
        <w:widowControl w:val="0"/>
        <w:jc w:val="both"/>
        <w:rPr>
          <w:i/>
          <w:iCs/>
          <w:sz w:val="22"/>
          <w:szCs w:val="22"/>
        </w:rPr>
      </w:pPr>
      <w:r>
        <w:rPr>
          <w:i/>
          <w:iCs/>
          <w:sz w:val="22"/>
          <w:szCs w:val="22"/>
        </w:rPr>
        <w:t xml:space="preserve">Pentru clădiri închise se aplică specificatia </w:t>
      </w:r>
      <w:r>
        <w:rPr>
          <w:b/>
          <w:bCs/>
          <w:i/>
          <w:iCs/>
          <w:sz w:val="22"/>
          <w:szCs w:val="22"/>
        </w:rPr>
        <w:t>EW</w:t>
      </w:r>
      <w:r>
        <w:rPr>
          <w:i/>
          <w:iCs/>
          <w:sz w:val="22"/>
          <w:szCs w:val="22"/>
        </w:rPr>
        <w:t xml:space="preserve"> sau </w:t>
      </w:r>
      <w:r>
        <w:rPr>
          <w:b/>
          <w:bCs/>
          <w:i/>
          <w:iCs/>
          <w:sz w:val="22"/>
          <w:szCs w:val="22"/>
        </w:rPr>
        <w:t>EI</w:t>
      </w:r>
      <w:r>
        <w:rPr>
          <w:i/>
          <w:iCs/>
          <w:sz w:val="22"/>
          <w:szCs w:val="22"/>
        </w:rPr>
        <w:t xml:space="preserve"> la elemente de inchidere rezistente la foc (uși, ferestre), în funcție de apropierea dintre deschideri (dacă este mai mică de </w:t>
      </w:r>
      <w:r>
        <w:rPr>
          <w:b/>
          <w:bCs/>
          <w:i/>
          <w:iCs/>
          <w:sz w:val="22"/>
          <w:szCs w:val="22"/>
        </w:rPr>
        <w:t xml:space="preserve">1 </w:t>
      </w:r>
      <w:r>
        <w:rPr>
          <w:i/>
          <w:iCs/>
          <w:sz w:val="22"/>
          <w:szCs w:val="22"/>
        </w:rPr>
        <w:t xml:space="preserve">m obligatoriu se aplică performanța la foc </w:t>
      </w:r>
      <w:r>
        <w:rPr>
          <w:b/>
          <w:bCs/>
          <w:i/>
          <w:iCs/>
          <w:sz w:val="22"/>
          <w:szCs w:val="22"/>
        </w:rPr>
        <w:t>EI</w:t>
      </w:r>
      <w:r>
        <w:rPr>
          <w:i/>
          <w:iCs/>
          <w:sz w:val="22"/>
          <w:szCs w:val="22"/>
        </w:rPr>
        <w:t>). Pentru clădiri deschise se poate aplica specificatia</w:t>
      </w:r>
      <w:r>
        <w:rPr>
          <w:b/>
          <w:bCs/>
          <w:i/>
          <w:iCs/>
          <w:sz w:val="22"/>
          <w:szCs w:val="22"/>
        </w:rPr>
        <w:t xml:space="preserve"> E</w:t>
      </w:r>
      <w:r>
        <w:rPr>
          <w:i/>
          <w:iCs/>
          <w:sz w:val="22"/>
          <w:szCs w:val="22"/>
        </w:rPr>
        <w:t xml:space="preserve"> la elemente de inchidere rezistente la foc (uși, ferestre).</w:t>
      </w:r>
    </w:p>
    <w:p w14:paraId="2D030CB3" w14:textId="77777777" w:rsidR="001C08A5" w:rsidRDefault="00000000">
      <w:pPr>
        <w:widowControl w:val="0"/>
        <w:jc w:val="both"/>
        <w:rPr>
          <w:i/>
          <w:iCs/>
          <w:sz w:val="22"/>
          <w:szCs w:val="22"/>
        </w:rPr>
      </w:pP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 xml:space="preserve">pereţilor </w:t>
      </w:r>
      <w:r>
        <w:rPr>
          <w:i/>
          <w:iCs/>
          <w:sz w:val="22"/>
          <w:szCs w:val="22"/>
        </w:rPr>
        <w:t xml:space="preserve">(din exterior) definiți în tabel este </w:t>
      </w:r>
      <w:r>
        <w:rPr>
          <w:b/>
          <w:i/>
          <w:iCs/>
          <w:sz w:val="22"/>
          <w:szCs w:val="22"/>
        </w:rPr>
        <w:t xml:space="preserve">A1 sau A2-s1,d0. </w:t>
      </w: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elementelor de inchidere rezistente la foc</w:t>
      </w:r>
      <w:r>
        <w:rPr>
          <w:i/>
          <w:iCs/>
          <w:sz w:val="22"/>
          <w:szCs w:val="22"/>
        </w:rPr>
        <w:t xml:space="preserve"> definite în  tabel este </w:t>
      </w:r>
      <w:r>
        <w:rPr>
          <w:b/>
          <w:i/>
          <w:iCs/>
          <w:sz w:val="22"/>
          <w:szCs w:val="22"/>
        </w:rPr>
        <w:t xml:space="preserve">A1 sau A2-s1,d0, </w:t>
      </w:r>
      <w:r>
        <w:rPr>
          <w:bCs/>
          <w:i/>
          <w:iCs/>
          <w:sz w:val="22"/>
          <w:szCs w:val="22"/>
        </w:rPr>
        <w:t>cu excepția componetelor nesubstanţiale, garniturilor, izolatorilor, elementelor de vitraj (din sticlă) simplu sau izolant (realizate din sticlă) ale ușilor și ferestrelor (exterioare), inclusiv cele inserate în pereții cortină.</w:t>
      </w:r>
    </w:p>
    <w:p w14:paraId="690B087D" w14:textId="77777777" w:rsidR="001C08A5" w:rsidRDefault="00000000">
      <w:pPr>
        <w:rPr>
          <w:sz w:val="22"/>
          <w:szCs w:val="22"/>
        </w:rPr>
      </w:pPr>
      <w:r>
        <w:rPr>
          <w:i/>
          <w:iCs/>
          <w:sz w:val="22"/>
          <w:szCs w:val="22"/>
        </w:rPr>
        <w:t xml:space="preserve">Rezistența la foc a tuturor </w:t>
      </w:r>
      <w:r>
        <w:rPr>
          <w:bCs/>
          <w:i/>
          <w:iCs/>
          <w:sz w:val="22"/>
          <w:szCs w:val="22"/>
        </w:rPr>
        <w:t xml:space="preserve">elementelor </w:t>
      </w:r>
      <w:r>
        <w:rPr>
          <w:i/>
          <w:iCs/>
          <w:sz w:val="22"/>
          <w:szCs w:val="22"/>
        </w:rPr>
        <w:t xml:space="preserve">definite în coloanele </w:t>
      </w:r>
      <w:r>
        <w:rPr>
          <w:b/>
          <w:bCs/>
          <w:i/>
          <w:iCs/>
          <w:sz w:val="22"/>
          <w:szCs w:val="22"/>
        </w:rPr>
        <w:t>3</w:t>
      </w:r>
      <w:r>
        <w:rPr>
          <w:i/>
          <w:iCs/>
          <w:sz w:val="22"/>
          <w:szCs w:val="22"/>
        </w:rPr>
        <w:t xml:space="preserve"> și </w:t>
      </w:r>
      <w:r>
        <w:rPr>
          <w:b/>
          <w:bCs/>
          <w:i/>
          <w:iCs/>
          <w:sz w:val="22"/>
          <w:szCs w:val="22"/>
        </w:rPr>
        <w:t>4</w:t>
      </w:r>
      <w:r>
        <w:rPr>
          <w:i/>
          <w:iCs/>
          <w:sz w:val="22"/>
          <w:szCs w:val="22"/>
        </w:rPr>
        <w:t xml:space="preserve"> din tabel este în minute.</w:t>
      </w:r>
    </w:p>
    <w:p w14:paraId="67519EF7" w14:textId="77777777" w:rsidR="001C08A5" w:rsidRDefault="00000000">
      <w:pPr>
        <w:widowControl w:val="0"/>
        <w:jc w:val="both"/>
        <w:rPr>
          <w:i/>
          <w:sz w:val="22"/>
          <w:szCs w:val="22"/>
        </w:rPr>
      </w:pPr>
      <w:r>
        <w:rPr>
          <w:b/>
          <w:sz w:val="22"/>
          <w:szCs w:val="22"/>
        </w:rPr>
        <w:t xml:space="preserve">* </w:t>
      </w:r>
      <w:r>
        <w:rPr>
          <w:i/>
          <w:sz w:val="22"/>
          <w:szCs w:val="22"/>
        </w:rPr>
        <w:t xml:space="preserve">Valorile din paranteze se aplică în cazurile în care încăperile sunt echipate cu instalaţii automate de stingere a incendiilor </w:t>
      </w:r>
      <w:r>
        <w:rPr>
          <w:bCs/>
          <w:i/>
          <w:iCs/>
          <w:sz w:val="22"/>
          <w:szCs w:val="22"/>
        </w:rPr>
        <w:t xml:space="preserve">(conform prevederi Normativ </w:t>
      </w:r>
      <w:r>
        <w:rPr>
          <w:b/>
          <w:i/>
          <w:iCs/>
          <w:sz w:val="22"/>
          <w:szCs w:val="22"/>
        </w:rPr>
        <w:t>P118:2</w:t>
      </w:r>
      <w:r>
        <w:rPr>
          <w:bCs/>
          <w:i/>
          <w:iCs/>
          <w:sz w:val="22"/>
          <w:szCs w:val="22"/>
        </w:rPr>
        <w:t>, cu excepțiile prevăzute ale spațiilor care se dotează cu alte instalații automate de stingere)</w:t>
      </w:r>
      <w:r>
        <w:rPr>
          <w:i/>
          <w:sz w:val="22"/>
          <w:szCs w:val="22"/>
        </w:rPr>
        <w:t>.</w:t>
      </w:r>
    </w:p>
    <w:p w14:paraId="414C57BA" w14:textId="77777777" w:rsidR="001C08A5" w:rsidRDefault="001C08A5">
      <w:pPr>
        <w:widowControl w:val="0"/>
        <w:jc w:val="both"/>
        <w:rPr>
          <w:i/>
          <w:iCs/>
          <w:sz w:val="22"/>
          <w:szCs w:val="22"/>
        </w:rPr>
      </w:pPr>
    </w:p>
    <w:p w14:paraId="28CE46ED" w14:textId="77777777" w:rsidR="001C08A5" w:rsidRDefault="00000000">
      <w:pPr>
        <w:pStyle w:val="Caption"/>
        <w:jc w:val="both"/>
      </w:pPr>
      <w:bookmarkStart w:id="1074" w:name="_Ref29328"/>
      <w:bookmarkStart w:id="1075" w:name="_Toc162360060"/>
      <w:r>
        <w:t xml:space="preserve">Tabelul </w:t>
      </w:r>
      <w:r>
        <w:fldChar w:fldCharType="begin"/>
      </w:r>
      <w:r>
        <w:instrText xml:space="preserve"> SEQ Tabelul \* ARABIC </w:instrText>
      </w:r>
      <w:r>
        <w:fldChar w:fldCharType="separate"/>
      </w:r>
      <w:r>
        <w:t>10</w:t>
      </w:r>
      <w:r>
        <w:fldChar w:fldCharType="end"/>
      </w:r>
      <w:bookmarkStart w:id="1076" w:name="_Toc2004"/>
      <w:bookmarkStart w:id="1077" w:name="_Toc32262"/>
      <w:bookmarkStart w:id="1078" w:name="_Toc1794"/>
      <w:bookmarkStart w:id="1079" w:name="_Toc24191"/>
      <w:bookmarkStart w:id="1080" w:name="_Toc3906"/>
      <w:bookmarkStart w:id="1081" w:name="_Toc13430"/>
      <w:bookmarkStart w:id="1082" w:name="_Toc15410"/>
      <w:bookmarkStart w:id="1083" w:name="_Toc20956"/>
      <w:bookmarkStart w:id="1084" w:name="_Toc16976"/>
      <w:bookmarkStart w:id="1085" w:name="_Toc12034"/>
      <w:bookmarkStart w:id="1086" w:name="_Toc9528"/>
      <w:bookmarkStart w:id="1087" w:name="_Toc9131"/>
      <w:bookmarkEnd w:id="1074"/>
      <w:r>
        <w:t xml:space="preserve">: Rezistența la foc a pereţilor din exterior și ale elementelor de închidere rezistente la foc ale golurilor funcţionale prevazute în pereţii din exterior amplasate la colţurile intrânde ale construcţiilor civile (cu excepția clădirilor prevăzute la Art. 2.3.2.1.2. lit. a)) în formă de L, T sau U sub un unghi α, 90° </w:t>
      </w:r>
      <w:r>
        <w:rPr>
          <w:rFonts w:ascii="Arial" w:hAnsi="Arial" w:cs="Arial"/>
        </w:rPr>
        <w:t xml:space="preserve">≤ α ≤ </w:t>
      </w:r>
      <w:r>
        <w:t>135°, unde golurile din pereţii exteriori adiacenţi sunt dispuse astfel încât distanţa dintre ele este mai mică de 4 m</w:t>
      </w:r>
      <w:bookmarkEnd w:id="1075"/>
      <w:bookmarkEnd w:id="1076"/>
      <w:bookmarkEnd w:id="1077"/>
      <w:bookmarkEnd w:id="1078"/>
      <w:bookmarkEnd w:id="1079"/>
      <w:bookmarkEnd w:id="1080"/>
      <w:bookmarkEnd w:id="1081"/>
      <w:bookmarkEnd w:id="1082"/>
      <w:bookmarkEnd w:id="1083"/>
      <w:bookmarkEnd w:id="1084"/>
      <w:bookmarkEnd w:id="1085"/>
      <w:bookmarkEnd w:id="1086"/>
      <w:bookmarkEnd w:id="10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3"/>
        <w:gridCol w:w="1627"/>
        <w:gridCol w:w="1440"/>
        <w:gridCol w:w="1527"/>
        <w:gridCol w:w="1442"/>
        <w:gridCol w:w="1548"/>
        <w:gridCol w:w="1152"/>
      </w:tblGrid>
      <w:tr w:rsidR="001C08A5" w14:paraId="01098528" w14:textId="77777777">
        <w:trPr>
          <w:tblHeader/>
        </w:trPr>
        <w:tc>
          <w:tcPr>
            <w:tcW w:w="463" w:type="pct"/>
            <w:vMerge w:val="restart"/>
            <w:shd w:val="clear" w:color="auto" w:fill="BFBFBF"/>
          </w:tcPr>
          <w:p w14:paraId="0C83A919" w14:textId="77777777" w:rsidR="001C08A5" w:rsidRDefault="00000000">
            <w:pPr>
              <w:jc w:val="center"/>
              <w:rPr>
                <w:b/>
                <w:i/>
                <w:iCs/>
              </w:rPr>
            </w:pPr>
            <w:r>
              <w:rPr>
                <w:b/>
                <w:i/>
                <w:iCs/>
              </w:rPr>
              <w:lastRenderedPageBreak/>
              <w:t>Nivel de stabilitate la incendiu</w:t>
            </w:r>
          </w:p>
        </w:tc>
        <w:tc>
          <w:tcPr>
            <w:tcW w:w="4537" w:type="pct"/>
            <w:gridSpan w:val="6"/>
            <w:shd w:val="clear" w:color="auto" w:fill="BFBFBF"/>
          </w:tcPr>
          <w:p w14:paraId="31FAE3FF" w14:textId="77777777" w:rsidR="001C08A5" w:rsidRDefault="00000000">
            <w:pPr>
              <w:jc w:val="center"/>
              <w:rPr>
                <w:b/>
              </w:rPr>
            </w:pPr>
            <w:r>
              <w:rPr>
                <w:b/>
                <w:sz w:val="24"/>
                <w:szCs w:val="24"/>
              </w:rPr>
              <w:t>90°</w:t>
            </w:r>
            <w:r>
              <w:rPr>
                <w:b/>
                <w:sz w:val="22"/>
                <w:szCs w:val="22"/>
              </w:rPr>
              <w:t xml:space="preserve"> ≤ </w:t>
            </w:r>
            <w:r>
              <w:rPr>
                <w:b/>
                <w:bCs/>
                <w:sz w:val="28"/>
                <w:szCs w:val="28"/>
              </w:rPr>
              <w:t xml:space="preserve">α </w:t>
            </w:r>
            <w:r>
              <w:rPr>
                <w:rFonts w:ascii="Arial" w:hAnsi="Arial" w:cs="Arial"/>
                <w:bCs/>
                <w:sz w:val="24"/>
                <w:szCs w:val="24"/>
              </w:rPr>
              <w:t>≤</w:t>
            </w:r>
            <w:r>
              <w:rPr>
                <w:b/>
                <w:sz w:val="24"/>
                <w:szCs w:val="24"/>
              </w:rPr>
              <w:t xml:space="preserve"> 135°</w:t>
            </w:r>
          </w:p>
        </w:tc>
      </w:tr>
      <w:tr w:rsidR="001C08A5" w14:paraId="2F4F0D65" w14:textId="77777777">
        <w:trPr>
          <w:tblHeader/>
        </w:trPr>
        <w:tc>
          <w:tcPr>
            <w:tcW w:w="463" w:type="pct"/>
            <w:vMerge/>
            <w:shd w:val="clear" w:color="auto" w:fill="BFBFBF"/>
          </w:tcPr>
          <w:p w14:paraId="65460900" w14:textId="77777777" w:rsidR="001C08A5" w:rsidRDefault="001C08A5">
            <w:pPr>
              <w:jc w:val="center"/>
              <w:rPr>
                <w:b/>
                <w:i/>
                <w:iCs/>
              </w:rPr>
            </w:pPr>
          </w:p>
        </w:tc>
        <w:tc>
          <w:tcPr>
            <w:tcW w:w="1593" w:type="pct"/>
            <w:gridSpan w:val="2"/>
            <w:shd w:val="clear" w:color="auto" w:fill="BFBFBF"/>
          </w:tcPr>
          <w:p w14:paraId="4AD42B0E" w14:textId="77777777" w:rsidR="001C08A5" w:rsidRDefault="00000000">
            <w:pPr>
              <w:jc w:val="center"/>
              <w:rPr>
                <w:b/>
                <w:i/>
                <w:iCs/>
              </w:rPr>
            </w:pPr>
            <w:r>
              <w:rPr>
                <w:i/>
                <w:iCs/>
              </w:rPr>
              <w:t>În cazul p</w:t>
            </w:r>
            <w:r>
              <w:rPr>
                <w:i/>
                <w:iCs/>
                <w:sz w:val="21"/>
                <w:szCs w:val="21"/>
              </w:rPr>
              <w:t>ereţi</w:t>
            </w:r>
            <w:r>
              <w:rPr>
                <w:i/>
                <w:iCs/>
              </w:rPr>
              <w:t>lor</w:t>
            </w:r>
            <w:r>
              <w:rPr>
                <w:i/>
                <w:iCs/>
                <w:sz w:val="21"/>
                <w:szCs w:val="21"/>
              </w:rPr>
              <w:t xml:space="preserve"> antifoc minimum</w:t>
            </w:r>
            <w:r>
              <w:rPr>
                <w:b/>
                <w:i/>
                <w:iCs/>
                <w:sz w:val="21"/>
                <w:szCs w:val="21"/>
              </w:rPr>
              <w:t xml:space="preserve"> EI-M 240/REI 240 </w:t>
            </w:r>
            <w:r>
              <w:rPr>
                <w:b/>
                <w:i/>
                <w:iCs/>
                <w:vertAlign w:val="superscript"/>
              </w:rPr>
              <w:t>1)</w:t>
            </w:r>
          </w:p>
          <w:p w14:paraId="48848629" w14:textId="77777777" w:rsidR="001C08A5" w:rsidRDefault="001C08A5">
            <w:pPr>
              <w:jc w:val="center"/>
              <w:rPr>
                <w:i/>
                <w:iCs/>
              </w:rPr>
            </w:pPr>
          </w:p>
        </w:tc>
        <w:tc>
          <w:tcPr>
            <w:tcW w:w="1542" w:type="pct"/>
            <w:gridSpan w:val="2"/>
            <w:shd w:val="clear" w:color="auto" w:fill="BFBFBF"/>
          </w:tcPr>
          <w:p w14:paraId="1F1BB713" w14:textId="77777777" w:rsidR="001C08A5" w:rsidRDefault="00000000">
            <w:pPr>
              <w:jc w:val="center"/>
              <w:rPr>
                <w:i/>
                <w:iCs/>
              </w:rPr>
            </w:pPr>
            <w:r>
              <w:rPr>
                <w:i/>
                <w:iCs/>
              </w:rPr>
              <w:t xml:space="preserve">În cazul pereţilor antifoc  </w:t>
            </w:r>
            <w:r>
              <w:rPr>
                <w:i/>
                <w:iCs/>
                <w:sz w:val="21"/>
                <w:szCs w:val="21"/>
              </w:rPr>
              <w:t>minimum</w:t>
            </w:r>
            <w:r>
              <w:rPr>
                <w:b/>
                <w:bCs/>
                <w:i/>
                <w:iCs/>
                <w:sz w:val="21"/>
                <w:szCs w:val="21"/>
              </w:rPr>
              <w:t xml:space="preserve"> EI-M 180/REI 180</w:t>
            </w:r>
            <w:r>
              <w:rPr>
                <w:b/>
                <w:bCs/>
                <w:i/>
                <w:iCs/>
                <w:vertAlign w:val="superscript"/>
              </w:rPr>
              <w:t>2)</w:t>
            </w:r>
          </w:p>
        </w:tc>
        <w:tc>
          <w:tcPr>
            <w:tcW w:w="1403" w:type="pct"/>
            <w:gridSpan w:val="2"/>
            <w:shd w:val="clear" w:color="auto" w:fill="BFBFBF"/>
          </w:tcPr>
          <w:p w14:paraId="054B2820" w14:textId="77777777" w:rsidR="001C08A5" w:rsidRDefault="00000000">
            <w:pPr>
              <w:jc w:val="center"/>
              <w:rPr>
                <w:i/>
                <w:iCs/>
              </w:rPr>
            </w:pPr>
            <w:r>
              <w:rPr>
                <w:i/>
                <w:iCs/>
              </w:rPr>
              <w:t xml:space="preserve">În cazul pereţilor antifoc </w:t>
            </w:r>
            <w:r>
              <w:rPr>
                <w:i/>
                <w:iCs/>
                <w:sz w:val="21"/>
                <w:szCs w:val="21"/>
              </w:rPr>
              <w:t xml:space="preserve"> minimum</w:t>
            </w:r>
            <w:r>
              <w:rPr>
                <w:b/>
                <w:bCs/>
                <w:i/>
                <w:iCs/>
                <w:sz w:val="21"/>
                <w:szCs w:val="21"/>
              </w:rPr>
              <w:t xml:space="preserve"> EI-M 120/REI 120</w:t>
            </w:r>
            <w:r>
              <w:rPr>
                <w:b/>
                <w:i/>
                <w:iCs/>
                <w:vertAlign w:val="superscript"/>
              </w:rPr>
              <w:t>3)</w:t>
            </w:r>
          </w:p>
        </w:tc>
      </w:tr>
      <w:tr w:rsidR="001C08A5" w14:paraId="794192CA" w14:textId="77777777">
        <w:trPr>
          <w:tblHeader/>
        </w:trPr>
        <w:tc>
          <w:tcPr>
            <w:tcW w:w="463" w:type="pct"/>
            <w:vMerge/>
            <w:shd w:val="clear" w:color="auto" w:fill="BFBFBF"/>
          </w:tcPr>
          <w:p w14:paraId="06C1B742" w14:textId="77777777" w:rsidR="001C08A5" w:rsidRDefault="001C08A5">
            <w:pPr>
              <w:jc w:val="center"/>
              <w:rPr>
                <w:b/>
                <w:i/>
                <w:iCs/>
              </w:rPr>
            </w:pPr>
          </w:p>
        </w:tc>
        <w:tc>
          <w:tcPr>
            <w:tcW w:w="845" w:type="pct"/>
            <w:shd w:val="clear" w:color="auto" w:fill="BFBFBF"/>
          </w:tcPr>
          <w:p w14:paraId="50A0111A" w14:textId="77777777" w:rsidR="001C08A5" w:rsidRDefault="00000000">
            <w:pPr>
              <w:jc w:val="center"/>
              <w:rPr>
                <w:i/>
                <w:iCs/>
              </w:rPr>
            </w:pPr>
            <w:r>
              <w:rPr>
                <w:b/>
                <w:i/>
                <w:iCs/>
              </w:rPr>
              <w:t xml:space="preserve">Rezistenţa la foc (EI/REI) a pereţilor </w:t>
            </w:r>
            <w:r>
              <w:rPr>
                <w:b/>
                <w:bCs/>
                <w:i/>
                <w:iCs/>
              </w:rPr>
              <w:t>din exterior</w:t>
            </w:r>
            <w:r>
              <w:rPr>
                <w:b/>
                <w:i/>
                <w:iCs/>
                <w:vertAlign w:val="superscript"/>
              </w:rPr>
              <w:t>4)</w:t>
            </w:r>
          </w:p>
        </w:tc>
        <w:tc>
          <w:tcPr>
            <w:tcW w:w="748" w:type="pct"/>
            <w:shd w:val="clear" w:color="auto" w:fill="BFBFBF"/>
          </w:tcPr>
          <w:p w14:paraId="27BD0024" w14:textId="77777777" w:rsidR="001C08A5" w:rsidRDefault="00000000">
            <w:pPr>
              <w:jc w:val="center"/>
              <w:rPr>
                <w:b/>
                <w:i/>
                <w:iCs/>
              </w:rPr>
            </w:pPr>
            <w:r>
              <w:rPr>
                <w:b/>
                <w:i/>
                <w:iCs/>
              </w:rPr>
              <w:t xml:space="preserve">Elemente de inchidere rezistente la foc </w:t>
            </w:r>
            <w:r>
              <w:rPr>
                <w:b/>
                <w:i/>
                <w:iCs/>
                <w:vertAlign w:val="superscript"/>
              </w:rPr>
              <w:t>5)</w:t>
            </w:r>
          </w:p>
        </w:tc>
        <w:tc>
          <w:tcPr>
            <w:tcW w:w="793" w:type="pct"/>
            <w:shd w:val="clear" w:color="auto" w:fill="BFBFBF"/>
          </w:tcPr>
          <w:p w14:paraId="18BB3BEC" w14:textId="77777777" w:rsidR="001C08A5" w:rsidRDefault="00000000">
            <w:pPr>
              <w:jc w:val="center"/>
              <w:rPr>
                <w:i/>
                <w:iCs/>
              </w:rPr>
            </w:pPr>
            <w:r>
              <w:rPr>
                <w:b/>
                <w:i/>
                <w:iCs/>
              </w:rPr>
              <w:t xml:space="preserve">Rezistenţa la foc (EI/REI) a pereţilor </w:t>
            </w:r>
            <w:r>
              <w:rPr>
                <w:b/>
                <w:bCs/>
                <w:i/>
                <w:iCs/>
              </w:rPr>
              <w:t>din exterior</w:t>
            </w:r>
            <w:r>
              <w:rPr>
                <w:b/>
                <w:i/>
                <w:iCs/>
                <w:vertAlign w:val="superscript"/>
              </w:rPr>
              <w:t>4)</w:t>
            </w:r>
          </w:p>
        </w:tc>
        <w:tc>
          <w:tcPr>
            <w:tcW w:w="749" w:type="pct"/>
            <w:shd w:val="clear" w:color="auto" w:fill="BFBFBF"/>
          </w:tcPr>
          <w:p w14:paraId="61F69437" w14:textId="77777777" w:rsidR="001C08A5" w:rsidRDefault="00000000">
            <w:pPr>
              <w:jc w:val="center"/>
              <w:rPr>
                <w:i/>
                <w:iCs/>
              </w:rPr>
            </w:pPr>
            <w:r>
              <w:rPr>
                <w:b/>
                <w:i/>
                <w:iCs/>
              </w:rPr>
              <w:t xml:space="preserve">Elemente de inchidere rezistente la foc </w:t>
            </w:r>
            <w:r>
              <w:rPr>
                <w:b/>
                <w:i/>
                <w:iCs/>
                <w:vertAlign w:val="superscript"/>
              </w:rPr>
              <w:t>5)</w:t>
            </w:r>
          </w:p>
        </w:tc>
        <w:tc>
          <w:tcPr>
            <w:tcW w:w="804" w:type="pct"/>
            <w:shd w:val="clear" w:color="auto" w:fill="BFBFBF"/>
          </w:tcPr>
          <w:p w14:paraId="4BA0E6C2" w14:textId="77777777" w:rsidR="001C08A5" w:rsidRDefault="00000000">
            <w:pPr>
              <w:jc w:val="center"/>
              <w:rPr>
                <w:b/>
                <w:i/>
                <w:iCs/>
              </w:rPr>
            </w:pPr>
            <w:r>
              <w:rPr>
                <w:b/>
                <w:i/>
                <w:iCs/>
              </w:rPr>
              <w:t>Rezistenţa la foc (EI/REI) a pereţilor</w:t>
            </w:r>
            <w:r>
              <w:rPr>
                <w:bCs/>
                <w:i/>
                <w:iCs/>
              </w:rPr>
              <w:t xml:space="preserve"> din exterior</w:t>
            </w:r>
            <w:r>
              <w:rPr>
                <w:b/>
                <w:i/>
                <w:iCs/>
                <w:vertAlign w:val="superscript"/>
              </w:rPr>
              <w:t>4)</w:t>
            </w:r>
          </w:p>
        </w:tc>
        <w:tc>
          <w:tcPr>
            <w:tcW w:w="599" w:type="pct"/>
            <w:shd w:val="clear" w:color="auto" w:fill="BFBFBF"/>
          </w:tcPr>
          <w:p w14:paraId="76C18614" w14:textId="77777777" w:rsidR="001C08A5" w:rsidRDefault="00000000">
            <w:pPr>
              <w:jc w:val="center"/>
              <w:rPr>
                <w:b/>
                <w:i/>
                <w:iCs/>
              </w:rPr>
            </w:pPr>
            <w:r>
              <w:rPr>
                <w:b/>
                <w:i/>
                <w:iCs/>
              </w:rPr>
              <w:t xml:space="preserve">Elemente de inchidere rezistente la foc </w:t>
            </w:r>
            <w:r>
              <w:rPr>
                <w:b/>
                <w:i/>
                <w:iCs/>
                <w:vertAlign w:val="superscript"/>
              </w:rPr>
              <w:t>5)</w:t>
            </w:r>
          </w:p>
        </w:tc>
      </w:tr>
      <w:tr w:rsidR="001C08A5" w14:paraId="553762C6" w14:textId="77777777">
        <w:trPr>
          <w:tblHeader/>
        </w:trPr>
        <w:tc>
          <w:tcPr>
            <w:tcW w:w="463" w:type="pct"/>
            <w:shd w:val="clear" w:color="auto" w:fill="BFBFBF"/>
          </w:tcPr>
          <w:p w14:paraId="63A95461" w14:textId="77777777" w:rsidR="001C08A5" w:rsidRDefault="00000000">
            <w:pPr>
              <w:jc w:val="center"/>
              <w:rPr>
                <w:b/>
                <w:i/>
                <w:iCs/>
              </w:rPr>
            </w:pPr>
            <w:r>
              <w:rPr>
                <w:b/>
                <w:i/>
                <w:iCs/>
              </w:rPr>
              <w:t>1</w:t>
            </w:r>
          </w:p>
        </w:tc>
        <w:tc>
          <w:tcPr>
            <w:tcW w:w="845" w:type="pct"/>
            <w:shd w:val="clear" w:color="auto" w:fill="BFBFBF"/>
          </w:tcPr>
          <w:p w14:paraId="7216F6F6" w14:textId="77777777" w:rsidR="001C08A5" w:rsidRDefault="00000000">
            <w:pPr>
              <w:jc w:val="center"/>
              <w:rPr>
                <w:b/>
                <w:bCs/>
                <w:i/>
                <w:iCs/>
              </w:rPr>
            </w:pPr>
            <w:r>
              <w:rPr>
                <w:b/>
                <w:bCs/>
                <w:i/>
                <w:iCs/>
              </w:rPr>
              <w:t>2</w:t>
            </w:r>
          </w:p>
        </w:tc>
        <w:tc>
          <w:tcPr>
            <w:tcW w:w="748" w:type="pct"/>
            <w:shd w:val="clear" w:color="auto" w:fill="BFBFBF"/>
          </w:tcPr>
          <w:p w14:paraId="760D2084" w14:textId="77777777" w:rsidR="001C08A5" w:rsidRDefault="00000000">
            <w:pPr>
              <w:jc w:val="center"/>
              <w:rPr>
                <w:b/>
                <w:i/>
                <w:iCs/>
              </w:rPr>
            </w:pPr>
            <w:r>
              <w:rPr>
                <w:b/>
                <w:i/>
                <w:iCs/>
              </w:rPr>
              <w:t>3</w:t>
            </w:r>
          </w:p>
        </w:tc>
        <w:tc>
          <w:tcPr>
            <w:tcW w:w="793" w:type="pct"/>
            <w:shd w:val="clear" w:color="auto" w:fill="BFBFBF"/>
          </w:tcPr>
          <w:p w14:paraId="70A5708B" w14:textId="77777777" w:rsidR="001C08A5" w:rsidRDefault="00000000">
            <w:pPr>
              <w:jc w:val="center"/>
              <w:rPr>
                <w:b/>
                <w:bCs/>
                <w:i/>
                <w:iCs/>
              </w:rPr>
            </w:pPr>
            <w:r>
              <w:rPr>
                <w:b/>
                <w:bCs/>
                <w:i/>
                <w:iCs/>
              </w:rPr>
              <w:t>4</w:t>
            </w:r>
          </w:p>
        </w:tc>
        <w:tc>
          <w:tcPr>
            <w:tcW w:w="749" w:type="pct"/>
            <w:shd w:val="clear" w:color="auto" w:fill="BFBFBF"/>
          </w:tcPr>
          <w:p w14:paraId="15DB89CC" w14:textId="77777777" w:rsidR="001C08A5" w:rsidRDefault="00000000">
            <w:pPr>
              <w:jc w:val="center"/>
              <w:rPr>
                <w:b/>
                <w:i/>
                <w:iCs/>
              </w:rPr>
            </w:pPr>
            <w:r>
              <w:rPr>
                <w:b/>
                <w:i/>
                <w:iCs/>
              </w:rPr>
              <w:t>5</w:t>
            </w:r>
          </w:p>
        </w:tc>
        <w:tc>
          <w:tcPr>
            <w:tcW w:w="804" w:type="pct"/>
            <w:shd w:val="clear" w:color="auto" w:fill="BFBFBF"/>
          </w:tcPr>
          <w:p w14:paraId="22420FFB" w14:textId="77777777" w:rsidR="001C08A5" w:rsidRDefault="00000000">
            <w:pPr>
              <w:jc w:val="center"/>
              <w:rPr>
                <w:b/>
                <w:bCs/>
                <w:i/>
                <w:iCs/>
              </w:rPr>
            </w:pPr>
            <w:r>
              <w:rPr>
                <w:b/>
                <w:bCs/>
                <w:i/>
                <w:iCs/>
              </w:rPr>
              <w:t>6</w:t>
            </w:r>
          </w:p>
        </w:tc>
        <w:tc>
          <w:tcPr>
            <w:tcW w:w="599" w:type="pct"/>
            <w:shd w:val="clear" w:color="auto" w:fill="BFBFBF"/>
          </w:tcPr>
          <w:p w14:paraId="5B6BE4DA" w14:textId="77777777" w:rsidR="001C08A5" w:rsidRDefault="00000000">
            <w:pPr>
              <w:jc w:val="center"/>
              <w:rPr>
                <w:b/>
                <w:i/>
                <w:iCs/>
              </w:rPr>
            </w:pPr>
            <w:r>
              <w:rPr>
                <w:b/>
                <w:i/>
                <w:iCs/>
              </w:rPr>
              <w:t>7</w:t>
            </w:r>
          </w:p>
        </w:tc>
      </w:tr>
      <w:tr w:rsidR="001C08A5" w14:paraId="2349ECAD" w14:textId="77777777">
        <w:tc>
          <w:tcPr>
            <w:tcW w:w="463" w:type="pct"/>
          </w:tcPr>
          <w:p w14:paraId="48D52F21" w14:textId="77777777" w:rsidR="001C08A5" w:rsidRDefault="00000000">
            <w:pPr>
              <w:jc w:val="center"/>
              <w:rPr>
                <w:b/>
                <w:i/>
                <w:iCs/>
                <w:sz w:val="22"/>
                <w:szCs w:val="22"/>
              </w:rPr>
            </w:pPr>
            <w:r>
              <w:rPr>
                <w:b/>
                <w:bCs/>
                <w:i/>
                <w:iCs/>
                <w:sz w:val="22"/>
                <w:szCs w:val="22"/>
              </w:rPr>
              <w:t>V</w:t>
            </w:r>
          </w:p>
        </w:tc>
        <w:tc>
          <w:tcPr>
            <w:tcW w:w="845" w:type="pct"/>
          </w:tcPr>
          <w:p w14:paraId="357DDFBA" w14:textId="77777777" w:rsidR="001C08A5" w:rsidRDefault="00000000">
            <w:pPr>
              <w:jc w:val="center"/>
              <w:rPr>
                <w:b/>
                <w:i/>
                <w:iCs/>
                <w:sz w:val="22"/>
                <w:szCs w:val="22"/>
              </w:rPr>
            </w:pPr>
            <w:r>
              <w:rPr>
                <w:b/>
                <w:i/>
                <w:iCs/>
                <w:sz w:val="21"/>
                <w:szCs w:val="21"/>
              </w:rPr>
              <w:t xml:space="preserve">EI/REI </w:t>
            </w:r>
            <w:r>
              <w:rPr>
                <w:b/>
                <w:i/>
                <w:iCs/>
              </w:rPr>
              <w:t>15</w:t>
            </w:r>
          </w:p>
        </w:tc>
        <w:tc>
          <w:tcPr>
            <w:tcW w:w="748" w:type="pct"/>
          </w:tcPr>
          <w:p w14:paraId="38FCBB23" w14:textId="77777777" w:rsidR="001C08A5" w:rsidRDefault="00000000">
            <w:pPr>
              <w:jc w:val="center"/>
              <w:rPr>
                <w:b/>
                <w:i/>
                <w:iCs/>
                <w:sz w:val="22"/>
                <w:szCs w:val="22"/>
                <w:vertAlign w:val="subscript"/>
              </w:rPr>
            </w:pPr>
            <w:r>
              <w:rPr>
                <w:b/>
                <w:i/>
                <w:iCs/>
                <w:sz w:val="21"/>
                <w:szCs w:val="21"/>
              </w:rPr>
              <w:t>fixa</w:t>
            </w:r>
          </w:p>
        </w:tc>
        <w:tc>
          <w:tcPr>
            <w:tcW w:w="793" w:type="pct"/>
          </w:tcPr>
          <w:p w14:paraId="52A3FC04" w14:textId="77777777" w:rsidR="001C08A5" w:rsidRDefault="00000000">
            <w:pPr>
              <w:jc w:val="center"/>
              <w:rPr>
                <w:b/>
                <w:i/>
                <w:iCs/>
                <w:sz w:val="22"/>
                <w:szCs w:val="22"/>
              </w:rPr>
            </w:pPr>
            <w:r>
              <w:rPr>
                <w:b/>
                <w:i/>
                <w:iCs/>
                <w:sz w:val="21"/>
                <w:szCs w:val="21"/>
              </w:rPr>
              <w:t xml:space="preserve">EI/REI </w:t>
            </w:r>
            <w:r>
              <w:rPr>
                <w:b/>
                <w:i/>
                <w:iCs/>
              </w:rPr>
              <w:t>15</w:t>
            </w:r>
          </w:p>
        </w:tc>
        <w:tc>
          <w:tcPr>
            <w:tcW w:w="749" w:type="pct"/>
          </w:tcPr>
          <w:p w14:paraId="7807F82C" w14:textId="77777777" w:rsidR="001C08A5" w:rsidRDefault="00000000">
            <w:pPr>
              <w:jc w:val="center"/>
              <w:rPr>
                <w:b/>
                <w:i/>
                <w:iCs/>
                <w:sz w:val="22"/>
                <w:szCs w:val="22"/>
              </w:rPr>
            </w:pPr>
            <w:r>
              <w:rPr>
                <w:b/>
                <w:i/>
                <w:iCs/>
                <w:sz w:val="21"/>
                <w:szCs w:val="21"/>
              </w:rPr>
              <w:t>fix</w:t>
            </w:r>
            <w:r>
              <w:rPr>
                <w:b/>
                <w:i/>
                <w:iCs/>
              </w:rPr>
              <w:t>ă</w:t>
            </w:r>
          </w:p>
        </w:tc>
        <w:tc>
          <w:tcPr>
            <w:tcW w:w="804" w:type="pct"/>
          </w:tcPr>
          <w:p w14:paraId="64C89E34" w14:textId="77777777" w:rsidR="001C08A5" w:rsidRDefault="00000000">
            <w:pPr>
              <w:jc w:val="center"/>
              <w:rPr>
                <w:b/>
                <w:i/>
                <w:iCs/>
                <w:sz w:val="22"/>
                <w:szCs w:val="22"/>
              </w:rPr>
            </w:pPr>
            <w:r>
              <w:rPr>
                <w:b/>
                <w:i/>
                <w:iCs/>
                <w:sz w:val="21"/>
                <w:szCs w:val="21"/>
              </w:rPr>
              <w:t xml:space="preserve">EI/REI </w:t>
            </w:r>
            <w:r>
              <w:rPr>
                <w:b/>
                <w:i/>
                <w:iCs/>
              </w:rPr>
              <w:t>15</w:t>
            </w:r>
          </w:p>
        </w:tc>
        <w:tc>
          <w:tcPr>
            <w:tcW w:w="599" w:type="pct"/>
          </w:tcPr>
          <w:p w14:paraId="7F6A1238" w14:textId="77777777" w:rsidR="001C08A5" w:rsidRDefault="00000000">
            <w:pPr>
              <w:jc w:val="center"/>
              <w:rPr>
                <w:b/>
                <w:i/>
                <w:iCs/>
                <w:sz w:val="22"/>
                <w:szCs w:val="22"/>
              </w:rPr>
            </w:pPr>
            <w:r>
              <w:rPr>
                <w:b/>
                <w:i/>
                <w:iCs/>
                <w:sz w:val="21"/>
                <w:szCs w:val="21"/>
              </w:rPr>
              <w:t>fixa</w:t>
            </w:r>
          </w:p>
        </w:tc>
      </w:tr>
      <w:tr w:rsidR="001C08A5" w14:paraId="00A0FC85" w14:textId="77777777">
        <w:tc>
          <w:tcPr>
            <w:tcW w:w="463" w:type="pct"/>
          </w:tcPr>
          <w:p w14:paraId="660965EA" w14:textId="77777777" w:rsidR="001C08A5" w:rsidRDefault="00000000">
            <w:pPr>
              <w:jc w:val="center"/>
              <w:rPr>
                <w:b/>
                <w:i/>
                <w:iCs/>
                <w:sz w:val="22"/>
                <w:szCs w:val="22"/>
              </w:rPr>
            </w:pPr>
            <w:r>
              <w:rPr>
                <w:b/>
                <w:i/>
                <w:iCs/>
                <w:sz w:val="22"/>
                <w:szCs w:val="22"/>
              </w:rPr>
              <w:t>IV</w:t>
            </w:r>
          </w:p>
        </w:tc>
        <w:tc>
          <w:tcPr>
            <w:tcW w:w="845" w:type="pct"/>
          </w:tcPr>
          <w:p w14:paraId="11979D46" w14:textId="77777777" w:rsidR="001C08A5" w:rsidRDefault="00000000">
            <w:pPr>
              <w:jc w:val="center"/>
              <w:rPr>
                <w:b/>
                <w:i/>
                <w:iCs/>
                <w:sz w:val="22"/>
                <w:szCs w:val="22"/>
              </w:rPr>
            </w:pPr>
            <w:r>
              <w:rPr>
                <w:b/>
                <w:i/>
                <w:iCs/>
                <w:sz w:val="22"/>
                <w:szCs w:val="22"/>
              </w:rPr>
              <w:t xml:space="preserve">EI/REI 30 </w:t>
            </w:r>
          </w:p>
        </w:tc>
        <w:tc>
          <w:tcPr>
            <w:tcW w:w="748" w:type="pct"/>
          </w:tcPr>
          <w:p w14:paraId="0079430D" w14:textId="77777777" w:rsidR="001C08A5" w:rsidRDefault="00000000">
            <w:pPr>
              <w:jc w:val="center"/>
              <w:rPr>
                <w:b/>
                <w:i/>
                <w:iCs/>
                <w:sz w:val="22"/>
                <w:szCs w:val="22"/>
              </w:rPr>
            </w:pPr>
            <w:r>
              <w:rPr>
                <w:b/>
                <w:i/>
                <w:iCs/>
                <w:sz w:val="22"/>
                <w:szCs w:val="22"/>
              </w:rPr>
              <w:t>EI 15</w:t>
            </w:r>
          </w:p>
        </w:tc>
        <w:tc>
          <w:tcPr>
            <w:tcW w:w="793" w:type="pct"/>
          </w:tcPr>
          <w:p w14:paraId="470DFB2D" w14:textId="77777777" w:rsidR="001C08A5" w:rsidRDefault="00000000">
            <w:pPr>
              <w:jc w:val="center"/>
              <w:rPr>
                <w:b/>
                <w:i/>
                <w:iCs/>
                <w:sz w:val="22"/>
                <w:szCs w:val="22"/>
              </w:rPr>
            </w:pPr>
            <w:r>
              <w:rPr>
                <w:b/>
                <w:i/>
                <w:iCs/>
                <w:sz w:val="22"/>
                <w:szCs w:val="22"/>
              </w:rPr>
              <w:t>EI/REI 15</w:t>
            </w:r>
          </w:p>
        </w:tc>
        <w:tc>
          <w:tcPr>
            <w:tcW w:w="749" w:type="pct"/>
          </w:tcPr>
          <w:p w14:paraId="7E69C2B0" w14:textId="77777777" w:rsidR="001C08A5" w:rsidRDefault="00000000">
            <w:pPr>
              <w:jc w:val="center"/>
              <w:rPr>
                <w:b/>
                <w:i/>
                <w:iCs/>
                <w:sz w:val="22"/>
                <w:szCs w:val="22"/>
              </w:rPr>
            </w:pPr>
            <w:r>
              <w:rPr>
                <w:b/>
                <w:i/>
                <w:iCs/>
                <w:sz w:val="22"/>
                <w:szCs w:val="22"/>
              </w:rPr>
              <w:t>EI 15</w:t>
            </w:r>
          </w:p>
        </w:tc>
        <w:tc>
          <w:tcPr>
            <w:tcW w:w="804" w:type="pct"/>
          </w:tcPr>
          <w:p w14:paraId="3A5EE155" w14:textId="77777777" w:rsidR="001C08A5" w:rsidRDefault="00000000">
            <w:pPr>
              <w:jc w:val="center"/>
              <w:rPr>
                <w:b/>
                <w:i/>
                <w:iCs/>
                <w:sz w:val="22"/>
                <w:szCs w:val="22"/>
              </w:rPr>
            </w:pPr>
            <w:r>
              <w:rPr>
                <w:b/>
                <w:i/>
                <w:iCs/>
                <w:sz w:val="21"/>
                <w:szCs w:val="21"/>
              </w:rPr>
              <w:t xml:space="preserve">EI/REI </w:t>
            </w:r>
            <w:r>
              <w:rPr>
                <w:b/>
                <w:i/>
                <w:iCs/>
              </w:rPr>
              <w:t>15</w:t>
            </w:r>
          </w:p>
        </w:tc>
        <w:tc>
          <w:tcPr>
            <w:tcW w:w="599" w:type="pct"/>
          </w:tcPr>
          <w:p w14:paraId="64F75C68" w14:textId="77777777" w:rsidR="001C08A5" w:rsidRDefault="00000000">
            <w:pPr>
              <w:jc w:val="center"/>
              <w:rPr>
                <w:b/>
                <w:i/>
                <w:iCs/>
                <w:sz w:val="22"/>
                <w:szCs w:val="22"/>
              </w:rPr>
            </w:pPr>
            <w:r>
              <w:rPr>
                <w:b/>
                <w:i/>
                <w:iCs/>
                <w:sz w:val="21"/>
                <w:szCs w:val="21"/>
              </w:rPr>
              <w:t>EI 15</w:t>
            </w:r>
          </w:p>
        </w:tc>
      </w:tr>
      <w:tr w:rsidR="001C08A5" w14:paraId="73EC26DA" w14:textId="77777777">
        <w:tc>
          <w:tcPr>
            <w:tcW w:w="463" w:type="pct"/>
          </w:tcPr>
          <w:p w14:paraId="3B041BA9" w14:textId="77777777" w:rsidR="001C08A5" w:rsidRDefault="00000000">
            <w:pPr>
              <w:jc w:val="center"/>
              <w:rPr>
                <w:b/>
                <w:i/>
                <w:iCs/>
                <w:sz w:val="22"/>
                <w:szCs w:val="22"/>
              </w:rPr>
            </w:pPr>
            <w:r>
              <w:rPr>
                <w:b/>
                <w:i/>
                <w:iCs/>
                <w:sz w:val="22"/>
                <w:szCs w:val="22"/>
              </w:rPr>
              <w:t>III</w:t>
            </w:r>
          </w:p>
        </w:tc>
        <w:tc>
          <w:tcPr>
            <w:tcW w:w="845" w:type="pct"/>
          </w:tcPr>
          <w:p w14:paraId="27A5F5B8" w14:textId="77777777" w:rsidR="001C08A5" w:rsidRDefault="00000000">
            <w:pPr>
              <w:jc w:val="center"/>
              <w:rPr>
                <w:b/>
                <w:i/>
                <w:iCs/>
                <w:sz w:val="22"/>
                <w:szCs w:val="22"/>
              </w:rPr>
            </w:pPr>
            <w:r>
              <w:rPr>
                <w:b/>
                <w:i/>
                <w:iCs/>
                <w:sz w:val="22"/>
                <w:szCs w:val="22"/>
              </w:rPr>
              <w:t>EI/REI 45 (EI/REI 30*)</w:t>
            </w:r>
          </w:p>
        </w:tc>
        <w:tc>
          <w:tcPr>
            <w:tcW w:w="748" w:type="pct"/>
          </w:tcPr>
          <w:p w14:paraId="24D05230" w14:textId="77777777" w:rsidR="001C08A5" w:rsidRDefault="00000000">
            <w:pPr>
              <w:jc w:val="center"/>
              <w:rPr>
                <w:b/>
                <w:i/>
                <w:iCs/>
                <w:sz w:val="22"/>
                <w:szCs w:val="22"/>
              </w:rPr>
            </w:pPr>
            <w:r>
              <w:rPr>
                <w:b/>
                <w:i/>
                <w:iCs/>
                <w:sz w:val="22"/>
                <w:szCs w:val="22"/>
              </w:rPr>
              <w:t xml:space="preserve">EI30 </w:t>
            </w:r>
          </w:p>
        </w:tc>
        <w:tc>
          <w:tcPr>
            <w:tcW w:w="793" w:type="pct"/>
          </w:tcPr>
          <w:p w14:paraId="66EDB3B5" w14:textId="77777777" w:rsidR="001C08A5" w:rsidRDefault="00000000">
            <w:pPr>
              <w:jc w:val="center"/>
              <w:rPr>
                <w:b/>
                <w:i/>
                <w:iCs/>
                <w:sz w:val="22"/>
                <w:szCs w:val="22"/>
              </w:rPr>
            </w:pPr>
            <w:r>
              <w:rPr>
                <w:b/>
                <w:i/>
                <w:iCs/>
                <w:sz w:val="22"/>
                <w:szCs w:val="22"/>
              </w:rPr>
              <w:t>EI/REI 30</w:t>
            </w:r>
          </w:p>
          <w:p w14:paraId="48141067" w14:textId="77777777" w:rsidR="001C08A5" w:rsidRDefault="00000000">
            <w:pPr>
              <w:jc w:val="center"/>
              <w:rPr>
                <w:b/>
                <w:i/>
                <w:iCs/>
                <w:sz w:val="22"/>
                <w:szCs w:val="22"/>
              </w:rPr>
            </w:pPr>
            <w:r>
              <w:rPr>
                <w:b/>
                <w:i/>
                <w:iCs/>
                <w:sz w:val="22"/>
                <w:szCs w:val="22"/>
              </w:rPr>
              <w:t>(EI/REI 30*)</w:t>
            </w:r>
          </w:p>
        </w:tc>
        <w:tc>
          <w:tcPr>
            <w:tcW w:w="749" w:type="pct"/>
          </w:tcPr>
          <w:p w14:paraId="44C61D9A" w14:textId="77777777" w:rsidR="001C08A5" w:rsidRDefault="00000000">
            <w:pPr>
              <w:jc w:val="center"/>
              <w:rPr>
                <w:b/>
                <w:i/>
                <w:iCs/>
                <w:sz w:val="22"/>
                <w:szCs w:val="22"/>
              </w:rPr>
            </w:pPr>
            <w:r>
              <w:rPr>
                <w:b/>
                <w:i/>
                <w:iCs/>
                <w:sz w:val="22"/>
                <w:szCs w:val="22"/>
              </w:rPr>
              <w:t>EI 15</w:t>
            </w:r>
          </w:p>
        </w:tc>
        <w:tc>
          <w:tcPr>
            <w:tcW w:w="804" w:type="pct"/>
          </w:tcPr>
          <w:p w14:paraId="7F6A8325" w14:textId="77777777" w:rsidR="001C08A5" w:rsidRDefault="00000000">
            <w:pPr>
              <w:jc w:val="center"/>
              <w:rPr>
                <w:b/>
                <w:i/>
                <w:iCs/>
                <w:sz w:val="22"/>
                <w:szCs w:val="22"/>
              </w:rPr>
            </w:pPr>
            <w:r>
              <w:rPr>
                <w:b/>
                <w:i/>
                <w:iCs/>
                <w:sz w:val="21"/>
                <w:szCs w:val="21"/>
              </w:rPr>
              <w:t xml:space="preserve">EI/REI </w:t>
            </w:r>
            <w:r>
              <w:rPr>
                <w:b/>
                <w:i/>
                <w:iCs/>
              </w:rPr>
              <w:t xml:space="preserve">30 </w:t>
            </w:r>
            <w:r>
              <w:rPr>
                <w:b/>
                <w:i/>
                <w:iCs/>
                <w:sz w:val="21"/>
                <w:szCs w:val="21"/>
              </w:rPr>
              <w:t xml:space="preserve">(EI/REI </w:t>
            </w:r>
            <w:r>
              <w:rPr>
                <w:b/>
                <w:i/>
                <w:iCs/>
              </w:rPr>
              <w:t>15</w:t>
            </w:r>
            <w:r>
              <w:rPr>
                <w:b/>
                <w:i/>
                <w:iCs/>
                <w:sz w:val="21"/>
                <w:szCs w:val="21"/>
              </w:rPr>
              <w:t>*)</w:t>
            </w:r>
          </w:p>
        </w:tc>
        <w:tc>
          <w:tcPr>
            <w:tcW w:w="599" w:type="pct"/>
          </w:tcPr>
          <w:p w14:paraId="3436195B" w14:textId="77777777" w:rsidR="001C08A5" w:rsidRDefault="00000000">
            <w:pPr>
              <w:jc w:val="center"/>
              <w:rPr>
                <w:b/>
                <w:i/>
                <w:iCs/>
              </w:rPr>
            </w:pPr>
            <w:r>
              <w:rPr>
                <w:b/>
                <w:i/>
                <w:iCs/>
                <w:sz w:val="21"/>
                <w:szCs w:val="21"/>
              </w:rPr>
              <w:t>EI 15</w:t>
            </w:r>
          </w:p>
          <w:p w14:paraId="1A7775BA" w14:textId="77777777" w:rsidR="001C08A5" w:rsidRDefault="00000000">
            <w:pPr>
              <w:jc w:val="center"/>
              <w:rPr>
                <w:b/>
                <w:i/>
                <w:iCs/>
                <w:sz w:val="22"/>
                <w:szCs w:val="22"/>
              </w:rPr>
            </w:pPr>
            <w:r>
              <w:rPr>
                <w:b/>
                <w:i/>
                <w:iCs/>
              </w:rPr>
              <w:t>(</w:t>
            </w:r>
            <w:r>
              <w:rPr>
                <w:b/>
                <w:i/>
                <w:iCs/>
                <w:sz w:val="21"/>
                <w:szCs w:val="21"/>
              </w:rPr>
              <w:t>EI 15*</w:t>
            </w:r>
            <w:r>
              <w:rPr>
                <w:b/>
                <w:i/>
                <w:iCs/>
              </w:rPr>
              <w:t>)</w:t>
            </w:r>
          </w:p>
        </w:tc>
      </w:tr>
      <w:tr w:rsidR="001C08A5" w14:paraId="6E472444" w14:textId="77777777">
        <w:tc>
          <w:tcPr>
            <w:tcW w:w="463" w:type="pct"/>
          </w:tcPr>
          <w:p w14:paraId="459B6192" w14:textId="77777777" w:rsidR="001C08A5" w:rsidRDefault="00000000">
            <w:pPr>
              <w:jc w:val="center"/>
              <w:rPr>
                <w:b/>
                <w:i/>
                <w:iCs/>
                <w:sz w:val="22"/>
                <w:szCs w:val="22"/>
              </w:rPr>
            </w:pPr>
            <w:r>
              <w:rPr>
                <w:b/>
                <w:i/>
                <w:iCs/>
                <w:sz w:val="22"/>
                <w:szCs w:val="22"/>
              </w:rPr>
              <w:t xml:space="preserve">II </w:t>
            </w:r>
          </w:p>
        </w:tc>
        <w:tc>
          <w:tcPr>
            <w:tcW w:w="845" w:type="pct"/>
          </w:tcPr>
          <w:p w14:paraId="74FAF8ED" w14:textId="77777777" w:rsidR="001C08A5" w:rsidRDefault="00000000">
            <w:pPr>
              <w:jc w:val="center"/>
              <w:rPr>
                <w:b/>
                <w:i/>
                <w:iCs/>
                <w:sz w:val="22"/>
                <w:szCs w:val="22"/>
              </w:rPr>
            </w:pPr>
            <w:r>
              <w:rPr>
                <w:b/>
                <w:i/>
                <w:iCs/>
                <w:sz w:val="22"/>
                <w:szCs w:val="22"/>
              </w:rPr>
              <w:t>EI/REI 60 (EI/REI 45*)</w:t>
            </w:r>
          </w:p>
        </w:tc>
        <w:tc>
          <w:tcPr>
            <w:tcW w:w="748" w:type="pct"/>
          </w:tcPr>
          <w:p w14:paraId="5B2C8299" w14:textId="77777777" w:rsidR="001C08A5" w:rsidRDefault="00000000">
            <w:pPr>
              <w:jc w:val="center"/>
              <w:rPr>
                <w:b/>
                <w:i/>
                <w:iCs/>
                <w:sz w:val="22"/>
                <w:szCs w:val="22"/>
              </w:rPr>
            </w:pPr>
            <w:r>
              <w:rPr>
                <w:b/>
                <w:i/>
                <w:iCs/>
                <w:sz w:val="22"/>
                <w:szCs w:val="22"/>
              </w:rPr>
              <w:t xml:space="preserve">EI 45 </w:t>
            </w:r>
          </w:p>
          <w:p w14:paraId="559B1401" w14:textId="77777777" w:rsidR="001C08A5" w:rsidRDefault="00000000">
            <w:pPr>
              <w:jc w:val="center"/>
              <w:rPr>
                <w:b/>
                <w:i/>
                <w:iCs/>
                <w:sz w:val="22"/>
                <w:szCs w:val="22"/>
              </w:rPr>
            </w:pPr>
            <w:r>
              <w:rPr>
                <w:b/>
                <w:i/>
                <w:iCs/>
                <w:sz w:val="22"/>
                <w:szCs w:val="22"/>
              </w:rPr>
              <w:t>(EI 30*)</w:t>
            </w:r>
          </w:p>
        </w:tc>
        <w:tc>
          <w:tcPr>
            <w:tcW w:w="793" w:type="pct"/>
          </w:tcPr>
          <w:p w14:paraId="395B3DD6" w14:textId="77777777" w:rsidR="001C08A5" w:rsidRDefault="00000000">
            <w:pPr>
              <w:jc w:val="center"/>
              <w:rPr>
                <w:b/>
                <w:i/>
                <w:iCs/>
                <w:sz w:val="22"/>
                <w:szCs w:val="22"/>
              </w:rPr>
            </w:pPr>
            <w:r>
              <w:rPr>
                <w:b/>
                <w:i/>
                <w:iCs/>
                <w:sz w:val="22"/>
                <w:szCs w:val="22"/>
              </w:rPr>
              <w:t>EI/REI 45 (EI/REI 30*)</w:t>
            </w:r>
          </w:p>
        </w:tc>
        <w:tc>
          <w:tcPr>
            <w:tcW w:w="749" w:type="pct"/>
          </w:tcPr>
          <w:p w14:paraId="7C5FFB8D" w14:textId="77777777" w:rsidR="001C08A5" w:rsidRDefault="00000000">
            <w:pPr>
              <w:jc w:val="center"/>
              <w:rPr>
                <w:b/>
                <w:i/>
                <w:iCs/>
                <w:sz w:val="22"/>
                <w:szCs w:val="22"/>
              </w:rPr>
            </w:pPr>
            <w:r>
              <w:rPr>
                <w:b/>
                <w:i/>
                <w:iCs/>
                <w:sz w:val="22"/>
                <w:szCs w:val="22"/>
              </w:rPr>
              <w:t>EI 30</w:t>
            </w:r>
          </w:p>
          <w:p w14:paraId="09425500" w14:textId="77777777" w:rsidR="001C08A5" w:rsidRDefault="00000000">
            <w:pPr>
              <w:jc w:val="center"/>
              <w:rPr>
                <w:b/>
                <w:i/>
                <w:iCs/>
                <w:sz w:val="22"/>
                <w:szCs w:val="22"/>
              </w:rPr>
            </w:pPr>
            <w:r>
              <w:rPr>
                <w:b/>
                <w:i/>
                <w:iCs/>
                <w:sz w:val="22"/>
                <w:szCs w:val="22"/>
              </w:rPr>
              <w:t>(EI 15*)</w:t>
            </w:r>
          </w:p>
        </w:tc>
        <w:tc>
          <w:tcPr>
            <w:tcW w:w="804" w:type="pct"/>
          </w:tcPr>
          <w:p w14:paraId="50C38F61" w14:textId="77777777" w:rsidR="001C08A5" w:rsidRDefault="00000000">
            <w:pPr>
              <w:jc w:val="center"/>
              <w:rPr>
                <w:b/>
                <w:i/>
                <w:iCs/>
                <w:sz w:val="22"/>
                <w:szCs w:val="22"/>
              </w:rPr>
            </w:pPr>
            <w:r>
              <w:rPr>
                <w:b/>
                <w:i/>
                <w:iCs/>
                <w:sz w:val="21"/>
                <w:szCs w:val="21"/>
              </w:rPr>
              <w:t xml:space="preserve">EI/REI </w:t>
            </w:r>
            <w:r>
              <w:rPr>
                <w:b/>
                <w:i/>
                <w:iCs/>
              </w:rPr>
              <w:t xml:space="preserve">45 </w:t>
            </w:r>
            <w:r>
              <w:rPr>
                <w:b/>
                <w:i/>
                <w:iCs/>
                <w:sz w:val="21"/>
                <w:szCs w:val="21"/>
              </w:rPr>
              <w:t xml:space="preserve">(EI/REI </w:t>
            </w:r>
            <w:r>
              <w:rPr>
                <w:b/>
                <w:i/>
                <w:iCs/>
              </w:rPr>
              <w:t>30</w:t>
            </w:r>
            <w:r>
              <w:rPr>
                <w:b/>
                <w:i/>
                <w:iCs/>
                <w:sz w:val="21"/>
                <w:szCs w:val="21"/>
              </w:rPr>
              <w:t>*)</w:t>
            </w:r>
          </w:p>
        </w:tc>
        <w:tc>
          <w:tcPr>
            <w:tcW w:w="599" w:type="pct"/>
          </w:tcPr>
          <w:p w14:paraId="796066C8" w14:textId="77777777" w:rsidR="001C08A5" w:rsidRDefault="00000000">
            <w:pPr>
              <w:jc w:val="center"/>
              <w:rPr>
                <w:b/>
                <w:i/>
                <w:iCs/>
              </w:rPr>
            </w:pPr>
            <w:r>
              <w:rPr>
                <w:b/>
                <w:i/>
                <w:iCs/>
                <w:sz w:val="21"/>
                <w:szCs w:val="21"/>
              </w:rPr>
              <w:t>EI 30</w:t>
            </w:r>
          </w:p>
          <w:p w14:paraId="0254121A" w14:textId="77777777" w:rsidR="001C08A5" w:rsidRDefault="00000000">
            <w:pPr>
              <w:jc w:val="center"/>
              <w:rPr>
                <w:b/>
                <w:i/>
                <w:iCs/>
                <w:sz w:val="22"/>
                <w:szCs w:val="22"/>
              </w:rPr>
            </w:pPr>
            <w:r>
              <w:rPr>
                <w:b/>
                <w:i/>
                <w:iCs/>
              </w:rPr>
              <w:t>(</w:t>
            </w:r>
            <w:r>
              <w:rPr>
                <w:b/>
                <w:i/>
                <w:iCs/>
                <w:sz w:val="21"/>
                <w:szCs w:val="21"/>
              </w:rPr>
              <w:t>EI 15*</w:t>
            </w:r>
            <w:r>
              <w:rPr>
                <w:b/>
                <w:i/>
                <w:iCs/>
              </w:rPr>
              <w:t>)</w:t>
            </w:r>
          </w:p>
        </w:tc>
      </w:tr>
      <w:tr w:rsidR="001C08A5" w14:paraId="4D135D2D" w14:textId="77777777">
        <w:tc>
          <w:tcPr>
            <w:tcW w:w="463" w:type="pct"/>
          </w:tcPr>
          <w:p w14:paraId="3A474715" w14:textId="77777777" w:rsidR="001C08A5" w:rsidRDefault="00000000">
            <w:pPr>
              <w:jc w:val="center"/>
              <w:rPr>
                <w:b/>
                <w:i/>
                <w:iCs/>
                <w:sz w:val="22"/>
                <w:szCs w:val="22"/>
              </w:rPr>
            </w:pPr>
            <w:r>
              <w:rPr>
                <w:b/>
                <w:i/>
                <w:iCs/>
                <w:sz w:val="22"/>
                <w:szCs w:val="22"/>
              </w:rPr>
              <w:t>I</w:t>
            </w:r>
          </w:p>
          <w:p w14:paraId="5B7EBD47" w14:textId="77777777" w:rsidR="001C08A5" w:rsidRDefault="00000000">
            <w:pPr>
              <w:jc w:val="center"/>
              <w:rPr>
                <w:b/>
                <w:i/>
                <w:iCs/>
                <w:sz w:val="22"/>
                <w:szCs w:val="22"/>
              </w:rPr>
            </w:pPr>
            <w:r>
              <w:rPr>
                <w:b/>
                <w:i/>
                <w:iCs/>
                <w:sz w:val="22"/>
                <w:szCs w:val="22"/>
              </w:rPr>
              <w:t>h≤28m</w:t>
            </w:r>
          </w:p>
        </w:tc>
        <w:tc>
          <w:tcPr>
            <w:tcW w:w="845" w:type="pct"/>
          </w:tcPr>
          <w:p w14:paraId="28304607" w14:textId="77777777" w:rsidR="001C08A5" w:rsidRDefault="00000000">
            <w:pPr>
              <w:jc w:val="center"/>
              <w:rPr>
                <w:b/>
                <w:i/>
                <w:iCs/>
                <w:strike/>
                <w:sz w:val="22"/>
                <w:szCs w:val="22"/>
              </w:rPr>
            </w:pPr>
            <w:r>
              <w:rPr>
                <w:b/>
                <w:i/>
                <w:iCs/>
                <w:sz w:val="22"/>
                <w:szCs w:val="22"/>
              </w:rPr>
              <w:t>EI/REI 60 (EI/REI 45*)</w:t>
            </w:r>
          </w:p>
        </w:tc>
        <w:tc>
          <w:tcPr>
            <w:tcW w:w="748" w:type="pct"/>
          </w:tcPr>
          <w:p w14:paraId="5EFB5056" w14:textId="77777777" w:rsidR="001C08A5" w:rsidRDefault="00000000">
            <w:pPr>
              <w:jc w:val="center"/>
              <w:rPr>
                <w:b/>
                <w:i/>
                <w:iCs/>
                <w:sz w:val="22"/>
                <w:szCs w:val="22"/>
              </w:rPr>
            </w:pPr>
            <w:r>
              <w:rPr>
                <w:b/>
                <w:i/>
                <w:iCs/>
                <w:sz w:val="22"/>
                <w:szCs w:val="22"/>
              </w:rPr>
              <w:t xml:space="preserve">EI 45 </w:t>
            </w:r>
          </w:p>
          <w:p w14:paraId="6A45CC41" w14:textId="77777777" w:rsidR="001C08A5" w:rsidRDefault="00000000">
            <w:pPr>
              <w:jc w:val="center"/>
              <w:rPr>
                <w:b/>
                <w:i/>
                <w:iCs/>
                <w:strike/>
                <w:sz w:val="22"/>
                <w:szCs w:val="22"/>
              </w:rPr>
            </w:pPr>
            <w:r>
              <w:rPr>
                <w:b/>
                <w:i/>
                <w:iCs/>
                <w:sz w:val="22"/>
                <w:szCs w:val="22"/>
              </w:rPr>
              <w:t>(EI 30*)</w:t>
            </w:r>
          </w:p>
        </w:tc>
        <w:tc>
          <w:tcPr>
            <w:tcW w:w="793" w:type="pct"/>
          </w:tcPr>
          <w:p w14:paraId="12B9D1BA" w14:textId="77777777" w:rsidR="001C08A5" w:rsidRDefault="00000000">
            <w:pPr>
              <w:jc w:val="center"/>
              <w:rPr>
                <w:b/>
                <w:i/>
                <w:iCs/>
                <w:strike/>
                <w:sz w:val="22"/>
                <w:szCs w:val="22"/>
              </w:rPr>
            </w:pPr>
            <w:r>
              <w:rPr>
                <w:b/>
                <w:i/>
                <w:iCs/>
                <w:sz w:val="22"/>
                <w:szCs w:val="22"/>
              </w:rPr>
              <w:t>EI/REI 45 (EI/REI 30*)</w:t>
            </w:r>
          </w:p>
        </w:tc>
        <w:tc>
          <w:tcPr>
            <w:tcW w:w="749" w:type="pct"/>
          </w:tcPr>
          <w:p w14:paraId="7DAF8690" w14:textId="77777777" w:rsidR="001C08A5" w:rsidRDefault="00000000">
            <w:pPr>
              <w:jc w:val="center"/>
              <w:rPr>
                <w:b/>
                <w:i/>
                <w:iCs/>
                <w:sz w:val="22"/>
                <w:szCs w:val="22"/>
              </w:rPr>
            </w:pPr>
            <w:r>
              <w:rPr>
                <w:b/>
                <w:i/>
                <w:iCs/>
                <w:sz w:val="22"/>
                <w:szCs w:val="22"/>
              </w:rPr>
              <w:t>EI 30</w:t>
            </w:r>
          </w:p>
          <w:p w14:paraId="51CA32C7" w14:textId="77777777" w:rsidR="001C08A5" w:rsidRDefault="00000000">
            <w:pPr>
              <w:jc w:val="center"/>
              <w:rPr>
                <w:b/>
                <w:i/>
                <w:iCs/>
                <w:strike/>
                <w:sz w:val="22"/>
                <w:szCs w:val="22"/>
              </w:rPr>
            </w:pPr>
            <w:r>
              <w:rPr>
                <w:b/>
                <w:i/>
                <w:iCs/>
                <w:sz w:val="22"/>
                <w:szCs w:val="22"/>
              </w:rPr>
              <w:t>(EI 15*)</w:t>
            </w:r>
          </w:p>
        </w:tc>
        <w:tc>
          <w:tcPr>
            <w:tcW w:w="804" w:type="pct"/>
          </w:tcPr>
          <w:p w14:paraId="550AEEDB" w14:textId="77777777" w:rsidR="001C08A5" w:rsidRDefault="00000000">
            <w:pPr>
              <w:jc w:val="center"/>
              <w:rPr>
                <w:b/>
                <w:i/>
                <w:iCs/>
                <w:sz w:val="22"/>
                <w:szCs w:val="22"/>
              </w:rPr>
            </w:pPr>
            <w:r>
              <w:rPr>
                <w:b/>
                <w:i/>
                <w:iCs/>
                <w:sz w:val="22"/>
                <w:szCs w:val="22"/>
              </w:rPr>
              <w:t>EI/REI 45 (EI/REI 30*)</w:t>
            </w:r>
          </w:p>
        </w:tc>
        <w:tc>
          <w:tcPr>
            <w:tcW w:w="599" w:type="pct"/>
          </w:tcPr>
          <w:p w14:paraId="1F7A3D59" w14:textId="77777777" w:rsidR="001C08A5" w:rsidRDefault="00000000">
            <w:pPr>
              <w:jc w:val="center"/>
              <w:rPr>
                <w:b/>
                <w:i/>
                <w:iCs/>
                <w:sz w:val="22"/>
                <w:szCs w:val="22"/>
              </w:rPr>
            </w:pPr>
            <w:r>
              <w:rPr>
                <w:b/>
                <w:i/>
                <w:iCs/>
                <w:sz w:val="22"/>
                <w:szCs w:val="22"/>
              </w:rPr>
              <w:t>EI 30</w:t>
            </w:r>
          </w:p>
          <w:p w14:paraId="2F90477D" w14:textId="77777777" w:rsidR="001C08A5" w:rsidRDefault="00000000">
            <w:pPr>
              <w:jc w:val="center"/>
              <w:rPr>
                <w:b/>
                <w:i/>
                <w:iCs/>
                <w:sz w:val="22"/>
                <w:szCs w:val="22"/>
              </w:rPr>
            </w:pPr>
            <w:r>
              <w:rPr>
                <w:b/>
                <w:i/>
                <w:iCs/>
                <w:sz w:val="22"/>
                <w:szCs w:val="22"/>
              </w:rPr>
              <w:t>(EI 15*)</w:t>
            </w:r>
          </w:p>
        </w:tc>
      </w:tr>
      <w:tr w:rsidR="001C08A5" w14:paraId="3647D1AB" w14:textId="77777777">
        <w:tc>
          <w:tcPr>
            <w:tcW w:w="463" w:type="pct"/>
          </w:tcPr>
          <w:p w14:paraId="7AEA6E39" w14:textId="77777777" w:rsidR="001C08A5" w:rsidRDefault="00000000">
            <w:pPr>
              <w:jc w:val="center"/>
              <w:rPr>
                <w:b/>
                <w:i/>
                <w:iCs/>
                <w:sz w:val="22"/>
                <w:szCs w:val="22"/>
              </w:rPr>
            </w:pPr>
            <w:r>
              <w:rPr>
                <w:b/>
                <w:i/>
                <w:iCs/>
                <w:sz w:val="22"/>
                <w:szCs w:val="22"/>
              </w:rPr>
              <w:t>I</w:t>
            </w:r>
          </w:p>
          <w:p w14:paraId="0E93699C" w14:textId="77777777" w:rsidR="001C08A5" w:rsidRDefault="00000000">
            <w:pPr>
              <w:jc w:val="center"/>
              <w:rPr>
                <w:b/>
                <w:i/>
                <w:iCs/>
                <w:sz w:val="22"/>
                <w:szCs w:val="22"/>
              </w:rPr>
            </w:pPr>
            <w:r>
              <w:rPr>
                <w:b/>
                <w:i/>
                <w:iCs/>
                <w:sz w:val="22"/>
                <w:szCs w:val="22"/>
              </w:rPr>
              <w:t>28m&lt;h&lt;45m</w:t>
            </w:r>
          </w:p>
        </w:tc>
        <w:tc>
          <w:tcPr>
            <w:tcW w:w="845" w:type="pct"/>
          </w:tcPr>
          <w:p w14:paraId="48474489" w14:textId="77777777" w:rsidR="001C08A5" w:rsidRDefault="00000000">
            <w:pPr>
              <w:jc w:val="center"/>
              <w:rPr>
                <w:b/>
                <w:i/>
                <w:iCs/>
                <w:sz w:val="22"/>
                <w:szCs w:val="22"/>
              </w:rPr>
            </w:pPr>
            <w:r>
              <w:rPr>
                <w:b/>
                <w:i/>
                <w:iCs/>
                <w:sz w:val="22"/>
                <w:szCs w:val="22"/>
              </w:rPr>
              <w:t>EI/REI 90 (EI/REI 60*)</w:t>
            </w:r>
          </w:p>
        </w:tc>
        <w:tc>
          <w:tcPr>
            <w:tcW w:w="748" w:type="pct"/>
          </w:tcPr>
          <w:p w14:paraId="711D24D1" w14:textId="77777777" w:rsidR="001C08A5" w:rsidRDefault="00000000">
            <w:pPr>
              <w:jc w:val="center"/>
              <w:rPr>
                <w:b/>
                <w:i/>
                <w:iCs/>
                <w:sz w:val="22"/>
                <w:szCs w:val="22"/>
              </w:rPr>
            </w:pPr>
            <w:r>
              <w:rPr>
                <w:b/>
                <w:i/>
                <w:iCs/>
                <w:sz w:val="22"/>
                <w:szCs w:val="22"/>
              </w:rPr>
              <w:t xml:space="preserve">EI 60 </w:t>
            </w:r>
          </w:p>
          <w:p w14:paraId="061A5918" w14:textId="77777777" w:rsidR="001C08A5" w:rsidRDefault="00000000">
            <w:pPr>
              <w:jc w:val="center"/>
              <w:rPr>
                <w:b/>
                <w:i/>
                <w:iCs/>
                <w:sz w:val="22"/>
                <w:szCs w:val="22"/>
              </w:rPr>
            </w:pPr>
            <w:r>
              <w:rPr>
                <w:b/>
                <w:i/>
                <w:iCs/>
                <w:sz w:val="22"/>
                <w:szCs w:val="22"/>
              </w:rPr>
              <w:t>(EI 45*)</w:t>
            </w:r>
          </w:p>
        </w:tc>
        <w:tc>
          <w:tcPr>
            <w:tcW w:w="793" w:type="pct"/>
          </w:tcPr>
          <w:p w14:paraId="3BD8A83D" w14:textId="77777777" w:rsidR="001C08A5" w:rsidRDefault="00000000">
            <w:pPr>
              <w:jc w:val="center"/>
              <w:rPr>
                <w:bCs/>
                <w:i/>
                <w:iCs/>
                <w:sz w:val="22"/>
                <w:szCs w:val="22"/>
              </w:rPr>
            </w:pPr>
            <w:r>
              <w:rPr>
                <w:b/>
                <w:i/>
                <w:iCs/>
                <w:sz w:val="22"/>
                <w:szCs w:val="22"/>
              </w:rPr>
              <w:t>EI/REI 60 (EI/REI 45*)</w:t>
            </w:r>
          </w:p>
        </w:tc>
        <w:tc>
          <w:tcPr>
            <w:tcW w:w="749" w:type="pct"/>
          </w:tcPr>
          <w:p w14:paraId="01BB00AF" w14:textId="77777777" w:rsidR="001C08A5" w:rsidRDefault="00000000">
            <w:pPr>
              <w:jc w:val="center"/>
              <w:rPr>
                <w:b/>
                <w:i/>
                <w:iCs/>
                <w:sz w:val="22"/>
                <w:szCs w:val="22"/>
              </w:rPr>
            </w:pPr>
            <w:r>
              <w:rPr>
                <w:b/>
                <w:i/>
                <w:iCs/>
                <w:sz w:val="22"/>
                <w:szCs w:val="22"/>
              </w:rPr>
              <w:t xml:space="preserve">EI 45 </w:t>
            </w:r>
          </w:p>
          <w:p w14:paraId="7E15E8DA" w14:textId="77777777" w:rsidR="001C08A5" w:rsidRDefault="00000000">
            <w:pPr>
              <w:jc w:val="center"/>
              <w:rPr>
                <w:b/>
                <w:i/>
                <w:iCs/>
                <w:sz w:val="22"/>
                <w:szCs w:val="22"/>
              </w:rPr>
            </w:pPr>
            <w:r>
              <w:rPr>
                <w:b/>
                <w:i/>
                <w:iCs/>
                <w:sz w:val="22"/>
                <w:szCs w:val="22"/>
              </w:rPr>
              <w:t>(EI 30*)</w:t>
            </w:r>
          </w:p>
        </w:tc>
        <w:tc>
          <w:tcPr>
            <w:tcW w:w="804" w:type="pct"/>
          </w:tcPr>
          <w:p w14:paraId="2992E4A4" w14:textId="77777777" w:rsidR="001C08A5" w:rsidRDefault="00000000">
            <w:pPr>
              <w:jc w:val="center"/>
              <w:rPr>
                <w:bCs/>
                <w:i/>
                <w:iCs/>
                <w:sz w:val="22"/>
                <w:szCs w:val="22"/>
              </w:rPr>
            </w:pPr>
            <w:r>
              <w:rPr>
                <w:bCs/>
                <w:i/>
                <w:iCs/>
                <w:sz w:val="22"/>
                <w:szCs w:val="22"/>
              </w:rPr>
              <w:t>-</w:t>
            </w:r>
          </w:p>
        </w:tc>
        <w:tc>
          <w:tcPr>
            <w:tcW w:w="599" w:type="pct"/>
          </w:tcPr>
          <w:p w14:paraId="035A3249" w14:textId="77777777" w:rsidR="001C08A5" w:rsidRDefault="00000000">
            <w:pPr>
              <w:jc w:val="center"/>
              <w:rPr>
                <w:bCs/>
                <w:i/>
                <w:iCs/>
                <w:sz w:val="22"/>
                <w:szCs w:val="22"/>
              </w:rPr>
            </w:pPr>
            <w:r>
              <w:rPr>
                <w:bCs/>
                <w:i/>
                <w:iCs/>
                <w:sz w:val="22"/>
                <w:szCs w:val="22"/>
              </w:rPr>
              <w:t>-</w:t>
            </w:r>
          </w:p>
        </w:tc>
      </w:tr>
      <w:tr w:rsidR="001C08A5" w14:paraId="7BB63258" w14:textId="77777777">
        <w:tc>
          <w:tcPr>
            <w:tcW w:w="463" w:type="pct"/>
          </w:tcPr>
          <w:p w14:paraId="7C435AF8" w14:textId="77777777" w:rsidR="001C08A5" w:rsidRDefault="00000000">
            <w:pPr>
              <w:jc w:val="center"/>
              <w:rPr>
                <w:b/>
                <w:i/>
                <w:iCs/>
                <w:sz w:val="22"/>
                <w:szCs w:val="22"/>
              </w:rPr>
            </w:pPr>
            <w:r>
              <w:rPr>
                <w:b/>
                <w:i/>
                <w:iCs/>
                <w:sz w:val="22"/>
                <w:szCs w:val="22"/>
              </w:rPr>
              <w:t>I</w:t>
            </w:r>
          </w:p>
          <w:p w14:paraId="3F05D1BB" w14:textId="77777777" w:rsidR="001C08A5" w:rsidRDefault="00000000">
            <w:pPr>
              <w:jc w:val="center"/>
              <w:rPr>
                <w:b/>
                <w:i/>
                <w:iCs/>
                <w:sz w:val="22"/>
                <w:szCs w:val="22"/>
              </w:rPr>
            </w:pPr>
            <w:r>
              <w:rPr>
                <w:b/>
                <w:i/>
                <w:iCs/>
                <w:sz w:val="22"/>
                <w:szCs w:val="22"/>
              </w:rPr>
              <w:t>45m≤ h&lt;75m</w:t>
            </w:r>
          </w:p>
        </w:tc>
        <w:tc>
          <w:tcPr>
            <w:tcW w:w="845" w:type="pct"/>
          </w:tcPr>
          <w:p w14:paraId="5D4BD3AA" w14:textId="77777777" w:rsidR="001C08A5" w:rsidRDefault="00000000">
            <w:pPr>
              <w:jc w:val="center"/>
              <w:rPr>
                <w:b/>
                <w:i/>
                <w:iCs/>
                <w:sz w:val="22"/>
                <w:szCs w:val="22"/>
              </w:rPr>
            </w:pPr>
            <w:r>
              <w:rPr>
                <w:b/>
                <w:i/>
                <w:iCs/>
                <w:sz w:val="22"/>
                <w:szCs w:val="22"/>
              </w:rPr>
              <w:t>EI/REI 120 (EI/REI 90*)</w:t>
            </w:r>
          </w:p>
        </w:tc>
        <w:tc>
          <w:tcPr>
            <w:tcW w:w="748" w:type="pct"/>
          </w:tcPr>
          <w:p w14:paraId="41040DB4" w14:textId="77777777" w:rsidR="001C08A5" w:rsidRDefault="00000000">
            <w:pPr>
              <w:jc w:val="center"/>
              <w:rPr>
                <w:b/>
                <w:i/>
                <w:iCs/>
                <w:sz w:val="22"/>
                <w:szCs w:val="22"/>
              </w:rPr>
            </w:pPr>
            <w:r>
              <w:rPr>
                <w:b/>
                <w:i/>
                <w:iCs/>
                <w:sz w:val="22"/>
                <w:szCs w:val="22"/>
              </w:rPr>
              <w:t xml:space="preserve">EI 90 </w:t>
            </w:r>
          </w:p>
          <w:p w14:paraId="538E9046" w14:textId="77777777" w:rsidR="001C08A5" w:rsidRDefault="00000000">
            <w:pPr>
              <w:jc w:val="center"/>
              <w:rPr>
                <w:b/>
                <w:i/>
                <w:iCs/>
                <w:sz w:val="22"/>
                <w:szCs w:val="22"/>
              </w:rPr>
            </w:pPr>
            <w:r>
              <w:rPr>
                <w:b/>
                <w:i/>
                <w:iCs/>
                <w:sz w:val="22"/>
                <w:szCs w:val="22"/>
              </w:rPr>
              <w:t>(EI 60*)</w:t>
            </w:r>
          </w:p>
        </w:tc>
        <w:tc>
          <w:tcPr>
            <w:tcW w:w="793" w:type="pct"/>
          </w:tcPr>
          <w:p w14:paraId="1F41BE20" w14:textId="77777777" w:rsidR="001C08A5" w:rsidRDefault="00000000">
            <w:pPr>
              <w:jc w:val="center"/>
              <w:rPr>
                <w:b/>
                <w:i/>
                <w:iCs/>
                <w:sz w:val="22"/>
                <w:szCs w:val="22"/>
              </w:rPr>
            </w:pPr>
            <w:r>
              <w:rPr>
                <w:b/>
                <w:i/>
                <w:iCs/>
                <w:sz w:val="22"/>
                <w:szCs w:val="22"/>
              </w:rPr>
              <w:t>EI/REI 90 (EI/REI 60*)</w:t>
            </w:r>
          </w:p>
        </w:tc>
        <w:tc>
          <w:tcPr>
            <w:tcW w:w="749" w:type="pct"/>
          </w:tcPr>
          <w:p w14:paraId="38278C4B" w14:textId="77777777" w:rsidR="001C08A5" w:rsidRDefault="00000000">
            <w:pPr>
              <w:jc w:val="center"/>
              <w:rPr>
                <w:b/>
                <w:i/>
                <w:iCs/>
                <w:sz w:val="22"/>
                <w:szCs w:val="22"/>
              </w:rPr>
            </w:pPr>
            <w:r>
              <w:rPr>
                <w:b/>
                <w:i/>
                <w:iCs/>
                <w:sz w:val="22"/>
                <w:szCs w:val="22"/>
              </w:rPr>
              <w:t xml:space="preserve">EI 60 </w:t>
            </w:r>
          </w:p>
          <w:p w14:paraId="603DFBB3" w14:textId="77777777" w:rsidR="001C08A5" w:rsidRDefault="00000000">
            <w:pPr>
              <w:jc w:val="center"/>
              <w:rPr>
                <w:b/>
                <w:i/>
                <w:iCs/>
                <w:sz w:val="22"/>
                <w:szCs w:val="22"/>
              </w:rPr>
            </w:pPr>
            <w:r>
              <w:rPr>
                <w:b/>
                <w:i/>
                <w:iCs/>
                <w:sz w:val="22"/>
                <w:szCs w:val="22"/>
              </w:rPr>
              <w:t>(EI 45*)</w:t>
            </w:r>
          </w:p>
        </w:tc>
        <w:tc>
          <w:tcPr>
            <w:tcW w:w="804" w:type="pct"/>
          </w:tcPr>
          <w:p w14:paraId="44EDF5CB" w14:textId="77777777" w:rsidR="001C08A5" w:rsidRDefault="00000000">
            <w:pPr>
              <w:jc w:val="center"/>
              <w:rPr>
                <w:bCs/>
                <w:i/>
                <w:iCs/>
                <w:sz w:val="22"/>
                <w:szCs w:val="22"/>
              </w:rPr>
            </w:pPr>
            <w:r>
              <w:rPr>
                <w:bCs/>
                <w:i/>
                <w:iCs/>
              </w:rPr>
              <w:t>-</w:t>
            </w:r>
          </w:p>
        </w:tc>
        <w:tc>
          <w:tcPr>
            <w:tcW w:w="599" w:type="pct"/>
          </w:tcPr>
          <w:p w14:paraId="77FB3892" w14:textId="77777777" w:rsidR="001C08A5" w:rsidRDefault="00000000">
            <w:pPr>
              <w:jc w:val="center"/>
              <w:rPr>
                <w:b/>
                <w:i/>
                <w:iCs/>
                <w:sz w:val="22"/>
                <w:szCs w:val="22"/>
              </w:rPr>
            </w:pPr>
            <w:r>
              <w:rPr>
                <w:b/>
                <w:i/>
                <w:iCs/>
              </w:rPr>
              <w:t>-</w:t>
            </w:r>
          </w:p>
        </w:tc>
      </w:tr>
      <w:tr w:rsidR="001C08A5" w14:paraId="4FB1A37E" w14:textId="77777777">
        <w:tc>
          <w:tcPr>
            <w:tcW w:w="463" w:type="pct"/>
          </w:tcPr>
          <w:p w14:paraId="17B65D2C" w14:textId="77777777" w:rsidR="001C08A5" w:rsidRDefault="00000000">
            <w:pPr>
              <w:jc w:val="center"/>
              <w:rPr>
                <w:b/>
                <w:i/>
                <w:iCs/>
                <w:sz w:val="22"/>
                <w:szCs w:val="22"/>
              </w:rPr>
            </w:pPr>
            <w:r>
              <w:rPr>
                <w:b/>
                <w:i/>
                <w:iCs/>
                <w:sz w:val="22"/>
                <w:szCs w:val="22"/>
              </w:rPr>
              <w:t>I</w:t>
            </w:r>
          </w:p>
          <w:p w14:paraId="4A21168F" w14:textId="77777777" w:rsidR="001C08A5" w:rsidRDefault="00000000">
            <w:pPr>
              <w:jc w:val="center"/>
              <w:rPr>
                <w:b/>
                <w:i/>
                <w:iCs/>
                <w:sz w:val="22"/>
                <w:szCs w:val="22"/>
              </w:rPr>
            </w:pPr>
            <w:r>
              <w:rPr>
                <w:b/>
                <w:i/>
                <w:iCs/>
                <w:sz w:val="22"/>
                <w:szCs w:val="22"/>
              </w:rPr>
              <w:t>75m≤h&lt;125m</w:t>
            </w:r>
          </w:p>
        </w:tc>
        <w:tc>
          <w:tcPr>
            <w:tcW w:w="845" w:type="pct"/>
          </w:tcPr>
          <w:p w14:paraId="726B40EA" w14:textId="77777777" w:rsidR="001C08A5" w:rsidRDefault="00000000">
            <w:pPr>
              <w:jc w:val="center"/>
              <w:rPr>
                <w:b/>
                <w:i/>
                <w:iCs/>
              </w:rPr>
            </w:pPr>
            <w:r>
              <w:rPr>
                <w:b/>
                <w:i/>
                <w:iCs/>
              </w:rPr>
              <w:t>-</w:t>
            </w:r>
          </w:p>
        </w:tc>
        <w:tc>
          <w:tcPr>
            <w:tcW w:w="748" w:type="pct"/>
          </w:tcPr>
          <w:p w14:paraId="17A65077" w14:textId="77777777" w:rsidR="001C08A5" w:rsidRDefault="00000000">
            <w:pPr>
              <w:jc w:val="center"/>
              <w:rPr>
                <w:bCs/>
                <w:i/>
                <w:iCs/>
              </w:rPr>
            </w:pPr>
            <w:r>
              <w:rPr>
                <w:bCs/>
                <w:i/>
                <w:iCs/>
              </w:rPr>
              <w:t>-</w:t>
            </w:r>
          </w:p>
        </w:tc>
        <w:tc>
          <w:tcPr>
            <w:tcW w:w="793" w:type="pct"/>
          </w:tcPr>
          <w:p w14:paraId="626997A8" w14:textId="77777777" w:rsidR="001C08A5" w:rsidRDefault="00000000">
            <w:pPr>
              <w:jc w:val="center"/>
              <w:rPr>
                <w:b/>
                <w:i/>
                <w:iCs/>
                <w:sz w:val="21"/>
                <w:szCs w:val="21"/>
              </w:rPr>
            </w:pPr>
            <w:r>
              <w:rPr>
                <w:b/>
                <w:i/>
                <w:iCs/>
                <w:sz w:val="21"/>
                <w:szCs w:val="21"/>
              </w:rPr>
              <w:t>EI/REI 1</w:t>
            </w:r>
            <w:r>
              <w:rPr>
                <w:b/>
                <w:i/>
                <w:iCs/>
              </w:rPr>
              <w:t>2</w:t>
            </w:r>
            <w:r>
              <w:rPr>
                <w:b/>
                <w:i/>
                <w:iCs/>
                <w:sz w:val="21"/>
                <w:szCs w:val="21"/>
              </w:rPr>
              <w:t xml:space="preserve">0 (EI/REI </w:t>
            </w:r>
            <w:r>
              <w:rPr>
                <w:b/>
                <w:i/>
                <w:iCs/>
              </w:rPr>
              <w:t>9</w:t>
            </w:r>
            <w:r>
              <w:rPr>
                <w:b/>
                <w:i/>
                <w:iCs/>
                <w:sz w:val="21"/>
                <w:szCs w:val="21"/>
              </w:rPr>
              <w:t>0*)</w:t>
            </w:r>
          </w:p>
        </w:tc>
        <w:tc>
          <w:tcPr>
            <w:tcW w:w="749" w:type="pct"/>
          </w:tcPr>
          <w:p w14:paraId="07EBEB3D" w14:textId="77777777" w:rsidR="001C08A5" w:rsidRDefault="00000000">
            <w:pPr>
              <w:jc w:val="center"/>
              <w:rPr>
                <w:b/>
                <w:i/>
                <w:iCs/>
              </w:rPr>
            </w:pPr>
            <w:r>
              <w:rPr>
                <w:b/>
                <w:i/>
                <w:iCs/>
              </w:rPr>
              <w:t>EI 90</w:t>
            </w:r>
          </w:p>
          <w:p w14:paraId="00AC4986" w14:textId="77777777" w:rsidR="001C08A5" w:rsidRDefault="00000000">
            <w:pPr>
              <w:jc w:val="center"/>
              <w:rPr>
                <w:b/>
                <w:i/>
                <w:iCs/>
                <w:sz w:val="21"/>
                <w:szCs w:val="21"/>
              </w:rPr>
            </w:pPr>
            <w:r>
              <w:rPr>
                <w:b/>
                <w:i/>
                <w:iCs/>
                <w:sz w:val="21"/>
                <w:szCs w:val="21"/>
              </w:rPr>
              <w:t xml:space="preserve">(EI </w:t>
            </w:r>
            <w:r>
              <w:rPr>
                <w:b/>
                <w:i/>
                <w:iCs/>
              </w:rPr>
              <w:t>60</w:t>
            </w:r>
            <w:r>
              <w:rPr>
                <w:b/>
                <w:i/>
                <w:iCs/>
                <w:sz w:val="21"/>
                <w:szCs w:val="21"/>
              </w:rPr>
              <w:t>*)</w:t>
            </w:r>
          </w:p>
        </w:tc>
        <w:tc>
          <w:tcPr>
            <w:tcW w:w="804" w:type="pct"/>
          </w:tcPr>
          <w:p w14:paraId="6C8D3C4B" w14:textId="77777777" w:rsidR="001C08A5" w:rsidRDefault="00000000">
            <w:pPr>
              <w:jc w:val="center"/>
              <w:rPr>
                <w:b/>
                <w:i/>
                <w:iCs/>
              </w:rPr>
            </w:pPr>
            <w:r>
              <w:rPr>
                <w:b/>
                <w:i/>
                <w:iCs/>
              </w:rPr>
              <w:t>-</w:t>
            </w:r>
          </w:p>
        </w:tc>
        <w:tc>
          <w:tcPr>
            <w:tcW w:w="599" w:type="pct"/>
          </w:tcPr>
          <w:p w14:paraId="014F064F" w14:textId="77777777" w:rsidR="001C08A5" w:rsidRDefault="00000000">
            <w:pPr>
              <w:jc w:val="center"/>
              <w:rPr>
                <w:b/>
                <w:i/>
                <w:iCs/>
              </w:rPr>
            </w:pPr>
            <w:r>
              <w:rPr>
                <w:b/>
                <w:i/>
                <w:iCs/>
              </w:rPr>
              <w:t>-</w:t>
            </w:r>
          </w:p>
        </w:tc>
      </w:tr>
      <w:tr w:rsidR="001C08A5" w14:paraId="26610741" w14:textId="77777777">
        <w:tc>
          <w:tcPr>
            <w:tcW w:w="463" w:type="pct"/>
          </w:tcPr>
          <w:p w14:paraId="6CDA0BB6" w14:textId="77777777" w:rsidR="001C08A5" w:rsidRDefault="00000000">
            <w:pPr>
              <w:jc w:val="center"/>
              <w:rPr>
                <w:b/>
                <w:i/>
                <w:iCs/>
                <w:sz w:val="22"/>
                <w:szCs w:val="22"/>
              </w:rPr>
            </w:pPr>
            <w:r>
              <w:rPr>
                <w:b/>
                <w:i/>
                <w:iCs/>
                <w:sz w:val="22"/>
                <w:szCs w:val="22"/>
              </w:rPr>
              <w:t>I</w:t>
            </w:r>
          </w:p>
          <w:p w14:paraId="040042DA" w14:textId="77777777" w:rsidR="001C08A5" w:rsidRDefault="00000000">
            <w:pPr>
              <w:jc w:val="center"/>
              <w:rPr>
                <w:b/>
                <w:i/>
                <w:iCs/>
                <w:sz w:val="22"/>
                <w:szCs w:val="22"/>
              </w:rPr>
            </w:pPr>
            <w:r>
              <w:rPr>
                <w:b/>
                <w:i/>
                <w:iCs/>
                <w:sz w:val="22"/>
                <w:szCs w:val="22"/>
              </w:rPr>
              <w:t>h≥125m</w:t>
            </w:r>
          </w:p>
        </w:tc>
        <w:tc>
          <w:tcPr>
            <w:tcW w:w="845" w:type="pct"/>
          </w:tcPr>
          <w:p w14:paraId="191150E2" w14:textId="77777777" w:rsidR="001C08A5" w:rsidRDefault="00000000">
            <w:pPr>
              <w:jc w:val="center"/>
              <w:rPr>
                <w:b/>
                <w:i/>
                <w:iCs/>
              </w:rPr>
            </w:pPr>
            <w:r>
              <w:rPr>
                <w:b/>
                <w:i/>
                <w:iCs/>
              </w:rPr>
              <w:t>-</w:t>
            </w:r>
          </w:p>
        </w:tc>
        <w:tc>
          <w:tcPr>
            <w:tcW w:w="748" w:type="pct"/>
          </w:tcPr>
          <w:p w14:paraId="48589D9B" w14:textId="77777777" w:rsidR="001C08A5" w:rsidRDefault="00000000">
            <w:pPr>
              <w:jc w:val="center"/>
              <w:rPr>
                <w:bCs/>
                <w:i/>
                <w:iCs/>
              </w:rPr>
            </w:pPr>
            <w:r>
              <w:rPr>
                <w:bCs/>
                <w:i/>
                <w:iCs/>
              </w:rPr>
              <w:t>-</w:t>
            </w:r>
          </w:p>
        </w:tc>
        <w:tc>
          <w:tcPr>
            <w:tcW w:w="793" w:type="pct"/>
          </w:tcPr>
          <w:p w14:paraId="0AA3234C" w14:textId="77777777" w:rsidR="001C08A5" w:rsidRDefault="00000000">
            <w:pPr>
              <w:jc w:val="center"/>
              <w:rPr>
                <w:b/>
                <w:i/>
                <w:iCs/>
                <w:sz w:val="21"/>
                <w:szCs w:val="21"/>
              </w:rPr>
            </w:pPr>
            <w:r>
              <w:rPr>
                <w:b/>
                <w:i/>
                <w:iCs/>
                <w:sz w:val="22"/>
                <w:szCs w:val="22"/>
              </w:rPr>
              <w:t>EI/REI 180 (EI/REI 120*)</w:t>
            </w:r>
          </w:p>
        </w:tc>
        <w:tc>
          <w:tcPr>
            <w:tcW w:w="749" w:type="pct"/>
          </w:tcPr>
          <w:p w14:paraId="2F8DC1E0" w14:textId="77777777" w:rsidR="001C08A5" w:rsidRDefault="00000000">
            <w:pPr>
              <w:jc w:val="center"/>
              <w:rPr>
                <w:b/>
                <w:i/>
                <w:iCs/>
                <w:sz w:val="22"/>
                <w:szCs w:val="22"/>
              </w:rPr>
            </w:pPr>
            <w:r>
              <w:rPr>
                <w:b/>
                <w:i/>
                <w:iCs/>
                <w:sz w:val="22"/>
                <w:szCs w:val="22"/>
              </w:rPr>
              <w:t xml:space="preserve">EI 120 </w:t>
            </w:r>
          </w:p>
          <w:p w14:paraId="6C5368BE" w14:textId="77777777" w:rsidR="001C08A5" w:rsidRDefault="00000000">
            <w:pPr>
              <w:jc w:val="center"/>
              <w:rPr>
                <w:b/>
                <w:i/>
                <w:iCs/>
                <w:sz w:val="21"/>
                <w:szCs w:val="21"/>
              </w:rPr>
            </w:pPr>
            <w:r>
              <w:rPr>
                <w:b/>
                <w:i/>
                <w:iCs/>
                <w:sz w:val="22"/>
                <w:szCs w:val="22"/>
              </w:rPr>
              <w:t>(EI 90*)</w:t>
            </w:r>
          </w:p>
        </w:tc>
        <w:tc>
          <w:tcPr>
            <w:tcW w:w="804" w:type="pct"/>
          </w:tcPr>
          <w:p w14:paraId="56E62DF8" w14:textId="77777777" w:rsidR="001C08A5" w:rsidRDefault="00000000">
            <w:pPr>
              <w:jc w:val="center"/>
              <w:rPr>
                <w:b/>
                <w:i/>
                <w:iCs/>
              </w:rPr>
            </w:pPr>
            <w:r>
              <w:rPr>
                <w:b/>
                <w:i/>
                <w:iCs/>
              </w:rPr>
              <w:t>-</w:t>
            </w:r>
          </w:p>
        </w:tc>
        <w:tc>
          <w:tcPr>
            <w:tcW w:w="599" w:type="pct"/>
          </w:tcPr>
          <w:p w14:paraId="577E6121" w14:textId="77777777" w:rsidR="001C08A5" w:rsidRDefault="00000000">
            <w:pPr>
              <w:jc w:val="center"/>
              <w:rPr>
                <w:b/>
                <w:i/>
                <w:iCs/>
              </w:rPr>
            </w:pPr>
            <w:r>
              <w:rPr>
                <w:b/>
                <w:i/>
                <w:iCs/>
              </w:rPr>
              <w:t>-</w:t>
            </w:r>
          </w:p>
        </w:tc>
      </w:tr>
    </w:tbl>
    <w:p w14:paraId="73602167" w14:textId="77777777" w:rsidR="001C08A5" w:rsidRDefault="00000000">
      <w:pPr>
        <w:jc w:val="both"/>
        <w:rPr>
          <w:b/>
          <w:i/>
          <w:iCs/>
          <w:sz w:val="22"/>
          <w:szCs w:val="22"/>
        </w:rPr>
      </w:pPr>
      <w:r>
        <w:rPr>
          <w:b/>
          <w:i/>
          <w:iCs/>
          <w:sz w:val="22"/>
          <w:szCs w:val="22"/>
        </w:rPr>
        <w:t>Observații:</w:t>
      </w:r>
    </w:p>
    <w:p w14:paraId="49EE4F9F" w14:textId="77777777" w:rsidR="001C08A5" w:rsidRDefault="00000000">
      <w:pPr>
        <w:jc w:val="both"/>
        <w:rPr>
          <w:b/>
          <w:i/>
          <w:iCs/>
          <w:sz w:val="22"/>
          <w:szCs w:val="22"/>
        </w:rPr>
      </w:pPr>
      <w:r>
        <w:rPr>
          <w:b/>
          <w:i/>
          <w:iCs/>
          <w:sz w:val="22"/>
          <w:szCs w:val="22"/>
          <w:vertAlign w:val="superscript"/>
        </w:rPr>
        <w:t>1)</w:t>
      </w:r>
      <w:r>
        <w:rPr>
          <w:b/>
          <w:i/>
          <w:iCs/>
          <w:sz w:val="22"/>
          <w:szCs w:val="22"/>
        </w:rPr>
        <w:t xml:space="preserve">  - </w:t>
      </w:r>
      <w:r>
        <w:rPr>
          <w:bCs/>
          <w:i/>
          <w:iCs/>
          <w:sz w:val="22"/>
          <w:szCs w:val="22"/>
        </w:rPr>
        <w:t>Se referă la ”</w:t>
      </w:r>
      <w:r>
        <w:rPr>
          <w:i/>
          <w:iCs/>
          <w:sz w:val="22"/>
          <w:szCs w:val="22"/>
        </w:rPr>
        <w:t>Pereţi antifoc minimum</w:t>
      </w:r>
      <w:r>
        <w:rPr>
          <w:b/>
          <w:i/>
          <w:iCs/>
          <w:sz w:val="22"/>
          <w:szCs w:val="22"/>
        </w:rPr>
        <w:t xml:space="preserve"> EI-M 240/REI 240 </w:t>
      </w:r>
      <w:r>
        <w:rPr>
          <w:bCs/>
          <w:i/>
          <w:iCs/>
          <w:sz w:val="22"/>
          <w:szCs w:val="22"/>
        </w:rPr>
        <w:t xml:space="preserve">pentru construcțiile cu risc foarte mare de incendiu (atunci când densitatea sarcinii termice (q) este mai mare de </w:t>
      </w:r>
      <w:r>
        <w:rPr>
          <w:b/>
          <w:i/>
          <w:iCs/>
          <w:sz w:val="22"/>
          <w:szCs w:val="22"/>
        </w:rPr>
        <w:t xml:space="preserve">1680 </w:t>
      </w:r>
      <w:r>
        <w:rPr>
          <w:bCs/>
          <w:i/>
          <w:iCs/>
          <w:sz w:val="22"/>
          <w:szCs w:val="22"/>
        </w:rPr>
        <w:t>MJ/m²</w:t>
      </w:r>
      <w:r>
        <w:rPr>
          <w:b/>
          <w:i/>
          <w:iCs/>
          <w:sz w:val="22"/>
          <w:szCs w:val="22"/>
        </w:rPr>
        <w:t xml:space="preserve"> </w:t>
      </w:r>
      <w:r>
        <w:rPr>
          <w:bCs/>
          <w:i/>
          <w:iCs/>
          <w:sz w:val="22"/>
          <w:szCs w:val="22"/>
        </w:rPr>
        <w:t xml:space="preserve">şi/sau există pericol de explozie volumetrică)” așa cum sunt definiți la </w:t>
      </w:r>
      <w:r>
        <w:rPr>
          <w:b/>
          <w:i/>
          <w:iCs/>
          <w:sz w:val="22"/>
          <w:szCs w:val="22"/>
        </w:rPr>
        <w:t>Art. 2.3.2.1.2. lit. b)</w:t>
      </w:r>
      <w:r>
        <w:rPr>
          <w:bCs/>
          <w:i/>
          <w:iCs/>
          <w:sz w:val="22"/>
          <w:szCs w:val="22"/>
        </w:rPr>
        <w:t>.</w:t>
      </w:r>
    </w:p>
    <w:p w14:paraId="5671737B" w14:textId="77777777" w:rsidR="001C08A5" w:rsidRDefault="00000000">
      <w:pPr>
        <w:jc w:val="both"/>
        <w:rPr>
          <w:i/>
          <w:iCs/>
          <w:sz w:val="22"/>
          <w:szCs w:val="22"/>
        </w:rPr>
      </w:pPr>
      <w:r>
        <w:rPr>
          <w:b/>
          <w:i/>
          <w:iCs/>
          <w:sz w:val="22"/>
          <w:szCs w:val="22"/>
          <w:vertAlign w:val="superscript"/>
        </w:rPr>
        <w:t>2)</w:t>
      </w:r>
      <w:r>
        <w:rPr>
          <w:b/>
          <w:i/>
          <w:iCs/>
          <w:sz w:val="22"/>
          <w:szCs w:val="22"/>
        </w:rPr>
        <w:t xml:space="preserve">  - </w:t>
      </w:r>
      <w:r>
        <w:rPr>
          <w:bCs/>
          <w:i/>
          <w:iCs/>
          <w:sz w:val="22"/>
          <w:szCs w:val="22"/>
        </w:rPr>
        <w:t>Se referă la ”</w:t>
      </w:r>
      <w:r>
        <w:rPr>
          <w:i/>
          <w:iCs/>
          <w:sz w:val="22"/>
          <w:szCs w:val="22"/>
        </w:rPr>
        <w:t>Pereţi antifoc minimum</w:t>
      </w:r>
      <w:r>
        <w:rPr>
          <w:b/>
          <w:bCs/>
          <w:i/>
          <w:iCs/>
          <w:sz w:val="22"/>
          <w:szCs w:val="22"/>
        </w:rPr>
        <w:t xml:space="preserve"> EI-M 180/REI 180</w:t>
      </w:r>
      <w:r>
        <w:rPr>
          <w:i/>
          <w:iCs/>
          <w:sz w:val="22"/>
          <w:szCs w:val="22"/>
        </w:rPr>
        <w:t xml:space="preserve"> pentru clădirile destinate persoanelor care nu se pot evacua singure (definite conform terminologie</w:t>
      </w:r>
      <w:r>
        <w:rPr>
          <w:i/>
          <w:iCs/>
          <w:sz w:val="22"/>
          <w:szCs w:val="22"/>
          <w:shd w:val="clear" w:color="auto" w:fill="FFFFFF"/>
          <w:lang w:eastAsia="zh-CN"/>
        </w:rPr>
        <w:t>)</w:t>
      </w:r>
      <w:r>
        <w:rPr>
          <w:i/>
          <w:iCs/>
          <w:sz w:val="22"/>
          <w:szCs w:val="22"/>
        </w:rPr>
        <w:t>, pentru construcțiile cu risc mare de incendiu, precum și cele pentru obiecte, echipamente sau aparatură de importanţă deosebita, pentru clădiri civile supraterane înalte şi/sau foarte înalte sau clădiri cu săli aglomerate</w:t>
      </w:r>
      <w:r>
        <w:rPr>
          <w:bCs/>
          <w:i/>
          <w:iCs/>
          <w:sz w:val="22"/>
          <w:szCs w:val="22"/>
        </w:rPr>
        <w:t xml:space="preserve">” așa cum sunt definiți la </w:t>
      </w:r>
      <w:r>
        <w:rPr>
          <w:b/>
          <w:i/>
          <w:iCs/>
          <w:sz w:val="22"/>
          <w:szCs w:val="22"/>
        </w:rPr>
        <w:t>Art. 2.3.2.1.2. lit. c)</w:t>
      </w:r>
      <w:r>
        <w:rPr>
          <w:bCs/>
          <w:i/>
          <w:iCs/>
          <w:sz w:val="22"/>
          <w:szCs w:val="22"/>
        </w:rPr>
        <w:t>.</w:t>
      </w:r>
    </w:p>
    <w:p w14:paraId="59682507" w14:textId="77777777" w:rsidR="001C08A5" w:rsidRDefault="00000000">
      <w:pPr>
        <w:jc w:val="both"/>
        <w:rPr>
          <w:bCs/>
          <w:i/>
          <w:iCs/>
          <w:sz w:val="22"/>
          <w:szCs w:val="22"/>
        </w:rPr>
      </w:pPr>
      <w:r>
        <w:rPr>
          <w:b/>
          <w:i/>
          <w:iCs/>
          <w:sz w:val="22"/>
          <w:szCs w:val="22"/>
          <w:vertAlign w:val="superscript"/>
        </w:rPr>
        <w:t>3)</w:t>
      </w:r>
      <w:r>
        <w:rPr>
          <w:b/>
          <w:i/>
          <w:iCs/>
          <w:sz w:val="22"/>
          <w:szCs w:val="22"/>
        </w:rPr>
        <w:t xml:space="preserve">  - </w:t>
      </w:r>
      <w:r>
        <w:rPr>
          <w:bCs/>
          <w:i/>
          <w:iCs/>
          <w:sz w:val="22"/>
          <w:szCs w:val="22"/>
        </w:rPr>
        <w:t>Se referă la ”</w:t>
      </w:r>
      <w:r>
        <w:rPr>
          <w:i/>
          <w:iCs/>
          <w:sz w:val="22"/>
          <w:szCs w:val="22"/>
        </w:rPr>
        <w:t>Pereţi antifoc minimum</w:t>
      </w:r>
      <w:r>
        <w:rPr>
          <w:b/>
          <w:bCs/>
          <w:i/>
          <w:iCs/>
          <w:sz w:val="22"/>
          <w:szCs w:val="22"/>
        </w:rPr>
        <w:t xml:space="preserve"> EI-M 120/REI 120</w:t>
      </w:r>
      <w:r>
        <w:rPr>
          <w:bCs/>
          <w:i/>
          <w:iCs/>
          <w:sz w:val="22"/>
          <w:szCs w:val="22"/>
        </w:rPr>
        <w:t xml:space="preserve">” așa cum sunt definiți la </w:t>
      </w:r>
      <w:r>
        <w:rPr>
          <w:b/>
          <w:i/>
          <w:iCs/>
          <w:sz w:val="22"/>
          <w:szCs w:val="22"/>
        </w:rPr>
        <w:t>Art. 2.3.2.1.2. lit. d)</w:t>
      </w:r>
      <w:r>
        <w:rPr>
          <w:bCs/>
          <w:i/>
          <w:iCs/>
          <w:sz w:val="22"/>
          <w:szCs w:val="22"/>
        </w:rPr>
        <w:t>.</w:t>
      </w:r>
    </w:p>
    <w:p w14:paraId="0B61543D" w14:textId="77777777" w:rsidR="001C08A5" w:rsidRDefault="00000000">
      <w:pPr>
        <w:jc w:val="both"/>
        <w:rPr>
          <w:bCs/>
          <w:i/>
          <w:iCs/>
          <w:sz w:val="22"/>
          <w:szCs w:val="22"/>
        </w:rPr>
      </w:pPr>
      <w:r>
        <w:rPr>
          <w:b/>
          <w:i/>
          <w:iCs/>
          <w:sz w:val="22"/>
          <w:szCs w:val="22"/>
          <w:vertAlign w:val="superscript"/>
        </w:rPr>
        <w:t>4)</w:t>
      </w:r>
      <w:r>
        <w:rPr>
          <w:b/>
          <w:i/>
          <w:iCs/>
          <w:sz w:val="22"/>
          <w:szCs w:val="22"/>
        </w:rPr>
        <w:t xml:space="preserve">  - </w:t>
      </w:r>
      <w:r>
        <w:rPr>
          <w:bCs/>
          <w:i/>
          <w:iCs/>
          <w:sz w:val="22"/>
          <w:szCs w:val="22"/>
        </w:rPr>
        <w:t>Se referă la ”Rezistenţa la foc (</w:t>
      </w:r>
      <w:r>
        <w:rPr>
          <w:b/>
          <w:i/>
          <w:iCs/>
          <w:sz w:val="22"/>
          <w:szCs w:val="22"/>
        </w:rPr>
        <w:t>EI/REI</w:t>
      </w:r>
      <w:r>
        <w:rPr>
          <w:bCs/>
          <w:i/>
          <w:iCs/>
          <w:sz w:val="22"/>
          <w:szCs w:val="22"/>
        </w:rPr>
        <w:t xml:space="preserve">) a pereţilor din exterior, pe o distanță de minimum </w:t>
      </w:r>
      <w:r>
        <w:rPr>
          <w:b/>
          <w:i/>
          <w:iCs/>
          <w:sz w:val="22"/>
          <w:szCs w:val="22"/>
        </w:rPr>
        <w:t xml:space="preserve">4 </w:t>
      </w:r>
      <w:r>
        <w:rPr>
          <w:bCs/>
          <w:i/>
          <w:iCs/>
          <w:sz w:val="22"/>
          <w:szCs w:val="22"/>
        </w:rPr>
        <w:t>m”</w:t>
      </w:r>
    </w:p>
    <w:p w14:paraId="2FE961B5" w14:textId="77777777" w:rsidR="001C08A5" w:rsidRDefault="00000000">
      <w:pPr>
        <w:jc w:val="both"/>
        <w:rPr>
          <w:bCs/>
          <w:i/>
          <w:iCs/>
          <w:sz w:val="22"/>
          <w:szCs w:val="22"/>
        </w:rPr>
      </w:pPr>
      <w:r>
        <w:rPr>
          <w:b/>
          <w:i/>
          <w:iCs/>
          <w:sz w:val="22"/>
          <w:szCs w:val="22"/>
          <w:vertAlign w:val="superscript"/>
        </w:rPr>
        <w:t>5)</w:t>
      </w:r>
      <w:r>
        <w:rPr>
          <w:b/>
          <w:i/>
          <w:iCs/>
          <w:sz w:val="22"/>
          <w:szCs w:val="22"/>
        </w:rPr>
        <w:t xml:space="preserve">  - </w:t>
      </w:r>
      <w:r>
        <w:rPr>
          <w:bCs/>
          <w:i/>
          <w:iCs/>
          <w:sz w:val="22"/>
          <w:szCs w:val="22"/>
        </w:rPr>
        <w:t>Se referă la ”Elemente de inchidere rezistente la foc (uși, ferestre) prevăzute cu autoînchidere ”</w:t>
      </w:r>
      <w:r>
        <w:rPr>
          <w:b/>
          <w:i/>
          <w:iCs/>
          <w:sz w:val="22"/>
          <w:szCs w:val="22"/>
        </w:rPr>
        <w:t>C</w:t>
      </w:r>
      <w:r>
        <w:rPr>
          <w:bCs/>
          <w:i/>
          <w:iCs/>
          <w:sz w:val="22"/>
          <w:szCs w:val="22"/>
        </w:rPr>
        <w:t xml:space="preserve">” sau fixe, dacă </w:t>
      </w:r>
      <w:r>
        <w:rPr>
          <w:i/>
          <w:iCs/>
          <w:sz w:val="22"/>
          <w:szCs w:val="22"/>
        </w:rPr>
        <w:t xml:space="preserve">distanţa dintre deschideri este mai mică de  </w:t>
      </w:r>
      <w:r>
        <w:rPr>
          <w:b/>
          <w:i/>
          <w:iCs/>
          <w:sz w:val="22"/>
          <w:szCs w:val="22"/>
        </w:rPr>
        <w:t xml:space="preserve">4 </w:t>
      </w:r>
      <w:r>
        <w:rPr>
          <w:bCs/>
          <w:i/>
          <w:iCs/>
          <w:sz w:val="22"/>
          <w:szCs w:val="22"/>
        </w:rPr>
        <w:t>m”.</w:t>
      </w:r>
    </w:p>
    <w:p w14:paraId="2756236A" w14:textId="77777777" w:rsidR="001C08A5" w:rsidRDefault="00000000">
      <w:pPr>
        <w:jc w:val="both"/>
        <w:rPr>
          <w:b/>
          <w:i/>
          <w:iCs/>
          <w:sz w:val="22"/>
          <w:szCs w:val="22"/>
        </w:rPr>
      </w:pPr>
      <w:r>
        <w:rPr>
          <w:b/>
          <w:i/>
          <w:iCs/>
          <w:sz w:val="22"/>
          <w:szCs w:val="22"/>
        </w:rPr>
        <w:t>Note:</w:t>
      </w:r>
    </w:p>
    <w:p w14:paraId="2E995800" w14:textId="77777777" w:rsidR="001C08A5" w:rsidRDefault="00000000">
      <w:pPr>
        <w:jc w:val="both"/>
        <w:rPr>
          <w:i/>
          <w:iCs/>
          <w:sz w:val="22"/>
          <w:szCs w:val="22"/>
        </w:rPr>
      </w:pP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 xml:space="preserve">pereţilor </w:t>
      </w:r>
      <w:r>
        <w:rPr>
          <w:i/>
          <w:iCs/>
          <w:sz w:val="22"/>
          <w:szCs w:val="22"/>
        </w:rPr>
        <w:t xml:space="preserve">(din exterior) definiți în coloanele </w:t>
      </w:r>
      <w:r>
        <w:rPr>
          <w:b/>
          <w:bCs/>
          <w:i/>
          <w:iCs/>
          <w:sz w:val="22"/>
          <w:szCs w:val="22"/>
        </w:rPr>
        <w:t xml:space="preserve">2, 4 </w:t>
      </w:r>
      <w:r>
        <w:rPr>
          <w:i/>
          <w:iCs/>
          <w:sz w:val="22"/>
          <w:szCs w:val="22"/>
        </w:rPr>
        <w:t>și</w:t>
      </w:r>
      <w:r>
        <w:rPr>
          <w:b/>
          <w:bCs/>
          <w:i/>
          <w:iCs/>
          <w:sz w:val="22"/>
          <w:szCs w:val="22"/>
        </w:rPr>
        <w:t xml:space="preserve"> 6</w:t>
      </w:r>
      <w:r>
        <w:rPr>
          <w:i/>
          <w:iCs/>
          <w:sz w:val="22"/>
          <w:szCs w:val="22"/>
        </w:rPr>
        <w:t xml:space="preserve"> din tabel este </w:t>
      </w:r>
      <w:r>
        <w:rPr>
          <w:b/>
          <w:i/>
          <w:iCs/>
          <w:sz w:val="22"/>
          <w:szCs w:val="22"/>
        </w:rPr>
        <w:t xml:space="preserve">A1 sau A2-s1,d0. </w:t>
      </w: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elementelor de închidere rezistente la foc</w:t>
      </w:r>
      <w:r>
        <w:rPr>
          <w:i/>
          <w:iCs/>
          <w:sz w:val="22"/>
          <w:szCs w:val="22"/>
        </w:rPr>
        <w:t xml:space="preserve"> definite în coloanele </w:t>
      </w:r>
      <w:r>
        <w:rPr>
          <w:b/>
          <w:bCs/>
          <w:i/>
          <w:iCs/>
          <w:sz w:val="22"/>
          <w:szCs w:val="22"/>
        </w:rPr>
        <w:t xml:space="preserve">3, 5 </w:t>
      </w:r>
      <w:r>
        <w:rPr>
          <w:i/>
          <w:iCs/>
          <w:sz w:val="22"/>
          <w:szCs w:val="22"/>
        </w:rPr>
        <w:t>și</w:t>
      </w:r>
      <w:r>
        <w:rPr>
          <w:b/>
          <w:bCs/>
          <w:i/>
          <w:iCs/>
          <w:sz w:val="22"/>
          <w:szCs w:val="22"/>
        </w:rPr>
        <w:t xml:space="preserve"> 7</w:t>
      </w:r>
      <w:r>
        <w:rPr>
          <w:i/>
          <w:iCs/>
          <w:sz w:val="22"/>
          <w:szCs w:val="22"/>
        </w:rPr>
        <w:t xml:space="preserve"> din tabel este </w:t>
      </w:r>
      <w:r>
        <w:rPr>
          <w:b/>
          <w:i/>
          <w:iCs/>
          <w:sz w:val="22"/>
          <w:szCs w:val="22"/>
        </w:rPr>
        <w:t xml:space="preserve">A1 sau A2-s1,d0, </w:t>
      </w:r>
      <w:r>
        <w:rPr>
          <w:bCs/>
          <w:i/>
          <w:iCs/>
          <w:sz w:val="22"/>
          <w:szCs w:val="22"/>
        </w:rPr>
        <w:t>cu excepția componetelor nesubstanţiale, garniturilor, izolatorilor, elementelor de vitraj (din sticlă) simplu sau izolant (realizate din sticlă) ale ușilor și ferestrelor (exterioare), inclusiv cele inserate în pereții cortină.</w:t>
      </w:r>
    </w:p>
    <w:p w14:paraId="4BD1BE35" w14:textId="77777777" w:rsidR="001C08A5" w:rsidRDefault="00000000">
      <w:pPr>
        <w:widowControl w:val="0"/>
        <w:jc w:val="both"/>
        <w:rPr>
          <w:i/>
          <w:iCs/>
          <w:sz w:val="22"/>
          <w:szCs w:val="22"/>
        </w:rPr>
      </w:pPr>
      <w:r>
        <w:rPr>
          <w:i/>
          <w:iCs/>
          <w:sz w:val="22"/>
          <w:szCs w:val="22"/>
        </w:rPr>
        <w:t xml:space="preserve">Pentru clădiri închise se aplică specificatia </w:t>
      </w:r>
      <w:r>
        <w:rPr>
          <w:b/>
          <w:bCs/>
          <w:i/>
          <w:iCs/>
          <w:sz w:val="22"/>
          <w:szCs w:val="22"/>
        </w:rPr>
        <w:t>EW</w:t>
      </w:r>
      <w:r>
        <w:rPr>
          <w:i/>
          <w:iCs/>
          <w:sz w:val="22"/>
          <w:szCs w:val="22"/>
        </w:rPr>
        <w:t xml:space="preserve"> sau </w:t>
      </w:r>
      <w:r>
        <w:rPr>
          <w:b/>
          <w:bCs/>
          <w:i/>
          <w:iCs/>
          <w:sz w:val="22"/>
          <w:szCs w:val="22"/>
        </w:rPr>
        <w:t>EI</w:t>
      </w:r>
      <w:r>
        <w:rPr>
          <w:i/>
          <w:iCs/>
          <w:sz w:val="22"/>
          <w:szCs w:val="22"/>
        </w:rPr>
        <w:t xml:space="preserve"> la elemente de inchidere rezistente la foc (uși, ferestre), în funcție de apropierea dintre deschideri (dacă este mai mică de </w:t>
      </w:r>
      <w:r>
        <w:rPr>
          <w:b/>
          <w:bCs/>
          <w:i/>
          <w:iCs/>
          <w:sz w:val="22"/>
          <w:szCs w:val="22"/>
        </w:rPr>
        <w:t>1m</w:t>
      </w:r>
      <w:r>
        <w:rPr>
          <w:i/>
          <w:iCs/>
          <w:sz w:val="22"/>
          <w:szCs w:val="22"/>
        </w:rPr>
        <w:t xml:space="preserve"> obligatoriu se aplică performanța la foc </w:t>
      </w:r>
      <w:r>
        <w:rPr>
          <w:b/>
          <w:bCs/>
          <w:i/>
          <w:iCs/>
          <w:sz w:val="22"/>
          <w:szCs w:val="22"/>
        </w:rPr>
        <w:t>EI</w:t>
      </w:r>
      <w:r>
        <w:rPr>
          <w:i/>
          <w:iCs/>
          <w:sz w:val="22"/>
          <w:szCs w:val="22"/>
        </w:rPr>
        <w:t>). Pentru clădiri deschise se poate aplica specificatia</w:t>
      </w:r>
      <w:r>
        <w:rPr>
          <w:b/>
          <w:bCs/>
          <w:i/>
          <w:iCs/>
          <w:sz w:val="22"/>
          <w:szCs w:val="22"/>
        </w:rPr>
        <w:t xml:space="preserve"> E</w:t>
      </w:r>
      <w:r>
        <w:rPr>
          <w:i/>
          <w:iCs/>
          <w:sz w:val="22"/>
          <w:szCs w:val="22"/>
        </w:rPr>
        <w:t xml:space="preserve"> la elemente de inchidere rezistente la foc (uși, ferestre).</w:t>
      </w:r>
    </w:p>
    <w:p w14:paraId="487AD8A9" w14:textId="77777777" w:rsidR="001C08A5" w:rsidRDefault="00000000">
      <w:pPr>
        <w:rPr>
          <w:i/>
          <w:iCs/>
          <w:sz w:val="22"/>
          <w:szCs w:val="22"/>
        </w:rPr>
      </w:pPr>
      <w:r>
        <w:rPr>
          <w:i/>
          <w:iCs/>
          <w:sz w:val="22"/>
          <w:szCs w:val="22"/>
        </w:rPr>
        <w:t xml:space="preserve">Rezistența la foc a tuturor </w:t>
      </w:r>
      <w:r>
        <w:rPr>
          <w:bCs/>
          <w:i/>
          <w:iCs/>
          <w:sz w:val="22"/>
          <w:szCs w:val="22"/>
        </w:rPr>
        <w:t xml:space="preserve">elementelor </w:t>
      </w:r>
      <w:r>
        <w:rPr>
          <w:i/>
          <w:iCs/>
          <w:sz w:val="22"/>
          <w:szCs w:val="22"/>
        </w:rPr>
        <w:t xml:space="preserve">definite în coloanele </w:t>
      </w:r>
      <w:r>
        <w:rPr>
          <w:b/>
          <w:bCs/>
          <w:i/>
          <w:iCs/>
          <w:sz w:val="22"/>
          <w:szCs w:val="22"/>
        </w:rPr>
        <w:t xml:space="preserve">2, 3, 4, 5, 6 </w:t>
      </w:r>
      <w:r>
        <w:rPr>
          <w:i/>
          <w:iCs/>
          <w:sz w:val="22"/>
          <w:szCs w:val="22"/>
        </w:rPr>
        <w:t>și</w:t>
      </w:r>
      <w:r>
        <w:rPr>
          <w:b/>
          <w:bCs/>
          <w:i/>
          <w:iCs/>
          <w:sz w:val="22"/>
          <w:szCs w:val="22"/>
        </w:rPr>
        <w:t xml:space="preserve"> 7</w:t>
      </w:r>
      <w:r>
        <w:rPr>
          <w:i/>
          <w:iCs/>
          <w:sz w:val="22"/>
          <w:szCs w:val="22"/>
        </w:rPr>
        <w:t xml:space="preserve"> din tabel este în minute.</w:t>
      </w:r>
    </w:p>
    <w:p w14:paraId="2BD6AA55" w14:textId="77777777" w:rsidR="001C08A5" w:rsidRDefault="00000000">
      <w:pPr>
        <w:widowControl w:val="0"/>
        <w:jc w:val="both"/>
        <w:rPr>
          <w:i/>
          <w:sz w:val="22"/>
          <w:szCs w:val="22"/>
        </w:rPr>
      </w:pPr>
      <w:r>
        <w:rPr>
          <w:b/>
          <w:sz w:val="22"/>
          <w:szCs w:val="22"/>
        </w:rPr>
        <w:t xml:space="preserve">* </w:t>
      </w:r>
      <w:r>
        <w:rPr>
          <w:i/>
          <w:sz w:val="22"/>
          <w:szCs w:val="22"/>
        </w:rPr>
        <w:t xml:space="preserve">Valorile din paranteze se aplică în cazurile în care încăperile sunt echipate cu instalaţii automate de stingere a incendiilor </w:t>
      </w:r>
      <w:r>
        <w:rPr>
          <w:bCs/>
          <w:i/>
          <w:iCs/>
          <w:sz w:val="22"/>
          <w:szCs w:val="22"/>
        </w:rPr>
        <w:t xml:space="preserve">(conform prevederi Normativ </w:t>
      </w:r>
      <w:r>
        <w:rPr>
          <w:b/>
          <w:i/>
          <w:iCs/>
          <w:sz w:val="22"/>
          <w:szCs w:val="22"/>
        </w:rPr>
        <w:t>P118:2</w:t>
      </w:r>
      <w:r>
        <w:rPr>
          <w:bCs/>
          <w:i/>
          <w:iCs/>
          <w:sz w:val="22"/>
          <w:szCs w:val="22"/>
        </w:rPr>
        <w:t>, cu excepțiile prevăzute ale spațiilor care se dotează cu alte instalații automate de stingere)</w:t>
      </w:r>
      <w:r>
        <w:rPr>
          <w:i/>
          <w:sz w:val="22"/>
          <w:szCs w:val="22"/>
        </w:rPr>
        <w:t>.</w:t>
      </w:r>
    </w:p>
    <w:p w14:paraId="655137AC" w14:textId="77777777" w:rsidR="001C08A5" w:rsidRDefault="00000000">
      <w:pPr>
        <w:rPr>
          <w:bCs/>
          <w:i/>
          <w:sz w:val="22"/>
          <w:szCs w:val="22"/>
        </w:rPr>
      </w:pPr>
      <w:r>
        <w:rPr>
          <w:b/>
          <w:i/>
          <w:sz w:val="22"/>
          <w:szCs w:val="22"/>
        </w:rPr>
        <w:t>”h”</w:t>
      </w:r>
      <w:r>
        <w:rPr>
          <w:bCs/>
          <w:i/>
          <w:sz w:val="22"/>
          <w:szCs w:val="22"/>
        </w:rPr>
        <w:t xml:space="preserve">= cota ultimului planșeu accesibil/folosibil al </w:t>
      </w:r>
      <w:r>
        <w:rPr>
          <w:i/>
          <w:iCs/>
          <w:sz w:val="22"/>
          <w:szCs w:val="22"/>
        </w:rPr>
        <w:t>constructiei, față de nivelul de referință</w:t>
      </w:r>
    </w:p>
    <w:p w14:paraId="77D1B58C" w14:textId="77777777" w:rsidR="001C08A5" w:rsidRDefault="001C08A5">
      <w:pPr>
        <w:widowControl w:val="0"/>
        <w:jc w:val="both"/>
        <w:rPr>
          <w:i/>
          <w:iCs/>
          <w:sz w:val="22"/>
          <w:szCs w:val="22"/>
        </w:rPr>
      </w:pPr>
    </w:p>
    <w:p w14:paraId="432EA38F" w14:textId="77777777" w:rsidR="001C08A5" w:rsidRDefault="00000000">
      <w:pPr>
        <w:widowControl w:val="0"/>
        <w:jc w:val="center"/>
        <w:rPr>
          <w:sz w:val="24"/>
          <w:szCs w:val="24"/>
        </w:rPr>
      </w:pPr>
      <w:r>
        <w:rPr>
          <w:noProof/>
          <w:lang w:eastAsia="ro-RO"/>
        </w:rPr>
        <w:drawing>
          <wp:inline distT="0" distB="0" distL="114300" distR="114300" wp14:anchorId="01507337" wp14:editId="0660B47D">
            <wp:extent cx="3230880" cy="2473960"/>
            <wp:effectExtent l="0" t="0" r="7620" b="254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
                    <pic:cNvPicPr>
                      <a:picLocks noChangeAspect="1"/>
                    </pic:cNvPicPr>
                  </pic:nvPicPr>
                  <pic:blipFill>
                    <a:blip r:embed="rId119"/>
                    <a:srcRect l="31101" t="28481" r="26096" b="25930"/>
                    <a:stretch>
                      <a:fillRect/>
                    </a:stretch>
                  </pic:blipFill>
                  <pic:spPr>
                    <a:xfrm>
                      <a:off x="0" y="0"/>
                      <a:ext cx="3230880" cy="2473960"/>
                    </a:xfrm>
                    <a:prstGeom prst="rect">
                      <a:avLst/>
                    </a:prstGeom>
                    <a:noFill/>
                    <a:ln>
                      <a:noFill/>
                    </a:ln>
                  </pic:spPr>
                </pic:pic>
              </a:graphicData>
            </a:graphic>
          </wp:inline>
        </w:drawing>
      </w:r>
    </w:p>
    <w:p w14:paraId="6F458DC5" w14:textId="77777777" w:rsidR="001C08A5" w:rsidRDefault="00000000">
      <w:pPr>
        <w:pStyle w:val="Caption"/>
        <w:widowControl w:val="0"/>
        <w:jc w:val="center"/>
        <w:rPr>
          <w:rFonts w:cs="Times New Roman"/>
        </w:rPr>
      </w:pPr>
      <w:bookmarkStart w:id="1088" w:name="_Ref12062"/>
      <w:bookmarkStart w:id="1089" w:name="_Toc26977"/>
      <w:bookmarkStart w:id="1090" w:name="_Toc162360263"/>
      <w:bookmarkStart w:id="1091" w:name="_Toc14513"/>
      <w:bookmarkStart w:id="1092" w:name="_Toc15656"/>
      <w:bookmarkStart w:id="1093" w:name="_Toc6097"/>
      <w:bookmarkStart w:id="1094" w:name="_Toc15666"/>
      <w:bookmarkStart w:id="1095" w:name="_Toc22017"/>
      <w:r>
        <w:t xml:space="preserve">Figura </w:t>
      </w:r>
      <w:r>
        <w:fldChar w:fldCharType="begin"/>
      </w:r>
      <w:r>
        <w:instrText xml:space="preserve"> SEQ Figura \* ARABIC </w:instrText>
      </w:r>
      <w:r>
        <w:fldChar w:fldCharType="separate"/>
      </w:r>
      <w:r>
        <w:t>39</w:t>
      </w:r>
      <w:r>
        <w:fldChar w:fldCharType="end"/>
      </w:r>
      <w:bookmarkStart w:id="1096" w:name="_Toc19944"/>
      <w:bookmarkStart w:id="1097" w:name="_Toc26056"/>
      <w:bookmarkStart w:id="1098" w:name="_Toc3188"/>
      <w:bookmarkStart w:id="1099" w:name="_Toc3731"/>
      <w:bookmarkStart w:id="1100" w:name="_Toc16015"/>
      <w:bookmarkStart w:id="1101" w:name="_Toc18012"/>
      <w:bookmarkStart w:id="1102" w:name="_Toc14278"/>
      <w:bookmarkStart w:id="1103" w:name="_Toc17060"/>
      <w:bookmarkStart w:id="1104" w:name="_Toc20907"/>
      <w:bookmarkStart w:id="1105" w:name="_Toc5893"/>
      <w:bookmarkStart w:id="1106" w:name="_Toc32122"/>
      <w:bookmarkEnd w:id="1088"/>
      <w:r>
        <w:t xml:space="preserve"> - </w:t>
      </w:r>
      <w:r>
        <w:rPr>
          <w:rFonts w:cs="Times New Roman"/>
          <w:bCs/>
        </w:rPr>
        <w:t xml:space="preserve">Perete </w:t>
      </w:r>
      <w:r>
        <w:t xml:space="preserve">rezistent la foc (în continuarea pereților antifoc conform Art. 2.3.2.1.2) dispus la exterior, </w:t>
      </w:r>
      <w:r>
        <w:rPr>
          <w:rFonts w:cs="Times New Roman"/>
          <w:bCs/>
        </w:rPr>
        <w:t xml:space="preserve">la colţurile intrânde ale clădirilor civile în formă de L, T sau U sub un unghi α,  </w:t>
      </w:r>
      <w:r>
        <w:rPr>
          <w:sz w:val="22"/>
          <w:szCs w:val="22"/>
        </w:rPr>
        <w:t xml:space="preserve">90° </w:t>
      </w:r>
      <w:r>
        <w:rPr>
          <w:rFonts w:ascii="Arial" w:hAnsi="Arial" w:cs="Arial" w:hint="eastAsia"/>
          <w:sz w:val="22"/>
          <w:szCs w:val="22"/>
        </w:rPr>
        <w:t>≤</w:t>
      </w:r>
      <w:r>
        <w:rPr>
          <w:sz w:val="22"/>
          <w:szCs w:val="22"/>
        </w:rPr>
        <w:t>α</w:t>
      </w:r>
      <w:r>
        <w:rPr>
          <w:rFonts w:ascii="Arial" w:hAnsi="Arial" w:cs="Arial"/>
          <w:sz w:val="22"/>
          <w:szCs w:val="22"/>
        </w:rPr>
        <w:t>&lt;</w:t>
      </w:r>
      <w:r>
        <w:rPr>
          <w:sz w:val="22"/>
          <w:szCs w:val="22"/>
        </w:rPr>
        <w:t>135°</w:t>
      </w:r>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p>
    <w:p w14:paraId="5A5CC330" w14:textId="77777777" w:rsidR="001C08A5" w:rsidRDefault="00000000">
      <w:pPr>
        <w:pStyle w:val="ListParagraph"/>
        <w:widowControl w:val="0"/>
        <w:numPr>
          <w:ilvl w:val="0"/>
          <w:numId w:val="34"/>
        </w:numPr>
        <w:ind w:left="0" w:firstLine="720"/>
        <w:jc w:val="both"/>
      </w:pPr>
      <w:r>
        <w:t xml:space="preserve">În cazul în care pereţii antifoc sunt amplasaţi la colţurile intrânde ale clădirilor civile în formă de </w:t>
      </w:r>
      <w:r>
        <w:rPr>
          <w:b/>
        </w:rPr>
        <w:t>L</w:t>
      </w:r>
      <w:r>
        <w:t xml:space="preserve">, </w:t>
      </w:r>
      <w:r>
        <w:rPr>
          <w:b/>
        </w:rPr>
        <w:t>T</w:t>
      </w:r>
      <w:r>
        <w:t xml:space="preserve"> sau </w:t>
      </w:r>
      <w:r>
        <w:rPr>
          <w:b/>
        </w:rPr>
        <w:t xml:space="preserve">U </w:t>
      </w:r>
      <w:r>
        <w:rPr>
          <w:bCs/>
        </w:rPr>
        <w:t xml:space="preserve">sub un unghi α, </w:t>
      </w:r>
      <w:r>
        <w:rPr>
          <w:b/>
        </w:rPr>
        <w:t xml:space="preserve">α &gt; 135° </w:t>
      </w:r>
      <w:r>
        <w:rPr>
          <w:bCs/>
        </w:rPr>
        <w:t>(</w:t>
      </w:r>
      <w:r>
        <w:rPr>
          <w:b/>
          <w:bCs/>
          <w:i/>
          <w:iCs/>
        </w:rPr>
        <w:fldChar w:fldCharType="begin"/>
      </w:r>
      <w:r>
        <w:rPr>
          <w:b/>
          <w:bCs/>
          <w:i/>
          <w:iCs/>
        </w:rPr>
        <w:instrText xml:space="preserve"> REF _Ref13166 \h </w:instrText>
      </w:r>
      <w:r>
        <w:rPr>
          <w:b/>
          <w:bCs/>
          <w:i/>
          <w:iCs/>
        </w:rPr>
      </w:r>
      <w:r>
        <w:rPr>
          <w:b/>
          <w:bCs/>
          <w:i/>
          <w:iCs/>
        </w:rPr>
        <w:fldChar w:fldCharType="separate"/>
      </w:r>
      <w:r>
        <w:t>Figura 40</w:t>
      </w:r>
      <w:r>
        <w:rPr>
          <w:b/>
          <w:bCs/>
          <w:i/>
          <w:iCs/>
        </w:rPr>
        <w:fldChar w:fldCharType="end"/>
      </w:r>
      <w:r>
        <w:rPr>
          <w:bCs/>
        </w:rPr>
        <w:t>)</w:t>
      </w:r>
      <w:r>
        <w:t xml:space="preserve">, golurile din pereţii exteriori adiacenţi se dispun astfel încât distanţa dintre ele să fie de cel puţin patru </w:t>
      </w:r>
      <w:r>
        <w:rPr>
          <w:b/>
        </w:rPr>
        <w:t xml:space="preserve">4 </w:t>
      </w:r>
      <w:r>
        <w:rPr>
          <w:bCs/>
        </w:rPr>
        <w:t>m</w:t>
      </w:r>
      <w:r>
        <w:rPr>
          <w:b/>
        </w:rPr>
        <w:t xml:space="preserve"> </w:t>
      </w:r>
      <w:r>
        <w:rPr>
          <w:bCs/>
        </w:rPr>
        <w:t xml:space="preserve">și trebuie îndeplinită doar performanța privind  rezistența la foc a peretelui exterior sau pereților exteriori pe distanța de </w:t>
      </w:r>
      <w:r>
        <w:rPr>
          <w:b/>
        </w:rPr>
        <w:t xml:space="preserve">4 </w:t>
      </w:r>
      <w:r>
        <w:rPr>
          <w:bCs/>
        </w:rPr>
        <w:t xml:space="preserve">m. </w:t>
      </w:r>
      <w:r>
        <w:rPr>
          <w:bCs/>
          <w:iCs/>
        </w:rPr>
        <w:t>Atunci când se prevăd goluri funcţionale în această porţiune</w:t>
      </w:r>
      <w:r>
        <w:t xml:space="preserve">, pereții exteriori precum și golurile funcţionale din această porţiune trebuie protejate cu elemente  rezistente la foc conform </w:t>
      </w:r>
      <w:r>
        <w:rPr>
          <w:rStyle w:val="CaptiontabelChar"/>
        </w:rPr>
        <w:fldChar w:fldCharType="begin"/>
      </w:r>
      <w:r>
        <w:rPr>
          <w:rStyle w:val="CaptiontabelChar"/>
        </w:rPr>
        <w:instrText xml:space="preserve"> REF _Ref29461 \h </w:instrText>
      </w:r>
      <w:r>
        <w:rPr>
          <w:rStyle w:val="CaptiontabelChar"/>
        </w:rPr>
      </w:r>
      <w:r>
        <w:rPr>
          <w:rStyle w:val="CaptiontabelChar"/>
        </w:rPr>
        <w:fldChar w:fldCharType="separate"/>
      </w:r>
      <w:r>
        <w:t>Tabelul 11</w:t>
      </w:r>
      <w:r>
        <w:rPr>
          <w:rStyle w:val="CaptiontabelChar"/>
        </w:rPr>
        <w:fldChar w:fldCharType="end"/>
      </w:r>
      <w:r>
        <w:t xml:space="preserve"> sau </w:t>
      </w:r>
      <w:r>
        <w:rPr>
          <w:rStyle w:val="CaptiontabelChar"/>
        </w:rPr>
        <w:fldChar w:fldCharType="begin"/>
      </w:r>
      <w:r>
        <w:rPr>
          <w:rStyle w:val="CaptiontabelChar"/>
        </w:rPr>
        <w:instrText xml:space="preserve"> REF _Ref29484 \h </w:instrText>
      </w:r>
      <w:r>
        <w:rPr>
          <w:rStyle w:val="CaptiontabelChar"/>
        </w:rPr>
      </w:r>
      <w:r>
        <w:rPr>
          <w:rStyle w:val="CaptiontabelChar"/>
        </w:rPr>
        <w:fldChar w:fldCharType="separate"/>
      </w:r>
      <w:r>
        <w:t>Tabelul 12</w:t>
      </w:r>
      <w:r>
        <w:rPr>
          <w:rStyle w:val="CaptiontabelChar"/>
        </w:rPr>
        <w:fldChar w:fldCharType="end"/>
      </w:r>
      <w:r>
        <w:rPr>
          <w:rStyle w:val="CaptiontabelChar"/>
        </w:rPr>
        <w:t>.</w:t>
      </w:r>
    </w:p>
    <w:p w14:paraId="33B8F5C2" w14:textId="77777777" w:rsidR="001C08A5" w:rsidRDefault="00000000">
      <w:pPr>
        <w:pStyle w:val="Caption"/>
        <w:jc w:val="both"/>
      </w:pPr>
      <w:bookmarkStart w:id="1107" w:name="_Ref29461"/>
      <w:bookmarkStart w:id="1108" w:name="_Toc162360061"/>
      <w:r>
        <w:t xml:space="preserve">Tabelul </w:t>
      </w:r>
      <w:r>
        <w:fldChar w:fldCharType="begin"/>
      </w:r>
      <w:r>
        <w:instrText xml:space="preserve"> SEQ Tabelul \* ARABIC </w:instrText>
      </w:r>
      <w:r>
        <w:fldChar w:fldCharType="separate"/>
      </w:r>
      <w:r>
        <w:t>11</w:t>
      </w:r>
      <w:r>
        <w:fldChar w:fldCharType="end"/>
      </w:r>
      <w:bookmarkStart w:id="1109" w:name="_Toc25072"/>
      <w:bookmarkStart w:id="1110" w:name="_Toc3821"/>
      <w:bookmarkStart w:id="1111" w:name="_Toc18590"/>
      <w:bookmarkStart w:id="1112" w:name="_Toc20509"/>
      <w:bookmarkStart w:id="1113" w:name="_Toc26842"/>
      <w:bookmarkStart w:id="1114" w:name="_Toc2369"/>
      <w:bookmarkStart w:id="1115" w:name="_Toc2702"/>
      <w:bookmarkStart w:id="1116" w:name="_Toc11676"/>
      <w:bookmarkStart w:id="1117" w:name="_Toc9064"/>
      <w:bookmarkStart w:id="1118" w:name="_Toc5173"/>
      <w:bookmarkStart w:id="1119" w:name="_Toc7630"/>
      <w:bookmarkStart w:id="1120" w:name="_Toc27870"/>
      <w:bookmarkEnd w:id="1107"/>
      <w:r>
        <w:t xml:space="preserve">: Rezistența la foc a pereţilor din exterior și ale elementelor de închidere rezistente la foc ale golurilor funcţionale prevazute în pereţii din exterior amplasate la colţurile intrânde ale construcţiilor civile (cu regim parter, cu excepția clădirilor cu persoane care nu se pot evacua singure și clădirilor cu săli aglomerate) în formă de L, T sau U sub un unghi α, </w:t>
      </w:r>
      <w:r>
        <w:rPr>
          <w:bCs/>
        </w:rPr>
        <w:t xml:space="preserve">α </w:t>
      </w:r>
      <w:r>
        <w:rPr>
          <w:rFonts w:ascii="Arial" w:hAnsi="Arial" w:cs="Arial"/>
        </w:rPr>
        <w:t xml:space="preserve">&gt; </w:t>
      </w:r>
      <w:r>
        <w:t>135°, unde golurile din pereţii exteriori adiacenţi sunt dispuse astfel încât distanţa dintre ele este mai mică de 4 m</w:t>
      </w:r>
      <w:bookmarkEnd w:id="1108"/>
      <w:bookmarkEnd w:id="1109"/>
      <w:bookmarkEnd w:id="1110"/>
      <w:bookmarkEnd w:id="1111"/>
      <w:bookmarkEnd w:id="1112"/>
      <w:bookmarkEnd w:id="1113"/>
      <w:bookmarkEnd w:id="1114"/>
      <w:bookmarkEnd w:id="1115"/>
      <w:bookmarkEnd w:id="1116"/>
      <w:bookmarkEnd w:id="1117"/>
      <w:bookmarkEnd w:id="1118"/>
      <w:bookmarkEnd w:id="1119"/>
      <w:bookmarkEnd w:id="11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1"/>
        <w:gridCol w:w="3151"/>
        <w:gridCol w:w="2655"/>
        <w:gridCol w:w="1782"/>
      </w:tblGrid>
      <w:tr w:rsidR="001C08A5" w14:paraId="60CF887C" w14:textId="77777777">
        <w:trPr>
          <w:tblHeader/>
        </w:trPr>
        <w:tc>
          <w:tcPr>
            <w:tcW w:w="2057" w:type="dxa"/>
            <w:shd w:val="clear" w:color="auto" w:fill="BFBFBF"/>
            <w:vAlign w:val="center"/>
          </w:tcPr>
          <w:p w14:paraId="59B8EDD7" w14:textId="77777777" w:rsidR="001C08A5" w:rsidRDefault="00000000">
            <w:pPr>
              <w:jc w:val="center"/>
              <w:rPr>
                <w:b/>
                <w:bCs/>
                <w:i/>
                <w:iCs/>
                <w:sz w:val="22"/>
                <w:szCs w:val="22"/>
              </w:rPr>
            </w:pPr>
            <w:r>
              <w:rPr>
                <w:b/>
                <w:bCs/>
                <w:i/>
                <w:iCs/>
                <w:sz w:val="22"/>
                <w:szCs w:val="22"/>
              </w:rPr>
              <w:t xml:space="preserve">În cazul pereţilor antifoc  care separă compartimentele de incendiu </w:t>
            </w:r>
          </w:p>
        </w:tc>
        <w:tc>
          <w:tcPr>
            <w:tcW w:w="3246" w:type="dxa"/>
            <w:shd w:val="clear" w:color="auto" w:fill="BFBFBF"/>
            <w:vAlign w:val="center"/>
          </w:tcPr>
          <w:p w14:paraId="26892D32" w14:textId="77777777" w:rsidR="001C08A5" w:rsidRDefault="00000000">
            <w:pPr>
              <w:jc w:val="center"/>
              <w:rPr>
                <w:i/>
                <w:iCs/>
                <w:sz w:val="22"/>
                <w:szCs w:val="22"/>
              </w:rPr>
            </w:pPr>
            <w:r>
              <w:rPr>
                <w:b/>
                <w:i/>
                <w:iCs/>
                <w:sz w:val="22"/>
                <w:szCs w:val="22"/>
              </w:rPr>
              <w:t>Densitatea sarcinii termice</w:t>
            </w:r>
            <w:r>
              <w:rPr>
                <w:b/>
                <w:bCs/>
                <w:i/>
                <w:iCs/>
                <w:sz w:val="22"/>
                <w:szCs w:val="22"/>
              </w:rPr>
              <w:t>(q) din încăperi perimetrale (pe o distanță mai mică de 4 m)/ construcție (MJ/m</w:t>
            </w:r>
            <w:r>
              <w:rPr>
                <w:b/>
                <w:bCs/>
                <w:i/>
                <w:iCs/>
                <w:sz w:val="22"/>
                <w:szCs w:val="22"/>
                <w:vertAlign w:val="superscript"/>
              </w:rPr>
              <w:t>2</w:t>
            </w:r>
            <w:r>
              <w:rPr>
                <w:b/>
                <w:bCs/>
                <w:i/>
                <w:iCs/>
                <w:sz w:val="22"/>
                <w:szCs w:val="22"/>
              </w:rPr>
              <w:t>)</w:t>
            </w:r>
          </w:p>
        </w:tc>
        <w:tc>
          <w:tcPr>
            <w:tcW w:w="2734" w:type="dxa"/>
            <w:shd w:val="clear" w:color="auto" w:fill="BFBFBF"/>
            <w:vAlign w:val="center"/>
          </w:tcPr>
          <w:p w14:paraId="779793B4" w14:textId="77777777" w:rsidR="001C08A5" w:rsidRDefault="00000000">
            <w:pPr>
              <w:jc w:val="center"/>
              <w:rPr>
                <w:i/>
                <w:iCs/>
                <w:sz w:val="22"/>
                <w:szCs w:val="22"/>
              </w:rPr>
            </w:pPr>
            <w:r>
              <w:rPr>
                <w:b/>
                <w:i/>
                <w:iCs/>
                <w:sz w:val="22"/>
                <w:szCs w:val="22"/>
              </w:rPr>
              <w:t xml:space="preserve">Rezistenţa la foc (EI/REI) minimă a pereţilor din exterior </w:t>
            </w:r>
            <w:r>
              <w:rPr>
                <w:i/>
                <w:iCs/>
                <w:sz w:val="22"/>
                <w:szCs w:val="22"/>
              </w:rPr>
              <w:t xml:space="preserve">- </w:t>
            </w:r>
            <w:r>
              <w:rPr>
                <w:b/>
                <w:bCs/>
                <w:i/>
                <w:iCs/>
                <w:sz w:val="22"/>
                <w:szCs w:val="22"/>
              </w:rPr>
              <w:t>pe o distanță de minimum 4 m</w:t>
            </w:r>
          </w:p>
        </w:tc>
        <w:tc>
          <w:tcPr>
            <w:tcW w:w="1815" w:type="dxa"/>
            <w:shd w:val="clear" w:color="auto" w:fill="BFBFBF"/>
            <w:vAlign w:val="center"/>
          </w:tcPr>
          <w:p w14:paraId="0D0A579B" w14:textId="77777777" w:rsidR="001C08A5" w:rsidRDefault="00000000">
            <w:pPr>
              <w:jc w:val="center"/>
              <w:rPr>
                <w:b/>
                <w:i/>
                <w:iCs/>
                <w:sz w:val="22"/>
                <w:szCs w:val="22"/>
              </w:rPr>
            </w:pPr>
            <w:r>
              <w:rPr>
                <w:b/>
                <w:i/>
                <w:iCs/>
                <w:sz w:val="22"/>
                <w:szCs w:val="22"/>
              </w:rPr>
              <w:t xml:space="preserve">Elementul de inchidere rezistent la foc </w:t>
            </w:r>
            <w:r>
              <w:rPr>
                <w:b/>
                <w:i/>
                <w:iCs/>
                <w:vertAlign w:val="superscript"/>
              </w:rPr>
              <w:t>2)</w:t>
            </w:r>
          </w:p>
        </w:tc>
      </w:tr>
      <w:tr w:rsidR="001C08A5" w14:paraId="45F62789" w14:textId="77777777">
        <w:trPr>
          <w:tblHeader/>
        </w:trPr>
        <w:tc>
          <w:tcPr>
            <w:tcW w:w="2057" w:type="dxa"/>
            <w:shd w:val="clear" w:color="auto" w:fill="BFBFBF"/>
            <w:vAlign w:val="center"/>
          </w:tcPr>
          <w:p w14:paraId="14B3D936" w14:textId="77777777" w:rsidR="001C08A5" w:rsidRDefault="00000000">
            <w:pPr>
              <w:jc w:val="center"/>
              <w:rPr>
                <w:b/>
                <w:bCs/>
                <w:i/>
                <w:iCs/>
                <w:sz w:val="22"/>
                <w:szCs w:val="22"/>
              </w:rPr>
            </w:pPr>
            <w:r>
              <w:rPr>
                <w:b/>
                <w:bCs/>
                <w:i/>
                <w:iCs/>
                <w:sz w:val="22"/>
                <w:szCs w:val="22"/>
              </w:rPr>
              <w:t>1</w:t>
            </w:r>
          </w:p>
        </w:tc>
        <w:tc>
          <w:tcPr>
            <w:tcW w:w="3246" w:type="dxa"/>
            <w:shd w:val="clear" w:color="auto" w:fill="BFBFBF"/>
            <w:vAlign w:val="center"/>
          </w:tcPr>
          <w:p w14:paraId="52A0B020" w14:textId="77777777" w:rsidR="001C08A5" w:rsidRDefault="00000000">
            <w:pPr>
              <w:jc w:val="center"/>
              <w:rPr>
                <w:b/>
                <w:bCs/>
                <w:i/>
                <w:iCs/>
                <w:sz w:val="22"/>
                <w:szCs w:val="22"/>
              </w:rPr>
            </w:pPr>
            <w:r>
              <w:rPr>
                <w:b/>
                <w:bCs/>
                <w:i/>
                <w:iCs/>
                <w:sz w:val="22"/>
                <w:szCs w:val="22"/>
              </w:rPr>
              <w:t>2</w:t>
            </w:r>
          </w:p>
        </w:tc>
        <w:tc>
          <w:tcPr>
            <w:tcW w:w="2734" w:type="dxa"/>
            <w:shd w:val="clear" w:color="auto" w:fill="BFBFBF"/>
            <w:vAlign w:val="center"/>
          </w:tcPr>
          <w:p w14:paraId="7991AEB6" w14:textId="77777777" w:rsidR="001C08A5" w:rsidRDefault="00000000">
            <w:pPr>
              <w:jc w:val="center"/>
              <w:rPr>
                <w:b/>
                <w:i/>
                <w:iCs/>
                <w:sz w:val="22"/>
                <w:szCs w:val="22"/>
              </w:rPr>
            </w:pPr>
            <w:r>
              <w:rPr>
                <w:b/>
                <w:bCs/>
                <w:i/>
                <w:iCs/>
                <w:sz w:val="22"/>
                <w:szCs w:val="22"/>
              </w:rPr>
              <w:t>3</w:t>
            </w:r>
          </w:p>
        </w:tc>
        <w:tc>
          <w:tcPr>
            <w:tcW w:w="1815" w:type="dxa"/>
            <w:shd w:val="clear" w:color="auto" w:fill="BFBFBF"/>
            <w:vAlign w:val="center"/>
          </w:tcPr>
          <w:p w14:paraId="64E87C51" w14:textId="77777777" w:rsidR="001C08A5" w:rsidRDefault="00000000">
            <w:pPr>
              <w:jc w:val="center"/>
              <w:rPr>
                <w:b/>
                <w:i/>
                <w:iCs/>
                <w:sz w:val="22"/>
                <w:szCs w:val="22"/>
              </w:rPr>
            </w:pPr>
            <w:r>
              <w:rPr>
                <w:b/>
                <w:i/>
                <w:iCs/>
                <w:sz w:val="22"/>
                <w:szCs w:val="22"/>
              </w:rPr>
              <w:t>4</w:t>
            </w:r>
          </w:p>
        </w:tc>
      </w:tr>
      <w:tr w:rsidR="001C08A5" w14:paraId="6CFE3ACE" w14:textId="77777777">
        <w:trPr>
          <w:trHeight w:val="237"/>
        </w:trPr>
        <w:tc>
          <w:tcPr>
            <w:tcW w:w="2057" w:type="dxa"/>
            <w:vMerge w:val="restart"/>
            <w:shd w:val="clear" w:color="auto" w:fill="auto"/>
            <w:vAlign w:val="center"/>
          </w:tcPr>
          <w:p w14:paraId="0F579321" w14:textId="77777777" w:rsidR="001C08A5" w:rsidRDefault="00000000">
            <w:pPr>
              <w:pStyle w:val="Contenutotabellacentrato"/>
              <w:keepNext/>
              <w:jc w:val="both"/>
              <w:rPr>
                <w:i/>
                <w:iCs/>
                <w:sz w:val="22"/>
                <w:szCs w:val="22"/>
              </w:rPr>
            </w:pPr>
            <w:r>
              <w:rPr>
                <w:i/>
                <w:iCs/>
                <w:sz w:val="22"/>
                <w:szCs w:val="22"/>
              </w:rPr>
              <w:t xml:space="preserve">Pentru construcțiile cu regim de înălțime </w:t>
            </w:r>
          </w:p>
          <w:p w14:paraId="2DB42318" w14:textId="77777777" w:rsidR="001C08A5" w:rsidRDefault="00000000">
            <w:pPr>
              <w:pStyle w:val="Contenutotabellacentrato"/>
              <w:keepNext/>
              <w:jc w:val="both"/>
              <w:rPr>
                <w:b/>
                <w:bCs/>
                <w:i/>
                <w:iCs/>
                <w:sz w:val="22"/>
                <w:szCs w:val="22"/>
              </w:rPr>
            </w:pPr>
            <w:r>
              <w:rPr>
                <w:i/>
                <w:iCs/>
                <w:sz w:val="22"/>
                <w:szCs w:val="22"/>
              </w:rPr>
              <w:t>parter</w:t>
            </w:r>
            <w:r>
              <w:rPr>
                <w:b/>
                <w:i/>
                <w:iCs/>
                <w:vertAlign w:val="superscript"/>
              </w:rPr>
              <w:t>1)</w:t>
            </w:r>
          </w:p>
        </w:tc>
        <w:tc>
          <w:tcPr>
            <w:tcW w:w="3246" w:type="dxa"/>
            <w:shd w:val="clear" w:color="auto" w:fill="auto"/>
            <w:vAlign w:val="center"/>
          </w:tcPr>
          <w:p w14:paraId="72B31BD8" w14:textId="77777777" w:rsidR="001C08A5" w:rsidRDefault="00000000">
            <w:pPr>
              <w:pStyle w:val="Contenutotabellacentrato"/>
              <w:rPr>
                <w:b/>
                <w:bCs/>
                <w:i/>
                <w:iCs/>
                <w:sz w:val="22"/>
                <w:szCs w:val="22"/>
              </w:rPr>
            </w:pPr>
            <w:r>
              <w:rPr>
                <w:b/>
                <w:bCs/>
                <w:i/>
                <w:iCs/>
                <w:sz w:val="22"/>
                <w:szCs w:val="22"/>
              </w:rPr>
              <w:t xml:space="preserve">pentru q </w:t>
            </w:r>
            <w:r>
              <w:rPr>
                <w:rFonts w:ascii="Arial" w:hAnsi="Arial" w:cs="Arial"/>
                <w:b/>
                <w:bCs/>
                <w:i/>
                <w:iCs/>
                <w:sz w:val="22"/>
                <w:szCs w:val="22"/>
              </w:rPr>
              <w:t>≤</w:t>
            </w:r>
            <w:r>
              <w:rPr>
                <w:b/>
                <w:bCs/>
                <w:i/>
                <w:iCs/>
                <w:sz w:val="22"/>
                <w:szCs w:val="22"/>
              </w:rPr>
              <w:t xml:space="preserve"> 420 MJ/m</w:t>
            </w:r>
            <w:r>
              <w:rPr>
                <w:b/>
                <w:bCs/>
                <w:i/>
                <w:iCs/>
                <w:sz w:val="22"/>
                <w:szCs w:val="22"/>
                <w:vertAlign w:val="superscript"/>
              </w:rPr>
              <w:t>2</w:t>
            </w:r>
          </w:p>
        </w:tc>
        <w:tc>
          <w:tcPr>
            <w:tcW w:w="2734" w:type="dxa"/>
            <w:shd w:val="clear" w:color="auto" w:fill="auto"/>
            <w:vAlign w:val="center"/>
          </w:tcPr>
          <w:p w14:paraId="5C401C49" w14:textId="77777777" w:rsidR="001C08A5" w:rsidRDefault="00000000">
            <w:pPr>
              <w:pStyle w:val="Contenutotabellacentrato"/>
              <w:rPr>
                <w:b/>
                <w:bCs/>
                <w:i/>
                <w:iCs/>
                <w:sz w:val="22"/>
                <w:szCs w:val="22"/>
              </w:rPr>
            </w:pPr>
            <w:r>
              <w:rPr>
                <w:b/>
                <w:bCs/>
                <w:i/>
                <w:iCs/>
                <w:sz w:val="22"/>
                <w:szCs w:val="22"/>
              </w:rPr>
              <w:t xml:space="preserve">EI 15/REI 15 </w:t>
            </w:r>
          </w:p>
          <w:p w14:paraId="228A0F3D" w14:textId="77777777" w:rsidR="001C08A5" w:rsidRDefault="001C08A5">
            <w:pPr>
              <w:pStyle w:val="Contenutotabellacentrato"/>
              <w:rPr>
                <w:b/>
                <w:bCs/>
                <w:i/>
                <w:iCs/>
                <w:sz w:val="22"/>
                <w:szCs w:val="22"/>
              </w:rPr>
            </w:pPr>
          </w:p>
        </w:tc>
        <w:tc>
          <w:tcPr>
            <w:tcW w:w="1815" w:type="dxa"/>
            <w:shd w:val="clear" w:color="auto" w:fill="auto"/>
            <w:vAlign w:val="center"/>
          </w:tcPr>
          <w:p w14:paraId="25774E29" w14:textId="77777777" w:rsidR="001C08A5" w:rsidRDefault="00000000">
            <w:pPr>
              <w:pStyle w:val="Contenutotabellacentrato"/>
              <w:rPr>
                <w:b/>
                <w:i/>
                <w:iCs/>
                <w:sz w:val="22"/>
                <w:szCs w:val="22"/>
              </w:rPr>
            </w:pPr>
            <w:r>
              <w:rPr>
                <w:b/>
                <w:i/>
                <w:iCs/>
                <w:sz w:val="22"/>
                <w:szCs w:val="22"/>
              </w:rPr>
              <w:t>fixă</w:t>
            </w:r>
          </w:p>
        </w:tc>
      </w:tr>
      <w:tr w:rsidR="001C08A5" w14:paraId="546444CD" w14:textId="77777777">
        <w:tc>
          <w:tcPr>
            <w:tcW w:w="2057" w:type="dxa"/>
            <w:vMerge/>
            <w:shd w:val="clear" w:color="auto" w:fill="auto"/>
            <w:vAlign w:val="center"/>
          </w:tcPr>
          <w:p w14:paraId="7022EEB6" w14:textId="77777777" w:rsidR="001C08A5" w:rsidRDefault="001C08A5">
            <w:pPr>
              <w:pStyle w:val="Contenutotabellacentrato"/>
              <w:keepNext/>
              <w:rPr>
                <w:b/>
                <w:bCs/>
                <w:i/>
                <w:iCs/>
                <w:sz w:val="22"/>
                <w:szCs w:val="22"/>
              </w:rPr>
            </w:pPr>
          </w:p>
        </w:tc>
        <w:tc>
          <w:tcPr>
            <w:tcW w:w="3246" w:type="dxa"/>
            <w:shd w:val="clear" w:color="auto" w:fill="auto"/>
            <w:vAlign w:val="center"/>
          </w:tcPr>
          <w:p w14:paraId="072CC251" w14:textId="77777777" w:rsidR="001C08A5" w:rsidRDefault="00000000">
            <w:pPr>
              <w:pStyle w:val="Contenutotabellacentrato"/>
              <w:rPr>
                <w:b/>
                <w:bCs/>
                <w:i/>
                <w:iCs/>
                <w:sz w:val="22"/>
                <w:szCs w:val="22"/>
              </w:rPr>
            </w:pPr>
            <w:r>
              <w:rPr>
                <w:b/>
                <w:bCs/>
                <w:i/>
                <w:iCs/>
                <w:sz w:val="22"/>
                <w:szCs w:val="22"/>
              </w:rPr>
              <w:t>420 MJ/m</w:t>
            </w:r>
            <w:r>
              <w:rPr>
                <w:b/>
                <w:bCs/>
                <w:i/>
                <w:iCs/>
                <w:sz w:val="22"/>
                <w:szCs w:val="22"/>
                <w:vertAlign w:val="superscript"/>
              </w:rPr>
              <w:t xml:space="preserve">2 </w:t>
            </w:r>
            <w:r>
              <w:rPr>
                <w:rFonts w:ascii="Arial" w:hAnsi="Arial" w:cs="Arial"/>
                <w:b/>
                <w:bCs/>
                <w:i/>
                <w:iCs/>
                <w:sz w:val="22"/>
                <w:szCs w:val="22"/>
              </w:rPr>
              <w:t>&lt;</w:t>
            </w:r>
            <w:r>
              <w:rPr>
                <w:b/>
                <w:bCs/>
                <w:i/>
                <w:iCs/>
                <w:sz w:val="22"/>
                <w:szCs w:val="22"/>
              </w:rPr>
              <w:t xml:space="preserve"> q </w:t>
            </w:r>
            <w:r>
              <w:rPr>
                <w:rFonts w:ascii="Arial" w:hAnsi="Arial" w:cs="Arial"/>
                <w:b/>
                <w:bCs/>
                <w:i/>
                <w:iCs/>
                <w:sz w:val="22"/>
                <w:szCs w:val="22"/>
              </w:rPr>
              <w:t>≤</w:t>
            </w:r>
            <w:r>
              <w:rPr>
                <w:b/>
                <w:bCs/>
                <w:i/>
                <w:iCs/>
                <w:sz w:val="22"/>
                <w:szCs w:val="22"/>
              </w:rPr>
              <w:t xml:space="preserve"> 630 MJ/m</w:t>
            </w:r>
            <w:r>
              <w:rPr>
                <w:b/>
                <w:bCs/>
                <w:i/>
                <w:iCs/>
                <w:sz w:val="22"/>
                <w:szCs w:val="22"/>
                <w:vertAlign w:val="superscript"/>
              </w:rPr>
              <w:t>2</w:t>
            </w:r>
          </w:p>
        </w:tc>
        <w:tc>
          <w:tcPr>
            <w:tcW w:w="2734" w:type="dxa"/>
            <w:shd w:val="clear" w:color="auto" w:fill="auto"/>
            <w:vAlign w:val="center"/>
          </w:tcPr>
          <w:p w14:paraId="5B275D30" w14:textId="77777777" w:rsidR="001C08A5" w:rsidRDefault="00000000">
            <w:pPr>
              <w:pStyle w:val="Contenutotabellacentrato"/>
              <w:rPr>
                <w:b/>
                <w:bCs/>
                <w:i/>
                <w:iCs/>
                <w:sz w:val="22"/>
                <w:szCs w:val="22"/>
              </w:rPr>
            </w:pPr>
            <w:r>
              <w:rPr>
                <w:b/>
                <w:bCs/>
                <w:i/>
                <w:iCs/>
                <w:sz w:val="22"/>
                <w:szCs w:val="22"/>
              </w:rPr>
              <w:t xml:space="preserve">EI 30/REI 30 </w:t>
            </w:r>
          </w:p>
          <w:p w14:paraId="102EEA62" w14:textId="77777777" w:rsidR="001C08A5" w:rsidRDefault="00000000">
            <w:pPr>
              <w:pStyle w:val="Contenutotabellacentrato"/>
              <w:rPr>
                <w:b/>
                <w:bCs/>
                <w:i/>
                <w:iCs/>
                <w:sz w:val="22"/>
                <w:szCs w:val="22"/>
              </w:rPr>
            </w:pPr>
            <w:r>
              <w:rPr>
                <w:b/>
                <w:bCs/>
                <w:i/>
                <w:iCs/>
                <w:sz w:val="22"/>
                <w:szCs w:val="22"/>
              </w:rPr>
              <w:t>(EI 15/REI 15 *)</w:t>
            </w:r>
          </w:p>
        </w:tc>
        <w:tc>
          <w:tcPr>
            <w:tcW w:w="1815" w:type="dxa"/>
            <w:shd w:val="clear" w:color="auto" w:fill="auto"/>
            <w:vAlign w:val="center"/>
          </w:tcPr>
          <w:p w14:paraId="72E27350" w14:textId="77777777" w:rsidR="001C08A5" w:rsidRDefault="00000000">
            <w:pPr>
              <w:pStyle w:val="Contenutotabellacentrato"/>
              <w:rPr>
                <w:b/>
                <w:i/>
                <w:iCs/>
                <w:sz w:val="22"/>
                <w:szCs w:val="22"/>
              </w:rPr>
            </w:pPr>
            <w:r>
              <w:rPr>
                <w:b/>
                <w:i/>
                <w:iCs/>
                <w:sz w:val="22"/>
                <w:szCs w:val="22"/>
              </w:rPr>
              <w:t>EI 15</w:t>
            </w:r>
          </w:p>
          <w:p w14:paraId="746EA95D" w14:textId="77777777" w:rsidR="001C08A5" w:rsidRDefault="00000000">
            <w:pPr>
              <w:pStyle w:val="Contenutotabellacentrato"/>
              <w:rPr>
                <w:b/>
                <w:i/>
                <w:iCs/>
                <w:sz w:val="22"/>
                <w:szCs w:val="22"/>
              </w:rPr>
            </w:pPr>
            <w:r>
              <w:rPr>
                <w:b/>
                <w:i/>
                <w:iCs/>
                <w:sz w:val="22"/>
                <w:szCs w:val="22"/>
              </w:rPr>
              <w:t>(fixă)</w:t>
            </w:r>
          </w:p>
        </w:tc>
      </w:tr>
      <w:tr w:rsidR="001C08A5" w14:paraId="5752CC04" w14:textId="77777777">
        <w:tc>
          <w:tcPr>
            <w:tcW w:w="2057" w:type="dxa"/>
            <w:vMerge/>
            <w:shd w:val="clear" w:color="auto" w:fill="auto"/>
            <w:vAlign w:val="center"/>
          </w:tcPr>
          <w:p w14:paraId="25B05B98" w14:textId="77777777" w:rsidR="001C08A5" w:rsidRDefault="001C08A5">
            <w:pPr>
              <w:pStyle w:val="Contenutotabellacentrato"/>
              <w:keepNext/>
              <w:rPr>
                <w:b/>
                <w:bCs/>
                <w:i/>
                <w:iCs/>
                <w:sz w:val="22"/>
                <w:szCs w:val="22"/>
              </w:rPr>
            </w:pPr>
          </w:p>
        </w:tc>
        <w:tc>
          <w:tcPr>
            <w:tcW w:w="3246" w:type="dxa"/>
            <w:shd w:val="clear" w:color="auto" w:fill="auto"/>
            <w:vAlign w:val="center"/>
          </w:tcPr>
          <w:p w14:paraId="79B69801" w14:textId="77777777" w:rsidR="001C08A5" w:rsidRDefault="00000000">
            <w:pPr>
              <w:pStyle w:val="Contenutotabellacentrato"/>
              <w:rPr>
                <w:b/>
                <w:bCs/>
                <w:i/>
                <w:iCs/>
                <w:sz w:val="22"/>
                <w:szCs w:val="22"/>
              </w:rPr>
            </w:pPr>
            <w:r>
              <w:rPr>
                <w:b/>
                <w:bCs/>
                <w:i/>
                <w:iCs/>
                <w:sz w:val="22"/>
                <w:szCs w:val="22"/>
              </w:rPr>
              <w:t>630 MJ/m</w:t>
            </w:r>
            <w:r>
              <w:rPr>
                <w:b/>
                <w:bCs/>
                <w:i/>
                <w:iCs/>
                <w:sz w:val="22"/>
                <w:szCs w:val="22"/>
                <w:vertAlign w:val="superscript"/>
              </w:rPr>
              <w:t xml:space="preserve">2 </w:t>
            </w:r>
            <w:r>
              <w:rPr>
                <w:rFonts w:ascii="Arial" w:hAnsi="Arial" w:cs="Arial"/>
                <w:b/>
                <w:bCs/>
                <w:i/>
                <w:iCs/>
                <w:sz w:val="22"/>
                <w:szCs w:val="22"/>
              </w:rPr>
              <w:t>&lt;</w:t>
            </w:r>
            <w:r>
              <w:rPr>
                <w:b/>
                <w:bCs/>
                <w:i/>
                <w:iCs/>
                <w:sz w:val="22"/>
                <w:szCs w:val="22"/>
              </w:rPr>
              <w:t xml:space="preserve"> q </w:t>
            </w:r>
            <w:r>
              <w:rPr>
                <w:rFonts w:ascii="Arial" w:hAnsi="Arial" w:cs="Arial"/>
                <w:b/>
                <w:bCs/>
                <w:i/>
                <w:iCs/>
                <w:sz w:val="22"/>
                <w:szCs w:val="22"/>
              </w:rPr>
              <w:t>≤</w:t>
            </w:r>
            <w:r>
              <w:rPr>
                <w:b/>
                <w:bCs/>
                <w:i/>
                <w:iCs/>
                <w:sz w:val="22"/>
                <w:szCs w:val="22"/>
              </w:rPr>
              <w:t xml:space="preserve"> 840 MJ/m</w:t>
            </w:r>
            <w:r>
              <w:rPr>
                <w:b/>
                <w:bCs/>
                <w:i/>
                <w:iCs/>
                <w:sz w:val="22"/>
                <w:szCs w:val="22"/>
                <w:vertAlign w:val="superscript"/>
              </w:rPr>
              <w:t>2</w:t>
            </w:r>
          </w:p>
        </w:tc>
        <w:tc>
          <w:tcPr>
            <w:tcW w:w="2734" w:type="dxa"/>
            <w:shd w:val="clear" w:color="auto" w:fill="auto"/>
            <w:vAlign w:val="center"/>
          </w:tcPr>
          <w:p w14:paraId="6CF24AA2" w14:textId="77777777" w:rsidR="001C08A5" w:rsidRDefault="00000000">
            <w:pPr>
              <w:pStyle w:val="Contenutotabellacentrato"/>
              <w:rPr>
                <w:b/>
                <w:bCs/>
                <w:i/>
                <w:iCs/>
                <w:sz w:val="22"/>
                <w:szCs w:val="22"/>
              </w:rPr>
            </w:pPr>
            <w:r>
              <w:rPr>
                <w:b/>
                <w:bCs/>
                <w:i/>
                <w:iCs/>
                <w:sz w:val="22"/>
                <w:szCs w:val="22"/>
              </w:rPr>
              <w:t>EI 45/REI 45</w:t>
            </w:r>
          </w:p>
          <w:p w14:paraId="262614D3" w14:textId="77777777" w:rsidR="001C08A5" w:rsidRDefault="00000000">
            <w:pPr>
              <w:pStyle w:val="Contenutotabellacentrato"/>
              <w:rPr>
                <w:b/>
                <w:bCs/>
                <w:i/>
                <w:iCs/>
                <w:sz w:val="22"/>
                <w:szCs w:val="22"/>
              </w:rPr>
            </w:pPr>
            <w:r>
              <w:rPr>
                <w:b/>
                <w:bCs/>
                <w:i/>
                <w:iCs/>
                <w:sz w:val="22"/>
                <w:szCs w:val="22"/>
              </w:rPr>
              <w:t>(EI 30/REI 30 *)</w:t>
            </w:r>
          </w:p>
        </w:tc>
        <w:tc>
          <w:tcPr>
            <w:tcW w:w="1815" w:type="dxa"/>
            <w:shd w:val="clear" w:color="auto" w:fill="auto"/>
            <w:vAlign w:val="center"/>
          </w:tcPr>
          <w:p w14:paraId="1DF9B2C1" w14:textId="77777777" w:rsidR="001C08A5" w:rsidRDefault="00000000">
            <w:pPr>
              <w:pStyle w:val="Contenutotabellacentrato"/>
              <w:rPr>
                <w:b/>
                <w:i/>
                <w:iCs/>
                <w:sz w:val="22"/>
                <w:szCs w:val="22"/>
              </w:rPr>
            </w:pPr>
            <w:r>
              <w:rPr>
                <w:b/>
                <w:i/>
                <w:iCs/>
                <w:sz w:val="22"/>
                <w:szCs w:val="22"/>
              </w:rPr>
              <w:t>EI 30</w:t>
            </w:r>
          </w:p>
          <w:p w14:paraId="0F4B5043" w14:textId="77777777" w:rsidR="001C08A5" w:rsidRDefault="00000000">
            <w:pPr>
              <w:pStyle w:val="Contenutotabellacentrato"/>
              <w:rPr>
                <w:b/>
                <w:i/>
                <w:iCs/>
                <w:sz w:val="22"/>
                <w:szCs w:val="22"/>
              </w:rPr>
            </w:pPr>
            <w:r>
              <w:rPr>
                <w:b/>
                <w:i/>
                <w:iCs/>
              </w:rPr>
              <w:t>(EI 15*)</w:t>
            </w:r>
          </w:p>
        </w:tc>
      </w:tr>
      <w:tr w:rsidR="001C08A5" w14:paraId="69465865" w14:textId="77777777">
        <w:tc>
          <w:tcPr>
            <w:tcW w:w="2057" w:type="dxa"/>
            <w:vMerge/>
            <w:shd w:val="clear" w:color="auto" w:fill="auto"/>
            <w:vAlign w:val="center"/>
          </w:tcPr>
          <w:p w14:paraId="1E699FB4" w14:textId="77777777" w:rsidR="001C08A5" w:rsidRDefault="001C08A5">
            <w:pPr>
              <w:pStyle w:val="Contenutotabellacentrato"/>
              <w:keepNext/>
              <w:rPr>
                <w:b/>
                <w:bCs/>
                <w:i/>
                <w:iCs/>
                <w:sz w:val="22"/>
                <w:szCs w:val="22"/>
              </w:rPr>
            </w:pPr>
          </w:p>
        </w:tc>
        <w:tc>
          <w:tcPr>
            <w:tcW w:w="3246" w:type="dxa"/>
            <w:shd w:val="clear" w:color="auto" w:fill="auto"/>
            <w:vAlign w:val="center"/>
          </w:tcPr>
          <w:p w14:paraId="55208598" w14:textId="77777777" w:rsidR="001C08A5" w:rsidRDefault="00000000">
            <w:pPr>
              <w:pStyle w:val="Contenutotabellacentrato"/>
              <w:rPr>
                <w:b/>
                <w:bCs/>
                <w:i/>
                <w:iCs/>
                <w:sz w:val="22"/>
                <w:szCs w:val="22"/>
              </w:rPr>
            </w:pPr>
            <w:r>
              <w:rPr>
                <w:b/>
                <w:bCs/>
                <w:i/>
                <w:iCs/>
                <w:sz w:val="22"/>
                <w:szCs w:val="22"/>
              </w:rPr>
              <w:t>840 MJ/m</w:t>
            </w:r>
            <w:r>
              <w:rPr>
                <w:b/>
                <w:bCs/>
                <w:i/>
                <w:iCs/>
                <w:sz w:val="22"/>
                <w:szCs w:val="22"/>
                <w:vertAlign w:val="superscript"/>
              </w:rPr>
              <w:t xml:space="preserve">2 </w:t>
            </w:r>
            <w:r>
              <w:rPr>
                <w:rFonts w:ascii="Arial" w:hAnsi="Arial" w:cs="Arial"/>
                <w:b/>
                <w:bCs/>
                <w:i/>
                <w:iCs/>
                <w:sz w:val="22"/>
                <w:szCs w:val="22"/>
              </w:rPr>
              <w:t>&lt;</w:t>
            </w:r>
            <w:r>
              <w:rPr>
                <w:b/>
                <w:bCs/>
                <w:i/>
                <w:iCs/>
                <w:sz w:val="22"/>
                <w:szCs w:val="22"/>
              </w:rPr>
              <w:t xml:space="preserve"> q </w:t>
            </w:r>
            <w:r>
              <w:rPr>
                <w:rFonts w:ascii="Arial" w:hAnsi="Arial" w:cs="Arial"/>
                <w:b/>
                <w:bCs/>
                <w:i/>
                <w:iCs/>
                <w:sz w:val="22"/>
                <w:szCs w:val="22"/>
              </w:rPr>
              <w:t>≤</w:t>
            </w:r>
            <w:r>
              <w:rPr>
                <w:b/>
                <w:bCs/>
                <w:i/>
                <w:iCs/>
                <w:sz w:val="22"/>
                <w:szCs w:val="22"/>
              </w:rPr>
              <w:t xml:space="preserve"> 1 680 MJ/m</w:t>
            </w:r>
            <w:r>
              <w:rPr>
                <w:b/>
                <w:bCs/>
                <w:i/>
                <w:iCs/>
                <w:sz w:val="22"/>
                <w:szCs w:val="22"/>
                <w:vertAlign w:val="superscript"/>
              </w:rPr>
              <w:t>2</w:t>
            </w:r>
          </w:p>
        </w:tc>
        <w:tc>
          <w:tcPr>
            <w:tcW w:w="2734" w:type="dxa"/>
            <w:shd w:val="clear" w:color="auto" w:fill="auto"/>
            <w:vAlign w:val="center"/>
          </w:tcPr>
          <w:p w14:paraId="5BB203D0" w14:textId="77777777" w:rsidR="001C08A5" w:rsidRDefault="00000000">
            <w:pPr>
              <w:pStyle w:val="Contenutotabellacentrato"/>
              <w:rPr>
                <w:b/>
                <w:bCs/>
                <w:i/>
                <w:iCs/>
                <w:sz w:val="22"/>
                <w:szCs w:val="22"/>
              </w:rPr>
            </w:pPr>
            <w:r>
              <w:rPr>
                <w:b/>
                <w:bCs/>
                <w:i/>
                <w:iCs/>
                <w:sz w:val="22"/>
                <w:szCs w:val="22"/>
              </w:rPr>
              <w:t xml:space="preserve">EI 60/REI 60 </w:t>
            </w:r>
          </w:p>
          <w:p w14:paraId="57493C78" w14:textId="77777777" w:rsidR="001C08A5" w:rsidRDefault="00000000">
            <w:pPr>
              <w:pStyle w:val="Contenutotabellacentrato"/>
              <w:rPr>
                <w:b/>
                <w:bCs/>
                <w:i/>
                <w:iCs/>
                <w:sz w:val="22"/>
                <w:szCs w:val="22"/>
              </w:rPr>
            </w:pPr>
            <w:r>
              <w:rPr>
                <w:b/>
                <w:bCs/>
                <w:i/>
                <w:iCs/>
                <w:sz w:val="22"/>
                <w:szCs w:val="22"/>
              </w:rPr>
              <w:t>(EI 45/REI 45 *)</w:t>
            </w:r>
          </w:p>
        </w:tc>
        <w:tc>
          <w:tcPr>
            <w:tcW w:w="1815" w:type="dxa"/>
            <w:shd w:val="clear" w:color="auto" w:fill="auto"/>
            <w:vAlign w:val="center"/>
          </w:tcPr>
          <w:p w14:paraId="2FA1B5BD" w14:textId="77777777" w:rsidR="001C08A5" w:rsidRDefault="00000000">
            <w:pPr>
              <w:pStyle w:val="Contenutotabellacentrato"/>
              <w:rPr>
                <w:b/>
                <w:i/>
                <w:iCs/>
                <w:sz w:val="22"/>
                <w:szCs w:val="22"/>
              </w:rPr>
            </w:pPr>
            <w:r>
              <w:rPr>
                <w:b/>
                <w:i/>
                <w:iCs/>
                <w:sz w:val="22"/>
                <w:szCs w:val="22"/>
              </w:rPr>
              <w:t>EI 45</w:t>
            </w:r>
          </w:p>
          <w:p w14:paraId="69C5EDF2" w14:textId="77777777" w:rsidR="001C08A5" w:rsidRDefault="00000000">
            <w:pPr>
              <w:pStyle w:val="Contenutotabellacentrato"/>
              <w:rPr>
                <w:b/>
                <w:i/>
                <w:iCs/>
                <w:sz w:val="22"/>
                <w:szCs w:val="22"/>
              </w:rPr>
            </w:pPr>
            <w:r>
              <w:rPr>
                <w:b/>
                <w:i/>
                <w:iCs/>
              </w:rPr>
              <w:t>(EI 30*)</w:t>
            </w:r>
          </w:p>
        </w:tc>
      </w:tr>
      <w:tr w:rsidR="001C08A5" w14:paraId="179684B7" w14:textId="77777777">
        <w:tc>
          <w:tcPr>
            <w:tcW w:w="2057" w:type="dxa"/>
            <w:vMerge/>
            <w:shd w:val="clear" w:color="auto" w:fill="auto"/>
            <w:vAlign w:val="center"/>
          </w:tcPr>
          <w:p w14:paraId="4ABA01B8" w14:textId="77777777" w:rsidR="001C08A5" w:rsidRDefault="001C08A5">
            <w:pPr>
              <w:pStyle w:val="Contenutotabellacentrato"/>
              <w:keepNext/>
              <w:rPr>
                <w:b/>
                <w:bCs/>
                <w:i/>
                <w:iCs/>
                <w:sz w:val="22"/>
                <w:szCs w:val="22"/>
              </w:rPr>
            </w:pPr>
          </w:p>
        </w:tc>
        <w:tc>
          <w:tcPr>
            <w:tcW w:w="3246" w:type="dxa"/>
            <w:shd w:val="clear" w:color="auto" w:fill="auto"/>
            <w:vAlign w:val="center"/>
          </w:tcPr>
          <w:p w14:paraId="5CE0C051" w14:textId="77777777" w:rsidR="001C08A5" w:rsidRDefault="00000000">
            <w:pPr>
              <w:pStyle w:val="Contenutotabellacentrato"/>
              <w:rPr>
                <w:b/>
                <w:bCs/>
                <w:i/>
                <w:iCs/>
                <w:sz w:val="22"/>
                <w:szCs w:val="22"/>
              </w:rPr>
            </w:pPr>
            <w:r>
              <w:rPr>
                <w:b/>
                <w:bCs/>
                <w:i/>
                <w:iCs/>
                <w:sz w:val="22"/>
                <w:szCs w:val="22"/>
              </w:rPr>
              <w:t xml:space="preserve">q </w:t>
            </w:r>
            <w:r>
              <w:rPr>
                <w:rFonts w:ascii="Arial" w:hAnsi="Arial" w:cs="Arial"/>
                <w:b/>
                <w:bCs/>
                <w:i/>
                <w:iCs/>
                <w:sz w:val="22"/>
                <w:szCs w:val="22"/>
              </w:rPr>
              <w:t>&gt;</w:t>
            </w:r>
            <w:r>
              <w:rPr>
                <w:b/>
                <w:bCs/>
                <w:i/>
                <w:iCs/>
                <w:sz w:val="22"/>
                <w:szCs w:val="22"/>
              </w:rPr>
              <w:t xml:space="preserve"> 1 680 MJ/m</w:t>
            </w:r>
            <w:r>
              <w:rPr>
                <w:b/>
                <w:bCs/>
                <w:i/>
                <w:iCs/>
                <w:sz w:val="22"/>
                <w:szCs w:val="22"/>
                <w:vertAlign w:val="superscript"/>
              </w:rPr>
              <w:t xml:space="preserve">2 </w:t>
            </w:r>
            <w:r>
              <w:rPr>
                <w:i/>
                <w:iCs/>
                <w:sz w:val="22"/>
                <w:szCs w:val="22"/>
              </w:rPr>
              <w:t>şi/sau există pericol de explozie volumetrică)</w:t>
            </w:r>
          </w:p>
        </w:tc>
        <w:tc>
          <w:tcPr>
            <w:tcW w:w="2734" w:type="dxa"/>
            <w:shd w:val="clear" w:color="auto" w:fill="auto"/>
            <w:vAlign w:val="center"/>
          </w:tcPr>
          <w:p w14:paraId="353EC06A" w14:textId="77777777" w:rsidR="001C08A5" w:rsidRDefault="00000000">
            <w:pPr>
              <w:pStyle w:val="Contenutotabellacentrato"/>
              <w:rPr>
                <w:b/>
                <w:bCs/>
                <w:i/>
                <w:iCs/>
                <w:sz w:val="22"/>
                <w:szCs w:val="22"/>
              </w:rPr>
            </w:pPr>
            <w:r>
              <w:rPr>
                <w:b/>
                <w:bCs/>
                <w:i/>
                <w:iCs/>
                <w:sz w:val="22"/>
                <w:szCs w:val="22"/>
              </w:rPr>
              <w:t xml:space="preserve">EI 90/REI 90 </w:t>
            </w:r>
          </w:p>
          <w:p w14:paraId="436865F2" w14:textId="77777777" w:rsidR="001C08A5" w:rsidRDefault="00000000">
            <w:pPr>
              <w:pStyle w:val="Contenutotabellacentrato"/>
              <w:rPr>
                <w:b/>
                <w:bCs/>
                <w:i/>
                <w:iCs/>
                <w:sz w:val="22"/>
                <w:szCs w:val="22"/>
              </w:rPr>
            </w:pPr>
            <w:r>
              <w:rPr>
                <w:b/>
                <w:bCs/>
                <w:i/>
                <w:iCs/>
                <w:sz w:val="22"/>
                <w:szCs w:val="22"/>
              </w:rPr>
              <w:t>(EI 60/REI 60 *)</w:t>
            </w:r>
          </w:p>
        </w:tc>
        <w:tc>
          <w:tcPr>
            <w:tcW w:w="1815" w:type="dxa"/>
            <w:shd w:val="clear" w:color="auto" w:fill="auto"/>
            <w:vAlign w:val="center"/>
          </w:tcPr>
          <w:p w14:paraId="171BBAAD" w14:textId="77777777" w:rsidR="001C08A5" w:rsidRDefault="00000000">
            <w:pPr>
              <w:pStyle w:val="Contenutotabellacentrato"/>
              <w:rPr>
                <w:b/>
                <w:i/>
                <w:iCs/>
                <w:sz w:val="22"/>
                <w:szCs w:val="22"/>
              </w:rPr>
            </w:pPr>
            <w:r>
              <w:rPr>
                <w:b/>
                <w:i/>
                <w:iCs/>
                <w:sz w:val="22"/>
                <w:szCs w:val="22"/>
              </w:rPr>
              <w:t>EI 60</w:t>
            </w:r>
          </w:p>
          <w:p w14:paraId="1DD53672" w14:textId="77777777" w:rsidR="001C08A5" w:rsidRDefault="00000000">
            <w:pPr>
              <w:pStyle w:val="Contenutotabellacentrato"/>
              <w:rPr>
                <w:b/>
                <w:i/>
                <w:iCs/>
                <w:sz w:val="22"/>
                <w:szCs w:val="22"/>
              </w:rPr>
            </w:pPr>
            <w:r>
              <w:rPr>
                <w:b/>
                <w:i/>
                <w:iCs/>
              </w:rPr>
              <w:t>(EI 45*)</w:t>
            </w:r>
          </w:p>
        </w:tc>
      </w:tr>
    </w:tbl>
    <w:p w14:paraId="046E1708" w14:textId="77777777" w:rsidR="001C08A5" w:rsidRDefault="00000000">
      <w:pPr>
        <w:jc w:val="both"/>
        <w:rPr>
          <w:b/>
          <w:i/>
          <w:iCs/>
          <w:sz w:val="22"/>
          <w:szCs w:val="22"/>
        </w:rPr>
      </w:pPr>
      <w:r>
        <w:rPr>
          <w:b/>
          <w:i/>
          <w:iCs/>
          <w:sz w:val="22"/>
          <w:szCs w:val="22"/>
        </w:rPr>
        <w:t>Observații:</w:t>
      </w:r>
    </w:p>
    <w:p w14:paraId="0E764A60" w14:textId="77777777" w:rsidR="001C08A5" w:rsidRDefault="00000000">
      <w:pPr>
        <w:jc w:val="both"/>
        <w:rPr>
          <w:b/>
          <w:i/>
          <w:iCs/>
          <w:sz w:val="22"/>
          <w:szCs w:val="22"/>
        </w:rPr>
      </w:pPr>
      <w:r>
        <w:rPr>
          <w:b/>
          <w:i/>
          <w:iCs/>
          <w:sz w:val="22"/>
          <w:szCs w:val="22"/>
          <w:vertAlign w:val="superscript"/>
        </w:rPr>
        <w:t>1)</w:t>
      </w:r>
      <w:r>
        <w:rPr>
          <w:b/>
          <w:i/>
          <w:iCs/>
          <w:sz w:val="22"/>
          <w:szCs w:val="22"/>
        </w:rPr>
        <w:t xml:space="preserve">  - </w:t>
      </w:r>
      <w:r>
        <w:rPr>
          <w:bCs/>
          <w:i/>
          <w:iCs/>
          <w:sz w:val="22"/>
          <w:szCs w:val="22"/>
        </w:rPr>
        <w:t>Se referă la ”</w:t>
      </w:r>
      <w:r>
        <w:rPr>
          <w:i/>
          <w:iCs/>
          <w:sz w:val="22"/>
          <w:szCs w:val="22"/>
        </w:rPr>
        <w:t>Pereţi antifoc pentru construcțiile cu regim de înălțime parter</w:t>
      </w:r>
      <w:r>
        <w:rPr>
          <w:bCs/>
          <w:i/>
          <w:iCs/>
          <w:sz w:val="22"/>
          <w:szCs w:val="22"/>
        </w:rPr>
        <w:t xml:space="preserve">” așa cum sunt definiți la </w:t>
      </w:r>
      <w:r>
        <w:rPr>
          <w:b/>
          <w:i/>
          <w:iCs/>
          <w:sz w:val="22"/>
          <w:szCs w:val="22"/>
        </w:rPr>
        <w:t>Art. 2.3.2.1.2. lit. a)</w:t>
      </w:r>
      <w:r>
        <w:rPr>
          <w:bCs/>
          <w:i/>
          <w:iCs/>
          <w:sz w:val="22"/>
          <w:szCs w:val="22"/>
        </w:rPr>
        <w:t>.</w:t>
      </w:r>
    </w:p>
    <w:p w14:paraId="6B100EC1" w14:textId="77777777" w:rsidR="001C08A5" w:rsidRDefault="00000000">
      <w:pPr>
        <w:rPr>
          <w:b/>
          <w:bCs/>
          <w:i/>
          <w:iCs/>
          <w:sz w:val="22"/>
          <w:szCs w:val="22"/>
        </w:rPr>
      </w:pPr>
      <w:r>
        <w:rPr>
          <w:b/>
          <w:i/>
          <w:iCs/>
          <w:sz w:val="22"/>
          <w:szCs w:val="22"/>
          <w:vertAlign w:val="superscript"/>
        </w:rPr>
        <w:t>2)</w:t>
      </w:r>
      <w:r>
        <w:rPr>
          <w:b/>
          <w:i/>
          <w:iCs/>
          <w:sz w:val="22"/>
          <w:szCs w:val="22"/>
        </w:rPr>
        <w:t xml:space="preserve">  - </w:t>
      </w:r>
      <w:r>
        <w:rPr>
          <w:bCs/>
          <w:i/>
          <w:iCs/>
          <w:sz w:val="22"/>
          <w:szCs w:val="22"/>
        </w:rPr>
        <w:t>Se referă la ”Elemente de inchidere rezistente la foc(uși, ferestre) prevăzute cu autoînchidere ”</w:t>
      </w:r>
      <w:r>
        <w:rPr>
          <w:b/>
          <w:i/>
          <w:iCs/>
          <w:sz w:val="22"/>
          <w:szCs w:val="22"/>
        </w:rPr>
        <w:t>C</w:t>
      </w:r>
      <w:r>
        <w:rPr>
          <w:bCs/>
          <w:i/>
          <w:iCs/>
          <w:sz w:val="22"/>
          <w:szCs w:val="22"/>
        </w:rPr>
        <w:t xml:space="preserve">” sau fixe, dacă </w:t>
      </w:r>
      <w:r>
        <w:rPr>
          <w:i/>
          <w:iCs/>
          <w:sz w:val="22"/>
          <w:szCs w:val="22"/>
        </w:rPr>
        <w:t xml:space="preserve">distanţa dintre deschideri este mai mică de  </w:t>
      </w:r>
      <w:r>
        <w:rPr>
          <w:b/>
          <w:i/>
          <w:iCs/>
          <w:sz w:val="22"/>
          <w:szCs w:val="22"/>
        </w:rPr>
        <w:t xml:space="preserve">4 </w:t>
      </w:r>
      <w:r>
        <w:rPr>
          <w:bCs/>
          <w:i/>
          <w:iCs/>
          <w:sz w:val="22"/>
          <w:szCs w:val="22"/>
        </w:rPr>
        <w:t>m”.</w:t>
      </w:r>
    </w:p>
    <w:p w14:paraId="6212DFB2" w14:textId="77777777" w:rsidR="001C08A5" w:rsidRDefault="00000000">
      <w:pPr>
        <w:widowControl w:val="0"/>
        <w:jc w:val="both"/>
        <w:rPr>
          <w:b/>
          <w:bCs/>
          <w:i/>
          <w:iCs/>
          <w:sz w:val="22"/>
          <w:szCs w:val="22"/>
        </w:rPr>
      </w:pPr>
      <w:r>
        <w:rPr>
          <w:b/>
          <w:bCs/>
          <w:i/>
          <w:iCs/>
          <w:sz w:val="22"/>
          <w:szCs w:val="22"/>
        </w:rPr>
        <w:t xml:space="preserve">Note: </w:t>
      </w:r>
    </w:p>
    <w:p w14:paraId="091CAAED" w14:textId="77777777" w:rsidR="001C08A5" w:rsidRDefault="00000000">
      <w:pPr>
        <w:widowControl w:val="0"/>
        <w:jc w:val="both"/>
        <w:rPr>
          <w:i/>
          <w:iCs/>
          <w:sz w:val="22"/>
          <w:szCs w:val="22"/>
        </w:rPr>
      </w:pPr>
      <w:r>
        <w:rPr>
          <w:i/>
          <w:iCs/>
          <w:sz w:val="22"/>
          <w:szCs w:val="22"/>
        </w:rPr>
        <w:t xml:space="preserve">Pentru clădiri închise se aplică specificatia </w:t>
      </w:r>
      <w:r>
        <w:rPr>
          <w:b/>
          <w:bCs/>
          <w:i/>
          <w:iCs/>
          <w:sz w:val="22"/>
          <w:szCs w:val="22"/>
        </w:rPr>
        <w:t>EW</w:t>
      </w:r>
      <w:r>
        <w:rPr>
          <w:i/>
          <w:iCs/>
          <w:sz w:val="22"/>
          <w:szCs w:val="22"/>
        </w:rPr>
        <w:t xml:space="preserve"> sau </w:t>
      </w:r>
      <w:r>
        <w:rPr>
          <w:b/>
          <w:bCs/>
          <w:i/>
          <w:iCs/>
          <w:sz w:val="22"/>
          <w:szCs w:val="22"/>
        </w:rPr>
        <w:t>EI</w:t>
      </w:r>
      <w:r>
        <w:rPr>
          <w:i/>
          <w:iCs/>
          <w:sz w:val="22"/>
          <w:szCs w:val="22"/>
        </w:rPr>
        <w:t xml:space="preserve"> la elemente de închidere rezistente la foc (uși, ferestre), </w:t>
      </w:r>
      <w:r>
        <w:rPr>
          <w:i/>
          <w:iCs/>
          <w:sz w:val="22"/>
          <w:szCs w:val="22"/>
        </w:rPr>
        <w:lastRenderedPageBreak/>
        <w:t xml:space="preserve">în funcție de apropierea dintre deschideri (dacă este mai mică de </w:t>
      </w:r>
      <w:r>
        <w:rPr>
          <w:b/>
          <w:bCs/>
          <w:i/>
          <w:iCs/>
          <w:sz w:val="22"/>
          <w:szCs w:val="22"/>
        </w:rPr>
        <w:t xml:space="preserve">1 </w:t>
      </w:r>
      <w:r>
        <w:rPr>
          <w:i/>
          <w:iCs/>
          <w:sz w:val="22"/>
          <w:szCs w:val="22"/>
        </w:rPr>
        <w:t xml:space="preserve">m obligatoriu se aplică performanța la foc </w:t>
      </w:r>
      <w:r>
        <w:rPr>
          <w:b/>
          <w:bCs/>
          <w:i/>
          <w:iCs/>
          <w:sz w:val="22"/>
          <w:szCs w:val="22"/>
        </w:rPr>
        <w:t>EI</w:t>
      </w:r>
      <w:r>
        <w:rPr>
          <w:i/>
          <w:iCs/>
          <w:sz w:val="22"/>
          <w:szCs w:val="22"/>
        </w:rPr>
        <w:t>). Pentru clădiri deschise se poate aplica specificatia</w:t>
      </w:r>
      <w:r>
        <w:rPr>
          <w:b/>
          <w:bCs/>
          <w:i/>
          <w:iCs/>
          <w:sz w:val="22"/>
          <w:szCs w:val="22"/>
        </w:rPr>
        <w:t xml:space="preserve"> E</w:t>
      </w:r>
      <w:r>
        <w:rPr>
          <w:i/>
          <w:iCs/>
          <w:sz w:val="22"/>
          <w:szCs w:val="22"/>
        </w:rPr>
        <w:t xml:space="preserve"> la elemente de inchidere rezistente la foc (uși, ferestre).</w:t>
      </w:r>
    </w:p>
    <w:p w14:paraId="2BD5F1DB" w14:textId="77777777" w:rsidR="001C08A5" w:rsidRDefault="00000000">
      <w:pPr>
        <w:widowControl w:val="0"/>
        <w:jc w:val="both"/>
        <w:rPr>
          <w:i/>
          <w:iCs/>
          <w:sz w:val="22"/>
          <w:szCs w:val="22"/>
        </w:rPr>
      </w:pP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 xml:space="preserve">pereţilor </w:t>
      </w:r>
      <w:r>
        <w:rPr>
          <w:i/>
          <w:iCs/>
          <w:sz w:val="22"/>
          <w:szCs w:val="22"/>
        </w:rPr>
        <w:t xml:space="preserve">(din exterior) definiți în tabel este </w:t>
      </w:r>
      <w:r>
        <w:rPr>
          <w:b/>
          <w:i/>
          <w:iCs/>
          <w:sz w:val="22"/>
          <w:szCs w:val="22"/>
        </w:rPr>
        <w:t xml:space="preserve">A1 sau A2-s1,d0. </w:t>
      </w: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elementelor de inchidere rezistente la foc</w:t>
      </w:r>
      <w:r>
        <w:rPr>
          <w:i/>
          <w:iCs/>
          <w:sz w:val="22"/>
          <w:szCs w:val="22"/>
        </w:rPr>
        <w:t xml:space="preserve"> definite în  tabel este </w:t>
      </w:r>
      <w:r>
        <w:rPr>
          <w:b/>
          <w:i/>
          <w:iCs/>
          <w:sz w:val="22"/>
          <w:szCs w:val="22"/>
        </w:rPr>
        <w:t xml:space="preserve">A1 sau A2-s1,d0, </w:t>
      </w:r>
      <w:r>
        <w:rPr>
          <w:bCs/>
          <w:i/>
          <w:iCs/>
          <w:sz w:val="22"/>
          <w:szCs w:val="22"/>
        </w:rPr>
        <w:t>cu excepția componetelor nesubstanţiale, garniturilor, izolatorilor, elementelor de vitraj (din sticlă) simplu sau izolant (realizate din sticlă) ale ușilor și ferestrelor (exterioare), inclusiv cele inserate în pereții cortină.</w:t>
      </w:r>
    </w:p>
    <w:p w14:paraId="49AC3B65" w14:textId="77777777" w:rsidR="001C08A5" w:rsidRDefault="00000000">
      <w:pPr>
        <w:rPr>
          <w:sz w:val="22"/>
          <w:szCs w:val="22"/>
        </w:rPr>
      </w:pPr>
      <w:r>
        <w:rPr>
          <w:i/>
          <w:iCs/>
          <w:sz w:val="22"/>
          <w:szCs w:val="22"/>
        </w:rPr>
        <w:t xml:space="preserve">Rezistența la foc a tuturor </w:t>
      </w:r>
      <w:r>
        <w:rPr>
          <w:bCs/>
          <w:i/>
          <w:iCs/>
          <w:sz w:val="22"/>
          <w:szCs w:val="22"/>
        </w:rPr>
        <w:t xml:space="preserve">elementelor </w:t>
      </w:r>
      <w:r>
        <w:rPr>
          <w:i/>
          <w:iCs/>
          <w:sz w:val="22"/>
          <w:szCs w:val="22"/>
        </w:rPr>
        <w:t xml:space="preserve">definite în coloanele </w:t>
      </w:r>
      <w:r>
        <w:rPr>
          <w:b/>
          <w:bCs/>
          <w:i/>
          <w:iCs/>
          <w:sz w:val="22"/>
          <w:szCs w:val="22"/>
        </w:rPr>
        <w:t>3</w:t>
      </w:r>
      <w:r>
        <w:rPr>
          <w:i/>
          <w:iCs/>
          <w:sz w:val="22"/>
          <w:szCs w:val="22"/>
        </w:rPr>
        <w:t xml:space="preserve"> și </w:t>
      </w:r>
      <w:r>
        <w:rPr>
          <w:b/>
          <w:bCs/>
          <w:i/>
          <w:iCs/>
          <w:sz w:val="22"/>
          <w:szCs w:val="22"/>
        </w:rPr>
        <w:t>4</w:t>
      </w:r>
      <w:r>
        <w:rPr>
          <w:i/>
          <w:iCs/>
          <w:sz w:val="22"/>
          <w:szCs w:val="22"/>
        </w:rPr>
        <w:t xml:space="preserve"> din tabel este în minute.</w:t>
      </w:r>
    </w:p>
    <w:p w14:paraId="6F6F6D8D" w14:textId="77777777" w:rsidR="001C08A5" w:rsidRDefault="00000000">
      <w:pPr>
        <w:widowControl w:val="0"/>
        <w:jc w:val="both"/>
        <w:rPr>
          <w:i/>
          <w:sz w:val="22"/>
          <w:szCs w:val="22"/>
        </w:rPr>
      </w:pPr>
      <w:r>
        <w:rPr>
          <w:b/>
          <w:sz w:val="22"/>
          <w:szCs w:val="22"/>
        </w:rPr>
        <w:t xml:space="preserve">* </w:t>
      </w:r>
      <w:r>
        <w:rPr>
          <w:i/>
          <w:sz w:val="22"/>
          <w:szCs w:val="22"/>
        </w:rPr>
        <w:t xml:space="preserve">Valorile din paranteze se aplică în cazurile în care încăperile sunt echipate cu instalaţii automate de stingere a incendiilor </w:t>
      </w:r>
      <w:r>
        <w:rPr>
          <w:bCs/>
          <w:i/>
          <w:iCs/>
          <w:sz w:val="22"/>
          <w:szCs w:val="22"/>
        </w:rPr>
        <w:t xml:space="preserve">(conform prevederi Normativ </w:t>
      </w:r>
      <w:r>
        <w:rPr>
          <w:b/>
          <w:i/>
          <w:iCs/>
          <w:sz w:val="22"/>
          <w:szCs w:val="22"/>
        </w:rPr>
        <w:t>P118:2</w:t>
      </w:r>
      <w:r>
        <w:rPr>
          <w:bCs/>
          <w:i/>
          <w:iCs/>
          <w:sz w:val="22"/>
          <w:szCs w:val="22"/>
        </w:rPr>
        <w:t>, cu excepțiile prevăzute ale spațiilor care se dotează cu alte instalații automate de stingere)</w:t>
      </w:r>
      <w:r>
        <w:rPr>
          <w:i/>
          <w:sz w:val="22"/>
          <w:szCs w:val="22"/>
        </w:rPr>
        <w:t>.</w:t>
      </w:r>
    </w:p>
    <w:p w14:paraId="20CAAE97" w14:textId="77777777" w:rsidR="001C08A5" w:rsidRDefault="001C08A5">
      <w:pPr>
        <w:widowControl w:val="0"/>
        <w:jc w:val="both"/>
        <w:rPr>
          <w:i/>
          <w:iCs/>
          <w:sz w:val="22"/>
          <w:szCs w:val="22"/>
        </w:rPr>
      </w:pPr>
    </w:p>
    <w:p w14:paraId="1A988DC8" w14:textId="77777777" w:rsidR="001C08A5" w:rsidRDefault="00000000">
      <w:pPr>
        <w:pStyle w:val="Caption"/>
        <w:jc w:val="both"/>
      </w:pPr>
      <w:bookmarkStart w:id="1121" w:name="_Ref29484"/>
      <w:bookmarkStart w:id="1122" w:name="_Toc162360062"/>
      <w:r>
        <w:t xml:space="preserve">Tabelul </w:t>
      </w:r>
      <w:r>
        <w:fldChar w:fldCharType="begin"/>
      </w:r>
      <w:r>
        <w:instrText xml:space="preserve"> SEQ Tabelul \* ARABIC </w:instrText>
      </w:r>
      <w:r>
        <w:fldChar w:fldCharType="separate"/>
      </w:r>
      <w:r>
        <w:t>12</w:t>
      </w:r>
      <w:r>
        <w:fldChar w:fldCharType="end"/>
      </w:r>
      <w:bookmarkStart w:id="1123" w:name="_Toc23553"/>
      <w:bookmarkStart w:id="1124" w:name="_Toc20204"/>
      <w:bookmarkStart w:id="1125" w:name="_Toc30973"/>
      <w:bookmarkStart w:id="1126" w:name="_Toc19663"/>
      <w:bookmarkStart w:id="1127" w:name="_Toc29929"/>
      <w:bookmarkStart w:id="1128" w:name="_Toc7221"/>
      <w:bookmarkStart w:id="1129" w:name="_Toc8012"/>
      <w:bookmarkStart w:id="1130" w:name="_Toc5006"/>
      <w:bookmarkStart w:id="1131" w:name="_Toc21198"/>
      <w:bookmarkStart w:id="1132" w:name="_Toc13237"/>
      <w:bookmarkStart w:id="1133" w:name="_Toc11009"/>
      <w:bookmarkStart w:id="1134" w:name="_Toc24345"/>
      <w:bookmarkEnd w:id="1121"/>
      <w:r>
        <w:t xml:space="preserve">: Rezistența la foc a pereţilor din exterior și ale elementelor de închidere rezistente la foc ale golurilor funcţionale prevazute în pereţii din exterior amplasate la colţurile intrânde ale construcţiilor civile (cu excepția clădirilor prevăzute la Art. 2.3.2.1.2. lit. a)) în formă de L, T sau U sub un unghi unghi α, α </w:t>
      </w:r>
      <w:r>
        <w:rPr>
          <w:rFonts w:ascii="Arial" w:hAnsi="Arial" w:cs="Arial"/>
          <w:lang w:val="en-US"/>
        </w:rPr>
        <w:t>&gt;</w:t>
      </w:r>
      <w:r>
        <w:t>135°, unde golurile din pereţii exteriori adiacenţi sunt dispuse astfel încât distanţa dintre ele este mai mică de patru 4 m</w:t>
      </w:r>
      <w:bookmarkEnd w:id="1122"/>
      <w:bookmarkEnd w:id="1123"/>
      <w:bookmarkEnd w:id="1124"/>
      <w:bookmarkEnd w:id="1125"/>
      <w:bookmarkEnd w:id="1126"/>
      <w:bookmarkEnd w:id="1127"/>
      <w:bookmarkEnd w:id="1128"/>
      <w:bookmarkEnd w:id="1129"/>
      <w:bookmarkEnd w:id="1130"/>
      <w:bookmarkEnd w:id="1131"/>
      <w:bookmarkEnd w:id="1132"/>
      <w:bookmarkEnd w:id="1133"/>
      <w:bookmarkEnd w:id="1134"/>
    </w:p>
    <w:tbl>
      <w:tblPr>
        <w:tblW w:w="47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3"/>
        <w:gridCol w:w="1462"/>
        <w:gridCol w:w="993"/>
        <w:gridCol w:w="1550"/>
        <w:gridCol w:w="1051"/>
        <w:gridCol w:w="1493"/>
        <w:gridCol w:w="1058"/>
      </w:tblGrid>
      <w:tr w:rsidR="001C08A5" w14:paraId="1EFFC097" w14:textId="77777777">
        <w:trPr>
          <w:tblHeader/>
        </w:trPr>
        <w:tc>
          <w:tcPr>
            <w:tcW w:w="838" w:type="pct"/>
            <w:vMerge w:val="restart"/>
            <w:shd w:val="clear" w:color="auto" w:fill="BFBFBF"/>
          </w:tcPr>
          <w:p w14:paraId="6983EA99" w14:textId="77777777" w:rsidR="001C08A5" w:rsidRDefault="00000000">
            <w:pPr>
              <w:jc w:val="center"/>
              <w:rPr>
                <w:b/>
                <w:i/>
                <w:iCs/>
              </w:rPr>
            </w:pPr>
            <w:r>
              <w:rPr>
                <w:b/>
                <w:i/>
                <w:iCs/>
              </w:rPr>
              <w:t>Nivel de stabilitate la incendiu</w:t>
            </w:r>
          </w:p>
        </w:tc>
        <w:tc>
          <w:tcPr>
            <w:tcW w:w="4161" w:type="pct"/>
            <w:gridSpan w:val="6"/>
            <w:shd w:val="clear" w:color="auto" w:fill="BFBFBF"/>
          </w:tcPr>
          <w:p w14:paraId="04CBF196" w14:textId="77777777" w:rsidR="001C08A5" w:rsidRDefault="00000000">
            <w:pPr>
              <w:jc w:val="center"/>
              <w:rPr>
                <w:b/>
              </w:rPr>
            </w:pPr>
            <w:r>
              <w:rPr>
                <w:rFonts w:ascii="Arial" w:hAnsi="Arial" w:cs="Arial"/>
                <w:b/>
                <w:bCs/>
                <w:sz w:val="24"/>
                <w:szCs w:val="24"/>
              </w:rPr>
              <w:t>α</w:t>
            </w:r>
            <w:r>
              <w:rPr>
                <w:b/>
                <w:bCs/>
                <w:sz w:val="28"/>
                <w:szCs w:val="28"/>
              </w:rPr>
              <w:t xml:space="preserve"> </w:t>
            </w:r>
            <w:r>
              <w:rPr>
                <w:rFonts w:ascii="Arial" w:hAnsi="Arial" w:cs="Arial"/>
                <w:b/>
                <w:sz w:val="24"/>
                <w:szCs w:val="24"/>
              </w:rPr>
              <w:t>&gt;</w:t>
            </w:r>
            <w:r>
              <w:rPr>
                <w:bCs/>
                <w:sz w:val="22"/>
                <w:szCs w:val="22"/>
              </w:rPr>
              <w:t xml:space="preserve"> </w:t>
            </w:r>
            <w:r>
              <w:rPr>
                <w:b/>
                <w:sz w:val="24"/>
                <w:szCs w:val="24"/>
              </w:rPr>
              <w:t>135°</w:t>
            </w:r>
          </w:p>
        </w:tc>
      </w:tr>
      <w:tr w:rsidR="001C08A5" w14:paraId="1FEFC6BC" w14:textId="77777777">
        <w:trPr>
          <w:tblHeader/>
        </w:trPr>
        <w:tc>
          <w:tcPr>
            <w:tcW w:w="838" w:type="pct"/>
            <w:vMerge/>
            <w:shd w:val="clear" w:color="auto" w:fill="BFBFBF"/>
          </w:tcPr>
          <w:p w14:paraId="548C2411" w14:textId="77777777" w:rsidR="001C08A5" w:rsidRDefault="001C08A5">
            <w:pPr>
              <w:jc w:val="center"/>
              <w:rPr>
                <w:b/>
                <w:i/>
                <w:iCs/>
              </w:rPr>
            </w:pPr>
          </w:p>
        </w:tc>
        <w:tc>
          <w:tcPr>
            <w:tcW w:w="1342" w:type="pct"/>
            <w:gridSpan w:val="2"/>
            <w:shd w:val="clear" w:color="auto" w:fill="BFBFBF"/>
          </w:tcPr>
          <w:p w14:paraId="1F507765" w14:textId="77777777" w:rsidR="001C08A5" w:rsidRDefault="00000000">
            <w:pPr>
              <w:jc w:val="center"/>
              <w:rPr>
                <w:b/>
                <w:i/>
                <w:iCs/>
              </w:rPr>
            </w:pPr>
            <w:r>
              <w:rPr>
                <w:i/>
                <w:iCs/>
              </w:rPr>
              <w:t>În cazul p</w:t>
            </w:r>
            <w:r>
              <w:rPr>
                <w:i/>
                <w:iCs/>
                <w:sz w:val="21"/>
                <w:szCs w:val="21"/>
              </w:rPr>
              <w:t>ereţi</w:t>
            </w:r>
            <w:r>
              <w:rPr>
                <w:i/>
                <w:iCs/>
              </w:rPr>
              <w:t>lor</w:t>
            </w:r>
            <w:r>
              <w:rPr>
                <w:i/>
                <w:iCs/>
                <w:sz w:val="21"/>
                <w:szCs w:val="21"/>
              </w:rPr>
              <w:t xml:space="preserve"> antifoc minimum</w:t>
            </w:r>
            <w:r>
              <w:rPr>
                <w:b/>
                <w:i/>
                <w:iCs/>
                <w:sz w:val="21"/>
                <w:szCs w:val="21"/>
              </w:rPr>
              <w:t xml:space="preserve"> EI-M 240/REI 240 </w:t>
            </w:r>
            <w:r>
              <w:rPr>
                <w:b/>
                <w:i/>
                <w:iCs/>
                <w:vertAlign w:val="superscript"/>
              </w:rPr>
              <w:t>1)</w:t>
            </w:r>
          </w:p>
        </w:tc>
        <w:tc>
          <w:tcPr>
            <w:tcW w:w="1423" w:type="pct"/>
            <w:gridSpan w:val="2"/>
            <w:shd w:val="clear" w:color="auto" w:fill="BFBFBF"/>
          </w:tcPr>
          <w:p w14:paraId="6D0121A6" w14:textId="77777777" w:rsidR="001C08A5" w:rsidRDefault="00000000">
            <w:pPr>
              <w:jc w:val="center"/>
              <w:rPr>
                <w:i/>
                <w:iCs/>
              </w:rPr>
            </w:pPr>
            <w:r>
              <w:rPr>
                <w:i/>
                <w:iCs/>
              </w:rPr>
              <w:t xml:space="preserve">În cazul pereţilor antifoc  </w:t>
            </w:r>
            <w:r>
              <w:rPr>
                <w:i/>
                <w:iCs/>
                <w:sz w:val="21"/>
                <w:szCs w:val="21"/>
              </w:rPr>
              <w:t>minimum</w:t>
            </w:r>
            <w:r>
              <w:rPr>
                <w:b/>
                <w:bCs/>
                <w:i/>
                <w:iCs/>
                <w:sz w:val="21"/>
                <w:szCs w:val="21"/>
              </w:rPr>
              <w:t xml:space="preserve"> EI-M 180/REI 180</w:t>
            </w:r>
            <w:r>
              <w:rPr>
                <w:b/>
                <w:bCs/>
                <w:i/>
                <w:iCs/>
                <w:vertAlign w:val="superscript"/>
              </w:rPr>
              <w:t>2)</w:t>
            </w:r>
          </w:p>
        </w:tc>
        <w:tc>
          <w:tcPr>
            <w:tcW w:w="1394" w:type="pct"/>
            <w:gridSpan w:val="2"/>
            <w:shd w:val="clear" w:color="auto" w:fill="BFBFBF"/>
          </w:tcPr>
          <w:p w14:paraId="5F74D3D7" w14:textId="77777777" w:rsidR="001C08A5" w:rsidRDefault="00000000">
            <w:pPr>
              <w:jc w:val="center"/>
              <w:rPr>
                <w:i/>
                <w:iCs/>
              </w:rPr>
            </w:pPr>
            <w:r>
              <w:rPr>
                <w:i/>
                <w:iCs/>
              </w:rPr>
              <w:t xml:space="preserve">În cazul pereţilor antifoc </w:t>
            </w:r>
            <w:r>
              <w:rPr>
                <w:i/>
                <w:iCs/>
                <w:sz w:val="21"/>
                <w:szCs w:val="21"/>
              </w:rPr>
              <w:t xml:space="preserve"> minimum</w:t>
            </w:r>
            <w:r>
              <w:rPr>
                <w:b/>
                <w:bCs/>
                <w:i/>
                <w:iCs/>
                <w:sz w:val="21"/>
                <w:szCs w:val="21"/>
              </w:rPr>
              <w:t xml:space="preserve"> EI-M 120/REI 120</w:t>
            </w:r>
            <w:r>
              <w:rPr>
                <w:b/>
                <w:i/>
                <w:iCs/>
                <w:vertAlign w:val="superscript"/>
              </w:rPr>
              <w:t>3)</w:t>
            </w:r>
          </w:p>
        </w:tc>
      </w:tr>
      <w:tr w:rsidR="001C08A5" w14:paraId="64C16F6B" w14:textId="77777777">
        <w:trPr>
          <w:tblHeader/>
        </w:trPr>
        <w:tc>
          <w:tcPr>
            <w:tcW w:w="838" w:type="pct"/>
            <w:vMerge/>
            <w:shd w:val="clear" w:color="auto" w:fill="BFBFBF"/>
          </w:tcPr>
          <w:p w14:paraId="4CA7D5CA" w14:textId="77777777" w:rsidR="001C08A5" w:rsidRDefault="001C08A5">
            <w:pPr>
              <w:jc w:val="center"/>
              <w:rPr>
                <w:b/>
                <w:i/>
                <w:iCs/>
              </w:rPr>
            </w:pPr>
          </w:p>
        </w:tc>
        <w:tc>
          <w:tcPr>
            <w:tcW w:w="799" w:type="pct"/>
            <w:shd w:val="clear" w:color="auto" w:fill="BFBFBF"/>
          </w:tcPr>
          <w:p w14:paraId="5DC188C3" w14:textId="77777777" w:rsidR="001C08A5" w:rsidRDefault="00000000">
            <w:pPr>
              <w:jc w:val="center"/>
              <w:rPr>
                <w:i/>
                <w:iCs/>
              </w:rPr>
            </w:pPr>
            <w:r>
              <w:rPr>
                <w:b/>
                <w:i/>
                <w:iCs/>
              </w:rPr>
              <w:t xml:space="preserve">Rezistenţa la foc (EI/REI) a pereţilor </w:t>
            </w:r>
            <w:r>
              <w:rPr>
                <w:b/>
                <w:bCs/>
                <w:i/>
                <w:iCs/>
              </w:rPr>
              <w:t>din exterior</w:t>
            </w:r>
            <w:r>
              <w:rPr>
                <w:b/>
                <w:i/>
                <w:iCs/>
                <w:vertAlign w:val="superscript"/>
              </w:rPr>
              <w:t>4)</w:t>
            </w:r>
          </w:p>
        </w:tc>
        <w:tc>
          <w:tcPr>
            <w:tcW w:w="543" w:type="pct"/>
            <w:shd w:val="clear" w:color="auto" w:fill="BFBFBF"/>
          </w:tcPr>
          <w:p w14:paraId="64A88DA2" w14:textId="77777777" w:rsidR="001C08A5" w:rsidRDefault="00000000">
            <w:pPr>
              <w:jc w:val="center"/>
              <w:rPr>
                <w:b/>
                <w:i/>
                <w:iCs/>
              </w:rPr>
            </w:pPr>
            <w:r>
              <w:rPr>
                <w:b/>
                <w:i/>
                <w:iCs/>
              </w:rPr>
              <w:t xml:space="preserve">Elemente de inchidere rezistente la foc </w:t>
            </w:r>
            <w:r>
              <w:rPr>
                <w:b/>
                <w:i/>
                <w:iCs/>
                <w:vertAlign w:val="superscript"/>
              </w:rPr>
              <w:t>5)</w:t>
            </w:r>
          </w:p>
        </w:tc>
        <w:tc>
          <w:tcPr>
            <w:tcW w:w="848" w:type="pct"/>
            <w:shd w:val="clear" w:color="auto" w:fill="BFBFBF"/>
          </w:tcPr>
          <w:p w14:paraId="314E762A" w14:textId="77777777" w:rsidR="001C08A5" w:rsidRDefault="00000000">
            <w:pPr>
              <w:jc w:val="center"/>
              <w:rPr>
                <w:i/>
                <w:iCs/>
              </w:rPr>
            </w:pPr>
            <w:r>
              <w:rPr>
                <w:b/>
                <w:i/>
                <w:iCs/>
              </w:rPr>
              <w:t xml:space="preserve">Rezistenţa la foc (EI/REI) a pereţilor </w:t>
            </w:r>
            <w:r>
              <w:rPr>
                <w:b/>
                <w:bCs/>
                <w:i/>
                <w:iCs/>
              </w:rPr>
              <w:t>din exterior</w:t>
            </w:r>
            <w:r>
              <w:rPr>
                <w:b/>
                <w:i/>
                <w:iCs/>
                <w:vertAlign w:val="superscript"/>
              </w:rPr>
              <w:t>4)</w:t>
            </w:r>
          </w:p>
        </w:tc>
        <w:tc>
          <w:tcPr>
            <w:tcW w:w="575" w:type="pct"/>
            <w:shd w:val="clear" w:color="auto" w:fill="BFBFBF"/>
          </w:tcPr>
          <w:p w14:paraId="2A17FBD5" w14:textId="77777777" w:rsidR="001C08A5" w:rsidRDefault="00000000">
            <w:pPr>
              <w:jc w:val="center"/>
              <w:rPr>
                <w:i/>
                <w:iCs/>
              </w:rPr>
            </w:pPr>
            <w:r>
              <w:rPr>
                <w:b/>
                <w:i/>
                <w:iCs/>
              </w:rPr>
              <w:t xml:space="preserve">Elemente de inchidere rezistente la foc </w:t>
            </w:r>
            <w:r>
              <w:rPr>
                <w:b/>
                <w:i/>
                <w:iCs/>
                <w:vertAlign w:val="superscript"/>
              </w:rPr>
              <w:t>5)</w:t>
            </w:r>
          </w:p>
        </w:tc>
        <w:tc>
          <w:tcPr>
            <w:tcW w:w="817" w:type="pct"/>
            <w:shd w:val="clear" w:color="auto" w:fill="BFBFBF"/>
          </w:tcPr>
          <w:p w14:paraId="7524D44C" w14:textId="77777777" w:rsidR="001C08A5" w:rsidRDefault="00000000">
            <w:pPr>
              <w:jc w:val="center"/>
              <w:rPr>
                <w:b/>
                <w:i/>
                <w:iCs/>
              </w:rPr>
            </w:pPr>
            <w:r>
              <w:rPr>
                <w:b/>
                <w:i/>
                <w:iCs/>
              </w:rPr>
              <w:t>Rezistenţa la foc (EI/REI) a pereţilor</w:t>
            </w:r>
            <w:r>
              <w:rPr>
                <w:bCs/>
                <w:i/>
                <w:iCs/>
              </w:rPr>
              <w:t xml:space="preserve"> din exterior</w:t>
            </w:r>
            <w:r>
              <w:rPr>
                <w:b/>
                <w:i/>
                <w:iCs/>
                <w:vertAlign w:val="superscript"/>
              </w:rPr>
              <w:t>4)</w:t>
            </w:r>
          </w:p>
        </w:tc>
        <w:tc>
          <w:tcPr>
            <w:tcW w:w="577" w:type="pct"/>
            <w:shd w:val="clear" w:color="auto" w:fill="BFBFBF"/>
          </w:tcPr>
          <w:p w14:paraId="20F1511C" w14:textId="77777777" w:rsidR="001C08A5" w:rsidRDefault="00000000">
            <w:pPr>
              <w:jc w:val="center"/>
              <w:rPr>
                <w:b/>
                <w:i/>
                <w:iCs/>
              </w:rPr>
            </w:pPr>
            <w:r>
              <w:rPr>
                <w:b/>
                <w:i/>
                <w:iCs/>
              </w:rPr>
              <w:t xml:space="preserve">Elemente de inchidere rezistente la foc </w:t>
            </w:r>
            <w:r>
              <w:rPr>
                <w:b/>
                <w:i/>
                <w:iCs/>
                <w:vertAlign w:val="superscript"/>
              </w:rPr>
              <w:t>5)</w:t>
            </w:r>
          </w:p>
        </w:tc>
      </w:tr>
      <w:tr w:rsidR="001C08A5" w14:paraId="19747B56" w14:textId="77777777">
        <w:trPr>
          <w:tblHeader/>
        </w:trPr>
        <w:tc>
          <w:tcPr>
            <w:tcW w:w="838" w:type="pct"/>
            <w:shd w:val="clear" w:color="auto" w:fill="BFBFBF"/>
          </w:tcPr>
          <w:p w14:paraId="6BDC4A50" w14:textId="77777777" w:rsidR="001C08A5" w:rsidRDefault="00000000">
            <w:pPr>
              <w:jc w:val="center"/>
              <w:rPr>
                <w:b/>
                <w:i/>
                <w:iCs/>
              </w:rPr>
            </w:pPr>
            <w:r>
              <w:rPr>
                <w:b/>
                <w:i/>
                <w:iCs/>
              </w:rPr>
              <w:t>1</w:t>
            </w:r>
          </w:p>
        </w:tc>
        <w:tc>
          <w:tcPr>
            <w:tcW w:w="799" w:type="pct"/>
            <w:shd w:val="clear" w:color="auto" w:fill="BFBFBF"/>
          </w:tcPr>
          <w:p w14:paraId="7D1BD539" w14:textId="77777777" w:rsidR="001C08A5" w:rsidRDefault="00000000">
            <w:pPr>
              <w:jc w:val="center"/>
              <w:rPr>
                <w:b/>
                <w:bCs/>
                <w:i/>
                <w:iCs/>
              </w:rPr>
            </w:pPr>
            <w:r>
              <w:rPr>
                <w:b/>
                <w:bCs/>
                <w:i/>
                <w:iCs/>
              </w:rPr>
              <w:t>2</w:t>
            </w:r>
          </w:p>
        </w:tc>
        <w:tc>
          <w:tcPr>
            <w:tcW w:w="543" w:type="pct"/>
            <w:shd w:val="clear" w:color="auto" w:fill="BFBFBF"/>
          </w:tcPr>
          <w:p w14:paraId="2FCFD6C8" w14:textId="77777777" w:rsidR="001C08A5" w:rsidRDefault="00000000">
            <w:pPr>
              <w:jc w:val="center"/>
              <w:rPr>
                <w:b/>
                <w:i/>
                <w:iCs/>
              </w:rPr>
            </w:pPr>
            <w:r>
              <w:rPr>
                <w:b/>
                <w:i/>
                <w:iCs/>
              </w:rPr>
              <w:t>3</w:t>
            </w:r>
          </w:p>
        </w:tc>
        <w:tc>
          <w:tcPr>
            <w:tcW w:w="848" w:type="pct"/>
            <w:shd w:val="clear" w:color="auto" w:fill="BFBFBF"/>
          </w:tcPr>
          <w:p w14:paraId="536F7FDC" w14:textId="77777777" w:rsidR="001C08A5" w:rsidRDefault="00000000">
            <w:pPr>
              <w:jc w:val="center"/>
              <w:rPr>
                <w:b/>
                <w:bCs/>
                <w:i/>
                <w:iCs/>
              </w:rPr>
            </w:pPr>
            <w:r>
              <w:rPr>
                <w:b/>
                <w:bCs/>
                <w:i/>
                <w:iCs/>
              </w:rPr>
              <w:t>4</w:t>
            </w:r>
          </w:p>
        </w:tc>
        <w:tc>
          <w:tcPr>
            <w:tcW w:w="575" w:type="pct"/>
            <w:shd w:val="clear" w:color="auto" w:fill="BFBFBF"/>
          </w:tcPr>
          <w:p w14:paraId="77890684" w14:textId="77777777" w:rsidR="001C08A5" w:rsidRDefault="00000000">
            <w:pPr>
              <w:jc w:val="center"/>
              <w:rPr>
                <w:b/>
                <w:i/>
                <w:iCs/>
              </w:rPr>
            </w:pPr>
            <w:r>
              <w:rPr>
                <w:b/>
                <w:i/>
                <w:iCs/>
              </w:rPr>
              <w:t>5</w:t>
            </w:r>
          </w:p>
        </w:tc>
        <w:tc>
          <w:tcPr>
            <w:tcW w:w="817" w:type="pct"/>
            <w:shd w:val="clear" w:color="auto" w:fill="BFBFBF"/>
          </w:tcPr>
          <w:p w14:paraId="5ECBEFDC" w14:textId="77777777" w:rsidR="001C08A5" w:rsidRDefault="00000000">
            <w:pPr>
              <w:jc w:val="center"/>
              <w:rPr>
                <w:b/>
                <w:bCs/>
                <w:i/>
                <w:iCs/>
              </w:rPr>
            </w:pPr>
            <w:r>
              <w:rPr>
                <w:b/>
                <w:bCs/>
                <w:i/>
                <w:iCs/>
              </w:rPr>
              <w:t>6</w:t>
            </w:r>
          </w:p>
        </w:tc>
        <w:tc>
          <w:tcPr>
            <w:tcW w:w="577" w:type="pct"/>
            <w:shd w:val="clear" w:color="auto" w:fill="BFBFBF"/>
          </w:tcPr>
          <w:p w14:paraId="50BDB924" w14:textId="77777777" w:rsidR="001C08A5" w:rsidRDefault="00000000">
            <w:pPr>
              <w:jc w:val="center"/>
              <w:rPr>
                <w:b/>
                <w:i/>
                <w:iCs/>
              </w:rPr>
            </w:pPr>
            <w:r>
              <w:rPr>
                <w:b/>
                <w:i/>
                <w:iCs/>
              </w:rPr>
              <w:t>7</w:t>
            </w:r>
          </w:p>
        </w:tc>
      </w:tr>
      <w:tr w:rsidR="001C08A5" w14:paraId="5FB5D133" w14:textId="77777777">
        <w:tc>
          <w:tcPr>
            <w:tcW w:w="838" w:type="pct"/>
          </w:tcPr>
          <w:p w14:paraId="24AC633E" w14:textId="77777777" w:rsidR="001C08A5" w:rsidRDefault="00000000">
            <w:pPr>
              <w:jc w:val="center"/>
              <w:rPr>
                <w:b/>
                <w:i/>
                <w:iCs/>
                <w:sz w:val="22"/>
                <w:szCs w:val="22"/>
              </w:rPr>
            </w:pPr>
            <w:r>
              <w:rPr>
                <w:b/>
                <w:bCs/>
                <w:i/>
                <w:iCs/>
                <w:sz w:val="22"/>
                <w:szCs w:val="22"/>
              </w:rPr>
              <w:t>V</w:t>
            </w:r>
          </w:p>
        </w:tc>
        <w:tc>
          <w:tcPr>
            <w:tcW w:w="799" w:type="pct"/>
          </w:tcPr>
          <w:p w14:paraId="04680291" w14:textId="77777777" w:rsidR="001C08A5" w:rsidRDefault="00000000">
            <w:pPr>
              <w:jc w:val="center"/>
              <w:rPr>
                <w:b/>
                <w:i/>
                <w:iCs/>
                <w:sz w:val="22"/>
                <w:szCs w:val="22"/>
              </w:rPr>
            </w:pPr>
            <w:r>
              <w:rPr>
                <w:b/>
                <w:i/>
                <w:iCs/>
                <w:sz w:val="21"/>
                <w:szCs w:val="21"/>
              </w:rPr>
              <w:t>-</w:t>
            </w:r>
          </w:p>
        </w:tc>
        <w:tc>
          <w:tcPr>
            <w:tcW w:w="543" w:type="pct"/>
          </w:tcPr>
          <w:p w14:paraId="25371B44" w14:textId="77777777" w:rsidR="001C08A5" w:rsidRDefault="00000000">
            <w:pPr>
              <w:jc w:val="center"/>
              <w:rPr>
                <w:b/>
                <w:i/>
                <w:iCs/>
                <w:sz w:val="22"/>
                <w:szCs w:val="22"/>
                <w:vertAlign w:val="subscript"/>
              </w:rPr>
            </w:pPr>
            <w:r>
              <w:rPr>
                <w:b/>
                <w:i/>
                <w:iCs/>
                <w:sz w:val="21"/>
                <w:szCs w:val="21"/>
              </w:rPr>
              <w:t>fixa</w:t>
            </w:r>
          </w:p>
        </w:tc>
        <w:tc>
          <w:tcPr>
            <w:tcW w:w="848" w:type="pct"/>
          </w:tcPr>
          <w:p w14:paraId="4E1DC815" w14:textId="77777777" w:rsidR="001C08A5" w:rsidRDefault="00000000">
            <w:pPr>
              <w:jc w:val="center"/>
              <w:rPr>
                <w:b/>
                <w:i/>
                <w:iCs/>
                <w:sz w:val="22"/>
                <w:szCs w:val="22"/>
              </w:rPr>
            </w:pPr>
            <w:r>
              <w:rPr>
                <w:b/>
                <w:i/>
                <w:iCs/>
                <w:sz w:val="21"/>
                <w:szCs w:val="21"/>
              </w:rPr>
              <w:t>-</w:t>
            </w:r>
          </w:p>
        </w:tc>
        <w:tc>
          <w:tcPr>
            <w:tcW w:w="575" w:type="pct"/>
          </w:tcPr>
          <w:p w14:paraId="6791B94C" w14:textId="77777777" w:rsidR="001C08A5" w:rsidRDefault="00000000">
            <w:pPr>
              <w:jc w:val="center"/>
              <w:rPr>
                <w:b/>
                <w:i/>
                <w:iCs/>
                <w:sz w:val="22"/>
                <w:szCs w:val="22"/>
              </w:rPr>
            </w:pPr>
            <w:r>
              <w:rPr>
                <w:b/>
                <w:i/>
                <w:iCs/>
                <w:sz w:val="21"/>
                <w:szCs w:val="21"/>
              </w:rPr>
              <w:t>fixa</w:t>
            </w:r>
          </w:p>
        </w:tc>
        <w:tc>
          <w:tcPr>
            <w:tcW w:w="817" w:type="pct"/>
          </w:tcPr>
          <w:p w14:paraId="5C7E997C" w14:textId="77777777" w:rsidR="001C08A5" w:rsidRDefault="00000000">
            <w:pPr>
              <w:jc w:val="center"/>
              <w:rPr>
                <w:b/>
                <w:i/>
                <w:iCs/>
                <w:sz w:val="22"/>
                <w:szCs w:val="22"/>
              </w:rPr>
            </w:pPr>
            <w:r>
              <w:rPr>
                <w:b/>
                <w:i/>
                <w:iCs/>
                <w:sz w:val="21"/>
                <w:szCs w:val="21"/>
              </w:rPr>
              <w:t>-</w:t>
            </w:r>
          </w:p>
        </w:tc>
        <w:tc>
          <w:tcPr>
            <w:tcW w:w="577" w:type="pct"/>
          </w:tcPr>
          <w:p w14:paraId="7FD31411" w14:textId="77777777" w:rsidR="001C08A5" w:rsidRDefault="00000000">
            <w:pPr>
              <w:jc w:val="center"/>
              <w:rPr>
                <w:b/>
                <w:i/>
                <w:iCs/>
                <w:sz w:val="22"/>
                <w:szCs w:val="22"/>
              </w:rPr>
            </w:pPr>
            <w:r>
              <w:rPr>
                <w:b/>
                <w:i/>
                <w:iCs/>
                <w:sz w:val="21"/>
                <w:szCs w:val="21"/>
              </w:rPr>
              <w:t>fixa</w:t>
            </w:r>
          </w:p>
        </w:tc>
      </w:tr>
      <w:tr w:rsidR="001C08A5" w14:paraId="5A0AE30D" w14:textId="77777777">
        <w:tc>
          <w:tcPr>
            <w:tcW w:w="838" w:type="pct"/>
          </w:tcPr>
          <w:p w14:paraId="5D2789A3" w14:textId="77777777" w:rsidR="001C08A5" w:rsidRDefault="00000000">
            <w:pPr>
              <w:jc w:val="center"/>
              <w:rPr>
                <w:b/>
                <w:i/>
                <w:iCs/>
                <w:sz w:val="22"/>
                <w:szCs w:val="22"/>
              </w:rPr>
            </w:pPr>
            <w:r>
              <w:rPr>
                <w:b/>
                <w:i/>
                <w:iCs/>
                <w:sz w:val="22"/>
                <w:szCs w:val="22"/>
              </w:rPr>
              <w:t>IV</w:t>
            </w:r>
          </w:p>
        </w:tc>
        <w:tc>
          <w:tcPr>
            <w:tcW w:w="799" w:type="pct"/>
          </w:tcPr>
          <w:p w14:paraId="50D81292" w14:textId="77777777" w:rsidR="001C08A5" w:rsidRDefault="00000000">
            <w:pPr>
              <w:jc w:val="center"/>
              <w:rPr>
                <w:b/>
                <w:i/>
                <w:iCs/>
                <w:sz w:val="22"/>
                <w:szCs w:val="22"/>
              </w:rPr>
            </w:pPr>
            <w:r>
              <w:rPr>
                <w:b/>
                <w:i/>
                <w:iCs/>
                <w:sz w:val="21"/>
                <w:szCs w:val="21"/>
              </w:rPr>
              <w:t xml:space="preserve">EI/REI </w:t>
            </w:r>
            <w:r>
              <w:rPr>
                <w:b/>
                <w:i/>
                <w:iCs/>
              </w:rPr>
              <w:t>15</w:t>
            </w:r>
          </w:p>
        </w:tc>
        <w:tc>
          <w:tcPr>
            <w:tcW w:w="543" w:type="pct"/>
          </w:tcPr>
          <w:p w14:paraId="0C4D5B83" w14:textId="77777777" w:rsidR="001C08A5" w:rsidRDefault="00000000">
            <w:pPr>
              <w:jc w:val="center"/>
              <w:rPr>
                <w:b/>
                <w:i/>
                <w:iCs/>
                <w:sz w:val="22"/>
                <w:szCs w:val="22"/>
              </w:rPr>
            </w:pPr>
            <w:r>
              <w:rPr>
                <w:b/>
                <w:i/>
                <w:iCs/>
                <w:sz w:val="21"/>
                <w:szCs w:val="21"/>
              </w:rPr>
              <w:t>fixa</w:t>
            </w:r>
          </w:p>
        </w:tc>
        <w:tc>
          <w:tcPr>
            <w:tcW w:w="848" w:type="pct"/>
          </w:tcPr>
          <w:p w14:paraId="0EBC565B" w14:textId="77777777" w:rsidR="001C08A5" w:rsidRDefault="00000000">
            <w:pPr>
              <w:jc w:val="center"/>
              <w:rPr>
                <w:b/>
                <w:i/>
                <w:iCs/>
                <w:sz w:val="22"/>
                <w:szCs w:val="22"/>
              </w:rPr>
            </w:pPr>
            <w:r>
              <w:rPr>
                <w:b/>
                <w:i/>
                <w:iCs/>
                <w:sz w:val="21"/>
                <w:szCs w:val="21"/>
              </w:rPr>
              <w:t xml:space="preserve">EI/REI </w:t>
            </w:r>
            <w:r>
              <w:rPr>
                <w:b/>
                <w:i/>
                <w:iCs/>
              </w:rPr>
              <w:t>15</w:t>
            </w:r>
          </w:p>
        </w:tc>
        <w:tc>
          <w:tcPr>
            <w:tcW w:w="575" w:type="pct"/>
          </w:tcPr>
          <w:p w14:paraId="6A49A983" w14:textId="77777777" w:rsidR="001C08A5" w:rsidRDefault="00000000">
            <w:pPr>
              <w:jc w:val="center"/>
              <w:rPr>
                <w:b/>
                <w:i/>
                <w:iCs/>
                <w:sz w:val="22"/>
                <w:szCs w:val="22"/>
              </w:rPr>
            </w:pPr>
            <w:r>
              <w:rPr>
                <w:b/>
                <w:i/>
                <w:iCs/>
                <w:sz w:val="21"/>
                <w:szCs w:val="21"/>
              </w:rPr>
              <w:t>fix</w:t>
            </w:r>
            <w:r>
              <w:rPr>
                <w:b/>
                <w:i/>
                <w:iCs/>
              </w:rPr>
              <w:t>ă</w:t>
            </w:r>
          </w:p>
        </w:tc>
        <w:tc>
          <w:tcPr>
            <w:tcW w:w="817" w:type="pct"/>
          </w:tcPr>
          <w:p w14:paraId="26F8F93B" w14:textId="77777777" w:rsidR="001C08A5" w:rsidRDefault="00000000">
            <w:pPr>
              <w:jc w:val="center"/>
              <w:rPr>
                <w:b/>
                <w:i/>
                <w:iCs/>
                <w:sz w:val="22"/>
                <w:szCs w:val="22"/>
              </w:rPr>
            </w:pPr>
            <w:r>
              <w:rPr>
                <w:b/>
                <w:i/>
                <w:iCs/>
                <w:sz w:val="21"/>
                <w:szCs w:val="21"/>
              </w:rPr>
              <w:t xml:space="preserve">EI/REI </w:t>
            </w:r>
            <w:r>
              <w:rPr>
                <w:b/>
                <w:i/>
                <w:iCs/>
              </w:rPr>
              <w:t>15</w:t>
            </w:r>
          </w:p>
        </w:tc>
        <w:tc>
          <w:tcPr>
            <w:tcW w:w="577" w:type="pct"/>
          </w:tcPr>
          <w:p w14:paraId="387E22D4" w14:textId="77777777" w:rsidR="001C08A5" w:rsidRDefault="00000000">
            <w:pPr>
              <w:jc w:val="center"/>
              <w:rPr>
                <w:b/>
                <w:i/>
                <w:iCs/>
                <w:sz w:val="22"/>
                <w:szCs w:val="22"/>
              </w:rPr>
            </w:pPr>
            <w:r>
              <w:rPr>
                <w:b/>
                <w:i/>
                <w:iCs/>
                <w:sz w:val="21"/>
                <w:szCs w:val="21"/>
              </w:rPr>
              <w:t>fixa</w:t>
            </w:r>
          </w:p>
        </w:tc>
      </w:tr>
      <w:tr w:rsidR="001C08A5" w14:paraId="39405CCD" w14:textId="77777777">
        <w:tc>
          <w:tcPr>
            <w:tcW w:w="838" w:type="pct"/>
          </w:tcPr>
          <w:p w14:paraId="6EB540DD" w14:textId="77777777" w:rsidR="001C08A5" w:rsidRDefault="00000000">
            <w:pPr>
              <w:jc w:val="center"/>
              <w:rPr>
                <w:b/>
                <w:i/>
                <w:iCs/>
                <w:sz w:val="22"/>
                <w:szCs w:val="22"/>
              </w:rPr>
            </w:pPr>
            <w:r>
              <w:rPr>
                <w:b/>
                <w:i/>
                <w:iCs/>
                <w:sz w:val="22"/>
                <w:szCs w:val="22"/>
              </w:rPr>
              <w:t>III</w:t>
            </w:r>
          </w:p>
        </w:tc>
        <w:tc>
          <w:tcPr>
            <w:tcW w:w="799" w:type="pct"/>
          </w:tcPr>
          <w:p w14:paraId="3A8641A4" w14:textId="77777777" w:rsidR="001C08A5" w:rsidRDefault="00000000">
            <w:pPr>
              <w:jc w:val="center"/>
              <w:rPr>
                <w:b/>
                <w:i/>
                <w:iCs/>
                <w:sz w:val="22"/>
                <w:szCs w:val="22"/>
              </w:rPr>
            </w:pPr>
            <w:r>
              <w:rPr>
                <w:b/>
                <w:i/>
                <w:iCs/>
                <w:sz w:val="22"/>
                <w:szCs w:val="22"/>
              </w:rPr>
              <w:t xml:space="preserve">EI/REI 30 </w:t>
            </w:r>
          </w:p>
        </w:tc>
        <w:tc>
          <w:tcPr>
            <w:tcW w:w="543" w:type="pct"/>
          </w:tcPr>
          <w:p w14:paraId="4B910506" w14:textId="77777777" w:rsidR="001C08A5" w:rsidRDefault="00000000">
            <w:pPr>
              <w:jc w:val="center"/>
              <w:rPr>
                <w:b/>
                <w:i/>
                <w:iCs/>
                <w:sz w:val="22"/>
                <w:szCs w:val="22"/>
              </w:rPr>
            </w:pPr>
            <w:r>
              <w:rPr>
                <w:b/>
                <w:i/>
                <w:iCs/>
                <w:sz w:val="22"/>
                <w:szCs w:val="22"/>
              </w:rPr>
              <w:t>EI 15</w:t>
            </w:r>
          </w:p>
        </w:tc>
        <w:tc>
          <w:tcPr>
            <w:tcW w:w="848" w:type="pct"/>
          </w:tcPr>
          <w:p w14:paraId="157A85DB" w14:textId="77777777" w:rsidR="001C08A5" w:rsidRDefault="00000000">
            <w:pPr>
              <w:jc w:val="center"/>
              <w:rPr>
                <w:b/>
                <w:i/>
                <w:iCs/>
                <w:sz w:val="22"/>
                <w:szCs w:val="22"/>
              </w:rPr>
            </w:pPr>
            <w:r>
              <w:rPr>
                <w:b/>
                <w:i/>
                <w:iCs/>
                <w:sz w:val="22"/>
                <w:szCs w:val="22"/>
              </w:rPr>
              <w:t>EI/REI 15</w:t>
            </w:r>
          </w:p>
        </w:tc>
        <w:tc>
          <w:tcPr>
            <w:tcW w:w="575" w:type="pct"/>
          </w:tcPr>
          <w:p w14:paraId="186DF1C3" w14:textId="77777777" w:rsidR="001C08A5" w:rsidRDefault="00000000">
            <w:pPr>
              <w:jc w:val="center"/>
              <w:rPr>
                <w:b/>
                <w:i/>
                <w:iCs/>
                <w:sz w:val="22"/>
                <w:szCs w:val="22"/>
              </w:rPr>
            </w:pPr>
            <w:r>
              <w:rPr>
                <w:b/>
                <w:i/>
                <w:iCs/>
                <w:sz w:val="22"/>
                <w:szCs w:val="22"/>
              </w:rPr>
              <w:t>EI 15</w:t>
            </w:r>
          </w:p>
        </w:tc>
        <w:tc>
          <w:tcPr>
            <w:tcW w:w="817" w:type="pct"/>
          </w:tcPr>
          <w:p w14:paraId="4CE07917" w14:textId="77777777" w:rsidR="001C08A5" w:rsidRDefault="00000000">
            <w:pPr>
              <w:jc w:val="center"/>
              <w:rPr>
                <w:b/>
                <w:i/>
                <w:iCs/>
                <w:sz w:val="22"/>
                <w:szCs w:val="22"/>
              </w:rPr>
            </w:pPr>
            <w:r>
              <w:rPr>
                <w:b/>
                <w:i/>
                <w:iCs/>
                <w:sz w:val="21"/>
                <w:szCs w:val="21"/>
              </w:rPr>
              <w:t xml:space="preserve">EI/REI </w:t>
            </w:r>
            <w:r>
              <w:rPr>
                <w:b/>
                <w:i/>
                <w:iCs/>
              </w:rPr>
              <w:t>15</w:t>
            </w:r>
          </w:p>
        </w:tc>
        <w:tc>
          <w:tcPr>
            <w:tcW w:w="577" w:type="pct"/>
          </w:tcPr>
          <w:p w14:paraId="5A924A7C" w14:textId="77777777" w:rsidR="001C08A5" w:rsidRDefault="00000000">
            <w:pPr>
              <w:jc w:val="center"/>
              <w:rPr>
                <w:b/>
                <w:i/>
                <w:iCs/>
                <w:sz w:val="22"/>
                <w:szCs w:val="22"/>
              </w:rPr>
            </w:pPr>
            <w:r>
              <w:rPr>
                <w:b/>
                <w:i/>
                <w:iCs/>
                <w:sz w:val="21"/>
                <w:szCs w:val="21"/>
              </w:rPr>
              <w:t>EI 15</w:t>
            </w:r>
          </w:p>
        </w:tc>
      </w:tr>
      <w:tr w:rsidR="001C08A5" w14:paraId="642F4E79" w14:textId="77777777">
        <w:tc>
          <w:tcPr>
            <w:tcW w:w="838" w:type="pct"/>
          </w:tcPr>
          <w:p w14:paraId="7534F192" w14:textId="77777777" w:rsidR="001C08A5" w:rsidRDefault="00000000">
            <w:pPr>
              <w:jc w:val="center"/>
              <w:rPr>
                <w:b/>
                <w:i/>
                <w:iCs/>
                <w:sz w:val="22"/>
                <w:szCs w:val="22"/>
              </w:rPr>
            </w:pPr>
            <w:r>
              <w:rPr>
                <w:b/>
                <w:i/>
                <w:iCs/>
                <w:sz w:val="22"/>
                <w:szCs w:val="22"/>
              </w:rPr>
              <w:t xml:space="preserve">II </w:t>
            </w:r>
          </w:p>
        </w:tc>
        <w:tc>
          <w:tcPr>
            <w:tcW w:w="799" w:type="pct"/>
          </w:tcPr>
          <w:p w14:paraId="0B246AB9" w14:textId="77777777" w:rsidR="001C08A5" w:rsidRDefault="00000000">
            <w:pPr>
              <w:jc w:val="center"/>
              <w:rPr>
                <w:b/>
                <w:i/>
                <w:iCs/>
                <w:sz w:val="22"/>
                <w:szCs w:val="22"/>
              </w:rPr>
            </w:pPr>
            <w:r>
              <w:rPr>
                <w:b/>
                <w:i/>
                <w:iCs/>
                <w:sz w:val="22"/>
                <w:szCs w:val="22"/>
              </w:rPr>
              <w:t>EI/REI 45 (EI/REI 30*)</w:t>
            </w:r>
          </w:p>
        </w:tc>
        <w:tc>
          <w:tcPr>
            <w:tcW w:w="543" w:type="pct"/>
          </w:tcPr>
          <w:p w14:paraId="0F1EF847" w14:textId="77777777" w:rsidR="001C08A5" w:rsidRDefault="00000000">
            <w:pPr>
              <w:jc w:val="center"/>
              <w:rPr>
                <w:b/>
                <w:i/>
                <w:iCs/>
                <w:sz w:val="22"/>
                <w:szCs w:val="22"/>
              </w:rPr>
            </w:pPr>
            <w:r>
              <w:rPr>
                <w:b/>
                <w:i/>
                <w:iCs/>
                <w:sz w:val="22"/>
                <w:szCs w:val="22"/>
              </w:rPr>
              <w:t>EI 30</w:t>
            </w:r>
          </w:p>
          <w:p w14:paraId="322770B2" w14:textId="77777777" w:rsidR="001C08A5" w:rsidRDefault="00000000">
            <w:pPr>
              <w:jc w:val="center"/>
              <w:rPr>
                <w:b/>
                <w:i/>
                <w:iCs/>
                <w:sz w:val="22"/>
                <w:szCs w:val="22"/>
              </w:rPr>
            </w:pPr>
            <w:r>
              <w:rPr>
                <w:b/>
                <w:i/>
                <w:iCs/>
                <w:sz w:val="22"/>
                <w:szCs w:val="22"/>
              </w:rPr>
              <w:t>(EI 15*)</w:t>
            </w:r>
          </w:p>
        </w:tc>
        <w:tc>
          <w:tcPr>
            <w:tcW w:w="848" w:type="pct"/>
          </w:tcPr>
          <w:p w14:paraId="2E1B1948" w14:textId="77777777" w:rsidR="001C08A5" w:rsidRDefault="00000000">
            <w:pPr>
              <w:jc w:val="center"/>
              <w:rPr>
                <w:b/>
                <w:i/>
                <w:iCs/>
                <w:sz w:val="22"/>
                <w:szCs w:val="22"/>
              </w:rPr>
            </w:pPr>
            <w:r>
              <w:rPr>
                <w:b/>
                <w:i/>
                <w:iCs/>
                <w:sz w:val="22"/>
                <w:szCs w:val="22"/>
              </w:rPr>
              <w:t>EI/REI 30</w:t>
            </w:r>
          </w:p>
          <w:p w14:paraId="60A5B6F8" w14:textId="77777777" w:rsidR="001C08A5" w:rsidRDefault="00000000">
            <w:pPr>
              <w:jc w:val="center"/>
              <w:rPr>
                <w:b/>
                <w:i/>
                <w:iCs/>
                <w:sz w:val="22"/>
                <w:szCs w:val="22"/>
              </w:rPr>
            </w:pPr>
            <w:r>
              <w:rPr>
                <w:b/>
                <w:i/>
                <w:iCs/>
                <w:sz w:val="22"/>
                <w:szCs w:val="22"/>
              </w:rPr>
              <w:t>(EI/REI 30*)</w:t>
            </w:r>
          </w:p>
        </w:tc>
        <w:tc>
          <w:tcPr>
            <w:tcW w:w="575" w:type="pct"/>
          </w:tcPr>
          <w:p w14:paraId="506943CD" w14:textId="77777777" w:rsidR="001C08A5" w:rsidRDefault="00000000">
            <w:pPr>
              <w:jc w:val="center"/>
              <w:rPr>
                <w:b/>
                <w:i/>
                <w:iCs/>
                <w:sz w:val="22"/>
                <w:szCs w:val="22"/>
              </w:rPr>
            </w:pPr>
            <w:r>
              <w:rPr>
                <w:b/>
                <w:i/>
                <w:iCs/>
                <w:sz w:val="22"/>
                <w:szCs w:val="22"/>
              </w:rPr>
              <w:t>EI 15</w:t>
            </w:r>
          </w:p>
        </w:tc>
        <w:tc>
          <w:tcPr>
            <w:tcW w:w="817" w:type="pct"/>
          </w:tcPr>
          <w:p w14:paraId="715AE50A" w14:textId="77777777" w:rsidR="001C08A5" w:rsidRDefault="00000000">
            <w:pPr>
              <w:jc w:val="center"/>
              <w:rPr>
                <w:b/>
                <w:i/>
                <w:iCs/>
                <w:sz w:val="22"/>
                <w:szCs w:val="22"/>
              </w:rPr>
            </w:pPr>
            <w:r>
              <w:rPr>
                <w:b/>
                <w:i/>
                <w:iCs/>
                <w:sz w:val="22"/>
                <w:szCs w:val="22"/>
              </w:rPr>
              <w:t>EI/REI 30</w:t>
            </w:r>
          </w:p>
          <w:p w14:paraId="47119B1B" w14:textId="77777777" w:rsidR="001C08A5" w:rsidRDefault="00000000">
            <w:pPr>
              <w:jc w:val="center"/>
              <w:rPr>
                <w:b/>
                <w:i/>
                <w:iCs/>
                <w:sz w:val="22"/>
                <w:szCs w:val="22"/>
              </w:rPr>
            </w:pPr>
            <w:r>
              <w:rPr>
                <w:b/>
                <w:i/>
                <w:iCs/>
                <w:sz w:val="22"/>
                <w:szCs w:val="22"/>
              </w:rPr>
              <w:t>(EI/REI 30*)</w:t>
            </w:r>
          </w:p>
        </w:tc>
        <w:tc>
          <w:tcPr>
            <w:tcW w:w="577" w:type="pct"/>
          </w:tcPr>
          <w:p w14:paraId="097838FF" w14:textId="77777777" w:rsidR="001C08A5" w:rsidRDefault="00000000">
            <w:pPr>
              <w:jc w:val="center"/>
              <w:rPr>
                <w:b/>
                <w:i/>
                <w:iCs/>
                <w:sz w:val="22"/>
                <w:szCs w:val="22"/>
              </w:rPr>
            </w:pPr>
            <w:r>
              <w:rPr>
                <w:b/>
                <w:i/>
                <w:iCs/>
                <w:sz w:val="22"/>
                <w:szCs w:val="22"/>
              </w:rPr>
              <w:t>EI 15</w:t>
            </w:r>
          </w:p>
        </w:tc>
      </w:tr>
      <w:tr w:rsidR="001C08A5" w14:paraId="6B40C13B" w14:textId="77777777">
        <w:tc>
          <w:tcPr>
            <w:tcW w:w="838" w:type="pct"/>
          </w:tcPr>
          <w:p w14:paraId="05E26EDF" w14:textId="77777777" w:rsidR="001C08A5" w:rsidRDefault="00000000">
            <w:pPr>
              <w:jc w:val="center"/>
              <w:rPr>
                <w:b/>
                <w:i/>
                <w:iCs/>
                <w:sz w:val="22"/>
                <w:szCs w:val="22"/>
              </w:rPr>
            </w:pPr>
            <w:r>
              <w:rPr>
                <w:b/>
                <w:i/>
                <w:iCs/>
                <w:sz w:val="22"/>
                <w:szCs w:val="22"/>
              </w:rPr>
              <w:t>I</w:t>
            </w:r>
          </w:p>
          <w:p w14:paraId="5AC41E9A" w14:textId="77777777" w:rsidR="001C08A5" w:rsidRDefault="00000000">
            <w:pPr>
              <w:jc w:val="center"/>
              <w:rPr>
                <w:b/>
                <w:i/>
                <w:iCs/>
                <w:sz w:val="22"/>
                <w:szCs w:val="22"/>
              </w:rPr>
            </w:pPr>
            <w:r>
              <w:rPr>
                <w:b/>
                <w:i/>
                <w:iCs/>
                <w:sz w:val="22"/>
                <w:szCs w:val="22"/>
              </w:rPr>
              <w:t>h≤28m</w:t>
            </w:r>
          </w:p>
        </w:tc>
        <w:tc>
          <w:tcPr>
            <w:tcW w:w="799" w:type="pct"/>
          </w:tcPr>
          <w:p w14:paraId="30D6DFA0" w14:textId="77777777" w:rsidR="001C08A5" w:rsidRDefault="00000000">
            <w:pPr>
              <w:jc w:val="center"/>
              <w:rPr>
                <w:b/>
                <w:i/>
                <w:iCs/>
                <w:strike/>
                <w:sz w:val="22"/>
                <w:szCs w:val="22"/>
              </w:rPr>
            </w:pPr>
            <w:r>
              <w:rPr>
                <w:b/>
                <w:i/>
                <w:iCs/>
                <w:sz w:val="22"/>
                <w:szCs w:val="22"/>
              </w:rPr>
              <w:t>EI/REI 60 (EI/REI 45*)</w:t>
            </w:r>
          </w:p>
        </w:tc>
        <w:tc>
          <w:tcPr>
            <w:tcW w:w="543" w:type="pct"/>
          </w:tcPr>
          <w:p w14:paraId="3E4DC342" w14:textId="77777777" w:rsidR="001C08A5" w:rsidRDefault="00000000">
            <w:pPr>
              <w:jc w:val="center"/>
              <w:rPr>
                <w:b/>
                <w:i/>
                <w:iCs/>
                <w:sz w:val="22"/>
                <w:szCs w:val="22"/>
              </w:rPr>
            </w:pPr>
            <w:r>
              <w:rPr>
                <w:b/>
                <w:i/>
                <w:iCs/>
                <w:sz w:val="22"/>
                <w:szCs w:val="22"/>
              </w:rPr>
              <w:t xml:space="preserve">EI 45 </w:t>
            </w:r>
          </w:p>
          <w:p w14:paraId="4848956A" w14:textId="77777777" w:rsidR="001C08A5" w:rsidRDefault="00000000">
            <w:pPr>
              <w:jc w:val="center"/>
              <w:rPr>
                <w:b/>
                <w:i/>
                <w:iCs/>
                <w:strike/>
                <w:sz w:val="22"/>
                <w:szCs w:val="22"/>
              </w:rPr>
            </w:pPr>
            <w:r>
              <w:rPr>
                <w:b/>
                <w:i/>
                <w:iCs/>
                <w:sz w:val="22"/>
                <w:szCs w:val="22"/>
              </w:rPr>
              <w:t>(EI 30*)</w:t>
            </w:r>
          </w:p>
        </w:tc>
        <w:tc>
          <w:tcPr>
            <w:tcW w:w="848" w:type="pct"/>
          </w:tcPr>
          <w:p w14:paraId="2398E691" w14:textId="77777777" w:rsidR="001C08A5" w:rsidRDefault="00000000">
            <w:pPr>
              <w:jc w:val="center"/>
              <w:rPr>
                <w:b/>
                <w:i/>
                <w:iCs/>
                <w:strike/>
                <w:sz w:val="22"/>
                <w:szCs w:val="22"/>
              </w:rPr>
            </w:pPr>
            <w:r>
              <w:rPr>
                <w:b/>
                <w:i/>
                <w:iCs/>
                <w:sz w:val="22"/>
                <w:szCs w:val="22"/>
              </w:rPr>
              <w:t>EI/REI 45 (EI/REI 30*)</w:t>
            </w:r>
          </w:p>
        </w:tc>
        <w:tc>
          <w:tcPr>
            <w:tcW w:w="575" w:type="pct"/>
          </w:tcPr>
          <w:p w14:paraId="3BD20119" w14:textId="77777777" w:rsidR="001C08A5" w:rsidRDefault="00000000">
            <w:pPr>
              <w:jc w:val="center"/>
              <w:rPr>
                <w:b/>
                <w:i/>
                <w:iCs/>
                <w:sz w:val="22"/>
                <w:szCs w:val="22"/>
              </w:rPr>
            </w:pPr>
            <w:r>
              <w:rPr>
                <w:b/>
                <w:i/>
                <w:iCs/>
                <w:sz w:val="22"/>
                <w:szCs w:val="22"/>
              </w:rPr>
              <w:t>EI 30</w:t>
            </w:r>
          </w:p>
          <w:p w14:paraId="0280ED4F" w14:textId="77777777" w:rsidR="001C08A5" w:rsidRDefault="00000000">
            <w:pPr>
              <w:jc w:val="center"/>
              <w:rPr>
                <w:b/>
                <w:i/>
                <w:iCs/>
                <w:strike/>
                <w:sz w:val="22"/>
                <w:szCs w:val="22"/>
              </w:rPr>
            </w:pPr>
            <w:r>
              <w:rPr>
                <w:b/>
                <w:i/>
                <w:iCs/>
                <w:sz w:val="22"/>
                <w:szCs w:val="22"/>
              </w:rPr>
              <w:t>(EI 15*)</w:t>
            </w:r>
          </w:p>
        </w:tc>
        <w:tc>
          <w:tcPr>
            <w:tcW w:w="817" w:type="pct"/>
          </w:tcPr>
          <w:p w14:paraId="271C9F48" w14:textId="77777777" w:rsidR="001C08A5" w:rsidRDefault="00000000">
            <w:pPr>
              <w:jc w:val="center"/>
              <w:rPr>
                <w:b/>
                <w:i/>
                <w:iCs/>
                <w:sz w:val="22"/>
                <w:szCs w:val="22"/>
              </w:rPr>
            </w:pPr>
            <w:r>
              <w:rPr>
                <w:b/>
                <w:i/>
                <w:iCs/>
                <w:sz w:val="22"/>
                <w:szCs w:val="22"/>
              </w:rPr>
              <w:t>EI/REI 45 (EI/REI 30*)</w:t>
            </w:r>
          </w:p>
        </w:tc>
        <w:tc>
          <w:tcPr>
            <w:tcW w:w="577" w:type="pct"/>
          </w:tcPr>
          <w:p w14:paraId="10174DC0" w14:textId="77777777" w:rsidR="001C08A5" w:rsidRDefault="00000000">
            <w:pPr>
              <w:jc w:val="center"/>
              <w:rPr>
                <w:b/>
                <w:i/>
                <w:iCs/>
                <w:sz w:val="22"/>
                <w:szCs w:val="22"/>
              </w:rPr>
            </w:pPr>
            <w:r>
              <w:rPr>
                <w:b/>
                <w:i/>
                <w:iCs/>
                <w:sz w:val="22"/>
                <w:szCs w:val="22"/>
              </w:rPr>
              <w:t>EI 30</w:t>
            </w:r>
          </w:p>
          <w:p w14:paraId="690E78E4" w14:textId="77777777" w:rsidR="001C08A5" w:rsidRDefault="00000000">
            <w:pPr>
              <w:jc w:val="center"/>
              <w:rPr>
                <w:b/>
                <w:i/>
                <w:iCs/>
                <w:sz w:val="22"/>
                <w:szCs w:val="22"/>
              </w:rPr>
            </w:pPr>
            <w:r>
              <w:rPr>
                <w:b/>
                <w:i/>
                <w:iCs/>
                <w:sz w:val="22"/>
                <w:szCs w:val="22"/>
              </w:rPr>
              <w:t>(EI 15*)</w:t>
            </w:r>
          </w:p>
        </w:tc>
      </w:tr>
      <w:tr w:rsidR="001C08A5" w14:paraId="1583FF03" w14:textId="77777777">
        <w:tc>
          <w:tcPr>
            <w:tcW w:w="838" w:type="pct"/>
          </w:tcPr>
          <w:p w14:paraId="2E41DEAF" w14:textId="77777777" w:rsidR="001C08A5" w:rsidRDefault="00000000">
            <w:pPr>
              <w:jc w:val="center"/>
              <w:rPr>
                <w:b/>
                <w:i/>
                <w:iCs/>
                <w:sz w:val="22"/>
                <w:szCs w:val="22"/>
              </w:rPr>
            </w:pPr>
            <w:r>
              <w:rPr>
                <w:b/>
                <w:i/>
                <w:iCs/>
                <w:sz w:val="22"/>
                <w:szCs w:val="22"/>
              </w:rPr>
              <w:t>I</w:t>
            </w:r>
          </w:p>
          <w:p w14:paraId="3008A8EE" w14:textId="77777777" w:rsidR="001C08A5" w:rsidRDefault="00000000">
            <w:pPr>
              <w:jc w:val="center"/>
              <w:rPr>
                <w:b/>
                <w:i/>
                <w:iCs/>
                <w:sz w:val="22"/>
                <w:szCs w:val="22"/>
              </w:rPr>
            </w:pPr>
            <w:r>
              <w:rPr>
                <w:b/>
                <w:i/>
                <w:iCs/>
                <w:sz w:val="22"/>
                <w:szCs w:val="22"/>
              </w:rPr>
              <w:t>28m&lt;h&lt;45m</w:t>
            </w:r>
          </w:p>
        </w:tc>
        <w:tc>
          <w:tcPr>
            <w:tcW w:w="799" w:type="pct"/>
          </w:tcPr>
          <w:p w14:paraId="574585A1" w14:textId="77777777" w:rsidR="001C08A5" w:rsidRDefault="00000000">
            <w:pPr>
              <w:jc w:val="center"/>
              <w:rPr>
                <w:b/>
                <w:i/>
                <w:iCs/>
                <w:sz w:val="22"/>
                <w:szCs w:val="22"/>
              </w:rPr>
            </w:pPr>
            <w:r>
              <w:rPr>
                <w:b/>
                <w:i/>
                <w:iCs/>
                <w:sz w:val="22"/>
                <w:szCs w:val="22"/>
              </w:rPr>
              <w:t>EI/REI 90 (EI/REI 60*)</w:t>
            </w:r>
          </w:p>
        </w:tc>
        <w:tc>
          <w:tcPr>
            <w:tcW w:w="543" w:type="pct"/>
          </w:tcPr>
          <w:p w14:paraId="21246328" w14:textId="77777777" w:rsidR="001C08A5" w:rsidRDefault="00000000">
            <w:pPr>
              <w:jc w:val="center"/>
              <w:rPr>
                <w:b/>
                <w:i/>
                <w:iCs/>
                <w:sz w:val="22"/>
                <w:szCs w:val="22"/>
              </w:rPr>
            </w:pPr>
            <w:r>
              <w:rPr>
                <w:b/>
                <w:i/>
                <w:iCs/>
                <w:sz w:val="22"/>
                <w:szCs w:val="22"/>
              </w:rPr>
              <w:t xml:space="preserve">EI 60 </w:t>
            </w:r>
          </w:p>
          <w:p w14:paraId="0BFCBE11" w14:textId="77777777" w:rsidR="001C08A5" w:rsidRDefault="00000000">
            <w:pPr>
              <w:jc w:val="center"/>
              <w:rPr>
                <w:b/>
                <w:i/>
                <w:iCs/>
                <w:sz w:val="22"/>
                <w:szCs w:val="22"/>
              </w:rPr>
            </w:pPr>
            <w:r>
              <w:rPr>
                <w:b/>
                <w:i/>
                <w:iCs/>
                <w:sz w:val="22"/>
                <w:szCs w:val="22"/>
              </w:rPr>
              <w:t>(EI 45*)</w:t>
            </w:r>
          </w:p>
        </w:tc>
        <w:tc>
          <w:tcPr>
            <w:tcW w:w="848" w:type="pct"/>
          </w:tcPr>
          <w:p w14:paraId="7A143F0E" w14:textId="77777777" w:rsidR="001C08A5" w:rsidRDefault="00000000">
            <w:pPr>
              <w:jc w:val="center"/>
              <w:rPr>
                <w:bCs/>
                <w:i/>
                <w:iCs/>
                <w:sz w:val="22"/>
                <w:szCs w:val="22"/>
              </w:rPr>
            </w:pPr>
            <w:r>
              <w:rPr>
                <w:b/>
                <w:i/>
                <w:iCs/>
                <w:sz w:val="22"/>
                <w:szCs w:val="22"/>
              </w:rPr>
              <w:t>EI/REI 60 (EI/REI 45*)</w:t>
            </w:r>
          </w:p>
        </w:tc>
        <w:tc>
          <w:tcPr>
            <w:tcW w:w="575" w:type="pct"/>
          </w:tcPr>
          <w:p w14:paraId="75C3F4B8" w14:textId="77777777" w:rsidR="001C08A5" w:rsidRDefault="00000000">
            <w:pPr>
              <w:jc w:val="center"/>
              <w:rPr>
                <w:b/>
                <w:i/>
                <w:iCs/>
                <w:sz w:val="22"/>
                <w:szCs w:val="22"/>
              </w:rPr>
            </w:pPr>
            <w:r>
              <w:rPr>
                <w:b/>
                <w:i/>
                <w:iCs/>
                <w:sz w:val="22"/>
                <w:szCs w:val="22"/>
              </w:rPr>
              <w:t xml:space="preserve">EI 45 </w:t>
            </w:r>
          </w:p>
          <w:p w14:paraId="799021C3" w14:textId="77777777" w:rsidR="001C08A5" w:rsidRDefault="00000000">
            <w:pPr>
              <w:jc w:val="center"/>
              <w:rPr>
                <w:b/>
                <w:i/>
                <w:iCs/>
                <w:sz w:val="22"/>
                <w:szCs w:val="22"/>
              </w:rPr>
            </w:pPr>
            <w:r>
              <w:rPr>
                <w:b/>
                <w:i/>
                <w:iCs/>
                <w:sz w:val="22"/>
                <w:szCs w:val="22"/>
              </w:rPr>
              <w:t>(EI 30*)</w:t>
            </w:r>
          </w:p>
        </w:tc>
        <w:tc>
          <w:tcPr>
            <w:tcW w:w="817" w:type="pct"/>
          </w:tcPr>
          <w:p w14:paraId="296C3DD6" w14:textId="77777777" w:rsidR="001C08A5" w:rsidRDefault="00000000">
            <w:pPr>
              <w:jc w:val="center"/>
              <w:rPr>
                <w:bCs/>
                <w:i/>
                <w:iCs/>
                <w:sz w:val="22"/>
                <w:szCs w:val="22"/>
              </w:rPr>
            </w:pPr>
            <w:r>
              <w:rPr>
                <w:b/>
                <w:i/>
                <w:iCs/>
                <w:sz w:val="22"/>
                <w:szCs w:val="22"/>
              </w:rPr>
              <w:t>-</w:t>
            </w:r>
          </w:p>
        </w:tc>
        <w:tc>
          <w:tcPr>
            <w:tcW w:w="577" w:type="pct"/>
          </w:tcPr>
          <w:p w14:paraId="388D084B" w14:textId="77777777" w:rsidR="001C08A5" w:rsidRDefault="00000000">
            <w:pPr>
              <w:jc w:val="center"/>
              <w:rPr>
                <w:bCs/>
                <w:i/>
                <w:iCs/>
                <w:sz w:val="22"/>
                <w:szCs w:val="22"/>
              </w:rPr>
            </w:pPr>
            <w:r>
              <w:rPr>
                <w:b/>
                <w:i/>
                <w:iCs/>
                <w:sz w:val="22"/>
                <w:szCs w:val="22"/>
              </w:rPr>
              <w:t>-</w:t>
            </w:r>
          </w:p>
        </w:tc>
      </w:tr>
      <w:tr w:rsidR="001C08A5" w14:paraId="370A0F23" w14:textId="77777777">
        <w:tc>
          <w:tcPr>
            <w:tcW w:w="838" w:type="pct"/>
          </w:tcPr>
          <w:p w14:paraId="03DAE0CC" w14:textId="77777777" w:rsidR="001C08A5" w:rsidRDefault="00000000">
            <w:pPr>
              <w:jc w:val="center"/>
              <w:rPr>
                <w:b/>
                <w:i/>
                <w:iCs/>
                <w:sz w:val="22"/>
                <w:szCs w:val="22"/>
              </w:rPr>
            </w:pPr>
            <w:r>
              <w:rPr>
                <w:b/>
                <w:i/>
                <w:iCs/>
                <w:sz w:val="22"/>
                <w:szCs w:val="22"/>
              </w:rPr>
              <w:t>I</w:t>
            </w:r>
          </w:p>
          <w:p w14:paraId="7EEEA941" w14:textId="77777777" w:rsidR="001C08A5" w:rsidRDefault="00000000">
            <w:pPr>
              <w:jc w:val="center"/>
              <w:rPr>
                <w:b/>
                <w:i/>
                <w:iCs/>
                <w:sz w:val="22"/>
                <w:szCs w:val="22"/>
              </w:rPr>
            </w:pPr>
            <w:r>
              <w:rPr>
                <w:b/>
                <w:i/>
                <w:iCs/>
                <w:sz w:val="22"/>
                <w:szCs w:val="22"/>
              </w:rPr>
              <w:t>45m≤ h&lt;75m</w:t>
            </w:r>
          </w:p>
        </w:tc>
        <w:tc>
          <w:tcPr>
            <w:tcW w:w="799" w:type="pct"/>
          </w:tcPr>
          <w:p w14:paraId="24E016D4" w14:textId="77777777" w:rsidR="001C08A5" w:rsidRDefault="00000000">
            <w:pPr>
              <w:jc w:val="center"/>
              <w:rPr>
                <w:b/>
                <w:i/>
                <w:iCs/>
                <w:sz w:val="22"/>
                <w:szCs w:val="22"/>
              </w:rPr>
            </w:pPr>
            <w:r>
              <w:rPr>
                <w:b/>
                <w:i/>
                <w:iCs/>
                <w:sz w:val="22"/>
                <w:szCs w:val="22"/>
              </w:rPr>
              <w:t>EI/REI 90 (EI/REI 60*)</w:t>
            </w:r>
          </w:p>
        </w:tc>
        <w:tc>
          <w:tcPr>
            <w:tcW w:w="543" w:type="pct"/>
          </w:tcPr>
          <w:p w14:paraId="43D8925D" w14:textId="77777777" w:rsidR="001C08A5" w:rsidRDefault="00000000">
            <w:pPr>
              <w:jc w:val="center"/>
              <w:rPr>
                <w:b/>
                <w:i/>
                <w:iCs/>
                <w:sz w:val="22"/>
                <w:szCs w:val="22"/>
              </w:rPr>
            </w:pPr>
            <w:r>
              <w:rPr>
                <w:b/>
                <w:i/>
                <w:iCs/>
                <w:sz w:val="22"/>
                <w:szCs w:val="22"/>
              </w:rPr>
              <w:t xml:space="preserve">EI 60 </w:t>
            </w:r>
          </w:p>
          <w:p w14:paraId="6673E156" w14:textId="77777777" w:rsidR="001C08A5" w:rsidRDefault="00000000">
            <w:pPr>
              <w:jc w:val="center"/>
              <w:rPr>
                <w:b/>
                <w:i/>
                <w:iCs/>
                <w:sz w:val="22"/>
                <w:szCs w:val="22"/>
              </w:rPr>
            </w:pPr>
            <w:r>
              <w:rPr>
                <w:b/>
                <w:i/>
                <w:iCs/>
                <w:sz w:val="22"/>
                <w:szCs w:val="22"/>
              </w:rPr>
              <w:t>(EI 45*)</w:t>
            </w:r>
          </w:p>
        </w:tc>
        <w:tc>
          <w:tcPr>
            <w:tcW w:w="848" w:type="pct"/>
          </w:tcPr>
          <w:p w14:paraId="06987B22" w14:textId="77777777" w:rsidR="001C08A5" w:rsidRDefault="00000000">
            <w:pPr>
              <w:jc w:val="center"/>
              <w:rPr>
                <w:b/>
                <w:i/>
                <w:iCs/>
                <w:sz w:val="22"/>
                <w:szCs w:val="22"/>
              </w:rPr>
            </w:pPr>
            <w:r>
              <w:rPr>
                <w:b/>
                <w:i/>
                <w:iCs/>
                <w:sz w:val="22"/>
                <w:szCs w:val="22"/>
              </w:rPr>
              <w:t>EI/REI 60 (EI/REI 45*)</w:t>
            </w:r>
          </w:p>
        </w:tc>
        <w:tc>
          <w:tcPr>
            <w:tcW w:w="575" w:type="pct"/>
          </w:tcPr>
          <w:p w14:paraId="22B8877E" w14:textId="77777777" w:rsidR="001C08A5" w:rsidRDefault="00000000">
            <w:pPr>
              <w:jc w:val="center"/>
              <w:rPr>
                <w:b/>
                <w:i/>
                <w:iCs/>
                <w:sz w:val="22"/>
                <w:szCs w:val="22"/>
              </w:rPr>
            </w:pPr>
            <w:r>
              <w:rPr>
                <w:b/>
                <w:i/>
                <w:iCs/>
                <w:sz w:val="22"/>
                <w:szCs w:val="22"/>
              </w:rPr>
              <w:t xml:space="preserve">EI 45 </w:t>
            </w:r>
          </w:p>
          <w:p w14:paraId="1C32B2D5" w14:textId="77777777" w:rsidR="001C08A5" w:rsidRDefault="00000000">
            <w:pPr>
              <w:jc w:val="center"/>
              <w:rPr>
                <w:b/>
                <w:i/>
                <w:iCs/>
              </w:rPr>
            </w:pPr>
            <w:r>
              <w:rPr>
                <w:b/>
                <w:i/>
                <w:iCs/>
                <w:sz w:val="22"/>
                <w:szCs w:val="22"/>
              </w:rPr>
              <w:t>(EI 30*)</w:t>
            </w:r>
          </w:p>
        </w:tc>
        <w:tc>
          <w:tcPr>
            <w:tcW w:w="817" w:type="pct"/>
          </w:tcPr>
          <w:p w14:paraId="600368D9" w14:textId="77777777" w:rsidR="001C08A5" w:rsidRDefault="00000000">
            <w:pPr>
              <w:jc w:val="center"/>
              <w:rPr>
                <w:bCs/>
                <w:i/>
                <w:iCs/>
                <w:sz w:val="22"/>
                <w:szCs w:val="22"/>
              </w:rPr>
            </w:pPr>
            <w:r>
              <w:rPr>
                <w:bCs/>
                <w:i/>
                <w:iCs/>
                <w:sz w:val="22"/>
                <w:szCs w:val="22"/>
              </w:rPr>
              <w:t>-</w:t>
            </w:r>
          </w:p>
        </w:tc>
        <w:tc>
          <w:tcPr>
            <w:tcW w:w="577" w:type="pct"/>
          </w:tcPr>
          <w:p w14:paraId="7DDA3401" w14:textId="77777777" w:rsidR="001C08A5" w:rsidRDefault="00000000">
            <w:pPr>
              <w:jc w:val="center"/>
              <w:rPr>
                <w:b/>
                <w:i/>
                <w:iCs/>
                <w:sz w:val="22"/>
                <w:szCs w:val="22"/>
              </w:rPr>
            </w:pPr>
            <w:r>
              <w:rPr>
                <w:bCs/>
                <w:i/>
                <w:iCs/>
                <w:sz w:val="22"/>
                <w:szCs w:val="22"/>
              </w:rPr>
              <w:t>-</w:t>
            </w:r>
          </w:p>
        </w:tc>
      </w:tr>
      <w:tr w:rsidR="001C08A5" w14:paraId="26A8823C" w14:textId="77777777">
        <w:tc>
          <w:tcPr>
            <w:tcW w:w="838" w:type="pct"/>
          </w:tcPr>
          <w:p w14:paraId="17F38676" w14:textId="77777777" w:rsidR="001C08A5" w:rsidRDefault="00000000">
            <w:pPr>
              <w:jc w:val="center"/>
              <w:rPr>
                <w:b/>
                <w:i/>
                <w:iCs/>
                <w:sz w:val="22"/>
                <w:szCs w:val="22"/>
              </w:rPr>
            </w:pPr>
            <w:r>
              <w:rPr>
                <w:b/>
                <w:i/>
                <w:iCs/>
                <w:sz w:val="22"/>
                <w:szCs w:val="22"/>
              </w:rPr>
              <w:t>I</w:t>
            </w:r>
          </w:p>
          <w:p w14:paraId="747A210D" w14:textId="77777777" w:rsidR="001C08A5" w:rsidRDefault="00000000">
            <w:pPr>
              <w:jc w:val="center"/>
              <w:rPr>
                <w:b/>
                <w:i/>
                <w:iCs/>
                <w:sz w:val="22"/>
                <w:szCs w:val="22"/>
              </w:rPr>
            </w:pPr>
            <w:r>
              <w:rPr>
                <w:b/>
                <w:i/>
                <w:iCs/>
                <w:sz w:val="22"/>
                <w:szCs w:val="22"/>
              </w:rPr>
              <w:t>75m≤h&lt;125m</w:t>
            </w:r>
          </w:p>
        </w:tc>
        <w:tc>
          <w:tcPr>
            <w:tcW w:w="799" w:type="pct"/>
          </w:tcPr>
          <w:p w14:paraId="0C52D4CE" w14:textId="77777777" w:rsidR="001C08A5" w:rsidRDefault="00000000">
            <w:pPr>
              <w:jc w:val="center"/>
              <w:rPr>
                <w:b/>
                <w:i/>
                <w:iCs/>
              </w:rPr>
            </w:pPr>
            <w:r>
              <w:rPr>
                <w:b/>
                <w:i/>
                <w:iCs/>
                <w:sz w:val="22"/>
                <w:szCs w:val="22"/>
              </w:rPr>
              <w:t>EI/REI 120 (EI/REI 90*)</w:t>
            </w:r>
          </w:p>
        </w:tc>
        <w:tc>
          <w:tcPr>
            <w:tcW w:w="543" w:type="pct"/>
          </w:tcPr>
          <w:p w14:paraId="60BA97A9" w14:textId="77777777" w:rsidR="001C08A5" w:rsidRDefault="00000000">
            <w:pPr>
              <w:jc w:val="center"/>
              <w:rPr>
                <w:b/>
                <w:i/>
                <w:iCs/>
                <w:sz w:val="22"/>
                <w:szCs w:val="22"/>
              </w:rPr>
            </w:pPr>
            <w:r>
              <w:rPr>
                <w:b/>
                <w:i/>
                <w:iCs/>
                <w:sz w:val="22"/>
                <w:szCs w:val="22"/>
              </w:rPr>
              <w:t xml:space="preserve">EI 90 </w:t>
            </w:r>
          </w:p>
          <w:p w14:paraId="71590A67" w14:textId="77777777" w:rsidR="001C08A5" w:rsidRDefault="00000000">
            <w:pPr>
              <w:jc w:val="center"/>
              <w:rPr>
                <w:bCs/>
                <w:i/>
                <w:iCs/>
              </w:rPr>
            </w:pPr>
            <w:r>
              <w:rPr>
                <w:b/>
                <w:i/>
                <w:iCs/>
                <w:sz w:val="22"/>
                <w:szCs w:val="22"/>
              </w:rPr>
              <w:t>(EI 60*)</w:t>
            </w:r>
          </w:p>
        </w:tc>
        <w:tc>
          <w:tcPr>
            <w:tcW w:w="848" w:type="pct"/>
          </w:tcPr>
          <w:p w14:paraId="7FF113B7" w14:textId="77777777" w:rsidR="001C08A5" w:rsidRDefault="00000000">
            <w:pPr>
              <w:jc w:val="center"/>
              <w:rPr>
                <w:b/>
                <w:i/>
                <w:iCs/>
                <w:sz w:val="22"/>
                <w:szCs w:val="22"/>
              </w:rPr>
            </w:pPr>
            <w:r>
              <w:rPr>
                <w:b/>
                <w:i/>
                <w:iCs/>
                <w:sz w:val="22"/>
                <w:szCs w:val="22"/>
              </w:rPr>
              <w:t>EI/REI 90 (EI/REI 60*)</w:t>
            </w:r>
          </w:p>
        </w:tc>
        <w:tc>
          <w:tcPr>
            <w:tcW w:w="575" w:type="pct"/>
          </w:tcPr>
          <w:p w14:paraId="5E8E4EE3" w14:textId="77777777" w:rsidR="001C08A5" w:rsidRDefault="00000000">
            <w:pPr>
              <w:jc w:val="center"/>
              <w:rPr>
                <w:b/>
                <w:i/>
                <w:iCs/>
                <w:sz w:val="22"/>
                <w:szCs w:val="22"/>
              </w:rPr>
            </w:pPr>
            <w:r>
              <w:rPr>
                <w:b/>
                <w:i/>
                <w:iCs/>
                <w:sz w:val="22"/>
                <w:szCs w:val="22"/>
              </w:rPr>
              <w:t xml:space="preserve">EI 60 </w:t>
            </w:r>
          </w:p>
          <w:p w14:paraId="14753A9A" w14:textId="77777777" w:rsidR="001C08A5" w:rsidRDefault="00000000">
            <w:pPr>
              <w:jc w:val="center"/>
              <w:rPr>
                <w:b/>
                <w:i/>
                <w:iCs/>
                <w:sz w:val="22"/>
                <w:szCs w:val="22"/>
              </w:rPr>
            </w:pPr>
            <w:r>
              <w:rPr>
                <w:b/>
                <w:i/>
                <w:iCs/>
                <w:sz w:val="22"/>
                <w:szCs w:val="22"/>
              </w:rPr>
              <w:t>(EI 45*)</w:t>
            </w:r>
          </w:p>
        </w:tc>
        <w:tc>
          <w:tcPr>
            <w:tcW w:w="817" w:type="pct"/>
          </w:tcPr>
          <w:p w14:paraId="7055DB24" w14:textId="77777777" w:rsidR="001C08A5" w:rsidRDefault="00000000">
            <w:pPr>
              <w:jc w:val="center"/>
              <w:rPr>
                <w:b/>
                <w:i/>
                <w:iCs/>
              </w:rPr>
            </w:pPr>
            <w:r>
              <w:rPr>
                <w:bCs/>
                <w:i/>
                <w:iCs/>
              </w:rPr>
              <w:t>-</w:t>
            </w:r>
          </w:p>
        </w:tc>
        <w:tc>
          <w:tcPr>
            <w:tcW w:w="577" w:type="pct"/>
          </w:tcPr>
          <w:p w14:paraId="28C4F2EF" w14:textId="77777777" w:rsidR="001C08A5" w:rsidRDefault="00000000">
            <w:pPr>
              <w:jc w:val="center"/>
              <w:rPr>
                <w:b/>
                <w:i/>
                <w:iCs/>
              </w:rPr>
            </w:pPr>
            <w:r>
              <w:rPr>
                <w:b/>
                <w:i/>
                <w:iCs/>
              </w:rPr>
              <w:t>-</w:t>
            </w:r>
          </w:p>
        </w:tc>
      </w:tr>
      <w:tr w:rsidR="001C08A5" w14:paraId="5FE9587C" w14:textId="77777777">
        <w:tc>
          <w:tcPr>
            <w:tcW w:w="838" w:type="pct"/>
          </w:tcPr>
          <w:p w14:paraId="2998EF3F" w14:textId="77777777" w:rsidR="001C08A5" w:rsidRDefault="00000000">
            <w:pPr>
              <w:jc w:val="center"/>
              <w:rPr>
                <w:b/>
                <w:i/>
                <w:iCs/>
                <w:sz w:val="22"/>
                <w:szCs w:val="22"/>
              </w:rPr>
            </w:pPr>
            <w:r>
              <w:rPr>
                <w:b/>
                <w:i/>
                <w:iCs/>
                <w:sz w:val="22"/>
                <w:szCs w:val="22"/>
              </w:rPr>
              <w:t>I</w:t>
            </w:r>
          </w:p>
          <w:p w14:paraId="6B1F073F" w14:textId="77777777" w:rsidR="001C08A5" w:rsidRDefault="00000000">
            <w:pPr>
              <w:jc w:val="center"/>
              <w:rPr>
                <w:b/>
                <w:i/>
                <w:iCs/>
                <w:sz w:val="22"/>
                <w:szCs w:val="22"/>
              </w:rPr>
            </w:pPr>
            <w:r>
              <w:rPr>
                <w:b/>
                <w:i/>
                <w:iCs/>
                <w:sz w:val="22"/>
                <w:szCs w:val="22"/>
              </w:rPr>
              <w:t>h≥125m</w:t>
            </w:r>
          </w:p>
        </w:tc>
        <w:tc>
          <w:tcPr>
            <w:tcW w:w="799" w:type="pct"/>
          </w:tcPr>
          <w:p w14:paraId="2065E10B" w14:textId="77777777" w:rsidR="001C08A5" w:rsidRDefault="00000000">
            <w:pPr>
              <w:jc w:val="center"/>
              <w:rPr>
                <w:b/>
                <w:i/>
                <w:iCs/>
              </w:rPr>
            </w:pPr>
            <w:r>
              <w:rPr>
                <w:b/>
                <w:i/>
                <w:iCs/>
              </w:rPr>
              <w:t>-</w:t>
            </w:r>
          </w:p>
        </w:tc>
        <w:tc>
          <w:tcPr>
            <w:tcW w:w="543" w:type="pct"/>
          </w:tcPr>
          <w:p w14:paraId="7F771EDC" w14:textId="77777777" w:rsidR="001C08A5" w:rsidRDefault="00000000">
            <w:pPr>
              <w:jc w:val="center"/>
              <w:rPr>
                <w:bCs/>
                <w:i/>
                <w:iCs/>
              </w:rPr>
            </w:pPr>
            <w:r>
              <w:rPr>
                <w:bCs/>
                <w:i/>
                <w:iCs/>
              </w:rPr>
              <w:t>-</w:t>
            </w:r>
          </w:p>
        </w:tc>
        <w:tc>
          <w:tcPr>
            <w:tcW w:w="848" w:type="pct"/>
          </w:tcPr>
          <w:p w14:paraId="17E7E326" w14:textId="77777777" w:rsidR="001C08A5" w:rsidRDefault="00000000">
            <w:pPr>
              <w:jc w:val="center"/>
              <w:rPr>
                <w:b/>
                <w:i/>
                <w:iCs/>
                <w:sz w:val="22"/>
                <w:szCs w:val="22"/>
              </w:rPr>
            </w:pPr>
            <w:r>
              <w:rPr>
                <w:b/>
                <w:i/>
                <w:iCs/>
                <w:sz w:val="21"/>
                <w:szCs w:val="21"/>
              </w:rPr>
              <w:t>EI/REI 1</w:t>
            </w:r>
            <w:r>
              <w:rPr>
                <w:b/>
                <w:i/>
                <w:iCs/>
              </w:rPr>
              <w:t>2</w:t>
            </w:r>
            <w:r>
              <w:rPr>
                <w:b/>
                <w:i/>
                <w:iCs/>
                <w:sz w:val="21"/>
                <w:szCs w:val="21"/>
              </w:rPr>
              <w:t xml:space="preserve">0 (EI/REI </w:t>
            </w:r>
            <w:r>
              <w:rPr>
                <w:b/>
                <w:i/>
                <w:iCs/>
              </w:rPr>
              <w:t>9</w:t>
            </w:r>
            <w:r>
              <w:rPr>
                <w:b/>
                <w:i/>
                <w:iCs/>
                <w:sz w:val="21"/>
                <w:szCs w:val="21"/>
              </w:rPr>
              <w:t>0*)</w:t>
            </w:r>
          </w:p>
        </w:tc>
        <w:tc>
          <w:tcPr>
            <w:tcW w:w="575" w:type="pct"/>
          </w:tcPr>
          <w:p w14:paraId="3601DAC8" w14:textId="77777777" w:rsidR="001C08A5" w:rsidRDefault="00000000">
            <w:pPr>
              <w:jc w:val="center"/>
              <w:rPr>
                <w:b/>
                <w:i/>
                <w:iCs/>
              </w:rPr>
            </w:pPr>
            <w:r>
              <w:rPr>
                <w:b/>
                <w:i/>
                <w:iCs/>
              </w:rPr>
              <w:t>EI 90</w:t>
            </w:r>
          </w:p>
          <w:p w14:paraId="00330A6B" w14:textId="77777777" w:rsidR="001C08A5" w:rsidRDefault="00000000">
            <w:pPr>
              <w:jc w:val="center"/>
              <w:rPr>
                <w:b/>
                <w:i/>
                <w:iCs/>
                <w:sz w:val="22"/>
                <w:szCs w:val="22"/>
              </w:rPr>
            </w:pPr>
            <w:r>
              <w:rPr>
                <w:b/>
                <w:i/>
                <w:iCs/>
                <w:sz w:val="21"/>
                <w:szCs w:val="21"/>
              </w:rPr>
              <w:t xml:space="preserve">(EI </w:t>
            </w:r>
            <w:r>
              <w:rPr>
                <w:b/>
                <w:i/>
                <w:iCs/>
              </w:rPr>
              <w:t>60</w:t>
            </w:r>
            <w:r>
              <w:rPr>
                <w:b/>
                <w:i/>
                <w:iCs/>
                <w:sz w:val="21"/>
                <w:szCs w:val="21"/>
              </w:rPr>
              <w:t>*)</w:t>
            </w:r>
          </w:p>
        </w:tc>
        <w:tc>
          <w:tcPr>
            <w:tcW w:w="817" w:type="pct"/>
          </w:tcPr>
          <w:p w14:paraId="41236398" w14:textId="77777777" w:rsidR="001C08A5" w:rsidRDefault="00000000">
            <w:pPr>
              <w:jc w:val="center"/>
              <w:rPr>
                <w:b/>
                <w:i/>
                <w:iCs/>
              </w:rPr>
            </w:pPr>
            <w:r>
              <w:rPr>
                <w:b/>
                <w:i/>
                <w:iCs/>
              </w:rPr>
              <w:t>-</w:t>
            </w:r>
          </w:p>
        </w:tc>
        <w:tc>
          <w:tcPr>
            <w:tcW w:w="577" w:type="pct"/>
          </w:tcPr>
          <w:p w14:paraId="05B084F5" w14:textId="77777777" w:rsidR="001C08A5" w:rsidRDefault="00000000">
            <w:pPr>
              <w:jc w:val="center"/>
              <w:rPr>
                <w:b/>
                <w:i/>
                <w:iCs/>
              </w:rPr>
            </w:pPr>
            <w:r>
              <w:rPr>
                <w:b/>
                <w:i/>
                <w:iCs/>
              </w:rPr>
              <w:t>-</w:t>
            </w:r>
          </w:p>
        </w:tc>
      </w:tr>
    </w:tbl>
    <w:p w14:paraId="15F470B4" w14:textId="77777777" w:rsidR="001C08A5" w:rsidRDefault="00000000">
      <w:pPr>
        <w:jc w:val="both"/>
        <w:rPr>
          <w:b/>
          <w:i/>
          <w:iCs/>
          <w:sz w:val="22"/>
          <w:szCs w:val="22"/>
        </w:rPr>
      </w:pPr>
      <w:r>
        <w:rPr>
          <w:b/>
          <w:i/>
          <w:iCs/>
          <w:sz w:val="22"/>
          <w:szCs w:val="22"/>
        </w:rPr>
        <w:t>Observații:</w:t>
      </w:r>
    </w:p>
    <w:p w14:paraId="5D947332" w14:textId="77777777" w:rsidR="001C08A5" w:rsidRDefault="00000000">
      <w:pPr>
        <w:jc w:val="both"/>
        <w:rPr>
          <w:b/>
          <w:i/>
          <w:iCs/>
          <w:sz w:val="22"/>
          <w:szCs w:val="22"/>
        </w:rPr>
      </w:pPr>
      <w:r>
        <w:rPr>
          <w:b/>
          <w:i/>
          <w:iCs/>
          <w:sz w:val="22"/>
          <w:szCs w:val="22"/>
          <w:vertAlign w:val="superscript"/>
        </w:rPr>
        <w:t>1)</w:t>
      </w:r>
      <w:r>
        <w:rPr>
          <w:b/>
          <w:i/>
          <w:iCs/>
          <w:sz w:val="22"/>
          <w:szCs w:val="22"/>
        </w:rPr>
        <w:t xml:space="preserve">  - </w:t>
      </w:r>
      <w:r>
        <w:rPr>
          <w:bCs/>
          <w:i/>
          <w:iCs/>
          <w:sz w:val="22"/>
          <w:szCs w:val="22"/>
        </w:rPr>
        <w:t>Se referă la ”</w:t>
      </w:r>
      <w:r>
        <w:rPr>
          <w:i/>
          <w:iCs/>
          <w:sz w:val="22"/>
          <w:szCs w:val="22"/>
        </w:rPr>
        <w:t>Pereţi antifoc minimum</w:t>
      </w:r>
      <w:r>
        <w:rPr>
          <w:b/>
          <w:i/>
          <w:iCs/>
          <w:sz w:val="22"/>
          <w:szCs w:val="22"/>
        </w:rPr>
        <w:t xml:space="preserve"> EI-M 240/REI 240 </w:t>
      </w:r>
      <w:r>
        <w:rPr>
          <w:bCs/>
          <w:i/>
          <w:iCs/>
          <w:sz w:val="22"/>
          <w:szCs w:val="22"/>
        </w:rPr>
        <w:t xml:space="preserve">pentru construcțiile cu risc foarte mare de incendiu (atunci când densitatea sarcinii termice (q) este mai mare de </w:t>
      </w:r>
      <w:r>
        <w:rPr>
          <w:b/>
          <w:i/>
          <w:iCs/>
          <w:sz w:val="22"/>
          <w:szCs w:val="22"/>
        </w:rPr>
        <w:t xml:space="preserve">1680 MJ/m² </w:t>
      </w:r>
      <w:r>
        <w:rPr>
          <w:bCs/>
          <w:i/>
          <w:iCs/>
          <w:sz w:val="22"/>
          <w:szCs w:val="22"/>
        </w:rPr>
        <w:t xml:space="preserve">şi/sau există pericol de explozie volumetrică)” așa cum sunt definiți la </w:t>
      </w:r>
      <w:r>
        <w:rPr>
          <w:b/>
          <w:i/>
          <w:iCs/>
          <w:sz w:val="22"/>
          <w:szCs w:val="22"/>
        </w:rPr>
        <w:t>Art. 2.3.2.1.2. lit. b)</w:t>
      </w:r>
      <w:r>
        <w:rPr>
          <w:bCs/>
          <w:i/>
          <w:iCs/>
          <w:sz w:val="22"/>
          <w:szCs w:val="22"/>
        </w:rPr>
        <w:t>.</w:t>
      </w:r>
    </w:p>
    <w:p w14:paraId="23141BC9" w14:textId="77777777" w:rsidR="001C08A5" w:rsidRDefault="00000000">
      <w:pPr>
        <w:jc w:val="both"/>
        <w:rPr>
          <w:i/>
          <w:iCs/>
          <w:sz w:val="22"/>
          <w:szCs w:val="22"/>
        </w:rPr>
      </w:pPr>
      <w:r>
        <w:rPr>
          <w:b/>
          <w:i/>
          <w:iCs/>
          <w:sz w:val="22"/>
          <w:szCs w:val="22"/>
          <w:vertAlign w:val="superscript"/>
        </w:rPr>
        <w:t>2)</w:t>
      </w:r>
      <w:r>
        <w:rPr>
          <w:b/>
          <w:i/>
          <w:iCs/>
          <w:sz w:val="22"/>
          <w:szCs w:val="22"/>
        </w:rPr>
        <w:t xml:space="preserve">  - </w:t>
      </w:r>
      <w:r>
        <w:rPr>
          <w:bCs/>
          <w:i/>
          <w:iCs/>
          <w:sz w:val="22"/>
          <w:szCs w:val="22"/>
        </w:rPr>
        <w:t>Se referă la ”</w:t>
      </w:r>
      <w:r>
        <w:rPr>
          <w:i/>
          <w:iCs/>
          <w:sz w:val="22"/>
          <w:szCs w:val="22"/>
        </w:rPr>
        <w:t>Pereţi antifoc minimum</w:t>
      </w:r>
      <w:r>
        <w:rPr>
          <w:b/>
          <w:bCs/>
          <w:i/>
          <w:iCs/>
          <w:sz w:val="22"/>
          <w:szCs w:val="22"/>
        </w:rPr>
        <w:t xml:space="preserve"> EI-M 180/REI 180</w:t>
      </w:r>
      <w:r>
        <w:rPr>
          <w:i/>
          <w:iCs/>
          <w:sz w:val="22"/>
          <w:szCs w:val="22"/>
        </w:rPr>
        <w:t xml:space="preserve"> pentru clădirile destinate persoanelor care nu se pot evacua singure (definite conform terminologie</w:t>
      </w:r>
      <w:r>
        <w:rPr>
          <w:i/>
          <w:iCs/>
          <w:sz w:val="22"/>
          <w:szCs w:val="22"/>
          <w:shd w:val="clear" w:color="auto" w:fill="FFFFFF"/>
          <w:lang w:eastAsia="zh-CN"/>
        </w:rPr>
        <w:t>)</w:t>
      </w:r>
      <w:r>
        <w:rPr>
          <w:i/>
          <w:iCs/>
          <w:sz w:val="22"/>
          <w:szCs w:val="22"/>
        </w:rPr>
        <w:t>, pentru construcțiile cu risc mare de incendiu, precum și cele pentru obiecte, echipamente sau aparatură de importanţă deosebita, pentru clădiri civile supraterane înalte şi/sau foarte înalte sau clădiri cu săli aglomerate</w:t>
      </w:r>
      <w:r>
        <w:rPr>
          <w:bCs/>
          <w:i/>
          <w:iCs/>
          <w:sz w:val="22"/>
          <w:szCs w:val="22"/>
        </w:rPr>
        <w:t xml:space="preserve">” așa cum sunt definiți la </w:t>
      </w:r>
      <w:r>
        <w:rPr>
          <w:b/>
          <w:i/>
          <w:iCs/>
          <w:sz w:val="22"/>
          <w:szCs w:val="22"/>
        </w:rPr>
        <w:t>Art. 2.3.2.1.2. lit. c)</w:t>
      </w:r>
      <w:r>
        <w:rPr>
          <w:bCs/>
          <w:i/>
          <w:iCs/>
          <w:sz w:val="22"/>
          <w:szCs w:val="22"/>
        </w:rPr>
        <w:t>.</w:t>
      </w:r>
    </w:p>
    <w:p w14:paraId="557AA098" w14:textId="77777777" w:rsidR="001C08A5" w:rsidRDefault="00000000">
      <w:pPr>
        <w:jc w:val="both"/>
        <w:rPr>
          <w:bCs/>
          <w:i/>
          <w:iCs/>
          <w:sz w:val="22"/>
          <w:szCs w:val="22"/>
        </w:rPr>
      </w:pPr>
      <w:r>
        <w:rPr>
          <w:b/>
          <w:i/>
          <w:iCs/>
          <w:sz w:val="22"/>
          <w:szCs w:val="22"/>
          <w:vertAlign w:val="superscript"/>
        </w:rPr>
        <w:t>3)</w:t>
      </w:r>
      <w:r>
        <w:rPr>
          <w:b/>
          <w:i/>
          <w:iCs/>
          <w:sz w:val="22"/>
          <w:szCs w:val="22"/>
        </w:rPr>
        <w:t xml:space="preserve">  - </w:t>
      </w:r>
      <w:r>
        <w:rPr>
          <w:bCs/>
          <w:i/>
          <w:iCs/>
          <w:sz w:val="22"/>
          <w:szCs w:val="22"/>
        </w:rPr>
        <w:t>Se referă la ”</w:t>
      </w:r>
      <w:r>
        <w:rPr>
          <w:i/>
          <w:iCs/>
          <w:sz w:val="22"/>
          <w:szCs w:val="22"/>
        </w:rPr>
        <w:t>Pereţi antifoc minimum</w:t>
      </w:r>
      <w:r>
        <w:rPr>
          <w:b/>
          <w:bCs/>
          <w:i/>
          <w:iCs/>
          <w:sz w:val="22"/>
          <w:szCs w:val="22"/>
        </w:rPr>
        <w:t xml:space="preserve"> EI-M 120/REI 120</w:t>
      </w:r>
      <w:r>
        <w:rPr>
          <w:bCs/>
          <w:i/>
          <w:iCs/>
          <w:sz w:val="22"/>
          <w:szCs w:val="22"/>
        </w:rPr>
        <w:t xml:space="preserve">” așa cum sunt definiți la </w:t>
      </w:r>
      <w:r>
        <w:rPr>
          <w:b/>
          <w:i/>
          <w:iCs/>
          <w:sz w:val="22"/>
          <w:szCs w:val="22"/>
        </w:rPr>
        <w:t>Art. 2.3.2.1.2. lit. d)</w:t>
      </w:r>
      <w:r>
        <w:rPr>
          <w:bCs/>
          <w:i/>
          <w:iCs/>
          <w:sz w:val="22"/>
          <w:szCs w:val="22"/>
        </w:rPr>
        <w:t>.</w:t>
      </w:r>
    </w:p>
    <w:p w14:paraId="5C6FD85C" w14:textId="77777777" w:rsidR="001C08A5" w:rsidRDefault="00000000">
      <w:pPr>
        <w:jc w:val="both"/>
        <w:rPr>
          <w:bCs/>
          <w:i/>
          <w:iCs/>
          <w:sz w:val="22"/>
          <w:szCs w:val="22"/>
        </w:rPr>
      </w:pPr>
      <w:r>
        <w:rPr>
          <w:b/>
          <w:i/>
          <w:iCs/>
          <w:sz w:val="22"/>
          <w:szCs w:val="22"/>
          <w:vertAlign w:val="superscript"/>
        </w:rPr>
        <w:t>4)</w:t>
      </w:r>
      <w:r>
        <w:rPr>
          <w:b/>
          <w:i/>
          <w:iCs/>
          <w:sz w:val="22"/>
          <w:szCs w:val="22"/>
        </w:rPr>
        <w:t xml:space="preserve">  - </w:t>
      </w:r>
      <w:r>
        <w:rPr>
          <w:bCs/>
          <w:i/>
          <w:iCs/>
          <w:sz w:val="22"/>
          <w:szCs w:val="22"/>
        </w:rPr>
        <w:t>Se referă la ”Rezistenţa la foc (</w:t>
      </w:r>
      <w:r>
        <w:rPr>
          <w:b/>
          <w:i/>
          <w:iCs/>
          <w:sz w:val="22"/>
          <w:szCs w:val="22"/>
        </w:rPr>
        <w:t>EI/REI</w:t>
      </w:r>
      <w:r>
        <w:rPr>
          <w:bCs/>
          <w:i/>
          <w:iCs/>
          <w:sz w:val="22"/>
          <w:szCs w:val="22"/>
        </w:rPr>
        <w:t xml:space="preserve">) a pereţilor din exterior, pe o distanță de minimum </w:t>
      </w:r>
      <w:r>
        <w:rPr>
          <w:b/>
          <w:i/>
          <w:iCs/>
          <w:sz w:val="22"/>
          <w:szCs w:val="22"/>
        </w:rPr>
        <w:t xml:space="preserve">4 </w:t>
      </w:r>
      <w:r>
        <w:rPr>
          <w:bCs/>
          <w:i/>
          <w:iCs/>
          <w:sz w:val="22"/>
          <w:szCs w:val="22"/>
        </w:rPr>
        <w:t>m”</w:t>
      </w:r>
    </w:p>
    <w:p w14:paraId="49CC25E7" w14:textId="77777777" w:rsidR="001C08A5" w:rsidRDefault="00000000">
      <w:pPr>
        <w:jc w:val="both"/>
        <w:rPr>
          <w:b/>
          <w:bCs/>
          <w:i/>
          <w:iCs/>
          <w:sz w:val="22"/>
          <w:szCs w:val="22"/>
        </w:rPr>
      </w:pPr>
      <w:r>
        <w:rPr>
          <w:b/>
          <w:i/>
          <w:iCs/>
          <w:sz w:val="22"/>
          <w:szCs w:val="22"/>
          <w:vertAlign w:val="superscript"/>
        </w:rPr>
        <w:t>5)</w:t>
      </w:r>
      <w:r>
        <w:rPr>
          <w:b/>
          <w:i/>
          <w:iCs/>
          <w:sz w:val="22"/>
          <w:szCs w:val="22"/>
        </w:rPr>
        <w:t xml:space="preserve">  - </w:t>
      </w:r>
      <w:r>
        <w:rPr>
          <w:bCs/>
          <w:i/>
          <w:iCs/>
          <w:sz w:val="22"/>
          <w:szCs w:val="22"/>
        </w:rPr>
        <w:t>Se referă la ”Elemente de inchidere rezistente la foc(uși, ferestre) prevăzute cu autoînchidere ”</w:t>
      </w:r>
      <w:r>
        <w:rPr>
          <w:b/>
          <w:i/>
          <w:iCs/>
          <w:sz w:val="22"/>
          <w:szCs w:val="22"/>
        </w:rPr>
        <w:t>C</w:t>
      </w:r>
      <w:r>
        <w:rPr>
          <w:bCs/>
          <w:i/>
          <w:iCs/>
          <w:sz w:val="22"/>
          <w:szCs w:val="22"/>
        </w:rPr>
        <w:t xml:space="preserve">” sau fixe, dacă </w:t>
      </w:r>
      <w:r>
        <w:rPr>
          <w:i/>
          <w:iCs/>
          <w:sz w:val="22"/>
          <w:szCs w:val="22"/>
        </w:rPr>
        <w:t xml:space="preserve">distanţa dintre deschideri este mai mică de  </w:t>
      </w:r>
      <w:r>
        <w:rPr>
          <w:b/>
          <w:i/>
          <w:iCs/>
          <w:sz w:val="22"/>
          <w:szCs w:val="22"/>
        </w:rPr>
        <w:t xml:space="preserve">4 </w:t>
      </w:r>
      <w:r>
        <w:rPr>
          <w:bCs/>
          <w:i/>
          <w:iCs/>
          <w:sz w:val="22"/>
          <w:szCs w:val="22"/>
        </w:rPr>
        <w:t>m”.</w:t>
      </w:r>
    </w:p>
    <w:p w14:paraId="37D6D8A6" w14:textId="77777777" w:rsidR="001C08A5" w:rsidRDefault="00000000">
      <w:pPr>
        <w:jc w:val="both"/>
        <w:rPr>
          <w:b/>
          <w:i/>
          <w:iCs/>
          <w:sz w:val="22"/>
          <w:szCs w:val="22"/>
        </w:rPr>
      </w:pPr>
      <w:r>
        <w:rPr>
          <w:b/>
          <w:i/>
          <w:iCs/>
          <w:sz w:val="22"/>
          <w:szCs w:val="22"/>
        </w:rPr>
        <w:t>Note:</w:t>
      </w:r>
    </w:p>
    <w:p w14:paraId="484227F4" w14:textId="77777777" w:rsidR="001C08A5" w:rsidRDefault="00000000">
      <w:pPr>
        <w:jc w:val="both"/>
        <w:rPr>
          <w:i/>
          <w:iCs/>
          <w:sz w:val="22"/>
          <w:szCs w:val="22"/>
        </w:rPr>
      </w:pPr>
      <w:r>
        <w:rPr>
          <w:i/>
          <w:iCs/>
          <w:sz w:val="22"/>
          <w:szCs w:val="22"/>
        </w:rPr>
        <w:lastRenderedPageBreak/>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 xml:space="preserve">pereţilor </w:t>
      </w:r>
      <w:r>
        <w:rPr>
          <w:i/>
          <w:iCs/>
          <w:sz w:val="22"/>
          <w:szCs w:val="22"/>
        </w:rPr>
        <w:t xml:space="preserve">(din exterior) definiți în coloanele </w:t>
      </w:r>
      <w:r>
        <w:rPr>
          <w:b/>
          <w:bCs/>
          <w:i/>
          <w:iCs/>
          <w:sz w:val="22"/>
          <w:szCs w:val="22"/>
        </w:rPr>
        <w:t xml:space="preserve">2, 4 </w:t>
      </w:r>
      <w:r>
        <w:rPr>
          <w:i/>
          <w:iCs/>
          <w:sz w:val="22"/>
          <w:szCs w:val="22"/>
        </w:rPr>
        <w:t>și</w:t>
      </w:r>
      <w:r>
        <w:rPr>
          <w:b/>
          <w:bCs/>
          <w:i/>
          <w:iCs/>
          <w:sz w:val="22"/>
          <w:szCs w:val="22"/>
        </w:rPr>
        <w:t xml:space="preserve"> 6</w:t>
      </w:r>
      <w:r>
        <w:rPr>
          <w:i/>
          <w:iCs/>
          <w:sz w:val="22"/>
          <w:szCs w:val="22"/>
        </w:rPr>
        <w:t xml:space="preserve"> din tabel este </w:t>
      </w:r>
      <w:r>
        <w:rPr>
          <w:b/>
          <w:i/>
          <w:iCs/>
          <w:sz w:val="22"/>
          <w:szCs w:val="22"/>
        </w:rPr>
        <w:t xml:space="preserve">A1 sau A2-s1,d0. </w:t>
      </w:r>
      <w:r>
        <w:rPr>
          <w:i/>
          <w:iCs/>
          <w:sz w:val="22"/>
          <w:szCs w:val="22"/>
        </w:rPr>
        <w:t xml:space="preserve">Pentru construcțiile încadrate în nivelul de stabilitate </w:t>
      </w:r>
      <w:r>
        <w:rPr>
          <w:b/>
          <w:bCs/>
          <w:i/>
          <w:iCs/>
          <w:sz w:val="22"/>
          <w:szCs w:val="22"/>
        </w:rPr>
        <w:t>I</w:t>
      </w:r>
      <w:r>
        <w:rPr>
          <w:i/>
          <w:iCs/>
          <w:sz w:val="22"/>
          <w:szCs w:val="22"/>
        </w:rPr>
        <w:t xml:space="preserve">, </w:t>
      </w:r>
      <w:r>
        <w:rPr>
          <w:b/>
          <w:bCs/>
          <w:i/>
          <w:iCs/>
          <w:sz w:val="22"/>
          <w:szCs w:val="22"/>
        </w:rPr>
        <w:t>II</w:t>
      </w:r>
      <w:r>
        <w:rPr>
          <w:i/>
          <w:iCs/>
          <w:sz w:val="22"/>
          <w:szCs w:val="22"/>
        </w:rPr>
        <w:t xml:space="preserve"> și </w:t>
      </w:r>
      <w:r>
        <w:rPr>
          <w:b/>
          <w:bCs/>
          <w:i/>
          <w:iCs/>
          <w:sz w:val="22"/>
          <w:szCs w:val="22"/>
        </w:rPr>
        <w:t>III</w:t>
      </w:r>
      <w:r>
        <w:rPr>
          <w:i/>
          <w:iCs/>
          <w:sz w:val="22"/>
          <w:szCs w:val="22"/>
        </w:rPr>
        <w:t xml:space="preserve"> clasa de reacție la foc a </w:t>
      </w:r>
      <w:r>
        <w:rPr>
          <w:b/>
          <w:i/>
          <w:iCs/>
          <w:sz w:val="22"/>
          <w:szCs w:val="22"/>
        </w:rPr>
        <w:t>elementelor de inchidere rezistente la foc</w:t>
      </w:r>
      <w:r>
        <w:rPr>
          <w:i/>
          <w:iCs/>
          <w:sz w:val="22"/>
          <w:szCs w:val="22"/>
        </w:rPr>
        <w:t xml:space="preserve"> definite în coloanele </w:t>
      </w:r>
      <w:r>
        <w:rPr>
          <w:b/>
          <w:bCs/>
          <w:i/>
          <w:iCs/>
          <w:sz w:val="22"/>
          <w:szCs w:val="22"/>
        </w:rPr>
        <w:t xml:space="preserve">3, 5 </w:t>
      </w:r>
      <w:r>
        <w:rPr>
          <w:i/>
          <w:iCs/>
          <w:sz w:val="22"/>
          <w:szCs w:val="22"/>
        </w:rPr>
        <w:t>și</w:t>
      </w:r>
      <w:r>
        <w:rPr>
          <w:b/>
          <w:bCs/>
          <w:i/>
          <w:iCs/>
          <w:sz w:val="22"/>
          <w:szCs w:val="22"/>
        </w:rPr>
        <w:t xml:space="preserve"> 7</w:t>
      </w:r>
      <w:r>
        <w:rPr>
          <w:i/>
          <w:iCs/>
          <w:sz w:val="22"/>
          <w:szCs w:val="22"/>
        </w:rPr>
        <w:t xml:space="preserve"> din tabel este </w:t>
      </w:r>
      <w:r>
        <w:rPr>
          <w:b/>
          <w:i/>
          <w:iCs/>
          <w:sz w:val="22"/>
          <w:szCs w:val="22"/>
        </w:rPr>
        <w:t xml:space="preserve">A1 sau A2-s1,d0, </w:t>
      </w:r>
      <w:r>
        <w:rPr>
          <w:bCs/>
          <w:i/>
          <w:iCs/>
          <w:sz w:val="22"/>
          <w:szCs w:val="22"/>
        </w:rPr>
        <w:t>cu excepția componetelor nesubstanţiale, garniturilor, izolatorilor, elementelor de vitraj (din sticlă) simplu sau izolant (realizate din sticlă) ale ușilor și ferestrelor (exterioare), inclusiv cele inserate în pereții cortină.</w:t>
      </w:r>
    </w:p>
    <w:p w14:paraId="2D0398B4" w14:textId="77777777" w:rsidR="001C08A5" w:rsidRDefault="00000000">
      <w:pPr>
        <w:widowControl w:val="0"/>
        <w:jc w:val="both"/>
        <w:rPr>
          <w:i/>
          <w:iCs/>
          <w:sz w:val="22"/>
          <w:szCs w:val="22"/>
        </w:rPr>
      </w:pPr>
      <w:r>
        <w:rPr>
          <w:i/>
          <w:iCs/>
          <w:sz w:val="22"/>
          <w:szCs w:val="22"/>
        </w:rPr>
        <w:t xml:space="preserve">Pentru clădiri închise se aplică specificatia </w:t>
      </w:r>
      <w:r>
        <w:rPr>
          <w:b/>
          <w:bCs/>
          <w:i/>
          <w:iCs/>
          <w:sz w:val="22"/>
          <w:szCs w:val="22"/>
        </w:rPr>
        <w:t>EW</w:t>
      </w:r>
      <w:r>
        <w:rPr>
          <w:i/>
          <w:iCs/>
          <w:sz w:val="22"/>
          <w:szCs w:val="22"/>
        </w:rPr>
        <w:t xml:space="preserve"> sau </w:t>
      </w:r>
      <w:r>
        <w:rPr>
          <w:b/>
          <w:bCs/>
          <w:i/>
          <w:iCs/>
          <w:sz w:val="22"/>
          <w:szCs w:val="22"/>
        </w:rPr>
        <w:t>EI</w:t>
      </w:r>
      <w:r>
        <w:rPr>
          <w:i/>
          <w:iCs/>
          <w:sz w:val="22"/>
          <w:szCs w:val="22"/>
        </w:rPr>
        <w:t xml:space="preserve"> la elemente de inchidere rezistente la foc (uși, ferestre), în funcție de apropierea dintre deschideri (dacă este mai mică de </w:t>
      </w:r>
      <w:r>
        <w:rPr>
          <w:b/>
          <w:bCs/>
          <w:i/>
          <w:iCs/>
          <w:sz w:val="22"/>
          <w:szCs w:val="22"/>
        </w:rPr>
        <w:t>1m</w:t>
      </w:r>
      <w:r>
        <w:rPr>
          <w:i/>
          <w:iCs/>
          <w:sz w:val="22"/>
          <w:szCs w:val="22"/>
        </w:rPr>
        <w:t xml:space="preserve"> obligatoriu se aplică performanța la foc </w:t>
      </w:r>
      <w:r>
        <w:rPr>
          <w:b/>
          <w:bCs/>
          <w:i/>
          <w:iCs/>
          <w:sz w:val="22"/>
          <w:szCs w:val="22"/>
        </w:rPr>
        <w:t>EI</w:t>
      </w:r>
      <w:r>
        <w:rPr>
          <w:i/>
          <w:iCs/>
          <w:sz w:val="22"/>
          <w:szCs w:val="22"/>
        </w:rPr>
        <w:t>). Pentru clădiri deschise se poate aplica specificatia</w:t>
      </w:r>
      <w:r>
        <w:rPr>
          <w:b/>
          <w:bCs/>
          <w:i/>
          <w:iCs/>
          <w:sz w:val="22"/>
          <w:szCs w:val="22"/>
        </w:rPr>
        <w:t xml:space="preserve"> E</w:t>
      </w:r>
      <w:r>
        <w:rPr>
          <w:i/>
          <w:iCs/>
          <w:sz w:val="22"/>
          <w:szCs w:val="22"/>
        </w:rPr>
        <w:t xml:space="preserve"> la elemente de inchidere rezistente la foc (uși, ferestre).</w:t>
      </w:r>
    </w:p>
    <w:p w14:paraId="7E05FBCA" w14:textId="77777777" w:rsidR="001C08A5" w:rsidRDefault="00000000">
      <w:pPr>
        <w:rPr>
          <w:sz w:val="22"/>
          <w:szCs w:val="22"/>
        </w:rPr>
      </w:pPr>
      <w:r>
        <w:rPr>
          <w:i/>
          <w:iCs/>
          <w:sz w:val="22"/>
          <w:szCs w:val="22"/>
        </w:rPr>
        <w:t xml:space="preserve">Rezistența la foc a tuturor </w:t>
      </w:r>
      <w:r>
        <w:rPr>
          <w:bCs/>
          <w:i/>
          <w:iCs/>
          <w:sz w:val="22"/>
          <w:szCs w:val="22"/>
        </w:rPr>
        <w:t xml:space="preserve">elementelor </w:t>
      </w:r>
      <w:r>
        <w:rPr>
          <w:i/>
          <w:iCs/>
          <w:sz w:val="22"/>
          <w:szCs w:val="22"/>
        </w:rPr>
        <w:t xml:space="preserve">definite în coloanele </w:t>
      </w:r>
      <w:r>
        <w:rPr>
          <w:b/>
          <w:bCs/>
          <w:i/>
          <w:iCs/>
          <w:sz w:val="22"/>
          <w:szCs w:val="22"/>
        </w:rPr>
        <w:t xml:space="preserve">2, 3, 4, 5, 6 </w:t>
      </w:r>
      <w:r>
        <w:rPr>
          <w:i/>
          <w:iCs/>
          <w:sz w:val="22"/>
          <w:szCs w:val="22"/>
        </w:rPr>
        <w:t>și</w:t>
      </w:r>
      <w:r>
        <w:rPr>
          <w:b/>
          <w:bCs/>
          <w:i/>
          <w:iCs/>
          <w:sz w:val="22"/>
          <w:szCs w:val="22"/>
        </w:rPr>
        <w:t xml:space="preserve"> 7</w:t>
      </w:r>
      <w:r>
        <w:rPr>
          <w:i/>
          <w:iCs/>
          <w:sz w:val="22"/>
          <w:szCs w:val="22"/>
        </w:rPr>
        <w:t xml:space="preserve"> din tabel este în minute.</w:t>
      </w:r>
    </w:p>
    <w:p w14:paraId="469982BF" w14:textId="77777777" w:rsidR="001C08A5" w:rsidRDefault="00000000">
      <w:pPr>
        <w:widowControl w:val="0"/>
        <w:jc w:val="both"/>
        <w:rPr>
          <w:i/>
          <w:sz w:val="22"/>
          <w:szCs w:val="22"/>
        </w:rPr>
      </w:pPr>
      <w:r>
        <w:rPr>
          <w:b/>
          <w:sz w:val="22"/>
          <w:szCs w:val="22"/>
        </w:rPr>
        <w:t xml:space="preserve">* </w:t>
      </w:r>
      <w:r>
        <w:rPr>
          <w:i/>
          <w:sz w:val="22"/>
          <w:szCs w:val="22"/>
        </w:rPr>
        <w:t xml:space="preserve">Valorile din paranteze se aplică în cazurile în care încăperile sunt echipate cu instalaţii automate de stingere a incendiilor </w:t>
      </w:r>
      <w:r>
        <w:rPr>
          <w:bCs/>
          <w:i/>
          <w:iCs/>
          <w:sz w:val="22"/>
          <w:szCs w:val="22"/>
        </w:rPr>
        <w:t xml:space="preserve">(conform prevederi Normativ </w:t>
      </w:r>
      <w:r>
        <w:rPr>
          <w:b/>
          <w:i/>
          <w:iCs/>
          <w:sz w:val="22"/>
          <w:szCs w:val="22"/>
        </w:rPr>
        <w:t>P118:2</w:t>
      </w:r>
      <w:r>
        <w:rPr>
          <w:bCs/>
          <w:i/>
          <w:iCs/>
          <w:sz w:val="22"/>
          <w:szCs w:val="22"/>
        </w:rPr>
        <w:t>, cu excepțiile prevăzute ale spațiilor care se dotează cu alte instalații automate de stingere)</w:t>
      </w:r>
      <w:r>
        <w:rPr>
          <w:i/>
          <w:sz w:val="22"/>
          <w:szCs w:val="22"/>
        </w:rPr>
        <w:t>.</w:t>
      </w:r>
    </w:p>
    <w:p w14:paraId="0A39B7BA" w14:textId="77777777" w:rsidR="001C08A5" w:rsidRDefault="00000000">
      <w:pPr>
        <w:widowControl w:val="0"/>
        <w:rPr>
          <w:bCs/>
          <w:i/>
          <w:sz w:val="22"/>
          <w:szCs w:val="22"/>
        </w:rPr>
      </w:pPr>
      <w:r>
        <w:rPr>
          <w:b/>
          <w:i/>
          <w:sz w:val="22"/>
          <w:szCs w:val="22"/>
        </w:rPr>
        <w:t>”h”</w:t>
      </w:r>
      <w:r>
        <w:rPr>
          <w:bCs/>
          <w:i/>
          <w:sz w:val="22"/>
          <w:szCs w:val="22"/>
        </w:rPr>
        <w:t xml:space="preserve">= cota ultimului planșeu accesibil/folosibil al </w:t>
      </w:r>
      <w:r>
        <w:rPr>
          <w:i/>
          <w:iCs/>
          <w:sz w:val="22"/>
          <w:szCs w:val="22"/>
        </w:rPr>
        <w:t>constructiei, față de nivelul de referință</w:t>
      </w:r>
    </w:p>
    <w:p w14:paraId="634A01FB" w14:textId="77777777" w:rsidR="001C08A5" w:rsidRDefault="00000000">
      <w:pPr>
        <w:jc w:val="center"/>
        <w:rPr>
          <w:sz w:val="24"/>
          <w:szCs w:val="24"/>
        </w:rPr>
      </w:pPr>
      <w:r>
        <w:rPr>
          <w:noProof/>
          <w:lang w:eastAsia="ro-RO"/>
        </w:rPr>
        <w:drawing>
          <wp:inline distT="0" distB="0" distL="114300" distR="114300" wp14:anchorId="46F8D908" wp14:editId="53AAE107">
            <wp:extent cx="4103370" cy="2383155"/>
            <wp:effectExtent l="0" t="0" r="11430" b="17145"/>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pic:cNvPicPr>
                      <a:picLocks noChangeAspect="1"/>
                    </pic:cNvPicPr>
                  </pic:nvPicPr>
                  <pic:blipFill>
                    <a:blip r:embed="rId120"/>
                    <a:srcRect l="25322" t="17002" r="20316" b="39083"/>
                    <a:stretch>
                      <a:fillRect/>
                    </a:stretch>
                  </pic:blipFill>
                  <pic:spPr>
                    <a:xfrm>
                      <a:off x="0" y="0"/>
                      <a:ext cx="4103370" cy="2383155"/>
                    </a:xfrm>
                    <a:prstGeom prst="rect">
                      <a:avLst/>
                    </a:prstGeom>
                    <a:noFill/>
                    <a:ln>
                      <a:noFill/>
                    </a:ln>
                  </pic:spPr>
                </pic:pic>
              </a:graphicData>
            </a:graphic>
          </wp:inline>
        </w:drawing>
      </w:r>
    </w:p>
    <w:p w14:paraId="293AE8DB" w14:textId="77777777" w:rsidR="001C08A5" w:rsidRDefault="00000000">
      <w:pPr>
        <w:pStyle w:val="Caption"/>
        <w:jc w:val="center"/>
        <w:rPr>
          <w:rFonts w:cs="Times New Roman"/>
          <w:bCs/>
        </w:rPr>
      </w:pPr>
      <w:bookmarkStart w:id="1135" w:name="_Ref13166"/>
      <w:bookmarkStart w:id="1136" w:name="_Toc10090"/>
      <w:bookmarkStart w:id="1137" w:name="_Toc161"/>
      <w:bookmarkStart w:id="1138" w:name="_Toc13615"/>
      <w:bookmarkStart w:id="1139" w:name="_Toc162360264"/>
      <w:bookmarkStart w:id="1140" w:name="_Toc24850"/>
      <w:bookmarkStart w:id="1141" w:name="_Toc21569"/>
      <w:bookmarkStart w:id="1142" w:name="_Toc3945"/>
      <w:r>
        <w:t xml:space="preserve">Figura </w:t>
      </w:r>
      <w:r>
        <w:fldChar w:fldCharType="begin"/>
      </w:r>
      <w:r>
        <w:instrText xml:space="preserve"> SEQ Figura \* ARABIC </w:instrText>
      </w:r>
      <w:r>
        <w:fldChar w:fldCharType="separate"/>
      </w:r>
      <w:r>
        <w:t>40</w:t>
      </w:r>
      <w:r>
        <w:fldChar w:fldCharType="end"/>
      </w:r>
      <w:bookmarkStart w:id="1143" w:name="_Toc26339"/>
      <w:bookmarkStart w:id="1144" w:name="_Toc6015"/>
      <w:bookmarkStart w:id="1145" w:name="_Toc24579"/>
      <w:bookmarkStart w:id="1146" w:name="_Toc27095"/>
      <w:bookmarkStart w:id="1147" w:name="_Toc18881"/>
      <w:bookmarkStart w:id="1148" w:name="_Toc3748"/>
      <w:bookmarkStart w:id="1149" w:name="_Toc27541"/>
      <w:bookmarkStart w:id="1150" w:name="_Toc9989"/>
      <w:bookmarkStart w:id="1151" w:name="_Toc8408"/>
      <w:bookmarkStart w:id="1152" w:name="_Toc7428"/>
      <w:bookmarkStart w:id="1153" w:name="_Toc6839"/>
      <w:bookmarkEnd w:id="1135"/>
      <w:r>
        <w:t xml:space="preserve"> - </w:t>
      </w:r>
      <w:r>
        <w:rPr>
          <w:rFonts w:cs="Times New Roman"/>
          <w:bCs/>
        </w:rPr>
        <w:t xml:space="preserve">Perete </w:t>
      </w:r>
      <w:r>
        <w:t>rezistent la foc (în continuarea pereților antifoc conform Art. 2.3.2.1.2) dispus la exterior,</w:t>
      </w:r>
      <w:r>
        <w:rPr>
          <w:rFonts w:cs="Times New Roman"/>
          <w:bCs/>
        </w:rPr>
        <w:t xml:space="preserve"> la colţurile intrânde ale clădirilor civile în formă de L, T sau U sub un unghi α,  α </w:t>
      </w:r>
      <w:r>
        <w:rPr>
          <w:rFonts w:ascii="Arial" w:hAnsi="Arial" w:cs="Arial"/>
          <w:bCs/>
        </w:rPr>
        <w:t>&gt;</w:t>
      </w:r>
      <w:r>
        <w:rPr>
          <w:rFonts w:cs="Times New Roman"/>
          <w:bCs/>
        </w:rPr>
        <w:t xml:space="preserve"> 135°</w:t>
      </w:r>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p>
    <w:p w14:paraId="5403D7E6" w14:textId="77777777" w:rsidR="001C08A5" w:rsidRDefault="00000000">
      <w:pPr>
        <w:pStyle w:val="ListParagraph"/>
        <w:widowControl w:val="0"/>
        <w:numPr>
          <w:ilvl w:val="0"/>
          <w:numId w:val="34"/>
        </w:numPr>
        <w:ind w:left="0" w:firstLine="630"/>
        <w:jc w:val="both"/>
      </w:pPr>
      <w:r>
        <w:t xml:space="preserve">În cazul în care pereţii antifoc sunt amplasaţi la colţurile intrânde ale construcţiilor de productie și depozitare în formă de </w:t>
      </w:r>
      <w:r>
        <w:rPr>
          <w:b/>
        </w:rPr>
        <w:t>L</w:t>
      </w:r>
      <w:r>
        <w:t xml:space="preserve">, </w:t>
      </w:r>
      <w:r>
        <w:rPr>
          <w:b/>
        </w:rPr>
        <w:t>T</w:t>
      </w:r>
      <w:r>
        <w:t xml:space="preserve"> sau </w:t>
      </w:r>
      <w:r>
        <w:rPr>
          <w:b/>
        </w:rPr>
        <w:t>U</w:t>
      </w:r>
      <w:r>
        <w:t xml:space="preserve">, golurile din pereţii exteriori adiacenţi se dispun astfel încât distanţa dintre ele să fie de cel puţin patru </w:t>
      </w:r>
      <w:r>
        <w:rPr>
          <w:b/>
        </w:rPr>
        <w:t xml:space="preserve">4 </w:t>
      </w:r>
      <w:r>
        <w:rPr>
          <w:bCs/>
        </w:rPr>
        <w:t>m</w:t>
      </w:r>
      <w:r>
        <w:rPr>
          <w:b/>
        </w:rPr>
        <w:t xml:space="preserve"> </w:t>
      </w:r>
      <w:r>
        <w:rPr>
          <w:bCs/>
        </w:rPr>
        <w:t xml:space="preserve">și trebuie îndeplinită doar performanța privind  rezistența la foc a peretelui exterior sau pereților exteriori pe distanța de </w:t>
      </w:r>
      <w:r>
        <w:rPr>
          <w:b/>
        </w:rPr>
        <w:t xml:space="preserve">4 </w:t>
      </w:r>
      <w:r>
        <w:rPr>
          <w:bCs/>
        </w:rPr>
        <w:t xml:space="preserve">m. </w:t>
      </w:r>
      <w:r>
        <w:rPr>
          <w:bCs/>
          <w:iCs/>
        </w:rPr>
        <w:t>Atunci când se prevăd goluri funcţionale în această porţiune</w:t>
      </w:r>
      <w:r>
        <w:t xml:space="preserve">, pereții exteriori precum și golurile funcţionale din această porţiune trebuie protejate cu elemente rezistente la foc în funcție de unghiul sub care sunt amplasaţi la colţurile intrânde ale construcţiilor, conform </w:t>
      </w:r>
      <w:r>
        <w:rPr>
          <w:rStyle w:val="CaptiontabelChar"/>
        </w:rPr>
        <w:fldChar w:fldCharType="begin"/>
      </w:r>
      <w:r>
        <w:rPr>
          <w:rStyle w:val="CaptiontabelChar"/>
        </w:rPr>
        <w:instrText xml:space="preserve"> REF _Ref27343 \h </w:instrText>
      </w:r>
      <w:r>
        <w:rPr>
          <w:rStyle w:val="CaptiontabelChar"/>
        </w:rPr>
      </w:r>
      <w:r>
        <w:rPr>
          <w:rStyle w:val="CaptiontabelChar"/>
        </w:rPr>
        <w:fldChar w:fldCharType="separate"/>
      </w:r>
      <w:r>
        <w:t>Tabelul 13</w:t>
      </w:r>
      <w:r>
        <w:rPr>
          <w:rStyle w:val="CaptiontabelChar"/>
        </w:rPr>
        <w:fldChar w:fldCharType="end"/>
      </w:r>
      <w:r>
        <w:t xml:space="preserve"> (sub un unghi </w:t>
      </w:r>
      <w:r>
        <w:rPr>
          <w:b/>
          <w:bCs/>
        </w:rPr>
        <w:t xml:space="preserve">α, α &lt; 90°, 90° ≤ α &lt; 135° </w:t>
      </w:r>
      <w:r>
        <w:t xml:space="preserve">sau </w:t>
      </w:r>
      <w:r>
        <w:rPr>
          <w:b/>
          <w:bCs/>
        </w:rPr>
        <w:t>90° ≤ α &lt; 135°</w:t>
      </w:r>
      <w:r>
        <w:t>)</w:t>
      </w:r>
    </w:p>
    <w:p w14:paraId="327E7131" w14:textId="77777777" w:rsidR="001C08A5" w:rsidRDefault="001C08A5">
      <w:pPr>
        <w:widowControl w:val="0"/>
        <w:jc w:val="both"/>
        <w:rPr>
          <w:b/>
          <w:sz w:val="24"/>
          <w:szCs w:val="24"/>
        </w:rPr>
      </w:pPr>
    </w:p>
    <w:p w14:paraId="37C92816" w14:textId="77777777" w:rsidR="001C08A5" w:rsidRDefault="00000000">
      <w:pPr>
        <w:pStyle w:val="Captiontabel"/>
      </w:pPr>
      <w:bookmarkStart w:id="1154" w:name="_Ref27343"/>
      <w:bookmarkStart w:id="1155" w:name="_Toc162360063"/>
      <w:bookmarkStart w:id="1156" w:name="_Ref23821"/>
      <w:r>
        <w:t xml:space="preserve">Tabelul </w:t>
      </w:r>
      <w:r>
        <w:fldChar w:fldCharType="begin"/>
      </w:r>
      <w:r>
        <w:instrText xml:space="preserve"> SEQ Tabelul \* ARABIC </w:instrText>
      </w:r>
      <w:r>
        <w:fldChar w:fldCharType="separate"/>
      </w:r>
      <w:r>
        <w:t>13</w:t>
      </w:r>
      <w:r>
        <w:fldChar w:fldCharType="end"/>
      </w:r>
      <w:bookmarkStart w:id="1157" w:name="_Toc3926"/>
      <w:bookmarkStart w:id="1158" w:name="_Toc26031"/>
      <w:bookmarkStart w:id="1159" w:name="_Toc31644"/>
      <w:bookmarkStart w:id="1160" w:name="_Toc5877"/>
      <w:bookmarkStart w:id="1161" w:name="_Toc13137"/>
      <w:bookmarkStart w:id="1162" w:name="_Toc1430"/>
      <w:bookmarkStart w:id="1163" w:name="_Toc4845"/>
      <w:bookmarkStart w:id="1164" w:name="_Toc13241"/>
      <w:bookmarkStart w:id="1165" w:name="_Toc22010"/>
      <w:bookmarkStart w:id="1166" w:name="_Toc13281"/>
      <w:bookmarkStart w:id="1167" w:name="_Toc5962"/>
      <w:bookmarkStart w:id="1168" w:name="_Toc10092"/>
      <w:bookmarkStart w:id="1169" w:name="_Toc1167"/>
      <w:bookmarkStart w:id="1170" w:name="_Toc15462"/>
      <w:bookmarkStart w:id="1171" w:name="_Toc22361"/>
      <w:bookmarkStart w:id="1172" w:name="_Toc30959"/>
      <w:bookmarkStart w:id="1173" w:name="_Toc27428"/>
      <w:bookmarkStart w:id="1174" w:name="_Toc6405"/>
      <w:bookmarkStart w:id="1175" w:name="_Toc10491"/>
      <w:bookmarkEnd w:id="1154"/>
      <w:r>
        <w:t>: Rezistența la foc a pereţilor din exterior și ale elementelor de închidere rezistente la foc ale golurilor funcţionale prevazute în pereţii de compartimentare (din exterior) amplasaţi la colţurile intrânde ale construcţiilor de productie și depozitare în formă de L, T sau U, unde golurile din pereţii exteriori adiacenţi sunt dispuse astfel încât distanţa dintre ele este mai mică de patru 4 m</w:t>
      </w:r>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p>
    <w:tbl>
      <w:tblPr>
        <w:tblpPr w:leftFromText="180" w:rightFromText="180" w:vertAnchor="text" w:horzAnchor="page" w:tblpX="1425" w:tblpY="27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5"/>
        <w:gridCol w:w="3091"/>
        <w:gridCol w:w="2739"/>
        <w:gridCol w:w="1784"/>
      </w:tblGrid>
      <w:tr w:rsidR="001C08A5" w14:paraId="63E997DD" w14:textId="77777777">
        <w:trPr>
          <w:tblHeader/>
        </w:trPr>
        <w:tc>
          <w:tcPr>
            <w:tcW w:w="2029" w:type="dxa"/>
            <w:shd w:val="clear" w:color="auto" w:fill="BFBFBF"/>
            <w:vAlign w:val="center"/>
          </w:tcPr>
          <w:p w14:paraId="3B13B22D" w14:textId="77777777" w:rsidR="001C08A5" w:rsidRDefault="00000000">
            <w:pPr>
              <w:jc w:val="center"/>
              <w:rPr>
                <w:b/>
                <w:bCs/>
                <w:i/>
                <w:iCs/>
                <w:sz w:val="22"/>
                <w:szCs w:val="22"/>
              </w:rPr>
            </w:pPr>
            <w:r>
              <w:rPr>
                <w:b/>
                <w:bCs/>
                <w:i/>
                <w:iCs/>
                <w:sz w:val="22"/>
                <w:szCs w:val="22"/>
              </w:rPr>
              <w:t xml:space="preserve">În cazul pereţilor antifoc  care separă compartimentele de incendiu </w:t>
            </w:r>
          </w:p>
        </w:tc>
        <w:tc>
          <w:tcPr>
            <w:tcW w:w="3183" w:type="dxa"/>
            <w:shd w:val="clear" w:color="auto" w:fill="BFBFBF"/>
            <w:vAlign w:val="center"/>
          </w:tcPr>
          <w:p w14:paraId="7DA74E8C" w14:textId="77777777" w:rsidR="001C08A5" w:rsidRDefault="00000000">
            <w:pPr>
              <w:jc w:val="center"/>
              <w:rPr>
                <w:i/>
                <w:iCs/>
                <w:sz w:val="22"/>
                <w:szCs w:val="22"/>
              </w:rPr>
            </w:pPr>
            <w:r>
              <w:rPr>
                <w:b/>
                <w:i/>
                <w:iCs/>
                <w:sz w:val="22"/>
                <w:szCs w:val="22"/>
              </w:rPr>
              <w:t>Densitatea sarcinii termice</w:t>
            </w:r>
            <w:r>
              <w:rPr>
                <w:b/>
                <w:bCs/>
                <w:i/>
                <w:iCs/>
                <w:sz w:val="22"/>
                <w:szCs w:val="22"/>
              </w:rPr>
              <w:t>(q) din încăperi perimetrale (pe o distanță mai mică de 4 m)/ construcție (MJ/m</w:t>
            </w:r>
            <w:r>
              <w:rPr>
                <w:b/>
                <w:bCs/>
                <w:i/>
                <w:iCs/>
                <w:sz w:val="22"/>
                <w:szCs w:val="22"/>
                <w:vertAlign w:val="superscript"/>
              </w:rPr>
              <w:t>2</w:t>
            </w:r>
            <w:r>
              <w:rPr>
                <w:b/>
                <w:bCs/>
                <w:i/>
                <w:iCs/>
                <w:sz w:val="22"/>
                <w:szCs w:val="22"/>
              </w:rPr>
              <w:t>)</w:t>
            </w:r>
          </w:p>
        </w:tc>
        <w:tc>
          <w:tcPr>
            <w:tcW w:w="2823" w:type="dxa"/>
            <w:shd w:val="clear" w:color="auto" w:fill="BFBFBF"/>
            <w:vAlign w:val="center"/>
          </w:tcPr>
          <w:p w14:paraId="167D47C6" w14:textId="77777777" w:rsidR="001C08A5" w:rsidRDefault="00000000">
            <w:pPr>
              <w:jc w:val="center"/>
              <w:rPr>
                <w:i/>
                <w:iCs/>
                <w:sz w:val="22"/>
                <w:szCs w:val="22"/>
              </w:rPr>
            </w:pPr>
            <w:r>
              <w:rPr>
                <w:b/>
                <w:i/>
                <w:iCs/>
                <w:sz w:val="22"/>
                <w:szCs w:val="22"/>
              </w:rPr>
              <w:t xml:space="preserve">Rezistenţa la foc (EI/REI) minimă a pereţilor din exterior </w:t>
            </w:r>
            <w:r>
              <w:rPr>
                <w:i/>
                <w:iCs/>
                <w:sz w:val="22"/>
                <w:szCs w:val="22"/>
              </w:rPr>
              <w:t xml:space="preserve">- </w:t>
            </w:r>
            <w:r>
              <w:rPr>
                <w:b/>
                <w:bCs/>
                <w:i/>
                <w:iCs/>
                <w:sz w:val="22"/>
                <w:szCs w:val="22"/>
              </w:rPr>
              <w:t>pe o distanță de minimum 4 m</w:t>
            </w:r>
          </w:p>
        </w:tc>
        <w:tc>
          <w:tcPr>
            <w:tcW w:w="1817" w:type="dxa"/>
            <w:shd w:val="clear" w:color="auto" w:fill="BFBFBF"/>
            <w:vAlign w:val="center"/>
          </w:tcPr>
          <w:p w14:paraId="5F373498" w14:textId="77777777" w:rsidR="001C08A5" w:rsidRDefault="00000000">
            <w:pPr>
              <w:jc w:val="center"/>
              <w:rPr>
                <w:b/>
                <w:i/>
                <w:iCs/>
                <w:sz w:val="22"/>
                <w:szCs w:val="22"/>
              </w:rPr>
            </w:pPr>
            <w:r>
              <w:rPr>
                <w:b/>
                <w:i/>
                <w:iCs/>
                <w:sz w:val="22"/>
                <w:szCs w:val="22"/>
              </w:rPr>
              <w:t xml:space="preserve">Elementul de inchidere rezistent la foc </w:t>
            </w:r>
            <w:r>
              <w:rPr>
                <w:b/>
                <w:i/>
                <w:iCs/>
                <w:vertAlign w:val="superscript"/>
              </w:rPr>
              <w:t>2)</w:t>
            </w:r>
          </w:p>
        </w:tc>
      </w:tr>
      <w:tr w:rsidR="001C08A5" w14:paraId="15B8C169" w14:textId="77777777">
        <w:trPr>
          <w:tblHeader/>
        </w:trPr>
        <w:tc>
          <w:tcPr>
            <w:tcW w:w="2029" w:type="dxa"/>
            <w:shd w:val="clear" w:color="auto" w:fill="BFBFBF"/>
            <w:vAlign w:val="center"/>
          </w:tcPr>
          <w:p w14:paraId="1373E1AA" w14:textId="77777777" w:rsidR="001C08A5" w:rsidRDefault="00000000">
            <w:pPr>
              <w:jc w:val="center"/>
              <w:rPr>
                <w:b/>
                <w:bCs/>
                <w:i/>
                <w:iCs/>
                <w:sz w:val="22"/>
                <w:szCs w:val="22"/>
              </w:rPr>
            </w:pPr>
            <w:r>
              <w:rPr>
                <w:b/>
                <w:bCs/>
                <w:i/>
                <w:iCs/>
                <w:sz w:val="22"/>
                <w:szCs w:val="22"/>
              </w:rPr>
              <w:t>1</w:t>
            </w:r>
          </w:p>
        </w:tc>
        <w:tc>
          <w:tcPr>
            <w:tcW w:w="3183" w:type="dxa"/>
            <w:shd w:val="clear" w:color="auto" w:fill="BFBFBF"/>
            <w:vAlign w:val="center"/>
          </w:tcPr>
          <w:p w14:paraId="5FA4EB35" w14:textId="77777777" w:rsidR="001C08A5" w:rsidRDefault="00000000">
            <w:pPr>
              <w:jc w:val="center"/>
              <w:rPr>
                <w:b/>
                <w:bCs/>
                <w:i/>
                <w:iCs/>
                <w:sz w:val="22"/>
                <w:szCs w:val="22"/>
              </w:rPr>
            </w:pPr>
            <w:r>
              <w:rPr>
                <w:b/>
                <w:bCs/>
                <w:i/>
                <w:iCs/>
                <w:sz w:val="22"/>
                <w:szCs w:val="22"/>
              </w:rPr>
              <w:t>2</w:t>
            </w:r>
          </w:p>
        </w:tc>
        <w:tc>
          <w:tcPr>
            <w:tcW w:w="2823" w:type="dxa"/>
            <w:shd w:val="clear" w:color="auto" w:fill="BFBFBF"/>
            <w:vAlign w:val="center"/>
          </w:tcPr>
          <w:p w14:paraId="54E02FC9" w14:textId="77777777" w:rsidR="001C08A5" w:rsidRDefault="00000000">
            <w:pPr>
              <w:jc w:val="center"/>
              <w:rPr>
                <w:b/>
                <w:i/>
                <w:iCs/>
                <w:sz w:val="22"/>
                <w:szCs w:val="22"/>
              </w:rPr>
            </w:pPr>
            <w:r>
              <w:rPr>
                <w:b/>
                <w:i/>
                <w:iCs/>
                <w:sz w:val="22"/>
                <w:szCs w:val="22"/>
              </w:rPr>
              <w:t>3</w:t>
            </w:r>
          </w:p>
        </w:tc>
        <w:tc>
          <w:tcPr>
            <w:tcW w:w="1817" w:type="dxa"/>
            <w:shd w:val="clear" w:color="auto" w:fill="BFBFBF"/>
            <w:vAlign w:val="center"/>
          </w:tcPr>
          <w:p w14:paraId="37962290" w14:textId="77777777" w:rsidR="001C08A5" w:rsidRDefault="00000000">
            <w:pPr>
              <w:jc w:val="center"/>
              <w:rPr>
                <w:b/>
                <w:i/>
                <w:iCs/>
                <w:sz w:val="22"/>
                <w:szCs w:val="22"/>
              </w:rPr>
            </w:pPr>
            <w:r>
              <w:rPr>
                <w:b/>
                <w:i/>
                <w:iCs/>
                <w:sz w:val="22"/>
                <w:szCs w:val="22"/>
              </w:rPr>
              <w:t>4</w:t>
            </w:r>
          </w:p>
        </w:tc>
      </w:tr>
      <w:tr w:rsidR="001C08A5" w14:paraId="23064456" w14:textId="77777777">
        <w:tc>
          <w:tcPr>
            <w:tcW w:w="9852" w:type="dxa"/>
            <w:gridSpan w:val="4"/>
            <w:shd w:val="clear" w:color="auto" w:fill="auto"/>
            <w:vAlign w:val="center"/>
          </w:tcPr>
          <w:p w14:paraId="6BE09D7A" w14:textId="77777777" w:rsidR="001C08A5" w:rsidRDefault="00000000">
            <w:pPr>
              <w:jc w:val="center"/>
              <w:rPr>
                <w:b/>
                <w:i/>
                <w:iCs/>
                <w:sz w:val="22"/>
                <w:szCs w:val="22"/>
              </w:rPr>
            </w:pPr>
            <w:r>
              <w:rPr>
                <w:b/>
                <w:i/>
                <w:iCs/>
                <w:sz w:val="24"/>
                <w:szCs w:val="24"/>
              </w:rPr>
              <w:t xml:space="preserve">Atunci când unghiul α, α </w:t>
            </w:r>
            <w:r>
              <w:rPr>
                <w:rFonts w:ascii="Arial" w:hAnsi="Arial" w:cs="Arial"/>
                <w:b/>
                <w:i/>
                <w:iCs/>
                <w:sz w:val="24"/>
                <w:szCs w:val="24"/>
              </w:rPr>
              <w:t>&lt;</w:t>
            </w:r>
            <w:r>
              <w:rPr>
                <w:b/>
                <w:i/>
                <w:iCs/>
                <w:sz w:val="24"/>
                <w:szCs w:val="24"/>
              </w:rPr>
              <w:t xml:space="preserve"> 90°</w:t>
            </w:r>
          </w:p>
        </w:tc>
      </w:tr>
      <w:tr w:rsidR="001C08A5" w14:paraId="45EB1516" w14:textId="77777777">
        <w:trPr>
          <w:trHeight w:val="237"/>
        </w:trPr>
        <w:tc>
          <w:tcPr>
            <w:tcW w:w="2029" w:type="dxa"/>
            <w:vMerge w:val="restart"/>
            <w:shd w:val="clear" w:color="auto" w:fill="auto"/>
            <w:vAlign w:val="center"/>
          </w:tcPr>
          <w:p w14:paraId="42786A30" w14:textId="77777777" w:rsidR="001C08A5" w:rsidRDefault="00000000">
            <w:pPr>
              <w:pStyle w:val="Contenutotabellacentrato"/>
              <w:keepNext/>
              <w:jc w:val="both"/>
              <w:rPr>
                <w:b/>
                <w:bCs/>
                <w:i/>
                <w:iCs/>
                <w:sz w:val="22"/>
                <w:szCs w:val="22"/>
              </w:rPr>
            </w:pPr>
            <w:r>
              <w:rPr>
                <w:i/>
                <w:iCs/>
                <w:sz w:val="22"/>
                <w:szCs w:val="22"/>
              </w:rPr>
              <w:t xml:space="preserve">Pentru construcțiile de productie și/ sau depozitare </w:t>
            </w:r>
            <w:r>
              <w:rPr>
                <w:b/>
                <w:i/>
                <w:iCs/>
                <w:sz w:val="22"/>
                <w:szCs w:val="22"/>
                <w:vertAlign w:val="superscript"/>
              </w:rPr>
              <w:t>1)</w:t>
            </w:r>
          </w:p>
        </w:tc>
        <w:tc>
          <w:tcPr>
            <w:tcW w:w="3183" w:type="dxa"/>
            <w:shd w:val="clear" w:color="auto" w:fill="auto"/>
            <w:vAlign w:val="center"/>
          </w:tcPr>
          <w:p w14:paraId="208E9033" w14:textId="77777777" w:rsidR="001C08A5" w:rsidRDefault="00000000">
            <w:pPr>
              <w:pStyle w:val="Contenutotabellacentrato"/>
              <w:rPr>
                <w:b/>
                <w:bCs/>
                <w:i/>
                <w:iCs/>
                <w:sz w:val="22"/>
                <w:szCs w:val="22"/>
              </w:rPr>
            </w:pPr>
            <w:r>
              <w:rPr>
                <w:b/>
                <w:bCs/>
                <w:i/>
                <w:iCs/>
                <w:sz w:val="22"/>
                <w:szCs w:val="22"/>
              </w:rPr>
              <w:t>pentru q ≤ 420 MJ/m</w:t>
            </w:r>
            <w:r>
              <w:rPr>
                <w:b/>
                <w:bCs/>
                <w:i/>
                <w:iCs/>
                <w:sz w:val="22"/>
                <w:szCs w:val="22"/>
                <w:vertAlign w:val="superscript"/>
              </w:rPr>
              <w:t>2</w:t>
            </w:r>
          </w:p>
        </w:tc>
        <w:tc>
          <w:tcPr>
            <w:tcW w:w="2823" w:type="dxa"/>
            <w:shd w:val="clear" w:color="auto" w:fill="auto"/>
            <w:vAlign w:val="center"/>
          </w:tcPr>
          <w:p w14:paraId="183EC96D" w14:textId="77777777" w:rsidR="001C08A5" w:rsidRDefault="00000000">
            <w:pPr>
              <w:pStyle w:val="Contenutotabellacentrato"/>
              <w:rPr>
                <w:b/>
                <w:bCs/>
                <w:i/>
                <w:iCs/>
                <w:sz w:val="22"/>
                <w:szCs w:val="22"/>
              </w:rPr>
            </w:pPr>
            <w:r>
              <w:rPr>
                <w:b/>
                <w:bCs/>
                <w:i/>
                <w:iCs/>
                <w:sz w:val="22"/>
                <w:szCs w:val="22"/>
              </w:rPr>
              <w:t>EI 30/REI 30</w:t>
            </w:r>
          </w:p>
          <w:p w14:paraId="3BC2065B" w14:textId="77777777" w:rsidR="001C08A5" w:rsidRDefault="00000000">
            <w:pPr>
              <w:pStyle w:val="Contenutotabellacentrato"/>
              <w:rPr>
                <w:b/>
                <w:bCs/>
                <w:i/>
                <w:iCs/>
                <w:sz w:val="22"/>
                <w:szCs w:val="22"/>
              </w:rPr>
            </w:pPr>
            <w:r>
              <w:rPr>
                <w:b/>
                <w:bCs/>
                <w:i/>
                <w:iCs/>
                <w:sz w:val="22"/>
                <w:szCs w:val="22"/>
              </w:rPr>
              <w:lastRenderedPageBreak/>
              <w:t>(EI 15/REI 15 *)</w:t>
            </w:r>
          </w:p>
        </w:tc>
        <w:tc>
          <w:tcPr>
            <w:tcW w:w="1817" w:type="dxa"/>
            <w:shd w:val="clear" w:color="auto" w:fill="auto"/>
            <w:vAlign w:val="center"/>
          </w:tcPr>
          <w:p w14:paraId="1D7AADE6" w14:textId="77777777" w:rsidR="001C08A5" w:rsidRDefault="00000000">
            <w:pPr>
              <w:pStyle w:val="Contenutotabellacentrato"/>
              <w:rPr>
                <w:b/>
                <w:i/>
                <w:iCs/>
                <w:sz w:val="22"/>
                <w:szCs w:val="22"/>
              </w:rPr>
            </w:pPr>
            <w:r>
              <w:rPr>
                <w:b/>
                <w:i/>
                <w:iCs/>
                <w:sz w:val="22"/>
                <w:szCs w:val="22"/>
              </w:rPr>
              <w:lastRenderedPageBreak/>
              <w:t>EI 15</w:t>
            </w:r>
          </w:p>
          <w:p w14:paraId="066E060F" w14:textId="77777777" w:rsidR="001C08A5" w:rsidRDefault="00000000">
            <w:pPr>
              <w:pStyle w:val="Contenutotabellacentrato"/>
              <w:rPr>
                <w:b/>
                <w:i/>
                <w:iCs/>
                <w:sz w:val="22"/>
                <w:szCs w:val="22"/>
              </w:rPr>
            </w:pPr>
            <w:r>
              <w:rPr>
                <w:b/>
                <w:i/>
                <w:iCs/>
                <w:sz w:val="22"/>
                <w:szCs w:val="22"/>
              </w:rPr>
              <w:lastRenderedPageBreak/>
              <w:t>(fixă)</w:t>
            </w:r>
          </w:p>
        </w:tc>
      </w:tr>
      <w:tr w:rsidR="001C08A5" w14:paraId="43CEEA67" w14:textId="77777777">
        <w:tc>
          <w:tcPr>
            <w:tcW w:w="2029" w:type="dxa"/>
            <w:vMerge/>
            <w:shd w:val="clear" w:color="auto" w:fill="auto"/>
            <w:vAlign w:val="center"/>
          </w:tcPr>
          <w:p w14:paraId="6694CA33" w14:textId="77777777" w:rsidR="001C08A5" w:rsidRDefault="001C08A5">
            <w:pPr>
              <w:pStyle w:val="Contenutotabellacentrato"/>
              <w:keepNext/>
              <w:rPr>
                <w:b/>
                <w:bCs/>
                <w:i/>
                <w:iCs/>
                <w:sz w:val="22"/>
                <w:szCs w:val="22"/>
              </w:rPr>
            </w:pPr>
          </w:p>
        </w:tc>
        <w:tc>
          <w:tcPr>
            <w:tcW w:w="3183" w:type="dxa"/>
            <w:shd w:val="clear" w:color="auto" w:fill="auto"/>
            <w:vAlign w:val="center"/>
          </w:tcPr>
          <w:p w14:paraId="751E053A" w14:textId="77777777" w:rsidR="001C08A5" w:rsidRDefault="00000000">
            <w:pPr>
              <w:pStyle w:val="Contenutotabellacentrato"/>
              <w:rPr>
                <w:b/>
                <w:bCs/>
                <w:i/>
                <w:iCs/>
                <w:sz w:val="22"/>
                <w:szCs w:val="22"/>
              </w:rPr>
            </w:pPr>
            <w:r>
              <w:rPr>
                <w:b/>
                <w:bCs/>
                <w:i/>
                <w:iCs/>
                <w:sz w:val="22"/>
                <w:szCs w:val="22"/>
              </w:rPr>
              <w:t>420 MJ/m</w:t>
            </w:r>
            <w:r>
              <w:rPr>
                <w:b/>
                <w:bCs/>
                <w:i/>
                <w:iCs/>
                <w:sz w:val="22"/>
                <w:szCs w:val="22"/>
                <w:vertAlign w:val="superscript"/>
              </w:rPr>
              <w:t xml:space="preserve">2 </w:t>
            </w:r>
            <w:r>
              <w:rPr>
                <w:b/>
                <w:bCs/>
                <w:i/>
                <w:iCs/>
                <w:sz w:val="22"/>
                <w:szCs w:val="22"/>
              </w:rPr>
              <w:t>&lt;q ≤ 630 MJ/m</w:t>
            </w:r>
            <w:r>
              <w:rPr>
                <w:b/>
                <w:bCs/>
                <w:i/>
                <w:iCs/>
                <w:sz w:val="22"/>
                <w:szCs w:val="22"/>
                <w:vertAlign w:val="superscript"/>
              </w:rPr>
              <w:t>2</w:t>
            </w:r>
          </w:p>
        </w:tc>
        <w:tc>
          <w:tcPr>
            <w:tcW w:w="2823" w:type="dxa"/>
            <w:shd w:val="clear" w:color="auto" w:fill="auto"/>
            <w:vAlign w:val="center"/>
          </w:tcPr>
          <w:p w14:paraId="1BBB8832" w14:textId="77777777" w:rsidR="001C08A5" w:rsidRDefault="00000000">
            <w:pPr>
              <w:pStyle w:val="Contenutotabellacentrato"/>
              <w:rPr>
                <w:b/>
                <w:bCs/>
                <w:i/>
                <w:iCs/>
                <w:sz w:val="22"/>
                <w:szCs w:val="22"/>
              </w:rPr>
            </w:pPr>
            <w:r>
              <w:rPr>
                <w:b/>
                <w:bCs/>
                <w:i/>
                <w:iCs/>
                <w:sz w:val="22"/>
                <w:szCs w:val="22"/>
              </w:rPr>
              <w:t>EI 45/REI 45</w:t>
            </w:r>
          </w:p>
          <w:p w14:paraId="04649F0A" w14:textId="77777777" w:rsidR="001C08A5" w:rsidRDefault="00000000">
            <w:pPr>
              <w:pStyle w:val="Contenutotabellacentrato"/>
              <w:rPr>
                <w:b/>
                <w:bCs/>
                <w:i/>
                <w:iCs/>
                <w:sz w:val="22"/>
                <w:szCs w:val="22"/>
              </w:rPr>
            </w:pPr>
            <w:r>
              <w:rPr>
                <w:b/>
                <w:bCs/>
                <w:i/>
                <w:iCs/>
                <w:sz w:val="22"/>
                <w:szCs w:val="22"/>
              </w:rPr>
              <w:t>(EI 30/REI 30 *)</w:t>
            </w:r>
          </w:p>
        </w:tc>
        <w:tc>
          <w:tcPr>
            <w:tcW w:w="1817" w:type="dxa"/>
            <w:shd w:val="clear" w:color="auto" w:fill="auto"/>
            <w:vAlign w:val="center"/>
          </w:tcPr>
          <w:p w14:paraId="2335F0F1" w14:textId="77777777" w:rsidR="001C08A5" w:rsidRDefault="00000000">
            <w:pPr>
              <w:pStyle w:val="Contenutotabellacentrato"/>
              <w:rPr>
                <w:b/>
                <w:i/>
                <w:iCs/>
                <w:sz w:val="22"/>
                <w:szCs w:val="22"/>
              </w:rPr>
            </w:pPr>
            <w:r>
              <w:rPr>
                <w:b/>
                <w:i/>
                <w:iCs/>
                <w:sz w:val="22"/>
                <w:szCs w:val="22"/>
              </w:rPr>
              <w:t>EI 30</w:t>
            </w:r>
          </w:p>
          <w:p w14:paraId="67690AC4" w14:textId="77777777" w:rsidR="001C08A5" w:rsidRDefault="00000000">
            <w:pPr>
              <w:pStyle w:val="Contenutotabellacentrato"/>
              <w:rPr>
                <w:b/>
                <w:i/>
                <w:iCs/>
                <w:sz w:val="22"/>
                <w:szCs w:val="22"/>
              </w:rPr>
            </w:pPr>
            <w:r>
              <w:rPr>
                <w:b/>
                <w:i/>
                <w:iCs/>
                <w:sz w:val="22"/>
                <w:szCs w:val="22"/>
              </w:rPr>
              <w:t>(EI 15*)</w:t>
            </w:r>
          </w:p>
        </w:tc>
      </w:tr>
      <w:tr w:rsidR="001C08A5" w14:paraId="0D5F65F0" w14:textId="77777777">
        <w:tc>
          <w:tcPr>
            <w:tcW w:w="2029" w:type="dxa"/>
            <w:vMerge/>
            <w:shd w:val="clear" w:color="auto" w:fill="auto"/>
            <w:vAlign w:val="center"/>
          </w:tcPr>
          <w:p w14:paraId="74034C27" w14:textId="77777777" w:rsidR="001C08A5" w:rsidRDefault="001C08A5">
            <w:pPr>
              <w:pStyle w:val="Contenutotabellacentrato"/>
              <w:keepNext/>
              <w:rPr>
                <w:b/>
                <w:bCs/>
                <w:i/>
                <w:iCs/>
                <w:sz w:val="22"/>
                <w:szCs w:val="22"/>
              </w:rPr>
            </w:pPr>
          </w:p>
        </w:tc>
        <w:tc>
          <w:tcPr>
            <w:tcW w:w="3183" w:type="dxa"/>
            <w:shd w:val="clear" w:color="auto" w:fill="auto"/>
            <w:vAlign w:val="center"/>
          </w:tcPr>
          <w:p w14:paraId="3D8D7319" w14:textId="77777777" w:rsidR="001C08A5" w:rsidRDefault="00000000">
            <w:pPr>
              <w:pStyle w:val="Contenutotabellacentrato"/>
              <w:rPr>
                <w:b/>
                <w:bCs/>
                <w:i/>
                <w:iCs/>
                <w:sz w:val="22"/>
                <w:szCs w:val="22"/>
              </w:rPr>
            </w:pPr>
            <w:r>
              <w:rPr>
                <w:b/>
                <w:bCs/>
                <w:i/>
                <w:iCs/>
                <w:sz w:val="22"/>
                <w:szCs w:val="22"/>
              </w:rPr>
              <w:t>630 MJ/m</w:t>
            </w:r>
            <w:r>
              <w:rPr>
                <w:b/>
                <w:bCs/>
                <w:i/>
                <w:iCs/>
                <w:sz w:val="22"/>
                <w:szCs w:val="22"/>
                <w:vertAlign w:val="superscript"/>
              </w:rPr>
              <w:t xml:space="preserve">2 </w:t>
            </w:r>
            <w:r>
              <w:rPr>
                <w:b/>
                <w:bCs/>
                <w:i/>
                <w:iCs/>
                <w:sz w:val="22"/>
                <w:szCs w:val="22"/>
              </w:rPr>
              <w:t>&lt;q ≤ 840 MJ/m</w:t>
            </w:r>
            <w:r>
              <w:rPr>
                <w:b/>
                <w:bCs/>
                <w:i/>
                <w:iCs/>
                <w:sz w:val="22"/>
                <w:szCs w:val="22"/>
                <w:vertAlign w:val="superscript"/>
              </w:rPr>
              <w:t>2</w:t>
            </w:r>
          </w:p>
        </w:tc>
        <w:tc>
          <w:tcPr>
            <w:tcW w:w="2823" w:type="dxa"/>
            <w:shd w:val="clear" w:color="auto" w:fill="auto"/>
            <w:vAlign w:val="center"/>
          </w:tcPr>
          <w:p w14:paraId="76855487" w14:textId="77777777" w:rsidR="001C08A5" w:rsidRDefault="00000000">
            <w:pPr>
              <w:pStyle w:val="Contenutotabellacentrato"/>
              <w:rPr>
                <w:b/>
                <w:bCs/>
                <w:i/>
                <w:iCs/>
                <w:sz w:val="22"/>
                <w:szCs w:val="22"/>
              </w:rPr>
            </w:pPr>
            <w:r>
              <w:rPr>
                <w:b/>
                <w:bCs/>
                <w:i/>
                <w:iCs/>
                <w:sz w:val="22"/>
                <w:szCs w:val="22"/>
              </w:rPr>
              <w:t xml:space="preserve">EI 60/REI 60 </w:t>
            </w:r>
          </w:p>
          <w:p w14:paraId="7408C610" w14:textId="77777777" w:rsidR="001C08A5" w:rsidRDefault="00000000">
            <w:pPr>
              <w:pStyle w:val="Contenutotabellacentrato"/>
              <w:rPr>
                <w:b/>
                <w:bCs/>
                <w:i/>
                <w:iCs/>
                <w:sz w:val="22"/>
                <w:szCs w:val="22"/>
              </w:rPr>
            </w:pPr>
            <w:r>
              <w:rPr>
                <w:b/>
                <w:bCs/>
                <w:i/>
                <w:iCs/>
                <w:sz w:val="22"/>
                <w:szCs w:val="22"/>
              </w:rPr>
              <w:t>(EI 45/REI 45 *)</w:t>
            </w:r>
          </w:p>
        </w:tc>
        <w:tc>
          <w:tcPr>
            <w:tcW w:w="1817" w:type="dxa"/>
            <w:shd w:val="clear" w:color="auto" w:fill="auto"/>
            <w:vAlign w:val="center"/>
          </w:tcPr>
          <w:p w14:paraId="0FA339F1" w14:textId="77777777" w:rsidR="001C08A5" w:rsidRDefault="00000000">
            <w:pPr>
              <w:pStyle w:val="Contenutotabellacentrato"/>
              <w:rPr>
                <w:b/>
                <w:i/>
                <w:iCs/>
                <w:sz w:val="22"/>
                <w:szCs w:val="22"/>
              </w:rPr>
            </w:pPr>
            <w:r>
              <w:rPr>
                <w:b/>
                <w:i/>
                <w:iCs/>
                <w:sz w:val="22"/>
                <w:szCs w:val="22"/>
              </w:rPr>
              <w:t>EI 45</w:t>
            </w:r>
          </w:p>
          <w:p w14:paraId="03F29C36" w14:textId="77777777" w:rsidR="001C08A5" w:rsidRDefault="00000000">
            <w:pPr>
              <w:pStyle w:val="Contenutotabellacentrato"/>
              <w:rPr>
                <w:b/>
                <w:i/>
                <w:iCs/>
                <w:sz w:val="22"/>
                <w:szCs w:val="22"/>
              </w:rPr>
            </w:pPr>
            <w:r>
              <w:rPr>
                <w:b/>
                <w:i/>
                <w:iCs/>
                <w:sz w:val="22"/>
                <w:szCs w:val="22"/>
              </w:rPr>
              <w:t>(EI 30*)</w:t>
            </w:r>
          </w:p>
        </w:tc>
      </w:tr>
      <w:tr w:rsidR="001C08A5" w14:paraId="2ACBFB30" w14:textId="77777777">
        <w:tc>
          <w:tcPr>
            <w:tcW w:w="2029" w:type="dxa"/>
            <w:vMerge/>
            <w:shd w:val="clear" w:color="auto" w:fill="auto"/>
            <w:vAlign w:val="center"/>
          </w:tcPr>
          <w:p w14:paraId="1FD66302" w14:textId="77777777" w:rsidR="001C08A5" w:rsidRDefault="001C08A5">
            <w:pPr>
              <w:pStyle w:val="Contenutotabellacentrato"/>
              <w:keepNext/>
              <w:rPr>
                <w:b/>
                <w:bCs/>
                <w:i/>
                <w:iCs/>
                <w:sz w:val="22"/>
                <w:szCs w:val="22"/>
              </w:rPr>
            </w:pPr>
          </w:p>
        </w:tc>
        <w:tc>
          <w:tcPr>
            <w:tcW w:w="3183" w:type="dxa"/>
            <w:shd w:val="clear" w:color="auto" w:fill="auto"/>
            <w:vAlign w:val="center"/>
          </w:tcPr>
          <w:p w14:paraId="7EA10DC1" w14:textId="77777777" w:rsidR="001C08A5" w:rsidRDefault="00000000">
            <w:pPr>
              <w:pStyle w:val="Contenutotabellacentrato"/>
              <w:rPr>
                <w:b/>
                <w:bCs/>
                <w:i/>
                <w:iCs/>
                <w:sz w:val="22"/>
                <w:szCs w:val="22"/>
              </w:rPr>
            </w:pPr>
            <w:r>
              <w:rPr>
                <w:b/>
                <w:bCs/>
                <w:i/>
                <w:iCs/>
                <w:sz w:val="22"/>
                <w:szCs w:val="22"/>
              </w:rPr>
              <w:t>840 MJ/m</w:t>
            </w:r>
            <w:r>
              <w:rPr>
                <w:b/>
                <w:bCs/>
                <w:i/>
                <w:iCs/>
                <w:sz w:val="22"/>
                <w:szCs w:val="22"/>
                <w:vertAlign w:val="superscript"/>
              </w:rPr>
              <w:t xml:space="preserve">2 </w:t>
            </w:r>
            <w:r>
              <w:rPr>
                <w:b/>
                <w:bCs/>
                <w:i/>
                <w:iCs/>
                <w:sz w:val="22"/>
                <w:szCs w:val="22"/>
              </w:rPr>
              <w:t>&lt;q ≤ 1 680 MJ/m</w:t>
            </w:r>
            <w:r>
              <w:rPr>
                <w:b/>
                <w:bCs/>
                <w:i/>
                <w:iCs/>
                <w:sz w:val="22"/>
                <w:szCs w:val="22"/>
                <w:vertAlign w:val="superscript"/>
              </w:rPr>
              <w:t>2</w:t>
            </w:r>
          </w:p>
        </w:tc>
        <w:tc>
          <w:tcPr>
            <w:tcW w:w="2823" w:type="dxa"/>
            <w:shd w:val="clear" w:color="auto" w:fill="auto"/>
            <w:vAlign w:val="center"/>
          </w:tcPr>
          <w:p w14:paraId="039990A4" w14:textId="77777777" w:rsidR="001C08A5" w:rsidRDefault="00000000">
            <w:pPr>
              <w:pStyle w:val="Contenutotabellacentrato"/>
              <w:rPr>
                <w:b/>
                <w:bCs/>
                <w:i/>
                <w:iCs/>
                <w:sz w:val="22"/>
                <w:szCs w:val="22"/>
              </w:rPr>
            </w:pPr>
            <w:r>
              <w:rPr>
                <w:b/>
                <w:bCs/>
                <w:i/>
                <w:iCs/>
                <w:sz w:val="22"/>
                <w:szCs w:val="22"/>
              </w:rPr>
              <w:t xml:space="preserve">EI 90/REI 90 </w:t>
            </w:r>
          </w:p>
          <w:p w14:paraId="354E89DE" w14:textId="77777777" w:rsidR="001C08A5" w:rsidRDefault="00000000">
            <w:pPr>
              <w:pStyle w:val="Contenutotabellacentrato"/>
              <w:rPr>
                <w:b/>
                <w:bCs/>
                <w:i/>
                <w:iCs/>
                <w:sz w:val="22"/>
                <w:szCs w:val="22"/>
              </w:rPr>
            </w:pPr>
            <w:r>
              <w:rPr>
                <w:b/>
                <w:bCs/>
                <w:i/>
                <w:iCs/>
                <w:sz w:val="22"/>
                <w:szCs w:val="22"/>
              </w:rPr>
              <w:t>(EI 60/REI 60 *)</w:t>
            </w:r>
          </w:p>
        </w:tc>
        <w:tc>
          <w:tcPr>
            <w:tcW w:w="1817" w:type="dxa"/>
            <w:shd w:val="clear" w:color="auto" w:fill="auto"/>
            <w:vAlign w:val="center"/>
          </w:tcPr>
          <w:p w14:paraId="210BDC85" w14:textId="77777777" w:rsidR="001C08A5" w:rsidRDefault="00000000">
            <w:pPr>
              <w:pStyle w:val="Contenutotabellacentrato"/>
              <w:rPr>
                <w:b/>
                <w:i/>
                <w:iCs/>
                <w:sz w:val="22"/>
                <w:szCs w:val="22"/>
              </w:rPr>
            </w:pPr>
            <w:r>
              <w:rPr>
                <w:b/>
                <w:i/>
                <w:iCs/>
                <w:sz w:val="22"/>
                <w:szCs w:val="22"/>
              </w:rPr>
              <w:t>EI 60</w:t>
            </w:r>
          </w:p>
          <w:p w14:paraId="5F17B01C" w14:textId="77777777" w:rsidR="001C08A5" w:rsidRDefault="00000000">
            <w:pPr>
              <w:pStyle w:val="Contenutotabellacentrato"/>
              <w:rPr>
                <w:b/>
                <w:i/>
                <w:iCs/>
                <w:sz w:val="22"/>
                <w:szCs w:val="22"/>
              </w:rPr>
            </w:pPr>
            <w:r>
              <w:rPr>
                <w:b/>
                <w:i/>
                <w:iCs/>
                <w:sz w:val="22"/>
                <w:szCs w:val="22"/>
              </w:rPr>
              <w:t>(EI 45*)</w:t>
            </w:r>
          </w:p>
        </w:tc>
      </w:tr>
      <w:tr w:rsidR="001C08A5" w14:paraId="1F86073D" w14:textId="77777777">
        <w:tc>
          <w:tcPr>
            <w:tcW w:w="2029" w:type="dxa"/>
            <w:vMerge/>
            <w:shd w:val="clear" w:color="auto" w:fill="auto"/>
            <w:vAlign w:val="center"/>
          </w:tcPr>
          <w:p w14:paraId="6E70322F" w14:textId="77777777" w:rsidR="001C08A5" w:rsidRDefault="001C08A5">
            <w:pPr>
              <w:pStyle w:val="Contenutotabellacentrato"/>
              <w:keepNext/>
              <w:rPr>
                <w:b/>
                <w:bCs/>
                <w:i/>
                <w:iCs/>
                <w:sz w:val="22"/>
                <w:szCs w:val="22"/>
              </w:rPr>
            </w:pPr>
          </w:p>
        </w:tc>
        <w:tc>
          <w:tcPr>
            <w:tcW w:w="3183" w:type="dxa"/>
            <w:shd w:val="clear" w:color="auto" w:fill="auto"/>
            <w:vAlign w:val="center"/>
          </w:tcPr>
          <w:p w14:paraId="6142156E" w14:textId="77777777" w:rsidR="001C08A5" w:rsidRDefault="00000000">
            <w:pPr>
              <w:pStyle w:val="Contenutotabellacentrato"/>
              <w:rPr>
                <w:b/>
                <w:bCs/>
                <w:i/>
                <w:iCs/>
                <w:sz w:val="22"/>
                <w:szCs w:val="22"/>
              </w:rPr>
            </w:pPr>
            <w:r>
              <w:rPr>
                <w:b/>
                <w:bCs/>
                <w:i/>
                <w:iCs/>
                <w:sz w:val="22"/>
                <w:szCs w:val="22"/>
              </w:rPr>
              <w:t>q &gt; 1 680 MJ/m</w:t>
            </w:r>
            <w:r>
              <w:rPr>
                <w:b/>
                <w:bCs/>
                <w:i/>
                <w:iCs/>
                <w:sz w:val="22"/>
                <w:szCs w:val="22"/>
                <w:vertAlign w:val="superscript"/>
              </w:rPr>
              <w:t xml:space="preserve">2 </w:t>
            </w:r>
            <w:r>
              <w:rPr>
                <w:i/>
                <w:iCs/>
                <w:sz w:val="22"/>
                <w:szCs w:val="22"/>
              </w:rPr>
              <w:t>şi/sau există pericol de explozie volumetrică)</w:t>
            </w:r>
          </w:p>
        </w:tc>
        <w:tc>
          <w:tcPr>
            <w:tcW w:w="2823" w:type="dxa"/>
            <w:shd w:val="clear" w:color="auto" w:fill="auto"/>
            <w:vAlign w:val="center"/>
          </w:tcPr>
          <w:p w14:paraId="3F3D0D94" w14:textId="77777777" w:rsidR="001C08A5" w:rsidRDefault="00000000">
            <w:pPr>
              <w:pStyle w:val="Contenutotabellacentrato"/>
              <w:rPr>
                <w:b/>
                <w:bCs/>
                <w:i/>
                <w:iCs/>
                <w:sz w:val="22"/>
                <w:szCs w:val="22"/>
              </w:rPr>
            </w:pPr>
            <w:r>
              <w:rPr>
                <w:b/>
                <w:bCs/>
                <w:i/>
                <w:iCs/>
                <w:sz w:val="22"/>
                <w:szCs w:val="22"/>
              </w:rPr>
              <w:t xml:space="preserve">EI 120/REI 120 </w:t>
            </w:r>
          </w:p>
          <w:p w14:paraId="243EC0D5" w14:textId="77777777" w:rsidR="001C08A5" w:rsidRDefault="00000000">
            <w:pPr>
              <w:pStyle w:val="Contenutotabellacentrato"/>
              <w:rPr>
                <w:b/>
                <w:bCs/>
                <w:i/>
                <w:iCs/>
                <w:sz w:val="22"/>
                <w:szCs w:val="22"/>
              </w:rPr>
            </w:pPr>
            <w:r>
              <w:rPr>
                <w:b/>
                <w:bCs/>
                <w:i/>
                <w:iCs/>
                <w:sz w:val="22"/>
                <w:szCs w:val="22"/>
              </w:rPr>
              <w:t>(EI 90/REI 90 *)</w:t>
            </w:r>
          </w:p>
        </w:tc>
        <w:tc>
          <w:tcPr>
            <w:tcW w:w="1817" w:type="dxa"/>
            <w:shd w:val="clear" w:color="auto" w:fill="auto"/>
            <w:vAlign w:val="center"/>
          </w:tcPr>
          <w:p w14:paraId="16786B98" w14:textId="77777777" w:rsidR="001C08A5" w:rsidRDefault="00000000">
            <w:pPr>
              <w:pStyle w:val="Contenutotabellacentrato"/>
              <w:rPr>
                <w:b/>
                <w:i/>
                <w:iCs/>
                <w:sz w:val="22"/>
                <w:szCs w:val="22"/>
              </w:rPr>
            </w:pPr>
            <w:r>
              <w:rPr>
                <w:b/>
                <w:i/>
                <w:iCs/>
                <w:sz w:val="22"/>
                <w:szCs w:val="22"/>
              </w:rPr>
              <w:t>EI 90</w:t>
            </w:r>
          </w:p>
          <w:p w14:paraId="24C4733F" w14:textId="77777777" w:rsidR="001C08A5" w:rsidRDefault="00000000">
            <w:pPr>
              <w:pStyle w:val="Contenutotabellacentrato"/>
              <w:rPr>
                <w:b/>
                <w:i/>
                <w:iCs/>
                <w:sz w:val="22"/>
                <w:szCs w:val="22"/>
              </w:rPr>
            </w:pPr>
            <w:r>
              <w:rPr>
                <w:b/>
                <w:i/>
                <w:iCs/>
                <w:sz w:val="22"/>
                <w:szCs w:val="22"/>
              </w:rPr>
              <w:t>(EI 60*)</w:t>
            </w:r>
          </w:p>
        </w:tc>
      </w:tr>
      <w:tr w:rsidR="001C08A5" w14:paraId="1E72E139" w14:textId="77777777">
        <w:tc>
          <w:tcPr>
            <w:tcW w:w="9852" w:type="dxa"/>
            <w:gridSpan w:val="4"/>
            <w:shd w:val="clear" w:color="auto" w:fill="auto"/>
            <w:vAlign w:val="center"/>
          </w:tcPr>
          <w:p w14:paraId="73D07058" w14:textId="77777777" w:rsidR="001C08A5" w:rsidRDefault="00000000">
            <w:pPr>
              <w:pStyle w:val="Contenutotabellacentrato"/>
              <w:rPr>
                <w:b/>
                <w:i/>
                <w:iCs/>
                <w:sz w:val="22"/>
                <w:szCs w:val="22"/>
              </w:rPr>
            </w:pPr>
            <w:r>
              <w:rPr>
                <w:b/>
                <w:i/>
                <w:iCs/>
                <w:sz w:val="24"/>
                <w:szCs w:val="24"/>
              </w:rPr>
              <w:t xml:space="preserve">Atunci când unghiul α, 90° </w:t>
            </w:r>
            <w:r>
              <w:rPr>
                <w:rFonts w:ascii="Arial" w:hAnsi="Arial" w:cs="Arial"/>
                <w:b/>
                <w:i/>
                <w:iCs/>
                <w:sz w:val="24"/>
                <w:szCs w:val="24"/>
              </w:rPr>
              <w:t>≤</w:t>
            </w:r>
            <w:r>
              <w:rPr>
                <w:b/>
                <w:i/>
                <w:iCs/>
                <w:sz w:val="24"/>
                <w:szCs w:val="24"/>
              </w:rPr>
              <w:t xml:space="preserve"> α </w:t>
            </w:r>
            <w:r>
              <w:rPr>
                <w:rFonts w:ascii="Arial" w:hAnsi="Arial" w:cs="Arial"/>
                <w:b/>
                <w:i/>
                <w:iCs/>
                <w:sz w:val="24"/>
                <w:szCs w:val="24"/>
              </w:rPr>
              <w:t>≤</w:t>
            </w:r>
            <w:r>
              <w:rPr>
                <w:b/>
                <w:i/>
                <w:iCs/>
                <w:sz w:val="24"/>
                <w:szCs w:val="24"/>
              </w:rPr>
              <w:t xml:space="preserve"> 135°</w:t>
            </w:r>
          </w:p>
        </w:tc>
      </w:tr>
      <w:tr w:rsidR="001C08A5" w14:paraId="0593719D" w14:textId="77777777">
        <w:tc>
          <w:tcPr>
            <w:tcW w:w="2029" w:type="dxa"/>
            <w:vMerge w:val="restart"/>
            <w:shd w:val="clear" w:color="auto" w:fill="auto"/>
            <w:vAlign w:val="center"/>
          </w:tcPr>
          <w:p w14:paraId="383707EC" w14:textId="77777777" w:rsidR="001C08A5" w:rsidRDefault="00000000">
            <w:pPr>
              <w:pStyle w:val="Contenutotabellacentrato"/>
              <w:keepNext/>
              <w:jc w:val="both"/>
              <w:rPr>
                <w:b/>
                <w:bCs/>
                <w:i/>
                <w:iCs/>
                <w:sz w:val="22"/>
                <w:szCs w:val="22"/>
              </w:rPr>
            </w:pPr>
            <w:r>
              <w:rPr>
                <w:i/>
                <w:iCs/>
                <w:sz w:val="22"/>
                <w:szCs w:val="22"/>
              </w:rPr>
              <w:t xml:space="preserve">Pentru construcțiile de productie și/ sau depozitare </w:t>
            </w:r>
            <w:r>
              <w:rPr>
                <w:b/>
                <w:i/>
                <w:iCs/>
                <w:sz w:val="22"/>
                <w:szCs w:val="22"/>
                <w:vertAlign w:val="superscript"/>
              </w:rPr>
              <w:t>1)</w:t>
            </w:r>
          </w:p>
        </w:tc>
        <w:tc>
          <w:tcPr>
            <w:tcW w:w="3183" w:type="dxa"/>
            <w:shd w:val="clear" w:color="auto" w:fill="auto"/>
            <w:vAlign w:val="center"/>
          </w:tcPr>
          <w:p w14:paraId="3237B5C3" w14:textId="77777777" w:rsidR="001C08A5" w:rsidRDefault="00000000">
            <w:pPr>
              <w:pStyle w:val="Contenutotabellacentrato"/>
              <w:rPr>
                <w:b/>
                <w:bCs/>
                <w:i/>
                <w:iCs/>
                <w:sz w:val="22"/>
                <w:szCs w:val="22"/>
              </w:rPr>
            </w:pPr>
            <w:r>
              <w:rPr>
                <w:b/>
                <w:bCs/>
                <w:i/>
                <w:iCs/>
                <w:sz w:val="22"/>
                <w:szCs w:val="22"/>
              </w:rPr>
              <w:t>pentru q ≤ 420 MJ/m</w:t>
            </w:r>
            <w:r>
              <w:rPr>
                <w:b/>
                <w:bCs/>
                <w:i/>
                <w:iCs/>
                <w:sz w:val="22"/>
                <w:szCs w:val="22"/>
                <w:vertAlign w:val="superscript"/>
              </w:rPr>
              <w:t>2</w:t>
            </w:r>
          </w:p>
        </w:tc>
        <w:tc>
          <w:tcPr>
            <w:tcW w:w="2823" w:type="dxa"/>
            <w:shd w:val="clear" w:color="auto" w:fill="auto"/>
            <w:vAlign w:val="center"/>
          </w:tcPr>
          <w:p w14:paraId="1E44C931" w14:textId="77777777" w:rsidR="001C08A5" w:rsidRDefault="00000000">
            <w:pPr>
              <w:pStyle w:val="Contenutotabellacentrato"/>
              <w:rPr>
                <w:b/>
                <w:bCs/>
                <w:i/>
                <w:iCs/>
                <w:sz w:val="22"/>
                <w:szCs w:val="22"/>
              </w:rPr>
            </w:pPr>
            <w:r>
              <w:rPr>
                <w:b/>
                <w:bCs/>
                <w:i/>
                <w:iCs/>
                <w:sz w:val="22"/>
                <w:szCs w:val="22"/>
              </w:rPr>
              <w:t xml:space="preserve">EI 15/REI 15 </w:t>
            </w:r>
          </w:p>
          <w:p w14:paraId="4FE71DFD" w14:textId="77777777" w:rsidR="001C08A5" w:rsidRDefault="001C08A5">
            <w:pPr>
              <w:pStyle w:val="Contenutotabellacentrato"/>
              <w:rPr>
                <w:b/>
                <w:bCs/>
                <w:i/>
                <w:iCs/>
                <w:sz w:val="22"/>
                <w:szCs w:val="22"/>
              </w:rPr>
            </w:pPr>
          </w:p>
        </w:tc>
        <w:tc>
          <w:tcPr>
            <w:tcW w:w="1817" w:type="dxa"/>
            <w:shd w:val="clear" w:color="auto" w:fill="auto"/>
            <w:vAlign w:val="center"/>
          </w:tcPr>
          <w:p w14:paraId="70764DCC" w14:textId="77777777" w:rsidR="001C08A5" w:rsidRDefault="00000000">
            <w:pPr>
              <w:pStyle w:val="Contenutotabellacentrato"/>
              <w:rPr>
                <w:b/>
                <w:i/>
                <w:iCs/>
                <w:sz w:val="22"/>
                <w:szCs w:val="22"/>
              </w:rPr>
            </w:pPr>
            <w:r>
              <w:rPr>
                <w:b/>
                <w:i/>
                <w:iCs/>
                <w:sz w:val="22"/>
                <w:szCs w:val="22"/>
              </w:rPr>
              <w:t>fixă</w:t>
            </w:r>
          </w:p>
        </w:tc>
      </w:tr>
      <w:tr w:rsidR="001C08A5" w14:paraId="3D079A58" w14:textId="77777777">
        <w:tc>
          <w:tcPr>
            <w:tcW w:w="2029" w:type="dxa"/>
            <w:vMerge/>
            <w:shd w:val="clear" w:color="auto" w:fill="auto"/>
            <w:vAlign w:val="center"/>
          </w:tcPr>
          <w:p w14:paraId="047A5A19" w14:textId="77777777" w:rsidR="001C08A5" w:rsidRDefault="001C08A5">
            <w:pPr>
              <w:pStyle w:val="Contenutotabellacentrato"/>
              <w:keepNext/>
              <w:rPr>
                <w:b/>
                <w:bCs/>
                <w:i/>
                <w:iCs/>
                <w:sz w:val="22"/>
                <w:szCs w:val="22"/>
              </w:rPr>
            </w:pPr>
          </w:p>
        </w:tc>
        <w:tc>
          <w:tcPr>
            <w:tcW w:w="3183" w:type="dxa"/>
            <w:shd w:val="clear" w:color="auto" w:fill="auto"/>
            <w:vAlign w:val="center"/>
          </w:tcPr>
          <w:p w14:paraId="64DF1E30" w14:textId="77777777" w:rsidR="001C08A5" w:rsidRDefault="00000000">
            <w:pPr>
              <w:pStyle w:val="Contenutotabellacentrato"/>
              <w:rPr>
                <w:b/>
                <w:bCs/>
                <w:i/>
                <w:iCs/>
                <w:sz w:val="22"/>
                <w:szCs w:val="22"/>
              </w:rPr>
            </w:pPr>
            <w:r>
              <w:rPr>
                <w:b/>
                <w:bCs/>
                <w:i/>
                <w:iCs/>
                <w:sz w:val="22"/>
                <w:szCs w:val="22"/>
              </w:rPr>
              <w:t>420 MJ/m</w:t>
            </w:r>
            <w:r>
              <w:rPr>
                <w:b/>
                <w:bCs/>
                <w:i/>
                <w:iCs/>
                <w:sz w:val="22"/>
                <w:szCs w:val="22"/>
                <w:vertAlign w:val="superscript"/>
              </w:rPr>
              <w:t xml:space="preserve">2 </w:t>
            </w:r>
            <w:r>
              <w:rPr>
                <w:b/>
                <w:bCs/>
                <w:i/>
                <w:iCs/>
                <w:sz w:val="22"/>
                <w:szCs w:val="22"/>
              </w:rPr>
              <w:t>&lt;q ≤ 630 MJ/m</w:t>
            </w:r>
            <w:r>
              <w:rPr>
                <w:b/>
                <w:bCs/>
                <w:i/>
                <w:iCs/>
                <w:sz w:val="22"/>
                <w:szCs w:val="22"/>
                <w:vertAlign w:val="superscript"/>
              </w:rPr>
              <w:t>2</w:t>
            </w:r>
          </w:p>
        </w:tc>
        <w:tc>
          <w:tcPr>
            <w:tcW w:w="2823" w:type="dxa"/>
            <w:shd w:val="clear" w:color="auto" w:fill="auto"/>
            <w:vAlign w:val="center"/>
          </w:tcPr>
          <w:p w14:paraId="5E95FE9D" w14:textId="77777777" w:rsidR="001C08A5" w:rsidRDefault="00000000">
            <w:pPr>
              <w:pStyle w:val="Contenutotabellacentrato"/>
              <w:rPr>
                <w:b/>
                <w:bCs/>
                <w:i/>
                <w:iCs/>
                <w:sz w:val="22"/>
                <w:szCs w:val="22"/>
              </w:rPr>
            </w:pPr>
            <w:r>
              <w:rPr>
                <w:b/>
                <w:bCs/>
                <w:i/>
                <w:iCs/>
                <w:sz w:val="22"/>
                <w:szCs w:val="22"/>
              </w:rPr>
              <w:t xml:space="preserve">EI 30/REI 30 </w:t>
            </w:r>
          </w:p>
          <w:p w14:paraId="3B55AB72" w14:textId="77777777" w:rsidR="001C08A5" w:rsidRDefault="00000000">
            <w:pPr>
              <w:pStyle w:val="Contenutotabellacentrato"/>
              <w:rPr>
                <w:b/>
                <w:bCs/>
                <w:i/>
                <w:iCs/>
                <w:sz w:val="22"/>
                <w:szCs w:val="22"/>
              </w:rPr>
            </w:pPr>
            <w:r>
              <w:rPr>
                <w:b/>
                <w:bCs/>
                <w:i/>
                <w:iCs/>
                <w:sz w:val="22"/>
                <w:szCs w:val="22"/>
              </w:rPr>
              <w:t>(EI 15/REI 15 *)</w:t>
            </w:r>
          </w:p>
        </w:tc>
        <w:tc>
          <w:tcPr>
            <w:tcW w:w="1817" w:type="dxa"/>
            <w:shd w:val="clear" w:color="auto" w:fill="auto"/>
            <w:vAlign w:val="center"/>
          </w:tcPr>
          <w:p w14:paraId="609F0928" w14:textId="77777777" w:rsidR="001C08A5" w:rsidRDefault="00000000">
            <w:pPr>
              <w:pStyle w:val="Contenutotabellacentrato"/>
              <w:rPr>
                <w:b/>
                <w:i/>
                <w:iCs/>
                <w:sz w:val="22"/>
                <w:szCs w:val="22"/>
              </w:rPr>
            </w:pPr>
            <w:r>
              <w:rPr>
                <w:b/>
                <w:i/>
                <w:iCs/>
                <w:sz w:val="22"/>
                <w:szCs w:val="22"/>
              </w:rPr>
              <w:t>EI 15</w:t>
            </w:r>
          </w:p>
          <w:p w14:paraId="502F2E14" w14:textId="77777777" w:rsidR="001C08A5" w:rsidRDefault="00000000">
            <w:pPr>
              <w:pStyle w:val="Contenutotabellacentrato"/>
              <w:rPr>
                <w:b/>
                <w:i/>
                <w:iCs/>
                <w:sz w:val="22"/>
                <w:szCs w:val="22"/>
              </w:rPr>
            </w:pPr>
            <w:r>
              <w:rPr>
                <w:b/>
                <w:i/>
                <w:iCs/>
                <w:sz w:val="22"/>
                <w:szCs w:val="22"/>
              </w:rPr>
              <w:t>(fixă)</w:t>
            </w:r>
          </w:p>
        </w:tc>
      </w:tr>
      <w:tr w:rsidR="001C08A5" w14:paraId="0C67922A" w14:textId="77777777">
        <w:tc>
          <w:tcPr>
            <w:tcW w:w="2029" w:type="dxa"/>
            <w:vMerge/>
            <w:shd w:val="clear" w:color="auto" w:fill="auto"/>
            <w:vAlign w:val="center"/>
          </w:tcPr>
          <w:p w14:paraId="67B8FD14" w14:textId="77777777" w:rsidR="001C08A5" w:rsidRDefault="001C08A5">
            <w:pPr>
              <w:pStyle w:val="Contenutotabellacentrato"/>
              <w:keepNext/>
              <w:rPr>
                <w:b/>
                <w:bCs/>
                <w:i/>
                <w:iCs/>
                <w:sz w:val="22"/>
                <w:szCs w:val="22"/>
              </w:rPr>
            </w:pPr>
          </w:p>
        </w:tc>
        <w:tc>
          <w:tcPr>
            <w:tcW w:w="3183" w:type="dxa"/>
            <w:shd w:val="clear" w:color="auto" w:fill="auto"/>
            <w:vAlign w:val="center"/>
          </w:tcPr>
          <w:p w14:paraId="3ED1E3AC" w14:textId="77777777" w:rsidR="001C08A5" w:rsidRDefault="00000000">
            <w:pPr>
              <w:pStyle w:val="Contenutotabellacentrato"/>
              <w:rPr>
                <w:b/>
                <w:bCs/>
                <w:i/>
                <w:iCs/>
                <w:sz w:val="22"/>
                <w:szCs w:val="22"/>
              </w:rPr>
            </w:pPr>
            <w:r>
              <w:rPr>
                <w:b/>
                <w:bCs/>
                <w:i/>
                <w:iCs/>
                <w:sz w:val="22"/>
                <w:szCs w:val="22"/>
              </w:rPr>
              <w:t>630 MJ/m</w:t>
            </w:r>
            <w:r>
              <w:rPr>
                <w:b/>
                <w:bCs/>
                <w:i/>
                <w:iCs/>
                <w:sz w:val="22"/>
                <w:szCs w:val="22"/>
                <w:vertAlign w:val="superscript"/>
              </w:rPr>
              <w:t xml:space="preserve">2 </w:t>
            </w:r>
            <w:r>
              <w:rPr>
                <w:b/>
                <w:bCs/>
                <w:i/>
                <w:iCs/>
                <w:sz w:val="22"/>
                <w:szCs w:val="22"/>
              </w:rPr>
              <w:t>&lt;q ≤ 840 MJ/m</w:t>
            </w:r>
            <w:r>
              <w:rPr>
                <w:b/>
                <w:bCs/>
                <w:i/>
                <w:iCs/>
                <w:sz w:val="22"/>
                <w:szCs w:val="22"/>
                <w:vertAlign w:val="superscript"/>
              </w:rPr>
              <w:t>2</w:t>
            </w:r>
          </w:p>
        </w:tc>
        <w:tc>
          <w:tcPr>
            <w:tcW w:w="2823" w:type="dxa"/>
            <w:shd w:val="clear" w:color="auto" w:fill="auto"/>
            <w:vAlign w:val="center"/>
          </w:tcPr>
          <w:p w14:paraId="15181D8C" w14:textId="77777777" w:rsidR="001C08A5" w:rsidRDefault="00000000">
            <w:pPr>
              <w:pStyle w:val="Contenutotabellacentrato"/>
              <w:rPr>
                <w:b/>
                <w:bCs/>
                <w:i/>
                <w:iCs/>
                <w:sz w:val="22"/>
                <w:szCs w:val="22"/>
              </w:rPr>
            </w:pPr>
            <w:r>
              <w:rPr>
                <w:b/>
                <w:bCs/>
                <w:i/>
                <w:iCs/>
                <w:sz w:val="22"/>
                <w:szCs w:val="22"/>
              </w:rPr>
              <w:t>EI 45/REI 45</w:t>
            </w:r>
          </w:p>
          <w:p w14:paraId="59323217" w14:textId="77777777" w:rsidR="001C08A5" w:rsidRDefault="00000000">
            <w:pPr>
              <w:pStyle w:val="Contenutotabellacentrato"/>
              <w:rPr>
                <w:b/>
                <w:bCs/>
                <w:i/>
                <w:iCs/>
                <w:sz w:val="22"/>
                <w:szCs w:val="22"/>
              </w:rPr>
            </w:pPr>
            <w:r>
              <w:rPr>
                <w:b/>
                <w:bCs/>
                <w:i/>
                <w:iCs/>
                <w:sz w:val="22"/>
                <w:szCs w:val="22"/>
              </w:rPr>
              <w:t>(EI 30/REI 30 *)</w:t>
            </w:r>
          </w:p>
        </w:tc>
        <w:tc>
          <w:tcPr>
            <w:tcW w:w="1817" w:type="dxa"/>
            <w:shd w:val="clear" w:color="auto" w:fill="auto"/>
            <w:vAlign w:val="center"/>
          </w:tcPr>
          <w:p w14:paraId="75B878F7" w14:textId="77777777" w:rsidR="001C08A5" w:rsidRDefault="00000000">
            <w:pPr>
              <w:pStyle w:val="Contenutotabellacentrato"/>
              <w:rPr>
                <w:b/>
                <w:i/>
                <w:iCs/>
                <w:sz w:val="22"/>
                <w:szCs w:val="22"/>
              </w:rPr>
            </w:pPr>
            <w:r>
              <w:rPr>
                <w:b/>
                <w:i/>
                <w:iCs/>
                <w:sz w:val="22"/>
                <w:szCs w:val="22"/>
              </w:rPr>
              <w:t>EI 30</w:t>
            </w:r>
          </w:p>
          <w:p w14:paraId="4105890D" w14:textId="77777777" w:rsidR="001C08A5" w:rsidRDefault="00000000">
            <w:pPr>
              <w:pStyle w:val="Contenutotabellacentrato"/>
              <w:rPr>
                <w:b/>
                <w:i/>
                <w:iCs/>
                <w:sz w:val="22"/>
                <w:szCs w:val="22"/>
              </w:rPr>
            </w:pPr>
            <w:r>
              <w:rPr>
                <w:b/>
                <w:i/>
                <w:iCs/>
                <w:sz w:val="22"/>
                <w:szCs w:val="22"/>
              </w:rPr>
              <w:t>(EI 15*)</w:t>
            </w:r>
          </w:p>
        </w:tc>
      </w:tr>
      <w:tr w:rsidR="001C08A5" w14:paraId="0B78CCFA" w14:textId="77777777">
        <w:tc>
          <w:tcPr>
            <w:tcW w:w="2029" w:type="dxa"/>
            <w:vMerge/>
            <w:shd w:val="clear" w:color="auto" w:fill="auto"/>
            <w:vAlign w:val="center"/>
          </w:tcPr>
          <w:p w14:paraId="7C5F11F2" w14:textId="77777777" w:rsidR="001C08A5" w:rsidRDefault="001C08A5">
            <w:pPr>
              <w:pStyle w:val="Contenutotabellacentrato"/>
              <w:keepNext/>
              <w:rPr>
                <w:b/>
                <w:bCs/>
                <w:i/>
                <w:iCs/>
                <w:sz w:val="22"/>
                <w:szCs w:val="22"/>
              </w:rPr>
            </w:pPr>
          </w:p>
        </w:tc>
        <w:tc>
          <w:tcPr>
            <w:tcW w:w="3183" w:type="dxa"/>
            <w:shd w:val="clear" w:color="auto" w:fill="auto"/>
            <w:vAlign w:val="center"/>
          </w:tcPr>
          <w:p w14:paraId="6640760F" w14:textId="77777777" w:rsidR="001C08A5" w:rsidRDefault="00000000">
            <w:pPr>
              <w:pStyle w:val="Contenutotabellacentrato"/>
              <w:rPr>
                <w:b/>
                <w:bCs/>
                <w:i/>
                <w:iCs/>
                <w:sz w:val="22"/>
                <w:szCs w:val="22"/>
              </w:rPr>
            </w:pPr>
            <w:r>
              <w:rPr>
                <w:b/>
                <w:bCs/>
                <w:i/>
                <w:iCs/>
                <w:sz w:val="22"/>
                <w:szCs w:val="22"/>
              </w:rPr>
              <w:t>840 MJ/m</w:t>
            </w:r>
            <w:r>
              <w:rPr>
                <w:b/>
                <w:bCs/>
                <w:i/>
                <w:iCs/>
                <w:sz w:val="22"/>
                <w:szCs w:val="22"/>
                <w:vertAlign w:val="superscript"/>
              </w:rPr>
              <w:t xml:space="preserve">2 </w:t>
            </w:r>
            <w:r>
              <w:rPr>
                <w:b/>
                <w:bCs/>
                <w:i/>
                <w:iCs/>
                <w:sz w:val="22"/>
                <w:szCs w:val="22"/>
              </w:rPr>
              <w:t>&lt;q ≤ 1 680 MJ/m</w:t>
            </w:r>
            <w:r>
              <w:rPr>
                <w:b/>
                <w:bCs/>
                <w:i/>
                <w:iCs/>
                <w:sz w:val="22"/>
                <w:szCs w:val="22"/>
                <w:vertAlign w:val="superscript"/>
              </w:rPr>
              <w:t>2</w:t>
            </w:r>
          </w:p>
        </w:tc>
        <w:tc>
          <w:tcPr>
            <w:tcW w:w="2823" w:type="dxa"/>
            <w:shd w:val="clear" w:color="auto" w:fill="auto"/>
            <w:vAlign w:val="center"/>
          </w:tcPr>
          <w:p w14:paraId="51FE151C" w14:textId="77777777" w:rsidR="001C08A5" w:rsidRDefault="00000000">
            <w:pPr>
              <w:pStyle w:val="Contenutotabellacentrato"/>
              <w:rPr>
                <w:b/>
                <w:bCs/>
                <w:i/>
                <w:iCs/>
                <w:sz w:val="22"/>
                <w:szCs w:val="22"/>
              </w:rPr>
            </w:pPr>
            <w:r>
              <w:rPr>
                <w:b/>
                <w:bCs/>
                <w:i/>
                <w:iCs/>
                <w:sz w:val="22"/>
                <w:szCs w:val="22"/>
              </w:rPr>
              <w:t xml:space="preserve">EI 60/REI 60 </w:t>
            </w:r>
          </w:p>
          <w:p w14:paraId="1B7CB016" w14:textId="77777777" w:rsidR="001C08A5" w:rsidRDefault="00000000">
            <w:pPr>
              <w:pStyle w:val="Contenutotabellacentrato"/>
              <w:rPr>
                <w:b/>
                <w:bCs/>
                <w:i/>
                <w:iCs/>
                <w:sz w:val="22"/>
                <w:szCs w:val="22"/>
              </w:rPr>
            </w:pPr>
            <w:r>
              <w:rPr>
                <w:b/>
                <w:bCs/>
                <w:i/>
                <w:iCs/>
                <w:sz w:val="22"/>
                <w:szCs w:val="22"/>
              </w:rPr>
              <w:t>(EI 45/REI 45 *)</w:t>
            </w:r>
          </w:p>
        </w:tc>
        <w:tc>
          <w:tcPr>
            <w:tcW w:w="1817" w:type="dxa"/>
            <w:shd w:val="clear" w:color="auto" w:fill="auto"/>
            <w:vAlign w:val="center"/>
          </w:tcPr>
          <w:p w14:paraId="197BF876" w14:textId="77777777" w:rsidR="001C08A5" w:rsidRDefault="00000000">
            <w:pPr>
              <w:pStyle w:val="Contenutotabellacentrato"/>
              <w:rPr>
                <w:b/>
                <w:i/>
                <w:iCs/>
                <w:sz w:val="22"/>
                <w:szCs w:val="22"/>
              </w:rPr>
            </w:pPr>
            <w:r>
              <w:rPr>
                <w:b/>
                <w:i/>
                <w:iCs/>
                <w:sz w:val="22"/>
                <w:szCs w:val="22"/>
              </w:rPr>
              <w:t>EI 45</w:t>
            </w:r>
          </w:p>
          <w:p w14:paraId="43F790BF" w14:textId="77777777" w:rsidR="001C08A5" w:rsidRDefault="00000000">
            <w:pPr>
              <w:pStyle w:val="Contenutotabellacentrato"/>
              <w:rPr>
                <w:b/>
                <w:i/>
                <w:iCs/>
                <w:sz w:val="22"/>
                <w:szCs w:val="22"/>
              </w:rPr>
            </w:pPr>
            <w:r>
              <w:rPr>
                <w:b/>
                <w:i/>
                <w:iCs/>
                <w:sz w:val="22"/>
                <w:szCs w:val="22"/>
              </w:rPr>
              <w:t>(EI 30*)</w:t>
            </w:r>
          </w:p>
        </w:tc>
      </w:tr>
      <w:tr w:rsidR="001C08A5" w14:paraId="21015B52" w14:textId="77777777">
        <w:tc>
          <w:tcPr>
            <w:tcW w:w="2029" w:type="dxa"/>
            <w:vMerge/>
            <w:shd w:val="clear" w:color="auto" w:fill="auto"/>
            <w:vAlign w:val="center"/>
          </w:tcPr>
          <w:p w14:paraId="345C4147" w14:textId="77777777" w:rsidR="001C08A5" w:rsidRDefault="001C08A5">
            <w:pPr>
              <w:pStyle w:val="Contenutotabellacentrato"/>
              <w:keepNext/>
              <w:rPr>
                <w:b/>
                <w:bCs/>
                <w:i/>
                <w:iCs/>
                <w:sz w:val="22"/>
                <w:szCs w:val="22"/>
              </w:rPr>
            </w:pPr>
          </w:p>
        </w:tc>
        <w:tc>
          <w:tcPr>
            <w:tcW w:w="3183" w:type="dxa"/>
            <w:shd w:val="clear" w:color="auto" w:fill="auto"/>
            <w:vAlign w:val="center"/>
          </w:tcPr>
          <w:p w14:paraId="52410BF2" w14:textId="77777777" w:rsidR="001C08A5" w:rsidRDefault="00000000">
            <w:pPr>
              <w:pStyle w:val="Contenutotabellacentrato"/>
              <w:rPr>
                <w:b/>
                <w:bCs/>
                <w:i/>
                <w:iCs/>
                <w:sz w:val="22"/>
                <w:szCs w:val="22"/>
              </w:rPr>
            </w:pPr>
            <w:r>
              <w:rPr>
                <w:b/>
                <w:bCs/>
                <w:i/>
                <w:iCs/>
                <w:sz w:val="22"/>
                <w:szCs w:val="22"/>
              </w:rPr>
              <w:t>q &gt; 1 680 MJ/m</w:t>
            </w:r>
            <w:r>
              <w:rPr>
                <w:b/>
                <w:bCs/>
                <w:i/>
                <w:iCs/>
                <w:sz w:val="22"/>
                <w:szCs w:val="22"/>
                <w:vertAlign w:val="superscript"/>
              </w:rPr>
              <w:t xml:space="preserve">2 </w:t>
            </w:r>
            <w:r>
              <w:rPr>
                <w:i/>
                <w:iCs/>
                <w:sz w:val="22"/>
                <w:szCs w:val="22"/>
              </w:rPr>
              <w:t>şi/sau există pericol de explozie volumetrică)</w:t>
            </w:r>
          </w:p>
        </w:tc>
        <w:tc>
          <w:tcPr>
            <w:tcW w:w="2823" w:type="dxa"/>
            <w:shd w:val="clear" w:color="auto" w:fill="auto"/>
            <w:vAlign w:val="center"/>
          </w:tcPr>
          <w:p w14:paraId="247423E0" w14:textId="77777777" w:rsidR="001C08A5" w:rsidRDefault="00000000">
            <w:pPr>
              <w:pStyle w:val="Contenutotabellacentrato"/>
              <w:rPr>
                <w:b/>
                <w:bCs/>
                <w:i/>
                <w:iCs/>
                <w:sz w:val="22"/>
                <w:szCs w:val="22"/>
              </w:rPr>
            </w:pPr>
            <w:r>
              <w:rPr>
                <w:b/>
                <w:bCs/>
                <w:i/>
                <w:iCs/>
                <w:sz w:val="22"/>
                <w:szCs w:val="22"/>
              </w:rPr>
              <w:t xml:space="preserve">EI 90/REI 90 </w:t>
            </w:r>
          </w:p>
          <w:p w14:paraId="1690FD81" w14:textId="77777777" w:rsidR="001C08A5" w:rsidRDefault="00000000">
            <w:pPr>
              <w:pStyle w:val="Contenutotabellacentrato"/>
              <w:rPr>
                <w:b/>
                <w:bCs/>
                <w:i/>
                <w:iCs/>
                <w:sz w:val="22"/>
                <w:szCs w:val="22"/>
              </w:rPr>
            </w:pPr>
            <w:r>
              <w:rPr>
                <w:b/>
                <w:bCs/>
                <w:i/>
                <w:iCs/>
                <w:sz w:val="22"/>
                <w:szCs w:val="22"/>
              </w:rPr>
              <w:t>(EI 60/REI 60 *)</w:t>
            </w:r>
          </w:p>
        </w:tc>
        <w:tc>
          <w:tcPr>
            <w:tcW w:w="1817" w:type="dxa"/>
            <w:shd w:val="clear" w:color="auto" w:fill="auto"/>
            <w:vAlign w:val="center"/>
          </w:tcPr>
          <w:p w14:paraId="5359E905" w14:textId="77777777" w:rsidR="001C08A5" w:rsidRDefault="00000000">
            <w:pPr>
              <w:pStyle w:val="Contenutotabellacentrato"/>
              <w:rPr>
                <w:b/>
                <w:i/>
                <w:iCs/>
                <w:sz w:val="22"/>
                <w:szCs w:val="22"/>
              </w:rPr>
            </w:pPr>
            <w:r>
              <w:rPr>
                <w:b/>
                <w:i/>
                <w:iCs/>
                <w:sz w:val="22"/>
                <w:szCs w:val="22"/>
              </w:rPr>
              <w:t>EI 60</w:t>
            </w:r>
          </w:p>
          <w:p w14:paraId="3B4D56A2" w14:textId="77777777" w:rsidR="001C08A5" w:rsidRDefault="00000000">
            <w:pPr>
              <w:pStyle w:val="Contenutotabellacentrato"/>
              <w:rPr>
                <w:b/>
                <w:i/>
                <w:iCs/>
                <w:sz w:val="22"/>
                <w:szCs w:val="22"/>
              </w:rPr>
            </w:pPr>
            <w:r>
              <w:rPr>
                <w:b/>
                <w:i/>
                <w:iCs/>
                <w:sz w:val="22"/>
                <w:szCs w:val="22"/>
              </w:rPr>
              <w:t>(EI 45*)</w:t>
            </w:r>
          </w:p>
        </w:tc>
      </w:tr>
      <w:tr w:rsidR="001C08A5" w14:paraId="7B7EF5C3" w14:textId="77777777">
        <w:tc>
          <w:tcPr>
            <w:tcW w:w="9852" w:type="dxa"/>
            <w:gridSpan w:val="4"/>
            <w:shd w:val="clear" w:color="auto" w:fill="auto"/>
            <w:vAlign w:val="center"/>
          </w:tcPr>
          <w:p w14:paraId="4C1923CB" w14:textId="77777777" w:rsidR="001C08A5" w:rsidRDefault="00000000">
            <w:pPr>
              <w:pStyle w:val="Contenutotabellacentrato"/>
              <w:rPr>
                <w:b/>
                <w:i/>
                <w:iCs/>
              </w:rPr>
            </w:pPr>
            <w:r>
              <w:rPr>
                <w:b/>
                <w:i/>
                <w:iCs/>
                <w:sz w:val="24"/>
                <w:szCs w:val="24"/>
              </w:rPr>
              <w:t xml:space="preserve">Atunci când unghiul α, α </w:t>
            </w:r>
            <w:r>
              <w:rPr>
                <w:rFonts w:ascii="Arial" w:hAnsi="Arial" w:cs="Arial"/>
                <w:b/>
                <w:i/>
                <w:iCs/>
                <w:sz w:val="24"/>
                <w:szCs w:val="24"/>
              </w:rPr>
              <w:t>&gt;</w:t>
            </w:r>
            <w:r>
              <w:rPr>
                <w:b/>
                <w:i/>
                <w:iCs/>
                <w:sz w:val="24"/>
                <w:szCs w:val="24"/>
              </w:rPr>
              <w:t>135°</w:t>
            </w:r>
          </w:p>
        </w:tc>
      </w:tr>
      <w:tr w:rsidR="001C08A5" w14:paraId="70A227B5" w14:textId="77777777">
        <w:tc>
          <w:tcPr>
            <w:tcW w:w="2029" w:type="dxa"/>
            <w:vMerge w:val="restart"/>
            <w:shd w:val="clear" w:color="auto" w:fill="auto"/>
            <w:vAlign w:val="center"/>
          </w:tcPr>
          <w:p w14:paraId="50A743EF" w14:textId="77777777" w:rsidR="001C08A5" w:rsidRDefault="00000000">
            <w:pPr>
              <w:pStyle w:val="Contenutotabellacentrato"/>
              <w:keepNext/>
              <w:jc w:val="both"/>
              <w:rPr>
                <w:b/>
                <w:bCs/>
                <w:i/>
                <w:iCs/>
                <w:sz w:val="22"/>
                <w:szCs w:val="22"/>
              </w:rPr>
            </w:pPr>
            <w:r>
              <w:rPr>
                <w:i/>
                <w:iCs/>
                <w:sz w:val="22"/>
                <w:szCs w:val="22"/>
              </w:rPr>
              <w:t xml:space="preserve">Pentru construcțiile de productie și/ sau depozitare </w:t>
            </w:r>
            <w:r>
              <w:rPr>
                <w:b/>
                <w:i/>
                <w:iCs/>
                <w:sz w:val="22"/>
                <w:szCs w:val="22"/>
                <w:vertAlign w:val="superscript"/>
              </w:rPr>
              <w:t>1)</w:t>
            </w:r>
          </w:p>
        </w:tc>
        <w:tc>
          <w:tcPr>
            <w:tcW w:w="3183" w:type="dxa"/>
            <w:shd w:val="clear" w:color="auto" w:fill="auto"/>
            <w:vAlign w:val="center"/>
          </w:tcPr>
          <w:p w14:paraId="3BE5F8AC" w14:textId="77777777" w:rsidR="001C08A5" w:rsidRDefault="00000000">
            <w:pPr>
              <w:pStyle w:val="Contenutotabellacentrato"/>
              <w:rPr>
                <w:b/>
                <w:bCs/>
                <w:i/>
                <w:iCs/>
                <w:sz w:val="22"/>
                <w:szCs w:val="22"/>
              </w:rPr>
            </w:pPr>
            <w:r>
              <w:rPr>
                <w:b/>
                <w:bCs/>
                <w:i/>
                <w:iCs/>
                <w:sz w:val="22"/>
                <w:szCs w:val="22"/>
              </w:rPr>
              <w:t>pentru q ≤ 420 MJ/m</w:t>
            </w:r>
            <w:r>
              <w:rPr>
                <w:b/>
                <w:bCs/>
                <w:i/>
                <w:iCs/>
                <w:sz w:val="22"/>
                <w:szCs w:val="22"/>
                <w:vertAlign w:val="superscript"/>
              </w:rPr>
              <w:t>2</w:t>
            </w:r>
          </w:p>
        </w:tc>
        <w:tc>
          <w:tcPr>
            <w:tcW w:w="2823" w:type="dxa"/>
            <w:shd w:val="clear" w:color="auto" w:fill="auto"/>
            <w:vAlign w:val="center"/>
          </w:tcPr>
          <w:p w14:paraId="0081B7F4" w14:textId="77777777" w:rsidR="001C08A5" w:rsidRDefault="00000000">
            <w:pPr>
              <w:pStyle w:val="Contenutotabellacentrato"/>
              <w:rPr>
                <w:b/>
                <w:bCs/>
                <w:i/>
                <w:iCs/>
                <w:sz w:val="22"/>
                <w:szCs w:val="22"/>
              </w:rPr>
            </w:pPr>
            <w:r>
              <w:rPr>
                <w:b/>
                <w:bCs/>
                <w:i/>
                <w:iCs/>
                <w:sz w:val="22"/>
                <w:szCs w:val="22"/>
              </w:rPr>
              <w:t xml:space="preserve">EI 15/REI 15 </w:t>
            </w:r>
          </w:p>
          <w:p w14:paraId="0B7ABA79" w14:textId="77777777" w:rsidR="001C08A5" w:rsidRDefault="001C08A5">
            <w:pPr>
              <w:pStyle w:val="Contenutotabellacentrato"/>
              <w:rPr>
                <w:b/>
                <w:bCs/>
                <w:i/>
                <w:iCs/>
                <w:sz w:val="22"/>
                <w:szCs w:val="22"/>
              </w:rPr>
            </w:pPr>
          </w:p>
        </w:tc>
        <w:tc>
          <w:tcPr>
            <w:tcW w:w="1817" w:type="dxa"/>
            <w:shd w:val="clear" w:color="auto" w:fill="auto"/>
            <w:vAlign w:val="center"/>
          </w:tcPr>
          <w:p w14:paraId="7E507B96" w14:textId="77777777" w:rsidR="001C08A5" w:rsidRDefault="00000000">
            <w:pPr>
              <w:pStyle w:val="Contenutotabellacentrato"/>
              <w:rPr>
                <w:b/>
                <w:i/>
                <w:iCs/>
                <w:sz w:val="22"/>
                <w:szCs w:val="22"/>
              </w:rPr>
            </w:pPr>
            <w:r>
              <w:rPr>
                <w:b/>
                <w:i/>
                <w:iCs/>
                <w:sz w:val="22"/>
                <w:szCs w:val="22"/>
              </w:rPr>
              <w:t>fixă</w:t>
            </w:r>
          </w:p>
        </w:tc>
      </w:tr>
      <w:tr w:rsidR="001C08A5" w14:paraId="249AF223" w14:textId="77777777">
        <w:tc>
          <w:tcPr>
            <w:tcW w:w="2029" w:type="dxa"/>
            <w:vMerge/>
            <w:shd w:val="clear" w:color="auto" w:fill="auto"/>
            <w:vAlign w:val="center"/>
          </w:tcPr>
          <w:p w14:paraId="17DA36E1" w14:textId="77777777" w:rsidR="001C08A5" w:rsidRDefault="001C08A5">
            <w:pPr>
              <w:pStyle w:val="Contenutotabellacentrato"/>
              <w:keepNext/>
              <w:rPr>
                <w:b/>
                <w:bCs/>
                <w:i/>
                <w:iCs/>
                <w:sz w:val="22"/>
                <w:szCs w:val="22"/>
              </w:rPr>
            </w:pPr>
          </w:p>
        </w:tc>
        <w:tc>
          <w:tcPr>
            <w:tcW w:w="3183" w:type="dxa"/>
            <w:shd w:val="clear" w:color="auto" w:fill="auto"/>
            <w:vAlign w:val="center"/>
          </w:tcPr>
          <w:p w14:paraId="29780D69" w14:textId="77777777" w:rsidR="001C08A5" w:rsidRDefault="00000000">
            <w:pPr>
              <w:pStyle w:val="Contenutotabellacentrato"/>
              <w:rPr>
                <w:b/>
                <w:bCs/>
                <w:i/>
                <w:iCs/>
                <w:sz w:val="22"/>
                <w:szCs w:val="22"/>
              </w:rPr>
            </w:pPr>
            <w:r>
              <w:rPr>
                <w:b/>
                <w:bCs/>
                <w:i/>
                <w:iCs/>
                <w:sz w:val="22"/>
                <w:szCs w:val="22"/>
              </w:rPr>
              <w:t>420 MJ/m</w:t>
            </w:r>
            <w:r>
              <w:rPr>
                <w:b/>
                <w:bCs/>
                <w:i/>
                <w:iCs/>
                <w:sz w:val="22"/>
                <w:szCs w:val="22"/>
                <w:vertAlign w:val="superscript"/>
              </w:rPr>
              <w:t xml:space="preserve">2 </w:t>
            </w:r>
            <w:r>
              <w:rPr>
                <w:b/>
                <w:bCs/>
                <w:i/>
                <w:iCs/>
                <w:sz w:val="22"/>
                <w:szCs w:val="22"/>
              </w:rPr>
              <w:t>&lt;q ≤ 630 MJ/m</w:t>
            </w:r>
            <w:r>
              <w:rPr>
                <w:b/>
                <w:bCs/>
                <w:i/>
                <w:iCs/>
                <w:sz w:val="22"/>
                <w:szCs w:val="22"/>
                <w:vertAlign w:val="superscript"/>
              </w:rPr>
              <w:t>2</w:t>
            </w:r>
          </w:p>
        </w:tc>
        <w:tc>
          <w:tcPr>
            <w:tcW w:w="2823" w:type="dxa"/>
            <w:shd w:val="clear" w:color="auto" w:fill="auto"/>
            <w:vAlign w:val="center"/>
          </w:tcPr>
          <w:p w14:paraId="7DA74D68" w14:textId="77777777" w:rsidR="001C08A5" w:rsidRDefault="00000000">
            <w:pPr>
              <w:pStyle w:val="Contenutotabellacentrato"/>
              <w:rPr>
                <w:b/>
                <w:bCs/>
                <w:i/>
                <w:iCs/>
                <w:sz w:val="22"/>
                <w:szCs w:val="22"/>
              </w:rPr>
            </w:pPr>
            <w:r>
              <w:rPr>
                <w:b/>
                <w:bCs/>
                <w:i/>
                <w:iCs/>
                <w:sz w:val="22"/>
                <w:szCs w:val="22"/>
              </w:rPr>
              <w:t xml:space="preserve">EI 15/REI 15 </w:t>
            </w:r>
          </w:p>
          <w:p w14:paraId="16518DF0" w14:textId="77777777" w:rsidR="001C08A5" w:rsidRDefault="001C08A5">
            <w:pPr>
              <w:pStyle w:val="Contenutotabellacentrato"/>
              <w:rPr>
                <w:b/>
                <w:bCs/>
                <w:i/>
                <w:iCs/>
                <w:sz w:val="22"/>
                <w:szCs w:val="22"/>
              </w:rPr>
            </w:pPr>
          </w:p>
        </w:tc>
        <w:tc>
          <w:tcPr>
            <w:tcW w:w="1817" w:type="dxa"/>
            <w:shd w:val="clear" w:color="auto" w:fill="auto"/>
            <w:vAlign w:val="center"/>
          </w:tcPr>
          <w:p w14:paraId="51BEED1A" w14:textId="77777777" w:rsidR="001C08A5" w:rsidRDefault="00000000">
            <w:pPr>
              <w:pStyle w:val="Contenutotabellacentrato"/>
              <w:rPr>
                <w:b/>
                <w:i/>
                <w:iCs/>
                <w:sz w:val="22"/>
                <w:szCs w:val="22"/>
              </w:rPr>
            </w:pPr>
            <w:r>
              <w:rPr>
                <w:b/>
                <w:i/>
                <w:iCs/>
                <w:sz w:val="22"/>
                <w:szCs w:val="22"/>
              </w:rPr>
              <w:t>fixă</w:t>
            </w:r>
          </w:p>
        </w:tc>
      </w:tr>
      <w:tr w:rsidR="001C08A5" w14:paraId="21027CDE" w14:textId="77777777">
        <w:tc>
          <w:tcPr>
            <w:tcW w:w="2029" w:type="dxa"/>
            <w:vMerge/>
            <w:shd w:val="clear" w:color="auto" w:fill="auto"/>
            <w:vAlign w:val="center"/>
          </w:tcPr>
          <w:p w14:paraId="6747ED92" w14:textId="77777777" w:rsidR="001C08A5" w:rsidRDefault="001C08A5">
            <w:pPr>
              <w:pStyle w:val="Contenutotabellacentrato"/>
              <w:keepNext/>
              <w:rPr>
                <w:b/>
                <w:bCs/>
                <w:i/>
                <w:iCs/>
                <w:sz w:val="22"/>
                <w:szCs w:val="22"/>
              </w:rPr>
            </w:pPr>
          </w:p>
        </w:tc>
        <w:tc>
          <w:tcPr>
            <w:tcW w:w="3183" w:type="dxa"/>
            <w:shd w:val="clear" w:color="auto" w:fill="auto"/>
            <w:vAlign w:val="center"/>
          </w:tcPr>
          <w:p w14:paraId="4D71F778" w14:textId="77777777" w:rsidR="001C08A5" w:rsidRDefault="00000000">
            <w:pPr>
              <w:pStyle w:val="Contenutotabellacentrato"/>
              <w:rPr>
                <w:b/>
                <w:bCs/>
                <w:i/>
                <w:iCs/>
                <w:sz w:val="22"/>
                <w:szCs w:val="22"/>
              </w:rPr>
            </w:pPr>
            <w:r>
              <w:rPr>
                <w:b/>
                <w:bCs/>
                <w:i/>
                <w:iCs/>
                <w:sz w:val="22"/>
                <w:szCs w:val="22"/>
              </w:rPr>
              <w:t>630 MJ/m</w:t>
            </w:r>
            <w:r>
              <w:rPr>
                <w:b/>
                <w:bCs/>
                <w:i/>
                <w:iCs/>
                <w:sz w:val="22"/>
                <w:szCs w:val="22"/>
                <w:vertAlign w:val="superscript"/>
              </w:rPr>
              <w:t xml:space="preserve">2 </w:t>
            </w:r>
            <w:r>
              <w:rPr>
                <w:b/>
                <w:bCs/>
                <w:i/>
                <w:iCs/>
                <w:sz w:val="22"/>
                <w:szCs w:val="22"/>
              </w:rPr>
              <w:t>&lt;q ≤ 840 MJ/m</w:t>
            </w:r>
            <w:r>
              <w:rPr>
                <w:b/>
                <w:bCs/>
                <w:i/>
                <w:iCs/>
                <w:sz w:val="22"/>
                <w:szCs w:val="22"/>
                <w:vertAlign w:val="superscript"/>
              </w:rPr>
              <w:t>2</w:t>
            </w:r>
          </w:p>
        </w:tc>
        <w:tc>
          <w:tcPr>
            <w:tcW w:w="2823" w:type="dxa"/>
            <w:shd w:val="clear" w:color="auto" w:fill="auto"/>
            <w:vAlign w:val="center"/>
          </w:tcPr>
          <w:p w14:paraId="282F92FB" w14:textId="77777777" w:rsidR="001C08A5" w:rsidRDefault="00000000">
            <w:pPr>
              <w:pStyle w:val="Contenutotabellacentrato"/>
              <w:rPr>
                <w:b/>
                <w:bCs/>
                <w:i/>
                <w:iCs/>
                <w:sz w:val="22"/>
                <w:szCs w:val="22"/>
              </w:rPr>
            </w:pPr>
            <w:r>
              <w:rPr>
                <w:b/>
                <w:bCs/>
                <w:i/>
                <w:iCs/>
                <w:sz w:val="22"/>
                <w:szCs w:val="22"/>
              </w:rPr>
              <w:t xml:space="preserve">EI 30/REI 30 </w:t>
            </w:r>
          </w:p>
          <w:p w14:paraId="44267F99" w14:textId="77777777" w:rsidR="001C08A5" w:rsidRDefault="00000000">
            <w:pPr>
              <w:pStyle w:val="Contenutotabellacentrato"/>
              <w:rPr>
                <w:b/>
                <w:bCs/>
                <w:i/>
                <w:iCs/>
                <w:sz w:val="22"/>
                <w:szCs w:val="22"/>
              </w:rPr>
            </w:pPr>
            <w:r>
              <w:rPr>
                <w:b/>
                <w:bCs/>
                <w:i/>
                <w:iCs/>
                <w:sz w:val="22"/>
                <w:szCs w:val="22"/>
              </w:rPr>
              <w:t>(EI 15/REI 15 *)</w:t>
            </w:r>
          </w:p>
        </w:tc>
        <w:tc>
          <w:tcPr>
            <w:tcW w:w="1817" w:type="dxa"/>
            <w:shd w:val="clear" w:color="auto" w:fill="auto"/>
            <w:vAlign w:val="center"/>
          </w:tcPr>
          <w:p w14:paraId="13F9F750" w14:textId="77777777" w:rsidR="001C08A5" w:rsidRDefault="00000000">
            <w:pPr>
              <w:pStyle w:val="Contenutotabellacentrato"/>
              <w:rPr>
                <w:b/>
                <w:i/>
                <w:iCs/>
                <w:sz w:val="22"/>
                <w:szCs w:val="22"/>
              </w:rPr>
            </w:pPr>
            <w:r>
              <w:rPr>
                <w:b/>
                <w:i/>
                <w:iCs/>
                <w:sz w:val="22"/>
                <w:szCs w:val="22"/>
              </w:rPr>
              <w:t>EI 15</w:t>
            </w:r>
          </w:p>
          <w:p w14:paraId="77916CA9" w14:textId="77777777" w:rsidR="001C08A5" w:rsidRDefault="00000000">
            <w:pPr>
              <w:pStyle w:val="Contenutotabellacentrato"/>
              <w:rPr>
                <w:b/>
                <w:i/>
                <w:iCs/>
                <w:sz w:val="22"/>
                <w:szCs w:val="22"/>
              </w:rPr>
            </w:pPr>
            <w:r>
              <w:rPr>
                <w:b/>
                <w:i/>
                <w:iCs/>
                <w:sz w:val="22"/>
                <w:szCs w:val="22"/>
              </w:rPr>
              <w:t>(fixă)</w:t>
            </w:r>
          </w:p>
        </w:tc>
      </w:tr>
      <w:tr w:rsidR="001C08A5" w14:paraId="54BC0D56" w14:textId="77777777">
        <w:tc>
          <w:tcPr>
            <w:tcW w:w="2029" w:type="dxa"/>
            <w:vMerge/>
            <w:shd w:val="clear" w:color="auto" w:fill="auto"/>
            <w:vAlign w:val="center"/>
          </w:tcPr>
          <w:p w14:paraId="777D12A8" w14:textId="77777777" w:rsidR="001C08A5" w:rsidRDefault="001C08A5">
            <w:pPr>
              <w:pStyle w:val="Contenutotabellacentrato"/>
              <w:keepNext/>
              <w:rPr>
                <w:b/>
                <w:bCs/>
                <w:i/>
                <w:iCs/>
                <w:sz w:val="22"/>
                <w:szCs w:val="22"/>
              </w:rPr>
            </w:pPr>
          </w:p>
        </w:tc>
        <w:tc>
          <w:tcPr>
            <w:tcW w:w="3183" w:type="dxa"/>
            <w:shd w:val="clear" w:color="auto" w:fill="auto"/>
            <w:vAlign w:val="center"/>
          </w:tcPr>
          <w:p w14:paraId="1441B836" w14:textId="77777777" w:rsidR="001C08A5" w:rsidRDefault="00000000">
            <w:pPr>
              <w:pStyle w:val="Contenutotabellacentrato"/>
              <w:rPr>
                <w:b/>
                <w:bCs/>
                <w:i/>
                <w:iCs/>
                <w:sz w:val="22"/>
                <w:szCs w:val="22"/>
              </w:rPr>
            </w:pPr>
            <w:r>
              <w:rPr>
                <w:b/>
                <w:bCs/>
                <w:i/>
                <w:iCs/>
                <w:sz w:val="22"/>
                <w:szCs w:val="22"/>
              </w:rPr>
              <w:t>840 MJ/m</w:t>
            </w:r>
            <w:r>
              <w:rPr>
                <w:b/>
                <w:bCs/>
                <w:i/>
                <w:iCs/>
                <w:sz w:val="22"/>
                <w:szCs w:val="22"/>
                <w:vertAlign w:val="superscript"/>
              </w:rPr>
              <w:t xml:space="preserve">2 </w:t>
            </w:r>
            <w:r>
              <w:rPr>
                <w:b/>
                <w:bCs/>
                <w:i/>
                <w:iCs/>
                <w:sz w:val="22"/>
                <w:szCs w:val="22"/>
              </w:rPr>
              <w:t>&lt;q ≤ 1 680 MJ/m</w:t>
            </w:r>
            <w:r>
              <w:rPr>
                <w:b/>
                <w:bCs/>
                <w:i/>
                <w:iCs/>
                <w:sz w:val="22"/>
                <w:szCs w:val="22"/>
                <w:vertAlign w:val="superscript"/>
              </w:rPr>
              <w:t>2</w:t>
            </w:r>
          </w:p>
        </w:tc>
        <w:tc>
          <w:tcPr>
            <w:tcW w:w="2823" w:type="dxa"/>
            <w:shd w:val="clear" w:color="auto" w:fill="auto"/>
            <w:vAlign w:val="center"/>
          </w:tcPr>
          <w:p w14:paraId="3844A8CA" w14:textId="77777777" w:rsidR="001C08A5" w:rsidRDefault="00000000">
            <w:pPr>
              <w:pStyle w:val="Contenutotabellacentrato"/>
              <w:rPr>
                <w:b/>
                <w:bCs/>
                <w:i/>
                <w:iCs/>
                <w:sz w:val="22"/>
                <w:szCs w:val="22"/>
              </w:rPr>
            </w:pPr>
            <w:r>
              <w:rPr>
                <w:b/>
                <w:bCs/>
                <w:i/>
                <w:iCs/>
                <w:sz w:val="22"/>
                <w:szCs w:val="22"/>
              </w:rPr>
              <w:t>EI 45/REI 45</w:t>
            </w:r>
          </w:p>
          <w:p w14:paraId="3D0C1790" w14:textId="77777777" w:rsidR="001C08A5" w:rsidRDefault="00000000">
            <w:pPr>
              <w:pStyle w:val="Contenutotabellacentrato"/>
              <w:rPr>
                <w:b/>
                <w:bCs/>
                <w:i/>
                <w:iCs/>
                <w:sz w:val="22"/>
                <w:szCs w:val="22"/>
              </w:rPr>
            </w:pPr>
            <w:r>
              <w:rPr>
                <w:b/>
                <w:bCs/>
                <w:i/>
                <w:iCs/>
                <w:sz w:val="22"/>
                <w:szCs w:val="22"/>
              </w:rPr>
              <w:t>(EI 30/REI 30 *)</w:t>
            </w:r>
          </w:p>
        </w:tc>
        <w:tc>
          <w:tcPr>
            <w:tcW w:w="1817" w:type="dxa"/>
            <w:shd w:val="clear" w:color="auto" w:fill="auto"/>
            <w:vAlign w:val="center"/>
          </w:tcPr>
          <w:p w14:paraId="13F0C269" w14:textId="77777777" w:rsidR="001C08A5" w:rsidRDefault="00000000">
            <w:pPr>
              <w:pStyle w:val="Contenutotabellacentrato"/>
              <w:rPr>
                <w:b/>
                <w:i/>
                <w:iCs/>
                <w:sz w:val="22"/>
                <w:szCs w:val="22"/>
              </w:rPr>
            </w:pPr>
            <w:r>
              <w:rPr>
                <w:b/>
                <w:i/>
                <w:iCs/>
                <w:sz w:val="22"/>
                <w:szCs w:val="22"/>
              </w:rPr>
              <w:t>EI 30</w:t>
            </w:r>
          </w:p>
          <w:p w14:paraId="165EFA7B" w14:textId="77777777" w:rsidR="001C08A5" w:rsidRDefault="00000000">
            <w:pPr>
              <w:pStyle w:val="Contenutotabellacentrato"/>
              <w:rPr>
                <w:b/>
                <w:i/>
                <w:iCs/>
                <w:sz w:val="22"/>
                <w:szCs w:val="22"/>
              </w:rPr>
            </w:pPr>
            <w:r>
              <w:rPr>
                <w:b/>
                <w:i/>
                <w:iCs/>
                <w:sz w:val="22"/>
                <w:szCs w:val="22"/>
              </w:rPr>
              <w:t>(EI 15*)</w:t>
            </w:r>
          </w:p>
        </w:tc>
      </w:tr>
      <w:tr w:rsidR="001C08A5" w14:paraId="77C6D1EE" w14:textId="77777777">
        <w:tc>
          <w:tcPr>
            <w:tcW w:w="2029" w:type="dxa"/>
            <w:vMerge/>
            <w:shd w:val="clear" w:color="auto" w:fill="auto"/>
            <w:vAlign w:val="center"/>
          </w:tcPr>
          <w:p w14:paraId="4D586F1D" w14:textId="77777777" w:rsidR="001C08A5" w:rsidRDefault="001C08A5">
            <w:pPr>
              <w:pStyle w:val="Contenutotabellacentrato"/>
              <w:keepNext/>
              <w:rPr>
                <w:b/>
                <w:bCs/>
                <w:i/>
                <w:iCs/>
                <w:sz w:val="22"/>
                <w:szCs w:val="22"/>
              </w:rPr>
            </w:pPr>
          </w:p>
        </w:tc>
        <w:tc>
          <w:tcPr>
            <w:tcW w:w="3183" w:type="dxa"/>
            <w:shd w:val="clear" w:color="auto" w:fill="auto"/>
            <w:vAlign w:val="center"/>
          </w:tcPr>
          <w:p w14:paraId="54AB8154" w14:textId="77777777" w:rsidR="001C08A5" w:rsidRDefault="00000000">
            <w:pPr>
              <w:pStyle w:val="Contenutotabellacentrato"/>
              <w:rPr>
                <w:b/>
                <w:bCs/>
                <w:i/>
                <w:iCs/>
                <w:sz w:val="22"/>
                <w:szCs w:val="22"/>
              </w:rPr>
            </w:pPr>
            <w:r>
              <w:rPr>
                <w:b/>
                <w:bCs/>
                <w:i/>
                <w:iCs/>
                <w:sz w:val="22"/>
                <w:szCs w:val="22"/>
              </w:rPr>
              <w:t>q &gt; 1 680 MJ/m</w:t>
            </w:r>
            <w:r>
              <w:rPr>
                <w:b/>
                <w:bCs/>
                <w:i/>
                <w:iCs/>
                <w:sz w:val="22"/>
                <w:szCs w:val="22"/>
                <w:vertAlign w:val="superscript"/>
              </w:rPr>
              <w:t xml:space="preserve">2 </w:t>
            </w:r>
            <w:r>
              <w:rPr>
                <w:i/>
                <w:iCs/>
                <w:sz w:val="22"/>
                <w:szCs w:val="22"/>
              </w:rPr>
              <w:t>şi/sau există pericol de explozie volumetrică)</w:t>
            </w:r>
          </w:p>
        </w:tc>
        <w:tc>
          <w:tcPr>
            <w:tcW w:w="2823" w:type="dxa"/>
            <w:shd w:val="clear" w:color="auto" w:fill="auto"/>
            <w:vAlign w:val="center"/>
          </w:tcPr>
          <w:p w14:paraId="528D4C88" w14:textId="77777777" w:rsidR="001C08A5" w:rsidRDefault="00000000">
            <w:pPr>
              <w:pStyle w:val="Contenutotabellacentrato"/>
              <w:rPr>
                <w:b/>
                <w:bCs/>
                <w:i/>
                <w:iCs/>
                <w:sz w:val="22"/>
                <w:szCs w:val="22"/>
              </w:rPr>
            </w:pPr>
            <w:r>
              <w:rPr>
                <w:b/>
                <w:bCs/>
                <w:i/>
                <w:iCs/>
                <w:sz w:val="22"/>
                <w:szCs w:val="22"/>
              </w:rPr>
              <w:t xml:space="preserve">EI 60/REI 60 </w:t>
            </w:r>
          </w:p>
          <w:p w14:paraId="11BDCF28" w14:textId="77777777" w:rsidR="001C08A5" w:rsidRDefault="00000000">
            <w:pPr>
              <w:pStyle w:val="Contenutotabellacentrato"/>
              <w:rPr>
                <w:b/>
                <w:bCs/>
                <w:i/>
                <w:iCs/>
                <w:sz w:val="22"/>
                <w:szCs w:val="22"/>
              </w:rPr>
            </w:pPr>
            <w:r>
              <w:rPr>
                <w:b/>
                <w:bCs/>
                <w:i/>
                <w:iCs/>
                <w:sz w:val="22"/>
                <w:szCs w:val="22"/>
              </w:rPr>
              <w:t>(EI 45/REI 45 *)</w:t>
            </w:r>
          </w:p>
        </w:tc>
        <w:tc>
          <w:tcPr>
            <w:tcW w:w="1817" w:type="dxa"/>
            <w:shd w:val="clear" w:color="auto" w:fill="auto"/>
            <w:vAlign w:val="center"/>
          </w:tcPr>
          <w:p w14:paraId="39C0EB87" w14:textId="77777777" w:rsidR="001C08A5" w:rsidRDefault="00000000">
            <w:pPr>
              <w:pStyle w:val="Contenutotabellacentrato"/>
              <w:rPr>
                <w:b/>
                <w:i/>
                <w:iCs/>
                <w:sz w:val="22"/>
                <w:szCs w:val="22"/>
              </w:rPr>
            </w:pPr>
            <w:r>
              <w:rPr>
                <w:b/>
                <w:i/>
                <w:iCs/>
                <w:sz w:val="22"/>
                <w:szCs w:val="22"/>
              </w:rPr>
              <w:t>EI 45</w:t>
            </w:r>
          </w:p>
          <w:p w14:paraId="39186426" w14:textId="77777777" w:rsidR="001C08A5" w:rsidRDefault="00000000">
            <w:pPr>
              <w:pStyle w:val="Contenutotabellacentrato"/>
              <w:rPr>
                <w:b/>
                <w:i/>
                <w:iCs/>
                <w:sz w:val="22"/>
                <w:szCs w:val="22"/>
              </w:rPr>
            </w:pPr>
            <w:r>
              <w:rPr>
                <w:b/>
                <w:i/>
                <w:iCs/>
                <w:sz w:val="22"/>
                <w:szCs w:val="22"/>
              </w:rPr>
              <w:t>(EI 30*)</w:t>
            </w:r>
          </w:p>
        </w:tc>
      </w:tr>
    </w:tbl>
    <w:p w14:paraId="21708648" w14:textId="77777777" w:rsidR="001C08A5" w:rsidRDefault="00000000">
      <w:pPr>
        <w:jc w:val="both"/>
        <w:rPr>
          <w:sz w:val="24"/>
          <w:szCs w:val="24"/>
        </w:rPr>
      </w:pPr>
      <w:r>
        <w:rPr>
          <w:b/>
          <w:i/>
          <w:iCs/>
          <w:sz w:val="22"/>
          <w:szCs w:val="22"/>
        </w:rPr>
        <w:t>Observații:</w:t>
      </w:r>
    </w:p>
    <w:p w14:paraId="74DC4481" w14:textId="77777777" w:rsidR="001C08A5" w:rsidRDefault="00000000">
      <w:pPr>
        <w:jc w:val="both"/>
        <w:rPr>
          <w:b/>
          <w:i/>
          <w:iCs/>
          <w:sz w:val="22"/>
          <w:szCs w:val="22"/>
        </w:rPr>
      </w:pPr>
      <w:r>
        <w:rPr>
          <w:b/>
          <w:i/>
          <w:iCs/>
          <w:sz w:val="22"/>
          <w:szCs w:val="22"/>
          <w:vertAlign w:val="superscript"/>
        </w:rPr>
        <w:t>1)</w:t>
      </w:r>
      <w:r>
        <w:rPr>
          <w:b/>
          <w:i/>
          <w:iCs/>
          <w:sz w:val="22"/>
          <w:szCs w:val="22"/>
        </w:rPr>
        <w:t xml:space="preserve">  - </w:t>
      </w:r>
      <w:r>
        <w:rPr>
          <w:bCs/>
          <w:i/>
          <w:iCs/>
          <w:sz w:val="22"/>
          <w:szCs w:val="22"/>
        </w:rPr>
        <w:t>Se referă la</w:t>
      </w:r>
      <w:r>
        <w:rPr>
          <w:i/>
          <w:iCs/>
          <w:sz w:val="22"/>
          <w:szCs w:val="22"/>
        </w:rPr>
        <w:t>”construcțiile de productie și/ sau depozitare</w:t>
      </w:r>
      <w:r>
        <w:rPr>
          <w:bCs/>
          <w:i/>
          <w:iCs/>
          <w:sz w:val="22"/>
          <w:szCs w:val="22"/>
        </w:rPr>
        <w:t xml:space="preserve">” așa cum sunt definite la </w:t>
      </w:r>
      <w:r>
        <w:rPr>
          <w:b/>
          <w:i/>
          <w:iCs/>
          <w:sz w:val="22"/>
          <w:szCs w:val="22"/>
        </w:rPr>
        <w:t xml:space="preserve">Art. </w:t>
      </w:r>
      <w:r>
        <w:rPr>
          <w:b/>
          <w:i/>
          <w:iCs/>
          <w:caps/>
          <w:sz w:val="22"/>
          <w:szCs w:val="22"/>
        </w:rPr>
        <w:t>7.1.</w:t>
      </w:r>
      <w:r>
        <w:rPr>
          <w:b/>
          <w:i/>
          <w:iCs/>
          <w:sz w:val="22"/>
          <w:szCs w:val="22"/>
        </w:rPr>
        <w:t xml:space="preserve">1. alin. (2) </w:t>
      </w:r>
      <w:r>
        <w:rPr>
          <w:bCs/>
          <w:i/>
          <w:iCs/>
          <w:sz w:val="22"/>
          <w:szCs w:val="22"/>
        </w:rPr>
        <w:t>precum și la</w:t>
      </w:r>
      <w:r>
        <w:rPr>
          <w:i/>
          <w:iCs/>
          <w:sz w:val="22"/>
          <w:szCs w:val="22"/>
        </w:rPr>
        <w:t xml:space="preserve">”construcțiile </w:t>
      </w:r>
      <w:r>
        <w:rPr>
          <w:bCs/>
          <w:i/>
          <w:iCs/>
          <w:sz w:val="22"/>
          <w:szCs w:val="22"/>
        </w:rPr>
        <w:t xml:space="preserve">definite la </w:t>
      </w:r>
      <w:r>
        <w:rPr>
          <w:b/>
          <w:i/>
          <w:iCs/>
          <w:sz w:val="22"/>
          <w:szCs w:val="22"/>
        </w:rPr>
        <w:t xml:space="preserve">Art. </w:t>
      </w:r>
      <w:r>
        <w:rPr>
          <w:b/>
          <w:i/>
          <w:iCs/>
          <w:caps/>
          <w:sz w:val="22"/>
          <w:szCs w:val="22"/>
        </w:rPr>
        <w:t>7.1.</w:t>
      </w:r>
      <w:r>
        <w:rPr>
          <w:b/>
          <w:i/>
          <w:iCs/>
          <w:sz w:val="22"/>
          <w:szCs w:val="22"/>
        </w:rPr>
        <w:t>1. alin. (3).</w:t>
      </w:r>
    </w:p>
    <w:p w14:paraId="413D0C96" w14:textId="77777777" w:rsidR="001C08A5" w:rsidRDefault="00000000">
      <w:pPr>
        <w:rPr>
          <w:b/>
          <w:bCs/>
          <w:i/>
          <w:iCs/>
          <w:sz w:val="22"/>
          <w:szCs w:val="22"/>
        </w:rPr>
      </w:pPr>
      <w:r>
        <w:rPr>
          <w:b/>
          <w:i/>
          <w:iCs/>
          <w:sz w:val="22"/>
          <w:szCs w:val="22"/>
          <w:vertAlign w:val="superscript"/>
        </w:rPr>
        <w:t>2)</w:t>
      </w:r>
      <w:r>
        <w:rPr>
          <w:b/>
          <w:i/>
          <w:iCs/>
          <w:sz w:val="22"/>
          <w:szCs w:val="22"/>
        </w:rPr>
        <w:t xml:space="preserve">  - </w:t>
      </w:r>
      <w:r>
        <w:rPr>
          <w:bCs/>
          <w:i/>
          <w:iCs/>
          <w:sz w:val="22"/>
          <w:szCs w:val="22"/>
        </w:rPr>
        <w:t>Se referă la ”Elemente de inchidere rezistente la foc(uși, ferestre) prevăzute cu autoînchidere ”</w:t>
      </w:r>
      <w:r>
        <w:rPr>
          <w:b/>
          <w:i/>
          <w:iCs/>
          <w:sz w:val="22"/>
          <w:szCs w:val="22"/>
        </w:rPr>
        <w:t>C</w:t>
      </w:r>
      <w:r>
        <w:rPr>
          <w:bCs/>
          <w:i/>
          <w:iCs/>
          <w:sz w:val="22"/>
          <w:szCs w:val="22"/>
        </w:rPr>
        <w:t xml:space="preserve">” sau fixe, dacă </w:t>
      </w:r>
      <w:r>
        <w:rPr>
          <w:i/>
          <w:iCs/>
          <w:sz w:val="22"/>
          <w:szCs w:val="22"/>
        </w:rPr>
        <w:t xml:space="preserve">distanţa dintre deschideri este mai mică de  </w:t>
      </w:r>
      <w:r>
        <w:rPr>
          <w:b/>
          <w:i/>
          <w:iCs/>
          <w:sz w:val="22"/>
          <w:szCs w:val="22"/>
        </w:rPr>
        <w:t>4m</w:t>
      </w:r>
      <w:r>
        <w:rPr>
          <w:bCs/>
          <w:i/>
          <w:iCs/>
          <w:sz w:val="22"/>
          <w:szCs w:val="22"/>
        </w:rPr>
        <w:t>”.</w:t>
      </w:r>
    </w:p>
    <w:p w14:paraId="5E18BCEB" w14:textId="77777777" w:rsidR="001C08A5" w:rsidRDefault="00000000">
      <w:pPr>
        <w:widowControl w:val="0"/>
        <w:jc w:val="both"/>
        <w:rPr>
          <w:b/>
          <w:bCs/>
          <w:i/>
          <w:iCs/>
          <w:sz w:val="22"/>
          <w:szCs w:val="22"/>
        </w:rPr>
      </w:pPr>
      <w:r>
        <w:rPr>
          <w:b/>
          <w:bCs/>
          <w:i/>
          <w:iCs/>
          <w:sz w:val="22"/>
          <w:szCs w:val="22"/>
        </w:rPr>
        <w:t xml:space="preserve">Note </w:t>
      </w:r>
      <w:r>
        <w:rPr>
          <w:b/>
          <w:bCs/>
          <w:i/>
          <w:iCs/>
          <w:sz w:val="24"/>
          <w:szCs w:val="24"/>
        </w:rPr>
        <w:fldChar w:fldCharType="begin"/>
      </w:r>
      <w:r>
        <w:rPr>
          <w:b/>
          <w:bCs/>
          <w:i/>
          <w:iCs/>
          <w:sz w:val="24"/>
          <w:szCs w:val="24"/>
        </w:rPr>
        <w:instrText xml:space="preserve"> REF _Ref27343 \h </w:instrText>
      </w:r>
      <w:r>
        <w:rPr>
          <w:b/>
          <w:bCs/>
          <w:i/>
          <w:iCs/>
          <w:sz w:val="24"/>
          <w:szCs w:val="24"/>
        </w:rPr>
      </w:r>
      <w:r>
        <w:rPr>
          <w:b/>
          <w:bCs/>
          <w:i/>
          <w:iCs/>
          <w:sz w:val="24"/>
          <w:szCs w:val="24"/>
        </w:rPr>
        <w:fldChar w:fldCharType="separate"/>
      </w:r>
      <w:r>
        <w:rPr>
          <w:b/>
          <w:bCs/>
          <w:i/>
          <w:iCs/>
          <w:sz w:val="24"/>
          <w:szCs w:val="24"/>
        </w:rPr>
        <w:t>Tabelul 13</w:t>
      </w:r>
      <w:r>
        <w:rPr>
          <w:b/>
          <w:bCs/>
          <w:i/>
          <w:iCs/>
          <w:sz w:val="24"/>
          <w:szCs w:val="24"/>
        </w:rPr>
        <w:fldChar w:fldCharType="end"/>
      </w:r>
      <w:r>
        <w:rPr>
          <w:b/>
          <w:bCs/>
          <w:i/>
          <w:iCs/>
          <w:sz w:val="22"/>
          <w:szCs w:val="22"/>
        </w:rPr>
        <w:t xml:space="preserve">: </w:t>
      </w:r>
    </w:p>
    <w:p w14:paraId="761468D2" w14:textId="77777777" w:rsidR="001C08A5" w:rsidRDefault="00000000">
      <w:pPr>
        <w:widowControl w:val="0"/>
        <w:jc w:val="both"/>
        <w:rPr>
          <w:i/>
          <w:iCs/>
          <w:sz w:val="22"/>
          <w:szCs w:val="22"/>
        </w:rPr>
      </w:pPr>
      <w:r>
        <w:rPr>
          <w:i/>
          <w:iCs/>
          <w:sz w:val="22"/>
          <w:szCs w:val="22"/>
        </w:rPr>
        <w:t xml:space="preserve">Pentru clădiri închise se aplică specificatia </w:t>
      </w:r>
      <w:r>
        <w:rPr>
          <w:b/>
          <w:bCs/>
          <w:i/>
          <w:iCs/>
          <w:sz w:val="22"/>
          <w:szCs w:val="22"/>
        </w:rPr>
        <w:t>EW</w:t>
      </w:r>
      <w:r>
        <w:rPr>
          <w:i/>
          <w:iCs/>
          <w:sz w:val="22"/>
          <w:szCs w:val="22"/>
        </w:rPr>
        <w:t xml:space="preserve"> sau </w:t>
      </w:r>
      <w:r>
        <w:rPr>
          <w:b/>
          <w:bCs/>
          <w:i/>
          <w:iCs/>
          <w:sz w:val="22"/>
          <w:szCs w:val="22"/>
        </w:rPr>
        <w:t>EI</w:t>
      </w:r>
      <w:r>
        <w:rPr>
          <w:i/>
          <w:iCs/>
          <w:sz w:val="22"/>
          <w:szCs w:val="22"/>
        </w:rPr>
        <w:t xml:space="preserve"> la elemente de inchidere rezistente la foc (uși, ferestre), în funcție de apropierea dintre deschideri (dacă este mai mică de </w:t>
      </w:r>
      <w:r>
        <w:rPr>
          <w:b/>
          <w:bCs/>
          <w:i/>
          <w:iCs/>
          <w:sz w:val="22"/>
          <w:szCs w:val="22"/>
        </w:rPr>
        <w:t>1m</w:t>
      </w:r>
      <w:r>
        <w:rPr>
          <w:i/>
          <w:iCs/>
          <w:sz w:val="22"/>
          <w:szCs w:val="22"/>
        </w:rPr>
        <w:t xml:space="preserve"> obligatoriu se aplică performanța la foc </w:t>
      </w:r>
      <w:r>
        <w:rPr>
          <w:b/>
          <w:bCs/>
          <w:i/>
          <w:iCs/>
          <w:sz w:val="22"/>
          <w:szCs w:val="22"/>
        </w:rPr>
        <w:t>EI</w:t>
      </w:r>
      <w:r>
        <w:rPr>
          <w:i/>
          <w:iCs/>
          <w:sz w:val="22"/>
          <w:szCs w:val="22"/>
        </w:rPr>
        <w:t>). Pentru clădiri deschise se poate aplica specificatia</w:t>
      </w:r>
      <w:r>
        <w:rPr>
          <w:b/>
          <w:bCs/>
          <w:i/>
          <w:iCs/>
          <w:sz w:val="22"/>
          <w:szCs w:val="22"/>
        </w:rPr>
        <w:t xml:space="preserve"> E</w:t>
      </w:r>
      <w:r>
        <w:rPr>
          <w:i/>
          <w:iCs/>
          <w:sz w:val="22"/>
          <w:szCs w:val="22"/>
        </w:rPr>
        <w:t xml:space="preserve"> la elemente de inchidere rezistente la foc (uși, ferestre).</w:t>
      </w:r>
    </w:p>
    <w:p w14:paraId="08063E3F" w14:textId="77777777" w:rsidR="001C08A5" w:rsidRDefault="00000000">
      <w:pPr>
        <w:widowControl w:val="0"/>
        <w:jc w:val="both"/>
        <w:rPr>
          <w:i/>
          <w:iCs/>
          <w:sz w:val="22"/>
          <w:szCs w:val="22"/>
        </w:rPr>
      </w:pPr>
      <w:r>
        <w:rPr>
          <w:i/>
          <w:iCs/>
          <w:sz w:val="22"/>
          <w:szCs w:val="22"/>
        </w:rPr>
        <w:t xml:space="preserve">Pentru construcțiile încadrate în nivelul de stabilitate </w:t>
      </w:r>
      <w:r>
        <w:rPr>
          <w:b/>
          <w:bCs/>
          <w:i/>
          <w:iCs/>
          <w:sz w:val="22"/>
          <w:szCs w:val="22"/>
        </w:rPr>
        <w:t>I</w:t>
      </w:r>
      <w:r>
        <w:rPr>
          <w:i/>
          <w:iCs/>
          <w:sz w:val="22"/>
          <w:szCs w:val="22"/>
        </w:rPr>
        <w:t xml:space="preserve"> și </w:t>
      </w:r>
      <w:r>
        <w:rPr>
          <w:b/>
          <w:bCs/>
          <w:i/>
          <w:iCs/>
          <w:sz w:val="22"/>
          <w:szCs w:val="22"/>
        </w:rPr>
        <w:t>II</w:t>
      </w:r>
      <w:r>
        <w:rPr>
          <w:i/>
          <w:iCs/>
          <w:sz w:val="22"/>
          <w:szCs w:val="22"/>
        </w:rPr>
        <w:t xml:space="preserve"> clasa de reacție la foc a </w:t>
      </w:r>
      <w:r>
        <w:rPr>
          <w:b/>
          <w:i/>
          <w:iCs/>
          <w:sz w:val="22"/>
          <w:szCs w:val="22"/>
        </w:rPr>
        <w:t xml:space="preserve">pereţilor </w:t>
      </w:r>
      <w:r>
        <w:rPr>
          <w:i/>
          <w:iCs/>
          <w:sz w:val="22"/>
          <w:szCs w:val="22"/>
        </w:rPr>
        <w:t xml:space="preserve">(din exterior) definiți în tabel este </w:t>
      </w:r>
      <w:r>
        <w:rPr>
          <w:b/>
          <w:i/>
          <w:iCs/>
          <w:sz w:val="22"/>
          <w:szCs w:val="22"/>
        </w:rPr>
        <w:t xml:space="preserve">A1 sau A2-s1,d0. </w:t>
      </w:r>
      <w:r>
        <w:rPr>
          <w:i/>
          <w:iCs/>
          <w:sz w:val="22"/>
          <w:szCs w:val="22"/>
        </w:rPr>
        <w:t xml:space="preserve">Pentru construcțiile încadrate în nivelul de stabilitate </w:t>
      </w:r>
      <w:r>
        <w:rPr>
          <w:b/>
          <w:bCs/>
          <w:i/>
          <w:iCs/>
          <w:sz w:val="22"/>
          <w:szCs w:val="22"/>
        </w:rPr>
        <w:t>I</w:t>
      </w:r>
      <w:r>
        <w:rPr>
          <w:i/>
          <w:iCs/>
          <w:sz w:val="22"/>
          <w:szCs w:val="22"/>
        </w:rPr>
        <w:t xml:space="preserve"> și </w:t>
      </w:r>
      <w:r>
        <w:rPr>
          <w:b/>
          <w:bCs/>
          <w:i/>
          <w:iCs/>
          <w:sz w:val="22"/>
          <w:szCs w:val="22"/>
        </w:rPr>
        <w:t>II</w:t>
      </w:r>
      <w:r>
        <w:rPr>
          <w:i/>
          <w:iCs/>
          <w:sz w:val="22"/>
          <w:szCs w:val="22"/>
        </w:rPr>
        <w:t xml:space="preserve"> clasa de reacție la foc a </w:t>
      </w:r>
      <w:r>
        <w:rPr>
          <w:b/>
          <w:i/>
          <w:iCs/>
          <w:sz w:val="22"/>
          <w:szCs w:val="22"/>
        </w:rPr>
        <w:t>elementelor de inchidere rezistente la foc</w:t>
      </w:r>
      <w:r>
        <w:rPr>
          <w:i/>
          <w:iCs/>
          <w:sz w:val="22"/>
          <w:szCs w:val="22"/>
        </w:rPr>
        <w:t xml:space="preserve"> definite în  tabel este </w:t>
      </w:r>
      <w:r>
        <w:rPr>
          <w:b/>
          <w:i/>
          <w:iCs/>
          <w:sz w:val="22"/>
          <w:szCs w:val="22"/>
        </w:rPr>
        <w:t xml:space="preserve">A1 sau A2-s1,d0, </w:t>
      </w:r>
      <w:r>
        <w:rPr>
          <w:bCs/>
          <w:i/>
          <w:iCs/>
          <w:sz w:val="22"/>
          <w:szCs w:val="22"/>
        </w:rPr>
        <w:t>cu excepția componetelor nesubstanţiale, garniturilor, izolatorilor, elementelor de vitraj (din sticlă) simplu sau izolant (realizate din sticlă) ale ușilor și ferestrelor (exterioare), inclusiv cele inserate în pereții cortină.</w:t>
      </w:r>
    </w:p>
    <w:p w14:paraId="728EB766" w14:textId="77777777" w:rsidR="001C08A5" w:rsidRDefault="00000000">
      <w:pPr>
        <w:rPr>
          <w:sz w:val="22"/>
          <w:szCs w:val="22"/>
        </w:rPr>
      </w:pPr>
      <w:r>
        <w:rPr>
          <w:i/>
          <w:iCs/>
          <w:sz w:val="22"/>
          <w:szCs w:val="22"/>
        </w:rPr>
        <w:t xml:space="preserve">Rezistența la foc a tuturor </w:t>
      </w:r>
      <w:r>
        <w:rPr>
          <w:bCs/>
          <w:i/>
          <w:iCs/>
          <w:sz w:val="22"/>
          <w:szCs w:val="22"/>
        </w:rPr>
        <w:t xml:space="preserve">elementelor </w:t>
      </w:r>
      <w:r>
        <w:rPr>
          <w:i/>
          <w:iCs/>
          <w:sz w:val="22"/>
          <w:szCs w:val="22"/>
        </w:rPr>
        <w:t xml:space="preserve">definite în coloanele </w:t>
      </w:r>
      <w:r>
        <w:rPr>
          <w:b/>
          <w:bCs/>
          <w:i/>
          <w:iCs/>
          <w:sz w:val="22"/>
          <w:szCs w:val="22"/>
        </w:rPr>
        <w:t>3</w:t>
      </w:r>
      <w:r>
        <w:rPr>
          <w:i/>
          <w:iCs/>
          <w:sz w:val="22"/>
          <w:szCs w:val="22"/>
        </w:rPr>
        <w:t xml:space="preserve"> și </w:t>
      </w:r>
      <w:r>
        <w:rPr>
          <w:b/>
          <w:bCs/>
          <w:i/>
          <w:iCs/>
          <w:sz w:val="22"/>
          <w:szCs w:val="22"/>
        </w:rPr>
        <w:t>4</w:t>
      </w:r>
      <w:r>
        <w:rPr>
          <w:i/>
          <w:iCs/>
          <w:sz w:val="22"/>
          <w:szCs w:val="22"/>
        </w:rPr>
        <w:t xml:space="preserve"> din tabel este în minute.</w:t>
      </w:r>
    </w:p>
    <w:p w14:paraId="681EACF4" w14:textId="77777777" w:rsidR="001C08A5" w:rsidRDefault="00000000">
      <w:pPr>
        <w:widowControl w:val="0"/>
        <w:jc w:val="both"/>
        <w:rPr>
          <w:bCs/>
          <w:i/>
          <w:iCs/>
          <w:sz w:val="22"/>
          <w:szCs w:val="22"/>
        </w:rPr>
      </w:pPr>
      <w:r>
        <w:rPr>
          <w:b/>
          <w:sz w:val="22"/>
          <w:szCs w:val="22"/>
        </w:rPr>
        <w:t xml:space="preserve">* </w:t>
      </w:r>
      <w:r>
        <w:rPr>
          <w:i/>
          <w:sz w:val="22"/>
          <w:szCs w:val="22"/>
        </w:rPr>
        <w:t xml:space="preserve">Valorile din paranteze se aplică în cazurile în care încăperile sunt echipate cu instalaţii automate de stingere a incendiilor </w:t>
      </w:r>
      <w:r>
        <w:rPr>
          <w:bCs/>
          <w:i/>
          <w:iCs/>
          <w:sz w:val="22"/>
          <w:szCs w:val="22"/>
        </w:rPr>
        <w:t xml:space="preserve">(conform prevederi Normativ </w:t>
      </w:r>
      <w:r>
        <w:rPr>
          <w:b/>
          <w:i/>
          <w:iCs/>
          <w:sz w:val="22"/>
          <w:szCs w:val="22"/>
        </w:rPr>
        <w:t>P118:2</w:t>
      </w:r>
      <w:r>
        <w:rPr>
          <w:bCs/>
          <w:i/>
          <w:iCs/>
          <w:sz w:val="22"/>
          <w:szCs w:val="22"/>
        </w:rPr>
        <w:t>, cu excepțiile prevăzute ale spațiilor care se dotează cu alte instalații automate de stingere)</w:t>
      </w:r>
      <w:r>
        <w:rPr>
          <w:i/>
          <w:sz w:val="22"/>
          <w:szCs w:val="22"/>
        </w:rPr>
        <w:t>.</w:t>
      </w:r>
    </w:p>
    <w:p w14:paraId="7BDDF1DE" w14:textId="77777777" w:rsidR="001C08A5" w:rsidRDefault="001C08A5">
      <w:pPr>
        <w:rPr>
          <w:sz w:val="24"/>
          <w:szCs w:val="24"/>
        </w:rPr>
      </w:pPr>
    </w:p>
    <w:p w14:paraId="0C94BAB4" w14:textId="77777777" w:rsidR="001C08A5" w:rsidRDefault="00000000">
      <w:pPr>
        <w:ind w:firstLine="705"/>
        <w:jc w:val="both"/>
        <w:rPr>
          <w:b/>
          <w:sz w:val="24"/>
          <w:szCs w:val="24"/>
          <w:lang w:val="en-US"/>
        </w:rPr>
      </w:pPr>
      <w:r>
        <w:rPr>
          <w:b/>
          <w:sz w:val="24"/>
          <w:szCs w:val="24"/>
        </w:rPr>
        <w:lastRenderedPageBreak/>
        <w:t xml:space="preserve">Art. 2.3.2.1.10. </w:t>
      </w:r>
      <w:r>
        <w:rPr>
          <w:b/>
          <w:sz w:val="24"/>
          <w:szCs w:val="24"/>
          <w:lang w:val="en-US"/>
        </w:rPr>
        <w:t xml:space="preserve">(1) </w:t>
      </w:r>
      <w:r>
        <w:rPr>
          <w:sz w:val="24"/>
          <w:szCs w:val="24"/>
          <w:lang w:val="en-US"/>
        </w:rPr>
        <w:t>Este obligatorie</w:t>
      </w:r>
      <w:r>
        <w:rPr>
          <w:sz w:val="24"/>
          <w:szCs w:val="24"/>
        </w:rPr>
        <w:t xml:space="preserve"> </w:t>
      </w:r>
      <w:r>
        <w:rPr>
          <w:sz w:val="24"/>
          <w:szCs w:val="24"/>
          <w:lang w:val="en-US"/>
        </w:rPr>
        <w:t>asigurarea</w:t>
      </w:r>
      <w:r>
        <w:rPr>
          <w:sz w:val="24"/>
          <w:szCs w:val="24"/>
        </w:rPr>
        <w:t xml:space="preserve"> </w:t>
      </w:r>
      <w:r>
        <w:rPr>
          <w:sz w:val="24"/>
          <w:szCs w:val="24"/>
          <w:lang w:val="en-US"/>
        </w:rPr>
        <w:t>continuitatii</w:t>
      </w:r>
      <w:r>
        <w:rPr>
          <w:sz w:val="24"/>
          <w:szCs w:val="24"/>
        </w:rPr>
        <w:t xml:space="preserve"> </w:t>
      </w:r>
      <w:r>
        <w:rPr>
          <w:sz w:val="24"/>
          <w:szCs w:val="24"/>
          <w:lang w:val="en-US"/>
        </w:rPr>
        <w:t>conditiilor</w:t>
      </w:r>
      <w:r>
        <w:rPr>
          <w:sz w:val="24"/>
          <w:szCs w:val="24"/>
        </w:rPr>
        <w:t xml:space="preserve"> </w:t>
      </w:r>
      <w:r>
        <w:rPr>
          <w:sz w:val="24"/>
          <w:szCs w:val="24"/>
          <w:lang w:val="en-US"/>
        </w:rPr>
        <w:t>pentru</w:t>
      </w:r>
      <w:r>
        <w:rPr>
          <w:sz w:val="24"/>
          <w:szCs w:val="24"/>
        </w:rPr>
        <w:t xml:space="preserve"> </w:t>
      </w:r>
      <w:r>
        <w:rPr>
          <w:sz w:val="24"/>
          <w:szCs w:val="24"/>
          <w:lang w:val="en-US"/>
        </w:rPr>
        <w:t>încadrarea</w:t>
      </w:r>
      <w:r>
        <w:rPr>
          <w:sz w:val="24"/>
          <w:szCs w:val="24"/>
        </w:rPr>
        <w:t xml:space="preserve"> </w:t>
      </w:r>
      <w:r>
        <w:rPr>
          <w:sz w:val="24"/>
          <w:szCs w:val="24"/>
          <w:lang w:val="en-US"/>
        </w:rPr>
        <w:t>construcţiei</w:t>
      </w:r>
      <w:r>
        <w:rPr>
          <w:sz w:val="24"/>
          <w:szCs w:val="24"/>
        </w:rPr>
        <w:t xml:space="preserve"> </w:t>
      </w:r>
      <w:r>
        <w:rPr>
          <w:sz w:val="24"/>
          <w:szCs w:val="24"/>
          <w:lang w:val="en-US"/>
        </w:rPr>
        <w:t>sau a compartimentului de incendiu</w:t>
      </w:r>
      <w:r>
        <w:rPr>
          <w:sz w:val="24"/>
          <w:szCs w:val="24"/>
        </w:rPr>
        <w:t xml:space="preserve"> </w:t>
      </w:r>
      <w:r>
        <w:rPr>
          <w:sz w:val="24"/>
          <w:szCs w:val="24"/>
          <w:lang w:val="en-US"/>
        </w:rPr>
        <w:t>în</w:t>
      </w:r>
      <w:r>
        <w:rPr>
          <w:sz w:val="24"/>
          <w:szCs w:val="24"/>
        </w:rPr>
        <w:t xml:space="preserve"> </w:t>
      </w:r>
      <w:r>
        <w:rPr>
          <w:sz w:val="24"/>
          <w:szCs w:val="24"/>
          <w:lang w:val="en-US"/>
        </w:rPr>
        <w:t>niveluri de stabilitate la incendiu</w:t>
      </w:r>
      <w:r>
        <w:rPr>
          <w:sz w:val="24"/>
          <w:szCs w:val="24"/>
        </w:rPr>
        <w:t xml:space="preserve"> </w:t>
      </w:r>
      <w:r>
        <w:rPr>
          <w:sz w:val="24"/>
          <w:szCs w:val="24"/>
          <w:lang w:val="en-US"/>
        </w:rPr>
        <w:t>în</w:t>
      </w:r>
      <w:r>
        <w:rPr>
          <w:sz w:val="24"/>
          <w:szCs w:val="24"/>
        </w:rPr>
        <w:t xml:space="preserve"> </w:t>
      </w:r>
      <w:r>
        <w:rPr>
          <w:sz w:val="24"/>
          <w:szCs w:val="24"/>
          <w:lang w:val="en-US"/>
        </w:rPr>
        <w:t>dreptul</w:t>
      </w:r>
      <w:r>
        <w:rPr>
          <w:sz w:val="24"/>
          <w:szCs w:val="24"/>
        </w:rPr>
        <w:t xml:space="preserve"> </w:t>
      </w:r>
      <w:r>
        <w:rPr>
          <w:sz w:val="24"/>
          <w:szCs w:val="24"/>
          <w:lang w:val="en-US"/>
        </w:rPr>
        <w:t>rosturilor de tasare cu solu</w:t>
      </w:r>
      <w:r>
        <w:rPr>
          <w:sz w:val="24"/>
          <w:szCs w:val="24"/>
        </w:rPr>
        <w:t>ț</w:t>
      </w:r>
      <w:r>
        <w:rPr>
          <w:sz w:val="24"/>
          <w:szCs w:val="24"/>
          <w:lang w:val="en-US"/>
        </w:rPr>
        <w:t>ii de etanșare.</w:t>
      </w:r>
    </w:p>
    <w:p w14:paraId="40CB31FB" w14:textId="77777777" w:rsidR="001C08A5" w:rsidRDefault="00000000">
      <w:pPr>
        <w:ind w:firstLine="705"/>
        <w:jc w:val="both"/>
        <w:rPr>
          <w:b/>
          <w:bCs/>
          <w:sz w:val="24"/>
          <w:szCs w:val="24"/>
          <w:lang w:val="en-US"/>
        </w:rPr>
      </w:pPr>
      <w:r>
        <w:rPr>
          <w:b/>
          <w:sz w:val="24"/>
          <w:szCs w:val="24"/>
          <w:lang w:val="en-US"/>
        </w:rPr>
        <w:t>(</w:t>
      </w:r>
      <w:proofErr w:type="gramStart"/>
      <w:r>
        <w:rPr>
          <w:b/>
          <w:sz w:val="24"/>
          <w:szCs w:val="24"/>
          <w:lang w:val="en-US"/>
        </w:rPr>
        <w:t>2)</w:t>
      </w:r>
      <w:r>
        <w:rPr>
          <w:sz w:val="24"/>
          <w:szCs w:val="24"/>
        </w:rPr>
        <w:t>Eventualele</w:t>
      </w:r>
      <w:proofErr w:type="gramEnd"/>
      <w:r>
        <w:rPr>
          <w:sz w:val="24"/>
          <w:szCs w:val="24"/>
        </w:rPr>
        <w:t xml:space="preserve"> rosturi dintre pereţii rezistenţi la foc care separă compartimente de incendiu şi planşee, stâlpi, acoperişuri sau închideri perimetrale ale construcţiei, se etanşează cu materiale care asigură rezistenţa la foc de cel puţin clasa </w:t>
      </w:r>
      <w:r>
        <w:rPr>
          <w:b/>
          <w:sz w:val="24"/>
          <w:szCs w:val="24"/>
        </w:rPr>
        <w:t xml:space="preserve">EI 90. </w:t>
      </w:r>
      <w:r>
        <w:rPr>
          <w:bCs/>
          <w:sz w:val="24"/>
          <w:szCs w:val="24"/>
        </w:rPr>
        <w:t xml:space="preserve">Atunci când etanşările de îmbinări lineare trebuie clasificate sunt definite diferite condiţii de încercare în standardul de încercare iar clasa obţinută pentru etanşări de îmbinări lineare este specificată de literele care indică condiţiile de încercare date în </w:t>
      </w:r>
      <w:r>
        <w:rPr>
          <w:b/>
          <w:sz w:val="24"/>
          <w:szCs w:val="24"/>
        </w:rPr>
        <w:t>SR EN 13501-1</w:t>
      </w:r>
      <w:r>
        <w:rPr>
          <w:bCs/>
          <w:sz w:val="24"/>
          <w:szCs w:val="24"/>
        </w:rPr>
        <w:t xml:space="preserve">; etanşările de îmbinări lineare trebuie încercate conform cu </w:t>
      </w:r>
      <w:r>
        <w:rPr>
          <w:b/>
          <w:sz w:val="24"/>
          <w:szCs w:val="24"/>
        </w:rPr>
        <w:t>SR EN 1366-4</w:t>
      </w:r>
      <w:r>
        <w:rPr>
          <w:bCs/>
          <w:sz w:val="24"/>
          <w:szCs w:val="24"/>
        </w:rPr>
        <w:t xml:space="preserve"> iar aplicarea extinsă trebuie efectuată aşa cum este descrisă în standardul de aplicare extinsă </w:t>
      </w:r>
      <w:r>
        <w:rPr>
          <w:b/>
          <w:sz w:val="24"/>
          <w:szCs w:val="24"/>
        </w:rPr>
        <w:t>SR EN 15882-4</w:t>
      </w:r>
      <w:r>
        <w:rPr>
          <w:bCs/>
          <w:sz w:val="24"/>
          <w:szCs w:val="24"/>
        </w:rPr>
        <w:t xml:space="preserve"> și în </w:t>
      </w:r>
      <w:r>
        <w:rPr>
          <w:b/>
          <w:sz w:val="24"/>
          <w:szCs w:val="24"/>
        </w:rPr>
        <w:t>SR EN 15725</w:t>
      </w:r>
      <w:r>
        <w:rPr>
          <w:b/>
          <w:bCs/>
          <w:sz w:val="24"/>
          <w:szCs w:val="24"/>
          <w:lang w:val="en-US"/>
        </w:rPr>
        <w:t>(3)</w:t>
      </w:r>
      <w:r>
        <w:rPr>
          <w:b/>
          <w:bCs/>
          <w:sz w:val="24"/>
          <w:szCs w:val="24"/>
        </w:rPr>
        <w:t>.</w:t>
      </w:r>
    </w:p>
    <w:p w14:paraId="4E493290" w14:textId="77777777" w:rsidR="001C08A5" w:rsidRDefault="00000000">
      <w:pPr>
        <w:ind w:firstLine="705"/>
        <w:jc w:val="both"/>
        <w:rPr>
          <w:sz w:val="24"/>
          <w:szCs w:val="24"/>
        </w:rPr>
      </w:pPr>
      <w:r>
        <w:rPr>
          <w:b/>
          <w:sz w:val="24"/>
          <w:szCs w:val="24"/>
          <w:lang w:val="en-US"/>
        </w:rPr>
        <w:t>(</w:t>
      </w:r>
      <w:r>
        <w:rPr>
          <w:b/>
          <w:sz w:val="24"/>
          <w:szCs w:val="24"/>
        </w:rPr>
        <w:t>3</w:t>
      </w:r>
      <w:r>
        <w:rPr>
          <w:b/>
          <w:sz w:val="24"/>
          <w:szCs w:val="24"/>
          <w:lang w:val="en-US"/>
        </w:rPr>
        <w:t>)</w:t>
      </w:r>
      <w:r>
        <w:rPr>
          <w:b/>
          <w:sz w:val="24"/>
          <w:szCs w:val="24"/>
        </w:rPr>
        <w:t xml:space="preserve"> </w:t>
      </w:r>
      <w:r>
        <w:rPr>
          <w:sz w:val="24"/>
          <w:szCs w:val="24"/>
        </w:rPr>
        <w:t>Î</w:t>
      </w:r>
      <w:r>
        <w:rPr>
          <w:bCs/>
          <w:sz w:val="24"/>
          <w:szCs w:val="24"/>
        </w:rPr>
        <w:t xml:space="preserve">n cazul îmbinărilor perimetrale ale pereților cortină (etanșări ale îmbinărilor liniare orizontale) încercările trebuie efectuate conform </w:t>
      </w:r>
      <w:r>
        <w:rPr>
          <w:b/>
          <w:sz w:val="24"/>
          <w:szCs w:val="24"/>
        </w:rPr>
        <w:t>SR EN 1364-4</w:t>
      </w:r>
      <w:r>
        <w:rPr>
          <w:bCs/>
          <w:sz w:val="24"/>
          <w:szCs w:val="24"/>
        </w:rPr>
        <w:t xml:space="preserve"> și </w:t>
      </w:r>
      <w:r>
        <w:rPr>
          <w:b/>
          <w:sz w:val="24"/>
          <w:szCs w:val="24"/>
        </w:rPr>
        <w:t>SR EN 1364-3</w:t>
      </w:r>
      <w:r>
        <w:rPr>
          <w:bCs/>
          <w:sz w:val="24"/>
          <w:szCs w:val="24"/>
        </w:rPr>
        <w:t xml:space="preserve"> și conform </w:t>
      </w:r>
      <w:r>
        <w:rPr>
          <w:b/>
          <w:sz w:val="24"/>
          <w:szCs w:val="24"/>
        </w:rPr>
        <w:t>SR EN 1364-3</w:t>
      </w:r>
      <w:r>
        <w:rPr>
          <w:bCs/>
          <w:sz w:val="24"/>
          <w:szCs w:val="24"/>
        </w:rPr>
        <w:t xml:space="preserve"> în cazul îmbinărilor liniare verticale frontale față de pereții cortină.</w:t>
      </w:r>
    </w:p>
    <w:p w14:paraId="6925A9FB" w14:textId="77777777" w:rsidR="001C08A5" w:rsidRDefault="001C08A5">
      <w:pPr>
        <w:rPr>
          <w:sz w:val="24"/>
          <w:szCs w:val="24"/>
        </w:rPr>
      </w:pPr>
    </w:p>
    <w:p w14:paraId="64F7030F" w14:textId="77777777" w:rsidR="001C08A5" w:rsidRDefault="00000000">
      <w:pPr>
        <w:ind w:firstLine="705"/>
        <w:jc w:val="both"/>
        <w:rPr>
          <w:sz w:val="24"/>
          <w:szCs w:val="24"/>
        </w:rPr>
      </w:pPr>
      <w:r>
        <w:rPr>
          <w:b/>
          <w:sz w:val="24"/>
          <w:szCs w:val="24"/>
        </w:rPr>
        <w:t xml:space="preserve">Art. 2.3.2.1.11. </w:t>
      </w:r>
      <w:r>
        <w:rPr>
          <w:b/>
          <w:bCs/>
          <w:sz w:val="24"/>
          <w:szCs w:val="24"/>
        </w:rPr>
        <w:t>(1)</w:t>
      </w:r>
      <w:r>
        <w:rPr>
          <w:sz w:val="24"/>
          <w:szCs w:val="24"/>
        </w:rPr>
        <w:t xml:space="preserve"> Străpungerea de către elemente metalice a pereţilor rezistenţi la foc de separare a compartimentelor de incendiu (pereţi antifoc) este admisă numai dacă se iau măsuri împotriva transmiterii căldurii prin conductibilitate (alegerea unor trasee judicioase, distanţe faţă de materiale combustibile, protejarea locală a elementelor metalice etc.). În jurul elementelor metalice care străpung peretele de separare se vor realiza goluri care să permită dilatarea liberă a acestora, etanşate cu materiale în alcatuiri rezistente la foc minimum:</w:t>
      </w:r>
    </w:p>
    <w:p w14:paraId="733D4078" w14:textId="77777777" w:rsidR="001C08A5" w:rsidRDefault="00000000">
      <w:pPr>
        <w:numPr>
          <w:ilvl w:val="0"/>
          <w:numId w:val="37"/>
        </w:numPr>
        <w:tabs>
          <w:tab w:val="clear" w:pos="1680"/>
        </w:tabs>
        <w:jc w:val="both"/>
        <w:rPr>
          <w:sz w:val="24"/>
          <w:szCs w:val="24"/>
        </w:rPr>
      </w:pPr>
      <w:r>
        <w:rPr>
          <w:b/>
          <w:bCs/>
          <w:sz w:val="24"/>
          <w:szCs w:val="24"/>
        </w:rPr>
        <w:t>EI 180</w:t>
      </w:r>
      <w:r>
        <w:rPr>
          <w:sz w:val="24"/>
          <w:szCs w:val="24"/>
        </w:rPr>
        <w:t xml:space="preserve"> pentru situațiile prevăzute la </w:t>
      </w:r>
      <w:r>
        <w:rPr>
          <w:b/>
          <w:bCs/>
          <w:sz w:val="24"/>
          <w:szCs w:val="24"/>
        </w:rPr>
        <w:t>Art. 2.3.2.1.2. lit. b), respectiv Art. 2.3.2.1.2. lit. a)</w:t>
      </w:r>
      <w:r>
        <w:rPr>
          <w:sz w:val="24"/>
          <w:szCs w:val="24"/>
        </w:rPr>
        <w:t xml:space="preserve"> pentru pereți rezistenți la foc care corespund valorilor de densitate termică de </w:t>
      </w:r>
      <w:r>
        <w:rPr>
          <w:b/>
          <w:bCs/>
          <w:sz w:val="24"/>
          <w:szCs w:val="24"/>
        </w:rPr>
        <w:t>840 MJ/m</w:t>
      </w:r>
      <w:r>
        <w:rPr>
          <w:b/>
          <w:bCs/>
          <w:sz w:val="24"/>
          <w:szCs w:val="24"/>
          <w:vertAlign w:val="superscript"/>
        </w:rPr>
        <w:t xml:space="preserve">2 </w:t>
      </w:r>
      <w:r>
        <w:rPr>
          <w:b/>
          <w:bCs/>
          <w:sz w:val="24"/>
          <w:szCs w:val="24"/>
        </w:rPr>
        <w:t>&lt;q ≤ 1680 MJ/m</w:t>
      </w:r>
      <w:r>
        <w:rPr>
          <w:b/>
          <w:bCs/>
          <w:sz w:val="24"/>
          <w:szCs w:val="24"/>
          <w:vertAlign w:val="superscript"/>
        </w:rPr>
        <w:t>2</w:t>
      </w:r>
      <w:r>
        <w:rPr>
          <w:b/>
          <w:bCs/>
          <w:sz w:val="24"/>
          <w:szCs w:val="24"/>
        </w:rPr>
        <w:t xml:space="preserve"> </w:t>
      </w:r>
      <w:r>
        <w:rPr>
          <w:sz w:val="24"/>
          <w:szCs w:val="24"/>
        </w:rPr>
        <w:t>conform prevederilor din</w:t>
      </w:r>
      <w:r>
        <w:rPr>
          <w:b/>
          <w:bCs/>
          <w:sz w:val="24"/>
          <w:szCs w:val="24"/>
        </w:rPr>
        <w:t xml:space="preserve"> </w:t>
      </w:r>
      <w:r>
        <w:rPr>
          <w:b/>
          <w:bCs/>
          <w:sz w:val="24"/>
          <w:szCs w:val="24"/>
        </w:rPr>
        <w:fldChar w:fldCharType="begin"/>
      </w:r>
      <w:r>
        <w:rPr>
          <w:b/>
          <w:bCs/>
          <w:sz w:val="24"/>
          <w:szCs w:val="24"/>
        </w:rPr>
        <w:instrText xml:space="preserve"> REF _Ref28746 \h </w:instrText>
      </w:r>
      <w:r>
        <w:rPr>
          <w:b/>
          <w:bCs/>
          <w:sz w:val="24"/>
          <w:szCs w:val="24"/>
        </w:rPr>
      </w:r>
      <w:r>
        <w:rPr>
          <w:b/>
          <w:bCs/>
          <w:sz w:val="24"/>
          <w:szCs w:val="24"/>
        </w:rPr>
        <w:fldChar w:fldCharType="separate"/>
      </w:r>
      <w:r>
        <w:t>Tabelul 6</w:t>
      </w:r>
      <w:r>
        <w:rPr>
          <w:b/>
          <w:bCs/>
          <w:sz w:val="24"/>
          <w:szCs w:val="24"/>
        </w:rPr>
        <w:fldChar w:fldCharType="end"/>
      </w:r>
      <w:r>
        <w:rPr>
          <w:sz w:val="24"/>
          <w:szCs w:val="24"/>
        </w:rPr>
        <w:t>;</w:t>
      </w:r>
    </w:p>
    <w:p w14:paraId="0FDF3CA0" w14:textId="77777777" w:rsidR="001C08A5" w:rsidRDefault="00000000">
      <w:pPr>
        <w:numPr>
          <w:ilvl w:val="0"/>
          <w:numId w:val="37"/>
        </w:numPr>
        <w:tabs>
          <w:tab w:val="clear" w:pos="1680"/>
        </w:tabs>
        <w:jc w:val="both"/>
        <w:rPr>
          <w:sz w:val="24"/>
          <w:szCs w:val="24"/>
        </w:rPr>
      </w:pPr>
      <w:r>
        <w:rPr>
          <w:b/>
          <w:bCs/>
          <w:sz w:val="24"/>
          <w:szCs w:val="24"/>
        </w:rPr>
        <w:t>EI 240</w:t>
      </w:r>
      <w:r>
        <w:rPr>
          <w:sz w:val="24"/>
          <w:szCs w:val="24"/>
        </w:rPr>
        <w:t xml:space="preserve"> pentru situațiile prevăzute la </w:t>
      </w:r>
      <w:r>
        <w:rPr>
          <w:b/>
          <w:bCs/>
          <w:sz w:val="24"/>
          <w:szCs w:val="24"/>
        </w:rPr>
        <w:t>Art. 2.3.2.1.2. lit. c), respectiv Art. 2.3.2.1.2. lit. a)</w:t>
      </w:r>
      <w:r>
        <w:rPr>
          <w:sz w:val="24"/>
          <w:szCs w:val="24"/>
        </w:rPr>
        <w:t xml:space="preserve"> pentru pereți rezistenți la foc care corespund valorilor de densitate termică de </w:t>
      </w:r>
      <w:r>
        <w:rPr>
          <w:b/>
          <w:bCs/>
          <w:sz w:val="24"/>
          <w:szCs w:val="24"/>
        </w:rPr>
        <w:t xml:space="preserve"> q &gt; 1 680 MJ/m</w:t>
      </w:r>
      <w:r>
        <w:rPr>
          <w:b/>
          <w:bCs/>
          <w:sz w:val="24"/>
          <w:szCs w:val="24"/>
          <w:vertAlign w:val="superscript"/>
        </w:rPr>
        <w:t>2</w:t>
      </w:r>
      <w:r>
        <w:rPr>
          <w:b/>
          <w:bCs/>
          <w:sz w:val="24"/>
          <w:szCs w:val="24"/>
        </w:rPr>
        <w:t xml:space="preserve"> </w:t>
      </w:r>
      <w:r>
        <w:rPr>
          <w:sz w:val="24"/>
          <w:szCs w:val="24"/>
        </w:rPr>
        <w:t xml:space="preserve">conform prevederilor din </w:t>
      </w:r>
      <w:r>
        <w:rPr>
          <w:b/>
          <w:bCs/>
          <w:sz w:val="24"/>
          <w:szCs w:val="24"/>
        </w:rPr>
        <w:fldChar w:fldCharType="begin"/>
      </w:r>
      <w:r>
        <w:rPr>
          <w:b/>
          <w:bCs/>
          <w:sz w:val="24"/>
          <w:szCs w:val="24"/>
        </w:rPr>
        <w:instrText xml:space="preserve"> REF _Ref28746 \h </w:instrText>
      </w:r>
      <w:r>
        <w:rPr>
          <w:b/>
          <w:bCs/>
          <w:sz w:val="24"/>
          <w:szCs w:val="24"/>
        </w:rPr>
      </w:r>
      <w:r>
        <w:rPr>
          <w:b/>
          <w:bCs/>
          <w:sz w:val="24"/>
          <w:szCs w:val="24"/>
        </w:rPr>
        <w:fldChar w:fldCharType="separate"/>
      </w:r>
      <w:r>
        <w:t>Tabelul 6</w:t>
      </w:r>
      <w:r>
        <w:rPr>
          <w:b/>
          <w:bCs/>
          <w:sz w:val="24"/>
          <w:szCs w:val="24"/>
        </w:rPr>
        <w:fldChar w:fldCharType="end"/>
      </w:r>
      <w:r>
        <w:rPr>
          <w:sz w:val="24"/>
          <w:szCs w:val="24"/>
        </w:rPr>
        <w:t>;</w:t>
      </w:r>
    </w:p>
    <w:p w14:paraId="02257183" w14:textId="77777777" w:rsidR="001C08A5" w:rsidRDefault="00000000">
      <w:pPr>
        <w:numPr>
          <w:ilvl w:val="0"/>
          <w:numId w:val="37"/>
        </w:numPr>
        <w:tabs>
          <w:tab w:val="clear" w:pos="1680"/>
        </w:tabs>
        <w:jc w:val="both"/>
        <w:rPr>
          <w:sz w:val="24"/>
          <w:szCs w:val="24"/>
        </w:rPr>
      </w:pPr>
      <w:r>
        <w:rPr>
          <w:b/>
          <w:bCs/>
          <w:sz w:val="24"/>
          <w:szCs w:val="24"/>
        </w:rPr>
        <w:t>EI 120</w:t>
      </w:r>
      <w:r>
        <w:rPr>
          <w:sz w:val="24"/>
          <w:szCs w:val="24"/>
        </w:rPr>
        <w:t xml:space="preserve"> pentru situațiile prevăzute la </w:t>
      </w:r>
      <w:r>
        <w:rPr>
          <w:b/>
          <w:bCs/>
          <w:sz w:val="24"/>
          <w:szCs w:val="24"/>
        </w:rPr>
        <w:t>Art. 2.3.2.1.2. lit. d), respectiv Art. 2.3.2.1.2. lit. a)</w:t>
      </w:r>
      <w:r>
        <w:rPr>
          <w:sz w:val="24"/>
          <w:szCs w:val="24"/>
        </w:rPr>
        <w:t xml:space="preserve"> pentru pereți rezistenți la foc care corespund valorilor de densitate termică de </w:t>
      </w:r>
      <w:r>
        <w:rPr>
          <w:b/>
          <w:bCs/>
          <w:sz w:val="24"/>
          <w:szCs w:val="24"/>
        </w:rPr>
        <w:t>630 MJ/m</w:t>
      </w:r>
      <w:r>
        <w:rPr>
          <w:b/>
          <w:bCs/>
          <w:sz w:val="24"/>
          <w:szCs w:val="24"/>
          <w:vertAlign w:val="superscript"/>
        </w:rPr>
        <w:t xml:space="preserve">2 </w:t>
      </w:r>
      <w:r>
        <w:rPr>
          <w:b/>
          <w:bCs/>
          <w:sz w:val="24"/>
          <w:szCs w:val="24"/>
        </w:rPr>
        <w:t>&lt;q ≤ 840 MJ/m</w:t>
      </w:r>
      <w:r>
        <w:rPr>
          <w:b/>
          <w:bCs/>
          <w:sz w:val="24"/>
          <w:szCs w:val="24"/>
          <w:vertAlign w:val="superscript"/>
        </w:rPr>
        <w:t>2</w:t>
      </w:r>
      <w:r>
        <w:rPr>
          <w:b/>
          <w:bCs/>
          <w:sz w:val="24"/>
          <w:szCs w:val="24"/>
        </w:rPr>
        <w:t xml:space="preserve"> </w:t>
      </w:r>
      <w:r>
        <w:rPr>
          <w:sz w:val="24"/>
          <w:szCs w:val="24"/>
        </w:rPr>
        <w:t xml:space="preserve">conform prevederilor din </w:t>
      </w:r>
      <w:r>
        <w:rPr>
          <w:b/>
          <w:bCs/>
          <w:sz w:val="24"/>
          <w:szCs w:val="24"/>
        </w:rPr>
        <w:fldChar w:fldCharType="begin"/>
      </w:r>
      <w:r>
        <w:rPr>
          <w:b/>
          <w:bCs/>
          <w:sz w:val="24"/>
          <w:szCs w:val="24"/>
        </w:rPr>
        <w:instrText xml:space="preserve"> REF _Ref28746 \h </w:instrText>
      </w:r>
      <w:r>
        <w:rPr>
          <w:b/>
          <w:bCs/>
          <w:sz w:val="24"/>
          <w:szCs w:val="24"/>
        </w:rPr>
      </w:r>
      <w:r>
        <w:rPr>
          <w:b/>
          <w:bCs/>
          <w:sz w:val="24"/>
          <w:szCs w:val="24"/>
        </w:rPr>
        <w:fldChar w:fldCharType="separate"/>
      </w:r>
      <w:r>
        <w:t>Tabelul 6</w:t>
      </w:r>
      <w:r>
        <w:rPr>
          <w:b/>
          <w:bCs/>
          <w:sz w:val="24"/>
          <w:szCs w:val="24"/>
        </w:rPr>
        <w:fldChar w:fldCharType="end"/>
      </w:r>
      <w:r>
        <w:rPr>
          <w:sz w:val="24"/>
          <w:szCs w:val="24"/>
        </w:rPr>
        <w:t>.</w:t>
      </w:r>
    </w:p>
    <w:p w14:paraId="71806895" w14:textId="77777777" w:rsidR="001C08A5" w:rsidRDefault="00000000">
      <w:pPr>
        <w:numPr>
          <w:ilvl w:val="255"/>
          <w:numId w:val="0"/>
        </w:numPr>
        <w:ind w:firstLine="720"/>
        <w:jc w:val="both"/>
        <w:rPr>
          <w:sz w:val="24"/>
          <w:szCs w:val="24"/>
        </w:rPr>
      </w:pPr>
      <w:r>
        <w:rPr>
          <w:b/>
          <w:sz w:val="24"/>
          <w:szCs w:val="24"/>
          <w:lang w:val="en-US"/>
        </w:rPr>
        <w:t>(2)</w:t>
      </w:r>
      <w:r>
        <w:rPr>
          <w:b/>
          <w:sz w:val="24"/>
          <w:szCs w:val="24"/>
        </w:rPr>
        <w:t xml:space="preserve"> </w:t>
      </w:r>
      <w:proofErr w:type="gramStart"/>
      <w:r>
        <w:rPr>
          <w:sz w:val="24"/>
          <w:szCs w:val="24"/>
        </w:rPr>
        <w:t>Pentru  pentru</w:t>
      </w:r>
      <w:proofErr w:type="gramEnd"/>
      <w:r>
        <w:rPr>
          <w:sz w:val="24"/>
          <w:szCs w:val="24"/>
        </w:rPr>
        <w:t xml:space="preserve"> situațiile prevăzute la </w:t>
      </w:r>
      <w:r>
        <w:rPr>
          <w:b/>
          <w:bCs/>
          <w:sz w:val="24"/>
          <w:szCs w:val="24"/>
        </w:rPr>
        <w:t>Art. 2.3.2.1.2. lit. a)</w:t>
      </w:r>
      <w:r>
        <w:rPr>
          <w:sz w:val="24"/>
          <w:szCs w:val="24"/>
        </w:rPr>
        <w:t xml:space="preserve"> cu </w:t>
      </w:r>
      <w:r>
        <w:rPr>
          <w:b/>
          <w:bCs/>
          <w:sz w:val="24"/>
          <w:szCs w:val="24"/>
        </w:rPr>
        <w:t>q ≤ 630 MJ/m</w:t>
      </w:r>
      <w:r>
        <w:rPr>
          <w:b/>
          <w:bCs/>
          <w:sz w:val="24"/>
          <w:szCs w:val="24"/>
          <w:vertAlign w:val="superscript"/>
        </w:rPr>
        <w:t xml:space="preserve">2 </w:t>
      </w:r>
      <w:r>
        <w:rPr>
          <w:sz w:val="24"/>
          <w:szCs w:val="24"/>
        </w:rPr>
        <w:t xml:space="preserve">precum și pentru construcțiile conformate în acord cu </w:t>
      </w:r>
      <w:r>
        <w:rPr>
          <w:b/>
          <w:sz w:val="24"/>
          <w:szCs w:val="24"/>
        </w:rPr>
        <w:t xml:space="preserve">Art. </w:t>
      </w:r>
      <w:r>
        <w:rPr>
          <w:b/>
          <w:bCs/>
          <w:sz w:val="24"/>
          <w:szCs w:val="24"/>
        </w:rPr>
        <w:t>2.1.3.</w:t>
      </w:r>
      <w:r>
        <w:rPr>
          <w:b/>
          <w:sz w:val="24"/>
          <w:szCs w:val="24"/>
        </w:rPr>
        <w:t>5. alin. (1)</w:t>
      </w:r>
      <w:r>
        <w:rPr>
          <w:sz w:val="24"/>
          <w:szCs w:val="24"/>
        </w:rPr>
        <w:t xml:space="preserve">este interzisă străpungerea de către elemente metalice a pereţilor rezistenţi la foc de separare a compartimentelor de incendiu (pereţi antifoc). </w:t>
      </w:r>
    </w:p>
    <w:p w14:paraId="66390C99" w14:textId="77777777" w:rsidR="001C08A5" w:rsidRDefault="00000000">
      <w:pPr>
        <w:numPr>
          <w:ilvl w:val="255"/>
          <w:numId w:val="0"/>
        </w:numPr>
        <w:ind w:firstLine="720"/>
        <w:jc w:val="both"/>
        <w:rPr>
          <w:sz w:val="24"/>
          <w:szCs w:val="24"/>
        </w:rPr>
      </w:pPr>
      <w:r>
        <w:rPr>
          <w:b/>
          <w:sz w:val="24"/>
          <w:szCs w:val="24"/>
          <w:lang w:val="en-US"/>
        </w:rPr>
        <w:t>(</w:t>
      </w:r>
      <w:r>
        <w:rPr>
          <w:b/>
          <w:sz w:val="24"/>
          <w:szCs w:val="24"/>
        </w:rPr>
        <w:t>3</w:t>
      </w:r>
      <w:r>
        <w:rPr>
          <w:b/>
          <w:sz w:val="24"/>
          <w:szCs w:val="24"/>
          <w:lang w:val="en-US"/>
        </w:rPr>
        <w:t>)</w:t>
      </w:r>
      <w:r>
        <w:rPr>
          <w:b/>
          <w:sz w:val="24"/>
          <w:szCs w:val="24"/>
        </w:rPr>
        <w:t xml:space="preserve"> </w:t>
      </w:r>
      <w:r>
        <w:rPr>
          <w:sz w:val="24"/>
          <w:szCs w:val="24"/>
        </w:rPr>
        <w:t>Nu se admite încastrarea în pereţii antifoc a planşeelor (</w:t>
      </w:r>
      <w:r>
        <w:rPr>
          <w:b/>
          <w:bCs/>
          <w:sz w:val="24"/>
          <w:szCs w:val="24"/>
        </w:rPr>
        <w:t>REI</w:t>
      </w:r>
      <w:r>
        <w:rPr>
          <w:sz w:val="24"/>
          <w:szCs w:val="24"/>
        </w:rPr>
        <w:t xml:space="preserve">) sau </w:t>
      </w:r>
      <w:proofErr w:type="gramStart"/>
      <w:r>
        <w:rPr>
          <w:sz w:val="24"/>
          <w:szCs w:val="24"/>
        </w:rPr>
        <w:t>a</w:t>
      </w:r>
      <w:proofErr w:type="gramEnd"/>
      <w:r>
        <w:rPr>
          <w:sz w:val="24"/>
          <w:szCs w:val="24"/>
        </w:rPr>
        <w:t xml:space="preserve"> altor elemente constructive care au rezistenţă la foc mai mică de </w:t>
      </w:r>
      <w:r>
        <w:rPr>
          <w:b/>
          <w:bCs/>
          <w:sz w:val="24"/>
          <w:szCs w:val="24"/>
        </w:rPr>
        <w:t>R</w:t>
      </w:r>
      <w:r>
        <w:rPr>
          <w:b/>
          <w:bCs/>
          <w:sz w:val="24"/>
          <w:szCs w:val="24"/>
          <w:lang w:val="en-US"/>
        </w:rPr>
        <w:t xml:space="preserve"> 120</w:t>
      </w:r>
      <w:r>
        <w:rPr>
          <w:b/>
          <w:bCs/>
          <w:sz w:val="24"/>
          <w:szCs w:val="24"/>
        </w:rPr>
        <w:t xml:space="preserve"> </w:t>
      </w:r>
      <w:r>
        <w:rPr>
          <w:sz w:val="24"/>
          <w:szCs w:val="24"/>
        </w:rPr>
        <w:t>(grinzi, ferme, etc.), permiţându-se numai rezemarea acestora (liberă sau articulată).</w:t>
      </w:r>
    </w:p>
    <w:p w14:paraId="35A52CB7" w14:textId="77777777" w:rsidR="001C08A5" w:rsidRDefault="001C08A5">
      <w:pPr>
        <w:rPr>
          <w:sz w:val="24"/>
          <w:szCs w:val="24"/>
        </w:rPr>
      </w:pPr>
    </w:p>
    <w:p w14:paraId="1CB127DF" w14:textId="77777777" w:rsidR="001C08A5" w:rsidRDefault="00000000">
      <w:pPr>
        <w:ind w:firstLine="705"/>
        <w:jc w:val="both"/>
        <w:rPr>
          <w:b/>
          <w:sz w:val="24"/>
          <w:szCs w:val="24"/>
        </w:rPr>
      </w:pPr>
      <w:r>
        <w:rPr>
          <w:b/>
          <w:sz w:val="24"/>
          <w:szCs w:val="24"/>
        </w:rPr>
        <w:t xml:space="preserve">Art. 2.3.2.1.12. (1) </w:t>
      </w:r>
      <w:r>
        <w:rPr>
          <w:sz w:val="24"/>
          <w:szCs w:val="24"/>
        </w:rPr>
        <w:t>Traversarea pereţilor rezistenţi la foc de separare a compartimentelor de incendiu (pereţi antifoc) de către conducte, canale de ventilare-condiţionare, conductoare și cabluri electrice, este admisă numai dacă se înde</w:t>
      </w:r>
      <w:r>
        <w:rPr>
          <w:sz w:val="24"/>
          <w:szCs w:val="24"/>
          <w:lang w:val="en-US"/>
        </w:rPr>
        <w:t>p</w:t>
      </w:r>
      <w:r>
        <w:rPr>
          <w:sz w:val="24"/>
          <w:szCs w:val="24"/>
        </w:rPr>
        <w:t xml:space="preserve">linește condiția de etanşare/ obturare cu materiale în alcatuiri rezistente la foc minimum </w:t>
      </w:r>
      <w:r>
        <w:rPr>
          <w:bCs/>
          <w:sz w:val="24"/>
          <w:szCs w:val="24"/>
        </w:rPr>
        <w:t>cu aceeași valoare cât rezistenţa la foc normată a pereţilor care separă compartimentele de incendiu în conformitate cu</w:t>
      </w:r>
      <w:r>
        <w:rPr>
          <w:b/>
          <w:bCs/>
          <w:sz w:val="24"/>
          <w:szCs w:val="24"/>
        </w:rPr>
        <w:t xml:space="preserve"> Art. 2.3.2.1.2., </w:t>
      </w:r>
      <w:r>
        <w:rPr>
          <w:sz w:val="24"/>
          <w:szCs w:val="24"/>
        </w:rPr>
        <w:t>astfel:</w:t>
      </w:r>
    </w:p>
    <w:p w14:paraId="5353631D" w14:textId="77777777" w:rsidR="001C08A5" w:rsidRDefault="00000000">
      <w:pPr>
        <w:ind w:left="1425" w:firstLine="720"/>
        <w:jc w:val="both"/>
        <w:rPr>
          <w:b/>
          <w:sz w:val="24"/>
          <w:szCs w:val="24"/>
        </w:rPr>
      </w:pPr>
      <w:r>
        <w:rPr>
          <w:b/>
          <w:sz w:val="24"/>
          <w:szCs w:val="24"/>
        </w:rPr>
        <w:t>a</w:t>
      </w:r>
      <w:r>
        <w:rPr>
          <w:sz w:val="24"/>
          <w:szCs w:val="24"/>
        </w:rPr>
        <w:t xml:space="preserve">) spaţiile libere în jurul conductelor, cablurilor, conductoarelor electrice etc., inclusiv cele montate în canale, se închid cu materiale având rezistenţa la foc minimum </w:t>
      </w:r>
      <w:r>
        <w:rPr>
          <w:b/>
          <w:sz w:val="24"/>
          <w:szCs w:val="24"/>
        </w:rPr>
        <w:t xml:space="preserve">EI </w:t>
      </w:r>
      <w:r>
        <w:rPr>
          <w:bCs/>
          <w:sz w:val="24"/>
          <w:szCs w:val="24"/>
        </w:rPr>
        <w:t>cu aceeași valoare cât rezistenţa la foc normată a pereţilor care separă compartimentele de incendiu în conformitate cu</w:t>
      </w:r>
      <w:r>
        <w:rPr>
          <w:b/>
          <w:bCs/>
          <w:sz w:val="24"/>
          <w:szCs w:val="24"/>
        </w:rPr>
        <w:t xml:space="preserve"> Art. 2.3.2.1.2.</w:t>
      </w:r>
      <w:r>
        <w:rPr>
          <w:sz w:val="24"/>
          <w:szCs w:val="24"/>
        </w:rPr>
        <w:t xml:space="preserve"> ;</w:t>
      </w:r>
    </w:p>
    <w:p w14:paraId="410E25DA" w14:textId="77777777" w:rsidR="001C08A5" w:rsidRDefault="00000000">
      <w:pPr>
        <w:ind w:left="1425" w:firstLine="720"/>
        <w:jc w:val="both"/>
        <w:rPr>
          <w:b/>
          <w:sz w:val="24"/>
          <w:szCs w:val="24"/>
        </w:rPr>
      </w:pPr>
      <w:r>
        <w:rPr>
          <w:b/>
          <w:sz w:val="24"/>
          <w:szCs w:val="24"/>
        </w:rPr>
        <w:t>b)</w:t>
      </w:r>
      <w:r>
        <w:rPr>
          <w:sz w:val="24"/>
          <w:szCs w:val="24"/>
        </w:rPr>
        <w:t xml:space="preserve"> canalele de ventilare-condiţionare care traversează peretele antifoc care separă </w:t>
      </w:r>
      <w:r>
        <w:rPr>
          <w:bCs/>
          <w:sz w:val="24"/>
          <w:szCs w:val="24"/>
        </w:rPr>
        <w:t>compartimentele de incendiu în conformitate cu</w:t>
      </w:r>
      <w:r>
        <w:rPr>
          <w:b/>
          <w:bCs/>
          <w:sz w:val="24"/>
          <w:szCs w:val="24"/>
        </w:rPr>
        <w:t xml:space="preserve"> Art. 2.3.2.1.2. </w:t>
      </w:r>
      <w:r>
        <w:rPr>
          <w:sz w:val="24"/>
          <w:szCs w:val="24"/>
        </w:rPr>
        <w:t xml:space="preserve">sunt incombustibile pe cel puţin </w:t>
      </w:r>
      <w:r>
        <w:rPr>
          <w:b/>
          <w:sz w:val="24"/>
          <w:szCs w:val="24"/>
        </w:rPr>
        <w:t>1 m</w:t>
      </w:r>
      <w:r>
        <w:rPr>
          <w:sz w:val="24"/>
          <w:szCs w:val="24"/>
        </w:rPr>
        <w:t xml:space="preserve"> de o parte și de alta a peretelui, iar golul dintre perete și acestea se etanşează cu materiale în alcatuiri rezistente la foc minimum </w:t>
      </w:r>
      <w:r>
        <w:rPr>
          <w:b/>
          <w:sz w:val="24"/>
          <w:szCs w:val="24"/>
        </w:rPr>
        <w:t xml:space="preserve">EI </w:t>
      </w:r>
      <w:r>
        <w:rPr>
          <w:bCs/>
          <w:sz w:val="24"/>
          <w:szCs w:val="24"/>
        </w:rPr>
        <w:t>cu aceeași valoare cât rezistenţa la foc normată a pereţilor care separă compartimentele de incendiu în conformitate cu</w:t>
      </w:r>
      <w:r>
        <w:rPr>
          <w:b/>
          <w:bCs/>
          <w:sz w:val="24"/>
          <w:szCs w:val="24"/>
        </w:rPr>
        <w:t xml:space="preserve"> Art. 2.3.2.1.2.</w:t>
      </w:r>
      <w:r>
        <w:rPr>
          <w:sz w:val="24"/>
          <w:szCs w:val="24"/>
        </w:rPr>
        <w:t>; în zona de traversare, canalele de ventilare-</w:t>
      </w:r>
      <w:r>
        <w:rPr>
          <w:sz w:val="24"/>
          <w:szCs w:val="24"/>
        </w:rPr>
        <w:lastRenderedPageBreak/>
        <w:t xml:space="preserve">condiţionare sunt prevăzute cu sisteme de obturare cu închidere automată, clapete, rezistente la foc minimum </w:t>
      </w:r>
      <w:r>
        <w:rPr>
          <w:b/>
          <w:sz w:val="24"/>
          <w:szCs w:val="24"/>
        </w:rPr>
        <w:t>EI X (ho i</w:t>
      </w:r>
      <w:r>
        <w:rPr>
          <w:b/>
          <w:sz w:val="24"/>
          <w:szCs w:val="24"/>
        </w:rPr>
        <w:sym w:font="Symbol" w:char="F0AB"/>
      </w:r>
      <w:r>
        <w:rPr>
          <w:b/>
          <w:sz w:val="24"/>
          <w:szCs w:val="24"/>
        </w:rPr>
        <w:t>o) S,</w:t>
      </w:r>
      <w:r>
        <w:rPr>
          <w:bCs/>
          <w:sz w:val="24"/>
          <w:szCs w:val="24"/>
        </w:rPr>
        <w:t xml:space="preserve"> în care ”X” are aceeași valoare cât rezistenţa la foc normată a pereţilor care separă compartimentele de incendiu în conformitate cu</w:t>
      </w:r>
      <w:r>
        <w:rPr>
          <w:b/>
          <w:bCs/>
          <w:sz w:val="24"/>
          <w:szCs w:val="24"/>
        </w:rPr>
        <w:t xml:space="preserve"> Art. 2.3.2.1.2.</w:t>
      </w:r>
      <w:r>
        <w:rPr>
          <w:sz w:val="24"/>
          <w:szCs w:val="24"/>
        </w:rPr>
        <w:t xml:space="preserve">; </w:t>
      </w:r>
    </w:p>
    <w:p w14:paraId="56CEFFA0" w14:textId="77777777" w:rsidR="001C08A5" w:rsidRDefault="00000000">
      <w:pPr>
        <w:ind w:left="1425" w:firstLine="720"/>
        <w:jc w:val="both"/>
        <w:rPr>
          <w:b/>
          <w:sz w:val="24"/>
          <w:szCs w:val="24"/>
        </w:rPr>
      </w:pPr>
      <w:r>
        <w:rPr>
          <w:b/>
          <w:sz w:val="24"/>
          <w:szCs w:val="24"/>
        </w:rPr>
        <w:t>c</w:t>
      </w:r>
      <w:r>
        <w:rPr>
          <w:sz w:val="24"/>
          <w:szCs w:val="24"/>
        </w:rPr>
        <w:t>)  trecerea conductelor, conductoarelor și a canalelor de ventilare se realizează astfel încât să nu producă dislocări ale unor porţiuni de perete datorită dilatării lor sub efectul temperaturii;</w:t>
      </w:r>
    </w:p>
    <w:p w14:paraId="5E317863" w14:textId="77777777" w:rsidR="001C08A5" w:rsidRDefault="00000000">
      <w:pPr>
        <w:ind w:left="1425" w:firstLine="720"/>
        <w:jc w:val="both"/>
        <w:rPr>
          <w:sz w:val="24"/>
          <w:szCs w:val="24"/>
        </w:rPr>
      </w:pPr>
      <w:r>
        <w:rPr>
          <w:b/>
          <w:sz w:val="24"/>
          <w:szCs w:val="24"/>
        </w:rPr>
        <w:t>d</w:t>
      </w:r>
      <w:r>
        <w:rPr>
          <w:sz w:val="24"/>
          <w:szCs w:val="24"/>
        </w:rPr>
        <w:t>) se asigură evitarea aprinderii materialelor combustibile din vecinătatea canalelor de ventilare-condiţionare, a conductoarelor și conductelor metalice, datorită căldurii transmise prin conductibilitate (stabilirea unor trasee corespunzătoare, termoizolare etc.).</w:t>
      </w:r>
    </w:p>
    <w:p w14:paraId="2AE450F2" w14:textId="77777777" w:rsidR="001C08A5" w:rsidRDefault="00000000">
      <w:pPr>
        <w:ind w:left="1425" w:firstLine="720"/>
        <w:jc w:val="both"/>
        <w:rPr>
          <w:sz w:val="24"/>
          <w:szCs w:val="24"/>
        </w:rPr>
      </w:pPr>
      <w:r>
        <w:rPr>
          <w:b/>
          <w:sz w:val="24"/>
          <w:szCs w:val="24"/>
        </w:rPr>
        <w:t>e)</w:t>
      </w:r>
      <w:r>
        <w:rPr>
          <w:sz w:val="24"/>
          <w:szCs w:val="24"/>
        </w:rPr>
        <w:t xml:space="preserve"> conductele din mase plastice pentru canalizare se vor prevedea cu sisteme</w:t>
      </w:r>
      <w:r>
        <w:rPr>
          <w:sz w:val="24"/>
          <w:szCs w:val="24"/>
          <w:lang w:val="en-US"/>
        </w:rPr>
        <w:t>/elemente</w:t>
      </w:r>
      <w:r>
        <w:rPr>
          <w:sz w:val="24"/>
          <w:szCs w:val="24"/>
        </w:rPr>
        <w:t xml:space="preserve"> de obturare cu închidere automată, rezistente la foc minimum </w:t>
      </w:r>
      <w:r>
        <w:rPr>
          <w:b/>
          <w:sz w:val="24"/>
          <w:szCs w:val="24"/>
        </w:rPr>
        <w:t xml:space="preserve">EI </w:t>
      </w:r>
      <w:r>
        <w:rPr>
          <w:bCs/>
          <w:sz w:val="24"/>
          <w:szCs w:val="24"/>
        </w:rPr>
        <w:t>cu aceeași valoare cât rezistenţa la foc normată a pereţilor care separă compartimentele de incendiu în conformitate cu</w:t>
      </w:r>
      <w:r>
        <w:rPr>
          <w:b/>
          <w:bCs/>
          <w:sz w:val="24"/>
          <w:szCs w:val="24"/>
        </w:rPr>
        <w:t xml:space="preserve"> Art. 2.3.2.1.2.</w:t>
      </w:r>
      <w:r>
        <w:rPr>
          <w:sz w:val="24"/>
          <w:szCs w:val="24"/>
        </w:rPr>
        <w:t>;.</w:t>
      </w:r>
    </w:p>
    <w:p w14:paraId="14022BBC" w14:textId="77777777" w:rsidR="001C08A5" w:rsidRDefault="00000000">
      <w:pPr>
        <w:ind w:firstLine="720"/>
        <w:jc w:val="both"/>
        <w:rPr>
          <w:b/>
          <w:sz w:val="24"/>
          <w:szCs w:val="24"/>
        </w:rPr>
      </w:pPr>
      <w:r>
        <w:rPr>
          <w:b/>
          <w:bCs/>
          <w:sz w:val="24"/>
          <w:szCs w:val="24"/>
        </w:rPr>
        <w:t xml:space="preserve">(2) </w:t>
      </w:r>
      <w:r>
        <w:rPr>
          <w:sz w:val="24"/>
          <w:szCs w:val="24"/>
        </w:rPr>
        <w:t xml:space="preserve">Traversarea pereţilor </w:t>
      </w:r>
      <w:hyperlink r:id="rId121" w:history="1">
        <w:r>
          <w:rPr>
            <w:sz w:val="24"/>
            <w:szCs w:val="24"/>
          </w:rPr>
          <w:t>de</w:t>
        </w:r>
      </w:hyperlink>
      <w:r>
        <w:rPr>
          <w:sz w:val="24"/>
          <w:szCs w:val="24"/>
        </w:rPr>
        <w:t xml:space="preserve"> sectorizare prevazuți pentru </w:t>
      </w:r>
      <w:hyperlink r:id="rId122" w:history="1">
        <w:r>
          <w:rPr>
            <w:sz w:val="24"/>
            <w:szCs w:val="24"/>
          </w:rPr>
          <w:t>protecţi</w:t>
        </w:r>
      </w:hyperlink>
      <w:r>
        <w:rPr>
          <w:sz w:val="24"/>
          <w:szCs w:val="24"/>
        </w:rPr>
        <w:t>a </w:t>
      </w:r>
      <w:hyperlink r:id="rId123" w:history="1">
        <w:r>
          <w:rPr>
            <w:sz w:val="24"/>
            <w:szCs w:val="24"/>
          </w:rPr>
          <w:t>contra</w:t>
        </w:r>
      </w:hyperlink>
      <w:r>
        <w:rPr>
          <w:sz w:val="24"/>
          <w:szCs w:val="24"/>
        </w:rPr>
        <w:t> </w:t>
      </w:r>
      <w:hyperlink r:id="rId124" w:history="1">
        <w:r>
          <w:rPr>
            <w:sz w:val="24"/>
            <w:szCs w:val="24"/>
          </w:rPr>
          <w:t>incendiilor</w:t>
        </w:r>
      </w:hyperlink>
      <w:r>
        <w:rPr>
          <w:sz w:val="24"/>
          <w:szCs w:val="24"/>
        </w:rPr>
        <w:t xml:space="preserve"> care limitează propagarea în interiorul compartimentelor de incendiu de către conducte, canale de ventilare-condiţionare, conductoare și cabluri electrice, este admisă numai dacă:</w:t>
      </w:r>
    </w:p>
    <w:p w14:paraId="32547A47" w14:textId="77777777" w:rsidR="001C08A5" w:rsidRDefault="00000000">
      <w:pPr>
        <w:ind w:left="1440" w:firstLine="720"/>
        <w:jc w:val="both"/>
        <w:rPr>
          <w:sz w:val="24"/>
          <w:szCs w:val="24"/>
        </w:rPr>
      </w:pPr>
      <w:r>
        <w:rPr>
          <w:b/>
          <w:sz w:val="24"/>
          <w:szCs w:val="24"/>
        </w:rPr>
        <w:t>a</w:t>
      </w:r>
      <w:r>
        <w:rPr>
          <w:sz w:val="24"/>
          <w:szCs w:val="24"/>
        </w:rPr>
        <w:t xml:space="preserve">) spaţiile libere în jurul conductelor, cablurilor, conductoarelor electrice etc., inclusiv cele montate în canale, se închid cu materiale având aceeaşi rezistenţa la foc cu a peretilor pe care ii intersecteaza (rezistenţa la foc minimum </w:t>
      </w:r>
      <w:r>
        <w:rPr>
          <w:bCs/>
          <w:sz w:val="24"/>
          <w:szCs w:val="24"/>
        </w:rPr>
        <w:t xml:space="preserve">prevazuta de </w:t>
      </w:r>
      <w:r>
        <w:rPr>
          <w:b/>
          <w:sz w:val="24"/>
          <w:szCs w:val="24"/>
        </w:rPr>
        <w:t>Tabelul 2</w:t>
      </w:r>
      <w:r>
        <w:rPr>
          <w:bCs/>
          <w:sz w:val="24"/>
          <w:szCs w:val="24"/>
        </w:rPr>
        <w:t xml:space="preserve">: Condiţii minime pentru încadrarea construcţiei sau a compartimentului de incendiu în niveluri de stabilitate la incendiu pentru pereţii </w:t>
      </w:r>
      <w:hyperlink r:id="rId125" w:history="1">
        <w:r>
          <w:rPr>
            <w:bCs/>
            <w:sz w:val="24"/>
            <w:szCs w:val="24"/>
          </w:rPr>
          <w:t>de</w:t>
        </w:r>
      </w:hyperlink>
      <w:r>
        <w:rPr>
          <w:bCs/>
          <w:sz w:val="24"/>
          <w:szCs w:val="24"/>
        </w:rPr>
        <w:t> sectorizare prevazuți</w:t>
      </w:r>
      <w:r>
        <w:rPr>
          <w:sz w:val="24"/>
          <w:szCs w:val="24"/>
        </w:rPr>
        <w:t xml:space="preserve"> pentru </w:t>
      </w:r>
      <w:hyperlink r:id="rId126" w:history="1">
        <w:r>
          <w:rPr>
            <w:sz w:val="24"/>
            <w:szCs w:val="24"/>
          </w:rPr>
          <w:t>protecţi</w:t>
        </w:r>
      </w:hyperlink>
      <w:r>
        <w:rPr>
          <w:sz w:val="24"/>
          <w:szCs w:val="24"/>
        </w:rPr>
        <w:t>a </w:t>
      </w:r>
      <w:hyperlink r:id="rId127" w:history="1">
        <w:r>
          <w:rPr>
            <w:sz w:val="24"/>
            <w:szCs w:val="24"/>
          </w:rPr>
          <w:t>contra</w:t>
        </w:r>
      </w:hyperlink>
      <w:r>
        <w:rPr>
          <w:sz w:val="24"/>
          <w:szCs w:val="24"/>
        </w:rPr>
        <w:t> </w:t>
      </w:r>
      <w:hyperlink r:id="rId128" w:history="1">
        <w:r>
          <w:rPr>
            <w:sz w:val="24"/>
            <w:szCs w:val="24"/>
          </w:rPr>
          <w:t>incendiilor</w:t>
        </w:r>
      </w:hyperlink>
      <w:r>
        <w:rPr>
          <w:sz w:val="24"/>
          <w:szCs w:val="24"/>
        </w:rPr>
        <w:t xml:space="preserve"> care limitează propagarea în interiorul compartimentelor de incendiu;</w:t>
      </w:r>
    </w:p>
    <w:p w14:paraId="6DE3CB5C" w14:textId="77777777" w:rsidR="001C08A5" w:rsidRDefault="00000000">
      <w:pPr>
        <w:ind w:left="1425" w:firstLine="720"/>
        <w:jc w:val="both"/>
        <w:rPr>
          <w:sz w:val="24"/>
          <w:szCs w:val="24"/>
        </w:rPr>
      </w:pPr>
      <w:r>
        <w:rPr>
          <w:b/>
          <w:sz w:val="24"/>
          <w:szCs w:val="24"/>
        </w:rPr>
        <w:t>b)</w:t>
      </w:r>
      <w:r>
        <w:rPr>
          <w:sz w:val="24"/>
          <w:szCs w:val="24"/>
        </w:rPr>
        <w:t xml:space="preserve"> canalele de ventilare-condiţionare care traversează peretele de sectorizaresunt incombustibile pe cel puţin </w:t>
      </w:r>
      <w:r>
        <w:rPr>
          <w:b/>
          <w:sz w:val="24"/>
          <w:szCs w:val="24"/>
        </w:rPr>
        <w:t>1 m</w:t>
      </w:r>
      <w:r>
        <w:rPr>
          <w:sz w:val="24"/>
          <w:szCs w:val="24"/>
        </w:rPr>
        <w:t xml:space="preserve"> de o parte și de alta a peretelui, iar golul dintre perete și acestea se etanşează cu materiale în alcatuiri rezistente la foc minimum </w:t>
      </w:r>
      <w:r>
        <w:rPr>
          <w:b/>
          <w:sz w:val="24"/>
          <w:szCs w:val="24"/>
        </w:rPr>
        <w:t xml:space="preserve">EI </w:t>
      </w:r>
      <w:r>
        <w:rPr>
          <w:bCs/>
          <w:sz w:val="24"/>
          <w:szCs w:val="24"/>
        </w:rPr>
        <w:t>cu aceeași valoare cât rezistenţa la foc normată a pereţilor pe care îi intersectează</w:t>
      </w:r>
      <w:r>
        <w:rPr>
          <w:sz w:val="24"/>
          <w:szCs w:val="24"/>
        </w:rPr>
        <w:t xml:space="preserve">; în zona de traversare, canalele de ventilare-condiţionare sunt prevăzute cu sisteme de obturare cu închidere automată, clapete, rezistente la foc minimum </w:t>
      </w:r>
      <w:r>
        <w:rPr>
          <w:b/>
          <w:sz w:val="24"/>
          <w:szCs w:val="24"/>
        </w:rPr>
        <w:t>EI X (ho i</w:t>
      </w:r>
      <w:r>
        <w:rPr>
          <w:b/>
          <w:sz w:val="24"/>
          <w:szCs w:val="24"/>
        </w:rPr>
        <w:sym w:font="Symbol" w:char="F0AB"/>
      </w:r>
      <w:r>
        <w:rPr>
          <w:b/>
          <w:sz w:val="24"/>
          <w:szCs w:val="24"/>
        </w:rPr>
        <w:t>o) S,</w:t>
      </w:r>
      <w:r>
        <w:rPr>
          <w:bCs/>
          <w:sz w:val="24"/>
          <w:szCs w:val="24"/>
        </w:rPr>
        <w:t xml:space="preserve"> în care ”X” are aceeași valoare cât </w:t>
      </w:r>
      <w:r>
        <w:rPr>
          <w:sz w:val="24"/>
          <w:szCs w:val="24"/>
        </w:rPr>
        <w:t>rezistenţa la foc cu a peretilor pe care îi intersecteaza;</w:t>
      </w:r>
    </w:p>
    <w:p w14:paraId="56FD72E5" w14:textId="77777777" w:rsidR="001C08A5" w:rsidRDefault="00000000">
      <w:pPr>
        <w:ind w:left="1425" w:firstLine="720"/>
        <w:jc w:val="both"/>
        <w:rPr>
          <w:b/>
          <w:sz w:val="24"/>
          <w:szCs w:val="24"/>
        </w:rPr>
      </w:pPr>
      <w:r>
        <w:rPr>
          <w:b/>
          <w:sz w:val="24"/>
          <w:szCs w:val="24"/>
        </w:rPr>
        <w:t>c</w:t>
      </w:r>
      <w:r>
        <w:rPr>
          <w:sz w:val="24"/>
          <w:szCs w:val="24"/>
        </w:rPr>
        <w:t>)  trecerea conductelor, conductoarelor și a canalelor de ventilare se realizează astfel încât să nu producă dislocări ale unor porţiuni de perete datorită dilatării lor sub efectul temperaturii;</w:t>
      </w:r>
    </w:p>
    <w:p w14:paraId="542D9960" w14:textId="77777777" w:rsidR="001C08A5" w:rsidRDefault="00000000">
      <w:pPr>
        <w:ind w:left="1425" w:firstLine="720"/>
        <w:jc w:val="both"/>
        <w:rPr>
          <w:b/>
          <w:sz w:val="24"/>
          <w:szCs w:val="24"/>
        </w:rPr>
      </w:pPr>
      <w:r>
        <w:rPr>
          <w:b/>
          <w:sz w:val="24"/>
          <w:szCs w:val="24"/>
        </w:rPr>
        <w:t>d</w:t>
      </w:r>
      <w:r>
        <w:rPr>
          <w:sz w:val="24"/>
          <w:szCs w:val="24"/>
        </w:rPr>
        <w:t>) se asigură evitarea aprinderii materialelor combustibile din vecinătatea canalelor de ventilare-condiţionare, a conductoarelor și conductelor metalice, datorită căldurii transmise prin conductibilitate (stabilirea unor trasee corespunzătoare, termoizolare etc.).</w:t>
      </w:r>
    </w:p>
    <w:p w14:paraId="7461DE13" w14:textId="77777777" w:rsidR="001C08A5" w:rsidRDefault="00000000">
      <w:pPr>
        <w:pStyle w:val="Heading5"/>
        <w:jc w:val="both"/>
        <w:rPr>
          <w:sz w:val="24"/>
          <w:szCs w:val="24"/>
          <w:lang w:val="ro-RO"/>
        </w:rPr>
      </w:pPr>
      <w:bookmarkStart w:id="1176" w:name="_Toc28616"/>
      <w:bookmarkStart w:id="1177" w:name="_Toc9529"/>
      <w:bookmarkStart w:id="1178" w:name="_Toc8233"/>
      <w:bookmarkStart w:id="1179" w:name="_Toc17209"/>
      <w:bookmarkStart w:id="1180" w:name="_Toc27843"/>
      <w:bookmarkStart w:id="1181" w:name="_Toc18083"/>
      <w:bookmarkStart w:id="1182" w:name="_Toc162355198"/>
      <w:bookmarkStart w:id="1183" w:name="_Toc13846"/>
      <w:r>
        <w:rPr>
          <w:lang w:val="ro-RO"/>
        </w:rPr>
        <w:t>2.3.2.2. Protecţia golurilor funcţionale din pereţii rezistenţi la foc care separă compartimente de incendiu</w:t>
      </w:r>
      <w:bookmarkEnd w:id="1176"/>
      <w:bookmarkEnd w:id="1177"/>
      <w:bookmarkEnd w:id="1178"/>
      <w:bookmarkEnd w:id="1179"/>
      <w:bookmarkEnd w:id="1180"/>
      <w:bookmarkEnd w:id="1181"/>
      <w:bookmarkEnd w:id="1182"/>
      <w:bookmarkEnd w:id="1183"/>
    </w:p>
    <w:p w14:paraId="699175D0" w14:textId="77777777" w:rsidR="001C08A5" w:rsidRDefault="00000000">
      <w:pPr>
        <w:pStyle w:val="Heading6"/>
      </w:pPr>
      <w:bookmarkStart w:id="1184" w:name="_Toc32031"/>
      <w:bookmarkStart w:id="1185" w:name="_Toc18805"/>
      <w:bookmarkStart w:id="1186" w:name="_Toc20635"/>
      <w:bookmarkStart w:id="1187" w:name="_Toc21865"/>
      <w:bookmarkStart w:id="1188" w:name="_Toc162355199"/>
      <w:bookmarkStart w:id="1189" w:name="_Toc4273"/>
      <w:bookmarkStart w:id="1190" w:name="_Toc14691"/>
      <w:bookmarkStart w:id="1191" w:name="_Toc24029"/>
      <w:r>
        <w:t>2.3.2.2.1. Prevederi generale</w:t>
      </w:r>
      <w:bookmarkEnd w:id="1184"/>
      <w:bookmarkEnd w:id="1185"/>
      <w:bookmarkEnd w:id="1186"/>
      <w:bookmarkEnd w:id="1187"/>
      <w:bookmarkEnd w:id="1188"/>
      <w:bookmarkEnd w:id="1189"/>
      <w:bookmarkEnd w:id="1190"/>
      <w:bookmarkEnd w:id="1191"/>
    </w:p>
    <w:p w14:paraId="0C619098" w14:textId="77777777" w:rsidR="001C08A5" w:rsidRDefault="00000000">
      <w:pPr>
        <w:ind w:firstLine="708"/>
        <w:jc w:val="both"/>
        <w:rPr>
          <w:b/>
          <w:sz w:val="24"/>
          <w:szCs w:val="24"/>
        </w:rPr>
      </w:pPr>
      <w:r>
        <w:rPr>
          <w:b/>
          <w:sz w:val="24"/>
          <w:szCs w:val="24"/>
        </w:rPr>
        <w:t>Art. 2.3.2.2.1.1. (1)</w:t>
      </w:r>
      <w:r>
        <w:rPr>
          <w:sz w:val="24"/>
          <w:szCs w:val="24"/>
        </w:rPr>
        <w:t xml:space="preserve"> Pereţii rezistenţi la foc care separă compartimente de incendiu trebuie să fie plini (fără goluri în suprafata sa). Practicarea unor goluri (strapungeri) în aceşti pereţi este admisă numai atunci când activitatea sau funcţionalitatea impun prevederea lor (pentru circulaţie, transport, supraveghere etc.). Golurile respective sunt protejate corespunzător prevederilor normate, iar suprafaţa totală a golurilor nu trebuie să fie mai mare de </w:t>
      </w:r>
      <w:r>
        <w:rPr>
          <w:b/>
          <w:bCs/>
          <w:sz w:val="24"/>
          <w:szCs w:val="24"/>
        </w:rPr>
        <w:t>25%</w:t>
      </w:r>
      <w:r>
        <w:rPr>
          <w:sz w:val="24"/>
          <w:szCs w:val="24"/>
        </w:rPr>
        <w:t xml:space="preserve"> din cea a peretelui de compartimentare rezistent la foc care separă compartimente de incendiu (perete antifoc).</w:t>
      </w:r>
    </w:p>
    <w:p w14:paraId="15F4DD81" w14:textId="77777777" w:rsidR="001C08A5" w:rsidRDefault="00000000">
      <w:pPr>
        <w:ind w:firstLine="720"/>
        <w:jc w:val="both"/>
        <w:rPr>
          <w:sz w:val="24"/>
          <w:szCs w:val="24"/>
        </w:rPr>
      </w:pPr>
      <w:r>
        <w:rPr>
          <w:b/>
          <w:sz w:val="24"/>
          <w:szCs w:val="24"/>
        </w:rPr>
        <w:t>(2)</w:t>
      </w:r>
      <w:r>
        <w:rPr>
          <w:sz w:val="24"/>
          <w:szCs w:val="24"/>
        </w:rPr>
        <w:t xml:space="preserve"> Golurile de circulaţie, transport, supraveghere etc. din pereţii rezistenţi la foc care separă compartimente de incendiu se protejează obligatoriu cu elemente de închidere rezistente la foc (uşi, </w:t>
      </w:r>
      <w:r>
        <w:rPr>
          <w:sz w:val="24"/>
          <w:szCs w:val="24"/>
        </w:rPr>
        <w:lastRenderedPageBreak/>
        <w:t>obloane, cortine, încăperi tampon ventilate în suprapresiune sau tamburi deschişi), conform prevederilor normativului</w:t>
      </w:r>
      <w:r>
        <w:rPr>
          <w:b/>
          <w:bCs/>
          <w:sz w:val="24"/>
          <w:szCs w:val="24"/>
        </w:rPr>
        <w:t>.</w:t>
      </w:r>
    </w:p>
    <w:p w14:paraId="6DE25FDF" w14:textId="77777777" w:rsidR="001C08A5" w:rsidRDefault="00000000">
      <w:pPr>
        <w:pStyle w:val="Heading6"/>
      </w:pPr>
      <w:bookmarkStart w:id="1192" w:name="_Toc30479"/>
      <w:bookmarkStart w:id="1193" w:name="_Toc162355200"/>
      <w:bookmarkStart w:id="1194" w:name="_Toc935"/>
      <w:bookmarkStart w:id="1195" w:name="_Toc3500"/>
      <w:bookmarkStart w:id="1196" w:name="_Toc5711"/>
      <w:bookmarkStart w:id="1197" w:name="_Toc22443"/>
      <w:bookmarkStart w:id="1198" w:name="_Toc14536"/>
      <w:bookmarkStart w:id="1199" w:name="_Toc15768"/>
      <w:r>
        <w:t>2.3.2.2.2. Uşi, obloane, cortine</w:t>
      </w:r>
      <w:bookmarkEnd w:id="1192"/>
      <w:bookmarkEnd w:id="1193"/>
      <w:bookmarkEnd w:id="1194"/>
      <w:bookmarkEnd w:id="1195"/>
      <w:bookmarkEnd w:id="1196"/>
      <w:bookmarkEnd w:id="1197"/>
      <w:bookmarkEnd w:id="1198"/>
      <w:bookmarkEnd w:id="1199"/>
    </w:p>
    <w:p w14:paraId="2084EF31" w14:textId="77777777" w:rsidR="001C08A5" w:rsidRDefault="00000000">
      <w:pPr>
        <w:ind w:firstLine="705"/>
        <w:jc w:val="both"/>
        <w:rPr>
          <w:i/>
          <w:iCs/>
          <w:sz w:val="24"/>
          <w:szCs w:val="24"/>
        </w:rPr>
      </w:pPr>
      <w:r>
        <w:rPr>
          <w:b/>
          <w:sz w:val="24"/>
          <w:szCs w:val="24"/>
        </w:rPr>
        <w:tab/>
        <w:t xml:space="preserve">Art. </w:t>
      </w:r>
      <w:r>
        <w:rPr>
          <w:b/>
          <w:iCs/>
          <w:sz w:val="24"/>
          <w:szCs w:val="24"/>
        </w:rPr>
        <w:t>2.3.2.2.2.</w:t>
      </w:r>
      <w:r>
        <w:rPr>
          <w:b/>
          <w:sz w:val="24"/>
          <w:szCs w:val="24"/>
        </w:rPr>
        <w:t>1. (1)</w:t>
      </w:r>
      <w:r>
        <w:rPr>
          <w:sz w:val="24"/>
          <w:szCs w:val="24"/>
        </w:rPr>
        <w:t xml:space="preserve"> Uşile, obloanele şi cortinele rezistente la foc care protejază golurile funcţionale din pereţii  antifoc (</w:t>
      </w:r>
      <w:r>
        <w:rPr>
          <w:b/>
          <w:bCs/>
          <w:sz w:val="24"/>
          <w:szCs w:val="24"/>
        </w:rPr>
        <w:t>EI-M 180/ REI180</w:t>
      </w:r>
      <w:r>
        <w:rPr>
          <w:sz w:val="24"/>
          <w:szCs w:val="24"/>
        </w:rPr>
        <w:t xml:space="preserve">), trebuie să fie rezistente la foc minimum </w:t>
      </w:r>
      <w:r>
        <w:rPr>
          <w:b/>
          <w:bCs/>
          <w:sz w:val="24"/>
          <w:szCs w:val="24"/>
        </w:rPr>
        <w:t>90</w:t>
      </w:r>
      <w:r>
        <w:rPr>
          <w:sz w:val="24"/>
          <w:szCs w:val="24"/>
        </w:rPr>
        <w:t xml:space="preserve"> de minute, astfel:</w:t>
      </w:r>
    </w:p>
    <w:p w14:paraId="26D8E3F9" w14:textId="77777777" w:rsidR="001C08A5" w:rsidRDefault="00000000">
      <w:pPr>
        <w:numPr>
          <w:ilvl w:val="0"/>
          <w:numId w:val="38"/>
        </w:numPr>
        <w:ind w:left="2145"/>
        <w:jc w:val="both"/>
        <w:rPr>
          <w:sz w:val="24"/>
          <w:szCs w:val="24"/>
        </w:rPr>
      </w:pPr>
      <w:r>
        <w:rPr>
          <w:sz w:val="24"/>
          <w:szCs w:val="24"/>
        </w:rPr>
        <w:t xml:space="preserve">Uşile rezistente la foc inclusiv dispozitivele lor de închidere care protejază golurile funcţionale din pereţii rezistenţi la foc de separare a compartimentelor de incendiu (pereţi antifoc </w:t>
      </w:r>
      <w:r>
        <w:rPr>
          <w:b/>
          <w:bCs/>
          <w:sz w:val="24"/>
          <w:szCs w:val="24"/>
        </w:rPr>
        <w:t>EI-M 180/ REI180</w:t>
      </w:r>
      <w:r>
        <w:rPr>
          <w:sz w:val="24"/>
          <w:szCs w:val="24"/>
        </w:rPr>
        <w:t xml:space="preserve">), trebuie să fie rezistente la foc și etanșe la fum minimum </w:t>
      </w:r>
      <w:r>
        <w:rPr>
          <w:b/>
          <w:sz w:val="24"/>
          <w:szCs w:val="24"/>
        </w:rPr>
        <w:t>EI</w:t>
      </w:r>
      <w:r>
        <w:rPr>
          <w:b/>
          <w:sz w:val="24"/>
          <w:szCs w:val="24"/>
          <w:vertAlign w:val="subscript"/>
        </w:rPr>
        <w:t xml:space="preserve">2  </w:t>
      </w:r>
      <w:r>
        <w:rPr>
          <w:b/>
          <w:sz w:val="24"/>
          <w:szCs w:val="24"/>
        </w:rPr>
        <w:t>90-C5S</w:t>
      </w:r>
      <w:r>
        <w:rPr>
          <w:b/>
          <w:bCs/>
          <w:sz w:val="24"/>
          <w:szCs w:val="24"/>
          <w:vertAlign w:val="subscript"/>
        </w:rPr>
        <w:t>200</w:t>
      </w:r>
      <w:r>
        <w:rPr>
          <w:sz w:val="24"/>
          <w:szCs w:val="24"/>
        </w:rPr>
        <w:t>;</w:t>
      </w:r>
    </w:p>
    <w:p w14:paraId="69AE91A2" w14:textId="77777777" w:rsidR="001C08A5" w:rsidRDefault="00000000">
      <w:pPr>
        <w:numPr>
          <w:ilvl w:val="0"/>
          <w:numId w:val="38"/>
        </w:numPr>
        <w:ind w:left="2145"/>
        <w:jc w:val="both"/>
        <w:rPr>
          <w:sz w:val="24"/>
          <w:szCs w:val="24"/>
        </w:rPr>
      </w:pPr>
      <w:r>
        <w:rPr>
          <w:sz w:val="24"/>
          <w:szCs w:val="24"/>
        </w:rPr>
        <w:t xml:space="preserve">Obloanele rezistente la foc inclusiv dispozitivele lor de închidere care protejază golurile funcţionale din pereţii rezistenţi la foc de separare a compartimentelor de incendiu (pereţi antifoc </w:t>
      </w:r>
      <w:r>
        <w:rPr>
          <w:b/>
          <w:bCs/>
          <w:sz w:val="24"/>
          <w:szCs w:val="24"/>
        </w:rPr>
        <w:t>EI-M 180/ REI180</w:t>
      </w:r>
      <w:r>
        <w:rPr>
          <w:sz w:val="24"/>
          <w:szCs w:val="24"/>
        </w:rPr>
        <w:t xml:space="preserve">), trebuie să fie rezistente la foc minimum </w:t>
      </w:r>
      <w:r>
        <w:rPr>
          <w:b/>
          <w:sz w:val="24"/>
          <w:szCs w:val="24"/>
        </w:rPr>
        <w:t>EI</w:t>
      </w:r>
      <w:r>
        <w:rPr>
          <w:b/>
          <w:sz w:val="24"/>
          <w:szCs w:val="24"/>
          <w:vertAlign w:val="subscript"/>
        </w:rPr>
        <w:t xml:space="preserve">2  </w:t>
      </w:r>
      <w:r>
        <w:rPr>
          <w:b/>
          <w:sz w:val="24"/>
          <w:szCs w:val="24"/>
        </w:rPr>
        <w:t>90-C3</w:t>
      </w:r>
      <w:r>
        <w:rPr>
          <w:bCs/>
          <w:sz w:val="24"/>
          <w:szCs w:val="24"/>
        </w:rPr>
        <w:t>;</w:t>
      </w:r>
    </w:p>
    <w:p w14:paraId="6915ED4F" w14:textId="77777777" w:rsidR="001C08A5" w:rsidRDefault="00000000">
      <w:pPr>
        <w:numPr>
          <w:ilvl w:val="0"/>
          <w:numId w:val="38"/>
        </w:numPr>
        <w:ind w:left="2145"/>
        <w:jc w:val="both"/>
        <w:rPr>
          <w:sz w:val="24"/>
          <w:szCs w:val="24"/>
        </w:rPr>
      </w:pPr>
      <w:r>
        <w:rPr>
          <w:sz w:val="24"/>
          <w:szCs w:val="24"/>
        </w:rPr>
        <w:t xml:space="preserve">Cortinele care protejază golurile funcţionale din pereţii rezistenţi la foc de separare a compartimentelor de incendiu (pereţi antifoc </w:t>
      </w:r>
      <w:r>
        <w:rPr>
          <w:b/>
          <w:bCs/>
          <w:sz w:val="24"/>
          <w:szCs w:val="24"/>
        </w:rPr>
        <w:t>EI-M 180/ REI180</w:t>
      </w:r>
      <w:r>
        <w:rPr>
          <w:sz w:val="24"/>
          <w:szCs w:val="24"/>
        </w:rPr>
        <w:t xml:space="preserve">), trebuie să fie rezistente la foc minimum </w:t>
      </w:r>
      <w:r>
        <w:rPr>
          <w:b/>
          <w:bCs/>
          <w:sz w:val="24"/>
          <w:szCs w:val="24"/>
        </w:rPr>
        <w:t>EI 90</w:t>
      </w:r>
      <w:r>
        <w:rPr>
          <w:sz w:val="24"/>
          <w:szCs w:val="24"/>
        </w:rPr>
        <w:t xml:space="preserve">. </w:t>
      </w:r>
    </w:p>
    <w:p w14:paraId="093DDA67" w14:textId="77777777" w:rsidR="001C08A5" w:rsidRDefault="00000000">
      <w:pPr>
        <w:numPr>
          <w:ilvl w:val="0"/>
          <w:numId w:val="39"/>
        </w:numPr>
        <w:ind w:firstLine="720"/>
        <w:jc w:val="both"/>
        <w:rPr>
          <w:b/>
          <w:sz w:val="24"/>
          <w:szCs w:val="24"/>
        </w:rPr>
      </w:pPr>
      <w:r>
        <w:rPr>
          <w:sz w:val="24"/>
          <w:szCs w:val="24"/>
        </w:rPr>
        <w:t>Indicele „</w:t>
      </w:r>
      <w:r>
        <w:rPr>
          <w:b/>
          <w:bCs/>
          <w:sz w:val="24"/>
          <w:szCs w:val="24"/>
        </w:rPr>
        <w:t>C</w:t>
      </w:r>
      <w:r>
        <w:rPr>
          <w:sz w:val="24"/>
          <w:szCs w:val="24"/>
        </w:rPr>
        <w:t xml:space="preserve">” reprezintă, clasa de autoînchidere/închidere automată şi se precizează în documentaţia tehnică de proiectare în conformitate cu </w:t>
      </w:r>
      <w:r>
        <w:rPr>
          <w:rStyle w:val="CaptiontabelChar"/>
        </w:rPr>
        <w:fldChar w:fldCharType="begin"/>
      </w:r>
      <w:r>
        <w:rPr>
          <w:rStyle w:val="CaptiontabelChar"/>
        </w:rPr>
        <w:instrText xml:space="preserve"> REF _Ref4673 \h </w:instrText>
      </w:r>
      <w:r>
        <w:rPr>
          <w:rStyle w:val="CaptiontabelChar"/>
        </w:rPr>
      </w:r>
      <w:r>
        <w:rPr>
          <w:rStyle w:val="CaptiontabelChar"/>
        </w:rPr>
        <w:fldChar w:fldCharType="separate"/>
      </w:r>
      <w:r>
        <w:t>Tabelul 1</w:t>
      </w:r>
      <w:r>
        <w:rPr>
          <w:rStyle w:val="CaptiontabelChar"/>
        </w:rPr>
        <w:fldChar w:fldCharType="end"/>
      </w:r>
      <w:r>
        <w:rPr>
          <w:b/>
          <w:sz w:val="24"/>
          <w:szCs w:val="24"/>
        </w:rPr>
        <w:t>.</w:t>
      </w:r>
    </w:p>
    <w:p w14:paraId="24F047B5" w14:textId="77777777" w:rsidR="001C08A5" w:rsidRDefault="00000000">
      <w:pPr>
        <w:numPr>
          <w:ilvl w:val="0"/>
          <w:numId w:val="39"/>
        </w:numPr>
        <w:ind w:firstLine="720"/>
        <w:jc w:val="both"/>
        <w:rPr>
          <w:b/>
          <w:sz w:val="24"/>
          <w:szCs w:val="24"/>
        </w:rPr>
      </w:pPr>
      <w:r>
        <w:rPr>
          <w:sz w:val="24"/>
          <w:szCs w:val="24"/>
        </w:rPr>
        <w:t xml:space="preserve">Uşile, obloanele şi cortinele rezistente la foc care protejază golurile funcţionale din pereţii antifoc mai mici decât </w:t>
      </w:r>
      <w:r>
        <w:rPr>
          <w:b/>
          <w:bCs/>
          <w:sz w:val="24"/>
          <w:szCs w:val="24"/>
        </w:rPr>
        <w:t>EI-M180/ REI180</w:t>
      </w:r>
      <w:r>
        <w:rPr>
          <w:sz w:val="24"/>
          <w:szCs w:val="24"/>
        </w:rPr>
        <w:t xml:space="preserve"> trebuie sa aibă rezistența la foc minimum jumătate din cea a peretelui antifoc, fără a fi mai mici de </w:t>
      </w:r>
      <w:r>
        <w:rPr>
          <w:b/>
          <w:sz w:val="24"/>
          <w:szCs w:val="24"/>
        </w:rPr>
        <w:t>EI</w:t>
      </w:r>
      <w:r>
        <w:rPr>
          <w:b/>
          <w:sz w:val="24"/>
          <w:szCs w:val="24"/>
          <w:vertAlign w:val="subscript"/>
        </w:rPr>
        <w:t xml:space="preserve">2 </w:t>
      </w:r>
      <w:r>
        <w:rPr>
          <w:b/>
          <w:sz w:val="24"/>
          <w:szCs w:val="24"/>
        </w:rPr>
        <w:t>60-C5S</w:t>
      </w:r>
      <w:r>
        <w:rPr>
          <w:b/>
          <w:bCs/>
          <w:sz w:val="24"/>
          <w:szCs w:val="24"/>
          <w:vertAlign w:val="subscript"/>
        </w:rPr>
        <w:t>200.</w:t>
      </w:r>
    </w:p>
    <w:p w14:paraId="30FBBDA0" w14:textId="77777777" w:rsidR="001C08A5" w:rsidRDefault="00000000">
      <w:pPr>
        <w:pStyle w:val="Heading6"/>
      </w:pPr>
      <w:bookmarkStart w:id="1200" w:name="_Toc28358"/>
      <w:bookmarkStart w:id="1201" w:name="_Toc3067"/>
      <w:bookmarkStart w:id="1202" w:name="_Toc162355201"/>
      <w:bookmarkStart w:id="1203" w:name="_Toc22417"/>
      <w:bookmarkStart w:id="1204" w:name="_Toc21632"/>
      <w:bookmarkStart w:id="1205" w:name="_Toc12083"/>
      <w:bookmarkStart w:id="1206" w:name="_Toc2392"/>
      <w:bookmarkStart w:id="1207" w:name="_Toc6885"/>
      <w:r>
        <w:t>2.3.2.2.3. Încăperi tampon</w:t>
      </w:r>
      <w:bookmarkEnd w:id="1200"/>
      <w:bookmarkEnd w:id="1201"/>
      <w:bookmarkEnd w:id="1202"/>
      <w:bookmarkEnd w:id="1203"/>
      <w:bookmarkEnd w:id="1204"/>
      <w:bookmarkEnd w:id="1205"/>
      <w:bookmarkEnd w:id="1206"/>
      <w:bookmarkEnd w:id="1207"/>
    </w:p>
    <w:p w14:paraId="44A678EB" w14:textId="77777777" w:rsidR="001C08A5" w:rsidRDefault="00000000">
      <w:pPr>
        <w:ind w:firstLine="708"/>
        <w:jc w:val="both"/>
        <w:rPr>
          <w:b/>
          <w:sz w:val="24"/>
          <w:szCs w:val="24"/>
        </w:rPr>
      </w:pPr>
      <w:r>
        <w:rPr>
          <w:b/>
          <w:sz w:val="24"/>
          <w:szCs w:val="24"/>
        </w:rPr>
        <w:tab/>
        <w:t xml:space="preserve">Art. </w:t>
      </w:r>
      <w:r>
        <w:rPr>
          <w:b/>
          <w:iCs/>
          <w:sz w:val="24"/>
          <w:szCs w:val="24"/>
        </w:rPr>
        <w:t>2.3.2.2.3.</w:t>
      </w:r>
      <w:r>
        <w:rPr>
          <w:b/>
          <w:sz w:val="24"/>
          <w:szCs w:val="24"/>
        </w:rPr>
        <w:t xml:space="preserve">1. (1) </w:t>
      </w:r>
      <w:r>
        <w:rPr>
          <w:sz w:val="24"/>
          <w:szCs w:val="24"/>
        </w:rPr>
        <w:t>Golurile de circulaţie din pereţii rezistenţi la foc de separare a compartimentelor de incendiu (pereţi antifoc) se pot proteja prin încăperi tampon protejate.</w:t>
      </w:r>
    </w:p>
    <w:p w14:paraId="4179A863" w14:textId="77777777" w:rsidR="001C08A5" w:rsidRDefault="00000000">
      <w:pPr>
        <w:ind w:firstLine="720"/>
        <w:jc w:val="both"/>
        <w:rPr>
          <w:sz w:val="24"/>
          <w:szCs w:val="24"/>
        </w:rPr>
      </w:pPr>
      <w:r>
        <w:rPr>
          <w:b/>
          <w:sz w:val="24"/>
          <w:szCs w:val="24"/>
        </w:rPr>
        <w:t xml:space="preserve">(2) </w:t>
      </w:r>
      <w:r>
        <w:rPr>
          <w:sz w:val="24"/>
          <w:szCs w:val="24"/>
        </w:rPr>
        <w:t xml:space="preserve">Încăperile tampon protejate (ventilate în suprapresiune sau prevăzute cu admisie mecanică de aer și evacuare mecanică de fum), </w:t>
      </w:r>
      <w:r>
        <w:rPr>
          <w:bCs/>
          <w:sz w:val="24"/>
          <w:szCs w:val="24"/>
        </w:rPr>
        <w:t xml:space="preserve">prevăzute în pereții antifoc sau rezistenți la foc </w:t>
      </w:r>
      <w:r>
        <w:rPr>
          <w:sz w:val="24"/>
          <w:szCs w:val="24"/>
        </w:rPr>
        <w:t>vor îndeplini următoarele condiţii:</w:t>
      </w:r>
    </w:p>
    <w:p w14:paraId="733DAFB5" w14:textId="77777777" w:rsidR="001C08A5" w:rsidRDefault="00000000">
      <w:pPr>
        <w:ind w:left="1410"/>
        <w:jc w:val="both"/>
        <w:rPr>
          <w:b/>
          <w:sz w:val="24"/>
          <w:szCs w:val="24"/>
        </w:rPr>
      </w:pPr>
      <w:r>
        <w:rPr>
          <w:b/>
          <w:sz w:val="24"/>
          <w:szCs w:val="24"/>
        </w:rPr>
        <w:t xml:space="preserve">a) </w:t>
      </w:r>
      <w:r>
        <w:rPr>
          <w:sz w:val="24"/>
          <w:szCs w:val="24"/>
        </w:rPr>
        <w:t xml:space="preserve">rezistenţa minimă la foc a pereţilor va fi de minimum </w:t>
      </w:r>
      <w:r>
        <w:rPr>
          <w:b/>
          <w:sz w:val="24"/>
          <w:szCs w:val="24"/>
        </w:rPr>
        <w:t>EI/REI 60</w:t>
      </w:r>
      <w:r>
        <w:rPr>
          <w:sz w:val="24"/>
          <w:szCs w:val="24"/>
        </w:rPr>
        <w:t xml:space="preserve"> și a planşeelor </w:t>
      </w:r>
      <w:r>
        <w:rPr>
          <w:b/>
          <w:sz w:val="24"/>
          <w:szCs w:val="24"/>
        </w:rPr>
        <w:t>REI 60</w:t>
      </w:r>
      <w:r>
        <w:rPr>
          <w:bCs/>
          <w:sz w:val="24"/>
          <w:szCs w:val="24"/>
        </w:rPr>
        <w:t xml:space="preserve">,  </w:t>
      </w:r>
      <w:r>
        <w:rPr>
          <w:sz w:val="24"/>
          <w:szCs w:val="24"/>
        </w:rPr>
        <w:t xml:space="preserve">conform prevederilor din </w:t>
      </w:r>
      <w:r>
        <w:rPr>
          <w:rStyle w:val="CaptiontabelChar"/>
        </w:rPr>
        <w:fldChar w:fldCharType="begin"/>
      </w:r>
      <w:r>
        <w:rPr>
          <w:rStyle w:val="CaptiontabelChar"/>
        </w:rPr>
        <w:instrText xml:space="preserve"> REF _Ref27957 \h </w:instrText>
      </w:r>
      <w:r>
        <w:rPr>
          <w:rStyle w:val="CaptiontabelChar"/>
        </w:rPr>
      </w:r>
      <w:r>
        <w:rPr>
          <w:rStyle w:val="CaptiontabelChar"/>
        </w:rPr>
        <w:fldChar w:fldCharType="separate"/>
      </w:r>
      <w:r>
        <w:t>Tabelul 14</w:t>
      </w:r>
      <w:r>
        <w:rPr>
          <w:rStyle w:val="CaptiontabelChar"/>
        </w:rPr>
        <w:fldChar w:fldCharType="end"/>
      </w:r>
      <w:r>
        <w:rPr>
          <w:sz w:val="24"/>
          <w:szCs w:val="24"/>
        </w:rPr>
        <w:t>;</w:t>
      </w:r>
    </w:p>
    <w:p w14:paraId="208AB97A" w14:textId="77777777" w:rsidR="001C08A5" w:rsidRDefault="00000000">
      <w:pPr>
        <w:ind w:left="1410" w:firstLine="6"/>
        <w:jc w:val="both"/>
        <w:rPr>
          <w:sz w:val="24"/>
          <w:szCs w:val="24"/>
        </w:rPr>
      </w:pPr>
      <w:r>
        <w:rPr>
          <w:b/>
          <w:sz w:val="24"/>
          <w:szCs w:val="24"/>
        </w:rPr>
        <w:t xml:space="preserve">b) </w:t>
      </w:r>
      <w:r>
        <w:rPr>
          <w:sz w:val="24"/>
          <w:szCs w:val="24"/>
        </w:rPr>
        <w:t>pentru circulaţia funcţională şi evacuarea utilizatorilor, în pereţii încăperilor tampon protejate este admisă practicarea numai a golurilor strict necesare;</w:t>
      </w:r>
    </w:p>
    <w:p w14:paraId="04FA4794" w14:textId="77777777" w:rsidR="001C08A5" w:rsidRDefault="00000000">
      <w:pPr>
        <w:ind w:left="1410" w:firstLine="6"/>
        <w:jc w:val="both"/>
        <w:rPr>
          <w:b/>
          <w:sz w:val="24"/>
          <w:szCs w:val="24"/>
        </w:rPr>
      </w:pPr>
      <w:r>
        <w:rPr>
          <w:b/>
          <w:sz w:val="24"/>
          <w:szCs w:val="24"/>
        </w:rPr>
        <w:t xml:space="preserve">c) </w:t>
      </w:r>
      <w:r>
        <w:rPr>
          <w:sz w:val="24"/>
          <w:szCs w:val="24"/>
        </w:rPr>
        <w:t xml:space="preserve">golurile pentru circulaţie funcţională şi evacuare practicate în pereţii încăperilor tampon protejate, se echipează cu uşi rezistente la foc și etanșe la fum potrivit prevederilor normativului, respectiv </w:t>
      </w:r>
      <w:r>
        <w:rPr>
          <w:b/>
          <w:sz w:val="24"/>
          <w:szCs w:val="24"/>
        </w:rPr>
        <w:t>EI</w:t>
      </w:r>
      <w:r>
        <w:rPr>
          <w:b/>
          <w:sz w:val="24"/>
          <w:szCs w:val="24"/>
          <w:vertAlign w:val="subscript"/>
        </w:rPr>
        <w:t>2</w:t>
      </w:r>
      <w:r>
        <w:rPr>
          <w:b/>
          <w:sz w:val="24"/>
          <w:szCs w:val="24"/>
        </w:rPr>
        <w:t>30-C5S</w:t>
      </w:r>
      <w:r>
        <w:rPr>
          <w:b/>
          <w:bCs/>
          <w:sz w:val="24"/>
          <w:szCs w:val="24"/>
          <w:vertAlign w:val="subscript"/>
        </w:rPr>
        <w:t>200</w:t>
      </w:r>
      <w:r>
        <w:rPr>
          <w:b/>
          <w:sz w:val="24"/>
          <w:szCs w:val="24"/>
        </w:rPr>
        <w:t>, EI</w:t>
      </w:r>
      <w:r>
        <w:rPr>
          <w:b/>
          <w:sz w:val="24"/>
          <w:szCs w:val="24"/>
          <w:vertAlign w:val="subscript"/>
        </w:rPr>
        <w:t>2</w:t>
      </w:r>
      <w:r>
        <w:rPr>
          <w:b/>
          <w:sz w:val="24"/>
          <w:szCs w:val="24"/>
        </w:rPr>
        <w:t>45-C5S</w:t>
      </w:r>
      <w:r>
        <w:rPr>
          <w:b/>
          <w:bCs/>
          <w:sz w:val="24"/>
          <w:szCs w:val="24"/>
          <w:vertAlign w:val="subscript"/>
        </w:rPr>
        <w:t>200</w:t>
      </w:r>
      <w:r>
        <w:rPr>
          <w:b/>
          <w:sz w:val="24"/>
          <w:szCs w:val="24"/>
        </w:rPr>
        <w:t>, EI</w:t>
      </w:r>
      <w:r>
        <w:rPr>
          <w:b/>
          <w:sz w:val="24"/>
          <w:szCs w:val="24"/>
          <w:vertAlign w:val="subscript"/>
        </w:rPr>
        <w:t>2</w:t>
      </w:r>
      <w:r>
        <w:rPr>
          <w:b/>
          <w:sz w:val="24"/>
          <w:szCs w:val="24"/>
        </w:rPr>
        <w:t>60-C5S</w:t>
      </w:r>
      <w:r>
        <w:rPr>
          <w:b/>
          <w:bCs/>
          <w:sz w:val="24"/>
          <w:szCs w:val="24"/>
          <w:vertAlign w:val="subscript"/>
        </w:rPr>
        <w:t>200</w:t>
      </w:r>
      <w:r>
        <w:rPr>
          <w:b/>
          <w:sz w:val="24"/>
          <w:szCs w:val="24"/>
        </w:rPr>
        <w:t>, EI</w:t>
      </w:r>
      <w:r>
        <w:rPr>
          <w:b/>
          <w:sz w:val="24"/>
          <w:szCs w:val="24"/>
          <w:vertAlign w:val="subscript"/>
        </w:rPr>
        <w:t>2</w:t>
      </w:r>
      <w:r>
        <w:rPr>
          <w:b/>
          <w:sz w:val="24"/>
          <w:szCs w:val="24"/>
        </w:rPr>
        <w:t>90-C5S</w:t>
      </w:r>
      <w:r>
        <w:rPr>
          <w:b/>
          <w:bCs/>
          <w:sz w:val="24"/>
          <w:szCs w:val="24"/>
          <w:vertAlign w:val="subscript"/>
        </w:rPr>
        <w:t>200</w:t>
      </w:r>
      <w:r>
        <w:rPr>
          <w:b/>
          <w:sz w:val="24"/>
          <w:szCs w:val="24"/>
        </w:rPr>
        <w:t>, EI</w:t>
      </w:r>
      <w:r>
        <w:rPr>
          <w:b/>
          <w:sz w:val="24"/>
          <w:szCs w:val="24"/>
          <w:vertAlign w:val="subscript"/>
        </w:rPr>
        <w:t>2</w:t>
      </w:r>
      <w:r>
        <w:rPr>
          <w:b/>
          <w:sz w:val="24"/>
          <w:szCs w:val="24"/>
        </w:rPr>
        <w:t>120-C5S</w:t>
      </w:r>
      <w:r>
        <w:rPr>
          <w:b/>
          <w:bCs/>
          <w:sz w:val="24"/>
          <w:szCs w:val="24"/>
          <w:vertAlign w:val="subscript"/>
        </w:rPr>
        <w:t>200</w:t>
      </w:r>
      <w:r>
        <w:rPr>
          <w:b/>
          <w:sz w:val="24"/>
          <w:szCs w:val="24"/>
          <w:vertAlign w:val="subscript"/>
        </w:rPr>
        <w:t xml:space="preserve">, </w:t>
      </w:r>
      <w:r>
        <w:rPr>
          <w:sz w:val="24"/>
          <w:szCs w:val="24"/>
        </w:rPr>
        <w:t xml:space="preserve">iar atunci când reglementarea nu dispune, acestea vor fi minimum conform prevederilor din </w:t>
      </w:r>
      <w:r>
        <w:rPr>
          <w:rStyle w:val="CaptiontabelChar"/>
        </w:rPr>
        <w:fldChar w:fldCharType="begin"/>
      </w:r>
      <w:r>
        <w:rPr>
          <w:rStyle w:val="CaptiontabelChar"/>
        </w:rPr>
        <w:instrText xml:space="preserve"> REF _Ref27957 \h </w:instrText>
      </w:r>
      <w:r>
        <w:rPr>
          <w:rStyle w:val="CaptiontabelChar"/>
        </w:rPr>
      </w:r>
      <w:r>
        <w:rPr>
          <w:rStyle w:val="CaptiontabelChar"/>
        </w:rPr>
        <w:fldChar w:fldCharType="separate"/>
      </w:r>
      <w:r>
        <w:t>Tabelul 14</w:t>
      </w:r>
      <w:r>
        <w:rPr>
          <w:rStyle w:val="CaptiontabelChar"/>
        </w:rPr>
        <w:fldChar w:fldCharType="end"/>
      </w:r>
      <w:r>
        <w:rPr>
          <w:sz w:val="24"/>
          <w:szCs w:val="24"/>
        </w:rPr>
        <w:t xml:space="preserve">. </w:t>
      </w:r>
    </w:p>
    <w:p w14:paraId="1098AC78" w14:textId="77777777" w:rsidR="001C08A5" w:rsidRDefault="001C08A5">
      <w:pPr>
        <w:ind w:left="1410" w:firstLine="719"/>
        <w:jc w:val="both"/>
        <w:rPr>
          <w:strike/>
          <w:sz w:val="24"/>
          <w:szCs w:val="24"/>
        </w:rPr>
      </w:pPr>
    </w:p>
    <w:p w14:paraId="4C1D37CF" w14:textId="77777777" w:rsidR="001C08A5" w:rsidRDefault="00000000">
      <w:pPr>
        <w:pStyle w:val="Captiontabel"/>
      </w:pPr>
      <w:bookmarkStart w:id="1208" w:name="_Ref27957"/>
      <w:bookmarkStart w:id="1209" w:name="_Ref25415"/>
      <w:bookmarkStart w:id="1210" w:name="_Toc162360064"/>
      <w:r>
        <w:t xml:space="preserve">Tabelul </w:t>
      </w:r>
      <w:r>
        <w:fldChar w:fldCharType="begin"/>
      </w:r>
      <w:r>
        <w:instrText xml:space="preserve"> SEQ Tabelul \* ARABIC </w:instrText>
      </w:r>
      <w:r>
        <w:fldChar w:fldCharType="separate"/>
      </w:r>
      <w:r>
        <w:t>14</w:t>
      </w:r>
      <w:r>
        <w:fldChar w:fldCharType="end"/>
      </w:r>
      <w:bookmarkStart w:id="1211" w:name="_Toc31545"/>
      <w:bookmarkStart w:id="1212" w:name="_Toc21687"/>
      <w:bookmarkStart w:id="1213" w:name="_Toc22604"/>
      <w:bookmarkStart w:id="1214" w:name="_Toc31098"/>
      <w:bookmarkStart w:id="1215" w:name="_Toc14984"/>
      <w:bookmarkStart w:id="1216" w:name="_Toc21332"/>
      <w:bookmarkStart w:id="1217" w:name="_Toc11296"/>
      <w:bookmarkStart w:id="1218" w:name="_Toc19965"/>
      <w:bookmarkStart w:id="1219" w:name="_Toc11609"/>
      <w:bookmarkStart w:id="1220" w:name="_Toc5558"/>
      <w:bookmarkStart w:id="1221" w:name="_Toc25273"/>
      <w:bookmarkStart w:id="1222" w:name="_Toc15354"/>
      <w:bookmarkStart w:id="1223" w:name="_Toc5213"/>
      <w:bookmarkStart w:id="1224" w:name="_Toc32577"/>
      <w:bookmarkStart w:id="1225" w:name="_Toc30843"/>
      <w:bookmarkStart w:id="1226" w:name="_Toc7519"/>
      <w:bookmarkStart w:id="1227" w:name="_Toc8062"/>
      <w:bookmarkStart w:id="1228" w:name="_Toc2398"/>
      <w:bookmarkStart w:id="1229" w:name="_Toc6139"/>
      <w:bookmarkEnd w:id="1208"/>
      <w:r>
        <w:t>: Pereți și planșee la încăperi tampon protejate și goluri pentru circulaţie funcţională şi evacuare practicate în pereţii încăperilor tampon</w:t>
      </w:r>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p>
    <w:p w14:paraId="17F2CD3A" w14:textId="77777777" w:rsidR="001C08A5" w:rsidRDefault="001C08A5">
      <w:pPr>
        <w:pStyle w:val="BodyText"/>
      </w:pPr>
    </w:p>
    <w:tbl>
      <w:tblPr>
        <w:tblW w:w="49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0"/>
        <w:gridCol w:w="2013"/>
        <w:gridCol w:w="1877"/>
        <w:gridCol w:w="1839"/>
        <w:gridCol w:w="1359"/>
      </w:tblGrid>
      <w:tr w:rsidR="001C08A5" w14:paraId="411F1CAC" w14:textId="77777777">
        <w:tc>
          <w:tcPr>
            <w:tcW w:w="1306" w:type="pct"/>
            <w:shd w:val="clear" w:color="auto" w:fill="BFBFBF"/>
          </w:tcPr>
          <w:p w14:paraId="58B7F96B" w14:textId="77777777" w:rsidR="001C08A5" w:rsidRDefault="00000000">
            <w:pPr>
              <w:jc w:val="center"/>
              <w:rPr>
                <w:b/>
                <w:bCs/>
                <w:i/>
                <w:iCs/>
              </w:rPr>
            </w:pPr>
            <w:r>
              <w:rPr>
                <w:b/>
                <w:bCs/>
                <w:i/>
                <w:iCs/>
                <w:sz w:val="22"/>
                <w:szCs w:val="22"/>
              </w:rPr>
              <w:t>În cazul pereţilor antifoc  care separă compartimentele de incendiu</w:t>
            </w:r>
          </w:p>
        </w:tc>
        <w:tc>
          <w:tcPr>
            <w:tcW w:w="1048" w:type="pct"/>
            <w:shd w:val="clear" w:color="auto" w:fill="BFBFBF"/>
          </w:tcPr>
          <w:p w14:paraId="24E8656D" w14:textId="77777777" w:rsidR="001C08A5" w:rsidRDefault="00000000">
            <w:pPr>
              <w:jc w:val="center"/>
              <w:rPr>
                <w:i/>
                <w:iCs/>
              </w:rPr>
            </w:pPr>
            <w:r>
              <w:rPr>
                <w:b/>
                <w:bCs/>
                <w:i/>
                <w:iCs/>
                <w:sz w:val="22"/>
                <w:szCs w:val="22"/>
              </w:rPr>
              <w:t>Rezistența la foc a pereţilor antifoc  care separă compartimentele de incendiu</w:t>
            </w:r>
          </w:p>
        </w:tc>
        <w:tc>
          <w:tcPr>
            <w:tcW w:w="978" w:type="pct"/>
            <w:shd w:val="clear" w:color="auto" w:fill="BFBFBF"/>
          </w:tcPr>
          <w:p w14:paraId="0287BB20" w14:textId="77777777" w:rsidR="001C08A5" w:rsidRDefault="00000000">
            <w:pPr>
              <w:jc w:val="center"/>
              <w:rPr>
                <w:i/>
                <w:iCs/>
              </w:rPr>
            </w:pPr>
            <w:r>
              <w:rPr>
                <w:b/>
                <w:bCs/>
                <w:i/>
                <w:iCs/>
              </w:rPr>
              <w:t xml:space="preserve">Rezistenţa la foc (EI/REI) minimă a </w:t>
            </w:r>
            <w:r>
              <w:rPr>
                <w:b/>
                <w:bCs/>
                <w:i/>
                <w:iCs/>
                <w:sz w:val="22"/>
                <w:szCs w:val="22"/>
              </w:rPr>
              <w:t>pereţilor încăperii tampon</w:t>
            </w:r>
            <w:r>
              <w:rPr>
                <w:i/>
                <w:iCs/>
              </w:rPr>
              <w:t>(minute),</w:t>
            </w:r>
            <w:r>
              <w:rPr>
                <w:b/>
                <w:bCs/>
                <w:i/>
                <w:iCs/>
              </w:rPr>
              <w:t xml:space="preserve"> cu excepția peretelui  care separă compartimentele de incendiu  </w:t>
            </w:r>
          </w:p>
        </w:tc>
        <w:tc>
          <w:tcPr>
            <w:tcW w:w="958" w:type="pct"/>
            <w:shd w:val="clear" w:color="auto" w:fill="BFBFBF"/>
          </w:tcPr>
          <w:p w14:paraId="2C227AC4" w14:textId="77777777" w:rsidR="001C08A5" w:rsidRDefault="00000000">
            <w:pPr>
              <w:jc w:val="center"/>
              <w:rPr>
                <w:i/>
                <w:iCs/>
              </w:rPr>
            </w:pPr>
            <w:r>
              <w:rPr>
                <w:b/>
                <w:bCs/>
                <w:i/>
                <w:iCs/>
                <w:sz w:val="22"/>
                <w:szCs w:val="22"/>
              </w:rPr>
              <w:t>Rezistenţa la foc (REI) minimă a planșeului  încăperii tampon</w:t>
            </w:r>
          </w:p>
        </w:tc>
        <w:tc>
          <w:tcPr>
            <w:tcW w:w="708" w:type="pct"/>
            <w:shd w:val="clear" w:color="auto" w:fill="BFBFBF"/>
          </w:tcPr>
          <w:p w14:paraId="41CC7743" w14:textId="77777777" w:rsidR="001C08A5" w:rsidRDefault="00000000">
            <w:pPr>
              <w:jc w:val="both"/>
              <w:rPr>
                <w:b/>
                <w:bCs/>
                <w:i/>
                <w:iCs/>
                <w:sz w:val="22"/>
                <w:szCs w:val="22"/>
              </w:rPr>
            </w:pPr>
            <w:r>
              <w:rPr>
                <w:b/>
                <w:i/>
                <w:iCs/>
                <w:sz w:val="22"/>
                <w:szCs w:val="22"/>
              </w:rPr>
              <w:t xml:space="preserve">Uși rezistente la foc </w:t>
            </w:r>
          </w:p>
          <w:p w14:paraId="5C082FD0" w14:textId="77777777" w:rsidR="001C08A5" w:rsidRDefault="001C08A5">
            <w:pPr>
              <w:jc w:val="center"/>
              <w:rPr>
                <w:i/>
                <w:iCs/>
              </w:rPr>
            </w:pPr>
          </w:p>
        </w:tc>
      </w:tr>
      <w:tr w:rsidR="001C08A5" w14:paraId="33027779" w14:textId="77777777">
        <w:tc>
          <w:tcPr>
            <w:tcW w:w="1306" w:type="pct"/>
            <w:vMerge w:val="restart"/>
            <w:shd w:val="clear" w:color="auto" w:fill="auto"/>
          </w:tcPr>
          <w:p w14:paraId="619BD1B7" w14:textId="77777777" w:rsidR="001C08A5" w:rsidRDefault="00000000">
            <w:pPr>
              <w:jc w:val="both"/>
              <w:rPr>
                <w:b/>
                <w:bCs/>
                <w:i/>
                <w:iCs/>
                <w:sz w:val="22"/>
                <w:szCs w:val="22"/>
              </w:rPr>
            </w:pPr>
            <w:r>
              <w:rPr>
                <w:i/>
                <w:iCs/>
                <w:sz w:val="22"/>
                <w:szCs w:val="22"/>
              </w:rPr>
              <w:t xml:space="preserve">a) pentru construcțiile cu regim de înălțime parter, </w:t>
            </w:r>
            <w:r>
              <w:rPr>
                <w:i/>
                <w:iCs/>
                <w:sz w:val="22"/>
                <w:szCs w:val="22"/>
              </w:rPr>
              <w:lastRenderedPageBreak/>
              <w:t xml:space="preserve">cu excepția clădirilor destinate persoanelor care nu se pot evacua singure și a clădirilor cu săli aglomerate determinată în funcţie de densitatea sarcinii termice, conform </w:t>
            </w:r>
            <w:r>
              <w:rPr>
                <w:b/>
                <w:bCs/>
                <w:i/>
                <w:iCs/>
                <w:sz w:val="22"/>
                <w:szCs w:val="22"/>
              </w:rPr>
              <w:t>Tabelului 6</w:t>
            </w:r>
          </w:p>
        </w:tc>
        <w:tc>
          <w:tcPr>
            <w:tcW w:w="1048" w:type="pct"/>
            <w:shd w:val="clear" w:color="auto" w:fill="auto"/>
            <w:vAlign w:val="center"/>
          </w:tcPr>
          <w:p w14:paraId="31C95484" w14:textId="77777777" w:rsidR="001C08A5" w:rsidRDefault="00000000">
            <w:pPr>
              <w:pStyle w:val="Contenutotabellacentrato"/>
              <w:rPr>
                <w:b/>
                <w:bCs/>
                <w:i/>
                <w:iCs/>
                <w:sz w:val="22"/>
                <w:szCs w:val="22"/>
              </w:rPr>
            </w:pPr>
            <w:r>
              <w:rPr>
                <w:b/>
                <w:bCs/>
                <w:i/>
                <w:iCs/>
                <w:sz w:val="22"/>
                <w:szCs w:val="22"/>
              </w:rPr>
              <w:lastRenderedPageBreak/>
              <w:t>EI-M</w:t>
            </w:r>
            <w:r>
              <w:rPr>
                <w:rFonts w:hint="eastAsia"/>
                <w:b/>
                <w:bCs/>
                <w:i/>
                <w:iCs/>
                <w:sz w:val="22"/>
                <w:szCs w:val="22"/>
              </w:rPr>
              <w:t xml:space="preserve"> 60/REI 60 (q </w:t>
            </w:r>
            <w:r>
              <w:rPr>
                <w:rFonts w:hint="eastAsia"/>
                <w:b/>
                <w:bCs/>
                <w:i/>
                <w:iCs/>
                <w:sz w:val="22"/>
                <w:szCs w:val="22"/>
              </w:rPr>
              <w:t>≤</w:t>
            </w:r>
            <w:r>
              <w:rPr>
                <w:rFonts w:hint="eastAsia"/>
                <w:b/>
                <w:bCs/>
                <w:i/>
                <w:iCs/>
                <w:sz w:val="22"/>
                <w:szCs w:val="22"/>
              </w:rPr>
              <w:t xml:space="preserve"> 420 MJ/m</w:t>
            </w:r>
            <w:r>
              <w:rPr>
                <w:b/>
                <w:bCs/>
                <w:i/>
                <w:iCs/>
                <w:sz w:val="22"/>
                <w:szCs w:val="22"/>
                <w:vertAlign w:val="superscript"/>
              </w:rPr>
              <w:t>2</w:t>
            </w:r>
            <w:r>
              <w:rPr>
                <w:b/>
                <w:bCs/>
                <w:i/>
                <w:iCs/>
                <w:sz w:val="22"/>
                <w:szCs w:val="22"/>
              </w:rPr>
              <w:t>)</w:t>
            </w:r>
          </w:p>
        </w:tc>
        <w:tc>
          <w:tcPr>
            <w:tcW w:w="978" w:type="pct"/>
            <w:shd w:val="clear" w:color="auto" w:fill="auto"/>
            <w:vAlign w:val="center"/>
          </w:tcPr>
          <w:p w14:paraId="13BC092C" w14:textId="77777777" w:rsidR="001C08A5" w:rsidRDefault="00000000">
            <w:pPr>
              <w:pStyle w:val="Contenutotabellacentrato"/>
              <w:rPr>
                <w:i/>
                <w:iCs/>
              </w:rPr>
            </w:pPr>
            <w:r>
              <w:rPr>
                <w:b/>
                <w:bCs/>
                <w:i/>
                <w:iCs/>
                <w:sz w:val="22"/>
                <w:szCs w:val="22"/>
              </w:rPr>
              <w:t xml:space="preserve">EI 60/REI 60 </w:t>
            </w:r>
          </w:p>
        </w:tc>
        <w:tc>
          <w:tcPr>
            <w:tcW w:w="958" w:type="pct"/>
            <w:vMerge w:val="restart"/>
            <w:shd w:val="clear" w:color="auto" w:fill="auto"/>
            <w:vAlign w:val="center"/>
          </w:tcPr>
          <w:p w14:paraId="2FB89FD2" w14:textId="77777777" w:rsidR="001C08A5" w:rsidRDefault="00000000">
            <w:pPr>
              <w:jc w:val="both"/>
              <w:rPr>
                <w:b/>
                <w:i/>
                <w:iCs/>
                <w:sz w:val="22"/>
                <w:szCs w:val="22"/>
              </w:rPr>
            </w:pPr>
            <w:r>
              <w:rPr>
                <w:b/>
                <w:i/>
                <w:iCs/>
                <w:sz w:val="22"/>
                <w:szCs w:val="22"/>
              </w:rPr>
              <w:t xml:space="preserve">Conform prevederi din </w:t>
            </w:r>
            <w:r>
              <w:rPr>
                <w:b/>
                <w:bCs/>
                <w:i/>
                <w:iCs/>
                <w:sz w:val="22"/>
                <w:szCs w:val="22"/>
              </w:rPr>
              <w:fldChar w:fldCharType="begin"/>
            </w:r>
            <w:r>
              <w:rPr>
                <w:b/>
                <w:bCs/>
                <w:i/>
                <w:iCs/>
                <w:sz w:val="22"/>
                <w:szCs w:val="22"/>
              </w:rPr>
              <w:instrText xml:space="preserve"> REF _Ref26473 \h </w:instrText>
            </w:r>
            <w:r>
              <w:rPr>
                <w:b/>
                <w:bCs/>
                <w:i/>
                <w:iCs/>
                <w:sz w:val="22"/>
                <w:szCs w:val="22"/>
              </w:rPr>
            </w:r>
            <w:r>
              <w:rPr>
                <w:b/>
                <w:bCs/>
                <w:i/>
                <w:iCs/>
                <w:sz w:val="22"/>
                <w:szCs w:val="22"/>
              </w:rPr>
              <w:fldChar w:fldCharType="separate"/>
            </w:r>
            <w:r>
              <w:t>Tabelul 2</w:t>
            </w:r>
            <w:r>
              <w:rPr>
                <w:b/>
                <w:bCs/>
                <w:i/>
                <w:iCs/>
                <w:sz w:val="22"/>
                <w:szCs w:val="22"/>
              </w:rPr>
              <w:fldChar w:fldCharType="end"/>
            </w:r>
            <w:r>
              <w:rPr>
                <w:b/>
                <w:bCs/>
                <w:i/>
                <w:iCs/>
                <w:sz w:val="22"/>
                <w:szCs w:val="22"/>
              </w:rPr>
              <w:t xml:space="preserve"> </w:t>
            </w:r>
            <w:r>
              <w:rPr>
                <w:b/>
                <w:i/>
                <w:iCs/>
                <w:sz w:val="22"/>
                <w:szCs w:val="22"/>
              </w:rPr>
              <w:t>- pct. 3</w:t>
            </w:r>
          </w:p>
          <w:p w14:paraId="58D81607" w14:textId="77777777" w:rsidR="001C08A5" w:rsidRDefault="00000000">
            <w:pPr>
              <w:jc w:val="both"/>
              <w:rPr>
                <w:b/>
                <w:bCs/>
                <w:i/>
                <w:iCs/>
              </w:rPr>
            </w:pPr>
            <w:r>
              <w:rPr>
                <w:i/>
                <w:iCs/>
              </w:rPr>
              <w:t xml:space="preserve">Condiţiile minime de rezistenţă la foc pe care trebuie să le îndeplinească  planșee (REI) pentru încadrarea  în nivelul stabilit de stabilitate la incendiu, fără a fi mai mici de </w:t>
            </w:r>
            <w:r>
              <w:rPr>
                <w:b/>
                <w:i/>
                <w:iCs/>
                <w:sz w:val="22"/>
                <w:szCs w:val="22"/>
              </w:rPr>
              <w:t>REI 60</w:t>
            </w:r>
            <w:r>
              <w:rPr>
                <w:i/>
                <w:iCs/>
                <w:sz w:val="22"/>
                <w:szCs w:val="22"/>
              </w:rPr>
              <w:t>.</w:t>
            </w:r>
          </w:p>
        </w:tc>
        <w:tc>
          <w:tcPr>
            <w:tcW w:w="708" w:type="pct"/>
            <w:shd w:val="clear" w:color="auto" w:fill="auto"/>
            <w:vAlign w:val="center"/>
          </w:tcPr>
          <w:p w14:paraId="74D1E31B" w14:textId="77777777" w:rsidR="001C08A5" w:rsidRDefault="00000000">
            <w:pPr>
              <w:pStyle w:val="Contenutotabellacentrato"/>
              <w:rPr>
                <w:i/>
                <w:iCs/>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r w:rsidR="001C08A5" w14:paraId="4C133814" w14:textId="77777777">
        <w:tc>
          <w:tcPr>
            <w:tcW w:w="1306" w:type="pct"/>
            <w:vMerge/>
            <w:shd w:val="clear" w:color="auto" w:fill="auto"/>
          </w:tcPr>
          <w:p w14:paraId="00AE2FC2" w14:textId="77777777" w:rsidR="001C08A5" w:rsidRDefault="001C08A5">
            <w:pPr>
              <w:jc w:val="both"/>
              <w:rPr>
                <w:i/>
                <w:iCs/>
                <w:sz w:val="22"/>
                <w:szCs w:val="22"/>
              </w:rPr>
            </w:pPr>
          </w:p>
        </w:tc>
        <w:tc>
          <w:tcPr>
            <w:tcW w:w="1048" w:type="pct"/>
            <w:shd w:val="clear" w:color="auto" w:fill="auto"/>
            <w:vAlign w:val="center"/>
          </w:tcPr>
          <w:p w14:paraId="356ACDF0" w14:textId="77777777" w:rsidR="001C08A5" w:rsidRDefault="00000000">
            <w:pPr>
              <w:pStyle w:val="Contenutotabellacentrato"/>
              <w:rPr>
                <w:b/>
                <w:bCs/>
                <w:i/>
                <w:iCs/>
                <w:sz w:val="22"/>
                <w:szCs w:val="22"/>
              </w:rPr>
            </w:pPr>
            <w:r>
              <w:rPr>
                <w:b/>
                <w:bCs/>
                <w:i/>
                <w:iCs/>
                <w:sz w:val="22"/>
                <w:szCs w:val="22"/>
              </w:rPr>
              <w:t>EI-M 90/REI 90 (420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630 MJ/m</w:t>
            </w:r>
            <w:r>
              <w:rPr>
                <w:b/>
                <w:bCs/>
                <w:i/>
                <w:iCs/>
                <w:sz w:val="22"/>
                <w:szCs w:val="22"/>
                <w:vertAlign w:val="superscript"/>
              </w:rPr>
              <w:t>2</w:t>
            </w:r>
            <w:r>
              <w:rPr>
                <w:b/>
                <w:bCs/>
                <w:i/>
                <w:iCs/>
                <w:sz w:val="22"/>
                <w:szCs w:val="22"/>
              </w:rPr>
              <w:t>)</w:t>
            </w:r>
          </w:p>
        </w:tc>
        <w:tc>
          <w:tcPr>
            <w:tcW w:w="978" w:type="pct"/>
            <w:shd w:val="clear" w:color="auto" w:fill="auto"/>
            <w:vAlign w:val="center"/>
          </w:tcPr>
          <w:p w14:paraId="5D6B4D53" w14:textId="77777777" w:rsidR="001C08A5" w:rsidRDefault="00000000">
            <w:pPr>
              <w:pStyle w:val="Contenutotabellacentrato"/>
              <w:rPr>
                <w:b/>
                <w:bCs/>
                <w:i/>
                <w:iCs/>
                <w:sz w:val="22"/>
                <w:szCs w:val="22"/>
              </w:rPr>
            </w:pPr>
            <w:r>
              <w:rPr>
                <w:b/>
                <w:bCs/>
                <w:i/>
                <w:iCs/>
                <w:sz w:val="22"/>
                <w:szCs w:val="22"/>
              </w:rPr>
              <w:t xml:space="preserve">EI 60/REI 60 </w:t>
            </w:r>
          </w:p>
        </w:tc>
        <w:tc>
          <w:tcPr>
            <w:tcW w:w="958" w:type="pct"/>
            <w:vMerge/>
            <w:shd w:val="clear" w:color="auto" w:fill="auto"/>
            <w:vAlign w:val="center"/>
          </w:tcPr>
          <w:p w14:paraId="788245FC" w14:textId="77777777" w:rsidR="001C08A5" w:rsidRDefault="001C08A5">
            <w:pPr>
              <w:jc w:val="center"/>
              <w:rPr>
                <w:b/>
                <w:i/>
                <w:iCs/>
                <w:sz w:val="22"/>
                <w:szCs w:val="22"/>
              </w:rPr>
            </w:pPr>
          </w:p>
        </w:tc>
        <w:tc>
          <w:tcPr>
            <w:tcW w:w="708" w:type="pct"/>
            <w:shd w:val="clear" w:color="auto" w:fill="auto"/>
            <w:vAlign w:val="center"/>
          </w:tcPr>
          <w:p w14:paraId="38C3D6C6"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r w:rsidR="001C08A5" w14:paraId="7386A6B8" w14:textId="77777777">
        <w:tc>
          <w:tcPr>
            <w:tcW w:w="1306" w:type="pct"/>
            <w:vMerge/>
            <w:shd w:val="clear" w:color="auto" w:fill="auto"/>
          </w:tcPr>
          <w:p w14:paraId="185B426A" w14:textId="77777777" w:rsidR="001C08A5" w:rsidRDefault="001C08A5">
            <w:pPr>
              <w:jc w:val="both"/>
              <w:rPr>
                <w:i/>
                <w:iCs/>
                <w:sz w:val="22"/>
                <w:szCs w:val="22"/>
              </w:rPr>
            </w:pPr>
          </w:p>
        </w:tc>
        <w:tc>
          <w:tcPr>
            <w:tcW w:w="1048" w:type="pct"/>
            <w:shd w:val="clear" w:color="auto" w:fill="auto"/>
            <w:vAlign w:val="center"/>
          </w:tcPr>
          <w:p w14:paraId="000FAC9C" w14:textId="77777777" w:rsidR="001C08A5" w:rsidRDefault="00000000">
            <w:pPr>
              <w:pStyle w:val="Contenutotabellacentrato"/>
              <w:rPr>
                <w:b/>
                <w:bCs/>
                <w:i/>
                <w:iCs/>
                <w:sz w:val="22"/>
                <w:szCs w:val="22"/>
              </w:rPr>
            </w:pPr>
            <w:r>
              <w:rPr>
                <w:b/>
                <w:bCs/>
                <w:i/>
                <w:iCs/>
                <w:sz w:val="22"/>
                <w:szCs w:val="22"/>
              </w:rPr>
              <w:t>EI-M 120/REI 120 (630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840 MJ/m</w:t>
            </w:r>
            <w:r>
              <w:rPr>
                <w:b/>
                <w:bCs/>
                <w:i/>
                <w:iCs/>
                <w:sz w:val="22"/>
                <w:szCs w:val="22"/>
                <w:vertAlign w:val="superscript"/>
              </w:rPr>
              <w:t>2</w:t>
            </w:r>
            <w:r>
              <w:rPr>
                <w:b/>
                <w:bCs/>
                <w:i/>
                <w:iCs/>
                <w:sz w:val="22"/>
                <w:szCs w:val="22"/>
              </w:rPr>
              <w:t>)</w:t>
            </w:r>
          </w:p>
        </w:tc>
        <w:tc>
          <w:tcPr>
            <w:tcW w:w="978" w:type="pct"/>
            <w:shd w:val="clear" w:color="auto" w:fill="auto"/>
            <w:vAlign w:val="center"/>
          </w:tcPr>
          <w:p w14:paraId="745D96D0" w14:textId="77777777" w:rsidR="001C08A5" w:rsidRDefault="00000000">
            <w:pPr>
              <w:pStyle w:val="Contenutotabellacentrato"/>
              <w:rPr>
                <w:b/>
                <w:bCs/>
                <w:i/>
                <w:iCs/>
                <w:sz w:val="22"/>
                <w:szCs w:val="22"/>
              </w:rPr>
            </w:pPr>
            <w:r>
              <w:rPr>
                <w:b/>
                <w:bCs/>
                <w:i/>
                <w:iCs/>
                <w:sz w:val="22"/>
                <w:szCs w:val="22"/>
              </w:rPr>
              <w:t>EI 60/REI 60</w:t>
            </w:r>
          </w:p>
        </w:tc>
        <w:tc>
          <w:tcPr>
            <w:tcW w:w="958" w:type="pct"/>
            <w:vMerge/>
            <w:shd w:val="clear" w:color="auto" w:fill="auto"/>
            <w:vAlign w:val="center"/>
          </w:tcPr>
          <w:p w14:paraId="456FA7F8" w14:textId="77777777" w:rsidR="001C08A5" w:rsidRDefault="001C08A5">
            <w:pPr>
              <w:jc w:val="center"/>
              <w:rPr>
                <w:b/>
                <w:i/>
                <w:iCs/>
                <w:sz w:val="22"/>
                <w:szCs w:val="22"/>
              </w:rPr>
            </w:pPr>
          </w:p>
        </w:tc>
        <w:tc>
          <w:tcPr>
            <w:tcW w:w="708" w:type="pct"/>
            <w:shd w:val="clear" w:color="auto" w:fill="auto"/>
            <w:vAlign w:val="center"/>
          </w:tcPr>
          <w:p w14:paraId="678BA6B0"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r w:rsidR="001C08A5" w14:paraId="5452A59F" w14:textId="77777777">
        <w:tc>
          <w:tcPr>
            <w:tcW w:w="1306" w:type="pct"/>
            <w:vMerge/>
            <w:shd w:val="clear" w:color="auto" w:fill="auto"/>
          </w:tcPr>
          <w:p w14:paraId="0FB6D98E" w14:textId="77777777" w:rsidR="001C08A5" w:rsidRDefault="001C08A5">
            <w:pPr>
              <w:jc w:val="both"/>
              <w:rPr>
                <w:i/>
                <w:iCs/>
                <w:sz w:val="22"/>
                <w:szCs w:val="22"/>
              </w:rPr>
            </w:pPr>
          </w:p>
        </w:tc>
        <w:tc>
          <w:tcPr>
            <w:tcW w:w="1048" w:type="pct"/>
            <w:shd w:val="clear" w:color="auto" w:fill="auto"/>
            <w:vAlign w:val="center"/>
          </w:tcPr>
          <w:p w14:paraId="74C4E809" w14:textId="77777777" w:rsidR="001C08A5" w:rsidRDefault="00000000">
            <w:pPr>
              <w:pStyle w:val="Contenutotabellacentrato"/>
              <w:rPr>
                <w:b/>
                <w:bCs/>
                <w:i/>
                <w:iCs/>
                <w:sz w:val="22"/>
                <w:szCs w:val="22"/>
              </w:rPr>
            </w:pPr>
            <w:r>
              <w:rPr>
                <w:b/>
                <w:bCs/>
                <w:i/>
                <w:iCs/>
                <w:sz w:val="22"/>
                <w:szCs w:val="22"/>
              </w:rPr>
              <w:t>EI-M 180/REI 180 (840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1 680 MJ/m</w:t>
            </w:r>
            <w:r>
              <w:rPr>
                <w:b/>
                <w:bCs/>
                <w:i/>
                <w:iCs/>
                <w:sz w:val="22"/>
                <w:szCs w:val="22"/>
                <w:vertAlign w:val="superscript"/>
              </w:rPr>
              <w:t>2</w:t>
            </w:r>
            <w:r>
              <w:rPr>
                <w:b/>
                <w:bCs/>
                <w:i/>
                <w:iCs/>
                <w:sz w:val="22"/>
                <w:szCs w:val="22"/>
              </w:rPr>
              <w:t>)</w:t>
            </w:r>
          </w:p>
        </w:tc>
        <w:tc>
          <w:tcPr>
            <w:tcW w:w="978" w:type="pct"/>
            <w:shd w:val="clear" w:color="auto" w:fill="auto"/>
            <w:vAlign w:val="center"/>
          </w:tcPr>
          <w:p w14:paraId="41069E1A" w14:textId="77777777" w:rsidR="001C08A5" w:rsidRDefault="00000000">
            <w:pPr>
              <w:pStyle w:val="Contenutotabellacentrato"/>
              <w:rPr>
                <w:b/>
                <w:bCs/>
                <w:i/>
                <w:iCs/>
                <w:sz w:val="22"/>
                <w:szCs w:val="22"/>
              </w:rPr>
            </w:pPr>
            <w:r>
              <w:rPr>
                <w:b/>
                <w:bCs/>
                <w:i/>
                <w:iCs/>
                <w:sz w:val="22"/>
                <w:szCs w:val="22"/>
              </w:rPr>
              <w:t xml:space="preserve">EI 90/REI 90 </w:t>
            </w:r>
          </w:p>
        </w:tc>
        <w:tc>
          <w:tcPr>
            <w:tcW w:w="958" w:type="pct"/>
            <w:vMerge/>
            <w:shd w:val="clear" w:color="auto" w:fill="auto"/>
            <w:vAlign w:val="center"/>
          </w:tcPr>
          <w:p w14:paraId="35EC1699" w14:textId="77777777" w:rsidR="001C08A5" w:rsidRDefault="001C08A5">
            <w:pPr>
              <w:jc w:val="center"/>
              <w:rPr>
                <w:b/>
                <w:i/>
                <w:iCs/>
                <w:sz w:val="22"/>
                <w:szCs w:val="22"/>
              </w:rPr>
            </w:pPr>
          </w:p>
        </w:tc>
        <w:tc>
          <w:tcPr>
            <w:tcW w:w="708" w:type="pct"/>
            <w:shd w:val="clear" w:color="auto" w:fill="auto"/>
            <w:vAlign w:val="center"/>
          </w:tcPr>
          <w:p w14:paraId="3D2BCC8A"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90-C5S</w:t>
            </w:r>
            <w:r>
              <w:rPr>
                <w:b/>
                <w:bCs/>
                <w:i/>
                <w:iCs/>
                <w:sz w:val="22"/>
                <w:szCs w:val="22"/>
                <w:vertAlign w:val="subscript"/>
              </w:rPr>
              <w:t>200</w:t>
            </w:r>
          </w:p>
        </w:tc>
      </w:tr>
      <w:tr w:rsidR="001C08A5" w14:paraId="255A283C" w14:textId="77777777">
        <w:tc>
          <w:tcPr>
            <w:tcW w:w="1306" w:type="pct"/>
            <w:vMerge/>
            <w:shd w:val="clear" w:color="auto" w:fill="auto"/>
          </w:tcPr>
          <w:p w14:paraId="01A8964A" w14:textId="77777777" w:rsidR="001C08A5" w:rsidRDefault="001C08A5">
            <w:pPr>
              <w:jc w:val="both"/>
              <w:rPr>
                <w:i/>
                <w:iCs/>
                <w:sz w:val="22"/>
                <w:szCs w:val="22"/>
              </w:rPr>
            </w:pPr>
          </w:p>
        </w:tc>
        <w:tc>
          <w:tcPr>
            <w:tcW w:w="1048" w:type="pct"/>
            <w:shd w:val="clear" w:color="auto" w:fill="auto"/>
            <w:vAlign w:val="center"/>
          </w:tcPr>
          <w:p w14:paraId="3B9A39F9" w14:textId="77777777" w:rsidR="001C08A5" w:rsidRDefault="00000000">
            <w:pPr>
              <w:pStyle w:val="Contenutotabellacentrato"/>
              <w:rPr>
                <w:b/>
                <w:bCs/>
                <w:i/>
                <w:iCs/>
                <w:sz w:val="22"/>
                <w:szCs w:val="22"/>
              </w:rPr>
            </w:pPr>
            <w:r>
              <w:rPr>
                <w:b/>
                <w:bCs/>
                <w:i/>
                <w:iCs/>
                <w:sz w:val="22"/>
                <w:szCs w:val="22"/>
              </w:rPr>
              <w:t>EI-M 240/REI 240 (q &gt; 1 680 MJ/m</w:t>
            </w:r>
            <w:r>
              <w:rPr>
                <w:b/>
                <w:bCs/>
                <w:i/>
                <w:iCs/>
                <w:sz w:val="22"/>
                <w:szCs w:val="22"/>
                <w:vertAlign w:val="superscript"/>
              </w:rPr>
              <w:t xml:space="preserve">2 </w:t>
            </w:r>
            <w:r>
              <w:rPr>
                <w:i/>
                <w:iCs/>
                <w:sz w:val="22"/>
                <w:szCs w:val="22"/>
              </w:rPr>
              <w:t>şi/sau există pericol de explozie volumetrică)</w:t>
            </w:r>
          </w:p>
        </w:tc>
        <w:tc>
          <w:tcPr>
            <w:tcW w:w="978" w:type="pct"/>
            <w:shd w:val="clear" w:color="auto" w:fill="auto"/>
            <w:vAlign w:val="center"/>
          </w:tcPr>
          <w:p w14:paraId="26AEDBED" w14:textId="77777777" w:rsidR="001C08A5" w:rsidRDefault="00000000">
            <w:pPr>
              <w:pStyle w:val="Contenutotabellacentrato"/>
              <w:rPr>
                <w:b/>
                <w:bCs/>
                <w:i/>
                <w:iCs/>
                <w:sz w:val="22"/>
                <w:szCs w:val="22"/>
              </w:rPr>
            </w:pPr>
            <w:r>
              <w:rPr>
                <w:b/>
                <w:bCs/>
                <w:i/>
                <w:iCs/>
                <w:sz w:val="22"/>
                <w:szCs w:val="22"/>
              </w:rPr>
              <w:t xml:space="preserve">EI-M 120/REI 120 </w:t>
            </w:r>
          </w:p>
        </w:tc>
        <w:tc>
          <w:tcPr>
            <w:tcW w:w="958" w:type="pct"/>
            <w:shd w:val="clear" w:color="auto" w:fill="auto"/>
            <w:vAlign w:val="center"/>
          </w:tcPr>
          <w:p w14:paraId="1D37E991" w14:textId="77777777" w:rsidR="001C08A5" w:rsidRDefault="00000000">
            <w:pPr>
              <w:jc w:val="center"/>
              <w:rPr>
                <w:b/>
                <w:i/>
                <w:iCs/>
                <w:sz w:val="22"/>
                <w:szCs w:val="22"/>
              </w:rPr>
            </w:pPr>
            <w:r>
              <w:rPr>
                <w:b/>
                <w:i/>
                <w:iCs/>
                <w:sz w:val="22"/>
                <w:szCs w:val="22"/>
              </w:rPr>
              <w:t>REI 120</w:t>
            </w:r>
          </w:p>
        </w:tc>
        <w:tc>
          <w:tcPr>
            <w:tcW w:w="708" w:type="pct"/>
            <w:shd w:val="clear" w:color="auto" w:fill="auto"/>
            <w:vAlign w:val="center"/>
          </w:tcPr>
          <w:p w14:paraId="05082AAF"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120-C5S</w:t>
            </w:r>
            <w:r>
              <w:rPr>
                <w:b/>
                <w:bCs/>
                <w:i/>
                <w:iCs/>
                <w:sz w:val="22"/>
                <w:szCs w:val="22"/>
                <w:vertAlign w:val="subscript"/>
              </w:rPr>
              <w:t>200</w:t>
            </w:r>
          </w:p>
        </w:tc>
      </w:tr>
      <w:tr w:rsidR="001C08A5" w14:paraId="2BC89479" w14:textId="77777777">
        <w:tc>
          <w:tcPr>
            <w:tcW w:w="1306" w:type="pct"/>
            <w:shd w:val="clear" w:color="auto" w:fill="auto"/>
          </w:tcPr>
          <w:p w14:paraId="0EC6432B" w14:textId="77777777" w:rsidR="001C08A5" w:rsidRDefault="00000000">
            <w:pPr>
              <w:jc w:val="both"/>
              <w:rPr>
                <w:i/>
                <w:iCs/>
                <w:sz w:val="22"/>
                <w:szCs w:val="22"/>
              </w:rPr>
            </w:pPr>
            <w:r>
              <w:rPr>
                <w:i/>
                <w:iCs/>
                <w:sz w:val="22"/>
                <w:szCs w:val="22"/>
              </w:rPr>
              <w:t>b)pentru clădirile destinate persoanelor care nu se pot evacua singure, pentru construcțiile cu risc mare de incendiu, precum și cele pentru obiecte, echipamente sau aparatură de importanţă deosebita, pentru clădiri civile supraterane înalte şi/sau foarte înalte sau clădiri cu săli aglomerate</w:t>
            </w:r>
          </w:p>
        </w:tc>
        <w:tc>
          <w:tcPr>
            <w:tcW w:w="1048" w:type="pct"/>
            <w:shd w:val="clear" w:color="auto" w:fill="auto"/>
            <w:vAlign w:val="center"/>
          </w:tcPr>
          <w:p w14:paraId="670B7307" w14:textId="77777777" w:rsidR="001C08A5" w:rsidRDefault="00000000">
            <w:pPr>
              <w:pStyle w:val="Contenutotabellacentrato"/>
              <w:keepNext/>
              <w:rPr>
                <w:b/>
                <w:bCs/>
                <w:i/>
                <w:iCs/>
                <w:sz w:val="22"/>
                <w:szCs w:val="22"/>
              </w:rPr>
            </w:pPr>
            <w:r>
              <w:rPr>
                <w:b/>
                <w:bCs/>
                <w:i/>
                <w:iCs/>
                <w:sz w:val="22"/>
                <w:szCs w:val="22"/>
              </w:rPr>
              <w:t>EI-M 180/REI 180</w:t>
            </w:r>
          </w:p>
        </w:tc>
        <w:tc>
          <w:tcPr>
            <w:tcW w:w="978" w:type="pct"/>
            <w:shd w:val="clear" w:color="auto" w:fill="auto"/>
            <w:vAlign w:val="center"/>
          </w:tcPr>
          <w:p w14:paraId="3D48CC67" w14:textId="77777777" w:rsidR="001C08A5" w:rsidRDefault="00000000">
            <w:pPr>
              <w:pStyle w:val="Contenutotabellacentrato"/>
              <w:keepNext/>
              <w:rPr>
                <w:b/>
                <w:bCs/>
                <w:i/>
                <w:iCs/>
                <w:sz w:val="22"/>
                <w:szCs w:val="22"/>
              </w:rPr>
            </w:pPr>
            <w:r>
              <w:rPr>
                <w:b/>
                <w:bCs/>
                <w:i/>
                <w:iCs/>
                <w:sz w:val="22"/>
                <w:szCs w:val="22"/>
              </w:rPr>
              <w:t>EI 90/REI 90</w:t>
            </w:r>
          </w:p>
        </w:tc>
        <w:tc>
          <w:tcPr>
            <w:tcW w:w="958" w:type="pct"/>
            <w:shd w:val="clear" w:color="auto" w:fill="auto"/>
            <w:vAlign w:val="center"/>
          </w:tcPr>
          <w:p w14:paraId="2CD664BC" w14:textId="77777777" w:rsidR="001C08A5" w:rsidRDefault="00000000">
            <w:pPr>
              <w:jc w:val="center"/>
              <w:rPr>
                <w:b/>
                <w:i/>
                <w:iCs/>
                <w:sz w:val="22"/>
                <w:szCs w:val="22"/>
              </w:rPr>
            </w:pPr>
            <w:r>
              <w:rPr>
                <w:b/>
                <w:i/>
                <w:iCs/>
                <w:sz w:val="22"/>
                <w:szCs w:val="22"/>
              </w:rPr>
              <w:t>REI 90</w:t>
            </w:r>
          </w:p>
        </w:tc>
        <w:tc>
          <w:tcPr>
            <w:tcW w:w="708" w:type="pct"/>
            <w:shd w:val="clear" w:color="auto" w:fill="auto"/>
            <w:vAlign w:val="center"/>
          </w:tcPr>
          <w:p w14:paraId="37E3478E"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90-C5</w:t>
            </w:r>
          </w:p>
          <w:p w14:paraId="253CE276" w14:textId="77777777" w:rsidR="001C08A5" w:rsidRDefault="00000000">
            <w:pPr>
              <w:jc w:val="center"/>
              <w:rPr>
                <w:b/>
                <w:bCs/>
                <w:i/>
                <w:iCs/>
                <w:sz w:val="22"/>
                <w:szCs w:val="22"/>
              </w:rPr>
            </w:pPr>
            <w:r>
              <w:rPr>
                <w:b/>
                <w:bCs/>
                <w:i/>
                <w:iCs/>
                <w:sz w:val="22"/>
                <w:szCs w:val="22"/>
              </w:rPr>
              <w:t>S</w:t>
            </w:r>
            <w:r>
              <w:rPr>
                <w:b/>
                <w:bCs/>
                <w:i/>
                <w:iCs/>
                <w:sz w:val="22"/>
                <w:szCs w:val="22"/>
                <w:vertAlign w:val="subscript"/>
              </w:rPr>
              <w:t>200</w:t>
            </w:r>
          </w:p>
        </w:tc>
      </w:tr>
      <w:tr w:rsidR="001C08A5" w14:paraId="3DCD325B" w14:textId="77777777">
        <w:tc>
          <w:tcPr>
            <w:tcW w:w="1306" w:type="pct"/>
            <w:shd w:val="clear" w:color="auto" w:fill="auto"/>
            <w:vAlign w:val="center"/>
          </w:tcPr>
          <w:p w14:paraId="48F4A3FF" w14:textId="77777777" w:rsidR="001C08A5" w:rsidRDefault="00000000">
            <w:pPr>
              <w:pStyle w:val="Contenutotabellacentrato"/>
              <w:keepNext/>
              <w:jc w:val="both"/>
              <w:rPr>
                <w:b/>
                <w:bCs/>
                <w:i/>
                <w:iCs/>
                <w:sz w:val="22"/>
                <w:szCs w:val="22"/>
              </w:rPr>
            </w:pPr>
            <w:r>
              <w:rPr>
                <w:i/>
                <w:iCs/>
                <w:sz w:val="22"/>
                <w:szCs w:val="22"/>
              </w:rPr>
              <w:t>c) construcțiile cu risc foarte mare de incendiu (atunci când densitatea sarcinii termice (</w:t>
            </w:r>
            <w:r>
              <w:rPr>
                <w:b/>
                <w:bCs/>
                <w:i/>
                <w:iCs/>
                <w:sz w:val="22"/>
                <w:szCs w:val="22"/>
              </w:rPr>
              <w:t>q</w:t>
            </w:r>
            <w:r>
              <w:rPr>
                <w:i/>
                <w:iCs/>
                <w:sz w:val="22"/>
                <w:szCs w:val="22"/>
              </w:rPr>
              <w:t xml:space="preserve">) este mai mare de </w:t>
            </w:r>
            <w:r>
              <w:rPr>
                <w:b/>
                <w:bCs/>
                <w:i/>
                <w:iCs/>
                <w:sz w:val="22"/>
                <w:szCs w:val="22"/>
              </w:rPr>
              <w:t>1680 MJ/m²</w:t>
            </w:r>
            <w:r>
              <w:rPr>
                <w:i/>
                <w:iCs/>
                <w:sz w:val="22"/>
                <w:szCs w:val="22"/>
              </w:rPr>
              <w:t xml:space="preserve"> şi/sau există pericol de explozie volumetrică)</w:t>
            </w:r>
          </w:p>
        </w:tc>
        <w:tc>
          <w:tcPr>
            <w:tcW w:w="1048" w:type="pct"/>
            <w:shd w:val="clear" w:color="auto" w:fill="auto"/>
            <w:vAlign w:val="center"/>
          </w:tcPr>
          <w:p w14:paraId="6C4456C2" w14:textId="77777777" w:rsidR="001C08A5" w:rsidRDefault="00000000">
            <w:pPr>
              <w:pStyle w:val="Contenutotabellacentrato"/>
              <w:keepNext/>
              <w:rPr>
                <w:b/>
                <w:bCs/>
                <w:i/>
                <w:iCs/>
                <w:sz w:val="22"/>
                <w:szCs w:val="22"/>
              </w:rPr>
            </w:pPr>
            <w:r>
              <w:rPr>
                <w:b/>
                <w:bCs/>
                <w:i/>
                <w:iCs/>
                <w:sz w:val="22"/>
                <w:szCs w:val="22"/>
              </w:rPr>
              <w:t>EI-M 240/REI 240</w:t>
            </w:r>
          </w:p>
        </w:tc>
        <w:tc>
          <w:tcPr>
            <w:tcW w:w="978" w:type="pct"/>
            <w:shd w:val="clear" w:color="auto" w:fill="auto"/>
            <w:vAlign w:val="center"/>
          </w:tcPr>
          <w:p w14:paraId="14C14A9D" w14:textId="77777777" w:rsidR="001C08A5" w:rsidRDefault="00000000">
            <w:pPr>
              <w:pStyle w:val="Contenutotabellacentrato"/>
              <w:keepNext/>
              <w:rPr>
                <w:i/>
                <w:iCs/>
              </w:rPr>
            </w:pPr>
            <w:r>
              <w:rPr>
                <w:b/>
                <w:bCs/>
                <w:i/>
                <w:iCs/>
                <w:sz w:val="22"/>
                <w:szCs w:val="22"/>
              </w:rPr>
              <w:t>EI-M 120/REI 120</w:t>
            </w:r>
          </w:p>
        </w:tc>
        <w:tc>
          <w:tcPr>
            <w:tcW w:w="958" w:type="pct"/>
            <w:shd w:val="clear" w:color="auto" w:fill="auto"/>
            <w:vAlign w:val="center"/>
          </w:tcPr>
          <w:p w14:paraId="56581F82" w14:textId="77777777" w:rsidR="001C08A5" w:rsidRDefault="00000000">
            <w:pPr>
              <w:jc w:val="center"/>
              <w:rPr>
                <w:b/>
                <w:bCs/>
                <w:i/>
                <w:iCs/>
              </w:rPr>
            </w:pPr>
            <w:r>
              <w:rPr>
                <w:b/>
                <w:i/>
                <w:iCs/>
                <w:sz w:val="22"/>
                <w:szCs w:val="22"/>
              </w:rPr>
              <w:t>REI 120</w:t>
            </w:r>
          </w:p>
        </w:tc>
        <w:tc>
          <w:tcPr>
            <w:tcW w:w="708" w:type="pct"/>
            <w:shd w:val="clear" w:color="auto" w:fill="auto"/>
            <w:vAlign w:val="center"/>
          </w:tcPr>
          <w:p w14:paraId="0DBD9A18" w14:textId="77777777" w:rsidR="001C08A5" w:rsidRDefault="00000000">
            <w:pPr>
              <w:pStyle w:val="Contenutotabellacentrato"/>
              <w:rPr>
                <w:i/>
                <w:iCs/>
              </w:rPr>
            </w:pPr>
            <w:r>
              <w:rPr>
                <w:b/>
                <w:bCs/>
                <w:i/>
                <w:iCs/>
                <w:sz w:val="22"/>
                <w:szCs w:val="22"/>
              </w:rPr>
              <w:t>2 uși x EI</w:t>
            </w:r>
            <w:r>
              <w:rPr>
                <w:b/>
                <w:bCs/>
                <w:i/>
                <w:iCs/>
                <w:sz w:val="22"/>
                <w:szCs w:val="22"/>
                <w:vertAlign w:val="subscript"/>
              </w:rPr>
              <w:t>2</w:t>
            </w:r>
            <w:r>
              <w:rPr>
                <w:b/>
                <w:bCs/>
                <w:i/>
                <w:iCs/>
                <w:sz w:val="22"/>
                <w:szCs w:val="22"/>
              </w:rPr>
              <w:t xml:space="preserve"> 120-C5S</w:t>
            </w:r>
            <w:r>
              <w:rPr>
                <w:b/>
                <w:bCs/>
                <w:i/>
                <w:iCs/>
                <w:sz w:val="22"/>
                <w:szCs w:val="22"/>
                <w:vertAlign w:val="subscript"/>
              </w:rPr>
              <w:t>200</w:t>
            </w:r>
          </w:p>
        </w:tc>
      </w:tr>
      <w:tr w:rsidR="001C08A5" w14:paraId="7791658B" w14:textId="77777777">
        <w:tc>
          <w:tcPr>
            <w:tcW w:w="1306" w:type="pct"/>
            <w:shd w:val="clear" w:color="auto" w:fill="auto"/>
            <w:vAlign w:val="center"/>
          </w:tcPr>
          <w:p w14:paraId="0411AA46" w14:textId="77777777" w:rsidR="001C08A5" w:rsidRDefault="00000000">
            <w:pPr>
              <w:pStyle w:val="Contenutotabellacentrato"/>
              <w:keepNext/>
              <w:jc w:val="both"/>
              <w:rPr>
                <w:b/>
                <w:bCs/>
                <w:i/>
                <w:iCs/>
                <w:sz w:val="22"/>
                <w:szCs w:val="22"/>
              </w:rPr>
            </w:pPr>
            <w:r>
              <w:rPr>
                <w:i/>
                <w:iCs/>
                <w:sz w:val="22"/>
                <w:szCs w:val="22"/>
              </w:rPr>
              <w:t xml:space="preserve">d) clădirile cu alt regim de înălțime, cu excepția clădirilor definite la literele </w:t>
            </w:r>
            <w:r>
              <w:rPr>
                <w:b/>
                <w:bCs/>
                <w:i/>
                <w:iCs/>
                <w:sz w:val="22"/>
                <w:szCs w:val="22"/>
              </w:rPr>
              <w:t xml:space="preserve">(a), (b) </w:t>
            </w:r>
            <w:r>
              <w:rPr>
                <w:i/>
                <w:iCs/>
                <w:sz w:val="22"/>
                <w:szCs w:val="22"/>
              </w:rPr>
              <w:t>și</w:t>
            </w:r>
            <w:r>
              <w:rPr>
                <w:b/>
                <w:bCs/>
                <w:i/>
                <w:iCs/>
                <w:sz w:val="22"/>
                <w:szCs w:val="22"/>
              </w:rPr>
              <w:t xml:space="preserve"> (c) </w:t>
            </w:r>
            <w:r>
              <w:rPr>
                <w:i/>
                <w:iCs/>
                <w:sz w:val="22"/>
                <w:szCs w:val="22"/>
              </w:rPr>
              <w:t>din tabel</w:t>
            </w:r>
          </w:p>
        </w:tc>
        <w:tc>
          <w:tcPr>
            <w:tcW w:w="1048" w:type="pct"/>
            <w:shd w:val="clear" w:color="auto" w:fill="auto"/>
            <w:vAlign w:val="center"/>
          </w:tcPr>
          <w:p w14:paraId="34BDF168" w14:textId="77777777" w:rsidR="001C08A5" w:rsidRDefault="00000000">
            <w:pPr>
              <w:pStyle w:val="Contenutotabellacentrato"/>
              <w:keepNext/>
              <w:rPr>
                <w:b/>
                <w:bCs/>
                <w:i/>
                <w:iCs/>
                <w:sz w:val="22"/>
                <w:szCs w:val="22"/>
              </w:rPr>
            </w:pPr>
            <w:r>
              <w:rPr>
                <w:b/>
                <w:bCs/>
                <w:i/>
                <w:iCs/>
                <w:sz w:val="22"/>
                <w:szCs w:val="22"/>
              </w:rPr>
              <w:t>EI-M 120/REI 120</w:t>
            </w:r>
          </w:p>
        </w:tc>
        <w:tc>
          <w:tcPr>
            <w:tcW w:w="978" w:type="pct"/>
            <w:shd w:val="clear" w:color="auto" w:fill="auto"/>
            <w:vAlign w:val="center"/>
          </w:tcPr>
          <w:p w14:paraId="75E30289" w14:textId="77777777" w:rsidR="001C08A5" w:rsidRDefault="00000000">
            <w:pPr>
              <w:pStyle w:val="Contenutotabellacentrato"/>
              <w:keepNext/>
              <w:rPr>
                <w:i/>
                <w:iCs/>
              </w:rPr>
            </w:pPr>
            <w:r>
              <w:rPr>
                <w:b/>
                <w:bCs/>
                <w:i/>
                <w:iCs/>
                <w:sz w:val="22"/>
                <w:szCs w:val="22"/>
              </w:rPr>
              <w:t>EI 60/REI 60</w:t>
            </w:r>
          </w:p>
        </w:tc>
        <w:tc>
          <w:tcPr>
            <w:tcW w:w="958" w:type="pct"/>
            <w:shd w:val="clear" w:color="auto" w:fill="auto"/>
          </w:tcPr>
          <w:p w14:paraId="20E54738" w14:textId="77777777" w:rsidR="001C08A5" w:rsidRDefault="00000000">
            <w:pPr>
              <w:jc w:val="both"/>
              <w:rPr>
                <w:b/>
                <w:i/>
                <w:iCs/>
                <w:sz w:val="22"/>
                <w:szCs w:val="22"/>
              </w:rPr>
            </w:pPr>
            <w:r>
              <w:rPr>
                <w:b/>
                <w:i/>
                <w:iCs/>
                <w:sz w:val="22"/>
                <w:szCs w:val="22"/>
              </w:rPr>
              <w:t xml:space="preserve">Conform prevederi din </w:t>
            </w:r>
            <w:r>
              <w:rPr>
                <w:b/>
                <w:bCs/>
                <w:i/>
                <w:iCs/>
                <w:sz w:val="22"/>
                <w:szCs w:val="22"/>
              </w:rPr>
              <w:fldChar w:fldCharType="begin"/>
            </w:r>
            <w:r>
              <w:rPr>
                <w:b/>
                <w:bCs/>
                <w:i/>
                <w:iCs/>
                <w:sz w:val="22"/>
                <w:szCs w:val="22"/>
              </w:rPr>
              <w:instrText xml:space="preserve"> REF _Ref26473 \h </w:instrText>
            </w:r>
            <w:r>
              <w:rPr>
                <w:b/>
                <w:bCs/>
                <w:i/>
                <w:iCs/>
                <w:sz w:val="22"/>
                <w:szCs w:val="22"/>
              </w:rPr>
            </w:r>
            <w:r>
              <w:rPr>
                <w:b/>
                <w:bCs/>
                <w:i/>
                <w:iCs/>
                <w:sz w:val="22"/>
                <w:szCs w:val="22"/>
              </w:rPr>
              <w:fldChar w:fldCharType="separate"/>
            </w:r>
            <w:r>
              <w:t>Tabelul 2</w:t>
            </w:r>
            <w:r>
              <w:rPr>
                <w:b/>
                <w:bCs/>
                <w:i/>
                <w:iCs/>
                <w:sz w:val="22"/>
                <w:szCs w:val="22"/>
              </w:rPr>
              <w:fldChar w:fldCharType="end"/>
            </w:r>
            <w:r>
              <w:rPr>
                <w:b/>
                <w:bCs/>
                <w:i/>
                <w:iCs/>
                <w:sz w:val="22"/>
                <w:szCs w:val="22"/>
              </w:rPr>
              <w:t xml:space="preserve"> </w:t>
            </w:r>
            <w:r>
              <w:rPr>
                <w:b/>
                <w:i/>
                <w:iCs/>
                <w:sz w:val="22"/>
                <w:szCs w:val="22"/>
              </w:rPr>
              <w:t xml:space="preserve">- pct. 3 </w:t>
            </w:r>
          </w:p>
          <w:p w14:paraId="16E9F627" w14:textId="77777777" w:rsidR="001C08A5" w:rsidRDefault="00000000">
            <w:pPr>
              <w:jc w:val="both"/>
              <w:rPr>
                <w:b/>
                <w:bCs/>
                <w:i/>
                <w:iCs/>
              </w:rPr>
            </w:pPr>
            <w:r>
              <w:rPr>
                <w:i/>
                <w:iCs/>
                <w:sz w:val="18"/>
                <w:szCs w:val="18"/>
              </w:rPr>
              <w:t>Condiţiile minime de rezistenţă la foc pe care trebuie să le îndeplinească</w:t>
            </w:r>
            <w:r>
              <w:rPr>
                <w:i/>
                <w:iCs/>
              </w:rPr>
              <w:t xml:space="preserve">  planșee (REI) pentru încadrarea  în nivelul stabilit de stabilitate la incendiu, fără a fi mai mici de </w:t>
            </w:r>
            <w:r>
              <w:rPr>
                <w:b/>
                <w:i/>
                <w:iCs/>
                <w:sz w:val="22"/>
                <w:szCs w:val="22"/>
              </w:rPr>
              <w:t>REI 60</w:t>
            </w:r>
            <w:r>
              <w:rPr>
                <w:i/>
                <w:iCs/>
                <w:sz w:val="22"/>
                <w:szCs w:val="22"/>
              </w:rPr>
              <w:t>.</w:t>
            </w:r>
          </w:p>
        </w:tc>
        <w:tc>
          <w:tcPr>
            <w:tcW w:w="708" w:type="pct"/>
            <w:shd w:val="clear" w:color="auto" w:fill="auto"/>
            <w:vAlign w:val="center"/>
          </w:tcPr>
          <w:p w14:paraId="28950299" w14:textId="77777777" w:rsidR="001C08A5" w:rsidRDefault="00000000">
            <w:pPr>
              <w:pStyle w:val="Contenutotabellacentrato"/>
              <w:rPr>
                <w:i/>
                <w:iCs/>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bl>
    <w:p w14:paraId="1FF18E05" w14:textId="77777777" w:rsidR="001C08A5" w:rsidRDefault="001C08A5">
      <w:pPr>
        <w:pStyle w:val="BodyText"/>
      </w:pPr>
    </w:p>
    <w:p w14:paraId="10E2077F" w14:textId="77777777" w:rsidR="001C08A5" w:rsidRDefault="00000000">
      <w:pPr>
        <w:ind w:left="1410"/>
        <w:jc w:val="both"/>
        <w:rPr>
          <w:b/>
          <w:sz w:val="24"/>
          <w:szCs w:val="24"/>
        </w:rPr>
      </w:pPr>
      <w:r>
        <w:rPr>
          <w:b/>
          <w:sz w:val="24"/>
          <w:szCs w:val="24"/>
        </w:rPr>
        <w:t xml:space="preserve">d) </w:t>
      </w:r>
      <w:r>
        <w:rPr>
          <w:sz w:val="24"/>
          <w:szCs w:val="24"/>
        </w:rPr>
        <w:t>pe cât posibil, încăperile tampon se alipesc peretelui rezistent la foc și se dispun în spaţiile cu densitatea sarcinii termice (</w:t>
      </w:r>
      <w:r>
        <w:rPr>
          <w:b/>
          <w:bCs/>
          <w:sz w:val="24"/>
          <w:szCs w:val="24"/>
        </w:rPr>
        <w:t>q</w:t>
      </w:r>
      <w:r>
        <w:rPr>
          <w:sz w:val="24"/>
          <w:szCs w:val="24"/>
        </w:rPr>
        <w:t>) mai mică; încăperile tampon care delimiteaza spatii cu pericol de explozie volumetrica este obligatoriu să se amplaseze în afara zonei expusă exploziei;</w:t>
      </w:r>
    </w:p>
    <w:p w14:paraId="4A465705" w14:textId="77777777" w:rsidR="001C08A5" w:rsidRDefault="00000000">
      <w:pPr>
        <w:ind w:left="1410" w:firstLine="6"/>
        <w:jc w:val="both"/>
        <w:rPr>
          <w:b/>
          <w:bCs/>
          <w:sz w:val="24"/>
          <w:szCs w:val="24"/>
        </w:rPr>
      </w:pPr>
      <w:r>
        <w:rPr>
          <w:b/>
          <w:sz w:val="24"/>
          <w:szCs w:val="24"/>
        </w:rPr>
        <w:lastRenderedPageBreak/>
        <w:t xml:space="preserve">e) </w:t>
      </w:r>
      <w:r>
        <w:rPr>
          <w:sz w:val="24"/>
          <w:szCs w:val="24"/>
        </w:rPr>
        <w:t xml:space="preserve">încăperile tampon se prevăd cu sisteme independente de ventilare în suprapresiune sau cu admisie de aer și evacuare fum;  </w:t>
      </w:r>
    </w:p>
    <w:p w14:paraId="07854A63" w14:textId="77777777" w:rsidR="001C08A5" w:rsidRDefault="00000000">
      <w:pPr>
        <w:ind w:left="1410"/>
        <w:jc w:val="both"/>
        <w:rPr>
          <w:b/>
          <w:bCs/>
          <w:sz w:val="24"/>
          <w:szCs w:val="24"/>
        </w:rPr>
      </w:pPr>
      <w:r>
        <w:rPr>
          <w:b/>
          <w:bCs/>
          <w:sz w:val="24"/>
          <w:szCs w:val="24"/>
        </w:rPr>
        <w:t>f)</w:t>
      </w:r>
      <w:r>
        <w:rPr>
          <w:sz w:val="24"/>
          <w:szCs w:val="24"/>
        </w:rPr>
        <w:t xml:space="preserve"> atunci când încăperile tampon protejate sunt prevăzute cu instalaţii de ventilare în suprapresiune, presiunea pe ușile închise nu va depăşi </w:t>
      </w:r>
      <w:r>
        <w:rPr>
          <w:b/>
          <w:bCs/>
          <w:sz w:val="24"/>
          <w:szCs w:val="24"/>
        </w:rPr>
        <w:t>80 Pa</w:t>
      </w:r>
      <w:r>
        <w:rPr>
          <w:sz w:val="24"/>
          <w:szCs w:val="24"/>
        </w:rPr>
        <w:t xml:space="preserve">; Criteriul de calcul utilizat va fi clasa conform </w:t>
      </w:r>
      <w:hyperlink r:id="rId129" w:history="1">
        <w:r>
          <w:rPr>
            <w:rStyle w:val="Strong"/>
            <w:rFonts w:eastAsia="sans-serif"/>
            <w:sz w:val="24"/>
            <w:szCs w:val="24"/>
            <w:shd w:val="clear" w:color="auto" w:fill="FFFFFF"/>
          </w:rPr>
          <w:t>SR EN 12101-13 -</w:t>
        </w:r>
      </w:hyperlink>
      <w:r>
        <w:rPr>
          <w:rStyle w:val="Strong"/>
          <w:rFonts w:eastAsia="sans-serif"/>
          <w:b w:val="0"/>
          <w:bCs w:val="0"/>
          <w:sz w:val="24"/>
          <w:szCs w:val="24"/>
          <w:shd w:val="clear" w:color="auto" w:fill="FFFFFF"/>
        </w:rPr>
        <w:t xml:space="preserve">Sisteme pentru controlul fumului și gazelor fierbinți. Partea 13: Sisteme cu presiune diferențială (SPD). Metode de proiectare și de calcul, instalare, încercări în vederea recepției, încercări periodice și mentenanță și </w:t>
      </w:r>
      <w:hyperlink r:id="rId130" w:history="1">
        <w:r>
          <w:rPr>
            <w:rStyle w:val="Strong"/>
            <w:rFonts w:eastAsia="sans-serif"/>
            <w:sz w:val="24"/>
            <w:szCs w:val="24"/>
            <w:shd w:val="clear" w:color="auto" w:fill="FFFFFF"/>
          </w:rPr>
          <w:t>SR EN 12101-6 -</w:t>
        </w:r>
      </w:hyperlink>
      <w:r>
        <w:rPr>
          <w:sz w:val="24"/>
          <w:szCs w:val="24"/>
        </w:rPr>
        <w:t>Sisteme pentru controlul fumului și gazelor fierbinți. Partea 6: Specificații pentru sisteme cu presiune diferențială. Kituri;</w:t>
      </w:r>
    </w:p>
    <w:p w14:paraId="1F837D33" w14:textId="77777777" w:rsidR="001C08A5" w:rsidRDefault="00000000">
      <w:pPr>
        <w:ind w:left="1410"/>
        <w:jc w:val="both"/>
        <w:rPr>
          <w:sz w:val="24"/>
          <w:szCs w:val="24"/>
        </w:rPr>
      </w:pPr>
      <w:r>
        <w:rPr>
          <w:b/>
          <w:bCs/>
          <w:sz w:val="24"/>
          <w:szCs w:val="24"/>
        </w:rPr>
        <w:t xml:space="preserve">g) </w:t>
      </w:r>
      <w:r>
        <w:rPr>
          <w:sz w:val="24"/>
          <w:szCs w:val="24"/>
        </w:rPr>
        <w:t xml:space="preserve">finisajele pereţilor și pardoselilor trebuie să fie cel puţin </w:t>
      </w:r>
      <w:r>
        <w:rPr>
          <w:b/>
          <w:bCs/>
          <w:sz w:val="24"/>
          <w:szCs w:val="24"/>
        </w:rPr>
        <w:t>A2-s1d0</w:t>
      </w:r>
      <w:r>
        <w:rPr>
          <w:sz w:val="24"/>
          <w:szCs w:val="24"/>
        </w:rPr>
        <w:t xml:space="preserve">, respectiv </w:t>
      </w:r>
      <w:r>
        <w:rPr>
          <w:b/>
          <w:bCs/>
          <w:sz w:val="24"/>
          <w:szCs w:val="24"/>
        </w:rPr>
        <w:t>A2fl-s1</w:t>
      </w:r>
      <w:r>
        <w:rPr>
          <w:sz w:val="24"/>
          <w:szCs w:val="24"/>
        </w:rPr>
        <w:t>.</w:t>
      </w:r>
    </w:p>
    <w:p w14:paraId="1266E113" w14:textId="77777777" w:rsidR="001C08A5" w:rsidRDefault="00000000">
      <w:pPr>
        <w:ind w:left="1410"/>
        <w:jc w:val="both"/>
        <w:rPr>
          <w:rFonts w:eastAsia="Times-Roman"/>
          <w:sz w:val="24"/>
          <w:szCs w:val="24"/>
        </w:rPr>
      </w:pPr>
      <w:r>
        <w:rPr>
          <w:rFonts w:eastAsia="Times-Roman"/>
          <w:b/>
          <w:bCs/>
          <w:sz w:val="24"/>
          <w:szCs w:val="24"/>
        </w:rPr>
        <w:t xml:space="preserve">h) </w:t>
      </w:r>
      <w:r>
        <w:rPr>
          <w:rFonts w:eastAsia="Times-Roman"/>
          <w:sz w:val="24"/>
          <w:szCs w:val="24"/>
        </w:rPr>
        <w:t>încăperile tampon vor avea o suprafa</w:t>
      </w:r>
      <w:r>
        <w:rPr>
          <w:rFonts w:eastAsia="Times-Roman"/>
          <w:bCs/>
          <w:sz w:val="24"/>
          <w:szCs w:val="24"/>
        </w:rPr>
        <w:t>ță</w:t>
      </w:r>
      <w:r>
        <w:rPr>
          <w:rFonts w:eastAsia="Times-Roman"/>
          <w:sz w:val="24"/>
          <w:szCs w:val="24"/>
        </w:rPr>
        <w:t xml:space="preserve"> minim</w:t>
      </w:r>
      <w:r>
        <w:rPr>
          <w:rFonts w:eastAsia="Times-Roman"/>
          <w:bCs/>
          <w:sz w:val="24"/>
          <w:szCs w:val="24"/>
        </w:rPr>
        <w:t>ă</w:t>
      </w:r>
      <w:r>
        <w:rPr>
          <w:rFonts w:eastAsia="Times-Roman"/>
          <w:sz w:val="24"/>
          <w:szCs w:val="24"/>
        </w:rPr>
        <w:t xml:space="preserve"> de </w:t>
      </w:r>
      <w:r>
        <w:rPr>
          <w:rFonts w:eastAsia="Times-Roman"/>
          <w:b/>
          <w:bCs/>
          <w:sz w:val="24"/>
          <w:szCs w:val="24"/>
        </w:rPr>
        <w:t>3 mp</w:t>
      </w:r>
      <w:r>
        <w:rPr>
          <w:rFonts w:eastAsia="Times-Roman"/>
          <w:sz w:val="24"/>
          <w:szCs w:val="24"/>
        </w:rPr>
        <w:t>, iar distan</w:t>
      </w:r>
      <w:r>
        <w:rPr>
          <w:rFonts w:eastAsia="Times-Roman"/>
          <w:bCs/>
          <w:sz w:val="24"/>
          <w:szCs w:val="24"/>
        </w:rPr>
        <w:t>ț</w:t>
      </w:r>
      <w:r>
        <w:rPr>
          <w:rFonts w:eastAsia="Times-Roman"/>
          <w:sz w:val="24"/>
          <w:szCs w:val="24"/>
        </w:rPr>
        <w:t>a dintre m</w:t>
      </w:r>
      <w:r>
        <w:rPr>
          <w:rFonts w:eastAsia="Times-Roman"/>
          <w:bCs/>
          <w:sz w:val="24"/>
          <w:szCs w:val="24"/>
        </w:rPr>
        <w:t>â</w:t>
      </w:r>
      <w:r>
        <w:rPr>
          <w:rFonts w:eastAsia="Times-Roman"/>
          <w:sz w:val="24"/>
          <w:szCs w:val="24"/>
        </w:rPr>
        <w:t>nerele de ac</w:t>
      </w:r>
      <w:r>
        <w:rPr>
          <w:rFonts w:eastAsia="Times-Roman"/>
          <w:bCs/>
          <w:sz w:val="24"/>
          <w:szCs w:val="24"/>
        </w:rPr>
        <w:t>ț</w:t>
      </w:r>
      <w:r>
        <w:rPr>
          <w:rFonts w:eastAsia="Times-Roman"/>
          <w:sz w:val="24"/>
          <w:szCs w:val="24"/>
        </w:rPr>
        <w:t>ionare a u</w:t>
      </w:r>
      <w:r>
        <w:rPr>
          <w:rFonts w:eastAsia="Times-Roman"/>
          <w:bCs/>
          <w:sz w:val="24"/>
          <w:szCs w:val="24"/>
        </w:rPr>
        <w:t>ş</w:t>
      </w:r>
      <w:r>
        <w:rPr>
          <w:rFonts w:eastAsia="Times-Roman"/>
          <w:sz w:val="24"/>
          <w:szCs w:val="24"/>
        </w:rPr>
        <w:t xml:space="preserve">ilor va fi de minimum </w:t>
      </w:r>
      <w:r>
        <w:rPr>
          <w:rFonts w:eastAsia="Times-Roman"/>
          <w:b/>
          <w:bCs/>
          <w:sz w:val="24"/>
          <w:szCs w:val="24"/>
        </w:rPr>
        <w:t>2 m</w:t>
      </w:r>
      <w:r>
        <w:rPr>
          <w:rFonts w:eastAsia="Times-Roman"/>
          <w:sz w:val="24"/>
          <w:szCs w:val="24"/>
        </w:rPr>
        <w:t>.</w:t>
      </w:r>
    </w:p>
    <w:p w14:paraId="0FD55DB0" w14:textId="77777777" w:rsidR="001C08A5" w:rsidRDefault="00000000">
      <w:pPr>
        <w:ind w:left="1410"/>
        <w:jc w:val="both"/>
        <w:rPr>
          <w:bCs/>
          <w:sz w:val="24"/>
          <w:szCs w:val="24"/>
        </w:rPr>
      </w:pPr>
      <w:r>
        <w:rPr>
          <w:b/>
          <w:sz w:val="24"/>
          <w:szCs w:val="24"/>
        </w:rPr>
        <w:t xml:space="preserve">i) </w:t>
      </w:r>
      <w:r>
        <w:rPr>
          <w:sz w:val="24"/>
          <w:szCs w:val="24"/>
        </w:rPr>
        <w:t>rezistenţa minimă la foc a pereţilor încăperilor tampon protejate prevăzute în pereți rezistenți la foc stabiliți în normativ va fi asigurată conform</w:t>
      </w:r>
      <w:r>
        <w:rPr>
          <w:bCs/>
          <w:sz w:val="24"/>
          <w:szCs w:val="24"/>
        </w:rPr>
        <w:t xml:space="preserve"> prevederilor specifice din normativ. Acolo unde </w:t>
      </w:r>
      <w:r>
        <w:rPr>
          <w:sz w:val="24"/>
          <w:szCs w:val="24"/>
        </w:rPr>
        <w:t>rezistenţa minimă la foc a pereţilor</w:t>
      </w:r>
      <w:r>
        <w:rPr>
          <w:bCs/>
          <w:sz w:val="24"/>
          <w:szCs w:val="24"/>
        </w:rPr>
        <w:t xml:space="preserve"> nu se regăsește în normativ, pentru ușile încăperilor tampon prevăzute, pereții acestora (</w:t>
      </w:r>
      <w:r>
        <w:rPr>
          <w:sz w:val="24"/>
          <w:szCs w:val="24"/>
        </w:rPr>
        <w:t>cu excepția peretelui către încăperea cu densitate de sarcina termică sau risc</w:t>
      </w:r>
      <w:r>
        <w:rPr>
          <w:bCs/>
          <w:sz w:val="24"/>
          <w:szCs w:val="24"/>
        </w:rPr>
        <w:t>) vor asigura:</w:t>
      </w:r>
    </w:p>
    <w:p w14:paraId="0777DCDE" w14:textId="77777777" w:rsidR="001C08A5" w:rsidRDefault="00000000">
      <w:pPr>
        <w:ind w:left="2160" w:firstLine="720"/>
        <w:jc w:val="both"/>
        <w:rPr>
          <w:b/>
          <w:bCs/>
          <w:sz w:val="24"/>
          <w:szCs w:val="24"/>
          <w:vertAlign w:val="subscript"/>
        </w:rPr>
      </w:pPr>
      <w:r>
        <w:rPr>
          <w:b/>
          <w:bCs/>
          <w:sz w:val="24"/>
          <w:szCs w:val="24"/>
        </w:rPr>
        <w:t xml:space="preserve">- </w:t>
      </w:r>
      <w:r>
        <w:rPr>
          <w:sz w:val="24"/>
          <w:szCs w:val="24"/>
        </w:rPr>
        <w:t>rezistenţa la foc</w:t>
      </w:r>
      <w:r>
        <w:rPr>
          <w:b/>
          <w:bCs/>
          <w:sz w:val="24"/>
          <w:szCs w:val="24"/>
        </w:rPr>
        <w:t xml:space="preserve"> (EI/REI) </w:t>
      </w:r>
      <w:r>
        <w:rPr>
          <w:sz w:val="24"/>
          <w:szCs w:val="24"/>
        </w:rPr>
        <w:t xml:space="preserve">minimă a pereţilor încăperii tampon </w:t>
      </w:r>
      <w:r>
        <w:rPr>
          <w:b/>
          <w:bCs/>
          <w:sz w:val="24"/>
          <w:szCs w:val="24"/>
        </w:rPr>
        <w:t xml:space="preserve">EI 60/REI 60 </w:t>
      </w:r>
      <w:r>
        <w:rPr>
          <w:sz w:val="24"/>
          <w:szCs w:val="24"/>
        </w:rPr>
        <w:t>prevăzute cu uși</w:t>
      </w:r>
      <w:r>
        <w:rPr>
          <w:b/>
          <w:bCs/>
          <w:sz w:val="24"/>
          <w:szCs w:val="24"/>
        </w:rPr>
        <w:t xml:space="preserve"> EI</w:t>
      </w:r>
      <w:r>
        <w:rPr>
          <w:b/>
          <w:bCs/>
          <w:sz w:val="24"/>
          <w:szCs w:val="24"/>
          <w:vertAlign w:val="subscript"/>
        </w:rPr>
        <w:t>2</w:t>
      </w:r>
      <w:r>
        <w:rPr>
          <w:b/>
          <w:bCs/>
          <w:sz w:val="24"/>
          <w:szCs w:val="24"/>
        </w:rPr>
        <w:t xml:space="preserve"> 30-C5S</w:t>
      </w:r>
      <w:r>
        <w:rPr>
          <w:b/>
          <w:bCs/>
          <w:sz w:val="24"/>
          <w:szCs w:val="24"/>
          <w:vertAlign w:val="subscript"/>
        </w:rPr>
        <w:t>200</w:t>
      </w:r>
    </w:p>
    <w:p w14:paraId="1C60DF68" w14:textId="77777777" w:rsidR="001C08A5" w:rsidRDefault="00000000">
      <w:pPr>
        <w:ind w:left="2160" w:firstLine="720"/>
        <w:jc w:val="both"/>
        <w:rPr>
          <w:sz w:val="24"/>
          <w:szCs w:val="24"/>
        </w:rPr>
      </w:pPr>
      <w:r>
        <w:rPr>
          <w:b/>
          <w:bCs/>
          <w:sz w:val="24"/>
          <w:szCs w:val="24"/>
        </w:rPr>
        <w:t xml:space="preserve">- </w:t>
      </w:r>
      <w:r>
        <w:rPr>
          <w:sz w:val="24"/>
          <w:szCs w:val="24"/>
        </w:rPr>
        <w:t>rezistenţa la foc</w:t>
      </w:r>
      <w:r>
        <w:rPr>
          <w:b/>
          <w:bCs/>
          <w:sz w:val="24"/>
          <w:szCs w:val="24"/>
        </w:rPr>
        <w:t xml:space="preserve"> (EI/REI) </w:t>
      </w:r>
      <w:r>
        <w:rPr>
          <w:sz w:val="24"/>
          <w:szCs w:val="24"/>
        </w:rPr>
        <w:t xml:space="preserve">minimă a pereţilor încăperii tampon </w:t>
      </w:r>
      <w:r>
        <w:rPr>
          <w:b/>
          <w:bCs/>
          <w:sz w:val="24"/>
          <w:szCs w:val="24"/>
        </w:rPr>
        <w:t xml:space="preserve">EI 90/REI 90 </w:t>
      </w:r>
      <w:r>
        <w:rPr>
          <w:sz w:val="24"/>
          <w:szCs w:val="24"/>
        </w:rPr>
        <w:t>prevăzute cu uși</w:t>
      </w:r>
      <w:r>
        <w:rPr>
          <w:b/>
          <w:bCs/>
          <w:sz w:val="24"/>
          <w:szCs w:val="24"/>
        </w:rPr>
        <w:t xml:space="preserve"> EI</w:t>
      </w:r>
      <w:r>
        <w:rPr>
          <w:b/>
          <w:bCs/>
          <w:sz w:val="24"/>
          <w:szCs w:val="24"/>
          <w:vertAlign w:val="subscript"/>
        </w:rPr>
        <w:t>2</w:t>
      </w:r>
      <w:r>
        <w:rPr>
          <w:b/>
          <w:bCs/>
          <w:sz w:val="24"/>
          <w:szCs w:val="24"/>
        </w:rPr>
        <w:t xml:space="preserve"> 45-C5S</w:t>
      </w:r>
      <w:r>
        <w:rPr>
          <w:b/>
          <w:bCs/>
          <w:sz w:val="24"/>
          <w:szCs w:val="24"/>
          <w:vertAlign w:val="subscript"/>
        </w:rPr>
        <w:t>200</w:t>
      </w:r>
    </w:p>
    <w:p w14:paraId="4B675972" w14:textId="77777777" w:rsidR="001C08A5" w:rsidRDefault="00000000">
      <w:pPr>
        <w:ind w:left="2160" w:firstLine="720"/>
        <w:jc w:val="both"/>
        <w:rPr>
          <w:b/>
          <w:bCs/>
          <w:sz w:val="24"/>
          <w:szCs w:val="24"/>
          <w:vertAlign w:val="subscript"/>
        </w:rPr>
      </w:pPr>
      <w:r>
        <w:rPr>
          <w:b/>
          <w:bCs/>
          <w:sz w:val="24"/>
          <w:szCs w:val="24"/>
        </w:rPr>
        <w:t xml:space="preserve">- </w:t>
      </w:r>
      <w:r>
        <w:rPr>
          <w:sz w:val="24"/>
          <w:szCs w:val="24"/>
        </w:rPr>
        <w:t>rezistenţa la foc</w:t>
      </w:r>
      <w:r>
        <w:rPr>
          <w:b/>
          <w:bCs/>
          <w:sz w:val="24"/>
          <w:szCs w:val="24"/>
        </w:rPr>
        <w:t xml:space="preserve"> (EI/REI) </w:t>
      </w:r>
      <w:r>
        <w:rPr>
          <w:sz w:val="24"/>
          <w:szCs w:val="24"/>
        </w:rPr>
        <w:t xml:space="preserve">minimă a pereţilor încăperii tampon </w:t>
      </w:r>
      <w:r>
        <w:rPr>
          <w:b/>
          <w:bCs/>
          <w:sz w:val="24"/>
          <w:szCs w:val="24"/>
        </w:rPr>
        <w:t xml:space="preserve">EI 120/REI 120 </w:t>
      </w:r>
      <w:r>
        <w:rPr>
          <w:sz w:val="24"/>
          <w:szCs w:val="24"/>
        </w:rPr>
        <w:t>prevăzute cu uși</w:t>
      </w:r>
      <w:r>
        <w:rPr>
          <w:b/>
          <w:bCs/>
          <w:sz w:val="24"/>
          <w:szCs w:val="24"/>
        </w:rPr>
        <w:t xml:space="preserve"> EI</w:t>
      </w:r>
      <w:r>
        <w:rPr>
          <w:b/>
          <w:bCs/>
          <w:sz w:val="24"/>
          <w:szCs w:val="24"/>
          <w:vertAlign w:val="subscript"/>
        </w:rPr>
        <w:t>2</w:t>
      </w:r>
      <w:r>
        <w:rPr>
          <w:b/>
          <w:bCs/>
          <w:sz w:val="24"/>
          <w:szCs w:val="24"/>
        </w:rPr>
        <w:t xml:space="preserve"> 60-C5S</w:t>
      </w:r>
      <w:r>
        <w:rPr>
          <w:b/>
          <w:bCs/>
          <w:sz w:val="24"/>
          <w:szCs w:val="24"/>
          <w:vertAlign w:val="subscript"/>
        </w:rPr>
        <w:t>200</w:t>
      </w:r>
    </w:p>
    <w:p w14:paraId="56DF3AE3" w14:textId="77777777" w:rsidR="001C08A5" w:rsidRDefault="00000000">
      <w:pPr>
        <w:ind w:left="1410"/>
        <w:jc w:val="both"/>
        <w:rPr>
          <w:sz w:val="24"/>
          <w:szCs w:val="24"/>
        </w:rPr>
      </w:pPr>
      <w:r>
        <w:rPr>
          <w:b/>
          <w:sz w:val="24"/>
          <w:szCs w:val="24"/>
        </w:rPr>
        <w:t xml:space="preserve">j) </w:t>
      </w:r>
      <w:r>
        <w:rPr>
          <w:sz w:val="24"/>
          <w:szCs w:val="24"/>
        </w:rPr>
        <w:t xml:space="preserve">rezistenţa minimă la foc a pereţilor încăperilor tampon protejate prevăzute în pereți rezistenți la foc la construcţiile de producţie şi/sau depozitare (cu excepția peretelui către încăperea cu densitate de sarcina termică sau risc de explozie volumetrică) este minimum </w:t>
      </w:r>
      <w:r>
        <w:rPr>
          <w:b/>
          <w:bCs/>
          <w:sz w:val="24"/>
          <w:szCs w:val="24"/>
        </w:rPr>
        <w:t>EI/REI 90</w:t>
      </w:r>
      <w:r>
        <w:rPr>
          <w:sz w:val="24"/>
          <w:szCs w:val="24"/>
        </w:rPr>
        <w:t xml:space="preserve">, iar ușile încăperii tampon vor fi minimum </w:t>
      </w:r>
      <w:r>
        <w:rPr>
          <w:b/>
          <w:sz w:val="24"/>
          <w:szCs w:val="24"/>
        </w:rPr>
        <w:t>EI</w:t>
      </w:r>
      <w:r>
        <w:rPr>
          <w:b/>
          <w:sz w:val="24"/>
          <w:szCs w:val="24"/>
          <w:vertAlign w:val="subscript"/>
        </w:rPr>
        <w:t>2</w:t>
      </w:r>
      <w:r>
        <w:rPr>
          <w:b/>
          <w:sz w:val="24"/>
          <w:szCs w:val="24"/>
        </w:rPr>
        <w:t>90-C5S</w:t>
      </w:r>
      <w:r>
        <w:rPr>
          <w:b/>
          <w:bCs/>
          <w:sz w:val="24"/>
          <w:szCs w:val="24"/>
          <w:vertAlign w:val="subscript"/>
        </w:rPr>
        <w:t>200</w:t>
      </w:r>
      <w:r>
        <w:rPr>
          <w:b/>
          <w:bCs/>
          <w:sz w:val="24"/>
          <w:szCs w:val="24"/>
        </w:rPr>
        <w:t>;</w:t>
      </w:r>
    </w:p>
    <w:p w14:paraId="4CE2F373" w14:textId="77777777" w:rsidR="001C08A5" w:rsidRDefault="001C08A5">
      <w:pPr>
        <w:jc w:val="both"/>
        <w:rPr>
          <w:rFonts w:eastAsia="Times-Roman"/>
          <w:b/>
          <w:bCs/>
          <w:sz w:val="24"/>
          <w:szCs w:val="24"/>
        </w:rPr>
      </w:pPr>
    </w:p>
    <w:p w14:paraId="39A26C94" w14:textId="77777777" w:rsidR="001C08A5" w:rsidRDefault="00000000">
      <w:pPr>
        <w:pStyle w:val="Heading6"/>
      </w:pPr>
      <w:bookmarkStart w:id="1230" w:name="_Toc29480"/>
      <w:bookmarkStart w:id="1231" w:name="_Toc162355202"/>
      <w:bookmarkStart w:id="1232" w:name="_Toc19428"/>
      <w:bookmarkStart w:id="1233" w:name="_Toc15329"/>
      <w:bookmarkStart w:id="1234" w:name="_Toc831"/>
      <w:bookmarkStart w:id="1235" w:name="_Toc27768"/>
      <w:bookmarkStart w:id="1236" w:name="_Toc8022"/>
      <w:bookmarkStart w:id="1237" w:name="_Toc21012"/>
      <w:r>
        <w:t>2.3.2.2.4. Tamburi deschişi</w:t>
      </w:r>
      <w:bookmarkEnd w:id="1230"/>
      <w:bookmarkEnd w:id="1231"/>
      <w:bookmarkEnd w:id="1232"/>
      <w:bookmarkEnd w:id="1233"/>
      <w:bookmarkEnd w:id="1234"/>
      <w:bookmarkEnd w:id="1235"/>
      <w:bookmarkEnd w:id="1236"/>
      <w:bookmarkEnd w:id="1237"/>
    </w:p>
    <w:p w14:paraId="272C2F87" w14:textId="77777777" w:rsidR="001C08A5" w:rsidRDefault="00000000">
      <w:pPr>
        <w:ind w:firstLine="708"/>
        <w:jc w:val="both"/>
        <w:rPr>
          <w:b/>
          <w:sz w:val="24"/>
          <w:szCs w:val="24"/>
        </w:rPr>
      </w:pPr>
      <w:r>
        <w:rPr>
          <w:b/>
          <w:sz w:val="24"/>
          <w:szCs w:val="24"/>
        </w:rPr>
        <w:tab/>
        <w:t xml:space="preserve">Art. </w:t>
      </w:r>
      <w:r>
        <w:rPr>
          <w:b/>
          <w:iCs/>
          <w:sz w:val="24"/>
          <w:szCs w:val="24"/>
        </w:rPr>
        <w:t>2.3.2.2.4.</w:t>
      </w:r>
      <w:r>
        <w:rPr>
          <w:b/>
          <w:sz w:val="24"/>
          <w:szCs w:val="24"/>
        </w:rPr>
        <w:t xml:space="preserve">1. (1) </w:t>
      </w:r>
      <w:r>
        <w:rPr>
          <w:sz w:val="24"/>
          <w:szCs w:val="24"/>
        </w:rPr>
        <w:t>În cazurile în care, datorită necesităţilor funcţionale sau tehnologice, nu se poate realiza protecţia golurilor din pereţii rezistenţi la foc de separare a compartimentelor de incendiu (pereţi antifoc) cu uşi, obloane, cortine sau încăperi tampon protejate, pot fi prevăzuţi tamburi deschişi.</w:t>
      </w:r>
    </w:p>
    <w:p w14:paraId="652805A3" w14:textId="77777777" w:rsidR="001C08A5" w:rsidRDefault="00000000">
      <w:pPr>
        <w:ind w:firstLine="720"/>
        <w:jc w:val="both"/>
        <w:rPr>
          <w:b/>
          <w:sz w:val="24"/>
          <w:szCs w:val="24"/>
        </w:rPr>
      </w:pPr>
      <w:r>
        <w:rPr>
          <w:b/>
          <w:sz w:val="24"/>
          <w:szCs w:val="24"/>
        </w:rPr>
        <w:t xml:space="preserve">(2) </w:t>
      </w:r>
      <w:r>
        <w:rPr>
          <w:sz w:val="24"/>
          <w:szCs w:val="24"/>
        </w:rPr>
        <w:t>Tamburii deschişi care protejază goluri din pereţii rezistenţi la foc de separare a compartimentelor de incendiu (pereţi antifoc), vor îndeplini următoarele condiţii:</w:t>
      </w:r>
    </w:p>
    <w:p w14:paraId="4B6D35E0" w14:textId="77777777" w:rsidR="001C08A5" w:rsidRDefault="00000000">
      <w:pPr>
        <w:ind w:left="1410"/>
        <w:jc w:val="both"/>
        <w:rPr>
          <w:b/>
          <w:sz w:val="24"/>
          <w:szCs w:val="24"/>
        </w:rPr>
      </w:pPr>
      <w:r>
        <w:rPr>
          <w:b/>
          <w:sz w:val="24"/>
          <w:szCs w:val="24"/>
        </w:rPr>
        <w:t xml:space="preserve">a) </w:t>
      </w:r>
      <w:r>
        <w:rPr>
          <w:sz w:val="24"/>
          <w:szCs w:val="24"/>
        </w:rPr>
        <w:t xml:space="preserve">lăţimea tamburului va fi egală cu cea a golului protejat, iar lungimea va fi de minimum </w:t>
      </w:r>
      <w:r>
        <w:rPr>
          <w:b/>
          <w:sz w:val="24"/>
          <w:szCs w:val="24"/>
        </w:rPr>
        <w:t>4</w:t>
      </w:r>
      <w:r>
        <w:rPr>
          <w:sz w:val="24"/>
          <w:szCs w:val="24"/>
        </w:rPr>
        <w:t xml:space="preserve"> m; </w:t>
      </w:r>
    </w:p>
    <w:p w14:paraId="37B8AF49" w14:textId="77777777" w:rsidR="001C08A5" w:rsidRDefault="00000000">
      <w:pPr>
        <w:ind w:left="1410"/>
        <w:jc w:val="both"/>
        <w:rPr>
          <w:b/>
          <w:sz w:val="24"/>
          <w:szCs w:val="24"/>
        </w:rPr>
      </w:pPr>
      <w:r>
        <w:rPr>
          <w:b/>
          <w:sz w:val="24"/>
          <w:szCs w:val="24"/>
        </w:rPr>
        <w:t xml:space="preserve">b) </w:t>
      </w:r>
      <w:r>
        <w:rPr>
          <w:sz w:val="24"/>
          <w:szCs w:val="24"/>
        </w:rPr>
        <w:t xml:space="preserve">pereţii laterali şi planşeele tamburului vor fi fără goluri, cu rezistenţa la foc de minimum </w:t>
      </w:r>
      <w:r>
        <w:rPr>
          <w:b/>
          <w:sz w:val="24"/>
          <w:szCs w:val="24"/>
        </w:rPr>
        <w:t xml:space="preserve">EI/REI 60 </w:t>
      </w:r>
      <w:r>
        <w:rPr>
          <w:sz w:val="24"/>
          <w:szCs w:val="24"/>
        </w:rPr>
        <w:t xml:space="preserve">pentru pereţi şi </w:t>
      </w:r>
      <w:r>
        <w:rPr>
          <w:b/>
          <w:sz w:val="24"/>
          <w:szCs w:val="24"/>
        </w:rPr>
        <w:t xml:space="preserve">REI 60 </w:t>
      </w:r>
      <w:r>
        <w:rPr>
          <w:sz w:val="24"/>
          <w:szCs w:val="24"/>
        </w:rPr>
        <w:t xml:space="preserve">pentru planşee, conform prevederilor din </w:t>
      </w:r>
      <w:r>
        <w:rPr>
          <w:rStyle w:val="CaptiontabelChar"/>
        </w:rPr>
        <w:fldChar w:fldCharType="begin"/>
      </w:r>
      <w:r>
        <w:rPr>
          <w:rStyle w:val="CaptiontabelChar"/>
        </w:rPr>
        <w:instrText xml:space="preserve"> REF _Ref30278 \h </w:instrText>
      </w:r>
      <w:r>
        <w:rPr>
          <w:rStyle w:val="CaptiontabelChar"/>
        </w:rPr>
      </w:r>
      <w:r>
        <w:rPr>
          <w:rStyle w:val="CaptiontabelChar"/>
        </w:rPr>
        <w:fldChar w:fldCharType="separate"/>
      </w:r>
      <w:r>
        <w:t>Tabelul 15</w:t>
      </w:r>
      <w:r>
        <w:rPr>
          <w:rStyle w:val="CaptiontabelChar"/>
        </w:rPr>
        <w:fldChar w:fldCharType="end"/>
      </w:r>
      <w:r>
        <w:rPr>
          <w:sz w:val="24"/>
          <w:szCs w:val="24"/>
        </w:rPr>
        <w:t>;</w:t>
      </w:r>
    </w:p>
    <w:p w14:paraId="4329665A" w14:textId="77777777" w:rsidR="001C08A5" w:rsidRDefault="00000000">
      <w:pPr>
        <w:ind w:left="1410"/>
        <w:jc w:val="both"/>
        <w:rPr>
          <w:b/>
          <w:sz w:val="24"/>
          <w:szCs w:val="24"/>
        </w:rPr>
      </w:pPr>
      <w:r>
        <w:rPr>
          <w:b/>
          <w:sz w:val="24"/>
          <w:szCs w:val="24"/>
        </w:rPr>
        <w:t xml:space="preserve">c) </w:t>
      </w:r>
      <w:r>
        <w:rPr>
          <w:sz w:val="24"/>
          <w:szCs w:val="24"/>
        </w:rPr>
        <w:t xml:space="preserve">în tambur se prevăd sprinklere deschise (drencere) cu acţionare automată şi/sau manuală în caz de incendiu, amplasate câte unul la fiecare </w:t>
      </w:r>
      <w:r>
        <w:rPr>
          <w:b/>
          <w:sz w:val="24"/>
          <w:szCs w:val="24"/>
        </w:rPr>
        <w:t xml:space="preserve">1 </w:t>
      </w:r>
      <w:r>
        <w:rPr>
          <w:b/>
          <w:bCs/>
          <w:sz w:val="24"/>
          <w:szCs w:val="24"/>
        </w:rPr>
        <w:t>m</w:t>
      </w:r>
      <w:r>
        <w:rPr>
          <w:b/>
          <w:bCs/>
          <w:sz w:val="24"/>
          <w:szCs w:val="24"/>
          <w:vertAlign w:val="superscript"/>
        </w:rPr>
        <w:t>2</w:t>
      </w:r>
      <w:r>
        <w:rPr>
          <w:sz w:val="24"/>
          <w:szCs w:val="24"/>
        </w:rPr>
        <w:t xml:space="preserve"> de suprafaţă orizontală a tamburului, debitul total de apă fiind de minimum </w:t>
      </w:r>
      <w:r>
        <w:rPr>
          <w:b/>
          <w:sz w:val="24"/>
          <w:szCs w:val="24"/>
        </w:rPr>
        <w:t xml:space="preserve">0,5 </w:t>
      </w:r>
      <w:r>
        <w:rPr>
          <w:b/>
          <w:bCs/>
          <w:sz w:val="24"/>
          <w:szCs w:val="24"/>
        </w:rPr>
        <w:t>l/s</w:t>
      </w:r>
      <w:r>
        <w:rPr>
          <w:sz w:val="24"/>
          <w:szCs w:val="24"/>
        </w:rPr>
        <w:t xml:space="preserve"> pentru fiecare </w:t>
      </w:r>
      <w:r>
        <w:rPr>
          <w:b/>
          <w:bCs/>
          <w:sz w:val="24"/>
          <w:szCs w:val="24"/>
        </w:rPr>
        <w:t>m²</w:t>
      </w:r>
      <w:r>
        <w:rPr>
          <w:sz w:val="24"/>
          <w:szCs w:val="24"/>
        </w:rPr>
        <w:t xml:space="preserve"> şi timp de funcţionare conform normativului de profil, dar minimum </w:t>
      </w:r>
      <w:r>
        <w:rPr>
          <w:b/>
          <w:bCs/>
          <w:sz w:val="24"/>
          <w:szCs w:val="24"/>
        </w:rPr>
        <w:t>60</w:t>
      </w:r>
      <w:r>
        <w:rPr>
          <w:sz w:val="24"/>
          <w:szCs w:val="24"/>
        </w:rPr>
        <w:t xml:space="preserve"> de minute (conform timpului de funcționare prevăzut în </w:t>
      </w:r>
      <w:r>
        <w:rPr>
          <w:rStyle w:val="CaptiontabelChar"/>
        </w:rPr>
        <w:fldChar w:fldCharType="begin"/>
      </w:r>
      <w:r>
        <w:rPr>
          <w:rStyle w:val="CaptiontabelChar"/>
        </w:rPr>
        <w:instrText xml:space="preserve"> REF _Ref30278 \h </w:instrText>
      </w:r>
      <w:r>
        <w:rPr>
          <w:rStyle w:val="CaptiontabelChar"/>
        </w:rPr>
      </w:r>
      <w:r>
        <w:rPr>
          <w:rStyle w:val="CaptiontabelChar"/>
        </w:rPr>
        <w:fldChar w:fldCharType="separate"/>
      </w:r>
      <w:r>
        <w:t>Tabelul 15</w:t>
      </w:r>
      <w:r>
        <w:rPr>
          <w:rStyle w:val="CaptiontabelChar"/>
        </w:rPr>
        <w:fldChar w:fldCharType="end"/>
      </w:r>
      <w:r>
        <w:rPr>
          <w:sz w:val="24"/>
          <w:szCs w:val="24"/>
        </w:rPr>
        <w:t>;</w:t>
      </w:r>
    </w:p>
    <w:p w14:paraId="26485494" w14:textId="77777777" w:rsidR="001C08A5" w:rsidRDefault="00000000">
      <w:pPr>
        <w:ind w:left="1410"/>
        <w:jc w:val="both"/>
        <w:rPr>
          <w:sz w:val="24"/>
          <w:szCs w:val="24"/>
        </w:rPr>
      </w:pPr>
      <w:r>
        <w:rPr>
          <w:b/>
          <w:sz w:val="24"/>
          <w:szCs w:val="24"/>
        </w:rPr>
        <w:t xml:space="preserve">d) </w:t>
      </w:r>
      <w:r>
        <w:rPr>
          <w:sz w:val="24"/>
          <w:szCs w:val="24"/>
        </w:rPr>
        <w:t xml:space="preserve">tamburii se </w:t>
      </w:r>
      <w:r>
        <w:rPr>
          <w:bCs/>
          <w:sz w:val="24"/>
          <w:szCs w:val="24"/>
        </w:rPr>
        <w:t>pot amplasa integral alipiți de o parte sau de alta a peretelui de separare a compartimentelor de incendiu sau intercalat, de o parte și alta a peretelui antifoc</w:t>
      </w:r>
      <w:r>
        <w:rPr>
          <w:sz w:val="24"/>
          <w:szCs w:val="24"/>
        </w:rPr>
        <w:t xml:space="preserve">), respectând lățimea stabilită la </w:t>
      </w:r>
      <w:r>
        <w:rPr>
          <w:b/>
          <w:bCs/>
          <w:sz w:val="24"/>
          <w:szCs w:val="24"/>
        </w:rPr>
        <w:t>lit. a)</w:t>
      </w:r>
      <w:r>
        <w:rPr>
          <w:sz w:val="24"/>
          <w:szCs w:val="24"/>
        </w:rPr>
        <w:t>.</w:t>
      </w:r>
    </w:p>
    <w:p w14:paraId="3FE168FD" w14:textId="77777777" w:rsidR="001C08A5" w:rsidRDefault="001C08A5">
      <w:pPr>
        <w:ind w:left="1410"/>
        <w:jc w:val="both"/>
        <w:rPr>
          <w:sz w:val="24"/>
          <w:szCs w:val="24"/>
        </w:rPr>
      </w:pPr>
    </w:p>
    <w:p w14:paraId="458586BB" w14:textId="77777777" w:rsidR="001C08A5" w:rsidRDefault="00000000">
      <w:pPr>
        <w:pStyle w:val="Captiontabel"/>
      </w:pPr>
      <w:bookmarkStart w:id="1238" w:name="_Ref30278"/>
      <w:bookmarkStart w:id="1239" w:name="_Toc162360065"/>
      <w:bookmarkStart w:id="1240" w:name="_Ref25810"/>
      <w:r>
        <w:t xml:space="preserve">Tabelul </w:t>
      </w:r>
      <w:r>
        <w:fldChar w:fldCharType="begin"/>
      </w:r>
      <w:r>
        <w:instrText xml:space="preserve"> SEQ Tabelul \* ARABIC </w:instrText>
      </w:r>
      <w:r>
        <w:fldChar w:fldCharType="separate"/>
      </w:r>
      <w:r>
        <w:t>15</w:t>
      </w:r>
      <w:r>
        <w:fldChar w:fldCharType="end"/>
      </w:r>
      <w:bookmarkStart w:id="1241" w:name="_Toc3649"/>
      <w:bookmarkStart w:id="1242" w:name="_Toc23779"/>
      <w:bookmarkStart w:id="1243" w:name="_Toc19169"/>
      <w:bookmarkStart w:id="1244" w:name="_Toc27463"/>
      <w:bookmarkStart w:id="1245" w:name="_Toc11839"/>
      <w:bookmarkStart w:id="1246" w:name="_Toc10033"/>
      <w:bookmarkStart w:id="1247" w:name="_Toc3138"/>
      <w:bookmarkStart w:id="1248" w:name="_Toc27145"/>
      <w:bookmarkStart w:id="1249" w:name="_Toc10063"/>
      <w:bookmarkStart w:id="1250" w:name="_Toc18900"/>
      <w:bookmarkStart w:id="1251" w:name="_Toc12980"/>
      <w:bookmarkStart w:id="1252" w:name="_Toc28913"/>
      <w:bookmarkStart w:id="1253" w:name="_Toc8099"/>
      <w:bookmarkStart w:id="1254" w:name="_Toc31043"/>
      <w:bookmarkStart w:id="1255" w:name="_Toc32639"/>
      <w:bookmarkStart w:id="1256" w:name="_Toc26801"/>
      <w:bookmarkStart w:id="1257" w:name="_Toc18136"/>
      <w:bookmarkStart w:id="1258" w:name="_Toc490"/>
      <w:bookmarkStart w:id="1259" w:name="_Toc6244"/>
      <w:bookmarkEnd w:id="1238"/>
      <w:r>
        <w:t>: Pereți și planșee la tamburi deschiși și echiparea acestora</w:t>
      </w:r>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p>
    <w:p w14:paraId="2E8E7F17" w14:textId="77777777" w:rsidR="001C08A5" w:rsidRDefault="001C08A5">
      <w:pPr>
        <w:jc w:val="both"/>
        <w:rPr>
          <w:sz w:val="24"/>
          <w:szCs w:val="24"/>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8"/>
        <w:gridCol w:w="2161"/>
        <w:gridCol w:w="2161"/>
        <w:gridCol w:w="1438"/>
        <w:gridCol w:w="1355"/>
      </w:tblGrid>
      <w:tr w:rsidR="001C08A5" w14:paraId="1A070D93" w14:textId="77777777">
        <w:tc>
          <w:tcPr>
            <w:tcW w:w="1307" w:type="pct"/>
            <w:shd w:val="clear" w:color="auto" w:fill="BFBFBF"/>
          </w:tcPr>
          <w:p w14:paraId="2BAE4FF3" w14:textId="77777777" w:rsidR="001C08A5" w:rsidRDefault="00000000">
            <w:pPr>
              <w:jc w:val="center"/>
              <w:rPr>
                <w:b/>
                <w:bCs/>
                <w:i/>
                <w:iCs/>
              </w:rPr>
            </w:pPr>
            <w:r>
              <w:rPr>
                <w:b/>
                <w:bCs/>
                <w:i/>
                <w:iCs/>
                <w:sz w:val="22"/>
                <w:szCs w:val="22"/>
              </w:rPr>
              <w:lastRenderedPageBreak/>
              <w:t>În cazul pereţilor antifoc  care separă compartimentele de incendiu</w:t>
            </w:r>
          </w:p>
        </w:tc>
        <w:tc>
          <w:tcPr>
            <w:tcW w:w="1127" w:type="pct"/>
            <w:shd w:val="clear" w:color="auto" w:fill="BFBFBF"/>
          </w:tcPr>
          <w:p w14:paraId="593DF8C3" w14:textId="77777777" w:rsidR="001C08A5" w:rsidRDefault="00000000">
            <w:pPr>
              <w:jc w:val="center"/>
              <w:rPr>
                <w:i/>
                <w:iCs/>
              </w:rPr>
            </w:pPr>
            <w:r>
              <w:rPr>
                <w:b/>
                <w:bCs/>
                <w:i/>
                <w:iCs/>
                <w:sz w:val="22"/>
                <w:szCs w:val="22"/>
              </w:rPr>
              <w:t>Rezistența la foc a pereţilor antifoc  care separă compartimentele de incendiu</w:t>
            </w:r>
          </w:p>
        </w:tc>
        <w:tc>
          <w:tcPr>
            <w:tcW w:w="1127" w:type="pct"/>
            <w:shd w:val="clear" w:color="auto" w:fill="BFBFBF"/>
          </w:tcPr>
          <w:p w14:paraId="397D48BA" w14:textId="77777777" w:rsidR="001C08A5" w:rsidRDefault="00000000">
            <w:pPr>
              <w:jc w:val="center"/>
              <w:rPr>
                <w:b/>
                <w:bCs/>
                <w:i/>
                <w:iCs/>
              </w:rPr>
            </w:pPr>
            <w:r>
              <w:rPr>
                <w:b/>
                <w:bCs/>
                <w:i/>
                <w:iCs/>
              </w:rPr>
              <w:t>Rezistenţa la foc (EI/REI) minimă a pereţilor tamburului deschis</w:t>
            </w:r>
          </w:p>
          <w:p w14:paraId="165BD307" w14:textId="77777777" w:rsidR="001C08A5" w:rsidRDefault="00000000">
            <w:pPr>
              <w:jc w:val="center"/>
              <w:rPr>
                <w:i/>
                <w:iCs/>
              </w:rPr>
            </w:pPr>
            <w:r>
              <w:rPr>
                <w:i/>
                <w:iCs/>
              </w:rPr>
              <w:t>(minute),</w:t>
            </w:r>
            <w:r>
              <w:rPr>
                <w:b/>
                <w:bCs/>
                <w:i/>
                <w:iCs/>
              </w:rPr>
              <w:t xml:space="preserve"> cu excepția peretelui  care separă compartimentele de incendiu  </w:t>
            </w:r>
          </w:p>
        </w:tc>
        <w:tc>
          <w:tcPr>
            <w:tcW w:w="729" w:type="pct"/>
            <w:shd w:val="clear" w:color="auto" w:fill="BFBFBF"/>
          </w:tcPr>
          <w:p w14:paraId="5BBB63A5" w14:textId="77777777" w:rsidR="001C08A5" w:rsidRDefault="00000000">
            <w:pPr>
              <w:jc w:val="center"/>
              <w:rPr>
                <w:b/>
                <w:bCs/>
                <w:i/>
                <w:iCs/>
              </w:rPr>
            </w:pPr>
            <w:r>
              <w:rPr>
                <w:b/>
                <w:bCs/>
                <w:i/>
                <w:iCs/>
              </w:rPr>
              <w:t>Rezistenţa la foc (REI) minimă a planșeului tamburului deschis</w:t>
            </w:r>
          </w:p>
          <w:p w14:paraId="3EEAA24F" w14:textId="77777777" w:rsidR="001C08A5" w:rsidRDefault="001C08A5">
            <w:pPr>
              <w:jc w:val="center"/>
              <w:rPr>
                <w:i/>
                <w:iCs/>
              </w:rPr>
            </w:pPr>
          </w:p>
        </w:tc>
        <w:tc>
          <w:tcPr>
            <w:tcW w:w="708" w:type="pct"/>
            <w:shd w:val="clear" w:color="auto" w:fill="BFBFBF"/>
          </w:tcPr>
          <w:p w14:paraId="4A6183B8" w14:textId="77777777" w:rsidR="001C08A5" w:rsidRDefault="00000000">
            <w:pPr>
              <w:jc w:val="center"/>
              <w:rPr>
                <w:i/>
                <w:iCs/>
              </w:rPr>
            </w:pPr>
            <w:r>
              <w:rPr>
                <w:b/>
                <w:i/>
                <w:iCs/>
                <w:sz w:val="22"/>
                <w:szCs w:val="22"/>
              </w:rPr>
              <w:t xml:space="preserve">Echipare cu instalații de sprinklere deschise - timp de funcționare </w:t>
            </w:r>
            <w:r>
              <w:rPr>
                <w:i/>
                <w:iCs/>
                <w:sz w:val="22"/>
                <w:szCs w:val="22"/>
              </w:rPr>
              <w:t>(minute)</w:t>
            </w:r>
          </w:p>
        </w:tc>
      </w:tr>
      <w:tr w:rsidR="001C08A5" w14:paraId="6DD577E0" w14:textId="77777777">
        <w:trPr>
          <w:trHeight w:val="237"/>
        </w:trPr>
        <w:tc>
          <w:tcPr>
            <w:tcW w:w="1307" w:type="pct"/>
            <w:vMerge w:val="restart"/>
            <w:shd w:val="clear" w:color="auto" w:fill="auto"/>
            <w:vAlign w:val="center"/>
          </w:tcPr>
          <w:p w14:paraId="1BA0912D" w14:textId="77777777" w:rsidR="001C08A5" w:rsidRDefault="00000000">
            <w:pPr>
              <w:pStyle w:val="Contenutotabellacentrato"/>
              <w:keepNext/>
              <w:jc w:val="both"/>
              <w:rPr>
                <w:b/>
                <w:bCs/>
                <w:i/>
                <w:iCs/>
                <w:sz w:val="22"/>
                <w:szCs w:val="22"/>
              </w:rPr>
            </w:pPr>
            <w:r>
              <w:rPr>
                <w:i/>
                <w:iCs/>
                <w:sz w:val="22"/>
                <w:szCs w:val="22"/>
              </w:rPr>
              <w:t xml:space="preserve">a) pentru construcțiile cu regim de înălțime parter, cu excepția clădirilor destinate persoanelor care nu se pot evacua singure și a clădirilor cu săli aglomerate determinată în funcţie de densitatea sarcinii termice, conform </w:t>
            </w:r>
            <w:r>
              <w:rPr>
                <w:b/>
                <w:bCs/>
                <w:i/>
                <w:iCs/>
                <w:sz w:val="22"/>
                <w:szCs w:val="22"/>
              </w:rPr>
              <w:t>Tabelului 6</w:t>
            </w:r>
          </w:p>
        </w:tc>
        <w:tc>
          <w:tcPr>
            <w:tcW w:w="1127" w:type="pct"/>
            <w:shd w:val="clear" w:color="auto" w:fill="auto"/>
            <w:vAlign w:val="center"/>
          </w:tcPr>
          <w:p w14:paraId="79EE3DD7" w14:textId="77777777" w:rsidR="001C08A5" w:rsidRDefault="00000000">
            <w:pPr>
              <w:pStyle w:val="Contenutotabellacentrato"/>
              <w:rPr>
                <w:b/>
                <w:bCs/>
                <w:i/>
                <w:iCs/>
                <w:sz w:val="22"/>
                <w:szCs w:val="22"/>
              </w:rPr>
            </w:pPr>
            <w:r>
              <w:rPr>
                <w:b/>
                <w:bCs/>
                <w:i/>
                <w:iCs/>
                <w:sz w:val="22"/>
                <w:szCs w:val="22"/>
              </w:rPr>
              <w:t xml:space="preserve">EI-M 60/REI 60 (q </w:t>
            </w:r>
            <w:r>
              <w:rPr>
                <w:rFonts w:hint="eastAsia"/>
                <w:b/>
                <w:bCs/>
                <w:i/>
                <w:iCs/>
                <w:sz w:val="22"/>
                <w:szCs w:val="22"/>
              </w:rPr>
              <w:t>≤</w:t>
            </w:r>
            <w:r>
              <w:rPr>
                <w:b/>
                <w:bCs/>
                <w:i/>
                <w:iCs/>
                <w:sz w:val="22"/>
                <w:szCs w:val="22"/>
              </w:rPr>
              <w:t xml:space="preserve"> 420 MJ/m</w:t>
            </w:r>
            <w:r>
              <w:rPr>
                <w:b/>
                <w:bCs/>
                <w:i/>
                <w:iCs/>
                <w:sz w:val="22"/>
                <w:szCs w:val="22"/>
                <w:vertAlign w:val="superscript"/>
              </w:rPr>
              <w:t>2</w:t>
            </w:r>
            <w:r>
              <w:rPr>
                <w:b/>
                <w:bCs/>
                <w:i/>
                <w:iCs/>
                <w:sz w:val="22"/>
                <w:szCs w:val="22"/>
              </w:rPr>
              <w:t>)</w:t>
            </w:r>
          </w:p>
        </w:tc>
        <w:tc>
          <w:tcPr>
            <w:tcW w:w="1127" w:type="pct"/>
            <w:shd w:val="clear" w:color="auto" w:fill="auto"/>
            <w:vAlign w:val="center"/>
          </w:tcPr>
          <w:p w14:paraId="43C760C9" w14:textId="77777777" w:rsidR="001C08A5" w:rsidRDefault="00000000">
            <w:pPr>
              <w:pStyle w:val="Contenutotabellacentrato"/>
              <w:rPr>
                <w:b/>
                <w:bCs/>
                <w:i/>
                <w:iCs/>
                <w:sz w:val="22"/>
                <w:szCs w:val="22"/>
              </w:rPr>
            </w:pPr>
            <w:r>
              <w:rPr>
                <w:b/>
                <w:bCs/>
                <w:i/>
                <w:iCs/>
                <w:sz w:val="22"/>
                <w:szCs w:val="22"/>
              </w:rPr>
              <w:t xml:space="preserve">EI 60/REI 60 </w:t>
            </w:r>
          </w:p>
        </w:tc>
        <w:tc>
          <w:tcPr>
            <w:tcW w:w="729" w:type="pct"/>
            <w:vMerge w:val="restart"/>
            <w:shd w:val="clear" w:color="auto" w:fill="auto"/>
            <w:vAlign w:val="center"/>
          </w:tcPr>
          <w:p w14:paraId="52D8C647" w14:textId="77777777" w:rsidR="001C08A5" w:rsidRDefault="00000000">
            <w:pPr>
              <w:jc w:val="both"/>
              <w:rPr>
                <w:b/>
                <w:i/>
                <w:iCs/>
                <w:sz w:val="22"/>
                <w:szCs w:val="22"/>
              </w:rPr>
            </w:pPr>
            <w:r>
              <w:rPr>
                <w:b/>
                <w:i/>
                <w:iCs/>
                <w:sz w:val="22"/>
                <w:szCs w:val="22"/>
              </w:rPr>
              <w:t xml:space="preserve">Conform prevederi din </w:t>
            </w:r>
            <w:r>
              <w:rPr>
                <w:b/>
                <w:bCs/>
                <w:i/>
                <w:iCs/>
                <w:sz w:val="22"/>
                <w:szCs w:val="22"/>
              </w:rPr>
              <w:fldChar w:fldCharType="begin"/>
            </w:r>
            <w:r>
              <w:rPr>
                <w:b/>
                <w:bCs/>
                <w:i/>
                <w:iCs/>
                <w:sz w:val="22"/>
                <w:szCs w:val="22"/>
              </w:rPr>
              <w:instrText xml:space="preserve"> REF _Ref26473 \h </w:instrText>
            </w:r>
            <w:r>
              <w:rPr>
                <w:b/>
                <w:bCs/>
                <w:i/>
                <w:iCs/>
                <w:sz w:val="22"/>
                <w:szCs w:val="22"/>
              </w:rPr>
            </w:r>
            <w:r>
              <w:rPr>
                <w:b/>
                <w:bCs/>
                <w:i/>
                <w:iCs/>
                <w:sz w:val="22"/>
                <w:szCs w:val="22"/>
              </w:rPr>
              <w:fldChar w:fldCharType="separate"/>
            </w:r>
            <w:r>
              <w:t>Tabelul 2</w:t>
            </w:r>
            <w:r>
              <w:rPr>
                <w:b/>
                <w:bCs/>
                <w:i/>
                <w:iCs/>
                <w:sz w:val="22"/>
                <w:szCs w:val="22"/>
              </w:rPr>
              <w:fldChar w:fldCharType="end"/>
            </w:r>
            <w:r>
              <w:rPr>
                <w:b/>
                <w:i/>
                <w:iCs/>
                <w:sz w:val="22"/>
                <w:szCs w:val="22"/>
              </w:rPr>
              <w:t xml:space="preserve"> - pct. 3 </w:t>
            </w:r>
          </w:p>
          <w:p w14:paraId="613B61AA" w14:textId="77777777" w:rsidR="001C08A5" w:rsidRDefault="00000000">
            <w:pPr>
              <w:jc w:val="both"/>
              <w:rPr>
                <w:b/>
                <w:i/>
                <w:iCs/>
                <w:sz w:val="22"/>
                <w:szCs w:val="22"/>
              </w:rPr>
            </w:pPr>
            <w:r>
              <w:rPr>
                <w:b/>
                <w:i/>
                <w:iCs/>
                <w:sz w:val="22"/>
                <w:szCs w:val="22"/>
              </w:rPr>
              <w:t xml:space="preserve">și </w:t>
            </w:r>
          </w:p>
          <w:p w14:paraId="3E1EA8B9" w14:textId="77777777" w:rsidR="001C08A5" w:rsidRDefault="00000000">
            <w:pPr>
              <w:jc w:val="both"/>
              <w:rPr>
                <w:i/>
                <w:iCs/>
                <w:sz w:val="22"/>
                <w:szCs w:val="22"/>
              </w:rPr>
            </w:pPr>
            <w:r>
              <w:rPr>
                <w:b/>
                <w:bCs/>
                <w:i/>
                <w:iCs/>
                <w:sz w:val="22"/>
                <w:szCs w:val="22"/>
              </w:rPr>
              <w:fldChar w:fldCharType="begin"/>
            </w:r>
            <w:r>
              <w:rPr>
                <w:b/>
                <w:bCs/>
                <w:i/>
                <w:iCs/>
                <w:sz w:val="22"/>
                <w:szCs w:val="22"/>
              </w:rPr>
              <w:instrText xml:space="preserve"> REF _Ref11612 \h </w:instrText>
            </w:r>
            <w:r>
              <w:rPr>
                <w:b/>
                <w:bCs/>
                <w:i/>
                <w:iCs/>
                <w:sz w:val="22"/>
                <w:szCs w:val="22"/>
              </w:rPr>
            </w:r>
            <w:r>
              <w:rPr>
                <w:b/>
                <w:bCs/>
                <w:i/>
                <w:iCs/>
                <w:sz w:val="22"/>
                <w:szCs w:val="22"/>
              </w:rPr>
              <w:fldChar w:fldCharType="separate"/>
            </w:r>
            <w:r>
              <w:t>Tabelul 3</w:t>
            </w:r>
            <w:r>
              <w:rPr>
                <w:b/>
                <w:bCs/>
                <w:i/>
                <w:iCs/>
                <w:sz w:val="22"/>
                <w:szCs w:val="22"/>
              </w:rPr>
              <w:fldChar w:fldCharType="end"/>
            </w:r>
            <w:r>
              <w:rPr>
                <w:b/>
                <w:bCs/>
                <w:i/>
                <w:iCs/>
                <w:sz w:val="22"/>
                <w:szCs w:val="22"/>
              </w:rPr>
              <w:t xml:space="preserve"> </w:t>
            </w:r>
            <w:r>
              <w:rPr>
                <w:b/>
                <w:i/>
                <w:iCs/>
                <w:sz w:val="22"/>
                <w:szCs w:val="22"/>
              </w:rPr>
              <w:t>- pct. 3</w:t>
            </w:r>
          </w:p>
          <w:p w14:paraId="393BA59D" w14:textId="77777777" w:rsidR="001C08A5" w:rsidRDefault="00000000">
            <w:pPr>
              <w:pStyle w:val="Contenutotabellacentrato"/>
              <w:jc w:val="both"/>
              <w:rPr>
                <w:b/>
                <w:bCs/>
                <w:i/>
                <w:iCs/>
                <w:sz w:val="22"/>
                <w:szCs w:val="22"/>
              </w:rPr>
            </w:pPr>
            <w:r>
              <w:rPr>
                <w:i/>
                <w:iCs/>
                <w:sz w:val="22"/>
                <w:szCs w:val="22"/>
              </w:rPr>
              <w:t xml:space="preserve">Condiţiile minime de rezistenţă la foc pe care trebuie să le îndeplinească  planșee (REI) pentru încadrarea  în nivelul stabilit de stabilitate la incendiu, fără a fi mai mici de </w:t>
            </w:r>
            <w:r>
              <w:rPr>
                <w:b/>
                <w:i/>
                <w:iCs/>
                <w:sz w:val="22"/>
                <w:szCs w:val="22"/>
              </w:rPr>
              <w:t>REI 60</w:t>
            </w:r>
            <w:r>
              <w:rPr>
                <w:i/>
                <w:iCs/>
                <w:sz w:val="22"/>
                <w:szCs w:val="22"/>
              </w:rPr>
              <w:t>.</w:t>
            </w:r>
          </w:p>
        </w:tc>
        <w:tc>
          <w:tcPr>
            <w:tcW w:w="708" w:type="pct"/>
            <w:vMerge w:val="restart"/>
            <w:shd w:val="clear" w:color="auto" w:fill="auto"/>
            <w:vAlign w:val="center"/>
          </w:tcPr>
          <w:p w14:paraId="404D3ACC" w14:textId="77777777" w:rsidR="001C08A5" w:rsidRDefault="00000000">
            <w:pPr>
              <w:pStyle w:val="Contenutotabellacentrato"/>
              <w:rPr>
                <w:b/>
                <w:bCs/>
                <w:i/>
                <w:iCs/>
                <w:sz w:val="22"/>
                <w:szCs w:val="22"/>
              </w:rPr>
            </w:pPr>
            <w:r>
              <w:rPr>
                <w:b/>
                <w:bCs/>
                <w:i/>
                <w:iCs/>
                <w:sz w:val="22"/>
                <w:szCs w:val="22"/>
              </w:rPr>
              <w:t>60</w:t>
            </w:r>
          </w:p>
        </w:tc>
      </w:tr>
      <w:tr w:rsidR="001C08A5" w14:paraId="0453AFB5" w14:textId="77777777">
        <w:tc>
          <w:tcPr>
            <w:tcW w:w="1307" w:type="pct"/>
            <w:vMerge/>
            <w:shd w:val="clear" w:color="auto" w:fill="auto"/>
            <w:vAlign w:val="center"/>
          </w:tcPr>
          <w:p w14:paraId="3164CF6D" w14:textId="77777777" w:rsidR="001C08A5" w:rsidRDefault="001C08A5">
            <w:pPr>
              <w:pStyle w:val="Contenutotabellacentrato"/>
              <w:keepNext/>
              <w:rPr>
                <w:b/>
                <w:bCs/>
                <w:i/>
                <w:iCs/>
                <w:sz w:val="22"/>
                <w:szCs w:val="22"/>
              </w:rPr>
            </w:pPr>
          </w:p>
        </w:tc>
        <w:tc>
          <w:tcPr>
            <w:tcW w:w="1127" w:type="pct"/>
            <w:shd w:val="clear" w:color="auto" w:fill="auto"/>
            <w:vAlign w:val="center"/>
          </w:tcPr>
          <w:p w14:paraId="0376569A" w14:textId="77777777" w:rsidR="001C08A5" w:rsidRDefault="00000000">
            <w:pPr>
              <w:pStyle w:val="Contenutotabellacentrato"/>
              <w:rPr>
                <w:b/>
                <w:bCs/>
                <w:i/>
                <w:iCs/>
                <w:sz w:val="22"/>
                <w:szCs w:val="22"/>
              </w:rPr>
            </w:pPr>
            <w:r>
              <w:rPr>
                <w:b/>
                <w:bCs/>
                <w:i/>
                <w:iCs/>
                <w:sz w:val="22"/>
                <w:szCs w:val="22"/>
              </w:rPr>
              <w:t>EI-M 90/REI 90 (420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630 MJ/m</w:t>
            </w:r>
            <w:r>
              <w:rPr>
                <w:b/>
                <w:bCs/>
                <w:i/>
                <w:iCs/>
                <w:sz w:val="22"/>
                <w:szCs w:val="22"/>
                <w:vertAlign w:val="superscript"/>
              </w:rPr>
              <w:t>2</w:t>
            </w:r>
            <w:r>
              <w:rPr>
                <w:b/>
                <w:bCs/>
                <w:i/>
                <w:iCs/>
                <w:sz w:val="22"/>
                <w:szCs w:val="22"/>
              </w:rPr>
              <w:t>)</w:t>
            </w:r>
          </w:p>
        </w:tc>
        <w:tc>
          <w:tcPr>
            <w:tcW w:w="1127" w:type="pct"/>
            <w:shd w:val="clear" w:color="auto" w:fill="auto"/>
            <w:vAlign w:val="center"/>
          </w:tcPr>
          <w:p w14:paraId="6DE508CA" w14:textId="77777777" w:rsidR="001C08A5" w:rsidRDefault="00000000">
            <w:pPr>
              <w:pStyle w:val="Contenutotabellacentrato"/>
              <w:rPr>
                <w:b/>
                <w:bCs/>
                <w:i/>
                <w:iCs/>
                <w:sz w:val="22"/>
                <w:szCs w:val="22"/>
              </w:rPr>
            </w:pPr>
            <w:r>
              <w:rPr>
                <w:b/>
                <w:bCs/>
                <w:i/>
                <w:iCs/>
                <w:sz w:val="22"/>
                <w:szCs w:val="22"/>
              </w:rPr>
              <w:t xml:space="preserve">EI 60/REI 60 </w:t>
            </w:r>
          </w:p>
        </w:tc>
        <w:tc>
          <w:tcPr>
            <w:tcW w:w="729" w:type="pct"/>
            <w:vMerge/>
            <w:shd w:val="clear" w:color="auto" w:fill="auto"/>
            <w:vAlign w:val="center"/>
          </w:tcPr>
          <w:p w14:paraId="068F2C17" w14:textId="77777777" w:rsidR="001C08A5" w:rsidRDefault="001C08A5">
            <w:pPr>
              <w:pStyle w:val="Contenutotabellacentrato"/>
              <w:rPr>
                <w:b/>
                <w:bCs/>
                <w:i/>
                <w:iCs/>
                <w:sz w:val="22"/>
                <w:szCs w:val="22"/>
              </w:rPr>
            </w:pPr>
          </w:p>
        </w:tc>
        <w:tc>
          <w:tcPr>
            <w:tcW w:w="708" w:type="pct"/>
            <w:vMerge/>
            <w:shd w:val="clear" w:color="auto" w:fill="auto"/>
            <w:vAlign w:val="center"/>
          </w:tcPr>
          <w:p w14:paraId="3D9B27D3" w14:textId="77777777" w:rsidR="001C08A5" w:rsidRDefault="001C08A5">
            <w:pPr>
              <w:pStyle w:val="Contenutotabellacentrato"/>
              <w:rPr>
                <w:b/>
                <w:bCs/>
                <w:i/>
                <w:iCs/>
                <w:sz w:val="22"/>
                <w:szCs w:val="22"/>
              </w:rPr>
            </w:pPr>
          </w:p>
        </w:tc>
      </w:tr>
      <w:tr w:rsidR="001C08A5" w14:paraId="4380B8BA" w14:textId="77777777">
        <w:tc>
          <w:tcPr>
            <w:tcW w:w="1307" w:type="pct"/>
            <w:vMerge/>
            <w:shd w:val="clear" w:color="auto" w:fill="auto"/>
            <w:vAlign w:val="center"/>
          </w:tcPr>
          <w:p w14:paraId="1988755E" w14:textId="77777777" w:rsidR="001C08A5" w:rsidRDefault="001C08A5">
            <w:pPr>
              <w:pStyle w:val="Contenutotabellacentrato"/>
              <w:keepNext/>
              <w:rPr>
                <w:b/>
                <w:bCs/>
                <w:i/>
                <w:iCs/>
                <w:sz w:val="22"/>
                <w:szCs w:val="22"/>
              </w:rPr>
            </w:pPr>
          </w:p>
        </w:tc>
        <w:tc>
          <w:tcPr>
            <w:tcW w:w="1127" w:type="pct"/>
            <w:shd w:val="clear" w:color="auto" w:fill="auto"/>
            <w:vAlign w:val="center"/>
          </w:tcPr>
          <w:p w14:paraId="230B5CFC" w14:textId="77777777" w:rsidR="001C08A5" w:rsidRDefault="00000000">
            <w:pPr>
              <w:pStyle w:val="Contenutotabellacentrato"/>
              <w:rPr>
                <w:b/>
                <w:bCs/>
                <w:i/>
                <w:iCs/>
                <w:sz w:val="22"/>
                <w:szCs w:val="22"/>
              </w:rPr>
            </w:pPr>
            <w:r>
              <w:rPr>
                <w:b/>
                <w:bCs/>
                <w:i/>
                <w:iCs/>
                <w:sz w:val="22"/>
                <w:szCs w:val="22"/>
              </w:rPr>
              <w:t>EI-M 120/REI 120 (630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840 MJ/m</w:t>
            </w:r>
            <w:r>
              <w:rPr>
                <w:b/>
                <w:bCs/>
                <w:i/>
                <w:iCs/>
                <w:sz w:val="22"/>
                <w:szCs w:val="22"/>
                <w:vertAlign w:val="superscript"/>
              </w:rPr>
              <w:t>2</w:t>
            </w:r>
            <w:r>
              <w:rPr>
                <w:b/>
                <w:bCs/>
                <w:i/>
                <w:iCs/>
                <w:sz w:val="22"/>
                <w:szCs w:val="22"/>
              </w:rPr>
              <w:t>)</w:t>
            </w:r>
          </w:p>
        </w:tc>
        <w:tc>
          <w:tcPr>
            <w:tcW w:w="1127" w:type="pct"/>
            <w:shd w:val="clear" w:color="auto" w:fill="auto"/>
            <w:vAlign w:val="center"/>
          </w:tcPr>
          <w:p w14:paraId="05FAEE1E" w14:textId="77777777" w:rsidR="001C08A5" w:rsidRDefault="00000000">
            <w:pPr>
              <w:pStyle w:val="Contenutotabellacentrato"/>
              <w:rPr>
                <w:b/>
                <w:bCs/>
                <w:i/>
                <w:iCs/>
                <w:sz w:val="22"/>
                <w:szCs w:val="22"/>
              </w:rPr>
            </w:pPr>
            <w:r>
              <w:rPr>
                <w:b/>
                <w:bCs/>
                <w:i/>
                <w:iCs/>
                <w:sz w:val="22"/>
                <w:szCs w:val="22"/>
              </w:rPr>
              <w:t>EI 60/REI 60</w:t>
            </w:r>
          </w:p>
        </w:tc>
        <w:tc>
          <w:tcPr>
            <w:tcW w:w="729" w:type="pct"/>
            <w:vMerge/>
            <w:shd w:val="clear" w:color="auto" w:fill="auto"/>
            <w:vAlign w:val="center"/>
          </w:tcPr>
          <w:p w14:paraId="068D9BB7" w14:textId="77777777" w:rsidR="001C08A5" w:rsidRDefault="001C08A5">
            <w:pPr>
              <w:pStyle w:val="Contenutotabellacentrato"/>
              <w:rPr>
                <w:b/>
                <w:bCs/>
                <w:i/>
                <w:iCs/>
                <w:sz w:val="22"/>
                <w:szCs w:val="22"/>
              </w:rPr>
            </w:pPr>
          </w:p>
        </w:tc>
        <w:tc>
          <w:tcPr>
            <w:tcW w:w="708" w:type="pct"/>
            <w:vMerge/>
            <w:shd w:val="clear" w:color="auto" w:fill="auto"/>
            <w:vAlign w:val="center"/>
          </w:tcPr>
          <w:p w14:paraId="019B7268" w14:textId="77777777" w:rsidR="001C08A5" w:rsidRDefault="001C08A5">
            <w:pPr>
              <w:pStyle w:val="Contenutotabellacentrato"/>
              <w:rPr>
                <w:b/>
                <w:bCs/>
                <w:i/>
                <w:iCs/>
                <w:sz w:val="22"/>
                <w:szCs w:val="22"/>
              </w:rPr>
            </w:pPr>
          </w:p>
        </w:tc>
      </w:tr>
      <w:tr w:rsidR="001C08A5" w14:paraId="1D628C4C" w14:textId="77777777">
        <w:tc>
          <w:tcPr>
            <w:tcW w:w="1307" w:type="pct"/>
            <w:vMerge/>
            <w:shd w:val="clear" w:color="auto" w:fill="auto"/>
            <w:vAlign w:val="center"/>
          </w:tcPr>
          <w:p w14:paraId="3C3B9336" w14:textId="77777777" w:rsidR="001C08A5" w:rsidRDefault="001C08A5">
            <w:pPr>
              <w:pStyle w:val="Contenutotabellacentrato"/>
              <w:keepNext/>
              <w:rPr>
                <w:b/>
                <w:bCs/>
                <w:i/>
                <w:iCs/>
                <w:sz w:val="22"/>
                <w:szCs w:val="22"/>
              </w:rPr>
            </w:pPr>
          </w:p>
        </w:tc>
        <w:tc>
          <w:tcPr>
            <w:tcW w:w="1127" w:type="pct"/>
            <w:shd w:val="clear" w:color="auto" w:fill="auto"/>
            <w:vAlign w:val="center"/>
          </w:tcPr>
          <w:p w14:paraId="548B432D" w14:textId="77777777" w:rsidR="001C08A5" w:rsidRDefault="00000000">
            <w:pPr>
              <w:pStyle w:val="Contenutotabellacentrato"/>
              <w:rPr>
                <w:b/>
                <w:bCs/>
                <w:i/>
                <w:iCs/>
                <w:sz w:val="22"/>
                <w:szCs w:val="22"/>
              </w:rPr>
            </w:pPr>
            <w:r>
              <w:rPr>
                <w:b/>
                <w:bCs/>
                <w:i/>
                <w:iCs/>
                <w:sz w:val="22"/>
                <w:szCs w:val="22"/>
              </w:rPr>
              <w:t>EI-M 180/REI 180 (840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1 680 MJ/m</w:t>
            </w:r>
            <w:r>
              <w:rPr>
                <w:b/>
                <w:bCs/>
                <w:i/>
                <w:iCs/>
                <w:sz w:val="22"/>
                <w:szCs w:val="22"/>
                <w:vertAlign w:val="superscript"/>
              </w:rPr>
              <w:t>2</w:t>
            </w:r>
            <w:r>
              <w:rPr>
                <w:b/>
                <w:bCs/>
                <w:i/>
                <w:iCs/>
                <w:sz w:val="22"/>
                <w:szCs w:val="22"/>
              </w:rPr>
              <w:t>)</w:t>
            </w:r>
          </w:p>
        </w:tc>
        <w:tc>
          <w:tcPr>
            <w:tcW w:w="1127" w:type="pct"/>
            <w:shd w:val="clear" w:color="auto" w:fill="auto"/>
            <w:vAlign w:val="center"/>
          </w:tcPr>
          <w:p w14:paraId="7D9CF6E7" w14:textId="77777777" w:rsidR="001C08A5" w:rsidRDefault="00000000">
            <w:pPr>
              <w:pStyle w:val="Contenutotabellacentrato"/>
              <w:rPr>
                <w:b/>
                <w:bCs/>
                <w:i/>
                <w:iCs/>
                <w:sz w:val="22"/>
                <w:szCs w:val="22"/>
              </w:rPr>
            </w:pPr>
            <w:r>
              <w:rPr>
                <w:b/>
                <w:bCs/>
                <w:i/>
                <w:iCs/>
                <w:sz w:val="22"/>
                <w:szCs w:val="22"/>
              </w:rPr>
              <w:t xml:space="preserve">EI 90/REI 90 </w:t>
            </w:r>
          </w:p>
        </w:tc>
        <w:tc>
          <w:tcPr>
            <w:tcW w:w="729" w:type="pct"/>
            <w:vMerge/>
            <w:shd w:val="clear" w:color="auto" w:fill="auto"/>
            <w:vAlign w:val="center"/>
          </w:tcPr>
          <w:p w14:paraId="09B8E8CB" w14:textId="77777777" w:rsidR="001C08A5" w:rsidRDefault="001C08A5">
            <w:pPr>
              <w:pStyle w:val="Contenutotabellacentrato"/>
              <w:rPr>
                <w:b/>
                <w:bCs/>
                <w:i/>
                <w:iCs/>
                <w:sz w:val="22"/>
                <w:szCs w:val="22"/>
              </w:rPr>
            </w:pPr>
          </w:p>
        </w:tc>
        <w:tc>
          <w:tcPr>
            <w:tcW w:w="708" w:type="pct"/>
            <w:vMerge/>
            <w:shd w:val="clear" w:color="auto" w:fill="auto"/>
            <w:vAlign w:val="center"/>
          </w:tcPr>
          <w:p w14:paraId="15C76461" w14:textId="77777777" w:rsidR="001C08A5" w:rsidRDefault="001C08A5">
            <w:pPr>
              <w:pStyle w:val="Contenutotabellacentrato"/>
              <w:rPr>
                <w:b/>
                <w:bCs/>
                <w:i/>
                <w:iCs/>
                <w:sz w:val="22"/>
                <w:szCs w:val="22"/>
              </w:rPr>
            </w:pPr>
          </w:p>
        </w:tc>
      </w:tr>
      <w:tr w:rsidR="001C08A5" w14:paraId="4552A802" w14:textId="77777777">
        <w:tc>
          <w:tcPr>
            <w:tcW w:w="1307" w:type="pct"/>
            <w:vMerge/>
            <w:shd w:val="clear" w:color="auto" w:fill="auto"/>
            <w:vAlign w:val="center"/>
          </w:tcPr>
          <w:p w14:paraId="68ACF5C8" w14:textId="77777777" w:rsidR="001C08A5" w:rsidRDefault="001C08A5">
            <w:pPr>
              <w:pStyle w:val="Contenutotabellacentrato"/>
              <w:keepNext/>
              <w:rPr>
                <w:b/>
                <w:bCs/>
                <w:i/>
                <w:iCs/>
                <w:sz w:val="22"/>
                <w:szCs w:val="22"/>
              </w:rPr>
            </w:pPr>
          </w:p>
        </w:tc>
        <w:tc>
          <w:tcPr>
            <w:tcW w:w="1127" w:type="pct"/>
            <w:shd w:val="clear" w:color="auto" w:fill="auto"/>
            <w:vAlign w:val="center"/>
          </w:tcPr>
          <w:p w14:paraId="4E5DE002" w14:textId="77777777" w:rsidR="001C08A5" w:rsidRDefault="00000000">
            <w:pPr>
              <w:pStyle w:val="Contenutotabellacentrato"/>
              <w:rPr>
                <w:b/>
                <w:bCs/>
                <w:i/>
                <w:iCs/>
                <w:sz w:val="22"/>
                <w:szCs w:val="22"/>
              </w:rPr>
            </w:pPr>
            <w:r>
              <w:rPr>
                <w:b/>
                <w:bCs/>
                <w:i/>
                <w:iCs/>
                <w:sz w:val="22"/>
                <w:szCs w:val="22"/>
              </w:rPr>
              <w:t>EI-M 240/REI 240 (q &gt; 1 680 MJ/m</w:t>
            </w:r>
            <w:r>
              <w:rPr>
                <w:b/>
                <w:bCs/>
                <w:i/>
                <w:iCs/>
                <w:sz w:val="22"/>
                <w:szCs w:val="22"/>
                <w:vertAlign w:val="superscript"/>
              </w:rPr>
              <w:t xml:space="preserve">2 </w:t>
            </w:r>
            <w:r>
              <w:rPr>
                <w:i/>
                <w:iCs/>
                <w:sz w:val="22"/>
                <w:szCs w:val="22"/>
              </w:rPr>
              <w:t>şi/sau există pericol de explozie volumetrică)</w:t>
            </w:r>
          </w:p>
        </w:tc>
        <w:tc>
          <w:tcPr>
            <w:tcW w:w="1127" w:type="pct"/>
            <w:shd w:val="clear" w:color="auto" w:fill="auto"/>
            <w:vAlign w:val="center"/>
          </w:tcPr>
          <w:p w14:paraId="02678B37" w14:textId="77777777" w:rsidR="001C08A5" w:rsidRDefault="00000000">
            <w:pPr>
              <w:pStyle w:val="Contenutotabellacentrato"/>
              <w:rPr>
                <w:b/>
                <w:bCs/>
                <w:i/>
                <w:iCs/>
                <w:sz w:val="22"/>
                <w:szCs w:val="22"/>
              </w:rPr>
            </w:pPr>
            <w:r>
              <w:rPr>
                <w:b/>
                <w:bCs/>
                <w:i/>
                <w:iCs/>
                <w:sz w:val="22"/>
                <w:szCs w:val="22"/>
              </w:rPr>
              <w:t xml:space="preserve">EI-M 120/REI 240 </w:t>
            </w:r>
          </w:p>
        </w:tc>
        <w:tc>
          <w:tcPr>
            <w:tcW w:w="729" w:type="pct"/>
            <w:vMerge/>
            <w:shd w:val="clear" w:color="auto" w:fill="auto"/>
            <w:vAlign w:val="center"/>
          </w:tcPr>
          <w:p w14:paraId="59547254" w14:textId="77777777" w:rsidR="001C08A5" w:rsidRDefault="001C08A5">
            <w:pPr>
              <w:pStyle w:val="Contenutotabellacentrato"/>
              <w:rPr>
                <w:b/>
                <w:bCs/>
                <w:i/>
                <w:iCs/>
                <w:sz w:val="22"/>
                <w:szCs w:val="22"/>
              </w:rPr>
            </w:pPr>
          </w:p>
        </w:tc>
        <w:tc>
          <w:tcPr>
            <w:tcW w:w="708" w:type="pct"/>
            <w:shd w:val="clear" w:color="auto" w:fill="auto"/>
            <w:vAlign w:val="center"/>
          </w:tcPr>
          <w:p w14:paraId="17B2E6F3" w14:textId="77777777" w:rsidR="001C08A5" w:rsidRDefault="00000000">
            <w:pPr>
              <w:pStyle w:val="Contenutotabellacentrato"/>
              <w:rPr>
                <w:b/>
                <w:bCs/>
                <w:i/>
                <w:iCs/>
                <w:sz w:val="22"/>
                <w:szCs w:val="22"/>
              </w:rPr>
            </w:pPr>
            <w:r>
              <w:rPr>
                <w:b/>
                <w:bCs/>
                <w:i/>
                <w:iCs/>
                <w:sz w:val="22"/>
                <w:szCs w:val="22"/>
              </w:rPr>
              <w:t>90</w:t>
            </w:r>
          </w:p>
        </w:tc>
      </w:tr>
      <w:tr w:rsidR="001C08A5" w14:paraId="19AA165F" w14:textId="77777777">
        <w:tc>
          <w:tcPr>
            <w:tcW w:w="1307" w:type="pct"/>
            <w:shd w:val="clear" w:color="auto" w:fill="auto"/>
            <w:vAlign w:val="center"/>
          </w:tcPr>
          <w:p w14:paraId="0F042341" w14:textId="77777777" w:rsidR="001C08A5" w:rsidRDefault="00000000">
            <w:pPr>
              <w:pStyle w:val="Contenutotabellacentrato"/>
              <w:keepNext/>
              <w:jc w:val="both"/>
              <w:rPr>
                <w:b/>
                <w:bCs/>
                <w:i/>
                <w:iCs/>
                <w:sz w:val="22"/>
                <w:szCs w:val="22"/>
              </w:rPr>
            </w:pPr>
            <w:r>
              <w:rPr>
                <w:i/>
                <w:iCs/>
                <w:sz w:val="22"/>
                <w:szCs w:val="22"/>
              </w:rPr>
              <w:t>b)pentru clădirile destinate persoanelor care nu se pot evacua singure (definite conform terminologie</w:t>
            </w:r>
            <w:r>
              <w:rPr>
                <w:i/>
                <w:iCs/>
                <w:sz w:val="22"/>
                <w:szCs w:val="22"/>
                <w:shd w:val="clear" w:color="auto" w:fill="FFFFFF"/>
                <w:lang w:eastAsia="zh-CN"/>
              </w:rPr>
              <w:t>)</w:t>
            </w:r>
            <w:r>
              <w:rPr>
                <w:i/>
                <w:iCs/>
                <w:sz w:val="22"/>
                <w:szCs w:val="22"/>
              </w:rPr>
              <w:t>, pentru construcțiile cu risc mare de incendiu, precum și cele pentru obiecte, echipamente sau aparatură de importanţă deosebită, pentru clădiri civile supraterane înalte şi/sau foarte înalte sau clădiri cu săli aglomerate</w:t>
            </w:r>
          </w:p>
        </w:tc>
        <w:tc>
          <w:tcPr>
            <w:tcW w:w="1127" w:type="pct"/>
            <w:shd w:val="clear" w:color="auto" w:fill="auto"/>
            <w:vAlign w:val="center"/>
          </w:tcPr>
          <w:p w14:paraId="2CC935E1" w14:textId="77777777" w:rsidR="001C08A5" w:rsidRDefault="00000000">
            <w:pPr>
              <w:pStyle w:val="Contenutotabellacentrato"/>
              <w:keepNext/>
              <w:rPr>
                <w:b/>
                <w:bCs/>
                <w:i/>
                <w:iCs/>
                <w:sz w:val="22"/>
                <w:szCs w:val="22"/>
              </w:rPr>
            </w:pPr>
            <w:r>
              <w:rPr>
                <w:b/>
                <w:bCs/>
                <w:i/>
                <w:iCs/>
                <w:sz w:val="22"/>
                <w:szCs w:val="22"/>
              </w:rPr>
              <w:t>EI-M 180/REI 180</w:t>
            </w:r>
          </w:p>
        </w:tc>
        <w:tc>
          <w:tcPr>
            <w:tcW w:w="1127" w:type="pct"/>
            <w:shd w:val="clear" w:color="auto" w:fill="auto"/>
            <w:vAlign w:val="center"/>
          </w:tcPr>
          <w:p w14:paraId="3E24B43B" w14:textId="77777777" w:rsidR="001C08A5" w:rsidRDefault="00000000">
            <w:pPr>
              <w:pStyle w:val="Contenutotabellacentrato"/>
              <w:keepNext/>
              <w:rPr>
                <w:b/>
                <w:bCs/>
                <w:i/>
                <w:iCs/>
                <w:sz w:val="22"/>
                <w:szCs w:val="22"/>
              </w:rPr>
            </w:pPr>
            <w:r>
              <w:rPr>
                <w:b/>
                <w:bCs/>
                <w:i/>
                <w:iCs/>
                <w:sz w:val="22"/>
                <w:szCs w:val="22"/>
              </w:rPr>
              <w:t>EI 90/REI 90</w:t>
            </w:r>
          </w:p>
        </w:tc>
        <w:tc>
          <w:tcPr>
            <w:tcW w:w="729" w:type="pct"/>
            <w:vMerge/>
            <w:shd w:val="clear" w:color="auto" w:fill="auto"/>
            <w:vAlign w:val="center"/>
          </w:tcPr>
          <w:p w14:paraId="21231DD1" w14:textId="77777777" w:rsidR="001C08A5" w:rsidRDefault="001C08A5">
            <w:pPr>
              <w:pStyle w:val="Contenutotabellacentrato"/>
              <w:rPr>
                <w:b/>
                <w:bCs/>
                <w:i/>
                <w:iCs/>
                <w:sz w:val="22"/>
                <w:szCs w:val="22"/>
              </w:rPr>
            </w:pPr>
          </w:p>
        </w:tc>
        <w:tc>
          <w:tcPr>
            <w:tcW w:w="708" w:type="pct"/>
            <w:shd w:val="clear" w:color="auto" w:fill="auto"/>
            <w:vAlign w:val="center"/>
          </w:tcPr>
          <w:p w14:paraId="5B3BA15B" w14:textId="77777777" w:rsidR="001C08A5" w:rsidRDefault="00000000">
            <w:pPr>
              <w:pStyle w:val="Contenutotabellacentrato"/>
              <w:rPr>
                <w:b/>
                <w:bCs/>
                <w:i/>
                <w:iCs/>
                <w:sz w:val="22"/>
                <w:szCs w:val="22"/>
              </w:rPr>
            </w:pPr>
            <w:r>
              <w:rPr>
                <w:b/>
                <w:bCs/>
                <w:i/>
                <w:iCs/>
                <w:sz w:val="22"/>
                <w:szCs w:val="22"/>
              </w:rPr>
              <w:t>90</w:t>
            </w:r>
          </w:p>
        </w:tc>
      </w:tr>
      <w:tr w:rsidR="001C08A5" w14:paraId="17C28A67" w14:textId="77777777">
        <w:tc>
          <w:tcPr>
            <w:tcW w:w="1307" w:type="pct"/>
            <w:shd w:val="clear" w:color="auto" w:fill="auto"/>
            <w:vAlign w:val="center"/>
          </w:tcPr>
          <w:p w14:paraId="2D290D16" w14:textId="77777777" w:rsidR="001C08A5" w:rsidRDefault="00000000">
            <w:pPr>
              <w:pStyle w:val="Contenutotabellacentrato"/>
              <w:keepNext/>
              <w:jc w:val="both"/>
              <w:rPr>
                <w:b/>
                <w:bCs/>
                <w:i/>
                <w:iCs/>
                <w:sz w:val="22"/>
                <w:szCs w:val="22"/>
              </w:rPr>
            </w:pPr>
            <w:r>
              <w:rPr>
                <w:i/>
                <w:iCs/>
                <w:sz w:val="22"/>
                <w:szCs w:val="22"/>
              </w:rPr>
              <w:t>c) construcțiile cu risc foarte mare de incendiu (atunci când densitatea sarcinii termice (</w:t>
            </w:r>
            <w:r>
              <w:rPr>
                <w:b/>
                <w:bCs/>
                <w:i/>
                <w:iCs/>
                <w:sz w:val="22"/>
                <w:szCs w:val="22"/>
              </w:rPr>
              <w:t>q</w:t>
            </w:r>
            <w:r>
              <w:rPr>
                <w:i/>
                <w:iCs/>
                <w:sz w:val="22"/>
                <w:szCs w:val="22"/>
              </w:rPr>
              <w:t xml:space="preserve">) este mai mare de </w:t>
            </w:r>
            <w:r>
              <w:rPr>
                <w:b/>
                <w:bCs/>
                <w:i/>
                <w:iCs/>
                <w:sz w:val="22"/>
                <w:szCs w:val="22"/>
              </w:rPr>
              <w:t>1680 MJ/m²</w:t>
            </w:r>
            <w:r>
              <w:rPr>
                <w:i/>
                <w:iCs/>
                <w:sz w:val="22"/>
                <w:szCs w:val="22"/>
              </w:rPr>
              <w:t xml:space="preserve"> şi/sau există pericol de explozie volumetrică)</w:t>
            </w:r>
          </w:p>
        </w:tc>
        <w:tc>
          <w:tcPr>
            <w:tcW w:w="1127" w:type="pct"/>
            <w:shd w:val="clear" w:color="auto" w:fill="auto"/>
            <w:vAlign w:val="center"/>
          </w:tcPr>
          <w:p w14:paraId="1AE7BEEA" w14:textId="77777777" w:rsidR="001C08A5" w:rsidRDefault="00000000">
            <w:pPr>
              <w:pStyle w:val="Contenutotabellacentrato"/>
              <w:keepNext/>
              <w:rPr>
                <w:b/>
                <w:bCs/>
                <w:i/>
                <w:iCs/>
                <w:sz w:val="22"/>
                <w:szCs w:val="22"/>
              </w:rPr>
            </w:pPr>
            <w:r>
              <w:rPr>
                <w:b/>
                <w:bCs/>
                <w:i/>
                <w:iCs/>
                <w:sz w:val="22"/>
                <w:szCs w:val="22"/>
              </w:rPr>
              <w:t>EI-M 240/REI 240</w:t>
            </w:r>
          </w:p>
        </w:tc>
        <w:tc>
          <w:tcPr>
            <w:tcW w:w="1127" w:type="pct"/>
            <w:shd w:val="clear" w:color="auto" w:fill="auto"/>
            <w:vAlign w:val="center"/>
          </w:tcPr>
          <w:p w14:paraId="4793DA25" w14:textId="77777777" w:rsidR="001C08A5" w:rsidRDefault="00000000">
            <w:pPr>
              <w:pStyle w:val="Contenutotabellacentrato"/>
              <w:keepNext/>
              <w:rPr>
                <w:b/>
                <w:bCs/>
                <w:i/>
                <w:iCs/>
                <w:sz w:val="22"/>
                <w:szCs w:val="22"/>
              </w:rPr>
            </w:pPr>
            <w:r>
              <w:rPr>
                <w:b/>
                <w:bCs/>
                <w:i/>
                <w:iCs/>
                <w:sz w:val="22"/>
                <w:szCs w:val="22"/>
              </w:rPr>
              <w:t>EI-M 120/REI 120</w:t>
            </w:r>
          </w:p>
        </w:tc>
        <w:tc>
          <w:tcPr>
            <w:tcW w:w="729" w:type="pct"/>
            <w:vMerge/>
            <w:shd w:val="clear" w:color="auto" w:fill="auto"/>
            <w:vAlign w:val="center"/>
          </w:tcPr>
          <w:p w14:paraId="0E248DB1" w14:textId="77777777" w:rsidR="001C08A5" w:rsidRDefault="001C08A5">
            <w:pPr>
              <w:pStyle w:val="Contenutotabellacentrato"/>
              <w:rPr>
                <w:b/>
                <w:bCs/>
                <w:i/>
                <w:iCs/>
                <w:sz w:val="22"/>
                <w:szCs w:val="22"/>
              </w:rPr>
            </w:pPr>
          </w:p>
        </w:tc>
        <w:tc>
          <w:tcPr>
            <w:tcW w:w="708" w:type="pct"/>
            <w:shd w:val="clear" w:color="auto" w:fill="auto"/>
            <w:vAlign w:val="center"/>
          </w:tcPr>
          <w:p w14:paraId="2B5C8762" w14:textId="77777777" w:rsidR="001C08A5" w:rsidRDefault="00000000">
            <w:pPr>
              <w:pStyle w:val="Contenutotabellacentrato"/>
              <w:rPr>
                <w:b/>
                <w:bCs/>
                <w:i/>
                <w:iCs/>
                <w:sz w:val="22"/>
                <w:szCs w:val="22"/>
              </w:rPr>
            </w:pPr>
            <w:r>
              <w:rPr>
                <w:b/>
                <w:bCs/>
                <w:i/>
                <w:iCs/>
                <w:sz w:val="22"/>
                <w:szCs w:val="22"/>
              </w:rPr>
              <w:t>90</w:t>
            </w:r>
          </w:p>
        </w:tc>
      </w:tr>
      <w:tr w:rsidR="001C08A5" w14:paraId="5447C295" w14:textId="77777777">
        <w:tc>
          <w:tcPr>
            <w:tcW w:w="1307" w:type="pct"/>
            <w:shd w:val="clear" w:color="auto" w:fill="auto"/>
            <w:vAlign w:val="center"/>
          </w:tcPr>
          <w:p w14:paraId="1D44560E" w14:textId="77777777" w:rsidR="001C08A5" w:rsidRDefault="00000000">
            <w:pPr>
              <w:pStyle w:val="Contenutotabellacentrato"/>
              <w:keepNext/>
              <w:jc w:val="both"/>
              <w:rPr>
                <w:b/>
                <w:bCs/>
                <w:i/>
                <w:iCs/>
                <w:sz w:val="22"/>
                <w:szCs w:val="22"/>
              </w:rPr>
            </w:pPr>
            <w:r>
              <w:rPr>
                <w:i/>
                <w:iCs/>
                <w:sz w:val="22"/>
                <w:szCs w:val="22"/>
              </w:rPr>
              <w:t xml:space="preserve">d) clădirile cu alt regim de înălțime, cu excepția clădirilor definite la literele </w:t>
            </w:r>
            <w:r>
              <w:rPr>
                <w:b/>
                <w:bCs/>
                <w:i/>
                <w:iCs/>
                <w:sz w:val="22"/>
                <w:szCs w:val="22"/>
              </w:rPr>
              <w:t xml:space="preserve">(a), (b) </w:t>
            </w:r>
            <w:r>
              <w:rPr>
                <w:i/>
                <w:iCs/>
                <w:sz w:val="22"/>
                <w:szCs w:val="22"/>
              </w:rPr>
              <w:t>și</w:t>
            </w:r>
            <w:r>
              <w:rPr>
                <w:b/>
                <w:bCs/>
                <w:i/>
                <w:iCs/>
                <w:sz w:val="22"/>
                <w:szCs w:val="22"/>
              </w:rPr>
              <w:t xml:space="preserve"> (c) </w:t>
            </w:r>
            <w:r>
              <w:rPr>
                <w:i/>
                <w:iCs/>
                <w:sz w:val="22"/>
                <w:szCs w:val="22"/>
              </w:rPr>
              <w:t>din tabel</w:t>
            </w:r>
          </w:p>
        </w:tc>
        <w:tc>
          <w:tcPr>
            <w:tcW w:w="1127" w:type="pct"/>
            <w:shd w:val="clear" w:color="auto" w:fill="auto"/>
            <w:vAlign w:val="center"/>
          </w:tcPr>
          <w:p w14:paraId="61A6193F" w14:textId="77777777" w:rsidR="001C08A5" w:rsidRDefault="00000000">
            <w:pPr>
              <w:pStyle w:val="Contenutotabellacentrato"/>
              <w:keepNext/>
              <w:rPr>
                <w:b/>
                <w:bCs/>
                <w:i/>
                <w:iCs/>
                <w:sz w:val="22"/>
                <w:szCs w:val="22"/>
              </w:rPr>
            </w:pPr>
            <w:r>
              <w:rPr>
                <w:b/>
                <w:bCs/>
                <w:i/>
                <w:iCs/>
                <w:sz w:val="22"/>
                <w:szCs w:val="22"/>
              </w:rPr>
              <w:t>EI-M 120/REI 120</w:t>
            </w:r>
          </w:p>
        </w:tc>
        <w:tc>
          <w:tcPr>
            <w:tcW w:w="1127" w:type="pct"/>
            <w:shd w:val="clear" w:color="auto" w:fill="auto"/>
            <w:vAlign w:val="center"/>
          </w:tcPr>
          <w:p w14:paraId="3C236EA3" w14:textId="77777777" w:rsidR="001C08A5" w:rsidRDefault="00000000">
            <w:pPr>
              <w:pStyle w:val="Contenutotabellacentrato"/>
              <w:keepNext/>
              <w:rPr>
                <w:b/>
                <w:bCs/>
                <w:i/>
                <w:iCs/>
                <w:sz w:val="22"/>
                <w:szCs w:val="22"/>
              </w:rPr>
            </w:pPr>
            <w:r>
              <w:rPr>
                <w:b/>
                <w:bCs/>
                <w:i/>
                <w:iCs/>
                <w:sz w:val="22"/>
                <w:szCs w:val="22"/>
              </w:rPr>
              <w:t>EI 60/REI 60</w:t>
            </w:r>
          </w:p>
        </w:tc>
        <w:tc>
          <w:tcPr>
            <w:tcW w:w="729" w:type="pct"/>
            <w:vMerge/>
            <w:shd w:val="clear" w:color="auto" w:fill="auto"/>
            <w:vAlign w:val="center"/>
          </w:tcPr>
          <w:p w14:paraId="36583A82" w14:textId="77777777" w:rsidR="001C08A5" w:rsidRDefault="001C08A5">
            <w:pPr>
              <w:pStyle w:val="Contenutotabellacentrato"/>
              <w:rPr>
                <w:b/>
                <w:bCs/>
                <w:i/>
                <w:iCs/>
                <w:sz w:val="22"/>
                <w:szCs w:val="22"/>
              </w:rPr>
            </w:pPr>
          </w:p>
        </w:tc>
        <w:tc>
          <w:tcPr>
            <w:tcW w:w="708" w:type="pct"/>
            <w:shd w:val="clear" w:color="auto" w:fill="auto"/>
            <w:vAlign w:val="center"/>
          </w:tcPr>
          <w:p w14:paraId="71C95827" w14:textId="77777777" w:rsidR="001C08A5" w:rsidRDefault="00000000">
            <w:pPr>
              <w:pStyle w:val="Contenutotabellacentrato"/>
              <w:rPr>
                <w:b/>
                <w:bCs/>
                <w:i/>
                <w:iCs/>
                <w:sz w:val="22"/>
                <w:szCs w:val="22"/>
              </w:rPr>
            </w:pPr>
            <w:r>
              <w:rPr>
                <w:b/>
                <w:bCs/>
                <w:i/>
                <w:iCs/>
                <w:sz w:val="22"/>
                <w:szCs w:val="22"/>
              </w:rPr>
              <w:t>60</w:t>
            </w:r>
          </w:p>
        </w:tc>
      </w:tr>
    </w:tbl>
    <w:p w14:paraId="6000B60E" w14:textId="77777777" w:rsidR="001C08A5" w:rsidRDefault="00000000">
      <w:pPr>
        <w:pStyle w:val="Heading5"/>
        <w:rPr>
          <w:lang w:val="ro-RO"/>
        </w:rPr>
      </w:pPr>
      <w:bookmarkStart w:id="1260" w:name="_Toc32308"/>
      <w:bookmarkStart w:id="1261" w:name="_Toc31321"/>
      <w:bookmarkStart w:id="1262" w:name="_Toc3774"/>
      <w:bookmarkStart w:id="1263" w:name="_Toc17592"/>
      <w:bookmarkStart w:id="1264" w:name="_Toc20999"/>
      <w:bookmarkStart w:id="1265" w:name="_Toc162355203"/>
      <w:bookmarkStart w:id="1266" w:name="_Toc27572"/>
      <w:bookmarkStart w:id="1267" w:name="_Toc17566"/>
      <w:r>
        <w:rPr>
          <w:lang w:val="ro-RO"/>
        </w:rPr>
        <w:t>2.3.2.3. Planşee rezistente la foc pentru separarea compartimentelor de incendiu</w:t>
      </w:r>
      <w:bookmarkEnd w:id="1260"/>
      <w:bookmarkEnd w:id="1261"/>
      <w:bookmarkEnd w:id="1262"/>
      <w:bookmarkEnd w:id="1263"/>
      <w:bookmarkEnd w:id="1264"/>
      <w:bookmarkEnd w:id="1265"/>
      <w:bookmarkEnd w:id="1266"/>
      <w:bookmarkEnd w:id="1267"/>
    </w:p>
    <w:p w14:paraId="16550E75" w14:textId="77777777" w:rsidR="001C08A5" w:rsidRDefault="001C08A5">
      <w:pPr>
        <w:rPr>
          <w:sz w:val="24"/>
          <w:szCs w:val="24"/>
        </w:rPr>
      </w:pPr>
    </w:p>
    <w:p w14:paraId="58184A09" w14:textId="77777777" w:rsidR="001C08A5" w:rsidRDefault="00000000">
      <w:pPr>
        <w:ind w:firstLine="708"/>
        <w:jc w:val="both"/>
        <w:rPr>
          <w:b/>
          <w:sz w:val="24"/>
          <w:szCs w:val="24"/>
        </w:rPr>
      </w:pPr>
      <w:r>
        <w:rPr>
          <w:b/>
          <w:sz w:val="24"/>
          <w:szCs w:val="24"/>
        </w:rPr>
        <w:tab/>
        <w:t>Art. 2.3.2.3.1. (1)</w:t>
      </w:r>
      <w:r>
        <w:rPr>
          <w:sz w:val="24"/>
          <w:szCs w:val="24"/>
        </w:rPr>
        <w:t xml:space="preserve"> Planşeele sunt elemente de construcţie orizontale sau înclinate care delimitează spaţii închise din construcţii. </w:t>
      </w:r>
    </w:p>
    <w:p w14:paraId="36DD2991" w14:textId="77777777" w:rsidR="001C08A5" w:rsidRDefault="00000000">
      <w:pPr>
        <w:ind w:firstLine="720"/>
        <w:jc w:val="both"/>
        <w:rPr>
          <w:sz w:val="24"/>
          <w:szCs w:val="24"/>
        </w:rPr>
      </w:pPr>
      <w:r>
        <w:rPr>
          <w:b/>
          <w:sz w:val="24"/>
          <w:szCs w:val="24"/>
        </w:rPr>
        <w:t xml:space="preserve">(2) </w:t>
      </w:r>
      <w:r>
        <w:rPr>
          <w:sz w:val="24"/>
          <w:szCs w:val="24"/>
        </w:rPr>
        <w:t xml:space="preserve">Planşeele pot constitui elemente rezistente la foc de separare a compartimentelor de incendiu (planşee antifoc) din clădiri înalte, foarte înalte sau subterane (clădiri subterane </w:t>
      </w:r>
      <w:r>
        <w:rPr>
          <w:sz w:val="24"/>
          <w:szCs w:val="24"/>
        </w:rPr>
        <w:lastRenderedPageBreak/>
        <w:t>independente, parcaje subterane</w:t>
      </w:r>
      <w:r>
        <w:rPr>
          <w:b/>
          <w:bCs/>
          <w:sz w:val="24"/>
          <w:szCs w:val="24"/>
        </w:rPr>
        <w:t>)</w:t>
      </w:r>
      <w:r>
        <w:rPr>
          <w:sz w:val="24"/>
          <w:szCs w:val="24"/>
        </w:rPr>
        <w:t xml:space="preserve">, atunci când acestea sunt rezistente la foc </w:t>
      </w:r>
      <w:r>
        <w:rPr>
          <w:b/>
          <w:sz w:val="24"/>
          <w:szCs w:val="24"/>
        </w:rPr>
        <w:t>(REI)</w:t>
      </w:r>
      <w:r>
        <w:rPr>
          <w:sz w:val="24"/>
          <w:szCs w:val="24"/>
        </w:rPr>
        <w:t xml:space="preserve"> conform prevederilor normativului şi nu au goluri interioare sau golurile practicate în ele sunt protejate cu elemente de închidere corespunzătoare.</w:t>
      </w:r>
    </w:p>
    <w:p w14:paraId="5D906189" w14:textId="77777777" w:rsidR="001C08A5" w:rsidRDefault="001C08A5">
      <w:pPr>
        <w:ind w:firstLine="708"/>
        <w:jc w:val="both"/>
        <w:rPr>
          <w:sz w:val="24"/>
          <w:szCs w:val="24"/>
        </w:rPr>
      </w:pPr>
    </w:p>
    <w:p w14:paraId="06FAB803" w14:textId="77777777" w:rsidR="001C08A5" w:rsidRDefault="00000000">
      <w:pPr>
        <w:jc w:val="both"/>
        <w:rPr>
          <w:b/>
          <w:sz w:val="24"/>
          <w:szCs w:val="24"/>
        </w:rPr>
      </w:pPr>
      <w:r>
        <w:rPr>
          <w:sz w:val="24"/>
          <w:szCs w:val="24"/>
        </w:rPr>
        <w:tab/>
      </w:r>
      <w:r>
        <w:rPr>
          <w:b/>
          <w:sz w:val="24"/>
          <w:szCs w:val="24"/>
        </w:rPr>
        <w:t xml:space="preserve">Art. 2.3.2.3.2. </w:t>
      </w:r>
      <w:r>
        <w:rPr>
          <w:sz w:val="24"/>
          <w:szCs w:val="24"/>
        </w:rPr>
        <w:t xml:space="preserve">Golurile funcţionale din planşeele rezistente la foc </w:t>
      </w:r>
      <w:r>
        <w:rPr>
          <w:b/>
          <w:sz w:val="24"/>
          <w:szCs w:val="24"/>
        </w:rPr>
        <w:t>(REI)</w:t>
      </w:r>
      <w:r>
        <w:rPr>
          <w:sz w:val="24"/>
          <w:szCs w:val="24"/>
        </w:rPr>
        <w:t xml:space="preserve">, se protejează cu elemente rezistente la foc </w:t>
      </w:r>
      <w:r>
        <w:rPr>
          <w:b/>
          <w:sz w:val="24"/>
          <w:szCs w:val="24"/>
        </w:rPr>
        <w:t>(EI)</w:t>
      </w:r>
      <w:r>
        <w:rPr>
          <w:sz w:val="24"/>
          <w:szCs w:val="24"/>
        </w:rPr>
        <w:t>, conform prevederilor normativului.</w:t>
      </w:r>
    </w:p>
    <w:p w14:paraId="5B720C80" w14:textId="77777777" w:rsidR="001C08A5" w:rsidRDefault="001C08A5">
      <w:pPr>
        <w:rPr>
          <w:sz w:val="24"/>
          <w:szCs w:val="24"/>
        </w:rPr>
      </w:pPr>
    </w:p>
    <w:p w14:paraId="41567A4B" w14:textId="77777777" w:rsidR="001C08A5" w:rsidRDefault="00000000">
      <w:pPr>
        <w:jc w:val="both"/>
        <w:rPr>
          <w:b/>
          <w:bCs/>
          <w:sz w:val="24"/>
          <w:szCs w:val="24"/>
        </w:rPr>
      </w:pPr>
      <w:r>
        <w:rPr>
          <w:b/>
          <w:sz w:val="24"/>
          <w:szCs w:val="24"/>
        </w:rPr>
        <w:tab/>
        <w:t xml:space="preserve">Art. 2.3.2.3.3. </w:t>
      </w:r>
      <w:r>
        <w:rPr>
          <w:sz w:val="24"/>
          <w:szCs w:val="24"/>
        </w:rPr>
        <w:t xml:space="preserve">Elementele de construcţie orizontale (planşee) care delimitează compartimente de incendiu se realizează din produse care asigură rezistenţa la foc normată, conform </w:t>
      </w:r>
      <w:r>
        <w:rPr>
          <w:rStyle w:val="CaptiontabelChar"/>
        </w:rPr>
        <w:fldChar w:fldCharType="begin"/>
      </w:r>
      <w:r>
        <w:rPr>
          <w:rStyle w:val="CaptiontabelChar"/>
        </w:rPr>
        <w:instrText xml:space="preserve"> REF _Ref28465 \h </w:instrText>
      </w:r>
      <w:r>
        <w:rPr>
          <w:rStyle w:val="CaptiontabelChar"/>
        </w:rPr>
      </w:r>
      <w:r>
        <w:rPr>
          <w:rStyle w:val="CaptiontabelChar"/>
        </w:rPr>
        <w:fldChar w:fldCharType="separate"/>
      </w:r>
      <w:r>
        <w:t>Tabelul 5</w:t>
      </w:r>
      <w:r>
        <w:rPr>
          <w:rStyle w:val="CaptiontabelChar"/>
        </w:rPr>
        <w:fldChar w:fldCharType="end"/>
      </w:r>
      <w:r>
        <w:rPr>
          <w:b/>
          <w:sz w:val="24"/>
          <w:szCs w:val="24"/>
        </w:rPr>
        <w:t xml:space="preserve">, </w:t>
      </w:r>
      <w:r>
        <w:rPr>
          <w:sz w:val="24"/>
          <w:szCs w:val="24"/>
        </w:rPr>
        <w:t>dar minimum</w:t>
      </w:r>
      <w:r>
        <w:rPr>
          <w:b/>
          <w:sz w:val="24"/>
          <w:szCs w:val="24"/>
        </w:rPr>
        <w:t xml:space="preserve"> REI 120</w:t>
      </w:r>
      <w:r>
        <w:rPr>
          <w:sz w:val="24"/>
          <w:szCs w:val="24"/>
        </w:rPr>
        <w:t>, fiind amplasate, alcătuite și dimensionate astfel încât să reziste la efectele incendiilor din compartimentele de incendiu pe care le separă.</w:t>
      </w:r>
    </w:p>
    <w:p w14:paraId="2D9E6963" w14:textId="77777777" w:rsidR="001C08A5" w:rsidRDefault="00000000">
      <w:pPr>
        <w:pStyle w:val="Heading4"/>
        <w:rPr>
          <w:rFonts w:cs="Times New Roman"/>
          <w:sz w:val="24"/>
          <w:szCs w:val="24"/>
        </w:rPr>
      </w:pPr>
      <w:bookmarkStart w:id="1268" w:name="_Toc16494"/>
      <w:bookmarkStart w:id="1269" w:name="_Toc21662"/>
      <w:bookmarkStart w:id="1270" w:name="_Toc26401"/>
      <w:bookmarkStart w:id="1271" w:name="_Toc6086"/>
      <w:bookmarkStart w:id="1272" w:name="_Toc11819"/>
      <w:bookmarkStart w:id="1273" w:name="_Toc8840"/>
      <w:bookmarkStart w:id="1274" w:name="_Toc23844"/>
      <w:bookmarkStart w:id="1275" w:name="_Toc162355204"/>
      <w:r>
        <w:t>2.3.3. Elemente despărţitoare rezistente la foc din interiorul compartimentelor de incendiu şi protecţia golurilor funcţionale din acestea</w:t>
      </w:r>
      <w:bookmarkEnd w:id="1268"/>
      <w:bookmarkEnd w:id="1269"/>
      <w:bookmarkEnd w:id="1270"/>
      <w:bookmarkEnd w:id="1271"/>
      <w:bookmarkEnd w:id="1272"/>
      <w:bookmarkEnd w:id="1273"/>
      <w:bookmarkEnd w:id="1274"/>
      <w:bookmarkEnd w:id="1275"/>
    </w:p>
    <w:p w14:paraId="313DC226" w14:textId="77777777" w:rsidR="001C08A5" w:rsidRDefault="00000000">
      <w:pPr>
        <w:pStyle w:val="Heading5"/>
        <w:rPr>
          <w:lang w:val="ro-RO"/>
        </w:rPr>
      </w:pPr>
      <w:bookmarkStart w:id="1276" w:name="_Toc15822"/>
      <w:bookmarkStart w:id="1277" w:name="_Toc18534"/>
      <w:bookmarkStart w:id="1278" w:name="_Toc162355205"/>
      <w:bookmarkStart w:id="1279" w:name="_Toc17489"/>
      <w:bookmarkStart w:id="1280" w:name="_Toc12956"/>
      <w:bookmarkStart w:id="1281" w:name="_Toc7410"/>
      <w:bookmarkStart w:id="1282" w:name="_Toc26172"/>
      <w:bookmarkStart w:id="1283" w:name="_Toc7665"/>
      <w:r>
        <w:rPr>
          <w:lang w:val="ro-RO"/>
        </w:rPr>
        <w:t>2.3.3.1. Dispoziţii generale</w:t>
      </w:r>
      <w:bookmarkEnd w:id="1276"/>
      <w:bookmarkEnd w:id="1277"/>
      <w:bookmarkEnd w:id="1278"/>
      <w:bookmarkEnd w:id="1279"/>
      <w:bookmarkEnd w:id="1280"/>
      <w:bookmarkEnd w:id="1281"/>
      <w:bookmarkEnd w:id="1282"/>
      <w:bookmarkEnd w:id="1283"/>
    </w:p>
    <w:p w14:paraId="294DF4B6" w14:textId="77777777" w:rsidR="001C08A5" w:rsidRDefault="001C08A5">
      <w:pPr>
        <w:jc w:val="both"/>
        <w:rPr>
          <w:b/>
          <w:bCs/>
          <w:sz w:val="24"/>
          <w:szCs w:val="24"/>
        </w:rPr>
      </w:pPr>
    </w:p>
    <w:p w14:paraId="2EB1B9D8" w14:textId="77777777" w:rsidR="001C08A5" w:rsidRDefault="00000000">
      <w:pPr>
        <w:jc w:val="both"/>
        <w:rPr>
          <w:sz w:val="24"/>
          <w:szCs w:val="24"/>
        </w:rPr>
      </w:pPr>
      <w:r>
        <w:rPr>
          <w:b/>
          <w:sz w:val="24"/>
          <w:szCs w:val="24"/>
        </w:rPr>
        <w:tab/>
        <w:t xml:space="preserve">Art. </w:t>
      </w:r>
      <w:r>
        <w:rPr>
          <w:b/>
          <w:bCs/>
          <w:sz w:val="24"/>
          <w:szCs w:val="24"/>
        </w:rPr>
        <w:t>2.3.3.1.</w:t>
      </w:r>
      <w:r>
        <w:rPr>
          <w:b/>
          <w:sz w:val="24"/>
          <w:szCs w:val="24"/>
        </w:rPr>
        <w:t xml:space="preserve">1. </w:t>
      </w:r>
      <w:r>
        <w:rPr>
          <w:sz w:val="24"/>
          <w:szCs w:val="24"/>
        </w:rPr>
        <w:t>În funcţie de densitatea cea mai mare a sarcinii termice (</w:t>
      </w:r>
      <w:r>
        <w:rPr>
          <w:b/>
          <w:sz w:val="24"/>
          <w:szCs w:val="24"/>
        </w:rPr>
        <w:t>q</w:t>
      </w:r>
      <w:r>
        <w:rPr>
          <w:sz w:val="24"/>
          <w:szCs w:val="24"/>
        </w:rPr>
        <w:t>) din încăperile pe care le separă, pereţii, după caz, planşeele și golurile funcţionale practicate în aceştia din cadrul compartimentelor de incendiu, trebuie să asigure limitarea propagării incendiilor.</w:t>
      </w:r>
    </w:p>
    <w:p w14:paraId="73335122" w14:textId="77777777" w:rsidR="001C08A5" w:rsidRDefault="001C08A5">
      <w:pPr>
        <w:jc w:val="both"/>
        <w:rPr>
          <w:b/>
          <w:bCs/>
          <w:sz w:val="24"/>
          <w:szCs w:val="24"/>
        </w:rPr>
      </w:pPr>
    </w:p>
    <w:p w14:paraId="12BC7200" w14:textId="77777777" w:rsidR="001C08A5" w:rsidRDefault="00000000">
      <w:pPr>
        <w:jc w:val="both"/>
        <w:rPr>
          <w:b/>
          <w:sz w:val="24"/>
          <w:szCs w:val="24"/>
        </w:rPr>
      </w:pPr>
      <w:r>
        <w:rPr>
          <w:b/>
          <w:sz w:val="24"/>
          <w:szCs w:val="24"/>
        </w:rPr>
        <w:tab/>
        <w:t xml:space="preserve">Art. </w:t>
      </w:r>
      <w:r>
        <w:rPr>
          <w:b/>
          <w:bCs/>
          <w:sz w:val="24"/>
          <w:szCs w:val="24"/>
        </w:rPr>
        <w:t>2.3.3.1.</w:t>
      </w:r>
      <w:r>
        <w:rPr>
          <w:b/>
          <w:sz w:val="24"/>
          <w:szCs w:val="24"/>
        </w:rPr>
        <w:t xml:space="preserve">2. </w:t>
      </w:r>
      <w:r>
        <w:rPr>
          <w:sz w:val="24"/>
          <w:szCs w:val="24"/>
        </w:rPr>
        <w:t xml:space="preserve">Pentru cazurile în care normativul nu stabileşte rezistenţe la foc normate </w:t>
      </w:r>
      <w:r>
        <w:rPr>
          <w:b/>
          <w:sz w:val="24"/>
          <w:szCs w:val="24"/>
        </w:rPr>
        <w:t>(REI/EI)</w:t>
      </w:r>
      <w:r>
        <w:rPr>
          <w:sz w:val="24"/>
          <w:szCs w:val="24"/>
        </w:rPr>
        <w:t xml:space="preserve"> pentru pereţii şi planşeele </w:t>
      </w:r>
      <w:r>
        <w:rPr>
          <w:bCs/>
          <w:sz w:val="24"/>
          <w:szCs w:val="24"/>
        </w:rPr>
        <w:t>d</w:t>
      </w:r>
      <w:r>
        <w:rPr>
          <w:sz w:val="24"/>
          <w:szCs w:val="24"/>
        </w:rPr>
        <w:t>e separare din interiorul compartimentelor de incendiu cu elemente care îndeplinesc condiţiile de comportare la foc specifice destinaţiei și tipului de clădire, rezistenţele acestora se asigură în funcţie de nivelul de stabilitate la incendiu al construcţiei, de densitatea sarcinii termice (</w:t>
      </w:r>
      <w:r>
        <w:rPr>
          <w:b/>
          <w:sz w:val="24"/>
          <w:szCs w:val="24"/>
        </w:rPr>
        <w:t>q</w:t>
      </w:r>
      <w:r>
        <w:rPr>
          <w:sz w:val="24"/>
          <w:szCs w:val="24"/>
        </w:rPr>
        <w:t xml:space="preserve">) a încăperilor adiacente (conform </w:t>
      </w:r>
      <w:r>
        <w:rPr>
          <w:b/>
          <w:sz w:val="24"/>
          <w:szCs w:val="24"/>
        </w:rPr>
        <w:t xml:space="preserve">Art. </w:t>
      </w:r>
      <w:r>
        <w:rPr>
          <w:b/>
          <w:bCs/>
          <w:sz w:val="24"/>
          <w:szCs w:val="24"/>
        </w:rPr>
        <w:t>2.3.1.2.</w:t>
      </w:r>
      <w:r>
        <w:rPr>
          <w:sz w:val="24"/>
          <w:szCs w:val="24"/>
        </w:rPr>
        <w:t>) și de rolul elementului de separare în caz de incendiu.</w:t>
      </w:r>
    </w:p>
    <w:p w14:paraId="626E2C29" w14:textId="77777777" w:rsidR="001C08A5" w:rsidRDefault="00000000">
      <w:pPr>
        <w:pStyle w:val="Heading5"/>
        <w:rPr>
          <w:lang w:val="ro-RO"/>
        </w:rPr>
      </w:pPr>
      <w:bookmarkStart w:id="1284" w:name="_Toc26349"/>
      <w:bookmarkStart w:id="1285" w:name="_Toc14378"/>
      <w:bookmarkStart w:id="1286" w:name="_Toc12356"/>
      <w:bookmarkStart w:id="1287" w:name="_Toc28439"/>
      <w:bookmarkStart w:id="1288" w:name="_Toc32399"/>
      <w:bookmarkStart w:id="1289" w:name="_Toc9761"/>
      <w:bookmarkStart w:id="1290" w:name="_Toc162355206"/>
      <w:bookmarkStart w:id="1291" w:name="_Toc3914"/>
      <w:r>
        <w:rPr>
          <w:lang w:val="ro-RO"/>
        </w:rPr>
        <w:t>2.3.3.2. Pereţi rezistenţi la foc din interiorul compartimentelor de incendiu</w:t>
      </w:r>
      <w:bookmarkEnd w:id="1284"/>
      <w:bookmarkEnd w:id="1285"/>
      <w:bookmarkEnd w:id="1286"/>
      <w:bookmarkEnd w:id="1287"/>
      <w:bookmarkEnd w:id="1288"/>
      <w:bookmarkEnd w:id="1289"/>
      <w:bookmarkEnd w:id="1290"/>
      <w:bookmarkEnd w:id="1291"/>
    </w:p>
    <w:p w14:paraId="37A109A5" w14:textId="77777777" w:rsidR="001C08A5" w:rsidRDefault="001C08A5">
      <w:pPr>
        <w:rPr>
          <w:b/>
          <w:i/>
          <w:sz w:val="24"/>
          <w:szCs w:val="24"/>
        </w:rPr>
      </w:pPr>
    </w:p>
    <w:p w14:paraId="37FBD63C" w14:textId="77777777" w:rsidR="001C08A5" w:rsidRDefault="00000000">
      <w:pPr>
        <w:widowControl w:val="0"/>
        <w:spacing w:line="100" w:lineRule="atLeast"/>
        <w:ind w:firstLine="705"/>
        <w:jc w:val="both"/>
        <w:rPr>
          <w:rFonts w:eastAsia="Times-Roman"/>
          <w:b/>
          <w:bCs/>
          <w:sz w:val="24"/>
          <w:szCs w:val="24"/>
        </w:rPr>
      </w:pPr>
      <w:r>
        <w:rPr>
          <w:sz w:val="24"/>
          <w:szCs w:val="24"/>
        </w:rPr>
        <w:tab/>
      </w:r>
      <w:r>
        <w:rPr>
          <w:rFonts w:eastAsia="Times-Roman"/>
          <w:b/>
          <w:bCs/>
          <w:sz w:val="24"/>
          <w:szCs w:val="24"/>
        </w:rPr>
        <w:t xml:space="preserve">Art. 2.3.3.2.1. (1) </w:t>
      </w:r>
      <w:r>
        <w:rPr>
          <w:rFonts w:eastAsia="Times-Roman"/>
          <w:bCs/>
          <w:sz w:val="24"/>
          <w:szCs w:val="24"/>
        </w:rPr>
        <w:t xml:space="preserve">Pentru limitarea propagării incendiului în interiorul unui compartiment de incendiu se utilizează pereții structurali </w:t>
      </w:r>
      <w:r>
        <w:rPr>
          <w:rFonts w:eastAsia="Times-Roman"/>
          <w:b/>
          <w:bCs/>
          <w:sz w:val="24"/>
          <w:szCs w:val="24"/>
        </w:rPr>
        <w:t>REI</w:t>
      </w:r>
      <w:r>
        <w:rPr>
          <w:rFonts w:eastAsia="Times-Roman"/>
          <w:bCs/>
          <w:sz w:val="24"/>
          <w:szCs w:val="24"/>
        </w:rPr>
        <w:t xml:space="preserve"> şi/sau se prevăd pe ambele direcţii pereţi despărţitori </w:t>
      </w:r>
      <w:r>
        <w:rPr>
          <w:rFonts w:eastAsia="Times-Roman"/>
          <w:b/>
          <w:bCs/>
          <w:sz w:val="24"/>
          <w:szCs w:val="24"/>
        </w:rPr>
        <w:t>EI</w:t>
      </w:r>
      <w:r>
        <w:rPr>
          <w:rFonts w:eastAsia="Times-Roman"/>
          <w:bCs/>
          <w:sz w:val="24"/>
          <w:szCs w:val="24"/>
        </w:rPr>
        <w:t>, care pot avea şi un traseu sinuos, şi/sau pot fi decalaţi în plan vertical.</w:t>
      </w:r>
    </w:p>
    <w:p w14:paraId="535686B9" w14:textId="77777777" w:rsidR="001C08A5" w:rsidRDefault="00000000">
      <w:pPr>
        <w:widowControl w:val="0"/>
        <w:spacing w:line="100" w:lineRule="atLeast"/>
        <w:ind w:firstLine="705"/>
        <w:jc w:val="both"/>
        <w:rPr>
          <w:rFonts w:eastAsia="Times-Roman"/>
          <w:b/>
          <w:bCs/>
          <w:sz w:val="24"/>
          <w:szCs w:val="24"/>
        </w:rPr>
      </w:pPr>
      <w:r>
        <w:rPr>
          <w:rFonts w:eastAsia="Times-Roman"/>
          <w:b/>
          <w:bCs/>
          <w:sz w:val="24"/>
          <w:szCs w:val="24"/>
        </w:rPr>
        <w:t xml:space="preserve">(2) </w:t>
      </w:r>
      <w:r>
        <w:rPr>
          <w:rFonts w:eastAsia="Times-Roman"/>
          <w:sz w:val="24"/>
          <w:szCs w:val="24"/>
        </w:rPr>
        <w:t xml:space="preserve">Pereţii </w:t>
      </w:r>
      <w:r>
        <w:rPr>
          <w:rFonts w:eastAsia="Times-Roman"/>
          <w:b/>
          <w:bCs/>
          <w:sz w:val="24"/>
          <w:szCs w:val="24"/>
        </w:rPr>
        <w:t>REI</w:t>
      </w:r>
      <w:r>
        <w:rPr>
          <w:rFonts w:eastAsia="Times-Roman"/>
          <w:sz w:val="24"/>
          <w:szCs w:val="24"/>
        </w:rPr>
        <w:t xml:space="preserve"> sau </w:t>
      </w:r>
      <w:r>
        <w:rPr>
          <w:rFonts w:eastAsia="Times-Roman"/>
          <w:b/>
          <w:bCs/>
          <w:sz w:val="24"/>
          <w:szCs w:val="24"/>
        </w:rPr>
        <w:t>EI</w:t>
      </w:r>
      <w:r>
        <w:rPr>
          <w:rFonts w:eastAsia="Times-Roman"/>
          <w:sz w:val="24"/>
          <w:szCs w:val="24"/>
        </w:rPr>
        <w:t xml:space="preserve"> prevăzuţi pentru limitarea propagării incendiului în interiorul unui compartiment de incendiu se realizeaza conform condiţiilor normate specifice tipului/destinaţiei clădirii. Pentru cazurile în care normativul nu stabileşte rezistenţe la foc normate </w:t>
      </w:r>
      <w:r>
        <w:rPr>
          <w:rFonts w:eastAsia="Times-Roman"/>
          <w:b/>
          <w:bCs/>
          <w:sz w:val="24"/>
          <w:szCs w:val="24"/>
        </w:rPr>
        <w:t>(REI/EI)</w:t>
      </w:r>
      <w:r>
        <w:rPr>
          <w:rFonts w:eastAsia="Times-Roman"/>
          <w:sz w:val="24"/>
          <w:szCs w:val="24"/>
        </w:rPr>
        <w:t xml:space="preserve"> pentru aceşti pereţi din interiorul compartimentelor de incendiu, rezistenţele acestora se asigură în funcţie de densitatea sarcinii termice (</w:t>
      </w:r>
      <w:r>
        <w:rPr>
          <w:rFonts w:eastAsia="Times-Roman"/>
          <w:b/>
          <w:bCs/>
          <w:sz w:val="24"/>
          <w:szCs w:val="24"/>
        </w:rPr>
        <w:t>q</w:t>
      </w:r>
      <w:r>
        <w:rPr>
          <w:rFonts w:eastAsia="Times-Roman"/>
          <w:sz w:val="24"/>
          <w:szCs w:val="24"/>
        </w:rPr>
        <w:t>) a încăperilor adiacente coroborată cu încadrarea construcţiei în nivel de stabilitate la incendiu sau de destinație în cazul spațiilor tratate ca spații deschise (de lucru - pentru funcțiunea administrativă sau de alt tip conform funcțiune), pentru activități care necesită o comunicare frecventă sau de spații cu același risc de incendiu și destinație (proprie sau complementara).</w:t>
      </w:r>
    </w:p>
    <w:p w14:paraId="397B59A0" w14:textId="77777777" w:rsidR="001C08A5" w:rsidRDefault="00000000">
      <w:pPr>
        <w:pStyle w:val="BodyText"/>
        <w:ind w:firstLine="720"/>
      </w:pPr>
      <w:r>
        <w:rPr>
          <w:rFonts w:eastAsia="Times-Roman"/>
          <w:i w:val="0"/>
        </w:rPr>
        <w:t>(3)</w:t>
      </w:r>
      <w:r>
        <w:rPr>
          <w:rFonts w:eastAsia="Times-Roman"/>
          <w:b w:val="0"/>
          <w:bCs w:val="0"/>
          <w:i w:val="0"/>
        </w:rPr>
        <w:t xml:space="preserve"> Atunci când elementele rezistente la foc se regăsesc în destinaţiile specifice detaliate în normativ, alcătuirea pereţilor </w:t>
      </w:r>
      <w:r>
        <w:rPr>
          <w:rFonts w:eastAsia="Times-Roman"/>
          <w:i w:val="0"/>
        </w:rPr>
        <w:t>REI/EI</w:t>
      </w:r>
      <w:r>
        <w:rPr>
          <w:rFonts w:eastAsia="Times-Roman"/>
          <w:b w:val="0"/>
          <w:bCs w:val="0"/>
          <w:i w:val="0"/>
        </w:rPr>
        <w:t xml:space="preserve"> respectivi va îndeplini condiţiile de performanţă cele mai severe prevăzute în normativ pentru respectivele funcţiuni.</w:t>
      </w:r>
    </w:p>
    <w:p w14:paraId="4C2A109D" w14:textId="77777777" w:rsidR="001C08A5" w:rsidRDefault="001C08A5">
      <w:pPr>
        <w:pStyle w:val="BodyText"/>
        <w:rPr>
          <w:b w:val="0"/>
          <w:bCs w:val="0"/>
        </w:rPr>
      </w:pPr>
    </w:p>
    <w:p w14:paraId="04CC2770" w14:textId="77777777" w:rsidR="001C08A5" w:rsidRDefault="00000000">
      <w:pPr>
        <w:jc w:val="both"/>
        <w:rPr>
          <w:b/>
          <w:sz w:val="24"/>
          <w:szCs w:val="24"/>
        </w:rPr>
      </w:pPr>
      <w:r>
        <w:rPr>
          <w:b/>
          <w:sz w:val="24"/>
          <w:szCs w:val="24"/>
        </w:rPr>
        <w:tab/>
        <w:t xml:space="preserve">Art. 2.3.3.2.2. </w:t>
      </w:r>
      <w:r>
        <w:rPr>
          <w:sz w:val="24"/>
          <w:szCs w:val="24"/>
        </w:rPr>
        <w:t>Pentru limitarea propagării incendiilor în construcţiile, pentru încăperile sau compartimentele de incendiu care sunt precizate în normativ este obligatorie prevederea unui sistem de evacuare a fumului şi gazelor fierbinţi, realizat conform prevederilor acestuia</w:t>
      </w:r>
    </w:p>
    <w:p w14:paraId="2711A358" w14:textId="77777777" w:rsidR="001C08A5" w:rsidRDefault="00000000">
      <w:pPr>
        <w:pStyle w:val="Heading5"/>
        <w:rPr>
          <w:lang w:val="ro-RO"/>
        </w:rPr>
      </w:pPr>
      <w:bookmarkStart w:id="1292" w:name="_Toc11822"/>
      <w:bookmarkStart w:id="1293" w:name="_Toc8326"/>
      <w:bookmarkStart w:id="1294" w:name="_Toc9682"/>
      <w:bookmarkStart w:id="1295" w:name="_Toc11022"/>
      <w:bookmarkStart w:id="1296" w:name="_Toc24859"/>
      <w:bookmarkStart w:id="1297" w:name="_Toc29550"/>
      <w:bookmarkStart w:id="1298" w:name="_Toc162355207"/>
      <w:bookmarkStart w:id="1299" w:name="_Toc4140"/>
      <w:r>
        <w:rPr>
          <w:lang w:val="ro-RO"/>
        </w:rPr>
        <w:t>2.3.3.3. Planşee rezistente la foc din interiorul compartimentelor de incendiu</w:t>
      </w:r>
      <w:bookmarkEnd w:id="1292"/>
      <w:bookmarkEnd w:id="1293"/>
      <w:bookmarkEnd w:id="1294"/>
      <w:bookmarkEnd w:id="1295"/>
      <w:bookmarkEnd w:id="1296"/>
      <w:bookmarkEnd w:id="1297"/>
      <w:bookmarkEnd w:id="1298"/>
      <w:bookmarkEnd w:id="1299"/>
    </w:p>
    <w:p w14:paraId="6AB42E86" w14:textId="77777777" w:rsidR="001C08A5" w:rsidRDefault="001C08A5">
      <w:pPr>
        <w:jc w:val="both"/>
        <w:rPr>
          <w:sz w:val="24"/>
          <w:szCs w:val="24"/>
        </w:rPr>
      </w:pPr>
    </w:p>
    <w:p w14:paraId="1D69B66E" w14:textId="77777777" w:rsidR="001C08A5" w:rsidRDefault="00000000">
      <w:pPr>
        <w:ind w:firstLine="720"/>
        <w:jc w:val="both"/>
        <w:rPr>
          <w:sz w:val="24"/>
          <w:szCs w:val="24"/>
        </w:rPr>
      </w:pPr>
      <w:r>
        <w:rPr>
          <w:b/>
          <w:sz w:val="24"/>
          <w:szCs w:val="24"/>
        </w:rPr>
        <w:t xml:space="preserve">Art. 2.3.3.3.1. </w:t>
      </w:r>
      <w:r>
        <w:rPr>
          <w:sz w:val="24"/>
          <w:szCs w:val="24"/>
        </w:rPr>
        <w:t>În cadrul construcţiilor și compartimentelor de incendiu, se asigură separarea:</w:t>
      </w:r>
    </w:p>
    <w:p w14:paraId="7B885513" w14:textId="77777777" w:rsidR="001C08A5" w:rsidRDefault="00000000">
      <w:pPr>
        <w:ind w:left="1418"/>
        <w:jc w:val="both"/>
        <w:rPr>
          <w:sz w:val="24"/>
          <w:szCs w:val="24"/>
        </w:rPr>
      </w:pPr>
      <w:r>
        <w:rPr>
          <w:b/>
          <w:sz w:val="24"/>
          <w:szCs w:val="24"/>
        </w:rPr>
        <w:lastRenderedPageBreak/>
        <w:t>a)</w:t>
      </w:r>
      <w:r>
        <w:rPr>
          <w:sz w:val="24"/>
          <w:szCs w:val="24"/>
        </w:rPr>
        <w:t xml:space="preserve"> încăperilor din cadrul construcţiilor civile şi compartimentelor de incendiu civile conform prevederilor privind performanțele comune și cele specifice, potrivit fiecărei categorii de incendiu a clădirilor, tip, funcțiune și destinație, corespunzător densităţii sarcinii termice (q) din încăperile adiacente; </w:t>
      </w:r>
    </w:p>
    <w:p w14:paraId="3834C62B" w14:textId="77777777" w:rsidR="001C08A5" w:rsidRDefault="00000000">
      <w:pPr>
        <w:ind w:left="1418"/>
        <w:jc w:val="both"/>
        <w:rPr>
          <w:sz w:val="24"/>
          <w:szCs w:val="24"/>
        </w:rPr>
      </w:pPr>
      <w:r>
        <w:rPr>
          <w:b/>
          <w:sz w:val="24"/>
          <w:szCs w:val="24"/>
        </w:rPr>
        <w:t>b)</w:t>
      </w:r>
      <w:r>
        <w:rPr>
          <w:sz w:val="24"/>
          <w:szCs w:val="24"/>
        </w:rPr>
        <w:t xml:space="preserve"> încăperilor din cadrul construcţiilor de producţie şi/sau depozitare şi compartimentelor de incendiu civile conform prevederilor privind performanțele comune și cele specifice construcţiilor de producţie şi/sau depozitare, corespunzător densităţii sarcinii termice (</w:t>
      </w:r>
      <w:r>
        <w:rPr>
          <w:b/>
          <w:bCs/>
          <w:sz w:val="24"/>
          <w:szCs w:val="24"/>
        </w:rPr>
        <w:t>q</w:t>
      </w:r>
      <w:r>
        <w:rPr>
          <w:sz w:val="24"/>
          <w:szCs w:val="24"/>
        </w:rPr>
        <w:t>) din încăperile adiacente.</w:t>
      </w:r>
    </w:p>
    <w:p w14:paraId="5BA33AA8" w14:textId="77777777" w:rsidR="001C08A5" w:rsidRDefault="00000000">
      <w:pPr>
        <w:pStyle w:val="Heading5"/>
        <w:rPr>
          <w:lang w:val="ro-RO"/>
        </w:rPr>
      </w:pPr>
      <w:bookmarkStart w:id="1300" w:name="_Toc20094"/>
      <w:bookmarkStart w:id="1301" w:name="_Toc26952"/>
      <w:bookmarkStart w:id="1302" w:name="_Toc162355208"/>
      <w:bookmarkStart w:id="1303" w:name="_Toc32014"/>
      <w:bookmarkStart w:id="1304" w:name="_Toc25638"/>
      <w:bookmarkStart w:id="1305" w:name="_Toc13832"/>
      <w:bookmarkStart w:id="1306" w:name="_Toc19076"/>
      <w:bookmarkStart w:id="1307" w:name="_Toc25883"/>
      <w:r>
        <w:rPr>
          <w:lang w:val="ro-RO"/>
        </w:rPr>
        <w:t>2.3.3.4. Protecţia golurilor din pereţii rezistenţi la foc și planşeele rezistente la foc din interiorul compartimentelor de incendiu</w:t>
      </w:r>
      <w:bookmarkEnd w:id="1300"/>
      <w:bookmarkEnd w:id="1301"/>
      <w:bookmarkEnd w:id="1302"/>
      <w:bookmarkEnd w:id="1303"/>
      <w:bookmarkEnd w:id="1304"/>
      <w:bookmarkEnd w:id="1305"/>
      <w:bookmarkEnd w:id="1306"/>
      <w:bookmarkEnd w:id="1307"/>
    </w:p>
    <w:p w14:paraId="200E3379" w14:textId="77777777" w:rsidR="001C08A5" w:rsidRDefault="001C08A5">
      <w:pPr>
        <w:rPr>
          <w:b/>
          <w:sz w:val="24"/>
          <w:szCs w:val="24"/>
        </w:rPr>
      </w:pPr>
    </w:p>
    <w:p w14:paraId="5BD966C6" w14:textId="77777777" w:rsidR="001C08A5" w:rsidRDefault="00000000">
      <w:pPr>
        <w:ind w:firstLine="705"/>
        <w:jc w:val="both"/>
        <w:rPr>
          <w:b/>
          <w:sz w:val="24"/>
          <w:szCs w:val="24"/>
        </w:rPr>
      </w:pPr>
      <w:r>
        <w:rPr>
          <w:b/>
          <w:sz w:val="24"/>
          <w:szCs w:val="24"/>
        </w:rPr>
        <w:t>Art. 2.3.3.4.</w:t>
      </w:r>
      <w:r>
        <w:rPr>
          <w:b/>
          <w:bCs/>
          <w:sz w:val="24"/>
          <w:szCs w:val="24"/>
        </w:rPr>
        <w:t xml:space="preserve">1. (1) </w:t>
      </w:r>
      <w:r>
        <w:rPr>
          <w:bCs/>
          <w:sz w:val="24"/>
          <w:szCs w:val="24"/>
        </w:rPr>
        <w:t xml:space="preserve">Protejarea </w:t>
      </w:r>
      <w:r>
        <w:rPr>
          <w:sz w:val="24"/>
          <w:szCs w:val="24"/>
        </w:rPr>
        <w:t>golurilor de circulaţie funcţională şi de evacuare din pereţii rezistenţi la foc (</w:t>
      </w:r>
      <w:r>
        <w:rPr>
          <w:b/>
          <w:sz w:val="24"/>
          <w:szCs w:val="24"/>
        </w:rPr>
        <w:t xml:space="preserve">EI </w:t>
      </w:r>
      <w:r>
        <w:rPr>
          <w:sz w:val="24"/>
          <w:szCs w:val="24"/>
        </w:rPr>
        <w:t>sau</w:t>
      </w:r>
      <w:r>
        <w:rPr>
          <w:b/>
          <w:sz w:val="24"/>
          <w:szCs w:val="24"/>
        </w:rPr>
        <w:t xml:space="preserve"> REI</w:t>
      </w:r>
      <w:r>
        <w:rPr>
          <w:sz w:val="24"/>
          <w:szCs w:val="24"/>
        </w:rPr>
        <w:t xml:space="preserve">, după caz) şi planşeele rezistente la foc </w:t>
      </w:r>
      <w:r>
        <w:rPr>
          <w:b/>
          <w:sz w:val="24"/>
          <w:szCs w:val="24"/>
        </w:rPr>
        <w:t>(REI)</w:t>
      </w:r>
      <w:r>
        <w:rPr>
          <w:sz w:val="24"/>
          <w:szCs w:val="24"/>
        </w:rPr>
        <w:t>, se asigură corespunzător condiţiilor stabilite în normativ şi în reglementările tehnice specifice.</w:t>
      </w:r>
    </w:p>
    <w:p w14:paraId="3E488E26" w14:textId="77777777" w:rsidR="001C08A5" w:rsidRDefault="00000000">
      <w:pPr>
        <w:ind w:firstLine="720"/>
        <w:jc w:val="both"/>
        <w:rPr>
          <w:sz w:val="24"/>
          <w:szCs w:val="24"/>
        </w:rPr>
      </w:pPr>
      <w:r>
        <w:rPr>
          <w:b/>
          <w:bCs/>
          <w:sz w:val="24"/>
          <w:szCs w:val="24"/>
        </w:rPr>
        <w:t xml:space="preserve">(2) </w:t>
      </w:r>
      <w:r>
        <w:rPr>
          <w:sz w:val="24"/>
          <w:szCs w:val="24"/>
        </w:rPr>
        <w:t>Indicele „</w:t>
      </w:r>
      <w:r>
        <w:rPr>
          <w:b/>
          <w:bCs/>
          <w:sz w:val="24"/>
          <w:szCs w:val="24"/>
        </w:rPr>
        <w:t>C</w:t>
      </w:r>
      <w:r>
        <w:rPr>
          <w:sz w:val="24"/>
          <w:szCs w:val="24"/>
        </w:rPr>
        <w:t xml:space="preserve">” reprezintă, clasa de autoînchidere/închidere automată şi se precizează în documentaţia tehnică de proiectare în conformitate cu </w:t>
      </w:r>
      <w:r>
        <w:rPr>
          <w:rStyle w:val="CaptiontabelChar"/>
        </w:rPr>
        <w:fldChar w:fldCharType="begin"/>
      </w:r>
      <w:r>
        <w:rPr>
          <w:rStyle w:val="CaptiontabelChar"/>
        </w:rPr>
        <w:instrText xml:space="preserve"> REF _Ref4673 \h </w:instrText>
      </w:r>
      <w:r>
        <w:rPr>
          <w:rStyle w:val="CaptiontabelChar"/>
        </w:rPr>
      </w:r>
      <w:r>
        <w:rPr>
          <w:rStyle w:val="CaptiontabelChar"/>
        </w:rPr>
        <w:fldChar w:fldCharType="separate"/>
      </w:r>
      <w:r>
        <w:t>Tabelul 1</w:t>
      </w:r>
      <w:r>
        <w:rPr>
          <w:rStyle w:val="CaptiontabelChar"/>
        </w:rPr>
        <w:fldChar w:fldCharType="end"/>
      </w:r>
      <w:r>
        <w:rPr>
          <w:sz w:val="24"/>
          <w:szCs w:val="24"/>
        </w:rPr>
        <w:t>.</w:t>
      </w:r>
    </w:p>
    <w:p w14:paraId="008227F1" w14:textId="77777777" w:rsidR="001C08A5" w:rsidRDefault="001C08A5">
      <w:pPr>
        <w:rPr>
          <w:b/>
          <w:sz w:val="24"/>
          <w:szCs w:val="24"/>
        </w:rPr>
      </w:pPr>
    </w:p>
    <w:p w14:paraId="1C42FDC1" w14:textId="77777777" w:rsidR="001C08A5" w:rsidRDefault="00000000">
      <w:pPr>
        <w:ind w:firstLine="720"/>
        <w:jc w:val="both"/>
        <w:rPr>
          <w:sz w:val="24"/>
          <w:szCs w:val="24"/>
        </w:rPr>
      </w:pPr>
      <w:r>
        <w:rPr>
          <w:b/>
          <w:sz w:val="24"/>
          <w:szCs w:val="24"/>
        </w:rPr>
        <w:t>Art. 2.3.3.4.</w:t>
      </w:r>
      <w:r>
        <w:rPr>
          <w:b/>
          <w:bCs/>
          <w:sz w:val="24"/>
          <w:szCs w:val="24"/>
        </w:rPr>
        <w:t>2.</w:t>
      </w:r>
      <w:r>
        <w:rPr>
          <w:b/>
          <w:sz w:val="24"/>
          <w:szCs w:val="24"/>
        </w:rPr>
        <w:t xml:space="preserve"> (1)</w:t>
      </w:r>
      <w:r>
        <w:rPr>
          <w:sz w:val="24"/>
          <w:szCs w:val="24"/>
        </w:rPr>
        <w:t xml:space="preserve"> În cadrul construcţiilor și compartimentelor de incendiu golurile de comunicare şi circulație funcţională şi de evacuare din pereţii de separare a încăperilor faţă de restul construcţiei se protejează potrivit prevederilor normativului.</w:t>
      </w:r>
    </w:p>
    <w:p w14:paraId="510D873E" w14:textId="77777777" w:rsidR="001C08A5" w:rsidRDefault="00000000">
      <w:pPr>
        <w:ind w:firstLine="720"/>
        <w:jc w:val="both"/>
        <w:rPr>
          <w:strike/>
          <w:sz w:val="24"/>
          <w:szCs w:val="24"/>
        </w:rPr>
      </w:pPr>
      <w:r>
        <w:rPr>
          <w:b/>
          <w:sz w:val="24"/>
          <w:szCs w:val="24"/>
        </w:rPr>
        <w:t>(2)</w:t>
      </w:r>
      <w:r>
        <w:rPr>
          <w:sz w:val="24"/>
          <w:szCs w:val="24"/>
        </w:rPr>
        <w:t xml:space="preserve"> În cazurile justificate tehnic, în care nu se pot utiliza elemente constructive de protecţie rezistente la foc, protecţia golurilor din planşee poate fi asigurată prin prevederea pe conturul golului a unor ecrane continue minimum </w:t>
      </w:r>
      <w:r>
        <w:rPr>
          <w:b/>
          <w:sz w:val="24"/>
          <w:szCs w:val="24"/>
        </w:rPr>
        <w:t xml:space="preserve">DH 60 </w:t>
      </w:r>
      <w:r>
        <w:rPr>
          <w:sz w:val="24"/>
          <w:szCs w:val="24"/>
        </w:rPr>
        <w:t xml:space="preserve">pentru nivelul </w:t>
      </w:r>
      <w:r>
        <w:rPr>
          <w:b/>
          <w:sz w:val="24"/>
          <w:szCs w:val="24"/>
        </w:rPr>
        <w:t xml:space="preserve">I </w:t>
      </w:r>
      <w:r>
        <w:rPr>
          <w:sz w:val="24"/>
          <w:szCs w:val="24"/>
        </w:rPr>
        <w:t>şi</w:t>
      </w:r>
      <w:r>
        <w:rPr>
          <w:b/>
          <w:sz w:val="24"/>
          <w:szCs w:val="24"/>
        </w:rPr>
        <w:t xml:space="preserve"> II </w:t>
      </w:r>
      <w:r>
        <w:rPr>
          <w:sz w:val="24"/>
          <w:szCs w:val="24"/>
        </w:rPr>
        <w:t xml:space="preserve">de stabilitate la incendiu și </w:t>
      </w:r>
      <w:r>
        <w:rPr>
          <w:bCs/>
          <w:sz w:val="24"/>
          <w:szCs w:val="24"/>
        </w:rPr>
        <w:t xml:space="preserve">minimum </w:t>
      </w:r>
      <w:r>
        <w:rPr>
          <w:b/>
          <w:bCs/>
          <w:sz w:val="24"/>
          <w:szCs w:val="24"/>
        </w:rPr>
        <w:t>DH 30</w:t>
      </w:r>
      <w:r>
        <w:rPr>
          <w:bCs/>
          <w:sz w:val="24"/>
          <w:szCs w:val="24"/>
        </w:rPr>
        <w:t xml:space="preserve"> pentru</w:t>
      </w:r>
      <w:r>
        <w:rPr>
          <w:sz w:val="24"/>
          <w:szCs w:val="24"/>
        </w:rPr>
        <w:t xml:space="preserve"> celelalte</w:t>
      </w:r>
      <w:r>
        <w:rPr>
          <w:bCs/>
          <w:sz w:val="24"/>
          <w:szCs w:val="24"/>
        </w:rPr>
        <w:t xml:space="preserve"> niveluri de stabilitate la </w:t>
      </w:r>
      <w:r>
        <w:rPr>
          <w:sz w:val="24"/>
          <w:szCs w:val="24"/>
        </w:rPr>
        <w:t xml:space="preserve">incendiucu înălţimea de minimum </w:t>
      </w:r>
      <w:r>
        <w:rPr>
          <w:b/>
          <w:sz w:val="24"/>
          <w:szCs w:val="24"/>
        </w:rPr>
        <w:t>50</w:t>
      </w:r>
      <w:r>
        <w:rPr>
          <w:sz w:val="24"/>
          <w:szCs w:val="24"/>
        </w:rPr>
        <w:t xml:space="preserve"> </w:t>
      </w:r>
      <w:r>
        <w:rPr>
          <w:b/>
          <w:bCs/>
          <w:sz w:val="24"/>
          <w:szCs w:val="24"/>
        </w:rPr>
        <w:t>cm</w:t>
      </w:r>
      <w:r>
        <w:rPr>
          <w:sz w:val="24"/>
          <w:szCs w:val="24"/>
        </w:rPr>
        <w:t xml:space="preserve"> (dispuse sub planşeu) și cu perdele de sprinklere amplasate corespunzător având durata de funcţionare de minimum </w:t>
      </w:r>
      <w:r>
        <w:rPr>
          <w:b/>
          <w:sz w:val="24"/>
          <w:szCs w:val="24"/>
        </w:rPr>
        <w:t>60</w:t>
      </w:r>
      <w:r>
        <w:rPr>
          <w:sz w:val="24"/>
          <w:szCs w:val="24"/>
        </w:rPr>
        <w:t xml:space="preserve"> minute (în conformitate cu prevederile normativului </w:t>
      </w:r>
      <w:r>
        <w:rPr>
          <w:b/>
          <w:bCs/>
          <w:sz w:val="24"/>
          <w:szCs w:val="24"/>
        </w:rPr>
        <w:t>P118:2</w:t>
      </w:r>
      <w:r>
        <w:rPr>
          <w:sz w:val="24"/>
          <w:szCs w:val="24"/>
        </w:rPr>
        <w:t>), în condițiile în care construcția este prevăzută cu astfel de instalaţii.</w:t>
      </w:r>
    </w:p>
    <w:p w14:paraId="0F0A285C" w14:textId="77777777" w:rsidR="001C08A5" w:rsidRDefault="001C08A5">
      <w:pPr>
        <w:jc w:val="both"/>
        <w:rPr>
          <w:strike/>
          <w:sz w:val="24"/>
          <w:szCs w:val="24"/>
        </w:rPr>
      </w:pPr>
    </w:p>
    <w:p w14:paraId="13BB1084" w14:textId="77777777" w:rsidR="001C08A5" w:rsidRDefault="00000000">
      <w:pPr>
        <w:jc w:val="both"/>
        <w:rPr>
          <w:sz w:val="24"/>
          <w:szCs w:val="24"/>
        </w:rPr>
      </w:pPr>
      <w:r>
        <w:rPr>
          <w:b/>
          <w:sz w:val="24"/>
          <w:szCs w:val="24"/>
        </w:rPr>
        <w:tab/>
        <w:t xml:space="preserve">Art. 2.3.3.4.3. (1) </w:t>
      </w:r>
      <w:r>
        <w:rPr>
          <w:sz w:val="24"/>
          <w:szCs w:val="24"/>
        </w:rPr>
        <w:t>În construcţiile cu pod, golurile prevăzute în planşeele spre pod se protejează cu elemente de închidere, normal închise, rezistente la foc minimum:</w:t>
      </w:r>
    </w:p>
    <w:p w14:paraId="0A75492F" w14:textId="77777777" w:rsidR="001C08A5" w:rsidRDefault="00000000">
      <w:pPr>
        <w:ind w:left="567" w:firstLine="714"/>
        <w:jc w:val="both"/>
        <w:rPr>
          <w:sz w:val="24"/>
          <w:szCs w:val="24"/>
        </w:rPr>
      </w:pPr>
      <w:r>
        <w:rPr>
          <w:sz w:val="24"/>
          <w:szCs w:val="24"/>
        </w:rPr>
        <w:t>-</w:t>
      </w:r>
      <w:r>
        <w:rPr>
          <w:sz w:val="24"/>
          <w:szCs w:val="24"/>
        </w:rPr>
        <w:tab/>
      </w:r>
      <w:r>
        <w:rPr>
          <w:b/>
          <w:sz w:val="24"/>
          <w:szCs w:val="24"/>
        </w:rPr>
        <w:t>EI 60</w:t>
      </w:r>
      <w:r>
        <w:rPr>
          <w:sz w:val="24"/>
          <w:szCs w:val="24"/>
        </w:rPr>
        <w:t xml:space="preserve"> pentru nivelul </w:t>
      </w:r>
      <w:r>
        <w:rPr>
          <w:b/>
          <w:bCs/>
          <w:sz w:val="24"/>
          <w:szCs w:val="24"/>
        </w:rPr>
        <w:t>I</w:t>
      </w:r>
      <w:r>
        <w:rPr>
          <w:sz w:val="24"/>
          <w:szCs w:val="24"/>
        </w:rPr>
        <w:t xml:space="preserve"> de stabilitate la incendiu;</w:t>
      </w:r>
    </w:p>
    <w:p w14:paraId="50855083" w14:textId="77777777" w:rsidR="001C08A5" w:rsidRDefault="00000000">
      <w:pPr>
        <w:ind w:left="567" w:firstLine="714"/>
        <w:jc w:val="both"/>
        <w:rPr>
          <w:sz w:val="24"/>
          <w:szCs w:val="24"/>
        </w:rPr>
      </w:pPr>
      <w:r>
        <w:rPr>
          <w:sz w:val="24"/>
          <w:szCs w:val="24"/>
        </w:rPr>
        <w:t>-</w:t>
      </w:r>
      <w:r>
        <w:rPr>
          <w:sz w:val="24"/>
          <w:szCs w:val="24"/>
        </w:rPr>
        <w:tab/>
      </w:r>
      <w:r>
        <w:rPr>
          <w:b/>
          <w:sz w:val="24"/>
          <w:szCs w:val="24"/>
        </w:rPr>
        <w:t>EI 45</w:t>
      </w:r>
      <w:r>
        <w:rPr>
          <w:sz w:val="24"/>
          <w:szCs w:val="24"/>
        </w:rPr>
        <w:t xml:space="preserve"> pentru nivelul </w:t>
      </w:r>
      <w:r>
        <w:rPr>
          <w:b/>
          <w:bCs/>
          <w:sz w:val="24"/>
          <w:szCs w:val="24"/>
        </w:rPr>
        <w:t>II</w:t>
      </w:r>
      <w:r>
        <w:rPr>
          <w:sz w:val="24"/>
          <w:szCs w:val="24"/>
        </w:rPr>
        <w:t xml:space="preserve"> de stabilitate la incendiu;</w:t>
      </w:r>
    </w:p>
    <w:p w14:paraId="256E9386" w14:textId="77777777" w:rsidR="001C08A5" w:rsidRDefault="00000000">
      <w:pPr>
        <w:ind w:left="567" w:firstLine="714"/>
        <w:jc w:val="both"/>
        <w:rPr>
          <w:sz w:val="24"/>
          <w:szCs w:val="24"/>
        </w:rPr>
      </w:pPr>
      <w:r>
        <w:rPr>
          <w:sz w:val="24"/>
          <w:szCs w:val="24"/>
        </w:rPr>
        <w:t>-</w:t>
      </w:r>
      <w:r>
        <w:rPr>
          <w:sz w:val="24"/>
          <w:szCs w:val="24"/>
        </w:rPr>
        <w:tab/>
      </w:r>
      <w:r>
        <w:rPr>
          <w:b/>
          <w:sz w:val="24"/>
          <w:szCs w:val="24"/>
        </w:rPr>
        <w:t>EI 30</w:t>
      </w:r>
      <w:r>
        <w:rPr>
          <w:sz w:val="24"/>
          <w:szCs w:val="24"/>
        </w:rPr>
        <w:t xml:space="preserve"> pentru nivelul </w:t>
      </w:r>
      <w:r>
        <w:rPr>
          <w:b/>
          <w:bCs/>
          <w:sz w:val="24"/>
          <w:szCs w:val="24"/>
        </w:rPr>
        <w:t>III</w:t>
      </w:r>
      <w:r>
        <w:rPr>
          <w:sz w:val="24"/>
          <w:szCs w:val="24"/>
        </w:rPr>
        <w:t xml:space="preserve"> de stabilitate la incendiu;</w:t>
      </w:r>
    </w:p>
    <w:p w14:paraId="1E1E3EAB" w14:textId="77777777" w:rsidR="001C08A5" w:rsidRDefault="00000000">
      <w:pPr>
        <w:ind w:left="567" w:firstLine="714"/>
        <w:jc w:val="both"/>
        <w:rPr>
          <w:sz w:val="24"/>
          <w:szCs w:val="24"/>
        </w:rPr>
      </w:pPr>
      <w:r>
        <w:rPr>
          <w:sz w:val="24"/>
          <w:szCs w:val="24"/>
        </w:rPr>
        <w:t>-</w:t>
      </w:r>
      <w:r>
        <w:rPr>
          <w:sz w:val="24"/>
          <w:szCs w:val="24"/>
        </w:rPr>
        <w:tab/>
      </w:r>
      <w:r>
        <w:rPr>
          <w:b/>
          <w:sz w:val="24"/>
          <w:szCs w:val="24"/>
        </w:rPr>
        <w:t>EI 20</w:t>
      </w:r>
      <w:r>
        <w:rPr>
          <w:sz w:val="24"/>
          <w:szCs w:val="24"/>
        </w:rPr>
        <w:t xml:space="preserve"> pentru nivelul </w:t>
      </w:r>
      <w:r>
        <w:rPr>
          <w:b/>
          <w:bCs/>
          <w:sz w:val="24"/>
          <w:szCs w:val="24"/>
        </w:rPr>
        <w:t>IV</w:t>
      </w:r>
      <w:r>
        <w:rPr>
          <w:sz w:val="24"/>
          <w:szCs w:val="24"/>
        </w:rPr>
        <w:t xml:space="preserve"> de stabilitate la incendiu.</w:t>
      </w:r>
    </w:p>
    <w:p w14:paraId="0956E870" w14:textId="77777777" w:rsidR="001C08A5" w:rsidRDefault="00000000">
      <w:pPr>
        <w:ind w:firstLine="720"/>
        <w:jc w:val="both"/>
        <w:rPr>
          <w:b/>
          <w:bCs/>
          <w:sz w:val="24"/>
          <w:szCs w:val="24"/>
        </w:rPr>
      </w:pPr>
      <w:r>
        <w:rPr>
          <w:b/>
          <w:bCs/>
          <w:sz w:val="24"/>
          <w:szCs w:val="24"/>
        </w:rPr>
        <w:t xml:space="preserve">(2) </w:t>
      </w:r>
      <w:r>
        <w:rPr>
          <w:sz w:val="24"/>
          <w:szCs w:val="24"/>
        </w:rPr>
        <w:t xml:space="preserve">Pentru a nu se lua în considerare şarpanta şi suportul învelitorii construcţiilor cu pod, acestea trebuie să îndeplinească condițiile prevăzute la </w:t>
      </w:r>
      <w:r>
        <w:rPr>
          <w:b/>
          <w:bCs/>
          <w:sz w:val="24"/>
          <w:szCs w:val="24"/>
        </w:rPr>
        <w:t>Art. 2.1.3.4, lit. a).</w:t>
      </w:r>
    </w:p>
    <w:p w14:paraId="661FBAA5" w14:textId="77777777" w:rsidR="001C08A5" w:rsidRDefault="00000000">
      <w:pPr>
        <w:pStyle w:val="Heading4"/>
        <w:rPr>
          <w:rFonts w:cs="Times New Roman"/>
          <w:sz w:val="24"/>
          <w:szCs w:val="24"/>
        </w:rPr>
      </w:pPr>
      <w:bookmarkStart w:id="1308" w:name="_Toc12132"/>
      <w:bookmarkStart w:id="1309" w:name="_Toc12643"/>
      <w:bookmarkStart w:id="1310" w:name="_Toc23985"/>
      <w:bookmarkStart w:id="1311" w:name="_Toc22407"/>
      <w:bookmarkStart w:id="1312" w:name="_Toc162355209"/>
      <w:bookmarkStart w:id="1313" w:name="_Toc7272"/>
      <w:bookmarkStart w:id="1314" w:name="_Toc4128"/>
      <w:bookmarkStart w:id="1315" w:name="_Toc10263"/>
      <w:r>
        <w:t>2.3.4. Elemente rezistente la foc și rezistente la explozie volumetrică și protecţia golurilor funcţionale din acestea</w:t>
      </w:r>
      <w:bookmarkEnd w:id="1308"/>
      <w:bookmarkEnd w:id="1309"/>
      <w:bookmarkEnd w:id="1310"/>
      <w:bookmarkEnd w:id="1311"/>
      <w:bookmarkEnd w:id="1312"/>
      <w:bookmarkEnd w:id="1313"/>
      <w:bookmarkEnd w:id="1314"/>
      <w:bookmarkEnd w:id="1315"/>
    </w:p>
    <w:p w14:paraId="6A48415A" w14:textId="77777777" w:rsidR="001C08A5" w:rsidRDefault="00000000">
      <w:pPr>
        <w:pStyle w:val="Heading5"/>
        <w:rPr>
          <w:lang w:val="ro-RO"/>
        </w:rPr>
      </w:pPr>
      <w:bookmarkStart w:id="1316" w:name="_Toc25431"/>
      <w:bookmarkStart w:id="1317" w:name="_Toc162355210"/>
      <w:bookmarkStart w:id="1318" w:name="_Toc12050"/>
      <w:bookmarkStart w:id="1319" w:name="_Toc27134"/>
      <w:bookmarkStart w:id="1320" w:name="_Toc5482"/>
      <w:bookmarkStart w:id="1321" w:name="_Toc23425"/>
      <w:bookmarkStart w:id="1322" w:name="_Toc5626"/>
      <w:bookmarkStart w:id="1323" w:name="_Toc26962"/>
      <w:r>
        <w:rPr>
          <w:lang w:val="ro-RO"/>
        </w:rPr>
        <w:t>2.3.4.1. Dispoziţii generale</w:t>
      </w:r>
      <w:bookmarkEnd w:id="1316"/>
      <w:bookmarkEnd w:id="1317"/>
      <w:bookmarkEnd w:id="1318"/>
      <w:bookmarkEnd w:id="1319"/>
      <w:bookmarkEnd w:id="1320"/>
      <w:bookmarkEnd w:id="1321"/>
      <w:bookmarkEnd w:id="1322"/>
      <w:bookmarkEnd w:id="1323"/>
    </w:p>
    <w:p w14:paraId="71000BBC" w14:textId="77777777" w:rsidR="001C08A5" w:rsidRDefault="001C08A5">
      <w:pPr>
        <w:rPr>
          <w:b/>
          <w:bCs/>
          <w:i/>
          <w:sz w:val="24"/>
          <w:szCs w:val="24"/>
        </w:rPr>
      </w:pPr>
    </w:p>
    <w:p w14:paraId="29CF16AC" w14:textId="77777777" w:rsidR="001C08A5" w:rsidRDefault="00000000">
      <w:pPr>
        <w:ind w:firstLine="708"/>
        <w:jc w:val="both"/>
        <w:rPr>
          <w:sz w:val="24"/>
          <w:szCs w:val="24"/>
        </w:rPr>
      </w:pPr>
      <w:r>
        <w:rPr>
          <w:b/>
          <w:sz w:val="24"/>
          <w:szCs w:val="24"/>
        </w:rPr>
        <w:t xml:space="preserve">Art. </w:t>
      </w:r>
      <w:r>
        <w:rPr>
          <w:b/>
          <w:bCs/>
          <w:sz w:val="24"/>
          <w:szCs w:val="24"/>
        </w:rPr>
        <w:t>2.3.4.1.</w:t>
      </w:r>
      <w:r>
        <w:rPr>
          <w:b/>
          <w:sz w:val="24"/>
          <w:szCs w:val="24"/>
        </w:rPr>
        <w:t xml:space="preserve">1. </w:t>
      </w:r>
      <w:r>
        <w:rPr>
          <w:sz w:val="24"/>
          <w:szCs w:val="24"/>
        </w:rPr>
        <w:t>Încăperile, compartimentele, construcţiile și zonele cu risc de explozie volumetrică se precizează în documentaţia tehnică,  având în vedere posibilitatea prezenţei amestecurilor de aer cu gaze, vapori sau praf combustibil în concentraţii care prezintă pericol de explozie, în timpul funcţionării normale a instalaţiilor utilitare aferente.</w:t>
      </w:r>
    </w:p>
    <w:p w14:paraId="08A58334" w14:textId="77777777" w:rsidR="001C08A5" w:rsidRDefault="001C08A5">
      <w:pPr>
        <w:jc w:val="both"/>
        <w:rPr>
          <w:sz w:val="24"/>
          <w:szCs w:val="24"/>
        </w:rPr>
      </w:pPr>
    </w:p>
    <w:p w14:paraId="50A716A4" w14:textId="77777777" w:rsidR="001C08A5" w:rsidRDefault="00000000">
      <w:pPr>
        <w:ind w:firstLine="708"/>
        <w:jc w:val="both"/>
        <w:rPr>
          <w:sz w:val="24"/>
          <w:szCs w:val="24"/>
        </w:rPr>
      </w:pPr>
      <w:r>
        <w:rPr>
          <w:b/>
          <w:sz w:val="24"/>
          <w:szCs w:val="24"/>
        </w:rPr>
        <w:t xml:space="preserve">Art. </w:t>
      </w:r>
      <w:r>
        <w:rPr>
          <w:b/>
          <w:bCs/>
          <w:sz w:val="24"/>
          <w:szCs w:val="24"/>
        </w:rPr>
        <w:t>2.3.4.1.</w:t>
      </w:r>
      <w:r>
        <w:rPr>
          <w:b/>
          <w:sz w:val="24"/>
          <w:szCs w:val="24"/>
        </w:rPr>
        <w:t xml:space="preserve">2. </w:t>
      </w:r>
      <w:r>
        <w:rPr>
          <w:b/>
          <w:bCs/>
          <w:sz w:val="24"/>
          <w:szCs w:val="24"/>
        </w:rPr>
        <w:t>(</w:t>
      </w:r>
      <w:r>
        <w:rPr>
          <w:b/>
          <w:sz w:val="24"/>
          <w:szCs w:val="24"/>
        </w:rPr>
        <w:t xml:space="preserve">1) </w:t>
      </w:r>
      <w:r>
        <w:rPr>
          <w:sz w:val="24"/>
          <w:szCs w:val="24"/>
        </w:rPr>
        <w:t>Alcătuirea și dimensionarea elementelor de construcţie rezistente la explozie volumetrică se determină prin calcul, astfel încât acestea să nu se prăbuşească sub efectul suprapresiunii care se produce în caz de explozie volumetrică în încăperile respective, funcţie de suprafeţele de decomprimare asigurate (ferestre, panouri rabatabile, luminatoare, acoperişuri zburătoare,etc.).</w:t>
      </w:r>
    </w:p>
    <w:p w14:paraId="351C669F" w14:textId="77777777" w:rsidR="001C08A5" w:rsidRDefault="00000000">
      <w:pPr>
        <w:ind w:firstLine="720"/>
        <w:jc w:val="both"/>
        <w:rPr>
          <w:sz w:val="24"/>
          <w:szCs w:val="24"/>
        </w:rPr>
      </w:pPr>
      <w:r>
        <w:rPr>
          <w:b/>
          <w:sz w:val="24"/>
          <w:szCs w:val="24"/>
        </w:rPr>
        <w:lastRenderedPageBreak/>
        <w:t xml:space="preserve">(2) </w:t>
      </w:r>
      <w:r>
        <w:rPr>
          <w:sz w:val="24"/>
          <w:szCs w:val="24"/>
        </w:rPr>
        <w:t xml:space="preserve">Elementele de construcţie rezistente la foc și la explozie trebuie să împiedice și propagarea incendiului din spaţiile învecinate spre încăperile cu pericol de explozie volumetrică. Rezistenţele la foc ale pereţilor </w:t>
      </w:r>
      <w:r>
        <w:rPr>
          <w:b/>
          <w:sz w:val="24"/>
          <w:szCs w:val="24"/>
        </w:rPr>
        <w:t>(REI)</w:t>
      </w:r>
      <w:r>
        <w:rPr>
          <w:sz w:val="24"/>
          <w:szCs w:val="24"/>
        </w:rPr>
        <w:t xml:space="preserve"> şi ale planşeelor </w:t>
      </w:r>
      <w:r>
        <w:rPr>
          <w:b/>
          <w:sz w:val="24"/>
          <w:szCs w:val="24"/>
        </w:rPr>
        <w:t>(REI)</w:t>
      </w:r>
      <w:r>
        <w:rPr>
          <w:sz w:val="24"/>
          <w:szCs w:val="24"/>
        </w:rPr>
        <w:t xml:space="preserve"> se stabilesc în funcţie de densitatea sarcinii termice (</w:t>
      </w:r>
      <w:r>
        <w:rPr>
          <w:b/>
          <w:sz w:val="24"/>
          <w:szCs w:val="24"/>
        </w:rPr>
        <w:t>q</w:t>
      </w:r>
      <w:r>
        <w:rPr>
          <w:sz w:val="24"/>
          <w:szCs w:val="24"/>
        </w:rPr>
        <w:t>) din încăperile adiacente, conform prevederilor normativului.</w:t>
      </w:r>
    </w:p>
    <w:p w14:paraId="1D99C1D2" w14:textId="77777777" w:rsidR="001C08A5" w:rsidRDefault="001C08A5">
      <w:pPr>
        <w:jc w:val="both"/>
        <w:rPr>
          <w:sz w:val="24"/>
          <w:szCs w:val="24"/>
        </w:rPr>
      </w:pPr>
    </w:p>
    <w:p w14:paraId="2EAD69E2" w14:textId="77777777" w:rsidR="001C08A5" w:rsidRDefault="00000000">
      <w:pPr>
        <w:ind w:firstLine="708"/>
        <w:jc w:val="both"/>
        <w:rPr>
          <w:sz w:val="24"/>
          <w:szCs w:val="24"/>
        </w:rPr>
      </w:pPr>
      <w:r>
        <w:rPr>
          <w:b/>
          <w:sz w:val="24"/>
          <w:szCs w:val="24"/>
        </w:rPr>
        <w:t xml:space="preserve">Art. </w:t>
      </w:r>
      <w:r>
        <w:rPr>
          <w:b/>
          <w:bCs/>
          <w:sz w:val="24"/>
          <w:szCs w:val="24"/>
        </w:rPr>
        <w:t>2.3.4.1.</w:t>
      </w:r>
      <w:r>
        <w:rPr>
          <w:b/>
          <w:sz w:val="24"/>
          <w:szCs w:val="24"/>
        </w:rPr>
        <w:t xml:space="preserve">3. </w:t>
      </w:r>
      <w:r>
        <w:rPr>
          <w:b/>
          <w:bCs/>
          <w:sz w:val="24"/>
          <w:szCs w:val="24"/>
        </w:rPr>
        <w:t>(1)</w:t>
      </w:r>
      <w:r>
        <w:rPr>
          <w:sz w:val="24"/>
          <w:szCs w:val="24"/>
        </w:rPr>
        <w:t xml:space="preserve"> Acoperişul construcţiilor şi încăperilor cu risc de explozie volumetrică trebuie să fie fără pod.</w:t>
      </w:r>
    </w:p>
    <w:p w14:paraId="4DC3DFB6" w14:textId="77777777" w:rsidR="001C08A5" w:rsidRDefault="00000000">
      <w:pPr>
        <w:ind w:firstLine="720"/>
        <w:jc w:val="both"/>
        <w:rPr>
          <w:sz w:val="24"/>
          <w:szCs w:val="24"/>
        </w:rPr>
      </w:pPr>
      <w:r>
        <w:rPr>
          <w:b/>
          <w:bCs/>
          <w:sz w:val="24"/>
          <w:szCs w:val="24"/>
        </w:rPr>
        <w:t>(2)</w:t>
      </w:r>
      <w:r>
        <w:rPr>
          <w:sz w:val="24"/>
          <w:szCs w:val="24"/>
        </w:rPr>
        <w:t xml:space="preserve"> Nu sunt admise tavane suspendate/ plafoane autoportante sau suspendate și zone neventilate care să faciliteze producerea concentraţiilor periculoase de aer cu gaze, vapori sau praf combustibil, iar în încăperile cu degajări de praf combustibil, finisajele trebuie să permită curăţarea uşoară a suprafeţelor acestora.</w:t>
      </w:r>
    </w:p>
    <w:p w14:paraId="6E6A366F" w14:textId="77777777" w:rsidR="001C08A5" w:rsidRDefault="00000000">
      <w:pPr>
        <w:ind w:firstLine="720"/>
        <w:jc w:val="both"/>
        <w:rPr>
          <w:sz w:val="24"/>
          <w:szCs w:val="24"/>
        </w:rPr>
      </w:pPr>
      <w:r>
        <w:rPr>
          <w:b/>
          <w:bCs/>
          <w:sz w:val="24"/>
          <w:szCs w:val="24"/>
        </w:rPr>
        <w:t>(3)</w:t>
      </w:r>
      <w:r>
        <w:rPr>
          <w:sz w:val="24"/>
          <w:szCs w:val="24"/>
        </w:rPr>
        <w:t xml:space="preserve"> Stratul de uzură al pardoselilor  și plintele trebuie executate din materiale care la lovire nu produc scântei capabile să iniţieze aprinderea amestecurilor explozive. Pardoseala și plinta incintei trebuie să fie conductoare din punct de vedere electrostatic iar în cazul lichidelor inflamabile, acestea trebuie proiectate într-un mod care să fie impermeabile la lichide.</w:t>
      </w:r>
    </w:p>
    <w:p w14:paraId="7BB7410C" w14:textId="77777777" w:rsidR="001C08A5" w:rsidRDefault="00000000">
      <w:pPr>
        <w:ind w:firstLine="720"/>
        <w:jc w:val="both"/>
        <w:rPr>
          <w:b/>
          <w:sz w:val="24"/>
          <w:szCs w:val="24"/>
        </w:rPr>
      </w:pPr>
      <w:r>
        <w:rPr>
          <w:b/>
          <w:bCs/>
          <w:sz w:val="24"/>
          <w:szCs w:val="24"/>
        </w:rPr>
        <w:t>(4)</w:t>
      </w:r>
      <w:r>
        <w:rPr>
          <w:sz w:val="24"/>
          <w:szCs w:val="24"/>
        </w:rPr>
        <w:t xml:space="preserve"> Tâmplăria, inclusiv sistemele ei de acţionare, trebuie să fie certificată conform Directivei ATEx.</w:t>
      </w:r>
    </w:p>
    <w:p w14:paraId="40476BF6" w14:textId="77777777" w:rsidR="001C08A5" w:rsidRDefault="001C08A5">
      <w:pPr>
        <w:rPr>
          <w:b/>
          <w:sz w:val="24"/>
          <w:szCs w:val="24"/>
        </w:rPr>
      </w:pPr>
    </w:p>
    <w:p w14:paraId="0F0586ED" w14:textId="77777777" w:rsidR="001C08A5" w:rsidRDefault="00000000">
      <w:pPr>
        <w:ind w:firstLine="720"/>
        <w:jc w:val="both"/>
        <w:rPr>
          <w:rFonts w:eastAsia="TimesNewRomanPSMT-Identity-H"/>
          <w:sz w:val="24"/>
          <w:szCs w:val="24"/>
        </w:rPr>
      </w:pPr>
      <w:r>
        <w:rPr>
          <w:b/>
          <w:sz w:val="24"/>
          <w:szCs w:val="24"/>
        </w:rPr>
        <w:t xml:space="preserve">Art. </w:t>
      </w:r>
      <w:r>
        <w:rPr>
          <w:b/>
          <w:bCs/>
          <w:sz w:val="24"/>
          <w:szCs w:val="24"/>
        </w:rPr>
        <w:t>2.3.4.1.</w:t>
      </w:r>
      <w:r>
        <w:rPr>
          <w:b/>
          <w:sz w:val="24"/>
          <w:szCs w:val="24"/>
        </w:rPr>
        <w:t xml:space="preserve">4. </w:t>
      </w:r>
      <w:r>
        <w:rPr>
          <w:b/>
          <w:bCs/>
          <w:sz w:val="24"/>
          <w:szCs w:val="24"/>
        </w:rPr>
        <w:t>(1)</w:t>
      </w:r>
      <w:r>
        <w:rPr>
          <w:sz w:val="24"/>
          <w:szCs w:val="24"/>
        </w:rPr>
        <w:t xml:space="preserve"> Se asigură goluri pentru decomprimare în caz de explozie cu aria totală </w:t>
      </w:r>
      <w:r>
        <w:rPr>
          <w:b/>
          <w:bCs/>
          <w:i/>
          <w:sz w:val="24"/>
          <w:szCs w:val="24"/>
        </w:rPr>
        <w:t>A</w:t>
      </w:r>
      <w:r>
        <w:rPr>
          <w:b/>
          <w:bCs/>
          <w:sz w:val="24"/>
          <w:szCs w:val="24"/>
          <w:vertAlign w:val="subscript"/>
        </w:rPr>
        <w:t>ex</w:t>
      </w:r>
      <w:r>
        <w:rPr>
          <w:sz w:val="24"/>
          <w:szCs w:val="24"/>
        </w:rPr>
        <w:t xml:space="preserve"> dispuse în pereţii exteriori sau în acoperiş </w:t>
      </w:r>
      <w:r>
        <w:rPr>
          <w:rFonts w:eastAsia="TimesNewRomanPSMT-Identity-H"/>
          <w:sz w:val="24"/>
          <w:szCs w:val="24"/>
        </w:rPr>
        <w:t xml:space="preserve">de minimum </w:t>
      </w:r>
      <w:r>
        <w:rPr>
          <w:rFonts w:eastAsia="TimesNewRomanPSMT-Identity-H"/>
          <w:b/>
          <w:bCs/>
          <w:sz w:val="24"/>
          <w:szCs w:val="24"/>
        </w:rPr>
        <w:t>0,05 m</w:t>
      </w:r>
      <w:r>
        <w:rPr>
          <w:rFonts w:eastAsia="TimesNewRomanPSMT-Identity-H"/>
          <w:b/>
          <w:bCs/>
          <w:sz w:val="24"/>
          <w:szCs w:val="24"/>
          <w:vertAlign w:val="superscript"/>
        </w:rPr>
        <w:t xml:space="preserve">2 </w:t>
      </w:r>
      <w:r>
        <w:rPr>
          <w:rFonts w:eastAsia="TimesNewRomanPSMT-Identity-H"/>
          <w:sz w:val="24"/>
          <w:szCs w:val="24"/>
        </w:rPr>
        <w:t xml:space="preserve">la </w:t>
      </w:r>
      <w:r>
        <w:rPr>
          <w:rFonts w:eastAsia="TimesNewRomanPSMT-Identity-H"/>
          <w:b/>
          <w:bCs/>
          <w:sz w:val="24"/>
          <w:szCs w:val="24"/>
        </w:rPr>
        <w:t>1 m</w:t>
      </w:r>
      <w:r>
        <w:rPr>
          <w:rFonts w:eastAsia="TimesNewRomanPSMT-Identity-H"/>
          <w:b/>
          <w:bCs/>
          <w:sz w:val="24"/>
          <w:szCs w:val="24"/>
          <w:vertAlign w:val="superscript"/>
        </w:rPr>
        <w:t>3</w:t>
      </w:r>
      <w:r>
        <w:rPr>
          <w:rFonts w:eastAsia="TimesNewRomanPSMT-Identity-H"/>
          <w:sz w:val="24"/>
          <w:szCs w:val="24"/>
        </w:rPr>
        <w:t xml:space="preserve"> din volumul încăperii respective. Adoptarea unui procent mai mic este admisă pe baza unui calcul justificativ, din care să rezulte că prin aceasta stabilitatea clădirii nu este afectată.</w:t>
      </w:r>
    </w:p>
    <w:p w14:paraId="6215DB4E" w14:textId="77777777" w:rsidR="001C08A5" w:rsidRDefault="00000000">
      <w:pPr>
        <w:widowControl w:val="0"/>
        <w:ind w:firstLine="720"/>
        <w:jc w:val="both"/>
        <w:rPr>
          <w:sz w:val="24"/>
          <w:szCs w:val="24"/>
        </w:rPr>
      </w:pPr>
      <w:r>
        <w:rPr>
          <w:b/>
          <w:bCs/>
          <w:sz w:val="24"/>
          <w:szCs w:val="24"/>
        </w:rPr>
        <w:t>(2)</w:t>
      </w:r>
      <w:r>
        <w:rPr>
          <w:sz w:val="24"/>
          <w:szCs w:val="24"/>
        </w:rPr>
        <w:t xml:space="preserve"> Structurile portante ale spațiilor cu risc de explozie trebuie proiectate astfel încât distrugerea elementelor lor individuale să nu poată duce la prăbușire progresivă.</w:t>
      </w:r>
    </w:p>
    <w:p w14:paraId="7B8B3BCA" w14:textId="77777777" w:rsidR="001C08A5" w:rsidRDefault="00000000">
      <w:pPr>
        <w:widowControl w:val="0"/>
        <w:ind w:firstLine="720"/>
        <w:jc w:val="both"/>
        <w:rPr>
          <w:sz w:val="24"/>
          <w:szCs w:val="24"/>
        </w:rPr>
      </w:pPr>
      <w:r>
        <w:rPr>
          <w:b/>
          <w:bCs/>
          <w:sz w:val="24"/>
          <w:szCs w:val="24"/>
        </w:rPr>
        <w:t xml:space="preserve">(3) </w:t>
      </w:r>
      <w:r>
        <w:rPr>
          <w:sz w:val="24"/>
          <w:szCs w:val="24"/>
        </w:rPr>
        <w:t xml:space="preserve">Dacă sunt utilizate suprafețele zonelor de descărcare a presiunii (a golurilor de decomprimare în caz de explozie) descrise la alin. </w:t>
      </w:r>
      <w:r>
        <w:rPr>
          <w:b/>
          <w:bCs/>
          <w:sz w:val="24"/>
          <w:szCs w:val="24"/>
        </w:rPr>
        <w:t>(1)</w:t>
      </w:r>
      <w:r>
        <w:rPr>
          <w:sz w:val="24"/>
          <w:szCs w:val="24"/>
        </w:rPr>
        <w:t xml:space="preserve">, atunci sarcina statică de </w:t>
      </w:r>
      <w:r>
        <w:rPr>
          <w:b/>
          <w:bCs/>
          <w:sz w:val="24"/>
          <w:szCs w:val="24"/>
        </w:rPr>
        <w:t>3 kN/m</w:t>
      </w:r>
      <w:r>
        <w:rPr>
          <w:b/>
          <w:bCs/>
          <w:sz w:val="24"/>
          <w:szCs w:val="24"/>
          <w:vertAlign w:val="superscript"/>
        </w:rPr>
        <w:t>2</w:t>
      </w:r>
      <w:r>
        <w:rPr>
          <w:sz w:val="24"/>
          <w:szCs w:val="24"/>
        </w:rPr>
        <w:t xml:space="preserve"> care se aplică structurilor portante primare trebuie aplicată în toate direcțiile din spațiul interior ca o sarcină extraordinară.</w:t>
      </w:r>
    </w:p>
    <w:p w14:paraId="2781A946" w14:textId="77777777" w:rsidR="001C08A5" w:rsidRDefault="00000000">
      <w:pPr>
        <w:widowControl w:val="0"/>
        <w:ind w:firstLine="720"/>
        <w:jc w:val="both"/>
        <w:rPr>
          <w:sz w:val="24"/>
          <w:szCs w:val="24"/>
        </w:rPr>
      </w:pPr>
      <w:r>
        <w:rPr>
          <w:b/>
          <w:bCs/>
          <w:sz w:val="24"/>
          <w:szCs w:val="24"/>
        </w:rPr>
        <w:t xml:space="preserve">(4) </w:t>
      </w:r>
      <w:r>
        <w:rPr>
          <w:sz w:val="24"/>
          <w:szCs w:val="24"/>
        </w:rPr>
        <w:t>Golurile pentru decomprimare în caz de explozie se amplasează în vecinătatea surselor probabile de explozie volumetrică, avându-se în vedere ca efectul exploziei în exteriorul construcţiei să nu afecteze construcţii învecinate sau căi publice de circulaţie.</w:t>
      </w:r>
    </w:p>
    <w:p w14:paraId="3447A3B1" w14:textId="77777777" w:rsidR="001C08A5" w:rsidRDefault="00000000">
      <w:pPr>
        <w:widowControl w:val="0"/>
        <w:ind w:firstLine="720"/>
        <w:jc w:val="both"/>
        <w:rPr>
          <w:sz w:val="24"/>
          <w:szCs w:val="24"/>
        </w:rPr>
      </w:pPr>
      <w:r>
        <w:rPr>
          <w:b/>
          <w:bCs/>
          <w:sz w:val="24"/>
          <w:szCs w:val="24"/>
        </w:rPr>
        <w:t>(5)</w:t>
      </w:r>
      <w:r>
        <w:rPr>
          <w:sz w:val="24"/>
          <w:szCs w:val="24"/>
        </w:rPr>
        <w:t xml:space="preserve"> Golurile prevăzute pentru decomprimare, pot fi deschise sau închise. Elementele de închidere trebuie să cedeze sub efectul presiunii datorate exploziei şi pot fi constituite din panouri sau porţiuni de perete ori acoperiş de tip uşor (dislocabile sau rabatabile), ferestre şi/sau luminatoare cu geam simplu de cel mult </w:t>
      </w:r>
      <w:r>
        <w:rPr>
          <w:b/>
          <w:sz w:val="24"/>
          <w:szCs w:val="24"/>
        </w:rPr>
        <w:t>3</w:t>
      </w:r>
      <w:r>
        <w:rPr>
          <w:sz w:val="24"/>
          <w:szCs w:val="24"/>
        </w:rPr>
        <w:t xml:space="preserve"> mm grosime (nearmat).</w:t>
      </w:r>
    </w:p>
    <w:p w14:paraId="3B5F9F28" w14:textId="77777777" w:rsidR="001C08A5" w:rsidRDefault="00000000">
      <w:pPr>
        <w:ind w:firstLine="720"/>
        <w:jc w:val="both"/>
        <w:rPr>
          <w:sz w:val="24"/>
          <w:szCs w:val="24"/>
        </w:rPr>
      </w:pPr>
      <w:r>
        <w:rPr>
          <w:b/>
          <w:bCs/>
          <w:sz w:val="24"/>
          <w:szCs w:val="24"/>
        </w:rPr>
        <w:t>(6)</w:t>
      </w:r>
      <w:r>
        <w:rPr>
          <w:sz w:val="24"/>
          <w:szCs w:val="24"/>
        </w:rPr>
        <w:t xml:space="preserve"> Încăperile în care se amplasează centrale termice (în care se montează aparate consumatoare de combustibili gazoşi) se prevăd cu goluri pentru decomprimare în caz de explozie conform reglementărilor specifice (suprafeţe vitrate: ferestre, luminatoare cu geamuri, uşi cu geamuri sau goluri sau suprafeţe asimilate acestora: panouri care conform specificaţiei tehnice date de producători cedează la presiuni datorate exploziei de cel puţin </w:t>
      </w:r>
      <w:r>
        <w:rPr>
          <w:b/>
          <w:bCs/>
          <w:sz w:val="24"/>
          <w:szCs w:val="24"/>
        </w:rPr>
        <w:t>1180 Pa</w:t>
      </w:r>
      <w:r>
        <w:rPr>
          <w:sz w:val="24"/>
          <w:szCs w:val="24"/>
        </w:rPr>
        <w:t xml:space="preserve"> = </w:t>
      </w:r>
      <w:r>
        <w:rPr>
          <w:b/>
          <w:bCs/>
          <w:sz w:val="24"/>
          <w:szCs w:val="24"/>
        </w:rPr>
        <w:t>0,0118 bar</w:t>
      </w:r>
      <w:r>
        <w:rPr>
          <w:sz w:val="24"/>
          <w:szCs w:val="24"/>
        </w:rPr>
        <w:t>). Încăperile în care se amplasează centrale termice sunt considerate cu risc mijlociu de incendiu.</w:t>
      </w:r>
    </w:p>
    <w:p w14:paraId="5E69A3E9" w14:textId="77777777" w:rsidR="001C08A5" w:rsidRDefault="001C08A5">
      <w:pPr>
        <w:widowControl w:val="0"/>
        <w:jc w:val="both"/>
        <w:rPr>
          <w:sz w:val="24"/>
          <w:szCs w:val="24"/>
        </w:rPr>
      </w:pPr>
    </w:p>
    <w:p w14:paraId="15C20E71" w14:textId="77777777" w:rsidR="001C08A5" w:rsidRDefault="00000000">
      <w:pPr>
        <w:widowControl w:val="0"/>
        <w:ind w:firstLine="720"/>
        <w:jc w:val="both"/>
        <w:rPr>
          <w:sz w:val="24"/>
          <w:szCs w:val="24"/>
        </w:rPr>
      </w:pPr>
      <w:r>
        <w:rPr>
          <w:b/>
          <w:sz w:val="24"/>
          <w:szCs w:val="24"/>
        </w:rPr>
        <w:t xml:space="preserve">Art. </w:t>
      </w:r>
      <w:r>
        <w:rPr>
          <w:b/>
          <w:bCs/>
          <w:sz w:val="24"/>
          <w:szCs w:val="24"/>
        </w:rPr>
        <w:t>2.3.4.1.5</w:t>
      </w:r>
      <w:r>
        <w:rPr>
          <w:b/>
          <w:sz w:val="24"/>
          <w:szCs w:val="24"/>
        </w:rPr>
        <w:t xml:space="preserve">. </w:t>
      </w:r>
      <w:r>
        <w:rPr>
          <w:b/>
          <w:bCs/>
          <w:sz w:val="24"/>
          <w:szCs w:val="24"/>
        </w:rPr>
        <w:t>(1)</w:t>
      </w:r>
      <w:r>
        <w:rPr>
          <w:sz w:val="24"/>
          <w:szCs w:val="24"/>
        </w:rPr>
        <w:t xml:space="preserve"> Sarcinile aplicabile pereților rezistenţi la foc și explozie (în lipsa unor calcule specifice) care separă spaţii cu risc foarte mare de incendiu şi explozie volumetrică pot fi considerate:</w:t>
      </w:r>
    </w:p>
    <w:p w14:paraId="50B0D500" w14:textId="77777777" w:rsidR="001C08A5" w:rsidRDefault="00000000">
      <w:pPr>
        <w:widowControl w:val="0"/>
        <w:ind w:firstLine="720"/>
        <w:jc w:val="both"/>
        <w:rPr>
          <w:sz w:val="24"/>
          <w:szCs w:val="24"/>
        </w:rPr>
      </w:pPr>
      <w:r>
        <w:rPr>
          <w:sz w:val="24"/>
          <w:szCs w:val="24"/>
        </w:rPr>
        <w:t xml:space="preserve">a) </w:t>
      </w:r>
      <w:r>
        <w:rPr>
          <w:b/>
          <w:bCs/>
          <w:sz w:val="24"/>
          <w:szCs w:val="24"/>
        </w:rPr>
        <w:t>6 kN/m</w:t>
      </w:r>
      <w:r>
        <w:rPr>
          <w:b/>
          <w:bCs/>
          <w:sz w:val="24"/>
          <w:szCs w:val="24"/>
          <w:vertAlign w:val="superscript"/>
        </w:rPr>
        <w:t>2</w:t>
      </w:r>
      <w:r>
        <w:rPr>
          <w:sz w:val="24"/>
          <w:szCs w:val="24"/>
        </w:rPr>
        <w:t xml:space="preserve"> dacă distanța dintre peretele deflector si peretele rezistent la explozie  este cuprinsă in intervalul </w:t>
      </w:r>
      <w:r>
        <w:rPr>
          <w:b/>
          <w:bCs/>
          <w:sz w:val="24"/>
          <w:szCs w:val="24"/>
        </w:rPr>
        <w:t>[3m;5m]</w:t>
      </w:r>
      <w:r>
        <w:rPr>
          <w:sz w:val="24"/>
          <w:szCs w:val="24"/>
        </w:rPr>
        <w:t>;</w:t>
      </w:r>
    </w:p>
    <w:p w14:paraId="2AE83393" w14:textId="77777777" w:rsidR="001C08A5" w:rsidRDefault="00000000">
      <w:pPr>
        <w:widowControl w:val="0"/>
        <w:ind w:firstLine="720"/>
        <w:jc w:val="both"/>
        <w:rPr>
          <w:sz w:val="24"/>
          <w:szCs w:val="24"/>
        </w:rPr>
      </w:pPr>
      <w:r>
        <w:rPr>
          <w:sz w:val="24"/>
          <w:szCs w:val="24"/>
        </w:rPr>
        <w:t xml:space="preserve">b) </w:t>
      </w:r>
      <w:r>
        <w:rPr>
          <w:b/>
          <w:bCs/>
          <w:sz w:val="24"/>
          <w:szCs w:val="24"/>
        </w:rPr>
        <w:t>5 kN/m</w:t>
      </w:r>
      <w:r>
        <w:rPr>
          <w:b/>
          <w:bCs/>
          <w:sz w:val="24"/>
          <w:szCs w:val="24"/>
          <w:vertAlign w:val="superscript"/>
        </w:rPr>
        <w:t>2</w:t>
      </w:r>
      <w:r>
        <w:rPr>
          <w:sz w:val="24"/>
          <w:szCs w:val="24"/>
        </w:rPr>
        <w:t xml:space="preserve"> dacă distanța dintre peretele deflector si peretele rezistent la explozie  este cuprinsă in intervalul </w:t>
      </w:r>
      <w:r>
        <w:rPr>
          <w:b/>
          <w:bCs/>
          <w:sz w:val="24"/>
          <w:szCs w:val="24"/>
        </w:rPr>
        <w:t>(5m;10m]</w:t>
      </w:r>
      <w:r>
        <w:rPr>
          <w:sz w:val="24"/>
          <w:szCs w:val="24"/>
        </w:rPr>
        <w:t>;</w:t>
      </w:r>
    </w:p>
    <w:p w14:paraId="290F4853" w14:textId="77777777" w:rsidR="001C08A5" w:rsidRDefault="00000000">
      <w:pPr>
        <w:widowControl w:val="0"/>
        <w:ind w:firstLine="720"/>
        <w:jc w:val="both"/>
        <w:rPr>
          <w:sz w:val="24"/>
          <w:szCs w:val="24"/>
        </w:rPr>
      </w:pPr>
      <w:r>
        <w:rPr>
          <w:sz w:val="24"/>
          <w:szCs w:val="24"/>
        </w:rPr>
        <w:t xml:space="preserve">c) </w:t>
      </w:r>
      <w:r>
        <w:rPr>
          <w:b/>
          <w:bCs/>
          <w:sz w:val="24"/>
          <w:szCs w:val="24"/>
        </w:rPr>
        <w:t>3 kN/m</w:t>
      </w:r>
      <w:r>
        <w:rPr>
          <w:b/>
          <w:bCs/>
          <w:sz w:val="24"/>
          <w:szCs w:val="24"/>
          <w:vertAlign w:val="superscript"/>
        </w:rPr>
        <w:t>2</w:t>
      </w:r>
      <w:r>
        <w:rPr>
          <w:sz w:val="24"/>
          <w:szCs w:val="24"/>
        </w:rPr>
        <w:t xml:space="preserve"> dacă dacă distanța dintre peretele deflector si peretele rezistent la explozie  este cuprinsă in intervalul (</w:t>
      </w:r>
      <w:r>
        <w:rPr>
          <w:b/>
          <w:bCs/>
          <w:sz w:val="24"/>
          <w:szCs w:val="24"/>
        </w:rPr>
        <w:t>10 m; 20m]</w:t>
      </w:r>
      <w:r>
        <w:rPr>
          <w:sz w:val="24"/>
          <w:szCs w:val="24"/>
        </w:rPr>
        <w:t>;</w:t>
      </w:r>
    </w:p>
    <w:p w14:paraId="4A565B4A" w14:textId="77777777" w:rsidR="001C08A5" w:rsidRDefault="00000000">
      <w:pPr>
        <w:widowControl w:val="0"/>
        <w:ind w:firstLine="720"/>
        <w:jc w:val="both"/>
        <w:rPr>
          <w:strike/>
          <w:sz w:val="24"/>
          <w:szCs w:val="24"/>
        </w:rPr>
      </w:pPr>
      <w:r>
        <w:rPr>
          <w:sz w:val="24"/>
          <w:szCs w:val="24"/>
        </w:rPr>
        <w:t xml:space="preserve">d) </w:t>
      </w:r>
      <w:r>
        <w:rPr>
          <w:b/>
          <w:bCs/>
          <w:sz w:val="24"/>
          <w:szCs w:val="24"/>
        </w:rPr>
        <w:t>1 kN/m</w:t>
      </w:r>
      <w:r>
        <w:rPr>
          <w:b/>
          <w:bCs/>
          <w:sz w:val="24"/>
          <w:szCs w:val="24"/>
          <w:vertAlign w:val="superscript"/>
        </w:rPr>
        <w:t>2</w:t>
      </w:r>
      <w:r>
        <w:rPr>
          <w:sz w:val="24"/>
          <w:szCs w:val="24"/>
        </w:rPr>
        <w:t xml:space="preserve"> dacă distanța dintre peretele deflector si peretele rezistent la explozie  este &gt;</w:t>
      </w:r>
      <w:r>
        <w:rPr>
          <w:b/>
          <w:bCs/>
          <w:sz w:val="24"/>
          <w:szCs w:val="24"/>
        </w:rPr>
        <w:t>20 m</w:t>
      </w:r>
      <w:r>
        <w:rPr>
          <w:sz w:val="24"/>
          <w:szCs w:val="24"/>
        </w:rPr>
        <w:t>;</w:t>
      </w:r>
    </w:p>
    <w:p w14:paraId="6DF8F621" w14:textId="77777777" w:rsidR="001C08A5" w:rsidRDefault="00000000">
      <w:pPr>
        <w:widowControl w:val="0"/>
        <w:ind w:firstLine="720"/>
        <w:jc w:val="both"/>
        <w:rPr>
          <w:sz w:val="24"/>
          <w:szCs w:val="24"/>
        </w:rPr>
      </w:pPr>
      <w:r>
        <w:rPr>
          <w:b/>
          <w:bCs/>
          <w:sz w:val="24"/>
          <w:szCs w:val="24"/>
        </w:rPr>
        <w:t>(2)</w:t>
      </w:r>
      <w:r>
        <w:rPr>
          <w:sz w:val="24"/>
          <w:szCs w:val="24"/>
        </w:rPr>
        <w:t xml:space="preserve"> Dimensiunile pereților trebuie să fie proiectate pentru sarcina statică aplicată în direcția </w:t>
      </w:r>
      <w:r>
        <w:rPr>
          <w:sz w:val="24"/>
          <w:szCs w:val="24"/>
        </w:rPr>
        <w:lastRenderedPageBreak/>
        <w:t xml:space="preserve">golurilor de decomprimare în caz de explozie. Datorită efectului presiunii negative, </w:t>
      </w:r>
      <w:r>
        <w:rPr>
          <w:b/>
          <w:bCs/>
          <w:sz w:val="24"/>
          <w:szCs w:val="24"/>
        </w:rPr>
        <w:t>20%</w:t>
      </w:r>
      <w:r>
        <w:rPr>
          <w:sz w:val="24"/>
          <w:szCs w:val="24"/>
        </w:rPr>
        <w:t xml:space="preserve"> din sarcini trebuie luate în considerare și în direcția opusă celei de aerisire.</w:t>
      </w:r>
    </w:p>
    <w:p w14:paraId="03073E70" w14:textId="77777777" w:rsidR="001C08A5" w:rsidRDefault="00000000">
      <w:pPr>
        <w:widowControl w:val="0"/>
        <w:ind w:firstLine="720"/>
        <w:jc w:val="both"/>
        <w:rPr>
          <w:b/>
          <w:bCs/>
          <w:sz w:val="24"/>
          <w:szCs w:val="24"/>
        </w:rPr>
      </w:pPr>
      <w:r>
        <w:rPr>
          <w:b/>
          <w:bCs/>
          <w:sz w:val="24"/>
          <w:szCs w:val="24"/>
        </w:rPr>
        <w:t xml:space="preserve">(3) </w:t>
      </w:r>
      <w:r>
        <w:rPr>
          <w:sz w:val="24"/>
          <w:szCs w:val="24"/>
        </w:rPr>
        <w:t>Calculul sarcinilor aplicabile peretilor rezistenti la explozie se va face de persoane atestate privind rezistența mecanică.</w:t>
      </w:r>
    </w:p>
    <w:p w14:paraId="47F2F846" w14:textId="77777777" w:rsidR="001C08A5" w:rsidRDefault="00000000">
      <w:pPr>
        <w:pStyle w:val="Heading5"/>
        <w:rPr>
          <w:lang w:val="ro-RO"/>
        </w:rPr>
      </w:pPr>
      <w:bookmarkStart w:id="1324" w:name="_Toc162355211"/>
      <w:bookmarkStart w:id="1325" w:name="_Toc4240"/>
      <w:bookmarkStart w:id="1326" w:name="_Toc17124"/>
      <w:bookmarkStart w:id="1327" w:name="_Toc3608"/>
      <w:bookmarkStart w:id="1328" w:name="_Toc5454"/>
      <w:bookmarkStart w:id="1329" w:name="_Toc11597"/>
      <w:bookmarkStart w:id="1330" w:name="_Toc167"/>
      <w:bookmarkStart w:id="1331" w:name="_Toc6388"/>
      <w:r>
        <w:rPr>
          <w:lang w:val="ro-RO"/>
        </w:rPr>
        <w:t>2.3.4.2. Pereţi rezistenţi la foc și rezistenţi la explozie volumetrică</w:t>
      </w:r>
      <w:bookmarkEnd w:id="1324"/>
      <w:bookmarkEnd w:id="1325"/>
      <w:bookmarkEnd w:id="1326"/>
      <w:bookmarkEnd w:id="1327"/>
      <w:bookmarkEnd w:id="1328"/>
      <w:bookmarkEnd w:id="1329"/>
      <w:bookmarkEnd w:id="1330"/>
      <w:bookmarkEnd w:id="1331"/>
    </w:p>
    <w:p w14:paraId="4F2B6801" w14:textId="77777777" w:rsidR="001C08A5" w:rsidRDefault="001C08A5">
      <w:pPr>
        <w:jc w:val="both"/>
        <w:rPr>
          <w:b/>
          <w:sz w:val="24"/>
          <w:szCs w:val="24"/>
          <w:shd w:val="clear" w:color="auto" w:fill="FFFF00"/>
        </w:rPr>
      </w:pPr>
    </w:p>
    <w:p w14:paraId="4F41BF49" w14:textId="77777777" w:rsidR="001C08A5" w:rsidRDefault="00000000">
      <w:pPr>
        <w:ind w:firstLine="708"/>
        <w:jc w:val="both"/>
        <w:rPr>
          <w:sz w:val="24"/>
          <w:szCs w:val="24"/>
        </w:rPr>
      </w:pPr>
      <w:r>
        <w:rPr>
          <w:b/>
          <w:sz w:val="24"/>
          <w:szCs w:val="24"/>
        </w:rPr>
        <w:t xml:space="preserve">Art. 2.3.4.2.1. </w:t>
      </w:r>
      <w:r>
        <w:rPr>
          <w:sz w:val="24"/>
          <w:szCs w:val="24"/>
        </w:rPr>
        <w:t xml:space="preserve">Pereţii care separă încăperile cu risc foarte mare de incendiu şi explozie volumetrică de restul construcţiei, vor fi fără goluri, rezistenţi la foc și la explozie, cu excepţia golurilor funcţionale. </w:t>
      </w:r>
    </w:p>
    <w:p w14:paraId="285433F4" w14:textId="77777777" w:rsidR="001C08A5" w:rsidRDefault="00000000">
      <w:pPr>
        <w:jc w:val="both"/>
        <w:rPr>
          <w:b/>
          <w:sz w:val="24"/>
          <w:szCs w:val="24"/>
        </w:rPr>
      </w:pPr>
      <w:r>
        <w:rPr>
          <w:sz w:val="24"/>
          <w:szCs w:val="24"/>
        </w:rPr>
        <w:tab/>
      </w:r>
    </w:p>
    <w:p w14:paraId="4159E8B7" w14:textId="77777777" w:rsidR="001C08A5" w:rsidRDefault="00000000">
      <w:pPr>
        <w:ind w:firstLine="708"/>
        <w:jc w:val="both"/>
        <w:rPr>
          <w:b/>
          <w:sz w:val="24"/>
          <w:szCs w:val="24"/>
        </w:rPr>
      </w:pPr>
      <w:r>
        <w:rPr>
          <w:b/>
          <w:sz w:val="24"/>
          <w:szCs w:val="24"/>
        </w:rPr>
        <w:t xml:space="preserve">Art. 2.3.4.2.2. </w:t>
      </w:r>
      <w:r>
        <w:rPr>
          <w:sz w:val="24"/>
          <w:szCs w:val="24"/>
        </w:rPr>
        <w:t>Pereţii rezistenţi la foc care separă spaţii cu risc foarte mare de incendiu şi explozie volumetrică trebuie să îndeplinească atât condiţiile de rezistenţă la foc, cât şi cele specifice rezistenţei la explozie volumetrică (</w:t>
      </w:r>
      <w:r>
        <w:rPr>
          <w:b/>
          <w:bCs/>
          <w:sz w:val="24"/>
          <w:szCs w:val="24"/>
        </w:rPr>
        <w:t>REI</w:t>
      </w:r>
      <w:r>
        <w:rPr>
          <w:sz w:val="24"/>
          <w:szCs w:val="24"/>
        </w:rPr>
        <w:t xml:space="preserve">, clasa de reacţie la foc </w:t>
      </w:r>
      <w:r>
        <w:rPr>
          <w:b/>
          <w:bCs/>
          <w:sz w:val="24"/>
          <w:szCs w:val="24"/>
        </w:rPr>
        <w:t>A1</w:t>
      </w:r>
      <w:r>
        <w:rPr>
          <w:sz w:val="24"/>
          <w:szCs w:val="24"/>
        </w:rPr>
        <w:t>).</w:t>
      </w:r>
    </w:p>
    <w:p w14:paraId="31417C7D" w14:textId="77777777" w:rsidR="001C08A5" w:rsidRDefault="00000000">
      <w:pPr>
        <w:pStyle w:val="Heading5"/>
        <w:rPr>
          <w:lang w:val="ro-RO"/>
        </w:rPr>
      </w:pPr>
      <w:bookmarkStart w:id="1332" w:name="_Toc25144"/>
      <w:bookmarkStart w:id="1333" w:name="_Toc23821"/>
      <w:bookmarkStart w:id="1334" w:name="_Toc28089"/>
      <w:bookmarkStart w:id="1335" w:name="_Toc6652"/>
      <w:bookmarkStart w:id="1336" w:name="_Toc27461"/>
      <w:bookmarkStart w:id="1337" w:name="_Toc10573"/>
      <w:bookmarkStart w:id="1338" w:name="_Toc162355212"/>
      <w:bookmarkStart w:id="1339" w:name="_Toc1503"/>
      <w:r>
        <w:rPr>
          <w:lang w:val="ro-RO"/>
        </w:rPr>
        <w:t>2.3.4.3. Protecţia golurilor funcţionale din pereţii rezistenţi la foc și rezistenţi la explozie volumetrică</w:t>
      </w:r>
      <w:bookmarkEnd w:id="1332"/>
      <w:bookmarkEnd w:id="1333"/>
      <w:bookmarkEnd w:id="1334"/>
      <w:bookmarkEnd w:id="1335"/>
      <w:bookmarkEnd w:id="1336"/>
      <w:bookmarkEnd w:id="1337"/>
      <w:bookmarkEnd w:id="1338"/>
      <w:bookmarkEnd w:id="1339"/>
    </w:p>
    <w:p w14:paraId="3851903E" w14:textId="77777777" w:rsidR="001C08A5" w:rsidRDefault="001C08A5">
      <w:pPr>
        <w:jc w:val="both"/>
        <w:rPr>
          <w:sz w:val="24"/>
          <w:szCs w:val="24"/>
        </w:rPr>
      </w:pPr>
    </w:p>
    <w:p w14:paraId="2C176348" w14:textId="77777777" w:rsidR="001C08A5" w:rsidRDefault="00000000">
      <w:pPr>
        <w:ind w:firstLine="720"/>
        <w:jc w:val="both"/>
        <w:rPr>
          <w:sz w:val="24"/>
          <w:szCs w:val="24"/>
        </w:rPr>
      </w:pPr>
      <w:r>
        <w:rPr>
          <w:b/>
          <w:sz w:val="24"/>
          <w:szCs w:val="24"/>
        </w:rPr>
        <w:t>Art. 2.3.4.3.1. (1)</w:t>
      </w:r>
      <w:r>
        <w:rPr>
          <w:sz w:val="24"/>
          <w:szCs w:val="24"/>
        </w:rPr>
        <w:t xml:space="preserve"> Practicarea unor goluri în pereţii rezistenţi foc şi la explozie volumetrică sau stăpungerea pereţilor de către conducte, tuburi, cabluri etc., nu este admisă decât în cazuri excepţionale, impuse de necesităţi funcţionale sau tehnologice și numai dacă sunt luate măsurile de protecţie prevăzute în normativ și reglementările specifice.</w:t>
      </w:r>
    </w:p>
    <w:p w14:paraId="184882F2" w14:textId="77777777" w:rsidR="001C08A5" w:rsidRDefault="00000000">
      <w:pPr>
        <w:ind w:firstLine="720"/>
        <w:jc w:val="both"/>
        <w:rPr>
          <w:sz w:val="24"/>
          <w:szCs w:val="24"/>
        </w:rPr>
      </w:pPr>
      <w:r>
        <w:rPr>
          <w:b/>
          <w:sz w:val="24"/>
          <w:szCs w:val="24"/>
        </w:rPr>
        <w:t xml:space="preserve">(2) </w:t>
      </w:r>
      <w:r>
        <w:rPr>
          <w:sz w:val="24"/>
          <w:szCs w:val="24"/>
        </w:rPr>
        <w:t>Golurile de comunicare funcţională prevăzute în pereţii rezistenţi la foc și la explozie volumetrică, se protejează prin încăperi tampon ventilate în suprapresiune. Aceeaşi prevedere se aplică și pentru comunicarea între încăperi cu pericol de explozie volumetrică, în cazurile în care comunicarea directă ar prejudicia securitatea la incendiu sau atunci când încăperile sunt situate în compartimente de incendiu diferite.</w:t>
      </w:r>
    </w:p>
    <w:p w14:paraId="30D443D3" w14:textId="77777777" w:rsidR="001C08A5" w:rsidRDefault="00000000">
      <w:pPr>
        <w:ind w:firstLine="720"/>
        <w:jc w:val="both"/>
        <w:rPr>
          <w:sz w:val="24"/>
          <w:szCs w:val="24"/>
        </w:rPr>
      </w:pPr>
      <w:r>
        <w:rPr>
          <w:b/>
          <w:sz w:val="24"/>
          <w:szCs w:val="24"/>
        </w:rPr>
        <w:t>(3)</w:t>
      </w:r>
      <w:r>
        <w:rPr>
          <w:sz w:val="24"/>
          <w:szCs w:val="24"/>
        </w:rPr>
        <w:t xml:space="preserve"> Încăperile tampon protejate, ventilate în suprapresiune pentru protecţia golurilor din pereţii rezistenţi la explozie volumetrică, se realizează similar celor menţionaţi la pereţii rezistenţi la foc de separare a compartimentelor de incendiu (pereţi antifoc), recomandându-se ca acestea să fie amplasate spre spaţiile mai puţin periculoase. </w:t>
      </w:r>
    </w:p>
    <w:p w14:paraId="5A3ABB2F" w14:textId="77777777" w:rsidR="001C08A5" w:rsidRDefault="00000000">
      <w:pPr>
        <w:ind w:firstLine="720"/>
        <w:jc w:val="both"/>
        <w:rPr>
          <w:sz w:val="24"/>
          <w:szCs w:val="24"/>
        </w:rPr>
      </w:pPr>
      <w:r>
        <w:rPr>
          <w:b/>
          <w:sz w:val="24"/>
          <w:szCs w:val="24"/>
        </w:rPr>
        <w:t>(4)</w:t>
      </w:r>
      <w:r>
        <w:rPr>
          <w:sz w:val="24"/>
          <w:szCs w:val="24"/>
        </w:rPr>
        <w:t xml:space="preserve"> Ușile încăperii tampon protejate vor fi rezistente la foc minimum </w:t>
      </w:r>
      <w:r>
        <w:rPr>
          <w:b/>
          <w:sz w:val="24"/>
          <w:szCs w:val="24"/>
        </w:rPr>
        <w:t>EI</w:t>
      </w:r>
      <w:r>
        <w:rPr>
          <w:b/>
          <w:sz w:val="24"/>
          <w:szCs w:val="24"/>
          <w:vertAlign w:val="subscript"/>
        </w:rPr>
        <w:t xml:space="preserve">1 </w:t>
      </w:r>
      <w:r>
        <w:rPr>
          <w:b/>
          <w:sz w:val="24"/>
          <w:szCs w:val="24"/>
        </w:rPr>
        <w:t>90-C5S</w:t>
      </w:r>
      <w:r>
        <w:rPr>
          <w:b/>
          <w:bCs/>
          <w:sz w:val="24"/>
          <w:szCs w:val="24"/>
          <w:vertAlign w:val="subscript"/>
        </w:rPr>
        <w:t>200</w:t>
      </w:r>
      <w:r>
        <w:rPr>
          <w:b/>
          <w:sz w:val="24"/>
          <w:szCs w:val="24"/>
          <w:vertAlign w:val="subscript"/>
        </w:rPr>
        <w:t xml:space="preserve"> </w:t>
      </w:r>
      <w:r>
        <w:rPr>
          <w:bCs/>
          <w:sz w:val="24"/>
          <w:szCs w:val="24"/>
        </w:rPr>
        <w:t xml:space="preserve">și </w:t>
      </w:r>
      <w:r>
        <w:rPr>
          <w:sz w:val="24"/>
          <w:szCs w:val="24"/>
        </w:rPr>
        <w:t xml:space="preserve">vor fi certificate conform Directivei ATEx. Încăperile tampon protejate trebuie sa fie ventilate în suprapresiune permanentă, având cel puțin </w:t>
      </w:r>
      <w:r>
        <w:rPr>
          <w:b/>
          <w:bCs/>
          <w:sz w:val="24"/>
          <w:szCs w:val="24"/>
        </w:rPr>
        <w:t>50</w:t>
      </w:r>
      <w:r>
        <w:rPr>
          <w:sz w:val="24"/>
          <w:szCs w:val="24"/>
        </w:rPr>
        <w:t xml:space="preserve"> Pa.</w:t>
      </w:r>
    </w:p>
    <w:p w14:paraId="1A2BE97F" w14:textId="77777777" w:rsidR="001C08A5" w:rsidRDefault="00000000">
      <w:pPr>
        <w:ind w:firstLine="720"/>
        <w:jc w:val="both"/>
        <w:rPr>
          <w:b/>
          <w:sz w:val="24"/>
          <w:szCs w:val="24"/>
        </w:rPr>
      </w:pPr>
      <w:r>
        <w:rPr>
          <w:b/>
          <w:sz w:val="24"/>
          <w:szCs w:val="24"/>
        </w:rPr>
        <w:t xml:space="preserve">(5) </w:t>
      </w:r>
      <w:r>
        <w:rPr>
          <w:sz w:val="24"/>
          <w:szCs w:val="24"/>
        </w:rPr>
        <w:t>La încăperile tampon ventilate în suprapresiune care protejează goluri de comunicare între spaţii în care se produc degajări de gaze, vapori sau praf cu pericol de explozie volumetrică, se iau măsuri pentru ca, în timpul exploatării normale, să fie împiedicată trecerea degajărilor dintr-o parte în cealaltă.</w:t>
      </w:r>
    </w:p>
    <w:p w14:paraId="21A96470" w14:textId="77777777" w:rsidR="001C08A5" w:rsidRDefault="00000000">
      <w:pPr>
        <w:pStyle w:val="Heading5"/>
        <w:rPr>
          <w:lang w:val="ro-RO"/>
        </w:rPr>
      </w:pPr>
      <w:bookmarkStart w:id="1340" w:name="_Toc27701"/>
      <w:bookmarkStart w:id="1341" w:name="_Toc162355213"/>
      <w:bookmarkStart w:id="1342" w:name="_Toc11238"/>
      <w:bookmarkStart w:id="1343" w:name="_Toc13394"/>
      <w:bookmarkStart w:id="1344" w:name="_Toc1085"/>
      <w:bookmarkStart w:id="1345" w:name="_Toc6205"/>
      <w:bookmarkStart w:id="1346" w:name="_Toc17838"/>
      <w:bookmarkStart w:id="1347" w:name="_Toc25183"/>
      <w:r>
        <w:rPr>
          <w:lang w:val="ro-RO"/>
        </w:rPr>
        <w:t>2.3.4.4. Planşee rezistente la foc şi rezistente la explozie volumetrică</w:t>
      </w:r>
      <w:bookmarkEnd w:id="1340"/>
      <w:bookmarkEnd w:id="1341"/>
      <w:bookmarkEnd w:id="1342"/>
      <w:bookmarkEnd w:id="1343"/>
      <w:bookmarkEnd w:id="1344"/>
      <w:bookmarkEnd w:id="1345"/>
      <w:bookmarkEnd w:id="1346"/>
      <w:bookmarkEnd w:id="1347"/>
    </w:p>
    <w:p w14:paraId="7A7ED21C" w14:textId="77777777" w:rsidR="001C08A5" w:rsidRDefault="001C08A5">
      <w:pPr>
        <w:jc w:val="both"/>
        <w:rPr>
          <w:b/>
          <w:sz w:val="24"/>
          <w:szCs w:val="24"/>
          <w:shd w:val="clear" w:color="auto" w:fill="FFFF00"/>
        </w:rPr>
      </w:pPr>
    </w:p>
    <w:p w14:paraId="6E4F6991" w14:textId="77777777" w:rsidR="001C08A5" w:rsidRDefault="00000000">
      <w:pPr>
        <w:ind w:firstLine="708"/>
        <w:jc w:val="both"/>
        <w:rPr>
          <w:sz w:val="24"/>
          <w:szCs w:val="24"/>
        </w:rPr>
      </w:pPr>
      <w:r>
        <w:rPr>
          <w:b/>
          <w:sz w:val="24"/>
          <w:szCs w:val="24"/>
        </w:rPr>
        <w:t xml:space="preserve">Art. 2.3.4.4.1. </w:t>
      </w:r>
      <w:r>
        <w:rPr>
          <w:sz w:val="24"/>
          <w:szCs w:val="24"/>
        </w:rPr>
        <w:t>Planşeele rezistente la foc și la explozie volumetrică, precum și elementele lor de susţinere, vor fi astfel dimensionate și realizate încât să nu fie dislocate de suflul exploziei.</w:t>
      </w:r>
    </w:p>
    <w:p w14:paraId="7791C101" w14:textId="77777777" w:rsidR="001C08A5" w:rsidRDefault="001C08A5">
      <w:pPr>
        <w:ind w:firstLine="708"/>
        <w:jc w:val="both"/>
        <w:rPr>
          <w:sz w:val="24"/>
          <w:szCs w:val="24"/>
        </w:rPr>
      </w:pPr>
    </w:p>
    <w:p w14:paraId="2DA641C5" w14:textId="77777777" w:rsidR="001C08A5" w:rsidRDefault="00000000">
      <w:pPr>
        <w:ind w:firstLine="708"/>
        <w:jc w:val="both"/>
        <w:rPr>
          <w:b/>
          <w:sz w:val="24"/>
          <w:szCs w:val="24"/>
        </w:rPr>
      </w:pPr>
      <w:r>
        <w:rPr>
          <w:b/>
          <w:sz w:val="24"/>
          <w:szCs w:val="24"/>
        </w:rPr>
        <w:t xml:space="preserve">Art. 2.3.4.4.2. </w:t>
      </w:r>
      <w:r>
        <w:rPr>
          <w:sz w:val="24"/>
          <w:szCs w:val="24"/>
        </w:rPr>
        <w:t>Planşeele rezistente la foc care separă spaţii cu risc foarte mare de incendiu şi explozie volumetrică, trebuie să îndeplinească atât condiţiile de rezistenţă la foc, cât şi cele specifice rezistenţei la explozie volumetrică (</w:t>
      </w:r>
      <w:r>
        <w:rPr>
          <w:b/>
          <w:bCs/>
          <w:sz w:val="24"/>
          <w:szCs w:val="24"/>
        </w:rPr>
        <w:t>REI</w:t>
      </w:r>
      <w:r>
        <w:rPr>
          <w:sz w:val="24"/>
          <w:szCs w:val="24"/>
        </w:rPr>
        <w:t xml:space="preserve">, clasa de reacţie la foc </w:t>
      </w:r>
      <w:r>
        <w:rPr>
          <w:b/>
          <w:bCs/>
          <w:sz w:val="24"/>
          <w:szCs w:val="24"/>
        </w:rPr>
        <w:t>A1</w:t>
      </w:r>
      <w:r>
        <w:rPr>
          <w:sz w:val="24"/>
          <w:szCs w:val="24"/>
        </w:rPr>
        <w:t>).</w:t>
      </w:r>
    </w:p>
    <w:p w14:paraId="5E35E686" w14:textId="77777777" w:rsidR="001C08A5" w:rsidRDefault="00000000">
      <w:pPr>
        <w:pStyle w:val="Heading4"/>
      </w:pPr>
      <w:bookmarkStart w:id="1348" w:name="_Toc16327"/>
      <w:bookmarkStart w:id="1349" w:name="_Toc22767"/>
      <w:bookmarkStart w:id="1350" w:name="_Toc11362"/>
      <w:bookmarkStart w:id="1351" w:name="_Toc27169"/>
      <w:bookmarkStart w:id="1352" w:name="_Toc24186"/>
      <w:bookmarkStart w:id="1353" w:name="_Toc20477"/>
      <w:bookmarkStart w:id="1354" w:name="_Toc31261"/>
      <w:bookmarkStart w:id="1355" w:name="_Toc162355214"/>
      <w:r>
        <w:t>2.3.5. Elemente etanşe la foc</w:t>
      </w:r>
      <w:bookmarkEnd w:id="1348"/>
      <w:bookmarkEnd w:id="1349"/>
      <w:bookmarkEnd w:id="1350"/>
      <w:bookmarkEnd w:id="1351"/>
      <w:bookmarkEnd w:id="1352"/>
      <w:bookmarkEnd w:id="1353"/>
      <w:bookmarkEnd w:id="1354"/>
      <w:bookmarkEnd w:id="1355"/>
    </w:p>
    <w:p w14:paraId="54D99937" w14:textId="77777777" w:rsidR="001C08A5" w:rsidRDefault="001C08A5">
      <w:pPr>
        <w:rPr>
          <w:b/>
          <w:sz w:val="24"/>
          <w:szCs w:val="24"/>
        </w:rPr>
      </w:pPr>
    </w:p>
    <w:p w14:paraId="3AD7BA75" w14:textId="77777777" w:rsidR="001C08A5" w:rsidRDefault="00000000">
      <w:pPr>
        <w:ind w:firstLine="708"/>
        <w:jc w:val="both"/>
        <w:rPr>
          <w:sz w:val="24"/>
          <w:szCs w:val="24"/>
        </w:rPr>
      </w:pPr>
      <w:r>
        <w:rPr>
          <w:b/>
          <w:sz w:val="24"/>
          <w:szCs w:val="24"/>
        </w:rPr>
        <w:lastRenderedPageBreak/>
        <w:t xml:space="preserve">Art. 2.3.5.1. (1) </w:t>
      </w:r>
      <w:r>
        <w:rPr>
          <w:sz w:val="24"/>
          <w:szCs w:val="24"/>
        </w:rPr>
        <w:t xml:space="preserve">Elementele orizontale sau verticale de protecţie etanşe la foc </w:t>
      </w:r>
      <w:r>
        <w:rPr>
          <w:b/>
          <w:sz w:val="24"/>
          <w:szCs w:val="24"/>
        </w:rPr>
        <w:t>(E)</w:t>
      </w:r>
      <w:r>
        <w:rPr>
          <w:sz w:val="24"/>
          <w:szCs w:val="24"/>
        </w:rPr>
        <w:t xml:space="preserve"> trebuie să îndeplinească condiţiile normativului, prevăzându-se în cazurile şi condiţiile prevăzute în normativ şi în reglementările tehnice specifice.</w:t>
      </w:r>
    </w:p>
    <w:p w14:paraId="0118EE6E" w14:textId="77777777" w:rsidR="001C08A5" w:rsidRDefault="00000000">
      <w:pPr>
        <w:ind w:firstLine="720"/>
        <w:jc w:val="both"/>
        <w:rPr>
          <w:b/>
          <w:sz w:val="24"/>
          <w:szCs w:val="24"/>
        </w:rPr>
      </w:pPr>
      <w:r>
        <w:rPr>
          <w:b/>
          <w:bCs/>
          <w:sz w:val="24"/>
          <w:szCs w:val="24"/>
        </w:rPr>
        <w:t>(2)</w:t>
      </w:r>
      <w:r>
        <w:rPr>
          <w:sz w:val="24"/>
          <w:szCs w:val="24"/>
        </w:rPr>
        <w:t xml:space="preserve">  Golurile din elementele de construcţie etanşe la foc se protejază cu uşi, obloane sau cortine etanşe la foc (</w:t>
      </w:r>
      <w:r>
        <w:rPr>
          <w:b/>
          <w:bCs/>
          <w:sz w:val="24"/>
          <w:szCs w:val="24"/>
        </w:rPr>
        <w:t>E</w:t>
      </w:r>
      <w:r>
        <w:rPr>
          <w:sz w:val="24"/>
          <w:szCs w:val="24"/>
        </w:rPr>
        <w:t xml:space="preserve">), conform prevederilor normativului şi ale reglementărilor tehnice specifice. </w:t>
      </w:r>
    </w:p>
    <w:p w14:paraId="347F8FDC" w14:textId="77777777" w:rsidR="001C08A5" w:rsidRDefault="00000000">
      <w:pPr>
        <w:pStyle w:val="Heading4"/>
        <w:rPr>
          <w:rFonts w:cs="Times New Roman"/>
          <w:sz w:val="24"/>
          <w:szCs w:val="24"/>
        </w:rPr>
      </w:pPr>
      <w:bookmarkStart w:id="1356" w:name="_Toc1377"/>
      <w:bookmarkStart w:id="1357" w:name="_Toc162355215"/>
      <w:bookmarkStart w:id="1358" w:name="_Toc30282"/>
      <w:bookmarkStart w:id="1359" w:name="_Toc30005"/>
      <w:bookmarkStart w:id="1360" w:name="_Toc20876"/>
      <w:bookmarkStart w:id="1361" w:name="_Toc28356"/>
      <w:bookmarkStart w:id="1362" w:name="_Toc19534"/>
      <w:bookmarkStart w:id="1363" w:name="_Toc20175"/>
      <w:r>
        <w:t>2.3.6. Limitarea propagării incendiului pe faţadă şi acoperiş</w:t>
      </w:r>
      <w:bookmarkEnd w:id="1356"/>
      <w:bookmarkEnd w:id="1357"/>
      <w:bookmarkEnd w:id="1358"/>
      <w:bookmarkEnd w:id="1359"/>
      <w:bookmarkEnd w:id="1360"/>
      <w:bookmarkEnd w:id="1361"/>
      <w:bookmarkEnd w:id="1362"/>
      <w:bookmarkEnd w:id="1363"/>
    </w:p>
    <w:p w14:paraId="1CBEB09C" w14:textId="77777777" w:rsidR="001C08A5" w:rsidRDefault="00000000">
      <w:pPr>
        <w:pStyle w:val="Heading5"/>
        <w:rPr>
          <w:lang w:val="ro-RO"/>
        </w:rPr>
      </w:pPr>
      <w:bookmarkStart w:id="1364" w:name="_Toc19130"/>
      <w:bookmarkStart w:id="1365" w:name="_Toc26868"/>
      <w:bookmarkStart w:id="1366" w:name="_Toc162355216"/>
      <w:bookmarkStart w:id="1367" w:name="_Toc12112"/>
      <w:bookmarkStart w:id="1368" w:name="_Toc5051"/>
      <w:bookmarkStart w:id="1369" w:name="_Toc5195"/>
      <w:bookmarkStart w:id="1370" w:name="_Toc22922"/>
      <w:bookmarkStart w:id="1371" w:name="_Toc14255"/>
      <w:r>
        <w:rPr>
          <w:lang w:val="ro-RO"/>
        </w:rPr>
        <w:t>2.3.6.1. Prevederi generale privind limitarea propagării pe faţadă</w:t>
      </w:r>
      <w:bookmarkEnd w:id="1364"/>
      <w:bookmarkEnd w:id="1365"/>
      <w:bookmarkEnd w:id="1366"/>
      <w:bookmarkEnd w:id="1367"/>
      <w:bookmarkEnd w:id="1368"/>
      <w:bookmarkEnd w:id="1369"/>
      <w:bookmarkEnd w:id="1370"/>
      <w:bookmarkEnd w:id="1371"/>
    </w:p>
    <w:p w14:paraId="5A8A0CCD" w14:textId="77777777" w:rsidR="001C08A5" w:rsidRDefault="001C08A5">
      <w:pPr>
        <w:jc w:val="both"/>
        <w:rPr>
          <w:sz w:val="24"/>
          <w:szCs w:val="24"/>
        </w:rPr>
      </w:pPr>
    </w:p>
    <w:p w14:paraId="7D19F889" w14:textId="77777777" w:rsidR="001C08A5" w:rsidRDefault="00000000">
      <w:pPr>
        <w:jc w:val="both"/>
        <w:rPr>
          <w:sz w:val="24"/>
          <w:szCs w:val="24"/>
        </w:rPr>
      </w:pPr>
      <w:r>
        <w:rPr>
          <w:b/>
          <w:sz w:val="24"/>
          <w:szCs w:val="24"/>
        </w:rPr>
        <w:tab/>
        <w:t xml:space="preserve">Art. 2.3.6.1.1. </w:t>
      </w:r>
      <w:r>
        <w:rPr>
          <w:sz w:val="24"/>
          <w:szCs w:val="24"/>
        </w:rPr>
        <w:t>Închiderile perimetrale de orice fel ale construcţiilor se alcătuiesc şi se realizează în aşa fel încât să întârzie propagarea incendiilor de la un nivel la altul, atât prin exteriorul închiderii perimetrale (pe faţadă), cât şi prin interiorul construcţiei (</w:t>
      </w:r>
      <w:r>
        <w:rPr>
          <w:b/>
          <w:bCs/>
          <w:i/>
          <w:iCs/>
          <w:sz w:val="24"/>
          <w:szCs w:val="24"/>
        </w:rPr>
        <w:fldChar w:fldCharType="begin"/>
      </w:r>
      <w:r>
        <w:rPr>
          <w:b/>
          <w:bCs/>
          <w:i/>
          <w:iCs/>
          <w:sz w:val="24"/>
          <w:szCs w:val="24"/>
        </w:rPr>
        <w:instrText xml:space="preserve"> REF _Ref13356 \h </w:instrText>
      </w:r>
      <w:r>
        <w:rPr>
          <w:b/>
          <w:bCs/>
          <w:i/>
          <w:iCs/>
          <w:sz w:val="24"/>
          <w:szCs w:val="24"/>
        </w:rPr>
      </w:r>
      <w:r>
        <w:rPr>
          <w:b/>
          <w:bCs/>
          <w:i/>
          <w:iCs/>
          <w:sz w:val="24"/>
          <w:szCs w:val="24"/>
        </w:rPr>
        <w:fldChar w:fldCharType="separate"/>
      </w:r>
      <w:r>
        <w:t>Figura 41</w:t>
      </w:r>
      <w:r>
        <w:rPr>
          <w:b/>
          <w:bCs/>
          <w:i/>
          <w:iCs/>
          <w:sz w:val="24"/>
          <w:szCs w:val="24"/>
        </w:rPr>
        <w:fldChar w:fldCharType="end"/>
      </w:r>
      <w:r>
        <w:rPr>
          <w:sz w:val="24"/>
          <w:szCs w:val="24"/>
        </w:rPr>
        <w:t>).</w:t>
      </w:r>
    </w:p>
    <w:p w14:paraId="6860A30B" w14:textId="77777777" w:rsidR="001C08A5" w:rsidRDefault="00000000">
      <w:pPr>
        <w:jc w:val="center"/>
        <w:rPr>
          <w:sz w:val="24"/>
          <w:szCs w:val="24"/>
        </w:rPr>
      </w:pPr>
      <w:r>
        <w:rPr>
          <w:noProof/>
          <w:lang w:eastAsia="ro-RO"/>
        </w:rPr>
        <w:drawing>
          <wp:inline distT="0" distB="0" distL="0" distR="0" wp14:anchorId="5D87B151" wp14:editId="39AA6038">
            <wp:extent cx="2990215" cy="3004185"/>
            <wp:effectExtent l="0" t="0" r="635" b="5715"/>
            <wp:docPr id="1105" name="Picture 59"/>
            <wp:cNvGraphicFramePr/>
            <a:graphic xmlns:a="http://schemas.openxmlformats.org/drawingml/2006/main">
              <a:graphicData uri="http://schemas.openxmlformats.org/drawingml/2006/picture">
                <pic:pic xmlns:pic="http://schemas.openxmlformats.org/drawingml/2006/picture">
                  <pic:nvPicPr>
                    <pic:cNvPr id="1105" name="Picture 59"/>
                    <pic:cNvPicPr/>
                  </pic:nvPicPr>
                  <pic:blipFill>
                    <a:blip r:embed="rId131" cstate="print"/>
                    <a:srcRect l="28886" t="10911" r="31526" b="11810"/>
                    <a:stretch>
                      <a:fillRect/>
                    </a:stretch>
                  </pic:blipFill>
                  <pic:spPr>
                    <a:xfrm>
                      <a:off x="0" y="0"/>
                      <a:ext cx="2990215" cy="3004185"/>
                    </a:xfrm>
                    <a:prstGeom prst="rect">
                      <a:avLst/>
                    </a:prstGeom>
                    <a:ln>
                      <a:noFill/>
                    </a:ln>
                  </pic:spPr>
                </pic:pic>
              </a:graphicData>
            </a:graphic>
          </wp:inline>
        </w:drawing>
      </w:r>
    </w:p>
    <w:p w14:paraId="5E5BBFD3" w14:textId="77777777" w:rsidR="001C08A5" w:rsidRDefault="00000000">
      <w:pPr>
        <w:pStyle w:val="Caption"/>
        <w:jc w:val="center"/>
        <w:rPr>
          <w:rFonts w:cs="Times New Roman"/>
          <w:bCs/>
        </w:rPr>
      </w:pPr>
      <w:bookmarkStart w:id="1372" w:name="_Ref13356"/>
      <w:bookmarkStart w:id="1373" w:name="_Toc31822"/>
      <w:bookmarkStart w:id="1374" w:name="_Toc162360265"/>
      <w:bookmarkStart w:id="1375" w:name="_Toc27933"/>
      <w:bookmarkStart w:id="1376" w:name="_Toc8895"/>
      <w:bookmarkStart w:id="1377" w:name="_Toc24282"/>
      <w:bookmarkStart w:id="1378" w:name="_Toc6488"/>
      <w:bookmarkStart w:id="1379" w:name="_Toc1595"/>
      <w:r>
        <w:t xml:space="preserve">Figura </w:t>
      </w:r>
      <w:r>
        <w:fldChar w:fldCharType="begin"/>
      </w:r>
      <w:r>
        <w:instrText xml:space="preserve"> SEQ Figura \* ARABIC </w:instrText>
      </w:r>
      <w:r>
        <w:fldChar w:fldCharType="separate"/>
      </w:r>
      <w:r>
        <w:t>41</w:t>
      </w:r>
      <w:r>
        <w:fldChar w:fldCharType="end"/>
      </w:r>
      <w:bookmarkStart w:id="1380" w:name="_Toc6805"/>
      <w:bookmarkStart w:id="1381" w:name="_Toc6700"/>
      <w:bookmarkStart w:id="1382" w:name="_Toc20400"/>
      <w:bookmarkStart w:id="1383" w:name="_Toc4612"/>
      <w:bookmarkStart w:id="1384" w:name="_Toc30179"/>
      <w:bookmarkStart w:id="1385" w:name="_Toc19776"/>
      <w:bookmarkStart w:id="1386" w:name="_Toc14328"/>
      <w:bookmarkStart w:id="1387" w:name="_Toc12082"/>
      <w:bookmarkStart w:id="1388" w:name="_Toc8486"/>
      <w:bookmarkStart w:id="1389" w:name="_Toc4016"/>
      <w:bookmarkStart w:id="1390" w:name="_Toc6795"/>
      <w:bookmarkEnd w:id="1372"/>
      <w:r>
        <w:t xml:space="preserve"> - </w:t>
      </w:r>
      <w:r>
        <w:rPr>
          <w:rFonts w:cs="Times New Roman"/>
          <w:bCs/>
        </w:rPr>
        <w:t>Propagarea incendiilor de la un nivel la altul (pe faţade sau prin interior)</w:t>
      </w:r>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p>
    <w:p w14:paraId="00DAF1E6" w14:textId="77777777" w:rsidR="001C08A5" w:rsidRDefault="001C08A5">
      <w:pPr>
        <w:jc w:val="both"/>
        <w:rPr>
          <w:sz w:val="24"/>
          <w:szCs w:val="24"/>
        </w:rPr>
      </w:pPr>
    </w:p>
    <w:p w14:paraId="6A7EBBC6" w14:textId="77777777" w:rsidR="001C08A5" w:rsidRDefault="00000000">
      <w:pPr>
        <w:ind w:firstLine="720"/>
        <w:jc w:val="both"/>
        <w:rPr>
          <w:sz w:val="24"/>
          <w:szCs w:val="24"/>
        </w:rPr>
      </w:pPr>
      <w:r>
        <w:rPr>
          <w:b/>
          <w:sz w:val="24"/>
          <w:szCs w:val="24"/>
        </w:rPr>
        <w:t>Art. 2.3.6.1.2. (1)</w:t>
      </w:r>
      <w:r>
        <w:rPr>
          <w:sz w:val="24"/>
          <w:szCs w:val="24"/>
        </w:rPr>
        <w:t xml:space="preserve"> Pentru întârzierea propagării incendiilor între nivelurile construcţieise va adopta una din următoarele soluții:</w:t>
      </w:r>
    </w:p>
    <w:p w14:paraId="1AF6961E" w14:textId="77777777" w:rsidR="001C08A5" w:rsidRDefault="00000000">
      <w:pPr>
        <w:numPr>
          <w:ilvl w:val="0"/>
          <w:numId w:val="40"/>
        </w:numPr>
        <w:jc w:val="both"/>
        <w:rPr>
          <w:sz w:val="24"/>
          <w:szCs w:val="24"/>
        </w:rPr>
      </w:pPr>
      <w:r>
        <w:rPr>
          <w:sz w:val="24"/>
          <w:szCs w:val="24"/>
        </w:rPr>
        <w:t xml:space="preserve">tâmplărie cu elemente vitrate fără performanțe la foc montată pe parapeți - pereți exteriori (neportanți) și/sau părți din pereții exteriori (neportanți) rezistenți la foc clasificați din exterior spre interior </w:t>
      </w:r>
      <w:r>
        <w:rPr>
          <w:b/>
          <w:bCs/>
          <w:sz w:val="24"/>
          <w:szCs w:val="24"/>
        </w:rPr>
        <w:t>(o</w:t>
      </w:r>
      <w:r>
        <w:rPr>
          <w:rFonts w:hint="eastAsia"/>
          <w:b/>
          <w:bCs/>
          <w:sz w:val="24"/>
          <w:szCs w:val="24"/>
        </w:rPr>
        <w:t>→</w:t>
      </w:r>
      <w:r>
        <w:rPr>
          <w:b/>
          <w:bCs/>
          <w:sz w:val="24"/>
          <w:szCs w:val="24"/>
        </w:rPr>
        <w:t>i)</w:t>
      </w:r>
      <w:r>
        <w:rPr>
          <w:sz w:val="24"/>
          <w:szCs w:val="24"/>
        </w:rPr>
        <w:t>;</w:t>
      </w:r>
    </w:p>
    <w:p w14:paraId="00E9AD28" w14:textId="77777777" w:rsidR="001C08A5" w:rsidRDefault="00000000">
      <w:pPr>
        <w:numPr>
          <w:ilvl w:val="0"/>
          <w:numId w:val="40"/>
        </w:numPr>
        <w:jc w:val="both"/>
        <w:rPr>
          <w:sz w:val="24"/>
          <w:szCs w:val="24"/>
        </w:rPr>
      </w:pPr>
      <w:r>
        <w:rPr>
          <w:sz w:val="24"/>
          <w:szCs w:val="24"/>
        </w:rPr>
        <w:t>zone continui dispuse în planul peretelui cortină, rezistente la foc clasificate din exterior spre interior</w:t>
      </w:r>
      <w:r>
        <w:rPr>
          <w:b/>
          <w:sz w:val="24"/>
          <w:szCs w:val="24"/>
        </w:rPr>
        <w:t xml:space="preserve"> (o</w:t>
      </w:r>
      <w:r>
        <w:rPr>
          <w:rFonts w:hint="eastAsia"/>
          <w:b/>
          <w:sz w:val="24"/>
          <w:szCs w:val="24"/>
        </w:rPr>
        <w:t>→</w:t>
      </w:r>
      <w:r>
        <w:rPr>
          <w:b/>
          <w:sz w:val="24"/>
          <w:szCs w:val="24"/>
        </w:rPr>
        <w:t>i)</w:t>
      </w:r>
      <w:r>
        <w:rPr>
          <w:sz w:val="24"/>
          <w:szCs w:val="24"/>
        </w:rPr>
        <w:t>;</w:t>
      </w:r>
    </w:p>
    <w:p w14:paraId="1FA48A1C" w14:textId="77777777" w:rsidR="001C08A5" w:rsidRDefault="00000000">
      <w:pPr>
        <w:numPr>
          <w:ilvl w:val="0"/>
          <w:numId w:val="40"/>
        </w:numPr>
        <w:jc w:val="both"/>
        <w:rPr>
          <w:sz w:val="24"/>
          <w:szCs w:val="24"/>
        </w:rPr>
      </w:pPr>
      <w:r>
        <w:rPr>
          <w:sz w:val="24"/>
          <w:szCs w:val="24"/>
        </w:rPr>
        <w:t xml:space="preserve">perete cortină sau panou de tâmplărie </w:t>
      </w:r>
      <w:r>
        <w:rPr>
          <w:b/>
          <w:sz w:val="24"/>
          <w:szCs w:val="24"/>
        </w:rPr>
        <w:t>(</w:t>
      </w:r>
      <w:r>
        <w:rPr>
          <w:sz w:val="24"/>
          <w:szCs w:val="24"/>
        </w:rPr>
        <w:t xml:space="preserve">minimum </w:t>
      </w:r>
      <w:r>
        <w:rPr>
          <w:b/>
          <w:sz w:val="24"/>
          <w:szCs w:val="24"/>
        </w:rPr>
        <w:t xml:space="preserve">EI30, </w:t>
      </w:r>
      <w:r>
        <w:rPr>
          <w:sz w:val="24"/>
          <w:szCs w:val="24"/>
        </w:rPr>
        <w:t xml:space="preserve">integral </w:t>
      </w:r>
      <w:r>
        <w:rPr>
          <w:b/>
          <w:sz w:val="24"/>
          <w:szCs w:val="24"/>
        </w:rPr>
        <w:t>(o↔i))</w:t>
      </w:r>
      <w:r>
        <w:rPr>
          <w:bCs/>
          <w:sz w:val="24"/>
          <w:szCs w:val="24"/>
        </w:rPr>
        <w:t>rezistent la foc;</w:t>
      </w:r>
    </w:p>
    <w:p w14:paraId="06531EF5" w14:textId="77777777" w:rsidR="001C08A5" w:rsidRDefault="00000000">
      <w:pPr>
        <w:numPr>
          <w:ilvl w:val="0"/>
          <w:numId w:val="40"/>
        </w:numPr>
        <w:jc w:val="both"/>
        <w:rPr>
          <w:bCs/>
          <w:sz w:val="24"/>
          <w:szCs w:val="24"/>
        </w:rPr>
      </w:pPr>
      <w:r>
        <w:rPr>
          <w:bCs/>
          <w:sz w:val="24"/>
          <w:szCs w:val="24"/>
        </w:rPr>
        <w:t xml:space="preserve"> zone continui (ecrane) de protecție clasificate </w:t>
      </w:r>
      <w:r>
        <w:rPr>
          <w:b/>
          <w:sz w:val="24"/>
          <w:szCs w:val="24"/>
        </w:rPr>
        <w:t>D</w:t>
      </w:r>
      <w:r>
        <w:rPr>
          <w:b/>
          <w:sz w:val="24"/>
          <w:szCs w:val="24"/>
          <w:vertAlign w:val="subscript"/>
        </w:rPr>
        <w:t xml:space="preserve">600 </w:t>
      </w:r>
      <w:r>
        <w:rPr>
          <w:bCs/>
          <w:sz w:val="24"/>
          <w:szCs w:val="24"/>
        </w:rPr>
        <w:t>sau</w:t>
      </w:r>
      <w:r>
        <w:rPr>
          <w:b/>
          <w:sz w:val="24"/>
          <w:szCs w:val="24"/>
        </w:rPr>
        <w:t xml:space="preserve"> DH</w:t>
      </w:r>
      <w:r>
        <w:rPr>
          <w:bCs/>
          <w:sz w:val="24"/>
          <w:szCs w:val="24"/>
        </w:rPr>
        <w:t>;</w:t>
      </w:r>
    </w:p>
    <w:p w14:paraId="3DD74042" w14:textId="77777777" w:rsidR="001C08A5" w:rsidRDefault="00000000">
      <w:pPr>
        <w:numPr>
          <w:ilvl w:val="0"/>
          <w:numId w:val="40"/>
        </w:numPr>
        <w:jc w:val="both"/>
        <w:rPr>
          <w:bCs/>
          <w:sz w:val="24"/>
          <w:szCs w:val="24"/>
        </w:rPr>
      </w:pPr>
      <w:r>
        <w:rPr>
          <w:bCs/>
          <w:sz w:val="24"/>
          <w:szCs w:val="24"/>
        </w:rPr>
        <w:t xml:space="preserve">sisteme active de stingere a incendiilor (perdea de apă) amplasate în interior, la o distanță de maximum </w:t>
      </w:r>
      <w:r>
        <w:rPr>
          <w:b/>
          <w:sz w:val="24"/>
          <w:szCs w:val="24"/>
        </w:rPr>
        <w:t>30 cm</w:t>
      </w:r>
      <w:r>
        <w:rPr>
          <w:bCs/>
          <w:sz w:val="24"/>
          <w:szCs w:val="24"/>
        </w:rPr>
        <w:t xml:space="preserve"> de închiderea perimetrală.</w:t>
      </w:r>
    </w:p>
    <w:p w14:paraId="05C8FC5C" w14:textId="77777777" w:rsidR="001C08A5" w:rsidRDefault="00000000">
      <w:pPr>
        <w:jc w:val="both"/>
        <w:rPr>
          <w:bCs/>
          <w:sz w:val="24"/>
          <w:szCs w:val="24"/>
        </w:rPr>
      </w:pPr>
      <w:r>
        <w:rPr>
          <w:sz w:val="24"/>
          <w:szCs w:val="24"/>
        </w:rPr>
        <w:t xml:space="preserve">Spaţiile libere dintre planşee și peretele cortină se etanşează cu sisteme de etanșare rezistente la foc clasificate, având aceeași rezistență la foc cu a planșeului, dar nu mai mult de </w:t>
      </w:r>
      <w:r>
        <w:rPr>
          <w:b/>
          <w:bCs/>
          <w:sz w:val="24"/>
          <w:szCs w:val="24"/>
        </w:rPr>
        <w:t>120</w:t>
      </w:r>
      <w:r>
        <w:rPr>
          <w:sz w:val="24"/>
          <w:szCs w:val="24"/>
        </w:rPr>
        <w:t xml:space="preserve"> de minute.</w:t>
      </w:r>
    </w:p>
    <w:p w14:paraId="0A85FF16" w14:textId="77777777" w:rsidR="001C08A5" w:rsidRDefault="00000000">
      <w:pPr>
        <w:ind w:firstLine="720"/>
        <w:jc w:val="both"/>
        <w:rPr>
          <w:b/>
          <w:sz w:val="24"/>
          <w:szCs w:val="24"/>
        </w:rPr>
      </w:pPr>
      <w:r>
        <w:rPr>
          <w:b/>
          <w:sz w:val="24"/>
          <w:szCs w:val="24"/>
        </w:rPr>
        <w:t>(2)</w:t>
      </w:r>
      <w:r>
        <w:rPr>
          <w:sz w:val="24"/>
          <w:szCs w:val="24"/>
        </w:rPr>
        <w:t xml:space="preserve"> Zonele verticale pentru întârzierea propagării incendiilor prin exteriorul închiderilor perimetrale ale construcţiei (pe faţadă), pot fi înlocuite de zone orizontale exterioare continui rezistente la foc clasificate pe criteriul </w:t>
      </w:r>
      <w:r>
        <w:rPr>
          <w:b/>
          <w:sz w:val="24"/>
          <w:szCs w:val="24"/>
        </w:rPr>
        <w:t xml:space="preserve">RE </w:t>
      </w:r>
      <w:r>
        <w:rPr>
          <w:bCs/>
          <w:sz w:val="24"/>
          <w:szCs w:val="24"/>
        </w:rPr>
        <w:t xml:space="preserve">dacă sunt necirculabile sau </w:t>
      </w:r>
      <w:r>
        <w:rPr>
          <w:b/>
          <w:sz w:val="24"/>
          <w:szCs w:val="24"/>
        </w:rPr>
        <w:t xml:space="preserve">REI </w:t>
      </w:r>
      <w:r>
        <w:rPr>
          <w:bCs/>
          <w:sz w:val="24"/>
          <w:szCs w:val="24"/>
        </w:rPr>
        <w:t>dacă sunt circulabile</w:t>
      </w:r>
      <w:r>
        <w:rPr>
          <w:b/>
          <w:sz w:val="24"/>
          <w:szCs w:val="24"/>
        </w:rPr>
        <w:t>.</w:t>
      </w:r>
    </w:p>
    <w:p w14:paraId="5197A22B" w14:textId="77777777" w:rsidR="001C08A5" w:rsidRDefault="00000000">
      <w:pPr>
        <w:ind w:firstLine="720"/>
        <w:jc w:val="both"/>
        <w:rPr>
          <w:sz w:val="24"/>
          <w:szCs w:val="24"/>
        </w:rPr>
      </w:pPr>
      <w:r>
        <w:rPr>
          <w:b/>
          <w:sz w:val="24"/>
          <w:szCs w:val="24"/>
        </w:rPr>
        <w:t>(3)</w:t>
      </w:r>
      <w:r>
        <w:rPr>
          <w:sz w:val="24"/>
          <w:szCs w:val="24"/>
        </w:rPr>
        <w:t xml:space="preserve"> Măsurile pasive prevăzute pentru întârzierea propagării incendiilor prin exteriorul  închiderii perimetrale (pe faţadă) precum și prin interiorul construcției vor avea rezistența la foc mai mare sau egală de </w:t>
      </w:r>
      <w:r>
        <w:rPr>
          <w:b/>
          <w:bCs/>
          <w:sz w:val="24"/>
          <w:szCs w:val="24"/>
        </w:rPr>
        <w:t>30</w:t>
      </w:r>
      <w:r>
        <w:rPr>
          <w:sz w:val="24"/>
          <w:szCs w:val="24"/>
        </w:rPr>
        <w:t xml:space="preserve"> de minute, cu excepțiile prevăzute (privind clădirile de locuit reprezentând </w:t>
      </w:r>
      <w:r>
        <w:rPr>
          <w:sz w:val="24"/>
          <w:szCs w:val="24"/>
        </w:rPr>
        <w:lastRenderedPageBreak/>
        <w:t xml:space="preserve">unități individuale precum și condominiul format din una sau mai multe construcții, cu înăltimea </w:t>
      </w:r>
      <w:r>
        <w:rPr>
          <w:b/>
          <w:bCs/>
          <w:sz w:val="24"/>
          <w:szCs w:val="24"/>
        </w:rPr>
        <w:t>h &lt; 8 m</w:t>
      </w:r>
      <w:r>
        <w:rPr>
          <w:sz w:val="24"/>
          <w:szCs w:val="24"/>
        </w:rPr>
        <w:t>, unde ”</w:t>
      </w:r>
      <w:r>
        <w:rPr>
          <w:b/>
          <w:bCs/>
          <w:sz w:val="24"/>
          <w:szCs w:val="24"/>
        </w:rPr>
        <w:t>h</w:t>
      </w:r>
      <w:r>
        <w:rPr>
          <w:sz w:val="24"/>
          <w:szCs w:val="24"/>
        </w:rPr>
        <w:t>” reprezintă cota ultimului planșeu accesibil al constructiei, față de nivelul de referință).</w:t>
      </w:r>
    </w:p>
    <w:p w14:paraId="413527C8" w14:textId="77777777" w:rsidR="001C08A5" w:rsidRDefault="00000000">
      <w:pPr>
        <w:ind w:firstLine="720"/>
        <w:jc w:val="both"/>
        <w:rPr>
          <w:sz w:val="24"/>
          <w:szCs w:val="24"/>
        </w:rPr>
      </w:pPr>
      <w:r>
        <w:rPr>
          <w:b/>
          <w:sz w:val="24"/>
          <w:szCs w:val="24"/>
        </w:rPr>
        <w:t>(4)</w:t>
      </w:r>
      <w:r>
        <w:rPr>
          <w:sz w:val="24"/>
          <w:szCs w:val="24"/>
        </w:rPr>
        <w:t xml:space="preserve"> Ancorarea de structura clădirii a pereților cortină trebuie să respecte condițiile impuse peretelui cortină, condiții prevăzute în fișele tehnice din documentele de calitate specifice.</w:t>
      </w:r>
    </w:p>
    <w:p w14:paraId="2F440D88" w14:textId="77777777" w:rsidR="001C08A5" w:rsidRDefault="00000000">
      <w:pPr>
        <w:ind w:firstLine="720"/>
        <w:jc w:val="both"/>
        <w:rPr>
          <w:sz w:val="24"/>
          <w:szCs w:val="24"/>
        </w:rPr>
      </w:pPr>
      <w:r>
        <w:rPr>
          <w:b/>
          <w:bCs/>
          <w:sz w:val="24"/>
          <w:szCs w:val="24"/>
        </w:rPr>
        <w:t>(5)</w:t>
      </w:r>
      <w:r>
        <w:rPr>
          <w:sz w:val="24"/>
          <w:szCs w:val="24"/>
        </w:rPr>
        <w:t xml:space="preserve"> În cazurile în care se precizează explicit, se pot însuma elementele verticale cu elementele orizontale având aceeași rezistență la foc (aceeași perioadă de timp) conform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rPr>
          <w:b/>
          <w:bCs/>
          <w:i/>
          <w:iCs/>
          <w:sz w:val="24"/>
          <w:szCs w:val="24"/>
        </w:rPr>
        <w:t>Tabelul 42</w:t>
      </w:r>
      <w:r>
        <w:rPr>
          <w:b/>
          <w:bCs/>
          <w:i/>
          <w:iCs/>
          <w:sz w:val="24"/>
          <w:szCs w:val="24"/>
        </w:rPr>
        <w:fldChar w:fldCharType="end"/>
      </w:r>
      <w:r>
        <w:rPr>
          <w:sz w:val="24"/>
          <w:szCs w:val="24"/>
        </w:rPr>
        <w:t xml:space="preserve"> , iar în cazurile în care însumarea nu este permisă se vor adopta măsuri conform</w:t>
      </w:r>
      <w:r>
        <w:rPr>
          <w:bCs/>
          <w:sz w:val="24"/>
          <w:szCs w:val="24"/>
        </w:rPr>
        <w:fldChar w:fldCharType="begin"/>
      </w:r>
      <w:r>
        <w:rPr>
          <w:bCs/>
          <w:sz w:val="24"/>
          <w:szCs w:val="24"/>
        </w:rPr>
        <w:instrText xml:space="preserve"> REF _Ref13480 \h </w:instrText>
      </w:r>
      <w:r>
        <w:rPr>
          <w:bCs/>
          <w:sz w:val="24"/>
          <w:szCs w:val="24"/>
        </w:rPr>
      </w:r>
      <w:r>
        <w:rPr>
          <w:bCs/>
          <w:sz w:val="24"/>
          <w:szCs w:val="24"/>
        </w:rPr>
        <w:fldChar w:fldCharType="separate"/>
      </w:r>
      <w:r>
        <w:rPr>
          <w:bCs/>
          <w:sz w:val="24"/>
          <w:szCs w:val="24"/>
        </w:rPr>
        <w:t xml:space="preserve"> </w:t>
      </w:r>
      <w:r>
        <w:rPr>
          <w:b/>
          <w:bCs/>
          <w:i/>
          <w:iCs/>
          <w:sz w:val="24"/>
          <w:szCs w:val="24"/>
        </w:rPr>
        <w:t>Figura 43</w:t>
      </w:r>
      <w:r>
        <w:rPr>
          <w:b/>
          <w:bCs/>
          <w:i/>
          <w:iCs/>
          <w:sz w:val="24"/>
          <w:szCs w:val="24"/>
        </w:rPr>
        <w:fldChar w:fldCharType="end"/>
      </w:r>
      <w:r>
        <w:rPr>
          <w:b/>
          <w:bCs/>
          <w:i/>
          <w:iCs/>
          <w:sz w:val="24"/>
          <w:szCs w:val="24"/>
        </w:rPr>
        <w:t xml:space="preserve"> </w:t>
      </w:r>
      <w:r>
        <w:rPr>
          <w:sz w:val="24"/>
          <w:szCs w:val="24"/>
        </w:rPr>
        <w:t>sau conform cazuri specifice.</w:t>
      </w:r>
    </w:p>
    <w:p w14:paraId="60C7E722" w14:textId="77777777" w:rsidR="001C08A5" w:rsidRDefault="001C08A5">
      <w:pPr>
        <w:pStyle w:val="Caption"/>
        <w:jc w:val="center"/>
      </w:pPr>
      <w:bookmarkStart w:id="1391" w:name="_Ref26697"/>
    </w:p>
    <w:p w14:paraId="6FFADD30" w14:textId="77777777" w:rsidR="001C08A5" w:rsidRDefault="00000000">
      <w:pPr>
        <w:pStyle w:val="Caption"/>
        <w:jc w:val="center"/>
      </w:pPr>
      <w:r>
        <w:rPr>
          <w:noProof/>
        </w:rPr>
        <w:drawing>
          <wp:inline distT="0" distB="0" distL="114300" distR="114300" wp14:anchorId="583A1E7B" wp14:editId="48B0423B">
            <wp:extent cx="3394075" cy="1479550"/>
            <wp:effectExtent l="0" t="0" r="15875" b="6350"/>
            <wp:docPr id="4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16"/>
                    <pic:cNvPicPr>
                      <a:picLocks noChangeAspect="1"/>
                    </pic:cNvPicPr>
                  </pic:nvPicPr>
                  <pic:blipFill>
                    <a:blip r:embed="rId132"/>
                    <a:srcRect l="33207" t="21667" r="21858" b="20373"/>
                    <a:stretch>
                      <a:fillRect/>
                    </a:stretch>
                  </pic:blipFill>
                  <pic:spPr>
                    <a:xfrm>
                      <a:off x="0" y="0"/>
                      <a:ext cx="3394075" cy="1479550"/>
                    </a:xfrm>
                    <a:prstGeom prst="rect">
                      <a:avLst/>
                    </a:prstGeom>
                    <a:noFill/>
                    <a:ln>
                      <a:noFill/>
                    </a:ln>
                  </pic:spPr>
                </pic:pic>
              </a:graphicData>
            </a:graphic>
          </wp:inline>
        </w:drawing>
      </w:r>
    </w:p>
    <w:p w14:paraId="0604727A" w14:textId="77777777" w:rsidR="001C08A5" w:rsidRDefault="00000000">
      <w:pPr>
        <w:pStyle w:val="Caption"/>
        <w:jc w:val="center"/>
      </w:pPr>
      <w:bookmarkStart w:id="1392" w:name="_Toc162360266"/>
      <w:r>
        <w:t xml:space="preserve">Figura </w:t>
      </w:r>
      <w:r>
        <w:fldChar w:fldCharType="begin"/>
      </w:r>
      <w:r>
        <w:instrText xml:space="preserve"> SEQ Figura \* ARABIC </w:instrText>
      </w:r>
      <w:r>
        <w:fldChar w:fldCharType="separate"/>
      </w:r>
      <w:r>
        <w:t>42</w:t>
      </w:r>
      <w:r>
        <w:fldChar w:fldCharType="end"/>
      </w:r>
      <w:bookmarkStart w:id="1393" w:name="_Toc31275"/>
      <w:bookmarkStart w:id="1394" w:name="_Toc11606"/>
      <w:bookmarkStart w:id="1395" w:name="_Toc27491"/>
      <w:bookmarkStart w:id="1396" w:name="_Toc1381"/>
      <w:bookmarkStart w:id="1397" w:name="_Toc19096"/>
      <w:bookmarkStart w:id="1398" w:name="_Toc16049"/>
      <w:bookmarkStart w:id="1399" w:name="_Toc9614"/>
      <w:bookmarkStart w:id="1400" w:name="_Toc4132"/>
      <w:bookmarkStart w:id="1401" w:name="_Toc206"/>
      <w:bookmarkStart w:id="1402" w:name="_Toc12072"/>
      <w:bookmarkStart w:id="1403" w:name="_Toc3558"/>
      <w:bookmarkStart w:id="1404" w:name="_Toc7080"/>
      <w:bookmarkStart w:id="1405" w:name="_Toc7042"/>
      <w:bookmarkStart w:id="1406" w:name="_Toc16428"/>
      <w:bookmarkStart w:id="1407" w:name="_Toc29952"/>
      <w:bookmarkStart w:id="1408" w:name="_Toc22654"/>
      <w:bookmarkStart w:id="1409" w:name="_Toc24198"/>
      <w:r>
        <w:t xml:space="preserve"> - </w:t>
      </w:r>
      <w:r>
        <w:rPr>
          <w:rFonts w:cs="Times New Roman"/>
          <w:bCs/>
        </w:rPr>
        <w:t>Concept însumare elemente verticale cu elementele orizontale având</w:t>
      </w:r>
      <w:bookmarkEnd w:id="1393"/>
      <w:bookmarkEnd w:id="1394"/>
      <w:bookmarkEnd w:id="1395"/>
      <w:bookmarkEnd w:id="1396"/>
      <w:bookmarkEnd w:id="1397"/>
      <w:bookmarkEnd w:id="1398"/>
      <w:bookmarkEnd w:id="1399"/>
      <w:bookmarkEnd w:id="1400"/>
      <w:bookmarkEnd w:id="1401"/>
      <w:r>
        <w:rPr>
          <w:rFonts w:cs="Times New Roman"/>
          <w:bCs/>
        </w:rPr>
        <w:t xml:space="preserve"> </w:t>
      </w:r>
      <w:r>
        <w:rPr>
          <w:bCs/>
        </w:rPr>
        <w:t xml:space="preserve">aceeași rezistentă la foc </w:t>
      </w:r>
      <w:r>
        <w:t>(caz general)</w:t>
      </w:r>
      <w:bookmarkEnd w:id="1391"/>
      <w:bookmarkEnd w:id="1392"/>
      <w:bookmarkEnd w:id="1402"/>
      <w:bookmarkEnd w:id="1403"/>
      <w:bookmarkEnd w:id="1404"/>
      <w:bookmarkEnd w:id="1405"/>
      <w:bookmarkEnd w:id="1406"/>
      <w:bookmarkEnd w:id="1407"/>
      <w:bookmarkEnd w:id="1408"/>
      <w:bookmarkEnd w:id="1409"/>
    </w:p>
    <w:p w14:paraId="73A8657E" w14:textId="77777777" w:rsidR="001C08A5" w:rsidRDefault="00000000">
      <w:pPr>
        <w:pStyle w:val="Caption"/>
        <w:jc w:val="center"/>
      </w:pPr>
      <w:bookmarkStart w:id="1410" w:name="_Ref13480"/>
      <w:bookmarkStart w:id="1411" w:name="_Toc15003"/>
      <w:bookmarkStart w:id="1412" w:name="_Toc21344"/>
      <w:bookmarkStart w:id="1413" w:name="_Toc31963"/>
      <w:bookmarkStart w:id="1414" w:name="_Toc26798"/>
      <w:bookmarkStart w:id="1415" w:name="_Toc13793"/>
      <w:bookmarkStart w:id="1416" w:name="_Toc25488"/>
      <w:r>
        <w:rPr>
          <w:noProof/>
        </w:rPr>
        <w:drawing>
          <wp:inline distT="0" distB="0" distL="114300" distR="114300" wp14:anchorId="2CE99A57" wp14:editId="18D2CB55">
            <wp:extent cx="5134610" cy="2367915"/>
            <wp:effectExtent l="0" t="0" r="8890" b="13335"/>
            <wp:docPr id="4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17"/>
                    <pic:cNvPicPr>
                      <a:picLocks noChangeAspect="1"/>
                    </pic:cNvPicPr>
                  </pic:nvPicPr>
                  <pic:blipFill>
                    <a:blip r:embed="rId133"/>
                    <a:srcRect l="20609" t="13067" r="11373" b="16106"/>
                    <a:stretch>
                      <a:fillRect/>
                    </a:stretch>
                  </pic:blipFill>
                  <pic:spPr>
                    <a:xfrm>
                      <a:off x="0" y="0"/>
                      <a:ext cx="5134610" cy="2367915"/>
                    </a:xfrm>
                    <a:prstGeom prst="rect">
                      <a:avLst/>
                    </a:prstGeom>
                    <a:noFill/>
                    <a:ln>
                      <a:noFill/>
                    </a:ln>
                  </pic:spPr>
                </pic:pic>
              </a:graphicData>
            </a:graphic>
          </wp:inline>
        </w:drawing>
      </w:r>
    </w:p>
    <w:p w14:paraId="1E4A954D" w14:textId="77777777" w:rsidR="001C08A5" w:rsidRDefault="00000000">
      <w:pPr>
        <w:pStyle w:val="Caption"/>
        <w:jc w:val="center"/>
        <w:rPr>
          <w:rFonts w:cs="Times New Roman"/>
          <w:bCs/>
        </w:rPr>
      </w:pPr>
      <w:bookmarkStart w:id="1417" w:name="_Toc162360267"/>
      <w:r>
        <w:t xml:space="preserve">Figura </w:t>
      </w:r>
      <w:r>
        <w:fldChar w:fldCharType="begin"/>
      </w:r>
      <w:r>
        <w:instrText xml:space="preserve"> SEQ Figura \* ARABIC </w:instrText>
      </w:r>
      <w:r>
        <w:fldChar w:fldCharType="separate"/>
      </w:r>
      <w:r>
        <w:t>43</w:t>
      </w:r>
      <w:r>
        <w:fldChar w:fldCharType="end"/>
      </w:r>
      <w:bookmarkStart w:id="1418" w:name="_Toc4663"/>
      <w:bookmarkStart w:id="1419" w:name="_Toc7841"/>
      <w:bookmarkStart w:id="1420" w:name="_Toc19708"/>
      <w:bookmarkStart w:id="1421" w:name="_Toc29999"/>
      <w:bookmarkStart w:id="1422" w:name="_Toc15318"/>
      <w:bookmarkStart w:id="1423" w:name="_Toc23062"/>
      <w:bookmarkStart w:id="1424" w:name="_Toc1314"/>
      <w:bookmarkStart w:id="1425" w:name="_Toc748"/>
      <w:bookmarkStart w:id="1426" w:name="_Toc19156"/>
      <w:bookmarkStart w:id="1427" w:name="_Toc10273"/>
      <w:bookmarkStart w:id="1428" w:name="_Toc17907"/>
      <w:bookmarkEnd w:id="1410"/>
      <w:r>
        <w:t xml:space="preserve"> - </w:t>
      </w:r>
      <w:r>
        <w:rPr>
          <w:rFonts w:cs="Times New Roman"/>
          <w:bCs/>
        </w:rPr>
        <w:t>Concept în care nu este permisă însumarea elementelor</w:t>
      </w:r>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p>
    <w:p w14:paraId="2E4E6EA2" w14:textId="77777777" w:rsidR="001C08A5" w:rsidRDefault="00000000">
      <w:pPr>
        <w:jc w:val="center"/>
        <w:rPr>
          <w:b/>
          <w:bCs/>
          <w:i/>
          <w:iCs/>
          <w:sz w:val="22"/>
          <w:szCs w:val="22"/>
        </w:rPr>
      </w:pPr>
      <w:r>
        <w:rPr>
          <w:i/>
          <w:iCs/>
          <w:sz w:val="22"/>
          <w:szCs w:val="22"/>
        </w:rPr>
        <w:t xml:space="preserve">(exemplu: caz specific pereți cortină: zone continui, cu înălţimea de cel puţin </w:t>
      </w:r>
      <w:r>
        <w:rPr>
          <w:b/>
          <w:bCs/>
          <w:i/>
          <w:iCs/>
          <w:sz w:val="22"/>
          <w:szCs w:val="22"/>
        </w:rPr>
        <w:t>1,20</w:t>
      </w:r>
      <w:r>
        <w:rPr>
          <w:i/>
          <w:iCs/>
          <w:sz w:val="22"/>
          <w:szCs w:val="22"/>
        </w:rPr>
        <w:t xml:space="preserve"> m măsurată pe verticală, rezistente la foc minimum </w:t>
      </w:r>
      <w:r>
        <w:rPr>
          <w:b/>
          <w:bCs/>
          <w:i/>
          <w:iCs/>
          <w:sz w:val="22"/>
          <w:szCs w:val="22"/>
        </w:rPr>
        <w:t>EI 30 (o→i)</w:t>
      </w:r>
      <w:r>
        <w:rPr>
          <w:i/>
          <w:iCs/>
          <w:sz w:val="22"/>
          <w:szCs w:val="22"/>
        </w:rPr>
        <w:t>, dispuse în planul peretelui cortină)</w:t>
      </w:r>
    </w:p>
    <w:p w14:paraId="11F71785" w14:textId="77777777" w:rsidR="001C08A5" w:rsidRDefault="001C08A5">
      <w:pPr>
        <w:ind w:firstLine="720"/>
        <w:jc w:val="both"/>
        <w:rPr>
          <w:sz w:val="24"/>
          <w:szCs w:val="24"/>
        </w:rPr>
      </w:pPr>
    </w:p>
    <w:p w14:paraId="4F4DF48D" w14:textId="77777777" w:rsidR="001C08A5" w:rsidRDefault="00000000">
      <w:pPr>
        <w:ind w:firstLine="720"/>
        <w:jc w:val="both"/>
        <w:rPr>
          <w:sz w:val="24"/>
          <w:szCs w:val="24"/>
        </w:rPr>
      </w:pPr>
      <w:r>
        <w:rPr>
          <w:b/>
          <w:sz w:val="24"/>
          <w:szCs w:val="24"/>
        </w:rPr>
        <w:t>Art. 2.3.6.1.3. (1)</w:t>
      </w:r>
      <w:r>
        <w:rPr>
          <w:sz w:val="24"/>
          <w:szCs w:val="24"/>
        </w:rPr>
        <w:t xml:space="preserve"> Pentru întârzierea propagării incendiilor între nivelurile construcţiilor prin exteriorul închiderii perimetrale (pe faţadă) și prin interiorul construcțiilor a:</w:t>
      </w:r>
    </w:p>
    <w:p w14:paraId="7CAB97A4" w14:textId="77777777" w:rsidR="001C08A5" w:rsidRDefault="00000000">
      <w:pPr>
        <w:jc w:val="both"/>
        <w:rPr>
          <w:sz w:val="24"/>
          <w:szCs w:val="24"/>
        </w:rPr>
      </w:pPr>
      <w:r>
        <w:rPr>
          <w:sz w:val="24"/>
          <w:szCs w:val="24"/>
        </w:rPr>
        <w:t>- clădirilor:</w:t>
      </w:r>
    </w:p>
    <w:p w14:paraId="5DE56749" w14:textId="77777777" w:rsidR="001C08A5" w:rsidRDefault="00000000">
      <w:pPr>
        <w:ind w:left="1440" w:firstLine="720"/>
        <w:jc w:val="both"/>
        <w:rPr>
          <w:sz w:val="24"/>
          <w:szCs w:val="24"/>
        </w:rPr>
      </w:pPr>
      <w:r>
        <w:rPr>
          <w:sz w:val="24"/>
          <w:szCs w:val="24"/>
        </w:rPr>
        <w:t xml:space="preserve">- cu săli aglomerate, </w:t>
      </w:r>
    </w:p>
    <w:p w14:paraId="44B84D56" w14:textId="77777777" w:rsidR="001C08A5" w:rsidRDefault="00000000">
      <w:pPr>
        <w:ind w:left="1440" w:firstLine="720"/>
        <w:jc w:val="both"/>
        <w:rPr>
          <w:sz w:val="24"/>
          <w:szCs w:val="24"/>
        </w:rPr>
      </w:pPr>
      <w:r>
        <w:rPr>
          <w:sz w:val="24"/>
          <w:szCs w:val="24"/>
        </w:rPr>
        <w:t xml:space="preserve">- cu persoane care nu se pot evacua singure,  </w:t>
      </w:r>
    </w:p>
    <w:p w14:paraId="6D7BB2B5" w14:textId="77777777" w:rsidR="001C08A5" w:rsidRDefault="00000000">
      <w:pPr>
        <w:ind w:left="1440" w:firstLine="720"/>
        <w:jc w:val="both"/>
        <w:rPr>
          <w:sz w:val="24"/>
          <w:szCs w:val="24"/>
        </w:rPr>
      </w:pPr>
      <w:r>
        <w:rPr>
          <w:sz w:val="24"/>
          <w:szCs w:val="24"/>
        </w:rPr>
        <w:t>- cu funcțiune de cazare temporară</w:t>
      </w:r>
    </w:p>
    <w:p w14:paraId="3D83BB1F" w14:textId="77777777" w:rsidR="001C08A5" w:rsidRDefault="00000000">
      <w:pPr>
        <w:ind w:left="1440" w:firstLine="720"/>
        <w:jc w:val="both"/>
        <w:rPr>
          <w:sz w:val="24"/>
          <w:szCs w:val="24"/>
        </w:rPr>
      </w:pPr>
      <w:r>
        <w:rPr>
          <w:sz w:val="24"/>
          <w:szCs w:val="24"/>
        </w:rPr>
        <w:t xml:space="preserve">- învăţămînt preşcolar, primar și secundar </w:t>
      </w:r>
    </w:p>
    <w:p w14:paraId="01AE675C" w14:textId="77777777" w:rsidR="001C08A5" w:rsidRDefault="00000000">
      <w:pPr>
        <w:jc w:val="both"/>
        <w:rPr>
          <w:sz w:val="24"/>
          <w:szCs w:val="24"/>
        </w:rPr>
      </w:pPr>
      <w:r>
        <w:rPr>
          <w:sz w:val="24"/>
          <w:szCs w:val="24"/>
        </w:rPr>
        <w:t xml:space="preserve">cu înăltimea </w:t>
      </w:r>
      <w:r>
        <w:rPr>
          <w:b/>
          <w:bCs/>
          <w:sz w:val="24"/>
          <w:szCs w:val="24"/>
        </w:rPr>
        <w:t>h ≥ 8 m</w:t>
      </w:r>
      <w:r>
        <w:rPr>
          <w:sz w:val="24"/>
          <w:szCs w:val="24"/>
        </w:rPr>
        <w:t xml:space="preserve"> (unde ”</w:t>
      </w:r>
      <w:r>
        <w:rPr>
          <w:b/>
          <w:bCs/>
          <w:sz w:val="24"/>
          <w:szCs w:val="24"/>
        </w:rPr>
        <w:t>h</w:t>
      </w:r>
      <w:r>
        <w:rPr>
          <w:sz w:val="24"/>
          <w:szCs w:val="24"/>
        </w:rPr>
        <w:t xml:space="preserve">” reprezintă cota ultimului planșeu folosibil al constructiei, față de nivelul de referință) </w:t>
      </w:r>
    </w:p>
    <w:p w14:paraId="1ABFF8C2" w14:textId="77777777" w:rsidR="001C08A5" w:rsidRDefault="00000000">
      <w:pPr>
        <w:ind w:left="1440" w:firstLine="720"/>
        <w:jc w:val="both"/>
        <w:rPr>
          <w:sz w:val="24"/>
          <w:szCs w:val="24"/>
        </w:rPr>
      </w:pPr>
      <w:r>
        <w:rPr>
          <w:sz w:val="24"/>
          <w:szCs w:val="24"/>
        </w:rPr>
        <w:t xml:space="preserve">precum și a </w:t>
      </w:r>
    </w:p>
    <w:p w14:paraId="51B6F721" w14:textId="77777777" w:rsidR="001C08A5" w:rsidRDefault="00000000">
      <w:pPr>
        <w:jc w:val="both"/>
        <w:rPr>
          <w:sz w:val="24"/>
          <w:szCs w:val="24"/>
        </w:rPr>
      </w:pPr>
      <w:r>
        <w:rPr>
          <w:sz w:val="24"/>
          <w:szCs w:val="24"/>
        </w:rPr>
        <w:t xml:space="preserve">- clădirilor cu alte funcțiuni decât cele enumerate anterior cu regim de înălțime </w:t>
      </w:r>
      <w:r>
        <w:rPr>
          <w:b/>
          <w:bCs/>
          <w:sz w:val="24"/>
          <w:szCs w:val="24"/>
        </w:rPr>
        <w:t>≥ P+5E</w:t>
      </w:r>
      <w:r>
        <w:rPr>
          <w:sz w:val="24"/>
          <w:szCs w:val="24"/>
        </w:rPr>
        <w:t xml:space="preserve"> sau cu înăltimea </w:t>
      </w:r>
      <w:r>
        <w:rPr>
          <w:b/>
          <w:bCs/>
          <w:sz w:val="24"/>
          <w:szCs w:val="24"/>
        </w:rPr>
        <w:t>h</w:t>
      </w:r>
      <w:r>
        <w:rPr>
          <w:sz w:val="24"/>
          <w:szCs w:val="24"/>
        </w:rPr>
        <w:t xml:space="preserve"> ≥ </w:t>
      </w:r>
      <w:r>
        <w:rPr>
          <w:b/>
          <w:bCs/>
          <w:sz w:val="24"/>
          <w:szCs w:val="24"/>
        </w:rPr>
        <w:t>20 m</w:t>
      </w:r>
      <w:r>
        <w:rPr>
          <w:sz w:val="24"/>
          <w:szCs w:val="24"/>
        </w:rPr>
        <w:t xml:space="preserve"> (unde </w:t>
      </w:r>
      <w:r>
        <w:rPr>
          <w:b/>
          <w:sz w:val="24"/>
          <w:szCs w:val="24"/>
        </w:rPr>
        <w:t>”h”</w:t>
      </w:r>
      <w:r>
        <w:rPr>
          <w:bCs/>
          <w:sz w:val="24"/>
          <w:szCs w:val="24"/>
        </w:rPr>
        <w:t xml:space="preserve"> reprezintă cota ultimului planșeu </w:t>
      </w:r>
      <w:r>
        <w:rPr>
          <w:sz w:val="24"/>
          <w:szCs w:val="24"/>
        </w:rPr>
        <w:t>folosibil</w:t>
      </w:r>
      <w:r>
        <w:rPr>
          <w:bCs/>
          <w:sz w:val="24"/>
          <w:szCs w:val="24"/>
        </w:rPr>
        <w:t xml:space="preserve"> al </w:t>
      </w:r>
      <w:r>
        <w:rPr>
          <w:sz w:val="24"/>
          <w:szCs w:val="24"/>
        </w:rPr>
        <w:t xml:space="preserve">constructiei, față de nivelul de referință), </w:t>
      </w:r>
    </w:p>
    <w:p w14:paraId="733396DC" w14:textId="77777777" w:rsidR="001C08A5" w:rsidRDefault="00000000">
      <w:pPr>
        <w:jc w:val="both"/>
        <w:rPr>
          <w:sz w:val="24"/>
          <w:szCs w:val="24"/>
        </w:rPr>
      </w:pPr>
      <w:r>
        <w:rPr>
          <w:sz w:val="24"/>
          <w:szCs w:val="24"/>
        </w:rPr>
        <w:t>se poate adopta una din următoarele măsuri:</w:t>
      </w:r>
    </w:p>
    <w:p w14:paraId="1D2F6904" w14:textId="77777777" w:rsidR="001C08A5" w:rsidRDefault="00000000">
      <w:pPr>
        <w:ind w:left="720" w:firstLine="720"/>
        <w:jc w:val="both"/>
        <w:rPr>
          <w:sz w:val="24"/>
          <w:szCs w:val="24"/>
        </w:rPr>
      </w:pPr>
      <w:r>
        <w:rPr>
          <w:sz w:val="24"/>
          <w:szCs w:val="24"/>
        </w:rPr>
        <w:lastRenderedPageBreak/>
        <w:t>a. pereții exteriori (neportanți) și/sau părțile din pereții exteriori rezistenți la foccare includ tâmplărie cu elemente vitrate fără performanțe la foc (</w:t>
      </w:r>
      <w:r>
        <w:rPr>
          <w:b/>
          <w:bCs/>
          <w:i/>
          <w:iCs/>
          <w:sz w:val="24"/>
          <w:szCs w:val="24"/>
        </w:rPr>
        <w:fldChar w:fldCharType="begin"/>
      </w:r>
      <w:r>
        <w:rPr>
          <w:b/>
          <w:bCs/>
          <w:i/>
          <w:iCs/>
          <w:sz w:val="24"/>
          <w:szCs w:val="24"/>
        </w:rPr>
        <w:instrText xml:space="preserve"> REF _Ref13539 \h </w:instrText>
      </w:r>
      <w:r>
        <w:rPr>
          <w:b/>
          <w:bCs/>
          <w:i/>
          <w:iCs/>
          <w:sz w:val="24"/>
          <w:szCs w:val="24"/>
        </w:rPr>
      </w:r>
      <w:r>
        <w:rPr>
          <w:b/>
          <w:bCs/>
          <w:i/>
          <w:iCs/>
          <w:sz w:val="24"/>
          <w:szCs w:val="24"/>
        </w:rPr>
        <w:fldChar w:fldCharType="separate"/>
      </w:r>
      <w:r>
        <w:t>Figura 44</w:t>
      </w:r>
      <w:r>
        <w:rPr>
          <w:b/>
          <w:bCs/>
          <w:i/>
          <w:iCs/>
          <w:sz w:val="24"/>
          <w:szCs w:val="24"/>
        </w:rPr>
        <w:fldChar w:fldCharType="end"/>
      </w:r>
      <w:r>
        <w:rPr>
          <w:sz w:val="24"/>
          <w:szCs w:val="24"/>
        </w:rPr>
        <w:t>) trebuie să îndeplinească următoarele criterii :</w:t>
      </w:r>
    </w:p>
    <w:p w14:paraId="3EDC71EE" w14:textId="77777777" w:rsidR="001C08A5" w:rsidRDefault="00000000">
      <w:pPr>
        <w:numPr>
          <w:ilvl w:val="0"/>
          <w:numId w:val="41"/>
        </w:numPr>
        <w:tabs>
          <w:tab w:val="clear" w:pos="1680"/>
        </w:tabs>
        <w:ind w:left="2100"/>
        <w:jc w:val="both"/>
        <w:rPr>
          <w:sz w:val="24"/>
          <w:szCs w:val="24"/>
        </w:rPr>
      </w:pPr>
      <w:r>
        <w:rPr>
          <w:sz w:val="24"/>
          <w:szCs w:val="24"/>
        </w:rPr>
        <w:t>la clădiri cu înălțime obișnuită:</w:t>
      </w:r>
    </w:p>
    <w:p w14:paraId="2A0B8922"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w:t>
      </w:r>
    </w:p>
    <w:p w14:paraId="1798B6BE" w14:textId="77777777" w:rsidR="001C08A5" w:rsidRDefault="00000000">
      <w:pPr>
        <w:ind w:left="2160" w:firstLine="720"/>
        <w:jc w:val="both"/>
        <w:rPr>
          <w:sz w:val="24"/>
          <w:szCs w:val="24"/>
        </w:rPr>
      </w:pPr>
      <w:r>
        <w:rPr>
          <w:sz w:val="24"/>
          <w:szCs w:val="24"/>
        </w:rPr>
        <w:t>(și)</w:t>
      </w:r>
    </w:p>
    <w:p w14:paraId="58A7653F"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EI 30 (o→i)</w:t>
      </w:r>
      <w:r>
        <w:rPr>
          <w:sz w:val="24"/>
          <w:szCs w:val="24"/>
        </w:rPr>
        <w:t xml:space="preserve">; </w:t>
      </w:r>
    </w:p>
    <w:p w14:paraId="28E41401" w14:textId="77777777" w:rsidR="001C08A5" w:rsidRDefault="00000000">
      <w:pPr>
        <w:numPr>
          <w:ilvl w:val="0"/>
          <w:numId w:val="41"/>
        </w:numPr>
        <w:tabs>
          <w:tab w:val="clear" w:pos="1680"/>
        </w:tabs>
        <w:ind w:left="2100"/>
        <w:jc w:val="both"/>
        <w:rPr>
          <w:sz w:val="24"/>
          <w:szCs w:val="24"/>
        </w:rPr>
      </w:pPr>
      <w:r>
        <w:rPr>
          <w:sz w:val="24"/>
          <w:szCs w:val="24"/>
        </w:rPr>
        <w:t>la clădiri înalte:</w:t>
      </w:r>
    </w:p>
    <w:p w14:paraId="50E03657" w14:textId="77777777" w:rsidR="001C08A5" w:rsidRDefault="00000000">
      <w:pPr>
        <w:ind w:left="2160" w:firstLine="720"/>
        <w:jc w:val="both"/>
        <w:rPr>
          <w:sz w:val="24"/>
          <w:szCs w:val="24"/>
        </w:rPr>
      </w:pPr>
      <w:r>
        <w:rPr>
          <w:sz w:val="24"/>
          <w:szCs w:val="24"/>
        </w:rPr>
        <w:t xml:space="preserve">i. înălţimea de cel puţin </w:t>
      </w:r>
      <w:r>
        <w:rPr>
          <w:b/>
          <w:bCs/>
          <w:sz w:val="24"/>
          <w:szCs w:val="24"/>
        </w:rPr>
        <w:t xml:space="preserve">1,20 m </w:t>
      </w:r>
    </w:p>
    <w:p w14:paraId="4491887D" w14:textId="77777777" w:rsidR="001C08A5" w:rsidRDefault="00000000">
      <w:pPr>
        <w:ind w:left="2160" w:firstLine="720"/>
        <w:jc w:val="both"/>
        <w:rPr>
          <w:sz w:val="24"/>
          <w:szCs w:val="24"/>
        </w:rPr>
      </w:pPr>
      <w:r>
        <w:rPr>
          <w:sz w:val="24"/>
          <w:szCs w:val="24"/>
        </w:rPr>
        <w:t>(și)</w:t>
      </w:r>
    </w:p>
    <w:p w14:paraId="1E2DF7EF"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EI 60 (o→i)</w:t>
      </w:r>
      <w:r>
        <w:rPr>
          <w:sz w:val="24"/>
          <w:szCs w:val="24"/>
        </w:rPr>
        <w:t xml:space="preserve">; </w:t>
      </w:r>
    </w:p>
    <w:p w14:paraId="648D3B1A" w14:textId="77777777" w:rsidR="001C08A5" w:rsidRDefault="00000000">
      <w:pPr>
        <w:numPr>
          <w:ilvl w:val="0"/>
          <w:numId w:val="41"/>
        </w:numPr>
        <w:tabs>
          <w:tab w:val="clear" w:pos="1680"/>
        </w:tabs>
        <w:ind w:left="2100"/>
        <w:jc w:val="both"/>
        <w:rPr>
          <w:sz w:val="24"/>
          <w:szCs w:val="24"/>
        </w:rPr>
      </w:pPr>
      <w:r>
        <w:rPr>
          <w:sz w:val="24"/>
          <w:szCs w:val="24"/>
        </w:rPr>
        <w:t xml:space="preserve">la clădiri foarte înalte cu înălțimea mai mică de </w:t>
      </w:r>
      <w:r>
        <w:rPr>
          <w:b/>
          <w:bCs/>
          <w:sz w:val="24"/>
          <w:szCs w:val="24"/>
        </w:rPr>
        <w:t>125 m</w:t>
      </w:r>
      <w:r>
        <w:rPr>
          <w:sz w:val="24"/>
          <w:szCs w:val="24"/>
        </w:rPr>
        <w:t>:</w:t>
      </w:r>
    </w:p>
    <w:p w14:paraId="192145E4"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  </w:t>
      </w:r>
    </w:p>
    <w:p w14:paraId="2C82EF75" w14:textId="77777777" w:rsidR="001C08A5" w:rsidRDefault="00000000">
      <w:pPr>
        <w:ind w:left="2160" w:firstLine="720"/>
        <w:jc w:val="both"/>
        <w:rPr>
          <w:sz w:val="24"/>
          <w:szCs w:val="24"/>
        </w:rPr>
      </w:pPr>
      <w:r>
        <w:rPr>
          <w:sz w:val="24"/>
          <w:szCs w:val="24"/>
        </w:rPr>
        <w:t>(și)</w:t>
      </w:r>
    </w:p>
    <w:p w14:paraId="362914C0"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EI 90 (o→i)</w:t>
      </w:r>
      <w:r>
        <w:rPr>
          <w:sz w:val="24"/>
          <w:szCs w:val="24"/>
        </w:rPr>
        <w:t xml:space="preserve">; </w:t>
      </w:r>
    </w:p>
    <w:p w14:paraId="610DDAE5" w14:textId="77777777" w:rsidR="001C08A5" w:rsidRDefault="00000000">
      <w:pPr>
        <w:numPr>
          <w:ilvl w:val="0"/>
          <w:numId w:val="41"/>
        </w:numPr>
        <w:tabs>
          <w:tab w:val="clear" w:pos="1680"/>
        </w:tabs>
        <w:ind w:left="2100"/>
        <w:jc w:val="both"/>
        <w:rPr>
          <w:sz w:val="24"/>
          <w:szCs w:val="24"/>
        </w:rPr>
      </w:pPr>
      <w:r>
        <w:rPr>
          <w:sz w:val="24"/>
          <w:szCs w:val="24"/>
        </w:rPr>
        <w:t>la clădiri foarte înalte cu înălțimea mai mare sau egala cu</w:t>
      </w:r>
      <w:r>
        <w:rPr>
          <w:b/>
          <w:bCs/>
          <w:sz w:val="24"/>
          <w:szCs w:val="24"/>
        </w:rPr>
        <w:t xml:space="preserve"> 125 m</w:t>
      </w:r>
      <w:r>
        <w:rPr>
          <w:sz w:val="24"/>
          <w:szCs w:val="24"/>
        </w:rPr>
        <w:t>:</w:t>
      </w:r>
    </w:p>
    <w:p w14:paraId="6B937887" w14:textId="77777777" w:rsidR="001C08A5" w:rsidRDefault="00000000">
      <w:pPr>
        <w:ind w:left="2160" w:firstLine="720"/>
        <w:jc w:val="both"/>
        <w:rPr>
          <w:sz w:val="24"/>
          <w:szCs w:val="24"/>
        </w:rPr>
      </w:pPr>
      <w:r>
        <w:rPr>
          <w:sz w:val="24"/>
          <w:szCs w:val="24"/>
        </w:rPr>
        <w:t xml:space="preserve">i. înălţimea de cel puţin </w:t>
      </w:r>
      <w:r>
        <w:rPr>
          <w:b/>
          <w:bCs/>
          <w:sz w:val="24"/>
          <w:szCs w:val="24"/>
        </w:rPr>
        <w:t xml:space="preserve">1,20 m </w:t>
      </w:r>
    </w:p>
    <w:p w14:paraId="1383BE1E" w14:textId="77777777" w:rsidR="001C08A5" w:rsidRDefault="00000000">
      <w:pPr>
        <w:ind w:left="2160" w:firstLine="720"/>
        <w:jc w:val="both"/>
        <w:rPr>
          <w:sz w:val="24"/>
          <w:szCs w:val="24"/>
        </w:rPr>
      </w:pPr>
      <w:r>
        <w:rPr>
          <w:sz w:val="24"/>
          <w:szCs w:val="24"/>
        </w:rPr>
        <w:t>(și)</w:t>
      </w:r>
    </w:p>
    <w:p w14:paraId="40214E1B"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EI 120 (o→i)</w:t>
      </w:r>
      <w:r>
        <w:rPr>
          <w:sz w:val="24"/>
          <w:szCs w:val="24"/>
        </w:rPr>
        <w:t xml:space="preserve">. </w:t>
      </w:r>
    </w:p>
    <w:p w14:paraId="58BE270B" w14:textId="77777777" w:rsidR="001C08A5" w:rsidRDefault="00000000">
      <w:pPr>
        <w:jc w:val="center"/>
      </w:pPr>
      <w:r>
        <w:rPr>
          <w:noProof/>
          <w:lang w:eastAsia="ro-RO"/>
        </w:rPr>
        <w:drawing>
          <wp:inline distT="0" distB="0" distL="0" distR="0" wp14:anchorId="69CF398B" wp14:editId="4DDF7624">
            <wp:extent cx="5936615" cy="2503170"/>
            <wp:effectExtent l="0" t="0" r="6985" b="11430"/>
            <wp:docPr id="1108" name="Picture 60"/>
            <wp:cNvGraphicFramePr/>
            <a:graphic xmlns:a="http://schemas.openxmlformats.org/drawingml/2006/main">
              <a:graphicData uri="http://schemas.openxmlformats.org/drawingml/2006/picture">
                <pic:pic xmlns:pic="http://schemas.openxmlformats.org/drawingml/2006/picture">
                  <pic:nvPicPr>
                    <pic:cNvPr id="1108" name="Picture 60"/>
                    <pic:cNvPicPr/>
                  </pic:nvPicPr>
                  <pic:blipFill>
                    <a:blip r:embed="rId134" cstate="print"/>
                    <a:srcRect l="13302" t="18402" r="8035" b="23798"/>
                    <a:stretch>
                      <a:fillRect/>
                    </a:stretch>
                  </pic:blipFill>
                  <pic:spPr>
                    <a:xfrm>
                      <a:off x="0" y="0"/>
                      <a:ext cx="5936615" cy="2503170"/>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2"/>
        <w:gridCol w:w="2403"/>
        <w:gridCol w:w="2412"/>
        <w:gridCol w:w="2412"/>
      </w:tblGrid>
      <w:tr w:rsidR="001C08A5" w14:paraId="2441366A" w14:textId="77777777">
        <w:tc>
          <w:tcPr>
            <w:tcW w:w="2463" w:type="dxa"/>
          </w:tcPr>
          <w:p w14:paraId="11ECA48B" w14:textId="77777777" w:rsidR="001C08A5" w:rsidRDefault="00000000">
            <w:pPr>
              <w:numPr>
                <w:ilvl w:val="0"/>
                <w:numId w:val="42"/>
              </w:numPr>
              <w:jc w:val="center"/>
              <w:rPr>
                <w:i/>
                <w:iCs/>
                <w:sz w:val="22"/>
                <w:szCs w:val="22"/>
              </w:rPr>
            </w:pPr>
            <w:r>
              <w:rPr>
                <w:i/>
                <w:iCs/>
                <w:sz w:val="22"/>
                <w:szCs w:val="22"/>
              </w:rPr>
              <w:t>la clădiri cu înălțime obișnuită</w:t>
            </w:r>
          </w:p>
        </w:tc>
        <w:tc>
          <w:tcPr>
            <w:tcW w:w="2464" w:type="dxa"/>
          </w:tcPr>
          <w:p w14:paraId="3E713047" w14:textId="77777777" w:rsidR="001C08A5" w:rsidRDefault="00000000">
            <w:pPr>
              <w:numPr>
                <w:ilvl w:val="0"/>
                <w:numId w:val="42"/>
              </w:numPr>
              <w:jc w:val="center"/>
              <w:rPr>
                <w:i/>
                <w:iCs/>
                <w:sz w:val="22"/>
                <w:szCs w:val="22"/>
              </w:rPr>
            </w:pPr>
            <w:r>
              <w:rPr>
                <w:i/>
                <w:iCs/>
                <w:sz w:val="22"/>
                <w:szCs w:val="22"/>
              </w:rPr>
              <w:t>la clădiri înalte</w:t>
            </w:r>
          </w:p>
        </w:tc>
        <w:tc>
          <w:tcPr>
            <w:tcW w:w="2464" w:type="dxa"/>
          </w:tcPr>
          <w:p w14:paraId="1755EE16" w14:textId="77777777" w:rsidR="001C08A5" w:rsidRDefault="00000000">
            <w:pPr>
              <w:numPr>
                <w:ilvl w:val="0"/>
                <w:numId w:val="42"/>
              </w:numPr>
              <w:jc w:val="center"/>
              <w:rPr>
                <w:i/>
                <w:iCs/>
                <w:sz w:val="22"/>
                <w:szCs w:val="22"/>
              </w:rPr>
            </w:pPr>
            <w:r>
              <w:rPr>
                <w:i/>
                <w:iCs/>
                <w:sz w:val="22"/>
                <w:szCs w:val="22"/>
              </w:rPr>
              <w:t xml:space="preserve">la clădiri foarte înalte cu înălțimea mai mică de </w:t>
            </w:r>
            <w:r>
              <w:rPr>
                <w:b/>
                <w:bCs/>
                <w:i/>
                <w:iCs/>
                <w:sz w:val="22"/>
                <w:szCs w:val="22"/>
              </w:rPr>
              <w:t>125 m</w:t>
            </w:r>
          </w:p>
        </w:tc>
        <w:tc>
          <w:tcPr>
            <w:tcW w:w="2464" w:type="dxa"/>
          </w:tcPr>
          <w:p w14:paraId="569B70BF" w14:textId="77777777" w:rsidR="001C08A5" w:rsidRDefault="00000000">
            <w:pPr>
              <w:numPr>
                <w:ilvl w:val="0"/>
                <w:numId w:val="42"/>
              </w:numPr>
              <w:jc w:val="center"/>
              <w:rPr>
                <w:i/>
                <w:iCs/>
                <w:sz w:val="22"/>
                <w:szCs w:val="22"/>
              </w:rPr>
            </w:pPr>
            <w:r>
              <w:rPr>
                <w:i/>
                <w:iCs/>
                <w:sz w:val="22"/>
                <w:szCs w:val="22"/>
              </w:rPr>
              <w:t>la clădiri foarte înalte cu înălțimea mai mare sau egala cu</w:t>
            </w:r>
            <w:r>
              <w:rPr>
                <w:b/>
                <w:bCs/>
                <w:i/>
                <w:iCs/>
                <w:sz w:val="22"/>
                <w:szCs w:val="22"/>
              </w:rPr>
              <w:t xml:space="preserve"> 125 m</w:t>
            </w:r>
          </w:p>
        </w:tc>
      </w:tr>
    </w:tbl>
    <w:p w14:paraId="74D150FA" w14:textId="77777777" w:rsidR="001C08A5" w:rsidRDefault="00000000">
      <w:pPr>
        <w:pStyle w:val="Caption"/>
        <w:jc w:val="center"/>
        <w:rPr>
          <w:rFonts w:cs="Times New Roman"/>
        </w:rPr>
      </w:pPr>
      <w:bookmarkStart w:id="1429" w:name="_Ref13539"/>
      <w:bookmarkStart w:id="1430" w:name="_Toc25813"/>
      <w:bookmarkStart w:id="1431" w:name="_Toc10351"/>
      <w:bookmarkStart w:id="1432" w:name="_Toc162360268"/>
      <w:bookmarkStart w:id="1433" w:name="_Toc5682"/>
      <w:bookmarkStart w:id="1434" w:name="_Toc1070"/>
      <w:r>
        <w:t xml:space="preserve">Figura </w:t>
      </w:r>
      <w:r>
        <w:fldChar w:fldCharType="begin"/>
      </w:r>
      <w:r>
        <w:instrText xml:space="preserve"> SEQ Figura \* ARABIC </w:instrText>
      </w:r>
      <w:r>
        <w:fldChar w:fldCharType="separate"/>
      </w:r>
      <w:r>
        <w:t>44</w:t>
      </w:r>
      <w:r>
        <w:fldChar w:fldCharType="end"/>
      </w:r>
      <w:bookmarkStart w:id="1435" w:name="_Toc21351"/>
      <w:bookmarkStart w:id="1436" w:name="_Toc18168"/>
      <w:bookmarkStart w:id="1437" w:name="_Toc20599"/>
      <w:bookmarkStart w:id="1438" w:name="_Toc22215"/>
      <w:bookmarkStart w:id="1439" w:name="_Toc16603"/>
      <w:bookmarkStart w:id="1440" w:name="_Toc5985"/>
      <w:bookmarkStart w:id="1441" w:name="_Toc19983"/>
      <w:bookmarkStart w:id="1442" w:name="_Toc23896"/>
      <w:bookmarkStart w:id="1443" w:name="_Toc17902"/>
      <w:bookmarkStart w:id="1444" w:name="_Toc25879"/>
      <w:bookmarkStart w:id="1445" w:name="_Toc13633"/>
      <w:bookmarkEnd w:id="1429"/>
      <w:r>
        <w:t xml:space="preserve"> - </w:t>
      </w:r>
      <w:r>
        <w:rPr>
          <w:rFonts w:cs="Times New Roman"/>
        </w:rPr>
        <w:t>Performanțe pereți exteriori (neportanți) și/sau părți din pereții exteriori rezistenți la foc care includ elemente vitrate</w:t>
      </w:r>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p>
    <w:p w14:paraId="1D1C8A2C" w14:textId="77777777" w:rsidR="001C08A5" w:rsidRDefault="00000000">
      <w:pPr>
        <w:ind w:left="720" w:firstLine="720"/>
        <w:jc w:val="both"/>
        <w:rPr>
          <w:sz w:val="24"/>
          <w:szCs w:val="24"/>
        </w:rPr>
      </w:pPr>
      <w:r>
        <w:rPr>
          <w:sz w:val="24"/>
          <w:szCs w:val="24"/>
        </w:rPr>
        <w:t>b. zonele continui dispuse în planul peretelui cortină, (</w:t>
      </w:r>
      <w:r>
        <w:rPr>
          <w:b/>
          <w:bCs/>
          <w:i/>
          <w:iCs/>
          <w:sz w:val="24"/>
          <w:szCs w:val="24"/>
        </w:rPr>
        <w:fldChar w:fldCharType="begin"/>
      </w:r>
      <w:r>
        <w:rPr>
          <w:b/>
          <w:bCs/>
          <w:i/>
          <w:iCs/>
          <w:sz w:val="24"/>
          <w:szCs w:val="24"/>
        </w:rPr>
        <w:instrText xml:space="preserve"> REF _Ref13584 \h </w:instrText>
      </w:r>
      <w:r>
        <w:rPr>
          <w:b/>
          <w:bCs/>
          <w:i/>
          <w:iCs/>
          <w:sz w:val="24"/>
          <w:szCs w:val="24"/>
        </w:rPr>
      </w:r>
      <w:r>
        <w:rPr>
          <w:b/>
          <w:bCs/>
          <w:i/>
          <w:iCs/>
          <w:sz w:val="24"/>
          <w:szCs w:val="24"/>
        </w:rPr>
        <w:fldChar w:fldCharType="separate"/>
      </w:r>
      <w:r>
        <w:t>Figura 45</w:t>
      </w:r>
      <w:r>
        <w:rPr>
          <w:b/>
          <w:bCs/>
          <w:i/>
          <w:iCs/>
          <w:sz w:val="24"/>
          <w:szCs w:val="24"/>
        </w:rPr>
        <w:fldChar w:fldCharType="end"/>
      </w:r>
      <w:r>
        <w:rPr>
          <w:sz w:val="24"/>
          <w:szCs w:val="24"/>
        </w:rPr>
        <w:t>) trebuie să îndeplinească următoarele criterii:</w:t>
      </w:r>
    </w:p>
    <w:p w14:paraId="6AED7D7E" w14:textId="77777777" w:rsidR="001C08A5" w:rsidRDefault="00000000">
      <w:pPr>
        <w:numPr>
          <w:ilvl w:val="0"/>
          <w:numId w:val="41"/>
        </w:numPr>
        <w:tabs>
          <w:tab w:val="clear" w:pos="1680"/>
        </w:tabs>
        <w:ind w:left="2100"/>
        <w:jc w:val="both"/>
        <w:rPr>
          <w:sz w:val="24"/>
          <w:szCs w:val="24"/>
        </w:rPr>
      </w:pPr>
      <w:r>
        <w:rPr>
          <w:sz w:val="24"/>
          <w:szCs w:val="24"/>
        </w:rPr>
        <w:t>la clădiri cu înălțime obișnuită:</w:t>
      </w:r>
    </w:p>
    <w:p w14:paraId="33F43DDD"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 </w:t>
      </w:r>
    </w:p>
    <w:p w14:paraId="3BF62120" w14:textId="77777777" w:rsidR="001C08A5" w:rsidRDefault="00000000">
      <w:pPr>
        <w:ind w:left="2160" w:firstLine="720"/>
        <w:jc w:val="both"/>
        <w:rPr>
          <w:sz w:val="24"/>
          <w:szCs w:val="24"/>
        </w:rPr>
      </w:pPr>
      <w:r>
        <w:rPr>
          <w:sz w:val="24"/>
          <w:szCs w:val="24"/>
        </w:rPr>
        <w:t>(și)</w:t>
      </w:r>
    </w:p>
    <w:p w14:paraId="6C619A4B"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EI 30 </w:t>
      </w:r>
      <w:r>
        <w:rPr>
          <w:b/>
          <w:sz w:val="24"/>
          <w:szCs w:val="24"/>
        </w:rPr>
        <w:t>(o→i)</w:t>
      </w:r>
      <w:r>
        <w:rPr>
          <w:b/>
          <w:bCs/>
          <w:sz w:val="24"/>
          <w:szCs w:val="24"/>
        </w:rPr>
        <w:t>;</w:t>
      </w:r>
    </w:p>
    <w:p w14:paraId="77692EFF" w14:textId="77777777" w:rsidR="001C08A5" w:rsidRDefault="00000000">
      <w:pPr>
        <w:numPr>
          <w:ilvl w:val="0"/>
          <w:numId w:val="41"/>
        </w:numPr>
        <w:tabs>
          <w:tab w:val="clear" w:pos="1680"/>
        </w:tabs>
        <w:ind w:left="2100"/>
        <w:jc w:val="both"/>
        <w:rPr>
          <w:sz w:val="24"/>
          <w:szCs w:val="24"/>
        </w:rPr>
      </w:pPr>
      <w:r>
        <w:rPr>
          <w:sz w:val="24"/>
          <w:szCs w:val="24"/>
        </w:rPr>
        <w:t>la clădiri înalte:</w:t>
      </w:r>
    </w:p>
    <w:p w14:paraId="193CE14E"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 </w:t>
      </w:r>
    </w:p>
    <w:p w14:paraId="4F9C19C5" w14:textId="77777777" w:rsidR="001C08A5" w:rsidRDefault="00000000">
      <w:pPr>
        <w:ind w:left="2160" w:firstLine="720"/>
        <w:jc w:val="both"/>
        <w:rPr>
          <w:sz w:val="24"/>
          <w:szCs w:val="24"/>
        </w:rPr>
      </w:pPr>
      <w:r>
        <w:rPr>
          <w:sz w:val="24"/>
          <w:szCs w:val="24"/>
        </w:rPr>
        <w:t>(și)</w:t>
      </w:r>
    </w:p>
    <w:p w14:paraId="32956964"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EI 60 </w:t>
      </w:r>
      <w:r>
        <w:rPr>
          <w:b/>
          <w:sz w:val="24"/>
          <w:szCs w:val="24"/>
        </w:rPr>
        <w:t>(o→i)</w:t>
      </w:r>
      <w:r>
        <w:rPr>
          <w:b/>
          <w:bCs/>
          <w:sz w:val="24"/>
          <w:szCs w:val="24"/>
        </w:rPr>
        <w:t>;</w:t>
      </w:r>
    </w:p>
    <w:p w14:paraId="28F8FE77" w14:textId="77777777" w:rsidR="001C08A5" w:rsidRDefault="00000000">
      <w:pPr>
        <w:numPr>
          <w:ilvl w:val="0"/>
          <w:numId w:val="41"/>
        </w:numPr>
        <w:tabs>
          <w:tab w:val="clear" w:pos="1680"/>
        </w:tabs>
        <w:ind w:left="2100"/>
        <w:jc w:val="both"/>
        <w:rPr>
          <w:sz w:val="24"/>
          <w:szCs w:val="24"/>
        </w:rPr>
      </w:pPr>
      <w:r>
        <w:rPr>
          <w:sz w:val="24"/>
          <w:szCs w:val="24"/>
        </w:rPr>
        <w:t xml:space="preserve">la clădiri foarte înalte cu înălțimea mai mică de </w:t>
      </w:r>
      <w:r>
        <w:rPr>
          <w:b/>
          <w:bCs/>
          <w:sz w:val="24"/>
          <w:szCs w:val="24"/>
        </w:rPr>
        <w:t>125 m</w:t>
      </w:r>
      <w:r>
        <w:rPr>
          <w:sz w:val="24"/>
          <w:szCs w:val="24"/>
        </w:rPr>
        <w:t>:</w:t>
      </w:r>
    </w:p>
    <w:p w14:paraId="7346EC9A"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 </w:t>
      </w:r>
    </w:p>
    <w:p w14:paraId="02EFB3D4" w14:textId="77777777" w:rsidR="001C08A5" w:rsidRDefault="00000000">
      <w:pPr>
        <w:ind w:left="2160" w:firstLine="720"/>
        <w:jc w:val="both"/>
        <w:rPr>
          <w:sz w:val="24"/>
          <w:szCs w:val="24"/>
        </w:rPr>
      </w:pPr>
      <w:r>
        <w:rPr>
          <w:sz w:val="24"/>
          <w:szCs w:val="24"/>
        </w:rPr>
        <w:t>(și)</w:t>
      </w:r>
    </w:p>
    <w:p w14:paraId="40D28470"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EI 90 </w:t>
      </w:r>
      <w:r>
        <w:rPr>
          <w:b/>
          <w:sz w:val="24"/>
          <w:szCs w:val="24"/>
        </w:rPr>
        <w:t>(o→i)</w:t>
      </w:r>
      <w:r>
        <w:rPr>
          <w:b/>
          <w:bCs/>
          <w:sz w:val="24"/>
          <w:szCs w:val="24"/>
        </w:rPr>
        <w:t>;</w:t>
      </w:r>
    </w:p>
    <w:p w14:paraId="672F8DE9" w14:textId="77777777" w:rsidR="001C08A5" w:rsidRDefault="00000000">
      <w:pPr>
        <w:numPr>
          <w:ilvl w:val="0"/>
          <w:numId w:val="41"/>
        </w:numPr>
        <w:tabs>
          <w:tab w:val="clear" w:pos="1680"/>
        </w:tabs>
        <w:ind w:left="2100"/>
        <w:jc w:val="both"/>
        <w:rPr>
          <w:sz w:val="24"/>
          <w:szCs w:val="24"/>
        </w:rPr>
      </w:pPr>
      <w:r>
        <w:rPr>
          <w:sz w:val="24"/>
          <w:szCs w:val="24"/>
        </w:rPr>
        <w:lastRenderedPageBreak/>
        <w:t xml:space="preserve">la clădiri foarte înalte cu înălțimea mai mare sau egala cu </w:t>
      </w:r>
      <w:r>
        <w:rPr>
          <w:b/>
          <w:bCs/>
          <w:sz w:val="24"/>
          <w:szCs w:val="24"/>
        </w:rPr>
        <w:t>125 m</w:t>
      </w:r>
      <w:r>
        <w:rPr>
          <w:sz w:val="24"/>
          <w:szCs w:val="24"/>
        </w:rPr>
        <w:t>:</w:t>
      </w:r>
    </w:p>
    <w:p w14:paraId="26641098"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w:t>
      </w:r>
    </w:p>
    <w:p w14:paraId="67DD4EBD" w14:textId="77777777" w:rsidR="001C08A5" w:rsidRDefault="00000000">
      <w:pPr>
        <w:ind w:left="2160" w:firstLine="720"/>
        <w:jc w:val="both"/>
        <w:rPr>
          <w:sz w:val="24"/>
          <w:szCs w:val="24"/>
        </w:rPr>
      </w:pPr>
      <w:r>
        <w:rPr>
          <w:sz w:val="24"/>
          <w:szCs w:val="24"/>
        </w:rPr>
        <w:t>(și)</w:t>
      </w:r>
    </w:p>
    <w:p w14:paraId="3022995B"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EI 120 </w:t>
      </w:r>
      <w:r>
        <w:rPr>
          <w:b/>
          <w:sz w:val="24"/>
          <w:szCs w:val="24"/>
        </w:rPr>
        <w:t>(o→i).</w:t>
      </w:r>
    </w:p>
    <w:p w14:paraId="3A61F2BA" w14:textId="77777777" w:rsidR="001C08A5" w:rsidRDefault="00000000">
      <w:pPr>
        <w:jc w:val="center"/>
      </w:pPr>
      <w:r>
        <w:rPr>
          <w:noProof/>
          <w:lang w:eastAsia="ro-RO"/>
        </w:rPr>
        <w:drawing>
          <wp:inline distT="0" distB="0" distL="0" distR="0" wp14:anchorId="10C42B75" wp14:editId="50C3DBF4">
            <wp:extent cx="5945505" cy="2512060"/>
            <wp:effectExtent l="0" t="0" r="17145" b="2540"/>
            <wp:docPr id="1109" name="Picture 61"/>
            <wp:cNvGraphicFramePr/>
            <a:graphic xmlns:a="http://schemas.openxmlformats.org/drawingml/2006/main">
              <a:graphicData uri="http://schemas.openxmlformats.org/drawingml/2006/picture">
                <pic:pic xmlns:pic="http://schemas.openxmlformats.org/drawingml/2006/picture">
                  <pic:nvPicPr>
                    <pic:cNvPr id="1109" name="Picture 61"/>
                    <pic:cNvPicPr/>
                  </pic:nvPicPr>
                  <pic:blipFill>
                    <a:blip r:embed="rId135" cstate="print"/>
                    <a:srcRect l="13193" t="24604" r="8027" b="17390"/>
                    <a:stretch>
                      <a:fillRect/>
                    </a:stretch>
                  </pic:blipFill>
                  <pic:spPr>
                    <a:xfrm>
                      <a:off x="0" y="0"/>
                      <a:ext cx="5945505" cy="2512060"/>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2"/>
        <w:gridCol w:w="2403"/>
        <w:gridCol w:w="2412"/>
        <w:gridCol w:w="2412"/>
      </w:tblGrid>
      <w:tr w:rsidR="001C08A5" w14:paraId="5972B5DB" w14:textId="77777777">
        <w:tc>
          <w:tcPr>
            <w:tcW w:w="2463" w:type="dxa"/>
          </w:tcPr>
          <w:p w14:paraId="5AA9AC06" w14:textId="77777777" w:rsidR="001C08A5" w:rsidRDefault="00000000">
            <w:pPr>
              <w:numPr>
                <w:ilvl w:val="0"/>
                <w:numId w:val="42"/>
              </w:numPr>
              <w:jc w:val="center"/>
              <w:rPr>
                <w:i/>
                <w:iCs/>
                <w:sz w:val="22"/>
                <w:szCs w:val="22"/>
              </w:rPr>
            </w:pPr>
            <w:r>
              <w:rPr>
                <w:i/>
                <w:iCs/>
                <w:sz w:val="22"/>
                <w:szCs w:val="22"/>
              </w:rPr>
              <w:t>la clădiri cu înălțime obișnuită</w:t>
            </w:r>
          </w:p>
        </w:tc>
        <w:tc>
          <w:tcPr>
            <w:tcW w:w="2464" w:type="dxa"/>
          </w:tcPr>
          <w:p w14:paraId="3A3955F2" w14:textId="77777777" w:rsidR="001C08A5" w:rsidRDefault="00000000">
            <w:pPr>
              <w:numPr>
                <w:ilvl w:val="0"/>
                <w:numId w:val="42"/>
              </w:numPr>
              <w:jc w:val="center"/>
              <w:rPr>
                <w:i/>
                <w:iCs/>
                <w:sz w:val="22"/>
                <w:szCs w:val="22"/>
              </w:rPr>
            </w:pPr>
            <w:r>
              <w:rPr>
                <w:i/>
                <w:iCs/>
                <w:sz w:val="22"/>
                <w:szCs w:val="22"/>
              </w:rPr>
              <w:t>la clădiri înalte</w:t>
            </w:r>
          </w:p>
        </w:tc>
        <w:tc>
          <w:tcPr>
            <w:tcW w:w="2464" w:type="dxa"/>
          </w:tcPr>
          <w:p w14:paraId="44A2F0BE" w14:textId="77777777" w:rsidR="001C08A5" w:rsidRDefault="00000000">
            <w:pPr>
              <w:numPr>
                <w:ilvl w:val="0"/>
                <w:numId w:val="42"/>
              </w:numPr>
              <w:jc w:val="center"/>
              <w:rPr>
                <w:i/>
                <w:iCs/>
                <w:sz w:val="22"/>
                <w:szCs w:val="22"/>
              </w:rPr>
            </w:pPr>
            <w:r>
              <w:rPr>
                <w:i/>
                <w:iCs/>
                <w:sz w:val="22"/>
                <w:szCs w:val="22"/>
              </w:rPr>
              <w:t xml:space="preserve">la clădiri foarte înalte cu înălțimea mai mică de </w:t>
            </w:r>
            <w:r>
              <w:rPr>
                <w:b/>
                <w:bCs/>
                <w:i/>
                <w:iCs/>
                <w:sz w:val="22"/>
                <w:szCs w:val="22"/>
              </w:rPr>
              <w:t>125 m</w:t>
            </w:r>
          </w:p>
        </w:tc>
        <w:tc>
          <w:tcPr>
            <w:tcW w:w="2464" w:type="dxa"/>
          </w:tcPr>
          <w:p w14:paraId="39FA7BF8" w14:textId="77777777" w:rsidR="001C08A5" w:rsidRDefault="00000000">
            <w:pPr>
              <w:numPr>
                <w:ilvl w:val="0"/>
                <w:numId w:val="42"/>
              </w:numPr>
              <w:jc w:val="center"/>
              <w:rPr>
                <w:i/>
                <w:iCs/>
                <w:sz w:val="22"/>
                <w:szCs w:val="22"/>
              </w:rPr>
            </w:pPr>
            <w:r>
              <w:rPr>
                <w:i/>
                <w:iCs/>
                <w:sz w:val="22"/>
                <w:szCs w:val="22"/>
              </w:rPr>
              <w:t>la clădiri foarte înalte cu înălțimea mai mare sau egala cu</w:t>
            </w:r>
            <w:r>
              <w:rPr>
                <w:b/>
                <w:bCs/>
                <w:i/>
                <w:iCs/>
                <w:sz w:val="22"/>
                <w:szCs w:val="22"/>
              </w:rPr>
              <w:t xml:space="preserve"> 125 m</w:t>
            </w:r>
          </w:p>
        </w:tc>
      </w:tr>
    </w:tbl>
    <w:p w14:paraId="20B76774" w14:textId="77777777" w:rsidR="001C08A5" w:rsidRDefault="00000000">
      <w:pPr>
        <w:pStyle w:val="Caption"/>
        <w:jc w:val="center"/>
        <w:rPr>
          <w:rFonts w:cs="Times New Roman"/>
          <w:sz w:val="22"/>
          <w:szCs w:val="22"/>
        </w:rPr>
      </w:pPr>
      <w:r>
        <w:rPr>
          <w:rFonts w:cs="Times New Roman"/>
          <w:sz w:val="22"/>
          <w:szCs w:val="22"/>
        </w:rPr>
        <w:t>Varianta 1): Performanțe zone continui (zona opaca la interior și exterior) dispuse în planul peretelui cortină</w:t>
      </w:r>
    </w:p>
    <w:p w14:paraId="37089F43" w14:textId="77777777" w:rsidR="001C08A5" w:rsidRDefault="00000000">
      <w:pPr>
        <w:pStyle w:val="BodyText"/>
        <w:jc w:val="center"/>
      </w:pPr>
      <w:r>
        <w:rPr>
          <w:noProof/>
          <w:lang w:eastAsia="ro-RO"/>
        </w:rPr>
        <w:drawing>
          <wp:inline distT="0" distB="0" distL="0" distR="0" wp14:anchorId="04D9FF2E" wp14:editId="3A1F2B87">
            <wp:extent cx="5944870" cy="2512060"/>
            <wp:effectExtent l="0" t="0" r="17780" b="2540"/>
            <wp:docPr id="1110" name="Picture 62"/>
            <wp:cNvGraphicFramePr/>
            <a:graphic xmlns:a="http://schemas.openxmlformats.org/drawingml/2006/main">
              <a:graphicData uri="http://schemas.openxmlformats.org/drawingml/2006/picture">
                <pic:pic xmlns:pic="http://schemas.openxmlformats.org/drawingml/2006/picture">
                  <pic:nvPicPr>
                    <pic:cNvPr id="1110" name="Picture 62"/>
                    <pic:cNvPicPr/>
                  </pic:nvPicPr>
                  <pic:blipFill>
                    <a:blip r:embed="rId136" cstate="print"/>
                    <a:srcRect l="13193" t="27199" r="8035" b="14795"/>
                    <a:stretch>
                      <a:fillRect/>
                    </a:stretch>
                  </pic:blipFill>
                  <pic:spPr>
                    <a:xfrm>
                      <a:off x="0" y="0"/>
                      <a:ext cx="5944870" cy="2512060"/>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2"/>
        <w:gridCol w:w="2403"/>
        <w:gridCol w:w="2412"/>
        <w:gridCol w:w="2412"/>
      </w:tblGrid>
      <w:tr w:rsidR="001C08A5" w14:paraId="4373F403" w14:textId="77777777">
        <w:tc>
          <w:tcPr>
            <w:tcW w:w="2463" w:type="dxa"/>
          </w:tcPr>
          <w:p w14:paraId="60D2AA2D" w14:textId="77777777" w:rsidR="001C08A5" w:rsidRDefault="00000000">
            <w:pPr>
              <w:numPr>
                <w:ilvl w:val="0"/>
                <w:numId w:val="43"/>
              </w:numPr>
              <w:jc w:val="center"/>
              <w:rPr>
                <w:i/>
                <w:iCs/>
                <w:sz w:val="22"/>
                <w:szCs w:val="22"/>
              </w:rPr>
            </w:pPr>
            <w:r>
              <w:rPr>
                <w:i/>
                <w:iCs/>
                <w:sz w:val="22"/>
                <w:szCs w:val="22"/>
              </w:rPr>
              <w:t>la clădiri cu înălțime obișnuită</w:t>
            </w:r>
          </w:p>
        </w:tc>
        <w:tc>
          <w:tcPr>
            <w:tcW w:w="2464" w:type="dxa"/>
          </w:tcPr>
          <w:p w14:paraId="0CD75C37" w14:textId="77777777" w:rsidR="001C08A5" w:rsidRDefault="00000000">
            <w:pPr>
              <w:numPr>
                <w:ilvl w:val="0"/>
                <w:numId w:val="43"/>
              </w:numPr>
              <w:jc w:val="center"/>
              <w:rPr>
                <w:i/>
                <w:iCs/>
                <w:sz w:val="22"/>
                <w:szCs w:val="22"/>
              </w:rPr>
            </w:pPr>
            <w:r>
              <w:rPr>
                <w:i/>
                <w:iCs/>
                <w:sz w:val="22"/>
                <w:szCs w:val="22"/>
              </w:rPr>
              <w:t>la clădiri înalte</w:t>
            </w:r>
          </w:p>
        </w:tc>
        <w:tc>
          <w:tcPr>
            <w:tcW w:w="2464" w:type="dxa"/>
          </w:tcPr>
          <w:p w14:paraId="3CF9519E" w14:textId="77777777" w:rsidR="001C08A5" w:rsidRDefault="00000000">
            <w:pPr>
              <w:numPr>
                <w:ilvl w:val="0"/>
                <w:numId w:val="43"/>
              </w:numPr>
              <w:jc w:val="center"/>
              <w:rPr>
                <w:i/>
                <w:iCs/>
                <w:sz w:val="22"/>
                <w:szCs w:val="22"/>
              </w:rPr>
            </w:pPr>
            <w:r>
              <w:rPr>
                <w:i/>
                <w:iCs/>
                <w:sz w:val="22"/>
                <w:szCs w:val="22"/>
              </w:rPr>
              <w:t xml:space="preserve">la clădiri foarte înalte cu înălțimea mai mică de </w:t>
            </w:r>
            <w:r>
              <w:rPr>
                <w:b/>
                <w:bCs/>
                <w:i/>
                <w:iCs/>
                <w:sz w:val="22"/>
                <w:szCs w:val="22"/>
              </w:rPr>
              <w:t>125 m</w:t>
            </w:r>
          </w:p>
        </w:tc>
        <w:tc>
          <w:tcPr>
            <w:tcW w:w="2464" w:type="dxa"/>
          </w:tcPr>
          <w:p w14:paraId="43BCF79C" w14:textId="77777777" w:rsidR="001C08A5" w:rsidRDefault="00000000">
            <w:pPr>
              <w:numPr>
                <w:ilvl w:val="0"/>
                <w:numId w:val="43"/>
              </w:numPr>
              <w:jc w:val="center"/>
              <w:rPr>
                <w:i/>
                <w:iCs/>
                <w:sz w:val="22"/>
                <w:szCs w:val="22"/>
              </w:rPr>
            </w:pPr>
            <w:r>
              <w:rPr>
                <w:i/>
                <w:iCs/>
                <w:sz w:val="22"/>
                <w:szCs w:val="22"/>
              </w:rPr>
              <w:t>la clădiri foarte înalte cu înălțimea mai mare sau egala cu</w:t>
            </w:r>
            <w:r>
              <w:rPr>
                <w:b/>
                <w:bCs/>
                <w:i/>
                <w:iCs/>
                <w:sz w:val="22"/>
                <w:szCs w:val="22"/>
              </w:rPr>
              <w:t xml:space="preserve"> 125 m</w:t>
            </w:r>
          </w:p>
        </w:tc>
      </w:tr>
    </w:tbl>
    <w:p w14:paraId="5264F6D9" w14:textId="77777777" w:rsidR="001C08A5" w:rsidRDefault="00000000">
      <w:pPr>
        <w:pStyle w:val="Caption"/>
        <w:jc w:val="center"/>
        <w:rPr>
          <w:rFonts w:cs="Times New Roman"/>
          <w:sz w:val="22"/>
          <w:szCs w:val="22"/>
        </w:rPr>
      </w:pPr>
      <w:r>
        <w:rPr>
          <w:rFonts w:cs="Times New Roman"/>
          <w:sz w:val="22"/>
          <w:szCs w:val="22"/>
        </w:rPr>
        <w:t>Varianta 2): Performanțe zone continui (zonă opacă la interior și transparentă la exterior) dispuse în planul peretelui cortină</w:t>
      </w:r>
    </w:p>
    <w:p w14:paraId="065EC1EB" w14:textId="77777777" w:rsidR="001C08A5" w:rsidRDefault="00000000">
      <w:pPr>
        <w:pStyle w:val="Caption"/>
        <w:jc w:val="center"/>
        <w:rPr>
          <w:rFonts w:cs="Times New Roman"/>
        </w:rPr>
      </w:pPr>
      <w:bookmarkStart w:id="1446" w:name="_Ref13584"/>
      <w:bookmarkStart w:id="1447" w:name="_Toc162360269"/>
      <w:bookmarkStart w:id="1448" w:name="_Toc24277"/>
      <w:bookmarkStart w:id="1449" w:name="_Toc13918"/>
      <w:bookmarkStart w:id="1450" w:name="_Toc17403"/>
      <w:bookmarkStart w:id="1451" w:name="_Toc1901"/>
      <w:r>
        <w:t xml:space="preserve">Figura </w:t>
      </w:r>
      <w:r>
        <w:fldChar w:fldCharType="begin"/>
      </w:r>
      <w:r>
        <w:instrText xml:space="preserve"> SEQ Figura \* ARABIC </w:instrText>
      </w:r>
      <w:r>
        <w:fldChar w:fldCharType="separate"/>
      </w:r>
      <w:r>
        <w:t>45</w:t>
      </w:r>
      <w:r>
        <w:fldChar w:fldCharType="end"/>
      </w:r>
      <w:bookmarkStart w:id="1452" w:name="_Toc5306"/>
      <w:bookmarkStart w:id="1453" w:name="_Toc2215"/>
      <w:bookmarkStart w:id="1454" w:name="_Toc11193"/>
      <w:bookmarkStart w:id="1455" w:name="_Toc1920"/>
      <w:bookmarkStart w:id="1456" w:name="_Toc2708"/>
      <w:bookmarkStart w:id="1457" w:name="_Toc31819"/>
      <w:bookmarkStart w:id="1458" w:name="_Toc26119"/>
      <w:bookmarkStart w:id="1459" w:name="_Toc28828"/>
      <w:bookmarkStart w:id="1460" w:name="_Toc31757"/>
      <w:bookmarkStart w:id="1461" w:name="_Toc17669"/>
      <w:bookmarkStart w:id="1462" w:name="_Toc20931"/>
      <w:bookmarkEnd w:id="1446"/>
      <w:r>
        <w:t xml:space="preserve"> - </w:t>
      </w:r>
      <w:r>
        <w:rPr>
          <w:rFonts w:cs="Times New Roman"/>
        </w:rPr>
        <w:t>Performanțe zone continui cu înălţimea de cel puţin 1,20 m dispuse în planul peretelui cortină</w:t>
      </w:r>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p>
    <w:p w14:paraId="7C421B1A" w14:textId="77777777" w:rsidR="001C08A5" w:rsidRDefault="00000000">
      <w:pPr>
        <w:pStyle w:val="BodyText"/>
        <w:rPr>
          <w:iCs/>
          <w:sz w:val="22"/>
          <w:szCs w:val="22"/>
        </w:rPr>
      </w:pPr>
      <w:r>
        <w:rPr>
          <w:sz w:val="22"/>
          <w:szCs w:val="22"/>
        </w:rPr>
        <w:t xml:space="preserve">Notă Figura 46: </w:t>
      </w:r>
      <w:r>
        <w:rPr>
          <w:b w:val="0"/>
          <w:bCs w:val="0"/>
          <w:iCs/>
          <w:sz w:val="22"/>
          <w:szCs w:val="22"/>
        </w:rPr>
        <w:t>Zona continuă</w:t>
      </w:r>
      <w:r>
        <w:rPr>
          <w:iCs/>
          <w:sz w:val="22"/>
          <w:szCs w:val="22"/>
        </w:rPr>
        <w:t xml:space="preserve"> EI x </w:t>
      </w:r>
      <w:r>
        <w:rPr>
          <w:rFonts w:eastAsia="Arial-BoldMT"/>
          <w:sz w:val="22"/>
          <w:szCs w:val="22"/>
          <w:lang w:eastAsia="ro-RO"/>
        </w:rPr>
        <w:t>(o→i)</w:t>
      </w:r>
      <w:r>
        <w:rPr>
          <w:rFonts w:eastAsia="Arial-BoldMT"/>
          <w:b w:val="0"/>
          <w:bCs w:val="0"/>
          <w:sz w:val="22"/>
          <w:szCs w:val="22"/>
          <w:lang w:eastAsia="ro-RO"/>
        </w:rPr>
        <w:t xml:space="preserve"> </w:t>
      </w:r>
      <w:r>
        <w:rPr>
          <w:b w:val="0"/>
          <w:bCs w:val="0"/>
          <w:iCs/>
          <w:sz w:val="22"/>
          <w:szCs w:val="22"/>
        </w:rPr>
        <w:t>este inserată în pereții cortină, fiind parte constructivă a peretelui cortină, aceasta fiind prinsă în/de peretele cortină în principal și suplimentar de planșeul clădirii</w:t>
      </w:r>
    </w:p>
    <w:p w14:paraId="0F16A045" w14:textId="77777777" w:rsidR="001C08A5" w:rsidRDefault="001C08A5">
      <w:pPr>
        <w:pStyle w:val="BodyText"/>
        <w:rPr>
          <w:iCs/>
          <w:sz w:val="22"/>
          <w:szCs w:val="22"/>
        </w:rPr>
      </w:pPr>
    </w:p>
    <w:p w14:paraId="720F393A" w14:textId="77777777" w:rsidR="001C08A5" w:rsidRDefault="00000000">
      <w:pPr>
        <w:ind w:left="720" w:firstLine="720"/>
        <w:jc w:val="both"/>
        <w:rPr>
          <w:sz w:val="24"/>
          <w:szCs w:val="24"/>
        </w:rPr>
      </w:pPr>
      <w:r>
        <w:rPr>
          <w:sz w:val="24"/>
          <w:szCs w:val="24"/>
        </w:rPr>
        <w:t>c. peretele cortină sau panoul de tâmplărie (</w:t>
      </w:r>
      <w:r>
        <w:rPr>
          <w:b/>
          <w:bCs/>
          <w:i/>
          <w:iCs/>
          <w:sz w:val="24"/>
          <w:szCs w:val="24"/>
        </w:rPr>
        <w:fldChar w:fldCharType="begin"/>
      </w:r>
      <w:r>
        <w:rPr>
          <w:b/>
          <w:bCs/>
          <w:i/>
          <w:iCs/>
          <w:sz w:val="24"/>
          <w:szCs w:val="24"/>
        </w:rPr>
        <w:instrText xml:space="preserve"> REF _Ref13666 \h </w:instrText>
      </w:r>
      <w:r>
        <w:rPr>
          <w:b/>
          <w:bCs/>
          <w:i/>
          <w:iCs/>
          <w:sz w:val="24"/>
          <w:szCs w:val="24"/>
        </w:rPr>
      </w:r>
      <w:r>
        <w:rPr>
          <w:b/>
          <w:bCs/>
          <w:i/>
          <w:iCs/>
          <w:sz w:val="24"/>
          <w:szCs w:val="24"/>
        </w:rPr>
        <w:fldChar w:fldCharType="separate"/>
      </w:r>
      <w:r>
        <w:t>Figura 46</w:t>
      </w:r>
      <w:r>
        <w:rPr>
          <w:b/>
          <w:bCs/>
          <w:i/>
          <w:iCs/>
          <w:sz w:val="24"/>
          <w:szCs w:val="24"/>
        </w:rPr>
        <w:fldChar w:fldCharType="end"/>
      </w:r>
      <w:r>
        <w:rPr>
          <w:sz w:val="24"/>
          <w:szCs w:val="24"/>
        </w:rPr>
        <w:t>) trebuie să îndeplinească următorul criteriu (integral, pe toată înălțimea):</w:t>
      </w:r>
    </w:p>
    <w:p w14:paraId="4D134ED2" w14:textId="77777777" w:rsidR="001C08A5" w:rsidRDefault="00000000">
      <w:pPr>
        <w:numPr>
          <w:ilvl w:val="0"/>
          <w:numId w:val="41"/>
        </w:numPr>
        <w:tabs>
          <w:tab w:val="clear" w:pos="1680"/>
        </w:tabs>
        <w:ind w:left="2100"/>
        <w:jc w:val="both"/>
        <w:rPr>
          <w:sz w:val="24"/>
          <w:szCs w:val="24"/>
        </w:rPr>
      </w:pPr>
      <w:r>
        <w:rPr>
          <w:sz w:val="24"/>
          <w:szCs w:val="24"/>
        </w:rPr>
        <w:t>la clădiri cu înălțime obișnuită:</w:t>
      </w:r>
    </w:p>
    <w:p w14:paraId="78C3A5BA" w14:textId="77777777" w:rsidR="001C08A5" w:rsidRDefault="00000000">
      <w:pPr>
        <w:ind w:left="2160" w:firstLine="720"/>
        <w:jc w:val="both"/>
        <w:rPr>
          <w:sz w:val="24"/>
          <w:szCs w:val="24"/>
        </w:rPr>
      </w:pPr>
      <w:r>
        <w:rPr>
          <w:sz w:val="24"/>
          <w:szCs w:val="24"/>
        </w:rPr>
        <w:t xml:space="preserve">i. rezistența la foc minimum </w:t>
      </w:r>
      <w:r>
        <w:rPr>
          <w:b/>
          <w:bCs/>
          <w:sz w:val="24"/>
          <w:szCs w:val="24"/>
        </w:rPr>
        <w:t xml:space="preserve">EI 30 </w:t>
      </w:r>
      <w:r>
        <w:rPr>
          <w:b/>
          <w:sz w:val="24"/>
          <w:szCs w:val="24"/>
        </w:rPr>
        <w:t>(o↔i)</w:t>
      </w:r>
      <w:r>
        <w:rPr>
          <w:b/>
          <w:bCs/>
          <w:sz w:val="24"/>
          <w:szCs w:val="24"/>
        </w:rPr>
        <w:t>;</w:t>
      </w:r>
    </w:p>
    <w:p w14:paraId="04B9CFCD" w14:textId="77777777" w:rsidR="001C08A5" w:rsidRDefault="00000000">
      <w:pPr>
        <w:numPr>
          <w:ilvl w:val="0"/>
          <w:numId w:val="41"/>
        </w:numPr>
        <w:tabs>
          <w:tab w:val="clear" w:pos="1680"/>
        </w:tabs>
        <w:ind w:left="2100"/>
        <w:jc w:val="both"/>
        <w:rPr>
          <w:sz w:val="24"/>
          <w:szCs w:val="24"/>
        </w:rPr>
      </w:pPr>
      <w:r>
        <w:rPr>
          <w:sz w:val="24"/>
          <w:szCs w:val="24"/>
        </w:rPr>
        <w:lastRenderedPageBreak/>
        <w:t>la clădiri înalte:</w:t>
      </w:r>
    </w:p>
    <w:p w14:paraId="6765AF6E" w14:textId="77777777" w:rsidR="001C08A5" w:rsidRDefault="00000000">
      <w:pPr>
        <w:ind w:left="2160" w:firstLine="720"/>
        <w:jc w:val="both"/>
        <w:rPr>
          <w:sz w:val="24"/>
          <w:szCs w:val="24"/>
        </w:rPr>
      </w:pPr>
      <w:r>
        <w:rPr>
          <w:sz w:val="24"/>
          <w:szCs w:val="24"/>
        </w:rPr>
        <w:t xml:space="preserve">i. rezistența la foc minimum </w:t>
      </w:r>
      <w:r>
        <w:rPr>
          <w:b/>
          <w:bCs/>
          <w:sz w:val="24"/>
          <w:szCs w:val="24"/>
        </w:rPr>
        <w:t xml:space="preserve">EI 30 </w:t>
      </w:r>
      <w:r>
        <w:rPr>
          <w:b/>
          <w:sz w:val="24"/>
          <w:szCs w:val="24"/>
        </w:rPr>
        <w:t>(o↔i)</w:t>
      </w:r>
      <w:r>
        <w:rPr>
          <w:b/>
          <w:bCs/>
          <w:sz w:val="24"/>
          <w:szCs w:val="24"/>
        </w:rPr>
        <w:t>;</w:t>
      </w:r>
    </w:p>
    <w:p w14:paraId="4308057F" w14:textId="77777777" w:rsidR="001C08A5" w:rsidRDefault="00000000">
      <w:pPr>
        <w:numPr>
          <w:ilvl w:val="0"/>
          <w:numId w:val="41"/>
        </w:numPr>
        <w:tabs>
          <w:tab w:val="clear" w:pos="1680"/>
        </w:tabs>
        <w:ind w:left="2100"/>
        <w:jc w:val="both"/>
        <w:rPr>
          <w:sz w:val="24"/>
          <w:szCs w:val="24"/>
        </w:rPr>
      </w:pPr>
      <w:r>
        <w:rPr>
          <w:sz w:val="24"/>
          <w:szCs w:val="24"/>
        </w:rPr>
        <w:t>la clădiri foarte înalte:</w:t>
      </w:r>
    </w:p>
    <w:p w14:paraId="25C7C09D" w14:textId="77777777" w:rsidR="001C08A5" w:rsidRDefault="00000000">
      <w:pPr>
        <w:ind w:left="2160" w:firstLine="720"/>
        <w:jc w:val="both"/>
        <w:rPr>
          <w:sz w:val="24"/>
          <w:szCs w:val="24"/>
        </w:rPr>
      </w:pPr>
      <w:r>
        <w:rPr>
          <w:sz w:val="24"/>
          <w:szCs w:val="24"/>
        </w:rPr>
        <w:t xml:space="preserve">i. rezistența la foc minimum </w:t>
      </w:r>
      <w:r>
        <w:rPr>
          <w:b/>
          <w:bCs/>
          <w:sz w:val="24"/>
          <w:szCs w:val="24"/>
        </w:rPr>
        <w:t xml:space="preserve">EI 60 </w:t>
      </w:r>
      <w:r>
        <w:rPr>
          <w:b/>
          <w:sz w:val="24"/>
          <w:szCs w:val="24"/>
        </w:rPr>
        <w:t>(o↔i)</w:t>
      </w:r>
      <w:r>
        <w:rPr>
          <w:b/>
          <w:bCs/>
          <w:sz w:val="24"/>
          <w:szCs w:val="24"/>
        </w:rPr>
        <w:t>;</w:t>
      </w:r>
    </w:p>
    <w:p w14:paraId="7B351AF4" w14:textId="77777777" w:rsidR="001C08A5" w:rsidRDefault="00000000">
      <w:pPr>
        <w:jc w:val="both"/>
        <w:rPr>
          <w:i/>
          <w:iCs/>
          <w:sz w:val="22"/>
          <w:szCs w:val="22"/>
        </w:rPr>
      </w:pPr>
      <w:r>
        <w:rPr>
          <w:b/>
          <w:bCs/>
          <w:i/>
          <w:iCs/>
          <w:sz w:val="22"/>
          <w:szCs w:val="22"/>
        </w:rPr>
        <w:t>Note:</w:t>
      </w:r>
      <w:r>
        <w:rPr>
          <w:i/>
          <w:iCs/>
          <w:sz w:val="22"/>
          <w:szCs w:val="22"/>
        </w:rPr>
        <w:t xml:space="preserve">1) Pentru elemente de închidere rezistente la foc ale golurilor funcţionale prevazute în pereţii de compartimentare (din exterior) amplasaţi la colţurile intrânde ale construcţiilor civile în formă de </w:t>
      </w:r>
      <w:r>
        <w:rPr>
          <w:b/>
          <w:bCs/>
          <w:i/>
          <w:iCs/>
          <w:sz w:val="22"/>
          <w:szCs w:val="22"/>
        </w:rPr>
        <w:t>L</w:t>
      </w:r>
      <w:r>
        <w:rPr>
          <w:i/>
          <w:iCs/>
          <w:sz w:val="22"/>
          <w:szCs w:val="22"/>
        </w:rPr>
        <w:t xml:space="preserve">, </w:t>
      </w:r>
      <w:r>
        <w:rPr>
          <w:b/>
          <w:bCs/>
          <w:i/>
          <w:iCs/>
          <w:sz w:val="22"/>
          <w:szCs w:val="22"/>
        </w:rPr>
        <w:t>T</w:t>
      </w:r>
      <w:r>
        <w:rPr>
          <w:i/>
          <w:iCs/>
          <w:sz w:val="22"/>
          <w:szCs w:val="22"/>
        </w:rPr>
        <w:t xml:space="preserve"> sau </w:t>
      </w:r>
      <w:r>
        <w:rPr>
          <w:b/>
          <w:bCs/>
          <w:i/>
          <w:iCs/>
          <w:sz w:val="22"/>
          <w:szCs w:val="22"/>
        </w:rPr>
        <w:t>U</w:t>
      </w:r>
      <w:r>
        <w:rPr>
          <w:i/>
          <w:iCs/>
          <w:sz w:val="22"/>
          <w:szCs w:val="22"/>
        </w:rPr>
        <w:t xml:space="preserve"> se vor utiliza valorile prevăzute în </w:t>
      </w:r>
      <w:r>
        <w:rPr>
          <w:rStyle w:val="CaptiontabelChar"/>
          <w:sz w:val="22"/>
          <w:szCs w:val="22"/>
        </w:rPr>
        <w:fldChar w:fldCharType="begin"/>
      </w:r>
      <w:r>
        <w:rPr>
          <w:rStyle w:val="CaptiontabelChar"/>
          <w:sz w:val="22"/>
          <w:szCs w:val="22"/>
        </w:rPr>
        <w:instrText xml:space="preserve"> REF _Ref29021 \h </w:instrText>
      </w:r>
      <w:r>
        <w:rPr>
          <w:rStyle w:val="CaptiontabelChar"/>
          <w:sz w:val="22"/>
          <w:szCs w:val="22"/>
        </w:rPr>
      </w:r>
      <w:r>
        <w:rPr>
          <w:rStyle w:val="CaptiontabelChar"/>
          <w:sz w:val="22"/>
          <w:szCs w:val="22"/>
        </w:rPr>
        <w:fldChar w:fldCharType="separate"/>
      </w:r>
      <w:r>
        <w:t>Tabelul 7</w:t>
      </w:r>
      <w:r>
        <w:rPr>
          <w:rStyle w:val="CaptiontabelChar"/>
          <w:sz w:val="22"/>
          <w:szCs w:val="22"/>
        </w:rPr>
        <w:fldChar w:fldCharType="end"/>
      </w:r>
      <w:r>
        <w:rPr>
          <w:rStyle w:val="CaptiontabelChar"/>
          <w:sz w:val="22"/>
          <w:szCs w:val="22"/>
        </w:rPr>
        <w:t xml:space="preserve">, </w:t>
      </w:r>
      <w:r>
        <w:rPr>
          <w:rStyle w:val="CaptiontabelChar"/>
          <w:sz w:val="22"/>
          <w:szCs w:val="22"/>
        </w:rPr>
        <w:fldChar w:fldCharType="begin"/>
      </w:r>
      <w:r>
        <w:rPr>
          <w:rStyle w:val="CaptiontabelChar"/>
          <w:sz w:val="22"/>
          <w:szCs w:val="22"/>
        </w:rPr>
        <w:instrText xml:space="preserve"> REF _Ref29070 \h </w:instrText>
      </w:r>
      <w:r>
        <w:rPr>
          <w:rStyle w:val="CaptiontabelChar"/>
          <w:sz w:val="22"/>
          <w:szCs w:val="22"/>
        </w:rPr>
      </w:r>
      <w:r>
        <w:rPr>
          <w:rStyle w:val="CaptiontabelChar"/>
          <w:sz w:val="22"/>
          <w:szCs w:val="22"/>
        </w:rPr>
        <w:fldChar w:fldCharType="separate"/>
      </w:r>
      <w:r>
        <w:t>Tabelul 8</w:t>
      </w:r>
      <w:r>
        <w:rPr>
          <w:rStyle w:val="CaptiontabelChar"/>
          <w:sz w:val="22"/>
          <w:szCs w:val="22"/>
        </w:rPr>
        <w:fldChar w:fldCharType="end"/>
      </w:r>
      <w:r>
        <w:rPr>
          <w:rStyle w:val="CaptiontabelChar"/>
          <w:sz w:val="22"/>
          <w:szCs w:val="22"/>
        </w:rPr>
        <w:t xml:space="preserve">, </w:t>
      </w:r>
      <w:r>
        <w:rPr>
          <w:rStyle w:val="CaptiontabelChar"/>
          <w:sz w:val="22"/>
          <w:szCs w:val="22"/>
        </w:rPr>
        <w:fldChar w:fldCharType="begin"/>
      </w:r>
      <w:r>
        <w:rPr>
          <w:rStyle w:val="CaptiontabelChar"/>
          <w:sz w:val="22"/>
          <w:szCs w:val="22"/>
        </w:rPr>
        <w:instrText xml:space="preserve"> REF _Ref29305 \h </w:instrText>
      </w:r>
      <w:r>
        <w:rPr>
          <w:rStyle w:val="CaptiontabelChar"/>
          <w:sz w:val="22"/>
          <w:szCs w:val="22"/>
        </w:rPr>
      </w:r>
      <w:r>
        <w:rPr>
          <w:rStyle w:val="CaptiontabelChar"/>
          <w:sz w:val="22"/>
          <w:szCs w:val="22"/>
        </w:rPr>
        <w:fldChar w:fldCharType="separate"/>
      </w:r>
      <w:r>
        <w:t>Tabelul 9</w:t>
      </w:r>
      <w:r>
        <w:rPr>
          <w:rStyle w:val="CaptiontabelChar"/>
          <w:sz w:val="22"/>
          <w:szCs w:val="22"/>
        </w:rPr>
        <w:fldChar w:fldCharType="end"/>
      </w:r>
      <w:r>
        <w:rPr>
          <w:rStyle w:val="CaptiontabelChar"/>
          <w:sz w:val="22"/>
          <w:szCs w:val="22"/>
        </w:rPr>
        <w:t xml:space="preserve">, </w:t>
      </w:r>
      <w:r>
        <w:rPr>
          <w:rStyle w:val="CaptiontabelChar"/>
          <w:sz w:val="22"/>
          <w:szCs w:val="22"/>
        </w:rPr>
        <w:fldChar w:fldCharType="begin"/>
      </w:r>
      <w:r>
        <w:rPr>
          <w:rStyle w:val="CaptiontabelChar"/>
          <w:sz w:val="22"/>
          <w:szCs w:val="22"/>
        </w:rPr>
        <w:instrText xml:space="preserve"> REF _Ref29328 \h </w:instrText>
      </w:r>
      <w:r>
        <w:rPr>
          <w:rStyle w:val="CaptiontabelChar"/>
          <w:sz w:val="22"/>
          <w:szCs w:val="22"/>
        </w:rPr>
      </w:r>
      <w:r>
        <w:rPr>
          <w:rStyle w:val="CaptiontabelChar"/>
          <w:sz w:val="22"/>
          <w:szCs w:val="22"/>
        </w:rPr>
        <w:fldChar w:fldCharType="separate"/>
      </w:r>
      <w:r>
        <w:t>Tabelul 10</w:t>
      </w:r>
      <w:r>
        <w:rPr>
          <w:rStyle w:val="CaptiontabelChar"/>
          <w:sz w:val="22"/>
          <w:szCs w:val="22"/>
        </w:rPr>
        <w:fldChar w:fldCharType="end"/>
      </w:r>
      <w:r>
        <w:rPr>
          <w:rStyle w:val="CaptiontabelChar"/>
          <w:sz w:val="22"/>
          <w:szCs w:val="22"/>
        </w:rPr>
        <w:t xml:space="preserve">, </w:t>
      </w:r>
      <w:r>
        <w:rPr>
          <w:rStyle w:val="CaptiontabelChar"/>
          <w:sz w:val="22"/>
          <w:szCs w:val="22"/>
        </w:rPr>
        <w:fldChar w:fldCharType="begin"/>
      </w:r>
      <w:r>
        <w:rPr>
          <w:rStyle w:val="CaptiontabelChar"/>
          <w:sz w:val="22"/>
          <w:szCs w:val="22"/>
        </w:rPr>
        <w:instrText xml:space="preserve"> REF _Ref29461 \h </w:instrText>
      </w:r>
      <w:r>
        <w:rPr>
          <w:rStyle w:val="CaptiontabelChar"/>
          <w:sz w:val="22"/>
          <w:szCs w:val="22"/>
        </w:rPr>
      </w:r>
      <w:r>
        <w:rPr>
          <w:rStyle w:val="CaptiontabelChar"/>
          <w:sz w:val="22"/>
          <w:szCs w:val="22"/>
        </w:rPr>
        <w:fldChar w:fldCharType="separate"/>
      </w:r>
      <w:r>
        <w:t>Tabelul 11</w:t>
      </w:r>
      <w:r>
        <w:rPr>
          <w:rStyle w:val="CaptiontabelChar"/>
          <w:sz w:val="22"/>
          <w:szCs w:val="22"/>
        </w:rPr>
        <w:fldChar w:fldCharType="end"/>
      </w:r>
      <w:r>
        <w:rPr>
          <w:rStyle w:val="CaptiontabelChar"/>
          <w:sz w:val="22"/>
          <w:szCs w:val="22"/>
        </w:rPr>
        <w:t xml:space="preserve"> </w:t>
      </w:r>
      <w:r>
        <w:rPr>
          <w:rStyle w:val="CaptiontabelChar"/>
          <w:b w:val="0"/>
          <w:bCs/>
          <w:sz w:val="22"/>
          <w:szCs w:val="22"/>
        </w:rPr>
        <w:t xml:space="preserve">și </w:t>
      </w:r>
      <w:r>
        <w:rPr>
          <w:rStyle w:val="CaptiontabelChar"/>
          <w:sz w:val="22"/>
          <w:szCs w:val="22"/>
        </w:rPr>
        <w:fldChar w:fldCharType="begin"/>
      </w:r>
      <w:r>
        <w:rPr>
          <w:rStyle w:val="CaptiontabelChar"/>
          <w:sz w:val="22"/>
          <w:szCs w:val="22"/>
        </w:rPr>
        <w:instrText xml:space="preserve"> REF _Ref29484 \h </w:instrText>
      </w:r>
      <w:r>
        <w:rPr>
          <w:rStyle w:val="CaptiontabelChar"/>
          <w:sz w:val="22"/>
          <w:szCs w:val="22"/>
        </w:rPr>
      </w:r>
      <w:r>
        <w:rPr>
          <w:rStyle w:val="CaptiontabelChar"/>
          <w:sz w:val="22"/>
          <w:szCs w:val="22"/>
        </w:rPr>
        <w:fldChar w:fldCharType="separate"/>
      </w:r>
      <w:r>
        <w:t>Tabelul 12</w:t>
      </w:r>
      <w:r>
        <w:rPr>
          <w:rStyle w:val="CaptiontabelChar"/>
          <w:sz w:val="22"/>
          <w:szCs w:val="22"/>
        </w:rPr>
        <w:fldChar w:fldCharType="end"/>
      </w:r>
      <w:r>
        <w:rPr>
          <w:i/>
          <w:iCs/>
          <w:sz w:val="22"/>
          <w:szCs w:val="22"/>
        </w:rPr>
        <w:t xml:space="preserve"> și </w:t>
      </w:r>
      <w:r>
        <w:rPr>
          <w:b/>
          <w:bCs/>
          <w:i/>
          <w:iCs/>
          <w:sz w:val="22"/>
          <w:szCs w:val="22"/>
        </w:rPr>
        <w:t xml:space="preserve"> </w:t>
      </w:r>
      <w:r>
        <w:rPr>
          <w:i/>
          <w:iCs/>
          <w:sz w:val="22"/>
          <w:szCs w:val="22"/>
        </w:rPr>
        <w:t xml:space="preserve">iar pentru elemente de închidere rezistente la foc ale golurilor funcţionale prevazute în pereţii de compartimentare (din exterior) amplasaţi la colţurile intrânde ale construcţiilor de producție depozitare în formă de </w:t>
      </w:r>
      <w:r>
        <w:rPr>
          <w:b/>
          <w:bCs/>
          <w:i/>
          <w:iCs/>
          <w:sz w:val="22"/>
          <w:szCs w:val="22"/>
        </w:rPr>
        <w:t>L</w:t>
      </w:r>
      <w:r>
        <w:rPr>
          <w:i/>
          <w:iCs/>
          <w:sz w:val="22"/>
          <w:szCs w:val="22"/>
        </w:rPr>
        <w:t xml:space="preserve">, </w:t>
      </w:r>
      <w:r>
        <w:rPr>
          <w:b/>
          <w:bCs/>
          <w:i/>
          <w:iCs/>
          <w:sz w:val="22"/>
          <w:szCs w:val="22"/>
        </w:rPr>
        <w:t>T</w:t>
      </w:r>
      <w:r>
        <w:rPr>
          <w:i/>
          <w:iCs/>
          <w:sz w:val="22"/>
          <w:szCs w:val="22"/>
        </w:rPr>
        <w:t xml:space="preserve"> sau </w:t>
      </w:r>
      <w:r>
        <w:rPr>
          <w:b/>
          <w:bCs/>
          <w:i/>
          <w:iCs/>
          <w:sz w:val="22"/>
          <w:szCs w:val="22"/>
        </w:rPr>
        <w:t>U</w:t>
      </w:r>
      <w:r>
        <w:rPr>
          <w:i/>
          <w:iCs/>
          <w:sz w:val="22"/>
          <w:szCs w:val="22"/>
        </w:rPr>
        <w:t xml:space="preserve"> se vor utiliza valorile prevăzute în </w:t>
      </w:r>
      <w:r>
        <w:rPr>
          <w:rStyle w:val="CaptiontabelChar"/>
          <w:sz w:val="22"/>
          <w:szCs w:val="22"/>
        </w:rPr>
        <w:fldChar w:fldCharType="begin"/>
      </w:r>
      <w:r>
        <w:rPr>
          <w:rStyle w:val="CaptiontabelChar"/>
          <w:sz w:val="22"/>
          <w:szCs w:val="22"/>
        </w:rPr>
        <w:instrText xml:space="preserve"> REF _Ref27343 \h </w:instrText>
      </w:r>
      <w:r>
        <w:rPr>
          <w:rStyle w:val="CaptiontabelChar"/>
          <w:sz w:val="22"/>
          <w:szCs w:val="22"/>
        </w:rPr>
      </w:r>
      <w:r>
        <w:rPr>
          <w:rStyle w:val="CaptiontabelChar"/>
          <w:sz w:val="22"/>
          <w:szCs w:val="22"/>
        </w:rPr>
        <w:fldChar w:fldCharType="separate"/>
      </w:r>
      <w:r>
        <w:t>Tabelul 13</w:t>
      </w:r>
      <w:r>
        <w:rPr>
          <w:rStyle w:val="CaptiontabelChar"/>
          <w:sz w:val="22"/>
          <w:szCs w:val="22"/>
        </w:rPr>
        <w:fldChar w:fldCharType="end"/>
      </w:r>
      <w:r>
        <w:rPr>
          <w:i/>
          <w:iCs/>
          <w:sz w:val="22"/>
          <w:szCs w:val="22"/>
        </w:rPr>
        <w:t xml:space="preserve">. </w:t>
      </w:r>
    </w:p>
    <w:p w14:paraId="3F57ED44" w14:textId="77777777" w:rsidR="001C08A5" w:rsidRDefault="00000000">
      <w:pPr>
        <w:jc w:val="both"/>
        <w:rPr>
          <w:i/>
          <w:iCs/>
          <w:sz w:val="22"/>
          <w:szCs w:val="22"/>
        </w:rPr>
      </w:pPr>
      <w:r>
        <w:rPr>
          <w:i/>
          <w:iCs/>
          <w:sz w:val="22"/>
          <w:szCs w:val="22"/>
        </w:rPr>
        <w:t xml:space="preserve">2) În situația vitrării pe toată înălțimea se poate alege soluția de la alineatul anterior (zone vitrate cu înălţimea de cel puţin </w:t>
      </w:r>
      <w:r>
        <w:rPr>
          <w:b/>
          <w:bCs/>
          <w:i/>
          <w:iCs/>
          <w:sz w:val="22"/>
          <w:szCs w:val="22"/>
        </w:rPr>
        <w:t>1,20 m</w:t>
      </w:r>
      <w:r>
        <w:rPr>
          <w:i/>
          <w:iCs/>
          <w:sz w:val="22"/>
          <w:szCs w:val="22"/>
        </w:rPr>
        <w:t>) care trebuie să îndeplinească criteriile prevăzute anterior (la lit. b))</w:t>
      </w:r>
    </w:p>
    <w:p w14:paraId="2B360F77" w14:textId="77777777" w:rsidR="001C08A5" w:rsidRDefault="001C08A5">
      <w:pPr>
        <w:jc w:val="both"/>
        <w:rPr>
          <w:i/>
          <w:iCs/>
          <w:sz w:val="22"/>
          <w:szCs w:val="22"/>
        </w:rPr>
      </w:pPr>
    </w:p>
    <w:p w14:paraId="53FBFFD4" w14:textId="77777777" w:rsidR="001C08A5" w:rsidRDefault="00000000">
      <w:pPr>
        <w:jc w:val="center"/>
      </w:pPr>
      <w:r>
        <w:rPr>
          <w:noProof/>
          <w:lang w:eastAsia="ro-RO"/>
        </w:rPr>
        <w:drawing>
          <wp:inline distT="0" distB="0" distL="0" distR="0" wp14:anchorId="58D5AD23" wp14:editId="1860026A">
            <wp:extent cx="4479290" cy="2496820"/>
            <wp:effectExtent l="0" t="0" r="16510" b="17780"/>
            <wp:docPr id="1111" name="Picture 5"/>
            <wp:cNvGraphicFramePr/>
            <a:graphic xmlns:a="http://schemas.openxmlformats.org/drawingml/2006/main">
              <a:graphicData uri="http://schemas.openxmlformats.org/drawingml/2006/picture">
                <pic:pic xmlns:pic="http://schemas.openxmlformats.org/drawingml/2006/picture">
                  <pic:nvPicPr>
                    <pic:cNvPr id="1111" name="Picture 5"/>
                    <pic:cNvPicPr/>
                  </pic:nvPicPr>
                  <pic:blipFill>
                    <a:blip r:embed="rId137" cstate="print"/>
                    <a:srcRect l="23982" t="6099" r="16661" b="5082"/>
                    <a:stretch>
                      <a:fillRect/>
                    </a:stretch>
                  </pic:blipFill>
                  <pic:spPr>
                    <a:xfrm>
                      <a:off x="0" y="0"/>
                      <a:ext cx="4479290" cy="2496820"/>
                    </a:xfrm>
                    <a:prstGeom prst="rect">
                      <a:avLst/>
                    </a:prstGeom>
                    <a:ln>
                      <a:no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3"/>
        <w:gridCol w:w="2464"/>
        <w:gridCol w:w="2464"/>
      </w:tblGrid>
      <w:tr w:rsidR="001C08A5" w14:paraId="4900E5C3" w14:textId="77777777">
        <w:trPr>
          <w:jc w:val="center"/>
        </w:trPr>
        <w:tc>
          <w:tcPr>
            <w:tcW w:w="2463" w:type="dxa"/>
          </w:tcPr>
          <w:p w14:paraId="05923951" w14:textId="77777777" w:rsidR="001C08A5" w:rsidRDefault="00000000">
            <w:pPr>
              <w:numPr>
                <w:ilvl w:val="0"/>
                <w:numId w:val="44"/>
              </w:numPr>
              <w:jc w:val="center"/>
              <w:rPr>
                <w:i/>
                <w:iCs/>
                <w:sz w:val="22"/>
                <w:szCs w:val="22"/>
              </w:rPr>
            </w:pPr>
            <w:r>
              <w:rPr>
                <w:i/>
                <w:iCs/>
                <w:sz w:val="22"/>
                <w:szCs w:val="22"/>
              </w:rPr>
              <w:t>la clădiri cu înălțime obișnuită</w:t>
            </w:r>
          </w:p>
        </w:tc>
        <w:tc>
          <w:tcPr>
            <w:tcW w:w="2464" w:type="dxa"/>
          </w:tcPr>
          <w:p w14:paraId="55AD8EF9" w14:textId="77777777" w:rsidR="001C08A5" w:rsidRDefault="00000000">
            <w:pPr>
              <w:numPr>
                <w:ilvl w:val="0"/>
                <w:numId w:val="44"/>
              </w:numPr>
              <w:jc w:val="center"/>
              <w:rPr>
                <w:i/>
                <w:iCs/>
                <w:sz w:val="22"/>
                <w:szCs w:val="22"/>
              </w:rPr>
            </w:pPr>
            <w:r>
              <w:rPr>
                <w:i/>
                <w:iCs/>
                <w:sz w:val="22"/>
                <w:szCs w:val="22"/>
              </w:rPr>
              <w:t>la clădiri înalte</w:t>
            </w:r>
          </w:p>
        </w:tc>
        <w:tc>
          <w:tcPr>
            <w:tcW w:w="2464" w:type="dxa"/>
          </w:tcPr>
          <w:p w14:paraId="7E52C949" w14:textId="77777777" w:rsidR="001C08A5" w:rsidRDefault="00000000">
            <w:pPr>
              <w:numPr>
                <w:ilvl w:val="0"/>
                <w:numId w:val="44"/>
              </w:numPr>
              <w:jc w:val="center"/>
              <w:rPr>
                <w:i/>
                <w:iCs/>
                <w:sz w:val="22"/>
                <w:szCs w:val="22"/>
              </w:rPr>
            </w:pPr>
            <w:r>
              <w:rPr>
                <w:i/>
                <w:iCs/>
                <w:sz w:val="22"/>
                <w:szCs w:val="22"/>
              </w:rPr>
              <w:t xml:space="preserve">la clădiri foarte înalte </w:t>
            </w:r>
          </w:p>
        </w:tc>
      </w:tr>
    </w:tbl>
    <w:p w14:paraId="427B4793" w14:textId="77777777" w:rsidR="001C08A5" w:rsidRDefault="00000000">
      <w:pPr>
        <w:pStyle w:val="Caption"/>
        <w:jc w:val="center"/>
        <w:rPr>
          <w:rFonts w:cs="Times New Roman"/>
          <w:sz w:val="22"/>
          <w:szCs w:val="22"/>
        </w:rPr>
      </w:pPr>
      <w:r>
        <w:rPr>
          <w:rFonts w:cs="Times New Roman"/>
          <w:sz w:val="22"/>
          <w:szCs w:val="22"/>
        </w:rPr>
        <w:t>Varianta 1): Caz general - performanțe zone continui vitrate dispuse în planul peretelui cortină</w:t>
      </w:r>
    </w:p>
    <w:p w14:paraId="0E75B529" w14:textId="77777777" w:rsidR="001C08A5" w:rsidRDefault="00000000">
      <w:pPr>
        <w:jc w:val="center"/>
      </w:pPr>
      <w:r>
        <w:rPr>
          <w:noProof/>
          <w:lang w:eastAsia="ro-RO"/>
        </w:rPr>
        <w:drawing>
          <wp:inline distT="0" distB="0" distL="0" distR="0" wp14:anchorId="36496929" wp14:editId="39541CC4">
            <wp:extent cx="4468495" cy="2489200"/>
            <wp:effectExtent l="0" t="0" r="8255" b="6350"/>
            <wp:docPr id="1112" name="Picture 133"/>
            <wp:cNvGraphicFramePr/>
            <a:graphic xmlns:a="http://schemas.openxmlformats.org/drawingml/2006/main">
              <a:graphicData uri="http://schemas.openxmlformats.org/drawingml/2006/picture">
                <pic:pic xmlns:pic="http://schemas.openxmlformats.org/drawingml/2006/picture">
                  <pic:nvPicPr>
                    <pic:cNvPr id="1112" name="Picture 133"/>
                    <pic:cNvPicPr/>
                  </pic:nvPicPr>
                  <pic:blipFill>
                    <a:blip r:embed="rId138" cstate="print"/>
                    <a:srcRect l="24082" t="5568" r="16769" b="3480"/>
                    <a:stretch>
                      <a:fillRect/>
                    </a:stretch>
                  </pic:blipFill>
                  <pic:spPr>
                    <a:xfrm>
                      <a:off x="0" y="0"/>
                      <a:ext cx="4468495" cy="2489200"/>
                    </a:xfrm>
                    <a:prstGeom prst="rect">
                      <a:avLst/>
                    </a:prstGeom>
                    <a:ln>
                      <a:no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3"/>
        <w:gridCol w:w="2464"/>
        <w:gridCol w:w="2464"/>
      </w:tblGrid>
      <w:tr w:rsidR="001C08A5" w14:paraId="5236FC3A" w14:textId="77777777">
        <w:trPr>
          <w:jc w:val="center"/>
        </w:trPr>
        <w:tc>
          <w:tcPr>
            <w:tcW w:w="2463" w:type="dxa"/>
          </w:tcPr>
          <w:p w14:paraId="54B3A8CE" w14:textId="77777777" w:rsidR="001C08A5" w:rsidRDefault="00000000">
            <w:pPr>
              <w:numPr>
                <w:ilvl w:val="0"/>
                <w:numId w:val="45"/>
              </w:numPr>
              <w:jc w:val="center"/>
              <w:rPr>
                <w:i/>
                <w:iCs/>
                <w:sz w:val="22"/>
                <w:szCs w:val="22"/>
              </w:rPr>
            </w:pPr>
            <w:r>
              <w:rPr>
                <w:i/>
                <w:iCs/>
                <w:sz w:val="22"/>
                <w:szCs w:val="22"/>
              </w:rPr>
              <w:t>la clădiri cu înălțime obișnuită</w:t>
            </w:r>
          </w:p>
        </w:tc>
        <w:tc>
          <w:tcPr>
            <w:tcW w:w="2464" w:type="dxa"/>
          </w:tcPr>
          <w:p w14:paraId="0B5FC88C" w14:textId="77777777" w:rsidR="001C08A5" w:rsidRDefault="00000000">
            <w:pPr>
              <w:numPr>
                <w:ilvl w:val="0"/>
                <w:numId w:val="45"/>
              </w:numPr>
              <w:jc w:val="center"/>
              <w:rPr>
                <w:i/>
                <w:iCs/>
                <w:sz w:val="22"/>
                <w:szCs w:val="22"/>
              </w:rPr>
            </w:pPr>
            <w:r>
              <w:rPr>
                <w:i/>
                <w:iCs/>
                <w:sz w:val="22"/>
                <w:szCs w:val="22"/>
              </w:rPr>
              <w:t>la clădiri înalte</w:t>
            </w:r>
          </w:p>
        </w:tc>
        <w:tc>
          <w:tcPr>
            <w:tcW w:w="2464" w:type="dxa"/>
          </w:tcPr>
          <w:p w14:paraId="749D50F0" w14:textId="77777777" w:rsidR="001C08A5" w:rsidRDefault="00000000">
            <w:pPr>
              <w:numPr>
                <w:ilvl w:val="0"/>
                <w:numId w:val="45"/>
              </w:numPr>
              <w:jc w:val="center"/>
              <w:rPr>
                <w:i/>
                <w:iCs/>
                <w:sz w:val="22"/>
                <w:szCs w:val="22"/>
              </w:rPr>
            </w:pPr>
            <w:r>
              <w:rPr>
                <w:i/>
                <w:iCs/>
                <w:sz w:val="22"/>
                <w:szCs w:val="22"/>
              </w:rPr>
              <w:t xml:space="preserve">la clădiri foarte înalte </w:t>
            </w:r>
          </w:p>
        </w:tc>
      </w:tr>
    </w:tbl>
    <w:p w14:paraId="22770C6C" w14:textId="77777777" w:rsidR="001C08A5" w:rsidRDefault="00000000">
      <w:pPr>
        <w:pStyle w:val="Caption"/>
        <w:jc w:val="center"/>
        <w:rPr>
          <w:rFonts w:cs="Times New Roman"/>
          <w:b w:val="0"/>
          <w:bCs/>
          <w:sz w:val="22"/>
          <w:szCs w:val="22"/>
        </w:rPr>
      </w:pPr>
      <w:r>
        <w:rPr>
          <w:rFonts w:cs="Times New Roman"/>
          <w:sz w:val="22"/>
          <w:szCs w:val="22"/>
        </w:rPr>
        <w:t>Varianta 2)</w:t>
      </w:r>
      <w:r>
        <w:rPr>
          <w:rFonts w:cs="Times New Roman"/>
          <w:b w:val="0"/>
          <w:bCs/>
          <w:sz w:val="22"/>
          <w:szCs w:val="22"/>
        </w:rPr>
        <w:t xml:space="preserve">: </w:t>
      </w:r>
      <w:r>
        <w:rPr>
          <w:rFonts w:cs="Times New Roman"/>
          <w:sz w:val="22"/>
          <w:szCs w:val="22"/>
        </w:rPr>
        <w:t>Caz general - performanțe zone continui vitrate la tâmplărie</w:t>
      </w:r>
    </w:p>
    <w:p w14:paraId="4C244C6C" w14:textId="77777777" w:rsidR="001C08A5" w:rsidRDefault="00000000">
      <w:pPr>
        <w:pStyle w:val="BodyText"/>
        <w:jc w:val="center"/>
      </w:pPr>
      <w:r>
        <w:rPr>
          <w:noProof/>
          <w:lang w:eastAsia="ro-RO"/>
        </w:rPr>
        <w:lastRenderedPageBreak/>
        <w:drawing>
          <wp:inline distT="0" distB="0" distL="0" distR="0" wp14:anchorId="6AE060FE" wp14:editId="3CF5EFA7">
            <wp:extent cx="5978525" cy="2501265"/>
            <wp:effectExtent l="0" t="0" r="3175" b="13334"/>
            <wp:docPr id="1113" name="Picture 1"/>
            <wp:cNvGraphicFramePr/>
            <a:graphic xmlns:a="http://schemas.openxmlformats.org/drawingml/2006/main">
              <a:graphicData uri="http://schemas.openxmlformats.org/drawingml/2006/picture">
                <pic:pic xmlns:pic="http://schemas.openxmlformats.org/drawingml/2006/picture">
                  <pic:nvPicPr>
                    <pic:cNvPr id="1113" name="Picture 1"/>
                    <pic:cNvPicPr/>
                  </pic:nvPicPr>
                  <pic:blipFill>
                    <a:blip r:embed="rId139" cstate="print"/>
                    <a:srcRect l="12869" t="3162" r="7948" b="4568"/>
                    <a:stretch>
                      <a:fillRect/>
                    </a:stretch>
                  </pic:blipFill>
                  <pic:spPr>
                    <a:xfrm>
                      <a:off x="0" y="0"/>
                      <a:ext cx="5978525" cy="2501265"/>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2"/>
        <w:gridCol w:w="2403"/>
        <w:gridCol w:w="2412"/>
        <w:gridCol w:w="2412"/>
      </w:tblGrid>
      <w:tr w:rsidR="001C08A5" w14:paraId="0FC57F61" w14:textId="77777777">
        <w:tc>
          <w:tcPr>
            <w:tcW w:w="2463" w:type="dxa"/>
          </w:tcPr>
          <w:p w14:paraId="2794A620" w14:textId="77777777" w:rsidR="001C08A5" w:rsidRDefault="00000000">
            <w:pPr>
              <w:numPr>
                <w:ilvl w:val="0"/>
                <w:numId w:val="46"/>
              </w:numPr>
              <w:jc w:val="center"/>
              <w:rPr>
                <w:i/>
                <w:iCs/>
                <w:sz w:val="22"/>
                <w:szCs w:val="22"/>
              </w:rPr>
            </w:pPr>
            <w:r>
              <w:rPr>
                <w:i/>
                <w:iCs/>
                <w:sz w:val="22"/>
                <w:szCs w:val="22"/>
              </w:rPr>
              <w:t>la clădiri cu înălțime obișnuită</w:t>
            </w:r>
          </w:p>
        </w:tc>
        <w:tc>
          <w:tcPr>
            <w:tcW w:w="2464" w:type="dxa"/>
          </w:tcPr>
          <w:p w14:paraId="0CB5D9C4" w14:textId="77777777" w:rsidR="001C08A5" w:rsidRDefault="00000000">
            <w:pPr>
              <w:numPr>
                <w:ilvl w:val="0"/>
                <w:numId w:val="46"/>
              </w:numPr>
              <w:jc w:val="center"/>
              <w:rPr>
                <w:i/>
                <w:iCs/>
                <w:sz w:val="22"/>
                <w:szCs w:val="22"/>
              </w:rPr>
            </w:pPr>
            <w:r>
              <w:rPr>
                <w:i/>
                <w:iCs/>
                <w:sz w:val="22"/>
                <w:szCs w:val="22"/>
              </w:rPr>
              <w:t>la clădiri înalte</w:t>
            </w:r>
          </w:p>
        </w:tc>
        <w:tc>
          <w:tcPr>
            <w:tcW w:w="2464" w:type="dxa"/>
          </w:tcPr>
          <w:p w14:paraId="376FFA43" w14:textId="77777777" w:rsidR="001C08A5" w:rsidRDefault="00000000">
            <w:pPr>
              <w:numPr>
                <w:ilvl w:val="0"/>
                <w:numId w:val="46"/>
              </w:numPr>
              <w:jc w:val="center"/>
              <w:rPr>
                <w:i/>
                <w:iCs/>
                <w:sz w:val="22"/>
                <w:szCs w:val="22"/>
              </w:rPr>
            </w:pPr>
            <w:r>
              <w:rPr>
                <w:i/>
                <w:iCs/>
                <w:sz w:val="22"/>
                <w:szCs w:val="22"/>
              </w:rPr>
              <w:t xml:space="preserve">la clădiri foarte înalte cu înălțimea mai mică de </w:t>
            </w:r>
            <w:r>
              <w:rPr>
                <w:b/>
                <w:bCs/>
                <w:i/>
                <w:iCs/>
                <w:sz w:val="22"/>
                <w:szCs w:val="22"/>
              </w:rPr>
              <w:t>125 m</w:t>
            </w:r>
          </w:p>
        </w:tc>
        <w:tc>
          <w:tcPr>
            <w:tcW w:w="2464" w:type="dxa"/>
          </w:tcPr>
          <w:p w14:paraId="5DE0AFCF" w14:textId="77777777" w:rsidR="001C08A5" w:rsidRDefault="00000000">
            <w:pPr>
              <w:numPr>
                <w:ilvl w:val="0"/>
                <w:numId w:val="46"/>
              </w:numPr>
              <w:jc w:val="center"/>
              <w:rPr>
                <w:i/>
                <w:iCs/>
                <w:sz w:val="22"/>
                <w:szCs w:val="22"/>
              </w:rPr>
            </w:pPr>
            <w:r>
              <w:rPr>
                <w:i/>
                <w:iCs/>
                <w:sz w:val="22"/>
                <w:szCs w:val="22"/>
              </w:rPr>
              <w:t>la clădiri foarte înalte cu înălțimea mai mare sau egala cu</w:t>
            </w:r>
            <w:r>
              <w:rPr>
                <w:b/>
                <w:bCs/>
                <w:i/>
                <w:iCs/>
                <w:sz w:val="22"/>
                <w:szCs w:val="22"/>
              </w:rPr>
              <w:t xml:space="preserve"> 125 m</w:t>
            </w:r>
          </w:p>
        </w:tc>
      </w:tr>
    </w:tbl>
    <w:p w14:paraId="26B46449" w14:textId="77777777" w:rsidR="001C08A5" w:rsidRDefault="00000000">
      <w:pPr>
        <w:pStyle w:val="Caption"/>
        <w:jc w:val="center"/>
        <w:rPr>
          <w:rFonts w:cs="Times New Roman"/>
          <w:b w:val="0"/>
          <w:bCs/>
          <w:sz w:val="22"/>
          <w:szCs w:val="22"/>
        </w:rPr>
      </w:pPr>
      <w:r>
        <w:rPr>
          <w:rFonts w:cs="Times New Roman"/>
          <w:sz w:val="22"/>
          <w:szCs w:val="22"/>
        </w:rPr>
        <w:t>Varianta 3):</w:t>
      </w:r>
      <w:r>
        <w:rPr>
          <w:rFonts w:cs="Times New Roman"/>
          <w:b w:val="0"/>
          <w:bCs/>
          <w:sz w:val="22"/>
          <w:szCs w:val="22"/>
        </w:rPr>
        <w:t xml:space="preserve"> </w:t>
      </w:r>
      <w:r>
        <w:rPr>
          <w:rFonts w:cs="Times New Roman"/>
          <w:sz w:val="22"/>
          <w:szCs w:val="22"/>
        </w:rPr>
        <w:t>Performanțe zone vitrate cu înălţimea de cel puţin 1,20 m dispuse în planul peretelui cortină</w:t>
      </w:r>
    </w:p>
    <w:p w14:paraId="71781943" w14:textId="77777777" w:rsidR="001C08A5" w:rsidRDefault="00000000">
      <w:pPr>
        <w:pStyle w:val="BodyText"/>
      </w:pPr>
      <w:r>
        <w:rPr>
          <w:noProof/>
          <w:lang w:eastAsia="ro-RO"/>
        </w:rPr>
        <w:drawing>
          <wp:inline distT="0" distB="0" distL="0" distR="0" wp14:anchorId="41F7AB6A" wp14:editId="5577E1DD">
            <wp:extent cx="5944870" cy="2520950"/>
            <wp:effectExtent l="0" t="0" r="17780" b="12700"/>
            <wp:docPr id="1114" name="Picture 66"/>
            <wp:cNvGraphicFramePr/>
            <a:graphic xmlns:a="http://schemas.openxmlformats.org/drawingml/2006/main">
              <a:graphicData uri="http://schemas.openxmlformats.org/drawingml/2006/picture">
                <pic:pic xmlns:pic="http://schemas.openxmlformats.org/drawingml/2006/picture">
                  <pic:nvPicPr>
                    <pic:cNvPr id="1114" name="Picture 66"/>
                    <pic:cNvPicPr/>
                  </pic:nvPicPr>
                  <pic:blipFill>
                    <a:blip r:embed="rId140" cstate="print"/>
                    <a:srcRect l="13193" t="18196" r="8035" b="23592"/>
                    <a:stretch>
                      <a:fillRect/>
                    </a:stretch>
                  </pic:blipFill>
                  <pic:spPr>
                    <a:xfrm>
                      <a:off x="0" y="0"/>
                      <a:ext cx="5944870" cy="2520950"/>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2"/>
        <w:gridCol w:w="2403"/>
        <w:gridCol w:w="2412"/>
        <w:gridCol w:w="2412"/>
      </w:tblGrid>
      <w:tr w:rsidR="001C08A5" w14:paraId="69D27AF1" w14:textId="77777777">
        <w:tc>
          <w:tcPr>
            <w:tcW w:w="2463" w:type="dxa"/>
          </w:tcPr>
          <w:p w14:paraId="276E09E4" w14:textId="77777777" w:rsidR="001C08A5" w:rsidRDefault="00000000">
            <w:pPr>
              <w:numPr>
                <w:ilvl w:val="0"/>
                <w:numId w:val="47"/>
              </w:numPr>
              <w:jc w:val="center"/>
              <w:rPr>
                <w:i/>
                <w:iCs/>
                <w:sz w:val="22"/>
                <w:szCs w:val="22"/>
              </w:rPr>
            </w:pPr>
            <w:r>
              <w:rPr>
                <w:i/>
                <w:iCs/>
                <w:sz w:val="22"/>
                <w:szCs w:val="22"/>
              </w:rPr>
              <w:t>la clădiri cu înălțime obișnuită</w:t>
            </w:r>
          </w:p>
        </w:tc>
        <w:tc>
          <w:tcPr>
            <w:tcW w:w="2464" w:type="dxa"/>
          </w:tcPr>
          <w:p w14:paraId="437E2EB1" w14:textId="77777777" w:rsidR="001C08A5" w:rsidRDefault="00000000">
            <w:pPr>
              <w:numPr>
                <w:ilvl w:val="0"/>
                <w:numId w:val="47"/>
              </w:numPr>
              <w:jc w:val="center"/>
              <w:rPr>
                <w:i/>
                <w:iCs/>
                <w:sz w:val="22"/>
                <w:szCs w:val="22"/>
              </w:rPr>
            </w:pPr>
            <w:r>
              <w:rPr>
                <w:i/>
                <w:iCs/>
                <w:sz w:val="22"/>
                <w:szCs w:val="22"/>
              </w:rPr>
              <w:t>la clădiri înalte</w:t>
            </w:r>
          </w:p>
        </w:tc>
        <w:tc>
          <w:tcPr>
            <w:tcW w:w="2464" w:type="dxa"/>
          </w:tcPr>
          <w:p w14:paraId="5AD22559" w14:textId="77777777" w:rsidR="001C08A5" w:rsidRDefault="00000000">
            <w:pPr>
              <w:numPr>
                <w:ilvl w:val="0"/>
                <w:numId w:val="47"/>
              </w:numPr>
              <w:jc w:val="center"/>
              <w:rPr>
                <w:i/>
                <w:iCs/>
                <w:sz w:val="22"/>
                <w:szCs w:val="22"/>
              </w:rPr>
            </w:pPr>
            <w:r>
              <w:rPr>
                <w:i/>
                <w:iCs/>
                <w:sz w:val="22"/>
                <w:szCs w:val="22"/>
              </w:rPr>
              <w:t xml:space="preserve">la clădiri foarte înalte cu înălțimea mai mică de </w:t>
            </w:r>
            <w:r>
              <w:rPr>
                <w:b/>
                <w:bCs/>
                <w:i/>
                <w:iCs/>
                <w:sz w:val="22"/>
                <w:szCs w:val="22"/>
              </w:rPr>
              <w:t>125 m</w:t>
            </w:r>
          </w:p>
        </w:tc>
        <w:tc>
          <w:tcPr>
            <w:tcW w:w="2464" w:type="dxa"/>
          </w:tcPr>
          <w:p w14:paraId="4AEFBA7F" w14:textId="77777777" w:rsidR="001C08A5" w:rsidRDefault="00000000">
            <w:pPr>
              <w:numPr>
                <w:ilvl w:val="0"/>
                <w:numId w:val="47"/>
              </w:numPr>
              <w:jc w:val="center"/>
              <w:rPr>
                <w:i/>
                <w:iCs/>
                <w:sz w:val="22"/>
                <w:szCs w:val="22"/>
              </w:rPr>
            </w:pPr>
            <w:r>
              <w:rPr>
                <w:i/>
                <w:iCs/>
                <w:sz w:val="22"/>
                <w:szCs w:val="22"/>
              </w:rPr>
              <w:t>la clădiri foarte înalte cu înălțimea mai mare sau egala cu</w:t>
            </w:r>
            <w:r>
              <w:rPr>
                <w:b/>
                <w:bCs/>
                <w:i/>
                <w:iCs/>
                <w:sz w:val="22"/>
                <w:szCs w:val="22"/>
              </w:rPr>
              <w:t xml:space="preserve"> 125 m</w:t>
            </w:r>
          </w:p>
        </w:tc>
      </w:tr>
    </w:tbl>
    <w:p w14:paraId="4AC36377" w14:textId="77777777" w:rsidR="001C08A5" w:rsidRDefault="00000000">
      <w:pPr>
        <w:pStyle w:val="BodyText"/>
        <w:jc w:val="center"/>
        <w:rPr>
          <w:sz w:val="22"/>
          <w:szCs w:val="22"/>
        </w:rPr>
      </w:pPr>
      <w:r>
        <w:rPr>
          <w:bCs w:val="0"/>
          <w:iCs/>
          <w:sz w:val="22"/>
          <w:szCs w:val="22"/>
        </w:rPr>
        <w:t xml:space="preserve">Varianta 4): </w:t>
      </w:r>
      <w:r>
        <w:rPr>
          <w:bCs w:val="0"/>
          <w:sz w:val="22"/>
          <w:szCs w:val="22"/>
        </w:rPr>
        <w:t>Performanțe zone vitrate cu înălţimea de cel puţin 1,20 m la tâmplărie</w:t>
      </w:r>
    </w:p>
    <w:p w14:paraId="44CBA5FF" w14:textId="77777777" w:rsidR="001C08A5" w:rsidRDefault="00000000">
      <w:pPr>
        <w:pStyle w:val="Caption"/>
        <w:jc w:val="center"/>
        <w:rPr>
          <w:rFonts w:cs="Times New Roman"/>
          <w:b w:val="0"/>
          <w:sz w:val="22"/>
          <w:szCs w:val="22"/>
        </w:rPr>
      </w:pPr>
      <w:bookmarkStart w:id="1463" w:name="_Ref13666"/>
      <w:bookmarkStart w:id="1464" w:name="_Toc11074"/>
      <w:bookmarkStart w:id="1465" w:name="_Toc15957"/>
      <w:bookmarkStart w:id="1466" w:name="_Toc9299"/>
      <w:bookmarkStart w:id="1467" w:name="_Toc162360270"/>
      <w:bookmarkStart w:id="1468" w:name="_Toc22897"/>
      <w:r>
        <w:t xml:space="preserve">Figura </w:t>
      </w:r>
      <w:r>
        <w:fldChar w:fldCharType="begin"/>
      </w:r>
      <w:r>
        <w:instrText xml:space="preserve"> SEQ Figura \* ARABIC </w:instrText>
      </w:r>
      <w:r>
        <w:fldChar w:fldCharType="separate"/>
      </w:r>
      <w:r>
        <w:t>46</w:t>
      </w:r>
      <w:r>
        <w:fldChar w:fldCharType="end"/>
      </w:r>
      <w:bookmarkStart w:id="1469" w:name="_Toc21271"/>
      <w:bookmarkStart w:id="1470" w:name="_Toc19903"/>
      <w:bookmarkStart w:id="1471" w:name="_Toc9366"/>
      <w:bookmarkStart w:id="1472" w:name="_Toc3016"/>
      <w:bookmarkStart w:id="1473" w:name="_Toc1781"/>
      <w:bookmarkStart w:id="1474" w:name="_Toc21105"/>
      <w:bookmarkStart w:id="1475" w:name="_Toc16053"/>
      <w:bookmarkStart w:id="1476" w:name="_Toc23967"/>
      <w:bookmarkStart w:id="1477" w:name="_Toc8189"/>
      <w:bookmarkStart w:id="1478" w:name="_Toc19849"/>
      <w:bookmarkStart w:id="1479" w:name="_Toc18765"/>
      <w:bookmarkEnd w:id="1463"/>
      <w:r>
        <w:t xml:space="preserve"> - </w:t>
      </w:r>
      <w:r>
        <w:rPr>
          <w:rFonts w:cs="Times New Roman"/>
        </w:rPr>
        <w:t>Performanțe perete cortină sau panou de tâmplărie vitrate pe toată înălțimea</w:t>
      </w:r>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p>
    <w:p w14:paraId="53ABF257" w14:textId="77777777" w:rsidR="001C08A5" w:rsidRDefault="00000000">
      <w:pPr>
        <w:ind w:left="720" w:firstLine="720"/>
        <w:jc w:val="both"/>
        <w:rPr>
          <w:sz w:val="24"/>
          <w:szCs w:val="24"/>
        </w:rPr>
      </w:pPr>
      <w:r>
        <w:rPr>
          <w:sz w:val="24"/>
          <w:szCs w:val="24"/>
        </w:rPr>
        <w:t>d. ecranele de protecție (</w:t>
      </w:r>
      <w:r>
        <w:rPr>
          <w:b/>
          <w:bCs/>
          <w:i/>
          <w:iCs/>
          <w:sz w:val="24"/>
          <w:szCs w:val="24"/>
        </w:rPr>
        <w:fldChar w:fldCharType="begin"/>
      </w:r>
      <w:r>
        <w:rPr>
          <w:b/>
          <w:bCs/>
          <w:i/>
          <w:iCs/>
          <w:sz w:val="24"/>
          <w:szCs w:val="24"/>
        </w:rPr>
        <w:instrText xml:space="preserve"> REF _Ref13728 \h </w:instrText>
      </w:r>
      <w:r>
        <w:rPr>
          <w:b/>
          <w:bCs/>
          <w:i/>
          <w:iCs/>
          <w:sz w:val="24"/>
          <w:szCs w:val="24"/>
        </w:rPr>
      </w:r>
      <w:r>
        <w:rPr>
          <w:b/>
          <w:bCs/>
          <w:i/>
          <w:iCs/>
          <w:sz w:val="24"/>
          <w:szCs w:val="24"/>
        </w:rPr>
        <w:fldChar w:fldCharType="separate"/>
      </w:r>
      <w:r>
        <w:t>Figura 47</w:t>
      </w:r>
      <w:r>
        <w:rPr>
          <w:b/>
          <w:bCs/>
          <w:i/>
          <w:iCs/>
          <w:sz w:val="24"/>
          <w:szCs w:val="24"/>
        </w:rPr>
        <w:fldChar w:fldCharType="end"/>
      </w:r>
      <w:r>
        <w:rPr>
          <w:sz w:val="24"/>
          <w:szCs w:val="24"/>
        </w:rPr>
        <w:t>) trebuie să îndeplinească următoarele criterii:</w:t>
      </w:r>
    </w:p>
    <w:p w14:paraId="067CD11F" w14:textId="77777777" w:rsidR="001C08A5" w:rsidRDefault="00000000">
      <w:pPr>
        <w:numPr>
          <w:ilvl w:val="0"/>
          <w:numId w:val="41"/>
        </w:numPr>
        <w:tabs>
          <w:tab w:val="clear" w:pos="1680"/>
        </w:tabs>
        <w:ind w:left="2100"/>
        <w:jc w:val="both"/>
        <w:rPr>
          <w:sz w:val="24"/>
          <w:szCs w:val="24"/>
        </w:rPr>
      </w:pPr>
      <w:r>
        <w:rPr>
          <w:sz w:val="24"/>
          <w:szCs w:val="24"/>
        </w:rPr>
        <w:t>la clădiri cu înălțime obișnuită:</w:t>
      </w:r>
    </w:p>
    <w:p w14:paraId="7D6F39BF" w14:textId="77777777" w:rsidR="001C08A5" w:rsidRDefault="00000000">
      <w:pPr>
        <w:ind w:left="2160" w:firstLine="720"/>
        <w:jc w:val="both"/>
        <w:rPr>
          <w:sz w:val="24"/>
          <w:szCs w:val="24"/>
        </w:rPr>
      </w:pPr>
      <w:r>
        <w:rPr>
          <w:sz w:val="24"/>
          <w:szCs w:val="24"/>
        </w:rPr>
        <w:t xml:space="preserve">i. înălţimea de cel puţin </w:t>
      </w:r>
      <w:r>
        <w:rPr>
          <w:b/>
          <w:bCs/>
          <w:sz w:val="24"/>
          <w:szCs w:val="24"/>
        </w:rPr>
        <w:t>50 cm</w:t>
      </w:r>
      <w:r>
        <w:rPr>
          <w:sz w:val="24"/>
          <w:szCs w:val="24"/>
        </w:rPr>
        <w:t xml:space="preserve">, amplasate sub planșeul de rezistență, astfel încât să respecte solutiile H+L </w:t>
      </w:r>
      <w:r>
        <w:rPr>
          <w:b/>
          <w:bCs/>
          <w:i/>
          <w:iCs/>
          <w:sz w:val="24"/>
          <w:szCs w:val="24"/>
        </w:rPr>
        <w:t>≥</w:t>
      </w:r>
      <w:r>
        <w:rPr>
          <w:b/>
          <w:bCs/>
          <w:sz w:val="24"/>
          <w:szCs w:val="24"/>
        </w:rPr>
        <w:t xml:space="preserve"> 1,20 m </w:t>
      </w:r>
    </w:p>
    <w:p w14:paraId="2F074A07" w14:textId="77777777" w:rsidR="001C08A5" w:rsidRDefault="00000000">
      <w:pPr>
        <w:ind w:left="2160" w:firstLine="720"/>
        <w:jc w:val="both"/>
        <w:rPr>
          <w:sz w:val="24"/>
          <w:szCs w:val="24"/>
        </w:rPr>
      </w:pPr>
      <w:r>
        <w:rPr>
          <w:sz w:val="24"/>
          <w:szCs w:val="24"/>
        </w:rPr>
        <w:t>(și)</w:t>
      </w:r>
    </w:p>
    <w:p w14:paraId="45AFA8E9" w14:textId="77777777" w:rsidR="001C08A5" w:rsidRDefault="00000000">
      <w:pPr>
        <w:ind w:left="2160" w:firstLine="720"/>
        <w:jc w:val="both"/>
        <w:rPr>
          <w:sz w:val="24"/>
          <w:szCs w:val="24"/>
        </w:rPr>
      </w:pPr>
      <w:r>
        <w:rPr>
          <w:sz w:val="24"/>
          <w:szCs w:val="24"/>
        </w:rPr>
        <w:t xml:space="preserve">ii. rezistența la foc minimum </w:t>
      </w:r>
      <w:r>
        <w:rPr>
          <w:b/>
          <w:sz w:val="24"/>
          <w:szCs w:val="24"/>
        </w:rPr>
        <w:t>D</w:t>
      </w:r>
      <w:r>
        <w:rPr>
          <w:b/>
          <w:sz w:val="24"/>
          <w:szCs w:val="24"/>
          <w:vertAlign w:val="subscript"/>
        </w:rPr>
        <w:t>600</w:t>
      </w:r>
      <w:r>
        <w:rPr>
          <w:b/>
          <w:bCs/>
          <w:sz w:val="24"/>
          <w:szCs w:val="24"/>
        </w:rPr>
        <w:t>30;</w:t>
      </w:r>
    </w:p>
    <w:p w14:paraId="7EEFDF96" w14:textId="77777777" w:rsidR="001C08A5" w:rsidRDefault="00000000">
      <w:pPr>
        <w:numPr>
          <w:ilvl w:val="0"/>
          <w:numId w:val="41"/>
        </w:numPr>
        <w:tabs>
          <w:tab w:val="clear" w:pos="1680"/>
        </w:tabs>
        <w:ind w:left="2100"/>
        <w:jc w:val="both"/>
        <w:rPr>
          <w:sz w:val="24"/>
          <w:szCs w:val="24"/>
        </w:rPr>
      </w:pPr>
      <w:r>
        <w:rPr>
          <w:sz w:val="24"/>
          <w:szCs w:val="24"/>
        </w:rPr>
        <w:t>la clădiri înalte:</w:t>
      </w:r>
    </w:p>
    <w:p w14:paraId="536181BD" w14:textId="77777777" w:rsidR="001C08A5" w:rsidRDefault="00000000">
      <w:pPr>
        <w:ind w:left="2160" w:firstLine="720"/>
        <w:jc w:val="both"/>
        <w:rPr>
          <w:sz w:val="24"/>
          <w:szCs w:val="24"/>
        </w:rPr>
      </w:pPr>
      <w:r>
        <w:rPr>
          <w:sz w:val="24"/>
          <w:szCs w:val="24"/>
        </w:rPr>
        <w:t xml:space="preserve">i. înălţimea de cel puţin </w:t>
      </w:r>
      <w:r>
        <w:rPr>
          <w:b/>
          <w:bCs/>
          <w:sz w:val="24"/>
          <w:szCs w:val="24"/>
        </w:rPr>
        <w:t>1,20 m</w:t>
      </w:r>
      <w:r>
        <w:rPr>
          <w:sz w:val="24"/>
          <w:szCs w:val="24"/>
        </w:rPr>
        <w:t xml:space="preserve">, amplasate sub planșeul de rezistență, astfel încât să respecte soluțiile H+L </w:t>
      </w:r>
      <w:r>
        <w:rPr>
          <w:b/>
          <w:bCs/>
          <w:i/>
          <w:iCs/>
          <w:sz w:val="24"/>
          <w:szCs w:val="24"/>
        </w:rPr>
        <w:t>≥</w:t>
      </w:r>
      <w:r>
        <w:rPr>
          <w:b/>
          <w:bCs/>
          <w:sz w:val="24"/>
          <w:szCs w:val="24"/>
        </w:rPr>
        <w:t xml:space="preserve"> 1,20 m </w:t>
      </w:r>
    </w:p>
    <w:p w14:paraId="5EBB206D" w14:textId="77777777" w:rsidR="001C08A5" w:rsidRDefault="00000000">
      <w:pPr>
        <w:ind w:left="2160" w:firstLine="720"/>
        <w:jc w:val="both"/>
        <w:rPr>
          <w:sz w:val="24"/>
          <w:szCs w:val="24"/>
        </w:rPr>
      </w:pPr>
      <w:r>
        <w:rPr>
          <w:sz w:val="24"/>
          <w:szCs w:val="24"/>
        </w:rPr>
        <w:t>(și)</w:t>
      </w:r>
    </w:p>
    <w:p w14:paraId="4BD7DD99" w14:textId="77777777" w:rsidR="001C08A5" w:rsidRDefault="00000000">
      <w:pPr>
        <w:ind w:left="2160" w:firstLine="720"/>
        <w:jc w:val="both"/>
        <w:rPr>
          <w:sz w:val="24"/>
          <w:szCs w:val="24"/>
        </w:rPr>
      </w:pPr>
      <w:r>
        <w:rPr>
          <w:sz w:val="24"/>
          <w:szCs w:val="24"/>
        </w:rPr>
        <w:t xml:space="preserve">ii. rezistența la foc minimum </w:t>
      </w:r>
      <w:r>
        <w:rPr>
          <w:b/>
          <w:sz w:val="24"/>
          <w:szCs w:val="24"/>
        </w:rPr>
        <w:t>D</w:t>
      </w:r>
      <w:r>
        <w:rPr>
          <w:b/>
          <w:sz w:val="24"/>
          <w:szCs w:val="24"/>
          <w:vertAlign w:val="subscript"/>
        </w:rPr>
        <w:t>600</w:t>
      </w:r>
      <w:r>
        <w:rPr>
          <w:b/>
          <w:bCs/>
          <w:sz w:val="24"/>
          <w:szCs w:val="24"/>
        </w:rPr>
        <w:t>60;</w:t>
      </w:r>
    </w:p>
    <w:p w14:paraId="335D14EB" w14:textId="77777777" w:rsidR="001C08A5" w:rsidRDefault="00000000">
      <w:pPr>
        <w:numPr>
          <w:ilvl w:val="0"/>
          <w:numId w:val="41"/>
        </w:numPr>
        <w:tabs>
          <w:tab w:val="clear" w:pos="1680"/>
        </w:tabs>
        <w:ind w:left="2100"/>
        <w:jc w:val="both"/>
        <w:rPr>
          <w:sz w:val="24"/>
          <w:szCs w:val="24"/>
        </w:rPr>
      </w:pPr>
      <w:r>
        <w:rPr>
          <w:sz w:val="24"/>
          <w:szCs w:val="24"/>
        </w:rPr>
        <w:t xml:space="preserve">la clădiri foarte înalte cu înălțimea mai mică de </w:t>
      </w:r>
      <w:r>
        <w:rPr>
          <w:b/>
          <w:bCs/>
          <w:sz w:val="24"/>
          <w:szCs w:val="24"/>
        </w:rPr>
        <w:t>75 m</w:t>
      </w:r>
      <w:r>
        <w:rPr>
          <w:sz w:val="24"/>
          <w:szCs w:val="24"/>
        </w:rPr>
        <w:t>:</w:t>
      </w:r>
    </w:p>
    <w:p w14:paraId="14F84926"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 </w:t>
      </w:r>
      <w:r>
        <w:rPr>
          <w:sz w:val="24"/>
          <w:szCs w:val="24"/>
        </w:rPr>
        <w:t>amplasate sub planșeul de rezistență,</w:t>
      </w:r>
    </w:p>
    <w:p w14:paraId="141AFF1D" w14:textId="77777777" w:rsidR="001C08A5" w:rsidRDefault="00000000">
      <w:pPr>
        <w:ind w:left="2160" w:firstLine="720"/>
        <w:jc w:val="both"/>
        <w:rPr>
          <w:sz w:val="24"/>
          <w:szCs w:val="24"/>
        </w:rPr>
      </w:pPr>
      <w:r>
        <w:rPr>
          <w:sz w:val="24"/>
          <w:szCs w:val="24"/>
        </w:rPr>
        <w:t>(și)</w:t>
      </w:r>
    </w:p>
    <w:p w14:paraId="6AB9B9E0" w14:textId="77777777" w:rsidR="001C08A5" w:rsidRDefault="00000000">
      <w:pPr>
        <w:ind w:left="2160" w:firstLine="720"/>
        <w:jc w:val="both"/>
        <w:rPr>
          <w:sz w:val="24"/>
          <w:szCs w:val="24"/>
        </w:rPr>
      </w:pPr>
      <w:r>
        <w:rPr>
          <w:sz w:val="24"/>
          <w:szCs w:val="24"/>
        </w:rPr>
        <w:lastRenderedPageBreak/>
        <w:t xml:space="preserve">ii. rezistența la foc minimum </w:t>
      </w:r>
      <w:r>
        <w:rPr>
          <w:b/>
          <w:sz w:val="24"/>
          <w:szCs w:val="24"/>
        </w:rPr>
        <w:t>D</w:t>
      </w:r>
      <w:r>
        <w:rPr>
          <w:b/>
          <w:sz w:val="24"/>
          <w:szCs w:val="24"/>
          <w:vertAlign w:val="subscript"/>
        </w:rPr>
        <w:t>600</w:t>
      </w:r>
      <w:r>
        <w:rPr>
          <w:b/>
          <w:bCs/>
          <w:sz w:val="24"/>
          <w:szCs w:val="24"/>
        </w:rPr>
        <w:t>90;</w:t>
      </w:r>
    </w:p>
    <w:p w14:paraId="721CA502" w14:textId="77777777" w:rsidR="001C08A5" w:rsidRDefault="00000000">
      <w:pPr>
        <w:numPr>
          <w:ilvl w:val="0"/>
          <w:numId w:val="41"/>
        </w:numPr>
        <w:tabs>
          <w:tab w:val="clear" w:pos="1680"/>
        </w:tabs>
        <w:ind w:left="2100"/>
        <w:jc w:val="both"/>
        <w:rPr>
          <w:sz w:val="24"/>
          <w:szCs w:val="24"/>
        </w:rPr>
      </w:pPr>
      <w:r>
        <w:rPr>
          <w:sz w:val="24"/>
          <w:szCs w:val="24"/>
        </w:rPr>
        <w:t xml:space="preserve">la clădiri foarte înalte cu înălțimea mai mare sau egala de </w:t>
      </w:r>
      <w:r>
        <w:rPr>
          <w:b/>
          <w:bCs/>
          <w:sz w:val="24"/>
          <w:szCs w:val="24"/>
        </w:rPr>
        <w:t>75 m</w:t>
      </w:r>
      <w:r>
        <w:rPr>
          <w:sz w:val="24"/>
          <w:szCs w:val="24"/>
        </w:rPr>
        <w:t xml:space="preserve"> și mai mică de </w:t>
      </w:r>
      <w:r>
        <w:rPr>
          <w:b/>
          <w:bCs/>
          <w:sz w:val="24"/>
          <w:szCs w:val="24"/>
        </w:rPr>
        <w:t>125 m</w:t>
      </w:r>
      <w:r>
        <w:rPr>
          <w:sz w:val="24"/>
          <w:szCs w:val="24"/>
        </w:rPr>
        <w:t>:</w:t>
      </w:r>
    </w:p>
    <w:p w14:paraId="4FF32760"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 </w:t>
      </w:r>
      <w:r>
        <w:rPr>
          <w:sz w:val="24"/>
          <w:szCs w:val="24"/>
        </w:rPr>
        <w:t>amplasate sub planșeul de rezistență,</w:t>
      </w:r>
    </w:p>
    <w:p w14:paraId="3E3A6C36" w14:textId="77777777" w:rsidR="001C08A5" w:rsidRDefault="00000000">
      <w:pPr>
        <w:ind w:left="2160" w:firstLine="720"/>
        <w:jc w:val="both"/>
        <w:rPr>
          <w:sz w:val="24"/>
          <w:szCs w:val="24"/>
        </w:rPr>
      </w:pPr>
      <w:r>
        <w:rPr>
          <w:sz w:val="24"/>
          <w:szCs w:val="24"/>
        </w:rPr>
        <w:t>(și)</w:t>
      </w:r>
    </w:p>
    <w:p w14:paraId="62562164" w14:textId="77777777" w:rsidR="001C08A5" w:rsidRDefault="00000000">
      <w:pPr>
        <w:ind w:left="2160" w:firstLine="720"/>
        <w:jc w:val="both"/>
        <w:rPr>
          <w:sz w:val="24"/>
          <w:szCs w:val="24"/>
        </w:rPr>
      </w:pPr>
      <w:r>
        <w:rPr>
          <w:sz w:val="24"/>
          <w:szCs w:val="24"/>
        </w:rPr>
        <w:t xml:space="preserve">ii. rezistența la foc minimum </w:t>
      </w:r>
      <w:r>
        <w:rPr>
          <w:b/>
          <w:sz w:val="24"/>
          <w:szCs w:val="24"/>
        </w:rPr>
        <w:t>DH</w:t>
      </w:r>
      <w:r>
        <w:rPr>
          <w:b/>
          <w:bCs/>
          <w:sz w:val="24"/>
          <w:szCs w:val="24"/>
        </w:rPr>
        <w:t>90;</w:t>
      </w:r>
    </w:p>
    <w:p w14:paraId="1D4BE800" w14:textId="77777777" w:rsidR="001C08A5" w:rsidRDefault="00000000">
      <w:pPr>
        <w:numPr>
          <w:ilvl w:val="0"/>
          <w:numId w:val="41"/>
        </w:numPr>
        <w:tabs>
          <w:tab w:val="clear" w:pos="1680"/>
        </w:tabs>
        <w:ind w:left="2100"/>
        <w:jc w:val="both"/>
        <w:rPr>
          <w:sz w:val="24"/>
          <w:szCs w:val="24"/>
        </w:rPr>
      </w:pPr>
      <w:r>
        <w:rPr>
          <w:sz w:val="24"/>
          <w:szCs w:val="24"/>
        </w:rPr>
        <w:t xml:space="preserve">la clădiri foarte înalte cu înălțimea mai mare sau egala cu </w:t>
      </w:r>
      <w:r>
        <w:rPr>
          <w:b/>
          <w:bCs/>
          <w:sz w:val="24"/>
          <w:szCs w:val="24"/>
        </w:rPr>
        <w:t>125 m</w:t>
      </w:r>
      <w:r>
        <w:rPr>
          <w:sz w:val="24"/>
          <w:szCs w:val="24"/>
        </w:rPr>
        <w:t>:</w:t>
      </w:r>
    </w:p>
    <w:p w14:paraId="04100658"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 </w:t>
      </w:r>
      <w:r>
        <w:rPr>
          <w:sz w:val="24"/>
          <w:szCs w:val="24"/>
        </w:rPr>
        <w:t xml:space="preserve">amplasate sub planșeul de rezistență, </w:t>
      </w:r>
    </w:p>
    <w:p w14:paraId="75D0163D" w14:textId="77777777" w:rsidR="001C08A5" w:rsidRDefault="00000000">
      <w:pPr>
        <w:ind w:left="2160" w:firstLine="720"/>
        <w:jc w:val="both"/>
        <w:rPr>
          <w:sz w:val="24"/>
          <w:szCs w:val="24"/>
        </w:rPr>
      </w:pPr>
      <w:r>
        <w:rPr>
          <w:sz w:val="24"/>
          <w:szCs w:val="24"/>
        </w:rPr>
        <w:t>(și)</w:t>
      </w:r>
    </w:p>
    <w:p w14:paraId="4AF20BCF" w14:textId="77777777" w:rsidR="001C08A5" w:rsidRDefault="00000000">
      <w:pPr>
        <w:numPr>
          <w:ilvl w:val="2"/>
          <w:numId w:val="36"/>
        </w:numPr>
        <w:jc w:val="both"/>
        <w:rPr>
          <w:sz w:val="24"/>
          <w:szCs w:val="24"/>
        </w:rPr>
      </w:pPr>
      <w:r>
        <w:rPr>
          <w:sz w:val="24"/>
          <w:szCs w:val="24"/>
        </w:rPr>
        <w:t xml:space="preserve">rezistența la foc minimum </w:t>
      </w:r>
      <w:r>
        <w:rPr>
          <w:b/>
          <w:sz w:val="24"/>
          <w:szCs w:val="24"/>
        </w:rPr>
        <w:t>DH</w:t>
      </w:r>
      <w:r>
        <w:rPr>
          <w:b/>
          <w:bCs/>
          <w:sz w:val="24"/>
          <w:szCs w:val="24"/>
        </w:rPr>
        <w:t>120;</w:t>
      </w:r>
    </w:p>
    <w:p w14:paraId="42BBE289" w14:textId="77777777" w:rsidR="001C08A5" w:rsidRDefault="001C08A5">
      <w:pPr>
        <w:jc w:val="center"/>
        <w:rPr>
          <w:lang w:eastAsia="ro-RO"/>
        </w:rPr>
      </w:pPr>
    </w:p>
    <w:p w14:paraId="3CEE6F8C" w14:textId="77777777" w:rsidR="001C08A5" w:rsidRDefault="00000000">
      <w:pPr>
        <w:jc w:val="center"/>
        <w:rPr>
          <w:lang w:eastAsia="ro-RO"/>
        </w:rPr>
      </w:pPr>
      <w:r>
        <w:rPr>
          <w:noProof/>
        </w:rPr>
        <w:drawing>
          <wp:inline distT="0" distB="0" distL="114300" distR="114300" wp14:anchorId="7320CBC0" wp14:editId="4C35773D">
            <wp:extent cx="4650105" cy="2621280"/>
            <wp:effectExtent l="0" t="0" r="17145"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a:picLocks noChangeAspect="1"/>
                    </pic:cNvPicPr>
                  </pic:nvPicPr>
                  <pic:blipFill>
                    <a:blip r:embed="rId141"/>
                    <a:srcRect l="21997" t="1185" r="16496" b="52245"/>
                    <a:stretch>
                      <a:fillRect/>
                    </a:stretch>
                  </pic:blipFill>
                  <pic:spPr>
                    <a:xfrm>
                      <a:off x="0" y="0"/>
                      <a:ext cx="4650105" cy="2621280"/>
                    </a:xfrm>
                    <a:prstGeom prst="rect">
                      <a:avLst/>
                    </a:prstGeom>
                    <a:noFill/>
                    <a:ln>
                      <a:no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gridCol w:w="3574"/>
      </w:tblGrid>
      <w:tr w:rsidR="001C08A5" w14:paraId="00A2E0A5" w14:textId="77777777">
        <w:trPr>
          <w:jc w:val="center"/>
        </w:trPr>
        <w:tc>
          <w:tcPr>
            <w:tcW w:w="3533" w:type="dxa"/>
          </w:tcPr>
          <w:p w14:paraId="223A162B" w14:textId="77777777" w:rsidR="001C08A5" w:rsidRDefault="00000000">
            <w:pPr>
              <w:numPr>
                <w:ilvl w:val="0"/>
                <w:numId w:val="48"/>
              </w:numPr>
              <w:jc w:val="center"/>
              <w:rPr>
                <w:b/>
                <w:bCs/>
                <w:i/>
                <w:iCs/>
                <w:sz w:val="22"/>
                <w:szCs w:val="22"/>
              </w:rPr>
            </w:pPr>
            <w:r>
              <w:rPr>
                <w:b/>
                <w:bCs/>
                <w:i/>
                <w:iCs/>
                <w:sz w:val="22"/>
                <w:szCs w:val="22"/>
              </w:rPr>
              <w:t>la clădiri cu înălțime obișnuită</w:t>
            </w:r>
          </w:p>
          <w:p w14:paraId="29712DF7" w14:textId="77777777" w:rsidR="001C08A5" w:rsidRDefault="00000000">
            <w:pPr>
              <w:jc w:val="center"/>
              <w:rPr>
                <w:b/>
                <w:bCs/>
                <w:i/>
                <w:iCs/>
                <w:sz w:val="22"/>
                <w:szCs w:val="22"/>
              </w:rPr>
            </w:pPr>
            <w:r>
              <w:rPr>
                <w:b/>
                <w:bCs/>
                <w:i/>
                <w:iCs/>
                <w:sz w:val="22"/>
                <w:szCs w:val="22"/>
              </w:rPr>
              <w:t>H+L ≥ 1,20 m (a+b+c≥1,20 m)</w:t>
            </w:r>
          </w:p>
        </w:tc>
        <w:tc>
          <w:tcPr>
            <w:tcW w:w="3574" w:type="dxa"/>
          </w:tcPr>
          <w:p w14:paraId="75FD1500" w14:textId="77777777" w:rsidR="001C08A5" w:rsidRDefault="00000000">
            <w:pPr>
              <w:numPr>
                <w:ilvl w:val="0"/>
                <w:numId w:val="48"/>
              </w:numPr>
              <w:jc w:val="center"/>
              <w:rPr>
                <w:b/>
                <w:bCs/>
                <w:i/>
                <w:iCs/>
                <w:sz w:val="22"/>
                <w:szCs w:val="22"/>
              </w:rPr>
            </w:pPr>
            <w:r>
              <w:rPr>
                <w:b/>
                <w:bCs/>
                <w:i/>
                <w:iCs/>
                <w:sz w:val="22"/>
                <w:szCs w:val="22"/>
              </w:rPr>
              <w:t>la clădiri înalte</w:t>
            </w:r>
          </w:p>
          <w:p w14:paraId="091B8AA7" w14:textId="77777777" w:rsidR="001C08A5" w:rsidRDefault="00000000">
            <w:pPr>
              <w:jc w:val="center"/>
              <w:rPr>
                <w:b/>
                <w:bCs/>
                <w:i/>
                <w:iCs/>
                <w:sz w:val="22"/>
                <w:szCs w:val="22"/>
              </w:rPr>
            </w:pPr>
            <w:r>
              <w:rPr>
                <w:b/>
                <w:bCs/>
                <w:i/>
                <w:iCs/>
                <w:sz w:val="22"/>
                <w:szCs w:val="22"/>
              </w:rPr>
              <w:t>H+L ≥ 1,20 m (a+b+c≥1,20 m)</w:t>
            </w:r>
          </w:p>
        </w:tc>
      </w:tr>
    </w:tbl>
    <w:p w14:paraId="0390C15C" w14:textId="77777777" w:rsidR="001C08A5" w:rsidRDefault="001C08A5">
      <w:pPr>
        <w:jc w:val="both"/>
        <w:rPr>
          <w:lang w:eastAsia="ro-RO"/>
        </w:rPr>
      </w:pPr>
    </w:p>
    <w:p w14:paraId="6356885D" w14:textId="77777777" w:rsidR="001C08A5" w:rsidRDefault="00000000">
      <w:pPr>
        <w:jc w:val="both"/>
        <w:rPr>
          <w:lang w:eastAsia="ro-RO"/>
        </w:rPr>
      </w:pPr>
      <w:r>
        <w:rPr>
          <w:noProof/>
        </w:rPr>
        <w:drawing>
          <wp:inline distT="0" distB="0" distL="114300" distR="114300" wp14:anchorId="3A2C4DFB" wp14:editId="50B86276">
            <wp:extent cx="5949315" cy="2473960"/>
            <wp:effectExtent l="0" t="0" r="13335" b="25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a:picLocks noChangeAspect="1"/>
                    </pic:cNvPicPr>
                  </pic:nvPicPr>
                  <pic:blipFill>
                    <a:blip r:embed="rId141"/>
                    <a:srcRect l="13178" t="55494" r="8130" b="553"/>
                    <a:stretch>
                      <a:fillRect/>
                    </a:stretch>
                  </pic:blipFill>
                  <pic:spPr>
                    <a:xfrm>
                      <a:off x="0" y="0"/>
                      <a:ext cx="5949315" cy="2473960"/>
                    </a:xfrm>
                    <a:prstGeom prst="rect">
                      <a:avLst/>
                    </a:prstGeom>
                    <a:noFill/>
                    <a:ln>
                      <a:noFill/>
                    </a:ln>
                  </pic:spPr>
                </pic:pic>
              </a:graphicData>
            </a:graphic>
          </wp:inline>
        </w:drawing>
      </w:r>
    </w:p>
    <w:tbl>
      <w:tblPr>
        <w:tblStyle w:val="TableGrid"/>
        <w:tblW w:w="94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4"/>
        <w:gridCol w:w="3287"/>
        <w:gridCol w:w="3021"/>
      </w:tblGrid>
      <w:tr w:rsidR="001C08A5" w14:paraId="321497E0" w14:textId="77777777">
        <w:trPr>
          <w:jc w:val="center"/>
        </w:trPr>
        <w:tc>
          <w:tcPr>
            <w:tcW w:w="3104" w:type="dxa"/>
          </w:tcPr>
          <w:p w14:paraId="09BA47FD" w14:textId="77777777" w:rsidR="001C08A5" w:rsidRDefault="00000000">
            <w:pPr>
              <w:numPr>
                <w:ilvl w:val="0"/>
                <w:numId w:val="49"/>
              </w:numPr>
              <w:jc w:val="center"/>
              <w:rPr>
                <w:b/>
                <w:bCs/>
                <w:i/>
                <w:iCs/>
                <w:sz w:val="22"/>
                <w:szCs w:val="22"/>
              </w:rPr>
            </w:pPr>
            <w:r>
              <w:rPr>
                <w:b/>
                <w:bCs/>
                <w:i/>
                <w:iCs/>
                <w:sz w:val="22"/>
                <w:szCs w:val="22"/>
              </w:rPr>
              <w:t>la clădiri foarte înalte cu înălțimea mai mică de 75 m</w:t>
            </w:r>
          </w:p>
          <w:p w14:paraId="4A687439" w14:textId="77777777" w:rsidR="001C08A5" w:rsidRDefault="00000000">
            <w:pPr>
              <w:jc w:val="center"/>
              <w:rPr>
                <w:b/>
                <w:bCs/>
                <w:i/>
                <w:iCs/>
                <w:sz w:val="22"/>
                <w:szCs w:val="22"/>
              </w:rPr>
            </w:pPr>
            <w:r>
              <w:rPr>
                <w:b/>
                <w:bCs/>
                <w:i/>
                <w:iCs/>
                <w:sz w:val="22"/>
                <w:szCs w:val="22"/>
              </w:rPr>
              <w:t>(ecran D</w:t>
            </w:r>
            <w:r>
              <w:rPr>
                <w:b/>
                <w:bCs/>
                <w:i/>
                <w:iCs/>
                <w:sz w:val="22"/>
                <w:szCs w:val="22"/>
                <w:vertAlign w:val="subscript"/>
              </w:rPr>
              <w:t>600</w:t>
            </w:r>
            <w:r>
              <w:rPr>
                <w:b/>
                <w:bCs/>
                <w:i/>
                <w:iCs/>
                <w:sz w:val="22"/>
                <w:szCs w:val="22"/>
              </w:rPr>
              <w:t>90 ≥1,20 m)</w:t>
            </w:r>
          </w:p>
        </w:tc>
        <w:tc>
          <w:tcPr>
            <w:tcW w:w="3287" w:type="dxa"/>
          </w:tcPr>
          <w:p w14:paraId="243F9B35" w14:textId="77777777" w:rsidR="001C08A5" w:rsidRDefault="00000000">
            <w:pPr>
              <w:numPr>
                <w:ilvl w:val="0"/>
                <w:numId w:val="49"/>
              </w:numPr>
              <w:jc w:val="center"/>
              <w:rPr>
                <w:b/>
                <w:bCs/>
                <w:i/>
                <w:iCs/>
                <w:sz w:val="22"/>
                <w:szCs w:val="22"/>
              </w:rPr>
            </w:pPr>
            <w:r>
              <w:rPr>
                <w:b/>
                <w:bCs/>
                <w:i/>
                <w:iCs/>
                <w:sz w:val="22"/>
                <w:szCs w:val="22"/>
              </w:rPr>
              <w:t>la clădiri cu înalte foarte înalte cu înălțimea mai mare sau egală de 75 m și mai mică de 125 m</w:t>
            </w:r>
          </w:p>
          <w:p w14:paraId="3731F454" w14:textId="77777777" w:rsidR="001C08A5" w:rsidRDefault="00000000">
            <w:pPr>
              <w:jc w:val="center"/>
              <w:rPr>
                <w:b/>
                <w:bCs/>
                <w:i/>
                <w:iCs/>
                <w:sz w:val="22"/>
                <w:szCs w:val="22"/>
              </w:rPr>
            </w:pPr>
            <w:r>
              <w:rPr>
                <w:b/>
                <w:bCs/>
                <w:i/>
                <w:iCs/>
                <w:sz w:val="22"/>
                <w:szCs w:val="22"/>
              </w:rPr>
              <w:t>(ecran DH90 ≥1,20 m)</w:t>
            </w:r>
          </w:p>
        </w:tc>
        <w:tc>
          <w:tcPr>
            <w:tcW w:w="3021" w:type="dxa"/>
          </w:tcPr>
          <w:p w14:paraId="12771D93" w14:textId="77777777" w:rsidR="001C08A5" w:rsidRDefault="00000000">
            <w:pPr>
              <w:numPr>
                <w:ilvl w:val="0"/>
                <w:numId w:val="49"/>
              </w:numPr>
              <w:jc w:val="center"/>
              <w:rPr>
                <w:b/>
                <w:bCs/>
                <w:i/>
                <w:iCs/>
                <w:sz w:val="22"/>
                <w:szCs w:val="22"/>
              </w:rPr>
            </w:pPr>
            <w:r>
              <w:rPr>
                <w:b/>
                <w:bCs/>
                <w:i/>
                <w:iCs/>
                <w:sz w:val="22"/>
                <w:szCs w:val="22"/>
              </w:rPr>
              <w:t>la clădiri foarte înalte foarte înalte cu înălțimea mai mare sau egală cu 125 m</w:t>
            </w:r>
          </w:p>
          <w:p w14:paraId="7EB648D2" w14:textId="77777777" w:rsidR="001C08A5" w:rsidRDefault="00000000">
            <w:pPr>
              <w:jc w:val="center"/>
              <w:rPr>
                <w:b/>
                <w:bCs/>
                <w:i/>
                <w:iCs/>
                <w:sz w:val="22"/>
                <w:szCs w:val="22"/>
              </w:rPr>
            </w:pPr>
            <w:r>
              <w:rPr>
                <w:b/>
                <w:bCs/>
                <w:i/>
                <w:iCs/>
                <w:sz w:val="22"/>
                <w:szCs w:val="22"/>
              </w:rPr>
              <w:t>(ecran DH120 ≥1,20 m)</w:t>
            </w:r>
          </w:p>
        </w:tc>
      </w:tr>
    </w:tbl>
    <w:p w14:paraId="5B134251" w14:textId="77777777" w:rsidR="001C08A5" w:rsidRDefault="00000000">
      <w:pPr>
        <w:pStyle w:val="Caption"/>
        <w:jc w:val="center"/>
        <w:rPr>
          <w:bCs/>
        </w:rPr>
      </w:pPr>
      <w:bookmarkStart w:id="1480" w:name="_Ref13728"/>
      <w:bookmarkStart w:id="1481" w:name="_Toc26565"/>
      <w:bookmarkStart w:id="1482" w:name="_Toc162360271"/>
      <w:bookmarkStart w:id="1483" w:name="_Toc23704"/>
      <w:bookmarkStart w:id="1484" w:name="_Toc20012"/>
      <w:bookmarkStart w:id="1485" w:name="_Toc21468"/>
      <w:r>
        <w:t xml:space="preserve">Figura </w:t>
      </w:r>
      <w:r>
        <w:fldChar w:fldCharType="begin"/>
      </w:r>
      <w:r>
        <w:instrText xml:space="preserve"> SEQ Figura \* ARABIC </w:instrText>
      </w:r>
      <w:r>
        <w:fldChar w:fldCharType="separate"/>
      </w:r>
      <w:r>
        <w:t>47</w:t>
      </w:r>
      <w:r>
        <w:fldChar w:fldCharType="end"/>
      </w:r>
      <w:bookmarkStart w:id="1486" w:name="_Toc9166"/>
      <w:bookmarkStart w:id="1487" w:name="_Toc1493"/>
      <w:bookmarkStart w:id="1488" w:name="_Toc22974"/>
      <w:bookmarkStart w:id="1489" w:name="_Toc18583"/>
      <w:bookmarkStart w:id="1490" w:name="_Toc21866"/>
      <w:bookmarkStart w:id="1491" w:name="_Toc10545"/>
      <w:bookmarkStart w:id="1492" w:name="_Toc318"/>
      <w:bookmarkStart w:id="1493" w:name="_Toc31780"/>
      <w:bookmarkStart w:id="1494" w:name="_Toc12725"/>
      <w:bookmarkStart w:id="1495" w:name="_Toc3859"/>
      <w:bookmarkStart w:id="1496" w:name="_Toc3722"/>
      <w:bookmarkEnd w:id="1480"/>
      <w:r>
        <w:t xml:space="preserve"> - </w:t>
      </w:r>
      <w:r>
        <w:rPr>
          <w:rFonts w:cs="Times New Roman"/>
          <w:bCs/>
        </w:rPr>
        <w:t>Performanțe ecrane de protecție</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p>
    <w:p w14:paraId="0CE40461" w14:textId="77777777" w:rsidR="001C08A5" w:rsidRDefault="00000000">
      <w:pPr>
        <w:jc w:val="both"/>
        <w:rPr>
          <w:i/>
          <w:iCs/>
          <w:sz w:val="22"/>
          <w:szCs w:val="22"/>
        </w:rPr>
      </w:pPr>
      <w:r>
        <w:rPr>
          <w:b/>
          <w:bCs/>
          <w:i/>
          <w:iCs/>
          <w:sz w:val="22"/>
          <w:szCs w:val="22"/>
        </w:rPr>
        <w:t>Notă</w:t>
      </w:r>
      <w:r>
        <w:rPr>
          <w:i/>
          <w:iCs/>
          <w:sz w:val="22"/>
          <w:szCs w:val="22"/>
        </w:rPr>
        <w:t xml:space="preserve">: Atunci cand plafoanele suspendate sau autoportante sunt dispuse la limita inferioară a ecranelor sau a zonelor continui dispuse în planul peretelui cortină, pentru a conta pe eficienţa ecranelor, în plafoane se vor asigura spatii libere (traforuri) prin care fumul să pătrundă în spatele ecranului, perforaţia fiind de cel puţin </w:t>
      </w:r>
      <w:r>
        <w:rPr>
          <w:b/>
          <w:bCs/>
          <w:i/>
          <w:iCs/>
          <w:sz w:val="22"/>
          <w:szCs w:val="22"/>
        </w:rPr>
        <w:t>75%</w:t>
      </w:r>
      <w:r>
        <w:rPr>
          <w:i/>
          <w:iCs/>
          <w:sz w:val="22"/>
          <w:szCs w:val="22"/>
        </w:rPr>
        <w:t xml:space="preserve"> din aria zonei perforate a plafonului. Zona perforată va avea cel puţin </w:t>
      </w:r>
      <w:r>
        <w:rPr>
          <w:b/>
          <w:bCs/>
          <w:i/>
          <w:iCs/>
          <w:sz w:val="22"/>
          <w:szCs w:val="22"/>
        </w:rPr>
        <w:t>60 cm</w:t>
      </w:r>
      <w:r>
        <w:rPr>
          <w:i/>
          <w:iCs/>
          <w:sz w:val="22"/>
          <w:szCs w:val="22"/>
        </w:rPr>
        <w:t xml:space="preserve"> adâncime pe toată lungimea peretelui exterior (</w:t>
      </w:r>
      <w:r>
        <w:rPr>
          <w:b/>
          <w:bCs/>
          <w:i/>
          <w:iCs/>
          <w:sz w:val="24"/>
          <w:szCs w:val="24"/>
        </w:rPr>
        <w:t xml:space="preserve">conform </w:t>
      </w:r>
      <w:r>
        <w:rPr>
          <w:b/>
          <w:bCs/>
          <w:i/>
          <w:iCs/>
          <w:sz w:val="22"/>
          <w:szCs w:val="22"/>
        </w:rPr>
        <w:fldChar w:fldCharType="begin"/>
      </w:r>
      <w:r>
        <w:rPr>
          <w:b/>
          <w:bCs/>
          <w:i/>
          <w:iCs/>
          <w:sz w:val="22"/>
          <w:szCs w:val="22"/>
        </w:rPr>
        <w:instrText xml:space="preserve"> REF _Ref13803 \h </w:instrText>
      </w:r>
      <w:r>
        <w:rPr>
          <w:b/>
          <w:bCs/>
          <w:i/>
          <w:iCs/>
          <w:sz w:val="22"/>
          <w:szCs w:val="22"/>
        </w:rPr>
      </w:r>
      <w:r>
        <w:rPr>
          <w:b/>
          <w:bCs/>
          <w:i/>
          <w:iCs/>
          <w:sz w:val="22"/>
          <w:szCs w:val="22"/>
        </w:rPr>
        <w:fldChar w:fldCharType="separate"/>
      </w:r>
      <w:r>
        <w:t>Figura 48</w:t>
      </w:r>
      <w:r>
        <w:rPr>
          <w:b/>
          <w:bCs/>
          <w:i/>
          <w:iCs/>
          <w:sz w:val="22"/>
          <w:szCs w:val="22"/>
        </w:rPr>
        <w:fldChar w:fldCharType="end"/>
      </w:r>
      <w:r>
        <w:rPr>
          <w:i/>
          <w:iCs/>
          <w:sz w:val="22"/>
          <w:szCs w:val="22"/>
        </w:rPr>
        <w:t>).</w:t>
      </w:r>
    </w:p>
    <w:p w14:paraId="2288C6BF" w14:textId="77777777" w:rsidR="001C08A5" w:rsidRDefault="00000000">
      <w:pPr>
        <w:jc w:val="center"/>
      </w:pPr>
      <w:r>
        <w:rPr>
          <w:noProof/>
          <w:lang w:eastAsia="ro-RO"/>
        </w:rPr>
        <w:lastRenderedPageBreak/>
        <w:drawing>
          <wp:inline distT="0" distB="0" distL="114300" distR="114300" wp14:anchorId="4CA61F42" wp14:editId="1C0A1161">
            <wp:extent cx="5708015" cy="3185795"/>
            <wp:effectExtent l="0" t="0" r="6985" b="14605"/>
            <wp:docPr id="1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8"/>
                    <pic:cNvPicPr>
                      <a:picLocks noChangeAspect="1"/>
                    </pic:cNvPicPr>
                  </pic:nvPicPr>
                  <pic:blipFill>
                    <a:blip r:embed="rId142"/>
                    <a:srcRect l="16203" t="8203" r="8177" b="33092"/>
                    <a:stretch>
                      <a:fillRect/>
                    </a:stretch>
                  </pic:blipFill>
                  <pic:spPr>
                    <a:xfrm>
                      <a:off x="0" y="0"/>
                      <a:ext cx="5708015" cy="3185795"/>
                    </a:xfrm>
                    <a:prstGeom prst="rect">
                      <a:avLst/>
                    </a:prstGeom>
                    <a:noFill/>
                    <a:ln>
                      <a:noFill/>
                    </a:ln>
                  </pic:spPr>
                </pic:pic>
              </a:graphicData>
            </a:graphic>
          </wp:inline>
        </w:drawing>
      </w:r>
    </w:p>
    <w:p w14:paraId="743D4821" w14:textId="77777777" w:rsidR="001C08A5" w:rsidRDefault="00000000">
      <w:pPr>
        <w:jc w:val="center"/>
        <w:rPr>
          <w:b/>
          <w:bCs/>
          <w:i/>
          <w:iCs/>
          <w:sz w:val="22"/>
          <w:szCs w:val="22"/>
        </w:rPr>
      </w:pPr>
      <w:r>
        <w:rPr>
          <w:b/>
          <w:bCs/>
          <w:i/>
          <w:iCs/>
          <w:sz w:val="22"/>
          <w:szCs w:val="22"/>
        </w:rPr>
        <w:t>Varianta a) cu zonă continuă dispusă în planul peretelui cortină</w:t>
      </w:r>
    </w:p>
    <w:p w14:paraId="6E050369" w14:textId="77777777" w:rsidR="001C08A5" w:rsidRDefault="00000000">
      <w:pPr>
        <w:jc w:val="center"/>
      </w:pPr>
      <w:r>
        <w:rPr>
          <w:noProof/>
          <w:lang w:eastAsia="ro-RO"/>
        </w:rPr>
        <w:drawing>
          <wp:inline distT="0" distB="0" distL="114300" distR="114300" wp14:anchorId="49496704" wp14:editId="2001E7CF">
            <wp:extent cx="4330065" cy="2708910"/>
            <wp:effectExtent l="0" t="0" r="0" b="0"/>
            <wp:docPr id="1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9"/>
                    <pic:cNvPicPr>
                      <a:picLocks noChangeAspect="1"/>
                    </pic:cNvPicPr>
                  </pic:nvPicPr>
                  <pic:blipFill>
                    <a:blip r:embed="rId143"/>
                    <a:srcRect l="20089" t="21425" r="22545" b="28657"/>
                    <a:stretch>
                      <a:fillRect/>
                    </a:stretch>
                  </pic:blipFill>
                  <pic:spPr>
                    <a:xfrm>
                      <a:off x="0" y="0"/>
                      <a:ext cx="4330065" cy="2708910"/>
                    </a:xfrm>
                    <a:prstGeom prst="rect">
                      <a:avLst/>
                    </a:prstGeom>
                    <a:noFill/>
                    <a:ln>
                      <a:noFill/>
                    </a:ln>
                  </pic:spPr>
                </pic:pic>
              </a:graphicData>
            </a:graphic>
          </wp:inline>
        </w:drawing>
      </w:r>
    </w:p>
    <w:p w14:paraId="5160C2DD" w14:textId="77777777" w:rsidR="001C08A5" w:rsidRDefault="00000000">
      <w:pPr>
        <w:jc w:val="center"/>
        <w:rPr>
          <w:lang w:eastAsia="ro-RO"/>
        </w:rPr>
      </w:pPr>
      <w:r>
        <w:rPr>
          <w:b/>
          <w:bCs/>
          <w:i/>
          <w:iCs/>
          <w:sz w:val="22"/>
          <w:szCs w:val="22"/>
        </w:rPr>
        <w:t>Varianta b) cu ecran</w:t>
      </w:r>
    </w:p>
    <w:p w14:paraId="08206B89" w14:textId="77777777" w:rsidR="001C08A5" w:rsidRDefault="00000000">
      <w:pPr>
        <w:pStyle w:val="Caption"/>
        <w:jc w:val="center"/>
        <w:rPr>
          <w:rFonts w:cs="Times New Roman"/>
          <w:lang w:eastAsia="ro-RO"/>
        </w:rPr>
      </w:pPr>
      <w:bookmarkStart w:id="1497" w:name="_Ref13803"/>
      <w:bookmarkStart w:id="1498" w:name="_Toc162360272"/>
      <w:bookmarkStart w:id="1499" w:name="_Toc26402"/>
      <w:bookmarkStart w:id="1500" w:name="_Toc20712"/>
      <w:bookmarkStart w:id="1501" w:name="_Toc10279"/>
      <w:bookmarkStart w:id="1502" w:name="_Toc9714"/>
      <w:bookmarkStart w:id="1503" w:name="_Toc15859"/>
      <w:bookmarkStart w:id="1504" w:name="_Toc14436"/>
      <w:r>
        <w:t xml:space="preserve">Figura </w:t>
      </w:r>
      <w:r>
        <w:fldChar w:fldCharType="begin"/>
      </w:r>
      <w:r>
        <w:instrText xml:space="preserve"> SEQ Figura \* ARABIC </w:instrText>
      </w:r>
      <w:r>
        <w:fldChar w:fldCharType="separate"/>
      </w:r>
      <w:r>
        <w:t>48</w:t>
      </w:r>
      <w:r>
        <w:fldChar w:fldCharType="end"/>
      </w:r>
      <w:bookmarkStart w:id="1505" w:name="_Toc23854"/>
      <w:bookmarkStart w:id="1506" w:name="_Toc15733"/>
      <w:bookmarkStart w:id="1507" w:name="_Toc14744"/>
      <w:bookmarkStart w:id="1508" w:name="_Toc6096"/>
      <w:bookmarkStart w:id="1509" w:name="_Toc28533"/>
      <w:bookmarkStart w:id="1510" w:name="_Toc4405"/>
      <w:bookmarkStart w:id="1511" w:name="_Toc15290"/>
      <w:bookmarkStart w:id="1512" w:name="_Toc28560"/>
      <w:bookmarkStart w:id="1513" w:name="_Toc20677"/>
      <w:bookmarkStart w:id="1514" w:name="_Toc22532"/>
      <w:bookmarkStart w:id="1515" w:name="_Toc3163"/>
      <w:bookmarkEnd w:id="1497"/>
      <w:r>
        <w:t xml:space="preserve"> - </w:t>
      </w:r>
      <w:r>
        <w:rPr>
          <w:rFonts w:cs="Times New Roman"/>
        </w:rPr>
        <w:t>E</w:t>
      </w:r>
      <w:r>
        <w:rPr>
          <w:rFonts w:cs="Times New Roman"/>
          <w:lang w:eastAsia="ro-RO"/>
        </w:rPr>
        <w:t>lemente incombustibile traforate dispuse la plafoane</w:t>
      </w:r>
      <w:bookmarkEnd w:id="1498"/>
      <w:r>
        <w:rPr>
          <w:rFonts w:cs="Times New Roman"/>
          <w:lang w:eastAsia="ro-RO"/>
        </w:rPr>
        <w:t xml:space="preserve"> </w:t>
      </w:r>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p>
    <w:p w14:paraId="5ECA12AD" w14:textId="77777777" w:rsidR="001C08A5" w:rsidRDefault="001C08A5">
      <w:pPr>
        <w:pStyle w:val="BodyText"/>
      </w:pPr>
    </w:p>
    <w:p w14:paraId="093B61A0" w14:textId="77777777" w:rsidR="001C08A5" w:rsidRDefault="00000000">
      <w:pPr>
        <w:ind w:firstLine="720"/>
        <w:jc w:val="both"/>
        <w:rPr>
          <w:sz w:val="24"/>
          <w:szCs w:val="24"/>
        </w:rPr>
      </w:pPr>
      <w:r>
        <w:rPr>
          <w:b/>
          <w:sz w:val="24"/>
          <w:szCs w:val="24"/>
        </w:rPr>
        <w:t>(2)</w:t>
      </w:r>
      <w:r>
        <w:rPr>
          <w:sz w:val="24"/>
          <w:szCs w:val="24"/>
        </w:rPr>
        <w:t xml:space="preserve"> Elementele orizontale exterioare continui (prinse de planșeele construcției sau o continuare a acestora, conform </w:t>
      </w:r>
      <w:r>
        <w:rPr>
          <w:b/>
          <w:bCs/>
          <w:i/>
          <w:iCs/>
          <w:sz w:val="24"/>
          <w:szCs w:val="24"/>
        </w:rPr>
        <w:fldChar w:fldCharType="begin"/>
      </w:r>
      <w:r>
        <w:rPr>
          <w:b/>
          <w:bCs/>
          <w:i/>
          <w:iCs/>
          <w:sz w:val="24"/>
          <w:szCs w:val="24"/>
        </w:rPr>
        <w:instrText xml:space="preserve"> REF _Ref13865 \h </w:instrText>
      </w:r>
      <w:r>
        <w:rPr>
          <w:b/>
          <w:bCs/>
          <w:i/>
          <w:iCs/>
          <w:sz w:val="24"/>
          <w:szCs w:val="24"/>
        </w:rPr>
      </w:r>
      <w:r>
        <w:rPr>
          <w:b/>
          <w:bCs/>
          <w:i/>
          <w:iCs/>
          <w:sz w:val="24"/>
          <w:szCs w:val="24"/>
        </w:rPr>
        <w:fldChar w:fldCharType="separate"/>
      </w:r>
      <w:r>
        <w:t>Figura 49</w:t>
      </w:r>
      <w:r>
        <w:rPr>
          <w:b/>
          <w:bCs/>
          <w:i/>
          <w:iCs/>
          <w:sz w:val="24"/>
          <w:szCs w:val="24"/>
        </w:rPr>
        <w:fldChar w:fldCharType="end"/>
      </w:r>
      <w:r>
        <w:rPr>
          <w:sz w:val="24"/>
          <w:szCs w:val="24"/>
        </w:rPr>
        <w:t>) rezistente la foc (</w:t>
      </w:r>
      <w:r>
        <w:rPr>
          <w:b/>
          <w:sz w:val="24"/>
          <w:szCs w:val="24"/>
        </w:rPr>
        <w:t xml:space="preserve">RE </w:t>
      </w:r>
      <w:r>
        <w:rPr>
          <w:bCs/>
          <w:sz w:val="24"/>
          <w:szCs w:val="24"/>
        </w:rPr>
        <w:t xml:space="preserve">dacă sunt necirculabile sau </w:t>
      </w:r>
      <w:r>
        <w:rPr>
          <w:b/>
          <w:sz w:val="24"/>
          <w:szCs w:val="24"/>
        </w:rPr>
        <w:t xml:space="preserve">REI </w:t>
      </w:r>
      <w:r>
        <w:rPr>
          <w:bCs/>
          <w:sz w:val="24"/>
          <w:szCs w:val="24"/>
        </w:rPr>
        <w:t xml:space="preserve">dacă sunt circulabile) </w:t>
      </w:r>
      <w:r>
        <w:rPr>
          <w:sz w:val="24"/>
          <w:szCs w:val="24"/>
        </w:rPr>
        <w:t>trebuie să îndeplinească următoarele criterii:</w:t>
      </w:r>
    </w:p>
    <w:p w14:paraId="461CE462" w14:textId="77777777" w:rsidR="001C08A5" w:rsidRDefault="00000000">
      <w:pPr>
        <w:numPr>
          <w:ilvl w:val="0"/>
          <w:numId w:val="41"/>
        </w:numPr>
        <w:tabs>
          <w:tab w:val="clear" w:pos="1680"/>
        </w:tabs>
        <w:ind w:left="2100"/>
        <w:jc w:val="both"/>
        <w:rPr>
          <w:sz w:val="24"/>
          <w:szCs w:val="24"/>
        </w:rPr>
      </w:pPr>
      <w:r>
        <w:rPr>
          <w:sz w:val="24"/>
          <w:szCs w:val="24"/>
        </w:rPr>
        <w:t>la clădiri cu înălțime obișnuită:</w:t>
      </w:r>
    </w:p>
    <w:p w14:paraId="5D72525A" w14:textId="77777777" w:rsidR="001C08A5" w:rsidRDefault="00000000">
      <w:pPr>
        <w:ind w:left="2160" w:firstLine="720"/>
        <w:jc w:val="both"/>
        <w:rPr>
          <w:sz w:val="24"/>
          <w:szCs w:val="24"/>
        </w:rPr>
      </w:pPr>
      <w:r>
        <w:rPr>
          <w:sz w:val="24"/>
          <w:szCs w:val="24"/>
        </w:rPr>
        <w:t>i. lăţimea (măsurată pe orizontală) de cel puţin</w:t>
      </w:r>
      <w:r>
        <w:rPr>
          <w:b/>
          <w:bCs/>
          <w:sz w:val="24"/>
          <w:szCs w:val="24"/>
        </w:rPr>
        <w:t xml:space="preserve"> 1,20 m </w:t>
      </w:r>
    </w:p>
    <w:p w14:paraId="05CE1CDE" w14:textId="77777777" w:rsidR="001C08A5" w:rsidRDefault="00000000">
      <w:pPr>
        <w:ind w:left="2160" w:firstLine="720"/>
        <w:jc w:val="both"/>
        <w:rPr>
          <w:sz w:val="24"/>
          <w:szCs w:val="24"/>
        </w:rPr>
      </w:pPr>
      <w:r>
        <w:rPr>
          <w:sz w:val="24"/>
          <w:szCs w:val="24"/>
        </w:rPr>
        <w:t>(și)</w:t>
      </w:r>
    </w:p>
    <w:p w14:paraId="4F361FC7"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RE 30 </w:t>
      </w:r>
      <w:r>
        <w:rPr>
          <w:sz w:val="24"/>
          <w:szCs w:val="24"/>
        </w:rPr>
        <w:t>sau</w:t>
      </w:r>
      <w:r>
        <w:rPr>
          <w:b/>
          <w:bCs/>
          <w:sz w:val="24"/>
          <w:szCs w:val="24"/>
        </w:rPr>
        <w:t xml:space="preserve"> REI 30;</w:t>
      </w:r>
    </w:p>
    <w:p w14:paraId="6A6DF8CC" w14:textId="77777777" w:rsidR="001C08A5" w:rsidRDefault="00000000">
      <w:pPr>
        <w:numPr>
          <w:ilvl w:val="0"/>
          <w:numId w:val="41"/>
        </w:numPr>
        <w:tabs>
          <w:tab w:val="clear" w:pos="1680"/>
        </w:tabs>
        <w:ind w:left="2100"/>
        <w:jc w:val="both"/>
        <w:rPr>
          <w:sz w:val="24"/>
          <w:szCs w:val="24"/>
        </w:rPr>
      </w:pPr>
      <w:r>
        <w:rPr>
          <w:sz w:val="24"/>
          <w:szCs w:val="24"/>
        </w:rPr>
        <w:t>la clădiri înalte:</w:t>
      </w:r>
    </w:p>
    <w:p w14:paraId="17EE8C58" w14:textId="77777777" w:rsidR="001C08A5" w:rsidRDefault="00000000">
      <w:pPr>
        <w:ind w:left="2160" w:firstLine="720"/>
        <w:jc w:val="both"/>
        <w:rPr>
          <w:sz w:val="24"/>
          <w:szCs w:val="24"/>
        </w:rPr>
      </w:pPr>
      <w:r>
        <w:rPr>
          <w:sz w:val="24"/>
          <w:szCs w:val="24"/>
        </w:rPr>
        <w:t>i. lăţimea (măsurată pe orizontală) de cel puţin</w:t>
      </w:r>
      <w:r>
        <w:rPr>
          <w:b/>
          <w:bCs/>
          <w:sz w:val="24"/>
          <w:szCs w:val="24"/>
        </w:rPr>
        <w:t xml:space="preserve"> 1,20 m </w:t>
      </w:r>
    </w:p>
    <w:p w14:paraId="358AC477" w14:textId="77777777" w:rsidR="001C08A5" w:rsidRDefault="00000000">
      <w:pPr>
        <w:ind w:left="2160" w:firstLine="720"/>
        <w:jc w:val="both"/>
        <w:rPr>
          <w:sz w:val="24"/>
          <w:szCs w:val="24"/>
        </w:rPr>
      </w:pPr>
      <w:r>
        <w:rPr>
          <w:sz w:val="24"/>
          <w:szCs w:val="24"/>
        </w:rPr>
        <w:t>(și)</w:t>
      </w:r>
    </w:p>
    <w:p w14:paraId="279FE16C"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RE 60 </w:t>
      </w:r>
      <w:r>
        <w:rPr>
          <w:sz w:val="24"/>
          <w:szCs w:val="24"/>
        </w:rPr>
        <w:t>sau</w:t>
      </w:r>
      <w:r>
        <w:rPr>
          <w:b/>
          <w:bCs/>
          <w:sz w:val="24"/>
          <w:szCs w:val="24"/>
        </w:rPr>
        <w:t xml:space="preserve"> REI 60;</w:t>
      </w:r>
    </w:p>
    <w:p w14:paraId="3B97BE0F" w14:textId="77777777" w:rsidR="001C08A5" w:rsidRDefault="00000000">
      <w:pPr>
        <w:numPr>
          <w:ilvl w:val="0"/>
          <w:numId w:val="41"/>
        </w:numPr>
        <w:tabs>
          <w:tab w:val="clear" w:pos="1680"/>
        </w:tabs>
        <w:ind w:left="2100"/>
        <w:jc w:val="both"/>
        <w:rPr>
          <w:sz w:val="24"/>
          <w:szCs w:val="24"/>
        </w:rPr>
      </w:pPr>
      <w:r>
        <w:rPr>
          <w:sz w:val="24"/>
          <w:szCs w:val="24"/>
        </w:rPr>
        <w:t xml:space="preserve">la clădiri foarte înalte cu înălțimea mai mică de </w:t>
      </w:r>
      <w:r>
        <w:rPr>
          <w:b/>
          <w:bCs/>
          <w:sz w:val="24"/>
          <w:szCs w:val="24"/>
        </w:rPr>
        <w:t>125 m</w:t>
      </w:r>
      <w:r>
        <w:rPr>
          <w:sz w:val="24"/>
          <w:szCs w:val="24"/>
        </w:rPr>
        <w:t>:</w:t>
      </w:r>
    </w:p>
    <w:p w14:paraId="47630669" w14:textId="77777777" w:rsidR="001C08A5" w:rsidRDefault="00000000">
      <w:pPr>
        <w:ind w:left="2160" w:firstLine="720"/>
        <w:jc w:val="both"/>
        <w:rPr>
          <w:sz w:val="24"/>
          <w:szCs w:val="24"/>
        </w:rPr>
      </w:pPr>
      <w:r>
        <w:rPr>
          <w:sz w:val="24"/>
          <w:szCs w:val="24"/>
        </w:rPr>
        <w:t>i. lăţimea (măsurată pe orizontală) de cel puţin</w:t>
      </w:r>
      <w:r>
        <w:rPr>
          <w:b/>
          <w:bCs/>
          <w:sz w:val="24"/>
          <w:szCs w:val="24"/>
        </w:rPr>
        <w:t xml:space="preserve"> 1,20 m</w:t>
      </w:r>
    </w:p>
    <w:p w14:paraId="3CF9D67E" w14:textId="77777777" w:rsidR="001C08A5" w:rsidRDefault="00000000">
      <w:pPr>
        <w:ind w:left="2160" w:firstLine="720"/>
        <w:jc w:val="both"/>
        <w:rPr>
          <w:sz w:val="24"/>
          <w:szCs w:val="24"/>
        </w:rPr>
      </w:pPr>
      <w:r>
        <w:rPr>
          <w:sz w:val="24"/>
          <w:szCs w:val="24"/>
        </w:rPr>
        <w:t>(și)</w:t>
      </w:r>
    </w:p>
    <w:p w14:paraId="57A66C46"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RE 90 </w:t>
      </w:r>
      <w:r>
        <w:rPr>
          <w:sz w:val="24"/>
          <w:szCs w:val="24"/>
        </w:rPr>
        <w:t>sau</w:t>
      </w:r>
      <w:r>
        <w:rPr>
          <w:b/>
          <w:bCs/>
          <w:sz w:val="24"/>
          <w:szCs w:val="24"/>
        </w:rPr>
        <w:t xml:space="preserve"> REI 90;</w:t>
      </w:r>
    </w:p>
    <w:p w14:paraId="2694A4BB" w14:textId="77777777" w:rsidR="001C08A5" w:rsidRDefault="00000000">
      <w:pPr>
        <w:numPr>
          <w:ilvl w:val="0"/>
          <w:numId w:val="41"/>
        </w:numPr>
        <w:tabs>
          <w:tab w:val="clear" w:pos="1680"/>
        </w:tabs>
        <w:ind w:left="2100"/>
        <w:jc w:val="both"/>
        <w:rPr>
          <w:sz w:val="24"/>
          <w:szCs w:val="24"/>
        </w:rPr>
      </w:pPr>
      <w:r>
        <w:rPr>
          <w:sz w:val="24"/>
          <w:szCs w:val="24"/>
        </w:rPr>
        <w:lastRenderedPageBreak/>
        <w:t xml:space="preserve">la clădiri foarte înalte cu înălțimea mai mare sau egala cu </w:t>
      </w:r>
      <w:r>
        <w:rPr>
          <w:b/>
          <w:bCs/>
          <w:sz w:val="24"/>
          <w:szCs w:val="24"/>
        </w:rPr>
        <w:t>125 m</w:t>
      </w:r>
      <w:r>
        <w:rPr>
          <w:sz w:val="24"/>
          <w:szCs w:val="24"/>
        </w:rPr>
        <w:t>:</w:t>
      </w:r>
    </w:p>
    <w:p w14:paraId="2F80519B" w14:textId="77777777" w:rsidR="001C08A5" w:rsidRDefault="00000000">
      <w:pPr>
        <w:ind w:left="2160" w:firstLine="720"/>
        <w:jc w:val="both"/>
        <w:rPr>
          <w:sz w:val="24"/>
          <w:szCs w:val="24"/>
        </w:rPr>
      </w:pPr>
      <w:r>
        <w:rPr>
          <w:sz w:val="24"/>
          <w:szCs w:val="24"/>
        </w:rPr>
        <w:t>i. lăţimea (măsurată pe orizontală) de cel puţin</w:t>
      </w:r>
      <w:r>
        <w:rPr>
          <w:b/>
          <w:bCs/>
          <w:sz w:val="24"/>
          <w:szCs w:val="24"/>
        </w:rPr>
        <w:t xml:space="preserve"> 1,20 m</w:t>
      </w:r>
    </w:p>
    <w:p w14:paraId="68C77F92" w14:textId="77777777" w:rsidR="001C08A5" w:rsidRDefault="00000000">
      <w:pPr>
        <w:ind w:left="2160" w:firstLine="720"/>
        <w:jc w:val="both"/>
        <w:rPr>
          <w:sz w:val="24"/>
          <w:szCs w:val="24"/>
        </w:rPr>
      </w:pPr>
      <w:r>
        <w:rPr>
          <w:sz w:val="24"/>
          <w:szCs w:val="24"/>
        </w:rPr>
        <w:t>(și)</w:t>
      </w:r>
    </w:p>
    <w:p w14:paraId="48760331"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RE 120 </w:t>
      </w:r>
      <w:r>
        <w:rPr>
          <w:sz w:val="24"/>
          <w:szCs w:val="24"/>
        </w:rPr>
        <w:t>sau</w:t>
      </w:r>
      <w:r>
        <w:rPr>
          <w:b/>
          <w:bCs/>
          <w:sz w:val="24"/>
          <w:szCs w:val="24"/>
        </w:rPr>
        <w:t xml:space="preserve"> REI 120</w:t>
      </w:r>
      <w:r>
        <w:rPr>
          <w:b/>
          <w:sz w:val="24"/>
          <w:szCs w:val="24"/>
        </w:rPr>
        <w:t>.</w:t>
      </w:r>
    </w:p>
    <w:p w14:paraId="72655201" w14:textId="77777777" w:rsidR="001C08A5" w:rsidRDefault="00000000">
      <w:pPr>
        <w:jc w:val="center"/>
      </w:pPr>
      <w:r>
        <w:rPr>
          <w:noProof/>
          <w:lang w:eastAsia="ro-RO"/>
        </w:rPr>
        <w:drawing>
          <wp:inline distT="0" distB="0" distL="0" distR="0" wp14:anchorId="0426C47F" wp14:editId="5E4CFCE0">
            <wp:extent cx="5952490" cy="2489200"/>
            <wp:effectExtent l="0" t="0" r="10160" b="6350"/>
            <wp:docPr id="1118" name="Picture 1"/>
            <wp:cNvGraphicFramePr/>
            <a:graphic xmlns:a="http://schemas.openxmlformats.org/drawingml/2006/main">
              <a:graphicData uri="http://schemas.openxmlformats.org/drawingml/2006/picture">
                <pic:pic xmlns:pic="http://schemas.openxmlformats.org/drawingml/2006/picture">
                  <pic:nvPicPr>
                    <pic:cNvPr id="1118" name="Picture 1"/>
                    <pic:cNvPicPr/>
                  </pic:nvPicPr>
                  <pic:blipFill>
                    <a:blip r:embed="rId144" cstate="print"/>
                    <a:srcRect l="12953" t="3885" r="8254" b="3246"/>
                    <a:stretch>
                      <a:fillRect/>
                    </a:stretch>
                  </pic:blipFill>
                  <pic:spPr>
                    <a:xfrm>
                      <a:off x="0" y="0"/>
                      <a:ext cx="5952490" cy="2489200"/>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2"/>
        <w:gridCol w:w="2403"/>
        <w:gridCol w:w="2412"/>
        <w:gridCol w:w="2412"/>
      </w:tblGrid>
      <w:tr w:rsidR="001C08A5" w14:paraId="072BA058" w14:textId="77777777">
        <w:tc>
          <w:tcPr>
            <w:tcW w:w="2463" w:type="dxa"/>
          </w:tcPr>
          <w:p w14:paraId="3407DD16" w14:textId="77777777" w:rsidR="001C08A5" w:rsidRDefault="00000000">
            <w:pPr>
              <w:numPr>
                <w:ilvl w:val="0"/>
                <w:numId w:val="50"/>
              </w:numPr>
              <w:jc w:val="center"/>
              <w:rPr>
                <w:i/>
                <w:iCs/>
                <w:sz w:val="22"/>
                <w:szCs w:val="22"/>
              </w:rPr>
            </w:pPr>
            <w:r>
              <w:rPr>
                <w:i/>
                <w:iCs/>
                <w:sz w:val="22"/>
                <w:szCs w:val="22"/>
              </w:rPr>
              <w:t>la clădiri cu înălțime obișnuită</w:t>
            </w:r>
          </w:p>
        </w:tc>
        <w:tc>
          <w:tcPr>
            <w:tcW w:w="2464" w:type="dxa"/>
          </w:tcPr>
          <w:p w14:paraId="2CB95E0C" w14:textId="77777777" w:rsidR="001C08A5" w:rsidRDefault="00000000">
            <w:pPr>
              <w:numPr>
                <w:ilvl w:val="0"/>
                <w:numId w:val="50"/>
              </w:numPr>
              <w:jc w:val="center"/>
              <w:rPr>
                <w:i/>
                <w:iCs/>
                <w:sz w:val="22"/>
                <w:szCs w:val="22"/>
              </w:rPr>
            </w:pPr>
            <w:r>
              <w:rPr>
                <w:i/>
                <w:iCs/>
                <w:sz w:val="22"/>
                <w:szCs w:val="22"/>
              </w:rPr>
              <w:t>la clădiri înalte</w:t>
            </w:r>
          </w:p>
        </w:tc>
        <w:tc>
          <w:tcPr>
            <w:tcW w:w="2464" w:type="dxa"/>
          </w:tcPr>
          <w:p w14:paraId="5E59D005" w14:textId="77777777" w:rsidR="001C08A5" w:rsidRDefault="00000000">
            <w:pPr>
              <w:numPr>
                <w:ilvl w:val="0"/>
                <w:numId w:val="50"/>
              </w:numPr>
              <w:jc w:val="center"/>
              <w:rPr>
                <w:i/>
                <w:iCs/>
                <w:sz w:val="22"/>
                <w:szCs w:val="22"/>
              </w:rPr>
            </w:pPr>
            <w:r>
              <w:rPr>
                <w:i/>
                <w:iCs/>
                <w:sz w:val="22"/>
                <w:szCs w:val="22"/>
              </w:rPr>
              <w:t xml:space="preserve">la clădiri foarte înalte cu înălțimea mai mică de </w:t>
            </w:r>
            <w:r>
              <w:rPr>
                <w:b/>
                <w:bCs/>
                <w:i/>
                <w:iCs/>
                <w:sz w:val="22"/>
                <w:szCs w:val="22"/>
              </w:rPr>
              <w:t>125 m</w:t>
            </w:r>
          </w:p>
        </w:tc>
        <w:tc>
          <w:tcPr>
            <w:tcW w:w="2464" w:type="dxa"/>
          </w:tcPr>
          <w:p w14:paraId="368E2B9B" w14:textId="77777777" w:rsidR="001C08A5" w:rsidRDefault="00000000">
            <w:pPr>
              <w:numPr>
                <w:ilvl w:val="0"/>
                <w:numId w:val="50"/>
              </w:numPr>
              <w:jc w:val="center"/>
              <w:rPr>
                <w:i/>
                <w:iCs/>
                <w:sz w:val="22"/>
                <w:szCs w:val="22"/>
              </w:rPr>
            </w:pPr>
            <w:r>
              <w:rPr>
                <w:i/>
                <w:iCs/>
                <w:sz w:val="22"/>
                <w:szCs w:val="22"/>
              </w:rPr>
              <w:t>la clădiri foarte înalte cu înălțimea mai mare sau egala cu</w:t>
            </w:r>
            <w:r>
              <w:rPr>
                <w:b/>
                <w:bCs/>
                <w:i/>
                <w:iCs/>
                <w:sz w:val="22"/>
                <w:szCs w:val="22"/>
              </w:rPr>
              <w:t xml:space="preserve"> 125 m</w:t>
            </w:r>
          </w:p>
        </w:tc>
      </w:tr>
    </w:tbl>
    <w:p w14:paraId="2FB30AF0" w14:textId="77777777" w:rsidR="001C08A5" w:rsidRDefault="00000000">
      <w:pPr>
        <w:pStyle w:val="Caption"/>
        <w:jc w:val="center"/>
      </w:pPr>
      <w:bookmarkStart w:id="1516" w:name="_Ref13865"/>
      <w:bookmarkStart w:id="1517" w:name="_Toc3252"/>
      <w:bookmarkStart w:id="1518" w:name="_Toc18077"/>
      <w:bookmarkStart w:id="1519" w:name="_Toc4108"/>
      <w:bookmarkStart w:id="1520" w:name="_Toc162360273"/>
      <w:bookmarkStart w:id="1521" w:name="_Toc11667"/>
      <w:r>
        <w:t xml:space="preserve">Figura </w:t>
      </w:r>
      <w:r>
        <w:fldChar w:fldCharType="begin"/>
      </w:r>
      <w:r>
        <w:instrText xml:space="preserve"> SEQ Figura \* ARABIC </w:instrText>
      </w:r>
      <w:r>
        <w:fldChar w:fldCharType="separate"/>
      </w:r>
      <w:r>
        <w:t>49</w:t>
      </w:r>
      <w:r>
        <w:fldChar w:fldCharType="end"/>
      </w:r>
      <w:bookmarkStart w:id="1522" w:name="_Toc59"/>
      <w:bookmarkStart w:id="1523" w:name="_Toc5091"/>
      <w:bookmarkStart w:id="1524" w:name="_Toc15174"/>
      <w:bookmarkStart w:id="1525" w:name="_Toc20157"/>
      <w:bookmarkStart w:id="1526" w:name="_Toc22369"/>
      <w:bookmarkStart w:id="1527" w:name="_Toc25975"/>
      <w:bookmarkStart w:id="1528" w:name="_Toc21767"/>
      <w:bookmarkStart w:id="1529" w:name="_Toc5894"/>
      <w:bookmarkStart w:id="1530" w:name="_Toc15918"/>
      <w:bookmarkStart w:id="1531" w:name="_Toc19531"/>
      <w:bookmarkStart w:id="1532" w:name="_Toc31136"/>
      <w:bookmarkEnd w:id="1516"/>
      <w:r>
        <w:t xml:space="preserve"> - </w:t>
      </w:r>
      <w:r>
        <w:rPr>
          <w:rFonts w:cs="Times New Roman"/>
        </w:rPr>
        <w:t>Performanțe elemente orizontale exterioare continui rezistente la foc</w:t>
      </w:r>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p>
    <w:p w14:paraId="02B77128" w14:textId="77777777" w:rsidR="001C08A5" w:rsidRDefault="00000000">
      <w:pPr>
        <w:ind w:firstLine="720"/>
        <w:jc w:val="both"/>
        <w:rPr>
          <w:sz w:val="24"/>
          <w:szCs w:val="24"/>
        </w:rPr>
      </w:pPr>
      <w:r>
        <w:rPr>
          <w:b/>
          <w:sz w:val="24"/>
          <w:szCs w:val="24"/>
        </w:rPr>
        <w:t>(3)</w:t>
      </w:r>
      <w:r>
        <w:rPr>
          <w:sz w:val="24"/>
          <w:szCs w:val="24"/>
        </w:rPr>
        <w:t xml:space="preserve"> Pentru întârzierea propagării incendiilor prin interiorul construcției spaţiile libere dintre planşee și peretele cortină se etanşează cu sisteme de etanșare avand aceeasi rezistenta la foc cu a planșeului (</w:t>
      </w:r>
      <w:r>
        <w:rPr>
          <w:b/>
          <w:bCs/>
          <w:i/>
          <w:iCs/>
          <w:sz w:val="24"/>
          <w:szCs w:val="24"/>
        </w:rPr>
        <w:fldChar w:fldCharType="begin"/>
      </w:r>
      <w:r>
        <w:rPr>
          <w:b/>
          <w:bCs/>
          <w:i/>
          <w:iCs/>
          <w:sz w:val="24"/>
          <w:szCs w:val="24"/>
        </w:rPr>
        <w:instrText xml:space="preserve"> REF _Ref13927 \h </w:instrText>
      </w:r>
      <w:r>
        <w:rPr>
          <w:b/>
          <w:bCs/>
          <w:i/>
          <w:iCs/>
          <w:sz w:val="24"/>
          <w:szCs w:val="24"/>
        </w:rPr>
      </w:r>
      <w:r>
        <w:rPr>
          <w:b/>
          <w:bCs/>
          <w:i/>
          <w:iCs/>
          <w:sz w:val="24"/>
          <w:szCs w:val="24"/>
        </w:rPr>
        <w:fldChar w:fldCharType="separate"/>
      </w:r>
      <w:r>
        <w:t>Figura 50</w:t>
      </w:r>
      <w:r>
        <w:rPr>
          <w:b/>
          <w:bCs/>
          <w:i/>
          <w:iCs/>
          <w:sz w:val="24"/>
          <w:szCs w:val="24"/>
        </w:rPr>
        <w:fldChar w:fldCharType="end"/>
      </w:r>
      <w:r>
        <w:rPr>
          <w:sz w:val="24"/>
          <w:szCs w:val="24"/>
        </w:rPr>
        <w:t>), astfel:</w:t>
      </w:r>
    </w:p>
    <w:p w14:paraId="527CC872" w14:textId="77777777" w:rsidR="001C08A5" w:rsidRDefault="00000000">
      <w:pPr>
        <w:numPr>
          <w:ilvl w:val="0"/>
          <w:numId w:val="41"/>
        </w:numPr>
        <w:tabs>
          <w:tab w:val="clear" w:pos="1680"/>
        </w:tabs>
        <w:ind w:left="2100"/>
        <w:jc w:val="both"/>
        <w:rPr>
          <w:sz w:val="24"/>
          <w:szCs w:val="24"/>
        </w:rPr>
      </w:pPr>
      <w:r>
        <w:rPr>
          <w:sz w:val="24"/>
          <w:szCs w:val="24"/>
        </w:rPr>
        <w:t>la clădiri cu înălțime obișnuită:</w:t>
      </w:r>
    </w:p>
    <w:p w14:paraId="1822B11C" w14:textId="77777777" w:rsidR="001C08A5" w:rsidRDefault="00000000">
      <w:pPr>
        <w:ind w:left="2160" w:firstLine="720"/>
        <w:jc w:val="both"/>
        <w:rPr>
          <w:sz w:val="24"/>
          <w:szCs w:val="24"/>
        </w:rPr>
      </w:pPr>
      <w:r>
        <w:rPr>
          <w:sz w:val="24"/>
          <w:szCs w:val="24"/>
        </w:rPr>
        <w:t xml:space="preserve">i. rezistența la foc minimum </w:t>
      </w:r>
      <w:r>
        <w:rPr>
          <w:b/>
          <w:bCs/>
          <w:sz w:val="24"/>
          <w:szCs w:val="24"/>
        </w:rPr>
        <w:t>EI 30;</w:t>
      </w:r>
    </w:p>
    <w:p w14:paraId="05F134AD" w14:textId="77777777" w:rsidR="001C08A5" w:rsidRDefault="00000000">
      <w:pPr>
        <w:numPr>
          <w:ilvl w:val="0"/>
          <w:numId w:val="41"/>
        </w:numPr>
        <w:tabs>
          <w:tab w:val="clear" w:pos="1680"/>
        </w:tabs>
        <w:ind w:left="2100"/>
        <w:jc w:val="both"/>
        <w:rPr>
          <w:sz w:val="24"/>
          <w:szCs w:val="24"/>
        </w:rPr>
      </w:pPr>
      <w:r>
        <w:rPr>
          <w:sz w:val="24"/>
          <w:szCs w:val="24"/>
        </w:rPr>
        <w:t>la clădiri înalte:</w:t>
      </w:r>
    </w:p>
    <w:p w14:paraId="117E787D" w14:textId="77777777" w:rsidR="001C08A5" w:rsidRDefault="00000000">
      <w:pPr>
        <w:ind w:left="2160" w:firstLine="720"/>
        <w:jc w:val="both"/>
        <w:rPr>
          <w:sz w:val="24"/>
          <w:szCs w:val="24"/>
        </w:rPr>
      </w:pPr>
      <w:r>
        <w:rPr>
          <w:sz w:val="24"/>
          <w:szCs w:val="24"/>
        </w:rPr>
        <w:t xml:space="preserve">i. rezistența la foc minimum </w:t>
      </w:r>
      <w:r>
        <w:rPr>
          <w:b/>
          <w:bCs/>
          <w:sz w:val="24"/>
          <w:szCs w:val="24"/>
        </w:rPr>
        <w:t>EI 60;</w:t>
      </w:r>
    </w:p>
    <w:p w14:paraId="3BE10A42" w14:textId="77777777" w:rsidR="001C08A5" w:rsidRDefault="00000000">
      <w:pPr>
        <w:numPr>
          <w:ilvl w:val="0"/>
          <w:numId w:val="41"/>
        </w:numPr>
        <w:tabs>
          <w:tab w:val="clear" w:pos="1680"/>
        </w:tabs>
        <w:ind w:left="2100"/>
        <w:jc w:val="both"/>
        <w:rPr>
          <w:sz w:val="24"/>
          <w:szCs w:val="24"/>
        </w:rPr>
      </w:pPr>
      <w:r>
        <w:rPr>
          <w:sz w:val="24"/>
          <w:szCs w:val="24"/>
        </w:rPr>
        <w:t xml:space="preserve">la clădiri foarte înalte cu înălțimea mai mică de </w:t>
      </w:r>
      <w:r>
        <w:rPr>
          <w:b/>
          <w:bCs/>
          <w:sz w:val="24"/>
          <w:szCs w:val="24"/>
        </w:rPr>
        <w:t>125 m</w:t>
      </w:r>
      <w:r>
        <w:rPr>
          <w:sz w:val="24"/>
          <w:szCs w:val="24"/>
        </w:rPr>
        <w:t>:</w:t>
      </w:r>
    </w:p>
    <w:p w14:paraId="43535E51" w14:textId="77777777" w:rsidR="001C08A5" w:rsidRDefault="00000000">
      <w:pPr>
        <w:ind w:left="2160" w:firstLine="720"/>
        <w:jc w:val="both"/>
        <w:rPr>
          <w:sz w:val="24"/>
          <w:szCs w:val="24"/>
        </w:rPr>
      </w:pPr>
      <w:r>
        <w:rPr>
          <w:sz w:val="24"/>
          <w:szCs w:val="24"/>
        </w:rPr>
        <w:t xml:space="preserve">i. rezistența la foc minimum </w:t>
      </w:r>
      <w:r>
        <w:rPr>
          <w:b/>
          <w:bCs/>
          <w:sz w:val="24"/>
          <w:szCs w:val="24"/>
        </w:rPr>
        <w:t>EI 90;</w:t>
      </w:r>
    </w:p>
    <w:p w14:paraId="7056292E" w14:textId="77777777" w:rsidR="001C08A5" w:rsidRDefault="00000000">
      <w:pPr>
        <w:numPr>
          <w:ilvl w:val="0"/>
          <w:numId w:val="41"/>
        </w:numPr>
        <w:tabs>
          <w:tab w:val="clear" w:pos="1680"/>
        </w:tabs>
        <w:ind w:left="2100"/>
        <w:jc w:val="both"/>
        <w:rPr>
          <w:sz w:val="24"/>
          <w:szCs w:val="24"/>
        </w:rPr>
      </w:pPr>
      <w:r>
        <w:rPr>
          <w:sz w:val="24"/>
          <w:szCs w:val="24"/>
        </w:rPr>
        <w:t xml:space="preserve">la clădiri foarte înalte cu înălțimea mai mare sau egala cu </w:t>
      </w:r>
      <w:r>
        <w:rPr>
          <w:b/>
          <w:bCs/>
          <w:sz w:val="24"/>
          <w:szCs w:val="24"/>
        </w:rPr>
        <w:t>125 m</w:t>
      </w:r>
      <w:r>
        <w:rPr>
          <w:sz w:val="24"/>
          <w:szCs w:val="24"/>
        </w:rPr>
        <w:t>:</w:t>
      </w:r>
    </w:p>
    <w:p w14:paraId="3476CF29" w14:textId="77777777" w:rsidR="001C08A5" w:rsidRDefault="00000000">
      <w:pPr>
        <w:ind w:left="2160" w:firstLine="720"/>
        <w:jc w:val="both"/>
        <w:rPr>
          <w:sz w:val="24"/>
          <w:szCs w:val="24"/>
        </w:rPr>
      </w:pPr>
      <w:r>
        <w:rPr>
          <w:sz w:val="24"/>
          <w:szCs w:val="24"/>
        </w:rPr>
        <w:t xml:space="preserve">i. rezistența la foc minimum </w:t>
      </w:r>
      <w:r>
        <w:rPr>
          <w:b/>
          <w:bCs/>
          <w:sz w:val="24"/>
          <w:szCs w:val="24"/>
        </w:rPr>
        <w:t>EI 120;</w:t>
      </w:r>
    </w:p>
    <w:p w14:paraId="4CF61EB4" w14:textId="77777777" w:rsidR="001C08A5" w:rsidRDefault="00000000">
      <w:pPr>
        <w:jc w:val="center"/>
      </w:pPr>
      <w:r>
        <w:rPr>
          <w:noProof/>
          <w:lang w:eastAsia="ro-RO"/>
        </w:rPr>
        <w:drawing>
          <wp:inline distT="0" distB="0" distL="114300" distR="114300" wp14:anchorId="4A8DF4D1" wp14:editId="42F5CECA">
            <wp:extent cx="5934075" cy="1476375"/>
            <wp:effectExtent l="0" t="0" r="9525" b="952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pic:cNvPicPr>
                      <a:picLocks noChangeAspect="1"/>
                    </pic:cNvPicPr>
                  </pic:nvPicPr>
                  <pic:blipFill>
                    <a:blip r:embed="rId145"/>
                    <a:srcRect l="13250" t="22467" r="8135" b="50328"/>
                    <a:stretch>
                      <a:fillRect/>
                    </a:stretch>
                  </pic:blipFill>
                  <pic:spPr>
                    <a:xfrm>
                      <a:off x="0" y="0"/>
                      <a:ext cx="5934075" cy="147637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2"/>
        <w:gridCol w:w="2403"/>
        <w:gridCol w:w="2412"/>
        <w:gridCol w:w="2412"/>
      </w:tblGrid>
      <w:tr w:rsidR="001C08A5" w14:paraId="1E1FADD1" w14:textId="77777777">
        <w:tc>
          <w:tcPr>
            <w:tcW w:w="2463" w:type="dxa"/>
          </w:tcPr>
          <w:p w14:paraId="1904ABD2" w14:textId="77777777" w:rsidR="001C08A5" w:rsidRDefault="00000000">
            <w:pPr>
              <w:numPr>
                <w:ilvl w:val="0"/>
                <w:numId w:val="51"/>
              </w:numPr>
              <w:jc w:val="center"/>
              <w:rPr>
                <w:i/>
                <w:iCs/>
                <w:sz w:val="22"/>
                <w:szCs w:val="22"/>
              </w:rPr>
            </w:pPr>
            <w:r>
              <w:rPr>
                <w:i/>
                <w:iCs/>
                <w:sz w:val="22"/>
                <w:szCs w:val="22"/>
              </w:rPr>
              <w:t>la clădiri cu înălțime obișnuită</w:t>
            </w:r>
          </w:p>
        </w:tc>
        <w:tc>
          <w:tcPr>
            <w:tcW w:w="2464" w:type="dxa"/>
          </w:tcPr>
          <w:p w14:paraId="63405541" w14:textId="77777777" w:rsidR="001C08A5" w:rsidRDefault="00000000">
            <w:pPr>
              <w:numPr>
                <w:ilvl w:val="0"/>
                <w:numId w:val="51"/>
              </w:numPr>
              <w:jc w:val="center"/>
              <w:rPr>
                <w:i/>
                <w:iCs/>
                <w:sz w:val="22"/>
                <w:szCs w:val="22"/>
              </w:rPr>
            </w:pPr>
            <w:r>
              <w:rPr>
                <w:i/>
                <w:iCs/>
                <w:sz w:val="22"/>
                <w:szCs w:val="22"/>
              </w:rPr>
              <w:t>la clădiri cu înalte</w:t>
            </w:r>
          </w:p>
        </w:tc>
        <w:tc>
          <w:tcPr>
            <w:tcW w:w="2464" w:type="dxa"/>
          </w:tcPr>
          <w:p w14:paraId="361380C5" w14:textId="77777777" w:rsidR="001C08A5" w:rsidRDefault="00000000">
            <w:pPr>
              <w:numPr>
                <w:ilvl w:val="0"/>
                <w:numId w:val="51"/>
              </w:numPr>
              <w:jc w:val="center"/>
              <w:rPr>
                <w:i/>
                <w:iCs/>
                <w:sz w:val="22"/>
                <w:szCs w:val="22"/>
              </w:rPr>
            </w:pPr>
            <w:r>
              <w:rPr>
                <w:i/>
                <w:iCs/>
                <w:sz w:val="22"/>
                <w:szCs w:val="22"/>
              </w:rPr>
              <w:t xml:space="preserve">la clădiri foarte înalte cu înălțimea mai mică de </w:t>
            </w:r>
            <w:r>
              <w:rPr>
                <w:b/>
                <w:bCs/>
                <w:i/>
                <w:iCs/>
                <w:sz w:val="22"/>
                <w:szCs w:val="22"/>
              </w:rPr>
              <w:t>125 m</w:t>
            </w:r>
          </w:p>
        </w:tc>
        <w:tc>
          <w:tcPr>
            <w:tcW w:w="2464" w:type="dxa"/>
          </w:tcPr>
          <w:p w14:paraId="253FDD76" w14:textId="77777777" w:rsidR="001C08A5" w:rsidRDefault="00000000">
            <w:pPr>
              <w:numPr>
                <w:ilvl w:val="0"/>
                <w:numId w:val="51"/>
              </w:numPr>
              <w:jc w:val="center"/>
              <w:rPr>
                <w:i/>
                <w:iCs/>
                <w:sz w:val="22"/>
                <w:szCs w:val="22"/>
              </w:rPr>
            </w:pPr>
            <w:r>
              <w:rPr>
                <w:i/>
                <w:iCs/>
                <w:sz w:val="22"/>
                <w:szCs w:val="22"/>
              </w:rPr>
              <w:t>la clădiri foarte înalte cu înălțimea mai mare sau egala cu</w:t>
            </w:r>
            <w:r>
              <w:rPr>
                <w:b/>
                <w:bCs/>
                <w:i/>
                <w:iCs/>
                <w:sz w:val="22"/>
                <w:szCs w:val="22"/>
              </w:rPr>
              <w:t xml:space="preserve"> 125 m</w:t>
            </w:r>
          </w:p>
        </w:tc>
      </w:tr>
    </w:tbl>
    <w:p w14:paraId="405BFC60" w14:textId="77777777" w:rsidR="001C08A5" w:rsidRDefault="00000000">
      <w:pPr>
        <w:pStyle w:val="Caption"/>
        <w:jc w:val="center"/>
      </w:pPr>
      <w:bookmarkStart w:id="1533" w:name="_Ref13927"/>
      <w:bookmarkStart w:id="1534" w:name="_Toc162360274"/>
      <w:bookmarkStart w:id="1535" w:name="_Toc9655"/>
      <w:bookmarkStart w:id="1536" w:name="_Toc9448"/>
      <w:bookmarkStart w:id="1537" w:name="_Toc16131"/>
      <w:bookmarkStart w:id="1538" w:name="_Toc14287"/>
      <w:r>
        <w:t xml:space="preserve">Figura </w:t>
      </w:r>
      <w:r>
        <w:fldChar w:fldCharType="begin"/>
      </w:r>
      <w:r>
        <w:instrText xml:space="preserve"> SEQ Figura \* ARABIC </w:instrText>
      </w:r>
      <w:r>
        <w:fldChar w:fldCharType="separate"/>
      </w:r>
      <w:r>
        <w:t>50</w:t>
      </w:r>
      <w:r>
        <w:fldChar w:fldCharType="end"/>
      </w:r>
      <w:bookmarkStart w:id="1539" w:name="_Toc28449"/>
      <w:bookmarkStart w:id="1540" w:name="_Toc14034"/>
      <w:bookmarkStart w:id="1541" w:name="_Toc12663"/>
      <w:bookmarkStart w:id="1542" w:name="_Toc31540"/>
      <w:bookmarkStart w:id="1543" w:name="_Toc10542"/>
      <w:bookmarkStart w:id="1544" w:name="_Toc28758"/>
      <w:bookmarkStart w:id="1545" w:name="_Toc3617"/>
      <w:bookmarkStart w:id="1546" w:name="_Toc19889"/>
      <w:bookmarkStart w:id="1547" w:name="_Toc29631"/>
      <w:bookmarkStart w:id="1548" w:name="_Toc27561"/>
      <w:bookmarkStart w:id="1549" w:name="_Toc13037"/>
      <w:bookmarkEnd w:id="1533"/>
      <w:r>
        <w:t xml:space="preserve"> - </w:t>
      </w:r>
      <w:r>
        <w:rPr>
          <w:rFonts w:cs="Times New Roman"/>
        </w:rPr>
        <w:t>Performanțe privind etanșarea spaţiilor libere dintre planşee şi peretele cortină</w:t>
      </w:r>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p>
    <w:p w14:paraId="23EDB35D" w14:textId="77777777" w:rsidR="001C08A5" w:rsidRDefault="00000000">
      <w:pPr>
        <w:ind w:firstLine="720"/>
        <w:jc w:val="both"/>
        <w:rPr>
          <w:sz w:val="24"/>
          <w:szCs w:val="24"/>
        </w:rPr>
      </w:pPr>
      <w:r>
        <w:rPr>
          <w:b/>
          <w:sz w:val="24"/>
          <w:szCs w:val="24"/>
        </w:rPr>
        <w:t>Art. 2.3.6.1.4. (1)</w:t>
      </w:r>
      <w:r>
        <w:rPr>
          <w:sz w:val="24"/>
          <w:szCs w:val="24"/>
        </w:rPr>
        <w:t xml:space="preserve"> Pentru întârzierea propagării incendiilor la clădiri care nu sunt înalte și/sau foarte înalte, între nivelurile construcţiilor prin exteriorul închiderii perimetrale (pe faţadă) și prin interiorul construcțiilor  a:</w:t>
      </w:r>
    </w:p>
    <w:p w14:paraId="7106AB02" w14:textId="77777777" w:rsidR="001C08A5" w:rsidRDefault="00000000">
      <w:pPr>
        <w:jc w:val="both"/>
        <w:rPr>
          <w:sz w:val="24"/>
          <w:szCs w:val="24"/>
        </w:rPr>
      </w:pPr>
      <w:r>
        <w:rPr>
          <w:sz w:val="24"/>
          <w:szCs w:val="24"/>
        </w:rPr>
        <w:t>- clădirilor:</w:t>
      </w:r>
    </w:p>
    <w:p w14:paraId="27DB5CB8" w14:textId="77777777" w:rsidR="001C08A5" w:rsidRDefault="00000000">
      <w:pPr>
        <w:ind w:left="1440" w:firstLine="720"/>
        <w:jc w:val="both"/>
        <w:rPr>
          <w:sz w:val="24"/>
          <w:szCs w:val="24"/>
        </w:rPr>
      </w:pPr>
      <w:r>
        <w:rPr>
          <w:sz w:val="24"/>
          <w:szCs w:val="24"/>
        </w:rPr>
        <w:t xml:space="preserve">- cu săli aglomerate, </w:t>
      </w:r>
    </w:p>
    <w:p w14:paraId="2580D563" w14:textId="77777777" w:rsidR="001C08A5" w:rsidRDefault="00000000">
      <w:pPr>
        <w:ind w:left="1440" w:firstLine="720"/>
        <w:jc w:val="both"/>
        <w:rPr>
          <w:sz w:val="24"/>
          <w:szCs w:val="24"/>
        </w:rPr>
      </w:pPr>
      <w:r>
        <w:rPr>
          <w:sz w:val="24"/>
          <w:szCs w:val="24"/>
        </w:rPr>
        <w:t xml:space="preserve">- cu destinate persoanelor care nu se pot evacua singure,  </w:t>
      </w:r>
    </w:p>
    <w:p w14:paraId="5A8708EF" w14:textId="77777777" w:rsidR="001C08A5" w:rsidRDefault="00000000">
      <w:pPr>
        <w:ind w:left="1440" w:firstLine="720"/>
        <w:jc w:val="both"/>
        <w:rPr>
          <w:sz w:val="24"/>
          <w:szCs w:val="24"/>
        </w:rPr>
      </w:pPr>
      <w:r>
        <w:rPr>
          <w:sz w:val="24"/>
          <w:szCs w:val="24"/>
        </w:rPr>
        <w:lastRenderedPageBreak/>
        <w:t>- cu funcțiune de cazare temporară</w:t>
      </w:r>
    </w:p>
    <w:p w14:paraId="096EAE17" w14:textId="77777777" w:rsidR="001C08A5" w:rsidRDefault="00000000">
      <w:pPr>
        <w:ind w:left="1440" w:firstLine="720"/>
        <w:jc w:val="both"/>
        <w:rPr>
          <w:sz w:val="24"/>
          <w:szCs w:val="24"/>
        </w:rPr>
      </w:pPr>
      <w:r>
        <w:rPr>
          <w:sz w:val="24"/>
          <w:szCs w:val="24"/>
        </w:rPr>
        <w:t xml:space="preserve">- învăţămînt preşcolar, primar și secundar </w:t>
      </w:r>
    </w:p>
    <w:p w14:paraId="76196618" w14:textId="77777777" w:rsidR="001C08A5" w:rsidRDefault="00000000">
      <w:pPr>
        <w:jc w:val="both"/>
        <w:rPr>
          <w:sz w:val="24"/>
          <w:szCs w:val="24"/>
        </w:rPr>
      </w:pPr>
      <w:r>
        <w:rPr>
          <w:sz w:val="24"/>
          <w:szCs w:val="24"/>
        </w:rPr>
        <w:t xml:space="preserve">cu înăltimea </w:t>
      </w:r>
      <w:r>
        <w:rPr>
          <w:b/>
          <w:bCs/>
          <w:sz w:val="24"/>
          <w:szCs w:val="24"/>
        </w:rPr>
        <w:t>h &lt; 8 m</w:t>
      </w:r>
      <w:r>
        <w:rPr>
          <w:sz w:val="24"/>
          <w:szCs w:val="24"/>
        </w:rPr>
        <w:t xml:space="preserve"> (unde ”</w:t>
      </w:r>
      <w:r>
        <w:rPr>
          <w:b/>
          <w:bCs/>
          <w:sz w:val="24"/>
          <w:szCs w:val="24"/>
        </w:rPr>
        <w:t>h</w:t>
      </w:r>
      <w:r>
        <w:rPr>
          <w:sz w:val="24"/>
          <w:szCs w:val="24"/>
        </w:rPr>
        <w:t xml:space="preserve">” reprezintă cota ultimului planșeu folosibil al constructiei, față de nivelul de referință) </w:t>
      </w:r>
    </w:p>
    <w:p w14:paraId="476E9A55" w14:textId="77777777" w:rsidR="001C08A5" w:rsidRDefault="00000000">
      <w:pPr>
        <w:ind w:left="1440" w:firstLine="720"/>
        <w:jc w:val="both"/>
        <w:rPr>
          <w:sz w:val="24"/>
          <w:szCs w:val="24"/>
        </w:rPr>
      </w:pPr>
      <w:r>
        <w:rPr>
          <w:sz w:val="24"/>
          <w:szCs w:val="24"/>
        </w:rPr>
        <w:t xml:space="preserve">precum și a </w:t>
      </w:r>
    </w:p>
    <w:p w14:paraId="79239334" w14:textId="77777777" w:rsidR="001C08A5" w:rsidRDefault="00000000">
      <w:pPr>
        <w:jc w:val="both"/>
        <w:rPr>
          <w:sz w:val="24"/>
          <w:szCs w:val="24"/>
        </w:rPr>
      </w:pPr>
      <w:r>
        <w:rPr>
          <w:sz w:val="24"/>
          <w:szCs w:val="24"/>
        </w:rPr>
        <w:t xml:space="preserve">- clădirilor cu alte funcțiuni decât cele enumerate anterior cu regim de înălțime  </w:t>
      </w:r>
      <w:r>
        <w:rPr>
          <w:b/>
          <w:bCs/>
          <w:sz w:val="24"/>
          <w:szCs w:val="24"/>
        </w:rPr>
        <w:t>&gt; P+2E și ≤ P+5E</w:t>
      </w:r>
      <w:r>
        <w:rPr>
          <w:sz w:val="24"/>
          <w:szCs w:val="24"/>
        </w:rPr>
        <w:t xml:space="preserve">  sau cu înăltimea </w:t>
      </w:r>
      <w:r>
        <w:rPr>
          <w:b/>
          <w:bCs/>
          <w:sz w:val="24"/>
          <w:szCs w:val="24"/>
        </w:rPr>
        <w:t>8</w:t>
      </w:r>
      <w:r>
        <w:rPr>
          <w:sz w:val="24"/>
          <w:szCs w:val="24"/>
        </w:rPr>
        <w:t xml:space="preserve"> ≤ </w:t>
      </w:r>
      <w:r>
        <w:rPr>
          <w:b/>
          <w:bCs/>
          <w:sz w:val="24"/>
          <w:szCs w:val="24"/>
        </w:rPr>
        <w:t>h</w:t>
      </w:r>
      <w:r>
        <w:rPr>
          <w:sz w:val="24"/>
          <w:szCs w:val="24"/>
        </w:rPr>
        <w:t>&lt;</w:t>
      </w:r>
      <w:r>
        <w:rPr>
          <w:b/>
          <w:bCs/>
          <w:sz w:val="24"/>
          <w:szCs w:val="24"/>
        </w:rPr>
        <w:t>20 m</w:t>
      </w:r>
      <w:r>
        <w:rPr>
          <w:sz w:val="24"/>
          <w:szCs w:val="24"/>
        </w:rPr>
        <w:t xml:space="preserve"> (unde </w:t>
      </w:r>
      <w:r>
        <w:rPr>
          <w:b/>
          <w:sz w:val="24"/>
          <w:szCs w:val="24"/>
        </w:rPr>
        <w:t>”h”</w:t>
      </w:r>
      <w:r>
        <w:rPr>
          <w:bCs/>
          <w:sz w:val="24"/>
          <w:szCs w:val="24"/>
        </w:rPr>
        <w:t xml:space="preserve"> reprezintă cota ultimului planșeu </w:t>
      </w:r>
      <w:r>
        <w:rPr>
          <w:sz w:val="24"/>
          <w:szCs w:val="24"/>
        </w:rPr>
        <w:t>folosibil</w:t>
      </w:r>
      <w:r>
        <w:rPr>
          <w:bCs/>
          <w:sz w:val="24"/>
          <w:szCs w:val="24"/>
        </w:rPr>
        <w:t xml:space="preserve"> al </w:t>
      </w:r>
      <w:r>
        <w:rPr>
          <w:sz w:val="24"/>
          <w:szCs w:val="24"/>
        </w:rPr>
        <w:t>constructiei, față de nivelul de referință), cu excepția condominiilor (locuințe colective și semicolective) și a locuințelor individuale,</w:t>
      </w:r>
    </w:p>
    <w:p w14:paraId="64D33A68" w14:textId="77777777" w:rsidR="001C08A5" w:rsidRDefault="00000000">
      <w:pPr>
        <w:jc w:val="both"/>
        <w:rPr>
          <w:b/>
          <w:sz w:val="24"/>
          <w:szCs w:val="24"/>
        </w:rPr>
      </w:pPr>
      <w:r>
        <w:rPr>
          <w:sz w:val="24"/>
          <w:szCs w:val="24"/>
        </w:rPr>
        <w:t>se poate adopta una din următoarele măsuri:</w:t>
      </w:r>
    </w:p>
    <w:p w14:paraId="1674A630" w14:textId="77777777" w:rsidR="001C08A5" w:rsidRDefault="00000000">
      <w:pPr>
        <w:ind w:left="1440" w:firstLine="720"/>
        <w:jc w:val="both"/>
        <w:rPr>
          <w:sz w:val="24"/>
          <w:szCs w:val="24"/>
        </w:rPr>
      </w:pPr>
      <w:r>
        <w:rPr>
          <w:sz w:val="24"/>
          <w:szCs w:val="24"/>
        </w:rPr>
        <w:t xml:space="preserve">a. pereții exteriori (neportanți) și/sau părțile din pereții exteriori rezistenți la foc clasificați din exterior spre interior </w:t>
      </w:r>
      <w:r>
        <w:rPr>
          <w:b/>
          <w:sz w:val="24"/>
          <w:szCs w:val="24"/>
        </w:rPr>
        <w:t xml:space="preserve">(o→i) </w:t>
      </w:r>
      <w:r>
        <w:rPr>
          <w:sz w:val="24"/>
          <w:szCs w:val="24"/>
        </w:rPr>
        <w:t>între care se intercalează elemente vitrate fără performanțe la foc trebuie să îndeplinească următoarele criterii:</w:t>
      </w:r>
    </w:p>
    <w:p w14:paraId="14184353"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 </w:t>
      </w:r>
      <w:r>
        <w:rPr>
          <w:sz w:val="24"/>
          <w:szCs w:val="24"/>
        </w:rPr>
        <w:t xml:space="preserve">(măsurată pe verticală conform regulii </w:t>
      </w:r>
      <w:r>
        <w:rPr>
          <w:b/>
          <w:bCs/>
          <w:sz w:val="24"/>
          <w:szCs w:val="24"/>
        </w:rPr>
        <w:t>H+L</w:t>
      </w:r>
      <w:r>
        <w:rPr>
          <w:sz w:val="24"/>
          <w:szCs w:val="24"/>
        </w:rPr>
        <w:t xml:space="preserve">) </w:t>
      </w:r>
    </w:p>
    <w:p w14:paraId="01DB905D" w14:textId="77777777" w:rsidR="001C08A5" w:rsidRDefault="00000000">
      <w:pPr>
        <w:ind w:left="2160" w:firstLine="720"/>
        <w:jc w:val="both"/>
        <w:rPr>
          <w:sz w:val="24"/>
          <w:szCs w:val="24"/>
        </w:rPr>
      </w:pPr>
      <w:r>
        <w:rPr>
          <w:sz w:val="24"/>
          <w:szCs w:val="24"/>
        </w:rPr>
        <w:t>(și)</w:t>
      </w:r>
    </w:p>
    <w:p w14:paraId="5F3DDEA7"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EI 30 </w:t>
      </w:r>
      <w:r>
        <w:rPr>
          <w:b/>
          <w:sz w:val="24"/>
          <w:szCs w:val="24"/>
        </w:rPr>
        <w:t>(o→i)</w:t>
      </w:r>
      <w:r>
        <w:rPr>
          <w:b/>
          <w:bCs/>
          <w:sz w:val="24"/>
          <w:szCs w:val="24"/>
        </w:rPr>
        <w:t>;</w:t>
      </w:r>
    </w:p>
    <w:p w14:paraId="6393A694" w14:textId="77777777" w:rsidR="001C08A5" w:rsidRDefault="00000000">
      <w:pPr>
        <w:ind w:left="1440" w:firstLine="720"/>
        <w:jc w:val="both"/>
        <w:rPr>
          <w:sz w:val="24"/>
          <w:szCs w:val="24"/>
        </w:rPr>
      </w:pPr>
      <w:r>
        <w:rPr>
          <w:sz w:val="24"/>
          <w:szCs w:val="24"/>
        </w:rPr>
        <w:t>b. zonele continui dispuse în planul peretelui cortină, trebuie să îndeplinească următoarele criterii:</w:t>
      </w:r>
    </w:p>
    <w:p w14:paraId="326A5A8D"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1,20 m </w:t>
      </w:r>
      <w:r>
        <w:rPr>
          <w:sz w:val="24"/>
          <w:szCs w:val="24"/>
        </w:rPr>
        <w:t xml:space="preserve">(măsurată pe verticală conform regulii </w:t>
      </w:r>
      <w:r>
        <w:rPr>
          <w:b/>
          <w:bCs/>
          <w:sz w:val="24"/>
          <w:szCs w:val="24"/>
        </w:rPr>
        <w:t>H+L</w:t>
      </w:r>
      <w:r>
        <w:rPr>
          <w:sz w:val="24"/>
          <w:szCs w:val="24"/>
        </w:rPr>
        <w:t xml:space="preserve">) </w:t>
      </w:r>
    </w:p>
    <w:p w14:paraId="3520A472" w14:textId="77777777" w:rsidR="001C08A5" w:rsidRDefault="00000000">
      <w:pPr>
        <w:ind w:left="2160" w:firstLine="720"/>
        <w:jc w:val="both"/>
        <w:rPr>
          <w:sz w:val="24"/>
          <w:szCs w:val="24"/>
        </w:rPr>
      </w:pPr>
      <w:r>
        <w:rPr>
          <w:sz w:val="24"/>
          <w:szCs w:val="24"/>
        </w:rPr>
        <w:t>(și)</w:t>
      </w:r>
    </w:p>
    <w:p w14:paraId="40517F5B"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EI 30 </w:t>
      </w:r>
      <w:r>
        <w:rPr>
          <w:b/>
          <w:sz w:val="24"/>
          <w:szCs w:val="24"/>
        </w:rPr>
        <w:t>(o→i)</w:t>
      </w:r>
      <w:r>
        <w:rPr>
          <w:b/>
          <w:bCs/>
          <w:sz w:val="24"/>
          <w:szCs w:val="24"/>
        </w:rPr>
        <w:t>;</w:t>
      </w:r>
    </w:p>
    <w:p w14:paraId="118FAD03" w14:textId="77777777" w:rsidR="001C08A5" w:rsidRDefault="00000000">
      <w:pPr>
        <w:ind w:left="1440" w:firstLine="720"/>
        <w:jc w:val="both"/>
        <w:rPr>
          <w:sz w:val="24"/>
          <w:szCs w:val="24"/>
        </w:rPr>
      </w:pPr>
      <w:r>
        <w:rPr>
          <w:sz w:val="24"/>
          <w:szCs w:val="24"/>
        </w:rPr>
        <w:t>c. peretele cortină sau panoul de tâmplărie trebuie să îndeplinească următorul criteriu:</w:t>
      </w:r>
    </w:p>
    <w:p w14:paraId="4FED1598" w14:textId="77777777" w:rsidR="001C08A5" w:rsidRDefault="00000000">
      <w:pPr>
        <w:ind w:left="2160" w:firstLine="720"/>
        <w:jc w:val="both"/>
        <w:rPr>
          <w:sz w:val="24"/>
          <w:szCs w:val="24"/>
        </w:rPr>
      </w:pPr>
      <w:r>
        <w:rPr>
          <w:sz w:val="24"/>
          <w:szCs w:val="24"/>
        </w:rPr>
        <w:t xml:space="preserve">i. rezistența la foc minimum </w:t>
      </w:r>
      <w:r>
        <w:rPr>
          <w:b/>
          <w:bCs/>
          <w:sz w:val="24"/>
          <w:szCs w:val="24"/>
        </w:rPr>
        <w:t xml:space="preserve">EI 30 </w:t>
      </w:r>
      <w:r>
        <w:rPr>
          <w:b/>
          <w:sz w:val="24"/>
          <w:szCs w:val="24"/>
        </w:rPr>
        <w:t>(o→i)</w:t>
      </w:r>
      <w:r>
        <w:rPr>
          <w:b/>
          <w:bCs/>
          <w:sz w:val="24"/>
          <w:szCs w:val="24"/>
        </w:rPr>
        <w:t>;</w:t>
      </w:r>
    </w:p>
    <w:p w14:paraId="55624953" w14:textId="77777777" w:rsidR="001C08A5" w:rsidRDefault="00000000">
      <w:pPr>
        <w:ind w:left="1440" w:firstLine="720"/>
        <w:jc w:val="both"/>
        <w:rPr>
          <w:sz w:val="24"/>
          <w:szCs w:val="24"/>
        </w:rPr>
      </w:pPr>
      <w:r>
        <w:rPr>
          <w:sz w:val="24"/>
          <w:szCs w:val="24"/>
        </w:rPr>
        <w:t xml:space="preserve">d. </w:t>
      </w:r>
      <w:r>
        <w:rPr>
          <w:bCs/>
          <w:sz w:val="24"/>
          <w:szCs w:val="24"/>
        </w:rPr>
        <w:t xml:space="preserve">ecranele de protecție </w:t>
      </w:r>
      <w:r>
        <w:rPr>
          <w:sz w:val="24"/>
          <w:szCs w:val="24"/>
        </w:rPr>
        <w:t>trebuie să îndeplinească următoarele criterii:</w:t>
      </w:r>
    </w:p>
    <w:p w14:paraId="36A3DE94" w14:textId="77777777" w:rsidR="001C08A5" w:rsidRDefault="00000000">
      <w:pPr>
        <w:ind w:left="2160" w:firstLine="720"/>
        <w:jc w:val="both"/>
        <w:rPr>
          <w:sz w:val="24"/>
          <w:szCs w:val="24"/>
        </w:rPr>
      </w:pPr>
      <w:r>
        <w:rPr>
          <w:sz w:val="24"/>
          <w:szCs w:val="24"/>
        </w:rPr>
        <w:t xml:space="preserve">i. înălţimea de cel puţin </w:t>
      </w:r>
      <w:r>
        <w:rPr>
          <w:b/>
          <w:bCs/>
          <w:sz w:val="24"/>
          <w:szCs w:val="24"/>
        </w:rPr>
        <w:t>50 cm</w:t>
      </w:r>
      <w:r>
        <w:rPr>
          <w:sz w:val="24"/>
          <w:szCs w:val="24"/>
        </w:rPr>
        <w:t xml:space="preserve">, amplasate sub planșeul de rezistență, astfel încât să respecte solutiile </w:t>
      </w:r>
      <w:r>
        <w:rPr>
          <w:b/>
          <w:bCs/>
          <w:sz w:val="24"/>
          <w:szCs w:val="24"/>
        </w:rPr>
        <w:t>H+L</w:t>
      </w:r>
      <w:r>
        <w:rPr>
          <w:sz w:val="24"/>
          <w:szCs w:val="24"/>
        </w:rPr>
        <w:t xml:space="preserve"> cel puțin </w:t>
      </w:r>
      <w:r>
        <w:rPr>
          <w:b/>
          <w:bCs/>
          <w:sz w:val="24"/>
          <w:szCs w:val="24"/>
        </w:rPr>
        <w:t>90 cm</w:t>
      </w:r>
    </w:p>
    <w:p w14:paraId="479E9D0C" w14:textId="77777777" w:rsidR="001C08A5" w:rsidRDefault="00000000">
      <w:pPr>
        <w:ind w:left="2160" w:firstLine="720"/>
        <w:jc w:val="both"/>
        <w:rPr>
          <w:sz w:val="24"/>
          <w:szCs w:val="24"/>
        </w:rPr>
      </w:pPr>
      <w:r>
        <w:rPr>
          <w:sz w:val="24"/>
          <w:szCs w:val="24"/>
        </w:rPr>
        <w:t>(și)</w:t>
      </w:r>
    </w:p>
    <w:p w14:paraId="2AFBA190" w14:textId="77777777" w:rsidR="001C08A5" w:rsidRDefault="00000000">
      <w:pPr>
        <w:ind w:left="2160" w:firstLine="720"/>
        <w:jc w:val="both"/>
        <w:rPr>
          <w:sz w:val="24"/>
          <w:szCs w:val="24"/>
        </w:rPr>
      </w:pPr>
      <w:r>
        <w:rPr>
          <w:sz w:val="24"/>
          <w:szCs w:val="24"/>
        </w:rPr>
        <w:t xml:space="preserve">ii. rezistența la foc minimum </w:t>
      </w:r>
      <w:r>
        <w:rPr>
          <w:b/>
          <w:sz w:val="24"/>
          <w:szCs w:val="24"/>
        </w:rPr>
        <w:t>D</w:t>
      </w:r>
      <w:r>
        <w:rPr>
          <w:b/>
          <w:sz w:val="24"/>
          <w:szCs w:val="24"/>
          <w:vertAlign w:val="subscript"/>
        </w:rPr>
        <w:t>600</w:t>
      </w:r>
      <w:r>
        <w:rPr>
          <w:b/>
          <w:bCs/>
          <w:sz w:val="24"/>
          <w:szCs w:val="24"/>
        </w:rPr>
        <w:t>30;</w:t>
      </w:r>
    </w:p>
    <w:p w14:paraId="1271E0BD" w14:textId="77777777" w:rsidR="001C08A5" w:rsidRDefault="00000000">
      <w:pPr>
        <w:pStyle w:val="ListParagraph"/>
        <w:ind w:left="1685" w:firstLine="475"/>
        <w:jc w:val="both"/>
      </w:pPr>
      <w:r>
        <w:t>e. elementele orizontale exterioare continui trebuie să îndeplinească următoarele criterii:</w:t>
      </w:r>
    </w:p>
    <w:p w14:paraId="35C77AD1" w14:textId="77777777" w:rsidR="001C08A5" w:rsidRDefault="00000000">
      <w:pPr>
        <w:ind w:left="2160" w:firstLine="720"/>
        <w:jc w:val="both"/>
        <w:rPr>
          <w:sz w:val="24"/>
          <w:szCs w:val="24"/>
        </w:rPr>
      </w:pPr>
      <w:r>
        <w:rPr>
          <w:sz w:val="24"/>
          <w:szCs w:val="24"/>
        </w:rPr>
        <w:t>i. lăţimea de cel puţin</w:t>
      </w:r>
      <w:r>
        <w:rPr>
          <w:b/>
          <w:bCs/>
          <w:sz w:val="24"/>
          <w:szCs w:val="24"/>
        </w:rPr>
        <w:t xml:space="preserve"> 1,20 m </w:t>
      </w:r>
      <w:r>
        <w:rPr>
          <w:sz w:val="24"/>
          <w:szCs w:val="24"/>
        </w:rPr>
        <w:t xml:space="preserve">(măsurată pe orizontală conform regulii </w:t>
      </w:r>
      <w:r>
        <w:rPr>
          <w:b/>
          <w:bCs/>
          <w:sz w:val="24"/>
          <w:szCs w:val="24"/>
        </w:rPr>
        <w:t>H+L</w:t>
      </w:r>
      <w:r>
        <w:rPr>
          <w:sz w:val="24"/>
          <w:szCs w:val="24"/>
        </w:rPr>
        <w:t xml:space="preserve">) </w:t>
      </w:r>
    </w:p>
    <w:p w14:paraId="40BF7AB1" w14:textId="77777777" w:rsidR="001C08A5" w:rsidRDefault="00000000">
      <w:pPr>
        <w:ind w:left="1440" w:firstLine="720"/>
        <w:jc w:val="both"/>
        <w:rPr>
          <w:sz w:val="24"/>
          <w:szCs w:val="24"/>
        </w:rPr>
      </w:pPr>
      <w:r>
        <w:rPr>
          <w:sz w:val="24"/>
          <w:szCs w:val="24"/>
        </w:rPr>
        <w:t>(și)</w:t>
      </w:r>
    </w:p>
    <w:p w14:paraId="0CD2BF2E" w14:textId="77777777" w:rsidR="001C08A5" w:rsidRDefault="00000000">
      <w:pPr>
        <w:ind w:left="2160" w:firstLine="720"/>
        <w:jc w:val="both"/>
        <w:rPr>
          <w:b/>
          <w:bCs/>
          <w:sz w:val="24"/>
          <w:szCs w:val="24"/>
        </w:rPr>
      </w:pPr>
      <w:r>
        <w:rPr>
          <w:sz w:val="24"/>
          <w:szCs w:val="24"/>
        </w:rPr>
        <w:t xml:space="preserve">ii. rezistența la foc minimum </w:t>
      </w:r>
      <w:r>
        <w:rPr>
          <w:b/>
          <w:sz w:val="24"/>
          <w:szCs w:val="24"/>
        </w:rPr>
        <w:t xml:space="preserve">RE </w:t>
      </w:r>
      <w:r>
        <w:rPr>
          <w:bCs/>
          <w:sz w:val="24"/>
          <w:szCs w:val="24"/>
        </w:rPr>
        <w:t>sau</w:t>
      </w:r>
      <w:r>
        <w:rPr>
          <w:b/>
          <w:sz w:val="24"/>
          <w:szCs w:val="24"/>
        </w:rPr>
        <w:t xml:space="preserve"> REI</w:t>
      </w:r>
      <w:r>
        <w:rPr>
          <w:b/>
          <w:bCs/>
          <w:sz w:val="24"/>
          <w:szCs w:val="24"/>
        </w:rPr>
        <w:t xml:space="preserve"> 30;</w:t>
      </w:r>
    </w:p>
    <w:p w14:paraId="0BFD0A40" w14:textId="77777777" w:rsidR="001C08A5" w:rsidRDefault="001C08A5">
      <w:pPr>
        <w:ind w:left="1440" w:firstLine="720"/>
        <w:jc w:val="both"/>
        <w:rPr>
          <w:b/>
          <w:bCs/>
          <w:sz w:val="24"/>
          <w:szCs w:val="24"/>
        </w:rPr>
      </w:pPr>
    </w:p>
    <w:p w14:paraId="057EF81E" w14:textId="77777777" w:rsidR="001C08A5" w:rsidRDefault="00000000">
      <w:pPr>
        <w:ind w:firstLine="720"/>
        <w:jc w:val="both"/>
        <w:rPr>
          <w:bCs/>
          <w:sz w:val="24"/>
          <w:szCs w:val="24"/>
        </w:rPr>
      </w:pPr>
      <w:r>
        <w:rPr>
          <w:sz w:val="24"/>
          <w:szCs w:val="24"/>
        </w:rPr>
        <w:t xml:space="preserve">Spaţiile libere dintre planşee și peretele cortină se etanşează cu sisteme de etanșare avand aceeasi rezistenta la foc cu a planșeului, în funcție de nivelul de stabilitate la incendiu al construcției, dar nu mai puțin de </w:t>
      </w:r>
      <w:r>
        <w:rPr>
          <w:b/>
          <w:bCs/>
          <w:sz w:val="24"/>
          <w:szCs w:val="24"/>
        </w:rPr>
        <w:t>EI 30.</w:t>
      </w:r>
    </w:p>
    <w:p w14:paraId="73015995" w14:textId="77777777" w:rsidR="001C08A5" w:rsidRDefault="001C08A5">
      <w:pPr>
        <w:jc w:val="both"/>
        <w:rPr>
          <w:b/>
          <w:sz w:val="24"/>
          <w:szCs w:val="24"/>
        </w:rPr>
      </w:pPr>
    </w:p>
    <w:p w14:paraId="15D69C4C" w14:textId="77777777" w:rsidR="001C08A5" w:rsidRDefault="00000000">
      <w:pPr>
        <w:ind w:firstLine="720"/>
        <w:jc w:val="both"/>
        <w:rPr>
          <w:sz w:val="24"/>
          <w:szCs w:val="24"/>
        </w:rPr>
      </w:pPr>
      <w:r>
        <w:rPr>
          <w:b/>
          <w:sz w:val="24"/>
          <w:szCs w:val="24"/>
        </w:rPr>
        <w:t xml:space="preserve">Art. 2.3.6.1.5. </w:t>
      </w:r>
      <w:r>
        <w:rPr>
          <w:sz w:val="24"/>
          <w:szCs w:val="24"/>
        </w:rPr>
        <w:t>Pentru întârzierea propagării incendiilor între nivelurile construcţiilor prin exteriorul închiderii perimetrale (pe faţadă) și prin interiorul construcțiilor  a:</w:t>
      </w:r>
    </w:p>
    <w:p w14:paraId="6536CA20" w14:textId="77777777" w:rsidR="001C08A5" w:rsidRDefault="00000000">
      <w:pPr>
        <w:jc w:val="both"/>
        <w:rPr>
          <w:sz w:val="24"/>
          <w:szCs w:val="24"/>
        </w:rPr>
      </w:pPr>
      <w:r>
        <w:rPr>
          <w:sz w:val="24"/>
          <w:szCs w:val="24"/>
        </w:rPr>
        <w:t>- clădirilor:</w:t>
      </w:r>
    </w:p>
    <w:p w14:paraId="01F52883" w14:textId="77777777" w:rsidR="001C08A5" w:rsidRDefault="00000000">
      <w:pPr>
        <w:ind w:left="1440" w:firstLine="720"/>
        <w:jc w:val="both"/>
        <w:rPr>
          <w:sz w:val="24"/>
          <w:szCs w:val="24"/>
        </w:rPr>
      </w:pPr>
      <w:r>
        <w:rPr>
          <w:sz w:val="24"/>
          <w:szCs w:val="24"/>
        </w:rPr>
        <w:t>- cu orice funcțiune, cu excepția celor cu săli aglomerate, cu persoane care nu se pot evacua singure, cu funcțiune de cazare temporară, învăţămînt preşcolar, primar și secundar precum și a condominiilor (locuințe colective și semicolective) și a locuințelor individuale</w:t>
      </w:r>
    </w:p>
    <w:p w14:paraId="351FD8DF" w14:textId="77777777" w:rsidR="001C08A5" w:rsidRDefault="00000000">
      <w:pPr>
        <w:jc w:val="both"/>
        <w:rPr>
          <w:sz w:val="24"/>
          <w:szCs w:val="24"/>
        </w:rPr>
      </w:pPr>
      <w:r>
        <w:rPr>
          <w:sz w:val="24"/>
          <w:szCs w:val="24"/>
        </w:rPr>
        <w:t xml:space="preserve">cu înăltimea </w:t>
      </w:r>
      <w:r>
        <w:rPr>
          <w:b/>
          <w:bCs/>
          <w:sz w:val="24"/>
          <w:szCs w:val="24"/>
        </w:rPr>
        <w:t>h &lt; 8 m</w:t>
      </w:r>
      <w:r>
        <w:rPr>
          <w:sz w:val="24"/>
          <w:szCs w:val="24"/>
        </w:rPr>
        <w:t xml:space="preserve"> (unde ”</w:t>
      </w:r>
      <w:r>
        <w:rPr>
          <w:b/>
          <w:bCs/>
          <w:sz w:val="24"/>
          <w:szCs w:val="24"/>
        </w:rPr>
        <w:t>h</w:t>
      </w:r>
      <w:r>
        <w:rPr>
          <w:sz w:val="24"/>
          <w:szCs w:val="24"/>
        </w:rPr>
        <w:t xml:space="preserve">” reprezintă cota ultimului planșeu  folosibil al constructiei, față de nivelul de referință) </w:t>
      </w:r>
    </w:p>
    <w:p w14:paraId="21CFAE18" w14:textId="77777777" w:rsidR="001C08A5" w:rsidRDefault="00000000">
      <w:pPr>
        <w:ind w:left="1440" w:firstLine="720"/>
        <w:jc w:val="both"/>
        <w:rPr>
          <w:sz w:val="24"/>
          <w:szCs w:val="24"/>
        </w:rPr>
      </w:pPr>
      <w:r>
        <w:rPr>
          <w:sz w:val="24"/>
          <w:szCs w:val="24"/>
        </w:rPr>
        <w:t xml:space="preserve">precum și a </w:t>
      </w:r>
    </w:p>
    <w:p w14:paraId="37569959" w14:textId="77777777" w:rsidR="001C08A5" w:rsidRDefault="00000000">
      <w:pPr>
        <w:ind w:left="1440" w:firstLine="720"/>
        <w:jc w:val="both"/>
        <w:rPr>
          <w:sz w:val="24"/>
          <w:szCs w:val="24"/>
        </w:rPr>
      </w:pPr>
      <w:r>
        <w:rPr>
          <w:sz w:val="24"/>
          <w:szCs w:val="24"/>
        </w:rPr>
        <w:lastRenderedPageBreak/>
        <w:t xml:space="preserve">- condominiului format din una sau mai multe construcții, dintre care unele proprietăți sunt comune, iar restul sunt proprietăți individuale,  după caz, cu regim de înălțime  </w:t>
      </w:r>
      <w:r>
        <w:rPr>
          <w:b/>
          <w:bCs/>
          <w:sz w:val="24"/>
          <w:szCs w:val="24"/>
        </w:rPr>
        <w:t>&gt; P+2E</w:t>
      </w:r>
      <w:r>
        <w:rPr>
          <w:sz w:val="24"/>
          <w:szCs w:val="24"/>
        </w:rPr>
        <w:t xml:space="preserve"> și </w:t>
      </w:r>
      <w:r>
        <w:rPr>
          <w:b/>
          <w:bCs/>
          <w:sz w:val="24"/>
          <w:szCs w:val="24"/>
        </w:rPr>
        <w:t xml:space="preserve">&lt; P+5E </w:t>
      </w:r>
      <w:r>
        <w:rPr>
          <w:sz w:val="24"/>
          <w:szCs w:val="24"/>
        </w:rPr>
        <w:t xml:space="preserve"> sau cu înăltimea </w:t>
      </w:r>
      <w:r>
        <w:rPr>
          <w:b/>
          <w:bCs/>
          <w:sz w:val="24"/>
          <w:szCs w:val="24"/>
        </w:rPr>
        <w:t>8 ≤ h &lt; 20 m</w:t>
      </w:r>
      <w:r>
        <w:rPr>
          <w:sz w:val="24"/>
          <w:szCs w:val="24"/>
        </w:rPr>
        <w:t xml:space="preserve"> (unde ”h” reprezintă cota ultimului planșeu folosibil al constructiei, față de nivelul de referință), cu excepția condominiilor și a locuințelor individuale,</w:t>
      </w:r>
    </w:p>
    <w:p w14:paraId="1045C1E1" w14:textId="77777777" w:rsidR="001C08A5" w:rsidRDefault="00000000">
      <w:pPr>
        <w:jc w:val="both"/>
        <w:rPr>
          <w:b/>
          <w:sz w:val="24"/>
          <w:szCs w:val="24"/>
        </w:rPr>
      </w:pPr>
      <w:r>
        <w:rPr>
          <w:sz w:val="24"/>
          <w:szCs w:val="24"/>
        </w:rPr>
        <w:t>se poate adopta una din următoarele măsuri:</w:t>
      </w:r>
    </w:p>
    <w:p w14:paraId="5F2B8058" w14:textId="77777777" w:rsidR="001C08A5" w:rsidRDefault="00000000">
      <w:pPr>
        <w:ind w:left="1440" w:firstLine="720"/>
        <w:jc w:val="both"/>
        <w:rPr>
          <w:sz w:val="24"/>
          <w:szCs w:val="24"/>
        </w:rPr>
      </w:pPr>
      <w:r>
        <w:rPr>
          <w:sz w:val="24"/>
          <w:szCs w:val="24"/>
        </w:rPr>
        <w:t xml:space="preserve">a. pereții exteriori (neportanți) și/sau părțile din pereții exteriori rezistenți la foc clasificați din exterior spre interior </w:t>
      </w:r>
      <w:r>
        <w:rPr>
          <w:b/>
          <w:sz w:val="24"/>
          <w:szCs w:val="24"/>
        </w:rPr>
        <w:t xml:space="preserve">(o→i) </w:t>
      </w:r>
      <w:r>
        <w:rPr>
          <w:sz w:val="24"/>
          <w:szCs w:val="24"/>
        </w:rPr>
        <w:t>între care se intercalează elemente vitrate fără performanțe la foc trebuie să îndeplinească următoarele criterii:</w:t>
      </w:r>
    </w:p>
    <w:p w14:paraId="22E7A53C"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90 cm </w:t>
      </w:r>
      <w:r>
        <w:rPr>
          <w:sz w:val="24"/>
          <w:szCs w:val="24"/>
        </w:rPr>
        <w:t xml:space="preserve">(măsurată pe verticală conform regulii </w:t>
      </w:r>
      <w:r>
        <w:rPr>
          <w:b/>
          <w:bCs/>
          <w:sz w:val="24"/>
          <w:szCs w:val="24"/>
        </w:rPr>
        <w:t>H+L</w:t>
      </w:r>
      <w:r>
        <w:rPr>
          <w:sz w:val="24"/>
          <w:szCs w:val="24"/>
        </w:rPr>
        <w:t xml:space="preserve">) </w:t>
      </w:r>
    </w:p>
    <w:p w14:paraId="2BBAAC8A" w14:textId="77777777" w:rsidR="001C08A5" w:rsidRDefault="00000000">
      <w:pPr>
        <w:ind w:left="2160" w:firstLine="720"/>
        <w:jc w:val="both"/>
        <w:rPr>
          <w:sz w:val="24"/>
          <w:szCs w:val="24"/>
        </w:rPr>
      </w:pPr>
      <w:r>
        <w:rPr>
          <w:sz w:val="24"/>
          <w:szCs w:val="24"/>
        </w:rPr>
        <w:t>(sau)</w:t>
      </w:r>
    </w:p>
    <w:p w14:paraId="3379F763"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90 cm </w:t>
      </w:r>
      <w:r>
        <w:rPr>
          <w:sz w:val="24"/>
          <w:szCs w:val="24"/>
        </w:rPr>
        <w:t xml:space="preserve">(măsurată pe verticală în sens diagonal, în direcția cea mai scurtă) </w:t>
      </w:r>
    </w:p>
    <w:p w14:paraId="69144EDA" w14:textId="77777777" w:rsidR="001C08A5" w:rsidRDefault="00000000">
      <w:pPr>
        <w:ind w:left="2160" w:firstLine="720"/>
        <w:jc w:val="both"/>
        <w:rPr>
          <w:sz w:val="24"/>
          <w:szCs w:val="24"/>
        </w:rPr>
      </w:pPr>
      <w:r>
        <w:rPr>
          <w:sz w:val="24"/>
          <w:szCs w:val="24"/>
        </w:rPr>
        <w:t>(și)</w:t>
      </w:r>
    </w:p>
    <w:p w14:paraId="4B2202BF"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EI 30 </w:t>
      </w:r>
      <w:r>
        <w:rPr>
          <w:b/>
          <w:sz w:val="24"/>
          <w:szCs w:val="24"/>
        </w:rPr>
        <w:t>(o→i)</w:t>
      </w:r>
      <w:r>
        <w:rPr>
          <w:b/>
          <w:bCs/>
          <w:sz w:val="24"/>
          <w:szCs w:val="24"/>
        </w:rPr>
        <w:t>;</w:t>
      </w:r>
    </w:p>
    <w:p w14:paraId="72D03565" w14:textId="77777777" w:rsidR="001C08A5" w:rsidRDefault="00000000">
      <w:pPr>
        <w:ind w:left="1440" w:firstLine="720"/>
        <w:jc w:val="both"/>
        <w:rPr>
          <w:sz w:val="24"/>
          <w:szCs w:val="24"/>
        </w:rPr>
      </w:pPr>
      <w:r>
        <w:rPr>
          <w:sz w:val="24"/>
          <w:szCs w:val="24"/>
        </w:rPr>
        <w:t>b. zonele continui dispuse în planul peretelui cortină trebuie să îndeplinească următoarele criterii:</w:t>
      </w:r>
    </w:p>
    <w:p w14:paraId="389D65FE" w14:textId="77777777" w:rsidR="001C08A5" w:rsidRDefault="00000000">
      <w:pPr>
        <w:ind w:left="2160" w:firstLine="720"/>
        <w:jc w:val="both"/>
        <w:rPr>
          <w:sz w:val="24"/>
          <w:szCs w:val="24"/>
        </w:rPr>
      </w:pPr>
      <w:r>
        <w:rPr>
          <w:sz w:val="24"/>
          <w:szCs w:val="24"/>
        </w:rPr>
        <w:t>i. înălţimea de cel puţin</w:t>
      </w:r>
      <w:r>
        <w:rPr>
          <w:b/>
          <w:bCs/>
          <w:sz w:val="24"/>
          <w:szCs w:val="24"/>
        </w:rPr>
        <w:t xml:space="preserve"> 90 cm </w:t>
      </w:r>
      <w:r>
        <w:rPr>
          <w:sz w:val="24"/>
          <w:szCs w:val="24"/>
        </w:rPr>
        <w:t xml:space="preserve">(măsurată pe verticală conform regulii </w:t>
      </w:r>
      <w:r>
        <w:rPr>
          <w:b/>
          <w:bCs/>
          <w:sz w:val="24"/>
          <w:szCs w:val="24"/>
        </w:rPr>
        <w:t>H+L</w:t>
      </w:r>
      <w:r>
        <w:rPr>
          <w:sz w:val="24"/>
          <w:szCs w:val="24"/>
        </w:rPr>
        <w:t xml:space="preserve">) </w:t>
      </w:r>
    </w:p>
    <w:p w14:paraId="095E9652" w14:textId="77777777" w:rsidR="001C08A5" w:rsidRDefault="00000000">
      <w:pPr>
        <w:ind w:left="2160" w:firstLine="720"/>
        <w:jc w:val="both"/>
        <w:rPr>
          <w:sz w:val="24"/>
          <w:szCs w:val="24"/>
        </w:rPr>
      </w:pPr>
      <w:r>
        <w:rPr>
          <w:sz w:val="24"/>
          <w:szCs w:val="24"/>
        </w:rPr>
        <w:t>(și)</w:t>
      </w:r>
    </w:p>
    <w:p w14:paraId="0CB9817D" w14:textId="77777777" w:rsidR="001C08A5" w:rsidRDefault="00000000">
      <w:pPr>
        <w:ind w:left="2160" w:firstLine="720"/>
        <w:jc w:val="both"/>
        <w:rPr>
          <w:sz w:val="24"/>
          <w:szCs w:val="24"/>
        </w:rPr>
      </w:pPr>
      <w:r>
        <w:rPr>
          <w:sz w:val="24"/>
          <w:szCs w:val="24"/>
        </w:rPr>
        <w:t xml:space="preserve">ii. rezistența la foc minimum </w:t>
      </w:r>
      <w:r>
        <w:rPr>
          <w:b/>
          <w:bCs/>
          <w:sz w:val="24"/>
          <w:szCs w:val="24"/>
        </w:rPr>
        <w:t xml:space="preserve">EI 30 </w:t>
      </w:r>
      <w:r>
        <w:rPr>
          <w:b/>
          <w:sz w:val="24"/>
          <w:szCs w:val="24"/>
        </w:rPr>
        <w:t>(o→i)</w:t>
      </w:r>
      <w:r>
        <w:rPr>
          <w:b/>
          <w:bCs/>
          <w:sz w:val="24"/>
          <w:szCs w:val="24"/>
        </w:rPr>
        <w:t>;</w:t>
      </w:r>
    </w:p>
    <w:p w14:paraId="43A946A4" w14:textId="77777777" w:rsidR="001C08A5" w:rsidRDefault="00000000">
      <w:pPr>
        <w:ind w:left="1440" w:firstLine="720"/>
        <w:jc w:val="both"/>
        <w:rPr>
          <w:sz w:val="24"/>
          <w:szCs w:val="24"/>
        </w:rPr>
      </w:pPr>
      <w:r>
        <w:rPr>
          <w:sz w:val="24"/>
          <w:szCs w:val="24"/>
        </w:rPr>
        <w:t>c. peretele cortină sau panoul de tâmplărie trebuie să îndeplinească următorul criteriu:</w:t>
      </w:r>
    </w:p>
    <w:p w14:paraId="5007DE30" w14:textId="77777777" w:rsidR="001C08A5" w:rsidRDefault="00000000">
      <w:pPr>
        <w:ind w:left="2160" w:firstLine="720"/>
        <w:jc w:val="both"/>
        <w:rPr>
          <w:sz w:val="24"/>
          <w:szCs w:val="24"/>
        </w:rPr>
      </w:pPr>
      <w:r>
        <w:rPr>
          <w:sz w:val="24"/>
          <w:szCs w:val="24"/>
        </w:rPr>
        <w:t xml:space="preserve">i. rezistența la foc minimum </w:t>
      </w:r>
      <w:r>
        <w:rPr>
          <w:b/>
          <w:bCs/>
          <w:sz w:val="24"/>
          <w:szCs w:val="24"/>
        </w:rPr>
        <w:t xml:space="preserve">EI 30 </w:t>
      </w:r>
      <w:r>
        <w:rPr>
          <w:b/>
          <w:sz w:val="24"/>
          <w:szCs w:val="24"/>
        </w:rPr>
        <w:t>(o→i)</w:t>
      </w:r>
      <w:r>
        <w:rPr>
          <w:b/>
          <w:bCs/>
          <w:sz w:val="24"/>
          <w:szCs w:val="24"/>
        </w:rPr>
        <w:t>;</w:t>
      </w:r>
    </w:p>
    <w:p w14:paraId="58E3C4C2" w14:textId="77777777" w:rsidR="001C08A5" w:rsidRDefault="00000000">
      <w:pPr>
        <w:ind w:left="1440" w:firstLine="720"/>
        <w:jc w:val="both"/>
        <w:rPr>
          <w:sz w:val="24"/>
          <w:szCs w:val="24"/>
        </w:rPr>
      </w:pPr>
      <w:r>
        <w:rPr>
          <w:sz w:val="24"/>
          <w:szCs w:val="24"/>
        </w:rPr>
        <w:t xml:space="preserve">d. </w:t>
      </w:r>
      <w:r>
        <w:rPr>
          <w:bCs/>
          <w:sz w:val="24"/>
          <w:szCs w:val="24"/>
        </w:rPr>
        <w:t>ecranele de protecție</w:t>
      </w:r>
      <w:r>
        <w:rPr>
          <w:sz w:val="24"/>
          <w:szCs w:val="24"/>
        </w:rPr>
        <w:t>trebuie să îndeplinească următoarele criterii:</w:t>
      </w:r>
    </w:p>
    <w:p w14:paraId="350020D7" w14:textId="77777777" w:rsidR="001C08A5" w:rsidRDefault="00000000">
      <w:pPr>
        <w:ind w:left="2160" w:firstLine="720"/>
        <w:jc w:val="both"/>
        <w:rPr>
          <w:sz w:val="24"/>
          <w:szCs w:val="24"/>
        </w:rPr>
      </w:pPr>
      <w:r>
        <w:rPr>
          <w:sz w:val="24"/>
          <w:szCs w:val="24"/>
        </w:rPr>
        <w:t xml:space="preserve">i. înălţimea de cel puţin </w:t>
      </w:r>
      <w:r>
        <w:rPr>
          <w:b/>
          <w:bCs/>
          <w:sz w:val="24"/>
          <w:szCs w:val="24"/>
        </w:rPr>
        <w:t>50 cm</w:t>
      </w:r>
      <w:r>
        <w:rPr>
          <w:sz w:val="24"/>
          <w:szCs w:val="24"/>
        </w:rPr>
        <w:t>, amplasate sub planșeul de rezistență</w:t>
      </w:r>
    </w:p>
    <w:p w14:paraId="60F8B431" w14:textId="77777777" w:rsidR="001C08A5" w:rsidRDefault="00000000">
      <w:pPr>
        <w:ind w:left="2160" w:firstLine="720"/>
        <w:jc w:val="both"/>
        <w:rPr>
          <w:sz w:val="24"/>
          <w:szCs w:val="24"/>
        </w:rPr>
      </w:pPr>
      <w:r>
        <w:rPr>
          <w:sz w:val="24"/>
          <w:szCs w:val="24"/>
        </w:rPr>
        <w:t>(și)</w:t>
      </w:r>
    </w:p>
    <w:p w14:paraId="40259EB5" w14:textId="77777777" w:rsidR="001C08A5" w:rsidRDefault="00000000">
      <w:pPr>
        <w:ind w:left="2160" w:firstLine="720"/>
        <w:jc w:val="both"/>
        <w:rPr>
          <w:sz w:val="24"/>
          <w:szCs w:val="24"/>
        </w:rPr>
      </w:pPr>
      <w:r>
        <w:rPr>
          <w:sz w:val="24"/>
          <w:szCs w:val="24"/>
        </w:rPr>
        <w:t xml:space="preserve">ii. rezistența la foc minimum </w:t>
      </w:r>
      <w:r>
        <w:rPr>
          <w:b/>
          <w:sz w:val="24"/>
          <w:szCs w:val="24"/>
        </w:rPr>
        <w:t>D</w:t>
      </w:r>
      <w:r>
        <w:rPr>
          <w:b/>
          <w:sz w:val="24"/>
          <w:szCs w:val="24"/>
          <w:vertAlign w:val="subscript"/>
        </w:rPr>
        <w:t>600</w:t>
      </w:r>
      <w:r>
        <w:rPr>
          <w:b/>
          <w:bCs/>
          <w:sz w:val="24"/>
          <w:szCs w:val="24"/>
        </w:rPr>
        <w:t>30;</w:t>
      </w:r>
    </w:p>
    <w:p w14:paraId="7E465699" w14:textId="77777777" w:rsidR="001C08A5" w:rsidRDefault="00000000">
      <w:pPr>
        <w:ind w:left="1440" w:firstLine="720"/>
        <w:jc w:val="both"/>
        <w:rPr>
          <w:sz w:val="24"/>
          <w:szCs w:val="24"/>
        </w:rPr>
      </w:pPr>
      <w:r>
        <w:rPr>
          <w:sz w:val="24"/>
          <w:szCs w:val="24"/>
        </w:rPr>
        <w:t xml:space="preserve">e. </w:t>
      </w:r>
      <w:r>
        <w:t>e</w:t>
      </w:r>
      <w:r>
        <w:rPr>
          <w:sz w:val="24"/>
          <w:szCs w:val="24"/>
        </w:rPr>
        <w:t>lementele orizontale exterioare continui trebuie să îndeplinească următoarele criterii:</w:t>
      </w:r>
    </w:p>
    <w:p w14:paraId="6B752B68" w14:textId="77777777" w:rsidR="001C08A5" w:rsidRDefault="00000000">
      <w:pPr>
        <w:ind w:left="1440" w:firstLine="720"/>
        <w:jc w:val="both"/>
        <w:rPr>
          <w:sz w:val="24"/>
          <w:szCs w:val="24"/>
        </w:rPr>
      </w:pPr>
      <w:r>
        <w:rPr>
          <w:sz w:val="24"/>
          <w:szCs w:val="24"/>
        </w:rPr>
        <w:t xml:space="preserve">i. lăţimea (măsurată pe orizontală conform regulii </w:t>
      </w:r>
      <w:r>
        <w:rPr>
          <w:b/>
          <w:bCs/>
          <w:sz w:val="24"/>
          <w:szCs w:val="24"/>
        </w:rPr>
        <w:t>H+L</w:t>
      </w:r>
      <w:r>
        <w:rPr>
          <w:sz w:val="24"/>
          <w:szCs w:val="24"/>
        </w:rPr>
        <w:t>) de cel puţin</w:t>
      </w:r>
      <w:r>
        <w:rPr>
          <w:b/>
          <w:bCs/>
          <w:sz w:val="24"/>
          <w:szCs w:val="24"/>
        </w:rPr>
        <w:t xml:space="preserve"> 90 cm </w:t>
      </w:r>
    </w:p>
    <w:p w14:paraId="090F307E" w14:textId="77777777" w:rsidR="001C08A5" w:rsidRDefault="00000000">
      <w:pPr>
        <w:ind w:left="1440" w:firstLine="720"/>
        <w:jc w:val="both"/>
        <w:rPr>
          <w:sz w:val="24"/>
          <w:szCs w:val="24"/>
        </w:rPr>
      </w:pPr>
      <w:r>
        <w:rPr>
          <w:sz w:val="24"/>
          <w:szCs w:val="24"/>
        </w:rPr>
        <w:t>(și)</w:t>
      </w:r>
    </w:p>
    <w:p w14:paraId="26C4010E" w14:textId="77777777" w:rsidR="001C08A5" w:rsidRDefault="00000000">
      <w:pPr>
        <w:ind w:left="1440" w:firstLine="720"/>
        <w:jc w:val="both"/>
        <w:rPr>
          <w:sz w:val="24"/>
          <w:szCs w:val="24"/>
        </w:rPr>
      </w:pPr>
      <w:r>
        <w:rPr>
          <w:sz w:val="24"/>
          <w:szCs w:val="24"/>
        </w:rPr>
        <w:t xml:space="preserve">ii. rezistența la foc minimum </w:t>
      </w:r>
      <w:r>
        <w:rPr>
          <w:b/>
          <w:bCs/>
          <w:sz w:val="24"/>
          <w:szCs w:val="24"/>
        </w:rPr>
        <w:t xml:space="preserve">RE </w:t>
      </w:r>
      <w:r>
        <w:rPr>
          <w:sz w:val="24"/>
          <w:szCs w:val="24"/>
        </w:rPr>
        <w:t>sau</w:t>
      </w:r>
      <w:r>
        <w:rPr>
          <w:b/>
          <w:bCs/>
          <w:sz w:val="24"/>
          <w:szCs w:val="24"/>
        </w:rPr>
        <w:t xml:space="preserve"> REI 15; </w:t>
      </w:r>
    </w:p>
    <w:p w14:paraId="4869412A" w14:textId="77777777" w:rsidR="001C08A5" w:rsidRDefault="001C08A5">
      <w:pPr>
        <w:numPr>
          <w:ilvl w:val="255"/>
          <w:numId w:val="0"/>
        </w:numPr>
        <w:ind w:firstLine="720"/>
        <w:jc w:val="both"/>
        <w:rPr>
          <w:sz w:val="24"/>
          <w:szCs w:val="24"/>
        </w:rPr>
      </w:pPr>
    </w:p>
    <w:p w14:paraId="08F5C240" w14:textId="77777777" w:rsidR="001C08A5" w:rsidRDefault="00000000">
      <w:pPr>
        <w:numPr>
          <w:ilvl w:val="255"/>
          <w:numId w:val="0"/>
        </w:numPr>
        <w:ind w:firstLine="720"/>
        <w:jc w:val="both"/>
        <w:rPr>
          <w:bCs/>
          <w:sz w:val="24"/>
          <w:szCs w:val="24"/>
        </w:rPr>
      </w:pPr>
      <w:r>
        <w:rPr>
          <w:sz w:val="24"/>
          <w:szCs w:val="24"/>
        </w:rPr>
        <w:t xml:space="preserve">Spaţiile libere dintre planşee și peretele cortină se etanşează cu sisteme de etanșare avand aceeasi rezistenta la foc cu a planșeului, în funcție de nivelul de stabilitate la incendiu al construcției, dar nu mai puțin de </w:t>
      </w:r>
      <w:r>
        <w:rPr>
          <w:b/>
          <w:bCs/>
          <w:sz w:val="24"/>
          <w:szCs w:val="24"/>
        </w:rPr>
        <w:t>EI30.</w:t>
      </w:r>
    </w:p>
    <w:p w14:paraId="5729CA7E" w14:textId="77777777" w:rsidR="001C08A5" w:rsidRDefault="001C08A5">
      <w:pPr>
        <w:pStyle w:val="BodyText"/>
        <w:rPr>
          <w:lang w:eastAsia="ro-RO"/>
        </w:rPr>
      </w:pPr>
    </w:p>
    <w:p w14:paraId="794A3B48" w14:textId="77777777" w:rsidR="001C08A5" w:rsidRDefault="00000000">
      <w:pPr>
        <w:ind w:firstLine="720"/>
        <w:jc w:val="both"/>
        <w:rPr>
          <w:sz w:val="24"/>
          <w:szCs w:val="24"/>
        </w:rPr>
      </w:pPr>
      <w:r>
        <w:rPr>
          <w:b/>
          <w:sz w:val="24"/>
          <w:szCs w:val="24"/>
        </w:rPr>
        <w:t>Art. 2.3.6.1.6.</w:t>
      </w:r>
      <w:r>
        <w:rPr>
          <w:sz w:val="24"/>
          <w:szCs w:val="24"/>
        </w:rPr>
        <w:t xml:space="preserve">Pentru întârzierea propagării incendiilor între nivelurile construcţiilor prin exteriorul închiderii perimetrale (pe faţadă) și prin interiorul condominiului format din una sau mai multe construcții, dintre care unele proprietăți sunt comune, iar restul sunt proprietăți individuale, cu înăltimea </w:t>
      </w:r>
      <w:r>
        <w:rPr>
          <w:b/>
          <w:bCs/>
          <w:sz w:val="24"/>
          <w:szCs w:val="24"/>
        </w:rPr>
        <w:t>h &lt; 8 m</w:t>
      </w:r>
      <w:r>
        <w:rPr>
          <w:sz w:val="24"/>
          <w:szCs w:val="24"/>
        </w:rPr>
        <w:t xml:space="preserve"> (unde ”</w:t>
      </w:r>
      <w:r>
        <w:rPr>
          <w:b/>
          <w:bCs/>
          <w:sz w:val="24"/>
          <w:szCs w:val="24"/>
        </w:rPr>
        <w:t>h</w:t>
      </w:r>
      <w:r>
        <w:rPr>
          <w:sz w:val="24"/>
          <w:szCs w:val="24"/>
        </w:rPr>
        <w:t>” reprezintă cota ultimului planșeu  folosibil al constructiei, față de nivelul de referință), cu excepția locuințelor individuale, pentru întârzierea propagării incendiilor prin exteriorul închiderii perimetrale (pe faţade) se poate adopta una din următoarele măsuri:</w:t>
      </w:r>
    </w:p>
    <w:p w14:paraId="2FD12E7F" w14:textId="77777777" w:rsidR="001C08A5" w:rsidRDefault="00000000">
      <w:pPr>
        <w:ind w:left="720" w:firstLine="720"/>
        <w:jc w:val="both"/>
        <w:rPr>
          <w:sz w:val="24"/>
          <w:szCs w:val="24"/>
        </w:rPr>
      </w:pPr>
      <w:r>
        <w:rPr>
          <w:sz w:val="24"/>
          <w:szCs w:val="24"/>
        </w:rPr>
        <w:t>a. Distanțele dintre vitrările din pereții exteriori (neportanți) trebuie să îndeplinească următoarele criterii:</w:t>
      </w:r>
    </w:p>
    <w:p w14:paraId="06F18300" w14:textId="77777777" w:rsidR="001C08A5" w:rsidRDefault="00000000">
      <w:pPr>
        <w:ind w:left="1440" w:firstLine="720"/>
        <w:jc w:val="both"/>
        <w:rPr>
          <w:sz w:val="24"/>
          <w:szCs w:val="24"/>
        </w:rPr>
      </w:pPr>
      <w:r>
        <w:rPr>
          <w:sz w:val="24"/>
          <w:szCs w:val="24"/>
        </w:rPr>
        <w:t>i. înălţimea de cel puţin</w:t>
      </w:r>
      <w:r>
        <w:rPr>
          <w:b/>
          <w:bCs/>
          <w:sz w:val="24"/>
          <w:szCs w:val="24"/>
        </w:rPr>
        <w:t xml:space="preserve"> 50 cm </w:t>
      </w:r>
      <w:r>
        <w:rPr>
          <w:sz w:val="24"/>
          <w:szCs w:val="24"/>
        </w:rPr>
        <w:t xml:space="preserve">(măsurată pe verticală conform regulii </w:t>
      </w:r>
      <w:r>
        <w:rPr>
          <w:b/>
          <w:bCs/>
          <w:sz w:val="24"/>
          <w:szCs w:val="24"/>
        </w:rPr>
        <w:t>H+L</w:t>
      </w:r>
      <w:r>
        <w:rPr>
          <w:sz w:val="24"/>
          <w:szCs w:val="24"/>
        </w:rPr>
        <w:t xml:space="preserve">) </w:t>
      </w:r>
    </w:p>
    <w:p w14:paraId="7A3B47B3" w14:textId="77777777" w:rsidR="001C08A5" w:rsidRDefault="00000000">
      <w:pPr>
        <w:ind w:left="1440" w:firstLine="720"/>
        <w:jc w:val="both"/>
        <w:rPr>
          <w:sz w:val="24"/>
          <w:szCs w:val="24"/>
        </w:rPr>
      </w:pPr>
      <w:r>
        <w:rPr>
          <w:sz w:val="24"/>
          <w:szCs w:val="24"/>
        </w:rPr>
        <w:t>(și)</w:t>
      </w:r>
    </w:p>
    <w:p w14:paraId="4F3AA0C7" w14:textId="77777777" w:rsidR="001C08A5" w:rsidRDefault="00000000">
      <w:pPr>
        <w:ind w:left="1440" w:firstLine="720"/>
        <w:jc w:val="both"/>
        <w:rPr>
          <w:sz w:val="24"/>
          <w:szCs w:val="24"/>
        </w:rPr>
      </w:pPr>
      <w:r>
        <w:rPr>
          <w:sz w:val="24"/>
          <w:szCs w:val="24"/>
        </w:rPr>
        <w:t>ii. înălţimea de cel puţin</w:t>
      </w:r>
      <w:r>
        <w:rPr>
          <w:b/>
          <w:bCs/>
          <w:sz w:val="24"/>
          <w:szCs w:val="24"/>
        </w:rPr>
        <w:t xml:space="preserve"> 90 cm </w:t>
      </w:r>
      <w:r>
        <w:rPr>
          <w:sz w:val="24"/>
          <w:szCs w:val="24"/>
        </w:rPr>
        <w:t xml:space="preserve">(măsurată pe verticală în sens diagonal, în direcția cea mai scurtă conform regulii </w:t>
      </w:r>
      <w:r>
        <w:rPr>
          <w:b/>
          <w:bCs/>
          <w:sz w:val="24"/>
          <w:szCs w:val="24"/>
        </w:rPr>
        <w:t>H+L</w:t>
      </w:r>
      <w:r>
        <w:rPr>
          <w:sz w:val="24"/>
          <w:szCs w:val="24"/>
        </w:rPr>
        <w:t xml:space="preserve">) </w:t>
      </w:r>
    </w:p>
    <w:p w14:paraId="1736CAC9" w14:textId="77777777" w:rsidR="001C08A5" w:rsidRDefault="00000000">
      <w:pPr>
        <w:ind w:left="720" w:firstLine="720"/>
        <w:jc w:val="both"/>
        <w:rPr>
          <w:sz w:val="24"/>
          <w:szCs w:val="24"/>
        </w:rPr>
      </w:pPr>
      <w:r>
        <w:rPr>
          <w:sz w:val="24"/>
          <w:szCs w:val="24"/>
        </w:rPr>
        <w:t xml:space="preserve">b. Elementele orizontale exterioare continui trebuie sa fie rezistente la foc minimum </w:t>
      </w:r>
      <w:r>
        <w:rPr>
          <w:b/>
          <w:sz w:val="24"/>
          <w:szCs w:val="24"/>
        </w:rPr>
        <w:t xml:space="preserve">R15 </w:t>
      </w:r>
      <w:r>
        <w:rPr>
          <w:sz w:val="24"/>
          <w:szCs w:val="24"/>
        </w:rPr>
        <w:t>pe lăţimea de cel puţin</w:t>
      </w:r>
      <w:r>
        <w:rPr>
          <w:b/>
          <w:bCs/>
          <w:sz w:val="24"/>
          <w:szCs w:val="24"/>
        </w:rPr>
        <w:t xml:space="preserve"> 50 cm </w:t>
      </w:r>
      <w:r>
        <w:rPr>
          <w:sz w:val="24"/>
          <w:szCs w:val="24"/>
        </w:rPr>
        <w:t xml:space="preserve">(măsurată pe orizontală conform regulii </w:t>
      </w:r>
      <w:r>
        <w:rPr>
          <w:b/>
          <w:bCs/>
          <w:sz w:val="24"/>
          <w:szCs w:val="24"/>
        </w:rPr>
        <w:t>H+L</w:t>
      </w:r>
      <w:r>
        <w:rPr>
          <w:sz w:val="24"/>
          <w:szCs w:val="24"/>
        </w:rPr>
        <w:t xml:space="preserve">). </w:t>
      </w:r>
    </w:p>
    <w:p w14:paraId="2C0E485A" w14:textId="77777777" w:rsidR="001C08A5" w:rsidRDefault="001C08A5">
      <w:pPr>
        <w:numPr>
          <w:ilvl w:val="255"/>
          <w:numId w:val="0"/>
        </w:numPr>
        <w:ind w:firstLine="720"/>
        <w:jc w:val="both"/>
        <w:rPr>
          <w:sz w:val="24"/>
          <w:szCs w:val="24"/>
        </w:rPr>
      </w:pPr>
    </w:p>
    <w:p w14:paraId="3AFA7B8A" w14:textId="77777777" w:rsidR="001C08A5" w:rsidRDefault="00000000">
      <w:pPr>
        <w:numPr>
          <w:ilvl w:val="255"/>
          <w:numId w:val="0"/>
        </w:numPr>
        <w:ind w:firstLine="720"/>
        <w:jc w:val="both"/>
        <w:rPr>
          <w:bCs/>
          <w:sz w:val="24"/>
          <w:szCs w:val="24"/>
        </w:rPr>
      </w:pPr>
      <w:r>
        <w:rPr>
          <w:sz w:val="24"/>
          <w:szCs w:val="24"/>
        </w:rPr>
        <w:t xml:space="preserve">Spaţiile libere dintre planşee și peretele cortină se etanşează cu sisteme de etanșare avand aceeasi rezistenta la foc cu a planșeului, în funcție de nivelul de stabilitate la incendiu al construcției, dar nu mai puțin de </w:t>
      </w:r>
      <w:r>
        <w:rPr>
          <w:b/>
          <w:bCs/>
          <w:sz w:val="24"/>
          <w:szCs w:val="24"/>
        </w:rPr>
        <w:t>EI30.</w:t>
      </w:r>
    </w:p>
    <w:p w14:paraId="3662249E" w14:textId="77777777" w:rsidR="001C08A5" w:rsidRDefault="001C08A5">
      <w:pPr>
        <w:jc w:val="both"/>
        <w:rPr>
          <w:bCs/>
          <w:sz w:val="24"/>
          <w:szCs w:val="24"/>
        </w:rPr>
      </w:pPr>
    </w:p>
    <w:p w14:paraId="6E237FD0" w14:textId="77777777" w:rsidR="001C08A5" w:rsidRDefault="00000000">
      <w:pPr>
        <w:ind w:firstLine="720"/>
        <w:jc w:val="both"/>
        <w:rPr>
          <w:b/>
          <w:sz w:val="24"/>
          <w:szCs w:val="24"/>
        </w:rPr>
      </w:pPr>
      <w:r>
        <w:rPr>
          <w:b/>
          <w:sz w:val="24"/>
          <w:szCs w:val="24"/>
        </w:rPr>
        <w:t xml:space="preserve">Art. 2.3.6.1.7. </w:t>
      </w:r>
      <w:r>
        <w:rPr>
          <w:sz w:val="24"/>
          <w:szCs w:val="24"/>
        </w:rPr>
        <w:t xml:space="preserve">Pentru întârzierea propagării incendiilor între nivelurile construcţiilor prin exteriorul închiderii perimetrale (pe faţadă) și prin interiorul clădirilor de locuit reprezentând unități individuale (cu locuințe unifamiliale, de serviciu, de intervenție, de necesitate de sprijin, de protocol, case de vacanță) sau un ansamblu rezidențial care se constituie în condominiu format din locuințe și construcții cu altă destinație, individuale, amplasate izolat, înșiruit sau cuplat, în care proprietățile individuale sunt interdependente printr-o proprietate comună forțată și perpetuă, cu înăltimea h = maximum </w:t>
      </w:r>
      <w:r>
        <w:rPr>
          <w:b/>
          <w:bCs/>
          <w:sz w:val="24"/>
          <w:szCs w:val="24"/>
        </w:rPr>
        <w:t>8 m</w:t>
      </w:r>
      <w:r>
        <w:rPr>
          <w:sz w:val="24"/>
          <w:szCs w:val="24"/>
        </w:rPr>
        <w:t xml:space="preserve"> (unde </w:t>
      </w:r>
      <w:r>
        <w:rPr>
          <w:b/>
          <w:sz w:val="24"/>
          <w:szCs w:val="24"/>
        </w:rPr>
        <w:t>”h”</w:t>
      </w:r>
      <w:r>
        <w:rPr>
          <w:bCs/>
          <w:sz w:val="24"/>
          <w:szCs w:val="24"/>
        </w:rPr>
        <w:t xml:space="preserve"> reprezintă cota ultimului planșeu </w:t>
      </w:r>
      <w:r>
        <w:rPr>
          <w:sz w:val="24"/>
          <w:szCs w:val="24"/>
        </w:rPr>
        <w:t>folosibil</w:t>
      </w:r>
      <w:r>
        <w:rPr>
          <w:bCs/>
          <w:sz w:val="24"/>
          <w:szCs w:val="24"/>
        </w:rPr>
        <w:t xml:space="preserve"> al </w:t>
      </w:r>
      <w:r>
        <w:rPr>
          <w:sz w:val="24"/>
          <w:szCs w:val="24"/>
        </w:rPr>
        <w:t>constructiei, față de nivelul de referință) nu se prevăd măsuri obligatorii.</w:t>
      </w:r>
    </w:p>
    <w:p w14:paraId="62EB342A" w14:textId="77777777" w:rsidR="001C08A5" w:rsidRDefault="001C08A5">
      <w:pPr>
        <w:pStyle w:val="BodyText"/>
        <w:rPr>
          <w:b w:val="0"/>
          <w:bCs w:val="0"/>
          <w:lang w:eastAsia="ro-RO"/>
        </w:rPr>
      </w:pPr>
    </w:p>
    <w:p w14:paraId="743D14C8" w14:textId="77777777" w:rsidR="001C08A5" w:rsidRDefault="00000000">
      <w:pPr>
        <w:ind w:firstLine="720"/>
        <w:jc w:val="both"/>
        <w:rPr>
          <w:rFonts w:eastAsia="Times New Roman"/>
          <w:sz w:val="24"/>
          <w:szCs w:val="24"/>
        </w:rPr>
      </w:pPr>
      <w:r>
        <w:rPr>
          <w:rFonts w:eastAsia="Times New Roman"/>
          <w:b/>
          <w:bCs/>
          <w:sz w:val="24"/>
          <w:szCs w:val="24"/>
        </w:rPr>
        <w:t xml:space="preserve">Art. </w:t>
      </w:r>
      <w:r>
        <w:rPr>
          <w:b/>
          <w:bCs/>
          <w:sz w:val="24"/>
          <w:szCs w:val="24"/>
        </w:rPr>
        <w:t xml:space="preserve">2.3.6.1.8. </w:t>
      </w:r>
      <w:r>
        <w:rPr>
          <w:rFonts w:eastAsia="Times New Roman"/>
          <w:sz w:val="24"/>
          <w:szCs w:val="24"/>
        </w:rPr>
        <w:t xml:space="preserve">La construcţiile cu închideri perimetrale rezistente la foc, termoizolația exterioara și / sau sistemele compozite de izolare termică exterioară (sisteme compacte în condiții de utilizare finală) a pereţilor perimetrali trebuie să fie clasa de reacţie la foc conform prevederilor din </w:t>
      </w:r>
      <w:r>
        <w:rPr>
          <w:rStyle w:val="CaptiontabelChar"/>
        </w:rPr>
        <w:fldChar w:fldCharType="begin"/>
      </w:r>
      <w:r>
        <w:rPr>
          <w:rStyle w:val="CaptiontabelChar"/>
        </w:rPr>
        <w:instrText xml:space="preserve"> REF _Ref29080 \h </w:instrText>
      </w:r>
      <w:r>
        <w:rPr>
          <w:rStyle w:val="CaptiontabelChar"/>
        </w:rPr>
      </w:r>
      <w:r>
        <w:rPr>
          <w:rStyle w:val="CaptiontabelChar"/>
        </w:rPr>
        <w:fldChar w:fldCharType="separate"/>
      </w:r>
      <w:r>
        <w:t>Tabelul 16</w:t>
      </w:r>
      <w:r>
        <w:rPr>
          <w:rStyle w:val="CaptiontabelChar"/>
        </w:rPr>
        <w:fldChar w:fldCharType="end"/>
      </w:r>
      <w:r>
        <w:rPr>
          <w:rFonts w:eastAsia="Times New Roman"/>
          <w:sz w:val="24"/>
          <w:szCs w:val="24"/>
        </w:rPr>
        <w:t>.</w:t>
      </w:r>
    </w:p>
    <w:p w14:paraId="66534194" w14:textId="77777777" w:rsidR="001C08A5" w:rsidRDefault="001C08A5">
      <w:pPr>
        <w:pStyle w:val="BodyText"/>
        <w:rPr>
          <w:b w:val="0"/>
          <w:bCs w:val="0"/>
          <w:lang w:eastAsia="ro-RO"/>
        </w:rPr>
      </w:pPr>
    </w:p>
    <w:p w14:paraId="2307AD99" w14:textId="77777777" w:rsidR="001C08A5" w:rsidRDefault="00000000">
      <w:pPr>
        <w:pStyle w:val="Caption"/>
        <w:rPr>
          <w:bCs/>
        </w:rPr>
      </w:pPr>
      <w:bookmarkStart w:id="1550" w:name="_Ref29080"/>
      <w:bookmarkStart w:id="1551" w:name="_Ref26777"/>
      <w:bookmarkStart w:id="1552" w:name="_Toc162360066"/>
      <w:bookmarkStart w:id="1553" w:name="_Ref2924"/>
      <w:r>
        <w:t xml:space="preserve">Tabelul </w:t>
      </w:r>
      <w:r>
        <w:fldChar w:fldCharType="begin"/>
      </w:r>
      <w:r>
        <w:instrText xml:space="preserve"> SEQ Tabelul \* ARABIC </w:instrText>
      </w:r>
      <w:r>
        <w:fldChar w:fldCharType="separate"/>
      </w:r>
      <w:r>
        <w:t>16</w:t>
      </w:r>
      <w:r>
        <w:fldChar w:fldCharType="end"/>
      </w:r>
      <w:bookmarkStart w:id="1554" w:name="_Toc19625"/>
      <w:bookmarkStart w:id="1555" w:name="_Toc117"/>
      <w:bookmarkStart w:id="1556" w:name="_Toc5513"/>
      <w:bookmarkStart w:id="1557" w:name="_Toc4358"/>
      <w:bookmarkStart w:id="1558" w:name="_Toc5429"/>
      <w:bookmarkStart w:id="1559" w:name="_Toc31510"/>
      <w:bookmarkStart w:id="1560" w:name="_Toc12804"/>
      <w:bookmarkStart w:id="1561" w:name="_Toc12340"/>
      <w:bookmarkStart w:id="1562" w:name="_Toc14776"/>
      <w:bookmarkStart w:id="1563" w:name="_Toc30691"/>
      <w:bookmarkStart w:id="1564" w:name="_Toc14554"/>
      <w:bookmarkStart w:id="1565" w:name="_Toc770"/>
      <w:bookmarkStart w:id="1566" w:name="_Toc18847"/>
      <w:bookmarkStart w:id="1567" w:name="_Toc16740"/>
      <w:bookmarkStart w:id="1568" w:name="_Toc20585"/>
      <w:bookmarkStart w:id="1569" w:name="_Toc20168"/>
      <w:bookmarkStart w:id="1570" w:name="_Toc26405"/>
      <w:bookmarkStart w:id="1571" w:name="_Toc24398"/>
      <w:bookmarkStart w:id="1572" w:name="_Toc22702"/>
      <w:bookmarkEnd w:id="1550"/>
      <w:r>
        <w:t>: T</w:t>
      </w:r>
      <w:r>
        <w:rPr>
          <w:rFonts w:eastAsia="Times New Roman"/>
        </w:rPr>
        <w:t>ermoizolație exterioară și / sau sisteme compozite de izolare termică (sisteme compacte în condiții de utilizare finală) pe f</w:t>
      </w:r>
      <w:r>
        <w:t>aţade pline sau prevăzute cu elemente vitrate sau alte goluri neprotejate (pentru diferite funcţiuni / tipuri de clădiri</w:t>
      </w:r>
      <w:bookmarkEnd w:id="1551"/>
      <w:bookmarkEnd w:id="1554"/>
      <w:bookmarkEnd w:id="1555"/>
      <w:bookmarkEnd w:id="1556"/>
      <w:bookmarkEnd w:id="1557"/>
      <w:bookmarkEnd w:id="1558"/>
      <w:bookmarkEnd w:id="1559"/>
      <w:bookmarkEnd w:id="1560"/>
      <w:bookmarkEnd w:id="1561"/>
      <w:bookmarkEnd w:id="1562"/>
      <w:r>
        <w:t>)</w:t>
      </w:r>
      <w:bookmarkEnd w:id="1552"/>
      <w:bookmarkEnd w:id="1553"/>
      <w:bookmarkEnd w:id="1563"/>
      <w:bookmarkEnd w:id="1564"/>
      <w:bookmarkEnd w:id="1565"/>
      <w:bookmarkEnd w:id="1566"/>
      <w:bookmarkEnd w:id="1567"/>
      <w:bookmarkEnd w:id="1568"/>
      <w:bookmarkEnd w:id="1569"/>
      <w:bookmarkEnd w:id="1570"/>
      <w:bookmarkEnd w:id="1571"/>
      <w:bookmarkEnd w:id="1572"/>
    </w:p>
    <w:tbl>
      <w:tblPr>
        <w:tblW w:w="498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2"/>
        <w:gridCol w:w="6175"/>
        <w:gridCol w:w="1679"/>
      </w:tblGrid>
      <w:tr w:rsidR="001C08A5" w14:paraId="5113E264" w14:textId="77777777">
        <w:trPr>
          <w:tblHeader/>
        </w:trPr>
        <w:tc>
          <w:tcPr>
            <w:tcW w:w="903" w:type="pct"/>
            <w:tcBorders>
              <w:top w:val="single" w:sz="12" w:space="0" w:color="000000"/>
              <w:left w:val="single" w:sz="12" w:space="0" w:color="000000"/>
              <w:bottom w:val="single" w:sz="12" w:space="0" w:color="000000"/>
              <w:right w:val="single" w:sz="12" w:space="0" w:color="000000"/>
            </w:tcBorders>
            <w:shd w:val="clear" w:color="auto" w:fill="D7D7D7"/>
            <w:vAlign w:val="center"/>
          </w:tcPr>
          <w:p w14:paraId="789B9075" w14:textId="77777777" w:rsidR="001C08A5" w:rsidRDefault="00000000">
            <w:pPr>
              <w:jc w:val="center"/>
              <w:rPr>
                <w:b/>
                <w:bCs/>
                <w:i/>
                <w:iCs/>
                <w:sz w:val="22"/>
                <w:szCs w:val="22"/>
              </w:rPr>
            </w:pPr>
            <w:r>
              <w:rPr>
                <w:b/>
                <w:bCs/>
                <w:i/>
                <w:iCs/>
                <w:sz w:val="22"/>
                <w:szCs w:val="22"/>
              </w:rPr>
              <w:t>Funcţiuni</w:t>
            </w:r>
          </w:p>
        </w:tc>
        <w:tc>
          <w:tcPr>
            <w:tcW w:w="3221" w:type="pct"/>
            <w:tcBorders>
              <w:top w:val="single" w:sz="12" w:space="0" w:color="000000"/>
              <w:left w:val="single" w:sz="12" w:space="0" w:color="000000"/>
              <w:bottom w:val="single" w:sz="12" w:space="0" w:color="000000"/>
              <w:right w:val="single" w:sz="12" w:space="0" w:color="000000"/>
            </w:tcBorders>
            <w:shd w:val="clear" w:color="auto" w:fill="D7D7D7"/>
            <w:vAlign w:val="center"/>
          </w:tcPr>
          <w:p w14:paraId="0301DC75" w14:textId="77777777" w:rsidR="001C08A5" w:rsidRDefault="00000000">
            <w:pPr>
              <w:jc w:val="both"/>
              <w:rPr>
                <w:b/>
                <w:bCs/>
                <w:i/>
                <w:iCs/>
                <w:sz w:val="22"/>
                <w:szCs w:val="22"/>
              </w:rPr>
            </w:pPr>
            <w:r>
              <w:rPr>
                <w:b/>
                <w:bCs/>
                <w:i/>
                <w:iCs/>
                <w:sz w:val="22"/>
                <w:szCs w:val="22"/>
              </w:rPr>
              <w:t xml:space="preserve">Numărul de niveluri supraterane maxim admise / înălţime totală (până la coamă) </w:t>
            </w:r>
          </w:p>
        </w:tc>
        <w:tc>
          <w:tcPr>
            <w:tcW w:w="876" w:type="pct"/>
            <w:tcBorders>
              <w:top w:val="single" w:sz="12" w:space="0" w:color="000000"/>
              <w:left w:val="single" w:sz="12" w:space="0" w:color="000000"/>
              <w:bottom w:val="single" w:sz="12" w:space="0" w:color="000000"/>
              <w:right w:val="single" w:sz="12" w:space="0" w:color="000000"/>
            </w:tcBorders>
            <w:shd w:val="clear" w:color="auto" w:fill="D7D7D7"/>
            <w:vAlign w:val="center"/>
          </w:tcPr>
          <w:p w14:paraId="79732308" w14:textId="77777777" w:rsidR="001C08A5" w:rsidRDefault="00000000">
            <w:pPr>
              <w:jc w:val="center"/>
              <w:rPr>
                <w:b/>
                <w:bCs/>
                <w:i/>
                <w:iCs/>
                <w:sz w:val="22"/>
                <w:szCs w:val="22"/>
              </w:rPr>
            </w:pPr>
            <w:r>
              <w:rPr>
                <w:b/>
                <w:bCs/>
                <w:i/>
                <w:iCs/>
                <w:sz w:val="22"/>
                <w:szCs w:val="22"/>
              </w:rPr>
              <w:t>Termoizolația/ Sistemul compozit de izolare termică</w:t>
            </w:r>
          </w:p>
        </w:tc>
      </w:tr>
      <w:tr w:rsidR="001C08A5" w14:paraId="2390EB83" w14:textId="77777777">
        <w:tc>
          <w:tcPr>
            <w:tcW w:w="903" w:type="pct"/>
            <w:vMerge w:val="restart"/>
            <w:tcBorders>
              <w:top w:val="single" w:sz="12" w:space="0" w:color="000000"/>
              <w:left w:val="single" w:sz="12" w:space="0" w:color="000000"/>
              <w:right w:val="single" w:sz="4" w:space="0" w:color="000000"/>
            </w:tcBorders>
            <w:vAlign w:val="center"/>
          </w:tcPr>
          <w:p w14:paraId="02E10A3F" w14:textId="77777777" w:rsidR="001C08A5" w:rsidRDefault="00000000">
            <w:pPr>
              <w:jc w:val="center"/>
              <w:rPr>
                <w:b/>
                <w:bCs/>
                <w:i/>
                <w:iCs/>
                <w:sz w:val="22"/>
                <w:szCs w:val="22"/>
              </w:rPr>
            </w:pPr>
            <w:r>
              <w:rPr>
                <w:b/>
                <w:bCs/>
                <w:i/>
                <w:iCs/>
                <w:sz w:val="22"/>
                <w:szCs w:val="22"/>
              </w:rPr>
              <w:t>Locuinţe</w:t>
            </w:r>
          </w:p>
        </w:tc>
        <w:tc>
          <w:tcPr>
            <w:tcW w:w="3221" w:type="pct"/>
            <w:tcBorders>
              <w:top w:val="single" w:sz="12" w:space="0" w:color="000000"/>
              <w:left w:val="single" w:sz="4" w:space="0" w:color="000000"/>
              <w:bottom w:val="single" w:sz="4" w:space="0" w:color="000000"/>
              <w:right w:val="single" w:sz="4" w:space="0" w:color="000000"/>
            </w:tcBorders>
            <w:vAlign w:val="center"/>
          </w:tcPr>
          <w:p w14:paraId="0E52C64A" w14:textId="77777777" w:rsidR="001C08A5" w:rsidRDefault="00000000">
            <w:pPr>
              <w:jc w:val="both"/>
              <w:rPr>
                <w:i/>
                <w:iCs/>
                <w:sz w:val="22"/>
                <w:szCs w:val="22"/>
              </w:rPr>
            </w:pPr>
            <w:r>
              <w:rPr>
                <w:i/>
                <w:iCs/>
                <w:sz w:val="22"/>
                <w:szCs w:val="22"/>
              </w:rPr>
              <w:t>Locuinţe unifamiliale max. P+E sau P+M</w:t>
            </w:r>
          </w:p>
        </w:tc>
        <w:tc>
          <w:tcPr>
            <w:tcW w:w="876" w:type="pct"/>
            <w:tcBorders>
              <w:top w:val="single" w:sz="12" w:space="0" w:color="000000"/>
              <w:left w:val="single" w:sz="4" w:space="0" w:color="000000"/>
              <w:bottom w:val="single" w:sz="4" w:space="0" w:color="000000"/>
              <w:right w:val="single" w:sz="12" w:space="0" w:color="000000"/>
            </w:tcBorders>
            <w:vAlign w:val="center"/>
          </w:tcPr>
          <w:p w14:paraId="188DCF97" w14:textId="77777777" w:rsidR="001C08A5" w:rsidRDefault="00000000">
            <w:pPr>
              <w:jc w:val="center"/>
              <w:rPr>
                <w:i/>
                <w:iCs/>
                <w:sz w:val="22"/>
                <w:szCs w:val="22"/>
              </w:rPr>
            </w:pPr>
            <w:r>
              <w:rPr>
                <w:i/>
                <w:iCs/>
                <w:sz w:val="22"/>
                <w:szCs w:val="22"/>
              </w:rPr>
              <w:t>minimum</w:t>
            </w:r>
          </w:p>
          <w:p w14:paraId="1361A202" w14:textId="77777777" w:rsidR="001C08A5" w:rsidRDefault="00000000">
            <w:pPr>
              <w:jc w:val="center"/>
              <w:rPr>
                <w:i/>
                <w:iCs/>
                <w:sz w:val="22"/>
                <w:szCs w:val="22"/>
              </w:rPr>
            </w:pPr>
            <w:r>
              <w:rPr>
                <w:b/>
                <w:bCs/>
                <w:i/>
                <w:iCs/>
                <w:sz w:val="22"/>
                <w:szCs w:val="22"/>
              </w:rPr>
              <w:t>D-s3,d0</w:t>
            </w:r>
          </w:p>
        </w:tc>
      </w:tr>
      <w:tr w:rsidR="001C08A5" w14:paraId="025286B0" w14:textId="77777777">
        <w:tc>
          <w:tcPr>
            <w:tcW w:w="903" w:type="pct"/>
            <w:vMerge/>
            <w:tcBorders>
              <w:left w:val="single" w:sz="12" w:space="0" w:color="000000"/>
              <w:right w:val="single" w:sz="4" w:space="0" w:color="000000"/>
            </w:tcBorders>
            <w:vAlign w:val="center"/>
          </w:tcPr>
          <w:p w14:paraId="09A7D0B1" w14:textId="77777777" w:rsidR="001C08A5" w:rsidRDefault="001C08A5">
            <w:pPr>
              <w:jc w:val="center"/>
              <w:rPr>
                <w:b/>
                <w:bCs/>
                <w:i/>
                <w:iCs/>
                <w:sz w:val="22"/>
                <w:szCs w:val="22"/>
              </w:rPr>
            </w:pPr>
          </w:p>
        </w:tc>
        <w:tc>
          <w:tcPr>
            <w:tcW w:w="3221" w:type="pct"/>
            <w:tcBorders>
              <w:top w:val="single" w:sz="4" w:space="0" w:color="000000"/>
              <w:left w:val="single" w:sz="4" w:space="0" w:color="000000"/>
              <w:bottom w:val="single" w:sz="4" w:space="0" w:color="000000"/>
              <w:right w:val="single" w:sz="4" w:space="0" w:color="000000"/>
            </w:tcBorders>
            <w:vAlign w:val="center"/>
          </w:tcPr>
          <w:p w14:paraId="05FDD073" w14:textId="77777777" w:rsidR="001C08A5" w:rsidRDefault="00000000">
            <w:pPr>
              <w:jc w:val="both"/>
              <w:rPr>
                <w:i/>
                <w:iCs/>
                <w:sz w:val="22"/>
                <w:szCs w:val="22"/>
              </w:rPr>
            </w:pPr>
            <w:r>
              <w:rPr>
                <w:i/>
                <w:iCs/>
                <w:sz w:val="22"/>
                <w:szCs w:val="22"/>
              </w:rPr>
              <w:t>Blocuri de locuinţe colective ≤ P+2E (sau ≤ 10 m înălţime totală până la coamă/atic)</w:t>
            </w:r>
            <w:r>
              <w:rPr>
                <w:b/>
                <w:bCs/>
                <w:i/>
                <w:iCs/>
                <w:sz w:val="22"/>
                <w:szCs w:val="22"/>
                <w:vertAlign w:val="superscript"/>
              </w:rPr>
              <w:t>1) 2)</w:t>
            </w:r>
          </w:p>
        </w:tc>
        <w:tc>
          <w:tcPr>
            <w:tcW w:w="876" w:type="pct"/>
            <w:tcBorders>
              <w:top w:val="single" w:sz="4" w:space="0" w:color="000000"/>
              <w:left w:val="single" w:sz="4" w:space="0" w:color="000000"/>
              <w:bottom w:val="single" w:sz="4" w:space="0" w:color="000000"/>
              <w:right w:val="single" w:sz="12" w:space="0" w:color="000000"/>
            </w:tcBorders>
            <w:vAlign w:val="center"/>
          </w:tcPr>
          <w:p w14:paraId="75327D74" w14:textId="77777777" w:rsidR="001C08A5" w:rsidRDefault="00000000">
            <w:pPr>
              <w:jc w:val="center"/>
              <w:rPr>
                <w:i/>
                <w:iCs/>
                <w:sz w:val="22"/>
                <w:szCs w:val="22"/>
              </w:rPr>
            </w:pPr>
            <w:r>
              <w:rPr>
                <w:i/>
                <w:iCs/>
                <w:sz w:val="22"/>
                <w:szCs w:val="22"/>
              </w:rPr>
              <w:t>minimum</w:t>
            </w:r>
          </w:p>
          <w:p w14:paraId="2D03B564" w14:textId="77777777" w:rsidR="001C08A5" w:rsidRDefault="00000000">
            <w:pPr>
              <w:jc w:val="center"/>
              <w:rPr>
                <w:i/>
                <w:iCs/>
                <w:sz w:val="22"/>
                <w:szCs w:val="22"/>
              </w:rPr>
            </w:pPr>
            <w:r>
              <w:rPr>
                <w:b/>
                <w:bCs/>
                <w:i/>
                <w:iCs/>
                <w:sz w:val="22"/>
                <w:szCs w:val="22"/>
              </w:rPr>
              <w:t>C-s3,d0</w:t>
            </w:r>
          </w:p>
        </w:tc>
      </w:tr>
      <w:tr w:rsidR="001C08A5" w14:paraId="5BA1D8B3" w14:textId="77777777">
        <w:trPr>
          <w:trHeight w:val="100"/>
        </w:trPr>
        <w:tc>
          <w:tcPr>
            <w:tcW w:w="903" w:type="pct"/>
            <w:vMerge/>
            <w:tcBorders>
              <w:left w:val="single" w:sz="12" w:space="0" w:color="000000"/>
              <w:right w:val="single" w:sz="4" w:space="0" w:color="000000"/>
            </w:tcBorders>
            <w:vAlign w:val="center"/>
          </w:tcPr>
          <w:p w14:paraId="3305BABF" w14:textId="77777777" w:rsidR="001C08A5" w:rsidRDefault="001C08A5">
            <w:pPr>
              <w:jc w:val="center"/>
              <w:rPr>
                <w:b/>
                <w:bCs/>
                <w:i/>
                <w:iCs/>
                <w:sz w:val="22"/>
                <w:szCs w:val="22"/>
              </w:rPr>
            </w:pPr>
          </w:p>
        </w:tc>
        <w:tc>
          <w:tcPr>
            <w:tcW w:w="3221" w:type="pct"/>
            <w:tcBorders>
              <w:top w:val="single" w:sz="4" w:space="0" w:color="000000"/>
              <w:left w:val="single" w:sz="4" w:space="0" w:color="000000"/>
              <w:bottom w:val="single" w:sz="4" w:space="0" w:color="000000"/>
              <w:right w:val="single" w:sz="4" w:space="0" w:color="000000"/>
            </w:tcBorders>
            <w:vAlign w:val="center"/>
          </w:tcPr>
          <w:p w14:paraId="7DD9FCB0" w14:textId="77777777" w:rsidR="001C08A5" w:rsidRDefault="00000000">
            <w:pPr>
              <w:jc w:val="both"/>
              <w:rPr>
                <w:i/>
                <w:iCs/>
                <w:sz w:val="22"/>
                <w:szCs w:val="22"/>
              </w:rPr>
            </w:pPr>
            <w:r>
              <w:rPr>
                <w:i/>
                <w:iCs/>
                <w:sz w:val="22"/>
                <w:szCs w:val="22"/>
              </w:rPr>
              <w:t xml:space="preserve">Blocuri de locuinţe colective &gt; P+2E şi &lt; P+5E (cu până la 20 m înălţime totală (până la coamă/atic) </w:t>
            </w:r>
            <w:r>
              <w:rPr>
                <w:b/>
                <w:bCs/>
                <w:i/>
                <w:iCs/>
                <w:sz w:val="22"/>
                <w:szCs w:val="22"/>
                <w:vertAlign w:val="superscript"/>
              </w:rPr>
              <w:t>1) 2)</w:t>
            </w:r>
            <w:r>
              <w:rPr>
                <w:i/>
                <w:iCs/>
                <w:sz w:val="22"/>
                <w:szCs w:val="22"/>
              </w:rPr>
              <w:t>)</w:t>
            </w:r>
          </w:p>
        </w:tc>
        <w:tc>
          <w:tcPr>
            <w:tcW w:w="876" w:type="pct"/>
            <w:tcBorders>
              <w:top w:val="single" w:sz="4" w:space="0" w:color="000000"/>
              <w:left w:val="single" w:sz="4" w:space="0" w:color="000000"/>
              <w:bottom w:val="single" w:sz="4" w:space="0" w:color="000000"/>
              <w:right w:val="single" w:sz="12" w:space="0" w:color="000000"/>
            </w:tcBorders>
            <w:vAlign w:val="center"/>
          </w:tcPr>
          <w:p w14:paraId="2EBFF1D6" w14:textId="77777777" w:rsidR="001C08A5" w:rsidRDefault="00000000">
            <w:pPr>
              <w:jc w:val="center"/>
              <w:rPr>
                <w:i/>
                <w:iCs/>
                <w:sz w:val="22"/>
                <w:szCs w:val="22"/>
              </w:rPr>
            </w:pPr>
            <w:r>
              <w:rPr>
                <w:i/>
                <w:iCs/>
                <w:sz w:val="22"/>
                <w:szCs w:val="22"/>
              </w:rPr>
              <w:t>minimum</w:t>
            </w:r>
          </w:p>
          <w:p w14:paraId="14AD6900" w14:textId="77777777" w:rsidR="001C08A5" w:rsidRDefault="00000000">
            <w:pPr>
              <w:jc w:val="center"/>
              <w:rPr>
                <w:i/>
                <w:iCs/>
                <w:sz w:val="22"/>
                <w:szCs w:val="22"/>
              </w:rPr>
            </w:pPr>
            <w:r>
              <w:rPr>
                <w:b/>
                <w:bCs/>
                <w:i/>
                <w:iCs/>
                <w:sz w:val="22"/>
                <w:szCs w:val="22"/>
              </w:rPr>
              <w:t>B- s3,d0</w:t>
            </w:r>
          </w:p>
        </w:tc>
      </w:tr>
      <w:tr w:rsidR="001C08A5" w14:paraId="034C9E8B" w14:textId="77777777">
        <w:trPr>
          <w:trHeight w:val="100"/>
        </w:trPr>
        <w:tc>
          <w:tcPr>
            <w:tcW w:w="903" w:type="pct"/>
            <w:vMerge/>
            <w:tcBorders>
              <w:left w:val="single" w:sz="12" w:space="0" w:color="000000"/>
              <w:right w:val="single" w:sz="4" w:space="0" w:color="000000"/>
            </w:tcBorders>
            <w:vAlign w:val="center"/>
          </w:tcPr>
          <w:p w14:paraId="6B03319A" w14:textId="77777777" w:rsidR="001C08A5" w:rsidRDefault="001C08A5">
            <w:pPr>
              <w:jc w:val="center"/>
              <w:rPr>
                <w:b/>
                <w:bCs/>
                <w:i/>
                <w:iCs/>
                <w:sz w:val="22"/>
                <w:szCs w:val="22"/>
              </w:rPr>
            </w:pPr>
          </w:p>
        </w:tc>
        <w:tc>
          <w:tcPr>
            <w:tcW w:w="3221" w:type="pct"/>
            <w:tcBorders>
              <w:top w:val="single" w:sz="4" w:space="0" w:color="000000"/>
              <w:left w:val="single" w:sz="4" w:space="0" w:color="000000"/>
              <w:bottom w:val="single" w:sz="4" w:space="0" w:color="000000"/>
              <w:right w:val="single" w:sz="4" w:space="0" w:color="000000"/>
            </w:tcBorders>
            <w:vAlign w:val="center"/>
          </w:tcPr>
          <w:p w14:paraId="7492D455" w14:textId="77777777" w:rsidR="001C08A5" w:rsidRDefault="00000000">
            <w:pPr>
              <w:jc w:val="both"/>
              <w:rPr>
                <w:i/>
                <w:iCs/>
                <w:sz w:val="22"/>
                <w:szCs w:val="22"/>
              </w:rPr>
            </w:pPr>
            <w:r>
              <w:rPr>
                <w:i/>
                <w:iCs/>
                <w:sz w:val="22"/>
                <w:szCs w:val="22"/>
              </w:rPr>
              <w:t>Blocuri de locuinţe colective ≥ P+5E (6 niveluri) și cu mai puțin de 20 m înălţime totală (până la coamă/atic)</w:t>
            </w:r>
          </w:p>
        </w:tc>
        <w:tc>
          <w:tcPr>
            <w:tcW w:w="876" w:type="pct"/>
            <w:tcBorders>
              <w:top w:val="single" w:sz="4" w:space="0" w:color="000000"/>
              <w:left w:val="single" w:sz="4" w:space="0" w:color="000000"/>
              <w:bottom w:val="single" w:sz="4" w:space="0" w:color="000000"/>
              <w:right w:val="single" w:sz="12" w:space="0" w:color="000000"/>
            </w:tcBorders>
            <w:vAlign w:val="center"/>
          </w:tcPr>
          <w:p w14:paraId="3FE8B697" w14:textId="77777777" w:rsidR="001C08A5" w:rsidRDefault="00000000">
            <w:pPr>
              <w:jc w:val="center"/>
              <w:rPr>
                <w:i/>
                <w:iCs/>
                <w:sz w:val="22"/>
                <w:szCs w:val="22"/>
              </w:rPr>
            </w:pPr>
            <w:r>
              <w:rPr>
                <w:i/>
                <w:iCs/>
                <w:sz w:val="22"/>
                <w:szCs w:val="22"/>
              </w:rPr>
              <w:t>minimum</w:t>
            </w:r>
          </w:p>
          <w:p w14:paraId="5DB1A67B" w14:textId="77777777" w:rsidR="001C08A5" w:rsidRDefault="00000000">
            <w:pPr>
              <w:jc w:val="center"/>
              <w:rPr>
                <w:i/>
                <w:iCs/>
                <w:sz w:val="22"/>
                <w:szCs w:val="22"/>
              </w:rPr>
            </w:pPr>
            <w:r>
              <w:rPr>
                <w:b/>
                <w:bCs/>
                <w:i/>
                <w:iCs/>
                <w:sz w:val="22"/>
                <w:szCs w:val="22"/>
              </w:rPr>
              <w:t>B- s2,d0</w:t>
            </w:r>
          </w:p>
        </w:tc>
      </w:tr>
      <w:tr w:rsidR="001C08A5" w14:paraId="0ED79907" w14:textId="77777777">
        <w:trPr>
          <w:trHeight w:val="461"/>
        </w:trPr>
        <w:tc>
          <w:tcPr>
            <w:tcW w:w="903" w:type="pct"/>
            <w:vMerge/>
            <w:tcBorders>
              <w:left w:val="single" w:sz="12" w:space="0" w:color="000000"/>
              <w:right w:val="single" w:sz="4" w:space="0" w:color="000000"/>
            </w:tcBorders>
            <w:vAlign w:val="center"/>
          </w:tcPr>
          <w:p w14:paraId="2D6AF684" w14:textId="77777777" w:rsidR="001C08A5" w:rsidRDefault="001C08A5">
            <w:pPr>
              <w:jc w:val="center"/>
              <w:rPr>
                <w:b/>
                <w:bCs/>
                <w:i/>
                <w:iCs/>
                <w:sz w:val="22"/>
                <w:szCs w:val="22"/>
              </w:rPr>
            </w:pPr>
          </w:p>
        </w:tc>
        <w:tc>
          <w:tcPr>
            <w:tcW w:w="3221" w:type="pct"/>
            <w:tcBorders>
              <w:top w:val="single" w:sz="4" w:space="0" w:color="000000"/>
              <w:left w:val="single" w:sz="4" w:space="0" w:color="000000"/>
              <w:bottom w:val="single" w:sz="4" w:space="0" w:color="000000"/>
              <w:right w:val="single" w:sz="4" w:space="0" w:color="000000"/>
            </w:tcBorders>
            <w:vAlign w:val="center"/>
          </w:tcPr>
          <w:p w14:paraId="7B7FEC62" w14:textId="77777777" w:rsidR="001C08A5" w:rsidRDefault="00000000">
            <w:pPr>
              <w:jc w:val="both"/>
              <w:rPr>
                <w:i/>
                <w:iCs/>
                <w:sz w:val="22"/>
                <w:szCs w:val="22"/>
              </w:rPr>
            </w:pPr>
            <w:r>
              <w:rPr>
                <w:i/>
                <w:iCs/>
                <w:sz w:val="22"/>
                <w:szCs w:val="22"/>
              </w:rPr>
              <w:t xml:space="preserve">Blocuri de locuinţe colective cu mai mult de 20 m înălţime totală (până la coamă/atic) și ≤ P +11E </w:t>
            </w:r>
            <w:r>
              <w:rPr>
                <w:b/>
                <w:bCs/>
                <w:i/>
                <w:iCs/>
                <w:sz w:val="22"/>
                <w:szCs w:val="22"/>
                <w:vertAlign w:val="superscript"/>
              </w:rPr>
              <w:t xml:space="preserve">1) 2) </w:t>
            </w:r>
          </w:p>
        </w:tc>
        <w:tc>
          <w:tcPr>
            <w:tcW w:w="876" w:type="pct"/>
            <w:tcBorders>
              <w:top w:val="single" w:sz="4" w:space="0" w:color="000000"/>
              <w:left w:val="single" w:sz="4" w:space="0" w:color="000000"/>
              <w:right w:val="single" w:sz="12" w:space="0" w:color="000000"/>
            </w:tcBorders>
            <w:vAlign w:val="center"/>
          </w:tcPr>
          <w:p w14:paraId="759C78EA" w14:textId="77777777" w:rsidR="001C08A5" w:rsidRDefault="00000000">
            <w:pPr>
              <w:jc w:val="center"/>
              <w:rPr>
                <w:b/>
                <w:bCs/>
                <w:i/>
                <w:iCs/>
                <w:sz w:val="22"/>
                <w:szCs w:val="22"/>
              </w:rPr>
            </w:pPr>
            <w:r>
              <w:rPr>
                <w:b/>
                <w:bCs/>
                <w:i/>
                <w:iCs/>
                <w:sz w:val="22"/>
                <w:szCs w:val="22"/>
              </w:rPr>
              <w:t>A1 sau A2-s1,d0</w:t>
            </w:r>
          </w:p>
        </w:tc>
      </w:tr>
      <w:tr w:rsidR="001C08A5" w14:paraId="40D0D3FF" w14:textId="77777777">
        <w:trPr>
          <w:trHeight w:val="200"/>
        </w:trPr>
        <w:tc>
          <w:tcPr>
            <w:tcW w:w="903" w:type="pct"/>
            <w:vMerge/>
            <w:tcBorders>
              <w:left w:val="single" w:sz="12" w:space="0" w:color="000000"/>
              <w:bottom w:val="single" w:sz="12" w:space="0" w:color="000000"/>
              <w:right w:val="single" w:sz="4" w:space="0" w:color="000000"/>
            </w:tcBorders>
            <w:vAlign w:val="center"/>
          </w:tcPr>
          <w:p w14:paraId="00166A4D" w14:textId="77777777" w:rsidR="001C08A5" w:rsidRDefault="001C08A5">
            <w:pPr>
              <w:jc w:val="center"/>
              <w:rPr>
                <w:b/>
                <w:bCs/>
                <w:i/>
                <w:iCs/>
                <w:sz w:val="22"/>
                <w:szCs w:val="22"/>
              </w:rPr>
            </w:pPr>
          </w:p>
        </w:tc>
        <w:tc>
          <w:tcPr>
            <w:tcW w:w="3221" w:type="pct"/>
            <w:tcBorders>
              <w:top w:val="single" w:sz="4" w:space="0" w:color="000000"/>
              <w:left w:val="single" w:sz="4" w:space="0" w:color="000000"/>
              <w:bottom w:val="single" w:sz="12" w:space="0" w:color="000000"/>
              <w:right w:val="single" w:sz="4" w:space="0" w:color="000000"/>
            </w:tcBorders>
            <w:vAlign w:val="center"/>
          </w:tcPr>
          <w:p w14:paraId="76F8CDC2" w14:textId="77777777" w:rsidR="001C08A5" w:rsidRDefault="00000000">
            <w:pPr>
              <w:jc w:val="both"/>
              <w:rPr>
                <w:i/>
                <w:iCs/>
                <w:sz w:val="22"/>
                <w:szCs w:val="22"/>
              </w:rPr>
            </w:pPr>
            <w:r>
              <w:rPr>
                <w:i/>
                <w:iCs/>
                <w:sz w:val="22"/>
                <w:szCs w:val="22"/>
              </w:rPr>
              <w:t>Blocuri de locuinţe încadrate &gt;P +11E (înalte sau foarte înalte)</w:t>
            </w:r>
          </w:p>
        </w:tc>
        <w:tc>
          <w:tcPr>
            <w:tcW w:w="876" w:type="pct"/>
            <w:tcBorders>
              <w:top w:val="single" w:sz="4" w:space="0" w:color="000000"/>
              <w:left w:val="single" w:sz="4" w:space="0" w:color="000000"/>
              <w:bottom w:val="single" w:sz="12" w:space="0" w:color="000000"/>
              <w:right w:val="single" w:sz="12" w:space="0" w:color="000000"/>
            </w:tcBorders>
            <w:vAlign w:val="center"/>
          </w:tcPr>
          <w:p w14:paraId="41FA77C0" w14:textId="77777777" w:rsidR="001C08A5" w:rsidRDefault="00000000">
            <w:pPr>
              <w:jc w:val="center"/>
              <w:rPr>
                <w:i/>
                <w:iCs/>
                <w:sz w:val="22"/>
                <w:szCs w:val="22"/>
              </w:rPr>
            </w:pPr>
            <w:r>
              <w:rPr>
                <w:b/>
                <w:bCs/>
                <w:i/>
                <w:iCs/>
                <w:sz w:val="22"/>
                <w:szCs w:val="22"/>
              </w:rPr>
              <w:t>A1 sau A2-s1,d0</w:t>
            </w:r>
          </w:p>
        </w:tc>
      </w:tr>
      <w:tr w:rsidR="001C08A5" w14:paraId="45B83708" w14:textId="77777777">
        <w:trPr>
          <w:trHeight w:val="200"/>
        </w:trPr>
        <w:tc>
          <w:tcPr>
            <w:tcW w:w="903" w:type="pct"/>
            <w:vMerge w:val="restart"/>
            <w:tcBorders>
              <w:top w:val="single" w:sz="12" w:space="0" w:color="000000"/>
              <w:left w:val="single" w:sz="12" w:space="0" w:color="000000"/>
              <w:right w:val="single" w:sz="4" w:space="0" w:color="000000"/>
            </w:tcBorders>
            <w:vAlign w:val="center"/>
          </w:tcPr>
          <w:p w14:paraId="2661AFE9" w14:textId="77777777" w:rsidR="001C08A5" w:rsidRDefault="00000000">
            <w:pPr>
              <w:jc w:val="center"/>
              <w:rPr>
                <w:b/>
                <w:bCs/>
                <w:i/>
                <w:iCs/>
                <w:sz w:val="22"/>
                <w:szCs w:val="22"/>
              </w:rPr>
            </w:pPr>
            <w:r>
              <w:rPr>
                <w:b/>
                <w:bCs/>
                <w:i/>
                <w:iCs/>
                <w:sz w:val="22"/>
                <w:szCs w:val="22"/>
              </w:rPr>
              <w:t>Administrative</w:t>
            </w:r>
          </w:p>
        </w:tc>
        <w:tc>
          <w:tcPr>
            <w:tcW w:w="3221" w:type="pct"/>
            <w:tcBorders>
              <w:top w:val="single" w:sz="12" w:space="0" w:color="000000"/>
              <w:left w:val="single" w:sz="4" w:space="0" w:color="000000"/>
              <w:bottom w:val="single" w:sz="4" w:space="0" w:color="000000"/>
              <w:right w:val="single" w:sz="4" w:space="0" w:color="000000"/>
            </w:tcBorders>
            <w:vAlign w:val="center"/>
          </w:tcPr>
          <w:p w14:paraId="0CA6420F" w14:textId="77777777" w:rsidR="001C08A5" w:rsidRDefault="00000000">
            <w:pPr>
              <w:jc w:val="both"/>
              <w:rPr>
                <w:i/>
                <w:iCs/>
                <w:sz w:val="22"/>
                <w:szCs w:val="22"/>
              </w:rPr>
            </w:pPr>
            <w:r>
              <w:rPr>
                <w:i/>
                <w:iCs/>
                <w:sz w:val="22"/>
                <w:szCs w:val="22"/>
              </w:rPr>
              <w:t xml:space="preserve">Clădiri ≤ P+2E </w:t>
            </w:r>
            <w:r>
              <w:rPr>
                <w:b/>
                <w:bCs/>
                <w:i/>
                <w:iCs/>
                <w:sz w:val="22"/>
                <w:szCs w:val="22"/>
                <w:vertAlign w:val="superscript"/>
              </w:rPr>
              <w:t xml:space="preserve">2) </w:t>
            </w:r>
          </w:p>
        </w:tc>
        <w:tc>
          <w:tcPr>
            <w:tcW w:w="876" w:type="pct"/>
            <w:tcBorders>
              <w:top w:val="single" w:sz="12" w:space="0" w:color="000000"/>
              <w:left w:val="single" w:sz="4" w:space="0" w:color="000000"/>
              <w:bottom w:val="single" w:sz="4" w:space="0" w:color="000000"/>
              <w:right w:val="single" w:sz="12" w:space="0" w:color="000000"/>
            </w:tcBorders>
            <w:vAlign w:val="center"/>
          </w:tcPr>
          <w:p w14:paraId="6140E6B4" w14:textId="77777777" w:rsidR="001C08A5" w:rsidRDefault="00000000">
            <w:pPr>
              <w:jc w:val="center"/>
              <w:rPr>
                <w:i/>
                <w:iCs/>
                <w:sz w:val="22"/>
                <w:szCs w:val="22"/>
              </w:rPr>
            </w:pPr>
            <w:r>
              <w:rPr>
                <w:i/>
                <w:iCs/>
                <w:sz w:val="22"/>
                <w:szCs w:val="22"/>
              </w:rPr>
              <w:t>minimum</w:t>
            </w:r>
          </w:p>
          <w:p w14:paraId="11DF7C82" w14:textId="77777777" w:rsidR="001C08A5" w:rsidRDefault="00000000">
            <w:pPr>
              <w:jc w:val="center"/>
              <w:rPr>
                <w:i/>
                <w:iCs/>
                <w:sz w:val="22"/>
                <w:szCs w:val="22"/>
              </w:rPr>
            </w:pPr>
            <w:r>
              <w:rPr>
                <w:b/>
                <w:bCs/>
                <w:i/>
                <w:iCs/>
                <w:sz w:val="22"/>
                <w:szCs w:val="22"/>
              </w:rPr>
              <w:t>C- s3,d0</w:t>
            </w:r>
          </w:p>
        </w:tc>
      </w:tr>
      <w:tr w:rsidR="001C08A5" w14:paraId="3C2D50E3" w14:textId="77777777">
        <w:trPr>
          <w:trHeight w:val="200"/>
        </w:trPr>
        <w:tc>
          <w:tcPr>
            <w:tcW w:w="903" w:type="pct"/>
            <w:vMerge/>
            <w:tcBorders>
              <w:left w:val="single" w:sz="12" w:space="0" w:color="000000"/>
              <w:right w:val="single" w:sz="4" w:space="0" w:color="000000"/>
            </w:tcBorders>
            <w:vAlign w:val="center"/>
          </w:tcPr>
          <w:p w14:paraId="47240366" w14:textId="77777777" w:rsidR="001C08A5" w:rsidRDefault="001C08A5">
            <w:pPr>
              <w:jc w:val="center"/>
              <w:rPr>
                <w:b/>
                <w:bCs/>
                <w:i/>
                <w:iCs/>
                <w:sz w:val="22"/>
                <w:szCs w:val="22"/>
              </w:rPr>
            </w:pPr>
          </w:p>
        </w:tc>
        <w:tc>
          <w:tcPr>
            <w:tcW w:w="3221" w:type="pct"/>
            <w:tcBorders>
              <w:top w:val="single" w:sz="4" w:space="0" w:color="000000"/>
              <w:left w:val="single" w:sz="4" w:space="0" w:color="000000"/>
              <w:bottom w:val="single" w:sz="4" w:space="0" w:color="000000"/>
              <w:right w:val="single" w:sz="4" w:space="0" w:color="000000"/>
            </w:tcBorders>
            <w:vAlign w:val="center"/>
          </w:tcPr>
          <w:p w14:paraId="4BA3438F" w14:textId="77777777" w:rsidR="001C08A5" w:rsidRDefault="00000000">
            <w:pPr>
              <w:jc w:val="both"/>
              <w:rPr>
                <w:i/>
                <w:iCs/>
                <w:sz w:val="22"/>
                <w:szCs w:val="22"/>
              </w:rPr>
            </w:pPr>
            <w:r>
              <w:rPr>
                <w:i/>
                <w:iCs/>
                <w:sz w:val="22"/>
                <w:szCs w:val="22"/>
              </w:rPr>
              <w:t xml:space="preserve">Clădiri &gt; P+2E şi ≤ P+5E </w:t>
            </w:r>
          </w:p>
          <w:p w14:paraId="5163A72E" w14:textId="77777777" w:rsidR="001C08A5" w:rsidRDefault="00000000">
            <w:pPr>
              <w:jc w:val="both"/>
              <w:rPr>
                <w:i/>
                <w:iCs/>
                <w:sz w:val="22"/>
                <w:szCs w:val="22"/>
              </w:rPr>
            </w:pPr>
            <w:r>
              <w:rPr>
                <w:i/>
                <w:iCs/>
                <w:sz w:val="22"/>
                <w:szCs w:val="22"/>
              </w:rPr>
              <w:t xml:space="preserve">sau </w:t>
            </w:r>
          </w:p>
          <w:p w14:paraId="77116E91" w14:textId="77777777" w:rsidR="001C08A5" w:rsidRDefault="00000000">
            <w:pPr>
              <w:jc w:val="both"/>
              <w:rPr>
                <w:i/>
                <w:iCs/>
                <w:sz w:val="22"/>
                <w:szCs w:val="22"/>
              </w:rPr>
            </w:pPr>
            <w:r>
              <w:rPr>
                <w:i/>
                <w:iCs/>
                <w:sz w:val="22"/>
                <w:szCs w:val="22"/>
              </w:rPr>
              <w:t xml:space="preserve">Clădiri cu până la 20 m înălţime totală (până la coamă/atic) </w:t>
            </w:r>
            <w:r>
              <w:rPr>
                <w:b/>
                <w:bCs/>
                <w:i/>
                <w:iCs/>
                <w:sz w:val="22"/>
                <w:szCs w:val="22"/>
                <w:vertAlign w:val="superscript"/>
              </w:rPr>
              <w:t>1) 2)</w:t>
            </w:r>
          </w:p>
        </w:tc>
        <w:tc>
          <w:tcPr>
            <w:tcW w:w="876" w:type="pct"/>
            <w:tcBorders>
              <w:top w:val="single" w:sz="4" w:space="0" w:color="000000"/>
              <w:left w:val="single" w:sz="4" w:space="0" w:color="000000"/>
              <w:bottom w:val="single" w:sz="4" w:space="0" w:color="000000"/>
              <w:right w:val="single" w:sz="12" w:space="0" w:color="000000"/>
            </w:tcBorders>
            <w:vAlign w:val="center"/>
          </w:tcPr>
          <w:p w14:paraId="72CBAF3A" w14:textId="77777777" w:rsidR="001C08A5" w:rsidRDefault="00000000">
            <w:pPr>
              <w:jc w:val="center"/>
              <w:rPr>
                <w:i/>
                <w:iCs/>
                <w:sz w:val="22"/>
                <w:szCs w:val="22"/>
              </w:rPr>
            </w:pPr>
            <w:r>
              <w:rPr>
                <w:i/>
                <w:iCs/>
                <w:sz w:val="22"/>
                <w:szCs w:val="22"/>
              </w:rPr>
              <w:t>minimum</w:t>
            </w:r>
          </w:p>
          <w:p w14:paraId="0B0E3C55" w14:textId="77777777" w:rsidR="001C08A5" w:rsidRDefault="00000000">
            <w:pPr>
              <w:jc w:val="center"/>
              <w:rPr>
                <w:i/>
                <w:iCs/>
                <w:sz w:val="22"/>
                <w:szCs w:val="22"/>
              </w:rPr>
            </w:pPr>
            <w:r>
              <w:rPr>
                <w:b/>
                <w:bCs/>
                <w:i/>
                <w:iCs/>
                <w:sz w:val="22"/>
                <w:szCs w:val="22"/>
              </w:rPr>
              <w:t>B- s3,d0</w:t>
            </w:r>
          </w:p>
        </w:tc>
      </w:tr>
      <w:tr w:rsidR="001C08A5" w14:paraId="568D4ACD" w14:textId="77777777">
        <w:trPr>
          <w:trHeight w:val="200"/>
        </w:trPr>
        <w:tc>
          <w:tcPr>
            <w:tcW w:w="903" w:type="pct"/>
            <w:vMerge/>
            <w:tcBorders>
              <w:left w:val="single" w:sz="12" w:space="0" w:color="000000"/>
              <w:right w:val="single" w:sz="4" w:space="0" w:color="000000"/>
            </w:tcBorders>
            <w:vAlign w:val="center"/>
          </w:tcPr>
          <w:p w14:paraId="3184DD4C" w14:textId="77777777" w:rsidR="001C08A5" w:rsidRDefault="001C08A5">
            <w:pPr>
              <w:jc w:val="center"/>
              <w:rPr>
                <w:b/>
                <w:bCs/>
                <w:i/>
                <w:iCs/>
                <w:sz w:val="22"/>
                <w:szCs w:val="22"/>
              </w:rPr>
            </w:pPr>
          </w:p>
        </w:tc>
        <w:tc>
          <w:tcPr>
            <w:tcW w:w="3221" w:type="pct"/>
            <w:tcBorders>
              <w:top w:val="single" w:sz="4" w:space="0" w:color="000000"/>
              <w:left w:val="single" w:sz="4" w:space="0" w:color="000000"/>
              <w:bottom w:val="single" w:sz="4" w:space="0" w:color="000000"/>
              <w:right w:val="single" w:sz="4" w:space="0" w:color="000000"/>
            </w:tcBorders>
            <w:vAlign w:val="center"/>
          </w:tcPr>
          <w:p w14:paraId="512A755D" w14:textId="77777777" w:rsidR="001C08A5" w:rsidRDefault="00000000">
            <w:pPr>
              <w:jc w:val="both"/>
              <w:rPr>
                <w:i/>
                <w:iCs/>
                <w:sz w:val="22"/>
                <w:szCs w:val="22"/>
              </w:rPr>
            </w:pPr>
            <w:r>
              <w:rPr>
                <w:i/>
                <w:iCs/>
                <w:sz w:val="22"/>
                <w:szCs w:val="22"/>
              </w:rPr>
              <w:t xml:space="preserve">&gt; P+5E </w:t>
            </w:r>
          </w:p>
          <w:p w14:paraId="64E558EF" w14:textId="77777777" w:rsidR="001C08A5" w:rsidRDefault="00000000">
            <w:pPr>
              <w:jc w:val="both"/>
              <w:rPr>
                <w:i/>
                <w:iCs/>
                <w:sz w:val="22"/>
                <w:szCs w:val="22"/>
              </w:rPr>
            </w:pPr>
            <w:r>
              <w:rPr>
                <w:i/>
                <w:iCs/>
                <w:sz w:val="22"/>
                <w:szCs w:val="22"/>
              </w:rPr>
              <w:t xml:space="preserve">sau </w:t>
            </w:r>
          </w:p>
          <w:p w14:paraId="4D91B518" w14:textId="77777777" w:rsidR="001C08A5" w:rsidRDefault="00000000">
            <w:pPr>
              <w:jc w:val="both"/>
              <w:rPr>
                <w:i/>
                <w:iCs/>
                <w:sz w:val="22"/>
                <w:szCs w:val="22"/>
              </w:rPr>
            </w:pPr>
            <w:r>
              <w:rPr>
                <w:i/>
                <w:iCs/>
                <w:sz w:val="22"/>
                <w:szCs w:val="22"/>
              </w:rPr>
              <w:t xml:space="preserve">Clădiri cu </w:t>
            </w:r>
            <w:r>
              <w:rPr>
                <w:bCs/>
                <w:i/>
                <w:iCs/>
                <w:sz w:val="22"/>
                <w:szCs w:val="22"/>
              </w:rPr>
              <w:t>mai mult de 20 m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ă (până la coamă/atic)</w:t>
            </w:r>
            <w:r>
              <w:rPr>
                <w:b/>
                <w:bCs/>
                <w:i/>
                <w:iCs/>
                <w:sz w:val="22"/>
                <w:szCs w:val="22"/>
                <w:vertAlign w:val="superscript"/>
              </w:rPr>
              <w:t>1) 2)  3)</w:t>
            </w:r>
          </w:p>
        </w:tc>
        <w:tc>
          <w:tcPr>
            <w:tcW w:w="876" w:type="pct"/>
            <w:tcBorders>
              <w:top w:val="single" w:sz="4" w:space="0" w:color="000000"/>
              <w:left w:val="single" w:sz="4" w:space="0" w:color="000000"/>
              <w:bottom w:val="single" w:sz="4" w:space="0" w:color="000000"/>
              <w:right w:val="single" w:sz="12" w:space="0" w:color="000000"/>
            </w:tcBorders>
            <w:vAlign w:val="center"/>
          </w:tcPr>
          <w:p w14:paraId="69DD459D" w14:textId="77777777" w:rsidR="001C08A5" w:rsidRDefault="00000000">
            <w:pPr>
              <w:jc w:val="center"/>
              <w:rPr>
                <w:i/>
                <w:iCs/>
                <w:sz w:val="22"/>
                <w:szCs w:val="22"/>
              </w:rPr>
            </w:pPr>
            <w:r>
              <w:rPr>
                <w:i/>
                <w:iCs/>
                <w:sz w:val="22"/>
                <w:szCs w:val="22"/>
              </w:rPr>
              <w:t>minimum</w:t>
            </w:r>
          </w:p>
          <w:p w14:paraId="68C48774" w14:textId="77777777" w:rsidR="001C08A5" w:rsidRDefault="00000000">
            <w:pPr>
              <w:jc w:val="center"/>
              <w:rPr>
                <w:i/>
                <w:iCs/>
                <w:sz w:val="22"/>
                <w:szCs w:val="22"/>
              </w:rPr>
            </w:pPr>
            <w:r>
              <w:rPr>
                <w:b/>
                <w:bCs/>
                <w:i/>
                <w:iCs/>
                <w:sz w:val="22"/>
                <w:szCs w:val="22"/>
              </w:rPr>
              <w:t>B- s2,d0</w:t>
            </w:r>
          </w:p>
        </w:tc>
      </w:tr>
      <w:tr w:rsidR="001C08A5" w14:paraId="58252682" w14:textId="77777777">
        <w:trPr>
          <w:trHeight w:val="200"/>
        </w:trPr>
        <w:tc>
          <w:tcPr>
            <w:tcW w:w="903" w:type="pct"/>
            <w:vMerge/>
            <w:tcBorders>
              <w:left w:val="single" w:sz="12" w:space="0" w:color="000000"/>
              <w:bottom w:val="single" w:sz="12" w:space="0" w:color="000000"/>
              <w:right w:val="single" w:sz="4" w:space="0" w:color="000000"/>
            </w:tcBorders>
            <w:vAlign w:val="center"/>
          </w:tcPr>
          <w:p w14:paraId="057B7644" w14:textId="77777777" w:rsidR="001C08A5" w:rsidRDefault="001C08A5">
            <w:pPr>
              <w:jc w:val="center"/>
              <w:rPr>
                <w:b/>
                <w:bCs/>
                <w:i/>
                <w:iCs/>
                <w:sz w:val="22"/>
                <w:szCs w:val="22"/>
              </w:rPr>
            </w:pPr>
          </w:p>
        </w:tc>
        <w:tc>
          <w:tcPr>
            <w:tcW w:w="3221" w:type="pct"/>
            <w:tcBorders>
              <w:top w:val="single" w:sz="4" w:space="0" w:color="000000"/>
              <w:left w:val="single" w:sz="4" w:space="0" w:color="000000"/>
              <w:bottom w:val="single" w:sz="12" w:space="0" w:color="000000"/>
              <w:right w:val="single" w:sz="4" w:space="0" w:color="000000"/>
            </w:tcBorders>
            <w:vAlign w:val="center"/>
          </w:tcPr>
          <w:p w14:paraId="6C74AF5F" w14:textId="77777777" w:rsidR="001C08A5" w:rsidRDefault="00000000">
            <w:pPr>
              <w:jc w:val="both"/>
              <w:rPr>
                <w:i/>
                <w:iCs/>
                <w:sz w:val="22"/>
                <w:szCs w:val="22"/>
              </w:rPr>
            </w:pPr>
            <w:r>
              <w:rPr>
                <w:i/>
                <w:iCs/>
                <w:sz w:val="22"/>
                <w:szCs w:val="22"/>
              </w:rPr>
              <w:t>Clădiri înalte sau foarte înalte</w:t>
            </w:r>
          </w:p>
        </w:tc>
        <w:tc>
          <w:tcPr>
            <w:tcW w:w="876" w:type="pct"/>
            <w:tcBorders>
              <w:top w:val="single" w:sz="4" w:space="0" w:color="000000"/>
              <w:left w:val="single" w:sz="4" w:space="0" w:color="000000"/>
              <w:bottom w:val="single" w:sz="12" w:space="0" w:color="000000"/>
              <w:right w:val="single" w:sz="12" w:space="0" w:color="000000"/>
            </w:tcBorders>
            <w:vAlign w:val="center"/>
          </w:tcPr>
          <w:p w14:paraId="5378B0D8" w14:textId="77777777" w:rsidR="001C08A5" w:rsidRDefault="00000000">
            <w:pPr>
              <w:jc w:val="center"/>
              <w:rPr>
                <w:i/>
                <w:iCs/>
                <w:sz w:val="22"/>
                <w:szCs w:val="22"/>
              </w:rPr>
            </w:pPr>
            <w:r>
              <w:rPr>
                <w:b/>
                <w:bCs/>
                <w:i/>
                <w:iCs/>
                <w:sz w:val="22"/>
                <w:szCs w:val="22"/>
              </w:rPr>
              <w:t>A1 sau A2-s1,d0</w:t>
            </w:r>
          </w:p>
        </w:tc>
      </w:tr>
      <w:tr w:rsidR="001C08A5" w14:paraId="5174A6CE" w14:textId="77777777">
        <w:trPr>
          <w:trHeight w:val="90"/>
        </w:trPr>
        <w:tc>
          <w:tcPr>
            <w:tcW w:w="903" w:type="pct"/>
            <w:vMerge w:val="restart"/>
            <w:tcBorders>
              <w:top w:val="single" w:sz="12" w:space="0" w:color="000000"/>
              <w:left w:val="single" w:sz="12" w:space="0" w:color="000000"/>
              <w:bottom w:val="single" w:sz="4" w:space="0" w:color="000000"/>
            </w:tcBorders>
            <w:vAlign w:val="center"/>
          </w:tcPr>
          <w:p w14:paraId="2443337A" w14:textId="77777777" w:rsidR="001C08A5" w:rsidRDefault="00000000">
            <w:pPr>
              <w:jc w:val="center"/>
              <w:rPr>
                <w:b/>
                <w:bCs/>
                <w:i/>
                <w:iCs/>
                <w:sz w:val="22"/>
                <w:szCs w:val="22"/>
              </w:rPr>
            </w:pPr>
            <w:r>
              <w:rPr>
                <w:b/>
                <w:bCs/>
                <w:i/>
                <w:iCs/>
                <w:sz w:val="22"/>
                <w:szCs w:val="22"/>
              </w:rPr>
              <w:t>Comerţ</w:t>
            </w:r>
          </w:p>
        </w:tc>
        <w:tc>
          <w:tcPr>
            <w:tcW w:w="3221" w:type="pct"/>
            <w:tcBorders>
              <w:top w:val="single" w:sz="12" w:space="0" w:color="000000"/>
              <w:bottom w:val="single" w:sz="4" w:space="0" w:color="000000"/>
            </w:tcBorders>
            <w:vAlign w:val="center"/>
          </w:tcPr>
          <w:p w14:paraId="411A9887" w14:textId="77777777" w:rsidR="001C08A5" w:rsidRDefault="00000000">
            <w:pPr>
              <w:jc w:val="both"/>
              <w:rPr>
                <w:i/>
                <w:iCs/>
                <w:sz w:val="22"/>
                <w:szCs w:val="22"/>
              </w:rPr>
            </w:pPr>
            <w:r>
              <w:rPr>
                <w:i/>
                <w:iCs/>
                <w:sz w:val="22"/>
                <w:szCs w:val="22"/>
              </w:rPr>
              <w:t xml:space="preserve">Clădiri ≤ P+1E </w:t>
            </w:r>
          </w:p>
          <w:p w14:paraId="345A3847" w14:textId="77777777" w:rsidR="001C08A5" w:rsidRDefault="00000000">
            <w:pPr>
              <w:jc w:val="both"/>
              <w:rPr>
                <w:i/>
                <w:iCs/>
                <w:sz w:val="22"/>
                <w:szCs w:val="22"/>
              </w:rPr>
            </w:pPr>
            <w:r>
              <w:rPr>
                <w:i/>
                <w:iCs/>
                <w:sz w:val="22"/>
                <w:szCs w:val="22"/>
              </w:rPr>
              <w:t xml:space="preserve">sau </w:t>
            </w:r>
          </w:p>
          <w:p w14:paraId="042DCF58" w14:textId="77777777" w:rsidR="001C08A5" w:rsidRDefault="00000000">
            <w:pPr>
              <w:jc w:val="both"/>
              <w:rPr>
                <w:i/>
                <w:iCs/>
                <w:sz w:val="22"/>
                <w:szCs w:val="22"/>
              </w:rPr>
            </w:pPr>
            <w:r>
              <w:rPr>
                <w:i/>
                <w:iCs/>
                <w:sz w:val="22"/>
                <w:szCs w:val="22"/>
              </w:rPr>
              <w:t>Clădiri cu până la 8 m înălţime până la ultimul nivel de calcare sau cu până la 10 m</w:t>
            </w:r>
            <w:r>
              <w:rPr>
                <w:bCs/>
                <w:i/>
                <w:iCs/>
                <w:sz w:val="22"/>
                <w:szCs w:val="22"/>
              </w:rPr>
              <w:t xml:space="preserve">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 xml:space="preserve">ă (până la coamă/atic) </w:t>
            </w:r>
            <w:r>
              <w:rPr>
                <w:b/>
                <w:bCs/>
                <w:i/>
                <w:iCs/>
                <w:sz w:val="22"/>
                <w:szCs w:val="22"/>
                <w:vertAlign w:val="superscript"/>
              </w:rPr>
              <w:t xml:space="preserve">1) </w:t>
            </w:r>
          </w:p>
        </w:tc>
        <w:tc>
          <w:tcPr>
            <w:tcW w:w="876" w:type="pct"/>
            <w:tcBorders>
              <w:top w:val="single" w:sz="12" w:space="0" w:color="000000"/>
              <w:bottom w:val="single" w:sz="4" w:space="0" w:color="000000"/>
              <w:right w:val="single" w:sz="12" w:space="0" w:color="000000"/>
            </w:tcBorders>
            <w:vAlign w:val="center"/>
          </w:tcPr>
          <w:p w14:paraId="6C780462" w14:textId="77777777" w:rsidR="001C08A5" w:rsidRDefault="00000000">
            <w:pPr>
              <w:jc w:val="center"/>
              <w:rPr>
                <w:i/>
                <w:iCs/>
                <w:sz w:val="22"/>
                <w:szCs w:val="22"/>
              </w:rPr>
            </w:pPr>
            <w:r>
              <w:rPr>
                <w:i/>
                <w:iCs/>
                <w:sz w:val="22"/>
                <w:szCs w:val="22"/>
              </w:rPr>
              <w:t>minimum</w:t>
            </w:r>
          </w:p>
          <w:p w14:paraId="534D2441" w14:textId="77777777" w:rsidR="001C08A5" w:rsidRDefault="00000000">
            <w:pPr>
              <w:jc w:val="center"/>
              <w:rPr>
                <w:i/>
                <w:iCs/>
                <w:sz w:val="22"/>
                <w:szCs w:val="22"/>
              </w:rPr>
            </w:pPr>
            <w:r>
              <w:rPr>
                <w:b/>
                <w:bCs/>
                <w:i/>
                <w:iCs/>
                <w:sz w:val="22"/>
                <w:szCs w:val="22"/>
              </w:rPr>
              <w:t>C- s2,d0</w:t>
            </w:r>
          </w:p>
        </w:tc>
      </w:tr>
      <w:tr w:rsidR="001C08A5" w14:paraId="1E2636E3" w14:textId="77777777">
        <w:trPr>
          <w:trHeight w:val="90"/>
        </w:trPr>
        <w:tc>
          <w:tcPr>
            <w:tcW w:w="903" w:type="pct"/>
            <w:vMerge/>
            <w:tcBorders>
              <w:top w:val="single" w:sz="4" w:space="0" w:color="000000"/>
              <w:left w:val="single" w:sz="12" w:space="0" w:color="000000"/>
              <w:bottom w:val="single" w:sz="4" w:space="0" w:color="000000"/>
            </w:tcBorders>
            <w:vAlign w:val="center"/>
          </w:tcPr>
          <w:p w14:paraId="03301AD6"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678229BB" w14:textId="77777777" w:rsidR="001C08A5" w:rsidRDefault="00000000">
            <w:pPr>
              <w:jc w:val="both"/>
              <w:rPr>
                <w:i/>
                <w:iCs/>
                <w:sz w:val="22"/>
                <w:szCs w:val="22"/>
              </w:rPr>
            </w:pPr>
            <w:r>
              <w:rPr>
                <w:i/>
                <w:iCs/>
                <w:sz w:val="22"/>
                <w:szCs w:val="22"/>
              </w:rPr>
              <w:t xml:space="preserve">Clădiri &gt; P+1E și ≤ P+5E </w:t>
            </w:r>
            <w:r>
              <w:rPr>
                <w:b/>
                <w:bCs/>
                <w:i/>
                <w:iCs/>
                <w:sz w:val="22"/>
                <w:szCs w:val="22"/>
                <w:vertAlign w:val="superscript"/>
              </w:rPr>
              <w:t xml:space="preserve">2) </w:t>
            </w:r>
          </w:p>
          <w:p w14:paraId="0787C84D" w14:textId="77777777" w:rsidR="001C08A5" w:rsidRDefault="00000000">
            <w:pPr>
              <w:jc w:val="both"/>
              <w:rPr>
                <w:i/>
                <w:iCs/>
                <w:sz w:val="22"/>
                <w:szCs w:val="22"/>
              </w:rPr>
            </w:pPr>
            <w:r>
              <w:rPr>
                <w:i/>
                <w:iCs/>
                <w:sz w:val="22"/>
                <w:szCs w:val="22"/>
              </w:rPr>
              <w:lastRenderedPageBreak/>
              <w:t>sau</w:t>
            </w:r>
          </w:p>
          <w:p w14:paraId="7F1BE286" w14:textId="77777777" w:rsidR="001C08A5" w:rsidRDefault="00000000">
            <w:pPr>
              <w:jc w:val="both"/>
              <w:rPr>
                <w:i/>
                <w:iCs/>
                <w:sz w:val="22"/>
                <w:szCs w:val="22"/>
              </w:rPr>
            </w:pPr>
            <w:r>
              <w:rPr>
                <w:i/>
                <w:iCs/>
                <w:sz w:val="22"/>
                <w:szCs w:val="22"/>
              </w:rPr>
              <w:t xml:space="preserve">Clădiri cu până la 20 m înălţime totală (până la coamă/atic) </w:t>
            </w:r>
            <w:r>
              <w:rPr>
                <w:b/>
                <w:bCs/>
                <w:i/>
                <w:iCs/>
                <w:sz w:val="22"/>
                <w:szCs w:val="22"/>
                <w:vertAlign w:val="superscript"/>
              </w:rPr>
              <w:t xml:space="preserve">1) </w:t>
            </w:r>
          </w:p>
        </w:tc>
        <w:tc>
          <w:tcPr>
            <w:tcW w:w="876" w:type="pct"/>
            <w:tcBorders>
              <w:top w:val="single" w:sz="4" w:space="0" w:color="000000"/>
              <w:bottom w:val="single" w:sz="4" w:space="0" w:color="000000"/>
              <w:right w:val="single" w:sz="12" w:space="0" w:color="000000"/>
            </w:tcBorders>
            <w:vAlign w:val="center"/>
          </w:tcPr>
          <w:p w14:paraId="6BCE237E" w14:textId="77777777" w:rsidR="001C08A5" w:rsidRDefault="00000000">
            <w:pPr>
              <w:jc w:val="center"/>
              <w:rPr>
                <w:i/>
                <w:iCs/>
                <w:sz w:val="22"/>
                <w:szCs w:val="22"/>
              </w:rPr>
            </w:pPr>
            <w:r>
              <w:rPr>
                <w:i/>
                <w:iCs/>
                <w:sz w:val="22"/>
                <w:szCs w:val="22"/>
              </w:rPr>
              <w:lastRenderedPageBreak/>
              <w:t>minimum</w:t>
            </w:r>
          </w:p>
          <w:p w14:paraId="5E347981" w14:textId="77777777" w:rsidR="001C08A5" w:rsidRDefault="00000000">
            <w:pPr>
              <w:jc w:val="center"/>
              <w:rPr>
                <w:i/>
                <w:iCs/>
                <w:sz w:val="22"/>
                <w:szCs w:val="22"/>
              </w:rPr>
            </w:pPr>
            <w:r>
              <w:rPr>
                <w:b/>
                <w:bCs/>
                <w:i/>
                <w:iCs/>
                <w:sz w:val="22"/>
                <w:szCs w:val="22"/>
              </w:rPr>
              <w:lastRenderedPageBreak/>
              <w:t>B- s2,d0</w:t>
            </w:r>
          </w:p>
        </w:tc>
      </w:tr>
      <w:tr w:rsidR="001C08A5" w14:paraId="55C2937C" w14:textId="77777777">
        <w:trPr>
          <w:trHeight w:val="90"/>
        </w:trPr>
        <w:tc>
          <w:tcPr>
            <w:tcW w:w="903" w:type="pct"/>
            <w:vMerge/>
            <w:tcBorders>
              <w:top w:val="single" w:sz="4" w:space="0" w:color="000000"/>
              <w:left w:val="single" w:sz="12" w:space="0" w:color="000000"/>
              <w:bottom w:val="single" w:sz="4" w:space="0" w:color="000000"/>
            </w:tcBorders>
            <w:vAlign w:val="center"/>
          </w:tcPr>
          <w:p w14:paraId="3B1460F5"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17D85D37" w14:textId="77777777" w:rsidR="001C08A5" w:rsidRDefault="00000000">
            <w:pPr>
              <w:jc w:val="both"/>
              <w:rPr>
                <w:i/>
                <w:iCs/>
                <w:sz w:val="22"/>
                <w:szCs w:val="22"/>
              </w:rPr>
            </w:pPr>
            <w:r>
              <w:rPr>
                <w:i/>
                <w:iCs/>
                <w:sz w:val="22"/>
                <w:szCs w:val="22"/>
              </w:rPr>
              <w:t>Clădiri &gt; P+5E</w:t>
            </w:r>
            <w:r>
              <w:rPr>
                <w:b/>
                <w:bCs/>
                <w:i/>
                <w:iCs/>
                <w:sz w:val="22"/>
                <w:szCs w:val="22"/>
                <w:vertAlign w:val="superscript"/>
              </w:rPr>
              <w:t xml:space="preserve"> 2) </w:t>
            </w:r>
          </w:p>
          <w:p w14:paraId="627CC206" w14:textId="77777777" w:rsidR="001C08A5" w:rsidRDefault="00000000">
            <w:pPr>
              <w:jc w:val="both"/>
              <w:rPr>
                <w:i/>
                <w:iCs/>
                <w:sz w:val="22"/>
                <w:szCs w:val="22"/>
              </w:rPr>
            </w:pPr>
            <w:r>
              <w:rPr>
                <w:i/>
                <w:iCs/>
                <w:sz w:val="22"/>
                <w:szCs w:val="22"/>
              </w:rPr>
              <w:t>sau</w:t>
            </w:r>
          </w:p>
          <w:p w14:paraId="672C3F1D" w14:textId="77777777" w:rsidR="001C08A5" w:rsidRDefault="00000000">
            <w:pPr>
              <w:jc w:val="both"/>
              <w:rPr>
                <w:i/>
                <w:iCs/>
                <w:sz w:val="22"/>
                <w:szCs w:val="22"/>
              </w:rPr>
            </w:pPr>
            <w:r>
              <w:rPr>
                <w:i/>
                <w:iCs/>
                <w:sz w:val="22"/>
                <w:szCs w:val="22"/>
              </w:rPr>
              <w:t xml:space="preserve">Clădiri cu </w:t>
            </w:r>
            <w:r>
              <w:rPr>
                <w:bCs/>
                <w:i/>
                <w:iCs/>
                <w:sz w:val="22"/>
                <w:szCs w:val="22"/>
              </w:rPr>
              <w:t>mai mult de 20 m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ă (până la coamă/atic)</w:t>
            </w:r>
            <w:r>
              <w:rPr>
                <w:b/>
                <w:bCs/>
                <w:i/>
                <w:iCs/>
                <w:sz w:val="22"/>
                <w:szCs w:val="22"/>
                <w:vertAlign w:val="superscript"/>
              </w:rPr>
              <w:t xml:space="preserve">1) 2) </w:t>
            </w:r>
          </w:p>
        </w:tc>
        <w:tc>
          <w:tcPr>
            <w:tcW w:w="876" w:type="pct"/>
            <w:tcBorders>
              <w:top w:val="single" w:sz="4" w:space="0" w:color="000000"/>
              <w:bottom w:val="single" w:sz="4" w:space="0" w:color="000000"/>
              <w:right w:val="single" w:sz="12" w:space="0" w:color="000000"/>
            </w:tcBorders>
            <w:vAlign w:val="center"/>
          </w:tcPr>
          <w:p w14:paraId="277E1AB2" w14:textId="77777777" w:rsidR="001C08A5" w:rsidRDefault="00000000">
            <w:pPr>
              <w:jc w:val="center"/>
              <w:rPr>
                <w:i/>
                <w:iCs/>
                <w:sz w:val="22"/>
                <w:szCs w:val="22"/>
              </w:rPr>
            </w:pPr>
            <w:r>
              <w:rPr>
                <w:i/>
                <w:iCs/>
                <w:sz w:val="22"/>
                <w:szCs w:val="22"/>
              </w:rPr>
              <w:t>minimum</w:t>
            </w:r>
          </w:p>
          <w:p w14:paraId="2BD2EC5E" w14:textId="77777777" w:rsidR="001C08A5" w:rsidRDefault="00000000">
            <w:pPr>
              <w:jc w:val="center"/>
              <w:rPr>
                <w:i/>
                <w:iCs/>
                <w:sz w:val="22"/>
                <w:szCs w:val="22"/>
              </w:rPr>
            </w:pPr>
            <w:r>
              <w:rPr>
                <w:b/>
                <w:bCs/>
                <w:i/>
                <w:iCs/>
                <w:sz w:val="22"/>
                <w:szCs w:val="22"/>
              </w:rPr>
              <w:t>B- s1,d0</w:t>
            </w:r>
          </w:p>
        </w:tc>
      </w:tr>
      <w:tr w:rsidR="001C08A5" w14:paraId="36226997" w14:textId="77777777">
        <w:trPr>
          <w:trHeight w:val="90"/>
        </w:trPr>
        <w:tc>
          <w:tcPr>
            <w:tcW w:w="903" w:type="pct"/>
            <w:vMerge/>
            <w:tcBorders>
              <w:top w:val="single" w:sz="4" w:space="0" w:color="000000"/>
              <w:left w:val="single" w:sz="12" w:space="0" w:color="000000"/>
              <w:bottom w:val="single" w:sz="4" w:space="0" w:color="000000"/>
            </w:tcBorders>
            <w:vAlign w:val="center"/>
          </w:tcPr>
          <w:p w14:paraId="24A0E4E0"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4B791D45" w14:textId="77777777" w:rsidR="001C08A5" w:rsidRDefault="00000000">
            <w:pPr>
              <w:jc w:val="both"/>
              <w:rPr>
                <w:bCs/>
                <w:i/>
                <w:iCs/>
                <w:sz w:val="22"/>
                <w:szCs w:val="22"/>
              </w:rPr>
            </w:pPr>
            <w:r>
              <w:rPr>
                <w:i/>
                <w:iCs/>
                <w:sz w:val="22"/>
                <w:szCs w:val="22"/>
              </w:rPr>
              <w:t>Clădiri înalte sau foarte înalte</w:t>
            </w:r>
          </w:p>
        </w:tc>
        <w:tc>
          <w:tcPr>
            <w:tcW w:w="876" w:type="pct"/>
            <w:tcBorders>
              <w:top w:val="single" w:sz="4" w:space="0" w:color="000000"/>
              <w:bottom w:val="single" w:sz="4" w:space="0" w:color="000000"/>
              <w:right w:val="single" w:sz="12" w:space="0" w:color="000000"/>
            </w:tcBorders>
            <w:vAlign w:val="center"/>
          </w:tcPr>
          <w:p w14:paraId="0064CD3E" w14:textId="77777777" w:rsidR="001C08A5" w:rsidRDefault="00000000">
            <w:pPr>
              <w:jc w:val="center"/>
              <w:rPr>
                <w:b/>
                <w:bCs/>
                <w:i/>
                <w:iCs/>
                <w:sz w:val="22"/>
                <w:szCs w:val="22"/>
              </w:rPr>
            </w:pPr>
            <w:r>
              <w:rPr>
                <w:b/>
                <w:bCs/>
                <w:i/>
                <w:iCs/>
                <w:sz w:val="22"/>
                <w:szCs w:val="22"/>
              </w:rPr>
              <w:t>A1 sau A2-s1d0</w:t>
            </w:r>
          </w:p>
        </w:tc>
      </w:tr>
      <w:tr w:rsidR="001C08A5" w14:paraId="22B149BB" w14:textId="77777777">
        <w:trPr>
          <w:trHeight w:val="90"/>
        </w:trPr>
        <w:tc>
          <w:tcPr>
            <w:tcW w:w="903" w:type="pct"/>
            <w:vMerge/>
            <w:tcBorders>
              <w:top w:val="single" w:sz="4" w:space="0" w:color="000000"/>
              <w:left w:val="single" w:sz="12" w:space="0" w:color="000000"/>
              <w:bottom w:val="single" w:sz="12" w:space="0" w:color="000000"/>
            </w:tcBorders>
            <w:vAlign w:val="center"/>
          </w:tcPr>
          <w:p w14:paraId="613983D2"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7682FFD4" w14:textId="77777777" w:rsidR="001C08A5" w:rsidRDefault="00000000">
            <w:pPr>
              <w:jc w:val="both"/>
              <w:rPr>
                <w:i/>
                <w:iCs/>
                <w:sz w:val="22"/>
                <w:szCs w:val="22"/>
              </w:rPr>
            </w:pPr>
            <w:r>
              <w:rPr>
                <w:i/>
                <w:iCs/>
                <w:sz w:val="22"/>
                <w:szCs w:val="22"/>
              </w:rPr>
              <w:t>Centre comerciale</w:t>
            </w:r>
          </w:p>
        </w:tc>
        <w:tc>
          <w:tcPr>
            <w:tcW w:w="876" w:type="pct"/>
            <w:tcBorders>
              <w:top w:val="single" w:sz="4" w:space="0" w:color="000000"/>
              <w:bottom w:val="single" w:sz="12" w:space="0" w:color="000000"/>
              <w:right w:val="single" w:sz="12" w:space="0" w:color="000000"/>
            </w:tcBorders>
            <w:vAlign w:val="center"/>
          </w:tcPr>
          <w:p w14:paraId="1A9D617A" w14:textId="77777777" w:rsidR="001C08A5" w:rsidRDefault="00000000">
            <w:pPr>
              <w:jc w:val="center"/>
              <w:rPr>
                <w:i/>
                <w:iCs/>
                <w:sz w:val="22"/>
                <w:szCs w:val="22"/>
              </w:rPr>
            </w:pPr>
            <w:r>
              <w:rPr>
                <w:b/>
                <w:bCs/>
                <w:i/>
                <w:iCs/>
                <w:sz w:val="22"/>
                <w:szCs w:val="22"/>
              </w:rPr>
              <w:t>A1 sau A2-s1d0</w:t>
            </w:r>
          </w:p>
        </w:tc>
      </w:tr>
      <w:tr w:rsidR="001C08A5" w14:paraId="72126AB8" w14:textId="77777777">
        <w:trPr>
          <w:trHeight w:val="90"/>
        </w:trPr>
        <w:tc>
          <w:tcPr>
            <w:tcW w:w="903" w:type="pct"/>
            <w:vMerge w:val="restart"/>
            <w:tcBorders>
              <w:top w:val="single" w:sz="12" w:space="0" w:color="000000"/>
              <w:left w:val="single" w:sz="12" w:space="0" w:color="000000"/>
            </w:tcBorders>
            <w:vAlign w:val="center"/>
          </w:tcPr>
          <w:p w14:paraId="06665E8F" w14:textId="77777777" w:rsidR="001C08A5" w:rsidRDefault="00000000">
            <w:pPr>
              <w:jc w:val="center"/>
              <w:rPr>
                <w:b/>
                <w:bCs/>
                <w:i/>
                <w:iCs/>
                <w:sz w:val="22"/>
                <w:szCs w:val="22"/>
              </w:rPr>
            </w:pPr>
            <w:r>
              <w:rPr>
                <w:b/>
                <w:bCs/>
                <w:i/>
                <w:iCs/>
                <w:sz w:val="22"/>
                <w:szCs w:val="22"/>
              </w:rPr>
              <w:t>Sănătate</w:t>
            </w:r>
          </w:p>
        </w:tc>
        <w:tc>
          <w:tcPr>
            <w:tcW w:w="3221" w:type="pct"/>
            <w:tcBorders>
              <w:top w:val="single" w:sz="12" w:space="0" w:color="000000"/>
              <w:bottom w:val="single" w:sz="4" w:space="0" w:color="000000"/>
            </w:tcBorders>
            <w:vAlign w:val="center"/>
          </w:tcPr>
          <w:p w14:paraId="20463C56" w14:textId="77777777" w:rsidR="001C08A5" w:rsidRDefault="00000000">
            <w:pPr>
              <w:jc w:val="both"/>
              <w:rPr>
                <w:i/>
                <w:iCs/>
                <w:sz w:val="22"/>
                <w:szCs w:val="22"/>
              </w:rPr>
            </w:pPr>
            <w:r>
              <w:rPr>
                <w:i/>
                <w:iCs/>
                <w:sz w:val="22"/>
                <w:szCs w:val="22"/>
              </w:rPr>
              <w:t xml:space="preserve">Clădiri ≤ P+3E </w:t>
            </w:r>
            <w:r>
              <w:rPr>
                <w:b/>
                <w:bCs/>
                <w:i/>
                <w:iCs/>
                <w:sz w:val="22"/>
                <w:szCs w:val="22"/>
                <w:vertAlign w:val="superscript"/>
              </w:rPr>
              <w:t xml:space="preserve"> 2) </w:t>
            </w:r>
          </w:p>
          <w:p w14:paraId="41858569" w14:textId="77777777" w:rsidR="001C08A5" w:rsidRDefault="001C08A5">
            <w:pPr>
              <w:jc w:val="both"/>
              <w:rPr>
                <w:i/>
                <w:iCs/>
                <w:sz w:val="22"/>
                <w:szCs w:val="22"/>
              </w:rPr>
            </w:pPr>
          </w:p>
        </w:tc>
        <w:tc>
          <w:tcPr>
            <w:tcW w:w="876" w:type="pct"/>
            <w:tcBorders>
              <w:top w:val="single" w:sz="12" w:space="0" w:color="000000"/>
              <w:bottom w:val="single" w:sz="4" w:space="0" w:color="000000"/>
              <w:right w:val="single" w:sz="12" w:space="0" w:color="000000"/>
            </w:tcBorders>
          </w:tcPr>
          <w:p w14:paraId="3A5BE2A3" w14:textId="77777777" w:rsidR="001C08A5" w:rsidRDefault="00000000">
            <w:pPr>
              <w:jc w:val="center"/>
              <w:rPr>
                <w:i/>
                <w:iCs/>
                <w:sz w:val="22"/>
                <w:szCs w:val="22"/>
              </w:rPr>
            </w:pPr>
            <w:r>
              <w:rPr>
                <w:b/>
                <w:bCs/>
                <w:i/>
                <w:iCs/>
                <w:sz w:val="22"/>
                <w:szCs w:val="22"/>
              </w:rPr>
              <w:t>A1 sau A2-s1d0</w:t>
            </w:r>
          </w:p>
        </w:tc>
      </w:tr>
      <w:tr w:rsidR="001C08A5" w14:paraId="5ED58DE8" w14:textId="77777777">
        <w:trPr>
          <w:trHeight w:val="90"/>
        </w:trPr>
        <w:tc>
          <w:tcPr>
            <w:tcW w:w="903" w:type="pct"/>
            <w:vMerge/>
            <w:tcBorders>
              <w:left w:val="single" w:sz="12" w:space="0" w:color="000000"/>
            </w:tcBorders>
            <w:vAlign w:val="center"/>
          </w:tcPr>
          <w:p w14:paraId="4794F713"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38D772D6" w14:textId="77777777" w:rsidR="001C08A5" w:rsidRDefault="00000000">
            <w:pPr>
              <w:jc w:val="both"/>
              <w:rPr>
                <w:i/>
                <w:iCs/>
                <w:sz w:val="22"/>
                <w:szCs w:val="22"/>
              </w:rPr>
            </w:pPr>
            <w:r>
              <w:rPr>
                <w:i/>
                <w:iCs/>
                <w:sz w:val="22"/>
                <w:szCs w:val="22"/>
              </w:rPr>
              <w:t xml:space="preserve">Clădiri &gt; P+3E şi ≤ P+5E </w:t>
            </w:r>
            <w:r>
              <w:rPr>
                <w:b/>
                <w:bCs/>
                <w:i/>
                <w:iCs/>
                <w:sz w:val="22"/>
                <w:szCs w:val="22"/>
                <w:vertAlign w:val="superscript"/>
              </w:rPr>
              <w:t xml:space="preserve">2) </w:t>
            </w:r>
          </w:p>
          <w:p w14:paraId="3C5D5AE7" w14:textId="77777777" w:rsidR="001C08A5" w:rsidRDefault="00000000">
            <w:pPr>
              <w:jc w:val="both"/>
              <w:rPr>
                <w:i/>
                <w:iCs/>
                <w:sz w:val="22"/>
                <w:szCs w:val="22"/>
              </w:rPr>
            </w:pPr>
            <w:r>
              <w:rPr>
                <w:i/>
                <w:iCs/>
                <w:sz w:val="22"/>
                <w:szCs w:val="22"/>
              </w:rPr>
              <w:t>sau</w:t>
            </w:r>
          </w:p>
          <w:p w14:paraId="64751D9E" w14:textId="77777777" w:rsidR="001C08A5" w:rsidRDefault="00000000">
            <w:pPr>
              <w:jc w:val="both"/>
              <w:rPr>
                <w:i/>
                <w:iCs/>
                <w:sz w:val="22"/>
                <w:szCs w:val="22"/>
              </w:rPr>
            </w:pPr>
            <w:r>
              <w:rPr>
                <w:i/>
                <w:iCs/>
                <w:sz w:val="22"/>
                <w:szCs w:val="22"/>
              </w:rPr>
              <w:t xml:space="preserve">Clădiri cu până la 20 m înălţime totală (până la coamă/atic) </w:t>
            </w:r>
            <w:r>
              <w:rPr>
                <w:b/>
                <w:bCs/>
                <w:i/>
                <w:iCs/>
                <w:sz w:val="22"/>
                <w:szCs w:val="22"/>
                <w:vertAlign w:val="superscript"/>
              </w:rPr>
              <w:t xml:space="preserve">1) 2)  </w:t>
            </w:r>
          </w:p>
        </w:tc>
        <w:tc>
          <w:tcPr>
            <w:tcW w:w="876" w:type="pct"/>
            <w:tcBorders>
              <w:top w:val="single" w:sz="4" w:space="0" w:color="000000"/>
              <w:bottom w:val="single" w:sz="4" w:space="0" w:color="000000"/>
              <w:right w:val="single" w:sz="12" w:space="0" w:color="000000"/>
            </w:tcBorders>
          </w:tcPr>
          <w:p w14:paraId="7BFE1E19" w14:textId="77777777" w:rsidR="001C08A5" w:rsidRDefault="00000000">
            <w:pPr>
              <w:jc w:val="center"/>
              <w:rPr>
                <w:i/>
                <w:iCs/>
                <w:sz w:val="22"/>
                <w:szCs w:val="22"/>
              </w:rPr>
            </w:pPr>
            <w:r>
              <w:rPr>
                <w:b/>
                <w:bCs/>
                <w:i/>
                <w:iCs/>
                <w:sz w:val="22"/>
                <w:szCs w:val="22"/>
              </w:rPr>
              <w:t>A1 sau A2-s1d0</w:t>
            </w:r>
          </w:p>
        </w:tc>
      </w:tr>
      <w:tr w:rsidR="001C08A5" w14:paraId="57048F17" w14:textId="77777777">
        <w:trPr>
          <w:trHeight w:val="90"/>
        </w:trPr>
        <w:tc>
          <w:tcPr>
            <w:tcW w:w="903" w:type="pct"/>
            <w:vMerge/>
            <w:tcBorders>
              <w:left w:val="single" w:sz="12" w:space="0" w:color="000000"/>
            </w:tcBorders>
            <w:vAlign w:val="center"/>
          </w:tcPr>
          <w:p w14:paraId="41B1DB9E"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5F430A2C" w14:textId="77777777" w:rsidR="001C08A5" w:rsidRDefault="00000000">
            <w:pPr>
              <w:jc w:val="both"/>
              <w:rPr>
                <w:i/>
                <w:iCs/>
                <w:sz w:val="22"/>
                <w:szCs w:val="22"/>
              </w:rPr>
            </w:pPr>
            <w:r>
              <w:rPr>
                <w:i/>
                <w:iCs/>
                <w:sz w:val="22"/>
                <w:szCs w:val="22"/>
              </w:rPr>
              <w:t xml:space="preserve">&gt; P+5E </w:t>
            </w:r>
            <w:r>
              <w:rPr>
                <w:b/>
                <w:bCs/>
                <w:i/>
                <w:iCs/>
                <w:sz w:val="22"/>
                <w:szCs w:val="22"/>
                <w:vertAlign w:val="superscript"/>
              </w:rPr>
              <w:t xml:space="preserve">2) </w:t>
            </w:r>
          </w:p>
          <w:p w14:paraId="29EA28A8" w14:textId="77777777" w:rsidR="001C08A5" w:rsidRDefault="00000000">
            <w:pPr>
              <w:jc w:val="both"/>
              <w:rPr>
                <w:i/>
                <w:iCs/>
                <w:sz w:val="22"/>
                <w:szCs w:val="22"/>
              </w:rPr>
            </w:pPr>
            <w:r>
              <w:rPr>
                <w:i/>
                <w:iCs/>
                <w:sz w:val="22"/>
                <w:szCs w:val="22"/>
              </w:rPr>
              <w:t>sau</w:t>
            </w:r>
          </w:p>
          <w:p w14:paraId="17267360" w14:textId="77777777" w:rsidR="001C08A5" w:rsidRDefault="00000000">
            <w:pPr>
              <w:jc w:val="both"/>
              <w:rPr>
                <w:i/>
                <w:iCs/>
                <w:sz w:val="22"/>
                <w:szCs w:val="22"/>
              </w:rPr>
            </w:pPr>
            <w:r>
              <w:rPr>
                <w:i/>
                <w:iCs/>
                <w:sz w:val="22"/>
                <w:szCs w:val="22"/>
              </w:rPr>
              <w:t xml:space="preserve">Clădiri cu </w:t>
            </w:r>
            <w:r>
              <w:rPr>
                <w:bCs/>
                <w:i/>
                <w:iCs/>
                <w:sz w:val="22"/>
                <w:szCs w:val="22"/>
              </w:rPr>
              <w:t>mai mult de 20 m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 xml:space="preserve">ă (până la coamă/atic) </w:t>
            </w:r>
            <w:r>
              <w:rPr>
                <w:b/>
                <w:bCs/>
                <w:i/>
                <w:iCs/>
                <w:sz w:val="22"/>
                <w:szCs w:val="22"/>
                <w:vertAlign w:val="superscript"/>
              </w:rPr>
              <w:t xml:space="preserve">1) 2) </w:t>
            </w:r>
          </w:p>
        </w:tc>
        <w:tc>
          <w:tcPr>
            <w:tcW w:w="876" w:type="pct"/>
            <w:tcBorders>
              <w:top w:val="single" w:sz="4" w:space="0" w:color="000000"/>
              <w:bottom w:val="single" w:sz="4" w:space="0" w:color="000000"/>
              <w:right w:val="single" w:sz="12" w:space="0" w:color="000000"/>
            </w:tcBorders>
          </w:tcPr>
          <w:p w14:paraId="3924E226" w14:textId="77777777" w:rsidR="001C08A5" w:rsidRDefault="00000000">
            <w:pPr>
              <w:jc w:val="center"/>
              <w:rPr>
                <w:i/>
                <w:iCs/>
                <w:sz w:val="22"/>
                <w:szCs w:val="22"/>
              </w:rPr>
            </w:pPr>
            <w:r>
              <w:rPr>
                <w:b/>
                <w:bCs/>
                <w:i/>
                <w:iCs/>
                <w:sz w:val="22"/>
                <w:szCs w:val="22"/>
              </w:rPr>
              <w:t>A1 sau A2-s1d0</w:t>
            </w:r>
          </w:p>
        </w:tc>
      </w:tr>
      <w:tr w:rsidR="001C08A5" w14:paraId="3DC7B356" w14:textId="77777777">
        <w:trPr>
          <w:trHeight w:val="90"/>
        </w:trPr>
        <w:tc>
          <w:tcPr>
            <w:tcW w:w="903" w:type="pct"/>
            <w:vMerge/>
            <w:tcBorders>
              <w:left w:val="single" w:sz="12" w:space="0" w:color="000000"/>
              <w:bottom w:val="single" w:sz="12" w:space="0" w:color="000000"/>
            </w:tcBorders>
            <w:vAlign w:val="center"/>
          </w:tcPr>
          <w:p w14:paraId="64F2438A"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3D15EB56" w14:textId="77777777" w:rsidR="001C08A5" w:rsidRDefault="00000000">
            <w:pPr>
              <w:jc w:val="both"/>
              <w:rPr>
                <w:i/>
                <w:iCs/>
                <w:sz w:val="22"/>
                <w:szCs w:val="22"/>
              </w:rPr>
            </w:pPr>
            <w:r>
              <w:rPr>
                <w:i/>
                <w:iCs/>
                <w:sz w:val="22"/>
                <w:szCs w:val="22"/>
              </w:rPr>
              <w:t>Clădiri înalte sau foarte înalte</w:t>
            </w:r>
          </w:p>
        </w:tc>
        <w:tc>
          <w:tcPr>
            <w:tcW w:w="876" w:type="pct"/>
            <w:tcBorders>
              <w:top w:val="single" w:sz="4" w:space="0" w:color="000000"/>
              <w:bottom w:val="single" w:sz="12" w:space="0" w:color="000000"/>
              <w:right w:val="single" w:sz="12" w:space="0" w:color="000000"/>
            </w:tcBorders>
            <w:vAlign w:val="center"/>
          </w:tcPr>
          <w:p w14:paraId="0CF212CB" w14:textId="77777777" w:rsidR="001C08A5" w:rsidRDefault="00000000">
            <w:pPr>
              <w:jc w:val="center"/>
              <w:rPr>
                <w:b/>
                <w:bCs/>
                <w:i/>
                <w:iCs/>
                <w:sz w:val="22"/>
                <w:szCs w:val="22"/>
              </w:rPr>
            </w:pPr>
            <w:r>
              <w:rPr>
                <w:b/>
                <w:bCs/>
                <w:i/>
                <w:iCs/>
                <w:sz w:val="22"/>
                <w:szCs w:val="22"/>
              </w:rPr>
              <w:t>A1 sau A2-s1d0</w:t>
            </w:r>
          </w:p>
        </w:tc>
      </w:tr>
      <w:tr w:rsidR="001C08A5" w14:paraId="5B24C324" w14:textId="77777777">
        <w:trPr>
          <w:trHeight w:val="90"/>
        </w:trPr>
        <w:tc>
          <w:tcPr>
            <w:tcW w:w="903" w:type="pct"/>
            <w:vMerge w:val="restart"/>
            <w:tcBorders>
              <w:top w:val="single" w:sz="12" w:space="0" w:color="000000"/>
              <w:left w:val="single" w:sz="12" w:space="0" w:color="000000"/>
              <w:bottom w:val="single" w:sz="4" w:space="0" w:color="000000"/>
            </w:tcBorders>
            <w:vAlign w:val="center"/>
          </w:tcPr>
          <w:p w14:paraId="3137CFEC" w14:textId="77777777" w:rsidR="001C08A5" w:rsidRDefault="00000000">
            <w:pPr>
              <w:jc w:val="center"/>
              <w:rPr>
                <w:b/>
                <w:bCs/>
                <w:i/>
                <w:iCs/>
                <w:sz w:val="22"/>
                <w:szCs w:val="22"/>
              </w:rPr>
            </w:pPr>
            <w:r>
              <w:rPr>
                <w:b/>
                <w:bCs/>
                <w:i/>
                <w:iCs/>
                <w:sz w:val="22"/>
                <w:szCs w:val="22"/>
              </w:rPr>
              <w:t>Cultură</w:t>
            </w:r>
          </w:p>
        </w:tc>
        <w:tc>
          <w:tcPr>
            <w:tcW w:w="3221" w:type="pct"/>
            <w:tcBorders>
              <w:top w:val="single" w:sz="12" w:space="0" w:color="000000"/>
              <w:bottom w:val="single" w:sz="4" w:space="0" w:color="000000"/>
            </w:tcBorders>
            <w:vAlign w:val="center"/>
          </w:tcPr>
          <w:p w14:paraId="453056DE" w14:textId="77777777" w:rsidR="001C08A5" w:rsidRDefault="00000000">
            <w:pPr>
              <w:jc w:val="both"/>
              <w:rPr>
                <w:i/>
                <w:iCs/>
                <w:sz w:val="22"/>
                <w:szCs w:val="22"/>
              </w:rPr>
            </w:pPr>
            <w:r>
              <w:rPr>
                <w:i/>
                <w:iCs/>
                <w:sz w:val="22"/>
                <w:szCs w:val="22"/>
              </w:rPr>
              <w:t xml:space="preserve">Clădiri ≤ P+E </w:t>
            </w:r>
          </w:p>
        </w:tc>
        <w:tc>
          <w:tcPr>
            <w:tcW w:w="876" w:type="pct"/>
            <w:tcBorders>
              <w:top w:val="single" w:sz="12" w:space="0" w:color="000000"/>
              <w:bottom w:val="single" w:sz="4" w:space="0" w:color="000000"/>
              <w:right w:val="single" w:sz="12" w:space="0" w:color="000000"/>
            </w:tcBorders>
            <w:vAlign w:val="center"/>
          </w:tcPr>
          <w:p w14:paraId="6A815D16" w14:textId="77777777" w:rsidR="001C08A5" w:rsidRDefault="00000000">
            <w:pPr>
              <w:jc w:val="center"/>
              <w:rPr>
                <w:i/>
                <w:iCs/>
                <w:sz w:val="22"/>
                <w:szCs w:val="22"/>
              </w:rPr>
            </w:pPr>
            <w:r>
              <w:rPr>
                <w:i/>
                <w:iCs/>
                <w:sz w:val="22"/>
                <w:szCs w:val="22"/>
              </w:rPr>
              <w:t>minimum</w:t>
            </w:r>
          </w:p>
          <w:p w14:paraId="7FDCF80B" w14:textId="77777777" w:rsidR="001C08A5" w:rsidRDefault="00000000">
            <w:pPr>
              <w:jc w:val="center"/>
              <w:rPr>
                <w:i/>
                <w:iCs/>
                <w:sz w:val="22"/>
                <w:szCs w:val="22"/>
              </w:rPr>
            </w:pPr>
            <w:r>
              <w:rPr>
                <w:b/>
                <w:bCs/>
                <w:i/>
                <w:iCs/>
                <w:sz w:val="22"/>
                <w:szCs w:val="22"/>
              </w:rPr>
              <w:t>C s2,d0</w:t>
            </w:r>
          </w:p>
        </w:tc>
      </w:tr>
      <w:tr w:rsidR="001C08A5" w14:paraId="4444D9AB" w14:textId="77777777">
        <w:trPr>
          <w:trHeight w:val="90"/>
        </w:trPr>
        <w:tc>
          <w:tcPr>
            <w:tcW w:w="903" w:type="pct"/>
            <w:vMerge/>
            <w:tcBorders>
              <w:top w:val="single" w:sz="4" w:space="0" w:color="000000"/>
              <w:left w:val="single" w:sz="12" w:space="0" w:color="000000"/>
              <w:bottom w:val="single" w:sz="4" w:space="0" w:color="000000"/>
            </w:tcBorders>
            <w:vAlign w:val="center"/>
          </w:tcPr>
          <w:p w14:paraId="2C5F33BD"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5B50B692" w14:textId="77777777" w:rsidR="001C08A5" w:rsidRDefault="00000000">
            <w:pPr>
              <w:jc w:val="both"/>
              <w:rPr>
                <w:i/>
                <w:iCs/>
                <w:sz w:val="22"/>
                <w:szCs w:val="22"/>
              </w:rPr>
            </w:pPr>
            <w:r>
              <w:rPr>
                <w:i/>
                <w:iCs/>
                <w:sz w:val="22"/>
                <w:szCs w:val="22"/>
              </w:rPr>
              <w:t xml:space="preserve">Clădiri ≥ P+2E </w:t>
            </w:r>
            <w:r>
              <w:rPr>
                <w:b/>
                <w:bCs/>
                <w:i/>
                <w:iCs/>
                <w:sz w:val="22"/>
                <w:szCs w:val="22"/>
                <w:vertAlign w:val="superscript"/>
              </w:rPr>
              <w:t xml:space="preserve">2) și </w:t>
            </w:r>
            <w:r>
              <w:rPr>
                <w:i/>
                <w:iCs/>
                <w:sz w:val="22"/>
                <w:szCs w:val="22"/>
              </w:rPr>
              <w:t xml:space="preserve">≤ P+5E </w:t>
            </w:r>
            <w:r>
              <w:rPr>
                <w:b/>
                <w:bCs/>
                <w:i/>
                <w:iCs/>
                <w:sz w:val="22"/>
                <w:szCs w:val="22"/>
                <w:vertAlign w:val="superscript"/>
              </w:rPr>
              <w:t xml:space="preserve">2) </w:t>
            </w:r>
          </w:p>
          <w:p w14:paraId="4278E1DF" w14:textId="77777777" w:rsidR="001C08A5" w:rsidRDefault="00000000">
            <w:pPr>
              <w:jc w:val="both"/>
              <w:rPr>
                <w:i/>
                <w:iCs/>
                <w:sz w:val="22"/>
                <w:szCs w:val="22"/>
              </w:rPr>
            </w:pPr>
            <w:r>
              <w:rPr>
                <w:i/>
                <w:iCs/>
                <w:sz w:val="22"/>
                <w:szCs w:val="22"/>
              </w:rPr>
              <w:t>și</w:t>
            </w:r>
          </w:p>
          <w:p w14:paraId="327DF1E4" w14:textId="77777777" w:rsidR="001C08A5" w:rsidRDefault="00000000">
            <w:pPr>
              <w:jc w:val="both"/>
              <w:rPr>
                <w:i/>
                <w:iCs/>
                <w:sz w:val="22"/>
                <w:szCs w:val="22"/>
              </w:rPr>
            </w:pPr>
            <w:r>
              <w:rPr>
                <w:i/>
                <w:iCs/>
                <w:sz w:val="22"/>
                <w:szCs w:val="22"/>
              </w:rPr>
              <w:t xml:space="preserve">Clădiri cu până la 20 m înălţime totală (până la coamă/atic) </w:t>
            </w:r>
            <w:r>
              <w:rPr>
                <w:b/>
                <w:bCs/>
                <w:i/>
                <w:iCs/>
                <w:sz w:val="22"/>
                <w:szCs w:val="22"/>
                <w:vertAlign w:val="superscript"/>
              </w:rPr>
              <w:t xml:space="preserve">1) </w:t>
            </w:r>
          </w:p>
        </w:tc>
        <w:tc>
          <w:tcPr>
            <w:tcW w:w="876" w:type="pct"/>
            <w:tcBorders>
              <w:top w:val="single" w:sz="4" w:space="0" w:color="000000"/>
              <w:bottom w:val="single" w:sz="4" w:space="0" w:color="000000"/>
              <w:right w:val="single" w:sz="12" w:space="0" w:color="000000"/>
            </w:tcBorders>
            <w:vAlign w:val="center"/>
          </w:tcPr>
          <w:p w14:paraId="24B5956A" w14:textId="77777777" w:rsidR="001C08A5" w:rsidRDefault="00000000">
            <w:pPr>
              <w:jc w:val="center"/>
              <w:rPr>
                <w:i/>
                <w:iCs/>
                <w:sz w:val="22"/>
                <w:szCs w:val="22"/>
              </w:rPr>
            </w:pPr>
            <w:r>
              <w:rPr>
                <w:i/>
                <w:iCs/>
                <w:sz w:val="22"/>
                <w:szCs w:val="22"/>
              </w:rPr>
              <w:t>minimum</w:t>
            </w:r>
          </w:p>
          <w:p w14:paraId="6531D853" w14:textId="77777777" w:rsidR="001C08A5" w:rsidRDefault="00000000">
            <w:pPr>
              <w:jc w:val="center"/>
              <w:rPr>
                <w:i/>
                <w:iCs/>
                <w:sz w:val="22"/>
                <w:szCs w:val="22"/>
              </w:rPr>
            </w:pPr>
            <w:r>
              <w:rPr>
                <w:b/>
                <w:bCs/>
                <w:i/>
                <w:iCs/>
                <w:sz w:val="22"/>
                <w:szCs w:val="22"/>
              </w:rPr>
              <w:t>B s2,d0</w:t>
            </w:r>
          </w:p>
        </w:tc>
      </w:tr>
      <w:tr w:rsidR="001C08A5" w14:paraId="7FCAECF0" w14:textId="77777777">
        <w:trPr>
          <w:trHeight w:val="90"/>
        </w:trPr>
        <w:tc>
          <w:tcPr>
            <w:tcW w:w="903" w:type="pct"/>
            <w:vMerge/>
            <w:tcBorders>
              <w:top w:val="single" w:sz="4" w:space="0" w:color="000000"/>
              <w:left w:val="single" w:sz="12" w:space="0" w:color="000000"/>
              <w:bottom w:val="single" w:sz="4" w:space="0" w:color="000000"/>
            </w:tcBorders>
            <w:vAlign w:val="center"/>
          </w:tcPr>
          <w:p w14:paraId="205F5615"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047618C2" w14:textId="77777777" w:rsidR="001C08A5" w:rsidRDefault="00000000">
            <w:pPr>
              <w:jc w:val="both"/>
              <w:rPr>
                <w:i/>
                <w:iCs/>
                <w:sz w:val="22"/>
                <w:szCs w:val="22"/>
              </w:rPr>
            </w:pPr>
            <w:r>
              <w:rPr>
                <w:i/>
                <w:iCs/>
                <w:sz w:val="22"/>
                <w:szCs w:val="22"/>
              </w:rPr>
              <w:t xml:space="preserve">Clădiri &gt; P+5E </w:t>
            </w:r>
            <w:r>
              <w:rPr>
                <w:b/>
                <w:bCs/>
                <w:i/>
                <w:iCs/>
                <w:sz w:val="22"/>
                <w:szCs w:val="22"/>
                <w:vertAlign w:val="superscript"/>
              </w:rPr>
              <w:t>1) 2)</w:t>
            </w:r>
          </w:p>
          <w:p w14:paraId="41A075A3" w14:textId="77777777" w:rsidR="001C08A5" w:rsidRDefault="00000000">
            <w:pPr>
              <w:jc w:val="both"/>
              <w:rPr>
                <w:i/>
                <w:iCs/>
                <w:sz w:val="22"/>
                <w:szCs w:val="22"/>
              </w:rPr>
            </w:pPr>
            <w:r>
              <w:rPr>
                <w:i/>
                <w:iCs/>
                <w:sz w:val="22"/>
                <w:szCs w:val="22"/>
              </w:rPr>
              <w:t xml:space="preserve">sau </w:t>
            </w:r>
          </w:p>
          <w:p w14:paraId="43CDB9AB" w14:textId="77777777" w:rsidR="001C08A5" w:rsidRDefault="00000000">
            <w:pPr>
              <w:jc w:val="both"/>
              <w:rPr>
                <w:i/>
                <w:iCs/>
                <w:sz w:val="22"/>
                <w:szCs w:val="22"/>
              </w:rPr>
            </w:pPr>
            <w:r>
              <w:rPr>
                <w:i/>
                <w:iCs/>
                <w:sz w:val="22"/>
                <w:szCs w:val="22"/>
              </w:rPr>
              <w:t xml:space="preserve">Clădiri cu </w:t>
            </w:r>
            <w:r>
              <w:rPr>
                <w:bCs/>
                <w:i/>
                <w:iCs/>
                <w:sz w:val="22"/>
                <w:szCs w:val="22"/>
              </w:rPr>
              <w:t>mai mult de 20 m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ă (până la coamă/atic)</w:t>
            </w:r>
            <w:r>
              <w:rPr>
                <w:b/>
                <w:bCs/>
                <w:i/>
                <w:iCs/>
                <w:sz w:val="22"/>
                <w:szCs w:val="22"/>
                <w:vertAlign w:val="superscript"/>
              </w:rPr>
              <w:t xml:space="preserve">1) 2) </w:t>
            </w:r>
          </w:p>
        </w:tc>
        <w:tc>
          <w:tcPr>
            <w:tcW w:w="876" w:type="pct"/>
            <w:tcBorders>
              <w:top w:val="single" w:sz="4" w:space="0" w:color="000000"/>
              <w:bottom w:val="single" w:sz="4" w:space="0" w:color="000000"/>
              <w:right w:val="single" w:sz="12" w:space="0" w:color="000000"/>
            </w:tcBorders>
            <w:vAlign w:val="center"/>
          </w:tcPr>
          <w:p w14:paraId="4658AB97" w14:textId="77777777" w:rsidR="001C08A5" w:rsidRDefault="00000000">
            <w:pPr>
              <w:jc w:val="center"/>
              <w:rPr>
                <w:i/>
                <w:iCs/>
                <w:sz w:val="22"/>
                <w:szCs w:val="22"/>
              </w:rPr>
            </w:pPr>
            <w:r>
              <w:rPr>
                <w:i/>
                <w:iCs/>
                <w:sz w:val="22"/>
                <w:szCs w:val="22"/>
              </w:rPr>
              <w:t>minimum</w:t>
            </w:r>
          </w:p>
          <w:p w14:paraId="52BB8ADC" w14:textId="77777777" w:rsidR="001C08A5" w:rsidRDefault="00000000">
            <w:pPr>
              <w:jc w:val="center"/>
              <w:rPr>
                <w:i/>
                <w:iCs/>
                <w:sz w:val="22"/>
                <w:szCs w:val="22"/>
              </w:rPr>
            </w:pPr>
            <w:r>
              <w:rPr>
                <w:b/>
                <w:bCs/>
                <w:i/>
                <w:iCs/>
                <w:sz w:val="22"/>
                <w:szCs w:val="22"/>
              </w:rPr>
              <w:t>B s1,d0</w:t>
            </w:r>
          </w:p>
        </w:tc>
      </w:tr>
      <w:tr w:rsidR="001C08A5" w14:paraId="5212A15C" w14:textId="77777777">
        <w:trPr>
          <w:trHeight w:val="90"/>
        </w:trPr>
        <w:tc>
          <w:tcPr>
            <w:tcW w:w="903" w:type="pct"/>
            <w:vMerge/>
            <w:tcBorders>
              <w:top w:val="single" w:sz="4" w:space="0" w:color="000000"/>
              <w:left w:val="single" w:sz="12" w:space="0" w:color="000000"/>
              <w:bottom w:val="single" w:sz="4" w:space="0" w:color="000000"/>
            </w:tcBorders>
            <w:vAlign w:val="center"/>
          </w:tcPr>
          <w:p w14:paraId="26F0BD48"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7C9A4400" w14:textId="77777777" w:rsidR="001C08A5" w:rsidRDefault="00000000">
            <w:pPr>
              <w:jc w:val="both"/>
              <w:rPr>
                <w:i/>
                <w:iCs/>
                <w:sz w:val="22"/>
                <w:szCs w:val="22"/>
              </w:rPr>
            </w:pPr>
            <w:r>
              <w:rPr>
                <w:i/>
                <w:iCs/>
                <w:sz w:val="22"/>
                <w:szCs w:val="22"/>
              </w:rPr>
              <w:t>Clădiri înalte sau foarte înalte</w:t>
            </w:r>
          </w:p>
        </w:tc>
        <w:tc>
          <w:tcPr>
            <w:tcW w:w="876" w:type="pct"/>
            <w:tcBorders>
              <w:top w:val="single" w:sz="4" w:space="0" w:color="000000"/>
              <w:bottom w:val="single" w:sz="4" w:space="0" w:color="000000"/>
              <w:right w:val="single" w:sz="12" w:space="0" w:color="000000"/>
            </w:tcBorders>
            <w:vAlign w:val="center"/>
          </w:tcPr>
          <w:p w14:paraId="452FB3D4" w14:textId="77777777" w:rsidR="001C08A5" w:rsidRDefault="00000000">
            <w:pPr>
              <w:jc w:val="center"/>
              <w:rPr>
                <w:b/>
                <w:bCs/>
                <w:i/>
                <w:iCs/>
                <w:sz w:val="22"/>
                <w:szCs w:val="22"/>
              </w:rPr>
            </w:pPr>
            <w:r>
              <w:rPr>
                <w:b/>
                <w:bCs/>
                <w:i/>
                <w:iCs/>
                <w:sz w:val="22"/>
                <w:szCs w:val="22"/>
              </w:rPr>
              <w:t>A1 sau A2-s1d0</w:t>
            </w:r>
          </w:p>
        </w:tc>
      </w:tr>
      <w:tr w:rsidR="001C08A5" w14:paraId="4576595A" w14:textId="77777777">
        <w:trPr>
          <w:trHeight w:val="90"/>
        </w:trPr>
        <w:tc>
          <w:tcPr>
            <w:tcW w:w="903" w:type="pct"/>
            <w:vMerge/>
            <w:tcBorders>
              <w:top w:val="single" w:sz="4" w:space="0" w:color="000000"/>
              <w:left w:val="single" w:sz="12" w:space="0" w:color="000000"/>
              <w:bottom w:val="single" w:sz="12" w:space="0" w:color="000000"/>
            </w:tcBorders>
            <w:vAlign w:val="center"/>
          </w:tcPr>
          <w:p w14:paraId="2FC51BFE"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37CFA362" w14:textId="77777777" w:rsidR="001C08A5" w:rsidRDefault="00000000">
            <w:pPr>
              <w:jc w:val="both"/>
              <w:rPr>
                <w:i/>
                <w:iCs/>
                <w:sz w:val="22"/>
                <w:szCs w:val="22"/>
              </w:rPr>
            </w:pPr>
            <w:r>
              <w:rPr>
                <w:i/>
                <w:iCs/>
                <w:sz w:val="22"/>
                <w:szCs w:val="22"/>
              </w:rPr>
              <w:t>Clădiri care adapostesc valori deosebite (de patrimoniu)</w:t>
            </w:r>
          </w:p>
        </w:tc>
        <w:tc>
          <w:tcPr>
            <w:tcW w:w="876" w:type="pct"/>
            <w:tcBorders>
              <w:top w:val="single" w:sz="4" w:space="0" w:color="000000"/>
              <w:bottom w:val="single" w:sz="12" w:space="0" w:color="000000"/>
              <w:right w:val="single" w:sz="12" w:space="0" w:color="000000"/>
            </w:tcBorders>
            <w:vAlign w:val="center"/>
          </w:tcPr>
          <w:p w14:paraId="33BBC4B6" w14:textId="77777777" w:rsidR="001C08A5" w:rsidRDefault="00000000">
            <w:pPr>
              <w:jc w:val="center"/>
              <w:rPr>
                <w:b/>
                <w:bCs/>
                <w:i/>
                <w:iCs/>
                <w:sz w:val="22"/>
                <w:szCs w:val="22"/>
              </w:rPr>
            </w:pPr>
            <w:r>
              <w:rPr>
                <w:b/>
                <w:bCs/>
                <w:i/>
                <w:iCs/>
                <w:sz w:val="22"/>
                <w:szCs w:val="22"/>
              </w:rPr>
              <w:t>A1 sau A2-s1d0</w:t>
            </w:r>
          </w:p>
        </w:tc>
      </w:tr>
      <w:tr w:rsidR="001C08A5" w14:paraId="64764DF7" w14:textId="77777777">
        <w:trPr>
          <w:trHeight w:val="90"/>
        </w:trPr>
        <w:tc>
          <w:tcPr>
            <w:tcW w:w="903" w:type="pct"/>
            <w:vMerge w:val="restart"/>
            <w:tcBorders>
              <w:top w:val="single" w:sz="12" w:space="0" w:color="000000"/>
              <w:left w:val="single" w:sz="12" w:space="0" w:color="000000"/>
            </w:tcBorders>
            <w:vAlign w:val="center"/>
          </w:tcPr>
          <w:p w14:paraId="684EA65D" w14:textId="77777777" w:rsidR="001C08A5" w:rsidRDefault="001C08A5">
            <w:pPr>
              <w:jc w:val="center"/>
              <w:rPr>
                <w:b/>
                <w:bCs/>
                <w:i/>
                <w:iCs/>
                <w:sz w:val="22"/>
                <w:szCs w:val="22"/>
              </w:rPr>
            </w:pPr>
          </w:p>
          <w:p w14:paraId="2C51215E" w14:textId="77777777" w:rsidR="001C08A5" w:rsidRDefault="00000000">
            <w:pPr>
              <w:jc w:val="center"/>
              <w:rPr>
                <w:b/>
                <w:bCs/>
                <w:i/>
                <w:iCs/>
                <w:sz w:val="22"/>
                <w:szCs w:val="22"/>
              </w:rPr>
            </w:pPr>
            <w:r>
              <w:rPr>
                <w:b/>
                <w:bCs/>
                <w:i/>
                <w:iCs/>
                <w:sz w:val="22"/>
                <w:szCs w:val="22"/>
              </w:rPr>
              <w:t>Învăţământ</w:t>
            </w:r>
          </w:p>
        </w:tc>
        <w:tc>
          <w:tcPr>
            <w:tcW w:w="3221" w:type="pct"/>
            <w:tcBorders>
              <w:top w:val="single" w:sz="12" w:space="0" w:color="000000"/>
              <w:bottom w:val="single" w:sz="4" w:space="0" w:color="000000"/>
            </w:tcBorders>
            <w:vAlign w:val="center"/>
          </w:tcPr>
          <w:p w14:paraId="3F79D5FC" w14:textId="77777777" w:rsidR="001C08A5" w:rsidRDefault="00000000">
            <w:pPr>
              <w:jc w:val="both"/>
              <w:rPr>
                <w:i/>
                <w:iCs/>
                <w:sz w:val="22"/>
                <w:szCs w:val="22"/>
              </w:rPr>
            </w:pPr>
            <w:r>
              <w:rPr>
                <w:i/>
                <w:iCs/>
                <w:sz w:val="22"/>
                <w:szCs w:val="22"/>
              </w:rPr>
              <w:t>Clădiri Ppentru învăţămînt preşcolar, primar și secundar</w:t>
            </w:r>
          </w:p>
          <w:p w14:paraId="4012FF49" w14:textId="77777777" w:rsidR="001C08A5" w:rsidRDefault="001C08A5">
            <w:pPr>
              <w:jc w:val="both"/>
              <w:rPr>
                <w:i/>
                <w:iCs/>
                <w:sz w:val="22"/>
                <w:szCs w:val="22"/>
              </w:rPr>
            </w:pPr>
          </w:p>
        </w:tc>
        <w:tc>
          <w:tcPr>
            <w:tcW w:w="876" w:type="pct"/>
            <w:tcBorders>
              <w:top w:val="single" w:sz="12" w:space="0" w:color="000000"/>
              <w:bottom w:val="single" w:sz="4" w:space="0" w:color="000000"/>
              <w:right w:val="single" w:sz="12" w:space="0" w:color="000000"/>
            </w:tcBorders>
          </w:tcPr>
          <w:p w14:paraId="33D86C16" w14:textId="77777777" w:rsidR="001C08A5" w:rsidRDefault="00000000">
            <w:pPr>
              <w:jc w:val="center"/>
              <w:rPr>
                <w:i/>
                <w:iCs/>
                <w:sz w:val="22"/>
                <w:szCs w:val="22"/>
              </w:rPr>
            </w:pPr>
            <w:r>
              <w:rPr>
                <w:i/>
                <w:iCs/>
                <w:sz w:val="22"/>
                <w:szCs w:val="22"/>
              </w:rPr>
              <w:t>minimum</w:t>
            </w:r>
          </w:p>
          <w:p w14:paraId="10B7564C" w14:textId="77777777" w:rsidR="001C08A5" w:rsidRDefault="00000000">
            <w:pPr>
              <w:jc w:val="center"/>
              <w:rPr>
                <w:i/>
                <w:iCs/>
                <w:sz w:val="22"/>
                <w:szCs w:val="22"/>
              </w:rPr>
            </w:pPr>
            <w:r>
              <w:rPr>
                <w:b/>
                <w:bCs/>
                <w:i/>
                <w:iCs/>
                <w:sz w:val="22"/>
                <w:szCs w:val="22"/>
              </w:rPr>
              <w:t>B s1,d0</w:t>
            </w:r>
          </w:p>
        </w:tc>
      </w:tr>
      <w:tr w:rsidR="001C08A5" w14:paraId="52660E42" w14:textId="77777777">
        <w:trPr>
          <w:trHeight w:val="530"/>
        </w:trPr>
        <w:tc>
          <w:tcPr>
            <w:tcW w:w="903" w:type="pct"/>
            <w:vMerge/>
            <w:tcBorders>
              <w:left w:val="single" w:sz="12" w:space="0" w:color="000000"/>
            </w:tcBorders>
            <w:vAlign w:val="center"/>
          </w:tcPr>
          <w:p w14:paraId="2999EAF4" w14:textId="77777777" w:rsidR="001C08A5" w:rsidRDefault="001C08A5">
            <w:pPr>
              <w:jc w:val="center"/>
              <w:rPr>
                <w:b/>
                <w:bCs/>
                <w:i/>
                <w:iCs/>
                <w:sz w:val="22"/>
                <w:szCs w:val="22"/>
              </w:rPr>
            </w:pPr>
          </w:p>
        </w:tc>
        <w:tc>
          <w:tcPr>
            <w:tcW w:w="3221" w:type="pct"/>
            <w:tcBorders>
              <w:top w:val="single" w:sz="4" w:space="0" w:color="000000"/>
            </w:tcBorders>
            <w:vAlign w:val="center"/>
          </w:tcPr>
          <w:p w14:paraId="10D74D8A" w14:textId="77777777" w:rsidR="001C08A5" w:rsidRDefault="00000000">
            <w:pPr>
              <w:jc w:val="both"/>
              <w:rPr>
                <w:i/>
                <w:iCs/>
                <w:sz w:val="22"/>
                <w:szCs w:val="22"/>
              </w:rPr>
            </w:pPr>
            <w:r>
              <w:rPr>
                <w:i/>
                <w:iCs/>
                <w:sz w:val="22"/>
                <w:szCs w:val="22"/>
              </w:rPr>
              <w:t>Clădiri Ppentru învăţămînt terţiar, nonuniversitar și universitar</w:t>
            </w:r>
          </w:p>
        </w:tc>
        <w:tc>
          <w:tcPr>
            <w:tcW w:w="876" w:type="pct"/>
            <w:tcBorders>
              <w:top w:val="single" w:sz="4" w:space="0" w:color="000000"/>
              <w:bottom w:val="single" w:sz="4" w:space="0" w:color="000000"/>
              <w:right w:val="single" w:sz="12" w:space="0" w:color="000000"/>
            </w:tcBorders>
          </w:tcPr>
          <w:p w14:paraId="2EC651C5" w14:textId="77777777" w:rsidR="001C08A5" w:rsidRDefault="00000000">
            <w:pPr>
              <w:jc w:val="center"/>
              <w:rPr>
                <w:i/>
                <w:iCs/>
                <w:sz w:val="22"/>
                <w:szCs w:val="22"/>
              </w:rPr>
            </w:pPr>
            <w:r>
              <w:rPr>
                <w:i/>
                <w:iCs/>
                <w:sz w:val="22"/>
                <w:szCs w:val="22"/>
              </w:rPr>
              <w:t>minimum</w:t>
            </w:r>
          </w:p>
          <w:p w14:paraId="093BB39C" w14:textId="77777777" w:rsidR="001C08A5" w:rsidRDefault="00000000">
            <w:pPr>
              <w:jc w:val="center"/>
              <w:rPr>
                <w:i/>
                <w:iCs/>
                <w:sz w:val="22"/>
                <w:szCs w:val="22"/>
              </w:rPr>
            </w:pPr>
            <w:r>
              <w:rPr>
                <w:b/>
                <w:bCs/>
                <w:i/>
                <w:iCs/>
                <w:sz w:val="22"/>
                <w:szCs w:val="22"/>
              </w:rPr>
              <w:t>B s3,d0</w:t>
            </w:r>
          </w:p>
        </w:tc>
      </w:tr>
      <w:tr w:rsidR="001C08A5" w14:paraId="16F20B48" w14:textId="77777777">
        <w:trPr>
          <w:trHeight w:val="530"/>
        </w:trPr>
        <w:tc>
          <w:tcPr>
            <w:tcW w:w="903" w:type="pct"/>
            <w:vMerge/>
            <w:tcBorders>
              <w:left w:val="single" w:sz="12" w:space="0" w:color="000000"/>
            </w:tcBorders>
            <w:vAlign w:val="center"/>
          </w:tcPr>
          <w:p w14:paraId="303DE8B9" w14:textId="77777777" w:rsidR="001C08A5" w:rsidRDefault="001C08A5">
            <w:pPr>
              <w:jc w:val="center"/>
              <w:rPr>
                <w:b/>
                <w:bCs/>
                <w:i/>
                <w:iCs/>
                <w:sz w:val="22"/>
                <w:szCs w:val="22"/>
              </w:rPr>
            </w:pPr>
          </w:p>
        </w:tc>
        <w:tc>
          <w:tcPr>
            <w:tcW w:w="3221" w:type="pct"/>
            <w:tcBorders>
              <w:top w:val="single" w:sz="4" w:space="0" w:color="000000"/>
            </w:tcBorders>
            <w:vAlign w:val="center"/>
          </w:tcPr>
          <w:p w14:paraId="5215C684" w14:textId="77777777" w:rsidR="001C08A5" w:rsidRDefault="00000000">
            <w:pPr>
              <w:jc w:val="both"/>
              <w:rPr>
                <w:i/>
                <w:iCs/>
                <w:sz w:val="22"/>
                <w:szCs w:val="22"/>
              </w:rPr>
            </w:pPr>
            <w:r>
              <w:rPr>
                <w:i/>
                <w:iCs/>
                <w:sz w:val="22"/>
                <w:szCs w:val="22"/>
              </w:rPr>
              <w:t>Clădiri P+E pentru învăţămînt preşcolar, primar și secundar</w:t>
            </w:r>
          </w:p>
          <w:p w14:paraId="286D9078" w14:textId="77777777" w:rsidR="001C08A5" w:rsidRDefault="001C08A5">
            <w:pPr>
              <w:jc w:val="both"/>
              <w:rPr>
                <w:i/>
                <w:iCs/>
                <w:sz w:val="22"/>
                <w:szCs w:val="22"/>
              </w:rPr>
            </w:pPr>
          </w:p>
        </w:tc>
        <w:tc>
          <w:tcPr>
            <w:tcW w:w="876" w:type="pct"/>
            <w:tcBorders>
              <w:top w:val="single" w:sz="4" w:space="0" w:color="000000"/>
              <w:bottom w:val="single" w:sz="4" w:space="0" w:color="000000"/>
              <w:right w:val="single" w:sz="12" w:space="0" w:color="000000"/>
            </w:tcBorders>
          </w:tcPr>
          <w:p w14:paraId="0E4C0F42" w14:textId="77777777" w:rsidR="001C08A5" w:rsidRDefault="00000000">
            <w:pPr>
              <w:jc w:val="center"/>
              <w:rPr>
                <w:i/>
                <w:iCs/>
                <w:sz w:val="22"/>
                <w:szCs w:val="22"/>
              </w:rPr>
            </w:pPr>
            <w:r>
              <w:rPr>
                <w:b/>
                <w:bCs/>
                <w:i/>
                <w:iCs/>
                <w:sz w:val="22"/>
                <w:szCs w:val="22"/>
              </w:rPr>
              <w:t>A1 sau A2-s1d0</w:t>
            </w:r>
          </w:p>
        </w:tc>
      </w:tr>
      <w:tr w:rsidR="001C08A5" w14:paraId="0659B25F" w14:textId="77777777">
        <w:trPr>
          <w:trHeight w:val="530"/>
        </w:trPr>
        <w:tc>
          <w:tcPr>
            <w:tcW w:w="903" w:type="pct"/>
            <w:vMerge/>
            <w:tcBorders>
              <w:left w:val="single" w:sz="12" w:space="0" w:color="000000"/>
            </w:tcBorders>
            <w:vAlign w:val="center"/>
          </w:tcPr>
          <w:p w14:paraId="5EA77463" w14:textId="77777777" w:rsidR="001C08A5" w:rsidRDefault="001C08A5">
            <w:pPr>
              <w:jc w:val="center"/>
              <w:rPr>
                <w:b/>
                <w:bCs/>
                <w:i/>
                <w:iCs/>
                <w:sz w:val="22"/>
                <w:szCs w:val="22"/>
              </w:rPr>
            </w:pPr>
          </w:p>
        </w:tc>
        <w:tc>
          <w:tcPr>
            <w:tcW w:w="3221" w:type="pct"/>
            <w:tcBorders>
              <w:top w:val="single" w:sz="4" w:space="0" w:color="000000"/>
            </w:tcBorders>
            <w:vAlign w:val="center"/>
          </w:tcPr>
          <w:p w14:paraId="5928F2BF" w14:textId="77777777" w:rsidR="001C08A5" w:rsidRDefault="00000000">
            <w:pPr>
              <w:jc w:val="both"/>
              <w:rPr>
                <w:i/>
                <w:iCs/>
                <w:sz w:val="22"/>
                <w:szCs w:val="22"/>
              </w:rPr>
            </w:pPr>
            <w:r>
              <w:rPr>
                <w:i/>
                <w:iCs/>
                <w:sz w:val="22"/>
                <w:szCs w:val="22"/>
              </w:rPr>
              <w:t>Clădiri P+Epentru învăţămînt terţiar, nonuniversitar și universitar</w:t>
            </w:r>
          </w:p>
        </w:tc>
        <w:tc>
          <w:tcPr>
            <w:tcW w:w="876" w:type="pct"/>
            <w:tcBorders>
              <w:top w:val="single" w:sz="4" w:space="0" w:color="000000"/>
              <w:bottom w:val="single" w:sz="4" w:space="0" w:color="000000"/>
              <w:right w:val="single" w:sz="12" w:space="0" w:color="000000"/>
            </w:tcBorders>
          </w:tcPr>
          <w:p w14:paraId="12F58219" w14:textId="77777777" w:rsidR="001C08A5" w:rsidRDefault="00000000">
            <w:pPr>
              <w:jc w:val="center"/>
              <w:rPr>
                <w:i/>
                <w:iCs/>
                <w:sz w:val="22"/>
                <w:szCs w:val="22"/>
              </w:rPr>
            </w:pPr>
            <w:r>
              <w:rPr>
                <w:i/>
                <w:iCs/>
                <w:sz w:val="22"/>
                <w:szCs w:val="22"/>
              </w:rPr>
              <w:t>minimum</w:t>
            </w:r>
          </w:p>
          <w:p w14:paraId="6F8CC475" w14:textId="77777777" w:rsidR="001C08A5" w:rsidRDefault="00000000">
            <w:pPr>
              <w:jc w:val="center"/>
              <w:rPr>
                <w:i/>
                <w:iCs/>
                <w:sz w:val="22"/>
                <w:szCs w:val="22"/>
              </w:rPr>
            </w:pPr>
            <w:r>
              <w:rPr>
                <w:b/>
                <w:bCs/>
                <w:i/>
                <w:iCs/>
                <w:sz w:val="22"/>
                <w:szCs w:val="22"/>
              </w:rPr>
              <w:t>B s1,d0</w:t>
            </w:r>
          </w:p>
        </w:tc>
      </w:tr>
      <w:tr w:rsidR="001C08A5" w14:paraId="576F9D67" w14:textId="77777777">
        <w:trPr>
          <w:trHeight w:val="90"/>
        </w:trPr>
        <w:tc>
          <w:tcPr>
            <w:tcW w:w="903" w:type="pct"/>
            <w:vMerge/>
            <w:tcBorders>
              <w:left w:val="single" w:sz="12" w:space="0" w:color="000000"/>
            </w:tcBorders>
            <w:vAlign w:val="center"/>
          </w:tcPr>
          <w:p w14:paraId="3A1C8F59"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74B422F2" w14:textId="77777777" w:rsidR="001C08A5" w:rsidRDefault="00000000">
            <w:pPr>
              <w:jc w:val="both"/>
              <w:rPr>
                <w:b/>
                <w:bCs/>
                <w:i/>
                <w:iCs/>
                <w:sz w:val="22"/>
                <w:szCs w:val="22"/>
                <w:vertAlign w:val="superscript"/>
              </w:rPr>
            </w:pPr>
            <w:r>
              <w:rPr>
                <w:i/>
                <w:iCs/>
                <w:sz w:val="22"/>
                <w:szCs w:val="22"/>
              </w:rPr>
              <w:t xml:space="preserve">Clădiri ≥ P+2E (sau ≤ 8 m) şi ≤ P+5E </w:t>
            </w:r>
            <w:r>
              <w:rPr>
                <w:b/>
                <w:bCs/>
                <w:i/>
                <w:iCs/>
                <w:sz w:val="22"/>
                <w:szCs w:val="22"/>
                <w:vertAlign w:val="superscript"/>
              </w:rPr>
              <w:t xml:space="preserve">2) </w:t>
            </w:r>
          </w:p>
          <w:p w14:paraId="3DAD810B" w14:textId="77777777" w:rsidR="001C08A5" w:rsidRDefault="00000000">
            <w:pPr>
              <w:jc w:val="both"/>
              <w:rPr>
                <w:i/>
                <w:iCs/>
                <w:sz w:val="22"/>
                <w:szCs w:val="22"/>
              </w:rPr>
            </w:pPr>
            <w:r>
              <w:rPr>
                <w:i/>
                <w:iCs/>
                <w:sz w:val="22"/>
                <w:szCs w:val="22"/>
              </w:rPr>
              <w:t>Şi</w:t>
            </w:r>
          </w:p>
          <w:p w14:paraId="443C68D3" w14:textId="77777777" w:rsidR="001C08A5" w:rsidRDefault="00000000">
            <w:pPr>
              <w:jc w:val="both"/>
              <w:rPr>
                <w:i/>
                <w:iCs/>
                <w:sz w:val="22"/>
                <w:szCs w:val="22"/>
              </w:rPr>
            </w:pPr>
            <w:r>
              <w:rPr>
                <w:i/>
                <w:iCs/>
                <w:sz w:val="22"/>
                <w:szCs w:val="22"/>
              </w:rPr>
              <w:t xml:space="preserve">Clădiri cu până la 20 m înălţime totală (până la coamă/atic) </w:t>
            </w:r>
            <w:r>
              <w:rPr>
                <w:b/>
                <w:bCs/>
                <w:i/>
                <w:iCs/>
                <w:sz w:val="22"/>
                <w:szCs w:val="22"/>
                <w:vertAlign w:val="superscript"/>
              </w:rPr>
              <w:t xml:space="preserve">1)  </w:t>
            </w:r>
          </w:p>
        </w:tc>
        <w:tc>
          <w:tcPr>
            <w:tcW w:w="876" w:type="pct"/>
            <w:tcBorders>
              <w:top w:val="single" w:sz="4" w:space="0" w:color="000000"/>
              <w:bottom w:val="single" w:sz="4" w:space="0" w:color="000000"/>
              <w:right w:val="single" w:sz="12" w:space="0" w:color="000000"/>
            </w:tcBorders>
          </w:tcPr>
          <w:p w14:paraId="5C8E3AB8" w14:textId="77777777" w:rsidR="001C08A5" w:rsidRDefault="00000000">
            <w:pPr>
              <w:jc w:val="center"/>
              <w:rPr>
                <w:i/>
                <w:iCs/>
                <w:sz w:val="22"/>
                <w:szCs w:val="22"/>
              </w:rPr>
            </w:pPr>
            <w:r>
              <w:rPr>
                <w:b/>
                <w:bCs/>
                <w:i/>
                <w:iCs/>
                <w:sz w:val="22"/>
                <w:szCs w:val="22"/>
              </w:rPr>
              <w:t>A1 sau A2-s1d0</w:t>
            </w:r>
          </w:p>
        </w:tc>
      </w:tr>
      <w:tr w:rsidR="001C08A5" w14:paraId="3417A6DE" w14:textId="77777777">
        <w:trPr>
          <w:trHeight w:val="90"/>
        </w:trPr>
        <w:tc>
          <w:tcPr>
            <w:tcW w:w="903" w:type="pct"/>
            <w:vMerge/>
            <w:tcBorders>
              <w:left w:val="single" w:sz="12" w:space="0" w:color="000000"/>
            </w:tcBorders>
            <w:vAlign w:val="center"/>
          </w:tcPr>
          <w:p w14:paraId="6FF65C38"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593CCE72" w14:textId="77777777" w:rsidR="001C08A5" w:rsidRDefault="00000000">
            <w:pPr>
              <w:jc w:val="both"/>
              <w:rPr>
                <w:i/>
                <w:iCs/>
                <w:sz w:val="22"/>
                <w:szCs w:val="22"/>
              </w:rPr>
            </w:pPr>
            <w:r>
              <w:rPr>
                <w:i/>
                <w:iCs/>
                <w:sz w:val="22"/>
                <w:szCs w:val="22"/>
              </w:rPr>
              <w:t>Clădiri &gt; P+5E</w:t>
            </w:r>
            <w:r>
              <w:rPr>
                <w:b/>
                <w:bCs/>
                <w:i/>
                <w:iCs/>
                <w:sz w:val="22"/>
                <w:szCs w:val="22"/>
                <w:vertAlign w:val="superscript"/>
              </w:rPr>
              <w:t xml:space="preserve"> 2)</w:t>
            </w:r>
          </w:p>
          <w:p w14:paraId="0CC8E03B" w14:textId="77777777" w:rsidR="001C08A5" w:rsidRDefault="00000000">
            <w:pPr>
              <w:jc w:val="both"/>
              <w:rPr>
                <w:i/>
                <w:iCs/>
                <w:sz w:val="22"/>
                <w:szCs w:val="22"/>
              </w:rPr>
            </w:pPr>
            <w:r>
              <w:rPr>
                <w:i/>
                <w:iCs/>
                <w:sz w:val="22"/>
                <w:szCs w:val="22"/>
              </w:rPr>
              <w:t xml:space="preserve">sau </w:t>
            </w:r>
          </w:p>
          <w:p w14:paraId="114EF1BB" w14:textId="77777777" w:rsidR="001C08A5" w:rsidRDefault="00000000">
            <w:pPr>
              <w:jc w:val="both"/>
              <w:rPr>
                <w:i/>
                <w:iCs/>
                <w:sz w:val="22"/>
                <w:szCs w:val="22"/>
              </w:rPr>
            </w:pPr>
            <w:r>
              <w:rPr>
                <w:i/>
                <w:iCs/>
                <w:sz w:val="22"/>
                <w:szCs w:val="22"/>
              </w:rPr>
              <w:t xml:space="preserve">Clădiri cu </w:t>
            </w:r>
            <w:r>
              <w:rPr>
                <w:bCs/>
                <w:i/>
                <w:iCs/>
                <w:sz w:val="22"/>
                <w:szCs w:val="22"/>
              </w:rPr>
              <w:t>mai mult de 20 m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ă (până la coamă/atic)</w:t>
            </w:r>
            <w:r>
              <w:rPr>
                <w:b/>
                <w:bCs/>
                <w:i/>
                <w:iCs/>
                <w:sz w:val="22"/>
                <w:szCs w:val="22"/>
                <w:vertAlign w:val="superscript"/>
              </w:rPr>
              <w:t xml:space="preserve">1) 2) </w:t>
            </w:r>
          </w:p>
        </w:tc>
        <w:tc>
          <w:tcPr>
            <w:tcW w:w="876" w:type="pct"/>
            <w:tcBorders>
              <w:top w:val="single" w:sz="4" w:space="0" w:color="000000"/>
              <w:bottom w:val="single" w:sz="4" w:space="0" w:color="000000"/>
              <w:right w:val="single" w:sz="12" w:space="0" w:color="000000"/>
            </w:tcBorders>
          </w:tcPr>
          <w:p w14:paraId="1C9C528D" w14:textId="77777777" w:rsidR="001C08A5" w:rsidRDefault="00000000">
            <w:pPr>
              <w:jc w:val="center"/>
              <w:rPr>
                <w:i/>
                <w:iCs/>
                <w:sz w:val="22"/>
                <w:szCs w:val="22"/>
              </w:rPr>
            </w:pPr>
            <w:r>
              <w:rPr>
                <w:b/>
                <w:bCs/>
                <w:i/>
                <w:iCs/>
                <w:sz w:val="22"/>
                <w:szCs w:val="22"/>
              </w:rPr>
              <w:t>A1 sau A2-s1d0</w:t>
            </w:r>
          </w:p>
        </w:tc>
      </w:tr>
      <w:tr w:rsidR="001C08A5" w14:paraId="72D2970D" w14:textId="77777777">
        <w:trPr>
          <w:trHeight w:val="90"/>
        </w:trPr>
        <w:tc>
          <w:tcPr>
            <w:tcW w:w="903" w:type="pct"/>
            <w:vMerge/>
            <w:tcBorders>
              <w:left w:val="single" w:sz="12" w:space="0" w:color="000000"/>
              <w:bottom w:val="single" w:sz="12" w:space="0" w:color="000000"/>
            </w:tcBorders>
            <w:vAlign w:val="center"/>
          </w:tcPr>
          <w:p w14:paraId="0A695C9B"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07126481" w14:textId="77777777" w:rsidR="001C08A5" w:rsidRDefault="00000000">
            <w:pPr>
              <w:jc w:val="both"/>
              <w:rPr>
                <w:i/>
                <w:iCs/>
                <w:sz w:val="22"/>
                <w:szCs w:val="22"/>
              </w:rPr>
            </w:pPr>
            <w:r>
              <w:rPr>
                <w:i/>
                <w:iCs/>
                <w:sz w:val="22"/>
                <w:szCs w:val="22"/>
              </w:rPr>
              <w:t>Clădiri înalte sau foarte înalte</w:t>
            </w:r>
          </w:p>
        </w:tc>
        <w:tc>
          <w:tcPr>
            <w:tcW w:w="876" w:type="pct"/>
            <w:tcBorders>
              <w:top w:val="single" w:sz="4" w:space="0" w:color="000000"/>
              <w:bottom w:val="single" w:sz="12" w:space="0" w:color="000000"/>
              <w:right w:val="single" w:sz="12" w:space="0" w:color="000000"/>
            </w:tcBorders>
            <w:vAlign w:val="center"/>
          </w:tcPr>
          <w:p w14:paraId="67A65332" w14:textId="77777777" w:rsidR="001C08A5" w:rsidRDefault="00000000">
            <w:pPr>
              <w:jc w:val="center"/>
              <w:rPr>
                <w:b/>
                <w:bCs/>
                <w:i/>
                <w:iCs/>
                <w:sz w:val="22"/>
                <w:szCs w:val="22"/>
              </w:rPr>
            </w:pPr>
            <w:r>
              <w:rPr>
                <w:b/>
                <w:bCs/>
                <w:i/>
                <w:iCs/>
                <w:sz w:val="22"/>
                <w:szCs w:val="22"/>
              </w:rPr>
              <w:t>A1 sau A2-s1d0</w:t>
            </w:r>
          </w:p>
        </w:tc>
      </w:tr>
      <w:tr w:rsidR="001C08A5" w14:paraId="1EBA39D8" w14:textId="77777777">
        <w:trPr>
          <w:trHeight w:val="90"/>
        </w:trPr>
        <w:tc>
          <w:tcPr>
            <w:tcW w:w="903" w:type="pct"/>
            <w:vMerge w:val="restart"/>
            <w:tcBorders>
              <w:top w:val="single" w:sz="12" w:space="0" w:color="000000"/>
              <w:left w:val="single" w:sz="12" w:space="0" w:color="000000"/>
              <w:bottom w:val="single" w:sz="4" w:space="0" w:color="000000"/>
            </w:tcBorders>
            <w:vAlign w:val="center"/>
          </w:tcPr>
          <w:p w14:paraId="13F9D186" w14:textId="77777777" w:rsidR="001C08A5" w:rsidRDefault="00000000">
            <w:pPr>
              <w:jc w:val="center"/>
              <w:rPr>
                <w:b/>
                <w:bCs/>
                <w:i/>
                <w:iCs/>
                <w:sz w:val="22"/>
                <w:szCs w:val="22"/>
              </w:rPr>
            </w:pPr>
            <w:r>
              <w:rPr>
                <w:b/>
                <w:bCs/>
                <w:i/>
                <w:iCs/>
                <w:sz w:val="22"/>
                <w:szCs w:val="22"/>
              </w:rPr>
              <w:t>Turism</w:t>
            </w:r>
          </w:p>
        </w:tc>
        <w:tc>
          <w:tcPr>
            <w:tcW w:w="3221" w:type="pct"/>
            <w:tcBorders>
              <w:top w:val="single" w:sz="12" w:space="0" w:color="000000"/>
              <w:bottom w:val="single" w:sz="4" w:space="0" w:color="000000"/>
            </w:tcBorders>
            <w:vAlign w:val="center"/>
          </w:tcPr>
          <w:p w14:paraId="71E7C8A2" w14:textId="77777777" w:rsidR="001C08A5" w:rsidRDefault="00000000">
            <w:pPr>
              <w:jc w:val="both"/>
              <w:rPr>
                <w:i/>
                <w:iCs/>
                <w:sz w:val="22"/>
                <w:szCs w:val="22"/>
              </w:rPr>
            </w:pPr>
            <w:r>
              <w:rPr>
                <w:i/>
                <w:iCs/>
                <w:sz w:val="22"/>
                <w:szCs w:val="22"/>
              </w:rPr>
              <w:t>Cabane montane P+E+M</w:t>
            </w:r>
          </w:p>
        </w:tc>
        <w:tc>
          <w:tcPr>
            <w:tcW w:w="876" w:type="pct"/>
            <w:tcBorders>
              <w:top w:val="single" w:sz="12" w:space="0" w:color="000000"/>
              <w:bottom w:val="single" w:sz="4" w:space="0" w:color="000000"/>
              <w:right w:val="single" w:sz="12" w:space="0" w:color="000000"/>
            </w:tcBorders>
            <w:vAlign w:val="center"/>
          </w:tcPr>
          <w:p w14:paraId="6408EF94" w14:textId="77777777" w:rsidR="001C08A5" w:rsidRDefault="00000000">
            <w:pPr>
              <w:jc w:val="center"/>
              <w:rPr>
                <w:i/>
                <w:iCs/>
                <w:sz w:val="22"/>
                <w:szCs w:val="22"/>
              </w:rPr>
            </w:pPr>
            <w:r>
              <w:rPr>
                <w:i/>
                <w:iCs/>
                <w:sz w:val="22"/>
                <w:szCs w:val="22"/>
              </w:rPr>
              <w:t>minimum</w:t>
            </w:r>
          </w:p>
          <w:p w14:paraId="45DBDD01" w14:textId="77777777" w:rsidR="001C08A5" w:rsidRDefault="00000000">
            <w:pPr>
              <w:jc w:val="center"/>
              <w:rPr>
                <w:i/>
                <w:iCs/>
                <w:sz w:val="22"/>
                <w:szCs w:val="22"/>
              </w:rPr>
            </w:pPr>
            <w:r>
              <w:rPr>
                <w:b/>
                <w:bCs/>
                <w:i/>
                <w:iCs/>
                <w:sz w:val="22"/>
                <w:szCs w:val="22"/>
              </w:rPr>
              <w:t>B- s3,d0</w:t>
            </w:r>
          </w:p>
        </w:tc>
      </w:tr>
      <w:tr w:rsidR="001C08A5" w14:paraId="19085654" w14:textId="77777777">
        <w:trPr>
          <w:trHeight w:val="90"/>
        </w:trPr>
        <w:tc>
          <w:tcPr>
            <w:tcW w:w="903" w:type="pct"/>
            <w:vMerge/>
            <w:tcBorders>
              <w:top w:val="single" w:sz="4" w:space="0" w:color="000000"/>
              <w:left w:val="single" w:sz="12" w:space="0" w:color="000000"/>
              <w:bottom w:val="single" w:sz="4" w:space="0" w:color="000000"/>
            </w:tcBorders>
            <w:vAlign w:val="center"/>
          </w:tcPr>
          <w:p w14:paraId="6949DC12"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518C9F1E" w14:textId="77777777" w:rsidR="001C08A5" w:rsidRDefault="00000000">
            <w:pPr>
              <w:jc w:val="both"/>
              <w:rPr>
                <w:i/>
                <w:iCs/>
                <w:sz w:val="22"/>
                <w:szCs w:val="22"/>
              </w:rPr>
            </w:pPr>
            <w:r>
              <w:rPr>
                <w:i/>
                <w:iCs/>
                <w:sz w:val="22"/>
                <w:szCs w:val="22"/>
              </w:rPr>
              <w:t xml:space="preserve">Clădiri ≤ P+2E și ≤ 100 de persoane </w:t>
            </w:r>
          </w:p>
        </w:tc>
        <w:tc>
          <w:tcPr>
            <w:tcW w:w="876" w:type="pct"/>
            <w:tcBorders>
              <w:top w:val="single" w:sz="4" w:space="0" w:color="000000"/>
              <w:bottom w:val="single" w:sz="4" w:space="0" w:color="000000"/>
              <w:right w:val="single" w:sz="12" w:space="0" w:color="000000"/>
            </w:tcBorders>
            <w:vAlign w:val="center"/>
          </w:tcPr>
          <w:p w14:paraId="1AC1100D" w14:textId="77777777" w:rsidR="001C08A5" w:rsidRDefault="00000000">
            <w:pPr>
              <w:jc w:val="center"/>
              <w:rPr>
                <w:i/>
                <w:iCs/>
                <w:sz w:val="22"/>
                <w:szCs w:val="22"/>
              </w:rPr>
            </w:pPr>
            <w:r>
              <w:rPr>
                <w:i/>
                <w:iCs/>
                <w:sz w:val="22"/>
                <w:szCs w:val="22"/>
              </w:rPr>
              <w:t>minimum</w:t>
            </w:r>
          </w:p>
          <w:p w14:paraId="7B918781" w14:textId="77777777" w:rsidR="001C08A5" w:rsidRDefault="00000000">
            <w:pPr>
              <w:jc w:val="center"/>
              <w:rPr>
                <w:i/>
                <w:iCs/>
                <w:sz w:val="22"/>
                <w:szCs w:val="22"/>
              </w:rPr>
            </w:pPr>
            <w:r>
              <w:rPr>
                <w:b/>
                <w:bCs/>
                <w:i/>
                <w:iCs/>
                <w:sz w:val="22"/>
                <w:szCs w:val="22"/>
              </w:rPr>
              <w:t>B-s2,d0</w:t>
            </w:r>
          </w:p>
        </w:tc>
      </w:tr>
      <w:tr w:rsidR="001C08A5" w14:paraId="1BE43DF4" w14:textId="77777777">
        <w:trPr>
          <w:trHeight w:val="90"/>
        </w:trPr>
        <w:tc>
          <w:tcPr>
            <w:tcW w:w="903" w:type="pct"/>
            <w:vMerge/>
            <w:tcBorders>
              <w:top w:val="single" w:sz="4" w:space="0" w:color="000000"/>
              <w:left w:val="single" w:sz="12" w:space="0" w:color="000000"/>
              <w:bottom w:val="single" w:sz="4" w:space="0" w:color="000000"/>
            </w:tcBorders>
            <w:vAlign w:val="center"/>
          </w:tcPr>
          <w:p w14:paraId="6FE48EBB"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2E44A14F" w14:textId="77777777" w:rsidR="001C08A5" w:rsidRDefault="00000000">
            <w:pPr>
              <w:jc w:val="both"/>
              <w:rPr>
                <w:i/>
                <w:iCs/>
                <w:sz w:val="22"/>
                <w:szCs w:val="22"/>
              </w:rPr>
            </w:pPr>
            <w:r>
              <w:rPr>
                <w:i/>
                <w:iCs/>
                <w:sz w:val="22"/>
                <w:szCs w:val="22"/>
              </w:rPr>
              <w:t>Clădiri ≤ P+4E</w:t>
            </w:r>
            <w:r>
              <w:rPr>
                <w:b/>
                <w:bCs/>
                <w:i/>
                <w:iCs/>
                <w:sz w:val="22"/>
                <w:szCs w:val="22"/>
                <w:vertAlign w:val="superscript"/>
              </w:rPr>
              <w:t xml:space="preserve"> 2)</w:t>
            </w:r>
          </w:p>
          <w:p w14:paraId="19ED1377" w14:textId="77777777" w:rsidR="001C08A5" w:rsidRDefault="00000000">
            <w:pPr>
              <w:jc w:val="both"/>
              <w:rPr>
                <w:i/>
                <w:iCs/>
                <w:sz w:val="22"/>
                <w:szCs w:val="22"/>
              </w:rPr>
            </w:pPr>
            <w:r>
              <w:rPr>
                <w:i/>
                <w:iCs/>
                <w:sz w:val="22"/>
                <w:szCs w:val="22"/>
              </w:rPr>
              <w:t>sau</w:t>
            </w:r>
          </w:p>
          <w:p w14:paraId="371085D0" w14:textId="77777777" w:rsidR="001C08A5" w:rsidRDefault="00000000">
            <w:pPr>
              <w:jc w:val="both"/>
              <w:rPr>
                <w:i/>
                <w:iCs/>
                <w:sz w:val="22"/>
                <w:szCs w:val="22"/>
              </w:rPr>
            </w:pPr>
            <w:r>
              <w:rPr>
                <w:i/>
                <w:iCs/>
                <w:sz w:val="22"/>
                <w:szCs w:val="22"/>
              </w:rPr>
              <w:t xml:space="preserve">&gt; 100 de persoane şi fără săli aglomerate </w:t>
            </w:r>
            <w:r>
              <w:rPr>
                <w:b/>
                <w:bCs/>
                <w:i/>
                <w:iCs/>
                <w:sz w:val="22"/>
                <w:szCs w:val="22"/>
                <w:vertAlign w:val="superscript"/>
              </w:rPr>
              <w:t xml:space="preserve">2) </w:t>
            </w:r>
          </w:p>
        </w:tc>
        <w:tc>
          <w:tcPr>
            <w:tcW w:w="876" w:type="pct"/>
            <w:tcBorders>
              <w:top w:val="single" w:sz="4" w:space="0" w:color="000000"/>
              <w:bottom w:val="single" w:sz="4" w:space="0" w:color="000000"/>
              <w:right w:val="single" w:sz="12" w:space="0" w:color="000000"/>
            </w:tcBorders>
          </w:tcPr>
          <w:p w14:paraId="0FEA3E47" w14:textId="77777777" w:rsidR="001C08A5" w:rsidRDefault="00000000">
            <w:pPr>
              <w:jc w:val="center"/>
              <w:rPr>
                <w:i/>
                <w:iCs/>
                <w:sz w:val="22"/>
                <w:szCs w:val="22"/>
              </w:rPr>
            </w:pPr>
            <w:r>
              <w:rPr>
                <w:i/>
                <w:iCs/>
                <w:sz w:val="22"/>
                <w:szCs w:val="22"/>
              </w:rPr>
              <w:t>minimum</w:t>
            </w:r>
          </w:p>
          <w:p w14:paraId="2863E8BC" w14:textId="77777777" w:rsidR="001C08A5" w:rsidRDefault="00000000">
            <w:pPr>
              <w:jc w:val="center"/>
              <w:rPr>
                <w:i/>
                <w:iCs/>
                <w:sz w:val="22"/>
                <w:szCs w:val="22"/>
              </w:rPr>
            </w:pPr>
            <w:r>
              <w:rPr>
                <w:b/>
                <w:bCs/>
                <w:i/>
                <w:iCs/>
                <w:sz w:val="22"/>
                <w:szCs w:val="22"/>
              </w:rPr>
              <w:t>B-s1,d0</w:t>
            </w:r>
          </w:p>
        </w:tc>
      </w:tr>
      <w:tr w:rsidR="001C08A5" w14:paraId="074803C5" w14:textId="77777777">
        <w:trPr>
          <w:trHeight w:val="90"/>
        </w:trPr>
        <w:tc>
          <w:tcPr>
            <w:tcW w:w="903" w:type="pct"/>
            <w:vMerge/>
            <w:tcBorders>
              <w:top w:val="single" w:sz="4" w:space="0" w:color="000000"/>
              <w:left w:val="single" w:sz="12" w:space="0" w:color="000000"/>
              <w:bottom w:val="single" w:sz="4" w:space="0" w:color="000000"/>
            </w:tcBorders>
            <w:vAlign w:val="center"/>
          </w:tcPr>
          <w:p w14:paraId="1E298253"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397964F9" w14:textId="77777777" w:rsidR="001C08A5" w:rsidRDefault="00000000">
            <w:pPr>
              <w:jc w:val="both"/>
              <w:rPr>
                <w:i/>
                <w:iCs/>
                <w:sz w:val="22"/>
                <w:szCs w:val="22"/>
              </w:rPr>
            </w:pPr>
            <w:r>
              <w:rPr>
                <w:i/>
                <w:iCs/>
                <w:sz w:val="22"/>
                <w:szCs w:val="22"/>
              </w:rPr>
              <w:t>Clădiri &gt; P+4E</w:t>
            </w:r>
          </w:p>
          <w:p w14:paraId="01236E7E" w14:textId="77777777" w:rsidR="001C08A5" w:rsidRDefault="00000000">
            <w:pPr>
              <w:jc w:val="both"/>
              <w:rPr>
                <w:i/>
                <w:iCs/>
                <w:sz w:val="22"/>
                <w:szCs w:val="22"/>
              </w:rPr>
            </w:pPr>
            <w:r>
              <w:rPr>
                <w:i/>
                <w:iCs/>
                <w:sz w:val="22"/>
                <w:szCs w:val="22"/>
              </w:rPr>
              <w:t>şi</w:t>
            </w:r>
          </w:p>
          <w:p w14:paraId="47527692" w14:textId="77777777" w:rsidR="001C08A5" w:rsidRDefault="00000000">
            <w:pPr>
              <w:jc w:val="both"/>
              <w:rPr>
                <w:i/>
                <w:iCs/>
                <w:sz w:val="22"/>
                <w:szCs w:val="22"/>
              </w:rPr>
            </w:pPr>
            <w:r>
              <w:rPr>
                <w:i/>
                <w:iCs/>
                <w:sz w:val="22"/>
                <w:szCs w:val="22"/>
              </w:rPr>
              <w:t xml:space="preserve">Clădiri cu până la 20 m înălţime totală (până la coamă/atic) </w:t>
            </w:r>
            <w:r>
              <w:rPr>
                <w:b/>
                <w:bCs/>
                <w:i/>
                <w:iCs/>
                <w:sz w:val="22"/>
                <w:szCs w:val="22"/>
                <w:vertAlign w:val="superscript"/>
              </w:rPr>
              <w:t xml:space="preserve">1) 2) </w:t>
            </w:r>
          </w:p>
        </w:tc>
        <w:tc>
          <w:tcPr>
            <w:tcW w:w="876" w:type="pct"/>
            <w:tcBorders>
              <w:top w:val="single" w:sz="4" w:space="0" w:color="000000"/>
              <w:bottom w:val="single" w:sz="4" w:space="0" w:color="000000"/>
              <w:right w:val="single" w:sz="12" w:space="0" w:color="000000"/>
            </w:tcBorders>
          </w:tcPr>
          <w:p w14:paraId="419B8B9E" w14:textId="77777777" w:rsidR="001C08A5" w:rsidRDefault="00000000">
            <w:pPr>
              <w:jc w:val="center"/>
              <w:rPr>
                <w:i/>
                <w:iCs/>
                <w:sz w:val="22"/>
                <w:szCs w:val="22"/>
              </w:rPr>
            </w:pPr>
            <w:r>
              <w:rPr>
                <w:b/>
                <w:bCs/>
                <w:i/>
                <w:iCs/>
                <w:sz w:val="22"/>
                <w:szCs w:val="22"/>
              </w:rPr>
              <w:t>A1 sau A2-s1d0</w:t>
            </w:r>
          </w:p>
        </w:tc>
      </w:tr>
      <w:tr w:rsidR="001C08A5" w14:paraId="62F16F1B" w14:textId="77777777">
        <w:trPr>
          <w:trHeight w:val="90"/>
        </w:trPr>
        <w:tc>
          <w:tcPr>
            <w:tcW w:w="903" w:type="pct"/>
            <w:vMerge/>
            <w:tcBorders>
              <w:top w:val="single" w:sz="4" w:space="0" w:color="000000"/>
              <w:left w:val="single" w:sz="12" w:space="0" w:color="000000"/>
              <w:bottom w:val="single" w:sz="4" w:space="0" w:color="000000"/>
            </w:tcBorders>
            <w:vAlign w:val="center"/>
          </w:tcPr>
          <w:p w14:paraId="70C54819"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5B6BD560" w14:textId="77777777" w:rsidR="001C08A5" w:rsidRDefault="00000000">
            <w:pPr>
              <w:jc w:val="both"/>
              <w:rPr>
                <w:i/>
                <w:iCs/>
                <w:sz w:val="22"/>
                <w:szCs w:val="22"/>
              </w:rPr>
            </w:pPr>
            <w:r>
              <w:rPr>
                <w:i/>
                <w:iCs/>
                <w:sz w:val="22"/>
                <w:szCs w:val="22"/>
              </w:rPr>
              <w:t>Clădiri &gt; P+4E</w:t>
            </w:r>
            <w:r>
              <w:rPr>
                <w:b/>
                <w:bCs/>
                <w:i/>
                <w:iCs/>
                <w:sz w:val="22"/>
                <w:szCs w:val="22"/>
                <w:vertAlign w:val="superscript"/>
              </w:rPr>
              <w:t xml:space="preserve"> 2)</w:t>
            </w:r>
          </w:p>
          <w:p w14:paraId="52E5AC19" w14:textId="77777777" w:rsidR="001C08A5" w:rsidRDefault="00000000">
            <w:pPr>
              <w:jc w:val="both"/>
              <w:rPr>
                <w:i/>
                <w:iCs/>
                <w:sz w:val="22"/>
                <w:szCs w:val="22"/>
              </w:rPr>
            </w:pPr>
            <w:r>
              <w:rPr>
                <w:i/>
                <w:iCs/>
                <w:sz w:val="22"/>
                <w:szCs w:val="22"/>
              </w:rPr>
              <w:t xml:space="preserve">sau </w:t>
            </w:r>
          </w:p>
          <w:p w14:paraId="50082E52" w14:textId="77777777" w:rsidR="001C08A5" w:rsidRDefault="00000000">
            <w:pPr>
              <w:jc w:val="both"/>
              <w:rPr>
                <w:i/>
                <w:iCs/>
                <w:sz w:val="22"/>
                <w:szCs w:val="22"/>
              </w:rPr>
            </w:pPr>
            <w:r>
              <w:rPr>
                <w:i/>
                <w:iCs/>
                <w:sz w:val="22"/>
                <w:szCs w:val="22"/>
              </w:rPr>
              <w:t xml:space="preserve">Clădiri cu </w:t>
            </w:r>
            <w:r>
              <w:rPr>
                <w:bCs/>
                <w:i/>
                <w:iCs/>
                <w:sz w:val="22"/>
                <w:szCs w:val="22"/>
              </w:rPr>
              <w:t>mai mult de 20m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 xml:space="preserve">ă (până la coamă/atic) </w:t>
            </w:r>
            <w:r>
              <w:rPr>
                <w:b/>
                <w:bCs/>
                <w:i/>
                <w:iCs/>
                <w:sz w:val="22"/>
                <w:szCs w:val="22"/>
                <w:vertAlign w:val="superscript"/>
              </w:rPr>
              <w:t xml:space="preserve">1) 2) </w:t>
            </w:r>
          </w:p>
        </w:tc>
        <w:tc>
          <w:tcPr>
            <w:tcW w:w="876" w:type="pct"/>
            <w:tcBorders>
              <w:top w:val="single" w:sz="4" w:space="0" w:color="000000"/>
              <w:bottom w:val="single" w:sz="4" w:space="0" w:color="000000"/>
              <w:right w:val="single" w:sz="12" w:space="0" w:color="000000"/>
            </w:tcBorders>
          </w:tcPr>
          <w:p w14:paraId="64E5E790" w14:textId="77777777" w:rsidR="001C08A5" w:rsidRDefault="00000000">
            <w:pPr>
              <w:jc w:val="center"/>
              <w:rPr>
                <w:i/>
                <w:iCs/>
                <w:sz w:val="22"/>
                <w:szCs w:val="22"/>
              </w:rPr>
            </w:pPr>
            <w:r>
              <w:rPr>
                <w:b/>
                <w:bCs/>
                <w:i/>
                <w:iCs/>
                <w:sz w:val="22"/>
                <w:szCs w:val="22"/>
              </w:rPr>
              <w:t>A1 sau A2-s1d0</w:t>
            </w:r>
          </w:p>
        </w:tc>
      </w:tr>
      <w:tr w:rsidR="001C08A5" w14:paraId="78B347A6" w14:textId="77777777">
        <w:trPr>
          <w:trHeight w:val="90"/>
        </w:trPr>
        <w:tc>
          <w:tcPr>
            <w:tcW w:w="903" w:type="pct"/>
            <w:vMerge/>
            <w:tcBorders>
              <w:top w:val="single" w:sz="4" w:space="0" w:color="000000"/>
              <w:left w:val="single" w:sz="12" w:space="0" w:color="000000"/>
              <w:bottom w:val="single" w:sz="12" w:space="0" w:color="000000"/>
            </w:tcBorders>
            <w:vAlign w:val="center"/>
          </w:tcPr>
          <w:p w14:paraId="634038F2"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31D58976" w14:textId="77777777" w:rsidR="001C08A5" w:rsidRDefault="00000000">
            <w:pPr>
              <w:jc w:val="both"/>
              <w:rPr>
                <w:i/>
                <w:iCs/>
                <w:sz w:val="22"/>
                <w:szCs w:val="22"/>
              </w:rPr>
            </w:pPr>
            <w:r>
              <w:rPr>
                <w:i/>
                <w:iCs/>
                <w:sz w:val="22"/>
                <w:szCs w:val="22"/>
              </w:rPr>
              <w:t>Clădiri înalte sau foarte înalte</w:t>
            </w:r>
          </w:p>
        </w:tc>
        <w:tc>
          <w:tcPr>
            <w:tcW w:w="876" w:type="pct"/>
            <w:tcBorders>
              <w:top w:val="single" w:sz="4" w:space="0" w:color="000000"/>
              <w:bottom w:val="single" w:sz="12" w:space="0" w:color="000000"/>
              <w:right w:val="single" w:sz="12" w:space="0" w:color="000000"/>
            </w:tcBorders>
            <w:vAlign w:val="center"/>
          </w:tcPr>
          <w:p w14:paraId="68073CC5" w14:textId="77777777" w:rsidR="001C08A5" w:rsidRDefault="00000000">
            <w:pPr>
              <w:jc w:val="center"/>
              <w:rPr>
                <w:i/>
                <w:iCs/>
                <w:sz w:val="22"/>
                <w:szCs w:val="22"/>
              </w:rPr>
            </w:pPr>
            <w:r>
              <w:rPr>
                <w:b/>
                <w:bCs/>
                <w:i/>
                <w:iCs/>
                <w:sz w:val="22"/>
                <w:szCs w:val="22"/>
              </w:rPr>
              <w:t>A1 sau A2-s1d0</w:t>
            </w:r>
          </w:p>
        </w:tc>
      </w:tr>
      <w:tr w:rsidR="001C08A5" w14:paraId="39B05C38" w14:textId="77777777">
        <w:trPr>
          <w:trHeight w:val="90"/>
        </w:trPr>
        <w:tc>
          <w:tcPr>
            <w:tcW w:w="903" w:type="pct"/>
            <w:vMerge w:val="restart"/>
            <w:tcBorders>
              <w:top w:val="single" w:sz="12" w:space="0" w:color="000000"/>
              <w:left w:val="single" w:sz="12" w:space="0" w:color="000000"/>
              <w:bottom w:val="single" w:sz="4" w:space="0" w:color="000000"/>
            </w:tcBorders>
            <w:vAlign w:val="center"/>
          </w:tcPr>
          <w:p w14:paraId="10D0B5B3" w14:textId="77777777" w:rsidR="001C08A5" w:rsidRDefault="00000000">
            <w:pPr>
              <w:jc w:val="center"/>
              <w:rPr>
                <w:b/>
                <w:bCs/>
                <w:i/>
                <w:iCs/>
                <w:sz w:val="22"/>
                <w:szCs w:val="22"/>
              </w:rPr>
            </w:pPr>
            <w:r>
              <w:rPr>
                <w:b/>
                <w:bCs/>
                <w:i/>
                <w:iCs/>
                <w:sz w:val="22"/>
                <w:szCs w:val="22"/>
              </w:rPr>
              <w:t>Cult</w:t>
            </w:r>
          </w:p>
        </w:tc>
        <w:tc>
          <w:tcPr>
            <w:tcW w:w="3221" w:type="pct"/>
            <w:tcBorders>
              <w:top w:val="single" w:sz="12" w:space="0" w:color="000000"/>
              <w:bottom w:val="single" w:sz="4" w:space="0" w:color="000000"/>
            </w:tcBorders>
            <w:vAlign w:val="center"/>
          </w:tcPr>
          <w:p w14:paraId="31D75A63" w14:textId="77777777" w:rsidR="001C08A5" w:rsidRDefault="00000000">
            <w:pPr>
              <w:jc w:val="both"/>
              <w:rPr>
                <w:i/>
                <w:iCs/>
                <w:sz w:val="22"/>
                <w:szCs w:val="22"/>
              </w:rPr>
            </w:pPr>
            <w:r>
              <w:rPr>
                <w:i/>
                <w:iCs/>
                <w:sz w:val="22"/>
                <w:szCs w:val="22"/>
              </w:rPr>
              <w:t xml:space="preserve">Clădiri ≤ P+E </w:t>
            </w:r>
          </w:p>
        </w:tc>
        <w:tc>
          <w:tcPr>
            <w:tcW w:w="876" w:type="pct"/>
            <w:tcBorders>
              <w:top w:val="single" w:sz="12" w:space="0" w:color="000000"/>
              <w:bottom w:val="single" w:sz="4" w:space="0" w:color="000000"/>
              <w:right w:val="single" w:sz="12" w:space="0" w:color="000000"/>
            </w:tcBorders>
            <w:vAlign w:val="center"/>
          </w:tcPr>
          <w:p w14:paraId="2DB350F2" w14:textId="77777777" w:rsidR="001C08A5" w:rsidRDefault="00000000">
            <w:pPr>
              <w:jc w:val="center"/>
              <w:rPr>
                <w:i/>
                <w:iCs/>
                <w:sz w:val="22"/>
                <w:szCs w:val="22"/>
              </w:rPr>
            </w:pPr>
            <w:r>
              <w:rPr>
                <w:i/>
                <w:iCs/>
                <w:sz w:val="22"/>
                <w:szCs w:val="22"/>
              </w:rPr>
              <w:t>minimum</w:t>
            </w:r>
          </w:p>
          <w:p w14:paraId="53352A9B" w14:textId="77777777" w:rsidR="001C08A5" w:rsidRDefault="00000000">
            <w:pPr>
              <w:jc w:val="center"/>
              <w:rPr>
                <w:i/>
                <w:iCs/>
                <w:sz w:val="22"/>
                <w:szCs w:val="22"/>
              </w:rPr>
            </w:pPr>
            <w:r>
              <w:rPr>
                <w:b/>
                <w:bCs/>
                <w:i/>
                <w:iCs/>
                <w:sz w:val="22"/>
                <w:szCs w:val="22"/>
              </w:rPr>
              <w:t>C s2,d0</w:t>
            </w:r>
          </w:p>
        </w:tc>
      </w:tr>
      <w:tr w:rsidR="001C08A5" w14:paraId="68F2AF4B" w14:textId="77777777">
        <w:trPr>
          <w:trHeight w:val="90"/>
        </w:trPr>
        <w:tc>
          <w:tcPr>
            <w:tcW w:w="903" w:type="pct"/>
            <w:vMerge/>
            <w:tcBorders>
              <w:top w:val="single" w:sz="4" w:space="0" w:color="000000"/>
              <w:left w:val="single" w:sz="12" w:space="0" w:color="000000"/>
              <w:bottom w:val="single" w:sz="4" w:space="0" w:color="000000"/>
            </w:tcBorders>
            <w:vAlign w:val="center"/>
          </w:tcPr>
          <w:p w14:paraId="3DCE9700"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3983BFDB" w14:textId="77777777" w:rsidR="001C08A5" w:rsidRDefault="00000000">
            <w:pPr>
              <w:jc w:val="both"/>
              <w:rPr>
                <w:i/>
                <w:iCs/>
                <w:sz w:val="22"/>
                <w:szCs w:val="22"/>
              </w:rPr>
            </w:pPr>
            <w:r>
              <w:rPr>
                <w:i/>
                <w:iCs/>
                <w:sz w:val="22"/>
                <w:szCs w:val="22"/>
              </w:rPr>
              <w:t>Clădiri ≥ P+2E</w:t>
            </w:r>
          </w:p>
          <w:p w14:paraId="0E63FAC5" w14:textId="77777777" w:rsidR="001C08A5" w:rsidRDefault="00000000">
            <w:pPr>
              <w:jc w:val="both"/>
              <w:rPr>
                <w:i/>
                <w:iCs/>
                <w:sz w:val="22"/>
                <w:szCs w:val="22"/>
              </w:rPr>
            </w:pPr>
            <w:r>
              <w:rPr>
                <w:i/>
                <w:iCs/>
                <w:sz w:val="22"/>
                <w:szCs w:val="22"/>
              </w:rPr>
              <w:t>și</w:t>
            </w:r>
          </w:p>
          <w:p w14:paraId="2C98129D" w14:textId="77777777" w:rsidR="001C08A5" w:rsidRDefault="00000000">
            <w:pPr>
              <w:jc w:val="both"/>
              <w:rPr>
                <w:i/>
                <w:iCs/>
                <w:sz w:val="22"/>
                <w:szCs w:val="22"/>
              </w:rPr>
            </w:pPr>
            <w:r>
              <w:rPr>
                <w:i/>
                <w:iCs/>
                <w:sz w:val="22"/>
                <w:szCs w:val="22"/>
              </w:rPr>
              <w:t xml:space="preserve">Clădiri cu până la 20 m înălţime totală (până la coamă/atic) </w:t>
            </w:r>
            <w:r>
              <w:rPr>
                <w:b/>
                <w:bCs/>
                <w:i/>
                <w:iCs/>
                <w:sz w:val="22"/>
                <w:szCs w:val="22"/>
                <w:vertAlign w:val="superscript"/>
              </w:rPr>
              <w:t xml:space="preserve">1)  </w:t>
            </w:r>
          </w:p>
        </w:tc>
        <w:tc>
          <w:tcPr>
            <w:tcW w:w="876" w:type="pct"/>
            <w:tcBorders>
              <w:top w:val="single" w:sz="4" w:space="0" w:color="000000"/>
              <w:bottom w:val="single" w:sz="4" w:space="0" w:color="000000"/>
              <w:right w:val="single" w:sz="12" w:space="0" w:color="000000"/>
            </w:tcBorders>
            <w:vAlign w:val="center"/>
          </w:tcPr>
          <w:p w14:paraId="610EC99B" w14:textId="77777777" w:rsidR="001C08A5" w:rsidRDefault="00000000">
            <w:pPr>
              <w:jc w:val="center"/>
              <w:rPr>
                <w:i/>
                <w:iCs/>
                <w:sz w:val="22"/>
                <w:szCs w:val="22"/>
              </w:rPr>
            </w:pPr>
            <w:r>
              <w:rPr>
                <w:i/>
                <w:iCs/>
                <w:sz w:val="22"/>
                <w:szCs w:val="22"/>
              </w:rPr>
              <w:t>minimum</w:t>
            </w:r>
          </w:p>
          <w:p w14:paraId="0F591E79" w14:textId="77777777" w:rsidR="001C08A5" w:rsidRDefault="00000000">
            <w:pPr>
              <w:jc w:val="center"/>
              <w:rPr>
                <w:i/>
                <w:iCs/>
                <w:sz w:val="22"/>
                <w:szCs w:val="22"/>
              </w:rPr>
            </w:pPr>
            <w:r>
              <w:rPr>
                <w:b/>
                <w:bCs/>
                <w:i/>
                <w:iCs/>
                <w:sz w:val="22"/>
                <w:szCs w:val="22"/>
              </w:rPr>
              <w:t>B s2,d0</w:t>
            </w:r>
          </w:p>
        </w:tc>
      </w:tr>
      <w:tr w:rsidR="001C08A5" w14:paraId="155AED11" w14:textId="77777777">
        <w:trPr>
          <w:trHeight w:val="90"/>
        </w:trPr>
        <w:tc>
          <w:tcPr>
            <w:tcW w:w="903" w:type="pct"/>
            <w:vMerge/>
            <w:tcBorders>
              <w:top w:val="single" w:sz="4" w:space="0" w:color="000000"/>
              <w:left w:val="single" w:sz="12" w:space="0" w:color="000000"/>
              <w:bottom w:val="single" w:sz="4" w:space="0" w:color="000000"/>
            </w:tcBorders>
            <w:vAlign w:val="center"/>
          </w:tcPr>
          <w:p w14:paraId="413BB7F2"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2B0CA7BE" w14:textId="77777777" w:rsidR="001C08A5" w:rsidRDefault="00000000">
            <w:pPr>
              <w:jc w:val="both"/>
              <w:rPr>
                <w:i/>
                <w:iCs/>
                <w:sz w:val="22"/>
                <w:szCs w:val="22"/>
              </w:rPr>
            </w:pPr>
            <w:r>
              <w:rPr>
                <w:i/>
                <w:iCs/>
                <w:sz w:val="22"/>
                <w:szCs w:val="22"/>
              </w:rPr>
              <w:t>&gt; P+5E</w:t>
            </w:r>
            <w:r>
              <w:rPr>
                <w:b/>
                <w:bCs/>
                <w:i/>
                <w:iCs/>
                <w:sz w:val="22"/>
                <w:szCs w:val="22"/>
                <w:vertAlign w:val="superscript"/>
              </w:rPr>
              <w:t xml:space="preserve"> 2)</w:t>
            </w:r>
          </w:p>
          <w:p w14:paraId="1F8BDBEC" w14:textId="77777777" w:rsidR="001C08A5" w:rsidRDefault="00000000">
            <w:pPr>
              <w:jc w:val="both"/>
              <w:rPr>
                <w:i/>
                <w:iCs/>
                <w:sz w:val="22"/>
                <w:szCs w:val="22"/>
              </w:rPr>
            </w:pPr>
            <w:r>
              <w:rPr>
                <w:i/>
                <w:iCs/>
                <w:sz w:val="22"/>
                <w:szCs w:val="22"/>
              </w:rPr>
              <w:t xml:space="preserve">Sau </w:t>
            </w:r>
            <w:r>
              <w:rPr>
                <w:bCs/>
                <w:i/>
                <w:iCs/>
                <w:sz w:val="22"/>
                <w:szCs w:val="22"/>
              </w:rPr>
              <w:t>mai mult de 20 m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ă (până la coamă/atic)</w:t>
            </w:r>
            <w:r>
              <w:rPr>
                <w:b/>
                <w:bCs/>
                <w:i/>
                <w:iCs/>
                <w:sz w:val="22"/>
                <w:szCs w:val="22"/>
                <w:vertAlign w:val="superscript"/>
              </w:rPr>
              <w:t>1) 2) 3)</w:t>
            </w:r>
          </w:p>
        </w:tc>
        <w:tc>
          <w:tcPr>
            <w:tcW w:w="876" w:type="pct"/>
            <w:tcBorders>
              <w:top w:val="single" w:sz="4" w:space="0" w:color="000000"/>
              <w:bottom w:val="single" w:sz="4" w:space="0" w:color="000000"/>
              <w:right w:val="single" w:sz="12" w:space="0" w:color="000000"/>
            </w:tcBorders>
            <w:vAlign w:val="center"/>
          </w:tcPr>
          <w:p w14:paraId="5380B38A" w14:textId="77777777" w:rsidR="001C08A5" w:rsidRDefault="00000000">
            <w:pPr>
              <w:jc w:val="center"/>
              <w:rPr>
                <w:i/>
                <w:iCs/>
                <w:sz w:val="22"/>
                <w:szCs w:val="22"/>
              </w:rPr>
            </w:pPr>
            <w:r>
              <w:rPr>
                <w:i/>
                <w:iCs/>
                <w:sz w:val="22"/>
                <w:szCs w:val="22"/>
              </w:rPr>
              <w:t>minimum</w:t>
            </w:r>
          </w:p>
          <w:p w14:paraId="0B74A7ED" w14:textId="77777777" w:rsidR="001C08A5" w:rsidRDefault="00000000">
            <w:pPr>
              <w:jc w:val="center"/>
              <w:rPr>
                <w:i/>
                <w:iCs/>
                <w:sz w:val="22"/>
                <w:szCs w:val="22"/>
              </w:rPr>
            </w:pPr>
            <w:r>
              <w:rPr>
                <w:b/>
                <w:bCs/>
                <w:i/>
                <w:iCs/>
                <w:sz w:val="22"/>
                <w:szCs w:val="22"/>
              </w:rPr>
              <w:t>B s1,d0</w:t>
            </w:r>
          </w:p>
        </w:tc>
      </w:tr>
      <w:tr w:rsidR="001C08A5" w14:paraId="2486355F" w14:textId="77777777">
        <w:trPr>
          <w:trHeight w:val="90"/>
        </w:trPr>
        <w:tc>
          <w:tcPr>
            <w:tcW w:w="903" w:type="pct"/>
            <w:vMerge/>
            <w:tcBorders>
              <w:top w:val="single" w:sz="4" w:space="0" w:color="000000"/>
              <w:left w:val="single" w:sz="12" w:space="0" w:color="000000"/>
              <w:bottom w:val="single" w:sz="4" w:space="0" w:color="000000"/>
            </w:tcBorders>
            <w:vAlign w:val="center"/>
          </w:tcPr>
          <w:p w14:paraId="5C4560F8"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6CA5E1FB" w14:textId="77777777" w:rsidR="001C08A5" w:rsidRDefault="00000000">
            <w:pPr>
              <w:jc w:val="both"/>
              <w:rPr>
                <w:i/>
                <w:iCs/>
                <w:sz w:val="22"/>
                <w:szCs w:val="22"/>
              </w:rPr>
            </w:pPr>
            <w:r>
              <w:rPr>
                <w:i/>
                <w:iCs/>
                <w:sz w:val="22"/>
                <w:szCs w:val="22"/>
              </w:rPr>
              <w:t>Clădiri înalte sau foarte înalte</w:t>
            </w:r>
          </w:p>
        </w:tc>
        <w:tc>
          <w:tcPr>
            <w:tcW w:w="876" w:type="pct"/>
            <w:tcBorders>
              <w:top w:val="single" w:sz="4" w:space="0" w:color="000000"/>
              <w:bottom w:val="single" w:sz="4" w:space="0" w:color="000000"/>
              <w:right w:val="single" w:sz="12" w:space="0" w:color="000000"/>
            </w:tcBorders>
            <w:vAlign w:val="center"/>
          </w:tcPr>
          <w:p w14:paraId="32DB5CDC" w14:textId="77777777" w:rsidR="001C08A5" w:rsidRDefault="00000000">
            <w:pPr>
              <w:jc w:val="center"/>
              <w:rPr>
                <w:b/>
                <w:bCs/>
                <w:i/>
                <w:iCs/>
                <w:sz w:val="22"/>
                <w:szCs w:val="22"/>
              </w:rPr>
            </w:pPr>
            <w:r>
              <w:rPr>
                <w:b/>
                <w:bCs/>
                <w:i/>
                <w:iCs/>
                <w:sz w:val="22"/>
                <w:szCs w:val="22"/>
              </w:rPr>
              <w:t>A1 sau A2-s1d0</w:t>
            </w:r>
          </w:p>
        </w:tc>
      </w:tr>
      <w:tr w:rsidR="001C08A5" w14:paraId="7047F691" w14:textId="77777777">
        <w:trPr>
          <w:trHeight w:val="90"/>
        </w:trPr>
        <w:tc>
          <w:tcPr>
            <w:tcW w:w="903" w:type="pct"/>
            <w:vMerge/>
            <w:tcBorders>
              <w:top w:val="single" w:sz="4" w:space="0" w:color="000000"/>
              <w:left w:val="single" w:sz="12" w:space="0" w:color="000000"/>
              <w:bottom w:val="single" w:sz="12" w:space="0" w:color="000000"/>
            </w:tcBorders>
            <w:vAlign w:val="center"/>
          </w:tcPr>
          <w:p w14:paraId="4BBA41FF"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4382AE3A" w14:textId="77777777" w:rsidR="001C08A5" w:rsidRDefault="00000000">
            <w:pPr>
              <w:jc w:val="both"/>
              <w:rPr>
                <w:i/>
                <w:iCs/>
                <w:sz w:val="22"/>
                <w:szCs w:val="22"/>
              </w:rPr>
            </w:pPr>
            <w:r>
              <w:rPr>
                <w:i/>
                <w:iCs/>
                <w:sz w:val="22"/>
                <w:szCs w:val="22"/>
              </w:rPr>
              <w:t>Clădiri care adapostesc valori deosebite (de patrimoniu)</w:t>
            </w:r>
          </w:p>
        </w:tc>
        <w:tc>
          <w:tcPr>
            <w:tcW w:w="876" w:type="pct"/>
            <w:tcBorders>
              <w:top w:val="single" w:sz="4" w:space="0" w:color="000000"/>
              <w:bottom w:val="single" w:sz="12" w:space="0" w:color="000000"/>
              <w:right w:val="single" w:sz="12" w:space="0" w:color="000000"/>
            </w:tcBorders>
            <w:vAlign w:val="center"/>
          </w:tcPr>
          <w:p w14:paraId="0762B1B4" w14:textId="77777777" w:rsidR="001C08A5" w:rsidRDefault="00000000">
            <w:pPr>
              <w:jc w:val="center"/>
              <w:rPr>
                <w:b/>
                <w:bCs/>
                <w:i/>
                <w:iCs/>
                <w:sz w:val="22"/>
                <w:szCs w:val="22"/>
              </w:rPr>
            </w:pPr>
            <w:r>
              <w:rPr>
                <w:b/>
                <w:bCs/>
                <w:i/>
                <w:iCs/>
                <w:sz w:val="22"/>
                <w:szCs w:val="22"/>
              </w:rPr>
              <w:t>A</w:t>
            </w:r>
            <w:r>
              <w:rPr>
                <w:b/>
                <w:bCs/>
                <w:i/>
                <w:iCs/>
                <w:sz w:val="22"/>
                <w:szCs w:val="22"/>
                <w:vertAlign w:val="subscript"/>
              </w:rPr>
              <w:t>1</w:t>
            </w:r>
            <w:r>
              <w:rPr>
                <w:b/>
                <w:bCs/>
                <w:i/>
                <w:iCs/>
                <w:sz w:val="22"/>
                <w:szCs w:val="22"/>
              </w:rPr>
              <w:t xml:space="preserve"> sau A</w:t>
            </w:r>
            <w:r>
              <w:rPr>
                <w:b/>
                <w:bCs/>
                <w:i/>
                <w:iCs/>
                <w:sz w:val="22"/>
                <w:szCs w:val="22"/>
                <w:vertAlign w:val="subscript"/>
              </w:rPr>
              <w:t>2</w:t>
            </w:r>
            <w:r>
              <w:rPr>
                <w:b/>
                <w:bCs/>
                <w:i/>
                <w:iCs/>
                <w:sz w:val="22"/>
                <w:szCs w:val="22"/>
              </w:rPr>
              <w:t xml:space="preserve"> s1,d0</w:t>
            </w:r>
          </w:p>
        </w:tc>
      </w:tr>
      <w:tr w:rsidR="001C08A5" w14:paraId="18724ACD" w14:textId="77777777">
        <w:trPr>
          <w:trHeight w:val="90"/>
        </w:trPr>
        <w:tc>
          <w:tcPr>
            <w:tcW w:w="903" w:type="pct"/>
            <w:vMerge w:val="restart"/>
            <w:tcBorders>
              <w:top w:val="single" w:sz="12" w:space="0" w:color="000000"/>
              <w:left w:val="single" w:sz="12" w:space="0" w:color="000000"/>
              <w:bottom w:val="single" w:sz="4" w:space="0" w:color="000000"/>
            </w:tcBorders>
            <w:vAlign w:val="center"/>
          </w:tcPr>
          <w:p w14:paraId="13CB1103" w14:textId="77777777" w:rsidR="001C08A5" w:rsidRDefault="00000000">
            <w:pPr>
              <w:jc w:val="center"/>
              <w:rPr>
                <w:b/>
                <w:bCs/>
                <w:i/>
                <w:iCs/>
                <w:sz w:val="22"/>
                <w:szCs w:val="22"/>
              </w:rPr>
            </w:pPr>
            <w:r>
              <w:rPr>
                <w:b/>
                <w:bCs/>
                <w:i/>
                <w:iCs/>
                <w:sz w:val="22"/>
                <w:szCs w:val="22"/>
              </w:rPr>
              <w:t>Sport</w:t>
            </w:r>
          </w:p>
        </w:tc>
        <w:tc>
          <w:tcPr>
            <w:tcW w:w="3221" w:type="pct"/>
            <w:tcBorders>
              <w:top w:val="single" w:sz="12" w:space="0" w:color="000000"/>
              <w:bottom w:val="single" w:sz="4" w:space="0" w:color="000000"/>
            </w:tcBorders>
            <w:vAlign w:val="center"/>
          </w:tcPr>
          <w:p w14:paraId="70586F23" w14:textId="77777777" w:rsidR="001C08A5" w:rsidRDefault="00000000">
            <w:pPr>
              <w:jc w:val="both"/>
              <w:rPr>
                <w:i/>
                <w:iCs/>
                <w:sz w:val="22"/>
                <w:szCs w:val="22"/>
              </w:rPr>
            </w:pPr>
            <w:r>
              <w:rPr>
                <w:i/>
                <w:iCs/>
                <w:sz w:val="22"/>
                <w:szCs w:val="22"/>
              </w:rPr>
              <w:t xml:space="preserve">Clădiri ≤ P+E </w:t>
            </w:r>
          </w:p>
          <w:p w14:paraId="0BAC83C2" w14:textId="77777777" w:rsidR="001C08A5" w:rsidRDefault="001C08A5">
            <w:pPr>
              <w:jc w:val="both"/>
              <w:rPr>
                <w:i/>
                <w:iCs/>
                <w:sz w:val="22"/>
                <w:szCs w:val="22"/>
              </w:rPr>
            </w:pPr>
          </w:p>
        </w:tc>
        <w:tc>
          <w:tcPr>
            <w:tcW w:w="876" w:type="pct"/>
            <w:tcBorders>
              <w:top w:val="single" w:sz="12" w:space="0" w:color="000000"/>
              <w:bottom w:val="single" w:sz="4" w:space="0" w:color="000000"/>
              <w:right w:val="single" w:sz="12" w:space="0" w:color="000000"/>
            </w:tcBorders>
            <w:vAlign w:val="center"/>
          </w:tcPr>
          <w:p w14:paraId="74476EA2" w14:textId="77777777" w:rsidR="001C08A5" w:rsidRDefault="00000000">
            <w:pPr>
              <w:jc w:val="center"/>
              <w:rPr>
                <w:i/>
                <w:iCs/>
                <w:sz w:val="22"/>
                <w:szCs w:val="22"/>
              </w:rPr>
            </w:pPr>
            <w:r>
              <w:rPr>
                <w:i/>
                <w:iCs/>
                <w:sz w:val="22"/>
                <w:szCs w:val="22"/>
              </w:rPr>
              <w:t>minimum</w:t>
            </w:r>
          </w:p>
          <w:p w14:paraId="736C2FCA" w14:textId="77777777" w:rsidR="001C08A5" w:rsidRDefault="00000000">
            <w:pPr>
              <w:jc w:val="center"/>
              <w:rPr>
                <w:i/>
                <w:iCs/>
                <w:sz w:val="22"/>
                <w:szCs w:val="22"/>
              </w:rPr>
            </w:pPr>
            <w:r>
              <w:rPr>
                <w:b/>
                <w:bCs/>
                <w:i/>
                <w:iCs/>
                <w:sz w:val="22"/>
                <w:szCs w:val="22"/>
              </w:rPr>
              <w:t>C s2,d0</w:t>
            </w:r>
          </w:p>
        </w:tc>
      </w:tr>
      <w:tr w:rsidR="001C08A5" w14:paraId="1DE7B43D" w14:textId="77777777">
        <w:trPr>
          <w:trHeight w:val="90"/>
        </w:trPr>
        <w:tc>
          <w:tcPr>
            <w:tcW w:w="903" w:type="pct"/>
            <w:vMerge/>
            <w:tcBorders>
              <w:top w:val="single" w:sz="4" w:space="0" w:color="000000"/>
              <w:left w:val="single" w:sz="12" w:space="0" w:color="000000"/>
              <w:bottom w:val="single" w:sz="4" w:space="0" w:color="000000"/>
            </w:tcBorders>
            <w:vAlign w:val="center"/>
          </w:tcPr>
          <w:p w14:paraId="73AC5C08"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36539CA3" w14:textId="77777777" w:rsidR="001C08A5" w:rsidRDefault="00000000">
            <w:pPr>
              <w:jc w:val="both"/>
              <w:rPr>
                <w:i/>
                <w:iCs/>
                <w:sz w:val="22"/>
                <w:szCs w:val="22"/>
              </w:rPr>
            </w:pPr>
            <w:r>
              <w:rPr>
                <w:i/>
                <w:iCs/>
                <w:sz w:val="22"/>
                <w:szCs w:val="22"/>
              </w:rPr>
              <w:t xml:space="preserve">Clădiri ≥ P+2E (sau ≤ 8 m) şi cu până la 20 m înălţime totală (până la coamă/atic) </w:t>
            </w:r>
            <w:r>
              <w:rPr>
                <w:b/>
                <w:bCs/>
                <w:i/>
                <w:iCs/>
                <w:sz w:val="22"/>
                <w:szCs w:val="22"/>
                <w:vertAlign w:val="superscript"/>
              </w:rPr>
              <w:t xml:space="preserve">1) </w:t>
            </w:r>
          </w:p>
        </w:tc>
        <w:tc>
          <w:tcPr>
            <w:tcW w:w="876" w:type="pct"/>
            <w:tcBorders>
              <w:top w:val="single" w:sz="4" w:space="0" w:color="000000"/>
              <w:bottom w:val="single" w:sz="4" w:space="0" w:color="000000"/>
              <w:right w:val="single" w:sz="12" w:space="0" w:color="000000"/>
            </w:tcBorders>
            <w:vAlign w:val="center"/>
          </w:tcPr>
          <w:p w14:paraId="40ACEB43" w14:textId="77777777" w:rsidR="001C08A5" w:rsidRDefault="00000000">
            <w:pPr>
              <w:jc w:val="center"/>
              <w:rPr>
                <w:i/>
                <w:iCs/>
                <w:sz w:val="22"/>
                <w:szCs w:val="22"/>
              </w:rPr>
            </w:pPr>
            <w:r>
              <w:rPr>
                <w:i/>
                <w:iCs/>
                <w:sz w:val="22"/>
                <w:szCs w:val="22"/>
              </w:rPr>
              <w:t>minimum</w:t>
            </w:r>
          </w:p>
          <w:p w14:paraId="44CA3F35" w14:textId="77777777" w:rsidR="001C08A5" w:rsidRDefault="00000000">
            <w:pPr>
              <w:jc w:val="center"/>
              <w:rPr>
                <w:i/>
                <w:iCs/>
                <w:sz w:val="22"/>
                <w:szCs w:val="22"/>
              </w:rPr>
            </w:pPr>
            <w:r>
              <w:rPr>
                <w:b/>
                <w:bCs/>
                <w:i/>
                <w:iCs/>
                <w:sz w:val="22"/>
                <w:szCs w:val="22"/>
              </w:rPr>
              <w:t>B s2,d0</w:t>
            </w:r>
          </w:p>
        </w:tc>
      </w:tr>
      <w:tr w:rsidR="001C08A5" w14:paraId="3BB04112" w14:textId="77777777">
        <w:trPr>
          <w:trHeight w:val="90"/>
        </w:trPr>
        <w:tc>
          <w:tcPr>
            <w:tcW w:w="903" w:type="pct"/>
            <w:vMerge/>
            <w:tcBorders>
              <w:top w:val="single" w:sz="4" w:space="0" w:color="000000"/>
              <w:left w:val="single" w:sz="12" w:space="0" w:color="000000"/>
              <w:bottom w:val="single" w:sz="4" w:space="0" w:color="000000"/>
            </w:tcBorders>
            <w:vAlign w:val="center"/>
          </w:tcPr>
          <w:p w14:paraId="5CFA55C9" w14:textId="77777777" w:rsidR="001C08A5" w:rsidRDefault="001C08A5">
            <w:pPr>
              <w:jc w:val="center"/>
              <w:rPr>
                <w:b/>
                <w:bCs/>
                <w:i/>
                <w:iCs/>
                <w:sz w:val="22"/>
                <w:szCs w:val="22"/>
              </w:rPr>
            </w:pPr>
          </w:p>
        </w:tc>
        <w:tc>
          <w:tcPr>
            <w:tcW w:w="3221" w:type="pct"/>
            <w:tcBorders>
              <w:top w:val="single" w:sz="4" w:space="0" w:color="000000"/>
              <w:bottom w:val="single" w:sz="4" w:space="0" w:color="000000"/>
            </w:tcBorders>
            <w:vAlign w:val="center"/>
          </w:tcPr>
          <w:p w14:paraId="0AB9E0C1" w14:textId="77777777" w:rsidR="001C08A5" w:rsidRDefault="00000000">
            <w:pPr>
              <w:jc w:val="both"/>
              <w:rPr>
                <w:i/>
                <w:iCs/>
                <w:sz w:val="22"/>
                <w:szCs w:val="22"/>
              </w:rPr>
            </w:pPr>
            <w:r>
              <w:rPr>
                <w:i/>
                <w:iCs/>
                <w:sz w:val="22"/>
                <w:szCs w:val="22"/>
              </w:rPr>
              <w:t>Clădiri &gt; P+5E</w:t>
            </w:r>
            <w:r>
              <w:rPr>
                <w:b/>
                <w:bCs/>
                <w:i/>
                <w:iCs/>
                <w:sz w:val="22"/>
                <w:szCs w:val="22"/>
                <w:vertAlign w:val="superscript"/>
              </w:rPr>
              <w:t xml:space="preserve"> 2)</w:t>
            </w:r>
          </w:p>
          <w:p w14:paraId="17F012B3" w14:textId="77777777" w:rsidR="001C08A5" w:rsidRDefault="00000000">
            <w:pPr>
              <w:jc w:val="both"/>
              <w:rPr>
                <w:i/>
                <w:iCs/>
                <w:sz w:val="22"/>
                <w:szCs w:val="22"/>
              </w:rPr>
            </w:pPr>
            <w:r>
              <w:rPr>
                <w:i/>
                <w:iCs/>
                <w:sz w:val="22"/>
                <w:szCs w:val="22"/>
              </w:rPr>
              <w:t xml:space="preserve">sau </w:t>
            </w:r>
          </w:p>
          <w:p w14:paraId="700A148C" w14:textId="77777777" w:rsidR="001C08A5" w:rsidRDefault="00000000">
            <w:pPr>
              <w:jc w:val="both"/>
              <w:rPr>
                <w:i/>
                <w:iCs/>
                <w:sz w:val="22"/>
                <w:szCs w:val="22"/>
              </w:rPr>
            </w:pPr>
            <w:r>
              <w:rPr>
                <w:i/>
                <w:iCs/>
                <w:sz w:val="22"/>
                <w:szCs w:val="22"/>
              </w:rPr>
              <w:t xml:space="preserve">Clădiri cu </w:t>
            </w:r>
            <w:r>
              <w:rPr>
                <w:bCs/>
                <w:i/>
                <w:iCs/>
                <w:sz w:val="22"/>
                <w:szCs w:val="22"/>
              </w:rPr>
              <w:t>mai mult de 20 m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 xml:space="preserve">ă (până la coamă/atic) </w:t>
            </w:r>
            <w:r>
              <w:rPr>
                <w:b/>
                <w:bCs/>
                <w:i/>
                <w:iCs/>
                <w:sz w:val="22"/>
                <w:szCs w:val="22"/>
                <w:vertAlign w:val="superscript"/>
              </w:rPr>
              <w:t>1) 2)</w:t>
            </w:r>
          </w:p>
        </w:tc>
        <w:tc>
          <w:tcPr>
            <w:tcW w:w="876" w:type="pct"/>
            <w:tcBorders>
              <w:top w:val="single" w:sz="4" w:space="0" w:color="000000"/>
              <w:bottom w:val="single" w:sz="4" w:space="0" w:color="000000"/>
              <w:right w:val="single" w:sz="12" w:space="0" w:color="000000"/>
            </w:tcBorders>
            <w:vAlign w:val="center"/>
          </w:tcPr>
          <w:p w14:paraId="4DC32F8D" w14:textId="77777777" w:rsidR="001C08A5" w:rsidRDefault="00000000">
            <w:pPr>
              <w:jc w:val="center"/>
              <w:rPr>
                <w:i/>
                <w:iCs/>
                <w:sz w:val="22"/>
                <w:szCs w:val="22"/>
              </w:rPr>
            </w:pPr>
            <w:r>
              <w:rPr>
                <w:i/>
                <w:iCs/>
                <w:sz w:val="22"/>
                <w:szCs w:val="22"/>
              </w:rPr>
              <w:t>minimum</w:t>
            </w:r>
          </w:p>
          <w:p w14:paraId="54041541" w14:textId="77777777" w:rsidR="001C08A5" w:rsidRDefault="00000000">
            <w:pPr>
              <w:jc w:val="center"/>
              <w:rPr>
                <w:i/>
                <w:iCs/>
                <w:sz w:val="22"/>
                <w:szCs w:val="22"/>
              </w:rPr>
            </w:pPr>
            <w:r>
              <w:rPr>
                <w:b/>
                <w:bCs/>
                <w:i/>
                <w:iCs/>
                <w:sz w:val="22"/>
                <w:szCs w:val="22"/>
              </w:rPr>
              <w:t>B s1,d0</w:t>
            </w:r>
          </w:p>
        </w:tc>
      </w:tr>
      <w:tr w:rsidR="001C08A5" w14:paraId="64A9D0D5" w14:textId="77777777">
        <w:trPr>
          <w:trHeight w:val="90"/>
        </w:trPr>
        <w:tc>
          <w:tcPr>
            <w:tcW w:w="903" w:type="pct"/>
            <w:vMerge/>
            <w:tcBorders>
              <w:top w:val="single" w:sz="4" w:space="0" w:color="000000"/>
              <w:left w:val="single" w:sz="12" w:space="0" w:color="000000"/>
              <w:bottom w:val="single" w:sz="12" w:space="0" w:color="000000"/>
            </w:tcBorders>
            <w:vAlign w:val="center"/>
          </w:tcPr>
          <w:p w14:paraId="73BD1CF0"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390C1561" w14:textId="77777777" w:rsidR="001C08A5" w:rsidRDefault="00000000">
            <w:pPr>
              <w:jc w:val="both"/>
              <w:rPr>
                <w:i/>
                <w:iCs/>
                <w:sz w:val="22"/>
                <w:szCs w:val="22"/>
              </w:rPr>
            </w:pPr>
            <w:r>
              <w:rPr>
                <w:i/>
                <w:iCs/>
                <w:sz w:val="22"/>
                <w:szCs w:val="22"/>
              </w:rPr>
              <w:t>Clădiri înalte sau foarte înalte</w:t>
            </w:r>
          </w:p>
        </w:tc>
        <w:tc>
          <w:tcPr>
            <w:tcW w:w="876" w:type="pct"/>
            <w:tcBorders>
              <w:top w:val="single" w:sz="4" w:space="0" w:color="000000"/>
              <w:bottom w:val="single" w:sz="12" w:space="0" w:color="000000"/>
              <w:right w:val="single" w:sz="12" w:space="0" w:color="000000"/>
            </w:tcBorders>
            <w:vAlign w:val="center"/>
          </w:tcPr>
          <w:p w14:paraId="1F9CFD30" w14:textId="77777777" w:rsidR="001C08A5" w:rsidRDefault="00000000">
            <w:pPr>
              <w:jc w:val="center"/>
              <w:rPr>
                <w:i/>
                <w:iCs/>
                <w:sz w:val="22"/>
                <w:szCs w:val="22"/>
              </w:rPr>
            </w:pPr>
            <w:r>
              <w:rPr>
                <w:b/>
                <w:bCs/>
                <w:i/>
                <w:iCs/>
                <w:sz w:val="22"/>
                <w:szCs w:val="22"/>
              </w:rPr>
              <w:t>A1 sau A2-s1d0</w:t>
            </w:r>
          </w:p>
        </w:tc>
      </w:tr>
      <w:tr w:rsidR="001C08A5" w14:paraId="458F6021" w14:textId="77777777">
        <w:trPr>
          <w:trHeight w:val="90"/>
        </w:trPr>
        <w:tc>
          <w:tcPr>
            <w:tcW w:w="903" w:type="pct"/>
            <w:vMerge w:val="restart"/>
            <w:tcBorders>
              <w:top w:val="single" w:sz="12" w:space="0" w:color="000000"/>
              <w:left w:val="single" w:sz="12" w:space="0" w:color="000000"/>
            </w:tcBorders>
            <w:vAlign w:val="center"/>
          </w:tcPr>
          <w:p w14:paraId="61BD76A2" w14:textId="77777777" w:rsidR="001C08A5" w:rsidRDefault="00000000">
            <w:pPr>
              <w:jc w:val="center"/>
              <w:rPr>
                <w:b/>
                <w:bCs/>
                <w:i/>
                <w:iCs/>
                <w:sz w:val="22"/>
                <w:szCs w:val="22"/>
              </w:rPr>
            </w:pPr>
            <w:r>
              <w:rPr>
                <w:rFonts w:eastAsia="Times-Roman"/>
                <w:b/>
                <w:bCs/>
                <w:i/>
                <w:iCs/>
                <w:sz w:val="22"/>
                <w:szCs w:val="22"/>
              </w:rPr>
              <w:t>Clădiri / compartimente de incendiu cu săli aglomerate</w:t>
            </w:r>
          </w:p>
        </w:tc>
        <w:tc>
          <w:tcPr>
            <w:tcW w:w="3221" w:type="pct"/>
            <w:tcBorders>
              <w:top w:val="single" w:sz="12" w:space="0" w:color="000000"/>
              <w:bottom w:val="single" w:sz="4" w:space="0" w:color="000000"/>
            </w:tcBorders>
            <w:vAlign w:val="center"/>
          </w:tcPr>
          <w:p w14:paraId="3C7D1D56" w14:textId="77777777" w:rsidR="001C08A5" w:rsidRDefault="00000000">
            <w:pPr>
              <w:jc w:val="both"/>
              <w:rPr>
                <w:i/>
                <w:iCs/>
                <w:sz w:val="22"/>
                <w:szCs w:val="22"/>
              </w:rPr>
            </w:pPr>
            <w:r>
              <w:rPr>
                <w:i/>
                <w:iCs/>
                <w:sz w:val="22"/>
                <w:szCs w:val="22"/>
              </w:rPr>
              <w:t>Comasate (cu alte săli aglomerate)</w:t>
            </w:r>
          </w:p>
        </w:tc>
        <w:tc>
          <w:tcPr>
            <w:tcW w:w="876" w:type="pct"/>
            <w:tcBorders>
              <w:top w:val="single" w:sz="12" w:space="0" w:color="000000"/>
              <w:bottom w:val="single" w:sz="4" w:space="0" w:color="000000"/>
              <w:right w:val="single" w:sz="12" w:space="0" w:color="000000"/>
            </w:tcBorders>
            <w:vAlign w:val="center"/>
          </w:tcPr>
          <w:p w14:paraId="26DB4915" w14:textId="77777777" w:rsidR="001C08A5" w:rsidRDefault="00000000">
            <w:pPr>
              <w:jc w:val="center"/>
              <w:rPr>
                <w:i/>
                <w:iCs/>
                <w:sz w:val="22"/>
                <w:szCs w:val="22"/>
              </w:rPr>
            </w:pPr>
            <w:r>
              <w:rPr>
                <w:b/>
                <w:bCs/>
                <w:i/>
                <w:iCs/>
                <w:sz w:val="22"/>
                <w:szCs w:val="22"/>
              </w:rPr>
              <w:t>A1 sau A2-s1d0</w:t>
            </w:r>
          </w:p>
        </w:tc>
      </w:tr>
      <w:tr w:rsidR="001C08A5" w14:paraId="2513B6B5" w14:textId="77777777">
        <w:trPr>
          <w:trHeight w:val="90"/>
        </w:trPr>
        <w:tc>
          <w:tcPr>
            <w:tcW w:w="903" w:type="pct"/>
            <w:vMerge/>
            <w:tcBorders>
              <w:left w:val="single" w:sz="12" w:space="0" w:color="000000"/>
              <w:bottom w:val="single" w:sz="12" w:space="0" w:color="000000"/>
            </w:tcBorders>
            <w:vAlign w:val="center"/>
          </w:tcPr>
          <w:p w14:paraId="28679FFE" w14:textId="77777777" w:rsidR="001C08A5" w:rsidRDefault="001C08A5">
            <w:pPr>
              <w:jc w:val="center"/>
              <w:rPr>
                <w:b/>
                <w:bCs/>
                <w:i/>
                <w:iCs/>
                <w:sz w:val="22"/>
                <w:szCs w:val="22"/>
              </w:rPr>
            </w:pPr>
          </w:p>
        </w:tc>
        <w:tc>
          <w:tcPr>
            <w:tcW w:w="3221" w:type="pct"/>
            <w:tcBorders>
              <w:top w:val="single" w:sz="4" w:space="0" w:color="000000"/>
              <w:bottom w:val="single" w:sz="4" w:space="0" w:color="auto"/>
            </w:tcBorders>
            <w:vAlign w:val="center"/>
          </w:tcPr>
          <w:p w14:paraId="2A718A1F" w14:textId="77777777" w:rsidR="001C08A5" w:rsidRDefault="00000000">
            <w:pPr>
              <w:jc w:val="both"/>
              <w:rPr>
                <w:i/>
                <w:iCs/>
                <w:sz w:val="22"/>
                <w:szCs w:val="22"/>
              </w:rPr>
            </w:pPr>
            <w:r>
              <w:rPr>
                <w:i/>
                <w:iCs/>
                <w:sz w:val="22"/>
                <w:szCs w:val="22"/>
              </w:rPr>
              <w:t>Independente</w:t>
            </w:r>
          </w:p>
        </w:tc>
        <w:tc>
          <w:tcPr>
            <w:tcW w:w="876" w:type="pct"/>
            <w:tcBorders>
              <w:top w:val="single" w:sz="4" w:space="0" w:color="000000"/>
              <w:bottom w:val="single" w:sz="4" w:space="0" w:color="auto"/>
              <w:right w:val="single" w:sz="12" w:space="0" w:color="000000"/>
            </w:tcBorders>
            <w:vAlign w:val="center"/>
          </w:tcPr>
          <w:p w14:paraId="60CC9F9A" w14:textId="77777777" w:rsidR="001C08A5" w:rsidRDefault="00000000">
            <w:pPr>
              <w:ind w:firstLine="34"/>
              <w:jc w:val="center"/>
              <w:rPr>
                <w:i/>
                <w:iCs/>
                <w:sz w:val="22"/>
                <w:szCs w:val="22"/>
              </w:rPr>
            </w:pPr>
            <w:r>
              <w:rPr>
                <w:b/>
                <w:bCs/>
                <w:i/>
                <w:iCs/>
                <w:sz w:val="22"/>
                <w:szCs w:val="22"/>
              </w:rPr>
              <w:t>A1 sau A2-s1d0</w:t>
            </w:r>
          </w:p>
        </w:tc>
      </w:tr>
      <w:tr w:rsidR="001C08A5" w14:paraId="31BEC7DE" w14:textId="77777777">
        <w:trPr>
          <w:trHeight w:val="90"/>
        </w:trPr>
        <w:tc>
          <w:tcPr>
            <w:tcW w:w="903" w:type="pct"/>
            <w:vMerge w:val="restart"/>
            <w:tcBorders>
              <w:left w:val="single" w:sz="12" w:space="0" w:color="000000"/>
            </w:tcBorders>
            <w:vAlign w:val="center"/>
          </w:tcPr>
          <w:p w14:paraId="0054F67B" w14:textId="77777777" w:rsidR="001C08A5" w:rsidRDefault="00000000">
            <w:pPr>
              <w:jc w:val="center"/>
              <w:rPr>
                <w:b/>
                <w:bCs/>
                <w:i/>
                <w:iCs/>
                <w:sz w:val="22"/>
                <w:szCs w:val="22"/>
              </w:rPr>
            </w:pPr>
            <w:r>
              <w:rPr>
                <w:b/>
                <w:bCs/>
                <w:i/>
                <w:iCs/>
                <w:sz w:val="22"/>
                <w:szCs w:val="22"/>
              </w:rPr>
              <w:t>Alte funcțiuni</w:t>
            </w:r>
          </w:p>
        </w:tc>
        <w:tc>
          <w:tcPr>
            <w:tcW w:w="3221" w:type="pct"/>
            <w:tcBorders>
              <w:top w:val="single" w:sz="4" w:space="0" w:color="auto"/>
              <w:bottom w:val="single" w:sz="12" w:space="0" w:color="000000"/>
            </w:tcBorders>
            <w:vAlign w:val="center"/>
          </w:tcPr>
          <w:p w14:paraId="56806D0D" w14:textId="77777777" w:rsidR="001C08A5" w:rsidRDefault="00000000">
            <w:pPr>
              <w:jc w:val="both"/>
              <w:rPr>
                <w:i/>
                <w:iCs/>
                <w:sz w:val="22"/>
                <w:szCs w:val="22"/>
              </w:rPr>
            </w:pPr>
            <w:r>
              <w:rPr>
                <w:i/>
                <w:iCs/>
                <w:sz w:val="22"/>
                <w:szCs w:val="22"/>
              </w:rPr>
              <w:t xml:space="preserve">Clădiri ≤ P+2E </w:t>
            </w:r>
            <w:r>
              <w:rPr>
                <w:b/>
                <w:bCs/>
                <w:i/>
                <w:iCs/>
                <w:sz w:val="22"/>
                <w:szCs w:val="22"/>
                <w:vertAlign w:val="superscript"/>
              </w:rPr>
              <w:t xml:space="preserve">2) </w:t>
            </w:r>
          </w:p>
        </w:tc>
        <w:tc>
          <w:tcPr>
            <w:tcW w:w="876" w:type="pct"/>
            <w:tcBorders>
              <w:top w:val="single" w:sz="4" w:space="0" w:color="auto"/>
              <w:bottom w:val="single" w:sz="12" w:space="0" w:color="000000"/>
              <w:right w:val="single" w:sz="12" w:space="0" w:color="000000"/>
            </w:tcBorders>
            <w:vAlign w:val="center"/>
          </w:tcPr>
          <w:p w14:paraId="17E4778C" w14:textId="77777777" w:rsidR="001C08A5" w:rsidRDefault="00000000">
            <w:pPr>
              <w:jc w:val="center"/>
              <w:rPr>
                <w:i/>
                <w:iCs/>
                <w:sz w:val="22"/>
                <w:szCs w:val="22"/>
              </w:rPr>
            </w:pPr>
            <w:r>
              <w:rPr>
                <w:i/>
                <w:iCs/>
                <w:sz w:val="22"/>
                <w:szCs w:val="22"/>
              </w:rPr>
              <w:t>minimum</w:t>
            </w:r>
          </w:p>
          <w:p w14:paraId="32CB0655" w14:textId="77777777" w:rsidR="001C08A5" w:rsidRDefault="00000000">
            <w:pPr>
              <w:ind w:firstLine="34"/>
              <w:jc w:val="center"/>
              <w:rPr>
                <w:b/>
                <w:bCs/>
                <w:i/>
                <w:iCs/>
                <w:sz w:val="22"/>
                <w:szCs w:val="22"/>
              </w:rPr>
            </w:pPr>
            <w:r>
              <w:rPr>
                <w:b/>
                <w:bCs/>
                <w:i/>
                <w:iCs/>
                <w:sz w:val="22"/>
                <w:szCs w:val="22"/>
              </w:rPr>
              <w:t>C- s3,d0</w:t>
            </w:r>
          </w:p>
        </w:tc>
      </w:tr>
      <w:tr w:rsidR="001C08A5" w14:paraId="787E4EA3" w14:textId="77777777">
        <w:trPr>
          <w:trHeight w:val="90"/>
        </w:trPr>
        <w:tc>
          <w:tcPr>
            <w:tcW w:w="903" w:type="pct"/>
            <w:vMerge/>
            <w:tcBorders>
              <w:left w:val="single" w:sz="12" w:space="0" w:color="000000"/>
            </w:tcBorders>
            <w:vAlign w:val="center"/>
          </w:tcPr>
          <w:p w14:paraId="7F065315"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30AE38C0" w14:textId="77777777" w:rsidR="001C08A5" w:rsidRDefault="00000000">
            <w:pPr>
              <w:jc w:val="both"/>
              <w:rPr>
                <w:i/>
                <w:iCs/>
                <w:sz w:val="22"/>
                <w:szCs w:val="22"/>
              </w:rPr>
            </w:pPr>
            <w:r>
              <w:rPr>
                <w:i/>
                <w:iCs/>
                <w:sz w:val="22"/>
                <w:szCs w:val="22"/>
              </w:rPr>
              <w:t xml:space="preserve">Clădiri &gt; P+2E şi ≤ P+5E </w:t>
            </w:r>
          </w:p>
          <w:p w14:paraId="26C3FBC9" w14:textId="77777777" w:rsidR="001C08A5" w:rsidRDefault="00000000">
            <w:pPr>
              <w:jc w:val="both"/>
              <w:rPr>
                <w:i/>
                <w:iCs/>
                <w:sz w:val="22"/>
                <w:szCs w:val="22"/>
              </w:rPr>
            </w:pPr>
            <w:r>
              <w:rPr>
                <w:i/>
                <w:iCs/>
                <w:sz w:val="22"/>
                <w:szCs w:val="22"/>
              </w:rPr>
              <w:t xml:space="preserve">sau </w:t>
            </w:r>
          </w:p>
          <w:p w14:paraId="479F2649" w14:textId="77777777" w:rsidR="001C08A5" w:rsidRDefault="00000000">
            <w:pPr>
              <w:jc w:val="both"/>
              <w:rPr>
                <w:i/>
                <w:iCs/>
                <w:sz w:val="22"/>
                <w:szCs w:val="22"/>
              </w:rPr>
            </w:pPr>
            <w:r>
              <w:rPr>
                <w:i/>
                <w:iCs/>
                <w:sz w:val="22"/>
                <w:szCs w:val="22"/>
              </w:rPr>
              <w:t xml:space="preserve">Clădiri cu până la 20 m înălţime totală (până la coamă/atic) </w:t>
            </w:r>
            <w:r>
              <w:rPr>
                <w:b/>
                <w:bCs/>
                <w:i/>
                <w:iCs/>
                <w:sz w:val="22"/>
                <w:szCs w:val="22"/>
                <w:vertAlign w:val="superscript"/>
              </w:rPr>
              <w:t>1) 2)</w:t>
            </w:r>
          </w:p>
        </w:tc>
        <w:tc>
          <w:tcPr>
            <w:tcW w:w="876" w:type="pct"/>
            <w:tcBorders>
              <w:top w:val="single" w:sz="4" w:space="0" w:color="000000"/>
              <w:bottom w:val="single" w:sz="12" w:space="0" w:color="000000"/>
              <w:right w:val="single" w:sz="12" w:space="0" w:color="000000"/>
            </w:tcBorders>
            <w:vAlign w:val="center"/>
          </w:tcPr>
          <w:p w14:paraId="3F8C974F" w14:textId="77777777" w:rsidR="001C08A5" w:rsidRDefault="00000000">
            <w:pPr>
              <w:jc w:val="center"/>
              <w:rPr>
                <w:i/>
                <w:iCs/>
                <w:sz w:val="22"/>
                <w:szCs w:val="22"/>
              </w:rPr>
            </w:pPr>
            <w:r>
              <w:rPr>
                <w:i/>
                <w:iCs/>
                <w:sz w:val="22"/>
                <w:szCs w:val="22"/>
              </w:rPr>
              <w:t>minimum</w:t>
            </w:r>
          </w:p>
          <w:p w14:paraId="0F9594E8" w14:textId="77777777" w:rsidR="001C08A5" w:rsidRDefault="00000000">
            <w:pPr>
              <w:jc w:val="center"/>
              <w:rPr>
                <w:i/>
                <w:iCs/>
                <w:sz w:val="22"/>
                <w:szCs w:val="22"/>
              </w:rPr>
            </w:pPr>
            <w:r>
              <w:rPr>
                <w:b/>
                <w:bCs/>
                <w:i/>
                <w:iCs/>
                <w:sz w:val="22"/>
                <w:szCs w:val="22"/>
              </w:rPr>
              <w:t>B- s3,d0</w:t>
            </w:r>
          </w:p>
        </w:tc>
      </w:tr>
      <w:tr w:rsidR="001C08A5" w14:paraId="17F6B0C2" w14:textId="77777777">
        <w:trPr>
          <w:trHeight w:val="90"/>
        </w:trPr>
        <w:tc>
          <w:tcPr>
            <w:tcW w:w="903" w:type="pct"/>
            <w:vMerge/>
            <w:tcBorders>
              <w:left w:val="single" w:sz="12" w:space="0" w:color="000000"/>
            </w:tcBorders>
            <w:vAlign w:val="center"/>
          </w:tcPr>
          <w:p w14:paraId="209BB28F"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101DEECB" w14:textId="77777777" w:rsidR="001C08A5" w:rsidRDefault="00000000">
            <w:pPr>
              <w:jc w:val="both"/>
              <w:rPr>
                <w:i/>
                <w:iCs/>
                <w:sz w:val="22"/>
                <w:szCs w:val="22"/>
              </w:rPr>
            </w:pPr>
            <w:r>
              <w:rPr>
                <w:i/>
                <w:iCs/>
                <w:sz w:val="22"/>
                <w:szCs w:val="22"/>
              </w:rPr>
              <w:t xml:space="preserve">&gt; P+5E </w:t>
            </w:r>
          </w:p>
          <w:p w14:paraId="675EA93A" w14:textId="77777777" w:rsidR="001C08A5" w:rsidRDefault="00000000">
            <w:pPr>
              <w:jc w:val="both"/>
              <w:rPr>
                <w:i/>
                <w:iCs/>
                <w:sz w:val="22"/>
                <w:szCs w:val="22"/>
              </w:rPr>
            </w:pPr>
            <w:r>
              <w:rPr>
                <w:i/>
                <w:iCs/>
                <w:sz w:val="22"/>
                <w:szCs w:val="22"/>
              </w:rPr>
              <w:t xml:space="preserve">sau </w:t>
            </w:r>
          </w:p>
          <w:p w14:paraId="358EFADA" w14:textId="77777777" w:rsidR="001C08A5" w:rsidRDefault="00000000">
            <w:pPr>
              <w:jc w:val="both"/>
              <w:rPr>
                <w:i/>
                <w:iCs/>
                <w:sz w:val="22"/>
                <w:szCs w:val="22"/>
              </w:rPr>
            </w:pPr>
            <w:r>
              <w:rPr>
                <w:i/>
                <w:iCs/>
                <w:sz w:val="22"/>
                <w:szCs w:val="22"/>
              </w:rPr>
              <w:t xml:space="preserve">Clădiri cu </w:t>
            </w:r>
            <w:r>
              <w:rPr>
                <w:bCs/>
                <w:i/>
                <w:iCs/>
                <w:sz w:val="22"/>
                <w:szCs w:val="22"/>
              </w:rPr>
              <w:t>mai mult de 20 m în</w:t>
            </w:r>
            <w:r>
              <w:rPr>
                <w:i/>
                <w:iCs/>
                <w:sz w:val="22"/>
                <w:szCs w:val="22"/>
              </w:rPr>
              <w:t>ă</w:t>
            </w:r>
            <w:r>
              <w:rPr>
                <w:bCs/>
                <w:i/>
                <w:iCs/>
                <w:sz w:val="22"/>
                <w:szCs w:val="22"/>
              </w:rPr>
              <w:t>l</w:t>
            </w:r>
            <w:r>
              <w:rPr>
                <w:i/>
                <w:iCs/>
                <w:sz w:val="22"/>
                <w:szCs w:val="22"/>
              </w:rPr>
              <w:t>ţ</w:t>
            </w:r>
            <w:r>
              <w:rPr>
                <w:bCs/>
                <w:i/>
                <w:iCs/>
                <w:sz w:val="22"/>
                <w:szCs w:val="22"/>
              </w:rPr>
              <w:t>ime total</w:t>
            </w:r>
            <w:r>
              <w:rPr>
                <w:i/>
                <w:iCs/>
                <w:sz w:val="22"/>
                <w:szCs w:val="22"/>
              </w:rPr>
              <w:t>ă (până la coamă/atic)</w:t>
            </w:r>
            <w:r>
              <w:rPr>
                <w:b/>
                <w:bCs/>
                <w:i/>
                <w:iCs/>
                <w:sz w:val="22"/>
                <w:szCs w:val="22"/>
                <w:vertAlign w:val="superscript"/>
              </w:rPr>
              <w:t>1) 2)  3)</w:t>
            </w:r>
          </w:p>
        </w:tc>
        <w:tc>
          <w:tcPr>
            <w:tcW w:w="876" w:type="pct"/>
            <w:tcBorders>
              <w:top w:val="single" w:sz="4" w:space="0" w:color="000000"/>
              <w:bottom w:val="single" w:sz="12" w:space="0" w:color="000000"/>
              <w:right w:val="single" w:sz="12" w:space="0" w:color="000000"/>
            </w:tcBorders>
            <w:vAlign w:val="center"/>
          </w:tcPr>
          <w:p w14:paraId="493A3C6F" w14:textId="77777777" w:rsidR="001C08A5" w:rsidRDefault="00000000">
            <w:pPr>
              <w:jc w:val="center"/>
              <w:rPr>
                <w:i/>
                <w:iCs/>
                <w:sz w:val="22"/>
                <w:szCs w:val="22"/>
              </w:rPr>
            </w:pPr>
            <w:r>
              <w:rPr>
                <w:i/>
                <w:iCs/>
                <w:sz w:val="22"/>
                <w:szCs w:val="22"/>
              </w:rPr>
              <w:t>minimum</w:t>
            </w:r>
          </w:p>
          <w:p w14:paraId="5A2D53DA" w14:textId="77777777" w:rsidR="001C08A5" w:rsidRDefault="00000000">
            <w:pPr>
              <w:jc w:val="center"/>
              <w:rPr>
                <w:i/>
                <w:iCs/>
                <w:sz w:val="22"/>
                <w:szCs w:val="22"/>
              </w:rPr>
            </w:pPr>
            <w:r>
              <w:rPr>
                <w:b/>
                <w:bCs/>
                <w:i/>
                <w:iCs/>
                <w:sz w:val="22"/>
                <w:szCs w:val="22"/>
              </w:rPr>
              <w:t>B- s2,d0</w:t>
            </w:r>
          </w:p>
        </w:tc>
      </w:tr>
      <w:tr w:rsidR="001C08A5" w14:paraId="6F23615D" w14:textId="77777777">
        <w:trPr>
          <w:trHeight w:val="90"/>
        </w:trPr>
        <w:tc>
          <w:tcPr>
            <w:tcW w:w="903" w:type="pct"/>
            <w:vMerge/>
            <w:tcBorders>
              <w:left w:val="single" w:sz="12" w:space="0" w:color="000000"/>
              <w:bottom w:val="single" w:sz="12" w:space="0" w:color="000000"/>
            </w:tcBorders>
            <w:vAlign w:val="center"/>
          </w:tcPr>
          <w:p w14:paraId="6DE7BECB" w14:textId="77777777" w:rsidR="001C08A5" w:rsidRDefault="001C08A5">
            <w:pPr>
              <w:jc w:val="center"/>
              <w:rPr>
                <w:b/>
                <w:bCs/>
                <w:i/>
                <w:iCs/>
                <w:sz w:val="22"/>
                <w:szCs w:val="22"/>
              </w:rPr>
            </w:pPr>
          </w:p>
        </w:tc>
        <w:tc>
          <w:tcPr>
            <w:tcW w:w="3221" w:type="pct"/>
            <w:tcBorders>
              <w:top w:val="single" w:sz="4" w:space="0" w:color="000000"/>
              <w:bottom w:val="single" w:sz="12" w:space="0" w:color="000000"/>
            </w:tcBorders>
            <w:vAlign w:val="center"/>
          </w:tcPr>
          <w:p w14:paraId="6E8F540D" w14:textId="77777777" w:rsidR="001C08A5" w:rsidRDefault="00000000">
            <w:pPr>
              <w:jc w:val="both"/>
              <w:rPr>
                <w:i/>
                <w:iCs/>
                <w:sz w:val="22"/>
                <w:szCs w:val="22"/>
              </w:rPr>
            </w:pPr>
            <w:r>
              <w:rPr>
                <w:i/>
                <w:iCs/>
                <w:sz w:val="22"/>
                <w:szCs w:val="22"/>
              </w:rPr>
              <w:t>Clădiri înalte sau foarte înalte</w:t>
            </w:r>
          </w:p>
        </w:tc>
        <w:tc>
          <w:tcPr>
            <w:tcW w:w="876" w:type="pct"/>
            <w:tcBorders>
              <w:top w:val="single" w:sz="4" w:space="0" w:color="000000"/>
              <w:bottom w:val="single" w:sz="12" w:space="0" w:color="000000"/>
              <w:right w:val="single" w:sz="12" w:space="0" w:color="000000"/>
            </w:tcBorders>
            <w:vAlign w:val="center"/>
          </w:tcPr>
          <w:p w14:paraId="0B985C8E" w14:textId="77777777" w:rsidR="001C08A5" w:rsidRDefault="00000000">
            <w:pPr>
              <w:jc w:val="center"/>
              <w:rPr>
                <w:i/>
                <w:iCs/>
                <w:sz w:val="22"/>
                <w:szCs w:val="22"/>
              </w:rPr>
            </w:pPr>
            <w:r>
              <w:rPr>
                <w:b/>
                <w:bCs/>
                <w:i/>
                <w:iCs/>
                <w:sz w:val="22"/>
                <w:szCs w:val="22"/>
              </w:rPr>
              <w:t>A1 sau A2-s1,d0</w:t>
            </w:r>
          </w:p>
        </w:tc>
      </w:tr>
    </w:tbl>
    <w:p w14:paraId="3B5B2C50" w14:textId="77777777" w:rsidR="001C08A5" w:rsidRDefault="00000000">
      <w:pPr>
        <w:jc w:val="both"/>
        <w:rPr>
          <w:i/>
          <w:iCs/>
          <w:sz w:val="22"/>
          <w:szCs w:val="22"/>
        </w:rPr>
      </w:pPr>
      <w:r>
        <w:rPr>
          <w:i/>
          <w:iCs/>
          <w:sz w:val="22"/>
          <w:szCs w:val="22"/>
        </w:rPr>
        <w:t>Note:</w:t>
      </w:r>
    </w:p>
    <w:p w14:paraId="33BFD8E6" w14:textId="77777777" w:rsidR="001C08A5" w:rsidRDefault="00000000">
      <w:pPr>
        <w:jc w:val="both"/>
        <w:rPr>
          <w:i/>
          <w:iCs/>
          <w:sz w:val="22"/>
          <w:szCs w:val="22"/>
        </w:rPr>
      </w:pPr>
      <w:r>
        <w:rPr>
          <w:b/>
          <w:bCs/>
          <w:i/>
          <w:iCs/>
          <w:sz w:val="22"/>
          <w:szCs w:val="22"/>
          <w:vertAlign w:val="superscript"/>
        </w:rPr>
        <w:t>1)</w:t>
      </w:r>
      <w:r>
        <w:rPr>
          <w:b/>
          <w:bCs/>
          <w:i/>
          <w:iCs/>
          <w:sz w:val="22"/>
          <w:szCs w:val="22"/>
        </w:rPr>
        <w:t xml:space="preserve">- </w:t>
      </w:r>
      <w:r>
        <w:rPr>
          <w:i/>
          <w:iCs/>
          <w:sz w:val="22"/>
          <w:szCs w:val="22"/>
        </w:rPr>
        <w:t>măsurată faţă de terenul carosabil adiacent accesibil cel mai de jos, în situația în care aceesul este posibil pe mai multe fațade.</w:t>
      </w:r>
    </w:p>
    <w:p w14:paraId="61F0AF3E" w14:textId="77777777" w:rsidR="001C08A5" w:rsidRDefault="00000000">
      <w:pPr>
        <w:jc w:val="both"/>
        <w:rPr>
          <w:i/>
          <w:iCs/>
          <w:sz w:val="22"/>
          <w:szCs w:val="22"/>
        </w:rPr>
      </w:pPr>
      <w:r>
        <w:rPr>
          <w:b/>
          <w:bCs/>
          <w:i/>
          <w:iCs/>
          <w:sz w:val="22"/>
          <w:szCs w:val="22"/>
          <w:vertAlign w:val="superscript"/>
        </w:rPr>
        <w:t>2)</w:t>
      </w:r>
      <w:r>
        <w:rPr>
          <w:b/>
          <w:bCs/>
          <w:i/>
          <w:iCs/>
          <w:sz w:val="22"/>
          <w:szCs w:val="22"/>
        </w:rPr>
        <w:t xml:space="preserve"> - </w:t>
      </w:r>
      <w:r>
        <w:rPr>
          <w:i/>
          <w:iCs/>
          <w:sz w:val="22"/>
          <w:szCs w:val="22"/>
        </w:rPr>
        <w:t>nu se referă la clădirile înalte sau foarte înalte</w:t>
      </w:r>
    </w:p>
    <w:p w14:paraId="697FC67F" w14:textId="77777777" w:rsidR="001C08A5" w:rsidRDefault="00000000">
      <w:pPr>
        <w:jc w:val="both"/>
        <w:rPr>
          <w:i/>
          <w:iCs/>
          <w:sz w:val="22"/>
          <w:szCs w:val="22"/>
        </w:rPr>
      </w:pPr>
      <w:r>
        <w:rPr>
          <w:i/>
          <w:iCs/>
          <w:sz w:val="22"/>
          <w:szCs w:val="22"/>
        </w:rPr>
        <w:t>- în cazurile în care construcţia proiectată se va încadra în numărul de niveluri supraterane maxim admise precizate în tabel, dar nivelul de stabilitate la incendiu este superior, atunci se va opta pentru sistemele compozite de izolare termică ale faţadei pline corespunzătoare nivelului de stabilitate la incendiu proiectat, dar acestea nu se vor lua în calcul la stabilirea nivelului de stabilitate la incendiu.</w:t>
      </w:r>
    </w:p>
    <w:p w14:paraId="65EEE255" w14:textId="77777777" w:rsidR="001C08A5" w:rsidRDefault="00000000">
      <w:pPr>
        <w:jc w:val="both"/>
        <w:rPr>
          <w:i/>
          <w:iCs/>
          <w:sz w:val="22"/>
          <w:szCs w:val="22"/>
        </w:rPr>
      </w:pPr>
      <w:r>
        <w:rPr>
          <w:i/>
          <w:iCs/>
          <w:sz w:val="22"/>
          <w:szCs w:val="22"/>
        </w:rPr>
        <w:t xml:space="preserve">- </w:t>
      </w:r>
      <w:r>
        <w:rPr>
          <w:rFonts w:eastAsia="Times New Roman"/>
          <w:i/>
          <w:iCs/>
          <w:sz w:val="22"/>
          <w:szCs w:val="22"/>
        </w:rPr>
        <w:t xml:space="preserve">termoizolația exterioara și / sau sistemele compozite de izolare termică exterioară </w:t>
      </w:r>
      <w:r>
        <w:rPr>
          <w:i/>
          <w:iCs/>
          <w:sz w:val="22"/>
          <w:szCs w:val="22"/>
        </w:rPr>
        <w:t>se vor monta conform recomandarilor producatorilor</w:t>
      </w:r>
    </w:p>
    <w:p w14:paraId="186DBBCF" w14:textId="77777777" w:rsidR="001C08A5" w:rsidRDefault="00000000">
      <w:pPr>
        <w:jc w:val="both"/>
        <w:rPr>
          <w:i/>
          <w:iCs/>
          <w:sz w:val="22"/>
          <w:szCs w:val="22"/>
        </w:rPr>
      </w:pPr>
      <w:r>
        <w:rPr>
          <w:i/>
          <w:iCs/>
          <w:sz w:val="22"/>
          <w:szCs w:val="22"/>
          <w:vertAlign w:val="superscript"/>
        </w:rPr>
        <w:t xml:space="preserve">3) </w:t>
      </w:r>
      <w:r>
        <w:rPr>
          <w:i/>
          <w:iCs/>
          <w:sz w:val="22"/>
          <w:szCs w:val="22"/>
        </w:rPr>
        <w:t xml:space="preserve">pentru clădirile cu funcțiuni mixte se adoptă criteriile privind clasa de reacție la foc cea mai severă. </w:t>
      </w:r>
    </w:p>
    <w:p w14:paraId="44CAC160" w14:textId="77777777" w:rsidR="001C08A5" w:rsidRDefault="001C08A5">
      <w:pPr>
        <w:jc w:val="both"/>
        <w:rPr>
          <w:b/>
          <w:sz w:val="24"/>
          <w:szCs w:val="24"/>
        </w:rPr>
      </w:pPr>
    </w:p>
    <w:p w14:paraId="31695D29" w14:textId="77777777" w:rsidR="001C08A5" w:rsidRDefault="00000000">
      <w:pPr>
        <w:ind w:firstLine="720"/>
        <w:jc w:val="both"/>
        <w:rPr>
          <w:b/>
          <w:iCs/>
          <w:sz w:val="24"/>
          <w:szCs w:val="24"/>
        </w:rPr>
      </w:pPr>
      <w:r>
        <w:rPr>
          <w:b/>
          <w:sz w:val="24"/>
          <w:szCs w:val="24"/>
        </w:rPr>
        <w:t>Art. 2.3.6.1.9. (1)</w:t>
      </w:r>
      <w:r>
        <w:rPr>
          <w:bCs/>
          <w:sz w:val="24"/>
          <w:szCs w:val="24"/>
        </w:rPr>
        <w:t xml:space="preserve"> Atunci când la construcţiile menţionate la </w:t>
      </w:r>
      <w:r>
        <w:rPr>
          <w:b/>
          <w:bCs/>
          <w:sz w:val="24"/>
          <w:szCs w:val="24"/>
        </w:rPr>
        <w:t>Art.</w:t>
      </w:r>
      <w:r>
        <w:rPr>
          <w:b/>
          <w:sz w:val="24"/>
          <w:szCs w:val="24"/>
        </w:rPr>
        <w:t xml:space="preserve"> 2.3.6.1.8.</w:t>
      </w:r>
      <w:r>
        <w:rPr>
          <w:bCs/>
          <w:sz w:val="24"/>
          <w:szCs w:val="24"/>
        </w:rPr>
        <w:t xml:space="preserve"> sistemele compozite de izolare termică exterioară a pereţilor perimetrali sunt diferite de </w:t>
      </w:r>
      <w:r>
        <w:rPr>
          <w:b/>
          <w:bCs/>
          <w:sz w:val="24"/>
          <w:szCs w:val="24"/>
        </w:rPr>
        <w:t>A1</w:t>
      </w:r>
      <w:r>
        <w:rPr>
          <w:sz w:val="24"/>
          <w:szCs w:val="24"/>
        </w:rPr>
        <w:t xml:space="preserve">, </w:t>
      </w:r>
      <w:r>
        <w:rPr>
          <w:b/>
          <w:bCs/>
          <w:sz w:val="24"/>
          <w:szCs w:val="24"/>
        </w:rPr>
        <w:t>A2-s1d0,</w:t>
      </w:r>
      <w:r>
        <w:rPr>
          <w:bCs/>
          <w:sz w:val="24"/>
          <w:szCs w:val="24"/>
          <w:lang w:eastAsia="ro-RO"/>
        </w:rPr>
        <w:t xml:space="preserve">pentru soluţia proiectată la izolarea termică a faţadelor indicată la articolul precedent, </w:t>
      </w:r>
      <w:r>
        <w:rPr>
          <w:bCs/>
          <w:sz w:val="24"/>
          <w:szCs w:val="24"/>
        </w:rPr>
        <w:t xml:space="preserve">ferestrele și ușile </w:t>
      </w:r>
      <w:r>
        <w:rPr>
          <w:bCs/>
          <w:sz w:val="24"/>
          <w:szCs w:val="24"/>
        </w:rPr>
        <w:lastRenderedPageBreak/>
        <w:t xml:space="preserve">închiderilor perimetrale se bordează laturile exterioare laterale și pe cea superioară, cu termoizolaţii clasa de reacţie la foc </w:t>
      </w:r>
      <w:r>
        <w:rPr>
          <w:b/>
          <w:sz w:val="24"/>
          <w:szCs w:val="24"/>
        </w:rPr>
        <w:t xml:space="preserve">A1 </w:t>
      </w:r>
      <w:r>
        <w:rPr>
          <w:bCs/>
          <w:sz w:val="24"/>
          <w:szCs w:val="24"/>
        </w:rPr>
        <w:t xml:space="preserve">sau </w:t>
      </w:r>
      <w:r>
        <w:rPr>
          <w:b/>
          <w:sz w:val="24"/>
          <w:szCs w:val="24"/>
        </w:rPr>
        <w:t>A2-s1d0</w:t>
      </w:r>
      <w:r>
        <w:rPr>
          <w:bCs/>
          <w:sz w:val="24"/>
          <w:szCs w:val="24"/>
        </w:rPr>
        <w:t xml:space="preserve"> cu lăţimea de minimum</w:t>
      </w:r>
      <w:r>
        <w:rPr>
          <w:b/>
          <w:bCs/>
          <w:sz w:val="24"/>
          <w:szCs w:val="24"/>
        </w:rPr>
        <w:t xml:space="preserve"> 60 </w:t>
      </w:r>
      <w:r>
        <w:rPr>
          <w:sz w:val="24"/>
          <w:szCs w:val="24"/>
        </w:rPr>
        <w:t xml:space="preserve">cm atunci când se folosesc tâmplării incombustibile și tâmplării din lemn </w:t>
      </w:r>
      <w:r>
        <w:rPr>
          <w:i/>
          <w:iCs/>
          <w:sz w:val="24"/>
          <w:szCs w:val="24"/>
        </w:rPr>
        <w:t>(</w:t>
      </w:r>
      <w:r>
        <w:rPr>
          <w:b/>
          <w:bCs/>
          <w:i/>
          <w:iCs/>
          <w:sz w:val="24"/>
          <w:szCs w:val="24"/>
        </w:rPr>
        <w:fldChar w:fldCharType="begin"/>
      </w:r>
      <w:r>
        <w:rPr>
          <w:b/>
          <w:bCs/>
          <w:i/>
          <w:iCs/>
          <w:sz w:val="24"/>
          <w:szCs w:val="24"/>
        </w:rPr>
        <w:instrText xml:space="preserve"> REF _Ref14048 \h </w:instrText>
      </w:r>
      <w:r>
        <w:rPr>
          <w:b/>
          <w:bCs/>
          <w:i/>
          <w:iCs/>
          <w:sz w:val="24"/>
          <w:szCs w:val="24"/>
        </w:rPr>
      </w:r>
      <w:r>
        <w:rPr>
          <w:b/>
          <w:bCs/>
          <w:i/>
          <w:iCs/>
          <w:sz w:val="24"/>
          <w:szCs w:val="24"/>
        </w:rPr>
        <w:fldChar w:fldCharType="separate"/>
      </w:r>
      <w:r>
        <w:t>Figura 51</w:t>
      </w:r>
      <w:r>
        <w:rPr>
          <w:b/>
          <w:bCs/>
          <w:i/>
          <w:iCs/>
          <w:sz w:val="24"/>
          <w:szCs w:val="24"/>
        </w:rPr>
        <w:fldChar w:fldCharType="end"/>
      </w:r>
      <w:r>
        <w:rPr>
          <w:i/>
          <w:iCs/>
          <w:sz w:val="24"/>
          <w:szCs w:val="24"/>
        </w:rPr>
        <w:t>,</w:t>
      </w:r>
      <w:r>
        <w:rPr>
          <w:bCs/>
          <w:i/>
          <w:sz w:val="24"/>
          <w:szCs w:val="24"/>
        </w:rPr>
        <w:t xml:space="preserve"> varianta a2)) </w:t>
      </w:r>
      <w:r>
        <w:rPr>
          <w:bCs/>
          <w:iCs/>
          <w:sz w:val="24"/>
          <w:szCs w:val="24"/>
        </w:rPr>
        <w:t>și</w:t>
      </w:r>
      <w:r>
        <w:rPr>
          <w:bCs/>
          <w:sz w:val="24"/>
          <w:szCs w:val="24"/>
        </w:rPr>
        <w:t xml:space="preserve">s e bordează laturile exterioare laterale și pe cea superioară, cu termoizolaţii clasa de reacţie la foc </w:t>
      </w:r>
      <w:r>
        <w:rPr>
          <w:b/>
          <w:sz w:val="24"/>
          <w:szCs w:val="24"/>
        </w:rPr>
        <w:t xml:space="preserve">A1 </w:t>
      </w:r>
      <w:r>
        <w:rPr>
          <w:bCs/>
          <w:sz w:val="24"/>
          <w:szCs w:val="24"/>
        </w:rPr>
        <w:t xml:space="preserve">sau </w:t>
      </w:r>
      <w:r>
        <w:rPr>
          <w:b/>
          <w:sz w:val="24"/>
          <w:szCs w:val="24"/>
        </w:rPr>
        <w:t>A2-s1d0</w:t>
      </w:r>
      <w:r>
        <w:rPr>
          <w:bCs/>
          <w:sz w:val="24"/>
          <w:szCs w:val="24"/>
        </w:rPr>
        <w:t xml:space="preserve"> cu lăţimea de minimum</w:t>
      </w:r>
      <w:r>
        <w:rPr>
          <w:b/>
          <w:bCs/>
          <w:sz w:val="24"/>
          <w:szCs w:val="24"/>
        </w:rPr>
        <w:t xml:space="preserve"> 60 </w:t>
      </w:r>
      <w:r>
        <w:rPr>
          <w:sz w:val="24"/>
          <w:szCs w:val="24"/>
        </w:rPr>
        <w:t xml:space="preserve">cm precum și </w:t>
      </w:r>
      <w:r>
        <w:rPr>
          <w:bCs/>
          <w:sz w:val="24"/>
          <w:szCs w:val="24"/>
        </w:rPr>
        <w:t xml:space="preserve">latura inferioară, cu termoizolaţii clasa de reacţie la foc </w:t>
      </w:r>
      <w:r>
        <w:rPr>
          <w:b/>
          <w:sz w:val="24"/>
          <w:szCs w:val="24"/>
        </w:rPr>
        <w:t xml:space="preserve">A1 </w:t>
      </w:r>
      <w:r>
        <w:rPr>
          <w:bCs/>
          <w:sz w:val="24"/>
          <w:szCs w:val="24"/>
        </w:rPr>
        <w:t xml:space="preserve">sau </w:t>
      </w:r>
      <w:r>
        <w:rPr>
          <w:b/>
          <w:sz w:val="24"/>
          <w:szCs w:val="24"/>
        </w:rPr>
        <w:t>A2-s1d0</w:t>
      </w:r>
      <w:r>
        <w:rPr>
          <w:bCs/>
          <w:sz w:val="24"/>
          <w:szCs w:val="24"/>
        </w:rPr>
        <w:t xml:space="preserve"> cu lăţimea de minimum</w:t>
      </w:r>
      <w:r>
        <w:rPr>
          <w:b/>
          <w:bCs/>
          <w:sz w:val="24"/>
          <w:szCs w:val="24"/>
        </w:rPr>
        <w:t xml:space="preserve"> 30 </w:t>
      </w:r>
      <w:r>
        <w:rPr>
          <w:sz w:val="24"/>
          <w:szCs w:val="24"/>
        </w:rPr>
        <w:t xml:space="preserve">cm atunci când se folosesc tâmplării combustibile (cu excepția lemnului) </w:t>
      </w:r>
      <w:r>
        <w:rPr>
          <w:i/>
          <w:iCs/>
          <w:sz w:val="24"/>
          <w:szCs w:val="24"/>
        </w:rPr>
        <w:t>(</w:t>
      </w:r>
      <w:r>
        <w:rPr>
          <w:b/>
          <w:bCs/>
          <w:i/>
          <w:iCs/>
          <w:sz w:val="24"/>
          <w:szCs w:val="24"/>
        </w:rPr>
        <w:fldChar w:fldCharType="begin"/>
      </w:r>
      <w:r>
        <w:rPr>
          <w:b/>
          <w:bCs/>
          <w:i/>
          <w:iCs/>
          <w:sz w:val="24"/>
          <w:szCs w:val="24"/>
        </w:rPr>
        <w:instrText xml:space="preserve"> REF _Ref14048 \h </w:instrText>
      </w:r>
      <w:r>
        <w:rPr>
          <w:b/>
          <w:bCs/>
          <w:i/>
          <w:iCs/>
          <w:sz w:val="24"/>
          <w:szCs w:val="24"/>
        </w:rPr>
      </w:r>
      <w:r>
        <w:rPr>
          <w:b/>
          <w:bCs/>
          <w:i/>
          <w:iCs/>
          <w:sz w:val="24"/>
          <w:szCs w:val="24"/>
        </w:rPr>
        <w:fldChar w:fldCharType="separate"/>
      </w:r>
      <w:r>
        <w:t>Figura 51</w:t>
      </w:r>
      <w:r>
        <w:rPr>
          <w:b/>
          <w:bCs/>
          <w:i/>
          <w:iCs/>
          <w:sz w:val="24"/>
          <w:szCs w:val="24"/>
        </w:rPr>
        <w:fldChar w:fldCharType="end"/>
      </w:r>
      <w:r>
        <w:rPr>
          <w:i/>
          <w:iCs/>
          <w:sz w:val="24"/>
          <w:szCs w:val="24"/>
        </w:rPr>
        <w:t>,</w:t>
      </w:r>
      <w:r>
        <w:rPr>
          <w:bCs/>
          <w:i/>
          <w:sz w:val="24"/>
          <w:szCs w:val="24"/>
        </w:rPr>
        <w:t xml:space="preserve"> varianta b2))</w:t>
      </w:r>
      <w:r>
        <w:rPr>
          <w:bCs/>
          <w:sz w:val="24"/>
          <w:szCs w:val="24"/>
        </w:rPr>
        <w:t xml:space="preserve">. În ambele variante bordările trebuie să aibă aceeaşi grosime cu a materialului termoizolant al faţadei, conform </w:t>
      </w:r>
      <w:r>
        <w:rPr>
          <w:b/>
          <w:sz w:val="24"/>
          <w:szCs w:val="24"/>
        </w:rPr>
        <w:t xml:space="preserve">Anexei </w:t>
      </w:r>
      <w:r>
        <w:rPr>
          <w:bCs/>
          <w:sz w:val="24"/>
          <w:szCs w:val="24"/>
        </w:rPr>
        <w:t>privind “</w:t>
      </w:r>
      <w:r>
        <w:rPr>
          <w:bCs/>
          <w:i/>
          <w:iCs/>
          <w:sz w:val="24"/>
          <w:szCs w:val="24"/>
        </w:rPr>
        <w:t>Limitarea propagării incendiului pe faţadă</w:t>
      </w:r>
      <w:r>
        <w:rPr>
          <w:bCs/>
          <w:sz w:val="24"/>
          <w:szCs w:val="24"/>
        </w:rPr>
        <w:t>”.</w:t>
      </w:r>
    </w:p>
    <w:p w14:paraId="3227CD34" w14:textId="77777777" w:rsidR="001C08A5" w:rsidRDefault="00000000">
      <w:pPr>
        <w:ind w:firstLine="720"/>
        <w:jc w:val="both"/>
        <w:rPr>
          <w:b/>
          <w:iCs/>
          <w:sz w:val="24"/>
          <w:szCs w:val="24"/>
        </w:rPr>
      </w:pPr>
      <w:r>
        <w:rPr>
          <w:b/>
          <w:iCs/>
          <w:sz w:val="24"/>
          <w:szCs w:val="24"/>
        </w:rPr>
        <w:t>(2)</w:t>
      </w:r>
      <w:r>
        <w:rPr>
          <w:bCs/>
          <w:iCs/>
          <w:sz w:val="24"/>
          <w:szCs w:val="24"/>
        </w:rPr>
        <w:t xml:space="preserve"> B</w:t>
      </w:r>
      <w:r>
        <w:rPr>
          <w:bCs/>
          <w:sz w:val="24"/>
          <w:szCs w:val="24"/>
        </w:rPr>
        <w:t xml:space="preserve">ordările golurilor din închiderile perimetrale menţionate la </w:t>
      </w:r>
      <w:r>
        <w:rPr>
          <w:b/>
          <w:bCs/>
          <w:sz w:val="24"/>
          <w:szCs w:val="24"/>
        </w:rPr>
        <w:t>alin. (1)</w:t>
      </w:r>
      <w:r>
        <w:rPr>
          <w:bCs/>
          <w:sz w:val="24"/>
          <w:szCs w:val="24"/>
        </w:rPr>
        <w:t xml:space="preserve">, pot fi înlocuite cu: </w:t>
      </w:r>
    </w:p>
    <w:p w14:paraId="3BF81F87" w14:textId="77777777" w:rsidR="001C08A5" w:rsidRDefault="00000000">
      <w:pPr>
        <w:ind w:left="2835"/>
        <w:jc w:val="both"/>
        <w:rPr>
          <w:b/>
          <w:sz w:val="24"/>
          <w:szCs w:val="24"/>
        </w:rPr>
      </w:pPr>
      <w:r>
        <w:rPr>
          <w:b/>
          <w:sz w:val="24"/>
          <w:szCs w:val="24"/>
        </w:rPr>
        <w:t>a)</w:t>
      </w:r>
      <w:r>
        <w:rPr>
          <w:bCs/>
          <w:sz w:val="24"/>
          <w:szCs w:val="24"/>
        </w:rPr>
        <w:t xml:space="preserve"> fâşii orizontale continui de termoizolaţie clasa de reacţie la foc </w:t>
      </w:r>
      <w:r>
        <w:rPr>
          <w:b/>
          <w:sz w:val="24"/>
          <w:szCs w:val="24"/>
        </w:rPr>
        <w:t xml:space="preserve">A1 </w:t>
      </w:r>
      <w:r>
        <w:rPr>
          <w:bCs/>
          <w:sz w:val="24"/>
          <w:szCs w:val="24"/>
        </w:rPr>
        <w:t>sau</w:t>
      </w:r>
      <w:r>
        <w:rPr>
          <w:b/>
          <w:sz w:val="24"/>
          <w:szCs w:val="24"/>
        </w:rPr>
        <w:t xml:space="preserve"> A2-s1d0</w:t>
      </w:r>
      <w:r>
        <w:rPr>
          <w:bCs/>
          <w:sz w:val="24"/>
          <w:szCs w:val="24"/>
        </w:rPr>
        <w:t xml:space="preserve"> dispuse în dreptul tuturor planşeelor construcţiei, având lăţimea de  minimum</w:t>
      </w:r>
      <w:r>
        <w:rPr>
          <w:b/>
          <w:bCs/>
          <w:sz w:val="24"/>
          <w:szCs w:val="24"/>
        </w:rPr>
        <w:t xml:space="preserve"> 60 cm și </w:t>
      </w:r>
      <w:r>
        <w:rPr>
          <w:bCs/>
          <w:sz w:val="24"/>
          <w:szCs w:val="24"/>
        </w:rPr>
        <w:t>aceeaşi grosime cu a materialului utilizat la termoizolarea exterioară a închiderii perimetrale (</w:t>
      </w:r>
      <w:r>
        <w:rPr>
          <w:b/>
          <w:bCs/>
          <w:i/>
          <w:iCs/>
          <w:sz w:val="24"/>
          <w:szCs w:val="24"/>
        </w:rPr>
        <w:fldChar w:fldCharType="begin"/>
      </w:r>
      <w:r>
        <w:rPr>
          <w:b/>
          <w:bCs/>
          <w:i/>
          <w:iCs/>
          <w:sz w:val="24"/>
          <w:szCs w:val="24"/>
        </w:rPr>
        <w:instrText xml:space="preserve"> REF _Ref14048 \h </w:instrText>
      </w:r>
      <w:r>
        <w:rPr>
          <w:b/>
          <w:bCs/>
          <w:i/>
          <w:iCs/>
          <w:sz w:val="24"/>
          <w:szCs w:val="24"/>
        </w:rPr>
      </w:r>
      <w:r>
        <w:rPr>
          <w:b/>
          <w:bCs/>
          <w:i/>
          <w:iCs/>
          <w:sz w:val="24"/>
          <w:szCs w:val="24"/>
        </w:rPr>
        <w:fldChar w:fldCharType="separate"/>
      </w:r>
      <w:r>
        <w:t>Figura 51</w:t>
      </w:r>
      <w:r>
        <w:rPr>
          <w:b/>
          <w:bCs/>
          <w:i/>
          <w:iCs/>
          <w:sz w:val="24"/>
          <w:szCs w:val="24"/>
        </w:rPr>
        <w:fldChar w:fldCharType="end"/>
      </w:r>
      <w:r>
        <w:rPr>
          <w:i/>
          <w:iCs/>
          <w:sz w:val="24"/>
          <w:szCs w:val="24"/>
        </w:rPr>
        <w:t>,</w:t>
      </w:r>
      <w:r>
        <w:rPr>
          <w:bCs/>
          <w:i/>
          <w:sz w:val="24"/>
          <w:szCs w:val="24"/>
        </w:rPr>
        <w:t xml:space="preserve"> varianta</w:t>
      </w:r>
      <w:r>
        <w:rPr>
          <w:b/>
          <w:i/>
          <w:sz w:val="24"/>
          <w:szCs w:val="24"/>
        </w:rPr>
        <w:t xml:space="preserve"> a1)</w:t>
      </w:r>
      <w:r>
        <w:rPr>
          <w:bCs/>
          <w:i/>
          <w:sz w:val="24"/>
          <w:szCs w:val="24"/>
        </w:rPr>
        <w:t xml:space="preserve"> sau </w:t>
      </w:r>
      <w:r>
        <w:rPr>
          <w:b/>
          <w:i/>
          <w:sz w:val="24"/>
          <w:szCs w:val="24"/>
        </w:rPr>
        <w:t>b1)</w:t>
      </w:r>
      <w:r>
        <w:rPr>
          <w:bCs/>
          <w:i/>
          <w:sz w:val="24"/>
          <w:szCs w:val="24"/>
        </w:rPr>
        <w:t>)</w:t>
      </w:r>
      <w:r>
        <w:rPr>
          <w:bCs/>
          <w:sz w:val="24"/>
          <w:szCs w:val="24"/>
        </w:rPr>
        <w:t xml:space="preserve">; </w:t>
      </w:r>
    </w:p>
    <w:p w14:paraId="38DE5D81" w14:textId="77777777" w:rsidR="001C08A5" w:rsidRDefault="00000000">
      <w:pPr>
        <w:ind w:left="2835"/>
        <w:jc w:val="both"/>
        <w:rPr>
          <w:sz w:val="24"/>
          <w:szCs w:val="24"/>
        </w:rPr>
      </w:pPr>
      <w:r>
        <w:rPr>
          <w:b/>
          <w:sz w:val="24"/>
          <w:szCs w:val="24"/>
        </w:rPr>
        <w:t>b)</w:t>
      </w:r>
      <w:r>
        <w:rPr>
          <w:bCs/>
          <w:sz w:val="24"/>
          <w:szCs w:val="24"/>
        </w:rPr>
        <w:t xml:space="preserve"> cursive sau copertine exterioare continui cu lăţimea de minimum </w:t>
      </w:r>
      <w:r>
        <w:rPr>
          <w:b/>
          <w:bCs/>
          <w:sz w:val="24"/>
          <w:szCs w:val="24"/>
        </w:rPr>
        <w:t>60 cm</w:t>
      </w:r>
      <w:r>
        <w:rPr>
          <w:bCs/>
          <w:sz w:val="24"/>
          <w:szCs w:val="24"/>
        </w:rPr>
        <w:t xml:space="preserve"> (măsurată pe orizontală), clasa de reacţie la foc </w:t>
      </w:r>
      <w:r>
        <w:rPr>
          <w:b/>
          <w:sz w:val="24"/>
          <w:szCs w:val="24"/>
        </w:rPr>
        <w:t>A1</w:t>
      </w:r>
      <w:r>
        <w:rPr>
          <w:bCs/>
          <w:sz w:val="24"/>
          <w:szCs w:val="24"/>
        </w:rPr>
        <w:t xml:space="preserve"> sau </w:t>
      </w:r>
      <w:r>
        <w:rPr>
          <w:b/>
          <w:sz w:val="24"/>
          <w:szCs w:val="24"/>
        </w:rPr>
        <w:t>A2-s1d0</w:t>
      </w:r>
      <w:r>
        <w:rPr>
          <w:bCs/>
          <w:sz w:val="24"/>
          <w:szCs w:val="24"/>
        </w:rPr>
        <w:t xml:space="preserve">. Aceste elemente orizontale trebuie să depășească golurile cu minimum </w:t>
      </w:r>
      <w:r>
        <w:rPr>
          <w:b/>
          <w:sz w:val="24"/>
          <w:szCs w:val="24"/>
        </w:rPr>
        <w:t>60 cm</w:t>
      </w:r>
      <w:r>
        <w:rPr>
          <w:bCs/>
          <w:sz w:val="24"/>
          <w:szCs w:val="24"/>
        </w:rPr>
        <w:t xml:space="preserve"> și în proiecție orizontala.</w:t>
      </w:r>
    </w:p>
    <w:p w14:paraId="45B5E113" w14:textId="77777777" w:rsidR="001C08A5" w:rsidRDefault="00000000">
      <w:pPr>
        <w:rPr>
          <w:sz w:val="24"/>
          <w:szCs w:val="24"/>
        </w:rPr>
      </w:pPr>
      <w:r>
        <w:rPr>
          <w:noProof/>
          <w:sz w:val="24"/>
          <w:szCs w:val="24"/>
          <w:lang w:eastAsia="ro-RO"/>
        </w:rPr>
        <w:drawing>
          <wp:anchor distT="0" distB="0" distL="114300" distR="114300" simplePos="0" relativeHeight="251660288" behindDoc="1" locked="0" layoutInCell="1" allowOverlap="1" wp14:anchorId="6B0B058E" wp14:editId="20E10130">
            <wp:simplePos x="0" y="0"/>
            <wp:positionH relativeFrom="column">
              <wp:posOffset>-635</wp:posOffset>
            </wp:positionH>
            <wp:positionV relativeFrom="paragraph">
              <wp:posOffset>1270</wp:posOffset>
            </wp:positionV>
            <wp:extent cx="5938520" cy="1786890"/>
            <wp:effectExtent l="0" t="0" r="5080" b="3810"/>
            <wp:wrapNone/>
            <wp:docPr id="1120" name="Picture 22"/>
            <wp:cNvGraphicFramePr/>
            <a:graphic xmlns:a="http://schemas.openxmlformats.org/drawingml/2006/main">
              <a:graphicData uri="http://schemas.openxmlformats.org/drawingml/2006/picture">
                <pic:pic xmlns:pic="http://schemas.openxmlformats.org/drawingml/2006/picture">
                  <pic:nvPicPr>
                    <pic:cNvPr id="1120" name="Picture 22"/>
                    <pic:cNvPicPr/>
                  </pic:nvPicPr>
                  <pic:blipFill>
                    <a:blip r:embed="rId146" cstate="print">
                      <a:extLst>
                        <a:ext uri="{28A0092B-C50C-407E-A947-70E740481C1C}">
                          <a14:useLocalDpi xmlns:a14="http://schemas.microsoft.com/office/drawing/2010/main" val="0"/>
                        </a:ext>
                      </a:extLst>
                    </a:blip>
                    <a:srcRect l="13107" t="17603" r="8318" b="3772"/>
                    <a:stretch>
                      <a:fillRect/>
                    </a:stretch>
                  </pic:blipFill>
                  <pic:spPr>
                    <a:xfrm>
                      <a:off x="0" y="0"/>
                      <a:ext cx="5938520" cy="1786890"/>
                    </a:xfrm>
                    <a:prstGeom prst="rect">
                      <a:avLst/>
                    </a:prstGeom>
                    <a:ln>
                      <a:noFill/>
                    </a:ln>
                  </pic:spPr>
                </pic:pic>
              </a:graphicData>
            </a:graphic>
          </wp:anchor>
        </w:drawing>
      </w:r>
    </w:p>
    <w:p w14:paraId="6D886D1E" w14:textId="77777777" w:rsidR="001C08A5" w:rsidRDefault="001C08A5">
      <w:pPr>
        <w:jc w:val="center"/>
        <w:rPr>
          <w:b/>
          <w:bCs/>
          <w:i/>
          <w:iCs/>
          <w:sz w:val="22"/>
          <w:szCs w:val="22"/>
        </w:rPr>
      </w:pPr>
    </w:p>
    <w:p w14:paraId="25CF0239" w14:textId="77777777" w:rsidR="001C08A5" w:rsidRDefault="001C08A5">
      <w:pPr>
        <w:jc w:val="center"/>
        <w:rPr>
          <w:b/>
          <w:bCs/>
          <w:i/>
          <w:iCs/>
          <w:sz w:val="22"/>
          <w:szCs w:val="22"/>
        </w:rPr>
      </w:pPr>
    </w:p>
    <w:p w14:paraId="119514F5" w14:textId="77777777" w:rsidR="001C08A5" w:rsidRDefault="001C08A5">
      <w:pPr>
        <w:jc w:val="center"/>
        <w:rPr>
          <w:b/>
          <w:bCs/>
          <w:i/>
          <w:iCs/>
          <w:sz w:val="22"/>
          <w:szCs w:val="22"/>
        </w:rPr>
      </w:pPr>
    </w:p>
    <w:p w14:paraId="1F51C316" w14:textId="77777777" w:rsidR="001C08A5" w:rsidRDefault="001C08A5">
      <w:pPr>
        <w:jc w:val="center"/>
        <w:rPr>
          <w:b/>
          <w:bCs/>
          <w:i/>
          <w:iCs/>
          <w:sz w:val="22"/>
          <w:szCs w:val="22"/>
        </w:rPr>
      </w:pPr>
    </w:p>
    <w:p w14:paraId="1EB5F2CB" w14:textId="77777777" w:rsidR="001C08A5" w:rsidRDefault="001C08A5">
      <w:pPr>
        <w:jc w:val="center"/>
        <w:rPr>
          <w:b/>
          <w:bCs/>
          <w:i/>
          <w:iCs/>
          <w:sz w:val="22"/>
          <w:szCs w:val="22"/>
        </w:rPr>
      </w:pPr>
    </w:p>
    <w:p w14:paraId="45301A61" w14:textId="77777777" w:rsidR="001C08A5" w:rsidRDefault="001C08A5">
      <w:pPr>
        <w:jc w:val="center"/>
        <w:rPr>
          <w:b/>
          <w:bCs/>
          <w:i/>
          <w:iCs/>
          <w:sz w:val="22"/>
          <w:szCs w:val="22"/>
        </w:rPr>
      </w:pPr>
    </w:p>
    <w:p w14:paraId="6170E3C3" w14:textId="77777777" w:rsidR="001C08A5" w:rsidRDefault="001C08A5">
      <w:pPr>
        <w:jc w:val="center"/>
        <w:rPr>
          <w:b/>
          <w:bCs/>
          <w:i/>
          <w:iCs/>
          <w:sz w:val="22"/>
          <w:szCs w:val="22"/>
        </w:rPr>
      </w:pPr>
    </w:p>
    <w:p w14:paraId="42DE9897" w14:textId="77777777" w:rsidR="001C08A5" w:rsidRDefault="001C08A5">
      <w:pPr>
        <w:jc w:val="center"/>
        <w:rPr>
          <w:b/>
          <w:bCs/>
          <w:i/>
          <w:iCs/>
          <w:sz w:val="22"/>
          <w:szCs w:val="22"/>
        </w:rPr>
      </w:pPr>
    </w:p>
    <w:p w14:paraId="7090B025" w14:textId="77777777" w:rsidR="001C08A5" w:rsidRDefault="001C08A5">
      <w:pPr>
        <w:jc w:val="center"/>
        <w:rPr>
          <w:b/>
          <w:bCs/>
          <w:i/>
          <w:iCs/>
          <w:sz w:val="22"/>
          <w:szCs w:val="22"/>
        </w:rPr>
      </w:pPr>
    </w:p>
    <w:p w14:paraId="79C26CBB" w14:textId="77777777" w:rsidR="001C08A5" w:rsidRDefault="001C08A5">
      <w:pPr>
        <w:rPr>
          <w:b/>
          <w:bCs/>
          <w:i/>
          <w:iCs/>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16"/>
      </w:tblGrid>
      <w:tr w:rsidR="001C08A5" w14:paraId="3C421558" w14:textId="77777777">
        <w:tc>
          <w:tcPr>
            <w:tcW w:w="4927" w:type="dxa"/>
          </w:tcPr>
          <w:p w14:paraId="32D2345A" w14:textId="77777777" w:rsidR="001C08A5" w:rsidRDefault="00000000">
            <w:pPr>
              <w:jc w:val="left"/>
              <w:rPr>
                <w:b/>
                <w:bCs/>
                <w:i/>
                <w:iCs/>
                <w:sz w:val="22"/>
                <w:szCs w:val="22"/>
              </w:rPr>
            </w:pPr>
            <w:r>
              <w:rPr>
                <w:b/>
                <w:bCs/>
                <w:i/>
                <w:iCs/>
                <w:sz w:val="22"/>
                <w:szCs w:val="22"/>
              </w:rPr>
              <w:t xml:space="preserve">  a1) variantă alternativă la bordare goluri</w:t>
            </w:r>
          </w:p>
        </w:tc>
        <w:tc>
          <w:tcPr>
            <w:tcW w:w="4928" w:type="dxa"/>
          </w:tcPr>
          <w:p w14:paraId="452F2242" w14:textId="77777777" w:rsidR="001C08A5" w:rsidRDefault="00000000">
            <w:pPr>
              <w:jc w:val="left"/>
              <w:rPr>
                <w:b/>
                <w:bCs/>
                <w:i/>
                <w:iCs/>
                <w:sz w:val="22"/>
                <w:szCs w:val="22"/>
              </w:rPr>
            </w:pPr>
            <w:r>
              <w:rPr>
                <w:b/>
                <w:bCs/>
                <w:i/>
                <w:iCs/>
                <w:sz w:val="22"/>
                <w:szCs w:val="22"/>
              </w:rPr>
              <w:t xml:space="preserve">  a2) bordare goluri</w:t>
            </w:r>
          </w:p>
        </w:tc>
      </w:tr>
    </w:tbl>
    <w:p w14:paraId="4E39A2DD" w14:textId="77777777" w:rsidR="001C08A5" w:rsidRDefault="00000000">
      <w:pPr>
        <w:rPr>
          <w:b/>
          <w:bCs/>
          <w:i/>
          <w:iCs/>
          <w:sz w:val="22"/>
          <w:szCs w:val="22"/>
        </w:rPr>
      </w:pPr>
      <w:r>
        <w:rPr>
          <w:b/>
          <w:bCs/>
          <w:i/>
          <w:iCs/>
          <w:sz w:val="22"/>
          <w:szCs w:val="22"/>
        </w:rPr>
        <w:t xml:space="preserve">                                                                                                                </w:t>
      </w:r>
    </w:p>
    <w:p w14:paraId="1429E695" w14:textId="77777777" w:rsidR="001C08A5" w:rsidRDefault="00000000">
      <w:pPr>
        <w:jc w:val="center"/>
        <w:rPr>
          <w:b/>
          <w:bCs/>
          <w:i/>
          <w:iCs/>
          <w:sz w:val="22"/>
          <w:szCs w:val="22"/>
        </w:rPr>
      </w:pPr>
      <w:r>
        <w:rPr>
          <w:b/>
          <w:bCs/>
          <w:i/>
          <w:iCs/>
          <w:sz w:val="22"/>
          <w:szCs w:val="22"/>
        </w:rPr>
        <w:t>Varianta a) Tâmplărie incombustibilă sau din lemn</w:t>
      </w:r>
    </w:p>
    <w:p w14:paraId="267FA3FE" w14:textId="77777777" w:rsidR="001C08A5" w:rsidRDefault="001C08A5">
      <w:pPr>
        <w:rPr>
          <w:sz w:val="24"/>
          <w:szCs w:val="24"/>
          <w:lang w:eastAsia="ro-RO"/>
        </w:rPr>
      </w:pPr>
    </w:p>
    <w:p w14:paraId="09C31427" w14:textId="77777777" w:rsidR="001C08A5" w:rsidRDefault="00000000">
      <w:pPr>
        <w:rPr>
          <w:sz w:val="24"/>
          <w:szCs w:val="24"/>
          <w:lang w:eastAsia="ro-RO"/>
        </w:rPr>
      </w:pPr>
      <w:r>
        <w:rPr>
          <w:noProof/>
          <w:sz w:val="24"/>
          <w:szCs w:val="24"/>
          <w:lang w:eastAsia="ro-RO"/>
        </w:rPr>
        <w:drawing>
          <wp:inline distT="0" distB="0" distL="0" distR="0" wp14:anchorId="72F757CA" wp14:editId="15EFD9EB">
            <wp:extent cx="5937250" cy="1739265"/>
            <wp:effectExtent l="0" t="0" r="6350" b="13334"/>
            <wp:docPr id="1121" name="Picture 38"/>
            <wp:cNvGraphicFramePr/>
            <a:graphic xmlns:a="http://schemas.openxmlformats.org/drawingml/2006/main">
              <a:graphicData uri="http://schemas.openxmlformats.org/drawingml/2006/picture">
                <pic:pic xmlns:pic="http://schemas.openxmlformats.org/drawingml/2006/picture">
                  <pic:nvPicPr>
                    <pic:cNvPr id="1121" name="Picture 38"/>
                    <pic:cNvPicPr/>
                  </pic:nvPicPr>
                  <pic:blipFill>
                    <a:blip r:embed="rId147" cstate="print"/>
                    <a:srcRect l="13126" t="13749" r="8204" b="14533"/>
                    <a:stretch>
                      <a:fillRect/>
                    </a:stretch>
                  </pic:blipFill>
                  <pic:spPr>
                    <a:xfrm>
                      <a:off x="0" y="0"/>
                      <a:ext cx="5937250" cy="1739265"/>
                    </a:xfrm>
                    <a:prstGeom prst="rect">
                      <a:avLst/>
                    </a:prstGeom>
                    <a:ln>
                      <a:noFill/>
                    </a:ln>
                  </pic:spPr>
                </pic:pic>
              </a:graphicData>
            </a:graphic>
          </wp:inline>
        </w:drawing>
      </w:r>
    </w:p>
    <w:tbl>
      <w:tblPr>
        <w:tblW w:w="0" w:type="auto"/>
        <w:tblLook w:val="04A0" w:firstRow="1" w:lastRow="0" w:firstColumn="1" w:lastColumn="0" w:noHBand="0" w:noVBand="1"/>
      </w:tblPr>
      <w:tblGrid>
        <w:gridCol w:w="4823"/>
        <w:gridCol w:w="4816"/>
      </w:tblGrid>
      <w:tr w:rsidR="001C08A5" w14:paraId="65305616" w14:textId="77777777">
        <w:tc>
          <w:tcPr>
            <w:tcW w:w="4927" w:type="dxa"/>
          </w:tcPr>
          <w:p w14:paraId="1BE8DD95" w14:textId="77777777" w:rsidR="001C08A5" w:rsidRDefault="00000000">
            <w:pPr>
              <w:rPr>
                <w:b/>
                <w:bCs/>
                <w:i/>
                <w:iCs/>
                <w:sz w:val="22"/>
                <w:szCs w:val="22"/>
              </w:rPr>
            </w:pPr>
            <w:r>
              <w:rPr>
                <w:b/>
                <w:bCs/>
                <w:i/>
                <w:iCs/>
                <w:sz w:val="22"/>
                <w:szCs w:val="22"/>
              </w:rPr>
              <w:t xml:space="preserve">  b1) variantă alternativă la bordare goluri</w:t>
            </w:r>
          </w:p>
        </w:tc>
        <w:tc>
          <w:tcPr>
            <w:tcW w:w="4928" w:type="dxa"/>
          </w:tcPr>
          <w:p w14:paraId="4F89668F" w14:textId="77777777" w:rsidR="001C08A5" w:rsidRDefault="00000000">
            <w:pPr>
              <w:rPr>
                <w:b/>
                <w:bCs/>
                <w:i/>
                <w:iCs/>
                <w:sz w:val="22"/>
                <w:szCs w:val="22"/>
              </w:rPr>
            </w:pPr>
            <w:r>
              <w:rPr>
                <w:b/>
                <w:bCs/>
                <w:i/>
                <w:iCs/>
                <w:sz w:val="22"/>
                <w:szCs w:val="22"/>
              </w:rPr>
              <w:t xml:space="preserve">  b2) bordare goluri</w:t>
            </w:r>
          </w:p>
        </w:tc>
      </w:tr>
    </w:tbl>
    <w:p w14:paraId="0A63778A" w14:textId="77777777" w:rsidR="001C08A5" w:rsidRDefault="001C08A5">
      <w:pPr>
        <w:rPr>
          <w:sz w:val="24"/>
          <w:szCs w:val="24"/>
          <w:lang w:eastAsia="ro-RO"/>
        </w:rPr>
      </w:pPr>
    </w:p>
    <w:p w14:paraId="24EDB20A" w14:textId="77777777" w:rsidR="001C08A5" w:rsidRDefault="00000000">
      <w:pPr>
        <w:jc w:val="center"/>
        <w:rPr>
          <w:b/>
          <w:bCs/>
          <w:sz w:val="22"/>
          <w:szCs w:val="22"/>
        </w:rPr>
      </w:pPr>
      <w:r>
        <w:rPr>
          <w:b/>
          <w:bCs/>
          <w:i/>
          <w:iCs/>
          <w:sz w:val="22"/>
          <w:szCs w:val="22"/>
        </w:rPr>
        <w:t>Varianta b) Tâmplarie combustibilă, cu excepția lemnului</w:t>
      </w:r>
    </w:p>
    <w:p w14:paraId="4DD3F95B" w14:textId="77777777" w:rsidR="001C08A5" w:rsidRDefault="00000000">
      <w:pPr>
        <w:pStyle w:val="Caption"/>
        <w:jc w:val="center"/>
      </w:pPr>
      <w:bookmarkStart w:id="1573" w:name="_Ref14048"/>
      <w:bookmarkStart w:id="1574" w:name="_Toc162360275"/>
      <w:bookmarkStart w:id="1575" w:name="_Toc7322"/>
      <w:bookmarkStart w:id="1576" w:name="_Toc16531"/>
      <w:bookmarkStart w:id="1577" w:name="_Toc8553"/>
      <w:bookmarkStart w:id="1578" w:name="_Toc2692"/>
      <w:bookmarkStart w:id="1579" w:name="_Toc22325"/>
      <w:bookmarkStart w:id="1580" w:name="_Toc17266"/>
      <w:r>
        <w:t xml:space="preserve">Figura </w:t>
      </w:r>
      <w:r>
        <w:fldChar w:fldCharType="begin"/>
      </w:r>
      <w:r>
        <w:instrText xml:space="preserve"> SEQ Figura \* ARABIC </w:instrText>
      </w:r>
      <w:r>
        <w:fldChar w:fldCharType="separate"/>
      </w:r>
      <w:r>
        <w:t>51</w:t>
      </w:r>
      <w:r>
        <w:fldChar w:fldCharType="end"/>
      </w:r>
      <w:bookmarkStart w:id="1581" w:name="_Toc25930"/>
      <w:bookmarkStart w:id="1582" w:name="_Toc1659"/>
      <w:bookmarkStart w:id="1583" w:name="_Toc24803"/>
      <w:bookmarkStart w:id="1584" w:name="_Toc27577"/>
      <w:bookmarkStart w:id="1585" w:name="_Toc24905"/>
      <w:bookmarkStart w:id="1586" w:name="_Toc24901"/>
      <w:bookmarkStart w:id="1587" w:name="_Toc20413"/>
      <w:bookmarkStart w:id="1588" w:name="_Toc21259"/>
      <w:bookmarkStart w:id="1589" w:name="_Toc6158"/>
      <w:bookmarkStart w:id="1590" w:name="_Toc12505"/>
      <w:bookmarkStart w:id="1591" w:name="_Toc17698"/>
      <w:bookmarkEnd w:id="1573"/>
      <w:r>
        <w:t xml:space="preserve"> - </w:t>
      </w:r>
      <w:r>
        <w:rPr>
          <w:rFonts w:cs="Times New Roman"/>
          <w:bCs/>
        </w:rPr>
        <w:t>Bordările golurilor din închiderile perimetrale</w:t>
      </w:r>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p>
    <w:p w14:paraId="5811FC16" w14:textId="77777777" w:rsidR="001C08A5" w:rsidRDefault="00000000">
      <w:pPr>
        <w:tabs>
          <w:tab w:val="left" w:pos="1701"/>
        </w:tabs>
        <w:autoSpaceDE w:val="0"/>
        <w:ind w:firstLine="720"/>
        <w:jc w:val="both"/>
        <w:rPr>
          <w:bCs/>
          <w:sz w:val="24"/>
          <w:szCs w:val="24"/>
        </w:rPr>
      </w:pPr>
      <w:r>
        <w:rPr>
          <w:b/>
          <w:sz w:val="24"/>
          <w:szCs w:val="24"/>
        </w:rPr>
        <w:t xml:space="preserve">Art. 2.3.6.1.10. </w:t>
      </w:r>
      <w:r>
        <w:rPr>
          <w:bCs/>
          <w:sz w:val="24"/>
          <w:szCs w:val="24"/>
        </w:rPr>
        <w:t xml:space="preserve">Produsele utilizate pentru finisajul exterior (inclusiv cele de izolare termică sau de placare) al închiderilor perimetrale ale clădirilor înalte sau foarte înalte trebuie să fie clasa de reacţie la foc </w:t>
      </w:r>
      <w:r>
        <w:rPr>
          <w:b/>
          <w:iCs/>
          <w:sz w:val="24"/>
          <w:szCs w:val="24"/>
        </w:rPr>
        <w:t xml:space="preserve">A1 </w:t>
      </w:r>
      <w:r>
        <w:rPr>
          <w:bCs/>
          <w:iCs/>
          <w:sz w:val="24"/>
          <w:szCs w:val="24"/>
        </w:rPr>
        <w:t>sau</w:t>
      </w:r>
      <w:r>
        <w:rPr>
          <w:b/>
          <w:iCs/>
          <w:sz w:val="24"/>
          <w:szCs w:val="24"/>
        </w:rPr>
        <w:t xml:space="preserve"> A2-s1d0</w:t>
      </w:r>
      <w:r>
        <w:rPr>
          <w:bCs/>
          <w:sz w:val="24"/>
          <w:szCs w:val="24"/>
        </w:rPr>
        <w:t>.</w:t>
      </w:r>
    </w:p>
    <w:p w14:paraId="4500C4A3" w14:textId="77777777" w:rsidR="001C08A5" w:rsidRDefault="001C08A5">
      <w:pPr>
        <w:tabs>
          <w:tab w:val="left" w:pos="1701"/>
        </w:tabs>
        <w:autoSpaceDE w:val="0"/>
        <w:ind w:firstLine="720"/>
        <w:jc w:val="both"/>
        <w:rPr>
          <w:bCs/>
          <w:sz w:val="24"/>
          <w:szCs w:val="24"/>
        </w:rPr>
      </w:pPr>
    </w:p>
    <w:p w14:paraId="49848997" w14:textId="77777777" w:rsidR="001C08A5" w:rsidRDefault="00000000">
      <w:pPr>
        <w:tabs>
          <w:tab w:val="left" w:pos="1701"/>
        </w:tabs>
        <w:autoSpaceDE w:val="0"/>
        <w:ind w:firstLine="720"/>
        <w:jc w:val="both"/>
        <w:rPr>
          <w:b/>
          <w:sz w:val="24"/>
          <w:szCs w:val="24"/>
        </w:rPr>
      </w:pPr>
      <w:r>
        <w:rPr>
          <w:b/>
          <w:sz w:val="24"/>
          <w:szCs w:val="24"/>
        </w:rPr>
        <w:t xml:space="preserve">Art. 2.3.6.1.11. </w:t>
      </w:r>
      <w:r>
        <w:rPr>
          <w:sz w:val="24"/>
          <w:szCs w:val="24"/>
        </w:rPr>
        <w:t>Termoizolaţia şi finisajul faţadei vor respecta clasele de reacţie la foc normate.</w:t>
      </w:r>
    </w:p>
    <w:p w14:paraId="7C9F40AA" w14:textId="77777777" w:rsidR="001C08A5" w:rsidRDefault="00000000">
      <w:pPr>
        <w:pStyle w:val="Heading5"/>
        <w:rPr>
          <w:lang w:val="ro-RO"/>
        </w:rPr>
      </w:pPr>
      <w:bookmarkStart w:id="1592" w:name="_Toc10506"/>
      <w:bookmarkStart w:id="1593" w:name="_Toc13261"/>
      <w:bookmarkStart w:id="1594" w:name="_Toc13183"/>
      <w:bookmarkStart w:id="1595" w:name="_Toc2787"/>
      <w:bookmarkStart w:id="1596" w:name="_Toc20210"/>
      <w:bookmarkStart w:id="1597" w:name="_Toc162355217"/>
      <w:bookmarkStart w:id="1598" w:name="_Toc29205"/>
      <w:bookmarkStart w:id="1599" w:name="_Toc7582"/>
      <w:r>
        <w:rPr>
          <w:lang w:val="ro-RO"/>
        </w:rPr>
        <w:lastRenderedPageBreak/>
        <w:t>2.3.6.2.  Prevederi generale privind limitarea propagării focului pe acoperiş</w:t>
      </w:r>
      <w:bookmarkEnd w:id="1592"/>
      <w:bookmarkEnd w:id="1593"/>
      <w:bookmarkEnd w:id="1594"/>
      <w:bookmarkEnd w:id="1595"/>
      <w:bookmarkEnd w:id="1596"/>
      <w:bookmarkEnd w:id="1597"/>
      <w:bookmarkEnd w:id="1598"/>
      <w:bookmarkEnd w:id="1599"/>
    </w:p>
    <w:p w14:paraId="0480BFA9" w14:textId="77777777" w:rsidR="001C08A5" w:rsidRDefault="001C08A5">
      <w:pPr>
        <w:jc w:val="both"/>
        <w:rPr>
          <w:b/>
          <w:sz w:val="24"/>
          <w:szCs w:val="24"/>
        </w:rPr>
      </w:pPr>
    </w:p>
    <w:p w14:paraId="5A455A49" w14:textId="77777777" w:rsidR="001C08A5" w:rsidRDefault="00000000">
      <w:pPr>
        <w:jc w:val="both"/>
        <w:rPr>
          <w:b/>
          <w:bCs/>
          <w:iCs/>
          <w:sz w:val="24"/>
          <w:szCs w:val="24"/>
        </w:rPr>
      </w:pPr>
      <w:r>
        <w:rPr>
          <w:b/>
          <w:sz w:val="24"/>
          <w:szCs w:val="24"/>
        </w:rPr>
        <w:tab/>
      </w:r>
      <w:r>
        <w:rPr>
          <w:b/>
          <w:bCs/>
          <w:sz w:val="24"/>
          <w:szCs w:val="24"/>
        </w:rPr>
        <w:t xml:space="preserve">Art. </w:t>
      </w:r>
      <w:r>
        <w:rPr>
          <w:b/>
          <w:sz w:val="24"/>
          <w:szCs w:val="24"/>
        </w:rPr>
        <w:t>2.3.6.2.1. (1)</w:t>
      </w:r>
      <w:r>
        <w:rPr>
          <w:sz w:val="24"/>
          <w:szCs w:val="24"/>
        </w:rPr>
        <w:t xml:space="preserve"> Produsele utilizate pentru termoizolarea terasei clădirilor înalte şi foarte înalte trebuie să fie clasa de reacţie la foc </w:t>
      </w:r>
      <w:r>
        <w:rPr>
          <w:b/>
          <w:bCs/>
          <w:iCs/>
          <w:sz w:val="24"/>
          <w:szCs w:val="24"/>
        </w:rPr>
        <w:t>A1</w:t>
      </w:r>
      <w:r>
        <w:rPr>
          <w:iCs/>
          <w:sz w:val="24"/>
          <w:szCs w:val="24"/>
        </w:rPr>
        <w:t xml:space="preserve"> sau </w:t>
      </w:r>
      <w:r>
        <w:rPr>
          <w:b/>
          <w:bCs/>
          <w:iCs/>
          <w:sz w:val="24"/>
          <w:szCs w:val="24"/>
        </w:rPr>
        <w:t>A2-s1d0.</w:t>
      </w:r>
    </w:p>
    <w:p w14:paraId="31A57C96" w14:textId="77777777" w:rsidR="001C08A5" w:rsidRDefault="00000000">
      <w:pPr>
        <w:autoSpaceDE w:val="0"/>
        <w:ind w:firstLine="720"/>
        <w:jc w:val="both"/>
        <w:rPr>
          <w:b/>
          <w:bCs/>
          <w:sz w:val="24"/>
          <w:szCs w:val="24"/>
        </w:rPr>
      </w:pPr>
      <w:r>
        <w:rPr>
          <w:b/>
          <w:sz w:val="24"/>
          <w:szCs w:val="24"/>
        </w:rPr>
        <w:t>(2)</w:t>
      </w:r>
      <w:r>
        <w:rPr>
          <w:iCs/>
          <w:sz w:val="24"/>
          <w:szCs w:val="24"/>
        </w:rPr>
        <w:t xml:space="preserve">   La construcţiile </w:t>
      </w:r>
      <w:r>
        <w:rPr>
          <w:bCs/>
          <w:sz w:val="24"/>
          <w:szCs w:val="24"/>
        </w:rPr>
        <w:t>care nu sunt înalte și foarte înalte și au</w:t>
      </w:r>
      <w:r>
        <w:rPr>
          <w:sz w:val="24"/>
          <w:szCs w:val="24"/>
        </w:rPr>
        <w:t xml:space="preserve"> înălţimea mai mare de </w:t>
      </w:r>
      <w:r>
        <w:rPr>
          <w:b/>
          <w:sz w:val="24"/>
          <w:szCs w:val="24"/>
        </w:rPr>
        <w:t>20 m</w:t>
      </w:r>
      <w:r>
        <w:rPr>
          <w:sz w:val="24"/>
          <w:szCs w:val="24"/>
        </w:rPr>
        <w:t xml:space="preserve"> (măsurate la coamă sau atic) faţă de terenul sau carosabilul adiacent accesibil autospecialelor de intervenţie ale pompierilor, materialele utilizate pentru termoizolarea acoperișurilor tip terasă pot să fie clasa de reacţie la foc minimum</w:t>
      </w:r>
      <w:r>
        <w:rPr>
          <w:b/>
          <w:bCs/>
          <w:sz w:val="24"/>
          <w:szCs w:val="24"/>
        </w:rPr>
        <w:t xml:space="preserve"> B-s3d0</w:t>
      </w:r>
      <w:r>
        <w:rPr>
          <w:sz w:val="24"/>
          <w:szCs w:val="24"/>
        </w:rPr>
        <w:t xml:space="preserve">. În condițiile amplasării panourilor fotovoltaice peste aceste acoperișuri, stratul final al învelitorii trebuie să respecte prevederile din </w:t>
      </w:r>
      <w:r>
        <w:rPr>
          <w:rStyle w:val="CaptiontabelChar"/>
        </w:rPr>
        <w:fldChar w:fldCharType="begin"/>
      </w:r>
      <w:r>
        <w:rPr>
          <w:rStyle w:val="CaptiontabelChar"/>
        </w:rPr>
        <w:instrText xml:space="preserve"> REF _Ref26473 \h </w:instrText>
      </w:r>
      <w:r>
        <w:rPr>
          <w:rStyle w:val="CaptiontabelChar"/>
        </w:rPr>
      </w:r>
      <w:r>
        <w:rPr>
          <w:rStyle w:val="CaptiontabelChar"/>
        </w:rPr>
        <w:fldChar w:fldCharType="separate"/>
      </w:r>
      <w:r>
        <w:t>Tabelul 2</w:t>
      </w:r>
      <w:r>
        <w:rPr>
          <w:rStyle w:val="CaptiontabelChar"/>
        </w:rPr>
        <w:fldChar w:fldCharType="end"/>
      </w:r>
      <w:r>
        <w:rPr>
          <w:rStyle w:val="BodyTextChar"/>
        </w:rPr>
        <w:t xml:space="preserve">, nr. crt. 10, lit. b. </w:t>
      </w:r>
      <w:r>
        <w:rPr>
          <w:rStyle w:val="BodyTextChar"/>
          <w:b w:val="0"/>
          <w:bCs w:val="0"/>
          <w:i w:val="0"/>
          <w:iCs/>
        </w:rPr>
        <w:t>sau</w:t>
      </w:r>
      <w:r>
        <w:rPr>
          <w:rStyle w:val="BodyTextChar"/>
        </w:rPr>
        <w:fldChar w:fldCharType="begin"/>
      </w:r>
      <w:r>
        <w:rPr>
          <w:rStyle w:val="BodyTextChar"/>
        </w:rPr>
        <w:instrText xml:space="preserve"> REF _Ref26512 \h </w:instrText>
      </w:r>
      <w:r>
        <w:rPr>
          <w:rStyle w:val="BodyTextChar"/>
        </w:rPr>
      </w:r>
      <w:r>
        <w:rPr>
          <w:rStyle w:val="BodyTextChar"/>
        </w:rPr>
        <w:fldChar w:fldCharType="separate"/>
      </w:r>
      <w:r>
        <w:rPr>
          <w:rStyle w:val="BodyTextChar"/>
        </w:rPr>
        <w:t xml:space="preserve"> </w:t>
      </w:r>
      <w:r>
        <w:rPr>
          <w:rStyle w:val="BodyTextChar"/>
        </w:rPr>
        <w:fldChar w:fldCharType="end"/>
      </w:r>
      <w:r>
        <w:rPr>
          <w:rStyle w:val="BodyTextChar"/>
        </w:rPr>
        <w:fldChar w:fldCharType="begin"/>
      </w:r>
      <w:r>
        <w:rPr>
          <w:rStyle w:val="BodyTextChar"/>
        </w:rPr>
        <w:instrText xml:space="preserve"> REF _Ref11612 \h </w:instrText>
      </w:r>
      <w:r>
        <w:rPr>
          <w:rStyle w:val="BodyTextChar"/>
        </w:rPr>
      </w:r>
      <w:r>
        <w:rPr>
          <w:rStyle w:val="BodyTextChar"/>
        </w:rPr>
        <w:fldChar w:fldCharType="separate"/>
      </w:r>
      <w:r>
        <w:t>Tabelul 3</w:t>
      </w:r>
      <w:r>
        <w:rPr>
          <w:rStyle w:val="BodyTextChar"/>
        </w:rPr>
        <w:fldChar w:fldCharType="end"/>
      </w:r>
      <w:r>
        <w:rPr>
          <w:rStyle w:val="BodyTextChar"/>
        </w:rPr>
        <w:t xml:space="preserve"> nr. crt. 10, lit. b.</w:t>
      </w:r>
    </w:p>
    <w:p w14:paraId="34A946B5" w14:textId="77777777" w:rsidR="001C08A5" w:rsidRDefault="00000000">
      <w:pPr>
        <w:autoSpaceDE w:val="0"/>
        <w:ind w:firstLine="720"/>
        <w:jc w:val="both"/>
        <w:rPr>
          <w:sz w:val="24"/>
          <w:szCs w:val="24"/>
        </w:rPr>
      </w:pPr>
      <w:r>
        <w:rPr>
          <w:b/>
          <w:bCs/>
          <w:sz w:val="24"/>
          <w:szCs w:val="24"/>
        </w:rPr>
        <w:t xml:space="preserve">(3)  </w:t>
      </w:r>
      <w:r>
        <w:rPr>
          <w:sz w:val="24"/>
          <w:szCs w:val="24"/>
        </w:rPr>
        <w:t xml:space="preserve">Clasa de reacţie la foc a materialului termoizolant utilizat pentru termoizolarea acoperișurilor tip terasă  poate fi minimum </w:t>
      </w:r>
      <w:r>
        <w:rPr>
          <w:b/>
          <w:bCs/>
          <w:sz w:val="24"/>
          <w:szCs w:val="24"/>
        </w:rPr>
        <w:t xml:space="preserve">C-s3d0 </w:t>
      </w:r>
      <w:r>
        <w:rPr>
          <w:sz w:val="24"/>
          <w:szCs w:val="24"/>
        </w:rPr>
        <w:t xml:space="preserve">pentru celelate categorii de clădiri cu regim de înălțime mai mic de </w:t>
      </w:r>
      <w:r>
        <w:rPr>
          <w:b/>
          <w:bCs/>
          <w:sz w:val="24"/>
          <w:szCs w:val="24"/>
        </w:rPr>
        <w:t>20 m</w:t>
      </w:r>
      <w:r>
        <w:rPr>
          <w:sz w:val="24"/>
          <w:szCs w:val="24"/>
        </w:rPr>
        <w:t xml:space="preserve"> (măsurate la coamă sau atic) faţă de terenul sau carosabilul adiacent accesibil autospecialelor de intervenţie ale pompierilor. În condițiile amplasării panourilor fotovoltaice peste aceste acoperișuri, stratul final al învelitorii trebuie să respecte prevederile din </w:t>
      </w:r>
      <w:r>
        <w:rPr>
          <w:rStyle w:val="CaptiontabelChar"/>
          <w:b w:val="0"/>
          <w:bCs/>
          <w:i w:val="0"/>
          <w:iCs/>
          <w:sz w:val="20"/>
          <w:szCs w:val="20"/>
        </w:rPr>
        <w:fldChar w:fldCharType="begin"/>
      </w:r>
      <w:r>
        <w:rPr>
          <w:rStyle w:val="CaptiontabelChar"/>
          <w:b w:val="0"/>
          <w:bCs/>
          <w:i w:val="0"/>
          <w:iCs/>
          <w:sz w:val="20"/>
          <w:szCs w:val="20"/>
        </w:rPr>
        <w:instrText xml:space="preserve"> REF _Ref26473 \h  \* MERGEFORMAT </w:instrText>
      </w:r>
      <w:r>
        <w:rPr>
          <w:rStyle w:val="CaptiontabelChar"/>
          <w:b w:val="0"/>
          <w:bCs/>
          <w:i w:val="0"/>
          <w:iCs/>
          <w:sz w:val="20"/>
          <w:szCs w:val="20"/>
        </w:rPr>
      </w:r>
      <w:r>
        <w:rPr>
          <w:rStyle w:val="CaptiontabelChar"/>
          <w:b w:val="0"/>
          <w:bCs/>
          <w:i w:val="0"/>
          <w:iCs/>
          <w:sz w:val="20"/>
          <w:szCs w:val="20"/>
        </w:rPr>
        <w:fldChar w:fldCharType="separate"/>
      </w:r>
      <w:r>
        <w:rPr>
          <w:rStyle w:val="CaptiontabelChar"/>
          <w:b w:val="0"/>
          <w:bCs/>
          <w:i w:val="0"/>
          <w:iCs/>
          <w:sz w:val="20"/>
          <w:szCs w:val="20"/>
        </w:rPr>
        <w:t>Tabelul 2</w:t>
      </w:r>
      <w:r>
        <w:rPr>
          <w:rStyle w:val="CaptiontabelChar"/>
          <w:b w:val="0"/>
          <w:bCs/>
          <w:i w:val="0"/>
          <w:iCs/>
          <w:sz w:val="20"/>
          <w:szCs w:val="20"/>
        </w:rPr>
        <w:fldChar w:fldCharType="end"/>
      </w:r>
      <w:r>
        <w:rPr>
          <w:sz w:val="24"/>
          <w:szCs w:val="24"/>
        </w:rPr>
        <w:t xml:space="preserve">, </w:t>
      </w:r>
      <w:r>
        <w:rPr>
          <w:b/>
          <w:bCs/>
          <w:i/>
          <w:iCs/>
          <w:sz w:val="24"/>
          <w:szCs w:val="24"/>
        </w:rPr>
        <w:t>nr. crt. 10, lit. b</w:t>
      </w:r>
      <w:r>
        <w:rPr>
          <w:sz w:val="24"/>
          <w:szCs w:val="24"/>
        </w:rPr>
        <w:t xml:space="preserve">. sau </w:t>
      </w:r>
      <w:r>
        <w:rPr>
          <w:rStyle w:val="CaptiontabelChar"/>
        </w:rPr>
        <w:fldChar w:fldCharType="begin"/>
      </w:r>
      <w:r>
        <w:rPr>
          <w:rStyle w:val="CaptiontabelChar"/>
        </w:rPr>
        <w:instrText xml:space="preserve"> REF _Ref26512 \h  \* MERGEFORMAT </w:instrText>
      </w:r>
      <w:r>
        <w:rPr>
          <w:rStyle w:val="CaptiontabelChar"/>
        </w:rPr>
      </w:r>
      <w:r>
        <w:rPr>
          <w:rStyle w:val="CaptiontabelChar"/>
        </w:rPr>
        <w:fldChar w:fldCharType="separate"/>
      </w:r>
      <w:r>
        <w:rPr>
          <w:rStyle w:val="CaptiontabelChar"/>
        </w:rPr>
        <w:fldChar w:fldCharType="begin"/>
      </w:r>
      <w:r>
        <w:rPr>
          <w:rStyle w:val="CaptiontabelChar"/>
        </w:rPr>
        <w:instrText xml:space="preserve"> REF _Ref11612 \h </w:instrText>
      </w:r>
      <w:r>
        <w:rPr>
          <w:rStyle w:val="CaptiontabelChar"/>
        </w:rPr>
      </w:r>
      <w:r>
        <w:rPr>
          <w:rStyle w:val="CaptiontabelChar"/>
        </w:rPr>
        <w:fldChar w:fldCharType="separate"/>
      </w:r>
      <w:r>
        <w:t>Tabelul 3</w:t>
      </w:r>
      <w:r>
        <w:rPr>
          <w:rStyle w:val="CaptiontabelChar"/>
        </w:rPr>
        <w:fldChar w:fldCharType="end"/>
      </w:r>
      <w:r>
        <w:rPr>
          <w:rStyle w:val="CaptiontabelChar"/>
        </w:rPr>
        <w:fldChar w:fldCharType="end"/>
      </w:r>
      <w:r>
        <w:rPr>
          <w:rStyle w:val="CaptiontabelChar"/>
        </w:rPr>
        <w:t xml:space="preserve"> </w:t>
      </w:r>
      <w:r>
        <w:rPr>
          <w:b/>
          <w:bCs/>
          <w:i/>
          <w:iCs/>
          <w:sz w:val="24"/>
          <w:szCs w:val="24"/>
        </w:rPr>
        <w:t>nr. crt. 10, lit. b.</w:t>
      </w:r>
    </w:p>
    <w:p w14:paraId="5D0A5AC7" w14:textId="77777777" w:rsidR="001C08A5" w:rsidRDefault="00000000">
      <w:pPr>
        <w:autoSpaceDE w:val="0"/>
        <w:ind w:firstLine="720"/>
        <w:jc w:val="both"/>
        <w:rPr>
          <w:bCs/>
          <w:iCs/>
          <w:sz w:val="24"/>
          <w:szCs w:val="24"/>
        </w:rPr>
      </w:pPr>
      <w:r>
        <w:rPr>
          <w:b/>
          <w:bCs/>
          <w:sz w:val="24"/>
          <w:szCs w:val="24"/>
        </w:rPr>
        <w:t xml:space="preserve">(4)  </w:t>
      </w:r>
      <w:r>
        <w:rPr>
          <w:sz w:val="24"/>
          <w:szCs w:val="24"/>
        </w:rPr>
        <w:t xml:space="preserve">Prin exceptie de la prevederile </w:t>
      </w:r>
      <w:r>
        <w:rPr>
          <w:b/>
          <w:bCs/>
          <w:sz w:val="24"/>
          <w:szCs w:val="24"/>
        </w:rPr>
        <w:t>alin. (1)</w:t>
      </w:r>
      <w:r>
        <w:rPr>
          <w:sz w:val="24"/>
          <w:szCs w:val="24"/>
        </w:rPr>
        <w:t xml:space="preserve">, </w:t>
      </w:r>
      <w:r>
        <w:rPr>
          <w:b/>
          <w:bCs/>
          <w:sz w:val="24"/>
          <w:szCs w:val="24"/>
        </w:rPr>
        <w:t>(2)</w:t>
      </w:r>
      <w:r>
        <w:rPr>
          <w:sz w:val="24"/>
          <w:szCs w:val="24"/>
        </w:rPr>
        <w:t xml:space="preserve"> si </w:t>
      </w:r>
      <w:r>
        <w:rPr>
          <w:b/>
          <w:bCs/>
          <w:sz w:val="24"/>
          <w:szCs w:val="24"/>
        </w:rPr>
        <w:t>(3)</w:t>
      </w:r>
      <w:r>
        <w:rPr>
          <w:sz w:val="24"/>
          <w:szCs w:val="24"/>
        </w:rPr>
        <w:t>, s</w:t>
      </w:r>
      <w:r>
        <w:rPr>
          <w:iCs/>
          <w:sz w:val="24"/>
          <w:szCs w:val="24"/>
        </w:rPr>
        <w:t>e</w:t>
      </w:r>
      <w:r>
        <w:rPr>
          <w:bCs/>
          <w:iCs/>
          <w:sz w:val="24"/>
          <w:szCs w:val="24"/>
        </w:rPr>
        <w:t xml:space="preserve"> admite utilizarea materialelor termoizolante combustibile fără performanță la foc:</w:t>
      </w:r>
    </w:p>
    <w:p w14:paraId="71497A01" w14:textId="77777777" w:rsidR="001C08A5" w:rsidRDefault="00000000">
      <w:pPr>
        <w:autoSpaceDE w:val="0"/>
        <w:ind w:left="1440" w:firstLine="720"/>
        <w:jc w:val="both"/>
        <w:rPr>
          <w:bCs/>
          <w:iCs/>
          <w:sz w:val="24"/>
          <w:szCs w:val="24"/>
        </w:rPr>
      </w:pPr>
      <w:r>
        <w:rPr>
          <w:bCs/>
          <w:iCs/>
          <w:sz w:val="24"/>
          <w:szCs w:val="24"/>
        </w:rPr>
        <w:t xml:space="preserve">a) </w:t>
      </w:r>
      <w:r>
        <w:rPr>
          <w:bCs/>
          <w:sz w:val="24"/>
          <w:szCs w:val="24"/>
        </w:rPr>
        <w:t xml:space="preserve">în </w:t>
      </w:r>
      <w:r>
        <w:rPr>
          <w:bCs/>
          <w:iCs/>
          <w:sz w:val="24"/>
          <w:szCs w:val="24"/>
        </w:rPr>
        <w:t xml:space="preserve">situația poziționării termoizolației între planșeul din beton armat și un strat de egalizare sau beton de panta, de minimum </w:t>
      </w:r>
      <w:r>
        <w:rPr>
          <w:b/>
          <w:iCs/>
          <w:sz w:val="24"/>
          <w:szCs w:val="24"/>
        </w:rPr>
        <w:t>3,00 cm</w:t>
      </w:r>
      <w:r>
        <w:rPr>
          <w:bCs/>
          <w:iCs/>
          <w:sz w:val="24"/>
          <w:szCs w:val="24"/>
        </w:rPr>
        <w:t>,</w:t>
      </w:r>
      <w:r>
        <w:rPr>
          <w:b/>
          <w:iCs/>
          <w:sz w:val="24"/>
          <w:szCs w:val="24"/>
        </w:rPr>
        <w:t xml:space="preserve"> </w:t>
      </w:r>
      <w:r>
        <w:rPr>
          <w:bCs/>
          <w:iCs/>
          <w:sz w:val="24"/>
          <w:szCs w:val="24"/>
        </w:rPr>
        <w:t xml:space="preserve">iar la toate traversările necesare instalațiilor precum și pe tot conturul terasei se utilizează vată minerala clasa </w:t>
      </w:r>
      <w:r>
        <w:rPr>
          <w:b/>
          <w:iCs/>
          <w:sz w:val="24"/>
          <w:szCs w:val="24"/>
        </w:rPr>
        <w:t>A1, A2 s1,d0</w:t>
      </w:r>
      <w:r>
        <w:rPr>
          <w:bCs/>
          <w:iCs/>
          <w:sz w:val="24"/>
          <w:szCs w:val="24"/>
        </w:rPr>
        <w:t xml:space="preserve"> reacție la foc pe o lățime minimă de</w:t>
      </w:r>
      <w:r>
        <w:rPr>
          <w:b/>
          <w:iCs/>
          <w:sz w:val="24"/>
          <w:szCs w:val="24"/>
        </w:rPr>
        <w:t xml:space="preserve"> 50</w:t>
      </w:r>
      <w:r>
        <w:rPr>
          <w:bCs/>
          <w:iCs/>
          <w:sz w:val="24"/>
          <w:szCs w:val="24"/>
        </w:rPr>
        <w:t xml:space="preserve"> cm; </w:t>
      </w:r>
    </w:p>
    <w:p w14:paraId="2ADA5FEA" w14:textId="77777777" w:rsidR="001C08A5" w:rsidRDefault="00000000">
      <w:pPr>
        <w:autoSpaceDE w:val="0"/>
        <w:ind w:left="1440" w:firstLine="720"/>
        <w:jc w:val="both"/>
        <w:rPr>
          <w:b/>
          <w:bCs/>
          <w:iCs/>
          <w:sz w:val="24"/>
          <w:szCs w:val="24"/>
        </w:rPr>
      </w:pPr>
      <w:r>
        <w:rPr>
          <w:bCs/>
          <w:iCs/>
          <w:sz w:val="24"/>
          <w:szCs w:val="24"/>
        </w:rPr>
        <w:t xml:space="preserve">b) în situația poziționării termoizolației între stratul de egalizare și o șapă slab armată cu grosimea de </w:t>
      </w:r>
      <w:r>
        <w:rPr>
          <w:b/>
          <w:iCs/>
          <w:sz w:val="24"/>
          <w:szCs w:val="24"/>
        </w:rPr>
        <w:t>5 cm.</w:t>
      </w:r>
    </w:p>
    <w:p w14:paraId="169E6F0C" w14:textId="77777777" w:rsidR="001C08A5" w:rsidRDefault="00000000">
      <w:pPr>
        <w:pStyle w:val="Heading5"/>
        <w:rPr>
          <w:lang w:val="ro-RO"/>
        </w:rPr>
      </w:pPr>
      <w:bookmarkStart w:id="1600" w:name="_Toc32291"/>
      <w:bookmarkStart w:id="1601" w:name="_Toc11820"/>
      <w:bookmarkStart w:id="1602" w:name="_Toc2683"/>
      <w:bookmarkStart w:id="1603" w:name="_Toc6890"/>
      <w:bookmarkStart w:id="1604" w:name="_Toc162355218"/>
      <w:bookmarkStart w:id="1605" w:name="_Toc9686"/>
      <w:bookmarkStart w:id="1606" w:name="_Toc16460"/>
      <w:bookmarkStart w:id="1607" w:name="_Toc30094"/>
      <w:r>
        <w:rPr>
          <w:lang w:val="ro-RO"/>
        </w:rPr>
        <w:t>2.3.6.3. Limitarea dezvoltării efluenţilor incendiului (fum, gaze fierbinţi)</w:t>
      </w:r>
      <w:bookmarkEnd w:id="1600"/>
      <w:bookmarkEnd w:id="1601"/>
      <w:bookmarkEnd w:id="1602"/>
      <w:bookmarkEnd w:id="1603"/>
      <w:bookmarkEnd w:id="1604"/>
      <w:bookmarkEnd w:id="1605"/>
      <w:bookmarkEnd w:id="1606"/>
      <w:bookmarkEnd w:id="1607"/>
    </w:p>
    <w:p w14:paraId="5716ED6F" w14:textId="77777777" w:rsidR="001C08A5" w:rsidRDefault="001C08A5">
      <w:pPr>
        <w:rPr>
          <w:b/>
          <w:bCs/>
          <w:iCs/>
          <w:sz w:val="24"/>
          <w:szCs w:val="24"/>
        </w:rPr>
      </w:pPr>
    </w:p>
    <w:p w14:paraId="259F9F81" w14:textId="77777777" w:rsidR="001C08A5" w:rsidRDefault="00000000">
      <w:pPr>
        <w:jc w:val="both"/>
        <w:rPr>
          <w:sz w:val="24"/>
          <w:szCs w:val="24"/>
        </w:rPr>
      </w:pPr>
      <w:r>
        <w:rPr>
          <w:b/>
          <w:sz w:val="24"/>
          <w:szCs w:val="24"/>
        </w:rPr>
        <w:tab/>
        <w:t xml:space="preserve">Art. </w:t>
      </w:r>
      <w:r>
        <w:rPr>
          <w:b/>
          <w:bCs/>
          <w:iCs/>
          <w:sz w:val="24"/>
          <w:szCs w:val="24"/>
        </w:rPr>
        <w:t>2.3.6.3.</w:t>
      </w:r>
      <w:r>
        <w:rPr>
          <w:b/>
          <w:sz w:val="24"/>
          <w:szCs w:val="24"/>
        </w:rPr>
        <w:t>1.</w:t>
      </w:r>
      <w:r>
        <w:rPr>
          <w:sz w:val="24"/>
          <w:szCs w:val="24"/>
        </w:rPr>
        <w:t xml:space="preserve"> Pentru limitarea dezvoltării efluenţilor incendiului (fum, gaze fierbinţi) și a propagării uşoare a focului în interiorul construcţiei, după caz, trebuie asigurate sisteme adecvate de protecţie, respectiv a unor:</w:t>
      </w:r>
    </w:p>
    <w:p w14:paraId="77B6EC14" w14:textId="77777777" w:rsidR="001C08A5" w:rsidRDefault="00000000">
      <w:pPr>
        <w:ind w:left="1560"/>
        <w:jc w:val="both"/>
        <w:rPr>
          <w:sz w:val="24"/>
          <w:szCs w:val="24"/>
        </w:rPr>
      </w:pPr>
      <w:r>
        <w:rPr>
          <w:b/>
          <w:sz w:val="24"/>
          <w:szCs w:val="24"/>
        </w:rPr>
        <w:t>a)</w:t>
      </w:r>
      <w:r>
        <w:rPr>
          <w:sz w:val="24"/>
          <w:szCs w:val="24"/>
        </w:rPr>
        <w:t xml:space="preserve"> sisteme de realizare a suprapresiunii diferentiale (conform </w:t>
      </w:r>
      <w:hyperlink r:id="rId148" w:history="1">
        <w:r>
          <w:rPr>
            <w:rStyle w:val="Strong"/>
            <w:rFonts w:eastAsia="sans-serif"/>
            <w:sz w:val="24"/>
            <w:szCs w:val="24"/>
            <w:shd w:val="clear" w:color="auto" w:fill="FFFFFF"/>
          </w:rPr>
          <w:t>SR EN 12101-13 -</w:t>
        </w:r>
      </w:hyperlink>
      <w:r>
        <w:rPr>
          <w:rStyle w:val="Strong"/>
          <w:rFonts w:eastAsia="sans-serif"/>
          <w:b w:val="0"/>
          <w:bCs w:val="0"/>
          <w:sz w:val="24"/>
          <w:szCs w:val="24"/>
          <w:shd w:val="clear" w:color="auto" w:fill="FFFFFF"/>
        </w:rPr>
        <w:t xml:space="preserve">Sisteme pentru controlul fumului și gazelor fierbinți. Partea 13: Sisteme cu presiune diferențială (SPD). Metode de proiectare și de calcul, instalare, încercări în vederea recepției, încercări periodice și mentenanță și </w:t>
      </w:r>
      <w:hyperlink r:id="rId149" w:history="1">
        <w:r>
          <w:rPr>
            <w:rStyle w:val="Strong"/>
            <w:rFonts w:eastAsia="sans-serif"/>
            <w:sz w:val="24"/>
            <w:szCs w:val="24"/>
            <w:shd w:val="clear" w:color="auto" w:fill="FFFFFF"/>
          </w:rPr>
          <w:t>SR EN 12101-6 -</w:t>
        </w:r>
      </w:hyperlink>
      <w:r>
        <w:rPr>
          <w:sz w:val="24"/>
          <w:szCs w:val="24"/>
        </w:rPr>
        <w:t>Sisteme pentru controlul fumului și gazelor fierbinți. Partea 6: Specificații pentru sisteme cu presiune diferențială. Kituri);</w:t>
      </w:r>
    </w:p>
    <w:p w14:paraId="3F8BC1C3" w14:textId="77777777" w:rsidR="001C08A5" w:rsidRDefault="00000000">
      <w:pPr>
        <w:ind w:left="1560"/>
        <w:jc w:val="both"/>
        <w:rPr>
          <w:sz w:val="24"/>
          <w:szCs w:val="24"/>
        </w:rPr>
      </w:pPr>
      <w:r>
        <w:rPr>
          <w:b/>
          <w:sz w:val="24"/>
          <w:szCs w:val="24"/>
        </w:rPr>
        <w:t>b)</w:t>
      </w:r>
      <w:r>
        <w:rPr>
          <w:sz w:val="24"/>
          <w:szCs w:val="24"/>
        </w:rPr>
        <w:t xml:space="preserve"> sisteme de evacuare a fumului şi gazelor fierbinţi, realizate conform prevederilor normativului;</w:t>
      </w:r>
    </w:p>
    <w:p w14:paraId="6F953179" w14:textId="77777777" w:rsidR="001C08A5" w:rsidRDefault="00000000">
      <w:pPr>
        <w:ind w:left="1560"/>
        <w:jc w:val="both"/>
        <w:rPr>
          <w:sz w:val="24"/>
          <w:szCs w:val="24"/>
        </w:rPr>
      </w:pPr>
      <w:r>
        <w:rPr>
          <w:b/>
          <w:sz w:val="24"/>
          <w:szCs w:val="24"/>
        </w:rPr>
        <w:t>c)</w:t>
      </w:r>
      <w:r>
        <w:rPr>
          <w:sz w:val="24"/>
          <w:szCs w:val="24"/>
        </w:rPr>
        <w:t xml:space="preserve"> sisteme de evacuare a fumului şi gazelor fierbinţi, realizate conform standardelor: </w:t>
      </w:r>
      <w:r>
        <w:rPr>
          <w:b/>
          <w:bCs/>
          <w:sz w:val="24"/>
          <w:szCs w:val="24"/>
        </w:rPr>
        <w:t>SR CEN/TR 12101-5</w:t>
      </w:r>
      <w:r>
        <w:rPr>
          <w:sz w:val="24"/>
          <w:szCs w:val="24"/>
        </w:rPr>
        <w:t xml:space="preserve"> - Sisteme de control al fumului şi gazelor fierbinţi. Partea 5: Ghid de recomandări funcţionale şi metode de calcul pentru sisteme de ventilare pentru evacuarea fumului şi gazelor fierbinţi </w:t>
      </w:r>
    </w:p>
    <w:p w14:paraId="4997F4C7" w14:textId="77777777" w:rsidR="001C08A5" w:rsidRDefault="00000000">
      <w:pPr>
        <w:pStyle w:val="Heading3"/>
      </w:pPr>
      <w:bookmarkStart w:id="1608" w:name="_Toc8638"/>
      <w:bookmarkStart w:id="1609" w:name="_Toc1531"/>
      <w:bookmarkStart w:id="1610" w:name="_Toc25238"/>
      <w:bookmarkStart w:id="1611" w:name="_Toc9641"/>
      <w:bookmarkStart w:id="1612" w:name="_Toc4548"/>
      <w:bookmarkStart w:id="1613" w:name="_Toc8804"/>
      <w:bookmarkStart w:id="1614" w:name="_Toc162355219"/>
      <w:bookmarkStart w:id="1615" w:name="_Toc15231"/>
      <w:bookmarkStart w:id="1616" w:name="_Toc5776"/>
      <w:bookmarkStart w:id="1617" w:name="_Toc20644"/>
      <w:r>
        <w:t>SECŢIUNEA IV</w:t>
      </w:r>
      <w:bookmarkEnd w:id="1608"/>
      <w:bookmarkEnd w:id="1609"/>
      <w:bookmarkEnd w:id="1610"/>
      <w:bookmarkEnd w:id="1611"/>
      <w:bookmarkEnd w:id="1612"/>
      <w:bookmarkEnd w:id="1613"/>
      <w:bookmarkEnd w:id="1614"/>
      <w:bookmarkEnd w:id="1615"/>
      <w:bookmarkEnd w:id="1616"/>
      <w:bookmarkEnd w:id="1617"/>
    </w:p>
    <w:p w14:paraId="65966004" w14:textId="77777777" w:rsidR="001C08A5" w:rsidRDefault="00000000">
      <w:pPr>
        <w:pStyle w:val="Heading3"/>
        <w:rPr>
          <w:rFonts w:cs="Times New Roman"/>
          <w:sz w:val="24"/>
          <w:szCs w:val="24"/>
        </w:rPr>
      </w:pPr>
      <w:bookmarkStart w:id="1618" w:name="_Toc17501"/>
      <w:bookmarkStart w:id="1619" w:name="_Toc27061"/>
      <w:bookmarkStart w:id="1620" w:name="_Toc14756"/>
      <w:bookmarkStart w:id="1621" w:name="_Toc162355220"/>
      <w:bookmarkStart w:id="1622" w:name="_Toc22606"/>
      <w:bookmarkStart w:id="1623" w:name="_Toc2335"/>
      <w:bookmarkStart w:id="1624" w:name="_Toc25910"/>
      <w:bookmarkStart w:id="1625" w:name="_Toc1538"/>
      <w:bookmarkStart w:id="1626" w:name="_Toc27545"/>
      <w:bookmarkStart w:id="1627" w:name="_Toc7472"/>
      <w:r>
        <w:t>2.4. Alcătuiri constructive</w:t>
      </w:r>
      <w:bookmarkEnd w:id="1618"/>
      <w:bookmarkEnd w:id="1619"/>
      <w:bookmarkEnd w:id="1620"/>
      <w:bookmarkEnd w:id="1621"/>
      <w:bookmarkEnd w:id="1622"/>
      <w:bookmarkEnd w:id="1623"/>
      <w:bookmarkEnd w:id="1624"/>
      <w:bookmarkEnd w:id="1625"/>
      <w:bookmarkEnd w:id="1626"/>
      <w:bookmarkEnd w:id="1627"/>
    </w:p>
    <w:p w14:paraId="54EE5E9B" w14:textId="77777777" w:rsidR="001C08A5" w:rsidRDefault="00000000">
      <w:pPr>
        <w:pStyle w:val="Heading4"/>
      </w:pPr>
      <w:bookmarkStart w:id="1628" w:name="_Toc3892"/>
      <w:bookmarkStart w:id="1629" w:name="_Toc11155"/>
      <w:bookmarkStart w:id="1630" w:name="_Toc663"/>
      <w:bookmarkStart w:id="1631" w:name="_Toc162355221"/>
      <w:bookmarkStart w:id="1632" w:name="_Toc28030"/>
      <w:bookmarkStart w:id="1633" w:name="_Toc10771"/>
      <w:bookmarkStart w:id="1634" w:name="_Toc3516"/>
      <w:bookmarkStart w:id="1635" w:name="_Toc15576"/>
      <w:r>
        <w:t>2.4.1. Dispoziţii generale</w:t>
      </w:r>
      <w:bookmarkEnd w:id="1628"/>
      <w:bookmarkEnd w:id="1629"/>
      <w:bookmarkEnd w:id="1630"/>
      <w:bookmarkEnd w:id="1631"/>
      <w:bookmarkEnd w:id="1632"/>
      <w:bookmarkEnd w:id="1633"/>
      <w:bookmarkEnd w:id="1634"/>
      <w:bookmarkEnd w:id="1635"/>
    </w:p>
    <w:p w14:paraId="57B04263" w14:textId="77777777" w:rsidR="001C08A5" w:rsidRDefault="001C08A5">
      <w:pPr>
        <w:jc w:val="both"/>
        <w:rPr>
          <w:bCs/>
          <w:sz w:val="24"/>
          <w:szCs w:val="24"/>
        </w:rPr>
      </w:pPr>
    </w:p>
    <w:p w14:paraId="1FEFC741" w14:textId="77777777" w:rsidR="001C08A5" w:rsidRDefault="00000000">
      <w:pPr>
        <w:jc w:val="both"/>
        <w:rPr>
          <w:sz w:val="24"/>
          <w:szCs w:val="24"/>
        </w:rPr>
      </w:pPr>
      <w:r>
        <w:rPr>
          <w:b/>
          <w:sz w:val="24"/>
          <w:szCs w:val="24"/>
        </w:rPr>
        <w:tab/>
        <w:t>Art. 2.4.1.1.</w:t>
      </w:r>
      <w:r>
        <w:rPr>
          <w:sz w:val="24"/>
          <w:szCs w:val="24"/>
        </w:rPr>
        <w:tab/>
      </w:r>
      <w:r>
        <w:rPr>
          <w:b/>
          <w:sz w:val="24"/>
          <w:szCs w:val="24"/>
        </w:rPr>
        <w:t xml:space="preserve">(1) </w:t>
      </w:r>
      <w:r>
        <w:rPr>
          <w:sz w:val="24"/>
          <w:szCs w:val="24"/>
        </w:rPr>
        <w:t>Construcţiile, compartimentele de incendiu şi elementele de construcţie ale acestora, se alcătuiesc şi conformează astfel încât să nu favorizeze propagarea uşoară a focului şi a fumului în interiorul şi exteriorul lor.</w:t>
      </w:r>
    </w:p>
    <w:p w14:paraId="4CBBC2AF" w14:textId="77777777" w:rsidR="001C08A5" w:rsidRDefault="00000000">
      <w:pPr>
        <w:ind w:firstLine="720"/>
        <w:jc w:val="both"/>
        <w:rPr>
          <w:sz w:val="24"/>
          <w:szCs w:val="24"/>
        </w:rPr>
      </w:pPr>
      <w:r>
        <w:rPr>
          <w:b/>
          <w:sz w:val="24"/>
          <w:szCs w:val="24"/>
        </w:rPr>
        <w:lastRenderedPageBreak/>
        <w:t xml:space="preserve">(2) </w:t>
      </w:r>
      <w:r>
        <w:rPr>
          <w:sz w:val="24"/>
          <w:szCs w:val="24"/>
        </w:rPr>
        <w:t>În construcţii cu nivelul</w:t>
      </w:r>
      <w:r>
        <w:rPr>
          <w:b/>
          <w:sz w:val="24"/>
          <w:szCs w:val="24"/>
        </w:rPr>
        <w:t xml:space="preserve"> I </w:t>
      </w:r>
      <w:r>
        <w:rPr>
          <w:sz w:val="24"/>
          <w:szCs w:val="24"/>
        </w:rPr>
        <w:t xml:space="preserve">de stabilitate la incendiu, densitatea sarcinii termice rezultată din materialele şi elementele de construcţie utilizate nu va depăşi </w:t>
      </w:r>
      <w:r>
        <w:rPr>
          <w:b/>
          <w:sz w:val="24"/>
          <w:szCs w:val="24"/>
        </w:rPr>
        <w:t xml:space="preserve">275 </w:t>
      </w:r>
      <w:r>
        <w:rPr>
          <w:b/>
          <w:bCs/>
          <w:sz w:val="24"/>
          <w:szCs w:val="24"/>
        </w:rPr>
        <w:t>MJ/m²</w:t>
      </w:r>
      <w:r>
        <w:rPr>
          <w:sz w:val="24"/>
          <w:szCs w:val="24"/>
        </w:rPr>
        <w:t xml:space="preserve">, cu excepția pardoselilor pe suport clasa de reacţie la foc </w:t>
      </w:r>
      <w:r>
        <w:rPr>
          <w:b/>
          <w:sz w:val="24"/>
          <w:szCs w:val="24"/>
        </w:rPr>
        <w:t>A1</w:t>
      </w:r>
      <w:r>
        <w:rPr>
          <w:sz w:val="24"/>
          <w:szCs w:val="24"/>
        </w:rPr>
        <w:t xml:space="preserve"> sau </w:t>
      </w:r>
      <w:r>
        <w:rPr>
          <w:b/>
          <w:sz w:val="24"/>
          <w:szCs w:val="24"/>
        </w:rPr>
        <w:t>A2-s1d0</w:t>
      </w:r>
      <w:r>
        <w:rPr>
          <w:sz w:val="24"/>
          <w:szCs w:val="24"/>
        </w:rPr>
        <w:t xml:space="preserve"> și rezistent la foc dupa criteriile </w:t>
      </w:r>
      <w:r>
        <w:rPr>
          <w:b/>
          <w:sz w:val="24"/>
          <w:szCs w:val="24"/>
        </w:rPr>
        <w:t xml:space="preserve">REI </w:t>
      </w:r>
      <w:r>
        <w:rPr>
          <w:bCs/>
          <w:sz w:val="24"/>
          <w:szCs w:val="24"/>
        </w:rPr>
        <w:t xml:space="preserve">conform prevederilor din </w:t>
      </w:r>
      <w:r>
        <w:rPr>
          <w:b/>
          <w:bCs/>
          <w:i/>
          <w:iCs/>
          <w:sz w:val="24"/>
          <w:szCs w:val="24"/>
        </w:rPr>
        <w:fldChar w:fldCharType="begin"/>
      </w:r>
      <w:r>
        <w:rPr>
          <w:b/>
          <w:bCs/>
          <w:i/>
          <w:iCs/>
          <w:sz w:val="24"/>
          <w:szCs w:val="24"/>
        </w:rPr>
        <w:instrText xml:space="preserve"> REF _Ref26473 \h </w:instrText>
      </w:r>
      <w:r>
        <w:rPr>
          <w:b/>
          <w:bCs/>
          <w:i/>
          <w:iCs/>
          <w:sz w:val="24"/>
          <w:szCs w:val="24"/>
        </w:rPr>
      </w:r>
      <w:r>
        <w:rPr>
          <w:b/>
          <w:bCs/>
          <w:i/>
          <w:iCs/>
          <w:sz w:val="24"/>
          <w:szCs w:val="24"/>
        </w:rPr>
        <w:fldChar w:fldCharType="separate"/>
      </w:r>
      <w:r>
        <w:t>Tabelul 2</w:t>
      </w:r>
      <w:r>
        <w:rPr>
          <w:b/>
          <w:bCs/>
          <w:i/>
          <w:iCs/>
          <w:sz w:val="24"/>
          <w:szCs w:val="24"/>
        </w:rPr>
        <w:fldChar w:fldCharType="end"/>
      </w:r>
      <w:r>
        <w:rPr>
          <w:b/>
          <w:bCs/>
          <w:i/>
          <w:iCs/>
          <w:sz w:val="24"/>
          <w:szCs w:val="24"/>
        </w:rPr>
        <w:t xml:space="preserve"> nr. crt. 3</w:t>
      </w:r>
      <w:r>
        <w:rPr>
          <w:bCs/>
          <w:sz w:val="24"/>
          <w:szCs w:val="24"/>
        </w:rPr>
        <w:t xml:space="preserve"> (pentru planșee)</w:t>
      </w:r>
      <w:r>
        <w:rPr>
          <w:sz w:val="24"/>
          <w:szCs w:val="24"/>
        </w:rPr>
        <w:t xml:space="preserve">. Pardoselile pot fi montate direct sau pe strat fonoizolator la zgomot de impact (strat vibroamortizant) având clasa de reacție la foc </w:t>
      </w:r>
      <w:r>
        <w:rPr>
          <w:b/>
          <w:sz w:val="24"/>
          <w:szCs w:val="24"/>
        </w:rPr>
        <w:t xml:space="preserve">A1 </w:t>
      </w:r>
      <w:r>
        <w:rPr>
          <w:sz w:val="24"/>
          <w:szCs w:val="24"/>
        </w:rPr>
        <w:t>sau</w:t>
      </w:r>
      <w:r>
        <w:rPr>
          <w:b/>
          <w:sz w:val="24"/>
          <w:szCs w:val="24"/>
        </w:rPr>
        <w:t xml:space="preserve"> A2-s1d0</w:t>
      </w:r>
      <w:r>
        <w:rPr>
          <w:sz w:val="24"/>
          <w:szCs w:val="24"/>
        </w:rPr>
        <w:t>.</w:t>
      </w:r>
    </w:p>
    <w:p w14:paraId="5A2884A5" w14:textId="77777777" w:rsidR="001C08A5" w:rsidRDefault="001C08A5">
      <w:pPr>
        <w:rPr>
          <w:sz w:val="24"/>
          <w:szCs w:val="24"/>
        </w:rPr>
      </w:pPr>
    </w:p>
    <w:p w14:paraId="5F759C4F" w14:textId="77777777" w:rsidR="001C08A5" w:rsidRDefault="00000000">
      <w:pPr>
        <w:jc w:val="both"/>
        <w:rPr>
          <w:sz w:val="24"/>
          <w:szCs w:val="24"/>
        </w:rPr>
      </w:pPr>
      <w:r>
        <w:rPr>
          <w:sz w:val="24"/>
          <w:szCs w:val="24"/>
        </w:rPr>
        <w:tab/>
      </w:r>
      <w:r>
        <w:rPr>
          <w:b/>
          <w:sz w:val="24"/>
          <w:szCs w:val="24"/>
        </w:rPr>
        <w:t>Art. 2.4.1.2.</w:t>
      </w:r>
      <w:r>
        <w:rPr>
          <w:b/>
          <w:sz w:val="24"/>
          <w:szCs w:val="24"/>
        </w:rPr>
        <w:tab/>
        <w:t xml:space="preserve">(1) </w:t>
      </w:r>
      <w:r>
        <w:rPr>
          <w:sz w:val="24"/>
          <w:szCs w:val="24"/>
        </w:rPr>
        <w:t>Atunci când sunt</w:t>
      </w:r>
      <w:r>
        <w:rPr>
          <w:bCs/>
          <w:sz w:val="24"/>
          <w:szCs w:val="24"/>
        </w:rPr>
        <w:t xml:space="preserve"> admise, </w:t>
      </w:r>
      <w:r>
        <w:rPr>
          <w:sz w:val="24"/>
          <w:szCs w:val="24"/>
        </w:rPr>
        <w:t xml:space="preserve">materialele, produsele și elementele de construcţie combustibile (care nu sunt din clasele de reactie la foc </w:t>
      </w:r>
      <w:r>
        <w:rPr>
          <w:b/>
          <w:bCs/>
          <w:sz w:val="24"/>
          <w:szCs w:val="24"/>
        </w:rPr>
        <w:t>A1</w:t>
      </w:r>
      <w:r>
        <w:rPr>
          <w:sz w:val="24"/>
          <w:szCs w:val="24"/>
        </w:rPr>
        <w:t xml:space="preserve"> sau </w:t>
      </w:r>
      <w:r>
        <w:rPr>
          <w:b/>
          <w:bCs/>
          <w:sz w:val="24"/>
          <w:szCs w:val="24"/>
        </w:rPr>
        <w:t>A2-s1d0</w:t>
      </w:r>
      <w:r>
        <w:rPr>
          <w:sz w:val="24"/>
          <w:szCs w:val="24"/>
        </w:rPr>
        <w:t xml:space="preserve">) utilizate în construcţii, se recomandă să nu fie cu goluri interioare. Dacă au goluri interioare, acestea trebuie întrerupte la maximum </w:t>
      </w:r>
      <w:r>
        <w:rPr>
          <w:b/>
          <w:sz w:val="24"/>
          <w:szCs w:val="24"/>
        </w:rPr>
        <w:t>4</w:t>
      </w:r>
      <w:r>
        <w:rPr>
          <w:sz w:val="24"/>
          <w:szCs w:val="24"/>
        </w:rPr>
        <w:t xml:space="preserve"> m pe verticală şi maximum </w:t>
      </w:r>
      <w:r>
        <w:rPr>
          <w:b/>
          <w:sz w:val="24"/>
          <w:szCs w:val="24"/>
        </w:rPr>
        <w:t>6</w:t>
      </w:r>
      <w:r>
        <w:rPr>
          <w:sz w:val="24"/>
          <w:szCs w:val="24"/>
        </w:rPr>
        <w:t xml:space="preserve"> m pe orizontală. </w:t>
      </w:r>
    </w:p>
    <w:p w14:paraId="3DFA71E5" w14:textId="77777777" w:rsidR="001C08A5" w:rsidRDefault="00000000">
      <w:pPr>
        <w:ind w:firstLine="720"/>
        <w:jc w:val="both"/>
        <w:rPr>
          <w:sz w:val="24"/>
          <w:szCs w:val="24"/>
        </w:rPr>
      </w:pPr>
      <w:r>
        <w:rPr>
          <w:b/>
          <w:sz w:val="24"/>
          <w:szCs w:val="24"/>
        </w:rPr>
        <w:t>(2)</w:t>
      </w:r>
      <w:r>
        <w:rPr>
          <w:sz w:val="24"/>
          <w:szCs w:val="24"/>
        </w:rPr>
        <w:t xml:space="preserve"> Întreruperile golurilor interioare pot fi realizate din aceleaşi materiale din care este realizat respectivul element de construcţie, iar golurile din elementele de construcţie verticale nu trebuie să comunice cu golurile din elementele de construcţie orizontale.</w:t>
      </w:r>
    </w:p>
    <w:p w14:paraId="4BF026F2" w14:textId="77777777" w:rsidR="001C08A5" w:rsidRDefault="00000000">
      <w:pPr>
        <w:ind w:firstLine="720"/>
        <w:jc w:val="both"/>
        <w:rPr>
          <w:sz w:val="24"/>
          <w:szCs w:val="24"/>
        </w:rPr>
      </w:pPr>
      <w:r>
        <w:rPr>
          <w:b/>
          <w:sz w:val="24"/>
          <w:szCs w:val="24"/>
        </w:rPr>
        <w:t>(3)</w:t>
      </w:r>
      <w:r>
        <w:rPr>
          <w:sz w:val="24"/>
          <w:szCs w:val="24"/>
        </w:rPr>
        <w:t xml:space="preserve"> Întreruperea continuităţii golurilor din elementele de construcţie orizontale este obligatorie şi în dreptul pereţilor despărţitori rezistenţi la foc, precum și la rosturile de tasare-dilatare. Golurile verticale se întrerup în dreptul planşeelor.</w:t>
      </w:r>
    </w:p>
    <w:p w14:paraId="5712FA10" w14:textId="77777777" w:rsidR="001C08A5" w:rsidRDefault="00000000">
      <w:pPr>
        <w:ind w:firstLine="720"/>
        <w:jc w:val="both"/>
        <w:rPr>
          <w:sz w:val="24"/>
          <w:szCs w:val="24"/>
        </w:rPr>
      </w:pPr>
      <w:r>
        <w:rPr>
          <w:b/>
          <w:sz w:val="24"/>
          <w:szCs w:val="24"/>
        </w:rPr>
        <w:t>(4)</w:t>
      </w:r>
      <w:r>
        <w:rPr>
          <w:sz w:val="24"/>
          <w:szCs w:val="24"/>
        </w:rPr>
        <w:t xml:space="preserve"> Întreruperea continuităţii golurilor interioare este obligatorie şi în cazul placărilor combustibile ale pereţilor și planşeelor, dar nu se referă la canalele de ventilare/condiţionare și la spaţiile cu rol de ventilare/condiţionare situate deasupra tavanelor suspendate, precum și la podurile construcţiilor.</w:t>
      </w:r>
    </w:p>
    <w:p w14:paraId="0E102416" w14:textId="77777777" w:rsidR="001C08A5" w:rsidRDefault="00000000">
      <w:pPr>
        <w:ind w:firstLine="720"/>
        <w:jc w:val="both"/>
        <w:rPr>
          <w:b/>
          <w:sz w:val="24"/>
          <w:szCs w:val="24"/>
        </w:rPr>
      </w:pPr>
      <w:r>
        <w:rPr>
          <w:b/>
          <w:bCs/>
          <w:sz w:val="24"/>
          <w:szCs w:val="24"/>
        </w:rPr>
        <w:t xml:space="preserve">(5) </w:t>
      </w:r>
      <w:r>
        <w:rPr>
          <w:sz w:val="24"/>
          <w:szCs w:val="24"/>
        </w:rPr>
        <w:t xml:space="preserve">Întreruperea continuităţii golurilor interioare aferente fatadelor în alcatuire ventilata se va conforma potrivit </w:t>
      </w:r>
      <w:r>
        <w:rPr>
          <w:b/>
          <w:bCs/>
          <w:sz w:val="24"/>
          <w:szCs w:val="24"/>
        </w:rPr>
        <w:t>NP 135</w:t>
      </w:r>
      <w:r>
        <w:rPr>
          <w:sz w:val="24"/>
          <w:szCs w:val="24"/>
        </w:rPr>
        <w:t>.</w:t>
      </w:r>
    </w:p>
    <w:p w14:paraId="1C452587" w14:textId="77777777" w:rsidR="001C08A5" w:rsidRDefault="00000000">
      <w:pPr>
        <w:pStyle w:val="Heading4"/>
      </w:pPr>
      <w:bookmarkStart w:id="1636" w:name="_Toc8023"/>
      <w:bookmarkStart w:id="1637" w:name="_Toc162355222"/>
      <w:bookmarkStart w:id="1638" w:name="_Toc18049"/>
      <w:bookmarkStart w:id="1639" w:name="_Toc13161"/>
      <w:bookmarkStart w:id="1640" w:name="_Toc13374"/>
      <w:bookmarkStart w:id="1641" w:name="_Toc32060"/>
      <w:bookmarkStart w:id="1642" w:name="_Toc543"/>
      <w:bookmarkStart w:id="1643" w:name="_Toc1849"/>
      <w:r>
        <w:t>2.4.2. Scări</w:t>
      </w:r>
      <w:bookmarkEnd w:id="1636"/>
      <w:bookmarkEnd w:id="1637"/>
      <w:bookmarkEnd w:id="1638"/>
      <w:bookmarkEnd w:id="1639"/>
      <w:bookmarkEnd w:id="1640"/>
      <w:bookmarkEnd w:id="1641"/>
      <w:bookmarkEnd w:id="1642"/>
      <w:bookmarkEnd w:id="1643"/>
    </w:p>
    <w:p w14:paraId="23BD751A" w14:textId="77777777" w:rsidR="001C08A5" w:rsidRDefault="00000000">
      <w:pPr>
        <w:jc w:val="both"/>
        <w:rPr>
          <w:sz w:val="24"/>
          <w:szCs w:val="24"/>
        </w:rPr>
      </w:pPr>
      <w:r>
        <w:rPr>
          <w:b/>
          <w:sz w:val="24"/>
          <w:szCs w:val="24"/>
        </w:rPr>
        <w:tab/>
        <w:t xml:space="preserve">Art. 2.4.2.1. (1) </w:t>
      </w:r>
      <w:r>
        <w:rPr>
          <w:sz w:val="24"/>
          <w:szCs w:val="24"/>
        </w:rPr>
        <w:t>Circulaţiile verticale (scări, rampe) prevăzute pentru circulaţia funcţională normală şi de evacuare în caz de incendiu a utilizatorilor construcţiei, trebuie să îndeplinească condiţiile normate de dispunere, alcătuire, dimensionare și rezistenţă la foc, conform prevederilor normativului.</w:t>
      </w:r>
    </w:p>
    <w:p w14:paraId="36421DBE" w14:textId="77777777" w:rsidR="001C08A5" w:rsidRDefault="00000000">
      <w:pPr>
        <w:numPr>
          <w:ilvl w:val="255"/>
          <w:numId w:val="0"/>
        </w:numPr>
        <w:ind w:firstLine="720"/>
        <w:jc w:val="both"/>
        <w:rPr>
          <w:b/>
          <w:sz w:val="24"/>
          <w:szCs w:val="24"/>
        </w:rPr>
      </w:pPr>
      <w:r>
        <w:rPr>
          <w:b/>
          <w:sz w:val="24"/>
          <w:szCs w:val="24"/>
        </w:rPr>
        <w:t xml:space="preserve">(2) </w:t>
      </w:r>
      <w:r>
        <w:rPr>
          <w:sz w:val="24"/>
          <w:szCs w:val="24"/>
        </w:rPr>
        <w:t>Circulațiile verticale se conformează pentru incendii izbucnite în exteriorul lor. Incendiile se pot manifesta în interiorul clădirii sau pe fațadele clădirii.</w:t>
      </w:r>
    </w:p>
    <w:p w14:paraId="217BDDD0" w14:textId="77777777" w:rsidR="001C08A5" w:rsidRDefault="001C08A5">
      <w:pPr>
        <w:rPr>
          <w:b/>
          <w:sz w:val="24"/>
          <w:szCs w:val="24"/>
        </w:rPr>
      </w:pPr>
    </w:p>
    <w:p w14:paraId="27F93B99" w14:textId="77777777" w:rsidR="001C08A5" w:rsidRDefault="00000000">
      <w:pPr>
        <w:jc w:val="both"/>
        <w:rPr>
          <w:b/>
          <w:sz w:val="24"/>
          <w:szCs w:val="24"/>
        </w:rPr>
      </w:pPr>
      <w:r>
        <w:rPr>
          <w:sz w:val="24"/>
          <w:szCs w:val="24"/>
        </w:rPr>
        <w:tab/>
      </w:r>
      <w:r>
        <w:rPr>
          <w:b/>
          <w:sz w:val="24"/>
          <w:szCs w:val="24"/>
        </w:rPr>
        <w:t xml:space="preserve">Art. 2.4.2.2. (1) </w:t>
      </w:r>
      <w:r>
        <w:rPr>
          <w:sz w:val="24"/>
          <w:szCs w:val="24"/>
        </w:rPr>
        <w:t>Pereţii de separare ai caselor de scări închise de circulaţie funcţională şi de evacuare a utilizatorilor faţă de restul construcţiei din clădiri civile vor corespunde prevederilor privind performanțele specifice destinaţiei și tipului acestor clădiri. Peretii de separare față de încăperile de depozitare adiacente vor îndeplini şi condiţiile specifice respectivelor riscuri de incendiu, adoptând valoarea cea mai mare</w:t>
      </w:r>
      <w:r>
        <w:rPr>
          <w:b/>
          <w:sz w:val="24"/>
          <w:szCs w:val="24"/>
        </w:rPr>
        <w:t>.</w:t>
      </w:r>
      <w:r>
        <w:rPr>
          <w:b/>
          <w:sz w:val="24"/>
          <w:szCs w:val="24"/>
        </w:rPr>
        <w:tab/>
      </w:r>
    </w:p>
    <w:p w14:paraId="1F70178E" w14:textId="77777777" w:rsidR="001C08A5" w:rsidRDefault="00000000">
      <w:pPr>
        <w:jc w:val="both"/>
        <w:rPr>
          <w:sz w:val="24"/>
          <w:szCs w:val="24"/>
        </w:rPr>
      </w:pPr>
      <w:r>
        <w:rPr>
          <w:sz w:val="24"/>
          <w:szCs w:val="24"/>
        </w:rPr>
        <w:tab/>
      </w:r>
      <w:r>
        <w:rPr>
          <w:b/>
          <w:sz w:val="24"/>
          <w:szCs w:val="24"/>
        </w:rPr>
        <w:t xml:space="preserve">(2) </w:t>
      </w:r>
      <w:r>
        <w:rPr>
          <w:sz w:val="24"/>
          <w:szCs w:val="24"/>
        </w:rPr>
        <w:t>Pereţii de separare ai caselor de scări închise de circulaţie funcţională şi de evacuare a utilizatorilor faţă de restul construcţiei din clădiri civile înalte, foarte înalte sau cu săli aglomerate, precum și în alte situaţii stabilite în normativ vor respecta condiţiile specifice acestora.</w:t>
      </w:r>
    </w:p>
    <w:p w14:paraId="2A445431" w14:textId="77777777" w:rsidR="001C08A5" w:rsidRDefault="00000000">
      <w:pPr>
        <w:jc w:val="both"/>
        <w:rPr>
          <w:b/>
          <w:sz w:val="24"/>
          <w:szCs w:val="24"/>
        </w:rPr>
      </w:pPr>
      <w:r>
        <w:rPr>
          <w:sz w:val="24"/>
          <w:szCs w:val="24"/>
        </w:rPr>
        <w:tab/>
      </w:r>
      <w:r>
        <w:rPr>
          <w:b/>
          <w:sz w:val="24"/>
          <w:szCs w:val="24"/>
        </w:rPr>
        <w:t>(3)</w:t>
      </w:r>
      <w:r>
        <w:rPr>
          <w:sz w:val="24"/>
          <w:szCs w:val="24"/>
        </w:rPr>
        <w:t xml:space="preserve"> În construcţiile de producţie şi depozitare, pereţii de separare a caselor de scări închise de circulaţie funcţională şi de evacuare a utilizatorilor faţă de restul construcţiei vor îndeplini şi condiţiile specifice respectivelor riscuri de incendiu şi/sau explozie volumetrică din încăperile adiacente.</w:t>
      </w:r>
    </w:p>
    <w:p w14:paraId="1A5E98B8" w14:textId="77777777" w:rsidR="001C08A5" w:rsidRDefault="001C08A5">
      <w:pPr>
        <w:jc w:val="both"/>
        <w:rPr>
          <w:sz w:val="24"/>
          <w:szCs w:val="24"/>
        </w:rPr>
      </w:pPr>
    </w:p>
    <w:p w14:paraId="3A15982C" w14:textId="77777777" w:rsidR="001C08A5" w:rsidRDefault="00000000">
      <w:pPr>
        <w:ind w:firstLine="720"/>
        <w:jc w:val="both"/>
        <w:rPr>
          <w:sz w:val="24"/>
          <w:szCs w:val="24"/>
        </w:rPr>
      </w:pPr>
      <w:r>
        <w:rPr>
          <w:b/>
          <w:sz w:val="24"/>
          <w:szCs w:val="24"/>
        </w:rPr>
        <w:t xml:space="preserve">Art. 2.4.2.3. </w:t>
      </w:r>
      <w:r>
        <w:rPr>
          <w:bCs/>
          <w:sz w:val="24"/>
          <w:szCs w:val="24"/>
        </w:rPr>
        <w:t xml:space="preserve">Alcătuirea </w:t>
      </w:r>
      <w:r>
        <w:rPr>
          <w:sz w:val="24"/>
          <w:szCs w:val="24"/>
        </w:rPr>
        <w:t xml:space="preserve">pereţilor din spatele nişelor sau al sliţurilor din pereţii de separare ai caselor de scări închise faţă de restul construcţiei trebuie să asigure cel puţin următoarele rezistenţe la foc: </w:t>
      </w:r>
    </w:p>
    <w:p w14:paraId="697B94D7" w14:textId="77777777" w:rsidR="001C08A5" w:rsidRDefault="00000000">
      <w:pPr>
        <w:numPr>
          <w:ilvl w:val="0"/>
          <w:numId w:val="52"/>
        </w:numPr>
        <w:jc w:val="both"/>
        <w:rPr>
          <w:sz w:val="24"/>
          <w:szCs w:val="24"/>
        </w:rPr>
      </w:pPr>
      <w:r>
        <w:rPr>
          <w:b/>
          <w:sz w:val="24"/>
          <w:szCs w:val="24"/>
        </w:rPr>
        <w:t>EI/REI 90</w:t>
      </w:r>
      <w:r>
        <w:rPr>
          <w:sz w:val="24"/>
          <w:szCs w:val="24"/>
        </w:rPr>
        <w:t xml:space="preserve">, la construcţiile cu nivelul de stabilitate la incendiu </w:t>
      </w:r>
      <w:r>
        <w:rPr>
          <w:b/>
          <w:sz w:val="24"/>
          <w:szCs w:val="24"/>
        </w:rPr>
        <w:t>I</w:t>
      </w:r>
      <w:r>
        <w:rPr>
          <w:sz w:val="24"/>
          <w:szCs w:val="24"/>
        </w:rPr>
        <w:t xml:space="preserve">; </w:t>
      </w:r>
    </w:p>
    <w:p w14:paraId="4509F989" w14:textId="77777777" w:rsidR="001C08A5" w:rsidRDefault="00000000">
      <w:pPr>
        <w:numPr>
          <w:ilvl w:val="0"/>
          <w:numId w:val="52"/>
        </w:numPr>
        <w:jc w:val="both"/>
        <w:rPr>
          <w:sz w:val="24"/>
          <w:szCs w:val="24"/>
        </w:rPr>
      </w:pPr>
      <w:r>
        <w:rPr>
          <w:b/>
          <w:sz w:val="24"/>
          <w:szCs w:val="24"/>
        </w:rPr>
        <w:t>EI/REI 60</w:t>
      </w:r>
      <w:r>
        <w:rPr>
          <w:sz w:val="24"/>
          <w:szCs w:val="24"/>
        </w:rPr>
        <w:t xml:space="preserve">, la construcţiile cu nivelul de stabilitate la incendiu </w:t>
      </w:r>
      <w:r>
        <w:rPr>
          <w:b/>
          <w:sz w:val="24"/>
          <w:szCs w:val="24"/>
        </w:rPr>
        <w:t>II</w:t>
      </w:r>
    </w:p>
    <w:p w14:paraId="2AB6D928" w14:textId="77777777" w:rsidR="001C08A5" w:rsidRDefault="00000000">
      <w:pPr>
        <w:numPr>
          <w:ilvl w:val="0"/>
          <w:numId w:val="52"/>
        </w:numPr>
        <w:jc w:val="both"/>
        <w:rPr>
          <w:sz w:val="24"/>
          <w:szCs w:val="24"/>
        </w:rPr>
      </w:pPr>
      <w:r>
        <w:rPr>
          <w:b/>
          <w:sz w:val="24"/>
          <w:szCs w:val="24"/>
        </w:rPr>
        <w:t>EI/REI 45</w:t>
      </w:r>
      <w:r>
        <w:rPr>
          <w:sz w:val="24"/>
          <w:szCs w:val="24"/>
        </w:rPr>
        <w:t xml:space="preserve">, la construcţiile cu nivelul de stabilitate la incendiu </w:t>
      </w:r>
      <w:r>
        <w:rPr>
          <w:b/>
          <w:sz w:val="24"/>
          <w:szCs w:val="24"/>
        </w:rPr>
        <w:t>III</w:t>
      </w:r>
      <w:r>
        <w:rPr>
          <w:sz w:val="24"/>
          <w:szCs w:val="24"/>
        </w:rPr>
        <w:t>;</w:t>
      </w:r>
    </w:p>
    <w:p w14:paraId="43B5ABF2" w14:textId="77777777" w:rsidR="001C08A5" w:rsidRDefault="00000000">
      <w:pPr>
        <w:numPr>
          <w:ilvl w:val="0"/>
          <w:numId w:val="52"/>
        </w:numPr>
        <w:jc w:val="both"/>
        <w:rPr>
          <w:sz w:val="24"/>
          <w:szCs w:val="24"/>
        </w:rPr>
      </w:pPr>
      <w:r>
        <w:rPr>
          <w:b/>
          <w:sz w:val="24"/>
          <w:szCs w:val="24"/>
        </w:rPr>
        <w:t>EI/REI 15</w:t>
      </w:r>
      <w:r>
        <w:rPr>
          <w:sz w:val="24"/>
          <w:szCs w:val="24"/>
        </w:rPr>
        <w:t xml:space="preserve">, la construcţiile cu nivelul de stabilitate la incendiu </w:t>
      </w:r>
      <w:r>
        <w:rPr>
          <w:b/>
          <w:sz w:val="24"/>
          <w:szCs w:val="24"/>
        </w:rPr>
        <w:t>IV</w:t>
      </w:r>
      <w:r>
        <w:rPr>
          <w:sz w:val="24"/>
          <w:szCs w:val="24"/>
        </w:rPr>
        <w:t xml:space="preserve"> sau </w:t>
      </w:r>
      <w:r>
        <w:rPr>
          <w:b/>
          <w:sz w:val="24"/>
          <w:szCs w:val="24"/>
        </w:rPr>
        <w:t>V</w:t>
      </w:r>
      <w:r>
        <w:rPr>
          <w:sz w:val="24"/>
          <w:szCs w:val="24"/>
        </w:rPr>
        <w:t>.</w:t>
      </w:r>
    </w:p>
    <w:p w14:paraId="2B9249A4" w14:textId="77777777" w:rsidR="001C08A5" w:rsidRDefault="001C08A5">
      <w:pPr>
        <w:rPr>
          <w:sz w:val="24"/>
          <w:szCs w:val="24"/>
        </w:rPr>
      </w:pPr>
    </w:p>
    <w:p w14:paraId="261FF38B" w14:textId="77777777" w:rsidR="001C08A5" w:rsidRDefault="00000000">
      <w:pPr>
        <w:jc w:val="both"/>
        <w:rPr>
          <w:dstrike/>
          <w:sz w:val="24"/>
          <w:szCs w:val="24"/>
        </w:rPr>
      </w:pPr>
      <w:r>
        <w:rPr>
          <w:b/>
          <w:sz w:val="24"/>
          <w:szCs w:val="24"/>
        </w:rPr>
        <w:lastRenderedPageBreak/>
        <w:tab/>
        <w:t>Art. 2.4.2.4.</w:t>
      </w:r>
      <w:r>
        <w:rPr>
          <w:sz w:val="24"/>
          <w:szCs w:val="24"/>
        </w:rPr>
        <w:t xml:space="preserve"> Planşeele care separă casele de scări şi căile lor de ieşire în exterior la nivelul terenului sau al carosabilului adiacent faţă de restul construcţiei, vor corespunde prevederilor privind performanțele specifice destinaţiei și tipului acestor clădiri precum și cerinţelor referitoare la asigurarea nivelului de stabilitate la incendiu a construcţiei.</w:t>
      </w:r>
    </w:p>
    <w:p w14:paraId="32CEE29B" w14:textId="77777777" w:rsidR="001C08A5" w:rsidRDefault="001C08A5">
      <w:pPr>
        <w:jc w:val="both"/>
        <w:rPr>
          <w:sz w:val="24"/>
          <w:szCs w:val="24"/>
        </w:rPr>
      </w:pPr>
    </w:p>
    <w:p w14:paraId="45D8163F" w14:textId="77777777" w:rsidR="001C08A5" w:rsidRDefault="00000000">
      <w:pPr>
        <w:jc w:val="both"/>
        <w:rPr>
          <w:b/>
          <w:sz w:val="24"/>
          <w:szCs w:val="24"/>
        </w:rPr>
      </w:pPr>
      <w:r>
        <w:rPr>
          <w:b/>
          <w:sz w:val="24"/>
          <w:szCs w:val="24"/>
        </w:rPr>
        <w:tab/>
        <w:t xml:space="preserve">Art. 2.4.2.5. (1) </w:t>
      </w:r>
      <w:r>
        <w:rPr>
          <w:sz w:val="24"/>
          <w:szCs w:val="24"/>
        </w:rPr>
        <w:t>Podestele, grinzile şi rampele scărilor interioare (închise sau deschise) de evacuare a utilizatorilor, cu excepţia celor precizate în normativ la platforme de lucru, trebuie să fie minimum:</w:t>
      </w:r>
    </w:p>
    <w:p w14:paraId="0DDA42BC" w14:textId="77777777" w:rsidR="001C08A5" w:rsidRDefault="00000000">
      <w:pPr>
        <w:ind w:left="1416"/>
        <w:jc w:val="both"/>
        <w:rPr>
          <w:b/>
          <w:sz w:val="24"/>
          <w:szCs w:val="24"/>
        </w:rPr>
      </w:pPr>
      <w:r>
        <w:rPr>
          <w:b/>
          <w:sz w:val="24"/>
          <w:szCs w:val="24"/>
        </w:rPr>
        <w:t xml:space="preserve">a) R 90 și </w:t>
      </w:r>
      <w:r>
        <w:rPr>
          <w:bCs/>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 în construcţiile cu nivelul de stabilitate la incendiu </w:t>
      </w:r>
      <w:r>
        <w:rPr>
          <w:b/>
          <w:sz w:val="24"/>
          <w:szCs w:val="24"/>
        </w:rPr>
        <w:t>I</w:t>
      </w:r>
      <w:r>
        <w:rPr>
          <w:bCs/>
          <w:sz w:val="24"/>
          <w:szCs w:val="24"/>
        </w:rPr>
        <w:t>;</w:t>
      </w:r>
    </w:p>
    <w:p w14:paraId="093EE398" w14:textId="77777777" w:rsidR="001C08A5" w:rsidRDefault="00000000">
      <w:pPr>
        <w:ind w:left="1416"/>
        <w:jc w:val="both"/>
        <w:rPr>
          <w:b/>
          <w:sz w:val="24"/>
          <w:szCs w:val="24"/>
        </w:rPr>
      </w:pPr>
      <w:r>
        <w:rPr>
          <w:b/>
          <w:sz w:val="24"/>
          <w:szCs w:val="24"/>
        </w:rPr>
        <w:t xml:space="preserve">b) R 60 și </w:t>
      </w:r>
      <w:r>
        <w:rPr>
          <w:bCs/>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în construcţiile cu nivelul de stabilitate la incendiu </w:t>
      </w:r>
      <w:r>
        <w:rPr>
          <w:b/>
          <w:sz w:val="24"/>
          <w:szCs w:val="24"/>
        </w:rPr>
        <w:t>II</w:t>
      </w:r>
      <w:r>
        <w:rPr>
          <w:sz w:val="24"/>
          <w:szCs w:val="24"/>
        </w:rPr>
        <w:t xml:space="preserve"> ;</w:t>
      </w:r>
    </w:p>
    <w:p w14:paraId="4CADE1A9" w14:textId="77777777" w:rsidR="001C08A5" w:rsidRDefault="00000000">
      <w:pPr>
        <w:ind w:left="1416"/>
        <w:jc w:val="both"/>
        <w:rPr>
          <w:b/>
          <w:sz w:val="24"/>
          <w:szCs w:val="24"/>
        </w:rPr>
      </w:pPr>
      <w:r>
        <w:rPr>
          <w:b/>
          <w:sz w:val="24"/>
          <w:szCs w:val="24"/>
        </w:rPr>
        <w:t xml:space="preserve">c) R 45 </w:t>
      </w:r>
      <w:r>
        <w:rPr>
          <w:bCs/>
          <w:sz w:val="24"/>
          <w:szCs w:val="24"/>
        </w:rPr>
        <w:t xml:space="preserve">şi clasa de reacţie la foc </w:t>
      </w:r>
      <w:r>
        <w:rPr>
          <w:b/>
          <w:bCs/>
          <w:sz w:val="24"/>
          <w:szCs w:val="24"/>
        </w:rPr>
        <w:t>A1</w:t>
      </w:r>
      <w:r>
        <w:rPr>
          <w:bCs/>
          <w:sz w:val="24"/>
          <w:szCs w:val="24"/>
        </w:rPr>
        <w:t xml:space="preserve"> sau </w:t>
      </w:r>
      <w:r>
        <w:rPr>
          <w:b/>
          <w:bCs/>
          <w:sz w:val="24"/>
          <w:szCs w:val="24"/>
        </w:rPr>
        <w:t>A2-s1d0</w:t>
      </w:r>
      <w:r>
        <w:rPr>
          <w:sz w:val="24"/>
          <w:szCs w:val="24"/>
        </w:rPr>
        <w:t xml:space="preserve">,în construcţiile cu nivelul de stabilitate la incendiu </w:t>
      </w:r>
      <w:r>
        <w:rPr>
          <w:b/>
          <w:sz w:val="24"/>
          <w:szCs w:val="24"/>
        </w:rPr>
        <w:t>III</w:t>
      </w:r>
      <w:r>
        <w:rPr>
          <w:sz w:val="24"/>
          <w:szCs w:val="24"/>
        </w:rPr>
        <w:t xml:space="preserve">;  </w:t>
      </w:r>
    </w:p>
    <w:p w14:paraId="45B6E703" w14:textId="77777777" w:rsidR="001C08A5" w:rsidRDefault="00000000">
      <w:pPr>
        <w:ind w:left="1416" w:firstLine="24"/>
        <w:jc w:val="both"/>
        <w:rPr>
          <w:b/>
          <w:sz w:val="24"/>
          <w:szCs w:val="24"/>
        </w:rPr>
      </w:pPr>
      <w:r>
        <w:rPr>
          <w:b/>
          <w:sz w:val="24"/>
          <w:szCs w:val="24"/>
        </w:rPr>
        <w:t>d) R 30</w:t>
      </w:r>
      <w:r>
        <w:rPr>
          <w:sz w:val="24"/>
          <w:szCs w:val="24"/>
        </w:rPr>
        <w:t xml:space="preserve"> și clasa de reacţie la foc minimum </w:t>
      </w:r>
      <w:r>
        <w:rPr>
          <w:b/>
          <w:sz w:val="24"/>
          <w:szCs w:val="24"/>
        </w:rPr>
        <w:t>B-s1d0</w:t>
      </w:r>
      <w:r>
        <w:rPr>
          <w:sz w:val="24"/>
          <w:szCs w:val="24"/>
        </w:rPr>
        <w:t xml:space="preserve">, în construcţiile cu nivelul de stabilitate la incendiu </w:t>
      </w:r>
      <w:r>
        <w:rPr>
          <w:b/>
          <w:sz w:val="24"/>
          <w:szCs w:val="24"/>
        </w:rPr>
        <w:t>IV</w:t>
      </w:r>
      <w:r>
        <w:rPr>
          <w:sz w:val="24"/>
          <w:szCs w:val="24"/>
        </w:rPr>
        <w:t xml:space="preserve">;    </w:t>
      </w:r>
    </w:p>
    <w:p w14:paraId="14C93708" w14:textId="77777777" w:rsidR="001C08A5" w:rsidRDefault="00000000">
      <w:pPr>
        <w:ind w:left="1416" w:firstLine="24"/>
        <w:jc w:val="both"/>
        <w:rPr>
          <w:sz w:val="24"/>
          <w:szCs w:val="24"/>
        </w:rPr>
      </w:pPr>
      <w:r>
        <w:rPr>
          <w:b/>
          <w:sz w:val="24"/>
          <w:szCs w:val="24"/>
        </w:rPr>
        <w:t xml:space="preserve">e) R 15 și </w:t>
      </w:r>
      <w:r>
        <w:rPr>
          <w:sz w:val="24"/>
          <w:szCs w:val="24"/>
        </w:rPr>
        <w:t xml:space="preserve">clasa de reacţie la foc minimum </w:t>
      </w:r>
      <w:r>
        <w:rPr>
          <w:b/>
          <w:sz w:val="24"/>
          <w:szCs w:val="24"/>
        </w:rPr>
        <w:t>D-s1d0</w:t>
      </w:r>
      <w:r>
        <w:rPr>
          <w:sz w:val="24"/>
          <w:szCs w:val="24"/>
        </w:rPr>
        <w:t xml:space="preserve">, în construcţiile cu nivelul de stabilitate la incendiu </w:t>
      </w:r>
      <w:r>
        <w:rPr>
          <w:b/>
          <w:sz w:val="24"/>
          <w:szCs w:val="24"/>
        </w:rPr>
        <w:t xml:space="preserve">V </w:t>
      </w:r>
      <w:r>
        <w:rPr>
          <w:bCs/>
          <w:sz w:val="24"/>
          <w:szCs w:val="24"/>
        </w:rPr>
        <w:t>(acolo unde acestea sunt admise).</w:t>
      </w:r>
    </w:p>
    <w:p w14:paraId="0650F8B0" w14:textId="77777777" w:rsidR="001C08A5" w:rsidRDefault="00000000">
      <w:pPr>
        <w:ind w:firstLine="720"/>
        <w:jc w:val="both"/>
        <w:rPr>
          <w:sz w:val="24"/>
          <w:szCs w:val="24"/>
        </w:rPr>
      </w:pPr>
      <w:r>
        <w:rPr>
          <w:b/>
          <w:sz w:val="24"/>
          <w:szCs w:val="24"/>
        </w:rPr>
        <w:t xml:space="preserve">(2) </w:t>
      </w:r>
      <w:r>
        <w:rPr>
          <w:sz w:val="24"/>
          <w:szCs w:val="24"/>
        </w:rPr>
        <w:t>Pentru scările interioare care asigură evacuarea a maximum 2 niveluri succesive, criteriul R nu se aplică la trepte, contratrepte și podeste.</w:t>
      </w:r>
    </w:p>
    <w:p w14:paraId="6B61360D" w14:textId="77777777" w:rsidR="001C08A5" w:rsidRDefault="001C08A5">
      <w:pPr>
        <w:ind w:firstLine="720"/>
        <w:jc w:val="both"/>
        <w:rPr>
          <w:b/>
          <w:sz w:val="24"/>
          <w:szCs w:val="24"/>
        </w:rPr>
      </w:pPr>
    </w:p>
    <w:p w14:paraId="0B6380D2" w14:textId="77777777" w:rsidR="001C08A5" w:rsidRDefault="00000000">
      <w:pPr>
        <w:jc w:val="both"/>
        <w:rPr>
          <w:b/>
          <w:sz w:val="24"/>
          <w:szCs w:val="24"/>
        </w:rPr>
      </w:pPr>
      <w:r>
        <w:rPr>
          <w:b/>
          <w:sz w:val="24"/>
          <w:szCs w:val="24"/>
        </w:rPr>
        <w:tab/>
        <w:t xml:space="preserve">Art. 2.4.2.6. </w:t>
      </w:r>
      <w:r>
        <w:rPr>
          <w:sz w:val="24"/>
          <w:szCs w:val="24"/>
        </w:rPr>
        <w:t>Podestele, grinzile și rampele scărilor interioare deschise de circulaţie funcţională care nu constituie căi de evacuare a utilizatorilor, trebuie să fie minimum :</w:t>
      </w:r>
    </w:p>
    <w:p w14:paraId="0351A194" w14:textId="77777777" w:rsidR="001C08A5" w:rsidRDefault="00000000">
      <w:pPr>
        <w:ind w:left="1440"/>
        <w:jc w:val="both"/>
        <w:rPr>
          <w:b/>
          <w:sz w:val="24"/>
          <w:szCs w:val="24"/>
        </w:rPr>
      </w:pPr>
      <w:r>
        <w:rPr>
          <w:b/>
          <w:sz w:val="24"/>
          <w:szCs w:val="24"/>
        </w:rPr>
        <w:t>a) R 90</w:t>
      </w:r>
      <w:r>
        <w:rPr>
          <w:sz w:val="24"/>
          <w:szCs w:val="24"/>
        </w:rPr>
        <w:t xml:space="preserve"> în construcţiile cu nivelul de stabilitate la incendiu </w:t>
      </w:r>
      <w:r>
        <w:rPr>
          <w:b/>
          <w:sz w:val="24"/>
          <w:szCs w:val="24"/>
        </w:rPr>
        <w:t>I</w:t>
      </w:r>
      <w:r>
        <w:rPr>
          <w:bCs/>
          <w:sz w:val="24"/>
          <w:szCs w:val="24"/>
        </w:rPr>
        <w:t>;</w:t>
      </w:r>
    </w:p>
    <w:p w14:paraId="6DB06176" w14:textId="77777777" w:rsidR="001C08A5" w:rsidRDefault="00000000">
      <w:pPr>
        <w:ind w:left="1440"/>
        <w:jc w:val="both"/>
        <w:rPr>
          <w:b/>
          <w:sz w:val="24"/>
          <w:szCs w:val="24"/>
        </w:rPr>
      </w:pPr>
      <w:r>
        <w:rPr>
          <w:b/>
          <w:sz w:val="24"/>
          <w:szCs w:val="24"/>
        </w:rPr>
        <w:t>b) R 60</w:t>
      </w:r>
      <w:r>
        <w:rPr>
          <w:sz w:val="24"/>
          <w:szCs w:val="24"/>
        </w:rPr>
        <w:t xml:space="preserve"> în construcţiile cu nivelul de stabilitate la incendiu </w:t>
      </w:r>
      <w:r>
        <w:rPr>
          <w:b/>
          <w:sz w:val="24"/>
          <w:szCs w:val="24"/>
        </w:rPr>
        <w:t>II</w:t>
      </w:r>
      <w:r>
        <w:rPr>
          <w:sz w:val="24"/>
          <w:szCs w:val="24"/>
        </w:rPr>
        <w:t>;</w:t>
      </w:r>
    </w:p>
    <w:p w14:paraId="2297DCA4" w14:textId="77777777" w:rsidR="001C08A5" w:rsidRDefault="00000000">
      <w:pPr>
        <w:ind w:left="1440"/>
        <w:jc w:val="both"/>
        <w:rPr>
          <w:b/>
          <w:sz w:val="24"/>
          <w:szCs w:val="24"/>
        </w:rPr>
      </w:pPr>
      <w:r>
        <w:rPr>
          <w:b/>
          <w:sz w:val="24"/>
          <w:szCs w:val="24"/>
        </w:rPr>
        <w:t>c) R 45</w:t>
      </w:r>
      <w:r>
        <w:rPr>
          <w:sz w:val="24"/>
          <w:szCs w:val="24"/>
        </w:rPr>
        <w:t xml:space="preserve"> în construcţiile cu nivelul de stabilitate la incendiu </w:t>
      </w:r>
      <w:r>
        <w:rPr>
          <w:b/>
          <w:sz w:val="24"/>
          <w:szCs w:val="24"/>
        </w:rPr>
        <w:t>III</w:t>
      </w:r>
      <w:r>
        <w:rPr>
          <w:sz w:val="24"/>
          <w:szCs w:val="24"/>
        </w:rPr>
        <w:t xml:space="preserve">;  </w:t>
      </w:r>
    </w:p>
    <w:p w14:paraId="36F831DB" w14:textId="77777777" w:rsidR="001C08A5" w:rsidRDefault="00000000">
      <w:pPr>
        <w:ind w:left="1418" w:firstLine="22"/>
        <w:jc w:val="both"/>
        <w:rPr>
          <w:b/>
          <w:sz w:val="24"/>
          <w:szCs w:val="24"/>
        </w:rPr>
      </w:pPr>
      <w:r>
        <w:rPr>
          <w:b/>
          <w:sz w:val="24"/>
          <w:szCs w:val="24"/>
        </w:rPr>
        <w:t>d) R 30</w:t>
      </w:r>
      <w:r>
        <w:rPr>
          <w:sz w:val="24"/>
          <w:szCs w:val="24"/>
        </w:rPr>
        <w:t xml:space="preserve"> în construcţiile cu nivelul de stabilitate la incendiu</w:t>
      </w:r>
      <w:r>
        <w:rPr>
          <w:b/>
          <w:sz w:val="24"/>
          <w:szCs w:val="24"/>
        </w:rPr>
        <w:t xml:space="preserve"> IV</w:t>
      </w:r>
      <w:r>
        <w:rPr>
          <w:sz w:val="24"/>
          <w:szCs w:val="24"/>
        </w:rPr>
        <w:t>;</w:t>
      </w:r>
    </w:p>
    <w:p w14:paraId="6A9D73D3" w14:textId="77777777" w:rsidR="001C08A5" w:rsidRDefault="00000000">
      <w:pPr>
        <w:ind w:left="1418" w:firstLine="22"/>
        <w:jc w:val="both"/>
        <w:rPr>
          <w:sz w:val="24"/>
          <w:szCs w:val="24"/>
        </w:rPr>
      </w:pPr>
      <w:r>
        <w:rPr>
          <w:b/>
          <w:sz w:val="24"/>
          <w:szCs w:val="24"/>
        </w:rPr>
        <w:t xml:space="preserve">e) </w:t>
      </w:r>
      <w:r>
        <w:rPr>
          <w:sz w:val="24"/>
          <w:szCs w:val="24"/>
        </w:rPr>
        <w:t>fără încadrări în construcţiile cu nivelul de stabilitate la incendiu</w:t>
      </w:r>
      <w:r>
        <w:rPr>
          <w:b/>
          <w:sz w:val="24"/>
          <w:szCs w:val="24"/>
        </w:rPr>
        <w:t xml:space="preserve"> V </w:t>
      </w:r>
      <w:r>
        <w:rPr>
          <w:bCs/>
          <w:sz w:val="24"/>
          <w:szCs w:val="24"/>
        </w:rPr>
        <w:t>(acolo unde acestea sunt admise)</w:t>
      </w:r>
      <w:r>
        <w:rPr>
          <w:sz w:val="24"/>
          <w:szCs w:val="24"/>
        </w:rPr>
        <w:t>.</w:t>
      </w:r>
    </w:p>
    <w:p w14:paraId="35715A9E" w14:textId="77777777" w:rsidR="001C08A5" w:rsidRDefault="001C08A5">
      <w:pPr>
        <w:jc w:val="both"/>
        <w:rPr>
          <w:b/>
          <w:sz w:val="24"/>
          <w:szCs w:val="24"/>
        </w:rPr>
      </w:pPr>
    </w:p>
    <w:p w14:paraId="58AE27A1" w14:textId="77777777" w:rsidR="001C08A5" w:rsidRDefault="00000000">
      <w:pPr>
        <w:jc w:val="both"/>
        <w:rPr>
          <w:sz w:val="24"/>
          <w:szCs w:val="24"/>
        </w:rPr>
      </w:pPr>
      <w:r>
        <w:rPr>
          <w:b/>
          <w:sz w:val="24"/>
          <w:szCs w:val="24"/>
        </w:rPr>
        <w:tab/>
        <w:t>Art. 2.4.2.7. (1)</w:t>
      </w:r>
      <w:r>
        <w:rPr>
          <w:sz w:val="24"/>
          <w:szCs w:val="24"/>
        </w:rPr>
        <w:t xml:space="preserve"> Golurile de circulaţie funcţională şi de evacuare a utilizatorilor, practicate în pereţii de separare a scărilor închise faţă de restul construcţiei, se protejează cu elemente de închidere alcătuite și realizate conform prevederilor normate, pentru fiecare risc de incendiu a clădirilor, tip, funcțiune și destinație.</w:t>
      </w:r>
    </w:p>
    <w:p w14:paraId="2C33293A" w14:textId="77777777" w:rsidR="001C08A5" w:rsidRDefault="00000000">
      <w:pPr>
        <w:ind w:firstLine="720"/>
        <w:jc w:val="both"/>
        <w:rPr>
          <w:sz w:val="24"/>
          <w:szCs w:val="24"/>
        </w:rPr>
      </w:pPr>
      <w:r>
        <w:rPr>
          <w:b/>
          <w:sz w:val="24"/>
          <w:szCs w:val="24"/>
        </w:rPr>
        <w:t xml:space="preserve">(2) </w:t>
      </w:r>
      <w:r>
        <w:rPr>
          <w:sz w:val="24"/>
          <w:szCs w:val="24"/>
        </w:rPr>
        <w:t>Golurile prin care utilizatorii clădirilor civile au acces la scările de evacuare închise, se protejează conform prevederilor privind performanțele specifice destinaţiei și tipului acestor clădiri.</w:t>
      </w:r>
    </w:p>
    <w:p w14:paraId="41C15276" w14:textId="77777777" w:rsidR="001C08A5" w:rsidRDefault="00000000">
      <w:pPr>
        <w:jc w:val="both"/>
        <w:rPr>
          <w:sz w:val="24"/>
          <w:szCs w:val="24"/>
        </w:rPr>
      </w:pPr>
      <w:r>
        <w:rPr>
          <w:b/>
          <w:sz w:val="24"/>
          <w:szCs w:val="24"/>
        </w:rPr>
        <w:tab/>
        <w:t xml:space="preserve">(3) </w:t>
      </w:r>
      <w:r>
        <w:rPr>
          <w:sz w:val="24"/>
          <w:szCs w:val="24"/>
        </w:rPr>
        <w:t>Golurile prin care utilizatorii construcţiilor de producţie şi/sau depozitare au acces la scările de evacuare închise, se protejază potrivit prevederilor privind performanțele specifice acestor funcțiuni.</w:t>
      </w:r>
    </w:p>
    <w:p w14:paraId="30856225" w14:textId="77777777" w:rsidR="001C08A5" w:rsidRDefault="001C08A5">
      <w:pPr>
        <w:jc w:val="both"/>
        <w:rPr>
          <w:sz w:val="24"/>
          <w:szCs w:val="24"/>
        </w:rPr>
      </w:pPr>
    </w:p>
    <w:p w14:paraId="0812E0CA" w14:textId="77777777" w:rsidR="001C08A5" w:rsidRDefault="00000000">
      <w:pPr>
        <w:ind w:firstLine="720"/>
        <w:jc w:val="both"/>
        <w:rPr>
          <w:sz w:val="24"/>
          <w:szCs w:val="24"/>
        </w:rPr>
      </w:pPr>
      <w:r>
        <w:rPr>
          <w:b/>
          <w:sz w:val="24"/>
          <w:szCs w:val="24"/>
        </w:rPr>
        <w:t xml:space="preserve">Art. 2.4.2.8. </w:t>
      </w:r>
      <w:r>
        <w:rPr>
          <w:b/>
          <w:bCs/>
          <w:sz w:val="24"/>
          <w:szCs w:val="24"/>
        </w:rPr>
        <w:t xml:space="preserve">(1) </w:t>
      </w:r>
      <w:r>
        <w:rPr>
          <w:sz w:val="24"/>
          <w:szCs w:val="24"/>
        </w:rPr>
        <w:t xml:space="preserve">Pentru a împiedica patrunderea fumului pe căile de evacuare și propagarea incendiilor de la un nivel la altul, scările, indiferent daca sunt luate sau nu în calcul la evacuare, se separă de restul clădirii prin pereți și planșee alcătuite conform prezentului normativ. În cazul în care nu sunt închise în case de scări, acestea se prevad pe conturul golului din planşeu cu ecrane continue rezistente la foc minimum </w:t>
      </w:r>
      <w:r>
        <w:rPr>
          <w:b/>
          <w:sz w:val="24"/>
          <w:szCs w:val="24"/>
        </w:rPr>
        <w:t>DH 60</w:t>
      </w:r>
      <w:r>
        <w:rPr>
          <w:sz w:val="24"/>
          <w:szCs w:val="24"/>
        </w:rPr>
        <w:t xml:space="preserve"> pentru nivelul </w:t>
      </w:r>
      <w:r>
        <w:rPr>
          <w:b/>
          <w:sz w:val="24"/>
          <w:szCs w:val="24"/>
        </w:rPr>
        <w:t xml:space="preserve">I </w:t>
      </w:r>
      <w:r>
        <w:rPr>
          <w:sz w:val="24"/>
          <w:szCs w:val="24"/>
        </w:rPr>
        <w:t xml:space="preserve">şi </w:t>
      </w:r>
      <w:r>
        <w:rPr>
          <w:b/>
          <w:sz w:val="24"/>
          <w:szCs w:val="24"/>
        </w:rPr>
        <w:t xml:space="preserve">II </w:t>
      </w:r>
      <w:r>
        <w:rPr>
          <w:sz w:val="24"/>
          <w:szCs w:val="24"/>
        </w:rPr>
        <w:t xml:space="preserve">de stabilitate la </w:t>
      </w:r>
      <w:r>
        <w:rPr>
          <w:iCs/>
          <w:sz w:val="24"/>
          <w:szCs w:val="24"/>
        </w:rPr>
        <w:t>incendiu</w:t>
      </w:r>
      <w:r>
        <w:rPr>
          <w:sz w:val="24"/>
          <w:szCs w:val="24"/>
        </w:rPr>
        <w:t xml:space="preserve"> și </w:t>
      </w:r>
      <w:r>
        <w:rPr>
          <w:bCs/>
          <w:sz w:val="24"/>
          <w:szCs w:val="24"/>
        </w:rPr>
        <w:t xml:space="preserve">minimum </w:t>
      </w:r>
      <w:r>
        <w:rPr>
          <w:b/>
          <w:bCs/>
          <w:sz w:val="24"/>
          <w:szCs w:val="24"/>
        </w:rPr>
        <w:t>DH 30</w:t>
      </w:r>
      <w:r>
        <w:rPr>
          <w:bCs/>
          <w:sz w:val="24"/>
          <w:szCs w:val="24"/>
        </w:rPr>
        <w:t xml:space="preserve"> pentru</w:t>
      </w:r>
      <w:r>
        <w:rPr>
          <w:sz w:val="24"/>
          <w:szCs w:val="24"/>
        </w:rPr>
        <w:t xml:space="preserve"> celelalte</w:t>
      </w:r>
      <w:r>
        <w:rPr>
          <w:bCs/>
          <w:sz w:val="24"/>
          <w:szCs w:val="24"/>
        </w:rPr>
        <w:t xml:space="preserve"> niveluri de stabilitate la </w:t>
      </w:r>
      <w:r>
        <w:rPr>
          <w:iCs/>
          <w:sz w:val="24"/>
          <w:szCs w:val="24"/>
        </w:rPr>
        <w:t>incendiu</w:t>
      </w:r>
      <w:r>
        <w:rPr>
          <w:sz w:val="24"/>
          <w:szCs w:val="24"/>
        </w:rPr>
        <w:t xml:space="preserve">, cu înălţimea de minimum </w:t>
      </w:r>
      <w:r>
        <w:rPr>
          <w:b/>
          <w:sz w:val="24"/>
          <w:szCs w:val="24"/>
        </w:rPr>
        <w:t>50 cm</w:t>
      </w:r>
      <w:r>
        <w:rPr>
          <w:sz w:val="24"/>
          <w:szCs w:val="24"/>
        </w:rPr>
        <w:t xml:space="preserve"> (sub planşeu) și sprinklere, pe toată lungimea ecranelor, cu timpul normat de funcţionare al instalaţiei de minimum </w:t>
      </w:r>
      <w:r>
        <w:rPr>
          <w:b/>
          <w:sz w:val="24"/>
          <w:szCs w:val="24"/>
        </w:rPr>
        <w:t>60</w:t>
      </w:r>
      <w:r>
        <w:rPr>
          <w:sz w:val="24"/>
          <w:szCs w:val="24"/>
        </w:rPr>
        <w:t xml:space="preserve"> minute, în condițiile în care clădirea este echipată cu acest tip de instalație de stingere.  </w:t>
      </w:r>
    </w:p>
    <w:p w14:paraId="57465376" w14:textId="77777777" w:rsidR="001C08A5" w:rsidRDefault="00000000">
      <w:pPr>
        <w:ind w:firstLine="720"/>
        <w:jc w:val="both"/>
        <w:rPr>
          <w:sz w:val="24"/>
          <w:szCs w:val="24"/>
        </w:rPr>
      </w:pPr>
      <w:r>
        <w:rPr>
          <w:b/>
          <w:bCs/>
          <w:sz w:val="24"/>
          <w:szCs w:val="24"/>
        </w:rPr>
        <w:t xml:space="preserve">(2) </w:t>
      </w:r>
      <w:r>
        <w:rPr>
          <w:sz w:val="24"/>
          <w:szCs w:val="24"/>
        </w:rPr>
        <w:t>Scările pot fi deschise (neînchise în case de scări) dacă asigură evacuarea a cel mult două niveluri succesive supraterane ale construcţiei, în condițiile prevazute de normativ.</w:t>
      </w:r>
    </w:p>
    <w:p w14:paraId="3FFCCAE8" w14:textId="77777777" w:rsidR="001C08A5" w:rsidRDefault="00000000">
      <w:pPr>
        <w:ind w:firstLine="720"/>
        <w:jc w:val="both"/>
        <w:rPr>
          <w:sz w:val="24"/>
          <w:szCs w:val="24"/>
        </w:rPr>
      </w:pPr>
      <w:r>
        <w:rPr>
          <w:b/>
          <w:bCs/>
          <w:sz w:val="24"/>
          <w:szCs w:val="24"/>
        </w:rPr>
        <w:t xml:space="preserve">(3) </w:t>
      </w:r>
      <w:r>
        <w:rPr>
          <w:sz w:val="24"/>
          <w:szCs w:val="24"/>
        </w:rPr>
        <w:t xml:space="preserve">Fac excepție de la prevederile stipulate în </w:t>
      </w:r>
      <w:r>
        <w:rPr>
          <w:b/>
          <w:bCs/>
          <w:sz w:val="24"/>
          <w:szCs w:val="24"/>
        </w:rPr>
        <w:t>alin. (1)</w:t>
      </w:r>
      <w:r>
        <w:rPr>
          <w:sz w:val="24"/>
          <w:szCs w:val="24"/>
        </w:rPr>
        <w:t xml:space="preserve"> scările deschise monumentale, ale supantelor, mezaninelor, lojelor, balcoanelor și alte situații explicitate în normativ, precum și circulațiile perpendiculare pe gradene. La acestea se vor prevedea măsuri specifice funcție de numărul </w:t>
      </w:r>
      <w:r>
        <w:rPr>
          <w:sz w:val="24"/>
          <w:szCs w:val="24"/>
        </w:rPr>
        <w:lastRenderedPageBreak/>
        <w:t>de utilizatori, destinația sau tipul clădirii în care se dispun. La clădirile de producție și/sau depozitare accesul utilizatorilor la maşini, utilaje, pasarele, platforme deschise, supante etc., care nu constituie locuri permanente de lucru se realizează conform măsurilor specifice acestora.</w:t>
      </w:r>
    </w:p>
    <w:p w14:paraId="6000F57B" w14:textId="77777777" w:rsidR="001C08A5" w:rsidRDefault="00000000">
      <w:pPr>
        <w:pStyle w:val="Heading4"/>
      </w:pPr>
      <w:bookmarkStart w:id="1644" w:name="_Toc31055"/>
      <w:bookmarkStart w:id="1645" w:name="_Toc12201"/>
      <w:bookmarkStart w:id="1646" w:name="_Toc162355223"/>
      <w:bookmarkStart w:id="1647" w:name="_Toc18738"/>
      <w:bookmarkStart w:id="1648" w:name="_Toc32410"/>
      <w:bookmarkStart w:id="1649" w:name="_Toc23522"/>
      <w:bookmarkStart w:id="1650" w:name="_Toc26014"/>
      <w:bookmarkStart w:id="1651" w:name="_Toc5749"/>
      <w:r>
        <w:t>2.4.3. Circulaţii comune orizontale</w:t>
      </w:r>
      <w:bookmarkEnd w:id="1644"/>
      <w:bookmarkEnd w:id="1645"/>
      <w:bookmarkEnd w:id="1646"/>
      <w:bookmarkEnd w:id="1647"/>
      <w:bookmarkEnd w:id="1648"/>
      <w:bookmarkEnd w:id="1649"/>
      <w:bookmarkEnd w:id="1650"/>
      <w:bookmarkEnd w:id="1651"/>
    </w:p>
    <w:p w14:paraId="1FD6494D" w14:textId="77777777" w:rsidR="001C08A5" w:rsidRDefault="001C08A5">
      <w:pPr>
        <w:jc w:val="both"/>
        <w:rPr>
          <w:sz w:val="24"/>
          <w:szCs w:val="24"/>
        </w:rPr>
      </w:pPr>
    </w:p>
    <w:p w14:paraId="7AC6CBBC" w14:textId="77777777" w:rsidR="001C08A5" w:rsidRDefault="00000000">
      <w:pPr>
        <w:jc w:val="both"/>
        <w:rPr>
          <w:sz w:val="24"/>
          <w:szCs w:val="24"/>
        </w:rPr>
      </w:pPr>
      <w:r>
        <w:rPr>
          <w:sz w:val="24"/>
          <w:szCs w:val="24"/>
        </w:rPr>
        <w:tab/>
      </w:r>
      <w:r>
        <w:rPr>
          <w:b/>
          <w:sz w:val="24"/>
          <w:szCs w:val="24"/>
        </w:rPr>
        <w:t>Art. 2.4.3.1.</w:t>
      </w:r>
      <w:r>
        <w:rPr>
          <w:sz w:val="24"/>
          <w:szCs w:val="24"/>
        </w:rPr>
        <w:tab/>
      </w:r>
      <w:r>
        <w:rPr>
          <w:b/>
          <w:sz w:val="24"/>
          <w:szCs w:val="24"/>
        </w:rPr>
        <w:t xml:space="preserve">(1) </w:t>
      </w:r>
      <w:r>
        <w:rPr>
          <w:sz w:val="24"/>
          <w:szCs w:val="24"/>
        </w:rPr>
        <w:t>Circulaţiile comune orizontale funcţionale şi de evacuare a utilizatorilor construcţiilor (coridoare, holuri, degajamente protejate, tuneluri de evacuare, etc.), se separă faţă de restul clădirii corespunzător destinaţiei și densităţii sarcinii termice (</w:t>
      </w:r>
      <w:r>
        <w:rPr>
          <w:b/>
          <w:bCs/>
          <w:sz w:val="24"/>
          <w:szCs w:val="24"/>
        </w:rPr>
        <w:t>q</w:t>
      </w:r>
      <w:r>
        <w:rPr>
          <w:sz w:val="24"/>
          <w:szCs w:val="24"/>
        </w:rPr>
        <w:t xml:space="preserve">), potrivit prevederilor normate. </w:t>
      </w:r>
    </w:p>
    <w:p w14:paraId="3782F76A" w14:textId="77777777" w:rsidR="001C08A5" w:rsidRDefault="00000000">
      <w:pPr>
        <w:ind w:firstLine="720"/>
        <w:jc w:val="both"/>
        <w:rPr>
          <w:sz w:val="24"/>
          <w:szCs w:val="24"/>
        </w:rPr>
      </w:pPr>
      <w:r>
        <w:rPr>
          <w:b/>
          <w:sz w:val="24"/>
          <w:szCs w:val="24"/>
        </w:rPr>
        <w:t xml:space="preserve">(2) </w:t>
      </w:r>
      <w:r>
        <w:rPr>
          <w:bCs/>
          <w:sz w:val="24"/>
          <w:szCs w:val="24"/>
        </w:rPr>
        <w:t>C</w:t>
      </w:r>
      <w:r>
        <w:rPr>
          <w:sz w:val="24"/>
          <w:szCs w:val="24"/>
        </w:rPr>
        <w:t xml:space="preserve">irculațiile comune orizontale de evacuare se conformează pentru incendii izbucnite în exteriorul lor.     </w:t>
      </w:r>
    </w:p>
    <w:p w14:paraId="365A6AC3" w14:textId="77777777" w:rsidR="001C08A5" w:rsidRDefault="001C08A5">
      <w:pPr>
        <w:rPr>
          <w:sz w:val="24"/>
          <w:szCs w:val="24"/>
        </w:rPr>
      </w:pPr>
    </w:p>
    <w:p w14:paraId="45BE78BB" w14:textId="77777777" w:rsidR="001C08A5" w:rsidRDefault="00000000">
      <w:pPr>
        <w:jc w:val="both"/>
        <w:rPr>
          <w:sz w:val="24"/>
          <w:szCs w:val="24"/>
        </w:rPr>
      </w:pPr>
      <w:r>
        <w:rPr>
          <w:b/>
          <w:sz w:val="24"/>
          <w:szCs w:val="24"/>
        </w:rPr>
        <w:tab/>
        <w:t>Art. 2.4.3.2.</w:t>
      </w:r>
      <w:r>
        <w:rPr>
          <w:b/>
          <w:sz w:val="24"/>
          <w:szCs w:val="24"/>
        </w:rPr>
        <w:tab/>
        <w:t xml:space="preserve">(1) </w:t>
      </w:r>
      <w:r>
        <w:rPr>
          <w:sz w:val="24"/>
          <w:szCs w:val="24"/>
        </w:rPr>
        <w:t>Pereţii şi planşeele de separare a circulaţiilor comune orizontale funcţionale și de evacuare din clădiri civile faţă de restul construcţiei, vor corespunde prevederilor privind performanțele specifice destinaţiei și tipului acestor clădiri. Peretii și planșeele de separare a circulațiilor comune orizontale față de încăperile de depozitare vor îndeplini şi condiţiile specifice respectivelor riscuri de incendiu, adoptând valoarea cea mai mare</w:t>
      </w:r>
      <w:r>
        <w:rPr>
          <w:b/>
          <w:sz w:val="24"/>
          <w:szCs w:val="24"/>
        </w:rPr>
        <w:t>.</w:t>
      </w:r>
    </w:p>
    <w:p w14:paraId="372A791F" w14:textId="77777777" w:rsidR="001C08A5" w:rsidRDefault="00000000">
      <w:pPr>
        <w:jc w:val="both"/>
        <w:rPr>
          <w:sz w:val="24"/>
          <w:szCs w:val="24"/>
        </w:rPr>
      </w:pPr>
      <w:r>
        <w:rPr>
          <w:sz w:val="24"/>
          <w:szCs w:val="24"/>
        </w:rPr>
        <w:tab/>
      </w:r>
      <w:r>
        <w:rPr>
          <w:b/>
          <w:sz w:val="24"/>
          <w:szCs w:val="24"/>
        </w:rPr>
        <w:t xml:space="preserve">(2) </w:t>
      </w:r>
      <w:r>
        <w:rPr>
          <w:sz w:val="24"/>
          <w:szCs w:val="24"/>
        </w:rPr>
        <w:t>Pereţii de separare faţă de restul construcţiei a circulaţiilor comune orizontale funcţionale și de evacuare din clădiri civile înalte, foarte înalte și cu săli aglomerate, precum și în alte situaţii stabilite în normativ vor respecta condiţiile specifice acestora.</w:t>
      </w:r>
    </w:p>
    <w:p w14:paraId="73757645" w14:textId="77777777" w:rsidR="001C08A5" w:rsidRDefault="00000000">
      <w:pPr>
        <w:jc w:val="both"/>
        <w:rPr>
          <w:b/>
          <w:sz w:val="24"/>
          <w:szCs w:val="24"/>
        </w:rPr>
      </w:pPr>
      <w:r>
        <w:rPr>
          <w:sz w:val="24"/>
          <w:szCs w:val="24"/>
        </w:rPr>
        <w:tab/>
      </w:r>
      <w:r>
        <w:rPr>
          <w:b/>
          <w:sz w:val="24"/>
          <w:szCs w:val="24"/>
        </w:rPr>
        <w:t>(3)</w:t>
      </w:r>
      <w:r>
        <w:rPr>
          <w:sz w:val="24"/>
          <w:szCs w:val="24"/>
        </w:rPr>
        <w:t xml:space="preserve"> În construcţiile de producţie şi/sau depozitare, pereţii de separare a circulaţiilor comune orizontale funcţionale și de evacuare a utilizatorilor faţă de restul construcţiei</w:t>
      </w:r>
      <w:r>
        <w:rPr>
          <w:bCs/>
          <w:sz w:val="24"/>
          <w:szCs w:val="24"/>
        </w:rPr>
        <w:t>,</w:t>
      </w:r>
      <w:r>
        <w:rPr>
          <w:sz w:val="24"/>
          <w:szCs w:val="24"/>
        </w:rPr>
        <w:t xml:space="preserve"> vor îndeplini şi condiţiile specifice respectivelor riscuri de incendiu şi/sau explozie volumetrică din încăperile adiacente.</w:t>
      </w:r>
    </w:p>
    <w:p w14:paraId="7C47375D" w14:textId="77777777" w:rsidR="001C08A5" w:rsidRDefault="00000000">
      <w:pPr>
        <w:ind w:firstLine="720"/>
        <w:jc w:val="both"/>
        <w:rPr>
          <w:sz w:val="24"/>
          <w:szCs w:val="24"/>
        </w:rPr>
      </w:pPr>
      <w:r>
        <w:rPr>
          <w:b/>
          <w:sz w:val="24"/>
          <w:szCs w:val="24"/>
        </w:rPr>
        <w:t xml:space="preserve">(4) </w:t>
      </w:r>
      <w:r>
        <w:rPr>
          <w:sz w:val="24"/>
          <w:szCs w:val="24"/>
        </w:rPr>
        <w:t>La realizarea separărilor în spațiile (de lucru - pentru funcțiunea administrativă sau de alt tip conform funcțiune) deschise, pentru activități care necesită o comunicare frecventă sau în spațiile deschise cu același risc de incendiu și destinație (proprie sau complementară) de tip open space trebuie să se ţină cont de următoarele cerinţe:</w:t>
      </w:r>
    </w:p>
    <w:p w14:paraId="5323E631" w14:textId="77777777" w:rsidR="001C08A5" w:rsidRDefault="00000000">
      <w:pPr>
        <w:ind w:left="2694"/>
        <w:jc w:val="both"/>
        <w:rPr>
          <w:iCs/>
          <w:sz w:val="24"/>
          <w:szCs w:val="24"/>
        </w:rPr>
      </w:pPr>
      <w:r>
        <w:rPr>
          <w:b/>
          <w:sz w:val="24"/>
          <w:szCs w:val="24"/>
        </w:rPr>
        <w:t>a)</w:t>
      </w:r>
      <w:r>
        <w:rPr>
          <w:sz w:val="24"/>
          <w:szCs w:val="24"/>
        </w:rPr>
        <w:t xml:space="preserve"> panourile de </w:t>
      </w:r>
      <w:r>
        <w:rPr>
          <w:iCs/>
          <w:sz w:val="24"/>
          <w:szCs w:val="24"/>
        </w:rPr>
        <w:t xml:space="preserve">compartimentare trebuie realizate din materiale clasa de reacţie la foc </w:t>
      </w:r>
      <w:r>
        <w:rPr>
          <w:b/>
          <w:iCs/>
          <w:sz w:val="24"/>
          <w:szCs w:val="24"/>
        </w:rPr>
        <w:t>A1</w:t>
      </w:r>
      <w:r>
        <w:rPr>
          <w:iCs/>
          <w:sz w:val="24"/>
          <w:szCs w:val="24"/>
        </w:rPr>
        <w:t xml:space="preserve"> sau </w:t>
      </w:r>
      <w:r>
        <w:rPr>
          <w:b/>
          <w:iCs/>
          <w:sz w:val="24"/>
          <w:szCs w:val="24"/>
        </w:rPr>
        <w:t xml:space="preserve">A2-s1d0, </w:t>
      </w:r>
      <w:r>
        <w:rPr>
          <w:iCs/>
          <w:sz w:val="24"/>
          <w:szCs w:val="24"/>
        </w:rPr>
        <w:t xml:space="preserve">cu excepția componentelor nesubstanțiale, a elementelor de vitraj (din sticlă) simplu sau izolant și a garniturilor de vitrare; panourile de compartimentare trebuie sa asigure o suprafata minima vitrata de </w:t>
      </w:r>
      <w:r>
        <w:rPr>
          <w:b/>
          <w:bCs/>
          <w:iCs/>
          <w:sz w:val="24"/>
          <w:szCs w:val="24"/>
        </w:rPr>
        <w:t>50 %</w:t>
      </w:r>
      <w:r>
        <w:rPr>
          <w:iCs/>
          <w:sz w:val="24"/>
          <w:szCs w:val="24"/>
        </w:rPr>
        <w:t xml:space="preserve"> din aria lor pe latura pe care este amplasată ușa. Vitrajele pe latura pe care este amplasată ușa se vor amplasa deasupra treimii inferioare a panourilor de compartimentare, urmarind asigurarea vizibilitatii in zona ochilor utilizatorilor</w:t>
      </w:r>
      <w:r>
        <w:rPr>
          <w:sz w:val="24"/>
          <w:szCs w:val="24"/>
        </w:rPr>
        <w:t xml:space="preserve">. Peste vitraje </w:t>
      </w:r>
      <w:r>
        <w:rPr>
          <w:iCs/>
          <w:sz w:val="24"/>
          <w:szCs w:val="24"/>
        </w:rPr>
        <w:t xml:space="preserve">pe latura pe care este amplasată ușa </w:t>
      </w:r>
      <w:r>
        <w:rPr>
          <w:sz w:val="24"/>
          <w:szCs w:val="24"/>
        </w:rPr>
        <w:t>este interzisă aplicarea de folii pentru obturarea privirii sau a amplasării de obiecte de mobilier langă acestea.</w:t>
      </w:r>
    </w:p>
    <w:p w14:paraId="2342C5F0" w14:textId="77777777" w:rsidR="001C08A5" w:rsidRDefault="00000000">
      <w:pPr>
        <w:ind w:left="2694"/>
        <w:jc w:val="both"/>
        <w:rPr>
          <w:sz w:val="24"/>
          <w:szCs w:val="24"/>
        </w:rPr>
      </w:pPr>
      <w:r>
        <w:rPr>
          <w:b/>
          <w:iCs/>
          <w:sz w:val="24"/>
          <w:szCs w:val="24"/>
        </w:rPr>
        <w:t xml:space="preserve">b) </w:t>
      </w:r>
      <w:r>
        <w:rPr>
          <w:sz w:val="24"/>
          <w:szCs w:val="24"/>
        </w:rPr>
        <w:t xml:space="preserve">panourile de </w:t>
      </w:r>
      <w:r>
        <w:rPr>
          <w:iCs/>
          <w:sz w:val="24"/>
          <w:szCs w:val="24"/>
        </w:rPr>
        <w:t xml:space="preserve">compartimentare nu trebuie să influenţeze </w:t>
      </w:r>
      <w:r>
        <w:rPr>
          <w:sz w:val="24"/>
          <w:szCs w:val="24"/>
        </w:rPr>
        <w:t>funcţionarea instalaţiilor de protecție împotriva incendiilor;</w:t>
      </w:r>
    </w:p>
    <w:p w14:paraId="53B03D63" w14:textId="77777777" w:rsidR="001C08A5" w:rsidRDefault="00000000">
      <w:pPr>
        <w:ind w:left="2694"/>
        <w:jc w:val="both"/>
        <w:rPr>
          <w:sz w:val="24"/>
          <w:szCs w:val="24"/>
        </w:rPr>
      </w:pPr>
      <w:r>
        <w:rPr>
          <w:b/>
          <w:sz w:val="24"/>
          <w:szCs w:val="24"/>
        </w:rPr>
        <w:t xml:space="preserve">c) </w:t>
      </w:r>
      <w:r>
        <w:rPr>
          <w:rFonts w:eastAsia="Times-Roman"/>
          <w:sz w:val="24"/>
          <w:szCs w:val="24"/>
        </w:rPr>
        <w:t xml:space="preserve">circulaţiile comune orizontale rezultate în urma separărilor trebuie prevăzute cu sisteme de evacuare a fumului şi gazelor fierbinţi în caz de incendiu, cu deschidere automată comandată de centrala de detectie, semnalizare </w:t>
      </w:r>
      <w:r>
        <w:rPr>
          <w:rFonts w:eastAsia="sans-serif"/>
          <w:sz w:val="24"/>
          <w:szCs w:val="24"/>
        </w:rPr>
        <w:t>ș</w:t>
      </w:r>
      <w:r>
        <w:rPr>
          <w:rFonts w:eastAsia="Times-Roman"/>
          <w:sz w:val="24"/>
          <w:szCs w:val="24"/>
        </w:rPr>
        <w:t xml:space="preserve">i avertizare incendiu, dacă nu au ferestre directe </w:t>
      </w:r>
      <w:r>
        <w:rPr>
          <w:sz w:val="24"/>
          <w:szCs w:val="24"/>
          <w:lang w:eastAsia="zh-CN"/>
        </w:rPr>
        <w:t>cu ochiuri mobile</w:t>
      </w:r>
      <w:r>
        <w:rPr>
          <w:rFonts w:eastAsia="Times-Roman"/>
          <w:sz w:val="24"/>
          <w:szCs w:val="24"/>
        </w:rPr>
        <w:t xml:space="preserve"> spre exterior prin care să se evacueze fumul în caz de incendiu;</w:t>
      </w:r>
    </w:p>
    <w:p w14:paraId="2B2FD775" w14:textId="77777777" w:rsidR="001C08A5" w:rsidRDefault="00000000">
      <w:pPr>
        <w:ind w:left="2694"/>
        <w:jc w:val="both"/>
        <w:rPr>
          <w:bCs/>
          <w:sz w:val="24"/>
          <w:szCs w:val="24"/>
        </w:rPr>
      </w:pPr>
      <w:r>
        <w:rPr>
          <w:b/>
          <w:sz w:val="24"/>
          <w:szCs w:val="24"/>
        </w:rPr>
        <w:t>d)</w:t>
      </w:r>
      <w:r>
        <w:rPr>
          <w:bCs/>
          <w:sz w:val="24"/>
          <w:szCs w:val="24"/>
        </w:rPr>
        <w:t xml:space="preserve"> lungimea căii de evacuare se calculează pornind de la punctul cel mai îndepărtat (la maximum </w:t>
      </w:r>
      <w:r>
        <w:rPr>
          <w:b/>
          <w:sz w:val="24"/>
          <w:szCs w:val="24"/>
        </w:rPr>
        <w:t>40</w:t>
      </w:r>
      <w:r>
        <w:rPr>
          <w:bCs/>
          <w:sz w:val="24"/>
          <w:szCs w:val="24"/>
        </w:rPr>
        <w:t xml:space="preserve"> cm față de perete) al spaţiilor de tip open space până la intrarea în cel mai apropiat spaţiu protejat (incapere tamon protejată, degajament protejat, scară de evacuare etc.) </w:t>
      </w:r>
      <w:r>
        <w:rPr>
          <w:rFonts w:eastAsia="Times-Roman"/>
          <w:bCs/>
          <w:sz w:val="24"/>
          <w:szCs w:val="24"/>
        </w:rPr>
        <w:t xml:space="preserve">sau până la iesirea în exterior și trebuie să fie maximul valorii stabilite de normativ pentru </w:t>
      </w:r>
      <w:r>
        <w:rPr>
          <w:rFonts w:eastAsia="Times-Roman"/>
          <w:b/>
          <w:sz w:val="24"/>
          <w:szCs w:val="24"/>
        </w:rPr>
        <w:t>2</w:t>
      </w:r>
      <w:r>
        <w:rPr>
          <w:rFonts w:eastAsia="Times-Roman"/>
          <w:bCs/>
          <w:sz w:val="24"/>
          <w:szCs w:val="24"/>
        </w:rPr>
        <w:t xml:space="preserve"> directii, </w:t>
      </w:r>
      <w:r>
        <w:rPr>
          <w:sz w:val="24"/>
          <w:szCs w:val="24"/>
          <w:lang w:eastAsia="ro-RO"/>
        </w:rPr>
        <w:t>atunci cand acestea sunt necesare</w:t>
      </w:r>
      <w:r>
        <w:rPr>
          <w:rFonts w:eastAsia="Times-Roman"/>
          <w:bCs/>
          <w:sz w:val="24"/>
          <w:szCs w:val="24"/>
        </w:rPr>
        <w:t xml:space="preserve">, </w:t>
      </w:r>
      <w:r>
        <w:rPr>
          <w:bCs/>
          <w:sz w:val="24"/>
          <w:szCs w:val="24"/>
        </w:rPr>
        <w:t xml:space="preserve">având în vedere panourile de separare și mobilierul fix; în situatia scărilor deschise, lungimea de evacuare se masoara pana la prima treapta a acestora; este necesar ca </w:t>
      </w:r>
      <w:r>
        <w:rPr>
          <w:bCs/>
          <w:sz w:val="24"/>
          <w:szCs w:val="24"/>
        </w:rPr>
        <w:lastRenderedPageBreak/>
        <w:t>pentru spațiile de tip deschis sa se asigure minimum două căi de evacuare distincte și independente</w:t>
      </w:r>
    </w:p>
    <w:p w14:paraId="65696AD5" w14:textId="77777777" w:rsidR="001C08A5" w:rsidRDefault="00000000">
      <w:pPr>
        <w:ind w:left="2694"/>
        <w:jc w:val="both"/>
        <w:rPr>
          <w:sz w:val="24"/>
          <w:szCs w:val="24"/>
        </w:rPr>
      </w:pPr>
      <w:r>
        <w:rPr>
          <w:b/>
          <w:sz w:val="24"/>
          <w:szCs w:val="24"/>
        </w:rPr>
        <w:t>e)</w:t>
      </w:r>
      <w:r>
        <w:rPr>
          <w:sz w:val="24"/>
          <w:szCs w:val="24"/>
        </w:rPr>
        <w:t xml:space="preserve"> finisajele spaţiilor de tip deschis trebuie să îndeplinească cerinţele prevăzute pentru circulaţiile orizontale de evacuare.</w:t>
      </w:r>
    </w:p>
    <w:p w14:paraId="18346A96" w14:textId="77777777" w:rsidR="001C08A5" w:rsidRDefault="00000000">
      <w:pPr>
        <w:ind w:left="2694"/>
        <w:jc w:val="both"/>
        <w:rPr>
          <w:sz w:val="24"/>
          <w:szCs w:val="24"/>
        </w:rPr>
      </w:pPr>
      <w:r>
        <w:rPr>
          <w:b/>
          <w:bCs/>
          <w:sz w:val="24"/>
          <w:szCs w:val="24"/>
        </w:rPr>
        <w:t>f)</w:t>
      </w:r>
      <w:r>
        <w:rPr>
          <w:sz w:val="24"/>
          <w:szCs w:val="24"/>
        </w:rPr>
        <w:t xml:space="preserve"> parapetele, panourile și pereţii interiori despărţitori funcţionali având clasa de reacţie la foc </w:t>
      </w:r>
      <w:r>
        <w:rPr>
          <w:b/>
          <w:bCs/>
          <w:sz w:val="24"/>
          <w:szCs w:val="24"/>
        </w:rPr>
        <w:t xml:space="preserve">A1 </w:t>
      </w:r>
      <w:r>
        <w:rPr>
          <w:sz w:val="24"/>
          <w:szCs w:val="24"/>
        </w:rPr>
        <w:t xml:space="preserve">sau </w:t>
      </w:r>
      <w:r>
        <w:rPr>
          <w:b/>
          <w:bCs/>
          <w:sz w:val="24"/>
          <w:szCs w:val="24"/>
        </w:rPr>
        <w:t xml:space="preserve">A2-s1d0 </w:t>
      </w:r>
      <w:r>
        <w:rPr>
          <w:sz w:val="24"/>
          <w:szCs w:val="24"/>
        </w:rPr>
        <w:t>din cadrul unor grupări de spații (de lucru - pentru funcțiunea administrativă sau de alt tip conform funcțiune) deschise, pentru activități care necesită o comunicare frecventă de tip open space sau de spații cu același risc de incendiu și destinație (proprie sau complementara), cu suprafaţa maxim normată pot fi utilizați în raport cu orice nivel de stabilitate la incendiu;</w:t>
      </w:r>
    </w:p>
    <w:p w14:paraId="2DE9C3FA" w14:textId="77777777" w:rsidR="001C08A5" w:rsidRDefault="00000000">
      <w:pPr>
        <w:ind w:left="2694"/>
        <w:jc w:val="both"/>
        <w:rPr>
          <w:sz w:val="24"/>
          <w:szCs w:val="24"/>
        </w:rPr>
      </w:pPr>
      <w:r>
        <w:rPr>
          <w:b/>
          <w:bCs/>
          <w:sz w:val="24"/>
          <w:szCs w:val="24"/>
        </w:rPr>
        <w:t>g)</w:t>
      </w:r>
      <w:r>
        <w:rPr>
          <w:sz w:val="24"/>
          <w:szCs w:val="24"/>
        </w:rPr>
        <w:t xml:space="preserve"> parapetele și/sau panourile din materiale combustibile prevăzute la </w:t>
      </w:r>
      <w:r>
        <w:rPr>
          <w:b/>
          <w:bCs/>
          <w:sz w:val="24"/>
          <w:szCs w:val="24"/>
        </w:rPr>
        <w:t xml:space="preserve">Art. 2.1.3.4 lit. (i) </w:t>
      </w:r>
      <w:r>
        <w:rPr>
          <w:sz w:val="24"/>
          <w:szCs w:val="24"/>
        </w:rPr>
        <w:t>pot fi  pot fi utilizați în raport cu nivelurile de stabilitate la incendiu astfel:</w:t>
      </w:r>
    </w:p>
    <w:p w14:paraId="7C100C3B" w14:textId="77777777" w:rsidR="001C08A5" w:rsidRDefault="00000000">
      <w:pPr>
        <w:ind w:left="3589" w:firstLine="720"/>
        <w:jc w:val="both"/>
        <w:rPr>
          <w:b/>
          <w:bCs/>
          <w:sz w:val="24"/>
          <w:szCs w:val="24"/>
        </w:rPr>
      </w:pPr>
      <w:r>
        <w:rPr>
          <w:sz w:val="24"/>
          <w:szCs w:val="24"/>
        </w:rPr>
        <w:t xml:space="preserve">- minimum clasa de reacție la foc </w:t>
      </w:r>
      <w:r>
        <w:rPr>
          <w:b/>
          <w:bCs/>
          <w:sz w:val="24"/>
          <w:szCs w:val="24"/>
        </w:rPr>
        <w:t>D-s2d0</w:t>
      </w:r>
      <w:r>
        <w:rPr>
          <w:sz w:val="24"/>
          <w:szCs w:val="24"/>
        </w:rPr>
        <w:t xml:space="preserve"> sau a căror finisaje îndeplinesc criteriile de performanță la foc minim </w:t>
      </w:r>
      <w:r>
        <w:rPr>
          <w:b/>
          <w:bCs/>
          <w:sz w:val="24"/>
          <w:szCs w:val="24"/>
        </w:rPr>
        <w:t>K</w:t>
      </w:r>
      <w:r>
        <w:rPr>
          <w:b/>
          <w:bCs/>
          <w:sz w:val="24"/>
          <w:szCs w:val="24"/>
          <w:vertAlign w:val="subscript"/>
        </w:rPr>
        <w:t>2</w:t>
      </w:r>
      <w:r>
        <w:rPr>
          <w:b/>
          <w:bCs/>
          <w:sz w:val="24"/>
          <w:szCs w:val="24"/>
        </w:rPr>
        <w:t xml:space="preserve"> 10 </w:t>
      </w:r>
      <w:r>
        <w:rPr>
          <w:sz w:val="24"/>
          <w:szCs w:val="24"/>
        </w:rPr>
        <w:t xml:space="preserve">(la niv. </w:t>
      </w:r>
      <w:r>
        <w:rPr>
          <w:b/>
          <w:bCs/>
          <w:sz w:val="24"/>
          <w:szCs w:val="24"/>
        </w:rPr>
        <w:t>IV</w:t>
      </w:r>
      <w:r>
        <w:rPr>
          <w:sz w:val="24"/>
          <w:szCs w:val="24"/>
        </w:rPr>
        <w:t xml:space="preserve"> și </w:t>
      </w:r>
      <w:r>
        <w:rPr>
          <w:b/>
          <w:bCs/>
          <w:sz w:val="24"/>
          <w:szCs w:val="24"/>
        </w:rPr>
        <w:t>V</w:t>
      </w:r>
      <w:r>
        <w:rPr>
          <w:sz w:val="24"/>
          <w:szCs w:val="24"/>
        </w:rPr>
        <w:t xml:space="preserve"> de stabilitate la incendiu);</w:t>
      </w:r>
    </w:p>
    <w:p w14:paraId="0EB23F67" w14:textId="77777777" w:rsidR="001C08A5" w:rsidRDefault="00000000">
      <w:pPr>
        <w:ind w:left="3589" w:firstLine="720"/>
        <w:jc w:val="both"/>
        <w:rPr>
          <w:b/>
          <w:bCs/>
          <w:sz w:val="24"/>
          <w:szCs w:val="24"/>
        </w:rPr>
      </w:pPr>
      <w:r>
        <w:rPr>
          <w:sz w:val="24"/>
          <w:szCs w:val="24"/>
        </w:rPr>
        <w:t xml:space="preserve">- minimum clasa de reacție la foc </w:t>
      </w:r>
      <w:r>
        <w:rPr>
          <w:b/>
          <w:bCs/>
          <w:sz w:val="24"/>
          <w:szCs w:val="24"/>
        </w:rPr>
        <w:t>C-s2d0</w:t>
      </w:r>
      <w:r>
        <w:rPr>
          <w:sz w:val="24"/>
          <w:szCs w:val="24"/>
        </w:rPr>
        <w:t xml:space="preserve"> sau a căror finisaje îndeplinesc criteriile de performanță la foc minim </w:t>
      </w:r>
      <w:r>
        <w:rPr>
          <w:b/>
          <w:bCs/>
          <w:sz w:val="24"/>
          <w:szCs w:val="24"/>
        </w:rPr>
        <w:t>K</w:t>
      </w:r>
      <w:r>
        <w:rPr>
          <w:b/>
          <w:bCs/>
          <w:sz w:val="24"/>
          <w:szCs w:val="24"/>
          <w:vertAlign w:val="subscript"/>
        </w:rPr>
        <w:t>2</w:t>
      </w:r>
      <w:r>
        <w:rPr>
          <w:b/>
          <w:bCs/>
          <w:sz w:val="24"/>
          <w:szCs w:val="24"/>
        </w:rPr>
        <w:t xml:space="preserve"> 30 </w:t>
      </w:r>
      <w:r>
        <w:rPr>
          <w:sz w:val="24"/>
          <w:szCs w:val="24"/>
        </w:rPr>
        <w:t xml:space="preserve">(la niv. </w:t>
      </w:r>
      <w:r>
        <w:rPr>
          <w:b/>
          <w:bCs/>
          <w:sz w:val="24"/>
          <w:szCs w:val="24"/>
        </w:rPr>
        <w:t>III</w:t>
      </w:r>
      <w:r>
        <w:rPr>
          <w:sz w:val="24"/>
          <w:szCs w:val="24"/>
        </w:rPr>
        <w:t xml:space="preserve"> de stabilitate la incendiu);</w:t>
      </w:r>
    </w:p>
    <w:p w14:paraId="67371195" w14:textId="77777777" w:rsidR="001C08A5" w:rsidRDefault="00000000">
      <w:pPr>
        <w:ind w:left="3589" w:firstLine="720"/>
        <w:jc w:val="both"/>
        <w:rPr>
          <w:sz w:val="24"/>
          <w:szCs w:val="24"/>
        </w:rPr>
      </w:pPr>
      <w:r>
        <w:rPr>
          <w:sz w:val="24"/>
          <w:szCs w:val="24"/>
        </w:rPr>
        <w:t xml:space="preserve">- minimum clasa de reacție la foc </w:t>
      </w:r>
      <w:r>
        <w:rPr>
          <w:b/>
          <w:bCs/>
          <w:sz w:val="24"/>
          <w:szCs w:val="24"/>
        </w:rPr>
        <w:t>B-s1d0</w:t>
      </w:r>
      <w:r>
        <w:rPr>
          <w:sz w:val="24"/>
          <w:szCs w:val="24"/>
        </w:rPr>
        <w:t xml:space="preserve"> sau a căror finisaje îndeplinesc criteriile de performanță la foc minim </w:t>
      </w:r>
      <w:r>
        <w:rPr>
          <w:b/>
          <w:bCs/>
          <w:sz w:val="24"/>
          <w:szCs w:val="24"/>
        </w:rPr>
        <w:t>K</w:t>
      </w:r>
      <w:r>
        <w:rPr>
          <w:b/>
          <w:bCs/>
          <w:sz w:val="24"/>
          <w:szCs w:val="24"/>
          <w:vertAlign w:val="subscript"/>
        </w:rPr>
        <w:t>2</w:t>
      </w:r>
      <w:r>
        <w:rPr>
          <w:b/>
          <w:bCs/>
          <w:sz w:val="24"/>
          <w:szCs w:val="24"/>
        </w:rPr>
        <w:t xml:space="preserve"> 60 </w:t>
      </w:r>
      <w:r>
        <w:rPr>
          <w:sz w:val="24"/>
          <w:szCs w:val="24"/>
        </w:rPr>
        <w:t xml:space="preserve">(la niv. </w:t>
      </w:r>
      <w:r>
        <w:rPr>
          <w:b/>
          <w:bCs/>
          <w:sz w:val="24"/>
          <w:szCs w:val="24"/>
        </w:rPr>
        <w:t>II</w:t>
      </w:r>
      <w:r>
        <w:rPr>
          <w:sz w:val="24"/>
          <w:szCs w:val="24"/>
        </w:rPr>
        <w:t xml:space="preserve"> de stabilitate la incendiu).</w:t>
      </w:r>
    </w:p>
    <w:p w14:paraId="46AA5FB0" w14:textId="77777777" w:rsidR="001C08A5" w:rsidRDefault="00000000">
      <w:pPr>
        <w:ind w:left="3589" w:firstLine="720"/>
        <w:jc w:val="both"/>
        <w:rPr>
          <w:sz w:val="24"/>
          <w:szCs w:val="24"/>
        </w:rPr>
      </w:pPr>
      <w:r>
        <w:rPr>
          <w:sz w:val="24"/>
          <w:szCs w:val="24"/>
        </w:rPr>
        <w:t xml:space="preserve">- nu se admit (la niv. </w:t>
      </w:r>
      <w:r>
        <w:rPr>
          <w:b/>
          <w:bCs/>
          <w:sz w:val="24"/>
          <w:szCs w:val="24"/>
        </w:rPr>
        <w:t>I</w:t>
      </w:r>
      <w:r>
        <w:rPr>
          <w:sz w:val="24"/>
          <w:szCs w:val="24"/>
        </w:rPr>
        <w:t xml:space="preserve"> de stabilitate la incendiu).</w:t>
      </w:r>
    </w:p>
    <w:p w14:paraId="1125C59F" w14:textId="77777777" w:rsidR="001C08A5" w:rsidRDefault="001C08A5">
      <w:pPr>
        <w:jc w:val="both"/>
        <w:rPr>
          <w:sz w:val="24"/>
          <w:szCs w:val="24"/>
        </w:rPr>
      </w:pPr>
    </w:p>
    <w:p w14:paraId="711B20B4" w14:textId="77777777" w:rsidR="001C08A5" w:rsidRDefault="00000000">
      <w:pPr>
        <w:ind w:firstLine="720"/>
        <w:jc w:val="both"/>
        <w:rPr>
          <w:sz w:val="24"/>
          <w:szCs w:val="24"/>
        </w:rPr>
      </w:pPr>
      <w:r>
        <w:rPr>
          <w:b/>
          <w:sz w:val="24"/>
          <w:szCs w:val="24"/>
        </w:rPr>
        <w:t>Art. 2.4.3.3. (1)</w:t>
      </w:r>
      <w:r>
        <w:rPr>
          <w:sz w:val="24"/>
          <w:szCs w:val="24"/>
        </w:rPr>
        <w:t xml:space="preserve"> Golurile de circulaţie funcţională şi de evacuare a utilizatorilor, practicate în pereţii de separare a circulaţiilor comune orizontale faţă de restul construcţiei, se protejează cu elemente de închidere alcătuite și realizate conform prevederilor normativului.</w:t>
      </w:r>
    </w:p>
    <w:p w14:paraId="38C27F38" w14:textId="77777777" w:rsidR="001C08A5" w:rsidRDefault="00000000">
      <w:pPr>
        <w:jc w:val="both"/>
        <w:rPr>
          <w:sz w:val="24"/>
          <w:szCs w:val="24"/>
        </w:rPr>
      </w:pPr>
      <w:r>
        <w:rPr>
          <w:sz w:val="24"/>
          <w:szCs w:val="24"/>
        </w:rPr>
        <w:tab/>
      </w:r>
      <w:r>
        <w:rPr>
          <w:b/>
          <w:sz w:val="24"/>
          <w:szCs w:val="24"/>
        </w:rPr>
        <w:t xml:space="preserve">(2) </w:t>
      </w:r>
      <w:r>
        <w:rPr>
          <w:sz w:val="24"/>
          <w:szCs w:val="24"/>
        </w:rPr>
        <w:t>Golurile de circulaţie dispuse în pereţii de separare a circulaţiilor comune  orizontale din clădiri civile, se protejează conform prevederilor privind performanțele specifice destinaţiei și tipului acestor clădiri.</w:t>
      </w:r>
    </w:p>
    <w:p w14:paraId="18975B7E" w14:textId="77777777" w:rsidR="001C08A5" w:rsidRDefault="00000000">
      <w:pPr>
        <w:jc w:val="both"/>
        <w:rPr>
          <w:sz w:val="24"/>
          <w:szCs w:val="24"/>
        </w:rPr>
      </w:pPr>
      <w:r>
        <w:rPr>
          <w:sz w:val="24"/>
          <w:szCs w:val="24"/>
        </w:rPr>
        <w:tab/>
      </w:r>
      <w:r>
        <w:rPr>
          <w:b/>
          <w:sz w:val="24"/>
          <w:szCs w:val="24"/>
        </w:rPr>
        <w:t xml:space="preserve">(3) </w:t>
      </w:r>
      <w:r>
        <w:rPr>
          <w:sz w:val="24"/>
          <w:szCs w:val="24"/>
        </w:rPr>
        <w:t>Golurile de circulaţie dispuse în pereţii de separare a circulaţiilor comune orizontale din construcţiile de producţie şi/sau depozitare, se protejază corespunzător riscurilor de incendiu specifice încăperilor adiacente.</w:t>
      </w:r>
    </w:p>
    <w:p w14:paraId="019DA394" w14:textId="77777777" w:rsidR="001C08A5" w:rsidRDefault="001C08A5">
      <w:pPr>
        <w:rPr>
          <w:sz w:val="24"/>
          <w:szCs w:val="24"/>
        </w:rPr>
      </w:pPr>
    </w:p>
    <w:p w14:paraId="17991E17" w14:textId="77777777" w:rsidR="001C08A5" w:rsidRDefault="00000000">
      <w:pPr>
        <w:ind w:firstLine="720"/>
        <w:jc w:val="both"/>
        <w:rPr>
          <w:b/>
          <w:sz w:val="24"/>
          <w:szCs w:val="24"/>
        </w:rPr>
      </w:pPr>
      <w:r>
        <w:rPr>
          <w:b/>
          <w:sz w:val="24"/>
          <w:szCs w:val="24"/>
        </w:rPr>
        <w:t xml:space="preserve">Art. 2.4.3.4. (1) </w:t>
      </w:r>
      <w:r>
        <w:rPr>
          <w:sz w:val="24"/>
          <w:szCs w:val="24"/>
        </w:rPr>
        <w:t xml:space="preserve">Degajamentele protejate precum și tunelurile de evacuare </w:t>
      </w:r>
      <w:r>
        <w:rPr>
          <w:sz w:val="24"/>
          <w:szCs w:val="24"/>
          <w:lang w:eastAsia="ro-RO"/>
        </w:rPr>
        <w:t xml:space="preserve">trebuie sa fie cu lungime maximă de </w:t>
      </w:r>
      <w:r>
        <w:rPr>
          <w:b/>
          <w:bCs/>
          <w:sz w:val="24"/>
          <w:szCs w:val="24"/>
          <w:lang w:eastAsia="ro-RO"/>
        </w:rPr>
        <w:t>200 m</w:t>
      </w:r>
      <w:r>
        <w:rPr>
          <w:sz w:val="24"/>
          <w:szCs w:val="24"/>
          <w:lang w:eastAsia="ro-RO"/>
        </w:rPr>
        <w:t xml:space="preserve"> și </w:t>
      </w:r>
      <w:r>
        <w:rPr>
          <w:sz w:val="24"/>
          <w:szCs w:val="24"/>
        </w:rPr>
        <w:t xml:space="preserve">trebuie separate de restul construcţiei cu </w:t>
      </w:r>
      <w:r>
        <w:rPr>
          <w:sz w:val="24"/>
          <w:szCs w:val="24"/>
          <w:lang w:eastAsia="ro-RO"/>
        </w:rPr>
        <w:t xml:space="preserve">elemente </w:t>
      </w:r>
      <w:r>
        <w:rPr>
          <w:b/>
          <w:bCs/>
          <w:sz w:val="24"/>
          <w:szCs w:val="24"/>
          <w:lang w:eastAsia="ro-RO"/>
        </w:rPr>
        <w:t>A1</w:t>
      </w:r>
      <w:r>
        <w:rPr>
          <w:sz w:val="24"/>
          <w:szCs w:val="24"/>
          <w:lang w:eastAsia="ro-RO"/>
        </w:rPr>
        <w:t xml:space="preserve"> sau </w:t>
      </w:r>
      <w:r>
        <w:rPr>
          <w:b/>
          <w:bCs/>
          <w:sz w:val="24"/>
          <w:szCs w:val="24"/>
          <w:lang w:eastAsia="ro-RO"/>
        </w:rPr>
        <w:t>A2-s1d0</w:t>
      </w:r>
      <w:r>
        <w:rPr>
          <w:sz w:val="24"/>
          <w:szCs w:val="24"/>
          <w:lang w:eastAsia="ro-RO"/>
        </w:rPr>
        <w:t xml:space="preserve"> rezistente la foc corespunzător</w:t>
      </w:r>
      <w:r>
        <w:rPr>
          <w:sz w:val="24"/>
          <w:szCs w:val="24"/>
        </w:rPr>
        <w:t xml:space="preserve"> densitatii sarcinii termice </w:t>
      </w:r>
      <w:r>
        <w:rPr>
          <w:rStyle w:val="FontStyle57"/>
          <w:rFonts w:ascii="Times New Roman" w:hAnsi="Times New Roman" w:cs="Times New Roman"/>
          <w:bCs/>
          <w:spacing w:val="8"/>
          <w:sz w:val="24"/>
          <w:szCs w:val="24"/>
          <w:lang w:eastAsia="ro-RO"/>
        </w:rPr>
        <w:t>a încăperilor adiacente,</w:t>
      </w:r>
      <w:r>
        <w:rPr>
          <w:sz w:val="24"/>
          <w:szCs w:val="24"/>
        </w:rPr>
        <w:t xml:space="preserve"> prin pereţi rezistenți la foc (</w:t>
      </w:r>
      <w:r>
        <w:rPr>
          <w:b/>
          <w:bCs/>
          <w:sz w:val="24"/>
          <w:szCs w:val="24"/>
        </w:rPr>
        <w:t>EI/REI</w:t>
      </w:r>
      <w:r>
        <w:rPr>
          <w:sz w:val="24"/>
          <w:szCs w:val="24"/>
        </w:rPr>
        <w:t>), planşee rezistente la foc (</w:t>
      </w:r>
      <w:r>
        <w:rPr>
          <w:b/>
          <w:bCs/>
          <w:sz w:val="24"/>
          <w:szCs w:val="24"/>
        </w:rPr>
        <w:t>REI</w:t>
      </w:r>
      <w:r>
        <w:rPr>
          <w:sz w:val="24"/>
          <w:szCs w:val="24"/>
        </w:rPr>
        <w:t xml:space="preserve">) conform încadrare în nivelul de stabilitate la incendiu al construcției şi uși rezistente la foc </w:t>
      </w:r>
      <w:r>
        <w:rPr>
          <w:b/>
          <w:bCs/>
          <w:sz w:val="24"/>
          <w:szCs w:val="24"/>
        </w:rPr>
        <w:t>EI-C5S</w:t>
      </w:r>
      <w:r>
        <w:rPr>
          <w:b/>
          <w:bCs/>
          <w:sz w:val="24"/>
          <w:szCs w:val="24"/>
          <w:vertAlign w:val="subscript"/>
        </w:rPr>
        <w:t>200</w:t>
      </w:r>
      <w:r>
        <w:rPr>
          <w:sz w:val="24"/>
          <w:szCs w:val="24"/>
        </w:rPr>
        <w:t xml:space="preserve">, </w:t>
      </w:r>
      <w:r>
        <w:rPr>
          <w:rStyle w:val="FontStyle57"/>
          <w:rFonts w:ascii="Times New Roman" w:hAnsi="Times New Roman" w:cs="Times New Roman"/>
          <w:bCs/>
          <w:spacing w:val="8"/>
          <w:sz w:val="24"/>
          <w:szCs w:val="24"/>
          <w:lang w:eastAsia="ro-RO"/>
        </w:rPr>
        <w:t>fără a fi mai mici de</w:t>
      </w:r>
      <w:r>
        <w:rPr>
          <w:sz w:val="24"/>
          <w:szCs w:val="24"/>
        </w:rPr>
        <w:t>:</w:t>
      </w:r>
    </w:p>
    <w:p w14:paraId="68240A1B" w14:textId="77777777" w:rsidR="001C08A5" w:rsidRDefault="00000000">
      <w:pPr>
        <w:ind w:left="1440"/>
        <w:jc w:val="both"/>
        <w:rPr>
          <w:b/>
          <w:sz w:val="24"/>
          <w:szCs w:val="24"/>
        </w:rPr>
      </w:pPr>
      <w:r>
        <w:rPr>
          <w:b/>
          <w:sz w:val="24"/>
          <w:szCs w:val="24"/>
        </w:rPr>
        <w:t xml:space="preserve">a) </w:t>
      </w:r>
      <w:r>
        <w:rPr>
          <w:bCs/>
          <w:sz w:val="24"/>
          <w:szCs w:val="24"/>
        </w:rPr>
        <w:t xml:space="preserve">pereţi </w:t>
      </w:r>
      <w:r>
        <w:rPr>
          <w:b/>
          <w:sz w:val="24"/>
          <w:szCs w:val="24"/>
        </w:rPr>
        <w:t xml:space="preserve">EI/REI 120 și </w:t>
      </w:r>
      <w:r>
        <w:rPr>
          <w:bCs/>
          <w:sz w:val="24"/>
          <w:szCs w:val="24"/>
        </w:rPr>
        <w:t xml:space="preserve">uși </w:t>
      </w:r>
      <w:r>
        <w:rPr>
          <w:b/>
          <w:bCs/>
          <w:sz w:val="24"/>
          <w:szCs w:val="24"/>
        </w:rPr>
        <w:t>EI</w:t>
      </w:r>
      <w:r>
        <w:rPr>
          <w:b/>
          <w:bCs/>
          <w:sz w:val="24"/>
          <w:szCs w:val="24"/>
          <w:vertAlign w:val="subscript"/>
        </w:rPr>
        <w:t>2</w:t>
      </w:r>
      <w:r>
        <w:rPr>
          <w:b/>
          <w:bCs/>
          <w:sz w:val="24"/>
          <w:szCs w:val="24"/>
        </w:rPr>
        <w:t>60-C5</w:t>
      </w:r>
      <w:r>
        <w:rPr>
          <w:b/>
          <w:sz w:val="24"/>
          <w:szCs w:val="24"/>
        </w:rPr>
        <w:t>S</w:t>
      </w:r>
      <w:r>
        <w:rPr>
          <w:b/>
          <w:bCs/>
          <w:sz w:val="24"/>
          <w:szCs w:val="24"/>
          <w:vertAlign w:val="subscript"/>
        </w:rPr>
        <w:t>200</w:t>
      </w:r>
      <w:r>
        <w:rPr>
          <w:sz w:val="24"/>
          <w:szCs w:val="24"/>
        </w:rPr>
        <w:t xml:space="preserve">, în construcţiile cu nivelul de stabilitate la incendiu </w:t>
      </w:r>
      <w:r>
        <w:rPr>
          <w:b/>
          <w:sz w:val="24"/>
          <w:szCs w:val="24"/>
        </w:rPr>
        <w:t>I</w:t>
      </w:r>
      <w:r>
        <w:rPr>
          <w:bCs/>
          <w:sz w:val="24"/>
          <w:szCs w:val="24"/>
        </w:rPr>
        <w:t>;</w:t>
      </w:r>
    </w:p>
    <w:p w14:paraId="49A4AA87" w14:textId="77777777" w:rsidR="001C08A5" w:rsidRDefault="00000000">
      <w:pPr>
        <w:ind w:left="1440"/>
        <w:jc w:val="both"/>
        <w:rPr>
          <w:b/>
          <w:sz w:val="24"/>
          <w:szCs w:val="24"/>
        </w:rPr>
      </w:pPr>
      <w:r>
        <w:rPr>
          <w:b/>
          <w:sz w:val="24"/>
          <w:szCs w:val="24"/>
        </w:rPr>
        <w:t xml:space="preserve">b) </w:t>
      </w:r>
      <w:r>
        <w:rPr>
          <w:bCs/>
          <w:sz w:val="24"/>
          <w:szCs w:val="24"/>
        </w:rPr>
        <w:t xml:space="preserve">pereţi </w:t>
      </w:r>
      <w:r>
        <w:rPr>
          <w:b/>
          <w:sz w:val="24"/>
          <w:szCs w:val="24"/>
        </w:rPr>
        <w:t xml:space="preserve">EI/REI 90 și </w:t>
      </w:r>
      <w:r>
        <w:rPr>
          <w:bCs/>
          <w:sz w:val="24"/>
          <w:szCs w:val="24"/>
        </w:rPr>
        <w:t xml:space="preserve">uși </w:t>
      </w:r>
      <w:r>
        <w:rPr>
          <w:b/>
          <w:bCs/>
          <w:sz w:val="24"/>
          <w:szCs w:val="24"/>
        </w:rPr>
        <w:t>EI</w:t>
      </w:r>
      <w:r>
        <w:rPr>
          <w:b/>
          <w:bCs/>
          <w:sz w:val="24"/>
          <w:szCs w:val="24"/>
          <w:vertAlign w:val="subscript"/>
        </w:rPr>
        <w:t>2</w:t>
      </w:r>
      <w:r>
        <w:rPr>
          <w:b/>
          <w:bCs/>
          <w:sz w:val="24"/>
          <w:szCs w:val="24"/>
        </w:rPr>
        <w:t>45-C5</w:t>
      </w:r>
      <w:r>
        <w:rPr>
          <w:b/>
          <w:sz w:val="24"/>
          <w:szCs w:val="24"/>
        </w:rPr>
        <w:t>S</w:t>
      </w:r>
      <w:r>
        <w:rPr>
          <w:b/>
          <w:bCs/>
          <w:sz w:val="24"/>
          <w:szCs w:val="24"/>
          <w:vertAlign w:val="subscript"/>
        </w:rPr>
        <w:t>200</w:t>
      </w:r>
      <w:r>
        <w:rPr>
          <w:sz w:val="24"/>
          <w:szCs w:val="24"/>
        </w:rPr>
        <w:t xml:space="preserve">, în construcţiile cu nivelul de stabilitate la incendiu </w:t>
      </w:r>
      <w:r>
        <w:rPr>
          <w:b/>
          <w:sz w:val="24"/>
          <w:szCs w:val="24"/>
        </w:rPr>
        <w:t>II</w:t>
      </w:r>
      <w:r>
        <w:rPr>
          <w:sz w:val="24"/>
          <w:szCs w:val="24"/>
        </w:rPr>
        <w:t>;</w:t>
      </w:r>
    </w:p>
    <w:p w14:paraId="4D2ED0D0" w14:textId="77777777" w:rsidR="001C08A5" w:rsidRDefault="00000000">
      <w:pPr>
        <w:ind w:left="1440"/>
        <w:jc w:val="both"/>
        <w:rPr>
          <w:b/>
          <w:sz w:val="24"/>
          <w:szCs w:val="24"/>
        </w:rPr>
      </w:pPr>
      <w:r>
        <w:rPr>
          <w:b/>
          <w:sz w:val="24"/>
          <w:szCs w:val="24"/>
        </w:rPr>
        <w:t xml:space="preserve">c) </w:t>
      </w:r>
      <w:r>
        <w:rPr>
          <w:bCs/>
          <w:sz w:val="24"/>
          <w:szCs w:val="24"/>
        </w:rPr>
        <w:t xml:space="preserve">pereţi </w:t>
      </w:r>
      <w:r>
        <w:rPr>
          <w:b/>
          <w:sz w:val="24"/>
          <w:szCs w:val="24"/>
        </w:rPr>
        <w:t xml:space="preserve">EI/REI 60 și </w:t>
      </w:r>
      <w:r>
        <w:rPr>
          <w:bCs/>
          <w:sz w:val="24"/>
          <w:szCs w:val="24"/>
        </w:rPr>
        <w:t xml:space="preserve">uși </w:t>
      </w:r>
      <w:r>
        <w:rPr>
          <w:b/>
          <w:bCs/>
          <w:sz w:val="24"/>
          <w:szCs w:val="24"/>
        </w:rPr>
        <w:t>EI</w:t>
      </w:r>
      <w:r>
        <w:rPr>
          <w:b/>
          <w:bCs/>
          <w:sz w:val="24"/>
          <w:szCs w:val="24"/>
          <w:vertAlign w:val="subscript"/>
        </w:rPr>
        <w:t>2</w:t>
      </w:r>
      <w:r>
        <w:rPr>
          <w:b/>
          <w:bCs/>
          <w:sz w:val="24"/>
          <w:szCs w:val="24"/>
        </w:rPr>
        <w:t>30-C5</w:t>
      </w:r>
      <w:r>
        <w:rPr>
          <w:b/>
          <w:sz w:val="24"/>
          <w:szCs w:val="24"/>
        </w:rPr>
        <w:t>S</w:t>
      </w:r>
      <w:r>
        <w:rPr>
          <w:b/>
          <w:bCs/>
          <w:sz w:val="24"/>
          <w:szCs w:val="24"/>
          <w:vertAlign w:val="subscript"/>
        </w:rPr>
        <w:t>200</w:t>
      </w:r>
      <w:r>
        <w:rPr>
          <w:sz w:val="24"/>
          <w:szCs w:val="24"/>
        </w:rPr>
        <w:t xml:space="preserve"> în construcţiile cu nivelul de stabilitate la incendiu </w:t>
      </w:r>
      <w:r>
        <w:rPr>
          <w:b/>
          <w:sz w:val="24"/>
          <w:szCs w:val="24"/>
        </w:rPr>
        <w:t>III</w:t>
      </w:r>
      <w:r>
        <w:rPr>
          <w:sz w:val="24"/>
          <w:szCs w:val="24"/>
        </w:rPr>
        <w:t xml:space="preserve">;  </w:t>
      </w:r>
    </w:p>
    <w:p w14:paraId="180D9840" w14:textId="77777777" w:rsidR="001C08A5" w:rsidRDefault="00000000">
      <w:pPr>
        <w:ind w:left="1418" w:firstLine="22"/>
        <w:jc w:val="both"/>
        <w:rPr>
          <w:b/>
          <w:sz w:val="24"/>
          <w:szCs w:val="24"/>
        </w:rPr>
      </w:pPr>
      <w:r>
        <w:rPr>
          <w:b/>
          <w:sz w:val="24"/>
          <w:szCs w:val="24"/>
        </w:rPr>
        <w:t xml:space="preserve">d) </w:t>
      </w:r>
      <w:r>
        <w:rPr>
          <w:bCs/>
          <w:sz w:val="24"/>
          <w:szCs w:val="24"/>
        </w:rPr>
        <w:t xml:space="preserve">pereţi </w:t>
      </w:r>
      <w:r>
        <w:rPr>
          <w:b/>
          <w:sz w:val="24"/>
          <w:szCs w:val="24"/>
        </w:rPr>
        <w:t xml:space="preserve">EI/REI 45 și </w:t>
      </w:r>
      <w:r>
        <w:rPr>
          <w:bCs/>
          <w:sz w:val="24"/>
          <w:szCs w:val="24"/>
        </w:rPr>
        <w:t xml:space="preserve">uși </w:t>
      </w:r>
      <w:r>
        <w:rPr>
          <w:b/>
          <w:bCs/>
          <w:sz w:val="24"/>
          <w:szCs w:val="24"/>
        </w:rPr>
        <w:t>EI</w:t>
      </w:r>
      <w:r>
        <w:rPr>
          <w:b/>
          <w:bCs/>
          <w:sz w:val="24"/>
          <w:szCs w:val="24"/>
          <w:vertAlign w:val="subscript"/>
        </w:rPr>
        <w:t>2</w:t>
      </w:r>
      <w:r>
        <w:rPr>
          <w:b/>
          <w:bCs/>
          <w:sz w:val="24"/>
          <w:szCs w:val="24"/>
        </w:rPr>
        <w:t>20-C5</w:t>
      </w:r>
      <w:r>
        <w:rPr>
          <w:b/>
          <w:sz w:val="24"/>
          <w:szCs w:val="24"/>
        </w:rPr>
        <w:t>S</w:t>
      </w:r>
      <w:r>
        <w:rPr>
          <w:b/>
          <w:bCs/>
          <w:sz w:val="24"/>
          <w:szCs w:val="24"/>
          <w:vertAlign w:val="subscript"/>
        </w:rPr>
        <w:t>200</w:t>
      </w:r>
      <w:r>
        <w:rPr>
          <w:sz w:val="24"/>
          <w:szCs w:val="24"/>
        </w:rPr>
        <w:t xml:space="preserve">  în construcţiile cu nivelul de stabilitate la incendiu</w:t>
      </w:r>
      <w:r>
        <w:rPr>
          <w:b/>
          <w:sz w:val="24"/>
          <w:szCs w:val="24"/>
        </w:rPr>
        <w:t xml:space="preserve"> IV</w:t>
      </w:r>
      <w:r>
        <w:rPr>
          <w:sz w:val="24"/>
          <w:szCs w:val="24"/>
        </w:rPr>
        <w:t>;</w:t>
      </w:r>
    </w:p>
    <w:p w14:paraId="5C969D2D" w14:textId="77777777" w:rsidR="001C08A5" w:rsidRDefault="00000000">
      <w:pPr>
        <w:ind w:left="1418" w:firstLine="22"/>
        <w:jc w:val="both"/>
        <w:rPr>
          <w:sz w:val="24"/>
          <w:szCs w:val="24"/>
        </w:rPr>
      </w:pPr>
      <w:r>
        <w:rPr>
          <w:b/>
          <w:sz w:val="24"/>
          <w:szCs w:val="24"/>
        </w:rPr>
        <w:t xml:space="preserve">e) </w:t>
      </w:r>
      <w:r>
        <w:rPr>
          <w:bCs/>
          <w:sz w:val="24"/>
          <w:szCs w:val="24"/>
        </w:rPr>
        <w:t xml:space="preserve">pereţi </w:t>
      </w:r>
      <w:r>
        <w:rPr>
          <w:b/>
          <w:sz w:val="24"/>
          <w:szCs w:val="24"/>
        </w:rPr>
        <w:t xml:space="preserve">EI/REI 30 și </w:t>
      </w:r>
      <w:r>
        <w:rPr>
          <w:bCs/>
          <w:sz w:val="24"/>
          <w:szCs w:val="24"/>
        </w:rPr>
        <w:t xml:space="preserve">uși </w:t>
      </w:r>
      <w:r>
        <w:rPr>
          <w:b/>
          <w:bCs/>
          <w:sz w:val="24"/>
          <w:szCs w:val="24"/>
        </w:rPr>
        <w:t>EI</w:t>
      </w:r>
      <w:r>
        <w:rPr>
          <w:b/>
          <w:bCs/>
          <w:sz w:val="24"/>
          <w:szCs w:val="24"/>
          <w:vertAlign w:val="subscript"/>
        </w:rPr>
        <w:t>2</w:t>
      </w:r>
      <w:r>
        <w:rPr>
          <w:b/>
          <w:bCs/>
          <w:sz w:val="24"/>
          <w:szCs w:val="24"/>
        </w:rPr>
        <w:t>15-C5</w:t>
      </w:r>
      <w:r>
        <w:rPr>
          <w:b/>
          <w:sz w:val="24"/>
          <w:szCs w:val="24"/>
        </w:rPr>
        <w:t>S</w:t>
      </w:r>
      <w:r>
        <w:rPr>
          <w:b/>
          <w:bCs/>
          <w:sz w:val="24"/>
          <w:szCs w:val="24"/>
          <w:vertAlign w:val="subscript"/>
        </w:rPr>
        <w:t>200</w:t>
      </w:r>
      <w:r>
        <w:rPr>
          <w:sz w:val="24"/>
          <w:szCs w:val="24"/>
        </w:rPr>
        <w:t xml:space="preserve">  în construcţiile cu nivelul de stabilitate la incendiu</w:t>
      </w:r>
      <w:r>
        <w:rPr>
          <w:b/>
          <w:sz w:val="24"/>
          <w:szCs w:val="24"/>
        </w:rPr>
        <w:t xml:space="preserve"> V</w:t>
      </w:r>
      <w:r>
        <w:rPr>
          <w:sz w:val="24"/>
          <w:szCs w:val="24"/>
        </w:rPr>
        <w:t>.</w:t>
      </w:r>
    </w:p>
    <w:p w14:paraId="19189D98" w14:textId="77777777" w:rsidR="001C08A5" w:rsidRDefault="00000000">
      <w:pPr>
        <w:ind w:firstLine="720"/>
        <w:jc w:val="both"/>
        <w:rPr>
          <w:b/>
          <w:sz w:val="24"/>
          <w:szCs w:val="24"/>
        </w:rPr>
      </w:pPr>
      <w:r>
        <w:rPr>
          <w:b/>
          <w:sz w:val="24"/>
          <w:szCs w:val="24"/>
        </w:rPr>
        <w:t xml:space="preserve">(2) </w:t>
      </w:r>
      <w:r>
        <w:rPr>
          <w:sz w:val="24"/>
          <w:szCs w:val="24"/>
        </w:rPr>
        <w:t xml:space="preserve">În situația în care degajamentele protejate constituie puncte de staționare ale persoanelor cu disabilități, trebuie separate de restul construcţiei cu </w:t>
      </w:r>
      <w:r>
        <w:rPr>
          <w:sz w:val="24"/>
          <w:szCs w:val="24"/>
          <w:lang w:eastAsia="ro-RO"/>
        </w:rPr>
        <w:t xml:space="preserve">elemente </w:t>
      </w:r>
      <w:r>
        <w:rPr>
          <w:b/>
          <w:bCs/>
          <w:sz w:val="24"/>
          <w:szCs w:val="24"/>
          <w:lang w:eastAsia="ro-RO"/>
        </w:rPr>
        <w:t>A1</w:t>
      </w:r>
      <w:r>
        <w:rPr>
          <w:sz w:val="24"/>
          <w:szCs w:val="24"/>
          <w:lang w:eastAsia="ro-RO"/>
        </w:rPr>
        <w:t xml:space="preserve"> sau </w:t>
      </w:r>
      <w:r>
        <w:rPr>
          <w:b/>
          <w:bCs/>
          <w:sz w:val="24"/>
          <w:szCs w:val="24"/>
          <w:lang w:eastAsia="ro-RO"/>
        </w:rPr>
        <w:t>A2-s1d0</w:t>
      </w:r>
      <w:r>
        <w:rPr>
          <w:sz w:val="24"/>
          <w:szCs w:val="24"/>
          <w:lang w:eastAsia="ro-RO"/>
        </w:rPr>
        <w:t xml:space="preserve"> rezistente la foc corespunzător</w:t>
      </w:r>
      <w:r>
        <w:rPr>
          <w:sz w:val="24"/>
          <w:szCs w:val="24"/>
        </w:rPr>
        <w:t xml:space="preserve"> densitatii sarcinii termice </w:t>
      </w:r>
      <w:r>
        <w:rPr>
          <w:rStyle w:val="FontStyle57"/>
          <w:rFonts w:ascii="Times New Roman" w:hAnsi="Times New Roman" w:cs="Times New Roman"/>
          <w:bCs/>
          <w:spacing w:val="8"/>
          <w:sz w:val="24"/>
          <w:szCs w:val="24"/>
          <w:lang w:eastAsia="ro-RO"/>
        </w:rPr>
        <w:t>a încăperilor adiacente,</w:t>
      </w:r>
      <w:r>
        <w:rPr>
          <w:sz w:val="24"/>
          <w:szCs w:val="24"/>
        </w:rPr>
        <w:t xml:space="preserve"> prin pereţi rezistenți la foc </w:t>
      </w:r>
      <w:r>
        <w:rPr>
          <w:sz w:val="24"/>
          <w:szCs w:val="24"/>
        </w:rPr>
        <w:lastRenderedPageBreak/>
        <w:t>(</w:t>
      </w:r>
      <w:r>
        <w:rPr>
          <w:b/>
          <w:bCs/>
          <w:sz w:val="24"/>
          <w:szCs w:val="24"/>
        </w:rPr>
        <w:t>EI/REI</w:t>
      </w:r>
      <w:r>
        <w:rPr>
          <w:sz w:val="24"/>
          <w:szCs w:val="24"/>
        </w:rPr>
        <w:t>), planşee rezistente la foc (</w:t>
      </w:r>
      <w:r>
        <w:rPr>
          <w:b/>
          <w:bCs/>
          <w:sz w:val="24"/>
          <w:szCs w:val="24"/>
        </w:rPr>
        <w:t>REI</w:t>
      </w:r>
      <w:r>
        <w:rPr>
          <w:sz w:val="24"/>
          <w:szCs w:val="24"/>
        </w:rPr>
        <w:t xml:space="preserve">) conform încadrare în nivelul de stabilitate la incendiu al construcției şi uși rezistente la foc </w:t>
      </w:r>
      <w:r>
        <w:rPr>
          <w:b/>
          <w:bCs/>
          <w:sz w:val="24"/>
          <w:szCs w:val="24"/>
        </w:rPr>
        <w:t>EI-C5S</w:t>
      </w:r>
      <w:r>
        <w:rPr>
          <w:b/>
          <w:bCs/>
          <w:sz w:val="24"/>
          <w:szCs w:val="24"/>
          <w:vertAlign w:val="subscript"/>
        </w:rPr>
        <w:t>200</w:t>
      </w:r>
      <w:r>
        <w:rPr>
          <w:sz w:val="24"/>
          <w:szCs w:val="24"/>
        </w:rPr>
        <w:t xml:space="preserve">, </w:t>
      </w:r>
      <w:r>
        <w:rPr>
          <w:rStyle w:val="FontStyle57"/>
          <w:rFonts w:ascii="Times New Roman" w:hAnsi="Times New Roman" w:cs="Times New Roman"/>
          <w:bCs/>
          <w:spacing w:val="8"/>
          <w:sz w:val="24"/>
          <w:szCs w:val="24"/>
          <w:lang w:eastAsia="ro-RO"/>
        </w:rPr>
        <w:t>fără a fi mai mici de</w:t>
      </w:r>
      <w:r>
        <w:rPr>
          <w:sz w:val="24"/>
          <w:szCs w:val="24"/>
        </w:rPr>
        <w:t>:</w:t>
      </w:r>
    </w:p>
    <w:p w14:paraId="60628651" w14:textId="77777777" w:rsidR="001C08A5" w:rsidRDefault="00000000">
      <w:pPr>
        <w:ind w:left="1440"/>
        <w:jc w:val="both"/>
        <w:rPr>
          <w:b/>
          <w:sz w:val="24"/>
          <w:szCs w:val="24"/>
        </w:rPr>
      </w:pPr>
      <w:r>
        <w:rPr>
          <w:b/>
          <w:sz w:val="24"/>
          <w:szCs w:val="24"/>
        </w:rPr>
        <w:t xml:space="preserve">a) </w:t>
      </w:r>
      <w:r>
        <w:rPr>
          <w:bCs/>
          <w:sz w:val="24"/>
          <w:szCs w:val="24"/>
        </w:rPr>
        <w:t xml:space="preserve">pereţi </w:t>
      </w:r>
      <w:r>
        <w:rPr>
          <w:b/>
          <w:sz w:val="24"/>
          <w:szCs w:val="24"/>
        </w:rPr>
        <w:t xml:space="preserve">EI/REI 180 și </w:t>
      </w:r>
      <w:r>
        <w:rPr>
          <w:bCs/>
          <w:sz w:val="24"/>
          <w:szCs w:val="24"/>
        </w:rPr>
        <w:t xml:space="preserve">uși </w:t>
      </w:r>
      <w:r>
        <w:rPr>
          <w:b/>
          <w:bCs/>
          <w:sz w:val="24"/>
          <w:szCs w:val="24"/>
        </w:rPr>
        <w:t>EI</w:t>
      </w:r>
      <w:r>
        <w:rPr>
          <w:b/>
          <w:bCs/>
          <w:sz w:val="24"/>
          <w:szCs w:val="24"/>
          <w:vertAlign w:val="subscript"/>
        </w:rPr>
        <w:t>2</w:t>
      </w:r>
      <w:r>
        <w:rPr>
          <w:b/>
          <w:bCs/>
          <w:sz w:val="24"/>
          <w:szCs w:val="24"/>
        </w:rPr>
        <w:t>90-C5</w:t>
      </w:r>
      <w:r>
        <w:rPr>
          <w:b/>
          <w:sz w:val="24"/>
          <w:szCs w:val="24"/>
        </w:rPr>
        <w:t>S</w:t>
      </w:r>
      <w:r>
        <w:rPr>
          <w:b/>
          <w:bCs/>
          <w:sz w:val="24"/>
          <w:szCs w:val="24"/>
          <w:vertAlign w:val="subscript"/>
        </w:rPr>
        <w:t>200</w:t>
      </w:r>
      <w:r>
        <w:rPr>
          <w:sz w:val="24"/>
          <w:szCs w:val="24"/>
        </w:rPr>
        <w:t xml:space="preserve">, în construcţiile cu nivelul de stabilitate la incendiu </w:t>
      </w:r>
      <w:r>
        <w:rPr>
          <w:b/>
          <w:sz w:val="24"/>
          <w:szCs w:val="24"/>
        </w:rPr>
        <w:t>I</w:t>
      </w:r>
      <w:r>
        <w:rPr>
          <w:bCs/>
          <w:sz w:val="24"/>
          <w:szCs w:val="24"/>
        </w:rPr>
        <w:t>;</w:t>
      </w:r>
    </w:p>
    <w:p w14:paraId="3EC7B0CF" w14:textId="77777777" w:rsidR="001C08A5" w:rsidRDefault="00000000">
      <w:pPr>
        <w:ind w:left="1440"/>
        <w:jc w:val="both"/>
        <w:rPr>
          <w:b/>
          <w:sz w:val="24"/>
          <w:szCs w:val="24"/>
        </w:rPr>
      </w:pPr>
      <w:r>
        <w:rPr>
          <w:b/>
          <w:sz w:val="24"/>
          <w:szCs w:val="24"/>
        </w:rPr>
        <w:t xml:space="preserve">b) </w:t>
      </w:r>
      <w:r>
        <w:rPr>
          <w:bCs/>
          <w:sz w:val="24"/>
          <w:szCs w:val="24"/>
        </w:rPr>
        <w:t xml:space="preserve">pereţi </w:t>
      </w:r>
      <w:r>
        <w:rPr>
          <w:b/>
          <w:sz w:val="24"/>
          <w:szCs w:val="24"/>
        </w:rPr>
        <w:t xml:space="preserve">EI/REI 180 </w:t>
      </w:r>
      <w:r>
        <w:rPr>
          <w:bCs/>
          <w:sz w:val="24"/>
          <w:szCs w:val="24"/>
        </w:rPr>
        <w:t xml:space="preserve">şi uși </w:t>
      </w:r>
      <w:r>
        <w:rPr>
          <w:b/>
          <w:bCs/>
          <w:sz w:val="24"/>
          <w:szCs w:val="24"/>
        </w:rPr>
        <w:t>EI</w:t>
      </w:r>
      <w:r>
        <w:rPr>
          <w:b/>
          <w:bCs/>
          <w:sz w:val="24"/>
          <w:szCs w:val="24"/>
          <w:vertAlign w:val="subscript"/>
        </w:rPr>
        <w:t>2</w:t>
      </w:r>
      <w:r>
        <w:rPr>
          <w:b/>
          <w:bCs/>
          <w:sz w:val="24"/>
          <w:szCs w:val="24"/>
        </w:rPr>
        <w:t>90-C5</w:t>
      </w:r>
      <w:r>
        <w:rPr>
          <w:b/>
          <w:sz w:val="24"/>
          <w:szCs w:val="24"/>
        </w:rPr>
        <w:t>S</w:t>
      </w:r>
      <w:r>
        <w:rPr>
          <w:b/>
          <w:bCs/>
          <w:sz w:val="24"/>
          <w:szCs w:val="24"/>
          <w:vertAlign w:val="subscript"/>
        </w:rPr>
        <w:t>200</w:t>
      </w:r>
      <w:r>
        <w:rPr>
          <w:sz w:val="24"/>
          <w:szCs w:val="24"/>
        </w:rPr>
        <w:t xml:space="preserve">, în construcţiile cu nivelul de stabilitate la incendiu </w:t>
      </w:r>
      <w:r>
        <w:rPr>
          <w:b/>
          <w:sz w:val="24"/>
          <w:szCs w:val="24"/>
        </w:rPr>
        <w:t xml:space="preserve">II </w:t>
      </w:r>
      <w:r>
        <w:rPr>
          <w:bCs/>
          <w:sz w:val="24"/>
          <w:szCs w:val="24"/>
        </w:rPr>
        <w:t xml:space="preserve">care nu sunt prevăzute cu instalație automată de stingere și pereţi </w:t>
      </w:r>
      <w:r>
        <w:rPr>
          <w:b/>
          <w:sz w:val="24"/>
          <w:szCs w:val="24"/>
        </w:rPr>
        <w:t xml:space="preserve">EI/REI 120 și </w:t>
      </w:r>
      <w:r>
        <w:rPr>
          <w:bCs/>
          <w:sz w:val="24"/>
          <w:szCs w:val="24"/>
        </w:rPr>
        <w:t xml:space="preserve">uși </w:t>
      </w:r>
      <w:r>
        <w:rPr>
          <w:b/>
          <w:bCs/>
          <w:sz w:val="24"/>
          <w:szCs w:val="24"/>
        </w:rPr>
        <w:t>EI</w:t>
      </w:r>
      <w:r>
        <w:rPr>
          <w:b/>
          <w:bCs/>
          <w:sz w:val="24"/>
          <w:szCs w:val="24"/>
          <w:vertAlign w:val="subscript"/>
        </w:rPr>
        <w:t>2</w:t>
      </w:r>
      <w:r>
        <w:rPr>
          <w:b/>
          <w:bCs/>
          <w:sz w:val="24"/>
          <w:szCs w:val="24"/>
        </w:rPr>
        <w:t>60-C5</w:t>
      </w:r>
      <w:r>
        <w:rPr>
          <w:b/>
          <w:sz w:val="24"/>
          <w:szCs w:val="24"/>
        </w:rPr>
        <w:t>S</w:t>
      </w:r>
      <w:r>
        <w:rPr>
          <w:b/>
          <w:bCs/>
          <w:sz w:val="24"/>
          <w:szCs w:val="24"/>
          <w:vertAlign w:val="subscript"/>
        </w:rPr>
        <w:t>200</w:t>
      </w:r>
      <w:r>
        <w:rPr>
          <w:sz w:val="24"/>
          <w:szCs w:val="24"/>
        </w:rPr>
        <w:t xml:space="preserve">, în construcţiile cu nivelul de stabilitate la incendiu </w:t>
      </w:r>
      <w:r>
        <w:rPr>
          <w:b/>
          <w:sz w:val="24"/>
          <w:szCs w:val="24"/>
        </w:rPr>
        <w:t xml:space="preserve">II </w:t>
      </w:r>
      <w:r>
        <w:rPr>
          <w:bCs/>
          <w:sz w:val="24"/>
          <w:szCs w:val="24"/>
        </w:rPr>
        <w:t>care sunt prevăzute cu instalație automată de stingere;</w:t>
      </w:r>
    </w:p>
    <w:p w14:paraId="0DD6D7CF" w14:textId="77777777" w:rsidR="001C08A5" w:rsidRDefault="00000000">
      <w:pPr>
        <w:ind w:left="1440"/>
        <w:jc w:val="both"/>
        <w:rPr>
          <w:b/>
          <w:sz w:val="24"/>
          <w:szCs w:val="24"/>
        </w:rPr>
      </w:pPr>
      <w:r>
        <w:rPr>
          <w:b/>
          <w:sz w:val="24"/>
          <w:szCs w:val="24"/>
        </w:rPr>
        <w:t xml:space="preserve">c) </w:t>
      </w:r>
      <w:r>
        <w:rPr>
          <w:bCs/>
          <w:sz w:val="24"/>
          <w:szCs w:val="24"/>
        </w:rPr>
        <w:t xml:space="preserve">pereţi </w:t>
      </w:r>
      <w:r>
        <w:rPr>
          <w:b/>
          <w:sz w:val="24"/>
          <w:szCs w:val="24"/>
        </w:rPr>
        <w:t xml:space="preserve">EI/REI 90 și </w:t>
      </w:r>
      <w:r>
        <w:rPr>
          <w:bCs/>
          <w:sz w:val="24"/>
          <w:szCs w:val="24"/>
        </w:rPr>
        <w:t xml:space="preserve">uși </w:t>
      </w:r>
      <w:r>
        <w:rPr>
          <w:b/>
          <w:bCs/>
          <w:sz w:val="24"/>
          <w:szCs w:val="24"/>
        </w:rPr>
        <w:t>EI</w:t>
      </w:r>
      <w:r>
        <w:rPr>
          <w:b/>
          <w:bCs/>
          <w:sz w:val="24"/>
          <w:szCs w:val="24"/>
          <w:vertAlign w:val="subscript"/>
        </w:rPr>
        <w:t>2</w:t>
      </w:r>
      <w:r>
        <w:rPr>
          <w:b/>
          <w:bCs/>
          <w:sz w:val="24"/>
          <w:szCs w:val="24"/>
        </w:rPr>
        <w:t>45-C5</w:t>
      </w:r>
      <w:r>
        <w:rPr>
          <w:b/>
          <w:sz w:val="24"/>
          <w:szCs w:val="24"/>
        </w:rPr>
        <w:t>S</w:t>
      </w:r>
      <w:r>
        <w:rPr>
          <w:b/>
          <w:bCs/>
          <w:sz w:val="24"/>
          <w:szCs w:val="24"/>
          <w:vertAlign w:val="subscript"/>
        </w:rPr>
        <w:t>200</w:t>
      </w:r>
      <w:r>
        <w:rPr>
          <w:sz w:val="24"/>
          <w:szCs w:val="24"/>
        </w:rPr>
        <w:t xml:space="preserve"> în construcţiile cu nivelul de stabilitate la incendiu </w:t>
      </w:r>
      <w:r>
        <w:rPr>
          <w:b/>
          <w:sz w:val="24"/>
          <w:szCs w:val="24"/>
        </w:rPr>
        <w:t xml:space="preserve">III </w:t>
      </w:r>
      <w:r>
        <w:rPr>
          <w:bCs/>
          <w:sz w:val="24"/>
          <w:szCs w:val="24"/>
        </w:rPr>
        <w:t xml:space="preserve">care nu sunt prevăzute cu instalație automată de stingere și pereţi </w:t>
      </w:r>
      <w:r>
        <w:rPr>
          <w:b/>
          <w:sz w:val="24"/>
          <w:szCs w:val="24"/>
        </w:rPr>
        <w:t xml:space="preserve">EI/REI 60 și </w:t>
      </w:r>
      <w:r>
        <w:rPr>
          <w:bCs/>
          <w:sz w:val="24"/>
          <w:szCs w:val="24"/>
        </w:rPr>
        <w:t xml:space="preserve">uși </w:t>
      </w:r>
      <w:r>
        <w:rPr>
          <w:b/>
          <w:bCs/>
          <w:sz w:val="24"/>
          <w:szCs w:val="24"/>
        </w:rPr>
        <w:t>EI</w:t>
      </w:r>
      <w:r>
        <w:rPr>
          <w:b/>
          <w:bCs/>
          <w:sz w:val="24"/>
          <w:szCs w:val="24"/>
          <w:vertAlign w:val="subscript"/>
        </w:rPr>
        <w:t>2</w:t>
      </w:r>
      <w:r>
        <w:rPr>
          <w:b/>
          <w:bCs/>
          <w:sz w:val="24"/>
          <w:szCs w:val="24"/>
        </w:rPr>
        <w:t>30-C5</w:t>
      </w:r>
      <w:r>
        <w:rPr>
          <w:b/>
          <w:sz w:val="24"/>
          <w:szCs w:val="24"/>
        </w:rPr>
        <w:t>S</w:t>
      </w:r>
      <w:r>
        <w:rPr>
          <w:b/>
          <w:bCs/>
          <w:sz w:val="24"/>
          <w:szCs w:val="24"/>
          <w:vertAlign w:val="subscript"/>
        </w:rPr>
        <w:t>200</w:t>
      </w:r>
      <w:r>
        <w:rPr>
          <w:sz w:val="24"/>
          <w:szCs w:val="24"/>
        </w:rPr>
        <w:t xml:space="preserve">, în construcţiile cu nivelul de stabilitate la incendiu </w:t>
      </w:r>
      <w:r>
        <w:rPr>
          <w:b/>
          <w:bCs/>
          <w:sz w:val="24"/>
          <w:szCs w:val="24"/>
        </w:rPr>
        <w:t>I</w:t>
      </w:r>
      <w:r>
        <w:rPr>
          <w:b/>
          <w:sz w:val="24"/>
          <w:szCs w:val="24"/>
        </w:rPr>
        <w:t xml:space="preserve">II </w:t>
      </w:r>
      <w:r>
        <w:rPr>
          <w:bCs/>
          <w:sz w:val="24"/>
          <w:szCs w:val="24"/>
        </w:rPr>
        <w:t>care sunt prevăzute cu instalație automată de stingere;</w:t>
      </w:r>
    </w:p>
    <w:p w14:paraId="0621D52D" w14:textId="77777777" w:rsidR="001C08A5" w:rsidRDefault="00000000">
      <w:pPr>
        <w:ind w:left="1418" w:firstLine="22"/>
        <w:jc w:val="both"/>
        <w:rPr>
          <w:b/>
          <w:sz w:val="24"/>
          <w:szCs w:val="24"/>
        </w:rPr>
      </w:pPr>
      <w:r>
        <w:rPr>
          <w:b/>
          <w:sz w:val="24"/>
          <w:szCs w:val="24"/>
        </w:rPr>
        <w:t xml:space="preserve">d) </w:t>
      </w:r>
      <w:r>
        <w:rPr>
          <w:bCs/>
          <w:sz w:val="24"/>
          <w:szCs w:val="24"/>
        </w:rPr>
        <w:t xml:space="preserve">pereţi </w:t>
      </w:r>
      <w:r>
        <w:rPr>
          <w:b/>
          <w:sz w:val="24"/>
          <w:szCs w:val="24"/>
        </w:rPr>
        <w:t xml:space="preserve">EI/REI 60 și </w:t>
      </w:r>
      <w:r>
        <w:rPr>
          <w:bCs/>
          <w:sz w:val="24"/>
          <w:szCs w:val="24"/>
        </w:rPr>
        <w:t xml:space="preserve">uși </w:t>
      </w:r>
      <w:r>
        <w:rPr>
          <w:b/>
          <w:bCs/>
          <w:sz w:val="24"/>
          <w:szCs w:val="24"/>
        </w:rPr>
        <w:t>EI</w:t>
      </w:r>
      <w:r>
        <w:rPr>
          <w:b/>
          <w:bCs/>
          <w:sz w:val="24"/>
          <w:szCs w:val="24"/>
          <w:vertAlign w:val="subscript"/>
        </w:rPr>
        <w:t>2</w:t>
      </w:r>
      <w:r>
        <w:rPr>
          <w:b/>
          <w:bCs/>
          <w:sz w:val="24"/>
          <w:szCs w:val="24"/>
        </w:rPr>
        <w:t>30-C5</w:t>
      </w:r>
      <w:r>
        <w:rPr>
          <w:b/>
          <w:sz w:val="24"/>
          <w:szCs w:val="24"/>
        </w:rPr>
        <w:t>S</w:t>
      </w:r>
      <w:r>
        <w:rPr>
          <w:b/>
          <w:bCs/>
          <w:sz w:val="24"/>
          <w:szCs w:val="24"/>
          <w:vertAlign w:val="subscript"/>
        </w:rPr>
        <w:t>200</w:t>
      </w:r>
      <w:r>
        <w:rPr>
          <w:sz w:val="24"/>
          <w:szCs w:val="24"/>
        </w:rPr>
        <w:t xml:space="preserve"> în construcţiile cu nivelul de stabilitate la incendiu</w:t>
      </w:r>
      <w:r>
        <w:rPr>
          <w:b/>
          <w:sz w:val="24"/>
          <w:szCs w:val="24"/>
        </w:rPr>
        <w:t xml:space="preserve"> IV </w:t>
      </w:r>
      <w:r>
        <w:rPr>
          <w:bCs/>
          <w:sz w:val="24"/>
          <w:szCs w:val="24"/>
        </w:rPr>
        <w:t xml:space="preserve">(pereţi </w:t>
      </w:r>
      <w:r>
        <w:rPr>
          <w:b/>
          <w:sz w:val="24"/>
          <w:szCs w:val="24"/>
        </w:rPr>
        <w:t xml:space="preserve">EI/REI 60 și </w:t>
      </w:r>
      <w:r>
        <w:rPr>
          <w:bCs/>
          <w:sz w:val="24"/>
          <w:szCs w:val="24"/>
        </w:rPr>
        <w:t xml:space="preserve">uși </w:t>
      </w:r>
      <w:r>
        <w:rPr>
          <w:b/>
          <w:bCs/>
          <w:sz w:val="24"/>
          <w:szCs w:val="24"/>
        </w:rPr>
        <w:t>EI</w:t>
      </w:r>
      <w:r>
        <w:rPr>
          <w:b/>
          <w:bCs/>
          <w:sz w:val="24"/>
          <w:szCs w:val="24"/>
          <w:vertAlign w:val="subscript"/>
        </w:rPr>
        <w:t>2</w:t>
      </w:r>
      <w:r>
        <w:rPr>
          <w:b/>
          <w:bCs/>
          <w:sz w:val="24"/>
          <w:szCs w:val="24"/>
        </w:rPr>
        <w:t>30-C5</w:t>
      </w:r>
      <w:r>
        <w:rPr>
          <w:b/>
          <w:sz w:val="24"/>
          <w:szCs w:val="24"/>
        </w:rPr>
        <w:t>S</w:t>
      </w:r>
      <w:r>
        <w:rPr>
          <w:b/>
          <w:bCs/>
          <w:sz w:val="24"/>
          <w:szCs w:val="24"/>
          <w:vertAlign w:val="subscript"/>
        </w:rPr>
        <w:t>200</w:t>
      </w:r>
      <w:r>
        <w:rPr>
          <w:sz w:val="24"/>
          <w:szCs w:val="24"/>
        </w:rPr>
        <w:t xml:space="preserve"> în </w:t>
      </w:r>
      <w:r>
        <w:rPr>
          <w:bCs/>
          <w:sz w:val="24"/>
          <w:szCs w:val="24"/>
        </w:rPr>
        <w:t xml:space="preserve">clădirile pentru învăţământ preşcolar </w:t>
      </w:r>
      <w:r>
        <w:rPr>
          <w:sz w:val="24"/>
          <w:szCs w:val="24"/>
        </w:rPr>
        <w:t>cu nivelul de stabilitate la incendiu</w:t>
      </w:r>
      <w:r>
        <w:rPr>
          <w:b/>
          <w:sz w:val="24"/>
          <w:szCs w:val="24"/>
        </w:rPr>
        <w:t xml:space="preserve"> IV</w:t>
      </w:r>
      <w:r>
        <w:rPr>
          <w:bCs/>
          <w:sz w:val="24"/>
          <w:szCs w:val="24"/>
        </w:rPr>
        <w:t>)</w:t>
      </w:r>
      <w:r>
        <w:rPr>
          <w:sz w:val="24"/>
          <w:szCs w:val="24"/>
        </w:rPr>
        <w:t>;</w:t>
      </w:r>
    </w:p>
    <w:p w14:paraId="5AFBE2EF" w14:textId="77777777" w:rsidR="001C08A5" w:rsidRDefault="00000000">
      <w:pPr>
        <w:ind w:left="1418" w:firstLine="22"/>
        <w:jc w:val="both"/>
        <w:rPr>
          <w:sz w:val="24"/>
          <w:szCs w:val="24"/>
          <w:lang w:eastAsia="ro-RO"/>
        </w:rPr>
      </w:pPr>
      <w:r>
        <w:rPr>
          <w:b/>
          <w:sz w:val="24"/>
          <w:szCs w:val="24"/>
        </w:rPr>
        <w:t xml:space="preserve">e) </w:t>
      </w:r>
      <w:r>
        <w:rPr>
          <w:bCs/>
          <w:sz w:val="24"/>
          <w:szCs w:val="24"/>
        </w:rPr>
        <w:t xml:space="preserve">pereţi </w:t>
      </w:r>
      <w:r>
        <w:rPr>
          <w:b/>
          <w:sz w:val="24"/>
          <w:szCs w:val="24"/>
        </w:rPr>
        <w:t xml:space="preserve">EI/REI 30 și </w:t>
      </w:r>
      <w:r>
        <w:rPr>
          <w:bCs/>
          <w:sz w:val="24"/>
          <w:szCs w:val="24"/>
        </w:rPr>
        <w:t xml:space="preserve">uși </w:t>
      </w:r>
      <w:r>
        <w:rPr>
          <w:b/>
          <w:bCs/>
          <w:sz w:val="24"/>
          <w:szCs w:val="24"/>
        </w:rPr>
        <w:t>EI</w:t>
      </w:r>
      <w:r>
        <w:rPr>
          <w:b/>
          <w:bCs/>
          <w:sz w:val="24"/>
          <w:szCs w:val="24"/>
          <w:vertAlign w:val="subscript"/>
        </w:rPr>
        <w:t>2</w:t>
      </w:r>
      <w:r>
        <w:rPr>
          <w:b/>
          <w:bCs/>
          <w:sz w:val="24"/>
          <w:szCs w:val="24"/>
        </w:rPr>
        <w:t>15-C5</w:t>
      </w:r>
      <w:r>
        <w:rPr>
          <w:b/>
          <w:sz w:val="24"/>
          <w:szCs w:val="24"/>
        </w:rPr>
        <w:t>S</w:t>
      </w:r>
      <w:r>
        <w:rPr>
          <w:b/>
          <w:bCs/>
          <w:sz w:val="24"/>
          <w:szCs w:val="24"/>
          <w:vertAlign w:val="subscript"/>
        </w:rPr>
        <w:t>200</w:t>
      </w:r>
      <w:r>
        <w:rPr>
          <w:sz w:val="24"/>
          <w:szCs w:val="24"/>
        </w:rPr>
        <w:t xml:space="preserve"> în construcţiile cu nivelul de stabilitate la incendiu</w:t>
      </w:r>
      <w:r>
        <w:rPr>
          <w:b/>
          <w:sz w:val="24"/>
          <w:szCs w:val="24"/>
        </w:rPr>
        <w:t xml:space="preserve"> V</w:t>
      </w:r>
      <w:r>
        <w:rPr>
          <w:sz w:val="24"/>
          <w:szCs w:val="24"/>
        </w:rPr>
        <w:t>;</w:t>
      </w:r>
    </w:p>
    <w:p w14:paraId="0C3DBE86" w14:textId="77777777" w:rsidR="001C08A5" w:rsidRDefault="00000000">
      <w:pPr>
        <w:ind w:firstLine="720"/>
        <w:jc w:val="both"/>
        <w:rPr>
          <w:sz w:val="24"/>
          <w:szCs w:val="24"/>
        </w:rPr>
      </w:pPr>
      <w:r>
        <w:rPr>
          <w:b/>
          <w:sz w:val="24"/>
          <w:szCs w:val="24"/>
        </w:rPr>
        <w:t xml:space="preserve">(3) </w:t>
      </w:r>
      <w:r>
        <w:rPr>
          <w:sz w:val="24"/>
          <w:szCs w:val="24"/>
        </w:rPr>
        <w:t xml:space="preserve">Densitatea sarcinii termice </w:t>
      </w:r>
      <w:r>
        <w:rPr>
          <w:rStyle w:val="FontStyle57"/>
          <w:rFonts w:ascii="Times New Roman" w:hAnsi="Times New Roman" w:cs="Times New Roman"/>
          <w:bCs/>
          <w:spacing w:val="8"/>
          <w:sz w:val="24"/>
          <w:szCs w:val="24"/>
          <w:lang w:eastAsia="ro-RO"/>
        </w:rPr>
        <w:t xml:space="preserve">a încăperilor adiacente </w:t>
      </w:r>
      <w:r>
        <w:rPr>
          <w:sz w:val="24"/>
          <w:szCs w:val="24"/>
          <w:lang w:eastAsia="ro-RO"/>
        </w:rPr>
        <w:t xml:space="preserve">degajamentelor protejate și a tunelurilor pot genera modificarea performanțelor de </w:t>
      </w:r>
      <w:r>
        <w:rPr>
          <w:sz w:val="24"/>
          <w:szCs w:val="24"/>
        </w:rPr>
        <w:t xml:space="preserve">rezistență la foc din alineatele precedente, cu condiția ca acestea să nu fie mai mici decât cele prevăzute la alin. </w:t>
      </w:r>
      <w:r>
        <w:rPr>
          <w:b/>
          <w:bCs/>
          <w:sz w:val="24"/>
          <w:szCs w:val="24"/>
        </w:rPr>
        <w:t>(1)</w:t>
      </w:r>
      <w:r>
        <w:rPr>
          <w:sz w:val="24"/>
          <w:szCs w:val="24"/>
        </w:rPr>
        <w:t xml:space="preserve"> și </w:t>
      </w:r>
      <w:r>
        <w:rPr>
          <w:b/>
          <w:bCs/>
          <w:sz w:val="24"/>
          <w:szCs w:val="24"/>
        </w:rPr>
        <w:t>(2)</w:t>
      </w:r>
      <w:r>
        <w:rPr>
          <w:sz w:val="24"/>
          <w:szCs w:val="24"/>
        </w:rPr>
        <w:t>.</w:t>
      </w:r>
    </w:p>
    <w:p w14:paraId="37C2CA09" w14:textId="77777777" w:rsidR="001C08A5" w:rsidRDefault="00000000">
      <w:pPr>
        <w:ind w:firstLine="720"/>
        <w:jc w:val="both"/>
        <w:rPr>
          <w:sz w:val="24"/>
          <w:szCs w:val="24"/>
          <w:lang w:eastAsia="ro-RO"/>
        </w:rPr>
      </w:pPr>
      <w:r>
        <w:rPr>
          <w:b/>
          <w:sz w:val="24"/>
          <w:szCs w:val="24"/>
        </w:rPr>
        <w:t xml:space="preserve">(4) </w:t>
      </w:r>
      <w:r>
        <w:rPr>
          <w:bCs/>
          <w:sz w:val="24"/>
          <w:szCs w:val="24"/>
        </w:rPr>
        <w:t>Ușile</w:t>
      </w:r>
      <w:r>
        <w:rPr>
          <w:sz w:val="24"/>
          <w:szCs w:val="24"/>
          <w:lang w:eastAsia="ro-RO"/>
        </w:rPr>
        <w:t>din pereţii degajamentelor protejate și ale tunelurilor spre încăperi trebuie să fie rezistente la foc conform prevederilor normate şi conformate astfel incat sa nu impiedice evacuarea persoanelor.</w:t>
      </w:r>
    </w:p>
    <w:p w14:paraId="46CD8D51" w14:textId="77777777" w:rsidR="001C08A5" w:rsidRDefault="00000000">
      <w:pPr>
        <w:ind w:firstLine="720"/>
        <w:jc w:val="both"/>
        <w:rPr>
          <w:sz w:val="24"/>
          <w:szCs w:val="24"/>
        </w:rPr>
      </w:pPr>
      <w:r>
        <w:rPr>
          <w:b/>
          <w:sz w:val="24"/>
          <w:szCs w:val="24"/>
        </w:rPr>
        <w:t xml:space="preserve">(5) </w:t>
      </w:r>
      <w:r>
        <w:rPr>
          <w:sz w:val="24"/>
          <w:szCs w:val="24"/>
        </w:rPr>
        <w:t xml:space="preserve">Degajamentele protejate precum și tunelurile de evacuare </w:t>
      </w:r>
      <w:r>
        <w:rPr>
          <w:sz w:val="24"/>
          <w:szCs w:val="24"/>
          <w:lang w:eastAsia="ro-RO"/>
        </w:rPr>
        <w:t>trebuie</w:t>
      </w:r>
      <w:r>
        <w:rPr>
          <w:sz w:val="24"/>
          <w:szCs w:val="24"/>
        </w:rPr>
        <w:t xml:space="preserve"> prevăzute cu sisteme pentru evacuarea fumului şi a gazelor fierbinţi în caz de incendiu (sau prevăzute cu</w:t>
      </w:r>
      <w:r>
        <w:rPr>
          <w:sz w:val="24"/>
          <w:szCs w:val="24"/>
          <w:lang w:eastAsia="ro-RO"/>
        </w:rPr>
        <w:t xml:space="preserve"> suprapresiune </w:t>
      </w:r>
      <w:r>
        <w:rPr>
          <w:rStyle w:val="FontStyle57"/>
          <w:rFonts w:ascii="Times New Roman" w:hAnsi="Times New Roman" w:cs="Times New Roman"/>
          <w:bCs/>
          <w:spacing w:val="8"/>
          <w:sz w:val="24"/>
          <w:szCs w:val="24"/>
          <w:lang w:eastAsia="ro-RO"/>
        </w:rPr>
        <w:t xml:space="preserve">între </w:t>
      </w:r>
      <w:r>
        <w:rPr>
          <w:rStyle w:val="FontStyle57"/>
          <w:rFonts w:ascii="Times New Roman" w:hAnsi="Times New Roman" w:cs="Times New Roman"/>
          <w:b/>
          <w:spacing w:val="8"/>
          <w:sz w:val="24"/>
          <w:szCs w:val="24"/>
          <w:lang w:eastAsia="ro-RO"/>
        </w:rPr>
        <w:t>20 ÷ 80 Pa</w:t>
      </w:r>
      <w:r>
        <w:rPr>
          <w:rStyle w:val="FontStyle57"/>
          <w:rFonts w:ascii="Times New Roman" w:hAnsi="Times New Roman" w:cs="Times New Roman"/>
          <w:bCs/>
          <w:spacing w:val="8"/>
          <w:sz w:val="24"/>
          <w:szCs w:val="24"/>
          <w:lang w:eastAsia="ro-RO"/>
        </w:rPr>
        <w:t xml:space="preserve"> în funcție de specificul construcțiilor</w:t>
      </w:r>
      <w:r>
        <w:rPr>
          <w:sz w:val="24"/>
          <w:szCs w:val="24"/>
          <w:lang w:eastAsia="ro-RO"/>
        </w:rPr>
        <w:t>).</w:t>
      </w:r>
    </w:p>
    <w:p w14:paraId="56B3324B" w14:textId="77777777" w:rsidR="001C08A5" w:rsidRDefault="00000000">
      <w:pPr>
        <w:ind w:firstLine="720"/>
        <w:jc w:val="both"/>
        <w:rPr>
          <w:sz w:val="24"/>
          <w:szCs w:val="24"/>
        </w:rPr>
      </w:pPr>
      <w:r>
        <w:rPr>
          <w:b/>
          <w:sz w:val="24"/>
          <w:szCs w:val="24"/>
        </w:rPr>
        <w:t xml:space="preserve">(6) </w:t>
      </w:r>
      <w:r>
        <w:rPr>
          <w:sz w:val="24"/>
          <w:szCs w:val="24"/>
        </w:rPr>
        <w:t>Degajamentele protejate și tunelurile (protejate) de evacuare</w:t>
      </w:r>
      <w:r>
        <w:rPr>
          <w:sz w:val="24"/>
          <w:szCs w:val="24"/>
          <w:lang w:eastAsia="ro-RO"/>
        </w:rPr>
        <w:t xml:space="preserve"> nu se iau în calculul lungimii căii de evacuare.</w:t>
      </w:r>
    </w:p>
    <w:p w14:paraId="339D473B" w14:textId="77777777" w:rsidR="001C08A5" w:rsidRDefault="00000000">
      <w:pPr>
        <w:pStyle w:val="Heading4"/>
        <w:rPr>
          <w:rFonts w:cs="Times New Roman"/>
          <w:sz w:val="24"/>
          <w:szCs w:val="24"/>
        </w:rPr>
      </w:pPr>
      <w:bookmarkStart w:id="1652" w:name="_Toc25359"/>
      <w:bookmarkStart w:id="1653" w:name="_Toc31068"/>
      <w:bookmarkStart w:id="1654" w:name="_Toc162355224"/>
      <w:bookmarkStart w:id="1655" w:name="_Toc170"/>
      <w:bookmarkStart w:id="1656" w:name="_Toc24090"/>
      <w:bookmarkStart w:id="1657" w:name="_Toc17604"/>
      <w:bookmarkStart w:id="1658" w:name="_Toc15175"/>
      <w:bookmarkStart w:id="1659" w:name="_Toc30672"/>
      <w:r>
        <w:t>2.4.4. Ascensoare</w:t>
      </w:r>
      <w:bookmarkEnd w:id="1652"/>
      <w:bookmarkEnd w:id="1653"/>
      <w:bookmarkEnd w:id="1654"/>
      <w:bookmarkEnd w:id="1655"/>
      <w:bookmarkEnd w:id="1656"/>
      <w:bookmarkEnd w:id="1657"/>
      <w:bookmarkEnd w:id="1658"/>
      <w:bookmarkEnd w:id="1659"/>
    </w:p>
    <w:p w14:paraId="33C2700F" w14:textId="77777777" w:rsidR="001C08A5" w:rsidRDefault="00000000">
      <w:pPr>
        <w:pStyle w:val="Heading5"/>
        <w:rPr>
          <w:lang w:val="ro-RO"/>
        </w:rPr>
      </w:pPr>
      <w:bookmarkStart w:id="1660" w:name="_Toc31711"/>
      <w:bookmarkStart w:id="1661" w:name="_Toc17709"/>
      <w:bookmarkStart w:id="1662" w:name="_Toc11792"/>
      <w:bookmarkStart w:id="1663" w:name="_Toc162355225"/>
      <w:bookmarkStart w:id="1664" w:name="_Toc23351"/>
      <w:bookmarkStart w:id="1665" w:name="_Toc10604"/>
      <w:bookmarkStart w:id="1666" w:name="_Toc16127"/>
      <w:bookmarkStart w:id="1667" w:name="_Toc7305"/>
      <w:r>
        <w:rPr>
          <w:lang w:val="ro-RO"/>
        </w:rPr>
        <w:t>2.4.4.1. Dispoziţii generale</w:t>
      </w:r>
      <w:bookmarkEnd w:id="1660"/>
      <w:bookmarkEnd w:id="1661"/>
      <w:bookmarkEnd w:id="1662"/>
      <w:bookmarkEnd w:id="1663"/>
      <w:bookmarkEnd w:id="1664"/>
      <w:bookmarkEnd w:id="1665"/>
      <w:bookmarkEnd w:id="1666"/>
      <w:bookmarkEnd w:id="1667"/>
    </w:p>
    <w:p w14:paraId="4551D02F" w14:textId="77777777" w:rsidR="001C08A5" w:rsidRDefault="001C08A5">
      <w:pPr>
        <w:rPr>
          <w:sz w:val="24"/>
          <w:szCs w:val="24"/>
        </w:rPr>
      </w:pPr>
    </w:p>
    <w:p w14:paraId="6EAC61A7" w14:textId="77777777" w:rsidR="001C08A5" w:rsidRDefault="00000000">
      <w:pPr>
        <w:ind w:firstLine="708"/>
        <w:jc w:val="both"/>
        <w:rPr>
          <w:sz w:val="24"/>
          <w:szCs w:val="24"/>
        </w:rPr>
      </w:pPr>
      <w:r>
        <w:rPr>
          <w:b/>
          <w:sz w:val="24"/>
          <w:szCs w:val="24"/>
        </w:rPr>
        <w:t xml:space="preserve">Art. 2.4.4.1.1. </w:t>
      </w:r>
      <w:r>
        <w:rPr>
          <w:sz w:val="24"/>
          <w:szCs w:val="24"/>
        </w:rPr>
        <w:t xml:space="preserve">Ascensoarele </w:t>
      </w:r>
      <w:r>
        <w:rPr>
          <w:iCs/>
          <w:sz w:val="24"/>
          <w:szCs w:val="24"/>
        </w:rPr>
        <w:t>prevăzute pentru circulația funcțională a persoanelor</w:t>
      </w:r>
      <w:r>
        <w:rPr>
          <w:sz w:val="24"/>
          <w:szCs w:val="24"/>
        </w:rPr>
        <w:t>, de marfă, elevatoarele, monte-charge şi ascensoarele de intervenţie se realizează conform prevederilor</w:t>
      </w:r>
      <w:r>
        <w:rPr>
          <w:sz w:val="24"/>
          <w:szCs w:val="24"/>
          <w:lang w:eastAsia="th-TH" w:bidi="th-TH"/>
        </w:rPr>
        <w:t xml:space="preserve"> normativului şi legislaţiei privind stabilirea condiţiilor de introducere pe piaţă a ascensoarelor</w:t>
      </w:r>
      <w:r>
        <w:rPr>
          <w:sz w:val="24"/>
          <w:szCs w:val="24"/>
        </w:rPr>
        <w:t xml:space="preserve">.      </w:t>
      </w:r>
    </w:p>
    <w:p w14:paraId="662B47EA" w14:textId="77777777" w:rsidR="001C08A5" w:rsidRDefault="001C08A5">
      <w:pPr>
        <w:rPr>
          <w:sz w:val="24"/>
          <w:szCs w:val="24"/>
        </w:rPr>
      </w:pPr>
    </w:p>
    <w:p w14:paraId="2572CCC7" w14:textId="77777777" w:rsidR="001C08A5" w:rsidRDefault="00000000">
      <w:pPr>
        <w:jc w:val="both"/>
        <w:rPr>
          <w:sz w:val="24"/>
          <w:szCs w:val="24"/>
        </w:rPr>
      </w:pPr>
      <w:r>
        <w:rPr>
          <w:sz w:val="24"/>
          <w:szCs w:val="24"/>
        </w:rPr>
        <w:tab/>
      </w:r>
      <w:r>
        <w:rPr>
          <w:b/>
          <w:sz w:val="24"/>
          <w:szCs w:val="24"/>
        </w:rPr>
        <w:t xml:space="preserve">Art. 2.4.4.1.2. (1) </w:t>
      </w:r>
      <w:r>
        <w:rPr>
          <w:sz w:val="24"/>
          <w:szCs w:val="24"/>
        </w:rPr>
        <w:t>Ascensoarele şi în general, sistemele de transport pe verticală din  construcţii, inclusiv încăperile pentru maşinile aferente acestora, se separă de restul clădirii prin pereţi rezistenţi la foc (</w:t>
      </w:r>
      <w:r>
        <w:rPr>
          <w:b/>
          <w:sz w:val="24"/>
          <w:szCs w:val="24"/>
        </w:rPr>
        <w:t>EI</w:t>
      </w:r>
      <w:r>
        <w:rPr>
          <w:sz w:val="24"/>
          <w:szCs w:val="24"/>
        </w:rPr>
        <w:t xml:space="preserve">, după caz  </w:t>
      </w:r>
      <w:r>
        <w:rPr>
          <w:b/>
          <w:sz w:val="24"/>
          <w:szCs w:val="24"/>
        </w:rPr>
        <w:t>REI</w:t>
      </w:r>
      <w:r>
        <w:rPr>
          <w:sz w:val="24"/>
          <w:szCs w:val="24"/>
        </w:rPr>
        <w:t xml:space="preserve">) şi planşee rezistente la foc </w:t>
      </w:r>
      <w:r>
        <w:rPr>
          <w:b/>
          <w:sz w:val="24"/>
          <w:szCs w:val="24"/>
        </w:rPr>
        <w:t>(REI)</w:t>
      </w:r>
      <w:r>
        <w:rPr>
          <w:sz w:val="24"/>
          <w:szCs w:val="24"/>
        </w:rPr>
        <w:t>, corespunzătoare nivelului de stabilitate, riscului de incendiu, densităţii sarcinii termice (q) din încăperile adiacente, tipului de clădire și destinaţiei acesteia, potrivit prevederilor normativului.</w:t>
      </w:r>
    </w:p>
    <w:p w14:paraId="4026AFEE" w14:textId="77777777" w:rsidR="001C08A5" w:rsidRDefault="00000000">
      <w:pPr>
        <w:ind w:firstLine="720"/>
        <w:jc w:val="both"/>
        <w:rPr>
          <w:sz w:val="24"/>
          <w:szCs w:val="24"/>
        </w:rPr>
      </w:pPr>
      <w:r>
        <w:rPr>
          <w:b/>
          <w:sz w:val="24"/>
          <w:szCs w:val="24"/>
        </w:rPr>
        <w:t>(2)</w:t>
      </w:r>
      <w:r>
        <w:rPr>
          <w:sz w:val="24"/>
          <w:szCs w:val="24"/>
        </w:rPr>
        <w:t xml:space="preserve"> Ascensoarele </w:t>
      </w:r>
      <w:r>
        <w:rPr>
          <w:iCs/>
          <w:sz w:val="24"/>
          <w:szCs w:val="24"/>
        </w:rPr>
        <w:t xml:space="preserve">prevăzute pentru circulația funcțională a persoanelor, ascensoare </w:t>
      </w:r>
      <w:r>
        <w:rPr>
          <w:sz w:val="24"/>
          <w:szCs w:val="24"/>
        </w:rPr>
        <w:t>înglobate în case de scări închise supraterane sau subterane, cele amplasate în atriumuri, precum şi cele de acces la platforme, galerii sau pasarele deschise faţă de restul construcţiei, pot fi neseparate cu elemente rezistente la foc.</w:t>
      </w:r>
    </w:p>
    <w:p w14:paraId="27381BCC" w14:textId="77777777" w:rsidR="001C08A5" w:rsidRDefault="00000000">
      <w:pPr>
        <w:ind w:firstLine="720"/>
        <w:jc w:val="both"/>
        <w:rPr>
          <w:sz w:val="24"/>
          <w:szCs w:val="24"/>
        </w:rPr>
      </w:pPr>
      <w:r>
        <w:rPr>
          <w:b/>
          <w:sz w:val="24"/>
          <w:szCs w:val="24"/>
        </w:rPr>
        <w:t xml:space="preserve">(3) </w:t>
      </w:r>
      <w:r>
        <w:rPr>
          <w:sz w:val="24"/>
          <w:szCs w:val="24"/>
        </w:rPr>
        <w:t>Amplasarea ascensoarelor pentru materiale sau a oricărui alt sistem de transport al materialelor pe verticală, nu este admisă în casele de scări închise prevăzute pentru circulaţia funcţională și evacuarea utilizatorilor construcţiilor civile, de producţie şi/sau depozitare.</w:t>
      </w:r>
    </w:p>
    <w:p w14:paraId="2E8F2EE3" w14:textId="77777777" w:rsidR="001C08A5" w:rsidRDefault="001C08A5">
      <w:pPr>
        <w:pStyle w:val="BodyText"/>
      </w:pPr>
    </w:p>
    <w:p w14:paraId="460682C5" w14:textId="77777777" w:rsidR="001C08A5" w:rsidRDefault="00000000">
      <w:pPr>
        <w:pStyle w:val="BodyText"/>
        <w:ind w:firstLine="708"/>
        <w:rPr>
          <w:b w:val="0"/>
          <w:i w:val="0"/>
          <w:iCs/>
        </w:rPr>
      </w:pPr>
      <w:r>
        <w:rPr>
          <w:i w:val="0"/>
          <w:iCs/>
        </w:rPr>
        <w:t xml:space="preserve">Art. 2.4.4.1.3. </w:t>
      </w:r>
      <w:r>
        <w:rPr>
          <w:b w:val="0"/>
          <w:i w:val="0"/>
          <w:iCs/>
        </w:rPr>
        <w:t xml:space="preserve">Puţurile ascensoarelor, protecţia golurilor de acces şi ascensoarele prevăzute pentru circulaţia funcţională, precum și ascensoarele pentru intervenţie în caz de incendiu (de pompieri) şi cele pentru transportul persoanelor cu dizabilităţi (precum și cele </w:t>
      </w:r>
      <w:r>
        <w:rPr>
          <w:b w:val="0"/>
          <w:bCs w:val="0"/>
          <w:i w:val="0"/>
          <w:iCs/>
        </w:rPr>
        <w:t xml:space="preserve">care pot fi utilizate şi </w:t>
      </w:r>
      <w:r>
        <w:rPr>
          <w:b w:val="0"/>
          <w:bCs w:val="0"/>
          <w:i w:val="0"/>
          <w:iCs/>
        </w:rPr>
        <w:lastRenderedPageBreak/>
        <w:t>pentru evacuarea asistată a acestora în caz de incendiu</w:t>
      </w:r>
      <w:r>
        <w:rPr>
          <w:b w:val="0"/>
          <w:i w:val="0"/>
          <w:iCs/>
        </w:rPr>
        <w:t>), vor corespunde prevederilor privind performanțele specifice precizate în normativ şi în reglementările tehnice specifice.</w:t>
      </w:r>
    </w:p>
    <w:p w14:paraId="02D3A446" w14:textId="77777777" w:rsidR="001C08A5" w:rsidRDefault="001C08A5">
      <w:pPr>
        <w:pStyle w:val="BodyText"/>
      </w:pPr>
    </w:p>
    <w:p w14:paraId="0C51C9B4" w14:textId="77777777" w:rsidR="001C08A5" w:rsidRDefault="00000000">
      <w:pPr>
        <w:ind w:firstLine="708"/>
        <w:jc w:val="both"/>
        <w:rPr>
          <w:b/>
          <w:sz w:val="24"/>
          <w:szCs w:val="24"/>
        </w:rPr>
      </w:pPr>
      <w:r>
        <w:rPr>
          <w:b/>
          <w:sz w:val="24"/>
          <w:szCs w:val="24"/>
        </w:rPr>
        <w:t xml:space="preserve">Art. 2.4.4.1.4. </w:t>
      </w:r>
      <w:r>
        <w:rPr>
          <w:sz w:val="24"/>
          <w:szCs w:val="24"/>
        </w:rPr>
        <w:t xml:space="preserve">Ascensoarele </w:t>
      </w:r>
      <w:r>
        <w:rPr>
          <w:iCs/>
          <w:sz w:val="24"/>
          <w:szCs w:val="24"/>
        </w:rPr>
        <w:t>prevăzute pentru circulația funcțională a persoanelor</w:t>
      </w:r>
      <w:r>
        <w:rPr>
          <w:sz w:val="24"/>
          <w:szCs w:val="24"/>
        </w:rPr>
        <w:t>, marfă, intervenţie în caz de incendiu (de pompieri) şi pentru transportul bolnavilor cu targa ori căruciorul sau a persoanelor cu dizabilităţi/handicap, precum și elevatoarele, trebuie proiectate, construite, instalate și exploatate conform legislaţiei în vigoare, aplicabile.</w:t>
      </w:r>
    </w:p>
    <w:p w14:paraId="38B3C1AE" w14:textId="77777777" w:rsidR="001C08A5" w:rsidRDefault="001C08A5">
      <w:pPr>
        <w:rPr>
          <w:b/>
          <w:sz w:val="24"/>
          <w:szCs w:val="24"/>
        </w:rPr>
      </w:pPr>
    </w:p>
    <w:p w14:paraId="6319FF06" w14:textId="77777777" w:rsidR="001C08A5" w:rsidRDefault="00000000">
      <w:pPr>
        <w:rPr>
          <w:sz w:val="24"/>
          <w:szCs w:val="24"/>
        </w:rPr>
      </w:pPr>
      <w:r>
        <w:rPr>
          <w:b/>
          <w:sz w:val="24"/>
          <w:szCs w:val="24"/>
        </w:rPr>
        <w:t>2.4.4.2. Ascensoare pentru circulaţia funcţională, de persoane, de marfă şi alte sisteme de transport de materiale pe verticală</w:t>
      </w:r>
    </w:p>
    <w:p w14:paraId="77597D64" w14:textId="77777777" w:rsidR="001C08A5" w:rsidRDefault="001C08A5">
      <w:pPr>
        <w:rPr>
          <w:sz w:val="24"/>
          <w:szCs w:val="24"/>
        </w:rPr>
      </w:pPr>
    </w:p>
    <w:p w14:paraId="3F2C5AF7" w14:textId="77777777" w:rsidR="001C08A5" w:rsidRDefault="00000000">
      <w:pPr>
        <w:pStyle w:val="BodyText"/>
        <w:ind w:firstLine="720"/>
        <w:rPr>
          <w:b w:val="0"/>
          <w:bCs w:val="0"/>
          <w:i w:val="0"/>
          <w:iCs/>
        </w:rPr>
      </w:pPr>
      <w:r>
        <w:rPr>
          <w:i w:val="0"/>
          <w:iCs/>
        </w:rPr>
        <w:t xml:space="preserve">Art. 2.4.4.2.1. (1) </w:t>
      </w:r>
      <w:r>
        <w:rPr>
          <w:b w:val="0"/>
          <w:bCs w:val="0"/>
          <w:i w:val="0"/>
          <w:iCs/>
        </w:rPr>
        <w:t xml:space="preserve">Puţurile ascensoarelor prevăzute pentru circulația funcțională a persoanelor și în general ale sistemelor de transport pe verticală, se separă de restul construcţiei prin elemente verticale şi după caz, orizontale, clasa de reacţie la foc </w:t>
      </w:r>
      <w:r>
        <w:rPr>
          <w:i w:val="0"/>
          <w:iCs/>
        </w:rPr>
        <w:t xml:space="preserve">A1 </w:t>
      </w:r>
      <w:r>
        <w:rPr>
          <w:b w:val="0"/>
          <w:i w:val="0"/>
          <w:iCs/>
        </w:rPr>
        <w:t xml:space="preserve">sau </w:t>
      </w:r>
      <w:r>
        <w:rPr>
          <w:i w:val="0"/>
          <w:iCs/>
        </w:rPr>
        <w:t xml:space="preserve"> A2-s1d0</w:t>
      </w:r>
      <w:r>
        <w:rPr>
          <w:b w:val="0"/>
          <w:bCs w:val="0"/>
          <w:i w:val="0"/>
          <w:iCs/>
        </w:rPr>
        <w:t xml:space="preserve"> și rezistente la foc corespunzător nivelului de stabilitate la incendiu asigurat, tipului de clădire și destinaţiei, dar </w:t>
      </w:r>
      <w:r>
        <w:rPr>
          <w:b w:val="0"/>
          <w:i w:val="0"/>
          <w:iCs/>
        </w:rPr>
        <w:t>minimum</w:t>
      </w:r>
      <w:r>
        <w:rPr>
          <w:b w:val="0"/>
          <w:bCs w:val="0"/>
          <w:i w:val="0"/>
          <w:iCs/>
        </w:rPr>
        <w:t>:</w:t>
      </w:r>
    </w:p>
    <w:p w14:paraId="23AA9677" w14:textId="77777777" w:rsidR="001C08A5" w:rsidRDefault="00000000">
      <w:pPr>
        <w:ind w:left="1560"/>
        <w:jc w:val="both"/>
        <w:rPr>
          <w:sz w:val="24"/>
          <w:szCs w:val="24"/>
        </w:rPr>
      </w:pPr>
      <w:r>
        <w:rPr>
          <w:b/>
          <w:sz w:val="24"/>
          <w:szCs w:val="24"/>
        </w:rPr>
        <w:t>a)</w:t>
      </w:r>
      <w:r>
        <w:rPr>
          <w:sz w:val="24"/>
          <w:szCs w:val="24"/>
        </w:rPr>
        <w:t xml:space="preserve"> pereţi rezistenţi la foc </w:t>
      </w:r>
      <w:r>
        <w:rPr>
          <w:b/>
          <w:sz w:val="24"/>
          <w:szCs w:val="24"/>
        </w:rPr>
        <w:t>EI/REI 120</w:t>
      </w:r>
      <w:r>
        <w:rPr>
          <w:sz w:val="24"/>
          <w:szCs w:val="24"/>
        </w:rPr>
        <w:t xml:space="preserve"> şi după caz, planşee minimum </w:t>
      </w:r>
      <w:r>
        <w:rPr>
          <w:b/>
          <w:sz w:val="24"/>
          <w:szCs w:val="24"/>
        </w:rPr>
        <w:t>REI 90,</w:t>
      </w:r>
      <w:r>
        <w:rPr>
          <w:sz w:val="24"/>
          <w:szCs w:val="24"/>
        </w:rPr>
        <w:t xml:space="preserve"> în construcţiile cu nivelul de stabilitate la incendiu </w:t>
      </w:r>
      <w:r>
        <w:rPr>
          <w:b/>
          <w:sz w:val="24"/>
          <w:szCs w:val="24"/>
        </w:rPr>
        <w:t>I</w:t>
      </w:r>
      <w:r>
        <w:rPr>
          <w:sz w:val="24"/>
          <w:szCs w:val="24"/>
        </w:rPr>
        <w:t xml:space="preserve">; </w:t>
      </w:r>
    </w:p>
    <w:p w14:paraId="625B19D0" w14:textId="77777777" w:rsidR="001C08A5" w:rsidRDefault="00000000">
      <w:pPr>
        <w:ind w:left="1560"/>
        <w:jc w:val="both"/>
        <w:rPr>
          <w:sz w:val="24"/>
          <w:szCs w:val="24"/>
        </w:rPr>
      </w:pPr>
      <w:r>
        <w:rPr>
          <w:b/>
          <w:sz w:val="24"/>
          <w:szCs w:val="24"/>
        </w:rPr>
        <w:t>b)</w:t>
      </w:r>
      <w:r>
        <w:rPr>
          <w:sz w:val="24"/>
          <w:szCs w:val="24"/>
        </w:rPr>
        <w:t xml:space="preserve"> pereţi rezistenţi la foc </w:t>
      </w:r>
      <w:r>
        <w:rPr>
          <w:b/>
          <w:sz w:val="24"/>
          <w:szCs w:val="24"/>
        </w:rPr>
        <w:t>EI/REI 90</w:t>
      </w:r>
      <w:r>
        <w:rPr>
          <w:sz w:val="24"/>
          <w:szCs w:val="24"/>
        </w:rPr>
        <w:t xml:space="preserve"> și după caz, planşee minimum </w:t>
      </w:r>
      <w:r>
        <w:rPr>
          <w:b/>
          <w:sz w:val="24"/>
          <w:szCs w:val="24"/>
        </w:rPr>
        <w:t>REI 60</w:t>
      </w:r>
      <w:r>
        <w:rPr>
          <w:sz w:val="24"/>
          <w:szCs w:val="24"/>
        </w:rPr>
        <w:t xml:space="preserve">, în construcţiile cu nivelul de stabilitate la incendiu </w:t>
      </w:r>
      <w:r>
        <w:rPr>
          <w:b/>
          <w:sz w:val="24"/>
          <w:szCs w:val="24"/>
        </w:rPr>
        <w:t>II</w:t>
      </w:r>
      <w:r>
        <w:rPr>
          <w:sz w:val="24"/>
          <w:szCs w:val="24"/>
        </w:rPr>
        <w:t>;</w:t>
      </w:r>
    </w:p>
    <w:p w14:paraId="5BFA1E72" w14:textId="77777777" w:rsidR="001C08A5" w:rsidRDefault="00000000">
      <w:pPr>
        <w:ind w:left="1560"/>
        <w:jc w:val="both"/>
        <w:rPr>
          <w:b/>
          <w:sz w:val="24"/>
          <w:szCs w:val="24"/>
        </w:rPr>
      </w:pPr>
      <w:r>
        <w:rPr>
          <w:b/>
          <w:sz w:val="24"/>
          <w:szCs w:val="24"/>
        </w:rPr>
        <w:t>c)</w:t>
      </w:r>
      <w:r>
        <w:rPr>
          <w:sz w:val="24"/>
          <w:szCs w:val="24"/>
        </w:rPr>
        <w:t xml:space="preserve"> pereţi rezistenţi la foc </w:t>
      </w:r>
      <w:r>
        <w:rPr>
          <w:b/>
          <w:sz w:val="24"/>
          <w:szCs w:val="24"/>
        </w:rPr>
        <w:t>EI/REI 60</w:t>
      </w:r>
      <w:r>
        <w:rPr>
          <w:sz w:val="24"/>
          <w:szCs w:val="24"/>
        </w:rPr>
        <w:t xml:space="preserve"> și după caz, planşee minimum </w:t>
      </w:r>
      <w:r>
        <w:rPr>
          <w:b/>
          <w:sz w:val="24"/>
          <w:szCs w:val="24"/>
        </w:rPr>
        <w:t>REI 45</w:t>
      </w:r>
      <w:r>
        <w:rPr>
          <w:sz w:val="24"/>
          <w:szCs w:val="24"/>
        </w:rPr>
        <w:t xml:space="preserve">, în construcţiile cu nivelul de stabilitate la incendiu </w:t>
      </w:r>
      <w:r>
        <w:rPr>
          <w:b/>
          <w:sz w:val="24"/>
          <w:szCs w:val="24"/>
        </w:rPr>
        <w:t>III</w:t>
      </w:r>
      <w:r>
        <w:rPr>
          <w:sz w:val="24"/>
          <w:szCs w:val="24"/>
        </w:rPr>
        <w:t>;</w:t>
      </w:r>
    </w:p>
    <w:p w14:paraId="256EEC1C" w14:textId="77777777" w:rsidR="001C08A5" w:rsidRDefault="00000000">
      <w:pPr>
        <w:ind w:left="1560"/>
        <w:jc w:val="both"/>
        <w:rPr>
          <w:sz w:val="24"/>
          <w:szCs w:val="24"/>
        </w:rPr>
      </w:pPr>
      <w:r>
        <w:rPr>
          <w:b/>
          <w:sz w:val="24"/>
          <w:szCs w:val="24"/>
        </w:rPr>
        <w:t>d)</w:t>
      </w:r>
      <w:r>
        <w:rPr>
          <w:sz w:val="24"/>
          <w:szCs w:val="24"/>
        </w:rPr>
        <w:t xml:space="preserve"> pereţi rezistenţi la foc </w:t>
      </w:r>
      <w:r>
        <w:rPr>
          <w:b/>
          <w:sz w:val="24"/>
          <w:szCs w:val="24"/>
        </w:rPr>
        <w:t>EI/REI 45</w:t>
      </w:r>
      <w:r>
        <w:rPr>
          <w:sz w:val="24"/>
          <w:szCs w:val="24"/>
        </w:rPr>
        <w:t xml:space="preserve"> și după caz, planşee minimum </w:t>
      </w:r>
      <w:r>
        <w:rPr>
          <w:b/>
          <w:sz w:val="24"/>
          <w:szCs w:val="24"/>
        </w:rPr>
        <w:t>REI 30</w:t>
      </w:r>
      <w:r>
        <w:rPr>
          <w:sz w:val="24"/>
          <w:szCs w:val="24"/>
        </w:rPr>
        <w:t xml:space="preserve">, în construcţiile cu nivelul de stabilitate la incendiu </w:t>
      </w:r>
      <w:r>
        <w:rPr>
          <w:b/>
          <w:sz w:val="24"/>
          <w:szCs w:val="24"/>
        </w:rPr>
        <w:t>IV</w:t>
      </w:r>
      <w:r>
        <w:rPr>
          <w:sz w:val="24"/>
          <w:szCs w:val="24"/>
        </w:rPr>
        <w:t>;</w:t>
      </w:r>
    </w:p>
    <w:p w14:paraId="2B64A8D8" w14:textId="77777777" w:rsidR="001C08A5" w:rsidRDefault="00000000">
      <w:pPr>
        <w:ind w:left="1560"/>
        <w:jc w:val="both"/>
        <w:rPr>
          <w:sz w:val="24"/>
          <w:szCs w:val="24"/>
        </w:rPr>
      </w:pPr>
      <w:r>
        <w:rPr>
          <w:b/>
          <w:sz w:val="24"/>
          <w:szCs w:val="24"/>
        </w:rPr>
        <w:t>e)</w:t>
      </w:r>
      <w:r>
        <w:rPr>
          <w:sz w:val="24"/>
          <w:szCs w:val="24"/>
        </w:rPr>
        <w:t xml:space="preserve"> pereţi rezistenţi la foc </w:t>
      </w:r>
      <w:r>
        <w:rPr>
          <w:b/>
          <w:sz w:val="24"/>
          <w:szCs w:val="24"/>
        </w:rPr>
        <w:t>EI 30</w:t>
      </w:r>
      <w:r>
        <w:rPr>
          <w:sz w:val="24"/>
          <w:szCs w:val="24"/>
        </w:rPr>
        <w:t xml:space="preserve"> și după caz, planşee minimum </w:t>
      </w:r>
      <w:r>
        <w:rPr>
          <w:b/>
          <w:sz w:val="24"/>
          <w:szCs w:val="24"/>
        </w:rPr>
        <w:t>REI 15</w:t>
      </w:r>
      <w:r>
        <w:rPr>
          <w:sz w:val="24"/>
          <w:szCs w:val="24"/>
        </w:rPr>
        <w:t xml:space="preserve">, în construcţiile cu nivelul de stabilitate la incendiu </w:t>
      </w:r>
      <w:r>
        <w:rPr>
          <w:b/>
          <w:sz w:val="24"/>
          <w:szCs w:val="24"/>
        </w:rPr>
        <w:t xml:space="preserve">V </w:t>
      </w:r>
      <w:r>
        <w:rPr>
          <w:bCs/>
          <w:sz w:val="24"/>
          <w:szCs w:val="24"/>
        </w:rPr>
        <w:t>(acolo unde acestea sunt admise)</w:t>
      </w:r>
      <w:r>
        <w:rPr>
          <w:sz w:val="24"/>
          <w:szCs w:val="24"/>
        </w:rPr>
        <w:t>.</w:t>
      </w:r>
    </w:p>
    <w:p w14:paraId="4FAE2290" w14:textId="77777777" w:rsidR="001C08A5" w:rsidRDefault="00000000">
      <w:pPr>
        <w:pStyle w:val="BodyText"/>
        <w:ind w:firstLine="720"/>
        <w:rPr>
          <w:b w:val="0"/>
          <w:i w:val="0"/>
          <w:iCs/>
        </w:rPr>
      </w:pPr>
      <w:r>
        <w:rPr>
          <w:i w:val="0"/>
          <w:iCs/>
        </w:rPr>
        <w:t xml:space="preserve">(2) </w:t>
      </w:r>
      <w:r>
        <w:rPr>
          <w:b w:val="0"/>
          <w:bCs w:val="0"/>
          <w:i w:val="0"/>
          <w:iCs/>
        </w:rPr>
        <w:t xml:space="preserve">La clădirile înalte și foarte înalte precum și la funcțiuni specifice se respectă prevederile privind performanțele specifice </w:t>
      </w:r>
      <w:r>
        <w:rPr>
          <w:b w:val="0"/>
          <w:i w:val="0"/>
          <w:iCs/>
        </w:rPr>
        <w:t>separării puţurilor pentru ascensoare faţă de restul construcţiei.</w:t>
      </w:r>
    </w:p>
    <w:p w14:paraId="6670BBB6" w14:textId="77777777" w:rsidR="001C08A5" w:rsidRDefault="00000000">
      <w:pPr>
        <w:pStyle w:val="BodyText"/>
        <w:ind w:firstLine="720"/>
        <w:rPr>
          <w:bCs w:val="0"/>
          <w:i w:val="0"/>
          <w:iCs/>
        </w:rPr>
      </w:pPr>
      <w:r>
        <w:rPr>
          <w:bCs w:val="0"/>
          <w:i w:val="0"/>
          <w:iCs/>
        </w:rPr>
        <w:t>(3)</w:t>
      </w:r>
      <w:r>
        <w:rPr>
          <w:b w:val="0"/>
          <w:i w:val="0"/>
          <w:iCs/>
        </w:rPr>
        <w:t xml:space="preserve"> Ușile stațiilor </w:t>
      </w:r>
      <w:r>
        <w:rPr>
          <w:b w:val="0"/>
          <w:bCs w:val="0"/>
          <w:i w:val="0"/>
          <w:iCs/>
        </w:rPr>
        <w:t>ascensoarelor prevăzute pentru circulația funcțională a persoanelor şi în general ale sistemelor de transport pe verticală</w:t>
      </w:r>
      <w:r>
        <w:rPr>
          <w:b w:val="0"/>
          <w:i w:val="0"/>
          <w:iCs/>
        </w:rPr>
        <w:t xml:space="preserve"> care debușează în spații open space (acolo unde acestea sunt admise), vor avea caracteristicile de performanță ale ușilor conformate în acord cu </w:t>
      </w:r>
      <w:r>
        <w:rPr>
          <w:i w:val="0"/>
          <w:iCs/>
        </w:rPr>
        <w:t xml:space="preserve">Art. 2.4.4.2.5. </w:t>
      </w:r>
      <w:r>
        <w:rPr>
          <w:b w:val="0"/>
          <w:bCs w:val="0"/>
          <w:i w:val="0"/>
          <w:iCs/>
        </w:rPr>
        <w:t xml:space="preserve">pentru ușile stațiilor ascensoarelor prevăzute pentru circulația funcțională a persoanelor și </w:t>
      </w:r>
      <w:r>
        <w:rPr>
          <w:i w:val="0"/>
          <w:iCs/>
        </w:rPr>
        <w:t xml:space="preserve">alin. (7) </w:t>
      </w:r>
      <w:r>
        <w:rPr>
          <w:b w:val="0"/>
          <w:bCs w:val="0"/>
          <w:i w:val="0"/>
          <w:iCs/>
        </w:rPr>
        <w:t>pentru ușile stațiilor ascensoarelor mici de materiale (tip monte-charge), electrice sau hidraulice</w:t>
      </w:r>
      <w:r>
        <w:rPr>
          <w:b w:val="0"/>
          <w:i w:val="0"/>
          <w:iCs/>
        </w:rPr>
        <w:t>. La clădirile înalte, foarte înalte și la cele cu săli aglomerate se respectă dispozițiile specifice.</w:t>
      </w:r>
    </w:p>
    <w:p w14:paraId="0DDE2750" w14:textId="77777777" w:rsidR="001C08A5" w:rsidRDefault="00000000">
      <w:pPr>
        <w:pStyle w:val="BodyText"/>
        <w:ind w:firstLine="720"/>
        <w:rPr>
          <w:b w:val="0"/>
          <w:i w:val="0"/>
          <w:iCs/>
        </w:rPr>
      </w:pPr>
      <w:r>
        <w:rPr>
          <w:bCs w:val="0"/>
          <w:i w:val="0"/>
          <w:iCs/>
        </w:rPr>
        <w:t>(4)</w:t>
      </w:r>
      <w:r>
        <w:rPr>
          <w:b w:val="0"/>
          <w:i w:val="0"/>
          <w:iCs/>
        </w:rPr>
        <w:t xml:space="preserve"> Dacă cel puțin o stație a </w:t>
      </w:r>
      <w:r>
        <w:rPr>
          <w:b w:val="0"/>
          <w:bCs w:val="0"/>
          <w:i w:val="0"/>
          <w:iCs/>
        </w:rPr>
        <w:t>ascensoarelor şi în general a sistemelor de transport pe verticală</w:t>
      </w:r>
      <w:r>
        <w:rPr>
          <w:b w:val="0"/>
          <w:i w:val="0"/>
          <w:iCs/>
        </w:rPr>
        <w:t xml:space="preserve"> debușează în spații neprotejate de fum (cu excepția holurilor sau a coridoarelor prevăzute cu pereți rezistenți la foc, a degajamentelor/ tunelurilor protejate, etc.) care au caracteristici de performanță mai mari ale ușilor încăperilor sau caracteristici de performanță mai mari ale pereților (generate de funcțiune sau densitate de sarcină termică), ascensoarele se vor conforma (cel puțin pe nivelul respectiv, în funcție de situație) în acord cu acele condiții.</w:t>
      </w:r>
    </w:p>
    <w:p w14:paraId="1E96D4A6" w14:textId="77777777" w:rsidR="001C08A5" w:rsidRDefault="00000000">
      <w:pPr>
        <w:pStyle w:val="BodyText"/>
        <w:ind w:firstLine="720"/>
        <w:rPr>
          <w:b w:val="0"/>
          <w:i w:val="0"/>
          <w:iCs/>
        </w:rPr>
      </w:pPr>
      <w:r>
        <w:rPr>
          <w:bCs w:val="0"/>
          <w:i w:val="0"/>
          <w:iCs/>
        </w:rPr>
        <w:t>(5)</w:t>
      </w:r>
      <w:r>
        <w:rPr>
          <w:b w:val="0"/>
          <w:i w:val="0"/>
          <w:iCs/>
        </w:rPr>
        <w:t xml:space="preserve"> Ca soluție alternativă, în situațiile în care nu este necesară asigurarea evacuării fumului şi a gazelor fierbinţi în caz de incendiu a spațiului în care ușile prevăzute la alin. </w:t>
      </w:r>
      <w:r>
        <w:rPr>
          <w:bCs w:val="0"/>
          <w:i w:val="0"/>
          <w:iCs/>
        </w:rPr>
        <w:t>(3)</w:t>
      </w:r>
      <w:r>
        <w:rPr>
          <w:b w:val="0"/>
          <w:i w:val="0"/>
          <w:iCs/>
        </w:rPr>
        <w:t xml:space="preserve"> și </w:t>
      </w:r>
      <w:r>
        <w:rPr>
          <w:bCs w:val="0"/>
          <w:i w:val="0"/>
          <w:iCs/>
        </w:rPr>
        <w:t>(4)</w:t>
      </w:r>
      <w:r>
        <w:rPr>
          <w:b w:val="0"/>
          <w:i w:val="0"/>
          <w:iCs/>
        </w:rPr>
        <w:t xml:space="preserve"> debușează (în conformitate cu prevederile normate), se poate prevedea un sas (la intrarea în ascensorul de persoane) a cărui ușă către aceste spații să transfere caracteristicile de performanță descrise la alin. </w:t>
      </w:r>
      <w:r>
        <w:rPr>
          <w:bCs w:val="0"/>
          <w:i w:val="0"/>
          <w:iCs/>
        </w:rPr>
        <w:t>(3)</w:t>
      </w:r>
      <w:r>
        <w:rPr>
          <w:b w:val="0"/>
          <w:i w:val="0"/>
          <w:iCs/>
        </w:rPr>
        <w:t xml:space="preserve"> și </w:t>
      </w:r>
      <w:r>
        <w:rPr>
          <w:bCs w:val="0"/>
          <w:i w:val="0"/>
          <w:iCs/>
        </w:rPr>
        <w:t>(4)</w:t>
      </w:r>
      <w:r>
        <w:rPr>
          <w:b w:val="0"/>
          <w:i w:val="0"/>
          <w:iCs/>
        </w:rPr>
        <w:t xml:space="preserve">. În condițiile în care este necesară asigurarea evacuării fumului şi a gazelor fierbinţi în caz de incendiu a spațiului în care ușile prevăzute la alin. </w:t>
      </w:r>
      <w:r>
        <w:rPr>
          <w:bCs w:val="0"/>
          <w:i w:val="0"/>
          <w:iCs/>
        </w:rPr>
        <w:t>(3)</w:t>
      </w:r>
      <w:r>
        <w:rPr>
          <w:b w:val="0"/>
          <w:i w:val="0"/>
          <w:iCs/>
        </w:rPr>
        <w:t xml:space="preserve"> și</w:t>
      </w:r>
      <w:r>
        <w:rPr>
          <w:bCs w:val="0"/>
          <w:i w:val="0"/>
          <w:iCs/>
        </w:rPr>
        <w:t xml:space="preserve"> (4)</w:t>
      </w:r>
      <w:r>
        <w:rPr>
          <w:b w:val="0"/>
          <w:i w:val="0"/>
          <w:iCs/>
        </w:rPr>
        <w:t xml:space="preserve"> debușează (în conformitate cu prevederile normate), se va prevedea încăpere tampon protejată.</w:t>
      </w:r>
    </w:p>
    <w:p w14:paraId="1B689AB5" w14:textId="77777777" w:rsidR="001C08A5" w:rsidRDefault="00000000">
      <w:pPr>
        <w:pStyle w:val="BodyText"/>
        <w:ind w:firstLine="720"/>
        <w:rPr>
          <w:b w:val="0"/>
          <w:bCs w:val="0"/>
          <w:i w:val="0"/>
          <w:iCs/>
        </w:rPr>
      </w:pPr>
      <w:r>
        <w:rPr>
          <w:i w:val="0"/>
          <w:iCs/>
        </w:rPr>
        <w:t>(6)</w:t>
      </w:r>
      <w:r>
        <w:rPr>
          <w:b w:val="0"/>
          <w:bCs w:val="0"/>
          <w:i w:val="0"/>
          <w:iCs/>
        </w:rPr>
        <w:t xml:space="preserve"> Ascensoarele mici de materiale (tip monte-charge), electrice sau hidraulice, se separă cu pereţi şi planşee, după caz, rezistenţi la foc conform </w:t>
      </w:r>
      <w:r>
        <w:rPr>
          <w:bCs w:val="0"/>
          <w:i w:val="0"/>
          <w:iCs/>
        </w:rPr>
        <w:t>alin. (1)</w:t>
      </w:r>
      <w:r>
        <w:rPr>
          <w:b w:val="0"/>
          <w:bCs w:val="0"/>
          <w:i w:val="0"/>
          <w:iCs/>
        </w:rPr>
        <w:t>.</w:t>
      </w:r>
    </w:p>
    <w:p w14:paraId="1703C04A" w14:textId="77777777" w:rsidR="001C08A5" w:rsidRDefault="00000000">
      <w:pPr>
        <w:pStyle w:val="BodyText"/>
        <w:widowControl w:val="0"/>
        <w:ind w:firstLine="708"/>
        <w:rPr>
          <w:b w:val="0"/>
          <w:bCs w:val="0"/>
          <w:i w:val="0"/>
          <w:iCs/>
        </w:rPr>
      </w:pPr>
      <w:r>
        <w:rPr>
          <w:i w:val="0"/>
          <w:iCs/>
        </w:rPr>
        <w:tab/>
        <w:t xml:space="preserve">(7) </w:t>
      </w:r>
      <w:r>
        <w:rPr>
          <w:b w:val="0"/>
          <w:bCs w:val="0"/>
          <w:i w:val="0"/>
          <w:iCs/>
        </w:rPr>
        <w:t>Golurile de acces la ascensoarele mici de materiale (tip monte-charge), electrice sau hidraulice, care debușează în holuri/coridoare se protejează minimum:</w:t>
      </w:r>
    </w:p>
    <w:p w14:paraId="05F482A5" w14:textId="77777777" w:rsidR="001C08A5" w:rsidRDefault="00000000">
      <w:pPr>
        <w:widowControl w:val="0"/>
        <w:ind w:firstLine="720"/>
        <w:jc w:val="both"/>
        <w:rPr>
          <w:iCs/>
          <w:sz w:val="24"/>
          <w:szCs w:val="24"/>
        </w:rPr>
      </w:pPr>
      <w:r>
        <w:rPr>
          <w:b/>
          <w:iCs/>
          <w:sz w:val="24"/>
          <w:szCs w:val="24"/>
        </w:rPr>
        <w:t xml:space="preserve">a) </w:t>
      </w:r>
      <w:r>
        <w:rPr>
          <w:iCs/>
          <w:sz w:val="24"/>
          <w:szCs w:val="24"/>
        </w:rPr>
        <w:t xml:space="preserve">în construcţiile cu nivelul de stabilitate la incendiu </w:t>
      </w:r>
      <w:r>
        <w:rPr>
          <w:b/>
          <w:iCs/>
          <w:sz w:val="24"/>
          <w:szCs w:val="24"/>
        </w:rPr>
        <w:t>I</w:t>
      </w:r>
      <w:r>
        <w:rPr>
          <w:iCs/>
          <w:sz w:val="24"/>
          <w:szCs w:val="24"/>
        </w:rPr>
        <w:t xml:space="preserve">; </w:t>
      </w:r>
    </w:p>
    <w:p w14:paraId="1044AA6B" w14:textId="77777777" w:rsidR="001C08A5" w:rsidRDefault="00000000">
      <w:pPr>
        <w:widowControl w:val="0"/>
        <w:ind w:left="1440" w:firstLine="720"/>
        <w:jc w:val="both"/>
        <w:rPr>
          <w:b/>
          <w:iCs/>
          <w:sz w:val="24"/>
          <w:szCs w:val="24"/>
        </w:rPr>
      </w:pPr>
      <w:r>
        <w:rPr>
          <w:iCs/>
          <w:sz w:val="24"/>
          <w:szCs w:val="24"/>
        </w:rPr>
        <w:t xml:space="preserve">- uşi de palier (ale ascensoarelor) rezistente la foc </w:t>
      </w:r>
      <w:r>
        <w:rPr>
          <w:b/>
          <w:iCs/>
          <w:sz w:val="24"/>
          <w:szCs w:val="24"/>
        </w:rPr>
        <w:t>EI 60</w:t>
      </w:r>
      <w:r>
        <w:rPr>
          <w:bCs/>
          <w:iCs/>
          <w:sz w:val="24"/>
          <w:szCs w:val="24"/>
        </w:rPr>
        <w:t>;</w:t>
      </w:r>
    </w:p>
    <w:p w14:paraId="354A805F" w14:textId="77777777" w:rsidR="001C08A5" w:rsidRDefault="00000000">
      <w:pPr>
        <w:widowControl w:val="0"/>
        <w:ind w:firstLine="720"/>
        <w:jc w:val="both"/>
        <w:rPr>
          <w:iCs/>
          <w:sz w:val="24"/>
          <w:szCs w:val="24"/>
        </w:rPr>
      </w:pPr>
      <w:r>
        <w:rPr>
          <w:b/>
          <w:iCs/>
          <w:sz w:val="24"/>
          <w:szCs w:val="24"/>
        </w:rPr>
        <w:lastRenderedPageBreak/>
        <w:t xml:space="preserve">b) </w:t>
      </w:r>
      <w:r>
        <w:rPr>
          <w:iCs/>
          <w:sz w:val="24"/>
          <w:szCs w:val="24"/>
        </w:rPr>
        <w:t xml:space="preserve">în construcţiile cu nivelul de stabilitate la incendiu </w:t>
      </w:r>
      <w:r>
        <w:rPr>
          <w:b/>
          <w:iCs/>
          <w:sz w:val="24"/>
          <w:szCs w:val="24"/>
        </w:rPr>
        <w:t>II</w:t>
      </w:r>
      <w:r>
        <w:rPr>
          <w:iCs/>
          <w:sz w:val="24"/>
          <w:szCs w:val="24"/>
        </w:rPr>
        <w:t xml:space="preserve">; </w:t>
      </w:r>
    </w:p>
    <w:p w14:paraId="062B8A84" w14:textId="77777777" w:rsidR="001C08A5" w:rsidRDefault="00000000">
      <w:pPr>
        <w:widowControl w:val="0"/>
        <w:ind w:left="1440" w:firstLine="720"/>
        <w:jc w:val="both"/>
        <w:rPr>
          <w:b/>
          <w:iCs/>
          <w:sz w:val="24"/>
          <w:szCs w:val="24"/>
        </w:rPr>
      </w:pPr>
      <w:r>
        <w:rPr>
          <w:iCs/>
          <w:sz w:val="24"/>
          <w:szCs w:val="24"/>
        </w:rPr>
        <w:t xml:space="preserve">- uşi de palier (ale ascensoarelor) rezistente la foc </w:t>
      </w:r>
      <w:r>
        <w:rPr>
          <w:b/>
          <w:iCs/>
          <w:sz w:val="24"/>
          <w:szCs w:val="24"/>
        </w:rPr>
        <w:t>EI 45</w:t>
      </w:r>
      <w:r>
        <w:rPr>
          <w:bCs/>
          <w:iCs/>
          <w:sz w:val="24"/>
          <w:szCs w:val="24"/>
        </w:rPr>
        <w:t>;</w:t>
      </w:r>
    </w:p>
    <w:p w14:paraId="4F6DA0CD" w14:textId="77777777" w:rsidR="001C08A5" w:rsidRDefault="00000000">
      <w:pPr>
        <w:widowControl w:val="0"/>
        <w:numPr>
          <w:ilvl w:val="255"/>
          <w:numId w:val="0"/>
        </w:numPr>
        <w:ind w:firstLine="720"/>
        <w:jc w:val="both"/>
        <w:rPr>
          <w:iCs/>
          <w:sz w:val="24"/>
          <w:szCs w:val="24"/>
        </w:rPr>
      </w:pPr>
      <w:r>
        <w:rPr>
          <w:b/>
          <w:bCs/>
          <w:iCs/>
          <w:sz w:val="24"/>
          <w:szCs w:val="24"/>
        </w:rPr>
        <w:t>c)</w:t>
      </w:r>
      <w:r>
        <w:rPr>
          <w:iCs/>
          <w:sz w:val="24"/>
          <w:szCs w:val="24"/>
        </w:rPr>
        <w:t xml:space="preserve"> în construcţiile cu nivelul de stabilitate la incendiu </w:t>
      </w:r>
      <w:r>
        <w:rPr>
          <w:b/>
          <w:iCs/>
          <w:sz w:val="24"/>
          <w:szCs w:val="24"/>
        </w:rPr>
        <w:t>III</w:t>
      </w:r>
      <w:r>
        <w:rPr>
          <w:iCs/>
          <w:sz w:val="24"/>
          <w:szCs w:val="24"/>
        </w:rPr>
        <w:t>;</w:t>
      </w:r>
    </w:p>
    <w:p w14:paraId="3BBEB0D0" w14:textId="77777777" w:rsidR="001C08A5" w:rsidRDefault="00000000">
      <w:pPr>
        <w:widowControl w:val="0"/>
        <w:ind w:left="1440" w:firstLine="720"/>
        <w:jc w:val="both"/>
        <w:rPr>
          <w:b/>
          <w:iCs/>
          <w:sz w:val="24"/>
          <w:szCs w:val="24"/>
        </w:rPr>
      </w:pPr>
      <w:r>
        <w:rPr>
          <w:iCs/>
          <w:sz w:val="24"/>
          <w:szCs w:val="24"/>
        </w:rPr>
        <w:t xml:space="preserve">- uşi de palier (ale ascensoarelor) rezistente la foc minimum </w:t>
      </w:r>
      <w:r>
        <w:rPr>
          <w:b/>
          <w:iCs/>
          <w:sz w:val="24"/>
          <w:szCs w:val="24"/>
        </w:rPr>
        <w:t>EI 30</w:t>
      </w:r>
      <w:r>
        <w:rPr>
          <w:bCs/>
          <w:iCs/>
          <w:sz w:val="24"/>
          <w:szCs w:val="24"/>
        </w:rPr>
        <w:t>;</w:t>
      </w:r>
    </w:p>
    <w:p w14:paraId="1D91FB53" w14:textId="77777777" w:rsidR="001C08A5" w:rsidRDefault="00000000">
      <w:pPr>
        <w:widowControl w:val="0"/>
        <w:numPr>
          <w:ilvl w:val="255"/>
          <w:numId w:val="0"/>
        </w:numPr>
        <w:ind w:firstLine="720"/>
        <w:jc w:val="both"/>
        <w:rPr>
          <w:iCs/>
          <w:sz w:val="24"/>
          <w:szCs w:val="24"/>
        </w:rPr>
      </w:pPr>
      <w:r>
        <w:rPr>
          <w:b/>
          <w:bCs/>
          <w:iCs/>
          <w:sz w:val="24"/>
          <w:szCs w:val="24"/>
        </w:rPr>
        <w:t xml:space="preserve">d) </w:t>
      </w:r>
      <w:r>
        <w:rPr>
          <w:iCs/>
          <w:sz w:val="24"/>
          <w:szCs w:val="24"/>
        </w:rPr>
        <w:t xml:space="preserve">în construcţiile cu nivelul de stabilitate la incendiu </w:t>
      </w:r>
      <w:r>
        <w:rPr>
          <w:b/>
          <w:iCs/>
          <w:sz w:val="24"/>
          <w:szCs w:val="24"/>
        </w:rPr>
        <w:t>IV</w:t>
      </w:r>
      <w:r>
        <w:rPr>
          <w:iCs/>
          <w:sz w:val="24"/>
          <w:szCs w:val="24"/>
        </w:rPr>
        <w:t>;</w:t>
      </w:r>
    </w:p>
    <w:p w14:paraId="046357E1" w14:textId="77777777" w:rsidR="001C08A5" w:rsidRDefault="00000000">
      <w:pPr>
        <w:widowControl w:val="0"/>
        <w:ind w:left="1440" w:firstLine="720"/>
        <w:jc w:val="both"/>
        <w:rPr>
          <w:b/>
          <w:iCs/>
          <w:sz w:val="24"/>
          <w:szCs w:val="24"/>
        </w:rPr>
      </w:pPr>
      <w:r>
        <w:rPr>
          <w:iCs/>
          <w:sz w:val="24"/>
          <w:szCs w:val="24"/>
        </w:rPr>
        <w:t xml:space="preserve">- uşi de palier (ale ascensoarelor) rezistente la foc </w:t>
      </w:r>
      <w:r>
        <w:rPr>
          <w:b/>
          <w:iCs/>
          <w:sz w:val="24"/>
          <w:szCs w:val="24"/>
        </w:rPr>
        <w:t>EI 20</w:t>
      </w:r>
      <w:r>
        <w:rPr>
          <w:bCs/>
          <w:iCs/>
          <w:sz w:val="24"/>
          <w:szCs w:val="24"/>
        </w:rPr>
        <w:t>;</w:t>
      </w:r>
    </w:p>
    <w:p w14:paraId="722EF31B" w14:textId="77777777" w:rsidR="001C08A5" w:rsidRDefault="00000000">
      <w:pPr>
        <w:widowControl w:val="0"/>
        <w:ind w:firstLine="720"/>
        <w:jc w:val="both"/>
        <w:rPr>
          <w:iCs/>
          <w:sz w:val="24"/>
          <w:szCs w:val="24"/>
        </w:rPr>
      </w:pPr>
      <w:r>
        <w:rPr>
          <w:b/>
          <w:bCs/>
          <w:iCs/>
          <w:sz w:val="24"/>
          <w:szCs w:val="24"/>
        </w:rPr>
        <w:t xml:space="preserve">e) </w:t>
      </w:r>
      <w:r>
        <w:rPr>
          <w:iCs/>
          <w:sz w:val="24"/>
          <w:szCs w:val="24"/>
        </w:rPr>
        <w:t xml:space="preserve">în construcţiile cu nivelul de stabilitate la incendiu </w:t>
      </w:r>
      <w:r>
        <w:rPr>
          <w:b/>
          <w:iCs/>
          <w:sz w:val="24"/>
          <w:szCs w:val="24"/>
        </w:rPr>
        <w:t xml:space="preserve">V </w:t>
      </w:r>
      <w:r>
        <w:rPr>
          <w:bCs/>
          <w:iCs/>
          <w:sz w:val="24"/>
          <w:szCs w:val="24"/>
        </w:rPr>
        <w:t>(acolo unde normativul permite)</w:t>
      </w:r>
      <w:r>
        <w:rPr>
          <w:iCs/>
          <w:sz w:val="24"/>
          <w:szCs w:val="24"/>
        </w:rPr>
        <w:t>;</w:t>
      </w:r>
    </w:p>
    <w:p w14:paraId="0E313EA2" w14:textId="77777777" w:rsidR="001C08A5" w:rsidRDefault="00000000">
      <w:pPr>
        <w:widowControl w:val="0"/>
        <w:ind w:left="1440" w:firstLine="720"/>
        <w:jc w:val="both"/>
        <w:rPr>
          <w:b/>
          <w:iCs/>
          <w:sz w:val="24"/>
          <w:szCs w:val="24"/>
        </w:rPr>
      </w:pPr>
      <w:r>
        <w:rPr>
          <w:iCs/>
          <w:sz w:val="24"/>
          <w:szCs w:val="24"/>
        </w:rPr>
        <w:t xml:space="preserve">- uşi de palier (ale ascensoarelor) rezistente la foc </w:t>
      </w:r>
      <w:r>
        <w:rPr>
          <w:b/>
          <w:iCs/>
          <w:sz w:val="24"/>
          <w:szCs w:val="24"/>
        </w:rPr>
        <w:t>EI 15</w:t>
      </w:r>
      <w:r>
        <w:rPr>
          <w:bCs/>
          <w:iCs/>
          <w:sz w:val="24"/>
          <w:szCs w:val="24"/>
        </w:rPr>
        <w:t>;</w:t>
      </w:r>
    </w:p>
    <w:p w14:paraId="123C8F04" w14:textId="77777777" w:rsidR="001C08A5" w:rsidRDefault="00000000">
      <w:pPr>
        <w:widowControl w:val="0"/>
        <w:ind w:firstLine="720"/>
        <w:jc w:val="both"/>
        <w:rPr>
          <w:sz w:val="24"/>
          <w:szCs w:val="24"/>
        </w:rPr>
      </w:pPr>
      <w:r>
        <w:rPr>
          <w:b/>
          <w:bCs/>
          <w:sz w:val="24"/>
          <w:szCs w:val="24"/>
        </w:rPr>
        <w:t>(8)</w:t>
      </w:r>
      <w:r>
        <w:rPr>
          <w:sz w:val="24"/>
          <w:szCs w:val="24"/>
        </w:rPr>
        <w:t xml:space="preserve"> Dacă cel puțin o stație debușează într-un spațiu care necesită uși cu caracteristici de performanță privind rezistența la foc mai mari (generate de funcțiune sau densitate de sarcină termică), golurile de acces la ascensoarele mici de materiale (tip monte-charge), electrice sau hidraulice se vor conforma (cel puțin pe nivelul respectiv, în funcție de situație) cu uși în acord cu acele condiții.</w:t>
      </w:r>
    </w:p>
    <w:p w14:paraId="38474ED7" w14:textId="77777777" w:rsidR="001C08A5" w:rsidRDefault="00000000">
      <w:pPr>
        <w:ind w:firstLine="720"/>
        <w:jc w:val="both"/>
        <w:rPr>
          <w:sz w:val="24"/>
          <w:szCs w:val="24"/>
        </w:rPr>
      </w:pPr>
      <w:r>
        <w:rPr>
          <w:rFonts w:eastAsia="Arial"/>
          <w:b/>
          <w:bCs/>
          <w:sz w:val="24"/>
          <w:szCs w:val="24"/>
        </w:rPr>
        <w:t>(9)</w:t>
      </w:r>
      <w:r>
        <w:rPr>
          <w:rFonts w:eastAsia="Arial"/>
          <w:sz w:val="24"/>
          <w:szCs w:val="24"/>
        </w:rPr>
        <w:t xml:space="preserve"> Dacă </w:t>
      </w:r>
      <w:r>
        <w:rPr>
          <w:iCs/>
          <w:sz w:val="24"/>
          <w:szCs w:val="24"/>
        </w:rPr>
        <w:t>ascensoarele mici de materiale (tip monte-charge), electrice sau hidraulice</w:t>
      </w:r>
      <w:r>
        <w:rPr>
          <w:rFonts w:eastAsia="Arial"/>
          <w:sz w:val="24"/>
          <w:szCs w:val="24"/>
        </w:rPr>
        <w:t xml:space="preserve"> au cabina cu două accese, toate </w:t>
      </w:r>
      <w:r>
        <w:rPr>
          <w:iCs/>
          <w:sz w:val="24"/>
          <w:szCs w:val="24"/>
        </w:rPr>
        <w:t xml:space="preserve">golurile de acces </w:t>
      </w:r>
      <w:r>
        <w:rPr>
          <w:rFonts w:eastAsia="Arial"/>
          <w:sz w:val="24"/>
          <w:szCs w:val="24"/>
        </w:rPr>
        <w:t xml:space="preserve">prevăzute trebuie să îndeplinească condițiile de la </w:t>
      </w:r>
      <w:r>
        <w:rPr>
          <w:rFonts w:eastAsia="Arial"/>
          <w:b/>
          <w:bCs/>
          <w:sz w:val="24"/>
          <w:szCs w:val="24"/>
        </w:rPr>
        <w:t>alin. (7)</w:t>
      </w:r>
      <w:r>
        <w:rPr>
          <w:b/>
          <w:sz w:val="24"/>
          <w:szCs w:val="24"/>
        </w:rPr>
        <w:t>.</w:t>
      </w:r>
    </w:p>
    <w:p w14:paraId="22A86566" w14:textId="77777777" w:rsidR="001C08A5" w:rsidRDefault="00000000">
      <w:pPr>
        <w:pStyle w:val="BodyText"/>
        <w:ind w:firstLine="720"/>
        <w:rPr>
          <w:b w:val="0"/>
          <w:bCs w:val="0"/>
          <w:i w:val="0"/>
          <w:iCs/>
        </w:rPr>
      </w:pPr>
      <w:r>
        <w:rPr>
          <w:i w:val="0"/>
          <w:iCs/>
        </w:rPr>
        <w:t xml:space="preserve">(10) </w:t>
      </w:r>
      <w:r>
        <w:rPr>
          <w:b w:val="0"/>
          <w:bCs w:val="0"/>
          <w:i w:val="0"/>
          <w:iCs/>
        </w:rPr>
        <w:t xml:space="preserve">De la prevederile </w:t>
      </w:r>
      <w:r>
        <w:rPr>
          <w:b w:val="0"/>
          <w:i w:val="0"/>
          <w:iCs/>
        </w:rPr>
        <w:t>alin.</w:t>
      </w:r>
      <w:r>
        <w:rPr>
          <w:i w:val="0"/>
          <w:iCs/>
        </w:rPr>
        <w:t>(1)</w:t>
      </w:r>
      <w:r>
        <w:rPr>
          <w:b w:val="0"/>
          <w:i w:val="0"/>
          <w:iCs/>
        </w:rPr>
        <w:t>,</w:t>
      </w:r>
      <w:r>
        <w:rPr>
          <w:b w:val="0"/>
          <w:bCs w:val="0"/>
          <w:i w:val="0"/>
          <w:iCs/>
        </w:rPr>
        <w:t xml:space="preserve"> sunt exceptate ascensoarele panoramice. Ușile de palier ale ascensoarelor panoramice, montate pe faţadele clădirilor, trebuie să fie etanşe la foc </w:t>
      </w:r>
      <w:r>
        <w:rPr>
          <w:bCs w:val="0"/>
          <w:i w:val="0"/>
          <w:iCs/>
        </w:rPr>
        <w:t xml:space="preserve">E 30 și </w:t>
      </w:r>
      <w:r>
        <w:rPr>
          <w:b w:val="0"/>
          <w:bCs w:val="0"/>
          <w:i w:val="0"/>
          <w:iCs/>
        </w:rPr>
        <w:t>se iau măsuri de preîntâmpinare a propagării incendiului pe faţadă.</w:t>
      </w:r>
    </w:p>
    <w:p w14:paraId="3146C4FC" w14:textId="77777777" w:rsidR="001C08A5" w:rsidRDefault="00000000">
      <w:pPr>
        <w:pStyle w:val="BodyText"/>
        <w:ind w:firstLine="720"/>
        <w:rPr>
          <w:b w:val="0"/>
          <w:bCs w:val="0"/>
          <w:i w:val="0"/>
          <w:iCs/>
        </w:rPr>
      </w:pPr>
      <w:r>
        <w:rPr>
          <w:i w:val="0"/>
          <w:iCs/>
        </w:rPr>
        <w:t xml:space="preserve">(11) </w:t>
      </w:r>
      <w:r>
        <w:rPr>
          <w:b w:val="0"/>
          <w:bCs w:val="0"/>
          <w:i w:val="0"/>
          <w:iCs/>
        </w:rPr>
        <w:t>Holurile ascensoarelor de circulație funcțională a persoanelor din clădirile publice pot să comunice liber cu spaţiile publice de pe nivel.</w:t>
      </w:r>
    </w:p>
    <w:p w14:paraId="02FFC39A" w14:textId="77777777" w:rsidR="001C08A5" w:rsidRDefault="00000000">
      <w:pPr>
        <w:pStyle w:val="BodyText"/>
        <w:rPr>
          <w:i w:val="0"/>
          <w:iCs/>
        </w:rPr>
      </w:pPr>
      <w:r>
        <w:rPr>
          <w:i w:val="0"/>
          <w:iCs/>
        </w:rPr>
        <w:tab/>
      </w:r>
    </w:p>
    <w:p w14:paraId="28FFAC6F" w14:textId="77777777" w:rsidR="001C08A5" w:rsidRDefault="00000000">
      <w:pPr>
        <w:pStyle w:val="BodyText"/>
        <w:ind w:firstLine="720"/>
        <w:rPr>
          <w:b w:val="0"/>
          <w:bCs w:val="0"/>
          <w:i w:val="0"/>
          <w:iCs/>
        </w:rPr>
      </w:pPr>
      <w:r>
        <w:rPr>
          <w:i w:val="0"/>
          <w:iCs/>
        </w:rPr>
        <w:t xml:space="preserve">Art. 2.4.4.2.2. (1) </w:t>
      </w:r>
      <w:r>
        <w:rPr>
          <w:b w:val="0"/>
          <w:bCs w:val="0"/>
          <w:i w:val="0"/>
          <w:iCs/>
        </w:rPr>
        <w:t>Î</w:t>
      </w:r>
      <w:r>
        <w:rPr>
          <w:b w:val="0"/>
          <w:i w:val="0"/>
          <w:iCs/>
        </w:rPr>
        <w:t xml:space="preserve">ncăperile în care sunt amplasate echipamente aferente ascensoarelor hidraulice sau electrice, </w:t>
      </w:r>
      <w:r>
        <w:rPr>
          <w:b w:val="0"/>
          <w:bCs w:val="0"/>
          <w:i w:val="0"/>
          <w:iCs/>
        </w:rPr>
        <w:t xml:space="preserve">se separă de restul construcţiei prin elemente verticale şi după caz, orizontale egală cu performanța la foc a planșeelor conform încadrare în nivel de stabilitate clasa de reacţie la foc </w:t>
      </w:r>
      <w:r>
        <w:rPr>
          <w:i w:val="0"/>
          <w:iCs/>
        </w:rPr>
        <w:t xml:space="preserve">A1 </w:t>
      </w:r>
      <w:r>
        <w:rPr>
          <w:b w:val="0"/>
          <w:i w:val="0"/>
          <w:iCs/>
        </w:rPr>
        <w:t>sau</w:t>
      </w:r>
      <w:r>
        <w:rPr>
          <w:i w:val="0"/>
          <w:iCs/>
        </w:rPr>
        <w:t xml:space="preserve"> A2-s1d0 </w:t>
      </w:r>
      <w:r>
        <w:rPr>
          <w:b w:val="0"/>
          <w:bCs w:val="0"/>
          <w:i w:val="0"/>
          <w:iCs/>
        </w:rPr>
        <w:t xml:space="preserve">corespunzător nivelului de stabilitate la incendiu asigurat, tipului de clădire și destinaţiei, dar </w:t>
      </w:r>
      <w:r>
        <w:rPr>
          <w:b w:val="0"/>
          <w:i w:val="0"/>
          <w:iCs/>
        </w:rPr>
        <w:t xml:space="preserve">pereţi rezistenţi la foc </w:t>
      </w:r>
      <w:r>
        <w:rPr>
          <w:b w:val="0"/>
          <w:bCs w:val="0"/>
          <w:i w:val="0"/>
          <w:iCs/>
        </w:rPr>
        <w:t xml:space="preserve">minimum </w:t>
      </w:r>
      <w:r>
        <w:rPr>
          <w:i w:val="0"/>
          <w:iCs/>
        </w:rPr>
        <w:t>EI/REI</w:t>
      </w:r>
      <w:r>
        <w:rPr>
          <w:bCs w:val="0"/>
          <w:i w:val="0"/>
          <w:iCs/>
        </w:rPr>
        <w:t xml:space="preserve"> 120</w:t>
      </w:r>
      <w:r>
        <w:rPr>
          <w:b w:val="0"/>
          <w:bCs w:val="0"/>
          <w:i w:val="0"/>
          <w:iCs/>
        </w:rPr>
        <w:t xml:space="preserve"> şi planşee minimum </w:t>
      </w:r>
      <w:r>
        <w:rPr>
          <w:bCs w:val="0"/>
          <w:i w:val="0"/>
          <w:iCs/>
        </w:rPr>
        <w:t>REI</w:t>
      </w:r>
      <w:r>
        <w:rPr>
          <w:i w:val="0"/>
          <w:iCs/>
        </w:rPr>
        <w:t xml:space="preserve"> 60</w:t>
      </w:r>
      <w:r>
        <w:rPr>
          <w:b w:val="0"/>
          <w:i w:val="0"/>
          <w:iCs/>
        </w:rPr>
        <w:t xml:space="preserve">, iar uşa de comunicare cu restul construcţiei trebuie să fie minimum </w:t>
      </w:r>
      <w:r>
        <w:rPr>
          <w:bCs w:val="0"/>
          <w:i w:val="0"/>
          <w:iCs/>
        </w:rPr>
        <w:t>EI</w:t>
      </w:r>
      <w:r>
        <w:rPr>
          <w:bCs w:val="0"/>
          <w:i w:val="0"/>
          <w:iCs/>
          <w:vertAlign w:val="subscript"/>
        </w:rPr>
        <w:t>1</w:t>
      </w:r>
      <w:r>
        <w:rPr>
          <w:bCs w:val="0"/>
          <w:i w:val="0"/>
          <w:iCs/>
        </w:rPr>
        <w:t> 60-C3,</w:t>
      </w:r>
      <w:r>
        <w:rPr>
          <w:b w:val="0"/>
          <w:bCs w:val="0"/>
          <w:i w:val="0"/>
          <w:iCs/>
        </w:rPr>
        <w:t xml:space="preserve"> cu deschidere spre exterior.</w:t>
      </w:r>
    </w:p>
    <w:p w14:paraId="7386EEB9" w14:textId="77777777" w:rsidR="001C08A5" w:rsidRDefault="00000000">
      <w:pPr>
        <w:pStyle w:val="BodyText"/>
        <w:ind w:firstLine="720"/>
        <w:rPr>
          <w:b w:val="0"/>
          <w:bCs w:val="0"/>
          <w:i w:val="0"/>
          <w:iCs/>
        </w:rPr>
      </w:pPr>
      <w:r>
        <w:rPr>
          <w:i w:val="0"/>
          <w:iCs/>
        </w:rPr>
        <w:t xml:space="preserve">(2) </w:t>
      </w:r>
      <w:r>
        <w:rPr>
          <w:b w:val="0"/>
          <w:bCs w:val="0"/>
          <w:i w:val="0"/>
          <w:iCs/>
        </w:rPr>
        <w:t>Î</w:t>
      </w:r>
      <w:r>
        <w:rPr>
          <w:b w:val="0"/>
          <w:i w:val="0"/>
          <w:iCs/>
        </w:rPr>
        <w:t xml:space="preserve">ncăperile în care sunt amplasate echipamente aferente ascensoarelor de intervenție </w:t>
      </w:r>
      <w:r>
        <w:rPr>
          <w:b w:val="0"/>
          <w:bCs w:val="0"/>
          <w:i w:val="0"/>
          <w:iCs/>
        </w:rPr>
        <w:t xml:space="preserve">se separă de restul construcţiei prin elemente verticale şi după caz, orizontale egale cu performanța la foc a pereților și ușilor corespunzător cerinţelor specifice părții supraterane a clădirii și planșeelor ascensoarelor de intervenție, conform încadrate în tipuri sau funcțiuni ale clădirii, clasa de reacţie la foc </w:t>
      </w:r>
      <w:r>
        <w:rPr>
          <w:i w:val="0"/>
          <w:iCs/>
        </w:rPr>
        <w:t xml:space="preserve">A1 </w:t>
      </w:r>
      <w:r>
        <w:rPr>
          <w:b w:val="0"/>
          <w:i w:val="0"/>
          <w:iCs/>
        </w:rPr>
        <w:t>sau</w:t>
      </w:r>
      <w:r>
        <w:rPr>
          <w:i w:val="0"/>
          <w:iCs/>
        </w:rPr>
        <w:t xml:space="preserve"> A2-s1d0 </w:t>
      </w:r>
      <w:r>
        <w:rPr>
          <w:b w:val="0"/>
          <w:bCs w:val="0"/>
          <w:i w:val="0"/>
          <w:iCs/>
        </w:rPr>
        <w:t>corespunzător nivelului de stabilitate la incendiu asigurat.</w:t>
      </w:r>
    </w:p>
    <w:p w14:paraId="1A811C3B" w14:textId="77777777" w:rsidR="001C08A5" w:rsidRDefault="001C08A5">
      <w:pPr>
        <w:pStyle w:val="BodyText"/>
      </w:pPr>
    </w:p>
    <w:p w14:paraId="6624C1FF" w14:textId="77777777" w:rsidR="001C08A5" w:rsidRDefault="00000000">
      <w:pPr>
        <w:ind w:firstLine="708"/>
        <w:jc w:val="both"/>
        <w:rPr>
          <w:b/>
          <w:sz w:val="24"/>
          <w:szCs w:val="24"/>
        </w:rPr>
      </w:pPr>
      <w:r>
        <w:rPr>
          <w:b/>
          <w:sz w:val="24"/>
          <w:szCs w:val="24"/>
        </w:rPr>
        <w:t>Art. 2.4.4.2.3. (1)</w:t>
      </w:r>
      <w:r>
        <w:rPr>
          <w:sz w:val="24"/>
          <w:szCs w:val="24"/>
        </w:rPr>
        <w:t xml:space="preserve"> Într-un puţ de ascensoare se pot dispune maximum trei (</w:t>
      </w:r>
      <w:r>
        <w:rPr>
          <w:b/>
          <w:bCs/>
          <w:sz w:val="24"/>
          <w:szCs w:val="24"/>
        </w:rPr>
        <w:t>3</w:t>
      </w:r>
      <w:r>
        <w:rPr>
          <w:sz w:val="24"/>
          <w:szCs w:val="24"/>
        </w:rPr>
        <w:t xml:space="preserve">) mijloace mecanice de transport pe verticală (ascensoare </w:t>
      </w:r>
      <w:r>
        <w:rPr>
          <w:iCs/>
          <w:sz w:val="24"/>
          <w:szCs w:val="24"/>
        </w:rPr>
        <w:t>prevăzute pentru circulația funcțională a persoanelor</w:t>
      </w:r>
      <w:r>
        <w:rPr>
          <w:sz w:val="24"/>
          <w:szCs w:val="24"/>
        </w:rPr>
        <w:t>, de marfă, monte-charge, platforme elevatoare etc.) de acelaşi tip, cu excepţia ascensoarelor prevăzute pentru intervenţie în caz de incendiu (de pompieri) şi a celor din clădirile foarte înalte.</w:t>
      </w:r>
    </w:p>
    <w:p w14:paraId="2B33472E" w14:textId="77777777" w:rsidR="001C08A5" w:rsidRDefault="00000000">
      <w:pPr>
        <w:pStyle w:val="BodyText"/>
        <w:ind w:firstLine="720"/>
        <w:rPr>
          <w:b w:val="0"/>
          <w:i w:val="0"/>
          <w:iCs/>
        </w:rPr>
      </w:pPr>
      <w:r>
        <w:rPr>
          <w:i w:val="0"/>
          <w:iCs/>
        </w:rPr>
        <w:t xml:space="preserve">(2) </w:t>
      </w:r>
      <w:r>
        <w:rPr>
          <w:b w:val="0"/>
          <w:i w:val="0"/>
          <w:iCs/>
        </w:rPr>
        <w:t>Se recomandă ca ascensoarele aferente nivelurilor supraterane ale construcţiei să fie dispuse în puţuri separate de cele ale nivelurilor subterane.</w:t>
      </w:r>
    </w:p>
    <w:p w14:paraId="693E66A2" w14:textId="77777777" w:rsidR="001C08A5" w:rsidRDefault="00000000">
      <w:pPr>
        <w:pStyle w:val="BodyText25"/>
        <w:tabs>
          <w:tab w:val="clear" w:pos="567"/>
        </w:tabs>
        <w:overflowPunct/>
        <w:ind w:firstLine="708"/>
        <w:textAlignment w:val="auto"/>
        <w:rPr>
          <w:rFonts w:ascii="Times New Roman" w:hAnsi="Times New Roman" w:cs="Times New Roman"/>
          <w:b/>
        </w:rPr>
      </w:pPr>
      <w:r>
        <w:rPr>
          <w:rFonts w:ascii="Times New Roman" w:hAnsi="Times New Roman" w:cs="Times New Roman"/>
          <w:b/>
          <w:bCs/>
        </w:rPr>
        <w:tab/>
        <w:t xml:space="preserve">(3) </w:t>
      </w:r>
      <w:r>
        <w:rPr>
          <w:rFonts w:ascii="Times New Roman" w:hAnsi="Times New Roman" w:cs="Times New Roman"/>
        </w:rPr>
        <w:t>În casele de scări de evacuare nu este admisă amplasarea ascensoarelor de marfă şi monte-charge. Acestea se amplasează numai în puţuri proprii independente, separate de restul construcţiei conform prevederilor normativului.</w:t>
      </w:r>
    </w:p>
    <w:p w14:paraId="19F4342A" w14:textId="77777777" w:rsidR="001C08A5" w:rsidRDefault="00000000">
      <w:pPr>
        <w:pStyle w:val="BodyText25"/>
        <w:tabs>
          <w:tab w:val="clear" w:pos="567"/>
        </w:tabs>
        <w:overflowPunct/>
        <w:ind w:firstLine="680"/>
        <w:textAlignment w:val="auto"/>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p>
    <w:p w14:paraId="4881E488" w14:textId="77777777" w:rsidR="001C08A5" w:rsidRDefault="00000000">
      <w:pPr>
        <w:pStyle w:val="BodyText25"/>
        <w:tabs>
          <w:tab w:val="clear" w:pos="567"/>
        </w:tabs>
        <w:overflowPunct/>
        <w:ind w:firstLine="680"/>
        <w:textAlignment w:val="auto"/>
        <w:rPr>
          <w:rFonts w:ascii="Times New Roman" w:eastAsia="Times New Roman" w:hAnsi="Times New Roman" w:cs="Times New Roman"/>
          <w:b/>
        </w:rPr>
      </w:pPr>
      <w:r>
        <w:rPr>
          <w:rFonts w:ascii="Times New Roman" w:hAnsi="Times New Roman" w:cs="Times New Roman"/>
          <w:b/>
        </w:rPr>
        <w:t xml:space="preserve">Art. 2.4.4.2.4. (1) </w:t>
      </w:r>
      <w:r>
        <w:rPr>
          <w:rFonts w:ascii="Times New Roman" w:eastAsia="Times New Roman" w:hAnsi="Times New Roman" w:cs="Times New Roman"/>
        </w:rPr>
        <w:t>Pereţii de separare faţă de restul construcţiei a ascensoarelor de marfă trebuie să fie minimum:</w:t>
      </w:r>
    </w:p>
    <w:p w14:paraId="3A2914DE" w14:textId="77777777" w:rsidR="001C08A5" w:rsidRDefault="00000000">
      <w:pPr>
        <w:pStyle w:val="BodyText25"/>
        <w:tabs>
          <w:tab w:val="clear" w:pos="567"/>
        </w:tabs>
        <w:overflowPunct/>
        <w:ind w:left="1440" w:firstLine="720"/>
        <w:textAlignment w:val="auto"/>
        <w:rPr>
          <w:rFonts w:ascii="Times New Roman" w:eastAsia="Times New Roman" w:hAnsi="Times New Roman" w:cs="Times New Roman"/>
          <w:b/>
        </w:rPr>
      </w:pPr>
      <w:r>
        <w:rPr>
          <w:rFonts w:ascii="Times New Roman" w:hAnsi="Times New Roman" w:cs="Times New Roman"/>
          <w:b/>
        </w:rPr>
        <w:t xml:space="preserve">a) EI/REI </w:t>
      </w:r>
      <w:r>
        <w:rPr>
          <w:rFonts w:ascii="Times New Roman" w:eastAsia="Times New Roman" w:hAnsi="Times New Roman" w:cs="Times New Roman"/>
          <w:b/>
        </w:rPr>
        <w:t xml:space="preserve">180 </w:t>
      </w:r>
      <w:r>
        <w:rPr>
          <w:rFonts w:ascii="Times New Roman" w:hAnsi="Times New Roman" w:cs="Times New Roman"/>
          <w:bCs/>
        </w:rPr>
        <w:t xml:space="preserve">clasa de reacţie la foc </w:t>
      </w:r>
      <w:r>
        <w:rPr>
          <w:rFonts w:ascii="Times New Roman" w:eastAsia="Times New Roman" w:hAnsi="Times New Roman" w:cs="Times New Roman"/>
          <w:b/>
        </w:rPr>
        <w:t>A1</w:t>
      </w:r>
      <w:r>
        <w:rPr>
          <w:rFonts w:ascii="Times New Roman" w:eastAsia="Times New Roman" w:hAnsi="Times New Roman" w:cs="Times New Roman"/>
        </w:rPr>
        <w:t xml:space="preserve"> sau </w:t>
      </w:r>
      <w:r>
        <w:rPr>
          <w:rFonts w:ascii="Times New Roman" w:eastAsia="Times New Roman" w:hAnsi="Times New Roman" w:cs="Times New Roman"/>
          <w:b/>
        </w:rPr>
        <w:t>A2-s1d0</w:t>
      </w:r>
      <w:r>
        <w:rPr>
          <w:rFonts w:ascii="Times New Roman" w:eastAsia="Times New Roman" w:hAnsi="Times New Roman" w:cs="Times New Roman"/>
        </w:rPr>
        <w:t xml:space="preserve">, pentru nivelul </w:t>
      </w:r>
      <w:r>
        <w:rPr>
          <w:rFonts w:ascii="Times New Roman" w:eastAsia="Times New Roman" w:hAnsi="Times New Roman" w:cs="Times New Roman"/>
          <w:b/>
        </w:rPr>
        <w:t>I</w:t>
      </w:r>
      <w:r>
        <w:rPr>
          <w:rFonts w:ascii="Times New Roman" w:eastAsia="Times New Roman" w:hAnsi="Times New Roman" w:cs="Times New Roman"/>
        </w:rPr>
        <w:t xml:space="preserve"> de stabilitate la incendiu;</w:t>
      </w:r>
    </w:p>
    <w:p w14:paraId="55124BDC" w14:textId="77777777" w:rsidR="001C08A5" w:rsidRDefault="00000000">
      <w:pPr>
        <w:pStyle w:val="BodyText25"/>
        <w:tabs>
          <w:tab w:val="clear" w:pos="567"/>
        </w:tabs>
        <w:overflowPunct/>
        <w:ind w:left="1440" w:firstLine="720"/>
        <w:textAlignment w:val="auto"/>
        <w:rPr>
          <w:rFonts w:ascii="Times New Roman" w:eastAsia="Times New Roman" w:hAnsi="Times New Roman" w:cs="Times New Roman"/>
        </w:rPr>
      </w:pPr>
      <w:r>
        <w:rPr>
          <w:rFonts w:ascii="Times New Roman" w:hAnsi="Times New Roman" w:cs="Times New Roman"/>
          <w:b/>
        </w:rPr>
        <w:t xml:space="preserve">b) EI/REI </w:t>
      </w:r>
      <w:r>
        <w:rPr>
          <w:rFonts w:ascii="Times New Roman" w:eastAsia="Times New Roman" w:hAnsi="Times New Roman" w:cs="Times New Roman"/>
          <w:b/>
        </w:rPr>
        <w:t xml:space="preserve">120 </w:t>
      </w:r>
      <w:r>
        <w:rPr>
          <w:rFonts w:ascii="Times New Roman" w:hAnsi="Times New Roman" w:cs="Times New Roman"/>
          <w:bCs/>
        </w:rPr>
        <w:t xml:space="preserve">clasa de reacţie la foc </w:t>
      </w:r>
      <w:r>
        <w:rPr>
          <w:rFonts w:ascii="Times New Roman" w:eastAsia="Times New Roman" w:hAnsi="Times New Roman" w:cs="Times New Roman"/>
          <w:b/>
        </w:rPr>
        <w:t>A1</w:t>
      </w:r>
      <w:r>
        <w:rPr>
          <w:rFonts w:ascii="Times New Roman" w:eastAsia="Times New Roman" w:hAnsi="Times New Roman" w:cs="Times New Roman"/>
        </w:rPr>
        <w:t xml:space="preserve"> sau </w:t>
      </w:r>
      <w:r>
        <w:rPr>
          <w:rFonts w:ascii="Times New Roman" w:eastAsia="Times New Roman" w:hAnsi="Times New Roman" w:cs="Times New Roman"/>
          <w:b/>
        </w:rPr>
        <w:t>A2-s1d0</w:t>
      </w:r>
      <w:r>
        <w:rPr>
          <w:rFonts w:ascii="Times New Roman" w:eastAsia="Times New Roman" w:hAnsi="Times New Roman" w:cs="Times New Roman"/>
        </w:rPr>
        <w:t xml:space="preserve">, pentru nivelul </w:t>
      </w:r>
      <w:r>
        <w:rPr>
          <w:rFonts w:ascii="Times New Roman" w:eastAsia="Times New Roman" w:hAnsi="Times New Roman" w:cs="Times New Roman"/>
          <w:b/>
        </w:rPr>
        <w:t>II</w:t>
      </w:r>
      <w:r>
        <w:rPr>
          <w:rFonts w:ascii="Times New Roman" w:eastAsia="Times New Roman" w:hAnsi="Times New Roman" w:cs="Times New Roman"/>
        </w:rPr>
        <w:t xml:space="preserve"> de stabilitate la incendiu; </w:t>
      </w:r>
    </w:p>
    <w:p w14:paraId="39F50E24" w14:textId="77777777" w:rsidR="001C08A5" w:rsidRDefault="00000000">
      <w:pPr>
        <w:pStyle w:val="BodyText25"/>
        <w:tabs>
          <w:tab w:val="clear" w:pos="567"/>
        </w:tabs>
        <w:overflowPunct/>
        <w:ind w:left="1440" w:firstLine="720"/>
        <w:textAlignment w:val="auto"/>
        <w:rPr>
          <w:rFonts w:ascii="Times New Roman" w:eastAsia="Times New Roman" w:hAnsi="Times New Roman" w:cs="Times New Roman"/>
        </w:rPr>
      </w:pPr>
      <w:r>
        <w:rPr>
          <w:rFonts w:ascii="Times New Roman" w:hAnsi="Times New Roman" w:cs="Times New Roman"/>
          <w:b/>
        </w:rPr>
        <w:t xml:space="preserve">c) EI/REI </w:t>
      </w:r>
      <w:r>
        <w:rPr>
          <w:rFonts w:ascii="Times New Roman" w:eastAsia="Times New Roman" w:hAnsi="Times New Roman" w:cs="Times New Roman"/>
          <w:b/>
        </w:rPr>
        <w:t xml:space="preserve">60 </w:t>
      </w:r>
      <w:r>
        <w:rPr>
          <w:rFonts w:ascii="Times New Roman" w:hAnsi="Times New Roman" w:cs="Times New Roman"/>
          <w:bCs/>
        </w:rPr>
        <w:t xml:space="preserve">clasa de reacţie la foc </w:t>
      </w:r>
      <w:r>
        <w:rPr>
          <w:rFonts w:ascii="Times New Roman" w:eastAsia="Times New Roman" w:hAnsi="Times New Roman" w:cs="Times New Roman"/>
          <w:b/>
        </w:rPr>
        <w:t>A1</w:t>
      </w:r>
      <w:r>
        <w:rPr>
          <w:rFonts w:ascii="Times New Roman" w:eastAsia="Times New Roman" w:hAnsi="Times New Roman" w:cs="Times New Roman"/>
        </w:rPr>
        <w:t xml:space="preserve"> sau </w:t>
      </w:r>
      <w:r>
        <w:rPr>
          <w:rFonts w:ascii="Times New Roman" w:eastAsia="Times New Roman" w:hAnsi="Times New Roman" w:cs="Times New Roman"/>
          <w:b/>
        </w:rPr>
        <w:t>A2-s1d0</w:t>
      </w:r>
      <w:r>
        <w:rPr>
          <w:rFonts w:ascii="Times New Roman" w:eastAsia="Times New Roman" w:hAnsi="Times New Roman" w:cs="Times New Roman"/>
        </w:rPr>
        <w:t xml:space="preserve">, pentru nivelul </w:t>
      </w:r>
      <w:r>
        <w:rPr>
          <w:rFonts w:ascii="Times New Roman" w:eastAsia="Times New Roman" w:hAnsi="Times New Roman" w:cs="Times New Roman"/>
          <w:b/>
        </w:rPr>
        <w:t>III</w:t>
      </w:r>
      <w:r>
        <w:rPr>
          <w:rFonts w:ascii="Times New Roman" w:eastAsia="Times New Roman" w:hAnsi="Times New Roman" w:cs="Times New Roman"/>
        </w:rPr>
        <w:t xml:space="preserve"> de stabilitate la incendiu;</w:t>
      </w:r>
    </w:p>
    <w:p w14:paraId="092C3F0B" w14:textId="77777777" w:rsidR="001C08A5" w:rsidRDefault="00000000">
      <w:pPr>
        <w:pStyle w:val="BodyText25"/>
        <w:tabs>
          <w:tab w:val="clear" w:pos="567"/>
        </w:tabs>
        <w:overflowPunct/>
        <w:ind w:left="1440" w:firstLine="720"/>
        <w:textAlignment w:val="auto"/>
        <w:rPr>
          <w:rFonts w:ascii="Times New Roman" w:eastAsia="Times New Roman" w:hAnsi="Times New Roman" w:cs="Times New Roman"/>
        </w:rPr>
      </w:pPr>
      <w:r>
        <w:rPr>
          <w:rFonts w:ascii="Times New Roman" w:hAnsi="Times New Roman" w:cs="Times New Roman"/>
          <w:b/>
        </w:rPr>
        <w:t xml:space="preserve">d) EI/REI </w:t>
      </w:r>
      <w:r>
        <w:rPr>
          <w:rFonts w:ascii="Times New Roman" w:eastAsia="Times New Roman" w:hAnsi="Times New Roman" w:cs="Times New Roman"/>
          <w:b/>
        </w:rPr>
        <w:t xml:space="preserve">45 </w:t>
      </w:r>
      <w:r>
        <w:rPr>
          <w:rFonts w:ascii="Times New Roman" w:hAnsi="Times New Roman" w:cs="Times New Roman"/>
          <w:bCs/>
        </w:rPr>
        <w:t xml:space="preserve">clasa de reacţie la foc </w:t>
      </w:r>
      <w:r>
        <w:rPr>
          <w:rFonts w:ascii="Times New Roman" w:eastAsia="Times New Roman" w:hAnsi="Times New Roman" w:cs="Times New Roman"/>
          <w:b/>
        </w:rPr>
        <w:t>B-s1d0</w:t>
      </w:r>
      <w:r>
        <w:rPr>
          <w:rFonts w:ascii="Times New Roman" w:eastAsia="Times New Roman" w:hAnsi="Times New Roman" w:cs="Times New Roman"/>
        </w:rPr>
        <w:t xml:space="preserve">, pentru nivelul </w:t>
      </w:r>
      <w:r>
        <w:rPr>
          <w:rFonts w:ascii="Times New Roman" w:eastAsia="Times New Roman" w:hAnsi="Times New Roman" w:cs="Times New Roman"/>
          <w:b/>
        </w:rPr>
        <w:t>IV</w:t>
      </w:r>
      <w:r>
        <w:rPr>
          <w:rFonts w:ascii="Times New Roman" w:eastAsia="Times New Roman" w:hAnsi="Times New Roman" w:cs="Times New Roman"/>
        </w:rPr>
        <w:t xml:space="preserve"> de stabilitate la incendiu;</w:t>
      </w:r>
    </w:p>
    <w:p w14:paraId="017B32CF" w14:textId="77777777" w:rsidR="001C08A5" w:rsidRDefault="00000000">
      <w:pPr>
        <w:pStyle w:val="BodyText25"/>
        <w:tabs>
          <w:tab w:val="clear" w:pos="567"/>
        </w:tabs>
        <w:overflowPunct/>
        <w:ind w:left="1440" w:firstLine="720"/>
        <w:textAlignment w:val="auto"/>
        <w:rPr>
          <w:rFonts w:ascii="Times New Roman" w:hAnsi="Times New Roman" w:cs="Times New Roman"/>
          <w:b/>
        </w:rPr>
      </w:pPr>
      <w:r>
        <w:rPr>
          <w:rFonts w:ascii="Times New Roman" w:hAnsi="Times New Roman" w:cs="Times New Roman"/>
          <w:b/>
        </w:rPr>
        <w:lastRenderedPageBreak/>
        <w:t xml:space="preserve">e) EI/REI </w:t>
      </w:r>
      <w:r>
        <w:rPr>
          <w:rFonts w:ascii="Times New Roman" w:eastAsia="Times New Roman" w:hAnsi="Times New Roman" w:cs="Times New Roman"/>
          <w:b/>
        </w:rPr>
        <w:t xml:space="preserve">30 </w:t>
      </w:r>
      <w:r>
        <w:rPr>
          <w:rFonts w:ascii="Times New Roman" w:hAnsi="Times New Roman" w:cs="Times New Roman"/>
          <w:bCs/>
        </w:rPr>
        <w:t>clasa de reacţie la foc</w:t>
      </w:r>
      <w:r>
        <w:rPr>
          <w:rFonts w:ascii="Times New Roman" w:eastAsia="Times New Roman" w:hAnsi="Times New Roman" w:cs="Times New Roman"/>
        </w:rPr>
        <w:t xml:space="preserve"> min. </w:t>
      </w:r>
      <w:r>
        <w:rPr>
          <w:rFonts w:ascii="Times New Roman" w:eastAsia="Times New Roman" w:hAnsi="Times New Roman" w:cs="Times New Roman"/>
          <w:b/>
        </w:rPr>
        <w:t>B-s2d0</w:t>
      </w:r>
      <w:r>
        <w:rPr>
          <w:rFonts w:ascii="Times New Roman" w:eastAsia="Times New Roman" w:hAnsi="Times New Roman" w:cs="Times New Roman"/>
        </w:rPr>
        <w:t xml:space="preserve">, pentru nivelul </w:t>
      </w:r>
      <w:r>
        <w:rPr>
          <w:rFonts w:ascii="Times New Roman" w:eastAsia="Times New Roman" w:hAnsi="Times New Roman" w:cs="Times New Roman"/>
          <w:b/>
        </w:rPr>
        <w:t>V</w:t>
      </w:r>
      <w:r>
        <w:rPr>
          <w:rFonts w:ascii="Times New Roman" w:eastAsia="Times New Roman" w:hAnsi="Times New Roman" w:cs="Times New Roman"/>
        </w:rPr>
        <w:t xml:space="preserve"> de stabilitate la incendiu.</w:t>
      </w:r>
    </w:p>
    <w:p w14:paraId="6E58F04F" w14:textId="77777777" w:rsidR="001C08A5" w:rsidRDefault="00000000">
      <w:pPr>
        <w:pStyle w:val="BodyText25"/>
        <w:tabs>
          <w:tab w:val="clear" w:pos="567"/>
        </w:tabs>
        <w:overflowPunct/>
        <w:ind w:firstLine="680"/>
        <w:textAlignment w:val="auto"/>
        <w:rPr>
          <w:rFonts w:ascii="Times New Roman" w:hAnsi="Times New Roman" w:cs="Times New Roman"/>
        </w:rPr>
      </w:pPr>
      <w:r>
        <w:rPr>
          <w:rFonts w:ascii="Times New Roman" w:hAnsi="Times New Roman" w:cs="Times New Roman"/>
          <w:b/>
        </w:rPr>
        <w:tab/>
        <w:t>(2)</w:t>
      </w:r>
      <w:r>
        <w:rPr>
          <w:rFonts w:ascii="Times New Roman" w:hAnsi="Times New Roman" w:cs="Times New Roman"/>
        </w:rPr>
        <w:t xml:space="preserve"> În clădirile civile, de producţie şi/sau depozitare golurile de acces la ascensoarele de marfă se protejează cu uşi etanşe sau rezistente la foc conform prevederilor normate.</w:t>
      </w:r>
    </w:p>
    <w:p w14:paraId="650800FB" w14:textId="77777777" w:rsidR="001C08A5" w:rsidRDefault="001C08A5">
      <w:pPr>
        <w:pStyle w:val="BodyText25"/>
        <w:tabs>
          <w:tab w:val="clear" w:pos="567"/>
        </w:tabs>
        <w:overflowPunct/>
        <w:ind w:firstLine="680"/>
        <w:textAlignment w:val="auto"/>
        <w:rPr>
          <w:rFonts w:ascii="Times New Roman" w:hAnsi="Times New Roman" w:cs="Times New Roman"/>
        </w:rPr>
      </w:pPr>
    </w:p>
    <w:p w14:paraId="7F1A9358" w14:textId="77777777" w:rsidR="001C08A5" w:rsidRDefault="00000000">
      <w:pPr>
        <w:pStyle w:val="BodyText"/>
        <w:widowControl w:val="0"/>
        <w:ind w:firstLine="708"/>
        <w:rPr>
          <w:b w:val="0"/>
          <w:bCs w:val="0"/>
          <w:i w:val="0"/>
          <w:iCs/>
        </w:rPr>
      </w:pPr>
      <w:r>
        <w:rPr>
          <w:i w:val="0"/>
          <w:iCs/>
        </w:rPr>
        <w:t xml:space="preserve">Art. 2.4.4.2.5. (1) </w:t>
      </w:r>
      <w:r>
        <w:rPr>
          <w:b w:val="0"/>
          <w:bCs w:val="0"/>
          <w:i w:val="0"/>
          <w:iCs/>
        </w:rPr>
        <w:t>Golurile de acces la ascensoarele prevăzute pentru circulația funcțională a persoanelor (valide sau cu dizabilități) se protejează prinminimum uşi de palier (ale ascensoarelor) rezistente la foc :</w:t>
      </w:r>
    </w:p>
    <w:p w14:paraId="399381F8" w14:textId="77777777" w:rsidR="001C08A5" w:rsidRDefault="00000000">
      <w:pPr>
        <w:widowControl w:val="0"/>
        <w:ind w:left="1440" w:firstLine="720"/>
        <w:jc w:val="both"/>
        <w:rPr>
          <w:iCs/>
          <w:sz w:val="24"/>
          <w:szCs w:val="24"/>
        </w:rPr>
      </w:pPr>
      <w:r>
        <w:rPr>
          <w:b/>
          <w:iCs/>
          <w:sz w:val="24"/>
          <w:szCs w:val="24"/>
        </w:rPr>
        <w:t xml:space="preserve">a) EI 60 </w:t>
      </w:r>
      <w:r>
        <w:rPr>
          <w:iCs/>
          <w:sz w:val="24"/>
          <w:szCs w:val="24"/>
        </w:rPr>
        <w:t xml:space="preserve">în construcţiile cu nivelul de stabilitate la incendiu </w:t>
      </w:r>
      <w:r>
        <w:rPr>
          <w:b/>
          <w:iCs/>
          <w:sz w:val="24"/>
          <w:szCs w:val="24"/>
        </w:rPr>
        <w:t>I</w:t>
      </w:r>
      <w:r>
        <w:rPr>
          <w:iCs/>
          <w:sz w:val="24"/>
          <w:szCs w:val="24"/>
        </w:rPr>
        <w:t xml:space="preserve">; </w:t>
      </w:r>
    </w:p>
    <w:p w14:paraId="6AEDC941" w14:textId="77777777" w:rsidR="001C08A5" w:rsidRDefault="00000000">
      <w:pPr>
        <w:widowControl w:val="0"/>
        <w:ind w:left="1440" w:firstLine="720"/>
        <w:jc w:val="both"/>
        <w:rPr>
          <w:iCs/>
          <w:sz w:val="24"/>
          <w:szCs w:val="24"/>
        </w:rPr>
      </w:pPr>
      <w:r>
        <w:rPr>
          <w:b/>
          <w:iCs/>
          <w:sz w:val="24"/>
          <w:szCs w:val="24"/>
        </w:rPr>
        <w:t xml:space="preserve">b) EI 45 </w:t>
      </w:r>
      <w:r>
        <w:rPr>
          <w:iCs/>
          <w:sz w:val="24"/>
          <w:szCs w:val="24"/>
        </w:rPr>
        <w:t xml:space="preserve">în construcţiile cu nivelul de stabilitate la incendiu </w:t>
      </w:r>
      <w:r>
        <w:rPr>
          <w:b/>
          <w:iCs/>
          <w:sz w:val="24"/>
          <w:szCs w:val="24"/>
        </w:rPr>
        <w:t>II</w:t>
      </w:r>
      <w:r>
        <w:rPr>
          <w:iCs/>
          <w:sz w:val="24"/>
          <w:szCs w:val="24"/>
        </w:rPr>
        <w:t xml:space="preserve">; </w:t>
      </w:r>
    </w:p>
    <w:p w14:paraId="3F4EAB5D" w14:textId="77777777" w:rsidR="001C08A5" w:rsidRDefault="00000000">
      <w:pPr>
        <w:widowControl w:val="0"/>
        <w:numPr>
          <w:ilvl w:val="255"/>
          <w:numId w:val="0"/>
        </w:numPr>
        <w:ind w:left="1440" w:firstLine="720"/>
        <w:jc w:val="both"/>
        <w:rPr>
          <w:iCs/>
          <w:sz w:val="24"/>
          <w:szCs w:val="24"/>
        </w:rPr>
      </w:pPr>
      <w:r>
        <w:rPr>
          <w:b/>
          <w:bCs/>
          <w:iCs/>
          <w:sz w:val="24"/>
          <w:szCs w:val="24"/>
        </w:rPr>
        <w:t xml:space="preserve">c) </w:t>
      </w:r>
      <w:r>
        <w:rPr>
          <w:b/>
          <w:iCs/>
          <w:sz w:val="24"/>
          <w:szCs w:val="24"/>
        </w:rPr>
        <w:t xml:space="preserve">EI 30 </w:t>
      </w:r>
      <w:r>
        <w:rPr>
          <w:iCs/>
          <w:sz w:val="24"/>
          <w:szCs w:val="24"/>
        </w:rPr>
        <w:t xml:space="preserve">în construcţiile cu nivelul de stabilitate la incendiu </w:t>
      </w:r>
      <w:r>
        <w:rPr>
          <w:b/>
          <w:iCs/>
          <w:sz w:val="24"/>
          <w:szCs w:val="24"/>
        </w:rPr>
        <w:t>III</w:t>
      </w:r>
      <w:r>
        <w:rPr>
          <w:iCs/>
          <w:sz w:val="24"/>
          <w:szCs w:val="24"/>
        </w:rPr>
        <w:t>;</w:t>
      </w:r>
    </w:p>
    <w:p w14:paraId="4810E63A" w14:textId="77777777" w:rsidR="001C08A5" w:rsidRDefault="00000000">
      <w:pPr>
        <w:widowControl w:val="0"/>
        <w:numPr>
          <w:ilvl w:val="255"/>
          <w:numId w:val="0"/>
        </w:numPr>
        <w:ind w:left="1440" w:firstLine="720"/>
        <w:jc w:val="both"/>
        <w:rPr>
          <w:iCs/>
          <w:sz w:val="24"/>
          <w:szCs w:val="24"/>
        </w:rPr>
      </w:pPr>
      <w:r>
        <w:rPr>
          <w:b/>
          <w:bCs/>
          <w:iCs/>
          <w:sz w:val="24"/>
          <w:szCs w:val="24"/>
        </w:rPr>
        <w:t xml:space="preserve">d) </w:t>
      </w:r>
      <w:r>
        <w:rPr>
          <w:b/>
          <w:iCs/>
          <w:sz w:val="24"/>
          <w:szCs w:val="24"/>
        </w:rPr>
        <w:t xml:space="preserve">EI 20 </w:t>
      </w:r>
      <w:r>
        <w:rPr>
          <w:iCs/>
          <w:sz w:val="24"/>
          <w:szCs w:val="24"/>
        </w:rPr>
        <w:t xml:space="preserve">în construcţiile cu nivelul de stabilitate la incendiu </w:t>
      </w:r>
      <w:r>
        <w:rPr>
          <w:b/>
          <w:iCs/>
          <w:sz w:val="24"/>
          <w:szCs w:val="24"/>
        </w:rPr>
        <w:t>IV</w:t>
      </w:r>
      <w:r>
        <w:rPr>
          <w:iCs/>
          <w:sz w:val="24"/>
          <w:szCs w:val="24"/>
        </w:rPr>
        <w:t>;</w:t>
      </w:r>
    </w:p>
    <w:p w14:paraId="4B5D17EF" w14:textId="77777777" w:rsidR="001C08A5" w:rsidRDefault="00000000">
      <w:pPr>
        <w:widowControl w:val="0"/>
        <w:ind w:left="1440" w:firstLine="720"/>
        <w:jc w:val="both"/>
        <w:rPr>
          <w:iCs/>
          <w:sz w:val="24"/>
          <w:szCs w:val="24"/>
        </w:rPr>
      </w:pPr>
      <w:r>
        <w:rPr>
          <w:b/>
          <w:bCs/>
          <w:iCs/>
          <w:sz w:val="24"/>
          <w:szCs w:val="24"/>
        </w:rPr>
        <w:t xml:space="preserve">e) </w:t>
      </w:r>
      <w:r>
        <w:rPr>
          <w:b/>
          <w:iCs/>
          <w:sz w:val="24"/>
          <w:szCs w:val="24"/>
        </w:rPr>
        <w:t xml:space="preserve">EI 15 </w:t>
      </w:r>
      <w:r>
        <w:rPr>
          <w:iCs/>
          <w:sz w:val="24"/>
          <w:szCs w:val="24"/>
        </w:rPr>
        <w:t xml:space="preserve">în construcţiile cu nivelul de stabilitate la incendiu </w:t>
      </w:r>
      <w:r>
        <w:rPr>
          <w:b/>
          <w:iCs/>
          <w:sz w:val="24"/>
          <w:szCs w:val="24"/>
        </w:rPr>
        <w:t xml:space="preserve">V </w:t>
      </w:r>
      <w:r>
        <w:rPr>
          <w:bCs/>
          <w:iCs/>
          <w:sz w:val="24"/>
          <w:szCs w:val="24"/>
        </w:rPr>
        <w:t>(acolo unde normativul permite)</w:t>
      </w:r>
      <w:r>
        <w:rPr>
          <w:iCs/>
          <w:sz w:val="24"/>
          <w:szCs w:val="24"/>
        </w:rPr>
        <w:t>;</w:t>
      </w:r>
    </w:p>
    <w:p w14:paraId="4D6C15FF" w14:textId="77777777" w:rsidR="001C08A5" w:rsidRDefault="00000000">
      <w:pPr>
        <w:widowControl w:val="0"/>
        <w:ind w:firstLine="720"/>
        <w:jc w:val="both"/>
        <w:rPr>
          <w:iCs/>
        </w:rPr>
      </w:pPr>
      <w:r>
        <w:rPr>
          <w:b/>
          <w:bCs/>
          <w:iCs/>
          <w:sz w:val="24"/>
          <w:szCs w:val="24"/>
        </w:rPr>
        <w:t>(2)</w:t>
      </w:r>
      <w:r>
        <w:rPr>
          <w:iCs/>
          <w:sz w:val="24"/>
          <w:szCs w:val="24"/>
        </w:rPr>
        <w:t xml:space="preserve"> Atunci când golurile de acces la ascensoarele prevăzute pentru circulația funcțională a persoanelor (valide sau cu dizabilități) debușează în spații ferite de fum (case de scări închise prevăzute cu suprapresiune sau evacuare a fumului, încăperi tampon protejate, degajamente protejate, holuri protejate prevăzute cu admisie de aer și evacuare de fum sau suprapresiune sau coridoare protejate prevăzute cu admisie mecanică de aer și evacuare de fum mecanică sau suprapresiune) nu este necesară prevederea performanțelor de rezistență la foc la golurile de acces prevăzute la alin. </w:t>
      </w:r>
      <w:r>
        <w:rPr>
          <w:b/>
          <w:bCs/>
          <w:iCs/>
          <w:sz w:val="24"/>
          <w:szCs w:val="24"/>
        </w:rPr>
        <w:t>(1)</w:t>
      </w:r>
      <w:r>
        <w:rPr>
          <w:iCs/>
          <w:sz w:val="24"/>
          <w:szCs w:val="24"/>
        </w:rPr>
        <w:t>.</w:t>
      </w:r>
    </w:p>
    <w:p w14:paraId="4694C03D" w14:textId="77777777" w:rsidR="001C08A5" w:rsidRDefault="00000000">
      <w:pPr>
        <w:widowControl w:val="0"/>
        <w:ind w:firstLine="720"/>
        <w:jc w:val="both"/>
      </w:pPr>
      <w:r>
        <w:rPr>
          <w:b/>
          <w:bCs/>
          <w:iCs/>
          <w:sz w:val="24"/>
          <w:szCs w:val="24"/>
        </w:rPr>
        <w:t xml:space="preserve">(3) </w:t>
      </w:r>
      <w:r>
        <w:rPr>
          <w:sz w:val="24"/>
          <w:szCs w:val="24"/>
        </w:rPr>
        <w:t>La clădirile înalte, foarte înalte și la cele cu săli aglomerate se respectă dispozitiile specifice.</w:t>
      </w:r>
    </w:p>
    <w:p w14:paraId="539FAD84" w14:textId="77777777" w:rsidR="001C08A5" w:rsidRDefault="00000000">
      <w:pPr>
        <w:pStyle w:val="Heading5"/>
        <w:rPr>
          <w:lang w:val="ro-RO"/>
        </w:rPr>
      </w:pPr>
      <w:bookmarkStart w:id="1668" w:name="_Toc1072"/>
      <w:bookmarkStart w:id="1669" w:name="_Toc32532"/>
      <w:bookmarkStart w:id="1670" w:name="_Toc16975"/>
      <w:bookmarkStart w:id="1671" w:name="_Toc16565"/>
      <w:bookmarkStart w:id="1672" w:name="_Toc3940"/>
      <w:bookmarkStart w:id="1673" w:name="_Toc16504"/>
      <w:bookmarkStart w:id="1674" w:name="_Toc162355226"/>
      <w:bookmarkStart w:id="1675" w:name="_Toc9373"/>
      <w:r>
        <w:rPr>
          <w:lang w:val="ro-RO"/>
        </w:rPr>
        <w:t>2.4.4.3. Ascensoarele pentru transportul persoanelor cu dizabilităţi</w:t>
      </w:r>
      <w:bookmarkEnd w:id="1668"/>
      <w:bookmarkEnd w:id="1669"/>
      <w:bookmarkEnd w:id="1670"/>
      <w:bookmarkEnd w:id="1671"/>
      <w:bookmarkEnd w:id="1672"/>
      <w:bookmarkEnd w:id="1673"/>
      <w:bookmarkEnd w:id="1674"/>
      <w:bookmarkEnd w:id="1675"/>
    </w:p>
    <w:p w14:paraId="2FD07420" w14:textId="77777777" w:rsidR="001C08A5" w:rsidRDefault="001C08A5">
      <w:pPr>
        <w:pStyle w:val="BodyText"/>
        <w:rPr>
          <w:bCs w:val="0"/>
        </w:rPr>
      </w:pPr>
    </w:p>
    <w:p w14:paraId="6B03BAED" w14:textId="77777777" w:rsidR="001C08A5" w:rsidRDefault="00000000">
      <w:pPr>
        <w:pStyle w:val="BodyText"/>
        <w:ind w:firstLine="708"/>
        <w:rPr>
          <w:i w:val="0"/>
          <w:iCs/>
        </w:rPr>
      </w:pPr>
      <w:r>
        <w:rPr>
          <w:i w:val="0"/>
          <w:iCs/>
        </w:rPr>
        <w:t xml:space="preserve">Art. 2.4.4.3.1. (1) </w:t>
      </w:r>
      <w:r>
        <w:rPr>
          <w:b w:val="0"/>
          <w:bCs w:val="0"/>
          <w:i w:val="0"/>
          <w:iCs/>
        </w:rPr>
        <w:t xml:space="preserve">Puţurile ascensoarelor prevăzute pentru circulația funcțională a persoanelor cu dizabilități se separă de restul construcţiei prin elemente verticale şi după caz, orizontale, conform </w:t>
      </w:r>
      <w:r>
        <w:rPr>
          <w:i w:val="0"/>
          <w:iCs/>
        </w:rPr>
        <w:t>Art. 2.4.4.2.1. alin. (1).</w:t>
      </w:r>
    </w:p>
    <w:p w14:paraId="092704FF" w14:textId="77777777" w:rsidR="001C08A5" w:rsidRDefault="00000000">
      <w:pPr>
        <w:pStyle w:val="BodyText"/>
        <w:ind w:firstLine="708"/>
        <w:rPr>
          <w:b w:val="0"/>
          <w:bCs w:val="0"/>
          <w:i w:val="0"/>
          <w:iCs/>
        </w:rPr>
      </w:pPr>
      <w:r>
        <w:rPr>
          <w:i w:val="0"/>
          <w:iCs/>
        </w:rPr>
        <w:t xml:space="preserve">(2) </w:t>
      </w:r>
      <w:r>
        <w:rPr>
          <w:b w:val="0"/>
          <w:bCs w:val="0"/>
          <w:i w:val="0"/>
          <w:iCs/>
        </w:rPr>
        <w:t xml:space="preserve">Golurile de acces la ascensoarele prevăzute pentru circulația funcțională a persoanelor cu dizabilități se protejează conform </w:t>
      </w:r>
      <w:r>
        <w:rPr>
          <w:i w:val="0"/>
          <w:iCs/>
        </w:rPr>
        <w:t>Art. 2.4.4.2.5. alin. (1) și Art. 2.4.4.2.1. alin. (2), (3), (4)</w:t>
      </w:r>
      <w:r>
        <w:rPr>
          <w:b w:val="0"/>
          <w:bCs w:val="0"/>
          <w:i w:val="0"/>
          <w:iCs/>
        </w:rPr>
        <w:t xml:space="preserve"> și </w:t>
      </w:r>
      <w:r>
        <w:rPr>
          <w:i w:val="0"/>
          <w:iCs/>
        </w:rPr>
        <w:t>(5).</w:t>
      </w:r>
    </w:p>
    <w:p w14:paraId="38F75785" w14:textId="77777777" w:rsidR="001C08A5" w:rsidRDefault="001C08A5">
      <w:pPr>
        <w:pStyle w:val="BodyText"/>
        <w:ind w:firstLine="708"/>
        <w:rPr>
          <w:b w:val="0"/>
          <w:bCs w:val="0"/>
          <w:i w:val="0"/>
          <w:iCs/>
        </w:rPr>
      </w:pPr>
    </w:p>
    <w:p w14:paraId="03E55B97" w14:textId="77777777" w:rsidR="001C08A5" w:rsidRDefault="00000000">
      <w:pPr>
        <w:widowControl w:val="0"/>
        <w:ind w:firstLine="720"/>
        <w:jc w:val="both"/>
        <w:rPr>
          <w:sz w:val="24"/>
          <w:szCs w:val="24"/>
        </w:rPr>
      </w:pPr>
      <w:r>
        <w:rPr>
          <w:b/>
          <w:sz w:val="24"/>
          <w:szCs w:val="24"/>
        </w:rPr>
        <w:t xml:space="preserve">Art. 2.4.4.3.2. </w:t>
      </w:r>
      <w:r>
        <w:rPr>
          <w:sz w:val="24"/>
          <w:szCs w:val="24"/>
        </w:rPr>
        <w:t>Ascensoarele pentru transportul persoanelor cu căruciorul sau a persoanelor cu dizabilităţi care pot fi utilizate şi pentru evacuarea asistată a acestora în caz de incendiu se prevăd în cazurile stabilite în normativ şi în reglementările tehnice specifice.</w:t>
      </w:r>
    </w:p>
    <w:p w14:paraId="10F77445" w14:textId="77777777" w:rsidR="001C08A5" w:rsidRDefault="001C08A5">
      <w:pPr>
        <w:widowControl w:val="0"/>
        <w:ind w:firstLine="720"/>
        <w:jc w:val="both"/>
        <w:rPr>
          <w:b/>
          <w:sz w:val="24"/>
          <w:szCs w:val="24"/>
        </w:rPr>
      </w:pPr>
    </w:p>
    <w:p w14:paraId="00342854" w14:textId="77777777" w:rsidR="001C08A5" w:rsidRDefault="00000000">
      <w:pPr>
        <w:widowControl w:val="0"/>
        <w:ind w:firstLine="720"/>
        <w:jc w:val="both"/>
        <w:rPr>
          <w:sz w:val="24"/>
          <w:szCs w:val="24"/>
        </w:rPr>
      </w:pPr>
      <w:r>
        <w:rPr>
          <w:b/>
          <w:sz w:val="24"/>
          <w:szCs w:val="24"/>
        </w:rPr>
        <w:t xml:space="preserve">Art. 2.4.4.3.3. </w:t>
      </w:r>
      <w:r>
        <w:rPr>
          <w:sz w:val="24"/>
          <w:szCs w:val="24"/>
        </w:rPr>
        <w:t>Ascensoarele pentru transportul persoanelor cu căruciorul sau a persoanelor cu dizabilităţi care pot fi utilizate şi pentru evacuarea asistată a acestora în caz de incendiu, se prevăd suplimentar, în situațiile în care nu se asigură puncte de staționare a persoanelor cu dizabilități în case de scări închise sau încăperi tampon protejate sau degajamente protejate sau coridoare protejate, pe fiecare nivel al clădirii în vederea salvării ulterioare a acestora de către persoane calificate.</w:t>
      </w:r>
    </w:p>
    <w:p w14:paraId="6BFBC6E6" w14:textId="77777777" w:rsidR="001C08A5" w:rsidRDefault="00000000">
      <w:pPr>
        <w:pStyle w:val="Heading5"/>
        <w:rPr>
          <w:lang w:val="ro-RO"/>
        </w:rPr>
      </w:pPr>
      <w:bookmarkStart w:id="1676" w:name="_Toc25407"/>
      <w:bookmarkStart w:id="1677" w:name="_Toc17288"/>
      <w:bookmarkStart w:id="1678" w:name="_Toc16242"/>
      <w:bookmarkStart w:id="1679" w:name="_Toc27307"/>
      <w:bookmarkStart w:id="1680" w:name="_Toc162355227"/>
      <w:bookmarkStart w:id="1681" w:name="_Toc28578"/>
      <w:bookmarkStart w:id="1682" w:name="_Toc14279"/>
      <w:bookmarkStart w:id="1683" w:name="_Toc3381"/>
      <w:r>
        <w:rPr>
          <w:lang w:val="ro-RO"/>
        </w:rPr>
        <w:t>2.4.4.4. Ascensoare pentru intervenţie în caz de incendiu (de pompieri)</w:t>
      </w:r>
      <w:bookmarkEnd w:id="1676"/>
      <w:bookmarkEnd w:id="1677"/>
      <w:bookmarkEnd w:id="1678"/>
      <w:bookmarkEnd w:id="1679"/>
      <w:bookmarkEnd w:id="1680"/>
      <w:bookmarkEnd w:id="1681"/>
      <w:bookmarkEnd w:id="1682"/>
      <w:bookmarkEnd w:id="1683"/>
    </w:p>
    <w:p w14:paraId="350A6217" w14:textId="77777777" w:rsidR="001C08A5" w:rsidRDefault="00000000">
      <w:pPr>
        <w:jc w:val="both"/>
        <w:rPr>
          <w:b/>
          <w:sz w:val="24"/>
          <w:szCs w:val="24"/>
        </w:rPr>
      </w:pPr>
      <w:r>
        <w:rPr>
          <w:sz w:val="24"/>
          <w:szCs w:val="24"/>
        </w:rPr>
        <w:tab/>
      </w:r>
    </w:p>
    <w:p w14:paraId="6A61C9DF" w14:textId="77777777" w:rsidR="001C08A5" w:rsidRDefault="00000000">
      <w:pPr>
        <w:pStyle w:val="ListParagraph"/>
        <w:autoSpaceDE w:val="0"/>
        <w:ind w:left="0" w:firstLine="720"/>
        <w:jc w:val="both"/>
      </w:pPr>
      <w:r>
        <w:rPr>
          <w:b/>
        </w:rPr>
        <w:t xml:space="preserve">Art. 2.4.4.4.1. </w:t>
      </w:r>
      <w:r>
        <w:t>Ascensoarele pentru  intervenţie în caz de incendiu (de pompieri), se prevăd obligatoriu în situaţiile stabilite în normativ şi se realizează conform prevederilor privind performanțele specifice.</w:t>
      </w:r>
    </w:p>
    <w:p w14:paraId="448A4EB9" w14:textId="77777777" w:rsidR="001C08A5" w:rsidRDefault="001C08A5">
      <w:pPr>
        <w:pStyle w:val="ListParagraph"/>
        <w:autoSpaceDE w:val="0"/>
        <w:ind w:left="0" w:firstLine="720"/>
        <w:jc w:val="both"/>
      </w:pPr>
    </w:p>
    <w:p w14:paraId="08FAD977" w14:textId="77777777" w:rsidR="001C08A5" w:rsidRDefault="00000000">
      <w:pPr>
        <w:pStyle w:val="ListParagraph"/>
        <w:autoSpaceDE w:val="0"/>
        <w:ind w:left="0" w:firstLine="720"/>
        <w:jc w:val="both"/>
        <w:rPr>
          <w:rStyle w:val="CommentReference"/>
          <w:sz w:val="24"/>
          <w:szCs w:val="24"/>
        </w:rPr>
      </w:pPr>
      <w:r>
        <w:rPr>
          <w:b/>
        </w:rPr>
        <w:t xml:space="preserve">Art. 2.4.4.4.2. </w:t>
      </w:r>
      <w:r>
        <w:t>Ascensoarele pentru  intervenţie în caz de incendiu (de pompieri) se pot prevedea și suplimentar la cererea beneficiarilor,precum și în situația în care la construcții trebuie să se ia măsuri suplimentare de securitate la incendiu.</w:t>
      </w:r>
    </w:p>
    <w:p w14:paraId="1A755DEF" w14:textId="77777777" w:rsidR="001C08A5" w:rsidRDefault="00000000">
      <w:pPr>
        <w:pStyle w:val="Heading4"/>
      </w:pPr>
      <w:bookmarkStart w:id="1684" w:name="_Toc18504"/>
      <w:bookmarkStart w:id="1685" w:name="_Toc162355228"/>
      <w:bookmarkStart w:id="1686" w:name="_Toc9290"/>
      <w:bookmarkStart w:id="1687" w:name="_Toc14348"/>
      <w:bookmarkStart w:id="1688" w:name="_Toc8092"/>
      <w:bookmarkStart w:id="1689" w:name="_Toc28696"/>
      <w:bookmarkStart w:id="1690" w:name="_Toc17658"/>
      <w:bookmarkStart w:id="1691" w:name="_Toc29577"/>
      <w:r>
        <w:t>2.4.5. Plafoane autoportante sau suspendate și pardoseli supraînălţate</w:t>
      </w:r>
      <w:bookmarkEnd w:id="1684"/>
      <w:bookmarkEnd w:id="1685"/>
      <w:bookmarkEnd w:id="1686"/>
      <w:bookmarkEnd w:id="1687"/>
      <w:bookmarkEnd w:id="1688"/>
      <w:bookmarkEnd w:id="1689"/>
      <w:bookmarkEnd w:id="1690"/>
      <w:bookmarkEnd w:id="1691"/>
    </w:p>
    <w:p w14:paraId="23A15A0A" w14:textId="77777777" w:rsidR="001C08A5" w:rsidRDefault="001C08A5">
      <w:pPr>
        <w:rPr>
          <w:sz w:val="24"/>
          <w:szCs w:val="24"/>
        </w:rPr>
      </w:pPr>
    </w:p>
    <w:p w14:paraId="0007FEAA" w14:textId="77777777" w:rsidR="001C08A5" w:rsidRDefault="00000000">
      <w:pPr>
        <w:ind w:firstLine="720"/>
        <w:jc w:val="both"/>
        <w:rPr>
          <w:sz w:val="24"/>
          <w:szCs w:val="24"/>
        </w:rPr>
      </w:pPr>
      <w:r>
        <w:rPr>
          <w:b/>
          <w:sz w:val="24"/>
          <w:szCs w:val="24"/>
        </w:rPr>
        <w:lastRenderedPageBreak/>
        <w:t>Art. 2.4.5.1. (1)</w:t>
      </w:r>
      <w:r>
        <w:rPr>
          <w:sz w:val="24"/>
          <w:szCs w:val="24"/>
        </w:rPr>
        <w:t xml:space="preserve"> Plafoanele </w:t>
      </w:r>
      <w:r>
        <w:rPr>
          <w:bCs/>
          <w:sz w:val="24"/>
          <w:szCs w:val="24"/>
        </w:rPr>
        <w:t xml:space="preserve">autoportante sau </w:t>
      </w:r>
      <w:r>
        <w:rPr>
          <w:sz w:val="24"/>
          <w:szCs w:val="24"/>
        </w:rPr>
        <w:t xml:space="preserve">suspendate pline (cu suprafață continuă închisă) combustibile și pardoselile supraînălţate combustibile (acolo unde acestea sunt admise), vor avea continuitatea întreruptă la limita pereţilor rezistenţi la foc ai încăperii, inclusiv la limita panourilor funcționale opace sau vitrate de delimitare, precum și în dreptul rosturilor de tasare-dilatare sau seismice ale construcţiei. </w:t>
      </w:r>
    </w:p>
    <w:p w14:paraId="4DC168BE" w14:textId="77777777" w:rsidR="001C08A5" w:rsidRDefault="00000000">
      <w:pPr>
        <w:jc w:val="both"/>
        <w:rPr>
          <w:sz w:val="24"/>
          <w:szCs w:val="24"/>
        </w:rPr>
      </w:pPr>
      <w:r>
        <w:rPr>
          <w:sz w:val="24"/>
          <w:szCs w:val="24"/>
        </w:rPr>
        <w:tab/>
      </w:r>
      <w:r>
        <w:rPr>
          <w:b/>
          <w:sz w:val="24"/>
          <w:szCs w:val="24"/>
        </w:rPr>
        <w:t>(2)</w:t>
      </w:r>
      <w:r>
        <w:rPr>
          <w:sz w:val="24"/>
          <w:szCs w:val="24"/>
        </w:rPr>
        <w:t xml:space="preserve"> Întreruperea continuităţii se realizează cu fâşii continui din materiale clasa de reacţie la foc </w:t>
      </w:r>
      <w:r>
        <w:rPr>
          <w:b/>
          <w:sz w:val="24"/>
          <w:szCs w:val="24"/>
        </w:rPr>
        <w:t>A1</w:t>
      </w:r>
      <w:r>
        <w:rPr>
          <w:sz w:val="24"/>
          <w:szCs w:val="24"/>
        </w:rPr>
        <w:t xml:space="preserve"> sau </w:t>
      </w:r>
      <w:r>
        <w:rPr>
          <w:b/>
          <w:sz w:val="24"/>
          <w:szCs w:val="24"/>
        </w:rPr>
        <w:t>A2-s1d0</w:t>
      </w:r>
      <w:r>
        <w:rPr>
          <w:sz w:val="24"/>
          <w:szCs w:val="24"/>
        </w:rPr>
        <w:t xml:space="preserve"> cu </w:t>
      </w:r>
      <w:hyperlink r:id="rId150" w:history="1">
        <w:r>
          <w:rPr>
            <w:rStyle w:val="Hyperlink"/>
            <w:color w:val="auto"/>
            <w:sz w:val="24"/>
            <w:szCs w:val="24"/>
            <w:u w:val="none"/>
          </w:rPr>
          <w:t>lăţimea</w:t>
        </w:r>
      </w:hyperlink>
      <w:r>
        <w:rPr>
          <w:sz w:val="24"/>
          <w:szCs w:val="24"/>
        </w:rPr>
        <w:t xml:space="preserve"> de minimum un </w:t>
      </w:r>
      <w:r>
        <w:rPr>
          <w:b/>
          <w:bCs/>
          <w:sz w:val="24"/>
          <w:szCs w:val="24"/>
        </w:rPr>
        <w:t>1 m</w:t>
      </w:r>
      <w:r>
        <w:rPr>
          <w:sz w:val="24"/>
          <w:szCs w:val="24"/>
        </w:rPr>
        <w:t xml:space="preserve"> dispuse în planul plafonului suspendat ori a pardoselii supraînălţate ori prin spaţii libere cu </w:t>
      </w:r>
      <w:hyperlink r:id="rId151" w:history="1">
        <w:r>
          <w:rPr>
            <w:rStyle w:val="Hyperlink"/>
            <w:color w:val="auto"/>
            <w:sz w:val="24"/>
            <w:szCs w:val="24"/>
            <w:u w:val="none"/>
          </w:rPr>
          <w:t>lăţimea</w:t>
        </w:r>
      </w:hyperlink>
      <w:r>
        <w:rPr>
          <w:sz w:val="24"/>
          <w:szCs w:val="24"/>
        </w:rPr>
        <w:t xml:space="preserve"> de minimum un </w:t>
      </w:r>
      <w:r>
        <w:rPr>
          <w:b/>
          <w:bCs/>
          <w:sz w:val="24"/>
          <w:szCs w:val="24"/>
        </w:rPr>
        <w:t>1 m</w:t>
      </w:r>
      <w:r>
        <w:rPr>
          <w:sz w:val="24"/>
          <w:szCs w:val="24"/>
        </w:rPr>
        <w:t xml:space="preserve"> dispuse în planul plafonului suspendat.</w:t>
      </w:r>
    </w:p>
    <w:p w14:paraId="0FDC2894" w14:textId="77777777" w:rsidR="001C08A5" w:rsidRDefault="001C08A5">
      <w:pPr>
        <w:rPr>
          <w:sz w:val="24"/>
          <w:szCs w:val="24"/>
        </w:rPr>
      </w:pPr>
    </w:p>
    <w:p w14:paraId="0C0D77EE" w14:textId="77777777" w:rsidR="001C08A5" w:rsidRDefault="00000000">
      <w:pPr>
        <w:jc w:val="both"/>
        <w:rPr>
          <w:sz w:val="24"/>
          <w:szCs w:val="24"/>
        </w:rPr>
      </w:pPr>
      <w:r>
        <w:rPr>
          <w:b/>
          <w:sz w:val="24"/>
          <w:szCs w:val="24"/>
        </w:rPr>
        <w:tab/>
        <w:t>Art. 2.4.5.2.</w:t>
      </w:r>
      <w:r>
        <w:rPr>
          <w:b/>
          <w:sz w:val="24"/>
          <w:szCs w:val="24"/>
        </w:rPr>
        <w:tab/>
        <w:t xml:space="preserve">(1) </w:t>
      </w:r>
      <w:r>
        <w:rPr>
          <w:bCs/>
          <w:sz w:val="24"/>
          <w:szCs w:val="24"/>
        </w:rPr>
        <w:t xml:space="preserve">În cazul </w:t>
      </w:r>
      <w:r>
        <w:rPr>
          <w:sz w:val="24"/>
          <w:szCs w:val="24"/>
        </w:rPr>
        <w:t xml:space="preserve">plafoanelor suspendate pline (cu suprafața continuă închisă)  continuitatea golului dintre plafon și planşeu se întrerupe prin diafragme continui realizate din materiale clasa de reacţie la foc </w:t>
      </w:r>
      <w:r>
        <w:rPr>
          <w:b/>
          <w:sz w:val="24"/>
          <w:szCs w:val="24"/>
        </w:rPr>
        <w:t>A1</w:t>
      </w:r>
      <w:r>
        <w:rPr>
          <w:sz w:val="24"/>
          <w:szCs w:val="24"/>
        </w:rPr>
        <w:t xml:space="preserve"> sau </w:t>
      </w:r>
      <w:r>
        <w:rPr>
          <w:b/>
          <w:sz w:val="24"/>
          <w:szCs w:val="24"/>
        </w:rPr>
        <w:t xml:space="preserve">A2-s1d0 </w:t>
      </w:r>
      <w:r>
        <w:rPr>
          <w:sz w:val="24"/>
          <w:szCs w:val="24"/>
        </w:rPr>
        <w:t xml:space="preserve">dispuse la distanţe de maximum </w:t>
      </w:r>
      <w:r>
        <w:rPr>
          <w:b/>
          <w:bCs/>
          <w:sz w:val="24"/>
          <w:szCs w:val="24"/>
        </w:rPr>
        <w:t>30 m</w:t>
      </w:r>
      <w:r>
        <w:rPr>
          <w:sz w:val="24"/>
          <w:szCs w:val="24"/>
        </w:rPr>
        <w:t xml:space="preserve"> pe două direcţii perpendiculare atunci când spațiul dintre plafonul suspendat și planşeul de rezistenţă nu este echipat cu instalație automată de stingere cu sprinklere. În toate cazurile se vor avea în vedere prevederile </w:t>
      </w:r>
      <w:r>
        <w:rPr>
          <w:b/>
          <w:bCs/>
          <w:sz w:val="24"/>
          <w:szCs w:val="24"/>
        </w:rPr>
        <w:t>Art. 8.1.2.</w:t>
      </w:r>
      <w:r>
        <w:rPr>
          <w:sz w:val="24"/>
          <w:szCs w:val="24"/>
        </w:rPr>
        <w:t xml:space="preserve"> Traversarea diafragmelor de catre instalatiile construcției se va realiza cu asigurarea etanșeitățtii cu elemente incombustibile fără rezistență la foc impusă.</w:t>
      </w:r>
    </w:p>
    <w:p w14:paraId="7BBEA7D8" w14:textId="77777777" w:rsidR="001C08A5" w:rsidRDefault="00000000">
      <w:pPr>
        <w:ind w:firstLine="720"/>
        <w:jc w:val="both"/>
        <w:rPr>
          <w:sz w:val="24"/>
          <w:szCs w:val="24"/>
        </w:rPr>
      </w:pPr>
      <w:r>
        <w:rPr>
          <w:b/>
          <w:sz w:val="24"/>
          <w:szCs w:val="24"/>
        </w:rPr>
        <w:t>(2)</w:t>
      </w:r>
      <w:r>
        <w:rPr>
          <w:sz w:val="24"/>
          <w:szCs w:val="24"/>
        </w:rPr>
        <w:t xml:space="preserve"> Întreruperea continuităţii golului dintre plafon și planşeu nu este obligatorie la plafoanele cu suprafață deschisa sau modular demontabilă, de tip perforat, lamelar, fagure sau grătar (plafoane suspendate care nu sunt pline), la canalele de ventilare/condiţionare și la podurile construcţiilor., precum și în cazul protejării cu instalaţii de stingere automate tip sprinkler a spaţiului dintre plafon și planşeu.</w:t>
      </w:r>
    </w:p>
    <w:p w14:paraId="5C3A071F" w14:textId="77777777" w:rsidR="001C08A5" w:rsidRDefault="00000000">
      <w:pPr>
        <w:widowControl w:val="0"/>
        <w:spacing w:line="100" w:lineRule="atLeast"/>
        <w:ind w:firstLine="720"/>
        <w:jc w:val="both"/>
        <w:rPr>
          <w:rFonts w:eastAsia="Times-Roman"/>
          <w:b/>
          <w:bCs/>
          <w:sz w:val="24"/>
          <w:szCs w:val="24"/>
        </w:rPr>
      </w:pPr>
      <w:r>
        <w:rPr>
          <w:b/>
          <w:sz w:val="24"/>
          <w:szCs w:val="24"/>
        </w:rPr>
        <w:t>(3)</w:t>
      </w:r>
      <w:r>
        <w:rPr>
          <w:sz w:val="24"/>
          <w:szCs w:val="24"/>
        </w:rPr>
        <w:t xml:space="preserve"> Plafoanele cu suprafata continuă sau discontinuă / modulară, de tip perforat, lamelar, fagure sau grătar (atât cele pline, cât și cele care nu sunt pline) se realizează din materiale încadrate în clasa de reacţie la foc </w:t>
      </w:r>
      <w:r>
        <w:rPr>
          <w:b/>
          <w:sz w:val="24"/>
          <w:szCs w:val="24"/>
        </w:rPr>
        <w:t>A1</w:t>
      </w:r>
      <w:r>
        <w:rPr>
          <w:sz w:val="24"/>
          <w:szCs w:val="24"/>
        </w:rPr>
        <w:t xml:space="preserve"> sau </w:t>
      </w:r>
      <w:r>
        <w:rPr>
          <w:b/>
          <w:sz w:val="24"/>
          <w:szCs w:val="24"/>
        </w:rPr>
        <w:t>A2-s1d0</w:t>
      </w:r>
      <w:r>
        <w:rPr>
          <w:sz w:val="24"/>
          <w:szCs w:val="24"/>
        </w:rPr>
        <w:t xml:space="preserve">.  </w:t>
      </w:r>
      <w:r>
        <w:rPr>
          <w:rFonts w:eastAsia="Times-Roman"/>
          <w:sz w:val="24"/>
          <w:szCs w:val="24"/>
        </w:rPr>
        <w:t xml:space="preserve">Se admit și materiale </w:t>
      </w:r>
      <w:r>
        <w:rPr>
          <w:rFonts w:eastAsia="Times-Roman"/>
          <w:bCs/>
          <w:sz w:val="24"/>
          <w:szCs w:val="24"/>
        </w:rPr>
        <w:t>î</w:t>
      </w:r>
      <w:r>
        <w:rPr>
          <w:rFonts w:eastAsia="Times-Roman"/>
          <w:sz w:val="24"/>
          <w:szCs w:val="24"/>
        </w:rPr>
        <w:t xml:space="preserve">ncadrate </w:t>
      </w:r>
      <w:r>
        <w:rPr>
          <w:rFonts w:eastAsia="Times-Roman"/>
          <w:bCs/>
          <w:sz w:val="24"/>
          <w:szCs w:val="24"/>
        </w:rPr>
        <w:t>î</w:t>
      </w:r>
      <w:r>
        <w:rPr>
          <w:rFonts w:eastAsia="Times-Roman"/>
          <w:sz w:val="24"/>
          <w:szCs w:val="24"/>
        </w:rPr>
        <w:t xml:space="preserve">n clasă de reacţie la foc diferită (conform prevederilor din </w:t>
      </w:r>
      <w:r>
        <w:rPr>
          <w:rFonts w:eastAsia="Times-Roman"/>
        </w:rPr>
        <w:fldChar w:fldCharType="begin"/>
      </w:r>
      <w:r>
        <w:rPr>
          <w:rFonts w:eastAsia="Times-Roman"/>
        </w:rPr>
        <w:instrText xml:space="preserve"> REF _Ref30765 \h  \* MERGEFORMAT </w:instrText>
      </w:r>
      <w:r>
        <w:rPr>
          <w:rFonts w:eastAsia="Times-Roman"/>
        </w:rPr>
      </w:r>
      <w:r>
        <w:rPr>
          <w:rFonts w:eastAsia="Times-Roman"/>
        </w:rPr>
        <w:fldChar w:fldCharType="separate"/>
      </w:r>
      <w:r>
        <w:t>Tabelul 17</w:t>
      </w:r>
      <w:r>
        <w:rPr>
          <w:rFonts w:eastAsia="Times-Roman"/>
        </w:rPr>
        <w:fldChar w:fldCharType="end"/>
      </w:r>
      <w:r>
        <w:rPr>
          <w:rFonts w:eastAsia="Times-Roman"/>
          <w:sz w:val="24"/>
          <w:szCs w:val="24"/>
        </w:rPr>
        <w:t xml:space="preserve">) în încăperi care nu sunt situate în clădiri înalte și foarte înalte, nu constituie spații cu aglomerări de persoane sau săli aglomerate, și sunt separate de restul construcției cu pereți rezistenți la foc  potrivit nivelului de stabilitate. </w:t>
      </w:r>
    </w:p>
    <w:p w14:paraId="393021A1" w14:textId="77777777" w:rsidR="001C08A5" w:rsidRDefault="001C08A5">
      <w:pPr>
        <w:jc w:val="both"/>
        <w:rPr>
          <w:b/>
          <w:sz w:val="24"/>
          <w:szCs w:val="24"/>
        </w:rPr>
      </w:pPr>
    </w:p>
    <w:p w14:paraId="0686F083" w14:textId="77777777" w:rsidR="001C08A5" w:rsidRDefault="00000000">
      <w:pPr>
        <w:pStyle w:val="Captiontabel"/>
      </w:pPr>
      <w:bookmarkStart w:id="1692" w:name="_Ref30765"/>
      <w:bookmarkStart w:id="1693" w:name="_Toc162360067"/>
      <w:bookmarkStart w:id="1694" w:name="_Ref27077"/>
      <w:r>
        <w:t xml:space="preserve">Tabelul </w:t>
      </w:r>
      <w:r>
        <w:fldChar w:fldCharType="begin"/>
      </w:r>
      <w:r>
        <w:instrText xml:space="preserve"> SEQ Tabelul \* ARABIC </w:instrText>
      </w:r>
      <w:r>
        <w:fldChar w:fldCharType="separate"/>
      </w:r>
      <w:r>
        <w:t>17</w:t>
      </w:r>
      <w:r>
        <w:fldChar w:fldCharType="end"/>
      </w:r>
      <w:bookmarkStart w:id="1695" w:name="_Toc24231"/>
      <w:bookmarkStart w:id="1696" w:name="_Toc12707"/>
      <w:bookmarkStart w:id="1697" w:name="_Toc15482"/>
      <w:bookmarkStart w:id="1698" w:name="_Toc16818"/>
      <w:bookmarkStart w:id="1699" w:name="_Toc4389"/>
      <w:bookmarkStart w:id="1700" w:name="_Toc18431"/>
      <w:bookmarkStart w:id="1701" w:name="_Toc31380"/>
      <w:bookmarkStart w:id="1702" w:name="_Toc12815"/>
      <w:bookmarkStart w:id="1703" w:name="_Toc10674"/>
      <w:bookmarkStart w:id="1704" w:name="_Toc21617"/>
      <w:bookmarkStart w:id="1705" w:name="_Toc11671"/>
      <w:bookmarkStart w:id="1706" w:name="_Toc23577"/>
      <w:bookmarkStart w:id="1707" w:name="_Toc13976"/>
      <w:bookmarkStart w:id="1708" w:name="_Toc23116"/>
      <w:bookmarkStart w:id="1709" w:name="_Toc16276"/>
      <w:bookmarkStart w:id="1710" w:name="_Toc8347"/>
      <w:bookmarkStart w:id="1711" w:name="_Toc4011"/>
      <w:bookmarkStart w:id="1712" w:name="_Toc8201"/>
      <w:bookmarkStart w:id="1713" w:name="_Toc10152"/>
      <w:bookmarkEnd w:id="1692"/>
      <w:r>
        <w:t>: Clase de performanţă privind reacţia la foc a materialelor folosite pentru plafoane</w:t>
      </w:r>
      <w:bookmarkEnd w:id="1693"/>
      <w:r>
        <w:t xml:space="preserve"> </w:t>
      </w:r>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p>
    <w:p w14:paraId="01C58EF6" w14:textId="77777777" w:rsidR="001C08A5" w:rsidRDefault="001C08A5">
      <w:pPr>
        <w:jc w:val="both"/>
        <w:rPr>
          <w:sz w:val="24"/>
          <w:szCs w:val="24"/>
        </w:rPr>
      </w:pPr>
    </w:p>
    <w:tbl>
      <w:tblPr>
        <w:tblW w:w="348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02"/>
        <w:gridCol w:w="1704"/>
        <w:gridCol w:w="1999"/>
        <w:gridCol w:w="1799"/>
      </w:tblGrid>
      <w:tr w:rsidR="001C08A5" w14:paraId="3C214D95" w14:textId="77777777">
        <w:trPr>
          <w:tblHeader/>
          <w:jc w:val="center"/>
        </w:trPr>
        <w:tc>
          <w:tcPr>
            <w:tcW w:w="896" w:type="pct"/>
            <w:vMerge w:val="restart"/>
            <w:shd w:val="clear" w:color="auto" w:fill="BFBFBF"/>
          </w:tcPr>
          <w:p w14:paraId="130A1DC8" w14:textId="77777777" w:rsidR="001C08A5" w:rsidRDefault="00000000">
            <w:pPr>
              <w:pStyle w:val="BodyText"/>
              <w:jc w:val="center"/>
              <w:rPr>
                <w:bCs w:val="0"/>
                <w:sz w:val="22"/>
                <w:szCs w:val="22"/>
              </w:rPr>
            </w:pPr>
            <w:r>
              <w:rPr>
                <w:bCs w:val="0"/>
                <w:sz w:val="22"/>
                <w:szCs w:val="22"/>
              </w:rPr>
              <w:t>Nivel de stabilitate</w:t>
            </w:r>
          </w:p>
          <w:p w14:paraId="06252DCC" w14:textId="77777777" w:rsidR="001C08A5" w:rsidRDefault="00000000">
            <w:pPr>
              <w:jc w:val="center"/>
              <w:rPr>
                <w:b/>
                <w:i/>
                <w:sz w:val="22"/>
                <w:szCs w:val="22"/>
              </w:rPr>
            </w:pPr>
            <w:r>
              <w:rPr>
                <w:b/>
                <w:i/>
                <w:sz w:val="22"/>
                <w:szCs w:val="22"/>
              </w:rPr>
              <w:t>la incendiu</w:t>
            </w:r>
          </w:p>
        </w:tc>
        <w:tc>
          <w:tcPr>
            <w:tcW w:w="4103" w:type="pct"/>
            <w:gridSpan w:val="3"/>
            <w:shd w:val="clear" w:color="auto" w:fill="BFBFBF"/>
          </w:tcPr>
          <w:p w14:paraId="5B5A8EB3" w14:textId="77777777" w:rsidR="001C08A5" w:rsidRDefault="00000000">
            <w:pPr>
              <w:jc w:val="center"/>
              <w:rPr>
                <w:b/>
                <w:i/>
                <w:sz w:val="22"/>
                <w:szCs w:val="22"/>
              </w:rPr>
            </w:pPr>
            <w:r>
              <w:rPr>
                <w:b/>
                <w:i/>
                <w:sz w:val="22"/>
                <w:szCs w:val="22"/>
              </w:rPr>
              <w:t>Plafoane</w:t>
            </w:r>
          </w:p>
        </w:tc>
      </w:tr>
      <w:tr w:rsidR="001C08A5" w14:paraId="37482405" w14:textId="77777777">
        <w:trPr>
          <w:trHeight w:val="786"/>
          <w:tblHeader/>
          <w:jc w:val="center"/>
        </w:trPr>
        <w:tc>
          <w:tcPr>
            <w:tcW w:w="896" w:type="pct"/>
            <w:vMerge/>
            <w:shd w:val="clear" w:color="auto" w:fill="BFBFBF"/>
          </w:tcPr>
          <w:p w14:paraId="64AA1DD3" w14:textId="77777777" w:rsidR="001C08A5" w:rsidRDefault="001C08A5">
            <w:pPr>
              <w:jc w:val="center"/>
              <w:rPr>
                <w:i/>
                <w:sz w:val="22"/>
                <w:szCs w:val="22"/>
              </w:rPr>
            </w:pPr>
          </w:p>
        </w:tc>
        <w:tc>
          <w:tcPr>
            <w:tcW w:w="1270" w:type="pct"/>
            <w:shd w:val="clear" w:color="auto" w:fill="BFBFBF"/>
          </w:tcPr>
          <w:p w14:paraId="6D47198A" w14:textId="77777777" w:rsidR="001C08A5" w:rsidRDefault="00000000">
            <w:pPr>
              <w:jc w:val="center"/>
              <w:rPr>
                <w:b/>
                <w:i/>
                <w:sz w:val="22"/>
                <w:szCs w:val="22"/>
              </w:rPr>
            </w:pPr>
            <w:r>
              <w:rPr>
                <w:b/>
                <w:bCs/>
                <w:i/>
                <w:sz w:val="22"/>
                <w:szCs w:val="22"/>
              </w:rPr>
              <w:t>la coridoare şi la holuri</w:t>
            </w:r>
          </w:p>
        </w:tc>
        <w:tc>
          <w:tcPr>
            <w:tcW w:w="1491" w:type="pct"/>
            <w:shd w:val="clear" w:color="auto" w:fill="BFBFBF"/>
          </w:tcPr>
          <w:p w14:paraId="5BABC6EE" w14:textId="77777777" w:rsidR="001C08A5" w:rsidRDefault="00000000">
            <w:pPr>
              <w:jc w:val="center"/>
              <w:rPr>
                <w:b/>
                <w:i/>
                <w:sz w:val="22"/>
                <w:szCs w:val="22"/>
              </w:rPr>
            </w:pPr>
            <w:r>
              <w:rPr>
                <w:b/>
                <w:bCs/>
                <w:i/>
                <w:sz w:val="22"/>
                <w:szCs w:val="22"/>
              </w:rPr>
              <w:t>la case de scări închise</w:t>
            </w:r>
          </w:p>
        </w:tc>
        <w:tc>
          <w:tcPr>
            <w:tcW w:w="1341" w:type="pct"/>
            <w:shd w:val="clear" w:color="auto" w:fill="BFBFBF"/>
          </w:tcPr>
          <w:p w14:paraId="67FB85C7" w14:textId="77777777" w:rsidR="001C08A5" w:rsidRDefault="00000000">
            <w:pPr>
              <w:jc w:val="center"/>
              <w:rPr>
                <w:b/>
                <w:bCs/>
                <w:i/>
                <w:sz w:val="22"/>
                <w:szCs w:val="22"/>
              </w:rPr>
            </w:pPr>
            <w:r>
              <w:rPr>
                <w:b/>
                <w:i/>
                <w:sz w:val="22"/>
                <w:szCs w:val="22"/>
              </w:rPr>
              <w:t>Încăperi</w:t>
            </w:r>
          </w:p>
        </w:tc>
      </w:tr>
      <w:tr w:rsidR="001C08A5" w14:paraId="5F56C9CB" w14:textId="77777777">
        <w:trPr>
          <w:jc w:val="center"/>
        </w:trPr>
        <w:tc>
          <w:tcPr>
            <w:tcW w:w="896" w:type="pct"/>
          </w:tcPr>
          <w:p w14:paraId="659AAFE7" w14:textId="77777777" w:rsidR="001C08A5" w:rsidRDefault="00000000">
            <w:pPr>
              <w:pStyle w:val="BodyText"/>
              <w:jc w:val="center"/>
              <w:rPr>
                <w:bCs w:val="0"/>
                <w:sz w:val="22"/>
                <w:szCs w:val="22"/>
              </w:rPr>
            </w:pPr>
            <w:r>
              <w:rPr>
                <w:bCs w:val="0"/>
                <w:sz w:val="22"/>
                <w:szCs w:val="22"/>
              </w:rPr>
              <w:t>I</w:t>
            </w:r>
          </w:p>
        </w:tc>
        <w:tc>
          <w:tcPr>
            <w:tcW w:w="1270" w:type="pct"/>
          </w:tcPr>
          <w:p w14:paraId="7A5B13D2" w14:textId="77777777" w:rsidR="001C08A5" w:rsidRDefault="00000000">
            <w:pPr>
              <w:jc w:val="center"/>
              <w:rPr>
                <w:b/>
                <w:bCs/>
                <w:i/>
                <w:sz w:val="22"/>
                <w:szCs w:val="22"/>
              </w:rPr>
            </w:pPr>
            <w:r>
              <w:rPr>
                <w:b/>
                <w:i/>
                <w:sz w:val="22"/>
                <w:szCs w:val="22"/>
              </w:rPr>
              <w:t>A1</w:t>
            </w:r>
            <w:r>
              <w:rPr>
                <w:bCs/>
                <w:i/>
                <w:sz w:val="22"/>
                <w:szCs w:val="22"/>
              </w:rPr>
              <w:t xml:space="preserve">, </w:t>
            </w:r>
            <w:r>
              <w:rPr>
                <w:b/>
                <w:i/>
                <w:sz w:val="22"/>
                <w:szCs w:val="22"/>
              </w:rPr>
              <w:t>A2-s1d0</w:t>
            </w:r>
          </w:p>
        </w:tc>
        <w:tc>
          <w:tcPr>
            <w:tcW w:w="1491" w:type="pct"/>
          </w:tcPr>
          <w:p w14:paraId="13145681"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341" w:type="pct"/>
          </w:tcPr>
          <w:p w14:paraId="0E47460B" w14:textId="77777777" w:rsidR="001C08A5" w:rsidRDefault="00000000">
            <w:pPr>
              <w:jc w:val="center"/>
              <w:rPr>
                <w:b/>
                <w:i/>
                <w:sz w:val="22"/>
                <w:szCs w:val="22"/>
              </w:rPr>
            </w:pPr>
            <w:r>
              <w:rPr>
                <w:b/>
                <w:i/>
                <w:sz w:val="22"/>
                <w:szCs w:val="22"/>
              </w:rPr>
              <w:t>min B-s1d0</w:t>
            </w:r>
          </w:p>
        </w:tc>
      </w:tr>
      <w:tr w:rsidR="001C08A5" w14:paraId="6CCF9645" w14:textId="77777777">
        <w:trPr>
          <w:jc w:val="center"/>
        </w:trPr>
        <w:tc>
          <w:tcPr>
            <w:tcW w:w="896" w:type="pct"/>
          </w:tcPr>
          <w:p w14:paraId="1F885A9F" w14:textId="77777777" w:rsidR="001C08A5" w:rsidRDefault="00000000">
            <w:pPr>
              <w:pStyle w:val="BodyText"/>
              <w:jc w:val="center"/>
              <w:rPr>
                <w:bCs w:val="0"/>
                <w:sz w:val="22"/>
                <w:szCs w:val="22"/>
              </w:rPr>
            </w:pPr>
            <w:r>
              <w:rPr>
                <w:bCs w:val="0"/>
                <w:sz w:val="22"/>
                <w:szCs w:val="22"/>
              </w:rPr>
              <w:t>II</w:t>
            </w:r>
          </w:p>
        </w:tc>
        <w:tc>
          <w:tcPr>
            <w:tcW w:w="1270" w:type="pct"/>
          </w:tcPr>
          <w:p w14:paraId="4D09527D" w14:textId="77777777" w:rsidR="001C08A5" w:rsidRDefault="00000000">
            <w:pPr>
              <w:jc w:val="center"/>
              <w:rPr>
                <w:b/>
                <w:bCs/>
                <w:i/>
                <w:sz w:val="22"/>
                <w:szCs w:val="22"/>
              </w:rPr>
            </w:pPr>
            <w:r>
              <w:rPr>
                <w:b/>
                <w:i/>
                <w:sz w:val="22"/>
                <w:szCs w:val="22"/>
              </w:rPr>
              <w:t>A1</w:t>
            </w:r>
            <w:r>
              <w:rPr>
                <w:bCs/>
                <w:i/>
                <w:sz w:val="22"/>
                <w:szCs w:val="22"/>
              </w:rPr>
              <w:t xml:space="preserve">, </w:t>
            </w:r>
            <w:r>
              <w:rPr>
                <w:b/>
                <w:i/>
                <w:sz w:val="22"/>
                <w:szCs w:val="22"/>
              </w:rPr>
              <w:t>A2-s1d0</w:t>
            </w:r>
          </w:p>
        </w:tc>
        <w:tc>
          <w:tcPr>
            <w:tcW w:w="1491" w:type="pct"/>
          </w:tcPr>
          <w:p w14:paraId="79AE5F3F"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341" w:type="pct"/>
          </w:tcPr>
          <w:p w14:paraId="3188EBEC" w14:textId="77777777" w:rsidR="001C08A5" w:rsidRDefault="00000000">
            <w:pPr>
              <w:jc w:val="center"/>
              <w:rPr>
                <w:b/>
                <w:i/>
                <w:sz w:val="22"/>
                <w:szCs w:val="22"/>
              </w:rPr>
            </w:pPr>
            <w:r>
              <w:rPr>
                <w:b/>
                <w:i/>
                <w:sz w:val="22"/>
                <w:szCs w:val="22"/>
              </w:rPr>
              <w:t>min B-s2d0</w:t>
            </w:r>
          </w:p>
        </w:tc>
      </w:tr>
      <w:tr w:rsidR="001C08A5" w14:paraId="0A4E4DC5" w14:textId="77777777">
        <w:trPr>
          <w:jc w:val="center"/>
        </w:trPr>
        <w:tc>
          <w:tcPr>
            <w:tcW w:w="896" w:type="pct"/>
          </w:tcPr>
          <w:p w14:paraId="72C4D797" w14:textId="77777777" w:rsidR="001C08A5" w:rsidRDefault="00000000">
            <w:pPr>
              <w:pStyle w:val="BodyText"/>
              <w:jc w:val="center"/>
              <w:rPr>
                <w:bCs w:val="0"/>
                <w:sz w:val="22"/>
                <w:szCs w:val="22"/>
              </w:rPr>
            </w:pPr>
            <w:r>
              <w:rPr>
                <w:bCs w:val="0"/>
                <w:sz w:val="22"/>
                <w:szCs w:val="22"/>
              </w:rPr>
              <w:t>III</w:t>
            </w:r>
          </w:p>
        </w:tc>
        <w:tc>
          <w:tcPr>
            <w:tcW w:w="1270" w:type="pct"/>
          </w:tcPr>
          <w:p w14:paraId="048FA5E2" w14:textId="77777777" w:rsidR="001C08A5" w:rsidRDefault="00000000">
            <w:pPr>
              <w:jc w:val="center"/>
              <w:rPr>
                <w:b/>
                <w:i/>
                <w:sz w:val="22"/>
                <w:szCs w:val="22"/>
              </w:rPr>
            </w:pPr>
            <w:r>
              <w:rPr>
                <w:b/>
                <w:i/>
                <w:sz w:val="22"/>
                <w:szCs w:val="22"/>
              </w:rPr>
              <w:t>min B-s1d0</w:t>
            </w:r>
          </w:p>
        </w:tc>
        <w:tc>
          <w:tcPr>
            <w:tcW w:w="1491" w:type="pct"/>
          </w:tcPr>
          <w:p w14:paraId="15DB837B"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341" w:type="pct"/>
          </w:tcPr>
          <w:p w14:paraId="214FB7E3" w14:textId="77777777" w:rsidR="001C08A5" w:rsidRDefault="00000000">
            <w:pPr>
              <w:jc w:val="center"/>
              <w:rPr>
                <w:b/>
                <w:i/>
                <w:sz w:val="22"/>
                <w:szCs w:val="22"/>
              </w:rPr>
            </w:pPr>
            <w:r>
              <w:rPr>
                <w:b/>
                <w:i/>
                <w:sz w:val="22"/>
                <w:szCs w:val="22"/>
              </w:rPr>
              <w:t>min B-s3d0</w:t>
            </w:r>
          </w:p>
        </w:tc>
      </w:tr>
      <w:tr w:rsidR="001C08A5" w14:paraId="53401483" w14:textId="77777777">
        <w:trPr>
          <w:jc w:val="center"/>
        </w:trPr>
        <w:tc>
          <w:tcPr>
            <w:tcW w:w="896" w:type="pct"/>
          </w:tcPr>
          <w:p w14:paraId="790A2AEC" w14:textId="77777777" w:rsidR="001C08A5" w:rsidRDefault="00000000">
            <w:pPr>
              <w:pStyle w:val="BodyText"/>
              <w:jc w:val="center"/>
              <w:rPr>
                <w:bCs w:val="0"/>
                <w:sz w:val="22"/>
                <w:szCs w:val="22"/>
              </w:rPr>
            </w:pPr>
            <w:r>
              <w:rPr>
                <w:bCs w:val="0"/>
                <w:sz w:val="22"/>
                <w:szCs w:val="22"/>
              </w:rPr>
              <w:t>IV</w:t>
            </w:r>
          </w:p>
        </w:tc>
        <w:tc>
          <w:tcPr>
            <w:tcW w:w="1270" w:type="pct"/>
          </w:tcPr>
          <w:p w14:paraId="161D8DF5" w14:textId="77777777" w:rsidR="001C08A5" w:rsidRDefault="00000000">
            <w:pPr>
              <w:jc w:val="center"/>
              <w:rPr>
                <w:b/>
                <w:i/>
                <w:sz w:val="22"/>
                <w:szCs w:val="22"/>
              </w:rPr>
            </w:pPr>
            <w:r>
              <w:rPr>
                <w:b/>
                <w:i/>
                <w:sz w:val="22"/>
                <w:szCs w:val="22"/>
              </w:rPr>
              <w:t>min C-s1d0</w:t>
            </w:r>
          </w:p>
        </w:tc>
        <w:tc>
          <w:tcPr>
            <w:tcW w:w="1491" w:type="pct"/>
          </w:tcPr>
          <w:p w14:paraId="06DBAAFA" w14:textId="77777777" w:rsidR="001C08A5" w:rsidRDefault="00000000">
            <w:pPr>
              <w:jc w:val="center"/>
              <w:rPr>
                <w:b/>
                <w:i/>
                <w:sz w:val="22"/>
                <w:szCs w:val="22"/>
              </w:rPr>
            </w:pPr>
            <w:r>
              <w:rPr>
                <w:b/>
                <w:i/>
                <w:sz w:val="22"/>
                <w:szCs w:val="22"/>
              </w:rPr>
              <w:t>min B-s1d0</w:t>
            </w:r>
          </w:p>
        </w:tc>
        <w:tc>
          <w:tcPr>
            <w:tcW w:w="1341" w:type="pct"/>
          </w:tcPr>
          <w:p w14:paraId="343AEA6D" w14:textId="77777777" w:rsidR="001C08A5" w:rsidRDefault="00000000">
            <w:pPr>
              <w:jc w:val="center"/>
              <w:rPr>
                <w:b/>
                <w:i/>
                <w:sz w:val="22"/>
                <w:szCs w:val="22"/>
              </w:rPr>
            </w:pPr>
            <w:r>
              <w:rPr>
                <w:b/>
                <w:i/>
                <w:sz w:val="22"/>
                <w:szCs w:val="22"/>
              </w:rPr>
              <w:t>min C-s3d0</w:t>
            </w:r>
          </w:p>
        </w:tc>
      </w:tr>
      <w:tr w:rsidR="001C08A5" w14:paraId="740717CE" w14:textId="77777777">
        <w:trPr>
          <w:jc w:val="center"/>
        </w:trPr>
        <w:tc>
          <w:tcPr>
            <w:tcW w:w="896" w:type="pct"/>
          </w:tcPr>
          <w:p w14:paraId="5C5FD947" w14:textId="77777777" w:rsidR="001C08A5" w:rsidRDefault="00000000">
            <w:pPr>
              <w:pStyle w:val="BodyText"/>
              <w:jc w:val="center"/>
              <w:rPr>
                <w:bCs w:val="0"/>
                <w:sz w:val="22"/>
                <w:szCs w:val="22"/>
              </w:rPr>
            </w:pPr>
            <w:r>
              <w:rPr>
                <w:bCs w:val="0"/>
                <w:sz w:val="22"/>
                <w:szCs w:val="22"/>
              </w:rPr>
              <w:t>V</w:t>
            </w:r>
          </w:p>
        </w:tc>
        <w:tc>
          <w:tcPr>
            <w:tcW w:w="1270" w:type="pct"/>
          </w:tcPr>
          <w:p w14:paraId="641F6403" w14:textId="77777777" w:rsidR="001C08A5" w:rsidRDefault="00000000">
            <w:pPr>
              <w:jc w:val="center"/>
              <w:rPr>
                <w:b/>
                <w:i/>
                <w:sz w:val="22"/>
                <w:szCs w:val="22"/>
              </w:rPr>
            </w:pPr>
            <w:r>
              <w:rPr>
                <w:b/>
                <w:i/>
                <w:sz w:val="22"/>
                <w:szCs w:val="22"/>
              </w:rPr>
              <w:t>min D-s1d0</w:t>
            </w:r>
          </w:p>
        </w:tc>
        <w:tc>
          <w:tcPr>
            <w:tcW w:w="1491" w:type="pct"/>
          </w:tcPr>
          <w:p w14:paraId="234CC486" w14:textId="77777777" w:rsidR="001C08A5" w:rsidRDefault="00000000">
            <w:pPr>
              <w:jc w:val="center"/>
              <w:rPr>
                <w:b/>
                <w:i/>
                <w:sz w:val="22"/>
                <w:szCs w:val="22"/>
              </w:rPr>
            </w:pPr>
            <w:r>
              <w:rPr>
                <w:b/>
                <w:i/>
                <w:sz w:val="22"/>
                <w:szCs w:val="22"/>
              </w:rPr>
              <w:t>min C-s1d0</w:t>
            </w:r>
          </w:p>
        </w:tc>
        <w:tc>
          <w:tcPr>
            <w:tcW w:w="1341" w:type="pct"/>
          </w:tcPr>
          <w:p w14:paraId="531BFEB4" w14:textId="77777777" w:rsidR="001C08A5" w:rsidRDefault="00000000">
            <w:pPr>
              <w:jc w:val="center"/>
              <w:rPr>
                <w:b/>
                <w:i/>
                <w:sz w:val="22"/>
                <w:szCs w:val="22"/>
              </w:rPr>
            </w:pPr>
            <w:r>
              <w:rPr>
                <w:b/>
                <w:i/>
                <w:sz w:val="22"/>
                <w:szCs w:val="22"/>
              </w:rPr>
              <w:t>min d0</w:t>
            </w:r>
          </w:p>
        </w:tc>
      </w:tr>
    </w:tbl>
    <w:p w14:paraId="4F292090" w14:textId="77777777" w:rsidR="001C08A5" w:rsidRDefault="001C08A5">
      <w:pPr>
        <w:ind w:firstLine="720"/>
        <w:jc w:val="both"/>
        <w:rPr>
          <w:sz w:val="24"/>
          <w:szCs w:val="24"/>
        </w:rPr>
      </w:pPr>
    </w:p>
    <w:p w14:paraId="77D30F59" w14:textId="77777777" w:rsidR="001C08A5" w:rsidRDefault="00000000">
      <w:pPr>
        <w:jc w:val="both"/>
        <w:rPr>
          <w:sz w:val="24"/>
          <w:szCs w:val="24"/>
        </w:rPr>
      </w:pPr>
      <w:r>
        <w:rPr>
          <w:b/>
          <w:sz w:val="24"/>
          <w:szCs w:val="24"/>
        </w:rPr>
        <w:tab/>
        <w:t xml:space="preserve">Art. 2.4.5.3. </w:t>
      </w:r>
      <w:r>
        <w:rPr>
          <w:sz w:val="24"/>
          <w:szCs w:val="24"/>
        </w:rPr>
        <w:t xml:space="preserve">Aparatele electrice, corpurile de iluminat şi în general, sursele de încălzire trebuie montate faţă de finisajele combustibile prevăzute la pereti, plafoane şi pardoseli, fie la distanţele normate, fie cu luarea măsurilor de protecţie stabilite în normele aplicabile. </w:t>
      </w:r>
    </w:p>
    <w:p w14:paraId="7700BDC4" w14:textId="77777777" w:rsidR="001C08A5" w:rsidRDefault="00000000">
      <w:pPr>
        <w:jc w:val="both"/>
        <w:rPr>
          <w:b/>
          <w:sz w:val="24"/>
          <w:szCs w:val="24"/>
        </w:rPr>
      </w:pPr>
      <w:r>
        <w:rPr>
          <w:b/>
          <w:sz w:val="24"/>
          <w:szCs w:val="24"/>
        </w:rPr>
        <w:tab/>
      </w:r>
    </w:p>
    <w:p w14:paraId="727D12E5" w14:textId="77777777" w:rsidR="001C08A5" w:rsidRDefault="00000000">
      <w:pPr>
        <w:jc w:val="both"/>
        <w:rPr>
          <w:sz w:val="24"/>
          <w:szCs w:val="24"/>
        </w:rPr>
      </w:pPr>
      <w:r>
        <w:rPr>
          <w:b/>
          <w:sz w:val="24"/>
          <w:szCs w:val="24"/>
        </w:rPr>
        <w:tab/>
        <w:t xml:space="preserve">Art. 2.4.5.4. </w:t>
      </w:r>
      <w:r>
        <w:rPr>
          <w:b/>
          <w:bCs/>
          <w:sz w:val="24"/>
          <w:szCs w:val="24"/>
        </w:rPr>
        <w:t>(1)</w:t>
      </w:r>
      <w:r>
        <w:rPr>
          <w:sz w:val="24"/>
          <w:szCs w:val="24"/>
        </w:rPr>
        <w:t xml:space="preserve"> Pardoselile supraînălţate se realizează din produse de construcţie corespunzătoare prevederilor normate.</w:t>
      </w:r>
    </w:p>
    <w:p w14:paraId="434ABD6C" w14:textId="77777777" w:rsidR="001C08A5" w:rsidRDefault="00000000">
      <w:pPr>
        <w:ind w:firstLine="720"/>
        <w:jc w:val="both"/>
        <w:rPr>
          <w:iCs/>
          <w:strike/>
          <w:sz w:val="24"/>
          <w:szCs w:val="24"/>
        </w:rPr>
      </w:pPr>
      <w:r>
        <w:rPr>
          <w:b/>
          <w:sz w:val="24"/>
          <w:szCs w:val="24"/>
        </w:rPr>
        <w:t xml:space="preserve">(2) </w:t>
      </w:r>
      <w:r>
        <w:rPr>
          <w:iCs/>
          <w:sz w:val="24"/>
          <w:szCs w:val="24"/>
        </w:rPr>
        <w:t xml:space="preserve">Pe căile de circulaţie comună, funcţională şi de evacuare, a utilizatorilor diferitelor spaţii sau funcţiuni ale construcţiilor, precum si in incaperi rezistenta la foc a pardoselii </w:t>
      </w:r>
      <w:r>
        <w:rPr>
          <w:sz w:val="24"/>
          <w:szCs w:val="24"/>
        </w:rPr>
        <w:t xml:space="preserve">supraînălţate </w:t>
      </w:r>
      <w:r>
        <w:rPr>
          <w:iCs/>
          <w:sz w:val="24"/>
          <w:szCs w:val="24"/>
        </w:rPr>
        <w:t xml:space="preserve"> se stabileste functie de nivelul de stabilitate la incendiu</w:t>
      </w:r>
      <w:r>
        <w:rPr>
          <w:b/>
          <w:i/>
        </w:rPr>
        <w:t xml:space="preserve">. </w:t>
      </w:r>
    </w:p>
    <w:p w14:paraId="2551B72C" w14:textId="77777777" w:rsidR="001C08A5" w:rsidRDefault="00000000">
      <w:pPr>
        <w:pStyle w:val="Captiontabel"/>
        <w:ind w:firstLine="720"/>
        <w:rPr>
          <w:b w:val="0"/>
          <w:i w:val="0"/>
        </w:rPr>
      </w:pPr>
      <w:r>
        <w:rPr>
          <w:i w:val="0"/>
        </w:rPr>
        <w:t xml:space="preserve">(3) </w:t>
      </w:r>
      <w:r>
        <w:rPr>
          <w:b w:val="0"/>
          <w:bCs/>
          <w:i w:val="0"/>
        </w:rPr>
        <w:t xml:space="preserve">Pe căile de circulaţie comună, funcţională şi de evacuare, a utilizatorilor diferitelor spaţii sau funcţiuni ale construcţiilor, precum si în celelalte încăperi, spaţii sau funcţiuni ale construcţiilor pardoseala  supraînalţată, trebuie să aiba  clasa de reacţie la foc stabilita </w:t>
      </w:r>
      <w:r>
        <w:rPr>
          <w:b w:val="0"/>
          <w:i w:val="0"/>
        </w:rPr>
        <w:t xml:space="preserve">conform prevederilor din </w:t>
      </w:r>
      <w:r>
        <w:rPr>
          <w:b w:val="0"/>
          <w:i w:val="0"/>
        </w:rPr>
        <w:fldChar w:fldCharType="begin"/>
      </w:r>
      <w:r>
        <w:rPr>
          <w:b w:val="0"/>
          <w:i w:val="0"/>
        </w:rPr>
        <w:instrText xml:space="preserve"> REF _Ref31174 \h </w:instrText>
      </w:r>
      <w:r>
        <w:rPr>
          <w:b w:val="0"/>
          <w:i w:val="0"/>
        </w:rPr>
      </w:r>
      <w:r>
        <w:rPr>
          <w:b w:val="0"/>
          <w:i w:val="0"/>
        </w:rPr>
        <w:fldChar w:fldCharType="separate"/>
      </w:r>
      <w:r>
        <w:t>Tabelul 18</w:t>
      </w:r>
      <w:r>
        <w:rPr>
          <w:b w:val="0"/>
          <w:i w:val="0"/>
        </w:rPr>
        <w:fldChar w:fldCharType="end"/>
      </w:r>
      <w:r>
        <w:rPr>
          <w:b w:val="0"/>
          <w:bCs/>
          <w:i w:val="0"/>
        </w:rPr>
        <w:t xml:space="preserve">. Finisajele montate deasupra pardoselilor supraînălţate trebuie să aibă clasa de reacţie la </w:t>
      </w:r>
      <w:r>
        <w:rPr>
          <w:b w:val="0"/>
          <w:bCs/>
          <w:i w:val="0"/>
        </w:rPr>
        <w:lastRenderedPageBreak/>
        <w:t xml:space="preserve">foc similară cu cea prevăzută pentru pardoseli, </w:t>
      </w:r>
      <w:r>
        <w:rPr>
          <w:b w:val="0"/>
          <w:i w:val="0"/>
        </w:rPr>
        <w:t xml:space="preserve">conform prevederilor din </w:t>
      </w:r>
      <w:r>
        <w:rPr>
          <w:b w:val="0"/>
          <w:i w:val="0"/>
        </w:rPr>
        <w:fldChar w:fldCharType="begin"/>
      </w:r>
      <w:r>
        <w:rPr>
          <w:b w:val="0"/>
          <w:i w:val="0"/>
        </w:rPr>
        <w:instrText xml:space="preserve"> REF _Ref31174 \h </w:instrText>
      </w:r>
      <w:r>
        <w:rPr>
          <w:b w:val="0"/>
          <w:i w:val="0"/>
        </w:rPr>
      </w:r>
      <w:r>
        <w:rPr>
          <w:b w:val="0"/>
          <w:i w:val="0"/>
        </w:rPr>
        <w:fldChar w:fldCharType="separate"/>
      </w:r>
      <w:r>
        <w:t>Tabelul 18</w:t>
      </w:r>
      <w:r>
        <w:rPr>
          <w:b w:val="0"/>
          <w:i w:val="0"/>
        </w:rPr>
        <w:fldChar w:fldCharType="end"/>
      </w:r>
      <w:r>
        <w:rPr>
          <w:b w:val="0"/>
          <w:i w:val="0"/>
        </w:rPr>
        <w:t>.</w:t>
      </w:r>
    </w:p>
    <w:p w14:paraId="4AECCBC8" w14:textId="77777777" w:rsidR="001C08A5" w:rsidRDefault="00000000">
      <w:pPr>
        <w:pStyle w:val="BodyText"/>
        <w:ind w:firstLine="720"/>
        <w:rPr>
          <w:iCs/>
        </w:rPr>
      </w:pPr>
      <w:r>
        <w:rPr>
          <w:i w:val="0"/>
        </w:rPr>
        <w:t xml:space="preserve">(4) </w:t>
      </w:r>
      <w:r>
        <w:rPr>
          <w:b w:val="0"/>
          <w:i w:val="0"/>
          <w:iCs/>
        </w:rPr>
        <w:t xml:space="preserve">Continuitatea golului dintre pardoseala supraînălțată și planșeul pe care este așezată se întrerupe prin diafragme continui realizate din materiale clasa de reacţie la foc </w:t>
      </w:r>
      <w:r>
        <w:rPr>
          <w:bCs w:val="0"/>
          <w:i w:val="0"/>
          <w:iCs/>
        </w:rPr>
        <w:t>A1</w:t>
      </w:r>
      <w:r>
        <w:rPr>
          <w:b w:val="0"/>
          <w:i w:val="0"/>
          <w:iCs/>
        </w:rPr>
        <w:t xml:space="preserve"> sau </w:t>
      </w:r>
      <w:r>
        <w:rPr>
          <w:bCs w:val="0"/>
          <w:i w:val="0"/>
          <w:iCs/>
        </w:rPr>
        <w:t>A2-s1d0</w:t>
      </w:r>
      <w:r>
        <w:rPr>
          <w:b w:val="0"/>
          <w:i w:val="0"/>
          <w:iCs/>
        </w:rPr>
        <w:t xml:space="preserve"> dispuse la distanţe de maximum </w:t>
      </w:r>
      <w:r>
        <w:rPr>
          <w:bCs w:val="0"/>
          <w:i w:val="0"/>
          <w:iCs/>
        </w:rPr>
        <w:t>30</w:t>
      </w:r>
      <w:r>
        <w:rPr>
          <w:b w:val="0"/>
          <w:i w:val="0"/>
          <w:iCs/>
        </w:rPr>
        <w:t xml:space="preserve"> m</w:t>
      </w:r>
      <w:r>
        <w:rPr>
          <w:b w:val="0"/>
          <w:bCs w:val="0"/>
          <w:i w:val="0"/>
          <w:iCs/>
        </w:rPr>
        <w:t xml:space="preserve"> pe două direcţii perpendiculare atunci când </w:t>
      </w:r>
      <w:r>
        <w:rPr>
          <w:b w:val="0"/>
          <w:i w:val="0"/>
          <w:iCs/>
        </w:rPr>
        <w:t xml:space="preserve">încăperea în care se află nu </w:t>
      </w:r>
      <w:r>
        <w:rPr>
          <w:b w:val="0"/>
          <w:bCs w:val="0"/>
          <w:i w:val="0"/>
          <w:iCs/>
        </w:rPr>
        <w:t>este echipat</w:t>
      </w:r>
      <w:r>
        <w:rPr>
          <w:b w:val="0"/>
          <w:i w:val="0"/>
          <w:iCs/>
        </w:rPr>
        <w:t>ă</w:t>
      </w:r>
      <w:r>
        <w:rPr>
          <w:b w:val="0"/>
          <w:bCs w:val="0"/>
          <w:i w:val="0"/>
          <w:iCs/>
        </w:rPr>
        <w:t xml:space="preserve"> cu instalație automată de stingere cu sprinklere. Traversarea diafragmelor de catre instalatiile constructiei se va realiza cu asigurarea etanșeității cu elemente incombustibile fără rezistență la foc impusă.</w:t>
      </w:r>
    </w:p>
    <w:p w14:paraId="7952855B" w14:textId="77777777" w:rsidR="001C08A5" w:rsidRDefault="001C08A5">
      <w:pPr>
        <w:pStyle w:val="BodyText"/>
        <w:ind w:firstLine="720"/>
        <w:rPr>
          <w:iCs/>
        </w:rPr>
      </w:pPr>
    </w:p>
    <w:p w14:paraId="6DD2DBC2" w14:textId="77777777" w:rsidR="001C08A5" w:rsidRDefault="00000000">
      <w:pPr>
        <w:pStyle w:val="Captiontabel"/>
      </w:pPr>
      <w:bookmarkStart w:id="1714" w:name="_Ref31174"/>
      <w:bookmarkStart w:id="1715" w:name="_Ref27992"/>
      <w:bookmarkStart w:id="1716" w:name="_Toc162360068"/>
      <w:r>
        <w:t xml:space="preserve">Tabelul </w:t>
      </w:r>
      <w:r>
        <w:fldChar w:fldCharType="begin"/>
      </w:r>
      <w:r>
        <w:instrText xml:space="preserve"> SEQ Tabelul \* ARABIC </w:instrText>
      </w:r>
      <w:r>
        <w:fldChar w:fldCharType="separate"/>
      </w:r>
      <w:r>
        <w:t>18</w:t>
      </w:r>
      <w:r>
        <w:fldChar w:fldCharType="end"/>
      </w:r>
      <w:bookmarkStart w:id="1717" w:name="_Toc3524"/>
      <w:bookmarkStart w:id="1718" w:name="_Toc23592"/>
      <w:bookmarkStart w:id="1719" w:name="_Toc5654"/>
      <w:bookmarkStart w:id="1720" w:name="_Toc7793"/>
      <w:bookmarkStart w:id="1721" w:name="_Toc8696"/>
      <w:bookmarkStart w:id="1722" w:name="_Toc18164"/>
      <w:bookmarkStart w:id="1723" w:name="_Toc22289"/>
      <w:bookmarkStart w:id="1724" w:name="_Toc30144"/>
      <w:bookmarkStart w:id="1725" w:name="_Toc16332"/>
      <w:bookmarkStart w:id="1726" w:name="_Toc2672"/>
      <w:bookmarkStart w:id="1727" w:name="_Toc30161"/>
      <w:bookmarkStart w:id="1728" w:name="_Toc3029"/>
      <w:bookmarkStart w:id="1729" w:name="_Toc12107"/>
      <w:bookmarkStart w:id="1730" w:name="_Toc7850"/>
      <w:bookmarkStart w:id="1731" w:name="_Toc27967"/>
      <w:bookmarkStart w:id="1732" w:name="_Toc9411"/>
      <w:bookmarkStart w:id="1733" w:name="_Toc24004"/>
      <w:bookmarkStart w:id="1734" w:name="_Toc25608"/>
      <w:bookmarkStart w:id="1735" w:name="_Toc14038"/>
      <w:bookmarkEnd w:id="1714"/>
      <w:r>
        <w:t>: Clase de performanţă privind reacţia la foc a produselor folosite pentru pardoseli supraînâlțate</w:t>
      </w:r>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p>
    <w:p w14:paraId="4D458A4D" w14:textId="77777777" w:rsidR="001C08A5" w:rsidRDefault="001C08A5">
      <w:pPr>
        <w:jc w:val="both"/>
        <w:rPr>
          <w:iCs/>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2134"/>
        <w:gridCol w:w="2001"/>
        <w:gridCol w:w="1759"/>
      </w:tblGrid>
      <w:tr w:rsidR="001C08A5" w14:paraId="425E8B6E" w14:textId="77777777">
        <w:trPr>
          <w:jc w:val="center"/>
        </w:trPr>
        <w:tc>
          <w:tcPr>
            <w:tcW w:w="1585" w:type="dxa"/>
            <w:vMerge w:val="restart"/>
            <w:shd w:val="clear" w:color="auto" w:fill="BFBFBF"/>
            <w:vAlign w:val="center"/>
          </w:tcPr>
          <w:p w14:paraId="7FD78A4E" w14:textId="77777777" w:rsidR="001C08A5" w:rsidRDefault="00000000">
            <w:pPr>
              <w:pStyle w:val="BodyText"/>
              <w:jc w:val="center"/>
              <w:rPr>
                <w:bCs w:val="0"/>
                <w:sz w:val="22"/>
                <w:szCs w:val="22"/>
              </w:rPr>
            </w:pPr>
            <w:r>
              <w:rPr>
                <w:bCs w:val="0"/>
                <w:sz w:val="22"/>
                <w:szCs w:val="22"/>
              </w:rPr>
              <w:t>Nivel de stabilitate</w:t>
            </w:r>
          </w:p>
          <w:p w14:paraId="0AE1C67A" w14:textId="77777777" w:rsidR="001C08A5" w:rsidRDefault="00000000">
            <w:pPr>
              <w:pStyle w:val="BodyText"/>
              <w:jc w:val="center"/>
              <w:rPr>
                <w:bCs w:val="0"/>
                <w:sz w:val="22"/>
                <w:szCs w:val="22"/>
              </w:rPr>
            </w:pPr>
            <w:r>
              <w:rPr>
                <w:sz w:val="22"/>
                <w:szCs w:val="22"/>
              </w:rPr>
              <w:t>la incendiu</w:t>
            </w:r>
          </w:p>
        </w:tc>
        <w:tc>
          <w:tcPr>
            <w:tcW w:w="4135" w:type="dxa"/>
            <w:gridSpan w:val="2"/>
            <w:shd w:val="clear" w:color="auto" w:fill="BFBFBF"/>
            <w:vAlign w:val="center"/>
          </w:tcPr>
          <w:p w14:paraId="1287FEC7" w14:textId="77777777" w:rsidR="001C08A5" w:rsidRDefault="00000000">
            <w:pPr>
              <w:jc w:val="center"/>
              <w:rPr>
                <w:b/>
                <w:i/>
                <w:sz w:val="22"/>
                <w:szCs w:val="22"/>
              </w:rPr>
            </w:pPr>
            <w:r>
              <w:rPr>
                <w:b/>
                <w:i/>
                <w:sz w:val="22"/>
                <w:szCs w:val="22"/>
              </w:rPr>
              <w:t>Pardoseli supraînâlțate</w:t>
            </w:r>
          </w:p>
        </w:tc>
        <w:tc>
          <w:tcPr>
            <w:tcW w:w="1759" w:type="dxa"/>
            <w:shd w:val="clear" w:color="auto" w:fill="BFBFBF"/>
          </w:tcPr>
          <w:p w14:paraId="0645E493" w14:textId="77777777" w:rsidR="001C08A5" w:rsidRDefault="001C08A5">
            <w:pPr>
              <w:jc w:val="center"/>
              <w:rPr>
                <w:b/>
                <w:i/>
                <w:sz w:val="22"/>
                <w:szCs w:val="22"/>
              </w:rPr>
            </w:pPr>
          </w:p>
        </w:tc>
      </w:tr>
      <w:tr w:rsidR="001C08A5" w14:paraId="7B673159" w14:textId="77777777">
        <w:trPr>
          <w:jc w:val="center"/>
        </w:trPr>
        <w:tc>
          <w:tcPr>
            <w:tcW w:w="1585" w:type="dxa"/>
            <w:vMerge/>
            <w:shd w:val="clear" w:color="auto" w:fill="BFBFBF"/>
            <w:vAlign w:val="center"/>
          </w:tcPr>
          <w:p w14:paraId="4017E55C" w14:textId="77777777" w:rsidR="001C08A5" w:rsidRDefault="001C08A5">
            <w:pPr>
              <w:pStyle w:val="BodyText"/>
              <w:jc w:val="center"/>
              <w:rPr>
                <w:bCs w:val="0"/>
                <w:sz w:val="22"/>
                <w:szCs w:val="22"/>
              </w:rPr>
            </w:pPr>
          </w:p>
        </w:tc>
        <w:tc>
          <w:tcPr>
            <w:tcW w:w="2134" w:type="dxa"/>
            <w:shd w:val="clear" w:color="auto" w:fill="BFBFBF"/>
            <w:vAlign w:val="center"/>
          </w:tcPr>
          <w:p w14:paraId="6FC6D190" w14:textId="77777777" w:rsidR="001C08A5" w:rsidRDefault="00000000">
            <w:pPr>
              <w:jc w:val="center"/>
              <w:rPr>
                <w:b/>
                <w:i/>
                <w:sz w:val="22"/>
                <w:szCs w:val="22"/>
              </w:rPr>
            </w:pPr>
            <w:r>
              <w:rPr>
                <w:b/>
                <w:bCs/>
                <w:i/>
                <w:sz w:val="22"/>
                <w:szCs w:val="22"/>
              </w:rPr>
              <w:t>la coridoare și la holuri</w:t>
            </w:r>
          </w:p>
        </w:tc>
        <w:tc>
          <w:tcPr>
            <w:tcW w:w="2001" w:type="dxa"/>
            <w:shd w:val="clear" w:color="auto" w:fill="BFBFBF"/>
            <w:vAlign w:val="center"/>
          </w:tcPr>
          <w:p w14:paraId="396264AB" w14:textId="77777777" w:rsidR="001C08A5" w:rsidRDefault="00000000">
            <w:pPr>
              <w:jc w:val="center"/>
              <w:rPr>
                <w:b/>
                <w:i/>
                <w:sz w:val="22"/>
                <w:szCs w:val="22"/>
              </w:rPr>
            </w:pPr>
            <w:r>
              <w:rPr>
                <w:b/>
                <w:i/>
                <w:sz w:val="22"/>
                <w:szCs w:val="22"/>
              </w:rPr>
              <w:t>Încăperi</w:t>
            </w:r>
          </w:p>
        </w:tc>
        <w:tc>
          <w:tcPr>
            <w:tcW w:w="1759" w:type="dxa"/>
            <w:shd w:val="clear" w:color="auto" w:fill="BFBFBF"/>
          </w:tcPr>
          <w:p w14:paraId="0EBCC892" w14:textId="77777777" w:rsidR="001C08A5" w:rsidRDefault="00000000">
            <w:pPr>
              <w:jc w:val="center"/>
              <w:rPr>
                <w:b/>
                <w:i/>
                <w:sz w:val="22"/>
                <w:szCs w:val="22"/>
                <w:lang w:val="en-GB"/>
              </w:rPr>
            </w:pPr>
            <w:r>
              <w:rPr>
                <w:b/>
                <w:i/>
                <w:sz w:val="22"/>
                <w:szCs w:val="22"/>
              </w:rPr>
              <w:t xml:space="preserve"> Încăperi în clădiri cu H</w:t>
            </w:r>
            <w:r>
              <w:rPr>
                <w:b/>
                <w:i/>
                <w:sz w:val="22"/>
                <w:szCs w:val="22"/>
                <w:lang w:val="en-GB"/>
              </w:rPr>
              <w:t>&gt;75 m</w:t>
            </w:r>
          </w:p>
        </w:tc>
      </w:tr>
      <w:tr w:rsidR="001C08A5" w14:paraId="71DF4A59" w14:textId="77777777">
        <w:trPr>
          <w:jc w:val="center"/>
        </w:trPr>
        <w:tc>
          <w:tcPr>
            <w:tcW w:w="1585" w:type="dxa"/>
          </w:tcPr>
          <w:p w14:paraId="40DD18E5" w14:textId="77777777" w:rsidR="001C08A5" w:rsidRDefault="00000000">
            <w:pPr>
              <w:pStyle w:val="BodyText"/>
              <w:jc w:val="center"/>
              <w:rPr>
                <w:bCs w:val="0"/>
                <w:sz w:val="22"/>
                <w:szCs w:val="22"/>
              </w:rPr>
            </w:pPr>
            <w:r>
              <w:rPr>
                <w:bCs w:val="0"/>
                <w:sz w:val="22"/>
                <w:szCs w:val="22"/>
              </w:rPr>
              <w:t>I</w:t>
            </w:r>
          </w:p>
        </w:tc>
        <w:tc>
          <w:tcPr>
            <w:tcW w:w="2134" w:type="dxa"/>
          </w:tcPr>
          <w:p w14:paraId="7D10E2E1" w14:textId="77777777" w:rsidR="001C08A5" w:rsidRDefault="00000000">
            <w:pPr>
              <w:jc w:val="center"/>
              <w:rPr>
                <w:b/>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2001" w:type="dxa"/>
          </w:tcPr>
          <w:p w14:paraId="0BDCBBD7" w14:textId="77777777" w:rsidR="001C08A5" w:rsidRDefault="00000000">
            <w:pPr>
              <w:jc w:val="center"/>
              <w:rPr>
                <w:b/>
                <w:bCs/>
                <w:i/>
                <w:sz w:val="22"/>
                <w:szCs w:val="22"/>
              </w:rPr>
            </w:pPr>
            <w:r>
              <w:rPr>
                <w:b/>
                <w:bCs/>
                <w:i/>
                <w:sz w:val="22"/>
                <w:szCs w:val="22"/>
              </w:rPr>
              <w:t>min B</w:t>
            </w:r>
            <w:r>
              <w:rPr>
                <w:b/>
                <w:bCs/>
                <w:i/>
                <w:sz w:val="22"/>
                <w:szCs w:val="22"/>
                <w:vertAlign w:val="subscript"/>
              </w:rPr>
              <w:t>FL</w:t>
            </w:r>
            <w:r>
              <w:rPr>
                <w:b/>
                <w:bCs/>
                <w:i/>
                <w:sz w:val="22"/>
                <w:szCs w:val="22"/>
              </w:rPr>
              <w:t>-s1</w:t>
            </w:r>
          </w:p>
        </w:tc>
        <w:tc>
          <w:tcPr>
            <w:tcW w:w="1759" w:type="dxa"/>
          </w:tcPr>
          <w:p w14:paraId="2E1EE260" w14:textId="77777777" w:rsidR="001C08A5" w:rsidRDefault="00000000">
            <w:pPr>
              <w:jc w:val="center"/>
              <w:rPr>
                <w:b/>
                <w:bCs/>
                <w:i/>
                <w:sz w:val="22"/>
                <w:szCs w:val="22"/>
              </w:rPr>
            </w:pPr>
            <w:r>
              <w:rPr>
                <w:b/>
                <w:bCs/>
                <w:i/>
                <w:sz w:val="22"/>
                <w:szCs w:val="22"/>
              </w:rPr>
              <w:t>A2</w:t>
            </w:r>
            <w:r>
              <w:rPr>
                <w:b/>
                <w:bCs/>
                <w:i/>
                <w:sz w:val="22"/>
                <w:szCs w:val="22"/>
                <w:vertAlign w:val="subscript"/>
              </w:rPr>
              <w:t>FL</w:t>
            </w:r>
            <w:r>
              <w:rPr>
                <w:b/>
                <w:bCs/>
                <w:i/>
                <w:sz w:val="22"/>
                <w:szCs w:val="22"/>
              </w:rPr>
              <w:t>-s1</w:t>
            </w:r>
          </w:p>
        </w:tc>
      </w:tr>
      <w:tr w:rsidR="001C08A5" w14:paraId="0D92D124" w14:textId="77777777">
        <w:trPr>
          <w:jc w:val="center"/>
        </w:trPr>
        <w:tc>
          <w:tcPr>
            <w:tcW w:w="1585" w:type="dxa"/>
          </w:tcPr>
          <w:p w14:paraId="1E34317E" w14:textId="77777777" w:rsidR="001C08A5" w:rsidRDefault="00000000">
            <w:pPr>
              <w:pStyle w:val="BodyText"/>
              <w:jc w:val="center"/>
              <w:rPr>
                <w:bCs w:val="0"/>
                <w:sz w:val="22"/>
                <w:szCs w:val="22"/>
              </w:rPr>
            </w:pPr>
            <w:r>
              <w:rPr>
                <w:bCs w:val="0"/>
                <w:sz w:val="22"/>
                <w:szCs w:val="22"/>
              </w:rPr>
              <w:t>II</w:t>
            </w:r>
          </w:p>
        </w:tc>
        <w:tc>
          <w:tcPr>
            <w:tcW w:w="2134" w:type="dxa"/>
          </w:tcPr>
          <w:p w14:paraId="535B7DAC" w14:textId="77777777" w:rsidR="001C08A5" w:rsidRDefault="00000000">
            <w:pPr>
              <w:jc w:val="center"/>
              <w:rPr>
                <w:b/>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2001" w:type="dxa"/>
          </w:tcPr>
          <w:p w14:paraId="77F11396" w14:textId="77777777" w:rsidR="001C08A5" w:rsidRDefault="00000000">
            <w:pPr>
              <w:jc w:val="center"/>
              <w:rPr>
                <w:b/>
                <w:bCs/>
                <w:i/>
                <w:sz w:val="22"/>
                <w:szCs w:val="22"/>
              </w:rPr>
            </w:pPr>
            <w:r>
              <w:rPr>
                <w:b/>
                <w:bCs/>
                <w:i/>
                <w:sz w:val="22"/>
                <w:szCs w:val="22"/>
              </w:rPr>
              <w:t>min C</w:t>
            </w:r>
            <w:r>
              <w:rPr>
                <w:b/>
                <w:bCs/>
                <w:i/>
                <w:sz w:val="22"/>
                <w:szCs w:val="22"/>
                <w:vertAlign w:val="subscript"/>
              </w:rPr>
              <w:t>FL</w:t>
            </w:r>
            <w:r>
              <w:rPr>
                <w:b/>
                <w:bCs/>
                <w:i/>
                <w:sz w:val="22"/>
                <w:szCs w:val="22"/>
              </w:rPr>
              <w:t>-s1</w:t>
            </w:r>
          </w:p>
        </w:tc>
        <w:tc>
          <w:tcPr>
            <w:tcW w:w="1759" w:type="dxa"/>
          </w:tcPr>
          <w:p w14:paraId="7689551B" w14:textId="77777777" w:rsidR="001C08A5" w:rsidRDefault="00000000">
            <w:pPr>
              <w:jc w:val="center"/>
              <w:rPr>
                <w:b/>
                <w:bCs/>
                <w:i/>
                <w:sz w:val="22"/>
                <w:szCs w:val="22"/>
              </w:rPr>
            </w:pPr>
            <w:r>
              <w:rPr>
                <w:b/>
                <w:bCs/>
                <w:i/>
                <w:sz w:val="22"/>
                <w:szCs w:val="22"/>
              </w:rPr>
              <w:t>-</w:t>
            </w:r>
          </w:p>
        </w:tc>
      </w:tr>
      <w:tr w:rsidR="001C08A5" w14:paraId="018132F6" w14:textId="77777777">
        <w:trPr>
          <w:jc w:val="center"/>
        </w:trPr>
        <w:tc>
          <w:tcPr>
            <w:tcW w:w="1585" w:type="dxa"/>
          </w:tcPr>
          <w:p w14:paraId="546E0DF2" w14:textId="77777777" w:rsidR="001C08A5" w:rsidRDefault="00000000">
            <w:pPr>
              <w:pStyle w:val="BodyText"/>
              <w:jc w:val="center"/>
              <w:rPr>
                <w:bCs w:val="0"/>
                <w:sz w:val="22"/>
                <w:szCs w:val="22"/>
              </w:rPr>
            </w:pPr>
            <w:r>
              <w:rPr>
                <w:bCs w:val="0"/>
                <w:sz w:val="22"/>
                <w:szCs w:val="22"/>
              </w:rPr>
              <w:t>III</w:t>
            </w:r>
          </w:p>
        </w:tc>
        <w:tc>
          <w:tcPr>
            <w:tcW w:w="2134" w:type="dxa"/>
          </w:tcPr>
          <w:p w14:paraId="1D19DBC7" w14:textId="77777777" w:rsidR="001C08A5" w:rsidRDefault="00000000">
            <w:pPr>
              <w:jc w:val="center"/>
              <w:rPr>
                <w:b/>
                <w:i/>
                <w:sz w:val="22"/>
                <w:szCs w:val="22"/>
              </w:rPr>
            </w:pPr>
            <w:r>
              <w:rPr>
                <w:b/>
                <w:i/>
                <w:sz w:val="22"/>
                <w:szCs w:val="22"/>
              </w:rPr>
              <w:t>min B</w:t>
            </w:r>
            <w:r>
              <w:rPr>
                <w:b/>
                <w:i/>
                <w:sz w:val="22"/>
                <w:szCs w:val="22"/>
                <w:vertAlign w:val="subscript"/>
              </w:rPr>
              <w:t>FL</w:t>
            </w:r>
            <w:r>
              <w:rPr>
                <w:b/>
                <w:i/>
                <w:sz w:val="22"/>
                <w:szCs w:val="22"/>
              </w:rPr>
              <w:t>-s1</w:t>
            </w:r>
          </w:p>
        </w:tc>
        <w:tc>
          <w:tcPr>
            <w:tcW w:w="2001" w:type="dxa"/>
          </w:tcPr>
          <w:p w14:paraId="04111320" w14:textId="77777777" w:rsidR="001C08A5" w:rsidRDefault="00000000">
            <w:pPr>
              <w:jc w:val="center"/>
              <w:rPr>
                <w:b/>
                <w:i/>
                <w:sz w:val="22"/>
                <w:szCs w:val="22"/>
              </w:rPr>
            </w:pPr>
            <w:r>
              <w:rPr>
                <w:b/>
                <w:i/>
                <w:sz w:val="22"/>
                <w:szCs w:val="22"/>
              </w:rPr>
              <w:t>min C</w:t>
            </w:r>
            <w:r>
              <w:rPr>
                <w:b/>
                <w:i/>
                <w:sz w:val="22"/>
                <w:szCs w:val="22"/>
                <w:vertAlign w:val="subscript"/>
              </w:rPr>
              <w:t>FL</w:t>
            </w:r>
            <w:r>
              <w:rPr>
                <w:b/>
                <w:i/>
                <w:sz w:val="22"/>
                <w:szCs w:val="22"/>
              </w:rPr>
              <w:t>-s1</w:t>
            </w:r>
          </w:p>
        </w:tc>
        <w:tc>
          <w:tcPr>
            <w:tcW w:w="1759" w:type="dxa"/>
          </w:tcPr>
          <w:p w14:paraId="1E175E16" w14:textId="77777777" w:rsidR="001C08A5" w:rsidRDefault="00000000">
            <w:pPr>
              <w:jc w:val="center"/>
              <w:rPr>
                <w:b/>
                <w:i/>
                <w:sz w:val="22"/>
                <w:szCs w:val="22"/>
              </w:rPr>
            </w:pPr>
            <w:r>
              <w:rPr>
                <w:b/>
                <w:i/>
                <w:sz w:val="22"/>
                <w:szCs w:val="22"/>
              </w:rPr>
              <w:t>-</w:t>
            </w:r>
          </w:p>
        </w:tc>
      </w:tr>
      <w:tr w:rsidR="001C08A5" w14:paraId="58FC1987" w14:textId="77777777">
        <w:trPr>
          <w:jc w:val="center"/>
        </w:trPr>
        <w:tc>
          <w:tcPr>
            <w:tcW w:w="1585" w:type="dxa"/>
          </w:tcPr>
          <w:p w14:paraId="548CA6FC" w14:textId="77777777" w:rsidR="001C08A5" w:rsidRDefault="00000000">
            <w:pPr>
              <w:pStyle w:val="BodyText"/>
              <w:jc w:val="center"/>
              <w:rPr>
                <w:bCs w:val="0"/>
                <w:sz w:val="22"/>
                <w:szCs w:val="22"/>
              </w:rPr>
            </w:pPr>
            <w:r>
              <w:rPr>
                <w:bCs w:val="0"/>
                <w:sz w:val="22"/>
                <w:szCs w:val="22"/>
              </w:rPr>
              <w:t>IV</w:t>
            </w:r>
          </w:p>
        </w:tc>
        <w:tc>
          <w:tcPr>
            <w:tcW w:w="2134" w:type="dxa"/>
          </w:tcPr>
          <w:p w14:paraId="32EF046A" w14:textId="77777777" w:rsidR="001C08A5" w:rsidRDefault="00000000">
            <w:pPr>
              <w:jc w:val="center"/>
              <w:rPr>
                <w:b/>
                <w:i/>
                <w:sz w:val="22"/>
                <w:szCs w:val="22"/>
              </w:rPr>
            </w:pPr>
            <w:r>
              <w:rPr>
                <w:b/>
                <w:bCs/>
                <w:i/>
                <w:sz w:val="22"/>
                <w:szCs w:val="22"/>
              </w:rPr>
              <w:t>min C</w:t>
            </w:r>
            <w:r>
              <w:rPr>
                <w:b/>
                <w:bCs/>
                <w:i/>
                <w:sz w:val="22"/>
                <w:szCs w:val="22"/>
                <w:vertAlign w:val="subscript"/>
              </w:rPr>
              <w:t>FL</w:t>
            </w:r>
            <w:r>
              <w:rPr>
                <w:b/>
                <w:bCs/>
                <w:i/>
                <w:sz w:val="22"/>
                <w:szCs w:val="22"/>
              </w:rPr>
              <w:t>-s1</w:t>
            </w:r>
          </w:p>
        </w:tc>
        <w:tc>
          <w:tcPr>
            <w:tcW w:w="2001" w:type="dxa"/>
          </w:tcPr>
          <w:p w14:paraId="168926E9" w14:textId="77777777" w:rsidR="001C08A5" w:rsidRDefault="00000000">
            <w:pPr>
              <w:jc w:val="center"/>
              <w:rPr>
                <w:b/>
                <w:i/>
                <w:sz w:val="22"/>
                <w:szCs w:val="22"/>
              </w:rPr>
            </w:pPr>
            <w:r>
              <w:rPr>
                <w:b/>
                <w:bCs/>
                <w:i/>
                <w:sz w:val="22"/>
                <w:szCs w:val="22"/>
              </w:rPr>
              <w:t>min D</w:t>
            </w:r>
            <w:r>
              <w:rPr>
                <w:b/>
                <w:bCs/>
                <w:i/>
                <w:sz w:val="22"/>
                <w:szCs w:val="22"/>
                <w:vertAlign w:val="subscript"/>
              </w:rPr>
              <w:t>FL</w:t>
            </w:r>
            <w:r>
              <w:rPr>
                <w:b/>
                <w:bCs/>
                <w:i/>
                <w:sz w:val="22"/>
                <w:szCs w:val="22"/>
              </w:rPr>
              <w:t>-s1</w:t>
            </w:r>
          </w:p>
        </w:tc>
        <w:tc>
          <w:tcPr>
            <w:tcW w:w="1759" w:type="dxa"/>
          </w:tcPr>
          <w:p w14:paraId="26A6684D" w14:textId="77777777" w:rsidR="001C08A5" w:rsidRDefault="00000000">
            <w:pPr>
              <w:jc w:val="center"/>
              <w:rPr>
                <w:b/>
                <w:bCs/>
                <w:i/>
                <w:sz w:val="22"/>
                <w:szCs w:val="22"/>
              </w:rPr>
            </w:pPr>
            <w:r>
              <w:rPr>
                <w:b/>
                <w:bCs/>
                <w:i/>
                <w:sz w:val="22"/>
                <w:szCs w:val="22"/>
              </w:rPr>
              <w:t>-</w:t>
            </w:r>
          </w:p>
        </w:tc>
      </w:tr>
      <w:tr w:rsidR="001C08A5" w14:paraId="04E57F66" w14:textId="77777777">
        <w:trPr>
          <w:jc w:val="center"/>
        </w:trPr>
        <w:tc>
          <w:tcPr>
            <w:tcW w:w="1585" w:type="dxa"/>
          </w:tcPr>
          <w:p w14:paraId="5A6C3BCA" w14:textId="77777777" w:rsidR="001C08A5" w:rsidRDefault="00000000">
            <w:pPr>
              <w:pStyle w:val="BodyText"/>
              <w:jc w:val="center"/>
              <w:rPr>
                <w:bCs w:val="0"/>
                <w:sz w:val="22"/>
                <w:szCs w:val="22"/>
              </w:rPr>
            </w:pPr>
            <w:r>
              <w:rPr>
                <w:bCs w:val="0"/>
                <w:sz w:val="22"/>
                <w:szCs w:val="22"/>
              </w:rPr>
              <w:t>V</w:t>
            </w:r>
          </w:p>
        </w:tc>
        <w:tc>
          <w:tcPr>
            <w:tcW w:w="2134" w:type="dxa"/>
          </w:tcPr>
          <w:p w14:paraId="053E95DE" w14:textId="77777777" w:rsidR="001C08A5" w:rsidRDefault="00000000">
            <w:pPr>
              <w:jc w:val="center"/>
              <w:rPr>
                <w:b/>
                <w:i/>
                <w:sz w:val="22"/>
                <w:szCs w:val="22"/>
              </w:rPr>
            </w:pPr>
            <w:r>
              <w:rPr>
                <w:b/>
                <w:bCs/>
                <w:i/>
                <w:sz w:val="22"/>
                <w:szCs w:val="22"/>
              </w:rPr>
              <w:t>-</w:t>
            </w:r>
          </w:p>
        </w:tc>
        <w:tc>
          <w:tcPr>
            <w:tcW w:w="2001" w:type="dxa"/>
          </w:tcPr>
          <w:p w14:paraId="4D082530" w14:textId="77777777" w:rsidR="001C08A5" w:rsidRDefault="00000000">
            <w:pPr>
              <w:jc w:val="center"/>
              <w:rPr>
                <w:b/>
                <w:i/>
                <w:sz w:val="22"/>
                <w:szCs w:val="22"/>
              </w:rPr>
            </w:pPr>
            <w:r>
              <w:rPr>
                <w:b/>
                <w:bCs/>
                <w:i/>
                <w:sz w:val="22"/>
                <w:szCs w:val="22"/>
              </w:rPr>
              <w:t>-</w:t>
            </w:r>
          </w:p>
        </w:tc>
        <w:tc>
          <w:tcPr>
            <w:tcW w:w="1759" w:type="dxa"/>
          </w:tcPr>
          <w:p w14:paraId="4C877D7A" w14:textId="77777777" w:rsidR="001C08A5" w:rsidRDefault="00000000">
            <w:pPr>
              <w:jc w:val="center"/>
              <w:rPr>
                <w:b/>
                <w:bCs/>
                <w:i/>
                <w:sz w:val="22"/>
                <w:szCs w:val="22"/>
              </w:rPr>
            </w:pPr>
            <w:r>
              <w:rPr>
                <w:b/>
                <w:bCs/>
                <w:i/>
                <w:sz w:val="22"/>
                <w:szCs w:val="22"/>
              </w:rPr>
              <w:t>-</w:t>
            </w:r>
          </w:p>
        </w:tc>
      </w:tr>
    </w:tbl>
    <w:p w14:paraId="735529DE" w14:textId="77777777" w:rsidR="001C08A5" w:rsidRDefault="001C08A5">
      <w:pPr>
        <w:jc w:val="both"/>
        <w:rPr>
          <w:iCs/>
          <w:sz w:val="24"/>
          <w:szCs w:val="24"/>
        </w:rPr>
      </w:pPr>
    </w:p>
    <w:p w14:paraId="2534243C" w14:textId="77777777" w:rsidR="001C08A5" w:rsidRDefault="00000000">
      <w:pPr>
        <w:pStyle w:val="Caption"/>
        <w:spacing w:before="0" w:after="0"/>
        <w:ind w:firstLine="720"/>
        <w:jc w:val="both"/>
        <w:rPr>
          <w:rFonts w:cs="Times New Roman"/>
          <w:i w:val="0"/>
        </w:rPr>
      </w:pPr>
      <w:r>
        <w:rPr>
          <w:rFonts w:cs="Times New Roman"/>
          <w:i w:val="0"/>
        </w:rPr>
        <w:t xml:space="preserve">(4) </w:t>
      </w:r>
      <w:r>
        <w:rPr>
          <w:rFonts w:cs="Times New Roman"/>
          <w:b w:val="0"/>
          <w:bCs/>
          <w:i w:val="0"/>
        </w:rPr>
        <w:t>Rezistenţa la foc a pardoselilor supraînălţate trebuie să fie:</w:t>
      </w:r>
    </w:p>
    <w:p w14:paraId="5C5ECB91" w14:textId="77777777" w:rsidR="001C08A5" w:rsidRDefault="00000000">
      <w:pPr>
        <w:pStyle w:val="Caption"/>
        <w:spacing w:before="0" w:after="0"/>
        <w:ind w:left="720" w:firstLine="720"/>
        <w:jc w:val="both"/>
        <w:rPr>
          <w:rFonts w:cs="Times New Roman"/>
          <w:i w:val="0"/>
        </w:rPr>
      </w:pPr>
      <w:r>
        <w:rPr>
          <w:rFonts w:cs="Times New Roman"/>
          <w:i w:val="0"/>
        </w:rPr>
        <w:t xml:space="preserve">a) REI 60 </w:t>
      </w:r>
      <w:r>
        <w:rPr>
          <w:rFonts w:cs="Times New Roman"/>
          <w:b w:val="0"/>
          <w:bCs/>
          <w:i w:val="0"/>
        </w:rPr>
        <w:t xml:space="preserve">pentru nivelul </w:t>
      </w:r>
      <w:r>
        <w:rPr>
          <w:rFonts w:cs="Times New Roman"/>
          <w:i w:val="0"/>
        </w:rPr>
        <w:t>I</w:t>
      </w:r>
      <w:r>
        <w:rPr>
          <w:rFonts w:cs="Times New Roman"/>
          <w:b w:val="0"/>
          <w:bCs/>
          <w:i w:val="0"/>
        </w:rPr>
        <w:t xml:space="preserve"> de stabilitate la incendiu;</w:t>
      </w:r>
    </w:p>
    <w:p w14:paraId="3BB4553D" w14:textId="77777777" w:rsidR="001C08A5" w:rsidRDefault="00000000">
      <w:pPr>
        <w:pStyle w:val="Caption"/>
        <w:spacing w:before="0" w:after="0"/>
        <w:ind w:left="720" w:firstLine="720"/>
        <w:jc w:val="both"/>
        <w:rPr>
          <w:rFonts w:cs="Times New Roman"/>
          <w:i w:val="0"/>
        </w:rPr>
      </w:pPr>
      <w:r>
        <w:rPr>
          <w:rFonts w:cs="Times New Roman"/>
          <w:i w:val="0"/>
        </w:rPr>
        <w:t xml:space="preserve">b) REI 30 </w:t>
      </w:r>
      <w:r>
        <w:rPr>
          <w:rFonts w:cs="Times New Roman"/>
          <w:b w:val="0"/>
          <w:bCs/>
          <w:i w:val="0"/>
        </w:rPr>
        <w:t xml:space="preserve">pentru nivelul </w:t>
      </w:r>
      <w:r>
        <w:rPr>
          <w:rFonts w:cs="Times New Roman"/>
          <w:i w:val="0"/>
        </w:rPr>
        <w:t>II</w:t>
      </w:r>
      <w:r>
        <w:rPr>
          <w:rFonts w:cs="Times New Roman"/>
          <w:b w:val="0"/>
          <w:bCs/>
          <w:i w:val="0"/>
        </w:rPr>
        <w:t xml:space="preserve"> de stabilitate la incendiu;</w:t>
      </w:r>
    </w:p>
    <w:p w14:paraId="1036DDA7" w14:textId="77777777" w:rsidR="001C08A5" w:rsidRDefault="00000000">
      <w:pPr>
        <w:pStyle w:val="Caption"/>
        <w:spacing w:before="0" w:after="0"/>
        <w:ind w:left="720" w:firstLine="720"/>
        <w:jc w:val="both"/>
        <w:rPr>
          <w:rFonts w:cs="Times New Roman"/>
          <w:i w:val="0"/>
        </w:rPr>
      </w:pPr>
      <w:r>
        <w:rPr>
          <w:rFonts w:cs="Times New Roman"/>
          <w:i w:val="0"/>
        </w:rPr>
        <w:t xml:space="preserve">c) RE 30 </w:t>
      </w:r>
      <w:r>
        <w:rPr>
          <w:rFonts w:cs="Times New Roman"/>
          <w:b w:val="0"/>
          <w:bCs/>
          <w:i w:val="0"/>
        </w:rPr>
        <w:t xml:space="preserve">pentru nivelul </w:t>
      </w:r>
      <w:r>
        <w:rPr>
          <w:rFonts w:cs="Times New Roman"/>
          <w:i w:val="0"/>
        </w:rPr>
        <w:t>III</w:t>
      </w:r>
      <w:r>
        <w:rPr>
          <w:rFonts w:cs="Times New Roman"/>
          <w:b w:val="0"/>
          <w:bCs/>
          <w:i w:val="0"/>
        </w:rPr>
        <w:t xml:space="preserve"> de stabilitate la incendiu.</w:t>
      </w:r>
    </w:p>
    <w:p w14:paraId="23E21700" w14:textId="77777777" w:rsidR="001C08A5" w:rsidRDefault="00000000">
      <w:pPr>
        <w:pStyle w:val="Caption"/>
        <w:spacing w:before="0" w:after="0"/>
        <w:ind w:left="720" w:firstLine="720"/>
        <w:jc w:val="both"/>
        <w:rPr>
          <w:rFonts w:cs="Times New Roman"/>
        </w:rPr>
      </w:pPr>
      <w:r>
        <w:rPr>
          <w:rFonts w:cs="Times New Roman"/>
          <w:i w:val="0"/>
        </w:rPr>
        <w:t xml:space="preserve">d) RE 30-r </w:t>
      </w:r>
      <w:r>
        <w:rPr>
          <w:rFonts w:cs="Times New Roman"/>
          <w:b w:val="0"/>
          <w:bCs/>
          <w:i w:val="0"/>
        </w:rPr>
        <w:t xml:space="preserve">pentru nivelul </w:t>
      </w:r>
      <w:r>
        <w:rPr>
          <w:rFonts w:cs="Times New Roman"/>
          <w:i w:val="0"/>
        </w:rPr>
        <w:t>IV</w:t>
      </w:r>
      <w:r>
        <w:rPr>
          <w:rFonts w:cs="Times New Roman"/>
          <w:b w:val="0"/>
          <w:bCs/>
          <w:i w:val="0"/>
        </w:rPr>
        <w:t xml:space="preserve"> de stabilitate la incendiu.</w:t>
      </w:r>
    </w:p>
    <w:p w14:paraId="339931D8" w14:textId="77777777" w:rsidR="001C08A5" w:rsidRDefault="00000000">
      <w:pPr>
        <w:pStyle w:val="Heading4"/>
        <w:rPr>
          <w:rFonts w:cs="Times New Roman"/>
          <w:sz w:val="24"/>
          <w:szCs w:val="24"/>
        </w:rPr>
      </w:pPr>
      <w:bookmarkStart w:id="1736" w:name="_Toc14014"/>
      <w:bookmarkStart w:id="1737" w:name="_Toc16551"/>
      <w:bookmarkStart w:id="1738" w:name="_Toc162355229"/>
      <w:bookmarkStart w:id="1739" w:name="_Toc9443"/>
      <w:bookmarkStart w:id="1740" w:name="_Toc22175"/>
      <w:bookmarkStart w:id="1741" w:name="_Toc26059"/>
      <w:bookmarkStart w:id="1742" w:name="_Toc2213"/>
      <w:bookmarkStart w:id="1743" w:name="_Toc30491"/>
      <w:r>
        <w:t>2.4.6. Finisaje</w:t>
      </w:r>
      <w:bookmarkEnd w:id="1736"/>
      <w:bookmarkEnd w:id="1737"/>
      <w:bookmarkEnd w:id="1738"/>
      <w:bookmarkEnd w:id="1739"/>
      <w:bookmarkEnd w:id="1740"/>
      <w:bookmarkEnd w:id="1741"/>
      <w:bookmarkEnd w:id="1742"/>
      <w:bookmarkEnd w:id="1743"/>
    </w:p>
    <w:p w14:paraId="1719F2F4" w14:textId="77777777" w:rsidR="001C08A5" w:rsidRDefault="001C08A5">
      <w:pPr>
        <w:jc w:val="both"/>
        <w:rPr>
          <w:sz w:val="24"/>
          <w:szCs w:val="24"/>
        </w:rPr>
      </w:pPr>
    </w:p>
    <w:p w14:paraId="598A390E" w14:textId="77777777" w:rsidR="001C08A5" w:rsidRDefault="00000000">
      <w:pPr>
        <w:jc w:val="both"/>
        <w:rPr>
          <w:rStyle w:val="NORMALBOLDTABELE"/>
          <w:szCs w:val="24"/>
        </w:rPr>
      </w:pPr>
      <w:r>
        <w:rPr>
          <w:b/>
          <w:sz w:val="24"/>
          <w:szCs w:val="24"/>
        </w:rPr>
        <w:tab/>
        <w:t>Art. 2.4.6.1. (1)</w:t>
      </w:r>
      <w:r>
        <w:rPr>
          <w:sz w:val="24"/>
          <w:szCs w:val="24"/>
        </w:rPr>
        <w:t xml:space="preserve"> Finisajele pe căile comune de circulaţie funcţională şi de evacuare ale utilizatorilor construcţiilor cu înălţime obișnuită, </w:t>
      </w:r>
      <w:r>
        <w:rPr>
          <w:rFonts w:eastAsia="Arial-BoldMT"/>
          <w:sz w:val="24"/>
          <w:szCs w:val="24"/>
          <w:lang w:eastAsia="ro-RO"/>
        </w:rPr>
        <w:t xml:space="preserve">atunci când nu sunt din sticlă decorativă fără efect de oglindire, </w:t>
      </w:r>
      <w:r>
        <w:rPr>
          <w:sz w:val="24"/>
          <w:szCs w:val="24"/>
        </w:rPr>
        <w:t xml:space="preserve">se realizează din materiale având clasa de reacţie la foc </w:t>
      </w:r>
      <w:r>
        <w:rPr>
          <w:b/>
          <w:sz w:val="24"/>
          <w:szCs w:val="24"/>
        </w:rPr>
        <w:t>A1</w:t>
      </w:r>
      <w:r>
        <w:rPr>
          <w:sz w:val="24"/>
          <w:szCs w:val="24"/>
        </w:rPr>
        <w:t xml:space="preserve"> sau </w:t>
      </w:r>
      <w:r>
        <w:rPr>
          <w:b/>
          <w:sz w:val="24"/>
          <w:szCs w:val="24"/>
        </w:rPr>
        <w:t xml:space="preserve">A2-s1d0, </w:t>
      </w:r>
      <w:r>
        <w:rPr>
          <w:sz w:val="24"/>
          <w:szCs w:val="24"/>
        </w:rPr>
        <w:t>respectiv</w:t>
      </w:r>
      <w:r>
        <w:rPr>
          <w:b/>
          <w:sz w:val="24"/>
          <w:szCs w:val="24"/>
        </w:rPr>
        <w:t xml:space="preserve"> A1 sau A2</w:t>
      </w:r>
      <w:r>
        <w:rPr>
          <w:b/>
          <w:bCs/>
          <w:sz w:val="24"/>
          <w:szCs w:val="24"/>
          <w:vertAlign w:val="subscript"/>
        </w:rPr>
        <w:t>FL</w:t>
      </w:r>
      <w:r>
        <w:rPr>
          <w:b/>
          <w:bCs/>
          <w:sz w:val="24"/>
          <w:szCs w:val="24"/>
        </w:rPr>
        <w:t xml:space="preserve">-s1, </w:t>
      </w:r>
      <w:r>
        <w:rPr>
          <w:bCs/>
          <w:sz w:val="24"/>
          <w:szCs w:val="24"/>
        </w:rPr>
        <w:t>pentru nivelul</w:t>
      </w:r>
      <w:r>
        <w:rPr>
          <w:b/>
          <w:sz w:val="24"/>
          <w:szCs w:val="24"/>
        </w:rPr>
        <w:t xml:space="preserve"> I şi II </w:t>
      </w:r>
      <w:r>
        <w:rPr>
          <w:bCs/>
          <w:sz w:val="24"/>
          <w:szCs w:val="24"/>
        </w:rPr>
        <w:t>stabilitate la incendiu</w:t>
      </w:r>
      <w:r>
        <w:rPr>
          <w:b/>
          <w:bCs/>
          <w:sz w:val="24"/>
          <w:szCs w:val="24"/>
        </w:rPr>
        <w:t>,</w:t>
      </w:r>
      <w:r>
        <w:rPr>
          <w:sz w:val="24"/>
          <w:szCs w:val="24"/>
        </w:rPr>
        <w:t xml:space="preserve"> minimum</w:t>
      </w:r>
      <w:r>
        <w:rPr>
          <w:b/>
          <w:bCs/>
          <w:sz w:val="24"/>
          <w:szCs w:val="24"/>
        </w:rPr>
        <w:t xml:space="preserve"> B-s1d0</w:t>
      </w:r>
      <w:r>
        <w:rPr>
          <w:sz w:val="24"/>
          <w:szCs w:val="24"/>
        </w:rPr>
        <w:t xml:space="preserve">, respectiv </w:t>
      </w:r>
      <w:r>
        <w:rPr>
          <w:b/>
          <w:bCs/>
          <w:sz w:val="24"/>
          <w:szCs w:val="24"/>
        </w:rPr>
        <w:t>B</w:t>
      </w:r>
      <w:r>
        <w:rPr>
          <w:b/>
          <w:bCs/>
          <w:sz w:val="24"/>
          <w:szCs w:val="24"/>
          <w:vertAlign w:val="subscript"/>
        </w:rPr>
        <w:t>FL</w:t>
      </w:r>
      <w:r>
        <w:rPr>
          <w:b/>
          <w:bCs/>
          <w:sz w:val="24"/>
          <w:szCs w:val="24"/>
        </w:rPr>
        <w:t xml:space="preserve">-s1 </w:t>
      </w:r>
      <w:r>
        <w:rPr>
          <w:bCs/>
          <w:sz w:val="24"/>
          <w:szCs w:val="24"/>
        </w:rPr>
        <w:t xml:space="preserve">pentru nivelul III stabilitate la incendiu, </w:t>
      </w:r>
      <w:r>
        <w:rPr>
          <w:sz w:val="24"/>
          <w:szCs w:val="24"/>
        </w:rPr>
        <w:t xml:space="preserve">minimum </w:t>
      </w:r>
      <w:r>
        <w:rPr>
          <w:b/>
          <w:sz w:val="24"/>
          <w:szCs w:val="24"/>
        </w:rPr>
        <w:t xml:space="preserve">C-s1d0, </w:t>
      </w:r>
      <w:r>
        <w:rPr>
          <w:bCs/>
          <w:sz w:val="24"/>
          <w:szCs w:val="24"/>
        </w:rPr>
        <w:t>respectiv</w:t>
      </w:r>
      <w:r>
        <w:rPr>
          <w:b/>
          <w:sz w:val="24"/>
          <w:szCs w:val="24"/>
        </w:rPr>
        <w:t xml:space="preserve"> C</w:t>
      </w:r>
      <w:r>
        <w:rPr>
          <w:b/>
          <w:bCs/>
          <w:sz w:val="24"/>
          <w:szCs w:val="24"/>
          <w:vertAlign w:val="subscript"/>
        </w:rPr>
        <w:t>FL</w:t>
      </w:r>
      <w:r>
        <w:rPr>
          <w:b/>
          <w:sz w:val="24"/>
          <w:szCs w:val="24"/>
        </w:rPr>
        <w:t xml:space="preserve">-s1 </w:t>
      </w:r>
      <w:r>
        <w:rPr>
          <w:bCs/>
          <w:sz w:val="24"/>
          <w:szCs w:val="24"/>
        </w:rPr>
        <w:t xml:space="preserve">pentru nivelul </w:t>
      </w:r>
      <w:r>
        <w:rPr>
          <w:b/>
          <w:sz w:val="24"/>
          <w:szCs w:val="24"/>
        </w:rPr>
        <w:t xml:space="preserve">IV </w:t>
      </w:r>
      <w:r>
        <w:rPr>
          <w:bCs/>
          <w:sz w:val="24"/>
          <w:szCs w:val="24"/>
        </w:rPr>
        <w:t xml:space="preserve">de stabiltate la incendiu și </w:t>
      </w:r>
      <w:r>
        <w:rPr>
          <w:sz w:val="24"/>
          <w:szCs w:val="24"/>
        </w:rPr>
        <w:t xml:space="preserve">minimum </w:t>
      </w:r>
      <w:r>
        <w:rPr>
          <w:b/>
          <w:bCs/>
          <w:sz w:val="24"/>
          <w:szCs w:val="24"/>
        </w:rPr>
        <w:t>D-s1d0</w:t>
      </w:r>
      <w:r>
        <w:rPr>
          <w:sz w:val="24"/>
          <w:szCs w:val="24"/>
        </w:rPr>
        <w:t>, respectiv</w:t>
      </w:r>
      <w:r>
        <w:rPr>
          <w:b/>
          <w:sz w:val="24"/>
          <w:szCs w:val="24"/>
        </w:rPr>
        <w:t>D</w:t>
      </w:r>
      <w:r>
        <w:rPr>
          <w:b/>
          <w:bCs/>
          <w:sz w:val="24"/>
          <w:szCs w:val="24"/>
          <w:vertAlign w:val="subscript"/>
        </w:rPr>
        <w:t>FL</w:t>
      </w:r>
      <w:r>
        <w:rPr>
          <w:b/>
          <w:bCs/>
          <w:sz w:val="24"/>
          <w:szCs w:val="24"/>
        </w:rPr>
        <w:t xml:space="preserve">-s1 </w:t>
      </w:r>
      <w:r>
        <w:rPr>
          <w:bCs/>
          <w:sz w:val="24"/>
          <w:szCs w:val="24"/>
        </w:rPr>
        <w:t xml:space="preserve">pentru nivelul </w:t>
      </w:r>
      <w:r>
        <w:rPr>
          <w:b/>
          <w:bCs/>
          <w:sz w:val="24"/>
          <w:szCs w:val="24"/>
        </w:rPr>
        <w:t>V</w:t>
      </w:r>
      <w:r>
        <w:rPr>
          <w:bCs/>
          <w:sz w:val="24"/>
          <w:szCs w:val="24"/>
        </w:rPr>
        <w:t xml:space="preserve"> stabilitate la incendiu, conform prevederilor din </w:t>
      </w:r>
      <w:r>
        <w:rPr>
          <w:b/>
          <w:bCs/>
          <w:i/>
          <w:iCs/>
          <w:sz w:val="24"/>
          <w:szCs w:val="24"/>
        </w:rPr>
        <w:fldChar w:fldCharType="begin"/>
      </w:r>
      <w:r>
        <w:rPr>
          <w:b/>
          <w:bCs/>
          <w:i/>
          <w:iCs/>
          <w:sz w:val="24"/>
          <w:szCs w:val="24"/>
        </w:rPr>
        <w:instrText xml:space="preserve"> REF _Ref31418 \h </w:instrText>
      </w:r>
      <w:r>
        <w:rPr>
          <w:b/>
          <w:bCs/>
          <w:i/>
          <w:iCs/>
          <w:sz w:val="24"/>
          <w:szCs w:val="24"/>
        </w:rPr>
      </w:r>
      <w:r>
        <w:rPr>
          <w:b/>
          <w:bCs/>
          <w:i/>
          <w:iCs/>
          <w:sz w:val="24"/>
          <w:szCs w:val="24"/>
        </w:rPr>
        <w:fldChar w:fldCharType="separate"/>
      </w:r>
      <w:r>
        <w:t>Tabelul 19</w:t>
      </w:r>
      <w:r>
        <w:rPr>
          <w:b/>
          <w:bCs/>
          <w:i/>
          <w:iCs/>
          <w:sz w:val="24"/>
          <w:szCs w:val="24"/>
        </w:rPr>
        <w:fldChar w:fldCharType="end"/>
      </w:r>
      <w:r>
        <w:rPr>
          <w:bCs/>
          <w:sz w:val="24"/>
          <w:szCs w:val="24"/>
        </w:rPr>
        <w:t>, cu excepțiile prevăzute în normativ</w:t>
      </w:r>
    </w:p>
    <w:p w14:paraId="26BBB3B1" w14:textId="77777777" w:rsidR="001C08A5" w:rsidRDefault="00000000">
      <w:pPr>
        <w:ind w:firstLine="720"/>
        <w:jc w:val="both"/>
        <w:rPr>
          <w:b/>
          <w:sz w:val="24"/>
          <w:szCs w:val="24"/>
        </w:rPr>
      </w:pPr>
      <w:r>
        <w:rPr>
          <w:b/>
          <w:sz w:val="24"/>
          <w:szCs w:val="24"/>
        </w:rPr>
        <w:t>(2)</w:t>
      </w:r>
      <w:r>
        <w:rPr>
          <w:sz w:val="24"/>
          <w:szCs w:val="24"/>
        </w:rPr>
        <w:t xml:space="preserve"> Pe căile comune orizontale de circulaţie funcţională și de evacuare a utilizatorilor construcţiilor cu înălţime obişnuită precum și în încăperi se admit și finisaje din folii cu grosimea de maxim </w:t>
      </w:r>
      <w:r>
        <w:rPr>
          <w:b/>
          <w:bCs/>
          <w:sz w:val="24"/>
          <w:szCs w:val="24"/>
        </w:rPr>
        <w:t xml:space="preserve">5 </w:t>
      </w:r>
      <w:r>
        <w:rPr>
          <w:sz w:val="24"/>
          <w:szCs w:val="24"/>
        </w:rPr>
        <w:t xml:space="preserve">mm care se lipesc pe suport </w:t>
      </w:r>
      <w:r>
        <w:rPr>
          <w:b/>
          <w:sz w:val="24"/>
          <w:szCs w:val="24"/>
        </w:rPr>
        <w:t>A1</w:t>
      </w:r>
      <w:r>
        <w:rPr>
          <w:sz w:val="24"/>
          <w:szCs w:val="24"/>
        </w:rPr>
        <w:t xml:space="preserve"> sau </w:t>
      </w:r>
      <w:r>
        <w:rPr>
          <w:b/>
          <w:sz w:val="24"/>
          <w:szCs w:val="24"/>
        </w:rPr>
        <w:t xml:space="preserve">A2-s1d0 și </w:t>
      </w:r>
      <w:r>
        <w:rPr>
          <w:sz w:val="24"/>
          <w:szCs w:val="24"/>
        </w:rPr>
        <w:t xml:space="preserve">mochete sau lemn, cu grosimea de maxim </w:t>
      </w:r>
      <w:r>
        <w:rPr>
          <w:b/>
          <w:bCs/>
          <w:sz w:val="24"/>
          <w:szCs w:val="24"/>
        </w:rPr>
        <w:t>20</w:t>
      </w:r>
      <w:r>
        <w:rPr>
          <w:sz w:val="24"/>
          <w:szCs w:val="24"/>
        </w:rPr>
        <w:t xml:space="preserve"> mm, minimum </w:t>
      </w:r>
      <w:r>
        <w:rPr>
          <w:b/>
          <w:sz w:val="24"/>
          <w:szCs w:val="24"/>
        </w:rPr>
        <w:t>C</w:t>
      </w:r>
      <w:r>
        <w:rPr>
          <w:b/>
          <w:bCs/>
          <w:sz w:val="24"/>
          <w:szCs w:val="24"/>
          <w:vertAlign w:val="subscript"/>
        </w:rPr>
        <w:t>FL</w:t>
      </w:r>
      <w:r>
        <w:rPr>
          <w:b/>
          <w:bCs/>
          <w:sz w:val="24"/>
          <w:szCs w:val="24"/>
        </w:rPr>
        <w:t>-s1</w:t>
      </w:r>
      <w:r>
        <w:rPr>
          <w:sz w:val="24"/>
          <w:szCs w:val="24"/>
        </w:rPr>
        <w:t xml:space="preserve">, montate direct sau pe un strat fonoizolator la zgomot de impact, care se lipesc sau se aşează liber pe suport </w:t>
      </w:r>
      <w:r>
        <w:rPr>
          <w:b/>
          <w:sz w:val="24"/>
          <w:szCs w:val="24"/>
        </w:rPr>
        <w:t>A1</w:t>
      </w:r>
      <w:r>
        <w:rPr>
          <w:sz w:val="24"/>
          <w:szCs w:val="24"/>
        </w:rPr>
        <w:t xml:space="preserve"> sau </w:t>
      </w:r>
      <w:r>
        <w:rPr>
          <w:b/>
          <w:sz w:val="24"/>
          <w:szCs w:val="24"/>
        </w:rPr>
        <w:t xml:space="preserve">A2-s1d0. </w:t>
      </w:r>
      <w:r>
        <w:rPr>
          <w:sz w:val="24"/>
          <w:szCs w:val="24"/>
        </w:rPr>
        <w:t xml:space="preserve">Stratul fonoizolator la zgomot de impact / stratul vibroamortizant va avea minimum aceeasi clasa de reactie la foc cu finisajul prevazut la alin. </w:t>
      </w:r>
      <w:r>
        <w:rPr>
          <w:b/>
          <w:bCs/>
          <w:sz w:val="24"/>
          <w:szCs w:val="24"/>
        </w:rPr>
        <w:t>(1).</w:t>
      </w:r>
    </w:p>
    <w:p w14:paraId="09E94C78" w14:textId="77777777" w:rsidR="001C08A5" w:rsidRDefault="001C08A5">
      <w:pPr>
        <w:jc w:val="both"/>
        <w:rPr>
          <w:sz w:val="24"/>
          <w:szCs w:val="24"/>
        </w:rPr>
      </w:pPr>
    </w:p>
    <w:p w14:paraId="56274FCA" w14:textId="77777777" w:rsidR="001C08A5" w:rsidRDefault="00000000">
      <w:pPr>
        <w:pStyle w:val="Captiontabel"/>
      </w:pPr>
      <w:bookmarkStart w:id="1744" w:name="_Ref31418"/>
      <w:bookmarkStart w:id="1745" w:name="_Toc162360069"/>
      <w:bookmarkStart w:id="1746" w:name="_Ref28432"/>
      <w:r>
        <w:t xml:space="preserve">Tabelul </w:t>
      </w:r>
      <w:r>
        <w:fldChar w:fldCharType="begin"/>
      </w:r>
      <w:r>
        <w:instrText xml:space="preserve"> SEQ Tabelul \* ARABIC </w:instrText>
      </w:r>
      <w:r>
        <w:fldChar w:fldCharType="separate"/>
      </w:r>
      <w:r>
        <w:t>19</w:t>
      </w:r>
      <w:r>
        <w:fldChar w:fldCharType="end"/>
      </w:r>
      <w:bookmarkStart w:id="1747" w:name="_Toc25804"/>
      <w:bookmarkStart w:id="1748" w:name="_Toc24041"/>
      <w:bookmarkStart w:id="1749" w:name="_Toc24417"/>
      <w:bookmarkStart w:id="1750" w:name="_Toc3256"/>
      <w:bookmarkStart w:id="1751" w:name="_Toc22711"/>
      <w:bookmarkStart w:id="1752" w:name="_Toc8223"/>
      <w:bookmarkStart w:id="1753" w:name="_Toc2083"/>
      <w:bookmarkStart w:id="1754" w:name="_Toc23774"/>
      <w:bookmarkStart w:id="1755" w:name="_Toc6573"/>
      <w:bookmarkStart w:id="1756" w:name="_Toc26709"/>
      <w:bookmarkStart w:id="1757" w:name="_Toc16386"/>
      <w:bookmarkStart w:id="1758" w:name="_Toc932"/>
      <w:bookmarkStart w:id="1759" w:name="_Toc10878"/>
      <w:bookmarkStart w:id="1760" w:name="_Toc24504"/>
      <w:bookmarkStart w:id="1761" w:name="_Toc4255"/>
      <w:bookmarkStart w:id="1762" w:name="_Toc21912"/>
      <w:bookmarkStart w:id="1763" w:name="_Toc7729"/>
      <w:bookmarkStart w:id="1764" w:name="_Toc6617"/>
      <w:bookmarkStart w:id="1765" w:name="_Toc562"/>
      <w:bookmarkEnd w:id="1744"/>
      <w:r>
        <w:t>: Clase de performanţă privind reacţia la foc a produselor folosite pentru finisajele interioare la casele de scări închise, căi de evacuare orizontale (coridoare şi holuri, tuneluri, degajamente protejate etc.) și încăperi în clădiri supraterane</w:t>
      </w:r>
      <w:bookmarkEnd w:id="1745"/>
      <w:r>
        <w:t xml:space="preserve"> </w:t>
      </w:r>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p>
    <w:p w14:paraId="3D2CDB10" w14:textId="77777777" w:rsidR="001C08A5" w:rsidRDefault="001C08A5">
      <w:pPr>
        <w:jc w:val="both"/>
        <w:rPr>
          <w:sz w:val="24"/>
          <w:szCs w:val="24"/>
        </w:rPr>
      </w:pPr>
    </w:p>
    <w:tbl>
      <w:tblPr>
        <w:tblW w:w="498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6"/>
        <w:gridCol w:w="1448"/>
        <w:gridCol w:w="1348"/>
        <w:gridCol w:w="1364"/>
        <w:gridCol w:w="1346"/>
        <w:gridCol w:w="1484"/>
        <w:gridCol w:w="1520"/>
      </w:tblGrid>
      <w:tr w:rsidR="001C08A5" w14:paraId="644703A5" w14:textId="77777777">
        <w:trPr>
          <w:trHeight w:val="356"/>
          <w:tblHeader/>
          <w:jc w:val="center"/>
        </w:trPr>
        <w:tc>
          <w:tcPr>
            <w:tcW w:w="539" w:type="pct"/>
            <w:vMerge w:val="restart"/>
            <w:shd w:val="clear" w:color="auto" w:fill="BFBFBF"/>
          </w:tcPr>
          <w:p w14:paraId="7CDCD71D" w14:textId="77777777" w:rsidR="001C08A5" w:rsidRDefault="00000000">
            <w:pPr>
              <w:pStyle w:val="BodyText"/>
              <w:jc w:val="center"/>
              <w:rPr>
                <w:bCs w:val="0"/>
                <w:sz w:val="22"/>
                <w:szCs w:val="22"/>
              </w:rPr>
            </w:pPr>
            <w:r>
              <w:rPr>
                <w:bCs w:val="0"/>
                <w:sz w:val="22"/>
                <w:szCs w:val="22"/>
              </w:rPr>
              <w:t>Nivel de stabilitate</w:t>
            </w:r>
          </w:p>
          <w:p w14:paraId="3F357FBA" w14:textId="77777777" w:rsidR="001C08A5" w:rsidRDefault="00000000">
            <w:pPr>
              <w:jc w:val="center"/>
              <w:rPr>
                <w:b/>
                <w:i/>
                <w:sz w:val="22"/>
                <w:szCs w:val="22"/>
              </w:rPr>
            </w:pPr>
            <w:r>
              <w:rPr>
                <w:b/>
                <w:i/>
                <w:sz w:val="22"/>
                <w:szCs w:val="22"/>
              </w:rPr>
              <w:t>la incendiu</w:t>
            </w:r>
          </w:p>
        </w:tc>
        <w:tc>
          <w:tcPr>
            <w:tcW w:w="4460" w:type="pct"/>
            <w:gridSpan w:val="6"/>
            <w:shd w:val="clear" w:color="auto" w:fill="BFBFBF"/>
            <w:vAlign w:val="center"/>
          </w:tcPr>
          <w:p w14:paraId="0271D6B8" w14:textId="77777777" w:rsidR="001C08A5" w:rsidRDefault="00000000">
            <w:pPr>
              <w:jc w:val="center"/>
              <w:rPr>
                <w:b/>
                <w:i/>
                <w:sz w:val="22"/>
                <w:szCs w:val="22"/>
              </w:rPr>
            </w:pPr>
            <w:r>
              <w:rPr>
                <w:b/>
                <w:i/>
                <w:sz w:val="22"/>
                <w:szCs w:val="22"/>
              </w:rPr>
              <w:t>Finisaje</w:t>
            </w:r>
          </w:p>
        </w:tc>
      </w:tr>
      <w:tr w:rsidR="001C08A5" w14:paraId="04F4C0C1" w14:textId="77777777">
        <w:trPr>
          <w:tblHeader/>
          <w:jc w:val="center"/>
        </w:trPr>
        <w:tc>
          <w:tcPr>
            <w:tcW w:w="539" w:type="pct"/>
            <w:vMerge/>
            <w:shd w:val="clear" w:color="auto" w:fill="BFBFBF"/>
          </w:tcPr>
          <w:p w14:paraId="1363B0A1" w14:textId="77777777" w:rsidR="001C08A5" w:rsidRDefault="001C08A5">
            <w:pPr>
              <w:jc w:val="center"/>
              <w:rPr>
                <w:i/>
                <w:sz w:val="22"/>
                <w:szCs w:val="22"/>
              </w:rPr>
            </w:pPr>
          </w:p>
        </w:tc>
        <w:tc>
          <w:tcPr>
            <w:tcW w:w="1466" w:type="pct"/>
            <w:gridSpan w:val="2"/>
            <w:shd w:val="clear" w:color="auto" w:fill="BFBFBF"/>
            <w:vAlign w:val="center"/>
          </w:tcPr>
          <w:p w14:paraId="727BD93E" w14:textId="77777777" w:rsidR="001C08A5" w:rsidRDefault="00000000">
            <w:pPr>
              <w:jc w:val="center"/>
              <w:rPr>
                <w:b/>
                <w:i/>
                <w:sz w:val="22"/>
                <w:szCs w:val="22"/>
              </w:rPr>
            </w:pPr>
            <w:r>
              <w:rPr>
                <w:b/>
                <w:bCs/>
                <w:i/>
                <w:sz w:val="22"/>
                <w:szCs w:val="22"/>
              </w:rPr>
              <w:t>la coridoare și la holuri</w:t>
            </w:r>
          </w:p>
        </w:tc>
        <w:tc>
          <w:tcPr>
            <w:tcW w:w="1421" w:type="pct"/>
            <w:gridSpan w:val="2"/>
            <w:shd w:val="clear" w:color="auto" w:fill="BFBFBF"/>
            <w:vAlign w:val="center"/>
          </w:tcPr>
          <w:p w14:paraId="144A07AD" w14:textId="77777777" w:rsidR="001C08A5" w:rsidRDefault="00000000">
            <w:pPr>
              <w:jc w:val="center"/>
              <w:rPr>
                <w:b/>
                <w:i/>
                <w:sz w:val="22"/>
                <w:szCs w:val="22"/>
              </w:rPr>
            </w:pPr>
            <w:r>
              <w:rPr>
                <w:b/>
                <w:bCs/>
                <w:i/>
                <w:sz w:val="22"/>
                <w:szCs w:val="22"/>
              </w:rPr>
              <w:t>la case de scări închise</w:t>
            </w:r>
          </w:p>
        </w:tc>
        <w:tc>
          <w:tcPr>
            <w:tcW w:w="1572" w:type="pct"/>
            <w:gridSpan w:val="2"/>
            <w:shd w:val="clear" w:color="auto" w:fill="BFBFBF"/>
            <w:vAlign w:val="center"/>
          </w:tcPr>
          <w:p w14:paraId="77153DE7" w14:textId="77777777" w:rsidR="001C08A5" w:rsidRDefault="00000000">
            <w:pPr>
              <w:jc w:val="center"/>
              <w:rPr>
                <w:b/>
                <w:i/>
                <w:sz w:val="22"/>
                <w:szCs w:val="22"/>
              </w:rPr>
            </w:pPr>
            <w:r>
              <w:rPr>
                <w:b/>
                <w:i/>
                <w:sz w:val="22"/>
                <w:szCs w:val="22"/>
              </w:rPr>
              <w:t>în încăperi</w:t>
            </w:r>
          </w:p>
        </w:tc>
      </w:tr>
      <w:tr w:rsidR="001C08A5" w14:paraId="7CC25497" w14:textId="77777777">
        <w:trPr>
          <w:tblHeader/>
          <w:jc w:val="center"/>
        </w:trPr>
        <w:tc>
          <w:tcPr>
            <w:tcW w:w="539" w:type="pct"/>
            <w:vMerge/>
            <w:shd w:val="clear" w:color="auto" w:fill="BFBFBF"/>
          </w:tcPr>
          <w:p w14:paraId="3C936D14" w14:textId="77777777" w:rsidR="001C08A5" w:rsidRDefault="001C08A5">
            <w:pPr>
              <w:jc w:val="center"/>
              <w:rPr>
                <w:i/>
                <w:sz w:val="22"/>
                <w:szCs w:val="22"/>
              </w:rPr>
            </w:pPr>
          </w:p>
        </w:tc>
        <w:tc>
          <w:tcPr>
            <w:tcW w:w="759" w:type="pct"/>
            <w:shd w:val="clear" w:color="auto" w:fill="BFBFBF"/>
            <w:vAlign w:val="center"/>
          </w:tcPr>
          <w:p w14:paraId="7ECC5E3F" w14:textId="77777777" w:rsidR="001C08A5" w:rsidRDefault="00000000">
            <w:pPr>
              <w:jc w:val="center"/>
              <w:rPr>
                <w:b/>
                <w:i/>
                <w:sz w:val="22"/>
                <w:szCs w:val="22"/>
              </w:rPr>
            </w:pPr>
            <w:r>
              <w:rPr>
                <w:b/>
                <w:i/>
                <w:sz w:val="22"/>
                <w:szCs w:val="22"/>
              </w:rPr>
              <w:t>Pereţi</w:t>
            </w:r>
          </w:p>
        </w:tc>
        <w:tc>
          <w:tcPr>
            <w:tcW w:w="706" w:type="pct"/>
            <w:shd w:val="clear" w:color="auto" w:fill="BFBFBF"/>
            <w:vAlign w:val="center"/>
          </w:tcPr>
          <w:p w14:paraId="014889C2" w14:textId="77777777" w:rsidR="001C08A5" w:rsidRDefault="00000000">
            <w:pPr>
              <w:jc w:val="center"/>
              <w:rPr>
                <w:b/>
                <w:i/>
                <w:sz w:val="22"/>
                <w:szCs w:val="22"/>
              </w:rPr>
            </w:pPr>
            <w:r>
              <w:rPr>
                <w:b/>
                <w:i/>
                <w:sz w:val="22"/>
                <w:szCs w:val="22"/>
              </w:rPr>
              <w:t>Pardoseli</w:t>
            </w:r>
          </w:p>
        </w:tc>
        <w:tc>
          <w:tcPr>
            <w:tcW w:w="715" w:type="pct"/>
            <w:shd w:val="clear" w:color="auto" w:fill="BFBFBF"/>
            <w:vAlign w:val="center"/>
          </w:tcPr>
          <w:p w14:paraId="56D9761F" w14:textId="77777777" w:rsidR="001C08A5" w:rsidRDefault="00000000">
            <w:pPr>
              <w:jc w:val="center"/>
              <w:rPr>
                <w:b/>
                <w:i/>
                <w:sz w:val="22"/>
                <w:szCs w:val="22"/>
              </w:rPr>
            </w:pPr>
            <w:r>
              <w:rPr>
                <w:b/>
                <w:i/>
                <w:sz w:val="22"/>
                <w:szCs w:val="22"/>
              </w:rPr>
              <w:t>Pereţi</w:t>
            </w:r>
          </w:p>
        </w:tc>
        <w:tc>
          <w:tcPr>
            <w:tcW w:w="706" w:type="pct"/>
            <w:shd w:val="clear" w:color="auto" w:fill="BFBFBF"/>
            <w:vAlign w:val="center"/>
          </w:tcPr>
          <w:p w14:paraId="6F956843" w14:textId="77777777" w:rsidR="001C08A5" w:rsidRDefault="00000000">
            <w:pPr>
              <w:jc w:val="center"/>
              <w:rPr>
                <w:b/>
                <w:i/>
                <w:sz w:val="22"/>
                <w:szCs w:val="22"/>
              </w:rPr>
            </w:pPr>
            <w:r>
              <w:rPr>
                <w:b/>
                <w:i/>
                <w:sz w:val="22"/>
                <w:szCs w:val="22"/>
              </w:rPr>
              <w:t>Pardoseli</w:t>
            </w:r>
          </w:p>
        </w:tc>
        <w:tc>
          <w:tcPr>
            <w:tcW w:w="1528" w:type="dxa"/>
            <w:shd w:val="clear" w:color="auto" w:fill="BFBFBF"/>
            <w:vAlign w:val="center"/>
          </w:tcPr>
          <w:p w14:paraId="51CDD850" w14:textId="77777777" w:rsidR="001C08A5" w:rsidRDefault="00000000">
            <w:pPr>
              <w:jc w:val="center"/>
              <w:rPr>
                <w:b/>
                <w:i/>
                <w:sz w:val="22"/>
                <w:szCs w:val="22"/>
              </w:rPr>
            </w:pPr>
            <w:r>
              <w:rPr>
                <w:b/>
                <w:i/>
                <w:sz w:val="22"/>
                <w:szCs w:val="22"/>
              </w:rPr>
              <w:t>Pereţi</w:t>
            </w:r>
          </w:p>
        </w:tc>
        <w:tc>
          <w:tcPr>
            <w:tcW w:w="1566" w:type="dxa"/>
            <w:shd w:val="clear" w:color="auto" w:fill="BFBFBF"/>
            <w:vAlign w:val="center"/>
          </w:tcPr>
          <w:p w14:paraId="60F04635" w14:textId="77777777" w:rsidR="001C08A5" w:rsidRDefault="00000000">
            <w:pPr>
              <w:jc w:val="center"/>
              <w:rPr>
                <w:b/>
                <w:i/>
                <w:sz w:val="22"/>
                <w:szCs w:val="22"/>
              </w:rPr>
            </w:pPr>
            <w:r>
              <w:rPr>
                <w:b/>
                <w:i/>
                <w:sz w:val="22"/>
                <w:szCs w:val="22"/>
              </w:rPr>
              <w:t>Pardoseli</w:t>
            </w:r>
          </w:p>
        </w:tc>
      </w:tr>
      <w:tr w:rsidR="001C08A5" w14:paraId="5F89D6B8" w14:textId="77777777">
        <w:trPr>
          <w:jc w:val="center"/>
        </w:trPr>
        <w:tc>
          <w:tcPr>
            <w:tcW w:w="539" w:type="pct"/>
          </w:tcPr>
          <w:p w14:paraId="46340FEE" w14:textId="77777777" w:rsidR="001C08A5" w:rsidRDefault="00000000">
            <w:pPr>
              <w:pStyle w:val="BodyText"/>
              <w:jc w:val="center"/>
              <w:rPr>
                <w:bCs w:val="0"/>
                <w:sz w:val="22"/>
                <w:szCs w:val="22"/>
              </w:rPr>
            </w:pPr>
            <w:r>
              <w:rPr>
                <w:bCs w:val="0"/>
                <w:sz w:val="22"/>
                <w:szCs w:val="22"/>
              </w:rPr>
              <w:t>I</w:t>
            </w:r>
          </w:p>
        </w:tc>
        <w:tc>
          <w:tcPr>
            <w:tcW w:w="759" w:type="pct"/>
            <w:vAlign w:val="center"/>
          </w:tcPr>
          <w:p w14:paraId="5653E6AA"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706" w:type="pct"/>
            <w:vAlign w:val="center"/>
          </w:tcPr>
          <w:p w14:paraId="6BC4F35A" w14:textId="77777777" w:rsidR="001C08A5" w:rsidRDefault="00000000">
            <w:pPr>
              <w:jc w:val="center"/>
              <w:rPr>
                <w:b/>
                <w:bCs/>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715" w:type="pct"/>
            <w:vAlign w:val="center"/>
          </w:tcPr>
          <w:p w14:paraId="7DB8BD9A"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706" w:type="pct"/>
            <w:vAlign w:val="center"/>
          </w:tcPr>
          <w:p w14:paraId="334EAB2A" w14:textId="77777777" w:rsidR="001C08A5" w:rsidRDefault="00000000">
            <w:pPr>
              <w:jc w:val="center"/>
              <w:rPr>
                <w:b/>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1528" w:type="dxa"/>
            <w:vAlign w:val="center"/>
          </w:tcPr>
          <w:p w14:paraId="6C094B96" w14:textId="77777777" w:rsidR="001C08A5" w:rsidRDefault="00000000">
            <w:pPr>
              <w:jc w:val="center"/>
              <w:rPr>
                <w:b/>
                <w:i/>
                <w:sz w:val="22"/>
                <w:szCs w:val="22"/>
              </w:rPr>
            </w:pPr>
            <w:r>
              <w:rPr>
                <w:b/>
                <w:i/>
                <w:sz w:val="22"/>
                <w:szCs w:val="22"/>
              </w:rPr>
              <w:t>min B-s1d0</w:t>
            </w:r>
          </w:p>
        </w:tc>
        <w:tc>
          <w:tcPr>
            <w:tcW w:w="1566" w:type="dxa"/>
            <w:vAlign w:val="center"/>
          </w:tcPr>
          <w:p w14:paraId="3BA5B7D2" w14:textId="77777777" w:rsidR="001C08A5" w:rsidRDefault="00000000">
            <w:pPr>
              <w:jc w:val="center"/>
              <w:rPr>
                <w:b/>
                <w:i/>
                <w:sz w:val="22"/>
                <w:szCs w:val="22"/>
              </w:rPr>
            </w:pPr>
            <w:r>
              <w:rPr>
                <w:b/>
                <w:bCs/>
                <w:i/>
                <w:sz w:val="22"/>
                <w:szCs w:val="22"/>
              </w:rPr>
              <w:t>min B</w:t>
            </w:r>
            <w:r>
              <w:rPr>
                <w:b/>
                <w:bCs/>
                <w:i/>
                <w:sz w:val="22"/>
                <w:szCs w:val="22"/>
                <w:vertAlign w:val="subscript"/>
              </w:rPr>
              <w:t>FL</w:t>
            </w:r>
            <w:r>
              <w:rPr>
                <w:b/>
                <w:bCs/>
                <w:i/>
                <w:sz w:val="22"/>
                <w:szCs w:val="22"/>
              </w:rPr>
              <w:t>-s1</w:t>
            </w:r>
          </w:p>
        </w:tc>
      </w:tr>
      <w:tr w:rsidR="001C08A5" w14:paraId="46B49B4E" w14:textId="77777777">
        <w:trPr>
          <w:jc w:val="center"/>
        </w:trPr>
        <w:tc>
          <w:tcPr>
            <w:tcW w:w="539" w:type="pct"/>
          </w:tcPr>
          <w:p w14:paraId="45FF2C1B" w14:textId="77777777" w:rsidR="001C08A5" w:rsidRDefault="00000000">
            <w:pPr>
              <w:pStyle w:val="BodyText"/>
              <w:jc w:val="center"/>
              <w:rPr>
                <w:bCs w:val="0"/>
                <w:sz w:val="22"/>
                <w:szCs w:val="22"/>
              </w:rPr>
            </w:pPr>
            <w:r>
              <w:rPr>
                <w:bCs w:val="0"/>
                <w:sz w:val="22"/>
                <w:szCs w:val="22"/>
              </w:rPr>
              <w:lastRenderedPageBreak/>
              <w:t>II</w:t>
            </w:r>
          </w:p>
        </w:tc>
        <w:tc>
          <w:tcPr>
            <w:tcW w:w="759" w:type="pct"/>
            <w:vAlign w:val="center"/>
          </w:tcPr>
          <w:p w14:paraId="694BEAC9"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706" w:type="pct"/>
            <w:vAlign w:val="center"/>
          </w:tcPr>
          <w:p w14:paraId="207B1F33" w14:textId="77777777" w:rsidR="001C08A5" w:rsidRDefault="00000000">
            <w:pPr>
              <w:jc w:val="center"/>
              <w:rPr>
                <w:b/>
                <w:bCs/>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715" w:type="pct"/>
            <w:vAlign w:val="center"/>
          </w:tcPr>
          <w:p w14:paraId="2E68BCDF"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706" w:type="pct"/>
            <w:vAlign w:val="center"/>
          </w:tcPr>
          <w:p w14:paraId="03228C95" w14:textId="77777777" w:rsidR="001C08A5" w:rsidRDefault="00000000">
            <w:pPr>
              <w:jc w:val="center"/>
              <w:rPr>
                <w:b/>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1528" w:type="dxa"/>
            <w:vAlign w:val="center"/>
          </w:tcPr>
          <w:p w14:paraId="5F77F43D" w14:textId="77777777" w:rsidR="001C08A5" w:rsidRDefault="00000000">
            <w:pPr>
              <w:jc w:val="center"/>
              <w:rPr>
                <w:b/>
                <w:i/>
                <w:sz w:val="22"/>
                <w:szCs w:val="22"/>
              </w:rPr>
            </w:pPr>
            <w:r>
              <w:rPr>
                <w:b/>
                <w:i/>
                <w:sz w:val="22"/>
                <w:szCs w:val="22"/>
              </w:rPr>
              <w:t>min B-s2d0</w:t>
            </w:r>
          </w:p>
        </w:tc>
        <w:tc>
          <w:tcPr>
            <w:tcW w:w="1566" w:type="dxa"/>
            <w:vAlign w:val="center"/>
          </w:tcPr>
          <w:p w14:paraId="17E1A646" w14:textId="77777777" w:rsidR="001C08A5" w:rsidRDefault="00000000">
            <w:pPr>
              <w:jc w:val="center"/>
              <w:rPr>
                <w:b/>
                <w:i/>
                <w:sz w:val="22"/>
                <w:szCs w:val="22"/>
              </w:rPr>
            </w:pPr>
            <w:r>
              <w:rPr>
                <w:b/>
                <w:bCs/>
                <w:i/>
                <w:sz w:val="22"/>
                <w:szCs w:val="22"/>
              </w:rPr>
              <w:t>min C</w:t>
            </w:r>
            <w:r>
              <w:rPr>
                <w:b/>
                <w:bCs/>
                <w:i/>
                <w:sz w:val="22"/>
                <w:szCs w:val="22"/>
                <w:vertAlign w:val="subscript"/>
              </w:rPr>
              <w:t>FL</w:t>
            </w:r>
            <w:r>
              <w:rPr>
                <w:b/>
                <w:bCs/>
                <w:i/>
                <w:sz w:val="22"/>
                <w:szCs w:val="22"/>
              </w:rPr>
              <w:t>-s1</w:t>
            </w:r>
          </w:p>
        </w:tc>
      </w:tr>
      <w:tr w:rsidR="001C08A5" w14:paraId="78D289B4" w14:textId="77777777">
        <w:trPr>
          <w:jc w:val="center"/>
        </w:trPr>
        <w:tc>
          <w:tcPr>
            <w:tcW w:w="539" w:type="pct"/>
          </w:tcPr>
          <w:p w14:paraId="19B6CAF1" w14:textId="77777777" w:rsidR="001C08A5" w:rsidRDefault="00000000">
            <w:pPr>
              <w:pStyle w:val="BodyText"/>
              <w:jc w:val="center"/>
              <w:rPr>
                <w:bCs w:val="0"/>
                <w:sz w:val="22"/>
                <w:szCs w:val="22"/>
              </w:rPr>
            </w:pPr>
            <w:r>
              <w:rPr>
                <w:bCs w:val="0"/>
                <w:sz w:val="22"/>
                <w:szCs w:val="22"/>
              </w:rPr>
              <w:t>III</w:t>
            </w:r>
          </w:p>
        </w:tc>
        <w:tc>
          <w:tcPr>
            <w:tcW w:w="759" w:type="pct"/>
            <w:vAlign w:val="center"/>
          </w:tcPr>
          <w:p w14:paraId="14943D98" w14:textId="77777777" w:rsidR="001C08A5" w:rsidRDefault="00000000">
            <w:pPr>
              <w:jc w:val="center"/>
              <w:rPr>
                <w:b/>
                <w:i/>
                <w:sz w:val="22"/>
                <w:szCs w:val="22"/>
              </w:rPr>
            </w:pPr>
            <w:r>
              <w:rPr>
                <w:b/>
                <w:i/>
                <w:sz w:val="22"/>
                <w:szCs w:val="22"/>
              </w:rPr>
              <w:t>min B-s1d0</w:t>
            </w:r>
          </w:p>
        </w:tc>
        <w:tc>
          <w:tcPr>
            <w:tcW w:w="706" w:type="pct"/>
            <w:vAlign w:val="center"/>
          </w:tcPr>
          <w:p w14:paraId="160BB2FC" w14:textId="77777777" w:rsidR="001C08A5" w:rsidRDefault="00000000">
            <w:pPr>
              <w:jc w:val="center"/>
              <w:rPr>
                <w:b/>
                <w:i/>
                <w:sz w:val="22"/>
                <w:szCs w:val="22"/>
              </w:rPr>
            </w:pPr>
            <w:r>
              <w:rPr>
                <w:b/>
                <w:i/>
                <w:sz w:val="22"/>
                <w:szCs w:val="22"/>
              </w:rPr>
              <w:t>min B</w:t>
            </w:r>
            <w:r>
              <w:rPr>
                <w:b/>
                <w:i/>
                <w:sz w:val="22"/>
                <w:szCs w:val="22"/>
                <w:vertAlign w:val="subscript"/>
              </w:rPr>
              <w:t>FL</w:t>
            </w:r>
            <w:r>
              <w:rPr>
                <w:b/>
                <w:i/>
                <w:sz w:val="22"/>
                <w:szCs w:val="22"/>
              </w:rPr>
              <w:t>-s1</w:t>
            </w:r>
          </w:p>
        </w:tc>
        <w:tc>
          <w:tcPr>
            <w:tcW w:w="715" w:type="pct"/>
            <w:vAlign w:val="center"/>
          </w:tcPr>
          <w:p w14:paraId="59DE1AF4"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706" w:type="pct"/>
            <w:vAlign w:val="center"/>
          </w:tcPr>
          <w:p w14:paraId="38BCDF54" w14:textId="77777777" w:rsidR="001C08A5" w:rsidRDefault="00000000">
            <w:pPr>
              <w:jc w:val="center"/>
              <w:rPr>
                <w:b/>
                <w:i/>
                <w:sz w:val="22"/>
                <w:szCs w:val="22"/>
              </w:rPr>
            </w:pPr>
            <w:r>
              <w:rPr>
                <w:b/>
                <w:bCs/>
                <w:i/>
                <w:sz w:val="22"/>
                <w:szCs w:val="22"/>
              </w:rPr>
              <w:t>min B</w:t>
            </w:r>
            <w:r>
              <w:rPr>
                <w:b/>
                <w:bCs/>
                <w:i/>
                <w:sz w:val="22"/>
                <w:szCs w:val="22"/>
                <w:vertAlign w:val="subscript"/>
              </w:rPr>
              <w:t>FL</w:t>
            </w:r>
            <w:r>
              <w:rPr>
                <w:b/>
                <w:bCs/>
                <w:i/>
                <w:sz w:val="22"/>
                <w:szCs w:val="22"/>
              </w:rPr>
              <w:t>-s1</w:t>
            </w:r>
          </w:p>
        </w:tc>
        <w:tc>
          <w:tcPr>
            <w:tcW w:w="1528" w:type="dxa"/>
            <w:vAlign w:val="center"/>
          </w:tcPr>
          <w:p w14:paraId="40D06771" w14:textId="77777777" w:rsidR="001C08A5" w:rsidRDefault="00000000">
            <w:pPr>
              <w:jc w:val="center"/>
              <w:rPr>
                <w:b/>
                <w:i/>
                <w:sz w:val="22"/>
                <w:szCs w:val="22"/>
              </w:rPr>
            </w:pPr>
            <w:r>
              <w:rPr>
                <w:b/>
                <w:i/>
                <w:sz w:val="22"/>
                <w:szCs w:val="22"/>
              </w:rPr>
              <w:t>min B-s3d0</w:t>
            </w:r>
          </w:p>
        </w:tc>
        <w:tc>
          <w:tcPr>
            <w:tcW w:w="1566" w:type="dxa"/>
            <w:vAlign w:val="center"/>
          </w:tcPr>
          <w:p w14:paraId="161D304C" w14:textId="77777777" w:rsidR="001C08A5" w:rsidRDefault="00000000">
            <w:pPr>
              <w:jc w:val="center"/>
              <w:rPr>
                <w:b/>
                <w:i/>
                <w:sz w:val="22"/>
                <w:szCs w:val="22"/>
              </w:rPr>
            </w:pPr>
            <w:r>
              <w:rPr>
                <w:b/>
                <w:i/>
                <w:sz w:val="22"/>
                <w:szCs w:val="22"/>
              </w:rPr>
              <w:t>min C</w:t>
            </w:r>
            <w:r>
              <w:rPr>
                <w:b/>
                <w:i/>
                <w:sz w:val="22"/>
                <w:szCs w:val="22"/>
                <w:vertAlign w:val="subscript"/>
              </w:rPr>
              <w:t>FL</w:t>
            </w:r>
            <w:r>
              <w:rPr>
                <w:b/>
                <w:i/>
                <w:sz w:val="22"/>
                <w:szCs w:val="22"/>
              </w:rPr>
              <w:t>-s1</w:t>
            </w:r>
          </w:p>
        </w:tc>
      </w:tr>
      <w:tr w:rsidR="001C08A5" w14:paraId="0026C48C" w14:textId="77777777">
        <w:trPr>
          <w:jc w:val="center"/>
        </w:trPr>
        <w:tc>
          <w:tcPr>
            <w:tcW w:w="539" w:type="pct"/>
          </w:tcPr>
          <w:p w14:paraId="3FF9C423" w14:textId="77777777" w:rsidR="001C08A5" w:rsidRDefault="00000000">
            <w:pPr>
              <w:pStyle w:val="BodyText"/>
              <w:jc w:val="center"/>
              <w:rPr>
                <w:bCs w:val="0"/>
                <w:sz w:val="22"/>
                <w:szCs w:val="22"/>
              </w:rPr>
            </w:pPr>
            <w:r>
              <w:rPr>
                <w:bCs w:val="0"/>
                <w:sz w:val="22"/>
                <w:szCs w:val="22"/>
              </w:rPr>
              <w:t>IV</w:t>
            </w:r>
          </w:p>
        </w:tc>
        <w:tc>
          <w:tcPr>
            <w:tcW w:w="759" w:type="pct"/>
            <w:vAlign w:val="center"/>
          </w:tcPr>
          <w:p w14:paraId="6BE65565" w14:textId="77777777" w:rsidR="001C08A5" w:rsidRDefault="00000000">
            <w:pPr>
              <w:jc w:val="center"/>
              <w:rPr>
                <w:b/>
                <w:i/>
                <w:sz w:val="22"/>
                <w:szCs w:val="22"/>
              </w:rPr>
            </w:pPr>
            <w:r>
              <w:rPr>
                <w:b/>
                <w:i/>
                <w:sz w:val="22"/>
                <w:szCs w:val="22"/>
              </w:rPr>
              <w:t>min C-s1d0</w:t>
            </w:r>
          </w:p>
        </w:tc>
        <w:tc>
          <w:tcPr>
            <w:tcW w:w="706" w:type="pct"/>
            <w:vAlign w:val="center"/>
          </w:tcPr>
          <w:p w14:paraId="7E66E5FE" w14:textId="77777777" w:rsidR="001C08A5" w:rsidRDefault="00000000">
            <w:pPr>
              <w:jc w:val="center"/>
              <w:rPr>
                <w:b/>
                <w:i/>
                <w:sz w:val="22"/>
                <w:szCs w:val="22"/>
              </w:rPr>
            </w:pPr>
            <w:r>
              <w:rPr>
                <w:b/>
                <w:bCs/>
                <w:i/>
                <w:sz w:val="22"/>
                <w:szCs w:val="22"/>
              </w:rPr>
              <w:t>min C</w:t>
            </w:r>
            <w:r>
              <w:rPr>
                <w:b/>
                <w:bCs/>
                <w:i/>
                <w:sz w:val="22"/>
                <w:szCs w:val="22"/>
                <w:vertAlign w:val="subscript"/>
              </w:rPr>
              <w:t>FL</w:t>
            </w:r>
            <w:r>
              <w:rPr>
                <w:b/>
                <w:bCs/>
                <w:i/>
                <w:sz w:val="22"/>
                <w:szCs w:val="22"/>
              </w:rPr>
              <w:t>-s1</w:t>
            </w:r>
          </w:p>
        </w:tc>
        <w:tc>
          <w:tcPr>
            <w:tcW w:w="715" w:type="pct"/>
            <w:vAlign w:val="center"/>
          </w:tcPr>
          <w:p w14:paraId="4C924D77" w14:textId="77777777" w:rsidR="001C08A5" w:rsidRDefault="00000000">
            <w:pPr>
              <w:jc w:val="center"/>
              <w:rPr>
                <w:b/>
                <w:i/>
                <w:sz w:val="22"/>
                <w:szCs w:val="22"/>
              </w:rPr>
            </w:pPr>
            <w:r>
              <w:rPr>
                <w:b/>
                <w:i/>
                <w:sz w:val="22"/>
                <w:szCs w:val="22"/>
              </w:rPr>
              <w:t>min B-s1d0</w:t>
            </w:r>
          </w:p>
        </w:tc>
        <w:tc>
          <w:tcPr>
            <w:tcW w:w="706" w:type="pct"/>
            <w:vAlign w:val="center"/>
          </w:tcPr>
          <w:p w14:paraId="23B2A261" w14:textId="77777777" w:rsidR="001C08A5" w:rsidRDefault="00000000">
            <w:pPr>
              <w:jc w:val="center"/>
              <w:rPr>
                <w:b/>
                <w:i/>
                <w:sz w:val="22"/>
                <w:szCs w:val="22"/>
              </w:rPr>
            </w:pPr>
            <w:r>
              <w:rPr>
                <w:b/>
                <w:bCs/>
                <w:i/>
                <w:sz w:val="22"/>
                <w:szCs w:val="22"/>
              </w:rPr>
              <w:t>min C</w:t>
            </w:r>
            <w:r>
              <w:rPr>
                <w:b/>
                <w:bCs/>
                <w:i/>
                <w:sz w:val="22"/>
                <w:szCs w:val="22"/>
                <w:vertAlign w:val="subscript"/>
              </w:rPr>
              <w:t>FL</w:t>
            </w:r>
            <w:r>
              <w:rPr>
                <w:b/>
                <w:bCs/>
                <w:i/>
                <w:sz w:val="22"/>
                <w:szCs w:val="22"/>
              </w:rPr>
              <w:t>-s1</w:t>
            </w:r>
          </w:p>
        </w:tc>
        <w:tc>
          <w:tcPr>
            <w:tcW w:w="1528" w:type="dxa"/>
            <w:vAlign w:val="center"/>
          </w:tcPr>
          <w:p w14:paraId="170C160B" w14:textId="77777777" w:rsidR="001C08A5" w:rsidRDefault="00000000">
            <w:pPr>
              <w:jc w:val="center"/>
              <w:rPr>
                <w:b/>
                <w:i/>
                <w:sz w:val="22"/>
                <w:szCs w:val="22"/>
              </w:rPr>
            </w:pPr>
            <w:r>
              <w:rPr>
                <w:b/>
                <w:i/>
                <w:sz w:val="22"/>
                <w:szCs w:val="22"/>
              </w:rPr>
              <w:t>min C-s3d0</w:t>
            </w:r>
          </w:p>
        </w:tc>
        <w:tc>
          <w:tcPr>
            <w:tcW w:w="1566" w:type="dxa"/>
            <w:vAlign w:val="center"/>
          </w:tcPr>
          <w:p w14:paraId="45B65D51" w14:textId="77777777" w:rsidR="001C08A5" w:rsidRDefault="00000000">
            <w:pPr>
              <w:jc w:val="center"/>
              <w:rPr>
                <w:b/>
                <w:i/>
                <w:sz w:val="22"/>
                <w:szCs w:val="22"/>
              </w:rPr>
            </w:pPr>
            <w:r>
              <w:rPr>
                <w:b/>
                <w:bCs/>
                <w:i/>
                <w:sz w:val="22"/>
                <w:szCs w:val="22"/>
              </w:rPr>
              <w:t>min D</w:t>
            </w:r>
            <w:r>
              <w:rPr>
                <w:b/>
                <w:bCs/>
                <w:i/>
                <w:sz w:val="22"/>
                <w:szCs w:val="22"/>
                <w:vertAlign w:val="subscript"/>
              </w:rPr>
              <w:t>FL</w:t>
            </w:r>
            <w:r>
              <w:rPr>
                <w:b/>
                <w:bCs/>
                <w:i/>
                <w:sz w:val="22"/>
                <w:szCs w:val="22"/>
              </w:rPr>
              <w:t>-s1</w:t>
            </w:r>
          </w:p>
        </w:tc>
      </w:tr>
      <w:tr w:rsidR="001C08A5" w14:paraId="0DA18574" w14:textId="77777777">
        <w:trPr>
          <w:jc w:val="center"/>
        </w:trPr>
        <w:tc>
          <w:tcPr>
            <w:tcW w:w="539" w:type="pct"/>
          </w:tcPr>
          <w:p w14:paraId="6A4ED359" w14:textId="77777777" w:rsidR="001C08A5" w:rsidRDefault="00000000">
            <w:pPr>
              <w:pStyle w:val="BodyText"/>
              <w:jc w:val="center"/>
              <w:rPr>
                <w:bCs w:val="0"/>
                <w:sz w:val="22"/>
                <w:szCs w:val="22"/>
              </w:rPr>
            </w:pPr>
            <w:r>
              <w:rPr>
                <w:bCs w:val="0"/>
                <w:sz w:val="22"/>
                <w:szCs w:val="22"/>
              </w:rPr>
              <w:t>V</w:t>
            </w:r>
          </w:p>
        </w:tc>
        <w:tc>
          <w:tcPr>
            <w:tcW w:w="759" w:type="pct"/>
            <w:vAlign w:val="center"/>
          </w:tcPr>
          <w:p w14:paraId="6D0EE8C7" w14:textId="77777777" w:rsidR="001C08A5" w:rsidRDefault="00000000">
            <w:pPr>
              <w:jc w:val="center"/>
              <w:rPr>
                <w:b/>
                <w:i/>
                <w:sz w:val="22"/>
                <w:szCs w:val="22"/>
              </w:rPr>
            </w:pPr>
            <w:r>
              <w:rPr>
                <w:b/>
                <w:i/>
                <w:sz w:val="22"/>
                <w:szCs w:val="22"/>
              </w:rPr>
              <w:t>min D-s1d0</w:t>
            </w:r>
          </w:p>
        </w:tc>
        <w:tc>
          <w:tcPr>
            <w:tcW w:w="706" w:type="pct"/>
            <w:vAlign w:val="center"/>
          </w:tcPr>
          <w:p w14:paraId="700514A6" w14:textId="77777777" w:rsidR="001C08A5" w:rsidRDefault="00000000">
            <w:pPr>
              <w:jc w:val="center"/>
              <w:rPr>
                <w:b/>
                <w:i/>
                <w:sz w:val="22"/>
                <w:szCs w:val="22"/>
              </w:rPr>
            </w:pPr>
            <w:r>
              <w:rPr>
                <w:b/>
                <w:bCs/>
                <w:i/>
                <w:sz w:val="22"/>
                <w:szCs w:val="22"/>
              </w:rPr>
              <w:t>min D</w:t>
            </w:r>
            <w:r>
              <w:rPr>
                <w:b/>
                <w:bCs/>
                <w:i/>
                <w:sz w:val="22"/>
                <w:szCs w:val="22"/>
                <w:vertAlign w:val="subscript"/>
              </w:rPr>
              <w:t>FL</w:t>
            </w:r>
            <w:r>
              <w:rPr>
                <w:b/>
                <w:bCs/>
                <w:i/>
                <w:sz w:val="22"/>
                <w:szCs w:val="22"/>
              </w:rPr>
              <w:t>-s1</w:t>
            </w:r>
          </w:p>
        </w:tc>
        <w:tc>
          <w:tcPr>
            <w:tcW w:w="715" w:type="pct"/>
            <w:vAlign w:val="center"/>
          </w:tcPr>
          <w:p w14:paraId="0DF615F9" w14:textId="77777777" w:rsidR="001C08A5" w:rsidRDefault="00000000">
            <w:pPr>
              <w:jc w:val="center"/>
              <w:rPr>
                <w:b/>
                <w:i/>
                <w:sz w:val="22"/>
                <w:szCs w:val="22"/>
              </w:rPr>
            </w:pPr>
            <w:r>
              <w:rPr>
                <w:b/>
                <w:i/>
                <w:sz w:val="22"/>
                <w:szCs w:val="22"/>
              </w:rPr>
              <w:t>min C-s1d0</w:t>
            </w:r>
          </w:p>
        </w:tc>
        <w:tc>
          <w:tcPr>
            <w:tcW w:w="706" w:type="pct"/>
            <w:vAlign w:val="center"/>
          </w:tcPr>
          <w:p w14:paraId="34B5BA10" w14:textId="77777777" w:rsidR="001C08A5" w:rsidRDefault="00000000">
            <w:pPr>
              <w:jc w:val="center"/>
              <w:rPr>
                <w:b/>
                <w:i/>
                <w:sz w:val="22"/>
                <w:szCs w:val="22"/>
              </w:rPr>
            </w:pPr>
            <w:r>
              <w:rPr>
                <w:b/>
                <w:bCs/>
                <w:i/>
                <w:sz w:val="22"/>
                <w:szCs w:val="22"/>
              </w:rPr>
              <w:t>min D</w:t>
            </w:r>
            <w:r>
              <w:rPr>
                <w:b/>
                <w:bCs/>
                <w:i/>
                <w:sz w:val="22"/>
                <w:szCs w:val="22"/>
                <w:vertAlign w:val="subscript"/>
              </w:rPr>
              <w:t>FL</w:t>
            </w:r>
            <w:r>
              <w:rPr>
                <w:b/>
                <w:bCs/>
                <w:i/>
                <w:sz w:val="22"/>
                <w:szCs w:val="22"/>
              </w:rPr>
              <w:t>-s1</w:t>
            </w:r>
          </w:p>
        </w:tc>
        <w:tc>
          <w:tcPr>
            <w:tcW w:w="777" w:type="pct"/>
            <w:vAlign w:val="center"/>
          </w:tcPr>
          <w:p w14:paraId="3AAFD207" w14:textId="77777777" w:rsidR="001C08A5" w:rsidRDefault="00000000">
            <w:pPr>
              <w:jc w:val="center"/>
              <w:rPr>
                <w:b/>
                <w:i/>
                <w:sz w:val="22"/>
                <w:szCs w:val="22"/>
              </w:rPr>
            </w:pPr>
            <w:r>
              <w:rPr>
                <w:b/>
                <w:i/>
                <w:sz w:val="22"/>
                <w:szCs w:val="22"/>
              </w:rPr>
              <w:t>-</w:t>
            </w:r>
          </w:p>
        </w:tc>
        <w:tc>
          <w:tcPr>
            <w:tcW w:w="795" w:type="pct"/>
            <w:vAlign w:val="center"/>
          </w:tcPr>
          <w:p w14:paraId="061924B2" w14:textId="77777777" w:rsidR="001C08A5" w:rsidRDefault="00000000">
            <w:pPr>
              <w:jc w:val="center"/>
              <w:rPr>
                <w:b/>
                <w:i/>
                <w:sz w:val="22"/>
                <w:szCs w:val="22"/>
              </w:rPr>
            </w:pPr>
            <w:r>
              <w:rPr>
                <w:b/>
                <w:i/>
                <w:sz w:val="22"/>
                <w:szCs w:val="22"/>
              </w:rPr>
              <w:t>-</w:t>
            </w:r>
          </w:p>
        </w:tc>
      </w:tr>
    </w:tbl>
    <w:p w14:paraId="08895CE1" w14:textId="77777777" w:rsidR="001C08A5" w:rsidRDefault="001C08A5">
      <w:pPr>
        <w:jc w:val="both"/>
        <w:rPr>
          <w:sz w:val="24"/>
          <w:szCs w:val="24"/>
        </w:rPr>
      </w:pPr>
    </w:p>
    <w:p w14:paraId="18BCDDE3" w14:textId="77777777" w:rsidR="001C08A5" w:rsidRDefault="00000000">
      <w:pPr>
        <w:jc w:val="both"/>
        <w:rPr>
          <w:sz w:val="24"/>
          <w:szCs w:val="24"/>
        </w:rPr>
      </w:pPr>
      <w:r>
        <w:rPr>
          <w:sz w:val="24"/>
          <w:szCs w:val="24"/>
        </w:rPr>
        <w:tab/>
      </w:r>
      <w:r>
        <w:rPr>
          <w:b/>
          <w:sz w:val="24"/>
          <w:szCs w:val="24"/>
        </w:rPr>
        <w:t>Art. 2.4.6.2.(1)</w:t>
      </w:r>
      <w:r>
        <w:rPr>
          <w:sz w:val="24"/>
          <w:szCs w:val="24"/>
        </w:rPr>
        <w:t xml:space="preserve"> Finisajele, tratamentele și izolaţiile termice și fonice, combustibile interioare utilizate la construcţii, nu vor crea goluri (cavitati) cu adâncimea mai mare de </w:t>
      </w:r>
      <w:r>
        <w:rPr>
          <w:b/>
          <w:bCs/>
          <w:sz w:val="24"/>
          <w:szCs w:val="24"/>
        </w:rPr>
        <w:t>30 cm</w:t>
      </w:r>
      <w:r>
        <w:rPr>
          <w:sz w:val="24"/>
          <w:szCs w:val="24"/>
        </w:rPr>
        <w:t xml:space="preserve"> faţă de elementele suport pe care sunt aplicate (pereţi sau planşee).</w:t>
      </w:r>
    </w:p>
    <w:p w14:paraId="2098FF25" w14:textId="77777777" w:rsidR="001C08A5" w:rsidRDefault="00000000">
      <w:pPr>
        <w:ind w:firstLine="720"/>
        <w:jc w:val="both"/>
        <w:rPr>
          <w:b/>
          <w:sz w:val="24"/>
          <w:szCs w:val="24"/>
        </w:rPr>
      </w:pPr>
      <w:r>
        <w:rPr>
          <w:b/>
          <w:sz w:val="24"/>
          <w:szCs w:val="24"/>
        </w:rPr>
        <w:t xml:space="preserve">(2) </w:t>
      </w:r>
      <w:r>
        <w:rPr>
          <w:bCs/>
          <w:sz w:val="24"/>
          <w:szCs w:val="24"/>
        </w:rPr>
        <w:t>G</w:t>
      </w:r>
      <w:r>
        <w:rPr>
          <w:sz w:val="24"/>
          <w:szCs w:val="24"/>
        </w:rPr>
        <w:t xml:space="preserve">olurile dintre elementele suport şi tratamentele termice şi/sau fonice combustibile, vor avea continuitatea întreruptă conform prevederior </w:t>
      </w:r>
      <w:r>
        <w:rPr>
          <w:b/>
          <w:bCs/>
          <w:sz w:val="24"/>
          <w:szCs w:val="24"/>
        </w:rPr>
        <w:t xml:space="preserve">Art. </w:t>
      </w:r>
      <w:r>
        <w:rPr>
          <w:b/>
          <w:sz w:val="24"/>
          <w:szCs w:val="24"/>
        </w:rPr>
        <w:t>2.4.1.2.</w:t>
      </w:r>
    </w:p>
    <w:p w14:paraId="2880F254" w14:textId="77777777" w:rsidR="001C08A5" w:rsidRDefault="001C08A5">
      <w:pPr>
        <w:jc w:val="both"/>
        <w:rPr>
          <w:b/>
          <w:sz w:val="24"/>
          <w:szCs w:val="24"/>
        </w:rPr>
      </w:pPr>
    </w:p>
    <w:p w14:paraId="75DD49B8" w14:textId="77777777" w:rsidR="001C08A5" w:rsidRDefault="00000000">
      <w:pPr>
        <w:ind w:firstLine="709"/>
        <w:jc w:val="both"/>
        <w:rPr>
          <w:sz w:val="24"/>
          <w:szCs w:val="24"/>
        </w:rPr>
      </w:pPr>
      <w:r>
        <w:rPr>
          <w:b/>
          <w:sz w:val="24"/>
          <w:szCs w:val="24"/>
        </w:rPr>
        <w:t xml:space="preserve">Art. 2.4.6.3. </w:t>
      </w:r>
      <w:r>
        <w:rPr>
          <w:sz w:val="24"/>
          <w:szCs w:val="24"/>
        </w:rPr>
        <w:t xml:space="preserve">Finisajele, tratamentele și izolaţiile termice și fonice, interioare, utilizate în încăperi cu aglomerări de persoane şi în oricare încăperi din clădiri unde sunt mai mult de </w:t>
      </w:r>
      <w:r>
        <w:rPr>
          <w:b/>
          <w:bCs/>
          <w:sz w:val="24"/>
          <w:szCs w:val="24"/>
        </w:rPr>
        <w:t>50</w:t>
      </w:r>
      <w:r>
        <w:rPr>
          <w:sz w:val="24"/>
          <w:szCs w:val="24"/>
        </w:rPr>
        <w:t xml:space="preserve"> utilizatori, indiferent de aria de pardoseală ce-i revine unei persoane și în incaperile cu functiuni de sanatate, vor fi clasa de reacţie la foc minimum </w:t>
      </w:r>
      <w:r>
        <w:rPr>
          <w:b/>
          <w:sz w:val="24"/>
          <w:szCs w:val="24"/>
        </w:rPr>
        <w:t xml:space="preserve">C-s1d0, </w:t>
      </w:r>
      <w:r>
        <w:rPr>
          <w:sz w:val="24"/>
          <w:szCs w:val="24"/>
        </w:rPr>
        <w:t xml:space="preserve">respectiv </w:t>
      </w:r>
      <w:r>
        <w:rPr>
          <w:b/>
          <w:sz w:val="24"/>
          <w:szCs w:val="24"/>
        </w:rPr>
        <w:t>C</w:t>
      </w:r>
      <w:r>
        <w:rPr>
          <w:b/>
          <w:sz w:val="24"/>
          <w:szCs w:val="24"/>
          <w:vertAlign w:val="subscript"/>
        </w:rPr>
        <w:t>FL</w:t>
      </w:r>
      <w:r>
        <w:rPr>
          <w:b/>
          <w:sz w:val="24"/>
          <w:szCs w:val="24"/>
        </w:rPr>
        <w:t>-s1</w:t>
      </w:r>
      <w:r>
        <w:rPr>
          <w:bCs/>
          <w:sz w:val="24"/>
          <w:szCs w:val="24"/>
        </w:rPr>
        <w:t>,</w:t>
      </w:r>
      <w:r>
        <w:rPr>
          <w:b/>
          <w:sz w:val="24"/>
          <w:szCs w:val="24"/>
        </w:rPr>
        <w:t xml:space="preserve"> </w:t>
      </w:r>
      <w:r>
        <w:rPr>
          <w:bCs/>
          <w:sz w:val="24"/>
          <w:szCs w:val="24"/>
        </w:rPr>
        <w:t>cu respectarea condițiilor prevăzute la</w:t>
      </w:r>
      <w:r>
        <w:rPr>
          <w:b/>
          <w:sz w:val="24"/>
          <w:szCs w:val="24"/>
        </w:rPr>
        <w:t xml:space="preserve"> </w:t>
      </w:r>
      <w:r>
        <w:rPr>
          <w:b/>
          <w:bCs/>
          <w:i/>
          <w:iCs/>
          <w:sz w:val="24"/>
          <w:szCs w:val="24"/>
        </w:rPr>
        <w:fldChar w:fldCharType="begin"/>
      </w:r>
      <w:r>
        <w:rPr>
          <w:b/>
          <w:bCs/>
          <w:i/>
          <w:iCs/>
          <w:sz w:val="24"/>
          <w:szCs w:val="24"/>
        </w:rPr>
        <w:instrText xml:space="preserve"> REF _Ref31418 \h </w:instrText>
      </w:r>
      <w:r>
        <w:rPr>
          <w:b/>
          <w:bCs/>
          <w:i/>
          <w:iCs/>
          <w:sz w:val="24"/>
          <w:szCs w:val="24"/>
        </w:rPr>
      </w:r>
      <w:r>
        <w:rPr>
          <w:b/>
          <w:bCs/>
          <w:i/>
          <w:iCs/>
          <w:sz w:val="24"/>
          <w:szCs w:val="24"/>
        </w:rPr>
        <w:fldChar w:fldCharType="separate"/>
      </w:r>
      <w:r>
        <w:t>Tabelul 19</w:t>
      </w:r>
      <w:r>
        <w:rPr>
          <w:b/>
          <w:bCs/>
          <w:i/>
          <w:iCs/>
          <w:sz w:val="24"/>
          <w:szCs w:val="24"/>
        </w:rPr>
        <w:fldChar w:fldCharType="end"/>
      </w:r>
      <w:r>
        <w:rPr>
          <w:b/>
          <w:sz w:val="24"/>
          <w:szCs w:val="24"/>
        </w:rPr>
        <w:t>.</w:t>
      </w:r>
    </w:p>
    <w:p w14:paraId="45620371" w14:textId="77777777" w:rsidR="001C08A5" w:rsidRDefault="001C08A5">
      <w:pPr>
        <w:jc w:val="both"/>
        <w:rPr>
          <w:sz w:val="24"/>
          <w:szCs w:val="24"/>
        </w:rPr>
      </w:pPr>
    </w:p>
    <w:p w14:paraId="5C2AD998" w14:textId="77777777" w:rsidR="001C08A5" w:rsidRDefault="00000000">
      <w:pPr>
        <w:jc w:val="both"/>
        <w:rPr>
          <w:sz w:val="24"/>
          <w:szCs w:val="24"/>
        </w:rPr>
      </w:pPr>
      <w:r>
        <w:rPr>
          <w:b/>
          <w:sz w:val="24"/>
          <w:szCs w:val="24"/>
        </w:rPr>
        <w:tab/>
        <w:t xml:space="preserve">Art. 2.4.6.4. </w:t>
      </w:r>
      <w:r>
        <w:rPr>
          <w:sz w:val="24"/>
          <w:szCs w:val="24"/>
        </w:rPr>
        <w:t>Clasele de performanţă privind reacţia la foc a produselor folosite pentru finisarea interioară a caselor de scări închise şi a căilor comune de circulaţie funcţională şi de evacuare orizontale (coridoare şi holuri) din clădirile supraterane, trebuie să corespundă prevederilor privind performanțele comune și celor specifice destinaţiei și tipului clădirilor.</w:t>
      </w:r>
      <w:bookmarkStart w:id="1766" w:name="_Toc25384"/>
      <w:bookmarkStart w:id="1767" w:name="_Toc31448"/>
    </w:p>
    <w:p w14:paraId="72EA8A5C" w14:textId="77777777" w:rsidR="001C08A5" w:rsidRDefault="001C08A5">
      <w:pPr>
        <w:jc w:val="both"/>
        <w:rPr>
          <w:sz w:val="24"/>
          <w:szCs w:val="24"/>
        </w:rPr>
      </w:pPr>
    </w:p>
    <w:p w14:paraId="2ACAEC13" w14:textId="77777777" w:rsidR="001C08A5" w:rsidRDefault="00000000">
      <w:pPr>
        <w:ind w:firstLine="720"/>
        <w:jc w:val="both"/>
        <w:rPr>
          <w:sz w:val="24"/>
          <w:szCs w:val="24"/>
        </w:rPr>
      </w:pPr>
      <w:r>
        <w:rPr>
          <w:b/>
          <w:sz w:val="24"/>
          <w:szCs w:val="24"/>
        </w:rPr>
        <w:t xml:space="preserve">Art. 2.4.6.5. </w:t>
      </w:r>
      <w:r>
        <w:rPr>
          <w:sz w:val="24"/>
          <w:szCs w:val="24"/>
        </w:rPr>
        <w:t xml:space="preserve">De regulă în spaţiile cu risc asociat tipului de utilizatori (accesibile copiilor preşcolari și a celor din învățământul primar și secundar, încăperi în care se doarme, cele utilizate de persoane care nu se pot evacua singure, etc.) este admisă utilizarea elementelor de construcţie, a materialelor, a finisajelor, panourilor de tamplarie, tratamentelor şi izolaţiilor termice și fonice clasa de reacţie la foc </w:t>
      </w:r>
      <w:r>
        <w:rPr>
          <w:b/>
          <w:sz w:val="24"/>
          <w:szCs w:val="24"/>
        </w:rPr>
        <w:t>A1, A2-s1,d0</w:t>
      </w:r>
      <w:r>
        <w:rPr>
          <w:sz w:val="24"/>
          <w:szCs w:val="24"/>
        </w:rPr>
        <w:t xml:space="preserve"> ori </w:t>
      </w:r>
      <w:r>
        <w:rPr>
          <w:b/>
          <w:sz w:val="24"/>
          <w:szCs w:val="24"/>
        </w:rPr>
        <w:t xml:space="preserve">B-s1,d0, </w:t>
      </w:r>
      <w:r>
        <w:rPr>
          <w:sz w:val="24"/>
          <w:szCs w:val="24"/>
        </w:rPr>
        <w:t>inclusiv a panourilor de tâmplărie (uși, ferestre) metalice sau din lemn cu vitraj de sticlă, cu excepțiile prevăzute în normativ.</w:t>
      </w:r>
    </w:p>
    <w:p w14:paraId="45CF6A19" w14:textId="77777777" w:rsidR="001C08A5" w:rsidRDefault="001C08A5">
      <w:pPr>
        <w:jc w:val="both"/>
      </w:pPr>
    </w:p>
    <w:p w14:paraId="412608B7" w14:textId="77777777" w:rsidR="001C08A5" w:rsidRDefault="00000000">
      <w:pPr>
        <w:pStyle w:val="Heading4"/>
        <w:jc w:val="both"/>
        <w:rPr>
          <w:sz w:val="24"/>
          <w:szCs w:val="24"/>
        </w:rPr>
      </w:pPr>
      <w:bookmarkStart w:id="1768" w:name="_Toc9765"/>
      <w:bookmarkStart w:id="1769" w:name="_Toc20891"/>
      <w:bookmarkStart w:id="1770" w:name="_Toc19285"/>
      <w:bookmarkStart w:id="1771" w:name="_Toc162355230"/>
      <w:bookmarkStart w:id="1772" w:name="_Toc2634"/>
      <w:bookmarkStart w:id="1773" w:name="_Toc22200"/>
      <w:r>
        <w:t>2.4.7. Dispoziţii privind alcatuiri constructive  specifice limitării propagării incendiului pe faţadă</w:t>
      </w:r>
      <w:bookmarkEnd w:id="1766"/>
      <w:bookmarkEnd w:id="1767"/>
      <w:bookmarkEnd w:id="1768"/>
      <w:bookmarkEnd w:id="1769"/>
      <w:bookmarkEnd w:id="1770"/>
      <w:bookmarkEnd w:id="1771"/>
      <w:bookmarkEnd w:id="1772"/>
      <w:bookmarkEnd w:id="1773"/>
      <w:r>
        <w:rPr>
          <w:sz w:val="24"/>
          <w:szCs w:val="24"/>
        </w:rPr>
        <w:tab/>
      </w:r>
    </w:p>
    <w:p w14:paraId="6B2920D5" w14:textId="77777777" w:rsidR="001C08A5" w:rsidRDefault="00000000">
      <w:pPr>
        <w:pStyle w:val="Heading5"/>
        <w:rPr>
          <w:lang w:val="ro-RO"/>
        </w:rPr>
      </w:pPr>
      <w:bookmarkStart w:id="1774" w:name="_Toc23151"/>
      <w:bookmarkStart w:id="1775" w:name="_Toc9036"/>
      <w:bookmarkStart w:id="1776" w:name="_Toc27430"/>
      <w:bookmarkStart w:id="1777" w:name="_Toc24931"/>
      <w:bookmarkStart w:id="1778" w:name="_Toc14498"/>
      <w:bookmarkStart w:id="1779" w:name="_Toc162355231"/>
      <w:bookmarkStart w:id="1780" w:name="_Toc27136"/>
      <w:bookmarkStart w:id="1781" w:name="_Toc18113"/>
      <w:r>
        <w:rPr>
          <w:lang w:val="ro-RO"/>
        </w:rPr>
        <w:t>2.4.7.1. Pereţi cortină</w:t>
      </w:r>
      <w:bookmarkEnd w:id="1774"/>
      <w:bookmarkEnd w:id="1775"/>
      <w:bookmarkEnd w:id="1776"/>
      <w:bookmarkEnd w:id="1777"/>
      <w:bookmarkEnd w:id="1778"/>
      <w:bookmarkEnd w:id="1779"/>
      <w:bookmarkEnd w:id="1780"/>
      <w:bookmarkEnd w:id="1781"/>
    </w:p>
    <w:p w14:paraId="23DD68BE" w14:textId="77777777" w:rsidR="001C08A5" w:rsidRDefault="001C08A5">
      <w:pPr>
        <w:jc w:val="both"/>
        <w:rPr>
          <w:b/>
          <w:sz w:val="24"/>
          <w:szCs w:val="24"/>
        </w:rPr>
      </w:pPr>
    </w:p>
    <w:p w14:paraId="00080117" w14:textId="77777777" w:rsidR="001C08A5" w:rsidRDefault="00000000">
      <w:pPr>
        <w:ind w:firstLine="720"/>
        <w:jc w:val="both"/>
        <w:rPr>
          <w:b/>
          <w:sz w:val="24"/>
          <w:szCs w:val="24"/>
        </w:rPr>
      </w:pPr>
      <w:r>
        <w:rPr>
          <w:b/>
          <w:sz w:val="24"/>
          <w:szCs w:val="24"/>
        </w:rPr>
        <w:t xml:space="preserve">Art. 2.4.7.1.1. </w:t>
      </w:r>
      <w:r>
        <w:rPr>
          <w:sz w:val="24"/>
          <w:szCs w:val="24"/>
        </w:rPr>
        <w:t xml:space="preserve">Pereţii cortină, utilizaţi la închiderile perimetrale ale construcţiilor se vor realiza din profile (rame sau montanţi și traverse) cu clasa de reacţie la foc </w:t>
      </w:r>
      <w:r>
        <w:rPr>
          <w:b/>
          <w:sz w:val="24"/>
          <w:szCs w:val="24"/>
        </w:rPr>
        <w:t>A1</w:t>
      </w:r>
      <w:r>
        <w:rPr>
          <w:sz w:val="24"/>
          <w:szCs w:val="24"/>
        </w:rPr>
        <w:t xml:space="preserve"> sau </w:t>
      </w:r>
      <w:r>
        <w:rPr>
          <w:b/>
          <w:sz w:val="24"/>
          <w:szCs w:val="24"/>
        </w:rPr>
        <w:t>A-2s1d0</w:t>
      </w:r>
      <w:r>
        <w:rPr>
          <w:sz w:val="24"/>
          <w:szCs w:val="24"/>
        </w:rPr>
        <w:t xml:space="preserve"> cu excepţia componetelor nesubstanţiale, a garniturilor, a izolatorilor și a elementelor de vitraj </w:t>
      </w:r>
      <w:r>
        <w:rPr>
          <w:iCs/>
          <w:sz w:val="24"/>
          <w:szCs w:val="24"/>
        </w:rPr>
        <w:t>(din sticlă)</w:t>
      </w:r>
      <w:r>
        <w:rPr>
          <w:sz w:val="24"/>
          <w:szCs w:val="24"/>
        </w:rPr>
        <w:t xml:space="preserve"> simplu sau izolant, ancorarea de structura clădirii a acestora se va realiza tot din elementele cu clasa de reacţie la foc </w:t>
      </w:r>
      <w:r>
        <w:rPr>
          <w:b/>
          <w:sz w:val="24"/>
          <w:szCs w:val="24"/>
        </w:rPr>
        <w:t>A1</w:t>
      </w:r>
      <w:r>
        <w:rPr>
          <w:sz w:val="24"/>
          <w:szCs w:val="24"/>
        </w:rPr>
        <w:t xml:space="preserve"> sau </w:t>
      </w:r>
      <w:r>
        <w:rPr>
          <w:b/>
          <w:sz w:val="24"/>
          <w:szCs w:val="24"/>
        </w:rPr>
        <w:t>A-2s1d0</w:t>
      </w:r>
      <w:r>
        <w:rPr>
          <w:sz w:val="24"/>
          <w:szCs w:val="24"/>
        </w:rPr>
        <w:t xml:space="preserve">, cu excepţia compontelor nesubstanţiale. Panourile de umplere tip panel, atunci când sunt utilizate în pereţii cortină, vor fi realizate din materiale cu clasa de reacţie la foc </w:t>
      </w:r>
      <w:r>
        <w:rPr>
          <w:b/>
          <w:sz w:val="24"/>
          <w:szCs w:val="24"/>
        </w:rPr>
        <w:t>A1</w:t>
      </w:r>
      <w:r>
        <w:rPr>
          <w:sz w:val="24"/>
          <w:szCs w:val="24"/>
        </w:rPr>
        <w:t xml:space="preserve"> sau </w:t>
      </w:r>
      <w:r>
        <w:rPr>
          <w:b/>
          <w:sz w:val="24"/>
          <w:szCs w:val="24"/>
        </w:rPr>
        <w:t>A-2s1d0</w:t>
      </w:r>
      <w:r>
        <w:rPr>
          <w:sz w:val="24"/>
          <w:szCs w:val="24"/>
        </w:rPr>
        <w:t xml:space="preserve"> cu excepţia componentelor nesubstanţiale.</w:t>
      </w:r>
      <w:r>
        <w:rPr>
          <w:b/>
          <w:sz w:val="24"/>
          <w:szCs w:val="24"/>
        </w:rPr>
        <w:tab/>
      </w:r>
    </w:p>
    <w:p w14:paraId="4E1E8E72" w14:textId="77777777" w:rsidR="001C08A5" w:rsidRDefault="001C08A5">
      <w:pPr>
        <w:jc w:val="both"/>
        <w:rPr>
          <w:rFonts w:eastAsia="TimesNewRomanPSMT-Identity-H"/>
          <w:sz w:val="24"/>
          <w:szCs w:val="24"/>
        </w:rPr>
      </w:pPr>
    </w:p>
    <w:p w14:paraId="054B8303" w14:textId="77777777" w:rsidR="001C08A5" w:rsidRDefault="00000000">
      <w:pPr>
        <w:jc w:val="both"/>
        <w:rPr>
          <w:b/>
          <w:sz w:val="24"/>
          <w:szCs w:val="24"/>
        </w:rPr>
      </w:pPr>
      <w:r>
        <w:rPr>
          <w:rFonts w:eastAsia="TimesNewRomanPSMT-Identity-H"/>
          <w:sz w:val="24"/>
          <w:szCs w:val="24"/>
        </w:rPr>
        <w:tab/>
      </w:r>
      <w:r>
        <w:rPr>
          <w:b/>
          <w:sz w:val="24"/>
          <w:szCs w:val="24"/>
        </w:rPr>
        <w:t xml:space="preserve">Art. 2.4.7.1.2.. </w:t>
      </w:r>
      <w:r>
        <w:rPr>
          <w:rFonts w:eastAsia="TimesNewRomanPSMT-Identity-H"/>
          <w:sz w:val="24"/>
          <w:szCs w:val="24"/>
        </w:rPr>
        <w:t>Pereţii cortină vor fi astfel proiectaţi, alcătuiţi și realizaţi încât să întârzie propagarea incendiilor de la un nivel la altul, atât prin exteriorul construcţiei (pe faţadă), cât şi prin interiorul construcţiei.</w:t>
      </w:r>
    </w:p>
    <w:p w14:paraId="3CEDB1CD" w14:textId="77777777" w:rsidR="001C08A5" w:rsidRDefault="001C08A5">
      <w:pPr>
        <w:pStyle w:val="BodyText"/>
        <w:rPr>
          <w:rFonts w:eastAsia="TimesNewRomanPSMT-Identity-H"/>
          <w:b w:val="0"/>
          <w:i w:val="0"/>
        </w:rPr>
      </w:pPr>
    </w:p>
    <w:p w14:paraId="05CAE9A8" w14:textId="77777777" w:rsidR="001C08A5" w:rsidRDefault="00000000">
      <w:pPr>
        <w:pStyle w:val="BodyText"/>
        <w:rPr>
          <w:i w:val="0"/>
        </w:rPr>
      </w:pPr>
      <w:r>
        <w:rPr>
          <w:rFonts w:eastAsia="TimesNewRomanPSMT-Identity-H"/>
          <w:b w:val="0"/>
          <w:i w:val="0"/>
        </w:rPr>
        <w:tab/>
      </w:r>
      <w:r>
        <w:rPr>
          <w:i w:val="0"/>
        </w:rPr>
        <w:t xml:space="preserve">Art. 2.4.7.1.3. </w:t>
      </w:r>
      <w:r>
        <w:rPr>
          <w:b w:val="0"/>
          <w:i w:val="0"/>
        </w:rPr>
        <w:t xml:space="preserve">Pentru limitarea propagării focului pe faţade trebuie respectate prevederile </w:t>
      </w:r>
      <w:r>
        <w:rPr>
          <w:i w:val="0"/>
        </w:rPr>
        <w:t xml:space="preserve">Art. 2.3.6.1.2. ÷ Art. 2.3.6.1.7. </w:t>
      </w:r>
    </w:p>
    <w:p w14:paraId="54727FE3" w14:textId="77777777" w:rsidR="001C08A5" w:rsidRDefault="001C08A5">
      <w:pPr>
        <w:jc w:val="both"/>
        <w:rPr>
          <w:b/>
          <w:bCs/>
          <w:sz w:val="24"/>
          <w:szCs w:val="24"/>
        </w:rPr>
      </w:pPr>
    </w:p>
    <w:p w14:paraId="47A10799" w14:textId="77777777" w:rsidR="001C08A5" w:rsidRDefault="00000000">
      <w:pPr>
        <w:ind w:firstLine="720"/>
        <w:jc w:val="both"/>
        <w:rPr>
          <w:b/>
          <w:sz w:val="24"/>
          <w:szCs w:val="24"/>
        </w:rPr>
      </w:pPr>
      <w:r>
        <w:rPr>
          <w:b/>
          <w:bCs/>
          <w:sz w:val="24"/>
          <w:szCs w:val="24"/>
        </w:rPr>
        <w:t xml:space="preserve">Art. 2.4.7.1.4. </w:t>
      </w:r>
      <w:r>
        <w:rPr>
          <w:sz w:val="24"/>
          <w:szCs w:val="24"/>
        </w:rPr>
        <w:t>Pentru limitarea propagării focului pe faţadele clădirilor înalte și foarte înalte trebuie respectate prevederile privind performanțele specifice acestora.</w:t>
      </w:r>
    </w:p>
    <w:p w14:paraId="07AD5426" w14:textId="77777777" w:rsidR="001C08A5" w:rsidRDefault="00000000">
      <w:pPr>
        <w:pStyle w:val="Heading5"/>
        <w:rPr>
          <w:lang w:val="ro-RO"/>
        </w:rPr>
      </w:pPr>
      <w:bookmarkStart w:id="1782" w:name="_Toc24280"/>
      <w:bookmarkStart w:id="1783" w:name="_Toc7320"/>
      <w:bookmarkStart w:id="1784" w:name="_Toc2232"/>
      <w:bookmarkStart w:id="1785" w:name="_Toc24396"/>
      <w:bookmarkStart w:id="1786" w:name="_Toc31868"/>
      <w:bookmarkStart w:id="1787" w:name="_Toc9368"/>
      <w:bookmarkStart w:id="1788" w:name="_Toc162355232"/>
      <w:bookmarkStart w:id="1789" w:name="_Toc30565"/>
      <w:r>
        <w:rPr>
          <w:lang w:val="ro-RO"/>
        </w:rPr>
        <w:t>2.4.7.2.  Faţade ventilate</w:t>
      </w:r>
      <w:bookmarkEnd w:id="1782"/>
      <w:bookmarkEnd w:id="1783"/>
      <w:bookmarkEnd w:id="1784"/>
      <w:bookmarkEnd w:id="1785"/>
      <w:bookmarkEnd w:id="1786"/>
      <w:bookmarkEnd w:id="1787"/>
      <w:bookmarkEnd w:id="1788"/>
      <w:bookmarkEnd w:id="1789"/>
    </w:p>
    <w:p w14:paraId="1F81E7EF" w14:textId="77777777" w:rsidR="001C08A5" w:rsidRDefault="001C08A5">
      <w:pPr>
        <w:jc w:val="both"/>
        <w:rPr>
          <w:sz w:val="24"/>
          <w:szCs w:val="24"/>
        </w:rPr>
      </w:pPr>
    </w:p>
    <w:p w14:paraId="55AB8328" w14:textId="77777777" w:rsidR="001C08A5" w:rsidRDefault="00000000">
      <w:pPr>
        <w:ind w:firstLine="720"/>
        <w:jc w:val="both"/>
        <w:rPr>
          <w:rFonts w:eastAsia="Calibri"/>
          <w:sz w:val="24"/>
          <w:szCs w:val="24"/>
        </w:rPr>
      </w:pPr>
      <w:r>
        <w:rPr>
          <w:b/>
          <w:sz w:val="24"/>
          <w:szCs w:val="24"/>
        </w:rPr>
        <w:t xml:space="preserve">Art. 2.4.7.2.1. </w:t>
      </w:r>
      <w:r>
        <w:rPr>
          <w:rFonts w:eastAsia="Calibri"/>
          <w:sz w:val="24"/>
          <w:szCs w:val="24"/>
        </w:rPr>
        <w:t xml:space="preserve">Faţadele ventilate trebuie să respecte prevederile normativului şi ale reglementării tehnice specifice, fără a lua în consideraţie substituirea zonei continui </w:t>
      </w:r>
      <w:r>
        <w:rPr>
          <w:rFonts w:eastAsia="Calibri"/>
          <w:b/>
          <w:sz w:val="24"/>
          <w:szCs w:val="24"/>
        </w:rPr>
        <w:t>E30</w:t>
      </w:r>
      <w:r>
        <w:rPr>
          <w:rFonts w:eastAsia="Calibri"/>
          <w:bCs/>
          <w:sz w:val="24"/>
          <w:szCs w:val="24"/>
        </w:rPr>
        <w:t xml:space="preserve"> (sau mai mult, conform prevederi normate)</w:t>
      </w:r>
      <w:r>
        <w:rPr>
          <w:rFonts w:eastAsia="Calibri"/>
          <w:sz w:val="24"/>
          <w:szCs w:val="24"/>
        </w:rPr>
        <w:t xml:space="preserve"> cu ecran.</w:t>
      </w:r>
    </w:p>
    <w:p w14:paraId="2FD36C60" w14:textId="77777777" w:rsidR="001C08A5" w:rsidRDefault="001C08A5">
      <w:pPr>
        <w:ind w:firstLine="720"/>
        <w:jc w:val="both"/>
        <w:rPr>
          <w:sz w:val="24"/>
          <w:szCs w:val="24"/>
        </w:rPr>
      </w:pPr>
    </w:p>
    <w:p w14:paraId="5CF1665B" w14:textId="77777777" w:rsidR="001C08A5" w:rsidRDefault="00000000">
      <w:pPr>
        <w:ind w:firstLine="720"/>
        <w:jc w:val="both"/>
        <w:rPr>
          <w:sz w:val="24"/>
          <w:szCs w:val="24"/>
        </w:rPr>
      </w:pPr>
      <w:r>
        <w:rPr>
          <w:b/>
          <w:sz w:val="24"/>
          <w:szCs w:val="24"/>
        </w:rPr>
        <w:t xml:space="preserve">Art. 2.4.7.2.2. </w:t>
      </w:r>
      <w:r>
        <w:rPr>
          <w:sz w:val="24"/>
          <w:szCs w:val="24"/>
        </w:rPr>
        <w:t>Atunci când faţada ventilată se realizează pe un perete rezistent la foc de separare a compartimentelor de incendiu (perete antifoc), aceasta va avea asigurată rezistenţa la foc normată, iar sistemul faţadei ventilate va fi astfel realizat încât să nu favorizeze propagarea focului.</w:t>
      </w:r>
    </w:p>
    <w:p w14:paraId="33F095D7" w14:textId="77777777" w:rsidR="001C08A5" w:rsidRDefault="001C08A5">
      <w:pPr>
        <w:jc w:val="both"/>
        <w:rPr>
          <w:rFonts w:eastAsia="Calibri"/>
          <w:sz w:val="24"/>
          <w:szCs w:val="24"/>
        </w:rPr>
      </w:pPr>
    </w:p>
    <w:p w14:paraId="2FB11859" w14:textId="77777777" w:rsidR="001C08A5" w:rsidRDefault="00000000">
      <w:pPr>
        <w:ind w:firstLine="720"/>
        <w:jc w:val="both"/>
        <w:rPr>
          <w:sz w:val="24"/>
          <w:szCs w:val="24"/>
        </w:rPr>
      </w:pPr>
      <w:r>
        <w:rPr>
          <w:b/>
          <w:sz w:val="24"/>
          <w:szCs w:val="24"/>
        </w:rPr>
        <w:t xml:space="preserve">Art. 2.4.7.2.3. </w:t>
      </w:r>
      <w:r>
        <w:rPr>
          <w:rFonts w:eastAsia="Calibri"/>
          <w:sz w:val="24"/>
          <w:szCs w:val="24"/>
        </w:rPr>
        <w:t xml:space="preserve">Faţadele ventilate vor avea continuitatea întreruptă cel puţin în dreptul rosturilor de tasare, dilatare sau seismice ale construcţiilor. Întreruperea continuităţii se realizează prin zone de perete neventilat de minimum un </w:t>
      </w:r>
      <w:r>
        <w:rPr>
          <w:rFonts w:eastAsia="Calibri"/>
          <w:b/>
          <w:bCs/>
          <w:sz w:val="24"/>
          <w:szCs w:val="24"/>
        </w:rPr>
        <w:t xml:space="preserve">(1) m </w:t>
      </w:r>
      <w:r>
        <w:rPr>
          <w:rFonts w:eastAsia="Calibri"/>
          <w:sz w:val="24"/>
          <w:szCs w:val="24"/>
        </w:rPr>
        <w:t>lăţime sau cu diafragme  incombustibile.</w:t>
      </w:r>
    </w:p>
    <w:p w14:paraId="37FFCD7F" w14:textId="77777777" w:rsidR="001C08A5" w:rsidRDefault="00000000">
      <w:pPr>
        <w:pStyle w:val="Heading5"/>
        <w:rPr>
          <w:lang w:val="ro-RO"/>
        </w:rPr>
      </w:pPr>
      <w:bookmarkStart w:id="1790" w:name="_Toc5627"/>
      <w:bookmarkStart w:id="1791" w:name="_Toc17317"/>
      <w:bookmarkStart w:id="1792" w:name="_Toc11845"/>
      <w:bookmarkStart w:id="1793" w:name="_Toc17795"/>
      <w:bookmarkStart w:id="1794" w:name="_Toc17891"/>
      <w:bookmarkStart w:id="1795" w:name="_Toc13367"/>
      <w:bookmarkStart w:id="1796" w:name="_Toc28974"/>
      <w:bookmarkStart w:id="1797" w:name="_Toc162355233"/>
      <w:r>
        <w:rPr>
          <w:lang w:val="ro-RO"/>
        </w:rPr>
        <w:t>2.4.7.3.  Faţade duble - „double skin”</w:t>
      </w:r>
      <w:bookmarkEnd w:id="1790"/>
      <w:bookmarkEnd w:id="1791"/>
      <w:bookmarkEnd w:id="1792"/>
      <w:bookmarkEnd w:id="1793"/>
      <w:bookmarkEnd w:id="1794"/>
      <w:bookmarkEnd w:id="1795"/>
      <w:bookmarkEnd w:id="1796"/>
      <w:bookmarkEnd w:id="1797"/>
    </w:p>
    <w:p w14:paraId="6B7B5FB2" w14:textId="77777777" w:rsidR="001C08A5" w:rsidRDefault="001C08A5">
      <w:pPr>
        <w:rPr>
          <w:sz w:val="24"/>
          <w:szCs w:val="24"/>
        </w:rPr>
      </w:pPr>
    </w:p>
    <w:p w14:paraId="77131257" w14:textId="77777777" w:rsidR="001C08A5" w:rsidRDefault="00000000">
      <w:pPr>
        <w:ind w:firstLine="709"/>
        <w:jc w:val="both"/>
        <w:rPr>
          <w:sz w:val="24"/>
          <w:szCs w:val="24"/>
        </w:rPr>
      </w:pPr>
      <w:r>
        <w:rPr>
          <w:b/>
          <w:sz w:val="24"/>
          <w:szCs w:val="24"/>
        </w:rPr>
        <w:t xml:space="preserve">Art. 2.4.7.3.1. </w:t>
      </w:r>
      <w:r>
        <w:rPr>
          <w:sz w:val="24"/>
          <w:szCs w:val="24"/>
        </w:rPr>
        <w:t xml:space="preserve">Faţadele duble - „double skin”  se utilizează la închiderile perimetrale ale construcţiilor cu nivelul de stabilitate la incendiu </w:t>
      </w:r>
      <w:r>
        <w:rPr>
          <w:b/>
          <w:sz w:val="24"/>
          <w:szCs w:val="24"/>
        </w:rPr>
        <w:t>I</w:t>
      </w:r>
      <w:r>
        <w:rPr>
          <w:sz w:val="24"/>
          <w:szCs w:val="24"/>
        </w:rPr>
        <w:t xml:space="preserve"> la </w:t>
      </w:r>
      <w:r>
        <w:rPr>
          <w:b/>
          <w:sz w:val="24"/>
          <w:szCs w:val="24"/>
        </w:rPr>
        <w:t>III</w:t>
      </w:r>
      <w:r>
        <w:rPr>
          <w:sz w:val="24"/>
          <w:szCs w:val="24"/>
        </w:rPr>
        <w:t xml:space="preserve">, și se realizează cu profile (rame şi/sau montanţi şi traverse) cu clasa de reacţie la foc </w:t>
      </w:r>
      <w:r>
        <w:rPr>
          <w:b/>
          <w:sz w:val="24"/>
          <w:szCs w:val="24"/>
        </w:rPr>
        <w:t xml:space="preserve">A1 </w:t>
      </w:r>
      <w:r>
        <w:rPr>
          <w:sz w:val="24"/>
          <w:szCs w:val="24"/>
        </w:rPr>
        <w:t>sau</w:t>
      </w:r>
      <w:r>
        <w:rPr>
          <w:b/>
          <w:sz w:val="24"/>
          <w:szCs w:val="24"/>
        </w:rPr>
        <w:t xml:space="preserve"> A2-s1d0</w:t>
      </w:r>
      <w:r>
        <w:rPr>
          <w:sz w:val="24"/>
          <w:szCs w:val="24"/>
        </w:rPr>
        <w:t xml:space="preserve">, cu excepţia componentelor nesubstanţiale, a garniturilor, a izolatorilor și a elementelor de vitraj </w:t>
      </w:r>
      <w:r>
        <w:rPr>
          <w:iCs/>
          <w:sz w:val="24"/>
          <w:szCs w:val="24"/>
        </w:rPr>
        <w:t>(din sticlă)</w:t>
      </w:r>
      <w:r>
        <w:rPr>
          <w:sz w:val="24"/>
          <w:szCs w:val="24"/>
        </w:rPr>
        <w:t xml:space="preserve"> simplu sau izolant, ancorarea de structura de rezistenţă a faţadei duble - „double skin” trebuind să fie făcută cu elemente cu clasa de reacţie la foc </w:t>
      </w:r>
      <w:r>
        <w:rPr>
          <w:b/>
          <w:sz w:val="24"/>
          <w:szCs w:val="24"/>
        </w:rPr>
        <w:t xml:space="preserve">A1 </w:t>
      </w:r>
      <w:r>
        <w:rPr>
          <w:sz w:val="24"/>
          <w:szCs w:val="24"/>
        </w:rPr>
        <w:t>sau</w:t>
      </w:r>
      <w:r>
        <w:rPr>
          <w:b/>
          <w:sz w:val="24"/>
          <w:szCs w:val="24"/>
        </w:rPr>
        <w:t xml:space="preserve"> A2-s1d0</w:t>
      </w:r>
      <w:r>
        <w:rPr>
          <w:sz w:val="24"/>
          <w:szCs w:val="24"/>
        </w:rPr>
        <w:t xml:space="preserve">, cu excepţia componentelor nesubstanţiale. Panourile de umplere tip panel, atunci când sunt utilizate în faţada dublă - „double skin”, vor fi realizate din materiale cu clasa de reacţie la foc </w:t>
      </w:r>
      <w:r>
        <w:rPr>
          <w:b/>
          <w:sz w:val="24"/>
          <w:szCs w:val="24"/>
        </w:rPr>
        <w:t xml:space="preserve">A1 </w:t>
      </w:r>
      <w:r>
        <w:rPr>
          <w:sz w:val="24"/>
          <w:szCs w:val="24"/>
        </w:rPr>
        <w:t>sau</w:t>
      </w:r>
      <w:r>
        <w:rPr>
          <w:b/>
          <w:sz w:val="24"/>
          <w:szCs w:val="24"/>
        </w:rPr>
        <w:t xml:space="preserve"> A-2s1d0</w:t>
      </w:r>
      <w:r>
        <w:rPr>
          <w:sz w:val="24"/>
          <w:szCs w:val="24"/>
        </w:rPr>
        <w:t xml:space="preserve"> cu excepţia componentelor nesubstanţiale.</w:t>
      </w:r>
    </w:p>
    <w:p w14:paraId="31B39C5A" w14:textId="77777777" w:rsidR="001C08A5" w:rsidRDefault="001C08A5">
      <w:pPr>
        <w:ind w:firstLine="709"/>
        <w:jc w:val="both"/>
        <w:rPr>
          <w:sz w:val="24"/>
          <w:szCs w:val="24"/>
        </w:rPr>
      </w:pPr>
    </w:p>
    <w:p w14:paraId="5281EF34" w14:textId="77777777" w:rsidR="001C08A5" w:rsidRDefault="00000000">
      <w:pPr>
        <w:ind w:firstLine="681"/>
        <w:jc w:val="both"/>
        <w:rPr>
          <w:sz w:val="24"/>
          <w:szCs w:val="24"/>
        </w:rPr>
      </w:pPr>
      <w:r>
        <w:rPr>
          <w:b/>
          <w:bCs/>
          <w:sz w:val="24"/>
          <w:szCs w:val="24"/>
        </w:rPr>
        <w:t xml:space="preserve">Art. </w:t>
      </w:r>
      <w:r>
        <w:rPr>
          <w:b/>
          <w:sz w:val="24"/>
          <w:szCs w:val="24"/>
        </w:rPr>
        <w:t xml:space="preserve">2.4.7.3.2. </w:t>
      </w:r>
      <w:r>
        <w:rPr>
          <w:sz w:val="24"/>
          <w:szCs w:val="24"/>
        </w:rPr>
        <w:t>Un sistem de faţadă dublă se consideră satisfăcător din punct de vedere al securităţii la incendiu, atunci când peretele interior al faţadei duble respectă regulile faţadei simple cu pereţi cortină, iar peretele exterior este realizat în aşa fel încât să anuleze efectul de coş, prin prevederea de separări orizontale şi/sau verticale</w:t>
      </w:r>
      <w:r>
        <w:rPr>
          <w:bCs/>
          <w:i/>
          <w:sz w:val="24"/>
          <w:szCs w:val="24"/>
        </w:rPr>
        <w:t>,</w:t>
      </w:r>
      <w:r>
        <w:rPr>
          <w:bCs/>
          <w:iCs/>
          <w:sz w:val="24"/>
          <w:szCs w:val="24"/>
        </w:rPr>
        <w:t xml:space="preserve"> conform </w:t>
      </w:r>
      <w:r>
        <w:rPr>
          <w:b/>
          <w:i/>
          <w:sz w:val="24"/>
          <w:szCs w:val="24"/>
        </w:rPr>
        <w:fldChar w:fldCharType="begin"/>
      </w:r>
      <w:r>
        <w:rPr>
          <w:b/>
          <w:i/>
          <w:sz w:val="24"/>
          <w:szCs w:val="24"/>
        </w:rPr>
        <w:instrText xml:space="preserve"> REF _Ref8456 \h </w:instrText>
      </w:r>
      <w:r>
        <w:rPr>
          <w:b/>
          <w:i/>
          <w:sz w:val="24"/>
          <w:szCs w:val="24"/>
        </w:rPr>
      </w:r>
      <w:r>
        <w:rPr>
          <w:b/>
          <w:i/>
          <w:sz w:val="24"/>
          <w:szCs w:val="24"/>
        </w:rPr>
        <w:fldChar w:fldCharType="separate"/>
      </w:r>
      <w:r>
        <w:t>Tabelul 20</w:t>
      </w:r>
      <w:r>
        <w:rPr>
          <w:b/>
          <w:i/>
          <w:sz w:val="24"/>
          <w:szCs w:val="24"/>
        </w:rPr>
        <w:fldChar w:fldCharType="end"/>
      </w:r>
      <w:r>
        <w:rPr>
          <w:bCs/>
          <w:iCs/>
          <w:sz w:val="24"/>
          <w:szCs w:val="24"/>
        </w:rPr>
        <w:t xml:space="preserve"> (exemplu </w:t>
      </w:r>
      <w:r>
        <w:rPr>
          <w:b/>
          <w:i/>
          <w:sz w:val="24"/>
          <w:szCs w:val="24"/>
        </w:rPr>
        <w:fldChar w:fldCharType="begin"/>
      </w:r>
      <w:r>
        <w:rPr>
          <w:b/>
          <w:i/>
          <w:sz w:val="24"/>
          <w:szCs w:val="24"/>
        </w:rPr>
        <w:instrText xml:space="preserve"> REF _Ref14420 \h </w:instrText>
      </w:r>
      <w:r>
        <w:rPr>
          <w:b/>
          <w:i/>
          <w:sz w:val="24"/>
          <w:szCs w:val="24"/>
        </w:rPr>
      </w:r>
      <w:r>
        <w:rPr>
          <w:b/>
          <w:i/>
          <w:sz w:val="24"/>
          <w:szCs w:val="24"/>
        </w:rPr>
        <w:fldChar w:fldCharType="separate"/>
      </w:r>
      <w:r>
        <w:t>Figura 52</w:t>
      </w:r>
      <w:r>
        <w:rPr>
          <w:b/>
          <w:i/>
          <w:sz w:val="24"/>
          <w:szCs w:val="24"/>
        </w:rPr>
        <w:fldChar w:fldCharType="end"/>
      </w:r>
      <w:r>
        <w:rPr>
          <w:bCs/>
          <w:i/>
          <w:sz w:val="24"/>
          <w:szCs w:val="24"/>
        </w:rPr>
        <w:t>)</w:t>
      </w:r>
    </w:p>
    <w:p w14:paraId="5DC274CE" w14:textId="77777777" w:rsidR="001C08A5" w:rsidRDefault="001C08A5">
      <w:pPr>
        <w:jc w:val="center"/>
        <w:rPr>
          <w:sz w:val="24"/>
          <w:szCs w:val="24"/>
        </w:rPr>
      </w:pPr>
    </w:p>
    <w:p w14:paraId="0807F7A7" w14:textId="77777777" w:rsidR="001C08A5" w:rsidRDefault="00000000">
      <w:pPr>
        <w:jc w:val="center"/>
        <w:rPr>
          <w:sz w:val="24"/>
          <w:szCs w:val="24"/>
        </w:rPr>
      </w:pPr>
      <w:r>
        <w:rPr>
          <w:noProof/>
        </w:rPr>
        <w:drawing>
          <wp:inline distT="0" distB="0" distL="114300" distR="114300" wp14:anchorId="2D87D7D3" wp14:editId="4F6F901E">
            <wp:extent cx="4545965" cy="2958465"/>
            <wp:effectExtent l="0" t="0" r="6985" b="13335"/>
            <wp:docPr id="4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18"/>
                    <pic:cNvPicPr>
                      <a:picLocks noChangeAspect="1"/>
                    </pic:cNvPicPr>
                  </pic:nvPicPr>
                  <pic:blipFill>
                    <a:blip r:embed="rId152"/>
                    <a:srcRect l="19432" t="6943" r="20423" b="7256"/>
                    <a:stretch>
                      <a:fillRect/>
                    </a:stretch>
                  </pic:blipFill>
                  <pic:spPr>
                    <a:xfrm>
                      <a:off x="0" y="0"/>
                      <a:ext cx="4545965" cy="295846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1C08A5" w14:paraId="0939D6EB" w14:textId="77777777">
        <w:tc>
          <w:tcPr>
            <w:tcW w:w="4928" w:type="dxa"/>
          </w:tcPr>
          <w:p w14:paraId="34B47BF7" w14:textId="77777777" w:rsidR="001C08A5" w:rsidRDefault="00000000">
            <w:pPr>
              <w:jc w:val="center"/>
              <w:rPr>
                <w:b/>
                <w:bCs/>
                <w:i/>
                <w:iCs/>
                <w:sz w:val="22"/>
                <w:szCs w:val="22"/>
              </w:rPr>
            </w:pPr>
            <w:r>
              <w:rPr>
                <w:b/>
                <w:bCs/>
                <w:i/>
                <w:iCs/>
                <w:sz w:val="22"/>
                <w:szCs w:val="22"/>
              </w:rPr>
              <w:t>secțiune</w:t>
            </w:r>
          </w:p>
          <w:p w14:paraId="0B047259" w14:textId="77777777" w:rsidR="001C08A5" w:rsidRDefault="00000000">
            <w:pPr>
              <w:jc w:val="center"/>
              <w:rPr>
                <w:b/>
                <w:bCs/>
                <w:i/>
                <w:iCs/>
                <w:sz w:val="22"/>
                <w:szCs w:val="22"/>
              </w:rPr>
            </w:pPr>
            <w:r>
              <w:rPr>
                <w:b/>
                <w:bCs/>
                <w:i/>
                <w:iCs/>
                <w:sz w:val="22"/>
                <w:szCs w:val="22"/>
              </w:rPr>
              <w:t xml:space="preserve">Separarea orizontală </w:t>
            </w:r>
          </w:p>
          <w:p w14:paraId="44A37BFA" w14:textId="77777777" w:rsidR="001C08A5" w:rsidRDefault="00000000">
            <w:pPr>
              <w:jc w:val="center"/>
              <w:rPr>
                <w:b/>
                <w:bCs/>
                <w:i/>
                <w:iCs/>
                <w:sz w:val="22"/>
                <w:szCs w:val="22"/>
              </w:rPr>
            </w:pPr>
            <w:r>
              <w:rPr>
                <w:b/>
                <w:bCs/>
                <w:i/>
                <w:iCs/>
                <w:sz w:val="22"/>
                <w:szCs w:val="22"/>
              </w:rPr>
              <w:lastRenderedPageBreak/>
              <w:t>a etajelor</w:t>
            </w:r>
          </w:p>
        </w:tc>
        <w:tc>
          <w:tcPr>
            <w:tcW w:w="4928" w:type="dxa"/>
          </w:tcPr>
          <w:p w14:paraId="4ED7EFC6" w14:textId="77777777" w:rsidR="001C08A5" w:rsidRDefault="00000000">
            <w:pPr>
              <w:jc w:val="center"/>
              <w:rPr>
                <w:b/>
                <w:bCs/>
                <w:i/>
                <w:iCs/>
                <w:sz w:val="22"/>
                <w:szCs w:val="22"/>
              </w:rPr>
            </w:pPr>
            <w:r>
              <w:rPr>
                <w:b/>
                <w:bCs/>
                <w:i/>
                <w:iCs/>
                <w:sz w:val="22"/>
                <w:szCs w:val="22"/>
              </w:rPr>
              <w:lastRenderedPageBreak/>
              <w:t>plan</w:t>
            </w:r>
          </w:p>
          <w:p w14:paraId="4D16637C" w14:textId="77777777" w:rsidR="001C08A5" w:rsidRDefault="00000000">
            <w:pPr>
              <w:jc w:val="center"/>
              <w:rPr>
                <w:b/>
                <w:bCs/>
                <w:i/>
                <w:iCs/>
                <w:sz w:val="22"/>
                <w:szCs w:val="22"/>
              </w:rPr>
            </w:pPr>
            <w:r>
              <w:rPr>
                <w:b/>
                <w:bCs/>
                <w:i/>
                <w:iCs/>
                <w:sz w:val="22"/>
                <w:szCs w:val="22"/>
              </w:rPr>
              <w:t xml:space="preserve">Separarea verticală </w:t>
            </w:r>
          </w:p>
          <w:p w14:paraId="6EF35CBE" w14:textId="77777777" w:rsidR="001C08A5" w:rsidRDefault="00000000">
            <w:pPr>
              <w:jc w:val="center"/>
              <w:rPr>
                <w:b/>
                <w:bCs/>
                <w:i/>
                <w:iCs/>
                <w:sz w:val="22"/>
                <w:szCs w:val="22"/>
              </w:rPr>
            </w:pPr>
            <w:r>
              <w:rPr>
                <w:b/>
                <w:bCs/>
                <w:i/>
                <w:iCs/>
                <w:sz w:val="22"/>
                <w:szCs w:val="22"/>
              </w:rPr>
              <w:lastRenderedPageBreak/>
              <w:t>a etajelor</w:t>
            </w:r>
          </w:p>
        </w:tc>
      </w:tr>
    </w:tbl>
    <w:p w14:paraId="0AF6AC72" w14:textId="77777777" w:rsidR="001C08A5" w:rsidRDefault="00000000">
      <w:pPr>
        <w:pStyle w:val="Caption"/>
        <w:jc w:val="center"/>
        <w:rPr>
          <w:rFonts w:cs="Times New Roman"/>
        </w:rPr>
      </w:pPr>
      <w:bookmarkStart w:id="1798" w:name="_Ref14420"/>
      <w:bookmarkStart w:id="1799" w:name="_Toc30582"/>
      <w:bookmarkStart w:id="1800" w:name="_Toc8287"/>
      <w:bookmarkStart w:id="1801" w:name="_Toc5239"/>
      <w:bookmarkStart w:id="1802" w:name="_Toc27230"/>
      <w:bookmarkStart w:id="1803" w:name="_Toc162360276"/>
      <w:bookmarkStart w:id="1804" w:name="_Toc1026"/>
      <w:bookmarkStart w:id="1805" w:name="_Toc12866"/>
      <w:r>
        <w:lastRenderedPageBreak/>
        <w:t xml:space="preserve">Figura </w:t>
      </w:r>
      <w:r>
        <w:fldChar w:fldCharType="begin"/>
      </w:r>
      <w:r>
        <w:instrText xml:space="preserve"> SEQ Figura \* ARABIC </w:instrText>
      </w:r>
      <w:r>
        <w:fldChar w:fldCharType="separate"/>
      </w:r>
      <w:r>
        <w:t>52</w:t>
      </w:r>
      <w:r>
        <w:fldChar w:fldCharType="end"/>
      </w:r>
      <w:bookmarkStart w:id="1806" w:name="_Toc28550"/>
      <w:bookmarkStart w:id="1807" w:name="_Toc14910"/>
      <w:bookmarkStart w:id="1808" w:name="_Toc12512"/>
      <w:bookmarkStart w:id="1809" w:name="_Toc22106"/>
      <w:bookmarkStart w:id="1810" w:name="_Toc18246"/>
      <w:bookmarkStart w:id="1811" w:name="_Toc19839"/>
      <w:bookmarkStart w:id="1812" w:name="_Toc6711"/>
      <w:bookmarkStart w:id="1813" w:name="_Toc28398"/>
      <w:bookmarkStart w:id="1814" w:name="_Toc1056"/>
      <w:bookmarkStart w:id="1815" w:name="_Toc10532"/>
      <w:bookmarkStart w:id="1816" w:name="_Toc9487"/>
      <w:bookmarkEnd w:id="1798"/>
      <w:r>
        <w:t xml:space="preserve"> - </w:t>
      </w:r>
      <w:r>
        <w:rPr>
          <w:rFonts w:cs="Times New Roman"/>
        </w:rPr>
        <w:t>Anularea efectului de coş la faţadă dublă</w:t>
      </w:r>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p>
    <w:p w14:paraId="3442584C" w14:textId="77777777" w:rsidR="001C08A5" w:rsidRDefault="00000000">
      <w:pPr>
        <w:ind w:firstLine="681"/>
        <w:jc w:val="both"/>
        <w:rPr>
          <w:sz w:val="24"/>
          <w:szCs w:val="24"/>
        </w:rPr>
      </w:pPr>
      <w:r>
        <w:rPr>
          <w:sz w:val="24"/>
          <w:szCs w:val="24"/>
        </w:rPr>
        <w:tab/>
      </w:r>
      <w:r>
        <w:rPr>
          <w:sz w:val="24"/>
          <w:szCs w:val="24"/>
        </w:rPr>
        <w:tab/>
      </w:r>
      <w:r>
        <w:rPr>
          <w:sz w:val="24"/>
          <w:szCs w:val="24"/>
        </w:rPr>
        <w:tab/>
      </w:r>
    </w:p>
    <w:p w14:paraId="70422F00" w14:textId="77777777" w:rsidR="001C08A5" w:rsidRDefault="00000000">
      <w:pPr>
        <w:ind w:firstLine="681"/>
        <w:jc w:val="both"/>
        <w:rPr>
          <w:b/>
          <w:sz w:val="24"/>
          <w:szCs w:val="24"/>
        </w:rPr>
      </w:pPr>
      <w:r>
        <w:rPr>
          <w:b/>
          <w:bCs/>
          <w:sz w:val="24"/>
          <w:szCs w:val="24"/>
        </w:rPr>
        <w:t xml:space="preserve">Art. </w:t>
      </w:r>
      <w:r>
        <w:rPr>
          <w:b/>
          <w:sz w:val="24"/>
          <w:szCs w:val="24"/>
        </w:rPr>
        <w:t xml:space="preserve">2.4.7.3.3. </w:t>
      </w:r>
      <w:r>
        <w:rPr>
          <w:b/>
          <w:bCs/>
          <w:sz w:val="24"/>
          <w:szCs w:val="24"/>
        </w:rPr>
        <w:t xml:space="preserve">(1) </w:t>
      </w:r>
      <w:r>
        <w:rPr>
          <w:sz w:val="24"/>
          <w:szCs w:val="24"/>
        </w:rPr>
        <w:t xml:space="preserve">La construcţiile cu înălţime obişnuită (cu sistem de faţadă dublă - „double skin”, dacă nu se respectă condiţiile prevăzute la art. </w:t>
      </w:r>
      <w:r>
        <w:rPr>
          <w:b/>
          <w:sz w:val="24"/>
          <w:szCs w:val="24"/>
        </w:rPr>
        <w:t>2.4.7.3.2.</w:t>
      </w:r>
      <w:r>
        <w:rPr>
          <w:sz w:val="24"/>
          <w:szCs w:val="24"/>
        </w:rPr>
        <w:t xml:space="preserve">, atunci peretele interior al faţadei duble - „double skin” trebuie să respecte următoarea condiţie: </w:t>
      </w:r>
      <w:r>
        <w:rPr>
          <w:bCs/>
          <w:sz w:val="24"/>
          <w:szCs w:val="24"/>
        </w:rPr>
        <w:t>minimum</w:t>
      </w:r>
      <w:r>
        <w:rPr>
          <w:b/>
          <w:sz w:val="24"/>
          <w:szCs w:val="24"/>
        </w:rPr>
        <w:t xml:space="preserve"> EW30 </w:t>
      </w:r>
      <w:r>
        <w:rPr>
          <w:sz w:val="24"/>
          <w:szCs w:val="24"/>
        </w:rPr>
        <w:t xml:space="preserve">pe toată înălţimea construcţiei; </w:t>
      </w:r>
    </w:p>
    <w:p w14:paraId="36121992" w14:textId="77777777" w:rsidR="001C08A5" w:rsidRDefault="00000000">
      <w:pPr>
        <w:ind w:firstLine="2520"/>
        <w:jc w:val="both"/>
        <w:rPr>
          <w:sz w:val="24"/>
          <w:szCs w:val="24"/>
        </w:rPr>
      </w:pPr>
      <w:r>
        <w:rPr>
          <w:b/>
          <w:sz w:val="24"/>
          <w:szCs w:val="24"/>
        </w:rPr>
        <w:t xml:space="preserve">(1.1) </w:t>
      </w:r>
      <w:r>
        <w:rPr>
          <w:sz w:val="24"/>
          <w:szCs w:val="24"/>
        </w:rPr>
        <w:t xml:space="preserve">La clădirile cu înălţime obişnuită, atunci când se utilizează închideri perimetrale cu faţade duble, spaţiile libere dintre planşee și învelişul interior al faţadei duble, atunci când există, se etanşează cu sisteme având aceeași rezistență la foc cu a planșeului, dar minimum </w:t>
      </w:r>
      <w:r>
        <w:rPr>
          <w:b/>
          <w:sz w:val="24"/>
          <w:szCs w:val="24"/>
        </w:rPr>
        <w:t>EI 30</w:t>
      </w:r>
      <w:r>
        <w:rPr>
          <w:sz w:val="24"/>
          <w:szCs w:val="24"/>
        </w:rPr>
        <w:t xml:space="preserve"> .</w:t>
      </w:r>
    </w:p>
    <w:p w14:paraId="6F6BD891" w14:textId="77777777" w:rsidR="001C08A5" w:rsidRDefault="00000000">
      <w:pPr>
        <w:tabs>
          <w:tab w:val="left" w:pos="1134"/>
        </w:tabs>
        <w:jc w:val="both"/>
        <w:rPr>
          <w:sz w:val="24"/>
          <w:szCs w:val="24"/>
        </w:rPr>
      </w:pPr>
      <w:r>
        <w:rPr>
          <w:b/>
          <w:bCs/>
          <w:sz w:val="24"/>
          <w:szCs w:val="24"/>
        </w:rPr>
        <w:tab/>
        <w:t xml:space="preserve">(2) </w:t>
      </w:r>
      <w:r>
        <w:rPr>
          <w:sz w:val="24"/>
          <w:szCs w:val="24"/>
        </w:rPr>
        <w:t xml:space="preserve">La clădirile înalte, dacă nu se respectă condiţiile prevăzute la </w:t>
      </w:r>
      <w:r>
        <w:rPr>
          <w:b/>
          <w:sz w:val="24"/>
          <w:szCs w:val="24"/>
        </w:rPr>
        <w:t>Art. 2.4.7.3.2.</w:t>
      </w:r>
      <w:r>
        <w:rPr>
          <w:sz w:val="24"/>
          <w:szCs w:val="24"/>
        </w:rPr>
        <w:t xml:space="preserve">, atunci peretele interior al faţadei duble - „double skin”  trebuie să respecte următoarea condiţie: </w:t>
      </w:r>
      <w:r>
        <w:rPr>
          <w:bCs/>
          <w:sz w:val="24"/>
          <w:szCs w:val="24"/>
        </w:rPr>
        <w:t xml:space="preserve">minimum </w:t>
      </w:r>
      <w:r>
        <w:rPr>
          <w:b/>
          <w:sz w:val="24"/>
          <w:szCs w:val="24"/>
        </w:rPr>
        <w:t xml:space="preserve">EI 30 </w:t>
      </w:r>
      <w:r>
        <w:rPr>
          <w:sz w:val="24"/>
          <w:szCs w:val="24"/>
        </w:rPr>
        <w:t xml:space="preserve">pe toată înălţimea construcţiei; </w:t>
      </w:r>
    </w:p>
    <w:p w14:paraId="17602D69" w14:textId="77777777" w:rsidR="001C08A5" w:rsidRDefault="00000000">
      <w:pPr>
        <w:tabs>
          <w:tab w:val="left" w:pos="1134"/>
        </w:tabs>
        <w:ind w:firstLine="2520"/>
        <w:jc w:val="both"/>
        <w:rPr>
          <w:sz w:val="24"/>
          <w:szCs w:val="24"/>
        </w:rPr>
      </w:pPr>
      <w:r>
        <w:rPr>
          <w:b/>
          <w:sz w:val="24"/>
          <w:szCs w:val="24"/>
        </w:rPr>
        <w:t xml:space="preserve">(2.1) </w:t>
      </w:r>
      <w:r>
        <w:rPr>
          <w:sz w:val="24"/>
          <w:szCs w:val="24"/>
        </w:rPr>
        <w:t xml:space="preserve">La clădirile înalte, atunci când se utilizează închideri perimetrale cu faţade duble, spaţiile libere dintre planşee și învelişul interior al faţadei duble, atunci când există, se vor etanşa cu sisteme  având aceeași rezistență la foc cu a planșeului, dar minimum </w:t>
      </w:r>
      <w:r>
        <w:rPr>
          <w:b/>
          <w:sz w:val="24"/>
          <w:szCs w:val="24"/>
        </w:rPr>
        <w:t>EI 90.</w:t>
      </w:r>
    </w:p>
    <w:p w14:paraId="5FBADD00" w14:textId="77777777" w:rsidR="001C08A5" w:rsidRDefault="00000000">
      <w:pPr>
        <w:tabs>
          <w:tab w:val="left" w:pos="1134"/>
        </w:tabs>
        <w:jc w:val="both"/>
        <w:rPr>
          <w:b/>
          <w:strike/>
          <w:sz w:val="24"/>
          <w:szCs w:val="24"/>
        </w:rPr>
      </w:pPr>
      <w:r>
        <w:rPr>
          <w:sz w:val="24"/>
          <w:szCs w:val="24"/>
        </w:rPr>
        <w:tab/>
      </w:r>
      <w:r>
        <w:rPr>
          <w:sz w:val="24"/>
          <w:szCs w:val="24"/>
        </w:rPr>
        <w:tab/>
      </w:r>
      <w:r>
        <w:rPr>
          <w:b/>
          <w:bCs/>
          <w:sz w:val="24"/>
          <w:szCs w:val="24"/>
        </w:rPr>
        <w:t xml:space="preserve">(3) </w:t>
      </w:r>
      <w:r>
        <w:rPr>
          <w:sz w:val="24"/>
          <w:szCs w:val="24"/>
        </w:rPr>
        <w:t xml:space="preserve">La clădirile foarte înalte (cu sistem de faţadă dublă - „double skin”, dacă nu se respectă condiţiile prevăzute la </w:t>
      </w:r>
      <w:r>
        <w:rPr>
          <w:b/>
          <w:sz w:val="24"/>
          <w:szCs w:val="24"/>
        </w:rPr>
        <w:t>Art.2.4.7.3.2.</w:t>
      </w:r>
      <w:r>
        <w:rPr>
          <w:sz w:val="24"/>
          <w:szCs w:val="24"/>
        </w:rPr>
        <w:t>, atunci peretele interior al faţadei duble trebuie să respecte  următoarea condiţie:</w:t>
      </w:r>
      <w:r>
        <w:rPr>
          <w:bCs/>
          <w:sz w:val="24"/>
          <w:szCs w:val="24"/>
        </w:rPr>
        <w:t xml:space="preserve">minimum </w:t>
      </w:r>
      <w:r>
        <w:rPr>
          <w:b/>
          <w:sz w:val="24"/>
          <w:szCs w:val="24"/>
        </w:rPr>
        <w:t xml:space="preserve">EI 60 </w:t>
      </w:r>
      <w:r>
        <w:rPr>
          <w:sz w:val="24"/>
          <w:szCs w:val="24"/>
        </w:rPr>
        <w:t>pe toată înălţimea construcţiei, cu excepția ferestrelor care trebuie să fie</w:t>
      </w:r>
      <w:r>
        <w:rPr>
          <w:b/>
          <w:sz w:val="24"/>
          <w:szCs w:val="24"/>
        </w:rPr>
        <w:t xml:space="preserve"> EI 30</w:t>
      </w:r>
      <w:r>
        <w:rPr>
          <w:sz w:val="24"/>
          <w:szCs w:val="24"/>
        </w:rPr>
        <w:t>;</w:t>
      </w:r>
    </w:p>
    <w:p w14:paraId="1EBD2A42" w14:textId="77777777" w:rsidR="001C08A5" w:rsidRDefault="00000000">
      <w:pPr>
        <w:tabs>
          <w:tab w:val="left" w:pos="1134"/>
        </w:tabs>
        <w:ind w:firstLine="3119"/>
        <w:jc w:val="both"/>
        <w:rPr>
          <w:sz w:val="24"/>
          <w:szCs w:val="24"/>
        </w:rPr>
      </w:pPr>
      <w:r>
        <w:rPr>
          <w:b/>
          <w:sz w:val="24"/>
          <w:szCs w:val="24"/>
        </w:rPr>
        <w:t xml:space="preserve">(3.1) </w:t>
      </w:r>
      <w:r>
        <w:rPr>
          <w:sz w:val="24"/>
          <w:szCs w:val="24"/>
        </w:rPr>
        <w:t xml:space="preserve">La clădirile foarte înalte, atunci când se utilizează închideri perimetrale cu faţade duble, spaţiile libere dintre planşee și învelişul interior al faţadei duble, atunci când există, se vor etanşacu sisteme având aceeași rezistență la foc cu a planșeului, dar minimum </w:t>
      </w:r>
      <w:r>
        <w:rPr>
          <w:b/>
          <w:sz w:val="24"/>
          <w:szCs w:val="24"/>
        </w:rPr>
        <w:t xml:space="preserve">EI 90 </w:t>
      </w:r>
      <w:r>
        <w:rPr>
          <w:sz w:val="24"/>
          <w:szCs w:val="24"/>
          <w:lang w:eastAsia="zh-CN"/>
        </w:rPr>
        <w:t xml:space="preserve">pentru construcții  </w:t>
      </w:r>
      <w:r>
        <w:rPr>
          <w:sz w:val="24"/>
          <w:szCs w:val="24"/>
        </w:rPr>
        <w:t xml:space="preserve">cu înălțimea </w:t>
      </w:r>
      <w:r>
        <w:rPr>
          <w:b/>
          <w:sz w:val="24"/>
          <w:szCs w:val="24"/>
        </w:rPr>
        <w:t xml:space="preserve">h &lt; 75m </w:t>
      </w:r>
      <w:r>
        <w:rPr>
          <w:sz w:val="24"/>
          <w:szCs w:val="24"/>
        </w:rPr>
        <w:t xml:space="preserve">și minimum </w:t>
      </w:r>
      <w:r>
        <w:rPr>
          <w:b/>
          <w:sz w:val="24"/>
          <w:szCs w:val="24"/>
        </w:rPr>
        <w:t xml:space="preserve">EI 120 </w:t>
      </w:r>
      <w:r>
        <w:rPr>
          <w:sz w:val="24"/>
          <w:szCs w:val="24"/>
          <w:lang w:eastAsia="zh-CN"/>
        </w:rPr>
        <w:t xml:space="preserve">pentru construcții foarte înalte </w:t>
      </w:r>
      <w:r>
        <w:rPr>
          <w:sz w:val="24"/>
          <w:szCs w:val="24"/>
        </w:rPr>
        <w:t xml:space="preserve">cu înălțimea </w:t>
      </w:r>
      <w:r>
        <w:rPr>
          <w:b/>
          <w:sz w:val="24"/>
          <w:szCs w:val="24"/>
        </w:rPr>
        <w:t>h ≥ 75m;</w:t>
      </w:r>
    </w:p>
    <w:p w14:paraId="5A0AF6F9" w14:textId="77777777" w:rsidR="001C08A5" w:rsidRDefault="00000000">
      <w:pPr>
        <w:jc w:val="both"/>
        <w:rPr>
          <w:sz w:val="24"/>
          <w:szCs w:val="24"/>
        </w:rPr>
      </w:pPr>
      <w:r>
        <w:rPr>
          <w:sz w:val="24"/>
          <w:szCs w:val="24"/>
        </w:rPr>
        <w:tab/>
      </w:r>
      <w:r>
        <w:rPr>
          <w:sz w:val="24"/>
          <w:szCs w:val="24"/>
        </w:rPr>
        <w:tab/>
      </w:r>
      <w:r>
        <w:rPr>
          <w:b/>
          <w:bCs/>
          <w:sz w:val="24"/>
          <w:szCs w:val="24"/>
        </w:rPr>
        <w:t xml:space="preserve">(4) </w:t>
      </w:r>
      <w:r>
        <w:rPr>
          <w:sz w:val="24"/>
          <w:szCs w:val="24"/>
        </w:rPr>
        <w:t xml:space="preserve">Atunci când se utilizează închideri perimetrale cu faţade duble </w:t>
      </w:r>
      <w:r>
        <w:rPr>
          <w:sz w:val="24"/>
          <w:szCs w:val="24"/>
          <w:lang w:eastAsia="zh-CN"/>
        </w:rPr>
        <w:t xml:space="preserve">la construcțiile foarte înalte </w:t>
      </w:r>
      <w:r>
        <w:rPr>
          <w:sz w:val="24"/>
          <w:szCs w:val="24"/>
        </w:rPr>
        <w:t xml:space="preserve">cu înălțimea </w:t>
      </w:r>
      <w:r>
        <w:rPr>
          <w:b/>
          <w:sz w:val="24"/>
          <w:szCs w:val="24"/>
        </w:rPr>
        <w:t>h ≥ 75 m,</w:t>
      </w:r>
      <w:r>
        <w:rPr>
          <w:sz w:val="24"/>
          <w:szCs w:val="24"/>
        </w:rPr>
        <w:t xml:space="preserve"> acestea se vor partiționa continuu pe orizontală cel puțin din fiecare </w:t>
      </w:r>
      <w:r>
        <w:rPr>
          <w:b/>
          <w:bCs/>
          <w:sz w:val="24"/>
          <w:szCs w:val="24"/>
        </w:rPr>
        <w:t>10</w:t>
      </w:r>
      <w:r>
        <w:rPr>
          <w:sz w:val="24"/>
          <w:szCs w:val="24"/>
        </w:rPr>
        <w:t xml:space="preserve"> în </w:t>
      </w:r>
      <w:r>
        <w:rPr>
          <w:b/>
          <w:bCs/>
          <w:sz w:val="24"/>
          <w:szCs w:val="24"/>
        </w:rPr>
        <w:t>10</w:t>
      </w:r>
      <w:r>
        <w:rPr>
          <w:sz w:val="24"/>
          <w:szCs w:val="24"/>
        </w:rPr>
        <w:t xml:space="preserve"> etaje.</w:t>
      </w:r>
    </w:p>
    <w:p w14:paraId="71B195DB" w14:textId="77777777" w:rsidR="001C08A5" w:rsidRDefault="001C08A5">
      <w:pPr>
        <w:pStyle w:val="ListParagraph"/>
        <w:tabs>
          <w:tab w:val="left" w:pos="1134"/>
        </w:tabs>
        <w:ind w:left="0"/>
        <w:jc w:val="both"/>
      </w:pPr>
    </w:p>
    <w:p w14:paraId="44CEE5E0" w14:textId="77777777" w:rsidR="001C08A5" w:rsidRDefault="00000000">
      <w:pPr>
        <w:pStyle w:val="ListParagraph"/>
        <w:tabs>
          <w:tab w:val="left" w:pos="1134"/>
        </w:tabs>
        <w:ind w:left="0"/>
        <w:jc w:val="both"/>
      </w:pPr>
      <w:r>
        <w:rPr>
          <w:b/>
          <w:bCs/>
        </w:rPr>
        <w:t xml:space="preserve">           Art. </w:t>
      </w:r>
      <w:r>
        <w:rPr>
          <w:b/>
        </w:rPr>
        <w:t xml:space="preserve">2.4.7.3.4. </w:t>
      </w:r>
      <w:r>
        <w:rPr>
          <w:bCs/>
        </w:rPr>
        <w:t xml:space="preserve">Alternativ la prevederile </w:t>
      </w:r>
      <w:r>
        <w:rPr>
          <w:b/>
          <w:bCs/>
        </w:rPr>
        <w:t xml:space="preserve">Art. </w:t>
      </w:r>
      <w:r>
        <w:rPr>
          <w:b/>
        </w:rPr>
        <w:t xml:space="preserve">2.4.7.3.2. </w:t>
      </w:r>
      <w:r>
        <w:rPr>
          <w:bCs/>
        </w:rPr>
        <w:t>și</w:t>
      </w:r>
      <w:r>
        <w:rPr>
          <w:b/>
        </w:rPr>
        <w:t xml:space="preserve"> </w:t>
      </w:r>
      <w:r>
        <w:t xml:space="preserve">ale </w:t>
      </w:r>
      <w:r>
        <w:rPr>
          <w:b/>
        </w:rPr>
        <w:t>Art. 2.4.7.3.3.</w:t>
      </w:r>
      <w:r>
        <w:rPr>
          <w:bCs/>
        </w:rPr>
        <w:t xml:space="preserve">, </w:t>
      </w:r>
      <w:r>
        <w:t xml:space="preserve">spaţiul dintre cei doi pereţi ai faţadei duble ventilate </w:t>
      </w:r>
      <w:r>
        <w:rPr>
          <w:bCs/>
        </w:rPr>
        <w:t xml:space="preserve">se poate </w:t>
      </w:r>
      <w:r>
        <w:t xml:space="preserve">echipa la fiecare nivel cu perdea de apă cu acţionare automată şi manuală cu durata de funcţionare de minimum </w:t>
      </w:r>
      <w:r>
        <w:rPr>
          <w:b/>
          <w:bCs/>
        </w:rPr>
        <w:t>60 minute</w:t>
      </w:r>
      <w:r>
        <w:t xml:space="preserve"> și sistem de evacuare a fumului şi gazelor fierbinţi în caz de incendiu, luând măsurile necesare pentru protejarea acestor instalaţii la îngheț și intemperii. În această situaţie, peretele interior trebuie să îndeplinească numai condiţiile de rezistenţă la foc specifice faţadelor simple cu pereţi cortină, funcţie de tipul clădirii. </w:t>
      </w:r>
    </w:p>
    <w:p w14:paraId="50558AD4" w14:textId="77777777" w:rsidR="001C08A5" w:rsidRDefault="00000000">
      <w:pPr>
        <w:pStyle w:val="Caption"/>
      </w:pPr>
      <w:bookmarkStart w:id="1817" w:name="_Ref8456"/>
      <w:bookmarkStart w:id="1818" w:name="_Toc162360070"/>
      <w:r>
        <w:t xml:space="preserve">Tabelul </w:t>
      </w:r>
      <w:r>
        <w:fldChar w:fldCharType="begin"/>
      </w:r>
      <w:r>
        <w:instrText xml:space="preserve"> SEQ Tabelul \* ARABIC </w:instrText>
      </w:r>
      <w:r>
        <w:fldChar w:fldCharType="separate"/>
      </w:r>
      <w:r>
        <w:t>20</w:t>
      </w:r>
      <w:r>
        <w:fldChar w:fldCharType="end"/>
      </w:r>
      <w:bookmarkStart w:id="1819" w:name="_Toc21360"/>
      <w:bookmarkStart w:id="1820" w:name="_Toc28066"/>
      <w:bookmarkStart w:id="1821" w:name="_Toc13621"/>
      <w:bookmarkStart w:id="1822" w:name="_Toc30548"/>
      <w:bookmarkStart w:id="1823" w:name="_Toc15448"/>
      <w:bookmarkStart w:id="1824" w:name="_Toc20257"/>
      <w:bookmarkStart w:id="1825" w:name="_Toc23021"/>
      <w:bookmarkStart w:id="1826" w:name="_Toc19153"/>
      <w:bookmarkStart w:id="1827" w:name="_Toc15394"/>
      <w:bookmarkStart w:id="1828" w:name="_Toc13217"/>
      <w:bookmarkStart w:id="1829" w:name="_Toc19526"/>
      <w:bookmarkStart w:id="1830" w:name="_Toc425"/>
      <w:bookmarkStart w:id="1831" w:name="_Toc13875"/>
      <w:bookmarkStart w:id="1832" w:name="_Toc19754"/>
      <w:bookmarkStart w:id="1833" w:name="_Toc18300"/>
      <w:bookmarkStart w:id="1834" w:name="_Toc32"/>
      <w:bookmarkStart w:id="1835" w:name="_Toc1966"/>
      <w:bookmarkStart w:id="1836" w:name="_Toc4697"/>
      <w:bookmarkStart w:id="1837" w:name="_Toc23260"/>
      <w:bookmarkEnd w:id="1817"/>
      <w:r>
        <w:t>: Separarea orizontală și verticală la un sistem de faţadă dublă</w:t>
      </w:r>
      <w:bookmarkEnd w:id="1818"/>
      <w:r>
        <w:t xml:space="preserve"> </w:t>
      </w:r>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p>
    <w:tbl>
      <w:tblPr>
        <w:tblpPr w:leftFromText="180" w:rightFromText="180" w:vertAnchor="text" w:horzAnchor="page" w:tblpX="1405" w:tblpY="237"/>
        <w:tblOverlap w:val="never"/>
        <w:tblW w:w="0" w:type="auto"/>
        <w:tblLayout w:type="fixed"/>
        <w:tblCellMar>
          <w:left w:w="103" w:type="dxa"/>
        </w:tblCellMar>
        <w:tblLook w:val="04A0" w:firstRow="1" w:lastRow="0" w:firstColumn="1" w:lastColumn="0" w:noHBand="0" w:noVBand="1"/>
      </w:tblPr>
      <w:tblGrid>
        <w:gridCol w:w="444"/>
        <w:gridCol w:w="3533"/>
        <w:gridCol w:w="2809"/>
        <w:gridCol w:w="2837"/>
      </w:tblGrid>
      <w:tr w:rsidR="001C08A5" w14:paraId="4719F7FF" w14:textId="77777777">
        <w:trPr>
          <w:cantSplit/>
          <w:trHeight w:val="1062"/>
          <w:tblHeader/>
        </w:trPr>
        <w:tc>
          <w:tcPr>
            <w:tcW w:w="444" w:type="dxa"/>
            <w:tcBorders>
              <w:top w:val="single" w:sz="4" w:space="0" w:color="000001"/>
              <w:left w:val="single" w:sz="4" w:space="0" w:color="000001"/>
              <w:bottom w:val="single" w:sz="4" w:space="0" w:color="000001"/>
            </w:tcBorders>
            <w:shd w:val="clear" w:color="auto" w:fill="BEBEBE"/>
            <w:vAlign w:val="center"/>
          </w:tcPr>
          <w:p w14:paraId="7CBBD9A7" w14:textId="77777777" w:rsidR="001C08A5" w:rsidRDefault="00000000">
            <w:pPr>
              <w:jc w:val="center"/>
              <w:rPr>
                <w:b/>
                <w:bCs/>
                <w:i/>
                <w:iCs/>
                <w:sz w:val="22"/>
                <w:szCs w:val="22"/>
              </w:rPr>
            </w:pPr>
            <w:r>
              <w:rPr>
                <w:b/>
                <w:bCs/>
                <w:i/>
                <w:iCs/>
              </w:rPr>
              <w:t>Nr.</w:t>
            </w:r>
          </w:p>
        </w:tc>
        <w:tc>
          <w:tcPr>
            <w:tcW w:w="3533" w:type="dxa"/>
            <w:tcBorders>
              <w:top w:val="single" w:sz="4" w:space="0" w:color="000001"/>
              <w:left w:val="single" w:sz="4" w:space="0" w:color="000001"/>
              <w:bottom w:val="single" w:sz="4" w:space="0" w:color="000001"/>
            </w:tcBorders>
            <w:shd w:val="clear" w:color="auto" w:fill="BEBEBE"/>
            <w:vAlign w:val="center"/>
          </w:tcPr>
          <w:p w14:paraId="4D99D86C" w14:textId="77777777" w:rsidR="001C08A5" w:rsidRDefault="00000000">
            <w:pPr>
              <w:jc w:val="center"/>
              <w:rPr>
                <w:b/>
                <w:bCs/>
                <w:i/>
                <w:iCs/>
                <w:sz w:val="22"/>
                <w:szCs w:val="22"/>
              </w:rPr>
            </w:pPr>
            <w:r>
              <w:rPr>
                <w:b/>
                <w:bCs/>
                <w:i/>
                <w:iCs/>
                <w:sz w:val="22"/>
                <w:szCs w:val="22"/>
              </w:rPr>
              <w:t>Numărul de etaje / înălțime clădire</w:t>
            </w:r>
          </w:p>
        </w:tc>
        <w:tc>
          <w:tcPr>
            <w:tcW w:w="2809" w:type="dxa"/>
            <w:tcBorders>
              <w:top w:val="single" w:sz="4" w:space="0" w:color="000001"/>
              <w:left w:val="single" w:sz="4" w:space="0" w:color="000001"/>
              <w:bottom w:val="single" w:sz="4" w:space="0" w:color="000001"/>
            </w:tcBorders>
            <w:shd w:val="clear" w:color="auto" w:fill="BEBEBE"/>
            <w:vAlign w:val="center"/>
          </w:tcPr>
          <w:p w14:paraId="221091B6" w14:textId="77777777" w:rsidR="001C08A5" w:rsidRDefault="00000000">
            <w:pPr>
              <w:jc w:val="center"/>
              <w:rPr>
                <w:b/>
                <w:bCs/>
                <w:i/>
                <w:iCs/>
                <w:sz w:val="22"/>
                <w:szCs w:val="22"/>
              </w:rPr>
            </w:pPr>
            <w:r>
              <w:rPr>
                <w:b/>
                <w:bCs/>
                <w:i/>
                <w:iCs/>
                <w:sz w:val="22"/>
                <w:szCs w:val="22"/>
              </w:rPr>
              <w:t>Separarea orizontală și verticală a etajelor / încăperilor</w:t>
            </w:r>
          </w:p>
          <w:p w14:paraId="70B2AADC" w14:textId="77777777" w:rsidR="001C08A5" w:rsidRDefault="00000000">
            <w:pPr>
              <w:jc w:val="center"/>
              <w:rPr>
                <w:b/>
                <w:bCs/>
                <w:i/>
                <w:iCs/>
                <w:sz w:val="22"/>
                <w:szCs w:val="22"/>
              </w:rPr>
            </w:pPr>
            <w:r>
              <w:rPr>
                <w:i/>
                <w:iCs/>
                <w:sz w:val="22"/>
                <w:szCs w:val="22"/>
              </w:rPr>
              <w:t xml:space="preserve">Clasa minimă de rezistență la foc a elementelor despărțitoare </w:t>
            </w:r>
          </w:p>
        </w:tc>
        <w:tc>
          <w:tcPr>
            <w:tcW w:w="2837" w:type="dxa"/>
            <w:tcBorders>
              <w:top w:val="single" w:sz="4" w:space="0" w:color="000001"/>
              <w:left w:val="single" w:sz="4" w:space="0" w:color="000001"/>
              <w:right w:val="single" w:sz="4" w:space="0" w:color="000001"/>
            </w:tcBorders>
            <w:shd w:val="clear" w:color="auto" w:fill="BEBEBE"/>
            <w:vAlign w:val="center"/>
          </w:tcPr>
          <w:p w14:paraId="1151BF86" w14:textId="77777777" w:rsidR="001C08A5" w:rsidRDefault="00000000">
            <w:pPr>
              <w:jc w:val="center"/>
              <w:rPr>
                <w:b/>
                <w:bCs/>
                <w:i/>
                <w:iCs/>
                <w:sz w:val="22"/>
                <w:szCs w:val="22"/>
              </w:rPr>
            </w:pPr>
            <w:r>
              <w:rPr>
                <w:b/>
                <w:bCs/>
                <w:i/>
                <w:iCs/>
                <w:sz w:val="22"/>
                <w:szCs w:val="22"/>
              </w:rPr>
              <w:t>Separare verticală a scărilor</w:t>
            </w:r>
          </w:p>
          <w:p w14:paraId="082D2610" w14:textId="77777777" w:rsidR="001C08A5" w:rsidRDefault="00000000">
            <w:pPr>
              <w:jc w:val="center"/>
              <w:rPr>
                <w:b/>
                <w:bCs/>
                <w:i/>
                <w:iCs/>
                <w:sz w:val="22"/>
                <w:szCs w:val="22"/>
              </w:rPr>
            </w:pPr>
            <w:r>
              <w:rPr>
                <w:i/>
                <w:iCs/>
                <w:sz w:val="22"/>
                <w:szCs w:val="22"/>
              </w:rPr>
              <w:t xml:space="preserve">Clasa minimă de rezistență la foc a elementelor verticale despărțitoare </w:t>
            </w:r>
          </w:p>
        </w:tc>
      </w:tr>
      <w:tr w:rsidR="001C08A5" w14:paraId="4591B4CC" w14:textId="77777777">
        <w:tc>
          <w:tcPr>
            <w:tcW w:w="444" w:type="dxa"/>
            <w:tcBorders>
              <w:top w:val="single" w:sz="4" w:space="0" w:color="000001"/>
              <w:left w:val="single" w:sz="4" w:space="0" w:color="000001"/>
              <w:bottom w:val="single" w:sz="4" w:space="0" w:color="000001"/>
            </w:tcBorders>
            <w:shd w:val="clear" w:color="auto" w:fill="FFFFFF"/>
          </w:tcPr>
          <w:p w14:paraId="4A4BD6B7" w14:textId="77777777" w:rsidR="001C08A5" w:rsidRDefault="001C08A5">
            <w:pPr>
              <w:pStyle w:val="ListParagraph"/>
              <w:numPr>
                <w:ilvl w:val="0"/>
                <w:numId w:val="53"/>
              </w:numPr>
              <w:ind w:left="113" w:firstLine="0"/>
              <w:jc w:val="center"/>
              <w:rPr>
                <w:i/>
                <w:iCs/>
                <w:sz w:val="22"/>
                <w:szCs w:val="22"/>
              </w:rPr>
            </w:pPr>
          </w:p>
        </w:tc>
        <w:tc>
          <w:tcPr>
            <w:tcW w:w="3533" w:type="dxa"/>
            <w:tcBorders>
              <w:top w:val="single" w:sz="4" w:space="0" w:color="000001"/>
              <w:left w:val="single" w:sz="4" w:space="0" w:color="000001"/>
              <w:bottom w:val="single" w:sz="4" w:space="0" w:color="000001"/>
            </w:tcBorders>
            <w:shd w:val="clear" w:color="auto" w:fill="FFFFFF"/>
          </w:tcPr>
          <w:p w14:paraId="5A790598" w14:textId="77777777" w:rsidR="001C08A5" w:rsidRDefault="00000000">
            <w:pPr>
              <w:jc w:val="both"/>
              <w:rPr>
                <w:i/>
                <w:iCs/>
                <w:sz w:val="22"/>
                <w:szCs w:val="22"/>
              </w:rPr>
            </w:pPr>
            <w:r>
              <w:rPr>
                <w:i/>
                <w:iCs/>
                <w:sz w:val="22"/>
                <w:szCs w:val="22"/>
              </w:rPr>
              <w:t>Mai puțin de cinci etaje, fără sistem de stingere automată a incendiilor</w:t>
            </w:r>
          </w:p>
        </w:tc>
        <w:tc>
          <w:tcPr>
            <w:tcW w:w="2809" w:type="dxa"/>
            <w:tcBorders>
              <w:top w:val="single" w:sz="4" w:space="0" w:color="000001"/>
              <w:left w:val="single" w:sz="4" w:space="0" w:color="000001"/>
              <w:bottom w:val="single" w:sz="4" w:space="0" w:color="000001"/>
            </w:tcBorders>
            <w:shd w:val="clear" w:color="auto" w:fill="FFFFFF"/>
            <w:vAlign w:val="center"/>
          </w:tcPr>
          <w:p w14:paraId="6FD86D43" w14:textId="77777777" w:rsidR="001C08A5" w:rsidRDefault="00000000">
            <w:pPr>
              <w:jc w:val="center"/>
              <w:rPr>
                <w:b/>
                <w:bCs/>
                <w:i/>
                <w:iCs/>
                <w:sz w:val="22"/>
                <w:szCs w:val="22"/>
              </w:rPr>
            </w:pPr>
            <w:r>
              <w:rPr>
                <w:b/>
                <w:bCs/>
                <w:i/>
                <w:iCs/>
                <w:sz w:val="22"/>
                <w:szCs w:val="22"/>
              </w:rPr>
              <w:t>ЕW 30</w:t>
            </w:r>
          </w:p>
        </w:tc>
        <w:tc>
          <w:tcPr>
            <w:tcW w:w="28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CE48366" w14:textId="77777777" w:rsidR="001C08A5" w:rsidRDefault="00000000">
            <w:pPr>
              <w:jc w:val="center"/>
              <w:rPr>
                <w:b/>
                <w:bCs/>
                <w:i/>
                <w:iCs/>
                <w:sz w:val="22"/>
                <w:szCs w:val="22"/>
              </w:rPr>
            </w:pPr>
            <w:r>
              <w:rPr>
                <w:b/>
                <w:bCs/>
                <w:i/>
                <w:iCs/>
                <w:sz w:val="22"/>
                <w:szCs w:val="22"/>
              </w:rPr>
              <w:t>ЕW 30</w:t>
            </w:r>
          </w:p>
        </w:tc>
      </w:tr>
      <w:tr w:rsidR="001C08A5" w14:paraId="10BACC8B" w14:textId="77777777">
        <w:tc>
          <w:tcPr>
            <w:tcW w:w="444" w:type="dxa"/>
            <w:tcBorders>
              <w:top w:val="single" w:sz="4" w:space="0" w:color="000001"/>
              <w:left w:val="single" w:sz="4" w:space="0" w:color="000001"/>
              <w:bottom w:val="single" w:sz="4" w:space="0" w:color="000001"/>
            </w:tcBorders>
            <w:shd w:val="clear" w:color="auto" w:fill="FFFFFF"/>
          </w:tcPr>
          <w:p w14:paraId="01D1E0A9" w14:textId="77777777" w:rsidR="001C08A5" w:rsidRDefault="001C08A5">
            <w:pPr>
              <w:pStyle w:val="ListParagraph"/>
              <w:numPr>
                <w:ilvl w:val="0"/>
                <w:numId w:val="53"/>
              </w:numPr>
              <w:ind w:left="113" w:firstLine="0"/>
              <w:jc w:val="center"/>
              <w:rPr>
                <w:i/>
                <w:iCs/>
                <w:sz w:val="22"/>
                <w:szCs w:val="22"/>
              </w:rPr>
            </w:pPr>
          </w:p>
        </w:tc>
        <w:tc>
          <w:tcPr>
            <w:tcW w:w="3533" w:type="dxa"/>
            <w:tcBorders>
              <w:top w:val="single" w:sz="4" w:space="0" w:color="000001"/>
              <w:left w:val="single" w:sz="4" w:space="0" w:color="000001"/>
              <w:bottom w:val="single" w:sz="4" w:space="0" w:color="000001"/>
            </w:tcBorders>
            <w:shd w:val="clear" w:color="auto" w:fill="FFFFFF"/>
          </w:tcPr>
          <w:p w14:paraId="6BA4721B" w14:textId="77777777" w:rsidR="001C08A5" w:rsidRDefault="00000000">
            <w:pPr>
              <w:jc w:val="both"/>
              <w:rPr>
                <w:i/>
                <w:iCs/>
                <w:sz w:val="22"/>
                <w:szCs w:val="22"/>
              </w:rPr>
            </w:pPr>
            <w:r>
              <w:rPr>
                <w:i/>
                <w:iCs/>
                <w:sz w:val="22"/>
                <w:szCs w:val="22"/>
              </w:rPr>
              <w:t>Cinci sau mai multe etaje de până la 28 m înălțime fără sistem de stingere automată a incendiilor</w:t>
            </w:r>
          </w:p>
        </w:tc>
        <w:tc>
          <w:tcPr>
            <w:tcW w:w="2809" w:type="dxa"/>
            <w:tcBorders>
              <w:top w:val="single" w:sz="4" w:space="0" w:color="000001"/>
              <w:left w:val="single" w:sz="4" w:space="0" w:color="000001"/>
              <w:bottom w:val="single" w:sz="4" w:space="0" w:color="000001"/>
            </w:tcBorders>
            <w:shd w:val="clear" w:color="auto" w:fill="FFFFFF"/>
            <w:vAlign w:val="center"/>
          </w:tcPr>
          <w:p w14:paraId="1EBA774A" w14:textId="77777777" w:rsidR="001C08A5" w:rsidRDefault="00000000">
            <w:pPr>
              <w:jc w:val="center"/>
              <w:rPr>
                <w:b/>
                <w:bCs/>
                <w:i/>
                <w:iCs/>
                <w:sz w:val="22"/>
                <w:szCs w:val="22"/>
              </w:rPr>
            </w:pPr>
            <w:r>
              <w:rPr>
                <w:b/>
                <w:bCs/>
                <w:i/>
                <w:iCs/>
                <w:sz w:val="22"/>
                <w:szCs w:val="22"/>
              </w:rPr>
              <w:t>ЕW 60</w:t>
            </w:r>
          </w:p>
        </w:tc>
        <w:tc>
          <w:tcPr>
            <w:tcW w:w="28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27F17A3" w14:textId="77777777" w:rsidR="001C08A5" w:rsidRDefault="00000000">
            <w:pPr>
              <w:jc w:val="center"/>
              <w:rPr>
                <w:b/>
                <w:bCs/>
                <w:i/>
                <w:iCs/>
                <w:sz w:val="22"/>
                <w:szCs w:val="22"/>
              </w:rPr>
            </w:pPr>
            <w:r>
              <w:rPr>
                <w:b/>
                <w:bCs/>
                <w:i/>
                <w:iCs/>
                <w:sz w:val="22"/>
                <w:szCs w:val="22"/>
              </w:rPr>
              <w:t>ЕІ 60</w:t>
            </w:r>
          </w:p>
        </w:tc>
      </w:tr>
      <w:tr w:rsidR="001C08A5" w14:paraId="046A22A9" w14:textId="77777777">
        <w:tc>
          <w:tcPr>
            <w:tcW w:w="444" w:type="dxa"/>
            <w:tcBorders>
              <w:top w:val="single" w:sz="4" w:space="0" w:color="000001"/>
              <w:left w:val="single" w:sz="4" w:space="0" w:color="000001"/>
              <w:bottom w:val="single" w:sz="4" w:space="0" w:color="000001"/>
            </w:tcBorders>
            <w:shd w:val="clear" w:color="auto" w:fill="FFFFFF"/>
          </w:tcPr>
          <w:p w14:paraId="69459B94" w14:textId="77777777" w:rsidR="001C08A5" w:rsidRDefault="001C08A5">
            <w:pPr>
              <w:pStyle w:val="ListParagraph"/>
              <w:numPr>
                <w:ilvl w:val="0"/>
                <w:numId w:val="53"/>
              </w:numPr>
              <w:ind w:left="113" w:firstLine="0"/>
              <w:jc w:val="center"/>
              <w:rPr>
                <w:i/>
                <w:iCs/>
                <w:sz w:val="22"/>
                <w:szCs w:val="22"/>
              </w:rPr>
            </w:pPr>
          </w:p>
        </w:tc>
        <w:tc>
          <w:tcPr>
            <w:tcW w:w="3533" w:type="dxa"/>
            <w:tcBorders>
              <w:top w:val="single" w:sz="4" w:space="0" w:color="000001"/>
              <w:left w:val="single" w:sz="4" w:space="0" w:color="000001"/>
              <w:bottom w:val="single" w:sz="4" w:space="0" w:color="000001"/>
            </w:tcBorders>
            <w:shd w:val="clear" w:color="auto" w:fill="FFFFFF"/>
          </w:tcPr>
          <w:p w14:paraId="2E6E679D" w14:textId="77777777" w:rsidR="001C08A5" w:rsidRDefault="00000000">
            <w:pPr>
              <w:jc w:val="both"/>
              <w:rPr>
                <w:i/>
                <w:iCs/>
                <w:sz w:val="22"/>
                <w:szCs w:val="22"/>
              </w:rPr>
            </w:pPr>
            <w:r>
              <w:rPr>
                <w:i/>
                <w:iCs/>
                <w:sz w:val="22"/>
                <w:szCs w:val="22"/>
              </w:rPr>
              <w:t xml:space="preserve">Cinci sau mai multe etaje de până la 28 m înălțime echipate cu sistem automat de stingere a incendiilor </w:t>
            </w:r>
          </w:p>
        </w:tc>
        <w:tc>
          <w:tcPr>
            <w:tcW w:w="2809" w:type="dxa"/>
            <w:tcBorders>
              <w:top w:val="single" w:sz="4" w:space="0" w:color="000001"/>
              <w:left w:val="single" w:sz="4" w:space="0" w:color="000001"/>
              <w:bottom w:val="single" w:sz="4" w:space="0" w:color="000001"/>
            </w:tcBorders>
            <w:shd w:val="clear" w:color="auto" w:fill="FFFFFF"/>
            <w:vAlign w:val="center"/>
          </w:tcPr>
          <w:p w14:paraId="5C89CC9F" w14:textId="77777777" w:rsidR="001C08A5" w:rsidRDefault="00000000">
            <w:pPr>
              <w:jc w:val="center"/>
              <w:rPr>
                <w:b/>
                <w:bCs/>
                <w:i/>
                <w:iCs/>
                <w:sz w:val="22"/>
                <w:szCs w:val="22"/>
              </w:rPr>
            </w:pPr>
            <w:r>
              <w:rPr>
                <w:b/>
                <w:bCs/>
                <w:i/>
                <w:iCs/>
                <w:sz w:val="22"/>
                <w:szCs w:val="22"/>
              </w:rPr>
              <w:t>ЕІ 30</w:t>
            </w:r>
          </w:p>
        </w:tc>
        <w:tc>
          <w:tcPr>
            <w:tcW w:w="28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D7BE0C1" w14:textId="77777777" w:rsidR="001C08A5" w:rsidRDefault="00000000">
            <w:pPr>
              <w:jc w:val="center"/>
              <w:rPr>
                <w:b/>
                <w:bCs/>
                <w:i/>
                <w:iCs/>
                <w:sz w:val="22"/>
                <w:szCs w:val="22"/>
              </w:rPr>
            </w:pPr>
            <w:r>
              <w:rPr>
                <w:b/>
                <w:bCs/>
                <w:i/>
                <w:iCs/>
                <w:sz w:val="22"/>
                <w:szCs w:val="22"/>
              </w:rPr>
              <w:t>ЕІ 30</w:t>
            </w:r>
          </w:p>
        </w:tc>
      </w:tr>
      <w:tr w:rsidR="001C08A5" w14:paraId="240B31E8" w14:textId="77777777">
        <w:tc>
          <w:tcPr>
            <w:tcW w:w="444" w:type="dxa"/>
            <w:tcBorders>
              <w:top w:val="single" w:sz="4" w:space="0" w:color="000001"/>
              <w:left w:val="single" w:sz="4" w:space="0" w:color="000001"/>
              <w:bottom w:val="single" w:sz="4" w:space="0" w:color="000001"/>
            </w:tcBorders>
            <w:shd w:val="clear" w:color="auto" w:fill="FFFFFF"/>
          </w:tcPr>
          <w:p w14:paraId="76C05900" w14:textId="77777777" w:rsidR="001C08A5" w:rsidRDefault="001C08A5">
            <w:pPr>
              <w:pStyle w:val="ListParagraph"/>
              <w:numPr>
                <w:ilvl w:val="0"/>
                <w:numId w:val="53"/>
              </w:numPr>
              <w:ind w:left="113" w:firstLine="0"/>
              <w:jc w:val="center"/>
              <w:rPr>
                <w:i/>
                <w:iCs/>
                <w:sz w:val="22"/>
                <w:szCs w:val="22"/>
              </w:rPr>
            </w:pPr>
          </w:p>
        </w:tc>
        <w:tc>
          <w:tcPr>
            <w:tcW w:w="3533" w:type="dxa"/>
            <w:tcBorders>
              <w:top w:val="single" w:sz="4" w:space="0" w:color="000001"/>
              <w:left w:val="single" w:sz="4" w:space="0" w:color="000001"/>
              <w:bottom w:val="single" w:sz="4" w:space="0" w:color="000001"/>
            </w:tcBorders>
            <w:shd w:val="clear" w:color="auto" w:fill="FFFFFF"/>
          </w:tcPr>
          <w:p w14:paraId="4C234A43" w14:textId="77777777" w:rsidR="001C08A5" w:rsidRDefault="00000000">
            <w:pPr>
              <w:jc w:val="both"/>
              <w:rPr>
                <w:i/>
                <w:iCs/>
                <w:sz w:val="22"/>
                <w:szCs w:val="22"/>
              </w:rPr>
            </w:pPr>
            <w:r>
              <w:rPr>
                <w:i/>
                <w:iCs/>
                <w:sz w:val="22"/>
                <w:szCs w:val="22"/>
              </w:rPr>
              <w:t>Clădiri înalte fără sistem de stingere automată a incendiilor</w:t>
            </w:r>
          </w:p>
        </w:tc>
        <w:tc>
          <w:tcPr>
            <w:tcW w:w="2809" w:type="dxa"/>
            <w:tcBorders>
              <w:top w:val="single" w:sz="4" w:space="0" w:color="000001"/>
              <w:left w:val="single" w:sz="4" w:space="0" w:color="000001"/>
              <w:bottom w:val="single" w:sz="4" w:space="0" w:color="000001"/>
            </w:tcBorders>
            <w:shd w:val="clear" w:color="auto" w:fill="FFFFFF"/>
            <w:vAlign w:val="center"/>
          </w:tcPr>
          <w:p w14:paraId="00E4D086" w14:textId="77777777" w:rsidR="001C08A5" w:rsidRDefault="00000000">
            <w:pPr>
              <w:jc w:val="center"/>
              <w:rPr>
                <w:b/>
                <w:bCs/>
                <w:i/>
                <w:iCs/>
                <w:sz w:val="22"/>
                <w:szCs w:val="22"/>
              </w:rPr>
            </w:pPr>
            <w:r>
              <w:rPr>
                <w:b/>
                <w:bCs/>
                <w:i/>
                <w:iCs/>
                <w:sz w:val="22"/>
                <w:szCs w:val="22"/>
              </w:rPr>
              <w:t>ЕІ 90</w:t>
            </w:r>
          </w:p>
        </w:tc>
        <w:tc>
          <w:tcPr>
            <w:tcW w:w="28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5205289" w14:textId="77777777" w:rsidR="001C08A5" w:rsidRDefault="00000000">
            <w:pPr>
              <w:jc w:val="center"/>
              <w:rPr>
                <w:b/>
                <w:bCs/>
                <w:i/>
                <w:iCs/>
                <w:sz w:val="22"/>
                <w:szCs w:val="22"/>
              </w:rPr>
            </w:pPr>
            <w:r>
              <w:rPr>
                <w:b/>
                <w:bCs/>
                <w:i/>
                <w:iCs/>
                <w:sz w:val="22"/>
                <w:szCs w:val="22"/>
              </w:rPr>
              <w:t>ЕІ 90</w:t>
            </w:r>
          </w:p>
        </w:tc>
      </w:tr>
      <w:tr w:rsidR="001C08A5" w14:paraId="67709006" w14:textId="77777777">
        <w:tc>
          <w:tcPr>
            <w:tcW w:w="444" w:type="dxa"/>
            <w:tcBorders>
              <w:top w:val="single" w:sz="4" w:space="0" w:color="000001"/>
              <w:left w:val="single" w:sz="4" w:space="0" w:color="000001"/>
              <w:bottom w:val="single" w:sz="4" w:space="0" w:color="000001"/>
            </w:tcBorders>
            <w:shd w:val="clear" w:color="auto" w:fill="FFFFFF"/>
          </w:tcPr>
          <w:p w14:paraId="5C8651F1" w14:textId="77777777" w:rsidR="001C08A5" w:rsidRDefault="001C08A5">
            <w:pPr>
              <w:pStyle w:val="ListParagraph"/>
              <w:numPr>
                <w:ilvl w:val="0"/>
                <w:numId w:val="53"/>
              </w:numPr>
              <w:ind w:left="113" w:firstLine="0"/>
              <w:jc w:val="center"/>
              <w:rPr>
                <w:i/>
                <w:iCs/>
                <w:sz w:val="22"/>
                <w:szCs w:val="22"/>
              </w:rPr>
            </w:pPr>
          </w:p>
        </w:tc>
        <w:tc>
          <w:tcPr>
            <w:tcW w:w="3533" w:type="dxa"/>
            <w:tcBorders>
              <w:top w:val="single" w:sz="4" w:space="0" w:color="000001"/>
              <w:left w:val="single" w:sz="4" w:space="0" w:color="000001"/>
              <w:bottom w:val="single" w:sz="4" w:space="0" w:color="000001"/>
            </w:tcBorders>
            <w:shd w:val="clear" w:color="auto" w:fill="FFFFFF"/>
          </w:tcPr>
          <w:p w14:paraId="28028164" w14:textId="77777777" w:rsidR="001C08A5" w:rsidRDefault="00000000">
            <w:pPr>
              <w:jc w:val="both"/>
              <w:rPr>
                <w:i/>
                <w:iCs/>
                <w:sz w:val="22"/>
                <w:szCs w:val="22"/>
              </w:rPr>
            </w:pPr>
            <w:r>
              <w:rPr>
                <w:i/>
                <w:iCs/>
                <w:sz w:val="22"/>
                <w:szCs w:val="22"/>
              </w:rPr>
              <w:t xml:space="preserve">Clădiri înalte echipate cu sistem automat de stingere a incendiilor  </w:t>
            </w:r>
          </w:p>
        </w:tc>
        <w:tc>
          <w:tcPr>
            <w:tcW w:w="2809" w:type="dxa"/>
            <w:tcBorders>
              <w:top w:val="single" w:sz="4" w:space="0" w:color="000001"/>
              <w:left w:val="single" w:sz="4" w:space="0" w:color="000001"/>
              <w:bottom w:val="single" w:sz="4" w:space="0" w:color="000001"/>
            </w:tcBorders>
            <w:shd w:val="clear" w:color="auto" w:fill="FFFFFF"/>
            <w:vAlign w:val="center"/>
          </w:tcPr>
          <w:p w14:paraId="032A8FF4" w14:textId="77777777" w:rsidR="001C08A5" w:rsidRDefault="00000000">
            <w:pPr>
              <w:jc w:val="center"/>
              <w:rPr>
                <w:b/>
                <w:bCs/>
                <w:i/>
                <w:iCs/>
                <w:sz w:val="22"/>
                <w:szCs w:val="22"/>
              </w:rPr>
            </w:pPr>
            <w:r>
              <w:rPr>
                <w:b/>
                <w:bCs/>
                <w:i/>
                <w:iCs/>
                <w:sz w:val="22"/>
                <w:szCs w:val="22"/>
              </w:rPr>
              <w:t>ЕІ 60</w:t>
            </w:r>
          </w:p>
        </w:tc>
        <w:tc>
          <w:tcPr>
            <w:tcW w:w="28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2E14714" w14:textId="77777777" w:rsidR="001C08A5" w:rsidRDefault="00000000">
            <w:pPr>
              <w:jc w:val="center"/>
              <w:rPr>
                <w:b/>
                <w:bCs/>
                <w:i/>
                <w:iCs/>
                <w:sz w:val="22"/>
                <w:szCs w:val="22"/>
              </w:rPr>
            </w:pPr>
            <w:r>
              <w:rPr>
                <w:b/>
                <w:bCs/>
                <w:i/>
                <w:iCs/>
                <w:sz w:val="22"/>
                <w:szCs w:val="22"/>
              </w:rPr>
              <w:t>ЕІ 60</w:t>
            </w:r>
          </w:p>
        </w:tc>
      </w:tr>
      <w:tr w:rsidR="001C08A5" w14:paraId="7ECB77A6" w14:textId="77777777">
        <w:tc>
          <w:tcPr>
            <w:tcW w:w="444" w:type="dxa"/>
            <w:tcBorders>
              <w:top w:val="single" w:sz="4" w:space="0" w:color="000001"/>
              <w:left w:val="single" w:sz="4" w:space="0" w:color="000001"/>
              <w:bottom w:val="single" w:sz="4" w:space="0" w:color="000001"/>
            </w:tcBorders>
            <w:shd w:val="clear" w:color="auto" w:fill="FFFFFF"/>
          </w:tcPr>
          <w:p w14:paraId="64522B24" w14:textId="77777777" w:rsidR="001C08A5" w:rsidRDefault="001C08A5">
            <w:pPr>
              <w:pStyle w:val="ListParagraph"/>
              <w:numPr>
                <w:ilvl w:val="0"/>
                <w:numId w:val="53"/>
              </w:numPr>
              <w:ind w:left="113" w:firstLine="0"/>
              <w:jc w:val="center"/>
              <w:rPr>
                <w:i/>
                <w:iCs/>
                <w:sz w:val="22"/>
                <w:szCs w:val="22"/>
              </w:rPr>
            </w:pPr>
          </w:p>
        </w:tc>
        <w:tc>
          <w:tcPr>
            <w:tcW w:w="3533" w:type="dxa"/>
            <w:tcBorders>
              <w:top w:val="single" w:sz="4" w:space="0" w:color="000001"/>
              <w:left w:val="single" w:sz="4" w:space="0" w:color="000001"/>
              <w:bottom w:val="single" w:sz="4" w:space="0" w:color="000001"/>
            </w:tcBorders>
            <w:shd w:val="clear" w:color="auto" w:fill="FFFFFF"/>
          </w:tcPr>
          <w:p w14:paraId="3F4DF2AC" w14:textId="77777777" w:rsidR="001C08A5" w:rsidRDefault="00000000">
            <w:pPr>
              <w:jc w:val="both"/>
              <w:rPr>
                <w:i/>
                <w:iCs/>
                <w:sz w:val="22"/>
                <w:szCs w:val="22"/>
              </w:rPr>
            </w:pPr>
            <w:r>
              <w:rPr>
                <w:i/>
                <w:iCs/>
                <w:sz w:val="22"/>
                <w:szCs w:val="22"/>
              </w:rPr>
              <w:t>Clădiri foarte înalte</w:t>
            </w:r>
          </w:p>
        </w:tc>
        <w:tc>
          <w:tcPr>
            <w:tcW w:w="2809" w:type="dxa"/>
            <w:tcBorders>
              <w:top w:val="single" w:sz="4" w:space="0" w:color="000001"/>
              <w:left w:val="single" w:sz="4" w:space="0" w:color="000001"/>
              <w:bottom w:val="single" w:sz="4" w:space="0" w:color="000001"/>
            </w:tcBorders>
            <w:shd w:val="clear" w:color="auto" w:fill="FFFFFF"/>
            <w:vAlign w:val="center"/>
          </w:tcPr>
          <w:p w14:paraId="2C638E39" w14:textId="77777777" w:rsidR="001C08A5" w:rsidRDefault="00000000">
            <w:pPr>
              <w:jc w:val="center"/>
              <w:rPr>
                <w:b/>
                <w:bCs/>
                <w:i/>
                <w:iCs/>
                <w:sz w:val="22"/>
                <w:szCs w:val="22"/>
              </w:rPr>
            </w:pPr>
            <w:r>
              <w:rPr>
                <w:b/>
                <w:bCs/>
                <w:i/>
                <w:iCs/>
                <w:sz w:val="22"/>
                <w:szCs w:val="22"/>
              </w:rPr>
              <w:t>ЕІ 90 (h&lt; 75 m)</w:t>
            </w:r>
          </w:p>
          <w:p w14:paraId="0253DD1A" w14:textId="77777777" w:rsidR="001C08A5" w:rsidRDefault="00000000">
            <w:pPr>
              <w:jc w:val="center"/>
              <w:rPr>
                <w:b/>
                <w:bCs/>
                <w:i/>
                <w:iCs/>
                <w:sz w:val="22"/>
                <w:szCs w:val="22"/>
              </w:rPr>
            </w:pPr>
            <w:r>
              <w:rPr>
                <w:b/>
                <w:bCs/>
                <w:i/>
                <w:iCs/>
                <w:sz w:val="22"/>
                <w:szCs w:val="22"/>
              </w:rPr>
              <w:t xml:space="preserve">ЕІ 120 </w:t>
            </w:r>
            <w:r>
              <w:rPr>
                <w:rFonts w:hint="eastAsia"/>
                <w:b/>
                <w:bCs/>
                <w:i/>
                <w:iCs/>
                <w:sz w:val="22"/>
                <w:szCs w:val="22"/>
              </w:rPr>
              <w:t>(h</w:t>
            </w:r>
            <w:r>
              <w:rPr>
                <w:rFonts w:hint="eastAsia"/>
                <w:b/>
                <w:bCs/>
                <w:i/>
                <w:iCs/>
                <w:sz w:val="22"/>
                <w:szCs w:val="22"/>
              </w:rPr>
              <w:t>≥</w:t>
            </w:r>
            <w:r>
              <w:rPr>
                <w:b/>
                <w:bCs/>
                <w:i/>
                <w:iCs/>
                <w:sz w:val="22"/>
                <w:szCs w:val="22"/>
              </w:rPr>
              <w:t xml:space="preserve"> 75m)</w:t>
            </w:r>
          </w:p>
        </w:tc>
        <w:tc>
          <w:tcPr>
            <w:tcW w:w="28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655F15B" w14:textId="77777777" w:rsidR="001C08A5" w:rsidRDefault="00000000">
            <w:pPr>
              <w:jc w:val="center"/>
              <w:rPr>
                <w:b/>
                <w:bCs/>
                <w:i/>
                <w:iCs/>
                <w:sz w:val="22"/>
                <w:szCs w:val="22"/>
              </w:rPr>
            </w:pPr>
            <w:r>
              <w:rPr>
                <w:b/>
                <w:bCs/>
                <w:i/>
                <w:iCs/>
                <w:sz w:val="22"/>
                <w:szCs w:val="22"/>
              </w:rPr>
              <w:t>ЕІ 90 (h&lt; 75 m)</w:t>
            </w:r>
          </w:p>
          <w:p w14:paraId="0A1911C5" w14:textId="77777777" w:rsidR="001C08A5" w:rsidRDefault="00000000">
            <w:pPr>
              <w:jc w:val="center"/>
              <w:rPr>
                <w:b/>
                <w:bCs/>
                <w:i/>
                <w:iCs/>
                <w:sz w:val="22"/>
                <w:szCs w:val="22"/>
              </w:rPr>
            </w:pPr>
            <w:r>
              <w:rPr>
                <w:b/>
                <w:bCs/>
                <w:i/>
                <w:iCs/>
                <w:sz w:val="22"/>
                <w:szCs w:val="22"/>
              </w:rPr>
              <w:t xml:space="preserve">ЕІ 120 </w:t>
            </w:r>
            <w:r>
              <w:rPr>
                <w:rFonts w:hint="eastAsia"/>
                <w:b/>
                <w:bCs/>
                <w:i/>
                <w:iCs/>
                <w:sz w:val="22"/>
                <w:szCs w:val="22"/>
              </w:rPr>
              <w:t>(h</w:t>
            </w:r>
            <w:r>
              <w:rPr>
                <w:rFonts w:hint="eastAsia"/>
                <w:b/>
                <w:bCs/>
                <w:i/>
                <w:iCs/>
                <w:sz w:val="22"/>
                <w:szCs w:val="22"/>
              </w:rPr>
              <w:t>≥</w:t>
            </w:r>
            <w:r>
              <w:rPr>
                <w:b/>
                <w:bCs/>
                <w:i/>
                <w:iCs/>
                <w:sz w:val="22"/>
                <w:szCs w:val="22"/>
              </w:rPr>
              <w:t xml:space="preserve"> 75 m)</w:t>
            </w:r>
          </w:p>
        </w:tc>
      </w:tr>
    </w:tbl>
    <w:p w14:paraId="5EBA0746" w14:textId="77777777" w:rsidR="001C08A5" w:rsidRDefault="00000000">
      <w:pPr>
        <w:jc w:val="both"/>
        <w:rPr>
          <w:i/>
          <w:iCs/>
          <w:sz w:val="22"/>
          <w:szCs w:val="22"/>
        </w:rPr>
      </w:pPr>
      <w:r>
        <w:rPr>
          <w:b/>
          <w:i/>
          <w:iCs/>
          <w:sz w:val="22"/>
          <w:szCs w:val="22"/>
          <w:u w:val="single"/>
        </w:rPr>
        <w:t>Notă</w:t>
      </w:r>
      <w:r>
        <w:rPr>
          <w:bCs/>
          <w:i/>
          <w:iCs/>
          <w:sz w:val="22"/>
          <w:szCs w:val="22"/>
        </w:rPr>
        <w:t xml:space="preserve">: Clasa minimă de reacție la foc a elementelor verticale și/sau orizontale despărțitoare este </w:t>
      </w:r>
      <w:r>
        <w:rPr>
          <w:b/>
          <w:bCs/>
          <w:i/>
          <w:iCs/>
          <w:sz w:val="22"/>
          <w:szCs w:val="22"/>
        </w:rPr>
        <w:t xml:space="preserve">minimum А2s1d0 </w:t>
      </w:r>
      <w:r>
        <w:rPr>
          <w:i/>
          <w:iCs/>
          <w:sz w:val="22"/>
          <w:szCs w:val="22"/>
        </w:rPr>
        <w:t xml:space="preserve">la nivelul </w:t>
      </w:r>
      <w:r>
        <w:rPr>
          <w:b/>
          <w:bCs/>
          <w:i/>
          <w:iCs/>
          <w:sz w:val="22"/>
          <w:szCs w:val="22"/>
        </w:rPr>
        <w:t xml:space="preserve">I </w:t>
      </w:r>
      <w:r>
        <w:rPr>
          <w:i/>
          <w:iCs/>
          <w:sz w:val="22"/>
          <w:szCs w:val="22"/>
        </w:rPr>
        <w:t>de stabilitate la incendiu.</w:t>
      </w:r>
    </w:p>
    <w:p w14:paraId="21B5FEE5" w14:textId="77777777" w:rsidR="001C08A5" w:rsidRDefault="00000000">
      <w:pPr>
        <w:rPr>
          <w:bCs/>
          <w:i/>
          <w:sz w:val="22"/>
          <w:szCs w:val="22"/>
        </w:rPr>
      </w:pPr>
      <w:r>
        <w:rPr>
          <w:b/>
          <w:i/>
          <w:sz w:val="22"/>
          <w:szCs w:val="22"/>
        </w:rPr>
        <w:t>”h”</w:t>
      </w:r>
      <w:r>
        <w:rPr>
          <w:bCs/>
          <w:i/>
          <w:sz w:val="22"/>
          <w:szCs w:val="22"/>
        </w:rPr>
        <w:t xml:space="preserve">= cota ultimului planșeu accesibil/folosibil al </w:t>
      </w:r>
      <w:r>
        <w:rPr>
          <w:i/>
          <w:iCs/>
          <w:sz w:val="22"/>
          <w:szCs w:val="22"/>
        </w:rPr>
        <w:t>construcției, față de nivelul de referință</w:t>
      </w:r>
    </w:p>
    <w:p w14:paraId="5E005156" w14:textId="77777777" w:rsidR="001C08A5" w:rsidRDefault="001C08A5">
      <w:pPr>
        <w:jc w:val="both"/>
        <w:rPr>
          <w:b/>
          <w:i/>
          <w:iCs/>
          <w:sz w:val="24"/>
          <w:szCs w:val="24"/>
        </w:rPr>
      </w:pPr>
    </w:p>
    <w:p w14:paraId="4D3D2848" w14:textId="77777777" w:rsidR="001C08A5" w:rsidRDefault="00000000">
      <w:pPr>
        <w:pStyle w:val="Heading4"/>
        <w:rPr>
          <w:rFonts w:cs="Times New Roman"/>
          <w:sz w:val="24"/>
          <w:szCs w:val="24"/>
        </w:rPr>
      </w:pPr>
      <w:bookmarkStart w:id="1838" w:name="_Toc162355234"/>
      <w:bookmarkStart w:id="1839" w:name="_Toc14669"/>
      <w:bookmarkStart w:id="1840" w:name="_Toc23105"/>
      <w:bookmarkStart w:id="1841" w:name="_Toc8324"/>
      <w:bookmarkStart w:id="1842" w:name="_Toc18346"/>
      <w:bookmarkStart w:id="1843" w:name="_Toc8475"/>
      <w:bookmarkStart w:id="1844" w:name="_Toc9979"/>
      <w:bookmarkStart w:id="1845" w:name="_Toc30957"/>
      <w:r>
        <w:t>2.4.8.  Dispoziţii privind alcatuiri constructive  specifice limitării propagării incendiului pe acoperiş</w:t>
      </w:r>
      <w:bookmarkEnd w:id="1838"/>
      <w:bookmarkEnd w:id="1839"/>
      <w:bookmarkEnd w:id="1840"/>
      <w:bookmarkEnd w:id="1841"/>
      <w:bookmarkEnd w:id="1842"/>
      <w:bookmarkEnd w:id="1843"/>
      <w:bookmarkEnd w:id="1844"/>
      <w:bookmarkEnd w:id="1845"/>
    </w:p>
    <w:p w14:paraId="3E3F3C68" w14:textId="77777777" w:rsidR="001C08A5" w:rsidRDefault="00000000">
      <w:pPr>
        <w:pStyle w:val="Heading5"/>
        <w:rPr>
          <w:lang w:val="ro-RO"/>
        </w:rPr>
      </w:pPr>
      <w:bookmarkStart w:id="1846" w:name="_Toc1352"/>
      <w:bookmarkStart w:id="1847" w:name="_Toc17932"/>
      <w:bookmarkStart w:id="1848" w:name="_Toc10193"/>
      <w:bookmarkStart w:id="1849" w:name="_Toc11931"/>
      <w:bookmarkStart w:id="1850" w:name="_Toc17162"/>
      <w:bookmarkStart w:id="1851" w:name="_Toc24955"/>
      <w:bookmarkStart w:id="1852" w:name="_Toc162355235"/>
      <w:bookmarkStart w:id="1853" w:name="_Toc19199"/>
      <w:r>
        <w:rPr>
          <w:lang w:val="ro-RO"/>
        </w:rPr>
        <w:t>2.4.8.1.  Acoperişuri fără pod</w:t>
      </w:r>
      <w:bookmarkEnd w:id="1846"/>
      <w:bookmarkEnd w:id="1847"/>
      <w:bookmarkEnd w:id="1848"/>
      <w:bookmarkEnd w:id="1849"/>
      <w:bookmarkEnd w:id="1850"/>
      <w:bookmarkEnd w:id="1851"/>
      <w:bookmarkEnd w:id="1852"/>
      <w:bookmarkEnd w:id="1853"/>
    </w:p>
    <w:p w14:paraId="1AFD2AFD" w14:textId="77777777" w:rsidR="001C08A5" w:rsidRDefault="001C08A5">
      <w:pPr>
        <w:jc w:val="both"/>
        <w:rPr>
          <w:sz w:val="24"/>
          <w:szCs w:val="24"/>
        </w:rPr>
      </w:pPr>
    </w:p>
    <w:p w14:paraId="7D66F124" w14:textId="77777777" w:rsidR="001C08A5" w:rsidRDefault="00000000">
      <w:pPr>
        <w:jc w:val="both"/>
        <w:rPr>
          <w:sz w:val="24"/>
          <w:szCs w:val="24"/>
        </w:rPr>
      </w:pPr>
      <w:r>
        <w:rPr>
          <w:sz w:val="24"/>
          <w:szCs w:val="24"/>
        </w:rPr>
        <w:tab/>
      </w:r>
      <w:r>
        <w:rPr>
          <w:b/>
          <w:sz w:val="24"/>
          <w:szCs w:val="24"/>
        </w:rPr>
        <w:t xml:space="preserve">Art. 2.4.8.1.1. </w:t>
      </w:r>
      <w:r>
        <w:rPr>
          <w:b/>
          <w:bCs/>
          <w:sz w:val="24"/>
          <w:szCs w:val="24"/>
        </w:rPr>
        <w:t>(1)</w:t>
      </w:r>
      <w:r>
        <w:rPr>
          <w:sz w:val="24"/>
          <w:szCs w:val="24"/>
        </w:rPr>
        <w:t xml:space="preserve"> Acoperişurile fără pod se realizează din produse de construcţie corespunzătoare prevederilor normativului referitoare la asigurarea nivelului de stabilitate la incendiu al construcţiei, în conformitate cu prevederile </w:t>
      </w:r>
      <w:r>
        <w:rPr>
          <w:b/>
          <w:sz w:val="24"/>
          <w:szCs w:val="24"/>
        </w:rPr>
        <w:t>Art.2.1.3.2.</w:t>
      </w:r>
      <w:r>
        <w:rPr>
          <w:sz w:val="24"/>
          <w:szCs w:val="24"/>
        </w:rPr>
        <w:t xml:space="preserve"> şi cele din </w:t>
      </w:r>
      <w:r>
        <w:rPr>
          <w:rStyle w:val="NORMALBOLDTABELE"/>
          <w:bCs/>
          <w:iCs/>
          <w:szCs w:val="24"/>
        </w:rPr>
        <w:fldChar w:fldCharType="begin"/>
      </w:r>
      <w:r>
        <w:rPr>
          <w:rStyle w:val="NORMALBOLDTABELE"/>
          <w:bCs/>
          <w:iCs/>
          <w:szCs w:val="24"/>
        </w:rPr>
        <w:instrText xml:space="preserve"> REF _Ref26473 \h </w:instrText>
      </w:r>
      <w:r>
        <w:rPr>
          <w:rStyle w:val="NORMALBOLDTABELE"/>
          <w:bCs/>
          <w:iCs/>
          <w:szCs w:val="24"/>
        </w:rPr>
      </w:r>
      <w:r>
        <w:rPr>
          <w:rStyle w:val="NORMALBOLDTABELE"/>
          <w:bCs/>
          <w:iCs/>
          <w:szCs w:val="24"/>
        </w:rPr>
        <w:fldChar w:fldCharType="separate"/>
      </w:r>
      <w:r>
        <w:t>Tabelul 2</w:t>
      </w:r>
      <w:r>
        <w:rPr>
          <w:rStyle w:val="NORMALBOLDTABELE"/>
          <w:bCs/>
          <w:iCs/>
          <w:szCs w:val="24"/>
        </w:rPr>
        <w:fldChar w:fldCharType="end"/>
      </w:r>
      <w:r>
        <w:rPr>
          <w:b/>
          <w:sz w:val="24"/>
          <w:szCs w:val="24"/>
        </w:rPr>
        <w:t xml:space="preserve"> </w:t>
      </w:r>
      <w:r>
        <w:rPr>
          <w:bCs/>
          <w:sz w:val="24"/>
          <w:szCs w:val="24"/>
        </w:rPr>
        <w:t>și</w:t>
      </w:r>
      <w:r>
        <w:rPr>
          <w:b/>
          <w:sz w:val="24"/>
          <w:szCs w:val="24"/>
        </w:rPr>
        <w:t xml:space="preserve"> </w:t>
      </w:r>
      <w:r>
        <w:rPr>
          <w:b/>
          <w:bCs/>
          <w:i/>
          <w:iCs/>
          <w:sz w:val="24"/>
          <w:szCs w:val="24"/>
        </w:rPr>
        <w:fldChar w:fldCharType="begin"/>
      </w:r>
      <w:r>
        <w:rPr>
          <w:b/>
          <w:bCs/>
          <w:i/>
          <w:iCs/>
          <w:sz w:val="24"/>
          <w:szCs w:val="24"/>
        </w:rPr>
        <w:instrText xml:space="preserve"> REF _Ref11612 \h </w:instrText>
      </w:r>
      <w:r>
        <w:rPr>
          <w:b/>
          <w:bCs/>
          <w:i/>
          <w:iCs/>
          <w:sz w:val="24"/>
          <w:szCs w:val="24"/>
        </w:rPr>
      </w:r>
      <w:r>
        <w:rPr>
          <w:b/>
          <w:bCs/>
          <w:i/>
          <w:iCs/>
          <w:sz w:val="24"/>
          <w:szCs w:val="24"/>
        </w:rPr>
        <w:fldChar w:fldCharType="separate"/>
      </w:r>
      <w:r>
        <w:t>Tabelul 3</w:t>
      </w:r>
      <w:r>
        <w:rPr>
          <w:b/>
          <w:bCs/>
          <w:i/>
          <w:iCs/>
          <w:sz w:val="24"/>
          <w:szCs w:val="24"/>
        </w:rPr>
        <w:fldChar w:fldCharType="end"/>
      </w:r>
      <w:r>
        <w:rPr>
          <w:b/>
          <w:sz w:val="24"/>
          <w:szCs w:val="24"/>
        </w:rPr>
        <w:t xml:space="preserve"> </w:t>
      </w:r>
      <w:r>
        <w:rPr>
          <w:sz w:val="24"/>
          <w:szCs w:val="24"/>
        </w:rPr>
        <w:t>din normativ.</w:t>
      </w:r>
    </w:p>
    <w:p w14:paraId="713DEBFC" w14:textId="77777777" w:rsidR="001C08A5" w:rsidRDefault="00000000">
      <w:pPr>
        <w:ind w:firstLine="720"/>
        <w:jc w:val="both"/>
        <w:rPr>
          <w:sz w:val="24"/>
          <w:szCs w:val="24"/>
        </w:rPr>
      </w:pPr>
      <w:r>
        <w:rPr>
          <w:b/>
          <w:bCs/>
          <w:sz w:val="24"/>
          <w:szCs w:val="24"/>
        </w:rPr>
        <w:t>(2)</w:t>
      </w:r>
      <w:r>
        <w:rPr>
          <w:sz w:val="24"/>
          <w:szCs w:val="24"/>
        </w:rPr>
        <w:t xml:space="preserve"> Continuitatea componentelor combustibile ale acoperişurilor fără pod, trebuie întreruptă cel puţin în dreptul rosturilor de tasare-dilatare sau seismice ale construcţiei, astfel încât să fie limitată propagarea arderii. Întreruperea continuităţii se realizează prin fâşii continue din materiale clasa de reacţie la foc </w:t>
      </w:r>
      <w:r>
        <w:rPr>
          <w:b/>
          <w:sz w:val="24"/>
          <w:szCs w:val="24"/>
        </w:rPr>
        <w:t>A1</w:t>
      </w:r>
      <w:r>
        <w:rPr>
          <w:sz w:val="24"/>
          <w:szCs w:val="24"/>
        </w:rPr>
        <w:t xml:space="preserve"> sau </w:t>
      </w:r>
      <w:r>
        <w:rPr>
          <w:b/>
          <w:sz w:val="24"/>
          <w:szCs w:val="24"/>
        </w:rPr>
        <w:t xml:space="preserve">A2-s1d0 </w:t>
      </w:r>
      <w:r>
        <w:rPr>
          <w:sz w:val="24"/>
          <w:szCs w:val="24"/>
        </w:rPr>
        <w:t xml:space="preserve">cu lăţimea de minimum </w:t>
      </w:r>
      <w:r>
        <w:rPr>
          <w:b/>
          <w:bCs/>
          <w:sz w:val="24"/>
          <w:szCs w:val="24"/>
        </w:rPr>
        <w:t>1 m</w:t>
      </w:r>
      <w:r>
        <w:rPr>
          <w:sz w:val="24"/>
          <w:szCs w:val="24"/>
        </w:rPr>
        <w:t xml:space="preserve"> sau se asigură măsuri de protecţie a componentelor combustibile ale acoperişurilor pe lăţimea normată a fâşiei de întrerupere.</w:t>
      </w:r>
    </w:p>
    <w:p w14:paraId="6F9310C4" w14:textId="77777777" w:rsidR="001C08A5" w:rsidRDefault="00000000">
      <w:pPr>
        <w:pStyle w:val="Heading5"/>
        <w:rPr>
          <w:lang w:val="ro-RO"/>
        </w:rPr>
      </w:pPr>
      <w:bookmarkStart w:id="1854" w:name="_Toc2085"/>
      <w:bookmarkStart w:id="1855" w:name="_Toc16706"/>
      <w:bookmarkStart w:id="1856" w:name="_Toc28556"/>
      <w:bookmarkStart w:id="1857" w:name="_Toc13927"/>
      <w:bookmarkStart w:id="1858" w:name="_Toc162355236"/>
      <w:bookmarkStart w:id="1859" w:name="_Toc10663"/>
      <w:bookmarkStart w:id="1860" w:name="_Toc18895"/>
      <w:bookmarkStart w:id="1861" w:name="_Toc8983"/>
      <w:r>
        <w:rPr>
          <w:lang w:val="ro-RO"/>
        </w:rPr>
        <w:t>2.4.8.2.  Acoperişuri verzi</w:t>
      </w:r>
      <w:bookmarkEnd w:id="1854"/>
      <w:bookmarkEnd w:id="1855"/>
      <w:bookmarkEnd w:id="1856"/>
      <w:bookmarkEnd w:id="1857"/>
      <w:bookmarkEnd w:id="1858"/>
      <w:bookmarkEnd w:id="1859"/>
      <w:bookmarkEnd w:id="1860"/>
      <w:bookmarkEnd w:id="1861"/>
    </w:p>
    <w:p w14:paraId="77F71088" w14:textId="77777777" w:rsidR="001C08A5" w:rsidRDefault="001C08A5">
      <w:pPr>
        <w:jc w:val="both"/>
        <w:rPr>
          <w:b/>
          <w:sz w:val="24"/>
          <w:szCs w:val="24"/>
        </w:rPr>
      </w:pPr>
    </w:p>
    <w:p w14:paraId="5C422FCF" w14:textId="77777777" w:rsidR="001C08A5" w:rsidRDefault="00000000">
      <w:pPr>
        <w:ind w:firstLine="720"/>
        <w:jc w:val="both"/>
        <w:rPr>
          <w:sz w:val="24"/>
          <w:szCs w:val="24"/>
        </w:rPr>
      </w:pPr>
      <w:r>
        <w:rPr>
          <w:b/>
          <w:sz w:val="24"/>
          <w:szCs w:val="24"/>
        </w:rPr>
        <w:t xml:space="preserve">Art. 2.4.8.2.1. (1) </w:t>
      </w:r>
      <w:r>
        <w:rPr>
          <w:sz w:val="24"/>
          <w:szCs w:val="24"/>
        </w:rPr>
        <w:t>La acoperişurile verzi se va asigura:</w:t>
      </w:r>
    </w:p>
    <w:p w14:paraId="72310285" w14:textId="77777777" w:rsidR="001C08A5" w:rsidRDefault="00000000">
      <w:pPr>
        <w:ind w:left="1440" w:firstLine="720"/>
        <w:jc w:val="both"/>
        <w:rPr>
          <w:sz w:val="24"/>
          <w:szCs w:val="24"/>
        </w:rPr>
      </w:pPr>
      <w:r>
        <w:rPr>
          <w:b/>
          <w:sz w:val="24"/>
          <w:szCs w:val="24"/>
        </w:rPr>
        <w:t xml:space="preserve">a) </w:t>
      </w:r>
      <w:r>
        <w:rPr>
          <w:sz w:val="24"/>
          <w:szCs w:val="24"/>
        </w:rPr>
        <w:t>grosimea minimă și alcătuirea substratului pentru vegetaţie;</w:t>
      </w:r>
    </w:p>
    <w:p w14:paraId="5D3A9EDA" w14:textId="77777777" w:rsidR="001C08A5" w:rsidRDefault="00000000">
      <w:pPr>
        <w:ind w:left="1440" w:firstLine="720"/>
        <w:jc w:val="both"/>
        <w:rPr>
          <w:sz w:val="24"/>
          <w:szCs w:val="24"/>
        </w:rPr>
      </w:pPr>
      <w:r>
        <w:rPr>
          <w:b/>
          <w:sz w:val="24"/>
          <w:szCs w:val="24"/>
        </w:rPr>
        <w:t xml:space="preserve">b) </w:t>
      </w:r>
      <w:r>
        <w:rPr>
          <w:sz w:val="24"/>
          <w:szCs w:val="24"/>
        </w:rPr>
        <w:t>utilizarea tipurilor de plante care nu prezintă risc de incendiu;</w:t>
      </w:r>
    </w:p>
    <w:p w14:paraId="2CECF8D3" w14:textId="77777777" w:rsidR="001C08A5" w:rsidRDefault="00000000">
      <w:pPr>
        <w:ind w:left="1440" w:firstLine="720"/>
        <w:jc w:val="both"/>
        <w:rPr>
          <w:sz w:val="24"/>
          <w:szCs w:val="24"/>
        </w:rPr>
      </w:pPr>
      <w:r>
        <w:rPr>
          <w:b/>
          <w:sz w:val="24"/>
          <w:szCs w:val="24"/>
        </w:rPr>
        <w:t xml:space="preserve">c) </w:t>
      </w:r>
      <w:r>
        <w:rPr>
          <w:sz w:val="24"/>
          <w:szCs w:val="24"/>
        </w:rPr>
        <w:t xml:space="preserve">prevederea unor fâşii perimetrale continui de minimum </w:t>
      </w:r>
      <w:r>
        <w:rPr>
          <w:b/>
          <w:bCs/>
          <w:sz w:val="24"/>
          <w:szCs w:val="24"/>
        </w:rPr>
        <w:t>50 cm</w:t>
      </w:r>
      <w:r>
        <w:rPr>
          <w:sz w:val="24"/>
          <w:szCs w:val="24"/>
        </w:rPr>
        <w:t xml:space="preserve"> lăţime, între zona de vegetaţie şi marginea învelitorii, atice, balustrade, luminatoare, străpungeri etc., executate din produse/materiale clasa de reacţie la foc </w:t>
      </w:r>
      <w:r>
        <w:rPr>
          <w:b/>
          <w:sz w:val="24"/>
          <w:szCs w:val="24"/>
        </w:rPr>
        <w:t xml:space="preserve">A1 </w:t>
      </w:r>
      <w:r>
        <w:rPr>
          <w:sz w:val="24"/>
          <w:szCs w:val="24"/>
        </w:rPr>
        <w:t xml:space="preserve">sau </w:t>
      </w:r>
      <w:r>
        <w:rPr>
          <w:b/>
          <w:sz w:val="24"/>
          <w:szCs w:val="24"/>
        </w:rPr>
        <w:t>A2-s1d0</w:t>
      </w:r>
      <w:r>
        <w:rPr>
          <w:sz w:val="24"/>
          <w:szCs w:val="24"/>
        </w:rPr>
        <w:t>;</w:t>
      </w:r>
    </w:p>
    <w:p w14:paraId="1A127226" w14:textId="77777777" w:rsidR="001C08A5" w:rsidRDefault="00000000">
      <w:pPr>
        <w:ind w:left="1440" w:firstLine="720"/>
        <w:jc w:val="both"/>
        <w:rPr>
          <w:sz w:val="24"/>
          <w:szCs w:val="24"/>
        </w:rPr>
      </w:pPr>
      <w:r>
        <w:rPr>
          <w:b/>
          <w:sz w:val="24"/>
          <w:szCs w:val="24"/>
        </w:rPr>
        <w:t xml:space="preserve">d) </w:t>
      </w:r>
      <w:r>
        <w:rPr>
          <w:sz w:val="24"/>
          <w:szCs w:val="24"/>
        </w:rPr>
        <w:t xml:space="preserve">realizarea  unor bariere cu înălţimea de cel puţin </w:t>
      </w:r>
      <w:r>
        <w:rPr>
          <w:b/>
          <w:bCs/>
          <w:sz w:val="24"/>
          <w:szCs w:val="24"/>
        </w:rPr>
        <w:t>30</w:t>
      </w:r>
      <w:r>
        <w:rPr>
          <w:sz w:val="24"/>
          <w:szCs w:val="24"/>
        </w:rPr>
        <w:t xml:space="preserve"> cm la un interval de cel mult </w:t>
      </w:r>
      <w:r>
        <w:rPr>
          <w:b/>
          <w:bCs/>
          <w:sz w:val="24"/>
          <w:szCs w:val="24"/>
        </w:rPr>
        <w:t>40</w:t>
      </w:r>
      <w:r>
        <w:rPr>
          <w:sz w:val="24"/>
          <w:szCs w:val="24"/>
        </w:rPr>
        <w:t xml:space="preserve"> m, executate din materiale clasa de reacţie la foc </w:t>
      </w:r>
      <w:r>
        <w:rPr>
          <w:b/>
          <w:sz w:val="24"/>
          <w:szCs w:val="24"/>
        </w:rPr>
        <w:t>A1</w:t>
      </w:r>
      <w:r>
        <w:rPr>
          <w:sz w:val="24"/>
          <w:szCs w:val="24"/>
        </w:rPr>
        <w:t xml:space="preserve"> sau </w:t>
      </w:r>
      <w:r>
        <w:rPr>
          <w:b/>
          <w:sz w:val="24"/>
          <w:szCs w:val="24"/>
        </w:rPr>
        <w:t>A2-s1d0</w:t>
      </w:r>
      <w:r>
        <w:rPr>
          <w:sz w:val="24"/>
          <w:szCs w:val="24"/>
        </w:rPr>
        <w:t xml:space="preserve"> de cel puţin </w:t>
      </w:r>
      <w:r>
        <w:rPr>
          <w:b/>
          <w:sz w:val="24"/>
          <w:szCs w:val="24"/>
        </w:rPr>
        <w:t>1 m</w:t>
      </w:r>
      <w:r>
        <w:rPr>
          <w:sz w:val="24"/>
          <w:szCs w:val="24"/>
        </w:rPr>
        <w:t xml:space="preserve"> lăţime sau, alternativ, realizarea unor fâşii orizontale continui de protecție de minimum </w:t>
      </w:r>
      <w:r>
        <w:rPr>
          <w:b/>
          <w:bCs/>
          <w:sz w:val="24"/>
          <w:szCs w:val="24"/>
        </w:rPr>
        <w:t>10 m</w:t>
      </w:r>
      <w:r>
        <w:rPr>
          <w:sz w:val="24"/>
          <w:szCs w:val="24"/>
        </w:rPr>
        <w:t xml:space="preserve"> lăţime pentru acoperișurile verzi extensive și de minimum </w:t>
      </w:r>
      <w:r>
        <w:rPr>
          <w:b/>
          <w:bCs/>
          <w:sz w:val="24"/>
          <w:szCs w:val="24"/>
        </w:rPr>
        <w:t>1 m</w:t>
      </w:r>
      <w:r>
        <w:rPr>
          <w:sz w:val="24"/>
          <w:szCs w:val="24"/>
        </w:rPr>
        <w:t xml:space="preserve"> lăţime pentru acoperișurile verzi intensive, la un interval de cel mult </w:t>
      </w:r>
      <w:r>
        <w:rPr>
          <w:b/>
          <w:bCs/>
          <w:sz w:val="24"/>
          <w:szCs w:val="24"/>
        </w:rPr>
        <w:t>40 m</w:t>
      </w:r>
      <w:r>
        <w:rPr>
          <w:sz w:val="24"/>
          <w:szCs w:val="24"/>
        </w:rPr>
        <w:t xml:space="preserve">, executate din materiale clasa de reacţie la foc </w:t>
      </w:r>
      <w:r>
        <w:rPr>
          <w:b/>
          <w:sz w:val="24"/>
          <w:szCs w:val="24"/>
        </w:rPr>
        <w:t>A1</w:t>
      </w:r>
      <w:r>
        <w:rPr>
          <w:sz w:val="24"/>
          <w:szCs w:val="24"/>
        </w:rPr>
        <w:t xml:space="preserve"> sau </w:t>
      </w:r>
      <w:r>
        <w:rPr>
          <w:b/>
          <w:sz w:val="24"/>
          <w:szCs w:val="24"/>
        </w:rPr>
        <w:t>A2-s1d0</w:t>
      </w:r>
      <w:r>
        <w:rPr>
          <w:sz w:val="24"/>
          <w:szCs w:val="24"/>
        </w:rPr>
        <w:t xml:space="preserve">, prevăzute între zonele de vegetaţie sau prevederea unei clase de performanță la foc exterior </w:t>
      </w:r>
      <w:r>
        <w:rPr>
          <w:b/>
          <w:bCs/>
          <w:sz w:val="24"/>
          <w:szCs w:val="24"/>
        </w:rPr>
        <w:t>B</w:t>
      </w:r>
      <w:r>
        <w:rPr>
          <w:b/>
          <w:bCs/>
          <w:sz w:val="24"/>
          <w:szCs w:val="24"/>
          <w:vertAlign w:val="subscript"/>
        </w:rPr>
        <w:t>(ROOF)</w:t>
      </w:r>
      <w:r>
        <w:rPr>
          <w:b/>
          <w:bCs/>
          <w:sz w:val="24"/>
          <w:szCs w:val="24"/>
        </w:rPr>
        <w:t>(T4)</w:t>
      </w:r>
      <w:r>
        <w:rPr>
          <w:sz w:val="24"/>
          <w:szCs w:val="24"/>
        </w:rPr>
        <w:t xml:space="preserve"> pentru acoperișuri / pentru fâşiile orizontale continui anterioare;</w:t>
      </w:r>
    </w:p>
    <w:p w14:paraId="50B1D7D2" w14:textId="77777777" w:rsidR="001C08A5" w:rsidRDefault="00000000">
      <w:pPr>
        <w:ind w:left="1440" w:firstLine="720"/>
        <w:jc w:val="both"/>
        <w:rPr>
          <w:sz w:val="24"/>
          <w:szCs w:val="24"/>
        </w:rPr>
      </w:pPr>
      <w:r>
        <w:rPr>
          <w:b/>
          <w:sz w:val="24"/>
          <w:szCs w:val="24"/>
        </w:rPr>
        <w:t xml:space="preserve">e) </w:t>
      </w:r>
      <w:r>
        <w:rPr>
          <w:sz w:val="24"/>
          <w:szCs w:val="24"/>
        </w:rPr>
        <w:t>întreruperea continuităţii componentelor combustibile ale acoperişurilor verzi cel puţin în dreptul rosturilor de tasare-dilatare sau seismice ale construcţiei, conform prevederilor din reglementarile tehnice specifice.</w:t>
      </w:r>
    </w:p>
    <w:p w14:paraId="51B18016" w14:textId="77777777" w:rsidR="001C08A5" w:rsidRDefault="00000000">
      <w:pPr>
        <w:pStyle w:val="NormalWeb"/>
        <w:spacing w:before="0" w:after="0"/>
        <w:ind w:firstLine="720"/>
        <w:jc w:val="both"/>
        <w:rPr>
          <w:sz w:val="22"/>
          <w:szCs w:val="22"/>
        </w:rPr>
      </w:pPr>
      <w:r>
        <w:rPr>
          <w:b/>
        </w:rPr>
        <w:t>(2)</w:t>
      </w:r>
      <w:r>
        <w:t xml:space="preserve"> Având în vedere faptul că cel puţin una din scările de evacuare din clădirile înalte și cel puţin două dintre scările de evacuare ale clădirii foarte înalte trebuie să aibă acces pe terasa peste ultimul nivel </w:t>
      </w:r>
      <w:r>
        <w:rPr>
          <w:iCs/>
        </w:rPr>
        <w:t>(</w:t>
      </w:r>
      <w:r>
        <w:t xml:space="preserve">care reprezintă refugiu pentru utilizatorii tipurilor de clădiri menţionate în eventualitatea unei situaţii excepţionale), spaţiul terasei verzi (grădină) din imediata vecinătate a </w:t>
      </w:r>
      <w:r>
        <w:lastRenderedPageBreak/>
        <w:t xml:space="preserve">scărilor care debuşează pe acoperiş (terasă), în suprafață de min </w:t>
      </w:r>
      <w:r>
        <w:rPr>
          <w:b/>
          <w:bCs/>
        </w:rPr>
        <w:t>20 m</w:t>
      </w:r>
      <w:r>
        <w:rPr>
          <w:b/>
          <w:bCs/>
          <w:vertAlign w:val="superscript"/>
        </w:rPr>
        <w:t>2</w:t>
      </w:r>
      <w:r>
        <w:rPr>
          <w:vertAlign w:val="superscript"/>
        </w:rPr>
        <w:t xml:space="preserve"> </w:t>
      </w:r>
      <w:r>
        <w:t xml:space="preserve">sau min </w:t>
      </w:r>
      <w:r>
        <w:rPr>
          <w:b/>
          <w:bCs/>
        </w:rPr>
        <w:t>1/5</w:t>
      </w:r>
      <w:r>
        <w:t xml:space="preserve"> din suprafața acoperișului (la acoperișuri terasă cu suprafața mai mare de </w:t>
      </w:r>
      <w:r>
        <w:rPr>
          <w:b/>
          <w:bCs/>
        </w:rPr>
        <w:t>100 m</w:t>
      </w:r>
      <w:r>
        <w:rPr>
          <w:b/>
          <w:bCs/>
          <w:vertAlign w:val="superscript"/>
        </w:rPr>
        <w:t>2</w:t>
      </w:r>
      <w:r>
        <w:t>) , va fi dalat cu elemente incombustibile, conform Ghid privind proiectarea și execuția acoperișurilor verzi la clădiri noi și existente.</w:t>
      </w:r>
    </w:p>
    <w:p w14:paraId="218B9BF1" w14:textId="77777777" w:rsidR="001C08A5" w:rsidRDefault="001C08A5">
      <w:pPr>
        <w:pStyle w:val="NormalWeb"/>
        <w:spacing w:before="0" w:after="0"/>
        <w:ind w:firstLine="720"/>
        <w:jc w:val="both"/>
      </w:pPr>
    </w:p>
    <w:p w14:paraId="03EA3F20" w14:textId="77777777" w:rsidR="001C08A5" w:rsidRDefault="00000000">
      <w:pPr>
        <w:pStyle w:val="NormalWeb"/>
        <w:spacing w:before="0" w:after="0"/>
        <w:ind w:firstLine="720"/>
        <w:jc w:val="both"/>
        <w:rPr>
          <w:b/>
        </w:rPr>
      </w:pPr>
      <w:r>
        <w:rPr>
          <w:b/>
        </w:rPr>
        <w:t xml:space="preserve">Art. 2.4.8.2.2. </w:t>
      </w:r>
      <w:r>
        <w:t xml:space="preserve">Nivelul de stabilitate la incendiu al construcţiilor cu acoperiş verde se stabileşte conform </w:t>
      </w:r>
      <w:r>
        <w:rPr>
          <w:b/>
        </w:rPr>
        <w:t>Art. 2.1.3.2.</w:t>
      </w:r>
      <w:r>
        <w:t>,</w:t>
      </w:r>
      <w:r>
        <w:rPr>
          <w:b/>
          <w:bCs/>
          <w:i/>
          <w:iCs/>
        </w:rPr>
        <w:t xml:space="preserve"> </w:t>
      </w:r>
      <w:r>
        <w:rPr>
          <w:rStyle w:val="NORMALBOLDTABELE"/>
          <w:bCs/>
          <w:iCs/>
        </w:rPr>
        <w:fldChar w:fldCharType="begin"/>
      </w:r>
      <w:r>
        <w:rPr>
          <w:rStyle w:val="NORMALBOLDTABELE"/>
          <w:bCs/>
          <w:iCs/>
        </w:rPr>
        <w:instrText xml:space="preserve"> REF _Ref26473 \h </w:instrText>
      </w:r>
      <w:r>
        <w:rPr>
          <w:rStyle w:val="NORMALBOLDTABELE"/>
          <w:bCs/>
          <w:iCs/>
        </w:rPr>
      </w:r>
      <w:r>
        <w:rPr>
          <w:rStyle w:val="NORMALBOLDTABELE"/>
          <w:bCs/>
          <w:iCs/>
        </w:rPr>
        <w:fldChar w:fldCharType="separate"/>
      </w:r>
      <w:r>
        <w:t>Tabelul 2</w:t>
      </w:r>
      <w:r>
        <w:rPr>
          <w:rStyle w:val="NORMALBOLDTABELE"/>
          <w:bCs/>
          <w:iCs/>
        </w:rPr>
        <w:fldChar w:fldCharType="end"/>
      </w:r>
      <w:r>
        <w:t xml:space="preserve"> și </w:t>
      </w:r>
      <w:r>
        <w:rPr>
          <w:b/>
        </w:rPr>
        <w:t xml:space="preserve">Art. </w:t>
      </w:r>
      <w:r>
        <w:rPr>
          <w:b/>
          <w:bCs/>
        </w:rPr>
        <w:t>2.1.3.</w:t>
      </w:r>
      <w:r>
        <w:rPr>
          <w:b/>
        </w:rPr>
        <w:t>3.</w:t>
      </w:r>
      <w:r>
        <w:t>, referitoare la condiţiile minime privind reacţia și rezistenţa la foc a panourilor de învelitoare și a suportului continuu al învelitorii combustibile.</w:t>
      </w:r>
    </w:p>
    <w:p w14:paraId="4C84688B" w14:textId="77777777" w:rsidR="001C08A5" w:rsidRDefault="00000000">
      <w:pPr>
        <w:pStyle w:val="Heading4"/>
      </w:pPr>
      <w:bookmarkStart w:id="1862" w:name="_Toc8061"/>
      <w:bookmarkStart w:id="1863" w:name="_Toc5592"/>
      <w:bookmarkStart w:id="1864" w:name="_Toc19068"/>
      <w:bookmarkStart w:id="1865" w:name="_Toc162355237"/>
      <w:bookmarkStart w:id="1866" w:name="_Toc9691"/>
      <w:bookmarkStart w:id="1867" w:name="_Toc17898"/>
      <w:bookmarkStart w:id="1868" w:name="_Toc30590"/>
      <w:bookmarkStart w:id="1869" w:name="_Toc8342"/>
      <w:r>
        <w:t>2.4.9. Atriumuri</w:t>
      </w:r>
      <w:bookmarkEnd w:id="1862"/>
      <w:bookmarkEnd w:id="1863"/>
      <w:bookmarkEnd w:id="1864"/>
      <w:bookmarkEnd w:id="1865"/>
      <w:bookmarkEnd w:id="1866"/>
      <w:bookmarkEnd w:id="1867"/>
      <w:bookmarkEnd w:id="1868"/>
      <w:bookmarkEnd w:id="1869"/>
    </w:p>
    <w:p w14:paraId="0EAB8600" w14:textId="77777777" w:rsidR="001C08A5" w:rsidRDefault="001C08A5">
      <w:pPr>
        <w:jc w:val="both"/>
        <w:rPr>
          <w:b/>
          <w:sz w:val="24"/>
          <w:szCs w:val="24"/>
        </w:rPr>
      </w:pPr>
    </w:p>
    <w:p w14:paraId="654057E2" w14:textId="77777777" w:rsidR="001C08A5" w:rsidRDefault="00000000">
      <w:pPr>
        <w:jc w:val="both"/>
        <w:rPr>
          <w:b/>
          <w:sz w:val="24"/>
          <w:szCs w:val="24"/>
        </w:rPr>
      </w:pPr>
      <w:r>
        <w:rPr>
          <w:b/>
          <w:sz w:val="24"/>
          <w:szCs w:val="24"/>
        </w:rPr>
        <w:tab/>
        <w:t>Art. 2.4.9.1. (1)</w:t>
      </w:r>
      <w:r>
        <w:rPr>
          <w:sz w:val="24"/>
          <w:szCs w:val="24"/>
        </w:rPr>
        <w:t xml:space="preserve"> Atriumurile pot fi neacoperite sau acoperite (</w:t>
      </w:r>
      <w:r>
        <w:rPr>
          <w:i/>
          <w:sz w:val="24"/>
          <w:szCs w:val="24"/>
        </w:rPr>
        <w:t>conform terminologie</w:t>
      </w:r>
      <w:r>
        <w:rPr>
          <w:sz w:val="24"/>
          <w:szCs w:val="24"/>
        </w:rPr>
        <w:t xml:space="preserve">). Prevederile normativului se referă la atriumurile închise perimetral şi acoperite sau neacoperite, cu înălţimea de minimum patru niveluri ale construcţiei în care sunt dispuse şi cu lăţimea de cel puţin </w:t>
      </w:r>
      <w:r>
        <w:rPr>
          <w:b/>
          <w:position w:val="-8"/>
          <w:sz w:val="24"/>
          <w:szCs w:val="24"/>
        </w:rPr>
        <w:object w:dxaOrig="570" w:dyaOrig="435" w14:anchorId="05F8C0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21.75pt" o:ole="">
            <v:imagedata r:id="rId153" o:title="" embosscolor="white"/>
          </v:shape>
          <o:OLEObject Type="Embed" ProgID="Equation.3" ShapeID="_x0000_i1025" DrawAspect="Content" ObjectID="_1773212706" r:id="rId154"/>
        </w:object>
      </w:r>
      <w:r>
        <w:rPr>
          <w:sz w:val="24"/>
          <w:szCs w:val="24"/>
        </w:rPr>
        <w:t>din înălţimea lor (în care H reprezintă cea mai mică înălţime a atriumului).</w:t>
      </w:r>
    </w:p>
    <w:p w14:paraId="7078678B" w14:textId="77777777" w:rsidR="001C08A5" w:rsidRDefault="00000000">
      <w:pPr>
        <w:ind w:firstLine="720"/>
        <w:jc w:val="both"/>
        <w:rPr>
          <w:sz w:val="24"/>
          <w:szCs w:val="24"/>
        </w:rPr>
      </w:pPr>
      <w:r>
        <w:rPr>
          <w:b/>
          <w:sz w:val="24"/>
          <w:szCs w:val="24"/>
        </w:rPr>
        <w:t xml:space="preserve">(2) </w:t>
      </w:r>
      <w:r>
        <w:rPr>
          <w:sz w:val="24"/>
          <w:szCs w:val="24"/>
        </w:rPr>
        <w:t xml:space="preserve">Atriumurile mai înguste (lăţimea mai mică de </w:t>
      </w:r>
      <w:r>
        <w:rPr>
          <w:position w:val="-8"/>
          <w:sz w:val="24"/>
          <w:szCs w:val="24"/>
        </w:rPr>
        <w:object w:dxaOrig="570" w:dyaOrig="435" w14:anchorId="32F4C3BA">
          <v:shape id="_x0000_i1026" type="#_x0000_t75" style="width:28.5pt;height:21.75pt" o:ole="">
            <v:imagedata r:id="rId153" o:title="" embosscolor="white"/>
          </v:shape>
          <o:OLEObject Type="Embed" ProgID="Equation.3" ShapeID="_x0000_i1026" DrawAspect="Content" ObjectID="_1773212707" r:id="rId155"/>
        </w:object>
      </w:r>
      <w:r>
        <w:rPr>
          <w:sz w:val="24"/>
          <w:szCs w:val="24"/>
        </w:rPr>
        <w:t xml:space="preserve">) care nu îndeplinesc condiţia precizată în </w:t>
      </w:r>
      <w:r>
        <w:rPr>
          <w:b/>
          <w:sz w:val="24"/>
          <w:szCs w:val="24"/>
        </w:rPr>
        <w:t>alin.(1)</w:t>
      </w:r>
      <w:r>
        <w:rPr>
          <w:sz w:val="24"/>
          <w:szCs w:val="24"/>
        </w:rPr>
        <w:t>, pot fi realizate numai dacă se iau măsuri suplimentare de securitate la incendiu care să împiedice transmiterea focului de la un nivel la altul prin efectul de coş.</w:t>
      </w:r>
    </w:p>
    <w:p w14:paraId="562935A8" w14:textId="77777777" w:rsidR="001C08A5" w:rsidRDefault="001C08A5">
      <w:pPr>
        <w:ind w:firstLine="1985"/>
        <w:jc w:val="both"/>
        <w:rPr>
          <w:strike/>
          <w:sz w:val="24"/>
          <w:szCs w:val="24"/>
        </w:rPr>
      </w:pPr>
    </w:p>
    <w:p w14:paraId="05FC591C" w14:textId="77777777" w:rsidR="001C08A5" w:rsidRDefault="00000000">
      <w:pPr>
        <w:widowControl w:val="0"/>
        <w:autoSpaceDE w:val="0"/>
        <w:autoSpaceDN w:val="0"/>
        <w:adjustRightInd w:val="0"/>
        <w:jc w:val="both"/>
        <w:rPr>
          <w:sz w:val="24"/>
          <w:szCs w:val="24"/>
        </w:rPr>
      </w:pPr>
      <w:r>
        <w:rPr>
          <w:b/>
          <w:sz w:val="24"/>
          <w:szCs w:val="24"/>
        </w:rPr>
        <w:tab/>
        <w:t xml:space="preserve">Art. 2.4.9.2. (1) </w:t>
      </w:r>
      <w:r>
        <w:rPr>
          <w:sz w:val="24"/>
          <w:szCs w:val="24"/>
        </w:rPr>
        <w:t xml:space="preserve">Atriumul al cărui volum liber este închis pe toate feţele laterale şi a cărui lăţime minimă este mai mică sau egală cu înălţimea feţei celei mai înalte și care este deschis la partea superioară cel puţin </w:t>
      </w:r>
      <w:r>
        <w:rPr>
          <w:b/>
          <w:bCs/>
          <w:sz w:val="24"/>
          <w:szCs w:val="24"/>
        </w:rPr>
        <w:t>90%</w:t>
      </w:r>
      <w:r>
        <w:rPr>
          <w:sz w:val="24"/>
          <w:szCs w:val="24"/>
        </w:rPr>
        <w:t>, este considerat atrium descoperit (</w:t>
      </w:r>
      <w:r>
        <w:rPr>
          <w:b/>
          <w:bCs/>
          <w:i/>
          <w:iCs/>
          <w:sz w:val="24"/>
          <w:szCs w:val="24"/>
        </w:rPr>
        <w:fldChar w:fldCharType="begin"/>
      </w:r>
      <w:r>
        <w:rPr>
          <w:b/>
          <w:bCs/>
          <w:i/>
          <w:iCs/>
          <w:sz w:val="24"/>
          <w:szCs w:val="24"/>
        </w:rPr>
        <w:instrText xml:space="preserve"> REF _Ref4780 \h </w:instrText>
      </w:r>
      <w:r>
        <w:rPr>
          <w:b/>
          <w:bCs/>
          <w:i/>
          <w:iCs/>
          <w:sz w:val="24"/>
          <w:szCs w:val="24"/>
        </w:rPr>
      </w:r>
      <w:r>
        <w:rPr>
          <w:b/>
          <w:bCs/>
          <w:i/>
          <w:iCs/>
          <w:sz w:val="24"/>
          <w:szCs w:val="24"/>
        </w:rPr>
        <w:fldChar w:fldCharType="separate"/>
      </w:r>
      <w:r>
        <w:t>Figura 2</w:t>
      </w:r>
      <w:r>
        <w:rPr>
          <w:b/>
          <w:bCs/>
          <w:i/>
          <w:iCs/>
          <w:sz w:val="24"/>
          <w:szCs w:val="24"/>
        </w:rPr>
        <w:fldChar w:fldCharType="end"/>
      </w:r>
      <w:r>
        <w:rPr>
          <w:sz w:val="24"/>
          <w:szCs w:val="24"/>
        </w:rPr>
        <w:t xml:space="preserve"> din</w:t>
      </w:r>
      <w:r>
        <w:rPr>
          <w:i/>
          <w:sz w:val="24"/>
          <w:szCs w:val="24"/>
        </w:rPr>
        <w:t xml:space="preserve"> terminologie</w:t>
      </w:r>
      <w:r>
        <w:rPr>
          <w:sz w:val="24"/>
          <w:szCs w:val="24"/>
        </w:rPr>
        <w:t>).</w:t>
      </w:r>
    </w:p>
    <w:p w14:paraId="3CF329F0" w14:textId="77777777" w:rsidR="001C08A5" w:rsidRDefault="001C08A5">
      <w:pPr>
        <w:widowControl w:val="0"/>
        <w:autoSpaceDE w:val="0"/>
        <w:autoSpaceDN w:val="0"/>
        <w:adjustRightInd w:val="0"/>
        <w:rPr>
          <w:sz w:val="24"/>
          <w:szCs w:val="24"/>
        </w:rPr>
      </w:pPr>
    </w:p>
    <w:p w14:paraId="579CC0D1" w14:textId="77777777" w:rsidR="001C08A5" w:rsidRDefault="00000000">
      <w:pPr>
        <w:pStyle w:val="BodyText"/>
        <w:ind w:firstLine="680"/>
        <w:rPr>
          <w:b w:val="0"/>
          <w:bCs w:val="0"/>
          <w:i w:val="0"/>
          <w:iCs/>
        </w:rPr>
      </w:pPr>
      <w:r>
        <w:rPr>
          <w:bCs w:val="0"/>
          <w:i w:val="0"/>
          <w:iCs/>
        </w:rPr>
        <w:t>(2)</w:t>
      </w:r>
      <w:r>
        <w:rPr>
          <w:b w:val="0"/>
          <w:bCs w:val="0"/>
          <w:i w:val="0"/>
          <w:iCs/>
        </w:rPr>
        <w:t xml:space="preserve"> Atriumul ale cărui dimensiuni sunt precizate la </w:t>
      </w:r>
      <w:r>
        <w:rPr>
          <w:bCs w:val="0"/>
          <w:i w:val="0"/>
          <w:iCs/>
        </w:rPr>
        <w:t>alin.(1)</w:t>
      </w:r>
      <w:r>
        <w:rPr>
          <w:b w:val="0"/>
          <w:bCs w:val="0"/>
          <w:i w:val="0"/>
          <w:iCs/>
        </w:rPr>
        <w:t xml:space="preserve"> şi care este acoperit total sau parţial (mai mult de 10%) este considerat atrium acoperit. La această categorie se disting două tipuri de atriumuri acoperite:</w:t>
      </w:r>
    </w:p>
    <w:p w14:paraId="339DE998" w14:textId="77777777" w:rsidR="001C08A5" w:rsidRDefault="00000000">
      <w:pPr>
        <w:pStyle w:val="BodyText"/>
        <w:numPr>
          <w:ilvl w:val="0"/>
          <w:numId w:val="54"/>
        </w:numPr>
        <w:suppressAutoHyphens w:val="0"/>
        <w:rPr>
          <w:i w:val="0"/>
          <w:iCs/>
        </w:rPr>
      </w:pPr>
      <w:r>
        <w:rPr>
          <w:b w:val="0"/>
          <w:bCs w:val="0"/>
          <w:i w:val="0"/>
          <w:iCs/>
        </w:rPr>
        <w:t xml:space="preserve">atriumurile acoperite deschise sunt volumeîn care unul sau mai multe niveluri sunt deschise permanent către volumul central </w:t>
      </w:r>
      <w:r>
        <w:rPr>
          <w:b w:val="0"/>
          <w:i w:val="0"/>
          <w:iCs/>
        </w:rPr>
        <w:t>(</w:t>
      </w:r>
      <w:r>
        <w:rPr>
          <w:b w:val="0"/>
          <w:i w:val="0"/>
          <w:iCs/>
        </w:rPr>
        <w:fldChar w:fldCharType="begin"/>
      </w:r>
      <w:r>
        <w:rPr>
          <w:b w:val="0"/>
          <w:i w:val="0"/>
          <w:iCs/>
        </w:rPr>
        <w:instrText xml:space="preserve"> REF _Ref4780 \h </w:instrText>
      </w:r>
      <w:r>
        <w:rPr>
          <w:b w:val="0"/>
          <w:i w:val="0"/>
          <w:iCs/>
        </w:rPr>
      </w:r>
      <w:r>
        <w:rPr>
          <w:b w:val="0"/>
          <w:i w:val="0"/>
          <w:iCs/>
        </w:rPr>
        <w:fldChar w:fldCharType="separate"/>
      </w:r>
      <w:r>
        <w:t>Figura 2</w:t>
      </w:r>
      <w:r>
        <w:rPr>
          <w:b w:val="0"/>
          <w:i w:val="0"/>
          <w:iCs/>
        </w:rPr>
        <w:fldChar w:fldCharType="end"/>
      </w:r>
      <w:r>
        <w:rPr>
          <w:b w:val="0"/>
          <w:i w:val="0"/>
          <w:iCs/>
        </w:rPr>
        <w:t xml:space="preserve"> din terminologie).</w:t>
      </w:r>
    </w:p>
    <w:p w14:paraId="4C1733A0" w14:textId="77777777" w:rsidR="001C08A5" w:rsidRDefault="00000000">
      <w:pPr>
        <w:pStyle w:val="BodyText"/>
        <w:numPr>
          <w:ilvl w:val="0"/>
          <w:numId w:val="54"/>
        </w:numPr>
        <w:suppressAutoHyphens w:val="0"/>
        <w:rPr>
          <w:b w:val="0"/>
          <w:bCs w:val="0"/>
          <w:i w:val="0"/>
          <w:iCs/>
        </w:rPr>
      </w:pPr>
      <w:r>
        <w:rPr>
          <w:b w:val="0"/>
          <w:bCs w:val="0"/>
          <w:i w:val="0"/>
          <w:iCs/>
        </w:rPr>
        <w:t>atriumurile acoperite închise sunt volumele unde toate nivelurile (cu excepția nivelului inferior)sunt închise lateral prin pereţi, chiar dacă în aceşti pereţi de la nivelul inferior există goluri, sau dacă nivelurile au balcoane cursive sau o circulaţie orizontală deschisă între pereţi şi volumul atriumului</w:t>
      </w:r>
    </w:p>
    <w:p w14:paraId="31245EF0" w14:textId="77777777" w:rsidR="001C08A5" w:rsidRDefault="001C08A5">
      <w:pPr>
        <w:pStyle w:val="BodyText"/>
        <w:rPr>
          <w:b w:val="0"/>
          <w:bCs w:val="0"/>
          <w:i w:val="0"/>
          <w:iCs/>
        </w:rPr>
      </w:pPr>
    </w:p>
    <w:p w14:paraId="5B5AE08C" w14:textId="77777777" w:rsidR="001C08A5" w:rsidRDefault="00000000">
      <w:pPr>
        <w:pStyle w:val="BodyText"/>
        <w:ind w:firstLine="720"/>
        <w:rPr>
          <w:b w:val="0"/>
          <w:bCs w:val="0"/>
          <w:i w:val="0"/>
          <w:iCs/>
        </w:rPr>
      </w:pPr>
      <w:r>
        <w:rPr>
          <w:bCs w:val="0"/>
          <w:i w:val="0"/>
          <w:iCs/>
        </w:rPr>
        <w:t>(3)</w:t>
      </w:r>
      <w:r>
        <w:rPr>
          <w:b w:val="0"/>
          <w:bCs w:val="0"/>
          <w:i w:val="0"/>
          <w:iCs/>
        </w:rPr>
        <w:t xml:space="preserve"> Prevederile de la  </w:t>
      </w:r>
      <w:r>
        <w:rPr>
          <w:bCs w:val="0"/>
          <w:i w:val="0"/>
          <w:iCs/>
        </w:rPr>
        <w:t>Art. 2.4.9.3.</w:t>
      </w:r>
      <w:r>
        <w:rPr>
          <w:b w:val="0"/>
          <w:bCs w:val="0"/>
          <w:i w:val="0"/>
          <w:iCs/>
        </w:rPr>
        <w:t xml:space="preserve"> pâna la </w:t>
      </w:r>
      <w:r>
        <w:rPr>
          <w:bCs w:val="0"/>
          <w:i w:val="0"/>
          <w:iCs/>
        </w:rPr>
        <w:t>Art. 2.4.9.10.</w:t>
      </w:r>
      <w:r>
        <w:rPr>
          <w:b w:val="0"/>
          <w:bCs w:val="0"/>
          <w:i w:val="0"/>
          <w:iCs/>
        </w:rPr>
        <w:t xml:space="preserve"> din normativ se referă la atriumurile acoperite, care au proiecţia la sol a lăţimii celei mai mici de cel puţin </w:t>
      </w:r>
      <w:r>
        <w:rPr>
          <w:i w:val="0"/>
          <w:iCs/>
          <w:position w:val="-8"/>
        </w:rPr>
        <w:object w:dxaOrig="570" w:dyaOrig="435" w14:anchorId="730573EF">
          <v:shape id="_x0000_i1027" type="#_x0000_t75" style="width:28.5pt;height:21.75pt" o:ole="">
            <v:imagedata r:id="rId153" o:title="" embosscolor="white"/>
          </v:shape>
          <o:OLEObject Type="Embed" ProgID="Equation.3" ShapeID="_x0000_i1027" DrawAspect="Content" ObjectID="_1773212708" r:id="rId156"/>
        </w:object>
      </w:r>
      <w:r>
        <w:rPr>
          <w:b w:val="0"/>
          <w:bCs w:val="0"/>
          <w:i w:val="0"/>
          <w:iCs/>
        </w:rPr>
        <w:t xml:space="preserve">(în care H este cea mai mică înălţime a atriumului) şi care au cel puţin patru niveluri pe una sau mai multe laturi ale clădirii adiacente atriumului. Atriumurile acoperite, precum și cele neacoperite care nu se încadrează în condiţiile de mai sus, respectă, suplimentar, prevederile </w:t>
      </w:r>
      <w:r>
        <w:rPr>
          <w:bCs w:val="0"/>
          <w:i w:val="0"/>
          <w:iCs/>
        </w:rPr>
        <w:t>Art. 2.4.9.11.</w:t>
      </w:r>
    </w:p>
    <w:p w14:paraId="48654003" w14:textId="77777777" w:rsidR="001C08A5" w:rsidRDefault="001C08A5">
      <w:pPr>
        <w:pStyle w:val="BodyText"/>
        <w:rPr>
          <w:b w:val="0"/>
          <w:bCs w:val="0"/>
          <w:i w:val="0"/>
          <w:iCs/>
        </w:rPr>
      </w:pPr>
    </w:p>
    <w:p w14:paraId="6F55952B" w14:textId="77777777" w:rsidR="001C08A5" w:rsidRDefault="00000000">
      <w:pPr>
        <w:pStyle w:val="BodyText"/>
        <w:ind w:firstLine="720"/>
        <w:rPr>
          <w:b w:val="0"/>
          <w:i w:val="0"/>
          <w:iCs/>
        </w:rPr>
      </w:pPr>
      <w:r>
        <w:rPr>
          <w:bCs w:val="0"/>
          <w:i w:val="0"/>
          <w:iCs/>
        </w:rPr>
        <w:t xml:space="preserve">Art. 2.4.9.3. </w:t>
      </w:r>
      <w:r>
        <w:rPr>
          <w:b w:val="0"/>
          <w:i w:val="0"/>
          <w:iCs/>
        </w:rPr>
        <w:t xml:space="preserve">Închiderile perimetrale ale atriumurilor spre exteriorul construcției trebuie să respecte criteriile de performanță stabilite în </w:t>
      </w:r>
      <w:r>
        <w:rPr>
          <w:b w:val="0"/>
          <w:i w:val="0"/>
          <w:iCs/>
        </w:rPr>
        <w:fldChar w:fldCharType="begin"/>
      </w:r>
      <w:r>
        <w:rPr>
          <w:b w:val="0"/>
          <w:i w:val="0"/>
          <w:iCs/>
        </w:rPr>
        <w:instrText xml:space="preserve"> REF _Ref26473 \h </w:instrText>
      </w:r>
      <w:r>
        <w:rPr>
          <w:b w:val="0"/>
          <w:i w:val="0"/>
          <w:iCs/>
        </w:rPr>
      </w:r>
      <w:r>
        <w:rPr>
          <w:b w:val="0"/>
          <w:i w:val="0"/>
          <w:iCs/>
        </w:rPr>
        <w:fldChar w:fldCharType="separate"/>
      </w:r>
      <w:r>
        <w:t>Tabelul 2</w:t>
      </w:r>
      <w:r>
        <w:rPr>
          <w:b w:val="0"/>
          <w:i w:val="0"/>
          <w:iCs/>
        </w:rPr>
        <w:fldChar w:fldCharType="end"/>
      </w:r>
      <w:r>
        <w:rPr>
          <w:b w:val="0"/>
          <w:i w:val="0"/>
          <w:iCs/>
        </w:rPr>
        <w:t xml:space="preserve">  pentru pereți exteriori, cu excepția pereților cortină care nu trebuie să fie cu rezistență la foc. </w:t>
      </w:r>
    </w:p>
    <w:p w14:paraId="414889E8" w14:textId="77777777" w:rsidR="001C08A5" w:rsidRDefault="001C08A5">
      <w:pPr>
        <w:pStyle w:val="BodyText"/>
        <w:ind w:firstLine="720"/>
        <w:rPr>
          <w:bCs w:val="0"/>
          <w:i w:val="0"/>
          <w:iCs/>
        </w:rPr>
      </w:pPr>
    </w:p>
    <w:p w14:paraId="16DF69B8" w14:textId="77777777" w:rsidR="001C08A5" w:rsidRDefault="00000000">
      <w:pPr>
        <w:pStyle w:val="BodyText"/>
        <w:ind w:firstLine="720"/>
        <w:rPr>
          <w:b w:val="0"/>
          <w:i w:val="0"/>
          <w:iCs/>
        </w:rPr>
      </w:pPr>
      <w:r>
        <w:rPr>
          <w:bCs w:val="0"/>
          <w:i w:val="0"/>
          <w:iCs/>
        </w:rPr>
        <w:t xml:space="preserve">Art. 2.4.9.4. (1) </w:t>
      </w:r>
      <w:r>
        <w:rPr>
          <w:b w:val="0"/>
          <w:i w:val="0"/>
          <w:iCs/>
        </w:rPr>
        <w:t>Atunci când atriumul se separă perimetral cu panouri de tâmplărie vitrate faţă de construcţia în care e dispus, acestea nu trebuie să favorizeze propagarea incendiilor de la un nivel la altul al clădirii.</w:t>
      </w:r>
    </w:p>
    <w:p w14:paraId="13E7628E" w14:textId="77777777" w:rsidR="001C08A5" w:rsidRDefault="00000000">
      <w:pPr>
        <w:ind w:firstLine="720"/>
        <w:jc w:val="both"/>
        <w:rPr>
          <w:sz w:val="24"/>
          <w:szCs w:val="24"/>
        </w:rPr>
      </w:pPr>
      <w:r>
        <w:rPr>
          <w:b/>
          <w:sz w:val="24"/>
          <w:szCs w:val="24"/>
        </w:rPr>
        <w:t>(2)</w:t>
      </w:r>
      <w:r>
        <w:rPr>
          <w:sz w:val="24"/>
          <w:szCs w:val="24"/>
        </w:rPr>
        <w:t xml:space="preserve"> Panourile de tâmplărie vitrate succesive pe verticală, se separă prin zone continue pline (parapete), rezistente la foc cel puţin </w:t>
      </w:r>
      <w:r>
        <w:rPr>
          <w:b/>
          <w:sz w:val="24"/>
          <w:szCs w:val="24"/>
        </w:rPr>
        <w:t xml:space="preserve">EI 60 </w:t>
      </w:r>
      <w:r>
        <w:rPr>
          <w:sz w:val="24"/>
          <w:szCs w:val="24"/>
        </w:rPr>
        <w:t xml:space="preserve">pentru nivelul </w:t>
      </w:r>
      <w:r>
        <w:rPr>
          <w:b/>
          <w:sz w:val="24"/>
          <w:szCs w:val="24"/>
        </w:rPr>
        <w:t>I şi II</w:t>
      </w:r>
      <w:r>
        <w:rPr>
          <w:sz w:val="24"/>
          <w:szCs w:val="24"/>
        </w:rPr>
        <w:t xml:space="preserve"> de stabilitate la incendiu, respectiv </w:t>
      </w:r>
      <w:r>
        <w:rPr>
          <w:bCs/>
          <w:sz w:val="24"/>
          <w:szCs w:val="24"/>
        </w:rPr>
        <w:t xml:space="preserve">minimum </w:t>
      </w:r>
      <w:r>
        <w:rPr>
          <w:b/>
          <w:bCs/>
          <w:sz w:val="24"/>
          <w:szCs w:val="24"/>
        </w:rPr>
        <w:t>EI 30</w:t>
      </w:r>
      <w:r>
        <w:rPr>
          <w:bCs/>
          <w:sz w:val="24"/>
          <w:szCs w:val="24"/>
        </w:rPr>
        <w:t xml:space="preserve"> pentru</w:t>
      </w:r>
      <w:r>
        <w:rPr>
          <w:sz w:val="24"/>
          <w:szCs w:val="24"/>
        </w:rPr>
        <w:t xml:space="preserve"> celelalte </w:t>
      </w:r>
      <w:r>
        <w:rPr>
          <w:bCs/>
          <w:sz w:val="24"/>
          <w:szCs w:val="24"/>
        </w:rPr>
        <w:t xml:space="preserve">niveluri de stabilitate la </w:t>
      </w:r>
      <w:r>
        <w:rPr>
          <w:sz w:val="24"/>
          <w:szCs w:val="24"/>
        </w:rPr>
        <w:t xml:space="preserve">incendiuşi înălţimea minimă de </w:t>
      </w:r>
      <w:r>
        <w:rPr>
          <w:b/>
          <w:sz w:val="24"/>
          <w:szCs w:val="24"/>
        </w:rPr>
        <w:t xml:space="preserve">1,20 m </w:t>
      </w:r>
      <w:r>
        <w:rPr>
          <w:sz w:val="24"/>
          <w:szCs w:val="24"/>
        </w:rPr>
        <w:t>sau prin zone orizontale continue (planşee/copertine) rezistente la foc minimum</w:t>
      </w:r>
      <w:r>
        <w:rPr>
          <w:b/>
          <w:sz w:val="24"/>
          <w:szCs w:val="24"/>
        </w:rPr>
        <w:t xml:space="preserve"> REI 60 </w:t>
      </w:r>
      <w:r>
        <w:rPr>
          <w:sz w:val="24"/>
          <w:szCs w:val="24"/>
        </w:rPr>
        <w:t xml:space="preserve">pentru nivelul </w:t>
      </w:r>
      <w:r>
        <w:rPr>
          <w:b/>
          <w:sz w:val="24"/>
          <w:szCs w:val="24"/>
        </w:rPr>
        <w:t xml:space="preserve">I </w:t>
      </w:r>
      <w:r>
        <w:rPr>
          <w:b/>
          <w:sz w:val="24"/>
          <w:szCs w:val="24"/>
        </w:rPr>
        <w:lastRenderedPageBreak/>
        <w:t>şi II</w:t>
      </w:r>
      <w:r>
        <w:rPr>
          <w:sz w:val="24"/>
          <w:szCs w:val="24"/>
        </w:rPr>
        <w:t xml:space="preserve"> de stabilitate la incendiu, respectiv </w:t>
      </w:r>
      <w:r>
        <w:rPr>
          <w:bCs/>
          <w:sz w:val="24"/>
          <w:szCs w:val="24"/>
        </w:rPr>
        <w:t xml:space="preserve">minimum </w:t>
      </w:r>
      <w:r>
        <w:rPr>
          <w:b/>
          <w:sz w:val="24"/>
          <w:szCs w:val="24"/>
        </w:rPr>
        <w:t>R</w:t>
      </w:r>
      <w:r>
        <w:rPr>
          <w:b/>
          <w:bCs/>
          <w:sz w:val="24"/>
          <w:szCs w:val="24"/>
        </w:rPr>
        <w:t>EI 30</w:t>
      </w:r>
      <w:r>
        <w:rPr>
          <w:bCs/>
          <w:sz w:val="24"/>
          <w:szCs w:val="24"/>
        </w:rPr>
        <w:t xml:space="preserve"> pentru</w:t>
      </w:r>
      <w:r>
        <w:rPr>
          <w:sz w:val="24"/>
          <w:szCs w:val="24"/>
        </w:rPr>
        <w:t xml:space="preserve"> celelalte </w:t>
      </w:r>
      <w:r>
        <w:rPr>
          <w:bCs/>
          <w:sz w:val="24"/>
          <w:szCs w:val="24"/>
        </w:rPr>
        <w:t xml:space="preserve">niveluri de stabilitate la </w:t>
      </w:r>
      <w:r>
        <w:rPr>
          <w:sz w:val="24"/>
          <w:szCs w:val="24"/>
        </w:rPr>
        <w:t xml:space="preserve">incendiu și lăţimea de cel puţin de </w:t>
      </w:r>
      <w:r>
        <w:rPr>
          <w:b/>
          <w:sz w:val="24"/>
          <w:szCs w:val="24"/>
        </w:rPr>
        <w:t>1,20 m</w:t>
      </w:r>
      <w:r>
        <w:rPr>
          <w:sz w:val="24"/>
          <w:szCs w:val="24"/>
        </w:rPr>
        <w:t xml:space="preserve"> (măsurată pe orizontală).</w:t>
      </w:r>
    </w:p>
    <w:p w14:paraId="2EBCA998" w14:textId="77777777" w:rsidR="001C08A5" w:rsidRDefault="00000000">
      <w:pPr>
        <w:pStyle w:val="BodyText"/>
        <w:rPr>
          <w:b w:val="0"/>
          <w:bCs w:val="0"/>
          <w:i w:val="0"/>
          <w:iCs/>
        </w:rPr>
      </w:pPr>
      <w:r>
        <w:rPr>
          <w:b w:val="0"/>
          <w:bCs w:val="0"/>
          <w:i w:val="0"/>
          <w:iCs/>
        </w:rPr>
        <w:tab/>
      </w:r>
      <w:r>
        <w:rPr>
          <w:bCs w:val="0"/>
          <w:i w:val="0"/>
          <w:iCs/>
        </w:rPr>
        <w:t>(3)</w:t>
      </w:r>
      <w:r>
        <w:rPr>
          <w:b w:val="0"/>
          <w:bCs w:val="0"/>
          <w:i w:val="0"/>
          <w:iCs/>
        </w:rPr>
        <w:t xml:space="preserve"> Se admite cumularea lăţimii copertinei</w:t>
      </w:r>
      <w:r>
        <w:rPr>
          <w:b w:val="0"/>
          <w:i w:val="0"/>
          <w:iCs/>
        </w:rPr>
        <w:t xml:space="preserve"> continue (planşeului) </w:t>
      </w:r>
      <w:r>
        <w:rPr>
          <w:b w:val="0"/>
          <w:bCs w:val="0"/>
          <w:i w:val="0"/>
          <w:iCs/>
        </w:rPr>
        <w:t xml:space="preserve">cu înălţimea zonei </w:t>
      </w:r>
      <w:r>
        <w:rPr>
          <w:b w:val="0"/>
          <w:i w:val="0"/>
          <w:iCs/>
        </w:rPr>
        <w:t xml:space="preserve">continue pline (parapetului) </w:t>
      </w:r>
      <w:r>
        <w:rPr>
          <w:b w:val="0"/>
          <w:bCs w:val="0"/>
          <w:i w:val="0"/>
          <w:iCs/>
        </w:rPr>
        <w:t xml:space="preserve">pentru asigurarea dimensiunii de </w:t>
      </w:r>
      <w:r>
        <w:rPr>
          <w:bCs w:val="0"/>
          <w:i w:val="0"/>
          <w:iCs/>
        </w:rPr>
        <w:t>1,20 m</w:t>
      </w:r>
      <w:r>
        <w:rPr>
          <w:b w:val="0"/>
          <w:bCs w:val="0"/>
          <w:i w:val="0"/>
          <w:iCs/>
        </w:rPr>
        <w:t xml:space="preserve">, prevăzute la </w:t>
      </w:r>
      <w:r>
        <w:rPr>
          <w:bCs w:val="0"/>
          <w:i w:val="0"/>
          <w:iCs/>
        </w:rPr>
        <w:t>alin. (1).</w:t>
      </w:r>
    </w:p>
    <w:p w14:paraId="16C2F50D" w14:textId="77777777" w:rsidR="001C08A5" w:rsidRDefault="001C08A5">
      <w:pPr>
        <w:pStyle w:val="BodyText"/>
        <w:rPr>
          <w:b w:val="0"/>
          <w:bCs w:val="0"/>
        </w:rPr>
      </w:pPr>
    </w:p>
    <w:p w14:paraId="503FBC7A" w14:textId="77777777" w:rsidR="001C08A5" w:rsidRDefault="00000000">
      <w:pPr>
        <w:ind w:firstLine="720"/>
        <w:jc w:val="both"/>
        <w:rPr>
          <w:sz w:val="24"/>
          <w:szCs w:val="24"/>
        </w:rPr>
      </w:pPr>
      <w:r>
        <w:rPr>
          <w:b/>
          <w:bCs/>
          <w:sz w:val="24"/>
          <w:szCs w:val="24"/>
        </w:rPr>
        <w:t>Art. 2.4.9.5.(1)</w:t>
      </w:r>
      <w:r>
        <w:rPr>
          <w:sz w:val="24"/>
          <w:szCs w:val="24"/>
        </w:rPr>
        <w:t xml:space="preserve"> Circulaţiile comune orizontale deschise spre atrium, se prevăd la limita lor spre atrium cu ecrane continue </w:t>
      </w:r>
      <w:r>
        <w:rPr>
          <w:bCs/>
          <w:sz w:val="24"/>
          <w:szCs w:val="24"/>
        </w:rPr>
        <w:t>dispuse sub planşee, având</w:t>
      </w:r>
      <w:r>
        <w:rPr>
          <w:sz w:val="24"/>
          <w:szCs w:val="24"/>
        </w:rPr>
        <w:t xml:space="preserve"> înălţimea de cel puţin </w:t>
      </w:r>
      <w:r>
        <w:rPr>
          <w:b/>
          <w:bCs/>
          <w:sz w:val="24"/>
          <w:szCs w:val="24"/>
        </w:rPr>
        <w:t>50 cm</w:t>
      </w:r>
      <w:r>
        <w:rPr>
          <w:sz w:val="24"/>
          <w:szCs w:val="24"/>
        </w:rPr>
        <w:t xml:space="preserve"> și rezistenţa la foc minimum </w:t>
      </w:r>
      <w:r>
        <w:rPr>
          <w:b/>
          <w:sz w:val="24"/>
          <w:szCs w:val="24"/>
        </w:rPr>
        <w:t>DH 60</w:t>
      </w:r>
      <w:r>
        <w:rPr>
          <w:sz w:val="24"/>
          <w:szCs w:val="24"/>
        </w:rPr>
        <w:t xml:space="preserve"> pentru nivelul </w:t>
      </w:r>
      <w:r>
        <w:rPr>
          <w:b/>
          <w:sz w:val="24"/>
          <w:szCs w:val="24"/>
        </w:rPr>
        <w:t>I şi II</w:t>
      </w:r>
      <w:r>
        <w:rPr>
          <w:sz w:val="24"/>
          <w:szCs w:val="24"/>
        </w:rPr>
        <w:t xml:space="preserve"> de stabilitate la incendiu, respectiv </w:t>
      </w:r>
      <w:r>
        <w:rPr>
          <w:bCs/>
          <w:sz w:val="24"/>
          <w:szCs w:val="24"/>
        </w:rPr>
        <w:t xml:space="preserve">minimum </w:t>
      </w:r>
      <w:r>
        <w:rPr>
          <w:b/>
          <w:bCs/>
          <w:sz w:val="24"/>
          <w:szCs w:val="24"/>
        </w:rPr>
        <w:t>DH 30</w:t>
      </w:r>
      <w:r>
        <w:rPr>
          <w:bCs/>
          <w:sz w:val="24"/>
          <w:szCs w:val="24"/>
        </w:rPr>
        <w:t xml:space="preserve"> pentru</w:t>
      </w:r>
      <w:r>
        <w:rPr>
          <w:sz w:val="24"/>
          <w:szCs w:val="24"/>
        </w:rPr>
        <w:t xml:space="preserve"> celelalte </w:t>
      </w:r>
      <w:r>
        <w:rPr>
          <w:bCs/>
          <w:sz w:val="24"/>
          <w:szCs w:val="24"/>
        </w:rPr>
        <w:t xml:space="preserve">niveluri de stabilitate la </w:t>
      </w:r>
      <w:r>
        <w:rPr>
          <w:sz w:val="24"/>
          <w:szCs w:val="24"/>
        </w:rPr>
        <w:t>incendiu</w:t>
      </w:r>
      <w:r>
        <w:rPr>
          <w:bCs/>
          <w:sz w:val="24"/>
          <w:szCs w:val="24"/>
        </w:rPr>
        <w:t>, precum și cu sprinklere</w:t>
      </w:r>
      <w:r>
        <w:rPr>
          <w:sz w:val="24"/>
          <w:szCs w:val="24"/>
        </w:rPr>
        <w:t xml:space="preserve"> amplasate corespunzător având durata de funcţionare de minimum </w:t>
      </w:r>
      <w:r>
        <w:rPr>
          <w:b/>
          <w:sz w:val="24"/>
          <w:szCs w:val="24"/>
        </w:rPr>
        <w:t>60</w:t>
      </w:r>
      <w:r>
        <w:rPr>
          <w:sz w:val="24"/>
          <w:szCs w:val="24"/>
        </w:rPr>
        <w:t xml:space="preserve"> minute, dacă spaţiile adiacente sunt echipate cu astfel de instalaţii. </w:t>
      </w:r>
    </w:p>
    <w:p w14:paraId="382E7C79" w14:textId="77777777" w:rsidR="001C08A5" w:rsidRDefault="00000000">
      <w:pPr>
        <w:pStyle w:val="BodyText"/>
        <w:rPr>
          <w:b w:val="0"/>
          <w:bCs w:val="0"/>
          <w:i w:val="0"/>
        </w:rPr>
      </w:pPr>
      <w:r>
        <w:rPr>
          <w:b w:val="0"/>
          <w:bCs w:val="0"/>
          <w:i w:val="0"/>
        </w:rPr>
        <w:tab/>
      </w:r>
      <w:r>
        <w:rPr>
          <w:bCs w:val="0"/>
          <w:i w:val="0"/>
        </w:rPr>
        <w:t>(2)</w:t>
      </w:r>
      <w:r>
        <w:rPr>
          <w:b w:val="0"/>
          <w:bCs w:val="0"/>
          <w:i w:val="0"/>
        </w:rPr>
        <w:t xml:space="preserve"> Pot constitui ecrane continue grinzile structurii care au </w:t>
      </w:r>
      <w:r>
        <w:rPr>
          <w:b w:val="0"/>
          <w:i w:val="0"/>
        </w:rPr>
        <w:t xml:space="preserve">înălţimea de cel puţin </w:t>
      </w:r>
      <w:r>
        <w:rPr>
          <w:bCs w:val="0"/>
          <w:i w:val="0"/>
        </w:rPr>
        <w:t>50 cm</w:t>
      </w:r>
      <w:r>
        <w:rPr>
          <w:b w:val="0"/>
          <w:i w:val="0"/>
        </w:rPr>
        <w:t xml:space="preserve"> sub planșeu, precum și sau cele cu înălțimea mai mică de </w:t>
      </w:r>
      <w:r>
        <w:rPr>
          <w:bCs w:val="0"/>
          <w:i w:val="0"/>
        </w:rPr>
        <w:t>50 cm</w:t>
      </w:r>
      <w:r>
        <w:rPr>
          <w:b w:val="0"/>
          <w:i w:val="0"/>
        </w:rPr>
        <w:t xml:space="preserve">, dedesuptul cărora se pot realiza ecrane continue cu rezistența la foc conform </w:t>
      </w:r>
      <w:r>
        <w:rPr>
          <w:bCs w:val="0"/>
          <w:i w:val="0"/>
        </w:rPr>
        <w:t>alin. (1)</w:t>
      </w:r>
      <w:r>
        <w:rPr>
          <w:b w:val="0"/>
          <w:i w:val="0"/>
        </w:rPr>
        <w:t xml:space="preserve">, astfel încât împreună (grinda și ecranul) să aibă minimum </w:t>
      </w:r>
      <w:r>
        <w:rPr>
          <w:bCs w:val="0"/>
          <w:i w:val="0"/>
        </w:rPr>
        <w:t>50 cm</w:t>
      </w:r>
      <w:r>
        <w:rPr>
          <w:b w:val="0"/>
          <w:i w:val="0"/>
        </w:rPr>
        <w:t>.</w:t>
      </w:r>
    </w:p>
    <w:p w14:paraId="6A69F3DD" w14:textId="77777777" w:rsidR="001C08A5" w:rsidRDefault="00000000">
      <w:pPr>
        <w:pStyle w:val="BodyText"/>
        <w:ind w:firstLine="720"/>
        <w:rPr>
          <w:b w:val="0"/>
          <w:bCs w:val="0"/>
          <w:i w:val="0"/>
        </w:rPr>
      </w:pPr>
      <w:r>
        <w:rPr>
          <w:i w:val="0"/>
        </w:rPr>
        <w:t xml:space="preserve">(3) </w:t>
      </w:r>
      <w:r>
        <w:rPr>
          <w:b w:val="0"/>
          <w:bCs w:val="0"/>
          <w:i w:val="0"/>
        </w:rPr>
        <w:t xml:space="preserve">Circulaţiile comune orizontale deschise spre atrium ale funcțiunilor pentru sănătate, cazare, învățământ, comerț, expoziții și altele similare, se prevăd cu sisteme de evacuare a fumului şi gazelor fierbinţi în caz de incendiu, nefiind admisă ventilarea în suprapresiune. Toate comunicările spațiilor adiacente circulațiilor comune orizontale deschise către atrium, cu funcțiuni pentru sanatate, cazare sau invatamant vor fi protejate cu uși rezistente la foc minimum conform incadrari, dar nu mai puțin de </w:t>
      </w:r>
      <w:r>
        <w:rPr>
          <w:i w:val="0"/>
        </w:rPr>
        <w:t>EI 30-C</w:t>
      </w:r>
      <w:r>
        <w:rPr>
          <w:b w:val="0"/>
          <w:bCs w:val="0"/>
          <w:i w:val="0"/>
        </w:rPr>
        <w:t>.</w:t>
      </w:r>
    </w:p>
    <w:p w14:paraId="7DBD512E" w14:textId="77777777" w:rsidR="001C08A5" w:rsidRDefault="001C08A5">
      <w:pPr>
        <w:pStyle w:val="BodyText"/>
        <w:ind w:firstLine="720"/>
        <w:rPr>
          <w:b w:val="0"/>
          <w:bCs w:val="0"/>
          <w:i w:val="0"/>
        </w:rPr>
      </w:pPr>
    </w:p>
    <w:p w14:paraId="62E04121" w14:textId="77777777" w:rsidR="001C08A5" w:rsidRDefault="00000000">
      <w:pPr>
        <w:pStyle w:val="BodyText"/>
        <w:ind w:firstLine="720"/>
        <w:rPr>
          <w:b w:val="0"/>
          <w:i w:val="0"/>
        </w:rPr>
      </w:pPr>
      <w:r>
        <w:rPr>
          <w:i w:val="0"/>
        </w:rPr>
        <w:t xml:space="preserve">Art. 2.4.9.6. </w:t>
      </w:r>
      <w:r>
        <w:rPr>
          <w:b w:val="0"/>
          <w:i w:val="0"/>
        </w:rPr>
        <w:t>Dacă pentru separarea atriumurilor de restul clădirii se prevăd pereţi, aceștia trebuie să fie rezistenţi la foc</w:t>
      </w:r>
      <w:r>
        <w:rPr>
          <w:bCs w:val="0"/>
          <w:i w:val="0"/>
        </w:rPr>
        <w:t xml:space="preserve"> EI</w:t>
      </w:r>
      <w:r>
        <w:rPr>
          <w:b w:val="0"/>
          <w:i w:val="0"/>
        </w:rPr>
        <w:t xml:space="preserve"> corespunzător densităţii sarcinii termice (</w:t>
      </w:r>
      <w:r>
        <w:rPr>
          <w:bCs w:val="0"/>
          <w:i w:val="0"/>
        </w:rPr>
        <w:t>q</w:t>
      </w:r>
      <w:r>
        <w:rPr>
          <w:b w:val="0"/>
          <w:i w:val="0"/>
        </w:rPr>
        <w:t xml:space="preserve">) din spaţiile adiacente, conform prevederilor de  la </w:t>
      </w:r>
      <w:r>
        <w:rPr>
          <w:bCs w:val="0"/>
          <w:i w:val="0"/>
        </w:rPr>
        <w:t>Art. 2.3.1.2</w:t>
      </w:r>
      <w:r>
        <w:rPr>
          <w:b w:val="0"/>
          <w:i w:val="0"/>
        </w:rPr>
        <w:t xml:space="preserve">. şi </w:t>
      </w:r>
      <w:r>
        <w:rPr>
          <w:b w:val="0"/>
          <w:i w:val="0"/>
        </w:rPr>
        <w:fldChar w:fldCharType="begin"/>
      </w:r>
      <w:r>
        <w:rPr>
          <w:b w:val="0"/>
          <w:i w:val="0"/>
        </w:rPr>
        <w:instrText xml:space="preserve"> REF _Ref28465 \h </w:instrText>
      </w:r>
      <w:r>
        <w:rPr>
          <w:b w:val="0"/>
          <w:i w:val="0"/>
        </w:rPr>
      </w:r>
      <w:r>
        <w:rPr>
          <w:b w:val="0"/>
          <w:i w:val="0"/>
        </w:rPr>
        <w:fldChar w:fldCharType="separate"/>
      </w:r>
      <w:r>
        <w:t>Tabelul 5</w:t>
      </w:r>
      <w:r>
        <w:rPr>
          <w:b w:val="0"/>
          <w:i w:val="0"/>
        </w:rPr>
        <w:fldChar w:fldCharType="end"/>
      </w:r>
      <w:r>
        <w:rPr>
          <w:b w:val="0"/>
          <w:i w:val="0"/>
        </w:rPr>
        <w:t xml:space="preserve">, dar minimum </w:t>
      </w:r>
      <w:r>
        <w:rPr>
          <w:i w:val="0"/>
        </w:rPr>
        <w:t xml:space="preserve">EI 60 </w:t>
      </w:r>
      <w:r>
        <w:rPr>
          <w:b w:val="0"/>
          <w:bCs w:val="0"/>
          <w:i w:val="0"/>
        </w:rPr>
        <w:t>pentru nivelul</w:t>
      </w:r>
      <w:r>
        <w:rPr>
          <w:i w:val="0"/>
        </w:rPr>
        <w:t xml:space="preserve"> I </w:t>
      </w:r>
      <w:r>
        <w:rPr>
          <w:b w:val="0"/>
          <w:bCs w:val="0"/>
          <w:i w:val="0"/>
        </w:rPr>
        <w:t>şi</w:t>
      </w:r>
      <w:r>
        <w:rPr>
          <w:i w:val="0"/>
        </w:rPr>
        <w:t xml:space="preserve"> II </w:t>
      </w:r>
      <w:r>
        <w:rPr>
          <w:b w:val="0"/>
          <w:bCs w:val="0"/>
          <w:i w:val="0"/>
        </w:rPr>
        <w:t>de stabilitate la incendiu, respectiv minimum</w:t>
      </w:r>
      <w:r>
        <w:rPr>
          <w:i w:val="0"/>
        </w:rPr>
        <w:t xml:space="preserve"> EI 30 </w:t>
      </w:r>
      <w:r>
        <w:rPr>
          <w:b w:val="0"/>
          <w:bCs w:val="0"/>
          <w:i w:val="0"/>
        </w:rPr>
        <w:t xml:space="preserve">pentru celelalte niveluri de stabilitate la </w:t>
      </w:r>
      <w:r>
        <w:rPr>
          <w:b w:val="0"/>
          <w:bCs w:val="0"/>
          <w:i w:val="0"/>
          <w:iCs/>
        </w:rPr>
        <w:t>incendiu</w:t>
      </w:r>
      <w:r>
        <w:rPr>
          <w:b w:val="0"/>
          <w:bCs w:val="0"/>
          <w:i w:val="0"/>
        </w:rPr>
        <w:t>.</w:t>
      </w:r>
    </w:p>
    <w:p w14:paraId="502F6CB9" w14:textId="77777777" w:rsidR="001C08A5" w:rsidRDefault="001C08A5">
      <w:pPr>
        <w:pStyle w:val="BodyText"/>
        <w:rPr>
          <w:b w:val="0"/>
          <w:bCs w:val="0"/>
        </w:rPr>
      </w:pPr>
    </w:p>
    <w:p w14:paraId="466AD7F6" w14:textId="77777777" w:rsidR="001C08A5" w:rsidRDefault="00000000">
      <w:pPr>
        <w:ind w:firstLine="720"/>
        <w:jc w:val="both"/>
        <w:rPr>
          <w:sz w:val="24"/>
          <w:szCs w:val="24"/>
        </w:rPr>
      </w:pPr>
      <w:r>
        <w:rPr>
          <w:b/>
          <w:bCs/>
          <w:sz w:val="24"/>
          <w:szCs w:val="24"/>
        </w:rPr>
        <w:t>Art. 2.4.9.7.</w:t>
      </w:r>
      <w:r>
        <w:rPr>
          <w:b/>
          <w:sz w:val="24"/>
          <w:szCs w:val="24"/>
        </w:rPr>
        <w:t xml:space="preserve"> (1)</w:t>
      </w:r>
      <w:r>
        <w:rPr>
          <w:sz w:val="24"/>
          <w:szCs w:val="24"/>
        </w:rPr>
        <w:t xml:space="preserve"> Dotările fixe şi mobile din atriumuri nu trebuie să depăşească densitatea sarcinii termice (q) de </w:t>
      </w:r>
      <w:r>
        <w:rPr>
          <w:b/>
          <w:sz w:val="24"/>
          <w:szCs w:val="24"/>
        </w:rPr>
        <w:t>420 MJ/m</w:t>
      </w:r>
      <w:r>
        <w:rPr>
          <w:b/>
          <w:sz w:val="24"/>
          <w:szCs w:val="24"/>
          <w:vertAlign w:val="superscript"/>
        </w:rPr>
        <w:t>2</w:t>
      </w:r>
      <w:r>
        <w:rPr>
          <w:sz w:val="24"/>
          <w:szCs w:val="24"/>
        </w:rPr>
        <w:t xml:space="preserve">. </w:t>
      </w:r>
    </w:p>
    <w:p w14:paraId="0BEBE1A5" w14:textId="77777777" w:rsidR="001C08A5" w:rsidRDefault="00000000">
      <w:pPr>
        <w:ind w:firstLine="851"/>
        <w:jc w:val="both"/>
        <w:rPr>
          <w:sz w:val="24"/>
          <w:szCs w:val="24"/>
        </w:rPr>
      </w:pPr>
      <w:r>
        <w:rPr>
          <w:b/>
          <w:sz w:val="24"/>
          <w:szCs w:val="24"/>
        </w:rPr>
        <w:t xml:space="preserve">(2) </w:t>
      </w:r>
      <w:r>
        <w:rPr>
          <w:sz w:val="24"/>
          <w:szCs w:val="24"/>
        </w:rPr>
        <w:t>La determinarea densităţii sarcinii termice (</w:t>
      </w:r>
      <w:r>
        <w:rPr>
          <w:b/>
          <w:bCs/>
          <w:sz w:val="24"/>
          <w:szCs w:val="24"/>
        </w:rPr>
        <w:t>q</w:t>
      </w:r>
      <w:r>
        <w:rPr>
          <w:sz w:val="24"/>
          <w:szCs w:val="24"/>
        </w:rPr>
        <w:t>), se ia în considerare aria celui mai mare nivel al atriumului delimitat de pereţi, în afară de primul nivel al atriumului.</w:t>
      </w:r>
    </w:p>
    <w:p w14:paraId="733C3248" w14:textId="77777777" w:rsidR="001C08A5" w:rsidRDefault="00000000">
      <w:pPr>
        <w:ind w:firstLine="851"/>
        <w:jc w:val="both"/>
        <w:rPr>
          <w:sz w:val="24"/>
          <w:szCs w:val="24"/>
        </w:rPr>
      </w:pPr>
      <w:r>
        <w:rPr>
          <w:b/>
          <w:bCs/>
          <w:sz w:val="24"/>
          <w:szCs w:val="24"/>
        </w:rPr>
        <w:t>(3)</w:t>
      </w:r>
      <w:r>
        <w:rPr>
          <w:sz w:val="24"/>
          <w:szCs w:val="24"/>
        </w:rPr>
        <w:t xml:space="preserve"> Finisajele din atriumuri și de pe circulaţiile comune orizontale deschise spre atrium se realizează din materiale având clasa de reacţie la foc  </w:t>
      </w:r>
      <w:r>
        <w:rPr>
          <w:b/>
          <w:bCs/>
          <w:sz w:val="24"/>
          <w:szCs w:val="24"/>
        </w:rPr>
        <w:t>A1 sau A2-s1d0</w:t>
      </w:r>
      <w:r>
        <w:rPr>
          <w:sz w:val="24"/>
          <w:szCs w:val="24"/>
        </w:rPr>
        <w:t xml:space="preserve">, respectiv </w:t>
      </w:r>
      <w:r>
        <w:rPr>
          <w:b/>
          <w:bCs/>
          <w:sz w:val="24"/>
          <w:szCs w:val="24"/>
        </w:rPr>
        <w:t>A1</w:t>
      </w:r>
      <w:r>
        <w:rPr>
          <w:b/>
          <w:bCs/>
          <w:sz w:val="24"/>
          <w:szCs w:val="24"/>
          <w:vertAlign w:val="subscript"/>
        </w:rPr>
        <w:t>FL</w:t>
      </w:r>
      <w:r>
        <w:rPr>
          <w:b/>
          <w:bCs/>
          <w:sz w:val="24"/>
          <w:szCs w:val="24"/>
        </w:rPr>
        <w:t xml:space="preserve"> sau A2</w:t>
      </w:r>
      <w:r>
        <w:rPr>
          <w:b/>
          <w:bCs/>
          <w:sz w:val="24"/>
          <w:szCs w:val="24"/>
          <w:vertAlign w:val="subscript"/>
        </w:rPr>
        <w:t>FL</w:t>
      </w:r>
      <w:r>
        <w:rPr>
          <w:b/>
          <w:bCs/>
          <w:sz w:val="24"/>
          <w:szCs w:val="24"/>
        </w:rPr>
        <w:t>-s1</w:t>
      </w:r>
      <w:r>
        <w:rPr>
          <w:sz w:val="24"/>
          <w:szCs w:val="24"/>
        </w:rPr>
        <w:t>.</w:t>
      </w:r>
    </w:p>
    <w:p w14:paraId="6761EEF6" w14:textId="77777777" w:rsidR="001C08A5" w:rsidRDefault="001C08A5">
      <w:pPr>
        <w:pStyle w:val="BodyText"/>
      </w:pPr>
    </w:p>
    <w:p w14:paraId="3319487B" w14:textId="77777777" w:rsidR="001C08A5" w:rsidRDefault="00000000">
      <w:pPr>
        <w:ind w:firstLine="720"/>
        <w:jc w:val="both"/>
        <w:rPr>
          <w:sz w:val="24"/>
          <w:szCs w:val="24"/>
        </w:rPr>
      </w:pPr>
      <w:r>
        <w:rPr>
          <w:b/>
          <w:bCs/>
          <w:sz w:val="24"/>
          <w:szCs w:val="24"/>
        </w:rPr>
        <w:t>Art. 2.4.9.8.</w:t>
      </w:r>
      <w:r>
        <w:rPr>
          <w:bCs/>
          <w:sz w:val="24"/>
          <w:szCs w:val="24"/>
        </w:rPr>
        <w:t xml:space="preserve"> Luminatoarele care acoperă atriumurile se</w:t>
      </w:r>
      <w:r>
        <w:rPr>
          <w:sz w:val="24"/>
          <w:szCs w:val="24"/>
        </w:rPr>
        <w:t xml:space="preserve">realizează cu structuri din profile având clasa de reacţie la foc </w:t>
      </w:r>
      <w:r>
        <w:rPr>
          <w:b/>
          <w:sz w:val="24"/>
          <w:szCs w:val="24"/>
        </w:rPr>
        <w:t>A1</w:t>
      </w:r>
      <w:r>
        <w:rPr>
          <w:sz w:val="24"/>
          <w:szCs w:val="24"/>
        </w:rPr>
        <w:t xml:space="preserve"> sau </w:t>
      </w:r>
      <w:r>
        <w:rPr>
          <w:b/>
          <w:sz w:val="24"/>
          <w:szCs w:val="24"/>
        </w:rPr>
        <w:t>A2-s1d0</w:t>
      </w:r>
      <w:r>
        <w:rPr>
          <w:sz w:val="24"/>
          <w:szCs w:val="24"/>
        </w:rPr>
        <w:t xml:space="preserve">, cu excepția componentelor nesubstanțiale, a izolatorilor și garniturilor, cu panouri de umplere din elemente de vitraj </w:t>
      </w:r>
      <w:r>
        <w:rPr>
          <w:iCs/>
          <w:sz w:val="24"/>
          <w:szCs w:val="24"/>
        </w:rPr>
        <w:t xml:space="preserve">(din sticlă) </w:t>
      </w:r>
      <w:r>
        <w:rPr>
          <w:sz w:val="24"/>
          <w:szCs w:val="24"/>
        </w:rPr>
        <w:t xml:space="preserve">simplu sau izolant ori din produse clasa de reacţie la foc </w:t>
      </w:r>
      <w:r>
        <w:rPr>
          <w:b/>
          <w:sz w:val="24"/>
          <w:szCs w:val="24"/>
        </w:rPr>
        <w:t>A1</w:t>
      </w:r>
      <w:r>
        <w:rPr>
          <w:sz w:val="24"/>
          <w:szCs w:val="24"/>
        </w:rPr>
        <w:t xml:space="preserve"> sau </w:t>
      </w:r>
      <w:r>
        <w:rPr>
          <w:b/>
          <w:sz w:val="24"/>
          <w:szCs w:val="24"/>
        </w:rPr>
        <w:t>A2-s1d0</w:t>
      </w:r>
      <w:r>
        <w:rPr>
          <w:sz w:val="24"/>
          <w:szCs w:val="24"/>
        </w:rPr>
        <w:t>.</w:t>
      </w:r>
    </w:p>
    <w:p w14:paraId="6BFE6CD9" w14:textId="77777777" w:rsidR="001C08A5" w:rsidRDefault="001C08A5">
      <w:pPr>
        <w:pStyle w:val="BodyText"/>
        <w:rPr>
          <w:b w:val="0"/>
          <w:bCs w:val="0"/>
        </w:rPr>
      </w:pPr>
    </w:p>
    <w:p w14:paraId="1AA2BCB1" w14:textId="77777777" w:rsidR="001C08A5" w:rsidRDefault="00000000">
      <w:pPr>
        <w:pStyle w:val="BodyText"/>
        <w:ind w:firstLine="720"/>
        <w:rPr>
          <w:b w:val="0"/>
          <w:i w:val="0"/>
          <w:iCs/>
        </w:rPr>
      </w:pPr>
      <w:r>
        <w:rPr>
          <w:bCs w:val="0"/>
          <w:i w:val="0"/>
          <w:iCs/>
        </w:rPr>
        <w:t>Art. 2.4.9.9.</w:t>
      </w:r>
      <w:r>
        <w:rPr>
          <w:b w:val="0"/>
          <w:i w:val="0"/>
          <w:iCs/>
        </w:rPr>
        <w:t xml:space="preserve">Atunci când adiacent atriumului se prevăd spaţii cu risc mare sau foarte mare de incendiu (comerţ, expoziţii şi altele similare cu densitatea sarcinii termice - q peste </w:t>
      </w:r>
      <w:r>
        <w:rPr>
          <w:i w:val="0"/>
          <w:iCs/>
        </w:rPr>
        <w:t>840 MJ/m</w:t>
      </w:r>
      <w:r>
        <w:rPr>
          <w:i w:val="0"/>
          <w:iCs/>
          <w:vertAlign w:val="superscript"/>
        </w:rPr>
        <w:t>2</w:t>
      </w:r>
      <w:r>
        <w:rPr>
          <w:b w:val="0"/>
          <w:i w:val="0"/>
          <w:iCs/>
        </w:rPr>
        <w:t>), aceste spaţii se echipează obligatoriu cu instalaţii de detectare, semnalizare și alarmare, precum și automate de stingere a incendiilor.</w:t>
      </w:r>
    </w:p>
    <w:p w14:paraId="702D8F84" w14:textId="77777777" w:rsidR="001C08A5" w:rsidRDefault="001C08A5">
      <w:pPr>
        <w:ind w:firstLine="720"/>
        <w:jc w:val="both"/>
        <w:rPr>
          <w:sz w:val="24"/>
          <w:szCs w:val="24"/>
        </w:rPr>
      </w:pPr>
    </w:p>
    <w:p w14:paraId="1EE7A428" w14:textId="77777777" w:rsidR="001C08A5" w:rsidRDefault="00000000">
      <w:pPr>
        <w:ind w:firstLine="720"/>
        <w:jc w:val="both"/>
        <w:rPr>
          <w:sz w:val="24"/>
          <w:szCs w:val="24"/>
        </w:rPr>
      </w:pPr>
      <w:r>
        <w:rPr>
          <w:b/>
          <w:bCs/>
          <w:sz w:val="24"/>
          <w:szCs w:val="24"/>
        </w:rPr>
        <w:t xml:space="preserve">Art. 2.4.9.10. </w:t>
      </w:r>
      <w:r>
        <w:rPr>
          <w:sz w:val="24"/>
          <w:szCs w:val="24"/>
        </w:rPr>
        <w:t xml:space="preserve">Depozitele de materiale şi/sau substanţe combustibile se separă faţă de atriumuri cu elemente rezistente la foc, alcătuite și dimensionate corespunzător densităţii sarcinii termice (q) din depozitele respective, dar minimum </w:t>
      </w:r>
      <w:r>
        <w:rPr>
          <w:b/>
          <w:sz w:val="24"/>
          <w:szCs w:val="24"/>
        </w:rPr>
        <w:t>EI 120</w:t>
      </w:r>
      <w:r>
        <w:rPr>
          <w:sz w:val="24"/>
          <w:szCs w:val="24"/>
        </w:rPr>
        <w:t>.</w:t>
      </w:r>
    </w:p>
    <w:p w14:paraId="379146E8" w14:textId="77777777" w:rsidR="001C08A5" w:rsidRDefault="001C08A5">
      <w:pPr>
        <w:pStyle w:val="BodyText"/>
        <w:rPr>
          <w:b w:val="0"/>
          <w:bCs w:val="0"/>
        </w:rPr>
      </w:pPr>
    </w:p>
    <w:p w14:paraId="5B5A0AD8" w14:textId="77777777" w:rsidR="001C08A5" w:rsidRDefault="00000000">
      <w:pPr>
        <w:pStyle w:val="BodyText"/>
        <w:ind w:firstLine="720"/>
        <w:rPr>
          <w:b w:val="0"/>
          <w:bCs w:val="0"/>
          <w:i w:val="0"/>
          <w:iCs/>
        </w:rPr>
      </w:pPr>
      <w:r>
        <w:rPr>
          <w:bCs w:val="0"/>
          <w:i w:val="0"/>
          <w:iCs/>
        </w:rPr>
        <w:t>Art. 2.4.9.11. (1)</w:t>
      </w:r>
      <w:r>
        <w:rPr>
          <w:b w:val="0"/>
          <w:bCs w:val="0"/>
          <w:i w:val="0"/>
          <w:iCs/>
        </w:rPr>
        <w:t xml:space="preserve"> La realizarea unor atriumuri, patio sau curţi de lumină pe mai puţin de </w:t>
      </w:r>
      <w:r>
        <w:rPr>
          <w:i w:val="0"/>
          <w:iCs/>
        </w:rPr>
        <w:t>4</w:t>
      </w:r>
      <w:r>
        <w:rPr>
          <w:b w:val="0"/>
          <w:bCs w:val="0"/>
          <w:i w:val="0"/>
          <w:iCs/>
        </w:rPr>
        <w:t xml:space="preserve"> niveluri și acoperite, zonele pline cu înălţimea de cel puţin </w:t>
      </w:r>
      <w:r>
        <w:rPr>
          <w:i w:val="0"/>
          <w:iCs/>
        </w:rPr>
        <w:t>1,20 m</w:t>
      </w:r>
      <w:r>
        <w:rPr>
          <w:b w:val="0"/>
          <w:bCs w:val="0"/>
          <w:i w:val="0"/>
          <w:iCs/>
        </w:rPr>
        <w:t xml:space="preserve">, dintre niveluri, în dreptul planşeelor, trebuie să fie </w:t>
      </w:r>
      <w:r>
        <w:rPr>
          <w:bCs w:val="0"/>
          <w:i w:val="0"/>
          <w:iCs/>
        </w:rPr>
        <w:t>E 30</w:t>
      </w:r>
      <w:r>
        <w:rPr>
          <w:b w:val="0"/>
          <w:bCs w:val="0"/>
          <w:i w:val="0"/>
          <w:iCs/>
        </w:rPr>
        <w:t xml:space="preserve"> .</w:t>
      </w:r>
    </w:p>
    <w:p w14:paraId="285EF522" w14:textId="77777777" w:rsidR="001C08A5" w:rsidRDefault="00000000">
      <w:pPr>
        <w:pStyle w:val="BodyText"/>
        <w:ind w:firstLine="680"/>
        <w:rPr>
          <w:b w:val="0"/>
          <w:bCs w:val="0"/>
          <w:i w:val="0"/>
          <w:iCs/>
        </w:rPr>
      </w:pPr>
      <w:r>
        <w:rPr>
          <w:bCs w:val="0"/>
          <w:i w:val="0"/>
          <w:iCs/>
        </w:rPr>
        <w:lastRenderedPageBreak/>
        <w:t>(2)</w:t>
      </w:r>
      <w:r>
        <w:rPr>
          <w:b w:val="0"/>
          <w:bCs w:val="0"/>
          <w:i w:val="0"/>
          <w:iCs/>
        </w:rPr>
        <w:t xml:space="preserve">  La realizarea unor atriumuri acoperite mai înguste (lăţimea mai mică de </w:t>
      </w:r>
      <w:r>
        <w:rPr>
          <w:i w:val="0"/>
          <w:iCs/>
          <w:position w:val="-8"/>
        </w:rPr>
        <w:object w:dxaOrig="570" w:dyaOrig="435" w14:anchorId="333D8EF6">
          <v:shape id="_x0000_i1028" type="#_x0000_t75" style="width:28.5pt;height:21.75pt" o:ole="">
            <v:imagedata r:id="rId153" o:title="" embosscolor="white"/>
          </v:shape>
          <o:OLEObject Type="Embed" ProgID="Equation.3" ShapeID="_x0000_i1028" DrawAspect="Content" ObjectID="_1773212709" r:id="rId157"/>
        </w:object>
      </w:r>
      <w:r>
        <w:rPr>
          <w:b w:val="0"/>
          <w:bCs w:val="0"/>
          <w:i w:val="0"/>
          <w:iCs/>
        </w:rPr>
        <w:t xml:space="preserve">) decât cele de la </w:t>
      </w:r>
      <w:r>
        <w:rPr>
          <w:bCs w:val="0"/>
          <w:i w:val="0"/>
          <w:iCs/>
        </w:rPr>
        <w:t xml:space="preserve">art. 2.4.9.1. </w:t>
      </w:r>
      <w:r>
        <w:rPr>
          <w:b w:val="0"/>
          <w:bCs w:val="0"/>
          <w:i w:val="0"/>
          <w:iCs/>
        </w:rPr>
        <w:t xml:space="preserve">efectul de coş în caz de incendiu se măreşte şi este necesar să se ia una din următoarele măsuri suplimentare: </w:t>
      </w:r>
    </w:p>
    <w:p w14:paraId="5DEEEC12" w14:textId="77777777" w:rsidR="001C08A5" w:rsidRDefault="00000000">
      <w:pPr>
        <w:pStyle w:val="BodyText"/>
        <w:tabs>
          <w:tab w:val="left" w:pos="1134"/>
        </w:tabs>
        <w:suppressAutoHyphens w:val="0"/>
        <w:ind w:left="1521"/>
        <w:rPr>
          <w:b w:val="0"/>
          <w:bCs w:val="0"/>
          <w:i w:val="0"/>
          <w:iCs/>
        </w:rPr>
      </w:pPr>
      <w:r>
        <w:rPr>
          <w:i w:val="0"/>
          <w:iCs/>
        </w:rPr>
        <w:t xml:space="preserve">a) </w:t>
      </w:r>
      <w:r>
        <w:rPr>
          <w:b w:val="0"/>
          <w:bCs w:val="0"/>
          <w:i w:val="0"/>
          <w:iCs/>
        </w:rPr>
        <w:t xml:space="preserve">pereţii prevăzuţi la </w:t>
      </w:r>
      <w:r>
        <w:rPr>
          <w:bCs w:val="0"/>
          <w:i w:val="0"/>
          <w:iCs/>
        </w:rPr>
        <w:t xml:space="preserve">Art. 2.4.9.6. </w:t>
      </w:r>
      <w:r>
        <w:rPr>
          <w:b w:val="0"/>
          <w:bCs w:val="0"/>
          <w:i w:val="0"/>
          <w:iCs/>
        </w:rPr>
        <w:t xml:space="preserve">trebuie să fie rezistenți </w:t>
      </w:r>
      <w:r>
        <w:rPr>
          <w:b w:val="0"/>
          <w:i w:val="0"/>
          <w:iCs/>
        </w:rPr>
        <w:t xml:space="preserve">corespunzător densităţii sarcinii termice (q) din spaţiile adiacente, conform prevederilor </w:t>
      </w:r>
      <w:r>
        <w:rPr>
          <w:i w:val="0"/>
          <w:iCs/>
        </w:rPr>
        <w:t xml:space="preserve">Art. </w:t>
      </w:r>
      <w:r>
        <w:rPr>
          <w:bCs w:val="0"/>
          <w:i w:val="0"/>
          <w:iCs/>
        </w:rPr>
        <w:t xml:space="preserve">2.3.1.2. </w:t>
      </w:r>
      <w:r>
        <w:rPr>
          <w:b w:val="0"/>
          <w:i w:val="0"/>
          <w:iCs/>
        </w:rPr>
        <w:t xml:space="preserve">şi </w:t>
      </w:r>
      <w:r>
        <w:rPr>
          <w:b w:val="0"/>
          <w:bCs w:val="0"/>
          <w:i w:val="0"/>
          <w:iCs/>
        </w:rPr>
        <w:t xml:space="preserve">din </w:t>
      </w:r>
      <w:r>
        <w:rPr>
          <w:b w:val="0"/>
          <w:bCs w:val="0"/>
          <w:i w:val="0"/>
          <w:iCs/>
        </w:rPr>
        <w:fldChar w:fldCharType="begin"/>
      </w:r>
      <w:r>
        <w:rPr>
          <w:b w:val="0"/>
          <w:bCs w:val="0"/>
          <w:i w:val="0"/>
          <w:iCs/>
        </w:rPr>
        <w:instrText xml:space="preserve"> REF _Ref28465 \h </w:instrText>
      </w:r>
      <w:r>
        <w:rPr>
          <w:b w:val="0"/>
          <w:bCs w:val="0"/>
          <w:i w:val="0"/>
          <w:iCs/>
        </w:rPr>
      </w:r>
      <w:r>
        <w:rPr>
          <w:b w:val="0"/>
          <w:bCs w:val="0"/>
          <w:i w:val="0"/>
          <w:iCs/>
        </w:rPr>
        <w:fldChar w:fldCharType="separate"/>
      </w:r>
      <w:r>
        <w:t>Tabelul 5</w:t>
      </w:r>
      <w:r>
        <w:rPr>
          <w:b w:val="0"/>
          <w:bCs w:val="0"/>
          <w:i w:val="0"/>
          <w:iCs/>
        </w:rPr>
        <w:fldChar w:fldCharType="end"/>
      </w:r>
      <w:r>
        <w:rPr>
          <w:b w:val="0"/>
          <w:i w:val="0"/>
          <w:iCs/>
        </w:rPr>
        <w:t xml:space="preserve"> dar minimum </w:t>
      </w:r>
      <w:r>
        <w:rPr>
          <w:i w:val="0"/>
          <w:iCs/>
        </w:rPr>
        <w:t xml:space="preserve">EI 90 </w:t>
      </w:r>
      <w:r>
        <w:rPr>
          <w:b w:val="0"/>
          <w:bCs w:val="0"/>
          <w:i w:val="0"/>
          <w:iCs/>
        </w:rPr>
        <w:t>pentru nivelul</w:t>
      </w:r>
      <w:r>
        <w:rPr>
          <w:i w:val="0"/>
          <w:iCs/>
        </w:rPr>
        <w:t xml:space="preserve"> I </w:t>
      </w:r>
      <w:r>
        <w:rPr>
          <w:b w:val="0"/>
          <w:bCs w:val="0"/>
          <w:i w:val="0"/>
          <w:iCs/>
        </w:rPr>
        <w:t>şi</w:t>
      </w:r>
      <w:r>
        <w:rPr>
          <w:i w:val="0"/>
          <w:iCs/>
        </w:rPr>
        <w:t xml:space="preserve"> II </w:t>
      </w:r>
      <w:r>
        <w:rPr>
          <w:b w:val="0"/>
          <w:bCs w:val="0"/>
          <w:i w:val="0"/>
          <w:iCs/>
        </w:rPr>
        <w:t>de stabilitate la incendiu, respectiv minimum</w:t>
      </w:r>
      <w:r>
        <w:rPr>
          <w:i w:val="0"/>
          <w:iCs/>
        </w:rPr>
        <w:t xml:space="preserve"> EI 60 </w:t>
      </w:r>
      <w:r>
        <w:rPr>
          <w:b w:val="0"/>
          <w:bCs w:val="0"/>
          <w:i w:val="0"/>
          <w:iCs/>
        </w:rPr>
        <w:t>pentru celelalte niveluri de stabilitate la incendiu.</w:t>
      </w:r>
    </w:p>
    <w:p w14:paraId="31E35CC2" w14:textId="77777777" w:rsidR="001C08A5" w:rsidRDefault="00000000">
      <w:pPr>
        <w:pStyle w:val="BodyText"/>
        <w:tabs>
          <w:tab w:val="left" w:pos="284"/>
          <w:tab w:val="left" w:pos="1134"/>
        </w:tabs>
        <w:suppressAutoHyphens w:val="0"/>
        <w:ind w:left="1549"/>
        <w:rPr>
          <w:b w:val="0"/>
          <w:bCs w:val="0"/>
          <w:i w:val="0"/>
          <w:iCs/>
        </w:rPr>
      </w:pPr>
      <w:r>
        <w:rPr>
          <w:i w:val="0"/>
          <w:iCs/>
        </w:rPr>
        <w:t xml:space="preserve">b) </w:t>
      </w:r>
      <w:r>
        <w:rPr>
          <w:b w:val="0"/>
          <w:bCs w:val="0"/>
          <w:i w:val="0"/>
          <w:iCs/>
        </w:rPr>
        <w:t>realizarea, la limita atriumului,</w:t>
      </w:r>
      <w:r>
        <w:rPr>
          <w:b w:val="0"/>
          <w:i w:val="0"/>
          <w:iCs/>
        </w:rPr>
        <w:t xml:space="preserve"> a unor </w:t>
      </w:r>
      <w:r>
        <w:rPr>
          <w:b w:val="0"/>
          <w:bCs w:val="0"/>
          <w:i w:val="0"/>
          <w:iCs/>
        </w:rPr>
        <w:t xml:space="preserve">ecrane continue dispuse sub planşee, având înălţimea de cel puţin </w:t>
      </w:r>
      <w:r>
        <w:rPr>
          <w:bCs w:val="0"/>
          <w:i w:val="0"/>
          <w:iCs/>
        </w:rPr>
        <w:t xml:space="preserve">50 cm și </w:t>
      </w:r>
      <w:r>
        <w:rPr>
          <w:b w:val="0"/>
          <w:bCs w:val="0"/>
          <w:i w:val="0"/>
          <w:iCs/>
        </w:rPr>
        <w:t xml:space="preserve">rezistenţa la foc minimum </w:t>
      </w:r>
      <w:r>
        <w:rPr>
          <w:bCs w:val="0"/>
          <w:i w:val="0"/>
          <w:iCs/>
        </w:rPr>
        <w:t xml:space="preserve">DH 90 </w:t>
      </w:r>
      <w:r>
        <w:rPr>
          <w:b w:val="0"/>
          <w:bCs w:val="0"/>
          <w:i w:val="0"/>
          <w:iCs/>
        </w:rPr>
        <w:t>pentru nivelul</w:t>
      </w:r>
      <w:r>
        <w:rPr>
          <w:i w:val="0"/>
          <w:iCs/>
        </w:rPr>
        <w:t xml:space="preserve"> I </w:t>
      </w:r>
      <w:r>
        <w:rPr>
          <w:b w:val="0"/>
          <w:bCs w:val="0"/>
          <w:i w:val="0"/>
          <w:iCs/>
        </w:rPr>
        <w:t xml:space="preserve">şi </w:t>
      </w:r>
      <w:r>
        <w:rPr>
          <w:i w:val="0"/>
          <w:iCs/>
        </w:rPr>
        <w:t xml:space="preserve">II </w:t>
      </w:r>
      <w:r>
        <w:rPr>
          <w:b w:val="0"/>
          <w:bCs w:val="0"/>
          <w:i w:val="0"/>
          <w:iCs/>
        </w:rPr>
        <w:t>de stabilitate la incendiu, respectiv minimum</w:t>
      </w:r>
      <w:r>
        <w:rPr>
          <w:i w:val="0"/>
          <w:iCs/>
        </w:rPr>
        <w:t xml:space="preserve"> DH 60 </w:t>
      </w:r>
      <w:r>
        <w:rPr>
          <w:b w:val="0"/>
          <w:bCs w:val="0"/>
          <w:i w:val="0"/>
          <w:iCs/>
        </w:rPr>
        <w:t>pentru celelalte niveluri de stabilitate la incendiu</w:t>
      </w:r>
      <w:r>
        <w:rPr>
          <w:bCs w:val="0"/>
          <w:i w:val="0"/>
          <w:iCs/>
        </w:rPr>
        <w:t xml:space="preserve">, </w:t>
      </w:r>
      <w:r>
        <w:rPr>
          <w:b w:val="0"/>
          <w:bCs w:val="0"/>
          <w:i w:val="0"/>
          <w:iCs/>
        </w:rPr>
        <w:t xml:space="preserve">precum și </w:t>
      </w:r>
      <w:r>
        <w:rPr>
          <w:b w:val="0"/>
          <w:i w:val="0"/>
          <w:iCs/>
        </w:rPr>
        <w:t xml:space="preserve">perdele de apă perimetrale </w:t>
      </w:r>
      <w:r>
        <w:rPr>
          <w:b w:val="0"/>
          <w:bCs w:val="0"/>
          <w:i w:val="0"/>
          <w:iCs/>
        </w:rPr>
        <w:t xml:space="preserve">cu intrarea automată în funcţiune şi cu durata minimă de funcţionare </w:t>
      </w:r>
      <w:r>
        <w:rPr>
          <w:i w:val="0"/>
          <w:iCs/>
        </w:rPr>
        <w:t>60 minute</w:t>
      </w:r>
      <w:r>
        <w:rPr>
          <w:b w:val="0"/>
          <w:bCs w:val="0"/>
          <w:i w:val="0"/>
          <w:iCs/>
        </w:rPr>
        <w:t xml:space="preserve">.  </w:t>
      </w:r>
    </w:p>
    <w:p w14:paraId="7A6A5FBB" w14:textId="77777777" w:rsidR="001C08A5" w:rsidRDefault="00000000">
      <w:pPr>
        <w:pStyle w:val="BodyText"/>
        <w:ind w:firstLine="680"/>
        <w:rPr>
          <w:i w:val="0"/>
          <w:iCs/>
        </w:rPr>
      </w:pPr>
      <w:r>
        <w:rPr>
          <w:bCs w:val="0"/>
          <w:i w:val="0"/>
          <w:iCs/>
        </w:rPr>
        <w:t>(3)</w:t>
      </w:r>
      <w:r>
        <w:rPr>
          <w:b w:val="0"/>
          <w:bCs w:val="0"/>
          <w:i w:val="0"/>
          <w:iCs/>
        </w:rPr>
        <w:t xml:space="preserve"> La atriumurile neacoperite se aplică dispozițiile privind limitarea propagării incendiului pe fațadă.</w:t>
      </w:r>
    </w:p>
    <w:p w14:paraId="5DE7804B" w14:textId="77777777" w:rsidR="001C08A5" w:rsidRDefault="00000000">
      <w:pPr>
        <w:pStyle w:val="Heading4"/>
      </w:pPr>
      <w:bookmarkStart w:id="1870" w:name="_Toc162355238"/>
      <w:bookmarkStart w:id="1871" w:name="_Toc11244"/>
      <w:bookmarkStart w:id="1872" w:name="_Toc3213"/>
      <w:bookmarkStart w:id="1873" w:name="_Toc6947"/>
      <w:bookmarkStart w:id="1874" w:name="_Toc27340"/>
      <w:bookmarkStart w:id="1875" w:name="_Toc28329"/>
      <w:bookmarkStart w:id="1876" w:name="_Toc25846"/>
      <w:bookmarkStart w:id="1877" w:name="_Toc9622"/>
      <w:r>
        <w:t>2.4.10. Galerii, canale, estacade</w:t>
      </w:r>
      <w:bookmarkEnd w:id="1870"/>
      <w:bookmarkEnd w:id="1871"/>
      <w:bookmarkEnd w:id="1872"/>
      <w:bookmarkEnd w:id="1873"/>
      <w:bookmarkEnd w:id="1874"/>
      <w:bookmarkEnd w:id="1875"/>
      <w:bookmarkEnd w:id="1876"/>
      <w:bookmarkEnd w:id="1877"/>
    </w:p>
    <w:p w14:paraId="1531A4BA" w14:textId="77777777" w:rsidR="001C08A5" w:rsidRDefault="001C08A5">
      <w:pPr>
        <w:rPr>
          <w:sz w:val="24"/>
          <w:szCs w:val="24"/>
        </w:rPr>
      </w:pPr>
    </w:p>
    <w:p w14:paraId="2C892121" w14:textId="77777777" w:rsidR="001C08A5" w:rsidRDefault="00000000">
      <w:pPr>
        <w:jc w:val="both"/>
        <w:rPr>
          <w:sz w:val="24"/>
          <w:szCs w:val="24"/>
        </w:rPr>
      </w:pPr>
      <w:r>
        <w:rPr>
          <w:b/>
          <w:sz w:val="24"/>
          <w:szCs w:val="24"/>
        </w:rPr>
        <w:tab/>
        <w:t xml:space="preserve">Art. 2.4.10.1. (1) </w:t>
      </w:r>
      <w:r>
        <w:rPr>
          <w:sz w:val="24"/>
          <w:szCs w:val="24"/>
        </w:rPr>
        <w:t xml:space="preserve">Atunci când trec peste construcţii şi sunt destinate evacuării utilizatorilor, galeriile, canalele şi estacadele se prevăd în porţiunile respective, cu pereţi rezistenţi la foc minimum  </w:t>
      </w:r>
      <w:r>
        <w:rPr>
          <w:b/>
          <w:sz w:val="24"/>
          <w:szCs w:val="24"/>
        </w:rPr>
        <w:t xml:space="preserve">EI/REI 120 </w:t>
      </w:r>
      <w:r>
        <w:rPr>
          <w:sz w:val="24"/>
          <w:szCs w:val="24"/>
        </w:rPr>
        <w:t xml:space="preserve"> şi planşee rezistente la foc minimum </w:t>
      </w:r>
      <w:r>
        <w:rPr>
          <w:b/>
          <w:sz w:val="24"/>
          <w:szCs w:val="24"/>
        </w:rPr>
        <w:t>REI 90</w:t>
      </w:r>
      <w:r>
        <w:rPr>
          <w:sz w:val="24"/>
          <w:szCs w:val="24"/>
        </w:rPr>
        <w:t>. Se admite utilizarea galeriilor, estacadelor și a pasarelor destinate evacuarii utilizatorilor, și pentru conducte de transport lichide sau gaze al căror amestec nu poate iniţia incendiu sau explozie volumetrică sau care nu afecteaza evacuarea în cazul avarierii lor.</w:t>
      </w:r>
    </w:p>
    <w:p w14:paraId="23C8B340" w14:textId="77777777" w:rsidR="001C08A5" w:rsidRDefault="00000000">
      <w:pPr>
        <w:ind w:firstLine="720"/>
        <w:jc w:val="both"/>
        <w:rPr>
          <w:sz w:val="24"/>
          <w:szCs w:val="24"/>
        </w:rPr>
      </w:pPr>
      <w:r>
        <w:rPr>
          <w:b/>
          <w:sz w:val="24"/>
          <w:szCs w:val="24"/>
        </w:rPr>
        <w:t xml:space="preserve">(2) </w:t>
      </w:r>
      <w:r>
        <w:rPr>
          <w:sz w:val="24"/>
          <w:szCs w:val="24"/>
        </w:rPr>
        <w:t>În galerii, canale sau estacade nu este admisă montarea neseparată a conductelor ori sistemelor de transport pentru lichide sau gaze al căror amestec poate iniţia incendiu sau explozie volumetrică.</w:t>
      </w:r>
    </w:p>
    <w:p w14:paraId="659163EE" w14:textId="77777777" w:rsidR="001C08A5" w:rsidRDefault="00000000">
      <w:pPr>
        <w:ind w:firstLine="720"/>
        <w:jc w:val="both"/>
        <w:rPr>
          <w:sz w:val="24"/>
          <w:szCs w:val="24"/>
        </w:rPr>
      </w:pPr>
      <w:r>
        <w:rPr>
          <w:b/>
          <w:sz w:val="24"/>
          <w:szCs w:val="24"/>
        </w:rPr>
        <w:t xml:space="preserve">(3) </w:t>
      </w:r>
      <w:r>
        <w:rPr>
          <w:sz w:val="24"/>
          <w:szCs w:val="24"/>
        </w:rPr>
        <w:t xml:space="preserve">Galeriile, canalele şi estacadele închise cu aria construită mai mare de </w:t>
      </w:r>
      <w:r>
        <w:rPr>
          <w:b/>
          <w:bCs/>
          <w:sz w:val="24"/>
          <w:szCs w:val="24"/>
        </w:rPr>
        <w:t>800 m</w:t>
      </w:r>
      <w:r>
        <w:rPr>
          <w:b/>
          <w:bCs/>
          <w:sz w:val="24"/>
          <w:szCs w:val="24"/>
          <w:vertAlign w:val="superscript"/>
        </w:rPr>
        <w:t>2</w:t>
      </w:r>
      <w:r>
        <w:rPr>
          <w:sz w:val="24"/>
          <w:szCs w:val="24"/>
        </w:rPr>
        <w:t xml:space="preserve"> prin care se transportă materiale ori substanţe combustibile, vor avea asigurate posibilităţi de evacuare a fumului şi gazelor fierbinţi în caz de incendiu, prin tiraj natural-organizat (minimum </w:t>
      </w:r>
      <w:r>
        <w:rPr>
          <w:b/>
          <w:sz w:val="24"/>
          <w:szCs w:val="24"/>
        </w:rPr>
        <w:t>1%</w:t>
      </w:r>
      <w:r>
        <w:rPr>
          <w:sz w:val="24"/>
          <w:szCs w:val="24"/>
        </w:rPr>
        <w:t xml:space="preserve"> suprafaţă utilă/aerodinamică liberă din aria pardoselii încăperii) sau prin ventilare mecanică. Galeriile, estacadele și pasarele destinate evacuarii utilizatorilor închise și cu lungimi mai mari de </w:t>
      </w:r>
      <w:r>
        <w:rPr>
          <w:b/>
          <w:bCs/>
          <w:sz w:val="24"/>
          <w:szCs w:val="24"/>
        </w:rPr>
        <w:t>50 m</w:t>
      </w:r>
      <w:r>
        <w:rPr>
          <w:sz w:val="24"/>
          <w:szCs w:val="24"/>
        </w:rPr>
        <w:t xml:space="preserve">, vor avea asigurate posibilităţi de evacuare a fumului şi gazelor fierbinţi în caz de incendiu, prin tiraj natural-organizat (minimum </w:t>
      </w:r>
      <w:r>
        <w:rPr>
          <w:b/>
          <w:sz w:val="24"/>
          <w:szCs w:val="24"/>
        </w:rPr>
        <w:t>1%</w:t>
      </w:r>
      <w:r>
        <w:rPr>
          <w:sz w:val="24"/>
          <w:szCs w:val="24"/>
        </w:rPr>
        <w:t xml:space="preserve"> suprafaţă utilă/aerodinamică din aria pardoselii încăperii) sau prin ventilare mecanică.</w:t>
      </w:r>
    </w:p>
    <w:p w14:paraId="15B39ED2" w14:textId="77777777" w:rsidR="001C08A5" w:rsidRDefault="00000000">
      <w:pPr>
        <w:ind w:firstLine="720"/>
        <w:jc w:val="both"/>
        <w:rPr>
          <w:sz w:val="24"/>
          <w:szCs w:val="24"/>
        </w:rPr>
      </w:pPr>
      <w:r>
        <w:rPr>
          <w:b/>
          <w:sz w:val="24"/>
          <w:szCs w:val="24"/>
        </w:rPr>
        <w:t xml:space="preserve">(4) </w:t>
      </w:r>
      <w:r>
        <w:rPr>
          <w:sz w:val="24"/>
          <w:szCs w:val="24"/>
        </w:rPr>
        <w:t xml:space="preserve">La intrarea în clădiri a canalelor, galeriilor şi estacadelor închise de orice fel, golurile respective se protejază în funcţie de natura materialelor din care sunt realizate şi a celor transportate, de destinaţia spaţiilor spre care acced și de rolul peretelui în asigurarea securităţii la incendiu a construcţiei, cu elemente </w:t>
      </w:r>
      <w:r>
        <w:rPr>
          <w:bCs/>
          <w:spacing w:val="2"/>
          <w:sz w:val="24"/>
          <w:szCs w:val="24"/>
        </w:rPr>
        <w:t xml:space="preserve">rezistente la foc active sau pasive de securitate la incendiu </w:t>
      </w:r>
      <w:r>
        <w:rPr>
          <w:sz w:val="24"/>
          <w:szCs w:val="24"/>
        </w:rPr>
        <w:t xml:space="preserve">minimum </w:t>
      </w:r>
      <w:r>
        <w:rPr>
          <w:b/>
          <w:sz w:val="24"/>
          <w:szCs w:val="24"/>
        </w:rPr>
        <w:t>EI 60</w:t>
      </w:r>
      <w:r>
        <w:rPr>
          <w:sz w:val="24"/>
          <w:szCs w:val="24"/>
        </w:rPr>
        <w:t xml:space="preserve">. </w:t>
      </w:r>
    </w:p>
    <w:p w14:paraId="26E08D59" w14:textId="77777777" w:rsidR="001C08A5" w:rsidRDefault="00000000">
      <w:pPr>
        <w:ind w:firstLine="720"/>
        <w:jc w:val="both"/>
        <w:rPr>
          <w:sz w:val="24"/>
          <w:szCs w:val="24"/>
        </w:rPr>
      </w:pPr>
      <w:r>
        <w:rPr>
          <w:b/>
          <w:sz w:val="24"/>
          <w:szCs w:val="24"/>
        </w:rPr>
        <w:t xml:space="preserve">(5) </w:t>
      </w:r>
      <w:r>
        <w:rPr>
          <w:sz w:val="24"/>
          <w:szCs w:val="24"/>
        </w:rPr>
        <w:t xml:space="preserve">Fac excepţie de la </w:t>
      </w:r>
      <w:r>
        <w:rPr>
          <w:b/>
          <w:sz w:val="24"/>
          <w:szCs w:val="24"/>
        </w:rPr>
        <w:t>alin. (4)</w:t>
      </w:r>
      <w:r>
        <w:rPr>
          <w:sz w:val="24"/>
          <w:szCs w:val="24"/>
        </w:rPr>
        <w:t xml:space="preserve"> galeriile, canalele şi estacadele deschise realizate din elemente rezistente la foc </w:t>
      </w:r>
      <w:r>
        <w:rPr>
          <w:b/>
          <w:sz w:val="24"/>
          <w:szCs w:val="24"/>
        </w:rPr>
        <w:t>R 15</w:t>
      </w:r>
      <w:r>
        <w:rPr>
          <w:sz w:val="24"/>
          <w:szCs w:val="24"/>
        </w:rPr>
        <w:t xml:space="preserve"> prin care se transportă materiale incombustibile, situaţie în care protejarea golurilor este obligatorie numai atunci când acestea traversează pereţi rezistenţi la foc care delimitează compartimente de incendiu.</w:t>
      </w:r>
    </w:p>
    <w:p w14:paraId="0F9B4582" w14:textId="77777777" w:rsidR="001C08A5" w:rsidRDefault="00000000">
      <w:pPr>
        <w:pStyle w:val="Heading4"/>
      </w:pPr>
      <w:bookmarkStart w:id="1878" w:name="_Toc26312"/>
      <w:bookmarkStart w:id="1879" w:name="_Toc3786"/>
      <w:bookmarkStart w:id="1880" w:name="_Toc10626"/>
      <w:bookmarkStart w:id="1881" w:name="_Toc27111"/>
      <w:bookmarkStart w:id="1882" w:name="_Toc13099"/>
      <w:bookmarkStart w:id="1883" w:name="_Toc30987"/>
      <w:bookmarkStart w:id="1884" w:name="_Toc162355239"/>
      <w:bookmarkStart w:id="1885" w:name="_Toc8225"/>
      <w:r>
        <w:t>2.4.11. Ghene pentru instalaţii</w:t>
      </w:r>
      <w:bookmarkEnd w:id="1878"/>
      <w:bookmarkEnd w:id="1879"/>
      <w:bookmarkEnd w:id="1880"/>
      <w:bookmarkEnd w:id="1881"/>
      <w:bookmarkEnd w:id="1882"/>
      <w:bookmarkEnd w:id="1883"/>
      <w:bookmarkEnd w:id="1884"/>
      <w:bookmarkEnd w:id="1885"/>
    </w:p>
    <w:p w14:paraId="52C64C37" w14:textId="77777777" w:rsidR="001C08A5" w:rsidRDefault="001C08A5">
      <w:pPr>
        <w:jc w:val="both"/>
        <w:rPr>
          <w:sz w:val="24"/>
          <w:szCs w:val="24"/>
        </w:rPr>
      </w:pPr>
    </w:p>
    <w:p w14:paraId="1C66B878" w14:textId="77777777" w:rsidR="001C08A5" w:rsidRDefault="00000000">
      <w:pPr>
        <w:jc w:val="both"/>
        <w:rPr>
          <w:sz w:val="24"/>
          <w:szCs w:val="24"/>
        </w:rPr>
      </w:pPr>
      <w:r>
        <w:rPr>
          <w:b/>
          <w:sz w:val="24"/>
          <w:szCs w:val="24"/>
        </w:rPr>
        <w:tab/>
        <w:t xml:space="preserve">Art. 2.4.11.1. </w:t>
      </w:r>
      <w:r>
        <w:rPr>
          <w:sz w:val="24"/>
          <w:szCs w:val="24"/>
        </w:rPr>
        <w:t xml:space="preserve">În interiorul construcţiilor, pereţii tuturor ghenelor verticale pentru instalaţii (conducte, cabluri, tuburi, țevi, etc.), trapele și ușile de vizitare ale acestora, trebuie să fie realizate din materiale incombustibileiar golurile de trecere a instalațiilor aferente construcției, precum şi dintre acestea şi elementul străpuns, trebuie protejate cu materiale/sisteme în alcătuiri rezistente la foc minimum </w:t>
      </w:r>
      <w:r>
        <w:rPr>
          <w:rFonts w:eastAsia="Times-Roman"/>
          <w:b/>
          <w:bCs/>
          <w:sz w:val="24"/>
          <w:szCs w:val="24"/>
        </w:rPr>
        <w:t>EI</w:t>
      </w:r>
      <w:r>
        <w:rPr>
          <w:rFonts w:eastAsia="Times-Roman"/>
          <w:sz w:val="24"/>
          <w:szCs w:val="24"/>
        </w:rPr>
        <w:t xml:space="preserve"> conform cerinţelor din </w:t>
      </w:r>
      <w:r>
        <w:rPr>
          <w:rStyle w:val="CaptiontabelChar"/>
        </w:rPr>
        <w:fldChar w:fldCharType="begin"/>
      </w:r>
      <w:r>
        <w:rPr>
          <w:rStyle w:val="CaptiontabelChar"/>
        </w:rPr>
        <w:instrText xml:space="preserve"> REF _Ref26473 \h </w:instrText>
      </w:r>
      <w:r>
        <w:rPr>
          <w:rStyle w:val="CaptiontabelChar"/>
        </w:rPr>
      </w:r>
      <w:r>
        <w:rPr>
          <w:rStyle w:val="CaptiontabelChar"/>
        </w:rPr>
        <w:fldChar w:fldCharType="separate"/>
      </w:r>
      <w:r>
        <w:t>Tabelul 2</w:t>
      </w:r>
      <w:r>
        <w:rPr>
          <w:rStyle w:val="CaptiontabelChar"/>
        </w:rPr>
        <w:fldChar w:fldCharType="end"/>
      </w:r>
      <w:r>
        <w:rPr>
          <w:rStyle w:val="CaptiontabelChar"/>
        </w:rPr>
        <w:t xml:space="preserve"> </w:t>
      </w:r>
      <w:r>
        <w:rPr>
          <w:rStyle w:val="NORMALBOLDTABELE"/>
        </w:rPr>
        <w:t>pct.3</w:t>
      </w:r>
      <w:r>
        <w:rPr>
          <w:rFonts w:eastAsia="Times-Roman"/>
          <w:sz w:val="24"/>
          <w:szCs w:val="24"/>
        </w:rPr>
        <w:t xml:space="preserve"> și </w:t>
      </w:r>
      <w:r>
        <w:rPr>
          <w:rFonts w:eastAsia="Times-Roman"/>
          <w:b/>
          <w:bCs/>
          <w:i/>
          <w:iCs/>
          <w:sz w:val="24"/>
          <w:szCs w:val="24"/>
        </w:rPr>
        <w:fldChar w:fldCharType="begin"/>
      </w:r>
      <w:r>
        <w:rPr>
          <w:rFonts w:eastAsia="Times-Roman"/>
          <w:b/>
          <w:bCs/>
          <w:i/>
          <w:iCs/>
          <w:sz w:val="24"/>
          <w:szCs w:val="24"/>
        </w:rPr>
        <w:instrText xml:space="preserve"> REF _Ref11612 \h </w:instrText>
      </w:r>
      <w:r>
        <w:rPr>
          <w:rFonts w:eastAsia="Times-Roman"/>
          <w:b/>
          <w:bCs/>
          <w:i/>
          <w:iCs/>
          <w:sz w:val="24"/>
          <w:szCs w:val="24"/>
        </w:rPr>
      </w:r>
      <w:r>
        <w:rPr>
          <w:rFonts w:eastAsia="Times-Roman"/>
          <w:b/>
          <w:bCs/>
          <w:i/>
          <w:iCs/>
          <w:sz w:val="24"/>
          <w:szCs w:val="24"/>
        </w:rPr>
        <w:fldChar w:fldCharType="separate"/>
      </w:r>
      <w:r>
        <w:t>Tabelul 3</w:t>
      </w:r>
      <w:r>
        <w:rPr>
          <w:rFonts w:eastAsia="Times-Roman"/>
          <w:b/>
          <w:bCs/>
          <w:i/>
          <w:iCs/>
          <w:sz w:val="24"/>
          <w:szCs w:val="24"/>
        </w:rPr>
        <w:fldChar w:fldCharType="end"/>
      </w:r>
      <w:r>
        <w:rPr>
          <w:rFonts w:eastAsia="Times-Roman"/>
          <w:b/>
          <w:bCs/>
          <w:i/>
          <w:iCs/>
          <w:sz w:val="24"/>
          <w:szCs w:val="24"/>
        </w:rPr>
        <w:t xml:space="preserve"> </w:t>
      </w:r>
      <w:r>
        <w:rPr>
          <w:rStyle w:val="NORMALBOLDTABELE"/>
        </w:rPr>
        <w:t xml:space="preserve">pct.3 </w:t>
      </w:r>
      <w:r>
        <w:rPr>
          <w:rFonts w:eastAsia="Times-Roman"/>
          <w:sz w:val="24"/>
          <w:szCs w:val="24"/>
        </w:rPr>
        <w:t>pentru planşee</w:t>
      </w:r>
      <w:r>
        <w:rPr>
          <w:sz w:val="24"/>
          <w:szCs w:val="24"/>
        </w:rPr>
        <w:t>, cu excepţia cazurilor precizate în normativ la tipuri de clădiri și în reglementările tehnice specifice.</w:t>
      </w:r>
    </w:p>
    <w:p w14:paraId="2BBF88F2" w14:textId="77777777" w:rsidR="001C08A5" w:rsidRDefault="001C08A5">
      <w:pPr>
        <w:jc w:val="both"/>
        <w:rPr>
          <w:b/>
          <w:sz w:val="24"/>
          <w:szCs w:val="24"/>
        </w:rPr>
      </w:pPr>
    </w:p>
    <w:p w14:paraId="6DF56BFA" w14:textId="77777777" w:rsidR="001C08A5" w:rsidRDefault="00000000">
      <w:pPr>
        <w:numPr>
          <w:ilvl w:val="255"/>
          <w:numId w:val="0"/>
        </w:numPr>
        <w:ind w:firstLine="720"/>
        <w:jc w:val="both"/>
        <w:rPr>
          <w:b/>
          <w:sz w:val="24"/>
          <w:szCs w:val="24"/>
        </w:rPr>
      </w:pPr>
      <w:r>
        <w:rPr>
          <w:b/>
          <w:sz w:val="24"/>
          <w:szCs w:val="24"/>
        </w:rPr>
        <w:t>Art. 2.4.11.2. (1)</w:t>
      </w:r>
      <w:r>
        <w:rPr>
          <w:sz w:val="24"/>
          <w:szCs w:val="24"/>
        </w:rPr>
        <w:t xml:space="preserve"> Atunci când golurile ghenelor de trecere a instalațiilor aferente construcției, precum şi dintre acestea şi elementul străpuns, </w:t>
      </w:r>
      <w:r>
        <w:rPr>
          <w:b/>
          <w:bCs/>
          <w:sz w:val="24"/>
          <w:szCs w:val="24"/>
        </w:rPr>
        <w:t>sunt protejate</w:t>
      </w:r>
      <w:r>
        <w:rPr>
          <w:sz w:val="24"/>
          <w:szCs w:val="24"/>
        </w:rPr>
        <w:t xml:space="preserve"> cu materiale/sisteme în alcătuiri rezistente la foc minimum </w:t>
      </w:r>
      <w:r>
        <w:rPr>
          <w:rFonts w:eastAsia="Times-Roman"/>
          <w:b/>
          <w:bCs/>
          <w:sz w:val="24"/>
          <w:szCs w:val="24"/>
        </w:rPr>
        <w:t>EI</w:t>
      </w:r>
      <w:r>
        <w:rPr>
          <w:rFonts w:eastAsia="Times-Roman"/>
          <w:sz w:val="24"/>
          <w:szCs w:val="24"/>
        </w:rPr>
        <w:t xml:space="preserve"> conform cerinţelor din </w:t>
      </w:r>
      <w:r>
        <w:rPr>
          <w:rStyle w:val="CaptionChar"/>
        </w:rPr>
        <w:fldChar w:fldCharType="begin"/>
      </w:r>
      <w:r>
        <w:rPr>
          <w:rStyle w:val="CaptionChar"/>
        </w:rPr>
        <w:instrText xml:space="preserve"> REF _Ref26473 \h </w:instrText>
      </w:r>
      <w:r>
        <w:rPr>
          <w:rStyle w:val="CaptionChar"/>
        </w:rPr>
      </w:r>
      <w:r>
        <w:rPr>
          <w:rStyle w:val="CaptionChar"/>
        </w:rPr>
        <w:fldChar w:fldCharType="separate"/>
      </w:r>
      <w:r>
        <w:t>Tabelul 2</w:t>
      </w:r>
      <w:r>
        <w:rPr>
          <w:rStyle w:val="CaptionChar"/>
        </w:rPr>
        <w:fldChar w:fldCharType="end"/>
      </w:r>
      <w:r>
        <w:rPr>
          <w:rStyle w:val="NORMALBOLDTABELE"/>
        </w:rPr>
        <w:t xml:space="preserve"> pct.3</w:t>
      </w:r>
      <w:r>
        <w:rPr>
          <w:rFonts w:eastAsia="Times-Roman"/>
          <w:sz w:val="24"/>
          <w:szCs w:val="24"/>
        </w:rPr>
        <w:t xml:space="preserve"> și </w:t>
      </w:r>
      <w:r>
        <w:rPr>
          <w:rStyle w:val="CaptionChar"/>
        </w:rPr>
        <w:fldChar w:fldCharType="begin"/>
      </w:r>
      <w:r>
        <w:rPr>
          <w:rStyle w:val="CaptionChar"/>
        </w:rPr>
        <w:instrText xml:space="preserve"> REF _Ref11612 \h </w:instrText>
      </w:r>
      <w:r>
        <w:rPr>
          <w:rStyle w:val="CaptionChar"/>
        </w:rPr>
      </w:r>
      <w:r>
        <w:rPr>
          <w:rStyle w:val="CaptionChar"/>
        </w:rPr>
        <w:fldChar w:fldCharType="separate"/>
      </w:r>
      <w:r>
        <w:t>Tabelul 3</w:t>
      </w:r>
      <w:r>
        <w:rPr>
          <w:rStyle w:val="CaptionChar"/>
        </w:rPr>
        <w:fldChar w:fldCharType="end"/>
      </w:r>
      <w:r>
        <w:rPr>
          <w:rStyle w:val="NORMALBOLDTABELE"/>
        </w:rPr>
        <w:t xml:space="preserve"> pct.3 </w:t>
      </w:r>
      <w:r>
        <w:rPr>
          <w:rFonts w:eastAsia="Times-Roman"/>
          <w:sz w:val="24"/>
          <w:szCs w:val="24"/>
        </w:rPr>
        <w:t>pentru planşee</w:t>
      </w:r>
      <w:r>
        <w:rPr>
          <w:sz w:val="24"/>
          <w:szCs w:val="24"/>
        </w:rPr>
        <w:t xml:space="preserve">, ghenele verticale pentru instalaţii se separă de restul clădirii cu înălțime obișnuită prin pereţi </w:t>
      </w:r>
      <w:r>
        <w:rPr>
          <w:rFonts w:eastAsia="TimesNewRomanPSMT-Identity-H"/>
          <w:iCs/>
          <w:sz w:val="24"/>
          <w:szCs w:val="24"/>
        </w:rPr>
        <w:t xml:space="preserve">clasa de reacție la foc </w:t>
      </w:r>
      <w:r>
        <w:rPr>
          <w:b/>
          <w:bCs/>
          <w:iCs/>
          <w:sz w:val="24"/>
          <w:szCs w:val="24"/>
          <w:lang w:val="en-GB"/>
        </w:rPr>
        <w:t>A1, A2s1d0</w:t>
      </w:r>
      <w:r>
        <w:rPr>
          <w:rFonts w:eastAsia="Calibri"/>
          <w:iCs/>
          <w:sz w:val="24"/>
          <w:szCs w:val="24"/>
          <w:shd w:val="clear" w:color="auto" w:fill="FFFFFF"/>
        </w:rPr>
        <w:t xml:space="preserve"> cu rezistența la foc minimum</w:t>
      </w:r>
    </w:p>
    <w:p w14:paraId="7B3C3B45" w14:textId="77777777" w:rsidR="001C08A5" w:rsidRDefault="00000000">
      <w:pPr>
        <w:numPr>
          <w:ilvl w:val="255"/>
          <w:numId w:val="0"/>
        </w:numPr>
        <w:ind w:left="720" w:firstLine="720"/>
        <w:jc w:val="both"/>
        <w:rPr>
          <w:rFonts w:eastAsia="Calibri"/>
          <w:iCs/>
          <w:sz w:val="24"/>
          <w:szCs w:val="24"/>
          <w:shd w:val="clear" w:color="auto" w:fill="FFFFFF"/>
        </w:rPr>
      </w:pPr>
      <w:r>
        <w:rPr>
          <w:b/>
          <w:sz w:val="24"/>
          <w:szCs w:val="24"/>
        </w:rPr>
        <w:t xml:space="preserve">- EI/REI 30 </w:t>
      </w:r>
      <w:r>
        <w:rPr>
          <w:sz w:val="24"/>
          <w:szCs w:val="24"/>
        </w:rPr>
        <w:t xml:space="preserve">iar ușile sau trapele de vizitare ale acestora vor fi </w:t>
      </w:r>
      <w:r>
        <w:rPr>
          <w:rFonts w:eastAsia="Calibri"/>
          <w:iCs/>
          <w:sz w:val="24"/>
          <w:szCs w:val="24"/>
          <w:shd w:val="clear" w:color="auto" w:fill="FFFFFF"/>
        </w:rPr>
        <w:t xml:space="preserve"> realizate din materiale </w:t>
      </w:r>
      <w:r>
        <w:rPr>
          <w:b/>
          <w:bCs/>
          <w:iCs/>
          <w:sz w:val="24"/>
          <w:szCs w:val="24"/>
          <w:lang w:val="en-GB"/>
        </w:rPr>
        <w:t>A1, A2s1d0</w:t>
      </w:r>
      <w:r>
        <w:rPr>
          <w:b/>
          <w:bCs/>
          <w:iCs/>
          <w:sz w:val="24"/>
          <w:szCs w:val="24"/>
        </w:rPr>
        <w:t xml:space="preserve"> </w:t>
      </w:r>
      <w:r>
        <w:rPr>
          <w:rFonts w:eastAsia="Calibri"/>
          <w:iCs/>
          <w:sz w:val="24"/>
          <w:szCs w:val="24"/>
          <w:shd w:val="clear" w:color="auto" w:fill="FFFFFF"/>
        </w:rPr>
        <w:t xml:space="preserve">la clădirile cu nivelul </w:t>
      </w:r>
      <w:r>
        <w:rPr>
          <w:rFonts w:eastAsia="Calibri"/>
          <w:b/>
          <w:bCs/>
          <w:iCs/>
          <w:sz w:val="24"/>
          <w:szCs w:val="24"/>
          <w:shd w:val="clear" w:color="auto" w:fill="FFFFFF"/>
        </w:rPr>
        <w:t>I</w:t>
      </w:r>
      <w:r>
        <w:rPr>
          <w:rFonts w:eastAsia="Calibri"/>
          <w:iCs/>
          <w:sz w:val="24"/>
          <w:szCs w:val="24"/>
          <w:shd w:val="clear" w:color="auto" w:fill="FFFFFF"/>
        </w:rPr>
        <w:t>,</w:t>
      </w:r>
      <w:r>
        <w:rPr>
          <w:rFonts w:eastAsia="Calibri"/>
          <w:b/>
          <w:bCs/>
          <w:iCs/>
          <w:sz w:val="24"/>
          <w:szCs w:val="24"/>
          <w:shd w:val="clear" w:color="auto" w:fill="FFFFFF"/>
        </w:rPr>
        <w:t xml:space="preserve"> II </w:t>
      </w:r>
      <w:r>
        <w:rPr>
          <w:rFonts w:eastAsia="Calibri"/>
          <w:iCs/>
          <w:sz w:val="24"/>
          <w:szCs w:val="24"/>
          <w:shd w:val="clear" w:color="auto" w:fill="FFFFFF"/>
        </w:rPr>
        <w:t xml:space="preserve">sau </w:t>
      </w:r>
      <w:r>
        <w:rPr>
          <w:rFonts w:eastAsia="Calibri"/>
          <w:b/>
          <w:bCs/>
          <w:iCs/>
          <w:sz w:val="24"/>
          <w:szCs w:val="24"/>
          <w:shd w:val="clear" w:color="auto" w:fill="FFFFFF"/>
        </w:rPr>
        <w:t xml:space="preserve">III </w:t>
      </w:r>
      <w:r>
        <w:rPr>
          <w:rFonts w:eastAsia="Calibri"/>
          <w:iCs/>
          <w:sz w:val="24"/>
          <w:szCs w:val="24"/>
          <w:shd w:val="clear" w:color="auto" w:fill="FFFFFF"/>
        </w:rPr>
        <w:t>de stabilitate la incendiu</w:t>
      </w:r>
    </w:p>
    <w:p w14:paraId="50BAC42C" w14:textId="77777777" w:rsidR="001C08A5" w:rsidRDefault="00000000">
      <w:pPr>
        <w:numPr>
          <w:ilvl w:val="255"/>
          <w:numId w:val="0"/>
        </w:numPr>
        <w:ind w:left="720" w:firstLine="720"/>
        <w:jc w:val="both"/>
        <w:rPr>
          <w:rFonts w:eastAsia="Calibri"/>
          <w:iCs/>
          <w:sz w:val="24"/>
          <w:szCs w:val="24"/>
          <w:shd w:val="clear" w:color="auto" w:fill="FFFFFF"/>
        </w:rPr>
      </w:pPr>
      <w:r>
        <w:rPr>
          <w:b/>
          <w:sz w:val="24"/>
          <w:szCs w:val="24"/>
        </w:rPr>
        <w:t>- EI/REI 15</w:t>
      </w:r>
      <w:r>
        <w:rPr>
          <w:sz w:val="24"/>
          <w:szCs w:val="24"/>
        </w:rPr>
        <w:t xml:space="preserve"> iar ușile sau trapele de vizitare ale acestora vor fi </w:t>
      </w:r>
      <w:r>
        <w:rPr>
          <w:rFonts w:eastAsia="Calibri"/>
          <w:iCs/>
          <w:sz w:val="24"/>
          <w:szCs w:val="24"/>
          <w:shd w:val="clear" w:color="auto" w:fill="FFFFFF"/>
        </w:rPr>
        <w:t xml:space="preserve"> realizate din materiale </w:t>
      </w:r>
      <w:r>
        <w:rPr>
          <w:b/>
          <w:bCs/>
          <w:iCs/>
          <w:sz w:val="24"/>
          <w:szCs w:val="24"/>
          <w:lang w:val="en-GB"/>
        </w:rPr>
        <w:t>A1, A2s1d0</w:t>
      </w:r>
      <w:r>
        <w:rPr>
          <w:rFonts w:eastAsia="Calibri"/>
          <w:iCs/>
          <w:sz w:val="24"/>
          <w:szCs w:val="24"/>
          <w:shd w:val="clear" w:color="auto" w:fill="FFFFFF"/>
        </w:rPr>
        <w:t xml:space="preserve"> la clădirile cu nivelul </w:t>
      </w:r>
      <w:r>
        <w:rPr>
          <w:rFonts w:eastAsia="Calibri"/>
          <w:b/>
          <w:bCs/>
          <w:iCs/>
          <w:sz w:val="24"/>
          <w:szCs w:val="24"/>
          <w:shd w:val="clear" w:color="auto" w:fill="FFFFFF"/>
        </w:rPr>
        <w:t>IV</w:t>
      </w:r>
      <w:r>
        <w:rPr>
          <w:rFonts w:eastAsia="Calibri"/>
          <w:iCs/>
          <w:sz w:val="24"/>
          <w:szCs w:val="24"/>
          <w:shd w:val="clear" w:color="auto" w:fill="FFFFFF"/>
        </w:rPr>
        <w:t>de stabilitate la incendiu</w:t>
      </w:r>
    </w:p>
    <w:p w14:paraId="28049A70" w14:textId="77777777" w:rsidR="001C08A5" w:rsidRDefault="00000000">
      <w:pPr>
        <w:numPr>
          <w:ilvl w:val="255"/>
          <w:numId w:val="0"/>
        </w:numPr>
        <w:jc w:val="both"/>
        <w:rPr>
          <w:b/>
          <w:sz w:val="24"/>
          <w:szCs w:val="24"/>
        </w:rPr>
      </w:pPr>
      <w:r>
        <w:rPr>
          <w:rFonts w:eastAsia="Calibri"/>
          <w:iCs/>
          <w:sz w:val="24"/>
          <w:szCs w:val="24"/>
          <w:shd w:val="clear" w:color="auto" w:fill="FFFFFF"/>
        </w:rPr>
        <w:t xml:space="preserve">În toate cazurile </w:t>
      </w:r>
      <w:r>
        <w:rPr>
          <w:sz w:val="24"/>
          <w:szCs w:val="24"/>
        </w:rPr>
        <w:t>ușile sau trapele de vizitare ale acestora</w:t>
      </w:r>
      <w:r>
        <w:rPr>
          <w:rFonts w:eastAsia="Calibri"/>
          <w:iCs/>
          <w:sz w:val="24"/>
          <w:szCs w:val="24"/>
          <w:shd w:val="clear" w:color="auto" w:fill="FFFFFF"/>
        </w:rPr>
        <w:t xml:space="preserve"> nu </w:t>
      </w:r>
      <w:r>
        <w:rPr>
          <w:sz w:val="24"/>
          <w:szCs w:val="24"/>
        </w:rPr>
        <w:t>vor fi amplasate în case de scări de evacuare.</w:t>
      </w:r>
    </w:p>
    <w:p w14:paraId="53A574FB" w14:textId="77777777" w:rsidR="001C08A5" w:rsidRDefault="00000000">
      <w:pPr>
        <w:numPr>
          <w:ilvl w:val="0"/>
          <w:numId w:val="55"/>
        </w:numPr>
        <w:ind w:firstLine="720"/>
        <w:jc w:val="both"/>
        <w:rPr>
          <w:b/>
          <w:sz w:val="24"/>
          <w:szCs w:val="24"/>
        </w:rPr>
      </w:pPr>
      <w:r>
        <w:rPr>
          <w:sz w:val="24"/>
          <w:szCs w:val="24"/>
        </w:rPr>
        <w:t xml:space="preserve">Atunci când etanşarea instalațiilor (conducte, tuburi, tevi, etc.) şi a cablurilor din ghenele verticale pentru instalaţii în dreptul planşeelor </w:t>
      </w:r>
      <w:r>
        <w:rPr>
          <w:b/>
          <w:bCs/>
          <w:sz w:val="24"/>
          <w:szCs w:val="24"/>
        </w:rPr>
        <w:t>nu este posibilă sau justificată tehnic</w:t>
      </w:r>
      <w:r>
        <w:rPr>
          <w:sz w:val="24"/>
          <w:szCs w:val="24"/>
        </w:rPr>
        <w:t xml:space="preserve">, pereţii ghenelor vor fi </w:t>
      </w:r>
      <w:r>
        <w:rPr>
          <w:rFonts w:eastAsia="TimesNewRomanPSMT-Identity-H"/>
          <w:iCs/>
          <w:sz w:val="24"/>
          <w:szCs w:val="24"/>
        </w:rPr>
        <w:t xml:space="preserve">clasa de reacție la foc </w:t>
      </w:r>
      <w:r>
        <w:rPr>
          <w:b/>
          <w:bCs/>
          <w:iCs/>
          <w:sz w:val="24"/>
          <w:szCs w:val="24"/>
          <w:lang w:val="en-GB"/>
        </w:rPr>
        <w:t>A1, A2s1d0</w:t>
      </w:r>
      <w:r>
        <w:rPr>
          <w:rFonts w:eastAsia="Calibri"/>
          <w:iCs/>
          <w:sz w:val="24"/>
          <w:szCs w:val="24"/>
          <w:shd w:val="clear" w:color="auto" w:fill="FFFFFF"/>
        </w:rPr>
        <w:t xml:space="preserve"> cu rezistența la foc minimum:</w:t>
      </w:r>
    </w:p>
    <w:p w14:paraId="0D85A72A" w14:textId="77777777" w:rsidR="001C08A5" w:rsidRDefault="00000000">
      <w:pPr>
        <w:numPr>
          <w:ilvl w:val="255"/>
          <w:numId w:val="0"/>
        </w:numPr>
        <w:ind w:left="720" w:firstLine="720"/>
        <w:jc w:val="both"/>
        <w:rPr>
          <w:rFonts w:eastAsia="Calibri"/>
          <w:b/>
          <w:bCs/>
          <w:iCs/>
          <w:sz w:val="24"/>
          <w:szCs w:val="24"/>
          <w:shd w:val="clear" w:color="auto" w:fill="FFFFFF"/>
        </w:rPr>
      </w:pPr>
      <w:r>
        <w:rPr>
          <w:b/>
          <w:sz w:val="24"/>
          <w:szCs w:val="24"/>
        </w:rPr>
        <w:t>- EI/REI 90</w:t>
      </w:r>
      <w:r>
        <w:rPr>
          <w:sz w:val="24"/>
          <w:szCs w:val="24"/>
        </w:rPr>
        <w:t xml:space="preserve"> iar ușile sau trapele de vizitare ale acestora vor fi </w:t>
      </w:r>
      <w:r>
        <w:rPr>
          <w:rFonts w:eastAsia="Calibri"/>
          <w:iCs/>
          <w:sz w:val="24"/>
          <w:szCs w:val="24"/>
          <w:shd w:val="clear" w:color="auto" w:fill="FFFFFF"/>
        </w:rPr>
        <w:t xml:space="preserve"> realizate din materiale </w:t>
      </w:r>
      <w:r>
        <w:rPr>
          <w:b/>
          <w:bCs/>
          <w:iCs/>
          <w:sz w:val="24"/>
          <w:szCs w:val="24"/>
          <w:lang w:val="en-GB"/>
        </w:rPr>
        <w:t>A1, A2s1d0</w:t>
      </w:r>
      <w:r>
        <w:rPr>
          <w:rFonts w:eastAsia="Calibri"/>
          <w:iCs/>
          <w:sz w:val="24"/>
          <w:szCs w:val="24"/>
          <w:shd w:val="clear" w:color="auto" w:fill="FFFFFF"/>
        </w:rPr>
        <w:t xml:space="preserve"> cu rezistența la foc minimum </w:t>
      </w:r>
      <w:r>
        <w:rPr>
          <w:rFonts w:eastAsia="Calibri"/>
          <w:b/>
          <w:bCs/>
          <w:iCs/>
          <w:sz w:val="24"/>
          <w:szCs w:val="24"/>
          <w:shd w:val="clear" w:color="auto" w:fill="FFFFFF"/>
        </w:rPr>
        <w:t>EI 60</w:t>
      </w:r>
      <w:r>
        <w:rPr>
          <w:rFonts w:eastAsia="Calibri"/>
          <w:iCs/>
          <w:sz w:val="24"/>
          <w:szCs w:val="24"/>
          <w:shd w:val="clear" w:color="auto" w:fill="FFFFFF"/>
        </w:rPr>
        <w:t xml:space="preserve"> la clădirile cu nivelul </w:t>
      </w:r>
      <w:r>
        <w:rPr>
          <w:rFonts w:eastAsia="Calibri"/>
          <w:b/>
          <w:bCs/>
          <w:iCs/>
          <w:sz w:val="24"/>
          <w:szCs w:val="24"/>
          <w:shd w:val="clear" w:color="auto" w:fill="FFFFFF"/>
        </w:rPr>
        <w:t xml:space="preserve">I </w:t>
      </w:r>
      <w:r>
        <w:rPr>
          <w:rFonts w:eastAsia="Calibri"/>
          <w:iCs/>
          <w:sz w:val="24"/>
          <w:szCs w:val="24"/>
          <w:shd w:val="clear" w:color="auto" w:fill="FFFFFF"/>
        </w:rPr>
        <w:t>de stabilitate la incendiu</w:t>
      </w:r>
    </w:p>
    <w:p w14:paraId="5B6AB1E6" w14:textId="77777777" w:rsidR="001C08A5" w:rsidRDefault="00000000">
      <w:pPr>
        <w:numPr>
          <w:ilvl w:val="255"/>
          <w:numId w:val="0"/>
        </w:numPr>
        <w:ind w:left="720" w:firstLine="720"/>
        <w:jc w:val="both"/>
        <w:rPr>
          <w:rFonts w:eastAsia="Calibri"/>
          <w:iCs/>
          <w:sz w:val="24"/>
          <w:szCs w:val="24"/>
          <w:shd w:val="clear" w:color="auto" w:fill="FFFFFF"/>
        </w:rPr>
      </w:pPr>
      <w:r>
        <w:rPr>
          <w:b/>
          <w:sz w:val="24"/>
          <w:szCs w:val="24"/>
        </w:rPr>
        <w:t>- EI/REI 90</w:t>
      </w:r>
      <w:r>
        <w:rPr>
          <w:sz w:val="24"/>
          <w:szCs w:val="24"/>
        </w:rPr>
        <w:t xml:space="preserve"> iar ușile sau trapele de vizitare ale acestora vor fi </w:t>
      </w:r>
      <w:r>
        <w:rPr>
          <w:rFonts w:eastAsia="Calibri"/>
          <w:iCs/>
          <w:sz w:val="24"/>
          <w:szCs w:val="24"/>
          <w:shd w:val="clear" w:color="auto" w:fill="FFFFFF"/>
        </w:rPr>
        <w:t xml:space="preserve"> realizate din materiale </w:t>
      </w:r>
      <w:r>
        <w:rPr>
          <w:b/>
          <w:bCs/>
          <w:iCs/>
          <w:sz w:val="24"/>
          <w:szCs w:val="24"/>
          <w:lang w:val="en-GB"/>
        </w:rPr>
        <w:t>A1, A2s1d0</w:t>
      </w:r>
      <w:r>
        <w:rPr>
          <w:rFonts w:eastAsia="Calibri"/>
          <w:iCs/>
          <w:sz w:val="24"/>
          <w:szCs w:val="24"/>
          <w:shd w:val="clear" w:color="auto" w:fill="FFFFFF"/>
        </w:rPr>
        <w:t xml:space="preserve"> cu rezistența la foc minimum </w:t>
      </w:r>
      <w:r>
        <w:rPr>
          <w:rFonts w:eastAsia="Calibri"/>
          <w:b/>
          <w:bCs/>
          <w:iCs/>
          <w:sz w:val="24"/>
          <w:szCs w:val="24"/>
          <w:shd w:val="clear" w:color="auto" w:fill="FFFFFF"/>
        </w:rPr>
        <w:t>EI 45</w:t>
      </w:r>
      <w:r>
        <w:rPr>
          <w:rFonts w:eastAsia="Calibri"/>
          <w:iCs/>
          <w:sz w:val="24"/>
          <w:szCs w:val="24"/>
          <w:shd w:val="clear" w:color="auto" w:fill="FFFFFF"/>
        </w:rPr>
        <w:t xml:space="preserve"> la clădirile cu nivelul </w:t>
      </w:r>
      <w:r>
        <w:rPr>
          <w:rFonts w:eastAsia="Calibri"/>
          <w:b/>
          <w:bCs/>
          <w:iCs/>
          <w:sz w:val="24"/>
          <w:szCs w:val="24"/>
          <w:shd w:val="clear" w:color="auto" w:fill="FFFFFF"/>
        </w:rPr>
        <w:t xml:space="preserve">II </w:t>
      </w:r>
      <w:r>
        <w:rPr>
          <w:rFonts w:eastAsia="Calibri"/>
          <w:iCs/>
          <w:sz w:val="24"/>
          <w:szCs w:val="24"/>
          <w:shd w:val="clear" w:color="auto" w:fill="FFFFFF"/>
        </w:rPr>
        <w:t>de stabilitate la incendiu</w:t>
      </w:r>
    </w:p>
    <w:p w14:paraId="2737B4E0" w14:textId="77777777" w:rsidR="001C08A5" w:rsidRDefault="00000000">
      <w:pPr>
        <w:numPr>
          <w:ilvl w:val="255"/>
          <w:numId w:val="0"/>
        </w:numPr>
        <w:ind w:left="720" w:firstLine="720"/>
        <w:jc w:val="both"/>
        <w:rPr>
          <w:rFonts w:eastAsia="Calibri"/>
          <w:iCs/>
          <w:sz w:val="24"/>
          <w:szCs w:val="24"/>
          <w:shd w:val="clear" w:color="auto" w:fill="FFFFFF"/>
        </w:rPr>
      </w:pPr>
      <w:r>
        <w:rPr>
          <w:b/>
          <w:sz w:val="24"/>
          <w:szCs w:val="24"/>
        </w:rPr>
        <w:t>- EI/REI 60</w:t>
      </w:r>
      <w:r>
        <w:rPr>
          <w:sz w:val="24"/>
          <w:szCs w:val="24"/>
        </w:rPr>
        <w:t xml:space="preserve"> (</w:t>
      </w:r>
      <w:r>
        <w:rPr>
          <w:b/>
          <w:bCs/>
          <w:sz w:val="24"/>
          <w:szCs w:val="24"/>
        </w:rPr>
        <w:t>EI/REI 45</w:t>
      </w:r>
      <w:r>
        <w:rPr>
          <w:sz w:val="24"/>
          <w:szCs w:val="24"/>
        </w:rPr>
        <w:t xml:space="preserve"> în cazul echipării construcției cu instalații automate tip sprinkler) iar ușile sau trapele de vizitare ale acestora vor fi </w:t>
      </w:r>
      <w:r>
        <w:rPr>
          <w:rFonts w:eastAsia="Calibri"/>
          <w:iCs/>
          <w:sz w:val="24"/>
          <w:szCs w:val="24"/>
          <w:shd w:val="clear" w:color="auto" w:fill="FFFFFF"/>
        </w:rPr>
        <w:t xml:space="preserve"> realizate din materiale </w:t>
      </w:r>
      <w:r>
        <w:rPr>
          <w:b/>
          <w:bCs/>
          <w:iCs/>
          <w:sz w:val="24"/>
          <w:szCs w:val="24"/>
          <w:lang w:val="en-GB"/>
        </w:rPr>
        <w:t>A1, A2s1d0</w:t>
      </w:r>
      <w:r>
        <w:rPr>
          <w:rFonts w:eastAsia="Calibri"/>
          <w:iCs/>
          <w:sz w:val="24"/>
          <w:szCs w:val="24"/>
          <w:shd w:val="clear" w:color="auto" w:fill="FFFFFF"/>
        </w:rPr>
        <w:t xml:space="preserve"> cu rezistența la foc minimum </w:t>
      </w:r>
      <w:r>
        <w:rPr>
          <w:rFonts w:eastAsia="Calibri"/>
          <w:b/>
          <w:bCs/>
          <w:iCs/>
          <w:sz w:val="24"/>
          <w:szCs w:val="24"/>
          <w:shd w:val="clear" w:color="auto" w:fill="FFFFFF"/>
        </w:rPr>
        <w:t>EI 30</w:t>
      </w:r>
      <w:r>
        <w:rPr>
          <w:rFonts w:eastAsia="Calibri"/>
          <w:iCs/>
          <w:sz w:val="24"/>
          <w:szCs w:val="24"/>
          <w:shd w:val="clear" w:color="auto" w:fill="FFFFFF"/>
        </w:rPr>
        <w:t xml:space="preserve"> la clădirile cu nivelul </w:t>
      </w:r>
      <w:r>
        <w:rPr>
          <w:rFonts w:eastAsia="Calibri"/>
          <w:b/>
          <w:bCs/>
          <w:iCs/>
          <w:sz w:val="24"/>
          <w:szCs w:val="24"/>
          <w:shd w:val="clear" w:color="auto" w:fill="FFFFFF"/>
        </w:rPr>
        <w:t xml:space="preserve">III </w:t>
      </w:r>
      <w:r>
        <w:rPr>
          <w:rFonts w:eastAsia="Calibri"/>
          <w:iCs/>
          <w:sz w:val="24"/>
          <w:szCs w:val="24"/>
          <w:shd w:val="clear" w:color="auto" w:fill="FFFFFF"/>
        </w:rPr>
        <w:t>de stabilitate la incendiu</w:t>
      </w:r>
    </w:p>
    <w:p w14:paraId="1F22B391" w14:textId="77777777" w:rsidR="001C08A5" w:rsidRDefault="00000000">
      <w:pPr>
        <w:numPr>
          <w:ilvl w:val="255"/>
          <w:numId w:val="0"/>
        </w:numPr>
        <w:ind w:left="720" w:firstLine="720"/>
        <w:jc w:val="both"/>
        <w:rPr>
          <w:rFonts w:eastAsia="Calibri"/>
          <w:iCs/>
          <w:sz w:val="24"/>
          <w:szCs w:val="24"/>
          <w:shd w:val="clear" w:color="auto" w:fill="FFFFFF"/>
        </w:rPr>
      </w:pPr>
      <w:r>
        <w:rPr>
          <w:b/>
          <w:sz w:val="24"/>
          <w:szCs w:val="24"/>
        </w:rPr>
        <w:t>- EI/REI 30</w:t>
      </w:r>
      <w:r>
        <w:rPr>
          <w:sz w:val="24"/>
          <w:szCs w:val="24"/>
        </w:rPr>
        <w:t xml:space="preserve"> iar ușile sau trapele de vizitare ale acestora vor fi </w:t>
      </w:r>
      <w:r>
        <w:rPr>
          <w:rFonts w:eastAsia="Calibri"/>
          <w:iCs/>
          <w:sz w:val="24"/>
          <w:szCs w:val="24"/>
          <w:shd w:val="clear" w:color="auto" w:fill="FFFFFF"/>
        </w:rPr>
        <w:t xml:space="preserve"> realizate din materiale </w:t>
      </w:r>
      <w:r>
        <w:rPr>
          <w:b/>
          <w:bCs/>
          <w:iCs/>
          <w:sz w:val="24"/>
          <w:szCs w:val="24"/>
          <w:lang w:val="en-GB"/>
        </w:rPr>
        <w:t>A1, A2s1d0</w:t>
      </w:r>
      <w:r>
        <w:rPr>
          <w:rFonts w:eastAsia="Calibri"/>
          <w:iCs/>
          <w:sz w:val="24"/>
          <w:szCs w:val="24"/>
          <w:shd w:val="clear" w:color="auto" w:fill="FFFFFF"/>
        </w:rPr>
        <w:t xml:space="preserve">cu rezistența la foc minimum </w:t>
      </w:r>
      <w:r>
        <w:rPr>
          <w:rFonts w:eastAsia="Calibri"/>
          <w:b/>
          <w:bCs/>
          <w:iCs/>
          <w:sz w:val="24"/>
          <w:szCs w:val="24"/>
          <w:shd w:val="clear" w:color="auto" w:fill="FFFFFF"/>
        </w:rPr>
        <w:t xml:space="preserve">EI 15 </w:t>
      </w:r>
      <w:r>
        <w:rPr>
          <w:rFonts w:eastAsia="Calibri"/>
          <w:iCs/>
          <w:sz w:val="24"/>
          <w:szCs w:val="24"/>
          <w:shd w:val="clear" w:color="auto" w:fill="FFFFFF"/>
        </w:rPr>
        <w:t xml:space="preserve">la clădirile cu nivelul </w:t>
      </w:r>
      <w:r>
        <w:rPr>
          <w:rFonts w:eastAsia="Calibri"/>
          <w:b/>
          <w:bCs/>
          <w:iCs/>
          <w:sz w:val="24"/>
          <w:szCs w:val="24"/>
          <w:shd w:val="clear" w:color="auto" w:fill="FFFFFF"/>
        </w:rPr>
        <w:t xml:space="preserve">IV </w:t>
      </w:r>
      <w:r>
        <w:rPr>
          <w:rFonts w:eastAsia="Calibri"/>
          <w:iCs/>
          <w:sz w:val="24"/>
          <w:szCs w:val="24"/>
          <w:shd w:val="clear" w:color="auto" w:fill="FFFFFF"/>
        </w:rPr>
        <w:t>de stabilitate la incendiu</w:t>
      </w:r>
    </w:p>
    <w:p w14:paraId="114F9260" w14:textId="77777777" w:rsidR="001C08A5" w:rsidRDefault="00000000">
      <w:pPr>
        <w:numPr>
          <w:ilvl w:val="255"/>
          <w:numId w:val="0"/>
        </w:numPr>
        <w:ind w:left="720" w:firstLine="720"/>
        <w:jc w:val="both"/>
        <w:rPr>
          <w:rFonts w:eastAsia="Calibri"/>
          <w:iCs/>
          <w:sz w:val="24"/>
          <w:szCs w:val="24"/>
          <w:shd w:val="clear" w:color="auto" w:fill="FFFFFF"/>
        </w:rPr>
      </w:pPr>
      <w:r>
        <w:rPr>
          <w:b/>
          <w:sz w:val="24"/>
          <w:szCs w:val="24"/>
        </w:rPr>
        <w:t>- EI/REI 15</w:t>
      </w:r>
      <w:r>
        <w:rPr>
          <w:sz w:val="24"/>
          <w:szCs w:val="24"/>
        </w:rPr>
        <w:t xml:space="preserve"> iar ușile sau trapele de vizitare ale acestora vor fi </w:t>
      </w:r>
      <w:r>
        <w:rPr>
          <w:rFonts w:eastAsia="Calibri"/>
          <w:iCs/>
          <w:sz w:val="24"/>
          <w:szCs w:val="24"/>
          <w:shd w:val="clear" w:color="auto" w:fill="FFFFFF"/>
        </w:rPr>
        <w:t xml:space="preserve"> realizate din materiale </w:t>
      </w:r>
      <w:r>
        <w:rPr>
          <w:b/>
          <w:bCs/>
          <w:iCs/>
          <w:sz w:val="24"/>
          <w:szCs w:val="24"/>
          <w:lang w:val="en-GB"/>
        </w:rPr>
        <w:t>A1, A2s1d0</w:t>
      </w:r>
      <w:r>
        <w:rPr>
          <w:rFonts w:eastAsia="Calibri"/>
          <w:iCs/>
          <w:sz w:val="24"/>
          <w:szCs w:val="24"/>
          <w:shd w:val="clear" w:color="auto" w:fill="FFFFFF"/>
        </w:rPr>
        <w:t xml:space="preserve">  la clădirile cu nivelul </w:t>
      </w:r>
      <w:r>
        <w:rPr>
          <w:rFonts w:eastAsia="Calibri"/>
          <w:b/>
          <w:bCs/>
          <w:iCs/>
          <w:sz w:val="24"/>
          <w:szCs w:val="24"/>
          <w:shd w:val="clear" w:color="auto" w:fill="FFFFFF"/>
        </w:rPr>
        <w:t xml:space="preserve">V </w:t>
      </w:r>
      <w:r>
        <w:rPr>
          <w:rFonts w:eastAsia="Calibri"/>
          <w:iCs/>
          <w:sz w:val="24"/>
          <w:szCs w:val="24"/>
          <w:shd w:val="clear" w:color="auto" w:fill="FFFFFF"/>
        </w:rPr>
        <w:t>de stabilitate la incendiu</w:t>
      </w:r>
    </w:p>
    <w:p w14:paraId="34AF3867" w14:textId="77777777" w:rsidR="001C08A5" w:rsidRDefault="00000000">
      <w:pPr>
        <w:numPr>
          <w:ilvl w:val="255"/>
          <w:numId w:val="0"/>
        </w:numPr>
        <w:jc w:val="both"/>
        <w:rPr>
          <w:b/>
          <w:sz w:val="24"/>
          <w:szCs w:val="24"/>
        </w:rPr>
      </w:pPr>
      <w:r>
        <w:rPr>
          <w:rFonts w:eastAsia="Calibri"/>
          <w:iCs/>
          <w:sz w:val="24"/>
          <w:szCs w:val="24"/>
          <w:shd w:val="clear" w:color="auto" w:fill="FFFFFF"/>
        </w:rPr>
        <w:t xml:space="preserve">În toate cazurile </w:t>
      </w:r>
      <w:r>
        <w:rPr>
          <w:sz w:val="24"/>
          <w:szCs w:val="24"/>
        </w:rPr>
        <w:t>ușile sau trapele de vizitare ale acestora</w:t>
      </w:r>
      <w:r>
        <w:rPr>
          <w:rFonts w:eastAsia="Calibri"/>
          <w:iCs/>
          <w:sz w:val="24"/>
          <w:szCs w:val="24"/>
          <w:shd w:val="clear" w:color="auto" w:fill="FFFFFF"/>
        </w:rPr>
        <w:t xml:space="preserve"> nu </w:t>
      </w:r>
      <w:r>
        <w:rPr>
          <w:sz w:val="24"/>
          <w:szCs w:val="24"/>
        </w:rPr>
        <w:t>vor fi amplasate în case de scări de evacuare.</w:t>
      </w:r>
    </w:p>
    <w:p w14:paraId="4113A4DB" w14:textId="77777777" w:rsidR="001C08A5" w:rsidRDefault="00000000">
      <w:pPr>
        <w:ind w:firstLine="720"/>
        <w:jc w:val="both"/>
        <w:rPr>
          <w:sz w:val="24"/>
          <w:szCs w:val="24"/>
        </w:rPr>
      </w:pPr>
      <w:r>
        <w:rPr>
          <w:b/>
          <w:sz w:val="24"/>
          <w:szCs w:val="24"/>
        </w:rPr>
        <w:t>(3)</w:t>
      </w:r>
      <w:r>
        <w:rPr>
          <w:sz w:val="24"/>
          <w:szCs w:val="24"/>
        </w:rPr>
        <w:t xml:space="preserve"> La clădirile înalte, foarte înalte, cu săli aglomerate, subterane și mixte se aplică dispozitiile specifice.</w:t>
      </w:r>
    </w:p>
    <w:p w14:paraId="29A82C71" w14:textId="77777777" w:rsidR="001C08A5" w:rsidRDefault="00000000">
      <w:pPr>
        <w:ind w:firstLine="720"/>
        <w:jc w:val="both"/>
        <w:rPr>
          <w:sz w:val="24"/>
          <w:szCs w:val="24"/>
        </w:rPr>
      </w:pPr>
      <w:r>
        <w:rPr>
          <w:b/>
          <w:sz w:val="24"/>
          <w:szCs w:val="24"/>
        </w:rPr>
        <w:t>(4)</w:t>
      </w:r>
      <w:r>
        <w:rPr>
          <w:sz w:val="24"/>
          <w:szCs w:val="24"/>
        </w:rPr>
        <w:t xml:space="preserve"> La trecerea prin elemente rezistente la foc care delimitează compartimente de incendiu, ghenele pentru instalaţii se închid în jurul tuburilor, conductelor şi a cablurilor, cu materiale în alcatuiri constructive care asigură rezistenţa la foc echivalentă cu cea a elementului străpuns.</w:t>
      </w:r>
    </w:p>
    <w:p w14:paraId="33BDBE72" w14:textId="77777777" w:rsidR="001C08A5" w:rsidRDefault="00000000">
      <w:pPr>
        <w:numPr>
          <w:ilvl w:val="255"/>
          <w:numId w:val="0"/>
        </w:numPr>
        <w:jc w:val="both"/>
        <w:rPr>
          <w:sz w:val="24"/>
          <w:szCs w:val="24"/>
        </w:rPr>
      </w:pPr>
      <w:r>
        <w:rPr>
          <w:b/>
          <w:sz w:val="24"/>
          <w:szCs w:val="24"/>
        </w:rPr>
        <w:tab/>
        <w:t xml:space="preserve">(5) </w:t>
      </w:r>
      <w:r>
        <w:rPr>
          <w:rFonts w:eastAsia="Calibri"/>
          <w:iCs/>
          <w:sz w:val="24"/>
          <w:szCs w:val="24"/>
          <w:shd w:val="clear" w:color="auto" w:fill="FFFFFF"/>
        </w:rPr>
        <w:t xml:space="preserve">Ghenele verticale se separă la trecerea prin planșee care delimitează compartimente de incendiu cu elemente și materiale </w:t>
      </w:r>
      <w:r>
        <w:rPr>
          <w:rFonts w:eastAsia="TimesNewRomanPSMT-Identity-H"/>
          <w:iCs/>
          <w:sz w:val="24"/>
          <w:szCs w:val="24"/>
        </w:rPr>
        <w:t xml:space="preserve">clasa de reacție la foc </w:t>
      </w:r>
      <w:r>
        <w:rPr>
          <w:b/>
          <w:bCs/>
          <w:iCs/>
          <w:sz w:val="24"/>
          <w:szCs w:val="24"/>
          <w:lang w:val="en-GB"/>
        </w:rPr>
        <w:t>A1, A2s1d0</w:t>
      </w:r>
      <w:r>
        <w:rPr>
          <w:rFonts w:eastAsia="Calibri"/>
          <w:iCs/>
          <w:sz w:val="24"/>
          <w:szCs w:val="24"/>
          <w:shd w:val="clear" w:color="auto" w:fill="FFFFFF"/>
        </w:rPr>
        <w:t xml:space="preserve"> care vor asigura aceeași rezistență la foc cu a planșeului străpuns, iar atunci când separarea nu este posibilă sau justificată tehnic, pereții ghenelor vor fi din materiale </w:t>
      </w:r>
      <w:r>
        <w:rPr>
          <w:b/>
          <w:bCs/>
          <w:iCs/>
          <w:sz w:val="24"/>
          <w:szCs w:val="24"/>
          <w:lang w:val="en-GB"/>
        </w:rPr>
        <w:t xml:space="preserve">A1, A2s1d0 </w:t>
      </w:r>
      <w:r>
        <w:rPr>
          <w:rFonts w:eastAsia="Calibri"/>
          <w:iCs/>
          <w:sz w:val="24"/>
          <w:szCs w:val="24"/>
          <w:shd w:val="clear" w:color="auto" w:fill="FFFFFF"/>
        </w:rPr>
        <w:t xml:space="preserve">minimum </w:t>
      </w:r>
      <w:r>
        <w:rPr>
          <w:rFonts w:eastAsia="Calibri"/>
          <w:b/>
          <w:bCs/>
          <w:iCs/>
          <w:sz w:val="24"/>
          <w:szCs w:val="24"/>
          <w:shd w:val="clear" w:color="auto" w:fill="FFFFFF"/>
        </w:rPr>
        <w:t>EI/REI120</w:t>
      </w:r>
      <w:r>
        <w:rPr>
          <w:rFonts w:eastAsia="Calibri"/>
          <w:iCs/>
          <w:sz w:val="24"/>
          <w:szCs w:val="24"/>
          <w:shd w:val="clear" w:color="auto" w:fill="FFFFFF"/>
        </w:rPr>
        <w:t xml:space="preserve"> și ușile (trapele) lor de vizitare vor fi din materiale </w:t>
      </w:r>
      <w:r>
        <w:rPr>
          <w:b/>
          <w:bCs/>
          <w:iCs/>
          <w:sz w:val="24"/>
          <w:szCs w:val="24"/>
          <w:lang w:val="en-GB"/>
        </w:rPr>
        <w:t>A1, A2s1d0</w:t>
      </w:r>
      <w:r>
        <w:rPr>
          <w:b/>
          <w:bCs/>
          <w:iCs/>
          <w:sz w:val="24"/>
          <w:szCs w:val="24"/>
        </w:rPr>
        <w:t xml:space="preserve"> </w:t>
      </w:r>
      <w:r>
        <w:rPr>
          <w:rFonts w:eastAsia="Calibri"/>
          <w:iCs/>
          <w:sz w:val="24"/>
          <w:szCs w:val="24"/>
          <w:shd w:val="clear" w:color="auto" w:fill="FFFFFF"/>
        </w:rPr>
        <w:t xml:space="preserve">minimum </w:t>
      </w:r>
      <w:r>
        <w:rPr>
          <w:rFonts w:eastAsia="Calibri"/>
          <w:b/>
          <w:bCs/>
          <w:iCs/>
          <w:sz w:val="24"/>
          <w:szCs w:val="24"/>
          <w:shd w:val="clear" w:color="auto" w:fill="FFFFFF"/>
        </w:rPr>
        <w:t>EI60.</w:t>
      </w:r>
    </w:p>
    <w:p w14:paraId="113FFBA0" w14:textId="77777777" w:rsidR="001C08A5" w:rsidRDefault="00000000">
      <w:pPr>
        <w:pStyle w:val="Heading4"/>
      </w:pPr>
      <w:bookmarkStart w:id="1886" w:name="_Toc162355240"/>
      <w:bookmarkStart w:id="1887" w:name="_Toc19836"/>
      <w:bookmarkStart w:id="1888" w:name="_Toc8923"/>
      <w:bookmarkStart w:id="1889" w:name="_Toc17807"/>
      <w:bookmarkStart w:id="1890" w:name="_Toc25912"/>
      <w:bookmarkStart w:id="1891" w:name="_Toc7130"/>
      <w:bookmarkStart w:id="1892" w:name="_Toc23357"/>
      <w:bookmarkStart w:id="1893" w:name="_Toc14689"/>
      <w:r>
        <w:t>2.4.12. Coşuri de fum, sobe, hote</w:t>
      </w:r>
      <w:bookmarkEnd w:id="1886"/>
      <w:bookmarkEnd w:id="1887"/>
      <w:bookmarkEnd w:id="1888"/>
      <w:bookmarkEnd w:id="1889"/>
      <w:bookmarkEnd w:id="1890"/>
      <w:bookmarkEnd w:id="1891"/>
      <w:bookmarkEnd w:id="1892"/>
      <w:bookmarkEnd w:id="1893"/>
    </w:p>
    <w:p w14:paraId="5EA4E54A" w14:textId="77777777" w:rsidR="001C08A5" w:rsidRDefault="001C08A5">
      <w:pPr>
        <w:jc w:val="both"/>
        <w:rPr>
          <w:sz w:val="24"/>
          <w:szCs w:val="24"/>
        </w:rPr>
      </w:pPr>
    </w:p>
    <w:p w14:paraId="76FD429D" w14:textId="77777777" w:rsidR="001C08A5" w:rsidRDefault="00000000">
      <w:pPr>
        <w:jc w:val="both"/>
        <w:rPr>
          <w:b/>
          <w:bCs/>
          <w:i/>
          <w:iCs/>
          <w:strike/>
          <w:sz w:val="24"/>
          <w:szCs w:val="24"/>
        </w:rPr>
      </w:pPr>
      <w:r>
        <w:rPr>
          <w:b/>
          <w:sz w:val="24"/>
          <w:szCs w:val="24"/>
        </w:rPr>
        <w:tab/>
        <w:t>Art. 2.4.12.1. (1)</w:t>
      </w:r>
      <w:r>
        <w:rPr>
          <w:sz w:val="24"/>
          <w:szCs w:val="24"/>
        </w:rPr>
        <w:t xml:space="preserve"> Coşurile de fum, sobele şi în general echipamentele, aparatele și dispozitivele de încălzire locală sau care radiază căldură, se alcătuiesc, execută, izolează faţă de elementele combustibile ale construcţiei și se utilizează conform prevederilor reglementărilor tehnice aplicabile domeniului respectiv, astfel încât acestea să nu iniţieze incendii prin convecţie, conducţie sau radiaţie. Coşurile de fum trebuie să fie proiectate, instalate şi puse în funcţiune în conformitate cu </w:t>
      </w:r>
      <w:r>
        <w:rPr>
          <w:b/>
          <w:bCs/>
          <w:sz w:val="24"/>
          <w:szCs w:val="24"/>
        </w:rPr>
        <w:t>SR EN 15287-1</w:t>
      </w:r>
      <w:r>
        <w:rPr>
          <w:sz w:val="24"/>
          <w:szCs w:val="24"/>
        </w:rPr>
        <w:t xml:space="preserve"> şi </w:t>
      </w:r>
      <w:r>
        <w:rPr>
          <w:b/>
          <w:bCs/>
          <w:sz w:val="24"/>
          <w:szCs w:val="24"/>
        </w:rPr>
        <w:t>SR EN 15287-2</w:t>
      </w:r>
      <w:r>
        <w:rPr>
          <w:sz w:val="24"/>
          <w:szCs w:val="24"/>
        </w:rPr>
        <w:t xml:space="preserve"> sau alte reglementări echivalente. Coşurile trebuie încercate în conformitate cu </w:t>
      </w:r>
      <w:r>
        <w:rPr>
          <w:b/>
          <w:bCs/>
          <w:sz w:val="24"/>
          <w:szCs w:val="24"/>
        </w:rPr>
        <w:t>SR EN 13216-1</w:t>
      </w:r>
      <w:r>
        <w:rPr>
          <w:sz w:val="24"/>
          <w:szCs w:val="24"/>
        </w:rPr>
        <w:t xml:space="preserve"> și trebuie să îndeplinească criteriul minim G 100</w:t>
      </w:r>
      <w:r>
        <w:rPr>
          <w:b/>
          <w:bCs/>
          <w:sz w:val="24"/>
          <w:szCs w:val="24"/>
        </w:rPr>
        <w:t>.</w:t>
      </w:r>
    </w:p>
    <w:p w14:paraId="6CF16F1A" w14:textId="77777777" w:rsidR="001C08A5" w:rsidRDefault="00000000">
      <w:pPr>
        <w:ind w:firstLine="720"/>
        <w:jc w:val="both"/>
        <w:rPr>
          <w:sz w:val="24"/>
          <w:szCs w:val="24"/>
          <w:shd w:val="clear" w:color="auto" w:fill="FFFFFF"/>
          <w:lang w:eastAsia="zh-CN"/>
        </w:rPr>
      </w:pPr>
      <w:r>
        <w:rPr>
          <w:b/>
          <w:sz w:val="24"/>
          <w:szCs w:val="24"/>
        </w:rPr>
        <w:t xml:space="preserve">(2) </w:t>
      </w:r>
      <w:r>
        <w:rPr>
          <w:sz w:val="24"/>
          <w:szCs w:val="24"/>
          <w:shd w:val="clear" w:color="auto" w:fill="FFFFFF"/>
          <w:lang w:eastAsia="zh-CN"/>
        </w:rPr>
        <w:t xml:space="preserve">Coşul de fum situat la mai puţin de </w:t>
      </w:r>
      <w:r>
        <w:rPr>
          <w:b/>
          <w:bCs/>
          <w:sz w:val="24"/>
          <w:szCs w:val="24"/>
          <w:shd w:val="clear" w:color="auto" w:fill="FFFFFF"/>
          <w:lang w:eastAsia="zh-CN"/>
        </w:rPr>
        <w:t>1,50 m</w:t>
      </w:r>
      <w:r>
        <w:rPr>
          <w:sz w:val="24"/>
          <w:szCs w:val="24"/>
          <w:shd w:val="clear" w:color="auto" w:fill="FFFFFF"/>
          <w:lang w:eastAsia="zh-CN"/>
        </w:rPr>
        <w:t xml:space="preserve"> în plan orizontal, de coama acoperişului, trebuie să depăşească coama cu minimum </w:t>
      </w:r>
      <w:r>
        <w:rPr>
          <w:b/>
          <w:bCs/>
          <w:sz w:val="24"/>
          <w:szCs w:val="24"/>
          <w:shd w:val="clear" w:color="auto" w:fill="FFFFFF"/>
          <w:lang w:eastAsia="zh-CN"/>
        </w:rPr>
        <w:t>50 cm</w:t>
      </w:r>
      <w:r>
        <w:rPr>
          <w:sz w:val="24"/>
          <w:szCs w:val="24"/>
          <w:shd w:val="clear" w:color="auto" w:fill="FFFFFF"/>
          <w:lang w:eastAsia="zh-CN"/>
        </w:rPr>
        <w:t xml:space="preserve"> pentru învelitori incombustibile respectiv </w:t>
      </w:r>
      <w:r>
        <w:rPr>
          <w:b/>
          <w:bCs/>
          <w:sz w:val="24"/>
          <w:szCs w:val="24"/>
          <w:shd w:val="clear" w:color="auto" w:fill="FFFFFF"/>
          <w:lang w:eastAsia="zh-CN"/>
        </w:rPr>
        <w:t>1 m</w:t>
      </w:r>
      <w:r>
        <w:rPr>
          <w:sz w:val="24"/>
          <w:szCs w:val="24"/>
          <w:shd w:val="clear" w:color="auto" w:fill="FFFFFF"/>
          <w:lang w:eastAsia="zh-CN"/>
        </w:rPr>
        <w:t xml:space="preserve"> pentru </w:t>
      </w:r>
      <w:r>
        <w:rPr>
          <w:sz w:val="24"/>
          <w:szCs w:val="24"/>
          <w:shd w:val="clear" w:color="auto" w:fill="FFFFFF"/>
          <w:lang w:eastAsia="zh-CN"/>
        </w:rPr>
        <w:lastRenderedPageBreak/>
        <w:t xml:space="preserve">învelitorile combustibile. Coşul de fum amplasat la distanţe mai mari de </w:t>
      </w:r>
      <w:r>
        <w:rPr>
          <w:b/>
          <w:bCs/>
          <w:sz w:val="24"/>
          <w:szCs w:val="24"/>
          <w:shd w:val="clear" w:color="auto" w:fill="FFFFFF"/>
          <w:lang w:eastAsia="zh-CN"/>
        </w:rPr>
        <w:t>1,5 m</w:t>
      </w:r>
      <w:r>
        <w:rPr>
          <w:sz w:val="24"/>
          <w:szCs w:val="24"/>
          <w:shd w:val="clear" w:color="auto" w:fill="FFFFFF"/>
          <w:lang w:eastAsia="zh-CN"/>
        </w:rPr>
        <w:t xml:space="preserve"> faţă de coama acoperişului va avea înălţimea de cel puţin </w:t>
      </w:r>
      <w:r>
        <w:rPr>
          <w:b/>
          <w:bCs/>
          <w:sz w:val="24"/>
          <w:szCs w:val="24"/>
          <w:shd w:val="clear" w:color="auto" w:fill="FFFFFF"/>
          <w:lang w:eastAsia="zh-CN"/>
        </w:rPr>
        <w:t>1 m</w:t>
      </w:r>
      <w:r>
        <w:rPr>
          <w:sz w:val="24"/>
          <w:szCs w:val="24"/>
          <w:shd w:val="clear" w:color="auto" w:fill="FFFFFF"/>
          <w:lang w:eastAsia="zh-CN"/>
        </w:rPr>
        <w:t xml:space="preserve"> faţă de învelitoare. Înălţimea coşului faţă de terasa acoperişului trebuie să fie de minimum </w:t>
      </w:r>
      <w:r>
        <w:rPr>
          <w:b/>
          <w:bCs/>
          <w:sz w:val="24"/>
          <w:szCs w:val="24"/>
          <w:shd w:val="clear" w:color="auto" w:fill="FFFFFF"/>
          <w:lang w:eastAsia="zh-CN"/>
        </w:rPr>
        <w:t>1 m</w:t>
      </w:r>
      <w:r>
        <w:rPr>
          <w:sz w:val="24"/>
          <w:szCs w:val="24"/>
          <w:shd w:val="clear" w:color="auto" w:fill="FFFFFF"/>
          <w:lang w:eastAsia="zh-CN"/>
        </w:rPr>
        <w:t xml:space="preserve">. Coşurile de fum trebuie să depăşească cu minimum </w:t>
      </w:r>
      <w:r>
        <w:rPr>
          <w:b/>
          <w:bCs/>
          <w:sz w:val="24"/>
          <w:szCs w:val="24"/>
          <w:shd w:val="clear" w:color="auto" w:fill="FFFFFF"/>
          <w:lang w:eastAsia="zh-CN"/>
        </w:rPr>
        <w:t>50 cm</w:t>
      </w:r>
      <w:r>
        <w:rPr>
          <w:sz w:val="24"/>
          <w:szCs w:val="24"/>
          <w:shd w:val="clear" w:color="auto" w:fill="FFFFFF"/>
          <w:lang w:eastAsia="zh-CN"/>
        </w:rPr>
        <w:t xml:space="preserve"> înălţimea elementelor de supraînălţare a terasei (atice, ziduri antifoc etc.) când sunt situate la mai puţin de </w:t>
      </w:r>
      <w:r>
        <w:rPr>
          <w:b/>
          <w:bCs/>
          <w:sz w:val="24"/>
          <w:szCs w:val="24"/>
          <w:shd w:val="clear" w:color="auto" w:fill="FFFFFF"/>
          <w:lang w:eastAsia="zh-CN"/>
        </w:rPr>
        <w:t>3 m</w:t>
      </w:r>
      <w:r>
        <w:rPr>
          <w:sz w:val="24"/>
          <w:szCs w:val="24"/>
          <w:shd w:val="clear" w:color="auto" w:fill="FFFFFF"/>
          <w:lang w:eastAsia="zh-CN"/>
        </w:rPr>
        <w:t xml:space="preserve"> de marginea terasei respectiv cu minimum </w:t>
      </w:r>
      <w:r>
        <w:rPr>
          <w:b/>
          <w:bCs/>
          <w:sz w:val="24"/>
          <w:szCs w:val="24"/>
          <w:shd w:val="clear" w:color="auto" w:fill="FFFFFF"/>
          <w:lang w:eastAsia="zh-CN"/>
        </w:rPr>
        <w:t>1 m</w:t>
      </w:r>
      <w:r>
        <w:rPr>
          <w:sz w:val="24"/>
          <w:szCs w:val="24"/>
          <w:shd w:val="clear" w:color="auto" w:fill="FFFFFF"/>
          <w:lang w:eastAsia="zh-CN"/>
        </w:rPr>
        <w:t xml:space="preserve">, când sunt situate la peste </w:t>
      </w:r>
      <w:r>
        <w:rPr>
          <w:b/>
          <w:bCs/>
          <w:sz w:val="24"/>
          <w:szCs w:val="24"/>
          <w:shd w:val="clear" w:color="auto" w:fill="FFFFFF"/>
          <w:lang w:eastAsia="zh-CN"/>
        </w:rPr>
        <w:t>3 m</w:t>
      </w:r>
      <w:r>
        <w:rPr>
          <w:sz w:val="24"/>
          <w:szCs w:val="24"/>
          <w:shd w:val="clear" w:color="auto" w:fill="FFFFFF"/>
          <w:lang w:eastAsia="zh-CN"/>
        </w:rPr>
        <w:t xml:space="preserve"> de marginea terasei. Înălţimea minimă de amplasare a coşului "ventuză" faţă de zona pietonală este de minim </w:t>
      </w:r>
      <w:r>
        <w:rPr>
          <w:b/>
          <w:bCs/>
          <w:sz w:val="24"/>
          <w:szCs w:val="24"/>
          <w:shd w:val="clear" w:color="auto" w:fill="FFFFFF"/>
          <w:lang w:eastAsia="zh-CN"/>
        </w:rPr>
        <w:t>1,80 m</w:t>
      </w:r>
      <w:r>
        <w:rPr>
          <w:sz w:val="24"/>
          <w:szCs w:val="24"/>
          <w:shd w:val="clear" w:color="auto" w:fill="FFFFFF"/>
          <w:lang w:eastAsia="zh-CN"/>
        </w:rPr>
        <w:t xml:space="preserve">. </w:t>
      </w:r>
      <w:r>
        <w:rPr>
          <w:sz w:val="24"/>
          <w:szCs w:val="24"/>
          <w:shd w:val="clear" w:color="auto" w:fill="FFFFFF"/>
          <w:lang w:eastAsia="zh-CN"/>
        </w:rPr>
        <w:br/>
      </w:r>
      <w:r>
        <w:rPr>
          <w:sz w:val="24"/>
          <w:szCs w:val="24"/>
          <w:shd w:val="clear" w:color="auto" w:fill="FFFFFF"/>
          <w:lang w:eastAsia="zh-CN"/>
        </w:rPr>
        <w:tab/>
      </w:r>
      <w:r>
        <w:rPr>
          <w:b/>
          <w:sz w:val="24"/>
          <w:szCs w:val="24"/>
        </w:rPr>
        <w:t xml:space="preserve">(3) </w:t>
      </w:r>
      <w:r>
        <w:rPr>
          <w:sz w:val="24"/>
          <w:szCs w:val="24"/>
          <w:shd w:val="clear" w:color="auto" w:fill="FFFFFF"/>
          <w:lang w:eastAsia="zh-CN"/>
        </w:rPr>
        <w:t>Pentru centralele termice amplasate la ultimul nivel sau pe terasa clădirii se recomandă utilizarea cazanelor cu suprapresiune în camera de ardere care necesită pentru evacuarea gazelor de ardere coşuri de fum cu înălţimi reduse.</w:t>
      </w:r>
    </w:p>
    <w:p w14:paraId="05403235" w14:textId="77777777" w:rsidR="001C08A5" w:rsidRDefault="00000000">
      <w:pPr>
        <w:pStyle w:val="BodyText"/>
        <w:ind w:firstLine="720"/>
        <w:rPr>
          <w:i w:val="0"/>
          <w:iCs/>
        </w:rPr>
      </w:pPr>
      <w:r>
        <w:rPr>
          <w:bCs w:val="0"/>
          <w:i w:val="0"/>
          <w:iCs/>
        </w:rPr>
        <w:t>(4)</w:t>
      </w:r>
      <w:r>
        <w:rPr>
          <w:b w:val="0"/>
          <w:i w:val="0"/>
          <w:iCs/>
        </w:rPr>
        <w:t xml:space="preserve"> În bucătăriile în care puterea termică nominală totală (însumată) a aparatelor de preparare a hranei sau de încălzire a produselor alimentare depăşeşte </w:t>
      </w:r>
      <w:r>
        <w:rPr>
          <w:bCs w:val="0"/>
          <w:i w:val="0"/>
          <w:iCs/>
        </w:rPr>
        <w:t>20 kW</w:t>
      </w:r>
      <w:r>
        <w:rPr>
          <w:b w:val="0"/>
          <w:i w:val="0"/>
          <w:iCs/>
        </w:rPr>
        <w:t>, este obligatorie îndeplinirea următoarelor condiţii:</w:t>
      </w:r>
    </w:p>
    <w:p w14:paraId="0AD2D52D" w14:textId="77777777" w:rsidR="001C08A5" w:rsidRDefault="00000000">
      <w:pPr>
        <w:ind w:left="1440" w:firstLine="720"/>
        <w:jc w:val="both"/>
        <w:rPr>
          <w:b/>
          <w:bCs/>
          <w:sz w:val="24"/>
          <w:szCs w:val="24"/>
        </w:rPr>
      </w:pPr>
      <w:r>
        <w:rPr>
          <w:b/>
          <w:bCs/>
          <w:sz w:val="24"/>
          <w:szCs w:val="24"/>
        </w:rPr>
        <w:t>a)</w:t>
      </w:r>
      <w:r>
        <w:rPr>
          <w:sz w:val="24"/>
          <w:szCs w:val="24"/>
        </w:rPr>
        <w:t xml:space="preserve"> hotele, conductele de evacuare şi în general, dispozitivele de captare a căldurii trebuie să fie realizate din materiale din clasa de reacţie la foc </w:t>
      </w:r>
      <w:r>
        <w:rPr>
          <w:b/>
          <w:sz w:val="24"/>
          <w:szCs w:val="24"/>
        </w:rPr>
        <w:t>A1</w:t>
      </w:r>
      <w:r>
        <w:rPr>
          <w:sz w:val="24"/>
          <w:szCs w:val="24"/>
        </w:rPr>
        <w:t>;</w:t>
      </w:r>
    </w:p>
    <w:p w14:paraId="5548E27C" w14:textId="77777777" w:rsidR="001C08A5" w:rsidRDefault="00000000">
      <w:pPr>
        <w:ind w:left="1440" w:firstLine="720"/>
        <w:jc w:val="both"/>
        <w:rPr>
          <w:b/>
          <w:sz w:val="24"/>
          <w:szCs w:val="24"/>
        </w:rPr>
      </w:pPr>
      <w:r>
        <w:rPr>
          <w:b/>
          <w:bCs/>
          <w:sz w:val="24"/>
          <w:szCs w:val="24"/>
        </w:rPr>
        <w:t>b)</w:t>
      </w:r>
      <w:r>
        <w:rPr>
          <w:sz w:val="24"/>
          <w:szCs w:val="24"/>
        </w:rPr>
        <w:t xml:space="preserve"> hotele și conductele de evacuare se amplasează la cel puţin un </w:t>
      </w:r>
      <w:r>
        <w:rPr>
          <w:b/>
          <w:sz w:val="24"/>
          <w:szCs w:val="24"/>
        </w:rPr>
        <w:t>1</w:t>
      </w:r>
      <w:r>
        <w:rPr>
          <w:sz w:val="24"/>
          <w:szCs w:val="24"/>
        </w:rPr>
        <w:t xml:space="preserve"> m faţă de elemente și materiale combustibile sau se izolează corespunzător; </w:t>
      </w:r>
    </w:p>
    <w:p w14:paraId="68257F4B" w14:textId="77777777" w:rsidR="001C08A5" w:rsidRDefault="00000000">
      <w:pPr>
        <w:ind w:left="1440" w:firstLine="720"/>
        <w:jc w:val="both"/>
        <w:rPr>
          <w:sz w:val="24"/>
          <w:szCs w:val="24"/>
        </w:rPr>
      </w:pPr>
      <w:r>
        <w:rPr>
          <w:b/>
          <w:sz w:val="24"/>
          <w:szCs w:val="24"/>
        </w:rPr>
        <w:t>c)</w:t>
      </w:r>
      <w:r>
        <w:rPr>
          <w:bCs/>
          <w:sz w:val="24"/>
          <w:szCs w:val="24"/>
        </w:rPr>
        <w:t xml:space="preserve"> conductele de evacuare a căldurii</w:t>
      </w:r>
      <w:r>
        <w:rPr>
          <w:sz w:val="24"/>
          <w:szCs w:val="24"/>
        </w:rPr>
        <w:t xml:space="preserve"> trebuie să fie etanșe la foc </w:t>
      </w:r>
      <w:r>
        <w:rPr>
          <w:b/>
          <w:sz w:val="24"/>
          <w:szCs w:val="24"/>
        </w:rPr>
        <w:t xml:space="preserve">E 30 </w:t>
      </w:r>
      <w:r>
        <w:rPr>
          <w:b/>
          <w:sz w:val="24"/>
          <w:szCs w:val="24"/>
          <w:vertAlign w:val="subscript"/>
        </w:rPr>
        <w:t>i↔o</w:t>
      </w:r>
      <w:r>
        <w:rPr>
          <w:b/>
          <w:sz w:val="24"/>
          <w:szCs w:val="24"/>
        </w:rPr>
        <w:t>, ve</w:t>
      </w:r>
      <w:r>
        <w:rPr>
          <w:sz w:val="24"/>
          <w:szCs w:val="24"/>
        </w:rPr>
        <w:t xml:space="preserve"> sau </w:t>
      </w:r>
      <w:r>
        <w:rPr>
          <w:b/>
          <w:sz w:val="24"/>
          <w:szCs w:val="24"/>
        </w:rPr>
        <w:t>ho</w:t>
      </w:r>
      <w:r>
        <w:rPr>
          <w:bCs/>
          <w:sz w:val="24"/>
          <w:szCs w:val="24"/>
        </w:rPr>
        <w:t xml:space="preserve"> în interiorul încăperii deservite, iar la trecerile prin pereţi și planşee, precum şi prin interiorul încăperilor cu altă destinaţie, conductele de evacuare a căldurii aferente hotelor, trebuie realizate din materiale clasa de reacţie la foc </w:t>
      </w:r>
      <w:r>
        <w:rPr>
          <w:b/>
          <w:sz w:val="24"/>
          <w:szCs w:val="24"/>
        </w:rPr>
        <w:t>A1</w:t>
      </w:r>
      <w:r>
        <w:rPr>
          <w:bCs/>
          <w:sz w:val="24"/>
          <w:szCs w:val="24"/>
        </w:rPr>
        <w:t xml:space="preserve"> și trebuie să asigure rezistenţa la foc egală cu cea a elementelor străpunse, dar nu mai puţin de </w:t>
      </w:r>
      <w:r>
        <w:rPr>
          <w:b/>
          <w:sz w:val="24"/>
          <w:szCs w:val="24"/>
        </w:rPr>
        <w:t>EI 60 h</w:t>
      </w:r>
      <w:r>
        <w:rPr>
          <w:b/>
          <w:sz w:val="24"/>
          <w:szCs w:val="24"/>
          <w:vertAlign w:val="subscript"/>
        </w:rPr>
        <w:t xml:space="preserve">0 i </w:t>
      </w:r>
      <w:r>
        <w:rPr>
          <w:b/>
          <w:sz w:val="24"/>
          <w:szCs w:val="24"/>
          <w:vertAlign w:val="subscript"/>
        </w:rPr>
        <w:sym w:font="Symbol" w:char="F0AB"/>
      </w:r>
      <w:r>
        <w:rPr>
          <w:b/>
          <w:sz w:val="24"/>
          <w:szCs w:val="24"/>
          <w:vertAlign w:val="subscript"/>
        </w:rPr>
        <w:t xml:space="preserve"> o</w:t>
      </w:r>
      <w:r>
        <w:rPr>
          <w:bCs/>
          <w:sz w:val="24"/>
          <w:szCs w:val="24"/>
        </w:rPr>
        <w:t xml:space="preserve">, sau </w:t>
      </w:r>
      <w:r>
        <w:rPr>
          <w:b/>
          <w:sz w:val="24"/>
          <w:szCs w:val="24"/>
        </w:rPr>
        <w:t xml:space="preserve">EI 60 ve </w:t>
      </w:r>
      <w:r>
        <w:rPr>
          <w:b/>
          <w:sz w:val="24"/>
          <w:szCs w:val="24"/>
          <w:vertAlign w:val="subscript"/>
        </w:rPr>
        <w:t xml:space="preserve">i </w:t>
      </w:r>
      <w:r>
        <w:rPr>
          <w:b/>
          <w:sz w:val="24"/>
          <w:szCs w:val="24"/>
          <w:vertAlign w:val="subscript"/>
        </w:rPr>
        <w:sym w:font="Symbol" w:char="F0AB"/>
      </w:r>
      <w:r>
        <w:rPr>
          <w:b/>
          <w:sz w:val="24"/>
          <w:szCs w:val="24"/>
          <w:vertAlign w:val="subscript"/>
        </w:rPr>
        <w:t xml:space="preserve"> o</w:t>
      </w:r>
      <w:r>
        <w:rPr>
          <w:bCs/>
          <w:sz w:val="24"/>
          <w:szCs w:val="24"/>
        </w:rPr>
        <w:t xml:space="preserve">, funcţie de poziţia în care sunt montate (vertical sau orizontal); </w:t>
      </w:r>
    </w:p>
    <w:p w14:paraId="01914EB2" w14:textId="77777777" w:rsidR="001C08A5" w:rsidRDefault="00000000">
      <w:pPr>
        <w:ind w:left="1440" w:firstLine="720"/>
        <w:jc w:val="both"/>
        <w:rPr>
          <w:b/>
          <w:sz w:val="24"/>
          <w:szCs w:val="24"/>
        </w:rPr>
      </w:pPr>
      <w:r>
        <w:rPr>
          <w:b/>
          <w:sz w:val="24"/>
          <w:szCs w:val="24"/>
        </w:rPr>
        <w:t>d)</w:t>
      </w:r>
      <w:r>
        <w:rPr>
          <w:bCs/>
          <w:sz w:val="24"/>
          <w:szCs w:val="24"/>
        </w:rPr>
        <w:t xml:space="preserve"> ventilatoarele de evacuare aferente hotelor trebuie să fie rezistente la foc</w:t>
      </w:r>
      <w:r>
        <w:rPr>
          <w:b/>
          <w:sz w:val="24"/>
          <w:szCs w:val="24"/>
        </w:rPr>
        <w:t xml:space="preserve"> F</w:t>
      </w:r>
      <w:r>
        <w:rPr>
          <w:b/>
          <w:sz w:val="24"/>
          <w:szCs w:val="24"/>
          <w:vertAlign w:val="subscript"/>
        </w:rPr>
        <w:t>400</w:t>
      </w:r>
      <w:r>
        <w:rPr>
          <w:b/>
          <w:sz w:val="24"/>
          <w:szCs w:val="24"/>
        </w:rPr>
        <w:t>90</w:t>
      </w:r>
    </w:p>
    <w:p w14:paraId="3E84AC1A" w14:textId="77777777" w:rsidR="001C08A5" w:rsidRDefault="00000000">
      <w:pPr>
        <w:ind w:left="1440" w:firstLine="720"/>
        <w:jc w:val="both"/>
        <w:rPr>
          <w:bCs/>
          <w:sz w:val="24"/>
          <w:szCs w:val="24"/>
        </w:rPr>
      </w:pPr>
      <w:r>
        <w:rPr>
          <w:b/>
          <w:sz w:val="24"/>
          <w:szCs w:val="24"/>
        </w:rPr>
        <w:t>e)</w:t>
      </w:r>
      <w:r>
        <w:rPr>
          <w:bCs/>
          <w:sz w:val="24"/>
          <w:szCs w:val="24"/>
        </w:rPr>
        <w:t xml:space="preserve"> racordurile dintre ventilatoarele de evacuare aferente şi conducte, trebuie să fie cel puţin clasa de reacţie la foc </w:t>
      </w:r>
      <w:r>
        <w:rPr>
          <w:b/>
          <w:sz w:val="24"/>
          <w:szCs w:val="24"/>
        </w:rPr>
        <w:t>A2-s1d0</w:t>
      </w:r>
      <w:r>
        <w:rPr>
          <w:bCs/>
          <w:sz w:val="24"/>
          <w:szCs w:val="24"/>
        </w:rPr>
        <w:t>.</w:t>
      </w:r>
    </w:p>
    <w:p w14:paraId="02CB2616" w14:textId="77777777" w:rsidR="001C08A5" w:rsidRDefault="00000000">
      <w:pPr>
        <w:ind w:left="1440" w:firstLine="720"/>
        <w:jc w:val="both"/>
        <w:rPr>
          <w:bCs/>
          <w:sz w:val="24"/>
          <w:szCs w:val="24"/>
        </w:rPr>
      </w:pPr>
      <w:r>
        <w:rPr>
          <w:b/>
          <w:sz w:val="24"/>
          <w:szCs w:val="24"/>
        </w:rPr>
        <w:t xml:space="preserve">f) </w:t>
      </w:r>
      <w:r>
        <w:rPr>
          <w:rFonts w:eastAsia="Arial Unicode MS"/>
          <w:sz w:val="24"/>
          <w:szCs w:val="24"/>
        </w:rPr>
        <w:t>Conductele de evacuare trebuie să fie independente de orice altă extracție sau ventilație și exclusive pentru fiecare bucătărie</w:t>
      </w:r>
    </w:p>
    <w:p w14:paraId="4680C141" w14:textId="77777777" w:rsidR="001C08A5" w:rsidRDefault="00000000">
      <w:pPr>
        <w:ind w:firstLine="709"/>
        <w:jc w:val="both"/>
        <w:rPr>
          <w:rFonts w:eastAsia="Arial Unicode MS"/>
          <w:sz w:val="24"/>
          <w:szCs w:val="24"/>
        </w:rPr>
      </w:pPr>
      <w:r>
        <w:rPr>
          <w:rFonts w:eastAsia="Arial Unicode MS"/>
          <w:b/>
          <w:bCs/>
          <w:sz w:val="24"/>
          <w:szCs w:val="24"/>
        </w:rPr>
        <w:t xml:space="preserve">(5) </w:t>
      </w:r>
      <w:r>
        <w:rPr>
          <w:rFonts w:eastAsia="Arial Unicode MS"/>
          <w:sz w:val="24"/>
          <w:szCs w:val="24"/>
        </w:rPr>
        <w:t xml:space="preserve">Conductele exterioare clădirii aferente hotelor se prevăd în dreptul unor porțiuni pline incombustibile ale clădirii cu lățimea minimă de </w:t>
      </w:r>
      <w:r>
        <w:rPr>
          <w:rFonts w:eastAsia="Arial Unicode MS"/>
          <w:b/>
          <w:bCs/>
          <w:sz w:val="24"/>
          <w:szCs w:val="24"/>
        </w:rPr>
        <w:t>1,00 m</w:t>
      </w:r>
      <w:r>
        <w:rPr>
          <w:rFonts w:eastAsia="Arial Unicode MS"/>
          <w:sz w:val="24"/>
          <w:szCs w:val="24"/>
        </w:rPr>
        <w:t xml:space="preserve"> măsurată de la marginea exterioară a conductei. </w:t>
      </w:r>
    </w:p>
    <w:p w14:paraId="5482BB59" w14:textId="77777777" w:rsidR="001C08A5" w:rsidRDefault="00000000">
      <w:pPr>
        <w:jc w:val="both"/>
        <w:rPr>
          <w:b/>
          <w:sz w:val="24"/>
          <w:szCs w:val="24"/>
        </w:rPr>
      </w:pPr>
      <w:r>
        <w:rPr>
          <w:b/>
          <w:sz w:val="24"/>
          <w:szCs w:val="24"/>
        </w:rPr>
        <w:tab/>
      </w:r>
    </w:p>
    <w:p w14:paraId="365A22EB" w14:textId="77777777" w:rsidR="001C08A5" w:rsidRDefault="00000000">
      <w:pPr>
        <w:ind w:firstLine="720"/>
        <w:jc w:val="both"/>
        <w:rPr>
          <w:sz w:val="24"/>
          <w:szCs w:val="24"/>
        </w:rPr>
      </w:pPr>
      <w:r>
        <w:rPr>
          <w:b/>
          <w:sz w:val="24"/>
          <w:szCs w:val="24"/>
        </w:rPr>
        <w:t>Art. 2.4.12.2.</w:t>
      </w:r>
      <w:r>
        <w:rPr>
          <w:sz w:val="24"/>
          <w:szCs w:val="24"/>
        </w:rPr>
        <w:tab/>
      </w:r>
      <w:r>
        <w:rPr>
          <w:b/>
          <w:sz w:val="24"/>
          <w:szCs w:val="24"/>
        </w:rPr>
        <w:t>(1)</w:t>
      </w:r>
      <w:r>
        <w:rPr>
          <w:sz w:val="24"/>
          <w:szCs w:val="24"/>
        </w:rPr>
        <w:t xml:space="preserve"> Hotele de captare a degajărilor de căldură produse de echipamente, dispozitive, aparate etc., trebuie să fie realizate din materiale clasa </w:t>
      </w:r>
      <w:r>
        <w:rPr>
          <w:b/>
          <w:sz w:val="24"/>
          <w:szCs w:val="24"/>
        </w:rPr>
        <w:t xml:space="preserve">A1 </w:t>
      </w:r>
      <w:r>
        <w:rPr>
          <w:sz w:val="24"/>
          <w:szCs w:val="24"/>
        </w:rPr>
        <w:t>sau</w:t>
      </w:r>
      <w:r>
        <w:rPr>
          <w:b/>
          <w:sz w:val="24"/>
          <w:szCs w:val="24"/>
        </w:rPr>
        <w:t xml:space="preserve"> A2-s1d0 </w:t>
      </w:r>
      <w:r>
        <w:rPr>
          <w:sz w:val="24"/>
          <w:szCs w:val="24"/>
        </w:rPr>
        <w:t xml:space="preserve">de reacţie la foc şi izolate faţă de elementele și materialele combustibile situate la distanţă mai mică de </w:t>
      </w:r>
      <w:r>
        <w:rPr>
          <w:b/>
          <w:sz w:val="24"/>
          <w:szCs w:val="24"/>
        </w:rPr>
        <w:t>1</w:t>
      </w:r>
      <w:r>
        <w:rPr>
          <w:sz w:val="24"/>
          <w:szCs w:val="24"/>
        </w:rPr>
        <w:t xml:space="preserve"> m.</w:t>
      </w:r>
    </w:p>
    <w:p w14:paraId="3AFA6631" w14:textId="77777777" w:rsidR="001C08A5" w:rsidRDefault="00000000">
      <w:pPr>
        <w:jc w:val="both"/>
        <w:rPr>
          <w:sz w:val="24"/>
          <w:szCs w:val="24"/>
        </w:rPr>
      </w:pPr>
      <w:r>
        <w:rPr>
          <w:sz w:val="24"/>
          <w:szCs w:val="24"/>
        </w:rPr>
        <w:tab/>
      </w:r>
      <w:r>
        <w:rPr>
          <w:b/>
          <w:sz w:val="24"/>
          <w:szCs w:val="24"/>
        </w:rPr>
        <w:t>(2)</w:t>
      </w:r>
      <w:r>
        <w:rPr>
          <w:sz w:val="24"/>
          <w:szCs w:val="24"/>
        </w:rPr>
        <w:t xml:space="preserve"> Tubulatura aferentă acestora trebuie să fie realizată din materiale clasa </w:t>
      </w:r>
      <w:r>
        <w:rPr>
          <w:b/>
          <w:sz w:val="24"/>
          <w:szCs w:val="24"/>
        </w:rPr>
        <w:t>A1</w:t>
      </w:r>
      <w:r>
        <w:rPr>
          <w:sz w:val="24"/>
          <w:szCs w:val="24"/>
        </w:rPr>
        <w:t xml:space="preserve"> de reacţie la foc şi rezistente la foc </w:t>
      </w:r>
      <w:r>
        <w:rPr>
          <w:b/>
          <w:sz w:val="24"/>
          <w:szCs w:val="24"/>
        </w:rPr>
        <w:t xml:space="preserve">E 30 </w:t>
      </w:r>
      <w:r>
        <w:rPr>
          <w:b/>
          <w:sz w:val="24"/>
          <w:szCs w:val="24"/>
          <w:vertAlign w:val="subscript"/>
        </w:rPr>
        <w:t>i↔o</w:t>
      </w:r>
      <w:r>
        <w:rPr>
          <w:b/>
          <w:sz w:val="24"/>
          <w:szCs w:val="24"/>
        </w:rPr>
        <w:t>, ve</w:t>
      </w:r>
      <w:r>
        <w:rPr>
          <w:sz w:val="24"/>
          <w:szCs w:val="24"/>
        </w:rPr>
        <w:t xml:space="preserve"> sau </w:t>
      </w:r>
      <w:r>
        <w:rPr>
          <w:b/>
          <w:sz w:val="24"/>
          <w:szCs w:val="24"/>
        </w:rPr>
        <w:t>ho</w:t>
      </w:r>
      <w:r>
        <w:rPr>
          <w:sz w:val="24"/>
          <w:szCs w:val="24"/>
        </w:rPr>
        <w:t xml:space="preserve"> și izolate faţă de elementele și materialele combustibile situate la distanţă mai mică de </w:t>
      </w:r>
      <w:r>
        <w:rPr>
          <w:b/>
          <w:sz w:val="24"/>
          <w:szCs w:val="24"/>
        </w:rPr>
        <w:t>1</w:t>
      </w:r>
      <w:r>
        <w:rPr>
          <w:sz w:val="24"/>
          <w:szCs w:val="24"/>
        </w:rPr>
        <w:t xml:space="preserve"> m.</w:t>
      </w:r>
    </w:p>
    <w:p w14:paraId="332F30F4" w14:textId="77777777" w:rsidR="001C08A5" w:rsidRDefault="00000000">
      <w:pPr>
        <w:ind w:firstLine="720"/>
        <w:jc w:val="both"/>
        <w:rPr>
          <w:sz w:val="24"/>
          <w:szCs w:val="24"/>
        </w:rPr>
      </w:pPr>
      <w:r>
        <w:rPr>
          <w:b/>
          <w:bCs/>
          <w:sz w:val="24"/>
          <w:szCs w:val="24"/>
        </w:rPr>
        <w:t>(3)</w:t>
      </w:r>
      <w:r>
        <w:rPr>
          <w:bCs/>
          <w:sz w:val="24"/>
          <w:szCs w:val="24"/>
        </w:rPr>
        <w:t xml:space="preserve"> La trecerile prin pereţi și planşee, precum şi prin interiorul încăperilor cu altă destinaţie, conductele de evacuare a căldurii aferente hotelor, trebuie realizate din materiale clasa de reacţie la foc </w:t>
      </w:r>
      <w:r>
        <w:rPr>
          <w:b/>
          <w:sz w:val="24"/>
          <w:szCs w:val="24"/>
        </w:rPr>
        <w:t>A1</w:t>
      </w:r>
      <w:r>
        <w:rPr>
          <w:bCs/>
          <w:sz w:val="24"/>
          <w:szCs w:val="24"/>
        </w:rPr>
        <w:t xml:space="preserve"> și trebuie să asigure rezistenţa la foc egală cu cea a elementelor străpunse, dar nu mai puţin de </w:t>
      </w:r>
      <w:r>
        <w:rPr>
          <w:b/>
          <w:sz w:val="24"/>
          <w:szCs w:val="24"/>
        </w:rPr>
        <w:t>EI 60 h</w:t>
      </w:r>
      <w:r>
        <w:rPr>
          <w:b/>
          <w:sz w:val="24"/>
          <w:szCs w:val="24"/>
          <w:vertAlign w:val="subscript"/>
        </w:rPr>
        <w:t xml:space="preserve">0 i </w:t>
      </w:r>
      <w:r>
        <w:rPr>
          <w:b/>
          <w:sz w:val="24"/>
          <w:szCs w:val="24"/>
          <w:vertAlign w:val="subscript"/>
        </w:rPr>
        <w:sym w:font="Symbol" w:char="F0AB"/>
      </w:r>
      <w:r>
        <w:rPr>
          <w:b/>
          <w:sz w:val="24"/>
          <w:szCs w:val="24"/>
          <w:vertAlign w:val="subscript"/>
        </w:rPr>
        <w:t xml:space="preserve"> o</w:t>
      </w:r>
      <w:r>
        <w:rPr>
          <w:bCs/>
          <w:sz w:val="24"/>
          <w:szCs w:val="24"/>
        </w:rPr>
        <w:t xml:space="preserve">, sau </w:t>
      </w:r>
      <w:r>
        <w:rPr>
          <w:b/>
          <w:sz w:val="24"/>
          <w:szCs w:val="24"/>
        </w:rPr>
        <w:t xml:space="preserve">EI 60 ve </w:t>
      </w:r>
      <w:r>
        <w:rPr>
          <w:b/>
          <w:sz w:val="24"/>
          <w:szCs w:val="24"/>
          <w:vertAlign w:val="subscript"/>
        </w:rPr>
        <w:t xml:space="preserve">i </w:t>
      </w:r>
      <w:r>
        <w:rPr>
          <w:b/>
          <w:sz w:val="24"/>
          <w:szCs w:val="24"/>
          <w:vertAlign w:val="subscript"/>
        </w:rPr>
        <w:sym w:font="Symbol" w:char="F0AB"/>
      </w:r>
      <w:r>
        <w:rPr>
          <w:b/>
          <w:sz w:val="24"/>
          <w:szCs w:val="24"/>
          <w:vertAlign w:val="subscript"/>
        </w:rPr>
        <w:t xml:space="preserve"> o</w:t>
      </w:r>
      <w:r>
        <w:rPr>
          <w:bCs/>
          <w:sz w:val="24"/>
          <w:szCs w:val="24"/>
        </w:rPr>
        <w:t>, funcţie de poziţia în care sunt montate (vertical sau orizontal).</w:t>
      </w:r>
      <w:r>
        <w:rPr>
          <w:sz w:val="24"/>
          <w:szCs w:val="24"/>
        </w:rPr>
        <w:tab/>
      </w:r>
    </w:p>
    <w:p w14:paraId="3475E199" w14:textId="77777777" w:rsidR="001C08A5" w:rsidRDefault="00000000">
      <w:pPr>
        <w:pStyle w:val="Heading4"/>
      </w:pPr>
      <w:bookmarkStart w:id="1894" w:name="_Toc18605"/>
      <w:bookmarkStart w:id="1895" w:name="_Toc12436"/>
      <w:bookmarkStart w:id="1896" w:name="_Toc1824"/>
      <w:bookmarkStart w:id="1897" w:name="_Toc31029"/>
      <w:bookmarkStart w:id="1898" w:name="_Toc20603"/>
      <w:bookmarkStart w:id="1899" w:name="_Toc20990"/>
      <w:bookmarkStart w:id="1900" w:name="_Toc10853"/>
      <w:bookmarkStart w:id="1901" w:name="_Toc162355241"/>
      <w:r>
        <w:t>2.4.13. Alcătuiri constructive specifice riscului de explozie volumetrică</w:t>
      </w:r>
      <w:bookmarkEnd w:id="1894"/>
      <w:bookmarkEnd w:id="1895"/>
      <w:bookmarkEnd w:id="1896"/>
      <w:bookmarkEnd w:id="1897"/>
      <w:bookmarkEnd w:id="1898"/>
      <w:bookmarkEnd w:id="1899"/>
      <w:bookmarkEnd w:id="1900"/>
      <w:bookmarkEnd w:id="1901"/>
    </w:p>
    <w:p w14:paraId="295C8612" w14:textId="77777777" w:rsidR="001C08A5" w:rsidRDefault="001C08A5">
      <w:pPr>
        <w:jc w:val="both"/>
        <w:rPr>
          <w:sz w:val="24"/>
          <w:szCs w:val="24"/>
        </w:rPr>
      </w:pPr>
    </w:p>
    <w:p w14:paraId="5D90320F" w14:textId="77777777" w:rsidR="001C08A5" w:rsidRDefault="00000000">
      <w:pPr>
        <w:ind w:firstLine="720"/>
        <w:jc w:val="both"/>
        <w:rPr>
          <w:b/>
          <w:sz w:val="24"/>
          <w:szCs w:val="24"/>
          <w:shd w:val="clear" w:color="auto" w:fill="FFFF00"/>
        </w:rPr>
      </w:pPr>
      <w:r>
        <w:rPr>
          <w:b/>
          <w:sz w:val="24"/>
          <w:szCs w:val="24"/>
        </w:rPr>
        <w:t>Art. 2.4.13.1.</w:t>
      </w:r>
      <w:r>
        <w:rPr>
          <w:sz w:val="24"/>
          <w:szCs w:val="24"/>
        </w:rPr>
        <w:t xml:space="preserve"> La alcătuirea construcţiilor cu risc de explozie volumetrică amplasate independent, se recomandă utilizarea elementelor de construcţie uşoare, </w:t>
      </w:r>
      <w:r>
        <w:rPr>
          <w:bCs/>
          <w:sz w:val="24"/>
          <w:szCs w:val="24"/>
        </w:rPr>
        <w:t>iar acoperişul acestor clădiri trebuie să fie fără pod</w:t>
      </w:r>
      <w:r>
        <w:rPr>
          <w:sz w:val="24"/>
          <w:szCs w:val="24"/>
        </w:rPr>
        <w:t>.</w:t>
      </w:r>
    </w:p>
    <w:p w14:paraId="7FDD5B43" w14:textId="77777777" w:rsidR="001C08A5" w:rsidRDefault="001C08A5">
      <w:pPr>
        <w:jc w:val="both"/>
        <w:rPr>
          <w:b/>
          <w:sz w:val="24"/>
          <w:szCs w:val="24"/>
        </w:rPr>
      </w:pPr>
    </w:p>
    <w:p w14:paraId="6A03162B" w14:textId="77777777" w:rsidR="001C08A5" w:rsidRDefault="00000000">
      <w:pPr>
        <w:jc w:val="both"/>
        <w:rPr>
          <w:sz w:val="24"/>
          <w:szCs w:val="24"/>
        </w:rPr>
      </w:pPr>
      <w:r>
        <w:rPr>
          <w:b/>
          <w:sz w:val="24"/>
          <w:szCs w:val="24"/>
        </w:rPr>
        <w:tab/>
        <w:t xml:space="preserve">Art. 2.4.13.2. (1) </w:t>
      </w:r>
      <w:r>
        <w:rPr>
          <w:sz w:val="24"/>
          <w:szCs w:val="24"/>
        </w:rPr>
        <w:t xml:space="preserve">Atunci când în mod justificat tehnic sunt dispuse în construcţii cu alte destinaţii - încăperi cu risc de explozie volumetrică - acestea se separă de restul construcţiei cu pereţi </w:t>
      </w:r>
      <w:r>
        <w:rPr>
          <w:sz w:val="24"/>
          <w:szCs w:val="24"/>
        </w:rPr>
        <w:lastRenderedPageBreak/>
        <w:t xml:space="preserve">şi planşee rezistente la explozie volumetrică, clasa de reacţie la foc </w:t>
      </w:r>
      <w:r>
        <w:rPr>
          <w:b/>
          <w:bCs/>
          <w:sz w:val="24"/>
          <w:szCs w:val="24"/>
        </w:rPr>
        <w:t>A1</w:t>
      </w:r>
      <w:r>
        <w:rPr>
          <w:sz w:val="24"/>
          <w:szCs w:val="24"/>
        </w:rPr>
        <w:t>, alcătuite şi dimensionate conform prevederilor normate.</w:t>
      </w:r>
    </w:p>
    <w:p w14:paraId="13766124" w14:textId="77777777" w:rsidR="001C08A5" w:rsidRDefault="00000000">
      <w:pPr>
        <w:ind w:firstLine="720"/>
        <w:jc w:val="both"/>
        <w:rPr>
          <w:sz w:val="24"/>
          <w:szCs w:val="24"/>
        </w:rPr>
      </w:pPr>
      <w:r>
        <w:rPr>
          <w:b/>
          <w:sz w:val="24"/>
          <w:szCs w:val="24"/>
        </w:rPr>
        <w:t xml:space="preserve">(2) </w:t>
      </w:r>
      <w:r>
        <w:rPr>
          <w:bCs/>
          <w:sz w:val="24"/>
          <w:szCs w:val="24"/>
        </w:rPr>
        <w:t>Planşeele și elementele lor de susţinere trebuie calculate, proiectate și executate astfel încât să nu fie deplasate de suflul exploziei</w:t>
      </w:r>
      <w:r>
        <w:rPr>
          <w:sz w:val="24"/>
          <w:szCs w:val="24"/>
        </w:rPr>
        <w:t>.</w:t>
      </w:r>
    </w:p>
    <w:p w14:paraId="3F795CAC" w14:textId="77777777" w:rsidR="001C08A5" w:rsidRDefault="001C08A5">
      <w:pPr>
        <w:ind w:firstLine="2127"/>
        <w:jc w:val="both"/>
        <w:rPr>
          <w:b/>
          <w:sz w:val="24"/>
          <w:szCs w:val="24"/>
        </w:rPr>
      </w:pPr>
    </w:p>
    <w:p w14:paraId="2DE50DF9" w14:textId="77777777" w:rsidR="001C08A5" w:rsidRDefault="00000000">
      <w:pPr>
        <w:ind w:firstLine="720"/>
        <w:jc w:val="both"/>
        <w:rPr>
          <w:bCs/>
          <w:sz w:val="24"/>
          <w:szCs w:val="24"/>
        </w:rPr>
      </w:pPr>
      <w:r>
        <w:rPr>
          <w:b/>
          <w:sz w:val="24"/>
          <w:szCs w:val="24"/>
        </w:rPr>
        <w:t xml:space="preserve">Art. 2.4.13.3. </w:t>
      </w:r>
      <w:r>
        <w:rPr>
          <w:bCs/>
          <w:sz w:val="24"/>
          <w:szCs w:val="24"/>
        </w:rPr>
        <w:t>Incaperile și spatiile cu pericol de explozie nu vor avea tavane suspendate sau autoportante și zone neventilate care sa faciliteze producerea concentratiilor periculoase de aer cu gaze, vapori sau praf combustibil. În incaperile cu degajari de praf combustibil, finisajul va permite curatirea usoara a suprafetelor.</w:t>
      </w:r>
    </w:p>
    <w:p w14:paraId="4755DAFB" w14:textId="77777777" w:rsidR="001C08A5" w:rsidRDefault="00000000">
      <w:pPr>
        <w:ind w:firstLine="2127"/>
        <w:jc w:val="both"/>
        <w:rPr>
          <w:b/>
          <w:sz w:val="24"/>
          <w:szCs w:val="24"/>
        </w:rPr>
      </w:pPr>
      <w:r>
        <w:rPr>
          <w:b/>
          <w:sz w:val="24"/>
          <w:szCs w:val="24"/>
        </w:rPr>
        <w:tab/>
      </w:r>
    </w:p>
    <w:p w14:paraId="43BE9AA3" w14:textId="77777777" w:rsidR="001C08A5" w:rsidRDefault="00000000">
      <w:pPr>
        <w:jc w:val="both"/>
        <w:rPr>
          <w:bCs/>
          <w:sz w:val="24"/>
          <w:szCs w:val="24"/>
        </w:rPr>
      </w:pPr>
      <w:r>
        <w:rPr>
          <w:b/>
          <w:sz w:val="24"/>
          <w:szCs w:val="24"/>
        </w:rPr>
        <w:tab/>
        <w:t xml:space="preserve">Art. 2.4.13.4. (1) </w:t>
      </w:r>
      <w:r>
        <w:rPr>
          <w:sz w:val="24"/>
          <w:szCs w:val="24"/>
        </w:rPr>
        <w:t xml:space="preserve">În pereţii de separare rezistenţi la explozie volumetrică este admisă practicarea numai a golurilor strict necesare funcţonal, </w:t>
      </w:r>
      <w:r>
        <w:rPr>
          <w:bCs/>
          <w:sz w:val="24"/>
          <w:szCs w:val="24"/>
        </w:rPr>
        <w:t>numai dacă sunt protejate corespunzător prevederilor prezentului normativ şi reglementărilor tehnice specifice.</w:t>
      </w:r>
    </w:p>
    <w:p w14:paraId="023F35B0" w14:textId="77777777" w:rsidR="001C08A5" w:rsidRDefault="00000000">
      <w:pPr>
        <w:ind w:firstLine="720"/>
        <w:jc w:val="both"/>
        <w:rPr>
          <w:sz w:val="24"/>
          <w:szCs w:val="24"/>
        </w:rPr>
      </w:pPr>
      <w:r>
        <w:rPr>
          <w:b/>
          <w:sz w:val="24"/>
          <w:szCs w:val="24"/>
        </w:rPr>
        <w:t xml:space="preserve">(2) </w:t>
      </w:r>
      <w:r>
        <w:rPr>
          <w:sz w:val="24"/>
          <w:szCs w:val="24"/>
        </w:rPr>
        <w:t>Străpungerea pereţilor rezistenţi la explozie de către conducte, conductoare sau cabluri electrice, este admisă numai în cazuri de strictă necesitate şi în condiţiile luării măsurilor de protecţie care să asigure împiedicarea trecerii vaporilor, gazelor și prafului combustibil pe lângă acestea.</w:t>
      </w:r>
    </w:p>
    <w:p w14:paraId="4DFB4594" w14:textId="77777777" w:rsidR="001C08A5" w:rsidRDefault="001C08A5">
      <w:pPr>
        <w:rPr>
          <w:sz w:val="24"/>
          <w:szCs w:val="24"/>
        </w:rPr>
      </w:pPr>
    </w:p>
    <w:p w14:paraId="3BA911CA" w14:textId="77777777" w:rsidR="001C08A5" w:rsidRDefault="00000000">
      <w:pPr>
        <w:jc w:val="both"/>
        <w:rPr>
          <w:sz w:val="24"/>
          <w:szCs w:val="24"/>
        </w:rPr>
      </w:pPr>
      <w:r>
        <w:rPr>
          <w:b/>
          <w:sz w:val="24"/>
          <w:szCs w:val="24"/>
        </w:rPr>
        <w:tab/>
        <w:t xml:space="preserve">Art. 2.4.13.5. </w:t>
      </w:r>
      <w:r>
        <w:rPr>
          <w:sz w:val="24"/>
          <w:szCs w:val="24"/>
        </w:rPr>
        <w:t>Construcţiile și încăperile cu risc de explozie volumetrică se prevăd cu goluri pentru decomprimare în caz de explozie</w:t>
      </w:r>
      <w:r>
        <w:rPr>
          <w:b/>
          <w:bCs/>
          <w:sz w:val="24"/>
          <w:szCs w:val="24"/>
        </w:rPr>
        <w:t xml:space="preserve">, </w:t>
      </w:r>
      <w:r>
        <w:rPr>
          <w:sz w:val="24"/>
          <w:szCs w:val="24"/>
        </w:rPr>
        <w:t>alcătuite şi dimensionate conform prevederilor normate.Golurile pentru decomprimare se amplaseaza în vecinatatea surselor de explozie, avandu-se în vedere ca efectul suflului exploziei în exteriorul constructiei sa nu afecteze obiecte invecinate sau cai publice de circulație.</w:t>
      </w:r>
    </w:p>
    <w:p w14:paraId="601C46C0" w14:textId="77777777" w:rsidR="001C08A5" w:rsidRDefault="001C08A5">
      <w:pPr>
        <w:jc w:val="both"/>
        <w:rPr>
          <w:sz w:val="24"/>
          <w:szCs w:val="24"/>
          <w:shd w:val="clear" w:color="auto" w:fill="FFFF00"/>
        </w:rPr>
      </w:pPr>
    </w:p>
    <w:p w14:paraId="37D321D2" w14:textId="77777777" w:rsidR="001C08A5" w:rsidRDefault="00000000">
      <w:pPr>
        <w:jc w:val="both"/>
        <w:rPr>
          <w:sz w:val="24"/>
          <w:szCs w:val="24"/>
          <w:shd w:val="clear" w:color="auto" w:fill="FFFF00"/>
        </w:rPr>
      </w:pPr>
      <w:r>
        <w:rPr>
          <w:b/>
          <w:sz w:val="24"/>
          <w:szCs w:val="24"/>
        </w:rPr>
        <w:tab/>
        <w:t>Art. 2.4.13.6.</w:t>
      </w:r>
      <w:r>
        <w:rPr>
          <w:sz w:val="24"/>
          <w:szCs w:val="24"/>
        </w:rPr>
        <w:t xml:space="preserve"> Golurile ce se prevad pentru decomprimare în caz de explozie pot fi neînchise sau închise. Elementele de închidere a golurilor pentru decomprimare se realizează astfel încât să cedeze la presiunea datorată exploziei volumetrice, dar la cel mult </w:t>
      </w:r>
      <w:r>
        <w:rPr>
          <w:b/>
          <w:sz w:val="24"/>
          <w:szCs w:val="24"/>
        </w:rPr>
        <w:t>118 daN/m</w:t>
      </w:r>
      <w:r>
        <w:rPr>
          <w:b/>
          <w:sz w:val="24"/>
          <w:szCs w:val="24"/>
          <w:vertAlign w:val="superscript"/>
        </w:rPr>
        <w:t>2</w:t>
      </w:r>
      <w:r>
        <w:rPr>
          <w:sz w:val="24"/>
          <w:szCs w:val="24"/>
        </w:rPr>
        <w:t>.</w:t>
      </w:r>
    </w:p>
    <w:p w14:paraId="39C5489C" w14:textId="77777777" w:rsidR="001C08A5" w:rsidRDefault="001C08A5">
      <w:pPr>
        <w:rPr>
          <w:sz w:val="24"/>
          <w:szCs w:val="24"/>
          <w:shd w:val="clear" w:color="auto" w:fill="FFFF00"/>
        </w:rPr>
      </w:pPr>
    </w:p>
    <w:p w14:paraId="607F61E9" w14:textId="77777777" w:rsidR="001C08A5" w:rsidRDefault="00000000">
      <w:pPr>
        <w:jc w:val="both"/>
        <w:rPr>
          <w:sz w:val="24"/>
          <w:szCs w:val="24"/>
        </w:rPr>
      </w:pPr>
      <w:r>
        <w:rPr>
          <w:b/>
          <w:sz w:val="24"/>
          <w:szCs w:val="24"/>
        </w:rPr>
        <w:tab/>
        <w:t>Art. 2.4.13.7.</w:t>
      </w:r>
      <w:r>
        <w:rPr>
          <w:sz w:val="24"/>
          <w:szCs w:val="24"/>
        </w:rPr>
        <w:t xml:space="preserve"> La construcţiile, încăperile și zonele cu pericol de explozie volumetrică este obligatorie precizarea şi marcarea zonării riscurilor de explozie volumetrică, precum și măsurile de protecţie asigurate, conform prevederilor reglementărilor tehnice specifice.</w:t>
      </w:r>
      <w:r>
        <w:rPr>
          <w:sz w:val="24"/>
          <w:szCs w:val="24"/>
        </w:rPr>
        <w:tab/>
      </w:r>
    </w:p>
    <w:p w14:paraId="11DC0E4D" w14:textId="77777777" w:rsidR="001C08A5" w:rsidRDefault="001C08A5">
      <w:pPr>
        <w:jc w:val="both"/>
        <w:rPr>
          <w:b/>
          <w:sz w:val="24"/>
          <w:szCs w:val="24"/>
        </w:rPr>
      </w:pPr>
    </w:p>
    <w:p w14:paraId="421D4D9B" w14:textId="77777777" w:rsidR="001C08A5" w:rsidRDefault="00000000">
      <w:pPr>
        <w:ind w:firstLine="720"/>
        <w:jc w:val="both"/>
        <w:rPr>
          <w:sz w:val="24"/>
          <w:szCs w:val="24"/>
        </w:rPr>
      </w:pPr>
      <w:r>
        <w:rPr>
          <w:b/>
          <w:sz w:val="24"/>
          <w:szCs w:val="24"/>
        </w:rPr>
        <w:t xml:space="preserve">Art. 2.4.13.8. </w:t>
      </w:r>
      <w:r>
        <w:rPr>
          <w:bCs/>
          <w:sz w:val="24"/>
          <w:szCs w:val="24"/>
        </w:rPr>
        <w:t xml:space="preserve">În </w:t>
      </w:r>
      <w:r>
        <w:rPr>
          <w:sz w:val="24"/>
          <w:szCs w:val="24"/>
        </w:rPr>
        <w:t>spațiile în care se pot produce amestecuri explozive de aer cu gaze, vapori sau praf, stratul de uzură al pardoselilor trebuie să fie executat din materiale care la lovire să nu producă scântei capabile să inițieze aprinderea respectivelor amestecuri explozive.</w:t>
      </w:r>
    </w:p>
    <w:p w14:paraId="7936FE89" w14:textId="77777777" w:rsidR="001C08A5" w:rsidRDefault="001C08A5">
      <w:pPr>
        <w:jc w:val="both"/>
        <w:rPr>
          <w:sz w:val="24"/>
          <w:szCs w:val="24"/>
        </w:rPr>
      </w:pPr>
    </w:p>
    <w:p w14:paraId="4DCFB5B2" w14:textId="77777777" w:rsidR="001C08A5" w:rsidRDefault="00000000">
      <w:pPr>
        <w:ind w:firstLine="709"/>
        <w:jc w:val="both"/>
        <w:rPr>
          <w:sz w:val="24"/>
          <w:szCs w:val="24"/>
        </w:rPr>
      </w:pPr>
      <w:r>
        <w:rPr>
          <w:b/>
          <w:sz w:val="24"/>
          <w:szCs w:val="24"/>
        </w:rPr>
        <w:t>Art. 2.4.13.9.</w:t>
      </w:r>
      <w:r>
        <w:rPr>
          <w:sz w:val="24"/>
          <w:szCs w:val="24"/>
        </w:rPr>
        <w:t xml:space="preserve"> În încăperi și spații cu pericol de explozie, tâmplăria și sistemele de acționare a acesteia se vor realiza sau proteja astfel încât, prin manevrare, să nu producă scântei capabile să inițieze aprinderea amestecurilor explozive.</w:t>
      </w:r>
    </w:p>
    <w:p w14:paraId="347A451B" w14:textId="77777777" w:rsidR="001C08A5" w:rsidRDefault="001C08A5">
      <w:pPr>
        <w:jc w:val="both"/>
        <w:rPr>
          <w:b/>
          <w:sz w:val="24"/>
          <w:szCs w:val="24"/>
        </w:rPr>
      </w:pPr>
    </w:p>
    <w:p w14:paraId="51B9F5AC" w14:textId="77777777" w:rsidR="001C08A5" w:rsidRDefault="00000000">
      <w:pPr>
        <w:ind w:firstLine="709"/>
        <w:jc w:val="both"/>
        <w:rPr>
          <w:b/>
          <w:sz w:val="24"/>
          <w:szCs w:val="24"/>
        </w:rPr>
      </w:pPr>
      <w:r>
        <w:rPr>
          <w:b/>
          <w:sz w:val="24"/>
          <w:szCs w:val="24"/>
        </w:rPr>
        <w:t xml:space="preserve">Art. 2.4.13.10. </w:t>
      </w:r>
      <w:r>
        <w:rPr>
          <w:sz w:val="24"/>
          <w:szCs w:val="24"/>
        </w:rPr>
        <w:t xml:space="preserve">Delimitarea zonelor până la care se extind măsurile de protecţie impuse de riscurile de explozie volumetrică (zonarea mediilor cu pericol de explozie), are în vedere posibilitatea prezenţei amestecurilor de aer cu gaze, vapori sau praf în concentraţii cu risc de explozie în timpul funcţionării normale. </w:t>
      </w:r>
    </w:p>
    <w:p w14:paraId="6612B1A8" w14:textId="77777777" w:rsidR="001C08A5" w:rsidRDefault="00000000">
      <w:pPr>
        <w:pStyle w:val="Heading4"/>
      </w:pPr>
      <w:bookmarkStart w:id="1902" w:name="_Toc22051"/>
      <w:bookmarkStart w:id="1903" w:name="_Toc19311"/>
      <w:bookmarkStart w:id="1904" w:name="_Toc15584"/>
      <w:bookmarkStart w:id="1905" w:name="_Toc15888"/>
      <w:bookmarkStart w:id="1906" w:name="_Toc22854"/>
      <w:bookmarkStart w:id="1907" w:name="_Toc6601"/>
      <w:bookmarkStart w:id="1908" w:name="_Toc162355242"/>
      <w:bookmarkStart w:id="1909" w:name="_Toc13303"/>
      <w:r>
        <w:t>2.4.14. Încăperi şi spaţii destinate instalaţiilor utilitare aferente construcţiilor</w:t>
      </w:r>
      <w:bookmarkEnd w:id="1902"/>
      <w:bookmarkEnd w:id="1903"/>
      <w:bookmarkEnd w:id="1904"/>
      <w:bookmarkEnd w:id="1905"/>
      <w:bookmarkEnd w:id="1906"/>
      <w:bookmarkEnd w:id="1907"/>
      <w:bookmarkEnd w:id="1908"/>
      <w:bookmarkEnd w:id="1909"/>
    </w:p>
    <w:p w14:paraId="763662A1" w14:textId="77777777" w:rsidR="001C08A5" w:rsidRDefault="001C08A5">
      <w:pPr>
        <w:rPr>
          <w:b/>
          <w:sz w:val="24"/>
          <w:szCs w:val="24"/>
        </w:rPr>
      </w:pPr>
    </w:p>
    <w:p w14:paraId="1F72AA35" w14:textId="77777777" w:rsidR="001C08A5" w:rsidRDefault="00000000">
      <w:pPr>
        <w:jc w:val="both"/>
        <w:rPr>
          <w:sz w:val="24"/>
          <w:szCs w:val="24"/>
        </w:rPr>
      </w:pPr>
      <w:r>
        <w:rPr>
          <w:b/>
          <w:sz w:val="24"/>
          <w:szCs w:val="24"/>
        </w:rPr>
        <w:tab/>
        <w:t>Art. 2.4.14.1. (1)</w:t>
      </w:r>
      <w:r>
        <w:rPr>
          <w:sz w:val="24"/>
          <w:szCs w:val="24"/>
        </w:rPr>
        <w:t xml:space="preserve"> Încăperile centralelor termice și a punctelor termice aferente sistemelor de încălzire centrală cu apă caldă sau supraîncălzită, precum și ale centralelor termice alimentate cu energie electrica se separă de restul construcţiei cu pereţi rezistenţi la foc minimum </w:t>
      </w:r>
      <w:r>
        <w:rPr>
          <w:b/>
          <w:sz w:val="24"/>
          <w:szCs w:val="24"/>
        </w:rPr>
        <w:t>EI/REI 90</w:t>
      </w:r>
      <w:r>
        <w:rPr>
          <w:sz w:val="24"/>
          <w:szCs w:val="24"/>
        </w:rPr>
        <w:t xml:space="preserve"> și planşee rezistente la foc minimum </w:t>
      </w:r>
      <w:r>
        <w:rPr>
          <w:b/>
          <w:sz w:val="24"/>
          <w:szCs w:val="24"/>
        </w:rPr>
        <w:t>REI 90</w:t>
      </w:r>
      <w:r>
        <w:rPr>
          <w:sz w:val="24"/>
          <w:szCs w:val="24"/>
        </w:rPr>
        <w:t xml:space="preserve">, clasa de reacţie la foc </w:t>
      </w:r>
      <w:r>
        <w:rPr>
          <w:b/>
          <w:bCs/>
          <w:sz w:val="24"/>
          <w:szCs w:val="24"/>
        </w:rPr>
        <w:t>A1</w:t>
      </w:r>
      <w:r>
        <w:rPr>
          <w:sz w:val="24"/>
          <w:szCs w:val="24"/>
        </w:rPr>
        <w:t xml:space="preserve"> sau </w:t>
      </w:r>
      <w:r>
        <w:rPr>
          <w:b/>
          <w:bCs/>
          <w:sz w:val="24"/>
          <w:szCs w:val="24"/>
        </w:rPr>
        <w:t>A2-s1d0</w:t>
      </w:r>
      <w:r>
        <w:rPr>
          <w:sz w:val="24"/>
          <w:szCs w:val="24"/>
        </w:rPr>
        <w:t>, cu excepţiile admise în normativul de profil (c</w:t>
      </w:r>
      <w:r>
        <w:rPr>
          <w:sz w:val="24"/>
          <w:szCs w:val="24"/>
          <w:shd w:val="clear" w:color="auto" w:fill="FFFFFF"/>
          <w:lang w:eastAsia="zh-CN"/>
        </w:rPr>
        <w:t xml:space="preserve">entralele termice individuale se pot amplasa în interiorul clădirii sau pe terasa acesteia, respectând, în principal, prevederile cuprinse în reglementările tehnice referitoare </w:t>
      </w:r>
      <w:r>
        <w:rPr>
          <w:sz w:val="24"/>
          <w:szCs w:val="24"/>
          <w:shd w:val="clear" w:color="auto" w:fill="FFFFFF"/>
          <w:lang w:eastAsia="zh-CN"/>
        </w:rPr>
        <w:lastRenderedPageBreak/>
        <w:t xml:space="preserve">la proiectarea, execuţia şi exploatarea centralelor termice mici, de securitate la incendiu în clădiri, a prescripţiilor tehnice specifice </w:t>
      </w:r>
      <w:r>
        <w:rPr>
          <w:b/>
          <w:bCs/>
          <w:sz w:val="24"/>
          <w:szCs w:val="24"/>
          <w:shd w:val="clear" w:color="auto" w:fill="FFFFFF"/>
          <w:lang w:eastAsia="zh-CN"/>
        </w:rPr>
        <w:t>ISCIR</w:t>
      </w:r>
      <w:r>
        <w:rPr>
          <w:sz w:val="24"/>
          <w:szCs w:val="24"/>
          <w:shd w:val="clear" w:color="auto" w:fill="FFFFFF"/>
          <w:lang w:eastAsia="zh-CN"/>
        </w:rPr>
        <w:t>, etc.</w:t>
      </w:r>
      <w:r>
        <w:rPr>
          <w:sz w:val="24"/>
          <w:szCs w:val="24"/>
        </w:rPr>
        <w:t xml:space="preserve">). </w:t>
      </w:r>
    </w:p>
    <w:p w14:paraId="0CF88681" w14:textId="77777777" w:rsidR="001C08A5" w:rsidRDefault="00000000">
      <w:pPr>
        <w:ind w:firstLine="720"/>
        <w:jc w:val="both"/>
        <w:rPr>
          <w:rFonts w:eastAsia="TimesNewRomanPSMT"/>
          <w:sz w:val="24"/>
          <w:szCs w:val="24"/>
        </w:rPr>
      </w:pPr>
      <w:r>
        <w:rPr>
          <w:b/>
          <w:sz w:val="24"/>
          <w:szCs w:val="24"/>
        </w:rPr>
        <w:t xml:space="preserve">(2) </w:t>
      </w:r>
      <w:r>
        <w:rPr>
          <w:rFonts w:eastAsia="TimesNewRomanPSMT"/>
          <w:sz w:val="24"/>
          <w:szCs w:val="24"/>
        </w:rPr>
        <w:t xml:space="preserve">Centralele termice mici cu tiraj fortat cu puteri instalate pana la </w:t>
      </w:r>
      <w:r>
        <w:rPr>
          <w:b/>
          <w:sz w:val="24"/>
          <w:szCs w:val="24"/>
          <w:shd w:val="clear" w:color="auto" w:fill="FFFFFF"/>
          <w:lang w:eastAsia="zh-CN"/>
        </w:rPr>
        <w:t>0,3 MW</w:t>
      </w:r>
      <w:r>
        <w:rPr>
          <w:bCs/>
          <w:sz w:val="24"/>
          <w:szCs w:val="24"/>
          <w:shd w:val="clear" w:color="auto" w:fill="FFFFFF"/>
          <w:lang w:eastAsia="zh-CN"/>
        </w:rPr>
        <w:t xml:space="preserve"> (Pi &lt; 300 kW)</w:t>
      </w:r>
      <w:r>
        <w:rPr>
          <w:rFonts w:eastAsia="TimesNewRomanPSMT"/>
          <w:sz w:val="24"/>
          <w:szCs w:val="24"/>
        </w:rPr>
        <w:t xml:space="preserve"> se pot  monta și functiona în clădiri de locuit (băi, bucătării) și în clădiri publice obișnuite (în interiorul unor încăperi special realizate)  fără a fi obligatorie separarea de alte încăperi cu pereți și planșeu conform </w:t>
      </w:r>
      <w:r>
        <w:rPr>
          <w:rFonts w:eastAsia="TimesNewRomanPSMT"/>
          <w:b/>
          <w:bCs/>
          <w:sz w:val="24"/>
          <w:szCs w:val="24"/>
        </w:rPr>
        <w:t>alin. (1)</w:t>
      </w:r>
      <w:r>
        <w:rPr>
          <w:rFonts w:eastAsia="TimesNewRomanPSMT"/>
          <w:sz w:val="24"/>
          <w:szCs w:val="24"/>
        </w:rPr>
        <w:t xml:space="preserve"> dar cu respectarea prevederile cuprinse în reglementările tehnice referitoare la proiectarea, execuţia şi exploatarea centralelor termice mici, a Prescripţiilor tehnice specifice </w:t>
      </w:r>
      <w:r>
        <w:rPr>
          <w:rFonts w:eastAsia="TimesNewRomanPSMT"/>
          <w:b/>
          <w:bCs/>
          <w:sz w:val="24"/>
          <w:szCs w:val="24"/>
        </w:rPr>
        <w:t>ISCIR</w:t>
      </w:r>
      <w:r>
        <w:rPr>
          <w:rFonts w:eastAsia="TimesNewRomanPSMT"/>
          <w:sz w:val="24"/>
          <w:szCs w:val="24"/>
        </w:rPr>
        <w:t xml:space="preserve">. </w:t>
      </w:r>
    </w:p>
    <w:p w14:paraId="354CAEC6" w14:textId="77777777" w:rsidR="001C08A5" w:rsidRDefault="00000000">
      <w:pPr>
        <w:ind w:firstLine="720"/>
        <w:jc w:val="both"/>
        <w:rPr>
          <w:sz w:val="24"/>
          <w:szCs w:val="24"/>
        </w:rPr>
      </w:pPr>
      <w:r>
        <w:rPr>
          <w:rFonts w:eastAsia="TimesNewRomanPSMT"/>
          <w:b/>
          <w:bCs/>
          <w:sz w:val="24"/>
          <w:szCs w:val="24"/>
        </w:rPr>
        <w:t>(3)</w:t>
      </w:r>
      <w:r>
        <w:rPr>
          <w:rFonts w:eastAsia="TimesNewRomanPSMT"/>
          <w:sz w:val="24"/>
          <w:szCs w:val="24"/>
        </w:rPr>
        <w:t xml:space="preserve"> </w:t>
      </w:r>
      <w:r>
        <w:rPr>
          <w:sz w:val="24"/>
          <w:szCs w:val="24"/>
        </w:rPr>
        <w:t xml:space="preserve">Accesul în încăperile centralelor termice aferente clădirilor de locuit </w:t>
      </w:r>
      <w:r>
        <w:rPr>
          <w:bCs/>
          <w:sz w:val="24"/>
          <w:szCs w:val="24"/>
          <w:shd w:val="clear" w:color="auto" w:fill="FFFFFF"/>
          <w:lang w:eastAsia="zh-CN"/>
        </w:rPr>
        <w:t xml:space="preserve">cu capacitatea peste </w:t>
      </w:r>
      <w:r>
        <w:rPr>
          <w:b/>
          <w:sz w:val="24"/>
          <w:szCs w:val="24"/>
          <w:shd w:val="clear" w:color="auto" w:fill="FFFFFF"/>
          <w:lang w:eastAsia="zh-CN"/>
        </w:rPr>
        <w:t xml:space="preserve">0,3 MW (Pi &gt; 300 kW) </w:t>
      </w:r>
      <w:r>
        <w:rPr>
          <w:sz w:val="24"/>
          <w:szCs w:val="24"/>
        </w:rPr>
        <w:t xml:space="preserve">se poate realiza direct din exterior, iar atunci când din punct de vedere tehnic acest lucru nu este posibil, accesul din construcţie se protejază obligatoriu cu un spațiu tampon. </w:t>
      </w:r>
    </w:p>
    <w:p w14:paraId="59D9A657" w14:textId="77777777" w:rsidR="001C08A5" w:rsidRDefault="00000000">
      <w:pPr>
        <w:ind w:firstLine="720"/>
        <w:jc w:val="both"/>
        <w:rPr>
          <w:sz w:val="24"/>
          <w:szCs w:val="24"/>
        </w:rPr>
      </w:pPr>
      <w:r>
        <w:rPr>
          <w:b/>
          <w:bCs/>
          <w:sz w:val="24"/>
          <w:szCs w:val="24"/>
        </w:rPr>
        <w:t>(4)</w:t>
      </w:r>
      <w:r>
        <w:rPr>
          <w:sz w:val="24"/>
          <w:szCs w:val="24"/>
        </w:rPr>
        <w:t xml:space="preserve"> Centralele termice murale cu cameră etanșă se instalează pe pereți incombustibili iar atunci când nu este posibil acest lucru, montarea pe materiale combustibile a centralelor termice murale se face interpunând materiale incombustibile între acestea și materialul combustibil sau elementele de distanțare care pot fi: tencuială de minimum 1 cm grosime sau plăci din materiale electroizolante incombustibile cu grosimea de minimum </w:t>
      </w:r>
      <w:r>
        <w:rPr>
          <w:b/>
          <w:bCs/>
          <w:sz w:val="24"/>
          <w:szCs w:val="24"/>
        </w:rPr>
        <w:t>0,5 cm</w:t>
      </w:r>
      <w:r>
        <w:rPr>
          <w:sz w:val="24"/>
          <w:szCs w:val="24"/>
        </w:rPr>
        <w:t xml:space="preserve">, cu o lățime care depășește cu cel puțin </w:t>
      </w:r>
      <w:r>
        <w:rPr>
          <w:b/>
          <w:bCs/>
          <w:sz w:val="24"/>
          <w:szCs w:val="24"/>
        </w:rPr>
        <w:t>3 cm</w:t>
      </w:r>
      <w:r>
        <w:rPr>
          <w:sz w:val="24"/>
          <w:szCs w:val="24"/>
        </w:rPr>
        <w:t xml:space="preserve"> pe toate laturile centralei termice murale sau elemente de susținere din materiale incombustibile (de exemplu, console metalice etc.) care distanțează centrala termică murală cu cel puțin </w:t>
      </w:r>
      <w:r>
        <w:rPr>
          <w:b/>
          <w:bCs/>
          <w:sz w:val="24"/>
          <w:szCs w:val="24"/>
        </w:rPr>
        <w:t xml:space="preserve">3 cm </w:t>
      </w:r>
      <w:r>
        <w:rPr>
          <w:sz w:val="24"/>
          <w:szCs w:val="24"/>
        </w:rPr>
        <w:t>pe toate laturile față de elementul combustibil.</w:t>
      </w:r>
    </w:p>
    <w:p w14:paraId="0DCF2B3B" w14:textId="77777777" w:rsidR="001C08A5" w:rsidRDefault="00000000">
      <w:pPr>
        <w:pStyle w:val="BodyText"/>
        <w:ind w:firstLine="720"/>
        <w:rPr>
          <w:b w:val="0"/>
          <w:bCs w:val="0"/>
          <w:i w:val="0"/>
          <w:iCs/>
        </w:rPr>
      </w:pPr>
      <w:r>
        <w:rPr>
          <w:i w:val="0"/>
          <w:iCs/>
        </w:rPr>
        <w:t>(5)</w:t>
      </w:r>
      <w:r>
        <w:rPr>
          <w:b w:val="0"/>
          <w:bCs w:val="0"/>
          <w:i w:val="0"/>
          <w:iCs/>
        </w:rPr>
        <w:t xml:space="preserve"> La clădirile cu înălţimi diferite, încăperea centralei termice se  amplasează pe acoperişul terasa al clădirii situat la cea mai mare înălţime. Centralele termice amplasate pe terase trebuie sa respecte urmatoarele conditii:</w:t>
      </w:r>
    </w:p>
    <w:p w14:paraId="5FBA1ED1" w14:textId="77777777" w:rsidR="001C08A5" w:rsidRDefault="00000000">
      <w:pPr>
        <w:pStyle w:val="BodyText"/>
        <w:numPr>
          <w:ilvl w:val="0"/>
          <w:numId w:val="56"/>
        </w:numPr>
        <w:ind w:left="1400"/>
        <w:rPr>
          <w:b w:val="0"/>
          <w:bCs w:val="0"/>
          <w:i w:val="0"/>
          <w:iCs/>
        </w:rPr>
      </w:pPr>
      <w:r>
        <w:rPr>
          <w:b w:val="0"/>
          <w:bCs w:val="0"/>
          <w:i w:val="0"/>
          <w:iCs/>
        </w:rPr>
        <w:t xml:space="preserve">La clădirile cu înălţimi diferite, încăperea centralei termice se  amplasează pe acoperişul terasa al clădirii situat la cea mai mare înălţime; </w:t>
      </w:r>
    </w:p>
    <w:p w14:paraId="023D3476" w14:textId="77777777" w:rsidR="001C08A5" w:rsidRDefault="00000000">
      <w:pPr>
        <w:pStyle w:val="BodyText"/>
        <w:numPr>
          <w:ilvl w:val="0"/>
          <w:numId w:val="56"/>
        </w:numPr>
        <w:ind w:left="1400"/>
        <w:rPr>
          <w:b w:val="0"/>
          <w:bCs w:val="0"/>
        </w:rPr>
      </w:pPr>
      <w:r>
        <w:rPr>
          <w:b w:val="0"/>
          <w:i w:val="0"/>
          <w:shd w:val="clear" w:color="auto" w:fill="FFFFFF"/>
          <w:lang w:eastAsia="zh-CN"/>
        </w:rPr>
        <w:t>Montarea centralei termice pe terasă se face fără a afecta siguranţa şi buna funcţionalitate a clădirii precum și structura de rezistenţă a acesteia;</w:t>
      </w:r>
    </w:p>
    <w:p w14:paraId="01124200" w14:textId="77777777" w:rsidR="001C08A5" w:rsidRDefault="00000000">
      <w:pPr>
        <w:pStyle w:val="BodyText"/>
        <w:numPr>
          <w:ilvl w:val="0"/>
          <w:numId w:val="56"/>
        </w:numPr>
        <w:ind w:left="1400"/>
        <w:rPr>
          <w:b w:val="0"/>
          <w:bCs w:val="0"/>
          <w:i w:val="0"/>
          <w:iCs/>
        </w:rPr>
      </w:pPr>
      <w:r>
        <w:rPr>
          <w:b w:val="0"/>
          <w:bCs w:val="0"/>
          <w:i w:val="0"/>
          <w:iCs/>
          <w:lang w:eastAsia="zh-CN"/>
        </w:rPr>
        <w:t>Accesul în centralele termice situate pe terasa clădirii este posibil doar de pe terasă sau din casa scării, printr-un spațiu tampon; nu se admite accesul direct de la un etaj inferior prin deschideri sau trape în pardoseala centralei termice;</w:t>
      </w:r>
    </w:p>
    <w:p w14:paraId="347AB725" w14:textId="77777777" w:rsidR="001C08A5" w:rsidRDefault="00000000">
      <w:pPr>
        <w:pStyle w:val="BodyText"/>
        <w:numPr>
          <w:ilvl w:val="0"/>
          <w:numId w:val="56"/>
        </w:numPr>
        <w:ind w:left="1400"/>
        <w:rPr>
          <w:b w:val="0"/>
          <w:i w:val="0"/>
          <w:shd w:val="clear" w:color="auto" w:fill="FFFFFF"/>
          <w:lang w:eastAsia="zh-CN"/>
        </w:rPr>
      </w:pPr>
      <w:r>
        <w:rPr>
          <w:b w:val="0"/>
          <w:i w:val="0"/>
          <w:iCs/>
          <w:shd w:val="clear" w:color="auto" w:fill="FFFFFF"/>
          <w:lang w:eastAsia="zh-CN"/>
        </w:rPr>
        <w:t>Centralele termice individuale mici (</w:t>
      </w:r>
      <w:r>
        <w:rPr>
          <w:b w:val="0"/>
          <w:i w:val="0"/>
          <w:iCs/>
        </w:rPr>
        <w:t>cu o putere instalată P</w:t>
      </w:r>
      <w:r>
        <w:rPr>
          <w:b w:val="0"/>
          <w:i w:val="0"/>
          <w:iCs/>
          <w:vertAlign w:val="subscript"/>
        </w:rPr>
        <w:t>i</w:t>
      </w:r>
      <w:r>
        <w:rPr>
          <w:b w:val="0"/>
          <w:i w:val="0"/>
          <w:iCs/>
        </w:rPr>
        <w:t xml:space="preserve"> mai mică de 300 kW</w:t>
      </w:r>
      <w:r>
        <w:rPr>
          <w:b w:val="0"/>
          <w:i w:val="0"/>
          <w:iCs/>
          <w:shd w:val="clear" w:color="auto" w:fill="FFFFFF"/>
          <w:lang w:eastAsia="zh-CN"/>
        </w:rPr>
        <w:t xml:space="preserve">) </w:t>
      </w:r>
      <w:r>
        <w:rPr>
          <w:b w:val="0"/>
          <w:i w:val="0"/>
          <w:shd w:val="clear" w:color="auto" w:fill="FFFFFF"/>
          <w:lang w:eastAsia="zh-CN"/>
        </w:rPr>
        <w:t>se pot amplasa în interiorul clădirii sau pe terasa acesteia, respectând, în principal prevederile cuprinse în reglementările tehnice referitoare la proiectarea, execuţia şi exploatarea centralelor termice mici, a prescripţiilor tehnice specifice ISCIR, etc.</w:t>
      </w:r>
    </w:p>
    <w:p w14:paraId="62D0D94E" w14:textId="77777777" w:rsidR="001C08A5" w:rsidRDefault="00000000">
      <w:pPr>
        <w:pStyle w:val="BodyText"/>
        <w:numPr>
          <w:ilvl w:val="0"/>
          <w:numId w:val="56"/>
        </w:numPr>
        <w:ind w:left="1400"/>
        <w:rPr>
          <w:b w:val="0"/>
          <w:i w:val="0"/>
          <w:shd w:val="clear" w:color="auto" w:fill="FFFFFF"/>
          <w:lang w:eastAsia="zh-CN"/>
        </w:rPr>
      </w:pPr>
      <w:r>
        <w:rPr>
          <w:b w:val="0"/>
          <w:i w:val="0"/>
          <w:shd w:val="clear" w:color="auto" w:fill="FFFFFF"/>
          <w:lang w:eastAsia="zh-CN"/>
        </w:rPr>
        <w:t xml:space="preserve">Centralele termice medii (cu capacităţi între </w:t>
      </w:r>
      <w:r>
        <w:rPr>
          <w:bCs w:val="0"/>
          <w:i w:val="0"/>
          <w:shd w:val="clear" w:color="auto" w:fill="FFFFFF"/>
          <w:lang w:eastAsia="zh-CN"/>
        </w:rPr>
        <w:t>0,3 MW</w:t>
      </w:r>
      <w:r>
        <w:rPr>
          <w:b w:val="0"/>
          <w:i w:val="0"/>
          <w:shd w:val="clear" w:color="auto" w:fill="FFFFFF"/>
          <w:lang w:eastAsia="zh-CN"/>
        </w:rPr>
        <w:t xml:space="preserve"> și </w:t>
      </w:r>
      <w:r>
        <w:rPr>
          <w:bCs w:val="0"/>
          <w:i w:val="0"/>
          <w:shd w:val="clear" w:color="auto" w:fill="FFFFFF"/>
          <w:lang w:eastAsia="zh-CN"/>
        </w:rPr>
        <w:t>2 MW</w:t>
      </w:r>
      <w:r>
        <w:rPr>
          <w:b w:val="0"/>
          <w:i w:val="0"/>
          <w:shd w:val="clear" w:color="auto" w:fill="FFFFFF"/>
          <w:lang w:eastAsia="zh-CN"/>
        </w:rPr>
        <w:t xml:space="preserve">) se recomandă sa se amplaseze la </w:t>
      </w:r>
      <w:r>
        <w:rPr>
          <w:b w:val="0"/>
          <w:bCs w:val="0"/>
          <w:i w:val="0"/>
        </w:rPr>
        <w:t>nivelurile</w:t>
      </w:r>
      <w:r>
        <w:rPr>
          <w:b w:val="0"/>
          <w:i w:val="0"/>
          <w:shd w:val="clear" w:color="auto" w:fill="FFFFFF"/>
          <w:lang w:eastAsia="zh-CN"/>
        </w:rPr>
        <w:t xml:space="preserve"> superioare parterului (să se facă numai la ultimul etaj al clădirii sau pe terasa acesteia, în incinte individuale sau alăturate altor spaţii tehnice);</w:t>
      </w:r>
    </w:p>
    <w:p w14:paraId="012D6E5A" w14:textId="77777777" w:rsidR="001C08A5" w:rsidRDefault="00000000">
      <w:pPr>
        <w:pStyle w:val="BodyText"/>
        <w:numPr>
          <w:ilvl w:val="0"/>
          <w:numId w:val="56"/>
        </w:numPr>
        <w:ind w:left="1400"/>
        <w:rPr>
          <w:b w:val="0"/>
          <w:i w:val="0"/>
          <w:shd w:val="clear" w:color="auto" w:fill="FFFFFF"/>
          <w:lang w:eastAsia="zh-CN"/>
        </w:rPr>
      </w:pPr>
      <w:r>
        <w:rPr>
          <w:b w:val="0"/>
          <w:i w:val="0"/>
          <w:shd w:val="clear" w:color="auto" w:fill="FFFFFF"/>
          <w:lang w:eastAsia="zh-CN"/>
        </w:rPr>
        <w:t xml:space="preserve"> În centralele termice amplasate pe terasa clădirii se pot utiliza cazane funcţionând cu combustibil gazos şi lichid cu condiţia limitării stocului de combustibil la valoarea echivalentă rezervorului de zi, cu capacitate de maximum </w:t>
      </w:r>
      <w:r>
        <w:rPr>
          <w:bCs w:val="0"/>
          <w:i w:val="0"/>
          <w:shd w:val="clear" w:color="auto" w:fill="FFFFFF"/>
          <w:lang w:eastAsia="zh-CN"/>
        </w:rPr>
        <w:t>2 mc</w:t>
      </w:r>
      <w:r>
        <w:rPr>
          <w:b w:val="0"/>
          <w:i w:val="0"/>
          <w:shd w:val="clear" w:color="auto" w:fill="FFFFFF"/>
          <w:lang w:eastAsia="zh-CN"/>
        </w:rPr>
        <w:t xml:space="preserve">; rezervorul de combustibil lichid de consum zilnic nu se montează deasupra cazanelor, ci lateral, la o distanţă de cel puţin </w:t>
      </w:r>
      <w:r>
        <w:rPr>
          <w:bCs w:val="0"/>
          <w:i w:val="0"/>
          <w:shd w:val="clear" w:color="auto" w:fill="FFFFFF"/>
          <w:lang w:eastAsia="zh-CN"/>
        </w:rPr>
        <w:t xml:space="preserve">2,50 m </w:t>
      </w:r>
      <w:r>
        <w:rPr>
          <w:b w:val="0"/>
          <w:i w:val="0"/>
          <w:shd w:val="clear" w:color="auto" w:fill="FFFFFF"/>
          <w:lang w:eastAsia="zh-CN"/>
        </w:rPr>
        <w:t>de injectoare și nu pe direcţia eventualelor rateuri de gaze sau pe direcţia de evacuare a gazelor de ardere, la deschiderea clapetelor de explozie;</w:t>
      </w:r>
    </w:p>
    <w:p w14:paraId="46EF28CB" w14:textId="77777777" w:rsidR="001C08A5" w:rsidRDefault="00000000">
      <w:pPr>
        <w:pStyle w:val="BodyText"/>
        <w:numPr>
          <w:ilvl w:val="0"/>
          <w:numId w:val="56"/>
        </w:numPr>
        <w:ind w:left="1400"/>
        <w:rPr>
          <w:b w:val="0"/>
          <w:i w:val="0"/>
          <w:shd w:val="clear" w:color="auto" w:fill="FFFFFF"/>
          <w:lang w:eastAsia="zh-CN"/>
        </w:rPr>
      </w:pPr>
      <w:r>
        <w:rPr>
          <w:b w:val="0"/>
          <w:i w:val="0"/>
          <w:shd w:val="clear" w:color="auto" w:fill="FFFFFF"/>
          <w:lang w:eastAsia="zh-CN"/>
        </w:rPr>
        <w:t>Pentru centralele termice amplasate pe terasa clădirii se recomandă utilizarea cazanelor cu suprapresiune în camera de ardere care necesită pentru evacuarea gazelor de ardere coşuri de fum cu înălţimi reduse.</w:t>
      </w:r>
    </w:p>
    <w:p w14:paraId="5FFCD321" w14:textId="77777777" w:rsidR="001C08A5" w:rsidRDefault="00000000">
      <w:pPr>
        <w:ind w:firstLine="720"/>
        <w:jc w:val="both"/>
        <w:rPr>
          <w:sz w:val="24"/>
          <w:szCs w:val="24"/>
        </w:rPr>
      </w:pPr>
      <w:r>
        <w:rPr>
          <w:b/>
          <w:sz w:val="24"/>
          <w:szCs w:val="24"/>
        </w:rPr>
        <w:t>(6)</w:t>
      </w:r>
      <w:r>
        <w:rPr>
          <w:sz w:val="24"/>
          <w:szCs w:val="24"/>
        </w:rPr>
        <w:t xml:space="preserve"> Golurile de comunicare funcţională cu restul construcţiei a încăperilor menţionate la </w:t>
      </w:r>
      <w:r>
        <w:rPr>
          <w:b/>
          <w:sz w:val="24"/>
          <w:szCs w:val="24"/>
        </w:rPr>
        <w:t>alin. (1)</w:t>
      </w:r>
      <w:r>
        <w:rPr>
          <w:b/>
          <w:bCs/>
          <w:sz w:val="24"/>
          <w:szCs w:val="24"/>
        </w:rPr>
        <w:t xml:space="preserve"> – (4)</w:t>
      </w:r>
      <w:r>
        <w:rPr>
          <w:sz w:val="24"/>
          <w:szCs w:val="24"/>
        </w:rPr>
        <w:t xml:space="preserve"> se protejază cu uşi rezistente la foc și etanșe la fum minimum </w:t>
      </w:r>
      <w:r>
        <w:rPr>
          <w:b/>
          <w:sz w:val="24"/>
          <w:szCs w:val="24"/>
        </w:rPr>
        <w:t>EI</w:t>
      </w:r>
      <w:r>
        <w:rPr>
          <w:b/>
          <w:sz w:val="24"/>
          <w:szCs w:val="24"/>
          <w:vertAlign w:val="subscript"/>
        </w:rPr>
        <w:t>2</w:t>
      </w:r>
      <w:r>
        <w:rPr>
          <w:b/>
          <w:sz w:val="24"/>
          <w:szCs w:val="24"/>
        </w:rPr>
        <w:t xml:space="preserve"> 15-C5S</w:t>
      </w:r>
      <w:r>
        <w:rPr>
          <w:b/>
          <w:bCs/>
          <w:sz w:val="24"/>
          <w:szCs w:val="24"/>
          <w:vertAlign w:val="subscript"/>
        </w:rPr>
        <w:t xml:space="preserve">200 </w:t>
      </w:r>
      <w:r>
        <w:rPr>
          <w:bCs/>
          <w:sz w:val="24"/>
          <w:szCs w:val="24"/>
        </w:rPr>
        <w:t>cu deschidere în exteriorul încăperii</w:t>
      </w:r>
      <w:r>
        <w:rPr>
          <w:sz w:val="24"/>
          <w:szCs w:val="24"/>
        </w:rPr>
        <w:t>.</w:t>
      </w:r>
    </w:p>
    <w:p w14:paraId="013C8710" w14:textId="77777777" w:rsidR="001C08A5" w:rsidRDefault="00000000">
      <w:pPr>
        <w:ind w:firstLine="720"/>
        <w:jc w:val="both"/>
        <w:rPr>
          <w:sz w:val="24"/>
          <w:szCs w:val="24"/>
        </w:rPr>
      </w:pPr>
      <w:r>
        <w:rPr>
          <w:b/>
          <w:sz w:val="24"/>
          <w:szCs w:val="24"/>
        </w:rPr>
        <w:t>(7)</w:t>
      </w:r>
      <w:r>
        <w:rPr>
          <w:sz w:val="24"/>
          <w:szCs w:val="24"/>
        </w:rPr>
        <w:t xml:space="preserve"> Centralele termice mici, cu o putere instalată (P</w:t>
      </w:r>
      <w:r>
        <w:rPr>
          <w:sz w:val="24"/>
          <w:szCs w:val="24"/>
          <w:vertAlign w:val="subscript"/>
        </w:rPr>
        <w:t>i</w:t>
      </w:r>
      <w:r>
        <w:rPr>
          <w:sz w:val="24"/>
          <w:szCs w:val="24"/>
        </w:rPr>
        <w:t xml:space="preserve">) mai mică  de </w:t>
      </w:r>
      <w:r>
        <w:rPr>
          <w:b/>
          <w:bCs/>
          <w:sz w:val="24"/>
          <w:szCs w:val="24"/>
        </w:rPr>
        <w:t>300 kW</w:t>
      </w:r>
      <w:r>
        <w:rPr>
          <w:sz w:val="24"/>
          <w:szCs w:val="24"/>
        </w:rPr>
        <w:t xml:space="preserve">, care utilizează combustibil gazos și la care evacuarea gazelor de ardere se realizează prin tiraj forţat, pot fi instalate în încăperi cu altă destinaţie, în condiţiile reglementărilor tehnice specifice, fără a le fi aplicabile dispozițiile </w:t>
      </w:r>
      <w:r>
        <w:rPr>
          <w:b/>
          <w:sz w:val="24"/>
          <w:szCs w:val="24"/>
        </w:rPr>
        <w:t>alin. (1) – (6);</w:t>
      </w:r>
      <w:r>
        <w:rPr>
          <w:bCs/>
          <w:sz w:val="24"/>
          <w:szCs w:val="24"/>
        </w:rPr>
        <w:t xml:space="preserve"> p</w:t>
      </w:r>
      <w:r>
        <w:rPr>
          <w:bCs/>
          <w:sz w:val="24"/>
          <w:szCs w:val="24"/>
          <w:shd w:val="clear" w:color="auto" w:fill="FFFFFF"/>
          <w:lang w:eastAsia="zh-CN"/>
        </w:rPr>
        <w:t xml:space="preserve">rescripţiile constructive privind condiţiile de amplasare a centralelor termice mici (de apartament, de scară de bloc, ş.a), cu capacitatea sub </w:t>
      </w:r>
      <w:r>
        <w:rPr>
          <w:b/>
          <w:sz w:val="24"/>
          <w:szCs w:val="24"/>
          <w:shd w:val="clear" w:color="auto" w:fill="FFFFFF"/>
          <w:lang w:eastAsia="zh-CN"/>
        </w:rPr>
        <w:t>0,3 MW</w:t>
      </w:r>
      <w:r>
        <w:rPr>
          <w:bCs/>
          <w:sz w:val="24"/>
          <w:szCs w:val="24"/>
          <w:shd w:val="clear" w:color="auto" w:fill="FFFFFF"/>
          <w:lang w:eastAsia="zh-CN"/>
        </w:rPr>
        <w:t xml:space="preserve"> (Pi &lt; 300 kW), sunt prevăzute în reglementările tehnice de proiectare, execuţie și exploatare a centralelor termice mici</w:t>
      </w:r>
    </w:p>
    <w:p w14:paraId="0A161DC6" w14:textId="77777777" w:rsidR="001C08A5" w:rsidRDefault="00000000">
      <w:pPr>
        <w:ind w:firstLine="720"/>
        <w:jc w:val="both"/>
        <w:rPr>
          <w:sz w:val="24"/>
          <w:szCs w:val="24"/>
          <w:shd w:val="clear" w:color="auto" w:fill="FFFFFF"/>
          <w:lang w:eastAsia="zh-CN"/>
        </w:rPr>
      </w:pPr>
      <w:r>
        <w:rPr>
          <w:b/>
          <w:bCs/>
          <w:sz w:val="24"/>
          <w:szCs w:val="24"/>
          <w:shd w:val="clear" w:color="auto" w:fill="FFFFFF"/>
          <w:lang w:eastAsia="zh-CN"/>
        </w:rPr>
        <w:lastRenderedPageBreak/>
        <w:t>(8</w:t>
      </w:r>
      <w:r>
        <w:rPr>
          <w:sz w:val="24"/>
          <w:szCs w:val="24"/>
          <w:shd w:val="clear" w:color="auto" w:fill="FFFFFF"/>
          <w:lang w:eastAsia="zh-CN"/>
        </w:rPr>
        <w:t>) Centralele termice înglobate în clădiri, în mod obligatoriu, nu se amplasează:</w:t>
      </w:r>
    </w:p>
    <w:p w14:paraId="0D80E7D0" w14:textId="77777777" w:rsidR="001C08A5" w:rsidRDefault="00000000">
      <w:pPr>
        <w:numPr>
          <w:ilvl w:val="0"/>
          <w:numId w:val="57"/>
        </w:numPr>
        <w:jc w:val="both"/>
        <w:rPr>
          <w:sz w:val="24"/>
          <w:szCs w:val="24"/>
          <w:shd w:val="clear" w:color="auto" w:fill="FFFFFF"/>
          <w:lang w:eastAsia="zh-CN"/>
        </w:rPr>
      </w:pPr>
      <w:r>
        <w:rPr>
          <w:sz w:val="24"/>
          <w:szCs w:val="24"/>
          <w:shd w:val="clear" w:color="auto" w:fill="FFFFFF"/>
          <w:lang w:eastAsia="zh-CN"/>
        </w:rPr>
        <w:t>în și sub încăperi cu risc foarte mare de incendiu sau cu risc de explozie volumetrică și nici alipite acestora, cu exceptiile admise prin reglementarea specifică;</w:t>
      </w:r>
    </w:p>
    <w:p w14:paraId="2549BBFE" w14:textId="77777777" w:rsidR="001C08A5" w:rsidRDefault="00000000">
      <w:pPr>
        <w:numPr>
          <w:ilvl w:val="0"/>
          <w:numId w:val="57"/>
        </w:numPr>
        <w:jc w:val="both"/>
        <w:rPr>
          <w:sz w:val="24"/>
          <w:szCs w:val="24"/>
          <w:shd w:val="clear" w:color="auto" w:fill="FFFFFF"/>
          <w:lang w:eastAsia="zh-CN"/>
        </w:rPr>
      </w:pPr>
      <w:r>
        <w:rPr>
          <w:sz w:val="24"/>
          <w:szCs w:val="24"/>
          <w:shd w:val="clear" w:color="auto" w:fill="FFFFFF"/>
          <w:lang w:eastAsia="zh-CN"/>
        </w:rPr>
        <w:t>în și sub săli aglomerate și căi de evacuare ale sălilor aglomerate, sub scene şi sub încăperi cu aglomerări de persoane;</w:t>
      </w:r>
    </w:p>
    <w:p w14:paraId="18BDBB8E" w14:textId="77777777" w:rsidR="001C08A5" w:rsidRDefault="00000000">
      <w:pPr>
        <w:numPr>
          <w:ilvl w:val="0"/>
          <w:numId w:val="57"/>
        </w:numPr>
        <w:jc w:val="both"/>
        <w:rPr>
          <w:sz w:val="24"/>
          <w:szCs w:val="24"/>
          <w:shd w:val="clear" w:color="auto" w:fill="FFFFFF"/>
          <w:lang w:eastAsia="zh-CN"/>
        </w:rPr>
      </w:pPr>
      <w:r>
        <w:rPr>
          <w:sz w:val="24"/>
          <w:szCs w:val="24"/>
          <w:shd w:val="clear" w:color="auto" w:fill="FFFFFF"/>
          <w:lang w:eastAsia="zh-CN"/>
        </w:rPr>
        <w:t>în și sub încăperile de zi şi dormitoarele colectivităţilor pentru copii de vârstă preşcolară, precum şi alipite lor;</w:t>
      </w:r>
    </w:p>
    <w:p w14:paraId="41D1023A" w14:textId="77777777" w:rsidR="001C08A5" w:rsidRDefault="00000000">
      <w:pPr>
        <w:numPr>
          <w:ilvl w:val="0"/>
          <w:numId w:val="57"/>
        </w:numPr>
        <w:jc w:val="both"/>
        <w:rPr>
          <w:sz w:val="24"/>
          <w:szCs w:val="24"/>
          <w:shd w:val="clear" w:color="auto" w:fill="FFFFFF"/>
          <w:lang w:eastAsia="zh-CN"/>
        </w:rPr>
      </w:pPr>
      <w:r>
        <w:rPr>
          <w:sz w:val="24"/>
          <w:szCs w:val="24"/>
          <w:shd w:val="clear" w:color="auto" w:fill="FFFFFF"/>
          <w:lang w:eastAsia="zh-CN"/>
        </w:rPr>
        <w:t>alipit, în și sub săli de clasă, laboratoare sau săli de gimnastică din clădiri pentru învăţământ;</w:t>
      </w:r>
    </w:p>
    <w:p w14:paraId="0A4F3FC8" w14:textId="77777777" w:rsidR="001C08A5" w:rsidRDefault="00000000">
      <w:pPr>
        <w:numPr>
          <w:ilvl w:val="0"/>
          <w:numId w:val="57"/>
        </w:numPr>
        <w:jc w:val="both"/>
        <w:rPr>
          <w:sz w:val="24"/>
          <w:szCs w:val="24"/>
          <w:shd w:val="clear" w:color="auto" w:fill="FFFFFF"/>
          <w:lang w:eastAsia="zh-CN"/>
        </w:rPr>
      </w:pPr>
      <w:r>
        <w:rPr>
          <w:sz w:val="24"/>
          <w:szCs w:val="24"/>
          <w:shd w:val="clear" w:color="auto" w:fill="FFFFFF"/>
          <w:lang w:eastAsia="zh-CN"/>
        </w:rPr>
        <w:t>în clădiri de spitale sau cu caracter spitalicesc, sub saloane de bolnavi sau sub săli de operaţii şi nici alipite acestora;</w:t>
      </w:r>
    </w:p>
    <w:p w14:paraId="1D4E8937" w14:textId="77777777" w:rsidR="001C08A5" w:rsidRDefault="00000000">
      <w:pPr>
        <w:numPr>
          <w:ilvl w:val="0"/>
          <w:numId w:val="57"/>
        </w:numPr>
        <w:jc w:val="both"/>
        <w:rPr>
          <w:sz w:val="24"/>
          <w:szCs w:val="24"/>
          <w:shd w:val="clear" w:color="auto" w:fill="FFFFFF"/>
          <w:lang w:eastAsia="zh-CN"/>
        </w:rPr>
      </w:pPr>
      <w:r>
        <w:rPr>
          <w:sz w:val="24"/>
          <w:szCs w:val="24"/>
          <w:shd w:val="clear" w:color="auto" w:fill="FFFFFF"/>
          <w:lang w:eastAsia="zh-CN"/>
        </w:rPr>
        <w:t>la subsolul și demisolul clădirilor, în cazul în care se foloseşte drept combustibil gazul petrolier lichefiat (</w:t>
      </w:r>
      <w:r>
        <w:rPr>
          <w:b/>
          <w:bCs/>
          <w:sz w:val="24"/>
          <w:szCs w:val="24"/>
          <w:shd w:val="clear" w:color="auto" w:fill="FFFFFF"/>
          <w:lang w:eastAsia="zh-CN"/>
        </w:rPr>
        <w:t>GPL</w:t>
      </w:r>
      <w:r>
        <w:rPr>
          <w:sz w:val="24"/>
          <w:szCs w:val="24"/>
          <w:shd w:val="clear" w:color="auto" w:fill="FFFFFF"/>
          <w:lang w:eastAsia="zh-CN"/>
        </w:rPr>
        <w:t>);</w:t>
      </w:r>
    </w:p>
    <w:p w14:paraId="68F2C73D" w14:textId="77777777" w:rsidR="001C08A5" w:rsidRDefault="00000000">
      <w:pPr>
        <w:numPr>
          <w:ilvl w:val="0"/>
          <w:numId w:val="57"/>
        </w:numPr>
        <w:jc w:val="both"/>
        <w:rPr>
          <w:sz w:val="24"/>
          <w:szCs w:val="24"/>
          <w:shd w:val="clear" w:color="auto" w:fill="FFFFFF"/>
          <w:lang w:eastAsia="zh-CN"/>
        </w:rPr>
      </w:pPr>
      <w:r>
        <w:rPr>
          <w:sz w:val="24"/>
          <w:szCs w:val="24"/>
          <w:shd w:val="clear" w:color="auto" w:fill="FFFFFF"/>
          <w:lang w:eastAsia="zh-CN"/>
        </w:rPr>
        <w:t xml:space="preserve"> în interiorul clădirilor înalte şi foarte înalte, exceptând porţiunile de clădire care nu ating această înălţime, cu exceptia centralelor termice mici de apartament</w:t>
      </w:r>
      <w:r>
        <w:rPr>
          <w:sz w:val="24"/>
          <w:szCs w:val="24"/>
        </w:rPr>
        <w:t>, cu o putere instalată (P</w:t>
      </w:r>
      <w:r>
        <w:rPr>
          <w:sz w:val="24"/>
          <w:szCs w:val="24"/>
          <w:vertAlign w:val="subscript"/>
        </w:rPr>
        <w:t>i</w:t>
      </w:r>
      <w:r>
        <w:rPr>
          <w:sz w:val="24"/>
          <w:szCs w:val="24"/>
        </w:rPr>
        <w:t xml:space="preserve">) mai mică de </w:t>
      </w:r>
      <w:r>
        <w:rPr>
          <w:b/>
          <w:bCs/>
          <w:sz w:val="24"/>
          <w:szCs w:val="24"/>
        </w:rPr>
        <w:t>300 kW</w:t>
      </w:r>
      <w:r>
        <w:rPr>
          <w:sz w:val="24"/>
          <w:szCs w:val="24"/>
        </w:rPr>
        <w:t>, care utilizează combustibil gazos și la care evacuarea gazelor de ardere se realizează prin tiraj forţat</w:t>
      </w:r>
      <w:r>
        <w:rPr>
          <w:sz w:val="24"/>
          <w:szCs w:val="24"/>
          <w:shd w:val="clear" w:color="auto" w:fill="FFFFFF"/>
          <w:lang w:eastAsia="zh-CN"/>
        </w:rPr>
        <w:t xml:space="preserve">; </w:t>
      </w:r>
    </w:p>
    <w:p w14:paraId="44D25B35" w14:textId="77777777" w:rsidR="001C08A5" w:rsidRDefault="00000000">
      <w:pPr>
        <w:numPr>
          <w:ilvl w:val="0"/>
          <w:numId w:val="57"/>
        </w:numPr>
        <w:jc w:val="both"/>
        <w:rPr>
          <w:sz w:val="24"/>
          <w:szCs w:val="24"/>
          <w:shd w:val="clear" w:color="auto" w:fill="FFFFFF"/>
          <w:lang w:eastAsia="zh-CN"/>
        </w:rPr>
      </w:pPr>
      <w:r>
        <w:rPr>
          <w:sz w:val="24"/>
          <w:szCs w:val="24"/>
          <w:shd w:val="clear" w:color="auto" w:fill="FFFFFF"/>
          <w:lang w:eastAsia="zh-CN"/>
        </w:rPr>
        <w:t xml:space="preserve"> în spaţii cu risc mare și foarte mare de incendiu din clădiri civile, cu exceptia clădirilor sau a portiunilor acestora cu functiuni comerciale, a </w:t>
      </w:r>
      <w:r>
        <w:rPr>
          <w:sz w:val="24"/>
          <w:szCs w:val="24"/>
        </w:rPr>
        <w:t>centralelor termice mici, cu o putere instalată (P</w:t>
      </w:r>
      <w:r>
        <w:rPr>
          <w:sz w:val="24"/>
          <w:szCs w:val="24"/>
          <w:vertAlign w:val="subscript"/>
        </w:rPr>
        <w:t>i</w:t>
      </w:r>
      <w:r>
        <w:rPr>
          <w:sz w:val="24"/>
          <w:szCs w:val="24"/>
        </w:rPr>
        <w:t xml:space="preserve">) mai mică de </w:t>
      </w:r>
      <w:r>
        <w:rPr>
          <w:b/>
          <w:bCs/>
          <w:sz w:val="24"/>
          <w:szCs w:val="24"/>
        </w:rPr>
        <w:t>300 kW</w:t>
      </w:r>
      <w:r>
        <w:rPr>
          <w:sz w:val="24"/>
          <w:szCs w:val="24"/>
        </w:rPr>
        <w:t xml:space="preserve"> care utilizează combustibil gazos și la care evacuarea gazelor de ardere se realizează prin tiraj forţat;</w:t>
      </w:r>
    </w:p>
    <w:p w14:paraId="5501D73F" w14:textId="77777777" w:rsidR="001C08A5" w:rsidRDefault="00000000">
      <w:pPr>
        <w:numPr>
          <w:ilvl w:val="0"/>
          <w:numId w:val="57"/>
        </w:numPr>
        <w:jc w:val="both"/>
        <w:rPr>
          <w:sz w:val="24"/>
          <w:szCs w:val="24"/>
          <w:shd w:val="clear" w:color="auto" w:fill="FFFFFF"/>
          <w:lang w:eastAsia="zh-CN"/>
        </w:rPr>
      </w:pPr>
      <w:r>
        <w:rPr>
          <w:sz w:val="24"/>
          <w:szCs w:val="24"/>
          <w:shd w:val="clear" w:color="auto" w:fill="FFFFFF"/>
          <w:lang w:eastAsia="zh-CN"/>
        </w:rPr>
        <w:t xml:space="preserve"> în spaţii cu risc foarte mare de incendiu din clădiri de producţie.</w:t>
      </w:r>
    </w:p>
    <w:p w14:paraId="42AB614E" w14:textId="77777777" w:rsidR="001C08A5" w:rsidRDefault="001C08A5">
      <w:pPr>
        <w:jc w:val="both"/>
        <w:rPr>
          <w:sz w:val="24"/>
          <w:szCs w:val="24"/>
          <w:shd w:val="clear" w:color="auto" w:fill="FFFFFF"/>
          <w:lang w:eastAsia="zh-CN"/>
        </w:rPr>
      </w:pPr>
    </w:p>
    <w:p w14:paraId="43C0C9DF" w14:textId="77777777" w:rsidR="001C08A5" w:rsidRDefault="00000000">
      <w:pPr>
        <w:ind w:firstLine="720"/>
        <w:jc w:val="both"/>
        <w:rPr>
          <w:bCs/>
          <w:sz w:val="24"/>
          <w:szCs w:val="24"/>
          <w:shd w:val="clear" w:color="auto" w:fill="FFFFFF"/>
          <w:lang w:eastAsia="zh-CN"/>
        </w:rPr>
      </w:pPr>
      <w:r>
        <w:rPr>
          <w:b/>
          <w:sz w:val="24"/>
          <w:szCs w:val="24"/>
        </w:rPr>
        <w:t>(9)</w:t>
      </w:r>
      <w:r>
        <w:rPr>
          <w:bCs/>
          <w:sz w:val="24"/>
          <w:szCs w:val="24"/>
        </w:rPr>
        <w:t xml:space="preserve"> Centralele termice mici, cu o putere instalată (P</w:t>
      </w:r>
      <w:r>
        <w:rPr>
          <w:bCs/>
          <w:sz w:val="24"/>
          <w:szCs w:val="24"/>
          <w:vertAlign w:val="subscript"/>
        </w:rPr>
        <w:t>i</w:t>
      </w:r>
      <w:r>
        <w:rPr>
          <w:bCs/>
          <w:sz w:val="24"/>
          <w:szCs w:val="24"/>
        </w:rPr>
        <w:t>) mai mică de</w:t>
      </w:r>
      <w:r>
        <w:rPr>
          <w:b/>
          <w:sz w:val="24"/>
          <w:szCs w:val="24"/>
        </w:rPr>
        <w:t xml:space="preserve"> 300 kW</w:t>
      </w:r>
      <w:r>
        <w:rPr>
          <w:bCs/>
          <w:sz w:val="24"/>
          <w:szCs w:val="24"/>
        </w:rPr>
        <w:t xml:space="preserve">, care utilizează combustibil gazos și la care evacuarea gazelor de ardere se realizează prin tiraj forţat, pot fi instalate în construcții/spații producție și depozitare, cu condiția separării încăperilor distincte ale acestora, cu elemente de separare conform dispozițiilor din alin. </w:t>
      </w:r>
      <w:r>
        <w:rPr>
          <w:b/>
          <w:sz w:val="24"/>
          <w:szCs w:val="24"/>
        </w:rPr>
        <w:t>(1) ÷ (6)</w:t>
      </w:r>
    </w:p>
    <w:p w14:paraId="560D565D" w14:textId="77777777" w:rsidR="001C08A5" w:rsidRDefault="00000000">
      <w:pPr>
        <w:ind w:firstLine="720"/>
        <w:jc w:val="both"/>
        <w:rPr>
          <w:sz w:val="24"/>
          <w:szCs w:val="24"/>
          <w:shd w:val="clear" w:color="auto" w:fill="FFFFFF"/>
          <w:lang w:eastAsia="zh-CN"/>
        </w:rPr>
      </w:pPr>
      <w:r>
        <w:rPr>
          <w:b/>
          <w:bCs/>
          <w:sz w:val="24"/>
          <w:szCs w:val="24"/>
          <w:shd w:val="clear" w:color="auto" w:fill="FFFFFF"/>
          <w:lang w:eastAsia="zh-CN"/>
        </w:rPr>
        <w:t xml:space="preserve">(10) </w:t>
      </w:r>
      <w:r>
        <w:rPr>
          <w:sz w:val="24"/>
          <w:szCs w:val="24"/>
          <w:shd w:val="clear" w:color="auto" w:fill="FFFFFF"/>
          <w:lang w:eastAsia="zh-CN"/>
        </w:rPr>
        <w:t>Amplasarea centralelor termice care utilizează drept combustibil gaze naturale se face și cu respectarea prevederilor normelor tehnice specifice privind proiectarea, executarea și exploatarea sistemelor de alimentare cu gaze naturale iar amplasarea centralelor termice cu combustibil gaze petroliere lichefiate se face și cu respectarea prevederilor normelor tehnice specifice privind proiectarea și executarea sistemelor de alimentare cu gaze petroliere lichefiate.</w:t>
      </w:r>
    </w:p>
    <w:p w14:paraId="58B70C45" w14:textId="77777777" w:rsidR="001C08A5" w:rsidRDefault="00000000">
      <w:pPr>
        <w:ind w:firstLine="720"/>
        <w:jc w:val="both"/>
        <w:rPr>
          <w:sz w:val="24"/>
          <w:szCs w:val="24"/>
          <w:shd w:val="clear" w:color="auto" w:fill="FFFFFF"/>
          <w:lang w:eastAsia="zh-CN"/>
        </w:rPr>
      </w:pPr>
      <w:r>
        <w:rPr>
          <w:b/>
          <w:bCs/>
          <w:sz w:val="24"/>
          <w:szCs w:val="24"/>
          <w:shd w:val="clear" w:color="auto" w:fill="FFFFFF"/>
          <w:lang w:eastAsia="zh-CN"/>
        </w:rPr>
        <w:t xml:space="preserve">(11) </w:t>
      </w:r>
      <w:r>
        <w:rPr>
          <w:sz w:val="24"/>
          <w:szCs w:val="24"/>
          <w:shd w:val="clear" w:color="auto" w:fill="FFFFFF"/>
          <w:lang w:eastAsia="zh-CN"/>
        </w:rPr>
        <w:t>La centralele termice care utilizează gazele naturale şi gaze petroliere lichefiate, suprafaţa ferestrelor exterioare trebuie să satisfacă şi condiţiile prevăzute de normele tehnice pentru proiectarea, executarea și exploatarea sistemelor de alimentare cu gaze naturale şi a gazelor petroliere lichefiate, privind raportul dintre suprafaţa vitrată şi volumul sălii cazanelor, iar poziţionarea suprafeţelor vitrate necesare se determină astfel încât să nu blocheze în caz de explozie, căile de evacuare şi cele de acces pentru intervenţie.</w:t>
      </w:r>
    </w:p>
    <w:p w14:paraId="015E8EC8" w14:textId="77777777" w:rsidR="001C08A5" w:rsidRDefault="00000000">
      <w:pPr>
        <w:ind w:firstLine="720"/>
        <w:jc w:val="both"/>
        <w:rPr>
          <w:sz w:val="24"/>
          <w:szCs w:val="24"/>
          <w:shd w:val="clear" w:color="auto" w:fill="FFFFFF"/>
          <w:lang w:eastAsia="zh-CN"/>
        </w:rPr>
      </w:pPr>
      <w:r>
        <w:rPr>
          <w:b/>
          <w:bCs/>
          <w:sz w:val="24"/>
          <w:szCs w:val="24"/>
          <w:shd w:val="clear" w:color="auto" w:fill="FFFFFF"/>
          <w:lang w:eastAsia="zh-CN"/>
        </w:rPr>
        <w:t>(12)</w:t>
      </w:r>
      <w:r>
        <w:rPr>
          <w:sz w:val="24"/>
          <w:szCs w:val="24"/>
          <w:shd w:val="clear" w:color="auto" w:fill="FFFFFF"/>
          <w:lang w:eastAsia="zh-CN"/>
        </w:rPr>
        <w:t xml:space="preserve"> Centralele termice echipate cu cazane de apă fierbinte şi abur cu presiunea mai mare de </w:t>
      </w:r>
      <w:r>
        <w:rPr>
          <w:b/>
          <w:bCs/>
          <w:sz w:val="24"/>
          <w:szCs w:val="24"/>
          <w:shd w:val="clear" w:color="auto" w:fill="FFFFFF"/>
          <w:lang w:eastAsia="zh-CN"/>
        </w:rPr>
        <w:t>0,5 bar</w:t>
      </w:r>
      <w:r>
        <w:rPr>
          <w:sz w:val="24"/>
          <w:szCs w:val="24"/>
          <w:shd w:val="clear" w:color="auto" w:fill="FFFFFF"/>
          <w:lang w:eastAsia="zh-CN"/>
        </w:rPr>
        <w:t xml:space="preserve"> respectă și condiţiile tehnice prevăzute în prescripţiile tehnice specifice </w:t>
      </w:r>
      <w:r>
        <w:rPr>
          <w:b/>
          <w:bCs/>
          <w:sz w:val="24"/>
          <w:szCs w:val="24"/>
          <w:shd w:val="clear" w:color="auto" w:fill="FFFFFF"/>
          <w:lang w:eastAsia="zh-CN"/>
        </w:rPr>
        <w:t>ISCIR</w:t>
      </w:r>
      <w:r>
        <w:rPr>
          <w:sz w:val="24"/>
          <w:szCs w:val="24"/>
          <w:shd w:val="clear" w:color="auto" w:fill="FFFFFF"/>
          <w:lang w:eastAsia="zh-CN"/>
        </w:rPr>
        <w:t>.</w:t>
      </w:r>
    </w:p>
    <w:p w14:paraId="23984EB9" w14:textId="77777777" w:rsidR="001C08A5" w:rsidRDefault="00000000">
      <w:pPr>
        <w:ind w:firstLine="720"/>
        <w:jc w:val="both"/>
        <w:rPr>
          <w:sz w:val="24"/>
          <w:szCs w:val="24"/>
        </w:rPr>
      </w:pPr>
      <w:r>
        <w:rPr>
          <w:b/>
          <w:bCs/>
          <w:sz w:val="24"/>
          <w:szCs w:val="24"/>
          <w:shd w:val="clear" w:color="auto" w:fill="FFFFFF"/>
          <w:lang w:eastAsia="zh-CN"/>
        </w:rPr>
        <w:t>(13)</w:t>
      </w:r>
      <w:r>
        <w:rPr>
          <w:sz w:val="24"/>
          <w:szCs w:val="24"/>
          <w:shd w:val="clear" w:color="auto" w:fill="FFFFFF"/>
          <w:lang w:eastAsia="zh-CN"/>
        </w:rPr>
        <w:t xml:space="preserve"> Centralele termice nu se amplasează pe traseele căilor de evacuare.</w:t>
      </w:r>
    </w:p>
    <w:p w14:paraId="2510CE4D" w14:textId="77777777" w:rsidR="001C08A5" w:rsidRDefault="001C08A5">
      <w:pPr>
        <w:jc w:val="both"/>
        <w:rPr>
          <w:sz w:val="24"/>
          <w:szCs w:val="24"/>
          <w:shd w:val="clear" w:color="auto" w:fill="FFFFFF"/>
          <w:lang w:eastAsia="zh-CN"/>
        </w:rPr>
      </w:pPr>
    </w:p>
    <w:p w14:paraId="10C71CB5" w14:textId="77777777" w:rsidR="001C08A5" w:rsidRDefault="00000000">
      <w:pPr>
        <w:jc w:val="both"/>
        <w:rPr>
          <w:b/>
          <w:sz w:val="24"/>
          <w:szCs w:val="24"/>
        </w:rPr>
      </w:pPr>
      <w:r>
        <w:rPr>
          <w:b/>
          <w:sz w:val="24"/>
          <w:szCs w:val="24"/>
        </w:rPr>
        <w:tab/>
        <w:t>Art. 2.4.14.2. (1)</w:t>
      </w:r>
      <w:r>
        <w:rPr>
          <w:sz w:val="24"/>
          <w:szCs w:val="24"/>
        </w:rPr>
        <w:t xml:space="preserve"> Încăperile pentru ventilatoare, filtre, camere de desprăfuire și cicloane prin care se vehiculează gaze, vapori, praf sau deşeuri combustibile, se separă faţă de restul construcţiei cu pereţi rezistenţi la foc și la explozie minimum </w:t>
      </w:r>
      <w:r>
        <w:rPr>
          <w:b/>
          <w:sz w:val="24"/>
          <w:szCs w:val="24"/>
        </w:rPr>
        <w:t>EI/REI 180</w:t>
      </w:r>
      <w:r>
        <w:rPr>
          <w:sz w:val="24"/>
          <w:szCs w:val="24"/>
        </w:rPr>
        <w:t xml:space="preserve"> şi, după caz, cu planşee minimum </w:t>
      </w:r>
      <w:r>
        <w:rPr>
          <w:b/>
          <w:sz w:val="24"/>
          <w:szCs w:val="24"/>
        </w:rPr>
        <w:t>REI 120</w:t>
      </w:r>
      <w:r>
        <w:rPr>
          <w:sz w:val="24"/>
          <w:szCs w:val="24"/>
        </w:rPr>
        <w:t>.</w:t>
      </w:r>
    </w:p>
    <w:p w14:paraId="41A4F47A" w14:textId="77777777" w:rsidR="001C08A5" w:rsidRDefault="00000000">
      <w:pPr>
        <w:ind w:firstLine="720"/>
        <w:jc w:val="both"/>
        <w:rPr>
          <w:bCs/>
          <w:sz w:val="24"/>
          <w:szCs w:val="24"/>
        </w:rPr>
      </w:pPr>
      <w:r>
        <w:rPr>
          <w:b/>
          <w:sz w:val="24"/>
          <w:szCs w:val="24"/>
        </w:rPr>
        <w:t>(2)</w:t>
      </w:r>
      <w:r>
        <w:rPr>
          <w:sz w:val="24"/>
          <w:szCs w:val="24"/>
        </w:rPr>
        <w:t xml:space="preserve"> Calea de acces la încăperile menţionate la </w:t>
      </w:r>
      <w:r>
        <w:rPr>
          <w:b/>
          <w:sz w:val="24"/>
          <w:szCs w:val="24"/>
        </w:rPr>
        <w:t>alin. (1)</w:t>
      </w:r>
      <w:r>
        <w:rPr>
          <w:sz w:val="24"/>
          <w:szCs w:val="24"/>
        </w:rPr>
        <w:t xml:space="preserve"> se asigură direct din exterior iar atunci când din punct de vedere tehnic acest lucru nu este posibil, accesul din construcţie se protejază obligatoriu cu </w:t>
      </w:r>
      <w:hyperlink r:id="rId158" w:history="1">
        <w:r>
          <w:rPr>
            <w:rStyle w:val="Hyperlink"/>
            <w:color w:val="auto"/>
            <w:sz w:val="24"/>
            <w:szCs w:val="24"/>
            <w:u w:val="none"/>
          </w:rPr>
          <w:t>încăpere</w:t>
        </w:r>
      </w:hyperlink>
      <w:r>
        <w:rPr>
          <w:sz w:val="24"/>
          <w:szCs w:val="24"/>
        </w:rPr>
        <w:t xml:space="preserve"> tampon protejată ventilată în suprapresiune, alcătuită și realizată corespunzător prevederilor normativului.</w:t>
      </w:r>
    </w:p>
    <w:p w14:paraId="7043CEA9" w14:textId="77777777" w:rsidR="001C08A5" w:rsidRDefault="001C08A5">
      <w:pPr>
        <w:jc w:val="both"/>
        <w:rPr>
          <w:bCs/>
          <w:sz w:val="24"/>
          <w:szCs w:val="24"/>
        </w:rPr>
      </w:pPr>
    </w:p>
    <w:p w14:paraId="745C25EC" w14:textId="77777777" w:rsidR="001C08A5" w:rsidRDefault="00000000">
      <w:pPr>
        <w:ind w:firstLine="720"/>
        <w:jc w:val="both"/>
        <w:rPr>
          <w:bCs/>
          <w:sz w:val="24"/>
          <w:szCs w:val="24"/>
        </w:rPr>
      </w:pPr>
      <w:r>
        <w:rPr>
          <w:b/>
          <w:bCs/>
          <w:sz w:val="24"/>
          <w:szCs w:val="24"/>
        </w:rPr>
        <w:t xml:space="preserve">Art. </w:t>
      </w:r>
      <w:r>
        <w:rPr>
          <w:b/>
          <w:sz w:val="24"/>
          <w:szCs w:val="24"/>
        </w:rPr>
        <w:t>2.4.14.3. (1)</w:t>
      </w:r>
      <w:r>
        <w:rPr>
          <w:bCs/>
          <w:sz w:val="24"/>
          <w:szCs w:val="24"/>
        </w:rPr>
        <w:t xml:space="preserve"> Atunci când se prevăd pe acoperiș, încăperile centralelor de ventilare/ condiţionare/climatizare se separă faţă de alte destinaţii ale construcţiei prin elemente rezistente la </w:t>
      </w:r>
      <w:r>
        <w:rPr>
          <w:bCs/>
          <w:sz w:val="24"/>
          <w:szCs w:val="24"/>
        </w:rPr>
        <w:lastRenderedPageBreak/>
        <w:t>foc minimum</w:t>
      </w:r>
      <w:r>
        <w:rPr>
          <w:b/>
          <w:sz w:val="24"/>
          <w:szCs w:val="24"/>
        </w:rPr>
        <w:t xml:space="preserve"> EI/REI </w:t>
      </w:r>
      <w:r>
        <w:rPr>
          <w:bCs/>
          <w:sz w:val="24"/>
          <w:szCs w:val="24"/>
        </w:rPr>
        <w:t xml:space="preserve">pentru pereţi şi </w:t>
      </w:r>
      <w:r>
        <w:rPr>
          <w:b/>
          <w:sz w:val="24"/>
          <w:szCs w:val="24"/>
        </w:rPr>
        <w:t>REI</w:t>
      </w:r>
      <w:r>
        <w:rPr>
          <w:bCs/>
          <w:sz w:val="24"/>
          <w:szCs w:val="24"/>
        </w:rPr>
        <w:t xml:space="preserve"> pentru planşee, iar golurile de acces se protejază cu uşi </w:t>
      </w:r>
      <w:r>
        <w:rPr>
          <w:b/>
          <w:sz w:val="24"/>
          <w:szCs w:val="24"/>
        </w:rPr>
        <w:t>EI-S</w:t>
      </w:r>
      <w:r>
        <w:rPr>
          <w:b/>
          <w:sz w:val="24"/>
          <w:szCs w:val="24"/>
          <w:vertAlign w:val="subscript"/>
        </w:rPr>
        <w:t xml:space="preserve">a, </w:t>
      </w:r>
      <w:r>
        <w:rPr>
          <w:bCs/>
          <w:sz w:val="24"/>
          <w:szCs w:val="24"/>
        </w:rPr>
        <w:t>cu excepția celor care debușează spre exterior, conform prevederilor normativului de profil.</w:t>
      </w:r>
    </w:p>
    <w:p w14:paraId="0E27CABE" w14:textId="77777777" w:rsidR="001C08A5" w:rsidRDefault="00000000">
      <w:pPr>
        <w:ind w:firstLine="720"/>
        <w:jc w:val="both"/>
        <w:rPr>
          <w:rFonts w:eastAsia="Times New Roman"/>
          <w:sz w:val="24"/>
          <w:szCs w:val="24"/>
        </w:rPr>
      </w:pPr>
      <w:r>
        <w:rPr>
          <w:b/>
          <w:sz w:val="24"/>
          <w:szCs w:val="24"/>
        </w:rPr>
        <w:t xml:space="preserve">(2) </w:t>
      </w:r>
      <w:r>
        <w:rPr>
          <w:sz w:val="24"/>
          <w:szCs w:val="24"/>
        </w:rPr>
        <w:t xml:space="preserve">La clădirile cu înălţimi diferite, în cazul în care încăperea centralelor de ventilare sau climatizare sau unităţile exterioare sunt amplasate pe acoperişul clădirii mai joase, acestea trebuie să fie dispuse la o distanţă de cel puţin </w:t>
      </w:r>
      <w:r>
        <w:rPr>
          <w:b/>
          <w:bCs/>
          <w:sz w:val="24"/>
          <w:szCs w:val="24"/>
        </w:rPr>
        <w:t>4 m</w:t>
      </w:r>
      <w:r>
        <w:rPr>
          <w:sz w:val="24"/>
          <w:szCs w:val="24"/>
        </w:rPr>
        <w:t xml:space="preserve"> faţă de pereţii exteriori ai clădirii mai înalte, dacă în aceştia sunt prevăzute goluri. În situaţia în care nu se poate respecta distanţa de </w:t>
      </w:r>
      <w:r>
        <w:rPr>
          <w:b/>
          <w:bCs/>
          <w:sz w:val="24"/>
          <w:szCs w:val="24"/>
        </w:rPr>
        <w:t>4 m</w:t>
      </w:r>
      <w:r>
        <w:rPr>
          <w:sz w:val="24"/>
          <w:szCs w:val="24"/>
        </w:rPr>
        <w:t xml:space="preserve"> golurile menționate anterior se protejeaza cu elemente </w:t>
      </w:r>
      <w:r>
        <w:rPr>
          <w:b/>
          <w:sz w:val="24"/>
          <w:szCs w:val="24"/>
        </w:rPr>
        <w:t>EI</w:t>
      </w:r>
      <w:r>
        <w:rPr>
          <w:b/>
          <w:sz w:val="24"/>
          <w:szCs w:val="24"/>
          <w:vertAlign w:val="subscript"/>
        </w:rPr>
        <w:t>2</w:t>
      </w:r>
      <w:r>
        <w:rPr>
          <w:b/>
          <w:sz w:val="24"/>
          <w:szCs w:val="24"/>
        </w:rPr>
        <w:t xml:space="preserve"> 60-C2S</w:t>
      </w:r>
      <w:r>
        <w:rPr>
          <w:b/>
          <w:sz w:val="24"/>
          <w:szCs w:val="24"/>
          <w:vertAlign w:val="subscript"/>
        </w:rPr>
        <w:t xml:space="preserve">a, </w:t>
      </w:r>
      <w:r>
        <w:rPr>
          <w:bCs/>
          <w:sz w:val="24"/>
          <w:szCs w:val="24"/>
        </w:rPr>
        <w:t>iar peretele in care sunt dispuse golurile va fi rezistenta la foc</w:t>
      </w:r>
      <w:r>
        <w:rPr>
          <w:b/>
          <w:sz w:val="24"/>
          <w:szCs w:val="24"/>
          <w:vertAlign w:val="subscript"/>
        </w:rPr>
        <w:t xml:space="preserve"> </w:t>
      </w:r>
      <w:r>
        <w:rPr>
          <w:bCs/>
          <w:sz w:val="24"/>
          <w:szCs w:val="24"/>
        </w:rPr>
        <w:t xml:space="preserve">minim </w:t>
      </w:r>
      <w:r>
        <w:rPr>
          <w:b/>
          <w:bCs/>
          <w:sz w:val="24"/>
          <w:szCs w:val="24"/>
        </w:rPr>
        <w:t>REI/EI 60’</w:t>
      </w:r>
      <w:r>
        <w:rPr>
          <w:sz w:val="24"/>
          <w:szCs w:val="24"/>
        </w:rPr>
        <w:t xml:space="preserve"> </w:t>
      </w:r>
      <w:r>
        <w:rPr>
          <w:b/>
          <w:bCs/>
          <w:sz w:val="24"/>
          <w:szCs w:val="24"/>
        </w:rPr>
        <w:t>(A1 sau A2-s1,d0)</w:t>
      </w:r>
      <w:r>
        <w:rPr>
          <w:b/>
          <w:sz w:val="24"/>
          <w:szCs w:val="24"/>
          <w:vertAlign w:val="subscript"/>
        </w:rPr>
        <w:t xml:space="preserve">  </w:t>
      </w:r>
      <w:r>
        <w:rPr>
          <w:bCs/>
          <w:sz w:val="24"/>
          <w:szCs w:val="24"/>
        </w:rPr>
        <w:t xml:space="preserve">pe o zona de minim </w:t>
      </w:r>
      <w:r>
        <w:rPr>
          <w:b/>
          <w:sz w:val="24"/>
          <w:szCs w:val="24"/>
        </w:rPr>
        <w:t>8 m</w:t>
      </w:r>
      <w:r>
        <w:rPr>
          <w:bCs/>
          <w:sz w:val="24"/>
          <w:szCs w:val="24"/>
        </w:rPr>
        <w:t xml:space="preserve"> măsurată pe verticala si orizontala de la conturul exteriror al centralelor/agregatelor de ventilare si climatizare  sau </w:t>
      </w:r>
      <w:r>
        <w:rPr>
          <w:sz w:val="24"/>
          <w:szCs w:val="24"/>
        </w:rPr>
        <w:t xml:space="preserve"> încăperea centralelor de ventilare sau climatizare trebuie sa aibă pereti  rezistentei la foc de cel puţin </w:t>
      </w:r>
      <w:r>
        <w:rPr>
          <w:b/>
          <w:bCs/>
          <w:sz w:val="24"/>
          <w:szCs w:val="24"/>
        </w:rPr>
        <w:t>REI/EI 60</w:t>
      </w:r>
      <w:r>
        <w:rPr>
          <w:sz w:val="24"/>
          <w:szCs w:val="24"/>
        </w:rPr>
        <w:t xml:space="preserve"> </w:t>
      </w:r>
      <w:r>
        <w:rPr>
          <w:b/>
          <w:bCs/>
          <w:sz w:val="24"/>
          <w:szCs w:val="24"/>
        </w:rPr>
        <w:t>(A1 sau A2-s1,d0)</w:t>
      </w:r>
      <w:r>
        <w:rPr>
          <w:sz w:val="24"/>
          <w:szCs w:val="24"/>
        </w:rPr>
        <w:t xml:space="preserve">, golurilor din aceşti pereți să fie protejate cu elemente </w:t>
      </w:r>
      <w:r>
        <w:rPr>
          <w:b/>
          <w:sz w:val="24"/>
          <w:szCs w:val="24"/>
        </w:rPr>
        <w:t>EI</w:t>
      </w:r>
      <w:r>
        <w:rPr>
          <w:b/>
          <w:sz w:val="24"/>
          <w:szCs w:val="24"/>
          <w:vertAlign w:val="subscript"/>
        </w:rPr>
        <w:t>2</w:t>
      </w:r>
      <w:r>
        <w:rPr>
          <w:b/>
          <w:sz w:val="24"/>
          <w:szCs w:val="24"/>
        </w:rPr>
        <w:t xml:space="preserve"> 60-C2S</w:t>
      </w:r>
      <w:r>
        <w:rPr>
          <w:b/>
          <w:sz w:val="24"/>
          <w:szCs w:val="24"/>
          <w:vertAlign w:val="subscript"/>
        </w:rPr>
        <w:t>a</w:t>
      </w:r>
      <w:r>
        <w:rPr>
          <w:sz w:val="24"/>
          <w:szCs w:val="24"/>
        </w:rPr>
        <w:t>, iar acoperişul trebuie să aibă</w:t>
      </w:r>
      <w:r>
        <w:rPr>
          <w:rFonts w:eastAsia="Times New Roman"/>
          <w:sz w:val="24"/>
          <w:szCs w:val="24"/>
        </w:rPr>
        <w:t xml:space="preserve"> rezistenţa la foc de minimum </w:t>
      </w:r>
      <w:r>
        <w:rPr>
          <w:rFonts w:eastAsia="Times New Roman"/>
          <w:b/>
          <w:bCs/>
          <w:sz w:val="24"/>
          <w:szCs w:val="24"/>
        </w:rPr>
        <w:t>REI60</w:t>
      </w:r>
      <w:r>
        <w:rPr>
          <w:rFonts w:eastAsia="Times New Roman"/>
          <w:sz w:val="24"/>
          <w:szCs w:val="24"/>
        </w:rPr>
        <w:t xml:space="preserve"> și învelitoare </w:t>
      </w:r>
      <w:r>
        <w:rPr>
          <w:rFonts w:eastAsia="Times New Roman"/>
          <w:b/>
          <w:bCs/>
          <w:sz w:val="24"/>
          <w:szCs w:val="24"/>
        </w:rPr>
        <w:t xml:space="preserve">A1, A2-s1,d0 </w:t>
      </w:r>
      <w:r>
        <w:rPr>
          <w:rFonts w:eastAsia="Times New Roman"/>
          <w:sz w:val="24"/>
          <w:szCs w:val="24"/>
        </w:rPr>
        <w:t>sau</w:t>
      </w:r>
      <w:r>
        <w:rPr>
          <w:rFonts w:eastAsia="Times New Roman"/>
          <w:b/>
          <w:bCs/>
          <w:sz w:val="24"/>
          <w:szCs w:val="24"/>
        </w:rPr>
        <w:t xml:space="preserve"> B-s1,d0</w:t>
      </w:r>
      <w:r>
        <w:rPr>
          <w:rFonts w:eastAsia="Times New Roman"/>
          <w:strike/>
          <w:sz w:val="24"/>
          <w:szCs w:val="24"/>
        </w:rPr>
        <w:t>.</w:t>
      </w:r>
    </w:p>
    <w:p w14:paraId="2799A62E" w14:textId="77777777" w:rsidR="001C08A5" w:rsidRDefault="00000000">
      <w:pPr>
        <w:ind w:firstLine="720"/>
        <w:jc w:val="both"/>
        <w:rPr>
          <w:sz w:val="24"/>
          <w:szCs w:val="24"/>
        </w:rPr>
      </w:pPr>
      <w:r>
        <w:rPr>
          <w:b/>
          <w:sz w:val="24"/>
          <w:szCs w:val="24"/>
        </w:rPr>
        <w:t xml:space="preserve">(3) </w:t>
      </w:r>
      <w:r>
        <w:rPr>
          <w:sz w:val="24"/>
          <w:szCs w:val="24"/>
        </w:rPr>
        <w:t>Ventilatoarele de evacuare a fumului şi gazelor fierbinţi trebuie să fie instalate în una din următoarele variante:</w:t>
      </w:r>
    </w:p>
    <w:p w14:paraId="4C88ED4E" w14:textId="77777777" w:rsidR="001C08A5" w:rsidRDefault="00000000">
      <w:pPr>
        <w:ind w:firstLine="720"/>
        <w:jc w:val="both"/>
        <w:rPr>
          <w:sz w:val="24"/>
          <w:szCs w:val="24"/>
        </w:rPr>
      </w:pPr>
      <w:r>
        <w:rPr>
          <w:sz w:val="24"/>
          <w:szCs w:val="24"/>
        </w:rPr>
        <w:t>a) la exteriorul clădirii, conform prevederilor de la capitolul dedicat din normativ;</w:t>
      </w:r>
    </w:p>
    <w:p w14:paraId="3C04A4D3" w14:textId="77777777" w:rsidR="001C08A5" w:rsidRDefault="00000000">
      <w:pPr>
        <w:ind w:firstLine="720"/>
        <w:jc w:val="both"/>
        <w:rPr>
          <w:sz w:val="24"/>
          <w:szCs w:val="24"/>
        </w:rPr>
      </w:pPr>
      <w:r>
        <w:rPr>
          <w:sz w:val="24"/>
          <w:szCs w:val="24"/>
        </w:rPr>
        <w:t xml:space="preserve">b) în cazuri excepționale într-un spaţiu tehnic, separat de restul construcţiei prin elemente de construcție din clasa de reacţie la foc </w:t>
      </w:r>
      <w:r>
        <w:rPr>
          <w:b/>
          <w:bCs/>
          <w:sz w:val="24"/>
          <w:szCs w:val="24"/>
        </w:rPr>
        <w:t>A1</w:t>
      </w:r>
      <w:r>
        <w:rPr>
          <w:sz w:val="24"/>
          <w:szCs w:val="24"/>
        </w:rPr>
        <w:t xml:space="preserve"> sau </w:t>
      </w:r>
      <w:r>
        <w:rPr>
          <w:b/>
          <w:bCs/>
          <w:sz w:val="24"/>
          <w:szCs w:val="24"/>
        </w:rPr>
        <w:t>A2s1d0</w:t>
      </w:r>
      <w:r>
        <w:rPr>
          <w:bCs/>
          <w:sz w:val="24"/>
          <w:szCs w:val="24"/>
        </w:rPr>
        <w:t xml:space="preserve"> cu </w:t>
      </w:r>
      <w:r>
        <w:rPr>
          <w:sz w:val="24"/>
          <w:szCs w:val="24"/>
        </w:rPr>
        <w:t xml:space="preserve">pereţi </w:t>
      </w:r>
      <w:r>
        <w:rPr>
          <w:b/>
          <w:sz w:val="24"/>
          <w:szCs w:val="24"/>
        </w:rPr>
        <w:t>EI 60</w:t>
      </w:r>
      <w:r>
        <w:rPr>
          <w:sz w:val="24"/>
          <w:szCs w:val="24"/>
        </w:rPr>
        <w:t xml:space="preserve"> și planşee rezistente la foc </w:t>
      </w:r>
      <w:r>
        <w:rPr>
          <w:b/>
          <w:bCs/>
          <w:sz w:val="24"/>
          <w:szCs w:val="24"/>
        </w:rPr>
        <w:t>REI 60</w:t>
      </w:r>
      <w:r>
        <w:rPr>
          <w:sz w:val="24"/>
          <w:szCs w:val="24"/>
        </w:rPr>
        <w:t xml:space="preserve">; ușa  de acces în încăpere trebuie să fie </w:t>
      </w:r>
      <w:r>
        <w:rPr>
          <w:b/>
          <w:sz w:val="24"/>
          <w:szCs w:val="24"/>
        </w:rPr>
        <w:t>EI 60-C3S</w:t>
      </w:r>
      <w:r>
        <w:rPr>
          <w:b/>
          <w:bCs/>
          <w:sz w:val="24"/>
          <w:szCs w:val="24"/>
          <w:vertAlign w:val="subscript"/>
        </w:rPr>
        <w:t xml:space="preserve">a </w:t>
      </w:r>
      <w:r>
        <w:rPr>
          <w:sz w:val="24"/>
          <w:szCs w:val="24"/>
        </w:rPr>
        <w:t xml:space="preserve">atunci când tubulatura este etanșă sau rezistenta la foc </w:t>
      </w:r>
      <w:r>
        <w:rPr>
          <w:b/>
          <w:bCs/>
          <w:sz w:val="24"/>
          <w:szCs w:val="24"/>
        </w:rPr>
        <w:t>30</w:t>
      </w:r>
      <w:r>
        <w:rPr>
          <w:sz w:val="24"/>
          <w:szCs w:val="24"/>
        </w:rPr>
        <w:t xml:space="preserve"> sau </w:t>
      </w:r>
      <w:r>
        <w:rPr>
          <w:b/>
          <w:bCs/>
          <w:sz w:val="24"/>
          <w:szCs w:val="24"/>
        </w:rPr>
        <w:t>60</w:t>
      </w:r>
      <w:r>
        <w:rPr>
          <w:sz w:val="24"/>
          <w:szCs w:val="24"/>
        </w:rPr>
        <w:t xml:space="preserve"> de minute (mono sau multi). Atunci când se prevăd tubulaturi diferite,</w:t>
      </w:r>
      <w:r>
        <w:rPr>
          <w:sz w:val="22"/>
          <w:szCs w:val="22"/>
        </w:rPr>
        <w:t xml:space="preserve"> </w:t>
      </w:r>
      <w:r>
        <w:rPr>
          <w:sz w:val="24"/>
          <w:szCs w:val="24"/>
        </w:rPr>
        <w:t xml:space="preserve">spaţiul tehnic trebuie separat de restul construcţiei prin elemente de construcție din clasa de reacţie la foc </w:t>
      </w:r>
      <w:r>
        <w:rPr>
          <w:b/>
          <w:bCs/>
          <w:sz w:val="24"/>
          <w:szCs w:val="24"/>
        </w:rPr>
        <w:t>A1</w:t>
      </w:r>
      <w:r>
        <w:rPr>
          <w:sz w:val="24"/>
          <w:szCs w:val="24"/>
        </w:rPr>
        <w:t xml:space="preserve"> sau </w:t>
      </w:r>
      <w:r>
        <w:rPr>
          <w:b/>
          <w:bCs/>
          <w:sz w:val="24"/>
          <w:szCs w:val="24"/>
        </w:rPr>
        <w:t>A2s1d0</w:t>
      </w:r>
      <w:r>
        <w:rPr>
          <w:bCs/>
          <w:sz w:val="24"/>
          <w:szCs w:val="24"/>
        </w:rPr>
        <w:t xml:space="preserve"> cu </w:t>
      </w:r>
      <w:r>
        <w:rPr>
          <w:sz w:val="24"/>
          <w:szCs w:val="24"/>
        </w:rPr>
        <w:t xml:space="preserve">pereţi </w:t>
      </w:r>
      <w:r>
        <w:rPr>
          <w:b/>
          <w:sz w:val="24"/>
          <w:szCs w:val="24"/>
        </w:rPr>
        <w:t>EI 120</w:t>
      </w:r>
      <w:r>
        <w:rPr>
          <w:sz w:val="24"/>
          <w:szCs w:val="24"/>
        </w:rPr>
        <w:t xml:space="preserve"> și planşee rezistente la foc </w:t>
      </w:r>
      <w:r>
        <w:rPr>
          <w:b/>
          <w:bCs/>
          <w:sz w:val="24"/>
          <w:szCs w:val="24"/>
        </w:rPr>
        <w:t>REI 60</w:t>
      </w:r>
      <w:r>
        <w:rPr>
          <w:sz w:val="24"/>
          <w:szCs w:val="24"/>
        </w:rPr>
        <w:t xml:space="preserve">; ușa  de acces în încăpere trebuie să fie </w:t>
      </w:r>
      <w:r>
        <w:rPr>
          <w:b/>
          <w:sz w:val="24"/>
          <w:szCs w:val="24"/>
        </w:rPr>
        <w:t>EI 60-C3S</w:t>
      </w:r>
      <w:r>
        <w:rPr>
          <w:b/>
          <w:bCs/>
          <w:sz w:val="24"/>
          <w:szCs w:val="24"/>
          <w:vertAlign w:val="subscript"/>
        </w:rPr>
        <w:t>a.</w:t>
      </w:r>
    </w:p>
    <w:p w14:paraId="1934042D" w14:textId="77777777" w:rsidR="001C08A5" w:rsidRDefault="00000000">
      <w:pPr>
        <w:ind w:firstLine="720"/>
        <w:jc w:val="both"/>
        <w:rPr>
          <w:bCs/>
          <w:sz w:val="24"/>
          <w:szCs w:val="24"/>
        </w:rPr>
      </w:pPr>
      <w:r>
        <w:rPr>
          <w:b/>
          <w:bCs/>
          <w:sz w:val="24"/>
          <w:szCs w:val="24"/>
        </w:rPr>
        <w:t>(4)</w:t>
      </w:r>
      <w:r>
        <w:rPr>
          <w:bCs/>
          <w:sz w:val="24"/>
          <w:szCs w:val="24"/>
        </w:rPr>
        <w:t xml:space="preserve"> În elementele de separare faţă de restul construcţiei a încăperilor centralelor de ventilare/condiţionare/climatizare nu este admisă practicarea altor goluri decât cele pentru acces, precum și pentru conductele, cablurile și tubulaturile aferente spaţiilor care se ventilează/climatizează/condiţionează, protejate corespunzător prevederilor prezentului normativ şi reglementarilor tehnice de specialitate.</w:t>
      </w:r>
    </w:p>
    <w:p w14:paraId="7B90FDCC" w14:textId="77777777" w:rsidR="001C08A5" w:rsidRDefault="00000000">
      <w:pPr>
        <w:ind w:firstLine="720"/>
        <w:jc w:val="both"/>
        <w:rPr>
          <w:bCs/>
          <w:sz w:val="24"/>
          <w:szCs w:val="24"/>
        </w:rPr>
      </w:pPr>
      <w:r>
        <w:rPr>
          <w:b/>
          <w:sz w:val="24"/>
          <w:szCs w:val="24"/>
        </w:rPr>
        <w:t xml:space="preserve">(5) </w:t>
      </w:r>
      <w:r>
        <w:rPr>
          <w:sz w:val="24"/>
          <w:szCs w:val="24"/>
        </w:rPr>
        <w:t xml:space="preserve">Traversarea pereţilor rezistenţi la foc de separare a compartimentelor de incendiu (pereţi antifoc) de către conducte, canale de ventilare-condiţionare este admisă numai dacă se îndeplinește condiția de etanşare/ obturare cu materiale în alcatuiri rezistente la foc minimum </w:t>
      </w:r>
      <w:r>
        <w:rPr>
          <w:b/>
          <w:sz w:val="24"/>
          <w:szCs w:val="24"/>
        </w:rPr>
        <w:t xml:space="preserve">180 </w:t>
      </w:r>
      <w:r>
        <w:rPr>
          <w:bCs/>
          <w:sz w:val="24"/>
          <w:szCs w:val="24"/>
        </w:rPr>
        <w:t xml:space="preserve">de minute.Atunci când această condiție nu poate fi îndeplinită prin caracteristicile maxime ale materialelor disponibile, se pot realiza ghene care, prin însumare cu rezistența la foc a materialelor disponibile, să rezulte condiția însumată de alcătuire rezistentă la foc de trei ore, în condiții preconizate de utilizare finală (testate). </w:t>
      </w:r>
    </w:p>
    <w:p w14:paraId="046577F2" w14:textId="77777777" w:rsidR="001C08A5" w:rsidRDefault="00000000">
      <w:pPr>
        <w:ind w:firstLine="720"/>
        <w:jc w:val="both"/>
        <w:rPr>
          <w:sz w:val="24"/>
          <w:szCs w:val="24"/>
        </w:rPr>
      </w:pPr>
      <w:r>
        <w:rPr>
          <w:b/>
          <w:sz w:val="24"/>
          <w:szCs w:val="24"/>
        </w:rPr>
        <w:t xml:space="preserve">(6) </w:t>
      </w:r>
      <w:r>
        <w:rPr>
          <w:sz w:val="24"/>
          <w:szCs w:val="24"/>
        </w:rPr>
        <w:t>Traversarea pereţilor rezistenţi la foc de către conducte, canale de ventilare-condiţionare, etc. este admisă numai dacă se îndeplinește condiția de etanşare/ obturare cu materiale în alcătuiri rezistente la foc cu aceeași rezistență la foc cu cea a peretelui străpuns</w:t>
      </w:r>
      <w:r>
        <w:rPr>
          <w:bCs/>
          <w:sz w:val="24"/>
          <w:szCs w:val="24"/>
        </w:rPr>
        <w:t xml:space="preserve">.Atunci când această condiție nu poate fi îndeplinită prin caracteristicile maxime ale materialelor disponibile, se pot realiza ghene care, prin însumare cu rezistența la foc a materialelor disponibile, sa rezulte condiția însumată de alcatuire rezistentă la foc necesară, în condiții preconizate de utilizare finală (testate). </w:t>
      </w:r>
      <w:r>
        <w:rPr>
          <w:sz w:val="24"/>
          <w:szCs w:val="24"/>
        </w:rPr>
        <w:t xml:space="preserve">Ghenele verticale pentru instalaţii se separă de restul clădiriilor prin pereţi rezistenţi la foc conform condiții normate, iar uşile şi trapele de vizitare practicate în aceştia vor fi rezistente la foc conform condiții normate. Ghenele verticale pentru instalaţii se etanşază în jurul conductelor şi a cablurilor la trecerea prin planşee cu materiale având aceeaşi rezistenţă la foc cu cea a elementului străpuns. Atunci când etanşarea ghenelor verticale pentru instalaţii în dreptul planşeelor nu este posibilă (sau justificată tehnic), pereţii ghenelor  vor fi rezistenţi la foc minimum </w:t>
      </w:r>
      <w:r>
        <w:rPr>
          <w:b/>
          <w:sz w:val="24"/>
          <w:szCs w:val="24"/>
        </w:rPr>
        <w:t xml:space="preserve">EI/REI </w:t>
      </w:r>
      <w:r>
        <w:rPr>
          <w:bCs/>
          <w:sz w:val="24"/>
          <w:szCs w:val="24"/>
        </w:rPr>
        <w:t>echivalenta cu a planșeelor</w:t>
      </w:r>
      <w:r>
        <w:rPr>
          <w:sz w:val="24"/>
          <w:szCs w:val="24"/>
        </w:rPr>
        <w:t xml:space="preserve"> pe care le intersectează (planșeul cu rezistența la foc cea mai restrictivă) conform încadrării acestora în nivel de stabilitate la incendiu prevazute în </w:t>
      </w:r>
      <w:r>
        <w:rPr>
          <w:rStyle w:val="CaptionChar"/>
        </w:rPr>
        <w:fldChar w:fldCharType="begin"/>
      </w:r>
      <w:r>
        <w:rPr>
          <w:rStyle w:val="CaptionChar"/>
        </w:rPr>
        <w:instrText xml:space="preserve"> REF _Ref26473 \h </w:instrText>
      </w:r>
      <w:r>
        <w:rPr>
          <w:rStyle w:val="CaptionChar"/>
        </w:rPr>
      </w:r>
      <w:r>
        <w:rPr>
          <w:rStyle w:val="CaptionChar"/>
        </w:rPr>
        <w:fldChar w:fldCharType="separate"/>
      </w:r>
      <w:r>
        <w:t>Tabelul 2</w:t>
      </w:r>
      <w:r>
        <w:rPr>
          <w:rStyle w:val="CaptionChar"/>
        </w:rPr>
        <w:fldChar w:fldCharType="end"/>
      </w:r>
      <w:r>
        <w:rPr>
          <w:rFonts w:eastAsia="Times-Roman"/>
          <w:sz w:val="24"/>
          <w:szCs w:val="24"/>
        </w:rPr>
        <w:t xml:space="preserve"> și </w:t>
      </w:r>
      <w:r>
        <w:rPr>
          <w:rStyle w:val="CaptionChar"/>
        </w:rPr>
        <w:fldChar w:fldCharType="begin"/>
      </w:r>
      <w:r>
        <w:rPr>
          <w:rStyle w:val="CaptionChar"/>
        </w:rPr>
        <w:instrText xml:space="preserve"> REF _Ref11612 \h </w:instrText>
      </w:r>
      <w:r>
        <w:rPr>
          <w:rStyle w:val="CaptionChar"/>
        </w:rPr>
      </w:r>
      <w:r>
        <w:rPr>
          <w:rStyle w:val="CaptionChar"/>
        </w:rPr>
        <w:fldChar w:fldCharType="separate"/>
      </w:r>
      <w:r>
        <w:t>Tabelul 3</w:t>
      </w:r>
      <w:r>
        <w:rPr>
          <w:rStyle w:val="CaptionChar"/>
        </w:rPr>
        <w:fldChar w:fldCharType="end"/>
      </w:r>
      <w:r>
        <w:rPr>
          <w:b/>
          <w:bCs/>
          <w:sz w:val="24"/>
          <w:szCs w:val="24"/>
        </w:rPr>
        <w:t xml:space="preserve">, </w:t>
      </w:r>
      <w:r>
        <w:rPr>
          <w:sz w:val="24"/>
          <w:szCs w:val="24"/>
        </w:rPr>
        <w:t>iar ușile sau trapele de vizitare ale acestora vor indeplini condițiile normate. La trecerea prin elemente rezistente la foc ghenele pentru instalaţii se închid în jurul tuburilor şi a conductelor cu materiale în alcatuiri constructive care asigură rezistenţa la foc echivalentă cu cea a elementului străpuns.</w:t>
      </w:r>
    </w:p>
    <w:p w14:paraId="43B723B4" w14:textId="77777777" w:rsidR="001C08A5" w:rsidRDefault="001C08A5">
      <w:pPr>
        <w:jc w:val="both"/>
        <w:rPr>
          <w:b/>
          <w:sz w:val="24"/>
          <w:szCs w:val="24"/>
        </w:rPr>
      </w:pPr>
    </w:p>
    <w:p w14:paraId="63E19159" w14:textId="77777777" w:rsidR="001C08A5" w:rsidRDefault="00000000">
      <w:pPr>
        <w:jc w:val="both"/>
        <w:rPr>
          <w:sz w:val="24"/>
          <w:szCs w:val="24"/>
        </w:rPr>
      </w:pPr>
      <w:r>
        <w:rPr>
          <w:b/>
          <w:sz w:val="24"/>
          <w:szCs w:val="24"/>
        </w:rPr>
        <w:lastRenderedPageBreak/>
        <w:tab/>
        <w:t xml:space="preserve">Art. 2.4.14.4. (1) </w:t>
      </w:r>
      <w:r>
        <w:rPr>
          <w:sz w:val="24"/>
          <w:szCs w:val="24"/>
        </w:rPr>
        <w:t xml:space="preserve">Gospodăriile de apă pentru stingerea incendiului dispuse în construcţii (staţii de pompare, rezerve de apă, echipamente şi dispozitive aferente etc.) și care asigură un debit de stingere mai mare de </w:t>
      </w:r>
      <w:r>
        <w:rPr>
          <w:b/>
          <w:bCs/>
          <w:sz w:val="24"/>
          <w:szCs w:val="24"/>
        </w:rPr>
        <w:t>4.2 l/s</w:t>
      </w:r>
      <w:r>
        <w:rPr>
          <w:sz w:val="24"/>
          <w:szCs w:val="24"/>
        </w:rPr>
        <w:t xml:space="preserve">, se separă faţă de restul construcţiei cu elemente clasa de reacţie la foc </w:t>
      </w:r>
      <w:r>
        <w:rPr>
          <w:b/>
          <w:bCs/>
          <w:sz w:val="24"/>
          <w:szCs w:val="24"/>
        </w:rPr>
        <w:t>A1</w:t>
      </w:r>
      <w:r>
        <w:rPr>
          <w:sz w:val="24"/>
          <w:szCs w:val="24"/>
        </w:rPr>
        <w:t xml:space="preserve"> sau </w:t>
      </w:r>
      <w:r>
        <w:rPr>
          <w:b/>
          <w:bCs/>
          <w:sz w:val="24"/>
          <w:szCs w:val="24"/>
        </w:rPr>
        <w:t>A2-s1d0</w:t>
      </w:r>
      <w:r>
        <w:rPr>
          <w:sz w:val="24"/>
          <w:szCs w:val="24"/>
        </w:rPr>
        <w:t xml:space="preserve">, rezistente la foc corespunzător densităţii sarcinii termice (q) din încăperile adiacente, dar minimum </w:t>
      </w:r>
      <w:r>
        <w:rPr>
          <w:b/>
          <w:sz w:val="24"/>
          <w:szCs w:val="24"/>
        </w:rPr>
        <w:t>EI/REI 180</w:t>
      </w:r>
      <w:r>
        <w:rPr>
          <w:sz w:val="24"/>
          <w:szCs w:val="24"/>
        </w:rPr>
        <w:t xml:space="preserve"> pentru pereţi şi minimum </w:t>
      </w:r>
      <w:r>
        <w:rPr>
          <w:b/>
          <w:sz w:val="24"/>
          <w:szCs w:val="24"/>
        </w:rPr>
        <w:t>REI 90</w:t>
      </w:r>
      <w:r>
        <w:rPr>
          <w:sz w:val="24"/>
          <w:szCs w:val="24"/>
        </w:rPr>
        <w:t xml:space="preserve"> pentru planşee.</w:t>
      </w:r>
    </w:p>
    <w:p w14:paraId="5F91DED1" w14:textId="77777777" w:rsidR="001C08A5" w:rsidRDefault="00000000">
      <w:pPr>
        <w:ind w:firstLine="720"/>
        <w:jc w:val="both"/>
        <w:rPr>
          <w:sz w:val="24"/>
          <w:szCs w:val="24"/>
        </w:rPr>
      </w:pPr>
      <w:r>
        <w:rPr>
          <w:b/>
          <w:sz w:val="24"/>
          <w:szCs w:val="24"/>
        </w:rPr>
        <w:t>(2)</w:t>
      </w:r>
      <w:r>
        <w:rPr>
          <w:sz w:val="24"/>
          <w:szCs w:val="24"/>
        </w:rPr>
        <w:t xml:space="preserve"> Staţia de pompare a apei pentru stingerea incendiilor care asigură un debit mai mare de</w:t>
      </w:r>
      <w:r>
        <w:rPr>
          <w:b/>
          <w:bCs/>
          <w:sz w:val="24"/>
          <w:szCs w:val="24"/>
        </w:rPr>
        <w:t xml:space="preserve"> 4.2 l/s</w:t>
      </w:r>
      <w:r>
        <w:rPr>
          <w:sz w:val="24"/>
          <w:szCs w:val="24"/>
        </w:rPr>
        <w:t xml:space="preserve"> poate să comunice cu restul construcţiei printr-un gol funcţional protejat cu uşă rezistentă la foc</w:t>
      </w:r>
      <w:r>
        <w:rPr>
          <w:b/>
          <w:sz w:val="24"/>
          <w:szCs w:val="24"/>
        </w:rPr>
        <w:t>EI</w:t>
      </w:r>
      <w:r>
        <w:rPr>
          <w:b/>
          <w:sz w:val="24"/>
          <w:szCs w:val="24"/>
          <w:vertAlign w:val="subscript"/>
        </w:rPr>
        <w:t>2</w:t>
      </w:r>
      <w:r>
        <w:rPr>
          <w:b/>
          <w:sz w:val="24"/>
          <w:szCs w:val="24"/>
        </w:rPr>
        <w:t xml:space="preserve"> 90-C3</w:t>
      </w:r>
      <w:r>
        <w:rPr>
          <w:sz w:val="24"/>
          <w:szCs w:val="24"/>
        </w:rPr>
        <w:t xml:space="preserve"> sau prin încăpere tampon protejată ventilată în suprapresiune şi prevăzută cu uşi rezistente la foc </w:t>
      </w:r>
      <w:r>
        <w:rPr>
          <w:b/>
          <w:sz w:val="24"/>
          <w:szCs w:val="24"/>
        </w:rPr>
        <w:t>EI</w:t>
      </w:r>
      <w:r>
        <w:rPr>
          <w:b/>
          <w:sz w:val="24"/>
          <w:szCs w:val="24"/>
          <w:vertAlign w:val="subscript"/>
        </w:rPr>
        <w:t>2</w:t>
      </w:r>
      <w:r>
        <w:rPr>
          <w:b/>
          <w:sz w:val="24"/>
          <w:szCs w:val="24"/>
        </w:rPr>
        <w:t xml:space="preserve"> 45-C3.</w:t>
      </w:r>
    </w:p>
    <w:p w14:paraId="7A1DEFCF" w14:textId="77777777" w:rsidR="001C08A5" w:rsidRDefault="00000000">
      <w:pPr>
        <w:ind w:firstLine="708"/>
        <w:jc w:val="both"/>
        <w:rPr>
          <w:sz w:val="24"/>
          <w:szCs w:val="24"/>
        </w:rPr>
      </w:pPr>
      <w:r>
        <w:rPr>
          <w:sz w:val="24"/>
          <w:szCs w:val="24"/>
        </w:rPr>
        <w:tab/>
      </w:r>
      <w:r>
        <w:rPr>
          <w:b/>
          <w:sz w:val="24"/>
          <w:szCs w:val="24"/>
        </w:rPr>
        <w:t>(3)</w:t>
      </w:r>
      <w:r>
        <w:rPr>
          <w:sz w:val="24"/>
          <w:szCs w:val="24"/>
        </w:rPr>
        <w:t xml:space="preserve"> În încăperea staţiei de pompare a apei pentru stingerea incendiului care asigură un debit mai mare de </w:t>
      </w:r>
      <w:r>
        <w:rPr>
          <w:b/>
          <w:bCs/>
          <w:sz w:val="24"/>
          <w:szCs w:val="24"/>
        </w:rPr>
        <w:t>4.2 l/s</w:t>
      </w:r>
      <w:r>
        <w:rPr>
          <w:sz w:val="24"/>
          <w:szCs w:val="24"/>
        </w:rPr>
        <w:t>, se pot monta numai instalaţiile, dispozitivele şi aparatele specifice acestei funcţiuni şi va avea asigurată o cale de acces din exterior (uşă directă din exterior sau dintr-o scară comună de circulaţie).</w:t>
      </w:r>
    </w:p>
    <w:p w14:paraId="6985CA03" w14:textId="77777777" w:rsidR="001C08A5" w:rsidRDefault="00000000">
      <w:pPr>
        <w:jc w:val="both"/>
        <w:rPr>
          <w:rFonts w:eastAsia="Calibri-Italic"/>
          <w:sz w:val="24"/>
          <w:szCs w:val="24"/>
        </w:rPr>
      </w:pPr>
      <w:r>
        <w:rPr>
          <w:sz w:val="24"/>
          <w:szCs w:val="24"/>
        </w:rPr>
        <w:tab/>
      </w:r>
      <w:r>
        <w:rPr>
          <w:b/>
          <w:sz w:val="24"/>
          <w:szCs w:val="24"/>
        </w:rPr>
        <w:t>(4)</w:t>
      </w:r>
      <w:r>
        <w:rPr>
          <w:sz w:val="24"/>
          <w:szCs w:val="24"/>
        </w:rPr>
        <w:t xml:space="preserve"> Staţiile de pompare a apei pentru stingerea incendiilor care asigură un debit mai mic sau egal de </w:t>
      </w:r>
      <w:r>
        <w:rPr>
          <w:b/>
          <w:bCs/>
          <w:sz w:val="24"/>
          <w:szCs w:val="24"/>
        </w:rPr>
        <w:t>4.2 l/s</w:t>
      </w:r>
      <w:r>
        <w:rPr>
          <w:sz w:val="24"/>
          <w:szCs w:val="24"/>
        </w:rPr>
        <w:t xml:space="preserve">, se separă de restul construcţiei cu elemente clasa de reacţie la foc </w:t>
      </w:r>
      <w:r>
        <w:rPr>
          <w:b/>
          <w:bCs/>
          <w:sz w:val="24"/>
          <w:szCs w:val="24"/>
        </w:rPr>
        <w:t>A1</w:t>
      </w:r>
      <w:r>
        <w:rPr>
          <w:sz w:val="24"/>
          <w:szCs w:val="24"/>
        </w:rPr>
        <w:t xml:space="preserve"> sau </w:t>
      </w:r>
      <w:r>
        <w:rPr>
          <w:b/>
          <w:bCs/>
          <w:sz w:val="24"/>
          <w:szCs w:val="24"/>
        </w:rPr>
        <w:t>A2-s1d0</w:t>
      </w:r>
      <w:r>
        <w:rPr>
          <w:sz w:val="24"/>
          <w:szCs w:val="24"/>
        </w:rPr>
        <w:t xml:space="preserve">,  rezistente la foc corespunzător densităţii sarcinii termice (q) din încăperile adiacente, dar minimum </w:t>
      </w:r>
      <w:r>
        <w:rPr>
          <w:b/>
          <w:sz w:val="24"/>
          <w:szCs w:val="24"/>
        </w:rPr>
        <w:t>EI/REI 60</w:t>
      </w:r>
      <w:r>
        <w:rPr>
          <w:sz w:val="24"/>
          <w:szCs w:val="24"/>
        </w:rPr>
        <w:t xml:space="preserve">pentru pereţi şi minimum </w:t>
      </w:r>
      <w:r>
        <w:rPr>
          <w:b/>
          <w:sz w:val="24"/>
          <w:szCs w:val="24"/>
        </w:rPr>
        <w:t>REI 45</w:t>
      </w:r>
      <w:r>
        <w:rPr>
          <w:sz w:val="24"/>
          <w:szCs w:val="24"/>
        </w:rPr>
        <w:t xml:space="preserve"> pentru planşee. Staţia poate să comunice cu restul construcţiei printr-un gol funcţional protejat cu uşă rezistentă la foc </w:t>
      </w:r>
      <w:r>
        <w:rPr>
          <w:rFonts w:eastAsia="Calibri-Italic"/>
          <w:b/>
          <w:bCs/>
          <w:sz w:val="24"/>
          <w:szCs w:val="24"/>
        </w:rPr>
        <w:t>EI</w:t>
      </w:r>
      <w:r>
        <w:rPr>
          <w:rFonts w:eastAsia="Calibri-Italic"/>
          <w:b/>
          <w:bCs/>
          <w:sz w:val="24"/>
          <w:szCs w:val="24"/>
          <w:vertAlign w:val="subscript"/>
        </w:rPr>
        <w:t>2</w:t>
      </w:r>
      <w:r>
        <w:rPr>
          <w:rFonts w:eastAsia="Calibri-Italic"/>
          <w:b/>
          <w:bCs/>
          <w:sz w:val="24"/>
          <w:szCs w:val="24"/>
        </w:rPr>
        <w:t xml:space="preserve"> 30-C3</w:t>
      </w:r>
      <w:r>
        <w:rPr>
          <w:rFonts w:eastAsia="Calibri-Italic"/>
          <w:sz w:val="24"/>
          <w:szCs w:val="24"/>
        </w:rPr>
        <w:t xml:space="preserve"> fără a fi obligatoriu accesul din exterior (ușă directă din exterior sau dintr-o scară comună de circulație). Stația poate să aibă acces dintr-un hol/coridor aflat în legătură directă cu o iesire spre exterior sau cu o scară de evacuare avand debușare directă spre exterior.) </w:t>
      </w:r>
    </w:p>
    <w:p w14:paraId="4CA3D1FF" w14:textId="77777777" w:rsidR="001C08A5" w:rsidRDefault="00000000">
      <w:pPr>
        <w:jc w:val="both"/>
        <w:rPr>
          <w:sz w:val="24"/>
          <w:szCs w:val="24"/>
        </w:rPr>
      </w:pPr>
      <w:r>
        <w:rPr>
          <w:sz w:val="24"/>
          <w:szCs w:val="24"/>
        </w:rPr>
        <w:tab/>
      </w:r>
      <w:r>
        <w:rPr>
          <w:b/>
          <w:sz w:val="24"/>
          <w:szCs w:val="24"/>
        </w:rPr>
        <w:t>(5)</w:t>
      </w:r>
      <w:r>
        <w:rPr>
          <w:sz w:val="24"/>
          <w:szCs w:val="24"/>
        </w:rPr>
        <w:t xml:space="preserve"> Măsurile de protecţie stabilite la </w:t>
      </w:r>
      <w:r>
        <w:rPr>
          <w:b/>
          <w:sz w:val="24"/>
          <w:szCs w:val="24"/>
        </w:rPr>
        <w:t>alin.</w:t>
      </w:r>
      <w:r>
        <w:rPr>
          <w:b/>
          <w:bCs/>
          <w:sz w:val="24"/>
          <w:szCs w:val="24"/>
        </w:rPr>
        <w:t>(1)</w:t>
      </w:r>
      <w:r>
        <w:rPr>
          <w:bCs/>
          <w:sz w:val="24"/>
          <w:szCs w:val="24"/>
        </w:rPr>
        <w:t xml:space="preserve">, </w:t>
      </w:r>
      <w:r>
        <w:rPr>
          <w:b/>
          <w:bCs/>
          <w:sz w:val="24"/>
          <w:szCs w:val="24"/>
        </w:rPr>
        <w:t>(2)</w:t>
      </w:r>
      <w:r>
        <w:rPr>
          <w:sz w:val="24"/>
          <w:szCs w:val="24"/>
        </w:rPr>
        <w:t xml:space="preserve"> şi </w:t>
      </w:r>
      <w:r>
        <w:rPr>
          <w:b/>
          <w:bCs/>
          <w:sz w:val="24"/>
          <w:szCs w:val="24"/>
        </w:rPr>
        <w:t>(3)</w:t>
      </w:r>
      <w:r>
        <w:rPr>
          <w:sz w:val="24"/>
          <w:szCs w:val="24"/>
        </w:rPr>
        <w:t xml:space="preserve"> sunt obligatorii şi pentru încăperile distincte în care sunt amplasate sursele de alimentare de bază şi de rezervă ale staţiilor de pompare a apei pentru stingerea incendiilor (posturi trafo, grupuri electrogene, pompe cu motoare termice).</w:t>
      </w:r>
    </w:p>
    <w:p w14:paraId="43BBF59C" w14:textId="77777777" w:rsidR="001C08A5" w:rsidRDefault="00000000">
      <w:pPr>
        <w:ind w:firstLine="720"/>
        <w:jc w:val="both"/>
        <w:rPr>
          <w:bCs/>
          <w:sz w:val="24"/>
          <w:szCs w:val="24"/>
        </w:rPr>
      </w:pPr>
      <w:r>
        <w:rPr>
          <w:b/>
          <w:sz w:val="24"/>
          <w:szCs w:val="24"/>
        </w:rPr>
        <w:t xml:space="preserve">(6)  </w:t>
      </w:r>
      <w:r>
        <w:rPr>
          <w:bCs/>
          <w:sz w:val="24"/>
          <w:szCs w:val="24"/>
        </w:rPr>
        <w:t>Grupurile electrogene care constituie surse electrice de rezervă ce alimentează dispozitive de protecţie la foc , se pot amplasa în una din următoarele variante:</w:t>
      </w:r>
    </w:p>
    <w:p w14:paraId="1CCA3093" w14:textId="77777777" w:rsidR="001C08A5" w:rsidRDefault="00000000">
      <w:pPr>
        <w:ind w:left="1440" w:firstLine="720"/>
        <w:jc w:val="both"/>
        <w:rPr>
          <w:sz w:val="24"/>
          <w:szCs w:val="24"/>
        </w:rPr>
      </w:pPr>
      <w:r>
        <w:rPr>
          <w:bCs/>
          <w:sz w:val="24"/>
          <w:szCs w:val="24"/>
        </w:rPr>
        <w:t xml:space="preserve">a) încăperi proprii, separate de restul construcţiei </w:t>
      </w:r>
      <w:r>
        <w:rPr>
          <w:sz w:val="24"/>
          <w:szCs w:val="24"/>
        </w:rPr>
        <w:t xml:space="preserve">prin pereţi clasa de reacție la foc  </w:t>
      </w:r>
      <w:r>
        <w:rPr>
          <w:b/>
          <w:bCs/>
          <w:sz w:val="24"/>
          <w:szCs w:val="24"/>
        </w:rPr>
        <w:t>A1, A2s1d0</w:t>
      </w:r>
      <w:r>
        <w:rPr>
          <w:sz w:val="24"/>
          <w:szCs w:val="24"/>
        </w:rPr>
        <w:t xml:space="preserve">, fără goluri (cu exceptia celor functionale) cu rezistenţă la foc minimum </w:t>
      </w:r>
      <w:r>
        <w:rPr>
          <w:b/>
          <w:bCs/>
          <w:sz w:val="24"/>
          <w:szCs w:val="24"/>
        </w:rPr>
        <w:t>(R)EI180</w:t>
      </w:r>
      <w:r>
        <w:rPr>
          <w:sz w:val="24"/>
          <w:szCs w:val="24"/>
        </w:rPr>
        <w:t xml:space="preserve"> prevăzute cu uși </w:t>
      </w:r>
      <w:r>
        <w:rPr>
          <w:b/>
          <w:bCs/>
          <w:sz w:val="24"/>
          <w:szCs w:val="24"/>
        </w:rPr>
        <w:t>EI</w:t>
      </w:r>
      <w:r>
        <w:rPr>
          <w:b/>
          <w:bCs/>
          <w:sz w:val="24"/>
          <w:szCs w:val="24"/>
          <w:vertAlign w:val="subscript"/>
        </w:rPr>
        <w:t>2</w:t>
      </w:r>
      <w:r>
        <w:rPr>
          <w:b/>
          <w:bCs/>
          <w:sz w:val="24"/>
          <w:szCs w:val="24"/>
        </w:rPr>
        <w:t>90-C3</w:t>
      </w:r>
      <w:r>
        <w:rPr>
          <w:sz w:val="24"/>
          <w:szCs w:val="24"/>
        </w:rPr>
        <w:t xml:space="preserve"> având asigurat acces uşor (facil) din exterior și planşee minimum </w:t>
      </w:r>
      <w:r>
        <w:rPr>
          <w:b/>
          <w:bCs/>
          <w:sz w:val="24"/>
          <w:szCs w:val="24"/>
        </w:rPr>
        <w:t>REI 90</w:t>
      </w:r>
      <w:r>
        <w:rPr>
          <w:sz w:val="24"/>
          <w:szCs w:val="24"/>
        </w:rPr>
        <w:t xml:space="preserve">. </w:t>
      </w:r>
    </w:p>
    <w:p w14:paraId="13B63525" w14:textId="77777777" w:rsidR="001C08A5" w:rsidRDefault="00000000">
      <w:pPr>
        <w:ind w:left="1440" w:firstLine="720"/>
        <w:jc w:val="both"/>
        <w:rPr>
          <w:bCs/>
          <w:sz w:val="24"/>
          <w:szCs w:val="24"/>
        </w:rPr>
      </w:pPr>
      <w:r>
        <w:rPr>
          <w:sz w:val="24"/>
          <w:szCs w:val="24"/>
        </w:rPr>
        <w:t>b)</w:t>
      </w:r>
      <w:r>
        <w:rPr>
          <w:bCs/>
          <w:sz w:val="24"/>
          <w:szCs w:val="24"/>
        </w:rPr>
        <w:t xml:space="preserve"> în aer liber, pe platforme deschise, amplasate la distanţele minime de siguranţă precizate în </w:t>
      </w:r>
      <w:r>
        <w:rPr>
          <w:b/>
          <w:sz w:val="24"/>
          <w:szCs w:val="24"/>
        </w:rPr>
        <w:t>Art. 2.2.1.2.</w:t>
      </w:r>
      <w:r>
        <w:rPr>
          <w:bCs/>
          <w:sz w:val="24"/>
          <w:szCs w:val="24"/>
        </w:rPr>
        <w:t xml:space="preserve"> şi </w:t>
      </w:r>
      <w:r>
        <w:rPr>
          <w:rStyle w:val="CaptionChar"/>
        </w:rPr>
        <w:fldChar w:fldCharType="begin"/>
      </w:r>
      <w:r>
        <w:rPr>
          <w:rStyle w:val="CaptionChar"/>
        </w:rPr>
        <w:instrText xml:space="preserve"> REF _Ref29888 \h  \* MERGEFORMAT </w:instrText>
      </w:r>
      <w:r>
        <w:rPr>
          <w:rStyle w:val="CaptionChar"/>
        </w:rPr>
      </w:r>
      <w:r>
        <w:rPr>
          <w:rStyle w:val="CaptionChar"/>
        </w:rPr>
        <w:fldChar w:fldCharType="separate"/>
      </w:r>
      <w:r>
        <w:rPr>
          <w:rStyle w:val="CaptionChar"/>
        </w:rPr>
        <w:t>Tabelul 4</w:t>
      </w:r>
      <w:r>
        <w:rPr>
          <w:rStyle w:val="CaptionChar"/>
        </w:rPr>
        <w:fldChar w:fldCharType="end"/>
      </w:r>
      <w:r>
        <w:rPr>
          <w:bCs/>
          <w:sz w:val="24"/>
          <w:szCs w:val="24"/>
        </w:rPr>
        <w:t xml:space="preserve"> (considerând grupul cu nivelul </w:t>
      </w:r>
      <w:r>
        <w:rPr>
          <w:b/>
          <w:sz w:val="24"/>
          <w:szCs w:val="24"/>
        </w:rPr>
        <w:t xml:space="preserve">II </w:t>
      </w:r>
      <w:r>
        <w:rPr>
          <w:bCs/>
          <w:sz w:val="24"/>
          <w:szCs w:val="24"/>
        </w:rPr>
        <w:t xml:space="preserve">de stabilitate la incendiu) dar minimum </w:t>
      </w:r>
      <w:r>
        <w:rPr>
          <w:b/>
          <w:sz w:val="24"/>
          <w:szCs w:val="24"/>
        </w:rPr>
        <w:t xml:space="preserve">6 m </w:t>
      </w:r>
      <w:r>
        <w:rPr>
          <w:bCs/>
          <w:sz w:val="24"/>
          <w:szCs w:val="24"/>
        </w:rPr>
        <w:t xml:space="preserve">față de clădire.  </w:t>
      </w:r>
    </w:p>
    <w:p w14:paraId="502199B1" w14:textId="77777777" w:rsidR="001C08A5" w:rsidRDefault="00000000">
      <w:pPr>
        <w:ind w:firstLine="720"/>
        <w:jc w:val="both"/>
        <w:rPr>
          <w:sz w:val="24"/>
          <w:szCs w:val="24"/>
          <w:u w:val="single"/>
        </w:rPr>
      </w:pPr>
      <w:r>
        <w:rPr>
          <w:b/>
          <w:bCs/>
          <w:sz w:val="24"/>
          <w:szCs w:val="24"/>
        </w:rPr>
        <w:t>(7)</w:t>
      </w:r>
      <w:r>
        <w:rPr>
          <w:sz w:val="24"/>
          <w:szCs w:val="24"/>
        </w:rPr>
        <w:t xml:space="preserve"> Grupurile electrogene care constituie surse electrice de rezervă nu se amplasează pe acoperişul construcţiilor</w:t>
      </w:r>
    </w:p>
    <w:p w14:paraId="3411FF8E" w14:textId="77777777" w:rsidR="001C08A5" w:rsidRDefault="00000000">
      <w:pPr>
        <w:ind w:firstLine="720"/>
        <w:jc w:val="both"/>
        <w:rPr>
          <w:bCs/>
          <w:sz w:val="24"/>
          <w:szCs w:val="24"/>
        </w:rPr>
      </w:pPr>
      <w:r>
        <w:rPr>
          <w:b/>
          <w:bCs/>
          <w:sz w:val="24"/>
          <w:szCs w:val="24"/>
        </w:rPr>
        <w:t xml:space="preserve">(8) </w:t>
      </w:r>
      <w:r>
        <w:rPr>
          <w:sz w:val="24"/>
          <w:szCs w:val="24"/>
        </w:rPr>
        <w:t>Posturile de transformare se pot monta în una din următoarele variante:</w:t>
      </w:r>
    </w:p>
    <w:p w14:paraId="3185C5C6" w14:textId="77777777" w:rsidR="001C08A5" w:rsidRDefault="00000000">
      <w:pPr>
        <w:ind w:left="1440" w:firstLine="720"/>
        <w:jc w:val="both"/>
        <w:rPr>
          <w:sz w:val="24"/>
          <w:szCs w:val="24"/>
        </w:rPr>
      </w:pPr>
      <w:r>
        <w:rPr>
          <w:bCs/>
          <w:sz w:val="24"/>
          <w:szCs w:val="24"/>
        </w:rPr>
        <w:t xml:space="preserve">a) încăperi proprii, separate de restul construcţiei </w:t>
      </w:r>
      <w:r>
        <w:rPr>
          <w:sz w:val="24"/>
          <w:szCs w:val="24"/>
        </w:rPr>
        <w:t xml:space="preserve">prin pereţi clasa de reacție la foc  </w:t>
      </w:r>
      <w:r>
        <w:rPr>
          <w:b/>
          <w:bCs/>
          <w:sz w:val="24"/>
          <w:szCs w:val="24"/>
        </w:rPr>
        <w:t>A1, A2s1d0</w:t>
      </w:r>
      <w:r>
        <w:rPr>
          <w:sz w:val="24"/>
          <w:szCs w:val="24"/>
        </w:rPr>
        <w:t xml:space="preserve">, fără goluri (cu exceptia celor functionale) cu rezistenţă la foc minimum </w:t>
      </w:r>
      <w:r>
        <w:rPr>
          <w:b/>
          <w:bCs/>
          <w:sz w:val="24"/>
          <w:szCs w:val="24"/>
        </w:rPr>
        <w:t>(R)EI 180</w:t>
      </w:r>
      <w:r>
        <w:rPr>
          <w:sz w:val="24"/>
          <w:szCs w:val="24"/>
        </w:rPr>
        <w:t xml:space="preserve"> și planşee minimum </w:t>
      </w:r>
      <w:r>
        <w:rPr>
          <w:b/>
          <w:bCs/>
          <w:sz w:val="24"/>
          <w:szCs w:val="24"/>
        </w:rPr>
        <w:t xml:space="preserve">REI 90 </w:t>
      </w:r>
      <w:r>
        <w:rPr>
          <w:sz w:val="24"/>
          <w:szCs w:val="24"/>
        </w:rPr>
        <w:t xml:space="preserve">având asigurat acces doar din exterior; </w:t>
      </w:r>
    </w:p>
    <w:p w14:paraId="740118F0" w14:textId="77777777" w:rsidR="001C08A5" w:rsidRDefault="00000000">
      <w:pPr>
        <w:ind w:left="1440" w:firstLine="720"/>
        <w:jc w:val="both"/>
        <w:rPr>
          <w:bCs/>
          <w:sz w:val="24"/>
          <w:szCs w:val="24"/>
        </w:rPr>
      </w:pPr>
      <w:r>
        <w:rPr>
          <w:sz w:val="24"/>
          <w:szCs w:val="24"/>
        </w:rPr>
        <w:t>b)</w:t>
      </w:r>
      <w:r>
        <w:rPr>
          <w:bCs/>
          <w:sz w:val="24"/>
          <w:szCs w:val="24"/>
        </w:rPr>
        <w:t xml:space="preserve"> în clădiri deschise (şoproane) realizate integral din materiale clasa de reactie la foc </w:t>
      </w:r>
      <w:r>
        <w:rPr>
          <w:b/>
          <w:sz w:val="24"/>
          <w:szCs w:val="24"/>
        </w:rPr>
        <w:t>A1</w:t>
      </w:r>
      <w:r>
        <w:rPr>
          <w:bCs/>
          <w:sz w:val="24"/>
          <w:szCs w:val="24"/>
        </w:rPr>
        <w:t xml:space="preserve"> sau </w:t>
      </w:r>
      <w:r>
        <w:rPr>
          <w:b/>
          <w:sz w:val="24"/>
          <w:szCs w:val="24"/>
        </w:rPr>
        <w:t>A2-s1,d0</w:t>
      </w:r>
      <w:r>
        <w:rPr>
          <w:bCs/>
          <w:sz w:val="24"/>
          <w:szCs w:val="24"/>
        </w:rPr>
        <w:t xml:space="preserve"> ori pe platforme deschise, amplasate la distanţele minime de siguranţă precizate în </w:t>
      </w:r>
      <w:r>
        <w:rPr>
          <w:b/>
          <w:sz w:val="24"/>
          <w:szCs w:val="24"/>
        </w:rPr>
        <w:t>Art. 2.2.1.2</w:t>
      </w:r>
      <w:r>
        <w:rPr>
          <w:bCs/>
          <w:sz w:val="24"/>
          <w:szCs w:val="24"/>
        </w:rPr>
        <w:t xml:space="preserve">. şi </w:t>
      </w:r>
      <w:r>
        <w:rPr>
          <w:rStyle w:val="CaptionChar"/>
        </w:rPr>
        <w:fldChar w:fldCharType="begin"/>
      </w:r>
      <w:r>
        <w:rPr>
          <w:rStyle w:val="CaptionChar"/>
        </w:rPr>
        <w:instrText xml:space="preserve"> REF _Ref29888 \h  \* MERGEFORMAT </w:instrText>
      </w:r>
      <w:r>
        <w:rPr>
          <w:rStyle w:val="CaptionChar"/>
        </w:rPr>
      </w:r>
      <w:r>
        <w:rPr>
          <w:rStyle w:val="CaptionChar"/>
        </w:rPr>
        <w:fldChar w:fldCharType="separate"/>
      </w:r>
      <w:r>
        <w:rPr>
          <w:rStyle w:val="CaptionChar"/>
        </w:rPr>
        <w:t>Tabelul 4</w:t>
      </w:r>
      <w:r>
        <w:rPr>
          <w:rStyle w:val="CaptionChar"/>
        </w:rPr>
        <w:fldChar w:fldCharType="end"/>
      </w:r>
      <w:r>
        <w:rPr>
          <w:bCs/>
          <w:sz w:val="24"/>
          <w:szCs w:val="24"/>
        </w:rPr>
        <w:t xml:space="preserve"> (considerând postul de transformare amplasat pe platforma deschisă cu nivelul</w:t>
      </w:r>
      <w:r>
        <w:rPr>
          <w:b/>
          <w:sz w:val="24"/>
          <w:szCs w:val="24"/>
        </w:rPr>
        <w:t xml:space="preserve"> II</w:t>
      </w:r>
      <w:r>
        <w:rPr>
          <w:bCs/>
          <w:sz w:val="24"/>
          <w:szCs w:val="24"/>
        </w:rPr>
        <w:t xml:space="preserve"> de stabilitate la incendiu) dar minimum </w:t>
      </w:r>
      <w:r>
        <w:rPr>
          <w:b/>
          <w:sz w:val="24"/>
          <w:szCs w:val="24"/>
        </w:rPr>
        <w:t xml:space="preserve">6 m </w:t>
      </w:r>
      <w:r>
        <w:rPr>
          <w:bCs/>
          <w:sz w:val="24"/>
          <w:szCs w:val="24"/>
        </w:rPr>
        <w:t xml:space="preserve">față de clădire. </w:t>
      </w:r>
    </w:p>
    <w:p w14:paraId="6926B17C" w14:textId="77777777" w:rsidR="001C08A5" w:rsidRDefault="001C08A5">
      <w:pPr>
        <w:ind w:firstLine="720"/>
        <w:jc w:val="both"/>
        <w:rPr>
          <w:b/>
          <w:sz w:val="24"/>
          <w:szCs w:val="24"/>
        </w:rPr>
      </w:pPr>
    </w:p>
    <w:p w14:paraId="0C73DD75" w14:textId="77777777" w:rsidR="001C08A5" w:rsidRDefault="00000000">
      <w:pPr>
        <w:pStyle w:val="Heading4"/>
      </w:pPr>
      <w:bookmarkStart w:id="1910" w:name="_Toc31044"/>
      <w:bookmarkStart w:id="1911" w:name="_Toc16347"/>
      <w:bookmarkStart w:id="1912" w:name="_Toc22791"/>
      <w:bookmarkStart w:id="1913" w:name="_Toc162355243"/>
      <w:bookmarkStart w:id="1914" w:name="_Toc10525"/>
      <w:bookmarkStart w:id="1915" w:name="_Toc14274"/>
      <w:bookmarkStart w:id="1916" w:name="_Toc12995"/>
      <w:bookmarkStart w:id="1917" w:name="_Toc30861"/>
      <w:r>
        <w:t>2.4.15. Camere de pubele, compactoare și crematorii pentru deşeuri</w:t>
      </w:r>
      <w:bookmarkEnd w:id="1910"/>
      <w:bookmarkEnd w:id="1911"/>
      <w:bookmarkEnd w:id="1912"/>
      <w:bookmarkEnd w:id="1913"/>
      <w:bookmarkEnd w:id="1914"/>
      <w:bookmarkEnd w:id="1915"/>
      <w:bookmarkEnd w:id="1916"/>
      <w:bookmarkEnd w:id="1917"/>
    </w:p>
    <w:p w14:paraId="54038B33" w14:textId="77777777" w:rsidR="001C08A5" w:rsidRDefault="001C08A5">
      <w:pPr>
        <w:rPr>
          <w:sz w:val="24"/>
          <w:szCs w:val="24"/>
        </w:rPr>
      </w:pPr>
    </w:p>
    <w:p w14:paraId="26FFF820" w14:textId="77777777" w:rsidR="001C08A5" w:rsidRDefault="00000000">
      <w:pPr>
        <w:jc w:val="both"/>
        <w:rPr>
          <w:sz w:val="24"/>
          <w:szCs w:val="24"/>
        </w:rPr>
      </w:pPr>
      <w:r>
        <w:rPr>
          <w:b/>
          <w:sz w:val="24"/>
          <w:szCs w:val="24"/>
        </w:rPr>
        <w:tab/>
        <w:t>Art. 2.4.15.1. (1)</w:t>
      </w:r>
      <w:r>
        <w:rPr>
          <w:sz w:val="24"/>
          <w:szCs w:val="24"/>
        </w:rPr>
        <w:t xml:space="preserve"> Camerele de pubele, ale compactoarelor și ale crematoriilor pentru deşeuri uscate și umede, se separă faţă de restul construcţiei, cu elemente de construcţie verticale şi orizontale clasa de reacţie la foc </w:t>
      </w:r>
      <w:r>
        <w:rPr>
          <w:b/>
          <w:bCs/>
          <w:sz w:val="24"/>
          <w:szCs w:val="24"/>
        </w:rPr>
        <w:t>A1</w:t>
      </w:r>
      <w:r>
        <w:rPr>
          <w:sz w:val="24"/>
          <w:szCs w:val="24"/>
        </w:rPr>
        <w:t xml:space="preserve">, rezistente la foc minimum </w:t>
      </w:r>
      <w:r>
        <w:rPr>
          <w:b/>
          <w:sz w:val="24"/>
          <w:szCs w:val="24"/>
        </w:rPr>
        <w:t>EI/REI 180</w:t>
      </w:r>
      <w:r>
        <w:rPr>
          <w:sz w:val="24"/>
          <w:szCs w:val="24"/>
        </w:rPr>
        <w:t xml:space="preserve"> pentru pereţi şi </w:t>
      </w:r>
      <w:r>
        <w:rPr>
          <w:b/>
          <w:sz w:val="24"/>
          <w:szCs w:val="24"/>
        </w:rPr>
        <w:t>REI 90</w:t>
      </w:r>
      <w:r>
        <w:rPr>
          <w:sz w:val="24"/>
          <w:szCs w:val="24"/>
        </w:rPr>
        <w:t xml:space="preserve"> pentru planşee iar golul de acces din construcţie va fi protejat cu uşă rezistentă la foc și etanșă la fum  </w:t>
      </w:r>
      <w:r>
        <w:rPr>
          <w:b/>
          <w:sz w:val="24"/>
          <w:szCs w:val="24"/>
        </w:rPr>
        <w:t>EI</w:t>
      </w:r>
      <w:r>
        <w:rPr>
          <w:b/>
          <w:sz w:val="24"/>
          <w:szCs w:val="24"/>
          <w:vertAlign w:val="subscript"/>
        </w:rPr>
        <w:t>2</w:t>
      </w:r>
      <w:r>
        <w:rPr>
          <w:b/>
          <w:sz w:val="24"/>
          <w:szCs w:val="24"/>
        </w:rPr>
        <w:t>90-</w:t>
      </w:r>
      <w:r>
        <w:rPr>
          <w:b/>
          <w:sz w:val="24"/>
          <w:szCs w:val="24"/>
        </w:rPr>
        <w:lastRenderedPageBreak/>
        <w:t>C5S</w:t>
      </w:r>
      <w:r>
        <w:rPr>
          <w:b/>
          <w:bCs/>
          <w:sz w:val="24"/>
          <w:szCs w:val="24"/>
          <w:vertAlign w:val="subscript"/>
        </w:rPr>
        <w:t>200</w:t>
      </w:r>
      <w:r>
        <w:rPr>
          <w:b/>
          <w:bCs/>
          <w:sz w:val="24"/>
          <w:szCs w:val="24"/>
        </w:rPr>
        <w:t xml:space="preserve">. </w:t>
      </w:r>
      <w:r>
        <w:rPr>
          <w:sz w:val="24"/>
          <w:szCs w:val="24"/>
        </w:rPr>
        <w:t xml:space="preserve">Fac excepţie situaţiile precizate în normativ, în care comunicarea este admisă numai prin încăperi tampon protejate, alcătuite corespunzător şi ventilate în suprapresiune.  </w:t>
      </w:r>
    </w:p>
    <w:p w14:paraId="44DE99E0" w14:textId="77777777" w:rsidR="001C08A5" w:rsidRDefault="00000000">
      <w:pPr>
        <w:ind w:firstLine="720"/>
        <w:jc w:val="both"/>
        <w:rPr>
          <w:sz w:val="24"/>
          <w:szCs w:val="24"/>
        </w:rPr>
      </w:pPr>
      <w:r>
        <w:rPr>
          <w:b/>
          <w:sz w:val="24"/>
          <w:szCs w:val="24"/>
        </w:rPr>
        <w:t>(2)</w:t>
      </w:r>
      <w:r>
        <w:rPr>
          <w:sz w:val="24"/>
          <w:szCs w:val="24"/>
        </w:rPr>
        <w:t xml:space="preserve"> Camerele de pubele și camerele compactoarelor pentru deşeuri uscate și umede cu suprafața mai mare de </w:t>
      </w:r>
      <w:r>
        <w:rPr>
          <w:b/>
          <w:bCs/>
          <w:sz w:val="24"/>
          <w:szCs w:val="24"/>
        </w:rPr>
        <w:t>36</w:t>
      </w:r>
      <w:r>
        <w:rPr>
          <w:sz w:val="24"/>
          <w:szCs w:val="24"/>
        </w:rPr>
        <w:t xml:space="preserve"> </w:t>
      </w:r>
      <w:r>
        <w:rPr>
          <w:b/>
          <w:bCs/>
          <w:sz w:val="24"/>
          <w:szCs w:val="24"/>
        </w:rPr>
        <w:t>m</w:t>
      </w:r>
      <w:r>
        <w:rPr>
          <w:b/>
          <w:bCs/>
          <w:sz w:val="24"/>
          <w:szCs w:val="24"/>
          <w:vertAlign w:val="superscript"/>
        </w:rPr>
        <w:t>2</w:t>
      </w:r>
      <w:r>
        <w:rPr>
          <w:sz w:val="24"/>
          <w:szCs w:val="24"/>
        </w:rPr>
        <w:t xml:space="preserve">, care nu au ferestre spre exterior, vor avea asigurată evacuarea fumului şi gazelor fierbinţi în caz de incendiu prin tiraj natural-organizat (minimum </w:t>
      </w:r>
      <w:r>
        <w:rPr>
          <w:b/>
          <w:sz w:val="24"/>
          <w:szCs w:val="24"/>
        </w:rPr>
        <w:t>1%</w:t>
      </w:r>
      <w:r>
        <w:rPr>
          <w:sz w:val="24"/>
          <w:szCs w:val="24"/>
        </w:rPr>
        <w:t xml:space="preserve"> suprafaţă utilă/aerodinamică liberă din aria pardoselii încăperii pentru evacuarea fumului) sau prin ventilare mecanică, conform prevederilor normativului.</w:t>
      </w:r>
    </w:p>
    <w:p w14:paraId="2AC1ED55" w14:textId="77777777" w:rsidR="001C08A5" w:rsidRDefault="00000000">
      <w:pPr>
        <w:ind w:firstLine="720"/>
        <w:jc w:val="both"/>
        <w:rPr>
          <w:strike/>
          <w:sz w:val="24"/>
          <w:szCs w:val="24"/>
        </w:rPr>
      </w:pPr>
      <w:r>
        <w:rPr>
          <w:b/>
          <w:sz w:val="24"/>
          <w:szCs w:val="24"/>
        </w:rPr>
        <w:t>(3)</w:t>
      </w:r>
      <w:r>
        <w:rPr>
          <w:sz w:val="24"/>
          <w:szCs w:val="24"/>
        </w:rPr>
        <w:t xml:space="preserve"> La clădirile înalte și foarte înalte golurile de acces din clădire se prevăd cu încăperi tampon protejate, ventilate în suprapresiune, având uşi rezistente la foc și etanșe la fum minimum </w:t>
      </w:r>
      <w:r>
        <w:rPr>
          <w:b/>
          <w:sz w:val="24"/>
          <w:szCs w:val="24"/>
        </w:rPr>
        <w:t>EI</w:t>
      </w:r>
      <w:r>
        <w:rPr>
          <w:b/>
          <w:sz w:val="24"/>
          <w:szCs w:val="24"/>
          <w:vertAlign w:val="subscript"/>
        </w:rPr>
        <w:t>2</w:t>
      </w:r>
      <w:r>
        <w:rPr>
          <w:b/>
          <w:sz w:val="24"/>
          <w:szCs w:val="24"/>
        </w:rPr>
        <w:t xml:space="preserve"> 60-C3S</w:t>
      </w:r>
      <w:r>
        <w:rPr>
          <w:b/>
          <w:bCs/>
          <w:sz w:val="24"/>
          <w:szCs w:val="24"/>
          <w:vertAlign w:val="subscript"/>
        </w:rPr>
        <w:t>200</w:t>
      </w:r>
      <w:r>
        <w:rPr>
          <w:sz w:val="24"/>
          <w:szCs w:val="24"/>
        </w:rPr>
        <w:t xml:space="preserve">, iar camerele de pubele se separă de restul construcției cu pereţi rezistenţi la foc minimum </w:t>
      </w:r>
      <w:r>
        <w:rPr>
          <w:b/>
          <w:sz w:val="24"/>
          <w:szCs w:val="24"/>
        </w:rPr>
        <w:t>EI/REI 180</w:t>
      </w:r>
      <w:r>
        <w:rPr>
          <w:sz w:val="24"/>
          <w:szCs w:val="24"/>
        </w:rPr>
        <w:t xml:space="preserve"> şi planşee minimum </w:t>
      </w:r>
      <w:r>
        <w:rPr>
          <w:b/>
          <w:sz w:val="24"/>
          <w:szCs w:val="24"/>
        </w:rPr>
        <w:t>REI 120</w:t>
      </w:r>
      <w:r>
        <w:rPr>
          <w:sz w:val="24"/>
          <w:szCs w:val="24"/>
        </w:rPr>
        <w:t xml:space="preserve">, clasa de reacţie la foc </w:t>
      </w:r>
      <w:r>
        <w:rPr>
          <w:b/>
          <w:sz w:val="24"/>
          <w:szCs w:val="24"/>
        </w:rPr>
        <w:t>A1.</w:t>
      </w:r>
    </w:p>
    <w:p w14:paraId="6CBAB03D" w14:textId="77777777" w:rsidR="001C08A5" w:rsidRDefault="001C08A5">
      <w:pPr>
        <w:rPr>
          <w:sz w:val="24"/>
          <w:szCs w:val="24"/>
        </w:rPr>
      </w:pPr>
    </w:p>
    <w:p w14:paraId="5108169C" w14:textId="77777777" w:rsidR="001C08A5" w:rsidRDefault="00000000">
      <w:pPr>
        <w:jc w:val="both"/>
        <w:rPr>
          <w:sz w:val="24"/>
          <w:szCs w:val="24"/>
        </w:rPr>
      </w:pPr>
      <w:r>
        <w:rPr>
          <w:b/>
          <w:sz w:val="24"/>
          <w:szCs w:val="24"/>
        </w:rPr>
        <w:tab/>
        <w:t>Art. 2.4.15.2. (1)</w:t>
      </w:r>
      <w:r>
        <w:rPr>
          <w:sz w:val="24"/>
          <w:szCs w:val="24"/>
        </w:rPr>
        <w:t xml:space="preserve"> Tuburile pentru deşeuri sau pentru alte materiale (lenjerii etc,) ori substanţe se realizează din materiale clasa de reacţie la foc </w:t>
      </w:r>
      <w:r>
        <w:rPr>
          <w:b/>
          <w:sz w:val="24"/>
          <w:szCs w:val="24"/>
        </w:rPr>
        <w:t>A1</w:t>
      </w:r>
      <w:r>
        <w:rPr>
          <w:sz w:val="24"/>
          <w:szCs w:val="24"/>
        </w:rPr>
        <w:t xml:space="preserve"> sau </w:t>
      </w:r>
      <w:r>
        <w:rPr>
          <w:b/>
          <w:sz w:val="24"/>
          <w:szCs w:val="24"/>
        </w:rPr>
        <w:t>A2-s1d0</w:t>
      </w:r>
      <w:r>
        <w:rPr>
          <w:sz w:val="24"/>
          <w:szCs w:val="24"/>
        </w:rPr>
        <w:t xml:space="preserve">, iar accesul din nivelurile construcţiei se asigură din exterior (logii, balcoane, cursive, terase) sau în încăperi din interiorul clădirii realizate cu pereți rezistenți la foc </w:t>
      </w:r>
      <w:r>
        <w:rPr>
          <w:b/>
          <w:bCs/>
          <w:sz w:val="24"/>
          <w:szCs w:val="24"/>
        </w:rPr>
        <w:t>REI/EI 180</w:t>
      </w:r>
      <w:r>
        <w:rPr>
          <w:sz w:val="24"/>
          <w:szCs w:val="24"/>
        </w:rPr>
        <w:t xml:space="preserve"> și planșee </w:t>
      </w:r>
      <w:r>
        <w:rPr>
          <w:b/>
          <w:bCs/>
          <w:sz w:val="24"/>
          <w:szCs w:val="24"/>
        </w:rPr>
        <w:t>REI 90</w:t>
      </w:r>
      <w:r>
        <w:rPr>
          <w:sz w:val="24"/>
          <w:szCs w:val="24"/>
        </w:rPr>
        <w:t xml:space="preserve">, clasa de reacţie la foc </w:t>
      </w:r>
      <w:r>
        <w:rPr>
          <w:b/>
          <w:sz w:val="24"/>
          <w:szCs w:val="24"/>
        </w:rPr>
        <w:t>A1</w:t>
      </w:r>
      <w:r>
        <w:rPr>
          <w:sz w:val="24"/>
          <w:szCs w:val="24"/>
        </w:rPr>
        <w:t xml:space="preserve"> sau </w:t>
      </w:r>
      <w:r>
        <w:rPr>
          <w:b/>
          <w:sz w:val="24"/>
          <w:szCs w:val="24"/>
        </w:rPr>
        <w:t>A2-s1d0</w:t>
      </w:r>
      <w:r>
        <w:rPr>
          <w:sz w:val="24"/>
          <w:szCs w:val="24"/>
        </w:rPr>
        <w:t>.</w:t>
      </w:r>
    </w:p>
    <w:p w14:paraId="3E5841A7" w14:textId="77777777" w:rsidR="001C08A5" w:rsidRDefault="00000000">
      <w:pPr>
        <w:ind w:firstLine="720"/>
        <w:jc w:val="both"/>
        <w:rPr>
          <w:b/>
          <w:bCs/>
          <w:sz w:val="24"/>
          <w:szCs w:val="24"/>
        </w:rPr>
      </w:pPr>
      <w:r>
        <w:rPr>
          <w:b/>
          <w:bCs/>
          <w:sz w:val="24"/>
          <w:szCs w:val="24"/>
        </w:rPr>
        <w:t>(2)</w:t>
      </w:r>
      <w:r>
        <w:rPr>
          <w:sz w:val="24"/>
          <w:szCs w:val="24"/>
        </w:rPr>
        <w:t xml:space="preserve"> La clădirile cu regim de înălțime obișnuit golurile de acces din clădire la încăperile pentru deșeuri sau pentru alte materiale (lenjerii etc,) ori substanţe cu tubulaturi se protejează cu uşi rezistente la foc și etanșe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 xml:space="preserve">200 </w:t>
      </w:r>
      <w:r>
        <w:rPr>
          <w:sz w:val="24"/>
          <w:szCs w:val="24"/>
        </w:rPr>
        <w:t xml:space="preserve">în suprateran, respectiv uşi rezistente la foc și etanșe la fum </w:t>
      </w:r>
      <w:r>
        <w:rPr>
          <w:b/>
          <w:sz w:val="24"/>
          <w:szCs w:val="24"/>
        </w:rPr>
        <w:t>EI</w:t>
      </w:r>
      <w:r>
        <w:rPr>
          <w:b/>
          <w:sz w:val="24"/>
          <w:szCs w:val="24"/>
          <w:vertAlign w:val="subscript"/>
        </w:rPr>
        <w:t>2</w:t>
      </w:r>
      <w:r>
        <w:rPr>
          <w:b/>
          <w:sz w:val="24"/>
          <w:szCs w:val="24"/>
        </w:rPr>
        <w:t xml:space="preserve"> 120-C5S</w:t>
      </w:r>
      <w:r>
        <w:rPr>
          <w:b/>
          <w:bCs/>
          <w:sz w:val="24"/>
          <w:szCs w:val="24"/>
          <w:vertAlign w:val="subscript"/>
        </w:rPr>
        <w:t xml:space="preserve">200 , </w:t>
      </w:r>
      <w:r>
        <w:rPr>
          <w:sz w:val="24"/>
          <w:szCs w:val="24"/>
        </w:rPr>
        <w:t>în subteran</w:t>
      </w:r>
      <w:r>
        <w:rPr>
          <w:b/>
          <w:bCs/>
          <w:sz w:val="24"/>
          <w:szCs w:val="24"/>
          <w:vertAlign w:val="subscript"/>
        </w:rPr>
        <w:t>.</w:t>
      </w:r>
    </w:p>
    <w:p w14:paraId="5ADB7B7C" w14:textId="77777777" w:rsidR="001C08A5" w:rsidRDefault="00000000">
      <w:pPr>
        <w:ind w:firstLine="720"/>
        <w:jc w:val="both"/>
        <w:rPr>
          <w:b/>
          <w:bCs/>
          <w:sz w:val="24"/>
          <w:szCs w:val="24"/>
        </w:rPr>
      </w:pPr>
      <w:r>
        <w:rPr>
          <w:b/>
          <w:sz w:val="24"/>
          <w:szCs w:val="24"/>
        </w:rPr>
        <w:t xml:space="preserve">(3) </w:t>
      </w:r>
      <w:r>
        <w:rPr>
          <w:sz w:val="24"/>
          <w:szCs w:val="24"/>
        </w:rPr>
        <w:t xml:space="preserve">La clădirile înalte și foarte înalte precum și la clădirile cu sali aglomerate, golurile de acces din clădire la încăperile pentru deșeuri sau pentru alte materiale (lenjerii etc,) cu tubulaturi se protejează cu încăperi tampon, ventilate în suprapresiune, prevăzute cu uşi rezistente la foc și etanșe la fum </w:t>
      </w:r>
      <w:r>
        <w:rPr>
          <w:b/>
          <w:sz w:val="24"/>
          <w:szCs w:val="24"/>
        </w:rPr>
        <w:t>EI</w:t>
      </w:r>
      <w:r>
        <w:rPr>
          <w:b/>
          <w:sz w:val="24"/>
          <w:szCs w:val="24"/>
          <w:vertAlign w:val="subscript"/>
        </w:rPr>
        <w:t>2</w:t>
      </w:r>
      <w:r>
        <w:rPr>
          <w:b/>
          <w:sz w:val="24"/>
          <w:szCs w:val="24"/>
        </w:rPr>
        <w:t xml:space="preserve"> 60-C5S</w:t>
      </w:r>
      <w:r>
        <w:rPr>
          <w:b/>
          <w:bCs/>
          <w:sz w:val="24"/>
          <w:szCs w:val="24"/>
          <w:vertAlign w:val="subscript"/>
        </w:rPr>
        <w:t xml:space="preserve">200, </w:t>
      </w:r>
      <w:r>
        <w:rPr>
          <w:sz w:val="24"/>
          <w:szCs w:val="24"/>
        </w:rPr>
        <w:t xml:space="preserve">separate faţă de construcţie cu pereţi rezistenţi la foc minimum </w:t>
      </w:r>
      <w:r>
        <w:rPr>
          <w:b/>
          <w:sz w:val="24"/>
          <w:szCs w:val="24"/>
        </w:rPr>
        <w:t>EI/REI 60</w:t>
      </w:r>
      <w:r>
        <w:rPr>
          <w:sz w:val="24"/>
          <w:szCs w:val="24"/>
        </w:rPr>
        <w:t xml:space="preserve"> și planşee minimum </w:t>
      </w:r>
      <w:r>
        <w:rPr>
          <w:b/>
          <w:sz w:val="24"/>
          <w:szCs w:val="24"/>
        </w:rPr>
        <w:t>REI 60</w:t>
      </w:r>
      <w:r>
        <w:rPr>
          <w:sz w:val="24"/>
          <w:szCs w:val="24"/>
        </w:rPr>
        <w:t xml:space="preserve">, clasa de reacţie la foc </w:t>
      </w:r>
      <w:r>
        <w:rPr>
          <w:b/>
          <w:sz w:val="24"/>
          <w:szCs w:val="24"/>
        </w:rPr>
        <w:t>A1</w:t>
      </w:r>
      <w:r>
        <w:rPr>
          <w:sz w:val="24"/>
          <w:szCs w:val="24"/>
        </w:rPr>
        <w:t xml:space="preserve"> sau </w:t>
      </w:r>
      <w:r>
        <w:rPr>
          <w:b/>
          <w:sz w:val="24"/>
          <w:szCs w:val="24"/>
        </w:rPr>
        <w:t>A2-s1d0</w:t>
      </w:r>
      <w:r>
        <w:rPr>
          <w:b/>
          <w:bCs/>
          <w:sz w:val="24"/>
          <w:szCs w:val="24"/>
        </w:rPr>
        <w:t xml:space="preserve"> </w:t>
      </w:r>
      <w:r>
        <w:rPr>
          <w:sz w:val="24"/>
          <w:szCs w:val="24"/>
        </w:rPr>
        <w:t xml:space="preserve">în suprateran, respectiv cu uşi rezistente la foc și etanșe la fum minim </w:t>
      </w:r>
      <w:r>
        <w:rPr>
          <w:b/>
          <w:sz w:val="24"/>
          <w:szCs w:val="24"/>
        </w:rPr>
        <w:t>EI</w:t>
      </w:r>
      <w:r>
        <w:rPr>
          <w:b/>
          <w:sz w:val="24"/>
          <w:szCs w:val="24"/>
          <w:vertAlign w:val="subscript"/>
        </w:rPr>
        <w:t>2</w:t>
      </w:r>
      <w:r>
        <w:rPr>
          <w:b/>
          <w:sz w:val="24"/>
          <w:szCs w:val="24"/>
        </w:rPr>
        <w:t xml:space="preserve"> 90-C5S</w:t>
      </w:r>
      <w:r>
        <w:rPr>
          <w:b/>
          <w:bCs/>
          <w:sz w:val="24"/>
          <w:szCs w:val="24"/>
          <w:vertAlign w:val="subscript"/>
        </w:rPr>
        <w:t xml:space="preserve">200, </w:t>
      </w:r>
      <w:r>
        <w:rPr>
          <w:sz w:val="24"/>
          <w:szCs w:val="24"/>
        </w:rPr>
        <w:t xml:space="preserve">separate faţă de construcţie cu pereţi rezistenţi la foc minimum </w:t>
      </w:r>
      <w:r>
        <w:rPr>
          <w:b/>
          <w:sz w:val="24"/>
          <w:szCs w:val="24"/>
        </w:rPr>
        <w:t>EI/REI 120</w:t>
      </w:r>
      <w:r>
        <w:rPr>
          <w:sz w:val="24"/>
          <w:szCs w:val="24"/>
        </w:rPr>
        <w:t xml:space="preserve"> și planşee minimum </w:t>
      </w:r>
      <w:r>
        <w:rPr>
          <w:b/>
          <w:sz w:val="24"/>
          <w:szCs w:val="24"/>
        </w:rPr>
        <w:t>REI 90</w:t>
      </w:r>
      <w:r>
        <w:rPr>
          <w:sz w:val="24"/>
          <w:szCs w:val="24"/>
        </w:rPr>
        <w:t xml:space="preserve">, clasa de reacţie la foc </w:t>
      </w:r>
      <w:r>
        <w:rPr>
          <w:b/>
          <w:sz w:val="24"/>
          <w:szCs w:val="24"/>
        </w:rPr>
        <w:t>A1</w:t>
      </w:r>
      <w:r>
        <w:rPr>
          <w:sz w:val="24"/>
          <w:szCs w:val="24"/>
        </w:rPr>
        <w:t xml:space="preserve"> sau </w:t>
      </w:r>
      <w:r>
        <w:rPr>
          <w:b/>
          <w:sz w:val="24"/>
          <w:szCs w:val="24"/>
        </w:rPr>
        <w:t>A2-s1d0</w:t>
      </w:r>
      <w:r>
        <w:rPr>
          <w:sz w:val="24"/>
          <w:szCs w:val="24"/>
        </w:rPr>
        <w:t xml:space="preserve"> în subteran</w:t>
      </w:r>
      <w:r>
        <w:rPr>
          <w:b/>
          <w:bCs/>
          <w:sz w:val="24"/>
          <w:szCs w:val="24"/>
        </w:rPr>
        <w:t xml:space="preserve">. </w:t>
      </w:r>
    </w:p>
    <w:p w14:paraId="311D1964" w14:textId="77777777" w:rsidR="001C08A5" w:rsidRDefault="00000000">
      <w:pPr>
        <w:pStyle w:val="Heading4"/>
      </w:pPr>
      <w:bookmarkStart w:id="1918" w:name="_Toc13188"/>
      <w:bookmarkStart w:id="1919" w:name="_Toc21048"/>
      <w:bookmarkStart w:id="1920" w:name="_Toc162355244"/>
      <w:bookmarkStart w:id="1921" w:name="_Toc29242"/>
      <w:bookmarkStart w:id="1922" w:name="_Toc18099"/>
      <w:bookmarkStart w:id="1923" w:name="_Toc5250"/>
      <w:bookmarkStart w:id="1924" w:name="_Toc28859"/>
      <w:bookmarkStart w:id="1925" w:name="_Toc21862"/>
      <w:r>
        <w:t>2.4.16. Încăperi de depozitare</w:t>
      </w:r>
      <w:bookmarkEnd w:id="1918"/>
      <w:bookmarkEnd w:id="1919"/>
      <w:bookmarkEnd w:id="1920"/>
      <w:bookmarkEnd w:id="1921"/>
      <w:bookmarkEnd w:id="1922"/>
      <w:bookmarkEnd w:id="1923"/>
      <w:bookmarkEnd w:id="1924"/>
      <w:bookmarkEnd w:id="1925"/>
    </w:p>
    <w:p w14:paraId="4463E6E5" w14:textId="77777777" w:rsidR="001C08A5" w:rsidRDefault="001C08A5">
      <w:pPr>
        <w:jc w:val="both"/>
        <w:rPr>
          <w:sz w:val="24"/>
          <w:szCs w:val="24"/>
        </w:rPr>
      </w:pPr>
    </w:p>
    <w:p w14:paraId="479DC9AA" w14:textId="77777777" w:rsidR="001C08A5" w:rsidRDefault="00000000">
      <w:pPr>
        <w:ind w:firstLine="709"/>
        <w:jc w:val="both"/>
        <w:rPr>
          <w:sz w:val="24"/>
          <w:szCs w:val="24"/>
        </w:rPr>
      </w:pPr>
      <w:r>
        <w:rPr>
          <w:b/>
          <w:sz w:val="24"/>
          <w:szCs w:val="24"/>
        </w:rPr>
        <w:t xml:space="preserve">Art. 2.4.16.1. (1) </w:t>
      </w:r>
      <w:r>
        <w:rPr>
          <w:sz w:val="24"/>
          <w:szCs w:val="24"/>
        </w:rPr>
        <w:t>Încăperile de depozitare a materialelor și substanţelor combustibile pot fi înglobate în construcţii civile sau de producţie atunci când din considerente funcţionale o impun, dacă au asigurate condiţiile și măsurile de securitate la incendiu stabilite în normativ și în reglementările tehnice specifice aplicabile.</w:t>
      </w:r>
    </w:p>
    <w:p w14:paraId="0B4E5CDF" w14:textId="77777777" w:rsidR="001C08A5" w:rsidRDefault="00000000">
      <w:pPr>
        <w:ind w:firstLine="720"/>
        <w:jc w:val="both"/>
        <w:rPr>
          <w:sz w:val="24"/>
          <w:szCs w:val="24"/>
        </w:rPr>
      </w:pPr>
      <w:r>
        <w:rPr>
          <w:b/>
          <w:sz w:val="24"/>
          <w:szCs w:val="24"/>
        </w:rPr>
        <w:t xml:space="preserve">(2) </w:t>
      </w:r>
      <w:r>
        <w:rPr>
          <w:sz w:val="24"/>
          <w:szCs w:val="24"/>
        </w:rPr>
        <w:t xml:space="preserve">În construcţiile supraterane sau subterane civile nu este admisă manipularea, prelucrarea sau depozitarea materialelor și substanţelor cu risc de explozie volumetrică, precum și amplasarea atelierelor în care se utilizează astfel de materiale, cu excepţia celor din laboratoare, farmacii, spitale, etc.. </w:t>
      </w:r>
    </w:p>
    <w:p w14:paraId="584D8FE2" w14:textId="77777777" w:rsidR="001C08A5" w:rsidRDefault="001C08A5">
      <w:pPr>
        <w:jc w:val="both"/>
        <w:rPr>
          <w:strike/>
          <w:sz w:val="24"/>
          <w:szCs w:val="24"/>
          <w:lang w:eastAsia="ro-RO"/>
        </w:rPr>
      </w:pPr>
    </w:p>
    <w:p w14:paraId="3295A5C6" w14:textId="77777777" w:rsidR="001C08A5" w:rsidRDefault="00000000">
      <w:pPr>
        <w:ind w:firstLine="709"/>
        <w:jc w:val="both"/>
        <w:rPr>
          <w:b/>
          <w:sz w:val="24"/>
          <w:szCs w:val="24"/>
        </w:rPr>
      </w:pPr>
      <w:r>
        <w:rPr>
          <w:b/>
          <w:sz w:val="24"/>
          <w:szCs w:val="24"/>
        </w:rPr>
        <w:t xml:space="preserve">Art. 2.4.16.2. (1) </w:t>
      </w:r>
      <w:r>
        <w:rPr>
          <w:sz w:val="24"/>
          <w:szCs w:val="24"/>
        </w:rPr>
        <w:t>Încăperile de depozitare a materialelor și substanţelor combustibile cu aria utilă mai mare de</w:t>
      </w:r>
      <w:r>
        <w:rPr>
          <w:b/>
          <w:sz w:val="24"/>
          <w:szCs w:val="24"/>
        </w:rPr>
        <w:t xml:space="preserve"> 36 m²</w:t>
      </w:r>
      <w:r>
        <w:rPr>
          <w:sz w:val="24"/>
          <w:szCs w:val="24"/>
        </w:rPr>
        <w:t xml:space="preserve"> înglobate în construcţii civile se separă obligatoriu faţă de restul construcţiei, </w:t>
      </w:r>
      <w:r>
        <w:rPr>
          <w:bCs/>
          <w:sz w:val="24"/>
          <w:szCs w:val="24"/>
        </w:rPr>
        <w:t xml:space="preserve">prin pereţi și planşee </w:t>
      </w:r>
      <w:r>
        <w:rPr>
          <w:b/>
          <w:sz w:val="24"/>
          <w:szCs w:val="24"/>
        </w:rPr>
        <w:t>A1</w:t>
      </w:r>
      <w:r>
        <w:rPr>
          <w:sz w:val="24"/>
          <w:szCs w:val="24"/>
        </w:rPr>
        <w:t xml:space="preserve"> sau </w:t>
      </w:r>
      <w:r>
        <w:rPr>
          <w:b/>
          <w:sz w:val="24"/>
          <w:szCs w:val="24"/>
        </w:rPr>
        <w:t>A2-s1d0</w:t>
      </w:r>
      <w:r>
        <w:rPr>
          <w:sz w:val="24"/>
          <w:szCs w:val="24"/>
        </w:rPr>
        <w:t xml:space="preserve">, conform prevederilor din </w:t>
      </w:r>
      <w:r>
        <w:rPr>
          <w:rStyle w:val="CaptionChar"/>
        </w:rPr>
        <w:fldChar w:fldCharType="begin"/>
      </w:r>
      <w:r>
        <w:rPr>
          <w:rStyle w:val="CaptionChar"/>
        </w:rPr>
        <w:instrText xml:space="preserve"> REF _Ref1328 \h </w:instrText>
      </w:r>
      <w:r>
        <w:rPr>
          <w:rStyle w:val="CaptionChar"/>
        </w:rPr>
      </w:r>
      <w:r>
        <w:rPr>
          <w:rStyle w:val="CaptionChar"/>
        </w:rPr>
        <w:fldChar w:fldCharType="separate"/>
      </w:r>
      <w:r>
        <w:t>Tabelul 21</w:t>
      </w:r>
      <w:r>
        <w:rPr>
          <w:rStyle w:val="CaptionChar"/>
        </w:rPr>
        <w:fldChar w:fldCharType="end"/>
      </w:r>
      <w:r>
        <w:rPr>
          <w:b/>
          <w:sz w:val="24"/>
          <w:szCs w:val="24"/>
        </w:rPr>
        <w:t>.</w:t>
      </w:r>
    </w:p>
    <w:p w14:paraId="32055A26" w14:textId="77777777" w:rsidR="001C08A5" w:rsidRDefault="001C08A5">
      <w:pPr>
        <w:jc w:val="both"/>
        <w:rPr>
          <w:sz w:val="24"/>
          <w:szCs w:val="24"/>
        </w:rPr>
      </w:pPr>
    </w:p>
    <w:p w14:paraId="126026A5" w14:textId="77777777" w:rsidR="001C08A5" w:rsidRDefault="00000000">
      <w:pPr>
        <w:pStyle w:val="Captiontabel"/>
      </w:pPr>
      <w:bookmarkStart w:id="1926" w:name="_Ref1328"/>
      <w:bookmarkStart w:id="1927" w:name="_Ref29850"/>
      <w:bookmarkStart w:id="1928" w:name="_Toc162360071"/>
      <w:r>
        <w:t xml:space="preserve">Tabelul </w:t>
      </w:r>
      <w:r>
        <w:fldChar w:fldCharType="begin"/>
      </w:r>
      <w:r>
        <w:instrText xml:space="preserve"> SEQ Tabelul \* ARABIC </w:instrText>
      </w:r>
      <w:r>
        <w:fldChar w:fldCharType="separate"/>
      </w:r>
      <w:r>
        <w:t>21</w:t>
      </w:r>
      <w:r>
        <w:fldChar w:fldCharType="end"/>
      </w:r>
      <w:bookmarkStart w:id="1929" w:name="_Toc4481"/>
      <w:bookmarkStart w:id="1930" w:name="_Toc7884"/>
      <w:bookmarkStart w:id="1931" w:name="_Toc21680"/>
      <w:bookmarkStart w:id="1932" w:name="_Toc4086"/>
      <w:bookmarkStart w:id="1933" w:name="_Toc2932"/>
      <w:bookmarkStart w:id="1934" w:name="_Toc21111"/>
      <w:bookmarkStart w:id="1935" w:name="_Toc256"/>
      <w:bookmarkStart w:id="1936" w:name="_Toc19861"/>
      <w:bookmarkStart w:id="1937" w:name="_Toc4065"/>
      <w:bookmarkStart w:id="1938" w:name="_Toc6482"/>
      <w:bookmarkStart w:id="1939" w:name="_Toc893"/>
      <w:bookmarkStart w:id="1940" w:name="_Toc12618"/>
      <w:bookmarkStart w:id="1941" w:name="_Toc28243"/>
      <w:bookmarkStart w:id="1942" w:name="_Toc6504"/>
      <w:bookmarkStart w:id="1943" w:name="_Toc27734"/>
      <w:bookmarkStart w:id="1944" w:name="_Toc14003"/>
      <w:bookmarkStart w:id="1945" w:name="_Toc15891"/>
      <w:bookmarkStart w:id="1946" w:name="_Toc13276"/>
      <w:bookmarkStart w:id="1947" w:name="_Toc17404"/>
      <w:bookmarkEnd w:id="1926"/>
      <w:r>
        <w:t>: Condiţii minime de separare a încăperilor de depozitare &gt; 36 m</w:t>
      </w:r>
      <w:bookmarkEnd w:id="1927"/>
      <w:r>
        <w:rPr>
          <w:vertAlign w:val="superscript"/>
        </w:rPr>
        <w:t>2</w:t>
      </w:r>
      <w:bookmarkEnd w:id="1929"/>
      <w:bookmarkEnd w:id="1930"/>
      <w:bookmarkEnd w:id="1931"/>
      <w:bookmarkEnd w:id="1932"/>
      <w:bookmarkEnd w:id="1933"/>
      <w:r>
        <w:t xml:space="preserve"> din construcții civile</w:t>
      </w:r>
      <w:bookmarkEnd w:id="1928"/>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p>
    <w:p w14:paraId="0DB73C52" w14:textId="77777777" w:rsidR="001C08A5" w:rsidRDefault="001C08A5">
      <w:pPr>
        <w:jc w:val="both"/>
        <w:rPr>
          <w:sz w:val="24"/>
          <w:szCs w:val="24"/>
        </w:rPr>
      </w:pPr>
    </w:p>
    <w:tbl>
      <w:tblPr>
        <w:tblW w:w="498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5"/>
        <w:gridCol w:w="973"/>
        <w:gridCol w:w="1772"/>
        <w:gridCol w:w="1802"/>
        <w:gridCol w:w="2607"/>
        <w:gridCol w:w="1927"/>
      </w:tblGrid>
      <w:tr w:rsidR="001C08A5" w14:paraId="1225ADF2" w14:textId="77777777">
        <w:trPr>
          <w:tblHeader/>
        </w:trPr>
        <w:tc>
          <w:tcPr>
            <w:tcW w:w="273" w:type="pct"/>
            <w:vMerge w:val="restart"/>
            <w:shd w:val="clear" w:color="auto" w:fill="BEBEBE"/>
          </w:tcPr>
          <w:p w14:paraId="4991C7FE" w14:textId="77777777" w:rsidR="001C08A5" w:rsidRDefault="00000000">
            <w:pPr>
              <w:rPr>
                <w:b/>
                <w:i/>
                <w:iCs/>
                <w:sz w:val="22"/>
                <w:szCs w:val="22"/>
              </w:rPr>
            </w:pPr>
            <w:r>
              <w:rPr>
                <w:b/>
                <w:i/>
                <w:iCs/>
                <w:sz w:val="22"/>
                <w:szCs w:val="22"/>
              </w:rPr>
              <w:t>Niv.</w:t>
            </w:r>
          </w:p>
          <w:p w14:paraId="78B22992" w14:textId="77777777" w:rsidR="001C08A5" w:rsidRDefault="00000000">
            <w:pPr>
              <w:rPr>
                <w:b/>
                <w:i/>
                <w:iCs/>
                <w:sz w:val="22"/>
                <w:szCs w:val="22"/>
              </w:rPr>
            </w:pPr>
            <w:r>
              <w:rPr>
                <w:b/>
                <w:i/>
                <w:iCs/>
                <w:sz w:val="22"/>
                <w:szCs w:val="22"/>
              </w:rPr>
              <w:t>stab.</w:t>
            </w:r>
          </w:p>
        </w:tc>
        <w:tc>
          <w:tcPr>
            <w:tcW w:w="506" w:type="pct"/>
            <w:vMerge w:val="restart"/>
            <w:shd w:val="clear" w:color="auto" w:fill="BEBEBE"/>
          </w:tcPr>
          <w:p w14:paraId="65F1BF1F" w14:textId="77777777" w:rsidR="001C08A5" w:rsidRDefault="00000000">
            <w:pPr>
              <w:rPr>
                <w:b/>
                <w:i/>
                <w:iCs/>
                <w:sz w:val="22"/>
                <w:szCs w:val="22"/>
              </w:rPr>
            </w:pPr>
            <w:r>
              <w:rPr>
                <w:b/>
                <w:i/>
                <w:iCs/>
                <w:sz w:val="22"/>
                <w:szCs w:val="22"/>
              </w:rPr>
              <w:t>Elemente de constructie</w:t>
            </w:r>
          </w:p>
        </w:tc>
        <w:tc>
          <w:tcPr>
            <w:tcW w:w="4220" w:type="pct"/>
            <w:gridSpan w:val="4"/>
            <w:shd w:val="clear" w:color="auto" w:fill="BEBEBE"/>
          </w:tcPr>
          <w:p w14:paraId="063DF67C" w14:textId="77777777" w:rsidR="001C08A5" w:rsidRDefault="00000000">
            <w:pPr>
              <w:jc w:val="center"/>
              <w:rPr>
                <w:b/>
                <w:i/>
                <w:iCs/>
                <w:caps/>
                <w:sz w:val="22"/>
                <w:szCs w:val="22"/>
                <w:lang w:eastAsia="ro-RO"/>
              </w:rPr>
            </w:pPr>
            <w:r>
              <w:rPr>
                <w:b/>
                <w:i/>
                <w:iCs/>
                <w:caps/>
                <w:sz w:val="22"/>
                <w:szCs w:val="22"/>
                <w:lang w:eastAsia="ro-RO"/>
              </w:rPr>
              <w:t>densitatea de sarcină termică</w:t>
            </w:r>
          </w:p>
        </w:tc>
      </w:tr>
      <w:tr w:rsidR="001C08A5" w14:paraId="357A0FC9" w14:textId="77777777">
        <w:trPr>
          <w:tblHeader/>
        </w:trPr>
        <w:tc>
          <w:tcPr>
            <w:tcW w:w="273" w:type="pct"/>
            <w:vMerge/>
            <w:shd w:val="clear" w:color="auto" w:fill="BEBEBE"/>
          </w:tcPr>
          <w:p w14:paraId="4A8EC78C" w14:textId="77777777" w:rsidR="001C08A5" w:rsidRDefault="001C08A5">
            <w:pPr>
              <w:rPr>
                <w:i/>
                <w:iCs/>
                <w:sz w:val="22"/>
                <w:szCs w:val="22"/>
              </w:rPr>
            </w:pPr>
          </w:p>
        </w:tc>
        <w:tc>
          <w:tcPr>
            <w:tcW w:w="506" w:type="pct"/>
            <w:vMerge/>
            <w:shd w:val="clear" w:color="auto" w:fill="BEBEBE"/>
          </w:tcPr>
          <w:p w14:paraId="628A2D42" w14:textId="77777777" w:rsidR="001C08A5" w:rsidRDefault="001C08A5">
            <w:pPr>
              <w:rPr>
                <w:b/>
                <w:i/>
                <w:iCs/>
                <w:sz w:val="22"/>
                <w:szCs w:val="22"/>
              </w:rPr>
            </w:pPr>
          </w:p>
        </w:tc>
        <w:tc>
          <w:tcPr>
            <w:tcW w:w="922" w:type="pct"/>
            <w:shd w:val="clear" w:color="auto" w:fill="BEBEBE"/>
          </w:tcPr>
          <w:p w14:paraId="69F7304A" w14:textId="77777777" w:rsidR="001C08A5" w:rsidRDefault="00000000">
            <w:pPr>
              <w:rPr>
                <w:b/>
                <w:i/>
                <w:iCs/>
                <w:sz w:val="22"/>
                <w:szCs w:val="22"/>
              </w:rPr>
            </w:pPr>
            <w:r>
              <w:rPr>
                <w:b/>
                <w:i/>
                <w:iCs/>
                <w:sz w:val="22"/>
                <w:szCs w:val="22"/>
                <w:lang w:eastAsia="ro-RO"/>
              </w:rPr>
              <w:t>q&lt; 420 MJ/m</w:t>
            </w:r>
            <w:r>
              <w:rPr>
                <w:b/>
                <w:i/>
                <w:iCs/>
                <w:sz w:val="22"/>
                <w:szCs w:val="22"/>
                <w:vertAlign w:val="superscript"/>
                <w:lang w:eastAsia="ro-RO"/>
              </w:rPr>
              <w:t>2</w:t>
            </w:r>
          </w:p>
        </w:tc>
        <w:tc>
          <w:tcPr>
            <w:tcW w:w="938" w:type="pct"/>
            <w:shd w:val="clear" w:color="auto" w:fill="BEBEBE"/>
          </w:tcPr>
          <w:p w14:paraId="4B0475A0" w14:textId="77777777" w:rsidR="001C08A5" w:rsidRDefault="00000000">
            <w:pPr>
              <w:rPr>
                <w:i/>
                <w:iCs/>
                <w:sz w:val="22"/>
                <w:szCs w:val="22"/>
              </w:rPr>
            </w:pPr>
            <w:r>
              <w:rPr>
                <w:b/>
                <w:i/>
                <w:iCs/>
                <w:sz w:val="22"/>
                <w:szCs w:val="22"/>
                <w:lang w:eastAsia="ro-RO"/>
              </w:rPr>
              <w:t>420 MJ/m</w:t>
            </w:r>
            <w:r>
              <w:rPr>
                <w:b/>
                <w:i/>
                <w:iCs/>
                <w:sz w:val="22"/>
                <w:szCs w:val="22"/>
                <w:vertAlign w:val="superscript"/>
                <w:lang w:eastAsia="ro-RO"/>
              </w:rPr>
              <w:t>2</w:t>
            </w:r>
            <w:r>
              <w:rPr>
                <w:b/>
                <w:i/>
                <w:iCs/>
                <w:sz w:val="22"/>
                <w:szCs w:val="22"/>
                <w:lang w:eastAsia="ro-RO"/>
              </w:rPr>
              <w:t>≤q&lt; 840 MJ/m</w:t>
            </w:r>
            <w:r>
              <w:rPr>
                <w:b/>
                <w:i/>
                <w:iCs/>
                <w:sz w:val="22"/>
                <w:szCs w:val="22"/>
                <w:vertAlign w:val="superscript"/>
                <w:lang w:eastAsia="ro-RO"/>
              </w:rPr>
              <w:t>2</w:t>
            </w:r>
          </w:p>
        </w:tc>
        <w:tc>
          <w:tcPr>
            <w:tcW w:w="1357" w:type="pct"/>
            <w:shd w:val="clear" w:color="auto" w:fill="BEBEBE"/>
          </w:tcPr>
          <w:p w14:paraId="052166CD" w14:textId="77777777" w:rsidR="001C08A5" w:rsidRDefault="00000000">
            <w:pPr>
              <w:rPr>
                <w:i/>
                <w:iCs/>
                <w:sz w:val="22"/>
                <w:szCs w:val="22"/>
              </w:rPr>
            </w:pPr>
            <w:r>
              <w:rPr>
                <w:b/>
                <w:i/>
                <w:iCs/>
                <w:sz w:val="22"/>
                <w:szCs w:val="22"/>
                <w:lang w:eastAsia="ro-RO"/>
              </w:rPr>
              <w:t>840 MJ/m</w:t>
            </w:r>
            <w:r>
              <w:rPr>
                <w:b/>
                <w:i/>
                <w:iCs/>
                <w:sz w:val="22"/>
                <w:szCs w:val="22"/>
                <w:vertAlign w:val="superscript"/>
                <w:lang w:eastAsia="ro-RO"/>
              </w:rPr>
              <w:t>2</w:t>
            </w:r>
            <w:r>
              <w:rPr>
                <w:b/>
                <w:i/>
                <w:iCs/>
                <w:sz w:val="22"/>
                <w:szCs w:val="22"/>
                <w:lang w:eastAsia="ro-RO"/>
              </w:rPr>
              <w:t>≤q&lt; 1680 MJ/m</w:t>
            </w:r>
            <w:r>
              <w:rPr>
                <w:b/>
                <w:i/>
                <w:iCs/>
                <w:sz w:val="22"/>
                <w:szCs w:val="22"/>
                <w:vertAlign w:val="superscript"/>
                <w:lang w:eastAsia="ro-RO"/>
              </w:rPr>
              <w:t>2</w:t>
            </w:r>
          </w:p>
        </w:tc>
        <w:tc>
          <w:tcPr>
            <w:tcW w:w="1001" w:type="pct"/>
            <w:shd w:val="clear" w:color="auto" w:fill="BEBEBE"/>
          </w:tcPr>
          <w:p w14:paraId="6D717A9F" w14:textId="77777777" w:rsidR="001C08A5" w:rsidRDefault="00000000">
            <w:pPr>
              <w:rPr>
                <w:b/>
                <w:i/>
                <w:iCs/>
                <w:sz w:val="22"/>
                <w:szCs w:val="22"/>
                <w:lang w:eastAsia="ro-RO"/>
              </w:rPr>
            </w:pPr>
            <w:r>
              <w:rPr>
                <w:b/>
                <w:i/>
                <w:iCs/>
                <w:sz w:val="22"/>
                <w:szCs w:val="22"/>
                <w:lang w:eastAsia="ro-RO"/>
              </w:rPr>
              <w:t>≥1680 MJ/m</w:t>
            </w:r>
            <w:r>
              <w:rPr>
                <w:b/>
                <w:i/>
                <w:iCs/>
                <w:sz w:val="22"/>
                <w:szCs w:val="22"/>
                <w:vertAlign w:val="superscript"/>
                <w:lang w:eastAsia="ro-RO"/>
              </w:rPr>
              <w:t>2</w:t>
            </w:r>
          </w:p>
        </w:tc>
      </w:tr>
      <w:tr w:rsidR="001C08A5" w14:paraId="5B6A0587" w14:textId="77777777">
        <w:tc>
          <w:tcPr>
            <w:tcW w:w="273" w:type="pct"/>
            <w:vMerge w:val="restart"/>
          </w:tcPr>
          <w:p w14:paraId="26BC6CC2" w14:textId="77777777" w:rsidR="001C08A5" w:rsidRDefault="001C08A5">
            <w:pPr>
              <w:rPr>
                <w:b/>
                <w:i/>
                <w:iCs/>
                <w:sz w:val="22"/>
                <w:szCs w:val="22"/>
              </w:rPr>
            </w:pPr>
          </w:p>
          <w:p w14:paraId="25A5270B" w14:textId="77777777" w:rsidR="001C08A5" w:rsidRDefault="00000000">
            <w:pPr>
              <w:rPr>
                <w:b/>
                <w:i/>
                <w:iCs/>
                <w:sz w:val="22"/>
                <w:szCs w:val="22"/>
              </w:rPr>
            </w:pPr>
            <w:r>
              <w:rPr>
                <w:b/>
                <w:i/>
                <w:iCs/>
                <w:sz w:val="22"/>
                <w:szCs w:val="22"/>
              </w:rPr>
              <w:t>I*</w:t>
            </w:r>
          </w:p>
        </w:tc>
        <w:tc>
          <w:tcPr>
            <w:tcW w:w="506" w:type="pct"/>
          </w:tcPr>
          <w:p w14:paraId="4BD79F4C" w14:textId="77777777" w:rsidR="001C08A5" w:rsidRDefault="00000000">
            <w:pPr>
              <w:rPr>
                <w:b/>
                <w:i/>
                <w:iCs/>
                <w:sz w:val="22"/>
                <w:szCs w:val="22"/>
              </w:rPr>
            </w:pPr>
            <w:r>
              <w:rPr>
                <w:b/>
                <w:i/>
                <w:iCs/>
                <w:sz w:val="22"/>
                <w:szCs w:val="22"/>
              </w:rPr>
              <w:t>Pereţi</w:t>
            </w:r>
          </w:p>
        </w:tc>
        <w:tc>
          <w:tcPr>
            <w:tcW w:w="922" w:type="pct"/>
          </w:tcPr>
          <w:p w14:paraId="2A06F955" w14:textId="77777777" w:rsidR="001C08A5" w:rsidRDefault="00000000">
            <w:pPr>
              <w:pStyle w:val="NoSpacing"/>
              <w:suppressAutoHyphens/>
              <w:rPr>
                <w:rFonts w:ascii="Times New Roman" w:hAnsi="Times New Roman"/>
                <w:i/>
                <w:iCs/>
              </w:rPr>
            </w:pPr>
            <w:r>
              <w:rPr>
                <w:rFonts w:ascii="Times New Roman" w:hAnsi="Times New Roman"/>
                <w:b/>
                <w:i/>
                <w:iCs/>
              </w:rPr>
              <w:t>EI/REI 60 (45)</w:t>
            </w:r>
            <w:r>
              <w:rPr>
                <w:rFonts w:ascii="Times New Roman" w:hAnsi="Times New Roman"/>
                <w:b/>
                <w:i/>
                <w:iCs/>
                <w:vertAlign w:val="superscript"/>
              </w:rPr>
              <w:t>#</w:t>
            </w:r>
          </w:p>
        </w:tc>
        <w:tc>
          <w:tcPr>
            <w:tcW w:w="938" w:type="pct"/>
          </w:tcPr>
          <w:p w14:paraId="6897F9BC" w14:textId="77777777" w:rsidR="001C08A5" w:rsidRDefault="00000000">
            <w:pPr>
              <w:pStyle w:val="NoSpacing"/>
              <w:suppressAutoHyphens/>
              <w:rPr>
                <w:rFonts w:ascii="Times New Roman" w:hAnsi="Times New Roman"/>
                <w:i/>
                <w:iCs/>
              </w:rPr>
            </w:pPr>
            <w:r>
              <w:rPr>
                <w:rFonts w:ascii="Times New Roman" w:hAnsi="Times New Roman"/>
                <w:b/>
                <w:i/>
                <w:iCs/>
              </w:rPr>
              <w:t>EI/REI 120 (90)</w:t>
            </w:r>
            <w:r>
              <w:rPr>
                <w:rFonts w:ascii="Times New Roman" w:hAnsi="Times New Roman"/>
                <w:b/>
                <w:i/>
                <w:iCs/>
                <w:vertAlign w:val="superscript"/>
              </w:rPr>
              <w:t>#</w:t>
            </w:r>
          </w:p>
        </w:tc>
        <w:tc>
          <w:tcPr>
            <w:tcW w:w="1357" w:type="pct"/>
          </w:tcPr>
          <w:p w14:paraId="2954828E" w14:textId="77777777" w:rsidR="001C08A5" w:rsidRDefault="00000000">
            <w:pPr>
              <w:pStyle w:val="NoSpacing"/>
              <w:suppressAutoHyphens/>
              <w:rPr>
                <w:rFonts w:ascii="Times New Roman" w:hAnsi="Times New Roman"/>
                <w:i/>
                <w:iCs/>
              </w:rPr>
            </w:pPr>
            <w:r>
              <w:rPr>
                <w:rFonts w:ascii="Times New Roman" w:hAnsi="Times New Roman"/>
                <w:b/>
                <w:i/>
                <w:iCs/>
              </w:rPr>
              <w:t>EI/REI 180 (120)</w:t>
            </w:r>
            <w:r>
              <w:rPr>
                <w:rFonts w:ascii="Times New Roman" w:hAnsi="Times New Roman"/>
                <w:b/>
                <w:i/>
                <w:iCs/>
                <w:vertAlign w:val="superscript"/>
              </w:rPr>
              <w:t>#</w:t>
            </w:r>
          </w:p>
        </w:tc>
        <w:tc>
          <w:tcPr>
            <w:tcW w:w="1001" w:type="pct"/>
          </w:tcPr>
          <w:p w14:paraId="2A215296" w14:textId="77777777" w:rsidR="001C08A5" w:rsidRDefault="00000000">
            <w:pPr>
              <w:pStyle w:val="NoSpacing"/>
              <w:suppressAutoHyphens/>
              <w:rPr>
                <w:rFonts w:ascii="Times New Roman" w:hAnsi="Times New Roman"/>
                <w:b/>
                <w:i/>
                <w:iCs/>
              </w:rPr>
            </w:pPr>
            <w:r>
              <w:rPr>
                <w:rFonts w:ascii="Times New Roman" w:hAnsi="Times New Roman"/>
                <w:b/>
                <w:i/>
                <w:iCs/>
              </w:rPr>
              <w:t>EI/REI 240 (180)</w:t>
            </w:r>
            <w:r>
              <w:rPr>
                <w:rFonts w:ascii="Times New Roman" w:hAnsi="Times New Roman"/>
                <w:b/>
                <w:i/>
                <w:iCs/>
                <w:vertAlign w:val="superscript"/>
              </w:rPr>
              <w:t>#</w:t>
            </w:r>
          </w:p>
        </w:tc>
      </w:tr>
      <w:tr w:rsidR="001C08A5" w14:paraId="533C4FD5" w14:textId="77777777">
        <w:tc>
          <w:tcPr>
            <w:tcW w:w="273" w:type="pct"/>
            <w:vMerge/>
          </w:tcPr>
          <w:p w14:paraId="0D62FF5C" w14:textId="77777777" w:rsidR="001C08A5" w:rsidRDefault="001C08A5">
            <w:pPr>
              <w:rPr>
                <w:b/>
                <w:i/>
                <w:iCs/>
                <w:sz w:val="22"/>
                <w:szCs w:val="22"/>
              </w:rPr>
            </w:pPr>
          </w:p>
        </w:tc>
        <w:tc>
          <w:tcPr>
            <w:tcW w:w="506" w:type="pct"/>
          </w:tcPr>
          <w:p w14:paraId="29EB34CE" w14:textId="77777777" w:rsidR="001C08A5" w:rsidRDefault="00000000">
            <w:pPr>
              <w:rPr>
                <w:b/>
                <w:i/>
                <w:iCs/>
                <w:sz w:val="22"/>
                <w:szCs w:val="22"/>
              </w:rPr>
            </w:pPr>
            <w:r>
              <w:rPr>
                <w:b/>
                <w:i/>
                <w:iCs/>
                <w:sz w:val="22"/>
                <w:szCs w:val="22"/>
              </w:rPr>
              <w:t>Planşee</w:t>
            </w:r>
          </w:p>
        </w:tc>
        <w:tc>
          <w:tcPr>
            <w:tcW w:w="922" w:type="pct"/>
          </w:tcPr>
          <w:p w14:paraId="3F558825" w14:textId="77777777" w:rsidR="001C08A5" w:rsidRDefault="00000000">
            <w:pPr>
              <w:pStyle w:val="NoSpacing"/>
              <w:suppressAutoHyphens/>
              <w:rPr>
                <w:rFonts w:ascii="Times New Roman" w:hAnsi="Times New Roman"/>
                <w:i/>
                <w:iCs/>
              </w:rPr>
            </w:pPr>
            <w:r>
              <w:rPr>
                <w:rFonts w:ascii="Times New Roman" w:hAnsi="Times New Roman"/>
                <w:b/>
                <w:i/>
                <w:iCs/>
              </w:rPr>
              <w:t>**</w:t>
            </w:r>
          </w:p>
        </w:tc>
        <w:tc>
          <w:tcPr>
            <w:tcW w:w="938" w:type="pct"/>
          </w:tcPr>
          <w:p w14:paraId="4F54CDF4" w14:textId="77777777" w:rsidR="001C08A5" w:rsidRDefault="00000000">
            <w:pPr>
              <w:pStyle w:val="NoSpacing"/>
              <w:suppressAutoHyphens/>
              <w:rPr>
                <w:rFonts w:ascii="Times New Roman" w:hAnsi="Times New Roman"/>
                <w:i/>
                <w:iCs/>
              </w:rPr>
            </w:pPr>
            <w:r>
              <w:rPr>
                <w:rFonts w:ascii="Times New Roman" w:hAnsi="Times New Roman"/>
                <w:i/>
                <w:iCs/>
              </w:rPr>
              <w:t>**</w:t>
            </w:r>
          </w:p>
        </w:tc>
        <w:tc>
          <w:tcPr>
            <w:tcW w:w="1357" w:type="pct"/>
          </w:tcPr>
          <w:p w14:paraId="036DF3AB" w14:textId="77777777" w:rsidR="001C08A5" w:rsidRDefault="00000000">
            <w:pPr>
              <w:pStyle w:val="NoSpacing"/>
              <w:suppressAutoHyphens/>
              <w:rPr>
                <w:rFonts w:ascii="Times New Roman" w:hAnsi="Times New Roman"/>
                <w:i/>
                <w:iCs/>
              </w:rPr>
            </w:pPr>
            <w:r>
              <w:rPr>
                <w:rFonts w:ascii="Times New Roman" w:hAnsi="Times New Roman"/>
                <w:b/>
                <w:i/>
                <w:iCs/>
              </w:rPr>
              <w:t>REI 120 (90)</w:t>
            </w:r>
            <w:r>
              <w:rPr>
                <w:rFonts w:ascii="Times New Roman" w:hAnsi="Times New Roman"/>
                <w:b/>
                <w:i/>
                <w:iCs/>
                <w:vertAlign w:val="superscript"/>
              </w:rPr>
              <w:t>#</w:t>
            </w:r>
          </w:p>
        </w:tc>
        <w:tc>
          <w:tcPr>
            <w:tcW w:w="1001" w:type="pct"/>
          </w:tcPr>
          <w:p w14:paraId="2C299B6C" w14:textId="77777777" w:rsidR="001C08A5" w:rsidRDefault="00000000">
            <w:pPr>
              <w:pStyle w:val="NoSpacing"/>
              <w:suppressAutoHyphens/>
              <w:rPr>
                <w:rFonts w:ascii="Times New Roman" w:hAnsi="Times New Roman"/>
                <w:b/>
                <w:i/>
                <w:iCs/>
              </w:rPr>
            </w:pPr>
            <w:r>
              <w:rPr>
                <w:rFonts w:ascii="Times New Roman" w:hAnsi="Times New Roman"/>
                <w:b/>
                <w:i/>
                <w:iCs/>
              </w:rPr>
              <w:t>REI 180 (120)</w:t>
            </w:r>
            <w:r>
              <w:rPr>
                <w:rFonts w:ascii="Times New Roman" w:hAnsi="Times New Roman"/>
                <w:b/>
                <w:i/>
                <w:iCs/>
                <w:vertAlign w:val="superscript"/>
              </w:rPr>
              <w:t>#</w:t>
            </w:r>
          </w:p>
        </w:tc>
      </w:tr>
      <w:tr w:rsidR="001C08A5" w14:paraId="10DA74A2" w14:textId="77777777">
        <w:tc>
          <w:tcPr>
            <w:tcW w:w="273" w:type="pct"/>
            <w:vMerge/>
          </w:tcPr>
          <w:p w14:paraId="4BCF70CD" w14:textId="77777777" w:rsidR="001C08A5" w:rsidRDefault="001C08A5">
            <w:pPr>
              <w:rPr>
                <w:b/>
                <w:i/>
                <w:iCs/>
                <w:sz w:val="22"/>
                <w:szCs w:val="22"/>
              </w:rPr>
            </w:pPr>
          </w:p>
        </w:tc>
        <w:tc>
          <w:tcPr>
            <w:tcW w:w="506" w:type="pct"/>
          </w:tcPr>
          <w:p w14:paraId="70273AD1" w14:textId="77777777" w:rsidR="001C08A5" w:rsidRDefault="00000000">
            <w:pPr>
              <w:rPr>
                <w:b/>
                <w:i/>
                <w:iCs/>
                <w:sz w:val="22"/>
                <w:szCs w:val="22"/>
              </w:rPr>
            </w:pPr>
            <w:r>
              <w:rPr>
                <w:b/>
                <w:i/>
                <w:iCs/>
                <w:sz w:val="22"/>
                <w:szCs w:val="22"/>
              </w:rPr>
              <w:t xml:space="preserve">Uşi </w:t>
            </w:r>
          </w:p>
        </w:tc>
        <w:tc>
          <w:tcPr>
            <w:tcW w:w="922" w:type="pct"/>
          </w:tcPr>
          <w:p w14:paraId="2C0855AB" w14:textId="77777777" w:rsidR="001C08A5" w:rsidRDefault="00000000">
            <w:pPr>
              <w:pStyle w:val="NoSpacing"/>
              <w:suppressAutoHyphens/>
              <w:rPr>
                <w:rFonts w:ascii="Times New Roman" w:hAnsi="Times New Roman"/>
                <w:b/>
                <w:i/>
                <w:iCs/>
                <w:vertAlign w:val="superscript"/>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 xml:space="preserve">  (EI</w:t>
            </w:r>
            <w:r>
              <w:rPr>
                <w:rFonts w:ascii="Times New Roman" w:hAnsi="Times New Roman"/>
                <w:b/>
                <w:bCs/>
                <w:i/>
                <w:iCs/>
                <w:vertAlign w:val="subscript"/>
              </w:rPr>
              <w:t>2</w:t>
            </w:r>
            <w:r>
              <w:rPr>
                <w:rFonts w:ascii="Times New Roman" w:hAnsi="Times New Roman"/>
                <w:b/>
                <w:bCs/>
                <w:i/>
                <w:iCs/>
              </w:rPr>
              <w:t>20-C3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w:t>
            </w:r>
            <w:r>
              <w:rPr>
                <w:rFonts w:ascii="Times New Roman" w:hAnsi="Times New Roman"/>
                <w:b/>
                <w:i/>
                <w:iCs/>
                <w:vertAlign w:val="superscript"/>
              </w:rPr>
              <w:t xml:space="preserve"> #</w:t>
            </w:r>
          </w:p>
          <w:p w14:paraId="56CB50C5" w14:textId="77777777" w:rsidR="001C08A5" w:rsidRDefault="001C08A5">
            <w:pPr>
              <w:pStyle w:val="NoSpacing"/>
              <w:suppressAutoHyphens/>
              <w:rPr>
                <w:rFonts w:ascii="Times New Roman" w:hAnsi="Times New Roman"/>
                <w:i/>
                <w:iCs/>
              </w:rPr>
            </w:pPr>
          </w:p>
        </w:tc>
        <w:tc>
          <w:tcPr>
            <w:tcW w:w="938" w:type="pct"/>
          </w:tcPr>
          <w:p w14:paraId="50E672A0" w14:textId="77777777" w:rsidR="001C08A5" w:rsidRDefault="00000000">
            <w:pPr>
              <w:pStyle w:val="NoSpacing"/>
              <w:suppressAutoHyphens/>
              <w:rPr>
                <w:rFonts w:ascii="Times New Roman" w:hAnsi="Times New Roman"/>
                <w:b/>
                <w:i/>
                <w:iCs/>
                <w:vertAlign w:val="superscript"/>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 xml:space="preserve">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w:t>
            </w:r>
            <w:r>
              <w:rPr>
                <w:rFonts w:ascii="Times New Roman" w:hAnsi="Times New Roman"/>
                <w:b/>
                <w:i/>
                <w:iCs/>
                <w:vertAlign w:val="superscript"/>
              </w:rPr>
              <w:t xml:space="preserve"> #</w:t>
            </w:r>
          </w:p>
          <w:p w14:paraId="33C854E5" w14:textId="77777777" w:rsidR="001C08A5" w:rsidRDefault="001C08A5">
            <w:pPr>
              <w:pStyle w:val="NoSpacing"/>
              <w:suppressAutoHyphens/>
              <w:rPr>
                <w:rFonts w:ascii="Times New Roman" w:hAnsi="Times New Roman"/>
                <w:i/>
                <w:iCs/>
              </w:rPr>
            </w:pPr>
          </w:p>
        </w:tc>
        <w:tc>
          <w:tcPr>
            <w:tcW w:w="1357" w:type="pct"/>
          </w:tcPr>
          <w:p w14:paraId="276D96D5"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90-C3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p>
          <w:p w14:paraId="3240215A" w14:textId="77777777" w:rsidR="001C08A5" w:rsidRDefault="00000000">
            <w:pPr>
              <w:pStyle w:val="NoSpacing"/>
              <w:suppressAutoHyphens/>
              <w:rPr>
                <w:rFonts w:ascii="Times New Roman" w:hAnsi="Times New Roman"/>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p w14:paraId="614C4778" w14:textId="77777777" w:rsidR="001C08A5" w:rsidRDefault="00000000">
            <w:pPr>
              <w:pStyle w:val="NoSpacing"/>
              <w:suppressAutoHyphens/>
              <w:rPr>
                <w:rFonts w:ascii="Times New Roman" w:hAnsi="Times New Roman"/>
                <w:i/>
                <w:iCs/>
              </w:rPr>
            </w:pPr>
            <w:r>
              <w:rPr>
                <w:rFonts w:ascii="Times New Roman" w:hAnsi="Times New Roman"/>
                <w:i/>
                <w:iCs/>
              </w:rPr>
              <w:t>(</w:t>
            </w: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w:t>
            </w:r>
            <w:r>
              <w:rPr>
                <w:rFonts w:ascii="Times New Roman" w:hAnsi="Times New Roman"/>
                <w:b/>
                <w:i/>
                <w:iCs/>
                <w:vertAlign w:val="superscript"/>
              </w:rPr>
              <w:t xml:space="preserve"> #</w:t>
            </w:r>
          </w:p>
        </w:tc>
        <w:tc>
          <w:tcPr>
            <w:tcW w:w="1001" w:type="pct"/>
          </w:tcPr>
          <w:p w14:paraId="465EB543"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120-C3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200</w:t>
            </w:r>
          </w:p>
          <w:p w14:paraId="3A5CB00B" w14:textId="77777777" w:rsidR="001C08A5" w:rsidRDefault="00000000">
            <w:pPr>
              <w:pStyle w:val="NoSpacing"/>
              <w:suppressAutoHyphens/>
              <w:rPr>
                <w:rFonts w:ascii="Times New Roman" w:hAnsi="Times New Roman"/>
                <w:i/>
                <w:iCs/>
              </w:rPr>
            </w:pPr>
            <w:r>
              <w:rPr>
                <w:rFonts w:ascii="Times New Roman" w:hAnsi="Times New Roman"/>
                <w:i/>
                <w:iCs/>
              </w:rPr>
              <w:t>(</w:t>
            </w: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90-C3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r>
              <w:rPr>
                <w:rFonts w:ascii="Times New Roman" w:hAnsi="Times New Roman"/>
                <w:i/>
                <w:iCs/>
              </w:rPr>
              <w:t>)</w:t>
            </w:r>
            <w:r>
              <w:rPr>
                <w:rFonts w:ascii="Times New Roman" w:hAnsi="Times New Roman"/>
                <w:b/>
                <w:i/>
                <w:iCs/>
                <w:vertAlign w:val="superscript"/>
              </w:rPr>
              <w:t xml:space="preserve"> #</w:t>
            </w:r>
          </w:p>
        </w:tc>
      </w:tr>
      <w:tr w:rsidR="001C08A5" w14:paraId="38671D12" w14:textId="77777777">
        <w:tc>
          <w:tcPr>
            <w:tcW w:w="273" w:type="pct"/>
            <w:vMerge w:val="restart"/>
          </w:tcPr>
          <w:p w14:paraId="27B92E24" w14:textId="77777777" w:rsidR="001C08A5" w:rsidRDefault="001C08A5">
            <w:pPr>
              <w:rPr>
                <w:b/>
                <w:i/>
                <w:iCs/>
                <w:sz w:val="22"/>
                <w:szCs w:val="22"/>
              </w:rPr>
            </w:pPr>
          </w:p>
          <w:p w14:paraId="062BD2E7" w14:textId="77777777" w:rsidR="001C08A5" w:rsidRDefault="00000000">
            <w:pPr>
              <w:rPr>
                <w:b/>
                <w:i/>
                <w:iCs/>
                <w:sz w:val="22"/>
                <w:szCs w:val="22"/>
              </w:rPr>
            </w:pPr>
            <w:r>
              <w:rPr>
                <w:b/>
                <w:i/>
                <w:iCs/>
                <w:sz w:val="22"/>
                <w:szCs w:val="22"/>
              </w:rPr>
              <w:t>II</w:t>
            </w:r>
          </w:p>
        </w:tc>
        <w:tc>
          <w:tcPr>
            <w:tcW w:w="506" w:type="pct"/>
          </w:tcPr>
          <w:p w14:paraId="5A46A7C1" w14:textId="77777777" w:rsidR="001C08A5" w:rsidRDefault="00000000">
            <w:pPr>
              <w:rPr>
                <w:b/>
                <w:i/>
                <w:iCs/>
                <w:sz w:val="22"/>
                <w:szCs w:val="22"/>
              </w:rPr>
            </w:pPr>
            <w:r>
              <w:rPr>
                <w:b/>
                <w:i/>
                <w:iCs/>
                <w:sz w:val="22"/>
                <w:szCs w:val="22"/>
              </w:rPr>
              <w:t>Pereţi</w:t>
            </w:r>
          </w:p>
        </w:tc>
        <w:tc>
          <w:tcPr>
            <w:tcW w:w="922" w:type="pct"/>
          </w:tcPr>
          <w:p w14:paraId="639E8E06" w14:textId="77777777" w:rsidR="001C08A5" w:rsidRDefault="00000000">
            <w:pPr>
              <w:pStyle w:val="NoSpacing"/>
              <w:suppressAutoHyphens/>
              <w:rPr>
                <w:rFonts w:ascii="Times New Roman" w:hAnsi="Times New Roman"/>
                <w:i/>
                <w:iCs/>
              </w:rPr>
            </w:pPr>
            <w:r>
              <w:rPr>
                <w:rFonts w:ascii="Times New Roman" w:hAnsi="Times New Roman"/>
                <w:b/>
                <w:i/>
                <w:iCs/>
              </w:rPr>
              <w:t>EI/REI 45 (30)</w:t>
            </w:r>
            <w:r>
              <w:rPr>
                <w:rFonts w:ascii="Times New Roman" w:hAnsi="Times New Roman"/>
                <w:b/>
                <w:i/>
                <w:iCs/>
                <w:vertAlign w:val="superscript"/>
              </w:rPr>
              <w:t>#</w:t>
            </w:r>
          </w:p>
        </w:tc>
        <w:tc>
          <w:tcPr>
            <w:tcW w:w="938" w:type="pct"/>
          </w:tcPr>
          <w:p w14:paraId="54BB6022" w14:textId="77777777" w:rsidR="001C08A5" w:rsidRDefault="00000000">
            <w:pPr>
              <w:pStyle w:val="NoSpacing"/>
              <w:suppressAutoHyphens/>
              <w:rPr>
                <w:rFonts w:ascii="Times New Roman" w:hAnsi="Times New Roman"/>
                <w:i/>
                <w:iCs/>
              </w:rPr>
            </w:pPr>
            <w:r>
              <w:rPr>
                <w:rFonts w:ascii="Times New Roman" w:hAnsi="Times New Roman"/>
                <w:b/>
                <w:i/>
                <w:iCs/>
              </w:rPr>
              <w:t>EI/REI 90 (60)</w:t>
            </w:r>
            <w:r>
              <w:rPr>
                <w:rFonts w:ascii="Times New Roman" w:hAnsi="Times New Roman"/>
                <w:b/>
                <w:i/>
                <w:iCs/>
                <w:vertAlign w:val="superscript"/>
              </w:rPr>
              <w:t>#</w:t>
            </w:r>
          </w:p>
        </w:tc>
        <w:tc>
          <w:tcPr>
            <w:tcW w:w="1357" w:type="pct"/>
          </w:tcPr>
          <w:p w14:paraId="3363DE08" w14:textId="77777777" w:rsidR="001C08A5" w:rsidRDefault="00000000">
            <w:pPr>
              <w:pStyle w:val="NoSpacing"/>
              <w:suppressAutoHyphens/>
              <w:rPr>
                <w:rFonts w:ascii="Times New Roman" w:hAnsi="Times New Roman"/>
                <w:i/>
                <w:iCs/>
              </w:rPr>
            </w:pPr>
            <w:r>
              <w:rPr>
                <w:rFonts w:ascii="Times New Roman" w:hAnsi="Times New Roman"/>
                <w:b/>
                <w:i/>
                <w:iCs/>
              </w:rPr>
              <w:t>EI/REI 120 (90)</w:t>
            </w:r>
            <w:r>
              <w:rPr>
                <w:rFonts w:ascii="Times New Roman" w:hAnsi="Times New Roman"/>
                <w:b/>
                <w:i/>
                <w:iCs/>
                <w:vertAlign w:val="superscript"/>
              </w:rPr>
              <w:t>#</w:t>
            </w:r>
          </w:p>
        </w:tc>
        <w:tc>
          <w:tcPr>
            <w:tcW w:w="1001" w:type="pct"/>
          </w:tcPr>
          <w:p w14:paraId="19499F0B" w14:textId="77777777" w:rsidR="001C08A5" w:rsidRDefault="00000000">
            <w:pPr>
              <w:pStyle w:val="NoSpacing"/>
              <w:suppressAutoHyphens/>
              <w:rPr>
                <w:rFonts w:ascii="Times New Roman" w:hAnsi="Times New Roman"/>
                <w:b/>
                <w:i/>
                <w:iCs/>
              </w:rPr>
            </w:pPr>
            <w:r>
              <w:rPr>
                <w:rFonts w:ascii="Times New Roman" w:hAnsi="Times New Roman"/>
                <w:b/>
                <w:i/>
                <w:iCs/>
              </w:rPr>
              <w:t xml:space="preserve">EI/REI 180 </w:t>
            </w:r>
          </w:p>
        </w:tc>
      </w:tr>
      <w:tr w:rsidR="001C08A5" w14:paraId="422C4D38" w14:textId="77777777">
        <w:tc>
          <w:tcPr>
            <w:tcW w:w="273" w:type="pct"/>
            <w:vMerge/>
          </w:tcPr>
          <w:p w14:paraId="66D31E98" w14:textId="77777777" w:rsidR="001C08A5" w:rsidRDefault="001C08A5">
            <w:pPr>
              <w:rPr>
                <w:b/>
                <w:i/>
                <w:iCs/>
                <w:sz w:val="22"/>
                <w:szCs w:val="22"/>
              </w:rPr>
            </w:pPr>
          </w:p>
        </w:tc>
        <w:tc>
          <w:tcPr>
            <w:tcW w:w="506" w:type="pct"/>
          </w:tcPr>
          <w:p w14:paraId="4C498C01" w14:textId="77777777" w:rsidR="001C08A5" w:rsidRDefault="00000000">
            <w:pPr>
              <w:rPr>
                <w:b/>
                <w:i/>
                <w:iCs/>
                <w:sz w:val="22"/>
                <w:szCs w:val="22"/>
              </w:rPr>
            </w:pPr>
            <w:r>
              <w:rPr>
                <w:b/>
                <w:i/>
                <w:iCs/>
                <w:sz w:val="22"/>
                <w:szCs w:val="22"/>
              </w:rPr>
              <w:t>Planşee</w:t>
            </w:r>
          </w:p>
        </w:tc>
        <w:tc>
          <w:tcPr>
            <w:tcW w:w="922" w:type="pct"/>
          </w:tcPr>
          <w:p w14:paraId="3C8CD396" w14:textId="77777777" w:rsidR="001C08A5" w:rsidRDefault="00000000">
            <w:pPr>
              <w:pStyle w:val="NoSpacing"/>
              <w:suppressAutoHyphens/>
              <w:rPr>
                <w:rFonts w:ascii="Times New Roman" w:hAnsi="Times New Roman"/>
                <w:i/>
                <w:iCs/>
              </w:rPr>
            </w:pPr>
            <w:r>
              <w:rPr>
                <w:rFonts w:ascii="Times New Roman" w:hAnsi="Times New Roman"/>
                <w:i/>
                <w:iCs/>
              </w:rPr>
              <w:t>**</w:t>
            </w:r>
          </w:p>
        </w:tc>
        <w:tc>
          <w:tcPr>
            <w:tcW w:w="938" w:type="pct"/>
          </w:tcPr>
          <w:p w14:paraId="019DF770" w14:textId="77777777" w:rsidR="001C08A5" w:rsidRDefault="00000000">
            <w:pPr>
              <w:pStyle w:val="NoSpacing"/>
              <w:suppressAutoHyphens/>
              <w:rPr>
                <w:rFonts w:ascii="Times New Roman" w:hAnsi="Times New Roman"/>
                <w:i/>
                <w:iCs/>
              </w:rPr>
            </w:pPr>
            <w:r>
              <w:rPr>
                <w:rFonts w:ascii="Times New Roman" w:hAnsi="Times New Roman"/>
                <w:b/>
                <w:i/>
                <w:iCs/>
              </w:rPr>
              <w:t>**</w:t>
            </w:r>
          </w:p>
        </w:tc>
        <w:tc>
          <w:tcPr>
            <w:tcW w:w="1357" w:type="pct"/>
          </w:tcPr>
          <w:p w14:paraId="242A4447" w14:textId="77777777" w:rsidR="001C08A5" w:rsidRDefault="00000000">
            <w:pPr>
              <w:pStyle w:val="NoSpacing"/>
              <w:suppressAutoHyphens/>
              <w:rPr>
                <w:rFonts w:ascii="Times New Roman" w:hAnsi="Times New Roman"/>
                <w:i/>
                <w:iCs/>
              </w:rPr>
            </w:pPr>
            <w:r>
              <w:rPr>
                <w:rFonts w:ascii="Times New Roman" w:hAnsi="Times New Roman"/>
                <w:b/>
                <w:i/>
                <w:iCs/>
              </w:rPr>
              <w:t>REI 90</w:t>
            </w:r>
          </w:p>
        </w:tc>
        <w:tc>
          <w:tcPr>
            <w:tcW w:w="1001" w:type="pct"/>
          </w:tcPr>
          <w:p w14:paraId="048A214E" w14:textId="77777777" w:rsidR="001C08A5" w:rsidRDefault="00000000">
            <w:pPr>
              <w:pStyle w:val="NoSpacing"/>
              <w:suppressAutoHyphens/>
              <w:rPr>
                <w:rFonts w:ascii="Times New Roman" w:hAnsi="Times New Roman"/>
                <w:b/>
                <w:i/>
                <w:iCs/>
              </w:rPr>
            </w:pPr>
            <w:r>
              <w:rPr>
                <w:rFonts w:ascii="Times New Roman" w:hAnsi="Times New Roman"/>
                <w:b/>
                <w:i/>
                <w:iCs/>
              </w:rPr>
              <w:t>REI 120</w:t>
            </w:r>
          </w:p>
        </w:tc>
      </w:tr>
      <w:tr w:rsidR="001C08A5" w14:paraId="43A77A2B" w14:textId="77777777">
        <w:tc>
          <w:tcPr>
            <w:tcW w:w="273" w:type="pct"/>
            <w:vMerge/>
          </w:tcPr>
          <w:p w14:paraId="389B2F0E" w14:textId="77777777" w:rsidR="001C08A5" w:rsidRDefault="001C08A5">
            <w:pPr>
              <w:rPr>
                <w:b/>
                <w:i/>
                <w:iCs/>
                <w:sz w:val="22"/>
                <w:szCs w:val="22"/>
              </w:rPr>
            </w:pPr>
          </w:p>
        </w:tc>
        <w:tc>
          <w:tcPr>
            <w:tcW w:w="506" w:type="pct"/>
          </w:tcPr>
          <w:p w14:paraId="3468F5D1" w14:textId="77777777" w:rsidR="001C08A5" w:rsidRDefault="00000000">
            <w:pPr>
              <w:rPr>
                <w:b/>
                <w:i/>
                <w:iCs/>
                <w:sz w:val="22"/>
                <w:szCs w:val="22"/>
              </w:rPr>
            </w:pPr>
            <w:r>
              <w:rPr>
                <w:b/>
                <w:i/>
                <w:iCs/>
                <w:sz w:val="22"/>
                <w:szCs w:val="22"/>
              </w:rPr>
              <w:t xml:space="preserve">Uşi </w:t>
            </w:r>
          </w:p>
        </w:tc>
        <w:tc>
          <w:tcPr>
            <w:tcW w:w="922" w:type="pct"/>
          </w:tcPr>
          <w:p w14:paraId="39AB2293" w14:textId="77777777" w:rsidR="001C08A5" w:rsidRDefault="00000000">
            <w:pPr>
              <w:pStyle w:val="NoSpacing"/>
              <w:suppressAutoHyphens/>
              <w:rPr>
                <w:rFonts w:ascii="Times New Roman" w:hAnsi="Times New Roman"/>
                <w:b/>
                <w:bCs/>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20-C3</w:t>
            </w:r>
            <w:r>
              <w:rPr>
                <w:rFonts w:ascii="Times New Roman" w:hAnsi="Times New Roman"/>
                <w:b/>
                <w:i/>
                <w:iCs/>
              </w:rPr>
              <w:t>S</w:t>
            </w:r>
            <w:r>
              <w:rPr>
                <w:rFonts w:ascii="Times New Roman" w:hAnsi="Times New Roman"/>
                <w:b/>
                <w:bCs/>
                <w:i/>
                <w:iCs/>
                <w:vertAlign w:val="subscript"/>
              </w:rPr>
              <w:t>200</w:t>
            </w:r>
          </w:p>
          <w:p w14:paraId="755A3E76"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15-C3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w:t>
            </w:r>
            <w:r>
              <w:rPr>
                <w:rFonts w:ascii="Times New Roman" w:hAnsi="Times New Roman"/>
                <w:b/>
                <w:i/>
                <w:iCs/>
                <w:vertAlign w:val="superscript"/>
              </w:rPr>
              <w:t xml:space="preserve"> #</w:t>
            </w:r>
          </w:p>
        </w:tc>
        <w:tc>
          <w:tcPr>
            <w:tcW w:w="938" w:type="pct"/>
          </w:tcPr>
          <w:p w14:paraId="221B25A3" w14:textId="77777777" w:rsidR="001C08A5" w:rsidRDefault="00000000">
            <w:pPr>
              <w:pStyle w:val="NoSpacing"/>
              <w:suppressAutoHyphens/>
              <w:rPr>
                <w:rFonts w:ascii="Times New Roman" w:hAnsi="Times New Roman"/>
                <w:b/>
                <w:bCs/>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p w14:paraId="067F9FEE"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w:t>
            </w:r>
            <w:r>
              <w:rPr>
                <w:rFonts w:ascii="Times New Roman" w:hAnsi="Times New Roman"/>
                <w:b/>
                <w:i/>
                <w:iCs/>
                <w:vertAlign w:val="superscript"/>
              </w:rPr>
              <w:t xml:space="preserve"> #</w:t>
            </w:r>
          </w:p>
        </w:tc>
        <w:tc>
          <w:tcPr>
            <w:tcW w:w="1357" w:type="pct"/>
          </w:tcPr>
          <w:p w14:paraId="69272C66" w14:textId="77777777" w:rsidR="001C08A5" w:rsidRDefault="00000000">
            <w:pPr>
              <w:pStyle w:val="NoSpacing"/>
              <w:suppressAutoHyphens/>
              <w:rPr>
                <w:rFonts w:ascii="Times New Roman" w:hAnsi="Times New Roman"/>
                <w:b/>
                <w:bCs/>
                <w:i/>
                <w:iCs/>
                <w:vertAlign w:val="subscript"/>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p>
          <w:p w14:paraId="1EDF3513" w14:textId="77777777" w:rsidR="001C08A5" w:rsidRDefault="00000000">
            <w:pPr>
              <w:pStyle w:val="NoSpacing"/>
              <w:suppressAutoHyphens/>
              <w:rPr>
                <w:rFonts w:ascii="Times New Roman" w:hAnsi="Times New Roman"/>
                <w:i/>
                <w:iCs/>
              </w:rPr>
            </w:pPr>
            <w:r>
              <w:rPr>
                <w:rFonts w:ascii="Times New Roman" w:hAnsi="Times New Roman"/>
                <w:i/>
                <w:iCs/>
              </w:rPr>
              <w:t>(</w:t>
            </w: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20-c3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w:t>
            </w:r>
            <w:r>
              <w:rPr>
                <w:rFonts w:ascii="Times New Roman" w:hAnsi="Times New Roman"/>
                <w:b/>
                <w:i/>
                <w:iCs/>
                <w:vertAlign w:val="superscript"/>
              </w:rPr>
              <w:t>#</w:t>
            </w:r>
          </w:p>
        </w:tc>
        <w:tc>
          <w:tcPr>
            <w:tcW w:w="1001" w:type="pct"/>
          </w:tcPr>
          <w:p w14:paraId="7403E294"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90-C3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p w14:paraId="54184F4F" w14:textId="77777777" w:rsidR="001C08A5" w:rsidRDefault="001C08A5">
            <w:pPr>
              <w:pStyle w:val="NoSpacing"/>
              <w:suppressAutoHyphens/>
              <w:rPr>
                <w:rFonts w:ascii="Times New Roman" w:hAnsi="Times New Roman"/>
                <w:i/>
                <w:iCs/>
              </w:rPr>
            </w:pPr>
          </w:p>
        </w:tc>
      </w:tr>
      <w:tr w:rsidR="001C08A5" w14:paraId="44DDE528" w14:textId="77777777">
        <w:tc>
          <w:tcPr>
            <w:tcW w:w="273" w:type="pct"/>
            <w:vMerge w:val="restart"/>
          </w:tcPr>
          <w:p w14:paraId="0B068FC0" w14:textId="77777777" w:rsidR="001C08A5" w:rsidRDefault="001C08A5">
            <w:pPr>
              <w:rPr>
                <w:b/>
                <w:i/>
                <w:iCs/>
                <w:sz w:val="22"/>
                <w:szCs w:val="22"/>
              </w:rPr>
            </w:pPr>
          </w:p>
          <w:p w14:paraId="15C58135" w14:textId="77777777" w:rsidR="001C08A5" w:rsidRDefault="00000000">
            <w:pPr>
              <w:rPr>
                <w:b/>
                <w:i/>
                <w:iCs/>
                <w:sz w:val="22"/>
                <w:szCs w:val="22"/>
              </w:rPr>
            </w:pPr>
            <w:r>
              <w:rPr>
                <w:b/>
                <w:i/>
                <w:iCs/>
                <w:sz w:val="22"/>
                <w:szCs w:val="22"/>
              </w:rPr>
              <w:t>III</w:t>
            </w:r>
          </w:p>
        </w:tc>
        <w:tc>
          <w:tcPr>
            <w:tcW w:w="506" w:type="pct"/>
          </w:tcPr>
          <w:p w14:paraId="54FA9A88" w14:textId="77777777" w:rsidR="001C08A5" w:rsidRDefault="00000000">
            <w:pPr>
              <w:rPr>
                <w:b/>
                <w:i/>
                <w:iCs/>
                <w:sz w:val="22"/>
                <w:szCs w:val="22"/>
              </w:rPr>
            </w:pPr>
            <w:r>
              <w:rPr>
                <w:b/>
                <w:i/>
                <w:iCs/>
                <w:sz w:val="22"/>
                <w:szCs w:val="22"/>
              </w:rPr>
              <w:t>Pereţi</w:t>
            </w:r>
          </w:p>
        </w:tc>
        <w:tc>
          <w:tcPr>
            <w:tcW w:w="922" w:type="pct"/>
          </w:tcPr>
          <w:p w14:paraId="2D0729CD" w14:textId="77777777" w:rsidR="001C08A5" w:rsidRDefault="00000000">
            <w:pPr>
              <w:pStyle w:val="NoSpacing"/>
              <w:suppressAutoHyphens/>
              <w:rPr>
                <w:rFonts w:ascii="Times New Roman" w:hAnsi="Times New Roman"/>
                <w:i/>
                <w:iCs/>
              </w:rPr>
            </w:pPr>
            <w:r>
              <w:rPr>
                <w:rFonts w:ascii="Times New Roman" w:hAnsi="Times New Roman"/>
                <w:b/>
                <w:i/>
                <w:iCs/>
              </w:rPr>
              <w:t xml:space="preserve">EI/REI 30 </w:t>
            </w:r>
          </w:p>
        </w:tc>
        <w:tc>
          <w:tcPr>
            <w:tcW w:w="938" w:type="pct"/>
          </w:tcPr>
          <w:p w14:paraId="06DB6183" w14:textId="77777777" w:rsidR="001C08A5" w:rsidRDefault="00000000">
            <w:pPr>
              <w:pStyle w:val="NoSpacing"/>
              <w:suppressAutoHyphens/>
              <w:rPr>
                <w:rFonts w:ascii="Times New Roman" w:hAnsi="Times New Roman"/>
                <w:i/>
                <w:iCs/>
              </w:rPr>
            </w:pPr>
            <w:r>
              <w:rPr>
                <w:rFonts w:ascii="Times New Roman" w:hAnsi="Times New Roman"/>
                <w:b/>
                <w:i/>
                <w:iCs/>
              </w:rPr>
              <w:t>EI/REI 60 (45)</w:t>
            </w:r>
            <w:r>
              <w:rPr>
                <w:rFonts w:ascii="Times New Roman" w:hAnsi="Times New Roman"/>
                <w:b/>
                <w:i/>
                <w:iCs/>
                <w:vertAlign w:val="superscript"/>
              </w:rPr>
              <w:t>#</w:t>
            </w:r>
          </w:p>
        </w:tc>
        <w:tc>
          <w:tcPr>
            <w:tcW w:w="1357" w:type="pct"/>
          </w:tcPr>
          <w:p w14:paraId="29388F5F" w14:textId="77777777" w:rsidR="001C08A5" w:rsidRDefault="00000000">
            <w:pPr>
              <w:pStyle w:val="NoSpacing"/>
              <w:suppressAutoHyphens/>
              <w:rPr>
                <w:rFonts w:ascii="Times New Roman" w:hAnsi="Times New Roman"/>
                <w:i/>
                <w:iCs/>
              </w:rPr>
            </w:pPr>
            <w:r>
              <w:rPr>
                <w:rFonts w:ascii="Times New Roman" w:hAnsi="Times New Roman"/>
                <w:b/>
                <w:i/>
                <w:iCs/>
              </w:rPr>
              <w:t>EI/REI 90 (60)</w:t>
            </w:r>
            <w:r>
              <w:rPr>
                <w:rFonts w:ascii="Times New Roman" w:hAnsi="Times New Roman"/>
                <w:b/>
                <w:i/>
                <w:iCs/>
                <w:vertAlign w:val="superscript"/>
              </w:rPr>
              <w:t>#</w:t>
            </w:r>
          </w:p>
        </w:tc>
        <w:tc>
          <w:tcPr>
            <w:tcW w:w="1001" w:type="pct"/>
          </w:tcPr>
          <w:p w14:paraId="79E0EC80" w14:textId="77777777" w:rsidR="001C08A5" w:rsidRDefault="00000000">
            <w:pPr>
              <w:pStyle w:val="NoSpacing"/>
              <w:suppressAutoHyphens/>
              <w:rPr>
                <w:rFonts w:ascii="Times New Roman" w:hAnsi="Times New Roman"/>
                <w:b/>
                <w:i/>
                <w:iCs/>
              </w:rPr>
            </w:pPr>
            <w:r>
              <w:rPr>
                <w:rFonts w:ascii="Times New Roman" w:hAnsi="Times New Roman"/>
                <w:b/>
                <w:i/>
                <w:iCs/>
              </w:rPr>
              <w:t>EI/REI 120</w:t>
            </w:r>
          </w:p>
        </w:tc>
      </w:tr>
      <w:tr w:rsidR="001C08A5" w14:paraId="756B0E37" w14:textId="77777777">
        <w:tc>
          <w:tcPr>
            <w:tcW w:w="273" w:type="pct"/>
            <w:vMerge/>
          </w:tcPr>
          <w:p w14:paraId="0FAD16B6" w14:textId="77777777" w:rsidR="001C08A5" w:rsidRDefault="001C08A5">
            <w:pPr>
              <w:rPr>
                <w:b/>
                <w:i/>
                <w:iCs/>
                <w:sz w:val="22"/>
                <w:szCs w:val="22"/>
              </w:rPr>
            </w:pPr>
          </w:p>
        </w:tc>
        <w:tc>
          <w:tcPr>
            <w:tcW w:w="506" w:type="pct"/>
          </w:tcPr>
          <w:p w14:paraId="7E4CFC29" w14:textId="77777777" w:rsidR="001C08A5" w:rsidRDefault="00000000">
            <w:pPr>
              <w:rPr>
                <w:b/>
                <w:i/>
                <w:iCs/>
                <w:sz w:val="22"/>
                <w:szCs w:val="22"/>
              </w:rPr>
            </w:pPr>
            <w:r>
              <w:rPr>
                <w:b/>
                <w:i/>
                <w:iCs/>
                <w:sz w:val="22"/>
                <w:szCs w:val="22"/>
              </w:rPr>
              <w:t>Planşee</w:t>
            </w:r>
          </w:p>
        </w:tc>
        <w:tc>
          <w:tcPr>
            <w:tcW w:w="922" w:type="pct"/>
          </w:tcPr>
          <w:p w14:paraId="6A72AC00" w14:textId="77777777" w:rsidR="001C08A5" w:rsidRDefault="00000000">
            <w:pPr>
              <w:pStyle w:val="NoSpacing"/>
              <w:suppressAutoHyphens/>
              <w:rPr>
                <w:rFonts w:ascii="Times New Roman" w:hAnsi="Times New Roman"/>
                <w:i/>
                <w:iCs/>
              </w:rPr>
            </w:pPr>
            <w:r>
              <w:rPr>
                <w:rFonts w:ascii="Times New Roman" w:hAnsi="Times New Roman"/>
                <w:b/>
                <w:i/>
                <w:iCs/>
              </w:rPr>
              <w:t>**</w:t>
            </w:r>
          </w:p>
        </w:tc>
        <w:tc>
          <w:tcPr>
            <w:tcW w:w="938" w:type="pct"/>
          </w:tcPr>
          <w:p w14:paraId="4C3D669F" w14:textId="77777777" w:rsidR="001C08A5" w:rsidRDefault="00000000">
            <w:pPr>
              <w:pStyle w:val="NoSpacing"/>
              <w:suppressAutoHyphens/>
              <w:rPr>
                <w:rFonts w:ascii="Times New Roman" w:hAnsi="Times New Roman"/>
                <w:i/>
                <w:iCs/>
              </w:rPr>
            </w:pPr>
            <w:r>
              <w:rPr>
                <w:rFonts w:ascii="Times New Roman" w:hAnsi="Times New Roman"/>
                <w:b/>
                <w:i/>
                <w:iCs/>
              </w:rPr>
              <w:t>**</w:t>
            </w:r>
          </w:p>
        </w:tc>
        <w:tc>
          <w:tcPr>
            <w:tcW w:w="1357" w:type="pct"/>
          </w:tcPr>
          <w:p w14:paraId="6A96CDCE" w14:textId="77777777" w:rsidR="001C08A5" w:rsidRDefault="00000000">
            <w:pPr>
              <w:pStyle w:val="NoSpacing"/>
              <w:suppressAutoHyphens/>
              <w:rPr>
                <w:rFonts w:ascii="Times New Roman" w:hAnsi="Times New Roman"/>
                <w:i/>
                <w:iCs/>
              </w:rPr>
            </w:pPr>
            <w:r>
              <w:rPr>
                <w:rFonts w:ascii="Times New Roman" w:hAnsi="Times New Roman"/>
                <w:b/>
                <w:i/>
                <w:iCs/>
              </w:rPr>
              <w:t>REI 60</w:t>
            </w:r>
          </w:p>
        </w:tc>
        <w:tc>
          <w:tcPr>
            <w:tcW w:w="1001" w:type="pct"/>
          </w:tcPr>
          <w:p w14:paraId="36625531" w14:textId="77777777" w:rsidR="001C08A5" w:rsidRDefault="00000000">
            <w:pPr>
              <w:pStyle w:val="NoSpacing"/>
              <w:suppressAutoHyphens/>
              <w:rPr>
                <w:rFonts w:ascii="Times New Roman" w:hAnsi="Times New Roman"/>
                <w:b/>
                <w:i/>
                <w:iCs/>
              </w:rPr>
            </w:pPr>
            <w:r>
              <w:rPr>
                <w:rFonts w:ascii="Times New Roman" w:hAnsi="Times New Roman"/>
                <w:b/>
                <w:i/>
                <w:iCs/>
              </w:rPr>
              <w:t>REI 90</w:t>
            </w:r>
          </w:p>
        </w:tc>
      </w:tr>
      <w:tr w:rsidR="001C08A5" w14:paraId="52CBA7A6" w14:textId="77777777">
        <w:tc>
          <w:tcPr>
            <w:tcW w:w="273" w:type="pct"/>
            <w:vMerge/>
          </w:tcPr>
          <w:p w14:paraId="270D56E2" w14:textId="77777777" w:rsidR="001C08A5" w:rsidRDefault="001C08A5">
            <w:pPr>
              <w:rPr>
                <w:b/>
                <w:i/>
                <w:iCs/>
                <w:sz w:val="22"/>
                <w:szCs w:val="22"/>
              </w:rPr>
            </w:pPr>
          </w:p>
        </w:tc>
        <w:tc>
          <w:tcPr>
            <w:tcW w:w="506" w:type="pct"/>
          </w:tcPr>
          <w:p w14:paraId="45CADC2A" w14:textId="77777777" w:rsidR="001C08A5" w:rsidRDefault="00000000">
            <w:pPr>
              <w:rPr>
                <w:b/>
                <w:i/>
                <w:iCs/>
                <w:sz w:val="22"/>
                <w:szCs w:val="22"/>
              </w:rPr>
            </w:pPr>
            <w:r>
              <w:rPr>
                <w:b/>
                <w:i/>
                <w:iCs/>
                <w:sz w:val="22"/>
                <w:szCs w:val="22"/>
              </w:rPr>
              <w:t xml:space="preserve">Uşi </w:t>
            </w:r>
          </w:p>
        </w:tc>
        <w:tc>
          <w:tcPr>
            <w:tcW w:w="922" w:type="pct"/>
          </w:tcPr>
          <w:p w14:paraId="126D1CB7"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15-C3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 xml:space="preserve">  (EI</w:t>
            </w:r>
            <w:r>
              <w:rPr>
                <w:rFonts w:ascii="Times New Roman" w:hAnsi="Times New Roman"/>
                <w:b/>
                <w:bCs/>
                <w:i/>
                <w:iCs/>
                <w:vertAlign w:val="subscript"/>
              </w:rPr>
              <w:t>2</w:t>
            </w:r>
            <w:r>
              <w:rPr>
                <w:rFonts w:ascii="Times New Roman" w:hAnsi="Times New Roman"/>
                <w:b/>
                <w:bCs/>
                <w:i/>
                <w:iCs/>
              </w:rPr>
              <w:t>20-C3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w:t>
            </w:r>
            <w:r>
              <w:rPr>
                <w:rFonts w:ascii="Times New Roman" w:hAnsi="Times New Roman"/>
                <w:b/>
                <w:i/>
                <w:iCs/>
                <w:vertAlign w:val="superscript"/>
              </w:rPr>
              <w:t xml:space="preserve"> #</w:t>
            </w:r>
          </w:p>
        </w:tc>
        <w:tc>
          <w:tcPr>
            <w:tcW w:w="938" w:type="pct"/>
          </w:tcPr>
          <w:p w14:paraId="7EF349B4"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 xml:space="preserve">  (EI</w:t>
            </w:r>
            <w:r>
              <w:rPr>
                <w:rFonts w:ascii="Times New Roman" w:hAnsi="Times New Roman"/>
                <w:b/>
                <w:bCs/>
                <w:i/>
                <w:iCs/>
                <w:vertAlign w:val="subscript"/>
              </w:rPr>
              <w:t>2</w:t>
            </w:r>
            <w:r>
              <w:rPr>
                <w:rFonts w:ascii="Times New Roman" w:hAnsi="Times New Roman"/>
                <w:b/>
                <w:bCs/>
                <w:i/>
                <w:iCs/>
              </w:rPr>
              <w:t>20-C3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w:t>
            </w:r>
            <w:r>
              <w:rPr>
                <w:rFonts w:ascii="Times New Roman" w:hAnsi="Times New Roman"/>
                <w:b/>
                <w:i/>
                <w:iCs/>
                <w:vertAlign w:val="superscript"/>
              </w:rPr>
              <w:t xml:space="preserve"> #</w:t>
            </w:r>
          </w:p>
        </w:tc>
        <w:tc>
          <w:tcPr>
            <w:tcW w:w="1357" w:type="pct"/>
          </w:tcPr>
          <w:p w14:paraId="565F8B8E" w14:textId="77777777" w:rsidR="001C08A5" w:rsidRDefault="00000000">
            <w:pPr>
              <w:pStyle w:val="NoSpacing"/>
              <w:suppressAutoHyphens/>
              <w:rPr>
                <w:rFonts w:ascii="Times New Roman" w:hAnsi="Times New Roman"/>
                <w:b/>
                <w:bCs/>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p w14:paraId="2A79A885" w14:textId="77777777" w:rsidR="001C08A5" w:rsidRDefault="00000000">
            <w:pPr>
              <w:pStyle w:val="NoSpacing"/>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r>
              <w:rPr>
                <w:rFonts w:ascii="Times New Roman" w:hAnsi="Times New Roman"/>
                <w:b/>
                <w:bCs/>
                <w:i/>
                <w:iCs/>
              </w:rPr>
              <w:t>)</w:t>
            </w:r>
            <w:r>
              <w:rPr>
                <w:rFonts w:ascii="Times New Roman" w:hAnsi="Times New Roman"/>
                <w:b/>
                <w:i/>
                <w:iCs/>
                <w:vertAlign w:val="superscript"/>
              </w:rPr>
              <w:t xml:space="preserve"> #</w:t>
            </w:r>
          </w:p>
        </w:tc>
        <w:tc>
          <w:tcPr>
            <w:tcW w:w="1001" w:type="pct"/>
          </w:tcPr>
          <w:p w14:paraId="1842B94E" w14:textId="77777777" w:rsidR="001C08A5" w:rsidRDefault="00000000">
            <w:pPr>
              <w:pStyle w:val="NoSpacing"/>
              <w:rPr>
                <w:rFonts w:ascii="Times New Roman" w:hAnsi="Times New Roman"/>
                <w:b/>
                <w:bCs/>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200</w:t>
            </w:r>
          </w:p>
        </w:tc>
      </w:tr>
      <w:tr w:rsidR="001C08A5" w14:paraId="712F1B34" w14:textId="77777777">
        <w:tc>
          <w:tcPr>
            <w:tcW w:w="273" w:type="pct"/>
            <w:vMerge w:val="restart"/>
          </w:tcPr>
          <w:p w14:paraId="69EB5BA0" w14:textId="77777777" w:rsidR="001C08A5" w:rsidRDefault="001C08A5">
            <w:pPr>
              <w:rPr>
                <w:b/>
                <w:i/>
                <w:iCs/>
                <w:sz w:val="22"/>
                <w:szCs w:val="22"/>
              </w:rPr>
            </w:pPr>
          </w:p>
          <w:p w14:paraId="0526FE8B" w14:textId="77777777" w:rsidR="001C08A5" w:rsidRDefault="00000000">
            <w:pPr>
              <w:rPr>
                <w:b/>
                <w:i/>
                <w:iCs/>
                <w:sz w:val="22"/>
                <w:szCs w:val="22"/>
              </w:rPr>
            </w:pPr>
            <w:r>
              <w:rPr>
                <w:b/>
                <w:i/>
                <w:iCs/>
                <w:sz w:val="22"/>
                <w:szCs w:val="22"/>
              </w:rPr>
              <w:t>IV</w:t>
            </w:r>
          </w:p>
        </w:tc>
        <w:tc>
          <w:tcPr>
            <w:tcW w:w="506" w:type="pct"/>
          </w:tcPr>
          <w:p w14:paraId="43FFBFCF" w14:textId="77777777" w:rsidR="001C08A5" w:rsidRDefault="00000000">
            <w:pPr>
              <w:rPr>
                <w:b/>
                <w:i/>
                <w:iCs/>
                <w:sz w:val="22"/>
                <w:szCs w:val="22"/>
              </w:rPr>
            </w:pPr>
            <w:r>
              <w:rPr>
                <w:b/>
                <w:i/>
                <w:iCs/>
                <w:sz w:val="22"/>
                <w:szCs w:val="22"/>
              </w:rPr>
              <w:t>Pereţi</w:t>
            </w:r>
          </w:p>
        </w:tc>
        <w:tc>
          <w:tcPr>
            <w:tcW w:w="922" w:type="pct"/>
          </w:tcPr>
          <w:p w14:paraId="456E5392" w14:textId="77777777" w:rsidR="001C08A5" w:rsidRDefault="00000000">
            <w:pPr>
              <w:pStyle w:val="NoSpacing"/>
              <w:suppressAutoHyphens/>
              <w:rPr>
                <w:rFonts w:ascii="Times New Roman" w:hAnsi="Times New Roman"/>
                <w:i/>
                <w:iCs/>
              </w:rPr>
            </w:pPr>
            <w:r>
              <w:rPr>
                <w:rFonts w:ascii="Times New Roman" w:hAnsi="Times New Roman"/>
                <w:b/>
                <w:i/>
                <w:iCs/>
              </w:rPr>
              <w:t>EI/REI 15</w:t>
            </w:r>
          </w:p>
        </w:tc>
        <w:tc>
          <w:tcPr>
            <w:tcW w:w="938" w:type="pct"/>
          </w:tcPr>
          <w:p w14:paraId="3488ED0B" w14:textId="77777777" w:rsidR="001C08A5" w:rsidRDefault="00000000">
            <w:pPr>
              <w:pStyle w:val="NoSpacing"/>
              <w:suppressAutoHyphens/>
              <w:rPr>
                <w:rFonts w:ascii="Times New Roman" w:hAnsi="Times New Roman"/>
                <w:i/>
                <w:iCs/>
              </w:rPr>
            </w:pPr>
            <w:r>
              <w:rPr>
                <w:rFonts w:ascii="Times New Roman" w:hAnsi="Times New Roman"/>
                <w:b/>
                <w:i/>
                <w:iCs/>
              </w:rPr>
              <w:t xml:space="preserve">EI/REI 45 </w:t>
            </w:r>
          </w:p>
        </w:tc>
        <w:tc>
          <w:tcPr>
            <w:tcW w:w="1357" w:type="pct"/>
          </w:tcPr>
          <w:p w14:paraId="03FA9325" w14:textId="77777777" w:rsidR="001C08A5" w:rsidRDefault="00000000">
            <w:pPr>
              <w:pStyle w:val="NoSpacing"/>
              <w:suppressAutoHyphens/>
              <w:rPr>
                <w:rFonts w:ascii="Times New Roman" w:hAnsi="Times New Roman"/>
                <w:i/>
                <w:iCs/>
              </w:rPr>
            </w:pPr>
            <w:r>
              <w:rPr>
                <w:rFonts w:ascii="Times New Roman" w:hAnsi="Times New Roman"/>
                <w:b/>
                <w:i/>
                <w:iCs/>
              </w:rPr>
              <w:t xml:space="preserve">EI/REI 60 </w:t>
            </w:r>
          </w:p>
        </w:tc>
        <w:tc>
          <w:tcPr>
            <w:tcW w:w="1001" w:type="pct"/>
          </w:tcPr>
          <w:p w14:paraId="3EEBA53E" w14:textId="77777777" w:rsidR="001C08A5" w:rsidRDefault="00000000">
            <w:pPr>
              <w:pStyle w:val="NoSpacing"/>
              <w:suppressAutoHyphens/>
              <w:rPr>
                <w:rFonts w:ascii="Times New Roman" w:hAnsi="Times New Roman"/>
                <w:b/>
                <w:i/>
                <w:iCs/>
              </w:rPr>
            </w:pPr>
            <w:r>
              <w:rPr>
                <w:rFonts w:ascii="Times New Roman" w:hAnsi="Times New Roman"/>
                <w:b/>
                <w:i/>
                <w:iCs/>
              </w:rPr>
              <w:t>EI/REI 90</w:t>
            </w:r>
          </w:p>
        </w:tc>
      </w:tr>
      <w:tr w:rsidR="001C08A5" w14:paraId="1CAB511D" w14:textId="77777777">
        <w:tc>
          <w:tcPr>
            <w:tcW w:w="273" w:type="pct"/>
            <w:vMerge/>
          </w:tcPr>
          <w:p w14:paraId="3733985F" w14:textId="77777777" w:rsidR="001C08A5" w:rsidRDefault="001C08A5">
            <w:pPr>
              <w:rPr>
                <w:b/>
                <w:i/>
                <w:iCs/>
                <w:sz w:val="22"/>
                <w:szCs w:val="22"/>
              </w:rPr>
            </w:pPr>
          </w:p>
        </w:tc>
        <w:tc>
          <w:tcPr>
            <w:tcW w:w="506" w:type="pct"/>
          </w:tcPr>
          <w:p w14:paraId="51693F5D" w14:textId="77777777" w:rsidR="001C08A5" w:rsidRDefault="00000000">
            <w:pPr>
              <w:rPr>
                <w:b/>
                <w:i/>
                <w:iCs/>
                <w:sz w:val="22"/>
                <w:szCs w:val="22"/>
              </w:rPr>
            </w:pPr>
            <w:r>
              <w:rPr>
                <w:b/>
                <w:i/>
                <w:iCs/>
                <w:sz w:val="22"/>
                <w:szCs w:val="22"/>
              </w:rPr>
              <w:t>Planşee</w:t>
            </w:r>
          </w:p>
        </w:tc>
        <w:tc>
          <w:tcPr>
            <w:tcW w:w="922" w:type="pct"/>
          </w:tcPr>
          <w:p w14:paraId="4DB0BE3B" w14:textId="77777777" w:rsidR="001C08A5" w:rsidRDefault="00000000">
            <w:pPr>
              <w:pStyle w:val="NoSpacing"/>
              <w:suppressAutoHyphens/>
              <w:rPr>
                <w:rFonts w:ascii="Times New Roman" w:hAnsi="Times New Roman"/>
                <w:i/>
                <w:iCs/>
              </w:rPr>
            </w:pPr>
            <w:r>
              <w:rPr>
                <w:rFonts w:ascii="Times New Roman" w:hAnsi="Times New Roman"/>
                <w:b/>
                <w:i/>
                <w:iCs/>
              </w:rPr>
              <w:t>**</w:t>
            </w:r>
          </w:p>
        </w:tc>
        <w:tc>
          <w:tcPr>
            <w:tcW w:w="938" w:type="pct"/>
          </w:tcPr>
          <w:p w14:paraId="107EC969" w14:textId="77777777" w:rsidR="001C08A5" w:rsidRDefault="00000000">
            <w:pPr>
              <w:pStyle w:val="NoSpacing"/>
              <w:suppressAutoHyphens/>
              <w:rPr>
                <w:rFonts w:ascii="Times New Roman" w:hAnsi="Times New Roman"/>
                <w:i/>
                <w:iCs/>
              </w:rPr>
            </w:pPr>
            <w:r>
              <w:rPr>
                <w:rFonts w:ascii="Times New Roman" w:hAnsi="Times New Roman"/>
                <w:b/>
                <w:i/>
                <w:iCs/>
              </w:rPr>
              <w:t>REI 30</w:t>
            </w:r>
          </w:p>
        </w:tc>
        <w:tc>
          <w:tcPr>
            <w:tcW w:w="1357" w:type="pct"/>
          </w:tcPr>
          <w:p w14:paraId="6B016ACD" w14:textId="77777777" w:rsidR="001C08A5" w:rsidRDefault="00000000">
            <w:pPr>
              <w:pStyle w:val="NoSpacing"/>
              <w:suppressAutoHyphens/>
              <w:rPr>
                <w:rFonts w:ascii="Times New Roman" w:hAnsi="Times New Roman"/>
                <w:i/>
                <w:iCs/>
              </w:rPr>
            </w:pPr>
            <w:r>
              <w:rPr>
                <w:rFonts w:ascii="Times New Roman" w:hAnsi="Times New Roman"/>
                <w:b/>
                <w:i/>
                <w:iCs/>
              </w:rPr>
              <w:t>REI 45</w:t>
            </w:r>
          </w:p>
        </w:tc>
        <w:tc>
          <w:tcPr>
            <w:tcW w:w="1001" w:type="pct"/>
          </w:tcPr>
          <w:p w14:paraId="306B3A60" w14:textId="77777777" w:rsidR="001C08A5" w:rsidRDefault="00000000">
            <w:pPr>
              <w:pStyle w:val="NoSpacing"/>
              <w:suppressAutoHyphens/>
              <w:rPr>
                <w:rFonts w:ascii="Times New Roman" w:hAnsi="Times New Roman"/>
                <w:b/>
                <w:i/>
                <w:iCs/>
              </w:rPr>
            </w:pPr>
            <w:r>
              <w:rPr>
                <w:rFonts w:ascii="Times New Roman" w:hAnsi="Times New Roman"/>
                <w:b/>
                <w:i/>
                <w:iCs/>
              </w:rPr>
              <w:t>REI 60</w:t>
            </w:r>
          </w:p>
        </w:tc>
      </w:tr>
      <w:tr w:rsidR="001C08A5" w14:paraId="245E9054" w14:textId="77777777">
        <w:tc>
          <w:tcPr>
            <w:tcW w:w="273" w:type="pct"/>
            <w:vMerge/>
          </w:tcPr>
          <w:p w14:paraId="73539003" w14:textId="77777777" w:rsidR="001C08A5" w:rsidRDefault="001C08A5">
            <w:pPr>
              <w:rPr>
                <w:b/>
                <w:i/>
                <w:iCs/>
                <w:sz w:val="22"/>
                <w:szCs w:val="22"/>
              </w:rPr>
            </w:pPr>
          </w:p>
        </w:tc>
        <w:tc>
          <w:tcPr>
            <w:tcW w:w="506" w:type="pct"/>
          </w:tcPr>
          <w:p w14:paraId="67C8B20E" w14:textId="77777777" w:rsidR="001C08A5" w:rsidRDefault="00000000">
            <w:pPr>
              <w:rPr>
                <w:b/>
                <w:i/>
                <w:iCs/>
                <w:sz w:val="22"/>
                <w:szCs w:val="22"/>
              </w:rPr>
            </w:pPr>
            <w:r>
              <w:rPr>
                <w:b/>
                <w:i/>
                <w:iCs/>
                <w:sz w:val="22"/>
                <w:szCs w:val="22"/>
              </w:rPr>
              <w:t xml:space="preserve">Uşi </w:t>
            </w:r>
          </w:p>
        </w:tc>
        <w:tc>
          <w:tcPr>
            <w:tcW w:w="922" w:type="pct"/>
          </w:tcPr>
          <w:p w14:paraId="1963C3BE" w14:textId="77777777" w:rsidR="001C08A5" w:rsidRDefault="00000000">
            <w:pPr>
              <w:pStyle w:val="NoSpacing"/>
              <w:suppressAutoHyphens/>
              <w:rPr>
                <w:rFonts w:ascii="Times New Roman" w:hAnsi="Times New Roman"/>
                <w:i/>
                <w:iCs/>
              </w:rPr>
            </w:pPr>
            <w:r>
              <w:rPr>
                <w:rFonts w:ascii="Times New Roman" w:hAnsi="Times New Roman"/>
                <w:b/>
                <w:bCs/>
                <w:i/>
                <w:iCs/>
              </w:rPr>
              <w:t>C3</w:t>
            </w:r>
            <w:r>
              <w:rPr>
                <w:rFonts w:ascii="Times New Roman" w:hAnsi="Times New Roman"/>
                <w:b/>
                <w:i/>
                <w:iCs/>
              </w:rPr>
              <w:t>S</w:t>
            </w:r>
            <w:r>
              <w:rPr>
                <w:rFonts w:ascii="Times New Roman" w:hAnsi="Times New Roman"/>
                <w:b/>
                <w:bCs/>
                <w:i/>
                <w:iCs/>
                <w:vertAlign w:val="subscript"/>
              </w:rPr>
              <w:t>200</w:t>
            </w:r>
          </w:p>
        </w:tc>
        <w:tc>
          <w:tcPr>
            <w:tcW w:w="938" w:type="pct"/>
          </w:tcPr>
          <w:p w14:paraId="2358FEC8"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20-C3</w:t>
            </w:r>
            <w:r>
              <w:rPr>
                <w:rFonts w:ascii="Times New Roman" w:hAnsi="Times New Roman"/>
                <w:b/>
                <w:i/>
                <w:iCs/>
              </w:rPr>
              <w:t>S</w:t>
            </w:r>
            <w:r>
              <w:rPr>
                <w:rFonts w:ascii="Times New Roman" w:hAnsi="Times New Roman"/>
                <w:b/>
                <w:bCs/>
                <w:i/>
                <w:iCs/>
                <w:vertAlign w:val="subscript"/>
              </w:rPr>
              <w:t>200</w:t>
            </w:r>
          </w:p>
        </w:tc>
        <w:tc>
          <w:tcPr>
            <w:tcW w:w="1357" w:type="pct"/>
          </w:tcPr>
          <w:p w14:paraId="2832FF52" w14:textId="77777777" w:rsidR="001C08A5" w:rsidRDefault="00000000">
            <w:pPr>
              <w:pStyle w:val="NoSpacing"/>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p>
        </w:tc>
        <w:tc>
          <w:tcPr>
            <w:tcW w:w="1001" w:type="pct"/>
          </w:tcPr>
          <w:p w14:paraId="4779BD43" w14:textId="77777777" w:rsidR="001C08A5" w:rsidRDefault="00000000">
            <w:pPr>
              <w:pStyle w:val="NoSpacing"/>
              <w:rPr>
                <w:rFonts w:ascii="Times New Roman" w:hAnsi="Times New Roman"/>
                <w:b/>
                <w:bCs/>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tc>
      </w:tr>
      <w:tr w:rsidR="001C08A5" w14:paraId="2C71ABD4" w14:textId="77777777">
        <w:tc>
          <w:tcPr>
            <w:tcW w:w="273" w:type="pct"/>
            <w:vMerge w:val="restart"/>
          </w:tcPr>
          <w:p w14:paraId="5AD3A9F3" w14:textId="77777777" w:rsidR="001C08A5" w:rsidRDefault="001C08A5">
            <w:pPr>
              <w:rPr>
                <w:b/>
                <w:i/>
                <w:iCs/>
                <w:sz w:val="22"/>
                <w:szCs w:val="22"/>
              </w:rPr>
            </w:pPr>
          </w:p>
          <w:p w14:paraId="052BBB67" w14:textId="77777777" w:rsidR="001C08A5" w:rsidRDefault="00000000">
            <w:pPr>
              <w:rPr>
                <w:b/>
                <w:i/>
                <w:iCs/>
                <w:sz w:val="22"/>
                <w:szCs w:val="22"/>
              </w:rPr>
            </w:pPr>
            <w:r>
              <w:rPr>
                <w:b/>
                <w:i/>
                <w:iCs/>
                <w:sz w:val="22"/>
                <w:szCs w:val="22"/>
              </w:rPr>
              <w:t>V</w:t>
            </w:r>
          </w:p>
        </w:tc>
        <w:tc>
          <w:tcPr>
            <w:tcW w:w="506" w:type="pct"/>
          </w:tcPr>
          <w:p w14:paraId="79C11603" w14:textId="77777777" w:rsidR="001C08A5" w:rsidRDefault="00000000">
            <w:pPr>
              <w:rPr>
                <w:b/>
                <w:i/>
                <w:iCs/>
                <w:sz w:val="22"/>
                <w:szCs w:val="22"/>
              </w:rPr>
            </w:pPr>
            <w:r>
              <w:rPr>
                <w:b/>
                <w:i/>
                <w:iCs/>
                <w:sz w:val="22"/>
                <w:szCs w:val="22"/>
              </w:rPr>
              <w:t>Pereţi</w:t>
            </w:r>
          </w:p>
        </w:tc>
        <w:tc>
          <w:tcPr>
            <w:tcW w:w="922" w:type="pct"/>
          </w:tcPr>
          <w:p w14:paraId="7F7668BF" w14:textId="77777777" w:rsidR="001C08A5" w:rsidRDefault="00000000">
            <w:pPr>
              <w:pStyle w:val="NoSpacing"/>
              <w:suppressAutoHyphens/>
              <w:rPr>
                <w:rFonts w:ascii="Times New Roman" w:hAnsi="Times New Roman"/>
                <w:i/>
                <w:iCs/>
              </w:rPr>
            </w:pPr>
            <w:r>
              <w:rPr>
                <w:rFonts w:ascii="Times New Roman" w:hAnsi="Times New Roman"/>
                <w:b/>
                <w:i/>
                <w:iCs/>
              </w:rPr>
              <w:t>EI/REI 15</w:t>
            </w:r>
          </w:p>
        </w:tc>
        <w:tc>
          <w:tcPr>
            <w:tcW w:w="938" w:type="pct"/>
          </w:tcPr>
          <w:p w14:paraId="7C9D6ABC" w14:textId="77777777" w:rsidR="001C08A5" w:rsidRDefault="00000000">
            <w:pPr>
              <w:pStyle w:val="NoSpacing"/>
              <w:suppressAutoHyphens/>
              <w:rPr>
                <w:rFonts w:ascii="Times New Roman" w:hAnsi="Times New Roman"/>
                <w:i/>
                <w:iCs/>
              </w:rPr>
            </w:pPr>
            <w:r>
              <w:rPr>
                <w:rFonts w:ascii="Times New Roman" w:hAnsi="Times New Roman"/>
                <w:b/>
                <w:i/>
                <w:iCs/>
              </w:rPr>
              <w:t>EI/REI 30</w:t>
            </w:r>
          </w:p>
        </w:tc>
        <w:tc>
          <w:tcPr>
            <w:tcW w:w="1357" w:type="pct"/>
          </w:tcPr>
          <w:p w14:paraId="3E14982C" w14:textId="77777777" w:rsidR="001C08A5" w:rsidRDefault="00000000">
            <w:pPr>
              <w:pStyle w:val="NoSpacing"/>
              <w:suppressAutoHyphens/>
              <w:rPr>
                <w:rFonts w:ascii="Times New Roman" w:hAnsi="Times New Roman"/>
                <w:i/>
                <w:iCs/>
              </w:rPr>
            </w:pPr>
            <w:r>
              <w:rPr>
                <w:rFonts w:ascii="Times New Roman" w:hAnsi="Times New Roman"/>
                <w:b/>
                <w:i/>
                <w:iCs/>
              </w:rPr>
              <w:t>EI/REI 45</w:t>
            </w:r>
          </w:p>
        </w:tc>
        <w:tc>
          <w:tcPr>
            <w:tcW w:w="1001" w:type="pct"/>
          </w:tcPr>
          <w:p w14:paraId="371E9CC9" w14:textId="77777777" w:rsidR="001C08A5" w:rsidRDefault="00000000">
            <w:pPr>
              <w:pStyle w:val="NoSpacing"/>
              <w:suppressAutoHyphens/>
              <w:rPr>
                <w:rFonts w:ascii="Times New Roman" w:hAnsi="Times New Roman"/>
                <w:b/>
                <w:i/>
                <w:iCs/>
              </w:rPr>
            </w:pPr>
            <w:r>
              <w:rPr>
                <w:rFonts w:ascii="Times New Roman" w:hAnsi="Times New Roman"/>
                <w:b/>
                <w:i/>
                <w:iCs/>
              </w:rPr>
              <w:t xml:space="preserve">EI/REI 90 </w:t>
            </w:r>
          </w:p>
        </w:tc>
      </w:tr>
      <w:tr w:rsidR="001C08A5" w14:paraId="0320B982" w14:textId="77777777">
        <w:tc>
          <w:tcPr>
            <w:tcW w:w="273" w:type="pct"/>
            <w:vMerge/>
          </w:tcPr>
          <w:p w14:paraId="1FD9B192" w14:textId="77777777" w:rsidR="001C08A5" w:rsidRDefault="001C08A5">
            <w:pPr>
              <w:rPr>
                <w:i/>
                <w:iCs/>
                <w:sz w:val="22"/>
                <w:szCs w:val="22"/>
              </w:rPr>
            </w:pPr>
          </w:p>
        </w:tc>
        <w:tc>
          <w:tcPr>
            <w:tcW w:w="506" w:type="pct"/>
          </w:tcPr>
          <w:p w14:paraId="7D7DE170" w14:textId="77777777" w:rsidR="001C08A5" w:rsidRDefault="00000000">
            <w:pPr>
              <w:rPr>
                <w:b/>
                <w:i/>
                <w:iCs/>
                <w:sz w:val="22"/>
                <w:szCs w:val="22"/>
              </w:rPr>
            </w:pPr>
            <w:r>
              <w:rPr>
                <w:b/>
                <w:i/>
                <w:iCs/>
                <w:sz w:val="22"/>
                <w:szCs w:val="22"/>
              </w:rPr>
              <w:t>Planşee</w:t>
            </w:r>
          </w:p>
        </w:tc>
        <w:tc>
          <w:tcPr>
            <w:tcW w:w="922" w:type="pct"/>
          </w:tcPr>
          <w:p w14:paraId="613E76C1" w14:textId="77777777" w:rsidR="001C08A5" w:rsidRDefault="00000000">
            <w:pPr>
              <w:pStyle w:val="NoSpacing"/>
              <w:suppressAutoHyphens/>
              <w:rPr>
                <w:rFonts w:ascii="Times New Roman" w:hAnsi="Times New Roman"/>
                <w:i/>
                <w:iCs/>
              </w:rPr>
            </w:pPr>
            <w:r>
              <w:rPr>
                <w:rFonts w:ascii="Times New Roman" w:hAnsi="Times New Roman"/>
                <w:b/>
                <w:i/>
                <w:iCs/>
              </w:rPr>
              <w:t>**</w:t>
            </w:r>
          </w:p>
        </w:tc>
        <w:tc>
          <w:tcPr>
            <w:tcW w:w="938" w:type="pct"/>
          </w:tcPr>
          <w:p w14:paraId="345EA7B3" w14:textId="77777777" w:rsidR="001C08A5" w:rsidRDefault="00000000">
            <w:pPr>
              <w:pStyle w:val="NoSpacing"/>
              <w:suppressAutoHyphens/>
              <w:rPr>
                <w:rFonts w:ascii="Times New Roman" w:hAnsi="Times New Roman"/>
                <w:i/>
                <w:iCs/>
              </w:rPr>
            </w:pPr>
            <w:r>
              <w:rPr>
                <w:rFonts w:ascii="Times New Roman" w:hAnsi="Times New Roman"/>
                <w:b/>
                <w:i/>
                <w:iCs/>
              </w:rPr>
              <w:t>REI 15</w:t>
            </w:r>
          </w:p>
        </w:tc>
        <w:tc>
          <w:tcPr>
            <w:tcW w:w="1357" w:type="pct"/>
          </w:tcPr>
          <w:p w14:paraId="2E5452D9" w14:textId="77777777" w:rsidR="001C08A5" w:rsidRDefault="00000000">
            <w:pPr>
              <w:pStyle w:val="NoSpacing"/>
              <w:suppressAutoHyphens/>
              <w:rPr>
                <w:rFonts w:ascii="Times New Roman" w:hAnsi="Times New Roman"/>
                <w:i/>
                <w:iCs/>
              </w:rPr>
            </w:pPr>
            <w:r>
              <w:rPr>
                <w:rFonts w:ascii="Times New Roman" w:hAnsi="Times New Roman"/>
                <w:b/>
                <w:i/>
                <w:iCs/>
              </w:rPr>
              <w:t>REI 30</w:t>
            </w:r>
          </w:p>
        </w:tc>
        <w:tc>
          <w:tcPr>
            <w:tcW w:w="1001" w:type="pct"/>
          </w:tcPr>
          <w:p w14:paraId="73FB19FB" w14:textId="77777777" w:rsidR="001C08A5" w:rsidRDefault="00000000">
            <w:pPr>
              <w:pStyle w:val="NoSpacing"/>
              <w:suppressAutoHyphens/>
              <w:rPr>
                <w:rFonts w:ascii="Times New Roman" w:hAnsi="Times New Roman"/>
                <w:b/>
                <w:i/>
                <w:iCs/>
              </w:rPr>
            </w:pPr>
            <w:r>
              <w:rPr>
                <w:rFonts w:ascii="Times New Roman" w:hAnsi="Times New Roman"/>
                <w:b/>
                <w:i/>
                <w:iCs/>
              </w:rPr>
              <w:t xml:space="preserve">REI 60  </w:t>
            </w:r>
          </w:p>
        </w:tc>
      </w:tr>
      <w:tr w:rsidR="001C08A5" w14:paraId="03084ED1" w14:textId="77777777">
        <w:tc>
          <w:tcPr>
            <w:tcW w:w="273" w:type="pct"/>
            <w:vMerge/>
          </w:tcPr>
          <w:p w14:paraId="19796581" w14:textId="77777777" w:rsidR="001C08A5" w:rsidRDefault="001C08A5">
            <w:pPr>
              <w:rPr>
                <w:i/>
                <w:iCs/>
                <w:sz w:val="22"/>
                <w:szCs w:val="22"/>
              </w:rPr>
            </w:pPr>
          </w:p>
        </w:tc>
        <w:tc>
          <w:tcPr>
            <w:tcW w:w="506" w:type="pct"/>
          </w:tcPr>
          <w:p w14:paraId="6137BEF6" w14:textId="77777777" w:rsidR="001C08A5" w:rsidRDefault="00000000">
            <w:pPr>
              <w:rPr>
                <w:b/>
                <w:i/>
                <w:iCs/>
                <w:sz w:val="22"/>
                <w:szCs w:val="22"/>
              </w:rPr>
            </w:pPr>
            <w:r>
              <w:rPr>
                <w:b/>
                <w:i/>
                <w:iCs/>
                <w:sz w:val="22"/>
                <w:szCs w:val="22"/>
              </w:rPr>
              <w:t xml:space="preserve">Uşi </w:t>
            </w:r>
          </w:p>
        </w:tc>
        <w:tc>
          <w:tcPr>
            <w:tcW w:w="922" w:type="pct"/>
          </w:tcPr>
          <w:p w14:paraId="32A5BD95" w14:textId="77777777" w:rsidR="001C08A5" w:rsidRDefault="00000000">
            <w:pPr>
              <w:pStyle w:val="NoSpacing"/>
              <w:suppressAutoHyphens/>
              <w:rPr>
                <w:rFonts w:ascii="Times New Roman" w:hAnsi="Times New Roman"/>
                <w:i/>
                <w:iCs/>
              </w:rPr>
            </w:pPr>
            <w:r>
              <w:rPr>
                <w:rFonts w:ascii="Times New Roman" w:hAnsi="Times New Roman"/>
                <w:b/>
                <w:bCs/>
                <w:i/>
                <w:iCs/>
              </w:rPr>
              <w:t>C3</w:t>
            </w:r>
          </w:p>
        </w:tc>
        <w:tc>
          <w:tcPr>
            <w:tcW w:w="938" w:type="pct"/>
          </w:tcPr>
          <w:p w14:paraId="1B66CB48"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15-C3</w:t>
            </w:r>
            <w:r>
              <w:rPr>
                <w:rFonts w:ascii="Times New Roman" w:hAnsi="Times New Roman"/>
                <w:b/>
                <w:i/>
                <w:iCs/>
              </w:rPr>
              <w:t>S</w:t>
            </w:r>
            <w:r>
              <w:rPr>
                <w:rFonts w:ascii="Times New Roman" w:hAnsi="Times New Roman"/>
                <w:b/>
                <w:bCs/>
                <w:i/>
                <w:iCs/>
                <w:vertAlign w:val="subscript"/>
              </w:rPr>
              <w:t>200</w:t>
            </w:r>
          </w:p>
        </w:tc>
        <w:tc>
          <w:tcPr>
            <w:tcW w:w="1357" w:type="pct"/>
          </w:tcPr>
          <w:p w14:paraId="51914DF1" w14:textId="77777777" w:rsidR="001C08A5" w:rsidRDefault="00000000">
            <w:pPr>
              <w:pStyle w:val="NoSpacing"/>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20-C3</w:t>
            </w:r>
            <w:r>
              <w:rPr>
                <w:rFonts w:ascii="Times New Roman" w:hAnsi="Times New Roman"/>
                <w:b/>
                <w:i/>
                <w:iCs/>
              </w:rPr>
              <w:t>S</w:t>
            </w:r>
            <w:r>
              <w:rPr>
                <w:rFonts w:ascii="Times New Roman" w:hAnsi="Times New Roman"/>
                <w:b/>
                <w:bCs/>
                <w:i/>
                <w:iCs/>
                <w:vertAlign w:val="subscript"/>
              </w:rPr>
              <w:t>200</w:t>
            </w:r>
          </w:p>
        </w:tc>
        <w:tc>
          <w:tcPr>
            <w:tcW w:w="1001" w:type="pct"/>
          </w:tcPr>
          <w:p w14:paraId="4E67E6A6" w14:textId="77777777" w:rsidR="001C08A5" w:rsidRDefault="00000000">
            <w:pPr>
              <w:pStyle w:val="NoSpacing"/>
              <w:rPr>
                <w:rFonts w:ascii="Times New Roman" w:hAnsi="Times New Roman"/>
                <w:b/>
                <w:bCs/>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tc>
      </w:tr>
    </w:tbl>
    <w:p w14:paraId="70C4599A" w14:textId="77777777" w:rsidR="001C08A5" w:rsidRDefault="00000000">
      <w:pPr>
        <w:jc w:val="both"/>
        <w:rPr>
          <w:i/>
          <w:sz w:val="22"/>
          <w:szCs w:val="22"/>
        </w:rPr>
      </w:pPr>
      <w:r>
        <w:rPr>
          <w:i/>
          <w:sz w:val="22"/>
          <w:szCs w:val="22"/>
          <w:u w:val="single"/>
        </w:rPr>
        <w:t>Note</w:t>
      </w:r>
      <w:r>
        <w:rPr>
          <w:i/>
          <w:sz w:val="22"/>
          <w:szCs w:val="22"/>
        </w:rPr>
        <w:t xml:space="preserve">:    </w:t>
      </w:r>
    </w:p>
    <w:p w14:paraId="37AE5332" w14:textId="77777777" w:rsidR="001C08A5" w:rsidRDefault="00000000">
      <w:pPr>
        <w:pStyle w:val="NoSpacing"/>
        <w:jc w:val="both"/>
        <w:rPr>
          <w:rFonts w:ascii="Times New Roman" w:hAnsi="Times New Roman"/>
          <w:i/>
        </w:rPr>
      </w:pPr>
      <w:r>
        <w:rPr>
          <w:rFonts w:ascii="Times New Roman" w:hAnsi="Times New Roman"/>
          <w:i/>
        </w:rPr>
        <w:t>* - nu se referă la clădiri înalte sau foarte înalte</w:t>
      </w:r>
    </w:p>
    <w:p w14:paraId="35BA8573" w14:textId="77777777" w:rsidR="001C08A5" w:rsidRDefault="00000000">
      <w:pPr>
        <w:pStyle w:val="NoSpacing"/>
        <w:jc w:val="both"/>
        <w:rPr>
          <w:rFonts w:ascii="Times New Roman" w:hAnsi="Times New Roman"/>
          <w:i/>
        </w:rPr>
      </w:pPr>
      <w:r>
        <w:rPr>
          <w:rFonts w:ascii="Times New Roman" w:hAnsi="Times New Roman"/>
          <w:i/>
        </w:rPr>
        <w:t xml:space="preserve">** - conform încadrare planșee în nivel de stabilitate la incendiu </w:t>
      </w:r>
    </w:p>
    <w:p w14:paraId="4F9E4FEA" w14:textId="77777777" w:rsidR="001C08A5" w:rsidRDefault="00000000">
      <w:pPr>
        <w:pStyle w:val="NoSpacing"/>
        <w:jc w:val="both"/>
        <w:rPr>
          <w:rFonts w:ascii="Times New Roman" w:hAnsi="Times New Roman"/>
        </w:rPr>
      </w:pPr>
      <w:r>
        <w:rPr>
          <w:rFonts w:ascii="Times New Roman" w:hAnsi="Times New Roman"/>
          <w:i/>
          <w:vertAlign w:val="superscript"/>
        </w:rPr>
        <w:t>#</w:t>
      </w:r>
      <w:r>
        <w:rPr>
          <w:rFonts w:ascii="Times New Roman" w:hAnsi="Times New Roman"/>
          <w:i/>
        </w:rPr>
        <w:t xml:space="preserve"> - valorile din paranteze se aplică în cazurile în care încăperile sunt echipate cu instalaţii automate de stingere a incendiilor.</w:t>
      </w:r>
    </w:p>
    <w:p w14:paraId="076C9443" w14:textId="77777777" w:rsidR="001C08A5" w:rsidRDefault="00000000">
      <w:pPr>
        <w:jc w:val="both"/>
        <w:rPr>
          <w:sz w:val="24"/>
          <w:szCs w:val="24"/>
        </w:rPr>
      </w:pPr>
      <w:r>
        <w:rPr>
          <w:sz w:val="24"/>
          <w:szCs w:val="24"/>
        </w:rPr>
        <w:tab/>
      </w:r>
    </w:p>
    <w:p w14:paraId="6B80700E" w14:textId="77777777" w:rsidR="001C08A5" w:rsidRDefault="00000000">
      <w:pPr>
        <w:pStyle w:val="BodyText"/>
        <w:ind w:firstLine="720"/>
        <w:rPr>
          <w:b w:val="0"/>
          <w:i w:val="0"/>
          <w:iCs/>
        </w:rPr>
      </w:pPr>
      <w:r>
        <w:rPr>
          <w:i w:val="0"/>
          <w:iCs/>
        </w:rPr>
        <w:t xml:space="preserve">(2) </w:t>
      </w:r>
      <w:r>
        <w:rPr>
          <w:b w:val="0"/>
          <w:bCs w:val="0"/>
          <w:i w:val="0"/>
          <w:iCs/>
        </w:rPr>
        <w:t xml:space="preserve">Încăperile de depozitare a produselor şi substanţelor combustibile cu aria utilă mai mică sau egală de </w:t>
      </w:r>
      <w:r>
        <w:rPr>
          <w:i w:val="0"/>
          <w:iCs/>
        </w:rPr>
        <w:t>36 m</w:t>
      </w:r>
      <w:r>
        <w:rPr>
          <w:i w:val="0"/>
          <w:iCs/>
          <w:vertAlign w:val="superscript"/>
        </w:rPr>
        <w:t>2</w:t>
      </w:r>
      <w:r>
        <w:rPr>
          <w:b w:val="0"/>
          <w:bCs w:val="0"/>
          <w:i w:val="0"/>
          <w:iCs/>
        </w:rPr>
        <w:t xml:space="preserve"> situate în clădiri civile, se separă faţă de restul clădirii prin pereţi și planşee </w:t>
      </w:r>
      <w:r>
        <w:rPr>
          <w:i w:val="0"/>
          <w:iCs/>
        </w:rPr>
        <w:t xml:space="preserve">A1 </w:t>
      </w:r>
      <w:r>
        <w:rPr>
          <w:b w:val="0"/>
          <w:i w:val="0"/>
          <w:iCs/>
        </w:rPr>
        <w:t>sau</w:t>
      </w:r>
      <w:r>
        <w:rPr>
          <w:i w:val="0"/>
          <w:iCs/>
        </w:rPr>
        <w:t xml:space="preserve"> A2-s1d0</w:t>
      </w:r>
      <w:r>
        <w:rPr>
          <w:b w:val="0"/>
          <w:i w:val="0"/>
          <w:iCs/>
        </w:rPr>
        <w:t xml:space="preserve">, conform prevederilor din </w:t>
      </w:r>
      <w:r>
        <w:rPr>
          <w:b w:val="0"/>
          <w:i w:val="0"/>
          <w:iCs/>
        </w:rPr>
        <w:fldChar w:fldCharType="begin"/>
      </w:r>
      <w:r>
        <w:rPr>
          <w:b w:val="0"/>
          <w:i w:val="0"/>
          <w:iCs/>
        </w:rPr>
        <w:instrText xml:space="preserve"> REF _Ref1394 \h </w:instrText>
      </w:r>
      <w:r>
        <w:rPr>
          <w:b w:val="0"/>
          <w:i w:val="0"/>
          <w:iCs/>
        </w:rPr>
      </w:r>
      <w:r>
        <w:rPr>
          <w:b w:val="0"/>
          <w:i w:val="0"/>
          <w:iCs/>
        </w:rPr>
        <w:fldChar w:fldCharType="separate"/>
      </w:r>
      <w:r>
        <w:t>Tabelul 22</w:t>
      </w:r>
      <w:r>
        <w:rPr>
          <w:b w:val="0"/>
          <w:i w:val="0"/>
          <w:iCs/>
        </w:rPr>
        <w:fldChar w:fldCharType="end"/>
      </w:r>
      <w:r>
        <w:rPr>
          <w:rStyle w:val="NORMALBOLDTABELE"/>
          <w:b/>
          <w:iCs/>
        </w:rPr>
        <w:t>, indiferent de densitatea de sarcină termică</w:t>
      </w:r>
      <w:r>
        <w:rPr>
          <w:b w:val="0"/>
          <w:i w:val="0"/>
          <w:iCs/>
        </w:rPr>
        <w:t>.</w:t>
      </w:r>
    </w:p>
    <w:p w14:paraId="3957BF40" w14:textId="77777777" w:rsidR="001C08A5" w:rsidRDefault="001C08A5">
      <w:pPr>
        <w:pStyle w:val="BodyText"/>
        <w:rPr>
          <w:b w:val="0"/>
          <w:bCs w:val="0"/>
        </w:rPr>
      </w:pPr>
    </w:p>
    <w:p w14:paraId="7650BEF5" w14:textId="77777777" w:rsidR="001C08A5" w:rsidRDefault="00000000">
      <w:pPr>
        <w:pStyle w:val="Captiontabel"/>
      </w:pPr>
      <w:bookmarkStart w:id="1948" w:name="_Ref1394"/>
      <w:bookmarkStart w:id="1949" w:name="_Ref30157"/>
      <w:bookmarkStart w:id="1950" w:name="_Toc162360072"/>
      <w:r>
        <w:t xml:space="preserve">Tabelul </w:t>
      </w:r>
      <w:r>
        <w:fldChar w:fldCharType="begin"/>
      </w:r>
      <w:r>
        <w:instrText xml:space="preserve"> SEQ Tabelul \* ARABIC </w:instrText>
      </w:r>
      <w:r>
        <w:fldChar w:fldCharType="separate"/>
      </w:r>
      <w:r>
        <w:t>22</w:t>
      </w:r>
      <w:r>
        <w:fldChar w:fldCharType="end"/>
      </w:r>
      <w:bookmarkStart w:id="1951" w:name="_Toc14531"/>
      <w:bookmarkStart w:id="1952" w:name="_Toc11575"/>
      <w:bookmarkStart w:id="1953" w:name="_Toc4824"/>
      <w:bookmarkStart w:id="1954" w:name="_Toc4275"/>
      <w:bookmarkStart w:id="1955" w:name="_Toc17436"/>
      <w:bookmarkStart w:id="1956" w:name="_Toc26173"/>
      <w:bookmarkStart w:id="1957" w:name="_Toc8281"/>
      <w:bookmarkStart w:id="1958" w:name="_Toc23038"/>
      <w:bookmarkStart w:id="1959" w:name="_Toc30765"/>
      <w:bookmarkStart w:id="1960" w:name="_Toc23541"/>
      <w:bookmarkStart w:id="1961" w:name="_Toc17560"/>
      <w:bookmarkStart w:id="1962" w:name="_Toc5657"/>
      <w:bookmarkStart w:id="1963" w:name="_Toc21799"/>
      <w:bookmarkStart w:id="1964" w:name="_Toc966"/>
      <w:bookmarkStart w:id="1965" w:name="_Toc605"/>
      <w:bookmarkStart w:id="1966" w:name="_Toc12667"/>
      <w:bookmarkStart w:id="1967" w:name="_Toc7575"/>
      <w:bookmarkStart w:id="1968" w:name="_Toc17619"/>
      <w:bookmarkStart w:id="1969" w:name="_Toc20308"/>
      <w:bookmarkEnd w:id="1948"/>
      <w:r>
        <w:t>: Condiţii minime de separare a încăperilor de depozitare ≤ 36 m</w:t>
      </w:r>
      <w:r>
        <w:rPr>
          <w:vertAlign w:val="superscript"/>
        </w:rPr>
        <w:t>2</w:t>
      </w:r>
      <w:bookmarkEnd w:id="1949"/>
      <w:bookmarkEnd w:id="1951"/>
      <w:bookmarkEnd w:id="1952"/>
      <w:bookmarkEnd w:id="1953"/>
      <w:bookmarkEnd w:id="1954"/>
      <w:bookmarkEnd w:id="1955"/>
      <w:r>
        <w:rPr>
          <w:vertAlign w:val="superscript"/>
        </w:rPr>
        <w:t xml:space="preserve"> </w:t>
      </w:r>
      <w:r>
        <w:t>din construcții civile</w:t>
      </w:r>
      <w:bookmarkEnd w:id="1950"/>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p>
    <w:p w14:paraId="12BAAC80" w14:textId="77777777" w:rsidR="001C08A5" w:rsidRDefault="001C08A5">
      <w:pPr>
        <w:jc w:val="both"/>
        <w:rPr>
          <w:sz w:val="24"/>
          <w:szCs w:val="24"/>
        </w:rPr>
      </w:pPr>
    </w:p>
    <w:tbl>
      <w:tblPr>
        <w:tblW w:w="9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7"/>
        <w:gridCol w:w="1510"/>
        <w:gridCol w:w="3539"/>
        <w:gridCol w:w="3888"/>
      </w:tblGrid>
      <w:tr w:rsidR="001C08A5" w14:paraId="5521C2EF" w14:textId="77777777">
        <w:trPr>
          <w:trHeight w:val="561"/>
          <w:tblHeader/>
        </w:trPr>
        <w:tc>
          <w:tcPr>
            <w:tcW w:w="777" w:type="dxa"/>
            <w:shd w:val="clear" w:color="auto" w:fill="BEBEBE"/>
          </w:tcPr>
          <w:p w14:paraId="1E7868C5" w14:textId="77777777" w:rsidR="001C08A5" w:rsidRDefault="00000000">
            <w:pPr>
              <w:rPr>
                <w:b/>
                <w:i/>
                <w:iCs/>
                <w:sz w:val="22"/>
                <w:szCs w:val="22"/>
              </w:rPr>
            </w:pPr>
            <w:r>
              <w:rPr>
                <w:b/>
                <w:i/>
                <w:iCs/>
                <w:sz w:val="22"/>
                <w:szCs w:val="22"/>
              </w:rPr>
              <w:t>Niv.</w:t>
            </w:r>
          </w:p>
          <w:p w14:paraId="0C57FEDF" w14:textId="77777777" w:rsidR="001C08A5" w:rsidRDefault="00000000">
            <w:pPr>
              <w:rPr>
                <w:b/>
                <w:i/>
                <w:iCs/>
                <w:sz w:val="22"/>
                <w:szCs w:val="22"/>
              </w:rPr>
            </w:pPr>
            <w:r>
              <w:rPr>
                <w:b/>
                <w:i/>
                <w:iCs/>
                <w:sz w:val="22"/>
                <w:szCs w:val="22"/>
              </w:rPr>
              <w:t>stab.</w:t>
            </w:r>
          </w:p>
        </w:tc>
        <w:tc>
          <w:tcPr>
            <w:tcW w:w="1510" w:type="dxa"/>
            <w:shd w:val="clear" w:color="auto" w:fill="BEBEBE"/>
          </w:tcPr>
          <w:p w14:paraId="26D9786C" w14:textId="77777777" w:rsidR="001C08A5" w:rsidRDefault="00000000">
            <w:pPr>
              <w:rPr>
                <w:b/>
                <w:i/>
                <w:iCs/>
                <w:sz w:val="22"/>
                <w:szCs w:val="22"/>
              </w:rPr>
            </w:pPr>
            <w:r>
              <w:rPr>
                <w:b/>
                <w:i/>
                <w:iCs/>
                <w:sz w:val="22"/>
                <w:szCs w:val="22"/>
              </w:rPr>
              <w:t>Elemente de constructie</w:t>
            </w:r>
          </w:p>
        </w:tc>
        <w:tc>
          <w:tcPr>
            <w:tcW w:w="7427" w:type="dxa"/>
            <w:gridSpan w:val="2"/>
            <w:shd w:val="clear" w:color="auto" w:fill="BEBEBE"/>
          </w:tcPr>
          <w:p w14:paraId="7FED7EAE" w14:textId="77777777" w:rsidR="001C08A5" w:rsidRDefault="00000000">
            <w:pPr>
              <w:rPr>
                <w:b/>
                <w:i/>
                <w:iCs/>
                <w:sz w:val="22"/>
                <w:szCs w:val="22"/>
                <w:lang w:eastAsia="ro-RO"/>
              </w:rPr>
            </w:pPr>
            <w:r>
              <w:rPr>
                <w:b/>
                <w:i/>
                <w:iCs/>
                <w:sz w:val="22"/>
                <w:szCs w:val="22"/>
                <w:lang w:eastAsia="ro-RO"/>
              </w:rPr>
              <w:t>Rezistenţa la foc</w:t>
            </w:r>
          </w:p>
        </w:tc>
      </w:tr>
      <w:tr w:rsidR="001C08A5" w14:paraId="68328392" w14:textId="77777777">
        <w:trPr>
          <w:trHeight w:val="230"/>
          <w:tblHeader/>
        </w:trPr>
        <w:tc>
          <w:tcPr>
            <w:tcW w:w="777" w:type="dxa"/>
          </w:tcPr>
          <w:p w14:paraId="0B40300E" w14:textId="77777777" w:rsidR="001C08A5" w:rsidRDefault="001C08A5">
            <w:pPr>
              <w:rPr>
                <w:i/>
                <w:iCs/>
                <w:sz w:val="22"/>
                <w:szCs w:val="22"/>
              </w:rPr>
            </w:pPr>
          </w:p>
        </w:tc>
        <w:tc>
          <w:tcPr>
            <w:tcW w:w="1510" w:type="dxa"/>
          </w:tcPr>
          <w:p w14:paraId="38804BC6" w14:textId="77777777" w:rsidR="001C08A5" w:rsidRDefault="001C08A5">
            <w:pPr>
              <w:rPr>
                <w:b/>
                <w:i/>
                <w:iCs/>
                <w:sz w:val="22"/>
                <w:szCs w:val="22"/>
              </w:rPr>
            </w:pPr>
          </w:p>
        </w:tc>
        <w:tc>
          <w:tcPr>
            <w:tcW w:w="3539" w:type="dxa"/>
          </w:tcPr>
          <w:p w14:paraId="2CE7B7BC" w14:textId="77777777" w:rsidR="001C08A5" w:rsidRDefault="00000000">
            <w:pPr>
              <w:rPr>
                <w:b/>
                <w:i/>
                <w:iCs/>
                <w:sz w:val="22"/>
                <w:szCs w:val="22"/>
                <w:lang w:eastAsia="ro-RO"/>
              </w:rPr>
            </w:pPr>
            <w:r>
              <w:rPr>
                <w:b/>
                <w:i/>
                <w:iCs/>
                <w:sz w:val="22"/>
                <w:szCs w:val="22"/>
                <w:lang w:eastAsia="ro-RO"/>
              </w:rPr>
              <w:t xml:space="preserve">clădiri echipate cu instalatii de stingere </w:t>
            </w:r>
          </w:p>
        </w:tc>
        <w:tc>
          <w:tcPr>
            <w:tcW w:w="3888" w:type="dxa"/>
          </w:tcPr>
          <w:p w14:paraId="508061BE" w14:textId="77777777" w:rsidR="001C08A5" w:rsidRDefault="00000000">
            <w:pPr>
              <w:rPr>
                <w:b/>
                <w:i/>
                <w:iCs/>
                <w:sz w:val="22"/>
                <w:szCs w:val="22"/>
                <w:lang w:eastAsia="ro-RO"/>
              </w:rPr>
            </w:pPr>
            <w:r>
              <w:rPr>
                <w:b/>
                <w:i/>
                <w:iCs/>
                <w:sz w:val="22"/>
                <w:szCs w:val="22"/>
                <w:lang w:eastAsia="ro-RO"/>
              </w:rPr>
              <w:t xml:space="preserve">clădiri neechipate cu instalatii de stingere </w:t>
            </w:r>
          </w:p>
        </w:tc>
      </w:tr>
      <w:tr w:rsidR="001C08A5" w14:paraId="5FBF4597" w14:textId="77777777">
        <w:tc>
          <w:tcPr>
            <w:tcW w:w="777" w:type="dxa"/>
            <w:vMerge w:val="restart"/>
          </w:tcPr>
          <w:p w14:paraId="74EE782A" w14:textId="77777777" w:rsidR="001C08A5" w:rsidRDefault="001C08A5">
            <w:pPr>
              <w:rPr>
                <w:b/>
                <w:i/>
                <w:iCs/>
                <w:sz w:val="22"/>
                <w:szCs w:val="22"/>
              </w:rPr>
            </w:pPr>
          </w:p>
          <w:p w14:paraId="7B84D452" w14:textId="77777777" w:rsidR="001C08A5" w:rsidRDefault="00000000">
            <w:pPr>
              <w:rPr>
                <w:b/>
                <w:i/>
                <w:iCs/>
                <w:sz w:val="22"/>
                <w:szCs w:val="22"/>
              </w:rPr>
            </w:pPr>
            <w:r>
              <w:rPr>
                <w:b/>
                <w:i/>
                <w:iCs/>
                <w:sz w:val="22"/>
                <w:szCs w:val="22"/>
              </w:rPr>
              <w:t>I</w:t>
            </w:r>
          </w:p>
        </w:tc>
        <w:tc>
          <w:tcPr>
            <w:tcW w:w="1510" w:type="dxa"/>
          </w:tcPr>
          <w:p w14:paraId="31D251BD" w14:textId="77777777" w:rsidR="001C08A5" w:rsidRDefault="00000000">
            <w:pPr>
              <w:rPr>
                <w:b/>
                <w:i/>
                <w:iCs/>
                <w:sz w:val="22"/>
                <w:szCs w:val="22"/>
              </w:rPr>
            </w:pPr>
            <w:r>
              <w:rPr>
                <w:b/>
                <w:i/>
                <w:iCs/>
                <w:sz w:val="22"/>
                <w:szCs w:val="22"/>
              </w:rPr>
              <w:t>Pereţi</w:t>
            </w:r>
          </w:p>
        </w:tc>
        <w:tc>
          <w:tcPr>
            <w:tcW w:w="3539" w:type="dxa"/>
          </w:tcPr>
          <w:p w14:paraId="6C96948D" w14:textId="77777777" w:rsidR="001C08A5" w:rsidRDefault="00000000">
            <w:pPr>
              <w:pStyle w:val="NoSpacing"/>
              <w:suppressAutoHyphens/>
              <w:rPr>
                <w:rFonts w:ascii="Times New Roman" w:hAnsi="Times New Roman"/>
                <w:b/>
                <w:i/>
                <w:iCs/>
              </w:rPr>
            </w:pPr>
            <w:r>
              <w:rPr>
                <w:rFonts w:ascii="Times New Roman" w:hAnsi="Times New Roman"/>
                <w:b/>
                <w:i/>
                <w:iCs/>
              </w:rPr>
              <w:t>EI/REI 90</w:t>
            </w:r>
          </w:p>
        </w:tc>
        <w:tc>
          <w:tcPr>
            <w:tcW w:w="3888" w:type="dxa"/>
          </w:tcPr>
          <w:p w14:paraId="67CDDDB5" w14:textId="77777777" w:rsidR="001C08A5" w:rsidRDefault="00000000">
            <w:pPr>
              <w:pStyle w:val="NoSpacing"/>
              <w:suppressAutoHyphens/>
              <w:rPr>
                <w:rFonts w:ascii="Times New Roman" w:hAnsi="Times New Roman"/>
                <w:b/>
                <w:i/>
                <w:iCs/>
              </w:rPr>
            </w:pPr>
            <w:r>
              <w:rPr>
                <w:rFonts w:ascii="Times New Roman" w:hAnsi="Times New Roman"/>
                <w:b/>
                <w:i/>
                <w:iCs/>
              </w:rPr>
              <w:t xml:space="preserve">EI/REI 120 </w:t>
            </w:r>
          </w:p>
        </w:tc>
      </w:tr>
      <w:tr w:rsidR="001C08A5" w14:paraId="219EAFFC" w14:textId="77777777">
        <w:tc>
          <w:tcPr>
            <w:tcW w:w="777" w:type="dxa"/>
            <w:vMerge/>
          </w:tcPr>
          <w:p w14:paraId="47DD8DB8" w14:textId="77777777" w:rsidR="001C08A5" w:rsidRDefault="001C08A5">
            <w:pPr>
              <w:rPr>
                <w:b/>
                <w:i/>
                <w:iCs/>
                <w:sz w:val="22"/>
                <w:szCs w:val="22"/>
              </w:rPr>
            </w:pPr>
          </w:p>
        </w:tc>
        <w:tc>
          <w:tcPr>
            <w:tcW w:w="1510" w:type="dxa"/>
          </w:tcPr>
          <w:p w14:paraId="199299D9" w14:textId="77777777" w:rsidR="001C08A5" w:rsidRDefault="00000000">
            <w:pPr>
              <w:rPr>
                <w:b/>
                <w:i/>
                <w:iCs/>
                <w:sz w:val="22"/>
                <w:szCs w:val="22"/>
              </w:rPr>
            </w:pPr>
            <w:r>
              <w:rPr>
                <w:b/>
                <w:i/>
                <w:iCs/>
                <w:sz w:val="22"/>
                <w:szCs w:val="22"/>
              </w:rPr>
              <w:t>Planşee</w:t>
            </w:r>
          </w:p>
        </w:tc>
        <w:tc>
          <w:tcPr>
            <w:tcW w:w="3539" w:type="dxa"/>
          </w:tcPr>
          <w:p w14:paraId="2824D0AE" w14:textId="77777777" w:rsidR="001C08A5" w:rsidRDefault="00000000">
            <w:pPr>
              <w:pStyle w:val="NoSpacing"/>
              <w:suppressAutoHyphens/>
              <w:rPr>
                <w:rFonts w:ascii="Times New Roman" w:hAnsi="Times New Roman"/>
                <w:b/>
                <w:i/>
                <w:iCs/>
              </w:rPr>
            </w:pPr>
            <w:r>
              <w:rPr>
                <w:rFonts w:ascii="Times New Roman" w:hAnsi="Times New Roman"/>
                <w:b/>
                <w:i/>
                <w:iCs/>
              </w:rPr>
              <w:t xml:space="preserve">REI 90 </w:t>
            </w:r>
          </w:p>
        </w:tc>
        <w:tc>
          <w:tcPr>
            <w:tcW w:w="3888" w:type="dxa"/>
          </w:tcPr>
          <w:p w14:paraId="27667B8E" w14:textId="77777777" w:rsidR="001C08A5" w:rsidRDefault="00000000">
            <w:pPr>
              <w:pStyle w:val="NoSpacing"/>
              <w:suppressAutoHyphens/>
              <w:rPr>
                <w:rFonts w:ascii="Times New Roman" w:hAnsi="Times New Roman"/>
                <w:b/>
                <w:i/>
                <w:iCs/>
              </w:rPr>
            </w:pPr>
            <w:r>
              <w:rPr>
                <w:rFonts w:ascii="Times New Roman" w:hAnsi="Times New Roman"/>
                <w:b/>
                <w:i/>
                <w:iCs/>
              </w:rPr>
              <w:t>REI 120</w:t>
            </w:r>
          </w:p>
        </w:tc>
      </w:tr>
      <w:tr w:rsidR="001C08A5" w14:paraId="0091CB6E" w14:textId="77777777">
        <w:tc>
          <w:tcPr>
            <w:tcW w:w="777" w:type="dxa"/>
            <w:vMerge/>
          </w:tcPr>
          <w:p w14:paraId="5FD20F44" w14:textId="77777777" w:rsidR="001C08A5" w:rsidRDefault="001C08A5">
            <w:pPr>
              <w:rPr>
                <w:b/>
                <w:i/>
                <w:iCs/>
                <w:sz w:val="22"/>
                <w:szCs w:val="22"/>
              </w:rPr>
            </w:pPr>
          </w:p>
        </w:tc>
        <w:tc>
          <w:tcPr>
            <w:tcW w:w="1510" w:type="dxa"/>
          </w:tcPr>
          <w:p w14:paraId="18A090CD" w14:textId="77777777" w:rsidR="001C08A5" w:rsidRDefault="00000000">
            <w:pPr>
              <w:rPr>
                <w:b/>
                <w:i/>
                <w:iCs/>
                <w:sz w:val="22"/>
                <w:szCs w:val="22"/>
              </w:rPr>
            </w:pPr>
            <w:r>
              <w:rPr>
                <w:b/>
                <w:i/>
                <w:iCs/>
                <w:sz w:val="22"/>
                <w:szCs w:val="22"/>
              </w:rPr>
              <w:t xml:space="preserve">Uşi </w:t>
            </w:r>
          </w:p>
        </w:tc>
        <w:tc>
          <w:tcPr>
            <w:tcW w:w="3539" w:type="dxa"/>
          </w:tcPr>
          <w:p w14:paraId="62DFCDEE" w14:textId="77777777" w:rsidR="001C08A5" w:rsidRDefault="00000000">
            <w:pPr>
              <w:pStyle w:val="NoSpacing"/>
              <w:suppressAutoHyphens/>
              <w:rPr>
                <w:rFonts w:ascii="Times New Roman" w:hAnsi="Times New Roman"/>
                <w:b/>
                <w:i/>
                <w:iCs/>
              </w:rPr>
            </w:pPr>
            <w:r>
              <w:rPr>
                <w:rFonts w:ascii="Times New Roman" w:hAnsi="Times New Roman"/>
                <w:b/>
                <w:i/>
                <w:iCs/>
              </w:rPr>
              <w:t>EI</w:t>
            </w:r>
            <w:r>
              <w:rPr>
                <w:rFonts w:ascii="Times New Roman" w:hAnsi="Times New Roman"/>
                <w:b/>
                <w:i/>
                <w:iCs/>
                <w:vertAlign w:val="subscript"/>
              </w:rPr>
              <w:t>2</w:t>
            </w:r>
            <w:r>
              <w:rPr>
                <w:rFonts w:ascii="Times New Roman" w:hAnsi="Times New Roman"/>
                <w:b/>
                <w:i/>
                <w:iCs/>
              </w:rPr>
              <w:t xml:space="preserve">45  </w:t>
            </w:r>
            <w:r>
              <w:rPr>
                <w:rFonts w:ascii="Times New Roman" w:hAnsi="Times New Roman"/>
                <w:bCs/>
                <w:i/>
                <w:iCs/>
              </w:rPr>
              <w:t>(cu excepţia  celor din clădirile de locuit)</w:t>
            </w:r>
          </w:p>
        </w:tc>
        <w:tc>
          <w:tcPr>
            <w:tcW w:w="3888" w:type="dxa"/>
          </w:tcPr>
          <w:p w14:paraId="3EEC0BE9" w14:textId="77777777" w:rsidR="001C08A5" w:rsidRDefault="00000000">
            <w:pPr>
              <w:pStyle w:val="NoSpacing"/>
              <w:suppressAutoHyphens/>
              <w:rPr>
                <w:rFonts w:ascii="Times New Roman" w:hAnsi="Times New Roman"/>
                <w:b/>
                <w:i/>
                <w:iCs/>
              </w:rPr>
            </w:pPr>
            <w:r>
              <w:rPr>
                <w:rFonts w:ascii="Times New Roman" w:hAnsi="Times New Roman"/>
                <w:b/>
                <w:i/>
                <w:iCs/>
              </w:rPr>
              <w:t>EI</w:t>
            </w:r>
            <w:r>
              <w:rPr>
                <w:rFonts w:ascii="Times New Roman" w:hAnsi="Times New Roman"/>
                <w:b/>
                <w:i/>
                <w:iCs/>
                <w:vertAlign w:val="subscript"/>
              </w:rPr>
              <w:t>2</w:t>
            </w:r>
            <w:r>
              <w:rPr>
                <w:rFonts w:ascii="Times New Roman" w:hAnsi="Times New Roman"/>
                <w:b/>
                <w:i/>
                <w:iCs/>
              </w:rPr>
              <w:t>60</w:t>
            </w:r>
            <w:r>
              <w:rPr>
                <w:rFonts w:ascii="Times New Roman" w:hAnsi="Times New Roman"/>
                <w:bCs/>
                <w:i/>
                <w:iCs/>
              </w:rPr>
              <w:t xml:space="preserve"> (cu excepţia celor din clădirile de locuit</w:t>
            </w:r>
            <w:r>
              <w:rPr>
                <w:rFonts w:ascii="Times New Roman" w:hAnsi="Times New Roman"/>
                <w:bCs/>
                <w:i/>
                <w:iCs/>
                <w:lang w:eastAsia="ro-RO"/>
              </w:rPr>
              <w:t>)</w:t>
            </w:r>
          </w:p>
        </w:tc>
      </w:tr>
      <w:tr w:rsidR="001C08A5" w14:paraId="7E1BFF27" w14:textId="77777777">
        <w:tc>
          <w:tcPr>
            <w:tcW w:w="777" w:type="dxa"/>
            <w:vMerge w:val="restart"/>
          </w:tcPr>
          <w:p w14:paraId="7435F002" w14:textId="77777777" w:rsidR="001C08A5" w:rsidRDefault="001C08A5">
            <w:pPr>
              <w:rPr>
                <w:b/>
                <w:i/>
                <w:iCs/>
                <w:sz w:val="22"/>
                <w:szCs w:val="22"/>
              </w:rPr>
            </w:pPr>
          </w:p>
          <w:p w14:paraId="54456DA5" w14:textId="77777777" w:rsidR="001C08A5" w:rsidRDefault="00000000">
            <w:pPr>
              <w:rPr>
                <w:b/>
                <w:i/>
                <w:iCs/>
                <w:sz w:val="22"/>
                <w:szCs w:val="22"/>
              </w:rPr>
            </w:pPr>
            <w:r>
              <w:rPr>
                <w:b/>
                <w:i/>
                <w:iCs/>
                <w:sz w:val="22"/>
                <w:szCs w:val="22"/>
              </w:rPr>
              <w:t>II</w:t>
            </w:r>
          </w:p>
        </w:tc>
        <w:tc>
          <w:tcPr>
            <w:tcW w:w="1510" w:type="dxa"/>
          </w:tcPr>
          <w:p w14:paraId="068C2E22" w14:textId="77777777" w:rsidR="001C08A5" w:rsidRDefault="00000000">
            <w:pPr>
              <w:rPr>
                <w:b/>
                <w:i/>
                <w:iCs/>
                <w:sz w:val="22"/>
                <w:szCs w:val="22"/>
              </w:rPr>
            </w:pPr>
            <w:r>
              <w:rPr>
                <w:b/>
                <w:i/>
                <w:iCs/>
                <w:sz w:val="22"/>
                <w:szCs w:val="22"/>
              </w:rPr>
              <w:t>Pereţi</w:t>
            </w:r>
          </w:p>
        </w:tc>
        <w:tc>
          <w:tcPr>
            <w:tcW w:w="3539" w:type="dxa"/>
          </w:tcPr>
          <w:p w14:paraId="4AD28400" w14:textId="77777777" w:rsidR="001C08A5" w:rsidRDefault="00000000">
            <w:pPr>
              <w:pStyle w:val="NoSpacing"/>
              <w:suppressAutoHyphens/>
              <w:rPr>
                <w:rFonts w:ascii="Times New Roman" w:hAnsi="Times New Roman"/>
                <w:b/>
                <w:i/>
                <w:iCs/>
              </w:rPr>
            </w:pPr>
            <w:r>
              <w:rPr>
                <w:rFonts w:ascii="Times New Roman" w:hAnsi="Times New Roman"/>
                <w:b/>
                <w:i/>
                <w:iCs/>
              </w:rPr>
              <w:t>EI/REI 60</w:t>
            </w:r>
          </w:p>
        </w:tc>
        <w:tc>
          <w:tcPr>
            <w:tcW w:w="3888" w:type="dxa"/>
          </w:tcPr>
          <w:p w14:paraId="091ECFF1" w14:textId="77777777" w:rsidR="001C08A5" w:rsidRDefault="00000000">
            <w:pPr>
              <w:pStyle w:val="NoSpacing"/>
              <w:suppressAutoHyphens/>
              <w:rPr>
                <w:rFonts w:ascii="Times New Roman" w:hAnsi="Times New Roman"/>
                <w:b/>
                <w:i/>
                <w:iCs/>
              </w:rPr>
            </w:pPr>
            <w:r>
              <w:rPr>
                <w:rFonts w:ascii="Times New Roman" w:hAnsi="Times New Roman"/>
                <w:b/>
                <w:i/>
                <w:iCs/>
              </w:rPr>
              <w:t>EI/REI 90</w:t>
            </w:r>
          </w:p>
        </w:tc>
      </w:tr>
      <w:tr w:rsidR="001C08A5" w14:paraId="555826D8" w14:textId="77777777">
        <w:tc>
          <w:tcPr>
            <w:tcW w:w="777" w:type="dxa"/>
            <w:vMerge/>
          </w:tcPr>
          <w:p w14:paraId="13187AA0" w14:textId="77777777" w:rsidR="001C08A5" w:rsidRDefault="001C08A5">
            <w:pPr>
              <w:rPr>
                <w:b/>
                <w:i/>
                <w:iCs/>
                <w:sz w:val="22"/>
                <w:szCs w:val="22"/>
              </w:rPr>
            </w:pPr>
          </w:p>
        </w:tc>
        <w:tc>
          <w:tcPr>
            <w:tcW w:w="1510" w:type="dxa"/>
          </w:tcPr>
          <w:p w14:paraId="2D24FE8E" w14:textId="77777777" w:rsidR="001C08A5" w:rsidRDefault="00000000">
            <w:pPr>
              <w:rPr>
                <w:b/>
                <w:i/>
                <w:iCs/>
                <w:sz w:val="22"/>
                <w:szCs w:val="22"/>
              </w:rPr>
            </w:pPr>
            <w:r>
              <w:rPr>
                <w:b/>
                <w:i/>
                <w:iCs/>
                <w:sz w:val="22"/>
                <w:szCs w:val="22"/>
              </w:rPr>
              <w:t>Planşee</w:t>
            </w:r>
          </w:p>
        </w:tc>
        <w:tc>
          <w:tcPr>
            <w:tcW w:w="3539" w:type="dxa"/>
          </w:tcPr>
          <w:p w14:paraId="7F464A6D" w14:textId="77777777" w:rsidR="001C08A5" w:rsidRDefault="00000000">
            <w:pPr>
              <w:pStyle w:val="NoSpacing"/>
              <w:suppressAutoHyphens/>
              <w:rPr>
                <w:rFonts w:ascii="Times New Roman" w:hAnsi="Times New Roman"/>
                <w:b/>
                <w:i/>
                <w:iCs/>
              </w:rPr>
            </w:pPr>
            <w:r>
              <w:rPr>
                <w:rFonts w:ascii="Times New Roman" w:hAnsi="Times New Roman"/>
                <w:b/>
                <w:i/>
                <w:iCs/>
              </w:rPr>
              <w:t>REI 60</w:t>
            </w:r>
          </w:p>
        </w:tc>
        <w:tc>
          <w:tcPr>
            <w:tcW w:w="3888" w:type="dxa"/>
          </w:tcPr>
          <w:p w14:paraId="46A22452" w14:textId="77777777" w:rsidR="001C08A5" w:rsidRDefault="00000000">
            <w:pPr>
              <w:pStyle w:val="NoSpacing"/>
              <w:suppressAutoHyphens/>
              <w:rPr>
                <w:rFonts w:ascii="Times New Roman" w:hAnsi="Times New Roman"/>
                <w:b/>
                <w:i/>
                <w:iCs/>
              </w:rPr>
            </w:pPr>
            <w:r>
              <w:rPr>
                <w:rFonts w:ascii="Times New Roman" w:hAnsi="Times New Roman"/>
                <w:b/>
                <w:i/>
                <w:iCs/>
              </w:rPr>
              <w:t>REI 90</w:t>
            </w:r>
          </w:p>
        </w:tc>
      </w:tr>
      <w:tr w:rsidR="001C08A5" w14:paraId="7FD52616" w14:textId="77777777">
        <w:tc>
          <w:tcPr>
            <w:tcW w:w="777" w:type="dxa"/>
            <w:vMerge/>
          </w:tcPr>
          <w:p w14:paraId="31D70A21" w14:textId="77777777" w:rsidR="001C08A5" w:rsidRDefault="001C08A5">
            <w:pPr>
              <w:rPr>
                <w:b/>
                <w:i/>
                <w:iCs/>
                <w:sz w:val="22"/>
                <w:szCs w:val="22"/>
              </w:rPr>
            </w:pPr>
          </w:p>
        </w:tc>
        <w:tc>
          <w:tcPr>
            <w:tcW w:w="1510" w:type="dxa"/>
          </w:tcPr>
          <w:p w14:paraId="21AC6FC7" w14:textId="77777777" w:rsidR="001C08A5" w:rsidRDefault="00000000">
            <w:pPr>
              <w:rPr>
                <w:b/>
                <w:i/>
                <w:iCs/>
                <w:sz w:val="22"/>
                <w:szCs w:val="22"/>
              </w:rPr>
            </w:pPr>
            <w:r>
              <w:rPr>
                <w:b/>
                <w:i/>
                <w:iCs/>
                <w:sz w:val="22"/>
                <w:szCs w:val="22"/>
              </w:rPr>
              <w:t>Uşi</w:t>
            </w:r>
          </w:p>
        </w:tc>
        <w:tc>
          <w:tcPr>
            <w:tcW w:w="3539" w:type="dxa"/>
          </w:tcPr>
          <w:p w14:paraId="6F48EC53" w14:textId="77777777" w:rsidR="001C08A5" w:rsidRDefault="00000000">
            <w:pPr>
              <w:pStyle w:val="NoSpacing"/>
              <w:suppressAutoHyphens/>
              <w:rPr>
                <w:rFonts w:ascii="Times New Roman" w:hAnsi="Times New Roman"/>
                <w:b/>
                <w:i/>
                <w:iCs/>
              </w:rPr>
            </w:pPr>
            <w:r>
              <w:rPr>
                <w:rFonts w:ascii="Times New Roman" w:hAnsi="Times New Roman"/>
                <w:b/>
                <w:i/>
                <w:iCs/>
              </w:rPr>
              <w:t>EI</w:t>
            </w:r>
            <w:r>
              <w:rPr>
                <w:rFonts w:ascii="Times New Roman" w:hAnsi="Times New Roman"/>
                <w:b/>
                <w:i/>
                <w:iCs/>
                <w:vertAlign w:val="subscript"/>
              </w:rPr>
              <w:t>2</w:t>
            </w:r>
            <w:r>
              <w:rPr>
                <w:rFonts w:ascii="Times New Roman" w:hAnsi="Times New Roman"/>
                <w:b/>
                <w:i/>
                <w:iCs/>
              </w:rPr>
              <w:t>30</w:t>
            </w:r>
            <w:r>
              <w:rPr>
                <w:rFonts w:ascii="Times New Roman" w:hAnsi="Times New Roman"/>
                <w:bCs/>
                <w:i/>
                <w:iCs/>
              </w:rPr>
              <w:t xml:space="preserve"> (cu excepţia  celor din clădirile de locuit)</w:t>
            </w:r>
          </w:p>
        </w:tc>
        <w:tc>
          <w:tcPr>
            <w:tcW w:w="3888" w:type="dxa"/>
          </w:tcPr>
          <w:p w14:paraId="5B9F0D7C" w14:textId="77777777" w:rsidR="001C08A5" w:rsidRDefault="00000000">
            <w:pPr>
              <w:pStyle w:val="NoSpacing"/>
              <w:suppressAutoHyphens/>
              <w:rPr>
                <w:rFonts w:ascii="Times New Roman" w:hAnsi="Times New Roman"/>
                <w:b/>
                <w:i/>
                <w:iCs/>
              </w:rPr>
            </w:pPr>
            <w:r>
              <w:rPr>
                <w:rFonts w:ascii="Times New Roman" w:hAnsi="Times New Roman"/>
                <w:b/>
                <w:i/>
                <w:iCs/>
              </w:rPr>
              <w:t>EI</w:t>
            </w:r>
            <w:r>
              <w:rPr>
                <w:rFonts w:ascii="Times New Roman" w:hAnsi="Times New Roman"/>
                <w:b/>
                <w:i/>
                <w:iCs/>
                <w:vertAlign w:val="subscript"/>
              </w:rPr>
              <w:t>2</w:t>
            </w:r>
            <w:r>
              <w:rPr>
                <w:rFonts w:ascii="Times New Roman" w:hAnsi="Times New Roman"/>
                <w:b/>
                <w:i/>
                <w:iCs/>
              </w:rPr>
              <w:t>45</w:t>
            </w:r>
            <w:r>
              <w:rPr>
                <w:rFonts w:ascii="Times New Roman" w:hAnsi="Times New Roman"/>
                <w:bCs/>
                <w:i/>
                <w:iCs/>
              </w:rPr>
              <w:t xml:space="preserve"> (cu excepţia  celor din clădirile de locuit)</w:t>
            </w:r>
          </w:p>
        </w:tc>
      </w:tr>
      <w:tr w:rsidR="001C08A5" w14:paraId="54D7DC3A" w14:textId="77777777">
        <w:tc>
          <w:tcPr>
            <w:tcW w:w="777" w:type="dxa"/>
            <w:vMerge w:val="restart"/>
          </w:tcPr>
          <w:p w14:paraId="2F23043E" w14:textId="77777777" w:rsidR="001C08A5" w:rsidRDefault="001C08A5">
            <w:pPr>
              <w:rPr>
                <w:b/>
                <w:i/>
                <w:iCs/>
                <w:sz w:val="22"/>
                <w:szCs w:val="22"/>
              </w:rPr>
            </w:pPr>
          </w:p>
          <w:p w14:paraId="6D6687E0" w14:textId="77777777" w:rsidR="001C08A5" w:rsidRDefault="00000000">
            <w:pPr>
              <w:rPr>
                <w:b/>
                <w:i/>
                <w:iCs/>
                <w:sz w:val="22"/>
                <w:szCs w:val="22"/>
              </w:rPr>
            </w:pPr>
            <w:r>
              <w:rPr>
                <w:b/>
                <w:i/>
                <w:iCs/>
                <w:sz w:val="22"/>
                <w:szCs w:val="22"/>
              </w:rPr>
              <w:t>III</w:t>
            </w:r>
          </w:p>
        </w:tc>
        <w:tc>
          <w:tcPr>
            <w:tcW w:w="1510" w:type="dxa"/>
          </w:tcPr>
          <w:p w14:paraId="117795E9" w14:textId="77777777" w:rsidR="001C08A5" w:rsidRDefault="00000000">
            <w:pPr>
              <w:rPr>
                <w:b/>
                <w:i/>
                <w:iCs/>
                <w:sz w:val="22"/>
                <w:szCs w:val="22"/>
              </w:rPr>
            </w:pPr>
            <w:r>
              <w:rPr>
                <w:b/>
                <w:i/>
                <w:iCs/>
                <w:sz w:val="22"/>
                <w:szCs w:val="22"/>
              </w:rPr>
              <w:t>Pereţi</w:t>
            </w:r>
          </w:p>
        </w:tc>
        <w:tc>
          <w:tcPr>
            <w:tcW w:w="3539" w:type="dxa"/>
          </w:tcPr>
          <w:p w14:paraId="33BED719" w14:textId="77777777" w:rsidR="001C08A5" w:rsidRDefault="00000000">
            <w:pPr>
              <w:pStyle w:val="NoSpacing"/>
              <w:suppressAutoHyphens/>
              <w:rPr>
                <w:rFonts w:ascii="Times New Roman" w:hAnsi="Times New Roman"/>
                <w:b/>
                <w:i/>
                <w:iCs/>
              </w:rPr>
            </w:pPr>
            <w:r>
              <w:rPr>
                <w:rFonts w:ascii="Times New Roman" w:hAnsi="Times New Roman"/>
                <w:b/>
                <w:i/>
                <w:iCs/>
              </w:rPr>
              <w:t>EI/REI 45</w:t>
            </w:r>
          </w:p>
        </w:tc>
        <w:tc>
          <w:tcPr>
            <w:tcW w:w="3888" w:type="dxa"/>
          </w:tcPr>
          <w:p w14:paraId="3B4EB08D" w14:textId="77777777" w:rsidR="001C08A5" w:rsidRDefault="00000000">
            <w:pPr>
              <w:pStyle w:val="NoSpacing"/>
              <w:suppressAutoHyphens/>
              <w:rPr>
                <w:rFonts w:ascii="Times New Roman" w:hAnsi="Times New Roman"/>
                <w:b/>
                <w:i/>
                <w:iCs/>
              </w:rPr>
            </w:pPr>
            <w:r>
              <w:rPr>
                <w:rFonts w:ascii="Times New Roman" w:hAnsi="Times New Roman"/>
                <w:b/>
                <w:i/>
                <w:iCs/>
              </w:rPr>
              <w:t>EI/REI 60</w:t>
            </w:r>
          </w:p>
        </w:tc>
      </w:tr>
      <w:tr w:rsidR="001C08A5" w14:paraId="3DEEFD3C" w14:textId="77777777">
        <w:tc>
          <w:tcPr>
            <w:tcW w:w="777" w:type="dxa"/>
            <w:vMerge/>
          </w:tcPr>
          <w:p w14:paraId="78287016" w14:textId="77777777" w:rsidR="001C08A5" w:rsidRDefault="001C08A5">
            <w:pPr>
              <w:rPr>
                <w:b/>
                <w:i/>
                <w:iCs/>
                <w:sz w:val="22"/>
                <w:szCs w:val="22"/>
              </w:rPr>
            </w:pPr>
          </w:p>
        </w:tc>
        <w:tc>
          <w:tcPr>
            <w:tcW w:w="1510" w:type="dxa"/>
          </w:tcPr>
          <w:p w14:paraId="42610616" w14:textId="77777777" w:rsidR="001C08A5" w:rsidRDefault="00000000">
            <w:pPr>
              <w:rPr>
                <w:b/>
                <w:i/>
                <w:iCs/>
                <w:sz w:val="22"/>
                <w:szCs w:val="22"/>
              </w:rPr>
            </w:pPr>
            <w:r>
              <w:rPr>
                <w:b/>
                <w:i/>
                <w:iCs/>
                <w:sz w:val="22"/>
                <w:szCs w:val="22"/>
              </w:rPr>
              <w:t>Planşee</w:t>
            </w:r>
          </w:p>
        </w:tc>
        <w:tc>
          <w:tcPr>
            <w:tcW w:w="3539" w:type="dxa"/>
          </w:tcPr>
          <w:p w14:paraId="1F334AD8" w14:textId="77777777" w:rsidR="001C08A5" w:rsidRDefault="00000000">
            <w:pPr>
              <w:pStyle w:val="NoSpacing"/>
              <w:suppressAutoHyphens/>
              <w:rPr>
                <w:rFonts w:ascii="Times New Roman" w:hAnsi="Times New Roman"/>
                <w:b/>
                <w:i/>
                <w:iCs/>
              </w:rPr>
            </w:pPr>
            <w:r>
              <w:rPr>
                <w:rFonts w:ascii="Times New Roman" w:hAnsi="Times New Roman"/>
                <w:b/>
                <w:i/>
                <w:iCs/>
              </w:rPr>
              <w:t>REI 45</w:t>
            </w:r>
          </w:p>
        </w:tc>
        <w:tc>
          <w:tcPr>
            <w:tcW w:w="3888" w:type="dxa"/>
          </w:tcPr>
          <w:p w14:paraId="0DCAF393" w14:textId="77777777" w:rsidR="001C08A5" w:rsidRDefault="00000000">
            <w:pPr>
              <w:pStyle w:val="NoSpacing"/>
              <w:suppressAutoHyphens/>
              <w:rPr>
                <w:rFonts w:ascii="Times New Roman" w:hAnsi="Times New Roman"/>
                <w:b/>
                <w:i/>
                <w:iCs/>
              </w:rPr>
            </w:pPr>
            <w:r>
              <w:rPr>
                <w:rFonts w:ascii="Times New Roman" w:hAnsi="Times New Roman"/>
                <w:b/>
                <w:i/>
                <w:iCs/>
              </w:rPr>
              <w:t>REI 60</w:t>
            </w:r>
          </w:p>
        </w:tc>
      </w:tr>
      <w:tr w:rsidR="001C08A5" w14:paraId="182BD11D" w14:textId="77777777">
        <w:tc>
          <w:tcPr>
            <w:tcW w:w="777" w:type="dxa"/>
            <w:vMerge/>
          </w:tcPr>
          <w:p w14:paraId="1475AE6E" w14:textId="77777777" w:rsidR="001C08A5" w:rsidRDefault="001C08A5">
            <w:pPr>
              <w:rPr>
                <w:b/>
                <w:i/>
                <w:iCs/>
                <w:sz w:val="22"/>
                <w:szCs w:val="22"/>
              </w:rPr>
            </w:pPr>
          </w:p>
        </w:tc>
        <w:tc>
          <w:tcPr>
            <w:tcW w:w="1510" w:type="dxa"/>
          </w:tcPr>
          <w:p w14:paraId="01B17E51" w14:textId="77777777" w:rsidR="001C08A5" w:rsidRDefault="00000000">
            <w:pPr>
              <w:rPr>
                <w:b/>
                <w:i/>
                <w:iCs/>
                <w:sz w:val="22"/>
                <w:szCs w:val="22"/>
              </w:rPr>
            </w:pPr>
            <w:r>
              <w:rPr>
                <w:b/>
                <w:i/>
                <w:iCs/>
                <w:sz w:val="22"/>
                <w:szCs w:val="22"/>
              </w:rPr>
              <w:t>Uşi</w:t>
            </w:r>
          </w:p>
        </w:tc>
        <w:tc>
          <w:tcPr>
            <w:tcW w:w="3539" w:type="dxa"/>
          </w:tcPr>
          <w:p w14:paraId="1147A06D" w14:textId="77777777" w:rsidR="001C08A5" w:rsidRDefault="00000000">
            <w:pPr>
              <w:pStyle w:val="NoSpacing"/>
              <w:suppressAutoHyphens/>
              <w:rPr>
                <w:rFonts w:ascii="Times New Roman" w:hAnsi="Times New Roman"/>
                <w:b/>
                <w:i/>
                <w:iCs/>
              </w:rPr>
            </w:pPr>
            <w:r>
              <w:rPr>
                <w:rFonts w:ascii="Times New Roman" w:hAnsi="Times New Roman"/>
                <w:b/>
                <w:i/>
                <w:iCs/>
              </w:rPr>
              <w:t>EI</w:t>
            </w:r>
            <w:r>
              <w:rPr>
                <w:rFonts w:ascii="Times New Roman" w:hAnsi="Times New Roman"/>
                <w:b/>
                <w:i/>
                <w:iCs/>
                <w:vertAlign w:val="subscript"/>
              </w:rPr>
              <w:t>2</w:t>
            </w:r>
            <w:r>
              <w:rPr>
                <w:rFonts w:ascii="Times New Roman" w:hAnsi="Times New Roman"/>
                <w:b/>
                <w:i/>
                <w:iCs/>
              </w:rPr>
              <w:t xml:space="preserve">20 </w:t>
            </w:r>
            <w:r>
              <w:rPr>
                <w:rFonts w:ascii="Times New Roman" w:hAnsi="Times New Roman"/>
                <w:bCs/>
                <w:i/>
                <w:iCs/>
              </w:rPr>
              <w:t>(cu excepţia  celor din clădirile de locuit)</w:t>
            </w:r>
          </w:p>
        </w:tc>
        <w:tc>
          <w:tcPr>
            <w:tcW w:w="3888" w:type="dxa"/>
          </w:tcPr>
          <w:p w14:paraId="03E23585" w14:textId="77777777" w:rsidR="001C08A5" w:rsidRDefault="00000000">
            <w:pPr>
              <w:pStyle w:val="NoSpacing"/>
              <w:suppressAutoHyphens/>
              <w:rPr>
                <w:rFonts w:ascii="Times New Roman" w:hAnsi="Times New Roman"/>
                <w:b/>
                <w:i/>
                <w:iCs/>
              </w:rPr>
            </w:pPr>
            <w:r>
              <w:rPr>
                <w:rFonts w:ascii="Times New Roman" w:hAnsi="Times New Roman"/>
                <w:b/>
                <w:i/>
                <w:iCs/>
              </w:rPr>
              <w:t>EI</w:t>
            </w:r>
            <w:r>
              <w:rPr>
                <w:rFonts w:ascii="Times New Roman" w:hAnsi="Times New Roman"/>
                <w:b/>
                <w:i/>
                <w:iCs/>
                <w:vertAlign w:val="subscript"/>
              </w:rPr>
              <w:t>2</w:t>
            </w:r>
            <w:r>
              <w:rPr>
                <w:rFonts w:ascii="Times New Roman" w:hAnsi="Times New Roman"/>
                <w:b/>
                <w:i/>
                <w:iCs/>
              </w:rPr>
              <w:t xml:space="preserve">30 </w:t>
            </w:r>
            <w:r>
              <w:rPr>
                <w:rFonts w:ascii="Times New Roman" w:hAnsi="Times New Roman"/>
                <w:bCs/>
                <w:i/>
                <w:iCs/>
              </w:rPr>
              <w:t>(cu excepţia  celor din clădirile de locuit)</w:t>
            </w:r>
          </w:p>
        </w:tc>
      </w:tr>
      <w:tr w:rsidR="001C08A5" w14:paraId="50B9D97D" w14:textId="77777777">
        <w:tc>
          <w:tcPr>
            <w:tcW w:w="777" w:type="dxa"/>
            <w:vMerge w:val="restart"/>
          </w:tcPr>
          <w:p w14:paraId="6401F5F0" w14:textId="77777777" w:rsidR="001C08A5" w:rsidRDefault="001C08A5">
            <w:pPr>
              <w:rPr>
                <w:b/>
                <w:i/>
                <w:iCs/>
                <w:sz w:val="22"/>
                <w:szCs w:val="22"/>
              </w:rPr>
            </w:pPr>
          </w:p>
          <w:p w14:paraId="3A44DF11" w14:textId="77777777" w:rsidR="001C08A5" w:rsidRDefault="00000000">
            <w:pPr>
              <w:rPr>
                <w:b/>
                <w:i/>
                <w:iCs/>
                <w:sz w:val="22"/>
                <w:szCs w:val="22"/>
              </w:rPr>
            </w:pPr>
            <w:r>
              <w:rPr>
                <w:b/>
                <w:i/>
                <w:iCs/>
                <w:sz w:val="22"/>
                <w:szCs w:val="22"/>
              </w:rPr>
              <w:t>IV</w:t>
            </w:r>
          </w:p>
        </w:tc>
        <w:tc>
          <w:tcPr>
            <w:tcW w:w="1510" w:type="dxa"/>
          </w:tcPr>
          <w:p w14:paraId="7F2E51B5" w14:textId="77777777" w:rsidR="001C08A5" w:rsidRDefault="00000000">
            <w:pPr>
              <w:rPr>
                <w:b/>
                <w:i/>
                <w:iCs/>
                <w:sz w:val="22"/>
                <w:szCs w:val="22"/>
              </w:rPr>
            </w:pPr>
            <w:r>
              <w:rPr>
                <w:b/>
                <w:i/>
                <w:iCs/>
                <w:sz w:val="22"/>
                <w:szCs w:val="22"/>
              </w:rPr>
              <w:t>Pereţi</w:t>
            </w:r>
          </w:p>
        </w:tc>
        <w:tc>
          <w:tcPr>
            <w:tcW w:w="3539" w:type="dxa"/>
          </w:tcPr>
          <w:p w14:paraId="2F019859" w14:textId="77777777" w:rsidR="001C08A5" w:rsidRDefault="00000000">
            <w:pPr>
              <w:pStyle w:val="NoSpacing"/>
              <w:suppressAutoHyphens/>
              <w:rPr>
                <w:rFonts w:ascii="Times New Roman" w:hAnsi="Times New Roman"/>
                <w:b/>
                <w:i/>
                <w:iCs/>
              </w:rPr>
            </w:pPr>
            <w:r>
              <w:rPr>
                <w:rFonts w:ascii="Times New Roman" w:hAnsi="Times New Roman"/>
                <w:b/>
                <w:i/>
                <w:iCs/>
              </w:rPr>
              <w:t>EI/REI 30</w:t>
            </w:r>
          </w:p>
        </w:tc>
        <w:tc>
          <w:tcPr>
            <w:tcW w:w="3888" w:type="dxa"/>
          </w:tcPr>
          <w:p w14:paraId="6B3E5117" w14:textId="77777777" w:rsidR="001C08A5" w:rsidRDefault="00000000">
            <w:pPr>
              <w:pStyle w:val="NoSpacing"/>
              <w:suppressAutoHyphens/>
              <w:rPr>
                <w:rFonts w:ascii="Times New Roman" w:hAnsi="Times New Roman"/>
                <w:b/>
                <w:i/>
                <w:iCs/>
              </w:rPr>
            </w:pPr>
            <w:r>
              <w:rPr>
                <w:rFonts w:ascii="Times New Roman" w:hAnsi="Times New Roman"/>
                <w:b/>
                <w:i/>
                <w:iCs/>
              </w:rPr>
              <w:t>EI/REI 30</w:t>
            </w:r>
          </w:p>
        </w:tc>
      </w:tr>
      <w:tr w:rsidR="001C08A5" w14:paraId="00B573B6" w14:textId="77777777">
        <w:tc>
          <w:tcPr>
            <w:tcW w:w="777" w:type="dxa"/>
            <w:vMerge/>
          </w:tcPr>
          <w:p w14:paraId="04D96D40" w14:textId="77777777" w:rsidR="001C08A5" w:rsidRDefault="001C08A5">
            <w:pPr>
              <w:rPr>
                <w:b/>
                <w:i/>
                <w:iCs/>
                <w:sz w:val="22"/>
                <w:szCs w:val="22"/>
              </w:rPr>
            </w:pPr>
          </w:p>
        </w:tc>
        <w:tc>
          <w:tcPr>
            <w:tcW w:w="1510" w:type="dxa"/>
          </w:tcPr>
          <w:p w14:paraId="2440E5C0" w14:textId="77777777" w:rsidR="001C08A5" w:rsidRDefault="00000000">
            <w:pPr>
              <w:rPr>
                <w:b/>
                <w:i/>
                <w:iCs/>
                <w:sz w:val="22"/>
                <w:szCs w:val="22"/>
              </w:rPr>
            </w:pPr>
            <w:r>
              <w:rPr>
                <w:b/>
                <w:i/>
                <w:iCs/>
                <w:sz w:val="22"/>
                <w:szCs w:val="22"/>
              </w:rPr>
              <w:t>Planşee</w:t>
            </w:r>
          </w:p>
        </w:tc>
        <w:tc>
          <w:tcPr>
            <w:tcW w:w="3539" w:type="dxa"/>
          </w:tcPr>
          <w:p w14:paraId="68BAC4C0" w14:textId="77777777" w:rsidR="001C08A5" w:rsidRDefault="00000000">
            <w:pPr>
              <w:pStyle w:val="NoSpacing"/>
              <w:suppressAutoHyphens/>
              <w:rPr>
                <w:rFonts w:ascii="Times New Roman" w:hAnsi="Times New Roman"/>
                <w:b/>
                <w:i/>
                <w:iCs/>
              </w:rPr>
            </w:pPr>
            <w:r>
              <w:rPr>
                <w:rFonts w:ascii="Times New Roman" w:hAnsi="Times New Roman"/>
                <w:b/>
                <w:i/>
                <w:iCs/>
              </w:rPr>
              <w:t>REI 30</w:t>
            </w:r>
          </w:p>
        </w:tc>
        <w:tc>
          <w:tcPr>
            <w:tcW w:w="3888" w:type="dxa"/>
          </w:tcPr>
          <w:p w14:paraId="601AD6F6" w14:textId="77777777" w:rsidR="001C08A5" w:rsidRDefault="00000000">
            <w:pPr>
              <w:pStyle w:val="NoSpacing"/>
              <w:suppressAutoHyphens/>
              <w:rPr>
                <w:rFonts w:ascii="Times New Roman" w:hAnsi="Times New Roman"/>
                <w:b/>
                <w:i/>
                <w:iCs/>
              </w:rPr>
            </w:pPr>
            <w:r>
              <w:rPr>
                <w:rFonts w:ascii="Times New Roman" w:hAnsi="Times New Roman"/>
                <w:b/>
                <w:i/>
                <w:iCs/>
              </w:rPr>
              <w:t>REI 30</w:t>
            </w:r>
          </w:p>
        </w:tc>
      </w:tr>
      <w:tr w:rsidR="001C08A5" w14:paraId="268A7237" w14:textId="77777777">
        <w:tc>
          <w:tcPr>
            <w:tcW w:w="777" w:type="dxa"/>
            <w:vMerge/>
          </w:tcPr>
          <w:p w14:paraId="4C24C683" w14:textId="77777777" w:rsidR="001C08A5" w:rsidRDefault="001C08A5">
            <w:pPr>
              <w:rPr>
                <w:b/>
                <w:i/>
                <w:iCs/>
                <w:sz w:val="22"/>
                <w:szCs w:val="22"/>
              </w:rPr>
            </w:pPr>
          </w:p>
        </w:tc>
        <w:tc>
          <w:tcPr>
            <w:tcW w:w="1510" w:type="dxa"/>
          </w:tcPr>
          <w:p w14:paraId="39E06EAD" w14:textId="77777777" w:rsidR="001C08A5" w:rsidRDefault="00000000">
            <w:pPr>
              <w:rPr>
                <w:b/>
                <w:i/>
                <w:iCs/>
                <w:sz w:val="22"/>
                <w:szCs w:val="22"/>
              </w:rPr>
            </w:pPr>
            <w:r>
              <w:rPr>
                <w:b/>
                <w:i/>
                <w:iCs/>
                <w:sz w:val="22"/>
                <w:szCs w:val="22"/>
              </w:rPr>
              <w:t>Uşi</w:t>
            </w:r>
          </w:p>
        </w:tc>
        <w:tc>
          <w:tcPr>
            <w:tcW w:w="3539" w:type="dxa"/>
          </w:tcPr>
          <w:p w14:paraId="7202B50B" w14:textId="77777777" w:rsidR="001C08A5" w:rsidRDefault="00000000">
            <w:pPr>
              <w:pStyle w:val="NoSpacing"/>
              <w:suppressAutoHyphens/>
              <w:rPr>
                <w:rFonts w:ascii="Times New Roman" w:hAnsi="Times New Roman"/>
                <w:b/>
                <w:i/>
                <w:iCs/>
              </w:rPr>
            </w:pPr>
            <w:r>
              <w:rPr>
                <w:rFonts w:ascii="Times New Roman" w:hAnsi="Times New Roman"/>
                <w:b/>
                <w:i/>
                <w:iCs/>
              </w:rPr>
              <w:t>EI</w:t>
            </w:r>
            <w:r>
              <w:rPr>
                <w:rFonts w:ascii="Times New Roman" w:hAnsi="Times New Roman"/>
                <w:b/>
                <w:i/>
                <w:iCs/>
                <w:vertAlign w:val="subscript"/>
              </w:rPr>
              <w:t>2</w:t>
            </w:r>
            <w:r>
              <w:rPr>
                <w:rFonts w:ascii="Times New Roman" w:hAnsi="Times New Roman"/>
                <w:b/>
                <w:i/>
                <w:iCs/>
              </w:rPr>
              <w:t>15</w:t>
            </w:r>
            <w:r>
              <w:rPr>
                <w:rFonts w:ascii="Times New Roman" w:hAnsi="Times New Roman"/>
                <w:bCs/>
                <w:i/>
                <w:iCs/>
              </w:rPr>
              <w:t xml:space="preserve"> (cu excepţia  celor din clădirile de locuit)</w:t>
            </w:r>
          </w:p>
        </w:tc>
        <w:tc>
          <w:tcPr>
            <w:tcW w:w="3888" w:type="dxa"/>
          </w:tcPr>
          <w:p w14:paraId="6CE84ACC" w14:textId="77777777" w:rsidR="001C08A5" w:rsidRDefault="00000000">
            <w:pPr>
              <w:pStyle w:val="NoSpacing"/>
              <w:suppressAutoHyphens/>
              <w:rPr>
                <w:rFonts w:ascii="Times New Roman" w:hAnsi="Times New Roman"/>
                <w:b/>
                <w:i/>
                <w:iCs/>
              </w:rPr>
            </w:pPr>
            <w:r>
              <w:rPr>
                <w:rFonts w:ascii="Times New Roman" w:hAnsi="Times New Roman"/>
                <w:b/>
                <w:i/>
                <w:iCs/>
              </w:rPr>
              <w:t>EI</w:t>
            </w:r>
            <w:r>
              <w:rPr>
                <w:rFonts w:ascii="Times New Roman" w:hAnsi="Times New Roman"/>
                <w:b/>
                <w:i/>
                <w:iCs/>
                <w:vertAlign w:val="subscript"/>
              </w:rPr>
              <w:t>2</w:t>
            </w:r>
            <w:r>
              <w:rPr>
                <w:rFonts w:ascii="Times New Roman" w:hAnsi="Times New Roman"/>
                <w:b/>
                <w:i/>
                <w:iCs/>
              </w:rPr>
              <w:t xml:space="preserve">20 </w:t>
            </w:r>
            <w:r>
              <w:rPr>
                <w:rFonts w:ascii="Times New Roman" w:hAnsi="Times New Roman"/>
                <w:bCs/>
                <w:i/>
                <w:iCs/>
              </w:rPr>
              <w:t>(cu excepţia  celor din clădirile de locuit)</w:t>
            </w:r>
          </w:p>
        </w:tc>
      </w:tr>
    </w:tbl>
    <w:p w14:paraId="284C766F" w14:textId="77777777" w:rsidR="001C08A5" w:rsidRDefault="001C08A5">
      <w:pPr>
        <w:ind w:firstLine="720"/>
        <w:jc w:val="both"/>
        <w:rPr>
          <w:b/>
          <w:bCs/>
          <w:sz w:val="24"/>
          <w:szCs w:val="24"/>
        </w:rPr>
      </w:pPr>
    </w:p>
    <w:p w14:paraId="18683A9F" w14:textId="77777777" w:rsidR="001C08A5" w:rsidRDefault="00000000">
      <w:pPr>
        <w:ind w:firstLine="720"/>
        <w:jc w:val="both"/>
        <w:rPr>
          <w:sz w:val="24"/>
          <w:szCs w:val="24"/>
        </w:rPr>
      </w:pPr>
      <w:r>
        <w:rPr>
          <w:b/>
          <w:bCs/>
          <w:sz w:val="24"/>
          <w:szCs w:val="24"/>
        </w:rPr>
        <w:t>(3)</w:t>
      </w:r>
      <w:r>
        <w:rPr>
          <w:sz w:val="24"/>
          <w:szCs w:val="24"/>
        </w:rPr>
        <w:t xml:space="preserve"> Încăperile de depozitare din clădiri civile cu aria utilă mai mare de </w:t>
      </w:r>
      <w:r>
        <w:rPr>
          <w:b/>
          <w:bCs/>
          <w:sz w:val="24"/>
          <w:szCs w:val="24"/>
        </w:rPr>
        <w:t>36 m²</w:t>
      </w:r>
      <w:r>
        <w:rPr>
          <w:sz w:val="24"/>
          <w:szCs w:val="24"/>
        </w:rPr>
        <w:t xml:space="preserve"> şi sarcina termica mai mare de </w:t>
      </w:r>
      <w:r>
        <w:rPr>
          <w:b/>
          <w:bCs/>
          <w:sz w:val="24"/>
          <w:szCs w:val="24"/>
        </w:rPr>
        <w:t>105 MJ/</w:t>
      </w:r>
      <w:r>
        <w:rPr>
          <w:b/>
          <w:sz w:val="24"/>
          <w:szCs w:val="24"/>
        </w:rPr>
        <w:t>m²</w:t>
      </w:r>
      <w:r>
        <w:rPr>
          <w:sz w:val="24"/>
          <w:szCs w:val="24"/>
        </w:rPr>
        <w:t xml:space="preserve"> de incendiu 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719DA560" w14:textId="77777777" w:rsidR="001C08A5" w:rsidRDefault="001C08A5">
      <w:pPr>
        <w:pStyle w:val="Default"/>
        <w:rPr>
          <w:color w:val="auto"/>
        </w:rPr>
      </w:pPr>
    </w:p>
    <w:p w14:paraId="47DE35E2" w14:textId="77777777" w:rsidR="001C08A5" w:rsidRDefault="00000000">
      <w:pPr>
        <w:ind w:firstLine="709"/>
        <w:jc w:val="both"/>
        <w:rPr>
          <w:sz w:val="24"/>
          <w:szCs w:val="24"/>
        </w:rPr>
      </w:pPr>
      <w:r>
        <w:rPr>
          <w:b/>
          <w:sz w:val="24"/>
          <w:szCs w:val="24"/>
        </w:rPr>
        <w:t>Art. 2.4.16.3. (1)</w:t>
      </w:r>
      <w:r>
        <w:rPr>
          <w:sz w:val="24"/>
          <w:szCs w:val="24"/>
        </w:rPr>
        <w:t xml:space="preserve"> În construcţii de producţie, încăperile de depozitare a materialelor și substanţelor combustibile cu aria utilă mai mare de </w:t>
      </w:r>
      <w:r>
        <w:rPr>
          <w:b/>
          <w:sz w:val="24"/>
          <w:szCs w:val="24"/>
        </w:rPr>
        <w:t>36 m²</w:t>
      </w:r>
      <w:r>
        <w:rPr>
          <w:sz w:val="24"/>
          <w:szCs w:val="24"/>
        </w:rPr>
        <w:t xml:space="preserve"> se separă obligatoriu faţă de restul construcţiei, prin elemente de construcţie cu rezistenţa la foc conformă prevederilor </w:t>
      </w:r>
      <w:r>
        <w:rPr>
          <w:b/>
          <w:sz w:val="24"/>
          <w:szCs w:val="24"/>
        </w:rPr>
        <w:t>Art.</w:t>
      </w:r>
      <w:r>
        <w:rPr>
          <w:b/>
          <w:bCs/>
          <w:sz w:val="24"/>
          <w:szCs w:val="24"/>
        </w:rPr>
        <w:t>2.3.1.2.</w:t>
      </w:r>
      <w:r>
        <w:rPr>
          <w:sz w:val="24"/>
          <w:szCs w:val="24"/>
        </w:rPr>
        <w:t xml:space="preserve"> şi </w:t>
      </w:r>
      <w:r>
        <w:rPr>
          <w:sz w:val="24"/>
          <w:szCs w:val="24"/>
        </w:rPr>
        <w:fldChar w:fldCharType="begin"/>
      </w:r>
      <w:r>
        <w:rPr>
          <w:sz w:val="24"/>
          <w:szCs w:val="24"/>
        </w:rPr>
        <w:instrText xml:space="preserve"> REF _Ref28465 \h </w:instrText>
      </w:r>
      <w:r>
        <w:rPr>
          <w:sz w:val="24"/>
          <w:szCs w:val="24"/>
        </w:rPr>
      </w:r>
      <w:r>
        <w:rPr>
          <w:sz w:val="24"/>
          <w:szCs w:val="24"/>
        </w:rPr>
        <w:fldChar w:fldCharType="separate"/>
      </w:r>
      <w:r>
        <w:t>Tabelul 5</w:t>
      </w:r>
      <w:r>
        <w:rPr>
          <w:sz w:val="24"/>
          <w:szCs w:val="24"/>
        </w:rPr>
        <w:fldChar w:fldCharType="end"/>
      </w:r>
      <w:r>
        <w:rPr>
          <w:sz w:val="24"/>
          <w:szCs w:val="24"/>
        </w:rPr>
        <w:t xml:space="preserve"> dar minimum:</w:t>
      </w:r>
    </w:p>
    <w:p w14:paraId="32C5E90F" w14:textId="77777777" w:rsidR="001C08A5" w:rsidRDefault="00000000">
      <w:pPr>
        <w:numPr>
          <w:ilvl w:val="0"/>
          <w:numId w:val="58"/>
        </w:numPr>
        <w:jc w:val="both"/>
        <w:rPr>
          <w:b/>
          <w:sz w:val="24"/>
          <w:szCs w:val="24"/>
        </w:rPr>
      </w:pPr>
      <w:r>
        <w:rPr>
          <w:b/>
          <w:sz w:val="24"/>
          <w:szCs w:val="24"/>
        </w:rPr>
        <w:t>EI/REI 180</w:t>
      </w:r>
      <w:r>
        <w:rPr>
          <w:sz w:val="24"/>
          <w:szCs w:val="24"/>
        </w:rPr>
        <w:t xml:space="preserve"> pentru pereţi şi cel puţin </w:t>
      </w:r>
      <w:r>
        <w:rPr>
          <w:b/>
          <w:sz w:val="24"/>
          <w:szCs w:val="24"/>
        </w:rPr>
        <w:t>REI 120</w:t>
      </w:r>
      <w:r>
        <w:rPr>
          <w:sz w:val="24"/>
          <w:szCs w:val="24"/>
        </w:rPr>
        <w:t xml:space="preserve"> pentru planşee, atunci când încăperile au risc mare sau foarte mare de incendiu </w:t>
      </w:r>
      <w:r>
        <w:rPr>
          <w:bCs/>
          <w:sz w:val="24"/>
          <w:szCs w:val="24"/>
        </w:rPr>
        <w:t xml:space="preserve">iar golurile de comunicare cu restul construcţiei se protejază cu uşi </w:t>
      </w:r>
      <w:r>
        <w:rPr>
          <w:sz w:val="24"/>
          <w:szCs w:val="24"/>
        </w:rPr>
        <w:t>rezistente la foc și etanșe la fum</w:t>
      </w:r>
      <w:r>
        <w:rPr>
          <w:bCs/>
          <w:sz w:val="24"/>
          <w:szCs w:val="24"/>
        </w:rPr>
        <w:t xml:space="preserve"> minimum </w:t>
      </w:r>
      <w:r>
        <w:rPr>
          <w:b/>
          <w:bCs/>
          <w:sz w:val="24"/>
          <w:szCs w:val="24"/>
        </w:rPr>
        <w:t>EI</w:t>
      </w:r>
      <w:r>
        <w:rPr>
          <w:b/>
          <w:bCs/>
          <w:sz w:val="24"/>
          <w:szCs w:val="24"/>
          <w:vertAlign w:val="subscript"/>
        </w:rPr>
        <w:t>2</w:t>
      </w:r>
      <w:r>
        <w:rPr>
          <w:b/>
          <w:bCs/>
          <w:sz w:val="24"/>
          <w:szCs w:val="24"/>
        </w:rPr>
        <w:t>90-C3</w:t>
      </w:r>
      <w:r>
        <w:rPr>
          <w:b/>
          <w:sz w:val="24"/>
          <w:szCs w:val="24"/>
        </w:rPr>
        <w:t>S</w:t>
      </w:r>
      <w:r>
        <w:rPr>
          <w:b/>
          <w:bCs/>
          <w:sz w:val="24"/>
          <w:szCs w:val="24"/>
          <w:vertAlign w:val="subscript"/>
        </w:rPr>
        <w:t>200</w:t>
      </w:r>
      <w:r>
        <w:rPr>
          <w:bCs/>
          <w:sz w:val="24"/>
          <w:szCs w:val="24"/>
        </w:rPr>
        <w:t xml:space="preserve">; </w:t>
      </w:r>
    </w:p>
    <w:p w14:paraId="6D8AA2A3" w14:textId="77777777" w:rsidR="001C08A5" w:rsidRDefault="00000000">
      <w:pPr>
        <w:numPr>
          <w:ilvl w:val="0"/>
          <w:numId w:val="58"/>
        </w:numPr>
        <w:jc w:val="both"/>
        <w:rPr>
          <w:b/>
          <w:sz w:val="24"/>
          <w:szCs w:val="24"/>
        </w:rPr>
      </w:pPr>
      <w:r>
        <w:rPr>
          <w:b/>
          <w:sz w:val="24"/>
          <w:szCs w:val="24"/>
        </w:rPr>
        <w:t xml:space="preserve">EI/REI 120 </w:t>
      </w:r>
      <w:r>
        <w:rPr>
          <w:sz w:val="24"/>
          <w:szCs w:val="24"/>
        </w:rPr>
        <w:t>pentru pereţi şi cel puţin</w:t>
      </w:r>
      <w:r>
        <w:rPr>
          <w:b/>
          <w:sz w:val="24"/>
          <w:szCs w:val="24"/>
        </w:rPr>
        <w:t xml:space="preserve"> REI 90 </w:t>
      </w:r>
      <w:r>
        <w:rPr>
          <w:sz w:val="24"/>
          <w:szCs w:val="24"/>
        </w:rPr>
        <w:t xml:space="preserve">pentru planşee, atunci când încăperile au  risc mijlociu de incendiu </w:t>
      </w:r>
      <w:r>
        <w:rPr>
          <w:bCs/>
          <w:sz w:val="24"/>
          <w:szCs w:val="24"/>
        </w:rPr>
        <w:t xml:space="preserve">iar golurile de comunicare cu restul construcţiei se protejază cu uşi </w:t>
      </w:r>
      <w:r>
        <w:rPr>
          <w:sz w:val="24"/>
          <w:szCs w:val="24"/>
        </w:rPr>
        <w:t>rezistente la foc și etanșe la fum</w:t>
      </w:r>
      <w:r>
        <w:rPr>
          <w:bCs/>
          <w:sz w:val="24"/>
          <w:szCs w:val="24"/>
        </w:rPr>
        <w:t xml:space="preserve"> minimum </w:t>
      </w:r>
      <w:r>
        <w:rPr>
          <w:b/>
          <w:bCs/>
          <w:sz w:val="24"/>
          <w:szCs w:val="24"/>
        </w:rPr>
        <w:t>EI</w:t>
      </w:r>
      <w:r>
        <w:rPr>
          <w:b/>
          <w:bCs/>
          <w:sz w:val="24"/>
          <w:szCs w:val="24"/>
          <w:vertAlign w:val="subscript"/>
        </w:rPr>
        <w:t>2</w:t>
      </w:r>
      <w:r>
        <w:rPr>
          <w:b/>
          <w:bCs/>
          <w:sz w:val="24"/>
          <w:szCs w:val="24"/>
        </w:rPr>
        <w:t>60-C3</w:t>
      </w:r>
      <w:r>
        <w:rPr>
          <w:b/>
          <w:sz w:val="24"/>
          <w:szCs w:val="24"/>
        </w:rPr>
        <w:t>S</w:t>
      </w:r>
      <w:r>
        <w:rPr>
          <w:b/>
          <w:bCs/>
          <w:sz w:val="24"/>
          <w:szCs w:val="24"/>
          <w:vertAlign w:val="subscript"/>
        </w:rPr>
        <w:t xml:space="preserve">200 </w:t>
      </w:r>
      <w:r>
        <w:rPr>
          <w:bCs/>
          <w:sz w:val="24"/>
          <w:szCs w:val="24"/>
        </w:rPr>
        <w:t>;</w:t>
      </w:r>
    </w:p>
    <w:p w14:paraId="7A8E3E46" w14:textId="77777777" w:rsidR="001C08A5" w:rsidRDefault="00000000">
      <w:pPr>
        <w:numPr>
          <w:ilvl w:val="0"/>
          <w:numId w:val="58"/>
        </w:numPr>
        <w:jc w:val="both"/>
        <w:rPr>
          <w:b/>
          <w:sz w:val="24"/>
          <w:szCs w:val="24"/>
        </w:rPr>
      </w:pPr>
      <w:r>
        <w:rPr>
          <w:b/>
          <w:sz w:val="24"/>
          <w:szCs w:val="24"/>
        </w:rPr>
        <w:t xml:space="preserve">EI/REI 30 </w:t>
      </w:r>
      <w:r>
        <w:rPr>
          <w:sz w:val="24"/>
          <w:szCs w:val="24"/>
        </w:rPr>
        <w:t>pentru pereţi și cel puţin</w:t>
      </w:r>
      <w:r>
        <w:rPr>
          <w:b/>
          <w:sz w:val="24"/>
          <w:szCs w:val="24"/>
        </w:rPr>
        <w:t xml:space="preserve"> REI 30 </w:t>
      </w:r>
      <w:r>
        <w:rPr>
          <w:sz w:val="24"/>
          <w:szCs w:val="24"/>
        </w:rPr>
        <w:t xml:space="preserve">pentru planşee, atunci când încăperile au risc mic de incendiu </w:t>
      </w:r>
      <w:r>
        <w:rPr>
          <w:bCs/>
          <w:sz w:val="24"/>
          <w:szCs w:val="24"/>
        </w:rPr>
        <w:t xml:space="preserve">iar golurile de comunicare cu restul construcţiei se protejază cu uşi </w:t>
      </w:r>
      <w:r>
        <w:rPr>
          <w:sz w:val="24"/>
          <w:szCs w:val="24"/>
        </w:rPr>
        <w:t>rezistente la foc și etanșe la fum</w:t>
      </w:r>
      <w:r>
        <w:rPr>
          <w:bCs/>
          <w:sz w:val="24"/>
          <w:szCs w:val="24"/>
        </w:rPr>
        <w:t xml:space="preserve"> minimum </w:t>
      </w:r>
      <w:r>
        <w:rPr>
          <w:b/>
          <w:bCs/>
          <w:sz w:val="24"/>
          <w:szCs w:val="24"/>
        </w:rPr>
        <w:t>EI</w:t>
      </w:r>
      <w:r>
        <w:rPr>
          <w:b/>
          <w:bCs/>
          <w:sz w:val="24"/>
          <w:szCs w:val="24"/>
          <w:vertAlign w:val="subscript"/>
        </w:rPr>
        <w:t>2</w:t>
      </w:r>
      <w:r>
        <w:rPr>
          <w:b/>
          <w:bCs/>
          <w:sz w:val="24"/>
          <w:szCs w:val="24"/>
        </w:rPr>
        <w:t>15-C3</w:t>
      </w:r>
      <w:r>
        <w:rPr>
          <w:b/>
          <w:sz w:val="24"/>
          <w:szCs w:val="24"/>
        </w:rPr>
        <w:t>S</w:t>
      </w:r>
      <w:r>
        <w:rPr>
          <w:b/>
          <w:bCs/>
          <w:sz w:val="24"/>
          <w:szCs w:val="24"/>
          <w:vertAlign w:val="subscript"/>
        </w:rPr>
        <w:t xml:space="preserve">200 </w:t>
      </w:r>
      <w:r>
        <w:rPr>
          <w:sz w:val="24"/>
          <w:szCs w:val="24"/>
        </w:rPr>
        <w:t>.</w:t>
      </w:r>
    </w:p>
    <w:p w14:paraId="3DF7F565" w14:textId="77777777" w:rsidR="001C08A5" w:rsidRDefault="00000000">
      <w:pPr>
        <w:ind w:firstLine="720"/>
        <w:jc w:val="both"/>
        <w:rPr>
          <w:sz w:val="24"/>
          <w:szCs w:val="24"/>
        </w:rPr>
      </w:pPr>
      <w:r>
        <w:rPr>
          <w:b/>
          <w:sz w:val="24"/>
          <w:szCs w:val="24"/>
        </w:rPr>
        <w:t xml:space="preserve">(2) </w:t>
      </w:r>
      <w:r>
        <w:rPr>
          <w:sz w:val="24"/>
          <w:szCs w:val="24"/>
        </w:rPr>
        <w:t>Încăperile de depozitare care prezinta risc/ pericol de explozie volumetrică se dispun pe cât posibil în zone distincte ale construcţiei (se recomandă a se face la ultimul nivel suprateran al construcţiei), conform prevederilor privind performanțele comune și cele specifice și numai cu asigurarea măsurilor de protecţie corespunzătoare.</w:t>
      </w:r>
    </w:p>
    <w:p w14:paraId="6C8E082B" w14:textId="77777777" w:rsidR="001C08A5" w:rsidRDefault="00000000">
      <w:pPr>
        <w:ind w:firstLine="720"/>
        <w:jc w:val="both"/>
        <w:rPr>
          <w:sz w:val="24"/>
          <w:szCs w:val="24"/>
        </w:rPr>
      </w:pPr>
      <w:r>
        <w:rPr>
          <w:b/>
          <w:bCs/>
          <w:sz w:val="24"/>
          <w:szCs w:val="24"/>
        </w:rPr>
        <w:t xml:space="preserve">(3) </w:t>
      </w:r>
      <w:r>
        <w:rPr>
          <w:sz w:val="24"/>
          <w:szCs w:val="24"/>
        </w:rPr>
        <w:t>Pereţii şi planşeele care separă încăperile de depozitare, camerele tehnice, anexele tehnico-sociale, laboratoarele și atelierele anexă faţă de încăperile cu riscuri foarte mari de incendiu, trebuie să reziste la incendiu funcţie de densitatea sarcinii termice (</w:t>
      </w:r>
      <w:r>
        <w:rPr>
          <w:b/>
          <w:sz w:val="24"/>
          <w:szCs w:val="24"/>
        </w:rPr>
        <w:t>q</w:t>
      </w:r>
      <w:r>
        <w:rPr>
          <w:sz w:val="24"/>
          <w:szCs w:val="24"/>
        </w:rPr>
        <w:t xml:space="preserve">) și după caz și la explozie volumetrică, iar golurile de comunicare strict funcţionale din pereţi se prevăd cu încăperi tampon protejate, ventilate în suprapresiune şi prevăzute cu uşi rezistente la foc și etanșe la fum </w:t>
      </w:r>
      <w:r>
        <w:rPr>
          <w:b/>
          <w:bCs/>
          <w:sz w:val="24"/>
          <w:szCs w:val="24"/>
        </w:rPr>
        <w:t>EI</w:t>
      </w:r>
      <w:r>
        <w:rPr>
          <w:b/>
          <w:bCs/>
          <w:sz w:val="24"/>
          <w:szCs w:val="24"/>
          <w:vertAlign w:val="subscript"/>
        </w:rPr>
        <w:t>2</w:t>
      </w:r>
      <w:r>
        <w:rPr>
          <w:b/>
          <w:bCs/>
          <w:sz w:val="24"/>
          <w:szCs w:val="24"/>
        </w:rPr>
        <w:t>90-C3</w:t>
      </w:r>
      <w:r>
        <w:rPr>
          <w:b/>
          <w:sz w:val="24"/>
          <w:szCs w:val="24"/>
        </w:rPr>
        <w:t>S</w:t>
      </w:r>
      <w:r>
        <w:rPr>
          <w:b/>
          <w:bCs/>
          <w:sz w:val="24"/>
          <w:szCs w:val="24"/>
          <w:vertAlign w:val="subscript"/>
        </w:rPr>
        <w:t>200</w:t>
      </w:r>
      <w:r>
        <w:rPr>
          <w:sz w:val="24"/>
          <w:szCs w:val="24"/>
        </w:rPr>
        <w:t>.</w:t>
      </w:r>
    </w:p>
    <w:p w14:paraId="1FDC49B7" w14:textId="77777777" w:rsidR="001C08A5" w:rsidRDefault="00000000">
      <w:pPr>
        <w:ind w:firstLine="720"/>
        <w:jc w:val="both"/>
        <w:rPr>
          <w:sz w:val="24"/>
          <w:szCs w:val="24"/>
        </w:rPr>
      </w:pPr>
      <w:r>
        <w:rPr>
          <w:b/>
          <w:bCs/>
          <w:sz w:val="24"/>
          <w:szCs w:val="24"/>
        </w:rPr>
        <w:t xml:space="preserve">(4) </w:t>
      </w:r>
      <w:r>
        <w:rPr>
          <w:sz w:val="24"/>
          <w:szCs w:val="24"/>
        </w:rPr>
        <w:t xml:space="preserve">Încăperile de depozitare cu aria utilă mai mare de </w:t>
      </w:r>
      <w:r>
        <w:rPr>
          <w:b/>
          <w:bCs/>
          <w:sz w:val="24"/>
          <w:szCs w:val="24"/>
        </w:rPr>
        <w:t>36 m²</w:t>
      </w:r>
      <w:r>
        <w:rPr>
          <w:sz w:val="24"/>
          <w:szCs w:val="24"/>
        </w:rPr>
        <w:t xml:space="preserve"> şi sarcina termica mai mare de </w:t>
      </w:r>
      <w:r>
        <w:rPr>
          <w:b/>
          <w:bCs/>
          <w:sz w:val="24"/>
          <w:szCs w:val="24"/>
        </w:rPr>
        <w:t>105 MJ/</w:t>
      </w:r>
      <w:r>
        <w:rPr>
          <w:b/>
          <w:sz w:val="24"/>
          <w:szCs w:val="24"/>
        </w:rPr>
        <w:t xml:space="preserve">m² </w:t>
      </w:r>
      <w:r>
        <w:rPr>
          <w:sz w:val="24"/>
          <w:szCs w:val="24"/>
        </w:rPr>
        <w:t xml:space="preserve">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6104C121" w14:textId="77777777" w:rsidR="001C08A5" w:rsidRDefault="001C08A5">
      <w:pPr>
        <w:ind w:firstLine="720"/>
        <w:jc w:val="both"/>
        <w:rPr>
          <w:sz w:val="24"/>
          <w:szCs w:val="24"/>
        </w:rPr>
      </w:pPr>
    </w:p>
    <w:p w14:paraId="0E71EC0D" w14:textId="77777777" w:rsidR="001C08A5" w:rsidRDefault="00000000">
      <w:pPr>
        <w:ind w:firstLine="709"/>
        <w:jc w:val="both"/>
        <w:rPr>
          <w:sz w:val="24"/>
          <w:szCs w:val="24"/>
        </w:rPr>
      </w:pPr>
      <w:r>
        <w:rPr>
          <w:b/>
          <w:sz w:val="24"/>
          <w:szCs w:val="24"/>
        </w:rPr>
        <w:t xml:space="preserve">Art. 2.4.16.4. </w:t>
      </w:r>
      <w:r>
        <w:rPr>
          <w:sz w:val="24"/>
          <w:szCs w:val="24"/>
        </w:rPr>
        <w:t>La construcţiile de depozitare trebuie asigurate condiţiile și măsurile de securitate la incendiu stabilite în prevederile generale ale normativului, performanțele comune şi specifice, precum şi cele stabilite în reglementările tehnice specifice aplicabile.</w:t>
      </w:r>
    </w:p>
    <w:p w14:paraId="43797920" w14:textId="77777777" w:rsidR="001C08A5" w:rsidRDefault="001C08A5">
      <w:pPr>
        <w:jc w:val="both"/>
        <w:rPr>
          <w:sz w:val="24"/>
          <w:szCs w:val="24"/>
        </w:rPr>
      </w:pPr>
    </w:p>
    <w:p w14:paraId="2628A8A1" w14:textId="77777777" w:rsidR="001C08A5" w:rsidRDefault="00000000">
      <w:pPr>
        <w:ind w:firstLine="709"/>
        <w:jc w:val="both"/>
        <w:rPr>
          <w:b/>
          <w:sz w:val="24"/>
          <w:szCs w:val="24"/>
        </w:rPr>
      </w:pPr>
      <w:r>
        <w:rPr>
          <w:b/>
          <w:sz w:val="24"/>
          <w:szCs w:val="24"/>
        </w:rPr>
        <w:t xml:space="preserve">Art. 2.4.16.5. (1) </w:t>
      </w:r>
      <w:r>
        <w:rPr>
          <w:sz w:val="24"/>
          <w:szCs w:val="24"/>
        </w:rPr>
        <w:t xml:space="preserve">Este admisă prevederea în construcţie a unei încăperi pentru depozitarea a maximum </w:t>
      </w:r>
      <w:r>
        <w:rPr>
          <w:b/>
          <w:sz w:val="24"/>
          <w:szCs w:val="24"/>
        </w:rPr>
        <w:t>10 m</w:t>
      </w:r>
      <w:r>
        <w:rPr>
          <w:b/>
          <w:sz w:val="24"/>
          <w:szCs w:val="24"/>
          <w:vertAlign w:val="superscript"/>
        </w:rPr>
        <w:t xml:space="preserve">3 </w:t>
      </w:r>
      <w:r>
        <w:rPr>
          <w:sz w:val="24"/>
          <w:szCs w:val="24"/>
        </w:rPr>
        <w:t xml:space="preserve">lichide combustibile sau maximum </w:t>
      </w:r>
      <w:r>
        <w:rPr>
          <w:b/>
          <w:sz w:val="24"/>
          <w:szCs w:val="24"/>
        </w:rPr>
        <w:t>20 m</w:t>
      </w:r>
      <w:r>
        <w:rPr>
          <w:b/>
          <w:sz w:val="24"/>
          <w:szCs w:val="24"/>
          <w:vertAlign w:val="superscript"/>
        </w:rPr>
        <w:t>3</w:t>
      </w:r>
      <w:r>
        <w:rPr>
          <w:sz w:val="24"/>
          <w:szCs w:val="24"/>
        </w:rPr>
        <w:t xml:space="preserve"> combustibil solid necesare consumului funcţional al instalaţiilor utilitare aferente, grup electrogen, centrală de încălzire cu aer cald etc.), </w:t>
      </w:r>
      <w:r>
        <w:rPr>
          <w:sz w:val="24"/>
          <w:szCs w:val="24"/>
        </w:rPr>
        <w:lastRenderedPageBreak/>
        <w:t>precum și a celor necesare funcţionării unor echipamente hidraulice (ascensoare, platforme, elevatoare etc.), dacă se asigură:</w:t>
      </w:r>
    </w:p>
    <w:p w14:paraId="00D9E077" w14:textId="77777777" w:rsidR="001C08A5" w:rsidRDefault="00000000">
      <w:pPr>
        <w:numPr>
          <w:ilvl w:val="0"/>
          <w:numId w:val="59"/>
        </w:numPr>
        <w:tabs>
          <w:tab w:val="left" w:pos="1985"/>
        </w:tabs>
        <w:ind w:left="3261" w:firstLine="0"/>
        <w:jc w:val="both"/>
        <w:rPr>
          <w:b/>
          <w:sz w:val="24"/>
          <w:szCs w:val="24"/>
        </w:rPr>
      </w:pPr>
      <w:r>
        <w:rPr>
          <w:sz w:val="24"/>
          <w:szCs w:val="24"/>
        </w:rPr>
        <w:t xml:space="preserve">separarea încăperii faţă de restul construcţiei, prin pereţi rezistenţi la foc minimum </w:t>
      </w:r>
      <w:r>
        <w:rPr>
          <w:b/>
          <w:sz w:val="24"/>
          <w:szCs w:val="24"/>
        </w:rPr>
        <w:t xml:space="preserve">EI/REI 120 </w:t>
      </w:r>
      <w:r>
        <w:rPr>
          <w:sz w:val="24"/>
          <w:szCs w:val="24"/>
        </w:rPr>
        <w:t xml:space="preserve">şi planşee rezistente la foc minimum </w:t>
      </w:r>
      <w:r>
        <w:rPr>
          <w:b/>
          <w:sz w:val="24"/>
          <w:szCs w:val="24"/>
        </w:rPr>
        <w:t xml:space="preserve">REI 120, </w:t>
      </w:r>
      <w:r>
        <w:rPr>
          <w:sz w:val="24"/>
          <w:szCs w:val="24"/>
        </w:rPr>
        <w:t xml:space="preserve">clasa de reacţie la foc </w:t>
      </w:r>
      <w:r>
        <w:rPr>
          <w:b/>
          <w:bCs/>
          <w:sz w:val="24"/>
          <w:szCs w:val="24"/>
        </w:rPr>
        <w:t>A1</w:t>
      </w:r>
      <w:r>
        <w:rPr>
          <w:sz w:val="24"/>
          <w:szCs w:val="24"/>
        </w:rPr>
        <w:t xml:space="preserve"> sau </w:t>
      </w:r>
      <w:r>
        <w:rPr>
          <w:b/>
          <w:bCs/>
          <w:sz w:val="24"/>
          <w:szCs w:val="24"/>
        </w:rPr>
        <w:t>A2-s1d0</w:t>
      </w:r>
      <w:r>
        <w:rPr>
          <w:sz w:val="24"/>
          <w:szCs w:val="24"/>
        </w:rPr>
        <w:t>;</w:t>
      </w:r>
    </w:p>
    <w:p w14:paraId="4184DCA5" w14:textId="77777777" w:rsidR="001C08A5" w:rsidRDefault="00000000">
      <w:pPr>
        <w:numPr>
          <w:ilvl w:val="0"/>
          <w:numId w:val="59"/>
        </w:numPr>
        <w:tabs>
          <w:tab w:val="left" w:pos="1985"/>
        </w:tabs>
        <w:ind w:left="3261" w:firstLine="0"/>
        <w:jc w:val="both"/>
        <w:rPr>
          <w:b/>
          <w:sz w:val="24"/>
          <w:szCs w:val="24"/>
        </w:rPr>
      </w:pPr>
      <w:r>
        <w:rPr>
          <w:sz w:val="24"/>
          <w:szCs w:val="24"/>
        </w:rPr>
        <w:t xml:space="preserve">accesul pentru vizitare direct din exterior protejat cu element de închidere rezistent la foc și etanș la fum minimum </w:t>
      </w:r>
      <w:r>
        <w:rPr>
          <w:b/>
          <w:bCs/>
          <w:sz w:val="24"/>
          <w:szCs w:val="24"/>
        </w:rPr>
        <w:t>EI</w:t>
      </w:r>
      <w:r>
        <w:rPr>
          <w:b/>
          <w:bCs/>
          <w:sz w:val="24"/>
          <w:szCs w:val="24"/>
          <w:vertAlign w:val="subscript"/>
        </w:rPr>
        <w:t>2</w:t>
      </w:r>
      <w:r>
        <w:rPr>
          <w:b/>
          <w:bCs/>
          <w:sz w:val="24"/>
          <w:szCs w:val="24"/>
        </w:rPr>
        <w:t>45-C3</w:t>
      </w:r>
      <w:r>
        <w:rPr>
          <w:b/>
          <w:sz w:val="24"/>
          <w:szCs w:val="24"/>
        </w:rPr>
        <w:t>S</w:t>
      </w:r>
      <w:r>
        <w:rPr>
          <w:b/>
          <w:bCs/>
          <w:sz w:val="24"/>
          <w:szCs w:val="24"/>
          <w:vertAlign w:val="subscript"/>
        </w:rPr>
        <w:t xml:space="preserve">200 </w:t>
      </w:r>
      <w:r>
        <w:rPr>
          <w:sz w:val="24"/>
          <w:szCs w:val="24"/>
        </w:rPr>
        <w:t xml:space="preserve">sau printr-un gol practicat în elementele de separare faţă de restul construcţiei, protejat cu </w:t>
      </w:r>
      <w:r>
        <w:rPr>
          <w:bCs/>
          <w:sz w:val="24"/>
          <w:szCs w:val="24"/>
        </w:rPr>
        <w:t xml:space="preserve">încăperi tampon </w:t>
      </w:r>
      <w:r>
        <w:rPr>
          <w:sz w:val="24"/>
          <w:szCs w:val="24"/>
        </w:rPr>
        <w:t>ventilate în suprapresiune</w:t>
      </w:r>
      <w:r>
        <w:rPr>
          <w:bCs/>
          <w:sz w:val="24"/>
          <w:szCs w:val="24"/>
        </w:rPr>
        <w:t xml:space="preserve"> prevăzute cu uşi </w:t>
      </w:r>
      <w:r>
        <w:rPr>
          <w:sz w:val="24"/>
          <w:szCs w:val="24"/>
        </w:rPr>
        <w:t xml:space="preserve">rezistente la foc și etanșe la fum </w:t>
      </w:r>
      <w:r>
        <w:rPr>
          <w:b/>
          <w:bCs/>
          <w:sz w:val="24"/>
          <w:szCs w:val="24"/>
        </w:rPr>
        <w:t>EI</w:t>
      </w:r>
      <w:r>
        <w:rPr>
          <w:b/>
          <w:bCs/>
          <w:sz w:val="24"/>
          <w:szCs w:val="24"/>
          <w:vertAlign w:val="subscript"/>
        </w:rPr>
        <w:t>2</w:t>
      </w:r>
      <w:r>
        <w:rPr>
          <w:b/>
          <w:bCs/>
          <w:sz w:val="24"/>
          <w:szCs w:val="24"/>
        </w:rPr>
        <w:t>30-C3</w:t>
      </w:r>
      <w:r>
        <w:rPr>
          <w:b/>
          <w:sz w:val="24"/>
          <w:szCs w:val="24"/>
        </w:rPr>
        <w:t>S</w:t>
      </w:r>
      <w:r>
        <w:rPr>
          <w:b/>
          <w:bCs/>
          <w:sz w:val="24"/>
          <w:szCs w:val="24"/>
          <w:vertAlign w:val="subscript"/>
        </w:rPr>
        <w:t xml:space="preserve">200. </w:t>
      </w:r>
      <w:r>
        <w:rPr>
          <w:sz w:val="24"/>
          <w:szCs w:val="24"/>
        </w:rPr>
        <w:t>În ambele situaţii, la golurile de acces se prevăd parapete sau praguri etanşe cu înălţimea stabilită astfel încât în caz de avarie să nu fie posibilă scurgerea lichidului combustibil în afara încăperii de depozitare;</w:t>
      </w:r>
    </w:p>
    <w:p w14:paraId="21116E40" w14:textId="77777777" w:rsidR="001C08A5" w:rsidRDefault="00000000">
      <w:pPr>
        <w:numPr>
          <w:ilvl w:val="0"/>
          <w:numId w:val="59"/>
        </w:numPr>
        <w:tabs>
          <w:tab w:val="left" w:pos="1985"/>
        </w:tabs>
        <w:ind w:left="3261" w:firstLine="0"/>
        <w:jc w:val="both"/>
        <w:rPr>
          <w:b/>
          <w:sz w:val="24"/>
          <w:szCs w:val="24"/>
        </w:rPr>
      </w:pPr>
      <w:r>
        <w:rPr>
          <w:sz w:val="24"/>
          <w:szCs w:val="24"/>
        </w:rPr>
        <w:t>prevederea rezervoarelor pentru lichide combustibile cu conductă de preaplin şi conductă de aerisire cu opritor de flăcări, dispuse în exteriorul construcţiei.</w:t>
      </w:r>
    </w:p>
    <w:p w14:paraId="34BF570E" w14:textId="77777777" w:rsidR="001C08A5" w:rsidRDefault="00000000">
      <w:pPr>
        <w:ind w:firstLine="720"/>
        <w:jc w:val="both"/>
        <w:rPr>
          <w:sz w:val="24"/>
          <w:szCs w:val="24"/>
        </w:rPr>
      </w:pPr>
      <w:r>
        <w:rPr>
          <w:b/>
          <w:sz w:val="24"/>
          <w:szCs w:val="24"/>
        </w:rPr>
        <w:t>(2)</w:t>
      </w:r>
      <w:r>
        <w:rPr>
          <w:sz w:val="24"/>
          <w:szCs w:val="24"/>
        </w:rPr>
        <w:t xml:space="preserve"> La aceste încăperi nu este obligatorie prevederea panourilor de decomprimare și a dispozitivelor de evacuare a fumului şi gazelor fierbinţi în caz de incendiu.</w:t>
      </w:r>
    </w:p>
    <w:p w14:paraId="2B7B8AB4" w14:textId="77777777" w:rsidR="001C08A5" w:rsidRDefault="00000000">
      <w:pPr>
        <w:ind w:firstLine="720"/>
        <w:jc w:val="both"/>
        <w:rPr>
          <w:sz w:val="24"/>
          <w:szCs w:val="24"/>
        </w:rPr>
      </w:pPr>
      <w:r>
        <w:rPr>
          <w:b/>
          <w:sz w:val="24"/>
          <w:szCs w:val="24"/>
        </w:rPr>
        <w:t xml:space="preserve">(3) </w:t>
      </w:r>
      <w:r>
        <w:rPr>
          <w:sz w:val="24"/>
          <w:szCs w:val="24"/>
          <w:shd w:val="clear" w:color="auto" w:fill="FFFFFF"/>
          <w:lang w:eastAsia="zh-CN"/>
        </w:rPr>
        <w:t xml:space="preserve">În clădirile civile care nu sunt înalte și foarte înalte, precum și în cele de producţie şi/sau depozitare se admite depozitarea a maximum </w:t>
      </w:r>
      <w:r>
        <w:rPr>
          <w:b/>
          <w:bCs/>
          <w:sz w:val="24"/>
          <w:szCs w:val="24"/>
          <w:shd w:val="clear" w:color="auto" w:fill="FFFFFF"/>
          <w:lang w:eastAsia="zh-CN"/>
        </w:rPr>
        <w:t xml:space="preserve">10 </w:t>
      </w:r>
      <w:r>
        <w:rPr>
          <w:b/>
          <w:sz w:val="24"/>
          <w:szCs w:val="24"/>
        </w:rPr>
        <w:t>m</w:t>
      </w:r>
      <w:r>
        <w:rPr>
          <w:b/>
          <w:sz w:val="24"/>
          <w:szCs w:val="24"/>
          <w:vertAlign w:val="superscript"/>
        </w:rPr>
        <w:t>3</w:t>
      </w:r>
      <w:r>
        <w:rPr>
          <w:sz w:val="24"/>
          <w:szCs w:val="24"/>
          <w:shd w:val="clear" w:color="auto" w:fill="FFFFFF"/>
          <w:lang w:eastAsia="zh-CN"/>
        </w:rPr>
        <w:t xml:space="preserve"> de combustibil lichid necesar folosirii în centrala termică din clădire (combustibil lichid uşor, motorină, păcură). Depozitarea se face, obligatoriu, în încăperi separate de restul clădirii prin pereţi, uşi şi planşee realizate conform prevederi normate. Se prevăd praguri pentru evitarea împrăştierii lichidelor revărsate în caz de avarie, asigurarea golirii rapide și instalaţii de semnalizare și stingere a incendiului. La aceste încăperi nu se prevăd dispozitive pentru</w:t>
      </w:r>
      <w:r>
        <w:rPr>
          <w:sz w:val="24"/>
          <w:szCs w:val="24"/>
        </w:rPr>
        <w:t xml:space="preserve"> evacuarea fumului şi gazelor fierbinţi în caz de incendiu</w:t>
      </w:r>
      <w:r>
        <w:rPr>
          <w:sz w:val="24"/>
          <w:szCs w:val="24"/>
          <w:shd w:val="clear" w:color="auto" w:fill="FFFFFF"/>
          <w:lang w:eastAsia="zh-CN"/>
        </w:rPr>
        <w:t xml:space="preserve"> și nici panouri de deburare (de decomprimare pentru explozie).</w:t>
      </w:r>
    </w:p>
    <w:p w14:paraId="3D84F455" w14:textId="77777777" w:rsidR="001C08A5" w:rsidRDefault="001C08A5">
      <w:pPr>
        <w:ind w:firstLine="720"/>
        <w:jc w:val="both"/>
        <w:rPr>
          <w:sz w:val="24"/>
          <w:szCs w:val="24"/>
        </w:rPr>
      </w:pPr>
    </w:p>
    <w:p w14:paraId="309E2BA9" w14:textId="77777777" w:rsidR="001C08A5" w:rsidRDefault="00000000">
      <w:pPr>
        <w:ind w:firstLine="709"/>
        <w:jc w:val="both"/>
        <w:rPr>
          <w:sz w:val="24"/>
          <w:szCs w:val="24"/>
        </w:rPr>
      </w:pPr>
      <w:r>
        <w:rPr>
          <w:b/>
          <w:sz w:val="24"/>
          <w:szCs w:val="24"/>
        </w:rPr>
        <w:t>Art. 2.4.16.6. (1)</w:t>
      </w:r>
      <w:r>
        <w:rPr>
          <w:sz w:val="24"/>
          <w:szCs w:val="24"/>
        </w:rPr>
        <w:t xml:space="preserve"> În încăperea centralei termice din orice construcţie, se poate amplasa un rezervor de zi pentru lichid combustibil necesar arderii, cu capacitatea de maximum </w:t>
      </w:r>
      <w:r>
        <w:rPr>
          <w:b/>
          <w:sz w:val="24"/>
          <w:szCs w:val="24"/>
        </w:rPr>
        <w:t xml:space="preserve">2 </w:t>
      </w:r>
      <w:r>
        <w:rPr>
          <w:sz w:val="24"/>
          <w:szCs w:val="24"/>
        </w:rPr>
        <w:t>m</w:t>
      </w:r>
      <w:r>
        <w:rPr>
          <w:sz w:val="24"/>
          <w:szCs w:val="24"/>
          <w:vertAlign w:val="superscript"/>
        </w:rPr>
        <w:t>3</w:t>
      </w:r>
      <w:r>
        <w:rPr>
          <w:sz w:val="24"/>
          <w:szCs w:val="24"/>
        </w:rPr>
        <w:t xml:space="preserve">, </w:t>
      </w:r>
      <w:r>
        <w:rPr>
          <w:sz w:val="24"/>
          <w:szCs w:val="24"/>
          <w:shd w:val="clear" w:color="auto" w:fill="FFFFFF"/>
          <w:lang w:eastAsia="zh-CN"/>
        </w:rPr>
        <w:t xml:space="preserve">montat  în lateralul cazanelor, la o distanţă de cel puţin </w:t>
      </w:r>
      <w:r>
        <w:rPr>
          <w:b/>
          <w:bCs/>
          <w:sz w:val="24"/>
          <w:szCs w:val="24"/>
          <w:shd w:val="clear" w:color="auto" w:fill="FFFFFF"/>
          <w:lang w:eastAsia="zh-CN"/>
        </w:rPr>
        <w:t>2,50 m</w:t>
      </w:r>
      <w:r>
        <w:rPr>
          <w:sz w:val="24"/>
          <w:szCs w:val="24"/>
          <w:shd w:val="clear" w:color="auto" w:fill="FFFFFF"/>
          <w:lang w:eastAsia="zh-CN"/>
        </w:rPr>
        <w:t xml:space="preserve"> de injectoare și nu deasupra cazanelor ori pe direcţia eventualelor rateuri de gaze sau pe direcţia de evacuare a gazelor de ardere, la deschiderea clapetelor de explozie.</w:t>
      </w:r>
    </w:p>
    <w:p w14:paraId="3EFDB083" w14:textId="77777777" w:rsidR="001C08A5" w:rsidRDefault="00000000">
      <w:pPr>
        <w:ind w:firstLine="720"/>
        <w:jc w:val="both"/>
        <w:rPr>
          <w:bCs/>
          <w:sz w:val="24"/>
          <w:szCs w:val="24"/>
        </w:rPr>
      </w:pPr>
      <w:r>
        <w:rPr>
          <w:b/>
          <w:sz w:val="24"/>
          <w:szCs w:val="24"/>
        </w:rPr>
        <w:t>(2)</w:t>
      </w:r>
      <w:r>
        <w:rPr>
          <w:sz w:val="24"/>
          <w:szCs w:val="24"/>
        </w:rPr>
        <w:t xml:space="preserve"> În afară de rezervorul de zi sau a celui admis la </w:t>
      </w:r>
      <w:r>
        <w:rPr>
          <w:b/>
          <w:sz w:val="24"/>
          <w:szCs w:val="24"/>
        </w:rPr>
        <w:t xml:space="preserve">Art. 2.4.16.5. </w:t>
      </w:r>
      <w:r>
        <w:rPr>
          <w:bCs/>
          <w:sz w:val="24"/>
          <w:szCs w:val="24"/>
        </w:rPr>
        <w:t xml:space="preserve">pentru construcțiile civile cu </w:t>
      </w:r>
      <w:r>
        <w:rPr>
          <w:sz w:val="24"/>
          <w:szCs w:val="24"/>
        </w:rPr>
        <w:t>înălțime</w:t>
      </w:r>
      <w:r>
        <w:rPr>
          <w:bCs/>
          <w:sz w:val="24"/>
          <w:szCs w:val="24"/>
        </w:rPr>
        <w:t xml:space="preserve"> obișnuită, nu se admit alte stocuri de combustibil lichid </w:t>
      </w:r>
      <w:r>
        <w:rPr>
          <w:sz w:val="24"/>
          <w:szCs w:val="24"/>
        </w:rPr>
        <w:t>amplasate în centrala termică</w:t>
      </w:r>
      <w:r>
        <w:rPr>
          <w:bCs/>
          <w:sz w:val="24"/>
          <w:szCs w:val="24"/>
        </w:rPr>
        <w:t>.</w:t>
      </w:r>
    </w:p>
    <w:p w14:paraId="25695B52" w14:textId="77777777" w:rsidR="001C08A5" w:rsidRDefault="001C08A5">
      <w:pPr>
        <w:jc w:val="both"/>
        <w:rPr>
          <w:sz w:val="24"/>
          <w:szCs w:val="24"/>
        </w:rPr>
      </w:pPr>
    </w:p>
    <w:p w14:paraId="55E12870" w14:textId="77777777" w:rsidR="001C08A5" w:rsidRDefault="00000000">
      <w:pPr>
        <w:ind w:firstLine="709"/>
        <w:jc w:val="both"/>
        <w:rPr>
          <w:sz w:val="24"/>
          <w:szCs w:val="24"/>
        </w:rPr>
      </w:pPr>
      <w:r>
        <w:rPr>
          <w:b/>
          <w:sz w:val="24"/>
          <w:szCs w:val="24"/>
        </w:rPr>
        <w:t xml:space="preserve">Art. 2.4.16.7. (1) </w:t>
      </w:r>
      <w:r>
        <w:rPr>
          <w:sz w:val="24"/>
          <w:szCs w:val="24"/>
        </w:rPr>
        <w:t xml:space="preserve">În încăperea centralei termice care funcţionează cu combustibili solizi poate fi amplasat un buncăr de zi pentru combustibil solid, cu capacitatea maximă de </w:t>
      </w:r>
      <w:r>
        <w:rPr>
          <w:b/>
          <w:sz w:val="24"/>
          <w:szCs w:val="24"/>
        </w:rPr>
        <w:t>2 m³</w:t>
      </w:r>
      <w:r>
        <w:rPr>
          <w:sz w:val="24"/>
          <w:szCs w:val="24"/>
        </w:rPr>
        <w:t>.</w:t>
      </w:r>
    </w:p>
    <w:p w14:paraId="39D92DC0" w14:textId="77777777" w:rsidR="001C08A5" w:rsidRDefault="00000000">
      <w:pPr>
        <w:ind w:firstLine="720"/>
        <w:jc w:val="both"/>
        <w:rPr>
          <w:sz w:val="24"/>
          <w:szCs w:val="24"/>
        </w:rPr>
      </w:pPr>
      <w:r>
        <w:rPr>
          <w:b/>
          <w:sz w:val="24"/>
          <w:szCs w:val="24"/>
        </w:rPr>
        <w:t>(2)</w:t>
      </w:r>
      <w:r>
        <w:rPr>
          <w:sz w:val="24"/>
          <w:szCs w:val="24"/>
        </w:rPr>
        <w:t xml:space="preserve"> Buncărele pentru combustibil solid cu capacitatea de </w:t>
      </w:r>
      <w:r>
        <w:rPr>
          <w:b/>
          <w:sz w:val="24"/>
          <w:szCs w:val="24"/>
        </w:rPr>
        <w:t>2 m³</w:t>
      </w:r>
      <w:r>
        <w:rPr>
          <w:sz w:val="24"/>
          <w:szCs w:val="24"/>
        </w:rPr>
        <w:t xml:space="preserve"> și pâlniile de alimentare ale instalaţiilor de ardere aferente centralelor termice, trebuie să fie realizate din materiale clasa de reacţie la foc </w:t>
      </w:r>
      <w:r>
        <w:rPr>
          <w:b/>
          <w:sz w:val="24"/>
          <w:szCs w:val="24"/>
        </w:rPr>
        <w:t>A1</w:t>
      </w:r>
      <w:r>
        <w:rPr>
          <w:sz w:val="24"/>
          <w:szCs w:val="24"/>
        </w:rPr>
        <w:t xml:space="preserve"> sau </w:t>
      </w:r>
      <w:r>
        <w:rPr>
          <w:b/>
          <w:sz w:val="24"/>
          <w:szCs w:val="24"/>
        </w:rPr>
        <w:t>A2-s1d0</w:t>
      </w:r>
      <w:r>
        <w:rPr>
          <w:sz w:val="24"/>
          <w:szCs w:val="24"/>
        </w:rPr>
        <w:t>.</w:t>
      </w:r>
    </w:p>
    <w:p w14:paraId="5BBCE927" w14:textId="77777777" w:rsidR="001C08A5" w:rsidRDefault="001C08A5">
      <w:pPr>
        <w:jc w:val="both"/>
        <w:rPr>
          <w:sz w:val="24"/>
          <w:szCs w:val="24"/>
        </w:rPr>
      </w:pPr>
    </w:p>
    <w:p w14:paraId="7949652A" w14:textId="77777777" w:rsidR="001C08A5" w:rsidRDefault="00000000">
      <w:pPr>
        <w:ind w:firstLine="709"/>
        <w:jc w:val="both"/>
        <w:rPr>
          <w:sz w:val="24"/>
          <w:szCs w:val="24"/>
          <w:shd w:val="clear" w:color="auto" w:fill="FFFFFF"/>
          <w:lang w:eastAsia="zh-CN"/>
        </w:rPr>
      </w:pPr>
      <w:r>
        <w:rPr>
          <w:b/>
          <w:sz w:val="24"/>
          <w:szCs w:val="24"/>
        </w:rPr>
        <w:t xml:space="preserve">Art. 2.4.16.8. (1) </w:t>
      </w:r>
      <w:r>
        <w:rPr>
          <w:sz w:val="24"/>
          <w:szCs w:val="24"/>
        </w:rPr>
        <w:t xml:space="preserve">Buncărele pentru combustibil solid cu capacitate mai mare de </w:t>
      </w:r>
      <w:r>
        <w:rPr>
          <w:b/>
          <w:sz w:val="24"/>
          <w:szCs w:val="24"/>
        </w:rPr>
        <w:t>2m</w:t>
      </w:r>
      <w:r>
        <w:rPr>
          <w:b/>
          <w:sz w:val="24"/>
          <w:szCs w:val="24"/>
          <w:vertAlign w:val="superscript"/>
        </w:rPr>
        <w:t>3</w:t>
      </w:r>
      <w:r>
        <w:rPr>
          <w:sz w:val="24"/>
          <w:szCs w:val="24"/>
        </w:rPr>
        <w:t xml:space="preserve">, se separă de restul construcţiei prin pereţi și planşee clasa de reacţie la foc </w:t>
      </w:r>
      <w:r>
        <w:rPr>
          <w:b/>
          <w:bCs/>
          <w:sz w:val="24"/>
          <w:szCs w:val="24"/>
        </w:rPr>
        <w:t>A1</w:t>
      </w:r>
      <w:r>
        <w:rPr>
          <w:sz w:val="24"/>
          <w:szCs w:val="24"/>
        </w:rPr>
        <w:t xml:space="preserve"> sau </w:t>
      </w:r>
      <w:r>
        <w:rPr>
          <w:b/>
          <w:bCs/>
          <w:sz w:val="24"/>
          <w:szCs w:val="24"/>
        </w:rPr>
        <w:t xml:space="preserve">A2-s1d0 </w:t>
      </w:r>
      <w:r>
        <w:rPr>
          <w:sz w:val="24"/>
          <w:szCs w:val="24"/>
        </w:rPr>
        <w:t xml:space="preserve">cu rezistenţa la foc corespunzătoare prevederilor din </w:t>
      </w:r>
      <w:r>
        <w:rPr>
          <w:b/>
          <w:sz w:val="24"/>
          <w:szCs w:val="24"/>
        </w:rPr>
        <w:t>Art.</w:t>
      </w:r>
      <w:r>
        <w:rPr>
          <w:b/>
          <w:bCs/>
          <w:sz w:val="24"/>
          <w:szCs w:val="24"/>
        </w:rPr>
        <w:t>2.4.16.5.,</w:t>
      </w:r>
      <w:r>
        <w:rPr>
          <w:sz w:val="24"/>
          <w:szCs w:val="24"/>
        </w:rPr>
        <w:t xml:space="preserve"> iar golurile de comunicare cu restul construcţiei se protejează cu elemente de închidere conform prevederilor aceluiași articol</w:t>
      </w:r>
      <w:r>
        <w:rPr>
          <w:bCs/>
          <w:sz w:val="24"/>
          <w:szCs w:val="24"/>
        </w:rPr>
        <w:t>și</w:t>
      </w:r>
      <w:r>
        <w:rPr>
          <w:sz w:val="24"/>
          <w:szCs w:val="24"/>
          <w:shd w:val="clear" w:color="auto" w:fill="FFFFFF"/>
          <w:lang w:eastAsia="zh-CN"/>
        </w:rPr>
        <w:t xml:space="preserve">au o capacitate corespunzătoare consumului pentru un schimb, pentru fiecare unitate de cazan. </w:t>
      </w:r>
    </w:p>
    <w:p w14:paraId="0FBB00F6" w14:textId="77777777" w:rsidR="001C08A5" w:rsidRDefault="00000000">
      <w:pPr>
        <w:ind w:firstLine="720"/>
        <w:jc w:val="both"/>
        <w:rPr>
          <w:sz w:val="24"/>
          <w:szCs w:val="24"/>
        </w:rPr>
      </w:pPr>
      <w:r>
        <w:rPr>
          <w:b/>
          <w:sz w:val="24"/>
          <w:szCs w:val="24"/>
          <w:shd w:val="clear" w:color="auto" w:fill="FFFFFF"/>
          <w:lang w:eastAsia="zh-CN"/>
        </w:rPr>
        <w:t>(2)</w:t>
      </w:r>
      <w:r>
        <w:rPr>
          <w:sz w:val="24"/>
          <w:szCs w:val="24"/>
          <w:shd w:val="clear" w:color="auto" w:fill="FFFFFF"/>
          <w:lang w:eastAsia="zh-CN"/>
        </w:rPr>
        <w:t xml:space="preserve"> Pentru centralele termice cu cărbune se recomandă ca alimentarea cazanelor cu combustibil, ca și îndepărtarea cenuşii să se facă mecanic. La depozitele de zgură şi cenuşă cu capacitatea peste </w:t>
      </w:r>
      <w:r>
        <w:rPr>
          <w:b/>
          <w:bCs/>
          <w:sz w:val="24"/>
          <w:szCs w:val="24"/>
          <w:shd w:val="clear" w:color="auto" w:fill="FFFFFF"/>
          <w:lang w:eastAsia="zh-CN"/>
        </w:rPr>
        <w:t>50</w:t>
      </w:r>
      <w:r>
        <w:rPr>
          <w:sz w:val="24"/>
          <w:szCs w:val="24"/>
          <w:shd w:val="clear" w:color="auto" w:fill="FFFFFF"/>
          <w:lang w:eastAsia="zh-CN"/>
        </w:rPr>
        <w:t xml:space="preserve"> </w:t>
      </w:r>
      <w:r>
        <w:rPr>
          <w:b/>
          <w:sz w:val="24"/>
          <w:szCs w:val="24"/>
        </w:rPr>
        <w:t>m</w:t>
      </w:r>
      <w:r>
        <w:rPr>
          <w:b/>
          <w:sz w:val="24"/>
          <w:szCs w:val="24"/>
          <w:vertAlign w:val="superscript"/>
        </w:rPr>
        <w:t>3</w:t>
      </w:r>
      <w:r>
        <w:rPr>
          <w:sz w:val="24"/>
          <w:szCs w:val="24"/>
          <w:shd w:val="clear" w:color="auto" w:fill="FFFFFF"/>
          <w:lang w:eastAsia="zh-CN"/>
        </w:rPr>
        <w:t xml:space="preserve"> se prevăd instalaţii fixe de stingere cu apă (hidranți). </w:t>
      </w:r>
    </w:p>
    <w:p w14:paraId="142084DB" w14:textId="77777777" w:rsidR="001C08A5" w:rsidRDefault="001C08A5">
      <w:pPr>
        <w:jc w:val="both"/>
        <w:rPr>
          <w:sz w:val="24"/>
          <w:szCs w:val="24"/>
        </w:rPr>
      </w:pPr>
    </w:p>
    <w:p w14:paraId="3E9594D5" w14:textId="77777777" w:rsidR="001C08A5" w:rsidRDefault="00000000">
      <w:pPr>
        <w:ind w:firstLine="720"/>
        <w:jc w:val="both"/>
        <w:rPr>
          <w:sz w:val="24"/>
          <w:szCs w:val="24"/>
        </w:rPr>
      </w:pPr>
      <w:r>
        <w:rPr>
          <w:b/>
          <w:sz w:val="24"/>
          <w:szCs w:val="24"/>
        </w:rPr>
        <w:lastRenderedPageBreak/>
        <w:t xml:space="preserve">Art. 2.4.16.9. (1) </w:t>
      </w:r>
      <w:r>
        <w:rPr>
          <w:sz w:val="24"/>
          <w:szCs w:val="24"/>
        </w:rPr>
        <w:t xml:space="preserve">Camerele frigorifice de tip box-in-box nu se consideră încăperi de depozitare, iar în aceste condiții se prevede cu sisteme de evacuare a fumului și a gazelor fierbinți  încăperea în care sunt amplasate camerele frigorifice, potrivit prevederilor normativului. </w:t>
      </w:r>
    </w:p>
    <w:p w14:paraId="0B7B8FF7" w14:textId="77777777" w:rsidR="001C08A5" w:rsidRDefault="00000000">
      <w:pPr>
        <w:numPr>
          <w:ilvl w:val="0"/>
          <w:numId w:val="55"/>
        </w:numPr>
        <w:ind w:firstLine="720"/>
        <w:jc w:val="both"/>
        <w:rPr>
          <w:sz w:val="24"/>
          <w:szCs w:val="24"/>
        </w:rPr>
      </w:pPr>
      <w:r>
        <w:rPr>
          <w:sz w:val="24"/>
          <w:szCs w:val="24"/>
        </w:rPr>
        <w:t xml:space="preserve">Încăperile din construcţii în care sunt amplasate camere frigorifice cu aria utilă mai mare de </w:t>
      </w:r>
      <w:r>
        <w:rPr>
          <w:b/>
          <w:bCs/>
          <w:sz w:val="24"/>
          <w:szCs w:val="24"/>
        </w:rPr>
        <w:t>36 m²</w:t>
      </w:r>
      <w:r>
        <w:rPr>
          <w:sz w:val="24"/>
          <w:szCs w:val="24"/>
        </w:rPr>
        <w:t xml:space="preserve"> şi sarcina termică mai mare de </w:t>
      </w:r>
      <w:r>
        <w:rPr>
          <w:b/>
          <w:bCs/>
          <w:sz w:val="24"/>
          <w:szCs w:val="24"/>
        </w:rPr>
        <w:t>105 MJ/</w:t>
      </w:r>
      <w:r>
        <w:rPr>
          <w:b/>
          <w:sz w:val="24"/>
          <w:szCs w:val="24"/>
        </w:rPr>
        <w:t>m²</w:t>
      </w:r>
      <w:r>
        <w:rPr>
          <w:sz w:val="24"/>
          <w:szCs w:val="24"/>
        </w:rPr>
        <w:t xml:space="preserve"> se prevăd cu sisteme de evacuare a fumului şi gazelor fierbinţi prin tiraj natural-organizat sau prin ventilare mecanică, potrivit prevederilor normativului şi ale reglementărilor tehnice specifice (</w:t>
      </w:r>
      <w:r>
        <w:rPr>
          <w:i/>
          <w:iCs/>
          <w:sz w:val="24"/>
          <w:szCs w:val="24"/>
        </w:rPr>
        <w:t>conform</w:t>
      </w:r>
      <w:r>
        <w:rPr>
          <w:b/>
          <w:bCs/>
          <w:i/>
          <w:iCs/>
          <w:sz w:val="24"/>
          <w:szCs w:val="24"/>
        </w:rPr>
        <w:t xml:space="preserve"> </w:t>
      </w:r>
      <w:r>
        <w:rPr>
          <w:b/>
          <w:bCs/>
          <w:i/>
          <w:iCs/>
          <w:sz w:val="24"/>
          <w:szCs w:val="24"/>
        </w:rPr>
        <w:fldChar w:fldCharType="begin"/>
      </w:r>
      <w:r>
        <w:rPr>
          <w:b/>
          <w:bCs/>
          <w:i/>
          <w:iCs/>
          <w:sz w:val="24"/>
          <w:szCs w:val="24"/>
        </w:rPr>
        <w:instrText xml:space="preserve"> REF _Ref15002 \h </w:instrText>
      </w:r>
      <w:r>
        <w:rPr>
          <w:b/>
          <w:bCs/>
          <w:i/>
          <w:iCs/>
          <w:sz w:val="24"/>
          <w:szCs w:val="24"/>
        </w:rPr>
      </w:r>
      <w:r>
        <w:rPr>
          <w:b/>
          <w:bCs/>
          <w:i/>
          <w:iCs/>
          <w:sz w:val="24"/>
          <w:szCs w:val="24"/>
        </w:rPr>
        <w:fldChar w:fldCharType="separate"/>
      </w:r>
      <w:r>
        <w:t>Figura 53</w:t>
      </w:r>
      <w:r>
        <w:rPr>
          <w:b/>
          <w:bCs/>
          <w:i/>
          <w:iCs/>
          <w:sz w:val="24"/>
          <w:szCs w:val="24"/>
        </w:rPr>
        <w:fldChar w:fldCharType="end"/>
      </w:r>
      <w:r>
        <w:rPr>
          <w:sz w:val="24"/>
          <w:szCs w:val="24"/>
        </w:rPr>
        <w:t xml:space="preserv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1E4EAF61" w14:textId="77777777" w:rsidR="001C08A5" w:rsidRDefault="001C08A5">
      <w:pPr>
        <w:ind w:left="720"/>
        <w:jc w:val="both"/>
        <w:rPr>
          <w:sz w:val="24"/>
          <w:szCs w:val="24"/>
        </w:rPr>
      </w:pPr>
    </w:p>
    <w:p w14:paraId="4BAADC00" w14:textId="77777777" w:rsidR="001C08A5" w:rsidRDefault="00000000">
      <w:pPr>
        <w:pStyle w:val="Default"/>
        <w:jc w:val="center"/>
        <w:rPr>
          <w:color w:val="auto"/>
        </w:rPr>
      </w:pPr>
      <w:r>
        <w:rPr>
          <w:noProof/>
          <w:color w:val="auto"/>
          <w:lang w:val="ro-RO" w:eastAsia="ro-RO"/>
        </w:rPr>
        <w:drawing>
          <wp:inline distT="0" distB="0" distL="0" distR="0" wp14:anchorId="5BA24603" wp14:editId="7B64C856">
            <wp:extent cx="5514975" cy="2669540"/>
            <wp:effectExtent l="0" t="0" r="9525"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
                    <pic:cNvPicPr>
                      <a:picLocks noChangeAspect="1"/>
                    </pic:cNvPicPr>
                  </pic:nvPicPr>
                  <pic:blipFill>
                    <a:blip r:embed="rId159"/>
                    <a:srcRect l="14242" t="21811" r="12695" b="28996"/>
                    <a:stretch>
                      <a:fillRect/>
                    </a:stretch>
                  </pic:blipFill>
                  <pic:spPr>
                    <a:xfrm>
                      <a:off x="0" y="0"/>
                      <a:ext cx="5514975" cy="2669540"/>
                    </a:xfrm>
                    <a:prstGeom prst="rect">
                      <a:avLst/>
                    </a:prstGeom>
                    <a:noFill/>
                    <a:ln>
                      <a:noFill/>
                    </a:ln>
                  </pic:spPr>
                </pic:pic>
              </a:graphicData>
            </a:graphic>
          </wp:inline>
        </w:drawing>
      </w:r>
    </w:p>
    <w:p w14:paraId="74C6DBF1" w14:textId="77777777" w:rsidR="001C08A5" w:rsidRDefault="00000000">
      <w:pPr>
        <w:pStyle w:val="Caption"/>
        <w:jc w:val="center"/>
        <w:rPr>
          <w:rFonts w:cs="Times New Roman"/>
          <w:bCs/>
        </w:rPr>
      </w:pPr>
      <w:bookmarkStart w:id="1970" w:name="_Ref15002"/>
      <w:bookmarkStart w:id="1971" w:name="_Toc162360277"/>
      <w:r>
        <w:t xml:space="preserve">Figura </w:t>
      </w:r>
      <w:r>
        <w:fldChar w:fldCharType="begin"/>
      </w:r>
      <w:r>
        <w:instrText xml:space="preserve"> SEQ Figura \* ARABIC </w:instrText>
      </w:r>
      <w:r>
        <w:fldChar w:fldCharType="separate"/>
      </w:r>
      <w:r>
        <w:t>53</w:t>
      </w:r>
      <w:r>
        <w:fldChar w:fldCharType="end"/>
      </w:r>
      <w:bookmarkStart w:id="1972" w:name="_Toc19617"/>
      <w:bookmarkStart w:id="1973" w:name="_Toc19388"/>
      <w:bookmarkStart w:id="1974" w:name="_Toc32434"/>
      <w:bookmarkStart w:id="1975" w:name="_Toc1918"/>
      <w:bookmarkStart w:id="1976" w:name="_Toc10377"/>
      <w:bookmarkStart w:id="1977" w:name="_Toc28255"/>
      <w:bookmarkStart w:id="1978" w:name="_Toc4076"/>
      <w:bookmarkStart w:id="1979" w:name="_Toc25079"/>
      <w:bookmarkStart w:id="1980" w:name="_Toc13643"/>
      <w:bookmarkStart w:id="1981" w:name="_Toc2445"/>
      <w:bookmarkStart w:id="1982" w:name="_Toc26429"/>
      <w:bookmarkEnd w:id="1970"/>
      <w:r>
        <w:t xml:space="preserve"> - </w:t>
      </w:r>
      <w:r>
        <w:rPr>
          <w:rFonts w:cs="Times New Roman"/>
          <w:bCs/>
        </w:rPr>
        <w:t>Camere frigorifice de tip box-in-box</w:t>
      </w:r>
      <w:bookmarkEnd w:id="1971"/>
      <w:bookmarkEnd w:id="1972"/>
      <w:bookmarkEnd w:id="1973"/>
      <w:bookmarkEnd w:id="1974"/>
      <w:bookmarkEnd w:id="1975"/>
      <w:bookmarkEnd w:id="1976"/>
      <w:bookmarkEnd w:id="1977"/>
      <w:bookmarkEnd w:id="1978"/>
      <w:bookmarkEnd w:id="1979"/>
      <w:bookmarkEnd w:id="1980"/>
      <w:bookmarkEnd w:id="1981"/>
      <w:bookmarkEnd w:id="1982"/>
    </w:p>
    <w:p w14:paraId="0BF094A1" w14:textId="77777777" w:rsidR="001C08A5" w:rsidRDefault="00000000">
      <w:pPr>
        <w:pStyle w:val="Default"/>
        <w:jc w:val="both"/>
        <w:rPr>
          <w:rFonts w:ascii="Times New Roman" w:hAnsi="Times New Roman" w:cs="Times New Roman"/>
          <w:i/>
          <w:iCs/>
          <w:color w:val="auto"/>
          <w:sz w:val="22"/>
          <w:szCs w:val="22"/>
          <w:lang w:val="ro-RO"/>
        </w:rPr>
      </w:pPr>
      <w:r>
        <w:rPr>
          <w:rFonts w:ascii="Times New Roman" w:hAnsi="Times New Roman" w:cs="Times New Roman"/>
          <w:b/>
          <w:bCs/>
          <w:i/>
          <w:iCs/>
          <w:color w:val="auto"/>
          <w:sz w:val="22"/>
          <w:szCs w:val="22"/>
          <w:lang w:val="ro-RO"/>
        </w:rPr>
        <w:t>Note</w:t>
      </w:r>
      <w:r>
        <w:rPr>
          <w:rFonts w:ascii="Times New Roman" w:hAnsi="Times New Roman" w:cs="Times New Roman"/>
          <w:i/>
          <w:iCs/>
          <w:color w:val="auto"/>
          <w:sz w:val="22"/>
          <w:szCs w:val="22"/>
          <w:lang w:val="ro-RO"/>
        </w:rPr>
        <w:t xml:space="preserve"> (Figura 54): </w:t>
      </w:r>
    </w:p>
    <w:p w14:paraId="2782A381" w14:textId="77777777" w:rsidR="001C08A5" w:rsidRDefault="00000000">
      <w:pPr>
        <w:pStyle w:val="Default"/>
        <w:jc w:val="both"/>
        <w:rPr>
          <w:rFonts w:ascii="Times New Roman" w:hAnsi="Times New Roman" w:cs="Times New Roman"/>
          <w:b/>
          <w:bCs/>
          <w:i/>
          <w:iCs/>
          <w:color w:val="auto"/>
          <w:sz w:val="22"/>
          <w:szCs w:val="22"/>
          <w:lang w:val="ro-RO"/>
        </w:rPr>
      </w:pPr>
      <w:r>
        <w:rPr>
          <w:rFonts w:ascii="Times New Roman" w:hAnsi="Times New Roman" w:cs="Times New Roman"/>
          <w:i/>
          <w:iCs/>
          <w:color w:val="auto"/>
          <w:sz w:val="22"/>
          <w:szCs w:val="22"/>
          <w:lang w:val="ro-RO"/>
        </w:rPr>
        <w:t xml:space="preserve">Camerele frigorifice se prevăd cu pereți rezistenți la foc în funcție de densitatea sarcinii termice, conform </w:t>
      </w:r>
      <w:r>
        <w:rPr>
          <w:rFonts w:ascii="Times New Roman" w:hAnsi="Times New Roman" w:cs="Times New Roman"/>
          <w:b/>
          <w:i/>
          <w:iCs/>
          <w:color w:val="auto"/>
          <w:sz w:val="22"/>
          <w:szCs w:val="22"/>
        </w:rPr>
        <w:t xml:space="preserve">Art. </w:t>
      </w:r>
      <w:r>
        <w:rPr>
          <w:rFonts w:ascii="Times New Roman" w:hAnsi="Times New Roman" w:cs="Times New Roman"/>
          <w:b/>
          <w:bCs/>
          <w:i/>
          <w:iCs/>
          <w:color w:val="auto"/>
          <w:sz w:val="22"/>
          <w:szCs w:val="22"/>
        </w:rPr>
        <w:t>2.3.1.2.</w:t>
      </w:r>
      <w:r>
        <w:rPr>
          <w:rFonts w:ascii="Times New Roman" w:hAnsi="Times New Roman" w:cs="Times New Roman"/>
          <w:b/>
          <w:bCs/>
          <w:i/>
          <w:iCs/>
          <w:color w:val="auto"/>
          <w:sz w:val="22"/>
          <w:szCs w:val="22"/>
          <w:lang w:val="ro-RO"/>
        </w:rPr>
        <w:t xml:space="preserve"> </w:t>
      </w:r>
      <w:r>
        <w:rPr>
          <w:rFonts w:ascii="Times New Roman" w:hAnsi="Times New Roman" w:cs="Times New Roman"/>
          <w:i/>
          <w:iCs/>
          <w:color w:val="auto"/>
          <w:sz w:val="22"/>
          <w:szCs w:val="22"/>
          <w:lang w:val="ro-RO"/>
        </w:rPr>
        <w:t xml:space="preserve">și </w:t>
      </w:r>
      <w:r>
        <w:rPr>
          <w:rFonts w:ascii="Times New Roman" w:hAnsi="Times New Roman" w:cs="Times New Roman"/>
          <w:b/>
          <w:bCs/>
          <w:i/>
          <w:iCs/>
          <w:color w:val="auto"/>
          <w:sz w:val="22"/>
          <w:szCs w:val="22"/>
          <w:lang w:val="ro-RO"/>
        </w:rPr>
        <w:t>Tabelul 5</w:t>
      </w:r>
    </w:p>
    <w:p w14:paraId="59C75C7C" w14:textId="77777777" w:rsidR="001C08A5" w:rsidRDefault="00000000">
      <w:pPr>
        <w:pStyle w:val="Default"/>
        <w:jc w:val="both"/>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 xml:space="preserve">Pentru clădiri de depozite frigorifice se vor avea în vedere </w:t>
      </w:r>
      <w:r>
        <w:rPr>
          <w:rFonts w:ascii="Times New Roman" w:hAnsi="Times New Roman" w:cs="Times New Roman"/>
          <w:b/>
          <w:bCs/>
          <w:i/>
          <w:iCs/>
          <w:color w:val="auto"/>
          <w:sz w:val="22"/>
          <w:szCs w:val="22"/>
          <w:lang w:val="ro-RO"/>
        </w:rPr>
        <w:t>Art. 6.1.4.6.</w:t>
      </w:r>
      <w:r>
        <w:rPr>
          <w:rFonts w:ascii="Times New Roman" w:hAnsi="Times New Roman" w:cs="Times New Roman"/>
          <w:i/>
          <w:iCs/>
          <w:color w:val="auto"/>
          <w:sz w:val="22"/>
          <w:szCs w:val="22"/>
          <w:lang w:val="ro-RO"/>
        </w:rPr>
        <w:t xml:space="preserve"> și </w:t>
      </w:r>
      <w:r>
        <w:rPr>
          <w:rFonts w:ascii="Times New Roman" w:hAnsi="Times New Roman" w:cs="Times New Roman"/>
          <w:b/>
          <w:bCs/>
          <w:i/>
          <w:iCs/>
          <w:color w:val="auto"/>
          <w:sz w:val="22"/>
          <w:szCs w:val="22"/>
          <w:lang w:val="ro-RO"/>
        </w:rPr>
        <w:t>Art. 6.1.4.7.</w:t>
      </w:r>
      <w:r>
        <w:rPr>
          <w:rFonts w:ascii="Times New Roman" w:hAnsi="Times New Roman" w:cs="Times New Roman"/>
          <w:i/>
          <w:iCs/>
          <w:color w:val="auto"/>
          <w:sz w:val="22"/>
          <w:szCs w:val="22"/>
          <w:lang w:val="ro-RO"/>
        </w:rPr>
        <w:t xml:space="preserve"> </w:t>
      </w:r>
    </w:p>
    <w:p w14:paraId="5033EBF8" w14:textId="77777777" w:rsidR="001C08A5" w:rsidRDefault="001C08A5">
      <w:pPr>
        <w:pStyle w:val="Default"/>
        <w:jc w:val="both"/>
        <w:rPr>
          <w:rFonts w:ascii="Times New Roman" w:hAnsi="Times New Roman" w:cs="Times New Roman"/>
          <w:i/>
          <w:iCs/>
          <w:color w:val="auto"/>
          <w:sz w:val="22"/>
          <w:szCs w:val="22"/>
          <w:lang w:val="ro-RO"/>
        </w:rPr>
      </w:pPr>
    </w:p>
    <w:p w14:paraId="72F06AA6" w14:textId="77777777" w:rsidR="001C08A5" w:rsidRDefault="00000000">
      <w:pPr>
        <w:ind w:firstLine="720"/>
        <w:jc w:val="both"/>
        <w:rPr>
          <w:sz w:val="24"/>
          <w:szCs w:val="24"/>
        </w:rPr>
      </w:pPr>
      <w:r>
        <w:rPr>
          <w:b/>
          <w:bCs/>
          <w:sz w:val="24"/>
          <w:szCs w:val="24"/>
        </w:rPr>
        <w:t>(3)</w:t>
      </w:r>
      <w:r>
        <w:rPr>
          <w:sz w:val="24"/>
          <w:szCs w:val="24"/>
        </w:rPr>
        <w:t xml:space="preserve"> Echiparea cu instalații de detectare, semnalizare, alarmare și stingere automată a incendiilor se face atât pentru spațiul în care sunt amplasate camerele cât și în camerele frigorifice, luând în considerare caracteristicile compartimentului/clădirii în care sunt amplasate. </w:t>
      </w:r>
    </w:p>
    <w:p w14:paraId="0C384F2E" w14:textId="77777777" w:rsidR="001C08A5" w:rsidRDefault="00000000">
      <w:pPr>
        <w:pStyle w:val="Heading4"/>
      </w:pPr>
      <w:bookmarkStart w:id="1983" w:name="_Toc27450"/>
      <w:bookmarkStart w:id="1984" w:name="_Toc21475"/>
      <w:bookmarkStart w:id="1985" w:name="_Toc2199"/>
      <w:bookmarkStart w:id="1986" w:name="_Toc162355245"/>
      <w:bookmarkStart w:id="1987" w:name="_Toc13011"/>
      <w:bookmarkStart w:id="1988" w:name="_Toc16452"/>
      <w:bookmarkStart w:id="1989" w:name="_Toc15404"/>
      <w:bookmarkStart w:id="1990" w:name="_Toc3541"/>
      <w:r>
        <w:t>2.4.17. Panouri  publicitare amplasate pe faţadele clădirilor</w:t>
      </w:r>
      <w:bookmarkEnd w:id="1983"/>
      <w:bookmarkEnd w:id="1984"/>
      <w:bookmarkEnd w:id="1985"/>
      <w:bookmarkEnd w:id="1986"/>
      <w:bookmarkEnd w:id="1987"/>
      <w:bookmarkEnd w:id="1988"/>
      <w:bookmarkEnd w:id="1989"/>
      <w:bookmarkEnd w:id="1990"/>
    </w:p>
    <w:p w14:paraId="67424856" w14:textId="77777777" w:rsidR="001C08A5" w:rsidRDefault="001C08A5">
      <w:pPr>
        <w:pStyle w:val="BodyText"/>
        <w:ind w:firstLine="720"/>
      </w:pPr>
    </w:p>
    <w:p w14:paraId="74DE0705" w14:textId="77777777" w:rsidR="001C08A5" w:rsidRDefault="00000000">
      <w:pPr>
        <w:widowControl w:val="0"/>
        <w:autoSpaceDE w:val="0"/>
        <w:ind w:firstLine="709"/>
        <w:jc w:val="both"/>
        <w:rPr>
          <w:sz w:val="24"/>
          <w:szCs w:val="24"/>
        </w:rPr>
      </w:pPr>
      <w:r>
        <w:rPr>
          <w:b/>
          <w:bCs/>
          <w:sz w:val="24"/>
          <w:szCs w:val="24"/>
        </w:rPr>
        <w:t xml:space="preserve">Art. </w:t>
      </w:r>
      <w:r>
        <w:rPr>
          <w:b/>
          <w:sz w:val="24"/>
          <w:szCs w:val="24"/>
        </w:rPr>
        <w:t xml:space="preserve">2.4.17.1. (1) </w:t>
      </w:r>
      <w:r>
        <w:rPr>
          <w:sz w:val="24"/>
          <w:szCs w:val="24"/>
        </w:rPr>
        <w:t>Panourile publicitare pot fi amplasate pe faţadele construcţiilor sau pe terasele acestora, care se testează ca produs finit, proiectează și execută în conformitate cu prevederile reglementărilor specifice, dacă îndeplinesc cerinţele legale privind amplasarea şi autorizarea mijloacelor de publicitate, precum și măsurile de securitate la incendiu specifice, astfel încât să nu iniţieze incendii.</w:t>
      </w:r>
    </w:p>
    <w:p w14:paraId="04C04DB8" w14:textId="77777777" w:rsidR="001C08A5" w:rsidRDefault="00000000">
      <w:pPr>
        <w:ind w:firstLine="720"/>
        <w:jc w:val="both"/>
        <w:rPr>
          <w:sz w:val="24"/>
          <w:szCs w:val="24"/>
        </w:rPr>
      </w:pPr>
      <w:r>
        <w:rPr>
          <w:b/>
          <w:sz w:val="24"/>
          <w:szCs w:val="24"/>
        </w:rPr>
        <w:t xml:space="preserve">(2) </w:t>
      </w:r>
      <w:r>
        <w:rPr>
          <w:sz w:val="24"/>
          <w:szCs w:val="24"/>
        </w:rPr>
        <w:t xml:space="preserve">Se interzice dispunerea panourilor publicitare luminoase deasupra ieşirilor de evacuare în exterior ale utilizatorilor construcţiilor, distanţa minimă a amplasării panourilor publicitare luminoase faţă de orice deschidere din faţadă trebuie să fie de cel puţin </w:t>
      </w:r>
      <w:r>
        <w:rPr>
          <w:b/>
          <w:bCs/>
          <w:sz w:val="24"/>
          <w:szCs w:val="24"/>
        </w:rPr>
        <w:t>1 m</w:t>
      </w:r>
      <w:r>
        <w:rPr>
          <w:sz w:val="24"/>
          <w:szCs w:val="24"/>
        </w:rPr>
        <w:t>.</w:t>
      </w:r>
    </w:p>
    <w:p w14:paraId="60724BE8" w14:textId="77777777" w:rsidR="001C08A5" w:rsidRDefault="00000000">
      <w:pPr>
        <w:ind w:firstLine="720"/>
        <w:jc w:val="both"/>
        <w:rPr>
          <w:sz w:val="24"/>
          <w:szCs w:val="24"/>
        </w:rPr>
      </w:pPr>
      <w:r>
        <w:rPr>
          <w:b/>
          <w:bCs/>
          <w:sz w:val="24"/>
          <w:szCs w:val="24"/>
        </w:rPr>
        <w:t>(3</w:t>
      </w:r>
      <w:r>
        <w:rPr>
          <w:sz w:val="24"/>
          <w:szCs w:val="24"/>
        </w:rPr>
        <w:t>) Instalatiile electrice se vor proiecta conform normativelor de specialitate.</w:t>
      </w:r>
    </w:p>
    <w:p w14:paraId="1BD6E8BD" w14:textId="77777777" w:rsidR="001C08A5" w:rsidRDefault="00000000">
      <w:pPr>
        <w:pStyle w:val="Heading4"/>
      </w:pPr>
      <w:bookmarkStart w:id="1991" w:name="_Toc23661"/>
      <w:bookmarkStart w:id="1992" w:name="_Toc30184"/>
      <w:bookmarkStart w:id="1993" w:name="_Toc11241"/>
      <w:bookmarkStart w:id="1994" w:name="_Toc13083"/>
      <w:bookmarkStart w:id="1995" w:name="_Toc32200"/>
      <w:bookmarkStart w:id="1996" w:name="_Toc11108"/>
      <w:bookmarkStart w:id="1997" w:name="_Toc583"/>
      <w:bookmarkStart w:id="1998" w:name="_Toc162355246"/>
      <w:r>
        <w:t xml:space="preserve">2.4.18. Instalaţii şi echipamente </w:t>
      </w:r>
      <w:bookmarkEnd w:id="1991"/>
      <w:bookmarkEnd w:id="1992"/>
      <w:bookmarkEnd w:id="1993"/>
      <w:r>
        <w:t>utilizând surse regenerabile de energie</w:t>
      </w:r>
      <w:bookmarkEnd w:id="1994"/>
      <w:bookmarkEnd w:id="1995"/>
      <w:bookmarkEnd w:id="1996"/>
      <w:bookmarkEnd w:id="1997"/>
      <w:bookmarkEnd w:id="1998"/>
    </w:p>
    <w:p w14:paraId="1EAB4BE4" w14:textId="77777777" w:rsidR="001C08A5" w:rsidRDefault="001C08A5">
      <w:pPr>
        <w:jc w:val="both"/>
        <w:rPr>
          <w:rFonts w:eastAsia="TimesNewRomanPSMT-Identity-H"/>
          <w:b/>
          <w:sz w:val="24"/>
          <w:szCs w:val="24"/>
        </w:rPr>
      </w:pPr>
    </w:p>
    <w:p w14:paraId="2C8B2A45" w14:textId="77777777" w:rsidR="001C08A5" w:rsidRDefault="00000000">
      <w:pPr>
        <w:ind w:firstLine="709"/>
        <w:jc w:val="both"/>
        <w:rPr>
          <w:rFonts w:eastAsia="TimesNewRomanPSMT-Identity-H"/>
          <w:b/>
          <w:sz w:val="24"/>
          <w:szCs w:val="24"/>
        </w:rPr>
      </w:pPr>
      <w:r>
        <w:rPr>
          <w:rFonts w:eastAsia="TimesNewRomanPSMT-Identity-H"/>
          <w:b/>
          <w:sz w:val="24"/>
          <w:szCs w:val="24"/>
        </w:rPr>
        <w:t xml:space="preserve">Art. </w:t>
      </w:r>
      <w:r>
        <w:rPr>
          <w:b/>
          <w:sz w:val="24"/>
          <w:szCs w:val="24"/>
        </w:rPr>
        <w:t xml:space="preserve">2.4.18.1. </w:t>
      </w:r>
      <w:r>
        <w:rPr>
          <w:rFonts w:eastAsia="TimesNewRomanPSMT-Identity-H"/>
          <w:b/>
          <w:sz w:val="24"/>
          <w:szCs w:val="24"/>
        </w:rPr>
        <w:t xml:space="preserve">(1) </w:t>
      </w:r>
      <w:r>
        <w:rPr>
          <w:rFonts w:eastAsia="TimesNewRomanPSMT-Identity-H"/>
          <w:sz w:val="24"/>
          <w:szCs w:val="24"/>
        </w:rPr>
        <w:t>Pentru încălzirea apei pot fi utilizate sisteme de încălzire solară.</w:t>
      </w:r>
    </w:p>
    <w:p w14:paraId="71E154A2" w14:textId="77777777" w:rsidR="001C08A5" w:rsidRDefault="00000000">
      <w:pPr>
        <w:ind w:firstLine="2127"/>
        <w:jc w:val="both"/>
        <w:rPr>
          <w:rFonts w:eastAsia="TimesNewRomanPSMT-Identity-H"/>
          <w:b/>
          <w:sz w:val="24"/>
          <w:szCs w:val="24"/>
        </w:rPr>
      </w:pPr>
      <w:r>
        <w:rPr>
          <w:rFonts w:eastAsia="TimesNewRomanPSMT-Identity-H"/>
          <w:b/>
          <w:sz w:val="24"/>
          <w:szCs w:val="24"/>
        </w:rPr>
        <w:lastRenderedPageBreak/>
        <w:t xml:space="preserve"> (2) </w:t>
      </w:r>
      <w:r>
        <w:rPr>
          <w:rFonts w:eastAsia="TimesNewRomanPSMT-Identity-H"/>
          <w:bCs/>
          <w:sz w:val="24"/>
          <w:szCs w:val="24"/>
          <w:lang w:eastAsia="ro-RO"/>
        </w:rPr>
        <w:t>Sistemele de încălzire solară a apei pot fi alimentate cu energie electrică din sistemul naţional, grupuri electrogene sau din surse regenerabile (panouri sau celule fotovoltaice, micro-turbine eoliene etc.) amplasate independent la distanţe normate sau pe construcţii.</w:t>
      </w:r>
    </w:p>
    <w:p w14:paraId="6C78B433" w14:textId="77777777" w:rsidR="001C08A5" w:rsidRDefault="00000000">
      <w:pPr>
        <w:ind w:firstLine="2127"/>
        <w:jc w:val="both"/>
        <w:rPr>
          <w:rFonts w:eastAsia="TimesNewRomanPSMT-Identity-H"/>
          <w:b/>
          <w:sz w:val="24"/>
          <w:szCs w:val="24"/>
        </w:rPr>
      </w:pPr>
      <w:r>
        <w:rPr>
          <w:rFonts w:eastAsia="TimesNewRomanPSMT-Identity-H"/>
          <w:b/>
          <w:sz w:val="24"/>
          <w:szCs w:val="24"/>
        </w:rPr>
        <w:t xml:space="preserve">(3) </w:t>
      </w:r>
      <w:r>
        <w:rPr>
          <w:rFonts w:eastAsia="TimesNewRomanPSMT-Identity-H"/>
          <w:sz w:val="24"/>
          <w:szCs w:val="24"/>
        </w:rPr>
        <w:t>Pentru limitarea propagării focului şi neafectarea performanţelor clădirii, atunci când sistemele de încălzire solară a apei (captatoare solare) sunt amplasate pe construcţii, se iau măsuri delimitare a propagării focului prin golurile existente (necesare tehnologic) în acoperiş sau pereţi.</w:t>
      </w:r>
    </w:p>
    <w:p w14:paraId="6DA5F159" w14:textId="77777777" w:rsidR="001C08A5" w:rsidRDefault="00000000">
      <w:pPr>
        <w:jc w:val="both"/>
        <w:rPr>
          <w:rFonts w:eastAsia="TimesNewRomanPSMT-Identity-H"/>
          <w:b/>
          <w:sz w:val="24"/>
          <w:szCs w:val="24"/>
        </w:rPr>
      </w:pPr>
      <w:r>
        <w:rPr>
          <w:rFonts w:eastAsia="TimesNewRomanPSMT-Identity-H"/>
          <w:b/>
          <w:sz w:val="24"/>
          <w:szCs w:val="24"/>
        </w:rPr>
        <w:tab/>
      </w:r>
      <w:r>
        <w:rPr>
          <w:rFonts w:eastAsia="TimesNewRomanPSMT-Identity-H"/>
          <w:b/>
          <w:sz w:val="24"/>
          <w:szCs w:val="24"/>
        </w:rPr>
        <w:tab/>
      </w:r>
      <w:r>
        <w:rPr>
          <w:rFonts w:eastAsia="TimesNewRomanPSMT-Identity-H"/>
          <w:b/>
          <w:sz w:val="24"/>
          <w:szCs w:val="24"/>
        </w:rPr>
        <w:tab/>
      </w:r>
    </w:p>
    <w:p w14:paraId="1228E808" w14:textId="77777777" w:rsidR="001C08A5" w:rsidRDefault="00000000">
      <w:pPr>
        <w:ind w:firstLine="709"/>
        <w:jc w:val="both"/>
        <w:rPr>
          <w:rFonts w:eastAsia="TimesNewRomanPSMT-Identity-H"/>
          <w:b/>
          <w:sz w:val="24"/>
          <w:szCs w:val="24"/>
        </w:rPr>
      </w:pPr>
      <w:r>
        <w:rPr>
          <w:rFonts w:eastAsia="TimesNewRomanPSMT-Identity-H"/>
          <w:b/>
          <w:sz w:val="24"/>
          <w:szCs w:val="24"/>
        </w:rPr>
        <w:t xml:space="preserve">Art. </w:t>
      </w:r>
      <w:r>
        <w:rPr>
          <w:b/>
          <w:sz w:val="24"/>
          <w:szCs w:val="24"/>
        </w:rPr>
        <w:t xml:space="preserve">2.4.18.2. </w:t>
      </w:r>
      <w:r>
        <w:rPr>
          <w:rFonts w:eastAsia="TimesNewRomanPSMT-Identity-H"/>
          <w:sz w:val="24"/>
          <w:szCs w:val="24"/>
        </w:rPr>
        <w:t>La dispozitivele electrice ale sistemelor de alimentare cu “energie solară   fotovoltaică inclusiv modulele cu curent alternativ, dispuse pe acoperişul clădirilor, precum și a celor care reprezintă componentă de protecţie şi/sau finisaj pe faţade, se aplică prevederile reglementărilor de specialitate.</w:t>
      </w:r>
      <w:r>
        <w:rPr>
          <w:rFonts w:eastAsia="TimesNewRomanPSMT-Identity-H"/>
          <w:b/>
          <w:sz w:val="24"/>
          <w:szCs w:val="24"/>
        </w:rPr>
        <w:tab/>
      </w:r>
    </w:p>
    <w:p w14:paraId="465A48C2" w14:textId="77777777" w:rsidR="001C08A5" w:rsidRDefault="00000000">
      <w:pPr>
        <w:jc w:val="both"/>
        <w:rPr>
          <w:rFonts w:eastAsia="TimesNewRomanPSMT-Identity-H"/>
          <w:sz w:val="24"/>
          <w:szCs w:val="24"/>
        </w:rPr>
      </w:pPr>
      <w:r>
        <w:rPr>
          <w:rFonts w:eastAsia="TimesNewRomanPSMT-Identity-H"/>
          <w:b/>
          <w:sz w:val="24"/>
          <w:szCs w:val="24"/>
        </w:rPr>
        <w:tab/>
      </w:r>
      <w:r>
        <w:rPr>
          <w:rFonts w:eastAsia="TimesNewRomanPSMT-Identity-H"/>
          <w:b/>
          <w:sz w:val="24"/>
          <w:szCs w:val="24"/>
        </w:rPr>
        <w:tab/>
      </w:r>
    </w:p>
    <w:p w14:paraId="10A609C1" w14:textId="77777777" w:rsidR="001C08A5" w:rsidRDefault="00000000">
      <w:pPr>
        <w:ind w:firstLine="709"/>
        <w:jc w:val="both"/>
        <w:rPr>
          <w:rFonts w:eastAsia="TimesNewRomanPSMT-Identity-H"/>
          <w:b/>
          <w:sz w:val="24"/>
          <w:szCs w:val="24"/>
        </w:rPr>
      </w:pPr>
      <w:r>
        <w:rPr>
          <w:rFonts w:eastAsia="TimesNewRomanPSMT-Identity-H"/>
          <w:b/>
          <w:sz w:val="24"/>
          <w:szCs w:val="24"/>
        </w:rPr>
        <w:t xml:space="preserve">Art. </w:t>
      </w:r>
      <w:r>
        <w:rPr>
          <w:b/>
          <w:sz w:val="24"/>
          <w:szCs w:val="24"/>
        </w:rPr>
        <w:t xml:space="preserve">2.4.18.3. </w:t>
      </w:r>
      <w:r>
        <w:rPr>
          <w:sz w:val="24"/>
          <w:szCs w:val="24"/>
        </w:rPr>
        <w:t xml:space="preserve">Gradul de protecţie pentru învelitorile acoperişului depinde de conformarea acestora şi de distanţa până la contur. Dispozitivele fotovoltaice (celule, module, panouri cu un singur tip de module, etc.) situate pe acoperiş trebuie să fie considerate componente ale acestuia şi, ca atare, trebuie să reziste la aprinderea şi/sau propagarea incendiului provenit de la o sursă externă. </w:t>
      </w:r>
    </w:p>
    <w:p w14:paraId="4CD0EB55" w14:textId="77777777" w:rsidR="001C08A5" w:rsidRDefault="001C08A5">
      <w:pPr>
        <w:rPr>
          <w:rFonts w:eastAsia="TimesNewRomanPSMT-Identity-H"/>
          <w:b/>
          <w:sz w:val="24"/>
          <w:szCs w:val="24"/>
        </w:rPr>
      </w:pPr>
    </w:p>
    <w:p w14:paraId="05E0FAE4" w14:textId="77777777" w:rsidR="001C08A5" w:rsidRDefault="00000000">
      <w:pPr>
        <w:ind w:firstLine="709"/>
        <w:jc w:val="both"/>
        <w:rPr>
          <w:sz w:val="24"/>
          <w:szCs w:val="24"/>
        </w:rPr>
      </w:pPr>
      <w:r>
        <w:rPr>
          <w:rFonts w:eastAsia="TimesNewRomanPSMT-Identity-H"/>
          <w:b/>
          <w:sz w:val="24"/>
          <w:szCs w:val="24"/>
        </w:rPr>
        <w:t xml:space="preserve">Art. </w:t>
      </w:r>
      <w:r>
        <w:rPr>
          <w:b/>
          <w:sz w:val="24"/>
          <w:szCs w:val="24"/>
        </w:rPr>
        <w:t xml:space="preserve">2.4.18.4. </w:t>
      </w:r>
      <w:r>
        <w:rPr>
          <w:sz w:val="24"/>
          <w:szCs w:val="24"/>
        </w:rPr>
        <w:t xml:space="preserve">Principalele cerinţe de amplasare a panourilor fotovoltaice pe clădirile individuale de locuit cu un nivel sau două sunt: </w:t>
      </w:r>
    </w:p>
    <w:p w14:paraId="2305BC98" w14:textId="77777777" w:rsidR="001C08A5" w:rsidRDefault="00000000">
      <w:pPr>
        <w:ind w:left="1276"/>
        <w:jc w:val="both"/>
        <w:rPr>
          <w:sz w:val="24"/>
          <w:szCs w:val="24"/>
        </w:rPr>
      </w:pPr>
      <w:r>
        <w:rPr>
          <w:b/>
          <w:sz w:val="24"/>
          <w:szCs w:val="24"/>
        </w:rPr>
        <w:t xml:space="preserve">a) </w:t>
      </w:r>
      <w:r>
        <w:rPr>
          <w:sz w:val="24"/>
          <w:szCs w:val="24"/>
        </w:rPr>
        <w:t xml:space="preserve">pentru fiecare pantă a acoperişului cu mai mult de două ape se asigură un spaţiu liber de minimum </w:t>
      </w:r>
      <w:r>
        <w:rPr>
          <w:b/>
          <w:sz w:val="24"/>
          <w:szCs w:val="24"/>
        </w:rPr>
        <w:t>1 m</w:t>
      </w:r>
      <w:r>
        <w:rPr>
          <w:sz w:val="24"/>
          <w:szCs w:val="24"/>
        </w:rPr>
        <w:t xml:space="preserve"> de la pereții portanți exteriori, minimum </w:t>
      </w:r>
      <w:r>
        <w:rPr>
          <w:b/>
          <w:sz w:val="24"/>
          <w:szCs w:val="24"/>
        </w:rPr>
        <w:t>1 m</w:t>
      </w:r>
      <w:r>
        <w:rPr>
          <w:sz w:val="24"/>
          <w:szCs w:val="24"/>
        </w:rPr>
        <w:t xml:space="preserve"> de la coamă şi minimum </w:t>
      </w:r>
      <w:r>
        <w:rPr>
          <w:b/>
          <w:sz w:val="24"/>
          <w:szCs w:val="24"/>
        </w:rPr>
        <w:t>50 cm</w:t>
      </w:r>
      <w:r>
        <w:rPr>
          <w:sz w:val="24"/>
          <w:szCs w:val="24"/>
        </w:rPr>
        <w:t xml:space="preserve"> pe fiecare parte a unei dolii sau lucarne; </w:t>
      </w:r>
    </w:p>
    <w:p w14:paraId="2E20DCCD" w14:textId="77777777" w:rsidR="001C08A5" w:rsidRDefault="00000000">
      <w:pPr>
        <w:pStyle w:val="ListParagraph"/>
        <w:ind w:left="1276"/>
        <w:jc w:val="both"/>
        <w:rPr>
          <w:rFonts w:eastAsia="TimesNewRomanPSMT-Identity-H"/>
          <w:b/>
        </w:rPr>
      </w:pPr>
      <w:r>
        <w:rPr>
          <w:b/>
        </w:rPr>
        <w:t xml:space="preserve">b) </w:t>
      </w:r>
      <w:r>
        <w:t xml:space="preserve">pentru fiecare pantă a acoperişului pe care se amplasează module fotovoltaice, se asigură două spaţii de acces de minimum </w:t>
      </w:r>
      <w:r>
        <w:rPr>
          <w:b/>
        </w:rPr>
        <w:t xml:space="preserve">1 m </w:t>
      </w:r>
      <w:r>
        <w:t xml:space="preserve">lăţime şi minimum un </w:t>
      </w:r>
      <w:r>
        <w:rPr>
          <w:b/>
        </w:rPr>
        <w:t>1 m</w:t>
      </w:r>
      <w:r>
        <w:t xml:space="preserve"> de la coamă.</w:t>
      </w:r>
    </w:p>
    <w:p w14:paraId="3DC3662F" w14:textId="77777777" w:rsidR="001C08A5" w:rsidRDefault="001C08A5">
      <w:pPr>
        <w:jc w:val="both"/>
        <w:rPr>
          <w:rFonts w:eastAsia="TimesNewRomanPSMT-Identity-H"/>
          <w:b/>
          <w:sz w:val="24"/>
          <w:szCs w:val="24"/>
        </w:rPr>
      </w:pPr>
    </w:p>
    <w:p w14:paraId="0C33FE61" w14:textId="77777777" w:rsidR="001C08A5" w:rsidRDefault="00000000">
      <w:pPr>
        <w:ind w:firstLine="709"/>
        <w:jc w:val="both"/>
        <w:rPr>
          <w:sz w:val="24"/>
          <w:szCs w:val="24"/>
        </w:rPr>
      </w:pPr>
      <w:r>
        <w:rPr>
          <w:rFonts w:eastAsia="TimesNewRomanPSMT-Identity-H"/>
          <w:b/>
          <w:sz w:val="24"/>
          <w:szCs w:val="24"/>
        </w:rPr>
        <w:t xml:space="preserve">Art. </w:t>
      </w:r>
      <w:r>
        <w:rPr>
          <w:b/>
          <w:sz w:val="24"/>
          <w:szCs w:val="24"/>
        </w:rPr>
        <w:t xml:space="preserve">2.4.18.5. </w:t>
      </w:r>
      <w:r>
        <w:rPr>
          <w:sz w:val="24"/>
          <w:szCs w:val="24"/>
        </w:rPr>
        <w:t xml:space="preserve">La clădirile de locuit cu trei sau mai multe niveluri supraterane precum și la alte funcţiuni civile, de producție și depozitare, prin amplasarea panourilor fotovolaice se va asigura </w:t>
      </w:r>
      <w:r>
        <w:rPr>
          <w:i/>
          <w:iCs/>
          <w:sz w:val="24"/>
          <w:szCs w:val="24"/>
        </w:rPr>
        <w:t>(</w:t>
      </w:r>
      <w:r>
        <w:rPr>
          <w:rStyle w:val="CaptionChar"/>
        </w:rPr>
        <w:fldChar w:fldCharType="begin"/>
      </w:r>
      <w:r>
        <w:rPr>
          <w:rStyle w:val="CaptionChar"/>
        </w:rPr>
        <w:instrText xml:space="preserve"> REF _Ref15217 \h </w:instrText>
      </w:r>
      <w:r>
        <w:rPr>
          <w:rStyle w:val="CaptionChar"/>
        </w:rPr>
      </w:r>
      <w:r>
        <w:rPr>
          <w:rStyle w:val="CaptionChar"/>
        </w:rPr>
        <w:fldChar w:fldCharType="separate"/>
      </w:r>
      <w:r>
        <w:t>Figura 54</w:t>
      </w:r>
      <w:r>
        <w:rPr>
          <w:rStyle w:val="CaptionChar"/>
        </w:rPr>
        <w:fldChar w:fldCharType="end"/>
      </w:r>
      <w:r>
        <w:rPr>
          <w:i/>
          <w:iCs/>
          <w:sz w:val="24"/>
          <w:szCs w:val="24"/>
        </w:rPr>
        <w:t>)</w:t>
      </w:r>
      <w:r>
        <w:rPr>
          <w:sz w:val="24"/>
          <w:szCs w:val="24"/>
        </w:rPr>
        <w:t>:</w:t>
      </w:r>
    </w:p>
    <w:p w14:paraId="41B298E5" w14:textId="77777777" w:rsidR="001C08A5" w:rsidRDefault="00000000">
      <w:pPr>
        <w:pStyle w:val="ListParagraph"/>
        <w:ind w:left="1418"/>
        <w:jc w:val="both"/>
      </w:pPr>
      <w:r>
        <w:rPr>
          <w:b/>
        </w:rPr>
        <w:t xml:space="preserve">a) </w:t>
      </w:r>
      <w:r>
        <w:t xml:space="preserve">un perimetru liber de cel puţin </w:t>
      </w:r>
      <w:r>
        <w:rPr>
          <w:b/>
        </w:rPr>
        <w:t xml:space="preserve">1 m </w:t>
      </w:r>
      <w:r>
        <w:t>lăţime în jurul marginilor acoperişului;</w:t>
      </w:r>
    </w:p>
    <w:p w14:paraId="7BA051DE" w14:textId="77777777" w:rsidR="001C08A5" w:rsidRDefault="00000000">
      <w:pPr>
        <w:pStyle w:val="ListParagraph"/>
        <w:ind w:left="1418"/>
        <w:jc w:val="both"/>
      </w:pPr>
      <w:r>
        <w:rPr>
          <w:b/>
        </w:rPr>
        <w:t xml:space="preserve">b) </w:t>
      </w:r>
      <w:r>
        <w:t xml:space="preserve">distanţa minimă de </w:t>
      </w:r>
      <w:r>
        <w:rPr>
          <w:b/>
        </w:rPr>
        <w:t xml:space="preserve">2,5 m </w:t>
      </w:r>
      <w:r>
        <w:t>în jurul luminatoarelor, a trapelor de ventilare sau de evacuare a fumului şi gazelor fierbinţi în caz de incendiu, precum și a altor străpungeri din acoperiş;</w:t>
      </w:r>
    </w:p>
    <w:p w14:paraId="5071B931" w14:textId="77777777" w:rsidR="001C08A5" w:rsidRDefault="00000000">
      <w:pPr>
        <w:pStyle w:val="ListParagraph"/>
        <w:ind w:left="1418"/>
        <w:jc w:val="both"/>
      </w:pPr>
      <w:r>
        <w:rPr>
          <w:b/>
        </w:rPr>
        <w:t xml:space="preserve">c) </w:t>
      </w:r>
      <w:r>
        <w:t xml:space="preserve">distanţa minimă de </w:t>
      </w:r>
      <w:r>
        <w:rPr>
          <w:b/>
        </w:rPr>
        <w:t xml:space="preserve">4,00 m </w:t>
      </w:r>
      <w:r>
        <w:rPr>
          <w:bCs/>
        </w:rPr>
        <w:t>față</w:t>
      </w:r>
      <w:r>
        <w:t xml:space="preserve"> de pereţii rezistenţi la foc de separare a compartimentelor de incendiu (pereţi antifoc);</w:t>
      </w:r>
    </w:p>
    <w:p w14:paraId="35DA7D45" w14:textId="77777777" w:rsidR="001C08A5" w:rsidRDefault="00000000">
      <w:pPr>
        <w:pStyle w:val="ListParagraph"/>
        <w:ind w:left="1418"/>
        <w:jc w:val="both"/>
      </w:pPr>
      <w:r>
        <w:rPr>
          <w:b/>
        </w:rPr>
        <w:t>d)</w:t>
      </w:r>
      <w:r>
        <w:t xml:space="preserve"> continuitatea reţelei PV trebuie întreruptă cel puţin în dreptul rosturilor de tasare-dilatare sau seismice ale construcţiei, astfel încât să fie limitată propagarea arderii; întreruperea continuităţii se realizează prin fâşii continui din distanțe de minimum </w:t>
      </w:r>
      <w:r>
        <w:rPr>
          <w:b/>
        </w:rPr>
        <w:t xml:space="preserve">1 m </w:t>
      </w:r>
      <w:r>
        <w:rPr>
          <w:bCs/>
        </w:rPr>
        <w:t>față de rost. Pe lățimea</w:t>
      </w:r>
      <w:r>
        <w:t xml:space="preserve"> de minimum </w:t>
      </w:r>
      <w:r>
        <w:rPr>
          <w:b/>
        </w:rPr>
        <w:t>1 m</w:t>
      </w:r>
      <w:r>
        <w:rPr>
          <w:bCs/>
        </w:rPr>
        <w:t xml:space="preserve"> față de rost se vor utiliza</w:t>
      </w:r>
      <w:r>
        <w:t xml:space="preserve">materiale având clasa de reacţie la foc </w:t>
      </w:r>
      <w:r>
        <w:rPr>
          <w:b/>
        </w:rPr>
        <w:t>A1</w:t>
      </w:r>
      <w:r>
        <w:t xml:space="preserve"> sau </w:t>
      </w:r>
      <w:r>
        <w:rPr>
          <w:b/>
        </w:rPr>
        <w:t>A2-s1d0,</w:t>
      </w:r>
      <w:r>
        <w:t xml:space="preserve">  sau se asigură măsuri de protecţie a componentelor combustibile ale acoperişurilor pe lăţimea normată a fâşiei de întrerupere.</w:t>
      </w:r>
    </w:p>
    <w:p w14:paraId="1A048C32" w14:textId="77777777" w:rsidR="001C08A5" w:rsidRDefault="00000000">
      <w:pPr>
        <w:pStyle w:val="ListParagraph"/>
        <w:ind w:left="1418"/>
        <w:jc w:val="both"/>
      </w:pPr>
      <w:r>
        <w:rPr>
          <w:b/>
        </w:rPr>
        <w:t>e)</w:t>
      </w:r>
      <w:r>
        <w:t xml:space="preserve"> Grupările de celule fotovoltaice vor avea aria de cel mult </w:t>
      </w:r>
      <w:r>
        <w:rPr>
          <w:b/>
          <w:bCs/>
        </w:rPr>
        <w:t>40 m x 40 m</w:t>
      </w:r>
      <w:r>
        <w:t xml:space="preserve">; acestea vor fi amplasate la minimum </w:t>
      </w:r>
      <w:r>
        <w:rPr>
          <w:b/>
          <w:bCs/>
        </w:rPr>
        <w:t>5 m</w:t>
      </w:r>
      <w:r>
        <w:t xml:space="preserve"> față de alte grupări;</w:t>
      </w:r>
    </w:p>
    <w:p w14:paraId="3B83229F" w14:textId="77777777" w:rsidR="001C08A5" w:rsidRDefault="00000000">
      <w:pPr>
        <w:pStyle w:val="ListParagraph"/>
        <w:ind w:left="0"/>
        <w:jc w:val="center"/>
      </w:pPr>
      <w:r>
        <w:rPr>
          <w:noProof/>
          <w:lang w:eastAsia="ro-RO"/>
        </w:rPr>
        <w:lastRenderedPageBreak/>
        <w:drawing>
          <wp:inline distT="0" distB="0" distL="0" distR="0" wp14:anchorId="646696FB" wp14:editId="4EBB123E">
            <wp:extent cx="5349875" cy="3531870"/>
            <wp:effectExtent l="0" t="0" r="3175" b="11430"/>
            <wp:docPr id="1131" name="Picture 73"/>
            <wp:cNvGraphicFramePr/>
            <a:graphic xmlns:a="http://schemas.openxmlformats.org/drawingml/2006/main">
              <a:graphicData uri="http://schemas.openxmlformats.org/drawingml/2006/picture">
                <pic:pic xmlns:pic="http://schemas.openxmlformats.org/drawingml/2006/picture">
                  <pic:nvPicPr>
                    <pic:cNvPr id="1131" name="Picture 73"/>
                    <pic:cNvPicPr/>
                  </pic:nvPicPr>
                  <pic:blipFill>
                    <a:blip r:embed="rId160" cstate="print"/>
                    <a:srcRect/>
                    <a:stretch>
                      <a:fillRect/>
                    </a:stretch>
                  </pic:blipFill>
                  <pic:spPr>
                    <a:xfrm>
                      <a:off x="0" y="0"/>
                      <a:ext cx="5349875" cy="3531870"/>
                    </a:xfrm>
                    <a:prstGeom prst="rect">
                      <a:avLst/>
                    </a:prstGeom>
                    <a:ln>
                      <a:noFill/>
                    </a:ln>
                  </pic:spPr>
                </pic:pic>
              </a:graphicData>
            </a:graphic>
          </wp:inline>
        </w:drawing>
      </w:r>
    </w:p>
    <w:p w14:paraId="30D3FA0A" w14:textId="77777777" w:rsidR="001C08A5" w:rsidRDefault="00000000">
      <w:pPr>
        <w:pStyle w:val="Caption"/>
        <w:jc w:val="center"/>
        <w:rPr>
          <w:rFonts w:cs="Times New Roman"/>
        </w:rPr>
      </w:pPr>
      <w:bookmarkStart w:id="1999" w:name="_Ref15217"/>
      <w:bookmarkStart w:id="2000" w:name="_Toc5088"/>
      <w:bookmarkStart w:id="2001" w:name="_Toc1762"/>
      <w:bookmarkStart w:id="2002" w:name="_Toc29032"/>
      <w:bookmarkStart w:id="2003" w:name="_Toc162360278"/>
      <w:bookmarkStart w:id="2004" w:name="_Toc19660"/>
      <w:bookmarkStart w:id="2005" w:name="_Toc19167"/>
      <w:bookmarkStart w:id="2006" w:name="_Toc7306"/>
      <w:r>
        <w:t xml:space="preserve">Figura </w:t>
      </w:r>
      <w:r>
        <w:fldChar w:fldCharType="begin"/>
      </w:r>
      <w:r>
        <w:instrText xml:space="preserve"> SEQ Figura \* ARABIC </w:instrText>
      </w:r>
      <w:r>
        <w:fldChar w:fldCharType="separate"/>
      </w:r>
      <w:r>
        <w:t>54</w:t>
      </w:r>
      <w:r>
        <w:fldChar w:fldCharType="end"/>
      </w:r>
      <w:bookmarkStart w:id="2007" w:name="_Toc12369"/>
      <w:bookmarkStart w:id="2008" w:name="_Toc9203"/>
      <w:bookmarkStart w:id="2009" w:name="_Toc32374"/>
      <w:bookmarkStart w:id="2010" w:name="_Toc5383"/>
      <w:bookmarkStart w:id="2011" w:name="_Toc11615"/>
      <w:bookmarkStart w:id="2012" w:name="_Toc28573"/>
      <w:bookmarkStart w:id="2013" w:name="_Toc11488"/>
      <w:bookmarkStart w:id="2014" w:name="_Toc28655"/>
      <w:bookmarkStart w:id="2015" w:name="_Toc7458"/>
      <w:bookmarkStart w:id="2016" w:name="_Toc30560"/>
      <w:bookmarkStart w:id="2017" w:name="_Toc5784"/>
      <w:bookmarkEnd w:id="1999"/>
      <w:r>
        <w:t xml:space="preserve"> - </w:t>
      </w:r>
      <w:r>
        <w:rPr>
          <w:rFonts w:cs="Times New Roman"/>
        </w:rPr>
        <w:t>Amplasare grupări de celule fotovoltaice</w:t>
      </w:r>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p>
    <w:p w14:paraId="4F2C2806" w14:textId="77777777" w:rsidR="001C08A5" w:rsidRDefault="001C08A5">
      <w:pPr>
        <w:pStyle w:val="ListParagraph"/>
        <w:jc w:val="both"/>
      </w:pPr>
    </w:p>
    <w:p w14:paraId="6C085893" w14:textId="77777777" w:rsidR="001C08A5" w:rsidRDefault="00000000">
      <w:pPr>
        <w:ind w:firstLine="709"/>
        <w:jc w:val="both"/>
        <w:rPr>
          <w:rFonts w:eastAsia="TimesNewRomanPSMT-Identity-H"/>
          <w:sz w:val="24"/>
          <w:szCs w:val="24"/>
        </w:rPr>
      </w:pPr>
      <w:r>
        <w:rPr>
          <w:rFonts w:eastAsia="TimesNewRomanPSMT-Identity-H"/>
          <w:b/>
          <w:sz w:val="24"/>
          <w:szCs w:val="24"/>
        </w:rPr>
        <w:t xml:space="preserve">Art. </w:t>
      </w:r>
      <w:r>
        <w:rPr>
          <w:b/>
          <w:sz w:val="24"/>
          <w:szCs w:val="24"/>
        </w:rPr>
        <w:t xml:space="preserve">2.4.18.6. </w:t>
      </w:r>
      <w:r>
        <w:rPr>
          <w:rFonts w:eastAsia="TimesNewRomanPSMT-Identity-H"/>
          <w:sz w:val="24"/>
          <w:szCs w:val="24"/>
        </w:rPr>
        <w:t xml:space="preserve">La construcţiile pe care se amplasează sisteme/ </w:t>
      </w:r>
      <w:r>
        <w:rPr>
          <w:sz w:val="24"/>
          <w:szCs w:val="24"/>
        </w:rPr>
        <w:t xml:space="preserve">dispozitive </w:t>
      </w:r>
      <w:r>
        <w:rPr>
          <w:rFonts w:eastAsia="TimesNewRomanPSMT-Identity-H"/>
          <w:sz w:val="24"/>
          <w:szCs w:val="24"/>
        </w:rPr>
        <w:t>fotovoltaice se recomandă îndeplinirea condiţiilor de siguranţă ale echipelor de intervenţie care să asigure:</w:t>
      </w:r>
    </w:p>
    <w:p w14:paraId="173AFCE9" w14:textId="77777777" w:rsidR="001C08A5" w:rsidRDefault="00000000">
      <w:pPr>
        <w:ind w:left="993" w:firstLine="717"/>
        <w:jc w:val="both"/>
        <w:rPr>
          <w:rFonts w:eastAsia="TimesNewRomanPSMT-Identity-H"/>
          <w:sz w:val="24"/>
          <w:szCs w:val="24"/>
        </w:rPr>
      </w:pPr>
      <w:r>
        <w:rPr>
          <w:rFonts w:eastAsia="TimesNewRomanPSMT-Identity-H"/>
          <w:b/>
          <w:sz w:val="24"/>
          <w:szCs w:val="24"/>
        </w:rPr>
        <w:t xml:space="preserve">a) </w:t>
      </w:r>
      <w:r>
        <w:rPr>
          <w:rFonts w:eastAsia="TimesNewRomanPSMT-Identity-H"/>
          <w:sz w:val="24"/>
          <w:szCs w:val="24"/>
        </w:rPr>
        <w:t>accesul și evacuarea la/ de pe acoperiş (şarpantă sau terasă);</w:t>
      </w:r>
    </w:p>
    <w:p w14:paraId="4D0533B6" w14:textId="77777777" w:rsidR="001C08A5" w:rsidRDefault="00000000">
      <w:pPr>
        <w:ind w:left="993" w:firstLine="717"/>
        <w:jc w:val="both"/>
        <w:rPr>
          <w:rFonts w:eastAsia="TimesNewRomanPSMT-Identity-H"/>
          <w:sz w:val="24"/>
          <w:szCs w:val="24"/>
        </w:rPr>
      </w:pPr>
      <w:r>
        <w:rPr>
          <w:rFonts w:eastAsia="TimesNewRomanPSMT-Identity-H"/>
          <w:b/>
          <w:sz w:val="24"/>
          <w:szCs w:val="24"/>
        </w:rPr>
        <w:t xml:space="preserve">b) </w:t>
      </w:r>
      <w:r>
        <w:rPr>
          <w:rFonts w:eastAsia="TimesNewRomanPSMT-Identity-H"/>
          <w:sz w:val="24"/>
          <w:szCs w:val="24"/>
        </w:rPr>
        <w:t>trasee facile de acces la zonele de acoperiş;</w:t>
      </w:r>
    </w:p>
    <w:p w14:paraId="5B9DA861" w14:textId="77777777" w:rsidR="001C08A5" w:rsidRDefault="00000000">
      <w:pPr>
        <w:ind w:left="993" w:firstLine="717"/>
        <w:jc w:val="both"/>
        <w:rPr>
          <w:rFonts w:eastAsia="TimesNewRomanPSMT-Identity-H"/>
          <w:sz w:val="24"/>
          <w:szCs w:val="24"/>
        </w:rPr>
      </w:pPr>
      <w:r>
        <w:rPr>
          <w:rFonts w:eastAsia="TimesNewRomanPSMT-Identity-H"/>
          <w:b/>
          <w:sz w:val="24"/>
          <w:szCs w:val="24"/>
        </w:rPr>
        <w:t xml:space="preserve">c) </w:t>
      </w:r>
      <w:r>
        <w:rPr>
          <w:rFonts w:eastAsia="TimesNewRomanPSMT-Identity-H"/>
          <w:sz w:val="24"/>
          <w:szCs w:val="24"/>
        </w:rPr>
        <w:t xml:space="preserve">marcarea şi etichetarea distinctă şi vizibilă a întregului sistem fotovoltaic; (întreruptorul general - care trebuie amplasat într-o zonă accesibilă a clădirii, toate conductele, cablurile, invertoarele, tablourile și cutiile circuitului de curent alternativ, precum şi bateriile și acumulatorii), cu materiale reflectorizante, rezistente la intemperii şi reciclabile; </w:t>
      </w:r>
    </w:p>
    <w:p w14:paraId="4A517438" w14:textId="77777777" w:rsidR="001C08A5" w:rsidRDefault="00000000">
      <w:pPr>
        <w:ind w:left="993" w:firstLine="717"/>
        <w:jc w:val="both"/>
        <w:rPr>
          <w:rFonts w:eastAsia="TimesNewRomanPSMT-Identity-H"/>
          <w:sz w:val="24"/>
          <w:szCs w:val="24"/>
        </w:rPr>
      </w:pPr>
      <w:r>
        <w:rPr>
          <w:rFonts w:eastAsia="TimesNewRomanPSMT-Identity-H"/>
          <w:b/>
          <w:sz w:val="24"/>
          <w:szCs w:val="24"/>
        </w:rPr>
        <w:t xml:space="preserve">d) </w:t>
      </w:r>
      <w:r>
        <w:rPr>
          <w:rFonts w:eastAsia="TimesNewRomanPSMT-Identity-H"/>
          <w:sz w:val="24"/>
          <w:szCs w:val="24"/>
        </w:rPr>
        <w:t>prevederea unui întreruptor de sarcină, uşor acţionabil;</w:t>
      </w:r>
    </w:p>
    <w:p w14:paraId="31E46029" w14:textId="77777777" w:rsidR="001C08A5" w:rsidRDefault="00000000">
      <w:pPr>
        <w:ind w:left="993" w:firstLine="717"/>
        <w:jc w:val="both"/>
        <w:rPr>
          <w:rFonts w:eastAsia="TimesNewRomanPSMT-Identity-H"/>
          <w:sz w:val="24"/>
          <w:szCs w:val="24"/>
        </w:rPr>
      </w:pPr>
      <w:r>
        <w:rPr>
          <w:rFonts w:eastAsia="TimesNewRomanPSMT-Identity-H"/>
          <w:b/>
          <w:sz w:val="24"/>
          <w:szCs w:val="24"/>
        </w:rPr>
        <w:t xml:space="preserve">e) </w:t>
      </w:r>
      <w:r>
        <w:rPr>
          <w:rFonts w:eastAsia="TimesNewRomanPSMT-Identity-H"/>
          <w:sz w:val="24"/>
          <w:szCs w:val="24"/>
        </w:rPr>
        <w:t>echiparea sistemului fotovoltaic cu dispozitiv de detectare a arcelor electrice.</w:t>
      </w:r>
    </w:p>
    <w:p w14:paraId="2149DA3D" w14:textId="77777777" w:rsidR="001C08A5" w:rsidRDefault="001C08A5">
      <w:pPr>
        <w:ind w:left="720"/>
        <w:jc w:val="both"/>
        <w:rPr>
          <w:rFonts w:eastAsia="TimesNewRomanPSMT-Identity-H"/>
          <w:sz w:val="24"/>
          <w:szCs w:val="24"/>
        </w:rPr>
      </w:pPr>
    </w:p>
    <w:p w14:paraId="29462BBB" w14:textId="77777777" w:rsidR="001C08A5" w:rsidRDefault="00000000">
      <w:pPr>
        <w:ind w:firstLine="709"/>
        <w:jc w:val="both"/>
        <w:rPr>
          <w:rFonts w:eastAsia="TimesNewRomanPSMT-Identity-H"/>
          <w:b/>
          <w:sz w:val="24"/>
          <w:szCs w:val="24"/>
        </w:rPr>
      </w:pPr>
      <w:r>
        <w:rPr>
          <w:rFonts w:eastAsia="TimesNewRomanPSMT-Identity-H"/>
          <w:b/>
          <w:sz w:val="24"/>
          <w:szCs w:val="24"/>
        </w:rPr>
        <w:t xml:space="preserve">Art. </w:t>
      </w:r>
      <w:r>
        <w:rPr>
          <w:b/>
          <w:sz w:val="24"/>
          <w:szCs w:val="24"/>
        </w:rPr>
        <w:t xml:space="preserve">2.4.18.7. </w:t>
      </w:r>
      <w:r>
        <w:rPr>
          <w:rFonts w:eastAsia="TimesNewRomanPSMT-Identity-H"/>
          <w:sz w:val="24"/>
          <w:szCs w:val="24"/>
        </w:rPr>
        <w:t xml:space="preserve">Incendiile la </w:t>
      </w:r>
      <w:r>
        <w:rPr>
          <w:sz w:val="24"/>
          <w:szCs w:val="24"/>
        </w:rPr>
        <w:t>dispozitivele fotovoltaice (celule, module, panouri cu un singur tip de module, etc.)</w:t>
      </w:r>
      <w:r>
        <w:rPr>
          <w:rFonts w:eastAsia="TimesNewRomanPSMT-Identity-H"/>
          <w:sz w:val="24"/>
          <w:szCs w:val="24"/>
        </w:rPr>
        <w:t xml:space="preserve"> amplasate independent sau dispuse pe acoperiş ori pe închiderile perimetrale ale construcţiilor, se vor trata de către echipele de intervenţie (pompieri) ca incendii la echipamente electrice.</w:t>
      </w:r>
    </w:p>
    <w:p w14:paraId="0408690C" w14:textId="77777777" w:rsidR="001C08A5" w:rsidRDefault="001C08A5">
      <w:pPr>
        <w:jc w:val="both"/>
        <w:rPr>
          <w:rFonts w:eastAsia="TimesNewRomanPSMT-Identity-H"/>
          <w:b/>
          <w:sz w:val="24"/>
          <w:szCs w:val="24"/>
        </w:rPr>
      </w:pPr>
    </w:p>
    <w:p w14:paraId="51B2A91B" w14:textId="77777777" w:rsidR="001C08A5" w:rsidRDefault="00000000">
      <w:pPr>
        <w:widowControl w:val="0"/>
        <w:ind w:leftChars="100" w:left="200" w:firstLineChars="304" w:firstLine="732"/>
        <w:jc w:val="both"/>
        <w:rPr>
          <w:rFonts w:eastAsia="Calibri"/>
          <w:sz w:val="24"/>
          <w:szCs w:val="24"/>
        </w:rPr>
      </w:pPr>
      <w:r>
        <w:rPr>
          <w:rFonts w:eastAsia="TimesNewRomanPSMT-Identity-H"/>
          <w:b/>
          <w:sz w:val="24"/>
          <w:szCs w:val="24"/>
        </w:rPr>
        <w:t xml:space="preserve">Art. </w:t>
      </w:r>
      <w:r>
        <w:rPr>
          <w:b/>
          <w:sz w:val="24"/>
          <w:szCs w:val="24"/>
        </w:rPr>
        <w:t xml:space="preserve">2.4.18.8. (1) </w:t>
      </w:r>
      <w:r>
        <w:rPr>
          <w:rFonts w:eastAsia="TimesNewRomanPSMT-Identity-H"/>
          <w:sz w:val="24"/>
          <w:szCs w:val="24"/>
        </w:rPr>
        <w:t xml:space="preserve">Faţadele și acoperisurile pe care se aplică </w:t>
      </w:r>
      <w:r>
        <w:rPr>
          <w:sz w:val="24"/>
          <w:szCs w:val="24"/>
        </w:rPr>
        <w:t xml:space="preserve">dispozitive </w:t>
      </w:r>
      <w:r>
        <w:rPr>
          <w:rFonts w:eastAsia="TimesNewRomanPSMT-Identity-H"/>
          <w:sz w:val="24"/>
          <w:szCs w:val="24"/>
        </w:rPr>
        <w:t xml:space="preserve">fotovoltaice, vor avea: </w:t>
      </w:r>
    </w:p>
    <w:p w14:paraId="4E0E500B" w14:textId="77777777" w:rsidR="001C08A5" w:rsidRDefault="00000000">
      <w:pPr>
        <w:widowControl w:val="0"/>
        <w:ind w:left="993"/>
        <w:jc w:val="both"/>
        <w:rPr>
          <w:rFonts w:eastAsia="Calibri"/>
          <w:sz w:val="24"/>
          <w:szCs w:val="24"/>
        </w:rPr>
      </w:pPr>
      <w:r>
        <w:rPr>
          <w:rFonts w:eastAsia="Calibri"/>
          <w:b/>
          <w:sz w:val="24"/>
          <w:szCs w:val="24"/>
        </w:rPr>
        <w:t xml:space="preserve">a) </w:t>
      </w:r>
      <w:r>
        <w:rPr>
          <w:rFonts w:eastAsia="Calibri"/>
          <w:sz w:val="24"/>
          <w:szCs w:val="24"/>
        </w:rPr>
        <w:t>termoizolaţia faţadei incombustibilă, indiferent de destinaţie şi/sau de regimul de înălţime al clădirii;</w:t>
      </w:r>
    </w:p>
    <w:p w14:paraId="16218AAB" w14:textId="77777777" w:rsidR="001C08A5" w:rsidRDefault="00000000">
      <w:pPr>
        <w:widowControl w:val="0"/>
        <w:ind w:left="993"/>
        <w:jc w:val="both"/>
        <w:rPr>
          <w:rFonts w:eastAsia="Calibri"/>
          <w:sz w:val="24"/>
          <w:szCs w:val="24"/>
        </w:rPr>
      </w:pPr>
      <w:r>
        <w:rPr>
          <w:rFonts w:eastAsia="Calibri"/>
          <w:b/>
          <w:sz w:val="24"/>
          <w:szCs w:val="24"/>
        </w:rPr>
        <w:t xml:space="preserve">b) </w:t>
      </w:r>
      <w:r>
        <w:rPr>
          <w:rFonts w:eastAsia="Calibri"/>
          <w:sz w:val="24"/>
          <w:szCs w:val="24"/>
        </w:rPr>
        <w:t>ancorări şi asamblări incombustibile, indiferent de destinaţie şi/sau de regimul de înălţime al clădirii;</w:t>
      </w:r>
    </w:p>
    <w:p w14:paraId="1FD17F57" w14:textId="77777777" w:rsidR="001C08A5" w:rsidRDefault="00000000">
      <w:pPr>
        <w:widowControl w:val="0"/>
        <w:ind w:left="993"/>
        <w:jc w:val="both"/>
        <w:rPr>
          <w:rFonts w:eastAsia="Calibri"/>
          <w:sz w:val="24"/>
          <w:szCs w:val="24"/>
        </w:rPr>
      </w:pPr>
      <w:r>
        <w:rPr>
          <w:b/>
          <w:sz w:val="24"/>
          <w:szCs w:val="24"/>
        </w:rPr>
        <w:t xml:space="preserve">c) </w:t>
      </w:r>
      <w:r>
        <w:rPr>
          <w:sz w:val="24"/>
          <w:szCs w:val="24"/>
        </w:rPr>
        <w:t>legături de echipotenţializare şi legare la pământ, în conformitate cu normativele de specialitate</w:t>
      </w:r>
      <w:r>
        <w:rPr>
          <w:rFonts w:eastAsia="Calibri"/>
          <w:sz w:val="24"/>
          <w:szCs w:val="24"/>
        </w:rPr>
        <w:t>.</w:t>
      </w:r>
    </w:p>
    <w:p w14:paraId="430EEF71" w14:textId="77777777" w:rsidR="001C08A5" w:rsidRDefault="00000000">
      <w:pPr>
        <w:widowControl w:val="0"/>
        <w:ind w:left="993"/>
        <w:jc w:val="both"/>
        <w:rPr>
          <w:rFonts w:eastAsia="Calibri"/>
          <w:sz w:val="24"/>
          <w:szCs w:val="24"/>
        </w:rPr>
      </w:pPr>
      <w:r>
        <w:rPr>
          <w:rFonts w:eastAsia="TimesNewRomanPSMT-Identity-H"/>
          <w:b/>
          <w:bCs/>
          <w:sz w:val="24"/>
          <w:szCs w:val="24"/>
        </w:rPr>
        <w:t>d)</w:t>
      </w:r>
      <w:r>
        <w:rPr>
          <w:rFonts w:eastAsia="TimesNewRomanPSMT-Identity-H"/>
          <w:sz w:val="24"/>
          <w:szCs w:val="24"/>
        </w:rPr>
        <w:t xml:space="preserve"> pe acoperiș, </w:t>
      </w:r>
      <w:r>
        <w:rPr>
          <w:rFonts w:eastAsia="Calibri"/>
          <w:sz w:val="24"/>
          <w:szCs w:val="24"/>
        </w:rPr>
        <w:t>stratul pe care se aplica :</w:t>
      </w:r>
    </w:p>
    <w:p w14:paraId="2F049CCA" w14:textId="77777777" w:rsidR="001C08A5" w:rsidRDefault="00000000">
      <w:pPr>
        <w:widowControl w:val="0"/>
        <w:ind w:left="2160" w:firstLine="720"/>
        <w:jc w:val="both"/>
        <w:rPr>
          <w:rFonts w:eastAsia="Calibri"/>
          <w:sz w:val="24"/>
          <w:szCs w:val="24"/>
        </w:rPr>
      </w:pPr>
      <w:r>
        <w:rPr>
          <w:rFonts w:eastAsia="Calibri"/>
          <w:sz w:val="24"/>
          <w:szCs w:val="24"/>
        </w:rPr>
        <w:t xml:space="preserve">- trebuie sa indeplineasca performanta la foc exterior prevăzuta în </w:t>
      </w:r>
      <w:r>
        <w:rPr>
          <w:rStyle w:val="CaptionChar"/>
        </w:rPr>
        <w:fldChar w:fldCharType="begin"/>
      </w:r>
      <w:r>
        <w:rPr>
          <w:rStyle w:val="CaptionChar"/>
        </w:rPr>
        <w:instrText xml:space="preserve"> REF _Ref26473 \h </w:instrText>
      </w:r>
      <w:r>
        <w:rPr>
          <w:rStyle w:val="CaptionChar"/>
        </w:rPr>
      </w:r>
      <w:r>
        <w:rPr>
          <w:rStyle w:val="CaptionChar"/>
        </w:rPr>
        <w:fldChar w:fldCharType="separate"/>
      </w:r>
      <w:r>
        <w:t>Tabelul 2</w:t>
      </w:r>
      <w:r>
        <w:rPr>
          <w:rStyle w:val="CaptionChar"/>
        </w:rPr>
        <w:fldChar w:fldCharType="end"/>
      </w:r>
      <w:r>
        <w:rPr>
          <w:rFonts w:eastAsia="Times-Roman"/>
          <w:sz w:val="24"/>
          <w:szCs w:val="24"/>
        </w:rPr>
        <w:t xml:space="preserve"> și </w:t>
      </w:r>
      <w:r>
        <w:rPr>
          <w:rFonts w:eastAsia="Times-Roman"/>
          <w:b/>
          <w:bCs/>
          <w:i/>
          <w:iCs/>
          <w:sz w:val="24"/>
          <w:szCs w:val="24"/>
        </w:rPr>
        <w:fldChar w:fldCharType="begin"/>
      </w:r>
      <w:r>
        <w:rPr>
          <w:rFonts w:eastAsia="Times-Roman"/>
          <w:b/>
          <w:bCs/>
          <w:i/>
          <w:iCs/>
          <w:sz w:val="24"/>
          <w:szCs w:val="24"/>
        </w:rPr>
        <w:instrText xml:space="preserve"> REF _Ref11612 \h </w:instrText>
      </w:r>
      <w:r>
        <w:rPr>
          <w:rFonts w:eastAsia="Times-Roman"/>
          <w:b/>
          <w:bCs/>
          <w:i/>
          <w:iCs/>
          <w:sz w:val="24"/>
          <w:szCs w:val="24"/>
        </w:rPr>
      </w:r>
      <w:r>
        <w:rPr>
          <w:rFonts w:eastAsia="Times-Roman"/>
          <w:b/>
          <w:bCs/>
          <w:i/>
          <w:iCs/>
          <w:sz w:val="24"/>
          <w:szCs w:val="24"/>
        </w:rPr>
        <w:fldChar w:fldCharType="separate"/>
      </w:r>
      <w:r>
        <w:t>Tabelul 3</w:t>
      </w:r>
      <w:r>
        <w:rPr>
          <w:rFonts w:eastAsia="Times-Roman"/>
          <w:b/>
          <w:bCs/>
          <w:i/>
          <w:iCs/>
          <w:sz w:val="24"/>
          <w:szCs w:val="24"/>
        </w:rPr>
        <w:fldChar w:fldCharType="end"/>
      </w:r>
      <w:r>
        <w:rPr>
          <w:rFonts w:eastAsia="Times-Roman"/>
          <w:sz w:val="24"/>
          <w:szCs w:val="24"/>
        </w:rPr>
        <w:t xml:space="preserve"> </w:t>
      </w:r>
      <w:r>
        <w:rPr>
          <w:rFonts w:eastAsia="Calibri"/>
          <w:sz w:val="24"/>
          <w:szCs w:val="24"/>
        </w:rPr>
        <w:t>pentru sistemele de invelitoare (Panouri/ sisteme de învelitoare ale acoperişurilor în pantă c</w:t>
      </w:r>
      <w:r>
        <w:rPr>
          <w:rFonts w:eastAsia="Calibri"/>
          <w:sz w:val="24"/>
          <w:szCs w:val="24"/>
          <w:lang w:eastAsia="en-US"/>
        </w:rPr>
        <w:t>u  încărcări suplimentare provenite din  dispozitive fotovoltaice</w:t>
      </w:r>
      <w:r>
        <w:rPr>
          <w:rFonts w:eastAsia="Calibri"/>
          <w:sz w:val="24"/>
          <w:szCs w:val="24"/>
        </w:rPr>
        <w:t xml:space="preserve">) </w:t>
      </w:r>
    </w:p>
    <w:p w14:paraId="5EFFC9F2" w14:textId="77777777" w:rsidR="001C08A5" w:rsidRDefault="00000000">
      <w:pPr>
        <w:widowControl w:val="0"/>
        <w:ind w:left="2160" w:firstLine="720"/>
        <w:jc w:val="both"/>
        <w:rPr>
          <w:rFonts w:eastAsia="Calibri"/>
          <w:sz w:val="24"/>
          <w:szCs w:val="24"/>
        </w:rPr>
      </w:pPr>
      <w:r>
        <w:rPr>
          <w:rFonts w:eastAsia="Calibri"/>
          <w:sz w:val="24"/>
          <w:szCs w:val="24"/>
        </w:rPr>
        <w:lastRenderedPageBreak/>
        <w:t xml:space="preserve">sau </w:t>
      </w:r>
    </w:p>
    <w:p w14:paraId="15F33D95" w14:textId="77777777" w:rsidR="001C08A5" w:rsidRDefault="00000000">
      <w:pPr>
        <w:widowControl w:val="0"/>
        <w:ind w:left="2160" w:firstLine="720"/>
        <w:jc w:val="both"/>
        <w:rPr>
          <w:rFonts w:eastAsia="Calibri"/>
          <w:sz w:val="24"/>
          <w:szCs w:val="24"/>
        </w:rPr>
      </w:pPr>
      <w:r>
        <w:rPr>
          <w:rFonts w:eastAsia="Calibri"/>
          <w:sz w:val="24"/>
          <w:szCs w:val="24"/>
        </w:rPr>
        <w:t xml:space="preserve">- în cazul dispunerii panourilor fotovoltaice peste un planșeu tip terasă, stratul component exterior al acoperişurilor cu rol de asigurare a etanşeităţii construcţiei faţă de intemperii (de cele mai multe ori hidroizolația) sa indeplineasca performanta la foc exterior prevăzuta în </w:t>
      </w:r>
      <w:r>
        <w:rPr>
          <w:rStyle w:val="NORMALBOLDTABELE"/>
          <w:bCs/>
          <w:iCs/>
          <w:szCs w:val="24"/>
        </w:rPr>
        <w:fldChar w:fldCharType="begin"/>
      </w:r>
      <w:r>
        <w:rPr>
          <w:rStyle w:val="NORMALBOLDTABELE"/>
          <w:bCs/>
          <w:iCs/>
          <w:szCs w:val="24"/>
        </w:rPr>
        <w:instrText xml:space="preserve"> REF _Ref26473 \h </w:instrText>
      </w:r>
      <w:r>
        <w:rPr>
          <w:rStyle w:val="NORMALBOLDTABELE"/>
          <w:bCs/>
          <w:iCs/>
          <w:szCs w:val="24"/>
        </w:rPr>
      </w:r>
      <w:r>
        <w:rPr>
          <w:rStyle w:val="NORMALBOLDTABELE"/>
          <w:bCs/>
          <w:iCs/>
          <w:szCs w:val="24"/>
        </w:rPr>
        <w:fldChar w:fldCharType="separate"/>
      </w:r>
      <w:r>
        <w:t>Tabelul 2</w:t>
      </w:r>
      <w:r>
        <w:rPr>
          <w:rStyle w:val="NORMALBOLDTABELE"/>
          <w:bCs/>
          <w:iCs/>
          <w:szCs w:val="24"/>
        </w:rPr>
        <w:fldChar w:fldCharType="end"/>
      </w:r>
      <w:r>
        <w:rPr>
          <w:rFonts w:eastAsia="Times-Roman"/>
          <w:sz w:val="24"/>
          <w:szCs w:val="24"/>
        </w:rPr>
        <w:t xml:space="preserve"> și </w:t>
      </w:r>
      <w:r>
        <w:rPr>
          <w:rFonts w:eastAsia="Times-Roman"/>
          <w:b/>
          <w:bCs/>
          <w:i/>
          <w:iCs/>
          <w:sz w:val="24"/>
          <w:szCs w:val="24"/>
        </w:rPr>
        <w:fldChar w:fldCharType="begin"/>
      </w:r>
      <w:r>
        <w:rPr>
          <w:rFonts w:eastAsia="Times-Roman"/>
          <w:b/>
          <w:bCs/>
          <w:i/>
          <w:iCs/>
          <w:sz w:val="24"/>
          <w:szCs w:val="24"/>
        </w:rPr>
        <w:instrText xml:space="preserve"> REF _Ref11612 \h </w:instrText>
      </w:r>
      <w:r>
        <w:rPr>
          <w:rFonts w:eastAsia="Times-Roman"/>
          <w:b/>
          <w:bCs/>
          <w:i/>
          <w:iCs/>
          <w:sz w:val="24"/>
          <w:szCs w:val="24"/>
        </w:rPr>
      </w:r>
      <w:r>
        <w:rPr>
          <w:rFonts w:eastAsia="Times-Roman"/>
          <w:b/>
          <w:bCs/>
          <w:i/>
          <w:iCs/>
          <w:sz w:val="24"/>
          <w:szCs w:val="24"/>
        </w:rPr>
        <w:fldChar w:fldCharType="separate"/>
      </w:r>
      <w:r>
        <w:t>Tabelul 3</w:t>
      </w:r>
      <w:r>
        <w:rPr>
          <w:rFonts w:eastAsia="Times-Roman"/>
          <w:b/>
          <w:bCs/>
          <w:i/>
          <w:iCs/>
          <w:sz w:val="24"/>
          <w:szCs w:val="24"/>
        </w:rPr>
        <w:fldChar w:fldCharType="end"/>
      </w:r>
      <w:r>
        <w:rPr>
          <w:rFonts w:eastAsia="Times-Roman"/>
          <w:sz w:val="24"/>
          <w:szCs w:val="24"/>
        </w:rPr>
        <w:t xml:space="preserve"> </w:t>
      </w:r>
      <w:r>
        <w:rPr>
          <w:rFonts w:eastAsia="Calibri"/>
          <w:sz w:val="24"/>
          <w:szCs w:val="24"/>
        </w:rPr>
        <w:t>pentru sistemele de invelitoare (Panouri/ sisteme de învelitoare ale acoperişurilor în pantă c</w:t>
      </w:r>
      <w:r>
        <w:rPr>
          <w:rFonts w:eastAsia="Calibri"/>
          <w:sz w:val="24"/>
          <w:szCs w:val="24"/>
          <w:lang w:eastAsia="en-US"/>
        </w:rPr>
        <w:t>u  încărcări suplimentare provenite din fotovoltaice</w:t>
      </w:r>
      <w:r>
        <w:rPr>
          <w:rFonts w:eastAsia="Calibri"/>
          <w:sz w:val="24"/>
          <w:szCs w:val="24"/>
        </w:rPr>
        <w:t>) conform încadrarii în nivel de stabilitate la incendiu a construcției;</w:t>
      </w:r>
    </w:p>
    <w:p w14:paraId="2F8E297D" w14:textId="77777777" w:rsidR="001C08A5" w:rsidRDefault="00000000">
      <w:pPr>
        <w:widowControl w:val="0"/>
        <w:ind w:left="993"/>
        <w:jc w:val="both"/>
        <w:rPr>
          <w:rFonts w:eastAsia="TimesNewRomanPSMT-Identity-H"/>
          <w:b/>
          <w:bCs/>
          <w:sz w:val="24"/>
          <w:szCs w:val="24"/>
        </w:rPr>
      </w:pPr>
      <w:r>
        <w:rPr>
          <w:rFonts w:eastAsia="TimesNewRomanPSMT-Identity-H"/>
          <w:b/>
          <w:bCs/>
          <w:sz w:val="24"/>
          <w:szCs w:val="24"/>
        </w:rPr>
        <w:t>e)</w:t>
      </w:r>
      <w:r>
        <w:rPr>
          <w:rFonts w:eastAsia="TimesNewRomanPSMT-Identity-H"/>
          <w:sz w:val="24"/>
          <w:szCs w:val="24"/>
        </w:rPr>
        <w:t xml:space="preserve"> pe fațade, </w:t>
      </w:r>
      <w:r>
        <w:rPr>
          <w:rFonts w:eastAsia="Calibri"/>
          <w:sz w:val="24"/>
          <w:szCs w:val="24"/>
        </w:rPr>
        <w:t>stratul pe care se aplică trebuie sa îndeplinească performanța la foc de</w:t>
      </w:r>
      <w:r>
        <w:rPr>
          <w:rFonts w:eastAsia="TimesNewRomanPSMT-Identity-H"/>
          <w:sz w:val="24"/>
          <w:szCs w:val="24"/>
        </w:rPr>
        <w:t xml:space="preserve"> minimum </w:t>
      </w:r>
      <w:r>
        <w:rPr>
          <w:rFonts w:eastAsia="TimesNewRomanPSMT-Identity-H"/>
          <w:b/>
          <w:bCs/>
          <w:sz w:val="24"/>
          <w:szCs w:val="24"/>
        </w:rPr>
        <w:t>EI 30</w:t>
      </w:r>
    </w:p>
    <w:p w14:paraId="7BDA6843" w14:textId="77777777" w:rsidR="001C08A5" w:rsidRDefault="00000000">
      <w:pPr>
        <w:ind w:firstLine="720"/>
        <w:jc w:val="both"/>
        <w:rPr>
          <w:iCs/>
          <w:sz w:val="24"/>
          <w:szCs w:val="24"/>
        </w:rPr>
      </w:pPr>
      <w:r>
        <w:rPr>
          <w:b/>
          <w:bCs/>
          <w:sz w:val="24"/>
          <w:szCs w:val="24"/>
        </w:rPr>
        <w:t>(2)</w:t>
      </w:r>
      <w:r>
        <w:rPr>
          <w:sz w:val="24"/>
          <w:szCs w:val="24"/>
        </w:rPr>
        <w:t xml:space="preserve"> Atunci când</w:t>
      </w:r>
      <w:r>
        <w:rPr>
          <w:iCs/>
          <w:sz w:val="24"/>
          <w:szCs w:val="24"/>
        </w:rPr>
        <w:t xml:space="preserve"> panourile fotovoltaice sunt integrate în sistemele de pereți cortină sau tâmplărie exterioară (fiind </w:t>
      </w:r>
      <w:r>
        <w:rPr>
          <w:rFonts w:eastAsia="NotoSans-Regular"/>
          <w:sz w:val="24"/>
          <w:szCs w:val="24"/>
        </w:rPr>
        <w:t>parte funcțională a anvelopei clădirii)</w:t>
      </w:r>
      <w:r>
        <w:rPr>
          <w:iCs/>
          <w:sz w:val="24"/>
          <w:szCs w:val="24"/>
        </w:rPr>
        <w:t xml:space="preserve"> se aplică dispozitiile </w:t>
      </w:r>
      <w:r>
        <w:rPr>
          <w:rFonts w:eastAsia="TimesNewRomanPSMT-Identity-H"/>
          <w:b/>
          <w:sz w:val="24"/>
          <w:szCs w:val="24"/>
        </w:rPr>
        <w:t xml:space="preserve">Art. </w:t>
      </w:r>
      <w:r>
        <w:rPr>
          <w:b/>
          <w:sz w:val="24"/>
          <w:szCs w:val="24"/>
        </w:rPr>
        <w:t xml:space="preserve">2.4.18.8. </w:t>
      </w:r>
      <w:r>
        <w:rPr>
          <w:b/>
          <w:bCs/>
          <w:iCs/>
          <w:sz w:val="24"/>
          <w:szCs w:val="24"/>
        </w:rPr>
        <w:t>alin. (1) lit. a), b) și c)</w:t>
      </w:r>
      <w:r>
        <w:rPr>
          <w:iCs/>
          <w:sz w:val="24"/>
          <w:szCs w:val="24"/>
        </w:rPr>
        <w:t xml:space="preserve"> și se pot lua una dintre următoarele măsuri:</w:t>
      </w:r>
    </w:p>
    <w:p w14:paraId="04DED9F7" w14:textId="77777777" w:rsidR="001C08A5" w:rsidRDefault="00000000">
      <w:pPr>
        <w:numPr>
          <w:ilvl w:val="0"/>
          <w:numId w:val="60"/>
        </w:numPr>
        <w:jc w:val="both"/>
        <w:rPr>
          <w:bCs/>
          <w:sz w:val="24"/>
          <w:szCs w:val="24"/>
        </w:rPr>
      </w:pPr>
      <w:r>
        <w:rPr>
          <w:bCs/>
          <w:sz w:val="24"/>
          <w:szCs w:val="24"/>
        </w:rPr>
        <w:t xml:space="preserve">între panourile fotovoltaice care sunt integrate în sistemele de pereți cortină sau tâmplărie exterioară, la fiecare nivel, pentru întârzierea propagării incendiilor între nivelurile construcţiei prin exteriorul închiderii perimetrale (pe faţade), se prevăd una din măsurile prezentale la </w:t>
      </w:r>
      <w:r>
        <w:rPr>
          <w:b/>
          <w:sz w:val="24"/>
          <w:szCs w:val="24"/>
          <w:lang w:eastAsia="ro-RO"/>
        </w:rPr>
        <w:t>Art. 2.3.6.1.2.</w:t>
      </w:r>
    </w:p>
    <w:p w14:paraId="745C8383" w14:textId="77777777" w:rsidR="001C08A5" w:rsidRDefault="00000000">
      <w:pPr>
        <w:widowControl w:val="0"/>
        <w:numPr>
          <w:ilvl w:val="0"/>
          <w:numId w:val="60"/>
        </w:numPr>
        <w:jc w:val="both"/>
        <w:rPr>
          <w:rFonts w:eastAsia="TimesNewRomanPSMT-Identity-H"/>
          <w:b/>
          <w:bCs/>
          <w:sz w:val="24"/>
          <w:szCs w:val="24"/>
        </w:rPr>
      </w:pPr>
      <w:r>
        <w:rPr>
          <w:sz w:val="24"/>
          <w:szCs w:val="24"/>
        </w:rPr>
        <w:t xml:space="preserve">Se prevăd cortine (rezistente la foc </w:t>
      </w:r>
      <w:r>
        <w:rPr>
          <w:b/>
          <w:bCs/>
          <w:sz w:val="24"/>
          <w:szCs w:val="24"/>
        </w:rPr>
        <w:t>EI</w:t>
      </w:r>
      <w:r>
        <w:rPr>
          <w:sz w:val="24"/>
          <w:szCs w:val="24"/>
        </w:rPr>
        <w:t xml:space="preserve"> sau etanșe la foc </w:t>
      </w:r>
      <w:r>
        <w:rPr>
          <w:b/>
          <w:bCs/>
          <w:sz w:val="24"/>
          <w:szCs w:val="24"/>
        </w:rPr>
        <w:t>E</w:t>
      </w:r>
      <w:r>
        <w:rPr>
          <w:sz w:val="24"/>
          <w:szCs w:val="24"/>
        </w:rPr>
        <w:t xml:space="preserve"> prevăzute cu ansamblu de sprinklere), cu aceeași rezistență cu a elementului prevăzut </w:t>
      </w:r>
      <w:r>
        <w:rPr>
          <w:bCs/>
          <w:sz w:val="24"/>
          <w:szCs w:val="24"/>
        </w:rPr>
        <w:t xml:space="preserve">pentru întârzierea propagării incendiilor între nivelurile construcţiei prin exteriorul închiderii perimetrale (aceeași rezistență precum a elementelor prevăzute la </w:t>
      </w:r>
      <w:r>
        <w:rPr>
          <w:b/>
          <w:sz w:val="24"/>
          <w:szCs w:val="24"/>
          <w:lang w:eastAsia="ro-RO"/>
        </w:rPr>
        <w:t>Art. 2.3.6.1.2.</w:t>
      </w:r>
      <w:r>
        <w:rPr>
          <w:b/>
          <w:sz w:val="24"/>
          <w:szCs w:val="24"/>
          <w:lang w:val="en-US" w:eastAsia="ro-RO"/>
        </w:rPr>
        <w:t xml:space="preserve"> </w:t>
      </w:r>
      <w:r>
        <w:rPr>
          <w:rFonts w:ascii="Arial" w:hAnsi="Arial" w:cs="Arial"/>
          <w:b/>
          <w:sz w:val="24"/>
          <w:szCs w:val="24"/>
          <w:lang w:eastAsia="ro-RO"/>
        </w:rPr>
        <w:t>÷</w:t>
      </w:r>
      <w:r>
        <w:rPr>
          <w:rFonts w:ascii="Arial" w:hAnsi="Arial" w:cs="Arial"/>
          <w:b/>
          <w:sz w:val="24"/>
          <w:szCs w:val="24"/>
          <w:lang w:val="en-US" w:eastAsia="ro-RO"/>
        </w:rPr>
        <w:t xml:space="preserve"> </w:t>
      </w:r>
      <w:r>
        <w:rPr>
          <w:b/>
          <w:sz w:val="24"/>
          <w:szCs w:val="24"/>
          <w:lang w:eastAsia="ro-RO"/>
        </w:rPr>
        <w:t xml:space="preserve">Art. 2.3.6.1.6. </w:t>
      </w:r>
      <w:r>
        <w:rPr>
          <w:sz w:val="24"/>
          <w:szCs w:val="24"/>
        </w:rPr>
        <w:t xml:space="preserve"> pentru diferitele tipuri, înălțimi și utilizări ale construcțiilor)</w:t>
      </w:r>
    </w:p>
    <w:p w14:paraId="1C2E2DEE" w14:textId="77777777" w:rsidR="001C08A5" w:rsidRDefault="00000000">
      <w:pPr>
        <w:numPr>
          <w:ilvl w:val="0"/>
          <w:numId w:val="60"/>
        </w:numPr>
        <w:jc w:val="both"/>
        <w:rPr>
          <w:rFonts w:eastAsia="TimesNewRomanPSMT-Identity-H"/>
          <w:b/>
          <w:bCs/>
          <w:sz w:val="24"/>
          <w:szCs w:val="24"/>
        </w:rPr>
      </w:pPr>
      <w:r>
        <w:rPr>
          <w:iCs/>
          <w:sz w:val="24"/>
          <w:szCs w:val="24"/>
        </w:rPr>
        <w:t xml:space="preserve">se prevăd </w:t>
      </w:r>
      <w:r>
        <w:rPr>
          <w:bCs/>
          <w:sz w:val="24"/>
          <w:szCs w:val="24"/>
        </w:rPr>
        <w:t xml:space="preserve">sisteme active de stingere a incendiilor (perdea de apă) amplasate în interiorul clădirii, la o distanță de maxim </w:t>
      </w:r>
      <w:r>
        <w:rPr>
          <w:b/>
          <w:sz w:val="24"/>
          <w:szCs w:val="24"/>
        </w:rPr>
        <w:t>30 cm</w:t>
      </w:r>
      <w:r>
        <w:rPr>
          <w:bCs/>
          <w:sz w:val="24"/>
          <w:szCs w:val="24"/>
        </w:rPr>
        <w:t xml:space="preserve"> de închiderea perimetrală</w:t>
      </w:r>
      <w:r>
        <w:rPr>
          <w:rFonts w:eastAsia="Arial-BoldMT"/>
          <w:b/>
          <w:bCs/>
          <w:sz w:val="24"/>
          <w:szCs w:val="24"/>
          <w:lang w:eastAsia="ro-RO"/>
        </w:rPr>
        <w:t>.</w:t>
      </w:r>
    </w:p>
    <w:p w14:paraId="32A4C852" w14:textId="77777777" w:rsidR="001C08A5" w:rsidRDefault="001C08A5">
      <w:pPr>
        <w:ind w:firstLine="720"/>
        <w:jc w:val="both"/>
        <w:rPr>
          <w:rFonts w:eastAsia="TimesNewRomanPSMT-Identity-H"/>
          <w:b/>
          <w:sz w:val="24"/>
          <w:szCs w:val="24"/>
        </w:rPr>
      </w:pPr>
    </w:p>
    <w:p w14:paraId="76A5C8DA" w14:textId="77777777" w:rsidR="001C08A5" w:rsidRDefault="00000000">
      <w:pPr>
        <w:ind w:firstLine="720"/>
        <w:jc w:val="both"/>
        <w:rPr>
          <w:rFonts w:eastAsia="TimesNewRomanPSMT-Identity-H"/>
          <w:bCs/>
          <w:sz w:val="24"/>
          <w:szCs w:val="24"/>
        </w:rPr>
      </w:pPr>
      <w:r>
        <w:rPr>
          <w:rFonts w:eastAsia="TimesNewRomanPSMT-Identity-H"/>
          <w:b/>
          <w:sz w:val="24"/>
          <w:szCs w:val="24"/>
        </w:rPr>
        <w:t>Art. 2.4.18.9.</w:t>
      </w:r>
      <w:r>
        <w:rPr>
          <w:rFonts w:eastAsia="TimesNewRomanPSMT-Identity-H"/>
          <w:bCs/>
          <w:sz w:val="24"/>
          <w:szCs w:val="24"/>
        </w:rPr>
        <w:t xml:space="preserve"> Incăperile tehnice pentru echipamentele panourilor fotovoltaice se vor realiza cu pereţii şi planşeele minimum </w:t>
      </w:r>
      <w:r>
        <w:rPr>
          <w:rFonts w:eastAsia="TimesNewRomanPSMT-Identity-H"/>
          <w:b/>
          <w:sz w:val="24"/>
          <w:szCs w:val="24"/>
        </w:rPr>
        <w:t>REI180</w:t>
      </w:r>
      <w:r>
        <w:rPr>
          <w:rFonts w:eastAsia="TimesNewRomanPSMT-Identity-H"/>
          <w:bCs/>
          <w:sz w:val="24"/>
          <w:szCs w:val="24"/>
        </w:rPr>
        <w:t xml:space="preserve">, respectiv </w:t>
      </w:r>
      <w:r>
        <w:rPr>
          <w:rFonts w:eastAsia="TimesNewRomanPSMT-Identity-H"/>
          <w:b/>
          <w:sz w:val="24"/>
          <w:szCs w:val="24"/>
        </w:rPr>
        <w:t>REI 90</w:t>
      </w:r>
      <w:r>
        <w:rPr>
          <w:rFonts w:eastAsia="TimesNewRomanPSMT-Identity-H"/>
          <w:bCs/>
          <w:sz w:val="24"/>
          <w:szCs w:val="24"/>
        </w:rPr>
        <w:t xml:space="preserve"> clasa de reacţie la foc </w:t>
      </w:r>
      <w:r>
        <w:rPr>
          <w:rFonts w:eastAsia="TimesNewRomanPSMT-Identity-H"/>
          <w:b/>
          <w:sz w:val="24"/>
          <w:szCs w:val="24"/>
        </w:rPr>
        <w:t>A1</w:t>
      </w:r>
      <w:r>
        <w:rPr>
          <w:rFonts w:eastAsia="TimesNewRomanPSMT-Identity-H"/>
          <w:bCs/>
          <w:sz w:val="24"/>
          <w:szCs w:val="24"/>
        </w:rPr>
        <w:t xml:space="preserve">, iar golurile de comunicare din pereţi se prevăd cu uşi rezistente la foc și etanșe la fum </w:t>
      </w:r>
      <w:r>
        <w:rPr>
          <w:rFonts w:eastAsia="TimesNewRomanPSMT-Identity-H"/>
          <w:b/>
          <w:sz w:val="24"/>
          <w:szCs w:val="24"/>
        </w:rPr>
        <w:t>EI</w:t>
      </w:r>
      <w:r>
        <w:rPr>
          <w:rFonts w:eastAsia="TimesNewRomanPSMT-Identity-H"/>
          <w:b/>
          <w:sz w:val="24"/>
          <w:szCs w:val="24"/>
          <w:vertAlign w:val="subscript"/>
        </w:rPr>
        <w:t>2</w:t>
      </w:r>
      <w:r>
        <w:rPr>
          <w:rFonts w:eastAsia="TimesNewRomanPSMT-Identity-H"/>
          <w:b/>
          <w:sz w:val="24"/>
          <w:szCs w:val="24"/>
        </w:rPr>
        <w:t>90-C3S</w:t>
      </w:r>
      <w:r>
        <w:rPr>
          <w:rFonts w:eastAsia="TimesNewRomanPSMT-Identity-H"/>
          <w:b/>
          <w:sz w:val="24"/>
          <w:szCs w:val="24"/>
          <w:vertAlign w:val="subscript"/>
        </w:rPr>
        <w:t>200</w:t>
      </w:r>
      <w:r>
        <w:rPr>
          <w:rFonts w:eastAsia="TimesNewRomanPSMT-Identity-H"/>
          <w:bCs/>
          <w:sz w:val="24"/>
          <w:szCs w:val="24"/>
        </w:rPr>
        <w:t>. Ele vor avea asigurata ventilare conform standardelor de specialitate.</w:t>
      </w:r>
    </w:p>
    <w:p w14:paraId="511755F2" w14:textId="77777777" w:rsidR="001C08A5" w:rsidRDefault="001C08A5">
      <w:pPr>
        <w:ind w:firstLine="720"/>
        <w:jc w:val="both"/>
        <w:rPr>
          <w:rFonts w:eastAsia="TimesNewRomanPSMT-Identity-H"/>
          <w:bCs/>
          <w:sz w:val="24"/>
          <w:szCs w:val="24"/>
        </w:rPr>
      </w:pPr>
    </w:p>
    <w:p w14:paraId="0748FD68" w14:textId="77777777" w:rsidR="001C08A5" w:rsidRDefault="00000000">
      <w:pPr>
        <w:ind w:firstLine="709"/>
        <w:jc w:val="both"/>
        <w:rPr>
          <w:sz w:val="24"/>
          <w:szCs w:val="24"/>
        </w:rPr>
      </w:pPr>
      <w:r>
        <w:rPr>
          <w:rFonts w:eastAsia="TimesNewRomanPSMT-Identity-H"/>
          <w:b/>
          <w:sz w:val="24"/>
          <w:szCs w:val="24"/>
        </w:rPr>
        <w:t xml:space="preserve">Art. </w:t>
      </w:r>
      <w:r>
        <w:rPr>
          <w:b/>
          <w:sz w:val="24"/>
          <w:szCs w:val="24"/>
        </w:rPr>
        <w:t xml:space="preserve">2.4.18.10. </w:t>
      </w:r>
      <w:r>
        <w:rPr>
          <w:sz w:val="24"/>
          <w:szCs w:val="24"/>
        </w:rPr>
        <w:t>Dispozitivele fotovoltaice (celule, module, panouri cu un singur tip de module)</w:t>
      </w:r>
      <w:r>
        <w:rPr>
          <w:rFonts w:eastAsia="TimesNewRomanPSMT-Identity-H"/>
          <w:sz w:val="24"/>
          <w:szCs w:val="24"/>
        </w:rPr>
        <w:t xml:space="preserve"> amplasate pe acoperişurile sau faţadele construcţiilor vor fi adecvate acestei utilizări.</w:t>
      </w:r>
    </w:p>
    <w:p w14:paraId="162E461E" w14:textId="77777777" w:rsidR="001C08A5" w:rsidRDefault="00000000">
      <w:pPr>
        <w:pStyle w:val="Heading4"/>
      </w:pPr>
      <w:bookmarkStart w:id="2018" w:name="_Toc2553"/>
      <w:bookmarkStart w:id="2019" w:name="_Toc25080"/>
      <w:bookmarkStart w:id="2020" w:name="_Toc15253"/>
      <w:bookmarkStart w:id="2021" w:name="_Toc15424"/>
      <w:bookmarkStart w:id="2022" w:name="_Toc23049"/>
      <w:bookmarkStart w:id="2023" w:name="_Toc162355247"/>
      <w:bookmarkStart w:id="2024" w:name="_Toc11202"/>
      <w:bookmarkStart w:id="2025" w:name="_Toc22774"/>
      <w:r>
        <w:t>2.4.19. Conformări, instalaţii şi echipamente specifice camerelor pentru bateriile de acumulatoare</w:t>
      </w:r>
      <w:bookmarkEnd w:id="2018"/>
      <w:bookmarkEnd w:id="2019"/>
      <w:bookmarkEnd w:id="2020"/>
      <w:bookmarkEnd w:id="2021"/>
      <w:bookmarkEnd w:id="2022"/>
      <w:bookmarkEnd w:id="2023"/>
      <w:bookmarkEnd w:id="2024"/>
      <w:bookmarkEnd w:id="2025"/>
    </w:p>
    <w:p w14:paraId="08449D61" w14:textId="77777777" w:rsidR="001C08A5" w:rsidRDefault="001C08A5">
      <w:pPr>
        <w:jc w:val="both"/>
        <w:rPr>
          <w:rFonts w:eastAsia="TimesNewRomanPSMT-Identity-H"/>
          <w:sz w:val="24"/>
          <w:szCs w:val="24"/>
        </w:rPr>
      </w:pPr>
    </w:p>
    <w:p w14:paraId="4B5659B8" w14:textId="77777777" w:rsidR="001C08A5" w:rsidRDefault="00000000">
      <w:pPr>
        <w:ind w:leftChars="100" w:left="200" w:firstLineChars="304" w:firstLine="732"/>
        <w:jc w:val="both"/>
        <w:rPr>
          <w:rFonts w:eastAsia="TimesNewRomanPSMT-Identity-H"/>
          <w:sz w:val="24"/>
          <w:szCs w:val="24"/>
        </w:rPr>
      </w:pPr>
      <w:r>
        <w:rPr>
          <w:rFonts w:eastAsia="TimesNewRomanPSMT-Identity-H"/>
          <w:b/>
          <w:sz w:val="24"/>
          <w:szCs w:val="24"/>
        </w:rPr>
        <w:t xml:space="preserve">Art. </w:t>
      </w:r>
      <w:r>
        <w:rPr>
          <w:b/>
          <w:sz w:val="24"/>
          <w:szCs w:val="24"/>
        </w:rPr>
        <w:t xml:space="preserve">2.4.19.1. </w:t>
      </w:r>
      <w:r>
        <w:rPr>
          <w:rFonts w:eastAsia="TimesNewRomanPSMT-Identity-H"/>
          <w:sz w:val="24"/>
          <w:szCs w:val="24"/>
        </w:rPr>
        <w:t>Acumulatoarele electrice se pot clasifica în următoarele categorii din punct de vedere al degajărilor de gaze rezultate din procesul de electroliză:</w:t>
      </w:r>
    </w:p>
    <w:p w14:paraId="4ABCCC9F" w14:textId="77777777" w:rsidR="001C08A5" w:rsidRDefault="00000000">
      <w:pPr>
        <w:ind w:left="993"/>
        <w:jc w:val="both"/>
        <w:rPr>
          <w:rFonts w:eastAsia="Calibri"/>
          <w:bCs/>
          <w:sz w:val="24"/>
          <w:szCs w:val="24"/>
        </w:rPr>
      </w:pPr>
      <w:r>
        <w:rPr>
          <w:rFonts w:eastAsia="Calibri"/>
          <w:bCs/>
          <w:sz w:val="24"/>
          <w:szCs w:val="24"/>
        </w:rPr>
        <w:t>- deschise sau închise cu ventil;</w:t>
      </w:r>
    </w:p>
    <w:p w14:paraId="4802D55D" w14:textId="77777777" w:rsidR="001C08A5" w:rsidRDefault="00000000">
      <w:pPr>
        <w:ind w:leftChars="496" w:left="1112" w:hangingChars="50" w:hanging="120"/>
        <w:jc w:val="both"/>
        <w:rPr>
          <w:rFonts w:eastAsia="Calibri"/>
          <w:bCs/>
          <w:sz w:val="24"/>
          <w:szCs w:val="24"/>
        </w:rPr>
      </w:pPr>
      <w:r>
        <w:rPr>
          <w:rFonts w:eastAsia="Calibri"/>
          <w:bCs/>
          <w:sz w:val="24"/>
          <w:szCs w:val="24"/>
        </w:rPr>
        <w:t>- etanşe cu supapă (acumulatoarele acide etanşe /VRLA), cu electrolitul fixat în gel sau în separatoarele dintre plăci;</w:t>
      </w:r>
    </w:p>
    <w:p w14:paraId="2FC03650" w14:textId="77777777" w:rsidR="001C08A5" w:rsidRDefault="00000000">
      <w:pPr>
        <w:ind w:left="993"/>
        <w:jc w:val="both"/>
        <w:rPr>
          <w:rFonts w:eastAsia="Calibri"/>
          <w:bCs/>
          <w:sz w:val="24"/>
          <w:szCs w:val="24"/>
        </w:rPr>
      </w:pPr>
      <w:r>
        <w:rPr>
          <w:rFonts w:eastAsia="Calibri"/>
          <w:bCs/>
          <w:sz w:val="24"/>
          <w:szCs w:val="24"/>
        </w:rPr>
        <w:t xml:space="preserve">- închise cu supapă/ cu sistem de recombinare min 95% (baterii alcaline şi cu acid); </w:t>
      </w:r>
    </w:p>
    <w:p w14:paraId="7BF0799E" w14:textId="77777777" w:rsidR="001C08A5" w:rsidRDefault="00000000">
      <w:pPr>
        <w:ind w:left="993"/>
        <w:jc w:val="both"/>
        <w:rPr>
          <w:rFonts w:eastAsia="Calibri"/>
          <w:bCs/>
          <w:sz w:val="24"/>
          <w:szCs w:val="24"/>
        </w:rPr>
      </w:pPr>
      <w:r>
        <w:rPr>
          <w:rFonts w:eastAsia="Calibri"/>
          <w:bCs/>
          <w:sz w:val="24"/>
          <w:szCs w:val="24"/>
        </w:rPr>
        <w:t>- ermetice (baterii alcaline)</w:t>
      </w:r>
    </w:p>
    <w:p w14:paraId="5376AB71" w14:textId="77777777" w:rsidR="001C08A5" w:rsidRDefault="001C08A5">
      <w:pPr>
        <w:rPr>
          <w:b/>
          <w:sz w:val="24"/>
          <w:szCs w:val="24"/>
        </w:rPr>
      </w:pPr>
    </w:p>
    <w:p w14:paraId="0A9BF06F" w14:textId="77777777" w:rsidR="001C08A5" w:rsidRDefault="00000000">
      <w:pPr>
        <w:ind w:firstLine="709"/>
        <w:jc w:val="both"/>
        <w:rPr>
          <w:sz w:val="24"/>
          <w:szCs w:val="24"/>
        </w:rPr>
      </w:pPr>
      <w:r>
        <w:rPr>
          <w:rFonts w:eastAsia="TimesNewRomanPSMT-Identity-H"/>
          <w:b/>
          <w:sz w:val="24"/>
          <w:szCs w:val="24"/>
        </w:rPr>
        <w:t xml:space="preserve">Art. </w:t>
      </w:r>
      <w:r>
        <w:rPr>
          <w:b/>
          <w:sz w:val="24"/>
          <w:szCs w:val="24"/>
        </w:rPr>
        <w:t xml:space="preserve">2.4.19.2. (1) </w:t>
      </w:r>
      <w:r>
        <w:rPr>
          <w:sz w:val="24"/>
          <w:szCs w:val="24"/>
        </w:rPr>
        <w:t>Bateriile de acumulatoare se instalează în încăperi dedicate pentru acumulatoare.</w:t>
      </w:r>
    </w:p>
    <w:p w14:paraId="1B6398C2" w14:textId="77777777" w:rsidR="001C08A5" w:rsidRDefault="00000000">
      <w:pPr>
        <w:ind w:firstLine="720"/>
        <w:jc w:val="both"/>
        <w:rPr>
          <w:sz w:val="24"/>
          <w:szCs w:val="24"/>
        </w:rPr>
      </w:pPr>
      <w:r>
        <w:rPr>
          <w:b/>
          <w:sz w:val="24"/>
          <w:szCs w:val="24"/>
        </w:rPr>
        <w:t xml:space="preserve">(2) </w:t>
      </w:r>
      <w:r>
        <w:rPr>
          <w:sz w:val="24"/>
          <w:szCs w:val="24"/>
        </w:rPr>
        <w:t>Acumulatoarele individuale și bateriile de acumulatoare, de tip etanş (ermetice), pot fi instalate în încăperi și spații de producţie încadrate în risc mic și mijlociu de incendiu.</w:t>
      </w:r>
      <w:bookmarkStart w:id="2026" w:name="_Ref346880190"/>
    </w:p>
    <w:p w14:paraId="56E81A6D" w14:textId="77777777" w:rsidR="001C08A5" w:rsidRDefault="00000000">
      <w:pPr>
        <w:ind w:firstLine="709"/>
        <w:jc w:val="both"/>
        <w:rPr>
          <w:rFonts w:eastAsia="TimesNewRomanPSMT-Identity-H"/>
          <w:sz w:val="24"/>
          <w:szCs w:val="24"/>
        </w:rPr>
      </w:pPr>
      <w:r>
        <w:rPr>
          <w:b/>
          <w:sz w:val="24"/>
          <w:szCs w:val="24"/>
        </w:rPr>
        <w:t xml:space="preserve">(3) </w:t>
      </w:r>
      <w:r>
        <w:rPr>
          <w:rFonts w:eastAsia="TimesNewRomanPSMT-Identity-H"/>
          <w:sz w:val="24"/>
          <w:szCs w:val="24"/>
        </w:rPr>
        <w:t>De asemenea în î</w:t>
      </w:r>
      <w:r>
        <w:rPr>
          <w:sz w:val="24"/>
          <w:szCs w:val="24"/>
        </w:rPr>
        <w:t>ncăperi și spații de producţie, cu excepția celor cu risc mare și foarte mare</w:t>
      </w:r>
      <w:r>
        <w:rPr>
          <w:rFonts w:eastAsia="TimesNewRomanPSMT-Identity-H"/>
          <w:sz w:val="24"/>
          <w:szCs w:val="24"/>
        </w:rPr>
        <w:t>, pot fi instalate şi baterii cu elemente de tip închis (</w:t>
      </w:r>
      <w:r>
        <w:rPr>
          <w:rFonts w:eastAsia="Calibri"/>
          <w:sz w:val="24"/>
          <w:szCs w:val="24"/>
        </w:rPr>
        <w:t xml:space="preserve">închise cu supapă/ cu sistem de recombinare min </w:t>
      </w:r>
      <w:r>
        <w:rPr>
          <w:rFonts w:eastAsia="Calibri"/>
          <w:b/>
          <w:bCs/>
          <w:sz w:val="24"/>
          <w:szCs w:val="24"/>
        </w:rPr>
        <w:t>95%</w:t>
      </w:r>
      <w:r>
        <w:rPr>
          <w:rFonts w:eastAsia="TimesNewRomanPSMT-Identity-H"/>
          <w:sz w:val="24"/>
          <w:szCs w:val="24"/>
        </w:rPr>
        <w:t>), dacă:</w:t>
      </w:r>
      <w:bookmarkEnd w:id="2026"/>
    </w:p>
    <w:p w14:paraId="214A9A2C" w14:textId="77777777" w:rsidR="001C08A5" w:rsidRDefault="00000000">
      <w:pPr>
        <w:ind w:leftChars="404" w:left="808" w:firstLine="719"/>
        <w:jc w:val="both"/>
        <w:rPr>
          <w:rFonts w:eastAsia="TimesNewRomanPSMT-Identity-H"/>
          <w:sz w:val="24"/>
          <w:szCs w:val="24"/>
        </w:rPr>
      </w:pPr>
      <w:r>
        <w:rPr>
          <w:rFonts w:eastAsia="TimesNewRomanPSMT-Identity-H"/>
          <w:sz w:val="24"/>
          <w:szCs w:val="24"/>
        </w:rPr>
        <w:t>- încărcarea nu se face în încăperea în care sunt amplasate;</w:t>
      </w:r>
    </w:p>
    <w:p w14:paraId="460943E7" w14:textId="77777777" w:rsidR="001C08A5" w:rsidRDefault="00000000">
      <w:pPr>
        <w:ind w:leftChars="404" w:left="808" w:firstLine="719"/>
        <w:jc w:val="both"/>
        <w:rPr>
          <w:rFonts w:eastAsia="TimesNewRomanPSMT-Identity-H"/>
          <w:sz w:val="24"/>
          <w:szCs w:val="24"/>
        </w:rPr>
      </w:pPr>
      <w:r>
        <w:rPr>
          <w:rFonts w:eastAsia="TimesNewRomanPSMT-Identity-H"/>
          <w:sz w:val="24"/>
          <w:szCs w:val="24"/>
        </w:rPr>
        <w:lastRenderedPageBreak/>
        <w:t>- elementele sunt montate într-o cutie (dulap) rezistentă la acţiunea vaporilor de electrolit, care permite îndepărtarea electrolitului scurs accidental din acumulatoare, iar cutia (dulapul) are canale de ventilaţie (intrare și ieşire) spre exterior și există o ventilare a încăperii cu un debit stabilit (</w:t>
      </w:r>
      <w:r>
        <w:rPr>
          <w:rFonts w:eastAsia="ABBvoice-Regular"/>
          <w:sz w:val="24"/>
          <w:szCs w:val="24"/>
        </w:rPr>
        <w:t xml:space="preserve">în conformitate cu </w:t>
      </w:r>
      <w:r>
        <w:rPr>
          <w:rFonts w:eastAsia="ABBvoice-Regular"/>
          <w:b/>
          <w:bCs/>
          <w:sz w:val="24"/>
          <w:szCs w:val="24"/>
        </w:rPr>
        <w:t xml:space="preserve">SR EN </w:t>
      </w:r>
      <w:r>
        <w:rPr>
          <w:rFonts w:eastAsia="TimesNewRomanPSMT-Identity-H"/>
          <w:b/>
          <w:bCs/>
          <w:sz w:val="24"/>
          <w:szCs w:val="24"/>
        </w:rPr>
        <w:t>IEC 62485-2</w:t>
      </w:r>
      <w:r>
        <w:rPr>
          <w:rFonts w:eastAsia="ABBvoice-Regular"/>
          <w:sz w:val="24"/>
          <w:szCs w:val="24"/>
        </w:rPr>
        <w:t>)</w:t>
      </w:r>
      <w:r>
        <w:rPr>
          <w:rFonts w:eastAsia="TimesNewRomanPSMT-Identity-H"/>
          <w:sz w:val="24"/>
          <w:szCs w:val="24"/>
        </w:rPr>
        <w:t>, iar încărcarea acumulatoarelor se face fără depăşirea tensiunii de degajare a gazelor;</w:t>
      </w:r>
      <w:bookmarkStart w:id="2027" w:name="_Ref346880187"/>
    </w:p>
    <w:p w14:paraId="6C7EDE6A" w14:textId="77777777" w:rsidR="001C08A5" w:rsidRDefault="00000000">
      <w:pPr>
        <w:ind w:leftChars="404" w:left="808" w:firstLine="719"/>
        <w:jc w:val="both"/>
        <w:rPr>
          <w:rFonts w:eastAsia="TimesNewRomanPSMT-Identity-H"/>
          <w:sz w:val="24"/>
          <w:szCs w:val="24"/>
        </w:rPr>
      </w:pPr>
      <w:r>
        <w:rPr>
          <w:rFonts w:eastAsia="TimesNewRomanPSMT-Identity-H"/>
          <w:sz w:val="24"/>
          <w:szCs w:val="24"/>
        </w:rPr>
        <w:t xml:space="preserve">- puterea maximă de încărcare nu depăşeşte valorile maxime care sunt date de producător pentru o baterie nouă și încărcare la </w:t>
      </w:r>
      <w:r>
        <w:rPr>
          <w:rFonts w:eastAsia="TimesNewRomanPSMT-Identity-H"/>
          <w:b/>
          <w:bCs/>
          <w:sz w:val="24"/>
          <w:szCs w:val="24"/>
        </w:rPr>
        <w:t>100%</w:t>
      </w:r>
      <w:r>
        <w:rPr>
          <w:rFonts w:eastAsia="TimesNewRomanPSMT-Identity-H"/>
          <w:sz w:val="24"/>
          <w:szCs w:val="24"/>
        </w:rPr>
        <w:t xml:space="preserve"> capacitate pentru acumulatoarele acide cu plumb şi alcaline, încăperea este bine ventilată, iar volumul liber este de cel puţin </w:t>
      </w:r>
      <w:r>
        <w:rPr>
          <w:rFonts w:eastAsia="TimesNewRomanPSMT-Identity-H"/>
          <w:b/>
          <w:bCs/>
          <w:sz w:val="24"/>
          <w:szCs w:val="24"/>
        </w:rPr>
        <w:t>2,5 ori</w:t>
      </w:r>
      <w:r>
        <w:rPr>
          <w:rFonts w:eastAsia="TimesNewRomanPSMT-Identity-H"/>
          <w:sz w:val="24"/>
          <w:szCs w:val="24"/>
        </w:rPr>
        <w:t xml:space="preserve"> mai mare decât debitul orar de aer care ar fi necesar pentru ventilare (</w:t>
      </w:r>
      <w:r>
        <w:rPr>
          <w:rFonts w:eastAsia="ABBvoice-Regular"/>
          <w:sz w:val="24"/>
          <w:szCs w:val="24"/>
        </w:rPr>
        <w:t xml:space="preserve">în conformitate cu </w:t>
      </w:r>
      <w:r>
        <w:rPr>
          <w:rFonts w:eastAsia="ABBvoice-Regular"/>
          <w:b/>
          <w:bCs/>
          <w:sz w:val="24"/>
          <w:szCs w:val="24"/>
        </w:rPr>
        <w:t xml:space="preserve">SR EN </w:t>
      </w:r>
      <w:r>
        <w:rPr>
          <w:rFonts w:eastAsia="TimesNewRomanPSMT-Identity-H"/>
          <w:b/>
          <w:bCs/>
          <w:sz w:val="24"/>
          <w:szCs w:val="24"/>
        </w:rPr>
        <w:t>IEC 62485-2</w:t>
      </w:r>
      <w:r>
        <w:rPr>
          <w:rFonts w:eastAsia="ABBvoice-Regular"/>
          <w:b/>
          <w:bCs/>
          <w:sz w:val="24"/>
          <w:szCs w:val="24"/>
        </w:rPr>
        <w:t>)</w:t>
      </w:r>
      <w:r>
        <w:rPr>
          <w:rFonts w:eastAsia="TimesNewRomanPSMT-Identity-H"/>
          <w:sz w:val="24"/>
          <w:szCs w:val="24"/>
        </w:rPr>
        <w:t>. Dacă volumul liber este mai mic, trebuie să fie realizată ventilarea corespunzătoare natural organizată sau mecanică.</w:t>
      </w:r>
      <w:bookmarkEnd w:id="2027"/>
    </w:p>
    <w:p w14:paraId="5A277F1E" w14:textId="77777777" w:rsidR="001C08A5" w:rsidRDefault="001C08A5">
      <w:pPr>
        <w:ind w:leftChars="100" w:left="200" w:firstLineChars="304" w:firstLine="730"/>
        <w:jc w:val="both"/>
        <w:rPr>
          <w:rFonts w:eastAsia="TimesNewRomanPSMT-Identity-H"/>
          <w:sz w:val="24"/>
          <w:szCs w:val="24"/>
        </w:rPr>
      </w:pPr>
    </w:p>
    <w:p w14:paraId="3844906B" w14:textId="77777777" w:rsidR="001C08A5" w:rsidRDefault="00000000">
      <w:pPr>
        <w:ind w:firstLine="720"/>
        <w:jc w:val="both"/>
        <w:rPr>
          <w:rFonts w:eastAsia="TimesNewRomanPSMT-Identity-H"/>
          <w:sz w:val="24"/>
          <w:szCs w:val="24"/>
        </w:rPr>
      </w:pPr>
      <w:r>
        <w:rPr>
          <w:rFonts w:eastAsia="TimesNewRomanPSMT-Identity-H"/>
          <w:b/>
          <w:sz w:val="24"/>
          <w:szCs w:val="24"/>
        </w:rPr>
        <w:t xml:space="preserve">Art. </w:t>
      </w:r>
      <w:r>
        <w:rPr>
          <w:b/>
          <w:sz w:val="24"/>
          <w:szCs w:val="24"/>
        </w:rPr>
        <w:t xml:space="preserve">2.4.19.3. (1) </w:t>
      </w:r>
      <w:r>
        <w:rPr>
          <w:rFonts w:eastAsia="TimesNewRomanPSMT-Identity-H"/>
          <w:sz w:val="24"/>
          <w:szCs w:val="24"/>
        </w:rPr>
        <w:t>Se pot instala în aceeaşi cameră mai multe baterii de acumulatoare doar de acelaşi tip (acide, respectiv alcaline).</w:t>
      </w:r>
    </w:p>
    <w:p w14:paraId="39652FA4" w14:textId="77777777" w:rsidR="001C08A5" w:rsidRDefault="00000000">
      <w:pPr>
        <w:ind w:firstLine="720"/>
        <w:jc w:val="both"/>
        <w:rPr>
          <w:rFonts w:eastAsia="TimesNewRomanPSMT-Identity-H"/>
          <w:sz w:val="24"/>
          <w:szCs w:val="24"/>
        </w:rPr>
      </w:pPr>
      <w:r>
        <w:rPr>
          <w:b/>
          <w:sz w:val="24"/>
          <w:szCs w:val="24"/>
        </w:rPr>
        <w:t xml:space="preserve">(2) </w:t>
      </w:r>
      <w:r>
        <w:rPr>
          <w:rFonts w:eastAsia="TimesNewRomanPSMT-Identity-H"/>
          <w:sz w:val="24"/>
          <w:szCs w:val="24"/>
        </w:rPr>
        <w:t>Este interzis a se monta, temporar sau definitiv, în încăperi comune sau cu ventilaţie comună, baterii de acumulatoare cu acid sulfuric și baterii de acumulatoare cu hidroxid de potasiu, cu excepţia bateriilor de acumulatoare formate din elemente etanşe.</w:t>
      </w:r>
    </w:p>
    <w:p w14:paraId="79E16717" w14:textId="77777777" w:rsidR="001C08A5" w:rsidRDefault="00000000">
      <w:pPr>
        <w:ind w:firstLine="720"/>
        <w:jc w:val="both"/>
        <w:rPr>
          <w:rFonts w:eastAsia="TimesNewRomanPSMT-Identity-H"/>
          <w:sz w:val="24"/>
          <w:szCs w:val="24"/>
        </w:rPr>
      </w:pPr>
      <w:r>
        <w:rPr>
          <w:b/>
          <w:sz w:val="24"/>
          <w:szCs w:val="24"/>
        </w:rPr>
        <w:t xml:space="preserve">(3) </w:t>
      </w:r>
      <w:r>
        <w:rPr>
          <w:rFonts w:eastAsia="TimesNewRomanPSMT-Identity-H"/>
          <w:sz w:val="24"/>
          <w:szCs w:val="24"/>
        </w:rPr>
        <w:t>Acumulatoarele se vor dispune, de regulă, pe un singur nivel (indicat la parter), montându-se pe pardoseală şi/sau pe postamente (socluri) sau cu condiția asigurării stabilității acestora, în funcție de zonele cu grad de intensitate seismică în care este amplasată construcția astfel încât să fie asigurată rezistenţa la seism.</w:t>
      </w:r>
    </w:p>
    <w:p w14:paraId="573CC641" w14:textId="77777777" w:rsidR="001C08A5" w:rsidRDefault="00000000">
      <w:pPr>
        <w:ind w:firstLine="720"/>
        <w:jc w:val="both"/>
        <w:rPr>
          <w:rFonts w:eastAsia="TimesNewRomanPSMT-Identity-H"/>
          <w:sz w:val="24"/>
          <w:szCs w:val="24"/>
        </w:rPr>
      </w:pPr>
      <w:r>
        <w:rPr>
          <w:b/>
          <w:sz w:val="24"/>
          <w:szCs w:val="24"/>
        </w:rPr>
        <w:t xml:space="preserve">(4) </w:t>
      </w:r>
      <w:r>
        <w:rPr>
          <w:rFonts w:eastAsia="TimesNewRomanPSMT-Identity-H"/>
          <w:sz w:val="24"/>
          <w:szCs w:val="24"/>
        </w:rPr>
        <w:t xml:space="preserve">În încaperea de baterii de acumulatoare acestea se vor dispune pe șiruri, cu distanțare între ele și față de pereți. Între şiruri și pereţi trebuie să existe un spaţiu liber de minimum </w:t>
      </w:r>
      <w:r>
        <w:rPr>
          <w:rFonts w:eastAsia="TimesNewRomanPSMT-Identity-H"/>
          <w:b/>
          <w:bCs/>
          <w:sz w:val="24"/>
          <w:szCs w:val="24"/>
        </w:rPr>
        <w:t>50 mm</w:t>
      </w:r>
      <w:r>
        <w:rPr>
          <w:rFonts w:eastAsia="TimesNewRomanPSMT-Identity-H"/>
          <w:sz w:val="24"/>
          <w:szCs w:val="24"/>
        </w:rPr>
        <w:t xml:space="preserve"> pentru circulaţia aerului iar pentru fiecare şir de acumulatoare montate trebuie să existe o circulație de acces cel puţin pe o parte. Lăţimea liberă a circulațiilor de acces trebuie să fie de cel puţin </w:t>
      </w:r>
      <w:r>
        <w:rPr>
          <w:rFonts w:eastAsia="TimesNewRomanPSMT-Identity-H"/>
          <w:b/>
          <w:bCs/>
          <w:sz w:val="24"/>
          <w:szCs w:val="24"/>
        </w:rPr>
        <w:t>1,5 ori</w:t>
      </w:r>
      <w:r>
        <w:rPr>
          <w:rFonts w:eastAsia="TimesNewRomanPSMT-Identity-H"/>
          <w:sz w:val="24"/>
          <w:szCs w:val="24"/>
        </w:rPr>
        <w:t xml:space="preserve"> adâncimea bateriei, dar nu mai puţin de 1 flux (</w:t>
      </w:r>
      <w:r>
        <w:rPr>
          <w:rFonts w:eastAsia="TimesNewRomanPSMT-Identity-H"/>
          <w:b/>
          <w:bCs/>
          <w:sz w:val="24"/>
          <w:szCs w:val="24"/>
        </w:rPr>
        <w:t>80 cm</w:t>
      </w:r>
      <w:r>
        <w:rPr>
          <w:rFonts w:eastAsia="TimesNewRomanPSMT-Identity-H"/>
          <w:sz w:val="24"/>
          <w:szCs w:val="24"/>
        </w:rPr>
        <w:t xml:space="preserve">) când sunt situate pe o singură parte și minimum </w:t>
      </w:r>
      <w:r>
        <w:rPr>
          <w:rFonts w:eastAsia="TimesNewRomanPSMT-Identity-H"/>
          <w:b/>
          <w:bCs/>
          <w:sz w:val="24"/>
          <w:szCs w:val="24"/>
        </w:rPr>
        <w:t>1 m</w:t>
      </w:r>
      <w:r>
        <w:rPr>
          <w:rFonts w:eastAsia="TimesNewRomanPSMT-Identity-H"/>
          <w:sz w:val="24"/>
          <w:szCs w:val="24"/>
        </w:rPr>
        <w:t xml:space="preserve"> (recomandabil </w:t>
      </w:r>
      <w:r>
        <w:rPr>
          <w:rFonts w:eastAsia="TimesNewRomanPSMT-Identity-H"/>
          <w:b/>
          <w:bCs/>
          <w:sz w:val="24"/>
          <w:szCs w:val="24"/>
        </w:rPr>
        <w:t>1,20 m</w:t>
      </w:r>
      <w:r>
        <w:rPr>
          <w:rFonts w:eastAsia="TimesNewRomanPSMT-Identity-H"/>
          <w:sz w:val="24"/>
          <w:szCs w:val="24"/>
        </w:rPr>
        <w:t xml:space="preserve">) atunci când sunt situate pe pe ambele părţi cu prevederea eventualelor ferestre la capetele circulațiilor. Corpurile de iluminat trebuie poziționate la o distanţă faţă de acumulatoare de cel puţin </w:t>
      </w:r>
      <w:r>
        <w:rPr>
          <w:rFonts w:eastAsia="TimesNewRomanPSMT-Identity-H"/>
          <w:b/>
          <w:bCs/>
          <w:sz w:val="24"/>
          <w:szCs w:val="24"/>
        </w:rPr>
        <w:t>1 m</w:t>
      </w:r>
      <w:r>
        <w:rPr>
          <w:rFonts w:eastAsia="TimesNewRomanPSMT-Identity-H"/>
          <w:sz w:val="24"/>
          <w:szCs w:val="24"/>
        </w:rPr>
        <w:t xml:space="preserve"> și se amplasează numai deasupra circulațiilor dintre șirurile de acumulatoare.</w:t>
      </w:r>
    </w:p>
    <w:p w14:paraId="518E90D7" w14:textId="77777777" w:rsidR="001C08A5" w:rsidRDefault="00000000">
      <w:pPr>
        <w:ind w:firstLine="720"/>
        <w:jc w:val="both"/>
        <w:rPr>
          <w:rFonts w:eastAsia="TimesNewRomanPSMT-Identity-H"/>
          <w:sz w:val="24"/>
          <w:szCs w:val="24"/>
        </w:rPr>
      </w:pPr>
      <w:bookmarkStart w:id="2028" w:name="_Ref346879961"/>
      <w:r>
        <w:rPr>
          <w:b/>
          <w:sz w:val="24"/>
          <w:szCs w:val="24"/>
        </w:rPr>
        <w:t xml:space="preserve">(5) </w:t>
      </w:r>
      <w:r>
        <w:rPr>
          <w:rFonts w:eastAsia="TimesNewRomanPSMT-Identity-H"/>
          <w:sz w:val="24"/>
          <w:szCs w:val="24"/>
        </w:rPr>
        <w:t xml:space="preserve">În încăperea de baterii de acumulatoare amplasarea elementelor și a conductoarelor sub tensiune trebuie făcută astfel încât o persoană să nu poată atinge simultan două părţi neizolate aflate sub tensiune (de exemplu, prevederea unei distanţe între părţi mai mare de </w:t>
      </w:r>
      <w:r>
        <w:rPr>
          <w:rFonts w:eastAsia="TimesNewRomanPSMT-Identity-H"/>
          <w:b/>
          <w:bCs/>
          <w:sz w:val="24"/>
          <w:szCs w:val="24"/>
        </w:rPr>
        <w:t>1,80 m</w:t>
      </w:r>
      <w:r>
        <w:rPr>
          <w:rFonts w:eastAsia="TimesNewRomanPSMT-Identity-H"/>
          <w:sz w:val="24"/>
          <w:szCs w:val="24"/>
        </w:rPr>
        <w:t xml:space="preserve"> sau dacă se iau măsuri de protecţie la atingerile directe).</w:t>
      </w:r>
      <w:bookmarkEnd w:id="2028"/>
    </w:p>
    <w:p w14:paraId="65577127" w14:textId="77777777" w:rsidR="001C08A5" w:rsidRDefault="00000000">
      <w:pPr>
        <w:ind w:firstLine="720"/>
        <w:jc w:val="both"/>
        <w:rPr>
          <w:rFonts w:eastAsia="TimesNewRomanPSMT-Identity-H"/>
          <w:sz w:val="24"/>
          <w:szCs w:val="24"/>
        </w:rPr>
      </w:pPr>
      <w:bookmarkStart w:id="2029" w:name="_Ref351446086"/>
      <w:r>
        <w:rPr>
          <w:b/>
          <w:sz w:val="24"/>
          <w:szCs w:val="24"/>
        </w:rPr>
        <w:t xml:space="preserve">(6) </w:t>
      </w:r>
      <w:r>
        <w:rPr>
          <w:rFonts w:eastAsia="TimesNewRomanPSMT-Identity-H"/>
          <w:sz w:val="24"/>
          <w:szCs w:val="24"/>
        </w:rPr>
        <w:t xml:space="preserve">În imediata apropiere a bateriei trebuie să se respecte distanţa de siguranţă în care este interzisă amplasarea de dispozitive care produc scântei sau incandescente (temperatura maximă la suprafaţă </w:t>
      </w:r>
      <w:r>
        <w:rPr>
          <w:rFonts w:eastAsia="TimesNewRomanPSMT-Identity-H"/>
          <w:b/>
          <w:bCs/>
          <w:sz w:val="24"/>
          <w:szCs w:val="24"/>
        </w:rPr>
        <w:t>300º C</w:t>
      </w:r>
      <w:r>
        <w:rPr>
          <w:rFonts w:eastAsia="TimesNewRomanPSMT-Identity-H"/>
          <w:sz w:val="24"/>
          <w:szCs w:val="24"/>
        </w:rPr>
        <w:t xml:space="preserve">), calculată conform </w:t>
      </w:r>
      <w:r>
        <w:rPr>
          <w:rFonts w:eastAsia="ABBvoice-Regular"/>
          <w:b/>
          <w:bCs/>
          <w:sz w:val="24"/>
          <w:szCs w:val="24"/>
        </w:rPr>
        <w:t xml:space="preserve">SR EN </w:t>
      </w:r>
      <w:r>
        <w:rPr>
          <w:rFonts w:eastAsia="TimesNewRomanPSMT-Identity-H"/>
          <w:b/>
          <w:bCs/>
          <w:sz w:val="24"/>
          <w:szCs w:val="24"/>
        </w:rPr>
        <w:t>IEC 62485-2</w:t>
      </w:r>
      <w:r>
        <w:rPr>
          <w:rFonts w:eastAsia="TimesNewRomanPSMT-Identity-H"/>
          <w:sz w:val="24"/>
          <w:szCs w:val="24"/>
        </w:rPr>
        <w:t xml:space="preserve">. </w:t>
      </w:r>
      <w:bookmarkEnd w:id="2029"/>
    </w:p>
    <w:p w14:paraId="669CD855" w14:textId="77777777" w:rsidR="001C08A5" w:rsidRDefault="00000000">
      <w:pPr>
        <w:ind w:firstLine="720"/>
        <w:jc w:val="both"/>
        <w:rPr>
          <w:sz w:val="24"/>
          <w:szCs w:val="24"/>
        </w:rPr>
      </w:pPr>
      <w:r>
        <w:rPr>
          <w:b/>
          <w:sz w:val="24"/>
          <w:szCs w:val="24"/>
        </w:rPr>
        <w:t xml:space="preserve">(7) </w:t>
      </w:r>
      <w:r>
        <w:rPr>
          <w:sz w:val="24"/>
          <w:szCs w:val="24"/>
        </w:rPr>
        <w:t xml:space="preserve">Umiditatea relativa din </w:t>
      </w:r>
      <w:r>
        <w:rPr>
          <w:rFonts w:eastAsia="TimesNewRomanPSMT-Identity-H"/>
          <w:sz w:val="24"/>
          <w:szCs w:val="24"/>
        </w:rPr>
        <w:t>camera de baterii de acumulatoare</w:t>
      </w:r>
      <w:r>
        <w:rPr>
          <w:sz w:val="24"/>
          <w:szCs w:val="24"/>
        </w:rPr>
        <w:t xml:space="preserve"> nu trebuie să depășească </w:t>
      </w:r>
      <w:r>
        <w:rPr>
          <w:b/>
          <w:bCs/>
          <w:sz w:val="24"/>
          <w:szCs w:val="24"/>
        </w:rPr>
        <w:t>90%</w:t>
      </w:r>
      <w:r>
        <w:rPr>
          <w:sz w:val="24"/>
          <w:szCs w:val="24"/>
        </w:rPr>
        <w:t>, fără a face condens.</w:t>
      </w:r>
    </w:p>
    <w:p w14:paraId="2A2415B0" w14:textId="77777777" w:rsidR="001C08A5" w:rsidRDefault="001C08A5">
      <w:pPr>
        <w:rPr>
          <w:sz w:val="24"/>
          <w:szCs w:val="24"/>
        </w:rPr>
      </w:pPr>
    </w:p>
    <w:p w14:paraId="4560CE7D" w14:textId="77777777" w:rsidR="001C08A5" w:rsidRDefault="00000000">
      <w:pPr>
        <w:widowControl w:val="0"/>
        <w:ind w:firstLine="720"/>
        <w:jc w:val="both"/>
        <w:rPr>
          <w:sz w:val="24"/>
          <w:szCs w:val="24"/>
        </w:rPr>
      </w:pPr>
      <w:r>
        <w:rPr>
          <w:rFonts w:eastAsia="TimesNewRomanPSMT-Identity-H"/>
          <w:b/>
          <w:sz w:val="24"/>
          <w:szCs w:val="24"/>
        </w:rPr>
        <w:t xml:space="preserve">Art. </w:t>
      </w:r>
      <w:r>
        <w:rPr>
          <w:b/>
          <w:sz w:val="24"/>
          <w:szCs w:val="24"/>
        </w:rPr>
        <w:t xml:space="preserve">2.4.19.4. (1) </w:t>
      </w:r>
      <w:r>
        <w:rPr>
          <w:sz w:val="24"/>
          <w:szCs w:val="24"/>
        </w:rPr>
        <w:t xml:space="preserve">Spațiile de depozitare a bateriilor litiu-ion protejate cu instalație automată de stingere cu sprinklere conform standardului </w:t>
      </w:r>
      <w:r>
        <w:rPr>
          <w:b/>
          <w:bCs/>
          <w:sz w:val="24"/>
          <w:szCs w:val="24"/>
        </w:rPr>
        <w:t>SR EN 12845</w:t>
      </w:r>
      <w:r>
        <w:rPr>
          <w:sz w:val="24"/>
          <w:szCs w:val="24"/>
        </w:rPr>
        <w:t xml:space="preserve"> trebuie să îndeplinească următoarele :</w:t>
      </w:r>
    </w:p>
    <w:p w14:paraId="2DDE6B2D" w14:textId="77777777" w:rsidR="001C08A5" w:rsidRDefault="00000000">
      <w:pPr>
        <w:widowControl w:val="0"/>
        <w:ind w:left="720" w:firstLine="720"/>
        <w:jc w:val="both"/>
        <w:rPr>
          <w:sz w:val="24"/>
          <w:szCs w:val="24"/>
        </w:rPr>
      </w:pPr>
      <w:r>
        <w:rPr>
          <w:sz w:val="24"/>
          <w:szCs w:val="24"/>
        </w:rPr>
        <w:t xml:space="preserve">- suprafața de depozitare trebuie limitată la maximum </w:t>
      </w:r>
      <w:r>
        <w:rPr>
          <w:b/>
          <w:bCs/>
          <w:sz w:val="24"/>
          <w:szCs w:val="24"/>
        </w:rPr>
        <w:t>20 m</w:t>
      </w:r>
      <w:r>
        <w:rPr>
          <w:b/>
          <w:bCs/>
          <w:sz w:val="24"/>
          <w:szCs w:val="24"/>
          <w:vertAlign w:val="superscript"/>
        </w:rPr>
        <w:t>2</w:t>
      </w:r>
    </w:p>
    <w:p w14:paraId="48C2680D" w14:textId="77777777" w:rsidR="001C08A5" w:rsidRDefault="00000000">
      <w:pPr>
        <w:widowControl w:val="0"/>
        <w:ind w:left="720" w:firstLine="720"/>
        <w:jc w:val="both"/>
        <w:rPr>
          <w:sz w:val="24"/>
          <w:szCs w:val="24"/>
        </w:rPr>
      </w:pPr>
      <w:r>
        <w:rPr>
          <w:sz w:val="24"/>
          <w:szCs w:val="24"/>
        </w:rPr>
        <w:t xml:space="preserve">- înălțimea de depozitare trebuie limitată la </w:t>
      </w:r>
      <w:r>
        <w:rPr>
          <w:b/>
          <w:bCs/>
          <w:sz w:val="24"/>
          <w:szCs w:val="24"/>
        </w:rPr>
        <w:t>1,80 m</w:t>
      </w:r>
    </w:p>
    <w:p w14:paraId="651E983B" w14:textId="77777777" w:rsidR="001C08A5" w:rsidRDefault="00000000">
      <w:pPr>
        <w:widowControl w:val="0"/>
        <w:ind w:left="720" w:firstLine="720"/>
        <w:jc w:val="both"/>
        <w:rPr>
          <w:sz w:val="24"/>
          <w:szCs w:val="24"/>
        </w:rPr>
      </w:pPr>
      <w:r>
        <w:rPr>
          <w:sz w:val="24"/>
          <w:szCs w:val="24"/>
        </w:rPr>
        <w:t xml:space="preserve">- zonele de depozitare trebuie separate prin culoare de cel puțin </w:t>
      </w:r>
      <w:r>
        <w:rPr>
          <w:b/>
          <w:bCs/>
          <w:sz w:val="24"/>
          <w:szCs w:val="24"/>
        </w:rPr>
        <w:t>3,00 m</w:t>
      </w:r>
      <w:r>
        <w:rPr>
          <w:sz w:val="24"/>
          <w:szCs w:val="24"/>
        </w:rPr>
        <w:t xml:space="preserve"> lățime.</w:t>
      </w:r>
    </w:p>
    <w:p w14:paraId="61C303A5" w14:textId="77777777" w:rsidR="001C08A5" w:rsidRDefault="00000000">
      <w:pPr>
        <w:widowControl w:val="0"/>
        <w:ind w:left="720" w:firstLine="720"/>
        <w:jc w:val="both"/>
        <w:rPr>
          <w:sz w:val="24"/>
          <w:szCs w:val="24"/>
        </w:rPr>
      </w:pPr>
      <w:r>
        <w:rPr>
          <w:sz w:val="24"/>
          <w:szCs w:val="24"/>
        </w:rPr>
        <w:t xml:space="preserve">- trebuie menținută o stare de încărcare a bateriei ≤ </w:t>
      </w:r>
      <w:r>
        <w:rPr>
          <w:b/>
          <w:bCs/>
          <w:sz w:val="24"/>
          <w:szCs w:val="24"/>
        </w:rPr>
        <w:t>60 %</w:t>
      </w:r>
    </w:p>
    <w:p w14:paraId="116FC695" w14:textId="77777777" w:rsidR="001C08A5" w:rsidRDefault="00000000">
      <w:pPr>
        <w:widowControl w:val="0"/>
        <w:ind w:firstLine="720"/>
        <w:jc w:val="both"/>
        <w:rPr>
          <w:sz w:val="24"/>
          <w:szCs w:val="24"/>
        </w:rPr>
      </w:pPr>
      <w:r>
        <w:rPr>
          <w:b/>
          <w:sz w:val="24"/>
          <w:szCs w:val="24"/>
        </w:rPr>
        <w:t xml:space="preserve">(2) </w:t>
      </w:r>
      <w:r>
        <w:rPr>
          <w:sz w:val="24"/>
          <w:szCs w:val="24"/>
        </w:rPr>
        <w:t xml:space="preserve">Spațiile de depozitare a bateriilor litiu-ion protejate cu instalație automată de stingere cu sprinklere cu răspuns rapid (conform standardelor </w:t>
      </w:r>
      <w:r>
        <w:rPr>
          <w:b/>
          <w:bCs/>
          <w:sz w:val="24"/>
          <w:szCs w:val="24"/>
        </w:rPr>
        <w:t>SR EN 12845</w:t>
      </w:r>
      <w:r>
        <w:rPr>
          <w:sz w:val="24"/>
          <w:szCs w:val="24"/>
        </w:rPr>
        <w:t xml:space="preserve"> și </w:t>
      </w:r>
      <w:r>
        <w:rPr>
          <w:b/>
          <w:iCs/>
          <w:spacing w:val="-6"/>
          <w:sz w:val="24"/>
          <w:szCs w:val="24"/>
        </w:rPr>
        <w:t>SR EN 12259-13</w:t>
      </w:r>
      <w:r>
        <w:rPr>
          <w:bCs/>
          <w:iCs/>
          <w:spacing w:val="-6"/>
          <w:sz w:val="24"/>
          <w:szCs w:val="24"/>
        </w:rPr>
        <w:t xml:space="preserve"> sau o reglementare echivalentă</w:t>
      </w:r>
      <w:r>
        <w:rPr>
          <w:sz w:val="24"/>
          <w:szCs w:val="24"/>
        </w:rPr>
        <w:t>) trebuie să îndeplinească următoarele:</w:t>
      </w:r>
    </w:p>
    <w:p w14:paraId="0821FC5A" w14:textId="77777777" w:rsidR="001C08A5" w:rsidRDefault="00000000">
      <w:pPr>
        <w:widowControl w:val="0"/>
        <w:ind w:left="720" w:firstLine="720"/>
        <w:jc w:val="both"/>
        <w:rPr>
          <w:sz w:val="24"/>
          <w:szCs w:val="24"/>
        </w:rPr>
      </w:pPr>
      <w:r>
        <w:rPr>
          <w:sz w:val="24"/>
          <w:szCs w:val="24"/>
        </w:rPr>
        <w:t xml:space="preserve">- suprafața de depozitare trebuie limitată la maximum </w:t>
      </w:r>
      <w:r>
        <w:rPr>
          <w:b/>
          <w:bCs/>
          <w:sz w:val="24"/>
          <w:szCs w:val="24"/>
        </w:rPr>
        <w:t>20 m</w:t>
      </w:r>
      <w:r>
        <w:rPr>
          <w:b/>
          <w:bCs/>
          <w:sz w:val="24"/>
          <w:szCs w:val="24"/>
          <w:vertAlign w:val="superscript"/>
        </w:rPr>
        <w:t>2</w:t>
      </w:r>
    </w:p>
    <w:p w14:paraId="1ADAC158" w14:textId="77777777" w:rsidR="001C08A5" w:rsidRDefault="00000000">
      <w:pPr>
        <w:widowControl w:val="0"/>
        <w:ind w:left="720" w:firstLine="720"/>
        <w:jc w:val="both"/>
        <w:rPr>
          <w:sz w:val="24"/>
          <w:szCs w:val="24"/>
        </w:rPr>
      </w:pPr>
      <w:r>
        <w:rPr>
          <w:sz w:val="24"/>
          <w:szCs w:val="24"/>
        </w:rPr>
        <w:t xml:space="preserve">- înălțimea de depozitare trebuie limitată la trei niveluri înălțime (maximum </w:t>
      </w:r>
      <w:r>
        <w:rPr>
          <w:b/>
          <w:bCs/>
          <w:sz w:val="24"/>
          <w:szCs w:val="24"/>
        </w:rPr>
        <w:t>4,50</w:t>
      </w:r>
      <w:r>
        <w:rPr>
          <w:sz w:val="24"/>
          <w:szCs w:val="24"/>
        </w:rPr>
        <w:t xml:space="preserve"> </w:t>
      </w:r>
      <w:r>
        <w:rPr>
          <w:b/>
          <w:bCs/>
          <w:sz w:val="24"/>
          <w:szCs w:val="24"/>
        </w:rPr>
        <w:t>m</w:t>
      </w:r>
      <w:r>
        <w:rPr>
          <w:sz w:val="24"/>
          <w:szCs w:val="24"/>
        </w:rPr>
        <w:t xml:space="preserve"> înălțime în rafturi sau paletizate), nefiind permis a se depozita alte mărfuri deasupra acestora;</w:t>
      </w:r>
    </w:p>
    <w:p w14:paraId="55380CBB" w14:textId="77777777" w:rsidR="001C08A5" w:rsidRDefault="00000000">
      <w:pPr>
        <w:widowControl w:val="0"/>
        <w:ind w:left="720" w:firstLine="720"/>
        <w:jc w:val="both"/>
        <w:rPr>
          <w:sz w:val="24"/>
          <w:szCs w:val="24"/>
        </w:rPr>
      </w:pPr>
      <w:r>
        <w:rPr>
          <w:sz w:val="24"/>
          <w:szCs w:val="24"/>
        </w:rPr>
        <w:t xml:space="preserve">- zonele de depozitare trebuie să aibe înălțimea maximă de </w:t>
      </w:r>
      <w:r>
        <w:rPr>
          <w:b/>
          <w:bCs/>
          <w:sz w:val="24"/>
          <w:szCs w:val="24"/>
        </w:rPr>
        <w:t>12</w:t>
      </w:r>
      <w:r>
        <w:rPr>
          <w:sz w:val="24"/>
          <w:szCs w:val="24"/>
        </w:rPr>
        <w:t xml:space="preserve"> </w:t>
      </w:r>
      <w:r>
        <w:rPr>
          <w:b/>
          <w:bCs/>
          <w:sz w:val="24"/>
          <w:szCs w:val="24"/>
        </w:rPr>
        <w:t>m</w:t>
      </w:r>
    </w:p>
    <w:p w14:paraId="624D51E0" w14:textId="77777777" w:rsidR="001C08A5" w:rsidRDefault="00000000">
      <w:pPr>
        <w:widowControl w:val="0"/>
        <w:ind w:firstLine="720"/>
        <w:jc w:val="both"/>
        <w:rPr>
          <w:sz w:val="24"/>
          <w:szCs w:val="24"/>
        </w:rPr>
      </w:pPr>
      <w:r>
        <w:rPr>
          <w:b/>
          <w:sz w:val="24"/>
          <w:szCs w:val="24"/>
        </w:rPr>
        <w:t xml:space="preserve"> (3) </w:t>
      </w:r>
      <w:r>
        <w:rPr>
          <w:sz w:val="24"/>
          <w:szCs w:val="24"/>
        </w:rPr>
        <w:t xml:space="preserve">Pentru depozitarea bateriilor litiu-ion în construcții care nu sunt prevăzute cu instalații </w:t>
      </w:r>
      <w:r>
        <w:rPr>
          <w:sz w:val="24"/>
          <w:szCs w:val="24"/>
        </w:rPr>
        <w:lastRenderedPageBreak/>
        <w:t>automate de sprinklere, trebuie ca:</w:t>
      </w:r>
    </w:p>
    <w:p w14:paraId="4B4AE673" w14:textId="77777777" w:rsidR="001C08A5" w:rsidRDefault="00000000">
      <w:pPr>
        <w:widowControl w:val="0"/>
        <w:ind w:left="720" w:firstLine="720"/>
        <w:jc w:val="both"/>
        <w:rPr>
          <w:sz w:val="24"/>
          <w:szCs w:val="24"/>
        </w:rPr>
      </w:pPr>
      <w:r>
        <w:rPr>
          <w:sz w:val="24"/>
          <w:szCs w:val="24"/>
        </w:rPr>
        <w:t>- încăperile/ construcțiile de depozitare să fie destinate utilizării speciale doar în acet scop;</w:t>
      </w:r>
    </w:p>
    <w:p w14:paraId="1377AF15" w14:textId="77777777" w:rsidR="001C08A5" w:rsidRDefault="00000000">
      <w:pPr>
        <w:widowControl w:val="0"/>
        <w:ind w:left="720" w:firstLine="720"/>
        <w:jc w:val="both"/>
        <w:rPr>
          <w:sz w:val="24"/>
          <w:szCs w:val="24"/>
        </w:rPr>
      </w:pPr>
      <w:r>
        <w:rPr>
          <w:sz w:val="24"/>
          <w:szCs w:val="24"/>
        </w:rPr>
        <w:t xml:space="preserve">- containerele sau carcasele amplasate în exterior, trebuie să fie incombustibile și poziționate la cel puțin </w:t>
      </w:r>
      <w:r>
        <w:rPr>
          <w:b/>
          <w:bCs/>
          <w:sz w:val="24"/>
          <w:szCs w:val="24"/>
        </w:rPr>
        <w:t>6 m</w:t>
      </w:r>
      <w:r>
        <w:rPr>
          <w:sz w:val="24"/>
          <w:szCs w:val="24"/>
        </w:rPr>
        <w:t xml:space="preserve"> de alte echipamente, clădiri, structuri și depozite (dacă dispozițiile specifice nu recomandă  distanță mai mare).</w:t>
      </w:r>
    </w:p>
    <w:p w14:paraId="71848248" w14:textId="77777777" w:rsidR="001C08A5" w:rsidRDefault="00000000">
      <w:pPr>
        <w:widowControl w:val="0"/>
        <w:ind w:firstLine="720"/>
        <w:jc w:val="both"/>
        <w:rPr>
          <w:sz w:val="24"/>
          <w:szCs w:val="24"/>
        </w:rPr>
      </w:pPr>
      <w:r>
        <w:rPr>
          <w:b/>
          <w:sz w:val="24"/>
          <w:szCs w:val="24"/>
        </w:rPr>
        <w:t xml:space="preserve"> (5) </w:t>
      </w:r>
      <w:r>
        <w:rPr>
          <w:sz w:val="24"/>
          <w:szCs w:val="24"/>
        </w:rPr>
        <w:t>Pentru toate încăperile și compartimentele de depozitare a bateriilor cu litiu-ion trebuie prevăzute sisteme de detectare a fumului (detecție de fum și monoxid de carbon (CO)), inclusiv (recomandabil) conform normativului de profil, sisteme de stingere prin inundare.</w:t>
      </w:r>
    </w:p>
    <w:p w14:paraId="0386F334" w14:textId="77777777" w:rsidR="001C08A5" w:rsidRDefault="00000000">
      <w:pPr>
        <w:ind w:firstLine="720"/>
        <w:jc w:val="both"/>
        <w:rPr>
          <w:sz w:val="24"/>
          <w:szCs w:val="24"/>
        </w:rPr>
      </w:pPr>
      <w:r>
        <w:rPr>
          <w:b/>
          <w:bCs/>
          <w:sz w:val="24"/>
          <w:szCs w:val="24"/>
        </w:rPr>
        <w:t>(6)</w:t>
      </w:r>
      <w:r>
        <w:rPr>
          <w:sz w:val="24"/>
          <w:szCs w:val="24"/>
        </w:rPr>
        <w:t xml:space="preserve"> Pentru toate încăperile și compartimentele de depozitare a bateriilor cu litiu-ion trebuie prevăzute sisteme de evacuare a fumului.</w:t>
      </w:r>
    </w:p>
    <w:p w14:paraId="6B2CCCDB" w14:textId="77777777" w:rsidR="001C08A5" w:rsidRDefault="001C08A5">
      <w:pPr>
        <w:ind w:firstLine="720"/>
        <w:jc w:val="both"/>
        <w:rPr>
          <w:sz w:val="24"/>
          <w:szCs w:val="24"/>
        </w:rPr>
      </w:pPr>
    </w:p>
    <w:p w14:paraId="30BBEBE4" w14:textId="77777777" w:rsidR="001C08A5" w:rsidRDefault="00000000">
      <w:pPr>
        <w:ind w:firstLine="720"/>
        <w:jc w:val="both"/>
        <w:rPr>
          <w:rFonts w:eastAsia="TimesNewRomanPSMT-Identity-H"/>
          <w:sz w:val="24"/>
          <w:szCs w:val="24"/>
        </w:rPr>
      </w:pPr>
      <w:r>
        <w:rPr>
          <w:rFonts w:eastAsia="TimesNewRomanPSMT-Identity-H"/>
          <w:b/>
          <w:sz w:val="24"/>
          <w:szCs w:val="24"/>
        </w:rPr>
        <w:t xml:space="preserve">Art. </w:t>
      </w:r>
      <w:r>
        <w:rPr>
          <w:b/>
          <w:sz w:val="24"/>
          <w:szCs w:val="24"/>
        </w:rPr>
        <w:t xml:space="preserve">2.4.19.5. (1) </w:t>
      </w:r>
      <w:r>
        <w:rPr>
          <w:bCs/>
          <w:sz w:val="24"/>
          <w:szCs w:val="24"/>
        </w:rPr>
        <w:t xml:space="preserve">Conformarea </w:t>
      </w:r>
      <w:r>
        <w:rPr>
          <w:rFonts w:eastAsia="TimesNewRomanPSMT-Identity-H"/>
          <w:bCs/>
          <w:sz w:val="24"/>
          <w:szCs w:val="24"/>
        </w:rPr>
        <w:t xml:space="preserve"> camerel</w:t>
      </w:r>
      <w:r>
        <w:rPr>
          <w:rFonts w:eastAsia="TimesNewRomanPSMT-Identity-H"/>
          <w:sz w:val="24"/>
          <w:szCs w:val="24"/>
        </w:rPr>
        <w:t xml:space="preserve">or și/ sau a spațiilor destinate depozitării și încărcării </w:t>
      </w:r>
      <w:r>
        <w:rPr>
          <w:sz w:val="24"/>
          <w:szCs w:val="24"/>
        </w:rPr>
        <w:t xml:space="preserve"> acumulatorilor </w:t>
      </w:r>
      <w:r>
        <w:rPr>
          <w:rFonts w:eastAsia="TimesNewRomanPSMT-Identity-H"/>
          <w:sz w:val="24"/>
          <w:szCs w:val="24"/>
        </w:rPr>
        <w:t xml:space="preserve">se face în sensul de a preveni formarea unei concentraţii explozive de hidrogen (amestecul de hidrogen în aer este exploziv dacă acesta conţine între </w:t>
      </w:r>
      <w:r>
        <w:rPr>
          <w:rFonts w:eastAsia="TimesNewRomanPSMT-Identity-H"/>
          <w:b/>
          <w:bCs/>
          <w:sz w:val="24"/>
          <w:szCs w:val="24"/>
        </w:rPr>
        <w:t xml:space="preserve">4% </w:t>
      </w:r>
      <w:r>
        <w:rPr>
          <w:rFonts w:eastAsia="TimesNewRomanPSMT-Identity-H"/>
          <w:sz w:val="24"/>
          <w:szCs w:val="24"/>
        </w:rPr>
        <w:t xml:space="preserve">şi </w:t>
      </w:r>
      <w:r>
        <w:rPr>
          <w:rFonts w:eastAsia="TimesNewRomanPSMT-Identity-H"/>
          <w:b/>
          <w:bCs/>
          <w:sz w:val="24"/>
          <w:szCs w:val="24"/>
        </w:rPr>
        <w:t>75%</w:t>
      </w:r>
      <w:r>
        <w:rPr>
          <w:rFonts w:eastAsia="TimesNewRomanPSMT-Identity-H"/>
          <w:sz w:val="24"/>
          <w:szCs w:val="24"/>
        </w:rPr>
        <w:t xml:space="preserve"> hidrogen, în volume), astfel:</w:t>
      </w:r>
    </w:p>
    <w:p w14:paraId="345546E5" w14:textId="77777777" w:rsidR="001C08A5" w:rsidRDefault="00000000">
      <w:pPr>
        <w:numPr>
          <w:ilvl w:val="0"/>
          <w:numId w:val="61"/>
        </w:numPr>
        <w:jc w:val="both"/>
        <w:rPr>
          <w:sz w:val="24"/>
          <w:szCs w:val="24"/>
        </w:rPr>
      </w:pPr>
      <w:r>
        <w:rPr>
          <w:rFonts w:eastAsia="TimesNewRomanPSMT-Identity-H"/>
          <w:sz w:val="24"/>
          <w:szCs w:val="24"/>
        </w:rPr>
        <w:t>p</w:t>
      </w:r>
      <w:r>
        <w:rPr>
          <w:sz w:val="24"/>
          <w:szCs w:val="24"/>
        </w:rPr>
        <w:t xml:space="preserve">ereţii şi planşeele trebuie să fie minimum </w:t>
      </w:r>
      <w:r>
        <w:rPr>
          <w:b/>
          <w:bCs/>
          <w:sz w:val="24"/>
          <w:szCs w:val="24"/>
        </w:rPr>
        <w:t>REI180</w:t>
      </w:r>
      <w:r>
        <w:rPr>
          <w:sz w:val="24"/>
          <w:szCs w:val="24"/>
        </w:rPr>
        <w:t xml:space="preserve">, clasa de reacţie la foc </w:t>
      </w:r>
      <w:r>
        <w:rPr>
          <w:b/>
          <w:bCs/>
          <w:sz w:val="24"/>
          <w:szCs w:val="24"/>
        </w:rPr>
        <w:t>A1</w:t>
      </w:r>
      <w:r>
        <w:rPr>
          <w:sz w:val="24"/>
          <w:szCs w:val="24"/>
        </w:rPr>
        <w:t xml:space="preserve">, iar golurile de comunicare strict funcţionale din pereţi se prevăd cu încăperi tampon protejate, ventilate în suprapresiune şi prevăzute cu uşi rezistente la foc și etanșe la fum </w:t>
      </w:r>
      <w:r>
        <w:rPr>
          <w:b/>
          <w:bCs/>
          <w:sz w:val="24"/>
          <w:szCs w:val="24"/>
        </w:rPr>
        <w:t>EI</w:t>
      </w:r>
      <w:r>
        <w:rPr>
          <w:b/>
          <w:bCs/>
          <w:sz w:val="24"/>
          <w:szCs w:val="24"/>
          <w:vertAlign w:val="subscript"/>
        </w:rPr>
        <w:t>2</w:t>
      </w:r>
      <w:r>
        <w:rPr>
          <w:b/>
          <w:bCs/>
          <w:sz w:val="24"/>
          <w:szCs w:val="24"/>
        </w:rPr>
        <w:t>90-C3</w:t>
      </w:r>
      <w:r>
        <w:rPr>
          <w:b/>
          <w:sz w:val="24"/>
          <w:szCs w:val="24"/>
        </w:rPr>
        <w:t>S</w:t>
      </w:r>
      <w:r>
        <w:rPr>
          <w:b/>
          <w:bCs/>
          <w:sz w:val="24"/>
          <w:szCs w:val="24"/>
          <w:vertAlign w:val="subscript"/>
        </w:rPr>
        <w:t>200</w:t>
      </w:r>
      <w:r>
        <w:rPr>
          <w:sz w:val="24"/>
          <w:szCs w:val="24"/>
        </w:rPr>
        <w:t xml:space="preserve">, fiind interzisă protejarea prin modalități diferite, cu excepția celor care comunică cu încăperi de aceeași funcțiune (depozitare), la care se prevăd uşi rezistente la foc și etanșe la fum </w:t>
      </w:r>
      <w:r>
        <w:rPr>
          <w:b/>
          <w:bCs/>
          <w:sz w:val="24"/>
          <w:szCs w:val="24"/>
        </w:rPr>
        <w:t>EI</w:t>
      </w:r>
      <w:r>
        <w:rPr>
          <w:b/>
          <w:bCs/>
          <w:sz w:val="24"/>
          <w:szCs w:val="24"/>
          <w:vertAlign w:val="subscript"/>
        </w:rPr>
        <w:t>2</w:t>
      </w:r>
      <w:r>
        <w:rPr>
          <w:b/>
          <w:bCs/>
          <w:sz w:val="24"/>
          <w:szCs w:val="24"/>
        </w:rPr>
        <w:t>90-C4</w:t>
      </w:r>
      <w:r>
        <w:rPr>
          <w:b/>
          <w:sz w:val="24"/>
          <w:szCs w:val="24"/>
        </w:rPr>
        <w:t>S</w:t>
      </w:r>
      <w:r>
        <w:rPr>
          <w:b/>
          <w:bCs/>
          <w:sz w:val="24"/>
          <w:szCs w:val="24"/>
          <w:vertAlign w:val="subscript"/>
        </w:rPr>
        <w:t xml:space="preserve">200 </w:t>
      </w:r>
      <w:r>
        <w:rPr>
          <w:sz w:val="24"/>
          <w:szCs w:val="24"/>
        </w:rPr>
        <w:t xml:space="preserve">precum și pentru situațiile prevăzute la </w:t>
      </w:r>
      <w:r>
        <w:rPr>
          <w:b/>
          <w:bCs/>
          <w:sz w:val="24"/>
          <w:szCs w:val="24"/>
        </w:rPr>
        <w:t>Art. 2.4.19.6.</w:t>
      </w:r>
      <w:r>
        <w:rPr>
          <w:sz w:val="24"/>
          <w:szCs w:val="24"/>
        </w:rPr>
        <w:t>.</w:t>
      </w:r>
    </w:p>
    <w:p w14:paraId="468D9A74" w14:textId="77777777" w:rsidR="001C08A5" w:rsidRDefault="00000000">
      <w:pPr>
        <w:numPr>
          <w:ilvl w:val="0"/>
          <w:numId w:val="61"/>
        </w:numPr>
        <w:jc w:val="both"/>
        <w:rPr>
          <w:sz w:val="24"/>
          <w:szCs w:val="24"/>
        </w:rPr>
      </w:pPr>
      <w:r>
        <w:rPr>
          <w:rFonts w:eastAsia="TimesNewRomanPSMT-Identity-H"/>
          <w:sz w:val="24"/>
          <w:szCs w:val="24"/>
        </w:rPr>
        <w:t>camerele de acumulatoare trebuie să fie ventilate, indiferent dacă bateriile se găsesc în încărcare, în descărcare sau în repaus</w:t>
      </w:r>
    </w:p>
    <w:p w14:paraId="416B371F" w14:textId="77777777" w:rsidR="001C08A5" w:rsidRDefault="00000000">
      <w:pPr>
        <w:numPr>
          <w:ilvl w:val="0"/>
          <w:numId w:val="61"/>
        </w:numPr>
        <w:jc w:val="both"/>
        <w:rPr>
          <w:rFonts w:eastAsia="TimesNewRomanPSMT-Identity-H"/>
          <w:sz w:val="24"/>
          <w:szCs w:val="24"/>
        </w:rPr>
      </w:pPr>
      <w:r>
        <w:rPr>
          <w:sz w:val="24"/>
          <w:szCs w:val="24"/>
        </w:rPr>
        <w:t xml:space="preserve">străpungerea pereţilor de către conducte, conductoare sau cabluri electrice, este interzisă, cu excepția cablurilor electrice care deservesc instalaţiile propriu-zise ale acestor încăperi; instalaţiile de cabluri sau paturile de cabluri electrice care deservesc instalaţiile propriu-zise amplasate deasupra acumulatoarelor este recomandat să nu treca pe deasupra bateriilor; </w:t>
      </w:r>
      <w:r>
        <w:rPr>
          <w:rFonts w:eastAsia="TimesNewRomanPSMT-Identity-H"/>
          <w:sz w:val="24"/>
          <w:szCs w:val="24"/>
        </w:rPr>
        <w:t xml:space="preserve">instalaţia electrică din cameră se execută în funcţie de standardele de montaj  (de la </w:t>
      </w:r>
      <w:r>
        <w:rPr>
          <w:b/>
          <w:bCs/>
          <w:sz w:val="24"/>
          <w:szCs w:val="24"/>
        </w:rPr>
        <w:t>SR HD 60364-1, SR HD 60364-4</w:t>
      </w:r>
      <w:r>
        <w:rPr>
          <w:rFonts w:eastAsia="TimesNewRomanPSMT-Identity-H"/>
          <w:sz w:val="24"/>
          <w:szCs w:val="24"/>
        </w:rPr>
        <w:t xml:space="preserve"> pâna la </w:t>
      </w:r>
      <w:r>
        <w:rPr>
          <w:b/>
          <w:bCs/>
          <w:sz w:val="24"/>
          <w:szCs w:val="24"/>
        </w:rPr>
        <w:t>SR HD 60364-7</w:t>
      </w:r>
      <w:r>
        <w:rPr>
          <w:rFonts w:eastAsia="TimesNewRomanPSMT-Identity-H"/>
          <w:sz w:val="24"/>
          <w:szCs w:val="24"/>
        </w:rPr>
        <w:t>);</w:t>
      </w:r>
    </w:p>
    <w:p w14:paraId="492E7814" w14:textId="77777777" w:rsidR="001C08A5" w:rsidRDefault="00000000">
      <w:pPr>
        <w:numPr>
          <w:ilvl w:val="0"/>
          <w:numId w:val="61"/>
        </w:numPr>
        <w:jc w:val="both"/>
        <w:rPr>
          <w:sz w:val="24"/>
          <w:szCs w:val="24"/>
        </w:rPr>
      </w:pPr>
      <w:r>
        <w:rPr>
          <w:sz w:val="24"/>
          <w:szCs w:val="24"/>
        </w:rPr>
        <w:t xml:space="preserve">stratul de uzura al pardoselilor trebuie sa fie executat din materiale care la lovire sa nu produca scantei capabile sa initieze aprinderea respectivelor amestecuri explozive; </w:t>
      </w:r>
    </w:p>
    <w:p w14:paraId="16C16C9D" w14:textId="77777777" w:rsidR="001C08A5" w:rsidRDefault="00000000">
      <w:pPr>
        <w:numPr>
          <w:ilvl w:val="0"/>
          <w:numId w:val="61"/>
        </w:numPr>
        <w:jc w:val="both"/>
        <w:rPr>
          <w:rFonts w:eastAsia="TimesNewRomanPSMT-Identity-H"/>
          <w:sz w:val="24"/>
          <w:szCs w:val="24"/>
        </w:rPr>
      </w:pPr>
      <w:r>
        <w:rPr>
          <w:rFonts w:eastAsia="TimesNewRomanPSMT-Identity-H"/>
          <w:sz w:val="24"/>
          <w:szCs w:val="24"/>
        </w:rPr>
        <w:t>pardoseala se va proiecta astfel încât să preia sarcina bateriei, inclusiv viitoarele extinderi; în cazul bateriilor cu electrolit lichid, pardoseala trebuie să fie impermeabilă și rezistentă chimic la acţiunea electrolitului sau celulele/blocurile bateriei se vor aşeza în rastele ce asigură colectarea locală a scurgerilor accidentale de electrolit; în cazul în care se instalează baterii de acumulatoare formate din elemente etanşe, în care, în cazul spargerii vaselor, nu se poate scurge electrolit (de exemplu, elemente cu electrolitul imobilizat în gel), nu este necesar ca stratul de pardoseală și postamentele să fie rezistente la electrolit.</w:t>
      </w:r>
    </w:p>
    <w:p w14:paraId="1570723E" w14:textId="77777777" w:rsidR="001C08A5" w:rsidRDefault="00000000">
      <w:pPr>
        <w:numPr>
          <w:ilvl w:val="0"/>
          <w:numId w:val="61"/>
        </w:numPr>
        <w:jc w:val="both"/>
        <w:rPr>
          <w:rFonts w:eastAsia="TimesNewRomanPSMT-Identity-H"/>
          <w:sz w:val="24"/>
          <w:szCs w:val="24"/>
        </w:rPr>
      </w:pPr>
      <w:r>
        <w:rPr>
          <w:sz w:val="24"/>
          <w:szCs w:val="24"/>
        </w:rPr>
        <w:t xml:space="preserve">pardoseala trebuie să fie plană și capabilă să susțină greutatea bateriilor; în cazul în care </w:t>
      </w:r>
      <w:r>
        <w:rPr>
          <w:rFonts w:eastAsia="TimesNewRomanPSMT-Identity-H"/>
          <w:sz w:val="24"/>
          <w:szCs w:val="24"/>
        </w:rPr>
        <w:t xml:space="preserve">se vor aşeza în rastele ce asigură colectarea locală a scurgerilor accidentale de electrolit, </w:t>
      </w:r>
      <w:r>
        <w:rPr>
          <w:sz w:val="24"/>
          <w:szCs w:val="24"/>
        </w:rPr>
        <w:t>trebuie să fie prevăzute cu un prag înălțat etanș la lichid, cu o înălțime minimă de 10 cm  pentru a preveni curgerea lichidelor în zonele adiacente; când sunt prevăzute praguri etanșe la lichid, acestea pot fi omise la deschiderile ușilor prin instalarea unui șanț cu grătar deschis care se conectează la un sistem de canal de scurgere autorizat pentru deversare; în acest caz trebuie luată în calcul o metodă normată de neutralizare a electrolitului deversat;</w:t>
      </w:r>
    </w:p>
    <w:p w14:paraId="15DB78A3" w14:textId="77777777" w:rsidR="001C08A5" w:rsidRDefault="00000000">
      <w:pPr>
        <w:numPr>
          <w:ilvl w:val="0"/>
          <w:numId w:val="61"/>
        </w:numPr>
        <w:jc w:val="both"/>
        <w:rPr>
          <w:sz w:val="24"/>
          <w:szCs w:val="24"/>
        </w:rPr>
      </w:pPr>
      <w:r>
        <w:rPr>
          <w:sz w:val="24"/>
          <w:szCs w:val="24"/>
        </w:rPr>
        <w:t>tamplaria și sistemele de actionare a acesteia vor corespunde cerințelor Directivei ATEX</w:t>
      </w:r>
    </w:p>
    <w:p w14:paraId="1FAFBCF7" w14:textId="77777777" w:rsidR="001C08A5" w:rsidRDefault="00000000">
      <w:pPr>
        <w:numPr>
          <w:ilvl w:val="0"/>
          <w:numId w:val="61"/>
        </w:numPr>
        <w:jc w:val="both"/>
        <w:rPr>
          <w:bCs/>
          <w:sz w:val="24"/>
          <w:szCs w:val="24"/>
        </w:rPr>
      </w:pPr>
      <w:r>
        <w:rPr>
          <w:bCs/>
          <w:sz w:val="24"/>
          <w:szCs w:val="24"/>
        </w:rPr>
        <w:t xml:space="preserve">nu vor avea tavane suspendate sau autoportante și zone neventilate care sa faciliteze producerea concentratiilor periculoase de aer cu gaze, vapori sau praf combustibil. </w:t>
      </w:r>
    </w:p>
    <w:p w14:paraId="33F1089A" w14:textId="77777777" w:rsidR="001C08A5" w:rsidRDefault="00000000">
      <w:pPr>
        <w:numPr>
          <w:ilvl w:val="0"/>
          <w:numId w:val="61"/>
        </w:numPr>
        <w:jc w:val="both"/>
        <w:rPr>
          <w:sz w:val="24"/>
          <w:szCs w:val="24"/>
        </w:rPr>
      </w:pPr>
      <w:r>
        <w:rPr>
          <w:sz w:val="24"/>
          <w:szCs w:val="24"/>
        </w:rPr>
        <w:t>este interzisă amplasarea sub încăperi umede (băi, spălătorii, WC-uri, pompe de apă etc).</w:t>
      </w:r>
    </w:p>
    <w:p w14:paraId="40E3D09D" w14:textId="77777777" w:rsidR="001C08A5" w:rsidRDefault="00000000">
      <w:pPr>
        <w:numPr>
          <w:ilvl w:val="0"/>
          <w:numId w:val="61"/>
        </w:numPr>
        <w:jc w:val="both"/>
        <w:rPr>
          <w:sz w:val="24"/>
          <w:szCs w:val="24"/>
        </w:rPr>
      </w:pPr>
      <w:r>
        <w:rPr>
          <w:sz w:val="24"/>
          <w:szCs w:val="24"/>
        </w:rPr>
        <w:lastRenderedPageBreak/>
        <w:t xml:space="preserve">înălţimea liberă a camerei acumulatoarelor trebuie să fie de minimum </w:t>
      </w:r>
      <w:r>
        <w:rPr>
          <w:b/>
          <w:bCs/>
          <w:sz w:val="24"/>
          <w:szCs w:val="24"/>
        </w:rPr>
        <w:t>2,10 m</w:t>
      </w:r>
      <w:r>
        <w:rPr>
          <w:sz w:val="24"/>
          <w:szCs w:val="24"/>
        </w:rPr>
        <w:t xml:space="preserve"> cu condiția ca aceasta să fie egală cu înălţimea minimă indicată de către furnizorul acumulatoarelor (daca aceasta este mai mare) și trebuie să depăşească cu cel puţin </w:t>
      </w:r>
      <w:r>
        <w:rPr>
          <w:b/>
          <w:bCs/>
          <w:sz w:val="24"/>
          <w:szCs w:val="24"/>
        </w:rPr>
        <w:t>75 cm</w:t>
      </w:r>
      <w:r>
        <w:rPr>
          <w:sz w:val="24"/>
          <w:szCs w:val="24"/>
        </w:rPr>
        <w:t xml:space="preserve"> înălţimea maximă a bateriei montate pe postament (sau mai mult, conform indicatiilor fișelor de produs).</w:t>
      </w:r>
    </w:p>
    <w:p w14:paraId="7EC6FA9D" w14:textId="77777777" w:rsidR="001C08A5" w:rsidRDefault="00000000">
      <w:pPr>
        <w:numPr>
          <w:ilvl w:val="0"/>
          <w:numId w:val="61"/>
        </w:numPr>
        <w:jc w:val="both"/>
        <w:rPr>
          <w:sz w:val="24"/>
          <w:szCs w:val="24"/>
        </w:rPr>
      </w:pPr>
      <w:r>
        <w:rPr>
          <w:sz w:val="24"/>
          <w:szCs w:val="24"/>
        </w:rPr>
        <w:t>pereţii, planșeele și pardoselile camerelor de acumulatoare trebuie să fie rezistente la umiditate şi electrolit în cazul în care se instalează baterii de acumulatoare formate din elemente neetanşe</w:t>
      </w:r>
    </w:p>
    <w:p w14:paraId="3289423C" w14:textId="77777777" w:rsidR="001C08A5" w:rsidRDefault="00000000">
      <w:pPr>
        <w:numPr>
          <w:ilvl w:val="0"/>
          <w:numId w:val="61"/>
        </w:numPr>
        <w:jc w:val="both"/>
        <w:rPr>
          <w:sz w:val="24"/>
          <w:szCs w:val="24"/>
        </w:rPr>
      </w:pPr>
      <w:r>
        <w:rPr>
          <w:sz w:val="24"/>
          <w:szCs w:val="24"/>
        </w:rPr>
        <w:t>ferestrele camerelor de acumulatoare trebuie să fie protejate în exterior cu grilaj sau plasă metalică cu ochiuri mici sau să fie din sticlă armată iar acestea pot avea geamuri mate sau geamuri Low-e.</w:t>
      </w:r>
    </w:p>
    <w:p w14:paraId="56BED289" w14:textId="77777777" w:rsidR="001C08A5" w:rsidRDefault="00000000">
      <w:pPr>
        <w:numPr>
          <w:ilvl w:val="0"/>
          <w:numId w:val="61"/>
        </w:numPr>
        <w:jc w:val="both"/>
        <w:rPr>
          <w:sz w:val="24"/>
          <w:szCs w:val="24"/>
        </w:rPr>
      </w:pPr>
      <w:r>
        <w:rPr>
          <w:sz w:val="24"/>
          <w:szCs w:val="24"/>
        </w:rPr>
        <w:t xml:space="preserve">uşile camerelor de acumulatoare şi ale încăperilor tampon ventilate în suprapresiune trebuie să se deschidă spre exterior și </w:t>
      </w:r>
      <w:r>
        <w:rPr>
          <w:rFonts w:eastAsia="TimesNewRomanPSMT-Identity-H"/>
          <w:sz w:val="24"/>
          <w:szCs w:val="24"/>
        </w:rPr>
        <w:t>trebuie să fie dotate cu mânere sau bare antipanică</w:t>
      </w:r>
      <w:r>
        <w:rPr>
          <w:sz w:val="24"/>
          <w:szCs w:val="24"/>
        </w:rPr>
        <w:t>;</w:t>
      </w:r>
    </w:p>
    <w:p w14:paraId="719FAA55" w14:textId="77777777" w:rsidR="001C08A5" w:rsidRDefault="00000000">
      <w:pPr>
        <w:widowControl w:val="0"/>
        <w:ind w:firstLine="720"/>
        <w:jc w:val="both"/>
      </w:pPr>
      <w:r>
        <w:rPr>
          <w:b/>
          <w:sz w:val="24"/>
          <w:szCs w:val="24"/>
        </w:rPr>
        <w:t xml:space="preserve">(2) </w:t>
      </w:r>
      <w:r>
        <w:rPr>
          <w:sz w:val="24"/>
          <w:szCs w:val="24"/>
        </w:rPr>
        <w:t xml:space="preserve">Depozitele de baterii din construcții cu altă funcțiune trebuie să fie separate de alte zone printr-o construcție cu pereti și planșee rezistente la foc și explozie minimum </w:t>
      </w:r>
      <w:r>
        <w:rPr>
          <w:b/>
          <w:sz w:val="24"/>
          <w:szCs w:val="24"/>
        </w:rPr>
        <w:t>REI180</w:t>
      </w:r>
      <w:r>
        <w:rPr>
          <w:sz w:val="24"/>
          <w:szCs w:val="24"/>
        </w:rPr>
        <w:t xml:space="preserve"> clasa de reacţie la foc </w:t>
      </w:r>
      <w:r>
        <w:rPr>
          <w:b/>
          <w:bCs/>
          <w:sz w:val="24"/>
          <w:szCs w:val="24"/>
        </w:rPr>
        <w:t>A1</w:t>
      </w:r>
      <w:r>
        <w:rPr>
          <w:sz w:val="24"/>
          <w:szCs w:val="24"/>
        </w:rPr>
        <w:t xml:space="preserve">, iar golurile de comunicare strict funcţionale din pereţi se prevăd cu încăperi tampon protejate, ventilate în suprapresiune şi prevăzute cu uşi rezistente la foc și etanșe la fum </w:t>
      </w:r>
      <w:r>
        <w:rPr>
          <w:b/>
          <w:bCs/>
          <w:sz w:val="24"/>
          <w:szCs w:val="24"/>
        </w:rPr>
        <w:t>EI</w:t>
      </w:r>
      <w:r>
        <w:rPr>
          <w:b/>
          <w:bCs/>
          <w:sz w:val="24"/>
          <w:szCs w:val="24"/>
          <w:vertAlign w:val="subscript"/>
        </w:rPr>
        <w:t>2</w:t>
      </w:r>
      <w:r>
        <w:rPr>
          <w:b/>
          <w:bCs/>
          <w:sz w:val="24"/>
          <w:szCs w:val="24"/>
        </w:rPr>
        <w:t>90-C3</w:t>
      </w:r>
      <w:r>
        <w:rPr>
          <w:b/>
          <w:sz w:val="24"/>
          <w:szCs w:val="24"/>
        </w:rPr>
        <w:t>S</w:t>
      </w:r>
      <w:r>
        <w:rPr>
          <w:b/>
          <w:bCs/>
          <w:sz w:val="24"/>
          <w:szCs w:val="24"/>
          <w:vertAlign w:val="subscript"/>
        </w:rPr>
        <w:t>200</w:t>
      </w:r>
      <w:r>
        <w:rPr>
          <w:sz w:val="24"/>
          <w:szCs w:val="24"/>
        </w:rPr>
        <w:t xml:space="preserve">, fiind interzisă protejarea prin modalități diferite, cu excepția celor care comunică cu încăperi de aceeași funcțiune (depozitare), la care se prevăd  uşi rezistente la foc și etanșe la fum </w:t>
      </w:r>
      <w:r>
        <w:rPr>
          <w:b/>
          <w:bCs/>
          <w:sz w:val="24"/>
          <w:szCs w:val="24"/>
        </w:rPr>
        <w:t>EI</w:t>
      </w:r>
      <w:r>
        <w:rPr>
          <w:b/>
          <w:bCs/>
          <w:sz w:val="24"/>
          <w:szCs w:val="24"/>
          <w:vertAlign w:val="subscript"/>
        </w:rPr>
        <w:t>2</w:t>
      </w:r>
      <w:r>
        <w:rPr>
          <w:b/>
          <w:bCs/>
          <w:sz w:val="24"/>
          <w:szCs w:val="24"/>
        </w:rPr>
        <w:t>90-C4</w:t>
      </w:r>
      <w:r>
        <w:rPr>
          <w:b/>
          <w:sz w:val="24"/>
          <w:szCs w:val="24"/>
        </w:rPr>
        <w:t>S</w:t>
      </w:r>
      <w:r>
        <w:rPr>
          <w:b/>
          <w:bCs/>
          <w:sz w:val="24"/>
          <w:szCs w:val="24"/>
          <w:vertAlign w:val="subscript"/>
        </w:rPr>
        <w:t xml:space="preserve">200,  </w:t>
      </w:r>
      <w:r>
        <w:rPr>
          <w:sz w:val="24"/>
          <w:szCs w:val="24"/>
        </w:rPr>
        <w:t xml:space="preserve">precum și pentru situațiile prevăzute la </w:t>
      </w:r>
      <w:r>
        <w:rPr>
          <w:b/>
          <w:bCs/>
          <w:sz w:val="24"/>
          <w:szCs w:val="24"/>
        </w:rPr>
        <w:t>Art. 2.4.19.6.</w:t>
      </w:r>
    </w:p>
    <w:p w14:paraId="1556738C" w14:textId="77777777" w:rsidR="001C08A5" w:rsidRDefault="001C08A5">
      <w:pPr>
        <w:jc w:val="both"/>
        <w:rPr>
          <w:sz w:val="24"/>
          <w:szCs w:val="24"/>
        </w:rPr>
      </w:pPr>
    </w:p>
    <w:p w14:paraId="309B6E4B" w14:textId="77777777" w:rsidR="001C08A5" w:rsidRDefault="00000000">
      <w:pPr>
        <w:ind w:firstLine="720"/>
        <w:jc w:val="both"/>
        <w:rPr>
          <w:sz w:val="24"/>
          <w:szCs w:val="24"/>
        </w:rPr>
      </w:pPr>
      <w:r>
        <w:rPr>
          <w:b/>
          <w:bCs/>
          <w:sz w:val="24"/>
          <w:szCs w:val="24"/>
        </w:rPr>
        <w:t>Art. 2.4.19.6.</w:t>
      </w:r>
      <w:r>
        <w:rPr>
          <w:sz w:val="24"/>
          <w:szCs w:val="24"/>
        </w:rPr>
        <w:t xml:space="preserve"> Se admite accesul direct în camera acumulatoarelor, fără încăperea tampon ventilată în suprapresiune, atunci când:</w:t>
      </w:r>
    </w:p>
    <w:p w14:paraId="55E30212" w14:textId="77777777" w:rsidR="001C08A5" w:rsidRDefault="00000000">
      <w:pPr>
        <w:ind w:left="720" w:firstLine="720"/>
        <w:jc w:val="both"/>
        <w:rPr>
          <w:sz w:val="24"/>
          <w:szCs w:val="24"/>
        </w:rPr>
      </w:pPr>
      <w:r>
        <w:rPr>
          <w:sz w:val="24"/>
          <w:szCs w:val="24"/>
        </w:rPr>
        <w:t>- accesul se face din exterior; în această situaţie se vor lua măsuri pentru a preveni pătrunderea apei de ploaie și a zăpezii în camera acumulatoarelor (de exemplu, prin prevederea unei copertine în exterior sau prin retragerea intrării faţă de linia pereţilor exteriori);</w:t>
      </w:r>
    </w:p>
    <w:p w14:paraId="00D349AE" w14:textId="77777777" w:rsidR="001C08A5" w:rsidRDefault="00000000">
      <w:pPr>
        <w:ind w:left="720" w:firstLine="720"/>
        <w:jc w:val="both"/>
        <w:rPr>
          <w:sz w:val="24"/>
          <w:szCs w:val="24"/>
        </w:rPr>
      </w:pPr>
      <w:r>
        <w:rPr>
          <w:sz w:val="24"/>
          <w:szCs w:val="24"/>
        </w:rPr>
        <w:t>- acumulatoarele sunt de tip închis cu recombinare, iar accesul se face dintr-o încăpere de trecere sau dintr-un coridor în care nu există instalaţii tehnologice și personalul nu lucrează permanent;</w:t>
      </w:r>
    </w:p>
    <w:p w14:paraId="44BE4338" w14:textId="77777777" w:rsidR="001C08A5" w:rsidRDefault="00000000">
      <w:pPr>
        <w:ind w:left="720" w:firstLine="720"/>
        <w:jc w:val="both"/>
        <w:rPr>
          <w:sz w:val="24"/>
          <w:szCs w:val="24"/>
        </w:rPr>
      </w:pPr>
      <w:r>
        <w:rPr>
          <w:sz w:val="24"/>
          <w:szCs w:val="24"/>
        </w:rPr>
        <w:t>- bateriile de acumulatoare sunt etanşe.</w:t>
      </w:r>
    </w:p>
    <w:p w14:paraId="52259F39" w14:textId="77777777" w:rsidR="001C08A5" w:rsidRDefault="001C08A5">
      <w:pPr>
        <w:jc w:val="both"/>
        <w:rPr>
          <w:sz w:val="24"/>
          <w:szCs w:val="24"/>
        </w:rPr>
      </w:pPr>
    </w:p>
    <w:p w14:paraId="085A37E2" w14:textId="77777777" w:rsidR="001C08A5" w:rsidRDefault="00000000">
      <w:pPr>
        <w:ind w:firstLine="720"/>
        <w:jc w:val="both"/>
        <w:rPr>
          <w:rFonts w:eastAsia="ABBvoice-Regular"/>
          <w:sz w:val="24"/>
          <w:szCs w:val="24"/>
        </w:rPr>
      </w:pPr>
      <w:r>
        <w:rPr>
          <w:rFonts w:eastAsia="TimesNewRomanPSMT-Identity-H"/>
          <w:b/>
          <w:sz w:val="24"/>
          <w:szCs w:val="24"/>
        </w:rPr>
        <w:t xml:space="preserve">Art. </w:t>
      </w:r>
      <w:r>
        <w:rPr>
          <w:b/>
          <w:sz w:val="24"/>
          <w:szCs w:val="24"/>
        </w:rPr>
        <w:t xml:space="preserve">2.4.19.7. (1) </w:t>
      </w:r>
      <w:r>
        <w:rPr>
          <w:rFonts w:eastAsia="TimesNewRomanPSMT-Identity-H"/>
          <w:sz w:val="24"/>
          <w:szCs w:val="24"/>
        </w:rPr>
        <w:t xml:space="preserve">Pentru înlăturarea pericolului de explozie prin diluarea amestecului de hidrogen în aer precum și prin diluarea și evacuarea degajării de electrolit în aer în vederea reducerii gradului de agresivitate, camerele de acumulatoare trebuie să fie ventilate (de exemplu: </w:t>
      </w:r>
      <w:r>
        <w:rPr>
          <w:rFonts w:eastAsia="ABBvoice-Regular"/>
          <w:sz w:val="24"/>
          <w:szCs w:val="24"/>
        </w:rPr>
        <w:t xml:space="preserve">Indiferent dacă sunt sigilate sau nu, toate bateriile cu plumb-acid pot emite gaze explozive – mai ales în timpul încărcării – așa că este obligatorie o ventilare adecvată , hidrogenul gazos emis în timpul încărcării fiind exploziv). Atunci când este emis în atmosfera înconjurătoare, se poate crea un amestec exploziv dacă concentrația de hidrogen depășește </w:t>
      </w:r>
      <w:r>
        <w:rPr>
          <w:rFonts w:eastAsia="ABBvoice-Regular"/>
          <w:b/>
          <w:bCs/>
          <w:sz w:val="24"/>
          <w:szCs w:val="24"/>
        </w:rPr>
        <w:t xml:space="preserve">4 % </w:t>
      </w:r>
      <w:r>
        <w:rPr>
          <w:rFonts w:eastAsia="ABBvoice-Regular"/>
          <w:sz w:val="24"/>
          <w:szCs w:val="24"/>
        </w:rPr>
        <w:t>vol hidrogen în aer</w:t>
      </w:r>
      <w:r>
        <w:rPr>
          <w:rFonts w:eastAsia="TimesNewRomanPSMT-Identity-H"/>
          <w:sz w:val="24"/>
          <w:szCs w:val="24"/>
        </w:rPr>
        <w:t>.</w:t>
      </w:r>
    </w:p>
    <w:p w14:paraId="081E9B58" w14:textId="77777777" w:rsidR="001C08A5" w:rsidRDefault="00000000">
      <w:pPr>
        <w:ind w:firstLine="720"/>
        <w:jc w:val="both"/>
        <w:rPr>
          <w:rFonts w:eastAsia="ABBvoice-Regular"/>
          <w:sz w:val="24"/>
          <w:szCs w:val="24"/>
        </w:rPr>
      </w:pPr>
      <w:r>
        <w:rPr>
          <w:b/>
          <w:sz w:val="24"/>
          <w:szCs w:val="24"/>
        </w:rPr>
        <w:t xml:space="preserve">(2) </w:t>
      </w:r>
      <w:r>
        <w:rPr>
          <w:bCs/>
          <w:sz w:val="24"/>
          <w:szCs w:val="24"/>
        </w:rPr>
        <w:t xml:space="preserve">În </w:t>
      </w:r>
      <w:r>
        <w:rPr>
          <w:rFonts w:eastAsia="ABBvoice-Regular"/>
          <w:sz w:val="24"/>
          <w:szCs w:val="24"/>
        </w:rPr>
        <w:t xml:space="preserve">scopul diluării gazelor (hidrogen și oxigen) generate în timpul incarcarii și descarcarii – și a elimina astfel riscul de explozie – incaperile bateriilor trebuie ventilate în conformitate cu standardul </w:t>
      </w:r>
      <w:r>
        <w:rPr>
          <w:rFonts w:eastAsia="ABBvoice-Regular"/>
          <w:b/>
          <w:bCs/>
          <w:sz w:val="24"/>
          <w:szCs w:val="24"/>
        </w:rPr>
        <w:t xml:space="preserve">SR EN </w:t>
      </w:r>
      <w:r>
        <w:rPr>
          <w:rFonts w:eastAsia="TimesNewRomanPSMT-Identity-H"/>
          <w:b/>
          <w:bCs/>
          <w:sz w:val="24"/>
          <w:szCs w:val="24"/>
        </w:rPr>
        <w:t>IEC 62485-2</w:t>
      </w:r>
      <w:r>
        <w:rPr>
          <w:rFonts w:eastAsia="ABBvoice-Regular"/>
          <w:sz w:val="24"/>
          <w:szCs w:val="24"/>
        </w:rPr>
        <w:t xml:space="preserve"> (</w:t>
      </w:r>
      <w:r>
        <w:rPr>
          <w:rFonts w:eastAsia="TimesNewRomanPSMT-Identity-H"/>
          <w:sz w:val="24"/>
          <w:szCs w:val="24"/>
        </w:rPr>
        <w:t>pentru informații suplimentare a se consulta anexa</w:t>
      </w:r>
      <w:r>
        <w:rPr>
          <w:rFonts w:eastAsia="ABBvoice-Regular"/>
          <w:sz w:val="24"/>
          <w:szCs w:val="24"/>
        </w:rPr>
        <w:t>). Sistemul de ventilare trebuie să fie proiectat pentru a face față condițiilor de încăpere umedă. Scopul ventilării unei locații (</w:t>
      </w:r>
      <w:r>
        <w:rPr>
          <w:rFonts w:eastAsia="ABBvoice-Regular"/>
          <w:b/>
          <w:bCs/>
          <w:sz w:val="24"/>
          <w:szCs w:val="24"/>
        </w:rPr>
        <w:t>UPS</w:t>
      </w:r>
      <w:r>
        <w:rPr>
          <w:rFonts w:eastAsia="ABBvoice-Regular"/>
          <w:sz w:val="24"/>
          <w:szCs w:val="24"/>
        </w:rPr>
        <w:t xml:space="preserve">) sau a carcasei bateriei este de a menține concentrația de hidrogen sub </w:t>
      </w:r>
      <w:r>
        <w:rPr>
          <w:rFonts w:eastAsia="ABBvoice-Regular"/>
          <w:b/>
          <w:bCs/>
          <w:sz w:val="24"/>
          <w:szCs w:val="24"/>
        </w:rPr>
        <w:t>4 %</w:t>
      </w:r>
      <w:r>
        <w:rPr>
          <w:rFonts w:eastAsia="ABBvoice-Regular"/>
          <w:sz w:val="24"/>
          <w:szCs w:val="24"/>
        </w:rPr>
        <w:t xml:space="preserve"> vol. - prag de limită inferioară de explozie (</w:t>
      </w:r>
      <w:r>
        <w:rPr>
          <w:rFonts w:eastAsia="ABBvoice-Regular"/>
          <w:b/>
          <w:bCs/>
          <w:sz w:val="24"/>
          <w:szCs w:val="24"/>
        </w:rPr>
        <w:t>LEL</w:t>
      </w:r>
      <w:r>
        <w:rPr>
          <w:rFonts w:eastAsia="ABBvoice-Regular"/>
          <w:sz w:val="24"/>
          <w:szCs w:val="24"/>
        </w:rPr>
        <w:t>) de hidrogen. Încăperile și carcasele bateriilor trebuie considerate protejate împotriva exploziilor, atunci când prin ventilare naturală sau forțată (artificială, mecanică), concentrația de hidrogen este menținută sub această limită de siguranță (</w:t>
      </w:r>
      <w:r>
        <w:rPr>
          <w:rFonts w:eastAsia="ABBvoice-Regular"/>
          <w:b/>
          <w:bCs/>
          <w:sz w:val="24"/>
          <w:szCs w:val="24"/>
        </w:rPr>
        <w:t>LEL</w:t>
      </w:r>
      <w:r>
        <w:rPr>
          <w:rFonts w:eastAsia="ABBvoice-Regular"/>
          <w:sz w:val="24"/>
          <w:szCs w:val="24"/>
        </w:rPr>
        <w:t xml:space="preserve">). </w:t>
      </w:r>
    </w:p>
    <w:p w14:paraId="193A21F7" w14:textId="77777777" w:rsidR="001C08A5" w:rsidRDefault="00000000">
      <w:pPr>
        <w:ind w:firstLine="720"/>
        <w:jc w:val="both"/>
        <w:rPr>
          <w:rFonts w:eastAsia="TimesNewRomanPSMT-Identity-H"/>
          <w:sz w:val="24"/>
          <w:szCs w:val="24"/>
        </w:rPr>
      </w:pPr>
      <w:r>
        <w:rPr>
          <w:b/>
          <w:sz w:val="24"/>
          <w:szCs w:val="24"/>
        </w:rPr>
        <w:t xml:space="preserve">(3) </w:t>
      </w:r>
      <w:r>
        <w:rPr>
          <w:rFonts w:eastAsia="TimesNewRomanPSMT-Identity-H"/>
          <w:sz w:val="24"/>
          <w:szCs w:val="24"/>
        </w:rPr>
        <w:t xml:space="preserve">Debitul minim de aer pentru ventilarea spațiului sau incintei bateriei se va calcula conform standardului </w:t>
      </w:r>
      <w:r>
        <w:rPr>
          <w:rFonts w:eastAsia="TimesNewRomanPSMT-Identity-H"/>
          <w:b/>
          <w:bCs/>
          <w:sz w:val="24"/>
          <w:szCs w:val="24"/>
        </w:rPr>
        <w:t>SR EN IEC 62485-2</w:t>
      </w:r>
      <w:r>
        <w:rPr>
          <w:rFonts w:eastAsia="TimesNewRomanPSMT-Identity-H"/>
          <w:sz w:val="24"/>
          <w:szCs w:val="24"/>
        </w:rPr>
        <w:t>.</w:t>
      </w:r>
    </w:p>
    <w:p w14:paraId="6635AD89" w14:textId="77777777" w:rsidR="001C08A5" w:rsidRDefault="00000000">
      <w:pPr>
        <w:ind w:firstLine="720"/>
        <w:jc w:val="both"/>
        <w:rPr>
          <w:rFonts w:eastAsia="TimesNewRomanPSMT-Identity-H"/>
          <w:sz w:val="24"/>
          <w:szCs w:val="24"/>
        </w:rPr>
      </w:pPr>
      <w:r>
        <w:rPr>
          <w:b/>
          <w:sz w:val="24"/>
          <w:szCs w:val="24"/>
        </w:rPr>
        <w:t xml:space="preserve">(4) </w:t>
      </w:r>
      <w:r>
        <w:rPr>
          <w:rFonts w:eastAsia="TimesNewRomanPSMT-Identity-H"/>
          <w:sz w:val="24"/>
          <w:szCs w:val="24"/>
        </w:rPr>
        <w:t xml:space="preserve">Puterea maximă de încărcare nu trebuie să depăşească valorile maxime admise care sunt date de producător pentru o baterie nouă și încărcare la </w:t>
      </w:r>
      <w:r>
        <w:rPr>
          <w:rFonts w:eastAsia="TimesNewRomanPSMT-Identity-H"/>
          <w:b/>
          <w:bCs/>
          <w:sz w:val="24"/>
          <w:szCs w:val="24"/>
        </w:rPr>
        <w:t>100%</w:t>
      </w:r>
      <w:r>
        <w:rPr>
          <w:rFonts w:eastAsia="TimesNewRomanPSMT-Identity-H"/>
          <w:sz w:val="24"/>
          <w:szCs w:val="24"/>
        </w:rPr>
        <w:t xml:space="preserve"> capacitate pentru acumulatoarele acide cu plumb şi alcaline, încăperea trebuie să fie bine ventilată, iar volumul liber să fie de cel puţin</w:t>
      </w:r>
      <w:r>
        <w:rPr>
          <w:rFonts w:eastAsia="TimesNewRomanPSMT-Identity-H"/>
          <w:b/>
          <w:bCs/>
          <w:sz w:val="24"/>
          <w:szCs w:val="24"/>
        </w:rPr>
        <w:t xml:space="preserve"> 2,5 ori</w:t>
      </w:r>
      <w:r>
        <w:rPr>
          <w:rFonts w:eastAsia="TimesNewRomanPSMT-Identity-H"/>
          <w:sz w:val="24"/>
          <w:szCs w:val="24"/>
        </w:rPr>
        <w:t xml:space="preserve"> mai mare decât debitul orar de aer care ar fi necesar pentru ventilare (introducerea și evacuarea </w:t>
      </w:r>
      <w:r>
        <w:rPr>
          <w:rFonts w:eastAsia="TimesNewRomanPSMT-Identity-H"/>
          <w:sz w:val="24"/>
          <w:szCs w:val="24"/>
        </w:rPr>
        <w:lastRenderedPageBreak/>
        <w:t>aerului se pot face pe aceeaşi parte a încăperii). Dacă volumul liber este mai mic, trebuie să fie realizată ventilarea corespunzătoare natural organizată sau mecanică.</w:t>
      </w:r>
    </w:p>
    <w:p w14:paraId="344F5270" w14:textId="77777777" w:rsidR="001C08A5" w:rsidRDefault="001C08A5">
      <w:pPr>
        <w:ind w:firstLine="720"/>
        <w:jc w:val="both"/>
        <w:rPr>
          <w:rFonts w:eastAsia="TimesNewRomanPSMT-Identity-H"/>
          <w:sz w:val="24"/>
          <w:szCs w:val="24"/>
        </w:rPr>
      </w:pPr>
    </w:p>
    <w:p w14:paraId="621A5B37" w14:textId="77777777" w:rsidR="001C08A5" w:rsidRDefault="00000000">
      <w:pPr>
        <w:pStyle w:val="Heading3"/>
      </w:pPr>
      <w:bookmarkStart w:id="2030" w:name="_Toc4001"/>
      <w:bookmarkStart w:id="2031" w:name="_Toc18275"/>
      <w:bookmarkStart w:id="2032" w:name="_Toc162355248"/>
      <w:bookmarkStart w:id="2033" w:name="_Toc32556"/>
      <w:bookmarkStart w:id="2034" w:name="_Toc20162"/>
      <w:bookmarkStart w:id="2035" w:name="_Toc25254"/>
      <w:bookmarkStart w:id="2036" w:name="_Toc24842"/>
      <w:bookmarkStart w:id="2037" w:name="_Toc11167"/>
      <w:bookmarkStart w:id="2038" w:name="_Toc19101"/>
      <w:bookmarkStart w:id="2039" w:name="_Toc6906"/>
      <w:r>
        <w:t>SECŢIUNEA V</w:t>
      </w:r>
      <w:bookmarkEnd w:id="2030"/>
      <w:bookmarkEnd w:id="2031"/>
      <w:bookmarkEnd w:id="2032"/>
      <w:bookmarkEnd w:id="2033"/>
      <w:bookmarkEnd w:id="2034"/>
      <w:bookmarkEnd w:id="2035"/>
      <w:bookmarkEnd w:id="2036"/>
      <w:bookmarkEnd w:id="2037"/>
      <w:bookmarkEnd w:id="2038"/>
      <w:bookmarkEnd w:id="2039"/>
    </w:p>
    <w:p w14:paraId="282A4697" w14:textId="77777777" w:rsidR="001C08A5" w:rsidRDefault="00000000">
      <w:pPr>
        <w:pStyle w:val="Heading3"/>
        <w:rPr>
          <w:rFonts w:cs="Times New Roman"/>
          <w:sz w:val="24"/>
          <w:szCs w:val="24"/>
        </w:rPr>
      </w:pPr>
      <w:bookmarkStart w:id="2040" w:name="_Toc7063"/>
      <w:bookmarkStart w:id="2041" w:name="_Toc30933"/>
      <w:bookmarkStart w:id="2042" w:name="_Toc28542"/>
      <w:bookmarkStart w:id="2043" w:name="_Toc21896"/>
      <w:bookmarkStart w:id="2044" w:name="_Toc162355249"/>
      <w:bookmarkStart w:id="2045" w:name="_Toc15870"/>
      <w:bookmarkStart w:id="2046" w:name="_Toc29354"/>
      <w:bookmarkStart w:id="2047" w:name="_Toc19180"/>
      <w:bookmarkStart w:id="2048" w:name="_Toc21773"/>
      <w:bookmarkStart w:id="2049" w:name="_Toc8448"/>
      <w:r>
        <w:t>2.5. Căi de evacuare a utilizatorilor în caz de incendiu</w:t>
      </w:r>
      <w:bookmarkEnd w:id="2040"/>
      <w:bookmarkEnd w:id="2041"/>
      <w:bookmarkEnd w:id="2042"/>
      <w:bookmarkEnd w:id="2043"/>
      <w:bookmarkEnd w:id="2044"/>
      <w:bookmarkEnd w:id="2045"/>
      <w:bookmarkEnd w:id="2046"/>
      <w:bookmarkEnd w:id="2047"/>
      <w:bookmarkEnd w:id="2048"/>
      <w:bookmarkEnd w:id="2049"/>
    </w:p>
    <w:p w14:paraId="78E2E120" w14:textId="77777777" w:rsidR="001C08A5" w:rsidRDefault="00000000">
      <w:pPr>
        <w:pStyle w:val="Heading4"/>
      </w:pPr>
      <w:bookmarkStart w:id="2050" w:name="_Toc26653"/>
      <w:bookmarkStart w:id="2051" w:name="_Toc17052"/>
      <w:bookmarkStart w:id="2052" w:name="_Toc3496"/>
      <w:bookmarkStart w:id="2053" w:name="_Toc32214"/>
      <w:bookmarkStart w:id="2054" w:name="_Toc28098"/>
      <w:bookmarkStart w:id="2055" w:name="_Toc7635"/>
      <w:bookmarkStart w:id="2056" w:name="_Toc162355250"/>
      <w:bookmarkStart w:id="2057" w:name="_Toc23398"/>
      <w:r>
        <w:t>2.5.1. Dispoziţii generale</w:t>
      </w:r>
      <w:bookmarkEnd w:id="2050"/>
      <w:bookmarkEnd w:id="2051"/>
      <w:bookmarkEnd w:id="2052"/>
      <w:bookmarkEnd w:id="2053"/>
      <w:bookmarkEnd w:id="2054"/>
      <w:bookmarkEnd w:id="2055"/>
      <w:bookmarkEnd w:id="2056"/>
      <w:bookmarkEnd w:id="2057"/>
    </w:p>
    <w:p w14:paraId="32E37366" w14:textId="77777777" w:rsidR="001C08A5" w:rsidRDefault="001C08A5">
      <w:pPr>
        <w:rPr>
          <w:sz w:val="24"/>
          <w:szCs w:val="24"/>
        </w:rPr>
      </w:pPr>
    </w:p>
    <w:p w14:paraId="5ACEE3C0" w14:textId="77777777" w:rsidR="001C08A5" w:rsidRDefault="00000000">
      <w:pPr>
        <w:jc w:val="both"/>
        <w:rPr>
          <w:strike/>
          <w:sz w:val="24"/>
          <w:szCs w:val="24"/>
        </w:rPr>
      </w:pPr>
      <w:r>
        <w:rPr>
          <w:b/>
          <w:sz w:val="24"/>
          <w:szCs w:val="24"/>
        </w:rPr>
        <w:tab/>
        <w:t>Art. 2.5.1.1.</w:t>
      </w:r>
      <w:r>
        <w:rPr>
          <w:sz w:val="24"/>
          <w:szCs w:val="24"/>
        </w:rPr>
        <w:t xml:space="preserve"> Prevederile normativului constituie condiţii ce trebuie respectate la proiectarea și realizarea căilor de evacuare a  utilizatorilor construcţiilor cu orice destinaţie, în scopul apărării vieţii, integrităţii şi proprietăţii utilizatorilor, obiectiv prioritar al securităţii la incendiu. </w:t>
      </w:r>
    </w:p>
    <w:p w14:paraId="4E041278" w14:textId="77777777" w:rsidR="001C08A5" w:rsidRDefault="00000000">
      <w:pPr>
        <w:jc w:val="both"/>
        <w:rPr>
          <w:b/>
          <w:sz w:val="24"/>
          <w:szCs w:val="24"/>
        </w:rPr>
      </w:pPr>
      <w:r>
        <w:rPr>
          <w:sz w:val="24"/>
          <w:szCs w:val="24"/>
        </w:rPr>
        <w:tab/>
      </w:r>
      <w:r>
        <w:rPr>
          <w:sz w:val="24"/>
          <w:szCs w:val="24"/>
        </w:rPr>
        <w:tab/>
      </w:r>
    </w:p>
    <w:p w14:paraId="0D4557A5" w14:textId="77777777" w:rsidR="001C08A5" w:rsidRDefault="00000000">
      <w:pPr>
        <w:jc w:val="both"/>
        <w:rPr>
          <w:sz w:val="24"/>
          <w:szCs w:val="24"/>
        </w:rPr>
      </w:pPr>
      <w:r>
        <w:rPr>
          <w:b/>
          <w:sz w:val="24"/>
          <w:szCs w:val="24"/>
        </w:rPr>
        <w:tab/>
        <w:t>Art. 2.5.1.2. (1)</w:t>
      </w:r>
      <w:r>
        <w:rPr>
          <w:sz w:val="24"/>
          <w:szCs w:val="24"/>
        </w:rPr>
        <w:t xml:space="preserve"> În construcţii, compartimente de incendiu şi încăperi vor fi asigurate căi de evacuare a utilizatorilor, prin care aceştia, în caz de incendiu, să poată ajunge în exteriorul clădirii, la nivelul terenului sau al unor suprafeţe carosabile, pe distanța normată şi în condiţii de securitate. Pentru persoanele care nu se pot evacua singure (definite conform terminologie: copii de vârstă preșcolară, bătrâni, bolnavi sau persoane cu dizabilităţi/handicap), se asigură condiţii de evacuare asistată, conform prevederilor normativului și ale reglementărilor de profil.</w:t>
      </w:r>
    </w:p>
    <w:p w14:paraId="38400472" w14:textId="77777777" w:rsidR="001C08A5" w:rsidRDefault="00000000">
      <w:pPr>
        <w:jc w:val="both"/>
        <w:rPr>
          <w:sz w:val="24"/>
          <w:szCs w:val="24"/>
        </w:rPr>
      </w:pPr>
      <w:r>
        <w:rPr>
          <w:sz w:val="24"/>
          <w:szCs w:val="24"/>
        </w:rPr>
        <w:tab/>
      </w:r>
      <w:r>
        <w:rPr>
          <w:b/>
          <w:sz w:val="24"/>
          <w:szCs w:val="24"/>
        </w:rPr>
        <w:t xml:space="preserve">(2) </w:t>
      </w:r>
      <w:r>
        <w:rPr>
          <w:sz w:val="24"/>
          <w:szCs w:val="24"/>
        </w:rPr>
        <w:t>În condițiile și pe distanța normată de evacuare, calitatea neviciată a aerului pe căile de evacuare a utilizatorilor se asigură prin efectul conjugat al măsurilor de stabilitate la incendiu, de limitare a propagării incendiilor şi, după caz, al celor de evacure a fumului în caz de incendiu.</w:t>
      </w:r>
    </w:p>
    <w:p w14:paraId="0AF76967" w14:textId="77777777" w:rsidR="001C08A5" w:rsidRDefault="00000000">
      <w:pPr>
        <w:jc w:val="both"/>
        <w:rPr>
          <w:sz w:val="24"/>
          <w:szCs w:val="24"/>
        </w:rPr>
      </w:pPr>
      <w:r>
        <w:rPr>
          <w:sz w:val="24"/>
          <w:szCs w:val="24"/>
        </w:rPr>
        <w:tab/>
      </w:r>
      <w:r>
        <w:rPr>
          <w:b/>
          <w:sz w:val="24"/>
          <w:szCs w:val="24"/>
        </w:rPr>
        <w:t>(3)</w:t>
      </w:r>
      <w:r>
        <w:rPr>
          <w:sz w:val="24"/>
          <w:szCs w:val="24"/>
        </w:rPr>
        <w:t xml:space="preserve"> Pentru circulaţiile funcţionale a cel mult </w:t>
      </w:r>
      <w:r>
        <w:rPr>
          <w:b/>
          <w:sz w:val="24"/>
          <w:szCs w:val="24"/>
        </w:rPr>
        <w:t>5</w:t>
      </w:r>
      <w:r>
        <w:rPr>
          <w:sz w:val="24"/>
          <w:szCs w:val="24"/>
        </w:rPr>
        <w:t xml:space="preserve"> utilizatori pe nivel din clădirile civile cu înalțime obișnuită şi a circulaţiilor funcţionale aferente locurilor/încăperilor în care prezenţa utilizatorilor apare întâmplător sau sunt vizitate de cel mult </w:t>
      </w:r>
      <w:r>
        <w:rPr>
          <w:b/>
          <w:bCs/>
          <w:sz w:val="24"/>
          <w:szCs w:val="24"/>
        </w:rPr>
        <w:t>8 ori pe schimb</w:t>
      </w:r>
      <w:r>
        <w:rPr>
          <w:sz w:val="24"/>
          <w:szCs w:val="24"/>
        </w:rPr>
        <w:t xml:space="preserve"> (pentru control sau verificare), precum și în toate situațiile în care la fiecare nivel al construcției de producție și/sau depozitare se pot afla simultan maximum </w:t>
      </w:r>
      <w:r>
        <w:rPr>
          <w:b/>
          <w:bCs/>
          <w:sz w:val="24"/>
          <w:szCs w:val="24"/>
        </w:rPr>
        <w:t>10</w:t>
      </w:r>
      <w:r>
        <w:rPr>
          <w:sz w:val="24"/>
          <w:szCs w:val="24"/>
        </w:rPr>
        <w:t xml:space="preserve"> utilizatori îndeplinirea condiţiilor prevăzute privind lungimea normată nu este obligatorie.</w:t>
      </w:r>
    </w:p>
    <w:p w14:paraId="50933BAE" w14:textId="77777777" w:rsidR="001C08A5" w:rsidRDefault="001C08A5">
      <w:pPr>
        <w:jc w:val="both"/>
        <w:rPr>
          <w:sz w:val="24"/>
          <w:szCs w:val="24"/>
        </w:rPr>
      </w:pPr>
    </w:p>
    <w:p w14:paraId="3B6562F2" w14:textId="77777777" w:rsidR="001C08A5" w:rsidRDefault="00000000">
      <w:pPr>
        <w:jc w:val="both"/>
        <w:rPr>
          <w:sz w:val="24"/>
          <w:szCs w:val="24"/>
        </w:rPr>
      </w:pPr>
      <w:r>
        <w:rPr>
          <w:b/>
          <w:sz w:val="24"/>
          <w:szCs w:val="24"/>
        </w:rPr>
        <w:tab/>
        <w:t>Art. 2.5.1.3. (1)</w:t>
      </w:r>
      <w:r>
        <w:rPr>
          <w:sz w:val="24"/>
          <w:szCs w:val="24"/>
        </w:rPr>
        <w:t xml:space="preserve"> Circulaţiile funcţionale care îndeplinesc condiţiile de dispunere, alcătuire şi realizare stabilite în normativ și asigură condiţii de ieşire a utilizatorilor clădirii (prin uşi, coridoare, degajamente protejate, holuri, vestibuluri, tuneluri, case de scări, terase, pasaje etc.), la nivelul terenului ori al unor suprafeţe carosabile exterioare sau în locuri sigure din interiorul clădirii, constituie căi de evacuare a utilizatorilor. </w:t>
      </w:r>
    </w:p>
    <w:p w14:paraId="3B91A47F"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Căile de circulaţie prevăzute pentru funcţionarea normală a construcţiilor trebuie astfel dispuse, alcătuite și realizate încât să asigure condiţii corespunzătoare de evacuare a utilizatorilor în caz de incendiu. Căi special destinate evacuării utilizatorilor în caz de incendiu se prevăd numai atunci când cele funcţionale sunt insuficiente sau nu satisfac condiţiile normate de securitate la incendiu. </w:t>
      </w:r>
    </w:p>
    <w:p w14:paraId="5D607A05" w14:textId="77777777" w:rsidR="001C08A5" w:rsidRDefault="00000000">
      <w:pPr>
        <w:ind w:firstLine="720"/>
        <w:jc w:val="both"/>
        <w:rPr>
          <w:sz w:val="24"/>
          <w:szCs w:val="24"/>
        </w:rPr>
      </w:pPr>
      <w:r>
        <w:rPr>
          <w:b/>
          <w:sz w:val="24"/>
          <w:szCs w:val="24"/>
        </w:rPr>
        <w:t xml:space="preserve">(3) </w:t>
      </w:r>
      <w:r>
        <w:rPr>
          <w:sz w:val="24"/>
          <w:szCs w:val="24"/>
        </w:rPr>
        <w:t>Pot fi utilizate pentru evacuare și trecerile prin încăperi sau spaţii alăturate prin care se poate circula, dacă se respectă lungimea de evacuare normată într-o singură direcţie (coridor înfundat) sau dacă trecerile respective nu constituie singura cale de evacuare a utilizatorilor.</w:t>
      </w:r>
    </w:p>
    <w:p w14:paraId="59360282" w14:textId="77777777" w:rsidR="001C08A5" w:rsidRDefault="001C08A5">
      <w:pPr>
        <w:rPr>
          <w:sz w:val="24"/>
          <w:szCs w:val="24"/>
        </w:rPr>
      </w:pPr>
    </w:p>
    <w:p w14:paraId="080B1643" w14:textId="77777777" w:rsidR="001C08A5" w:rsidRDefault="00000000">
      <w:pPr>
        <w:jc w:val="both"/>
        <w:rPr>
          <w:sz w:val="24"/>
          <w:szCs w:val="24"/>
        </w:rPr>
      </w:pPr>
      <w:r>
        <w:rPr>
          <w:b/>
          <w:sz w:val="24"/>
          <w:szCs w:val="24"/>
        </w:rPr>
        <w:tab/>
        <w:t>Art. 2.5.1.4.</w:t>
      </w:r>
      <w:r>
        <w:rPr>
          <w:b/>
          <w:sz w:val="24"/>
          <w:szCs w:val="24"/>
        </w:rPr>
        <w:tab/>
        <w:t xml:space="preserve">(1) </w:t>
      </w:r>
      <w:r>
        <w:rPr>
          <w:sz w:val="24"/>
          <w:szCs w:val="24"/>
        </w:rPr>
        <w:t>Nu sunt considerate căi de evacuare în caz de incendiu:</w:t>
      </w:r>
    </w:p>
    <w:p w14:paraId="2C61C46F" w14:textId="77777777" w:rsidR="001C08A5" w:rsidRDefault="00000000">
      <w:pPr>
        <w:ind w:left="1440" w:firstLine="720"/>
        <w:jc w:val="both"/>
        <w:rPr>
          <w:b/>
          <w:sz w:val="24"/>
          <w:szCs w:val="24"/>
        </w:rPr>
      </w:pPr>
      <w:r>
        <w:rPr>
          <w:b/>
          <w:sz w:val="24"/>
          <w:szCs w:val="24"/>
        </w:rPr>
        <w:t>a)</w:t>
      </w:r>
      <w:r>
        <w:rPr>
          <w:sz w:val="24"/>
          <w:szCs w:val="24"/>
        </w:rPr>
        <w:t xml:space="preserve"> ascensoarele cu excepţia celor utilizate pentru evacuarea asistată, ușile glisante, ușile culisante neautomate sau care nu au asigurată și deschiderea obişnuită (pe balamale sau pivoţi), ușile ghilotină, ușile care se pot bloca în poziţie închisă datorită acţiunii incendiului, cortinele  care nu permit trecerea utilizatorilor, trecerile destinate garniturilor de tren care transportă încărcături periculoase (pasarele), galeriile și tunelurile prin care se transportă sau vehiculează substanţe cu risc de incendiu, explozie, intoxicare, asfixiere sau abur cu presiune mai mare de </w:t>
      </w:r>
      <w:r>
        <w:rPr>
          <w:b/>
          <w:sz w:val="24"/>
          <w:szCs w:val="24"/>
        </w:rPr>
        <w:t>1</w:t>
      </w:r>
      <w:r>
        <w:rPr>
          <w:sz w:val="24"/>
          <w:szCs w:val="24"/>
        </w:rPr>
        <w:t xml:space="preserve"> bar;</w:t>
      </w:r>
    </w:p>
    <w:p w14:paraId="3DB9A3BA" w14:textId="77777777" w:rsidR="001C08A5" w:rsidRDefault="00000000">
      <w:pPr>
        <w:ind w:left="1440" w:firstLine="720"/>
        <w:jc w:val="both"/>
        <w:rPr>
          <w:b/>
          <w:sz w:val="24"/>
          <w:szCs w:val="24"/>
        </w:rPr>
      </w:pPr>
      <w:r>
        <w:rPr>
          <w:b/>
          <w:sz w:val="24"/>
          <w:szCs w:val="24"/>
        </w:rPr>
        <w:lastRenderedPageBreak/>
        <w:t xml:space="preserve">b) </w:t>
      </w:r>
      <w:r>
        <w:rPr>
          <w:sz w:val="24"/>
          <w:szCs w:val="24"/>
        </w:rPr>
        <w:t>circulaţiile pe acoperişuri şi cele de pe terasele care nu au asigurate și marcate căile de evacuare sigure până la nivelul terenului și al căror planșeu nu îndeplinește condiția normată.</w:t>
      </w:r>
    </w:p>
    <w:p w14:paraId="15CAE267" w14:textId="77777777" w:rsidR="001C08A5" w:rsidRDefault="00000000">
      <w:pPr>
        <w:jc w:val="both"/>
        <w:rPr>
          <w:sz w:val="24"/>
          <w:szCs w:val="24"/>
        </w:rPr>
      </w:pPr>
      <w:r>
        <w:rPr>
          <w:b/>
          <w:sz w:val="24"/>
          <w:szCs w:val="24"/>
        </w:rPr>
        <w:tab/>
        <w:t xml:space="preserve">(2) </w:t>
      </w:r>
      <w:r>
        <w:rPr>
          <w:bCs/>
          <w:sz w:val="24"/>
          <w:szCs w:val="24"/>
        </w:rPr>
        <w:t xml:space="preserve">Ușile </w:t>
      </w:r>
      <w:r>
        <w:rPr>
          <w:sz w:val="24"/>
          <w:szCs w:val="24"/>
        </w:rPr>
        <w:t>încuiate în timpul funcţionării normale a construcţiei pot constitui a doua cale de evacuare a utilizatorilor unei porţiuni de construcţie sau a întregii clădiri, atunci când alcătuirea și dimensionarea lor corespund prevederilor normativului şi care pot fi descuiate prin dispozitivele de ieșire</w:t>
      </w:r>
      <w:r>
        <w:rPr>
          <w:sz w:val="24"/>
          <w:szCs w:val="24"/>
          <w:lang w:eastAsia="ro-RO"/>
        </w:rPr>
        <w:t xml:space="preserve"> (dispozitive de ieşire antipanică acţionate mecanic sau </w:t>
      </w:r>
      <w:r>
        <w:rPr>
          <w:rFonts w:eastAsia="sans-serif"/>
          <w:spacing w:val="1"/>
          <w:sz w:val="24"/>
          <w:szCs w:val="24"/>
        </w:rPr>
        <w:t>dispozitive pentru ieşiri de urgenţă acţionate mecanic conform prevederilor normate</w:t>
      </w:r>
      <w:r>
        <w:rPr>
          <w:sz w:val="24"/>
          <w:szCs w:val="24"/>
          <w:lang w:eastAsia="ro-RO"/>
        </w:rPr>
        <w:t>). De asemenea ușile care sunt închise</w:t>
      </w:r>
      <w:r>
        <w:rPr>
          <w:sz w:val="24"/>
          <w:szCs w:val="24"/>
        </w:rPr>
        <w:t xml:space="preserve"> cu sisteme </w:t>
      </w:r>
      <w:r>
        <w:rPr>
          <w:bCs/>
          <w:sz w:val="24"/>
          <w:szCs w:val="24"/>
        </w:rPr>
        <w:t>electromagnetice</w:t>
      </w:r>
      <w:r>
        <w:rPr>
          <w:sz w:val="24"/>
          <w:szCs w:val="24"/>
        </w:rPr>
        <w:t>, este obligatoriu să poată fi acţionate și din zona care se evacuează (precum și automat, din centrala de detecție semnalizare).</w:t>
      </w:r>
    </w:p>
    <w:p w14:paraId="235C3601" w14:textId="77777777" w:rsidR="001C08A5" w:rsidRDefault="00000000">
      <w:pPr>
        <w:ind w:firstLine="720"/>
        <w:jc w:val="both"/>
        <w:rPr>
          <w:bCs/>
          <w:i/>
          <w:iCs/>
          <w:sz w:val="24"/>
          <w:szCs w:val="24"/>
        </w:rPr>
      </w:pPr>
      <w:r>
        <w:rPr>
          <w:b/>
          <w:sz w:val="24"/>
          <w:szCs w:val="24"/>
        </w:rPr>
        <w:t>(3)</w:t>
      </w:r>
      <w:r>
        <w:rPr>
          <w:bCs/>
          <w:sz w:val="24"/>
          <w:szCs w:val="24"/>
        </w:rPr>
        <w:t xml:space="preserve"> Ușile de evacuare închise cu sisteme sau dispozitive electromagnetice sau cu contacte magnetice incluse de incuiere (uși prevazute cu “control access”) pot fi realizate astfel încât să poată fi deschise local (prin acționarea unui buton amplasat lângă ușă, în cutie cu geam care se poate sparge) și centralizat de la dispeceratul de securitate la incendiu (în clădirile în care acestea există) și automat prin centrala de semnalizare a incendiilor în caz de incendiu.</w:t>
      </w:r>
    </w:p>
    <w:p w14:paraId="23907AC3" w14:textId="77777777" w:rsidR="001C08A5" w:rsidRDefault="00000000">
      <w:pPr>
        <w:ind w:firstLine="720"/>
        <w:jc w:val="both"/>
        <w:rPr>
          <w:bCs/>
          <w:sz w:val="24"/>
          <w:szCs w:val="24"/>
          <w:lang w:eastAsia="en-US"/>
        </w:rPr>
      </w:pPr>
      <w:r>
        <w:rPr>
          <w:b/>
          <w:sz w:val="24"/>
          <w:szCs w:val="24"/>
        </w:rPr>
        <w:t xml:space="preserve">(4) </w:t>
      </w:r>
      <w:r>
        <w:rPr>
          <w:bCs/>
          <w:sz w:val="24"/>
          <w:szCs w:val="24"/>
          <w:lang w:eastAsia="en-US"/>
        </w:rPr>
        <w:t xml:space="preserve">Pentru mai puțin de </w:t>
      </w:r>
      <w:r>
        <w:rPr>
          <w:b/>
          <w:sz w:val="24"/>
          <w:szCs w:val="24"/>
          <w:lang w:eastAsia="en-US"/>
        </w:rPr>
        <w:t>5</w:t>
      </w:r>
      <w:r>
        <w:rPr>
          <w:bCs/>
          <w:sz w:val="24"/>
          <w:szCs w:val="24"/>
          <w:lang w:eastAsia="en-US"/>
        </w:rPr>
        <w:t xml:space="preserve"> utilizatori, în cazul în care se folosesc uși culisante, glisante, secționale, chepenguri, etc., acestea vor indeplini următoarele: dimensiunile libere ale chepengurilor trebuie sa fie minimum </w:t>
      </w:r>
      <w:r>
        <w:rPr>
          <w:b/>
          <w:sz w:val="24"/>
          <w:szCs w:val="24"/>
          <w:lang w:eastAsia="en-US"/>
        </w:rPr>
        <w:t>80 cm x 80 cm</w:t>
      </w:r>
      <w:r>
        <w:rPr>
          <w:bCs/>
          <w:sz w:val="24"/>
          <w:szCs w:val="24"/>
          <w:lang w:eastAsia="en-US"/>
        </w:rPr>
        <w:t>, cu dispozitive de deschidere manuală (care nu permit blocarea) prevăzute pe ambele părți ale acestuia, scări din oțel realizate conform normelor specifice; porți/uși secționale cu sisteme de culisare din oțel care au comandă manuală în cazul întreruperii alimentării cu energie electrică, uși culisante cu sisteme de culisare metalice, etc.</w:t>
      </w:r>
    </w:p>
    <w:p w14:paraId="78C25FBB" w14:textId="77777777" w:rsidR="001C08A5" w:rsidRDefault="001C08A5">
      <w:pPr>
        <w:ind w:firstLine="720"/>
        <w:jc w:val="both"/>
        <w:rPr>
          <w:b/>
          <w:sz w:val="24"/>
          <w:szCs w:val="24"/>
        </w:rPr>
      </w:pPr>
    </w:p>
    <w:p w14:paraId="53DF816B" w14:textId="77777777" w:rsidR="001C08A5" w:rsidRDefault="00000000">
      <w:pPr>
        <w:ind w:firstLine="720"/>
        <w:jc w:val="both"/>
        <w:rPr>
          <w:bCs/>
          <w:sz w:val="24"/>
          <w:szCs w:val="24"/>
          <w:lang w:eastAsia="en-US"/>
        </w:rPr>
      </w:pPr>
      <w:r>
        <w:rPr>
          <w:b/>
          <w:sz w:val="24"/>
          <w:szCs w:val="24"/>
        </w:rPr>
        <w:t xml:space="preserve">Art. 2.5.1.5. </w:t>
      </w:r>
      <w:r>
        <w:rPr>
          <w:sz w:val="24"/>
          <w:szCs w:val="24"/>
        </w:rPr>
        <w:t>Utilizarea draperiilor, perdelelor, cortinelor, etc. care pot întrerupe căile de evacuare, este interzisă. Pe căile de evacuare nu se admit uşi false sau placări cu oglinzi, cu exceptia grupurilor sanitare, în interiorul carora se pot prevedea oglinzi.</w:t>
      </w:r>
    </w:p>
    <w:p w14:paraId="4074C2B5" w14:textId="77777777" w:rsidR="001C08A5" w:rsidRDefault="00000000">
      <w:pPr>
        <w:jc w:val="both"/>
        <w:rPr>
          <w:b/>
          <w:sz w:val="24"/>
          <w:szCs w:val="24"/>
        </w:rPr>
      </w:pPr>
      <w:r>
        <w:rPr>
          <w:b/>
          <w:sz w:val="24"/>
          <w:szCs w:val="24"/>
        </w:rPr>
        <w:tab/>
      </w:r>
    </w:p>
    <w:p w14:paraId="5A5E759D" w14:textId="77777777" w:rsidR="001C08A5" w:rsidRDefault="00000000">
      <w:pPr>
        <w:ind w:firstLine="720"/>
        <w:jc w:val="both"/>
        <w:rPr>
          <w:b/>
          <w:sz w:val="24"/>
          <w:szCs w:val="24"/>
        </w:rPr>
      </w:pPr>
      <w:r>
        <w:rPr>
          <w:b/>
          <w:sz w:val="24"/>
          <w:szCs w:val="24"/>
        </w:rPr>
        <w:t xml:space="preserve">Art. 2.5.1.6. </w:t>
      </w:r>
      <w:r>
        <w:rPr>
          <w:sz w:val="24"/>
          <w:szCs w:val="24"/>
        </w:rPr>
        <w:t xml:space="preserve">Documentaţiile tehnice de proiectare ale construcţiilor vor avea marcate traseele căilor de evacuare ale utilizatorilor.      </w:t>
      </w:r>
    </w:p>
    <w:p w14:paraId="74D2FC65" w14:textId="77777777" w:rsidR="001C08A5" w:rsidRDefault="00000000">
      <w:pPr>
        <w:pStyle w:val="Heading4"/>
      </w:pPr>
      <w:bookmarkStart w:id="2058" w:name="_Toc11187"/>
      <w:bookmarkStart w:id="2059" w:name="_Toc11301"/>
      <w:bookmarkStart w:id="2060" w:name="_Toc10632"/>
      <w:bookmarkStart w:id="2061" w:name="_Toc27094"/>
      <w:bookmarkStart w:id="2062" w:name="_Toc10359"/>
      <w:bookmarkStart w:id="2063" w:name="_Toc7994"/>
      <w:bookmarkStart w:id="2064" w:name="_Toc162355251"/>
      <w:bookmarkStart w:id="2065" w:name="_Toc15187"/>
      <w:r>
        <w:t>2.5.2. Dispunere, alcătuire, finisaje</w:t>
      </w:r>
      <w:bookmarkEnd w:id="2058"/>
      <w:bookmarkEnd w:id="2059"/>
      <w:bookmarkEnd w:id="2060"/>
      <w:bookmarkEnd w:id="2061"/>
      <w:bookmarkEnd w:id="2062"/>
      <w:bookmarkEnd w:id="2063"/>
      <w:bookmarkEnd w:id="2064"/>
      <w:bookmarkEnd w:id="2065"/>
    </w:p>
    <w:p w14:paraId="5D29B244" w14:textId="77777777" w:rsidR="001C08A5" w:rsidRDefault="001C08A5">
      <w:pPr>
        <w:jc w:val="both"/>
        <w:rPr>
          <w:sz w:val="24"/>
          <w:szCs w:val="24"/>
        </w:rPr>
      </w:pPr>
    </w:p>
    <w:p w14:paraId="23A8B30C" w14:textId="77777777" w:rsidR="001C08A5" w:rsidRDefault="00000000">
      <w:pPr>
        <w:jc w:val="both"/>
        <w:rPr>
          <w:b/>
          <w:sz w:val="24"/>
          <w:szCs w:val="24"/>
        </w:rPr>
      </w:pPr>
      <w:r>
        <w:rPr>
          <w:b/>
          <w:sz w:val="24"/>
          <w:szCs w:val="24"/>
        </w:rPr>
        <w:tab/>
        <w:t>Art. 2.5.2.1. (1)</w:t>
      </w:r>
      <w:r>
        <w:rPr>
          <w:sz w:val="24"/>
          <w:szCs w:val="24"/>
        </w:rPr>
        <w:t xml:space="preserve"> Dispunerea, alcătuirea, finisajele şi numărul căilor de evacuare a utilizatorilor clădirilor se proiectează şi realizează în conformitate cu prevederile prezentului normativ, astfel încât să îndeplinească performanţele corespunzătoare tipului de construcţie, destinaţiei, riscului de incendiu şi nivelului de stabilitate la incendiu asigurat.</w:t>
      </w:r>
    </w:p>
    <w:p w14:paraId="19E98CC2" w14:textId="77777777" w:rsidR="001C08A5" w:rsidRDefault="00000000">
      <w:pPr>
        <w:ind w:firstLine="720"/>
        <w:jc w:val="both"/>
        <w:rPr>
          <w:sz w:val="24"/>
          <w:szCs w:val="24"/>
        </w:rPr>
      </w:pPr>
      <w:r>
        <w:rPr>
          <w:b/>
          <w:sz w:val="24"/>
          <w:szCs w:val="24"/>
        </w:rPr>
        <w:t>(2)</w:t>
      </w:r>
      <w:r>
        <w:rPr>
          <w:sz w:val="24"/>
          <w:szCs w:val="24"/>
        </w:rPr>
        <w:t xml:space="preserve"> Căile de evacuare ale utilizatorilor spaţiilor publice subterane trebuie să fie independente de cele ale nivelurilor supraterane cu altă destinaţie, iar comunicarea între acestea este admisă numai în condiţiile prevăzute în normativ.</w:t>
      </w:r>
    </w:p>
    <w:p w14:paraId="2FC9A733" w14:textId="77777777" w:rsidR="001C08A5" w:rsidRDefault="00000000">
      <w:pPr>
        <w:jc w:val="both"/>
        <w:rPr>
          <w:sz w:val="24"/>
          <w:szCs w:val="24"/>
          <w:lang w:eastAsia="zh-CN"/>
        </w:rPr>
      </w:pPr>
      <w:r>
        <w:rPr>
          <w:b/>
          <w:bCs/>
          <w:sz w:val="24"/>
          <w:szCs w:val="24"/>
          <w:lang w:eastAsia="zh-CN"/>
        </w:rPr>
        <w:tab/>
      </w:r>
      <w:r>
        <w:rPr>
          <w:b/>
          <w:sz w:val="24"/>
          <w:szCs w:val="24"/>
        </w:rPr>
        <w:t xml:space="preserve">(3) </w:t>
      </w:r>
      <w:r>
        <w:rPr>
          <w:sz w:val="24"/>
          <w:szCs w:val="24"/>
          <w:lang w:eastAsia="zh-CN"/>
        </w:rPr>
        <w:t>Căile de circulaţie funcţională și de evacuare a utilizatorilor nivelurilor subterane cu capacitatea maximă simultană mai mare de</w:t>
      </w:r>
      <w:r>
        <w:rPr>
          <w:b/>
          <w:bCs/>
          <w:sz w:val="24"/>
          <w:szCs w:val="24"/>
          <w:lang w:eastAsia="zh-CN"/>
        </w:rPr>
        <w:t xml:space="preserve"> 500</w:t>
      </w:r>
      <w:r>
        <w:rPr>
          <w:sz w:val="24"/>
          <w:szCs w:val="24"/>
          <w:lang w:eastAsia="zh-CN"/>
        </w:rPr>
        <w:t xml:space="preserve"> utilizatori pe nivel sau a încăperilor subterane cu capacitatea maximă simultană mai mare de </w:t>
      </w:r>
      <w:r>
        <w:rPr>
          <w:b/>
          <w:bCs/>
          <w:sz w:val="24"/>
          <w:szCs w:val="24"/>
          <w:lang w:eastAsia="zh-CN"/>
        </w:rPr>
        <w:t>150</w:t>
      </w:r>
      <w:r>
        <w:rPr>
          <w:sz w:val="24"/>
          <w:szCs w:val="24"/>
          <w:lang w:eastAsia="zh-CN"/>
        </w:rPr>
        <w:t xml:space="preserve"> utilizatori (cu excepția celor de parcare), vor fi independente de căile de evacuare ale nivelurilor supraterane cu altă destinaţie, iar comunicarea între acestea este admisă numai prin încăperi tampon protejate.</w:t>
      </w:r>
    </w:p>
    <w:p w14:paraId="66201642" w14:textId="77777777" w:rsidR="001C08A5" w:rsidRDefault="00000000">
      <w:pPr>
        <w:jc w:val="both"/>
        <w:rPr>
          <w:sz w:val="24"/>
          <w:szCs w:val="24"/>
          <w:lang w:eastAsia="zh-CN"/>
        </w:rPr>
      </w:pPr>
      <w:r>
        <w:rPr>
          <w:sz w:val="24"/>
          <w:szCs w:val="24"/>
          <w:lang w:eastAsia="zh-CN"/>
        </w:rPr>
        <w:tab/>
      </w:r>
      <w:r>
        <w:rPr>
          <w:b/>
          <w:bCs/>
          <w:sz w:val="24"/>
          <w:szCs w:val="24"/>
          <w:lang w:eastAsia="zh-CN"/>
        </w:rPr>
        <w:t>(4)</w:t>
      </w:r>
      <w:r>
        <w:rPr>
          <w:sz w:val="24"/>
          <w:szCs w:val="24"/>
          <w:lang w:eastAsia="zh-CN"/>
        </w:rPr>
        <w:t xml:space="preserve"> Pe căile de evacuare nu se admite depozitarea sau prevederea elementelor de mobilier.</w:t>
      </w:r>
    </w:p>
    <w:p w14:paraId="7802CDCC" w14:textId="77777777" w:rsidR="001C08A5" w:rsidRDefault="00000000">
      <w:pPr>
        <w:ind w:firstLine="709"/>
        <w:jc w:val="both"/>
        <w:rPr>
          <w:sz w:val="24"/>
          <w:szCs w:val="24"/>
          <w:lang w:eastAsia="zh-CN"/>
        </w:rPr>
      </w:pPr>
      <w:r>
        <w:rPr>
          <w:b/>
          <w:sz w:val="24"/>
          <w:szCs w:val="24"/>
        </w:rPr>
        <w:t xml:space="preserve">(5) </w:t>
      </w:r>
      <w:r>
        <w:rPr>
          <w:sz w:val="24"/>
          <w:szCs w:val="24"/>
          <w:lang w:eastAsia="zh-CN"/>
        </w:rPr>
        <w:t xml:space="preserve">Prin excepție de la alin. </w:t>
      </w:r>
      <w:r>
        <w:rPr>
          <w:b/>
          <w:bCs/>
          <w:sz w:val="24"/>
          <w:szCs w:val="24"/>
          <w:lang w:eastAsia="zh-CN"/>
        </w:rPr>
        <w:t>(4)</w:t>
      </w:r>
      <w:r>
        <w:rPr>
          <w:sz w:val="24"/>
          <w:szCs w:val="24"/>
          <w:lang w:eastAsia="zh-CN"/>
        </w:rPr>
        <w:t>, pe căile comune de evacuare orizontale (coridoare,holuri) se admite prevederea:</w:t>
      </w:r>
    </w:p>
    <w:p w14:paraId="1E9DF390" w14:textId="77777777" w:rsidR="001C08A5" w:rsidRDefault="00000000">
      <w:pPr>
        <w:ind w:left="1440" w:firstLine="709"/>
        <w:jc w:val="both"/>
        <w:rPr>
          <w:sz w:val="24"/>
          <w:szCs w:val="24"/>
          <w:lang w:eastAsia="zh-CN"/>
        </w:rPr>
      </w:pPr>
      <w:r>
        <w:rPr>
          <w:b/>
          <w:bCs/>
          <w:sz w:val="24"/>
          <w:szCs w:val="24"/>
          <w:lang w:eastAsia="zh-CN"/>
        </w:rPr>
        <w:t>a.</w:t>
      </w:r>
      <w:r>
        <w:rPr>
          <w:sz w:val="24"/>
          <w:szCs w:val="24"/>
          <w:lang w:eastAsia="zh-CN"/>
        </w:rPr>
        <w:t xml:space="preserve"> elementelor de mobiler fix, realizate din materiale incombustibile, cu respectarea gabaritelor minime necesare evacuării rezultate din calcul sau din prevederile specifice;</w:t>
      </w:r>
    </w:p>
    <w:p w14:paraId="2C9596E2" w14:textId="77777777" w:rsidR="001C08A5" w:rsidRDefault="00000000">
      <w:pPr>
        <w:ind w:left="1440" w:firstLine="709"/>
        <w:jc w:val="both"/>
        <w:rPr>
          <w:sz w:val="24"/>
          <w:szCs w:val="24"/>
          <w:lang w:eastAsia="zh-CN"/>
        </w:rPr>
      </w:pPr>
      <w:r>
        <w:rPr>
          <w:b/>
          <w:bCs/>
          <w:sz w:val="24"/>
          <w:szCs w:val="24"/>
          <w:lang w:eastAsia="zh-CN"/>
        </w:rPr>
        <w:t>b.</w:t>
      </w:r>
      <w:r>
        <w:rPr>
          <w:sz w:val="24"/>
          <w:szCs w:val="24"/>
          <w:lang w:eastAsia="zh-CN"/>
        </w:rPr>
        <w:t xml:space="preserve">elementelor de mobiler fix, realizate din materiale combustibile atunci când respectă clasele de reacție la foc specificate în </w:t>
      </w:r>
      <w:r>
        <w:rPr>
          <w:sz w:val="24"/>
          <w:szCs w:val="24"/>
        </w:rPr>
        <w:t xml:space="preserve">raport cu nivelurile de stabilitate la incendiu al construcției, </w:t>
      </w:r>
      <w:r>
        <w:rPr>
          <w:sz w:val="24"/>
          <w:szCs w:val="24"/>
          <w:lang w:eastAsia="zh-CN"/>
        </w:rPr>
        <w:t xml:space="preserve">în condițiile în care aportul caloric pe care aceste obiecte de mobilier îl aduc nu generează densitatea sarcinii termice mai mare de </w:t>
      </w:r>
      <w:r>
        <w:rPr>
          <w:b/>
          <w:bCs/>
          <w:sz w:val="24"/>
          <w:szCs w:val="24"/>
          <w:lang w:eastAsia="zh-CN"/>
        </w:rPr>
        <w:t>105 MJ/</w:t>
      </w:r>
      <w:r>
        <w:rPr>
          <w:b/>
          <w:sz w:val="24"/>
          <w:szCs w:val="24"/>
        </w:rPr>
        <w:t>m²</w:t>
      </w:r>
      <w:r>
        <w:rPr>
          <w:sz w:val="24"/>
          <w:szCs w:val="24"/>
          <w:lang w:eastAsia="zh-CN"/>
        </w:rPr>
        <w:t xml:space="preserve"> în </w:t>
      </w:r>
      <w:r>
        <w:rPr>
          <w:sz w:val="24"/>
          <w:szCs w:val="24"/>
          <w:lang w:eastAsia="zh-CN"/>
        </w:rPr>
        <w:lastRenderedPageBreak/>
        <w:t xml:space="preserve">incinta spațiului în care sunt amplasate </w:t>
      </w:r>
      <w:r>
        <w:rPr>
          <w:sz w:val="24"/>
          <w:szCs w:val="24"/>
        </w:rPr>
        <w:t xml:space="preserve">și cu obligativitatea </w:t>
      </w:r>
      <w:r>
        <w:rPr>
          <w:sz w:val="24"/>
          <w:szCs w:val="24"/>
          <w:lang w:eastAsia="zh-CN"/>
        </w:rPr>
        <w:t>amplasării acestora exclusiv în coridoare sau holuri (inclusiv lobby) ventilate în suprapresiune sau prevăzute cu admisie mecanică și evacuare mecanică de fum.</w:t>
      </w:r>
    </w:p>
    <w:p w14:paraId="01CA1F17" w14:textId="77777777" w:rsidR="001C08A5" w:rsidRDefault="00000000">
      <w:pPr>
        <w:ind w:firstLine="720"/>
        <w:jc w:val="both"/>
        <w:rPr>
          <w:sz w:val="24"/>
          <w:szCs w:val="24"/>
        </w:rPr>
      </w:pPr>
      <w:r>
        <w:rPr>
          <w:b/>
          <w:sz w:val="24"/>
          <w:szCs w:val="24"/>
        </w:rPr>
        <w:t xml:space="preserve">(6) </w:t>
      </w:r>
      <w:r>
        <w:rPr>
          <w:sz w:val="24"/>
          <w:szCs w:val="24"/>
        </w:rPr>
        <w:t xml:space="preserve">Obiectele de mobilier din materiale combustibile prevăzute la </w:t>
      </w:r>
      <w:r>
        <w:rPr>
          <w:b/>
          <w:bCs/>
          <w:sz w:val="24"/>
          <w:szCs w:val="24"/>
        </w:rPr>
        <w:t xml:space="preserve">alin. (5) lit. (b) </w:t>
      </w:r>
      <w:r>
        <w:rPr>
          <w:sz w:val="24"/>
          <w:szCs w:val="24"/>
        </w:rPr>
        <w:t>pot fi utilizate în raport cu nivelurile de stabilitate la incendiu astfel:</w:t>
      </w:r>
    </w:p>
    <w:p w14:paraId="421777AB" w14:textId="77777777" w:rsidR="001C08A5" w:rsidRDefault="00000000">
      <w:pPr>
        <w:ind w:left="1440" w:firstLine="720"/>
        <w:jc w:val="both"/>
        <w:rPr>
          <w:b/>
          <w:bCs/>
          <w:sz w:val="24"/>
          <w:szCs w:val="24"/>
        </w:rPr>
      </w:pPr>
      <w:r>
        <w:rPr>
          <w:sz w:val="24"/>
          <w:szCs w:val="24"/>
        </w:rPr>
        <w:t xml:space="preserve">- minimum clasa de reacție la foc </w:t>
      </w:r>
      <w:r>
        <w:rPr>
          <w:b/>
          <w:bCs/>
          <w:sz w:val="24"/>
          <w:szCs w:val="24"/>
        </w:rPr>
        <w:t>D-s2d0</w:t>
      </w:r>
      <w:r>
        <w:rPr>
          <w:sz w:val="24"/>
          <w:szCs w:val="24"/>
        </w:rPr>
        <w:t xml:space="preserve"> sau a căror finisaje îndeplinesc criteriile de performanță la foc minim </w:t>
      </w:r>
      <w:r>
        <w:rPr>
          <w:b/>
          <w:bCs/>
          <w:sz w:val="24"/>
          <w:szCs w:val="24"/>
        </w:rPr>
        <w:t>K</w:t>
      </w:r>
      <w:r>
        <w:rPr>
          <w:b/>
          <w:bCs/>
          <w:sz w:val="24"/>
          <w:szCs w:val="24"/>
          <w:vertAlign w:val="subscript"/>
        </w:rPr>
        <w:t>2</w:t>
      </w:r>
      <w:r>
        <w:rPr>
          <w:b/>
          <w:bCs/>
          <w:sz w:val="24"/>
          <w:szCs w:val="24"/>
        </w:rPr>
        <w:t xml:space="preserve">10 </w:t>
      </w:r>
      <w:r>
        <w:rPr>
          <w:sz w:val="24"/>
          <w:szCs w:val="24"/>
        </w:rPr>
        <w:t xml:space="preserve">(la niv. </w:t>
      </w:r>
      <w:r>
        <w:rPr>
          <w:b/>
          <w:bCs/>
          <w:sz w:val="24"/>
          <w:szCs w:val="24"/>
        </w:rPr>
        <w:t>IV</w:t>
      </w:r>
      <w:r>
        <w:rPr>
          <w:sz w:val="24"/>
          <w:szCs w:val="24"/>
        </w:rPr>
        <w:t xml:space="preserve"> și </w:t>
      </w:r>
      <w:r>
        <w:rPr>
          <w:b/>
          <w:bCs/>
          <w:sz w:val="24"/>
          <w:szCs w:val="24"/>
        </w:rPr>
        <w:t>V</w:t>
      </w:r>
      <w:r>
        <w:rPr>
          <w:sz w:val="24"/>
          <w:szCs w:val="24"/>
        </w:rPr>
        <w:t xml:space="preserve"> de stabilitate la incendiu);</w:t>
      </w:r>
    </w:p>
    <w:p w14:paraId="1956AB73" w14:textId="77777777" w:rsidR="001C08A5" w:rsidRDefault="00000000">
      <w:pPr>
        <w:ind w:left="1440" w:firstLine="720"/>
        <w:jc w:val="both"/>
        <w:rPr>
          <w:b/>
          <w:bCs/>
          <w:sz w:val="24"/>
          <w:szCs w:val="24"/>
        </w:rPr>
      </w:pPr>
      <w:r>
        <w:rPr>
          <w:sz w:val="24"/>
          <w:szCs w:val="24"/>
        </w:rPr>
        <w:t xml:space="preserve">- minimum clasa de reacție la foc </w:t>
      </w:r>
      <w:r>
        <w:rPr>
          <w:b/>
          <w:bCs/>
          <w:sz w:val="24"/>
          <w:szCs w:val="24"/>
        </w:rPr>
        <w:t>C-s2d0</w:t>
      </w:r>
      <w:r>
        <w:rPr>
          <w:sz w:val="24"/>
          <w:szCs w:val="24"/>
        </w:rPr>
        <w:t xml:space="preserve"> sau a căror finisaje îndeplinesc criteriile de performanță la foc minim </w:t>
      </w:r>
      <w:r>
        <w:rPr>
          <w:b/>
          <w:bCs/>
          <w:sz w:val="24"/>
          <w:szCs w:val="24"/>
        </w:rPr>
        <w:t>K</w:t>
      </w:r>
      <w:r>
        <w:rPr>
          <w:b/>
          <w:bCs/>
          <w:sz w:val="24"/>
          <w:szCs w:val="24"/>
          <w:vertAlign w:val="subscript"/>
        </w:rPr>
        <w:t>2</w:t>
      </w:r>
      <w:r>
        <w:rPr>
          <w:b/>
          <w:bCs/>
          <w:sz w:val="24"/>
          <w:szCs w:val="24"/>
        </w:rPr>
        <w:t xml:space="preserve">30 </w:t>
      </w:r>
      <w:r>
        <w:rPr>
          <w:sz w:val="24"/>
          <w:szCs w:val="24"/>
        </w:rPr>
        <w:t xml:space="preserve">(la niv. </w:t>
      </w:r>
      <w:r>
        <w:rPr>
          <w:b/>
          <w:bCs/>
          <w:sz w:val="24"/>
          <w:szCs w:val="24"/>
        </w:rPr>
        <w:t>III</w:t>
      </w:r>
      <w:r>
        <w:rPr>
          <w:sz w:val="24"/>
          <w:szCs w:val="24"/>
        </w:rPr>
        <w:t xml:space="preserve"> de stabilitate la incendiu);</w:t>
      </w:r>
    </w:p>
    <w:p w14:paraId="2CFC1A78" w14:textId="77777777" w:rsidR="001C08A5" w:rsidRDefault="00000000">
      <w:pPr>
        <w:ind w:left="1440" w:firstLine="720"/>
        <w:jc w:val="both"/>
        <w:rPr>
          <w:sz w:val="24"/>
          <w:szCs w:val="24"/>
        </w:rPr>
      </w:pPr>
      <w:r>
        <w:rPr>
          <w:sz w:val="24"/>
          <w:szCs w:val="24"/>
        </w:rPr>
        <w:t xml:space="preserve">- minimum clasa de reacție la foc </w:t>
      </w:r>
      <w:r>
        <w:rPr>
          <w:b/>
          <w:bCs/>
          <w:sz w:val="24"/>
          <w:szCs w:val="24"/>
        </w:rPr>
        <w:t>B-s1d0</w:t>
      </w:r>
      <w:r>
        <w:rPr>
          <w:sz w:val="24"/>
          <w:szCs w:val="24"/>
        </w:rPr>
        <w:t xml:space="preserve"> sau a căror finisaje îndeplinesc criteriile de performanță la foc minim </w:t>
      </w:r>
      <w:r>
        <w:rPr>
          <w:b/>
          <w:bCs/>
          <w:sz w:val="24"/>
          <w:szCs w:val="24"/>
        </w:rPr>
        <w:t>K</w:t>
      </w:r>
      <w:r>
        <w:rPr>
          <w:b/>
          <w:bCs/>
          <w:sz w:val="24"/>
          <w:szCs w:val="24"/>
          <w:vertAlign w:val="subscript"/>
        </w:rPr>
        <w:t>2</w:t>
      </w:r>
      <w:r>
        <w:rPr>
          <w:b/>
          <w:bCs/>
          <w:sz w:val="24"/>
          <w:szCs w:val="24"/>
        </w:rPr>
        <w:t xml:space="preserve">60 </w:t>
      </w:r>
      <w:r>
        <w:rPr>
          <w:sz w:val="24"/>
          <w:szCs w:val="24"/>
        </w:rPr>
        <w:t xml:space="preserve">(la niv. </w:t>
      </w:r>
      <w:r>
        <w:rPr>
          <w:b/>
          <w:bCs/>
          <w:sz w:val="24"/>
          <w:szCs w:val="24"/>
        </w:rPr>
        <w:t>II</w:t>
      </w:r>
      <w:r>
        <w:rPr>
          <w:sz w:val="24"/>
          <w:szCs w:val="24"/>
        </w:rPr>
        <w:t xml:space="preserve"> de stabilitate la incendiu).</w:t>
      </w:r>
    </w:p>
    <w:p w14:paraId="5E903034" w14:textId="77777777" w:rsidR="001C08A5" w:rsidRDefault="00000000">
      <w:pPr>
        <w:ind w:left="1440" w:firstLine="720"/>
        <w:jc w:val="both"/>
        <w:rPr>
          <w:sz w:val="24"/>
          <w:szCs w:val="24"/>
        </w:rPr>
      </w:pPr>
      <w:r>
        <w:rPr>
          <w:sz w:val="24"/>
          <w:szCs w:val="24"/>
        </w:rPr>
        <w:t xml:space="preserve">- nu se admit(la niv. </w:t>
      </w:r>
      <w:r>
        <w:rPr>
          <w:b/>
          <w:bCs/>
          <w:sz w:val="24"/>
          <w:szCs w:val="24"/>
        </w:rPr>
        <w:t>I</w:t>
      </w:r>
      <w:r>
        <w:rPr>
          <w:sz w:val="24"/>
          <w:szCs w:val="24"/>
        </w:rPr>
        <w:t xml:space="preserve"> de stabilitate la incendiu).</w:t>
      </w:r>
    </w:p>
    <w:p w14:paraId="5C962716" w14:textId="77777777" w:rsidR="001C08A5" w:rsidRDefault="00000000">
      <w:pPr>
        <w:ind w:firstLine="709"/>
        <w:jc w:val="both"/>
        <w:rPr>
          <w:sz w:val="24"/>
          <w:szCs w:val="24"/>
          <w:lang w:eastAsia="zh-CN"/>
        </w:rPr>
      </w:pPr>
      <w:r>
        <w:rPr>
          <w:b/>
          <w:bCs/>
          <w:sz w:val="24"/>
          <w:szCs w:val="24"/>
          <w:lang w:eastAsia="zh-CN"/>
        </w:rPr>
        <w:t>(7)</w:t>
      </w:r>
      <w:r>
        <w:rPr>
          <w:sz w:val="24"/>
          <w:szCs w:val="24"/>
          <w:lang w:eastAsia="zh-CN"/>
        </w:rPr>
        <w:t xml:space="preserve"> Nu se admite amplasarea nici unui obiect de mobilier (combustibil sau incombustibil) în incinta scărilor de evacuare, a degajamentelor protejate, a încăperilor tampon, a tunelurilor de evacuare, tamburi deschiși.</w:t>
      </w:r>
    </w:p>
    <w:p w14:paraId="07665BED" w14:textId="77777777" w:rsidR="001C08A5" w:rsidRDefault="001C08A5">
      <w:pPr>
        <w:rPr>
          <w:b/>
          <w:sz w:val="24"/>
          <w:szCs w:val="24"/>
        </w:rPr>
      </w:pPr>
    </w:p>
    <w:p w14:paraId="7CE139E8" w14:textId="77777777" w:rsidR="001C08A5" w:rsidRDefault="00000000">
      <w:pPr>
        <w:jc w:val="both"/>
        <w:rPr>
          <w:sz w:val="24"/>
          <w:szCs w:val="24"/>
        </w:rPr>
      </w:pPr>
      <w:r>
        <w:rPr>
          <w:b/>
          <w:sz w:val="24"/>
          <w:szCs w:val="24"/>
        </w:rPr>
        <w:tab/>
        <w:t>Art. 2.5.2.2. (1)</w:t>
      </w:r>
      <w:r>
        <w:rPr>
          <w:sz w:val="24"/>
          <w:szCs w:val="24"/>
        </w:rPr>
        <w:t xml:space="preserve"> Traseele căilor de evacuare ale utilizatorilor unei construcţii la care sunt obligatorii minimum două căi de evacuare în caz de incendiu, trebuie să fie distincte şi independente, astfel dispuse şi realizate încât să se asigure distribuţia lor judicioasă, recunoaşterea cu uşurinţă a traseului spre exterior și circulaţia utilizatorilor. </w:t>
      </w:r>
    </w:p>
    <w:p w14:paraId="67777CEE" w14:textId="77777777" w:rsidR="001C08A5" w:rsidRDefault="00000000">
      <w:pPr>
        <w:jc w:val="both"/>
        <w:rPr>
          <w:sz w:val="24"/>
          <w:szCs w:val="24"/>
        </w:rPr>
      </w:pPr>
      <w:r>
        <w:rPr>
          <w:sz w:val="24"/>
          <w:szCs w:val="24"/>
        </w:rPr>
        <w:tab/>
      </w:r>
      <w:r>
        <w:rPr>
          <w:b/>
          <w:sz w:val="24"/>
          <w:szCs w:val="24"/>
        </w:rPr>
        <w:t xml:space="preserve">(2) </w:t>
      </w:r>
      <w:r>
        <w:rPr>
          <w:sz w:val="24"/>
          <w:szCs w:val="24"/>
        </w:rPr>
        <w:t>Căile de evacuare ale utilizatorilor trebuie să fie prevăzute în număr corespunzător şi să conducă spre exteriorul construcţiei prin spaţii în care circulaţia nu poate fi blocată de flăcările, fumul, gazele nocive, radiaţiile termice etc., produse în timpul incendiului.</w:t>
      </w:r>
    </w:p>
    <w:p w14:paraId="6E0095D8" w14:textId="77777777" w:rsidR="001C08A5" w:rsidRDefault="00000000">
      <w:pPr>
        <w:jc w:val="both"/>
        <w:rPr>
          <w:sz w:val="24"/>
          <w:szCs w:val="24"/>
        </w:rPr>
      </w:pPr>
      <w:r>
        <w:rPr>
          <w:sz w:val="24"/>
          <w:szCs w:val="24"/>
        </w:rPr>
        <w:tab/>
      </w:r>
      <w:r>
        <w:rPr>
          <w:b/>
          <w:sz w:val="24"/>
          <w:szCs w:val="24"/>
        </w:rPr>
        <w:t>(3)</w:t>
      </w:r>
      <w:r>
        <w:rPr>
          <w:sz w:val="24"/>
          <w:szCs w:val="24"/>
        </w:rPr>
        <w:t xml:space="preserve"> Circulaţiile comune orizontale deschise spre atriumuri, galerii, platforme, pasarele, supante etc. alcătuite şi dimensionate corespunzător normativului, pot constitui căi de evacuare pentru utilizatorii aflaţi în încăperile adiacente atunci când lungimea căii de evacuare (măsurat în axul căilor de evacuare, de la uşa încăperii cea mai îndepărtată, dacă nu se depăşeşte lungimea de coridor înfundat în încăpere, până la cea mai apropiată scară de evacuare sau ieşire în exterior), nu depăşeşte valorile maximum admise în funcţie de nivelul de stabilitate la incendiu al construcţiei, destinaţiei, riscului de incendiu şi tipului de clădire.</w:t>
      </w:r>
    </w:p>
    <w:p w14:paraId="27816214" w14:textId="77777777" w:rsidR="001C08A5" w:rsidRDefault="001C08A5">
      <w:pPr>
        <w:jc w:val="both"/>
        <w:rPr>
          <w:b/>
          <w:sz w:val="24"/>
          <w:szCs w:val="24"/>
        </w:rPr>
      </w:pPr>
    </w:p>
    <w:p w14:paraId="299C4E3E" w14:textId="77777777" w:rsidR="001C08A5" w:rsidRDefault="00000000">
      <w:pPr>
        <w:jc w:val="both"/>
        <w:rPr>
          <w:b/>
          <w:sz w:val="24"/>
          <w:szCs w:val="24"/>
        </w:rPr>
      </w:pPr>
      <w:r>
        <w:rPr>
          <w:b/>
          <w:sz w:val="24"/>
          <w:szCs w:val="24"/>
        </w:rPr>
        <w:tab/>
        <w:t>Art. 2.5.2.3.</w:t>
      </w:r>
      <w:r>
        <w:rPr>
          <w:sz w:val="24"/>
          <w:szCs w:val="24"/>
        </w:rPr>
        <w:t xml:space="preserve"> Alcătuirea, gabaritele şi numărul căilor de evacuare, lungimea de evacuare, traseele prevăzute și numărul unităţilor de trecere (fluxuri) de evacuare asigurate, trebuie să îndeplinească condiţiile de circulaţie şi evacuare a utilizatorilor construcţiei, stabilite în normativ.</w:t>
      </w:r>
    </w:p>
    <w:p w14:paraId="6C72641B" w14:textId="77777777" w:rsidR="001C08A5" w:rsidRDefault="00000000">
      <w:pPr>
        <w:pStyle w:val="Heading4"/>
      </w:pPr>
      <w:bookmarkStart w:id="2066" w:name="_Toc8565"/>
      <w:bookmarkStart w:id="2067" w:name="_Toc8416"/>
      <w:bookmarkStart w:id="2068" w:name="_Toc4250"/>
      <w:bookmarkStart w:id="2069" w:name="_Toc22063"/>
      <w:bookmarkStart w:id="2070" w:name="_Toc19752"/>
      <w:bookmarkStart w:id="2071" w:name="_Toc25176"/>
      <w:bookmarkStart w:id="2072" w:name="_Toc162355252"/>
      <w:bookmarkStart w:id="2073" w:name="_Toc17059"/>
      <w:r>
        <w:t>2.5.3. Număr căi de evacuare</w:t>
      </w:r>
      <w:bookmarkEnd w:id="2066"/>
      <w:bookmarkEnd w:id="2067"/>
      <w:bookmarkEnd w:id="2068"/>
      <w:bookmarkEnd w:id="2069"/>
      <w:bookmarkEnd w:id="2070"/>
      <w:bookmarkEnd w:id="2071"/>
      <w:bookmarkEnd w:id="2072"/>
      <w:bookmarkEnd w:id="2073"/>
    </w:p>
    <w:p w14:paraId="7B7759DD" w14:textId="77777777" w:rsidR="001C08A5" w:rsidRDefault="001C08A5">
      <w:pPr>
        <w:rPr>
          <w:sz w:val="24"/>
          <w:szCs w:val="24"/>
        </w:rPr>
      </w:pPr>
    </w:p>
    <w:p w14:paraId="2CBF6F71" w14:textId="77777777" w:rsidR="001C08A5" w:rsidRDefault="00000000">
      <w:pPr>
        <w:jc w:val="both"/>
        <w:rPr>
          <w:sz w:val="24"/>
          <w:szCs w:val="24"/>
        </w:rPr>
      </w:pPr>
      <w:r>
        <w:rPr>
          <w:b/>
          <w:sz w:val="24"/>
          <w:szCs w:val="24"/>
        </w:rPr>
        <w:tab/>
        <w:t>Art. 2.5.3.1. (1)</w:t>
      </w:r>
      <w:r>
        <w:rPr>
          <w:sz w:val="24"/>
          <w:szCs w:val="24"/>
        </w:rPr>
        <w:t xml:space="preserve"> În construcţii, cu excepţiile precizate în normativ care vizează această prevedere, trebuie asigurate cel puţin două căi de evacuare distincte pentru utilizatori. Cele două căi de evacuare trebuie, cu excepţiile precizate în normativ, să conducă în direcţii opuse. Compartimentele de incendiu trebuie să dispună cel puțin de o cale de evacuare.</w:t>
      </w:r>
    </w:p>
    <w:p w14:paraId="47231B24" w14:textId="77777777" w:rsidR="001C08A5" w:rsidRDefault="00000000">
      <w:pPr>
        <w:ind w:firstLine="720"/>
        <w:jc w:val="both"/>
        <w:rPr>
          <w:sz w:val="24"/>
          <w:szCs w:val="24"/>
        </w:rPr>
      </w:pPr>
      <w:r>
        <w:rPr>
          <w:b/>
          <w:sz w:val="24"/>
          <w:szCs w:val="24"/>
        </w:rPr>
        <w:t xml:space="preserve">(2) </w:t>
      </w:r>
      <w:r>
        <w:rPr>
          <w:sz w:val="24"/>
          <w:szCs w:val="24"/>
        </w:rPr>
        <w:t>Asigurarea unei singure căi de evacuare pentru utilizatorii construcţiilor cu înălţimi obişnuite, este admisă atunci când:</w:t>
      </w:r>
    </w:p>
    <w:p w14:paraId="28D50CCC" w14:textId="77777777" w:rsidR="001C08A5" w:rsidRDefault="00000000">
      <w:pPr>
        <w:ind w:left="1440" w:firstLine="720"/>
        <w:jc w:val="both"/>
        <w:rPr>
          <w:b/>
          <w:sz w:val="24"/>
          <w:szCs w:val="24"/>
        </w:rPr>
      </w:pPr>
      <w:r>
        <w:rPr>
          <w:b/>
          <w:sz w:val="24"/>
          <w:szCs w:val="24"/>
        </w:rPr>
        <w:t>a)</w:t>
      </w:r>
      <w:r>
        <w:rPr>
          <w:sz w:val="24"/>
          <w:szCs w:val="24"/>
        </w:rPr>
        <w:t xml:space="preserve">  la fiecare nivel suprateran al construcţiei cu înălţime obişnuită se pot afla simultan maximum </w:t>
      </w:r>
      <w:r>
        <w:rPr>
          <w:b/>
          <w:bCs/>
          <w:sz w:val="24"/>
          <w:szCs w:val="24"/>
        </w:rPr>
        <w:t>10</w:t>
      </w:r>
      <w:r>
        <w:rPr>
          <w:sz w:val="24"/>
          <w:szCs w:val="24"/>
        </w:rPr>
        <w:t xml:space="preserve"> utilizatori, indiferent de lungimea căii de evacuare;</w:t>
      </w:r>
    </w:p>
    <w:p w14:paraId="1058A3FC" w14:textId="77777777" w:rsidR="001C08A5" w:rsidRDefault="00000000">
      <w:pPr>
        <w:ind w:left="1440" w:firstLine="720"/>
        <w:jc w:val="both"/>
        <w:rPr>
          <w:sz w:val="24"/>
          <w:szCs w:val="24"/>
        </w:rPr>
      </w:pPr>
      <w:r>
        <w:rPr>
          <w:b/>
          <w:sz w:val="24"/>
          <w:szCs w:val="24"/>
        </w:rPr>
        <w:t xml:space="preserve">b) </w:t>
      </w:r>
      <w:r>
        <w:rPr>
          <w:sz w:val="24"/>
          <w:szCs w:val="24"/>
        </w:rPr>
        <w:t xml:space="preserve">la fiecare nivel suprateran sau subteran al construcţiei cu înălţime obişnuită, numărul simultan de utilizatori este mai mare de </w:t>
      </w:r>
      <w:r>
        <w:rPr>
          <w:b/>
          <w:sz w:val="24"/>
          <w:szCs w:val="24"/>
        </w:rPr>
        <w:t>10</w:t>
      </w:r>
      <w:r>
        <w:rPr>
          <w:sz w:val="24"/>
          <w:szCs w:val="24"/>
        </w:rPr>
        <w:t xml:space="preserve"> și mai mic de </w:t>
      </w:r>
      <w:r>
        <w:rPr>
          <w:b/>
          <w:bCs/>
          <w:sz w:val="24"/>
          <w:szCs w:val="24"/>
        </w:rPr>
        <w:t>100</w:t>
      </w:r>
      <w:r>
        <w:rPr>
          <w:sz w:val="24"/>
          <w:szCs w:val="24"/>
        </w:rPr>
        <w:t xml:space="preserve"> de utilizatori și lungimea de evacuare asigurată se înscrie în valoarea admisă pentru evacuarea într-o singură direcţie (coridor înfundat), în funcţie de nivelul de stabilitate la incendiu, riscul de incendiu și funcțiune a clădirii.</w:t>
      </w:r>
    </w:p>
    <w:p w14:paraId="3397C507" w14:textId="77777777" w:rsidR="001C08A5" w:rsidRDefault="00000000">
      <w:pPr>
        <w:jc w:val="both"/>
        <w:rPr>
          <w:b/>
          <w:i/>
          <w:sz w:val="24"/>
          <w:szCs w:val="24"/>
        </w:rPr>
      </w:pPr>
      <w:r>
        <w:rPr>
          <w:sz w:val="24"/>
          <w:szCs w:val="24"/>
        </w:rPr>
        <w:tab/>
      </w:r>
      <w:r>
        <w:rPr>
          <w:b/>
          <w:sz w:val="24"/>
          <w:szCs w:val="24"/>
        </w:rPr>
        <w:t>(3)</w:t>
      </w:r>
      <w:r>
        <w:rPr>
          <w:sz w:val="24"/>
          <w:szCs w:val="24"/>
        </w:rPr>
        <w:t xml:space="preserve"> La clădirile supraterane înalte, foarte înalte și la cele cu săli aglomerate, la cele cu persoane care nu se pot evacua singure (definite conform terminologie) precum și în alte situaţii precizate în normativ, este obligatorie asigurarea a minimum două căi de evacuare a utilizatorilor, indiferent de </w:t>
      </w:r>
      <w:r>
        <w:rPr>
          <w:sz w:val="24"/>
          <w:szCs w:val="24"/>
        </w:rPr>
        <w:lastRenderedPageBreak/>
        <w:t>numărul utilizatorilor. Căile de evacuare asigurate vor respecta şi prevederile privind performanțele specifice clădirilor respective.</w:t>
      </w:r>
    </w:p>
    <w:p w14:paraId="606E6626" w14:textId="77777777" w:rsidR="001C08A5" w:rsidRDefault="00000000">
      <w:pPr>
        <w:ind w:firstLine="720"/>
        <w:rPr>
          <w:bCs/>
          <w:sz w:val="24"/>
          <w:szCs w:val="24"/>
        </w:rPr>
      </w:pPr>
      <w:r>
        <w:rPr>
          <w:b/>
          <w:sz w:val="24"/>
          <w:szCs w:val="24"/>
        </w:rPr>
        <w:t xml:space="preserve">(4) </w:t>
      </w:r>
      <w:r>
        <w:rPr>
          <w:bCs/>
          <w:sz w:val="24"/>
          <w:szCs w:val="24"/>
        </w:rPr>
        <w:t>La clădirile existente se vor respecta prevederile specifice acestora.</w:t>
      </w:r>
    </w:p>
    <w:p w14:paraId="06519A06" w14:textId="77777777" w:rsidR="001C08A5" w:rsidRDefault="00000000">
      <w:pPr>
        <w:pStyle w:val="Heading4"/>
      </w:pPr>
      <w:bookmarkStart w:id="2074" w:name="_Toc13454"/>
      <w:bookmarkStart w:id="2075" w:name="_Toc14507"/>
      <w:bookmarkStart w:id="2076" w:name="_Toc10893"/>
      <w:bookmarkStart w:id="2077" w:name="_Toc162355253"/>
      <w:bookmarkStart w:id="2078" w:name="_Toc25562"/>
      <w:bookmarkStart w:id="2079" w:name="_Toc18357"/>
      <w:bookmarkStart w:id="2080" w:name="_Toc18188"/>
      <w:bookmarkStart w:id="2081" w:name="_Toc24490"/>
      <w:r>
        <w:t>2.5.4. Alcătuirea și separarea căilor de circulaţie funcţională și de evacuare</w:t>
      </w:r>
      <w:bookmarkEnd w:id="2074"/>
      <w:bookmarkEnd w:id="2075"/>
      <w:bookmarkEnd w:id="2076"/>
      <w:bookmarkEnd w:id="2077"/>
      <w:bookmarkEnd w:id="2078"/>
      <w:bookmarkEnd w:id="2079"/>
      <w:bookmarkEnd w:id="2080"/>
      <w:bookmarkEnd w:id="2081"/>
    </w:p>
    <w:p w14:paraId="038E7FF8" w14:textId="77777777" w:rsidR="001C08A5" w:rsidRDefault="001C08A5">
      <w:pPr>
        <w:jc w:val="both"/>
        <w:rPr>
          <w:sz w:val="24"/>
          <w:szCs w:val="24"/>
        </w:rPr>
      </w:pPr>
    </w:p>
    <w:p w14:paraId="0CD011E2" w14:textId="77777777" w:rsidR="001C08A5" w:rsidRDefault="00000000">
      <w:pPr>
        <w:jc w:val="both"/>
        <w:rPr>
          <w:b/>
          <w:sz w:val="24"/>
          <w:szCs w:val="24"/>
        </w:rPr>
      </w:pPr>
      <w:r>
        <w:rPr>
          <w:b/>
          <w:sz w:val="24"/>
          <w:szCs w:val="24"/>
        </w:rPr>
        <w:tab/>
        <w:t>Art. 2.5.4.1.</w:t>
      </w:r>
      <w:r>
        <w:rPr>
          <w:b/>
          <w:sz w:val="24"/>
          <w:szCs w:val="24"/>
        </w:rPr>
        <w:tab/>
        <w:t>(1)</w:t>
      </w:r>
      <w:r>
        <w:rPr>
          <w:sz w:val="24"/>
          <w:szCs w:val="24"/>
        </w:rPr>
        <w:t xml:space="preserve"> Căile comune de circulaţie funcţională şi de evacuare a utilizatorilor construcţiei în caz de incendiu (încăperi, amenajări peisagere, coridoare, holuri, tuneluri, degajamente protejate, case de scări închise etc.), trebuie să fie sigure şi separate de restul construcţiei prin elemente rezistente la foc, potrivit prevederilor de la </w:t>
      </w:r>
      <w:r>
        <w:rPr>
          <w:b/>
          <w:sz w:val="24"/>
          <w:szCs w:val="24"/>
        </w:rPr>
        <w:t>Art.</w:t>
      </w:r>
      <w:r>
        <w:rPr>
          <w:sz w:val="24"/>
          <w:szCs w:val="24"/>
        </w:rPr>
        <w:t xml:space="preserve"> </w:t>
      </w:r>
      <w:r>
        <w:rPr>
          <w:b/>
          <w:sz w:val="24"/>
          <w:szCs w:val="24"/>
        </w:rPr>
        <w:t>2.4.2.2.</w:t>
      </w:r>
      <w:r>
        <w:rPr>
          <w:sz w:val="24"/>
          <w:szCs w:val="24"/>
        </w:rPr>
        <w:t xml:space="preserve"> până la </w:t>
      </w:r>
      <w:r>
        <w:rPr>
          <w:b/>
          <w:sz w:val="24"/>
          <w:szCs w:val="24"/>
        </w:rPr>
        <w:t>Art.</w:t>
      </w:r>
      <w:r>
        <w:rPr>
          <w:sz w:val="24"/>
          <w:szCs w:val="24"/>
        </w:rPr>
        <w:t xml:space="preserve"> </w:t>
      </w:r>
      <w:r>
        <w:rPr>
          <w:b/>
          <w:sz w:val="24"/>
          <w:szCs w:val="24"/>
        </w:rPr>
        <w:t xml:space="preserve">2.4.2.7. </w:t>
      </w:r>
      <w:r>
        <w:rPr>
          <w:sz w:val="24"/>
          <w:szCs w:val="24"/>
        </w:rPr>
        <w:t xml:space="preserve">pentru case de scări,  de la </w:t>
      </w:r>
      <w:r>
        <w:rPr>
          <w:b/>
          <w:sz w:val="24"/>
          <w:szCs w:val="24"/>
        </w:rPr>
        <w:t>Art.</w:t>
      </w:r>
      <w:r>
        <w:rPr>
          <w:sz w:val="24"/>
          <w:szCs w:val="24"/>
        </w:rPr>
        <w:t xml:space="preserve"> </w:t>
      </w:r>
      <w:r>
        <w:rPr>
          <w:b/>
          <w:sz w:val="24"/>
          <w:szCs w:val="24"/>
        </w:rPr>
        <w:t>2.4.3.1.</w:t>
      </w:r>
      <w:r>
        <w:rPr>
          <w:sz w:val="24"/>
          <w:szCs w:val="24"/>
        </w:rPr>
        <w:t xml:space="preserve"> până la </w:t>
      </w:r>
      <w:r>
        <w:rPr>
          <w:b/>
          <w:sz w:val="24"/>
          <w:szCs w:val="24"/>
        </w:rPr>
        <w:t>Art.</w:t>
      </w:r>
      <w:r>
        <w:rPr>
          <w:sz w:val="24"/>
          <w:szCs w:val="24"/>
        </w:rPr>
        <w:t xml:space="preserve"> </w:t>
      </w:r>
      <w:r>
        <w:rPr>
          <w:b/>
          <w:sz w:val="24"/>
          <w:szCs w:val="24"/>
        </w:rPr>
        <w:t>2.4.3.3.</w:t>
      </w:r>
      <w:r>
        <w:rPr>
          <w:sz w:val="24"/>
          <w:szCs w:val="24"/>
        </w:rPr>
        <w:t xml:space="preserve"> pentru circulaţii comune orizontale, precum și prevederilor privind performanțele specifice destinaţiei și tipului de clădiri.</w:t>
      </w:r>
    </w:p>
    <w:p w14:paraId="254AB4D7" w14:textId="77777777" w:rsidR="001C08A5" w:rsidRDefault="00000000">
      <w:pPr>
        <w:jc w:val="both"/>
        <w:rPr>
          <w:b/>
          <w:sz w:val="24"/>
          <w:szCs w:val="24"/>
        </w:rPr>
      </w:pPr>
      <w:r>
        <w:rPr>
          <w:b/>
          <w:sz w:val="24"/>
          <w:szCs w:val="24"/>
        </w:rPr>
        <w:tab/>
        <w:t xml:space="preserve">(2) </w:t>
      </w:r>
      <w:r>
        <w:rPr>
          <w:sz w:val="24"/>
          <w:szCs w:val="24"/>
        </w:rPr>
        <w:t>În construcţiile de producţie şi/sau depozitare, căile de evacuare vor respecta şi condiţiile corespunzătoare densităţii sarcinii termice din încăperile adiacente.</w:t>
      </w:r>
    </w:p>
    <w:p w14:paraId="3E085640" w14:textId="77777777" w:rsidR="001C08A5" w:rsidRDefault="00000000">
      <w:pPr>
        <w:pStyle w:val="Heading4"/>
      </w:pPr>
      <w:bookmarkStart w:id="2082" w:name="_Toc9908"/>
      <w:bookmarkStart w:id="2083" w:name="_Toc14076"/>
      <w:bookmarkStart w:id="2084" w:name="_Toc24588"/>
      <w:bookmarkStart w:id="2085" w:name="_Toc1795"/>
      <w:bookmarkStart w:id="2086" w:name="_Toc16957"/>
      <w:bookmarkStart w:id="2087" w:name="_Toc14350"/>
      <w:bookmarkStart w:id="2088" w:name="_Toc29169"/>
      <w:bookmarkStart w:id="2089" w:name="_Toc162355254"/>
      <w:r>
        <w:t>2.5.5. Uşi</w:t>
      </w:r>
      <w:bookmarkEnd w:id="2082"/>
      <w:bookmarkEnd w:id="2083"/>
      <w:bookmarkEnd w:id="2084"/>
      <w:bookmarkEnd w:id="2085"/>
      <w:bookmarkEnd w:id="2086"/>
      <w:bookmarkEnd w:id="2087"/>
      <w:bookmarkEnd w:id="2088"/>
      <w:bookmarkEnd w:id="2089"/>
    </w:p>
    <w:p w14:paraId="60E1AD4A" w14:textId="77777777" w:rsidR="001C08A5" w:rsidRDefault="001C08A5">
      <w:pPr>
        <w:jc w:val="both"/>
        <w:rPr>
          <w:sz w:val="24"/>
          <w:szCs w:val="24"/>
        </w:rPr>
      </w:pPr>
    </w:p>
    <w:p w14:paraId="4CC1DA21" w14:textId="77777777" w:rsidR="001C08A5" w:rsidRDefault="00000000">
      <w:pPr>
        <w:jc w:val="both"/>
        <w:rPr>
          <w:sz w:val="24"/>
          <w:szCs w:val="24"/>
        </w:rPr>
      </w:pPr>
      <w:r>
        <w:rPr>
          <w:b/>
          <w:sz w:val="24"/>
          <w:szCs w:val="24"/>
        </w:rPr>
        <w:tab/>
        <w:t>Art. 2.5.5.1.</w:t>
      </w:r>
      <w:r>
        <w:rPr>
          <w:b/>
          <w:sz w:val="24"/>
          <w:szCs w:val="24"/>
        </w:rPr>
        <w:tab/>
        <w:t>(1)</w:t>
      </w:r>
      <w:r>
        <w:rPr>
          <w:sz w:val="24"/>
          <w:szCs w:val="24"/>
        </w:rPr>
        <w:t xml:space="preserve"> Uşile folosite pe căile de evacuare ale utilizatorilor construcţiilor trebuie să fie cu deschidere de tip obişnuit, pe balamale sau pivoţi, sau alte tipuri de uși ce se pot folosi pentru evacuare, cu excepţia uşilor pentru maximum </w:t>
      </w:r>
      <w:r>
        <w:rPr>
          <w:b/>
          <w:sz w:val="24"/>
          <w:szCs w:val="24"/>
        </w:rPr>
        <w:t>5</w:t>
      </w:r>
      <w:r>
        <w:rPr>
          <w:sz w:val="24"/>
          <w:szCs w:val="24"/>
        </w:rPr>
        <w:t xml:space="preserve"> utilizatori. </w:t>
      </w:r>
    </w:p>
    <w:p w14:paraId="43DA138E" w14:textId="77777777" w:rsidR="001C08A5" w:rsidRDefault="00000000">
      <w:pPr>
        <w:jc w:val="both"/>
        <w:rPr>
          <w:sz w:val="24"/>
          <w:szCs w:val="24"/>
        </w:rPr>
      </w:pPr>
      <w:r>
        <w:rPr>
          <w:sz w:val="24"/>
          <w:szCs w:val="24"/>
        </w:rPr>
        <w:tab/>
      </w:r>
      <w:r>
        <w:rPr>
          <w:b/>
          <w:sz w:val="24"/>
          <w:szCs w:val="24"/>
        </w:rPr>
        <w:t>(2)</w:t>
      </w:r>
      <w:r>
        <w:rPr>
          <w:sz w:val="24"/>
          <w:szCs w:val="24"/>
        </w:rPr>
        <w:t xml:space="preserve"> Uşile turnante</w:t>
      </w:r>
      <w:r>
        <w:rPr>
          <w:rFonts w:eastAsia="ABBvoice-Regular"/>
          <w:bCs/>
          <w:sz w:val="24"/>
          <w:szCs w:val="24"/>
        </w:rPr>
        <w:t xml:space="preserve"> manuale, automate sau semiautomate (servoasistate) </w:t>
      </w:r>
      <w:r>
        <w:rPr>
          <w:sz w:val="24"/>
          <w:szCs w:val="24"/>
        </w:rPr>
        <w:t>pot fi folosite pe căile de evacuare a utilizatorilor numai dacă sunt prevăzute cu posibilitatea plierii uşoare a foilor de uşă și prin aceasta se asigură unităţile de trecere (lățimea liberă necesară evacuării fluxurilor) de evacuare rezultate din calcul. Atunci când ușile turnante nu îndeplinesc aceste condiții, în imediata lor apropiere se prevăd uşi cu deschidere de tip obişnuit, pe balamale sau pivoţi, care să asigure condiţiile normate de evacuare.</w:t>
      </w:r>
    </w:p>
    <w:p w14:paraId="202D1A2F" w14:textId="77777777" w:rsidR="001C08A5" w:rsidRDefault="00000000">
      <w:pPr>
        <w:pStyle w:val="BodyText"/>
        <w:ind w:firstLine="708"/>
        <w:rPr>
          <w:b w:val="0"/>
          <w:i w:val="0"/>
          <w:iCs/>
        </w:rPr>
      </w:pPr>
      <w:r>
        <w:rPr>
          <w:i w:val="0"/>
          <w:iCs/>
        </w:rPr>
        <w:tab/>
        <w:t xml:space="preserve">(3) </w:t>
      </w:r>
      <w:r>
        <w:rPr>
          <w:b w:val="0"/>
          <w:bCs w:val="0"/>
          <w:i w:val="0"/>
          <w:iCs/>
        </w:rPr>
        <w:t>Uşile</w:t>
      </w:r>
      <w:r>
        <w:rPr>
          <w:b w:val="0"/>
          <w:i w:val="0"/>
          <w:iCs/>
        </w:rPr>
        <w:t xml:space="preserve"> culisante automate pot fi folosite pe căile de evacuare dacă îndeplinesc următoarele condiţii: </w:t>
      </w:r>
    </w:p>
    <w:p w14:paraId="7D52509E" w14:textId="77777777" w:rsidR="001C08A5" w:rsidRDefault="00000000">
      <w:pPr>
        <w:pStyle w:val="BodyText"/>
        <w:ind w:left="1440" w:firstLine="720"/>
        <w:rPr>
          <w:b w:val="0"/>
          <w:i w:val="0"/>
          <w:iCs/>
        </w:rPr>
      </w:pPr>
      <w:r>
        <w:rPr>
          <w:i w:val="0"/>
          <w:iCs/>
        </w:rPr>
        <w:t>a)</w:t>
      </w:r>
      <w:r>
        <w:rPr>
          <w:b w:val="0"/>
          <w:i w:val="0"/>
          <w:iCs/>
        </w:rPr>
        <w:t xml:space="preserve"> în caz de defect, de întrerupere a alimentării cu energie electrică sau incendiu, ușile să se deschidă automat și  să rămână deschise; ușile pot fi deschise prin pivotare, pliere sau deschidere laterală (doar ușile culisante redundante), pe toată lăţimea normată pentru asigurarea unităţilor de trecere (fluxurilor) de evacuare rezultate din calcul;</w:t>
      </w:r>
    </w:p>
    <w:p w14:paraId="59EBAB8B" w14:textId="77777777" w:rsidR="001C08A5" w:rsidRDefault="00000000">
      <w:pPr>
        <w:pStyle w:val="BodyText"/>
        <w:ind w:left="1440" w:firstLine="720"/>
        <w:rPr>
          <w:b w:val="0"/>
          <w:i w:val="0"/>
          <w:iCs/>
        </w:rPr>
      </w:pPr>
      <w:r>
        <w:rPr>
          <w:i w:val="0"/>
          <w:iCs/>
        </w:rPr>
        <w:t>b)</w:t>
      </w:r>
      <w:r>
        <w:rPr>
          <w:b w:val="0"/>
          <w:i w:val="0"/>
          <w:iCs/>
        </w:rPr>
        <w:t xml:space="preserve"> deschiderea uşilor este asigurată și manual, prin împingere în sensul evacuării spre exterior sau prin deschidere laterală cu dispozitiv de energie mecanică intrinsecă. </w:t>
      </w:r>
    </w:p>
    <w:p w14:paraId="4120CDEF" w14:textId="77777777" w:rsidR="001C08A5" w:rsidRDefault="00000000">
      <w:pPr>
        <w:pStyle w:val="BodyText"/>
        <w:ind w:firstLine="720"/>
        <w:rPr>
          <w:b w:val="0"/>
          <w:i w:val="0"/>
          <w:iCs/>
        </w:rPr>
      </w:pPr>
      <w:r>
        <w:rPr>
          <w:i w:val="0"/>
          <w:iCs/>
        </w:rPr>
        <w:t xml:space="preserve">(4) </w:t>
      </w:r>
      <w:r>
        <w:rPr>
          <w:b w:val="0"/>
          <w:bCs w:val="0"/>
          <w:i w:val="0"/>
          <w:iCs/>
        </w:rPr>
        <w:t xml:space="preserve">Panourile culisant-pivotante de la ușile </w:t>
      </w:r>
      <w:r>
        <w:rPr>
          <w:b w:val="0"/>
          <w:bCs w:val="0"/>
          <w:i w:val="0"/>
          <w:lang w:eastAsia="ro-RO"/>
        </w:rPr>
        <w:t xml:space="preserve">culisante automate cu “break-out” </w:t>
      </w:r>
      <w:r>
        <w:rPr>
          <w:b w:val="0"/>
          <w:bCs w:val="0"/>
          <w:i w:val="0"/>
          <w:iCs/>
        </w:rPr>
        <w:t>trebuie amplasate astfel încât să nu existe posibilitatea situării într-o poziţie intermediară și nu existe spatiul necesar deschiderii prin pivotare. Se recomandă utilizarea uşilor culisant-pivotante compuse din două panouri cuplate.</w:t>
      </w:r>
    </w:p>
    <w:p w14:paraId="22892CE2" w14:textId="77777777" w:rsidR="001C08A5" w:rsidRDefault="001C08A5">
      <w:pPr>
        <w:pStyle w:val="BodyText"/>
        <w:ind w:left="720"/>
      </w:pPr>
    </w:p>
    <w:p w14:paraId="038B9287" w14:textId="77777777" w:rsidR="001C08A5" w:rsidRDefault="00000000">
      <w:pPr>
        <w:ind w:firstLine="360"/>
        <w:jc w:val="both"/>
        <w:rPr>
          <w:sz w:val="24"/>
          <w:szCs w:val="24"/>
        </w:rPr>
      </w:pPr>
      <w:r>
        <w:rPr>
          <w:b/>
          <w:sz w:val="24"/>
          <w:szCs w:val="24"/>
        </w:rPr>
        <w:tab/>
        <w:t xml:space="preserve">Art. 2.5.5.2. (1) </w:t>
      </w:r>
      <w:r>
        <w:rPr>
          <w:sz w:val="24"/>
          <w:szCs w:val="24"/>
        </w:rPr>
        <w:t xml:space="preserve">Deschiderea uşilor de evacuare cu deschidere normală, pe balamale sau pivoţi dispuse pe traseele de evacuare a mai mult de </w:t>
      </w:r>
      <w:r>
        <w:rPr>
          <w:b/>
          <w:sz w:val="24"/>
          <w:szCs w:val="24"/>
        </w:rPr>
        <w:t>30</w:t>
      </w:r>
      <w:r>
        <w:rPr>
          <w:sz w:val="24"/>
          <w:szCs w:val="24"/>
        </w:rPr>
        <w:t xml:space="preserve"> de utilizatori capabili să se evacueze singuri, trebuie să se facă în sensul deplasării acestora spre exterior.</w:t>
      </w:r>
    </w:p>
    <w:p w14:paraId="1C80EFE8" w14:textId="77777777" w:rsidR="001C08A5" w:rsidRDefault="00000000">
      <w:pPr>
        <w:jc w:val="both"/>
        <w:rPr>
          <w:sz w:val="24"/>
          <w:szCs w:val="24"/>
        </w:rPr>
      </w:pPr>
      <w:r>
        <w:rPr>
          <w:sz w:val="24"/>
          <w:szCs w:val="24"/>
        </w:rPr>
        <w:tab/>
      </w:r>
      <w:r>
        <w:rPr>
          <w:b/>
          <w:sz w:val="24"/>
          <w:szCs w:val="24"/>
        </w:rPr>
        <w:t xml:space="preserve">(2) </w:t>
      </w:r>
      <w:r>
        <w:rPr>
          <w:sz w:val="24"/>
          <w:szCs w:val="24"/>
        </w:rPr>
        <w:t>Prin deschidere, uşile de evacuare nu trebuie să se împiedice una de alta sau să reducă lăţimea normată a căilor de evacuare a utilizatorilor.</w:t>
      </w:r>
    </w:p>
    <w:p w14:paraId="198046DD" w14:textId="77777777" w:rsidR="001C08A5" w:rsidRDefault="00000000">
      <w:pPr>
        <w:jc w:val="both"/>
        <w:rPr>
          <w:sz w:val="24"/>
          <w:szCs w:val="24"/>
        </w:rPr>
      </w:pPr>
      <w:r>
        <w:rPr>
          <w:sz w:val="24"/>
          <w:szCs w:val="24"/>
        </w:rPr>
        <w:tab/>
      </w:r>
      <w:r>
        <w:rPr>
          <w:b/>
          <w:sz w:val="24"/>
          <w:szCs w:val="24"/>
        </w:rPr>
        <w:t>(3)</w:t>
      </w:r>
      <w:r>
        <w:rPr>
          <w:sz w:val="24"/>
          <w:szCs w:val="24"/>
        </w:rPr>
        <w:t xml:space="preserve"> În dreptul uşilor de evacuare pentru mai mult de </w:t>
      </w:r>
      <w:r>
        <w:rPr>
          <w:b/>
          <w:sz w:val="24"/>
          <w:szCs w:val="24"/>
        </w:rPr>
        <w:t>5</w:t>
      </w:r>
      <w:r>
        <w:rPr>
          <w:sz w:val="24"/>
          <w:szCs w:val="24"/>
        </w:rPr>
        <w:t xml:space="preserve"> utilizatori capabili să se evacueze singuri, nu se prevăd praguri cu înălţimea mai mare de </w:t>
      </w:r>
      <w:r>
        <w:rPr>
          <w:b/>
          <w:sz w:val="24"/>
          <w:szCs w:val="24"/>
        </w:rPr>
        <w:t xml:space="preserve">2,5 </w:t>
      </w:r>
      <w:r>
        <w:rPr>
          <w:bCs/>
          <w:sz w:val="24"/>
          <w:szCs w:val="24"/>
        </w:rPr>
        <w:t>cm</w:t>
      </w:r>
      <w:r>
        <w:rPr>
          <w:sz w:val="24"/>
          <w:szCs w:val="24"/>
        </w:rPr>
        <w:t xml:space="preserve">. Dacă sunt necesare praguri cu înălţimea mai mare, acestea se racordează prin pante la pardoseală. </w:t>
      </w:r>
    </w:p>
    <w:p w14:paraId="692B4CDF" w14:textId="77777777" w:rsidR="001C08A5" w:rsidRDefault="00000000">
      <w:pPr>
        <w:ind w:firstLine="708"/>
        <w:jc w:val="both"/>
        <w:rPr>
          <w:sz w:val="24"/>
          <w:szCs w:val="24"/>
        </w:rPr>
      </w:pPr>
      <w:r>
        <w:rPr>
          <w:sz w:val="24"/>
          <w:szCs w:val="24"/>
        </w:rPr>
        <w:tab/>
      </w:r>
      <w:r>
        <w:rPr>
          <w:b/>
          <w:sz w:val="24"/>
          <w:szCs w:val="24"/>
        </w:rPr>
        <w:t>(4)</w:t>
      </w:r>
      <w:r>
        <w:rPr>
          <w:sz w:val="24"/>
          <w:szCs w:val="24"/>
        </w:rPr>
        <w:t xml:space="preserve"> Ușile de evacuare a utilizatorilor, practicate în uşi cu dimensiuni mari (uşi de hangare, etc.), pot avea praguri cu înălţimea de maximum </w:t>
      </w:r>
      <w:r>
        <w:rPr>
          <w:b/>
          <w:sz w:val="24"/>
          <w:szCs w:val="24"/>
        </w:rPr>
        <w:t xml:space="preserve">25 </w:t>
      </w:r>
      <w:r>
        <w:rPr>
          <w:bCs/>
          <w:sz w:val="24"/>
          <w:szCs w:val="24"/>
        </w:rPr>
        <w:t>cm</w:t>
      </w:r>
      <w:r>
        <w:rPr>
          <w:sz w:val="24"/>
          <w:szCs w:val="24"/>
        </w:rPr>
        <w:t>.</w:t>
      </w:r>
    </w:p>
    <w:p w14:paraId="3D30F6E1" w14:textId="77777777" w:rsidR="001C08A5" w:rsidRDefault="00000000">
      <w:pPr>
        <w:ind w:firstLine="720"/>
        <w:jc w:val="both"/>
        <w:rPr>
          <w:bCs/>
          <w:sz w:val="24"/>
          <w:szCs w:val="24"/>
        </w:rPr>
      </w:pPr>
      <w:r>
        <w:rPr>
          <w:b/>
          <w:sz w:val="24"/>
          <w:szCs w:val="24"/>
        </w:rPr>
        <w:t>(5)</w:t>
      </w:r>
      <w:r>
        <w:rPr>
          <w:bCs/>
          <w:sz w:val="24"/>
          <w:szCs w:val="24"/>
        </w:rPr>
        <w:t xml:space="preserve"> Se admite evacuarea a mai mult de </w:t>
      </w:r>
      <w:r>
        <w:rPr>
          <w:b/>
          <w:sz w:val="24"/>
          <w:szCs w:val="24"/>
        </w:rPr>
        <w:t>5</w:t>
      </w:r>
      <w:r>
        <w:rPr>
          <w:bCs/>
          <w:sz w:val="24"/>
          <w:szCs w:val="24"/>
        </w:rPr>
        <w:t xml:space="preserve"> persoane prin uşi culisante în care sunt practicate uşi pietonale dacă se îndeplinesc următoarele condiţii simultane: </w:t>
      </w:r>
    </w:p>
    <w:p w14:paraId="1A7BF6D9" w14:textId="77777777" w:rsidR="001C08A5" w:rsidRDefault="00000000">
      <w:pPr>
        <w:ind w:left="1440" w:firstLine="720"/>
        <w:jc w:val="both"/>
        <w:rPr>
          <w:bCs/>
          <w:sz w:val="24"/>
          <w:szCs w:val="24"/>
        </w:rPr>
      </w:pPr>
      <w:r>
        <w:rPr>
          <w:bCs/>
          <w:sz w:val="24"/>
          <w:szCs w:val="24"/>
        </w:rPr>
        <w:lastRenderedPageBreak/>
        <w:t xml:space="preserve">- sistemul de ghidare al uşii culisante va fi amplasat în exteriorul spaţiului evacuat. Excepţie fac ușile exterioare la care se admite ca sistemul de ghidare să fie amplasat pe interiorul faţadei; </w:t>
      </w:r>
    </w:p>
    <w:p w14:paraId="20B9A5E5" w14:textId="77777777" w:rsidR="001C08A5" w:rsidRDefault="00000000">
      <w:pPr>
        <w:ind w:left="1440" w:firstLine="720"/>
        <w:jc w:val="both"/>
        <w:rPr>
          <w:sz w:val="24"/>
          <w:szCs w:val="24"/>
        </w:rPr>
      </w:pPr>
      <w:r>
        <w:rPr>
          <w:sz w:val="24"/>
          <w:szCs w:val="24"/>
        </w:rPr>
        <w:t xml:space="preserve">- sensul de deschidere al uşii pietonale va fi întotdeanua înspre spaţiul în care se face evacuarea și nici o dată înspre spaţiul evacuat pentru a nu se bloca la culisarea uşii principale. Excepţie fac ușile pietonale exterioare care se vor deschide astfel încât să nu se blocheze prin deschiderea uşilor </w:t>
      </w:r>
      <w:r>
        <w:rPr>
          <w:bCs/>
          <w:sz w:val="24"/>
          <w:szCs w:val="24"/>
        </w:rPr>
        <w:t>culisant</w:t>
      </w:r>
      <w:r>
        <w:rPr>
          <w:sz w:val="24"/>
          <w:szCs w:val="24"/>
        </w:rPr>
        <w:t xml:space="preserve">e. </w:t>
      </w:r>
    </w:p>
    <w:p w14:paraId="0D1E0B7A" w14:textId="77777777" w:rsidR="001C08A5" w:rsidRDefault="00000000">
      <w:pPr>
        <w:ind w:left="1440" w:firstLine="720"/>
        <w:jc w:val="both"/>
        <w:rPr>
          <w:sz w:val="24"/>
          <w:szCs w:val="24"/>
        </w:rPr>
      </w:pPr>
      <w:r>
        <w:rPr>
          <w:sz w:val="24"/>
          <w:szCs w:val="24"/>
        </w:rPr>
        <w:t xml:space="preserve">- ușile pietonale se amplasează la capatul opus sensului de închidere astfel încât indiferent în ce poziţie se poate bloca uşa </w:t>
      </w:r>
      <w:r>
        <w:rPr>
          <w:bCs/>
          <w:sz w:val="24"/>
          <w:szCs w:val="24"/>
        </w:rPr>
        <w:t>culisant</w:t>
      </w:r>
      <w:r>
        <w:rPr>
          <w:sz w:val="24"/>
          <w:szCs w:val="24"/>
        </w:rPr>
        <w:t xml:space="preserve">ă, golul rezultat între perete și uşa </w:t>
      </w:r>
      <w:r>
        <w:rPr>
          <w:bCs/>
          <w:sz w:val="24"/>
          <w:szCs w:val="24"/>
        </w:rPr>
        <w:t>culisant</w:t>
      </w:r>
      <w:r>
        <w:rPr>
          <w:sz w:val="24"/>
          <w:szCs w:val="24"/>
        </w:rPr>
        <w:t>ă va avea o lăţime mai mare sau egală cu cea minimum necesară pentru evacuarea utilizatorilor.</w:t>
      </w:r>
    </w:p>
    <w:p w14:paraId="54AAED28" w14:textId="77777777" w:rsidR="001C08A5" w:rsidRDefault="00000000">
      <w:pPr>
        <w:ind w:left="1440" w:firstLine="720"/>
        <w:jc w:val="both"/>
        <w:rPr>
          <w:sz w:val="24"/>
          <w:szCs w:val="24"/>
        </w:rPr>
      </w:pPr>
      <w:r>
        <w:rPr>
          <w:sz w:val="24"/>
          <w:szCs w:val="24"/>
        </w:rPr>
        <w:t xml:space="preserve">- pragul uşii pietonale va fi de maximum </w:t>
      </w:r>
      <w:r>
        <w:rPr>
          <w:b/>
          <w:bCs/>
          <w:sz w:val="24"/>
          <w:szCs w:val="24"/>
        </w:rPr>
        <w:t xml:space="preserve">25 </w:t>
      </w:r>
      <w:r>
        <w:rPr>
          <w:sz w:val="24"/>
          <w:szCs w:val="24"/>
        </w:rPr>
        <w:t>cm.</w:t>
      </w:r>
    </w:p>
    <w:p w14:paraId="3C590D52" w14:textId="77777777" w:rsidR="001C08A5" w:rsidRDefault="00000000">
      <w:pPr>
        <w:ind w:firstLine="720"/>
        <w:jc w:val="both"/>
        <w:rPr>
          <w:sz w:val="24"/>
          <w:szCs w:val="24"/>
        </w:rPr>
      </w:pPr>
      <w:r>
        <w:rPr>
          <w:b/>
          <w:bCs/>
          <w:sz w:val="24"/>
          <w:szCs w:val="24"/>
        </w:rPr>
        <w:t>(6)</w:t>
      </w:r>
      <w:r>
        <w:rPr>
          <w:sz w:val="24"/>
          <w:szCs w:val="24"/>
        </w:rPr>
        <w:t xml:space="preserve"> Se admite evacuarea a maxim </w:t>
      </w:r>
      <w:r>
        <w:rPr>
          <w:b/>
          <w:bCs/>
          <w:sz w:val="24"/>
          <w:szCs w:val="24"/>
        </w:rPr>
        <w:t>10</w:t>
      </w:r>
      <w:r>
        <w:rPr>
          <w:sz w:val="24"/>
          <w:szCs w:val="24"/>
        </w:rPr>
        <w:t xml:space="preserve"> persoane din spaţiile de producţie sau depozitare prin uşi secţionale (glisante) în care sunt practicate uşi pietonale. Pragul la uşa pietonală va fi de maxim </w:t>
      </w:r>
      <w:r>
        <w:rPr>
          <w:b/>
          <w:bCs/>
          <w:sz w:val="24"/>
          <w:szCs w:val="24"/>
        </w:rPr>
        <w:t xml:space="preserve">25 </w:t>
      </w:r>
      <w:r>
        <w:rPr>
          <w:sz w:val="24"/>
          <w:szCs w:val="24"/>
        </w:rPr>
        <w:t>cm.</w:t>
      </w:r>
    </w:p>
    <w:p w14:paraId="3F60CAF2" w14:textId="77777777" w:rsidR="001C08A5" w:rsidRDefault="00000000">
      <w:pPr>
        <w:jc w:val="both"/>
        <w:rPr>
          <w:sz w:val="24"/>
          <w:szCs w:val="24"/>
        </w:rPr>
      </w:pPr>
      <w:r>
        <w:rPr>
          <w:sz w:val="24"/>
          <w:szCs w:val="24"/>
        </w:rPr>
        <w:tab/>
      </w:r>
      <w:r>
        <w:rPr>
          <w:b/>
          <w:sz w:val="24"/>
          <w:szCs w:val="24"/>
        </w:rPr>
        <w:t>(7)</w:t>
      </w:r>
      <w:r>
        <w:rPr>
          <w:sz w:val="24"/>
          <w:szCs w:val="24"/>
        </w:rPr>
        <w:t xml:space="preserve"> Ușile încăperilor care debuşează în circulaţiile comune orizontale deschise spre atrium, se alcătuiesc şi echipează conform prevederilor normativului referitoare la comunicarea între spaţiile cu destinaţii diferite şi căile de evacuare prin atrium.</w:t>
      </w:r>
    </w:p>
    <w:p w14:paraId="7F567CAD" w14:textId="77777777" w:rsidR="001C08A5" w:rsidRDefault="00000000">
      <w:pPr>
        <w:jc w:val="both"/>
        <w:rPr>
          <w:sz w:val="24"/>
          <w:szCs w:val="24"/>
        </w:rPr>
      </w:pPr>
      <w:r>
        <w:rPr>
          <w:sz w:val="24"/>
          <w:szCs w:val="24"/>
        </w:rPr>
        <w:tab/>
      </w:r>
      <w:r>
        <w:rPr>
          <w:b/>
          <w:sz w:val="24"/>
          <w:szCs w:val="24"/>
        </w:rPr>
        <w:t xml:space="preserve">(8) </w:t>
      </w:r>
      <w:r>
        <w:rPr>
          <w:sz w:val="24"/>
          <w:szCs w:val="24"/>
        </w:rPr>
        <w:t>Deschiderea uşilor de la intrarea în clădirile de locuit supraterane cu înălţimi obişnuite, indiferent de numarul de utilizatori, se poate realiza spre interior.</w:t>
      </w:r>
    </w:p>
    <w:p w14:paraId="33FA0617" w14:textId="77777777" w:rsidR="001C08A5" w:rsidRDefault="00000000">
      <w:pPr>
        <w:tabs>
          <w:tab w:val="left" w:pos="1140"/>
        </w:tabs>
        <w:jc w:val="both"/>
        <w:rPr>
          <w:sz w:val="24"/>
          <w:szCs w:val="24"/>
        </w:rPr>
      </w:pPr>
      <w:r>
        <w:rPr>
          <w:b/>
          <w:bCs/>
          <w:sz w:val="24"/>
          <w:szCs w:val="24"/>
        </w:rPr>
        <w:tab/>
        <w:t xml:space="preserve">(9) </w:t>
      </w:r>
      <w:r>
        <w:rPr>
          <w:sz w:val="24"/>
          <w:szCs w:val="24"/>
        </w:rPr>
        <w:t>Montarea feroneriei pe ușile de evacuare, conform</w:t>
      </w:r>
      <w:r>
        <w:rPr>
          <w:b/>
          <w:bCs/>
          <w:sz w:val="24"/>
          <w:szCs w:val="24"/>
        </w:rPr>
        <w:t xml:space="preserve"> SR EN 1906</w:t>
      </w:r>
      <w:r>
        <w:rPr>
          <w:sz w:val="24"/>
          <w:szCs w:val="24"/>
        </w:rPr>
        <w:t>,</w:t>
      </w:r>
      <w:r>
        <w:rPr>
          <w:b/>
          <w:bCs/>
          <w:sz w:val="24"/>
          <w:szCs w:val="24"/>
        </w:rPr>
        <w:t xml:space="preserve"> SR EN 1125 </w:t>
      </w:r>
      <w:r>
        <w:rPr>
          <w:sz w:val="24"/>
          <w:szCs w:val="24"/>
        </w:rPr>
        <w:t>și</w:t>
      </w:r>
      <w:r>
        <w:rPr>
          <w:b/>
          <w:bCs/>
          <w:sz w:val="24"/>
          <w:szCs w:val="24"/>
        </w:rPr>
        <w:t xml:space="preserve"> SR EN 179</w:t>
      </w:r>
      <w:r>
        <w:rPr>
          <w:sz w:val="24"/>
          <w:szCs w:val="24"/>
        </w:rPr>
        <w:t xml:space="preserve">, nu trebuie să afecteze deplasarea prin golul de uşă, respectiv să îngusteze lățimea liberă necesară evacuării fluxurilor de evacuare rezultate din calcul. </w:t>
      </w:r>
    </w:p>
    <w:p w14:paraId="19C862F8" w14:textId="77777777" w:rsidR="001C08A5" w:rsidRDefault="001C08A5">
      <w:pPr>
        <w:jc w:val="both"/>
        <w:rPr>
          <w:b/>
          <w:sz w:val="24"/>
          <w:szCs w:val="24"/>
        </w:rPr>
      </w:pPr>
    </w:p>
    <w:p w14:paraId="378989EE" w14:textId="77777777" w:rsidR="001C08A5" w:rsidRDefault="00000000">
      <w:pPr>
        <w:ind w:firstLine="720"/>
        <w:jc w:val="both"/>
        <w:rPr>
          <w:sz w:val="24"/>
          <w:szCs w:val="24"/>
        </w:rPr>
      </w:pPr>
      <w:r>
        <w:rPr>
          <w:b/>
          <w:sz w:val="24"/>
          <w:szCs w:val="24"/>
        </w:rPr>
        <w:t xml:space="preserve">Art. 2.5.5.3. </w:t>
      </w:r>
      <w:r>
        <w:rPr>
          <w:b/>
          <w:bCs/>
          <w:sz w:val="24"/>
          <w:szCs w:val="24"/>
        </w:rPr>
        <w:t xml:space="preserve">(1) </w:t>
      </w:r>
      <w:r>
        <w:rPr>
          <w:sz w:val="24"/>
          <w:szCs w:val="24"/>
        </w:rPr>
        <w:t xml:space="preserve">Uşile de acces în casele de scări de evacuare închise, vor avea asigurate sisteme de autoînchidere </w:t>
      </w:r>
      <w:r>
        <w:rPr>
          <w:b/>
          <w:bCs/>
          <w:sz w:val="24"/>
          <w:szCs w:val="24"/>
        </w:rPr>
        <w:t>(C)</w:t>
      </w:r>
      <w:r>
        <w:rPr>
          <w:bCs/>
          <w:sz w:val="24"/>
          <w:szCs w:val="24"/>
        </w:rPr>
        <w:t>,</w:t>
      </w:r>
      <w:r>
        <w:rPr>
          <w:sz w:val="24"/>
          <w:szCs w:val="24"/>
        </w:rPr>
        <w:t xml:space="preserve"> cu excepţia uşilor de acces din apartamentele de locuit, iar ușile rezistente la foc se prevăd cu sisteme de autoînchidere </w:t>
      </w:r>
      <w:r>
        <w:rPr>
          <w:b/>
          <w:bCs/>
          <w:sz w:val="24"/>
          <w:szCs w:val="24"/>
        </w:rPr>
        <w:t>(C)</w:t>
      </w:r>
      <w:r>
        <w:rPr>
          <w:sz w:val="24"/>
          <w:szCs w:val="24"/>
        </w:rPr>
        <w:t xml:space="preserve"> sau, după caz, cu închidere automată în caz de incendiu.</w:t>
      </w:r>
    </w:p>
    <w:p w14:paraId="327D2E07" w14:textId="77777777" w:rsidR="001C08A5" w:rsidRDefault="00000000">
      <w:pPr>
        <w:ind w:firstLine="720"/>
        <w:jc w:val="both"/>
        <w:rPr>
          <w:sz w:val="24"/>
          <w:szCs w:val="24"/>
        </w:rPr>
      </w:pPr>
      <w:r>
        <w:rPr>
          <w:b/>
          <w:bCs/>
          <w:sz w:val="24"/>
          <w:szCs w:val="24"/>
        </w:rPr>
        <w:t xml:space="preserve">(2) </w:t>
      </w:r>
      <w:r>
        <w:rPr>
          <w:sz w:val="24"/>
          <w:szCs w:val="24"/>
        </w:rPr>
        <w:t xml:space="preserve">Uşile de acces în/ din spatiile prevazute cu suprapresiune, vor fi echipate sisteme/ dispozitive de autoînchidere </w:t>
      </w:r>
      <w:r>
        <w:rPr>
          <w:b/>
          <w:bCs/>
          <w:sz w:val="24"/>
          <w:szCs w:val="24"/>
        </w:rPr>
        <w:t xml:space="preserve">(C) </w:t>
      </w:r>
    </w:p>
    <w:p w14:paraId="075B8FB9" w14:textId="77777777" w:rsidR="001C08A5" w:rsidRDefault="001C08A5">
      <w:pPr>
        <w:pStyle w:val="BodyText"/>
        <w:ind w:firstLine="720"/>
      </w:pPr>
    </w:p>
    <w:p w14:paraId="5EA56321" w14:textId="77777777" w:rsidR="001C08A5" w:rsidRDefault="00000000">
      <w:pPr>
        <w:pStyle w:val="BodyText"/>
        <w:widowControl w:val="0"/>
        <w:ind w:firstLine="720"/>
        <w:rPr>
          <w:b w:val="0"/>
        </w:rPr>
      </w:pPr>
      <w:r>
        <w:rPr>
          <w:i w:val="0"/>
          <w:iCs/>
        </w:rPr>
        <w:t xml:space="preserve">Art. 2.5.5.4. (1) </w:t>
      </w:r>
      <w:r>
        <w:rPr>
          <w:b w:val="0"/>
          <w:i w:val="0"/>
          <w:iCs/>
        </w:rPr>
        <w:t>Pe căile de evacuare a ut</w:t>
      </w:r>
      <w:r>
        <w:rPr>
          <w:b w:val="0"/>
          <w:i w:val="0"/>
        </w:rPr>
        <w:t>ilizatorilor pot fi prevăzute turnichete (fără proeminenţe la nivelul pardoselii) care au sisteme automate de pivotare și asigură lăţimi corespunzătoare unităţilor de trecere (fluxurilor) de evacuare, iar atunci când nu indeplinesc aceste condiţii, în imediata lor apropiere se prevăd circulaţii (porți) sau uşi cu deschidere</w:t>
      </w:r>
      <w:r>
        <w:rPr>
          <w:b w:val="0"/>
          <w:i w:val="0"/>
          <w:iCs/>
        </w:rPr>
        <w:t>de tip obişnuit pe balamale sau pivoţi, care să asigure trecerea unităţilor (fluxurilor) de evacuare rezultate din calcul. Suma fluxurilor independente rezultate din lăţimilor  turnichetelor care au sisteme automate de pivotare trebuie să fie cel puțin egală cu suma fluxurilor necesare care debuşează înaintea turnichetelor.</w:t>
      </w:r>
    </w:p>
    <w:p w14:paraId="09D8C84D" w14:textId="77777777" w:rsidR="001C08A5" w:rsidRDefault="00000000">
      <w:pPr>
        <w:ind w:firstLine="720"/>
        <w:jc w:val="both"/>
        <w:rPr>
          <w:bCs/>
          <w:sz w:val="24"/>
          <w:szCs w:val="24"/>
          <w:lang w:eastAsia="en-US"/>
        </w:rPr>
      </w:pPr>
      <w:r>
        <w:rPr>
          <w:b/>
          <w:sz w:val="24"/>
          <w:szCs w:val="24"/>
        </w:rPr>
        <w:t>(2)</w:t>
      </w:r>
      <w:r>
        <w:rPr>
          <w:bCs/>
          <w:sz w:val="24"/>
          <w:szCs w:val="24"/>
        </w:rPr>
        <w:t xml:space="preserve"> Portile din zona </w:t>
      </w:r>
      <w:r>
        <w:rPr>
          <w:sz w:val="24"/>
          <w:szCs w:val="24"/>
        </w:rPr>
        <w:t xml:space="preserve"> turnichetelor</w:t>
      </w:r>
      <w:r>
        <w:rPr>
          <w:bCs/>
          <w:sz w:val="24"/>
          <w:szCs w:val="24"/>
        </w:rPr>
        <w:t xml:space="preserve"> se realizeaza astfel încît să poată fi deschise manual (prin actionarea unui buton amplasat lângă acestea, în cutie cu geam care să se poata sparge) și automat prin centrala de semnalizare a incendiilor în caz de incendiu. Deschiderea ușilor se poate face selectiv din recepție, dar și centralizat de la dispeceratul de securitate la incendiu (în clădirile în care acestea este prevăzut).</w:t>
      </w:r>
    </w:p>
    <w:p w14:paraId="5C88E73F" w14:textId="77777777" w:rsidR="001C08A5" w:rsidRDefault="001C08A5">
      <w:pPr>
        <w:jc w:val="both"/>
        <w:rPr>
          <w:sz w:val="24"/>
          <w:szCs w:val="24"/>
        </w:rPr>
      </w:pPr>
    </w:p>
    <w:p w14:paraId="0B1C3B59" w14:textId="77777777" w:rsidR="001C08A5" w:rsidRDefault="00000000">
      <w:pPr>
        <w:ind w:firstLine="720"/>
        <w:jc w:val="both"/>
        <w:rPr>
          <w:sz w:val="24"/>
          <w:szCs w:val="24"/>
        </w:rPr>
      </w:pPr>
      <w:r>
        <w:rPr>
          <w:b/>
          <w:sz w:val="24"/>
          <w:szCs w:val="24"/>
        </w:rPr>
        <w:t>Art. 2.5.5.5.</w:t>
      </w:r>
      <w:r>
        <w:rPr>
          <w:b/>
          <w:bCs/>
          <w:sz w:val="24"/>
          <w:szCs w:val="24"/>
        </w:rPr>
        <w:t xml:space="preserve">(1) </w:t>
      </w:r>
      <w:r>
        <w:rPr>
          <w:sz w:val="24"/>
          <w:szCs w:val="24"/>
        </w:rPr>
        <w:t xml:space="preserve">Ușile prin care se asigură evacuarea utilizatorilor în caz de incendiu la nivelul terenului sau al unei suprafeţe carosabile dar neutilizate în circulaţia funcţională curentă, precum și ale construcțiilor cu mai mult de </w:t>
      </w:r>
      <w:r>
        <w:rPr>
          <w:b/>
          <w:bCs/>
          <w:sz w:val="24"/>
          <w:szCs w:val="24"/>
        </w:rPr>
        <w:t>500</w:t>
      </w:r>
      <w:r>
        <w:rPr>
          <w:sz w:val="24"/>
          <w:szCs w:val="24"/>
        </w:rPr>
        <w:t xml:space="preserve"> de utilizatori pe nivel se prevăd cu sisteme de deschidere automată în caz de incendiu și cu bare antipanică. </w:t>
      </w:r>
    </w:p>
    <w:p w14:paraId="551D888B" w14:textId="77777777" w:rsidR="001C08A5" w:rsidRDefault="00000000">
      <w:pPr>
        <w:ind w:firstLine="720"/>
        <w:jc w:val="both"/>
        <w:rPr>
          <w:sz w:val="24"/>
          <w:szCs w:val="24"/>
        </w:rPr>
      </w:pPr>
      <w:r>
        <w:rPr>
          <w:b/>
          <w:bCs/>
          <w:sz w:val="24"/>
          <w:szCs w:val="24"/>
        </w:rPr>
        <w:t xml:space="preserve">(2) </w:t>
      </w:r>
      <w:r>
        <w:rPr>
          <w:sz w:val="24"/>
          <w:szCs w:val="24"/>
        </w:rPr>
        <w:t xml:space="preserve">Ușile prin care se asigură evacuarea utilizatorilor în caz de incendiu la nivelul terenului sau al unei suprafeţe carosabile, precum și ușile de pe traseele de evacuare ale acestora din clădirile înalte, foarte înalte și cu săli aglomerate, se prevăd cu sisteme de deschidere automată în caz de incendiu și cu bare antipanică. </w:t>
      </w:r>
    </w:p>
    <w:p w14:paraId="690C13B6" w14:textId="77777777" w:rsidR="001C08A5" w:rsidRDefault="001C08A5">
      <w:pPr>
        <w:rPr>
          <w:sz w:val="24"/>
          <w:szCs w:val="24"/>
        </w:rPr>
      </w:pPr>
    </w:p>
    <w:p w14:paraId="0F5D1772" w14:textId="77777777" w:rsidR="001C08A5" w:rsidRDefault="00000000">
      <w:pPr>
        <w:ind w:firstLine="720"/>
        <w:jc w:val="both"/>
        <w:rPr>
          <w:sz w:val="24"/>
          <w:szCs w:val="24"/>
        </w:rPr>
      </w:pPr>
      <w:r>
        <w:rPr>
          <w:b/>
          <w:bCs/>
          <w:sz w:val="24"/>
          <w:szCs w:val="24"/>
        </w:rPr>
        <w:t xml:space="preserve">Art. 2.5.5.6. </w:t>
      </w:r>
      <w:r>
        <w:rPr>
          <w:bCs/>
          <w:sz w:val="24"/>
          <w:szCs w:val="24"/>
        </w:rPr>
        <w:t xml:space="preserve">Se recomandă ca în </w:t>
      </w:r>
      <w:r>
        <w:rPr>
          <w:sz w:val="24"/>
          <w:szCs w:val="24"/>
        </w:rPr>
        <w:t xml:space="preserve">proximitatea uşii de acces şi evacuare care este ultima zonă de pe traseul de evacuare a persoanelor (dintr-o construcţie sau compartiment de incendiu) aflata în exterior, respectiv în imediata apropiere a uşii finale de evacuare unde, încă, se pot manifesta efectele incendiului, să se realizeze copertine de protecție. </w:t>
      </w:r>
    </w:p>
    <w:p w14:paraId="01591A3A" w14:textId="77777777" w:rsidR="001C08A5" w:rsidRDefault="00000000">
      <w:pPr>
        <w:ind w:firstLine="720"/>
        <w:jc w:val="both"/>
        <w:rPr>
          <w:sz w:val="24"/>
          <w:szCs w:val="24"/>
        </w:rPr>
      </w:pPr>
      <w:r>
        <w:rPr>
          <w:b/>
          <w:bCs/>
          <w:sz w:val="24"/>
          <w:szCs w:val="24"/>
        </w:rPr>
        <w:t>(2)</w:t>
      </w:r>
      <w:r>
        <w:rPr>
          <w:sz w:val="24"/>
          <w:szCs w:val="24"/>
        </w:rPr>
        <w:t xml:space="preserve"> În toate situațiile, ușa de acces şi evacuare se va proteja cu o copertină care rezistă la acţiune mecanică executată din materiale incombustibile, clasa </w:t>
      </w:r>
      <w:r>
        <w:rPr>
          <w:b/>
          <w:bCs/>
          <w:sz w:val="24"/>
          <w:szCs w:val="24"/>
        </w:rPr>
        <w:t>A1, A2 s1,d0</w:t>
      </w:r>
      <w:r>
        <w:rPr>
          <w:sz w:val="24"/>
          <w:szCs w:val="24"/>
        </w:rPr>
        <w:t xml:space="preserve">, cu rezistenţă la foc </w:t>
      </w:r>
      <w:r>
        <w:rPr>
          <w:b/>
          <w:bCs/>
          <w:sz w:val="24"/>
          <w:szCs w:val="24"/>
        </w:rPr>
        <w:t>R 15</w:t>
      </w:r>
      <w:r>
        <w:rPr>
          <w:sz w:val="24"/>
          <w:szCs w:val="24"/>
        </w:rPr>
        <w:t xml:space="preserve"> recomandabil pentru funcţiuni administrative, cultură, cult şi învăţăm</w:t>
      </w:r>
      <w:r>
        <w:rPr>
          <w:bCs/>
          <w:sz w:val="24"/>
          <w:szCs w:val="24"/>
        </w:rPr>
        <w:t>â</w:t>
      </w:r>
      <w:r>
        <w:rPr>
          <w:sz w:val="24"/>
          <w:szCs w:val="24"/>
        </w:rPr>
        <w:t xml:space="preserve">nt, respectiv </w:t>
      </w:r>
      <w:r>
        <w:rPr>
          <w:b/>
          <w:bCs/>
          <w:sz w:val="24"/>
          <w:szCs w:val="24"/>
        </w:rPr>
        <w:t>R 30</w:t>
      </w:r>
      <w:r>
        <w:rPr>
          <w:sz w:val="24"/>
          <w:szCs w:val="24"/>
        </w:rPr>
        <w:t xml:space="preserve"> pentru funcţiuni de tip sănătate, turism, săli aglomerate, clădiri înalte și foarte înalte.</w:t>
      </w:r>
    </w:p>
    <w:p w14:paraId="524FE42F" w14:textId="77777777" w:rsidR="001C08A5" w:rsidRDefault="00000000">
      <w:pPr>
        <w:ind w:firstLine="720"/>
        <w:jc w:val="both"/>
        <w:rPr>
          <w:sz w:val="24"/>
          <w:szCs w:val="24"/>
        </w:rPr>
      </w:pPr>
      <w:r>
        <w:rPr>
          <w:b/>
          <w:bCs/>
          <w:sz w:val="24"/>
          <w:szCs w:val="24"/>
        </w:rPr>
        <w:t>(3)</w:t>
      </w:r>
      <w:r>
        <w:rPr>
          <w:sz w:val="24"/>
          <w:szCs w:val="24"/>
        </w:rPr>
        <w:t xml:space="preserve"> Protejarea utilizatorilor în situația curților interioare cu lațimi mai mari de </w:t>
      </w:r>
      <w:r>
        <w:rPr>
          <w:b/>
          <w:bCs/>
          <w:sz w:val="24"/>
          <w:szCs w:val="24"/>
        </w:rPr>
        <w:t>3,50 m</w:t>
      </w:r>
      <w:r>
        <w:rPr>
          <w:sz w:val="24"/>
          <w:szCs w:val="24"/>
        </w:rPr>
        <w:t>, se realizează astfel:</w:t>
      </w:r>
    </w:p>
    <w:p w14:paraId="5DF1B2FE" w14:textId="77777777" w:rsidR="001C08A5" w:rsidRDefault="00000000">
      <w:pPr>
        <w:ind w:left="720"/>
        <w:jc w:val="both"/>
        <w:rPr>
          <w:sz w:val="24"/>
          <w:szCs w:val="24"/>
        </w:rPr>
      </w:pPr>
      <w:r>
        <w:rPr>
          <w:sz w:val="24"/>
          <w:szCs w:val="24"/>
        </w:rPr>
        <w:t xml:space="preserve">- Pentru clădiri cu înălţimi mai mari de </w:t>
      </w:r>
      <w:r>
        <w:rPr>
          <w:b/>
          <w:bCs/>
          <w:sz w:val="24"/>
          <w:szCs w:val="24"/>
        </w:rPr>
        <w:t>20,00 m</w:t>
      </w:r>
      <w:r>
        <w:rPr>
          <w:sz w:val="24"/>
          <w:szCs w:val="24"/>
        </w:rPr>
        <w:t xml:space="preserve"> se recomandă copertine care rezistă la acţiune mecanică cu lăţimi de minimum </w:t>
      </w:r>
      <w:r>
        <w:rPr>
          <w:b/>
          <w:bCs/>
          <w:sz w:val="24"/>
          <w:szCs w:val="24"/>
        </w:rPr>
        <w:t>2,00 m</w:t>
      </w:r>
      <w:r>
        <w:rPr>
          <w:sz w:val="24"/>
          <w:szCs w:val="24"/>
        </w:rPr>
        <w:t xml:space="preserve">, iar pentru cele cu înălţimi mai mari de </w:t>
      </w:r>
      <w:r>
        <w:rPr>
          <w:b/>
          <w:bCs/>
          <w:sz w:val="24"/>
          <w:szCs w:val="24"/>
        </w:rPr>
        <w:t>28,00 m</w:t>
      </w:r>
      <w:r>
        <w:rPr>
          <w:sz w:val="24"/>
          <w:szCs w:val="24"/>
        </w:rPr>
        <w:t xml:space="preserve"> se recomandă copertine care rezită la acţiune mecanică cu lăţimi de minimum</w:t>
      </w:r>
      <w:r>
        <w:rPr>
          <w:b/>
          <w:bCs/>
          <w:sz w:val="24"/>
          <w:szCs w:val="24"/>
        </w:rPr>
        <w:t xml:space="preserve"> 3,00 m, </w:t>
      </w:r>
      <w:r>
        <w:rPr>
          <w:sz w:val="24"/>
          <w:szCs w:val="24"/>
        </w:rPr>
        <w:t>dar cel puțin egală cu lățimea corespunzatoare numarului de fluxuri,</w:t>
      </w:r>
      <w:r>
        <w:rPr>
          <w:b/>
          <w:bCs/>
          <w:sz w:val="24"/>
          <w:szCs w:val="24"/>
        </w:rPr>
        <w:t xml:space="preserve"> </w:t>
      </w:r>
      <w:r>
        <w:rPr>
          <w:bCs/>
          <w:sz w:val="24"/>
          <w:szCs w:val="24"/>
        </w:rPr>
        <w:t xml:space="preserve">conform </w:t>
      </w:r>
      <w:r>
        <w:rPr>
          <w:b/>
          <w:bCs/>
          <w:i/>
          <w:iCs/>
          <w:sz w:val="24"/>
          <w:szCs w:val="24"/>
        </w:rPr>
        <w:fldChar w:fldCharType="begin"/>
      </w:r>
      <w:r>
        <w:rPr>
          <w:b/>
          <w:bCs/>
          <w:i/>
          <w:iCs/>
          <w:sz w:val="24"/>
          <w:szCs w:val="24"/>
        </w:rPr>
        <w:instrText xml:space="preserve"> REF _Ref15756 \h </w:instrText>
      </w:r>
      <w:r>
        <w:rPr>
          <w:b/>
          <w:bCs/>
          <w:i/>
          <w:iCs/>
          <w:sz w:val="24"/>
          <w:szCs w:val="24"/>
        </w:rPr>
      </w:r>
      <w:r>
        <w:rPr>
          <w:b/>
          <w:bCs/>
          <w:i/>
          <w:iCs/>
          <w:sz w:val="24"/>
          <w:szCs w:val="24"/>
        </w:rPr>
        <w:fldChar w:fldCharType="separate"/>
      </w:r>
      <w:r>
        <w:t>Figura 55</w:t>
      </w:r>
      <w:r>
        <w:rPr>
          <w:b/>
          <w:bCs/>
          <w:i/>
          <w:iCs/>
          <w:sz w:val="24"/>
          <w:szCs w:val="24"/>
        </w:rPr>
        <w:fldChar w:fldCharType="end"/>
      </w:r>
      <w:r>
        <w:rPr>
          <w:sz w:val="24"/>
          <w:szCs w:val="24"/>
        </w:rPr>
        <w:t xml:space="preserve">. </w:t>
      </w:r>
      <w:r>
        <w:rPr>
          <w:i/>
          <w:iCs/>
          <w:sz w:val="24"/>
          <w:szCs w:val="24"/>
        </w:rPr>
        <w:t>și</w:t>
      </w:r>
      <w:r>
        <w:rPr>
          <w:b/>
          <w:bCs/>
          <w:i/>
          <w:iCs/>
          <w:sz w:val="24"/>
          <w:szCs w:val="24"/>
        </w:rPr>
        <w:t xml:space="preserve"> Figura 57.</w:t>
      </w:r>
      <w:r>
        <w:rPr>
          <w:sz w:val="24"/>
          <w:szCs w:val="24"/>
        </w:rPr>
        <w:t xml:space="preserve"> Înălţimea se măsoară de la nivelul terenului (carosabilul adiacent) accesibil autovehiculelor de intervenţie ale pompierilor, până la pardoseala ultimului nivel folosibil.</w:t>
      </w:r>
    </w:p>
    <w:p w14:paraId="1C6CB05D" w14:textId="77777777" w:rsidR="001C08A5" w:rsidRDefault="00000000">
      <w:pPr>
        <w:jc w:val="center"/>
        <w:rPr>
          <w:sz w:val="24"/>
          <w:szCs w:val="24"/>
        </w:rPr>
      </w:pPr>
      <w:r>
        <w:rPr>
          <w:noProof/>
          <w:lang w:eastAsia="ro-RO"/>
        </w:rPr>
        <w:drawing>
          <wp:inline distT="0" distB="0" distL="0" distR="0" wp14:anchorId="79B7C669" wp14:editId="1A43ADF2">
            <wp:extent cx="4008755" cy="2346325"/>
            <wp:effectExtent l="0" t="0" r="10795" b="15875"/>
            <wp:docPr id="1132" name="Picture 75"/>
            <wp:cNvGraphicFramePr/>
            <a:graphic xmlns:a="http://schemas.openxmlformats.org/drawingml/2006/main">
              <a:graphicData uri="http://schemas.openxmlformats.org/drawingml/2006/picture">
                <pic:pic xmlns:pic="http://schemas.openxmlformats.org/drawingml/2006/picture">
                  <pic:nvPicPr>
                    <pic:cNvPr id="1132" name="Picture 75"/>
                    <pic:cNvPicPr/>
                  </pic:nvPicPr>
                  <pic:blipFill>
                    <a:blip r:embed="rId161" cstate="print"/>
                    <a:srcRect l="29134" t="23433" r="17771" b="17786"/>
                    <a:stretch>
                      <a:fillRect/>
                    </a:stretch>
                  </pic:blipFill>
                  <pic:spPr>
                    <a:xfrm>
                      <a:off x="0" y="0"/>
                      <a:ext cx="4008755" cy="2346325"/>
                    </a:xfrm>
                    <a:prstGeom prst="rect">
                      <a:avLst/>
                    </a:prstGeom>
                    <a:ln>
                      <a:noFill/>
                    </a:ln>
                  </pic:spPr>
                </pic:pic>
              </a:graphicData>
            </a:graphic>
          </wp:inline>
        </w:drawing>
      </w:r>
    </w:p>
    <w:p w14:paraId="10B69D74" w14:textId="77777777" w:rsidR="001C08A5" w:rsidRDefault="00000000">
      <w:pPr>
        <w:jc w:val="both"/>
        <w:rPr>
          <w:sz w:val="22"/>
          <w:szCs w:val="22"/>
        </w:rPr>
      </w:pPr>
      <w:r>
        <w:rPr>
          <w:i/>
          <w:iCs/>
          <w:sz w:val="22"/>
          <w:szCs w:val="22"/>
          <w:u w:val="single"/>
        </w:rPr>
        <w:t>Nota:</w:t>
      </w:r>
      <w:r>
        <w:rPr>
          <w:i/>
          <w:iCs/>
          <w:sz w:val="22"/>
          <w:szCs w:val="22"/>
        </w:rPr>
        <w:t xml:space="preserve"> lungimea copertinei, la baza mare, va fi mai mare sau egală cu </w:t>
      </w:r>
      <w:r>
        <w:rPr>
          <w:b/>
          <w:bCs/>
          <w:i/>
          <w:iCs/>
          <w:sz w:val="22"/>
          <w:szCs w:val="22"/>
        </w:rPr>
        <w:t>3,50m</w:t>
      </w:r>
      <w:r>
        <w:rPr>
          <w:i/>
          <w:iCs/>
          <w:sz w:val="22"/>
          <w:szCs w:val="22"/>
        </w:rPr>
        <w:t xml:space="preserve"> centrată pe axul uşii de evacuare protejate astfel, respectiv la baza mică va fi mai mare decât lățimea corespunzătoare numărului de fluxuri .</w:t>
      </w:r>
    </w:p>
    <w:p w14:paraId="48C3316C" w14:textId="77777777" w:rsidR="001C08A5" w:rsidRDefault="00000000">
      <w:pPr>
        <w:pStyle w:val="Caption"/>
        <w:jc w:val="center"/>
        <w:rPr>
          <w:rFonts w:cs="Times New Roman"/>
          <w:bCs/>
        </w:rPr>
      </w:pPr>
      <w:bookmarkStart w:id="2090" w:name="_Ref15756"/>
      <w:bookmarkStart w:id="2091" w:name="_Toc8848"/>
      <w:bookmarkStart w:id="2092" w:name="_Toc7064"/>
      <w:bookmarkStart w:id="2093" w:name="_Toc27046"/>
      <w:bookmarkStart w:id="2094" w:name="_Toc8629"/>
      <w:bookmarkStart w:id="2095" w:name="_Toc9083"/>
      <w:bookmarkStart w:id="2096" w:name="_Toc162360279"/>
      <w:bookmarkStart w:id="2097" w:name="_Toc27189"/>
      <w:r>
        <w:t xml:space="preserve">Figura </w:t>
      </w:r>
      <w:r>
        <w:fldChar w:fldCharType="begin"/>
      </w:r>
      <w:r>
        <w:instrText xml:space="preserve"> SEQ Figura \* ARABIC </w:instrText>
      </w:r>
      <w:r>
        <w:fldChar w:fldCharType="separate"/>
      </w:r>
      <w:r>
        <w:t>55</w:t>
      </w:r>
      <w:r>
        <w:fldChar w:fldCharType="end"/>
      </w:r>
      <w:bookmarkStart w:id="2098" w:name="_Toc10421"/>
      <w:bookmarkStart w:id="2099" w:name="_Toc23052"/>
      <w:bookmarkStart w:id="2100" w:name="_Toc9265"/>
      <w:bookmarkStart w:id="2101" w:name="_Toc16743"/>
      <w:bookmarkStart w:id="2102" w:name="_Toc30448"/>
      <w:bookmarkStart w:id="2103" w:name="_Toc24804"/>
      <w:bookmarkStart w:id="2104" w:name="_Toc20196"/>
      <w:bookmarkStart w:id="2105" w:name="_Toc16230"/>
      <w:bookmarkStart w:id="2106" w:name="_Toc15968"/>
      <w:bookmarkStart w:id="2107" w:name="_Toc1276"/>
      <w:bookmarkStart w:id="2108" w:name="_Toc21499"/>
      <w:bookmarkEnd w:id="2090"/>
      <w:r>
        <w:t xml:space="preserve"> - </w:t>
      </w:r>
      <w:r>
        <w:rPr>
          <w:rFonts w:cs="Times New Roman"/>
          <w:bCs/>
        </w:rPr>
        <w:t>Grafic înălțime clădire/ lățime copertin</w:t>
      </w:r>
      <w:bookmarkEnd w:id="2091"/>
      <w:bookmarkEnd w:id="2092"/>
      <w:bookmarkEnd w:id="2093"/>
      <w:r>
        <w:rPr>
          <w:rFonts w:cs="Times New Roman"/>
          <w:bCs/>
        </w:rPr>
        <w:t>ă</w:t>
      </w:r>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p>
    <w:p w14:paraId="034BE49D" w14:textId="77777777" w:rsidR="001C08A5" w:rsidRDefault="001C08A5">
      <w:pPr>
        <w:jc w:val="center"/>
        <w:rPr>
          <w:lang w:eastAsia="ro-RO"/>
        </w:rPr>
      </w:pPr>
      <w:bookmarkStart w:id="2109" w:name="_Ref1259"/>
    </w:p>
    <w:p w14:paraId="118E0F7D" w14:textId="77777777" w:rsidR="001C08A5" w:rsidRDefault="00000000">
      <w:pPr>
        <w:jc w:val="center"/>
        <w:rPr>
          <w:lang w:eastAsia="ro-RO"/>
        </w:rPr>
      </w:pPr>
      <w:r>
        <w:rPr>
          <w:noProof/>
        </w:rPr>
        <w:drawing>
          <wp:inline distT="0" distB="0" distL="114300" distR="114300" wp14:anchorId="3174E3DF" wp14:editId="6C56BC5F">
            <wp:extent cx="5057140" cy="1926590"/>
            <wp:effectExtent l="0" t="0" r="10160" b="16510"/>
            <wp:docPr id="4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15"/>
                    <pic:cNvPicPr>
                      <a:picLocks noChangeAspect="1"/>
                    </pic:cNvPicPr>
                  </pic:nvPicPr>
                  <pic:blipFill>
                    <a:blip r:embed="rId162"/>
                    <a:srcRect l="20306" r="12787" b="55052"/>
                    <a:stretch>
                      <a:fillRect/>
                    </a:stretch>
                  </pic:blipFill>
                  <pic:spPr>
                    <a:xfrm>
                      <a:off x="0" y="0"/>
                      <a:ext cx="5057140" cy="1926590"/>
                    </a:xfrm>
                    <a:prstGeom prst="rect">
                      <a:avLst/>
                    </a:prstGeom>
                    <a:noFill/>
                    <a:ln>
                      <a:noFill/>
                    </a:ln>
                  </pic:spPr>
                </pic:pic>
              </a:graphicData>
            </a:graphic>
          </wp:inline>
        </w:drawing>
      </w:r>
    </w:p>
    <w:p w14:paraId="11F4E796" w14:textId="77777777" w:rsidR="001C08A5" w:rsidRDefault="001C08A5">
      <w:pPr>
        <w:jc w:val="center"/>
      </w:pPr>
    </w:p>
    <w:p w14:paraId="7B65204F" w14:textId="77777777" w:rsidR="001C08A5" w:rsidRDefault="00000000">
      <w:pPr>
        <w:pStyle w:val="Caption"/>
        <w:jc w:val="center"/>
        <w:rPr>
          <w:bCs/>
        </w:rPr>
      </w:pPr>
      <w:bookmarkStart w:id="2110" w:name="_Ref15661"/>
      <w:bookmarkStart w:id="2111" w:name="_Toc24306"/>
      <w:bookmarkStart w:id="2112" w:name="_Toc4694"/>
      <w:bookmarkStart w:id="2113" w:name="_Toc15221"/>
      <w:bookmarkStart w:id="2114" w:name="_Toc26478"/>
      <w:bookmarkStart w:id="2115" w:name="_Toc2781"/>
      <w:bookmarkStart w:id="2116" w:name="_Toc23545"/>
      <w:bookmarkStart w:id="2117" w:name="_Toc162360280"/>
      <w:bookmarkEnd w:id="2109"/>
      <w:r>
        <w:t xml:space="preserve">Figura </w:t>
      </w:r>
      <w:r>
        <w:fldChar w:fldCharType="begin"/>
      </w:r>
      <w:r>
        <w:instrText xml:space="preserve"> SEQ Figura \* ARABIC </w:instrText>
      </w:r>
      <w:r>
        <w:fldChar w:fldCharType="separate"/>
      </w:r>
      <w:r>
        <w:t>56</w:t>
      </w:r>
      <w:r>
        <w:fldChar w:fldCharType="end"/>
      </w:r>
      <w:bookmarkStart w:id="2118" w:name="_Toc2337"/>
      <w:bookmarkStart w:id="2119" w:name="_Toc19476"/>
      <w:bookmarkStart w:id="2120" w:name="_Toc638"/>
      <w:bookmarkStart w:id="2121" w:name="_Toc8468"/>
      <w:bookmarkStart w:id="2122" w:name="_Toc2020"/>
      <w:bookmarkStart w:id="2123" w:name="_Toc901"/>
      <w:bookmarkStart w:id="2124" w:name="_Toc32331"/>
      <w:bookmarkStart w:id="2125" w:name="_Toc22893"/>
      <w:bookmarkStart w:id="2126" w:name="_Toc21359"/>
      <w:bookmarkStart w:id="2127" w:name="_Toc15348"/>
      <w:bookmarkStart w:id="2128" w:name="_Toc24552"/>
      <w:bookmarkEnd w:id="2110"/>
      <w:r>
        <w:t xml:space="preserve"> - </w:t>
      </w:r>
      <w:r>
        <w:rPr>
          <w:bCs/>
        </w:rPr>
        <w:t>Proximitatea uşii de acces şi evacuare cu copertină centrată pe axul uşii de evacuare</w:t>
      </w:r>
      <w:bookmarkEnd w:id="2111"/>
      <w:bookmarkEnd w:id="2112"/>
      <w:bookmarkEnd w:id="2113"/>
      <w:bookmarkEnd w:id="2114"/>
      <w:bookmarkEnd w:id="2115"/>
      <w:bookmarkEnd w:id="2116"/>
      <w:bookmarkEnd w:id="2118"/>
      <w:bookmarkEnd w:id="2119"/>
      <w:bookmarkEnd w:id="2120"/>
      <w:r>
        <w:rPr>
          <w:bCs/>
        </w:rPr>
        <w:t xml:space="preserve"> (X – lungime copertină si L – lățime copertină)</w:t>
      </w:r>
      <w:bookmarkEnd w:id="2117"/>
      <w:bookmarkEnd w:id="2121"/>
      <w:bookmarkEnd w:id="2122"/>
      <w:bookmarkEnd w:id="2123"/>
      <w:bookmarkEnd w:id="2124"/>
      <w:bookmarkEnd w:id="2125"/>
      <w:bookmarkEnd w:id="2126"/>
      <w:bookmarkEnd w:id="2127"/>
      <w:bookmarkEnd w:id="2128"/>
    </w:p>
    <w:p w14:paraId="71956717" w14:textId="77777777" w:rsidR="001C08A5" w:rsidRDefault="00000000">
      <w:pPr>
        <w:ind w:firstLine="720"/>
        <w:jc w:val="both"/>
        <w:rPr>
          <w:b/>
          <w:bCs/>
          <w:sz w:val="24"/>
          <w:szCs w:val="24"/>
        </w:rPr>
      </w:pPr>
      <w:r>
        <w:rPr>
          <w:bCs/>
        </w:rPr>
        <w:tab/>
      </w:r>
      <w:r>
        <w:rPr>
          <w:bCs/>
        </w:rPr>
        <w:tab/>
      </w:r>
      <w:r>
        <w:rPr>
          <w:bCs/>
        </w:rPr>
        <w:tab/>
      </w:r>
      <w:r>
        <w:rPr>
          <w:bCs/>
        </w:rPr>
        <w:tab/>
      </w:r>
      <w:r>
        <w:rPr>
          <w:bCs/>
        </w:rPr>
        <w:tab/>
      </w:r>
      <w:r>
        <w:rPr>
          <w:bCs/>
        </w:rPr>
        <w:tab/>
      </w:r>
      <w:r>
        <w:rPr>
          <w:bCs/>
        </w:rPr>
        <w:tab/>
      </w:r>
    </w:p>
    <w:p w14:paraId="0BA0C8E2" w14:textId="77777777" w:rsidR="001C08A5" w:rsidRDefault="00000000">
      <w:pPr>
        <w:ind w:left="1080"/>
        <w:jc w:val="both"/>
        <w:rPr>
          <w:sz w:val="24"/>
          <w:szCs w:val="24"/>
        </w:rPr>
      </w:pPr>
      <w:r>
        <w:rPr>
          <w:noProof/>
          <w:sz w:val="24"/>
          <w:szCs w:val="24"/>
        </w:rPr>
        <mc:AlternateContent>
          <mc:Choice Requires="wps">
            <w:drawing>
              <wp:anchor distT="0" distB="0" distL="114300" distR="114300" simplePos="0" relativeHeight="251659264" behindDoc="0" locked="0" layoutInCell="1" allowOverlap="1" wp14:anchorId="56858AF6" wp14:editId="5C30E259">
                <wp:simplePos x="0" y="0"/>
                <wp:positionH relativeFrom="column">
                  <wp:posOffset>4052570</wp:posOffset>
                </wp:positionH>
                <wp:positionV relativeFrom="paragraph">
                  <wp:posOffset>79375</wp:posOffset>
                </wp:positionV>
                <wp:extent cx="5080" cy="3175"/>
                <wp:effectExtent l="8890" t="8890" r="24130" b="16510"/>
                <wp:wrapNone/>
                <wp:docPr id="1531469073" name="Cerneală 1"/>
                <wp:cNvGraphicFramePr/>
                <a:graphic xmlns:a="http://schemas.openxmlformats.org/drawingml/2006/main">
                  <a:graphicData uri="http://schemas.microsoft.com/office/word/2010/wordprocessingInk">
                    <w14:contentPart bwMode="auto" r:id="rId163">
                      <w14:nvContentPartPr>
                        <w14:cNvContentPartPr/>
                      </w14:nvContentPartPr>
                      <w14:xfrm>
                        <a:off x="0" y="0"/>
                        <a:ext cx="5040" cy="3240"/>
                      </w14:xfrm>
                    </w14:contentPart>
                  </a:graphicData>
                </a:graphic>
              </wp:anchor>
            </w:drawing>
          </mc:Choice>
          <mc:Fallback xmlns:wpsCustomData="http://www.wps.cn/officeDocument/2013/wpsCustomData">
            <w:pict>
              <v:shape id="Cerneală 1" o:spid="_x0000_s1026" o:spt="75" style="position:absolute;left:0pt;margin-left:319.1pt;margin-top:6.25pt;height:0.25pt;width:0.4pt;z-index:251659264;mso-width-relative:page;mso-height-relative:page;" coordsize="21600,21600" o:gfxdata="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">
                <v:imagedata r:id="rId164" o:title=""/>
                <o:lock v:ext="edit"/>
              </v:shape>
            </w:pict>
          </mc:Fallback>
        </mc:AlternateContent>
      </w:r>
      <w:r>
        <w:rPr>
          <w:sz w:val="24"/>
          <w:szCs w:val="24"/>
        </w:rPr>
        <w:t>- Pentru faţadele al căror trotuar pietonal este mai mic decât lăţimea copertinei, se va utiliza lăţimea trotuarului, situație în care lungimea bazei mici a copertinei va fi egală cu lungimea bazei mari.</w:t>
      </w:r>
    </w:p>
    <w:p w14:paraId="32472C64" w14:textId="77777777" w:rsidR="001C08A5" w:rsidRDefault="00000000">
      <w:pPr>
        <w:ind w:firstLine="720"/>
        <w:jc w:val="both"/>
        <w:rPr>
          <w:sz w:val="24"/>
          <w:szCs w:val="24"/>
        </w:rPr>
      </w:pPr>
      <w:r>
        <w:rPr>
          <w:b/>
          <w:bCs/>
          <w:sz w:val="24"/>
          <w:szCs w:val="24"/>
        </w:rPr>
        <w:lastRenderedPageBreak/>
        <w:t xml:space="preserve">(4) </w:t>
      </w:r>
      <w:r>
        <w:rPr>
          <w:sz w:val="24"/>
          <w:szCs w:val="24"/>
        </w:rPr>
        <w:t xml:space="preserve">Protejarea utilizatorilor în situația curților interioare mai înguste de </w:t>
      </w:r>
      <w:r>
        <w:rPr>
          <w:b/>
          <w:bCs/>
          <w:sz w:val="24"/>
          <w:szCs w:val="24"/>
        </w:rPr>
        <w:t>3,50 m</w:t>
      </w:r>
      <w:r>
        <w:rPr>
          <w:sz w:val="24"/>
          <w:szCs w:val="24"/>
        </w:rPr>
        <w:t xml:space="preserve">, se realizeaza astfel: în situația în care ușa de acces și evacuare finală principala sau secundara se face printr-o curte îngustă, mai mică de </w:t>
      </w:r>
      <w:r>
        <w:rPr>
          <w:b/>
          <w:bCs/>
          <w:sz w:val="24"/>
          <w:szCs w:val="24"/>
        </w:rPr>
        <w:t>3,5</w:t>
      </w:r>
      <w:r>
        <w:rPr>
          <w:sz w:val="24"/>
          <w:szCs w:val="24"/>
        </w:rPr>
        <w:t xml:space="preserve"> m, care poate fi afectată de incendiul din clădirea în curs de evacuare atunci trebuie asigurate măsuri pasive sau active: porţiuni pline de faţadă, incombustibile şi rezistente la foc</w:t>
      </w:r>
      <w:r>
        <w:rPr>
          <w:b/>
          <w:bCs/>
          <w:sz w:val="24"/>
          <w:szCs w:val="24"/>
        </w:rPr>
        <w:t xml:space="preserve"> EI 15</w:t>
      </w:r>
      <w:r>
        <w:rPr>
          <w:sz w:val="24"/>
          <w:szCs w:val="24"/>
        </w:rPr>
        <w:t xml:space="preserve"> pentru funcţiuni administrative, cultură, cult şi învăţăm</w:t>
      </w:r>
      <w:r>
        <w:rPr>
          <w:bCs/>
          <w:sz w:val="24"/>
          <w:szCs w:val="24"/>
        </w:rPr>
        <w:t>â</w:t>
      </w:r>
      <w:r>
        <w:rPr>
          <w:sz w:val="24"/>
          <w:szCs w:val="24"/>
        </w:rPr>
        <w:t xml:space="preserve">nt, respectiv </w:t>
      </w:r>
      <w:r>
        <w:rPr>
          <w:b/>
          <w:bCs/>
          <w:sz w:val="24"/>
          <w:szCs w:val="24"/>
        </w:rPr>
        <w:t>EI 30</w:t>
      </w:r>
      <w:r>
        <w:rPr>
          <w:sz w:val="24"/>
          <w:szCs w:val="24"/>
        </w:rPr>
        <w:t xml:space="preserve"> pentru funcţiuni tip sănătate, turism, săli aglomerate, clădiri înalte și foarte înalte</w:t>
      </w:r>
      <w:r>
        <w:rPr>
          <w:b/>
          <w:bCs/>
          <w:i/>
          <w:iCs/>
          <w:sz w:val="24"/>
          <w:szCs w:val="24"/>
        </w:rPr>
        <w:t xml:space="preserve"> (</w:t>
      </w:r>
      <w:r>
        <w:rPr>
          <w:b/>
          <w:bCs/>
          <w:i/>
          <w:iCs/>
          <w:sz w:val="24"/>
          <w:szCs w:val="24"/>
        </w:rPr>
        <w:fldChar w:fldCharType="begin"/>
      </w:r>
      <w:r>
        <w:rPr>
          <w:b/>
          <w:bCs/>
          <w:i/>
          <w:iCs/>
          <w:sz w:val="24"/>
          <w:szCs w:val="24"/>
        </w:rPr>
        <w:instrText xml:space="preserve"> REF _Ref15606 \h </w:instrText>
      </w:r>
      <w:r>
        <w:rPr>
          <w:b/>
          <w:bCs/>
          <w:i/>
          <w:iCs/>
          <w:sz w:val="24"/>
          <w:szCs w:val="24"/>
        </w:rPr>
      </w:r>
      <w:r>
        <w:rPr>
          <w:b/>
          <w:bCs/>
          <w:i/>
          <w:iCs/>
          <w:sz w:val="24"/>
          <w:szCs w:val="24"/>
        </w:rPr>
        <w:fldChar w:fldCharType="separate"/>
      </w:r>
      <w:r>
        <w:t>Figura 57</w:t>
      </w:r>
      <w:r>
        <w:rPr>
          <w:b/>
          <w:bCs/>
          <w:i/>
          <w:iCs/>
          <w:sz w:val="24"/>
          <w:szCs w:val="24"/>
        </w:rPr>
        <w:fldChar w:fldCharType="end"/>
      </w:r>
      <w:r>
        <w:rPr>
          <w:b/>
          <w:bCs/>
          <w:i/>
          <w:iCs/>
          <w:sz w:val="24"/>
          <w:szCs w:val="24"/>
        </w:rPr>
        <w:t>).</w:t>
      </w:r>
      <w:r>
        <w:rPr>
          <w:sz w:val="24"/>
          <w:szCs w:val="24"/>
        </w:rPr>
        <w:t xml:space="preserve"> Înălţimea minimă pentru faţadele astfel tratate este de</w:t>
      </w:r>
      <w:r>
        <w:rPr>
          <w:b/>
          <w:bCs/>
          <w:sz w:val="24"/>
          <w:szCs w:val="24"/>
        </w:rPr>
        <w:t xml:space="preserve"> 3,00</w:t>
      </w:r>
      <w:r>
        <w:rPr>
          <w:sz w:val="24"/>
          <w:szCs w:val="24"/>
        </w:rPr>
        <w:t xml:space="preserve"> m măsurată de la cota terenului la care se face evacuarea.</w:t>
      </w:r>
    </w:p>
    <w:p w14:paraId="6F7ECB32" w14:textId="77777777" w:rsidR="001C08A5" w:rsidRDefault="00000000">
      <w:pPr>
        <w:ind w:left="720"/>
        <w:jc w:val="both"/>
        <w:rPr>
          <w:sz w:val="24"/>
          <w:szCs w:val="24"/>
        </w:rPr>
      </w:pPr>
      <w:r>
        <w:rPr>
          <w:sz w:val="24"/>
          <w:szCs w:val="24"/>
        </w:rPr>
        <w:t xml:space="preserve">- Măsurile active de tip instalaţii automate de stingere cu sprinklere deschise pot înlocui porţiunile pline protejate conform celor de mai sus dacă asigură un timp de funcţionare egal cu al elementului inlocuit, </w:t>
      </w:r>
      <w:r>
        <w:rPr>
          <w:b/>
          <w:bCs/>
          <w:sz w:val="24"/>
          <w:szCs w:val="24"/>
        </w:rPr>
        <w:t>15</w:t>
      </w:r>
      <w:r>
        <w:rPr>
          <w:sz w:val="24"/>
          <w:szCs w:val="24"/>
        </w:rPr>
        <w:t xml:space="preserve"> minute sau </w:t>
      </w:r>
      <w:r>
        <w:rPr>
          <w:b/>
          <w:bCs/>
          <w:sz w:val="24"/>
          <w:szCs w:val="24"/>
        </w:rPr>
        <w:t>30</w:t>
      </w:r>
      <w:r>
        <w:rPr>
          <w:sz w:val="24"/>
          <w:szCs w:val="24"/>
        </w:rPr>
        <w:t xml:space="preserve"> de minute.</w:t>
      </w:r>
    </w:p>
    <w:p w14:paraId="6E463951" w14:textId="77777777" w:rsidR="001C08A5" w:rsidRDefault="00000000">
      <w:pPr>
        <w:pStyle w:val="Caption"/>
        <w:jc w:val="center"/>
        <w:rPr>
          <w:rFonts w:cs="Times New Roman"/>
          <w:bCs/>
        </w:rPr>
      </w:pPr>
      <w:bookmarkStart w:id="2129" w:name="_Ref1095"/>
      <w:r>
        <w:rPr>
          <w:noProof/>
        </w:rPr>
        <w:drawing>
          <wp:inline distT="0" distB="0" distL="114300" distR="114300" wp14:anchorId="5A684826" wp14:editId="6DA4AF25">
            <wp:extent cx="5697220" cy="1850390"/>
            <wp:effectExtent l="0" t="0" r="17780" b="16510"/>
            <wp:docPr id="4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15"/>
                    <pic:cNvPicPr>
                      <a:picLocks noChangeAspect="1"/>
                    </pic:cNvPicPr>
                  </pic:nvPicPr>
                  <pic:blipFill>
                    <a:blip r:embed="rId162"/>
                    <a:srcRect l="13190" t="56830" r="11434"/>
                    <a:stretch>
                      <a:fillRect/>
                    </a:stretch>
                  </pic:blipFill>
                  <pic:spPr>
                    <a:xfrm>
                      <a:off x="0" y="0"/>
                      <a:ext cx="5697220" cy="1850390"/>
                    </a:xfrm>
                    <a:prstGeom prst="rect">
                      <a:avLst/>
                    </a:prstGeom>
                    <a:noFill/>
                    <a:ln>
                      <a:noFill/>
                    </a:ln>
                  </pic:spPr>
                </pic:pic>
              </a:graphicData>
            </a:graphic>
          </wp:inline>
        </w:drawing>
      </w:r>
    </w:p>
    <w:p w14:paraId="1711D7E2" w14:textId="77777777" w:rsidR="001C08A5" w:rsidRDefault="00000000">
      <w:pPr>
        <w:pStyle w:val="Caption"/>
        <w:jc w:val="center"/>
        <w:rPr>
          <w:rFonts w:cs="Times New Roman"/>
        </w:rPr>
      </w:pPr>
      <w:bookmarkStart w:id="2130" w:name="_Ref15606"/>
      <w:bookmarkStart w:id="2131" w:name="_Toc11810"/>
      <w:bookmarkStart w:id="2132" w:name="_Toc16622"/>
      <w:bookmarkStart w:id="2133" w:name="_Toc13967"/>
      <w:bookmarkStart w:id="2134" w:name="_Toc162360281"/>
      <w:bookmarkStart w:id="2135" w:name="_Toc20647"/>
      <w:bookmarkStart w:id="2136" w:name="_Toc27960"/>
      <w:bookmarkStart w:id="2137" w:name="_Toc6456"/>
      <w:bookmarkEnd w:id="2129"/>
      <w:r>
        <w:t xml:space="preserve">Figura </w:t>
      </w:r>
      <w:r>
        <w:fldChar w:fldCharType="begin"/>
      </w:r>
      <w:r>
        <w:instrText xml:space="preserve"> SEQ Figura \* ARABIC </w:instrText>
      </w:r>
      <w:r>
        <w:fldChar w:fldCharType="separate"/>
      </w:r>
      <w:r>
        <w:t>57</w:t>
      </w:r>
      <w:r>
        <w:fldChar w:fldCharType="end"/>
      </w:r>
      <w:bookmarkStart w:id="2138" w:name="_Toc24838"/>
      <w:bookmarkStart w:id="2139" w:name="_Toc9575"/>
      <w:bookmarkStart w:id="2140" w:name="_Toc28739"/>
      <w:bookmarkStart w:id="2141" w:name="_Toc9657"/>
      <w:bookmarkStart w:id="2142" w:name="_Toc16521"/>
      <w:bookmarkStart w:id="2143" w:name="_Toc20962"/>
      <w:bookmarkStart w:id="2144" w:name="_Toc2063"/>
      <w:bookmarkStart w:id="2145" w:name="_Toc20352"/>
      <w:bookmarkStart w:id="2146" w:name="_Toc6269"/>
      <w:bookmarkStart w:id="2147" w:name="_Toc21419"/>
      <w:bookmarkStart w:id="2148" w:name="_Toc26374"/>
      <w:bookmarkEnd w:id="2130"/>
      <w:r>
        <w:t xml:space="preserve"> - </w:t>
      </w:r>
      <w:r>
        <w:rPr>
          <w:rFonts w:cs="Times New Roman"/>
          <w:bCs/>
        </w:rPr>
        <w:t>Proximitatea uşii de acces şi evacuare cu copertină</w:t>
      </w:r>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p>
    <w:p w14:paraId="2293AB88" w14:textId="77777777" w:rsidR="001C08A5" w:rsidRDefault="00000000">
      <w:pPr>
        <w:ind w:firstLine="720"/>
        <w:jc w:val="both"/>
        <w:rPr>
          <w:b/>
          <w:sz w:val="24"/>
          <w:szCs w:val="24"/>
        </w:rPr>
      </w:pPr>
      <w:r>
        <w:rPr>
          <w:b/>
          <w:bCs/>
          <w:sz w:val="24"/>
          <w:szCs w:val="24"/>
        </w:rPr>
        <w:t xml:space="preserve">Art. 2.5.5.7 </w:t>
      </w:r>
      <w:r>
        <w:rPr>
          <w:bCs/>
          <w:sz w:val="24"/>
          <w:szCs w:val="24"/>
        </w:rPr>
        <w:t xml:space="preserve">Ușile </w:t>
      </w:r>
      <w:r>
        <w:rPr>
          <w:sz w:val="24"/>
          <w:szCs w:val="24"/>
        </w:rPr>
        <w:t xml:space="preserve">rezistente la foc împreună cu sistemele de autoînchidere (C) trebuie să-și mentină în timp specificațiile, pe baza </w:t>
      </w:r>
      <w:r>
        <w:rPr>
          <w:bCs/>
          <w:sz w:val="24"/>
          <w:szCs w:val="24"/>
        </w:rPr>
        <w:t>unui program de control periodic şi de între</w:t>
      </w:r>
      <w:r>
        <w:rPr>
          <w:sz w:val="24"/>
          <w:szCs w:val="24"/>
        </w:rPr>
        <w:t>ţ</w:t>
      </w:r>
      <w:r>
        <w:rPr>
          <w:bCs/>
          <w:sz w:val="24"/>
          <w:szCs w:val="24"/>
        </w:rPr>
        <w:t>inere conform furnizorului.</w:t>
      </w:r>
    </w:p>
    <w:p w14:paraId="16283D40" w14:textId="77777777" w:rsidR="001C08A5" w:rsidRDefault="00000000">
      <w:pPr>
        <w:pStyle w:val="Heading4"/>
        <w:rPr>
          <w:rFonts w:cs="Times New Roman"/>
          <w:sz w:val="24"/>
          <w:szCs w:val="24"/>
        </w:rPr>
      </w:pPr>
      <w:bookmarkStart w:id="2149" w:name="_Toc28124"/>
      <w:bookmarkStart w:id="2150" w:name="_Toc9207"/>
      <w:bookmarkStart w:id="2151" w:name="_Toc7985"/>
      <w:bookmarkStart w:id="2152" w:name="_Toc6468"/>
      <w:bookmarkStart w:id="2153" w:name="_Toc162355255"/>
      <w:bookmarkStart w:id="2154" w:name="_Toc13702"/>
      <w:bookmarkStart w:id="2155" w:name="_Toc25990"/>
      <w:bookmarkStart w:id="2156" w:name="_Toc6189"/>
      <w:r>
        <w:t>2.5.6. Scări</w:t>
      </w:r>
      <w:bookmarkEnd w:id="2149"/>
      <w:bookmarkEnd w:id="2150"/>
      <w:bookmarkEnd w:id="2151"/>
      <w:bookmarkEnd w:id="2152"/>
      <w:bookmarkEnd w:id="2153"/>
      <w:bookmarkEnd w:id="2154"/>
      <w:bookmarkEnd w:id="2155"/>
      <w:bookmarkEnd w:id="2156"/>
    </w:p>
    <w:p w14:paraId="20C2869C" w14:textId="77777777" w:rsidR="001C08A5" w:rsidRDefault="00000000">
      <w:pPr>
        <w:pStyle w:val="Heading5"/>
        <w:rPr>
          <w:lang w:val="ro-RO"/>
        </w:rPr>
      </w:pPr>
      <w:bookmarkStart w:id="2157" w:name="_Toc19161"/>
      <w:bookmarkStart w:id="2158" w:name="_Toc30650"/>
      <w:bookmarkStart w:id="2159" w:name="_Toc3060"/>
      <w:bookmarkStart w:id="2160" w:name="_Toc162355256"/>
      <w:bookmarkStart w:id="2161" w:name="_Toc3403"/>
      <w:bookmarkStart w:id="2162" w:name="_Toc19935"/>
      <w:bookmarkStart w:id="2163" w:name="_Toc5396"/>
      <w:bookmarkStart w:id="2164" w:name="_Toc6948"/>
      <w:r>
        <w:rPr>
          <w:lang w:val="ro-RO"/>
        </w:rPr>
        <w:t>2.5.6.1. Dispoziţii generale</w:t>
      </w:r>
      <w:bookmarkEnd w:id="2157"/>
      <w:bookmarkEnd w:id="2158"/>
      <w:bookmarkEnd w:id="2159"/>
      <w:bookmarkEnd w:id="2160"/>
      <w:bookmarkEnd w:id="2161"/>
      <w:bookmarkEnd w:id="2162"/>
      <w:bookmarkEnd w:id="2163"/>
      <w:bookmarkEnd w:id="2164"/>
    </w:p>
    <w:p w14:paraId="61B2D7A6" w14:textId="77777777" w:rsidR="001C08A5" w:rsidRDefault="001C08A5">
      <w:pPr>
        <w:rPr>
          <w:b/>
          <w:sz w:val="24"/>
          <w:szCs w:val="24"/>
        </w:rPr>
      </w:pPr>
    </w:p>
    <w:p w14:paraId="2507F85D" w14:textId="77777777" w:rsidR="001C08A5" w:rsidRDefault="00000000">
      <w:pPr>
        <w:tabs>
          <w:tab w:val="left" w:pos="1985"/>
          <w:tab w:val="left" w:pos="2268"/>
        </w:tabs>
        <w:ind w:firstLine="720"/>
        <w:jc w:val="both"/>
        <w:rPr>
          <w:sz w:val="24"/>
          <w:szCs w:val="24"/>
        </w:rPr>
      </w:pPr>
      <w:r>
        <w:rPr>
          <w:b/>
          <w:sz w:val="24"/>
          <w:szCs w:val="24"/>
        </w:rPr>
        <w:t>Art. 2.5.6.1.1.</w:t>
      </w:r>
      <w:r>
        <w:rPr>
          <w:sz w:val="24"/>
          <w:szCs w:val="24"/>
        </w:rPr>
        <w:tab/>
      </w:r>
      <w:r>
        <w:rPr>
          <w:b/>
          <w:sz w:val="24"/>
          <w:szCs w:val="24"/>
        </w:rPr>
        <w:t xml:space="preserve">(1) </w:t>
      </w:r>
      <w:r>
        <w:rPr>
          <w:sz w:val="24"/>
          <w:szCs w:val="24"/>
        </w:rPr>
        <w:t>Scările care asigură evacuarea a cel mult două niveluri succesive supraterane ale construcţiei pot fi deschise (neînchise în case de scări), în toate situaţiile în care este admisă asigurarea unei singure căi de evacuare a utilizatorilor..</w:t>
      </w:r>
    </w:p>
    <w:p w14:paraId="3DCFC155" w14:textId="77777777" w:rsidR="001C08A5" w:rsidRDefault="00000000">
      <w:pPr>
        <w:ind w:firstLine="720"/>
        <w:jc w:val="both"/>
        <w:rPr>
          <w:sz w:val="24"/>
          <w:szCs w:val="24"/>
        </w:rPr>
      </w:pPr>
      <w:r>
        <w:rPr>
          <w:b/>
          <w:sz w:val="24"/>
          <w:szCs w:val="24"/>
        </w:rPr>
        <w:t xml:space="preserve">(2) </w:t>
      </w:r>
      <w:r>
        <w:rPr>
          <w:sz w:val="24"/>
          <w:szCs w:val="24"/>
        </w:rPr>
        <w:t>Atunci când este obligatorie asigurarea a minimum două căi de evacuare, scările deschise pot fi prevăzute numai dacă se asigură şi scări închise, care să constituie a doua cale de evacuare a utilizatorilor.</w:t>
      </w:r>
    </w:p>
    <w:p w14:paraId="6638A089" w14:textId="77777777" w:rsidR="001C08A5" w:rsidRDefault="00000000">
      <w:pPr>
        <w:ind w:firstLine="720"/>
        <w:jc w:val="both"/>
        <w:rPr>
          <w:sz w:val="24"/>
          <w:szCs w:val="24"/>
        </w:rPr>
      </w:pPr>
      <w:r>
        <w:rPr>
          <w:b/>
          <w:sz w:val="24"/>
          <w:szCs w:val="24"/>
        </w:rPr>
        <w:t xml:space="preserve">(3) </w:t>
      </w:r>
      <w:r>
        <w:rPr>
          <w:rFonts w:eastAsia="ArialMT"/>
          <w:sz w:val="24"/>
          <w:szCs w:val="24"/>
        </w:rPr>
        <w:t>Este interzis să se prevadă una sau două trepte izolate pe circulațiile de evacuare spre ușile scărilor, ale încăperilor tampon, degajamentelor protejate, tunelurilor, etc. sau iesiri în exterior sau pe accesul spre acestea. În acest caz va fi prevăzută o rampă conformă cu cerințele normate care va prelua panta.</w:t>
      </w:r>
    </w:p>
    <w:p w14:paraId="25738CA0" w14:textId="77777777" w:rsidR="001C08A5" w:rsidRDefault="001C08A5">
      <w:pPr>
        <w:jc w:val="both"/>
        <w:rPr>
          <w:sz w:val="24"/>
          <w:szCs w:val="24"/>
        </w:rPr>
      </w:pPr>
    </w:p>
    <w:p w14:paraId="5CE69C55" w14:textId="77777777" w:rsidR="001C08A5" w:rsidRDefault="00000000">
      <w:pPr>
        <w:ind w:firstLine="720"/>
        <w:jc w:val="both"/>
        <w:rPr>
          <w:sz w:val="24"/>
          <w:szCs w:val="24"/>
        </w:rPr>
      </w:pPr>
      <w:r>
        <w:rPr>
          <w:b/>
          <w:sz w:val="24"/>
          <w:szCs w:val="24"/>
        </w:rPr>
        <w:t xml:space="preserve">Art. 2.5.6.1.2. (1) </w:t>
      </w:r>
      <w:r>
        <w:rPr>
          <w:sz w:val="24"/>
          <w:szCs w:val="24"/>
        </w:rPr>
        <w:t>Scările interioare de evacuare a utilizatorilor clădirilor se recomandă să fie iluminate natural, iar atunci când nu este posibil tehnic se prevăd cu iluminat artificial, realizat corespunzător prevederilor reglementărilor tehnice de specialitate.</w:t>
      </w:r>
    </w:p>
    <w:p w14:paraId="16084A4A" w14:textId="77777777" w:rsidR="001C08A5" w:rsidRDefault="00000000">
      <w:pPr>
        <w:ind w:firstLine="720"/>
        <w:jc w:val="both"/>
        <w:rPr>
          <w:sz w:val="24"/>
          <w:szCs w:val="24"/>
          <w:lang w:eastAsia="zh-CN"/>
        </w:rPr>
      </w:pPr>
      <w:r>
        <w:rPr>
          <w:b/>
          <w:sz w:val="24"/>
          <w:szCs w:val="24"/>
        </w:rPr>
        <w:t>(2)</w:t>
      </w:r>
      <w:r>
        <w:rPr>
          <w:sz w:val="24"/>
          <w:szCs w:val="24"/>
        </w:rPr>
        <w:t xml:space="preserve"> Casele de scări care nu sunt luminate şi ventilate natural prin ferestre cu ochiuri mobile dispuse pe fiecare nivel prin care se evacuează fumul şi gazele fierbinţi direct in exterior, se prevad în mod obligatoriu cu sisteme de evacuare a fumului şi a gazelor fierbinţi sau cu sisteme cu presiune diferențială SPD. </w:t>
      </w:r>
      <w:r>
        <w:rPr>
          <w:sz w:val="24"/>
          <w:szCs w:val="24"/>
          <w:lang w:eastAsia="zh-CN"/>
        </w:rPr>
        <w:t xml:space="preserve">Casele de scări luminate şi ventilate natural prin ferestre cu ochiuri mobile dispuse pe fiecare nivel se prevad cu evacuare a fumului și a gazelor fierbinti prin ochiurile mobile amplasate în treimea superioară a pereților exteriori de la ultimul nivel al casei de scară (și admisie de aer conform prevederi normate) cu acționare manuală de la fiecare nivel, de la accesul principal și de la </w:t>
      </w:r>
      <w:r>
        <w:rPr>
          <w:sz w:val="24"/>
          <w:szCs w:val="24"/>
          <w:lang w:eastAsia="zh-CN"/>
        </w:rPr>
        <w:lastRenderedPageBreak/>
        <w:t>încăperea Serviciului Privat de Pompieri, după caz și cu acționare automată dacă construcția este prevăzută cu instalație de detectare, semnalizare și alarmare incendii.</w:t>
      </w:r>
    </w:p>
    <w:p w14:paraId="5716B174" w14:textId="77777777" w:rsidR="001C08A5" w:rsidRDefault="001C08A5">
      <w:pPr>
        <w:ind w:firstLine="720"/>
        <w:jc w:val="both"/>
        <w:rPr>
          <w:sz w:val="24"/>
          <w:szCs w:val="24"/>
          <w:lang w:eastAsia="zh-CN"/>
        </w:rPr>
      </w:pPr>
    </w:p>
    <w:p w14:paraId="1CA28E4D" w14:textId="77777777" w:rsidR="001C08A5" w:rsidRDefault="00000000">
      <w:pPr>
        <w:jc w:val="both"/>
        <w:rPr>
          <w:b/>
          <w:sz w:val="24"/>
          <w:szCs w:val="24"/>
        </w:rPr>
      </w:pPr>
      <w:r>
        <w:rPr>
          <w:b/>
          <w:sz w:val="24"/>
          <w:szCs w:val="24"/>
        </w:rPr>
        <w:tab/>
        <w:t xml:space="preserve">Art. 2.5.6.1.3. (1) </w:t>
      </w:r>
      <w:r>
        <w:rPr>
          <w:sz w:val="24"/>
          <w:szCs w:val="24"/>
        </w:rPr>
        <w:t>Scările de evacuare se proiectează și se realizează astfel încât să asigure evacuarea utilizatorilor de la ultimul nivel suprateran sau subteran al clădirii, până la nivelul ieşirii în exterior (la nivelul terenului ori al unor suprafeţe exterioare carosabile sau pe o terasă care îndeplinește condițiile normate, de pe care evacuarea poate fi continuată până la nivelul terenului). Utilizatorii caselor de scări de evacuare închise trebuie să poată ajunge, fără a le mai părăsi, direct sau prin intermediul unui hol sau coridor realizat corespunzător prevederilor privind performanțele specifice destinaţiei și tipului de clădire, până la nivelul ieşirii în exterior.</w:t>
      </w:r>
    </w:p>
    <w:p w14:paraId="2339EDAD" w14:textId="77777777" w:rsidR="001C08A5" w:rsidRDefault="00000000">
      <w:pPr>
        <w:ind w:firstLine="720"/>
        <w:jc w:val="both"/>
        <w:rPr>
          <w:b/>
          <w:sz w:val="24"/>
          <w:szCs w:val="24"/>
        </w:rPr>
      </w:pPr>
      <w:r>
        <w:rPr>
          <w:b/>
          <w:sz w:val="24"/>
          <w:szCs w:val="24"/>
        </w:rPr>
        <w:t>(2)</w:t>
      </w:r>
      <w:r>
        <w:rPr>
          <w:sz w:val="24"/>
          <w:szCs w:val="24"/>
        </w:rPr>
        <w:t xml:space="preserve"> Fac excepţie scările din interiorul apartamentelor de locuit şi scările întrerupte la care evacuarea din punctul de întrerupere pâna la nivelul terenului poate fi continuată în siguranţă prin terase sau prin alte case de scări sau holuri cu acces direct în exterior. Legătura directă între două scări interioare întrerupte, trebuie să se realizeze printr-un palier comun</w:t>
      </w:r>
      <w:r>
        <w:rPr>
          <w:i/>
          <w:sz w:val="24"/>
          <w:szCs w:val="24"/>
        </w:rPr>
        <w:t>.</w:t>
      </w:r>
    </w:p>
    <w:p w14:paraId="005FC730" w14:textId="77777777" w:rsidR="001C08A5" w:rsidRDefault="00000000">
      <w:pPr>
        <w:ind w:firstLine="720"/>
        <w:jc w:val="both"/>
        <w:rPr>
          <w:sz w:val="24"/>
          <w:szCs w:val="24"/>
        </w:rPr>
      </w:pPr>
      <w:r>
        <w:rPr>
          <w:b/>
          <w:sz w:val="24"/>
          <w:szCs w:val="24"/>
        </w:rPr>
        <w:t>(3)</w:t>
      </w:r>
      <w:r>
        <w:rPr>
          <w:sz w:val="24"/>
          <w:szCs w:val="24"/>
        </w:rPr>
        <w:t xml:space="preserve"> Atunci când este obligatorie asigurarea a minimum două căi de evacuare, accesul utilizatorilor la cel puţin două scări de evacuare trebuie să fie posibil fără a trece prin casa vreuneia din ele, iar atunci când este admis ca o scară să fie deschisă, a doua scară va fi obligatoriu închisă.</w:t>
      </w:r>
    </w:p>
    <w:p w14:paraId="75693EE5" w14:textId="77777777" w:rsidR="001C08A5" w:rsidRDefault="00000000">
      <w:pPr>
        <w:ind w:firstLine="720"/>
        <w:jc w:val="both"/>
        <w:rPr>
          <w:b/>
          <w:sz w:val="24"/>
          <w:szCs w:val="24"/>
        </w:rPr>
      </w:pPr>
      <w:r>
        <w:rPr>
          <w:b/>
          <w:sz w:val="24"/>
          <w:szCs w:val="24"/>
        </w:rPr>
        <w:t>(4)</w:t>
      </w:r>
      <w:r>
        <w:rPr>
          <w:sz w:val="24"/>
          <w:szCs w:val="24"/>
        </w:rPr>
        <w:t xml:space="preserve"> Holurile în care debuşează liber scări de evacuare, pot fi asimilate cu casele de scări închise, dacă sunt destinate numai pentru circulaţie sau aşteptare, sunt separate faţă de restul construcţiei la fel ca scara de evacuare şi îndeplinesc condiţiile prevăzute pentru ușile de circulaţie şi evacuare ale scării. Ușile camerelor adiacente holului se prevăd cu dispozitive de autoînchidere (</w:t>
      </w:r>
      <w:r>
        <w:rPr>
          <w:b/>
          <w:sz w:val="24"/>
          <w:szCs w:val="24"/>
        </w:rPr>
        <w:t>C</w:t>
      </w:r>
      <w:r>
        <w:rPr>
          <w:sz w:val="24"/>
          <w:szCs w:val="24"/>
        </w:rPr>
        <w:t>).</w:t>
      </w:r>
    </w:p>
    <w:p w14:paraId="619EDBD0" w14:textId="77777777" w:rsidR="001C08A5" w:rsidRDefault="00000000">
      <w:pPr>
        <w:jc w:val="both"/>
        <w:rPr>
          <w:b/>
          <w:sz w:val="24"/>
          <w:szCs w:val="24"/>
        </w:rPr>
      </w:pPr>
      <w:r>
        <w:rPr>
          <w:b/>
          <w:sz w:val="24"/>
          <w:szCs w:val="24"/>
        </w:rPr>
        <w:tab/>
      </w:r>
    </w:p>
    <w:p w14:paraId="2663B61F" w14:textId="77777777" w:rsidR="001C08A5" w:rsidRDefault="00000000">
      <w:pPr>
        <w:ind w:firstLine="720"/>
        <w:jc w:val="both"/>
        <w:rPr>
          <w:sz w:val="24"/>
          <w:szCs w:val="24"/>
        </w:rPr>
      </w:pPr>
      <w:r>
        <w:rPr>
          <w:b/>
          <w:sz w:val="24"/>
          <w:szCs w:val="24"/>
        </w:rPr>
        <w:t>Art. 2.5.6.1.4. (1)</w:t>
      </w:r>
      <w:r>
        <w:rPr>
          <w:sz w:val="24"/>
          <w:szCs w:val="24"/>
        </w:rPr>
        <w:t xml:space="preserve"> Ieşirea din casele scărilor de evacuare la nivelul terenului sau al unor suprafeţe exterioare carosabile, se asigură obligatoriu:</w:t>
      </w:r>
    </w:p>
    <w:p w14:paraId="5A4E8AE4" w14:textId="77777777" w:rsidR="001C08A5" w:rsidRDefault="00000000">
      <w:pPr>
        <w:numPr>
          <w:ilvl w:val="0"/>
          <w:numId w:val="62"/>
        </w:numPr>
        <w:jc w:val="both"/>
        <w:rPr>
          <w:sz w:val="24"/>
          <w:szCs w:val="24"/>
        </w:rPr>
      </w:pPr>
      <w:r>
        <w:rPr>
          <w:sz w:val="24"/>
          <w:szCs w:val="24"/>
        </w:rPr>
        <w:t>direct în exterior;</w:t>
      </w:r>
    </w:p>
    <w:p w14:paraId="12333F8C" w14:textId="77777777" w:rsidR="001C08A5" w:rsidRDefault="00000000">
      <w:pPr>
        <w:numPr>
          <w:ilvl w:val="0"/>
          <w:numId w:val="62"/>
        </w:numPr>
        <w:jc w:val="both"/>
        <w:rPr>
          <w:sz w:val="24"/>
          <w:szCs w:val="24"/>
        </w:rPr>
      </w:pPr>
      <w:r>
        <w:rPr>
          <w:sz w:val="24"/>
          <w:szCs w:val="24"/>
        </w:rPr>
        <w:t>prin hol sau vestibul cu lungime normată de evacuare pentru fiecare tip și/ sau funcțiune de clădire și protejat conform condiții normate, în condițiile în care raportul între lățimea și lungimea acestuia nu depășește 1/2;</w:t>
      </w:r>
    </w:p>
    <w:p w14:paraId="531994DB" w14:textId="77777777" w:rsidR="001C08A5" w:rsidRDefault="00000000">
      <w:pPr>
        <w:numPr>
          <w:ilvl w:val="0"/>
          <w:numId w:val="62"/>
        </w:numPr>
        <w:jc w:val="both"/>
        <w:rPr>
          <w:sz w:val="24"/>
          <w:szCs w:val="24"/>
        </w:rPr>
      </w:pPr>
      <w:r>
        <w:rPr>
          <w:sz w:val="24"/>
          <w:szCs w:val="24"/>
        </w:rPr>
        <w:t>prin coridor cu lungime normată de evacuare într-o direcție (coridor înfundat) pentru fiecare tip și/ sau funcțiune de clădire și protejat conform condiții normate, în condițiile în care este singura cale de evacuare din casa de scări, până la ieşirea directă în exterior;</w:t>
      </w:r>
    </w:p>
    <w:p w14:paraId="17707BD7" w14:textId="77777777" w:rsidR="001C08A5" w:rsidRDefault="00000000">
      <w:pPr>
        <w:numPr>
          <w:ilvl w:val="0"/>
          <w:numId w:val="62"/>
        </w:numPr>
        <w:jc w:val="both"/>
        <w:rPr>
          <w:sz w:val="24"/>
          <w:szCs w:val="24"/>
        </w:rPr>
      </w:pPr>
      <w:r>
        <w:rPr>
          <w:sz w:val="24"/>
          <w:szCs w:val="24"/>
        </w:rPr>
        <w:t xml:space="preserve">prin degajament protejat (coridor, tunel de evacuare) cu lungimea de maximum </w:t>
      </w:r>
      <w:r>
        <w:rPr>
          <w:b/>
          <w:sz w:val="24"/>
          <w:szCs w:val="24"/>
        </w:rPr>
        <w:t>200</w:t>
      </w:r>
      <w:r>
        <w:rPr>
          <w:sz w:val="24"/>
          <w:szCs w:val="24"/>
        </w:rPr>
        <w:t xml:space="preserve"> m, prevăzut cu suprapresiune şi alcătuit din elemente care au rezistenţe la foc corespunzătoare densităţii sarcinii termice (q) din încăperile adiacente şi/sau </w:t>
      </w:r>
      <w:r>
        <w:rPr>
          <w:sz w:val="24"/>
          <w:szCs w:val="24"/>
          <w:lang w:eastAsia="ro-RO"/>
        </w:rPr>
        <w:t xml:space="preserve">alcătuit conform condiţiilor minime pe care trebuie să le îndeplinească </w:t>
      </w:r>
      <w:r>
        <w:rPr>
          <w:sz w:val="24"/>
          <w:szCs w:val="24"/>
        </w:rPr>
        <w:t>pereţii şi planşeele de separare a coridoarelor din clădiri, fără a fi însă mai mici de</w:t>
      </w:r>
      <w:r>
        <w:rPr>
          <w:b/>
          <w:sz w:val="24"/>
          <w:szCs w:val="24"/>
        </w:rPr>
        <w:t xml:space="preserve"> EI/REI 120</w:t>
      </w:r>
      <w:r>
        <w:rPr>
          <w:sz w:val="24"/>
          <w:szCs w:val="24"/>
        </w:rPr>
        <w:t xml:space="preserve"> pentru pereţi şi </w:t>
      </w:r>
      <w:r>
        <w:rPr>
          <w:b/>
          <w:sz w:val="24"/>
          <w:szCs w:val="24"/>
        </w:rPr>
        <w:t xml:space="preserve">REI </w:t>
      </w:r>
      <w:r>
        <w:rPr>
          <w:bCs/>
          <w:sz w:val="24"/>
          <w:szCs w:val="24"/>
        </w:rPr>
        <w:t xml:space="preserve">normat pentru planșee în funcție de nivelul de stabilitate la incendiu (dar minimum </w:t>
      </w:r>
      <w:r>
        <w:rPr>
          <w:b/>
          <w:sz w:val="24"/>
          <w:szCs w:val="24"/>
        </w:rPr>
        <w:t>REI 60</w:t>
      </w:r>
      <w:r>
        <w:rPr>
          <w:bCs/>
          <w:sz w:val="24"/>
          <w:szCs w:val="24"/>
        </w:rPr>
        <w:t>,</w:t>
      </w:r>
      <w:r>
        <w:rPr>
          <w:sz w:val="24"/>
          <w:szCs w:val="24"/>
        </w:rPr>
        <w:t xml:space="preserve"> pentru planşee). Atunci când elementele care au rezistenţe la foc se regăsesc în destinaţiile specifice detaliate în normativ, alcătuirea degajamentului protejat va îndeplini condiţiile de performanţă cele mai severe prevăzute în normativ pentru respectivele funcţiuni. Golurile de circulaţie funcţională și de evacuare din pereţii degajamentului, se protejează cu uşi rezistente la foc și etanșe la fum minimum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 xml:space="preserve">spre încăperile cu densitatea sarcinii termice (q) mai mare de </w:t>
      </w:r>
      <w:r>
        <w:rPr>
          <w:b/>
          <w:sz w:val="24"/>
          <w:szCs w:val="24"/>
        </w:rPr>
        <w:t>840</w:t>
      </w:r>
      <w:r>
        <w:rPr>
          <w:sz w:val="24"/>
          <w:szCs w:val="24"/>
        </w:rPr>
        <w:t xml:space="preserve"> </w:t>
      </w:r>
      <w:r>
        <w:rPr>
          <w:b/>
          <w:bCs/>
          <w:sz w:val="24"/>
          <w:szCs w:val="24"/>
        </w:rPr>
        <w:t>MJ/m²</w:t>
      </w:r>
      <w:r>
        <w:rPr>
          <w:sz w:val="24"/>
          <w:szCs w:val="24"/>
        </w:rPr>
        <w:t xml:space="preserve">, cu uşi rezistente la foc și etanșe la fum minimum </w:t>
      </w:r>
      <w:r>
        <w:rPr>
          <w:b/>
          <w:sz w:val="24"/>
          <w:szCs w:val="24"/>
        </w:rPr>
        <w:t>EI</w:t>
      </w:r>
      <w:r>
        <w:rPr>
          <w:b/>
          <w:sz w:val="24"/>
          <w:szCs w:val="24"/>
          <w:vertAlign w:val="subscript"/>
        </w:rPr>
        <w:t>2</w:t>
      </w:r>
      <w:r>
        <w:rPr>
          <w:b/>
          <w:sz w:val="24"/>
          <w:szCs w:val="24"/>
        </w:rPr>
        <w:t xml:space="preserve"> 60-C5S</w:t>
      </w:r>
      <w:r>
        <w:rPr>
          <w:b/>
          <w:bCs/>
          <w:sz w:val="24"/>
          <w:szCs w:val="24"/>
          <w:vertAlign w:val="subscript"/>
        </w:rPr>
        <w:t xml:space="preserve">200 </w:t>
      </w:r>
      <w:r>
        <w:rPr>
          <w:sz w:val="24"/>
          <w:szCs w:val="24"/>
        </w:rPr>
        <w:t xml:space="preserve">spre încăperile cu densitatea sarcinii termice (q) mai mare de </w:t>
      </w:r>
      <w:r>
        <w:rPr>
          <w:b/>
          <w:sz w:val="24"/>
          <w:szCs w:val="24"/>
        </w:rPr>
        <w:t>420</w:t>
      </w:r>
      <w:r>
        <w:rPr>
          <w:sz w:val="24"/>
          <w:szCs w:val="24"/>
        </w:rPr>
        <w:t xml:space="preserve"> </w:t>
      </w:r>
      <w:r>
        <w:rPr>
          <w:b/>
          <w:bCs/>
          <w:sz w:val="24"/>
          <w:szCs w:val="24"/>
        </w:rPr>
        <w:t>MJ/m²</w:t>
      </w:r>
      <w:r>
        <w:rPr>
          <w:sz w:val="24"/>
          <w:szCs w:val="24"/>
        </w:rPr>
        <w:t xml:space="preserve"> şi cu uși rezistente la foc și etanșe la fum </w:t>
      </w:r>
      <w:r>
        <w:rPr>
          <w:b/>
          <w:sz w:val="24"/>
          <w:szCs w:val="24"/>
        </w:rPr>
        <w:t>EI</w:t>
      </w:r>
      <w:r>
        <w:rPr>
          <w:b/>
          <w:sz w:val="24"/>
          <w:szCs w:val="24"/>
          <w:vertAlign w:val="subscript"/>
        </w:rPr>
        <w:t>2</w:t>
      </w:r>
      <w:r>
        <w:rPr>
          <w:b/>
          <w:sz w:val="24"/>
          <w:szCs w:val="24"/>
        </w:rPr>
        <w:t>30</w:t>
      </w:r>
      <w:r>
        <w:rPr>
          <w:b/>
          <w:bCs/>
          <w:sz w:val="24"/>
          <w:szCs w:val="24"/>
        </w:rPr>
        <w:t>-</w:t>
      </w:r>
      <w:r>
        <w:rPr>
          <w:b/>
          <w:sz w:val="24"/>
          <w:szCs w:val="24"/>
        </w:rPr>
        <w:t>C5S</w:t>
      </w:r>
      <w:r>
        <w:rPr>
          <w:b/>
          <w:sz w:val="24"/>
          <w:szCs w:val="24"/>
          <w:vertAlign w:val="subscript"/>
        </w:rPr>
        <w:t xml:space="preserve">a </w:t>
      </w:r>
      <w:r>
        <w:rPr>
          <w:sz w:val="24"/>
          <w:szCs w:val="24"/>
        </w:rPr>
        <w:t>spre încăperile cu densitatea sarcinii termice (</w:t>
      </w:r>
      <w:r>
        <w:rPr>
          <w:b/>
          <w:bCs/>
          <w:sz w:val="24"/>
          <w:szCs w:val="24"/>
        </w:rPr>
        <w:t>q</w:t>
      </w:r>
      <w:r>
        <w:rPr>
          <w:sz w:val="24"/>
          <w:szCs w:val="24"/>
        </w:rPr>
        <w:t xml:space="preserve">) mai mică de </w:t>
      </w:r>
      <w:r>
        <w:rPr>
          <w:b/>
          <w:sz w:val="24"/>
          <w:szCs w:val="24"/>
        </w:rPr>
        <w:t>420</w:t>
      </w:r>
      <w:r>
        <w:rPr>
          <w:b/>
          <w:bCs/>
          <w:sz w:val="24"/>
          <w:szCs w:val="24"/>
        </w:rPr>
        <w:t xml:space="preserve"> MJ/m²</w:t>
      </w:r>
      <w:r>
        <w:rPr>
          <w:sz w:val="24"/>
          <w:szCs w:val="24"/>
        </w:rPr>
        <w:t>. Atunci când elementele de separare a golurilor de circulaţie funcţională și de evacuare din pereţii degajamentului, se regăsesc în destinaţiile specifice detaliate în normativ, se asigură cele mai severe măsuri de protecţie normate.</w:t>
      </w:r>
    </w:p>
    <w:p w14:paraId="514B9842" w14:textId="77777777" w:rsidR="001C08A5" w:rsidRDefault="00000000">
      <w:pPr>
        <w:ind w:firstLine="720"/>
        <w:jc w:val="both"/>
        <w:rPr>
          <w:sz w:val="24"/>
          <w:szCs w:val="24"/>
        </w:rPr>
      </w:pPr>
      <w:r>
        <w:rPr>
          <w:b/>
          <w:sz w:val="24"/>
          <w:szCs w:val="24"/>
        </w:rPr>
        <w:t>(2)</w:t>
      </w:r>
      <w:r>
        <w:rPr>
          <w:sz w:val="24"/>
          <w:szCs w:val="24"/>
        </w:rPr>
        <w:t xml:space="preserve"> Atunci când sunt obligatorii minimum două căi de evacuare a utilizatorilor construcţiei, se asigură ieşiri distincte, separate, ale acestora spre exterior. </w:t>
      </w:r>
    </w:p>
    <w:p w14:paraId="5C1CFBCF" w14:textId="77777777" w:rsidR="001C08A5" w:rsidRDefault="001C08A5">
      <w:pPr>
        <w:jc w:val="both"/>
        <w:rPr>
          <w:sz w:val="24"/>
          <w:szCs w:val="24"/>
        </w:rPr>
      </w:pPr>
    </w:p>
    <w:p w14:paraId="5EF51A40" w14:textId="77777777" w:rsidR="001C08A5" w:rsidRDefault="00000000">
      <w:pPr>
        <w:jc w:val="both"/>
        <w:rPr>
          <w:sz w:val="24"/>
          <w:szCs w:val="24"/>
        </w:rPr>
      </w:pPr>
      <w:r>
        <w:rPr>
          <w:b/>
          <w:sz w:val="24"/>
          <w:szCs w:val="24"/>
        </w:rPr>
        <w:lastRenderedPageBreak/>
        <w:tab/>
        <w:t>Art. 2.5.6.1.5. (1)</w:t>
      </w:r>
      <w:r>
        <w:rPr>
          <w:sz w:val="24"/>
          <w:szCs w:val="24"/>
        </w:rPr>
        <w:t xml:space="preserve"> Înclinarea rampelor scărilor de evacuare, suprafaţa şi forma treptelor și a podestelor, trebuie să permită circulaţia uşoară și sigură a utilizatorilor, potrivit prevederilor reglementărilor tehnice aplicabile.</w:t>
      </w:r>
    </w:p>
    <w:p w14:paraId="7BFCF239" w14:textId="77777777" w:rsidR="001C08A5" w:rsidRDefault="00000000">
      <w:pPr>
        <w:ind w:firstLine="720"/>
        <w:jc w:val="both"/>
        <w:rPr>
          <w:sz w:val="24"/>
          <w:szCs w:val="24"/>
        </w:rPr>
      </w:pPr>
      <w:r>
        <w:rPr>
          <w:b/>
          <w:bCs/>
          <w:sz w:val="24"/>
          <w:szCs w:val="24"/>
        </w:rPr>
        <w:t>(2)</w:t>
      </w:r>
      <w:r>
        <w:rPr>
          <w:sz w:val="24"/>
          <w:szCs w:val="24"/>
        </w:rPr>
        <w:t xml:space="preserve"> Scările în spirală sunt considerate căi de evacuare numai pentru o singură unitate de trecere (flux) de evacuare a utilizatorilor, atunci când îndeplinesc condiţiile de alcătuire și dimensionare prevăzute în normativ şi reglementările tehnice specifice scărilor. </w:t>
      </w:r>
    </w:p>
    <w:p w14:paraId="31E560E8" w14:textId="77777777" w:rsidR="001C08A5" w:rsidRDefault="00000000">
      <w:pPr>
        <w:ind w:firstLine="720"/>
        <w:jc w:val="both"/>
        <w:rPr>
          <w:sz w:val="24"/>
          <w:szCs w:val="24"/>
        </w:rPr>
      </w:pPr>
      <w:r>
        <w:rPr>
          <w:b/>
          <w:bCs/>
          <w:sz w:val="24"/>
          <w:szCs w:val="24"/>
        </w:rPr>
        <w:t>(3)</w:t>
      </w:r>
      <w:r>
        <w:rPr>
          <w:sz w:val="24"/>
          <w:szCs w:val="24"/>
        </w:rPr>
        <w:t xml:space="preserve">Scările cu rampe curbe (elicoidale) sunt considerate căi de evacuare a utilizatorilor numai în porţiunile de rampe în care lăţimea minimă a treptei este de </w:t>
      </w:r>
      <w:r>
        <w:rPr>
          <w:b/>
          <w:sz w:val="24"/>
          <w:szCs w:val="24"/>
        </w:rPr>
        <w:t>18</w:t>
      </w:r>
      <w:r>
        <w:rPr>
          <w:b/>
          <w:bCs/>
          <w:sz w:val="24"/>
          <w:szCs w:val="24"/>
        </w:rPr>
        <w:t xml:space="preserve"> cm </w:t>
      </w:r>
      <w:r>
        <w:rPr>
          <w:sz w:val="24"/>
          <w:szCs w:val="24"/>
        </w:rPr>
        <w:t xml:space="preserve">şi lăţimea maximă este de </w:t>
      </w:r>
      <w:r>
        <w:rPr>
          <w:b/>
          <w:sz w:val="24"/>
          <w:szCs w:val="24"/>
        </w:rPr>
        <w:t>40</w:t>
      </w:r>
      <w:r>
        <w:rPr>
          <w:b/>
          <w:bCs/>
          <w:sz w:val="24"/>
          <w:szCs w:val="24"/>
        </w:rPr>
        <w:t>cm</w:t>
      </w:r>
      <w:r>
        <w:rPr>
          <w:sz w:val="24"/>
          <w:szCs w:val="24"/>
        </w:rPr>
        <w:t xml:space="preserve"> , pentru o unitate de trecere (flux) sau mai multe unități de trecere (fluxuri) de evacuare a utilizatorilor (</w:t>
      </w:r>
      <w:r>
        <w:rPr>
          <w:rFonts w:cs="Mangal"/>
          <w:b/>
          <w:i/>
          <w:iCs/>
          <w:sz w:val="24"/>
          <w:szCs w:val="24"/>
        </w:rPr>
        <w:fldChar w:fldCharType="begin"/>
      </w:r>
      <w:r>
        <w:rPr>
          <w:rFonts w:cs="Mangal"/>
          <w:b/>
          <w:i/>
          <w:iCs/>
          <w:sz w:val="24"/>
          <w:szCs w:val="24"/>
        </w:rPr>
        <w:instrText xml:space="preserve"> REF _Ref15824 \h </w:instrText>
      </w:r>
      <w:r>
        <w:rPr>
          <w:rFonts w:cs="Mangal"/>
          <w:b/>
          <w:i/>
          <w:iCs/>
          <w:sz w:val="24"/>
          <w:szCs w:val="24"/>
        </w:rPr>
      </w:r>
      <w:r>
        <w:rPr>
          <w:rFonts w:cs="Mangal"/>
          <w:b/>
          <w:i/>
          <w:iCs/>
          <w:sz w:val="24"/>
          <w:szCs w:val="24"/>
        </w:rPr>
        <w:fldChar w:fldCharType="separate"/>
      </w:r>
      <w:r>
        <w:t>Figura 58</w:t>
      </w:r>
      <w:r>
        <w:rPr>
          <w:rFonts w:cs="Mangal"/>
          <w:b/>
          <w:i/>
          <w:iCs/>
          <w:sz w:val="24"/>
          <w:szCs w:val="24"/>
        </w:rPr>
        <w:fldChar w:fldCharType="end"/>
      </w:r>
      <w:r>
        <w:rPr>
          <w:sz w:val="24"/>
          <w:szCs w:val="24"/>
        </w:rPr>
        <w:t xml:space="preserve">), atunci când îndeplinesc condiţiile de alcătuire și dimensionare prevăzute în reglementările tehnice specifice scărilor (linia pasului, etc.), iar raza interioară de curbură </w:t>
      </w:r>
      <w:r>
        <w:rPr>
          <w:sz w:val="24"/>
          <w:szCs w:val="24"/>
          <w:lang w:eastAsia="zh-CN"/>
        </w:rPr>
        <w:t>este cel puțin de două ori cât lățimea scării</w:t>
      </w:r>
      <w:r>
        <w:rPr>
          <w:sz w:val="24"/>
          <w:szCs w:val="24"/>
        </w:rPr>
        <w:t>.</w:t>
      </w:r>
    </w:p>
    <w:p w14:paraId="47C362D9" w14:textId="77777777" w:rsidR="001C08A5" w:rsidRDefault="00000000">
      <w:pPr>
        <w:ind w:firstLine="720"/>
        <w:jc w:val="center"/>
      </w:pPr>
      <w:r>
        <w:rPr>
          <w:noProof/>
          <w:lang w:eastAsia="ro-RO"/>
        </w:rPr>
        <w:drawing>
          <wp:inline distT="0" distB="0" distL="0" distR="0" wp14:anchorId="61E01A5F" wp14:editId="6D609922">
            <wp:extent cx="3272155" cy="1820545"/>
            <wp:effectExtent l="0" t="0" r="4445" b="7620"/>
            <wp:docPr id="1135" name="Picture 5"/>
            <wp:cNvGraphicFramePr/>
            <a:graphic xmlns:a="http://schemas.openxmlformats.org/drawingml/2006/main">
              <a:graphicData uri="http://schemas.openxmlformats.org/drawingml/2006/picture">
                <pic:pic xmlns:pic="http://schemas.openxmlformats.org/drawingml/2006/picture">
                  <pic:nvPicPr>
                    <pic:cNvPr id="1135" name="Picture 5"/>
                    <pic:cNvPicPr/>
                  </pic:nvPicPr>
                  <pic:blipFill>
                    <a:blip r:embed="rId165" cstate="print"/>
                    <a:srcRect l="32918" t="22971" r="23743" b="3828"/>
                    <a:stretch>
                      <a:fillRect/>
                    </a:stretch>
                  </pic:blipFill>
                  <pic:spPr>
                    <a:xfrm>
                      <a:off x="0" y="0"/>
                      <a:ext cx="3272155" cy="1821177"/>
                    </a:xfrm>
                    <a:prstGeom prst="rect">
                      <a:avLst/>
                    </a:prstGeom>
                    <a:ln>
                      <a:noFill/>
                    </a:ln>
                  </pic:spPr>
                </pic:pic>
              </a:graphicData>
            </a:graphic>
          </wp:inline>
        </w:drawing>
      </w:r>
    </w:p>
    <w:p w14:paraId="2DB3EC02" w14:textId="77777777" w:rsidR="001C08A5" w:rsidRDefault="00000000">
      <w:pPr>
        <w:pStyle w:val="Caption"/>
        <w:jc w:val="center"/>
      </w:pPr>
      <w:bookmarkStart w:id="2165" w:name="_Ref15824"/>
      <w:bookmarkStart w:id="2166" w:name="_Toc23359"/>
      <w:bookmarkStart w:id="2167" w:name="_Toc18713"/>
      <w:bookmarkStart w:id="2168" w:name="_Toc18678"/>
      <w:bookmarkStart w:id="2169" w:name="_Toc162360282"/>
      <w:bookmarkStart w:id="2170" w:name="_Toc12559"/>
      <w:r>
        <w:t xml:space="preserve">Figura </w:t>
      </w:r>
      <w:r>
        <w:fldChar w:fldCharType="begin"/>
      </w:r>
      <w:r>
        <w:instrText xml:space="preserve"> SEQ Figura \* ARABIC </w:instrText>
      </w:r>
      <w:r>
        <w:fldChar w:fldCharType="separate"/>
      </w:r>
      <w:r>
        <w:t>58</w:t>
      </w:r>
      <w:r>
        <w:fldChar w:fldCharType="end"/>
      </w:r>
      <w:bookmarkStart w:id="2171" w:name="_Toc12787"/>
      <w:bookmarkStart w:id="2172" w:name="_Toc29659"/>
      <w:bookmarkStart w:id="2173" w:name="_Toc4789"/>
      <w:bookmarkStart w:id="2174" w:name="_Toc8250"/>
      <w:bookmarkStart w:id="2175" w:name="_Toc24262"/>
      <w:bookmarkStart w:id="2176" w:name="_Toc1893"/>
      <w:bookmarkStart w:id="2177" w:name="_Toc23203"/>
      <w:bookmarkStart w:id="2178" w:name="_Toc22788"/>
      <w:bookmarkStart w:id="2179" w:name="_Toc26682"/>
      <w:bookmarkStart w:id="2180" w:name="_Toc3085"/>
      <w:bookmarkStart w:id="2181" w:name="_Toc3611"/>
      <w:bookmarkEnd w:id="2165"/>
      <w:r>
        <w:t xml:space="preserve"> - </w:t>
      </w:r>
      <w:r>
        <w:rPr>
          <w:rFonts w:cs="Times New Roman"/>
        </w:rPr>
        <w:t>Scări cu rampe curbe (elicoidale) care sunt considerate căi de evacuare pentru mai multe unități de trecere (fluxuri)</w:t>
      </w:r>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p>
    <w:p w14:paraId="6A71E603" w14:textId="77777777" w:rsidR="001C08A5" w:rsidRDefault="00000000">
      <w:pPr>
        <w:ind w:firstLine="720"/>
        <w:jc w:val="both"/>
        <w:rPr>
          <w:b/>
          <w:sz w:val="24"/>
          <w:szCs w:val="24"/>
        </w:rPr>
      </w:pPr>
      <w:r>
        <w:rPr>
          <w:b/>
          <w:sz w:val="24"/>
          <w:szCs w:val="24"/>
        </w:rPr>
        <w:t>(4)</w:t>
      </w:r>
      <w:r>
        <w:rPr>
          <w:sz w:val="24"/>
          <w:szCs w:val="24"/>
        </w:rPr>
        <w:t xml:space="preserve"> Scările cu trepte balansate pot fi considerate căi de evacuare numai pentru o unitate de trecere (flux) de evacuare a utilizatorilor, atunci când îndeplinesc condiţiile de alcătuire prevăzute în normativ și dimensionare prevăzute în reglementările tehnice specifice scărilor.</w:t>
      </w:r>
    </w:p>
    <w:p w14:paraId="2E91E066" w14:textId="77777777" w:rsidR="001C08A5" w:rsidRDefault="001C08A5">
      <w:pPr>
        <w:jc w:val="both"/>
        <w:rPr>
          <w:b/>
          <w:sz w:val="24"/>
          <w:szCs w:val="24"/>
        </w:rPr>
      </w:pPr>
    </w:p>
    <w:p w14:paraId="2D5A84B2" w14:textId="77777777" w:rsidR="001C08A5" w:rsidRDefault="00000000">
      <w:pPr>
        <w:jc w:val="both"/>
        <w:rPr>
          <w:sz w:val="24"/>
          <w:szCs w:val="24"/>
        </w:rPr>
      </w:pPr>
      <w:r>
        <w:rPr>
          <w:b/>
          <w:sz w:val="24"/>
          <w:szCs w:val="24"/>
        </w:rPr>
        <w:tab/>
        <w:t xml:space="preserve">Art. 2.5.6.1.6. (1) </w:t>
      </w:r>
      <w:r>
        <w:rPr>
          <w:sz w:val="24"/>
          <w:szCs w:val="24"/>
        </w:rPr>
        <w:t>Scările de evacuare din construcţii pot fi înlocuite cu planuri înclinate de evacuare, dacă acestea îndeplinesc prevederile din normativ și din reglementările tehnice referitoare la scări (dispunere, închidere, rezistenţă la foc, dimensionare etc.).</w:t>
      </w:r>
    </w:p>
    <w:p w14:paraId="04A159C3" w14:textId="77777777" w:rsidR="001C08A5" w:rsidRDefault="00000000">
      <w:pPr>
        <w:ind w:firstLine="720"/>
        <w:jc w:val="both"/>
        <w:rPr>
          <w:sz w:val="24"/>
          <w:szCs w:val="24"/>
        </w:rPr>
      </w:pPr>
      <w:r>
        <w:rPr>
          <w:b/>
          <w:sz w:val="24"/>
          <w:szCs w:val="24"/>
        </w:rPr>
        <w:t xml:space="preserve">(2) </w:t>
      </w:r>
      <w:r>
        <w:rPr>
          <w:sz w:val="24"/>
          <w:szCs w:val="24"/>
        </w:rPr>
        <w:t xml:space="preserve">Planurile înclinate de evacuare pot avea pante de maximum </w:t>
      </w:r>
      <w:r>
        <w:rPr>
          <w:b/>
          <w:sz w:val="24"/>
          <w:szCs w:val="24"/>
        </w:rPr>
        <w:t>10%</w:t>
      </w:r>
      <w:r>
        <w:rPr>
          <w:sz w:val="24"/>
          <w:szCs w:val="24"/>
        </w:rPr>
        <w:t xml:space="preserve"> atunci când sunt în interiorul construcţiei şi de maximum </w:t>
      </w:r>
      <w:r>
        <w:rPr>
          <w:b/>
          <w:sz w:val="24"/>
          <w:szCs w:val="24"/>
        </w:rPr>
        <w:t>8%</w:t>
      </w:r>
      <w:r>
        <w:rPr>
          <w:sz w:val="24"/>
          <w:szCs w:val="24"/>
        </w:rPr>
        <w:t xml:space="preserve"> în exteriorul acesteia, fiind prevăzute cu strat de uzură rugos, care să împiedice alunecarea utilizatorilor. În construcțiile în care sunt prezenti copii de varsta preșcolară și persoane cu disabilitati se respectă prevederile normelor specifice.</w:t>
      </w:r>
    </w:p>
    <w:p w14:paraId="3CFD510D" w14:textId="77777777" w:rsidR="001C08A5" w:rsidRDefault="001C08A5">
      <w:pPr>
        <w:jc w:val="both"/>
        <w:rPr>
          <w:sz w:val="24"/>
          <w:szCs w:val="24"/>
        </w:rPr>
      </w:pPr>
    </w:p>
    <w:p w14:paraId="5D1B36F0" w14:textId="77777777" w:rsidR="001C08A5" w:rsidRDefault="00000000">
      <w:pPr>
        <w:ind w:firstLine="720"/>
        <w:jc w:val="both"/>
        <w:rPr>
          <w:sz w:val="24"/>
          <w:szCs w:val="24"/>
        </w:rPr>
      </w:pPr>
      <w:r>
        <w:rPr>
          <w:b/>
          <w:sz w:val="24"/>
          <w:szCs w:val="24"/>
        </w:rPr>
        <w:t xml:space="preserve">Art. 2.5.6.1.7. (1) </w:t>
      </w:r>
      <w:r>
        <w:rPr>
          <w:bCs/>
          <w:sz w:val="24"/>
          <w:szCs w:val="24"/>
        </w:rPr>
        <w:t>Planurile inclinate rulante</w:t>
      </w:r>
      <w:r>
        <w:rPr>
          <w:sz w:val="24"/>
          <w:szCs w:val="24"/>
        </w:rPr>
        <w:t xml:space="preserve"> deschise pot fi prevăzute în construcţii, dacă sunt asigurate și scări fixe de evacuare a utilizatorilor, alcătuite şi realizate conform prevederilor normativului.</w:t>
      </w:r>
    </w:p>
    <w:p w14:paraId="78177F82" w14:textId="77777777" w:rsidR="001C08A5" w:rsidRDefault="00000000">
      <w:pPr>
        <w:ind w:firstLine="720"/>
        <w:jc w:val="both"/>
        <w:rPr>
          <w:sz w:val="24"/>
          <w:szCs w:val="24"/>
        </w:rPr>
      </w:pPr>
      <w:r>
        <w:rPr>
          <w:b/>
          <w:sz w:val="24"/>
          <w:szCs w:val="24"/>
        </w:rPr>
        <w:t xml:space="preserve">(2) </w:t>
      </w:r>
      <w:r>
        <w:rPr>
          <w:sz w:val="24"/>
          <w:szCs w:val="24"/>
        </w:rPr>
        <w:t>Planurile inclinate rulante deschise utilizate în construcţii trebuie:</w:t>
      </w:r>
    </w:p>
    <w:p w14:paraId="388394C4" w14:textId="77777777" w:rsidR="001C08A5" w:rsidRDefault="00000000">
      <w:pPr>
        <w:ind w:left="1440" w:firstLine="720"/>
        <w:jc w:val="both"/>
        <w:rPr>
          <w:b/>
          <w:sz w:val="24"/>
          <w:szCs w:val="24"/>
        </w:rPr>
      </w:pPr>
      <w:r>
        <w:rPr>
          <w:b/>
          <w:sz w:val="24"/>
          <w:szCs w:val="24"/>
        </w:rPr>
        <w:t xml:space="preserve">a)  </w:t>
      </w:r>
      <w:r>
        <w:rPr>
          <w:sz w:val="24"/>
          <w:szCs w:val="24"/>
        </w:rPr>
        <w:t xml:space="preserve">să asigure împiedicarea propagării uşoare a fumului şi focului de la un nivel la altul al construcţiei, prin dispunerea pe conturul golului din planşeu a unor ecrane continue rezistente la foc minimum </w:t>
      </w:r>
      <w:r>
        <w:rPr>
          <w:b/>
          <w:sz w:val="24"/>
          <w:szCs w:val="24"/>
        </w:rPr>
        <w:t>DH 60</w:t>
      </w:r>
      <w:r>
        <w:rPr>
          <w:sz w:val="24"/>
          <w:szCs w:val="24"/>
        </w:rPr>
        <w:t xml:space="preserve"> pentru nivelul </w:t>
      </w:r>
      <w:r>
        <w:rPr>
          <w:b/>
          <w:sz w:val="24"/>
          <w:szCs w:val="24"/>
        </w:rPr>
        <w:t xml:space="preserve">I </w:t>
      </w:r>
      <w:r>
        <w:rPr>
          <w:sz w:val="24"/>
          <w:szCs w:val="24"/>
        </w:rPr>
        <w:t xml:space="preserve">şi </w:t>
      </w:r>
      <w:r>
        <w:rPr>
          <w:b/>
          <w:sz w:val="24"/>
          <w:szCs w:val="24"/>
        </w:rPr>
        <w:t xml:space="preserve">II </w:t>
      </w:r>
      <w:r>
        <w:rPr>
          <w:sz w:val="24"/>
          <w:szCs w:val="24"/>
        </w:rPr>
        <w:t xml:space="preserve">de stabilitate la </w:t>
      </w:r>
      <w:r>
        <w:rPr>
          <w:iCs/>
          <w:sz w:val="24"/>
          <w:szCs w:val="24"/>
        </w:rPr>
        <w:t>incendiu</w:t>
      </w:r>
      <w:r>
        <w:rPr>
          <w:sz w:val="24"/>
          <w:szCs w:val="24"/>
        </w:rPr>
        <w:t xml:space="preserve"> și </w:t>
      </w:r>
      <w:r>
        <w:rPr>
          <w:bCs/>
          <w:sz w:val="24"/>
          <w:szCs w:val="24"/>
        </w:rPr>
        <w:t xml:space="preserve">minimum </w:t>
      </w:r>
      <w:r>
        <w:rPr>
          <w:b/>
          <w:bCs/>
          <w:sz w:val="24"/>
          <w:szCs w:val="24"/>
        </w:rPr>
        <w:t>DH 30</w:t>
      </w:r>
      <w:r>
        <w:rPr>
          <w:bCs/>
          <w:sz w:val="24"/>
          <w:szCs w:val="24"/>
        </w:rPr>
        <w:t xml:space="preserve"> pentru</w:t>
      </w:r>
      <w:r>
        <w:rPr>
          <w:sz w:val="24"/>
          <w:szCs w:val="24"/>
        </w:rPr>
        <w:t xml:space="preserve"> celelalte</w:t>
      </w:r>
      <w:r>
        <w:rPr>
          <w:bCs/>
          <w:sz w:val="24"/>
          <w:szCs w:val="24"/>
        </w:rPr>
        <w:t xml:space="preserve"> niveluri de stabilitate la </w:t>
      </w:r>
      <w:r>
        <w:rPr>
          <w:iCs/>
          <w:sz w:val="24"/>
          <w:szCs w:val="24"/>
        </w:rPr>
        <w:t>incendiu</w:t>
      </w:r>
      <w:r>
        <w:rPr>
          <w:sz w:val="24"/>
          <w:szCs w:val="24"/>
        </w:rPr>
        <w:t xml:space="preserve">, cu înălţimea de minimum </w:t>
      </w:r>
      <w:r>
        <w:rPr>
          <w:b/>
          <w:sz w:val="24"/>
          <w:szCs w:val="24"/>
        </w:rPr>
        <w:t>50 c</w:t>
      </w:r>
      <w:r>
        <w:rPr>
          <w:b/>
          <w:bCs/>
          <w:sz w:val="24"/>
          <w:szCs w:val="24"/>
        </w:rPr>
        <w:t>m</w:t>
      </w:r>
      <w:r>
        <w:rPr>
          <w:sz w:val="24"/>
          <w:szCs w:val="24"/>
        </w:rPr>
        <w:t xml:space="preserve"> (sub planşeu) și cu sprinklere, pe toată lungimea ecranelor, cu timpul normat de funcţionare al instalaţiei de minimum </w:t>
      </w:r>
      <w:r>
        <w:rPr>
          <w:b/>
          <w:sz w:val="24"/>
          <w:szCs w:val="24"/>
        </w:rPr>
        <w:t>60</w:t>
      </w:r>
      <w:r>
        <w:rPr>
          <w:sz w:val="24"/>
          <w:szCs w:val="24"/>
        </w:rPr>
        <w:t xml:space="preserve"> minute;</w:t>
      </w:r>
      <w:r>
        <w:rPr>
          <w:b/>
          <w:sz w:val="24"/>
          <w:szCs w:val="24"/>
        </w:rPr>
        <w:tab/>
      </w:r>
    </w:p>
    <w:p w14:paraId="2AEEE478" w14:textId="77777777" w:rsidR="001C08A5" w:rsidRDefault="00000000">
      <w:pPr>
        <w:ind w:left="1440" w:firstLine="720"/>
        <w:jc w:val="both"/>
        <w:rPr>
          <w:sz w:val="24"/>
          <w:szCs w:val="24"/>
          <w:lang w:eastAsia="en-US"/>
        </w:rPr>
      </w:pPr>
      <w:r>
        <w:rPr>
          <w:b/>
          <w:sz w:val="24"/>
          <w:szCs w:val="24"/>
        </w:rPr>
        <w:t xml:space="preserve">b)  </w:t>
      </w:r>
      <w:r>
        <w:rPr>
          <w:sz w:val="24"/>
          <w:szCs w:val="24"/>
        </w:rPr>
        <w:t xml:space="preserve">să </w:t>
      </w:r>
      <w:r>
        <w:rPr>
          <w:sz w:val="24"/>
          <w:szCs w:val="24"/>
          <w:lang w:eastAsia="en-US"/>
        </w:rPr>
        <w:t xml:space="preserve">fie executate din materiale </w:t>
      </w:r>
      <w:r>
        <w:rPr>
          <w:b/>
          <w:bCs/>
          <w:sz w:val="24"/>
          <w:szCs w:val="24"/>
          <w:lang w:eastAsia="en-US"/>
        </w:rPr>
        <w:t xml:space="preserve">A1 </w:t>
      </w:r>
      <w:r>
        <w:rPr>
          <w:sz w:val="24"/>
          <w:szCs w:val="24"/>
          <w:lang w:eastAsia="en-US"/>
        </w:rPr>
        <w:t>sau</w:t>
      </w:r>
      <w:r>
        <w:rPr>
          <w:b/>
          <w:bCs/>
          <w:sz w:val="24"/>
          <w:szCs w:val="24"/>
          <w:lang w:eastAsia="en-US"/>
        </w:rPr>
        <w:t xml:space="preserve"> A2 - s1,d0</w:t>
      </w:r>
      <w:r>
        <w:rPr>
          <w:sz w:val="24"/>
          <w:szCs w:val="24"/>
          <w:lang w:eastAsia="en-US"/>
        </w:rPr>
        <w:t>, cu excepţia balustradelor şi roţilor de antrenare</w:t>
      </w:r>
    </w:p>
    <w:p w14:paraId="29BF8B17" w14:textId="77777777" w:rsidR="001C08A5" w:rsidRDefault="00000000">
      <w:pPr>
        <w:ind w:left="1440" w:firstLine="720"/>
        <w:jc w:val="both"/>
        <w:rPr>
          <w:sz w:val="24"/>
          <w:szCs w:val="24"/>
          <w:lang w:eastAsia="en-US"/>
        </w:rPr>
      </w:pPr>
      <w:r>
        <w:rPr>
          <w:b/>
          <w:sz w:val="24"/>
          <w:szCs w:val="24"/>
        </w:rPr>
        <w:t xml:space="preserve">c)  în </w:t>
      </w:r>
      <w:r>
        <w:rPr>
          <w:bCs/>
          <w:sz w:val="24"/>
          <w:szCs w:val="24"/>
        </w:rPr>
        <w:t xml:space="preserve">conditiile în care nu se pot executa conform </w:t>
      </w:r>
      <w:r>
        <w:rPr>
          <w:b/>
          <w:sz w:val="24"/>
          <w:szCs w:val="24"/>
        </w:rPr>
        <w:t>lit.b)</w:t>
      </w:r>
      <w:r>
        <w:rPr>
          <w:bCs/>
          <w:sz w:val="24"/>
          <w:szCs w:val="24"/>
        </w:rPr>
        <w:t xml:space="preserve"> </w:t>
      </w:r>
      <w:r>
        <w:rPr>
          <w:bCs/>
          <w:sz w:val="24"/>
          <w:szCs w:val="24"/>
          <w:lang w:eastAsia="en-US"/>
        </w:rPr>
        <w:t xml:space="preserve">și să fie prevazute cu sisteme, locale, automate de stingere a incendiului cu apă pulverizată conform normativului de profil; </w:t>
      </w:r>
    </w:p>
    <w:p w14:paraId="3447AD60" w14:textId="77777777" w:rsidR="001C08A5" w:rsidRDefault="00000000">
      <w:pPr>
        <w:ind w:left="1440" w:firstLine="720"/>
        <w:jc w:val="both"/>
        <w:rPr>
          <w:sz w:val="24"/>
          <w:szCs w:val="24"/>
        </w:rPr>
      </w:pPr>
      <w:r>
        <w:rPr>
          <w:b/>
          <w:sz w:val="24"/>
          <w:szCs w:val="24"/>
        </w:rPr>
        <w:lastRenderedPageBreak/>
        <w:t xml:space="preserve">d)  </w:t>
      </w:r>
      <w:r>
        <w:rPr>
          <w:sz w:val="24"/>
          <w:szCs w:val="24"/>
        </w:rPr>
        <w:t xml:space="preserve">să </w:t>
      </w:r>
      <w:r>
        <w:rPr>
          <w:sz w:val="24"/>
          <w:szCs w:val="24"/>
          <w:lang w:eastAsia="en-US"/>
        </w:rPr>
        <w:t>fie</w:t>
      </w:r>
      <w:r>
        <w:rPr>
          <w:sz w:val="24"/>
          <w:szCs w:val="24"/>
        </w:rPr>
        <w:t xml:space="preserve"> alimentate cu energie electica din doua surse independente, una de bază și una de rezervă; </w:t>
      </w:r>
    </w:p>
    <w:p w14:paraId="3CD3024F" w14:textId="77777777" w:rsidR="001C08A5" w:rsidRDefault="00000000">
      <w:pPr>
        <w:ind w:left="1440" w:firstLine="720"/>
        <w:jc w:val="both"/>
        <w:rPr>
          <w:sz w:val="24"/>
          <w:szCs w:val="24"/>
          <w:lang w:eastAsia="en-US"/>
        </w:rPr>
      </w:pPr>
      <w:r>
        <w:rPr>
          <w:b/>
          <w:sz w:val="24"/>
          <w:szCs w:val="24"/>
        </w:rPr>
        <w:t xml:space="preserve">e) </w:t>
      </w:r>
      <w:r>
        <w:rPr>
          <w:sz w:val="24"/>
          <w:szCs w:val="24"/>
        </w:rPr>
        <w:t>să fie indicată cea mai apropiată cale de evacuare a utilizatorilor la fiecare nivel al construcţiei;</w:t>
      </w:r>
    </w:p>
    <w:p w14:paraId="060C60A7" w14:textId="77777777" w:rsidR="001C08A5" w:rsidRDefault="00000000">
      <w:pPr>
        <w:ind w:firstLine="720"/>
        <w:jc w:val="both"/>
        <w:rPr>
          <w:sz w:val="24"/>
          <w:szCs w:val="24"/>
        </w:rPr>
      </w:pPr>
      <w:r>
        <w:rPr>
          <w:b/>
          <w:sz w:val="24"/>
          <w:szCs w:val="24"/>
        </w:rPr>
        <w:t xml:space="preserve">(3) </w:t>
      </w:r>
      <w:r>
        <w:rPr>
          <w:bCs/>
          <w:sz w:val="24"/>
          <w:szCs w:val="24"/>
        </w:rPr>
        <w:t>Planurile inclinate rulante deschise,</w:t>
      </w:r>
      <w:r>
        <w:rPr>
          <w:sz w:val="24"/>
          <w:szCs w:val="24"/>
        </w:rPr>
        <w:t xml:space="preserve"> care îndeplinesc condiţiile menţionate la </w:t>
      </w:r>
      <w:r>
        <w:rPr>
          <w:b/>
          <w:sz w:val="24"/>
          <w:szCs w:val="24"/>
        </w:rPr>
        <w:t>alin.(2)</w:t>
      </w:r>
      <w:r>
        <w:rPr>
          <w:sz w:val="24"/>
          <w:szCs w:val="24"/>
        </w:rPr>
        <w:t>, se consideră că asigură o singură unitate de trecere (flux) de evacuare, indiferent de lăţimea și de numărul acestora.</w:t>
      </w:r>
    </w:p>
    <w:p w14:paraId="23E492E1" w14:textId="77777777" w:rsidR="001C08A5" w:rsidRDefault="001C08A5">
      <w:pPr>
        <w:jc w:val="both"/>
        <w:rPr>
          <w:b/>
          <w:sz w:val="24"/>
          <w:szCs w:val="24"/>
        </w:rPr>
      </w:pPr>
    </w:p>
    <w:p w14:paraId="12E37BA9" w14:textId="77777777" w:rsidR="001C08A5" w:rsidRDefault="00000000">
      <w:pPr>
        <w:jc w:val="both"/>
        <w:rPr>
          <w:sz w:val="24"/>
          <w:szCs w:val="24"/>
        </w:rPr>
      </w:pPr>
      <w:r>
        <w:rPr>
          <w:b/>
          <w:sz w:val="24"/>
          <w:szCs w:val="24"/>
        </w:rPr>
        <w:tab/>
        <w:t>Art. 2.5.6.1.8. (1)</w:t>
      </w:r>
      <w:r>
        <w:rPr>
          <w:sz w:val="24"/>
          <w:szCs w:val="24"/>
        </w:rPr>
        <w:t xml:space="preserve"> În construcţiile supraterane etajate, ridicarea furtunurilor de intervenţie în caz de incendiu până la locul în care urmează a fi utilizate, se poate efectua prin ferestrele directe spre exterior ale caselor de scări, dacă sub aceste ferestre nu sunt prevăzute copertine sau elemente constructive proeminente care să împiedice ridicarea furtunurilor.</w:t>
      </w:r>
    </w:p>
    <w:p w14:paraId="3C0BC588" w14:textId="77777777" w:rsidR="001C08A5" w:rsidRDefault="00000000">
      <w:pPr>
        <w:ind w:firstLine="720"/>
        <w:jc w:val="both"/>
        <w:rPr>
          <w:b/>
          <w:sz w:val="24"/>
          <w:szCs w:val="24"/>
        </w:rPr>
      </w:pPr>
      <w:r>
        <w:rPr>
          <w:b/>
          <w:sz w:val="24"/>
          <w:szCs w:val="24"/>
        </w:rPr>
        <w:t xml:space="preserve">(2) </w:t>
      </w:r>
      <w:r>
        <w:rPr>
          <w:sz w:val="24"/>
          <w:szCs w:val="24"/>
        </w:rPr>
        <w:t xml:space="preserve">Atunci când casele de scări nu au ferestre directe spre exterior sau ferestrele prevăzute nu sunt accesibile în caz de intervenţie pentru stingerea incendiului ori sunt prevazute cu copertine /alte elemente de constructie care impiedica accesul echipei de interventie, în casele de scări se prevăd goluri între rampele scării de cel puţin </w:t>
      </w:r>
      <w:r>
        <w:rPr>
          <w:b/>
          <w:sz w:val="24"/>
          <w:szCs w:val="24"/>
        </w:rPr>
        <w:t>20</w:t>
      </w:r>
      <w:r>
        <w:rPr>
          <w:sz w:val="24"/>
          <w:szCs w:val="24"/>
        </w:rPr>
        <w:t xml:space="preserve"> cm, situate pe aceeaşi verticală sau în casele de scări se prevăd coloane uscate destinate alimentării cu apă în caz de incendiu.</w:t>
      </w:r>
    </w:p>
    <w:p w14:paraId="2AA5C2A8" w14:textId="77777777" w:rsidR="001C08A5" w:rsidRDefault="00000000">
      <w:pPr>
        <w:ind w:firstLine="720"/>
        <w:jc w:val="both"/>
        <w:rPr>
          <w:b/>
          <w:sz w:val="24"/>
          <w:szCs w:val="24"/>
        </w:rPr>
      </w:pPr>
      <w:r>
        <w:rPr>
          <w:b/>
          <w:bCs/>
          <w:sz w:val="24"/>
          <w:szCs w:val="24"/>
        </w:rPr>
        <w:t>(3)</w:t>
      </w:r>
      <w:r>
        <w:rPr>
          <w:sz w:val="24"/>
          <w:szCs w:val="24"/>
        </w:rPr>
        <w:t xml:space="preserve"> Coloanele uscate destinate alimentării cu apă în caz de incendiu se realizeaza potrivit prevederilor reglementărilor tehnice aplicabile. </w:t>
      </w:r>
    </w:p>
    <w:p w14:paraId="34296F1D" w14:textId="77777777" w:rsidR="001C08A5" w:rsidRDefault="00000000">
      <w:pPr>
        <w:pStyle w:val="Heading5"/>
        <w:rPr>
          <w:lang w:val="ro-RO"/>
        </w:rPr>
      </w:pPr>
      <w:bookmarkStart w:id="2182" w:name="_Toc20571"/>
      <w:bookmarkStart w:id="2183" w:name="_Toc17812"/>
      <w:bookmarkStart w:id="2184" w:name="_Toc27263"/>
      <w:bookmarkStart w:id="2185" w:name="_Toc3137"/>
      <w:bookmarkStart w:id="2186" w:name="_Toc162355257"/>
      <w:bookmarkStart w:id="2187" w:name="_Toc15225"/>
      <w:bookmarkStart w:id="2188" w:name="_Toc12044"/>
      <w:bookmarkStart w:id="2189" w:name="_Toc21088"/>
      <w:r>
        <w:rPr>
          <w:lang w:val="ro-RO"/>
        </w:rPr>
        <w:t>2.5.6.2. Scări interioare închise</w:t>
      </w:r>
      <w:bookmarkEnd w:id="2182"/>
      <w:bookmarkEnd w:id="2183"/>
      <w:bookmarkEnd w:id="2184"/>
      <w:bookmarkEnd w:id="2185"/>
      <w:bookmarkEnd w:id="2186"/>
      <w:bookmarkEnd w:id="2187"/>
      <w:bookmarkEnd w:id="2188"/>
      <w:bookmarkEnd w:id="2189"/>
    </w:p>
    <w:p w14:paraId="34987B56" w14:textId="77777777" w:rsidR="001C08A5" w:rsidRDefault="001C08A5">
      <w:pPr>
        <w:jc w:val="both"/>
        <w:rPr>
          <w:b/>
          <w:sz w:val="24"/>
          <w:szCs w:val="24"/>
        </w:rPr>
      </w:pPr>
    </w:p>
    <w:p w14:paraId="58C056E0" w14:textId="77777777" w:rsidR="001C08A5" w:rsidRDefault="00000000">
      <w:pPr>
        <w:ind w:firstLine="720"/>
        <w:jc w:val="both"/>
        <w:rPr>
          <w:b/>
          <w:sz w:val="24"/>
          <w:szCs w:val="24"/>
        </w:rPr>
      </w:pPr>
      <w:r>
        <w:rPr>
          <w:b/>
          <w:sz w:val="24"/>
          <w:szCs w:val="24"/>
        </w:rPr>
        <w:t xml:space="preserve">Art. 2.5.6.2.1. </w:t>
      </w:r>
      <w:r>
        <w:rPr>
          <w:sz w:val="24"/>
          <w:szCs w:val="24"/>
        </w:rPr>
        <w:t>Pereţii de separare faţă de restul clădirii a scărilor de evacuare  a utilizatorilor vor indeplini condiţiile minime de reacţie la foc şi de rezistenţă la foc prevăzute în normativ. În construcţii înalte, foarte înalte sau cu săli aglomerate se vor respecta şi condiţiile specifice acestora. Pereţii de separare a scărilor de evacuare faţă de încăperi cu riscuri de incendiu şi/sau explozie volumetrică, vor îndeplini şi condiţiile specifice respectivelor riscuri.</w:t>
      </w:r>
    </w:p>
    <w:p w14:paraId="65D1B7E6" w14:textId="77777777" w:rsidR="001C08A5" w:rsidRDefault="001C08A5">
      <w:pPr>
        <w:jc w:val="both"/>
        <w:rPr>
          <w:b/>
          <w:sz w:val="24"/>
          <w:szCs w:val="24"/>
        </w:rPr>
      </w:pPr>
    </w:p>
    <w:p w14:paraId="3988DB4E" w14:textId="77777777" w:rsidR="001C08A5" w:rsidRDefault="00000000">
      <w:pPr>
        <w:jc w:val="both"/>
        <w:rPr>
          <w:strike/>
          <w:sz w:val="24"/>
          <w:szCs w:val="24"/>
        </w:rPr>
      </w:pPr>
      <w:r>
        <w:rPr>
          <w:b/>
          <w:sz w:val="24"/>
          <w:szCs w:val="24"/>
        </w:rPr>
        <w:t xml:space="preserve">Art. 2.5.6.2.2. (1) </w:t>
      </w:r>
      <w:r>
        <w:rPr>
          <w:sz w:val="24"/>
          <w:szCs w:val="24"/>
        </w:rPr>
        <w:t xml:space="preserve">În pereţii interiori ai caselor de scări închise utilizate pentru evacuare se pot practica numai goluri funcţionale de circulaţie și acces/evacuare de la nivelurile construcţiei. În casele de scări nu sunt admise capace sau uşi de vizitare a ghenelor pentru instalaţii, cu excepția clădirilor de locuit cu regim normal de înalțime, atunci când nu există circulații comune orizontale (holuri și/sau coridoare), independente de casa scării. Accesul din casele de scări închise la tuburile colectoare pentru deşeuri sau alte materiale se face obligatoriu prin încăpere tampon protejată  conform </w:t>
      </w:r>
      <w:r>
        <w:rPr>
          <w:b/>
          <w:bCs/>
          <w:sz w:val="24"/>
          <w:szCs w:val="24"/>
        </w:rPr>
        <w:t xml:space="preserve">Art. 2.4.15.2. </w:t>
      </w:r>
    </w:p>
    <w:p w14:paraId="525216A0" w14:textId="77777777" w:rsidR="001C08A5" w:rsidRDefault="00000000">
      <w:pPr>
        <w:numPr>
          <w:ilvl w:val="255"/>
          <w:numId w:val="0"/>
        </w:numPr>
        <w:ind w:firstLine="720"/>
        <w:jc w:val="both"/>
        <w:rPr>
          <w:b/>
          <w:sz w:val="24"/>
          <w:szCs w:val="24"/>
        </w:rPr>
      </w:pPr>
      <w:r>
        <w:rPr>
          <w:b/>
          <w:sz w:val="24"/>
          <w:szCs w:val="24"/>
        </w:rPr>
        <w:t xml:space="preserve">(2) </w:t>
      </w:r>
      <w:r>
        <w:rPr>
          <w:sz w:val="24"/>
          <w:szCs w:val="24"/>
        </w:rPr>
        <w:t>La construcţiile civile cu înălţimi obişnuite, în pereţii interiori ai caselor de scări închise se pot prevedea goluri pentru iluminare naturală indirectă, goluri protejate cu elemente fixe rezistente la foc minimum</w:t>
      </w:r>
      <w:r>
        <w:rPr>
          <w:b/>
          <w:sz w:val="24"/>
          <w:szCs w:val="24"/>
        </w:rPr>
        <w:t xml:space="preserve"> EW 30 și </w:t>
      </w:r>
      <w:r>
        <w:rPr>
          <w:sz w:val="24"/>
          <w:szCs w:val="24"/>
        </w:rPr>
        <w:t>dispuse numai spre încăperi cu densitatea sarcinii termice (</w:t>
      </w:r>
      <w:r>
        <w:rPr>
          <w:b/>
          <w:sz w:val="24"/>
          <w:szCs w:val="24"/>
        </w:rPr>
        <w:t>q</w:t>
      </w:r>
      <w:r>
        <w:rPr>
          <w:sz w:val="24"/>
          <w:szCs w:val="24"/>
        </w:rPr>
        <w:t xml:space="preserve">), sub </w:t>
      </w:r>
      <w:r>
        <w:rPr>
          <w:b/>
          <w:sz w:val="24"/>
          <w:szCs w:val="24"/>
        </w:rPr>
        <w:t>105 MJ/m</w:t>
      </w:r>
      <w:r>
        <w:rPr>
          <w:b/>
          <w:sz w:val="24"/>
          <w:szCs w:val="24"/>
          <w:vertAlign w:val="superscript"/>
        </w:rPr>
        <w:t>2</w:t>
      </w:r>
      <w:r>
        <w:rPr>
          <w:sz w:val="24"/>
          <w:szCs w:val="24"/>
        </w:rPr>
        <w:t xml:space="preserve">. La clădirile cu nivelul de stabilitate la incendiu </w:t>
      </w:r>
      <w:r>
        <w:rPr>
          <w:b/>
          <w:bCs/>
          <w:sz w:val="24"/>
          <w:szCs w:val="24"/>
        </w:rPr>
        <w:t>I</w:t>
      </w:r>
      <w:r>
        <w:rPr>
          <w:sz w:val="24"/>
          <w:szCs w:val="24"/>
        </w:rPr>
        <w:t xml:space="preserve"> golurile pentru iluminare naturală indirectă dinspre coridoarespre casele de scări trebuie protejate cu elemente fixe rezistente la foc minimum</w:t>
      </w:r>
      <w:r>
        <w:rPr>
          <w:b/>
          <w:sz w:val="24"/>
          <w:szCs w:val="24"/>
        </w:rPr>
        <w:t xml:space="preserve"> EW 60, </w:t>
      </w:r>
      <w:r>
        <w:rPr>
          <w:bCs/>
          <w:sz w:val="24"/>
          <w:szCs w:val="24"/>
        </w:rPr>
        <w:t>la</w:t>
      </w:r>
      <w:r>
        <w:rPr>
          <w:sz w:val="24"/>
          <w:szCs w:val="24"/>
        </w:rPr>
        <w:t>clădirile cu nivelul de stabilitate la incendiu</w:t>
      </w:r>
      <w:r>
        <w:rPr>
          <w:b/>
          <w:bCs/>
          <w:sz w:val="24"/>
          <w:szCs w:val="24"/>
        </w:rPr>
        <w:t xml:space="preserve"> II</w:t>
      </w:r>
      <w:r>
        <w:rPr>
          <w:sz w:val="24"/>
          <w:szCs w:val="24"/>
        </w:rPr>
        <w:t xml:space="preserve">  trebuie protejate cu elemente fixe rezistente la foc minimum</w:t>
      </w:r>
      <w:r>
        <w:rPr>
          <w:b/>
          <w:sz w:val="24"/>
          <w:szCs w:val="24"/>
        </w:rPr>
        <w:t xml:space="preserve"> EW 45, </w:t>
      </w:r>
      <w:r>
        <w:rPr>
          <w:bCs/>
          <w:sz w:val="24"/>
          <w:szCs w:val="24"/>
        </w:rPr>
        <w:t xml:space="preserve">iar la clădirie cu niveluri de stabilitate a incendiu  </w:t>
      </w:r>
      <w:r>
        <w:rPr>
          <w:b/>
          <w:sz w:val="24"/>
          <w:szCs w:val="24"/>
        </w:rPr>
        <w:t xml:space="preserve">III </w:t>
      </w:r>
      <w:r>
        <w:rPr>
          <w:bCs/>
          <w:sz w:val="24"/>
          <w:szCs w:val="24"/>
        </w:rPr>
        <w:t xml:space="preserve">și </w:t>
      </w:r>
      <w:r>
        <w:rPr>
          <w:b/>
          <w:sz w:val="24"/>
          <w:szCs w:val="24"/>
        </w:rPr>
        <w:t>IV</w:t>
      </w:r>
      <w:r>
        <w:rPr>
          <w:bCs/>
          <w:sz w:val="24"/>
          <w:szCs w:val="24"/>
        </w:rPr>
        <w:t xml:space="preserve">, cu </w:t>
      </w:r>
      <w:r>
        <w:rPr>
          <w:sz w:val="24"/>
          <w:szCs w:val="24"/>
        </w:rPr>
        <w:t>elemente fixe rezistente la foc minimum</w:t>
      </w:r>
      <w:r>
        <w:rPr>
          <w:b/>
          <w:sz w:val="24"/>
          <w:szCs w:val="24"/>
        </w:rPr>
        <w:t xml:space="preserve"> EW 30. </w:t>
      </w:r>
      <w:r>
        <w:rPr>
          <w:sz w:val="24"/>
          <w:szCs w:val="24"/>
        </w:rPr>
        <w:t>Golurile pentru iluminare naturală indirectă dinspre încăperi cu densitatea sarcinii termice (</w:t>
      </w:r>
      <w:r>
        <w:rPr>
          <w:b/>
          <w:sz w:val="24"/>
          <w:szCs w:val="24"/>
        </w:rPr>
        <w:t>q</w:t>
      </w:r>
      <w:r>
        <w:rPr>
          <w:sz w:val="24"/>
          <w:szCs w:val="24"/>
        </w:rPr>
        <w:t xml:space="preserve">), mai mică de </w:t>
      </w:r>
      <w:r>
        <w:rPr>
          <w:b/>
          <w:sz w:val="24"/>
          <w:szCs w:val="24"/>
        </w:rPr>
        <w:t>420MJ/m</w:t>
      </w:r>
      <w:r>
        <w:rPr>
          <w:b/>
          <w:sz w:val="24"/>
          <w:szCs w:val="24"/>
          <w:vertAlign w:val="superscript"/>
        </w:rPr>
        <w:t xml:space="preserve">2 </w:t>
      </w:r>
      <w:r>
        <w:rPr>
          <w:bCs/>
          <w:sz w:val="24"/>
          <w:szCs w:val="24"/>
        </w:rPr>
        <w:t>(cu exceptia coridoarelor)</w:t>
      </w:r>
      <w:r>
        <w:rPr>
          <w:sz w:val="24"/>
          <w:szCs w:val="24"/>
        </w:rPr>
        <w:t xml:space="preserve"> spre casele de scări trebuie protejate cu elemente fixe rezistente la foc de minimum aceeași performanță</w:t>
      </w:r>
      <w:r>
        <w:rPr>
          <w:b/>
          <w:sz w:val="24"/>
          <w:szCs w:val="24"/>
        </w:rPr>
        <w:t xml:space="preserve"> (EI </w:t>
      </w:r>
      <w:r>
        <w:rPr>
          <w:bCs/>
          <w:sz w:val="24"/>
          <w:szCs w:val="24"/>
        </w:rPr>
        <w:t xml:space="preserve">în loc de </w:t>
      </w:r>
      <w:r>
        <w:rPr>
          <w:b/>
          <w:sz w:val="24"/>
          <w:szCs w:val="24"/>
        </w:rPr>
        <w:t>EW).</w:t>
      </w:r>
    </w:p>
    <w:p w14:paraId="323AE96B" w14:textId="77777777" w:rsidR="001C08A5" w:rsidRDefault="00000000">
      <w:pPr>
        <w:numPr>
          <w:ilvl w:val="255"/>
          <w:numId w:val="0"/>
        </w:numPr>
        <w:ind w:firstLine="720"/>
        <w:jc w:val="both"/>
        <w:rPr>
          <w:b/>
          <w:sz w:val="24"/>
          <w:szCs w:val="24"/>
        </w:rPr>
      </w:pPr>
      <w:r>
        <w:rPr>
          <w:b/>
          <w:sz w:val="24"/>
          <w:szCs w:val="24"/>
        </w:rPr>
        <w:t xml:space="preserve">(3) </w:t>
      </w:r>
      <w:r>
        <w:rPr>
          <w:sz w:val="24"/>
          <w:szCs w:val="24"/>
        </w:rPr>
        <w:t xml:space="preserve">La clădirile de producție si depozitare cu nivelul de stabilitate la incendiu </w:t>
      </w:r>
      <w:r>
        <w:rPr>
          <w:b/>
          <w:bCs/>
          <w:sz w:val="24"/>
          <w:szCs w:val="24"/>
        </w:rPr>
        <w:t>I</w:t>
      </w:r>
      <w:r>
        <w:rPr>
          <w:sz w:val="24"/>
          <w:szCs w:val="24"/>
        </w:rPr>
        <w:t xml:space="preserve"> golurile pentru iluminare naturală indirectă dinspre coridoare/holuri spre casele de scări trebuie protejate cu elemente fixe rezistente la foc minimum</w:t>
      </w:r>
      <w:r>
        <w:rPr>
          <w:b/>
          <w:sz w:val="24"/>
          <w:szCs w:val="24"/>
        </w:rPr>
        <w:t xml:space="preserve"> EW 60, </w:t>
      </w:r>
      <w:r>
        <w:rPr>
          <w:bCs/>
          <w:sz w:val="24"/>
          <w:szCs w:val="24"/>
        </w:rPr>
        <w:t xml:space="preserve">la </w:t>
      </w:r>
      <w:r>
        <w:rPr>
          <w:sz w:val="24"/>
          <w:szCs w:val="24"/>
        </w:rPr>
        <w:t>clădirile  cu nivelul de stabilitate la incendiu</w:t>
      </w:r>
      <w:r>
        <w:rPr>
          <w:b/>
          <w:bCs/>
          <w:sz w:val="24"/>
          <w:szCs w:val="24"/>
        </w:rPr>
        <w:t xml:space="preserve"> II</w:t>
      </w:r>
      <w:r>
        <w:rPr>
          <w:sz w:val="24"/>
          <w:szCs w:val="24"/>
        </w:rPr>
        <w:t xml:space="preserve">  trebuie protejate cu elemente fixe rezistente la foc minimum</w:t>
      </w:r>
      <w:r>
        <w:rPr>
          <w:b/>
          <w:sz w:val="24"/>
          <w:szCs w:val="24"/>
        </w:rPr>
        <w:t xml:space="preserve"> EW 45, </w:t>
      </w:r>
      <w:r>
        <w:rPr>
          <w:bCs/>
          <w:sz w:val="24"/>
          <w:szCs w:val="24"/>
        </w:rPr>
        <w:t xml:space="preserve">iar la clădirie cu niveluri de stabilitate a incendiu  </w:t>
      </w:r>
      <w:r>
        <w:rPr>
          <w:b/>
          <w:sz w:val="24"/>
          <w:szCs w:val="24"/>
        </w:rPr>
        <w:t xml:space="preserve">III </w:t>
      </w:r>
      <w:r>
        <w:rPr>
          <w:bCs/>
          <w:sz w:val="24"/>
          <w:szCs w:val="24"/>
        </w:rPr>
        <w:t xml:space="preserve">și </w:t>
      </w:r>
      <w:r>
        <w:rPr>
          <w:b/>
          <w:sz w:val="24"/>
          <w:szCs w:val="24"/>
        </w:rPr>
        <w:t>IV</w:t>
      </w:r>
      <w:r>
        <w:rPr>
          <w:bCs/>
          <w:sz w:val="24"/>
          <w:szCs w:val="24"/>
        </w:rPr>
        <w:t xml:space="preserve">, cu </w:t>
      </w:r>
      <w:r>
        <w:rPr>
          <w:sz w:val="24"/>
          <w:szCs w:val="24"/>
        </w:rPr>
        <w:t>elemente fixe rezistente la foc minimum</w:t>
      </w:r>
      <w:r>
        <w:rPr>
          <w:b/>
          <w:sz w:val="24"/>
          <w:szCs w:val="24"/>
        </w:rPr>
        <w:t xml:space="preserve"> EW 30. </w:t>
      </w:r>
      <w:r>
        <w:rPr>
          <w:sz w:val="24"/>
          <w:szCs w:val="24"/>
        </w:rPr>
        <w:t xml:space="preserve">La clădirile de producție si depozitare cu nivelul de stabilitate la incendiu </w:t>
      </w:r>
      <w:r>
        <w:rPr>
          <w:b/>
          <w:bCs/>
          <w:sz w:val="24"/>
          <w:szCs w:val="24"/>
        </w:rPr>
        <w:t>I</w:t>
      </w:r>
      <w:r>
        <w:rPr>
          <w:sz w:val="24"/>
          <w:szCs w:val="24"/>
        </w:rPr>
        <w:t>, golurile pentru iluminare naturală indirectă dinspre încăperi cu densitatea sarcinii termice (</w:t>
      </w:r>
      <w:r>
        <w:rPr>
          <w:b/>
          <w:sz w:val="24"/>
          <w:szCs w:val="24"/>
        </w:rPr>
        <w:t>q</w:t>
      </w:r>
      <w:r>
        <w:rPr>
          <w:sz w:val="24"/>
          <w:szCs w:val="24"/>
        </w:rPr>
        <w:t xml:space="preserve">), mai mică de </w:t>
      </w:r>
      <w:r>
        <w:rPr>
          <w:b/>
          <w:sz w:val="24"/>
          <w:szCs w:val="24"/>
        </w:rPr>
        <w:t>420MJ/m</w:t>
      </w:r>
      <w:r>
        <w:rPr>
          <w:b/>
          <w:sz w:val="24"/>
          <w:szCs w:val="24"/>
          <w:vertAlign w:val="superscript"/>
        </w:rPr>
        <w:t>2</w:t>
      </w:r>
      <w:r>
        <w:rPr>
          <w:bCs/>
          <w:sz w:val="24"/>
          <w:szCs w:val="24"/>
        </w:rPr>
        <w:t>, cu exceptia coridoarelor/holurilor</w:t>
      </w:r>
      <w:r>
        <w:rPr>
          <w:sz w:val="24"/>
          <w:szCs w:val="24"/>
        </w:rPr>
        <w:t xml:space="preserve"> </w:t>
      </w:r>
      <w:r>
        <w:rPr>
          <w:sz w:val="24"/>
          <w:szCs w:val="24"/>
        </w:rPr>
        <w:lastRenderedPageBreak/>
        <w:t xml:space="preserve">spre casele de scări trebuie protejate cu elemente fixe rezistente la foc minimum </w:t>
      </w:r>
      <w:r>
        <w:rPr>
          <w:b/>
          <w:sz w:val="24"/>
          <w:szCs w:val="24"/>
        </w:rPr>
        <w:t xml:space="preserve">EI 60, </w:t>
      </w:r>
      <w:r>
        <w:rPr>
          <w:bCs/>
          <w:sz w:val="24"/>
          <w:szCs w:val="24"/>
        </w:rPr>
        <w:t xml:space="preserve">la </w:t>
      </w:r>
      <w:r>
        <w:rPr>
          <w:sz w:val="24"/>
          <w:szCs w:val="24"/>
        </w:rPr>
        <w:t>clădirile  cu nivelul de stabilitate la incendiu</w:t>
      </w:r>
      <w:r>
        <w:rPr>
          <w:b/>
          <w:bCs/>
          <w:sz w:val="24"/>
          <w:szCs w:val="24"/>
        </w:rPr>
        <w:t xml:space="preserve"> II</w:t>
      </w:r>
      <w:r>
        <w:rPr>
          <w:sz w:val="24"/>
          <w:szCs w:val="24"/>
        </w:rPr>
        <w:t xml:space="preserve">  trebuie protejate cu elemente fixe rezistente la foc minimum</w:t>
      </w:r>
      <w:r>
        <w:rPr>
          <w:b/>
          <w:sz w:val="24"/>
          <w:szCs w:val="24"/>
        </w:rPr>
        <w:t xml:space="preserve"> EI 45, </w:t>
      </w:r>
      <w:r>
        <w:rPr>
          <w:bCs/>
          <w:sz w:val="24"/>
          <w:szCs w:val="24"/>
        </w:rPr>
        <w:t xml:space="preserve">iar la clădirie cu niveluri de stabilitate a incendiu  </w:t>
      </w:r>
      <w:r>
        <w:rPr>
          <w:b/>
          <w:sz w:val="24"/>
          <w:szCs w:val="24"/>
        </w:rPr>
        <w:t xml:space="preserve">III </w:t>
      </w:r>
      <w:r>
        <w:rPr>
          <w:bCs/>
          <w:sz w:val="24"/>
          <w:szCs w:val="24"/>
        </w:rPr>
        <w:t xml:space="preserve">și </w:t>
      </w:r>
      <w:r>
        <w:rPr>
          <w:b/>
          <w:sz w:val="24"/>
          <w:szCs w:val="24"/>
        </w:rPr>
        <w:t>IV</w:t>
      </w:r>
      <w:r>
        <w:rPr>
          <w:bCs/>
          <w:sz w:val="24"/>
          <w:szCs w:val="24"/>
        </w:rPr>
        <w:t xml:space="preserve">, cu </w:t>
      </w:r>
      <w:r>
        <w:rPr>
          <w:sz w:val="24"/>
          <w:szCs w:val="24"/>
        </w:rPr>
        <w:t>elemente fixe rezistente la foc minimum</w:t>
      </w:r>
      <w:r>
        <w:rPr>
          <w:b/>
          <w:sz w:val="24"/>
          <w:szCs w:val="24"/>
        </w:rPr>
        <w:t xml:space="preserve"> EI 30.</w:t>
      </w:r>
    </w:p>
    <w:p w14:paraId="191979ED" w14:textId="77777777" w:rsidR="001C08A5" w:rsidRDefault="00000000">
      <w:pPr>
        <w:numPr>
          <w:ilvl w:val="255"/>
          <w:numId w:val="0"/>
        </w:numPr>
        <w:ind w:firstLine="720"/>
        <w:jc w:val="both"/>
        <w:rPr>
          <w:b/>
          <w:sz w:val="24"/>
          <w:szCs w:val="24"/>
        </w:rPr>
      </w:pPr>
      <w:r>
        <w:rPr>
          <w:b/>
          <w:sz w:val="24"/>
          <w:szCs w:val="24"/>
        </w:rPr>
        <w:t xml:space="preserve">(4) </w:t>
      </w:r>
      <w:r>
        <w:rPr>
          <w:sz w:val="24"/>
          <w:szCs w:val="24"/>
        </w:rPr>
        <w:t>În casele de scări închise de evacuare a utilizatorilor este admisă amplasarea (liberă sau închisă), numai a ascensoarelor pentru persoane.</w:t>
      </w:r>
    </w:p>
    <w:p w14:paraId="01673A97" w14:textId="77777777" w:rsidR="001C08A5" w:rsidRDefault="00000000">
      <w:pPr>
        <w:jc w:val="both"/>
        <w:rPr>
          <w:b/>
          <w:sz w:val="24"/>
          <w:szCs w:val="24"/>
        </w:rPr>
      </w:pPr>
      <w:r>
        <w:rPr>
          <w:b/>
          <w:sz w:val="24"/>
          <w:szCs w:val="24"/>
        </w:rPr>
        <w:tab/>
      </w:r>
      <w:r>
        <w:rPr>
          <w:b/>
          <w:sz w:val="24"/>
          <w:szCs w:val="24"/>
        </w:rPr>
        <w:tab/>
      </w:r>
    </w:p>
    <w:p w14:paraId="703F5CE3" w14:textId="77777777" w:rsidR="001C08A5" w:rsidRDefault="00000000">
      <w:pPr>
        <w:jc w:val="both"/>
        <w:rPr>
          <w:sz w:val="24"/>
          <w:szCs w:val="24"/>
        </w:rPr>
      </w:pPr>
      <w:r>
        <w:rPr>
          <w:b/>
          <w:sz w:val="24"/>
          <w:szCs w:val="24"/>
        </w:rPr>
        <w:tab/>
        <w:t xml:space="preserve">Art. 2.5.6.2.3. (1) </w:t>
      </w:r>
      <w:r>
        <w:rPr>
          <w:sz w:val="24"/>
          <w:szCs w:val="24"/>
        </w:rPr>
        <w:t xml:space="preserve">Rampele scărilor închise de evacuare ale nivelurilor supraterane se separă de rampele subterane. </w:t>
      </w:r>
    </w:p>
    <w:p w14:paraId="49DB6CD9" w14:textId="77777777" w:rsidR="001C08A5" w:rsidRDefault="00000000">
      <w:pPr>
        <w:ind w:firstLine="720"/>
        <w:jc w:val="both"/>
        <w:rPr>
          <w:sz w:val="24"/>
          <w:szCs w:val="24"/>
        </w:rPr>
      </w:pPr>
      <w:r>
        <w:rPr>
          <w:b/>
          <w:sz w:val="24"/>
          <w:szCs w:val="24"/>
        </w:rPr>
        <w:t>(2)</w:t>
      </w:r>
      <w:r>
        <w:rPr>
          <w:sz w:val="24"/>
          <w:szCs w:val="24"/>
        </w:rPr>
        <w:t xml:space="preserve"> Rampele subterane ale scărilor închise interioare dispuse în continuarea rampelor supraterane, se separă de rampele aferente nivelurilor supraterane prin pereţi rezistenţi la foc minimum </w:t>
      </w:r>
      <w:r>
        <w:rPr>
          <w:b/>
          <w:sz w:val="24"/>
          <w:szCs w:val="24"/>
        </w:rPr>
        <w:t>EI/REI 120</w:t>
      </w:r>
      <w:r>
        <w:rPr>
          <w:sz w:val="24"/>
          <w:szCs w:val="24"/>
        </w:rPr>
        <w:t xml:space="preserve"> şi planşee rezistente la foc </w:t>
      </w:r>
      <w:r>
        <w:rPr>
          <w:b/>
          <w:sz w:val="24"/>
          <w:szCs w:val="24"/>
        </w:rPr>
        <w:t>REI 60</w:t>
      </w:r>
      <w:r>
        <w:rPr>
          <w:sz w:val="24"/>
          <w:szCs w:val="24"/>
        </w:rPr>
        <w:t xml:space="preserve">. Comunicarea funcţională dintre rampele scărilor subterane şi rampele scărilor supraterane ale clădirii este admisă numai printr-o uşă rezistentă la foc și etanșă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 xml:space="preserve">, dispusă la cota parterului sau a palierului intermediar dintre subsol şi parter, </w:t>
      </w:r>
      <w:r>
        <w:rPr>
          <w:bCs/>
          <w:spacing w:val="-2"/>
          <w:sz w:val="24"/>
          <w:szCs w:val="24"/>
        </w:rPr>
        <w:t>cu deschidere în sensul de evacuare.</w:t>
      </w:r>
    </w:p>
    <w:p w14:paraId="01EB93EE" w14:textId="77777777" w:rsidR="001C08A5" w:rsidRDefault="00000000">
      <w:pPr>
        <w:ind w:firstLine="720"/>
        <w:jc w:val="both"/>
        <w:rPr>
          <w:sz w:val="24"/>
          <w:szCs w:val="24"/>
        </w:rPr>
      </w:pPr>
      <w:r>
        <w:rPr>
          <w:b/>
          <w:sz w:val="24"/>
          <w:szCs w:val="24"/>
        </w:rPr>
        <w:t>(3)</w:t>
      </w:r>
      <w:r>
        <w:rPr>
          <w:sz w:val="24"/>
          <w:szCs w:val="24"/>
        </w:rPr>
        <w:t xml:space="preserve"> Fac excepţie rampele scărilor închise de evacuare ale nivelurilor supraterane continuate liber în subsolul construcţiilor, atunci când asigură accesul la încăperi şi spaţii cu aceleaşi funcţiuni sau activităţile din subsol sunt legate funcţional de cele supraterane. Încăperile sau spaţiile din subsol la care continuă liber rampele supraterane, se separă de alte destinaţii prin pereţi de compartimentare rezistenţi la foc minimum </w:t>
      </w:r>
      <w:r>
        <w:rPr>
          <w:b/>
          <w:sz w:val="24"/>
          <w:szCs w:val="24"/>
        </w:rPr>
        <w:t>EI/REI 180</w:t>
      </w:r>
      <w:r>
        <w:rPr>
          <w:sz w:val="24"/>
          <w:szCs w:val="24"/>
        </w:rPr>
        <w:t xml:space="preserve"> iar golurile de comunicare se protejază cu uşi rezistente la foc și etanșe la fum minimum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w:t>
      </w:r>
    </w:p>
    <w:p w14:paraId="4596D5CC" w14:textId="77777777" w:rsidR="001C08A5" w:rsidRDefault="00000000">
      <w:pPr>
        <w:ind w:firstLine="720"/>
        <w:jc w:val="both"/>
        <w:rPr>
          <w:sz w:val="24"/>
          <w:szCs w:val="24"/>
        </w:rPr>
      </w:pPr>
      <w:r>
        <w:rPr>
          <w:b/>
          <w:bCs/>
          <w:sz w:val="24"/>
          <w:szCs w:val="24"/>
        </w:rPr>
        <w:t>(4)</w:t>
      </w:r>
      <w:r>
        <w:rPr>
          <w:sz w:val="24"/>
          <w:szCs w:val="24"/>
        </w:rPr>
        <w:t xml:space="preserve"> Atunci când nu există comunicare între rampele subterane şi cele supraterane, golul de ieşire în holul de la parter al rampei subterane se protejază cu uşă rezistentă la foc și etanșă la fum minimum </w:t>
      </w:r>
      <w:r>
        <w:rPr>
          <w:b/>
          <w:sz w:val="24"/>
          <w:szCs w:val="24"/>
        </w:rPr>
        <w:t>EI</w:t>
      </w:r>
      <w:r>
        <w:rPr>
          <w:b/>
          <w:sz w:val="24"/>
          <w:szCs w:val="24"/>
          <w:vertAlign w:val="subscript"/>
        </w:rPr>
        <w:t>2</w:t>
      </w:r>
      <w:r>
        <w:rPr>
          <w:b/>
          <w:sz w:val="24"/>
          <w:szCs w:val="24"/>
        </w:rPr>
        <w:t xml:space="preserve"> 60-C5S</w:t>
      </w:r>
      <w:r>
        <w:rPr>
          <w:b/>
          <w:bCs/>
          <w:sz w:val="24"/>
          <w:szCs w:val="24"/>
          <w:vertAlign w:val="subscript"/>
        </w:rPr>
        <w:t>200</w:t>
      </w:r>
      <w:r>
        <w:rPr>
          <w:sz w:val="24"/>
          <w:szCs w:val="24"/>
        </w:rPr>
        <w:t>.</w:t>
      </w:r>
    </w:p>
    <w:p w14:paraId="4694BFC3" w14:textId="77777777" w:rsidR="001C08A5" w:rsidRDefault="00000000">
      <w:pPr>
        <w:jc w:val="both"/>
        <w:rPr>
          <w:b/>
          <w:sz w:val="24"/>
          <w:szCs w:val="24"/>
        </w:rPr>
      </w:pPr>
      <w:r>
        <w:rPr>
          <w:sz w:val="24"/>
          <w:szCs w:val="24"/>
        </w:rPr>
        <w:tab/>
      </w:r>
      <w:r>
        <w:rPr>
          <w:sz w:val="24"/>
          <w:szCs w:val="24"/>
        </w:rPr>
        <w:tab/>
      </w:r>
      <w:r>
        <w:rPr>
          <w:sz w:val="24"/>
          <w:szCs w:val="24"/>
        </w:rPr>
        <w:tab/>
      </w:r>
    </w:p>
    <w:p w14:paraId="538D85B6" w14:textId="77777777" w:rsidR="001C08A5" w:rsidRDefault="00000000">
      <w:pPr>
        <w:ind w:firstLine="720"/>
        <w:jc w:val="both"/>
        <w:rPr>
          <w:sz w:val="24"/>
          <w:szCs w:val="24"/>
        </w:rPr>
      </w:pPr>
      <w:r>
        <w:rPr>
          <w:b/>
          <w:sz w:val="24"/>
          <w:szCs w:val="24"/>
        </w:rPr>
        <w:t xml:space="preserve">Art. 2.5.6.2.4. </w:t>
      </w:r>
      <w:r>
        <w:rPr>
          <w:sz w:val="24"/>
          <w:szCs w:val="24"/>
        </w:rPr>
        <w:t xml:space="preserve">În casele scărilor de evacuare nu este admisă prevederea sau amenajarea spaţiilor de lucru, de depozitare ori pentru alte destinaţii, precum şi montarea conductelor de gaze naturale pentru utilizări tehnologice, a conductelor pentru lichide combustibile sau a tuburilor colectoare de deşeuri sau a altor materiale. </w:t>
      </w:r>
    </w:p>
    <w:p w14:paraId="774F8A34" w14:textId="77777777" w:rsidR="001C08A5" w:rsidRDefault="001C08A5">
      <w:pPr>
        <w:ind w:firstLine="720"/>
        <w:jc w:val="both"/>
        <w:rPr>
          <w:sz w:val="24"/>
          <w:szCs w:val="24"/>
        </w:rPr>
      </w:pPr>
    </w:p>
    <w:p w14:paraId="4175ED18" w14:textId="77777777" w:rsidR="001C08A5" w:rsidRDefault="00000000">
      <w:pPr>
        <w:jc w:val="both"/>
        <w:rPr>
          <w:b/>
          <w:i/>
          <w:sz w:val="24"/>
          <w:szCs w:val="24"/>
        </w:rPr>
      </w:pPr>
      <w:r>
        <w:rPr>
          <w:b/>
          <w:sz w:val="24"/>
          <w:szCs w:val="24"/>
        </w:rPr>
        <w:tab/>
        <w:t xml:space="preserve">Art. 2.5.6.2.5. </w:t>
      </w:r>
      <w:r>
        <w:rPr>
          <w:sz w:val="24"/>
          <w:szCs w:val="24"/>
        </w:rPr>
        <w:t>Holul, vestibulul sau coridorul în care debuşează liber scări de evacuare pot fi asimilate cu casele de scări închise, dacă sunt destinate numai pentru circulaţie sau aşteptare. Acestea trebuie să fie separate faţă de restul clădirii prin pereţi și planşee cu rezistenţa la foc în conformitate cu prevederile normativului pentru casele de scări închise. Ușile încăperilor adiacente trebuie să aibă performanţa la foc cel puţin egală cu acea a ușilor aferente caselor de scări închise. Holurile pot comunica liber cu garderobe supravegheate, încăperi de recepţie pentru public și spaţii funcţionale necesare (comerţ, alimentaţie, întruniri etc.).</w:t>
      </w:r>
    </w:p>
    <w:p w14:paraId="64158377" w14:textId="77777777" w:rsidR="001C08A5" w:rsidRDefault="001C08A5">
      <w:pPr>
        <w:jc w:val="both"/>
        <w:rPr>
          <w:b/>
          <w:i/>
          <w:sz w:val="24"/>
          <w:szCs w:val="24"/>
        </w:rPr>
      </w:pPr>
    </w:p>
    <w:p w14:paraId="28614C97" w14:textId="77777777" w:rsidR="001C08A5" w:rsidRDefault="00000000">
      <w:pPr>
        <w:jc w:val="both"/>
        <w:rPr>
          <w:b/>
          <w:sz w:val="24"/>
          <w:szCs w:val="24"/>
        </w:rPr>
      </w:pPr>
      <w:r>
        <w:rPr>
          <w:b/>
          <w:sz w:val="24"/>
          <w:szCs w:val="24"/>
        </w:rPr>
        <w:tab/>
        <w:t xml:space="preserve">Art. 2.5.6.2.6. </w:t>
      </w:r>
      <w:r>
        <w:rPr>
          <w:sz w:val="24"/>
          <w:szCs w:val="24"/>
        </w:rPr>
        <w:t>Construcţiile de învăţământ vor avea scările de evacuare închise în case de scări, indiferent de numărul nivelurilor construcţiei (supraterane sau subterane).</w:t>
      </w:r>
    </w:p>
    <w:p w14:paraId="37C406F6" w14:textId="77777777" w:rsidR="001C08A5" w:rsidRDefault="00000000">
      <w:pPr>
        <w:pStyle w:val="Heading5"/>
        <w:rPr>
          <w:lang w:val="ro-RO"/>
        </w:rPr>
      </w:pPr>
      <w:bookmarkStart w:id="2190" w:name="_Toc162355258"/>
      <w:bookmarkStart w:id="2191" w:name="_Toc16348"/>
      <w:bookmarkStart w:id="2192" w:name="_Toc14720"/>
      <w:bookmarkStart w:id="2193" w:name="_Toc4306"/>
      <w:bookmarkStart w:id="2194" w:name="_Toc30312"/>
      <w:bookmarkStart w:id="2195" w:name="_Toc11265"/>
      <w:bookmarkStart w:id="2196" w:name="_Toc15701"/>
      <w:bookmarkStart w:id="2197" w:name="_Toc32759"/>
      <w:r>
        <w:rPr>
          <w:lang w:val="ro-RO"/>
        </w:rPr>
        <w:t>2.5.6.3. Scări interioare deschise</w:t>
      </w:r>
      <w:bookmarkEnd w:id="2190"/>
      <w:bookmarkEnd w:id="2191"/>
      <w:bookmarkEnd w:id="2192"/>
      <w:bookmarkEnd w:id="2193"/>
      <w:bookmarkEnd w:id="2194"/>
      <w:bookmarkEnd w:id="2195"/>
      <w:bookmarkEnd w:id="2196"/>
      <w:bookmarkEnd w:id="2197"/>
      <w:r>
        <w:rPr>
          <w:lang w:val="ro-RO"/>
        </w:rPr>
        <w:tab/>
      </w:r>
    </w:p>
    <w:p w14:paraId="764BD77E" w14:textId="77777777" w:rsidR="001C08A5" w:rsidRDefault="001C08A5">
      <w:pPr>
        <w:rPr>
          <w:b/>
          <w:i/>
          <w:sz w:val="24"/>
          <w:szCs w:val="24"/>
        </w:rPr>
      </w:pPr>
    </w:p>
    <w:p w14:paraId="5696EB97" w14:textId="77777777" w:rsidR="001C08A5" w:rsidRDefault="00000000">
      <w:pPr>
        <w:ind w:firstLine="720"/>
        <w:jc w:val="both"/>
        <w:rPr>
          <w:sz w:val="24"/>
          <w:szCs w:val="24"/>
        </w:rPr>
      </w:pPr>
      <w:r>
        <w:rPr>
          <w:b/>
          <w:sz w:val="24"/>
          <w:szCs w:val="24"/>
        </w:rPr>
        <w:t>Art. 2.5.6.3.1. (1)</w:t>
      </w:r>
      <w:r>
        <w:rPr>
          <w:sz w:val="24"/>
          <w:szCs w:val="24"/>
        </w:rPr>
        <w:t xml:space="preserve"> Scările interioare monumentale ale construcţiilor pot fi deschise (neînchise în case de scări), dacă sunt prevăzute şi scări închise care asigură evacuarea utilizatorilor.</w:t>
      </w:r>
    </w:p>
    <w:p w14:paraId="76D8F291" w14:textId="77777777" w:rsidR="001C08A5" w:rsidRDefault="00000000">
      <w:pPr>
        <w:ind w:firstLine="720"/>
        <w:jc w:val="both"/>
        <w:rPr>
          <w:sz w:val="24"/>
          <w:szCs w:val="24"/>
        </w:rPr>
      </w:pPr>
      <w:r>
        <w:rPr>
          <w:b/>
          <w:sz w:val="24"/>
          <w:szCs w:val="24"/>
        </w:rPr>
        <w:t>(2)</w:t>
      </w:r>
      <w:r>
        <w:rPr>
          <w:sz w:val="24"/>
          <w:szCs w:val="24"/>
        </w:rPr>
        <w:t xml:space="preserve"> Scările deschise amplasate în volumul atriumului </w:t>
      </w:r>
      <w:r>
        <w:rPr>
          <w:sz w:val="24"/>
          <w:szCs w:val="24"/>
          <w:lang w:eastAsia="ro-RO"/>
        </w:rPr>
        <w:t xml:space="preserve">cu înălţimea de maximum patru niveluri ale construcţiei </w:t>
      </w:r>
      <w:r>
        <w:rPr>
          <w:sz w:val="24"/>
          <w:szCs w:val="24"/>
        </w:rPr>
        <w:t>constituie o cale de evacuare a utilizatorilor în caz de incendiu pentru o unitate de trecere (flux) de evacuare, chiar dacă lăţimea rampelor asigură mai multe unităţi de trecere (fluxuri) și indiferent de numarul scărilor deschise.</w:t>
      </w:r>
    </w:p>
    <w:p w14:paraId="7BDEA865" w14:textId="77777777" w:rsidR="001C08A5" w:rsidRDefault="00000000">
      <w:pPr>
        <w:widowControl w:val="0"/>
        <w:ind w:firstLine="720"/>
        <w:jc w:val="both"/>
        <w:rPr>
          <w:rFonts w:eastAsia="ABBvoice-Regular"/>
          <w:bCs/>
          <w:sz w:val="24"/>
          <w:szCs w:val="24"/>
        </w:rPr>
      </w:pPr>
      <w:r>
        <w:rPr>
          <w:rFonts w:eastAsia="ABBvoice-Regular"/>
          <w:b/>
          <w:bCs/>
          <w:sz w:val="24"/>
          <w:szCs w:val="24"/>
        </w:rPr>
        <w:t>(3)</w:t>
      </w:r>
      <w:r>
        <w:rPr>
          <w:rFonts w:eastAsia="ABBvoice-Regular"/>
          <w:bCs/>
          <w:sz w:val="24"/>
          <w:szCs w:val="24"/>
        </w:rPr>
        <w:t xml:space="preserve"> Scările interioare deschise se realizează din materiale clasa de reacţie la foc </w:t>
      </w:r>
      <w:r>
        <w:rPr>
          <w:rFonts w:eastAsia="ABBvoice-Regular"/>
          <w:b/>
          <w:bCs/>
          <w:sz w:val="24"/>
          <w:szCs w:val="24"/>
        </w:rPr>
        <w:t>A1</w:t>
      </w:r>
      <w:r>
        <w:rPr>
          <w:rFonts w:eastAsia="ABBvoice-Regular"/>
          <w:bCs/>
          <w:sz w:val="24"/>
          <w:szCs w:val="24"/>
        </w:rPr>
        <w:t xml:space="preserve"> sau </w:t>
      </w:r>
      <w:r>
        <w:rPr>
          <w:rFonts w:eastAsia="ABBvoice-Regular"/>
          <w:b/>
          <w:bCs/>
          <w:sz w:val="24"/>
          <w:szCs w:val="24"/>
        </w:rPr>
        <w:t>A2-s1d0</w:t>
      </w:r>
      <w:r>
        <w:rPr>
          <w:rFonts w:eastAsia="ABBvoice-Regular"/>
          <w:bCs/>
          <w:sz w:val="24"/>
          <w:szCs w:val="24"/>
        </w:rPr>
        <w:t xml:space="preserve">. Ca excepţie, scările interioare deschise ale locuinţelor individuale care asigură evacuarea utilizatorilor etajului sau ai mansardelor, precum și scările din interiorul apartamentelor duplex sau triplex (indiferent de tipul clădirii de locuit), pot fi realizate din materiale clasa de reacţie la foc </w:t>
      </w:r>
      <w:r>
        <w:rPr>
          <w:rFonts w:eastAsia="ABBvoice-Regular"/>
          <w:b/>
          <w:bCs/>
          <w:sz w:val="24"/>
          <w:szCs w:val="24"/>
        </w:rPr>
        <w:t>C</w:t>
      </w:r>
      <w:r>
        <w:rPr>
          <w:rFonts w:eastAsia="ABBvoice-Regular"/>
          <w:bCs/>
          <w:sz w:val="24"/>
          <w:szCs w:val="24"/>
        </w:rPr>
        <w:t xml:space="preserve"> sau </w:t>
      </w:r>
      <w:r>
        <w:rPr>
          <w:rFonts w:eastAsia="ABBvoice-Regular"/>
          <w:b/>
          <w:bCs/>
          <w:sz w:val="24"/>
          <w:szCs w:val="24"/>
        </w:rPr>
        <w:lastRenderedPageBreak/>
        <w:t>D</w:t>
      </w:r>
      <w:r>
        <w:rPr>
          <w:rFonts w:eastAsia="ABBvoice-Regular"/>
          <w:bCs/>
          <w:sz w:val="24"/>
          <w:szCs w:val="24"/>
        </w:rPr>
        <w:t>.</w:t>
      </w:r>
    </w:p>
    <w:p w14:paraId="27EF377C" w14:textId="77777777" w:rsidR="001C08A5" w:rsidRDefault="001C08A5">
      <w:pPr>
        <w:rPr>
          <w:b/>
          <w:i/>
          <w:sz w:val="24"/>
          <w:szCs w:val="24"/>
        </w:rPr>
      </w:pPr>
    </w:p>
    <w:p w14:paraId="1F304F37" w14:textId="77777777" w:rsidR="001C08A5" w:rsidRDefault="00000000">
      <w:pPr>
        <w:jc w:val="both"/>
        <w:rPr>
          <w:sz w:val="24"/>
          <w:szCs w:val="24"/>
        </w:rPr>
      </w:pPr>
      <w:r>
        <w:rPr>
          <w:b/>
          <w:sz w:val="24"/>
          <w:szCs w:val="24"/>
        </w:rPr>
        <w:tab/>
        <w:t xml:space="preserve">Art. 2.5.6.3.2. </w:t>
      </w:r>
      <w:r>
        <w:rPr>
          <w:sz w:val="24"/>
          <w:szCs w:val="24"/>
        </w:rPr>
        <w:t>În situaţiile în care sunt admise scări interioare de evacuare deschise, acestea pot avea asigurată ieşirea utilizatorilor în exterior prin spaţiile în care sunt dispuse.</w:t>
      </w:r>
    </w:p>
    <w:p w14:paraId="1B5BA92E" w14:textId="77777777" w:rsidR="001C08A5" w:rsidRDefault="001C08A5">
      <w:pPr>
        <w:jc w:val="both"/>
        <w:rPr>
          <w:sz w:val="24"/>
          <w:szCs w:val="24"/>
        </w:rPr>
      </w:pPr>
    </w:p>
    <w:p w14:paraId="26760608" w14:textId="77777777" w:rsidR="001C08A5" w:rsidRDefault="00000000">
      <w:pPr>
        <w:jc w:val="both"/>
        <w:rPr>
          <w:sz w:val="24"/>
          <w:szCs w:val="24"/>
        </w:rPr>
      </w:pPr>
      <w:r>
        <w:rPr>
          <w:b/>
          <w:sz w:val="24"/>
          <w:szCs w:val="24"/>
        </w:rPr>
        <w:tab/>
        <w:t xml:space="preserve">Art. 2.5.6.3.3. (1) </w:t>
      </w:r>
      <w:r>
        <w:rPr>
          <w:sz w:val="24"/>
          <w:szCs w:val="24"/>
        </w:rPr>
        <w:t>Scările rulante deschise pot fi prevăzute în construcţii, dacă sunt asigurate și scări fixe de evacuare a utilizatorilor, alcătuite şi realizate conform prevederilor normativului.</w:t>
      </w:r>
    </w:p>
    <w:p w14:paraId="18D21CDA" w14:textId="77777777" w:rsidR="001C08A5" w:rsidRDefault="00000000">
      <w:pPr>
        <w:ind w:firstLine="720"/>
        <w:jc w:val="both"/>
        <w:rPr>
          <w:sz w:val="24"/>
          <w:szCs w:val="24"/>
        </w:rPr>
      </w:pPr>
      <w:r>
        <w:rPr>
          <w:b/>
          <w:sz w:val="24"/>
          <w:szCs w:val="24"/>
        </w:rPr>
        <w:t xml:space="preserve">(2) </w:t>
      </w:r>
      <w:r>
        <w:rPr>
          <w:sz w:val="24"/>
          <w:szCs w:val="24"/>
        </w:rPr>
        <w:t>Scările rulante deschise utilizate în construcţii trebuie:</w:t>
      </w:r>
    </w:p>
    <w:p w14:paraId="4FA996A9" w14:textId="77777777" w:rsidR="001C08A5" w:rsidRDefault="00000000">
      <w:pPr>
        <w:ind w:left="1440" w:firstLine="720"/>
        <w:jc w:val="both"/>
        <w:rPr>
          <w:b/>
          <w:sz w:val="24"/>
          <w:szCs w:val="24"/>
        </w:rPr>
      </w:pPr>
      <w:r>
        <w:rPr>
          <w:b/>
          <w:sz w:val="24"/>
          <w:szCs w:val="24"/>
        </w:rPr>
        <w:t xml:space="preserve">a)  </w:t>
      </w:r>
      <w:r>
        <w:rPr>
          <w:sz w:val="24"/>
          <w:szCs w:val="24"/>
        </w:rPr>
        <w:t xml:space="preserve">să asigure împiedicarea propagării uşoare a fumului şi focului de la un nivel la altul al construcţiei, prin dispunerea pe conturul golului din planşeu a unor ecrane continue rezistente la foc minimum </w:t>
      </w:r>
      <w:r>
        <w:rPr>
          <w:b/>
          <w:sz w:val="24"/>
          <w:szCs w:val="24"/>
        </w:rPr>
        <w:t>DH 60</w:t>
      </w:r>
      <w:r>
        <w:rPr>
          <w:sz w:val="24"/>
          <w:szCs w:val="24"/>
        </w:rPr>
        <w:t xml:space="preserve"> pentru nivelul </w:t>
      </w:r>
      <w:r>
        <w:rPr>
          <w:b/>
          <w:sz w:val="24"/>
          <w:szCs w:val="24"/>
        </w:rPr>
        <w:t xml:space="preserve">I </w:t>
      </w:r>
      <w:r>
        <w:rPr>
          <w:sz w:val="24"/>
          <w:szCs w:val="24"/>
        </w:rPr>
        <w:t xml:space="preserve">şi </w:t>
      </w:r>
      <w:r>
        <w:rPr>
          <w:b/>
          <w:sz w:val="24"/>
          <w:szCs w:val="24"/>
        </w:rPr>
        <w:t xml:space="preserve">II </w:t>
      </w:r>
      <w:r>
        <w:rPr>
          <w:sz w:val="24"/>
          <w:szCs w:val="24"/>
        </w:rPr>
        <w:t xml:space="preserve">de stabilitate la </w:t>
      </w:r>
      <w:r>
        <w:rPr>
          <w:iCs/>
          <w:sz w:val="24"/>
          <w:szCs w:val="24"/>
        </w:rPr>
        <w:t>incendiu</w:t>
      </w:r>
      <w:r>
        <w:rPr>
          <w:sz w:val="24"/>
          <w:szCs w:val="24"/>
        </w:rPr>
        <w:t xml:space="preserve"> și </w:t>
      </w:r>
      <w:r>
        <w:rPr>
          <w:bCs/>
          <w:sz w:val="24"/>
          <w:szCs w:val="24"/>
        </w:rPr>
        <w:t xml:space="preserve">minimum </w:t>
      </w:r>
      <w:r>
        <w:rPr>
          <w:b/>
          <w:bCs/>
          <w:sz w:val="24"/>
          <w:szCs w:val="24"/>
        </w:rPr>
        <w:t>DH 30</w:t>
      </w:r>
      <w:r>
        <w:rPr>
          <w:bCs/>
          <w:sz w:val="24"/>
          <w:szCs w:val="24"/>
        </w:rPr>
        <w:t xml:space="preserve"> pentru</w:t>
      </w:r>
      <w:r>
        <w:rPr>
          <w:sz w:val="24"/>
          <w:szCs w:val="24"/>
        </w:rPr>
        <w:t xml:space="preserve"> celelalte</w:t>
      </w:r>
      <w:r>
        <w:rPr>
          <w:bCs/>
          <w:sz w:val="24"/>
          <w:szCs w:val="24"/>
        </w:rPr>
        <w:t xml:space="preserve"> niveluri de stabilitate la </w:t>
      </w:r>
      <w:r>
        <w:rPr>
          <w:iCs/>
          <w:sz w:val="24"/>
          <w:szCs w:val="24"/>
        </w:rPr>
        <w:t>incendiu</w:t>
      </w:r>
      <w:r>
        <w:rPr>
          <w:sz w:val="24"/>
          <w:szCs w:val="24"/>
        </w:rPr>
        <w:t xml:space="preserve">, cu înălţimea de minimum </w:t>
      </w:r>
      <w:r>
        <w:rPr>
          <w:b/>
          <w:sz w:val="24"/>
          <w:szCs w:val="24"/>
        </w:rPr>
        <w:t>50 cm</w:t>
      </w:r>
      <w:r>
        <w:rPr>
          <w:sz w:val="24"/>
          <w:szCs w:val="24"/>
        </w:rPr>
        <w:t xml:space="preserve"> (sub planşeu) și cu sprinklere, pe toată lungimea ecranelor, cu timpul normat de funcţionare al instalaţiei de minimum </w:t>
      </w:r>
      <w:r>
        <w:rPr>
          <w:b/>
          <w:sz w:val="24"/>
          <w:szCs w:val="24"/>
        </w:rPr>
        <w:t>60</w:t>
      </w:r>
      <w:r>
        <w:rPr>
          <w:sz w:val="24"/>
          <w:szCs w:val="24"/>
        </w:rPr>
        <w:t xml:space="preserve"> minute;</w:t>
      </w:r>
      <w:r>
        <w:rPr>
          <w:b/>
          <w:sz w:val="24"/>
          <w:szCs w:val="24"/>
        </w:rPr>
        <w:tab/>
      </w:r>
    </w:p>
    <w:p w14:paraId="3805A577" w14:textId="77777777" w:rsidR="001C08A5" w:rsidRDefault="00000000">
      <w:pPr>
        <w:ind w:left="1440" w:firstLine="720"/>
        <w:jc w:val="both"/>
        <w:rPr>
          <w:b/>
          <w:sz w:val="24"/>
          <w:szCs w:val="24"/>
        </w:rPr>
      </w:pPr>
      <w:r>
        <w:rPr>
          <w:b/>
          <w:sz w:val="24"/>
          <w:szCs w:val="24"/>
        </w:rPr>
        <w:t xml:space="preserve">b) </w:t>
      </w:r>
      <w:r>
        <w:rPr>
          <w:sz w:val="24"/>
          <w:szCs w:val="24"/>
        </w:rPr>
        <w:t>să poată fi oprite automat și manual de la fiecare nivel prin comandă uşor accesibilă;</w:t>
      </w:r>
    </w:p>
    <w:p w14:paraId="4BA9986D" w14:textId="77777777" w:rsidR="001C08A5" w:rsidRDefault="00000000">
      <w:pPr>
        <w:ind w:left="1440" w:firstLine="720"/>
        <w:jc w:val="both"/>
        <w:rPr>
          <w:b/>
          <w:sz w:val="24"/>
          <w:szCs w:val="24"/>
        </w:rPr>
      </w:pPr>
      <w:r>
        <w:rPr>
          <w:b/>
          <w:sz w:val="24"/>
          <w:szCs w:val="24"/>
        </w:rPr>
        <w:t xml:space="preserve">c) </w:t>
      </w:r>
      <w:r>
        <w:rPr>
          <w:sz w:val="24"/>
          <w:szCs w:val="24"/>
        </w:rPr>
        <w:t>să aiba indicată cea mai apropiată cale de evacuare a utilizatorilor la fiecare nivel al construcţiei;</w:t>
      </w:r>
    </w:p>
    <w:p w14:paraId="44497167" w14:textId="77777777" w:rsidR="001C08A5" w:rsidRDefault="00000000">
      <w:pPr>
        <w:ind w:left="1440" w:firstLine="720"/>
        <w:jc w:val="both"/>
        <w:rPr>
          <w:b/>
          <w:sz w:val="24"/>
          <w:szCs w:val="24"/>
        </w:rPr>
      </w:pPr>
      <w:r>
        <w:rPr>
          <w:b/>
          <w:sz w:val="24"/>
          <w:szCs w:val="24"/>
        </w:rPr>
        <w:t xml:space="preserve">d)  </w:t>
      </w:r>
      <w:r>
        <w:rPr>
          <w:sz w:val="24"/>
          <w:szCs w:val="24"/>
        </w:rPr>
        <w:t xml:space="preserve">să asigure lăţimea treptelor de minimum </w:t>
      </w:r>
      <w:r>
        <w:rPr>
          <w:b/>
          <w:sz w:val="24"/>
          <w:szCs w:val="24"/>
        </w:rPr>
        <w:t>25</w:t>
      </w:r>
      <w:r>
        <w:rPr>
          <w:b/>
          <w:bCs/>
          <w:sz w:val="24"/>
          <w:szCs w:val="24"/>
        </w:rPr>
        <w:t>cm</w:t>
      </w:r>
      <w:r>
        <w:rPr>
          <w:sz w:val="24"/>
          <w:szCs w:val="24"/>
        </w:rPr>
        <w:t>.</w:t>
      </w:r>
    </w:p>
    <w:p w14:paraId="50905429" w14:textId="77777777" w:rsidR="001C08A5" w:rsidRDefault="00000000">
      <w:pPr>
        <w:ind w:firstLine="720"/>
        <w:jc w:val="both"/>
        <w:rPr>
          <w:strike/>
          <w:sz w:val="24"/>
          <w:szCs w:val="24"/>
        </w:rPr>
      </w:pPr>
      <w:r>
        <w:rPr>
          <w:b/>
          <w:sz w:val="24"/>
          <w:szCs w:val="24"/>
        </w:rPr>
        <w:t xml:space="preserve">(3) </w:t>
      </w:r>
      <w:r>
        <w:rPr>
          <w:sz w:val="24"/>
          <w:szCs w:val="24"/>
        </w:rPr>
        <w:t xml:space="preserve">Scările rulante deschise, care îndeplinesc condiţiile menţionate la </w:t>
      </w:r>
      <w:r>
        <w:rPr>
          <w:b/>
          <w:sz w:val="24"/>
          <w:szCs w:val="24"/>
        </w:rPr>
        <w:t>alin.(2)</w:t>
      </w:r>
      <w:r>
        <w:rPr>
          <w:sz w:val="24"/>
          <w:szCs w:val="24"/>
        </w:rPr>
        <w:t>, se consideră că asigură o singură unitate de trecere (flux) de evacuare, indiferent de lăţimea rampei acestora și indiferent de numarul lor.</w:t>
      </w:r>
    </w:p>
    <w:p w14:paraId="4BF97745" w14:textId="77777777" w:rsidR="001C08A5" w:rsidRDefault="001C08A5">
      <w:pPr>
        <w:ind w:firstLine="720"/>
        <w:jc w:val="both"/>
        <w:rPr>
          <w:b/>
          <w:sz w:val="24"/>
          <w:szCs w:val="24"/>
        </w:rPr>
      </w:pPr>
    </w:p>
    <w:p w14:paraId="3C616BC2" w14:textId="77777777" w:rsidR="001C08A5" w:rsidRDefault="00000000">
      <w:pPr>
        <w:ind w:firstLine="720"/>
        <w:jc w:val="both"/>
        <w:rPr>
          <w:sz w:val="24"/>
          <w:szCs w:val="24"/>
          <w:lang w:eastAsia="ro-RO"/>
        </w:rPr>
      </w:pPr>
      <w:r>
        <w:rPr>
          <w:b/>
          <w:sz w:val="24"/>
          <w:szCs w:val="24"/>
        </w:rPr>
        <w:t xml:space="preserve">Art. 2.5.6.3.4. (1) </w:t>
      </w:r>
      <w:r>
        <w:rPr>
          <w:sz w:val="24"/>
          <w:szCs w:val="24"/>
          <w:lang w:eastAsia="ro-RO"/>
        </w:rPr>
        <w:t>Indiferent de numărul lor, scările interioare deschise, inclusiv cele monumentale se consideră a fi toate împreună o singură cale de evacuare, o a doua cale de evacuare trebuind să fie printr-o o scară închisă, sau o scară de evacuare exterioară.</w:t>
      </w:r>
    </w:p>
    <w:p w14:paraId="006FB537" w14:textId="77777777" w:rsidR="001C08A5" w:rsidRDefault="00000000">
      <w:pPr>
        <w:numPr>
          <w:ilvl w:val="255"/>
          <w:numId w:val="0"/>
        </w:numPr>
        <w:ind w:firstLine="720"/>
        <w:jc w:val="both"/>
        <w:rPr>
          <w:b/>
          <w:sz w:val="24"/>
          <w:szCs w:val="24"/>
        </w:rPr>
      </w:pPr>
      <w:r>
        <w:rPr>
          <w:b/>
          <w:sz w:val="24"/>
          <w:szCs w:val="24"/>
        </w:rPr>
        <w:t xml:space="preserve">(2) </w:t>
      </w:r>
      <w:r>
        <w:rPr>
          <w:sz w:val="24"/>
          <w:szCs w:val="24"/>
        </w:rPr>
        <w:t xml:space="preserve">Pentru împiedicarea propagării uşoare a fumului şi focului de la un nivel la altul al construcţiei, scările interioare deschise se prevad pe conturul golului din planşeu cu ecrane continue rezistente la foc minimum </w:t>
      </w:r>
      <w:r>
        <w:rPr>
          <w:b/>
          <w:sz w:val="24"/>
          <w:szCs w:val="24"/>
        </w:rPr>
        <w:t>DH 60</w:t>
      </w:r>
      <w:r>
        <w:rPr>
          <w:sz w:val="24"/>
          <w:szCs w:val="24"/>
        </w:rPr>
        <w:t xml:space="preserve"> pentru nivelul </w:t>
      </w:r>
      <w:r>
        <w:rPr>
          <w:b/>
          <w:sz w:val="24"/>
          <w:szCs w:val="24"/>
        </w:rPr>
        <w:t xml:space="preserve">I </w:t>
      </w:r>
      <w:r>
        <w:rPr>
          <w:sz w:val="24"/>
          <w:szCs w:val="24"/>
        </w:rPr>
        <w:t xml:space="preserve">şi </w:t>
      </w:r>
      <w:r>
        <w:rPr>
          <w:b/>
          <w:sz w:val="24"/>
          <w:szCs w:val="24"/>
        </w:rPr>
        <w:t xml:space="preserve">II </w:t>
      </w:r>
      <w:r>
        <w:rPr>
          <w:sz w:val="24"/>
          <w:szCs w:val="24"/>
        </w:rPr>
        <w:t xml:space="preserve">de stabilitate la </w:t>
      </w:r>
      <w:r>
        <w:rPr>
          <w:iCs/>
          <w:sz w:val="24"/>
          <w:szCs w:val="24"/>
        </w:rPr>
        <w:t>incendiu</w:t>
      </w:r>
      <w:r>
        <w:rPr>
          <w:sz w:val="24"/>
          <w:szCs w:val="24"/>
        </w:rPr>
        <w:t xml:space="preserve"> și </w:t>
      </w:r>
      <w:r>
        <w:rPr>
          <w:bCs/>
          <w:sz w:val="24"/>
          <w:szCs w:val="24"/>
        </w:rPr>
        <w:t xml:space="preserve">minimum </w:t>
      </w:r>
      <w:r>
        <w:rPr>
          <w:b/>
          <w:bCs/>
          <w:sz w:val="24"/>
          <w:szCs w:val="24"/>
        </w:rPr>
        <w:t>DH 30</w:t>
      </w:r>
      <w:r>
        <w:rPr>
          <w:bCs/>
          <w:sz w:val="24"/>
          <w:szCs w:val="24"/>
        </w:rPr>
        <w:t xml:space="preserve"> pentru</w:t>
      </w:r>
      <w:r>
        <w:rPr>
          <w:sz w:val="24"/>
          <w:szCs w:val="24"/>
        </w:rPr>
        <w:t xml:space="preserve"> celelalte</w:t>
      </w:r>
      <w:r>
        <w:rPr>
          <w:bCs/>
          <w:sz w:val="24"/>
          <w:szCs w:val="24"/>
        </w:rPr>
        <w:t xml:space="preserve"> niveluri de stabilitate la </w:t>
      </w:r>
      <w:r>
        <w:rPr>
          <w:iCs/>
          <w:sz w:val="24"/>
          <w:szCs w:val="24"/>
        </w:rPr>
        <w:t>incendiu</w:t>
      </w:r>
      <w:r>
        <w:rPr>
          <w:sz w:val="24"/>
          <w:szCs w:val="24"/>
        </w:rPr>
        <w:t xml:space="preserve">, cu înălţimea de minimum </w:t>
      </w:r>
      <w:r>
        <w:rPr>
          <w:b/>
          <w:sz w:val="24"/>
          <w:szCs w:val="24"/>
        </w:rPr>
        <w:t>50 cm</w:t>
      </w:r>
      <w:r>
        <w:rPr>
          <w:sz w:val="24"/>
          <w:szCs w:val="24"/>
        </w:rPr>
        <w:t xml:space="preserve"> (sub planşeu) și sprinklere, pe toată lungimea ecranelor, cu timpul normat de funcţionare al instalaţiei de minimum </w:t>
      </w:r>
      <w:r>
        <w:rPr>
          <w:b/>
          <w:sz w:val="24"/>
          <w:szCs w:val="24"/>
        </w:rPr>
        <w:t>60</w:t>
      </w:r>
      <w:r>
        <w:rPr>
          <w:sz w:val="24"/>
          <w:szCs w:val="24"/>
        </w:rPr>
        <w:t xml:space="preserve"> minute, în condițiile în care clădirea este echipată cu acest tip de instalație de stingere.</w:t>
      </w:r>
      <w:r>
        <w:rPr>
          <w:b/>
          <w:sz w:val="24"/>
          <w:szCs w:val="24"/>
        </w:rPr>
        <w:tab/>
      </w:r>
    </w:p>
    <w:p w14:paraId="5887BA3F" w14:textId="77777777" w:rsidR="001C08A5" w:rsidRDefault="00000000">
      <w:pPr>
        <w:ind w:firstLine="720"/>
        <w:jc w:val="both"/>
        <w:rPr>
          <w:sz w:val="24"/>
          <w:szCs w:val="24"/>
        </w:rPr>
      </w:pPr>
      <w:r>
        <w:rPr>
          <w:b/>
          <w:bCs/>
          <w:sz w:val="24"/>
          <w:szCs w:val="24"/>
        </w:rPr>
        <w:t xml:space="preserve">(3) </w:t>
      </w:r>
      <w:r>
        <w:rPr>
          <w:sz w:val="24"/>
          <w:szCs w:val="24"/>
        </w:rPr>
        <w:t>Scările interioare deschise trebuie să aiba indicată cea mai apropiată cale de evacuare a utilizatorilor la fiecare nivel al construcţiei ;</w:t>
      </w:r>
    </w:p>
    <w:p w14:paraId="6A00F6BA" w14:textId="77777777" w:rsidR="001C08A5" w:rsidRDefault="00000000">
      <w:pPr>
        <w:ind w:firstLine="720"/>
        <w:jc w:val="both"/>
        <w:rPr>
          <w:b/>
          <w:i/>
          <w:sz w:val="24"/>
          <w:szCs w:val="24"/>
        </w:rPr>
      </w:pPr>
      <w:r>
        <w:rPr>
          <w:b/>
          <w:bCs/>
          <w:sz w:val="24"/>
          <w:szCs w:val="24"/>
        </w:rPr>
        <w:t>(4)</w:t>
      </w:r>
      <w:r>
        <w:rPr>
          <w:sz w:val="24"/>
          <w:szCs w:val="24"/>
        </w:rPr>
        <w:t xml:space="preserve"> Scările interioare deschise inclusiv cele monumentale, servesc la evacuarea a cel mult două niveluri succesive supraterane dispuse deasupra nivelului prin care se realizeaza evacuarea in exteriorul clădirii.</w:t>
      </w:r>
    </w:p>
    <w:p w14:paraId="42061BD5" w14:textId="77777777" w:rsidR="001C08A5" w:rsidRDefault="00000000">
      <w:pPr>
        <w:pStyle w:val="Heading5"/>
        <w:rPr>
          <w:lang w:val="ro-RO"/>
        </w:rPr>
      </w:pPr>
      <w:bookmarkStart w:id="2198" w:name="_Toc3689"/>
      <w:bookmarkStart w:id="2199" w:name="_Toc23919"/>
      <w:bookmarkStart w:id="2200" w:name="_Toc9018"/>
      <w:bookmarkStart w:id="2201" w:name="_Toc14033"/>
      <w:bookmarkStart w:id="2202" w:name="_Toc162355259"/>
      <w:bookmarkStart w:id="2203" w:name="_Toc1811"/>
      <w:bookmarkStart w:id="2204" w:name="_Toc12933"/>
      <w:bookmarkStart w:id="2205" w:name="_Toc13262"/>
      <w:r>
        <w:rPr>
          <w:lang w:val="ro-RO"/>
        </w:rPr>
        <w:t>2.5.6.4. Scări exterioare  deschise</w:t>
      </w:r>
      <w:bookmarkEnd w:id="2198"/>
      <w:bookmarkEnd w:id="2199"/>
      <w:bookmarkEnd w:id="2200"/>
      <w:bookmarkEnd w:id="2201"/>
      <w:bookmarkEnd w:id="2202"/>
      <w:bookmarkEnd w:id="2203"/>
      <w:bookmarkEnd w:id="2204"/>
      <w:bookmarkEnd w:id="2205"/>
      <w:r>
        <w:rPr>
          <w:lang w:val="ro-RO"/>
        </w:rPr>
        <w:tab/>
      </w:r>
    </w:p>
    <w:p w14:paraId="7F66812F" w14:textId="77777777" w:rsidR="001C08A5" w:rsidRDefault="001C08A5">
      <w:pPr>
        <w:rPr>
          <w:sz w:val="24"/>
          <w:szCs w:val="24"/>
        </w:rPr>
      </w:pPr>
    </w:p>
    <w:p w14:paraId="1A76DADE" w14:textId="77777777" w:rsidR="001C08A5" w:rsidRDefault="00000000">
      <w:pPr>
        <w:jc w:val="both"/>
        <w:rPr>
          <w:b/>
          <w:sz w:val="24"/>
          <w:szCs w:val="24"/>
        </w:rPr>
      </w:pPr>
      <w:r>
        <w:rPr>
          <w:b/>
          <w:sz w:val="24"/>
          <w:szCs w:val="24"/>
        </w:rPr>
        <w:tab/>
        <w:t>Art. 2.5.6.4.1. (1)</w:t>
      </w:r>
      <w:r>
        <w:rPr>
          <w:sz w:val="24"/>
          <w:szCs w:val="24"/>
        </w:rPr>
        <w:t xml:space="preserve"> Scările exterioare deschise pot înlocui scările interioare de evacuare necesare sau pot constitui o continuare a acestora, dacă sunt executate din materiale clasa de reacţie la foc </w:t>
      </w:r>
      <w:r>
        <w:rPr>
          <w:b/>
          <w:sz w:val="24"/>
          <w:szCs w:val="24"/>
        </w:rPr>
        <w:t>A1</w:t>
      </w:r>
      <w:r>
        <w:rPr>
          <w:sz w:val="24"/>
          <w:szCs w:val="24"/>
        </w:rPr>
        <w:t xml:space="preserve"> sau </w:t>
      </w:r>
      <w:r>
        <w:rPr>
          <w:b/>
          <w:sz w:val="24"/>
          <w:szCs w:val="24"/>
        </w:rPr>
        <w:t>A2-s1,d0</w:t>
      </w:r>
      <w:r>
        <w:rPr>
          <w:sz w:val="24"/>
          <w:szCs w:val="24"/>
        </w:rPr>
        <w:t xml:space="preserve">, rezistente la foc minimum </w:t>
      </w:r>
      <w:r>
        <w:rPr>
          <w:b/>
          <w:sz w:val="24"/>
          <w:szCs w:val="24"/>
        </w:rPr>
        <w:t>R 15 (R 30</w:t>
      </w:r>
      <w:r>
        <w:rPr>
          <w:bCs/>
          <w:sz w:val="24"/>
          <w:szCs w:val="24"/>
        </w:rPr>
        <w:t xml:space="preserve">la clădiri </w:t>
      </w:r>
      <w:r>
        <w:rPr>
          <w:sz w:val="24"/>
          <w:szCs w:val="24"/>
        </w:rPr>
        <w:t xml:space="preserve">înalte și/ sau foarte înalte și </w:t>
      </w:r>
      <w:r>
        <w:rPr>
          <w:b/>
          <w:sz w:val="24"/>
          <w:szCs w:val="24"/>
        </w:rPr>
        <w:t>R60</w:t>
      </w:r>
      <w:r>
        <w:rPr>
          <w:bCs/>
          <w:sz w:val="24"/>
          <w:szCs w:val="24"/>
        </w:rPr>
        <w:t>la clădiri</w:t>
      </w:r>
      <w:r>
        <w:rPr>
          <w:sz w:val="24"/>
          <w:szCs w:val="24"/>
        </w:rPr>
        <w:t xml:space="preserve">foarte înalte cu înălțimea </w:t>
      </w:r>
      <w:r>
        <w:rPr>
          <w:b/>
          <w:bCs/>
          <w:sz w:val="24"/>
          <w:szCs w:val="24"/>
        </w:rPr>
        <w:t>≥ 125 m</w:t>
      </w:r>
      <w:r>
        <w:rPr>
          <w:b/>
          <w:sz w:val="24"/>
          <w:szCs w:val="24"/>
        </w:rPr>
        <w:t>)</w:t>
      </w:r>
      <w:r>
        <w:rPr>
          <w:sz w:val="24"/>
          <w:szCs w:val="24"/>
        </w:rPr>
        <w:t>, respectă prevederile referitoare la dimensioarea scărilor de evacuare și sunt protejate de fumul şi radiaţiile termice ale incendiilor din construcţie şi vecinătăţi.</w:t>
      </w:r>
    </w:p>
    <w:p w14:paraId="5CB7349D" w14:textId="77777777" w:rsidR="001C08A5" w:rsidRDefault="00000000">
      <w:pPr>
        <w:ind w:firstLine="720"/>
        <w:jc w:val="both"/>
        <w:rPr>
          <w:b/>
          <w:sz w:val="24"/>
          <w:szCs w:val="24"/>
        </w:rPr>
      </w:pPr>
      <w:r>
        <w:rPr>
          <w:b/>
          <w:sz w:val="24"/>
          <w:szCs w:val="24"/>
        </w:rPr>
        <w:t>(2)</w:t>
      </w:r>
      <w:r>
        <w:rPr>
          <w:sz w:val="24"/>
          <w:szCs w:val="24"/>
        </w:rPr>
        <w:t xml:space="preserve"> Scările de evacuare exterioare deschise pot fi amplasate la distanţă de minimum </w:t>
      </w:r>
      <w:r>
        <w:rPr>
          <w:b/>
          <w:sz w:val="24"/>
          <w:szCs w:val="24"/>
        </w:rPr>
        <w:t>3</w:t>
      </w:r>
      <w:r>
        <w:rPr>
          <w:b/>
          <w:bCs/>
          <w:sz w:val="24"/>
          <w:szCs w:val="24"/>
        </w:rPr>
        <w:t>m</w:t>
      </w:r>
      <w:r>
        <w:rPr>
          <w:sz w:val="24"/>
          <w:szCs w:val="24"/>
        </w:rPr>
        <w:t xml:space="preserve"> faţă de goluri sau vitrări ale pereţilor construcţiei și se pot alipi de porţiuni pline ale pereţilor clădirii, pe cel mult trei laturi. </w:t>
      </w:r>
    </w:p>
    <w:p w14:paraId="7B6A4D30" w14:textId="77777777" w:rsidR="001C08A5" w:rsidRDefault="00000000">
      <w:pPr>
        <w:ind w:firstLine="720"/>
        <w:jc w:val="both"/>
        <w:rPr>
          <w:sz w:val="24"/>
          <w:szCs w:val="24"/>
        </w:rPr>
      </w:pPr>
      <w:r>
        <w:rPr>
          <w:b/>
          <w:sz w:val="24"/>
          <w:szCs w:val="24"/>
        </w:rPr>
        <w:t>(3)</w:t>
      </w:r>
      <w:r>
        <w:rPr>
          <w:sz w:val="24"/>
          <w:szCs w:val="24"/>
        </w:rPr>
        <w:t xml:space="preserve"> Scările exterioare de evacuare deschise trebuie să fie astfel amplasate sau protejate încât circulaţia utilizatorilor să nu poată fi blocată datorită avarierii unor conducte prin care se vehiculează aburi, lichide sau gaze combustibile, acizi ori substanţe toxice etc., situate la mai puţin de </w:t>
      </w:r>
      <w:r>
        <w:rPr>
          <w:b/>
          <w:sz w:val="24"/>
          <w:szCs w:val="24"/>
        </w:rPr>
        <w:t>3</w:t>
      </w:r>
      <w:r>
        <w:rPr>
          <w:b/>
          <w:bCs/>
          <w:sz w:val="24"/>
          <w:szCs w:val="24"/>
        </w:rPr>
        <w:t xml:space="preserve"> m </w:t>
      </w:r>
      <w:r>
        <w:rPr>
          <w:sz w:val="24"/>
          <w:szCs w:val="24"/>
        </w:rPr>
        <w:t>de gabaritul scării.</w:t>
      </w:r>
    </w:p>
    <w:p w14:paraId="382028B1" w14:textId="77777777" w:rsidR="001C08A5" w:rsidRDefault="00000000">
      <w:pPr>
        <w:ind w:firstLine="720"/>
        <w:jc w:val="both"/>
        <w:rPr>
          <w:sz w:val="24"/>
          <w:szCs w:val="24"/>
        </w:rPr>
      </w:pPr>
      <w:r>
        <w:rPr>
          <w:b/>
          <w:sz w:val="24"/>
          <w:szCs w:val="24"/>
        </w:rPr>
        <w:lastRenderedPageBreak/>
        <w:t>(4)</w:t>
      </w:r>
      <w:r>
        <w:rPr>
          <w:sz w:val="24"/>
          <w:szCs w:val="24"/>
        </w:rPr>
        <w:t xml:space="preserve"> Pentru clădirile cu înălțimi peste </w:t>
      </w:r>
      <w:r>
        <w:rPr>
          <w:b/>
          <w:bCs/>
          <w:sz w:val="24"/>
          <w:szCs w:val="24"/>
        </w:rPr>
        <w:t>28 m</w:t>
      </w:r>
      <w:r>
        <w:rPr>
          <w:sz w:val="24"/>
          <w:szCs w:val="24"/>
        </w:rPr>
        <w:t xml:space="preserve"> scările exterioare deschise vor fi prevăzute cu protecții permeabile deschise (grilaje, plase, lamele sau altele similare), continue, pe toată înălțimea liberă a scării.</w:t>
      </w:r>
    </w:p>
    <w:p w14:paraId="44C5EAB0" w14:textId="77777777" w:rsidR="001C08A5" w:rsidRDefault="00000000">
      <w:pPr>
        <w:ind w:firstLine="720"/>
        <w:jc w:val="both"/>
        <w:rPr>
          <w:sz w:val="24"/>
          <w:szCs w:val="24"/>
        </w:rPr>
      </w:pPr>
      <w:r>
        <w:rPr>
          <w:b/>
          <w:sz w:val="24"/>
          <w:szCs w:val="24"/>
        </w:rPr>
        <w:t xml:space="preserve">(5) </w:t>
      </w:r>
      <w:r>
        <w:rPr>
          <w:sz w:val="24"/>
          <w:szCs w:val="24"/>
        </w:rPr>
        <w:t xml:space="preserve">Se consideră satisfăcătoare protejarea scărilor de evacuare exterioare în caz de incendiu, prin amplasarea lor în dreptul unor porţiuni pline de pereţi rezistenţi la foc minimum </w:t>
      </w:r>
      <w:r>
        <w:rPr>
          <w:b/>
          <w:sz w:val="24"/>
          <w:szCs w:val="24"/>
        </w:rPr>
        <w:t xml:space="preserve">EW 15 </w:t>
      </w:r>
      <w:r>
        <w:rPr>
          <w:bCs/>
          <w:sz w:val="24"/>
          <w:szCs w:val="24"/>
        </w:rPr>
        <w:t xml:space="preserve">atunci cand scările de evacuare exterioare sunt distantate la mai mult de </w:t>
      </w:r>
      <w:r>
        <w:rPr>
          <w:b/>
          <w:sz w:val="24"/>
          <w:szCs w:val="24"/>
        </w:rPr>
        <w:t>1</w:t>
      </w:r>
      <w:r>
        <w:rPr>
          <w:bCs/>
          <w:sz w:val="24"/>
          <w:szCs w:val="24"/>
        </w:rPr>
        <w:t xml:space="preserve"> m de peretii exteriori ai constructiei (dar la mai puțin de </w:t>
      </w:r>
      <w:r>
        <w:rPr>
          <w:b/>
          <w:sz w:val="24"/>
          <w:szCs w:val="24"/>
        </w:rPr>
        <w:t>3 m</w:t>
      </w:r>
      <w:r>
        <w:rPr>
          <w:bCs/>
          <w:sz w:val="24"/>
          <w:szCs w:val="24"/>
        </w:rPr>
        <w:t xml:space="preserve"> față de aceștia), minimum </w:t>
      </w:r>
      <w:r>
        <w:rPr>
          <w:b/>
          <w:sz w:val="24"/>
          <w:szCs w:val="24"/>
        </w:rPr>
        <w:t xml:space="preserve">EI 15 </w:t>
      </w:r>
      <w:r>
        <w:rPr>
          <w:bCs/>
          <w:sz w:val="24"/>
          <w:szCs w:val="24"/>
        </w:rPr>
        <w:t xml:space="preserve">atunci cand scările de evacuare exterioare sunt distantate la mai puțin de </w:t>
      </w:r>
      <w:r>
        <w:rPr>
          <w:b/>
          <w:sz w:val="24"/>
          <w:szCs w:val="24"/>
        </w:rPr>
        <w:t>1 m</w:t>
      </w:r>
      <w:r>
        <w:rPr>
          <w:bCs/>
          <w:sz w:val="24"/>
          <w:szCs w:val="24"/>
        </w:rPr>
        <w:t xml:space="preserve"> de peretii exteriori ai constructiei</w:t>
      </w:r>
      <w:r>
        <w:rPr>
          <w:sz w:val="24"/>
          <w:szCs w:val="24"/>
        </w:rPr>
        <w:t xml:space="preserve"> care depăşesc cu cel puţin </w:t>
      </w:r>
      <w:r>
        <w:rPr>
          <w:b/>
          <w:sz w:val="24"/>
          <w:szCs w:val="24"/>
        </w:rPr>
        <w:t>3</w:t>
      </w:r>
      <w:r>
        <w:rPr>
          <w:b/>
          <w:bCs/>
          <w:sz w:val="24"/>
          <w:szCs w:val="24"/>
        </w:rPr>
        <w:t>m</w:t>
      </w:r>
      <w:r>
        <w:rPr>
          <w:sz w:val="24"/>
          <w:szCs w:val="24"/>
        </w:rPr>
        <w:t xml:space="preserve"> gabaritul scării, sau prin ecranarea scării exterioare deschise cu elemente rezistente la foc minimum </w:t>
      </w:r>
      <w:r>
        <w:rPr>
          <w:b/>
          <w:sz w:val="24"/>
          <w:szCs w:val="24"/>
        </w:rPr>
        <w:t xml:space="preserve">EW15/ EI15 </w:t>
      </w:r>
      <w:r>
        <w:rPr>
          <w:bCs/>
          <w:sz w:val="24"/>
          <w:szCs w:val="24"/>
        </w:rPr>
        <w:t>(in concordanta cu specificatia anterioara)</w:t>
      </w:r>
      <w:r>
        <w:rPr>
          <w:sz w:val="24"/>
          <w:szCs w:val="24"/>
        </w:rPr>
        <w:t xml:space="preserve"> faţă de golurile din pereţii construcţiei şi conductele menţionate la </w:t>
      </w:r>
      <w:r>
        <w:rPr>
          <w:b/>
          <w:sz w:val="24"/>
          <w:szCs w:val="24"/>
        </w:rPr>
        <w:t>alin. (3)</w:t>
      </w:r>
      <w:r>
        <w:rPr>
          <w:sz w:val="24"/>
          <w:szCs w:val="24"/>
        </w:rPr>
        <w:t xml:space="preserve">. Pentru clădiri / compartimente de incendiu înalte și/ sau foarte înalte ecranarea scării exterioare deschise se realizează cu elemente rezistente la foc minimum </w:t>
      </w:r>
      <w:r>
        <w:rPr>
          <w:b/>
          <w:sz w:val="24"/>
          <w:szCs w:val="24"/>
        </w:rPr>
        <w:t xml:space="preserve">EW30/ EI30 </w:t>
      </w:r>
      <w:r>
        <w:rPr>
          <w:bCs/>
          <w:sz w:val="24"/>
          <w:szCs w:val="24"/>
        </w:rPr>
        <w:t>(in concordanta cu specificatia anterioara)</w:t>
      </w:r>
      <w:r>
        <w:rPr>
          <w:sz w:val="24"/>
          <w:szCs w:val="24"/>
        </w:rPr>
        <w:t xml:space="preserve"> iar pentru cele foarte înalte cu înălțimea </w:t>
      </w:r>
      <w:r>
        <w:rPr>
          <w:b/>
          <w:bCs/>
          <w:sz w:val="24"/>
          <w:szCs w:val="24"/>
        </w:rPr>
        <w:t>≥ 125 m</w:t>
      </w:r>
      <w:r>
        <w:rPr>
          <w:sz w:val="24"/>
          <w:szCs w:val="24"/>
        </w:rPr>
        <w:t xml:space="preserve"> ecranarea scării exterioare deschise se realizează cu elemente rezistente la foc minimum </w:t>
      </w:r>
      <w:r>
        <w:rPr>
          <w:b/>
          <w:sz w:val="24"/>
          <w:szCs w:val="24"/>
        </w:rPr>
        <w:t xml:space="preserve">EW60/ EI60 </w:t>
      </w:r>
      <w:r>
        <w:rPr>
          <w:bCs/>
          <w:sz w:val="24"/>
          <w:szCs w:val="24"/>
        </w:rPr>
        <w:t>(in concordanta cu specificatia anterioara).</w:t>
      </w:r>
    </w:p>
    <w:p w14:paraId="77C93A5A" w14:textId="77777777" w:rsidR="001C08A5" w:rsidRDefault="00000000">
      <w:pPr>
        <w:ind w:firstLine="720"/>
        <w:jc w:val="both"/>
        <w:rPr>
          <w:sz w:val="24"/>
          <w:szCs w:val="24"/>
        </w:rPr>
      </w:pPr>
      <w:r>
        <w:rPr>
          <w:b/>
          <w:sz w:val="24"/>
          <w:szCs w:val="24"/>
        </w:rPr>
        <w:t>(6)</w:t>
      </w:r>
      <w:r>
        <w:rPr>
          <w:sz w:val="24"/>
          <w:szCs w:val="24"/>
        </w:rPr>
        <w:t xml:space="preserve"> Golurile de acces la scările de evacuare exterioare deschise se protejează cu uşi rezistente la foc și etanșe la fum minimum </w:t>
      </w:r>
      <w:r>
        <w:rPr>
          <w:b/>
          <w:sz w:val="24"/>
          <w:szCs w:val="24"/>
        </w:rPr>
        <w:t>EI</w:t>
      </w:r>
      <w:r>
        <w:rPr>
          <w:b/>
          <w:sz w:val="24"/>
          <w:szCs w:val="24"/>
          <w:vertAlign w:val="subscript"/>
        </w:rPr>
        <w:t>2</w:t>
      </w:r>
      <w:r>
        <w:rPr>
          <w:b/>
          <w:sz w:val="24"/>
          <w:szCs w:val="24"/>
        </w:rPr>
        <w:t>15-C5S</w:t>
      </w:r>
      <w:r>
        <w:rPr>
          <w:b/>
          <w:sz w:val="24"/>
          <w:szCs w:val="24"/>
          <w:vertAlign w:val="subscript"/>
        </w:rPr>
        <w:t xml:space="preserve">a </w:t>
      </w:r>
      <w:r>
        <w:rPr>
          <w:b/>
          <w:sz w:val="24"/>
          <w:szCs w:val="24"/>
        </w:rPr>
        <w:t>(</w:t>
      </w:r>
      <w:r>
        <w:rPr>
          <w:bCs/>
          <w:sz w:val="24"/>
          <w:szCs w:val="24"/>
        </w:rPr>
        <w:t xml:space="preserve">minimum </w:t>
      </w:r>
      <w:r>
        <w:rPr>
          <w:b/>
          <w:sz w:val="24"/>
          <w:szCs w:val="24"/>
        </w:rPr>
        <w:t>EI</w:t>
      </w:r>
      <w:r>
        <w:rPr>
          <w:b/>
          <w:sz w:val="24"/>
          <w:szCs w:val="24"/>
          <w:vertAlign w:val="subscript"/>
        </w:rPr>
        <w:t>2</w:t>
      </w:r>
      <w:r>
        <w:rPr>
          <w:b/>
          <w:sz w:val="24"/>
          <w:szCs w:val="24"/>
        </w:rPr>
        <w:t>30-C5S</w:t>
      </w:r>
      <w:r>
        <w:rPr>
          <w:b/>
          <w:sz w:val="24"/>
          <w:szCs w:val="24"/>
          <w:vertAlign w:val="subscript"/>
        </w:rPr>
        <w:t xml:space="preserve">a  </w:t>
      </w:r>
      <w:r>
        <w:rPr>
          <w:bCs/>
          <w:sz w:val="24"/>
          <w:szCs w:val="24"/>
        </w:rPr>
        <w:t>la clădiri</w:t>
      </w:r>
      <w:r>
        <w:rPr>
          <w:sz w:val="24"/>
          <w:szCs w:val="24"/>
        </w:rPr>
        <w:t xml:space="preserve">înalte și/ sau foarte înalte și </w:t>
      </w:r>
      <w:r>
        <w:rPr>
          <w:bCs/>
          <w:sz w:val="24"/>
          <w:szCs w:val="24"/>
        </w:rPr>
        <w:t xml:space="preserve">minimum </w:t>
      </w:r>
      <w:r>
        <w:rPr>
          <w:b/>
          <w:sz w:val="24"/>
          <w:szCs w:val="24"/>
        </w:rPr>
        <w:t>EI</w:t>
      </w:r>
      <w:r>
        <w:rPr>
          <w:b/>
          <w:sz w:val="24"/>
          <w:szCs w:val="24"/>
          <w:vertAlign w:val="subscript"/>
        </w:rPr>
        <w:t>2</w:t>
      </w:r>
      <w:r>
        <w:rPr>
          <w:b/>
          <w:sz w:val="24"/>
          <w:szCs w:val="24"/>
        </w:rPr>
        <w:t>60-C5S</w:t>
      </w:r>
      <w:r>
        <w:rPr>
          <w:b/>
          <w:sz w:val="24"/>
          <w:szCs w:val="24"/>
          <w:vertAlign w:val="subscript"/>
        </w:rPr>
        <w:t xml:space="preserve">a  </w:t>
      </w:r>
      <w:r>
        <w:rPr>
          <w:bCs/>
          <w:sz w:val="24"/>
          <w:szCs w:val="24"/>
        </w:rPr>
        <w:t>la clădiri</w:t>
      </w:r>
      <w:r>
        <w:rPr>
          <w:sz w:val="24"/>
          <w:szCs w:val="24"/>
        </w:rPr>
        <w:t xml:space="preserve">foarte înalte cu înălțimea </w:t>
      </w:r>
      <w:r>
        <w:rPr>
          <w:b/>
          <w:bCs/>
          <w:sz w:val="24"/>
          <w:szCs w:val="24"/>
        </w:rPr>
        <w:t xml:space="preserve">≥ 125 m, </w:t>
      </w:r>
      <w:r>
        <w:rPr>
          <w:sz w:val="24"/>
          <w:szCs w:val="24"/>
        </w:rPr>
        <w:t xml:space="preserve">cu excepţia uşilor de la ultimul nivel al clădirii. </w:t>
      </w:r>
    </w:p>
    <w:p w14:paraId="7DD0756B" w14:textId="77777777" w:rsidR="001C08A5" w:rsidRDefault="001C08A5">
      <w:pPr>
        <w:rPr>
          <w:sz w:val="24"/>
          <w:szCs w:val="24"/>
        </w:rPr>
      </w:pPr>
    </w:p>
    <w:p w14:paraId="41358B46" w14:textId="77777777" w:rsidR="001C08A5" w:rsidRDefault="00000000">
      <w:pPr>
        <w:jc w:val="both"/>
        <w:rPr>
          <w:sz w:val="24"/>
          <w:szCs w:val="24"/>
        </w:rPr>
      </w:pPr>
      <w:r>
        <w:rPr>
          <w:b/>
          <w:sz w:val="24"/>
          <w:szCs w:val="24"/>
        </w:rPr>
        <w:tab/>
        <w:t xml:space="preserve">Art. 2.5.6.4.2. </w:t>
      </w:r>
      <w:r>
        <w:rPr>
          <w:sz w:val="24"/>
          <w:szCs w:val="24"/>
        </w:rPr>
        <w:t>Construcţiile supraterane independente etajate ale grădiniţelor, se prevăd obligatoriu cu scară exterioară de evacuare dimensionată corespunzător numărului de utilizatori și tipului de utilizatori, indiferent de numărul scărilor interioare prevăzute.</w:t>
      </w:r>
    </w:p>
    <w:p w14:paraId="3E2CCA95" w14:textId="77777777" w:rsidR="001C08A5" w:rsidRDefault="00000000">
      <w:pPr>
        <w:pStyle w:val="Heading4"/>
      </w:pPr>
      <w:bookmarkStart w:id="2206" w:name="_Toc2762"/>
      <w:bookmarkStart w:id="2207" w:name="_Toc11998"/>
      <w:bookmarkStart w:id="2208" w:name="_Toc15614"/>
      <w:bookmarkStart w:id="2209" w:name="_Toc162355260"/>
      <w:bookmarkStart w:id="2210" w:name="_Toc22256"/>
      <w:bookmarkStart w:id="2211" w:name="_Toc21897"/>
      <w:bookmarkStart w:id="2212" w:name="_Toc10807"/>
      <w:bookmarkStart w:id="2213" w:name="_Toc28269"/>
      <w:r>
        <w:t>2.5.7. Terase circulabile, cursive, logii şi curţi interioare</w:t>
      </w:r>
      <w:bookmarkEnd w:id="2206"/>
      <w:bookmarkEnd w:id="2207"/>
      <w:bookmarkEnd w:id="2208"/>
      <w:bookmarkEnd w:id="2209"/>
      <w:bookmarkEnd w:id="2210"/>
      <w:bookmarkEnd w:id="2211"/>
      <w:bookmarkEnd w:id="2212"/>
      <w:bookmarkEnd w:id="2213"/>
    </w:p>
    <w:p w14:paraId="57647AE9" w14:textId="77777777" w:rsidR="001C08A5" w:rsidRDefault="001C08A5">
      <w:pPr>
        <w:rPr>
          <w:sz w:val="24"/>
          <w:szCs w:val="24"/>
        </w:rPr>
      </w:pPr>
    </w:p>
    <w:p w14:paraId="44CC331B" w14:textId="77777777" w:rsidR="001C08A5" w:rsidRDefault="00000000">
      <w:pPr>
        <w:jc w:val="both"/>
        <w:rPr>
          <w:sz w:val="24"/>
          <w:szCs w:val="24"/>
        </w:rPr>
      </w:pPr>
      <w:r>
        <w:rPr>
          <w:b/>
          <w:sz w:val="24"/>
          <w:szCs w:val="24"/>
        </w:rPr>
        <w:tab/>
        <w:t>Art. 2.5.7.1. (1)</w:t>
      </w:r>
      <w:r>
        <w:rPr>
          <w:sz w:val="24"/>
          <w:szCs w:val="24"/>
        </w:rPr>
        <w:t xml:space="preserve"> Terasele circulabile, cursivele şi logiile construcţiilor care constituie căi de evacuare a utilizatorilor în caz de incendiu, trebuie să asigure lăţimea de trecere rezultată din calcul, să fie rezistente la foc minimum </w:t>
      </w:r>
      <w:r>
        <w:rPr>
          <w:b/>
          <w:sz w:val="24"/>
          <w:szCs w:val="24"/>
        </w:rPr>
        <w:t>REI 60</w:t>
      </w:r>
      <w:r>
        <w:rPr>
          <w:sz w:val="24"/>
          <w:szCs w:val="24"/>
        </w:rPr>
        <w:t xml:space="preserve"> și protejate împotriva blocării circulaţiei prin căderea unor elemente aprinse ale clădirii.</w:t>
      </w:r>
    </w:p>
    <w:p w14:paraId="68D17350" w14:textId="77777777" w:rsidR="001C08A5" w:rsidRDefault="00000000">
      <w:pPr>
        <w:jc w:val="both"/>
        <w:rPr>
          <w:sz w:val="24"/>
          <w:szCs w:val="24"/>
        </w:rPr>
      </w:pPr>
      <w:r>
        <w:rPr>
          <w:sz w:val="24"/>
          <w:szCs w:val="24"/>
        </w:rPr>
        <w:tab/>
      </w:r>
      <w:r>
        <w:rPr>
          <w:b/>
          <w:sz w:val="24"/>
          <w:szCs w:val="24"/>
        </w:rPr>
        <w:t>(2)</w:t>
      </w:r>
      <w:r>
        <w:rPr>
          <w:sz w:val="24"/>
          <w:szCs w:val="24"/>
        </w:rPr>
        <w:t xml:space="preserve"> Terasele cu lăţime mai mică de </w:t>
      </w:r>
      <w:r>
        <w:rPr>
          <w:b/>
          <w:sz w:val="24"/>
          <w:szCs w:val="24"/>
        </w:rPr>
        <w:t>6</w:t>
      </w:r>
      <w:r>
        <w:rPr>
          <w:b/>
          <w:bCs/>
          <w:sz w:val="24"/>
          <w:szCs w:val="24"/>
        </w:rPr>
        <w:t>m</w:t>
      </w:r>
      <w:r>
        <w:rPr>
          <w:sz w:val="24"/>
          <w:szCs w:val="24"/>
        </w:rPr>
        <w:t xml:space="preserve">, cursivele şi logiile prevăzute pentru evacuarea utilizatorilor, trebuie să fie protejate împotriva efectelor incendiilor de la nivelurile inferioare ale construcţiei sau din vecinătăţi, cu parapete pline de cel puţin </w:t>
      </w:r>
      <w:r>
        <w:rPr>
          <w:b/>
          <w:sz w:val="24"/>
          <w:szCs w:val="24"/>
        </w:rPr>
        <w:t>1,20</w:t>
      </w:r>
      <w:r>
        <w:rPr>
          <w:b/>
          <w:bCs/>
          <w:sz w:val="24"/>
          <w:szCs w:val="24"/>
        </w:rPr>
        <w:t xml:space="preserve"> m </w:t>
      </w:r>
      <w:r>
        <w:rPr>
          <w:sz w:val="24"/>
          <w:szCs w:val="24"/>
        </w:rPr>
        <w:t xml:space="preserve">înălţime, rezistente la foc minimum  </w:t>
      </w:r>
      <w:r>
        <w:rPr>
          <w:b/>
          <w:sz w:val="24"/>
          <w:szCs w:val="24"/>
        </w:rPr>
        <w:t>EI/REI 30</w:t>
      </w:r>
      <w:r>
        <w:rPr>
          <w:sz w:val="24"/>
          <w:szCs w:val="24"/>
        </w:rPr>
        <w:t>.</w:t>
      </w:r>
    </w:p>
    <w:p w14:paraId="4641C277" w14:textId="77777777" w:rsidR="001C08A5" w:rsidRDefault="00000000">
      <w:pPr>
        <w:jc w:val="both"/>
        <w:rPr>
          <w:sz w:val="24"/>
          <w:szCs w:val="24"/>
        </w:rPr>
      </w:pPr>
      <w:r>
        <w:rPr>
          <w:sz w:val="24"/>
          <w:szCs w:val="24"/>
        </w:rPr>
        <w:tab/>
      </w:r>
      <w:r>
        <w:rPr>
          <w:b/>
          <w:sz w:val="24"/>
          <w:szCs w:val="24"/>
        </w:rPr>
        <w:t>(3)</w:t>
      </w:r>
      <w:r>
        <w:rPr>
          <w:sz w:val="24"/>
          <w:szCs w:val="24"/>
        </w:rPr>
        <w:t xml:space="preserve"> Pot fi utilizate pentru evacuarea utilizatorilor și porţiuni ale teraselor necirculabile care îndeplinesc condiţiile menţionate la </w:t>
      </w:r>
      <w:r>
        <w:rPr>
          <w:b/>
          <w:sz w:val="24"/>
          <w:szCs w:val="24"/>
        </w:rPr>
        <w:t>alin.(1)</w:t>
      </w:r>
      <w:r>
        <w:rPr>
          <w:sz w:val="24"/>
          <w:szCs w:val="24"/>
        </w:rPr>
        <w:t xml:space="preserve"> şi </w:t>
      </w:r>
      <w:r>
        <w:rPr>
          <w:b/>
          <w:sz w:val="24"/>
          <w:szCs w:val="24"/>
        </w:rPr>
        <w:t>alin. (2)</w:t>
      </w:r>
      <w:r>
        <w:rPr>
          <w:sz w:val="24"/>
          <w:szCs w:val="24"/>
        </w:rPr>
        <w:t xml:space="preserve"> şi au asigurate măsuri de marcare, organizare și protecţie a traseelor stabilite pentru evacuare.</w:t>
      </w:r>
    </w:p>
    <w:p w14:paraId="63CE397A" w14:textId="77777777" w:rsidR="001C08A5" w:rsidRDefault="00000000">
      <w:pPr>
        <w:ind w:firstLine="720"/>
        <w:jc w:val="both"/>
        <w:rPr>
          <w:b/>
          <w:sz w:val="24"/>
          <w:szCs w:val="24"/>
        </w:rPr>
      </w:pPr>
      <w:r>
        <w:rPr>
          <w:b/>
          <w:sz w:val="24"/>
          <w:szCs w:val="24"/>
        </w:rPr>
        <w:t xml:space="preserve">(4) </w:t>
      </w:r>
      <w:r>
        <w:rPr>
          <w:sz w:val="24"/>
          <w:szCs w:val="24"/>
        </w:rPr>
        <w:t xml:space="preserve">Circulaţia utilizatorilor să nu poată fi blocată datorită avarierii unor conducte prin care se vehiculează aburi, lichide sau gaze combustibile, acizi ori substanţe toxice etc., situate la mai puţin de </w:t>
      </w:r>
      <w:r>
        <w:rPr>
          <w:b/>
          <w:sz w:val="24"/>
          <w:szCs w:val="24"/>
        </w:rPr>
        <w:t>3</w:t>
      </w:r>
      <w:r>
        <w:rPr>
          <w:b/>
          <w:bCs/>
          <w:sz w:val="24"/>
          <w:szCs w:val="24"/>
        </w:rPr>
        <w:t xml:space="preserve"> m </w:t>
      </w:r>
      <w:r>
        <w:rPr>
          <w:sz w:val="24"/>
          <w:szCs w:val="24"/>
        </w:rPr>
        <w:t>de gabaritul scării.</w:t>
      </w:r>
    </w:p>
    <w:p w14:paraId="797FECE3" w14:textId="77777777" w:rsidR="001C08A5" w:rsidRDefault="00000000">
      <w:pPr>
        <w:ind w:firstLine="720"/>
        <w:jc w:val="both"/>
        <w:rPr>
          <w:i/>
          <w:iCs/>
          <w:sz w:val="24"/>
          <w:szCs w:val="24"/>
        </w:rPr>
      </w:pPr>
      <w:r>
        <w:rPr>
          <w:b/>
          <w:sz w:val="24"/>
          <w:szCs w:val="24"/>
        </w:rPr>
        <w:t xml:space="preserve">(5) </w:t>
      </w:r>
      <w:r>
        <w:rPr>
          <w:sz w:val="24"/>
          <w:szCs w:val="24"/>
        </w:rPr>
        <w:t xml:space="preserve">Se consideră satisfăcătoare protejarea circulațiilor  prevăzute pentru evacuarea utilizatorilor, prin amplasarea lor în dreptul unor porţiuni pline de pereţi rezistenţi la foc minimum </w:t>
      </w:r>
      <w:r>
        <w:rPr>
          <w:b/>
          <w:sz w:val="24"/>
          <w:szCs w:val="24"/>
        </w:rPr>
        <w:t>EW 15</w:t>
      </w:r>
      <w:r>
        <w:rPr>
          <w:sz w:val="24"/>
          <w:szCs w:val="24"/>
        </w:rPr>
        <w:t xml:space="preserve"> care depăşesc cu cel puţin </w:t>
      </w:r>
      <w:r>
        <w:rPr>
          <w:b/>
          <w:sz w:val="24"/>
          <w:szCs w:val="24"/>
        </w:rPr>
        <w:t>3</w:t>
      </w:r>
      <w:r>
        <w:rPr>
          <w:b/>
          <w:bCs/>
          <w:sz w:val="24"/>
          <w:szCs w:val="24"/>
        </w:rPr>
        <w:t xml:space="preserve"> m </w:t>
      </w:r>
      <w:r>
        <w:rPr>
          <w:sz w:val="24"/>
          <w:szCs w:val="24"/>
        </w:rPr>
        <w:t xml:space="preserve">gabaritul circulației sau prin ecranarea cu elemente rezistente la foc minimum </w:t>
      </w:r>
      <w:r>
        <w:rPr>
          <w:b/>
          <w:bCs/>
          <w:sz w:val="24"/>
          <w:szCs w:val="24"/>
        </w:rPr>
        <w:t xml:space="preserve">EI 15/ </w:t>
      </w:r>
      <w:r>
        <w:rPr>
          <w:b/>
          <w:sz w:val="24"/>
          <w:szCs w:val="24"/>
        </w:rPr>
        <w:t>EW 15</w:t>
      </w:r>
      <w:r>
        <w:rPr>
          <w:sz w:val="24"/>
          <w:szCs w:val="24"/>
        </w:rPr>
        <w:t xml:space="preserve"> faţă de golurile din pereţii construcţiei şi conductele menţionate la </w:t>
      </w:r>
      <w:r>
        <w:rPr>
          <w:b/>
          <w:sz w:val="24"/>
          <w:szCs w:val="24"/>
        </w:rPr>
        <w:t>alin. (4)</w:t>
      </w:r>
      <w:r>
        <w:rPr>
          <w:sz w:val="24"/>
          <w:szCs w:val="24"/>
        </w:rPr>
        <w:t xml:space="preserve">. </w:t>
      </w:r>
      <w:r>
        <w:rPr>
          <w:i/>
          <w:iCs/>
          <w:sz w:val="24"/>
          <w:szCs w:val="24"/>
        </w:rPr>
        <w:t>(conform</w:t>
      </w:r>
      <w:r>
        <w:rPr>
          <w:b/>
          <w:bCs/>
          <w:i/>
          <w:iCs/>
          <w:sz w:val="24"/>
          <w:szCs w:val="24"/>
        </w:rPr>
        <w:t xml:space="preserve"> </w:t>
      </w:r>
      <w:r>
        <w:rPr>
          <w:rFonts w:cs="Mangal"/>
          <w:b/>
          <w:i/>
          <w:iCs/>
          <w:sz w:val="24"/>
          <w:szCs w:val="24"/>
        </w:rPr>
        <w:fldChar w:fldCharType="begin"/>
      </w:r>
      <w:r>
        <w:rPr>
          <w:rFonts w:cs="Mangal"/>
          <w:b/>
          <w:i/>
          <w:iCs/>
          <w:sz w:val="24"/>
          <w:szCs w:val="24"/>
        </w:rPr>
        <w:instrText xml:space="preserve"> REF _Ref15913 \h </w:instrText>
      </w:r>
      <w:r>
        <w:rPr>
          <w:rFonts w:cs="Mangal"/>
          <w:b/>
          <w:i/>
          <w:iCs/>
          <w:sz w:val="24"/>
          <w:szCs w:val="24"/>
        </w:rPr>
      </w:r>
      <w:r>
        <w:rPr>
          <w:rFonts w:cs="Mangal"/>
          <w:b/>
          <w:i/>
          <w:iCs/>
          <w:sz w:val="24"/>
          <w:szCs w:val="24"/>
        </w:rPr>
        <w:fldChar w:fldCharType="separate"/>
      </w:r>
      <w:r>
        <w:t>Figura 59</w:t>
      </w:r>
      <w:r>
        <w:rPr>
          <w:rFonts w:cs="Mangal"/>
          <w:b/>
          <w:i/>
          <w:iCs/>
          <w:sz w:val="24"/>
          <w:szCs w:val="24"/>
        </w:rPr>
        <w:fldChar w:fldCharType="end"/>
      </w:r>
      <w:r>
        <w:rPr>
          <w:i/>
          <w:iCs/>
          <w:sz w:val="24"/>
          <w:szCs w:val="24"/>
        </w:rPr>
        <w:t>).</w:t>
      </w:r>
    </w:p>
    <w:p w14:paraId="3BAFAC10" w14:textId="77777777" w:rsidR="001C08A5" w:rsidRDefault="001C08A5">
      <w:pPr>
        <w:ind w:firstLine="720"/>
        <w:jc w:val="both"/>
        <w:rPr>
          <w:i/>
          <w:iCs/>
          <w:sz w:val="24"/>
          <w:szCs w:val="24"/>
        </w:rPr>
      </w:pPr>
    </w:p>
    <w:p w14:paraId="5D68B55B" w14:textId="77777777" w:rsidR="001C08A5" w:rsidRDefault="00000000">
      <w:pPr>
        <w:ind w:firstLine="720"/>
        <w:jc w:val="center"/>
        <w:rPr>
          <w:sz w:val="24"/>
          <w:szCs w:val="24"/>
        </w:rPr>
      </w:pPr>
      <w:r>
        <w:rPr>
          <w:noProof/>
          <w:sz w:val="24"/>
          <w:szCs w:val="24"/>
          <w:lang w:eastAsia="ro-RO"/>
        </w:rPr>
        <w:lastRenderedPageBreak/>
        <w:drawing>
          <wp:inline distT="0" distB="0" distL="0" distR="0" wp14:anchorId="2DDF9966" wp14:editId="760CB531">
            <wp:extent cx="4396740" cy="3262630"/>
            <wp:effectExtent l="0" t="0" r="3810" b="13334"/>
            <wp:docPr id="1136" name="Picture 96"/>
            <wp:cNvGraphicFramePr/>
            <a:graphic xmlns:a="http://schemas.openxmlformats.org/drawingml/2006/main">
              <a:graphicData uri="http://schemas.openxmlformats.org/drawingml/2006/picture">
                <pic:pic xmlns:pic="http://schemas.openxmlformats.org/drawingml/2006/picture">
                  <pic:nvPicPr>
                    <pic:cNvPr id="1136" name="Picture 96"/>
                    <pic:cNvPicPr/>
                  </pic:nvPicPr>
                  <pic:blipFill>
                    <a:blip r:embed="rId166" cstate="print"/>
                    <a:srcRect/>
                    <a:stretch>
                      <a:fillRect/>
                    </a:stretch>
                  </pic:blipFill>
                  <pic:spPr>
                    <a:xfrm>
                      <a:off x="0" y="0"/>
                      <a:ext cx="4396740" cy="3263264"/>
                    </a:xfrm>
                    <a:prstGeom prst="rect">
                      <a:avLst/>
                    </a:prstGeom>
                    <a:ln>
                      <a:noFill/>
                    </a:ln>
                  </pic:spPr>
                </pic:pic>
              </a:graphicData>
            </a:graphic>
          </wp:inline>
        </w:drawing>
      </w:r>
    </w:p>
    <w:p w14:paraId="15025235" w14:textId="77777777" w:rsidR="001C08A5" w:rsidRDefault="00000000">
      <w:pPr>
        <w:pStyle w:val="Caption"/>
        <w:ind w:firstLine="720"/>
        <w:jc w:val="center"/>
        <w:rPr>
          <w:rFonts w:cs="Times New Roman"/>
        </w:rPr>
      </w:pPr>
      <w:bookmarkStart w:id="2214" w:name="_Ref15913"/>
      <w:bookmarkStart w:id="2215" w:name="_Toc28977"/>
      <w:bookmarkStart w:id="2216" w:name="_Toc17629"/>
      <w:bookmarkStart w:id="2217" w:name="_Toc3385"/>
      <w:bookmarkStart w:id="2218" w:name="_Toc17683"/>
      <w:bookmarkStart w:id="2219" w:name="_Toc5097"/>
      <w:bookmarkStart w:id="2220" w:name="_Toc2660"/>
      <w:bookmarkStart w:id="2221" w:name="_Toc162360283"/>
      <w:r>
        <w:t xml:space="preserve">Figura </w:t>
      </w:r>
      <w:r>
        <w:fldChar w:fldCharType="begin"/>
      </w:r>
      <w:r>
        <w:instrText xml:space="preserve"> SEQ Figura \* ARABIC </w:instrText>
      </w:r>
      <w:r>
        <w:fldChar w:fldCharType="separate"/>
      </w:r>
      <w:r>
        <w:t>59</w:t>
      </w:r>
      <w:r>
        <w:fldChar w:fldCharType="end"/>
      </w:r>
      <w:bookmarkStart w:id="2222" w:name="_Toc7093"/>
      <w:bookmarkStart w:id="2223" w:name="_Toc30288"/>
      <w:bookmarkStart w:id="2224" w:name="_Toc16833"/>
      <w:bookmarkStart w:id="2225" w:name="_Toc383"/>
      <w:bookmarkStart w:id="2226" w:name="_Toc13116"/>
      <w:bookmarkStart w:id="2227" w:name="_Toc1273"/>
      <w:bookmarkStart w:id="2228" w:name="_Toc28136"/>
      <w:bookmarkStart w:id="2229" w:name="_Toc29803"/>
      <w:bookmarkStart w:id="2230" w:name="_Toc20239"/>
      <w:bookmarkStart w:id="2231" w:name="_Toc19730"/>
      <w:bookmarkStart w:id="2232" w:name="_Toc28752"/>
      <w:bookmarkEnd w:id="2214"/>
      <w:r>
        <w:t xml:space="preserve"> - </w:t>
      </w:r>
      <w:r>
        <w:rPr>
          <w:rFonts w:cs="Times New Roman"/>
        </w:rPr>
        <w:t>Protejarea circulațiilor prevăzute pentru evacuarea utilizatorilor de pe teras</w:t>
      </w:r>
      <w:bookmarkEnd w:id="2215"/>
      <w:bookmarkEnd w:id="2216"/>
      <w:bookmarkEnd w:id="2217"/>
      <w:bookmarkEnd w:id="2218"/>
      <w:bookmarkEnd w:id="2219"/>
      <w:bookmarkEnd w:id="2220"/>
      <w:bookmarkEnd w:id="2222"/>
      <w:r>
        <w:rPr>
          <w:rFonts w:cs="Times New Roman"/>
        </w:rPr>
        <w:t>ă</w:t>
      </w:r>
      <w:bookmarkEnd w:id="2221"/>
      <w:bookmarkEnd w:id="2223"/>
      <w:bookmarkEnd w:id="2224"/>
      <w:bookmarkEnd w:id="2225"/>
      <w:bookmarkEnd w:id="2226"/>
      <w:bookmarkEnd w:id="2227"/>
      <w:bookmarkEnd w:id="2228"/>
      <w:bookmarkEnd w:id="2229"/>
      <w:bookmarkEnd w:id="2230"/>
      <w:bookmarkEnd w:id="2231"/>
      <w:bookmarkEnd w:id="2232"/>
    </w:p>
    <w:p w14:paraId="15186F2F" w14:textId="77777777" w:rsidR="001C08A5" w:rsidRDefault="00000000">
      <w:pPr>
        <w:jc w:val="both"/>
        <w:rPr>
          <w:sz w:val="24"/>
          <w:szCs w:val="24"/>
        </w:rPr>
      </w:pPr>
      <w:r>
        <w:rPr>
          <w:b/>
          <w:sz w:val="24"/>
          <w:szCs w:val="24"/>
        </w:rPr>
        <w:tab/>
        <w:t xml:space="preserve">Art. 2.5.7.2. </w:t>
      </w:r>
      <w:r>
        <w:rPr>
          <w:sz w:val="24"/>
          <w:szCs w:val="24"/>
        </w:rPr>
        <w:t xml:space="preserve">Curţile interioare şi spaţiile libere dintre construcţii pot fi luate în considerare pentru evacuarea utilizatorilor în caz de incendiu, dacă au lăţimea suficientă pentru trecerea numărului de unităţi de trecere (fluxuri) de evacuare rezultate din calcul, dar nu mai puţin de </w:t>
      </w:r>
      <w:r>
        <w:rPr>
          <w:b/>
          <w:sz w:val="24"/>
          <w:szCs w:val="24"/>
        </w:rPr>
        <w:t>3</w:t>
      </w:r>
      <w:r>
        <w:rPr>
          <w:b/>
          <w:bCs/>
          <w:sz w:val="24"/>
          <w:szCs w:val="24"/>
        </w:rPr>
        <w:t xml:space="preserve"> m </w:t>
      </w:r>
      <w:r>
        <w:rPr>
          <w:sz w:val="24"/>
          <w:szCs w:val="24"/>
        </w:rPr>
        <w:t>lăţime.</w:t>
      </w:r>
    </w:p>
    <w:p w14:paraId="656E0CD4" w14:textId="77777777" w:rsidR="001C08A5" w:rsidRDefault="00000000">
      <w:pPr>
        <w:pStyle w:val="Heading4"/>
      </w:pPr>
      <w:bookmarkStart w:id="2233" w:name="_Toc162355261"/>
      <w:bookmarkStart w:id="2234" w:name="_Toc3390"/>
      <w:bookmarkStart w:id="2235" w:name="_Toc32754"/>
      <w:bookmarkStart w:id="2236" w:name="_Toc14064"/>
      <w:bookmarkStart w:id="2237" w:name="_Toc20350"/>
      <w:bookmarkStart w:id="2238" w:name="_Toc9807"/>
      <w:bookmarkStart w:id="2239" w:name="_Toc7938"/>
      <w:bookmarkStart w:id="2240" w:name="_Toc4386"/>
      <w:r>
        <w:t>2.5.8. Dimensionarea căilor de evacuare</w:t>
      </w:r>
      <w:bookmarkEnd w:id="2233"/>
      <w:bookmarkEnd w:id="2234"/>
      <w:bookmarkEnd w:id="2235"/>
      <w:bookmarkEnd w:id="2236"/>
      <w:bookmarkEnd w:id="2237"/>
      <w:bookmarkEnd w:id="2238"/>
      <w:bookmarkEnd w:id="2239"/>
      <w:bookmarkEnd w:id="2240"/>
      <w:r>
        <w:tab/>
      </w:r>
    </w:p>
    <w:p w14:paraId="49EF080B" w14:textId="77777777" w:rsidR="001C08A5" w:rsidRDefault="001C08A5">
      <w:pPr>
        <w:rPr>
          <w:sz w:val="24"/>
          <w:szCs w:val="24"/>
        </w:rPr>
      </w:pPr>
    </w:p>
    <w:p w14:paraId="72145E77" w14:textId="77777777" w:rsidR="001C08A5" w:rsidRDefault="00000000">
      <w:pPr>
        <w:pStyle w:val="BodyText"/>
        <w:rPr>
          <w:b w:val="0"/>
        </w:rPr>
      </w:pPr>
      <w:r>
        <w:tab/>
      </w:r>
      <w:r>
        <w:rPr>
          <w:i w:val="0"/>
          <w:iCs/>
        </w:rPr>
        <w:t>Art. 2.5.8.1.</w:t>
      </w:r>
      <w:r>
        <w:rPr>
          <w:b w:val="0"/>
          <w:i w:val="0"/>
          <w:iCs/>
        </w:rPr>
        <w:t xml:space="preserve"> Calculul căilor de evacuare (pentru mai mult de </w:t>
      </w:r>
      <w:r>
        <w:rPr>
          <w:bCs w:val="0"/>
          <w:i w:val="0"/>
          <w:iCs/>
        </w:rPr>
        <w:t>5</w:t>
      </w:r>
      <w:r>
        <w:rPr>
          <w:b w:val="0"/>
          <w:i w:val="0"/>
          <w:iCs/>
        </w:rPr>
        <w:t xml:space="preserve"> persoane) constă în determinarea gabaritelor necesare și respectarea lungimii normate a traseelor, astfel încât să se asigure evacuarea rapidă din construcţie, pe distanța normată.</w:t>
      </w:r>
    </w:p>
    <w:p w14:paraId="1278FE95" w14:textId="77777777" w:rsidR="001C08A5" w:rsidRDefault="001C08A5">
      <w:pPr>
        <w:pStyle w:val="BodyText"/>
        <w:rPr>
          <w:b w:val="0"/>
        </w:rPr>
      </w:pPr>
    </w:p>
    <w:p w14:paraId="46CB5DA4" w14:textId="77777777" w:rsidR="001C08A5" w:rsidRDefault="00000000">
      <w:pPr>
        <w:jc w:val="both"/>
        <w:rPr>
          <w:sz w:val="24"/>
          <w:szCs w:val="24"/>
        </w:rPr>
      </w:pPr>
      <w:r>
        <w:rPr>
          <w:b/>
          <w:sz w:val="24"/>
          <w:szCs w:val="24"/>
        </w:rPr>
        <w:tab/>
        <w:t>Art. 2.5.8.2. (1)</w:t>
      </w:r>
      <w:r>
        <w:rPr>
          <w:sz w:val="24"/>
          <w:szCs w:val="24"/>
        </w:rPr>
        <w:t xml:space="preserve"> Evacuarea utilizatorilor clădirilor se consideră că se face ordonat, în unităţi de trecere (fluxuri) de evacuare, care se deplasează pe căile de circulaţie şi evacuare spre exterior.</w:t>
      </w:r>
    </w:p>
    <w:p w14:paraId="02D4294F" w14:textId="77777777" w:rsidR="001C08A5" w:rsidRDefault="00000000">
      <w:pPr>
        <w:ind w:firstLine="720"/>
        <w:jc w:val="both"/>
        <w:rPr>
          <w:i/>
          <w:sz w:val="24"/>
          <w:szCs w:val="24"/>
        </w:rPr>
      </w:pPr>
      <w:r>
        <w:rPr>
          <w:b/>
          <w:sz w:val="24"/>
          <w:szCs w:val="24"/>
        </w:rPr>
        <w:t xml:space="preserve">(2) </w:t>
      </w:r>
      <w:r>
        <w:rPr>
          <w:sz w:val="24"/>
          <w:szCs w:val="24"/>
        </w:rPr>
        <w:t xml:space="preserve">Determinarea unităţilor de trecere (fluxurilor) de evacuare, se realizează prin calcul. </w:t>
      </w:r>
    </w:p>
    <w:p w14:paraId="20416F2D" w14:textId="77777777" w:rsidR="001C08A5" w:rsidRDefault="001C08A5">
      <w:pPr>
        <w:pStyle w:val="BodyText"/>
        <w:rPr>
          <w:b w:val="0"/>
        </w:rPr>
      </w:pPr>
    </w:p>
    <w:p w14:paraId="0952E307" w14:textId="77777777" w:rsidR="001C08A5" w:rsidRDefault="00000000">
      <w:pPr>
        <w:pStyle w:val="BodyText"/>
        <w:rPr>
          <w:b w:val="0"/>
        </w:rPr>
      </w:pPr>
      <w:r>
        <w:tab/>
      </w:r>
      <w:r>
        <w:rPr>
          <w:i w:val="0"/>
          <w:iCs/>
        </w:rPr>
        <w:t>Art. 2.5.8.3.</w:t>
      </w:r>
      <w:r>
        <w:rPr>
          <w:b w:val="0"/>
          <w:i w:val="0"/>
          <w:iCs/>
        </w:rPr>
        <w:t xml:space="preserve"> Numărul de fluxuri ce trebuie asigurat pentru evacuarea persoanelor și gabaritele necesare trecerii fluxurilor de evacuare se calculează conform prevederilor normativului.</w:t>
      </w:r>
    </w:p>
    <w:p w14:paraId="4BDC2735" w14:textId="77777777" w:rsidR="001C08A5" w:rsidRDefault="001C08A5">
      <w:pPr>
        <w:pStyle w:val="BodyText"/>
        <w:rPr>
          <w:b w:val="0"/>
        </w:rPr>
      </w:pPr>
    </w:p>
    <w:p w14:paraId="57D907C6" w14:textId="77777777" w:rsidR="001C08A5" w:rsidRDefault="00000000">
      <w:pPr>
        <w:jc w:val="both"/>
        <w:rPr>
          <w:sz w:val="24"/>
          <w:szCs w:val="24"/>
        </w:rPr>
      </w:pPr>
      <w:r>
        <w:rPr>
          <w:b/>
          <w:sz w:val="24"/>
          <w:szCs w:val="24"/>
        </w:rPr>
        <w:tab/>
        <w:t xml:space="preserve">Art. 2.5.8.4. </w:t>
      </w:r>
      <w:r>
        <w:rPr>
          <w:b/>
          <w:bCs/>
          <w:sz w:val="24"/>
          <w:szCs w:val="24"/>
        </w:rPr>
        <w:t xml:space="preserve">(1) </w:t>
      </w:r>
      <w:r>
        <w:rPr>
          <w:sz w:val="24"/>
          <w:szCs w:val="24"/>
        </w:rPr>
        <w:t>La stabilirea numărului de unităţi de trecere (fluxuri) de evacuare ce trebuie asigurate pentru evacuarea utilizatorilor construcţiilor pe scări, se au în vedere următoarele:</w:t>
      </w:r>
    </w:p>
    <w:p w14:paraId="3C0C29DF" w14:textId="77777777" w:rsidR="001C08A5" w:rsidRDefault="00000000">
      <w:pPr>
        <w:numPr>
          <w:ilvl w:val="0"/>
          <w:numId w:val="63"/>
        </w:numPr>
        <w:ind w:left="1410"/>
        <w:jc w:val="both"/>
      </w:pPr>
      <w:r>
        <w:rPr>
          <w:sz w:val="24"/>
          <w:szCs w:val="24"/>
        </w:rPr>
        <w:t xml:space="preserve">lăţimea rampelor scărilor de evacuare este determinată de nivelul construcţiei din care provine cel mai mare număr de unităţi de trecere (fluxuri) de evacuare, cu excepţia cazurilor în care utilizatorii aflaţi la diferite niveluri pot observa simultan incendiul (supante, galerii deschise, atriumuri și goluri din planșee) și se pot deplasa simultan spre scări, caz în care lăţimea rampelor se determină după numărul de fluxuri ce provin din nivelul cel mai aglomerat, la care se adaugă pentru fiecare din celelalte niveluri care se evacuează prin scară, lăţimea necesară pentru evacuarea a </w:t>
      </w:r>
      <w:r>
        <w:rPr>
          <w:b/>
          <w:sz w:val="24"/>
          <w:szCs w:val="24"/>
        </w:rPr>
        <w:t xml:space="preserve">25% </w:t>
      </w:r>
      <w:r>
        <w:rPr>
          <w:sz w:val="24"/>
          <w:szCs w:val="24"/>
        </w:rPr>
        <w:t>din utilizatorii aflaţi la nivelul respectiv;</w:t>
      </w:r>
    </w:p>
    <w:p w14:paraId="39AF1BEA" w14:textId="77777777" w:rsidR="001C08A5" w:rsidRDefault="00000000">
      <w:pPr>
        <w:ind w:left="1440"/>
        <w:jc w:val="both"/>
        <w:rPr>
          <w:sz w:val="24"/>
          <w:szCs w:val="24"/>
        </w:rPr>
      </w:pPr>
      <w:r>
        <w:rPr>
          <w:b/>
          <w:sz w:val="24"/>
          <w:szCs w:val="24"/>
        </w:rPr>
        <w:t xml:space="preserve">b) </w:t>
      </w:r>
      <w:r>
        <w:rPr>
          <w:sz w:val="24"/>
          <w:szCs w:val="24"/>
        </w:rPr>
        <w:t xml:space="preserve">dacă deasupra nivelului care determină lăţimea rampelor scării se află niveluri ale construcţiei cu un număr mai mic de utilizatori (mansardă, nivel retras etc.), porţiunea de scară aferentă poate avea lăţimea mai mică, dimensionându-se potrivit </w:t>
      </w:r>
      <w:r>
        <w:rPr>
          <w:b/>
          <w:sz w:val="24"/>
          <w:szCs w:val="24"/>
        </w:rPr>
        <w:t>lit. a)</w:t>
      </w:r>
      <w:r>
        <w:rPr>
          <w:sz w:val="24"/>
          <w:szCs w:val="24"/>
        </w:rPr>
        <w:t>;</w:t>
      </w:r>
    </w:p>
    <w:p w14:paraId="0DCEB9ED" w14:textId="77777777" w:rsidR="001C08A5" w:rsidRDefault="00000000">
      <w:pPr>
        <w:ind w:left="1440"/>
        <w:jc w:val="both"/>
        <w:rPr>
          <w:sz w:val="24"/>
          <w:szCs w:val="24"/>
        </w:rPr>
      </w:pPr>
      <w:r>
        <w:rPr>
          <w:b/>
          <w:sz w:val="24"/>
          <w:szCs w:val="24"/>
        </w:rPr>
        <w:t xml:space="preserve">c) </w:t>
      </w:r>
      <w:r>
        <w:rPr>
          <w:sz w:val="24"/>
          <w:szCs w:val="24"/>
        </w:rPr>
        <w:t xml:space="preserve">fiecare podest al scărilor de evacuare trebuie să aibe lăţimea egală </w:t>
      </w:r>
      <w:r>
        <w:rPr>
          <w:sz w:val="24"/>
          <w:szCs w:val="24"/>
          <w:lang w:eastAsia="zh-CN"/>
        </w:rPr>
        <w:t xml:space="preserve">cel puțin </w:t>
      </w:r>
      <w:r>
        <w:rPr>
          <w:sz w:val="24"/>
          <w:szCs w:val="24"/>
        </w:rPr>
        <w:t>cu a celei mai late rampe pe care o intersectează;</w:t>
      </w:r>
    </w:p>
    <w:p w14:paraId="4EBF6B60" w14:textId="77777777" w:rsidR="001C08A5" w:rsidRDefault="00000000">
      <w:pPr>
        <w:ind w:left="1440"/>
        <w:jc w:val="both"/>
        <w:rPr>
          <w:sz w:val="24"/>
          <w:szCs w:val="24"/>
        </w:rPr>
      </w:pPr>
      <w:r>
        <w:rPr>
          <w:b/>
          <w:sz w:val="24"/>
          <w:szCs w:val="24"/>
        </w:rPr>
        <w:lastRenderedPageBreak/>
        <w:t xml:space="preserve">d) </w:t>
      </w:r>
      <w:r>
        <w:rPr>
          <w:sz w:val="24"/>
          <w:szCs w:val="24"/>
        </w:rPr>
        <w:t xml:space="preserve">la scările cu rampe ramificate, determinarea lăţimii se face pentru rampa principală iar lăţimea fiecărei rampe ramificate trebuie să fie cel puţin </w:t>
      </w:r>
      <w:r>
        <w:rPr>
          <w:b/>
          <w:sz w:val="24"/>
          <w:szCs w:val="24"/>
        </w:rPr>
        <w:t>60%</w:t>
      </w:r>
      <w:r>
        <w:rPr>
          <w:sz w:val="24"/>
          <w:szCs w:val="24"/>
        </w:rPr>
        <w:t xml:space="preserve"> din lăţimea rampei principale iar lăţimea podestului scărilor cu rampe ramificate trebuie sa fie minimum lăţimea celei mai late rampe ramificate; fiecare podest al scărilor de evacuare trebuie să aibe lăţimea egală cu a celei mai late rampe pe care o intersectează.</w:t>
      </w:r>
    </w:p>
    <w:p w14:paraId="20871725" w14:textId="77777777" w:rsidR="001C08A5" w:rsidRDefault="00000000">
      <w:pPr>
        <w:ind w:firstLine="720"/>
        <w:jc w:val="both"/>
        <w:rPr>
          <w:sz w:val="24"/>
          <w:szCs w:val="24"/>
        </w:rPr>
      </w:pPr>
      <w:r>
        <w:rPr>
          <w:b/>
          <w:bCs/>
          <w:sz w:val="24"/>
          <w:szCs w:val="24"/>
        </w:rPr>
        <w:t>(2)</w:t>
      </w:r>
      <w:r>
        <w:rPr>
          <w:sz w:val="24"/>
          <w:szCs w:val="24"/>
        </w:rPr>
        <w:t xml:space="preserve"> În cazul în care atriumurile precum și golurile din planșee sunt amplasate în clădiri prevăzute cu instalații automate de sprinklere, lăţimea rampelor scărilor de evacuare este determinată de nivelul construcţiei din care provine cel mai mare număr de unităţi de trecere (fluxuri) de evacuare.</w:t>
      </w:r>
    </w:p>
    <w:p w14:paraId="798FB50A" w14:textId="77777777" w:rsidR="001C08A5" w:rsidRDefault="001C08A5">
      <w:pPr>
        <w:jc w:val="both"/>
        <w:rPr>
          <w:sz w:val="24"/>
          <w:szCs w:val="24"/>
        </w:rPr>
      </w:pPr>
    </w:p>
    <w:p w14:paraId="19212F3B" w14:textId="77777777" w:rsidR="001C08A5" w:rsidRDefault="00000000">
      <w:pPr>
        <w:jc w:val="both"/>
        <w:rPr>
          <w:sz w:val="24"/>
          <w:szCs w:val="24"/>
        </w:rPr>
      </w:pPr>
      <w:r>
        <w:rPr>
          <w:b/>
          <w:sz w:val="24"/>
          <w:szCs w:val="24"/>
        </w:rPr>
        <w:tab/>
        <w:t xml:space="preserve">Art. 2.5.8.5. </w:t>
      </w:r>
      <w:r>
        <w:rPr>
          <w:sz w:val="24"/>
          <w:szCs w:val="24"/>
        </w:rPr>
        <w:t>Atunci când căile interioare de evacuare ale utilizatorilor nivelurilor supraterane și subterane ale construcţiei au asigurată ieşirea în exterior prin acelaşi spaţiu (hol, vestibul, coridor etc.), lăţimea uşilor de evacuare în exterior trebuie să asigure trecerea numărului total de utilizatori determinat prin însumarea:</w:t>
      </w:r>
    </w:p>
    <w:p w14:paraId="291DA1CF" w14:textId="77777777" w:rsidR="001C08A5" w:rsidRDefault="00000000">
      <w:pPr>
        <w:ind w:left="2127"/>
        <w:jc w:val="both"/>
        <w:rPr>
          <w:sz w:val="24"/>
          <w:szCs w:val="24"/>
        </w:rPr>
      </w:pPr>
      <w:r>
        <w:rPr>
          <w:b/>
          <w:sz w:val="24"/>
          <w:szCs w:val="24"/>
        </w:rPr>
        <w:t>a)</w:t>
      </w:r>
      <w:r>
        <w:rPr>
          <w:sz w:val="24"/>
          <w:szCs w:val="24"/>
        </w:rPr>
        <w:t xml:space="preserve"> numărului de utilizatori care vin prin scările interioare de la nivelul cel mai aglomerat al construcţiei, determinat corespunzator </w:t>
      </w:r>
      <w:r>
        <w:rPr>
          <w:b/>
          <w:bCs/>
          <w:sz w:val="24"/>
          <w:szCs w:val="24"/>
        </w:rPr>
        <w:t>Art. 2.5.8.4</w:t>
      </w:r>
      <w:r>
        <w:rPr>
          <w:sz w:val="24"/>
          <w:szCs w:val="24"/>
        </w:rPr>
        <w:t>;</w:t>
      </w:r>
    </w:p>
    <w:p w14:paraId="70D53E97" w14:textId="77777777" w:rsidR="001C08A5" w:rsidRDefault="00000000">
      <w:pPr>
        <w:ind w:left="2127"/>
        <w:jc w:val="both"/>
        <w:rPr>
          <w:sz w:val="24"/>
          <w:szCs w:val="24"/>
        </w:rPr>
      </w:pPr>
      <w:r>
        <w:rPr>
          <w:b/>
          <w:sz w:val="24"/>
          <w:szCs w:val="24"/>
        </w:rPr>
        <w:t>b)60%</w:t>
      </w:r>
      <w:r>
        <w:rPr>
          <w:sz w:val="24"/>
          <w:szCs w:val="24"/>
        </w:rPr>
        <w:t xml:space="preserve"> din numărul de utilizatori aflat la nivelul la care se asigură evacuarea construcţiei în exterior;</w:t>
      </w:r>
    </w:p>
    <w:p w14:paraId="3FCF1021" w14:textId="77777777" w:rsidR="001C08A5" w:rsidRDefault="00000000">
      <w:pPr>
        <w:ind w:left="2127"/>
        <w:jc w:val="both"/>
        <w:rPr>
          <w:b/>
          <w:sz w:val="24"/>
          <w:szCs w:val="24"/>
        </w:rPr>
      </w:pPr>
      <w:r>
        <w:rPr>
          <w:b/>
          <w:sz w:val="24"/>
          <w:szCs w:val="24"/>
        </w:rPr>
        <w:t>c) 60%</w:t>
      </w:r>
      <w:r>
        <w:rPr>
          <w:sz w:val="24"/>
          <w:szCs w:val="24"/>
        </w:rPr>
        <w:t xml:space="preserve"> din numărul de utilizatori care vin prin scările interioare de la nivelurile situate sub / deasupra cel/celui de evacuare în exterior.</w:t>
      </w:r>
    </w:p>
    <w:p w14:paraId="05AAA3C6" w14:textId="77777777" w:rsidR="001C08A5" w:rsidRDefault="00000000">
      <w:pPr>
        <w:pStyle w:val="Heading4"/>
      </w:pPr>
      <w:bookmarkStart w:id="2241" w:name="_Toc26142"/>
      <w:bookmarkStart w:id="2242" w:name="_Toc5294"/>
      <w:bookmarkStart w:id="2243" w:name="_Toc12169"/>
      <w:bookmarkStart w:id="2244" w:name="_Toc19784"/>
      <w:bookmarkStart w:id="2245" w:name="_Toc3201"/>
      <w:bookmarkStart w:id="2246" w:name="_Toc26024"/>
      <w:bookmarkStart w:id="2247" w:name="_Toc162355262"/>
      <w:bookmarkStart w:id="2248" w:name="_Toc9994"/>
      <w:r>
        <w:t>2.5.9. Număr de utilizatori</w:t>
      </w:r>
      <w:bookmarkEnd w:id="2241"/>
      <w:bookmarkEnd w:id="2242"/>
      <w:bookmarkEnd w:id="2243"/>
      <w:bookmarkEnd w:id="2244"/>
      <w:bookmarkEnd w:id="2245"/>
      <w:bookmarkEnd w:id="2246"/>
      <w:bookmarkEnd w:id="2247"/>
      <w:bookmarkEnd w:id="2248"/>
    </w:p>
    <w:p w14:paraId="7E5997FA" w14:textId="77777777" w:rsidR="001C08A5" w:rsidRDefault="001C08A5">
      <w:pPr>
        <w:jc w:val="both"/>
        <w:rPr>
          <w:sz w:val="24"/>
          <w:szCs w:val="24"/>
        </w:rPr>
      </w:pPr>
    </w:p>
    <w:p w14:paraId="4E2842BD"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sz w:val="24"/>
          <w:szCs w:val="24"/>
        </w:rPr>
      </w:pPr>
      <w:r>
        <w:rPr>
          <w:b/>
          <w:sz w:val="24"/>
          <w:szCs w:val="24"/>
        </w:rPr>
        <w:tab/>
        <w:t xml:space="preserve">Art. 2.5.9.1. </w:t>
      </w:r>
      <w:r>
        <w:rPr>
          <w:sz w:val="24"/>
          <w:szCs w:val="24"/>
        </w:rPr>
        <w:t xml:space="preserve">Determinarea numărului de utilizatori pentru care se asigură condiţiile de evacuare în caz de incendiu din încăperi, niveluri ale construcţiei şi din clădire/compartiment de incendiu, are în vedere gradul de ocupare și capacităţile maxime simultane de utilizatori, luate în calcul în funcţie de destinaţie. Capacităţile maxime simultane de utilizatori se precizează în documentaţiile tehnice de proiectare, precum și în documentaţiile de securitate în caz de incendiu (de evacuare a utilizatorilor și de intervenţie în caz de incendiu). </w:t>
      </w:r>
    </w:p>
    <w:p w14:paraId="79951C4E" w14:textId="77777777" w:rsidR="001C08A5" w:rsidRDefault="001C08A5">
      <w:pPr>
        <w:jc w:val="both"/>
        <w:rPr>
          <w:b/>
          <w:sz w:val="24"/>
          <w:szCs w:val="24"/>
        </w:rPr>
      </w:pPr>
    </w:p>
    <w:p w14:paraId="686BDFC2" w14:textId="77777777" w:rsidR="001C08A5" w:rsidRDefault="00000000">
      <w:pPr>
        <w:jc w:val="both"/>
        <w:rPr>
          <w:sz w:val="24"/>
          <w:szCs w:val="24"/>
        </w:rPr>
      </w:pPr>
      <w:r>
        <w:rPr>
          <w:b/>
          <w:sz w:val="24"/>
          <w:szCs w:val="24"/>
        </w:rPr>
        <w:tab/>
        <w:t xml:space="preserve">Art. 2.5.9.2.(1) </w:t>
      </w:r>
      <w:r>
        <w:rPr>
          <w:sz w:val="24"/>
          <w:szCs w:val="24"/>
        </w:rPr>
        <w:t>Numărul maxim simultan de persoane din clădiri se stabileşte pentru fiecare destinaţie astfel:</w:t>
      </w:r>
    </w:p>
    <w:p w14:paraId="0D740666" w14:textId="77777777" w:rsidR="001C08A5" w:rsidRDefault="001C08A5">
      <w:pPr>
        <w:rPr>
          <w:sz w:val="24"/>
          <w:szCs w:val="24"/>
        </w:rPr>
      </w:pPr>
    </w:p>
    <w:p w14:paraId="37262044" w14:textId="77777777" w:rsidR="001C08A5" w:rsidRDefault="00000000">
      <w:pPr>
        <w:pStyle w:val="Captiontabel"/>
      </w:pPr>
      <w:bookmarkStart w:id="2249" w:name="_Toc162360073"/>
      <w:r>
        <w:rPr>
          <w:rFonts w:cs="Mangal"/>
          <w:iCs/>
        </w:rPr>
        <w:t>Tabelul</w:t>
      </w:r>
      <w:r>
        <w:t xml:space="preserve"> </w:t>
      </w:r>
      <w:r>
        <w:fldChar w:fldCharType="begin"/>
      </w:r>
      <w:r>
        <w:instrText xml:space="preserve"> SEQ Tabelul \* ARABIC </w:instrText>
      </w:r>
      <w:r>
        <w:fldChar w:fldCharType="separate"/>
      </w:r>
      <w:r>
        <w:t>23</w:t>
      </w:r>
      <w:r>
        <w:fldChar w:fldCharType="end"/>
      </w:r>
      <w:bookmarkStart w:id="2250" w:name="_Toc26909"/>
      <w:bookmarkStart w:id="2251" w:name="_Toc5299"/>
      <w:bookmarkStart w:id="2252" w:name="_Toc13534"/>
      <w:bookmarkStart w:id="2253" w:name="_Toc21935"/>
      <w:bookmarkStart w:id="2254" w:name="_Toc11182"/>
      <w:bookmarkStart w:id="2255" w:name="_Toc28370"/>
      <w:bookmarkStart w:id="2256" w:name="_Toc30459"/>
      <w:bookmarkStart w:id="2257" w:name="_Toc829"/>
      <w:bookmarkStart w:id="2258" w:name="_Toc2223"/>
      <w:bookmarkStart w:id="2259" w:name="_Toc3518"/>
      <w:bookmarkStart w:id="2260" w:name="_Toc16708"/>
      <w:bookmarkStart w:id="2261" w:name="_Toc28184"/>
      <w:bookmarkStart w:id="2262" w:name="_Toc24102"/>
      <w:bookmarkStart w:id="2263" w:name="_Toc21882"/>
      <w:bookmarkStart w:id="2264" w:name="_Toc10277"/>
      <w:bookmarkStart w:id="2265" w:name="_Toc7565"/>
      <w:bookmarkStart w:id="2266" w:name="_Toc13056"/>
      <w:bookmarkStart w:id="2267" w:name="_Toc1042"/>
      <w:bookmarkStart w:id="2268" w:name="_Toc16340"/>
      <w:r>
        <w:t>: Număr minim simultan de persoane din clădiri de locuit</w:t>
      </w:r>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p>
    <w:p w14:paraId="4CB0A6CC" w14:textId="77777777" w:rsidR="001C08A5" w:rsidRDefault="001C08A5">
      <w:pPr>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2127"/>
        <w:gridCol w:w="850"/>
        <w:gridCol w:w="1559"/>
        <w:gridCol w:w="851"/>
        <w:gridCol w:w="1417"/>
        <w:gridCol w:w="709"/>
        <w:gridCol w:w="1418"/>
      </w:tblGrid>
      <w:tr w:rsidR="001C08A5" w14:paraId="136240C1" w14:textId="77777777">
        <w:trPr>
          <w:tblHeader/>
        </w:trPr>
        <w:tc>
          <w:tcPr>
            <w:tcW w:w="675" w:type="dxa"/>
            <w:shd w:val="clear" w:color="auto" w:fill="BFBFBF"/>
          </w:tcPr>
          <w:p w14:paraId="2FFBAEA3" w14:textId="77777777" w:rsidR="001C08A5" w:rsidRDefault="001C08A5">
            <w:pPr>
              <w:jc w:val="center"/>
              <w:rPr>
                <w:b/>
                <w:i/>
                <w:iCs/>
                <w:sz w:val="22"/>
                <w:szCs w:val="22"/>
              </w:rPr>
            </w:pPr>
          </w:p>
          <w:p w14:paraId="6567647A" w14:textId="77777777" w:rsidR="001C08A5" w:rsidRDefault="001C08A5">
            <w:pPr>
              <w:jc w:val="center"/>
              <w:rPr>
                <w:b/>
                <w:i/>
                <w:iCs/>
                <w:sz w:val="22"/>
                <w:szCs w:val="22"/>
              </w:rPr>
            </w:pPr>
          </w:p>
          <w:p w14:paraId="4A867E2D" w14:textId="77777777" w:rsidR="001C08A5" w:rsidRDefault="00000000">
            <w:pPr>
              <w:jc w:val="center"/>
              <w:rPr>
                <w:b/>
                <w:i/>
                <w:iCs/>
                <w:sz w:val="22"/>
                <w:szCs w:val="22"/>
              </w:rPr>
            </w:pPr>
            <w:r>
              <w:rPr>
                <w:b/>
                <w:i/>
                <w:iCs/>
                <w:sz w:val="22"/>
                <w:szCs w:val="22"/>
              </w:rPr>
              <w:t>Nr.</w:t>
            </w:r>
          </w:p>
          <w:p w14:paraId="24A366BB" w14:textId="77777777" w:rsidR="001C08A5" w:rsidRDefault="00000000">
            <w:pPr>
              <w:jc w:val="center"/>
              <w:rPr>
                <w:i/>
                <w:iCs/>
                <w:sz w:val="22"/>
                <w:szCs w:val="22"/>
              </w:rPr>
            </w:pPr>
            <w:r>
              <w:rPr>
                <w:b/>
                <w:i/>
                <w:iCs/>
                <w:sz w:val="22"/>
                <w:szCs w:val="22"/>
              </w:rPr>
              <w:t>crt.</w:t>
            </w:r>
          </w:p>
        </w:tc>
        <w:tc>
          <w:tcPr>
            <w:tcW w:w="2127" w:type="dxa"/>
            <w:shd w:val="clear" w:color="auto" w:fill="BFBFBF"/>
          </w:tcPr>
          <w:p w14:paraId="2BA8DA5E" w14:textId="77777777" w:rsidR="001C08A5" w:rsidRDefault="001C08A5">
            <w:pPr>
              <w:jc w:val="center"/>
              <w:rPr>
                <w:b/>
                <w:i/>
                <w:iCs/>
                <w:sz w:val="22"/>
                <w:szCs w:val="22"/>
              </w:rPr>
            </w:pPr>
          </w:p>
          <w:p w14:paraId="07CE181A" w14:textId="77777777" w:rsidR="001C08A5" w:rsidRDefault="001C08A5">
            <w:pPr>
              <w:jc w:val="center"/>
              <w:rPr>
                <w:b/>
                <w:i/>
                <w:iCs/>
                <w:sz w:val="22"/>
                <w:szCs w:val="22"/>
              </w:rPr>
            </w:pPr>
          </w:p>
          <w:p w14:paraId="087F49A8" w14:textId="77777777" w:rsidR="001C08A5" w:rsidRDefault="00000000">
            <w:pPr>
              <w:jc w:val="center"/>
              <w:rPr>
                <w:i/>
                <w:iCs/>
                <w:sz w:val="22"/>
                <w:szCs w:val="22"/>
              </w:rPr>
            </w:pPr>
            <w:r>
              <w:rPr>
                <w:b/>
                <w:i/>
                <w:iCs/>
                <w:sz w:val="22"/>
                <w:szCs w:val="22"/>
              </w:rPr>
              <w:t>Destinaţie / funcţiune</w:t>
            </w:r>
          </w:p>
        </w:tc>
        <w:tc>
          <w:tcPr>
            <w:tcW w:w="850" w:type="dxa"/>
            <w:shd w:val="clear" w:color="auto" w:fill="BFBFBF"/>
          </w:tcPr>
          <w:p w14:paraId="16396BF4" w14:textId="77777777" w:rsidR="001C08A5" w:rsidRDefault="001C08A5">
            <w:pPr>
              <w:jc w:val="center"/>
              <w:rPr>
                <w:b/>
                <w:i/>
                <w:iCs/>
                <w:sz w:val="22"/>
                <w:szCs w:val="22"/>
              </w:rPr>
            </w:pPr>
          </w:p>
          <w:p w14:paraId="33EF32C7" w14:textId="77777777" w:rsidR="001C08A5" w:rsidRDefault="001C08A5">
            <w:pPr>
              <w:jc w:val="center"/>
              <w:rPr>
                <w:b/>
                <w:i/>
                <w:iCs/>
                <w:sz w:val="22"/>
                <w:szCs w:val="22"/>
              </w:rPr>
            </w:pPr>
          </w:p>
          <w:p w14:paraId="7A7BCC8A" w14:textId="77777777" w:rsidR="001C08A5" w:rsidRDefault="00000000">
            <w:pPr>
              <w:jc w:val="center"/>
              <w:rPr>
                <w:b/>
                <w:i/>
                <w:iCs/>
                <w:sz w:val="22"/>
                <w:szCs w:val="22"/>
              </w:rPr>
            </w:pPr>
            <w:r>
              <w:rPr>
                <w:b/>
                <w:i/>
                <w:iCs/>
                <w:sz w:val="22"/>
                <w:szCs w:val="22"/>
              </w:rPr>
              <w:t>Obs.</w:t>
            </w:r>
          </w:p>
        </w:tc>
        <w:tc>
          <w:tcPr>
            <w:tcW w:w="1559" w:type="dxa"/>
            <w:shd w:val="clear" w:color="auto" w:fill="BFBFBF"/>
          </w:tcPr>
          <w:p w14:paraId="7A62B893" w14:textId="77777777" w:rsidR="001C08A5" w:rsidRDefault="001C08A5">
            <w:pPr>
              <w:jc w:val="center"/>
              <w:rPr>
                <w:b/>
                <w:i/>
                <w:iCs/>
                <w:sz w:val="22"/>
                <w:szCs w:val="22"/>
              </w:rPr>
            </w:pPr>
          </w:p>
          <w:p w14:paraId="384FD5B7" w14:textId="77777777" w:rsidR="001C08A5" w:rsidRDefault="001C08A5">
            <w:pPr>
              <w:jc w:val="center"/>
              <w:rPr>
                <w:b/>
                <w:i/>
                <w:iCs/>
                <w:sz w:val="22"/>
                <w:szCs w:val="22"/>
              </w:rPr>
            </w:pPr>
          </w:p>
          <w:p w14:paraId="69C6A020" w14:textId="77777777" w:rsidR="001C08A5" w:rsidRDefault="00000000">
            <w:pPr>
              <w:jc w:val="center"/>
              <w:rPr>
                <w:i/>
                <w:iCs/>
                <w:sz w:val="22"/>
                <w:szCs w:val="22"/>
              </w:rPr>
            </w:pPr>
            <w:r>
              <w:rPr>
                <w:b/>
                <w:i/>
                <w:iCs/>
                <w:sz w:val="22"/>
                <w:szCs w:val="22"/>
              </w:rPr>
              <w:t>Tip de public</w:t>
            </w:r>
          </w:p>
        </w:tc>
        <w:tc>
          <w:tcPr>
            <w:tcW w:w="851" w:type="dxa"/>
            <w:shd w:val="clear" w:color="auto" w:fill="BFBFBF"/>
          </w:tcPr>
          <w:p w14:paraId="03F9D2E1" w14:textId="77777777" w:rsidR="001C08A5" w:rsidRDefault="001C08A5">
            <w:pPr>
              <w:jc w:val="center"/>
              <w:rPr>
                <w:b/>
                <w:i/>
                <w:iCs/>
                <w:sz w:val="22"/>
                <w:szCs w:val="22"/>
              </w:rPr>
            </w:pPr>
          </w:p>
          <w:p w14:paraId="221BC0C1" w14:textId="77777777" w:rsidR="001C08A5" w:rsidRDefault="00000000">
            <w:pPr>
              <w:jc w:val="center"/>
              <w:rPr>
                <w:b/>
                <w:i/>
                <w:iCs/>
                <w:sz w:val="22"/>
                <w:szCs w:val="22"/>
              </w:rPr>
            </w:pPr>
            <w:r>
              <w:rPr>
                <w:b/>
                <w:i/>
                <w:iCs/>
                <w:sz w:val="22"/>
                <w:szCs w:val="22"/>
              </w:rPr>
              <w:t>Arie utilă (m</w:t>
            </w:r>
            <w:r>
              <w:rPr>
                <w:b/>
                <w:i/>
                <w:iCs/>
                <w:sz w:val="22"/>
                <w:szCs w:val="22"/>
                <w:vertAlign w:val="superscript"/>
              </w:rPr>
              <w:t>2</w:t>
            </w:r>
            <w:r>
              <w:rPr>
                <w:b/>
                <w:i/>
                <w:iCs/>
                <w:sz w:val="22"/>
                <w:szCs w:val="22"/>
              </w:rPr>
              <w:t>)/ pers.</w:t>
            </w:r>
          </w:p>
        </w:tc>
        <w:tc>
          <w:tcPr>
            <w:tcW w:w="1417" w:type="dxa"/>
            <w:shd w:val="clear" w:color="auto" w:fill="BFBFBF"/>
          </w:tcPr>
          <w:p w14:paraId="1DBE7CBD" w14:textId="77777777" w:rsidR="001C08A5" w:rsidRDefault="00000000">
            <w:pPr>
              <w:jc w:val="center"/>
              <w:rPr>
                <w:b/>
                <w:i/>
                <w:iCs/>
                <w:sz w:val="22"/>
                <w:szCs w:val="22"/>
              </w:rPr>
            </w:pPr>
            <w:r>
              <w:rPr>
                <w:b/>
                <w:i/>
                <w:iCs/>
                <w:sz w:val="22"/>
                <w:szCs w:val="22"/>
              </w:rPr>
              <w:t>Destinaţia / funcţiunea ariei considerată în calcul</w:t>
            </w:r>
          </w:p>
        </w:tc>
        <w:tc>
          <w:tcPr>
            <w:tcW w:w="709" w:type="dxa"/>
            <w:shd w:val="clear" w:color="auto" w:fill="BFBFBF"/>
          </w:tcPr>
          <w:p w14:paraId="2FC42339" w14:textId="77777777" w:rsidR="001C08A5" w:rsidRDefault="001C08A5">
            <w:pPr>
              <w:jc w:val="center"/>
              <w:rPr>
                <w:b/>
                <w:i/>
                <w:iCs/>
                <w:sz w:val="22"/>
                <w:szCs w:val="22"/>
              </w:rPr>
            </w:pPr>
          </w:p>
          <w:p w14:paraId="1287FCE7" w14:textId="77777777" w:rsidR="001C08A5" w:rsidRDefault="001C08A5">
            <w:pPr>
              <w:jc w:val="center"/>
              <w:rPr>
                <w:b/>
                <w:i/>
                <w:iCs/>
                <w:sz w:val="22"/>
                <w:szCs w:val="22"/>
              </w:rPr>
            </w:pPr>
          </w:p>
          <w:p w14:paraId="05FDF06E" w14:textId="77777777" w:rsidR="001C08A5" w:rsidRDefault="00000000">
            <w:pPr>
              <w:jc w:val="center"/>
              <w:rPr>
                <w:b/>
                <w:i/>
                <w:iCs/>
                <w:sz w:val="22"/>
                <w:szCs w:val="22"/>
              </w:rPr>
            </w:pPr>
            <w:r>
              <w:rPr>
                <w:b/>
                <w:i/>
                <w:iCs/>
                <w:sz w:val="22"/>
                <w:szCs w:val="22"/>
              </w:rPr>
              <w:t>Spor%</w:t>
            </w:r>
          </w:p>
          <w:p w14:paraId="79FD5C83" w14:textId="77777777" w:rsidR="001C08A5" w:rsidRDefault="001C08A5">
            <w:pPr>
              <w:jc w:val="center"/>
              <w:rPr>
                <w:b/>
                <w:i/>
                <w:iCs/>
                <w:sz w:val="22"/>
                <w:szCs w:val="22"/>
              </w:rPr>
            </w:pPr>
          </w:p>
        </w:tc>
        <w:tc>
          <w:tcPr>
            <w:tcW w:w="1418" w:type="dxa"/>
            <w:shd w:val="clear" w:color="auto" w:fill="BFBFBF"/>
          </w:tcPr>
          <w:p w14:paraId="07D30268" w14:textId="77777777" w:rsidR="001C08A5" w:rsidRDefault="001C08A5">
            <w:pPr>
              <w:jc w:val="center"/>
              <w:rPr>
                <w:b/>
                <w:i/>
                <w:iCs/>
                <w:sz w:val="22"/>
                <w:szCs w:val="22"/>
              </w:rPr>
            </w:pPr>
          </w:p>
          <w:p w14:paraId="45100A27" w14:textId="77777777" w:rsidR="001C08A5" w:rsidRDefault="00000000">
            <w:pPr>
              <w:jc w:val="center"/>
              <w:rPr>
                <w:b/>
                <w:i/>
                <w:iCs/>
                <w:sz w:val="22"/>
                <w:szCs w:val="22"/>
              </w:rPr>
            </w:pPr>
            <w:r>
              <w:rPr>
                <w:b/>
                <w:i/>
                <w:iCs/>
                <w:sz w:val="22"/>
                <w:szCs w:val="22"/>
              </w:rPr>
              <w:t>Personalul pentru care se acordă spor</w:t>
            </w:r>
          </w:p>
        </w:tc>
      </w:tr>
      <w:tr w:rsidR="001C08A5" w14:paraId="16F0437A" w14:textId="77777777">
        <w:tc>
          <w:tcPr>
            <w:tcW w:w="675" w:type="dxa"/>
          </w:tcPr>
          <w:p w14:paraId="3B5AE3A3" w14:textId="77777777" w:rsidR="001C08A5" w:rsidRDefault="00000000">
            <w:pPr>
              <w:rPr>
                <w:i/>
                <w:iCs/>
                <w:sz w:val="22"/>
                <w:szCs w:val="22"/>
              </w:rPr>
            </w:pPr>
            <w:r>
              <w:rPr>
                <w:i/>
                <w:iCs/>
                <w:sz w:val="22"/>
                <w:szCs w:val="22"/>
              </w:rPr>
              <w:t>1</w:t>
            </w:r>
          </w:p>
        </w:tc>
        <w:tc>
          <w:tcPr>
            <w:tcW w:w="2127" w:type="dxa"/>
          </w:tcPr>
          <w:p w14:paraId="28DBAE8C" w14:textId="77777777" w:rsidR="001C08A5" w:rsidRDefault="00000000">
            <w:pPr>
              <w:rPr>
                <w:i/>
                <w:iCs/>
                <w:sz w:val="22"/>
                <w:szCs w:val="22"/>
              </w:rPr>
            </w:pPr>
            <w:r>
              <w:rPr>
                <w:i/>
                <w:iCs/>
                <w:sz w:val="22"/>
                <w:szCs w:val="22"/>
              </w:rPr>
              <w:t>Locuinţe individuale și colective</w:t>
            </w:r>
          </w:p>
        </w:tc>
        <w:tc>
          <w:tcPr>
            <w:tcW w:w="850" w:type="dxa"/>
          </w:tcPr>
          <w:p w14:paraId="0EC3EB88" w14:textId="77777777" w:rsidR="001C08A5" w:rsidRDefault="00000000">
            <w:pPr>
              <w:jc w:val="center"/>
              <w:rPr>
                <w:i/>
                <w:iCs/>
                <w:sz w:val="22"/>
                <w:szCs w:val="22"/>
              </w:rPr>
            </w:pPr>
            <w:r>
              <w:rPr>
                <w:i/>
                <w:iCs/>
                <w:sz w:val="22"/>
                <w:szCs w:val="22"/>
              </w:rPr>
              <w:t>-</w:t>
            </w:r>
          </w:p>
        </w:tc>
        <w:tc>
          <w:tcPr>
            <w:tcW w:w="1559" w:type="dxa"/>
          </w:tcPr>
          <w:p w14:paraId="0D2F7C81" w14:textId="77777777" w:rsidR="001C08A5" w:rsidRDefault="00000000">
            <w:pPr>
              <w:jc w:val="center"/>
              <w:rPr>
                <w:i/>
                <w:iCs/>
                <w:sz w:val="22"/>
                <w:szCs w:val="22"/>
              </w:rPr>
            </w:pPr>
            <w:r>
              <w:rPr>
                <w:i/>
                <w:iCs/>
                <w:sz w:val="22"/>
                <w:szCs w:val="22"/>
              </w:rPr>
              <w:t>-</w:t>
            </w:r>
          </w:p>
        </w:tc>
        <w:tc>
          <w:tcPr>
            <w:tcW w:w="851" w:type="dxa"/>
          </w:tcPr>
          <w:p w14:paraId="71C807E6" w14:textId="77777777" w:rsidR="001C08A5" w:rsidRDefault="00000000">
            <w:pPr>
              <w:jc w:val="center"/>
              <w:rPr>
                <w:b/>
                <w:i/>
                <w:iCs/>
                <w:sz w:val="22"/>
                <w:szCs w:val="22"/>
              </w:rPr>
            </w:pPr>
            <w:r>
              <w:rPr>
                <w:b/>
                <w:i/>
                <w:iCs/>
                <w:sz w:val="22"/>
                <w:szCs w:val="22"/>
              </w:rPr>
              <w:t>20</w:t>
            </w:r>
          </w:p>
        </w:tc>
        <w:tc>
          <w:tcPr>
            <w:tcW w:w="1417" w:type="dxa"/>
          </w:tcPr>
          <w:p w14:paraId="21E3F4BF" w14:textId="77777777" w:rsidR="001C08A5" w:rsidRDefault="00000000">
            <w:pPr>
              <w:jc w:val="center"/>
              <w:rPr>
                <w:i/>
                <w:iCs/>
                <w:sz w:val="22"/>
                <w:szCs w:val="22"/>
              </w:rPr>
            </w:pPr>
            <w:r>
              <w:rPr>
                <w:i/>
                <w:iCs/>
                <w:sz w:val="22"/>
                <w:szCs w:val="22"/>
              </w:rPr>
              <w:t>Locuinţă/Arie utilă</w:t>
            </w:r>
          </w:p>
        </w:tc>
        <w:tc>
          <w:tcPr>
            <w:tcW w:w="709" w:type="dxa"/>
          </w:tcPr>
          <w:p w14:paraId="41311655" w14:textId="77777777" w:rsidR="001C08A5" w:rsidRDefault="00000000">
            <w:pPr>
              <w:jc w:val="center"/>
              <w:rPr>
                <w:i/>
                <w:iCs/>
                <w:sz w:val="22"/>
                <w:szCs w:val="22"/>
              </w:rPr>
            </w:pPr>
            <w:r>
              <w:rPr>
                <w:i/>
                <w:iCs/>
                <w:sz w:val="22"/>
                <w:szCs w:val="22"/>
              </w:rPr>
              <w:t>-</w:t>
            </w:r>
          </w:p>
        </w:tc>
        <w:tc>
          <w:tcPr>
            <w:tcW w:w="1418" w:type="dxa"/>
          </w:tcPr>
          <w:p w14:paraId="133297A5" w14:textId="77777777" w:rsidR="001C08A5" w:rsidRDefault="00000000">
            <w:pPr>
              <w:jc w:val="center"/>
              <w:rPr>
                <w:i/>
                <w:iCs/>
                <w:sz w:val="22"/>
                <w:szCs w:val="22"/>
              </w:rPr>
            </w:pPr>
            <w:r>
              <w:rPr>
                <w:i/>
                <w:iCs/>
                <w:sz w:val="22"/>
                <w:szCs w:val="22"/>
              </w:rPr>
              <w:t>-</w:t>
            </w:r>
          </w:p>
        </w:tc>
      </w:tr>
      <w:tr w:rsidR="001C08A5" w14:paraId="1D0AF4DA" w14:textId="77777777">
        <w:tc>
          <w:tcPr>
            <w:tcW w:w="675" w:type="dxa"/>
          </w:tcPr>
          <w:p w14:paraId="1A594B15" w14:textId="77777777" w:rsidR="001C08A5" w:rsidRDefault="00000000">
            <w:pPr>
              <w:rPr>
                <w:i/>
                <w:iCs/>
                <w:sz w:val="22"/>
                <w:szCs w:val="22"/>
              </w:rPr>
            </w:pPr>
            <w:r>
              <w:rPr>
                <w:i/>
                <w:iCs/>
                <w:sz w:val="22"/>
                <w:szCs w:val="22"/>
              </w:rPr>
              <w:t>2</w:t>
            </w:r>
          </w:p>
        </w:tc>
        <w:tc>
          <w:tcPr>
            <w:tcW w:w="2127" w:type="dxa"/>
          </w:tcPr>
          <w:p w14:paraId="6EA21B19" w14:textId="77777777" w:rsidR="001C08A5" w:rsidRDefault="00000000">
            <w:pPr>
              <w:rPr>
                <w:i/>
                <w:iCs/>
                <w:sz w:val="22"/>
                <w:szCs w:val="22"/>
              </w:rPr>
            </w:pPr>
            <w:r>
              <w:rPr>
                <w:i/>
                <w:iCs/>
                <w:sz w:val="22"/>
                <w:szCs w:val="22"/>
              </w:rPr>
              <w:t xml:space="preserve">Încăperi cu diverse funcţiuni / destinaţii </w:t>
            </w:r>
          </w:p>
        </w:tc>
        <w:tc>
          <w:tcPr>
            <w:tcW w:w="6804" w:type="dxa"/>
            <w:gridSpan w:val="6"/>
          </w:tcPr>
          <w:p w14:paraId="5BF6904E" w14:textId="77777777" w:rsidR="001C08A5" w:rsidRDefault="00000000">
            <w:pPr>
              <w:jc w:val="center"/>
              <w:rPr>
                <w:i/>
                <w:iCs/>
                <w:sz w:val="22"/>
                <w:szCs w:val="22"/>
              </w:rPr>
            </w:pPr>
            <w:r>
              <w:rPr>
                <w:i/>
                <w:iCs/>
                <w:sz w:val="22"/>
                <w:szCs w:val="22"/>
              </w:rPr>
              <w:t>Conform încadrare „încăperi specifice mai multor  funcţiuni / destinaţii de clădiri civile” sau asimilare cu cele existente.</w:t>
            </w:r>
          </w:p>
        </w:tc>
      </w:tr>
    </w:tbl>
    <w:p w14:paraId="486013FB" w14:textId="77777777" w:rsidR="001C08A5" w:rsidRDefault="001C08A5">
      <w:pPr>
        <w:rPr>
          <w:sz w:val="24"/>
          <w:szCs w:val="24"/>
        </w:rPr>
      </w:pPr>
    </w:p>
    <w:p w14:paraId="28EB5449" w14:textId="77777777" w:rsidR="001C08A5" w:rsidRDefault="00000000">
      <w:pPr>
        <w:pStyle w:val="Caption"/>
        <w:jc w:val="both"/>
      </w:pPr>
      <w:bookmarkStart w:id="2269" w:name="_Toc162360074"/>
      <w:r>
        <w:t xml:space="preserve">Tabelul </w:t>
      </w:r>
      <w:r>
        <w:fldChar w:fldCharType="begin"/>
      </w:r>
      <w:r>
        <w:instrText xml:space="preserve"> SEQ Tabelul \* ARABIC </w:instrText>
      </w:r>
      <w:r>
        <w:fldChar w:fldCharType="separate"/>
      </w:r>
      <w:r>
        <w:t>24</w:t>
      </w:r>
      <w:r>
        <w:fldChar w:fldCharType="end"/>
      </w:r>
      <w:bookmarkStart w:id="2270" w:name="_Toc4595"/>
      <w:bookmarkStart w:id="2271" w:name="_Toc6733"/>
      <w:bookmarkStart w:id="2272" w:name="_Toc13401"/>
      <w:bookmarkStart w:id="2273" w:name="_Toc19781"/>
      <w:bookmarkStart w:id="2274" w:name="_Toc22810"/>
      <w:bookmarkStart w:id="2275" w:name="_Toc22672"/>
      <w:bookmarkStart w:id="2276" w:name="_Toc28919"/>
      <w:bookmarkStart w:id="2277" w:name="_Toc11191"/>
      <w:bookmarkStart w:id="2278" w:name="_Toc14493"/>
      <w:bookmarkStart w:id="2279" w:name="_Toc28907"/>
      <w:bookmarkStart w:id="2280" w:name="_Toc2423"/>
      <w:bookmarkStart w:id="2281" w:name="_Toc20155"/>
      <w:bookmarkStart w:id="2282" w:name="_Toc12972"/>
      <w:bookmarkStart w:id="2283" w:name="_Toc25702"/>
      <w:bookmarkStart w:id="2284" w:name="_Toc14956"/>
      <w:bookmarkStart w:id="2285" w:name="_Toc5689"/>
      <w:bookmarkStart w:id="2286" w:name="_Toc11319"/>
      <w:bookmarkStart w:id="2287" w:name="_Toc5265"/>
      <w:bookmarkStart w:id="2288" w:name="_Toc24207"/>
      <w:r>
        <w:t>: Număr minim simultan de persoane din clădiri administrative - administraţii centrale sau locale, financiar-bancare, sindicate, partide, birouri</w:t>
      </w:r>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p>
    <w:p w14:paraId="670D2EA9" w14:textId="77777777" w:rsidR="001C08A5" w:rsidRDefault="001C08A5">
      <w:pPr>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559"/>
        <w:gridCol w:w="669"/>
        <w:gridCol w:w="1174"/>
        <w:gridCol w:w="708"/>
        <w:gridCol w:w="3119"/>
        <w:gridCol w:w="709"/>
        <w:gridCol w:w="1134"/>
      </w:tblGrid>
      <w:tr w:rsidR="001C08A5" w14:paraId="658C17E0" w14:textId="77777777">
        <w:trPr>
          <w:tblHeader/>
        </w:trPr>
        <w:tc>
          <w:tcPr>
            <w:tcW w:w="534" w:type="dxa"/>
            <w:shd w:val="clear" w:color="auto" w:fill="BFBFBF"/>
          </w:tcPr>
          <w:p w14:paraId="7FC407CC" w14:textId="77777777" w:rsidR="001C08A5" w:rsidRDefault="001C08A5">
            <w:pPr>
              <w:jc w:val="center"/>
              <w:rPr>
                <w:b/>
                <w:i/>
                <w:iCs/>
                <w:sz w:val="22"/>
                <w:szCs w:val="22"/>
              </w:rPr>
            </w:pPr>
          </w:p>
          <w:p w14:paraId="1E6C075C" w14:textId="77777777" w:rsidR="001C08A5" w:rsidRDefault="00000000">
            <w:pPr>
              <w:jc w:val="center"/>
              <w:rPr>
                <w:b/>
                <w:i/>
                <w:iCs/>
                <w:sz w:val="22"/>
                <w:szCs w:val="22"/>
              </w:rPr>
            </w:pPr>
            <w:r>
              <w:rPr>
                <w:b/>
                <w:i/>
                <w:iCs/>
                <w:sz w:val="22"/>
                <w:szCs w:val="22"/>
              </w:rPr>
              <w:t>Nr.</w:t>
            </w:r>
          </w:p>
          <w:p w14:paraId="31631DC7" w14:textId="77777777" w:rsidR="001C08A5" w:rsidRDefault="00000000">
            <w:pPr>
              <w:jc w:val="center"/>
              <w:rPr>
                <w:i/>
                <w:iCs/>
                <w:sz w:val="22"/>
                <w:szCs w:val="22"/>
              </w:rPr>
            </w:pPr>
            <w:r>
              <w:rPr>
                <w:b/>
                <w:i/>
                <w:iCs/>
                <w:sz w:val="22"/>
                <w:szCs w:val="22"/>
              </w:rPr>
              <w:t>crt.</w:t>
            </w:r>
          </w:p>
        </w:tc>
        <w:tc>
          <w:tcPr>
            <w:tcW w:w="1559" w:type="dxa"/>
            <w:shd w:val="clear" w:color="auto" w:fill="BFBFBF"/>
          </w:tcPr>
          <w:p w14:paraId="427A2E77" w14:textId="77777777" w:rsidR="001C08A5" w:rsidRDefault="001C08A5">
            <w:pPr>
              <w:jc w:val="center"/>
              <w:rPr>
                <w:b/>
                <w:i/>
                <w:iCs/>
                <w:sz w:val="22"/>
                <w:szCs w:val="22"/>
              </w:rPr>
            </w:pPr>
          </w:p>
          <w:p w14:paraId="64555688" w14:textId="77777777" w:rsidR="001C08A5" w:rsidRDefault="00000000">
            <w:pPr>
              <w:jc w:val="center"/>
              <w:rPr>
                <w:i/>
                <w:iCs/>
                <w:sz w:val="22"/>
                <w:szCs w:val="22"/>
              </w:rPr>
            </w:pPr>
            <w:r>
              <w:rPr>
                <w:b/>
                <w:i/>
                <w:iCs/>
                <w:sz w:val="22"/>
                <w:szCs w:val="22"/>
              </w:rPr>
              <w:t>Destinaţie / funcţiune</w:t>
            </w:r>
          </w:p>
        </w:tc>
        <w:tc>
          <w:tcPr>
            <w:tcW w:w="669" w:type="dxa"/>
            <w:shd w:val="clear" w:color="auto" w:fill="BFBFBF"/>
          </w:tcPr>
          <w:p w14:paraId="38E58E4D" w14:textId="77777777" w:rsidR="001C08A5" w:rsidRDefault="001C08A5">
            <w:pPr>
              <w:jc w:val="center"/>
              <w:rPr>
                <w:b/>
                <w:i/>
                <w:iCs/>
                <w:sz w:val="22"/>
                <w:szCs w:val="22"/>
              </w:rPr>
            </w:pPr>
          </w:p>
          <w:p w14:paraId="5990F337" w14:textId="77777777" w:rsidR="001C08A5" w:rsidRDefault="00000000">
            <w:pPr>
              <w:jc w:val="center"/>
              <w:rPr>
                <w:b/>
                <w:i/>
                <w:iCs/>
                <w:sz w:val="22"/>
                <w:szCs w:val="22"/>
              </w:rPr>
            </w:pPr>
            <w:r>
              <w:rPr>
                <w:b/>
                <w:i/>
                <w:iCs/>
                <w:sz w:val="22"/>
                <w:szCs w:val="22"/>
              </w:rPr>
              <w:t>Obs.</w:t>
            </w:r>
          </w:p>
        </w:tc>
        <w:tc>
          <w:tcPr>
            <w:tcW w:w="1174" w:type="dxa"/>
            <w:shd w:val="clear" w:color="auto" w:fill="BFBFBF"/>
          </w:tcPr>
          <w:p w14:paraId="28CF7D9E" w14:textId="77777777" w:rsidR="001C08A5" w:rsidRDefault="001C08A5">
            <w:pPr>
              <w:jc w:val="center"/>
              <w:rPr>
                <w:b/>
                <w:i/>
                <w:iCs/>
                <w:sz w:val="22"/>
                <w:szCs w:val="22"/>
              </w:rPr>
            </w:pPr>
          </w:p>
          <w:p w14:paraId="3B12DACF" w14:textId="77777777" w:rsidR="001C08A5" w:rsidRDefault="00000000">
            <w:pPr>
              <w:jc w:val="center"/>
              <w:rPr>
                <w:i/>
                <w:iCs/>
                <w:sz w:val="22"/>
                <w:szCs w:val="22"/>
              </w:rPr>
            </w:pPr>
            <w:r>
              <w:rPr>
                <w:b/>
                <w:i/>
                <w:iCs/>
                <w:sz w:val="22"/>
                <w:szCs w:val="22"/>
              </w:rPr>
              <w:t>Tip de public</w:t>
            </w:r>
          </w:p>
        </w:tc>
        <w:tc>
          <w:tcPr>
            <w:tcW w:w="708" w:type="dxa"/>
            <w:shd w:val="clear" w:color="auto" w:fill="BFBFBF"/>
          </w:tcPr>
          <w:p w14:paraId="5D610AD1" w14:textId="77777777" w:rsidR="001C08A5" w:rsidRDefault="001C08A5">
            <w:pPr>
              <w:jc w:val="center"/>
              <w:rPr>
                <w:b/>
                <w:i/>
                <w:iCs/>
                <w:sz w:val="22"/>
                <w:szCs w:val="22"/>
              </w:rPr>
            </w:pPr>
          </w:p>
          <w:p w14:paraId="6EE8E909"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3119" w:type="dxa"/>
            <w:shd w:val="clear" w:color="auto" w:fill="BFBFBF"/>
          </w:tcPr>
          <w:p w14:paraId="7840FACC" w14:textId="77777777" w:rsidR="001C08A5" w:rsidRDefault="001C08A5">
            <w:pPr>
              <w:jc w:val="center"/>
              <w:rPr>
                <w:b/>
                <w:i/>
                <w:iCs/>
                <w:sz w:val="22"/>
                <w:szCs w:val="22"/>
              </w:rPr>
            </w:pPr>
          </w:p>
          <w:p w14:paraId="6FE2601D" w14:textId="77777777" w:rsidR="001C08A5" w:rsidRDefault="00000000">
            <w:pPr>
              <w:jc w:val="center"/>
              <w:rPr>
                <w:b/>
                <w:i/>
                <w:iCs/>
                <w:sz w:val="22"/>
                <w:szCs w:val="22"/>
              </w:rPr>
            </w:pPr>
            <w:r>
              <w:rPr>
                <w:b/>
                <w:i/>
                <w:iCs/>
                <w:sz w:val="22"/>
                <w:szCs w:val="22"/>
              </w:rPr>
              <w:t>Destinaţia / funcţiunea ariei considerată în calcul</w:t>
            </w:r>
          </w:p>
        </w:tc>
        <w:tc>
          <w:tcPr>
            <w:tcW w:w="709" w:type="dxa"/>
            <w:shd w:val="clear" w:color="auto" w:fill="BFBFBF"/>
          </w:tcPr>
          <w:p w14:paraId="5A8E2A0D" w14:textId="77777777" w:rsidR="001C08A5" w:rsidRDefault="001C08A5">
            <w:pPr>
              <w:jc w:val="center"/>
              <w:rPr>
                <w:b/>
                <w:i/>
                <w:iCs/>
                <w:sz w:val="22"/>
                <w:szCs w:val="22"/>
              </w:rPr>
            </w:pPr>
          </w:p>
          <w:p w14:paraId="1AF015C2" w14:textId="77777777" w:rsidR="001C08A5" w:rsidRDefault="00000000">
            <w:pPr>
              <w:jc w:val="center"/>
              <w:rPr>
                <w:b/>
                <w:i/>
                <w:iCs/>
                <w:sz w:val="22"/>
                <w:szCs w:val="22"/>
              </w:rPr>
            </w:pPr>
            <w:r>
              <w:rPr>
                <w:b/>
                <w:i/>
                <w:iCs/>
                <w:sz w:val="22"/>
                <w:szCs w:val="22"/>
              </w:rPr>
              <w:t>Spor%</w:t>
            </w:r>
          </w:p>
          <w:p w14:paraId="077F6F93" w14:textId="77777777" w:rsidR="001C08A5" w:rsidRDefault="001C08A5">
            <w:pPr>
              <w:jc w:val="center"/>
              <w:rPr>
                <w:b/>
                <w:i/>
                <w:iCs/>
                <w:sz w:val="22"/>
                <w:szCs w:val="22"/>
              </w:rPr>
            </w:pPr>
          </w:p>
        </w:tc>
        <w:tc>
          <w:tcPr>
            <w:tcW w:w="1134" w:type="dxa"/>
            <w:shd w:val="clear" w:color="auto" w:fill="BFBFBF"/>
          </w:tcPr>
          <w:p w14:paraId="3EE80171" w14:textId="77777777" w:rsidR="001C08A5" w:rsidRDefault="00000000">
            <w:pPr>
              <w:jc w:val="center"/>
              <w:rPr>
                <w:b/>
                <w:i/>
                <w:iCs/>
                <w:sz w:val="22"/>
                <w:szCs w:val="22"/>
              </w:rPr>
            </w:pPr>
            <w:r>
              <w:rPr>
                <w:b/>
                <w:i/>
                <w:iCs/>
                <w:sz w:val="22"/>
                <w:szCs w:val="22"/>
              </w:rPr>
              <w:t>Personalul pentru care se acordă spor</w:t>
            </w:r>
          </w:p>
        </w:tc>
      </w:tr>
      <w:tr w:rsidR="001C08A5" w14:paraId="58375EEC" w14:textId="77777777">
        <w:trPr>
          <w:trHeight w:val="413"/>
        </w:trPr>
        <w:tc>
          <w:tcPr>
            <w:tcW w:w="534" w:type="dxa"/>
            <w:vMerge w:val="restart"/>
          </w:tcPr>
          <w:p w14:paraId="4A7CE5AF" w14:textId="77777777" w:rsidR="001C08A5" w:rsidRDefault="00000000">
            <w:pPr>
              <w:rPr>
                <w:i/>
                <w:iCs/>
                <w:sz w:val="22"/>
                <w:szCs w:val="22"/>
              </w:rPr>
            </w:pPr>
            <w:r>
              <w:rPr>
                <w:i/>
                <w:iCs/>
                <w:sz w:val="22"/>
                <w:szCs w:val="22"/>
              </w:rPr>
              <w:t>1</w:t>
            </w:r>
          </w:p>
        </w:tc>
        <w:tc>
          <w:tcPr>
            <w:tcW w:w="1559" w:type="dxa"/>
            <w:vMerge w:val="restart"/>
          </w:tcPr>
          <w:p w14:paraId="34844756" w14:textId="77777777" w:rsidR="001C08A5" w:rsidRDefault="00000000">
            <w:pPr>
              <w:rPr>
                <w:b/>
                <w:i/>
                <w:iCs/>
                <w:sz w:val="22"/>
                <w:szCs w:val="22"/>
              </w:rPr>
            </w:pPr>
            <w:r>
              <w:rPr>
                <w:i/>
                <w:iCs/>
                <w:sz w:val="22"/>
                <w:szCs w:val="22"/>
              </w:rPr>
              <w:t>Birouri administrative</w:t>
            </w:r>
          </w:p>
        </w:tc>
        <w:tc>
          <w:tcPr>
            <w:tcW w:w="669" w:type="dxa"/>
            <w:vMerge w:val="restart"/>
          </w:tcPr>
          <w:p w14:paraId="51B18323" w14:textId="77777777" w:rsidR="001C08A5" w:rsidRDefault="00000000">
            <w:pPr>
              <w:rPr>
                <w:i/>
                <w:iCs/>
                <w:sz w:val="22"/>
                <w:szCs w:val="22"/>
              </w:rPr>
            </w:pPr>
            <w:r>
              <w:rPr>
                <w:i/>
                <w:iCs/>
                <w:sz w:val="22"/>
                <w:szCs w:val="22"/>
              </w:rPr>
              <w:t>-</w:t>
            </w:r>
          </w:p>
        </w:tc>
        <w:tc>
          <w:tcPr>
            <w:tcW w:w="1174" w:type="dxa"/>
            <w:vMerge w:val="restart"/>
          </w:tcPr>
          <w:p w14:paraId="2200A7D7" w14:textId="77777777" w:rsidR="001C08A5" w:rsidRDefault="00000000">
            <w:pPr>
              <w:rPr>
                <w:i/>
                <w:iCs/>
                <w:sz w:val="22"/>
                <w:szCs w:val="22"/>
              </w:rPr>
            </w:pPr>
            <w:r>
              <w:rPr>
                <w:i/>
                <w:iCs/>
                <w:sz w:val="22"/>
                <w:szCs w:val="22"/>
              </w:rPr>
              <w:t>Fără public</w:t>
            </w:r>
          </w:p>
        </w:tc>
        <w:tc>
          <w:tcPr>
            <w:tcW w:w="708" w:type="dxa"/>
          </w:tcPr>
          <w:p w14:paraId="0E339995" w14:textId="77777777" w:rsidR="001C08A5" w:rsidRDefault="00000000">
            <w:pPr>
              <w:jc w:val="center"/>
              <w:rPr>
                <w:b/>
                <w:i/>
                <w:iCs/>
                <w:sz w:val="22"/>
                <w:szCs w:val="22"/>
              </w:rPr>
            </w:pPr>
            <w:r>
              <w:rPr>
                <w:b/>
                <w:i/>
                <w:iCs/>
                <w:sz w:val="22"/>
                <w:szCs w:val="22"/>
              </w:rPr>
              <w:t>5,00</w:t>
            </w:r>
          </w:p>
        </w:tc>
        <w:tc>
          <w:tcPr>
            <w:tcW w:w="3119" w:type="dxa"/>
          </w:tcPr>
          <w:p w14:paraId="6C979EA0" w14:textId="77777777" w:rsidR="001C08A5" w:rsidRDefault="00000000">
            <w:pPr>
              <w:jc w:val="both"/>
              <w:rPr>
                <w:i/>
                <w:iCs/>
                <w:sz w:val="22"/>
                <w:szCs w:val="22"/>
              </w:rPr>
            </w:pPr>
            <w:r>
              <w:rPr>
                <w:i/>
                <w:iCs/>
                <w:sz w:val="22"/>
                <w:szCs w:val="22"/>
              </w:rPr>
              <w:t>Birou - plan închis sau sub 60 m</w:t>
            </w:r>
            <w:r>
              <w:rPr>
                <w:i/>
                <w:iCs/>
                <w:sz w:val="22"/>
                <w:szCs w:val="22"/>
                <w:vertAlign w:val="superscript"/>
              </w:rPr>
              <w:t>2</w:t>
            </w:r>
          </w:p>
        </w:tc>
        <w:tc>
          <w:tcPr>
            <w:tcW w:w="709" w:type="dxa"/>
            <w:vMerge w:val="restart"/>
          </w:tcPr>
          <w:p w14:paraId="0FAD547E" w14:textId="77777777" w:rsidR="001C08A5" w:rsidRDefault="001C08A5">
            <w:pPr>
              <w:jc w:val="center"/>
              <w:rPr>
                <w:i/>
                <w:iCs/>
                <w:sz w:val="22"/>
                <w:szCs w:val="22"/>
              </w:rPr>
            </w:pPr>
          </w:p>
          <w:p w14:paraId="078F1CB3" w14:textId="77777777" w:rsidR="001C08A5" w:rsidRDefault="00000000">
            <w:pPr>
              <w:jc w:val="center"/>
              <w:rPr>
                <w:i/>
                <w:iCs/>
                <w:sz w:val="22"/>
                <w:szCs w:val="22"/>
              </w:rPr>
            </w:pPr>
            <w:r>
              <w:rPr>
                <w:i/>
                <w:iCs/>
                <w:sz w:val="22"/>
                <w:szCs w:val="22"/>
              </w:rPr>
              <w:lastRenderedPageBreak/>
              <w:t>-</w:t>
            </w:r>
          </w:p>
          <w:p w14:paraId="184CB7FA" w14:textId="77777777" w:rsidR="001C08A5" w:rsidRDefault="001C08A5">
            <w:pPr>
              <w:jc w:val="center"/>
              <w:rPr>
                <w:i/>
                <w:iCs/>
                <w:sz w:val="22"/>
                <w:szCs w:val="22"/>
              </w:rPr>
            </w:pPr>
          </w:p>
        </w:tc>
        <w:tc>
          <w:tcPr>
            <w:tcW w:w="1134" w:type="dxa"/>
            <w:vMerge w:val="restart"/>
          </w:tcPr>
          <w:p w14:paraId="523AA718" w14:textId="77777777" w:rsidR="001C08A5" w:rsidRDefault="001C08A5">
            <w:pPr>
              <w:jc w:val="center"/>
              <w:rPr>
                <w:i/>
                <w:iCs/>
                <w:sz w:val="22"/>
                <w:szCs w:val="22"/>
              </w:rPr>
            </w:pPr>
          </w:p>
          <w:p w14:paraId="2F29232E" w14:textId="77777777" w:rsidR="001C08A5" w:rsidRDefault="00000000">
            <w:pPr>
              <w:jc w:val="center"/>
              <w:rPr>
                <w:i/>
                <w:iCs/>
                <w:sz w:val="22"/>
                <w:szCs w:val="22"/>
              </w:rPr>
            </w:pPr>
            <w:r>
              <w:rPr>
                <w:i/>
                <w:iCs/>
                <w:sz w:val="22"/>
                <w:szCs w:val="22"/>
              </w:rPr>
              <w:lastRenderedPageBreak/>
              <w:t>-</w:t>
            </w:r>
          </w:p>
        </w:tc>
      </w:tr>
      <w:tr w:rsidR="001C08A5" w14:paraId="04231279" w14:textId="77777777">
        <w:tc>
          <w:tcPr>
            <w:tcW w:w="534" w:type="dxa"/>
            <w:vMerge/>
          </w:tcPr>
          <w:p w14:paraId="5F415AF3" w14:textId="77777777" w:rsidR="001C08A5" w:rsidRDefault="001C08A5">
            <w:pPr>
              <w:rPr>
                <w:i/>
                <w:iCs/>
                <w:sz w:val="22"/>
                <w:szCs w:val="22"/>
              </w:rPr>
            </w:pPr>
          </w:p>
        </w:tc>
        <w:tc>
          <w:tcPr>
            <w:tcW w:w="1559" w:type="dxa"/>
            <w:vMerge/>
          </w:tcPr>
          <w:p w14:paraId="694B0699" w14:textId="77777777" w:rsidR="001C08A5" w:rsidRDefault="001C08A5">
            <w:pPr>
              <w:rPr>
                <w:i/>
                <w:iCs/>
                <w:sz w:val="22"/>
                <w:szCs w:val="22"/>
              </w:rPr>
            </w:pPr>
          </w:p>
        </w:tc>
        <w:tc>
          <w:tcPr>
            <w:tcW w:w="669" w:type="dxa"/>
            <w:vMerge/>
          </w:tcPr>
          <w:p w14:paraId="7E49121D" w14:textId="77777777" w:rsidR="001C08A5" w:rsidRDefault="001C08A5">
            <w:pPr>
              <w:rPr>
                <w:i/>
                <w:iCs/>
                <w:sz w:val="22"/>
                <w:szCs w:val="22"/>
              </w:rPr>
            </w:pPr>
          </w:p>
        </w:tc>
        <w:tc>
          <w:tcPr>
            <w:tcW w:w="1174" w:type="dxa"/>
            <w:vMerge/>
          </w:tcPr>
          <w:p w14:paraId="5448F060" w14:textId="77777777" w:rsidR="001C08A5" w:rsidRDefault="001C08A5">
            <w:pPr>
              <w:rPr>
                <w:i/>
                <w:iCs/>
                <w:sz w:val="22"/>
                <w:szCs w:val="22"/>
              </w:rPr>
            </w:pPr>
          </w:p>
        </w:tc>
        <w:tc>
          <w:tcPr>
            <w:tcW w:w="708" w:type="dxa"/>
          </w:tcPr>
          <w:p w14:paraId="0D3A66DF" w14:textId="77777777" w:rsidR="001C08A5" w:rsidRDefault="00000000">
            <w:pPr>
              <w:jc w:val="center"/>
              <w:rPr>
                <w:b/>
                <w:i/>
                <w:iCs/>
                <w:sz w:val="22"/>
                <w:szCs w:val="22"/>
              </w:rPr>
            </w:pPr>
            <w:r>
              <w:rPr>
                <w:b/>
                <w:i/>
                <w:iCs/>
                <w:sz w:val="22"/>
                <w:szCs w:val="22"/>
              </w:rPr>
              <w:t>7,00</w:t>
            </w:r>
          </w:p>
        </w:tc>
        <w:tc>
          <w:tcPr>
            <w:tcW w:w="3119" w:type="dxa"/>
          </w:tcPr>
          <w:p w14:paraId="1489443E" w14:textId="77777777" w:rsidR="001C08A5" w:rsidRDefault="00000000">
            <w:pPr>
              <w:jc w:val="both"/>
              <w:rPr>
                <w:i/>
                <w:iCs/>
                <w:sz w:val="22"/>
                <w:szCs w:val="22"/>
              </w:rPr>
            </w:pPr>
            <w:r>
              <w:rPr>
                <w:i/>
                <w:iCs/>
                <w:sz w:val="22"/>
                <w:szCs w:val="22"/>
              </w:rPr>
              <w:t>Birou - plan deschis sau peste 60 m</w:t>
            </w:r>
            <w:r>
              <w:rPr>
                <w:i/>
                <w:iCs/>
                <w:sz w:val="22"/>
                <w:szCs w:val="22"/>
                <w:vertAlign w:val="superscript"/>
              </w:rPr>
              <w:t>2</w:t>
            </w:r>
          </w:p>
        </w:tc>
        <w:tc>
          <w:tcPr>
            <w:tcW w:w="709" w:type="dxa"/>
            <w:vMerge/>
          </w:tcPr>
          <w:p w14:paraId="710BC015" w14:textId="77777777" w:rsidR="001C08A5" w:rsidRDefault="001C08A5">
            <w:pPr>
              <w:jc w:val="center"/>
              <w:rPr>
                <w:i/>
                <w:iCs/>
                <w:sz w:val="22"/>
                <w:szCs w:val="22"/>
              </w:rPr>
            </w:pPr>
          </w:p>
        </w:tc>
        <w:tc>
          <w:tcPr>
            <w:tcW w:w="1134" w:type="dxa"/>
            <w:vMerge/>
          </w:tcPr>
          <w:p w14:paraId="6AD4E35B" w14:textId="77777777" w:rsidR="001C08A5" w:rsidRDefault="001C08A5">
            <w:pPr>
              <w:jc w:val="center"/>
              <w:rPr>
                <w:i/>
                <w:iCs/>
                <w:sz w:val="22"/>
                <w:szCs w:val="22"/>
              </w:rPr>
            </w:pPr>
          </w:p>
        </w:tc>
      </w:tr>
      <w:tr w:rsidR="001C08A5" w14:paraId="70E466C8" w14:textId="77777777">
        <w:trPr>
          <w:trHeight w:val="785"/>
        </w:trPr>
        <w:tc>
          <w:tcPr>
            <w:tcW w:w="534" w:type="dxa"/>
            <w:vMerge/>
          </w:tcPr>
          <w:p w14:paraId="50885B89" w14:textId="77777777" w:rsidR="001C08A5" w:rsidRDefault="001C08A5">
            <w:pPr>
              <w:rPr>
                <w:i/>
                <w:iCs/>
                <w:sz w:val="22"/>
                <w:szCs w:val="22"/>
              </w:rPr>
            </w:pPr>
          </w:p>
        </w:tc>
        <w:tc>
          <w:tcPr>
            <w:tcW w:w="1559" w:type="dxa"/>
            <w:vMerge/>
          </w:tcPr>
          <w:p w14:paraId="1A2C7DB9" w14:textId="77777777" w:rsidR="001C08A5" w:rsidRDefault="001C08A5">
            <w:pPr>
              <w:rPr>
                <w:i/>
                <w:iCs/>
                <w:sz w:val="22"/>
                <w:szCs w:val="22"/>
              </w:rPr>
            </w:pPr>
          </w:p>
        </w:tc>
        <w:tc>
          <w:tcPr>
            <w:tcW w:w="669" w:type="dxa"/>
            <w:vMerge/>
          </w:tcPr>
          <w:p w14:paraId="37DFEBB6" w14:textId="77777777" w:rsidR="001C08A5" w:rsidRDefault="001C08A5">
            <w:pPr>
              <w:rPr>
                <w:i/>
                <w:iCs/>
                <w:sz w:val="22"/>
                <w:szCs w:val="22"/>
              </w:rPr>
            </w:pPr>
          </w:p>
        </w:tc>
        <w:tc>
          <w:tcPr>
            <w:tcW w:w="1174" w:type="dxa"/>
            <w:vMerge w:val="restart"/>
          </w:tcPr>
          <w:p w14:paraId="2462863A" w14:textId="77777777" w:rsidR="001C08A5" w:rsidRDefault="00000000">
            <w:pPr>
              <w:rPr>
                <w:i/>
                <w:iCs/>
                <w:sz w:val="22"/>
                <w:szCs w:val="22"/>
              </w:rPr>
            </w:pPr>
            <w:r>
              <w:rPr>
                <w:i/>
                <w:iCs/>
                <w:sz w:val="22"/>
                <w:szCs w:val="22"/>
              </w:rPr>
              <w:t>Cu afluenţă redusă de public, stabilit prin proiect</w:t>
            </w:r>
          </w:p>
        </w:tc>
        <w:tc>
          <w:tcPr>
            <w:tcW w:w="708" w:type="dxa"/>
          </w:tcPr>
          <w:p w14:paraId="72C42221" w14:textId="77777777" w:rsidR="001C08A5" w:rsidRDefault="00000000">
            <w:pPr>
              <w:jc w:val="center"/>
              <w:rPr>
                <w:b/>
                <w:i/>
                <w:iCs/>
                <w:sz w:val="22"/>
                <w:szCs w:val="22"/>
              </w:rPr>
            </w:pPr>
            <w:r>
              <w:rPr>
                <w:b/>
                <w:i/>
                <w:iCs/>
                <w:sz w:val="22"/>
                <w:szCs w:val="22"/>
              </w:rPr>
              <w:t>5,00</w:t>
            </w:r>
          </w:p>
        </w:tc>
        <w:tc>
          <w:tcPr>
            <w:tcW w:w="3119" w:type="dxa"/>
          </w:tcPr>
          <w:p w14:paraId="695E3BA1" w14:textId="77777777" w:rsidR="001C08A5" w:rsidRDefault="00000000">
            <w:pPr>
              <w:jc w:val="both"/>
              <w:rPr>
                <w:i/>
                <w:iCs/>
                <w:sz w:val="22"/>
                <w:szCs w:val="22"/>
              </w:rPr>
            </w:pPr>
            <w:r>
              <w:rPr>
                <w:i/>
                <w:iCs/>
                <w:sz w:val="22"/>
                <w:szCs w:val="22"/>
              </w:rPr>
              <w:t>Birou - plan închis sau sub 60 m</w:t>
            </w:r>
            <w:r>
              <w:rPr>
                <w:i/>
                <w:iCs/>
                <w:sz w:val="22"/>
                <w:szCs w:val="22"/>
                <w:vertAlign w:val="superscript"/>
              </w:rPr>
              <w:t>2</w:t>
            </w:r>
          </w:p>
        </w:tc>
        <w:tc>
          <w:tcPr>
            <w:tcW w:w="709" w:type="dxa"/>
            <w:vMerge w:val="restart"/>
          </w:tcPr>
          <w:p w14:paraId="5F228234" w14:textId="77777777" w:rsidR="001C08A5" w:rsidRDefault="001C08A5">
            <w:pPr>
              <w:jc w:val="center"/>
              <w:rPr>
                <w:i/>
                <w:iCs/>
                <w:sz w:val="22"/>
                <w:szCs w:val="22"/>
              </w:rPr>
            </w:pPr>
          </w:p>
          <w:p w14:paraId="49E9E240" w14:textId="77777777" w:rsidR="001C08A5" w:rsidRDefault="00000000">
            <w:pPr>
              <w:jc w:val="center"/>
              <w:rPr>
                <w:i/>
                <w:iCs/>
                <w:sz w:val="22"/>
                <w:szCs w:val="22"/>
              </w:rPr>
            </w:pPr>
            <w:r>
              <w:rPr>
                <w:i/>
                <w:iCs/>
                <w:sz w:val="22"/>
                <w:szCs w:val="22"/>
              </w:rPr>
              <w:t>De la 5 pâna la 20</w:t>
            </w:r>
          </w:p>
        </w:tc>
        <w:tc>
          <w:tcPr>
            <w:tcW w:w="1134" w:type="dxa"/>
            <w:vMerge w:val="restart"/>
          </w:tcPr>
          <w:p w14:paraId="2C999787" w14:textId="77777777" w:rsidR="001C08A5" w:rsidRDefault="00000000">
            <w:pPr>
              <w:jc w:val="center"/>
              <w:rPr>
                <w:i/>
                <w:iCs/>
                <w:sz w:val="22"/>
                <w:szCs w:val="22"/>
              </w:rPr>
            </w:pPr>
            <w:r>
              <w:rPr>
                <w:i/>
                <w:iCs/>
                <w:sz w:val="22"/>
                <w:szCs w:val="22"/>
              </w:rPr>
              <w:t>Public sau vizitatori / persoane străine</w:t>
            </w:r>
          </w:p>
          <w:p w14:paraId="1B56ED90" w14:textId="77777777" w:rsidR="001C08A5" w:rsidRDefault="001C08A5">
            <w:pPr>
              <w:jc w:val="center"/>
              <w:rPr>
                <w:i/>
                <w:iCs/>
                <w:sz w:val="22"/>
                <w:szCs w:val="22"/>
              </w:rPr>
            </w:pPr>
          </w:p>
        </w:tc>
      </w:tr>
      <w:tr w:rsidR="001C08A5" w14:paraId="6C16C72F" w14:textId="77777777">
        <w:trPr>
          <w:trHeight w:val="671"/>
        </w:trPr>
        <w:tc>
          <w:tcPr>
            <w:tcW w:w="534" w:type="dxa"/>
            <w:vMerge/>
          </w:tcPr>
          <w:p w14:paraId="0547ECB6" w14:textId="77777777" w:rsidR="001C08A5" w:rsidRDefault="001C08A5">
            <w:pPr>
              <w:rPr>
                <w:i/>
                <w:iCs/>
                <w:sz w:val="22"/>
                <w:szCs w:val="22"/>
              </w:rPr>
            </w:pPr>
          </w:p>
        </w:tc>
        <w:tc>
          <w:tcPr>
            <w:tcW w:w="1559" w:type="dxa"/>
            <w:vMerge/>
          </w:tcPr>
          <w:p w14:paraId="3350C4E1" w14:textId="77777777" w:rsidR="001C08A5" w:rsidRDefault="001C08A5">
            <w:pPr>
              <w:rPr>
                <w:i/>
                <w:iCs/>
                <w:sz w:val="22"/>
                <w:szCs w:val="22"/>
              </w:rPr>
            </w:pPr>
          </w:p>
        </w:tc>
        <w:tc>
          <w:tcPr>
            <w:tcW w:w="669" w:type="dxa"/>
            <w:vMerge/>
          </w:tcPr>
          <w:p w14:paraId="3C9DBF82" w14:textId="77777777" w:rsidR="001C08A5" w:rsidRDefault="001C08A5">
            <w:pPr>
              <w:rPr>
                <w:i/>
                <w:iCs/>
                <w:sz w:val="22"/>
                <w:szCs w:val="22"/>
              </w:rPr>
            </w:pPr>
          </w:p>
        </w:tc>
        <w:tc>
          <w:tcPr>
            <w:tcW w:w="1174" w:type="dxa"/>
            <w:vMerge/>
          </w:tcPr>
          <w:p w14:paraId="0AC8BAEB" w14:textId="77777777" w:rsidR="001C08A5" w:rsidRDefault="001C08A5">
            <w:pPr>
              <w:rPr>
                <w:i/>
                <w:iCs/>
                <w:sz w:val="22"/>
                <w:szCs w:val="22"/>
              </w:rPr>
            </w:pPr>
          </w:p>
        </w:tc>
        <w:tc>
          <w:tcPr>
            <w:tcW w:w="708" w:type="dxa"/>
          </w:tcPr>
          <w:p w14:paraId="51B770EF" w14:textId="77777777" w:rsidR="001C08A5" w:rsidRDefault="00000000">
            <w:pPr>
              <w:jc w:val="center"/>
              <w:rPr>
                <w:b/>
                <w:i/>
                <w:iCs/>
                <w:sz w:val="22"/>
                <w:szCs w:val="22"/>
              </w:rPr>
            </w:pPr>
            <w:r>
              <w:rPr>
                <w:b/>
                <w:i/>
                <w:iCs/>
                <w:sz w:val="22"/>
                <w:szCs w:val="22"/>
              </w:rPr>
              <w:t>7,00</w:t>
            </w:r>
          </w:p>
        </w:tc>
        <w:tc>
          <w:tcPr>
            <w:tcW w:w="3119" w:type="dxa"/>
          </w:tcPr>
          <w:p w14:paraId="05745712" w14:textId="77777777" w:rsidR="001C08A5" w:rsidRDefault="00000000">
            <w:pPr>
              <w:jc w:val="both"/>
              <w:rPr>
                <w:i/>
                <w:iCs/>
                <w:sz w:val="22"/>
                <w:szCs w:val="22"/>
              </w:rPr>
            </w:pPr>
            <w:r>
              <w:rPr>
                <w:i/>
                <w:iCs/>
                <w:sz w:val="22"/>
                <w:szCs w:val="22"/>
              </w:rPr>
              <w:t>Birou – birou open space  sau peste 60 m</w:t>
            </w:r>
            <w:r>
              <w:rPr>
                <w:i/>
                <w:iCs/>
                <w:sz w:val="22"/>
                <w:szCs w:val="22"/>
                <w:vertAlign w:val="superscript"/>
              </w:rPr>
              <w:t>2</w:t>
            </w:r>
          </w:p>
        </w:tc>
        <w:tc>
          <w:tcPr>
            <w:tcW w:w="709" w:type="dxa"/>
            <w:vMerge/>
          </w:tcPr>
          <w:p w14:paraId="5B3D03A3" w14:textId="77777777" w:rsidR="001C08A5" w:rsidRDefault="001C08A5">
            <w:pPr>
              <w:jc w:val="center"/>
              <w:rPr>
                <w:i/>
                <w:iCs/>
                <w:sz w:val="22"/>
                <w:szCs w:val="22"/>
              </w:rPr>
            </w:pPr>
          </w:p>
        </w:tc>
        <w:tc>
          <w:tcPr>
            <w:tcW w:w="1134" w:type="dxa"/>
            <w:vMerge/>
          </w:tcPr>
          <w:p w14:paraId="4EC16399" w14:textId="77777777" w:rsidR="001C08A5" w:rsidRDefault="001C08A5">
            <w:pPr>
              <w:jc w:val="center"/>
              <w:rPr>
                <w:i/>
                <w:iCs/>
                <w:sz w:val="22"/>
                <w:szCs w:val="22"/>
              </w:rPr>
            </w:pPr>
          </w:p>
        </w:tc>
      </w:tr>
      <w:tr w:rsidR="001C08A5" w14:paraId="6DD533B3" w14:textId="77777777">
        <w:trPr>
          <w:trHeight w:val="894"/>
        </w:trPr>
        <w:tc>
          <w:tcPr>
            <w:tcW w:w="534" w:type="dxa"/>
            <w:vMerge/>
          </w:tcPr>
          <w:p w14:paraId="40E457C6" w14:textId="77777777" w:rsidR="001C08A5" w:rsidRDefault="001C08A5">
            <w:pPr>
              <w:rPr>
                <w:i/>
                <w:iCs/>
                <w:sz w:val="22"/>
                <w:szCs w:val="22"/>
              </w:rPr>
            </w:pPr>
          </w:p>
        </w:tc>
        <w:tc>
          <w:tcPr>
            <w:tcW w:w="1559" w:type="dxa"/>
            <w:vMerge/>
          </w:tcPr>
          <w:p w14:paraId="130830F5" w14:textId="77777777" w:rsidR="001C08A5" w:rsidRDefault="001C08A5">
            <w:pPr>
              <w:rPr>
                <w:i/>
                <w:iCs/>
                <w:sz w:val="22"/>
                <w:szCs w:val="22"/>
              </w:rPr>
            </w:pPr>
          </w:p>
        </w:tc>
        <w:tc>
          <w:tcPr>
            <w:tcW w:w="669" w:type="dxa"/>
            <w:vMerge/>
          </w:tcPr>
          <w:p w14:paraId="3C4ADB4E" w14:textId="77777777" w:rsidR="001C08A5" w:rsidRDefault="001C08A5">
            <w:pPr>
              <w:rPr>
                <w:i/>
                <w:iCs/>
                <w:sz w:val="22"/>
                <w:szCs w:val="22"/>
              </w:rPr>
            </w:pPr>
          </w:p>
        </w:tc>
        <w:tc>
          <w:tcPr>
            <w:tcW w:w="1174" w:type="dxa"/>
            <w:vMerge w:val="restart"/>
          </w:tcPr>
          <w:p w14:paraId="1ECC10EF" w14:textId="77777777" w:rsidR="001C08A5" w:rsidRDefault="00000000">
            <w:pPr>
              <w:rPr>
                <w:i/>
                <w:iCs/>
                <w:sz w:val="22"/>
                <w:szCs w:val="22"/>
              </w:rPr>
            </w:pPr>
            <w:r>
              <w:rPr>
                <w:i/>
                <w:iCs/>
                <w:sz w:val="22"/>
                <w:szCs w:val="22"/>
              </w:rPr>
              <w:t>Cu afluenţă mare de public, stabilit prin proiect</w:t>
            </w:r>
          </w:p>
        </w:tc>
        <w:tc>
          <w:tcPr>
            <w:tcW w:w="708" w:type="dxa"/>
          </w:tcPr>
          <w:p w14:paraId="15B27340" w14:textId="77777777" w:rsidR="001C08A5" w:rsidRDefault="00000000">
            <w:pPr>
              <w:jc w:val="center"/>
              <w:rPr>
                <w:b/>
                <w:i/>
                <w:iCs/>
                <w:sz w:val="22"/>
                <w:szCs w:val="22"/>
              </w:rPr>
            </w:pPr>
            <w:r>
              <w:rPr>
                <w:b/>
                <w:i/>
                <w:iCs/>
                <w:sz w:val="22"/>
                <w:szCs w:val="22"/>
              </w:rPr>
              <w:t>5,00</w:t>
            </w:r>
          </w:p>
        </w:tc>
        <w:tc>
          <w:tcPr>
            <w:tcW w:w="3119" w:type="dxa"/>
          </w:tcPr>
          <w:p w14:paraId="79FC0A3B" w14:textId="77777777" w:rsidR="001C08A5" w:rsidRDefault="00000000">
            <w:pPr>
              <w:jc w:val="both"/>
              <w:rPr>
                <w:i/>
                <w:iCs/>
                <w:sz w:val="22"/>
                <w:szCs w:val="22"/>
              </w:rPr>
            </w:pPr>
            <w:r>
              <w:rPr>
                <w:i/>
                <w:iCs/>
                <w:sz w:val="22"/>
                <w:szCs w:val="22"/>
              </w:rPr>
              <w:t>Birou - plan închis sau sub 60 m</w:t>
            </w:r>
            <w:r>
              <w:rPr>
                <w:i/>
                <w:iCs/>
                <w:sz w:val="22"/>
                <w:szCs w:val="22"/>
                <w:vertAlign w:val="superscript"/>
              </w:rPr>
              <w:t>2</w:t>
            </w:r>
          </w:p>
        </w:tc>
        <w:tc>
          <w:tcPr>
            <w:tcW w:w="709" w:type="dxa"/>
            <w:vMerge w:val="restart"/>
          </w:tcPr>
          <w:p w14:paraId="55216B2C" w14:textId="77777777" w:rsidR="001C08A5" w:rsidRDefault="001C08A5">
            <w:pPr>
              <w:jc w:val="center"/>
              <w:rPr>
                <w:i/>
                <w:iCs/>
                <w:sz w:val="22"/>
                <w:szCs w:val="22"/>
              </w:rPr>
            </w:pPr>
          </w:p>
          <w:p w14:paraId="7E196CFE" w14:textId="77777777" w:rsidR="001C08A5" w:rsidRDefault="00000000">
            <w:pPr>
              <w:jc w:val="center"/>
              <w:rPr>
                <w:i/>
                <w:iCs/>
                <w:sz w:val="22"/>
                <w:szCs w:val="22"/>
              </w:rPr>
            </w:pPr>
            <w:r>
              <w:rPr>
                <w:i/>
                <w:iCs/>
                <w:sz w:val="22"/>
                <w:szCs w:val="22"/>
              </w:rPr>
              <w:t>De la 20 pâna la 75</w:t>
            </w:r>
          </w:p>
        </w:tc>
        <w:tc>
          <w:tcPr>
            <w:tcW w:w="1134" w:type="dxa"/>
            <w:vMerge w:val="restart"/>
          </w:tcPr>
          <w:p w14:paraId="30774FB3" w14:textId="77777777" w:rsidR="001C08A5" w:rsidRDefault="00000000">
            <w:pPr>
              <w:jc w:val="center"/>
              <w:rPr>
                <w:i/>
                <w:iCs/>
                <w:sz w:val="22"/>
                <w:szCs w:val="22"/>
              </w:rPr>
            </w:pPr>
            <w:r>
              <w:rPr>
                <w:i/>
                <w:iCs/>
                <w:sz w:val="22"/>
                <w:szCs w:val="22"/>
              </w:rPr>
              <w:t>Public sau vizitatori / persoane străine</w:t>
            </w:r>
          </w:p>
          <w:p w14:paraId="6C395094" w14:textId="77777777" w:rsidR="001C08A5" w:rsidRDefault="001C08A5">
            <w:pPr>
              <w:jc w:val="center"/>
              <w:rPr>
                <w:i/>
                <w:iCs/>
                <w:sz w:val="22"/>
                <w:szCs w:val="22"/>
              </w:rPr>
            </w:pPr>
          </w:p>
        </w:tc>
      </w:tr>
      <w:tr w:rsidR="001C08A5" w14:paraId="12D9E23C" w14:textId="77777777">
        <w:tc>
          <w:tcPr>
            <w:tcW w:w="534" w:type="dxa"/>
            <w:vMerge/>
          </w:tcPr>
          <w:p w14:paraId="272D56A3" w14:textId="77777777" w:rsidR="001C08A5" w:rsidRDefault="001C08A5">
            <w:pPr>
              <w:rPr>
                <w:i/>
                <w:iCs/>
                <w:sz w:val="22"/>
                <w:szCs w:val="22"/>
              </w:rPr>
            </w:pPr>
          </w:p>
        </w:tc>
        <w:tc>
          <w:tcPr>
            <w:tcW w:w="1559" w:type="dxa"/>
            <w:vMerge/>
          </w:tcPr>
          <w:p w14:paraId="11616164" w14:textId="77777777" w:rsidR="001C08A5" w:rsidRDefault="001C08A5">
            <w:pPr>
              <w:rPr>
                <w:i/>
                <w:iCs/>
                <w:sz w:val="22"/>
                <w:szCs w:val="22"/>
              </w:rPr>
            </w:pPr>
          </w:p>
        </w:tc>
        <w:tc>
          <w:tcPr>
            <w:tcW w:w="669" w:type="dxa"/>
            <w:vMerge/>
          </w:tcPr>
          <w:p w14:paraId="5FE1F951" w14:textId="77777777" w:rsidR="001C08A5" w:rsidRDefault="001C08A5">
            <w:pPr>
              <w:rPr>
                <w:i/>
                <w:iCs/>
                <w:sz w:val="22"/>
                <w:szCs w:val="22"/>
              </w:rPr>
            </w:pPr>
          </w:p>
        </w:tc>
        <w:tc>
          <w:tcPr>
            <w:tcW w:w="1174" w:type="dxa"/>
            <w:vMerge/>
          </w:tcPr>
          <w:p w14:paraId="7B2676E8" w14:textId="77777777" w:rsidR="001C08A5" w:rsidRDefault="001C08A5">
            <w:pPr>
              <w:rPr>
                <w:i/>
                <w:iCs/>
                <w:sz w:val="22"/>
                <w:szCs w:val="22"/>
              </w:rPr>
            </w:pPr>
          </w:p>
        </w:tc>
        <w:tc>
          <w:tcPr>
            <w:tcW w:w="708" w:type="dxa"/>
          </w:tcPr>
          <w:p w14:paraId="0DACA45C" w14:textId="77777777" w:rsidR="001C08A5" w:rsidRDefault="00000000">
            <w:pPr>
              <w:jc w:val="center"/>
              <w:rPr>
                <w:b/>
                <w:i/>
                <w:iCs/>
                <w:sz w:val="22"/>
                <w:szCs w:val="22"/>
              </w:rPr>
            </w:pPr>
            <w:r>
              <w:rPr>
                <w:b/>
                <w:i/>
                <w:iCs/>
                <w:sz w:val="22"/>
                <w:szCs w:val="22"/>
              </w:rPr>
              <w:t>7,00</w:t>
            </w:r>
          </w:p>
        </w:tc>
        <w:tc>
          <w:tcPr>
            <w:tcW w:w="3119" w:type="dxa"/>
          </w:tcPr>
          <w:p w14:paraId="332A1D7D" w14:textId="77777777" w:rsidR="001C08A5" w:rsidRDefault="00000000">
            <w:pPr>
              <w:jc w:val="both"/>
              <w:rPr>
                <w:i/>
                <w:iCs/>
                <w:sz w:val="22"/>
                <w:szCs w:val="22"/>
              </w:rPr>
            </w:pPr>
            <w:r>
              <w:rPr>
                <w:i/>
                <w:iCs/>
                <w:sz w:val="22"/>
                <w:szCs w:val="22"/>
              </w:rPr>
              <w:t>Birou - plan deschis sau peste 60 m</w:t>
            </w:r>
            <w:r>
              <w:rPr>
                <w:i/>
                <w:iCs/>
                <w:sz w:val="22"/>
                <w:szCs w:val="22"/>
                <w:vertAlign w:val="superscript"/>
              </w:rPr>
              <w:t>2</w:t>
            </w:r>
          </w:p>
        </w:tc>
        <w:tc>
          <w:tcPr>
            <w:tcW w:w="709" w:type="dxa"/>
            <w:vMerge/>
          </w:tcPr>
          <w:p w14:paraId="71BA037F" w14:textId="77777777" w:rsidR="001C08A5" w:rsidRDefault="001C08A5">
            <w:pPr>
              <w:jc w:val="both"/>
              <w:rPr>
                <w:i/>
                <w:iCs/>
                <w:sz w:val="22"/>
                <w:szCs w:val="22"/>
              </w:rPr>
            </w:pPr>
          </w:p>
        </w:tc>
        <w:tc>
          <w:tcPr>
            <w:tcW w:w="1134" w:type="dxa"/>
            <w:vMerge/>
          </w:tcPr>
          <w:p w14:paraId="08251D18" w14:textId="77777777" w:rsidR="001C08A5" w:rsidRDefault="001C08A5">
            <w:pPr>
              <w:rPr>
                <w:i/>
                <w:iCs/>
                <w:sz w:val="22"/>
                <w:szCs w:val="22"/>
              </w:rPr>
            </w:pPr>
          </w:p>
        </w:tc>
      </w:tr>
      <w:tr w:rsidR="001C08A5" w14:paraId="1984DCE0" w14:textId="77777777">
        <w:tc>
          <w:tcPr>
            <w:tcW w:w="534" w:type="dxa"/>
          </w:tcPr>
          <w:p w14:paraId="4BC8DA55" w14:textId="77777777" w:rsidR="001C08A5" w:rsidRDefault="00000000">
            <w:pPr>
              <w:rPr>
                <w:i/>
                <w:iCs/>
                <w:sz w:val="22"/>
                <w:szCs w:val="22"/>
              </w:rPr>
            </w:pPr>
            <w:r>
              <w:rPr>
                <w:i/>
                <w:iCs/>
                <w:sz w:val="22"/>
                <w:szCs w:val="22"/>
              </w:rPr>
              <w:t>2</w:t>
            </w:r>
          </w:p>
        </w:tc>
        <w:tc>
          <w:tcPr>
            <w:tcW w:w="1559" w:type="dxa"/>
          </w:tcPr>
          <w:p w14:paraId="736CD41B" w14:textId="77777777" w:rsidR="001C08A5" w:rsidRDefault="00000000">
            <w:pPr>
              <w:rPr>
                <w:i/>
                <w:iCs/>
                <w:sz w:val="22"/>
                <w:szCs w:val="22"/>
              </w:rPr>
            </w:pPr>
            <w:r>
              <w:rPr>
                <w:i/>
                <w:iCs/>
                <w:sz w:val="22"/>
                <w:szCs w:val="22"/>
              </w:rPr>
              <w:t xml:space="preserve">Incăperi cu diverse funcţiuni / destinaţii </w:t>
            </w:r>
          </w:p>
        </w:tc>
        <w:tc>
          <w:tcPr>
            <w:tcW w:w="7513" w:type="dxa"/>
            <w:gridSpan w:val="6"/>
          </w:tcPr>
          <w:p w14:paraId="3111F8DC"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191A45C2" w14:textId="77777777" w:rsidR="001C08A5" w:rsidRDefault="00000000">
      <w:pPr>
        <w:jc w:val="both"/>
        <w:rPr>
          <w:i/>
          <w:sz w:val="22"/>
          <w:szCs w:val="22"/>
        </w:rPr>
      </w:pPr>
      <w:r>
        <w:rPr>
          <w:i/>
          <w:sz w:val="22"/>
          <w:szCs w:val="22"/>
          <w:u w:val="single"/>
        </w:rPr>
        <w:t>Notă</w:t>
      </w:r>
      <w:r>
        <w:rPr>
          <w:i/>
          <w:sz w:val="22"/>
          <w:szCs w:val="22"/>
        </w:rPr>
        <w:t xml:space="preserve">: </w:t>
      </w:r>
    </w:p>
    <w:p w14:paraId="1FF2E8CA" w14:textId="77777777" w:rsidR="001C08A5" w:rsidRDefault="00000000">
      <w:pPr>
        <w:jc w:val="both"/>
        <w:rPr>
          <w:i/>
          <w:sz w:val="22"/>
          <w:szCs w:val="22"/>
        </w:rPr>
      </w:pPr>
      <w:r>
        <w:rPr>
          <w:i/>
          <w:sz w:val="22"/>
          <w:szCs w:val="22"/>
        </w:rPr>
        <w:t>Numarul de persoane poate fi determinat și prin mobilarea propusă,, dar valorile din tabel sunt minimale și obligatorii.</w:t>
      </w:r>
    </w:p>
    <w:p w14:paraId="44D94188" w14:textId="77777777" w:rsidR="001C08A5" w:rsidRDefault="001C08A5">
      <w:pPr>
        <w:rPr>
          <w:i/>
          <w:sz w:val="22"/>
          <w:szCs w:val="22"/>
        </w:rPr>
      </w:pPr>
    </w:p>
    <w:p w14:paraId="5DB3E86E" w14:textId="77777777" w:rsidR="001C08A5" w:rsidRDefault="00000000">
      <w:pPr>
        <w:pStyle w:val="Captiontabel"/>
      </w:pPr>
      <w:bookmarkStart w:id="2289" w:name="_Toc162360075"/>
      <w:r>
        <w:rPr>
          <w:rFonts w:cs="Mangal"/>
          <w:iCs/>
        </w:rPr>
        <w:t>Tabelul</w:t>
      </w:r>
      <w:r>
        <w:t xml:space="preserve"> </w:t>
      </w:r>
      <w:r>
        <w:fldChar w:fldCharType="begin"/>
      </w:r>
      <w:r>
        <w:instrText xml:space="preserve"> SEQ Tabelul \* ARABIC </w:instrText>
      </w:r>
      <w:r>
        <w:fldChar w:fldCharType="separate"/>
      </w:r>
      <w:r>
        <w:t>25</w:t>
      </w:r>
      <w:r>
        <w:fldChar w:fldCharType="end"/>
      </w:r>
      <w:bookmarkStart w:id="2290" w:name="_Toc22364"/>
      <w:bookmarkStart w:id="2291" w:name="_Toc10759"/>
      <w:bookmarkStart w:id="2292" w:name="_Toc26840"/>
      <w:bookmarkStart w:id="2293" w:name="_Toc21358"/>
      <w:bookmarkStart w:id="2294" w:name="_Toc28603"/>
      <w:bookmarkStart w:id="2295" w:name="_Toc7188"/>
      <w:bookmarkStart w:id="2296" w:name="_Toc17132"/>
      <w:bookmarkStart w:id="2297" w:name="_Toc569"/>
      <w:bookmarkStart w:id="2298" w:name="_Toc4621"/>
      <w:bookmarkStart w:id="2299" w:name="_Toc5814"/>
      <w:bookmarkStart w:id="2300" w:name="_Toc10255"/>
      <w:bookmarkStart w:id="2301" w:name="_Toc9447"/>
      <w:bookmarkStart w:id="2302" w:name="_Toc958"/>
      <w:bookmarkStart w:id="2303" w:name="_Toc6136"/>
      <w:bookmarkStart w:id="2304" w:name="_Toc1684"/>
      <w:bookmarkStart w:id="2305" w:name="_Toc15409"/>
      <w:bookmarkStart w:id="2306" w:name="_Toc25343"/>
      <w:bookmarkStart w:id="2307" w:name="_Toc11444"/>
      <w:bookmarkStart w:id="2308" w:name="_Toc24775"/>
      <w:r>
        <w:t>: Număr minim simultan de persoane din clădiri pentru comerţ - magazine, centre şi complexe comerciale, galerii comerciale, hipermarketuri sau supermarketuri cu aria desfăşurată de maximum 1500 m²</w:t>
      </w:r>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p>
    <w:p w14:paraId="59E89E9F" w14:textId="77777777" w:rsidR="001C08A5" w:rsidRDefault="001C08A5">
      <w:pPr>
        <w:jc w:val="both"/>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984"/>
        <w:gridCol w:w="2410"/>
        <w:gridCol w:w="709"/>
        <w:gridCol w:w="2126"/>
        <w:gridCol w:w="709"/>
        <w:gridCol w:w="1134"/>
      </w:tblGrid>
      <w:tr w:rsidR="001C08A5" w14:paraId="2278B258" w14:textId="77777777">
        <w:trPr>
          <w:tblHeader/>
        </w:trPr>
        <w:tc>
          <w:tcPr>
            <w:tcW w:w="534" w:type="dxa"/>
            <w:shd w:val="clear" w:color="auto" w:fill="BFBFBF"/>
          </w:tcPr>
          <w:p w14:paraId="4C1A31B9" w14:textId="77777777" w:rsidR="001C08A5" w:rsidRDefault="001C08A5">
            <w:pPr>
              <w:jc w:val="both"/>
              <w:rPr>
                <w:b/>
                <w:i/>
                <w:iCs/>
                <w:sz w:val="22"/>
                <w:szCs w:val="22"/>
              </w:rPr>
            </w:pPr>
          </w:p>
          <w:p w14:paraId="23F258A1" w14:textId="77777777" w:rsidR="001C08A5" w:rsidRDefault="00000000">
            <w:pPr>
              <w:jc w:val="both"/>
              <w:rPr>
                <w:b/>
                <w:i/>
                <w:iCs/>
                <w:sz w:val="22"/>
                <w:szCs w:val="22"/>
              </w:rPr>
            </w:pPr>
            <w:r>
              <w:rPr>
                <w:b/>
                <w:i/>
                <w:iCs/>
                <w:sz w:val="22"/>
                <w:szCs w:val="22"/>
              </w:rPr>
              <w:t>Nr.</w:t>
            </w:r>
          </w:p>
          <w:p w14:paraId="233EEAD6" w14:textId="77777777" w:rsidR="001C08A5" w:rsidRDefault="00000000">
            <w:pPr>
              <w:rPr>
                <w:i/>
                <w:iCs/>
                <w:sz w:val="22"/>
                <w:szCs w:val="22"/>
              </w:rPr>
            </w:pPr>
            <w:r>
              <w:rPr>
                <w:b/>
                <w:i/>
                <w:iCs/>
                <w:sz w:val="22"/>
                <w:szCs w:val="22"/>
              </w:rPr>
              <w:t>crt.</w:t>
            </w:r>
          </w:p>
        </w:tc>
        <w:tc>
          <w:tcPr>
            <w:tcW w:w="1984" w:type="dxa"/>
            <w:shd w:val="clear" w:color="auto" w:fill="BFBFBF"/>
          </w:tcPr>
          <w:p w14:paraId="3FC3DF1F" w14:textId="77777777" w:rsidR="001C08A5" w:rsidRDefault="001C08A5">
            <w:pPr>
              <w:rPr>
                <w:b/>
                <w:i/>
                <w:iCs/>
                <w:sz w:val="22"/>
                <w:szCs w:val="22"/>
              </w:rPr>
            </w:pPr>
          </w:p>
          <w:p w14:paraId="585377C2" w14:textId="77777777" w:rsidR="001C08A5" w:rsidRDefault="00000000">
            <w:pPr>
              <w:jc w:val="center"/>
              <w:rPr>
                <w:i/>
                <w:iCs/>
                <w:sz w:val="22"/>
                <w:szCs w:val="22"/>
              </w:rPr>
            </w:pPr>
            <w:r>
              <w:rPr>
                <w:b/>
                <w:i/>
                <w:iCs/>
                <w:sz w:val="22"/>
                <w:szCs w:val="22"/>
              </w:rPr>
              <w:t>Destinaţie / funcţiune</w:t>
            </w:r>
          </w:p>
        </w:tc>
        <w:tc>
          <w:tcPr>
            <w:tcW w:w="2410" w:type="dxa"/>
            <w:shd w:val="clear" w:color="auto" w:fill="BFBFBF"/>
          </w:tcPr>
          <w:p w14:paraId="152642F8" w14:textId="77777777" w:rsidR="001C08A5" w:rsidRDefault="001C08A5">
            <w:pPr>
              <w:rPr>
                <w:b/>
                <w:i/>
                <w:iCs/>
                <w:sz w:val="22"/>
                <w:szCs w:val="22"/>
              </w:rPr>
            </w:pPr>
          </w:p>
          <w:p w14:paraId="77E3D060" w14:textId="77777777" w:rsidR="001C08A5" w:rsidRDefault="00000000">
            <w:pPr>
              <w:jc w:val="center"/>
              <w:rPr>
                <w:b/>
                <w:i/>
                <w:iCs/>
                <w:sz w:val="22"/>
                <w:szCs w:val="22"/>
              </w:rPr>
            </w:pPr>
            <w:r>
              <w:rPr>
                <w:b/>
                <w:i/>
                <w:iCs/>
                <w:sz w:val="22"/>
                <w:szCs w:val="22"/>
              </w:rPr>
              <w:t>Nivel de referinţă</w:t>
            </w:r>
          </w:p>
        </w:tc>
        <w:tc>
          <w:tcPr>
            <w:tcW w:w="709" w:type="dxa"/>
            <w:shd w:val="clear" w:color="auto" w:fill="BFBFBF"/>
          </w:tcPr>
          <w:p w14:paraId="79BDDA1F" w14:textId="77777777" w:rsidR="001C08A5" w:rsidRDefault="001C08A5">
            <w:pPr>
              <w:jc w:val="center"/>
              <w:rPr>
                <w:b/>
                <w:i/>
                <w:iCs/>
                <w:sz w:val="22"/>
                <w:szCs w:val="22"/>
              </w:rPr>
            </w:pPr>
          </w:p>
          <w:p w14:paraId="0365E328"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2126" w:type="dxa"/>
            <w:shd w:val="clear" w:color="auto" w:fill="BFBFBF"/>
          </w:tcPr>
          <w:p w14:paraId="76C82DCD" w14:textId="77777777" w:rsidR="001C08A5" w:rsidRDefault="001C08A5">
            <w:pPr>
              <w:jc w:val="center"/>
              <w:rPr>
                <w:b/>
                <w:i/>
                <w:iCs/>
                <w:sz w:val="22"/>
                <w:szCs w:val="22"/>
              </w:rPr>
            </w:pPr>
          </w:p>
          <w:p w14:paraId="7891FB1E" w14:textId="77777777" w:rsidR="001C08A5" w:rsidRDefault="00000000">
            <w:pPr>
              <w:jc w:val="center"/>
              <w:rPr>
                <w:b/>
                <w:i/>
                <w:iCs/>
                <w:sz w:val="22"/>
                <w:szCs w:val="22"/>
              </w:rPr>
            </w:pPr>
            <w:r>
              <w:rPr>
                <w:b/>
                <w:i/>
                <w:iCs/>
                <w:sz w:val="22"/>
                <w:szCs w:val="22"/>
              </w:rPr>
              <w:t>Destinaţia / funcţiunea ariei considerată în calcul</w:t>
            </w:r>
          </w:p>
        </w:tc>
        <w:tc>
          <w:tcPr>
            <w:tcW w:w="709" w:type="dxa"/>
            <w:shd w:val="clear" w:color="auto" w:fill="BFBFBF"/>
          </w:tcPr>
          <w:p w14:paraId="135BB299" w14:textId="77777777" w:rsidR="001C08A5" w:rsidRDefault="001C08A5">
            <w:pPr>
              <w:jc w:val="center"/>
              <w:rPr>
                <w:b/>
                <w:i/>
                <w:iCs/>
                <w:sz w:val="22"/>
                <w:szCs w:val="22"/>
              </w:rPr>
            </w:pPr>
          </w:p>
          <w:p w14:paraId="3FDF656F" w14:textId="77777777" w:rsidR="001C08A5" w:rsidRDefault="00000000">
            <w:pPr>
              <w:jc w:val="center"/>
              <w:rPr>
                <w:b/>
                <w:i/>
                <w:iCs/>
                <w:sz w:val="22"/>
                <w:szCs w:val="22"/>
              </w:rPr>
            </w:pPr>
            <w:r>
              <w:rPr>
                <w:b/>
                <w:i/>
                <w:iCs/>
                <w:sz w:val="22"/>
                <w:szCs w:val="22"/>
              </w:rPr>
              <w:t>Spor%</w:t>
            </w:r>
          </w:p>
          <w:p w14:paraId="78432298" w14:textId="77777777" w:rsidR="001C08A5" w:rsidRDefault="001C08A5">
            <w:pPr>
              <w:jc w:val="center"/>
              <w:rPr>
                <w:b/>
                <w:i/>
                <w:iCs/>
                <w:sz w:val="22"/>
                <w:szCs w:val="22"/>
              </w:rPr>
            </w:pPr>
          </w:p>
        </w:tc>
        <w:tc>
          <w:tcPr>
            <w:tcW w:w="1134" w:type="dxa"/>
            <w:shd w:val="clear" w:color="auto" w:fill="BFBFBF"/>
          </w:tcPr>
          <w:p w14:paraId="4293282A" w14:textId="77777777" w:rsidR="001C08A5" w:rsidRDefault="00000000">
            <w:pPr>
              <w:jc w:val="center"/>
              <w:rPr>
                <w:b/>
                <w:i/>
                <w:iCs/>
                <w:sz w:val="22"/>
                <w:szCs w:val="22"/>
              </w:rPr>
            </w:pPr>
            <w:r>
              <w:rPr>
                <w:b/>
                <w:i/>
                <w:iCs/>
                <w:sz w:val="22"/>
                <w:szCs w:val="22"/>
              </w:rPr>
              <w:t>Personalul pentru care se acordă spor</w:t>
            </w:r>
          </w:p>
        </w:tc>
      </w:tr>
      <w:tr w:rsidR="001C08A5" w14:paraId="4C148EFF" w14:textId="77777777">
        <w:tc>
          <w:tcPr>
            <w:tcW w:w="534" w:type="dxa"/>
            <w:vMerge w:val="restart"/>
          </w:tcPr>
          <w:p w14:paraId="0B5EA0B4" w14:textId="77777777" w:rsidR="001C08A5" w:rsidRDefault="00000000">
            <w:pPr>
              <w:rPr>
                <w:i/>
                <w:iCs/>
                <w:sz w:val="22"/>
                <w:szCs w:val="22"/>
              </w:rPr>
            </w:pPr>
            <w:r>
              <w:rPr>
                <w:i/>
                <w:iCs/>
                <w:sz w:val="22"/>
                <w:szCs w:val="22"/>
              </w:rPr>
              <w:t>1</w:t>
            </w:r>
          </w:p>
        </w:tc>
        <w:tc>
          <w:tcPr>
            <w:tcW w:w="1984" w:type="dxa"/>
            <w:vMerge w:val="restart"/>
          </w:tcPr>
          <w:p w14:paraId="4847DED9" w14:textId="77777777" w:rsidR="001C08A5" w:rsidRDefault="00000000">
            <w:pPr>
              <w:rPr>
                <w:i/>
                <w:iCs/>
                <w:sz w:val="22"/>
                <w:szCs w:val="22"/>
              </w:rPr>
            </w:pPr>
            <w:r>
              <w:rPr>
                <w:i/>
                <w:iCs/>
                <w:sz w:val="22"/>
                <w:szCs w:val="22"/>
              </w:rPr>
              <w:t xml:space="preserve">Magazine cu aria desfăşurată mai mica de </w:t>
            </w:r>
            <w:r>
              <w:rPr>
                <w:b/>
                <w:i/>
                <w:iCs/>
                <w:sz w:val="22"/>
                <w:szCs w:val="22"/>
              </w:rPr>
              <w:t>500</w:t>
            </w:r>
            <w:r>
              <w:rPr>
                <w:i/>
                <w:iCs/>
                <w:sz w:val="22"/>
                <w:szCs w:val="22"/>
              </w:rPr>
              <w:t xml:space="preserve"> m²</w:t>
            </w:r>
          </w:p>
        </w:tc>
        <w:tc>
          <w:tcPr>
            <w:tcW w:w="2410" w:type="dxa"/>
          </w:tcPr>
          <w:p w14:paraId="083D1349" w14:textId="77777777" w:rsidR="001C08A5" w:rsidRDefault="00000000">
            <w:pPr>
              <w:rPr>
                <w:i/>
                <w:iCs/>
                <w:sz w:val="22"/>
                <w:szCs w:val="22"/>
              </w:rPr>
            </w:pPr>
            <w:r>
              <w:rPr>
                <w:i/>
                <w:iCs/>
                <w:sz w:val="22"/>
                <w:szCs w:val="22"/>
              </w:rPr>
              <w:t>Parter</w:t>
            </w:r>
          </w:p>
        </w:tc>
        <w:tc>
          <w:tcPr>
            <w:tcW w:w="709" w:type="dxa"/>
          </w:tcPr>
          <w:p w14:paraId="2A1992F0" w14:textId="77777777" w:rsidR="001C08A5" w:rsidRDefault="00000000">
            <w:pPr>
              <w:jc w:val="center"/>
              <w:rPr>
                <w:b/>
                <w:i/>
                <w:iCs/>
                <w:sz w:val="22"/>
                <w:szCs w:val="22"/>
              </w:rPr>
            </w:pPr>
            <w:r>
              <w:rPr>
                <w:b/>
                <w:i/>
                <w:iCs/>
                <w:sz w:val="22"/>
                <w:szCs w:val="22"/>
              </w:rPr>
              <w:t>4,00</w:t>
            </w:r>
          </w:p>
        </w:tc>
        <w:tc>
          <w:tcPr>
            <w:tcW w:w="2126" w:type="dxa"/>
            <w:vMerge w:val="restart"/>
          </w:tcPr>
          <w:p w14:paraId="3226DC9A" w14:textId="77777777" w:rsidR="001C08A5" w:rsidRDefault="00000000">
            <w:pPr>
              <w:rPr>
                <w:i/>
                <w:iCs/>
                <w:sz w:val="22"/>
                <w:szCs w:val="22"/>
              </w:rPr>
            </w:pPr>
            <w:r>
              <w:rPr>
                <w:i/>
                <w:iCs/>
                <w:sz w:val="22"/>
                <w:szCs w:val="22"/>
              </w:rPr>
              <w:t xml:space="preserve">Arii accesibile cumpărătorilor - se ia în considerare </w:t>
            </w:r>
            <w:r>
              <w:rPr>
                <w:b/>
                <w:i/>
                <w:iCs/>
                <w:sz w:val="22"/>
                <w:szCs w:val="22"/>
              </w:rPr>
              <w:t>2/3</w:t>
            </w:r>
            <w:r>
              <w:rPr>
                <w:i/>
                <w:iCs/>
                <w:sz w:val="22"/>
                <w:szCs w:val="22"/>
              </w:rPr>
              <w:t xml:space="preserve">  din aria accesibilă publicului (vânzare şi circulaţii)</w:t>
            </w:r>
          </w:p>
        </w:tc>
        <w:tc>
          <w:tcPr>
            <w:tcW w:w="709" w:type="dxa"/>
          </w:tcPr>
          <w:p w14:paraId="17E9CA80" w14:textId="77777777" w:rsidR="001C08A5" w:rsidRDefault="00000000">
            <w:pPr>
              <w:rPr>
                <w:i/>
                <w:iCs/>
                <w:sz w:val="22"/>
                <w:szCs w:val="22"/>
              </w:rPr>
            </w:pPr>
            <w:r>
              <w:rPr>
                <w:i/>
                <w:iCs/>
                <w:sz w:val="22"/>
                <w:szCs w:val="22"/>
              </w:rPr>
              <w:t>10</w:t>
            </w:r>
          </w:p>
        </w:tc>
        <w:tc>
          <w:tcPr>
            <w:tcW w:w="1134" w:type="dxa"/>
            <w:vMerge w:val="restart"/>
          </w:tcPr>
          <w:p w14:paraId="7F0A6012" w14:textId="77777777" w:rsidR="001C08A5" w:rsidRDefault="00000000">
            <w:pPr>
              <w:rPr>
                <w:i/>
                <w:iCs/>
                <w:sz w:val="22"/>
                <w:szCs w:val="22"/>
              </w:rPr>
            </w:pPr>
            <w:r>
              <w:rPr>
                <w:i/>
                <w:iCs/>
                <w:sz w:val="22"/>
                <w:szCs w:val="22"/>
              </w:rPr>
              <w:t>Personal de vânzare și suprave-ghere.</w:t>
            </w:r>
          </w:p>
        </w:tc>
      </w:tr>
      <w:tr w:rsidR="001C08A5" w14:paraId="31C428F3" w14:textId="77777777">
        <w:tc>
          <w:tcPr>
            <w:tcW w:w="534" w:type="dxa"/>
            <w:vMerge/>
          </w:tcPr>
          <w:p w14:paraId="4BBE9B3C" w14:textId="77777777" w:rsidR="001C08A5" w:rsidRDefault="001C08A5">
            <w:pPr>
              <w:rPr>
                <w:i/>
                <w:iCs/>
                <w:sz w:val="22"/>
                <w:szCs w:val="22"/>
              </w:rPr>
            </w:pPr>
          </w:p>
        </w:tc>
        <w:tc>
          <w:tcPr>
            <w:tcW w:w="1984" w:type="dxa"/>
            <w:vMerge/>
          </w:tcPr>
          <w:p w14:paraId="6A563B64" w14:textId="77777777" w:rsidR="001C08A5" w:rsidRDefault="001C08A5">
            <w:pPr>
              <w:rPr>
                <w:i/>
                <w:iCs/>
                <w:sz w:val="22"/>
                <w:szCs w:val="22"/>
              </w:rPr>
            </w:pPr>
          </w:p>
        </w:tc>
        <w:tc>
          <w:tcPr>
            <w:tcW w:w="2410" w:type="dxa"/>
          </w:tcPr>
          <w:p w14:paraId="09314911" w14:textId="77777777" w:rsidR="001C08A5" w:rsidRDefault="00000000">
            <w:pPr>
              <w:rPr>
                <w:i/>
                <w:iCs/>
                <w:sz w:val="22"/>
                <w:szCs w:val="22"/>
              </w:rPr>
            </w:pPr>
            <w:r>
              <w:rPr>
                <w:i/>
                <w:iCs/>
                <w:sz w:val="22"/>
                <w:szCs w:val="22"/>
              </w:rPr>
              <w:t>Subsolurile 1 şi 2, precum şi etajele 1 şi 2 (faţă de nivelul de referinţă)</w:t>
            </w:r>
          </w:p>
        </w:tc>
        <w:tc>
          <w:tcPr>
            <w:tcW w:w="709" w:type="dxa"/>
          </w:tcPr>
          <w:p w14:paraId="42CCCD91" w14:textId="77777777" w:rsidR="001C08A5" w:rsidRDefault="00000000">
            <w:pPr>
              <w:jc w:val="center"/>
              <w:rPr>
                <w:b/>
                <w:i/>
                <w:iCs/>
                <w:sz w:val="22"/>
                <w:szCs w:val="22"/>
              </w:rPr>
            </w:pPr>
            <w:r>
              <w:rPr>
                <w:b/>
                <w:i/>
                <w:iCs/>
                <w:sz w:val="22"/>
                <w:szCs w:val="22"/>
              </w:rPr>
              <w:t>5,00</w:t>
            </w:r>
          </w:p>
        </w:tc>
        <w:tc>
          <w:tcPr>
            <w:tcW w:w="2126" w:type="dxa"/>
            <w:vMerge/>
          </w:tcPr>
          <w:p w14:paraId="45F71CF3" w14:textId="77777777" w:rsidR="001C08A5" w:rsidRDefault="001C08A5">
            <w:pPr>
              <w:rPr>
                <w:i/>
                <w:iCs/>
                <w:sz w:val="22"/>
                <w:szCs w:val="22"/>
              </w:rPr>
            </w:pPr>
          </w:p>
        </w:tc>
        <w:tc>
          <w:tcPr>
            <w:tcW w:w="709" w:type="dxa"/>
          </w:tcPr>
          <w:p w14:paraId="341E77FC" w14:textId="77777777" w:rsidR="001C08A5" w:rsidRDefault="00000000">
            <w:pPr>
              <w:rPr>
                <w:i/>
                <w:iCs/>
                <w:sz w:val="22"/>
                <w:szCs w:val="22"/>
              </w:rPr>
            </w:pPr>
            <w:r>
              <w:rPr>
                <w:i/>
                <w:iCs/>
                <w:sz w:val="22"/>
                <w:szCs w:val="22"/>
              </w:rPr>
              <w:t>10</w:t>
            </w:r>
          </w:p>
        </w:tc>
        <w:tc>
          <w:tcPr>
            <w:tcW w:w="1134" w:type="dxa"/>
            <w:vMerge/>
          </w:tcPr>
          <w:p w14:paraId="0FEDD2FF" w14:textId="77777777" w:rsidR="001C08A5" w:rsidRDefault="001C08A5">
            <w:pPr>
              <w:rPr>
                <w:i/>
                <w:iCs/>
                <w:sz w:val="22"/>
                <w:szCs w:val="22"/>
              </w:rPr>
            </w:pPr>
          </w:p>
        </w:tc>
      </w:tr>
      <w:tr w:rsidR="001C08A5" w14:paraId="4003E344" w14:textId="77777777">
        <w:tc>
          <w:tcPr>
            <w:tcW w:w="534" w:type="dxa"/>
            <w:vMerge/>
          </w:tcPr>
          <w:p w14:paraId="4D63C17A" w14:textId="77777777" w:rsidR="001C08A5" w:rsidRDefault="001C08A5">
            <w:pPr>
              <w:rPr>
                <w:i/>
                <w:iCs/>
                <w:sz w:val="22"/>
                <w:szCs w:val="22"/>
              </w:rPr>
            </w:pPr>
          </w:p>
        </w:tc>
        <w:tc>
          <w:tcPr>
            <w:tcW w:w="1984" w:type="dxa"/>
            <w:vMerge/>
          </w:tcPr>
          <w:p w14:paraId="07023EF0" w14:textId="77777777" w:rsidR="001C08A5" w:rsidRDefault="001C08A5">
            <w:pPr>
              <w:rPr>
                <w:i/>
                <w:iCs/>
                <w:sz w:val="22"/>
                <w:szCs w:val="22"/>
              </w:rPr>
            </w:pPr>
          </w:p>
        </w:tc>
        <w:tc>
          <w:tcPr>
            <w:tcW w:w="2410" w:type="dxa"/>
          </w:tcPr>
          <w:p w14:paraId="7C3539F3" w14:textId="77777777" w:rsidR="001C08A5" w:rsidRDefault="00000000">
            <w:pPr>
              <w:rPr>
                <w:i/>
                <w:iCs/>
                <w:sz w:val="22"/>
                <w:szCs w:val="22"/>
              </w:rPr>
            </w:pPr>
            <w:r>
              <w:rPr>
                <w:i/>
                <w:iCs/>
                <w:sz w:val="22"/>
                <w:szCs w:val="22"/>
              </w:rPr>
              <w:t>Celelalte niveluri ale construcţiei</w:t>
            </w:r>
          </w:p>
        </w:tc>
        <w:tc>
          <w:tcPr>
            <w:tcW w:w="709" w:type="dxa"/>
          </w:tcPr>
          <w:p w14:paraId="20FD2B65" w14:textId="77777777" w:rsidR="001C08A5" w:rsidRDefault="00000000">
            <w:pPr>
              <w:jc w:val="center"/>
              <w:rPr>
                <w:b/>
                <w:i/>
                <w:iCs/>
                <w:sz w:val="22"/>
                <w:szCs w:val="22"/>
              </w:rPr>
            </w:pPr>
            <w:r>
              <w:rPr>
                <w:b/>
                <w:i/>
                <w:iCs/>
                <w:sz w:val="22"/>
                <w:szCs w:val="22"/>
              </w:rPr>
              <w:t>5,00</w:t>
            </w:r>
          </w:p>
        </w:tc>
        <w:tc>
          <w:tcPr>
            <w:tcW w:w="2126" w:type="dxa"/>
            <w:vMerge/>
          </w:tcPr>
          <w:p w14:paraId="2B768EF2" w14:textId="77777777" w:rsidR="001C08A5" w:rsidRDefault="001C08A5">
            <w:pPr>
              <w:rPr>
                <w:i/>
                <w:iCs/>
                <w:sz w:val="22"/>
                <w:szCs w:val="22"/>
              </w:rPr>
            </w:pPr>
          </w:p>
        </w:tc>
        <w:tc>
          <w:tcPr>
            <w:tcW w:w="709" w:type="dxa"/>
          </w:tcPr>
          <w:p w14:paraId="7E5697CD" w14:textId="77777777" w:rsidR="001C08A5" w:rsidRDefault="00000000">
            <w:pPr>
              <w:rPr>
                <w:i/>
                <w:iCs/>
                <w:sz w:val="22"/>
                <w:szCs w:val="22"/>
              </w:rPr>
            </w:pPr>
            <w:r>
              <w:rPr>
                <w:i/>
                <w:iCs/>
                <w:sz w:val="22"/>
                <w:szCs w:val="22"/>
              </w:rPr>
              <w:t>10</w:t>
            </w:r>
          </w:p>
        </w:tc>
        <w:tc>
          <w:tcPr>
            <w:tcW w:w="1134" w:type="dxa"/>
            <w:vMerge/>
          </w:tcPr>
          <w:p w14:paraId="5B0A9506" w14:textId="77777777" w:rsidR="001C08A5" w:rsidRDefault="001C08A5">
            <w:pPr>
              <w:rPr>
                <w:i/>
                <w:iCs/>
                <w:sz w:val="22"/>
                <w:szCs w:val="22"/>
              </w:rPr>
            </w:pPr>
          </w:p>
        </w:tc>
      </w:tr>
      <w:tr w:rsidR="001C08A5" w14:paraId="6F5DB168" w14:textId="77777777">
        <w:tc>
          <w:tcPr>
            <w:tcW w:w="534" w:type="dxa"/>
          </w:tcPr>
          <w:p w14:paraId="70328A9B" w14:textId="77777777" w:rsidR="001C08A5" w:rsidRDefault="00000000">
            <w:pPr>
              <w:rPr>
                <w:i/>
                <w:iCs/>
                <w:sz w:val="22"/>
                <w:szCs w:val="22"/>
              </w:rPr>
            </w:pPr>
            <w:r>
              <w:rPr>
                <w:i/>
                <w:iCs/>
                <w:sz w:val="22"/>
                <w:szCs w:val="22"/>
              </w:rPr>
              <w:t>2</w:t>
            </w:r>
          </w:p>
        </w:tc>
        <w:tc>
          <w:tcPr>
            <w:tcW w:w="1984" w:type="dxa"/>
          </w:tcPr>
          <w:p w14:paraId="5DFC5385" w14:textId="77777777" w:rsidR="001C08A5" w:rsidRDefault="00000000">
            <w:pPr>
              <w:rPr>
                <w:i/>
                <w:iCs/>
                <w:sz w:val="22"/>
                <w:szCs w:val="22"/>
              </w:rPr>
            </w:pPr>
            <w:r>
              <w:rPr>
                <w:i/>
                <w:iCs/>
                <w:sz w:val="22"/>
                <w:szCs w:val="22"/>
              </w:rPr>
              <w:t xml:space="preserve">Magazine,centre și complexe comerciale,galerii comerciale, hipermarketuri </w:t>
            </w:r>
            <w:r>
              <w:rPr>
                <w:rFonts w:eastAsia="Calibri"/>
                <w:bCs/>
                <w:i/>
                <w:iCs/>
                <w:sz w:val="22"/>
                <w:szCs w:val="22"/>
              </w:rPr>
              <w:t>sau</w:t>
            </w:r>
            <w:r>
              <w:rPr>
                <w:i/>
                <w:iCs/>
                <w:sz w:val="22"/>
                <w:szCs w:val="22"/>
              </w:rPr>
              <w:t xml:space="preserve"> s</w:t>
            </w:r>
            <w:r>
              <w:rPr>
                <w:rFonts w:eastAsia="Calibri"/>
                <w:i/>
                <w:iCs/>
                <w:sz w:val="22"/>
                <w:szCs w:val="22"/>
              </w:rPr>
              <w:t>upermarket</w:t>
            </w:r>
            <w:r>
              <w:rPr>
                <w:i/>
                <w:iCs/>
                <w:sz w:val="22"/>
                <w:szCs w:val="22"/>
              </w:rPr>
              <w:t xml:space="preserve">uri cu aria desfăşurată mai mare sau egala cu </w:t>
            </w:r>
            <w:r>
              <w:rPr>
                <w:b/>
                <w:i/>
                <w:iCs/>
                <w:sz w:val="22"/>
                <w:szCs w:val="22"/>
              </w:rPr>
              <w:t xml:space="preserve">500 m² și </w:t>
            </w:r>
            <w:r>
              <w:rPr>
                <w:i/>
                <w:iCs/>
                <w:sz w:val="22"/>
                <w:szCs w:val="22"/>
              </w:rPr>
              <w:t xml:space="preserve">maximum </w:t>
            </w:r>
            <w:r>
              <w:rPr>
                <w:b/>
                <w:i/>
                <w:iCs/>
                <w:sz w:val="22"/>
                <w:szCs w:val="22"/>
              </w:rPr>
              <w:t>1500 m</w:t>
            </w:r>
            <w:r>
              <w:rPr>
                <w:b/>
                <w:i/>
                <w:iCs/>
                <w:sz w:val="22"/>
                <w:szCs w:val="22"/>
                <w:vertAlign w:val="superscript"/>
              </w:rPr>
              <w:t>2</w:t>
            </w:r>
          </w:p>
        </w:tc>
        <w:tc>
          <w:tcPr>
            <w:tcW w:w="2410" w:type="dxa"/>
          </w:tcPr>
          <w:p w14:paraId="341CEEDB" w14:textId="77777777" w:rsidR="001C08A5" w:rsidRDefault="00000000">
            <w:pPr>
              <w:rPr>
                <w:i/>
                <w:iCs/>
                <w:sz w:val="22"/>
                <w:szCs w:val="22"/>
              </w:rPr>
            </w:pPr>
            <w:r>
              <w:rPr>
                <w:i/>
                <w:iCs/>
                <w:sz w:val="22"/>
                <w:szCs w:val="22"/>
              </w:rPr>
              <w:t>La orice nivel al construcţiei</w:t>
            </w:r>
          </w:p>
        </w:tc>
        <w:tc>
          <w:tcPr>
            <w:tcW w:w="709" w:type="dxa"/>
          </w:tcPr>
          <w:p w14:paraId="550423B8" w14:textId="77777777" w:rsidR="001C08A5" w:rsidRDefault="00000000">
            <w:pPr>
              <w:jc w:val="center"/>
              <w:rPr>
                <w:b/>
                <w:i/>
                <w:iCs/>
                <w:sz w:val="22"/>
                <w:szCs w:val="22"/>
              </w:rPr>
            </w:pPr>
            <w:r>
              <w:rPr>
                <w:b/>
                <w:i/>
                <w:iCs/>
                <w:sz w:val="22"/>
                <w:szCs w:val="22"/>
              </w:rPr>
              <w:t>5,00</w:t>
            </w:r>
          </w:p>
        </w:tc>
        <w:tc>
          <w:tcPr>
            <w:tcW w:w="2126" w:type="dxa"/>
          </w:tcPr>
          <w:p w14:paraId="1ADB33B8" w14:textId="77777777" w:rsidR="001C08A5" w:rsidRDefault="00000000">
            <w:pPr>
              <w:rPr>
                <w:i/>
                <w:iCs/>
                <w:sz w:val="22"/>
                <w:szCs w:val="22"/>
              </w:rPr>
            </w:pPr>
            <w:r>
              <w:rPr>
                <w:i/>
                <w:iCs/>
                <w:sz w:val="22"/>
                <w:szCs w:val="22"/>
              </w:rPr>
              <w:t xml:space="preserve">Arii accesibile cumpărătorilor - se ia în considerare </w:t>
            </w:r>
            <w:r>
              <w:rPr>
                <w:b/>
                <w:i/>
                <w:iCs/>
                <w:sz w:val="22"/>
                <w:szCs w:val="22"/>
              </w:rPr>
              <w:t>2/3</w:t>
            </w:r>
            <w:r>
              <w:rPr>
                <w:i/>
                <w:iCs/>
                <w:sz w:val="22"/>
                <w:szCs w:val="22"/>
              </w:rPr>
              <w:t xml:space="preserve">  din aria accesibilă publicului (vânzare şi circulaţii)</w:t>
            </w:r>
          </w:p>
        </w:tc>
        <w:tc>
          <w:tcPr>
            <w:tcW w:w="709" w:type="dxa"/>
          </w:tcPr>
          <w:p w14:paraId="665BE691" w14:textId="77777777" w:rsidR="001C08A5" w:rsidRDefault="00000000">
            <w:pPr>
              <w:rPr>
                <w:i/>
                <w:iCs/>
                <w:sz w:val="22"/>
                <w:szCs w:val="22"/>
              </w:rPr>
            </w:pPr>
            <w:r>
              <w:rPr>
                <w:i/>
                <w:iCs/>
                <w:sz w:val="22"/>
                <w:szCs w:val="22"/>
              </w:rPr>
              <w:t>10</w:t>
            </w:r>
          </w:p>
        </w:tc>
        <w:tc>
          <w:tcPr>
            <w:tcW w:w="1134" w:type="dxa"/>
          </w:tcPr>
          <w:p w14:paraId="6EA948E0" w14:textId="77777777" w:rsidR="001C08A5" w:rsidRDefault="00000000">
            <w:pPr>
              <w:rPr>
                <w:i/>
                <w:iCs/>
                <w:sz w:val="22"/>
                <w:szCs w:val="22"/>
              </w:rPr>
            </w:pPr>
            <w:r>
              <w:rPr>
                <w:i/>
                <w:iCs/>
                <w:sz w:val="22"/>
                <w:szCs w:val="22"/>
              </w:rPr>
              <w:t>Personal de vânzare și suprave-ghere.</w:t>
            </w:r>
          </w:p>
        </w:tc>
      </w:tr>
      <w:tr w:rsidR="001C08A5" w14:paraId="40699379" w14:textId="77777777">
        <w:tc>
          <w:tcPr>
            <w:tcW w:w="534" w:type="dxa"/>
          </w:tcPr>
          <w:p w14:paraId="786BE2AE" w14:textId="77777777" w:rsidR="001C08A5" w:rsidRDefault="00000000">
            <w:pPr>
              <w:rPr>
                <w:i/>
                <w:iCs/>
                <w:sz w:val="22"/>
                <w:szCs w:val="22"/>
              </w:rPr>
            </w:pPr>
            <w:r>
              <w:rPr>
                <w:i/>
                <w:iCs/>
                <w:sz w:val="22"/>
                <w:szCs w:val="22"/>
              </w:rPr>
              <w:lastRenderedPageBreak/>
              <w:t>3</w:t>
            </w:r>
          </w:p>
        </w:tc>
        <w:tc>
          <w:tcPr>
            <w:tcW w:w="1984" w:type="dxa"/>
          </w:tcPr>
          <w:p w14:paraId="5DE42FCF" w14:textId="77777777" w:rsidR="001C08A5" w:rsidRDefault="00000000">
            <w:pPr>
              <w:rPr>
                <w:i/>
                <w:iCs/>
                <w:sz w:val="22"/>
                <w:szCs w:val="22"/>
              </w:rPr>
            </w:pPr>
            <w:r>
              <w:rPr>
                <w:i/>
                <w:iCs/>
                <w:sz w:val="22"/>
                <w:szCs w:val="22"/>
              </w:rPr>
              <w:t xml:space="preserve">Încăperi cu diverse funcţiuni / destinaţii </w:t>
            </w:r>
          </w:p>
        </w:tc>
        <w:tc>
          <w:tcPr>
            <w:tcW w:w="7088" w:type="dxa"/>
            <w:gridSpan w:val="5"/>
          </w:tcPr>
          <w:p w14:paraId="160B091E"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2D4B5F0D" w14:textId="77777777" w:rsidR="001C08A5" w:rsidRDefault="001C08A5">
      <w:pPr>
        <w:rPr>
          <w:i/>
          <w:sz w:val="24"/>
          <w:szCs w:val="24"/>
        </w:rPr>
      </w:pPr>
    </w:p>
    <w:p w14:paraId="3F8A443F" w14:textId="77777777" w:rsidR="001C08A5" w:rsidRDefault="00000000">
      <w:pPr>
        <w:pStyle w:val="Captiontabel"/>
      </w:pPr>
      <w:bookmarkStart w:id="2309" w:name="_Toc162360076"/>
      <w:r>
        <w:t xml:space="preserve">Tabelul </w:t>
      </w:r>
      <w:r>
        <w:fldChar w:fldCharType="begin"/>
      </w:r>
      <w:r>
        <w:instrText xml:space="preserve"> SEQ Tabelul \* ARABIC </w:instrText>
      </w:r>
      <w:r>
        <w:fldChar w:fldCharType="separate"/>
      </w:r>
      <w:r>
        <w:t>26</w:t>
      </w:r>
      <w:r>
        <w:fldChar w:fldCharType="end"/>
      </w:r>
      <w:bookmarkStart w:id="2310" w:name="_Toc26958"/>
      <w:bookmarkStart w:id="2311" w:name="_Toc10404"/>
      <w:bookmarkStart w:id="2312" w:name="_Toc30732"/>
      <w:bookmarkStart w:id="2313" w:name="_Toc11864"/>
      <w:bookmarkStart w:id="2314" w:name="_Toc706"/>
      <w:bookmarkStart w:id="2315" w:name="_Toc19743"/>
      <w:bookmarkStart w:id="2316" w:name="_Toc32130"/>
      <w:bookmarkStart w:id="2317" w:name="_Toc32106"/>
      <w:bookmarkStart w:id="2318" w:name="_Toc22100"/>
      <w:bookmarkStart w:id="2319" w:name="_Toc27472"/>
      <w:bookmarkStart w:id="2320" w:name="_Toc24785"/>
      <w:bookmarkStart w:id="2321" w:name="_Toc18107"/>
      <w:bookmarkStart w:id="2322" w:name="_Toc29749"/>
      <w:bookmarkStart w:id="2323" w:name="_Toc1771"/>
      <w:bookmarkStart w:id="2324" w:name="_Toc24772"/>
      <w:bookmarkStart w:id="2325" w:name="_Toc16485"/>
      <w:bookmarkStart w:id="2326" w:name="_Toc15251"/>
      <w:bookmarkStart w:id="2327" w:name="_Toc352"/>
      <w:bookmarkStart w:id="2328" w:name="_Toc27181"/>
      <w:r>
        <w:t>: Număr minim simultan de persoane din clădiri pentru comerţ - Magazine, centre şi complexe comerciale, galerii comerciale, hipermarketuri sau supermarketuri cu aria desfăşurată mai mare sau egală cu 1500 m²</w:t>
      </w:r>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p>
    <w:p w14:paraId="36690C83" w14:textId="77777777" w:rsidR="001C08A5" w:rsidRDefault="001C08A5">
      <w:pPr>
        <w:jc w:val="both"/>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2268"/>
        <w:gridCol w:w="1705"/>
        <w:gridCol w:w="847"/>
        <w:gridCol w:w="1984"/>
        <w:gridCol w:w="709"/>
        <w:gridCol w:w="1418"/>
      </w:tblGrid>
      <w:tr w:rsidR="001C08A5" w14:paraId="5BF15E5F" w14:textId="77777777">
        <w:trPr>
          <w:tblHeader/>
        </w:trPr>
        <w:tc>
          <w:tcPr>
            <w:tcW w:w="675" w:type="dxa"/>
            <w:shd w:val="clear" w:color="auto" w:fill="BFBFBF"/>
          </w:tcPr>
          <w:p w14:paraId="7711DF71" w14:textId="77777777" w:rsidR="001C08A5" w:rsidRDefault="001C08A5">
            <w:pPr>
              <w:jc w:val="center"/>
              <w:rPr>
                <w:b/>
                <w:i/>
                <w:iCs/>
                <w:sz w:val="22"/>
                <w:szCs w:val="22"/>
              </w:rPr>
            </w:pPr>
          </w:p>
          <w:p w14:paraId="03B5FACD" w14:textId="77777777" w:rsidR="001C08A5" w:rsidRDefault="00000000">
            <w:pPr>
              <w:jc w:val="center"/>
              <w:rPr>
                <w:b/>
                <w:i/>
                <w:iCs/>
                <w:sz w:val="22"/>
                <w:szCs w:val="22"/>
              </w:rPr>
            </w:pPr>
            <w:r>
              <w:rPr>
                <w:b/>
                <w:i/>
                <w:iCs/>
                <w:sz w:val="22"/>
                <w:szCs w:val="22"/>
              </w:rPr>
              <w:t>Nr.</w:t>
            </w:r>
          </w:p>
          <w:p w14:paraId="77632A9D" w14:textId="77777777" w:rsidR="001C08A5" w:rsidRDefault="00000000">
            <w:pPr>
              <w:jc w:val="center"/>
              <w:rPr>
                <w:i/>
                <w:iCs/>
                <w:sz w:val="22"/>
                <w:szCs w:val="22"/>
              </w:rPr>
            </w:pPr>
            <w:r>
              <w:rPr>
                <w:b/>
                <w:i/>
                <w:iCs/>
                <w:sz w:val="22"/>
                <w:szCs w:val="22"/>
              </w:rPr>
              <w:t>crt.</w:t>
            </w:r>
          </w:p>
        </w:tc>
        <w:tc>
          <w:tcPr>
            <w:tcW w:w="2268" w:type="dxa"/>
            <w:shd w:val="clear" w:color="auto" w:fill="BFBFBF"/>
          </w:tcPr>
          <w:p w14:paraId="3266C651" w14:textId="77777777" w:rsidR="001C08A5" w:rsidRDefault="001C08A5">
            <w:pPr>
              <w:jc w:val="center"/>
              <w:rPr>
                <w:b/>
                <w:i/>
                <w:iCs/>
                <w:sz w:val="22"/>
                <w:szCs w:val="22"/>
              </w:rPr>
            </w:pPr>
          </w:p>
          <w:p w14:paraId="2BD2DFE1" w14:textId="77777777" w:rsidR="001C08A5" w:rsidRDefault="00000000">
            <w:pPr>
              <w:jc w:val="center"/>
              <w:rPr>
                <w:i/>
                <w:iCs/>
                <w:sz w:val="22"/>
                <w:szCs w:val="22"/>
              </w:rPr>
            </w:pPr>
            <w:r>
              <w:rPr>
                <w:b/>
                <w:i/>
                <w:iCs/>
                <w:sz w:val="22"/>
                <w:szCs w:val="22"/>
              </w:rPr>
              <w:t>Destinaţie / funcţiune</w:t>
            </w:r>
          </w:p>
        </w:tc>
        <w:tc>
          <w:tcPr>
            <w:tcW w:w="1705" w:type="dxa"/>
            <w:shd w:val="clear" w:color="auto" w:fill="BFBFBF"/>
          </w:tcPr>
          <w:p w14:paraId="53E37508" w14:textId="77777777" w:rsidR="001C08A5" w:rsidRDefault="001C08A5">
            <w:pPr>
              <w:jc w:val="center"/>
              <w:rPr>
                <w:b/>
                <w:i/>
                <w:iCs/>
                <w:sz w:val="22"/>
                <w:szCs w:val="22"/>
              </w:rPr>
            </w:pPr>
          </w:p>
          <w:p w14:paraId="580D99E2" w14:textId="77777777" w:rsidR="001C08A5" w:rsidRDefault="00000000">
            <w:pPr>
              <w:jc w:val="center"/>
              <w:rPr>
                <w:i/>
                <w:iCs/>
                <w:sz w:val="22"/>
                <w:szCs w:val="22"/>
              </w:rPr>
            </w:pPr>
            <w:r>
              <w:rPr>
                <w:b/>
                <w:i/>
                <w:iCs/>
                <w:sz w:val="22"/>
                <w:szCs w:val="22"/>
              </w:rPr>
              <w:t>Nivel de referinţă</w:t>
            </w:r>
          </w:p>
        </w:tc>
        <w:tc>
          <w:tcPr>
            <w:tcW w:w="847" w:type="dxa"/>
            <w:shd w:val="clear" w:color="auto" w:fill="BFBFBF"/>
          </w:tcPr>
          <w:p w14:paraId="1CD5551C" w14:textId="77777777" w:rsidR="001C08A5" w:rsidRDefault="001C08A5">
            <w:pPr>
              <w:jc w:val="center"/>
              <w:rPr>
                <w:b/>
                <w:i/>
                <w:iCs/>
                <w:sz w:val="22"/>
                <w:szCs w:val="22"/>
              </w:rPr>
            </w:pPr>
          </w:p>
          <w:p w14:paraId="3F2EDD20"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1984" w:type="dxa"/>
            <w:shd w:val="clear" w:color="auto" w:fill="BFBFBF"/>
          </w:tcPr>
          <w:p w14:paraId="03E5F92F" w14:textId="77777777" w:rsidR="001C08A5" w:rsidRDefault="001C08A5">
            <w:pPr>
              <w:jc w:val="center"/>
              <w:rPr>
                <w:b/>
                <w:i/>
                <w:iCs/>
                <w:sz w:val="22"/>
                <w:szCs w:val="22"/>
              </w:rPr>
            </w:pPr>
          </w:p>
          <w:p w14:paraId="28952A69" w14:textId="77777777" w:rsidR="001C08A5" w:rsidRDefault="00000000">
            <w:pPr>
              <w:jc w:val="center"/>
              <w:rPr>
                <w:b/>
                <w:i/>
                <w:iCs/>
                <w:sz w:val="22"/>
                <w:szCs w:val="22"/>
              </w:rPr>
            </w:pPr>
            <w:r>
              <w:rPr>
                <w:b/>
                <w:i/>
                <w:iCs/>
                <w:sz w:val="22"/>
                <w:szCs w:val="22"/>
              </w:rPr>
              <w:t>Destinaţia / funcţiunea ariei considerată în calcul</w:t>
            </w:r>
          </w:p>
        </w:tc>
        <w:tc>
          <w:tcPr>
            <w:tcW w:w="709" w:type="dxa"/>
            <w:shd w:val="clear" w:color="auto" w:fill="BFBFBF"/>
          </w:tcPr>
          <w:p w14:paraId="7D88C9AB" w14:textId="77777777" w:rsidR="001C08A5" w:rsidRDefault="001C08A5">
            <w:pPr>
              <w:jc w:val="center"/>
              <w:rPr>
                <w:b/>
                <w:i/>
                <w:iCs/>
                <w:sz w:val="22"/>
                <w:szCs w:val="22"/>
              </w:rPr>
            </w:pPr>
          </w:p>
          <w:p w14:paraId="03ADA8ED" w14:textId="77777777" w:rsidR="001C08A5" w:rsidRDefault="00000000">
            <w:pPr>
              <w:jc w:val="center"/>
              <w:rPr>
                <w:b/>
                <w:i/>
                <w:iCs/>
                <w:sz w:val="22"/>
                <w:szCs w:val="22"/>
              </w:rPr>
            </w:pPr>
            <w:r>
              <w:rPr>
                <w:b/>
                <w:i/>
                <w:iCs/>
                <w:sz w:val="22"/>
                <w:szCs w:val="22"/>
              </w:rPr>
              <w:t>Spor%</w:t>
            </w:r>
          </w:p>
          <w:p w14:paraId="38362CB1" w14:textId="77777777" w:rsidR="001C08A5" w:rsidRDefault="001C08A5">
            <w:pPr>
              <w:jc w:val="center"/>
              <w:rPr>
                <w:b/>
                <w:i/>
                <w:iCs/>
                <w:sz w:val="22"/>
                <w:szCs w:val="22"/>
              </w:rPr>
            </w:pPr>
          </w:p>
        </w:tc>
        <w:tc>
          <w:tcPr>
            <w:tcW w:w="1418" w:type="dxa"/>
            <w:shd w:val="clear" w:color="auto" w:fill="BFBFBF"/>
          </w:tcPr>
          <w:p w14:paraId="115D5CAB" w14:textId="77777777" w:rsidR="001C08A5" w:rsidRDefault="001C08A5">
            <w:pPr>
              <w:jc w:val="center"/>
              <w:rPr>
                <w:b/>
                <w:i/>
                <w:iCs/>
                <w:sz w:val="22"/>
                <w:szCs w:val="22"/>
              </w:rPr>
            </w:pPr>
          </w:p>
          <w:p w14:paraId="45B8C1D8" w14:textId="77777777" w:rsidR="001C08A5" w:rsidRDefault="00000000">
            <w:pPr>
              <w:jc w:val="center"/>
              <w:rPr>
                <w:b/>
                <w:i/>
                <w:iCs/>
                <w:sz w:val="22"/>
                <w:szCs w:val="22"/>
              </w:rPr>
            </w:pPr>
            <w:r>
              <w:rPr>
                <w:b/>
                <w:i/>
                <w:iCs/>
                <w:sz w:val="22"/>
                <w:szCs w:val="22"/>
              </w:rPr>
              <w:t>Personalul pentru care se acorda spor</w:t>
            </w:r>
          </w:p>
        </w:tc>
      </w:tr>
      <w:tr w:rsidR="001C08A5" w14:paraId="7E7B6FFA" w14:textId="77777777">
        <w:tc>
          <w:tcPr>
            <w:tcW w:w="675" w:type="dxa"/>
          </w:tcPr>
          <w:p w14:paraId="55BE59B9" w14:textId="77777777" w:rsidR="001C08A5" w:rsidRDefault="00000000">
            <w:pPr>
              <w:rPr>
                <w:i/>
                <w:iCs/>
                <w:sz w:val="22"/>
                <w:szCs w:val="22"/>
              </w:rPr>
            </w:pPr>
            <w:r>
              <w:rPr>
                <w:i/>
                <w:iCs/>
                <w:sz w:val="22"/>
                <w:szCs w:val="22"/>
              </w:rPr>
              <w:t>1</w:t>
            </w:r>
          </w:p>
        </w:tc>
        <w:tc>
          <w:tcPr>
            <w:tcW w:w="2268" w:type="dxa"/>
          </w:tcPr>
          <w:p w14:paraId="0284E7AD" w14:textId="77777777" w:rsidR="001C08A5" w:rsidRDefault="00000000">
            <w:pPr>
              <w:rPr>
                <w:i/>
                <w:iCs/>
                <w:sz w:val="22"/>
                <w:szCs w:val="22"/>
              </w:rPr>
            </w:pPr>
            <w:r>
              <w:rPr>
                <w:i/>
                <w:iCs/>
                <w:sz w:val="22"/>
                <w:szCs w:val="22"/>
              </w:rPr>
              <w:t>Magazine, centre și complexe comerciale, galerii comerciale, hipermarketuri, supermarketuri şi</w:t>
            </w:r>
          </w:p>
          <w:p w14:paraId="3FB886AE" w14:textId="77777777" w:rsidR="001C08A5" w:rsidRDefault="00000000">
            <w:pPr>
              <w:rPr>
                <w:i/>
                <w:iCs/>
                <w:sz w:val="22"/>
                <w:szCs w:val="22"/>
              </w:rPr>
            </w:pPr>
            <w:r>
              <w:rPr>
                <w:i/>
                <w:iCs/>
                <w:sz w:val="22"/>
                <w:szCs w:val="22"/>
              </w:rPr>
              <w:t xml:space="preserve"> mall-uri</w:t>
            </w:r>
          </w:p>
        </w:tc>
        <w:tc>
          <w:tcPr>
            <w:tcW w:w="1705" w:type="dxa"/>
            <w:vMerge w:val="restart"/>
          </w:tcPr>
          <w:p w14:paraId="251388D9" w14:textId="77777777" w:rsidR="001C08A5" w:rsidRDefault="001C08A5">
            <w:pPr>
              <w:rPr>
                <w:i/>
                <w:iCs/>
                <w:sz w:val="22"/>
                <w:szCs w:val="22"/>
              </w:rPr>
            </w:pPr>
          </w:p>
          <w:p w14:paraId="7975A9D2" w14:textId="77777777" w:rsidR="001C08A5" w:rsidRDefault="001C08A5">
            <w:pPr>
              <w:rPr>
                <w:i/>
                <w:iCs/>
                <w:sz w:val="22"/>
                <w:szCs w:val="22"/>
              </w:rPr>
            </w:pPr>
          </w:p>
          <w:p w14:paraId="3200D7F3" w14:textId="77777777" w:rsidR="001C08A5" w:rsidRDefault="001C08A5">
            <w:pPr>
              <w:rPr>
                <w:i/>
                <w:iCs/>
                <w:sz w:val="22"/>
                <w:szCs w:val="22"/>
              </w:rPr>
            </w:pPr>
          </w:p>
          <w:p w14:paraId="65694617" w14:textId="77777777" w:rsidR="001C08A5" w:rsidRDefault="001C08A5">
            <w:pPr>
              <w:rPr>
                <w:i/>
                <w:iCs/>
                <w:sz w:val="22"/>
                <w:szCs w:val="22"/>
              </w:rPr>
            </w:pPr>
          </w:p>
          <w:p w14:paraId="12B2BEC5" w14:textId="77777777" w:rsidR="001C08A5" w:rsidRDefault="001C08A5">
            <w:pPr>
              <w:rPr>
                <w:i/>
                <w:iCs/>
                <w:sz w:val="22"/>
                <w:szCs w:val="22"/>
              </w:rPr>
            </w:pPr>
          </w:p>
          <w:p w14:paraId="6E4D39F2" w14:textId="77777777" w:rsidR="001C08A5" w:rsidRDefault="001C08A5">
            <w:pPr>
              <w:rPr>
                <w:i/>
                <w:iCs/>
                <w:sz w:val="22"/>
                <w:szCs w:val="22"/>
              </w:rPr>
            </w:pPr>
          </w:p>
          <w:p w14:paraId="23B4E377" w14:textId="77777777" w:rsidR="001C08A5" w:rsidRDefault="00000000">
            <w:pPr>
              <w:rPr>
                <w:i/>
                <w:iCs/>
                <w:sz w:val="22"/>
                <w:szCs w:val="22"/>
              </w:rPr>
            </w:pPr>
            <w:r>
              <w:rPr>
                <w:i/>
                <w:iCs/>
                <w:sz w:val="22"/>
                <w:szCs w:val="22"/>
              </w:rPr>
              <w:t xml:space="preserve">La orice </w:t>
            </w:r>
          </w:p>
          <w:p w14:paraId="6D870B18" w14:textId="77777777" w:rsidR="001C08A5" w:rsidRDefault="00000000">
            <w:pPr>
              <w:rPr>
                <w:i/>
                <w:iCs/>
                <w:sz w:val="22"/>
                <w:szCs w:val="22"/>
              </w:rPr>
            </w:pPr>
            <w:r>
              <w:rPr>
                <w:i/>
                <w:iCs/>
                <w:sz w:val="22"/>
                <w:szCs w:val="22"/>
              </w:rPr>
              <w:t>nivel al construcţiei</w:t>
            </w:r>
          </w:p>
        </w:tc>
        <w:tc>
          <w:tcPr>
            <w:tcW w:w="847" w:type="dxa"/>
          </w:tcPr>
          <w:p w14:paraId="70C180C4" w14:textId="77777777" w:rsidR="001C08A5" w:rsidRDefault="00000000">
            <w:pPr>
              <w:jc w:val="center"/>
              <w:rPr>
                <w:b/>
                <w:i/>
                <w:iCs/>
                <w:sz w:val="22"/>
                <w:szCs w:val="22"/>
              </w:rPr>
            </w:pPr>
            <w:r>
              <w:rPr>
                <w:b/>
                <w:i/>
                <w:iCs/>
                <w:sz w:val="22"/>
                <w:szCs w:val="22"/>
              </w:rPr>
              <w:t xml:space="preserve">5,00 </w:t>
            </w:r>
          </w:p>
        </w:tc>
        <w:tc>
          <w:tcPr>
            <w:tcW w:w="1984" w:type="dxa"/>
            <w:vMerge w:val="restart"/>
          </w:tcPr>
          <w:p w14:paraId="4A75D284" w14:textId="77777777" w:rsidR="001C08A5" w:rsidRDefault="001C08A5">
            <w:pPr>
              <w:rPr>
                <w:i/>
                <w:iCs/>
                <w:sz w:val="22"/>
                <w:szCs w:val="22"/>
              </w:rPr>
            </w:pPr>
          </w:p>
          <w:p w14:paraId="251A00C6" w14:textId="77777777" w:rsidR="001C08A5" w:rsidRDefault="001C08A5">
            <w:pPr>
              <w:rPr>
                <w:i/>
                <w:iCs/>
                <w:sz w:val="22"/>
                <w:szCs w:val="22"/>
              </w:rPr>
            </w:pPr>
          </w:p>
          <w:p w14:paraId="719C7834" w14:textId="77777777" w:rsidR="001C08A5" w:rsidRDefault="001C08A5">
            <w:pPr>
              <w:rPr>
                <w:i/>
                <w:iCs/>
                <w:sz w:val="22"/>
                <w:szCs w:val="22"/>
              </w:rPr>
            </w:pPr>
          </w:p>
          <w:p w14:paraId="1ABC5FA6" w14:textId="77777777" w:rsidR="001C08A5" w:rsidRDefault="00000000">
            <w:pPr>
              <w:rPr>
                <w:i/>
                <w:iCs/>
                <w:sz w:val="22"/>
                <w:szCs w:val="22"/>
              </w:rPr>
            </w:pPr>
            <w:r>
              <w:rPr>
                <w:i/>
                <w:iCs/>
                <w:sz w:val="22"/>
                <w:szCs w:val="22"/>
              </w:rPr>
              <w:t xml:space="preserve">Arii accesibile cumpărătorilor - se ia în considerare </w:t>
            </w:r>
            <w:r>
              <w:rPr>
                <w:b/>
                <w:i/>
                <w:iCs/>
                <w:sz w:val="22"/>
                <w:szCs w:val="22"/>
              </w:rPr>
              <w:t>2/3</w:t>
            </w:r>
            <w:r>
              <w:rPr>
                <w:i/>
                <w:iCs/>
                <w:sz w:val="22"/>
                <w:szCs w:val="22"/>
              </w:rPr>
              <w:t xml:space="preserve">  din aria accesibilă publicului (vânzare şi circulaţii)</w:t>
            </w:r>
          </w:p>
        </w:tc>
        <w:tc>
          <w:tcPr>
            <w:tcW w:w="709" w:type="dxa"/>
          </w:tcPr>
          <w:p w14:paraId="47AE276A" w14:textId="77777777" w:rsidR="001C08A5" w:rsidRDefault="00000000">
            <w:pPr>
              <w:rPr>
                <w:i/>
                <w:iCs/>
                <w:sz w:val="22"/>
                <w:szCs w:val="22"/>
              </w:rPr>
            </w:pPr>
            <w:r>
              <w:rPr>
                <w:i/>
                <w:iCs/>
                <w:sz w:val="22"/>
                <w:szCs w:val="22"/>
              </w:rPr>
              <w:t>10</w:t>
            </w:r>
          </w:p>
        </w:tc>
        <w:tc>
          <w:tcPr>
            <w:tcW w:w="1418" w:type="dxa"/>
            <w:vMerge w:val="restart"/>
          </w:tcPr>
          <w:p w14:paraId="7F2AEB9D" w14:textId="77777777" w:rsidR="001C08A5" w:rsidRDefault="001C08A5">
            <w:pPr>
              <w:rPr>
                <w:i/>
                <w:iCs/>
                <w:sz w:val="22"/>
                <w:szCs w:val="22"/>
              </w:rPr>
            </w:pPr>
          </w:p>
          <w:p w14:paraId="2C9DEBA2" w14:textId="77777777" w:rsidR="001C08A5" w:rsidRDefault="001C08A5">
            <w:pPr>
              <w:rPr>
                <w:i/>
                <w:iCs/>
                <w:sz w:val="22"/>
                <w:szCs w:val="22"/>
              </w:rPr>
            </w:pPr>
          </w:p>
          <w:p w14:paraId="41657A98" w14:textId="77777777" w:rsidR="001C08A5" w:rsidRDefault="001C08A5">
            <w:pPr>
              <w:rPr>
                <w:i/>
                <w:iCs/>
                <w:sz w:val="22"/>
                <w:szCs w:val="22"/>
              </w:rPr>
            </w:pPr>
          </w:p>
          <w:p w14:paraId="6D1D03C4" w14:textId="77777777" w:rsidR="001C08A5" w:rsidRDefault="001C08A5">
            <w:pPr>
              <w:rPr>
                <w:i/>
                <w:iCs/>
                <w:sz w:val="22"/>
                <w:szCs w:val="22"/>
              </w:rPr>
            </w:pPr>
          </w:p>
          <w:p w14:paraId="0D265B49" w14:textId="77777777" w:rsidR="001C08A5" w:rsidRDefault="001C08A5">
            <w:pPr>
              <w:rPr>
                <w:i/>
                <w:iCs/>
                <w:sz w:val="22"/>
                <w:szCs w:val="22"/>
              </w:rPr>
            </w:pPr>
          </w:p>
          <w:p w14:paraId="1388B459" w14:textId="77777777" w:rsidR="001C08A5" w:rsidRDefault="00000000">
            <w:pPr>
              <w:rPr>
                <w:i/>
                <w:iCs/>
                <w:sz w:val="22"/>
                <w:szCs w:val="22"/>
              </w:rPr>
            </w:pPr>
            <w:r>
              <w:rPr>
                <w:i/>
                <w:iCs/>
                <w:sz w:val="22"/>
                <w:szCs w:val="22"/>
              </w:rPr>
              <w:t>Personal de vânzare și suprave-ghere.</w:t>
            </w:r>
          </w:p>
        </w:tc>
      </w:tr>
      <w:tr w:rsidR="001C08A5" w14:paraId="19E35AE8" w14:textId="77777777">
        <w:tc>
          <w:tcPr>
            <w:tcW w:w="675" w:type="dxa"/>
          </w:tcPr>
          <w:p w14:paraId="6083CC1E" w14:textId="77777777" w:rsidR="001C08A5" w:rsidRDefault="00000000">
            <w:pPr>
              <w:rPr>
                <w:i/>
                <w:iCs/>
                <w:sz w:val="22"/>
                <w:szCs w:val="22"/>
              </w:rPr>
            </w:pPr>
            <w:r>
              <w:rPr>
                <w:i/>
                <w:iCs/>
                <w:sz w:val="22"/>
                <w:szCs w:val="22"/>
              </w:rPr>
              <w:t>2</w:t>
            </w:r>
          </w:p>
        </w:tc>
        <w:tc>
          <w:tcPr>
            <w:tcW w:w="2268" w:type="dxa"/>
          </w:tcPr>
          <w:p w14:paraId="3B3A964E" w14:textId="77777777" w:rsidR="001C08A5" w:rsidRDefault="00000000">
            <w:pPr>
              <w:rPr>
                <w:i/>
                <w:iCs/>
                <w:sz w:val="22"/>
                <w:szCs w:val="22"/>
              </w:rPr>
            </w:pPr>
            <w:r>
              <w:rPr>
                <w:bCs/>
                <w:i/>
                <w:iCs/>
                <w:sz w:val="22"/>
                <w:szCs w:val="22"/>
              </w:rPr>
              <w:t>Cash &amp; Carry</w:t>
            </w:r>
          </w:p>
        </w:tc>
        <w:tc>
          <w:tcPr>
            <w:tcW w:w="1705" w:type="dxa"/>
            <w:vMerge/>
          </w:tcPr>
          <w:p w14:paraId="51A50E65" w14:textId="77777777" w:rsidR="001C08A5" w:rsidRDefault="001C08A5">
            <w:pPr>
              <w:rPr>
                <w:i/>
                <w:iCs/>
                <w:sz w:val="22"/>
                <w:szCs w:val="22"/>
              </w:rPr>
            </w:pPr>
          </w:p>
        </w:tc>
        <w:tc>
          <w:tcPr>
            <w:tcW w:w="847" w:type="dxa"/>
          </w:tcPr>
          <w:p w14:paraId="44260D49" w14:textId="77777777" w:rsidR="001C08A5" w:rsidRDefault="00000000">
            <w:pPr>
              <w:jc w:val="center"/>
              <w:rPr>
                <w:b/>
                <w:i/>
                <w:iCs/>
                <w:sz w:val="22"/>
                <w:szCs w:val="22"/>
              </w:rPr>
            </w:pPr>
            <w:r>
              <w:rPr>
                <w:b/>
                <w:i/>
                <w:iCs/>
                <w:sz w:val="22"/>
                <w:szCs w:val="22"/>
              </w:rPr>
              <w:t>10,00</w:t>
            </w:r>
          </w:p>
        </w:tc>
        <w:tc>
          <w:tcPr>
            <w:tcW w:w="1984" w:type="dxa"/>
            <w:vMerge/>
          </w:tcPr>
          <w:p w14:paraId="02D88623" w14:textId="77777777" w:rsidR="001C08A5" w:rsidRDefault="001C08A5">
            <w:pPr>
              <w:rPr>
                <w:i/>
                <w:iCs/>
                <w:sz w:val="22"/>
                <w:szCs w:val="22"/>
              </w:rPr>
            </w:pPr>
          </w:p>
        </w:tc>
        <w:tc>
          <w:tcPr>
            <w:tcW w:w="709" w:type="dxa"/>
          </w:tcPr>
          <w:p w14:paraId="479E8D4F" w14:textId="77777777" w:rsidR="001C08A5" w:rsidRDefault="00000000">
            <w:pPr>
              <w:rPr>
                <w:i/>
                <w:iCs/>
                <w:sz w:val="22"/>
                <w:szCs w:val="22"/>
              </w:rPr>
            </w:pPr>
            <w:r>
              <w:rPr>
                <w:i/>
                <w:iCs/>
                <w:sz w:val="22"/>
                <w:szCs w:val="22"/>
              </w:rPr>
              <w:t>10</w:t>
            </w:r>
          </w:p>
        </w:tc>
        <w:tc>
          <w:tcPr>
            <w:tcW w:w="1418" w:type="dxa"/>
            <w:vMerge/>
          </w:tcPr>
          <w:p w14:paraId="289FEA11" w14:textId="77777777" w:rsidR="001C08A5" w:rsidRDefault="001C08A5">
            <w:pPr>
              <w:rPr>
                <w:i/>
                <w:iCs/>
                <w:sz w:val="22"/>
                <w:szCs w:val="22"/>
              </w:rPr>
            </w:pPr>
          </w:p>
        </w:tc>
      </w:tr>
      <w:tr w:rsidR="001C08A5" w14:paraId="13B57853" w14:textId="77777777">
        <w:tc>
          <w:tcPr>
            <w:tcW w:w="675" w:type="dxa"/>
          </w:tcPr>
          <w:p w14:paraId="422329C2" w14:textId="77777777" w:rsidR="001C08A5" w:rsidRDefault="00000000">
            <w:pPr>
              <w:rPr>
                <w:i/>
                <w:iCs/>
                <w:sz w:val="22"/>
                <w:szCs w:val="22"/>
              </w:rPr>
            </w:pPr>
            <w:r>
              <w:rPr>
                <w:i/>
                <w:iCs/>
                <w:sz w:val="22"/>
                <w:szCs w:val="22"/>
              </w:rPr>
              <w:t>3</w:t>
            </w:r>
          </w:p>
        </w:tc>
        <w:tc>
          <w:tcPr>
            <w:tcW w:w="2268" w:type="dxa"/>
          </w:tcPr>
          <w:p w14:paraId="5A05C926" w14:textId="77777777" w:rsidR="001C08A5" w:rsidRDefault="00000000">
            <w:pPr>
              <w:rPr>
                <w:i/>
                <w:iCs/>
                <w:sz w:val="22"/>
                <w:szCs w:val="22"/>
              </w:rPr>
            </w:pPr>
            <w:bookmarkStart w:id="2329" w:name="_Hlk151757199"/>
            <w:r>
              <w:rPr>
                <w:bCs/>
                <w:i/>
                <w:iCs/>
                <w:sz w:val="22"/>
                <w:szCs w:val="22"/>
              </w:rPr>
              <w:t>DIY (de bricolaj)</w:t>
            </w:r>
            <w:bookmarkEnd w:id="2329"/>
          </w:p>
        </w:tc>
        <w:tc>
          <w:tcPr>
            <w:tcW w:w="1705" w:type="dxa"/>
            <w:vMerge/>
          </w:tcPr>
          <w:p w14:paraId="2B029032" w14:textId="77777777" w:rsidR="001C08A5" w:rsidRDefault="001C08A5">
            <w:pPr>
              <w:rPr>
                <w:i/>
                <w:iCs/>
                <w:sz w:val="22"/>
                <w:szCs w:val="22"/>
              </w:rPr>
            </w:pPr>
          </w:p>
        </w:tc>
        <w:tc>
          <w:tcPr>
            <w:tcW w:w="847" w:type="dxa"/>
          </w:tcPr>
          <w:p w14:paraId="1C629C64" w14:textId="77777777" w:rsidR="001C08A5" w:rsidRDefault="00000000">
            <w:pPr>
              <w:jc w:val="center"/>
              <w:rPr>
                <w:b/>
                <w:i/>
                <w:iCs/>
                <w:sz w:val="22"/>
                <w:szCs w:val="22"/>
              </w:rPr>
            </w:pPr>
            <w:r>
              <w:rPr>
                <w:b/>
                <w:i/>
                <w:iCs/>
                <w:sz w:val="22"/>
                <w:szCs w:val="22"/>
              </w:rPr>
              <w:t>12,00</w:t>
            </w:r>
          </w:p>
        </w:tc>
        <w:tc>
          <w:tcPr>
            <w:tcW w:w="1984" w:type="dxa"/>
            <w:vMerge/>
          </w:tcPr>
          <w:p w14:paraId="0E167416" w14:textId="77777777" w:rsidR="001C08A5" w:rsidRDefault="001C08A5">
            <w:pPr>
              <w:rPr>
                <w:i/>
                <w:iCs/>
                <w:sz w:val="22"/>
                <w:szCs w:val="22"/>
              </w:rPr>
            </w:pPr>
          </w:p>
        </w:tc>
        <w:tc>
          <w:tcPr>
            <w:tcW w:w="709" w:type="dxa"/>
          </w:tcPr>
          <w:p w14:paraId="0E70159C" w14:textId="77777777" w:rsidR="001C08A5" w:rsidRDefault="00000000">
            <w:pPr>
              <w:rPr>
                <w:i/>
                <w:iCs/>
                <w:sz w:val="22"/>
                <w:szCs w:val="22"/>
              </w:rPr>
            </w:pPr>
            <w:r>
              <w:rPr>
                <w:i/>
                <w:iCs/>
                <w:sz w:val="22"/>
                <w:szCs w:val="22"/>
              </w:rPr>
              <w:t>10</w:t>
            </w:r>
          </w:p>
        </w:tc>
        <w:tc>
          <w:tcPr>
            <w:tcW w:w="1418" w:type="dxa"/>
            <w:vMerge/>
          </w:tcPr>
          <w:p w14:paraId="7CF9BC30" w14:textId="77777777" w:rsidR="001C08A5" w:rsidRDefault="001C08A5">
            <w:pPr>
              <w:rPr>
                <w:i/>
                <w:iCs/>
                <w:sz w:val="22"/>
                <w:szCs w:val="22"/>
              </w:rPr>
            </w:pPr>
          </w:p>
        </w:tc>
      </w:tr>
      <w:tr w:rsidR="001C08A5" w14:paraId="3D716CEB" w14:textId="77777777">
        <w:trPr>
          <w:trHeight w:val="1150"/>
        </w:trPr>
        <w:tc>
          <w:tcPr>
            <w:tcW w:w="675" w:type="dxa"/>
          </w:tcPr>
          <w:p w14:paraId="33D5B76F" w14:textId="77777777" w:rsidR="001C08A5" w:rsidRDefault="00000000">
            <w:pPr>
              <w:rPr>
                <w:i/>
                <w:iCs/>
                <w:sz w:val="22"/>
                <w:szCs w:val="22"/>
              </w:rPr>
            </w:pPr>
            <w:r>
              <w:rPr>
                <w:i/>
                <w:iCs/>
                <w:sz w:val="22"/>
                <w:szCs w:val="22"/>
              </w:rPr>
              <w:t>4</w:t>
            </w:r>
          </w:p>
        </w:tc>
        <w:tc>
          <w:tcPr>
            <w:tcW w:w="2268" w:type="dxa"/>
          </w:tcPr>
          <w:p w14:paraId="28EAE867" w14:textId="77777777" w:rsidR="001C08A5" w:rsidRDefault="00000000">
            <w:pPr>
              <w:rPr>
                <w:i/>
                <w:iCs/>
                <w:sz w:val="22"/>
                <w:szCs w:val="22"/>
              </w:rPr>
            </w:pPr>
            <w:r>
              <w:rPr>
                <w:bCs/>
                <w:i/>
                <w:iCs/>
                <w:sz w:val="22"/>
                <w:szCs w:val="22"/>
              </w:rPr>
              <w:t>Magazin specializat (mobilier, electrocasnice etc.)</w:t>
            </w:r>
          </w:p>
        </w:tc>
        <w:tc>
          <w:tcPr>
            <w:tcW w:w="1705" w:type="dxa"/>
            <w:vMerge/>
          </w:tcPr>
          <w:p w14:paraId="56E29168" w14:textId="77777777" w:rsidR="001C08A5" w:rsidRDefault="001C08A5">
            <w:pPr>
              <w:rPr>
                <w:i/>
                <w:iCs/>
                <w:sz w:val="22"/>
                <w:szCs w:val="22"/>
              </w:rPr>
            </w:pPr>
          </w:p>
        </w:tc>
        <w:tc>
          <w:tcPr>
            <w:tcW w:w="847" w:type="dxa"/>
          </w:tcPr>
          <w:p w14:paraId="4CF12264" w14:textId="77777777" w:rsidR="001C08A5" w:rsidRDefault="00000000">
            <w:pPr>
              <w:jc w:val="center"/>
              <w:rPr>
                <w:b/>
                <w:i/>
                <w:iCs/>
                <w:sz w:val="22"/>
                <w:szCs w:val="22"/>
              </w:rPr>
            </w:pPr>
            <w:r>
              <w:rPr>
                <w:b/>
                <w:i/>
                <w:iCs/>
                <w:sz w:val="22"/>
                <w:szCs w:val="22"/>
              </w:rPr>
              <w:t>8,00</w:t>
            </w:r>
          </w:p>
        </w:tc>
        <w:tc>
          <w:tcPr>
            <w:tcW w:w="1984" w:type="dxa"/>
            <w:vMerge/>
          </w:tcPr>
          <w:p w14:paraId="59C12779" w14:textId="77777777" w:rsidR="001C08A5" w:rsidRDefault="001C08A5">
            <w:pPr>
              <w:rPr>
                <w:i/>
                <w:iCs/>
                <w:sz w:val="22"/>
                <w:szCs w:val="22"/>
              </w:rPr>
            </w:pPr>
          </w:p>
        </w:tc>
        <w:tc>
          <w:tcPr>
            <w:tcW w:w="709" w:type="dxa"/>
          </w:tcPr>
          <w:p w14:paraId="6214424B" w14:textId="77777777" w:rsidR="001C08A5" w:rsidRDefault="00000000">
            <w:pPr>
              <w:rPr>
                <w:i/>
                <w:iCs/>
                <w:sz w:val="22"/>
                <w:szCs w:val="22"/>
              </w:rPr>
            </w:pPr>
            <w:r>
              <w:rPr>
                <w:i/>
                <w:iCs/>
                <w:sz w:val="22"/>
                <w:szCs w:val="22"/>
              </w:rPr>
              <w:t>10</w:t>
            </w:r>
          </w:p>
        </w:tc>
        <w:tc>
          <w:tcPr>
            <w:tcW w:w="1418" w:type="dxa"/>
            <w:vMerge/>
          </w:tcPr>
          <w:p w14:paraId="3E402252" w14:textId="77777777" w:rsidR="001C08A5" w:rsidRDefault="001C08A5">
            <w:pPr>
              <w:rPr>
                <w:i/>
                <w:iCs/>
                <w:sz w:val="22"/>
                <w:szCs w:val="22"/>
              </w:rPr>
            </w:pPr>
          </w:p>
        </w:tc>
      </w:tr>
    </w:tbl>
    <w:p w14:paraId="436C5800" w14:textId="77777777" w:rsidR="001C08A5" w:rsidRDefault="00000000">
      <w:pPr>
        <w:rPr>
          <w:i/>
          <w:sz w:val="22"/>
          <w:szCs w:val="22"/>
        </w:rPr>
      </w:pPr>
      <w:r>
        <w:rPr>
          <w:i/>
          <w:sz w:val="22"/>
          <w:szCs w:val="22"/>
          <w:u w:val="single"/>
        </w:rPr>
        <w:t>Notă</w:t>
      </w:r>
      <w:r>
        <w:rPr>
          <w:i/>
          <w:sz w:val="22"/>
          <w:szCs w:val="22"/>
        </w:rPr>
        <w:t>:</w:t>
      </w:r>
    </w:p>
    <w:p w14:paraId="2E78CFAB" w14:textId="77777777" w:rsidR="001C08A5" w:rsidRDefault="00000000">
      <w:pPr>
        <w:jc w:val="both"/>
        <w:rPr>
          <w:i/>
          <w:sz w:val="24"/>
          <w:szCs w:val="24"/>
        </w:rPr>
      </w:pPr>
      <w:r>
        <w:rPr>
          <w:i/>
          <w:sz w:val="22"/>
          <w:szCs w:val="22"/>
        </w:rPr>
        <w:t xml:space="preserve">Alternativ celor stipulate la nr. crt. </w:t>
      </w:r>
      <w:r>
        <w:rPr>
          <w:b/>
          <w:bCs/>
          <w:i/>
          <w:sz w:val="22"/>
          <w:szCs w:val="22"/>
        </w:rPr>
        <w:t>1</w:t>
      </w:r>
      <w:r>
        <w:rPr>
          <w:i/>
          <w:sz w:val="22"/>
          <w:szCs w:val="22"/>
        </w:rPr>
        <w:t xml:space="preserve">, </w:t>
      </w:r>
      <w:r>
        <w:rPr>
          <w:b/>
          <w:bCs/>
          <w:i/>
          <w:sz w:val="22"/>
          <w:szCs w:val="22"/>
        </w:rPr>
        <w:t>2</w:t>
      </w:r>
      <w:r>
        <w:rPr>
          <w:i/>
          <w:sz w:val="22"/>
          <w:szCs w:val="22"/>
        </w:rPr>
        <w:t xml:space="preserve"> sau </w:t>
      </w:r>
      <w:r>
        <w:rPr>
          <w:b/>
          <w:bCs/>
          <w:i/>
          <w:sz w:val="22"/>
          <w:szCs w:val="22"/>
        </w:rPr>
        <w:t>3</w:t>
      </w:r>
      <w:r>
        <w:rPr>
          <w:i/>
          <w:sz w:val="22"/>
          <w:szCs w:val="22"/>
        </w:rPr>
        <w:t xml:space="preserve"> pentru magazine, centre şi complexe comerciale, galerii comerciale, hipermarketuri, supermarketuri şi mall-uri, </w:t>
      </w:r>
      <w:r>
        <w:rPr>
          <w:bCs/>
          <w:i/>
          <w:iCs/>
          <w:sz w:val="22"/>
          <w:szCs w:val="22"/>
        </w:rPr>
        <w:t xml:space="preserve">Cash &amp; Carry sau DIY (de bricolaj), </w:t>
      </w:r>
      <w:r>
        <w:rPr>
          <w:i/>
          <w:sz w:val="22"/>
          <w:szCs w:val="22"/>
        </w:rPr>
        <w:t xml:space="preserve">se poate considera că aria care îi revine unei persoane este de </w:t>
      </w:r>
      <w:r>
        <w:rPr>
          <w:b/>
          <w:i/>
          <w:sz w:val="22"/>
          <w:szCs w:val="22"/>
        </w:rPr>
        <w:t xml:space="preserve">4 </w:t>
      </w:r>
      <w:r>
        <w:rPr>
          <w:b/>
          <w:bCs/>
          <w:i/>
          <w:sz w:val="22"/>
          <w:szCs w:val="22"/>
        </w:rPr>
        <w:t>m</w:t>
      </w:r>
      <w:r>
        <w:rPr>
          <w:b/>
          <w:bCs/>
          <w:i/>
          <w:sz w:val="22"/>
          <w:szCs w:val="22"/>
          <w:vertAlign w:val="superscript"/>
        </w:rPr>
        <w:t>2</w:t>
      </w:r>
      <w:r>
        <w:rPr>
          <w:i/>
          <w:sz w:val="22"/>
          <w:szCs w:val="22"/>
          <w:vertAlign w:val="superscript"/>
        </w:rPr>
        <w:t xml:space="preserve"> </w:t>
      </w:r>
      <w:r>
        <w:rPr>
          <w:i/>
          <w:sz w:val="22"/>
          <w:szCs w:val="22"/>
        </w:rPr>
        <w:t>din aria accesibilă cumpărătorilor.</w:t>
      </w:r>
    </w:p>
    <w:p w14:paraId="6BC39A87" w14:textId="77777777" w:rsidR="001C08A5" w:rsidRDefault="001C08A5">
      <w:pPr>
        <w:rPr>
          <w:sz w:val="24"/>
          <w:szCs w:val="24"/>
          <w:u w:val="single"/>
        </w:rPr>
      </w:pPr>
    </w:p>
    <w:p w14:paraId="4A0C0ADA" w14:textId="77777777" w:rsidR="001C08A5" w:rsidRDefault="00000000">
      <w:pPr>
        <w:pStyle w:val="Captiontabel"/>
      </w:pPr>
      <w:bookmarkStart w:id="2330" w:name="_Toc162360077"/>
      <w:r>
        <w:t xml:space="preserve">Tabelul </w:t>
      </w:r>
      <w:r>
        <w:fldChar w:fldCharType="begin"/>
      </w:r>
      <w:r>
        <w:instrText xml:space="preserve"> SEQ Tabelul \* ARABIC </w:instrText>
      </w:r>
      <w:r>
        <w:fldChar w:fldCharType="separate"/>
      </w:r>
      <w:r>
        <w:t>27</w:t>
      </w:r>
      <w:r>
        <w:fldChar w:fldCharType="end"/>
      </w:r>
      <w:bookmarkStart w:id="2331" w:name="_Toc8474"/>
      <w:bookmarkStart w:id="2332" w:name="_Toc1898"/>
      <w:bookmarkStart w:id="2333" w:name="_Toc8510"/>
      <w:bookmarkStart w:id="2334" w:name="_Toc24980"/>
      <w:bookmarkStart w:id="2335" w:name="_Toc13836"/>
      <w:bookmarkStart w:id="2336" w:name="_Toc4912"/>
      <w:bookmarkStart w:id="2337" w:name="_Toc27883"/>
      <w:bookmarkStart w:id="2338" w:name="_Toc2348"/>
      <w:bookmarkStart w:id="2339" w:name="_Toc22135"/>
      <w:bookmarkStart w:id="2340" w:name="_Toc24708"/>
      <w:bookmarkStart w:id="2341" w:name="_Toc2022"/>
      <w:bookmarkStart w:id="2342" w:name="_Toc9860"/>
      <w:bookmarkStart w:id="2343" w:name="_Toc6845"/>
      <w:bookmarkStart w:id="2344" w:name="_Toc948"/>
      <w:bookmarkStart w:id="2345" w:name="_Toc23806"/>
      <w:bookmarkStart w:id="2346" w:name="_Toc22891"/>
      <w:bookmarkStart w:id="2347" w:name="_Toc32260"/>
      <w:bookmarkStart w:id="2348" w:name="_Toc970"/>
      <w:bookmarkStart w:id="2349" w:name="_Toc18772"/>
      <w:r>
        <w:t>: Număr minim simultan de persoane din clădiri pentru comerţ - alimentaţie publică</w:t>
      </w:r>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p>
    <w:p w14:paraId="4B0936EB" w14:textId="77777777" w:rsidR="001C08A5" w:rsidRDefault="001C08A5">
      <w:pPr>
        <w:pStyle w:val="BodyText"/>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2835"/>
        <w:gridCol w:w="1276"/>
        <w:gridCol w:w="851"/>
        <w:gridCol w:w="1842"/>
        <w:gridCol w:w="709"/>
        <w:gridCol w:w="1418"/>
      </w:tblGrid>
      <w:tr w:rsidR="001C08A5" w14:paraId="66526DB3" w14:textId="77777777">
        <w:trPr>
          <w:tblHeader/>
        </w:trPr>
        <w:tc>
          <w:tcPr>
            <w:tcW w:w="675" w:type="dxa"/>
            <w:shd w:val="clear" w:color="auto" w:fill="BFBFBF"/>
            <w:vAlign w:val="center"/>
          </w:tcPr>
          <w:p w14:paraId="3B8CBA86" w14:textId="77777777" w:rsidR="001C08A5" w:rsidRDefault="00000000">
            <w:pPr>
              <w:jc w:val="center"/>
              <w:rPr>
                <w:b/>
                <w:i/>
                <w:iCs/>
                <w:sz w:val="22"/>
                <w:szCs w:val="22"/>
              </w:rPr>
            </w:pPr>
            <w:r>
              <w:rPr>
                <w:b/>
                <w:i/>
                <w:iCs/>
                <w:sz w:val="22"/>
                <w:szCs w:val="22"/>
              </w:rPr>
              <w:t>Nr.</w:t>
            </w:r>
          </w:p>
          <w:p w14:paraId="20DC88C3" w14:textId="77777777" w:rsidR="001C08A5" w:rsidRDefault="00000000">
            <w:pPr>
              <w:jc w:val="center"/>
              <w:rPr>
                <w:i/>
                <w:iCs/>
                <w:sz w:val="22"/>
                <w:szCs w:val="22"/>
              </w:rPr>
            </w:pPr>
            <w:r>
              <w:rPr>
                <w:b/>
                <w:i/>
                <w:iCs/>
                <w:sz w:val="22"/>
                <w:szCs w:val="22"/>
              </w:rPr>
              <w:t>crt.</w:t>
            </w:r>
          </w:p>
        </w:tc>
        <w:tc>
          <w:tcPr>
            <w:tcW w:w="2835" w:type="dxa"/>
            <w:shd w:val="clear" w:color="auto" w:fill="BFBFBF"/>
            <w:vAlign w:val="center"/>
          </w:tcPr>
          <w:p w14:paraId="477771C3" w14:textId="77777777" w:rsidR="001C08A5" w:rsidRDefault="00000000">
            <w:pPr>
              <w:jc w:val="center"/>
              <w:rPr>
                <w:i/>
                <w:iCs/>
                <w:sz w:val="22"/>
                <w:szCs w:val="22"/>
              </w:rPr>
            </w:pPr>
            <w:r>
              <w:rPr>
                <w:b/>
                <w:i/>
                <w:iCs/>
                <w:sz w:val="22"/>
                <w:szCs w:val="22"/>
              </w:rPr>
              <w:t>Destinaţie / funcţiune</w:t>
            </w:r>
          </w:p>
        </w:tc>
        <w:tc>
          <w:tcPr>
            <w:tcW w:w="1276" w:type="dxa"/>
            <w:shd w:val="clear" w:color="auto" w:fill="BFBFBF"/>
            <w:vAlign w:val="center"/>
          </w:tcPr>
          <w:p w14:paraId="4C542646" w14:textId="77777777" w:rsidR="001C08A5" w:rsidRDefault="00000000">
            <w:pPr>
              <w:jc w:val="center"/>
              <w:rPr>
                <w:i/>
                <w:iCs/>
                <w:sz w:val="22"/>
                <w:szCs w:val="22"/>
              </w:rPr>
            </w:pPr>
            <w:r>
              <w:rPr>
                <w:b/>
                <w:i/>
                <w:iCs/>
                <w:sz w:val="22"/>
                <w:szCs w:val="22"/>
              </w:rPr>
              <w:t>Nivel de referinţă</w:t>
            </w:r>
          </w:p>
        </w:tc>
        <w:tc>
          <w:tcPr>
            <w:tcW w:w="851" w:type="dxa"/>
            <w:shd w:val="clear" w:color="auto" w:fill="BFBFBF"/>
            <w:vAlign w:val="center"/>
          </w:tcPr>
          <w:p w14:paraId="534D1C80"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1842" w:type="dxa"/>
            <w:shd w:val="clear" w:color="auto" w:fill="BFBFBF"/>
            <w:vAlign w:val="center"/>
          </w:tcPr>
          <w:p w14:paraId="504B48DE" w14:textId="77777777" w:rsidR="001C08A5" w:rsidRDefault="00000000">
            <w:pPr>
              <w:jc w:val="center"/>
              <w:rPr>
                <w:b/>
                <w:i/>
                <w:iCs/>
                <w:sz w:val="22"/>
                <w:szCs w:val="22"/>
              </w:rPr>
            </w:pPr>
            <w:r>
              <w:rPr>
                <w:b/>
                <w:i/>
                <w:iCs/>
                <w:sz w:val="22"/>
                <w:szCs w:val="22"/>
              </w:rPr>
              <w:t>Destinaţia / funcţiunea ariei considerată în calcul</w:t>
            </w:r>
          </w:p>
        </w:tc>
        <w:tc>
          <w:tcPr>
            <w:tcW w:w="709" w:type="dxa"/>
            <w:shd w:val="clear" w:color="auto" w:fill="BFBFBF"/>
            <w:vAlign w:val="center"/>
          </w:tcPr>
          <w:p w14:paraId="73375BD7" w14:textId="77777777" w:rsidR="001C08A5" w:rsidRDefault="00000000">
            <w:pPr>
              <w:jc w:val="center"/>
              <w:rPr>
                <w:b/>
                <w:i/>
                <w:iCs/>
                <w:sz w:val="22"/>
                <w:szCs w:val="22"/>
              </w:rPr>
            </w:pPr>
            <w:r>
              <w:rPr>
                <w:b/>
                <w:i/>
                <w:iCs/>
                <w:sz w:val="22"/>
                <w:szCs w:val="22"/>
              </w:rPr>
              <w:t>Spor%</w:t>
            </w:r>
          </w:p>
          <w:p w14:paraId="2DCB363A" w14:textId="77777777" w:rsidR="001C08A5" w:rsidRDefault="001C08A5">
            <w:pPr>
              <w:jc w:val="center"/>
              <w:rPr>
                <w:b/>
                <w:i/>
                <w:iCs/>
                <w:sz w:val="22"/>
                <w:szCs w:val="22"/>
              </w:rPr>
            </w:pPr>
          </w:p>
        </w:tc>
        <w:tc>
          <w:tcPr>
            <w:tcW w:w="1418" w:type="dxa"/>
            <w:shd w:val="clear" w:color="auto" w:fill="BFBFBF"/>
            <w:vAlign w:val="center"/>
          </w:tcPr>
          <w:p w14:paraId="67EC10EE" w14:textId="77777777" w:rsidR="001C08A5" w:rsidRDefault="00000000">
            <w:pPr>
              <w:jc w:val="center"/>
              <w:rPr>
                <w:b/>
                <w:i/>
                <w:iCs/>
                <w:sz w:val="22"/>
                <w:szCs w:val="22"/>
              </w:rPr>
            </w:pPr>
            <w:r>
              <w:rPr>
                <w:b/>
                <w:i/>
                <w:iCs/>
                <w:sz w:val="22"/>
                <w:szCs w:val="22"/>
              </w:rPr>
              <w:t>Personal pentru care se acordă spor</w:t>
            </w:r>
          </w:p>
        </w:tc>
      </w:tr>
      <w:tr w:rsidR="001C08A5" w14:paraId="1B46BE07" w14:textId="77777777">
        <w:tc>
          <w:tcPr>
            <w:tcW w:w="675" w:type="dxa"/>
          </w:tcPr>
          <w:p w14:paraId="034753CF" w14:textId="77777777" w:rsidR="001C08A5" w:rsidRDefault="00000000">
            <w:pPr>
              <w:rPr>
                <w:i/>
                <w:iCs/>
                <w:sz w:val="22"/>
                <w:szCs w:val="22"/>
              </w:rPr>
            </w:pPr>
            <w:r>
              <w:rPr>
                <w:i/>
                <w:iCs/>
                <w:sz w:val="22"/>
                <w:szCs w:val="22"/>
              </w:rPr>
              <w:t>1</w:t>
            </w:r>
          </w:p>
        </w:tc>
        <w:tc>
          <w:tcPr>
            <w:tcW w:w="2835" w:type="dxa"/>
          </w:tcPr>
          <w:p w14:paraId="6266CF44" w14:textId="77777777" w:rsidR="001C08A5" w:rsidRDefault="00000000">
            <w:pPr>
              <w:rPr>
                <w:i/>
                <w:iCs/>
                <w:sz w:val="22"/>
                <w:szCs w:val="22"/>
              </w:rPr>
            </w:pPr>
            <w:r>
              <w:rPr>
                <w:i/>
                <w:iCs/>
                <w:sz w:val="22"/>
                <w:szCs w:val="22"/>
              </w:rPr>
              <w:t>Club și similarecu aceeași funcțiujne</w:t>
            </w:r>
          </w:p>
        </w:tc>
        <w:tc>
          <w:tcPr>
            <w:tcW w:w="1276" w:type="dxa"/>
            <w:vMerge w:val="restart"/>
          </w:tcPr>
          <w:p w14:paraId="1D2A3DD9" w14:textId="77777777" w:rsidR="001C08A5" w:rsidRDefault="001C08A5">
            <w:pPr>
              <w:rPr>
                <w:i/>
                <w:iCs/>
                <w:sz w:val="22"/>
                <w:szCs w:val="22"/>
              </w:rPr>
            </w:pPr>
          </w:p>
          <w:p w14:paraId="789365A7" w14:textId="77777777" w:rsidR="001C08A5" w:rsidRDefault="001C08A5">
            <w:pPr>
              <w:rPr>
                <w:i/>
                <w:iCs/>
                <w:sz w:val="22"/>
                <w:szCs w:val="22"/>
              </w:rPr>
            </w:pPr>
          </w:p>
          <w:p w14:paraId="49AF9DDF" w14:textId="77777777" w:rsidR="001C08A5" w:rsidRDefault="001C08A5">
            <w:pPr>
              <w:rPr>
                <w:i/>
                <w:iCs/>
                <w:sz w:val="22"/>
                <w:szCs w:val="22"/>
              </w:rPr>
            </w:pPr>
          </w:p>
          <w:p w14:paraId="7148448F" w14:textId="77777777" w:rsidR="001C08A5" w:rsidRDefault="00000000">
            <w:pPr>
              <w:rPr>
                <w:i/>
                <w:iCs/>
                <w:sz w:val="22"/>
                <w:szCs w:val="22"/>
              </w:rPr>
            </w:pPr>
            <w:r>
              <w:rPr>
                <w:i/>
                <w:iCs/>
                <w:sz w:val="22"/>
                <w:szCs w:val="22"/>
              </w:rPr>
              <w:t xml:space="preserve">La orice </w:t>
            </w:r>
          </w:p>
          <w:p w14:paraId="7C7B05E6" w14:textId="77777777" w:rsidR="001C08A5" w:rsidRDefault="00000000">
            <w:pPr>
              <w:rPr>
                <w:i/>
                <w:iCs/>
                <w:sz w:val="22"/>
                <w:szCs w:val="22"/>
              </w:rPr>
            </w:pPr>
            <w:r>
              <w:rPr>
                <w:i/>
                <w:iCs/>
                <w:sz w:val="22"/>
                <w:szCs w:val="22"/>
              </w:rPr>
              <w:t>nivel al construcţiei</w:t>
            </w:r>
          </w:p>
        </w:tc>
        <w:tc>
          <w:tcPr>
            <w:tcW w:w="851" w:type="dxa"/>
          </w:tcPr>
          <w:p w14:paraId="169E54C0" w14:textId="77777777" w:rsidR="001C08A5" w:rsidRDefault="00000000">
            <w:pPr>
              <w:jc w:val="center"/>
              <w:rPr>
                <w:b/>
                <w:i/>
                <w:iCs/>
                <w:sz w:val="22"/>
                <w:szCs w:val="22"/>
              </w:rPr>
            </w:pPr>
            <w:r>
              <w:rPr>
                <w:b/>
                <w:i/>
                <w:iCs/>
                <w:sz w:val="22"/>
                <w:szCs w:val="22"/>
              </w:rPr>
              <w:t>0,50</w:t>
            </w:r>
          </w:p>
        </w:tc>
        <w:tc>
          <w:tcPr>
            <w:tcW w:w="1842" w:type="dxa"/>
            <w:vMerge w:val="restart"/>
          </w:tcPr>
          <w:p w14:paraId="5325F788" w14:textId="77777777" w:rsidR="001C08A5" w:rsidRDefault="001C08A5">
            <w:pPr>
              <w:rPr>
                <w:i/>
                <w:iCs/>
                <w:sz w:val="22"/>
                <w:szCs w:val="22"/>
              </w:rPr>
            </w:pPr>
          </w:p>
          <w:p w14:paraId="7295F591" w14:textId="77777777" w:rsidR="001C08A5" w:rsidRDefault="001C08A5">
            <w:pPr>
              <w:rPr>
                <w:i/>
                <w:iCs/>
                <w:sz w:val="22"/>
                <w:szCs w:val="22"/>
              </w:rPr>
            </w:pPr>
          </w:p>
          <w:p w14:paraId="7DFAC1B8" w14:textId="77777777" w:rsidR="001C08A5" w:rsidRDefault="001C08A5">
            <w:pPr>
              <w:rPr>
                <w:i/>
                <w:iCs/>
                <w:sz w:val="22"/>
                <w:szCs w:val="22"/>
              </w:rPr>
            </w:pPr>
          </w:p>
          <w:p w14:paraId="17E6AE67" w14:textId="77777777" w:rsidR="001C08A5" w:rsidRDefault="00000000">
            <w:pPr>
              <w:rPr>
                <w:i/>
                <w:iCs/>
                <w:sz w:val="22"/>
                <w:szCs w:val="22"/>
              </w:rPr>
            </w:pPr>
            <w:r>
              <w:rPr>
                <w:i/>
                <w:iCs/>
                <w:sz w:val="22"/>
                <w:szCs w:val="22"/>
              </w:rPr>
              <w:t>Arii accesibile publicului - se ia în considerare aria utilă totală accesibilă publicului (vânzare şi circulaţii).</w:t>
            </w:r>
          </w:p>
        </w:tc>
        <w:tc>
          <w:tcPr>
            <w:tcW w:w="709" w:type="dxa"/>
          </w:tcPr>
          <w:p w14:paraId="07BD50F4" w14:textId="77777777" w:rsidR="001C08A5" w:rsidRDefault="00000000">
            <w:pPr>
              <w:rPr>
                <w:i/>
                <w:iCs/>
                <w:sz w:val="22"/>
                <w:szCs w:val="22"/>
              </w:rPr>
            </w:pPr>
            <w:r>
              <w:rPr>
                <w:i/>
                <w:iCs/>
                <w:sz w:val="22"/>
                <w:szCs w:val="22"/>
              </w:rPr>
              <w:t>10</w:t>
            </w:r>
          </w:p>
        </w:tc>
        <w:tc>
          <w:tcPr>
            <w:tcW w:w="1418" w:type="dxa"/>
            <w:vMerge w:val="restart"/>
          </w:tcPr>
          <w:p w14:paraId="04D76893" w14:textId="77777777" w:rsidR="001C08A5" w:rsidRDefault="001C08A5">
            <w:pPr>
              <w:rPr>
                <w:i/>
                <w:iCs/>
                <w:sz w:val="22"/>
                <w:szCs w:val="22"/>
              </w:rPr>
            </w:pPr>
          </w:p>
          <w:p w14:paraId="56D39143" w14:textId="77777777" w:rsidR="001C08A5" w:rsidRDefault="001C08A5">
            <w:pPr>
              <w:rPr>
                <w:i/>
                <w:iCs/>
                <w:sz w:val="22"/>
                <w:szCs w:val="22"/>
              </w:rPr>
            </w:pPr>
          </w:p>
          <w:p w14:paraId="0D78AA95" w14:textId="77777777" w:rsidR="001C08A5" w:rsidRDefault="001C08A5">
            <w:pPr>
              <w:rPr>
                <w:i/>
                <w:iCs/>
                <w:sz w:val="22"/>
                <w:szCs w:val="22"/>
              </w:rPr>
            </w:pPr>
          </w:p>
          <w:p w14:paraId="6934D78A" w14:textId="77777777" w:rsidR="001C08A5" w:rsidRDefault="001C08A5">
            <w:pPr>
              <w:rPr>
                <w:i/>
                <w:iCs/>
                <w:sz w:val="22"/>
                <w:szCs w:val="22"/>
              </w:rPr>
            </w:pPr>
          </w:p>
          <w:p w14:paraId="2B3DB8ED" w14:textId="77777777" w:rsidR="001C08A5" w:rsidRDefault="001C08A5">
            <w:pPr>
              <w:rPr>
                <w:i/>
                <w:iCs/>
                <w:sz w:val="22"/>
                <w:szCs w:val="22"/>
              </w:rPr>
            </w:pPr>
          </w:p>
          <w:p w14:paraId="79EC363C" w14:textId="77777777" w:rsidR="001C08A5" w:rsidRDefault="001C08A5">
            <w:pPr>
              <w:rPr>
                <w:i/>
                <w:iCs/>
                <w:sz w:val="22"/>
                <w:szCs w:val="22"/>
              </w:rPr>
            </w:pPr>
          </w:p>
          <w:p w14:paraId="75E98957" w14:textId="77777777" w:rsidR="001C08A5" w:rsidRDefault="00000000">
            <w:pPr>
              <w:rPr>
                <w:i/>
                <w:iCs/>
                <w:sz w:val="22"/>
                <w:szCs w:val="22"/>
              </w:rPr>
            </w:pPr>
            <w:r>
              <w:rPr>
                <w:i/>
                <w:iCs/>
                <w:sz w:val="22"/>
                <w:szCs w:val="22"/>
              </w:rPr>
              <w:t>Personal de deservire.</w:t>
            </w:r>
          </w:p>
        </w:tc>
      </w:tr>
      <w:tr w:rsidR="001C08A5" w14:paraId="44CF16D1" w14:textId="77777777">
        <w:tc>
          <w:tcPr>
            <w:tcW w:w="675" w:type="dxa"/>
          </w:tcPr>
          <w:p w14:paraId="03F4C9EB" w14:textId="77777777" w:rsidR="001C08A5" w:rsidRDefault="00000000">
            <w:pPr>
              <w:rPr>
                <w:i/>
                <w:iCs/>
                <w:sz w:val="22"/>
                <w:szCs w:val="22"/>
              </w:rPr>
            </w:pPr>
            <w:r>
              <w:rPr>
                <w:i/>
                <w:iCs/>
                <w:sz w:val="22"/>
                <w:szCs w:val="22"/>
              </w:rPr>
              <w:t>2</w:t>
            </w:r>
          </w:p>
        </w:tc>
        <w:tc>
          <w:tcPr>
            <w:tcW w:w="2835" w:type="dxa"/>
          </w:tcPr>
          <w:p w14:paraId="60F2F8C3" w14:textId="77777777" w:rsidR="001C08A5" w:rsidRDefault="00000000">
            <w:pPr>
              <w:rPr>
                <w:i/>
                <w:iCs/>
                <w:sz w:val="22"/>
                <w:szCs w:val="22"/>
              </w:rPr>
            </w:pPr>
            <w:r>
              <w:rPr>
                <w:i/>
                <w:iCs/>
                <w:sz w:val="22"/>
                <w:szCs w:val="22"/>
              </w:rPr>
              <w:t xml:space="preserve">Bar, </w:t>
            </w:r>
            <w:r>
              <w:rPr>
                <w:i/>
                <w:iCs/>
                <w:sz w:val="22"/>
                <w:szCs w:val="22"/>
                <w:lang w:eastAsia="ro-RO"/>
              </w:rPr>
              <w:t xml:space="preserve">bodegă, berărie, cofetărie, bufet, patiserie, braserie, pub, cafenea, </w:t>
            </w:r>
            <w:r>
              <w:rPr>
                <w:bCs/>
                <w:i/>
                <w:iCs/>
                <w:sz w:val="22"/>
                <w:szCs w:val="22"/>
                <w:lang w:eastAsia="ro-RO"/>
              </w:rPr>
              <w:t xml:space="preserve">cafe - bar, bistro, snack – bar, </w:t>
            </w:r>
            <w:r>
              <w:rPr>
                <w:i/>
                <w:iCs/>
                <w:sz w:val="22"/>
                <w:szCs w:val="22"/>
                <w:lang w:eastAsia="ro-RO"/>
              </w:rPr>
              <w:t>etc.</w:t>
            </w:r>
          </w:p>
        </w:tc>
        <w:tc>
          <w:tcPr>
            <w:tcW w:w="1276" w:type="dxa"/>
            <w:vMerge/>
          </w:tcPr>
          <w:p w14:paraId="643E3A1D" w14:textId="77777777" w:rsidR="001C08A5" w:rsidRDefault="001C08A5">
            <w:pPr>
              <w:rPr>
                <w:i/>
                <w:iCs/>
                <w:sz w:val="22"/>
                <w:szCs w:val="22"/>
              </w:rPr>
            </w:pPr>
          </w:p>
        </w:tc>
        <w:tc>
          <w:tcPr>
            <w:tcW w:w="851" w:type="dxa"/>
          </w:tcPr>
          <w:p w14:paraId="42484C3E" w14:textId="77777777" w:rsidR="001C08A5" w:rsidRDefault="00000000">
            <w:pPr>
              <w:jc w:val="center"/>
              <w:rPr>
                <w:b/>
                <w:i/>
                <w:iCs/>
                <w:sz w:val="22"/>
                <w:szCs w:val="22"/>
              </w:rPr>
            </w:pPr>
            <w:r>
              <w:rPr>
                <w:b/>
                <w:i/>
                <w:iCs/>
                <w:sz w:val="22"/>
                <w:szCs w:val="22"/>
              </w:rPr>
              <w:t>4,50</w:t>
            </w:r>
          </w:p>
        </w:tc>
        <w:tc>
          <w:tcPr>
            <w:tcW w:w="1842" w:type="dxa"/>
            <w:vMerge/>
          </w:tcPr>
          <w:p w14:paraId="6AA1BAF7" w14:textId="77777777" w:rsidR="001C08A5" w:rsidRDefault="001C08A5">
            <w:pPr>
              <w:rPr>
                <w:i/>
                <w:iCs/>
                <w:sz w:val="22"/>
                <w:szCs w:val="22"/>
              </w:rPr>
            </w:pPr>
          </w:p>
        </w:tc>
        <w:tc>
          <w:tcPr>
            <w:tcW w:w="709" w:type="dxa"/>
          </w:tcPr>
          <w:p w14:paraId="598E8AC4" w14:textId="77777777" w:rsidR="001C08A5" w:rsidRDefault="00000000">
            <w:pPr>
              <w:rPr>
                <w:i/>
                <w:iCs/>
                <w:sz w:val="22"/>
                <w:szCs w:val="22"/>
              </w:rPr>
            </w:pPr>
            <w:r>
              <w:rPr>
                <w:i/>
                <w:iCs/>
                <w:sz w:val="22"/>
                <w:szCs w:val="22"/>
              </w:rPr>
              <w:t>10</w:t>
            </w:r>
          </w:p>
        </w:tc>
        <w:tc>
          <w:tcPr>
            <w:tcW w:w="1418" w:type="dxa"/>
            <w:vMerge/>
          </w:tcPr>
          <w:p w14:paraId="4C6E76C4" w14:textId="77777777" w:rsidR="001C08A5" w:rsidRDefault="001C08A5">
            <w:pPr>
              <w:rPr>
                <w:i/>
                <w:iCs/>
                <w:sz w:val="22"/>
                <w:szCs w:val="22"/>
              </w:rPr>
            </w:pPr>
          </w:p>
        </w:tc>
      </w:tr>
      <w:tr w:rsidR="001C08A5" w14:paraId="6CBC42FD" w14:textId="77777777">
        <w:tc>
          <w:tcPr>
            <w:tcW w:w="675" w:type="dxa"/>
          </w:tcPr>
          <w:p w14:paraId="57AB330E" w14:textId="77777777" w:rsidR="001C08A5" w:rsidRDefault="00000000">
            <w:pPr>
              <w:rPr>
                <w:i/>
                <w:iCs/>
                <w:sz w:val="22"/>
                <w:szCs w:val="22"/>
              </w:rPr>
            </w:pPr>
            <w:r>
              <w:rPr>
                <w:i/>
                <w:iCs/>
                <w:sz w:val="22"/>
                <w:szCs w:val="22"/>
              </w:rPr>
              <w:t>3</w:t>
            </w:r>
          </w:p>
        </w:tc>
        <w:tc>
          <w:tcPr>
            <w:tcW w:w="2835" w:type="dxa"/>
          </w:tcPr>
          <w:p w14:paraId="5DD285D6" w14:textId="77777777" w:rsidR="001C08A5" w:rsidRDefault="00000000">
            <w:pPr>
              <w:rPr>
                <w:i/>
                <w:iCs/>
                <w:sz w:val="22"/>
                <w:szCs w:val="22"/>
              </w:rPr>
            </w:pPr>
            <w:r>
              <w:rPr>
                <w:i/>
                <w:iCs/>
                <w:sz w:val="22"/>
                <w:szCs w:val="22"/>
              </w:rPr>
              <w:t>Discotecă / ring de dans, cabaret, bar american, etc.</w:t>
            </w:r>
          </w:p>
        </w:tc>
        <w:tc>
          <w:tcPr>
            <w:tcW w:w="1276" w:type="dxa"/>
            <w:vMerge/>
          </w:tcPr>
          <w:p w14:paraId="70655634" w14:textId="77777777" w:rsidR="001C08A5" w:rsidRDefault="001C08A5">
            <w:pPr>
              <w:rPr>
                <w:i/>
                <w:iCs/>
                <w:sz w:val="22"/>
                <w:szCs w:val="22"/>
              </w:rPr>
            </w:pPr>
          </w:p>
        </w:tc>
        <w:tc>
          <w:tcPr>
            <w:tcW w:w="851" w:type="dxa"/>
          </w:tcPr>
          <w:p w14:paraId="7AA90591" w14:textId="77777777" w:rsidR="001C08A5" w:rsidRDefault="00000000">
            <w:pPr>
              <w:jc w:val="center"/>
              <w:rPr>
                <w:b/>
                <w:i/>
                <w:iCs/>
                <w:sz w:val="22"/>
                <w:szCs w:val="22"/>
              </w:rPr>
            </w:pPr>
            <w:r>
              <w:rPr>
                <w:b/>
                <w:i/>
                <w:iCs/>
                <w:sz w:val="22"/>
                <w:szCs w:val="22"/>
              </w:rPr>
              <w:t xml:space="preserve">0,50/ 0,75 </w:t>
            </w:r>
          </w:p>
        </w:tc>
        <w:tc>
          <w:tcPr>
            <w:tcW w:w="1842" w:type="dxa"/>
            <w:vMerge/>
          </w:tcPr>
          <w:p w14:paraId="41479578" w14:textId="77777777" w:rsidR="001C08A5" w:rsidRDefault="001C08A5">
            <w:pPr>
              <w:rPr>
                <w:i/>
                <w:iCs/>
                <w:sz w:val="22"/>
                <w:szCs w:val="22"/>
              </w:rPr>
            </w:pPr>
          </w:p>
        </w:tc>
        <w:tc>
          <w:tcPr>
            <w:tcW w:w="709" w:type="dxa"/>
          </w:tcPr>
          <w:p w14:paraId="723DF7EE" w14:textId="77777777" w:rsidR="001C08A5" w:rsidRDefault="00000000">
            <w:pPr>
              <w:rPr>
                <w:i/>
                <w:iCs/>
                <w:sz w:val="22"/>
                <w:szCs w:val="22"/>
              </w:rPr>
            </w:pPr>
            <w:r>
              <w:rPr>
                <w:i/>
                <w:iCs/>
                <w:sz w:val="22"/>
                <w:szCs w:val="22"/>
              </w:rPr>
              <w:t>10</w:t>
            </w:r>
          </w:p>
        </w:tc>
        <w:tc>
          <w:tcPr>
            <w:tcW w:w="1418" w:type="dxa"/>
            <w:vMerge/>
          </w:tcPr>
          <w:p w14:paraId="4E5D4F69" w14:textId="77777777" w:rsidR="001C08A5" w:rsidRDefault="001C08A5">
            <w:pPr>
              <w:rPr>
                <w:i/>
                <w:iCs/>
                <w:sz w:val="22"/>
                <w:szCs w:val="22"/>
              </w:rPr>
            </w:pPr>
          </w:p>
        </w:tc>
      </w:tr>
      <w:tr w:rsidR="001C08A5" w14:paraId="6E134B97" w14:textId="77777777">
        <w:trPr>
          <w:trHeight w:val="1243"/>
        </w:trPr>
        <w:tc>
          <w:tcPr>
            <w:tcW w:w="675" w:type="dxa"/>
          </w:tcPr>
          <w:p w14:paraId="0D62C791" w14:textId="77777777" w:rsidR="001C08A5" w:rsidRDefault="00000000">
            <w:pPr>
              <w:rPr>
                <w:i/>
                <w:iCs/>
                <w:sz w:val="22"/>
                <w:szCs w:val="22"/>
              </w:rPr>
            </w:pPr>
            <w:r>
              <w:rPr>
                <w:i/>
                <w:iCs/>
                <w:sz w:val="22"/>
                <w:szCs w:val="22"/>
              </w:rPr>
              <w:t>4</w:t>
            </w:r>
          </w:p>
        </w:tc>
        <w:tc>
          <w:tcPr>
            <w:tcW w:w="2835" w:type="dxa"/>
          </w:tcPr>
          <w:p w14:paraId="218ECFA2" w14:textId="77777777" w:rsidR="001C08A5" w:rsidRDefault="00000000">
            <w:pPr>
              <w:rPr>
                <w:i/>
                <w:iCs/>
                <w:sz w:val="22"/>
                <w:szCs w:val="22"/>
              </w:rPr>
            </w:pPr>
            <w:r>
              <w:rPr>
                <w:i/>
                <w:iCs/>
                <w:sz w:val="22"/>
                <w:szCs w:val="22"/>
              </w:rPr>
              <w:t xml:space="preserve">Restaurant, </w:t>
            </w:r>
            <w:r>
              <w:rPr>
                <w:i/>
                <w:iCs/>
                <w:sz w:val="22"/>
                <w:szCs w:val="22"/>
                <w:lang w:eastAsia="ro-RO"/>
              </w:rPr>
              <w:t xml:space="preserve">cantină-restaurant, fast-food, </w:t>
            </w:r>
            <w:r>
              <w:rPr>
                <w:bCs/>
                <w:i/>
                <w:iCs/>
                <w:sz w:val="22"/>
                <w:szCs w:val="22"/>
                <w:lang w:eastAsia="ro-RO"/>
              </w:rPr>
              <w:t xml:space="preserve">restaurant - autoservire, </w:t>
            </w:r>
            <w:r>
              <w:rPr>
                <w:i/>
                <w:iCs/>
                <w:sz w:val="22"/>
                <w:szCs w:val="22"/>
              </w:rPr>
              <w:t>sala de mese, sală de evenimente, cantină</w:t>
            </w:r>
            <w:r>
              <w:rPr>
                <w:i/>
                <w:iCs/>
                <w:sz w:val="22"/>
                <w:szCs w:val="22"/>
                <w:lang w:eastAsia="ro-RO"/>
              </w:rPr>
              <w:t xml:space="preserve"> etc</w:t>
            </w:r>
          </w:p>
        </w:tc>
        <w:tc>
          <w:tcPr>
            <w:tcW w:w="1276" w:type="dxa"/>
            <w:vMerge/>
          </w:tcPr>
          <w:p w14:paraId="7EC0380A" w14:textId="77777777" w:rsidR="001C08A5" w:rsidRDefault="001C08A5">
            <w:pPr>
              <w:rPr>
                <w:i/>
                <w:iCs/>
                <w:sz w:val="22"/>
                <w:szCs w:val="22"/>
              </w:rPr>
            </w:pPr>
          </w:p>
        </w:tc>
        <w:tc>
          <w:tcPr>
            <w:tcW w:w="851" w:type="dxa"/>
          </w:tcPr>
          <w:p w14:paraId="2F32CEB2" w14:textId="77777777" w:rsidR="001C08A5" w:rsidRDefault="00000000">
            <w:pPr>
              <w:jc w:val="center"/>
              <w:rPr>
                <w:b/>
                <w:i/>
                <w:iCs/>
                <w:sz w:val="22"/>
                <w:szCs w:val="22"/>
              </w:rPr>
            </w:pPr>
            <w:r>
              <w:rPr>
                <w:b/>
                <w:i/>
                <w:iCs/>
                <w:sz w:val="22"/>
                <w:szCs w:val="22"/>
              </w:rPr>
              <w:t>4,50</w:t>
            </w:r>
          </w:p>
        </w:tc>
        <w:tc>
          <w:tcPr>
            <w:tcW w:w="1842" w:type="dxa"/>
            <w:vMerge/>
          </w:tcPr>
          <w:p w14:paraId="4B304E44" w14:textId="77777777" w:rsidR="001C08A5" w:rsidRDefault="001C08A5">
            <w:pPr>
              <w:rPr>
                <w:i/>
                <w:iCs/>
                <w:sz w:val="22"/>
                <w:szCs w:val="22"/>
              </w:rPr>
            </w:pPr>
          </w:p>
        </w:tc>
        <w:tc>
          <w:tcPr>
            <w:tcW w:w="709" w:type="dxa"/>
          </w:tcPr>
          <w:p w14:paraId="17376B1C" w14:textId="77777777" w:rsidR="001C08A5" w:rsidRDefault="00000000">
            <w:pPr>
              <w:rPr>
                <w:i/>
                <w:iCs/>
                <w:sz w:val="22"/>
                <w:szCs w:val="22"/>
              </w:rPr>
            </w:pPr>
            <w:r>
              <w:rPr>
                <w:i/>
                <w:iCs/>
                <w:sz w:val="22"/>
                <w:szCs w:val="22"/>
              </w:rPr>
              <w:t>10</w:t>
            </w:r>
          </w:p>
        </w:tc>
        <w:tc>
          <w:tcPr>
            <w:tcW w:w="1418" w:type="dxa"/>
            <w:vMerge/>
          </w:tcPr>
          <w:p w14:paraId="4414D3EF" w14:textId="77777777" w:rsidR="001C08A5" w:rsidRDefault="001C08A5">
            <w:pPr>
              <w:rPr>
                <w:i/>
                <w:iCs/>
                <w:sz w:val="22"/>
                <w:szCs w:val="22"/>
              </w:rPr>
            </w:pPr>
          </w:p>
        </w:tc>
      </w:tr>
    </w:tbl>
    <w:p w14:paraId="7547E2E7" w14:textId="77777777" w:rsidR="001C08A5" w:rsidRDefault="00000000">
      <w:pPr>
        <w:jc w:val="both"/>
        <w:rPr>
          <w:i/>
          <w:sz w:val="22"/>
          <w:szCs w:val="22"/>
        </w:rPr>
      </w:pPr>
      <w:r>
        <w:rPr>
          <w:i/>
          <w:sz w:val="22"/>
          <w:szCs w:val="22"/>
        </w:rPr>
        <w:t xml:space="preserve">Notă: </w:t>
      </w:r>
    </w:p>
    <w:p w14:paraId="61D8AC48" w14:textId="77777777" w:rsidR="001C08A5" w:rsidRDefault="00000000">
      <w:pPr>
        <w:jc w:val="both"/>
        <w:rPr>
          <w:i/>
          <w:sz w:val="22"/>
          <w:szCs w:val="22"/>
        </w:rPr>
      </w:pPr>
      <w:r>
        <w:rPr>
          <w:i/>
          <w:sz w:val="22"/>
          <w:szCs w:val="22"/>
        </w:rPr>
        <w:lastRenderedPageBreak/>
        <w:t>Numarul de persoane poate fi determinat și prin mobilarea propusă, dar valorile din tabel sunt minimale și obligatorii.</w:t>
      </w:r>
    </w:p>
    <w:p w14:paraId="50562371" w14:textId="77777777" w:rsidR="001C08A5" w:rsidRDefault="001C08A5">
      <w:pPr>
        <w:rPr>
          <w:b/>
          <w:sz w:val="24"/>
          <w:szCs w:val="24"/>
        </w:rPr>
      </w:pPr>
    </w:p>
    <w:p w14:paraId="139A855D" w14:textId="77777777" w:rsidR="001C08A5" w:rsidRDefault="00000000">
      <w:pPr>
        <w:pStyle w:val="Captiontabel"/>
      </w:pPr>
      <w:bookmarkStart w:id="2350" w:name="_Toc162360078"/>
      <w:r>
        <w:t xml:space="preserve">Tabelul </w:t>
      </w:r>
      <w:r>
        <w:fldChar w:fldCharType="begin"/>
      </w:r>
      <w:r>
        <w:instrText xml:space="preserve"> SEQ Tabelul \* ARABIC </w:instrText>
      </w:r>
      <w:r>
        <w:fldChar w:fldCharType="separate"/>
      </w:r>
      <w:r>
        <w:t>28</w:t>
      </w:r>
      <w:r>
        <w:fldChar w:fldCharType="end"/>
      </w:r>
      <w:bookmarkStart w:id="2351" w:name="_Toc6064"/>
      <w:bookmarkStart w:id="2352" w:name="_Toc16108"/>
      <w:bookmarkStart w:id="2353" w:name="_Toc29673"/>
      <w:bookmarkStart w:id="2354" w:name="_Toc20122"/>
      <w:bookmarkStart w:id="2355" w:name="_Toc20562"/>
      <w:bookmarkStart w:id="2356" w:name="_Toc30631"/>
      <w:bookmarkStart w:id="2357" w:name="_Toc24489"/>
      <w:bookmarkStart w:id="2358" w:name="_Toc26372"/>
      <w:bookmarkStart w:id="2359" w:name="_Toc25252"/>
      <w:bookmarkStart w:id="2360" w:name="_Toc24357"/>
      <w:bookmarkStart w:id="2361" w:name="_Toc19675"/>
      <w:bookmarkStart w:id="2362" w:name="_Toc4357"/>
      <w:bookmarkStart w:id="2363" w:name="_Toc18855"/>
      <w:bookmarkStart w:id="2364" w:name="_Toc1778"/>
      <w:bookmarkStart w:id="2365" w:name="_Toc20934"/>
      <w:bookmarkStart w:id="2366" w:name="_Toc17561"/>
      <w:bookmarkStart w:id="2367" w:name="_Toc174"/>
      <w:bookmarkStart w:id="2368" w:name="_Toc4483"/>
      <w:bookmarkStart w:id="2369" w:name="_Toc6907"/>
      <w:r>
        <w:t>: Număr minim simultan de persoane din clădiri pentru comerţ - alte spaţii pentru comerţ</w:t>
      </w:r>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p>
    <w:p w14:paraId="29FAF610" w14:textId="77777777" w:rsidR="001C08A5" w:rsidRDefault="001C08A5">
      <w:pPr>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062"/>
        <w:gridCol w:w="1049"/>
        <w:gridCol w:w="851"/>
        <w:gridCol w:w="1842"/>
        <w:gridCol w:w="709"/>
        <w:gridCol w:w="1418"/>
      </w:tblGrid>
      <w:tr w:rsidR="001C08A5" w14:paraId="34C5C1DA" w14:textId="77777777">
        <w:trPr>
          <w:tblHeader/>
        </w:trPr>
        <w:tc>
          <w:tcPr>
            <w:tcW w:w="675" w:type="dxa"/>
            <w:shd w:val="clear" w:color="auto" w:fill="BFBFBF"/>
            <w:vAlign w:val="center"/>
          </w:tcPr>
          <w:p w14:paraId="1BBE7CE9" w14:textId="77777777" w:rsidR="001C08A5" w:rsidRDefault="00000000">
            <w:pPr>
              <w:jc w:val="center"/>
              <w:rPr>
                <w:b/>
                <w:i/>
                <w:iCs/>
                <w:sz w:val="22"/>
                <w:szCs w:val="22"/>
              </w:rPr>
            </w:pPr>
            <w:r>
              <w:rPr>
                <w:b/>
                <w:i/>
                <w:iCs/>
                <w:sz w:val="22"/>
                <w:szCs w:val="22"/>
              </w:rPr>
              <w:t>Nr.</w:t>
            </w:r>
          </w:p>
          <w:p w14:paraId="75CAB9DA" w14:textId="77777777" w:rsidR="001C08A5" w:rsidRDefault="00000000">
            <w:pPr>
              <w:jc w:val="center"/>
              <w:rPr>
                <w:i/>
                <w:iCs/>
                <w:sz w:val="22"/>
                <w:szCs w:val="22"/>
              </w:rPr>
            </w:pPr>
            <w:r>
              <w:rPr>
                <w:b/>
                <w:i/>
                <w:iCs/>
                <w:sz w:val="22"/>
                <w:szCs w:val="22"/>
              </w:rPr>
              <w:t>crt.</w:t>
            </w:r>
          </w:p>
        </w:tc>
        <w:tc>
          <w:tcPr>
            <w:tcW w:w="3062" w:type="dxa"/>
            <w:shd w:val="clear" w:color="auto" w:fill="BFBFBF"/>
            <w:vAlign w:val="center"/>
          </w:tcPr>
          <w:p w14:paraId="7D48DDC6" w14:textId="77777777" w:rsidR="001C08A5" w:rsidRDefault="00000000">
            <w:pPr>
              <w:jc w:val="center"/>
              <w:rPr>
                <w:i/>
                <w:iCs/>
                <w:sz w:val="22"/>
                <w:szCs w:val="22"/>
              </w:rPr>
            </w:pPr>
            <w:r>
              <w:rPr>
                <w:b/>
                <w:i/>
                <w:iCs/>
                <w:sz w:val="22"/>
                <w:szCs w:val="22"/>
              </w:rPr>
              <w:t>Destinaţie / funcţiune</w:t>
            </w:r>
          </w:p>
        </w:tc>
        <w:tc>
          <w:tcPr>
            <w:tcW w:w="1049" w:type="dxa"/>
            <w:shd w:val="clear" w:color="auto" w:fill="BFBFBF"/>
            <w:vAlign w:val="center"/>
          </w:tcPr>
          <w:p w14:paraId="6F70DF40" w14:textId="77777777" w:rsidR="001C08A5" w:rsidRDefault="00000000">
            <w:pPr>
              <w:jc w:val="center"/>
              <w:rPr>
                <w:i/>
                <w:iCs/>
                <w:sz w:val="22"/>
                <w:szCs w:val="22"/>
              </w:rPr>
            </w:pPr>
            <w:r>
              <w:rPr>
                <w:b/>
                <w:i/>
                <w:iCs/>
                <w:sz w:val="22"/>
                <w:szCs w:val="22"/>
              </w:rPr>
              <w:t>Nivel de referinţă</w:t>
            </w:r>
          </w:p>
        </w:tc>
        <w:tc>
          <w:tcPr>
            <w:tcW w:w="851" w:type="dxa"/>
            <w:shd w:val="clear" w:color="auto" w:fill="BFBFBF"/>
            <w:vAlign w:val="center"/>
          </w:tcPr>
          <w:p w14:paraId="583190DC"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1842" w:type="dxa"/>
            <w:shd w:val="clear" w:color="auto" w:fill="BFBFBF"/>
            <w:vAlign w:val="center"/>
          </w:tcPr>
          <w:p w14:paraId="008F3672" w14:textId="77777777" w:rsidR="001C08A5" w:rsidRDefault="00000000">
            <w:pPr>
              <w:jc w:val="center"/>
              <w:rPr>
                <w:b/>
                <w:i/>
                <w:iCs/>
                <w:sz w:val="22"/>
                <w:szCs w:val="22"/>
              </w:rPr>
            </w:pPr>
            <w:r>
              <w:rPr>
                <w:b/>
                <w:i/>
                <w:iCs/>
                <w:sz w:val="22"/>
                <w:szCs w:val="22"/>
              </w:rPr>
              <w:t>Destinaţia / funcţiunea ariei considerată în calcul</w:t>
            </w:r>
          </w:p>
        </w:tc>
        <w:tc>
          <w:tcPr>
            <w:tcW w:w="709" w:type="dxa"/>
            <w:shd w:val="clear" w:color="auto" w:fill="BFBFBF"/>
            <w:vAlign w:val="center"/>
          </w:tcPr>
          <w:p w14:paraId="112863D2" w14:textId="77777777" w:rsidR="001C08A5" w:rsidRDefault="00000000">
            <w:pPr>
              <w:jc w:val="center"/>
              <w:rPr>
                <w:b/>
                <w:i/>
                <w:iCs/>
                <w:sz w:val="22"/>
                <w:szCs w:val="22"/>
              </w:rPr>
            </w:pPr>
            <w:r>
              <w:rPr>
                <w:b/>
                <w:i/>
                <w:iCs/>
                <w:sz w:val="22"/>
                <w:szCs w:val="22"/>
              </w:rPr>
              <w:t>Spor%</w:t>
            </w:r>
          </w:p>
          <w:p w14:paraId="558A2FCD" w14:textId="77777777" w:rsidR="001C08A5" w:rsidRDefault="001C08A5">
            <w:pPr>
              <w:jc w:val="center"/>
              <w:rPr>
                <w:b/>
                <w:i/>
                <w:iCs/>
                <w:sz w:val="22"/>
                <w:szCs w:val="22"/>
              </w:rPr>
            </w:pPr>
          </w:p>
        </w:tc>
        <w:tc>
          <w:tcPr>
            <w:tcW w:w="1418" w:type="dxa"/>
            <w:shd w:val="clear" w:color="auto" w:fill="BFBFBF"/>
            <w:vAlign w:val="center"/>
          </w:tcPr>
          <w:p w14:paraId="3158BFE0" w14:textId="77777777" w:rsidR="001C08A5" w:rsidRDefault="00000000">
            <w:pPr>
              <w:jc w:val="center"/>
              <w:rPr>
                <w:b/>
                <w:i/>
                <w:iCs/>
                <w:sz w:val="22"/>
                <w:szCs w:val="22"/>
              </w:rPr>
            </w:pPr>
            <w:r>
              <w:rPr>
                <w:b/>
                <w:i/>
                <w:iCs/>
                <w:sz w:val="22"/>
                <w:szCs w:val="22"/>
              </w:rPr>
              <w:t>Personal pentru care se acordă spor</w:t>
            </w:r>
          </w:p>
        </w:tc>
      </w:tr>
      <w:tr w:rsidR="001C08A5" w14:paraId="073E1CA9" w14:textId="77777777">
        <w:tc>
          <w:tcPr>
            <w:tcW w:w="675" w:type="dxa"/>
          </w:tcPr>
          <w:p w14:paraId="21AA9AFE" w14:textId="77777777" w:rsidR="001C08A5" w:rsidRDefault="00000000">
            <w:pPr>
              <w:rPr>
                <w:i/>
                <w:iCs/>
                <w:sz w:val="22"/>
                <w:szCs w:val="22"/>
              </w:rPr>
            </w:pPr>
            <w:r>
              <w:rPr>
                <w:i/>
                <w:iCs/>
                <w:sz w:val="22"/>
                <w:szCs w:val="22"/>
              </w:rPr>
              <w:t>1</w:t>
            </w:r>
          </w:p>
        </w:tc>
        <w:tc>
          <w:tcPr>
            <w:tcW w:w="3062" w:type="dxa"/>
          </w:tcPr>
          <w:p w14:paraId="2908D11A" w14:textId="77777777" w:rsidR="001C08A5" w:rsidRDefault="00000000">
            <w:pPr>
              <w:rPr>
                <w:i/>
                <w:iCs/>
                <w:sz w:val="22"/>
                <w:szCs w:val="22"/>
              </w:rPr>
            </w:pPr>
            <w:r>
              <w:rPr>
                <w:i/>
                <w:iCs/>
                <w:sz w:val="22"/>
                <w:szCs w:val="22"/>
              </w:rPr>
              <w:t>Pieţe/bazare</w:t>
            </w:r>
          </w:p>
        </w:tc>
        <w:tc>
          <w:tcPr>
            <w:tcW w:w="1049" w:type="dxa"/>
            <w:vMerge w:val="restart"/>
          </w:tcPr>
          <w:p w14:paraId="524A8938" w14:textId="77777777" w:rsidR="001C08A5" w:rsidRDefault="001C08A5">
            <w:pPr>
              <w:rPr>
                <w:i/>
                <w:iCs/>
                <w:sz w:val="22"/>
                <w:szCs w:val="22"/>
              </w:rPr>
            </w:pPr>
          </w:p>
          <w:p w14:paraId="107EFAB8" w14:textId="77777777" w:rsidR="001C08A5" w:rsidRDefault="001C08A5">
            <w:pPr>
              <w:rPr>
                <w:i/>
                <w:iCs/>
                <w:sz w:val="22"/>
                <w:szCs w:val="22"/>
              </w:rPr>
            </w:pPr>
          </w:p>
          <w:p w14:paraId="7265225B" w14:textId="77777777" w:rsidR="001C08A5" w:rsidRDefault="00000000">
            <w:pPr>
              <w:rPr>
                <w:i/>
                <w:iCs/>
                <w:sz w:val="22"/>
                <w:szCs w:val="22"/>
              </w:rPr>
            </w:pPr>
            <w:r>
              <w:rPr>
                <w:i/>
                <w:iCs/>
                <w:sz w:val="22"/>
                <w:szCs w:val="22"/>
              </w:rPr>
              <w:t xml:space="preserve">La orice </w:t>
            </w:r>
          </w:p>
          <w:p w14:paraId="2CE40222" w14:textId="77777777" w:rsidR="001C08A5" w:rsidRDefault="00000000">
            <w:pPr>
              <w:rPr>
                <w:i/>
                <w:iCs/>
                <w:sz w:val="22"/>
                <w:szCs w:val="22"/>
              </w:rPr>
            </w:pPr>
            <w:r>
              <w:rPr>
                <w:i/>
                <w:iCs/>
                <w:sz w:val="22"/>
                <w:szCs w:val="22"/>
              </w:rPr>
              <w:t>nivel al cons-trucţiei</w:t>
            </w:r>
          </w:p>
        </w:tc>
        <w:tc>
          <w:tcPr>
            <w:tcW w:w="851" w:type="dxa"/>
          </w:tcPr>
          <w:p w14:paraId="42329C9B" w14:textId="77777777" w:rsidR="001C08A5" w:rsidRDefault="00000000">
            <w:pPr>
              <w:jc w:val="center"/>
              <w:rPr>
                <w:b/>
                <w:i/>
                <w:iCs/>
                <w:sz w:val="22"/>
                <w:szCs w:val="22"/>
              </w:rPr>
            </w:pPr>
            <w:r>
              <w:rPr>
                <w:b/>
                <w:i/>
                <w:iCs/>
                <w:sz w:val="22"/>
                <w:szCs w:val="22"/>
              </w:rPr>
              <w:t>5,00</w:t>
            </w:r>
          </w:p>
        </w:tc>
        <w:tc>
          <w:tcPr>
            <w:tcW w:w="1842" w:type="dxa"/>
            <w:vMerge w:val="restart"/>
          </w:tcPr>
          <w:p w14:paraId="2AAEC060" w14:textId="77777777" w:rsidR="001C08A5" w:rsidRDefault="001C08A5">
            <w:pPr>
              <w:rPr>
                <w:i/>
                <w:iCs/>
                <w:sz w:val="22"/>
                <w:szCs w:val="22"/>
              </w:rPr>
            </w:pPr>
          </w:p>
          <w:p w14:paraId="0D16E318" w14:textId="77777777" w:rsidR="001C08A5" w:rsidRDefault="00000000">
            <w:pPr>
              <w:rPr>
                <w:i/>
                <w:iCs/>
                <w:sz w:val="22"/>
                <w:szCs w:val="22"/>
              </w:rPr>
            </w:pPr>
            <w:r>
              <w:rPr>
                <w:i/>
                <w:iCs/>
                <w:sz w:val="22"/>
                <w:szCs w:val="22"/>
              </w:rPr>
              <w:t>Arii accesibile publicului - se ia în considerare aria totală accesibilă publicului (vânzare şi circulaţii).</w:t>
            </w:r>
          </w:p>
        </w:tc>
        <w:tc>
          <w:tcPr>
            <w:tcW w:w="709" w:type="dxa"/>
          </w:tcPr>
          <w:p w14:paraId="4212B662" w14:textId="77777777" w:rsidR="001C08A5" w:rsidRDefault="00000000">
            <w:pPr>
              <w:jc w:val="center"/>
              <w:rPr>
                <w:b/>
                <w:bCs/>
                <w:i/>
                <w:iCs/>
                <w:sz w:val="22"/>
                <w:szCs w:val="22"/>
              </w:rPr>
            </w:pPr>
            <w:r>
              <w:rPr>
                <w:b/>
                <w:bCs/>
                <w:i/>
                <w:iCs/>
                <w:sz w:val="22"/>
                <w:szCs w:val="22"/>
              </w:rPr>
              <w:t>20</w:t>
            </w:r>
          </w:p>
        </w:tc>
        <w:tc>
          <w:tcPr>
            <w:tcW w:w="1418" w:type="dxa"/>
            <w:vMerge w:val="restart"/>
          </w:tcPr>
          <w:p w14:paraId="62EB9CF3" w14:textId="77777777" w:rsidR="001C08A5" w:rsidRDefault="001C08A5">
            <w:pPr>
              <w:rPr>
                <w:i/>
                <w:iCs/>
                <w:sz w:val="22"/>
                <w:szCs w:val="22"/>
              </w:rPr>
            </w:pPr>
          </w:p>
          <w:p w14:paraId="03F0FDD5" w14:textId="77777777" w:rsidR="001C08A5" w:rsidRDefault="001C08A5">
            <w:pPr>
              <w:rPr>
                <w:i/>
                <w:iCs/>
                <w:sz w:val="22"/>
                <w:szCs w:val="22"/>
              </w:rPr>
            </w:pPr>
          </w:p>
          <w:p w14:paraId="4F4688E7" w14:textId="77777777" w:rsidR="001C08A5" w:rsidRDefault="001C08A5">
            <w:pPr>
              <w:rPr>
                <w:i/>
                <w:iCs/>
                <w:sz w:val="22"/>
                <w:szCs w:val="22"/>
              </w:rPr>
            </w:pPr>
          </w:p>
          <w:p w14:paraId="5FFEEC6B" w14:textId="77777777" w:rsidR="001C08A5" w:rsidRDefault="001C08A5">
            <w:pPr>
              <w:rPr>
                <w:i/>
                <w:iCs/>
                <w:sz w:val="22"/>
                <w:szCs w:val="22"/>
              </w:rPr>
            </w:pPr>
          </w:p>
          <w:p w14:paraId="51C0B14B" w14:textId="77777777" w:rsidR="001C08A5" w:rsidRDefault="001C08A5">
            <w:pPr>
              <w:rPr>
                <w:i/>
                <w:iCs/>
                <w:sz w:val="22"/>
                <w:szCs w:val="22"/>
              </w:rPr>
            </w:pPr>
          </w:p>
          <w:p w14:paraId="685E5DB7" w14:textId="77777777" w:rsidR="001C08A5" w:rsidRDefault="00000000">
            <w:pPr>
              <w:rPr>
                <w:i/>
                <w:iCs/>
                <w:sz w:val="22"/>
                <w:szCs w:val="22"/>
              </w:rPr>
            </w:pPr>
            <w:r>
              <w:rPr>
                <w:i/>
                <w:iCs/>
                <w:sz w:val="22"/>
                <w:szCs w:val="22"/>
              </w:rPr>
              <w:t>Personal de deservire / vânzare / suprave-ghere.</w:t>
            </w:r>
          </w:p>
        </w:tc>
      </w:tr>
      <w:tr w:rsidR="001C08A5" w14:paraId="537FA1EA" w14:textId="77777777">
        <w:tc>
          <w:tcPr>
            <w:tcW w:w="675" w:type="dxa"/>
          </w:tcPr>
          <w:p w14:paraId="74DE3770" w14:textId="77777777" w:rsidR="001C08A5" w:rsidRDefault="00000000">
            <w:pPr>
              <w:rPr>
                <w:i/>
                <w:iCs/>
                <w:sz w:val="22"/>
                <w:szCs w:val="22"/>
              </w:rPr>
            </w:pPr>
            <w:r>
              <w:rPr>
                <w:i/>
                <w:iCs/>
                <w:sz w:val="22"/>
                <w:szCs w:val="22"/>
              </w:rPr>
              <w:t>2</w:t>
            </w:r>
          </w:p>
        </w:tc>
        <w:tc>
          <w:tcPr>
            <w:tcW w:w="3062" w:type="dxa"/>
          </w:tcPr>
          <w:p w14:paraId="0C01BECC" w14:textId="77777777" w:rsidR="001C08A5" w:rsidRDefault="00000000">
            <w:pPr>
              <w:rPr>
                <w:i/>
                <w:iCs/>
                <w:sz w:val="22"/>
                <w:szCs w:val="22"/>
              </w:rPr>
            </w:pPr>
            <w:r>
              <w:rPr>
                <w:i/>
                <w:iCs/>
                <w:sz w:val="22"/>
                <w:szCs w:val="22"/>
              </w:rPr>
              <w:t>Birou de pariuri</w:t>
            </w:r>
          </w:p>
        </w:tc>
        <w:tc>
          <w:tcPr>
            <w:tcW w:w="1049" w:type="dxa"/>
            <w:vMerge/>
          </w:tcPr>
          <w:p w14:paraId="3A015C5F" w14:textId="77777777" w:rsidR="001C08A5" w:rsidRDefault="001C08A5">
            <w:pPr>
              <w:rPr>
                <w:i/>
                <w:iCs/>
                <w:sz w:val="22"/>
                <w:szCs w:val="22"/>
              </w:rPr>
            </w:pPr>
          </w:p>
        </w:tc>
        <w:tc>
          <w:tcPr>
            <w:tcW w:w="851" w:type="dxa"/>
          </w:tcPr>
          <w:p w14:paraId="61416E31" w14:textId="77777777" w:rsidR="001C08A5" w:rsidRDefault="00000000">
            <w:pPr>
              <w:jc w:val="center"/>
              <w:rPr>
                <w:b/>
                <w:i/>
                <w:iCs/>
                <w:sz w:val="22"/>
                <w:szCs w:val="22"/>
              </w:rPr>
            </w:pPr>
            <w:r>
              <w:rPr>
                <w:b/>
                <w:i/>
                <w:iCs/>
                <w:sz w:val="22"/>
                <w:szCs w:val="22"/>
              </w:rPr>
              <w:t>5,00</w:t>
            </w:r>
          </w:p>
        </w:tc>
        <w:tc>
          <w:tcPr>
            <w:tcW w:w="1842" w:type="dxa"/>
            <w:vMerge/>
          </w:tcPr>
          <w:p w14:paraId="262D4B28" w14:textId="77777777" w:rsidR="001C08A5" w:rsidRDefault="001C08A5">
            <w:pPr>
              <w:rPr>
                <w:i/>
                <w:iCs/>
                <w:sz w:val="22"/>
                <w:szCs w:val="22"/>
              </w:rPr>
            </w:pPr>
          </w:p>
        </w:tc>
        <w:tc>
          <w:tcPr>
            <w:tcW w:w="709" w:type="dxa"/>
          </w:tcPr>
          <w:p w14:paraId="32A912F3" w14:textId="77777777" w:rsidR="001C08A5" w:rsidRDefault="00000000">
            <w:pPr>
              <w:jc w:val="center"/>
              <w:rPr>
                <w:b/>
                <w:bCs/>
                <w:i/>
                <w:iCs/>
                <w:sz w:val="22"/>
                <w:szCs w:val="22"/>
              </w:rPr>
            </w:pPr>
            <w:r>
              <w:rPr>
                <w:b/>
                <w:bCs/>
                <w:i/>
                <w:iCs/>
                <w:sz w:val="22"/>
                <w:szCs w:val="22"/>
              </w:rPr>
              <w:t>10</w:t>
            </w:r>
          </w:p>
        </w:tc>
        <w:tc>
          <w:tcPr>
            <w:tcW w:w="1418" w:type="dxa"/>
            <w:vMerge/>
          </w:tcPr>
          <w:p w14:paraId="1B48D0D1" w14:textId="77777777" w:rsidR="001C08A5" w:rsidRDefault="001C08A5">
            <w:pPr>
              <w:rPr>
                <w:i/>
                <w:iCs/>
                <w:sz w:val="22"/>
                <w:szCs w:val="22"/>
              </w:rPr>
            </w:pPr>
          </w:p>
        </w:tc>
      </w:tr>
      <w:tr w:rsidR="001C08A5" w14:paraId="3AE84D65" w14:textId="77777777">
        <w:tc>
          <w:tcPr>
            <w:tcW w:w="675" w:type="dxa"/>
          </w:tcPr>
          <w:p w14:paraId="62736C7E" w14:textId="77777777" w:rsidR="001C08A5" w:rsidRDefault="00000000">
            <w:pPr>
              <w:rPr>
                <w:i/>
                <w:iCs/>
                <w:sz w:val="22"/>
                <w:szCs w:val="22"/>
              </w:rPr>
            </w:pPr>
            <w:r>
              <w:rPr>
                <w:i/>
                <w:iCs/>
                <w:sz w:val="22"/>
                <w:szCs w:val="22"/>
              </w:rPr>
              <w:t>3</w:t>
            </w:r>
          </w:p>
        </w:tc>
        <w:tc>
          <w:tcPr>
            <w:tcW w:w="3062" w:type="dxa"/>
          </w:tcPr>
          <w:p w14:paraId="0115F97D" w14:textId="77777777" w:rsidR="001C08A5" w:rsidRDefault="00000000">
            <w:pPr>
              <w:rPr>
                <w:i/>
                <w:iCs/>
                <w:sz w:val="22"/>
                <w:szCs w:val="22"/>
              </w:rPr>
            </w:pPr>
            <w:r>
              <w:rPr>
                <w:i/>
                <w:iCs/>
                <w:sz w:val="22"/>
                <w:szCs w:val="22"/>
              </w:rPr>
              <w:t>Showroom</w:t>
            </w:r>
          </w:p>
        </w:tc>
        <w:tc>
          <w:tcPr>
            <w:tcW w:w="1049" w:type="dxa"/>
            <w:vMerge/>
          </w:tcPr>
          <w:p w14:paraId="4310F079" w14:textId="77777777" w:rsidR="001C08A5" w:rsidRDefault="001C08A5">
            <w:pPr>
              <w:rPr>
                <w:i/>
                <w:iCs/>
                <w:sz w:val="22"/>
                <w:szCs w:val="22"/>
              </w:rPr>
            </w:pPr>
          </w:p>
        </w:tc>
        <w:tc>
          <w:tcPr>
            <w:tcW w:w="851" w:type="dxa"/>
          </w:tcPr>
          <w:p w14:paraId="7BE63768" w14:textId="77777777" w:rsidR="001C08A5" w:rsidRDefault="00000000">
            <w:pPr>
              <w:jc w:val="center"/>
              <w:rPr>
                <w:b/>
                <w:i/>
                <w:iCs/>
                <w:sz w:val="22"/>
                <w:szCs w:val="22"/>
              </w:rPr>
            </w:pPr>
            <w:r>
              <w:rPr>
                <w:b/>
                <w:i/>
                <w:iCs/>
                <w:sz w:val="22"/>
                <w:szCs w:val="22"/>
              </w:rPr>
              <w:t>7,00</w:t>
            </w:r>
          </w:p>
        </w:tc>
        <w:tc>
          <w:tcPr>
            <w:tcW w:w="1842" w:type="dxa"/>
            <w:vMerge/>
          </w:tcPr>
          <w:p w14:paraId="49E89A33" w14:textId="77777777" w:rsidR="001C08A5" w:rsidRDefault="001C08A5">
            <w:pPr>
              <w:rPr>
                <w:i/>
                <w:iCs/>
                <w:sz w:val="22"/>
                <w:szCs w:val="22"/>
              </w:rPr>
            </w:pPr>
          </w:p>
        </w:tc>
        <w:tc>
          <w:tcPr>
            <w:tcW w:w="709" w:type="dxa"/>
          </w:tcPr>
          <w:p w14:paraId="7B707575" w14:textId="77777777" w:rsidR="001C08A5" w:rsidRDefault="00000000">
            <w:pPr>
              <w:jc w:val="center"/>
              <w:rPr>
                <w:b/>
                <w:bCs/>
                <w:i/>
                <w:iCs/>
                <w:sz w:val="22"/>
                <w:szCs w:val="22"/>
              </w:rPr>
            </w:pPr>
            <w:r>
              <w:rPr>
                <w:b/>
                <w:bCs/>
                <w:i/>
                <w:iCs/>
                <w:sz w:val="22"/>
                <w:szCs w:val="22"/>
              </w:rPr>
              <w:t>10</w:t>
            </w:r>
          </w:p>
        </w:tc>
        <w:tc>
          <w:tcPr>
            <w:tcW w:w="1418" w:type="dxa"/>
            <w:vMerge/>
          </w:tcPr>
          <w:p w14:paraId="24570F07" w14:textId="77777777" w:rsidR="001C08A5" w:rsidRDefault="001C08A5">
            <w:pPr>
              <w:rPr>
                <w:i/>
                <w:iCs/>
                <w:sz w:val="22"/>
                <w:szCs w:val="22"/>
              </w:rPr>
            </w:pPr>
          </w:p>
        </w:tc>
      </w:tr>
      <w:tr w:rsidR="001C08A5" w14:paraId="04FE4E51" w14:textId="77777777">
        <w:tc>
          <w:tcPr>
            <w:tcW w:w="675" w:type="dxa"/>
          </w:tcPr>
          <w:p w14:paraId="7CEDEAF6" w14:textId="77777777" w:rsidR="001C08A5" w:rsidRDefault="00000000">
            <w:pPr>
              <w:rPr>
                <w:i/>
                <w:iCs/>
                <w:sz w:val="22"/>
                <w:szCs w:val="22"/>
              </w:rPr>
            </w:pPr>
            <w:r>
              <w:rPr>
                <w:i/>
                <w:iCs/>
                <w:sz w:val="22"/>
                <w:szCs w:val="22"/>
              </w:rPr>
              <w:t>4</w:t>
            </w:r>
          </w:p>
        </w:tc>
        <w:tc>
          <w:tcPr>
            <w:tcW w:w="3062" w:type="dxa"/>
          </w:tcPr>
          <w:p w14:paraId="4E5BE650" w14:textId="77777777" w:rsidR="001C08A5" w:rsidRDefault="00000000">
            <w:pPr>
              <w:rPr>
                <w:i/>
                <w:iCs/>
                <w:sz w:val="22"/>
                <w:szCs w:val="22"/>
              </w:rPr>
            </w:pPr>
            <w:r>
              <w:rPr>
                <w:i/>
                <w:iCs/>
                <w:sz w:val="22"/>
                <w:szCs w:val="22"/>
              </w:rPr>
              <w:t>Patinoar</w:t>
            </w:r>
          </w:p>
        </w:tc>
        <w:tc>
          <w:tcPr>
            <w:tcW w:w="1049" w:type="dxa"/>
            <w:vMerge/>
          </w:tcPr>
          <w:p w14:paraId="369F6A26" w14:textId="77777777" w:rsidR="001C08A5" w:rsidRDefault="001C08A5">
            <w:pPr>
              <w:rPr>
                <w:i/>
                <w:iCs/>
                <w:sz w:val="22"/>
                <w:szCs w:val="22"/>
              </w:rPr>
            </w:pPr>
          </w:p>
        </w:tc>
        <w:tc>
          <w:tcPr>
            <w:tcW w:w="851" w:type="dxa"/>
          </w:tcPr>
          <w:p w14:paraId="1CB7FA8A" w14:textId="77777777" w:rsidR="001C08A5" w:rsidRDefault="00000000">
            <w:pPr>
              <w:jc w:val="center"/>
              <w:rPr>
                <w:b/>
                <w:i/>
                <w:iCs/>
                <w:sz w:val="22"/>
                <w:szCs w:val="22"/>
              </w:rPr>
            </w:pPr>
            <w:r>
              <w:rPr>
                <w:b/>
                <w:i/>
                <w:iCs/>
                <w:sz w:val="22"/>
                <w:szCs w:val="22"/>
              </w:rPr>
              <w:t>4,00/ 5,00</w:t>
            </w:r>
          </w:p>
        </w:tc>
        <w:tc>
          <w:tcPr>
            <w:tcW w:w="1842" w:type="dxa"/>
            <w:vMerge/>
          </w:tcPr>
          <w:p w14:paraId="59134597" w14:textId="77777777" w:rsidR="001C08A5" w:rsidRDefault="001C08A5">
            <w:pPr>
              <w:rPr>
                <w:i/>
                <w:iCs/>
                <w:sz w:val="22"/>
                <w:szCs w:val="22"/>
              </w:rPr>
            </w:pPr>
          </w:p>
        </w:tc>
        <w:tc>
          <w:tcPr>
            <w:tcW w:w="709" w:type="dxa"/>
          </w:tcPr>
          <w:p w14:paraId="53619A4E" w14:textId="77777777" w:rsidR="001C08A5" w:rsidRDefault="00000000">
            <w:pPr>
              <w:jc w:val="center"/>
              <w:rPr>
                <w:b/>
                <w:bCs/>
                <w:i/>
                <w:iCs/>
                <w:sz w:val="22"/>
                <w:szCs w:val="22"/>
              </w:rPr>
            </w:pPr>
            <w:r>
              <w:rPr>
                <w:b/>
                <w:bCs/>
                <w:i/>
                <w:iCs/>
                <w:sz w:val="22"/>
                <w:szCs w:val="22"/>
              </w:rPr>
              <w:t>10</w:t>
            </w:r>
          </w:p>
        </w:tc>
        <w:tc>
          <w:tcPr>
            <w:tcW w:w="1418" w:type="dxa"/>
            <w:vMerge/>
          </w:tcPr>
          <w:p w14:paraId="6269841E" w14:textId="77777777" w:rsidR="001C08A5" w:rsidRDefault="001C08A5">
            <w:pPr>
              <w:rPr>
                <w:i/>
                <w:iCs/>
                <w:sz w:val="22"/>
                <w:szCs w:val="22"/>
              </w:rPr>
            </w:pPr>
          </w:p>
        </w:tc>
      </w:tr>
      <w:tr w:rsidR="001C08A5" w14:paraId="3CF9809D" w14:textId="77777777">
        <w:tc>
          <w:tcPr>
            <w:tcW w:w="675" w:type="dxa"/>
          </w:tcPr>
          <w:p w14:paraId="2B0F1D9E" w14:textId="77777777" w:rsidR="001C08A5" w:rsidRDefault="00000000">
            <w:pPr>
              <w:rPr>
                <w:i/>
                <w:iCs/>
                <w:sz w:val="22"/>
                <w:szCs w:val="22"/>
              </w:rPr>
            </w:pPr>
            <w:r>
              <w:rPr>
                <w:i/>
                <w:iCs/>
                <w:sz w:val="22"/>
                <w:szCs w:val="22"/>
              </w:rPr>
              <w:t>5</w:t>
            </w:r>
          </w:p>
        </w:tc>
        <w:tc>
          <w:tcPr>
            <w:tcW w:w="3062" w:type="dxa"/>
          </w:tcPr>
          <w:p w14:paraId="7DF005F8" w14:textId="77777777" w:rsidR="001C08A5" w:rsidRDefault="00000000">
            <w:pPr>
              <w:rPr>
                <w:iCs/>
                <w:sz w:val="22"/>
                <w:szCs w:val="22"/>
              </w:rPr>
            </w:pPr>
            <w:r>
              <w:rPr>
                <w:i/>
                <w:iCs/>
                <w:sz w:val="22"/>
                <w:szCs w:val="22"/>
              </w:rPr>
              <w:t xml:space="preserve">Sală de jocuri/ </w:t>
            </w:r>
            <w:r>
              <w:rPr>
                <w:iCs/>
                <w:sz w:val="22"/>
                <w:szCs w:val="22"/>
              </w:rPr>
              <w:t>casino</w:t>
            </w:r>
          </w:p>
        </w:tc>
        <w:tc>
          <w:tcPr>
            <w:tcW w:w="1049" w:type="dxa"/>
            <w:vMerge/>
          </w:tcPr>
          <w:p w14:paraId="7C21F78C" w14:textId="77777777" w:rsidR="001C08A5" w:rsidRDefault="001C08A5">
            <w:pPr>
              <w:rPr>
                <w:i/>
                <w:iCs/>
                <w:sz w:val="22"/>
                <w:szCs w:val="22"/>
              </w:rPr>
            </w:pPr>
          </w:p>
        </w:tc>
        <w:tc>
          <w:tcPr>
            <w:tcW w:w="851" w:type="dxa"/>
          </w:tcPr>
          <w:p w14:paraId="3E22AAD3" w14:textId="77777777" w:rsidR="001C08A5" w:rsidRDefault="00000000">
            <w:pPr>
              <w:jc w:val="center"/>
              <w:rPr>
                <w:b/>
                <w:i/>
                <w:iCs/>
                <w:sz w:val="22"/>
                <w:szCs w:val="22"/>
              </w:rPr>
            </w:pPr>
            <w:r>
              <w:rPr>
                <w:b/>
                <w:i/>
                <w:iCs/>
                <w:sz w:val="22"/>
                <w:szCs w:val="22"/>
              </w:rPr>
              <w:t>4,00/ 5,00</w:t>
            </w:r>
          </w:p>
        </w:tc>
        <w:tc>
          <w:tcPr>
            <w:tcW w:w="1842" w:type="dxa"/>
            <w:vMerge/>
          </w:tcPr>
          <w:p w14:paraId="530028F5" w14:textId="77777777" w:rsidR="001C08A5" w:rsidRDefault="001C08A5">
            <w:pPr>
              <w:rPr>
                <w:i/>
                <w:iCs/>
                <w:sz w:val="22"/>
                <w:szCs w:val="22"/>
              </w:rPr>
            </w:pPr>
          </w:p>
        </w:tc>
        <w:tc>
          <w:tcPr>
            <w:tcW w:w="709" w:type="dxa"/>
          </w:tcPr>
          <w:p w14:paraId="483023B5" w14:textId="77777777" w:rsidR="001C08A5" w:rsidRDefault="00000000">
            <w:pPr>
              <w:jc w:val="center"/>
              <w:rPr>
                <w:b/>
                <w:bCs/>
                <w:i/>
                <w:iCs/>
                <w:sz w:val="22"/>
                <w:szCs w:val="22"/>
              </w:rPr>
            </w:pPr>
            <w:r>
              <w:rPr>
                <w:b/>
                <w:bCs/>
                <w:i/>
                <w:iCs/>
                <w:sz w:val="22"/>
                <w:szCs w:val="22"/>
              </w:rPr>
              <w:t>10</w:t>
            </w:r>
          </w:p>
        </w:tc>
        <w:tc>
          <w:tcPr>
            <w:tcW w:w="1418" w:type="dxa"/>
            <w:vMerge/>
          </w:tcPr>
          <w:p w14:paraId="79D6B563" w14:textId="77777777" w:rsidR="001C08A5" w:rsidRDefault="001C08A5">
            <w:pPr>
              <w:rPr>
                <w:i/>
                <w:iCs/>
                <w:sz w:val="22"/>
                <w:szCs w:val="22"/>
              </w:rPr>
            </w:pPr>
          </w:p>
        </w:tc>
      </w:tr>
      <w:tr w:rsidR="001C08A5" w14:paraId="19081E8A" w14:textId="77777777">
        <w:tc>
          <w:tcPr>
            <w:tcW w:w="675" w:type="dxa"/>
          </w:tcPr>
          <w:p w14:paraId="4AC7E55F" w14:textId="77777777" w:rsidR="001C08A5" w:rsidRDefault="00000000">
            <w:pPr>
              <w:rPr>
                <w:i/>
                <w:iCs/>
                <w:sz w:val="22"/>
                <w:szCs w:val="22"/>
              </w:rPr>
            </w:pPr>
            <w:r>
              <w:rPr>
                <w:i/>
                <w:iCs/>
                <w:sz w:val="22"/>
                <w:szCs w:val="22"/>
              </w:rPr>
              <w:t>6</w:t>
            </w:r>
          </w:p>
        </w:tc>
        <w:tc>
          <w:tcPr>
            <w:tcW w:w="3062" w:type="dxa"/>
          </w:tcPr>
          <w:p w14:paraId="71B73B49" w14:textId="77777777" w:rsidR="001C08A5" w:rsidRDefault="00000000">
            <w:pPr>
              <w:rPr>
                <w:i/>
                <w:iCs/>
                <w:sz w:val="22"/>
                <w:szCs w:val="22"/>
              </w:rPr>
            </w:pPr>
            <w:r>
              <w:rPr>
                <w:i/>
                <w:iCs/>
                <w:sz w:val="22"/>
                <w:szCs w:val="22"/>
              </w:rPr>
              <w:t>Sală de biliard / snooker</w:t>
            </w:r>
          </w:p>
        </w:tc>
        <w:tc>
          <w:tcPr>
            <w:tcW w:w="1049" w:type="dxa"/>
            <w:vMerge/>
          </w:tcPr>
          <w:p w14:paraId="1D6A4E31" w14:textId="77777777" w:rsidR="001C08A5" w:rsidRDefault="001C08A5">
            <w:pPr>
              <w:rPr>
                <w:i/>
                <w:iCs/>
                <w:sz w:val="22"/>
                <w:szCs w:val="22"/>
              </w:rPr>
            </w:pPr>
          </w:p>
        </w:tc>
        <w:tc>
          <w:tcPr>
            <w:tcW w:w="851" w:type="dxa"/>
          </w:tcPr>
          <w:p w14:paraId="12466C38" w14:textId="77777777" w:rsidR="001C08A5" w:rsidRDefault="00000000">
            <w:pPr>
              <w:jc w:val="center"/>
              <w:rPr>
                <w:b/>
                <w:i/>
                <w:iCs/>
                <w:sz w:val="22"/>
                <w:szCs w:val="22"/>
              </w:rPr>
            </w:pPr>
            <w:r>
              <w:rPr>
                <w:b/>
                <w:i/>
                <w:iCs/>
                <w:sz w:val="22"/>
                <w:szCs w:val="22"/>
              </w:rPr>
              <w:t>10,00</w:t>
            </w:r>
          </w:p>
        </w:tc>
        <w:tc>
          <w:tcPr>
            <w:tcW w:w="1842" w:type="dxa"/>
            <w:vMerge/>
          </w:tcPr>
          <w:p w14:paraId="32B25F96" w14:textId="77777777" w:rsidR="001C08A5" w:rsidRDefault="001C08A5">
            <w:pPr>
              <w:rPr>
                <w:i/>
                <w:iCs/>
                <w:sz w:val="22"/>
                <w:szCs w:val="22"/>
              </w:rPr>
            </w:pPr>
          </w:p>
        </w:tc>
        <w:tc>
          <w:tcPr>
            <w:tcW w:w="709" w:type="dxa"/>
          </w:tcPr>
          <w:p w14:paraId="0009BCA9" w14:textId="77777777" w:rsidR="001C08A5" w:rsidRDefault="00000000">
            <w:pPr>
              <w:jc w:val="center"/>
              <w:rPr>
                <w:b/>
                <w:bCs/>
                <w:i/>
                <w:iCs/>
                <w:sz w:val="22"/>
                <w:szCs w:val="22"/>
              </w:rPr>
            </w:pPr>
            <w:r>
              <w:rPr>
                <w:b/>
                <w:bCs/>
                <w:i/>
                <w:iCs/>
                <w:sz w:val="22"/>
                <w:szCs w:val="22"/>
              </w:rPr>
              <w:t>10</w:t>
            </w:r>
          </w:p>
        </w:tc>
        <w:tc>
          <w:tcPr>
            <w:tcW w:w="1418" w:type="dxa"/>
            <w:vMerge/>
          </w:tcPr>
          <w:p w14:paraId="10975798" w14:textId="77777777" w:rsidR="001C08A5" w:rsidRDefault="001C08A5">
            <w:pPr>
              <w:rPr>
                <w:i/>
                <w:iCs/>
                <w:sz w:val="22"/>
                <w:szCs w:val="22"/>
              </w:rPr>
            </w:pPr>
          </w:p>
        </w:tc>
      </w:tr>
      <w:tr w:rsidR="001C08A5" w14:paraId="5D337EC2" w14:textId="77777777">
        <w:tc>
          <w:tcPr>
            <w:tcW w:w="675" w:type="dxa"/>
          </w:tcPr>
          <w:p w14:paraId="67885DBB" w14:textId="77777777" w:rsidR="001C08A5" w:rsidRDefault="00000000">
            <w:pPr>
              <w:rPr>
                <w:i/>
                <w:iCs/>
                <w:sz w:val="22"/>
                <w:szCs w:val="22"/>
              </w:rPr>
            </w:pPr>
            <w:r>
              <w:rPr>
                <w:i/>
                <w:iCs/>
                <w:sz w:val="22"/>
                <w:szCs w:val="22"/>
              </w:rPr>
              <w:t>7</w:t>
            </w:r>
          </w:p>
        </w:tc>
        <w:tc>
          <w:tcPr>
            <w:tcW w:w="3062" w:type="dxa"/>
          </w:tcPr>
          <w:p w14:paraId="7580AF28" w14:textId="77777777" w:rsidR="001C08A5" w:rsidRDefault="00000000">
            <w:pPr>
              <w:rPr>
                <w:i/>
                <w:iCs/>
                <w:sz w:val="22"/>
                <w:szCs w:val="22"/>
              </w:rPr>
            </w:pPr>
            <w:r>
              <w:rPr>
                <w:i/>
                <w:iCs/>
                <w:sz w:val="22"/>
                <w:szCs w:val="22"/>
              </w:rPr>
              <w:t>Sală de bingo</w:t>
            </w:r>
          </w:p>
        </w:tc>
        <w:tc>
          <w:tcPr>
            <w:tcW w:w="1049" w:type="dxa"/>
            <w:vMerge/>
          </w:tcPr>
          <w:p w14:paraId="64CC928E" w14:textId="77777777" w:rsidR="001C08A5" w:rsidRDefault="001C08A5">
            <w:pPr>
              <w:rPr>
                <w:i/>
                <w:iCs/>
                <w:sz w:val="22"/>
                <w:szCs w:val="22"/>
              </w:rPr>
            </w:pPr>
          </w:p>
        </w:tc>
        <w:tc>
          <w:tcPr>
            <w:tcW w:w="851" w:type="dxa"/>
          </w:tcPr>
          <w:p w14:paraId="171F49B3" w14:textId="77777777" w:rsidR="001C08A5" w:rsidRDefault="00000000">
            <w:pPr>
              <w:jc w:val="center"/>
              <w:rPr>
                <w:b/>
                <w:i/>
                <w:iCs/>
                <w:sz w:val="22"/>
                <w:szCs w:val="22"/>
              </w:rPr>
            </w:pPr>
            <w:r>
              <w:rPr>
                <w:b/>
                <w:i/>
                <w:iCs/>
                <w:sz w:val="22"/>
                <w:szCs w:val="22"/>
              </w:rPr>
              <w:t>4,00</w:t>
            </w:r>
          </w:p>
        </w:tc>
        <w:tc>
          <w:tcPr>
            <w:tcW w:w="1842" w:type="dxa"/>
            <w:vMerge/>
          </w:tcPr>
          <w:p w14:paraId="265B1206" w14:textId="77777777" w:rsidR="001C08A5" w:rsidRDefault="001C08A5">
            <w:pPr>
              <w:rPr>
                <w:i/>
                <w:iCs/>
                <w:sz w:val="22"/>
                <w:szCs w:val="22"/>
              </w:rPr>
            </w:pPr>
          </w:p>
        </w:tc>
        <w:tc>
          <w:tcPr>
            <w:tcW w:w="709" w:type="dxa"/>
          </w:tcPr>
          <w:p w14:paraId="0ECF3A49" w14:textId="77777777" w:rsidR="001C08A5" w:rsidRDefault="00000000">
            <w:pPr>
              <w:jc w:val="center"/>
              <w:rPr>
                <w:b/>
                <w:bCs/>
                <w:i/>
                <w:iCs/>
                <w:sz w:val="22"/>
                <w:szCs w:val="22"/>
              </w:rPr>
            </w:pPr>
            <w:r>
              <w:rPr>
                <w:b/>
                <w:bCs/>
                <w:i/>
                <w:iCs/>
                <w:sz w:val="22"/>
                <w:szCs w:val="22"/>
              </w:rPr>
              <w:t>10</w:t>
            </w:r>
          </w:p>
        </w:tc>
        <w:tc>
          <w:tcPr>
            <w:tcW w:w="1418" w:type="dxa"/>
            <w:vMerge/>
          </w:tcPr>
          <w:p w14:paraId="3EFBCEA6" w14:textId="77777777" w:rsidR="001C08A5" w:rsidRDefault="001C08A5">
            <w:pPr>
              <w:rPr>
                <w:i/>
                <w:iCs/>
                <w:sz w:val="22"/>
                <w:szCs w:val="22"/>
              </w:rPr>
            </w:pPr>
          </w:p>
        </w:tc>
      </w:tr>
      <w:tr w:rsidR="001C08A5" w14:paraId="1410B2E1" w14:textId="77777777">
        <w:tc>
          <w:tcPr>
            <w:tcW w:w="675" w:type="dxa"/>
          </w:tcPr>
          <w:p w14:paraId="1B92CB1F" w14:textId="77777777" w:rsidR="001C08A5" w:rsidRDefault="00000000">
            <w:pPr>
              <w:rPr>
                <w:i/>
                <w:iCs/>
                <w:sz w:val="22"/>
                <w:szCs w:val="22"/>
              </w:rPr>
            </w:pPr>
            <w:r>
              <w:rPr>
                <w:i/>
                <w:iCs/>
                <w:sz w:val="22"/>
                <w:szCs w:val="22"/>
              </w:rPr>
              <w:t>8</w:t>
            </w:r>
          </w:p>
        </w:tc>
        <w:tc>
          <w:tcPr>
            <w:tcW w:w="3062" w:type="dxa"/>
          </w:tcPr>
          <w:p w14:paraId="6987144A" w14:textId="77777777" w:rsidR="001C08A5" w:rsidRDefault="00000000">
            <w:pPr>
              <w:rPr>
                <w:i/>
                <w:iCs/>
                <w:sz w:val="22"/>
                <w:szCs w:val="22"/>
              </w:rPr>
            </w:pPr>
            <w:r>
              <w:rPr>
                <w:i/>
                <w:iCs/>
                <w:sz w:val="22"/>
                <w:szCs w:val="22"/>
              </w:rPr>
              <w:t>Sală de bowling / popice</w:t>
            </w:r>
          </w:p>
        </w:tc>
        <w:tc>
          <w:tcPr>
            <w:tcW w:w="1049" w:type="dxa"/>
            <w:vMerge/>
          </w:tcPr>
          <w:p w14:paraId="7E224547" w14:textId="77777777" w:rsidR="001C08A5" w:rsidRDefault="001C08A5">
            <w:pPr>
              <w:rPr>
                <w:i/>
                <w:iCs/>
                <w:sz w:val="22"/>
                <w:szCs w:val="22"/>
              </w:rPr>
            </w:pPr>
          </w:p>
        </w:tc>
        <w:tc>
          <w:tcPr>
            <w:tcW w:w="851" w:type="dxa"/>
          </w:tcPr>
          <w:p w14:paraId="03C8B24D" w14:textId="77777777" w:rsidR="001C08A5" w:rsidRDefault="00000000">
            <w:pPr>
              <w:jc w:val="center"/>
              <w:rPr>
                <w:b/>
                <w:i/>
                <w:iCs/>
                <w:sz w:val="22"/>
                <w:szCs w:val="22"/>
              </w:rPr>
            </w:pPr>
            <w:r>
              <w:rPr>
                <w:b/>
                <w:i/>
                <w:iCs/>
                <w:sz w:val="22"/>
                <w:szCs w:val="22"/>
              </w:rPr>
              <w:t>10,00</w:t>
            </w:r>
          </w:p>
        </w:tc>
        <w:tc>
          <w:tcPr>
            <w:tcW w:w="1842" w:type="dxa"/>
            <w:vMerge/>
          </w:tcPr>
          <w:p w14:paraId="456CF10A" w14:textId="77777777" w:rsidR="001C08A5" w:rsidRDefault="001C08A5">
            <w:pPr>
              <w:rPr>
                <w:i/>
                <w:iCs/>
                <w:sz w:val="22"/>
                <w:szCs w:val="22"/>
              </w:rPr>
            </w:pPr>
          </w:p>
        </w:tc>
        <w:tc>
          <w:tcPr>
            <w:tcW w:w="709" w:type="dxa"/>
          </w:tcPr>
          <w:p w14:paraId="7F67E7E4" w14:textId="77777777" w:rsidR="001C08A5" w:rsidRDefault="00000000">
            <w:pPr>
              <w:jc w:val="center"/>
              <w:rPr>
                <w:b/>
                <w:bCs/>
                <w:i/>
                <w:iCs/>
                <w:sz w:val="22"/>
                <w:szCs w:val="22"/>
              </w:rPr>
            </w:pPr>
            <w:r>
              <w:rPr>
                <w:b/>
                <w:bCs/>
                <w:i/>
                <w:iCs/>
                <w:sz w:val="22"/>
                <w:szCs w:val="22"/>
              </w:rPr>
              <w:t>10</w:t>
            </w:r>
          </w:p>
        </w:tc>
        <w:tc>
          <w:tcPr>
            <w:tcW w:w="1418" w:type="dxa"/>
            <w:vMerge/>
          </w:tcPr>
          <w:p w14:paraId="50381F2C" w14:textId="77777777" w:rsidR="001C08A5" w:rsidRDefault="001C08A5">
            <w:pPr>
              <w:rPr>
                <w:i/>
                <w:iCs/>
                <w:sz w:val="22"/>
                <w:szCs w:val="22"/>
              </w:rPr>
            </w:pPr>
          </w:p>
        </w:tc>
      </w:tr>
      <w:tr w:rsidR="001C08A5" w14:paraId="160A2E62" w14:textId="77777777">
        <w:tc>
          <w:tcPr>
            <w:tcW w:w="675" w:type="dxa"/>
          </w:tcPr>
          <w:p w14:paraId="5FAB17AF" w14:textId="77777777" w:rsidR="001C08A5" w:rsidRDefault="00000000">
            <w:pPr>
              <w:rPr>
                <w:i/>
                <w:iCs/>
                <w:sz w:val="22"/>
                <w:szCs w:val="22"/>
              </w:rPr>
            </w:pPr>
            <w:r>
              <w:rPr>
                <w:i/>
                <w:iCs/>
                <w:sz w:val="22"/>
                <w:szCs w:val="22"/>
              </w:rPr>
              <w:t>9</w:t>
            </w:r>
          </w:p>
        </w:tc>
        <w:tc>
          <w:tcPr>
            <w:tcW w:w="3062" w:type="dxa"/>
          </w:tcPr>
          <w:p w14:paraId="41B88C63" w14:textId="77777777" w:rsidR="001C08A5" w:rsidRDefault="00000000">
            <w:pPr>
              <w:rPr>
                <w:i/>
                <w:iCs/>
                <w:sz w:val="22"/>
                <w:szCs w:val="22"/>
              </w:rPr>
            </w:pPr>
            <w:r>
              <w:rPr>
                <w:i/>
                <w:iCs/>
                <w:sz w:val="22"/>
                <w:szCs w:val="22"/>
              </w:rPr>
              <w:t>Sală de forţă cu aparate</w:t>
            </w:r>
          </w:p>
        </w:tc>
        <w:tc>
          <w:tcPr>
            <w:tcW w:w="1049" w:type="dxa"/>
            <w:vMerge/>
          </w:tcPr>
          <w:p w14:paraId="5FEE7673" w14:textId="77777777" w:rsidR="001C08A5" w:rsidRDefault="001C08A5">
            <w:pPr>
              <w:rPr>
                <w:i/>
                <w:iCs/>
                <w:sz w:val="22"/>
                <w:szCs w:val="22"/>
              </w:rPr>
            </w:pPr>
          </w:p>
        </w:tc>
        <w:tc>
          <w:tcPr>
            <w:tcW w:w="851" w:type="dxa"/>
          </w:tcPr>
          <w:p w14:paraId="5A42F45D" w14:textId="77777777" w:rsidR="001C08A5" w:rsidRDefault="00000000">
            <w:pPr>
              <w:jc w:val="center"/>
              <w:rPr>
                <w:b/>
                <w:i/>
                <w:iCs/>
                <w:sz w:val="22"/>
                <w:szCs w:val="22"/>
              </w:rPr>
            </w:pPr>
            <w:r>
              <w:rPr>
                <w:b/>
                <w:i/>
                <w:iCs/>
                <w:sz w:val="22"/>
                <w:szCs w:val="22"/>
              </w:rPr>
              <w:t>8,00</w:t>
            </w:r>
          </w:p>
        </w:tc>
        <w:tc>
          <w:tcPr>
            <w:tcW w:w="1842" w:type="dxa"/>
            <w:vMerge/>
          </w:tcPr>
          <w:p w14:paraId="55A584C7" w14:textId="77777777" w:rsidR="001C08A5" w:rsidRDefault="001C08A5">
            <w:pPr>
              <w:rPr>
                <w:i/>
                <w:iCs/>
                <w:sz w:val="22"/>
                <w:szCs w:val="22"/>
              </w:rPr>
            </w:pPr>
          </w:p>
        </w:tc>
        <w:tc>
          <w:tcPr>
            <w:tcW w:w="709" w:type="dxa"/>
          </w:tcPr>
          <w:p w14:paraId="49E39CD6" w14:textId="77777777" w:rsidR="001C08A5" w:rsidRDefault="00000000">
            <w:pPr>
              <w:jc w:val="center"/>
              <w:rPr>
                <w:b/>
                <w:bCs/>
                <w:i/>
                <w:iCs/>
                <w:sz w:val="22"/>
                <w:szCs w:val="22"/>
              </w:rPr>
            </w:pPr>
            <w:r>
              <w:rPr>
                <w:b/>
                <w:bCs/>
                <w:i/>
                <w:iCs/>
                <w:sz w:val="22"/>
                <w:szCs w:val="22"/>
              </w:rPr>
              <w:t>10</w:t>
            </w:r>
          </w:p>
        </w:tc>
        <w:tc>
          <w:tcPr>
            <w:tcW w:w="1418" w:type="dxa"/>
            <w:vMerge/>
          </w:tcPr>
          <w:p w14:paraId="3C048FB7" w14:textId="77777777" w:rsidR="001C08A5" w:rsidRDefault="001C08A5">
            <w:pPr>
              <w:rPr>
                <w:i/>
                <w:iCs/>
                <w:sz w:val="22"/>
                <w:szCs w:val="22"/>
              </w:rPr>
            </w:pPr>
          </w:p>
        </w:tc>
      </w:tr>
      <w:tr w:rsidR="001C08A5" w14:paraId="52EFAC9B" w14:textId="77777777">
        <w:tc>
          <w:tcPr>
            <w:tcW w:w="675" w:type="dxa"/>
          </w:tcPr>
          <w:p w14:paraId="1FA22358" w14:textId="77777777" w:rsidR="001C08A5" w:rsidRDefault="00000000">
            <w:pPr>
              <w:rPr>
                <w:i/>
                <w:iCs/>
                <w:sz w:val="22"/>
                <w:szCs w:val="22"/>
              </w:rPr>
            </w:pPr>
            <w:r>
              <w:rPr>
                <w:i/>
                <w:iCs/>
                <w:sz w:val="22"/>
                <w:szCs w:val="22"/>
              </w:rPr>
              <w:t>10</w:t>
            </w:r>
          </w:p>
        </w:tc>
        <w:tc>
          <w:tcPr>
            <w:tcW w:w="3062" w:type="dxa"/>
          </w:tcPr>
          <w:p w14:paraId="2A32B439" w14:textId="77777777" w:rsidR="001C08A5" w:rsidRDefault="00000000">
            <w:pPr>
              <w:rPr>
                <w:i/>
                <w:iCs/>
                <w:sz w:val="22"/>
                <w:szCs w:val="22"/>
              </w:rPr>
            </w:pPr>
            <w:r>
              <w:rPr>
                <w:i/>
                <w:iCs/>
                <w:sz w:val="22"/>
                <w:szCs w:val="22"/>
              </w:rPr>
              <w:t>Librării cu rafturi pe pereţi</w:t>
            </w:r>
          </w:p>
        </w:tc>
        <w:tc>
          <w:tcPr>
            <w:tcW w:w="1049" w:type="dxa"/>
            <w:vMerge/>
          </w:tcPr>
          <w:p w14:paraId="7638AC98" w14:textId="77777777" w:rsidR="001C08A5" w:rsidRDefault="001C08A5">
            <w:pPr>
              <w:rPr>
                <w:i/>
                <w:iCs/>
                <w:sz w:val="22"/>
                <w:szCs w:val="22"/>
              </w:rPr>
            </w:pPr>
          </w:p>
        </w:tc>
        <w:tc>
          <w:tcPr>
            <w:tcW w:w="851" w:type="dxa"/>
          </w:tcPr>
          <w:p w14:paraId="774244C4" w14:textId="77777777" w:rsidR="001C08A5" w:rsidRDefault="00000000">
            <w:pPr>
              <w:jc w:val="center"/>
              <w:rPr>
                <w:b/>
                <w:i/>
                <w:iCs/>
                <w:sz w:val="22"/>
                <w:szCs w:val="22"/>
              </w:rPr>
            </w:pPr>
            <w:r>
              <w:rPr>
                <w:b/>
                <w:i/>
                <w:iCs/>
                <w:sz w:val="22"/>
                <w:szCs w:val="22"/>
              </w:rPr>
              <w:t>5,00</w:t>
            </w:r>
          </w:p>
        </w:tc>
        <w:tc>
          <w:tcPr>
            <w:tcW w:w="1842" w:type="dxa"/>
            <w:vMerge/>
          </w:tcPr>
          <w:p w14:paraId="445515A7" w14:textId="77777777" w:rsidR="001C08A5" w:rsidRDefault="001C08A5">
            <w:pPr>
              <w:rPr>
                <w:i/>
                <w:iCs/>
                <w:sz w:val="22"/>
                <w:szCs w:val="22"/>
              </w:rPr>
            </w:pPr>
          </w:p>
        </w:tc>
        <w:tc>
          <w:tcPr>
            <w:tcW w:w="709" w:type="dxa"/>
          </w:tcPr>
          <w:p w14:paraId="0F2C8AA7" w14:textId="77777777" w:rsidR="001C08A5" w:rsidRDefault="00000000">
            <w:pPr>
              <w:jc w:val="center"/>
              <w:rPr>
                <w:b/>
                <w:bCs/>
                <w:i/>
                <w:iCs/>
                <w:sz w:val="22"/>
                <w:szCs w:val="22"/>
              </w:rPr>
            </w:pPr>
            <w:r>
              <w:rPr>
                <w:b/>
                <w:bCs/>
                <w:i/>
                <w:iCs/>
                <w:sz w:val="22"/>
                <w:szCs w:val="22"/>
              </w:rPr>
              <w:t>10</w:t>
            </w:r>
          </w:p>
        </w:tc>
        <w:tc>
          <w:tcPr>
            <w:tcW w:w="1418" w:type="dxa"/>
            <w:vMerge/>
          </w:tcPr>
          <w:p w14:paraId="3ACFDA1F" w14:textId="77777777" w:rsidR="001C08A5" w:rsidRDefault="001C08A5">
            <w:pPr>
              <w:rPr>
                <w:i/>
                <w:iCs/>
                <w:sz w:val="22"/>
                <w:szCs w:val="22"/>
              </w:rPr>
            </w:pPr>
          </w:p>
        </w:tc>
      </w:tr>
      <w:tr w:rsidR="001C08A5" w14:paraId="567B39E8" w14:textId="77777777">
        <w:tc>
          <w:tcPr>
            <w:tcW w:w="675" w:type="dxa"/>
          </w:tcPr>
          <w:p w14:paraId="4FBD8BE0" w14:textId="77777777" w:rsidR="001C08A5" w:rsidRDefault="00000000">
            <w:pPr>
              <w:rPr>
                <w:i/>
                <w:iCs/>
                <w:sz w:val="22"/>
                <w:szCs w:val="22"/>
              </w:rPr>
            </w:pPr>
            <w:r>
              <w:rPr>
                <w:i/>
                <w:iCs/>
                <w:sz w:val="22"/>
                <w:szCs w:val="22"/>
              </w:rPr>
              <w:t>11</w:t>
            </w:r>
          </w:p>
        </w:tc>
        <w:tc>
          <w:tcPr>
            <w:tcW w:w="3062" w:type="dxa"/>
          </w:tcPr>
          <w:p w14:paraId="35ABFAD9" w14:textId="77777777" w:rsidR="001C08A5" w:rsidRDefault="00000000">
            <w:pPr>
              <w:rPr>
                <w:i/>
                <w:iCs/>
                <w:sz w:val="22"/>
                <w:szCs w:val="22"/>
              </w:rPr>
            </w:pPr>
            <w:r>
              <w:rPr>
                <w:i/>
                <w:iCs/>
                <w:sz w:val="22"/>
                <w:szCs w:val="22"/>
              </w:rPr>
              <w:t>Librărie cu rafturi pe pereţi şi locuri cu scaune fixate de lectură</w:t>
            </w:r>
          </w:p>
        </w:tc>
        <w:tc>
          <w:tcPr>
            <w:tcW w:w="1049" w:type="dxa"/>
            <w:vMerge/>
          </w:tcPr>
          <w:p w14:paraId="21C334F2" w14:textId="77777777" w:rsidR="001C08A5" w:rsidRDefault="001C08A5">
            <w:pPr>
              <w:rPr>
                <w:i/>
                <w:iCs/>
                <w:sz w:val="22"/>
                <w:szCs w:val="22"/>
              </w:rPr>
            </w:pPr>
          </w:p>
        </w:tc>
        <w:tc>
          <w:tcPr>
            <w:tcW w:w="851" w:type="dxa"/>
          </w:tcPr>
          <w:p w14:paraId="58D2E0C9" w14:textId="77777777" w:rsidR="001C08A5" w:rsidRDefault="00000000">
            <w:pPr>
              <w:jc w:val="center"/>
              <w:rPr>
                <w:b/>
                <w:i/>
                <w:iCs/>
                <w:sz w:val="22"/>
                <w:szCs w:val="22"/>
              </w:rPr>
            </w:pPr>
            <w:r>
              <w:rPr>
                <w:b/>
                <w:i/>
                <w:iCs/>
                <w:sz w:val="22"/>
                <w:szCs w:val="22"/>
              </w:rPr>
              <w:t>5,00</w:t>
            </w:r>
          </w:p>
        </w:tc>
        <w:tc>
          <w:tcPr>
            <w:tcW w:w="1842" w:type="dxa"/>
            <w:vMerge/>
          </w:tcPr>
          <w:p w14:paraId="2D0653B1" w14:textId="77777777" w:rsidR="001C08A5" w:rsidRDefault="001C08A5">
            <w:pPr>
              <w:rPr>
                <w:i/>
                <w:iCs/>
                <w:sz w:val="22"/>
                <w:szCs w:val="22"/>
              </w:rPr>
            </w:pPr>
          </w:p>
        </w:tc>
        <w:tc>
          <w:tcPr>
            <w:tcW w:w="709" w:type="dxa"/>
          </w:tcPr>
          <w:p w14:paraId="66C56A84" w14:textId="77777777" w:rsidR="001C08A5" w:rsidRDefault="00000000">
            <w:pPr>
              <w:jc w:val="center"/>
              <w:rPr>
                <w:b/>
                <w:bCs/>
                <w:i/>
                <w:iCs/>
                <w:sz w:val="22"/>
                <w:szCs w:val="22"/>
              </w:rPr>
            </w:pPr>
            <w:r>
              <w:rPr>
                <w:b/>
                <w:bCs/>
                <w:i/>
                <w:iCs/>
                <w:sz w:val="22"/>
                <w:szCs w:val="22"/>
              </w:rPr>
              <w:t>10</w:t>
            </w:r>
          </w:p>
        </w:tc>
        <w:tc>
          <w:tcPr>
            <w:tcW w:w="1418" w:type="dxa"/>
            <w:vMerge/>
          </w:tcPr>
          <w:p w14:paraId="3E943327" w14:textId="77777777" w:rsidR="001C08A5" w:rsidRDefault="001C08A5">
            <w:pPr>
              <w:rPr>
                <w:i/>
                <w:iCs/>
                <w:sz w:val="22"/>
                <w:szCs w:val="22"/>
              </w:rPr>
            </w:pPr>
          </w:p>
        </w:tc>
      </w:tr>
      <w:tr w:rsidR="001C08A5" w14:paraId="5A3CE809" w14:textId="77777777">
        <w:tc>
          <w:tcPr>
            <w:tcW w:w="675" w:type="dxa"/>
          </w:tcPr>
          <w:p w14:paraId="506951D9" w14:textId="77777777" w:rsidR="001C08A5" w:rsidRDefault="00000000">
            <w:pPr>
              <w:rPr>
                <w:i/>
                <w:iCs/>
                <w:sz w:val="22"/>
                <w:szCs w:val="22"/>
              </w:rPr>
            </w:pPr>
            <w:r>
              <w:rPr>
                <w:i/>
                <w:iCs/>
                <w:sz w:val="22"/>
                <w:szCs w:val="22"/>
              </w:rPr>
              <w:t>12</w:t>
            </w:r>
          </w:p>
        </w:tc>
        <w:tc>
          <w:tcPr>
            <w:tcW w:w="3062" w:type="dxa"/>
          </w:tcPr>
          <w:p w14:paraId="7375C021" w14:textId="77777777" w:rsidR="001C08A5" w:rsidRDefault="00000000">
            <w:pPr>
              <w:rPr>
                <w:i/>
                <w:iCs/>
                <w:sz w:val="22"/>
                <w:szCs w:val="22"/>
              </w:rPr>
            </w:pPr>
            <w:r>
              <w:rPr>
                <w:i/>
                <w:iCs/>
                <w:sz w:val="22"/>
                <w:szCs w:val="22"/>
              </w:rPr>
              <w:t>Librărie cu rafturi pe pereţi şi locuri cu scaune nefixate de lectură</w:t>
            </w:r>
          </w:p>
        </w:tc>
        <w:tc>
          <w:tcPr>
            <w:tcW w:w="1049" w:type="dxa"/>
            <w:vMerge/>
          </w:tcPr>
          <w:p w14:paraId="0758AB14" w14:textId="77777777" w:rsidR="001C08A5" w:rsidRDefault="001C08A5">
            <w:pPr>
              <w:rPr>
                <w:i/>
                <w:iCs/>
                <w:sz w:val="22"/>
                <w:szCs w:val="22"/>
              </w:rPr>
            </w:pPr>
          </w:p>
        </w:tc>
        <w:tc>
          <w:tcPr>
            <w:tcW w:w="851" w:type="dxa"/>
          </w:tcPr>
          <w:p w14:paraId="6FA7BFC2" w14:textId="77777777" w:rsidR="001C08A5" w:rsidRDefault="00000000">
            <w:pPr>
              <w:jc w:val="center"/>
              <w:rPr>
                <w:b/>
                <w:i/>
                <w:iCs/>
                <w:sz w:val="22"/>
                <w:szCs w:val="22"/>
              </w:rPr>
            </w:pPr>
            <w:r>
              <w:rPr>
                <w:b/>
                <w:i/>
                <w:iCs/>
                <w:sz w:val="22"/>
                <w:szCs w:val="22"/>
              </w:rPr>
              <w:t>5,00</w:t>
            </w:r>
          </w:p>
        </w:tc>
        <w:tc>
          <w:tcPr>
            <w:tcW w:w="1842" w:type="dxa"/>
            <w:vMerge/>
          </w:tcPr>
          <w:p w14:paraId="117456BD" w14:textId="77777777" w:rsidR="001C08A5" w:rsidRDefault="001C08A5">
            <w:pPr>
              <w:rPr>
                <w:i/>
                <w:iCs/>
                <w:sz w:val="22"/>
                <w:szCs w:val="22"/>
              </w:rPr>
            </w:pPr>
          </w:p>
        </w:tc>
        <w:tc>
          <w:tcPr>
            <w:tcW w:w="709" w:type="dxa"/>
          </w:tcPr>
          <w:p w14:paraId="37303B72" w14:textId="77777777" w:rsidR="001C08A5" w:rsidRDefault="00000000">
            <w:pPr>
              <w:jc w:val="center"/>
              <w:rPr>
                <w:b/>
                <w:bCs/>
                <w:i/>
                <w:iCs/>
                <w:sz w:val="22"/>
                <w:szCs w:val="22"/>
              </w:rPr>
            </w:pPr>
            <w:r>
              <w:rPr>
                <w:b/>
                <w:bCs/>
                <w:i/>
                <w:iCs/>
                <w:sz w:val="22"/>
                <w:szCs w:val="22"/>
              </w:rPr>
              <w:t>10</w:t>
            </w:r>
          </w:p>
        </w:tc>
        <w:tc>
          <w:tcPr>
            <w:tcW w:w="1418" w:type="dxa"/>
            <w:vMerge/>
          </w:tcPr>
          <w:p w14:paraId="50655363" w14:textId="77777777" w:rsidR="001C08A5" w:rsidRDefault="001C08A5">
            <w:pPr>
              <w:rPr>
                <w:i/>
                <w:iCs/>
                <w:sz w:val="22"/>
                <w:szCs w:val="22"/>
              </w:rPr>
            </w:pPr>
          </w:p>
        </w:tc>
      </w:tr>
      <w:tr w:rsidR="001C08A5" w14:paraId="55A73BC1" w14:textId="77777777">
        <w:tc>
          <w:tcPr>
            <w:tcW w:w="675" w:type="dxa"/>
          </w:tcPr>
          <w:p w14:paraId="6D9E90C3" w14:textId="77777777" w:rsidR="001C08A5" w:rsidRDefault="00000000">
            <w:pPr>
              <w:rPr>
                <w:i/>
                <w:iCs/>
                <w:sz w:val="22"/>
                <w:szCs w:val="22"/>
              </w:rPr>
            </w:pPr>
            <w:r>
              <w:rPr>
                <w:i/>
                <w:iCs/>
                <w:sz w:val="22"/>
                <w:szCs w:val="22"/>
              </w:rPr>
              <w:t>13</w:t>
            </w:r>
          </w:p>
        </w:tc>
        <w:tc>
          <w:tcPr>
            <w:tcW w:w="3062" w:type="dxa"/>
          </w:tcPr>
          <w:p w14:paraId="77246D77" w14:textId="77777777" w:rsidR="001C08A5" w:rsidRDefault="00000000">
            <w:pPr>
              <w:rPr>
                <w:i/>
                <w:iCs/>
                <w:sz w:val="22"/>
                <w:szCs w:val="22"/>
              </w:rPr>
            </w:pPr>
            <w:r>
              <w:rPr>
                <w:i/>
                <w:iCs/>
                <w:sz w:val="22"/>
                <w:szCs w:val="22"/>
              </w:rPr>
              <w:t>Prestări servicii având activitate cu public (saloane de frizerie, coafor, manichiură etc.)</w:t>
            </w:r>
          </w:p>
        </w:tc>
        <w:tc>
          <w:tcPr>
            <w:tcW w:w="1049" w:type="dxa"/>
            <w:vMerge/>
          </w:tcPr>
          <w:p w14:paraId="4B886C56" w14:textId="77777777" w:rsidR="001C08A5" w:rsidRDefault="001C08A5">
            <w:pPr>
              <w:rPr>
                <w:i/>
                <w:iCs/>
                <w:sz w:val="22"/>
                <w:szCs w:val="22"/>
              </w:rPr>
            </w:pPr>
          </w:p>
        </w:tc>
        <w:tc>
          <w:tcPr>
            <w:tcW w:w="851" w:type="dxa"/>
          </w:tcPr>
          <w:p w14:paraId="4BB0EDB1" w14:textId="77777777" w:rsidR="001C08A5" w:rsidRDefault="00000000">
            <w:pPr>
              <w:jc w:val="center"/>
              <w:rPr>
                <w:b/>
                <w:i/>
                <w:iCs/>
                <w:sz w:val="22"/>
                <w:szCs w:val="22"/>
              </w:rPr>
            </w:pPr>
            <w:r>
              <w:rPr>
                <w:b/>
                <w:i/>
                <w:iCs/>
                <w:sz w:val="22"/>
                <w:szCs w:val="22"/>
              </w:rPr>
              <w:t>5,00</w:t>
            </w:r>
          </w:p>
        </w:tc>
        <w:tc>
          <w:tcPr>
            <w:tcW w:w="1842" w:type="dxa"/>
            <w:vMerge/>
          </w:tcPr>
          <w:p w14:paraId="5D9B7FF5" w14:textId="77777777" w:rsidR="001C08A5" w:rsidRDefault="001C08A5">
            <w:pPr>
              <w:rPr>
                <w:i/>
                <w:iCs/>
                <w:sz w:val="22"/>
                <w:szCs w:val="22"/>
              </w:rPr>
            </w:pPr>
          </w:p>
        </w:tc>
        <w:tc>
          <w:tcPr>
            <w:tcW w:w="709" w:type="dxa"/>
          </w:tcPr>
          <w:p w14:paraId="3188BFFC" w14:textId="77777777" w:rsidR="001C08A5" w:rsidRDefault="00000000">
            <w:pPr>
              <w:jc w:val="center"/>
              <w:rPr>
                <w:b/>
                <w:bCs/>
                <w:i/>
                <w:iCs/>
                <w:sz w:val="22"/>
                <w:szCs w:val="22"/>
              </w:rPr>
            </w:pPr>
            <w:r>
              <w:rPr>
                <w:b/>
                <w:bCs/>
                <w:i/>
                <w:iCs/>
                <w:sz w:val="22"/>
                <w:szCs w:val="22"/>
              </w:rPr>
              <w:t>10</w:t>
            </w:r>
          </w:p>
        </w:tc>
        <w:tc>
          <w:tcPr>
            <w:tcW w:w="1418" w:type="dxa"/>
            <w:vMerge/>
          </w:tcPr>
          <w:p w14:paraId="6639E230" w14:textId="77777777" w:rsidR="001C08A5" w:rsidRDefault="001C08A5">
            <w:pPr>
              <w:rPr>
                <w:i/>
                <w:iCs/>
                <w:sz w:val="22"/>
                <w:szCs w:val="22"/>
              </w:rPr>
            </w:pPr>
          </w:p>
        </w:tc>
      </w:tr>
      <w:tr w:rsidR="001C08A5" w14:paraId="1FD1F49C" w14:textId="77777777">
        <w:tc>
          <w:tcPr>
            <w:tcW w:w="675" w:type="dxa"/>
          </w:tcPr>
          <w:p w14:paraId="0BAC3FAC" w14:textId="77777777" w:rsidR="001C08A5" w:rsidRDefault="00000000">
            <w:pPr>
              <w:rPr>
                <w:i/>
                <w:iCs/>
                <w:sz w:val="22"/>
                <w:szCs w:val="22"/>
              </w:rPr>
            </w:pPr>
            <w:r>
              <w:rPr>
                <w:i/>
                <w:iCs/>
                <w:sz w:val="22"/>
                <w:szCs w:val="22"/>
              </w:rPr>
              <w:t>14</w:t>
            </w:r>
          </w:p>
        </w:tc>
        <w:tc>
          <w:tcPr>
            <w:tcW w:w="3062" w:type="dxa"/>
          </w:tcPr>
          <w:p w14:paraId="6A1353D1" w14:textId="77777777" w:rsidR="001C08A5" w:rsidRDefault="00000000">
            <w:pPr>
              <w:rPr>
                <w:i/>
                <w:iCs/>
                <w:sz w:val="22"/>
                <w:szCs w:val="22"/>
              </w:rPr>
            </w:pPr>
            <w:r>
              <w:rPr>
                <w:i/>
                <w:iCs/>
                <w:sz w:val="22"/>
                <w:szCs w:val="22"/>
              </w:rPr>
              <w:t>Service auto</w:t>
            </w:r>
          </w:p>
        </w:tc>
        <w:tc>
          <w:tcPr>
            <w:tcW w:w="1049" w:type="dxa"/>
            <w:vMerge/>
          </w:tcPr>
          <w:p w14:paraId="02836AD2" w14:textId="77777777" w:rsidR="001C08A5" w:rsidRDefault="001C08A5">
            <w:pPr>
              <w:rPr>
                <w:i/>
                <w:iCs/>
                <w:sz w:val="22"/>
                <w:szCs w:val="22"/>
              </w:rPr>
            </w:pPr>
          </w:p>
        </w:tc>
        <w:tc>
          <w:tcPr>
            <w:tcW w:w="851" w:type="dxa"/>
          </w:tcPr>
          <w:p w14:paraId="06A5B15D" w14:textId="77777777" w:rsidR="001C08A5" w:rsidRDefault="00000000">
            <w:pPr>
              <w:jc w:val="center"/>
              <w:rPr>
                <w:b/>
                <w:i/>
                <w:iCs/>
                <w:sz w:val="22"/>
                <w:szCs w:val="22"/>
              </w:rPr>
            </w:pPr>
            <w:r>
              <w:rPr>
                <w:b/>
                <w:i/>
                <w:iCs/>
                <w:sz w:val="22"/>
                <w:szCs w:val="22"/>
              </w:rPr>
              <w:t>15,00</w:t>
            </w:r>
          </w:p>
        </w:tc>
        <w:tc>
          <w:tcPr>
            <w:tcW w:w="1842" w:type="dxa"/>
            <w:vMerge/>
          </w:tcPr>
          <w:p w14:paraId="1D9203AC" w14:textId="77777777" w:rsidR="001C08A5" w:rsidRDefault="001C08A5">
            <w:pPr>
              <w:rPr>
                <w:i/>
                <w:iCs/>
                <w:sz w:val="22"/>
                <w:szCs w:val="22"/>
              </w:rPr>
            </w:pPr>
          </w:p>
        </w:tc>
        <w:tc>
          <w:tcPr>
            <w:tcW w:w="709" w:type="dxa"/>
          </w:tcPr>
          <w:p w14:paraId="05A3A184" w14:textId="77777777" w:rsidR="001C08A5" w:rsidRDefault="00000000">
            <w:pPr>
              <w:jc w:val="center"/>
              <w:rPr>
                <w:b/>
                <w:bCs/>
                <w:i/>
                <w:iCs/>
                <w:sz w:val="22"/>
                <w:szCs w:val="22"/>
              </w:rPr>
            </w:pPr>
            <w:r>
              <w:rPr>
                <w:b/>
                <w:bCs/>
                <w:i/>
                <w:iCs/>
                <w:sz w:val="22"/>
                <w:szCs w:val="22"/>
              </w:rPr>
              <w:t>20</w:t>
            </w:r>
          </w:p>
        </w:tc>
        <w:tc>
          <w:tcPr>
            <w:tcW w:w="1418" w:type="dxa"/>
            <w:vMerge/>
          </w:tcPr>
          <w:p w14:paraId="7177E67B" w14:textId="77777777" w:rsidR="001C08A5" w:rsidRDefault="001C08A5">
            <w:pPr>
              <w:rPr>
                <w:i/>
                <w:iCs/>
                <w:sz w:val="22"/>
                <w:szCs w:val="22"/>
              </w:rPr>
            </w:pPr>
          </w:p>
        </w:tc>
      </w:tr>
      <w:tr w:rsidR="001C08A5" w14:paraId="32E3A9FD" w14:textId="77777777">
        <w:tc>
          <w:tcPr>
            <w:tcW w:w="675" w:type="dxa"/>
          </w:tcPr>
          <w:p w14:paraId="54A1C08A" w14:textId="77777777" w:rsidR="001C08A5" w:rsidRDefault="00000000">
            <w:pPr>
              <w:rPr>
                <w:i/>
                <w:iCs/>
                <w:sz w:val="22"/>
                <w:szCs w:val="22"/>
              </w:rPr>
            </w:pPr>
            <w:r>
              <w:rPr>
                <w:i/>
                <w:iCs/>
                <w:sz w:val="22"/>
                <w:szCs w:val="22"/>
              </w:rPr>
              <w:t>15</w:t>
            </w:r>
          </w:p>
        </w:tc>
        <w:tc>
          <w:tcPr>
            <w:tcW w:w="3062" w:type="dxa"/>
          </w:tcPr>
          <w:p w14:paraId="5C644CFE" w14:textId="77777777" w:rsidR="001C08A5" w:rsidRDefault="00000000">
            <w:pPr>
              <w:rPr>
                <w:i/>
                <w:iCs/>
                <w:sz w:val="22"/>
                <w:szCs w:val="22"/>
              </w:rPr>
            </w:pPr>
            <w:r>
              <w:rPr>
                <w:i/>
                <w:iCs/>
                <w:sz w:val="22"/>
                <w:szCs w:val="22"/>
              </w:rPr>
              <w:t>Sală de fitness, aerobic fără aparate, etc.</w:t>
            </w:r>
          </w:p>
        </w:tc>
        <w:tc>
          <w:tcPr>
            <w:tcW w:w="1049" w:type="dxa"/>
            <w:vMerge/>
          </w:tcPr>
          <w:p w14:paraId="0EEA8478" w14:textId="77777777" w:rsidR="001C08A5" w:rsidRDefault="001C08A5">
            <w:pPr>
              <w:rPr>
                <w:i/>
                <w:iCs/>
                <w:sz w:val="22"/>
                <w:szCs w:val="22"/>
              </w:rPr>
            </w:pPr>
          </w:p>
        </w:tc>
        <w:tc>
          <w:tcPr>
            <w:tcW w:w="851" w:type="dxa"/>
          </w:tcPr>
          <w:p w14:paraId="55E89B0D" w14:textId="77777777" w:rsidR="001C08A5" w:rsidRDefault="00000000">
            <w:pPr>
              <w:jc w:val="center"/>
              <w:rPr>
                <w:b/>
                <w:i/>
                <w:iCs/>
                <w:sz w:val="22"/>
                <w:szCs w:val="22"/>
              </w:rPr>
            </w:pPr>
            <w:r>
              <w:rPr>
                <w:b/>
                <w:i/>
                <w:iCs/>
                <w:sz w:val="22"/>
                <w:szCs w:val="22"/>
              </w:rPr>
              <w:t xml:space="preserve">5,00 </w:t>
            </w:r>
          </w:p>
        </w:tc>
        <w:tc>
          <w:tcPr>
            <w:tcW w:w="1842" w:type="dxa"/>
            <w:vMerge/>
          </w:tcPr>
          <w:p w14:paraId="5791290C" w14:textId="77777777" w:rsidR="001C08A5" w:rsidRDefault="001C08A5">
            <w:pPr>
              <w:rPr>
                <w:i/>
                <w:iCs/>
                <w:sz w:val="22"/>
                <w:szCs w:val="22"/>
              </w:rPr>
            </w:pPr>
          </w:p>
        </w:tc>
        <w:tc>
          <w:tcPr>
            <w:tcW w:w="709" w:type="dxa"/>
          </w:tcPr>
          <w:p w14:paraId="76E09DB4" w14:textId="77777777" w:rsidR="001C08A5" w:rsidRDefault="00000000">
            <w:pPr>
              <w:jc w:val="center"/>
              <w:rPr>
                <w:b/>
                <w:bCs/>
                <w:i/>
                <w:iCs/>
                <w:sz w:val="22"/>
                <w:szCs w:val="22"/>
              </w:rPr>
            </w:pPr>
            <w:r>
              <w:rPr>
                <w:b/>
                <w:bCs/>
                <w:i/>
                <w:iCs/>
                <w:sz w:val="22"/>
                <w:szCs w:val="22"/>
              </w:rPr>
              <w:t>10</w:t>
            </w:r>
          </w:p>
        </w:tc>
        <w:tc>
          <w:tcPr>
            <w:tcW w:w="1418" w:type="dxa"/>
            <w:vMerge/>
          </w:tcPr>
          <w:p w14:paraId="220EF542" w14:textId="77777777" w:rsidR="001C08A5" w:rsidRDefault="001C08A5">
            <w:pPr>
              <w:rPr>
                <w:i/>
                <w:iCs/>
                <w:sz w:val="22"/>
                <w:szCs w:val="22"/>
              </w:rPr>
            </w:pPr>
          </w:p>
        </w:tc>
      </w:tr>
      <w:tr w:rsidR="001C08A5" w14:paraId="490D9212" w14:textId="77777777">
        <w:tc>
          <w:tcPr>
            <w:tcW w:w="675" w:type="dxa"/>
          </w:tcPr>
          <w:p w14:paraId="62FD0D8C" w14:textId="77777777" w:rsidR="001C08A5" w:rsidRDefault="00000000">
            <w:pPr>
              <w:rPr>
                <w:i/>
                <w:iCs/>
                <w:sz w:val="22"/>
                <w:szCs w:val="22"/>
              </w:rPr>
            </w:pPr>
            <w:r>
              <w:rPr>
                <w:i/>
                <w:iCs/>
                <w:sz w:val="22"/>
                <w:szCs w:val="22"/>
              </w:rPr>
              <w:t>16</w:t>
            </w:r>
          </w:p>
        </w:tc>
        <w:tc>
          <w:tcPr>
            <w:tcW w:w="3062" w:type="dxa"/>
          </w:tcPr>
          <w:p w14:paraId="20FDAE5F" w14:textId="77777777" w:rsidR="001C08A5" w:rsidRDefault="00000000">
            <w:pPr>
              <w:rPr>
                <w:i/>
                <w:iCs/>
                <w:sz w:val="22"/>
                <w:szCs w:val="22"/>
              </w:rPr>
            </w:pPr>
            <w:r>
              <w:rPr>
                <w:i/>
                <w:iCs/>
                <w:sz w:val="22"/>
                <w:szCs w:val="22"/>
              </w:rPr>
              <w:t>Facilități sportive si de agrement ( bazine înot, spatii spa)</w:t>
            </w:r>
          </w:p>
        </w:tc>
        <w:tc>
          <w:tcPr>
            <w:tcW w:w="1049" w:type="dxa"/>
          </w:tcPr>
          <w:p w14:paraId="3F172550" w14:textId="77777777" w:rsidR="001C08A5" w:rsidRDefault="001C08A5">
            <w:pPr>
              <w:rPr>
                <w:i/>
                <w:iCs/>
                <w:sz w:val="22"/>
                <w:szCs w:val="22"/>
              </w:rPr>
            </w:pPr>
          </w:p>
        </w:tc>
        <w:tc>
          <w:tcPr>
            <w:tcW w:w="851" w:type="dxa"/>
          </w:tcPr>
          <w:p w14:paraId="75FF4DBE" w14:textId="77777777" w:rsidR="001C08A5" w:rsidRDefault="00000000">
            <w:pPr>
              <w:jc w:val="center"/>
              <w:rPr>
                <w:b/>
                <w:i/>
                <w:iCs/>
                <w:sz w:val="22"/>
                <w:szCs w:val="22"/>
              </w:rPr>
            </w:pPr>
            <w:r>
              <w:rPr>
                <w:b/>
                <w:i/>
                <w:iCs/>
                <w:sz w:val="22"/>
                <w:szCs w:val="22"/>
              </w:rPr>
              <w:t xml:space="preserve">5,00 </w:t>
            </w:r>
          </w:p>
        </w:tc>
        <w:tc>
          <w:tcPr>
            <w:tcW w:w="1842" w:type="dxa"/>
          </w:tcPr>
          <w:p w14:paraId="5E567080" w14:textId="77777777" w:rsidR="001C08A5" w:rsidRDefault="001C08A5">
            <w:pPr>
              <w:rPr>
                <w:i/>
                <w:iCs/>
                <w:sz w:val="22"/>
                <w:szCs w:val="22"/>
              </w:rPr>
            </w:pPr>
          </w:p>
        </w:tc>
        <w:tc>
          <w:tcPr>
            <w:tcW w:w="709" w:type="dxa"/>
          </w:tcPr>
          <w:p w14:paraId="3526CFB8" w14:textId="77777777" w:rsidR="001C08A5" w:rsidRDefault="00000000">
            <w:pPr>
              <w:jc w:val="center"/>
              <w:rPr>
                <w:b/>
                <w:bCs/>
                <w:i/>
                <w:iCs/>
                <w:sz w:val="22"/>
                <w:szCs w:val="22"/>
              </w:rPr>
            </w:pPr>
            <w:r>
              <w:rPr>
                <w:b/>
                <w:bCs/>
                <w:i/>
                <w:iCs/>
                <w:sz w:val="22"/>
                <w:szCs w:val="22"/>
              </w:rPr>
              <w:t>10</w:t>
            </w:r>
          </w:p>
        </w:tc>
        <w:tc>
          <w:tcPr>
            <w:tcW w:w="1418" w:type="dxa"/>
          </w:tcPr>
          <w:p w14:paraId="2CFB8AEE" w14:textId="77777777" w:rsidR="001C08A5" w:rsidRDefault="001C08A5">
            <w:pPr>
              <w:rPr>
                <w:i/>
                <w:iCs/>
                <w:sz w:val="22"/>
                <w:szCs w:val="22"/>
              </w:rPr>
            </w:pPr>
          </w:p>
        </w:tc>
      </w:tr>
    </w:tbl>
    <w:p w14:paraId="28A98C90" w14:textId="77777777" w:rsidR="001C08A5" w:rsidRDefault="001C08A5">
      <w:pPr>
        <w:rPr>
          <w:b/>
          <w:sz w:val="24"/>
          <w:szCs w:val="24"/>
        </w:rPr>
      </w:pPr>
    </w:p>
    <w:p w14:paraId="0B8249DB" w14:textId="77777777" w:rsidR="001C08A5" w:rsidRDefault="00000000">
      <w:pPr>
        <w:pStyle w:val="Captiontabel"/>
      </w:pPr>
      <w:bookmarkStart w:id="2370" w:name="_Toc162360079"/>
      <w:r>
        <w:t xml:space="preserve">Tabelul </w:t>
      </w:r>
      <w:r>
        <w:fldChar w:fldCharType="begin"/>
      </w:r>
      <w:r>
        <w:instrText xml:space="preserve"> SEQ Tabelul \* ARABIC </w:instrText>
      </w:r>
      <w:r>
        <w:fldChar w:fldCharType="separate"/>
      </w:r>
      <w:r>
        <w:t>29</w:t>
      </w:r>
      <w:r>
        <w:fldChar w:fldCharType="end"/>
      </w:r>
      <w:bookmarkStart w:id="2371" w:name="_Toc8776"/>
      <w:bookmarkStart w:id="2372" w:name="_Toc8566"/>
      <w:bookmarkStart w:id="2373" w:name="_Toc29187"/>
      <w:bookmarkStart w:id="2374" w:name="_Toc16006"/>
      <w:bookmarkStart w:id="2375" w:name="_Toc11616"/>
      <w:bookmarkStart w:id="2376" w:name="_Toc9737"/>
      <w:bookmarkStart w:id="2377" w:name="_Toc5064"/>
      <w:bookmarkStart w:id="2378" w:name="_Toc4018"/>
      <w:bookmarkStart w:id="2379" w:name="_Toc21165"/>
      <w:bookmarkStart w:id="2380" w:name="_Toc6233"/>
      <w:bookmarkStart w:id="2381" w:name="_Toc4696"/>
      <w:bookmarkStart w:id="2382" w:name="_Toc21629"/>
      <w:bookmarkStart w:id="2383" w:name="_Toc5180"/>
      <w:bookmarkStart w:id="2384" w:name="_Toc17925"/>
      <w:bookmarkStart w:id="2385" w:name="_Toc8265"/>
      <w:bookmarkStart w:id="2386" w:name="_Toc18736"/>
      <w:bookmarkStart w:id="2387" w:name="_Toc26157"/>
      <w:bookmarkStart w:id="2388" w:name="_Toc17058"/>
      <w:bookmarkStart w:id="2389" w:name="_Toc20482"/>
      <w:r>
        <w:t>: Număr minim simultan de persoane din clădiri pentru sănătate</w:t>
      </w:r>
      <w:bookmarkEnd w:id="2370"/>
      <w:r>
        <w:t xml:space="preserve"> </w:t>
      </w:r>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p>
    <w:p w14:paraId="20580C5C" w14:textId="77777777" w:rsidR="001C08A5" w:rsidRDefault="001C08A5">
      <w:pPr>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17"/>
        <w:gridCol w:w="2415"/>
        <w:gridCol w:w="1470"/>
        <w:gridCol w:w="1080"/>
        <w:gridCol w:w="765"/>
        <w:gridCol w:w="1410"/>
        <w:gridCol w:w="715"/>
        <w:gridCol w:w="1134"/>
      </w:tblGrid>
      <w:tr w:rsidR="001C08A5" w14:paraId="0368FA7E" w14:textId="77777777">
        <w:trPr>
          <w:tblHeader/>
        </w:trPr>
        <w:tc>
          <w:tcPr>
            <w:tcW w:w="617" w:type="dxa"/>
            <w:shd w:val="clear" w:color="auto" w:fill="BFBFBF"/>
            <w:vAlign w:val="center"/>
          </w:tcPr>
          <w:p w14:paraId="6CDEE8EE" w14:textId="77777777" w:rsidR="001C08A5" w:rsidRDefault="00000000">
            <w:pPr>
              <w:jc w:val="center"/>
              <w:rPr>
                <w:b/>
                <w:i/>
                <w:iCs/>
                <w:sz w:val="22"/>
                <w:szCs w:val="22"/>
              </w:rPr>
            </w:pPr>
            <w:r>
              <w:rPr>
                <w:b/>
                <w:i/>
                <w:iCs/>
                <w:sz w:val="22"/>
                <w:szCs w:val="22"/>
              </w:rPr>
              <w:t>Nr.</w:t>
            </w:r>
          </w:p>
          <w:p w14:paraId="3E9AE58D" w14:textId="77777777" w:rsidR="001C08A5" w:rsidRDefault="00000000">
            <w:pPr>
              <w:jc w:val="center"/>
              <w:rPr>
                <w:i/>
                <w:iCs/>
                <w:sz w:val="22"/>
                <w:szCs w:val="22"/>
              </w:rPr>
            </w:pPr>
            <w:r>
              <w:rPr>
                <w:b/>
                <w:i/>
                <w:iCs/>
                <w:sz w:val="22"/>
                <w:szCs w:val="22"/>
              </w:rPr>
              <w:t>crt.</w:t>
            </w:r>
          </w:p>
        </w:tc>
        <w:tc>
          <w:tcPr>
            <w:tcW w:w="2415" w:type="dxa"/>
            <w:shd w:val="clear" w:color="auto" w:fill="BFBFBF"/>
            <w:vAlign w:val="center"/>
          </w:tcPr>
          <w:p w14:paraId="57652C10" w14:textId="77777777" w:rsidR="001C08A5" w:rsidRDefault="00000000">
            <w:pPr>
              <w:jc w:val="center"/>
              <w:rPr>
                <w:i/>
                <w:iCs/>
                <w:sz w:val="22"/>
                <w:szCs w:val="22"/>
              </w:rPr>
            </w:pPr>
            <w:r>
              <w:rPr>
                <w:b/>
                <w:i/>
                <w:iCs/>
                <w:sz w:val="22"/>
                <w:szCs w:val="22"/>
              </w:rPr>
              <w:t>Destinaţie / funcţiune</w:t>
            </w:r>
          </w:p>
        </w:tc>
        <w:tc>
          <w:tcPr>
            <w:tcW w:w="1470" w:type="dxa"/>
            <w:shd w:val="clear" w:color="auto" w:fill="BFBFBF"/>
            <w:vAlign w:val="center"/>
          </w:tcPr>
          <w:p w14:paraId="5F58337C" w14:textId="77777777" w:rsidR="001C08A5" w:rsidRDefault="00000000">
            <w:pPr>
              <w:jc w:val="center"/>
              <w:rPr>
                <w:b/>
                <w:i/>
                <w:iCs/>
                <w:sz w:val="22"/>
                <w:szCs w:val="22"/>
              </w:rPr>
            </w:pPr>
            <w:r>
              <w:rPr>
                <w:b/>
                <w:i/>
                <w:iCs/>
                <w:sz w:val="22"/>
                <w:szCs w:val="22"/>
              </w:rPr>
              <w:t>Observaţii</w:t>
            </w:r>
          </w:p>
        </w:tc>
        <w:tc>
          <w:tcPr>
            <w:tcW w:w="1080" w:type="dxa"/>
            <w:shd w:val="clear" w:color="auto" w:fill="BFBFBF"/>
            <w:vAlign w:val="center"/>
          </w:tcPr>
          <w:p w14:paraId="55BBF56F" w14:textId="77777777" w:rsidR="001C08A5" w:rsidRDefault="00000000">
            <w:pPr>
              <w:jc w:val="center"/>
              <w:rPr>
                <w:i/>
                <w:iCs/>
                <w:sz w:val="22"/>
                <w:szCs w:val="22"/>
              </w:rPr>
            </w:pPr>
            <w:r>
              <w:rPr>
                <w:b/>
                <w:i/>
                <w:iCs/>
                <w:sz w:val="22"/>
                <w:szCs w:val="22"/>
              </w:rPr>
              <w:t>Nivel de referinţă</w:t>
            </w:r>
          </w:p>
        </w:tc>
        <w:tc>
          <w:tcPr>
            <w:tcW w:w="765" w:type="dxa"/>
            <w:shd w:val="clear" w:color="auto" w:fill="BFBFBF"/>
            <w:vAlign w:val="center"/>
          </w:tcPr>
          <w:p w14:paraId="26C397EA"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1410" w:type="dxa"/>
            <w:shd w:val="clear" w:color="auto" w:fill="BFBFBF"/>
            <w:vAlign w:val="center"/>
          </w:tcPr>
          <w:p w14:paraId="38A7B7C3" w14:textId="77777777" w:rsidR="001C08A5" w:rsidRDefault="00000000">
            <w:pPr>
              <w:jc w:val="center"/>
              <w:rPr>
                <w:b/>
                <w:i/>
                <w:iCs/>
                <w:sz w:val="22"/>
                <w:szCs w:val="22"/>
              </w:rPr>
            </w:pPr>
            <w:r>
              <w:rPr>
                <w:b/>
                <w:i/>
                <w:iCs/>
                <w:sz w:val="22"/>
                <w:szCs w:val="22"/>
              </w:rPr>
              <w:t>Destinaţia / funcţiunea ariei considerată în calcul</w:t>
            </w:r>
          </w:p>
        </w:tc>
        <w:tc>
          <w:tcPr>
            <w:tcW w:w="715" w:type="dxa"/>
            <w:shd w:val="clear" w:color="auto" w:fill="BFBFBF"/>
            <w:vAlign w:val="center"/>
          </w:tcPr>
          <w:p w14:paraId="15417FD2" w14:textId="77777777" w:rsidR="001C08A5" w:rsidRDefault="00000000">
            <w:pPr>
              <w:jc w:val="center"/>
              <w:rPr>
                <w:b/>
                <w:i/>
                <w:iCs/>
                <w:sz w:val="22"/>
                <w:szCs w:val="22"/>
              </w:rPr>
            </w:pPr>
            <w:r>
              <w:rPr>
                <w:b/>
                <w:i/>
                <w:iCs/>
                <w:sz w:val="22"/>
                <w:szCs w:val="22"/>
              </w:rPr>
              <w:t>Spor%</w:t>
            </w:r>
          </w:p>
          <w:p w14:paraId="0CD155D0" w14:textId="77777777" w:rsidR="001C08A5" w:rsidRDefault="001C08A5">
            <w:pPr>
              <w:jc w:val="center"/>
              <w:rPr>
                <w:b/>
                <w:i/>
                <w:iCs/>
                <w:sz w:val="22"/>
                <w:szCs w:val="22"/>
              </w:rPr>
            </w:pPr>
          </w:p>
        </w:tc>
        <w:tc>
          <w:tcPr>
            <w:tcW w:w="1134" w:type="dxa"/>
            <w:shd w:val="clear" w:color="auto" w:fill="BFBFBF"/>
            <w:vAlign w:val="center"/>
          </w:tcPr>
          <w:p w14:paraId="55D5BAB8" w14:textId="77777777" w:rsidR="001C08A5" w:rsidRDefault="00000000">
            <w:pPr>
              <w:jc w:val="center"/>
              <w:rPr>
                <w:b/>
                <w:i/>
                <w:iCs/>
                <w:sz w:val="22"/>
                <w:szCs w:val="22"/>
              </w:rPr>
            </w:pPr>
            <w:r>
              <w:rPr>
                <w:b/>
                <w:i/>
                <w:iCs/>
                <w:sz w:val="22"/>
                <w:szCs w:val="22"/>
              </w:rPr>
              <w:t>Personalpentru care se acordă spor</w:t>
            </w:r>
          </w:p>
        </w:tc>
      </w:tr>
      <w:tr w:rsidR="001C08A5" w14:paraId="1FA17503" w14:textId="77777777">
        <w:tc>
          <w:tcPr>
            <w:tcW w:w="617" w:type="dxa"/>
          </w:tcPr>
          <w:p w14:paraId="6D5E587C" w14:textId="77777777" w:rsidR="001C08A5" w:rsidRDefault="00000000">
            <w:pPr>
              <w:jc w:val="both"/>
              <w:rPr>
                <w:i/>
                <w:iCs/>
                <w:sz w:val="22"/>
                <w:szCs w:val="22"/>
              </w:rPr>
            </w:pPr>
            <w:r>
              <w:rPr>
                <w:i/>
                <w:iCs/>
                <w:sz w:val="22"/>
                <w:szCs w:val="22"/>
              </w:rPr>
              <w:t>1</w:t>
            </w:r>
          </w:p>
        </w:tc>
        <w:tc>
          <w:tcPr>
            <w:tcW w:w="2415" w:type="dxa"/>
          </w:tcPr>
          <w:p w14:paraId="57758D66" w14:textId="77777777" w:rsidR="001C08A5" w:rsidRDefault="00000000">
            <w:pPr>
              <w:rPr>
                <w:i/>
                <w:iCs/>
                <w:sz w:val="22"/>
                <w:szCs w:val="22"/>
              </w:rPr>
            </w:pPr>
            <w:r>
              <w:rPr>
                <w:i/>
                <w:iCs/>
                <w:sz w:val="22"/>
                <w:szCs w:val="22"/>
              </w:rPr>
              <w:t>Porţiuni de staţionare - saloane / secţii</w:t>
            </w:r>
          </w:p>
          <w:p w14:paraId="53BE61BD" w14:textId="77777777" w:rsidR="001C08A5" w:rsidRDefault="001C08A5">
            <w:pPr>
              <w:rPr>
                <w:i/>
                <w:iCs/>
                <w:sz w:val="22"/>
                <w:szCs w:val="22"/>
              </w:rPr>
            </w:pPr>
          </w:p>
          <w:p w14:paraId="49B867C7" w14:textId="77777777" w:rsidR="001C08A5" w:rsidRDefault="00000000">
            <w:pPr>
              <w:rPr>
                <w:b/>
                <w:i/>
                <w:iCs/>
                <w:sz w:val="22"/>
                <w:szCs w:val="22"/>
              </w:rPr>
            </w:pPr>
            <w:r>
              <w:rPr>
                <w:i/>
                <w:iCs/>
                <w:sz w:val="22"/>
                <w:szCs w:val="22"/>
              </w:rPr>
              <w:t>Adulţi</w:t>
            </w:r>
          </w:p>
        </w:tc>
        <w:tc>
          <w:tcPr>
            <w:tcW w:w="1470" w:type="dxa"/>
            <w:vMerge w:val="restart"/>
            <w:vAlign w:val="center"/>
          </w:tcPr>
          <w:p w14:paraId="42720826" w14:textId="77777777" w:rsidR="001C08A5" w:rsidRDefault="00000000">
            <w:pPr>
              <w:jc w:val="both"/>
              <w:rPr>
                <w:b/>
                <w:i/>
                <w:iCs/>
                <w:sz w:val="22"/>
                <w:szCs w:val="22"/>
              </w:rPr>
            </w:pPr>
            <w:r>
              <w:rPr>
                <w:i/>
                <w:iCs/>
                <w:sz w:val="22"/>
                <w:szCs w:val="22"/>
              </w:rPr>
              <w:t>Numărul simultan de persoane se poate preciza conform numărului de paturi plus sporul de personal.</w:t>
            </w:r>
          </w:p>
        </w:tc>
        <w:tc>
          <w:tcPr>
            <w:tcW w:w="1080" w:type="dxa"/>
            <w:vMerge w:val="restart"/>
            <w:vAlign w:val="center"/>
          </w:tcPr>
          <w:p w14:paraId="2BAF5EE4" w14:textId="77777777" w:rsidR="001C08A5" w:rsidRDefault="00000000">
            <w:pPr>
              <w:jc w:val="both"/>
              <w:rPr>
                <w:i/>
                <w:iCs/>
                <w:sz w:val="22"/>
                <w:szCs w:val="22"/>
              </w:rPr>
            </w:pPr>
            <w:r>
              <w:rPr>
                <w:i/>
                <w:iCs/>
                <w:sz w:val="22"/>
                <w:szCs w:val="22"/>
              </w:rPr>
              <w:t>La orice</w:t>
            </w:r>
          </w:p>
          <w:p w14:paraId="01D81671" w14:textId="77777777" w:rsidR="001C08A5" w:rsidRDefault="00000000">
            <w:pPr>
              <w:jc w:val="both"/>
              <w:rPr>
                <w:b/>
                <w:i/>
                <w:iCs/>
                <w:sz w:val="22"/>
                <w:szCs w:val="22"/>
              </w:rPr>
            </w:pPr>
            <w:r>
              <w:rPr>
                <w:i/>
                <w:iCs/>
                <w:sz w:val="22"/>
                <w:szCs w:val="22"/>
              </w:rPr>
              <w:t>nivel al cons-trucţiei</w:t>
            </w:r>
          </w:p>
        </w:tc>
        <w:tc>
          <w:tcPr>
            <w:tcW w:w="765" w:type="dxa"/>
            <w:vAlign w:val="center"/>
          </w:tcPr>
          <w:p w14:paraId="59E196B6" w14:textId="77777777" w:rsidR="001C08A5" w:rsidRDefault="00000000">
            <w:pPr>
              <w:jc w:val="center"/>
              <w:rPr>
                <w:b/>
                <w:i/>
                <w:iCs/>
                <w:sz w:val="22"/>
                <w:szCs w:val="22"/>
              </w:rPr>
            </w:pPr>
            <w:r>
              <w:rPr>
                <w:b/>
                <w:i/>
                <w:iCs/>
                <w:sz w:val="22"/>
                <w:szCs w:val="22"/>
              </w:rPr>
              <w:t>Conf. obs.</w:t>
            </w:r>
          </w:p>
        </w:tc>
        <w:tc>
          <w:tcPr>
            <w:tcW w:w="1410" w:type="dxa"/>
            <w:vMerge w:val="restart"/>
            <w:vAlign w:val="center"/>
          </w:tcPr>
          <w:p w14:paraId="3E5F9DA9" w14:textId="77777777" w:rsidR="001C08A5" w:rsidRDefault="00000000">
            <w:pPr>
              <w:jc w:val="both"/>
              <w:rPr>
                <w:b/>
                <w:i/>
                <w:iCs/>
                <w:sz w:val="22"/>
                <w:szCs w:val="22"/>
              </w:rPr>
            </w:pPr>
            <w:r>
              <w:rPr>
                <w:i/>
                <w:iCs/>
                <w:sz w:val="22"/>
                <w:szCs w:val="22"/>
              </w:rPr>
              <w:t>Saloane bolnavi</w:t>
            </w:r>
          </w:p>
        </w:tc>
        <w:tc>
          <w:tcPr>
            <w:tcW w:w="715" w:type="dxa"/>
            <w:vMerge w:val="restart"/>
            <w:vAlign w:val="center"/>
          </w:tcPr>
          <w:p w14:paraId="75302931" w14:textId="77777777" w:rsidR="001C08A5" w:rsidRDefault="00000000">
            <w:pPr>
              <w:jc w:val="center"/>
              <w:rPr>
                <w:b/>
                <w:bCs/>
                <w:i/>
                <w:iCs/>
                <w:sz w:val="22"/>
                <w:szCs w:val="22"/>
              </w:rPr>
            </w:pPr>
            <w:r>
              <w:rPr>
                <w:b/>
                <w:bCs/>
                <w:i/>
                <w:iCs/>
                <w:sz w:val="22"/>
                <w:szCs w:val="22"/>
              </w:rPr>
              <w:t>100</w:t>
            </w:r>
          </w:p>
        </w:tc>
        <w:tc>
          <w:tcPr>
            <w:tcW w:w="1134" w:type="dxa"/>
            <w:vMerge w:val="restart"/>
            <w:vAlign w:val="center"/>
          </w:tcPr>
          <w:p w14:paraId="53A943F8" w14:textId="77777777" w:rsidR="001C08A5" w:rsidRDefault="00000000">
            <w:pPr>
              <w:jc w:val="both"/>
              <w:rPr>
                <w:b/>
                <w:i/>
                <w:iCs/>
                <w:sz w:val="22"/>
                <w:szCs w:val="22"/>
              </w:rPr>
            </w:pPr>
            <w:r>
              <w:rPr>
                <w:i/>
                <w:iCs/>
                <w:sz w:val="22"/>
                <w:szCs w:val="22"/>
              </w:rPr>
              <w:t>Personal medical, bolnavi ce aşteaptă distribuire/ tratament, vizitatori, etc.</w:t>
            </w:r>
          </w:p>
        </w:tc>
      </w:tr>
      <w:tr w:rsidR="001C08A5" w14:paraId="7F3498D0" w14:textId="77777777">
        <w:tc>
          <w:tcPr>
            <w:tcW w:w="617" w:type="dxa"/>
          </w:tcPr>
          <w:p w14:paraId="1012A77E" w14:textId="77777777" w:rsidR="001C08A5" w:rsidRDefault="00000000">
            <w:pPr>
              <w:jc w:val="both"/>
              <w:rPr>
                <w:i/>
                <w:iCs/>
                <w:sz w:val="22"/>
                <w:szCs w:val="22"/>
              </w:rPr>
            </w:pPr>
            <w:r>
              <w:rPr>
                <w:i/>
                <w:iCs/>
                <w:sz w:val="22"/>
                <w:szCs w:val="22"/>
              </w:rPr>
              <w:t>2</w:t>
            </w:r>
          </w:p>
        </w:tc>
        <w:tc>
          <w:tcPr>
            <w:tcW w:w="2415" w:type="dxa"/>
          </w:tcPr>
          <w:p w14:paraId="36B0577A" w14:textId="77777777" w:rsidR="001C08A5" w:rsidRDefault="00000000">
            <w:pPr>
              <w:rPr>
                <w:i/>
                <w:iCs/>
                <w:sz w:val="22"/>
                <w:szCs w:val="22"/>
              </w:rPr>
            </w:pPr>
            <w:r>
              <w:rPr>
                <w:i/>
                <w:iCs/>
                <w:sz w:val="22"/>
                <w:szCs w:val="22"/>
              </w:rPr>
              <w:t>Porţiuni de staţionare - saloane / secţii copii</w:t>
            </w:r>
          </w:p>
        </w:tc>
        <w:tc>
          <w:tcPr>
            <w:tcW w:w="1470" w:type="dxa"/>
            <w:vMerge/>
            <w:vAlign w:val="center"/>
          </w:tcPr>
          <w:p w14:paraId="2618C0D5" w14:textId="77777777" w:rsidR="001C08A5" w:rsidRDefault="001C08A5">
            <w:pPr>
              <w:jc w:val="both"/>
              <w:rPr>
                <w:b/>
                <w:i/>
                <w:iCs/>
                <w:sz w:val="22"/>
                <w:szCs w:val="22"/>
              </w:rPr>
            </w:pPr>
          </w:p>
        </w:tc>
        <w:tc>
          <w:tcPr>
            <w:tcW w:w="1080" w:type="dxa"/>
            <w:vMerge/>
            <w:vAlign w:val="center"/>
          </w:tcPr>
          <w:p w14:paraId="1EAA793B" w14:textId="77777777" w:rsidR="001C08A5" w:rsidRDefault="001C08A5">
            <w:pPr>
              <w:jc w:val="both"/>
              <w:rPr>
                <w:b/>
                <w:i/>
                <w:iCs/>
                <w:sz w:val="22"/>
                <w:szCs w:val="22"/>
              </w:rPr>
            </w:pPr>
          </w:p>
        </w:tc>
        <w:tc>
          <w:tcPr>
            <w:tcW w:w="765" w:type="dxa"/>
            <w:vAlign w:val="center"/>
          </w:tcPr>
          <w:p w14:paraId="0CF99BB6" w14:textId="77777777" w:rsidR="001C08A5" w:rsidRDefault="00000000">
            <w:pPr>
              <w:jc w:val="center"/>
              <w:rPr>
                <w:b/>
                <w:i/>
                <w:iCs/>
                <w:sz w:val="22"/>
                <w:szCs w:val="22"/>
              </w:rPr>
            </w:pPr>
            <w:r>
              <w:rPr>
                <w:b/>
                <w:i/>
                <w:iCs/>
                <w:sz w:val="22"/>
                <w:szCs w:val="22"/>
              </w:rPr>
              <w:t>Conf. obs.</w:t>
            </w:r>
          </w:p>
        </w:tc>
        <w:tc>
          <w:tcPr>
            <w:tcW w:w="1410" w:type="dxa"/>
            <w:vMerge/>
            <w:vAlign w:val="center"/>
          </w:tcPr>
          <w:p w14:paraId="5ED74F56" w14:textId="77777777" w:rsidR="001C08A5" w:rsidRDefault="001C08A5">
            <w:pPr>
              <w:jc w:val="both"/>
              <w:rPr>
                <w:b/>
                <w:i/>
                <w:iCs/>
                <w:sz w:val="22"/>
                <w:szCs w:val="22"/>
              </w:rPr>
            </w:pPr>
          </w:p>
        </w:tc>
        <w:tc>
          <w:tcPr>
            <w:tcW w:w="715" w:type="dxa"/>
            <w:vMerge/>
            <w:vAlign w:val="center"/>
          </w:tcPr>
          <w:p w14:paraId="050B7541" w14:textId="77777777" w:rsidR="001C08A5" w:rsidRDefault="001C08A5">
            <w:pPr>
              <w:jc w:val="center"/>
              <w:rPr>
                <w:b/>
                <w:bCs/>
                <w:i/>
                <w:iCs/>
                <w:sz w:val="22"/>
                <w:szCs w:val="22"/>
              </w:rPr>
            </w:pPr>
          </w:p>
        </w:tc>
        <w:tc>
          <w:tcPr>
            <w:tcW w:w="1134" w:type="dxa"/>
            <w:vMerge/>
            <w:vAlign w:val="center"/>
          </w:tcPr>
          <w:p w14:paraId="239DFE61" w14:textId="77777777" w:rsidR="001C08A5" w:rsidRDefault="001C08A5">
            <w:pPr>
              <w:jc w:val="both"/>
              <w:rPr>
                <w:b/>
                <w:i/>
                <w:iCs/>
                <w:sz w:val="22"/>
                <w:szCs w:val="22"/>
              </w:rPr>
            </w:pPr>
          </w:p>
        </w:tc>
      </w:tr>
      <w:tr w:rsidR="001C08A5" w14:paraId="626FF6D1" w14:textId="77777777">
        <w:tc>
          <w:tcPr>
            <w:tcW w:w="617" w:type="dxa"/>
          </w:tcPr>
          <w:p w14:paraId="1FD77201" w14:textId="77777777" w:rsidR="001C08A5" w:rsidRDefault="00000000">
            <w:pPr>
              <w:rPr>
                <w:i/>
                <w:iCs/>
                <w:sz w:val="22"/>
                <w:szCs w:val="22"/>
              </w:rPr>
            </w:pPr>
            <w:r>
              <w:rPr>
                <w:i/>
                <w:iCs/>
                <w:sz w:val="22"/>
                <w:szCs w:val="22"/>
              </w:rPr>
              <w:t>3</w:t>
            </w:r>
          </w:p>
        </w:tc>
        <w:tc>
          <w:tcPr>
            <w:tcW w:w="2415" w:type="dxa"/>
          </w:tcPr>
          <w:p w14:paraId="273D4F61" w14:textId="77777777" w:rsidR="001C08A5" w:rsidRDefault="00000000">
            <w:pPr>
              <w:rPr>
                <w:i/>
                <w:iCs/>
                <w:sz w:val="22"/>
                <w:szCs w:val="22"/>
              </w:rPr>
            </w:pPr>
            <w:r>
              <w:rPr>
                <w:i/>
                <w:iCs/>
                <w:sz w:val="22"/>
                <w:szCs w:val="22"/>
              </w:rPr>
              <w:t xml:space="preserve">Porţiuni pentru tratamente și consultaţii </w:t>
            </w:r>
            <w:r>
              <w:rPr>
                <w:i/>
                <w:iCs/>
                <w:sz w:val="22"/>
                <w:szCs w:val="22"/>
              </w:rPr>
              <w:lastRenderedPageBreak/>
              <w:t>în ambulatoriu din spitale, maternitati, policlinici, dispensare, , etc.</w:t>
            </w:r>
          </w:p>
        </w:tc>
        <w:tc>
          <w:tcPr>
            <w:tcW w:w="1470" w:type="dxa"/>
            <w:vAlign w:val="center"/>
          </w:tcPr>
          <w:p w14:paraId="761B0CDC" w14:textId="77777777" w:rsidR="001C08A5" w:rsidRDefault="00000000">
            <w:pPr>
              <w:jc w:val="both"/>
              <w:rPr>
                <w:b/>
                <w:i/>
                <w:iCs/>
                <w:sz w:val="22"/>
                <w:szCs w:val="22"/>
              </w:rPr>
            </w:pPr>
            <w:r>
              <w:rPr>
                <w:i/>
                <w:iCs/>
                <w:sz w:val="22"/>
                <w:szCs w:val="22"/>
              </w:rPr>
              <w:lastRenderedPageBreak/>
              <w:t>Adulţi / copii</w:t>
            </w:r>
          </w:p>
        </w:tc>
        <w:tc>
          <w:tcPr>
            <w:tcW w:w="1080" w:type="dxa"/>
            <w:vMerge/>
            <w:vAlign w:val="center"/>
          </w:tcPr>
          <w:p w14:paraId="06C93ED9" w14:textId="77777777" w:rsidR="001C08A5" w:rsidRDefault="001C08A5">
            <w:pPr>
              <w:jc w:val="both"/>
              <w:rPr>
                <w:b/>
                <w:i/>
                <w:iCs/>
                <w:sz w:val="22"/>
                <w:szCs w:val="22"/>
              </w:rPr>
            </w:pPr>
          </w:p>
        </w:tc>
        <w:tc>
          <w:tcPr>
            <w:tcW w:w="765" w:type="dxa"/>
            <w:vAlign w:val="center"/>
          </w:tcPr>
          <w:p w14:paraId="717CC619" w14:textId="77777777" w:rsidR="001C08A5" w:rsidRDefault="001C08A5">
            <w:pPr>
              <w:jc w:val="center"/>
              <w:rPr>
                <w:b/>
                <w:i/>
                <w:iCs/>
                <w:sz w:val="22"/>
                <w:szCs w:val="22"/>
              </w:rPr>
            </w:pPr>
          </w:p>
          <w:p w14:paraId="5AC8A0EB" w14:textId="77777777" w:rsidR="001C08A5" w:rsidRDefault="00000000">
            <w:pPr>
              <w:jc w:val="center"/>
              <w:rPr>
                <w:b/>
                <w:i/>
                <w:iCs/>
                <w:sz w:val="22"/>
                <w:szCs w:val="22"/>
              </w:rPr>
            </w:pPr>
            <w:r>
              <w:rPr>
                <w:b/>
                <w:i/>
                <w:iCs/>
                <w:sz w:val="22"/>
                <w:szCs w:val="22"/>
              </w:rPr>
              <w:t xml:space="preserve">8,00 </w:t>
            </w:r>
          </w:p>
        </w:tc>
        <w:tc>
          <w:tcPr>
            <w:tcW w:w="1410" w:type="dxa"/>
            <w:vAlign w:val="center"/>
          </w:tcPr>
          <w:p w14:paraId="5DD250AE" w14:textId="77777777" w:rsidR="001C08A5" w:rsidRDefault="00000000">
            <w:pPr>
              <w:jc w:val="both"/>
              <w:rPr>
                <w:b/>
                <w:i/>
                <w:iCs/>
                <w:sz w:val="22"/>
                <w:szCs w:val="22"/>
              </w:rPr>
            </w:pPr>
            <w:r>
              <w:rPr>
                <w:i/>
                <w:iCs/>
                <w:sz w:val="22"/>
                <w:szCs w:val="22"/>
              </w:rPr>
              <w:t>Cabinete laboratoare</w:t>
            </w:r>
          </w:p>
        </w:tc>
        <w:tc>
          <w:tcPr>
            <w:tcW w:w="715" w:type="dxa"/>
            <w:vAlign w:val="center"/>
          </w:tcPr>
          <w:p w14:paraId="686DFFF8" w14:textId="77777777" w:rsidR="001C08A5" w:rsidRDefault="00000000">
            <w:pPr>
              <w:jc w:val="center"/>
              <w:rPr>
                <w:b/>
                <w:bCs/>
                <w:i/>
                <w:iCs/>
                <w:sz w:val="22"/>
                <w:szCs w:val="22"/>
              </w:rPr>
            </w:pPr>
            <w:r>
              <w:rPr>
                <w:b/>
                <w:bCs/>
                <w:i/>
                <w:iCs/>
                <w:sz w:val="22"/>
                <w:szCs w:val="22"/>
              </w:rPr>
              <w:t>50</w:t>
            </w:r>
          </w:p>
        </w:tc>
        <w:tc>
          <w:tcPr>
            <w:tcW w:w="1134" w:type="dxa"/>
            <w:vMerge/>
            <w:vAlign w:val="center"/>
          </w:tcPr>
          <w:p w14:paraId="5F01C859" w14:textId="77777777" w:rsidR="001C08A5" w:rsidRDefault="001C08A5">
            <w:pPr>
              <w:jc w:val="both"/>
              <w:rPr>
                <w:b/>
                <w:i/>
                <w:iCs/>
                <w:sz w:val="22"/>
                <w:szCs w:val="22"/>
              </w:rPr>
            </w:pPr>
          </w:p>
        </w:tc>
      </w:tr>
      <w:tr w:rsidR="001C08A5" w14:paraId="1E4C30EA" w14:textId="77777777">
        <w:tc>
          <w:tcPr>
            <w:tcW w:w="617" w:type="dxa"/>
          </w:tcPr>
          <w:p w14:paraId="7C5C8CC2" w14:textId="77777777" w:rsidR="001C08A5" w:rsidRDefault="00000000">
            <w:pPr>
              <w:rPr>
                <w:i/>
                <w:iCs/>
                <w:sz w:val="22"/>
                <w:szCs w:val="22"/>
              </w:rPr>
            </w:pPr>
            <w:r>
              <w:rPr>
                <w:i/>
                <w:iCs/>
                <w:sz w:val="22"/>
                <w:szCs w:val="22"/>
              </w:rPr>
              <w:t>4</w:t>
            </w:r>
          </w:p>
        </w:tc>
        <w:tc>
          <w:tcPr>
            <w:tcW w:w="2415" w:type="dxa"/>
          </w:tcPr>
          <w:p w14:paraId="0590F0B5" w14:textId="77777777" w:rsidR="001C08A5" w:rsidRDefault="00000000">
            <w:pPr>
              <w:rPr>
                <w:i/>
                <w:iCs/>
                <w:sz w:val="22"/>
                <w:szCs w:val="22"/>
              </w:rPr>
            </w:pPr>
            <w:r>
              <w:rPr>
                <w:i/>
                <w:iCs/>
                <w:sz w:val="22"/>
                <w:szCs w:val="22"/>
              </w:rPr>
              <w:t>Porţiuni pentru aşteptare din spitale, maternităţi, policlinici, dispensare,  etc.</w:t>
            </w:r>
          </w:p>
        </w:tc>
        <w:tc>
          <w:tcPr>
            <w:tcW w:w="1470" w:type="dxa"/>
            <w:vAlign w:val="center"/>
          </w:tcPr>
          <w:p w14:paraId="246EF78B" w14:textId="77777777" w:rsidR="001C08A5" w:rsidRDefault="00000000">
            <w:pPr>
              <w:jc w:val="both"/>
              <w:rPr>
                <w:b/>
                <w:i/>
                <w:iCs/>
                <w:sz w:val="22"/>
                <w:szCs w:val="22"/>
              </w:rPr>
            </w:pPr>
            <w:r>
              <w:rPr>
                <w:i/>
                <w:iCs/>
                <w:sz w:val="22"/>
                <w:szCs w:val="22"/>
              </w:rPr>
              <w:t>Adulţi / copii</w:t>
            </w:r>
          </w:p>
        </w:tc>
        <w:tc>
          <w:tcPr>
            <w:tcW w:w="1080" w:type="dxa"/>
            <w:vMerge/>
            <w:vAlign w:val="center"/>
          </w:tcPr>
          <w:p w14:paraId="501B5448" w14:textId="77777777" w:rsidR="001C08A5" w:rsidRDefault="001C08A5">
            <w:pPr>
              <w:jc w:val="both"/>
              <w:rPr>
                <w:b/>
                <w:i/>
                <w:iCs/>
                <w:sz w:val="22"/>
                <w:szCs w:val="22"/>
              </w:rPr>
            </w:pPr>
          </w:p>
        </w:tc>
        <w:tc>
          <w:tcPr>
            <w:tcW w:w="765" w:type="dxa"/>
            <w:vAlign w:val="center"/>
          </w:tcPr>
          <w:p w14:paraId="437D1E41" w14:textId="77777777" w:rsidR="001C08A5" w:rsidRDefault="00000000">
            <w:pPr>
              <w:jc w:val="center"/>
              <w:rPr>
                <w:i/>
                <w:iCs/>
                <w:sz w:val="22"/>
                <w:szCs w:val="22"/>
              </w:rPr>
            </w:pPr>
            <w:r>
              <w:rPr>
                <w:b/>
                <w:i/>
                <w:iCs/>
                <w:sz w:val="22"/>
                <w:szCs w:val="22"/>
              </w:rPr>
              <w:t>6,00</w:t>
            </w:r>
          </w:p>
        </w:tc>
        <w:tc>
          <w:tcPr>
            <w:tcW w:w="1410" w:type="dxa"/>
            <w:vAlign w:val="center"/>
          </w:tcPr>
          <w:p w14:paraId="31FE841F" w14:textId="77777777" w:rsidR="001C08A5" w:rsidRDefault="00000000">
            <w:pPr>
              <w:jc w:val="both"/>
              <w:rPr>
                <w:b/>
                <w:i/>
                <w:iCs/>
                <w:sz w:val="22"/>
                <w:szCs w:val="22"/>
              </w:rPr>
            </w:pPr>
            <w:r>
              <w:rPr>
                <w:i/>
                <w:iCs/>
                <w:sz w:val="22"/>
                <w:szCs w:val="22"/>
              </w:rPr>
              <w:t>Spaţii de aşteptare</w:t>
            </w:r>
          </w:p>
        </w:tc>
        <w:tc>
          <w:tcPr>
            <w:tcW w:w="715" w:type="dxa"/>
            <w:vAlign w:val="center"/>
          </w:tcPr>
          <w:p w14:paraId="0C1F714E" w14:textId="77777777" w:rsidR="001C08A5" w:rsidRDefault="00000000">
            <w:pPr>
              <w:jc w:val="center"/>
              <w:rPr>
                <w:b/>
                <w:bCs/>
                <w:i/>
                <w:iCs/>
                <w:sz w:val="22"/>
                <w:szCs w:val="22"/>
              </w:rPr>
            </w:pPr>
            <w:r>
              <w:rPr>
                <w:b/>
                <w:bCs/>
                <w:i/>
                <w:iCs/>
                <w:sz w:val="22"/>
                <w:szCs w:val="22"/>
              </w:rPr>
              <w:t>100</w:t>
            </w:r>
          </w:p>
        </w:tc>
        <w:tc>
          <w:tcPr>
            <w:tcW w:w="1134" w:type="dxa"/>
            <w:vMerge/>
            <w:vAlign w:val="center"/>
          </w:tcPr>
          <w:p w14:paraId="2D4A8139" w14:textId="77777777" w:rsidR="001C08A5" w:rsidRDefault="001C08A5">
            <w:pPr>
              <w:jc w:val="both"/>
              <w:rPr>
                <w:b/>
                <w:i/>
                <w:iCs/>
                <w:sz w:val="22"/>
                <w:szCs w:val="22"/>
              </w:rPr>
            </w:pPr>
          </w:p>
        </w:tc>
      </w:tr>
      <w:tr w:rsidR="001C08A5" w14:paraId="1129278F" w14:textId="77777777">
        <w:tc>
          <w:tcPr>
            <w:tcW w:w="617" w:type="dxa"/>
          </w:tcPr>
          <w:p w14:paraId="6BFD463D" w14:textId="77777777" w:rsidR="001C08A5" w:rsidRDefault="00000000">
            <w:pPr>
              <w:rPr>
                <w:i/>
                <w:iCs/>
                <w:sz w:val="22"/>
                <w:szCs w:val="22"/>
              </w:rPr>
            </w:pPr>
            <w:r>
              <w:rPr>
                <w:i/>
                <w:iCs/>
                <w:sz w:val="22"/>
                <w:szCs w:val="22"/>
              </w:rPr>
              <w:t>5</w:t>
            </w:r>
          </w:p>
        </w:tc>
        <w:tc>
          <w:tcPr>
            <w:tcW w:w="2415" w:type="dxa"/>
          </w:tcPr>
          <w:p w14:paraId="6E7C8C11" w14:textId="77777777" w:rsidR="001C08A5" w:rsidRDefault="00000000">
            <w:pPr>
              <w:rPr>
                <w:i/>
                <w:iCs/>
                <w:sz w:val="22"/>
                <w:szCs w:val="22"/>
              </w:rPr>
            </w:pPr>
            <w:r>
              <w:rPr>
                <w:i/>
                <w:iCs/>
                <w:sz w:val="22"/>
                <w:szCs w:val="22"/>
              </w:rPr>
              <w:t>case de copii, aziluri de bătrâni, sanatorii</w:t>
            </w:r>
          </w:p>
        </w:tc>
        <w:tc>
          <w:tcPr>
            <w:tcW w:w="1470" w:type="dxa"/>
            <w:vAlign w:val="center"/>
          </w:tcPr>
          <w:p w14:paraId="3B165665" w14:textId="77777777" w:rsidR="001C08A5" w:rsidRDefault="00000000">
            <w:pPr>
              <w:jc w:val="both"/>
              <w:rPr>
                <w:i/>
                <w:iCs/>
                <w:sz w:val="22"/>
                <w:szCs w:val="22"/>
              </w:rPr>
            </w:pPr>
            <w:r>
              <w:rPr>
                <w:i/>
                <w:iCs/>
                <w:sz w:val="22"/>
                <w:szCs w:val="22"/>
              </w:rPr>
              <w:t>Numărul simultan de persoane se poate preciza conform numărului de paturi plus sporul de personal.</w:t>
            </w:r>
          </w:p>
        </w:tc>
        <w:tc>
          <w:tcPr>
            <w:tcW w:w="1080" w:type="dxa"/>
            <w:vMerge/>
            <w:vAlign w:val="center"/>
          </w:tcPr>
          <w:p w14:paraId="62FD4205" w14:textId="77777777" w:rsidR="001C08A5" w:rsidRDefault="001C08A5">
            <w:pPr>
              <w:jc w:val="both"/>
              <w:rPr>
                <w:b/>
                <w:i/>
                <w:iCs/>
                <w:sz w:val="22"/>
                <w:szCs w:val="22"/>
              </w:rPr>
            </w:pPr>
          </w:p>
        </w:tc>
        <w:tc>
          <w:tcPr>
            <w:tcW w:w="765" w:type="dxa"/>
            <w:vAlign w:val="center"/>
          </w:tcPr>
          <w:p w14:paraId="28DAB826" w14:textId="77777777" w:rsidR="001C08A5" w:rsidRDefault="00000000">
            <w:pPr>
              <w:jc w:val="center"/>
              <w:rPr>
                <w:b/>
                <w:i/>
                <w:iCs/>
                <w:sz w:val="22"/>
                <w:szCs w:val="22"/>
              </w:rPr>
            </w:pPr>
            <w:r>
              <w:rPr>
                <w:b/>
                <w:i/>
                <w:iCs/>
                <w:sz w:val="22"/>
                <w:szCs w:val="22"/>
              </w:rPr>
              <w:t>Conf. obs.</w:t>
            </w:r>
          </w:p>
        </w:tc>
        <w:tc>
          <w:tcPr>
            <w:tcW w:w="1410" w:type="dxa"/>
            <w:vAlign w:val="center"/>
          </w:tcPr>
          <w:p w14:paraId="69D746B8" w14:textId="77777777" w:rsidR="001C08A5" w:rsidRDefault="00000000">
            <w:pPr>
              <w:jc w:val="both"/>
              <w:rPr>
                <w:i/>
                <w:iCs/>
                <w:sz w:val="22"/>
                <w:szCs w:val="22"/>
              </w:rPr>
            </w:pPr>
            <w:r>
              <w:rPr>
                <w:i/>
                <w:iCs/>
                <w:sz w:val="22"/>
                <w:szCs w:val="22"/>
              </w:rPr>
              <w:t>Incaperi de adapostire</w:t>
            </w:r>
          </w:p>
        </w:tc>
        <w:tc>
          <w:tcPr>
            <w:tcW w:w="715" w:type="dxa"/>
            <w:vAlign w:val="center"/>
          </w:tcPr>
          <w:p w14:paraId="02C0F489" w14:textId="77777777" w:rsidR="001C08A5" w:rsidRDefault="00000000">
            <w:pPr>
              <w:jc w:val="center"/>
              <w:rPr>
                <w:b/>
                <w:bCs/>
                <w:i/>
                <w:iCs/>
                <w:sz w:val="22"/>
                <w:szCs w:val="22"/>
              </w:rPr>
            </w:pPr>
            <w:r>
              <w:rPr>
                <w:b/>
                <w:bCs/>
                <w:i/>
                <w:iCs/>
                <w:sz w:val="22"/>
                <w:szCs w:val="22"/>
              </w:rPr>
              <w:t>50</w:t>
            </w:r>
          </w:p>
        </w:tc>
        <w:tc>
          <w:tcPr>
            <w:tcW w:w="1134" w:type="dxa"/>
            <w:vMerge/>
            <w:vAlign w:val="center"/>
          </w:tcPr>
          <w:p w14:paraId="3F71F0A1" w14:textId="77777777" w:rsidR="001C08A5" w:rsidRDefault="001C08A5">
            <w:pPr>
              <w:jc w:val="both"/>
              <w:rPr>
                <w:b/>
                <w:i/>
                <w:iCs/>
                <w:sz w:val="22"/>
                <w:szCs w:val="22"/>
              </w:rPr>
            </w:pPr>
          </w:p>
        </w:tc>
      </w:tr>
      <w:tr w:rsidR="001C08A5" w14:paraId="06BF96D2" w14:textId="77777777">
        <w:tc>
          <w:tcPr>
            <w:tcW w:w="617" w:type="dxa"/>
          </w:tcPr>
          <w:p w14:paraId="72DF65F9" w14:textId="77777777" w:rsidR="001C08A5" w:rsidRDefault="00000000">
            <w:pPr>
              <w:rPr>
                <w:i/>
                <w:iCs/>
                <w:sz w:val="22"/>
                <w:szCs w:val="22"/>
              </w:rPr>
            </w:pPr>
            <w:r>
              <w:rPr>
                <w:i/>
                <w:iCs/>
                <w:sz w:val="22"/>
                <w:szCs w:val="22"/>
              </w:rPr>
              <w:t>6</w:t>
            </w:r>
          </w:p>
        </w:tc>
        <w:tc>
          <w:tcPr>
            <w:tcW w:w="2415" w:type="dxa"/>
          </w:tcPr>
          <w:p w14:paraId="7F57F72A" w14:textId="77777777" w:rsidR="001C08A5" w:rsidRDefault="00000000">
            <w:pPr>
              <w:rPr>
                <w:i/>
                <w:iCs/>
                <w:sz w:val="22"/>
                <w:szCs w:val="22"/>
              </w:rPr>
            </w:pPr>
            <w:r>
              <w:rPr>
                <w:i/>
                <w:iCs/>
                <w:sz w:val="22"/>
                <w:szCs w:val="22"/>
              </w:rPr>
              <w:t>creşe</w:t>
            </w:r>
          </w:p>
        </w:tc>
        <w:tc>
          <w:tcPr>
            <w:tcW w:w="6574" w:type="dxa"/>
            <w:gridSpan w:val="6"/>
            <w:vAlign w:val="center"/>
          </w:tcPr>
          <w:p w14:paraId="6CB2143F" w14:textId="77777777" w:rsidR="001C08A5" w:rsidRDefault="00000000">
            <w:pPr>
              <w:jc w:val="both"/>
              <w:rPr>
                <w:b/>
                <w:i/>
                <w:iCs/>
                <w:sz w:val="22"/>
                <w:szCs w:val="22"/>
              </w:rPr>
            </w:pPr>
            <w:r>
              <w:rPr>
                <w:b/>
                <w:i/>
                <w:iCs/>
                <w:sz w:val="22"/>
                <w:szCs w:val="22"/>
              </w:rPr>
              <w:t>Conform reglementarii specifice NP 022</w:t>
            </w:r>
          </w:p>
        </w:tc>
      </w:tr>
      <w:tr w:rsidR="001C08A5" w14:paraId="28919659" w14:textId="77777777">
        <w:tc>
          <w:tcPr>
            <w:tcW w:w="617" w:type="dxa"/>
          </w:tcPr>
          <w:p w14:paraId="7F09B959" w14:textId="77777777" w:rsidR="001C08A5" w:rsidRDefault="00000000">
            <w:pPr>
              <w:rPr>
                <w:i/>
                <w:iCs/>
                <w:sz w:val="22"/>
                <w:szCs w:val="22"/>
              </w:rPr>
            </w:pPr>
            <w:r>
              <w:rPr>
                <w:i/>
                <w:iCs/>
                <w:sz w:val="22"/>
                <w:szCs w:val="22"/>
              </w:rPr>
              <w:t>7</w:t>
            </w:r>
          </w:p>
        </w:tc>
        <w:tc>
          <w:tcPr>
            <w:tcW w:w="2415" w:type="dxa"/>
          </w:tcPr>
          <w:p w14:paraId="33187AFA" w14:textId="77777777" w:rsidR="001C08A5" w:rsidRDefault="00000000">
            <w:pPr>
              <w:rPr>
                <w:i/>
                <w:iCs/>
                <w:sz w:val="22"/>
                <w:szCs w:val="22"/>
              </w:rPr>
            </w:pPr>
            <w:r>
              <w:rPr>
                <w:i/>
                <w:iCs/>
                <w:sz w:val="22"/>
                <w:szCs w:val="22"/>
              </w:rPr>
              <w:t xml:space="preserve">Încăperi cu diverse funcţiuni / destinaţii </w:t>
            </w:r>
          </w:p>
        </w:tc>
        <w:tc>
          <w:tcPr>
            <w:tcW w:w="6574" w:type="dxa"/>
            <w:gridSpan w:val="6"/>
            <w:vAlign w:val="center"/>
          </w:tcPr>
          <w:p w14:paraId="4D32952C"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7441943E" w14:textId="77777777" w:rsidR="001C08A5" w:rsidRDefault="001C08A5">
      <w:pPr>
        <w:rPr>
          <w:sz w:val="24"/>
          <w:szCs w:val="24"/>
        </w:rPr>
      </w:pPr>
    </w:p>
    <w:p w14:paraId="12E10C68" w14:textId="77777777" w:rsidR="001C08A5" w:rsidRDefault="00000000">
      <w:pPr>
        <w:pStyle w:val="Caption"/>
      </w:pPr>
      <w:bookmarkStart w:id="2390" w:name="_Toc162360080"/>
      <w:r>
        <w:t xml:space="preserve">Tabelul </w:t>
      </w:r>
      <w:r>
        <w:fldChar w:fldCharType="begin"/>
      </w:r>
      <w:r>
        <w:instrText xml:space="preserve"> SEQ Tabelul \* ARABIC </w:instrText>
      </w:r>
      <w:r>
        <w:fldChar w:fldCharType="separate"/>
      </w:r>
      <w:r>
        <w:t>30</w:t>
      </w:r>
      <w:r>
        <w:fldChar w:fldCharType="end"/>
      </w:r>
      <w:bookmarkStart w:id="2391" w:name="_Toc13169"/>
      <w:bookmarkStart w:id="2392" w:name="_Toc30642"/>
      <w:bookmarkStart w:id="2393" w:name="_Toc13996"/>
      <w:bookmarkStart w:id="2394" w:name="_Toc30319"/>
      <w:bookmarkStart w:id="2395" w:name="_Toc31695"/>
      <w:bookmarkStart w:id="2396" w:name="_Toc24909"/>
      <w:bookmarkStart w:id="2397" w:name="_Toc21277"/>
      <w:bookmarkStart w:id="2398" w:name="_Toc26258"/>
      <w:bookmarkStart w:id="2399" w:name="_Toc12879"/>
      <w:bookmarkStart w:id="2400" w:name="_Toc4029"/>
      <w:bookmarkStart w:id="2401" w:name="_Toc5169"/>
      <w:bookmarkStart w:id="2402" w:name="_Toc32113"/>
      <w:bookmarkStart w:id="2403" w:name="_Toc15862"/>
      <w:bookmarkStart w:id="2404" w:name="_Toc27927"/>
      <w:bookmarkStart w:id="2405" w:name="_Toc13142"/>
      <w:bookmarkStart w:id="2406" w:name="_Toc22809"/>
      <w:bookmarkStart w:id="2407" w:name="_Toc30437"/>
      <w:bookmarkStart w:id="2408" w:name="_Toc31860"/>
      <w:bookmarkStart w:id="2409" w:name="_Toc85"/>
      <w:r>
        <w:t>: Număr minim simultan de persoane din clădiri pentru cultură</w:t>
      </w:r>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p>
    <w:p w14:paraId="5EA5AB40" w14:textId="77777777" w:rsidR="001C08A5" w:rsidRDefault="001C08A5">
      <w:pPr>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701"/>
        <w:gridCol w:w="1482"/>
        <w:gridCol w:w="900"/>
        <w:gridCol w:w="1446"/>
        <w:gridCol w:w="1343"/>
        <w:gridCol w:w="690"/>
        <w:gridCol w:w="1369"/>
      </w:tblGrid>
      <w:tr w:rsidR="001C08A5" w14:paraId="5291A56D" w14:textId="77777777">
        <w:trPr>
          <w:tblHeader/>
        </w:trPr>
        <w:tc>
          <w:tcPr>
            <w:tcW w:w="675" w:type="dxa"/>
            <w:shd w:val="clear" w:color="auto" w:fill="BFBFBF"/>
            <w:vAlign w:val="center"/>
          </w:tcPr>
          <w:p w14:paraId="14A79C4E" w14:textId="77777777" w:rsidR="001C08A5" w:rsidRDefault="00000000">
            <w:pPr>
              <w:jc w:val="center"/>
              <w:rPr>
                <w:b/>
                <w:i/>
                <w:iCs/>
                <w:sz w:val="22"/>
                <w:szCs w:val="22"/>
              </w:rPr>
            </w:pPr>
            <w:r>
              <w:rPr>
                <w:b/>
                <w:i/>
                <w:iCs/>
                <w:sz w:val="22"/>
                <w:szCs w:val="22"/>
              </w:rPr>
              <w:t>Nr.</w:t>
            </w:r>
          </w:p>
          <w:p w14:paraId="7D241EF2" w14:textId="77777777" w:rsidR="001C08A5" w:rsidRDefault="00000000">
            <w:pPr>
              <w:jc w:val="center"/>
              <w:rPr>
                <w:i/>
                <w:iCs/>
                <w:sz w:val="22"/>
                <w:szCs w:val="22"/>
              </w:rPr>
            </w:pPr>
            <w:r>
              <w:rPr>
                <w:b/>
                <w:i/>
                <w:iCs/>
                <w:sz w:val="22"/>
                <w:szCs w:val="22"/>
              </w:rPr>
              <w:t>crt.</w:t>
            </w:r>
          </w:p>
        </w:tc>
        <w:tc>
          <w:tcPr>
            <w:tcW w:w="1701" w:type="dxa"/>
            <w:shd w:val="clear" w:color="auto" w:fill="BFBFBF"/>
            <w:vAlign w:val="center"/>
          </w:tcPr>
          <w:p w14:paraId="6DC4161C" w14:textId="77777777" w:rsidR="001C08A5" w:rsidRDefault="00000000">
            <w:pPr>
              <w:jc w:val="center"/>
              <w:rPr>
                <w:i/>
                <w:iCs/>
                <w:sz w:val="22"/>
                <w:szCs w:val="22"/>
              </w:rPr>
            </w:pPr>
            <w:r>
              <w:rPr>
                <w:b/>
                <w:i/>
                <w:iCs/>
                <w:sz w:val="22"/>
                <w:szCs w:val="22"/>
              </w:rPr>
              <w:t>Destinaţie / funcţiune</w:t>
            </w:r>
          </w:p>
        </w:tc>
        <w:tc>
          <w:tcPr>
            <w:tcW w:w="1482" w:type="dxa"/>
            <w:shd w:val="clear" w:color="auto" w:fill="BFBFBF"/>
            <w:vAlign w:val="center"/>
          </w:tcPr>
          <w:p w14:paraId="1691151A" w14:textId="77777777" w:rsidR="001C08A5" w:rsidRDefault="00000000">
            <w:pPr>
              <w:jc w:val="center"/>
              <w:rPr>
                <w:b/>
                <w:i/>
                <w:iCs/>
                <w:sz w:val="22"/>
                <w:szCs w:val="22"/>
              </w:rPr>
            </w:pPr>
            <w:r>
              <w:rPr>
                <w:b/>
                <w:i/>
                <w:iCs/>
                <w:sz w:val="22"/>
                <w:szCs w:val="22"/>
              </w:rPr>
              <w:t>Observaţii</w:t>
            </w:r>
          </w:p>
        </w:tc>
        <w:tc>
          <w:tcPr>
            <w:tcW w:w="900" w:type="dxa"/>
            <w:shd w:val="clear" w:color="auto" w:fill="BFBFBF"/>
            <w:vAlign w:val="center"/>
          </w:tcPr>
          <w:p w14:paraId="56E353B2" w14:textId="77777777" w:rsidR="001C08A5" w:rsidRDefault="00000000">
            <w:pPr>
              <w:jc w:val="center"/>
              <w:rPr>
                <w:i/>
                <w:iCs/>
                <w:sz w:val="22"/>
                <w:szCs w:val="22"/>
              </w:rPr>
            </w:pPr>
            <w:r>
              <w:rPr>
                <w:b/>
                <w:i/>
                <w:iCs/>
                <w:sz w:val="22"/>
                <w:szCs w:val="22"/>
              </w:rPr>
              <w:t>Nivel de referinţă</w:t>
            </w:r>
          </w:p>
        </w:tc>
        <w:tc>
          <w:tcPr>
            <w:tcW w:w="1446" w:type="dxa"/>
            <w:shd w:val="clear" w:color="auto" w:fill="BFBFBF"/>
            <w:vAlign w:val="center"/>
          </w:tcPr>
          <w:p w14:paraId="6A0EB7EA"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1343" w:type="dxa"/>
            <w:shd w:val="clear" w:color="auto" w:fill="BFBFBF"/>
            <w:vAlign w:val="center"/>
          </w:tcPr>
          <w:p w14:paraId="51B28D8F" w14:textId="77777777" w:rsidR="001C08A5" w:rsidRDefault="00000000">
            <w:pPr>
              <w:jc w:val="center"/>
              <w:rPr>
                <w:b/>
                <w:i/>
                <w:iCs/>
                <w:sz w:val="22"/>
                <w:szCs w:val="22"/>
              </w:rPr>
            </w:pPr>
            <w:r>
              <w:rPr>
                <w:b/>
                <w:i/>
                <w:iCs/>
                <w:sz w:val="22"/>
                <w:szCs w:val="22"/>
              </w:rPr>
              <w:t>Destinaţia / funcţiunea ariei considerată în calcul</w:t>
            </w:r>
          </w:p>
        </w:tc>
        <w:tc>
          <w:tcPr>
            <w:tcW w:w="690" w:type="dxa"/>
            <w:shd w:val="clear" w:color="auto" w:fill="BFBFBF"/>
            <w:vAlign w:val="center"/>
          </w:tcPr>
          <w:p w14:paraId="49ED82F6" w14:textId="77777777" w:rsidR="001C08A5" w:rsidRDefault="00000000">
            <w:pPr>
              <w:jc w:val="center"/>
              <w:rPr>
                <w:b/>
                <w:i/>
                <w:iCs/>
                <w:sz w:val="22"/>
                <w:szCs w:val="22"/>
              </w:rPr>
            </w:pPr>
            <w:r>
              <w:rPr>
                <w:b/>
                <w:i/>
                <w:iCs/>
                <w:sz w:val="22"/>
                <w:szCs w:val="22"/>
              </w:rPr>
              <w:t>Spor%</w:t>
            </w:r>
          </w:p>
          <w:p w14:paraId="37C5F34E" w14:textId="77777777" w:rsidR="001C08A5" w:rsidRDefault="001C08A5">
            <w:pPr>
              <w:jc w:val="center"/>
              <w:rPr>
                <w:b/>
                <w:i/>
                <w:iCs/>
                <w:sz w:val="22"/>
                <w:szCs w:val="22"/>
              </w:rPr>
            </w:pPr>
          </w:p>
        </w:tc>
        <w:tc>
          <w:tcPr>
            <w:tcW w:w="1369" w:type="dxa"/>
            <w:shd w:val="clear" w:color="auto" w:fill="BFBFBF"/>
            <w:vAlign w:val="center"/>
          </w:tcPr>
          <w:p w14:paraId="4013CC4E" w14:textId="77777777" w:rsidR="001C08A5" w:rsidRDefault="00000000">
            <w:pPr>
              <w:jc w:val="center"/>
              <w:rPr>
                <w:b/>
                <w:i/>
                <w:iCs/>
                <w:sz w:val="22"/>
                <w:szCs w:val="22"/>
              </w:rPr>
            </w:pPr>
            <w:r>
              <w:rPr>
                <w:b/>
                <w:i/>
                <w:iCs/>
                <w:sz w:val="22"/>
                <w:szCs w:val="22"/>
              </w:rPr>
              <w:t>Personal pentru care se acordă spor</w:t>
            </w:r>
          </w:p>
        </w:tc>
      </w:tr>
      <w:tr w:rsidR="001C08A5" w14:paraId="70FBBBFA" w14:textId="77777777">
        <w:tc>
          <w:tcPr>
            <w:tcW w:w="675" w:type="dxa"/>
          </w:tcPr>
          <w:p w14:paraId="38841F50" w14:textId="77777777" w:rsidR="001C08A5" w:rsidRDefault="00000000">
            <w:pPr>
              <w:rPr>
                <w:i/>
                <w:iCs/>
                <w:sz w:val="22"/>
                <w:szCs w:val="22"/>
              </w:rPr>
            </w:pPr>
            <w:r>
              <w:rPr>
                <w:i/>
                <w:iCs/>
                <w:sz w:val="22"/>
                <w:szCs w:val="22"/>
              </w:rPr>
              <w:t>1</w:t>
            </w:r>
          </w:p>
        </w:tc>
        <w:tc>
          <w:tcPr>
            <w:tcW w:w="1701" w:type="dxa"/>
          </w:tcPr>
          <w:p w14:paraId="3FB21C4D" w14:textId="77777777" w:rsidR="001C08A5" w:rsidRDefault="00000000">
            <w:pPr>
              <w:rPr>
                <w:i/>
                <w:iCs/>
                <w:sz w:val="22"/>
                <w:szCs w:val="22"/>
              </w:rPr>
            </w:pPr>
            <w:r>
              <w:rPr>
                <w:i/>
                <w:iCs/>
                <w:sz w:val="22"/>
                <w:szCs w:val="22"/>
              </w:rPr>
              <w:t>Expoziţii cu caracter temporar care functionează în localuri permanente</w:t>
            </w:r>
          </w:p>
        </w:tc>
        <w:tc>
          <w:tcPr>
            <w:tcW w:w="1482" w:type="dxa"/>
            <w:vMerge w:val="restart"/>
          </w:tcPr>
          <w:p w14:paraId="2EF48074" w14:textId="77777777" w:rsidR="001C08A5" w:rsidRDefault="001C08A5">
            <w:pPr>
              <w:jc w:val="both"/>
              <w:rPr>
                <w:i/>
                <w:iCs/>
                <w:sz w:val="22"/>
                <w:szCs w:val="22"/>
              </w:rPr>
            </w:pPr>
          </w:p>
          <w:p w14:paraId="74F0AABE" w14:textId="77777777" w:rsidR="001C08A5" w:rsidRDefault="001C08A5">
            <w:pPr>
              <w:jc w:val="both"/>
              <w:rPr>
                <w:i/>
                <w:iCs/>
                <w:sz w:val="22"/>
                <w:szCs w:val="22"/>
              </w:rPr>
            </w:pPr>
          </w:p>
        </w:tc>
        <w:tc>
          <w:tcPr>
            <w:tcW w:w="900" w:type="dxa"/>
            <w:vMerge w:val="restart"/>
            <w:vAlign w:val="center"/>
          </w:tcPr>
          <w:p w14:paraId="4FD33B9A" w14:textId="77777777" w:rsidR="001C08A5" w:rsidRDefault="00000000">
            <w:pPr>
              <w:jc w:val="both"/>
              <w:rPr>
                <w:i/>
                <w:iCs/>
                <w:sz w:val="22"/>
                <w:szCs w:val="22"/>
              </w:rPr>
            </w:pPr>
            <w:r>
              <w:rPr>
                <w:i/>
                <w:iCs/>
                <w:sz w:val="22"/>
                <w:szCs w:val="22"/>
              </w:rPr>
              <w:t xml:space="preserve">La orice </w:t>
            </w:r>
          </w:p>
          <w:p w14:paraId="75A25118" w14:textId="77777777" w:rsidR="001C08A5" w:rsidRDefault="00000000">
            <w:pPr>
              <w:jc w:val="both"/>
              <w:rPr>
                <w:i/>
                <w:iCs/>
                <w:sz w:val="22"/>
                <w:szCs w:val="22"/>
              </w:rPr>
            </w:pPr>
            <w:r>
              <w:rPr>
                <w:i/>
                <w:iCs/>
                <w:sz w:val="22"/>
                <w:szCs w:val="22"/>
              </w:rPr>
              <w:t>nivel al construcţiei</w:t>
            </w:r>
          </w:p>
        </w:tc>
        <w:tc>
          <w:tcPr>
            <w:tcW w:w="1446" w:type="dxa"/>
            <w:vAlign w:val="center"/>
          </w:tcPr>
          <w:p w14:paraId="6F0DF0DD" w14:textId="77777777" w:rsidR="001C08A5" w:rsidRDefault="00000000">
            <w:pPr>
              <w:jc w:val="center"/>
              <w:rPr>
                <w:b/>
                <w:i/>
                <w:iCs/>
                <w:sz w:val="22"/>
                <w:szCs w:val="22"/>
              </w:rPr>
            </w:pPr>
            <w:r>
              <w:rPr>
                <w:b/>
                <w:bCs/>
                <w:i/>
                <w:iCs/>
                <w:sz w:val="22"/>
                <w:szCs w:val="22"/>
              </w:rPr>
              <w:t>4,50</w:t>
            </w:r>
          </w:p>
        </w:tc>
        <w:tc>
          <w:tcPr>
            <w:tcW w:w="1343" w:type="dxa"/>
            <w:vAlign w:val="center"/>
          </w:tcPr>
          <w:p w14:paraId="04DE44E7" w14:textId="77777777" w:rsidR="001C08A5" w:rsidRDefault="00000000">
            <w:pPr>
              <w:jc w:val="center"/>
              <w:rPr>
                <w:i/>
                <w:iCs/>
                <w:sz w:val="22"/>
                <w:szCs w:val="22"/>
              </w:rPr>
            </w:pPr>
            <w:r>
              <w:rPr>
                <w:i/>
                <w:iCs/>
                <w:sz w:val="22"/>
                <w:szCs w:val="22"/>
              </w:rPr>
              <w:t>Arii accesibile publicului</w:t>
            </w:r>
          </w:p>
        </w:tc>
        <w:tc>
          <w:tcPr>
            <w:tcW w:w="690" w:type="dxa"/>
            <w:vAlign w:val="center"/>
          </w:tcPr>
          <w:p w14:paraId="5E05F3B6" w14:textId="77777777" w:rsidR="001C08A5" w:rsidRDefault="00000000">
            <w:pPr>
              <w:jc w:val="center"/>
              <w:rPr>
                <w:b/>
                <w:bCs/>
                <w:i/>
                <w:iCs/>
                <w:sz w:val="22"/>
                <w:szCs w:val="22"/>
              </w:rPr>
            </w:pPr>
            <w:r>
              <w:rPr>
                <w:b/>
                <w:bCs/>
                <w:i/>
                <w:iCs/>
                <w:sz w:val="22"/>
                <w:szCs w:val="22"/>
              </w:rPr>
              <w:t>10</w:t>
            </w:r>
          </w:p>
        </w:tc>
        <w:tc>
          <w:tcPr>
            <w:tcW w:w="1369" w:type="dxa"/>
            <w:vMerge w:val="restart"/>
            <w:vAlign w:val="center"/>
          </w:tcPr>
          <w:p w14:paraId="256363E3" w14:textId="77777777" w:rsidR="001C08A5" w:rsidRDefault="00000000">
            <w:pPr>
              <w:jc w:val="both"/>
              <w:rPr>
                <w:i/>
                <w:iCs/>
                <w:sz w:val="22"/>
                <w:szCs w:val="22"/>
              </w:rPr>
            </w:pPr>
            <w:r>
              <w:rPr>
                <w:i/>
                <w:iCs/>
                <w:sz w:val="22"/>
                <w:szCs w:val="22"/>
              </w:rPr>
              <w:t>Personal de prezentare al exponatelor şi personal de întreţinere</w:t>
            </w:r>
          </w:p>
        </w:tc>
      </w:tr>
      <w:tr w:rsidR="001C08A5" w14:paraId="0A61D314" w14:textId="77777777">
        <w:tc>
          <w:tcPr>
            <w:tcW w:w="675" w:type="dxa"/>
          </w:tcPr>
          <w:p w14:paraId="04674EB9" w14:textId="77777777" w:rsidR="001C08A5" w:rsidRDefault="00000000">
            <w:pPr>
              <w:rPr>
                <w:i/>
                <w:iCs/>
                <w:sz w:val="22"/>
                <w:szCs w:val="22"/>
              </w:rPr>
            </w:pPr>
            <w:r>
              <w:rPr>
                <w:i/>
                <w:iCs/>
                <w:sz w:val="22"/>
                <w:szCs w:val="22"/>
              </w:rPr>
              <w:t>2</w:t>
            </w:r>
          </w:p>
        </w:tc>
        <w:tc>
          <w:tcPr>
            <w:tcW w:w="1701" w:type="dxa"/>
          </w:tcPr>
          <w:p w14:paraId="0A43CE13" w14:textId="77777777" w:rsidR="001C08A5" w:rsidRDefault="00000000">
            <w:pPr>
              <w:rPr>
                <w:b/>
                <w:i/>
                <w:iCs/>
                <w:sz w:val="22"/>
                <w:szCs w:val="22"/>
              </w:rPr>
            </w:pPr>
            <w:r>
              <w:rPr>
                <w:i/>
                <w:iCs/>
                <w:sz w:val="22"/>
                <w:szCs w:val="22"/>
              </w:rPr>
              <w:t>Expoziţii cu caracter permanent</w:t>
            </w:r>
          </w:p>
        </w:tc>
        <w:tc>
          <w:tcPr>
            <w:tcW w:w="1482" w:type="dxa"/>
            <w:vMerge/>
          </w:tcPr>
          <w:p w14:paraId="66457196" w14:textId="77777777" w:rsidR="001C08A5" w:rsidRDefault="001C08A5">
            <w:pPr>
              <w:jc w:val="both"/>
              <w:rPr>
                <w:i/>
                <w:iCs/>
                <w:sz w:val="22"/>
                <w:szCs w:val="22"/>
              </w:rPr>
            </w:pPr>
          </w:p>
        </w:tc>
        <w:tc>
          <w:tcPr>
            <w:tcW w:w="900" w:type="dxa"/>
            <w:vMerge/>
          </w:tcPr>
          <w:p w14:paraId="11237AA9" w14:textId="77777777" w:rsidR="001C08A5" w:rsidRDefault="001C08A5">
            <w:pPr>
              <w:rPr>
                <w:i/>
                <w:iCs/>
                <w:sz w:val="22"/>
                <w:szCs w:val="22"/>
              </w:rPr>
            </w:pPr>
          </w:p>
        </w:tc>
        <w:tc>
          <w:tcPr>
            <w:tcW w:w="1446" w:type="dxa"/>
            <w:vAlign w:val="center"/>
          </w:tcPr>
          <w:p w14:paraId="19255FD7" w14:textId="77777777" w:rsidR="001C08A5" w:rsidRDefault="00000000">
            <w:pPr>
              <w:jc w:val="center"/>
              <w:rPr>
                <w:b/>
                <w:i/>
                <w:iCs/>
                <w:sz w:val="22"/>
                <w:szCs w:val="22"/>
              </w:rPr>
            </w:pPr>
            <w:r>
              <w:rPr>
                <w:b/>
                <w:bCs/>
                <w:i/>
                <w:iCs/>
                <w:sz w:val="22"/>
                <w:szCs w:val="22"/>
              </w:rPr>
              <w:t>4,50</w:t>
            </w:r>
          </w:p>
        </w:tc>
        <w:tc>
          <w:tcPr>
            <w:tcW w:w="1343" w:type="dxa"/>
            <w:vAlign w:val="center"/>
          </w:tcPr>
          <w:p w14:paraId="49DA88A8" w14:textId="77777777" w:rsidR="001C08A5" w:rsidRDefault="00000000">
            <w:pPr>
              <w:jc w:val="center"/>
              <w:rPr>
                <w:i/>
                <w:iCs/>
                <w:sz w:val="22"/>
                <w:szCs w:val="22"/>
              </w:rPr>
            </w:pPr>
            <w:r>
              <w:rPr>
                <w:i/>
                <w:iCs/>
                <w:sz w:val="22"/>
                <w:szCs w:val="22"/>
              </w:rPr>
              <w:t>Arii accesibile publicului</w:t>
            </w:r>
          </w:p>
        </w:tc>
        <w:tc>
          <w:tcPr>
            <w:tcW w:w="690" w:type="dxa"/>
            <w:vAlign w:val="center"/>
          </w:tcPr>
          <w:p w14:paraId="5FB96ECB" w14:textId="77777777" w:rsidR="001C08A5" w:rsidRDefault="00000000">
            <w:pPr>
              <w:jc w:val="center"/>
              <w:rPr>
                <w:b/>
                <w:bCs/>
                <w:i/>
                <w:iCs/>
                <w:sz w:val="22"/>
                <w:szCs w:val="22"/>
              </w:rPr>
            </w:pPr>
            <w:r>
              <w:rPr>
                <w:b/>
                <w:bCs/>
                <w:i/>
                <w:iCs/>
                <w:sz w:val="22"/>
                <w:szCs w:val="22"/>
              </w:rPr>
              <w:t>10</w:t>
            </w:r>
          </w:p>
        </w:tc>
        <w:tc>
          <w:tcPr>
            <w:tcW w:w="1369" w:type="dxa"/>
            <w:vMerge/>
            <w:vAlign w:val="center"/>
          </w:tcPr>
          <w:p w14:paraId="67DC52D0" w14:textId="77777777" w:rsidR="001C08A5" w:rsidRDefault="001C08A5">
            <w:pPr>
              <w:jc w:val="both"/>
              <w:rPr>
                <w:i/>
                <w:iCs/>
                <w:sz w:val="22"/>
                <w:szCs w:val="22"/>
              </w:rPr>
            </w:pPr>
          </w:p>
        </w:tc>
      </w:tr>
      <w:tr w:rsidR="001C08A5" w14:paraId="5435E1C6" w14:textId="77777777">
        <w:tc>
          <w:tcPr>
            <w:tcW w:w="675" w:type="dxa"/>
          </w:tcPr>
          <w:p w14:paraId="65EB4DC0" w14:textId="77777777" w:rsidR="001C08A5" w:rsidRDefault="00000000">
            <w:pPr>
              <w:rPr>
                <w:i/>
                <w:iCs/>
                <w:sz w:val="22"/>
                <w:szCs w:val="22"/>
              </w:rPr>
            </w:pPr>
            <w:r>
              <w:rPr>
                <w:i/>
                <w:iCs/>
                <w:sz w:val="22"/>
                <w:szCs w:val="22"/>
              </w:rPr>
              <w:t>3</w:t>
            </w:r>
          </w:p>
        </w:tc>
        <w:tc>
          <w:tcPr>
            <w:tcW w:w="1701" w:type="dxa"/>
          </w:tcPr>
          <w:p w14:paraId="0F12B464" w14:textId="77777777" w:rsidR="001C08A5" w:rsidRDefault="00000000">
            <w:pPr>
              <w:rPr>
                <w:i/>
                <w:iCs/>
                <w:sz w:val="22"/>
                <w:szCs w:val="22"/>
              </w:rPr>
            </w:pPr>
            <w:r>
              <w:rPr>
                <w:i/>
                <w:iCs/>
                <w:sz w:val="22"/>
                <w:szCs w:val="22"/>
              </w:rPr>
              <w:t>Sali de expoziţie</w:t>
            </w:r>
          </w:p>
        </w:tc>
        <w:tc>
          <w:tcPr>
            <w:tcW w:w="1482" w:type="dxa"/>
            <w:vMerge/>
          </w:tcPr>
          <w:p w14:paraId="5B9F1A8C" w14:textId="77777777" w:rsidR="001C08A5" w:rsidRDefault="001C08A5">
            <w:pPr>
              <w:rPr>
                <w:i/>
                <w:iCs/>
                <w:sz w:val="22"/>
                <w:szCs w:val="22"/>
              </w:rPr>
            </w:pPr>
          </w:p>
        </w:tc>
        <w:tc>
          <w:tcPr>
            <w:tcW w:w="900" w:type="dxa"/>
            <w:vMerge/>
          </w:tcPr>
          <w:p w14:paraId="01CA4BDF" w14:textId="77777777" w:rsidR="001C08A5" w:rsidRDefault="001C08A5">
            <w:pPr>
              <w:rPr>
                <w:i/>
                <w:iCs/>
                <w:sz w:val="22"/>
                <w:szCs w:val="22"/>
              </w:rPr>
            </w:pPr>
          </w:p>
        </w:tc>
        <w:tc>
          <w:tcPr>
            <w:tcW w:w="1446" w:type="dxa"/>
            <w:vAlign w:val="center"/>
          </w:tcPr>
          <w:p w14:paraId="48CD69C7" w14:textId="77777777" w:rsidR="001C08A5" w:rsidRDefault="00000000">
            <w:pPr>
              <w:jc w:val="center"/>
              <w:rPr>
                <w:b/>
                <w:i/>
                <w:iCs/>
                <w:sz w:val="22"/>
                <w:szCs w:val="22"/>
              </w:rPr>
            </w:pPr>
            <w:r>
              <w:rPr>
                <w:b/>
                <w:bCs/>
                <w:i/>
                <w:iCs/>
                <w:sz w:val="22"/>
                <w:szCs w:val="22"/>
              </w:rPr>
              <w:t>4,50</w:t>
            </w:r>
          </w:p>
        </w:tc>
        <w:tc>
          <w:tcPr>
            <w:tcW w:w="1343" w:type="dxa"/>
            <w:vAlign w:val="center"/>
          </w:tcPr>
          <w:p w14:paraId="0B5FC0E1" w14:textId="77777777" w:rsidR="001C08A5" w:rsidRDefault="001C08A5">
            <w:pPr>
              <w:jc w:val="center"/>
              <w:rPr>
                <w:i/>
                <w:iCs/>
                <w:sz w:val="22"/>
                <w:szCs w:val="22"/>
              </w:rPr>
            </w:pPr>
          </w:p>
        </w:tc>
        <w:tc>
          <w:tcPr>
            <w:tcW w:w="690" w:type="dxa"/>
            <w:vAlign w:val="center"/>
          </w:tcPr>
          <w:p w14:paraId="73772A16" w14:textId="77777777" w:rsidR="001C08A5" w:rsidRDefault="00000000">
            <w:pPr>
              <w:jc w:val="center"/>
              <w:rPr>
                <w:b/>
                <w:bCs/>
                <w:i/>
                <w:iCs/>
                <w:sz w:val="22"/>
                <w:szCs w:val="22"/>
              </w:rPr>
            </w:pPr>
            <w:r>
              <w:rPr>
                <w:b/>
                <w:bCs/>
                <w:i/>
                <w:iCs/>
                <w:sz w:val="22"/>
                <w:szCs w:val="22"/>
              </w:rPr>
              <w:t>5</w:t>
            </w:r>
          </w:p>
        </w:tc>
        <w:tc>
          <w:tcPr>
            <w:tcW w:w="1369" w:type="dxa"/>
            <w:vMerge/>
            <w:vAlign w:val="center"/>
          </w:tcPr>
          <w:p w14:paraId="3D969098" w14:textId="77777777" w:rsidR="001C08A5" w:rsidRDefault="001C08A5">
            <w:pPr>
              <w:jc w:val="both"/>
              <w:rPr>
                <w:i/>
                <w:iCs/>
                <w:sz w:val="22"/>
                <w:szCs w:val="22"/>
              </w:rPr>
            </w:pPr>
          </w:p>
        </w:tc>
      </w:tr>
      <w:tr w:rsidR="001C08A5" w14:paraId="3E540004" w14:textId="77777777">
        <w:tc>
          <w:tcPr>
            <w:tcW w:w="675" w:type="dxa"/>
          </w:tcPr>
          <w:p w14:paraId="32233881" w14:textId="77777777" w:rsidR="001C08A5" w:rsidRDefault="00000000">
            <w:pPr>
              <w:rPr>
                <w:i/>
                <w:iCs/>
                <w:sz w:val="22"/>
                <w:szCs w:val="22"/>
              </w:rPr>
            </w:pPr>
            <w:r>
              <w:rPr>
                <w:i/>
                <w:iCs/>
                <w:sz w:val="22"/>
                <w:szCs w:val="22"/>
              </w:rPr>
              <w:t>4</w:t>
            </w:r>
          </w:p>
        </w:tc>
        <w:tc>
          <w:tcPr>
            <w:tcW w:w="1701" w:type="dxa"/>
          </w:tcPr>
          <w:p w14:paraId="0C3B82F6" w14:textId="77777777" w:rsidR="001C08A5" w:rsidRDefault="00000000">
            <w:pPr>
              <w:rPr>
                <w:i/>
                <w:iCs/>
                <w:sz w:val="22"/>
                <w:szCs w:val="22"/>
              </w:rPr>
            </w:pPr>
            <w:r>
              <w:rPr>
                <w:i/>
                <w:iCs/>
                <w:sz w:val="22"/>
                <w:szCs w:val="22"/>
              </w:rPr>
              <w:t>Muzee</w:t>
            </w:r>
          </w:p>
        </w:tc>
        <w:tc>
          <w:tcPr>
            <w:tcW w:w="1482" w:type="dxa"/>
            <w:vMerge/>
          </w:tcPr>
          <w:p w14:paraId="621BBF87" w14:textId="77777777" w:rsidR="001C08A5" w:rsidRDefault="001C08A5">
            <w:pPr>
              <w:rPr>
                <w:i/>
                <w:iCs/>
                <w:sz w:val="22"/>
                <w:szCs w:val="22"/>
              </w:rPr>
            </w:pPr>
          </w:p>
        </w:tc>
        <w:tc>
          <w:tcPr>
            <w:tcW w:w="900" w:type="dxa"/>
            <w:vMerge/>
          </w:tcPr>
          <w:p w14:paraId="5D8F85AB" w14:textId="77777777" w:rsidR="001C08A5" w:rsidRDefault="001C08A5">
            <w:pPr>
              <w:rPr>
                <w:i/>
                <w:iCs/>
                <w:sz w:val="22"/>
                <w:szCs w:val="22"/>
              </w:rPr>
            </w:pPr>
          </w:p>
        </w:tc>
        <w:tc>
          <w:tcPr>
            <w:tcW w:w="1446" w:type="dxa"/>
            <w:vAlign w:val="center"/>
          </w:tcPr>
          <w:p w14:paraId="6607D2FA" w14:textId="77777777" w:rsidR="001C08A5" w:rsidRDefault="00000000">
            <w:pPr>
              <w:jc w:val="center"/>
              <w:rPr>
                <w:b/>
                <w:i/>
                <w:iCs/>
                <w:sz w:val="22"/>
                <w:szCs w:val="22"/>
              </w:rPr>
            </w:pPr>
            <w:r>
              <w:rPr>
                <w:b/>
                <w:bCs/>
                <w:i/>
                <w:iCs/>
                <w:sz w:val="22"/>
                <w:szCs w:val="22"/>
              </w:rPr>
              <w:t>5,00</w:t>
            </w:r>
          </w:p>
        </w:tc>
        <w:tc>
          <w:tcPr>
            <w:tcW w:w="1343" w:type="dxa"/>
            <w:vAlign w:val="center"/>
          </w:tcPr>
          <w:p w14:paraId="5535A333" w14:textId="77777777" w:rsidR="001C08A5" w:rsidRDefault="001C08A5">
            <w:pPr>
              <w:jc w:val="center"/>
              <w:rPr>
                <w:i/>
                <w:iCs/>
                <w:sz w:val="22"/>
                <w:szCs w:val="22"/>
              </w:rPr>
            </w:pPr>
          </w:p>
        </w:tc>
        <w:tc>
          <w:tcPr>
            <w:tcW w:w="690" w:type="dxa"/>
            <w:vAlign w:val="center"/>
          </w:tcPr>
          <w:p w14:paraId="05C2C854" w14:textId="77777777" w:rsidR="001C08A5" w:rsidRDefault="00000000">
            <w:pPr>
              <w:jc w:val="center"/>
              <w:rPr>
                <w:b/>
                <w:bCs/>
                <w:i/>
                <w:iCs/>
                <w:sz w:val="22"/>
                <w:szCs w:val="22"/>
              </w:rPr>
            </w:pPr>
            <w:r>
              <w:rPr>
                <w:b/>
                <w:bCs/>
                <w:i/>
                <w:iCs/>
                <w:sz w:val="22"/>
                <w:szCs w:val="22"/>
              </w:rPr>
              <w:t>5</w:t>
            </w:r>
          </w:p>
        </w:tc>
        <w:tc>
          <w:tcPr>
            <w:tcW w:w="1369" w:type="dxa"/>
            <w:vMerge/>
            <w:vAlign w:val="center"/>
          </w:tcPr>
          <w:p w14:paraId="1C8BE81A" w14:textId="77777777" w:rsidR="001C08A5" w:rsidRDefault="001C08A5">
            <w:pPr>
              <w:jc w:val="both"/>
              <w:rPr>
                <w:i/>
                <w:iCs/>
                <w:sz w:val="22"/>
                <w:szCs w:val="22"/>
              </w:rPr>
            </w:pPr>
          </w:p>
        </w:tc>
      </w:tr>
      <w:tr w:rsidR="001C08A5" w14:paraId="7313C134" w14:textId="77777777">
        <w:tc>
          <w:tcPr>
            <w:tcW w:w="675" w:type="dxa"/>
          </w:tcPr>
          <w:p w14:paraId="379179BD" w14:textId="77777777" w:rsidR="001C08A5" w:rsidRDefault="00000000">
            <w:pPr>
              <w:rPr>
                <w:i/>
                <w:iCs/>
                <w:sz w:val="22"/>
                <w:szCs w:val="22"/>
              </w:rPr>
            </w:pPr>
            <w:r>
              <w:rPr>
                <w:i/>
                <w:iCs/>
                <w:sz w:val="22"/>
                <w:szCs w:val="22"/>
              </w:rPr>
              <w:t>5</w:t>
            </w:r>
          </w:p>
        </w:tc>
        <w:tc>
          <w:tcPr>
            <w:tcW w:w="1701" w:type="dxa"/>
          </w:tcPr>
          <w:p w14:paraId="62F80ACB" w14:textId="77777777" w:rsidR="001C08A5" w:rsidRDefault="00000000">
            <w:pPr>
              <w:rPr>
                <w:i/>
                <w:iCs/>
                <w:sz w:val="22"/>
                <w:szCs w:val="22"/>
              </w:rPr>
            </w:pPr>
            <w:r>
              <w:rPr>
                <w:i/>
                <w:iCs/>
                <w:sz w:val="22"/>
                <w:szCs w:val="22"/>
              </w:rPr>
              <w:t>Galerii de artă</w:t>
            </w:r>
          </w:p>
        </w:tc>
        <w:tc>
          <w:tcPr>
            <w:tcW w:w="1482" w:type="dxa"/>
            <w:vMerge/>
          </w:tcPr>
          <w:p w14:paraId="60C3045B" w14:textId="77777777" w:rsidR="001C08A5" w:rsidRDefault="001C08A5">
            <w:pPr>
              <w:rPr>
                <w:i/>
                <w:iCs/>
                <w:sz w:val="22"/>
                <w:szCs w:val="22"/>
              </w:rPr>
            </w:pPr>
          </w:p>
        </w:tc>
        <w:tc>
          <w:tcPr>
            <w:tcW w:w="900" w:type="dxa"/>
            <w:vMerge/>
          </w:tcPr>
          <w:p w14:paraId="348B0581" w14:textId="77777777" w:rsidR="001C08A5" w:rsidRDefault="001C08A5">
            <w:pPr>
              <w:rPr>
                <w:i/>
                <w:iCs/>
                <w:sz w:val="22"/>
                <w:szCs w:val="22"/>
              </w:rPr>
            </w:pPr>
          </w:p>
        </w:tc>
        <w:tc>
          <w:tcPr>
            <w:tcW w:w="1446" w:type="dxa"/>
            <w:vAlign w:val="center"/>
          </w:tcPr>
          <w:p w14:paraId="545EF5A9" w14:textId="77777777" w:rsidR="001C08A5" w:rsidRDefault="00000000">
            <w:pPr>
              <w:jc w:val="center"/>
              <w:rPr>
                <w:b/>
                <w:i/>
                <w:iCs/>
                <w:sz w:val="22"/>
                <w:szCs w:val="22"/>
              </w:rPr>
            </w:pPr>
            <w:r>
              <w:rPr>
                <w:b/>
                <w:bCs/>
                <w:i/>
                <w:iCs/>
                <w:sz w:val="22"/>
                <w:szCs w:val="22"/>
              </w:rPr>
              <w:t>5,00</w:t>
            </w:r>
          </w:p>
        </w:tc>
        <w:tc>
          <w:tcPr>
            <w:tcW w:w="1343" w:type="dxa"/>
            <w:vAlign w:val="center"/>
          </w:tcPr>
          <w:p w14:paraId="5A033F64" w14:textId="77777777" w:rsidR="001C08A5" w:rsidRDefault="001C08A5">
            <w:pPr>
              <w:jc w:val="center"/>
              <w:rPr>
                <w:i/>
                <w:iCs/>
                <w:sz w:val="22"/>
                <w:szCs w:val="22"/>
              </w:rPr>
            </w:pPr>
          </w:p>
        </w:tc>
        <w:tc>
          <w:tcPr>
            <w:tcW w:w="690" w:type="dxa"/>
            <w:vAlign w:val="center"/>
          </w:tcPr>
          <w:p w14:paraId="49A3C7DA" w14:textId="77777777" w:rsidR="001C08A5" w:rsidRDefault="00000000">
            <w:pPr>
              <w:jc w:val="center"/>
              <w:rPr>
                <w:b/>
                <w:bCs/>
                <w:i/>
                <w:iCs/>
                <w:sz w:val="22"/>
                <w:szCs w:val="22"/>
              </w:rPr>
            </w:pPr>
            <w:r>
              <w:rPr>
                <w:b/>
                <w:bCs/>
                <w:i/>
                <w:iCs/>
                <w:sz w:val="22"/>
                <w:szCs w:val="22"/>
              </w:rPr>
              <w:t>5</w:t>
            </w:r>
          </w:p>
        </w:tc>
        <w:tc>
          <w:tcPr>
            <w:tcW w:w="1369" w:type="dxa"/>
            <w:vMerge/>
            <w:vAlign w:val="center"/>
          </w:tcPr>
          <w:p w14:paraId="2B36DEF2" w14:textId="77777777" w:rsidR="001C08A5" w:rsidRDefault="001C08A5">
            <w:pPr>
              <w:jc w:val="both"/>
              <w:rPr>
                <w:i/>
                <w:iCs/>
                <w:sz w:val="22"/>
                <w:szCs w:val="22"/>
              </w:rPr>
            </w:pPr>
          </w:p>
        </w:tc>
      </w:tr>
      <w:tr w:rsidR="001C08A5" w14:paraId="1DE67EAA" w14:textId="77777777">
        <w:tc>
          <w:tcPr>
            <w:tcW w:w="675" w:type="dxa"/>
          </w:tcPr>
          <w:p w14:paraId="57E7D92E" w14:textId="77777777" w:rsidR="001C08A5" w:rsidRDefault="00000000">
            <w:pPr>
              <w:rPr>
                <w:i/>
                <w:iCs/>
                <w:sz w:val="22"/>
                <w:szCs w:val="22"/>
              </w:rPr>
            </w:pPr>
            <w:r>
              <w:rPr>
                <w:i/>
                <w:iCs/>
                <w:sz w:val="22"/>
                <w:szCs w:val="22"/>
              </w:rPr>
              <w:t>6</w:t>
            </w:r>
          </w:p>
        </w:tc>
        <w:tc>
          <w:tcPr>
            <w:tcW w:w="1701" w:type="dxa"/>
          </w:tcPr>
          <w:p w14:paraId="7483AC20" w14:textId="77777777" w:rsidR="001C08A5" w:rsidRDefault="00000000">
            <w:pPr>
              <w:rPr>
                <w:i/>
                <w:iCs/>
                <w:sz w:val="22"/>
                <w:szCs w:val="22"/>
              </w:rPr>
            </w:pPr>
            <w:r>
              <w:rPr>
                <w:i/>
                <w:iCs/>
                <w:sz w:val="22"/>
                <w:szCs w:val="22"/>
              </w:rPr>
              <w:t>Săli de lectură în biblioteci cu rafturi pe pereţi</w:t>
            </w:r>
          </w:p>
        </w:tc>
        <w:tc>
          <w:tcPr>
            <w:tcW w:w="1482" w:type="dxa"/>
            <w:vMerge w:val="restart"/>
          </w:tcPr>
          <w:p w14:paraId="7A6F2F79" w14:textId="77777777" w:rsidR="001C08A5" w:rsidRDefault="001C08A5">
            <w:pPr>
              <w:jc w:val="both"/>
              <w:rPr>
                <w:i/>
                <w:iCs/>
                <w:sz w:val="22"/>
                <w:szCs w:val="22"/>
              </w:rPr>
            </w:pPr>
          </w:p>
          <w:p w14:paraId="167D2BDF" w14:textId="77777777" w:rsidR="001C08A5" w:rsidRDefault="00000000">
            <w:pPr>
              <w:rPr>
                <w:i/>
                <w:iCs/>
                <w:sz w:val="22"/>
                <w:szCs w:val="22"/>
              </w:rPr>
            </w:pPr>
            <w:r>
              <w:rPr>
                <w:i/>
                <w:iCs/>
                <w:sz w:val="22"/>
                <w:szCs w:val="22"/>
              </w:rPr>
              <w:t xml:space="preserve">La spaţiile cu locuri, numărul simultan de persoane se poate preciza conform </w:t>
            </w:r>
            <w:r>
              <w:rPr>
                <w:i/>
                <w:iCs/>
                <w:sz w:val="22"/>
                <w:szCs w:val="22"/>
              </w:rPr>
              <w:lastRenderedPageBreak/>
              <w:t>numărului de locuri pe scaune (conform arie aferentă a fiecărui loc stabilit prin proiect) plus sporul de personal.</w:t>
            </w:r>
          </w:p>
        </w:tc>
        <w:tc>
          <w:tcPr>
            <w:tcW w:w="900" w:type="dxa"/>
            <w:vMerge/>
          </w:tcPr>
          <w:p w14:paraId="5B08C7AD" w14:textId="77777777" w:rsidR="001C08A5" w:rsidRDefault="001C08A5">
            <w:pPr>
              <w:rPr>
                <w:i/>
                <w:iCs/>
                <w:sz w:val="22"/>
                <w:szCs w:val="22"/>
              </w:rPr>
            </w:pPr>
          </w:p>
        </w:tc>
        <w:tc>
          <w:tcPr>
            <w:tcW w:w="1446" w:type="dxa"/>
            <w:vAlign w:val="center"/>
          </w:tcPr>
          <w:p w14:paraId="7AE1247E" w14:textId="77777777" w:rsidR="001C08A5" w:rsidRDefault="00000000">
            <w:pPr>
              <w:jc w:val="center"/>
              <w:rPr>
                <w:b/>
                <w:i/>
                <w:iCs/>
                <w:sz w:val="22"/>
                <w:szCs w:val="22"/>
              </w:rPr>
            </w:pPr>
            <w:r>
              <w:rPr>
                <w:b/>
                <w:bCs/>
                <w:i/>
                <w:iCs/>
                <w:sz w:val="22"/>
                <w:szCs w:val="22"/>
              </w:rPr>
              <w:t>3,00</w:t>
            </w:r>
          </w:p>
        </w:tc>
        <w:tc>
          <w:tcPr>
            <w:tcW w:w="1343" w:type="dxa"/>
            <w:vMerge w:val="restart"/>
            <w:vAlign w:val="center"/>
          </w:tcPr>
          <w:p w14:paraId="2A41DE26" w14:textId="77777777" w:rsidR="001C08A5" w:rsidRDefault="001C08A5">
            <w:pPr>
              <w:jc w:val="center"/>
              <w:rPr>
                <w:i/>
                <w:iCs/>
                <w:sz w:val="22"/>
                <w:szCs w:val="22"/>
              </w:rPr>
            </w:pPr>
          </w:p>
          <w:p w14:paraId="3BF432B1" w14:textId="77777777" w:rsidR="001C08A5" w:rsidRDefault="00000000">
            <w:pPr>
              <w:jc w:val="center"/>
              <w:rPr>
                <w:i/>
                <w:iCs/>
                <w:sz w:val="22"/>
                <w:szCs w:val="22"/>
              </w:rPr>
            </w:pPr>
            <w:r>
              <w:rPr>
                <w:i/>
                <w:iCs/>
                <w:sz w:val="22"/>
                <w:szCs w:val="22"/>
              </w:rPr>
              <w:t>Săli de lectură</w:t>
            </w:r>
          </w:p>
        </w:tc>
        <w:tc>
          <w:tcPr>
            <w:tcW w:w="690" w:type="dxa"/>
            <w:vAlign w:val="center"/>
          </w:tcPr>
          <w:p w14:paraId="224996CE" w14:textId="77777777" w:rsidR="001C08A5" w:rsidRDefault="00000000">
            <w:pPr>
              <w:jc w:val="center"/>
              <w:rPr>
                <w:b/>
                <w:bCs/>
                <w:i/>
                <w:iCs/>
                <w:sz w:val="22"/>
                <w:szCs w:val="22"/>
              </w:rPr>
            </w:pPr>
            <w:r>
              <w:rPr>
                <w:b/>
                <w:bCs/>
                <w:i/>
                <w:iCs/>
                <w:sz w:val="22"/>
                <w:szCs w:val="22"/>
              </w:rPr>
              <w:t>5</w:t>
            </w:r>
          </w:p>
        </w:tc>
        <w:tc>
          <w:tcPr>
            <w:tcW w:w="1369" w:type="dxa"/>
            <w:vMerge w:val="restart"/>
            <w:vAlign w:val="center"/>
          </w:tcPr>
          <w:p w14:paraId="7C2B22E4" w14:textId="77777777" w:rsidR="001C08A5" w:rsidRDefault="00000000">
            <w:pPr>
              <w:jc w:val="both"/>
              <w:rPr>
                <w:i/>
                <w:iCs/>
                <w:sz w:val="22"/>
                <w:szCs w:val="22"/>
              </w:rPr>
            </w:pPr>
            <w:r>
              <w:rPr>
                <w:i/>
                <w:iCs/>
                <w:sz w:val="22"/>
                <w:szCs w:val="22"/>
              </w:rPr>
              <w:t>Personal de deservire, întreţinere etc.</w:t>
            </w:r>
          </w:p>
        </w:tc>
      </w:tr>
      <w:tr w:rsidR="001C08A5" w14:paraId="1CD63A0B" w14:textId="77777777">
        <w:tc>
          <w:tcPr>
            <w:tcW w:w="675" w:type="dxa"/>
          </w:tcPr>
          <w:p w14:paraId="2E9600B9" w14:textId="77777777" w:rsidR="001C08A5" w:rsidRDefault="00000000">
            <w:pPr>
              <w:rPr>
                <w:i/>
                <w:iCs/>
                <w:sz w:val="22"/>
                <w:szCs w:val="22"/>
              </w:rPr>
            </w:pPr>
            <w:r>
              <w:rPr>
                <w:i/>
                <w:iCs/>
                <w:sz w:val="22"/>
                <w:szCs w:val="22"/>
              </w:rPr>
              <w:t>7</w:t>
            </w:r>
          </w:p>
        </w:tc>
        <w:tc>
          <w:tcPr>
            <w:tcW w:w="1701" w:type="dxa"/>
          </w:tcPr>
          <w:p w14:paraId="4BA67F31" w14:textId="77777777" w:rsidR="001C08A5" w:rsidRDefault="00000000">
            <w:pPr>
              <w:rPr>
                <w:i/>
                <w:iCs/>
                <w:sz w:val="22"/>
                <w:szCs w:val="22"/>
              </w:rPr>
            </w:pPr>
            <w:r>
              <w:rPr>
                <w:i/>
                <w:iCs/>
                <w:sz w:val="22"/>
                <w:szCs w:val="22"/>
              </w:rPr>
              <w:t>Săli de lectură în biblioteci cu depozit separat</w:t>
            </w:r>
          </w:p>
        </w:tc>
        <w:tc>
          <w:tcPr>
            <w:tcW w:w="1482" w:type="dxa"/>
            <w:vMerge/>
          </w:tcPr>
          <w:p w14:paraId="4D6A474D" w14:textId="77777777" w:rsidR="001C08A5" w:rsidRDefault="001C08A5">
            <w:pPr>
              <w:rPr>
                <w:i/>
                <w:iCs/>
                <w:sz w:val="22"/>
                <w:szCs w:val="22"/>
              </w:rPr>
            </w:pPr>
          </w:p>
        </w:tc>
        <w:tc>
          <w:tcPr>
            <w:tcW w:w="900" w:type="dxa"/>
            <w:vMerge/>
          </w:tcPr>
          <w:p w14:paraId="013E4046" w14:textId="77777777" w:rsidR="001C08A5" w:rsidRDefault="001C08A5">
            <w:pPr>
              <w:rPr>
                <w:i/>
                <w:iCs/>
                <w:sz w:val="22"/>
                <w:szCs w:val="22"/>
              </w:rPr>
            </w:pPr>
          </w:p>
        </w:tc>
        <w:tc>
          <w:tcPr>
            <w:tcW w:w="1446" w:type="dxa"/>
            <w:vAlign w:val="center"/>
          </w:tcPr>
          <w:p w14:paraId="4C34751A" w14:textId="77777777" w:rsidR="001C08A5" w:rsidRDefault="00000000">
            <w:pPr>
              <w:jc w:val="center"/>
              <w:rPr>
                <w:b/>
                <w:i/>
                <w:iCs/>
                <w:sz w:val="22"/>
                <w:szCs w:val="22"/>
              </w:rPr>
            </w:pPr>
            <w:r>
              <w:rPr>
                <w:b/>
                <w:bCs/>
                <w:i/>
                <w:iCs/>
                <w:sz w:val="22"/>
                <w:szCs w:val="22"/>
              </w:rPr>
              <w:t>3,00</w:t>
            </w:r>
          </w:p>
        </w:tc>
        <w:tc>
          <w:tcPr>
            <w:tcW w:w="1343" w:type="dxa"/>
            <w:vMerge/>
            <w:vAlign w:val="center"/>
          </w:tcPr>
          <w:p w14:paraId="137D3EB7" w14:textId="77777777" w:rsidR="001C08A5" w:rsidRDefault="001C08A5">
            <w:pPr>
              <w:jc w:val="center"/>
              <w:rPr>
                <w:i/>
                <w:iCs/>
                <w:sz w:val="22"/>
                <w:szCs w:val="22"/>
              </w:rPr>
            </w:pPr>
          </w:p>
        </w:tc>
        <w:tc>
          <w:tcPr>
            <w:tcW w:w="690" w:type="dxa"/>
            <w:vAlign w:val="center"/>
          </w:tcPr>
          <w:p w14:paraId="46DBB05F" w14:textId="77777777" w:rsidR="001C08A5" w:rsidRDefault="00000000">
            <w:pPr>
              <w:jc w:val="center"/>
              <w:rPr>
                <w:b/>
                <w:bCs/>
                <w:i/>
                <w:iCs/>
                <w:sz w:val="22"/>
                <w:szCs w:val="22"/>
              </w:rPr>
            </w:pPr>
            <w:r>
              <w:rPr>
                <w:b/>
                <w:bCs/>
                <w:i/>
                <w:iCs/>
                <w:sz w:val="22"/>
                <w:szCs w:val="22"/>
              </w:rPr>
              <w:t>5</w:t>
            </w:r>
          </w:p>
        </w:tc>
        <w:tc>
          <w:tcPr>
            <w:tcW w:w="1369" w:type="dxa"/>
            <w:vMerge/>
          </w:tcPr>
          <w:p w14:paraId="750A07B2" w14:textId="77777777" w:rsidR="001C08A5" w:rsidRDefault="001C08A5">
            <w:pPr>
              <w:rPr>
                <w:i/>
                <w:iCs/>
                <w:sz w:val="22"/>
                <w:szCs w:val="22"/>
              </w:rPr>
            </w:pPr>
          </w:p>
        </w:tc>
      </w:tr>
      <w:tr w:rsidR="001C08A5" w14:paraId="0BCFA561" w14:textId="77777777">
        <w:tc>
          <w:tcPr>
            <w:tcW w:w="675" w:type="dxa"/>
          </w:tcPr>
          <w:p w14:paraId="617D6D91" w14:textId="77777777" w:rsidR="001C08A5" w:rsidRDefault="00000000">
            <w:pPr>
              <w:rPr>
                <w:i/>
                <w:iCs/>
                <w:sz w:val="22"/>
                <w:szCs w:val="22"/>
              </w:rPr>
            </w:pPr>
            <w:r>
              <w:rPr>
                <w:i/>
                <w:iCs/>
                <w:sz w:val="22"/>
                <w:szCs w:val="22"/>
              </w:rPr>
              <w:t>8</w:t>
            </w:r>
          </w:p>
        </w:tc>
        <w:tc>
          <w:tcPr>
            <w:tcW w:w="1701" w:type="dxa"/>
          </w:tcPr>
          <w:p w14:paraId="23E14F03" w14:textId="77777777" w:rsidR="001C08A5" w:rsidRDefault="00000000">
            <w:pPr>
              <w:rPr>
                <w:i/>
                <w:iCs/>
                <w:sz w:val="22"/>
                <w:szCs w:val="22"/>
              </w:rPr>
            </w:pPr>
            <w:r>
              <w:rPr>
                <w:i/>
                <w:iCs/>
                <w:sz w:val="22"/>
                <w:szCs w:val="22"/>
              </w:rPr>
              <w:t xml:space="preserve">Săli pentru cultură </w:t>
            </w:r>
          </w:p>
        </w:tc>
        <w:tc>
          <w:tcPr>
            <w:tcW w:w="1482" w:type="dxa"/>
            <w:vMerge/>
          </w:tcPr>
          <w:p w14:paraId="15A0D8D2" w14:textId="77777777" w:rsidR="001C08A5" w:rsidRDefault="001C08A5">
            <w:pPr>
              <w:rPr>
                <w:i/>
                <w:iCs/>
                <w:sz w:val="22"/>
                <w:szCs w:val="22"/>
              </w:rPr>
            </w:pPr>
          </w:p>
        </w:tc>
        <w:tc>
          <w:tcPr>
            <w:tcW w:w="900" w:type="dxa"/>
            <w:vMerge/>
          </w:tcPr>
          <w:p w14:paraId="56AAA2A4" w14:textId="77777777" w:rsidR="001C08A5" w:rsidRDefault="001C08A5">
            <w:pPr>
              <w:rPr>
                <w:i/>
                <w:iCs/>
                <w:sz w:val="22"/>
                <w:szCs w:val="22"/>
              </w:rPr>
            </w:pPr>
          </w:p>
        </w:tc>
        <w:tc>
          <w:tcPr>
            <w:tcW w:w="1446" w:type="dxa"/>
            <w:vMerge w:val="restart"/>
            <w:vAlign w:val="center"/>
          </w:tcPr>
          <w:p w14:paraId="6B2E49D0" w14:textId="77777777" w:rsidR="001C08A5" w:rsidRDefault="00000000">
            <w:pPr>
              <w:jc w:val="center"/>
              <w:rPr>
                <w:b/>
                <w:bCs/>
                <w:i/>
                <w:iCs/>
                <w:sz w:val="22"/>
                <w:szCs w:val="22"/>
              </w:rPr>
            </w:pPr>
            <w:r>
              <w:rPr>
                <w:b/>
                <w:bCs/>
                <w:i/>
                <w:iCs/>
                <w:sz w:val="22"/>
                <w:szCs w:val="22"/>
              </w:rPr>
              <w:t xml:space="preserve">1,00 </w:t>
            </w:r>
          </w:p>
          <w:p w14:paraId="69D2A167" w14:textId="77777777" w:rsidR="001C08A5" w:rsidRDefault="00000000">
            <w:pPr>
              <w:jc w:val="center"/>
              <w:rPr>
                <w:b/>
                <w:i/>
                <w:iCs/>
                <w:sz w:val="22"/>
                <w:szCs w:val="22"/>
              </w:rPr>
            </w:pPr>
            <w:r>
              <w:rPr>
                <w:b/>
                <w:i/>
                <w:iCs/>
                <w:sz w:val="22"/>
                <w:szCs w:val="22"/>
              </w:rPr>
              <w:lastRenderedPageBreak/>
              <w:t>(sau conf. obs.)</w:t>
            </w:r>
          </w:p>
        </w:tc>
        <w:tc>
          <w:tcPr>
            <w:tcW w:w="1343" w:type="dxa"/>
            <w:vMerge w:val="restart"/>
            <w:vAlign w:val="center"/>
          </w:tcPr>
          <w:p w14:paraId="5086DB89" w14:textId="77777777" w:rsidR="001C08A5" w:rsidRDefault="001C08A5">
            <w:pPr>
              <w:jc w:val="center"/>
              <w:rPr>
                <w:i/>
                <w:iCs/>
                <w:sz w:val="22"/>
                <w:szCs w:val="22"/>
              </w:rPr>
            </w:pPr>
          </w:p>
          <w:p w14:paraId="60A0FEEB" w14:textId="77777777" w:rsidR="001C08A5" w:rsidRDefault="00000000">
            <w:pPr>
              <w:jc w:val="center"/>
              <w:rPr>
                <w:i/>
                <w:iCs/>
                <w:sz w:val="22"/>
                <w:szCs w:val="22"/>
              </w:rPr>
            </w:pPr>
            <w:r>
              <w:rPr>
                <w:i/>
                <w:iCs/>
                <w:sz w:val="22"/>
                <w:szCs w:val="22"/>
              </w:rPr>
              <w:lastRenderedPageBreak/>
              <w:t>Săli pentru spectacole, adunări etc.</w:t>
            </w:r>
          </w:p>
        </w:tc>
        <w:tc>
          <w:tcPr>
            <w:tcW w:w="690" w:type="dxa"/>
            <w:vAlign w:val="center"/>
          </w:tcPr>
          <w:p w14:paraId="1B6069A5" w14:textId="77777777" w:rsidR="001C08A5" w:rsidRDefault="00000000">
            <w:pPr>
              <w:jc w:val="center"/>
              <w:rPr>
                <w:b/>
                <w:bCs/>
                <w:i/>
                <w:iCs/>
                <w:sz w:val="22"/>
                <w:szCs w:val="22"/>
              </w:rPr>
            </w:pPr>
            <w:r>
              <w:rPr>
                <w:b/>
                <w:bCs/>
                <w:i/>
                <w:iCs/>
                <w:sz w:val="22"/>
                <w:szCs w:val="22"/>
              </w:rPr>
              <w:lastRenderedPageBreak/>
              <w:t>10</w:t>
            </w:r>
          </w:p>
        </w:tc>
        <w:tc>
          <w:tcPr>
            <w:tcW w:w="1369" w:type="dxa"/>
            <w:vMerge/>
          </w:tcPr>
          <w:p w14:paraId="5CC1A479" w14:textId="77777777" w:rsidR="001C08A5" w:rsidRDefault="001C08A5">
            <w:pPr>
              <w:rPr>
                <w:i/>
                <w:iCs/>
                <w:sz w:val="22"/>
                <w:szCs w:val="22"/>
              </w:rPr>
            </w:pPr>
          </w:p>
        </w:tc>
      </w:tr>
      <w:tr w:rsidR="001C08A5" w14:paraId="79E2B433" w14:textId="77777777">
        <w:tc>
          <w:tcPr>
            <w:tcW w:w="675" w:type="dxa"/>
          </w:tcPr>
          <w:p w14:paraId="38083189" w14:textId="77777777" w:rsidR="001C08A5" w:rsidRDefault="00000000">
            <w:pPr>
              <w:rPr>
                <w:i/>
                <w:iCs/>
                <w:sz w:val="22"/>
                <w:szCs w:val="22"/>
              </w:rPr>
            </w:pPr>
            <w:r>
              <w:rPr>
                <w:i/>
                <w:iCs/>
                <w:sz w:val="22"/>
                <w:szCs w:val="22"/>
              </w:rPr>
              <w:lastRenderedPageBreak/>
              <w:t>9</w:t>
            </w:r>
          </w:p>
        </w:tc>
        <w:tc>
          <w:tcPr>
            <w:tcW w:w="1701" w:type="dxa"/>
          </w:tcPr>
          <w:p w14:paraId="2D61308F" w14:textId="77777777" w:rsidR="001C08A5" w:rsidRDefault="00000000">
            <w:pPr>
              <w:rPr>
                <w:i/>
                <w:iCs/>
                <w:sz w:val="22"/>
                <w:szCs w:val="22"/>
              </w:rPr>
            </w:pPr>
            <w:r>
              <w:rPr>
                <w:i/>
                <w:iCs/>
                <w:sz w:val="22"/>
                <w:szCs w:val="22"/>
              </w:rPr>
              <w:t>Centre și complexe culturale</w:t>
            </w:r>
          </w:p>
        </w:tc>
        <w:tc>
          <w:tcPr>
            <w:tcW w:w="1482" w:type="dxa"/>
            <w:vMerge/>
          </w:tcPr>
          <w:p w14:paraId="0490A4FC" w14:textId="77777777" w:rsidR="001C08A5" w:rsidRDefault="001C08A5">
            <w:pPr>
              <w:rPr>
                <w:i/>
                <w:iCs/>
                <w:sz w:val="22"/>
                <w:szCs w:val="22"/>
              </w:rPr>
            </w:pPr>
          </w:p>
        </w:tc>
        <w:tc>
          <w:tcPr>
            <w:tcW w:w="900" w:type="dxa"/>
            <w:vMerge/>
          </w:tcPr>
          <w:p w14:paraId="3C161284" w14:textId="77777777" w:rsidR="001C08A5" w:rsidRDefault="001C08A5">
            <w:pPr>
              <w:rPr>
                <w:i/>
                <w:iCs/>
                <w:sz w:val="22"/>
                <w:szCs w:val="22"/>
              </w:rPr>
            </w:pPr>
          </w:p>
        </w:tc>
        <w:tc>
          <w:tcPr>
            <w:tcW w:w="1446" w:type="dxa"/>
            <w:vMerge/>
            <w:vAlign w:val="center"/>
          </w:tcPr>
          <w:p w14:paraId="35D129EB" w14:textId="77777777" w:rsidR="001C08A5" w:rsidRDefault="001C08A5">
            <w:pPr>
              <w:jc w:val="center"/>
              <w:rPr>
                <w:b/>
                <w:i/>
                <w:iCs/>
                <w:sz w:val="22"/>
                <w:szCs w:val="22"/>
              </w:rPr>
            </w:pPr>
          </w:p>
        </w:tc>
        <w:tc>
          <w:tcPr>
            <w:tcW w:w="1343" w:type="dxa"/>
            <w:vMerge/>
            <w:vAlign w:val="center"/>
          </w:tcPr>
          <w:p w14:paraId="3441FFA7" w14:textId="77777777" w:rsidR="001C08A5" w:rsidRDefault="001C08A5">
            <w:pPr>
              <w:jc w:val="center"/>
              <w:rPr>
                <w:i/>
                <w:iCs/>
                <w:sz w:val="22"/>
                <w:szCs w:val="22"/>
              </w:rPr>
            </w:pPr>
          </w:p>
        </w:tc>
        <w:tc>
          <w:tcPr>
            <w:tcW w:w="690" w:type="dxa"/>
            <w:vAlign w:val="center"/>
          </w:tcPr>
          <w:p w14:paraId="62F976FE" w14:textId="77777777" w:rsidR="001C08A5" w:rsidRDefault="00000000">
            <w:pPr>
              <w:jc w:val="center"/>
              <w:rPr>
                <w:b/>
                <w:bCs/>
                <w:i/>
                <w:iCs/>
                <w:sz w:val="22"/>
                <w:szCs w:val="22"/>
              </w:rPr>
            </w:pPr>
            <w:r>
              <w:rPr>
                <w:b/>
                <w:bCs/>
                <w:i/>
                <w:iCs/>
                <w:sz w:val="22"/>
                <w:szCs w:val="22"/>
              </w:rPr>
              <w:t>10</w:t>
            </w:r>
          </w:p>
        </w:tc>
        <w:tc>
          <w:tcPr>
            <w:tcW w:w="1369" w:type="dxa"/>
            <w:vMerge/>
          </w:tcPr>
          <w:p w14:paraId="1756D980" w14:textId="77777777" w:rsidR="001C08A5" w:rsidRDefault="001C08A5">
            <w:pPr>
              <w:rPr>
                <w:i/>
                <w:iCs/>
                <w:sz w:val="22"/>
                <w:szCs w:val="22"/>
              </w:rPr>
            </w:pPr>
          </w:p>
        </w:tc>
      </w:tr>
      <w:tr w:rsidR="001C08A5" w14:paraId="2CFF3C15" w14:textId="77777777">
        <w:tc>
          <w:tcPr>
            <w:tcW w:w="675" w:type="dxa"/>
          </w:tcPr>
          <w:p w14:paraId="09280B48" w14:textId="77777777" w:rsidR="001C08A5" w:rsidRDefault="00000000">
            <w:pPr>
              <w:rPr>
                <w:i/>
                <w:iCs/>
                <w:sz w:val="22"/>
                <w:szCs w:val="22"/>
              </w:rPr>
            </w:pPr>
            <w:r>
              <w:rPr>
                <w:i/>
                <w:iCs/>
                <w:sz w:val="22"/>
                <w:szCs w:val="22"/>
              </w:rPr>
              <w:t>10</w:t>
            </w:r>
          </w:p>
        </w:tc>
        <w:tc>
          <w:tcPr>
            <w:tcW w:w="1701" w:type="dxa"/>
          </w:tcPr>
          <w:p w14:paraId="60457B48" w14:textId="77777777" w:rsidR="001C08A5" w:rsidRDefault="00000000">
            <w:pPr>
              <w:rPr>
                <w:i/>
                <w:iCs/>
                <w:sz w:val="22"/>
                <w:szCs w:val="22"/>
              </w:rPr>
            </w:pPr>
            <w:r>
              <w:rPr>
                <w:i/>
                <w:iCs/>
                <w:sz w:val="22"/>
                <w:szCs w:val="22"/>
              </w:rPr>
              <w:t xml:space="preserve">Teatre </w:t>
            </w:r>
          </w:p>
        </w:tc>
        <w:tc>
          <w:tcPr>
            <w:tcW w:w="1482" w:type="dxa"/>
            <w:vMerge/>
          </w:tcPr>
          <w:p w14:paraId="649766D9" w14:textId="77777777" w:rsidR="001C08A5" w:rsidRDefault="001C08A5">
            <w:pPr>
              <w:rPr>
                <w:i/>
                <w:iCs/>
                <w:sz w:val="22"/>
                <w:szCs w:val="22"/>
              </w:rPr>
            </w:pPr>
          </w:p>
        </w:tc>
        <w:tc>
          <w:tcPr>
            <w:tcW w:w="900" w:type="dxa"/>
            <w:vMerge/>
          </w:tcPr>
          <w:p w14:paraId="1F51900A" w14:textId="77777777" w:rsidR="001C08A5" w:rsidRDefault="001C08A5">
            <w:pPr>
              <w:rPr>
                <w:i/>
                <w:iCs/>
                <w:sz w:val="22"/>
                <w:szCs w:val="22"/>
              </w:rPr>
            </w:pPr>
          </w:p>
        </w:tc>
        <w:tc>
          <w:tcPr>
            <w:tcW w:w="1446" w:type="dxa"/>
            <w:vMerge/>
            <w:vAlign w:val="center"/>
          </w:tcPr>
          <w:p w14:paraId="170F971E" w14:textId="77777777" w:rsidR="001C08A5" w:rsidRDefault="001C08A5">
            <w:pPr>
              <w:jc w:val="center"/>
              <w:rPr>
                <w:b/>
                <w:i/>
                <w:iCs/>
                <w:sz w:val="22"/>
                <w:szCs w:val="22"/>
              </w:rPr>
            </w:pPr>
          </w:p>
        </w:tc>
        <w:tc>
          <w:tcPr>
            <w:tcW w:w="1343" w:type="dxa"/>
            <w:vMerge/>
            <w:vAlign w:val="center"/>
          </w:tcPr>
          <w:p w14:paraId="4C251850" w14:textId="77777777" w:rsidR="001C08A5" w:rsidRDefault="001C08A5">
            <w:pPr>
              <w:jc w:val="center"/>
              <w:rPr>
                <w:i/>
                <w:iCs/>
                <w:sz w:val="22"/>
                <w:szCs w:val="22"/>
              </w:rPr>
            </w:pPr>
          </w:p>
        </w:tc>
        <w:tc>
          <w:tcPr>
            <w:tcW w:w="690" w:type="dxa"/>
            <w:vAlign w:val="center"/>
          </w:tcPr>
          <w:p w14:paraId="46229AAA" w14:textId="77777777" w:rsidR="001C08A5" w:rsidRDefault="00000000">
            <w:pPr>
              <w:jc w:val="center"/>
              <w:rPr>
                <w:b/>
                <w:bCs/>
                <w:i/>
                <w:iCs/>
                <w:sz w:val="22"/>
                <w:szCs w:val="22"/>
              </w:rPr>
            </w:pPr>
            <w:r>
              <w:rPr>
                <w:b/>
                <w:bCs/>
                <w:i/>
                <w:iCs/>
                <w:sz w:val="22"/>
                <w:szCs w:val="22"/>
              </w:rPr>
              <w:t>10</w:t>
            </w:r>
          </w:p>
        </w:tc>
        <w:tc>
          <w:tcPr>
            <w:tcW w:w="1369" w:type="dxa"/>
            <w:vMerge/>
          </w:tcPr>
          <w:p w14:paraId="38945149" w14:textId="77777777" w:rsidR="001C08A5" w:rsidRDefault="001C08A5">
            <w:pPr>
              <w:rPr>
                <w:i/>
                <w:iCs/>
                <w:sz w:val="22"/>
                <w:szCs w:val="22"/>
              </w:rPr>
            </w:pPr>
          </w:p>
        </w:tc>
      </w:tr>
      <w:tr w:rsidR="001C08A5" w14:paraId="64A64E8C" w14:textId="77777777">
        <w:tc>
          <w:tcPr>
            <w:tcW w:w="675" w:type="dxa"/>
          </w:tcPr>
          <w:p w14:paraId="56B0ADF2" w14:textId="77777777" w:rsidR="001C08A5" w:rsidRDefault="00000000">
            <w:pPr>
              <w:rPr>
                <w:i/>
                <w:iCs/>
                <w:sz w:val="22"/>
                <w:szCs w:val="22"/>
              </w:rPr>
            </w:pPr>
            <w:r>
              <w:rPr>
                <w:i/>
                <w:iCs/>
                <w:sz w:val="22"/>
                <w:szCs w:val="22"/>
              </w:rPr>
              <w:t>11</w:t>
            </w:r>
          </w:p>
        </w:tc>
        <w:tc>
          <w:tcPr>
            <w:tcW w:w="1701" w:type="dxa"/>
          </w:tcPr>
          <w:p w14:paraId="530DFF38" w14:textId="77777777" w:rsidR="001C08A5" w:rsidRDefault="00000000">
            <w:pPr>
              <w:rPr>
                <w:i/>
                <w:iCs/>
                <w:sz w:val="22"/>
                <w:szCs w:val="22"/>
              </w:rPr>
            </w:pPr>
            <w:r>
              <w:rPr>
                <w:i/>
                <w:iCs/>
                <w:sz w:val="22"/>
                <w:szCs w:val="22"/>
              </w:rPr>
              <w:t xml:space="preserve">Cinematograf, opera, operetă etc. </w:t>
            </w:r>
          </w:p>
        </w:tc>
        <w:tc>
          <w:tcPr>
            <w:tcW w:w="1482" w:type="dxa"/>
            <w:vMerge/>
          </w:tcPr>
          <w:p w14:paraId="5B04ED2C" w14:textId="77777777" w:rsidR="001C08A5" w:rsidRDefault="001C08A5">
            <w:pPr>
              <w:rPr>
                <w:i/>
                <w:iCs/>
                <w:sz w:val="22"/>
                <w:szCs w:val="22"/>
              </w:rPr>
            </w:pPr>
          </w:p>
        </w:tc>
        <w:tc>
          <w:tcPr>
            <w:tcW w:w="900" w:type="dxa"/>
            <w:vMerge/>
          </w:tcPr>
          <w:p w14:paraId="670B850D" w14:textId="77777777" w:rsidR="001C08A5" w:rsidRDefault="001C08A5">
            <w:pPr>
              <w:rPr>
                <w:i/>
                <w:iCs/>
                <w:sz w:val="22"/>
                <w:szCs w:val="22"/>
              </w:rPr>
            </w:pPr>
          </w:p>
        </w:tc>
        <w:tc>
          <w:tcPr>
            <w:tcW w:w="1446" w:type="dxa"/>
            <w:vMerge/>
            <w:vAlign w:val="center"/>
          </w:tcPr>
          <w:p w14:paraId="3FFC3C48" w14:textId="77777777" w:rsidR="001C08A5" w:rsidRDefault="001C08A5">
            <w:pPr>
              <w:jc w:val="center"/>
              <w:rPr>
                <w:b/>
                <w:i/>
                <w:iCs/>
                <w:sz w:val="22"/>
                <w:szCs w:val="22"/>
              </w:rPr>
            </w:pPr>
          </w:p>
        </w:tc>
        <w:tc>
          <w:tcPr>
            <w:tcW w:w="1343" w:type="dxa"/>
            <w:vMerge/>
            <w:vAlign w:val="center"/>
          </w:tcPr>
          <w:p w14:paraId="4AA179F6" w14:textId="77777777" w:rsidR="001C08A5" w:rsidRDefault="001C08A5">
            <w:pPr>
              <w:jc w:val="center"/>
              <w:rPr>
                <w:i/>
                <w:iCs/>
                <w:sz w:val="22"/>
                <w:szCs w:val="22"/>
              </w:rPr>
            </w:pPr>
          </w:p>
        </w:tc>
        <w:tc>
          <w:tcPr>
            <w:tcW w:w="690" w:type="dxa"/>
            <w:vAlign w:val="center"/>
          </w:tcPr>
          <w:p w14:paraId="2FD0AA1C" w14:textId="77777777" w:rsidR="001C08A5" w:rsidRDefault="00000000">
            <w:pPr>
              <w:jc w:val="center"/>
              <w:rPr>
                <w:b/>
                <w:bCs/>
                <w:i/>
                <w:iCs/>
                <w:sz w:val="22"/>
                <w:szCs w:val="22"/>
              </w:rPr>
            </w:pPr>
            <w:r>
              <w:rPr>
                <w:b/>
                <w:bCs/>
                <w:i/>
                <w:iCs/>
                <w:sz w:val="22"/>
                <w:szCs w:val="22"/>
              </w:rPr>
              <w:t>10</w:t>
            </w:r>
          </w:p>
        </w:tc>
        <w:tc>
          <w:tcPr>
            <w:tcW w:w="1369" w:type="dxa"/>
            <w:vMerge/>
          </w:tcPr>
          <w:p w14:paraId="731AC28B" w14:textId="77777777" w:rsidR="001C08A5" w:rsidRDefault="001C08A5">
            <w:pPr>
              <w:rPr>
                <w:i/>
                <w:iCs/>
                <w:sz w:val="22"/>
                <w:szCs w:val="22"/>
              </w:rPr>
            </w:pPr>
          </w:p>
        </w:tc>
      </w:tr>
      <w:tr w:rsidR="001C08A5" w14:paraId="6E0999D4" w14:textId="77777777">
        <w:trPr>
          <w:trHeight w:val="1109"/>
        </w:trPr>
        <w:tc>
          <w:tcPr>
            <w:tcW w:w="675" w:type="dxa"/>
          </w:tcPr>
          <w:p w14:paraId="5B203B08" w14:textId="77777777" w:rsidR="001C08A5" w:rsidRDefault="00000000">
            <w:pPr>
              <w:rPr>
                <w:i/>
                <w:iCs/>
                <w:sz w:val="22"/>
                <w:szCs w:val="22"/>
              </w:rPr>
            </w:pPr>
            <w:r>
              <w:rPr>
                <w:i/>
                <w:iCs/>
                <w:sz w:val="22"/>
                <w:szCs w:val="22"/>
              </w:rPr>
              <w:t>12</w:t>
            </w:r>
          </w:p>
        </w:tc>
        <w:tc>
          <w:tcPr>
            <w:tcW w:w="1701" w:type="dxa"/>
          </w:tcPr>
          <w:p w14:paraId="7E858A81" w14:textId="77777777" w:rsidR="001C08A5" w:rsidRDefault="00000000">
            <w:pPr>
              <w:rPr>
                <w:i/>
                <w:iCs/>
                <w:sz w:val="22"/>
                <w:szCs w:val="22"/>
              </w:rPr>
            </w:pPr>
            <w:r>
              <w:rPr>
                <w:i/>
                <w:iCs/>
                <w:sz w:val="22"/>
                <w:szCs w:val="22"/>
              </w:rPr>
              <w:t>Săli polivalente</w:t>
            </w:r>
          </w:p>
        </w:tc>
        <w:tc>
          <w:tcPr>
            <w:tcW w:w="1482" w:type="dxa"/>
            <w:vMerge/>
          </w:tcPr>
          <w:p w14:paraId="641F6694" w14:textId="77777777" w:rsidR="001C08A5" w:rsidRDefault="001C08A5">
            <w:pPr>
              <w:rPr>
                <w:i/>
                <w:iCs/>
                <w:sz w:val="22"/>
                <w:szCs w:val="22"/>
              </w:rPr>
            </w:pPr>
          </w:p>
        </w:tc>
        <w:tc>
          <w:tcPr>
            <w:tcW w:w="900" w:type="dxa"/>
            <w:vMerge/>
          </w:tcPr>
          <w:p w14:paraId="23AF3560" w14:textId="77777777" w:rsidR="001C08A5" w:rsidRDefault="001C08A5">
            <w:pPr>
              <w:rPr>
                <w:i/>
                <w:iCs/>
                <w:sz w:val="22"/>
                <w:szCs w:val="22"/>
              </w:rPr>
            </w:pPr>
          </w:p>
        </w:tc>
        <w:tc>
          <w:tcPr>
            <w:tcW w:w="1446" w:type="dxa"/>
            <w:vMerge/>
            <w:vAlign w:val="center"/>
          </w:tcPr>
          <w:p w14:paraId="139F7626" w14:textId="77777777" w:rsidR="001C08A5" w:rsidRDefault="001C08A5">
            <w:pPr>
              <w:jc w:val="center"/>
              <w:rPr>
                <w:b/>
                <w:i/>
                <w:iCs/>
                <w:sz w:val="22"/>
                <w:szCs w:val="22"/>
              </w:rPr>
            </w:pPr>
          </w:p>
        </w:tc>
        <w:tc>
          <w:tcPr>
            <w:tcW w:w="1343" w:type="dxa"/>
            <w:vMerge/>
            <w:vAlign w:val="center"/>
          </w:tcPr>
          <w:p w14:paraId="67845436" w14:textId="77777777" w:rsidR="001C08A5" w:rsidRDefault="001C08A5">
            <w:pPr>
              <w:jc w:val="center"/>
              <w:rPr>
                <w:i/>
                <w:iCs/>
                <w:sz w:val="22"/>
                <w:szCs w:val="22"/>
              </w:rPr>
            </w:pPr>
          </w:p>
        </w:tc>
        <w:tc>
          <w:tcPr>
            <w:tcW w:w="690" w:type="dxa"/>
            <w:vAlign w:val="center"/>
          </w:tcPr>
          <w:p w14:paraId="5A9F9599" w14:textId="77777777" w:rsidR="001C08A5" w:rsidRDefault="00000000">
            <w:pPr>
              <w:jc w:val="center"/>
              <w:rPr>
                <w:b/>
                <w:bCs/>
                <w:i/>
                <w:iCs/>
                <w:sz w:val="22"/>
                <w:szCs w:val="22"/>
              </w:rPr>
            </w:pPr>
            <w:r>
              <w:rPr>
                <w:b/>
                <w:bCs/>
                <w:i/>
                <w:iCs/>
                <w:sz w:val="22"/>
                <w:szCs w:val="22"/>
              </w:rPr>
              <w:t>10</w:t>
            </w:r>
          </w:p>
        </w:tc>
        <w:tc>
          <w:tcPr>
            <w:tcW w:w="1369" w:type="dxa"/>
            <w:vMerge/>
          </w:tcPr>
          <w:p w14:paraId="373B03B2" w14:textId="77777777" w:rsidR="001C08A5" w:rsidRDefault="001C08A5">
            <w:pPr>
              <w:rPr>
                <w:i/>
                <w:iCs/>
                <w:sz w:val="22"/>
                <w:szCs w:val="22"/>
              </w:rPr>
            </w:pPr>
          </w:p>
        </w:tc>
      </w:tr>
      <w:tr w:rsidR="001C08A5" w14:paraId="06AA084B" w14:textId="77777777">
        <w:tc>
          <w:tcPr>
            <w:tcW w:w="675" w:type="dxa"/>
          </w:tcPr>
          <w:p w14:paraId="015F55E0" w14:textId="77777777" w:rsidR="001C08A5" w:rsidRDefault="00000000">
            <w:pPr>
              <w:rPr>
                <w:i/>
                <w:iCs/>
                <w:sz w:val="22"/>
                <w:szCs w:val="22"/>
              </w:rPr>
            </w:pPr>
            <w:r>
              <w:rPr>
                <w:i/>
                <w:iCs/>
                <w:sz w:val="22"/>
                <w:szCs w:val="22"/>
              </w:rPr>
              <w:t>13</w:t>
            </w:r>
          </w:p>
        </w:tc>
        <w:tc>
          <w:tcPr>
            <w:tcW w:w="1701" w:type="dxa"/>
          </w:tcPr>
          <w:p w14:paraId="416E2F97" w14:textId="77777777" w:rsidR="001C08A5" w:rsidRDefault="00000000">
            <w:pPr>
              <w:rPr>
                <w:i/>
                <w:iCs/>
                <w:sz w:val="22"/>
                <w:szCs w:val="22"/>
              </w:rPr>
            </w:pPr>
            <w:r>
              <w:rPr>
                <w:i/>
                <w:iCs/>
                <w:sz w:val="22"/>
                <w:szCs w:val="22"/>
              </w:rPr>
              <w:t xml:space="preserve">Încăperi cu diverse funcţiuni / destinaţii </w:t>
            </w:r>
          </w:p>
        </w:tc>
        <w:tc>
          <w:tcPr>
            <w:tcW w:w="7230" w:type="dxa"/>
            <w:gridSpan w:val="6"/>
          </w:tcPr>
          <w:p w14:paraId="3B249D0E"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440CCF6E" w14:textId="77777777" w:rsidR="001C08A5" w:rsidRDefault="00000000">
      <w:pPr>
        <w:rPr>
          <w:i/>
          <w:sz w:val="22"/>
          <w:szCs w:val="22"/>
        </w:rPr>
      </w:pPr>
      <w:r>
        <w:rPr>
          <w:i/>
          <w:sz w:val="22"/>
          <w:szCs w:val="22"/>
          <w:u w:val="single"/>
        </w:rPr>
        <w:t>Notă</w:t>
      </w:r>
      <w:r>
        <w:rPr>
          <w:i/>
          <w:sz w:val="22"/>
          <w:szCs w:val="22"/>
        </w:rPr>
        <w:t>:</w:t>
      </w:r>
    </w:p>
    <w:p w14:paraId="3A7E92EA" w14:textId="77777777" w:rsidR="001C08A5" w:rsidRDefault="00000000">
      <w:pPr>
        <w:jc w:val="both"/>
        <w:rPr>
          <w:i/>
          <w:sz w:val="22"/>
          <w:szCs w:val="22"/>
        </w:rPr>
      </w:pPr>
      <w:r>
        <w:rPr>
          <w:i/>
          <w:sz w:val="22"/>
          <w:szCs w:val="22"/>
        </w:rPr>
        <w:t>Numarul de persoane poate fi determinat și prin mobilarea propusă, dar valorile din tabel sunt minimale și obligatorii.</w:t>
      </w:r>
    </w:p>
    <w:p w14:paraId="24D700B0" w14:textId="77777777" w:rsidR="001C08A5" w:rsidRDefault="001C08A5">
      <w:pPr>
        <w:rPr>
          <w:b/>
          <w:sz w:val="24"/>
          <w:szCs w:val="24"/>
        </w:rPr>
      </w:pPr>
    </w:p>
    <w:p w14:paraId="67422611" w14:textId="77777777" w:rsidR="001C08A5" w:rsidRDefault="00000000">
      <w:pPr>
        <w:pStyle w:val="Captiontabel"/>
      </w:pPr>
      <w:bookmarkStart w:id="2410" w:name="_Toc162360081"/>
      <w:r>
        <w:t xml:space="preserve">Tabelul </w:t>
      </w:r>
      <w:r>
        <w:fldChar w:fldCharType="begin"/>
      </w:r>
      <w:r>
        <w:instrText xml:space="preserve"> SEQ Tabelul \* ARABIC </w:instrText>
      </w:r>
      <w:r>
        <w:fldChar w:fldCharType="separate"/>
      </w:r>
      <w:r>
        <w:t>31</w:t>
      </w:r>
      <w:r>
        <w:fldChar w:fldCharType="end"/>
      </w:r>
      <w:bookmarkStart w:id="2411" w:name="_Toc30129"/>
      <w:bookmarkStart w:id="2412" w:name="_Toc23368"/>
      <w:bookmarkStart w:id="2413" w:name="_Toc11089"/>
      <w:bookmarkStart w:id="2414" w:name="_Toc4661"/>
      <w:bookmarkStart w:id="2415" w:name="_Toc9625"/>
      <w:bookmarkStart w:id="2416" w:name="_Toc24111"/>
      <w:bookmarkStart w:id="2417" w:name="_Toc30744"/>
      <w:bookmarkStart w:id="2418" w:name="_Toc28721"/>
      <w:bookmarkStart w:id="2419" w:name="_Toc23271"/>
      <w:bookmarkStart w:id="2420" w:name="_Toc31202"/>
      <w:bookmarkStart w:id="2421" w:name="_Toc14027"/>
      <w:bookmarkStart w:id="2422" w:name="_Toc17006"/>
      <w:bookmarkStart w:id="2423" w:name="_Toc25873"/>
      <w:bookmarkStart w:id="2424" w:name="_Toc15417"/>
      <w:bookmarkStart w:id="2425" w:name="_Toc4139"/>
      <w:bookmarkStart w:id="2426" w:name="_Toc14043"/>
      <w:bookmarkStart w:id="2427" w:name="_Toc28179"/>
      <w:bookmarkStart w:id="2428" w:name="_Toc23347"/>
      <w:bookmarkStart w:id="2429" w:name="_Toc814"/>
      <w:r>
        <w:t>: Număr minim simultan de persoane din clădiri pentru învăţământ</w:t>
      </w:r>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p>
    <w:p w14:paraId="6FBB5AFA" w14:textId="77777777" w:rsidR="001C08A5" w:rsidRDefault="001C08A5">
      <w:pPr>
        <w:pStyle w:val="BodyText"/>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773"/>
        <w:gridCol w:w="1410"/>
        <w:gridCol w:w="900"/>
        <w:gridCol w:w="1446"/>
        <w:gridCol w:w="1343"/>
        <w:gridCol w:w="690"/>
        <w:gridCol w:w="1369"/>
      </w:tblGrid>
      <w:tr w:rsidR="001C08A5" w14:paraId="216A17FA" w14:textId="77777777">
        <w:trPr>
          <w:tblHeader/>
        </w:trPr>
        <w:tc>
          <w:tcPr>
            <w:tcW w:w="675" w:type="dxa"/>
            <w:shd w:val="clear" w:color="auto" w:fill="BFBFBF"/>
            <w:vAlign w:val="center"/>
          </w:tcPr>
          <w:p w14:paraId="019E0BE1" w14:textId="77777777" w:rsidR="001C08A5" w:rsidRDefault="00000000">
            <w:pPr>
              <w:jc w:val="center"/>
              <w:rPr>
                <w:b/>
                <w:i/>
                <w:iCs/>
                <w:sz w:val="22"/>
                <w:szCs w:val="22"/>
              </w:rPr>
            </w:pPr>
            <w:r>
              <w:rPr>
                <w:b/>
                <w:i/>
                <w:iCs/>
                <w:sz w:val="22"/>
                <w:szCs w:val="22"/>
              </w:rPr>
              <w:t>Nr.</w:t>
            </w:r>
          </w:p>
          <w:p w14:paraId="273A6F50" w14:textId="77777777" w:rsidR="001C08A5" w:rsidRDefault="00000000">
            <w:pPr>
              <w:jc w:val="center"/>
              <w:rPr>
                <w:i/>
                <w:iCs/>
                <w:sz w:val="22"/>
                <w:szCs w:val="22"/>
              </w:rPr>
            </w:pPr>
            <w:r>
              <w:rPr>
                <w:b/>
                <w:i/>
                <w:iCs/>
                <w:sz w:val="22"/>
                <w:szCs w:val="22"/>
              </w:rPr>
              <w:t>crt.</w:t>
            </w:r>
          </w:p>
        </w:tc>
        <w:tc>
          <w:tcPr>
            <w:tcW w:w="1773" w:type="dxa"/>
            <w:shd w:val="clear" w:color="auto" w:fill="BFBFBF"/>
            <w:vAlign w:val="center"/>
          </w:tcPr>
          <w:p w14:paraId="07CD08DD" w14:textId="77777777" w:rsidR="001C08A5" w:rsidRDefault="00000000">
            <w:pPr>
              <w:jc w:val="center"/>
              <w:rPr>
                <w:i/>
                <w:iCs/>
                <w:sz w:val="22"/>
                <w:szCs w:val="22"/>
              </w:rPr>
            </w:pPr>
            <w:r>
              <w:rPr>
                <w:b/>
                <w:i/>
                <w:iCs/>
                <w:sz w:val="22"/>
                <w:szCs w:val="22"/>
              </w:rPr>
              <w:t>Destinaţie / funcţiune</w:t>
            </w:r>
          </w:p>
        </w:tc>
        <w:tc>
          <w:tcPr>
            <w:tcW w:w="1410" w:type="dxa"/>
            <w:shd w:val="clear" w:color="auto" w:fill="BFBFBF"/>
            <w:vAlign w:val="center"/>
          </w:tcPr>
          <w:p w14:paraId="5FD9B91F" w14:textId="77777777" w:rsidR="001C08A5" w:rsidRDefault="00000000">
            <w:pPr>
              <w:jc w:val="center"/>
              <w:rPr>
                <w:b/>
                <w:i/>
                <w:iCs/>
                <w:sz w:val="22"/>
                <w:szCs w:val="22"/>
              </w:rPr>
            </w:pPr>
            <w:r>
              <w:rPr>
                <w:b/>
                <w:i/>
                <w:iCs/>
                <w:sz w:val="22"/>
                <w:szCs w:val="22"/>
              </w:rPr>
              <w:t>Observaţii</w:t>
            </w:r>
          </w:p>
        </w:tc>
        <w:tc>
          <w:tcPr>
            <w:tcW w:w="900" w:type="dxa"/>
            <w:shd w:val="clear" w:color="auto" w:fill="BFBFBF"/>
            <w:vAlign w:val="center"/>
          </w:tcPr>
          <w:p w14:paraId="3E9FD09D" w14:textId="77777777" w:rsidR="001C08A5" w:rsidRDefault="00000000">
            <w:pPr>
              <w:jc w:val="center"/>
              <w:rPr>
                <w:i/>
                <w:iCs/>
                <w:sz w:val="22"/>
                <w:szCs w:val="22"/>
              </w:rPr>
            </w:pPr>
            <w:r>
              <w:rPr>
                <w:b/>
                <w:i/>
                <w:iCs/>
                <w:sz w:val="22"/>
                <w:szCs w:val="22"/>
              </w:rPr>
              <w:t>Nivel de referinţă</w:t>
            </w:r>
          </w:p>
        </w:tc>
        <w:tc>
          <w:tcPr>
            <w:tcW w:w="1446" w:type="dxa"/>
            <w:shd w:val="clear" w:color="auto" w:fill="BFBFBF"/>
            <w:vAlign w:val="center"/>
          </w:tcPr>
          <w:p w14:paraId="1412D9E0"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1343" w:type="dxa"/>
            <w:shd w:val="clear" w:color="auto" w:fill="BFBFBF"/>
            <w:vAlign w:val="center"/>
          </w:tcPr>
          <w:p w14:paraId="323D1AC0" w14:textId="77777777" w:rsidR="001C08A5" w:rsidRDefault="00000000">
            <w:pPr>
              <w:jc w:val="center"/>
              <w:rPr>
                <w:b/>
                <w:i/>
                <w:iCs/>
                <w:sz w:val="22"/>
                <w:szCs w:val="22"/>
              </w:rPr>
            </w:pPr>
            <w:r>
              <w:rPr>
                <w:b/>
                <w:i/>
                <w:iCs/>
                <w:sz w:val="22"/>
                <w:szCs w:val="22"/>
              </w:rPr>
              <w:t>Destinaţia / funcţiunea ariei considerată în calcul</w:t>
            </w:r>
          </w:p>
        </w:tc>
        <w:tc>
          <w:tcPr>
            <w:tcW w:w="690" w:type="dxa"/>
            <w:shd w:val="clear" w:color="auto" w:fill="BFBFBF"/>
            <w:vAlign w:val="center"/>
          </w:tcPr>
          <w:p w14:paraId="6D381050" w14:textId="77777777" w:rsidR="001C08A5" w:rsidRDefault="00000000">
            <w:pPr>
              <w:jc w:val="center"/>
              <w:rPr>
                <w:b/>
                <w:i/>
                <w:iCs/>
                <w:sz w:val="22"/>
                <w:szCs w:val="22"/>
              </w:rPr>
            </w:pPr>
            <w:r>
              <w:rPr>
                <w:b/>
                <w:i/>
                <w:iCs/>
                <w:sz w:val="22"/>
                <w:szCs w:val="22"/>
              </w:rPr>
              <w:t>Spor%</w:t>
            </w:r>
          </w:p>
          <w:p w14:paraId="1AD6C1BA" w14:textId="77777777" w:rsidR="001C08A5" w:rsidRDefault="001C08A5">
            <w:pPr>
              <w:jc w:val="center"/>
              <w:rPr>
                <w:b/>
                <w:i/>
                <w:iCs/>
                <w:sz w:val="22"/>
                <w:szCs w:val="22"/>
              </w:rPr>
            </w:pPr>
          </w:p>
        </w:tc>
        <w:tc>
          <w:tcPr>
            <w:tcW w:w="1369" w:type="dxa"/>
            <w:shd w:val="clear" w:color="auto" w:fill="BFBFBF"/>
            <w:vAlign w:val="center"/>
          </w:tcPr>
          <w:p w14:paraId="3BD2CF5E" w14:textId="77777777" w:rsidR="001C08A5" w:rsidRDefault="00000000">
            <w:pPr>
              <w:jc w:val="center"/>
              <w:rPr>
                <w:b/>
                <w:i/>
                <w:iCs/>
                <w:sz w:val="22"/>
                <w:szCs w:val="22"/>
              </w:rPr>
            </w:pPr>
            <w:r>
              <w:rPr>
                <w:b/>
                <w:i/>
                <w:iCs/>
                <w:sz w:val="22"/>
                <w:szCs w:val="22"/>
              </w:rPr>
              <w:t>Personal pentru care se acordă spor</w:t>
            </w:r>
          </w:p>
        </w:tc>
      </w:tr>
      <w:tr w:rsidR="001C08A5" w14:paraId="7649B8A2" w14:textId="77777777">
        <w:tc>
          <w:tcPr>
            <w:tcW w:w="675" w:type="dxa"/>
            <w:shd w:val="clear" w:color="auto" w:fill="auto"/>
            <w:vAlign w:val="center"/>
          </w:tcPr>
          <w:p w14:paraId="7E268897" w14:textId="77777777" w:rsidR="001C08A5" w:rsidRDefault="00000000">
            <w:pPr>
              <w:jc w:val="center"/>
              <w:rPr>
                <w:b/>
                <w:i/>
                <w:iCs/>
                <w:sz w:val="22"/>
                <w:szCs w:val="22"/>
              </w:rPr>
            </w:pPr>
            <w:r>
              <w:rPr>
                <w:i/>
                <w:iCs/>
                <w:sz w:val="22"/>
                <w:szCs w:val="22"/>
              </w:rPr>
              <w:t>1</w:t>
            </w:r>
          </w:p>
        </w:tc>
        <w:tc>
          <w:tcPr>
            <w:tcW w:w="1773" w:type="dxa"/>
            <w:shd w:val="clear" w:color="auto" w:fill="auto"/>
            <w:vAlign w:val="center"/>
          </w:tcPr>
          <w:p w14:paraId="27530098" w14:textId="77777777" w:rsidR="001C08A5" w:rsidRDefault="00000000">
            <w:pPr>
              <w:jc w:val="center"/>
              <w:rPr>
                <w:b/>
                <w:i/>
                <w:iCs/>
                <w:sz w:val="22"/>
                <w:szCs w:val="22"/>
              </w:rPr>
            </w:pPr>
            <w:r>
              <w:rPr>
                <w:i/>
                <w:iCs/>
                <w:sz w:val="22"/>
                <w:szCs w:val="22"/>
              </w:rPr>
              <w:t>Sala de clasa</w:t>
            </w:r>
          </w:p>
        </w:tc>
        <w:tc>
          <w:tcPr>
            <w:tcW w:w="1410" w:type="dxa"/>
            <w:vMerge w:val="restart"/>
            <w:shd w:val="clear" w:color="auto" w:fill="auto"/>
            <w:vAlign w:val="center"/>
          </w:tcPr>
          <w:p w14:paraId="364A84E3" w14:textId="77777777" w:rsidR="001C08A5" w:rsidRDefault="00000000">
            <w:pPr>
              <w:jc w:val="center"/>
              <w:rPr>
                <w:b/>
                <w:i/>
                <w:iCs/>
                <w:sz w:val="22"/>
                <w:szCs w:val="22"/>
              </w:rPr>
            </w:pPr>
            <w:r>
              <w:rPr>
                <w:i/>
                <w:iCs/>
                <w:sz w:val="22"/>
                <w:szCs w:val="22"/>
              </w:rPr>
              <w:t>Numărul simultan de persoane se poate preciza și conform numărului de locuri pe scaune plus sporul de personal.</w:t>
            </w:r>
          </w:p>
        </w:tc>
        <w:tc>
          <w:tcPr>
            <w:tcW w:w="900" w:type="dxa"/>
            <w:vMerge w:val="restart"/>
            <w:shd w:val="clear" w:color="auto" w:fill="auto"/>
            <w:vAlign w:val="center"/>
          </w:tcPr>
          <w:p w14:paraId="63D8BEBF" w14:textId="77777777" w:rsidR="001C08A5" w:rsidRDefault="00000000">
            <w:pPr>
              <w:jc w:val="center"/>
              <w:rPr>
                <w:b/>
                <w:i/>
                <w:iCs/>
                <w:sz w:val="22"/>
                <w:szCs w:val="22"/>
              </w:rPr>
            </w:pPr>
            <w:r>
              <w:rPr>
                <w:i/>
                <w:iCs/>
                <w:sz w:val="22"/>
                <w:szCs w:val="22"/>
              </w:rPr>
              <w:t>La orice nivel al constructiei</w:t>
            </w:r>
          </w:p>
        </w:tc>
        <w:tc>
          <w:tcPr>
            <w:tcW w:w="1446" w:type="dxa"/>
            <w:shd w:val="clear" w:color="auto" w:fill="auto"/>
            <w:vAlign w:val="center"/>
          </w:tcPr>
          <w:p w14:paraId="0D1A8DC4" w14:textId="77777777" w:rsidR="001C08A5" w:rsidRDefault="00000000">
            <w:pPr>
              <w:jc w:val="center"/>
              <w:rPr>
                <w:b/>
                <w:bCs/>
                <w:i/>
                <w:iCs/>
                <w:sz w:val="22"/>
                <w:szCs w:val="22"/>
              </w:rPr>
            </w:pPr>
            <w:r>
              <w:rPr>
                <w:b/>
                <w:bCs/>
                <w:i/>
                <w:iCs/>
                <w:sz w:val="22"/>
                <w:szCs w:val="22"/>
              </w:rPr>
              <w:t>2,50(sau conf. Obs.)</w:t>
            </w:r>
          </w:p>
        </w:tc>
        <w:tc>
          <w:tcPr>
            <w:tcW w:w="1343" w:type="dxa"/>
            <w:shd w:val="clear" w:color="auto" w:fill="auto"/>
            <w:vAlign w:val="center"/>
          </w:tcPr>
          <w:p w14:paraId="4EBD4CA7" w14:textId="77777777" w:rsidR="001C08A5" w:rsidRDefault="001C08A5">
            <w:pPr>
              <w:jc w:val="center"/>
              <w:rPr>
                <w:b/>
                <w:i/>
                <w:iCs/>
                <w:sz w:val="22"/>
                <w:szCs w:val="22"/>
              </w:rPr>
            </w:pPr>
          </w:p>
        </w:tc>
        <w:tc>
          <w:tcPr>
            <w:tcW w:w="690" w:type="dxa"/>
            <w:vMerge w:val="restart"/>
            <w:shd w:val="clear" w:color="auto" w:fill="auto"/>
            <w:vAlign w:val="center"/>
          </w:tcPr>
          <w:p w14:paraId="4F328233" w14:textId="77777777" w:rsidR="001C08A5" w:rsidRDefault="00000000">
            <w:pPr>
              <w:jc w:val="center"/>
              <w:rPr>
                <w:b/>
                <w:bCs/>
                <w:i/>
                <w:iCs/>
                <w:sz w:val="22"/>
                <w:szCs w:val="22"/>
              </w:rPr>
            </w:pPr>
            <w:r>
              <w:rPr>
                <w:b/>
                <w:bCs/>
                <w:i/>
                <w:iCs/>
                <w:sz w:val="22"/>
                <w:szCs w:val="22"/>
              </w:rPr>
              <w:t>3</w:t>
            </w:r>
          </w:p>
        </w:tc>
        <w:tc>
          <w:tcPr>
            <w:tcW w:w="1369" w:type="dxa"/>
            <w:shd w:val="clear" w:color="auto" w:fill="auto"/>
            <w:vAlign w:val="center"/>
          </w:tcPr>
          <w:p w14:paraId="5FB9CF11" w14:textId="77777777" w:rsidR="001C08A5" w:rsidRDefault="001C08A5">
            <w:pPr>
              <w:jc w:val="center"/>
              <w:rPr>
                <w:b/>
                <w:i/>
                <w:iCs/>
                <w:sz w:val="22"/>
                <w:szCs w:val="22"/>
              </w:rPr>
            </w:pPr>
          </w:p>
        </w:tc>
      </w:tr>
      <w:tr w:rsidR="001C08A5" w14:paraId="79677C40" w14:textId="77777777">
        <w:tc>
          <w:tcPr>
            <w:tcW w:w="675" w:type="dxa"/>
            <w:shd w:val="clear" w:color="auto" w:fill="auto"/>
            <w:vAlign w:val="center"/>
          </w:tcPr>
          <w:p w14:paraId="053D098E" w14:textId="77777777" w:rsidR="001C08A5" w:rsidRDefault="00000000">
            <w:pPr>
              <w:jc w:val="center"/>
              <w:rPr>
                <w:b/>
                <w:i/>
                <w:iCs/>
                <w:sz w:val="22"/>
                <w:szCs w:val="22"/>
              </w:rPr>
            </w:pPr>
            <w:r>
              <w:rPr>
                <w:i/>
                <w:iCs/>
                <w:sz w:val="22"/>
                <w:szCs w:val="22"/>
              </w:rPr>
              <w:t>2</w:t>
            </w:r>
          </w:p>
        </w:tc>
        <w:tc>
          <w:tcPr>
            <w:tcW w:w="1773" w:type="dxa"/>
            <w:shd w:val="clear" w:color="auto" w:fill="auto"/>
            <w:vAlign w:val="center"/>
          </w:tcPr>
          <w:p w14:paraId="11A432E1" w14:textId="77777777" w:rsidR="001C08A5" w:rsidRDefault="00000000">
            <w:pPr>
              <w:jc w:val="center"/>
              <w:rPr>
                <w:b/>
                <w:i/>
                <w:iCs/>
                <w:sz w:val="22"/>
                <w:szCs w:val="22"/>
              </w:rPr>
            </w:pPr>
            <w:r>
              <w:rPr>
                <w:i/>
                <w:iCs/>
                <w:sz w:val="22"/>
                <w:szCs w:val="22"/>
              </w:rPr>
              <w:t>Laborator/atelier</w:t>
            </w:r>
          </w:p>
        </w:tc>
        <w:tc>
          <w:tcPr>
            <w:tcW w:w="1410" w:type="dxa"/>
            <w:vMerge/>
            <w:shd w:val="clear" w:color="auto" w:fill="auto"/>
            <w:vAlign w:val="center"/>
          </w:tcPr>
          <w:p w14:paraId="63408E3E" w14:textId="77777777" w:rsidR="001C08A5" w:rsidRDefault="001C08A5">
            <w:pPr>
              <w:jc w:val="center"/>
              <w:rPr>
                <w:b/>
                <w:i/>
                <w:iCs/>
                <w:sz w:val="22"/>
                <w:szCs w:val="22"/>
              </w:rPr>
            </w:pPr>
          </w:p>
        </w:tc>
        <w:tc>
          <w:tcPr>
            <w:tcW w:w="900" w:type="dxa"/>
            <w:vMerge/>
            <w:shd w:val="clear" w:color="auto" w:fill="auto"/>
            <w:vAlign w:val="center"/>
          </w:tcPr>
          <w:p w14:paraId="3E9DDCAE" w14:textId="77777777" w:rsidR="001C08A5" w:rsidRDefault="001C08A5">
            <w:pPr>
              <w:jc w:val="center"/>
              <w:rPr>
                <w:b/>
                <w:i/>
                <w:iCs/>
                <w:sz w:val="22"/>
                <w:szCs w:val="22"/>
              </w:rPr>
            </w:pPr>
          </w:p>
        </w:tc>
        <w:tc>
          <w:tcPr>
            <w:tcW w:w="1446" w:type="dxa"/>
            <w:shd w:val="clear" w:color="auto" w:fill="auto"/>
            <w:vAlign w:val="center"/>
          </w:tcPr>
          <w:p w14:paraId="4927D83A" w14:textId="77777777" w:rsidR="001C08A5" w:rsidRDefault="00000000">
            <w:pPr>
              <w:jc w:val="center"/>
              <w:rPr>
                <w:b/>
                <w:bCs/>
                <w:i/>
                <w:iCs/>
                <w:sz w:val="22"/>
                <w:szCs w:val="22"/>
              </w:rPr>
            </w:pPr>
            <w:r>
              <w:rPr>
                <w:b/>
                <w:bCs/>
                <w:i/>
                <w:iCs/>
                <w:sz w:val="22"/>
                <w:szCs w:val="22"/>
              </w:rPr>
              <w:t>3,50 (sau conf. Obs.)</w:t>
            </w:r>
          </w:p>
        </w:tc>
        <w:tc>
          <w:tcPr>
            <w:tcW w:w="1343" w:type="dxa"/>
            <w:shd w:val="clear" w:color="auto" w:fill="auto"/>
            <w:vAlign w:val="center"/>
          </w:tcPr>
          <w:p w14:paraId="189EFAD2" w14:textId="77777777" w:rsidR="001C08A5" w:rsidRDefault="001C08A5">
            <w:pPr>
              <w:jc w:val="center"/>
              <w:rPr>
                <w:b/>
                <w:i/>
                <w:iCs/>
                <w:sz w:val="22"/>
                <w:szCs w:val="22"/>
              </w:rPr>
            </w:pPr>
          </w:p>
        </w:tc>
        <w:tc>
          <w:tcPr>
            <w:tcW w:w="690" w:type="dxa"/>
            <w:vMerge/>
            <w:shd w:val="clear" w:color="auto" w:fill="auto"/>
            <w:vAlign w:val="center"/>
          </w:tcPr>
          <w:p w14:paraId="26090449" w14:textId="77777777" w:rsidR="001C08A5" w:rsidRDefault="001C08A5">
            <w:pPr>
              <w:jc w:val="center"/>
              <w:rPr>
                <w:b/>
                <w:bCs/>
                <w:i/>
                <w:iCs/>
                <w:sz w:val="22"/>
                <w:szCs w:val="22"/>
              </w:rPr>
            </w:pPr>
          </w:p>
        </w:tc>
        <w:tc>
          <w:tcPr>
            <w:tcW w:w="1369" w:type="dxa"/>
            <w:shd w:val="clear" w:color="auto" w:fill="auto"/>
            <w:vAlign w:val="center"/>
          </w:tcPr>
          <w:p w14:paraId="42F62EA0" w14:textId="77777777" w:rsidR="001C08A5" w:rsidRDefault="001C08A5">
            <w:pPr>
              <w:jc w:val="center"/>
              <w:rPr>
                <w:b/>
                <w:i/>
                <w:iCs/>
                <w:sz w:val="22"/>
                <w:szCs w:val="22"/>
              </w:rPr>
            </w:pPr>
          </w:p>
        </w:tc>
      </w:tr>
      <w:tr w:rsidR="001C08A5" w14:paraId="7E64DC47" w14:textId="77777777">
        <w:tc>
          <w:tcPr>
            <w:tcW w:w="675" w:type="dxa"/>
            <w:shd w:val="clear" w:color="auto" w:fill="auto"/>
            <w:vAlign w:val="center"/>
          </w:tcPr>
          <w:p w14:paraId="12169212" w14:textId="77777777" w:rsidR="001C08A5" w:rsidRDefault="00000000">
            <w:pPr>
              <w:jc w:val="center"/>
              <w:rPr>
                <w:b/>
                <w:i/>
                <w:iCs/>
                <w:sz w:val="22"/>
                <w:szCs w:val="22"/>
              </w:rPr>
            </w:pPr>
            <w:r>
              <w:rPr>
                <w:i/>
                <w:iCs/>
                <w:sz w:val="22"/>
                <w:szCs w:val="22"/>
              </w:rPr>
              <w:t>3</w:t>
            </w:r>
          </w:p>
        </w:tc>
        <w:tc>
          <w:tcPr>
            <w:tcW w:w="1773" w:type="dxa"/>
            <w:shd w:val="clear" w:color="auto" w:fill="auto"/>
            <w:vAlign w:val="center"/>
          </w:tcPr>
          <w:p w14:paraId="06EE88E5" w14:textId="77777777" w:rsidR="001C08A5" w:rsidRDefault="00000000">
            <w:pPr>
              <w:jc w:val="center"/>
              <w:rPr>
                <w:b/>
                <w:i/>
                <w:iCs/>
                <w:sz w:val="22"/>
                <w:szCs w:val="22"/>
              </w:rPr>
            </w:pPr>
            <w:r>
              <w:rPr>
                <w:i/>
                <w:iCs/>
                <w:sz w:val="22"/>
                <w:szCs w:val="22"/>
              </w:rPr>
              <w:t>Sala multimedia, reprezentatii, club teatru</w:t>
            </w:r>
          </w:p>
        </w:tc>
        <w:tc>
          <w:tcPr>
            <w:tcW w:w="1410" w:type="dxa"/>
            <w:vMerge/>
            <w:shd w:val="clear" w:color="auto" w:fill="auto"/>
            <w:vAlign w:val="center"/>
          </w:tcPr>
          <w:p w14:paraId="08067031" w14:textId="77777777" w:rsidR="001C08A5" w:rsidRDefault="001C08A5">
            <w:pPr>
              <w:jc w:val="center"/>
              <w:rPr>
                <w:b/>
                <w:i/>
                <w:iCs/>
                <w:sz w:val="22"/>
                <w:szCs w:val="22"/>
              </w:rPr>
            </w:pPr>
          </w:p>
        </w:tc>
        <w:tc>
          <w:tcPr>
            <w:tcW w:w="900" w:type="dxa"/>
            <w:vMerge/>
            <w:shd w:val="clear" w:color="auto" w:fill="auto"/>
            <w:vAlign w:val="center"/>
          </w:tcPr>
          <w:p w14:paraId="7A0AC7B6" w14:textId="77777777" w:rsidR="001C08A5" w:rsidRDefault="001C08A5">
            <w:pPr>
              <w:jc w:val="center"/>
              <w:rPr>
                <w:b/>
                <w:i/>
                <w:iCs/>
                <w:sz w:val="22"/>
                <w:szCs w:val="22"/>
              </w:rPr>
            </w:pPr>
          </w:p>
        </w:tc>
        <w:tc>
          <w:tcPr>
            <w:tcW w:w="1446" w:type="dxa"/>
            <w:shd w:val="clear" w:color="auto" w:fill="auto"/>
            <w:vAlign w:val="center"/>
          </w:tcPr>
          <w:p w14:paraId="0A9C8F00" w14:textId="77777777" w:rsidR="001C08A5" w:rsidRDefault="00000000">
            <w:pPr>
              <w:jc w:val="center"/>
              <w:rPr>
                <w:b/>
                <w:bCs/>
                <w:i/>
                <w:iCs/>
                <w:sz w:val="22"/>
                <w:szCs w:val="22"/>
              </w:rPr>
            </w:pPr>
            <w:r>
              <w:rPr>
                <w:b/>
                <w:bCs/>
                <w:i/>
                <w:iCs/>
                <w:sz w:val="22"/>
                <w:szCs w:val="22"/>
              </w:rPr>
              <w:t>4,00 (sau conf. Obs.)</w:t>
            </w:r>
          </w:p>
        </w:tc>
        <w:tc>
          <w:tcPr>
            <w:tcW w:w="1343" w:type="dxa"/>
            <w:shd w:val="clear" w:color="auto" w:fill="auto"/>
            <w:vAlign w:val="center"/>
          </w:tcPr>
          <w:p w14:paraId="3326AC79" w14:textId="77777777" w:rsidR="001C08A5" w:rsidRDefault="001C08A5">
            <w:pPr>
              <w:jc w:val="center"/>
              <w:rPr>
                <w:b/>
                <w:i/>
                <w:iCs/>
                <w:sz w:val="22"/>
                <w:szCs w:val="22"/>
              </w:rPr>
            </w:pPr>
          </w:p>
        </w:tc>
        <w:tc>
          <w:tcPr>
            <w:tcW w:w="690" w:type="dxa"/>
            <w:vMerge/>
            <w:shd w:val="clear" w:color="auto" w:fill="auto"/>
            <w:vAlign w:val="center"/>
          </w:tcPr>
          <w:p w14:paraId="6DB35DA5" w14:textId="77777777" w:rsidR="001C08A5" w:rsidRDefault="001C08A5">
            <w:pPr>
              <w:jc w:val="center"/>
              <w:rPr>
                <w:b/>
                <w:bCs/>
                <w:i/>
                <w:iCs/>
                <w:sz w:val="22"/>
                <w:szCs w:val="22"/>
              </w:rPr>
            </w:pPr>
          </w:p>
        </w:tc>
        <w:tc>
          <w:tcPr>
            <w:tcW w:w="1369" w:type="dxa"/>
            <w:shd w:val="clear" w:color="auto" w:fill="auto"/>
            <w:vAlign w:val="center"/>
          </w:tcPr>
          <w:p w14:paraId="151C6BEB" w14:textId="77777777" w:rsidR="001C08A5" w:rsidRDefault="001C08A5">
            <w:pPr>
              <w:jc w:val="center"/>
              <w:rPr>
                <w:b/>
                <w:i/>
                <w:iCs/>
                <w:sz w:val="22"/>
                <w:szCs w:val="22"/>
              </w:rPr>
            </w:pPr>
          </w:p>
        </w:tc>
      </w:tr>
      <w:tr w:rsidR="001C08A5" w14:paraId="0D8ED89D" w14:textId="77777777">
        <w:tc>
          <w:tcPr>
            <w:tcW w:w="675" w:type="dxa"/>
            <w:shd w:val="clear" w:color="auto" w:fill="auto"/>
            <w:vAlign w:val="center"/>
          </w:tcPr>
          <w:p w14:paraId="7E637BB0" w14:textId="77777777" w:rsidR="001C08A5" w:rsidRDefault="00000000">
            <w:pPr>
              <w:jc w:val="center"/>
              <w:rPr>
                <w:b/>
                <w:i/>
                <w:iCs/>
                <w:sz w:val="22"/>
                <w:szCs w:val="22"/>
              </w:rPr>
            </w:pPr>
            <w:r>
              <w:rPr>
                <w:i/>
                <w:iCs/>
                <w:sz w:val="22"/>
                <w:szCs w:val="22"/>
              </w:rPr>
              <w:t>4</w:t>
            </w:r>
          </w:p>
        </w:tc>
        <w:tc>
          <w:tcPr>
            <w:tcW w:w="1773" w:type="dxa"/>
            <w:shd w:val="clear" w:color="auto" w:fill="auto"/>
            <w:vAlign w:val="center"/>
          </w:tcPr>
          <w:p w14:paraId="498CFE5B" w14:textId="77777777" w:rsidR="001C08A5" w:rsidRDefault="00000000">
            <w:pPr>
              <w:jc w:val="center"/>
              <w:rPr>
                <w:b/>
                <w:i/>
                <w:iCs/>
                <w:sz w:val="22"/>
                <w:szCs w:val="22"/>
              </w:rPr>
            </w:pPr>
            <w:r>
              <w:rPr>
                <w:i/>
                <w:iCs/>
                <w:sz w:val="22"/>
                <w:szCs w:val="22"/>
              </w:rPr>
              <w:t>Biblioteca</w:t>
            </w:r>
          </w:p>
        </w:tc>
        <w:tc>
          <w:tcPr>
            <w:tcW w:w="1410" w:type="dxa"/>
            <w:vMerge/>
            <w:shd w:val="clear" w:color="auto" w:fill="auto"/>
            <w:vAlign w:val="center"/>
          </w:tcPr>
          <w:p w14:paraId="4106C6CB" w14:textId="77777777" w:rsidR="001C08A5" w:rsidRDefault="001C08A5">
            <w:pPr>
              <w:jc w:val="center"/>
              <w:rPr>
                <w:b/>
                <w:i/>
                <w:iCs/>
                <w:sz w:val="22"/>
                <w:szCs w:val="22"/>
              </w:rPr>
            </w:pPr>
          </w:p>
        </w:tc>
        <w:tc>
          <w:tcPr>
            <w:tcW w:w="900" w:type="dxa"/>
            <w:vMerge/>
            <w:shd w:val="clear" w:color="auto" w:fill="auto"/>
            <w:vAlign w:val="center"/>
          </w:tcPr>
          <w:p w14:paraId="3C053C81" w14:textId="77777777" w:rsidR="001C08A5" w:rsidRDefault="001C08A5">
            <w:pPr>
              <w:jc w:val="center"/>
              <w:rPr>
                <w:b/>
                <w:i/>
                <w:iCs/>
                <w:sz w:val="22"/>
                <w:szCs w:val="22"/>
              </w:rPr>
            </w:pPr>
          </w:p>
        </w:tc>
        <w:tc>
          <w:tcPr>
            <w:tcW w:w="1446" w:type="dxa"/>
            <w:shd w:val="clear" w:color="auto" w:fill="auto"/>
            <w:vAlign w:val="center"/>
          </w:tcPr>
          <w:p w14:paraId="2FEEE3C7" w14:textId="77777777" w:rsidR="001C08A5" w:rsidRDefault="00000000">
            <w:pPr>
              <w:jc w:val="center"/>
              <w:rPr>
                <w:b/>
                <w:bCs/>
                <w:i/>
                <w:iCs/>
                <w:sz w:val="22"/>
                <w:szCs w:val="22"/>
              </w:rPr>
            </w:pPr>
            <w:r>
              <w:rPr>
                <w:b/>
                <w:bCs/>
                <w:i/>
                <w:iCs/>
                <w:sz w:val="22"/>
                <w:szCs w:val="22"/>
              </w:rPr>
              <w:t>2,50 (sau conf. Obs.)</w:t>
            </w:r>
          </w:p>
        </w:tc>
        <w:tc>
          <w:tcPr>
            <w:tcW w:w="1343" w:type="dxa"/>
            <w:shd w:val="clear" w:color="auto" w:fill="auto"/>
            <w:vAlign w:val="center"/>
          </w:tcPr>
          <w:p w14:paraId="7AA504A2" w14:textId="77777777" w:rsidR="001C08A5" w:rsidRDefault="001C08A5">
            <w:pPr>
              <w:jc w:val="center"/>
              <w:rPr>
                <w:b/>
                <w:i/>
                <w:iCs/>
                <w:sz w:val="22"/>
                <w:szCs w:val="22"/>
              </w:rPr>
            </w:pPr>
          </w:p>
        </w:tc>
        <w:tc>
          <w:tcPr>
            <w:tcW w:w="690" w:type="dxa"/>
            <w:vMerge/>
            <w:shd w:val="clear" w:color="auto" w:fill="auto"/>
            <w:vAlign w:val="center"/>
          </w:tcPr>
          <w:p w14:paraId="27AFB5A9" w14:textId="77777777" w:rsidR="001C08A5" w:rsidRDefault="001C08A5">
            <w:pPr>
              <w:jc w:val="center"/>
              <w:rPr>
                <w:b/>
                <w:bCs/>
                <w:i/>
                <w:iCs/>
                <w:sz w:val="22"/>
                <w:szCs w:val="22"/>
              </w:rPr>
            </w:pPr>
          </w:p>
        </w:tc>
        <w:tc>
          <w:tcPr>
            <w:tcW w:w="1369" w:type="dxa"/>
            <w:shd w:val="clear" w:color="auto" w:fill="auto"/>
            <w:vAlign w:val="center"/>
          </w:tcPr>
          <w:p w14:paraId="1AD8E326" w14:textId="77777777" w:rsidR="001C08A5" w:rsidRDefault="001C08A5">
            <w:pPr>
              <w:jc w:val="center"/>
              <w:rPr>
                <w:b/>
                <w:i/>
                <w:iCs/>
                <w:sz w:val="22"/>
                <w:szCs w:val="22"/>
              </w:rPr>
            </w:pPr>
          </w:p>
        </w:tc>
      </w:tr>
      <w:tr w:rsidR="001C08A5" w14:paraId="77B08089" w14:textId="77777777">
        <w:tc>
          <w:tcPr>
            <w:tcW w:w="675" w:type="dxa"/>
            <w:shd w:val="clear" w:color="auto" w:fill="auto"/>
            <w:vAlign w:val="center"/>
          </w:tcPr>
          <w:p w14:paraId="3C18AE2A" w14:textId="77777777" w:rsidR="001C08A5" w:rsidRDefault="00000000">
            <w:pPr>
              <w:jc w:val="center"/>
              <w:rPr>
                <w:b/>
                <w:i/>
                <w:iCs/>
                <w:sz w:val="22"/>
                <w:szCs w:val="22"/>
              </w:rPr>
            </w:pPr>
            <w:r>
              <w:rPr>
                <w:i/>
                <w:iCs/>
                <w:sz w:val="22"/>
                <w:szCs w:val="22"/>
              </w:rPr>
              <w:t>5</w:t>
            </w:r>
          </w:p>
        </w:tc>
        <w:tc>
          <w:tcPr>
            <w:tcW w:w="1773" w:type="dxa"/>
            <w:shd w:val="clear" w:color="auto" w:fill="auto"/>
            <w:vAlign w:val="center"/>
          </w:tcPr>
          <w:p w14:paraId="19DE64C4" w14:textId="77777777" w:rsidR="001C08A5" w:rsidRDefault="00000000">
            <w:pPr>
              <w:jc w:val="center"/>
              <w:rPr>
                <w:b/>
                <w:i/>
                <w:iCs/>
                <w:sz w:val="22"/>
                <w:szCs w:val="22"/>
              </w:rPr>
            </w:pPr>
            <w:r>
              <w:rPr>
                <w:i/>
                <w:iCs/>
                <w:sz w:val="22"/>
                <w:szCs w:val="22"/>
              </w:rPr>
              <w:t>Alimentatie elevi</w:t>
            </w:r>
          </w:p>
        </w:tc>
        <w:tc>
          <w:tcPr>
            <w:tcW w:w="1410" w:type="dxa"/>
            <w:vMerge/>
            <w:shd w:val="clear" w:color="auto" w:fill="auto"/>
            <w:vAlign w:val="center"/>
          </w:tcPr>
          <w:p w14:paraId="03CC6F13" w14:textId="77777777" w:rsidR="001C08A5" w:rsidRDefault="001C08A5">
            <w:pPr>
              <w:jc w:val="center"/>
              <w:rPr>
                <w:b/>
                <w:i/>
                <w:iCs/>
                <w:sz w:val="22"/>
                <w:szCs w:val="22"/>
              </w:rPr>
            </w:pPr>
          </w:p>
        </w:tc>
        <w:tc>
          <w:tcPr>
            <w:tcW w:w="900" w:type="dxa"/>
            <w:vMerge/>
            <w:shd w:val="clear" w:color="auto" w:fill="auto"/>
            <w:vAlign w:val="center"/>
          </w:tcPr>
          <w:p w14:paraId="54CDE466" w14:textId="77777777" w:rsidR="001C08A5" w:rsidRDefault="001C08A5">
            <w:pPr>
              <w:jc w:val="center"/>
              <w:rPr>
                <w:b/>
                <w:i/>
                <w:iCs/>
                <w:sz w:val="22"/>
                <w:szCs w:val="22"/>
              </w:rPr>
            </w:pPr>
          </w:p>
        </w:tc>
        <w:tc>
          <w:tcPr>
            <w:tcW w:w="1446" w:type="dxa"/>
            <w:shd w:val="clear" w:color="auto" w:fill="auto"/>
            <w:vAlign w:val="center"/>
          </w:tcPr>
          <w:p w14:paraId="79BFF53E" w14:textId="77777777" w:rsidR="001C08A5" w:rsidRDefault="00000000">
            <w:pPr>
              <w:jc w:val="center"/>
              <w:rPr>
                <w:b/>
                <w:bCs/>
                <w:i/>
                <w:iCs/>
                <w:sz w:val="22"/>
                <w:szCs w:val="22"/>
              </w:rPr>
            </w:pPr>
            <w:r>
              <w:rPr>
                <w:b/>
                <w:bCs/>
                <w:i/>
                <w:iCs/>
                <w:sz w:val="22"/>
                <w:szCs w:val="22"/>
              </w:rPr>
              <w:t>2,00 (sau conf. Obs.)</w:t>
            </w:r>
          </w:p>
        </w:tc>
        <w:tc>
          <w:tcPr>
            <w:tcW w:w="1343" w:type="dxa"/>
            <w:shd w:val="clear" w:color="auto" w:fill="auto"/>
            <w:vAlign w:val="center"/>
          </w:tcPr>
          <w:p w14:paraId="543043B5" w14:textId="77777777" w:rsidR="001C08A5" w:rsidRDefault="001C08A5">
            <w:pPr>
              <w:jc w:val="center"/>
              <w:rPr>
                <w:b/>
                <w:i/>
                <w:iCs/>
                <w:sz w:val="22"/>
                <w:szCs w:val="22"/>
              </w:rPr>
            </w:pPr>
          </w:p>
        </w:tc>
        <w:tc>
          <w:tcPr>
            <w:tcW w:w="690" w:type="dxa"/>
            <w:shd w:val="clear" w:color="auto" w:fill="auto"/>
            <w:vAlign w:val="center"/>
          </w:tcPr>
          <w:p w14:paraId="5AA25E14" w14:textId="77777777" w:rsidR="001C08A5" w:rsidRDefault="00000000">
            <w:pPr>
              <w:jc w:val="center"/>
              <w:rPr>
                <w:b/>
                <w:bCs/>
                <w:i/>
                <w:iCs/>
                <w:sz w:val="22"/>
                <w:szCs w:val="22"/>
              </w:rPr>
            </w:pPr>
            <w:r>
              <w:rPr>
                <w:b/>
                <w:bCs/>
                <w:i/>
                <w:iCs/>
                <w:sz w:val="22"/>
                <w:szCs w:val="22"/>
              </w:rPr>
              <w:t>5</w:t>
            </w:r>
          </w:p>
        </w:tc>
        <w:tc>
          <w:tcPr>
            <w:tcW w:w="1369" w:type="dxa"/>
            <w:shd w:val="clear" w:color="auto" w:fill="auto"/>
            <w:vAlign w:val="center"/>
          </w:tcPr>
          <w:p w14:paraId="2200119D" w14:textId="77777777" w:rsidR="001C08A5" w:rsidRDefault="001C08A5">
            <w:pPr>
              <w:jc w:val="center"/>
              <w:rPr>
                <w:b/>
                <w:i/>
                <w:iCs/>
                <w:sz w:val="22"/>
                <w:szCs w:val="22"/>
              </w:rPr>
            </w:pPr>
          </w:p>
        </w:tc>
      </w:tr>
      <w:tr w:rsidR="001C08A5" w14:paraId="65622E2B" w14:textId="77777777">
        <w:tc>
          <w:tcPr>
            <w:tcW w:w="675" w:type="dxa"/>
            <w:shd w:val="clear" w:color="auto" w:fill="auto"/>
            <w:vAlign w:val="center"/>
          </w:tcPr>
          <w:p w14:paraId="493FF311" w14:textId="77777777" w:rsidR="001C08A5" w:rsidRDefault="00000000">
            <w:pPr>
              <w:jc w:val="center"/>
              <w:rPr>
                <w:b/>
                <w:i/>
                <w:iCs/>
                <w:sz w:val="22"/>
                <w:szCs w:val="22"/>
              </w:rPr>
            </w:pPr>
            <w:r>
              <w:rPr>
                <w:i/>
                <w:iCs/>
                <w:sz w:val="22"/>
                <w:szCs w:val="22"/>
              </w:rPr>
              <w:t>6</w:t>
            </w:r>
          </w:p>
        </w:tc>
        <w:tc>
          <w:tcPr>
            <w:tcW w:w="1773" w:type="dxa"/>
            <w:shd w:val="clear" w:color="auto" w:fill="auto"/>
            <w:vAlign w:val="center"/>
          </w:tcPr>
          <w:p w14:paraId="355CB136" w14:textId="77777777" w:rsidR="001C08A5" w:rsidRDefault="00000000">
            <w:pPr>
              <w:jc w:val="center"/>
              <w:rPr>
                <w:b/>
                <w:i/>
                <w:iCs/>
                <w:sz w:val="22"/>
                <w:szCs w:val="22"/>
              </w:rPr>
            </w:pPr>
            <w:r>
              <w:rPr>
                <w:i/>
                <w:iCs/>
                <w:sz w:val="22"/>
                <w:szCs w:val="22"/>
              </w:rPr>
              <w:t>Administrativ</w:t>
            </w:r>
          </w:p>
        </w:tc>
        <w:tc>
          <w:tcPr>
            <w:tcW w:w="1410" w:type="dxa"/>
            <w:vMerge/>
            <w:shd w:val="clear" w:color="auto" w:fill="auto"/>
            <w:vAlign w:val="center"/>
          </w:tcPr>
          <w:p w14:paraId="40073CE2" w14:textId="77777777" w:rsidR="001C08A5" w:rsidRDefault="001C08A5">
            <w:pPr>
              <w:jc w:val="center"/>
              <w:rPr>
                <w:b/>
                <w:i/>
                <w:iCs/>
                <w:sz w:val="22"/>
                <w:szCs w:val="22"/>
              </w:rPr>
            </w:pPr>
          </w:p>
        </w:tc>
        <w:tc>
          <w:tcPr>
            <w:tcW w:w="900" w:type="dxa"/>
            <w:vMerge/>
            <w:shd w:val="clear" w:color="auto" w:fill="auto"/>
            <w:vAlign w:val="center"/>
          </w:tcPr>
          <w:p w14:paraId="70B782E4" w14:textId="77777777" w:rsidR="001C08A5" w:rsidRDefault="001C08A5">
            <w:pPr>
              <w:jc w:val="center"/>
              <w:rPr>
                <w:b/>
                <w:i/>
                <w:iCs/>
                <w:sz w:val="22"/>
                <w:szCs w:val="22"/>
              </w:rPr>
            </w:pPr>
          </w:p>
        </w:tc>
        <w:tc>
          <w:tcPr>
            <w:tcW w:w="1446" w:type="dxa"/>
            <w:shd w:val="clear" w:color="auto" w:fill="auto"/>
            <w:vAlign w:val="center"/>
          </w:tcPr>
          <w:p w14:paraId="4B254808" w14:textId="77777777" w:rsidR="001C08A5" w:rsidRDefault="00000000">
            <w:pPr>
              <w:jc w:val="center"/>
              <w:rPr>
                <w:b/>
                <w:bCs/>
                <w:i/>
                <w:iCs/>
                <w:sz w:val="22"/>
                <w:szCs w:val="22"/>
              </w:rPr>
            </w:pPr>
            <w:r>
              <w:rPr>
                <w:b/>
                <w:bCs/>
                <w:i/>
                <w:iCs/>
                <w:sz w:val="22"/>
                <w:szCs w:val="22"/>
              </w:rPr>
              <w:t>2,00 (sau conf. Obs.)</w:t>
            </w:r>
          </w:p>
        </w:tc>
        <w:tc>
          <w:tcPr>
            <w:tcW w:w="1343" w:type="dxa"/>
            <w:shd w:val="clear" w:color="auto" w:fill="auto"/>
            <w:vAlign w:val="center"/>
          </w:tcPr>
          <w:p w14:paraId="704947A0" w14:textId="77777777" w:rsidR="001C08A5" w:rsidRDefault="001C08A5">
            <w:pPr>
              <w:jc w:val="center"/>
              <w:rPr>
                <w:b/>
                <w:i/>
                <w:iCs/>
                <w:sz w:val="22"/>
                <w:szCs w:val="22"/>
              </w:rPr>
            </w:pPr>
          </w:p>
        </w:tc>
        <w:tc>
          <w:tcPr>
            <w:tcW w:w="690" w:type="dxa"/>
            <w:shd w:val="clear" w:color="auto" w:fill="auto"/>
            <w:vAlign w:val="center"/>
          </w:tcPr>
          <w:p w14:paraId="464DB478" w14:textId="77777777" w:rsidR="001C08A5" w:rsidRDefault="00000000">
            <w:pPr>
              <w:jc w:val="center"/>
              <w:rPr>
                <w:b/>
                <w:bCs/>
                <w:i/>
                <w:iCs/>
                <w:sz w:val="22"/>
                <w:szCs w:val="22"/>
              </w:rPr>
            </w:pPr>
            <w:r>
              <w:rPr>
                <w:b/>
                <w:bCs/>
                <w:i/>
                <w:iCs/>
                <w:sz w:val="22"/>
                <w:szCs w:val="22"/>
              </w:rPr>
              <w:t>-</w:t>
            </w:r>
          </w:p>
        </w:tc>
        <w:tc>
          <w:tcPr>
            <w:tcW w:w="1369" w:type="dxa"/>
            <w:shd w:val="clear" w:color="auto" w:fill="auto"/>
            <w:vAlign w:val="center"/>
          </w:tcPr>
          <w:p w14:paraId="2E113670" w14:textId="77777777" w:rsidR="001C08A5" w:rsidRDefault="00000000">
            <w:pPr>
              <w:jc w:val="center"/>
              <w:rPr>
                <w:b/>
                <w:i/>
                <w:iCs/>
                <w:sz w:val="22"/>
                <w:szCs w:val="22"/>
              </w:rPr>
            </w:pPr>
            <w:r>
              <w:rPr>
                <w:b/>
                <w:i/>
                <w:iCs/>
                <w:sz w:val="22"/>
                <w:szCs w:val="22"/>
              </w:rPr>
              <w:t>-</w:t>
            </w:r>
          </w:p>
        </w:tc>
      </w:tr>
      <w:tr w:rsidR="001C08A5" w14:paraId="476041B6" w14:textId="77777777">
        <w:tc>
          <w:tcPr>
            <w:tcW w:w="675" w:type="dxa"/>
            <w:shd w:val="clear" w:color="auto" w:fill="auto"/>
            <w:vAlign w:val="center"/>
          </w:tcPr>
          <w:p w14:paraId="02920C67" w14:textId="77777777" w:rsidR="001C08A5" w:rsidRDefault="00000000">
            <w:pPr>
              <w:jc w:val="center"/>
              <w:rPr>
                <w:b/>
                <w:i/>
                <w:iCs/>
                <w:sz w:val="22"/>
                <w:szCs w:val="22"/>
              </w:rPr>
            </w:pPr>
            <w:r>
              <w:rPr>
                <w:i/>
                <w:iCs/>
                <w:sz w:val="22"/>
                <w:szCs w:val="22"/>
              </w:rPr>
              <w:t>7</w:t>
            </w:r>
          </w:p>
        </w:tc>
        <w:tc>
          <w:tcPr>
            <w:tcW w:w="1773" w:type="dxa"/>
            <w:shd w:val="clear" w:color="auto" w:fill="auto"/>
            <w:vAlign w:val="center"/>
          </w:tcPr>
          <w:p w14:paraId="37F28AA9" w14:textId="77777777" w:rsidR="001C08A5" w:rsidRDefault="00000000">
            <w:pPr>
              <w:jc w:val="center"/>
              <w:rPr>
                <w:b/>
                <w:i/>
                <w:iCs/>
                <w:sz w:val="22"/>
                <w:szCs w:val="22"/>
              </w:rPr>
            </w:pPr>
            <w:r>
              <w:rPr>
                <w:i/>
                <w:iCs/>
                <w:sz w:val="22"/>
                <w:szCs w:val="22"/>
              </w:rPr>
              <w:t>Medical</w:t>
            </w:r>
          </w:p>
        </w:tc>
        <w:tc>
          <w:tcPr>
            <w:tcW w:w="1410" w:type="dxa"/>
            <w:vMerge/>
            <w:shd w:val="clear" w:color="auto" w:fill="auto"/>
            <w:vAlign w:val="center"/>
          </w:tcPr>
          <w:p w14:paraId="6EBE348F" w14:textId="77777777" w:rsidR="001C08A5" w:rsidRDefault="001C08A5">
            <w:pPr>
              <w:jc w:val="center"/>
              <w:rPr>
                <w:b/>
                <w:i/>
                <w:iCs/>
                <w:sz w:val="22"/>
                <w:szCs w:val="22"/>
              </w:rPr>
            </w:pPr>
          </w:p>
        </w:tc>
        <w:tc>
          <w:tcPr>
            <w:tcW w:w="900" w:type="dxa"/>
            <w:vMerge/>
            <w:shd w:val="clear" w:color="auto" w:fill="auto"/>
            <w:vAlign w:val="center"/>
          </w:tcPr>
          <w:p w14:paraId="11F34784" w14:textId="77777777" w:rsidR="001C08A5" w:rsidRDefault="001C08A5">
            <w:pPr>
              <w:jc w:val="center"/>
              <w:rPr>
                <w:b/>
                <w:i/>
                <w:iCs/>
                <w:sz w:val="22"/>
                <w:szCs w:val="22"/>
              </w:rPr>
            </w:pPr>
          </w:p>
        </w:tc>
        <w:tc>
          <w:tcPr>
            <w:tcW w:w="1446" w:type="dxa"/>
            <w:shd w:val="clear" w:color="auto" w:fill="auto"/>
            <w:vAlign w:val="center"/>
          </w:tcPr>
          <w:p w14:paraId="3D0B4648" w14:textId="77777777" w:rsidR="001C08A5" w:rsidRDefault="00000000">
            <w:pPr>
              <w:jc w:val="center"/>
              <w:rPr>
                <w:b/>
                <w:bCs/>
                <w:i/>
                <w:iCs/>
                <w:sz w:val="22"/>
                <w:szCs w:val="22"/>
              </w:rPr>
            </w:pPr>
            <w:r>
              <w:rPr>
                <w:b/>
                <w:bCs/>
                <w:i/>
                <w:iCs/>
                <w:sz w:val="22"/>
                <w:szCs w:val="22"/>
              </w:rPr>
              <w:t>8,00 (sau conf. Obs.)</w:t>
            </w:r>
          </w:p>
        </w:tc>
        <w:tc>
          <w:tcPr>
            <w:tcW w:w="1343" w:type="dxa"/>
            <w:shd w:val="clear" w:color="auto" w:fill="auto"/>
            <w:vAlign w:val="center"/>
          </w:tcPr>
          <w:p w14:paraId="7493FBE3" w14:textId="77777777" w:rsidR="001C08A5" w:rsidRDefault="001C08A5">
            <w:pPr>
              <w:jc w:val="center"/>
              <w:rPr>
                <w:b/>
                <w:i/>
                <w:iCs/>
                <w:sz w:val="22"/>
                <w:szCs w:val="22"/>
              </w:rPr>
            </w:pPr>
          </w:p>
        </w:tc>
        <w:tc>
          <w:tcPr>
            <w:tcW w:w="690" w:type="dxa"/>
            <w:shd w:val="clear" w:color="auto" w:fill="auto"/>
            <w:vAlign w:val="center"/>
          </w:tcPr>
          <w:p w14:paraId="6C333B75" w14:textId="77777777" w:rsidR="001C08A5" w:rsidRDefault="00000000">
            <w:pPr>
              <w:jc w:val="center"/>
              <w:rPr>
                <w:b/>
                <w:bCs/>
                <w:i/>
                <w:iCs/>
                <w:sz w:val="22"/>
                <w:szCs w:val="22"/>
              </w:rPr>
            </w:pPr>
            <w:r>
              <w:rPr>
                <w:b/>
                <w:bCs/>
                <w:i/>
                <w:iCs/>
                <w:sz w:val="22"/>
                <w:szCs w:val="22"/>
              </w:rPr>
              <w:t>100</w:t>
            </w:r>
          </w:p>
        </w:tc>
        <w:tc>
          <w:tcPr>
            <w:tcW w:w="1369" w:type="dxa"/>
            <w:shd w:val="clear" w:color="auto" w:fill="auto"/>
            <w:vAlign w:val="center"/>
          </w:tcPr>
          <w:p w14:paraId="047CEB6C" w14:textId="77777777" w:rsidR="001C08A5" w:rsidRDefault="001C08A5">
            <w:pPr>
              <w:jc w:val="center"/>
              <w:rPr>
                <w:b/>
                <w:i/>
                <w:iCs/>
                <w:sz w:val="22"/>
                <w:szCs w:val="22"/>
              </w:rPr>
            </w:pPr>
          </w:p>
        </w:tc>
      </w:tr>
      <w:tr w:rsidR="001C08A5" w14:paraId="522D88B9" w14:textId="77777777">
        <w:tc>
          <w:tcPr>
            <w:tcW w:w="675" w:type="dxa"/>
            <w:shd w:val="clear" w:color="auto" w:fill="auto"/>
            <w:vAlign w:val="center"/>
          </w:tcPr>
          <w:p w14:paraId="52C5B4CA" w14:textId="77777777" w:rsidR="001C08A5" w:rsidRDefault="00000000">
            <w:pPr>
              <w:jc w:val="center"/>
              <w:rPr>
                <w:b/>
                <w:i/>
                <w:iCs/>
                <w:sz w:val="22"/>
                <w:szCs w:val="22"/>
              </w:rPr>
            </w:pPr>
            <w:r>
              <w:rPr>
                <w:i/>
                <w:iCs/>
                <w:sz w:val="22"/>
                <w:szCs w:val="22"/>
              </w:rPr>
              <w:t>8</w:t>
            </w:r>
          </w:p>
        </w:tc>
        <w:tc>
          <w:tcPr>
            <w:tcW w:w="1773" w:type="dxa"/>
            <w:shd w:val="clear" w:color="auto" w:fill="auto"/>
            <w:vAlign w:val="center"/>
          </w:tcPr>
          <w:p w14:paraId="05B582C7" w14:textId="77777777" w:rsidR="001C08A5" w:rsidRDefault="00000000">
            <w:pPr>
              <w:jc w:val="center"/>
              <w:rPr>
                <w:b/>
                <w:i/>
                <w:iCs/>
                <w:sz w:val="22"/>
                <w:szCs w:val="22"/>
              </w:rPr>
            </w:pPr>
            <w:r>
              <w:rPr>
                <w:i/>
                <w:iCs/>
                <w:sz w:val="22"/>
                <w:szCs w:val="22"/>
              </w:rPr>
              <w:t>Sali de sport</w:t>
            </w:r>
          </w:p>
        </w:tc>
        <w:tc>
          <w:tcPr>
            <w:tcW w:w="1410" w:type="dxa"/>
            <w:vMerge/>
            <w:shd w:val="clear" w:color="auto" w:fill="auto"/>
            <w:vAlign w:val="center"/>
          </w:tcPr>
          <w:p w14:paraId="1F66B428" w14:textId="77777777" w:rsidR="001C08A5" w:rsidRDefault="001C08A5">
            <w:pPr>
              <w:jc w:val="center"/>
              <w:rPr>
                <w:b/>
                <w:i/>
                <w:iCs/>
                <w:sz w:val="22"/>
                <w:szCs w:val="22"/>
              </w:rPr>
            </w:pPr>
          </w:p>
        </w:tc>
        <w:tc>
          <w:tcPr>
            <w:tcW w:w="900" w:type="dxa"/>
            <w:vMerge/>
            <w:shd w:val="clear" w:color="auto" w:fill="auto"/>
            <w:vAlign w:val="center"/>
          </w:tcPr>
          <w:p w14:paraId="421A2E49" w14:textId="77777777" w:rsidR="001C08A5" w:rsidRDefault="001C08A5">
            <w:pPr>
              <w:jc w:val="center"/>
              <w:rPr>
                <w:b/>
                <w:i/>
                <w:iCs/>
                <w:sz w:val="22"/>
                <w:szCs w:val="22"/>
              </w:rPr>
            </w:pPr>
          </w:p>
        </w:tc>
        <w:tc>
          <w:tcPr>
            <w:tcW w:w="1446" w:type="dxa"/>
            <w:shd w:val="clear" w:color="auto" w:fill="auto"/>
            <w:vAlign w:val="center"/>
          </w:tcPr>
          <w:p w14:paraId="016E7280" w14:textId="77777777" w:rsidR="001C08A5" w:rsidRDefault="00000000">
            <w:pPr>
              <w:jc w:val="center"/>
              <w:rPr>
                <w:b/>
                <w:bCs/>
                <w:i/>
                <w:iCs/>
                <w:sz w:val="22"/>
                <w:szCs w:val="22"/>
              </w:rPr>
            </w:pPr>
            <w:r>
              <w:rPr>
                <w:b/>
                <w:bCs/>
                <w:i/>
                <w:iCs/>
                <w:sz w:val="22"/>
                <w:szCs w:val="22"/>
              </w:rPr>
              <w:t>8,00</w:t>
            </w:r>
          </w:p>
        </w:tc>
        <w:tc>
          <w:tcPr>
            <w:tcW w:w="1343" w:type="dxa"/>
            <w:shd w:val="clear" w:color="auto" w:fill="auto"/>
            <w:vAlign w:val="center"/>
          </w:tcPr>
          <w:p w14:paraId="052B5306" w14:textId="77777777" w:rsidR="001C08A5" w:rsidRDefault="00000000">
            <w:pPr>
              <w:jc w:val="center"/>
              <w:rPr>
                <w:b/>
                <w:i/>
                <w:iCs/>
                <w:sz w:val="22"/>
                <w:szCs w:val="22"/>
              </w:rPr>
            </w:pPr>
            <w:r>
              <w:rPr>
                <w:i/>
                <w:iCs/>
                <w:sz w:val="22"/>
                <w:szCs w:val="22"/>
              </w:rPr>
              <w:t>Sali de invatamant</w:t>
            </w:r>
          </w:p>
        </w:tc>
        <w:tc>
          <w:tcPr>
            <w:tcW w:w="690" w:type="dxa"/>
            <w:shd w:val="clear" w:color="auto" w:fill="auto"/>
            <w:vAlign w:val="center"/>
          </w:tcPr>
          <w:p w14:paraId="6A1CBB56" w14:textId="77777777" w:rsidR="001C08A5" w:rsidRDefault="00000000">
            <w:pPr>
              <w:jc w:val="center"/>
              <w:rPr>
                <w:b/>
                <w:bCs/>
                <w:i/>
                <w:iCs/>
                <w:sz w:val="22"/>
                <w:szCs w:val="22"/>
              </w:rPr>
            </w:pPr>
            <w:r>
              <w:rPr>
                <w:b/>
                <w:bCs/>
                <w:i/>
                <w:iCs/>
                <w:sz w:val="22"/>
                <w:szCs w:val="22"/>
              </w:rPr>
              <w:t>10</w:t>
            </w:r>
          </w:p>
        </w:tc>
        <w:tc>
          <w:tcPr>
            <w:tcW w:w="1369" w:type="dxa"/>
            <w:shd w:val="clear" w:color="auto" w:fill="auto"/>
            <w:vAlign w:val="center"/>
          </w:tcPr>
          <w:p w14:paraId="6B4BB361" w14:textId="77777777" w:rsidR="001C08A5" w:rsidRDefault="00000000">
            <w:pPr>
              <w:jc w:val="center"/>
              <w:rPr>
                <w:b/>
                <w:i/>
                <w:iCs/>
                <w:sz w:val="22"/>
                <w:szCs w:val="22"/>
              </w:rPr>
            </w:pPr>
            <w:r>
              <w:rPr>
                <w:i/>
                <w:iCs/>
                <w:sz w:val="22"/>
                <w:szCs w:val="22"/>
              </w:rPr>
              <w:t>Cadru didactic</w:t>
            </w:r>
          </w:p>
        </w:tc>
      </w:tr>
      <w:tr w:rsidR="001C08A5" w14:paraId="214CAEE3" w14:textId="77777777">
        <w:tc>
          <w:tcPr>
            <w:tcW w:w="675" w:type="dxa"/>
            <w:shd w:val="clear" w:color="auto" w:fill="auto"/>
            <w:vAlign w:val="center"/>
          </w:tcPr>
          <w:p w14:paraId="37E2FE0B" w14:textId="77777777" w:rsidR="001C08A5" w:rsidRDefault="00000000">
            <w:pPr>
              <w:jc w:val="center"/>
              <w:rPr>
                <w:b/>
                <w:i/>
                <w:iCs/>
                <w:sz w:val="22"/>
                <w:szCs w:val="22"/>
              </w:rPr>
            </w:pPr>
            <w:r>
              <w:rPr>
                <w:i/>
                <w:iCs/>
                <w:sz w:val="22"/>
                <w:szCs w:val="22"/>
              </w:rPr>
              <w:t>9</w:t>
            </w:r>
          </w:p>
        </w:tc>
        <w:tc>
          <w:tcPr>
            <w:tcW w:w="1773" w:type="dxa"/>
            <w:shd w:val="clear" w:color="auto" w:fill="auto"/>
            <w:vAlign w:val="center"/>
          </w:tcPr>
          <w:p w14:paraId="1A38C7DC" w14:textId="77777777" w:rsidR="001C08A5" w:rsidRDefault="00000000">
            <w:pPr>
              <w:jc w:val="center"/>
              <w:rPr>
                <w:b/>
                <w:i/>
                <w:iCs/>
                <w:sz w:val="22"/>
                <w:szCs w:val="22"/>
              </w:rPr>
            </w:pPr>
            <w:r>
              <w:rPr>
                <w:i/>
                <w:iCs/>
                <w:sz w:val="22"/>
                <w:szCs w:val="22"/>
              </w:rPr>
              <w:t>Vestiare</w:t>
            </w:r>
          </w:p>
        </w:tc>
        <w:tc>
          <w:tcPr>
            <w:tcW w:w="1410" w:type="dxa"/>
            <w:vMerge/>
            <w:shd w:val="clear" w:color="auto" w:fill="auto"/>
            <w:vAlign w:val="center"/>
          </w:tcPr>
          <w:p w14:paraId="0F5810ED" w14:textId="77777777" w:rsidR="001C08A5" w:rsidRDefault="001C08A5">
            <w:pPr>
              <w:jc w:val="center"/>
              <w:rPr>
                <w:b/>
                <w:i/>
                <w:iCs/>
                <w:sz w:val="22"/>
                <w:szCs w:val="22"/>
              </w:rPr>
            </w:pPr>
          </w:p>
        </w:tc>
        <w:tc>
          <w:tcPr>
            <w:tcW w:w="900" w:type="dxa"/>
            <w:vMerge/>
            <w:shd w:val="clear" w:color="auto" w:fill="auto"/>
            <w:vAlign w:val="center"/>
          </w:tcPr>
          <w:p w14:paraId="408E0AF2" w14:textId="77777777" w:rsidR="001C08A5" w:rsidRDefault="001C08A5">
            <w:pPr>
              <w:jc w:val="center"/>
              <w:rPr>
                <w:b/>
                <w:i/>
                <w:iCs/>
                <w:sz w:val="22"/>
                <w:szCs w:val="22"/>
              </w:rPr>
            </w:pPr>
          </w:p>
        </w:tc>
        <w:tc>
          <w:tcPr>
            <w:tcW w:w="1446" w:type="dxa"/>
            <w:shd w:val="clear" w:color="auto" w:fill="auto"/>
            <w:vAlign w:val="center"/>
          </w:tcPr>
          <w:p w14:paraId="2446BE42" w14:textId="77777777" w:rsidR="001C08A5" w:rsidRDefault="00000000">
            <w:pPr>
              <w:jc w:val="center"/>
              <w:rPr>
                <w:b/>
                <w:bCs/>
                <w:i/>
                <w:iCs/>
                <w:sz w:val="22"/>
                <w:szCs w:val="22"/>
              </w:rPr>
            </w:pPr>
            <w:r>
              <w:rPr>
                <w:b/>
                <w:bCs/>
                <w:i/>
                <w:iCs/>
                <w:sz w:val="22"/>
                <w:szCs w:val="22"/>
              </w:rPr>
              <w:t>2,00 (sau conf. Obs.)</w:t>
            </w:r>
          </w:p>
        </w:tc>
        <w:tc>
          <w:tcPr>
            <w:tcW w:w="1343" w:type="dxa"/>
            <w:shd w:val="clear" w:color="auto" w:fill="auto"/>
            <w:vAlign w:val="center"/>
          </w:tcPr>
          <w:p w14:paraId="48FDA35F" w14:textId="77777777" w:rsidR="001C08A5" w:rsidRDefault="001C08A5">
            <w:pPr>
              <w:jc w:val="center"/>
              <w:rPr>
                <w:b/>
                <w:i/>
                <w:iCs/>
                <w:sz w:val="22"/>
                <w:szCs w:val="22"/>
              </w:rPr>
            </w:pPr>
          </w:p>
        </w:tc>
        <w:tc>
          <w:tcPr>
            <w:tcW w:w="690" w:type="dxa"/>
            <w:shd w:val="clear" w:color="auto" w:fill="auto"/>
            <w:vAlign w:val="center"/>
          </w:tcPr>
          <w:p w14:paraId="45715299" w14:textId="77777777" w:rsidR="001C08A5" w:rsidRDefault="00000000">
            <w:pPr>
              <w:jc w:val="center"/>
              <w:rPr>
                <w:b/>
                <w:i/>
                <w:iCs/>
                <w:sz w:val="22"/>
                <w:szCs w:val="22"/>
              </w:rPr>
            </w:pPr>
            <w:r>
              <w:rPr>
                <w:i/>
                <w:iCs/>
                <w:sz w:val="22"/>
                <w:szCs w:val="22"/>
              </w:rPr>
              <w:t>-</w:t>
            </w:r>
          </w:p>
        </w:tc>
        <w:tc>
          <w:tcPr>
            <w:tcW w:w="1369" w:type="dxa"/>
            <w:shd w:val="clear" w:color="auto" w:fill="auto"/>
            <w:vAlign w:val="center"/>
          </w:tcPr>
          <w:p w14:paraId="277A7E51" w14:textId="77777777" w:rsidR="001C08A5" w:rsidRDefault="001C08A5">
            <w:pPr>
              <w:jc w:val="center"/>
              <w:rPr>
                <w:b/>
                <w:i/>
                <w:iCs/>
                <w:sz w:val="22"/>
                <w:szCs w:val="22"/>
              </w:rPr>
            </w:pPr>
          </w:p>
        </w:tc>
      </w:tr>
      <w:tr w:rsidR="001C08A5" w14:paraId="122B40DA" w14:textId="77777777">
        <w:tc>
          <w:tcPr>
            <w:tcW w:w="675" w:type="dxa"/>
            <w:shd w:val="clear" w:color="auto" w:fill="auto"/>
            <w:vAlign w:val="center"/>
          </w:tcPr>
          <w:p w14:paraId="15DDFC8E" w14:textId="77777777" w:rsidR="001C08A5" w:rsidRDefault="00000000">
            <w:pPr>
              <w:jc w:val="center"/>
              <w:rPr>
                <w:b/>
                <w:i/>
                <w:iCs/>
                <w:sz w:val="22"/>
                <w:szCs w:val="22"/>
              </w:rPr>
            </w:pPr>
            <w:r>
              <w:rPr>
                <w:i/>
                <w:iCs/>
                <w:sz w:val="22"/>
                <w:szCs w:val="22"/>
              </w:rPr>
              <w:t>10</w:t>
            </w:r>
          </w:p>
        </w:tc>
        <w:tc>
          <w:tcPr>
            <w:tcW w:w="1773" w:type="dxa"/>
            <w:shd w:val="clear" w:color="auto" w:fill="auto"/>
            <w:vAlign w:val="center"/>
          </w:tcPr>
          <w:p w14:paraId="002E8F02" w14:textId="77777777" w:rsidR="001C08A5" w:rsidRDefault="00000000">
            <w:pPr>
              <w:jc w:val="center"/>
              <w:rPr>
                <w:b/>
                <w:i/>
                <w:iCs/>
                <w:sz w:val="22"/>
                <w:szCs w:val="22"/>
              </w:rPr>
            </w:pPr>
            <w:r>
              <w:rPr>
                <w:i/>
                <w:iCs/>
                <w:sz w:val="22"/>
                <w:szCs w:val="22"/>
              </w:rPr>
              <w:t>Încăperi cu diverse funcţiuni / destinaţii</w:t>
            </w:r>
          </w:p>
        </w:tc>
        <w:tc>
          <w:tcPr>
            <w:tcW w:w="7158" w:type="dxa"/>
            <w:gridSpan w:val="6"/>
            <w:shd w:val="clear" w:color="auto" w:fill="auto"/>
            <w:vAlign w:val="center"/>
          </w:tcPr>
          <w:p w14:paraId="1530F4C7" w14:textId="77777777" w:rsidR="001C08A5" w:rsidRDefault="00000000">
            <w:pPr>
              <w:jc w:val="center"/>
              <w:rPr>
                <w:b/>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2063A2C7" w14:textId="77777777" w:rsidR="001C08A5" w:rsidRDefault="00000000">
      <w:pPr>
        <w:rPr>
          <w:i/>
          <w:sz w:val="22"/>
          <w:szCs w:val="22"/>
        </w:rPr>
      </w:pPr>
      <w:r>
        <w:rPr>
          <w:i/>
          <w:sz w:val="22"/>
          <w:szCs w:val="22"/>
          <w:u w:val="single"/>
        </w:rPr>
        <w:t>Notă</w:t>
      </w:r>
      <w:r>
        <w:rPr>
          <w:i/>
          <w:sz w:val="22"/>
          <w:szCs w:val="22"/>
        </w:rPr>
        <w:t>:</w:t>
      </w:r>
    </w:p>
    <w:p w14:paraId="29685F14" w14:textId="77777777" w:rsidR="001C08A5" w:rsidRDefault="00000000">
      <w:pPr>
        <w:jc w:val="both"/>
        <w:rPr>
          <w:i/>
          <w:sz w:val="22"/>
          <w:szCs w:val="22"/>
        </w:rPr>
      </w:pPr>
      <w:r>
        <w:rPr>
          <w:i/>
          <w:sz w:val="22"/>
          <w:szCs w:val="22"/>
        </w:rPr>
        <w:t>Pentru salile de sport prevazute cu gradene se va lua în considerare doar suprafata din afara zonei de joc. Numarul de persoane determinat conform tabelului se cumula cu numarul de jucatori și de arbitri potrivit sportului practicat.</w:t>
      </w:r>
    </w:p>
    <w:p w14:paraId="24144375" w14:textId="77777777" w:rsidR="001C08A5" w:rsidRDefault="00000000">
      <w:pPr>
        <w:jc w:val="both"/>
        <w:rPr>
          <w:i/>
          <w:sz w:val="22"/>
          <w:szCs w:val="22"/>
        </w:rPr>
      </w:pPr>
      <w:r>
        <w:rPr>
          <w:i/>
          <w:sz w:val="22"/>
          <w:szCs w:val="22"/>
        </w:rPr>
        <w:lastRenderedPageBreak/>
        <w:t>Numarul de persoane poate fi determinat și prin mobilarea propusă, dar valorile din tabel sunt minimale și obligatorii.</w:t>
      </w:r>
    </w:p>
    <w:p w14:paraId="386C9408" w14:textId="77777777" w:rsidR="001C08A5" w:rsidRDefault="001C08A5">
      <w:pPr>
        <w:rPr>
          <w:sz w:val="24"/>
          <w:szCs w:val="24"/>
        </w:rPr>
      </w:pPr>
    </w:p>
    <w:p w14:paraId="3877B70C" w14:textId="77777777" w:rsidR="001C08A5" w:rsidRDefault="00000000">
      <w:pPr>
        <w:pStyle w:val="Captiontabel"/>
      </w:pPr>
      <w:bookmarkStart w:id="2430" w:name="_Toc162360082"/>
      <w:r>
        <w:t xml:space="preserve">Tabelul </w:t>
      </w:r>
      <w:r>
        <w:fldChar w:fldCharType="begin"/>
      </w:r>
      <w:r>
        <w:instrText xml:space="preserve"> SEQ Tabelul \* ARABIC </w:instrText>
      </w:r>
      <w:r>
        <w:fldChar w:fldCharType="separate"/>
      </w:r>
      <w:r>
        <w:t>32</w:t>
      </w:r>
      <w:r>
        <w:fldChar w:fldCharType="end"/>
      </w:r>
      <w:bookmarkStart w:id="2431" w:name="_Toc21166"/>
      <w:bookmarkStart w:id="2432" w:name="_Toc31465"/>
      <w:bookmarkStart w:id="2433" w:name="_Toc30711"/>
      <w:bookmarkStart w:id="2434" w:name="_Toc7861"/>
      <w:bookmarkStart w:id="2435" w:name="_Toc10634"/>
      <w:bookmarkStart w:id="2436" w:name="_Toc29114"/>
      <w:bookmarkStart w:id="2437" w:name="_Toc616"/>
      <w:bookmarkStart w:id="2438" w:name="_Toc11504"/>
      <w:bookmarkStart w:id="2439" w:name="_Toc22098"/>
      <w:bookmarkStart w:id="2440" w:name="_Toc946"/>
      <w:bookmarkStart w:id="2441" w:name="_Toc28678"/>
      <w:bookmarkStart w:id="2442" w:name="_Toc7976"/>
      <w:bookmarkStart w:id="2443" w:name="_Toc10493"/>
      <w:bookmarkStart w:id="2444" w:name="_Toc1911"/>
      <w:bookmarkStart w:id="2445" w:name="_Toc801"/>
      <w:bookmarkStart w:id="2446" w:name="_Toc13453"/>
      <w:bookmarkStart w:id="2447" w:name="_Toc1098"/>
      <w:bookmarkStart w:id="2448" w:name="_Toc14579"/>
      <w:bookmarkStart w:id="2449" w:name="_Toc16639"/>
      <w:r>
        <w:t>: Număr minim simultan de persoane din clădiri pentru turism</w:t>
      </w:r>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p>
    <w:p w14:paraId="63B60D6A" w14:textId="77777777" w:rsidR="001C08A5" w:rsidRDefault="001C08A5">
      <w:pPr>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3"/>
        <w:gridCol w:w="1702"/>
        <w:gridCol w:w="1984"/>
        <w:gridCol w:w="1301"/>
        <w:gridCol w:w="778"/>
        <w:gridCol w:w="1264"/>
        <w:gridCol w:w="735"/>
        <w:gridCol w:w="1309"/>
      </w:tblGrid>
      <w:tr w:rsidR="001C08A5" w14:paraId="34999163" w14:textId="77777777">
        <w:trPr>
          <w:tblHeader/>
        </w:trPr>
        <w:tc>
          <w:tcPr>
            <w:tcW w:w="533" w:type="dxa"/>
            <w:shd w:val="clear" w:color="auto" w:fill="BFBFBF"/>
          </w:tcPr>
          <w:p w14:paraId="5A2D9557" w14:textId="77777777" w:rsidR="001C08A5" w:rsidRDefault="001C08A5">
            <w:pPr>
              <w:jc w:val="center"/>
              <w:rPr>
                <w:b/>
                <w:i/>
                <w:iCs/>
                <w:sz w:val="22"/>
                <w:szCs w:val="22"/>
              </w:rPr>
            </w:pPr>
          </w:p>
          <w:p w14:paraId="21C711C9" w14:textId="77777777" w:rsidR="001C08A5" w:rsidRDefault="00000000">
            <w:pPr>
              <w:jc w:val="center"/>
              <w:rPr>
                <w:b/>
                <w:i/>
                <w:iCs/>
                <w:sz w:val="22"/>
                <w:szCs w:val="22"/>
              </w:rPr>
            </w:pPr>
            <w:r>
              <w:rPr>
                <w:b/>
                <w:i/>
                <w:iCs/>
                <w:sz w:val="22"/>
                <w:szCs w:val="22"/>
              </w:rPr>
              <w:t>Nr.</w:t>
            </w:r>
          </w:p>
          <w:p w14:paraId="6D020410" w14:textId="77777777" w:rsidR="001C08A5" w:rsidRDefault="00000000">
            <w:pPr>
              <w:jc w:val="center"/>
              <w:rPr>
                <w:i/>
                <w:iCs/>
                <w:sz w:val="22"/>
                <w:szCs w:val="22"/>
              </w:rPr>
            </w:pPr>
            <w:r>
              <w:rPr>
                <w:b/>
                <w:i/>
                <w:iCs/>
                <w:sz w:val="22"/>
                <w:szCs w:val="22"/>
              </w:rPr>
              <w:t>crt.</w:t>
            </w:r>
          </w:p>
        </w:tc>
        <w:tc>
          <w:tcPr>
            <w:tcW w:w="1702" w:type="dxa"/>
            <w:shd w:val="clear" w:color="auto" w:fill="BFBFBF"/>
          </w:tcPr>
          <w:p w14:paraId="0162D4ED" w14:textId="77777777" w:rsidR="001C08A5" w:rsidRDefault="001C08A5">
            <w:pPr>
              <w:jc w:val="center"/>
              <w:rPr>
                <w:b/>
                <w:i/>
                <w:iCs/>
                <w:sz w:val="22"/>
                <w:szCs w:val="22"/>
              </w:rPr>
            </w:pPr>
          </w:p>
          <w:p w14:paraId="478F25FE" w14:textId="77777777" w:rsidR="001C08A5" w:rsidRDefault="00000000">
            <w:pPr>
              <w:jc w:val="center"/>
              <w:rPr>
                <w:i/>
                <w:iCs/>
                <w:sz w:val="22"/>
                <w:szCs w:val="22"/>
              </w:rPr>
            </w:pPr>
            <w:r>
              <w:rPr>
                <w:b/>
                <w:i/>
                <w:iCs/>
                <w:sz w:val="22"/>
                <w:szCs w:val="22"/>
              </w:rPr>
              <w:t>Destinaţie / funcţiune</w:t>
            </w:r>
          </w:p>
        </w:tc>
        <w:tc>
          <w:tcPr>
            <w:tcW w:w="1984" w:type="dxa"/>
            <w:shd w:val="clear" w:color="auto" w:fill="BFBFBF"/>
          </w:tcPr>
          <w:p w14:paraId="59B16D52" w14:textId="77777777" w:rsidR="001C08A5" w:rsidRDefault="001C08A5">
            <w:pPr>
              <w:jc w:val="center"/>
              <w:rPr>
                <w:b/>
                <w:i/>
                <w:iCs/>
                <w:sz w:val="22"/>
                <w:szCs w:val="22"/>
              </w:rPr>
            </w:pPr>
          </w:p>
          <w:p w14:paraId="06BBC540" w14:textId="77777777" w:rsidR="001C08A5" w:rsidRDefault="00000000">
            <w:pPr>
              <w:jc w:val="center"/>
              <w:rPr>
                <w:b/>
                <w:i/>
                <w:iCs/>
                <w:sz w:val="22"/>
                <w:szCs w:val="22"/>
              </w:rPr>
            </w:pPr>
            <w:r>
              <w:rPr>
                <w:b/>
                <w:i/>
                <w:iCs/>
                <w:sz w:val="22"/>
                <w:szCs w:val="22"/>
              </w:rPr>
              <w:t>Observaţii</w:t>
            </w:r>
          </w:p>
        </w:tc>
        <w:tc>
          <w:tcPr>
            <w:tcW w:w="1301" w:type="dxa"/>
            <w:shd w:val="clear" w:color="auto" w:fill="BFBFBF"/>
          </w:tcPr>
          <w:p w14:paraId="6C8ACF49" w14:textId="77777777" w:rsidR="001C08A5" w:rsidRDefault="001C08A5">
            <w:pPr>
              <w:jc w:val="center"/>
              <w:rPr>
                <w:b/>
                <w:i/>
                <w:iCs/>
                <w:sz w:val="22"/>
                <w:szCs w:val="22"/>
              </w:rPr>
            </w:pPr>
          </w:p>
          <w:p w14:paraId="243F15B6" w14:textId="77777777" w:rsidR="001C08A5" w:rsidRDefault="00000000">
            <w:pPr>
              <w:jc w:val="center"/>
              <w:rPr>
                <w:i/>
                <w:iCs/>
                <w:sz w:val="22"/>
                <w:szCs w:val="22"/>
              </w:rPr>
            </w:pPr>
            <w:r>
              <w:rPr>
                <w:b/>
                <w:i/>
                <w:iCs/>
                <w:sz w:val="22"/>
                <w:szCs w:val="22"/>
              </w:rPr>
              <w:t>Nivel de referinţă</w:t>
            </w:r>
          </w:p>
        </w:tc>
        <w:tc>
          <w:tcPr>
            <w:tcW w:w="778" w:type="dxa"/>
            <w:shd w:val="clear" w:color="auto" w:fill="BFBFBF"/>
          </w:tcPr>
          <w:p w14:paraId="2330BA11" w14:textId="77777777" w:rsidR="001C08A5" w:rsidRDefault="001C08A5">
            <w:pPr>
              <w:jc w:val="center"/>
              <w:rPr>
                <w:b/>
                <w:i/>
                <w:iCs/>
                <w:sz w:val="22"/>
                <w:szCs w:val="22"/>
              </w:rPr>
            </w:pPr>
          </w:p>
          <w:p w14:paraId="1F5ED493"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1264" w:type="dxa"/>
            <w:shd w:val="clear" w:color="auto" w:fill="BFBFBF"/>
          </w:tcPr>
          <w:p w14:paraId="140DE04D" w14:textId="77777777" w:rsidR="001C08A5" w:rsidRDefault="00000000">
            <w:pPr>
              <w:jc w:val="center"/>
              <w:rPr>
                <w:b/>
                <w:i/>
                <w:iCs/>
                <w:sz w:val="22"/>
                <w:szCs w:val="22"/>
              </w:rPr>
            </w:pPr>
            <w:r>
              <w:rPr>
                <w:b/>
                <w:i/>
                <w:iCs/>
                <w:sz w:val="22"/>
                <w:szCs w:val="22"/>
              </w:rPr>
              <w:t>Destinaţia / funcţiunea ariei considerată în calcul</w:t>
            </w:r>
          </w:p>
        </w:tc>
        <w:tc>
          <w:tcPr>
            <w:tcW w:w="735" w:type="dxa"/>
            <w:shd w:val="clear" w:color="auto" w:fill="BFBFBF"/>
          </w:tcPr>
          <w:p w14:paraId="736295BA" w14:textId="77777777" w:rsidR="001C08A5" w:rsidRDefault="001C08A5">
            <w:pPr>
              <w:jc w:val="center"/>
              <w:rPr>
                <w:b/>
                <w:i/>
                <w:iCs/>
                <w:sz w:val="22"/>
                <w:szCs w:val="22"/>
              </w:rPr>
            </w:pPr>
          </w:p>
          <w:p w14:paraId="281703C6" w14:textId="77777777" w:rsidR="001C08A5" w:rsidRDefault="00000000">
            <w:pPr>
              <w:jc w:val="center"/>
              <w:rPr>
                <w:b/>
                <w:i/>
                <w:iCs/>
                <w:sz w:val="22"/>
                <w:szCs w:val="22"/>
              </w:rPr>
            </w:pPr>
            <w:r>
              <w:rPr>
                <w:b/>
                <w:i/>
                <w:iCs/>
                <w:sz w:val="22"/>
                <w:szCs w:val="22"/>
              </w:rPr>
              <w:t>Spor%</w:t>
            </w:r>
          </w:p>
          <w:p w14:paraId="15F87882" w14:textId="77777777" w:rsidR="001C08A5" w:rsidRDefault="001C08A5">
            <w:pPr>
              <w:jc w:val="center"/>
              <w:rPr>
                <w:b/>
                <w:i/>
                <w:iCs/>
                <w:sz w:val="22"/>
                <w:szCs w:val="22"/>
              </w:rPr>
            </w:pPr>
          </w:p>
        </w:tc>
        <w:tc>
          <w:tcPr>
            <w:tcW w:w="1309" w:type="dxa"/>
            <w:shd w:val="clear" w:color="auto" w:fill="BFBFBF"/>
          </w:tcPr>
          <w:p w14:paraId="7833C1D4" w14:textId="77777777" w:rsidR="001C08A5" w:rsidRDefault="001C08A5">
            <w:pPr>
              <w:jc w:val="center"/>
              <w:rPr>
                <w:b/>
                <w:i/>
                <w:iCs/>
                <w:sz w:val="22"/>
                <w:szCs w:val="22"/>
              </w:rPr>
            </w:pPr>
          </w:p>
          <w:p w14:paraId="749FE177" w14:textId="77777777" w:rsidR="001C08A5" w:rsidRDefault="00000000">
            <w:pPr>
              <w:jc w:val="center"/>
              <w:rPr>
                <w:b/>
                <w:i/>
                <w:iCs/>
                <w:sz w:val="22"/>
                <w:szCs w:val="22"/>
              </w:rPr>
            </w:pPr>
            <w:r>
              <w:rPr>
                <w:b/>
                <w:i/>
                <w:iCs/>
                <w:sz w:val="22"/>
                <w:szCs w:val="22"/>
              </w:rPr>
              <w:t>Personal pentru care se acordă spor</w:t>
            </w:r>
          </w:p>
        </w:tc>
      </w:tr>
      <w:tr w:rsidR="001C08A5" w14:paraId="7BF0AC37" w14:textId="77777777">
        <w:tc>
          <w:tcPr>
            <w:tcW w:w="533" w:type="dxa"/>
          </w:tcPr>
          <w:p w14:paraId="026B3FE3" w14:textId="77777777" w:rsidR="001C08A5" w:rsidRDefault="00000000">
            <w:pPr>
              <w:rPr>
                <w:i/>
                <w:iCs/>
                <w:sz w:val="22"/>
                <w:szCs w:val="22"/>
              </w:rPr>
            </w:pPr>
            <w:r>
              <w:rPr>
                <w:i/>
                <w:iCs/>
                <w:sz w:val="22"/>
                <w:szCs w:val="22"/>
              </w:rPr>
              <w:t>1</w:t>
            </w:r>
          </w:p>
        </w:tc>
        <w:tc>
          <w:tcPr>
            <w:tcW w:w="1702" w:type="dxa"/>
          </w:tcPr>
          <w:p w14:paraId="677E8E6D" w14:textId="77777777" w:rsidR="001C08A5" w:rsidRDefault="00000000">
            <w:pPr>
              <w:rPr>
                <w:i/>
                <w:iCs/>
                <w:sz w:val="22"/>
                <w:szCs w:val="22"/>
              </w:rPr>
            </w:pPr>
            <w:r>
              <w:rPr>
                <w:i/>
                <w:iCs/>
                <w:sz w:val="22"/>
                <w:szCs w:val="22"/>
              </w:rPr>
              <w:t>Hoteluri, hosteluri, moteluri, vile, bungalouri, cabane, pensiuni etc.</w:t>
            </w:r>
          </w:p>
        </w:tc>
        <w:tc>
          <w:tcPr>
            <w:tcW w:w="1984" w:type="dxa"/>
          </w:tcPr>
          <w:p w14:paraId="7D2AD6D2" w14:textId="77777777" w:rsidR="001C08A5" w:rsidRDefault="00000000">
            <w:pPr>
              <w:rPr>
                <w:i/>
                <w:iCs/>
                <w:sz w:val="22"/>
                <w:szCs w:val="22"/>
              </w:rPr>
            </w:pPr>
            <w:r>
              <w:rPr>
                <w:i/>
                <w:iCs/>
                <w:sz w:val="22"/>
                <w:szCs w:val="22"/>
              </w:rPr>
              <w:t xml:space="preserve">Numarul simultan de persoane se poate preciza conform numărului de locuri de cazare plus sporul de personal. </w:t>
            </w:r>
          </w:p>
        </w:tc>
        <w:tc>
          <w:tcPr>
            <w:tcW w:w="1301" w:type="dxa"/>
          </w:tcPr>
          <w:p w14:paraId="6F80245B" w14:textId="77777777" w:rsidR="001C08A5" w:rsidRDefault="001C08A5">
            <w:pPr>
              <w:rPr>
                <w:i/>
                <w:iCs/>
                <w:sz w:val="22"/>
                <w:szCs w:val="22"/>
              </w:rPr>
            </w:pPr>
          </w:p>
          <w:p w14:paraId="21FFB0D2" w14:textId="77777777" w:rsidR="001C08A5" w:rsidRDefault="00000000">
            <w:pPr>
              <w:rPr>
                <w:i/>
                <w:iCs/>
                <w:sz w:val="22"/>
                <w:szCs w:val="22"/>
              </w:rPr>
            </w:pPr>
            <w:r>
              <w:rPr>
                <w:i/>
                <w:iCs/>
                <w:sz w:val="22"/>
                <w:szCs w:val="22"/>
              </w:rPr>
              <w:t xml:space="preserve">La orice </w:t>
            </w:r>
          </w:p>
          <w:p w14:paraId="692F2235" w14:textId="77777777" w:rsidR="001C08A5" w:rsidRDefault="00000000">
            <w:pPr>
              <w:rPr>
                <w:i/>
                <w:iCs/>
                <w:sz w:val="22"/>
                <w:szCs w:val="22"/>
              </w:rPr>
            </w:pPr>
            <w:r>
              <w:rPr>
                <w:i/>
                <w:iCs/>
                <w:sz w:val="22"/>
                <w:szCs w:val="22"/>
              </w:rPr>
              <w:t>nivel al construcţiei</w:t>
            </w:r>
          </w:p>
        </w:tc>
        <w:tc>
          <w:tcPr>
            <w:tcW w:w="778" w:type="dxa"/>
          </w:tcPr>
          <w:p w14:paraId="504034C1" w14:textId="77777777" w:rsidR="001C08A5" w:rsidRDefault="001C08A5">
            <w:pPr>
              <w:jc w:val="center"/>
              <w:rPr>
                <w:b/>
                <w:i/>
                <w:iCs/>
                <w:sz w:val="22"/>
                <w:szCs w:val="22"/>
              </w:rPr>
            </w:pPr>
          </w:p>
          <w:p w14:paraId="4A34A05C" w14:textId="77777777" w:rsidR="001C08A5" w:rsidRDefault="00000000">
            <w:pPr>
              <w:jc w:val="center"/>
              <w:rPr>
                <w:b/>
                <w:i/>
                <w:iCs/>
                <w:sz w:val="22"/>
                <w:szCs w:val="22"/>
              </w:rPr>
            </w:pPr>
            <w:r>
              <w:rPr>
                <w:b/>
                <w:i/>
                <w:iCs/>
                <w:sz w:val="22"/>
                <w:szCs w:val="22"/>
              </w:rPr>
              <w:t>8,00-15,00</w:t>
            </w:r>
          </w:p>
          <w:p w14:paraId="5FF8D7DD" w14:textId="77777777" w:rsidR="001C08A5" w:rsidRDefault="00000000">
            <w:pPr>
              <w:jc w:val="center"/>
              <w:rPr>
                <w:b/>
                <w:i/>
                <w:iCs/>
                <w:sz w:val="22"/>
                <w:szCs w:val="22"/>
              </w:rPr>
            </w:pPr>
            <w:r>
              <w:rPr>
                <w:b/>
                <w:i/>
                <w:iCs/>
                <w:sz w:val="22"/>
                <w:szCs w:val="22"/>
              </w:rPr>
              <w:t>sau conf. obs.</w:t>
            </w:r>
          </w:p>
        </w:tc>
        <w:tc>
          <w:tcPr>
            <w:tcW w:w="1264" w:type="dxa"/>
          </w:tcPr>
          <w:p w14:paraId="687E2F72" w14:textId="77777777" w:rsidR="001C08A5" w:rsidRDefault="001C08A5">
            <w:pPr>
              <w:rPr>
                <w:i/>
                <w:iCs/>
                <w:sz w:val="22"/>
                <w:szCs w:val="22"/>
              </w:rPr>
            </w:pPr>
          </w:p>
          <w:p w14:paraId="4BEF1369" w14:textId="77777777" w:rsidR="001C08A5" w:rsidRDefault="00000000">
            <w:pPr>
              <w:rPr>
                <w:i/>
                <w:iCs/>
                <w:sz w:val="22"/>
                <w:szCs w:val="22"/>
              </w:rPr>
            </w:pPr>
            <w:r>
              <w:rPr>
                <w:i/>
                <w:iCs/>
                <w:sz w:val="22"/>
                <w:szCs w:val="22"/>
              </w:rPr>
              <w:t>Camere de cazare, dormitoare, priciuri etc.</w:t>
            </w:r>
          </w:p>
        </w:tc>
        <w:tc>
          <w:tcPr>
            <w:tcW w:w="735" w:type="dxa"/>
          </w:tcPr>
          <w:p w14:paraId="2DC88BAC" w14:textId="77777777" w:rsidR="001C08A5" w:rsidRDefault="001C08A5">
            <w:pPr>
              <w:rPr>
                <w:i/>
                <w:iCs/>
                <w:sz w:val="22"/>
                <w:szCs w:val="22"/>
              </w:rPr>
            </w:pPr>
          </w:p>
          <w:p w14:paraId="01A307E0" w14:textId="77777777" w:rsidR="001C08A5" w:rsidRDefault="00000000">
            <w:pPr>
              <w:rPr>
                <w:i/>
                <w:iCs/>
                <w:sz w:val="22"/>
                <w:szCs w:val="22"/>
              </w:rPr>
            </w:pPr>
            <w:r>
              <w:rPr>
                <w:b/>
                <w:bCs/>
                <w:i/>
                <w:iCs/>
                <w:sz w:val="22"/>
                <w:szCs w:val="22"/>
              </w:rPr>
              <w:t>15</w:t>
            </w:r>
          </w:p>
        </w:tc>
        <w:tc>
          <w:tcPr>
            <w:tcW w:w="1309" w:type="dxa"/>
          </w:tcPr>
          <w:p w14:paraId="6671CD4D" w14:textId="77777777" w:rsidR="001C08A5" w:rsidRDefault="001C08A5">
            <w:pPr>
              <w:rPr>
                <w:i/>
                <w:iCs/>
                <w:sz w:val="22"/>
                <w:szCs w:val="22"/>
              </w:rPr>
            </w:pPr>
          </w:p>
          <w:p w14:paraId="36DDF444" w14:textId="77777777" w:rsidR="001C08A5" w:rsidRDefault="00000000">
            <w:pPr>
              <w:rPr>
                <w:i/>
                <w:iCs/>
                <w:sz w:val="22"/>
                <w:szCs w:val="22"/>
              </w:rPr>
            </w:pPr>
            <w:r>
              <w:rPr>
                <w:i/>
                <w:iCs/>
                <w:sz w:val="22"/>
                <w:szCs w:val="22"/>
              </w:rPr>
              <w:t>Personal de serviciu, administrativ, vizitatori etc.</w:t>
            </w:r>
          </w:p>
        </w:tc>
      </w:tr>
      <w:tr w:rsidR="001C08A5" w14:paraId="65B910C7" w14:textId="77777777">
        <w:tc>
          <w:tcPr>
            <w:tcW w:w="533" w:type="dxa"/>
          </w:tcPr>
          <w:p w14:paraId="5B0BC02D" w14:textId="77777777" w:rsidR="001C08A5" w:rsidRDefault="00000000">
            <w:pPr>
              <w:rPr>
                <w:i/>
                <w:iCs/>
                <w:sz w:val="22"/>
                <w:szCs w:val="22"/>
              </w:rPr>
            </w:pPr>
            <w:r>
              <w:rPr>
                <w:i/>
                <w:iCs/>
                <w:sz w:val="22"/>
                <w:szCs w:val="22"/>
              </w:rPr>
              <w:t>2</w:t>
            </w:r>
          </w:p>
        </w:tc>
        <w:tc>
          <w:tcPr>
            <w:tcW w:w="1702" w:type="dxa"/>
          </w:tcPr>
          <w:p w14:paraId="6CD86479" w14:textId="77777777" w:rsidR="001C08A5" w:rsidRDefault="00000000">
            <w:pPr>
              <w:rPr>
                <w:i/>
                <w:iCs/>
                <w:sz w:val="22"/>
                <w:szCs w:val="22"/>
              </w:rPr>
            </w:pPr>
            <w:r>
              <w:rPr>
                <w:i/>
                <w:iCs/>
                <w:sz w:val="22"/>
                <w:szCs w:val="22"/>
              </w:rPr>
              <w:t xml:space="preserve">încăperi cu diverse funcţiuni / destinaţii </w:t>
            </w:r>
          </w:p>
        </w:tc>
        <w:tc>
          <w:tcPr>
            <w:tcW w:w="7371" w:type="dxa"/>
            <w:gridSpan w:val="6"/>
          </w:tcPr>
          <w:p w14:paraId="449365E6"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07C59589" w14:textId="77777777" w:rsidR="001C08A5" w:rsidRDefault="001C08A5">
      <w:pPr>
        <w:rPr>
          <w:b/>
          <w:sz w:val="24"/>
          <w:szCs w:val="24"/>
        </w:rPr>
      </w:pPr>
    </w:p>
    <w:p w14:paraId="42066A2F" w14:textId="77777777" w:rsidR="001C08A5" w:rsidRDefault="00000000">
      <w:pPr>
        <w:pStyle w:val="Captiontabel"/>
      </w:pPr>
      <w:bookmarkStart w:id="2450" w:name="_Toc162360083"/>
      <w:r>
        <w:t xml:space="preserve">Tabelul </w:t>
      </w:r>
      <w:r>
        <w:fldChar w:fldCharType="begin"/>
      </w:r>
      <w:r>
        <w:instrText xml:space="preserve"> SEQ Tabelul \* ARABIC </w:instrText>
      </w:r>
      <w:r>
        <w:fldChar w:fldCharType="separate"/>
      </w:r>
      <w:r>
        <w:t>33</w:t>
      </w:r>
      <w:r>
        <w:fldChar w:fldCharType="end"/>
      </w:r>
      <w:bookmarkStart w:id="2451" w:name="_Toc32285"/>
      <w:bookmarkStart w:id="2452" w:name="_Toc30591"/>
      <w:bookmarkStart w:id="2453" w:name="_Toc9347"/>
      <w:bookmarkStart w:id="2454" w:name="_Toc3719"/>
      <w:bookmarkStart w:id="2455" w:name="_Toc24176"/>
      <w:bookmarkStart w:id="2456" w:name="_Toc21371"/>
      <w:bookmarkStart w:id="2457" w:name="_Toc18824"/>
      <w:bookmarkStart w:id="2458" w:name="_Toc19995"/>
      <w:bookmarkStart w:id="2459" w:name="_Toc17083"/>
      <w:bookmarkStart w:id="2460" w:name="_Toc5046"/>
      <w:bookmarkStart w:id="2461" w:name="_Toc5571"/>
      <w:bookmarkStart w:id="2462" w:name="_Toc5977"/>
      <w:bookmarkStart w:id="2463" w:name="_Toc29580"/>
      <w:bookmarkStart w:id="2464" w:name="_Toc20868"/>
      <w:bookmarkStart w:id="2465" w:name="_Toc10144"/>
      <w:bookmarkStart w:id="2466" w:name="_Toc12590"/>
      <w:bookmarkStart w:id="2467" w:name="_Toc7326"/>
      <w:bookmarkStart w:id="2468" w:name="_Toc26759"/>
      <w:bookmarkStart w:id="2469" w:name="_Toc32592"/>
      <w:r>
        <w:t>: Număr minim simultan de persoane din clădiri de cult</w:t>
      </w:r>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p>
    <w:p w14:paraId="0B245682" w14:textId="77777777" w:rsidR="001C08A5" w:rsidRDefault="001C08A5">
      <w:pPr>
        <w:rPr>
          <w:sz w:val="24"/>
          <w:szCs w:val="24"/>
        </w:rPr>
      </w:pPr>
    </w:p>
    <w:tbl>
      <w:tblPr>
        <w:tblW w:w="9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701"/>
        <w:gridCol w:w="1873"/>
        <w:gridCol w:w="1132"/>
        <w:gridCol w:w="1134"/>
        <w:gridCol w:w="1358"/>
        <w:gridCol w:w="735"/>
        <w:gridCol w:w="1309"/>
        <w:gridCol w:w="8"/>
      </w:tblGrid>
      <w:tr w:rsidR="001C08A5" w14:paraId="736F8E70" w14:textId="77777777">
        <w:trPr>
          <w:gridAfter w:val="1"/>
          <w:wAfter w:w="8" w:type="dxa"/>
          <w:tblHeader/>
        </w:trPr>
        <w:tc>
          <w:tcPr>
            <w:tcW w:w="534" w:type="dxa"/>
            <w:shd w:val="clear" w:color="auto" w:fill="BFBFBF"/>
          </w:tcPr>
          <w:p w14:paraId="0C176D01" w14:textId="77777777" w:rsidR="001C08A5" w:rsidRDefault="001C08A5">
            <w:pPr>
              <w:jc w:val="center"/>
              <w:rPr>
                <w:b/>
                <w:i/>
                <w:iCs/>
                <w:sz w:val="22"/>
                <w:szCs w:val="22"/>
              </w:rPr>
            </w:pPr>
          </w:p>
          <w:p w14:paraId="79BD868B" w14:textId="77777777" w:rsidR="001C08A5" w:rsidRDefault="00000000">
            <w:pPr>
              <w:jc w:val="center"/>
              <w:rPr>
                <w:b/>
                <w:i/>
                <w:iCs/>
                <w:sz w:val="22"/>
                <w:szCs w:val="22"/>
              </w:rPr>
            </w:pPr>
            <w:r>
              <w:rPr>
                <w:b/>
                <w:i/>
                <w:iCs/>
                <w:sz w:val="22"/>
                <w:szCs w:val="22"/>
              </w:rPr>
              <w:t>Nr.</w:t>
            </w:r>
          </w:p>
          <w:p w14:paraId="76DF71C3" w14:textId="77777777" w:rsidR="001C08A5" w:rsidRDefault="00000000">
            <w:pPr>
              <w:jc w:val="center"/>
              <w:rPr>
                <w:i/>
                <w:iCs/>
                <w:sz w:val="22"/>
                <w:szCs w:val="22"/>
              </w:rPr>
            </w:pPr>
            <w:r>
              <w:rPr>
                <w:b/>
                <w:i/>
                <w:iCs/>
                <w:sz w:val="22"/>
                <w:szCs w:val="22"/>
              </w:rPr>
              <w:t>crt.</w:t>
            </w:r>
          </w:p>
        </w:tc>
        <w:tc>
          <w:tcPr>
            <w:tcW w:w="1701" w:type="dxa"/>
            <w:shd w:val="clear" w:color="auto" w:fill="BFBFBF"/>
          </w:tcPr>
          <w:p w14:paraId="751C3C00" w14:textId="77777777" w:rsidR="001C08A5" w:rsidRDefault="001C08A5">
            <w:pPr>
              <w:jc w:val="center"/>
              <w:rPr>
                <w:b/>
                <w:i/>
                <w:iCs/>
                <w:sz w:val="22"/>
                <w:szCs w:val="22"/>
              </w:rPr>
            </w:pPr>
          </w:p>
          <w:p w14:paraId="5736B712" w14:textId="77777777" w:rsidR="001C08A5" w:rsidRDefault="00000000">
            <w:pPr>
              <w:jc w:val="center"/>
              <w:rPr>
                <w:i/>
                <w:iCs/>
                <w:sz w:val="22"/>
                <w:szCs w:val="22"/>
              </w:rPr>
            </w:pPr>
            <w:r>
              <w:rPr>
                <w:b/>
                <w:i/>
                <w:iCs/>
                <w:sz w:val="22"/>
                <w:szCs w:val="22"/>
              </w:rPr>
              <w:t>Destinaţie / funcţiune</w:t>
            </w:r>
          </w:p>
        </w:tc>
        <w:tc>
          <w:tcPr>
            <w:tcW w:w="1873" w:type="dxa"/>
            <w:shd w:val="clear" w:color="auto" w:fill="BFBFBF"/>
          </w:tcPr>
          <w:p w14:paraId="691A1D1B" w14:textId="77777777" w:rsidR="001C08A5" w:rsidRDefault="001C08A5">
            <w:pPr>
              <w:jc w:val="center"/>
              <w:rPr>
                <w:b/>
                <w:i/>
                <w:iCs/>
                <w:sz w:val="22"/>
                <w:szCs w:val="22"/>
              </w:rPr>
            </w:pPr>
          </w:p>
          <w:p w14:paraId="29DB8068" w14:textId="77777777" w:rsidR="001C08A5" w:rsidRDefault="00000000">
            <w:pPr>
              <w:jc w:val="center"/>
              <w:rPr>
                <w:b/>
                <w:i/>
                <w:iCs/>
                <w:sz w:val="22"/>
                <w:szCs w:val="22"/>
              </w:rPr>
            </w:pPr>
            <w:r>
              <w:rPr>
                <w:b/>
                <w:i/>
                <w:iCs/>
                <w:sz w:val="22"/>
                <w:szCs w:val="22"/>
              </w:rPr>
              <w:t>Observaţii</w:t>
            </w:r>
          </w:p>
        </w:tc>
        <w:tc>
          <w:tcPr>
            <w:tcW w:w="1132" w:type="dxa"/>
            <w:shd w:val="clear" w:color="auto" w:fill="BFBFBF"/>
          </w:tcPr>
          <w:p w14:paraId="64D9E953" w14:textId="77777777" w:rsidR="001C08A5" w:rsidRDefault="001C08A5">
            <w:pPr>
              <w:jc w:val="center"/>
              <w:rPr>
                <w:b/>
                <w:i/>
                <w:iCs/>
                <w:sz w:val="22"/>
                <w:szCs w:val="22"/>
              </w:rPr>
            </w:pPr>
          </w:p>
          <w:p w14:paraId="16D9034D" w14:textId="77777777" w:rsidR="001C08A5" w:rsidRDefault="00000000">
            <w:pPr>
              <w:jc w:val="center"/>
              <w:rPr>
                <w:i/>
                <w:iCs/>
                <w:sz w:val="22"/>
                <w:szCs w:val="22"/>
              </w:rPr>
            </w:pPr>
            <w:r>
              <w:rPr>
                <w:b/>
                <w:i/>
                <w:iCs/>
                <w:sz w:val="22"/>
                <w:szCs w:val="22"/>
              </w:rPr>
              <w:t>Nivel de referinţă</w:t>
            </w:r>
          </w:p>
        </w:tc>
        <w:tc>
          <w:tcPr>
            <w:tcW w:w="1134" w:type="dxa"/>
            <w:shd w:val="clear" w:color="auto" w:fill="BFBFBF"/>
          </w:tcPr>
          <w:p w14:paraId="1E6054E6" w14:textId="77777777" w:rsidR="001C08A5" w:rsidRDefault="001C08A5">
            <w:pPr>
              <w:jc w:val="center"/>
              <w:rPr>
                <w:b/>
                <w:i/>
                <w:iCs/>
                <w:sz w:val="22"/>
                <w:szCs w:val="22"/>
              </w:rPr>
            </w:pPr>
          </w:p>
          <w:p w14:paraId="70A5D0AC"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1358" w:type="dxa"/>
            <w:shd w:val="clear" w:color="auto" w:fill="BFBFBF"/>
          </w:tcPr>
          <w:p w14:paraId="24433D83" w14:textId="77777777" w:rsidR="001C08A5" w:rsidRDefault="00000000">
            <w:pPr>
              <w:jc w:val="center"/>
              <w:rPr>
                <w:b/>
                <w:i/>
                <w:iCs/>
                <w:sz w:val="22"/>
                <w:szCs w:val="22"/>
              </w:rPr>
            </w:pPr>
            <w:r>
              <w:rPr>
                <w:b/>
                <w:i/>
                <w:iCs/>
                <w:sz w:val="22"/>
                <w:szCs w:val="22"/>
              </w:rPr>
              <w:t>Destinaţia / funcţiunea ariei considerată în calcul</w:t>
            </w:r>
          </w:p>
        </w:tc>
        <w:tc>
          <w:tcPr>
            <w:tcW w:w="735" w:type="dxa"/>
            <w:shd w:val="clear" w:color="auto" w:fill="BFBFBF"/>
          </w:tcPr>
          <w:p w14:paraId="429B9B23" w14:textId="77777777" w:rsidR="001C08A5" w:rsidRDefault="001C08A5">
            <w:pPr>
              <w:jc w:val="center"/>
              <w:rPr>
                <w:b/>
                <w:i/>
                <w:iCs/>
                <w:sz w:val="22"/>
                <w:szCs w:val="22"/>
              </w:rPr>
            </w:pPr>
          </w:p>
          <w:p w14:paraId="669B71AB" w14:textId="77777777" w:rsidR="001C08A5" w:rsidRDefault="00000000">
            <w:pPr>
              <w:jc w:val="center"/>
              <w:rPr>
                <w:b/>
                <w:i/>
                <w:iCs/>
                <w:sz w:val="22"/>
                <w:szCs w:val="22"/>
              </w:rPr>
            </w:pPr>
            <w:r>
              <w:rPr>
                <w:b/>
                <w:i/>
                <w:iCs/>
                <w:sz w:val="22"/>
                <w:szCs w:val="22"/>
              </w:rPr>
              <w:t>Spor%</w:t>
            </w:r>
          </w:p>
          <w:p w14:paraId="746492CC" w14:textId="77777777" w:rsidR="001C08A5" w:rsidRDefault="001C08A5">
            <w:pPr>
              <w:jc w:val="center"/>
              <w:rPr>
                <w:b/>
                <w:i/>
                <w:iCs/>
                <w:sz w:val="22"/>
                <w:szCs w:val="22"/>
              </w:rPr>
            </w:pPr>
          </w:p>
        </w:tc>
        <w:tc>
          <w:tcPr>
            <w:tcW w:w="1309" w:type="dxa"/>
            <w:shd w:val="clear" w:color="auto" w:fill="BFBFBF"/>
          </w:tcPr>
          <w:p w14:paraId="5160889B" w14:textId="77777777" w:rsidR="001C08A5" w:rsidRDefault="001C08A5">
            <w:pPr>
              <w:jc w:val="center"/>
              <w:rPr>
                <w:b/>
                <w:i/>
                <w:iCs/>
                <w:sz w:val="22"/>
                <w:szCs w:val="22"/>
              </w:rPr>
            </w:pPr>
          </w:p>
          <w:p w14:paraId="7F657CBE" w14:textId="77777777" w:rsidR="001C08A5" w:rsidRDefault="00000000">
            <w:pPr>
              <w:jc w:val="center"/>
              <w:rPr>
                <w:b/>
                <w:i/>
                <w:iCs/>
                <w:sz w:val="22"/>
                <w:szCs w:val="22"/>
              </w:rPr>
            </w:pPr>
            <w:r>
              <w:rPr>
                <w:b/>
                <w:i/>
                <w:iCs/>
                <w:sz w:val="22"/>
                <w:szCs w:val="22"/>
              </w:rPr>
              <w:t>Personalul pentru care se acordă spor</w:t>
            </w:r>
          </w:p>
        </w:tc>
      </w:tr>
      <w:tr w:rsidR="001C08A5" w14:paraId="3B145DB9" w14:textId="77777777">
        <w:trPr>
          <w:gridAfter w:val="1"/>
          <w:wAfter w:w="8" w:type="dxa"/>
        </w:trPr>
        <w:tc>
          <w:tcPr>
            <w:tcW w:w="534" w:type="dxa"/>
          </w:tcPr>
          <w:p w14:paraId="19B863FD" w14:textId="77777777" w:rsidR="001C08A5" w:rsidRDefault="00000000">
            <w:pPr>
              <w:rPr>
                <w:i/>
                <w:iCs/>
                <w:sz w:val="22"/>
                <w:szCs w:val="22"/>
              </w:rPr>
            </w:pPr>
            <w:r>
              <w:rPr>
                <w:i/>
                <w:iCs/>
                <w:sz w:val="22"/>
                <w:szCs w:val="22"/>
              </w:rPr>
              <w:t>1</w:t>
            </w:r>
          </w:p>
        </w:tc>
        <w:tc>
          <w:tcPr>
            <w:tcW w:w="1701" w:type="dxa"/>
          </w:tcPr>
          <w:p w14:paraId="51E099C8" w14:textId="77777777" w:rsidR="001C08A5" w:rsidRDefault="00000000">
            <w:pPr>
              <w:rPr>
                <w:i/>
                <w:iCs/>
                <w:sz w:val="22"/>
                <w:szCs w:val="22"/>
              </w:rPr>
            </w:pPr>
            <w:r>
              <w:rPr>
                <w:i/>
                <w:iCs/>
                <w:sz w:val="22"/>
                <w:szCs w:val="22"/>
              </w:rPr>
              <w:t>Catedrale, biserici, lăcaşuri de cult, sinagogi, temple, case de rugăciuni etc.),  ansambluri mânăstireşti</w:t>
            </w:r>
          </w:p>
        </w:tc>
        <w:tc>
          <w:tcPr>
            <w:tcW w:w="1873" w:type="dxa"/>
          </w:tcPr>
          <w:p w14:paraId="30786254" w14:textId="77777777" w:rsidR="001C08A5" w:rsidRDefault="00000000">
            <w:pPr>
              <w:rPr>
                <w:i/>
                <w:iCs/>
                <w:sz w:val="22"/>
                <w:szCs w:val="22"/>
              </w:rPr>
            </w:pPr>
            <w:r>
              <w:rPr>
                <w:i/>
                <w:iCs/>
                <w:sz w:val="22"/>
                <w:szCs w:val="22"/>
              </w:rPr>
              <w:t>Numărul simultan de persoane se poate preciza conform numărului de locuri de activitate.</w:t>
            </w:r>
          </w:p>
        </w:tc>
        <w:tc>
          <w:tcPr>
            <w:tcW w:w="1132" w:type="dxa"/>
          </w:tcPr>
          <w:p w14:paraId="1560EDBC" w14:textId="77777777" w:rsidR="001C08A5" w:rsidRDefault="001C08A5">
            <w:pPr>
              <w:rPr>
                <w:i/>
                <w:iCs/>
                <w:sz w:val="22"/>
                <w:szCs w:val="22"/>
              </w:rPr>
            </w:pPr>
          </w:p>
          <w:p w14:paraId="428D0822" w14:textId="77777777" w:rsidR="001C08A5" w:rsidRDefault="00000000">
            <w:pPr>
              <w:rPr>
                <w:i/>
                <w:iCs/>
                <w:sz w:val="22"/>
                <w:szCs w:val="22"/>
              </w:rPr>
            </w:pPr>
            <w:r>
              <w:rPr>
                <w:i/>
                <w:iCs/>
                <w:sz w:val="22"/>
                <w:szCs w:val="22"/>
              </w:rPr>
              <w:t xml:space="preserve">La orice </w:t>
            </w:r>
          </w:p>
          <w:p w14:paraId="377DDB17" w14:textId="77777777" w:rsidR="001C08A5" w:rsidRDefault="00000000">
            <w:pPr>
              <w:rPr>
                <w:i/>
                <w:iCs/>
                <w:sz w:val="22"/>
                <w:szCs w:val="22"/>
              </w:rPr>
            </w:pPr>
            <w:r>
              <w:rPr>
                <w:i/>
                <w:iCs/>
                <w:sz w:val="22"/>
                <w:szCs w:val="22"/>
              </w:rPr>
              <w:t>nivel al construcţiei</w:t>
            </w:r>
          </w:p>
        </w:tc>
        <w:tc>
          <w:tcPr>
            <w:tcW w:w="1134" w:type="dxa"/>
          </w:tcPr>
          <w:p w14:paraId="724AD9EB" w14:textId="77777777" w:rsidR="001C08A5" w:rsidRDefault="001C08A5">
            <w:pPr>
              <w:jc w:val="center"/>
              <w:rPr>
                <w:b/>
                <w:i/>
                <w:iCs/>
                <w:sz w:val="22"/>
                <w:szCs w:val="22"/>
              </w:rPr>
            </w:pPr>
          </w:p>
          <w:p w14:paraId="3C970109" w14:textId="77777777" w:rsidR="001C08A5" w:rsidRDefault="00000000">
            <w:pPr>
              <w:jc w:val="center"/>
              <w:rPr>
                <w:b/>
                <w:i/>
                <w:iCs/>
                <w:sz w:val="22"/>
                <w:szCs w:val="22"/>
              </w:rPr>
            </w:pPr>
            <w:r>
              <w:rPr>
                <w:b/>
                <w:i/>
                <w:iCs/>
                <w:sz w:val="22"/>
                <w:szCs w:val="22"/>
              </w:rPr>
              <w:t>conf. obs.</w:t>
            </w:r>
          </w:p>
          <w:p w14:paraId="080F8912" w14:textId="77777777" w:rsidR="001C08A5" w:rsidRDefault="00000000">
            <w:pPr>
              <w:jc w:val="center"/>
              <w:rPr>
                <w:b/>
                <w:i/>
                <w:iCs/>
                <w:sz w:val="22"/>
                <w:szCs w:val="22"/>
              </w:rPr>
            </w:pPr>
            <w:r>
              <w:rPr>
                <w:bCs/>
                <w:i/>
                <w:iCs/>
                <w:sz w:val="22"/>
                <w:szCs w:val="22"/>
              </w:rPr>
              <w:t>(dar nu mai puțin de 2)</w:t>
            </w:r>
          </w:p>
        </w:tc>
        <w:tc>
          <w:tcPr>
            <w:tcW w:w="1358" w:type="dxa"/>
          </w:tcPr>
          <w:p w14:paraId="570A2000" w14:textId="77777777" w:rsidR="001C08A5" w:rsidRDefault="001C08A5">
            <w:pPr>
              <w:rPr>
                <w:i/>
                <w:iCs/>
                <w:sz w:val="22"/>
                <w:szCs w:val="22"/>
              </w:rPr>
            </w:pPr>
          </w:p>
          <w:p w14:paraId="3A7A7D23" w14:textId="77777777" w:rsidR="001C08A5" w:rsidRDefault="00000000">
            <w:pPr>
              <w:rPr>
                <w:i/>
                <w:iCs/>
                <w:sz w:val="22"/>
                <w:szCs w:val="22"/>
              </w:rPr>
            </w:pPr>
            <w:r>
              <w:rPr>
                <w:i/>
                <w:iCs/>
                <w:sz w:val="22"/>
                <w:szCs w:val="22"/>
              </w:rPr>
              <w:t>Spaţii de cult accesibile publicului.</w:t>
            </w:r>
          </w:p>
        </w:tc>
        <w:tc>
          <w:tcPr>
            <w:tcW w:w="735" w:type="dxa"/>
            <w:vAlign w:val="center"/>
          </w:tcPr>
          <w:p w14:paraId="081F7917" w14:textId="77777777" w:rsidR="001C08A5" w:rsidRDefault="00000000">
            <w:pPr>
              <w:jc w:val="center"/>
              <w:rPr>
                <w:i/>
                <w:iCs/>
                <w:sz w:val="22"/>
                <w:szCs w:val="22"/>
              </w:rPr>
            </w:pPr>
            <w:r>
              <w:rPr>
                <w:b/>
                <w:bCs/>
                <w:i/>
                <w:iCs/>
                <w:sz w:val="22"/>
                <w:szCs w:val="22"/>
              </w:rPr>
              <w:t>5</w:t>
            </w:r>
          </w:p>
        </w:tc>
        <w:tc>
          <w:tcPr>
            <w:tcW w:w="1309" w:type="dxa"/>
          </w:tcPr>
          <w:p w14:paraId="3A7524DF" w14:textId="77777777" w:rsidR="001C08A5" w:rsidRDefault="00000000">
            <w:pPr>
              <w:rPr>
                <w:i/>
                <w:iCs/>
                <w:sz w:val="22"/>
                <w:szCs w:val="22"/>
              </w:rPr>
            </w:pPr>
            <w:r>
              <w:rPr>
                <w:i/>
                <w:iCs/>
                <w:sz w:val="22"/>
                <w:szCs w:val="22"/>
              </w:rPr>
              <w:t>Personal de serviciu</w:t>
            </w:r>
          </w:p>
        </w:tc>
      </w:tr>
      <w:tr w:rsidR="001C08A5" w14:paraId="32C73DA9" w14:textId="77777777">
        <w:tc>
          <w:tcPr>
            <w:tcW w:w="534" w:type="dxa"/>
          </w:tcPr>
          <w:p w14:paraId="175C4C77" w14:textId="77777777" w:rsidR="001C08A5" w:rsidRDefault="00000000">
            <w:pPr>
              <w:rPr>
                <w:i/>
                <w:iCs/>
                <w:sz w:val="22"/>
                <w:szCs w:val="22"/>
              </w:rPr>
            </w:pPr>
            <w:r>
              <w:rPr>
                <w:i/>
                <w:iCs/>
                <w:sz w:val="22"/>
                <w:szCs w:val="22"/>
              </w:rPr>
              <w:t>2</w:t>
            </w:r>
          </w:p>
        </w:tc>
        <w:tc>
          <w:tcPr>
            <w:tcW w:w="1701" w:type="dxa"/>
          </w:tcPr>
          <w:p w14:paraId="4AEE24EE" w14:textId="77777777" w:rsidR="001C08A5" w:rsidRDefault="00000000">
            <w:pPr>
              <w:rPr>
                <w:i/>
                <w:iCs/>
                <w:sz w:val="22"/>
                <w:szCs w:val="22"/>
              </w:rPr>
            </w:pPr>
            <w:r>
              <w:rPr>
                <w:i/>
                <w:iCs/>
                <w:sz w:val="22"/>
                <w:szCs w:val="22"/>
              </w:rPr>
              <w:t xml:space="preserve">Incaperi cu diverse functiuni/ destinatii </w:t>
            </w:r>
          </w:p>
        </w:tc>
        <w:tc>
          <w:tcPr>
            <w:tcW w:w="7549" w:type="dxa"/>
            <w:gridSpan w:val="7"/>
          </w:tcPr>
          <w:p w14:paraId="2D0BA50A"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20954BBF" w14:textId="77777777" w:rsidR="001C08A5" w:rsidRDefault="001C08A5">
      <w:pPr>
        <w:rPr>
          <w:b/>
          <w:sz w:val="24"/>
          <w:szCs w:val="24"/>
        </w:rPr>
      </w:pPr>
    </w:p>
    <w:p w14:paraId="1A879F94" w14:textId="77777777" w:rsidR="001C08A5" w:rsidRDefault="00000000">
      <w:pPr>
        <w:pStyle w:val="Captiontabel"/>
      </w:pPr>
      <w:bookmarkStart w:id="2470" w:name="_Toc162360084"/>
      <w:r>
        <w:t xml:space="preserve">Tabelul </w:t>
      </w:r>
      <w:r>
        <w:fldChar w:fldCharType="begin"/>
      </w:r>
      <w:r>
        <w:instrText xml:space="preserve"> SEQ Tabelul \* ARABIC </w:instrText>
      </w:r>
      <w:r>
        <w:fldChar w:fldCharType="separate"/>
      </w:r>
      <w:r>
        <w:t>34</w:t>
      </w:r>
      <w:r>
        <w:fldChar w:fldCharType="end"/>
      </w:r>
      <w:bookmarkStart w:id="2471" w:name="_Toc6322"/>
      <w:bookmarkStart w:id="2472" w:name="_Toc19718"/>
      <w:bookmarkStart w:id="2473" w:name="_Toc437"/>
      <w:bookmarkStart w:id="2474" w:name="_Toc18258"/>
      <w:bookmarkStart w:id="2475" w:name="_Toc29280"/>
      <w:bookmarkStart w:id="2476" w:name="_Toc19608"/>
      <w:bookmarkStart w:id="2477" w:name="_Toc1822"/>
      <w:bookmarkStart w:id="2478" w:name="_Toc12200"/>
      <w:bookmarkStart w:id="2479" w:name="_Toc28454"/>
      <w:bookmarkStart w:id="2480" w:name="_Toc17510"/>
      <w:bookmarkStart w:id="2481" w:name="_Toc21081"/>
      <w:bookmarkStart w:id="2482" w:name="_Toc11303"/>
      <w:bookmarkStart w:id="2483" w:name="_Toc16505"/>
      <w:bookmarkStart w:id="2484" w:name="_Toc22297"/>
      <w:bookmarkStart w:id="2485" w:name="_Toc14684"/>
      <w:bookmarkStart w:id="2486" w:name="_Toc1711"/>
      <w:bookmarkStart w:id="2487" w:name="_Toc12696"/>
      <w:bookmarkStart w:id="2488" w:name="_Toc5540"/>
      <w:bookmarkStart w:id="2489" w:name="_Toc14371"/>
      <w:r>
        <w:t>: Număr minim simultan de persoane din clădiri de sport</w:t>
      </w:r>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p>
    <w:p w14:paraId="6001A54A" w14:textId="77777777" w:rsidR="001C08A5" w:rsidRDefault="001C08A5">
      <w:pPr>
        <w:rPr>
          <w:sz w:val="24"/>
          <w:szCs w:val="24"/>
        </w:rPr>
      </w:pPr>
    </w:p>
    <w:tbl>
      <w:tblPr>
        <w:tblW w:w="9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3"/>
        <w:gridCol w:w="1702"/>
        <w:gridCol w:w="1984"/>
        <w:gridCol w:w="1276"/>
        <w:gridCol w:w="879"/>
        <w:gridCol w:w="1358"/>
        <w:gridCol w:w="735"/>
        <w:gridCol w:w="1309"/>
        <w:gridCol w:w="8"/>
      </w:tblGrid>
      <w:tr w:rsidR="001C08A5" w14:paraId="75978E23" w14:textId="77777777">
        <w:trPr>
          <w:gridAfter w:val="1"/>
          <w:wAfter w:w="8" w:type="dxa"/>
          <w:tblHeader/>
        </w:trPr>
        <w:tc>
          <w:tcPr>
            <w:tcW w:w="533" w:type="dxa"/>
            <w:shd w:val="clear" w:color="auto" w:fill="BFBFBF"/>
          </w:tcPr>
          <w:p w14:paraId="3A2EEE63" w14:textId="77777777" w:rsidR="001C08A5" w:rsidRDefault="001C08A5">
            <w:pPr>
              <w:jc w:val="center"/>
              <w:rPr>
                <w:b/>
                <w:i/>
                <w:iCs/>
                <w:sz w:val="22"/>
                <w:szCs w:val="22"/>
              </w:rPr>
            </w:pPr>
          </w:p>
          <w:p w14:paraId="357C1206" w14:textId="77777777" w:rsidR="001C08A5" w:rsidRDefault="00000000">
            <w:pPr>
              <w:jc w:val="center"/>
              <w:rPr>
                <w:b/>
                <w:i/>
                <w:iCs/>
                <w:sz w:val="22"/>
                <w:szCs w:val="22"/>
              </w:rPr>
            </w:pPr>
            <w:r>
              <w:rPr>
                <w:b/>
                <w:i/>
                <w:iCs/>
                <w:sz w:val="22"/>
                <w:szCs w:val="22"/>
              </w:rPr>
              <w:t>Nr.</w:t>
            </w:r>
          </w:p>
          <w:p w14:paraId="73CC43A6" w14:textId="77777777" w:rsidR="001C08A5" w:rsidRDefault="00000000">
            <w:pPr>
              <w:jc w:val="center"/>
              <w:rPr>
                <w:i/>
                <w:iCs/>
                <w:sz w:val="22"/>
                <w:szCs w:val="22"/>
              </w:rPr>
            </w:pPr>
            <w:r>
              <w:rPr>
                <w:b/>
                <w:i/>
                <w:iCs/>
                <w:sz w:val="22"/>
                <w:szCs w:val="22"/>
              </w:rPr>
              <w:t>crt.</w:t>
            </w:r>
          </w:p>
        </w:tc>
        <w:tc>
          <w:tcPr>
            <w:tcW w:w="1702" w:type="dxa"/>
            <w:shd w:val="clear" w:color="auto" w:fill="BFBFBF"/>
          </w:tcPr>
          <w:p w14:paraId="7E4C1E7A" w14:textId="77777777" w:rsidR="001C08A5" w:rsidRDefault="001C08A5">
            <w:pPr>
              <w:jc w:val="center"/>
              <w:rPr>
                <w:b/>
                <w:i/>
                <w:iCs/>
                <w:sz w:val="22"/>
                <w:szCs w:val="22"/>
              </w:rPr>
            </w:pPr>
          </w:p>
          <w:p w14:paraId="493A332B" w14:textId="77777777" w:rsidR="001C08A5" w:rsidRDefault="00000000">
            <w:pPr>
              <w:jc w:val="center"/>
              <w:rPr>
                <w:i/>
                <w:iCs/>
                <w:sz w:val="22"/>
                <w:szCs w:val="22"/>
              </w:rPr>
            </w:pPr>
            <w:r>
              <w:rPr>
                <w:b/>
                <w:i/>
                <w:iCs/>
                <w:sz w:val="22"/>
                <w:szCs w:val="22"/>
              </w:rPr>
              <w:t>Destinaţie / funcţiune</w:t>
            </w:r>
          </w:p>
        </w:tc>
        <w:tc>
          <w:tcPr>
            <w:tcW w:w="1984" w:type="dxa"/>
            <w:shd w:val="clear" w:color="auto" w:fill="BFBFBF"/>
          </w:tcPr>
          <w:p w14:paraId="58C9D468" w14:textId="77777777" w:rsidR="001C08A5" w:rsidRDefault="001C08A5">
            <w:pPr>
              <w:jc w:val="center"/>
              <w:rPr>
                <w:b/>
                <w:i/>
                <w:iCs/>
                <w:sz w:val="22"/>
                <w:szCs w:val="22"/>
              </w:rPr>
            </w:pPr>
          </w:p>
          <w:p w14:paraId="51E6872D" w14:textId="77777777" w:rsidR="001C08A5" w:rsidRDefault="00000000">
            <w:pPr>
              <w:jc w:val="center"/>
              <w:rPr>
                <w:b/>
                <w:i/>
                <w:iCs/>
                <w:sz w:val="22"/>
                <w:szCs w:val="22"/>
              </w:rPr>
            </w:pPr>
            <w:r>
              <w:rPr>
                <w:b/>
                <w:i/>
                <w:iCs/>
                <w:sz w:val="22"/>
                <w:szCs w:val="22"/>
              </w:rPr>
              <w:t>Observaţii</w:t>
            </w:r>
          </w:p>
        </w:tc>
        <w:tc>
          <w:tcPr>
            <w:tcW w:w="1276" w:type="dxa"/>
            <w:shd w:val="clear" w:color="auto" w:fill="BFBFBF"/>
          </w:tcPr>
          <w:p w14:paraId="13DCAAAF" w14:textId="77777777" w:rsidR="001C08A5" w:rsidRDefault="001C08A5">
            <w:pPr>
              <w:jc w:val="center"/>
              <w:rPr>
                <w:b/>
                <w:i/>
                <w:iCs/>
                <w:sz w:val="22"/>
                <w:szCs w:val="22"/>
              </w:rPr>
            </w:pPr>
          </w:p>
          <w:p w14:paraId="138CAD2E" w14:textId="77777777" w:rsidR="001C08A5" w:rsidRDefault="00000000">
            <w:pPr>
              <w:jc w:val="center"/>
              <w:rPr>
                <w:i/>
                <w:iCs/>
                <w:sz w:val="22"/>
                <w:szCs w:val="22"/>
              </w:rPr>
            </w:pPr>
            <w:r>
              <w:rPr>
                <w:b/>
                <w:i/>
                <w:iCs/>
                <w:sz w:val="22"/>
                <w:szCs w:val="22"/>
              </w:rPr>
              <w:t>Nivel de referinţă</w:t>
            </w:r>
          </w:p>
        </w:tc>
        <w:tc>
          <w:tcPr>
            <w:tcW w:w="879" w:type="dxa"/>
            <w:shd w:val="clear" w:color="auto" w:fill="BFBFBF"/>
          </w:tcPr>
          <w:p w14:paraId="16DC7AA1" w14:textId="77777777" w:rsidR="001C08A5" w:rsidRDefault="001C08A5">
            <w:pPr>
              <w:jc w:val="center"/>
              <w:rPr>
                <w:b/>
                <w:i/>
                <w:iCs/>
                <w:sz w:val="22"/>
                <w:szCs w:val="22"/>
              </w:rPr>
            </w:pPr>
          </w:p>
          <w:p w14:paraId="23593FD1" w14:textId="77777777" w:rsidR="001C08A5" w:rsidRDefault="00000000">
            <w:pPr>
              <w:jc w:val="center"/>
              <w:rPr>
                <w:b/>
                <w:i/>
                <w:iCs/>
                <w:sz w:val="22"/>
                <w:szCs w:val="22"/>
              </w:rPr>
            </w:pPr>
            <w:r>
              <w:rPr>
                <w:b/>
                <w:i/>
                <w:iCs/>
                <w:sz w:val="22"/>
                <w:szCs w:val="22"/>
              </w:rPr>
              <w:t>Arie utila (m</w:t>
            </w:r>
            <w:r>
              <w:rPr>
                <w:b/>
                <w:i/>
                <w:iCs/>
                <w:sz w:val="22"/>
                <w:szCs w:val="22"/>
                <w:vertAlign w:val="superscript"/>
              </w:rPr>
              <w:t>2</w:t>
            </w:r>
            <w:r>
              <w:rPr>
                <w:b/>
                <w:i/>
                <w:iCs/>
                <w:sz w:val="22"/>
                <w:szCs w:val="22"/>
              </w:rPr>
              <w:t>)/ pers.</w:t>
            </w:r>
          </w:p>
        </w:tc>
        <w:tc>
          <w:tcPr>
            <w:tcW w:w="1358" w:type="dxa"/>
            <w:shd w:val="clear" w:color="auto" w:fill="BFBFBF"/>
          </w:tcPr>
          <w:p w14:paraId="31F1F9C9" w14:textId="77777777" w:rsidR="001C08A5" w:rsidRDefault="00000000">
            <w:pPr>
              <w:jc w:val="center"/>
              <w:rPr>
                <w:b/>
                <w:i/>
                <w:iCs/>
                <w:sz w:val="22"/>
                <w:szCs w:val="22"/>
              </w:rPr>
            </w:pPr>
            <w:r>
              <w:rPr>
                <w:b/>
                <w:i/>
                <w:iCs/>
                <w:sz w:val="22"/>
                <w:szCs w:val="22"/>
              </w:rPr>
              <w:t>Destinaţia / funcţiunea ariei considerată în calcul</w:t>
            </w:r>
          </w:p>
        </w:tc>
        <w:tc>
          <w:tcPr>
            <w:tcW w:w="735" w:type="dxa"/>
            <w:shd w:val="clear" w:color="auto" w:fill="BFBFBF"/>
          </w:tcPr>
          <w:p w14:paraId="2B086B16" w14:textId="77777777" w:rsidR="001C08A5" w:rsidRDefault="001C08A5">
            <w:pPr>
              <w:jc w:val="center"/>
              <w:rPr>
                <w:b/>
                <w:i/>
                <w:iCs/>
                <w:sz w:val="22"/>
                <w:szCs w:val="22"/>
              </w:rPr>
            </w:pPr>
          </w:p>
          <w:p w14:paraId="7D010760" w14:textId="77777777" w:rsidR="001C08A5" w:rsidRDefault="00000000">
            <w:pPr>
              <w:jc w:val="center"/>
              <w:rPr>
                <w:b/>
                <w:i/>
                <w:iCs/>
                <w:sz w:val="22"/>
                <w:szCs w:val="22"/>
              </w:rPr>
            </w:pPr>
            <w:r>
              <w:rPr>
                <w:b/>
                <w:i/>
                <w:iCs/>
                <w:sz w:val="22"/>
                <w:szCs w:val="22"/>
              </w:rPr>
              <w:t>Spor%</w:t>
            </w:r>
          </w:p>
          <w:p w14:paraId="2B84ECA8" w14:textId="77777777" w:rsidR="001C08A5" w:rsidRDefault="001C08A5">
            <w:pPr>
              <w:jc w:val="center"/>
              <w:rPr>
                <w:b/>
                <w:i/>
                <w:iCs/>
                <w:sz w:val="22"/>
                <w:szCs w:val="22"/>
              </w:rPr>
            </w:pPr>
          </w:p>
        </w:tc>
        <w:tc>
          <w:tcPr>
            <w:tcW w:w="1309" w:type="dxa"/>
            <w:shd w:val="clear" w:color="auto" w:fill="BFBFBF"/>
          </w:tcPr>
          <w:p w14:paraId="2577A966" w14:textId="77777777" w:rsidR="001C08A5" w:rsidRDefault="001C08A5">
            <w:pPr>
              <w:jc w:val="center"/>
              <w:rPr>
                <w:b/>
                <w:i/>
                <w:iCs/>
                <w:sz w:val="22"/>
                <w:szCs w:val="22"/>
              </w:rPr>
            </w:pPr>
          </w:p>
          <w:p w14:paraId="7AAA62A7" w14:textId="77777777" w:rsidR="001C08A5" w:rsidRDefault="00000000">
            <w:pPr>
              <w:jc w:val="center"/>
              <w:rPr>
                <w:b/>
                <w:i/>
                <w:iCs/>
                <w:sz w:val="22"/>
                <w:szCs w:val="22"/>
              </w:rPr>
            </w:pPr>
            <w:r>
              <w:rPr>
                <w:b/>
                <w:i/>
                <w:iCs/>
                <w:sz w:val="22"/>
                <w:szCs w:val="22"/>
              </w:rPr>
              <w:t>Personalul pentru care se acordă spor</w:t>
            </w:r>
          </w:p>
        </w:tc>
      </w:tr>
      <w:tr w:rsidR="001C08A5" w14:paraId="1504ECC0" w14:textId="77777777">
        <w:trPr>
          <w:gridAfter w:val="1"/>
          <w:wAfter w:w="8" w:type="dxa"/>
        </w:trPr>
        <w:tc>
          <w:tcPr>
            <w:tcW w:w="533" w:type="dxa"/>
          </w:tcPr>
          <w:p w14:paraId="5234BD17" w14:textId="77777777" w:rsidR="001C08A5" w:rsidRDefault="00000000">
            <w:pPr>
              <w:rPr>
                <w:i/>
                <w:iCs/>
                <w:sz w:val="22"/>
                <w:szCs w:val="22"/>
              </w:rPr>
            </w:pPr>
            <w:r>
              <w:rPr>
                <w:i/>
                <w:iCs/>
                <w:sz w:val="22"/>
                <w:szCs w:val="22"/>
              </w:rPr>
              <w:t>1</w:t>
            </w:r>
          </w:p>
        </w:tc>
        <w:tc>
          <w:tcPr>
            <w:tcW w:w="1702" w:type="dxa"/>
          </w:tcPr>
          <w:p w14:paraId="4C46F63E" w14:textId="77777777" w:rsidR="001C08A5" w:rsidRDefault="00000000">
            <w:pPr>
              <w:rPr>
                <w:i/>
                <w:iCs/>
                <w:sz w:val="22"/>
                <w:szCs w:val="22"/>
              </w:rPr>
            </w:pPr>
            <w:r>
              <w:rPr>
                <w:i/>
                <w:iCs/>
                <w:sz w:val="22"/>
                <w:szCs w:val="22"/>
              </w:rPr>
              <w:t>Clădiri cu tribune</w:t>
            </w:r>
          </w:p>
        </w:tc>
        <w:tc>
          <w:tcPr>
            <w:tcW w:w="1984" w:type="dxa"/>
          </w:tcPr>
          <w:p w14:paraId="59618F06" w14:textId="77777777" w:rsidR="001C08A5" w:rsidRDefault="00000000">
            <w:pPr>
              <w:rPr>
                <w:i/>
                <w:iCs/>
                <w:sz w:val="22"/>
                <w:szCs w:val="22"/>
              </w:rPr>
            </w:pPr>
            <w:r>
              <w:rPr>
                <w:i/>
                <w:iCs/>
                <w:sz w:val="22"/>
                <w:szCs w:val="22"/>
              </w:rPr>
              <w:t>Numarul simultan de persoane se poate preciza conform numărului de locuri pe scaune plus sporul de personal.</w:t>
            </w:r>
          </w:p>
        </w:tc>
        <w:tc>
          <w:tcPr>
            <w:tcW w:w="1276" w:type="dxa"/>
          </w:tcPr>
          <w:p w14:paraId="0EB8C59B" w14:textId="77777777" w:rsidR="001C08A5" w:rsidRDefault="00000000">
            <w:pPr>
              <w:rPr>
                <w:i/>
                <w:iCs/>
                <w:sz w:val="22"/>
                <w:szCs w:val="22"/>
              </w:rPr>
            </w:pPr>
            <w:r>
              <w:rPr>
                <w:i/>
                <w:iCs/>
                <w:sz w:val="22"/>
                <w:szCs w:val="22"/>
              </w:rPr>
              <w:t xml:space="preserve">La orice </w:t>
            </w:r>
          </w:p>
          <w:p w14:paraId="6181786A" w14:textId="77777777" w:rsidR="001C08A5" w:rsidRDefault="00000000">
            <w:pPr>
              <w:rPr>
                <w:i/>
                <w:iCs/>
                <w:sz w:val="22"/>
                <w:szCs w:val="22"/>
              </w:rPr>
            </w:pPr>
            <w:r>
              <w:rPr>
                <w:i/>
                <w:iCs/>
                <w:sz w:val="22"/>
                <w:szCs w:val="22"/>
              </w:rPr>
              <w:t>nivel al construcţiei</w:t>
            </w:r>
          </w:p>
        </w:tc>
        <w:tc>
          <w:tcPr>
            <w:tcW w:w="879" w:type="dxa"/>
            <w:vAlign w:val="center"/>
          </w:tcPr>
          <w:p w14:paraId="3EF561AF" w14:textId="77777777" w:rsidR="001C08A5" w:rsidRDefault="00000000">
            <w:pPr>
              <w:jc w:val="center"/>
              <w:rPr>
                <w:b/>
                <w:i/>
                <w:iCs/>
                <w:sz w:val="22"/>
                <w:szCs w:val="22"/>
              </w:rPr>
            </w:pPr>
            <w:r>
              <w:rPr>
                <w:b/>
                <w:i/>
                <w:iCs/>
                <w:sz w:val="22"/>
                <w:szCs w:val="22"/>
              </w:rPr>
              <w:t>(conf. obs.)</w:t>
            </w:r>
          </w:p>
        </w:tc>
        <w:tc>
          <w:tcPr>
            <w:tcW w:w="1358" w:type="dxa"/>
          </w:tcPr>
          <w:p w14:paraId="66B154FB" w14:textId="77777777" w:rsidR="001C08A5" w:rsidRDefault="001C08A5">
            <w:pPr>
              <w:rPr>
                <w:i/>
                <w:iCs/>
                <w:sz w:val="22"/>
                <w:szCs w:val="22"/>
              </w:rPr>
            </w:pPr>
          </w:p>
          <w:p w14:paraId="3C161C4B" w14:textId="77777777" w:rsidR="001C08A5" w:rsidRDefault="00000000">
            <w:pPr>
              <w:rPr>
                <w:i/>
                <w:iCs/>
                <w:sz w:val="22"/>
                <w:szCs w:val="22"/>
              </w:rPr>
            </w:pPr>
            <w:r>
              <w:rPr>
                <w:i/>
                <w:iCs/>
                <w:sz w:val="22"/>
                <w:szCs w:val="22"/>
              </w:rPr>
              <w:t>Săli de sport</w:t>
            </w:r>
          </w:p>
        </w:tc>
        <w:tc>
          <w:tcPr>
            <w:tcW w:w="735" w:type="dxa"/>
            <w:vAlign w:val="center"/>
          </w:tcPr>
          <w:p w14:paraId="37482D6F" w14:textId="77777777" w:rsidR="001C08A5" w:rsidRDefault="00000000">
            <w:pPr>
              <w:jc w:val="center"/>
              <w:rPr>
                <w:i/>
                <w:iCs/>
                <w:sz w:val="22"/>
                <w:szCs w:val="22"/>
              </w:rPr>
            </w:pPr>
            <w:r>
              <w:rPr>
                <w:b/>
                <w:bCs/>
                <w:i/>
                <w:iCs/>
                <w:sz w:val="22"/>
                <w:szCs w:val="22"/>
              </w:rPr>
              <w:t>5</w:t>
            </w:r>
          </w:p>
        </w:tc>
        <w:tc>
          <w:tcPr>
            <w:tcW w:w="1309" w:type="dxa"/>
          </w:tcPr>
          <w:p w14:paraId="6703BA0A" w14:textId="77777777" w:rsidR="001C08A5" w:rsidRDefault="00000000">
            <w:pPr>
              <w:rPr>
                <w:i/>
                <w:iCs/>
                <w:sz w:val="22"/>
                <w:szCs w:val="22"/>
              </w:rPr>
            </w:pPr>
            <w:r>
              <w:rPr>
                <w:i/>
                <w:iCs/>
                <w:sz w:val="22"/>
                <w:szCs w:val="22"/>
              </w:rPr>
              <w:t>Personal de deservire / securitate / vânzare / suprave-ghere.</w:t>
            </w:r>
          </w:p>
        </w:tc>
      </w:tr>
      <w:tr w:rsidR="001C08A5" w14:paraId="386A487F" w14:textId="77777777">
        <w:tc>
          <w:tcPr>
            <w:tcW w:w="533" w:type="dxa"/>
          </w:tcPr>
          <w:p w14:paraId="78FB306D" w14:textId="77777777" w:rsidR="001C08A5" w:rsidRDefault="00000000">
            <w:pPr>
              <w:rPr>
                <w:i/>
                <w:iCs/>
                <w:sz w:val="22"/>
                <w:szCs w:val="22"/>
              </w:rPr>
            </w:pPr>
            <w:r>
              <w:rPr>
                <w:i/>
                <w:iCs/>
                <w:sz w:val="22"/>
                <w:szCs w:val="22"/>
              </w:rPr>
              <w:lastRenderedPageBreak/>
              <w:t>2</w:t>
            </w:r>
          </w:p>
        </w:tc>
        <w:tc>
          <w:tcPr>
            <w:tcW w:w="1702" w:type="dxa"/>
          </w:tcPr>
          <w:p w14:paraId="577DCC05" w14:textId="77777777" w:rsidR="001C08A5" w:rsidRDefault="00000000">
            <w:pPr>
              <w:rPr>
                <w:i/>
                <w:iCs/>
                <w:sz w:val="22"/>
                <w:szCs w:val="22"/>
              </w:rPr>
            </w:pPr>
            <w:r>
              <w:rPr>
                <w:i/>
                <w:iCs/>
                <w:sz w:val="22"/>
                <w:szCs w:val="22"/>
              </w:rPr>
              <w:t xml:space="preserve">Încăperi cu diverse funcţiuni / destinaţii </w:t>
            </w:r>
          </w:p>
        </w:tc>
        <w:tc>
          <w:tcPr>
            <w:tcW w:w="7549" w:type="dxa"/>
            <w:gridSpan w:val="7"/>
          </w:tcPr>
          <w:p w14:paraId="1008B090"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606C1537" w14:textId="77777777" w:rsidR="001C08A5" w:rsidRDefault="00000000">
      <w:pPr>
        <w:jc w:val="both"/>
        <w:rPr>
          <w:i/>
          <w:sz w:val="22"/>
          <w:szCs w:val="22"/>
        </w:rPr>
      </w:pPr>
      <w:r>
        <w:rPr>
          <w:i/>
          <w:sz w:val="22"/>
          <w:szCs w:val="22"/>
          <w:u w:val="single"/>
        </w:rPr>
        <w:t>Note</w:t>
      </w:r>
      <w:r>
        <w:rPr>
          <w:i/>
          <w:sz w:val="22"/>
          <w:szCs w:val="22"/>
        </w:rPr>
        <w:t>:</w:t>
      </w:r>
    </w:p>
    <w:p w14:paraId="2D76BA18" w14:textId="77777777" w:rsidR="001C08A5" w:rsidRDefault="00000000">
      <w:pPr>
        <w:jc w:val="both"/>
        <w:rPr>
          <w:i/>
          <w:sz w:val="22"/>
          <w:szCs w:val="22"/>
        </w:rPr>
      </w:pPr>
      <w:r>
        <w:rPr>
          <w:i/>
          <w:sz w:val="22"/>
          <w:szCs w:val="22"/>
        </w:rPr>
        <w:t>Pentru sălile de sport se va lua în considerare suprafața din afara zonei de joc. Numărul de persoane determinat conform tabelului se va cumula cu numărul de jucători și de arbitri potrivit sportului practicat.</w:t>
      </w:r>
    </w:p>
    <w:p w14:paraId="3ECDFFC3" w14:textId="77777777" w:rsidR="001C08A5" w:rsidRDefault="00000000">
      <w:pPr>
        <w:jc w:val="both"/>
        <w:rPr>
          <w:i/>
          <w:sz w:val="22"/>
          <w:szCs w:val="22"/>
        </w:rPr>
      </w:pPr>
      <w:r>
        <w:rPr>
          <w:i/>
          <w:sz w:val="22"/>
          <w:szCs w:val="22"/>
        </w:rPr>
        <w:t>Numărul de persoane poate fi determinat și prin mobilarea propusă, dar valorile din tabel sunt minimale și obligatorii.</w:t>
      </w:r>
    </w:p>
    <w:p w14:paraId="7FD9BBE5" w14:textId="77777777" w:rsidR="001C08A5" w:rsidRDefault="001C08A5">
      <w:pPr>
        <w:rPr>
          <w:b/>
          <w:sz w:val="24"/>
          <w:szCs w:val="24"/>
        </w:rPr>
      </w:pPr>
    </w:p>
    <w:p w14:paraId="5F0A3B26" w14:textId="77777777" w:rsidR="001C08A5" w:rsidRDefault="00000000">
      <w:pPr>
        <w:pStyle w:val="Captiontabel"/>
      </w:pPr>
      <w:bookmarkStart w:id="2490" w:name="_Toc162360085"/>
      <w:r>
        <w:t xml:space="preserve">Tabelul </w:t>
      </w:r>
      <w:r>
        <w:fldChar w:fldCharType="begin"/>
      </w:r>
      <w:r>
        <w:instrText xml:space="preserve"> SEQ Tabelul \* ARABIC </w:instrText>
      </w:r>
      <w:r>
        <w:fldChar w:fldCharType="separate"/>
      </w:r>
      <w:r>
        <w:t>35</w:t>
      </w:r>
      <w:r>
        <w:fldChar w:fldCharType="end"/>
      </w:r>
      <w:bookmarkStart w:id="2491" w:name="_Toc14054"/>
      <w:bookmarkStart w:id="2492" w:name="_Toc21436"/>
      <w:bookmarkStart w:id="2493" w:name="_Toc15839"/>
      <w:bookmarkStart w:id="2494" w:name="_Toc12087"/>
      <w:bookmarkStart w:id="2495" w:name="_Toc1220"/>
      <w:bookmarkStart w:id="2496" w:name="_Toc31104"/>
      <w:bookmarkStart w:id="2497" w:name="_Toc13021"/>
      <w:bookmarkStart w:id="2498" w:name="_Toc14316"/>
      <w:bookmarkStart w:id="2499" w:name="_Toc5193"/>
      <w:bookmarkStart w:id="2500" w:name="_Toc21728"/>
      <w:bookmarkStart w:id="2501" w:name="_Toc12258"/>
      <w:bookmarkStart w:id="2502" w:name="_Toc23138"/>
      <w:bookmarkStart w:id="2503" w:name="_Toc13231"/>
      <w:bookmarkStart w:id="2504" w:name="_Toc21991"/>
      <w:bookmarkStart w:id="2505" w:name="_Toc31468"/>
      <w:bookmarkStart w:id="2506" w:name="_Toc16355"/>
      <w:bookmarkStart w:id="2507" w:name="_Toc25189"/>
      <w:bookmarkStart w:id="2508" w:name="_Toc2000"/>
      <w:bookmarkStart w:id="2509" w:name="_Toc22986"/>
      <w:r>
        <w:t>: Număr minim simultan de persoane din construcţii civile supraterane cu înălţimi obişnuite, montane sau din Delta Dunării, amplasate izolat</w:t>
      </w:r>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p>
    <w:p w14:paraId="268BFD7E" w14:textId="77777777" w:rsidR="001C08A5" w:rsidRDefault="001C08A5">
      <w:pPr>
        <w:rPr>
          <w:bCs/>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701"/>
        <w:gridCol w:w="1922"/>
        <w:gridCol w:w="1338"/>
        <w:gridCol w:w="709"/>
        <w:gridCol w:w="1358"/>
        <w:gridCol w:w="735"/>
        <w:gridCol w:w="1309"/>
      </w:tblGrid>
      <w:tr w:rsidR="001C08A5" w14:paraId="13511851" w14:textId="77777777">
        <w:trPr>
          <w:tblHeader/>
        </w:trPr>
        <w:tc>
          <w:tcPr>
            <w:tcW w:w="534" w:type="dxa"/>
            <w:shd w:val="clear" w:color="auto" w:fill="BFBFBF"/>
          </w:tcPr>
          <w:p w14:paraId="638898B2" w14:textId="77777777" w:rsidR="001C08A5" w:rsidRDefault="001C08A5">
            <w:pPr>
              <w:jc w:val="center"/>
              <w:rPr>
                <w:b/>
                <w:i/>
                <w:iCs/>
                <w:sz w:val="22"/>
                <w:szCs w:val="22"/>
              </w:rPr>
            </w:pPr>
          </w:p>
          <w:p w14:paraId="0A56E146" w14:textId="77777777" w:rsidR="001C08A5" w:rsidRDefault="00000000">
            <w:pPr>
              <w:jc w:val="center"/>
              <w:rPr>
                <w:b/>
                <w:i/>
                <w:iCs/>
                <w:sz w:val="22"/>
                <w:szCs w:val="22"/>
              </w:rPr>
            </w:pPr>
            <w:r>
              <w:rPr>
                <w:b/>
                <w:i/>
                <w:iCs/>
                <w:sz w:val="22"/>
                <w:szCs w:val="22"/>
              </w:rPr>
              <w:t>Nr.</w:t>
            </w:r>
          </w:p>
          <w:p w14:paraId="420CF087" w14:textId="77777777" w:rsidR="001C08A5" w:rsidRDefault="00000000">
            <w:pPr>
              <w:jc w:val="center"/>
              <w:rPr>
                <w:i/>
                <w:iCs/>
                <w:sz w:val="22"/>
                <w:szCs w:val="22"/>
              </w:rPr>
            </w:pPr>
            <w:r>
              <w:rPr>
                <w:b/>
                <w:i/>
                <w:iCs/>
                <w:sz w:val="22"/>
                <w:szCs w:val="22"/>
              </w:rPr>
              <w:t>crt.</w:t>
            </w:r>
          </w:p>
        </w:tc>
        <w:tc>
          <w:tcPr>
            <w:tcW w:w="1701" w:type="dxa"/>
            <w:shd w:val="clear" w:color="auto" w:fill="BFBFBF"/>
          </w:tcPr>
          <w:p w14:paraId="05744A6E" w14:textId="77777777" w:rsidR="001C08A5" w:rsidRDefault="001C08A5">
            <w:pPr>
              <w:jc w:val="center"/>
              <w:rPr>
                <w:b/>
                <w:i/>
                <w:iCs/>
                <w:sz w:val="22"/>
                <w:szCs w:val="22"/>
              </w:rPr>
            </w:pPr>
          </w:p>
          <w:p w14:paraId="59581A34" w14:textId="77777777" w:rsidR="001C08A5" w:rsidRDefault="00000000">
            <w:pPr>
              <w:jc w:val="center"/>
              <w:rPr>
                <w:i/>
                <w:iCs/>
                <w:sz w:val="22"/>
                <w:szCs w:val="22"/>
              </w:rPr>
            </w:pPr>
            <w:r>
              <w:rPr>
                <w:b/>
                <w:i/>
                <w:iCs/>
                <w:sz w:val="22"/>
                <w:szCs w:val="22"/>
              </w:rPr>
              <w:t>Destinaţie / funcţiune</w:t>
            </w:r>
          </w:p>
        </w:tc>
        <w:tc>
          <w:tcPr>
            <w:tcW w:w="1922" w:type="dxa"/>
            <w:shd w:val="clear" w:color="auto" w:fill="BFBFBF"/>
          </w:tcPr>
          <w:p w14:paraId="23F2183B" w14:textId="77777777" w:rsidR="001C08A5" w:rsidRDefault="001C08A5">
            <w:pPr>
              <w:jc w:val="center"/>
              <w:rPr>
                <w:b/>
                <w:i/>
                <w:iCs/>
                <w:sz w:val="22"/>
                <w:szCs w:val="22"/>
              </w:rPr>
            </w:pPr>
          </w:p>
          <w:p w14:paraId="19985306" w14:textId="77777777" w:rsidR="001C08A5" w:rsidRDefault="00000000">
            <w:pPr>
              <w:jc w:val="center"/>
              <w:rPr>
                <w:b/>
                <w:i/>
                <w:iCs/>
                <w:sz w:val="22"/>
                <w:szCs w:val="22"/>
              </w:rPr>
            </w:pPr>
            <w:r>
              <w:rPr>
                <w:b/>
                <w:i/>
                <w:iCs/>
                <w:sz w:val="22"/>
                <w:szCs w:val="22"/>
              </w:rPr>
              <w:t>Observaţii</w:t>
            </w:r>
          </w:p>
        </w:tc>
        <w:tc>
          <w:tcPr>
            <w:tcW w:w="1338" w:type="dxa"/>
            <w:shd w:val="clear" w:color="auto" w:fill="BFBFBF"/>
          </w:tcPr>
          <w:p w14:paraId="03B5BA84" w14:textId="77777777" w:rsidR="001C08A5" w:rsidRDefault="001C08A5">
            <w:pPr>
              <w:jc w:val="center"/>
              <w:rPr>
                <w:b/>
                <w:i/>
                <w:iCs/>
                <w:sz w:val="22"/>
                <w:szCs w:val="22"/>
              </w:rPr>
            </w:pPr>
          </w:p>
          <w:p w14:paraId="6DC1094E" w14:textId="77777777" w:rsidR="001C08A5" w:rsidRDefault="00000000">
            <w:pPr>
              <w:jc w:val="center"/>
              <w:rPr>
                <w:i/>
                <w:iCs/>
                <w:sz w:val="22"/>
                <w:szCs w:val="22"/>
              </w:rPr>
            </w:pPr>
            <w:r>
              <w:rPr>
                <w:b/>
                <w:i/>
                <w:iCs/>
                <w:sz w:val="22"/>
                <w:szCs w:val="22"/>
              </w:rPr>
              <w:t>Nivel de referinţă</w:t>
            </w:r>
          </w:p>
        </w:tc>
        <w:tc>
          <w:tcPr>
            <w:tcW w:w="709" w:type="dxa"/>
            <w:shd w:val="clear" w:color="auto" w:fill="BFBFBF"/>
          </w:tcPr>
          <w:p w14:paraId="218EEDBF" w14:textId="77777777" w:rsidR="001C08A5" w:rsidRDefault="001C08A5">
            <w:pPr>
              <w:jc w:val="center"/>
              <w:rPr>
                <w:b/>
                <w:i/>
                <w:iCs/>
                <w:sz w:val="22"/>
                <w:szCs w:val="22"/>
              </w:rPr>
            </w:pPr>
          </w:p>
          <w:p w14:paraId="03438E55" w14:textId="77777777" w:rsidR="001C08A5" w:rsidRDefault="00000000">
            <w:pPr>
              <w:jc w:val="center"/>
              <w:rPr>
                <w:b/>
                <w:i/>
                <w:iCs/>
                <w:sz w:val="22"/>
                <w:szCs w:val="22"/>
              </w:rPr>
            </w:pPr>
            <w:r>
              <w:rPr>
                <w:b/>
                <w:i/>
                <w:iCs/>
                <w:sz w:val="22"/>
                <w:szCs w:val="22"/>
              </w:rPr>
              <w:t>Arie (m</w:t>
            </w:r>
            <w:r>
              <w:rPr>
                <w:b/>
                <w:i/>
                <w:iCs/>
                <w:sz w:val="22"/>
                <w:szCs w:val="22"/>
                <w:vertAlign w:val="superscript"/>
              </w:rPr>
              <w:t>2</w:t>
            </w:r>
            <w:r>
              <w:rPr>
                <w:b/>
                <w:i/>
                <w:iCs/>
                <w:sz w:val="22"/>
                <w:szCs w:val="22"/>
              </w:rPr>
              <w:t>)/ pers.</w:t>
            </w:r>
          </w:p>
        </w:tc>
        <w:tc>
          <w:tcPr>
            <w:tcW w:w="1358" w:type="dxa"/>
            <w:shd w:val="clear" w:color="auto" w:fill="BFBFBF"/>
          </w:tcPr>
          <w:p w14:paraId="51B81377" w14:textId="77777777" w:rsidR="001C08A5" w:rsidRDefault="00000000">
            <w:pPr>
              <w:jc w:val="center"/>
              <w:rPr>
                <w:b/>
                <w:i/>
                <w:iCs/>
                <w:sz w:val="22"/>
                <w:szCs w:val="22"/>
              </w:rPr>
            </w:pPr>
            <w:r>
              <w:rPr>
                <w:b/>
                <w:i/>
                <w:iCs/>
                <w:sz w:val="22"/>
                <w:szCs w:val="22"/>
              </w:rPr>
              <w:t>Destinaţia / funcţiunea ariei considerată în calcul</w:t>
            </w:r>
          </w:p>
        </w:tc>
        <w:tc>
          <w:tcPr>
            <w:tcW w:w="735" w:type="dxa"/>
            <w:shd w:val="clear" w:color="auto" w:fill="BFBFBF"/>
          </w:tcPr>
          <w:p w14:paraId="1DCFAC1A" w14:textId="77777777" w:rsidR="001C08A5" w:rsidRDefault="001C08A5">
            <w:pPr>
              <w:jc w:val="center"/>
              <w:rPr>
                <w:b/>
                <w:i/>
                <w:iCs/>
                <w:sz w:val="22"/>
                <w:szCs w:val="22"/>
              </w:rPr>
            </w:pPr>
          </w:p>
          <w:p w14:paraId="430A3331" w14:textId="77777777" w:rsidR="001C08A5" w:rsidRDefault="00000000">
            <w:pPr>
              <w:jc w:val="center"/>
              <w:rPr>
                <w:b/>
                <w:i/>
                <w:iCs/>
                <w:sz w:val="22"/>
                <w:szCs w:val="22"/>
              </w:rPr>
            </w:pPr>
            <w:r>
              <w:rPr>
                <w:b/>
                <w:i/>
                <w:iCs/>
                <w:sz w:val="22"/>
                <w:szCs w:val="22"/>
              </w:rPr>
              <w:t>Spor%</w:t>
            </w:r>
          </w:p>
          <w:p w14:paraId="795ABF28" w14:textId="77777777" w:rsidR="001C08A5" w:rsidRDefault="001C08A5">
            <w:pPr>
              <w:jc w:val="center"/>
              <w:rPr>
                <w:b/>
                <w:i/>
                <w:iCs/>
                <w:sz w:val="22"/>
                <w:szCs w:val="22"/>
              </w:rPr>
            </w:pPr>
          </w:p>
        </w:tc>
        <w:tc>
          <w:tcPr>
            <w:tcW w:w="1309" w:type="dxa"/>
            <w:shd w:val="clear" w:color="auto" w:fill="BFBFBF"/>
          </w:tcPr>
          <w:p w14:paraId="29645200" w14:textId="77777777" w:rsidR="001C08A5" w:rsidRDefault="001C08A5">
            <w:pPr>
              <w:jc w:val="center"/>
              <w:rPr>
                <w:b/>
                <w:i/>
                <w:iCs/>
                <w:sz w:val="22"/>
                <w:szCs w:val="22"/>
              </w:rPr>
            </w:pPr>
          </w:p>
          <w:p w14:paraId="08AA9635" w14:textId="77777777" w:rsidR="001C08A5" w:rsidRDefault="00000000">
            <w:pPr>
              <w:jc w:val="center"/>
              <w:rPr>
                <w:b/>
                <w:i/>
                <w:iCs/>
                <w:sz w:val="22"/>
                <w:szCs w:val="22"/>
              </w:rPr>
            </w:pPr>
            <w:r>
              <w:rPr>
                <w:b/>
                <w:i/>
                <w:iCs/>
                <w:sz w:val="22"/>
                <w:szCs w:val="22"/>
              </w:rPr>
              <w:t>Personalul pentru care se acordă spor</w:t>
            </w:r>
          </w:p>
        </w:tc>
      </w:tr>
      <w:tr w:rsidR="001C08A5" w14:paraId="5008B6AE" w14:textId="77777777">
        <w:tc>
          <w:tcPr>
            <w:tcW w:w="534" w:type="dxa"/>
          </w:tcPr>
          <w:p w14:paraId="291EA395" w14:textId="77777777" w:rsidR="001C08A5" w:rsidRDefault="00000000">
            <w:pPr>
              <w:rPr>
                <w:i/>
                <w:iCs/>
                <w:sz w:val="22"/>
                <w:szCs w:val="22"/>
              </w:rPr>
            </w:pPr>
            <w:r>
              <w:rPr>
                <w:i/>
                <w:iCs/>
                <w:sz w:val="22"/>
                <w:szCs w:val="22"/>
              </w:rPr>
              <w:t>1</w:t>
            </w:r>
          </w:p>
        </w:tc>
        <w:tc>
          <w:tcPr>
            <w:tcW w:w="1701" w:type="dxa"/>
          </w:tcPr>
          <w:p w14:paraId="177661E6" w14:textId="77777777" w:rsidR="001C08A5" w:rsidRDefault="00000000">
            <w:pPr>
              <w:rPr>
                <w:i/>
                <w:iCs/>
                <w:sz w:val="22"/>
                <w:szCs w:val="22"/>
              </w:rPr>
            </w:pPr>
            <w:r>
              <w:rPr>
                <w:i/>
                <w:iCs/>
                <w:sz w:val="22"/>
                <w:szCs w:val="22"/>
              </w:rPr>
              <w:t>Cabane, refugii, hoteluri, moteluri, pensiuni, sanatorii etc.</w:t>
            </w:r>
          </w:p>
        </w:tc>
        <w:tc>
          <w:tcPr>
            <w:tcW w:w="1922" w:type="dxa"/>
          </w:tcPr>
          <w:p w14:paraId="33967512" w14:textId="77777777" w:rsidR="001C08A5" w:rsidRDefault="00000000">
            <w:pPr>
              <w:rPr>
                <w:i/>
                <w:iCs/>
                <w:sz w:val="22"/>
                <w:szCs w:val="22"/>
              </w:rPr>
            </w:pPr>
            <w:r>
              <w:rPr>
                <w:i/>
                <w:iCs/>
                <w:sz w:val="22"/>
                <w:szCs w:val="22"/>
              </w:rPr>
              <w:t xml:space="preserve">Numărul simultan de persoane se poate preciza conform numărului de locuri de cazare plus sporul de personal. </w:t>
            </w:r>
          </w:p>
        </w:tc>
        <w:tc>
          <w:tcPr>
            <w:tcW w:w="1338" w:type="dxa"/>
            <w:vAlign w:val="center"/>
          </w:tcPr>
          <w:p w14:paraId="2E15F614" w14:textId="77777777" w:rsidR="001C08A5" w:rsidRDefault="00000000">
            <w:pPr>
              <w:jc w:val="both"/>
              <w:rPr>
                <w:i/>
                <w:iCs/>
                <w:sz w:val="22"/>
                <w:szCs w:val="22"/>
              </w:rPr>
            </w:pPr>
            <w:r>
              <w:rPr>
                <w:i/>
                <w:iCs/>
                <w:sz w:val="22"/>
                <w:szCs w:val="22"/>
              </w:rPr>
              <w:t xml:space="preserve">La orice </w:t>
            </w:r>
          </w:p>
          <w:p w14:paraId="1B8E1C22" w14:textId="77777777" w:rsidR="001C08A5" w:rsidRDefault="00000000">
            <w:pPr>
              <w:jc w:val="both"/>
              <w:rPr>
                <w:i/>
                <w:iCs/>
                <w:sz w:val="22"/>
                <w:szCs w:val="22"/>
              </w:rPr>
            </w:pPr>
            <w:r>
              <w:rPr>
                <w:i/>
                <w:iCs/>
                <w:sz w:val="22"/>
                <w:szCs w:val="22"/>
              </w:rPr>
              <w:t>nivel al construcţiei</w:t>
            </w:r>
          </w:p>
        </w:tc>
        <w:tc>
          <w:tcPr>
            <w:tcW w:w="709" w:type="dxa"/>
            <w:vAlign w:val="center"/>
          </w:tcPr>
          <w:p w14:paraId="35DA070A" w14:textId="77777777" w:rsidR="001C08A5" w:rsidRDefault="00000000">
            <w:pPr>
              <w:jc w:val="both"/>
              <w:rPr>
                <w:b/>
                <w:i/>
                <w:iCs/>
                <w:sz w:val="22"/>
                <w:szCs w:val="22"/>
              </w:rPr>
            </w:pPr>
            <w:r>
              <w:rPr>
                <w:b/>
                <w:i/>
                <w:iCs/>
                <w:sz w:val="22"/>
                <w:szCs w:val="22"/>
              </w:rPr>
              <w:t>Conf. obs.</w:t>
            </w:r>
          </w:p>
        </w:tc>
        <w:tc>
          <w:tcPr>
            <w:tcW w:w="1358" w:type="dxa"/>
            <w:vAlign w:val="center"/>
          </w:tcPr>
          <w:p w14:paraId="084CD770" w14:textId="77777777" w:rsidR="001C08A5" w:rsidRDefault="00000000">
            <w:pPr>
              <w:jc w:val="both"/>
              <w:rPr>
                <w:i/>
                <w:iCs/>
                <w:sz w:val="22"/>
                <w:szCs w:val="22"/>
              </w:rPr>
            </w:pPr>
            <w:r>
              <w:rPr>
                <w:i/>
                <w:iCs/>
                <w:sz w:val="22"/>
                <w:szCs w:val="22"/>
              </w:rPr>
              <w:t>Arii accesibile publicului</w:t>
            </w:r>
          </w:p>
        </w:tc>
        <w:tc>
          <w:tcPr>
            <w:tcW w:w="735" w:type="dxa"/>
            <w:vAlign w:val="center"/>
          </w:tcPr>
          <w:p w14:paraId="06F19E23" w14:textId="77777777" w:rsidR="001C08A5" w:rsidRDefault="00000000">
            <w:pPr>
              <w:jc w:val="both"/>
              <w:rPr>
                <w:i/>
                <w:iCs/>
                <w:sz w:val="22"/>
                <w:szCs w:val="22"/>
              </w:rPr>
            </w:pPr>
            <w:r>
              <w:rPr>
                <w:i/>
                <w:iCs/>
                <w:sz w:val="22"/>
                <w:szCs w:val="22"/>
              </w:rPr>
              <w:t>Conf. înca-drare</w:t>
            </w:r>
          </w:p>
        </w:tc>
        <w:tc>
          <w:tcPr>
            <w:tcW w:w="1309" w:type="dxa"/>
            <w:vAlign w:val="center"/>
          </w:tcPr>
          <w:p w14:paraId="7E4C4BE6" w14:textId="77777777" w:rsidR="001C08A5" w:rsidRDefault="00000000">
            <w:pPr>
              <w:jc w:val="both"/>
              <w:rPr>
                <w:i/>
                <w:iCs/>
                <w:sz w:val="22"/>
                <w:szCs w:val="22"/>
              </w:rPr>
            </w:pPr>
            <w:r>
              <w:rPr>
                <w:i/>
                <w:iCs/>
                <w:sz w:val="22"/>
                <w:szCs w:val="22"/>
              </w:rPr>
              <w:t>Conform încadrare</w:t>
            </w:r>
          </w:p>
        </w:tc>
      </w:tr>
      <w:tr w:rsidR="001C08A5" w14:paraId="623719DB" w14:textId="77777777">
        <w:tc>
          <w:tcPr>
            <w:tcW w:w="534" w:type="dxa"/>
          </w:tcPr>
          <w:p w14:paraId="7955226D" w14:textId="77777777" w:rsidR="001C08A5" w:rsidRDefault="00000000">
            <w:pPr>
              <w:rPr>
                <w:i/>
                <w:iCs/>
                <w:sz w:val="22"/>
                <w:szCs w:val="22"/>
              </w:rPr>
            </w:pPr>
            <w:r>
              <w:rPr>
                <w:i/>
                <w:iCs/>
                <w:sz w:val="22"/>
                <w:szCs w:val="22"/>
              </w:rPr>
              <w:t>2</w:t>
            </w:r>
          </w:p>
        </w:tc>
        <w:tc>
          <w:tcPr>
            <w:tcW w:w="1701" w:type="dxa"/>
          </w:tcPr>
          <w:p w14:paraId="52169B0B" w14:textId="77777777" w:rsidR="001C08A5" w:rsidRDefault="00000000">
            <w:pPr>
              <w:rPr>
                <w:i/>
                <w:iCs/>
                <w:sz w:val="22"/>
                <w:szCs w:val="22"/>
              </w:rPr>
            </w:pPr>
            <w:r>
              <w:rPr>
                <w:i/>
                <w:iCs/>
                <w:sz w:val="22"/>
                <w:szCs w:val="22"/>
              </w:rPr>
              <w:t xml:space="preserve">Încăperi cu diverse funcţiuni / destinaţii </w:t>
            </w:r>
          </w:p>
        </w:tc>
        <w:tc>
          <w:tcPr>
            <w:tcW w:w="7371" w:type="dxa"/>
            <w:gridSpan w:val="6"/>
          </w:tcPr>
          <w:p w14:paraId="4846E11E" w14:textId="77777777" w:rsidR="001C08A5" w:rsidRDefault="00000000">
            <w:pPr>
              <w:jc w:val="center"/>
              <w:rPr>
                <w:i/>
                <w:iCs/>
                <w:sz w:val="22"/>
                <w:szCs w:val="22"/>
              </w:rPr>
            </w:pPr>
            <w:r>
              <w:rPr>
                <w:i/>
                <w:iCs/>
                <w:sz w:val="22"/>
                <w:szCs w:val="22"/>
              </w:rPr>
              <w:t>Conform încadrării în spaţii pentru comerţ, administrative, de artă / cultură, sănătate, învăţământ, turism, sport etc.Conform încadrare „Încăperi specifice mai multor funcţiuni / destinaţii de clădiri civile”, destinaţii / funcţiuni din diferitele clădiri sau prin asimilare cu cele existente.</w:t>
            </w:r>
          </w:p>
        </w:tc>
      </w:tr>
    </w:tbl>
    <w:p w14:paraId="76E7DE37" w14:textId="77777777" w:rsidR="001C08A5" w:rsidRDefault="001C08A5">
      <w:pPr>
        <w:rPr>
          <w:b/>
          <w:sz w:val="24"/>
          <w:szCs w:val="24"/>
        </w:rPr>
      </w:pPr>
    </w:p>
    <w:p w14:paraId="3844E741" w14:textId="77777777" w:rsidR="001C08A5" w:rsidRDefault="00000000">
      <w:pPr>
        <w:pStyle w:val="Captiontabel"/>
      </w:pPr>
      <w:bookmarkStart w:id="2510" w:name="_Toc162360086"/>
      <w:r>
        <w:t xml:space="preserve">Tabelul </w:t>
      </w:r>
      <w:r>
        <w:fldChar w:fldCharType="begin"/>
      </w:r>
      <w:r>
        <w:instrText xml:space="preserve"> SEQ Tabelul \* ARABIC </w:instrText>
      </w:r>
      <w:r>
        <w:fldChar w:fldCharType="separate"/>
      </w:r>
      <w:r>
        <w:t>36</w:t>
      </w:r>
      <w:r>
        <w:fldChar w:fldCharType="end"/>
      </w:r>
      <w:bookmarkStart w:id="2511" w:name="_Toc3058"/>
      <w:bookmarkStart w:id="2512" w:name="_Toc27989"/>
      <w:bookmarkStart w:id="2513" w:name="_Toc26646"/>
      <w:bookmarkStart w:id="2514" w:name="_Toc6807"/>
      <w:bookmarkStart w:id="2515" w:name="_Toc9827"/>
      <w:bookmarkStart w:id="2516" w:name="_Toc19343"/>
      <w:bookmarkStart w:id="2517" w:name="_Toc27982"/>
      <w:bookmarkStart w:id="2518" w:name="_Toc24027"/>
      <w:bookmarkStart w:id="2519" w:name="_Toc8958"/>
      <w:bookmarkStart w:id="2520" w:name="_Toc15894"/>
      <w:bookmarkStart w:id="2521" w:name="_Toc24325"/>
      <w:bookmarkStart w:id="2522" w:name="_Toc22338"/>
      <w:bookmarkStart w:id="2523" w:name="_Toc1479"/>
      <w:bookmarkStart w:id="2524" w:name="_Toc2327"/>
      <w:bookmarkStart w:id="2525" w:name="_Toc24011"/>
      <w:bookmarkStart w:id="2526" w:name="_Toc7623"/>
      <w:bookmarkStart w:id="2527" w:name="_Toc21646"/>
      <w:bookmarkStart w:id="2528" w:name="_Toc32522"/>
      <w:bookmarkStart w:id="2529" w:name="_Toc14364"/>
      <w:r>
        <w:t>: Număr minim simultan de persoane din parcaje pentru autoturisme</w:t>
      </w:r>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p>
    <w:p w14:paraId="46688B72" w14:textId="77777777" w:rsidR="001C08A5" w:rsidRDefault="001C08A5">
      <w:pPr>
        <w:rPr>
          <w:bCs/>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701"/>
        <w:gridCol w:w="1984"/>
        <w:gridCol w:w="1276"/>
        <w:gridCol w:w="709"/>
        <w:gridCol w:w="1134"/>
        <w:gridCol w:w="708"/>
        <w:gridCol w:w="1560"/>
      </w:tblGrid>
      <w:tr w:rsidR="001C08A5" w14:paraId="38A8FD27" w14:textId="77777777">
        <w:trPr>
          <w:tblHeader/>
        </w:trPr>
        <w:tc>
          <w:tcPr>
            <w:tcW w:w="534" w:type="dxa"/>
            <w:shd w:val="clear" w:color="auto" w:fill="BFBFBF"/>
          </w:tcPr>
          <w:p w14:paraId="33BA5E4B" w14:textId="77777777" w:rsidR="001C08A5" w:rsidRDefault="001C08A5">
            <w:pPr>
              <w:jc w:val="center"/>
              <w:rPr>
                <w:b/>
                <w:i/>
                <w:iCs/>
                <w:sz w:val="22"/>
                <w:szCs w:val="22"/>
              </w:rPr>
            </w:pPr>
          </w:p>
          <w:p w14:paraId="0FC040D6" w14:textId="77777777" w:rsidR="001C08A5" w:rsidRDefault="00000000">
            <w:pPr>
              <w:jc w:val="center"/>
              <w:rPr>
                <w:b/>
                <w:i/>
                <w:iCs/>
                <w:sz w:val="22"/>
                <w:szCs w:val="22"/>
              </w:rPr>
            </w:pPr>
            <w:r>
              <w:rPr>
                <w:b/>
                <w:i/>
                <w:iCs/>
                <w:sz w:val="22"/>
                <w:szCs w:val="22"/>
              </w:rPr>
              <w:t>Nr.</w:t>
            </w:r>
          </w:p>
          <w:p w14:paraId="5D840032" w14:textId="77777777" w:rsidR="001C08A5" w:rsidRDefault="00000000">
            <w:pPr>
              <w:jc w:val="center"/>
              <w:rPr>
                <w:i/>
                <w:iCs/>
                <w:sz w:val="22"/>
                <w:szCs w:val="22"/>
              </w:rPr>
            </w:pPr>
            <w:r>
              <w:rPr>
                <w:b/>
                <w:i/>
                <w:iCs/>
                <w:sz w:val="22"/>
                <w:szCs w:val="22"/>
              </w:rPr>
              <w:t>crt.</w:t>
            </w:r>
          </w:p>
        </w:tc>
        <w:tc>
          <w:tcPr>
            <w:tcW w:w="1701" w:type="dxa"/>
            <w:shd w:val="clear" w:color="auto" w:fill="BFBFBF"/>
          </w:tcPr>
          <w:p w14:paraId="2C086FAF" w14:textId="77777777" w:rsidR="001C08A5" w:rsidRDefault="001C08A5">
            <w:pPr>
              <w:jc w:val="center"/>
              <w:rPr>
                <w:b/>
                <w:i/>
                <w:iCs/>
                <w:sz w:val="22"/>
                <w:szCs w:val="22"/>
              </w:rPr>
            </w:pPr>
          </w:p>
          <w:p w14:paraId="5AB1472B" w14:textId="77777777" w:rsidR="001C08A5" w:rsidRDefault="00000000">
            <w:pPr>
              <w:jc w:val="center"/>
              <w:rPr>
                <w:i/>
                <w:iCs/>
                <w:sz w:val="22"/>
                <w:szCs w:val="22"/>
              </w:rPr>
            </w:pPr>
            <w:r>
              <w:rPr>
                <w:b/>
                <w:i/>
                <w:iCs/>
                <w:sz w:val="22"/>
                <w:szCs w:val="22"/>
              </w:rPr>
              <w:t>Destinaţie / funcţiune</w:t>
            </w:r>
          </w:p>
        </w:tc>
        <w:tc>
          <w:tcPr>
            <w:tcW w:w="1984" w:type="dxa"/>
            <w:shd w:val="clear" w:color="auto" w:fill="BFBFBF"/>
          </w:tcPr>
          <w:p w14:paraId="5E04181B" w14:textId="77777777" w:rsidR="001C08A5" w:rsidRDefault="001C08A5">
            <w:pPr>
              <w:jc w:val="center"/>
              <w:rPr>
                <w:b/>
                <w:i/>
                <w:iCs/>
                <w:sz w:val="22"/>
                <w:szCs w:val="22"/>
              </w:rPr>
            </w:pPr>
          </w:p>
          <w:p w14:paraId="5E1DBBB1" w14:textId="77777777" w:rsidR="001C08A5" w:rsidRDefault="00000000">
            <w:pPr>
              <w:jc w:val="center"/>
              <w:rPr>
                <w:b/>
                <w:i/>
                <w:iCs/>
                <w:sz w:val="22"/>
                <w:szCs w:val="22"/>
              </w:rPr>
            </w:pPr>
            <w:r>
              <w:rPr>
                <w:b/>
                <w:i/>
                <w:iCs/>
                <w:sz w:val="22"/>
                <w:szCs w:val="22"/>
              </w:rPr>
              <w:t>Observaţii</w:t>
            </w:r>
          </w:p>
        </w:tc>
        <w:tc>
          <w:tcPr>
            <w:tcW w:w="1276" w:type="dxa"/>
            <w:shd w:val="clear" w:color="auto" w:fill="BFBFBF"/>
          </w:tcPr>
          <w:p w14:paraId="35B6671E" w14:textId="77777777" w:rsidR="001C08A5" w:rsidRDefault="001C08A5">
            <w:pPr>
              <w:jc w:val="center"/>
              <w:rPr>
                <w:b/>
                <w:i/>
                <w:iCs/>
                <w:sz w:val="22"/>
                <w:szCs w:val="22"/>
              </w:rPr>
            </w:pPr>
          </w:p>
          <w:p w14:paraId="319EC05E" w14:textId="77777777" w:rsidR="001C08A5" w:rsidRDefault="00000000">
            <w:pPr>
              <w:jc w:val="center"/>
              <w:rPr>
                <w:i/>
                <w:iCs/>
                <w:sz w:val="22"/>
                <w:szCs w:val="22"/>
              </w:rPr>
            </w:pPr>
            <w:r>
              <w:rPr>
                <w:b/>
                <w:i/>
                <w:iCs/>
                <w:sz w:val="22"/>
                <w:szCs w:val="22"/>
              </w:rPr>
              <w:t>Nivel de referinţă</w:t>
            </w:r>
          </w:p>
        </w:tc>
        <w:tc>
          <w:tcPr>
            <w:tcW w:w="709" w:type="dxa"/>
            <w:shd w:val="clear" w:color="auto" w:fill="BFBFBF"/>
          </w:tcPr>
          <w:p w14:paraId="3246A127" w14:textId="77777777" w:rsidR="001C08A5" w:rsidRDefault="00000000">
            <w:pPr>
              <w:jc w:val="center"/>
              <w:rPr>
                <w:b/>
                <w:i/>
                <w:iCs/>
                <w:sz w:val="22"/>
                <w:szCs w:val="22"/>
              </w:rPr>
            </w:pPr>
            <w:r>
              <w:rPr>
                <w:b/>
                <w:i/>
                <w:iCs/>
                <w:sz w:val="22"/>
                <w:szCs w:val="22"/>
              </w:rPr>
              <w:t>Arie (m</w:t>
            </w:r>
            <w:r>
              <w:rPr>
                <w:b/>
                <w:i/>
                <w:iCs/>
                <w:sz w:val="22"/>
                <w:szCs w:val="22"/>
                <w:vertAlign w:val="superscript"/>
              </w:rPr>
              <w:t>2</w:t>
            </w:r>
            <w:r>
              <w:rPr>
                <w:b/>
                <w:i/>
                <w:iCs/>
                <w:sz w:val="22"/>
                <w:szCs w:val="22"/>
              </w:rPr>
              <w:t>)/ pers.</w:t>
            </w:r>
          </w:p>
        </w:tc>
        <w:tc>
          <w:tcPr>
            <w:tcW w:w="1134" w:type="dxa"/>
            <w:shd w:val="clear" w:color="auto" w:fill="BFBFBF"/>
          </w:tcPr>
          <w:p w14:paraId="5AA12830" w14:textId="77777777" w:rsidR="001C08A5" w:rsidRDefault="00000000">
            <w:pPr>
              <w:jc w:val="center"/>
              <w:rPr>
                <w:b/>
                <w:i/>
                <w:iCs/>
                <w:sz w:val="22"/>
                <w:szCs w:val="22"/>
              </w:rPr>
            </w:pPr>
            <w:r>
              <w:rPr>
                <w:b/>
                <w:i/>
                <w:iCs/>
                <w:sz w:val="22"/>
                <w:szCs w:val="22"/>
              </w:rPr>
              <w:t>Destinaţia / funcţiunea ariei considerată în calcul</w:t>
            </w:r>
          </w:p>
        </w:tc>
        <w:tc>
          <w:tcPr>
            <w:tcW w:w="708" w:type="dxa"/>
            <w:shd w:val="clear" w:color="auto" w:fill="BFBFBF"/>
          </w:tcPr>
          <w:p w14:paraId="738F9D2A" w14:textId="77777777" w:rsidR="001C08A5" w:rsidRDefault="001C08A5">
            <w:pPr>
              <w:jc w:val="center"/>
              <w:rPr>
                <w:b/>
                <w:i/>
                <w:iCs/>
                <w:sz w:val="22"/>
                <w:szCs w:val="22"/>
              </w:rPr>
            </w:pPr>
          </w:p>
          <w:p w14:paraId="678D4B64" w14:textId="77777777" w:rsidR="001C08A5" w:rsidRDefault="00000000">
            <w:pPr>
              <w:jc w:val="center"/>
              <w:rPr>
                <w:b/>
                <w:i/>
                <w:iCs/>
                <w:sz w:val="22"/>
                <w:szCs w:val="22"/>
              </w:rPr>
            </w:pPr>
            <w:r>
              <w:rPr>
                <w:b/>
                <w:i/>
                <w:iCs/>
                <w:sz w:val="22"/>
                <w:szCs w:val="22"/>
              </w:rPr>
              <w:t>Spor%</w:t>
            </w:r>
          </w:p>
          <w:p w14:paraId="32923457" w14:textId="77777777" w:rsidR="001C08A5" w:rsidRDefault="001C08A5">
            <w:pPr>
              <w:jc w:val="center"/>
              <w:rPr>
                <w:b/>
                <w:i/>
                <w:iCs/>
                <w:sz w:val="22"/>
                <w:szCs w:val="22"/>
              </w:rPr>
            </w:pPr>
          </w:p>
        </w:tc>
        <w:tc>
          <w:tcPr>
            <w:tcW w:w="1560" w:type="dxa"/>
            <w:shd w:val="clear" w:color="auto" w:fill="BFBFBF"/>
          </w:tcPr>
          <w:p w14:paraId="2DEEAE7F" w14:textId="77777777" w:rsidR="001C08A5" w:rsidRDefault="00000000">
            <w:pPr>
              <w:jc w:val="center"/>
              <w:rPr>
                <w:b/>
                <w:i/>
                <w:iCs/>
                <w:sz w:val="22"/>
                <w:szCs w:val="22"/>
              </w:rPr>
            </w:pPr>
            <w:r>
              <w:rPr>
                <w:b/>
                <w:i/>
                <w:iCs/>
                <w:sz w:val="22"/>
                <w:szCs w:val="22"/>
              </w:rPr>
              <w:t>Personalul pentru care se acordă spor</w:t>
            </w:r>
          </w:p>
        </w:tc>
      </w:tr>
      <w:tr w:rsidR="001C08A5" w14:paraId="46C9878D" w14:textId="77777777">
        <w:tc>
          <w:tcPr>
            <w:tcW w:w="534" w:type="dxa"/>
          </w:tcPr>
          <w:p w14:paraId="460491CA" w14:textId="77777777" w:rsidR="001C08A5" w:rsidRDefault="00000000">
            <w:pPr>
              <w:rPr>
                <w:i/>
                <w:iCs/>
                <w:sz w:val="22"/>
                <w:szCs w:val="22"/>
              </w:rPr>
            </w:pPr>
            <w:r>
              <w:rPr>
                <w:i/>
                <w:iCs/>
                <w:sz w:val="22"/>
                <w:szCs w:val="22"/>
              </w:rPr>
              <w:t>1</w:t>
            </w:r>
          </w:p>
        </w:tc>
        <w:tc>
          <w:tcPr>
            <w:tcW w:w="1701" w:type="dxa"/>
          </w:tcPr>
          <w:p w14:paraId="3859DD4E" w14:textId="77777777" w:rsidR="001C08A5" w:rsidRDefault="00000000">
            <w:pPr>
              <w:rPr>
                <w:i/>
                <w:iCs/>
                <w:sz w:val="22"/>
                <w:szCs w:val="22"/>
              </w:rPr>
            </w:pPr>
            <w:r>
              <w:rPr>
                <w:i/>
                <w:iCs/>
                <w:sz w:val="22"/>
                <w:szCs w:val="22"/>
              </w:rPr>
              <w:t>Parcaje supraterane</w:t>
            </w:r>
          </w:p>
        </w:tc>
        <w:tc>
          <w:tcPr>
            <w:tcW w:w="3969" w:type="dxa"/>
            <w:gridSpan w:val="3"/>
            <w:vMerge w:val="restart"/>
          </w:tcPr>
          <w:p w14:paraId="6A8BDAE4" w14:textId="77777777" w:rsidR="001C08A5" w:rsidRDefault="00000000">
            <w:pPr>
              <w:rPr>
                <w:b/>
                <w:i/>
                <w:iCs/>
                <w:sz w:val="22"/>
                <w:szCs w:val="22"/>
              </w:rPr>
            </w:pPr>
            <w:r>
              <w:rPr>
                <w:i/>
                <w:iCs/>
                <w:sz w:val="22"/>
                <w:szCs w:val="22"/>
              </w:rPr>
              <w:t>Conform normativelor de specialitate (15% din numărul de autoturisme prevăzute prin proiect şi 2 persoane în fiecare autoturism).</w:t>
            </w:r>
          </w:p>
        </w:tc>
        <w:tc>
          <w:tcPr>
            <w:tcW w:w="1134" w:type="dxa"/>
            <w:vMerge w:val="restart"/>
          </w:tcPr>
          <w:p w14:paraId="125949B4" w14:textId="77777777" w:rsidR="001C08A5" w:rsidRDefault="001C08A5">
            <w:pPr>
              <w:rPr>
                <w:i/>
                <w:iCs/>
                <w:sz w:val="22"/>
                <w:szCs w:val="22"/>
              </w:rPr>
            </w:pPr>
          </w:p>
          <w:p w14:paraId="066D2EF3" w14:textId="77777777" w:rsidR="001C08A5" w:rsidRDefault="00000000">
            <w:pPr>
              <w:rPr>
                <w:i/>
                <w:iCs/>
                <w:sz w:val="22"/>
                <w:szCs w:val="22"/>
              </w:rPr>
            </w:pPr>
            <w:r>
              <w:rPr>
                <w:i/>
                <w:iCs/>
                <w:sz w:val="22"/>
                <w:szCs w:val="22"/>
              </w:rPr>
              <w:t>Parcare</w:t>
            </w:r>
          </w:p>
        </w:tc>
        <w:tc>
          <w:tcPr>
            <w:tcW w:w="708" w:type="dxa"/>
            <w:vMerge w:val="restart"/>
          </w:tcPr>
          <w:p w14:paraId="25AEC85E" w14:textId="77777777" w:rsidR="001C08A5" w:rsidRDefault="001C08A5">
            <w:pPr>
              <w:rPr>
                <w:i/>
                <w:iCs/>
                <w:sz w:val="22"/>
                <w:szCs w:val="22"/>
              </w:rPr>
            </w:pPr>
          </w:p>
          <w:p w14:paraId="3D497871" w14:textId="77777777" w:rsidR="001C08A5" w:rsidRDefault="00000000">
            <w:pPr>
              <w:jc w:val="center"/>
              <w:rPr>
                <w:i/>
                <w:iCs/>
                <w:sz w:val="22"/>
                <w:szCs w:val="22"/>
              </w:rPr>
            </w:pPr>
            <w:r>
              <w:rPr>
                <w:i/>
                <w:iCs/>
                <w:sz w:val="22"/>
                <w:szCs w:val="22"/>
              </w:rPr>
              <w:t>-</w:t>
            </w:r>
          </w:p>
        </w:tc>
        <w:tc>
          <w:tcPr>
            <w:tcW w:w="1560" w:type="dxa"/>
            <w:vMerge w:val="restart"/>
          </w:tcPr>
          <w:p w14:paraId="469E6D07" w14:textId="77777777" w:rsidR="001C08A5" w:rsidRDefault="00000000">
            <w:pPr>
              <w:rPr>
                <w:i/>
                <w:iCs/>
                <w:sz w:val="22"/>
                <w:szCs w:val="22"/>
              </w:rPr>
            </w:pPr>
            <w:r>
              <w:rPr>
                <w:i/>
                <w:iCs/>
                <w:sz w:val="22"/>
                <w:szCs w:val="22"/>
              </w:rPr>
              <w:t>Personal de securitate / supraveghere.</w:t>
            </w:r>
          </w:p>
        </w:tc>
      </w:tr>
      <w:tr w:rsidR="001C08A5" w14:paraId="2F737F11" w14:textId="77777777">
        <w:tc>
          <w:tcPr>
            <w:tcW w:w="534" w:type="dxa"/>
          </w:tcPr>
          <w:p w14:paraId="3C61F62D" w14:textId="77777777" w:rsidR="001C08A5" w:rsidRDefault="00000000">
            <w:pPr>
              <w:rPr>
                <w:i/>
                <w:iCs/>
                <w:sz w:val="22"/>
                <w:szCs w:val="22"/>
              </w:rPr>
            </w:pPr>
            <w:r>
              <w:rPr>
                <w:i/>
                <w:iCs/>
                <w:sz w:val="22"/>
                <w:szCs w:val="22"/>
              </w:rPr>
              <w:t>2</w:t>
            </w:r>
          </w:p>
        </w:tc>
        <w:tc>
          <w:tcPr>
            <w:tcW w:w="1701" w:type="dxa"/>
          </w:tcPr>
          <w:p w14:paraId="152E00E8" w14:textId="77777777" w:rsidR="001C08A5" w:rsidRDefault="00000000">
            <w:pPr>
              <w:rPr>
                <w:i/>
                <w:iCs/>
                <w:sz w:val="22"/>
                <w:szCs w:val="22"/>
              </w:rPr>
            </w:pPr>
            <w:r>
              <w:rPr>
                <w:i/>
                <w:iCs/>
                <w:sz w:val="22"/>
                <w:szCs w:val="22"/>
              </w:rPr>
              <w:t>Parcaje subterane</w:t>
            </w:r>
          </w:p>
        </w:tc>
        <w:tc>
          <w:tcPr>
            <w:tcW w:w="3969" w:type="dxa"/>
            <w:gridSpan w:val="3"/>
            <w:vMerge/>
          </w:tcPr>
          <w:p w14:paraId="20E56E9E" w14:textId="77777777" w:rsidR="001C08A5" w:rsidRDefault="001C08A5">
            <w:pPr>
              <w:jc w:val="center"/>
              <w:rPr>
                <w:b/>
                <w:i/>
                <w:iCs/>
                <w:sz w:val="22"/>
                <w:szCs w:val="22"/>
              </w:rPr>
            </w:pPr>
          </w:p>
        </w:tc>
        <w:tc>
          <w:tcPr>
            <w:tcW w:w="1134" w:type="dxa"/>
            <w:vMerge/>
          </w:tcPr>
          <w:p w14:paraId="1CD16EEE" w14:textId="77777777" w:rsidR="001C08A5" w:rsidRDefault="001C08A5">
            <w:pPr>
              <w:rPr>
                <w:i/>
                <w:iCs/>
                <w:sz w:val="22"/>
                <w:szCs w:val="22"/>
              </w:rPr>
            </w:pPr>
          </w:p>
        </w:tc>
        <w:tc>
          <w:tcPr>
            <w:tcW w:w="708" w:type="dxa"/>
            <w:vMerge/>
          </w:tcPr>
          <w:p w14:paraId="29995789" w14:textId="77777777" w:rsidR="001C08A5" w:rsidRDefault="001C08A5">
            <w:pPr>
              <w:rPr>
                <w:i/>
                <w:iCs/>
                <w:sz w:val="22"/>
                <w:szCs w:val="22"/>
              </w:rPr>
            </w:pPr>
          </w:p>
        </w:tc>
        <w:tc>
          <w:tcPr>
            <w:tcW w:w="1560" w:type="dxa"/>
            <w:vMerge/>
          </w:tcPr>
          <w:p w14:paraId="7ABFE9A6" w14:textId="77777777" w:rsidR="001C08A5" w:rsidRDefault="001C08A5">
            <w:pPr>
              <w:rPr>
                <w:i/>
                <w:iCs/>
                <w:sz w:val="22"/>
                <w:szCs w:val="22"/>
              </w:rPr>
            </w:pPr>
          </w:p>
        </w:tc>
      </w:tr>
      <w:tr w:rsidR="001C08A5" w14:paraId="42DF9260" w14:textId="77777777">
        <w:tc>
          <w:tcPr>
            <w:tcW w:w="534" w:type="dxa"/>
          </w:tcPr>
          <w:p w14:paraId="7CDE6918" w14:textId="77777777" w:rsidR="001C08A5" w:rsidRDefault="00000000">
            <w:pPr>
              <w:rPr>
                <w:i/>
                <w:iCs/>
                <w:sz w:val="22"/>
                <w:szCs w:val="22"/>
              </w:rPr>
            </w:pPr>
            <w:r>
              <w:rPr>
                <w:i/>
                <w:iCs/>
                <w:sz w:val="22"/>
                <w:szCs w:val="22"/>
              </w:rPr>
              <w:t>3</w:t>
            </w:r>
          </w:p>
        </w:tc>
        <w:tc>
          <w:tcPr>
            <w:tcW w:w="1701" w:type="dxa"/>
          </w:tcPr>
          <w:p w14:paraId="7B72A737" w14:textId="77777777" w:rsidR="001C08A5" w:rsidRDefault="00000000">
            <w:pPr>
              <w:rPr>
                <w:i/>
                <w:iCs/>
                <w:sz w:val="22"/>
                <w:szCs w:val="22"/>
              </w:rPr>
            </w:pPr>
            <w:r>
              <w:rPr>
                <w:i/>
                <w:iCs/>
                <w:sz w:val="22"/>
                <w:szCs w:val="22"/>
              </w:rPr>
              <w:t xml:space="preserve">Încăperi cu diverse funcţiuni / destinaţii </w:t>
            </w:r>
          </w:p>
        </w:tc>
        <w:tc>
          <w:tcPr>
            <w:tcW w:w="7371" w:type="dxa"/>
            <w:gridSpan w:val="6"/>
          </w:tcPr>
          <w:p w14:paraId="7885DF97"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15FF43B8" w14:textId="77777777" w:rsidR="001C08A5" w:rsidRDefault="001C08A5">
      <w:pPr>
        <w:rPr>
          <w:b/>
          <w:sz w:val="24"/>
          <w:szCs w:val="24"/>
        </w:rPr>
      </w:pPr>
    </w:p>
    <w:p w14:paraId="7CD5B152" w14:textId="77777777" w:rsidR="001C08A5" w:rsidRDefault="00000000">
      <w:pPr>
        <w:pStyle w:val="Captiontabel"/>
      </w:pPr>
      <w:bookmarkStart w:id="2530" w:name="_Toc162360087"/>
      <w:r>
        <w:t xml:space="preserve">Tabelul </w:t>
      </w:r>
      <w:r>
        <w:fldChar w:fldCharType="begin"/>
      </w:r>
      <w:r>
        <w:instrText xml:space="preserve"> SEQ Tabelul \* ARABIC </w:instrText>
      </w:r>
      <w:r>
        <w:fldChar w:fldCharType="separate"/>
      </w:r>
      <w:r>
        <w:t>37</w:t>
      </w:r>
      <w:r>
        <w:fldChar w:fldCharType="end"/>
      </w:r>
      <w:bookmarkStart w:id="2531" w:name="_Toc1071"/>
      <w:bookmarkStart w:id="2532" w:name="_Toc10459"/>
      <w:bookmarkStart w:id="2533" w:name="_Toc29547"/>
      <w:bookmarkStart w:id="2534" w:name="_Toc32406"/>
      <w:bookmarkStart w:id="2535" w:name="_Toc20626"/>
      <w:bookmarkStart w:id="2536" w:name="_Toc30311"/>
      <w:bookmarkStart w:id="2537" w:name="_Toc31611"/>
      <w:bookmarkStart w:id="2538" w:name="_Toc11091"/>
      <w:bookmarkStart w:id="2539" w:name="_Toc27385"/>
      <w:bookmarkStart w:id="2540" w:name="_Toc30395"/>
      <w:bookmarkStart w:id="2541" w:name="_Toc18745"/>
      <w:bookmarkStart w:id="2542" w:name="_Toc20940"/>
      <w:bookmarkStart w:id="2543" w:name="_Toc26963"/>
      <w:bookmarkStart w:id="2544" w:name="_Toc1530"/>
      <w:bookmarkStart w:id="2545" w:name="_Toc13533"/>
      <w:bookmarkStart w:id="2546" w:name="_Toc18495"/>
      <w:bookmarkStart w:id="2547" w:name="_Toc4551"/>
      <w:bookmarkStart w:id="2548" w:name="_Toc18607"/>
      <w:bookmarkStart w:id="2549" w:name="_Toc10676"/>
      <w:r>
        <w:t>: Număr minim simultan de persoane din construcții şi amenajări în aer liber cu destinaţii civile</w:t>
      </w:r>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p>
    <w:p w14:paraId="2D00A1EF" w14:textId="77777777" w:rsidR="001C08A5" w:rsidRDefault="001C08A5">
      <w:pPr>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701"/>
        <w:gridCol w:w="1984"/>
        <w:gridCol w:w="1163"/>
        <w:gridCol w:w="709"/>
        <w:gridCol w:w="1275"/>
        <w:gridCol w:w="680"/>
        <w:gridCol w:w="1560"/>
      </w:tblGrid>
      <w:tr w:rsidR="001C08A5" w14:paraId="51DF3733" w14:textId="77777777">
        <w:trPr>
          <w:tblHeader/>
        </w:trPr>
        <w:tc>
          <w:tcPr>
            <w:tcW w:w="534" w:type="dxa"/>
            <w:shd w:val="clear" w:color="auto" w:fill="BFBFBF"/>
          </w:tcPr>
          <w:p w14:paraId="0C510D24" w14:textId="77777777" w:rsidR="001C08A5" w:rsidRDefault="001C08A5">
            <w:pPr>
              <w:jc w:val="center"/>
              <w:rPr>
                <w:b/>
                <w:i/>
                <w:iCs/>
                <w:sz w:val="22"/>
                <w:szCs w:val="22"/>
              </w:rPr>
            </w:pPr>
          </w:p>
          <w:p w14:paraId="1C71E437" w14:textId="77777777" w:rsidR="001C08A5" w:rsidRDefault="00000000">
            <w:pPr>
              <w:jc w:val="center"/>
              <w:rPr>
                <w:b/>
                <w:i/>
                <w:iCs/>
                <w:sz w:val="22"/>
                <w:szCs w:val="22"/>
              </w:rPr>
            </w:pPr>
            <w:r>
              <w:rPr>
                <w:b/>
                <w:i/>
                <w:iCs/>
                <w:sz w:val="22"/>
                <w:szCs w:val="22"/>
              </w:rPr>
              <w:t>Nr.</w:t>
            </w:r>
          </w:p>
          <w:p w14:paraId="584CC60E" w14:textId="77777777" w:rsidR="001C08A5" w:rsidRDefault="00000000">
            <w:pPr>
              <w:jc w:val="center"/>
              <w:rPr>
                <w:i/>
                <w:iCs/>
                <w:sz w:val="22"/>
                <w:szCs w:val="22"/>
              </w:rPr>
            </w:pPr>
            <w:r>
              <w:rPr>
                <w:b/>
                <w:i/>
                <w:iCs/>
                <w:sz w:val="22"/>
                <w:szCs w:val="22"/>
              </w:rPr>
              <w:t>crt.</w:t>
            </w:r>
          </w:p>
        </w:tc>
        <w:tc>
          <w:tcPr>
            <w:tcW w:w="1701" w:type="dxa"/>
            <w:shd w:val="clear" w:color="auto" w:fill="BFBFBF"/>
          </w:tcPr>
          <w:p w14:paraId="1456EA25" w14:textId="77777777" w:rsidR="001C08A5" w:rsidRDefault="001C08A5">
            <w:pPr>
              <w:jc w:val="center"/>
              <w:rPr>
                <w:b/>
                <w:i/>
                <w:iCs/>
                <w:sz w:val="22"/>
                <w:szCs w:val="22"/>
              </w:rPr>
            </w:pPr>
          </w:p>
          <w:p w14:paraId="656145DC" w14:textId="77777777" w:rsidR="001C08A5" w:rsidRDefault="00000000">
            <w:pPr>
              <w:jc w:val="center"/>
              <w:rPr>
                <w:i/>
                <w:iCs/>
                <w:sz w:val="22"/>
                <w:szCs w:val="22"/>
              </w:rPr>
            </w:pPr>
            <w:r>
              <w:rPr>
                <w:b/>
                <w:i/>
                <w:iCs/>
                <w:sz w:val="22"/>
                <w:szCs w:val="22"/>
              </w:rPr>
              <w:t>Destinaţie / funcţiune</w:t>
            </w:r>
          </w:p>
        </w:tc>
        <w:tc>
          <w:tcPr>
            <w:tcW w:w="1984" w:type="dxa"/>
            <w:shd w:val="clear" w:color="auto" w:fill="BFBFBF"/>
          </w:tcPr>
          <w:p w14:paraId="5FC20081" w14:textId="77777777" w:rsidR="001C08A5" w:rsidRDefault="001C08A5">
            <w:pPr>
              <w:jc w:val="center"/>
              <w:rPr>
                <w:b/>
                <w:i/>
                <w:iCs/>
                <w:sz w:val="22"/>
                <w:szCs w:val="22"/>
              </w:rPr>
            </w:pPr>
          </w:p>
          <w:p w14:paraId="309A512C" w14:textId="77777777" w:rsidR="001C08A5" w:rsidRDefault="00000000">
            <w:pPr>
              <w:jc w:val="center"/>
              <w:rPr>
                <w:b/>
                <w:i/>
                <w:iCs/>
                <w:sz w:val="22"/>
                <w:szCs w:val="22"/>
              </w:rPr>
            </w:pPr>
            <w:r>
              <w:rPr>
                <w:b/>
                <w:i/>
                <w:iCs/>
                <w:sz w:val="22"/>
                <w:szCs w:val="22"/>
              </w:rPr>
              <w:t>Observaţii</w:t>
            </w:r>
          </w:p>
        </w:tc>
        <w:tc>
          <w:tcPr>
            <w:tcW w:w="1163" w:type="dxa"/>
            <w:shd w:val="clear" w:color="auto" w:fill="BFBFBF"/>
          </w:tcPr>
          <w:p w14:paraId="2B28C593" w14:textId="77777777" w:rsidR="001C08A5" w:rsidRDefault="001C08A5">
            <w:pPr>
              <w:jc w:val="center"/>
              <w:rPr>
                <w:b/>
                <w:i/>
                <w:iCs/>
                <w:sz w:val="22"/>
                <w:szCs w:val="22"/>
              </w:rPr>
            </w:pPr>
          </w:p>
          <w:p w14:paraId="563061E8" w14:textId="77777777" w:rsidR="001C08A5" w:rsidRDefault="00000000">
            <w:pPr>
              <w:jc w:val="center"/>
              <w:rPr>
                <w:i/>
                <w:iCs/>
                <w:sz w:val="22"/>
                <w:szCs w:val="22"/>
              </w:rPr>
            </w:pPr>
            <w:r>
              <w:rPr>
                <w:b/>
                <w:i/>
                <w:iCs/>
                <w:sz w:val="22"/>
                <w:szCs w:val="22"/>
              </w:rPr>
              <w:t>Nivel de referinţă</w:t>
            </w:r>
          </w:p>
        </w:tc>
        <w:tc>
          <w:tcPr>
            <w:tcW w:w="709" w:type="dxa"/>
            <w:shd w:val="clear" w:color="auto" w:fill="BFBFBF"/>
          </w:tcPr>
          <w:p w14:paraId="1928E264" w14:textId="77777777" w:rsidR="001C08A5" w:rsidRDefault="001C08A5">
            <w:pPr>
              <w:jc w:val="center"/>
              <w:rPr>
                <w:b/>
                <w:i/>
                <w:iCs/>
                <w:sz w:val="22"/>
                <w:szCs w:val="22"/>
              </w:rPr>
            </w:pPr>
          </w:p>
          <w:p w14:paraId="5081D963" w14:textId="77777777" w:rsidR="001C08A5" w:rsidRDefault="00000000">
            <w:pPr>
              <w:jc w:val="center"/>
              <w:rPr>
                <w:b/>
                <w:i/>
                <w:iCs/>
                <w:sz w:val="22"/>
                <w:szCs w:val="22"/>
              </w:rPr>
            </w:pPr>
            <w:r>
              <w:rPr>
                <w:b/>
                <w:i/>
                <w:iCs/>
                <w:sz w:val="22"/>
                <w:szCs w:val="22"/>
              </w:rPr>
              <w:t>Arie utilă  (m</w:t>
            </w:r>
            <w:r>
              <w:rPr>
                <w:b/>
                <w:i/>
                <w:iCs/>
                <w:sz w:val="22"/>
                <w:szCs w:val="22"/>
                <w:vertAlign w:val="superscript"/>
              </w:rPr>
              <w:t>2</w:t>
            </w:r>
            <w:r>
              <w:rPr>
                <w:b/>
                <w:i/>
                <w:iCs/>
                <w:sz w:val="22"/>
                <w:szCs w:val="22"/>
              </w:rPr>
              <w:t>)/ pers.</w:t>
            </w:r>
          </w:p>
        </w:tc>
        <w:tc>
          <w:tcPr>
            <w:tcW w:w="1275" w:type="dxa"/>
            <w:shd w:val="clear" w:color="auto" w:fill="BFBFBF"/>
          </w:tcPr>
          <w:p w14:paraId="207D9A9C" w14:textId="77777777" w:rsidR="001C08A5" w:rsidRDefault="00000000">
            <w:pPr>
              <w:jc w:val="center"/>
              <w:rPr>
                <w:b/>
                <w:i/>
                <w:iCs/>
                <w:sz w:val="22"/>
                <w:szCs w:val="22"/>
              </w:rPr>
            </w:pPr>
            <w:r>
              <w:rPr>
                <w:b/>
                <w:i/>
                <w:iCs/>
                <w:sz w:val="22"/>
                <w:szCs w:val="22"/>
              </w:rPr>
              <w:t>Destinaţia / funcţiunea ariei considerată în calcul</w:t>
            </w:r>
          </w:p>
        </w:tc>
        <w:tc>
          <w:tcPr>
            <w:tcW w:w="680" w:type="dxa"/>
            <w:shd w:val="clear" w:color="auto" w:fill="BFBFBF"/>
          </w:tcPr>
          <w:p w14:paraId="0DA11EE1" w14:textId="77777777" w:rsidR="001C08A5" w:rsidRDefault="001C08A5">
            <w:pPr>
              <w:jc w:val="center"/>
              <w:rPr>
                <w:b/>
                <w:i/>
                <w:iCs/>
                <w:sz w:val="22"/>
                <w:szCs w:val="22"/>
              </w:rPr>
            </w:pPr>
          </w:p>
          <w:p w14:paraId="792A46CC" w14:textId="77777777" w:rsidR="001C08A5" w:rsidRDefault="00000000">
            <w:pPr>
              <w:jc w:val="center"/>
              <w:rPr>
                <w:b/>
                <w:i/>
                <w:iCs/>
                <w:sz w:val="22"/>
                <w:szCs w:val="22"/>
              </w:rPr>
            </w:pPr>
            <w:r>
              <w:rPr>
                <w:b/>
                <w:i/>
                <w:iCs/>
                <w:sz w:val="22"/>
                <w:szCs w:val="22"/>
              </w:rPr>
              <w:t>Spor%</w:t>
            </w:r>
          </w:p>
          <w:p w14:paraId="65EAEEA0" w14:textId="77777777" w:rsidR="001C08A5" w:rsidRDefault="001C08A5">
            <w:pPr>
              <w:jc w:val="center"/>
              <w:rPr>
                <w:b/>
                <w:i/>
                <w:iCs/>
                <w:sz w:val="22"/>
                <w:szCs w:val="22"/>
              </w:rPr>
            </w:pPr>
          </w:p>
        </w:tc>
        <w:tc>
          <w:tcPr>
            <w:tcW w:w="1560" w:type="dxa"/>
            <w:shd w:val="clear" w:color="auto" w:fill="BFBFBF"/>
          </w:tcPr>
          <w:p w14:paraId="00D16D56" w14:textId="77777777" w:rsidR="001C08A5" w:rsidRDefault="001C08A5">
            <w:pPr>
              <w:jc w:val="center"/>
              <w:rPr>
                <w:b/>
                <w:i/>
                <w:iCs/>
                <w:sz w:val="22"/>
                <w:szCs w:val="22"/>
              </w:rPr>
            </w:pPr>
          </w:p>
          <w:p w14:paraId="7D5C1D5B" w14:textId="77777777" w:rsidR="001C08A5" w:rsidRDefault="00000000">
            <w:pPr>
              <w:jc w:val="center"/>
              <w:rPr>
                <w:b/>
                <w:i/>
                <w:iCs/>
                <w:sz w:val="22"/>
                <w:szCs w:val="22"/>
              </w:rPr>
            </w:pPr>
            <w:r>
              <w:rPr>
                <w:b/>
                <w:i/>
                <w:iCs/>
                <w:sz w:val="22"/>
                <w:szCs w:val="22"/>
              </w:rPr>
              <w:t>Personalul pentru care se acordă spor</w:t>
            </w:r>
          </w:p>
        </w:tc>
      </w:tr>
      <w:tr w:rsidR="001C08A5" w14:paraId="372FB73D" w14:textId="77777777">
        <w:tc>
          <w:tcPr>
            <w:tcW w:w="534" w:type="dxa"/>
          </w:tcPr>
          <w:p w14:paraId="7B5590BE" w14:textId="77777777" w:rsidR="001C08A5" w:rsidRDefault="00000000">
            <w:pPr>
              <w:rPr>
                <w:i/>
                <w:iCs/>
                <w:sz w:val="22"/>
                <w:szCs w:val="22"/>
              </w:rPr>
            </w:pPr>
            <w:r>
              <w:rPr>
                <w:i/>
                <w:iCs/>
                <w:sz w:val="22"/>
                <w:szCs w:val="22"/>
              </w:rPr>
              <w:t>1</w:t>
            </w:r>
          </w:p>
        </w:tc>
        <w:tc>
          <w:tcPr>
            <w:tcW w:w="1701" w:type="dxa"/>
          </w:tcPr>
          <w:p w14:paraId="1C9EB479" w14:textId="77777777" w:rsidR="001C08A5" w:rsidRDefault="00000000">
            <w:pPr>
              <w:rPr>
                <w:i/>
                <w:iCs/>
                <w:sz w:val="22"/>
                <w:szCs w:val="22"/>
              </w:rPr>
            </w:pPr>
            <w:r>
              <w:rPr>
                <w:i/>
                <w:iCs/>
                <w:sz w:val="22"/>
                <w:szCs w:val="22"/>
              </w:rPr>
              <w:t>Stadioane, arene sportive</w:t>
            </w:r>
          </w:p>
        </w:tc>
        <w:tc>
          <w:tcPr>
            <w:tcW w:w="1984" w:type="dxa"/>
          </w:tcPr>
          <w:p w14:paraId="0F7E4BB8" w14:textId="77777777" w:rsidR="001C08A5" w:rsidRDefault="00000000">
            <w:pPr>
              <w:rPr>
                <w:i/>
                <w:iCs/>
                <w:sz w:val="22"/>
                <w:szCs w:val="22"/>
              </w:rPr>
            </w:pPr>
            <w:r>
              <w:rPr>
                <w:i/>
                <w:iCs/>
                <w:sz w:val="22"/>
                <w:szCs w:val="22"/>
              </w:rPr>
              <w:t>Numărul simultan de persoane se poate preciza conform numărului de locuri pe scaune plus sporul de personal.</w:t>
            </w:r>
          </w:p>
        </w:tc>
        <w:tc>
          <w:tcPr>
            <w:tcW w:w="1163" w:type="dxa"/>
            <w:vMerge w:val="restart"/>
          </w:tcPr>
          <w:p w14:paraId="7B2B8970" w14:textId="77777777" w:rsidR="001C08A5" w:rsidRDefault="001C08A5">
            <w:pPr>
              <w:rPr>
                <w:i/>
                <w:iCs/>
                <w:sz w:val="22"/>
                <w:szCs w:val="22"/>
              </w:rPr>
            </w:pPr>
          </w:p>
          <w:p w14:paraId="50448559" w14:textId="77777777" w:rsidR="001C08A5" w:rsidRDefault="001C08A5">
            <w:pPr>
              <w:rPr>
                <w:i/>
                <w:iCs/>
                <w:sz w:val="22"/>
                <w:szCs w:val="22"/>
              </w:rPr>
            </w:pPr>
          </w:p>
          <w:p w14:paraId="6FBC8451" w14:textId="77777777" w:rsidR="001C08A5" w:rsidRDefault="001C08A5">
            <w:pPr>
              <w:rPr>
                <w:i/>
                <w:iCs/>
                <w:sz w:val="22"/>
                <w:szCs w:val="22"/>
              </w:rPr>
            </w:pPr>
          </w:p>
          <w:p w14:paraId="2E2D013A" w14:textId="77777777" w:rsidR="001C08A5" w:rsidRDefault="001C08A5">
            <w:pPr>
              <w:rPr>
                <w:i/>
                <w:iCs/>
                <w:sz w:val="22"/>
                <w:szCs w:val="22"/>
              </w:rPr>
            </w:pPr>
          </w:p>
          <w:p w14:paraId="0F94D3D5" w14:textId="77777777" w:rsidR="001C08A5" w:rsidRDefault="00000000">
            <w:pPr>
              <w:rPr>
                <w:i/>
                <w:iCs/>
                <w:sz w:val="22"/>
                <w:szCs w:val="22"/>
              </w:rPr>
            </w:pPr>
            <w:r>
              <w:rPr>
                <w:i/>
                <w:iCs/>
                <w:sz w:val="22"/>
                <w:szCs w:val="22"/>
              </w:rPr>
              <w:t xml:space="preserve">La orice </w:t>
            </w:r>
          </w:p>
          <w:p w14:paraId="5B8F49F9" w14:textId="77777777" w:rsidR="001C08A5" w:rsidRDefault="00000000">
            <w:pPr>
              <w:rPr>
                <w:i/>
                <w:iCs/>
                <w:sz w:val="22"/>
                <w:szCs w:val="22"/>
              </w:rPr>
            </w:pPr>
            <w:r>
              <w:rPr>
                <w:i/>
                <w:iCs/>
                <w:sz w:val="22"/>
                <w:szCs w:val="22"/>
              </w:rPr>
              <w:t>nivel al construc-ţiei</w:t>
            </w:r>
          </w:p>
        </w:tc>
        <w:tc>
          <w:tcPr>
            <w:tcW w:w="709" w:type="dxa"/>
          </w:tcPr>
          <w:p w14:paraId="2315CD1F" w14:textId="77777777" w:rsidR="001C08A5" w:rsidRDefault="001C08A5">
            <w:pPr>
              <w:jc w:val="center"/>
              <w:rPr>
                <w:b/>
                <w:i/>
                <w:iCs/>
                <w:sz w:val="22"/>
                <w:szCs w:val="22"/>
              </w:rPr>
            </w:pPr>
          </w:p>
          <w:p w14:paraId="166AD4D0" w14:textId="77777777" w:rsidR="001C08A5" w:rsidRDefault="00000000">
            <w:pPr>
              <w:jc w:val="center"/>
              <w:rPr>
                <w:b/>
                <w:i/>
                <w:iCs/>
                <w:sz w:val="22"/>
                <w:szCs w:val="22"/>
              </w:rPr>
            </w:pPr>
            <w:r>
              <w:rPr>
                <w:b/>
                <w:i/>
                <w:iCs/>
                <w:sz w:val="22"/>
                <w:szCs w:val="22"/>
              </w:rPr>
              <w:t>0,60  sau conf. obs.</w:t>
            </w:r>
          </w:p>
          <w:p w14:paraId="1B72EC08" w14:textId="77777777" w:rsidR="001C08A5" w:rsidRDefault="001C08A5">
            <w:pPr>
              <w:jc w:val="center"/>
              <w:rPr>
                <w:b/>
                <w:i/>
                <w:iCs/>
                <w:sz w:val="22"/>
                <w:szCs w:val="22"/>
              </w:rPr>
            </w:pPr>
          </w:p>
        </w:tc>
        <w:tc>
          <w:tcPr>
            <w:tcW w:w="1275" w:type="dxa"/>
          </w:tcPr>
          <w:p w14:paraId="22D5B8CA" w14:textId="77777777" w:rsidR="001C08A5" w:rsidRDefault="001C08A5">
            <w:pPr>
              <w:rPr>
                <w:i/>
                <w:iCs/>
                <w:sz w:val="22"/>
                <w:szCs w:val="22"/>
              </w:rPr>
            </w:pPr>
          </w:p>
          <w:p w14:paraId="7C1ED49A" w14:textId="77777777" w:rsidR="001C08A5" w:rsidRDefault="00000000">
            <w:pPr>
              <w:rPr>
                <w:i/>
                <w:iCs/>
                <w:sz w:val="22"/>
                <w:szCs w:val="22"/>
              </w:rPr>
            </w:pPr>
            <w:r>
              <w:rPr>
                <w:i/>
                <w:iCs/>
                <w:sz w:val="22"/>
                <w:szCs w:val="22"/>
              </w:rPr>
              <w:t>Construcţii pentru sport</w:t>
            </w:r>
          </w:p>
        </w:tc>
        <w:tc>
          <w:tcPr>
            <w:tcW w:w="680" w:type="dxa"/>
          </w:tcPr>
          <w:p w14:paraId="45CF1321" w14:textId="77777777" w:rsidR="001C08A5" w:rsidRDefault="001C08A5">
            <w:pPr>
              <w:rPr>
                <w:i/>
                <w:iCs/>
                <w:sz w:val="22"/>
                <w:szCs w:val="22"/>
              </w:rPr>
            </w:pPr>
          </w:p>
          <w:p w14:paraId="341DA424" w14:textId="77777777" w:rsidR="001C08A5" w:rsidRDefault="00000000">
            <w:pPr>
              <w:rPr>
                <w:i/>
                <w:iCs/>
                <w:sz w:val="22"/>
                <w:szCs w:val="22"/>
              </w:rPr>
            </w:pPr>
            <w:r>
              <w:rPr>
                <w:i/>
                <w:iCs/>
                <w:sz w:val="22"/>
                <w:szCs w:val="22"/>
              </w:rPr>
              <w:t>5</w:t>
            </w:r>
          </w:p>
        </w:tc>
        <w:tc>
          <w:tcPr>
            <w:tcW w:w="1560" w:type="dxa"/>
            <w:vMerge w:val="restart"/>
          </w:tcPr>
          <w:p w14:paraId="702EDA08" w14:textId="77777777" w:rsidR="001C08A5" w:rsidRDefault="001C08A5">
            <w:pPr>
              <w:rPr>
                <w:i/>
                <w:iCs/>
                <w:sz w:val="22"/>
                <w:szCs w:val="22"/>
              </w:rPr>
            </w:pPr>
          </w:p>
          <w:p w14:paraId="506F66C2" w14:textId="77777777" w:rsidR="001C08A5" w:rsidRDefault="001C08A5">
            <w:pPr>
              <w:rPr>
                <w:i/>
                <w:iCs/>
                <w:sz w:val="22"/>
                <w:szCs w:val="22"/>
              </w:rPr>
            </w:pPr>
          </w:p>
          <w:p w14:paraId="5CC5F212" w14:textId="77777777" w:rsidR="001C08A5" w:rsidRDefault="001C08A5">
            <w:pPr>
              <w:rPr>
                <w:i/>
                <w:iCs/>
                <w:sz w:val="22"/>
                <w:szCs w:val="22"/>
              </w:rPr>
            </w:pPr>
          </w:p>
          <w:p w14:paraId="30E49553" w14:textId="77777777" w:rsidR="001C08A5" w:rsidRDefault="001C08A5">
            <w:pPr>
              <w:rPr>
                <w:i/>
                <w:iCs/>
                <w:sz w:val="22"/>
                <w:szCs w:val="22"/>
              </w:rPr>
            </w:pPr>
          </w:p>
          <w:p w14:paraId="4C416380" w14:textId="77777777" w:rsidR="001C08A5" w:rsidRDefault="00000000">
            <w:pPr>
              <w:rPr>
                <w:i/>
                <w:iCs/>
                <w:sz w:val="22"/>
                <w:szCs w:val="22"/>
              </w:rPr>
            </w:pPr>
            <w:r>
              <w:rPr>
                <w:i/>
                <w:iCs/>
                <w:sz w:val="22"/>
                <w:szCs w:val="22"/>
              </w:rPr>
              <w:t>Personal de deservire / securitate / vânzare / suprave-ghere.</w:t>
            </w:r>
          </w:p>
          <w:p w14:paraId="0392F0E2" w14:textId="77777777" w:rsidR="001C08A5" w:rsidRDefault="001C08A5">
            <w:pPr>
              <w:rPr>
                <w:i/>
                <w:iCs/>
                <w:sz w:val="22"/>
                <w:szCs w:val="22"/>
              </w:rPr>
            </w:pPr>
          </w:p>
        </w:tc>
      </w:tr>
      <w:tr w:rsidR="001C08A5" w14:paraId="0532F41E" w14:textId="77777777">
        <w:tc>
          <w:tcPr>
            <w:tcW w:w="534" w:type="dxa"/>
          </w:tcPr>
          <w:p w14:paraId="3C956E49" w14:textId="77777777" w:rsidR="001C08A5" w:rsidRDefault="00000000">
            <w:pPr>
              <w:rPr>
                <w:i/>
                <w:iCs/>
                <w:sz w:val="22"/>
                <w:szCs w:val="22"/>
              </w:rPr>
            </w:pPr>
            <w:r>
              <w:rPr>
                <w:i/>
                <w:iCs/>
                <w:sz w:val="22"/>
                <w:szCs w:val="22"/>
              </w:rPr>
              <w:t>2</w:t>
            </w:r>
          </w:p>
        </w:tc>
        <w:tc>
          <w:tcPr>
            <w:tcW w:w="1701" w:type="dxa"/>
          </w:tcPr>
          <w:p w14:paraId="4BB4B92A" w14:textId="77777777" w:rsidR="001C08A5" w:rsidRDefault="00000000">
            <w:pPr>
              <w:rPr>
                <w:i/>
                <w:iCs/>
                <w:sz w:val="22"/>
                <w:szCs w:val="22"/>
              </w:rPr>
            </w:pPr>
            <w:r>
              <w:rPr>
                <w:i/>
                <w:iCs/>
                <w:sz w:val="22"/>
                <w:szCs w:val="22"/>
              </w:rPr>
              <w:t>Amenajări neacoperite cu gradene pentru spectacole în aer liber</w:t>
            </w:r>
          </w:p>
        </w:tc>
        <w:tc>
          <w:tcPr>
            <w:tcW w:w="1984" w:type="dxa"/>
          </w:tcPr>
          <w:p w14:paraId="6F306782" w14:textId="77777777" w:rsidR="001C08A5" w:rsidRDefault="00000000">
            <w:pPr>
              <w:rPr>
                <w:i/>
                <w:iCs/>
                <w:sz w:val="22"/>
                <w:szCs w:val="22"/>
              </w:rPr>
            </w:pPr>
            <w:r>
              <w:rPr>
                <w:i/>
                <w:iCs/>
                <w:sz w:val="22"/>
                <w:szCs w:val="22"/>
              </w:rPr>
              <w:t>Numărul simultan de persoane se poate preciza conform numărului de locuri pe scaune plus sporul de personal.</w:t>
            </w:r>
          </w:p>
        </w:tc>
        <w:tc>
          <w:tcPr>
            <w:tcW w:w="1163" w:type="dxa"/>
            <w:vMerge/>
          </w:tcPr>
          <w:p w14:paraId="2EFFCB9B" w14:textId="77777777" w:rsidR="001C08A5" w:rsidRDefault="001C08A5">
            <w:pPr>
              <w:rPr>
                <w:i/>
                <w:iCs/>
                <w:sz w:val="22"/>
                <w:szCs w:val="22"/>
              </w:rPr>
            </w:pPr>
          </w:p>
        </w:tc>
        <w:tc>
          <w:tcPr>
            <w:tcW w:w="709" w:type="dxa"/>
          </w:tcPr>
          <w:p w14:paraId="2632CA02" w14:textId="77777777" w:rsidR="001C08A5" w:rsidRDefault="001C08A5">
            <w:pPr>
              <w:jc w:val="center"/>
              <w:rPr>
                <w:b/>
                <w:i/>
                <w:iCs/>
                <w:sz w:val="22"/>
                <w:szCs w:val="22"/>
              </w:rPr>
            </w:pPr>
          </w:p>
          <w:p w14:paraId="057C7A42" w14:textId="77777777" w:rsidR="001C08A5" w:rsidRDefault="00000000">
            <w:pPr>
              <w:jc w:val="center"/>
              <w:rPr>
                <w:b/>
                <w:i/>
                <w:iCs/>
                <w:sz w:val="22"/>
                <w:szCs w:val="22"/>
              </w:rPr>
            </w:pPr>
            <w:r>
              <w:rPr>
                <w:b/>
                <w:i/>
                <w:iCs/>
                <w:sz w:val="22"/>
                <w:szCs w:val="22"/>
              </w:rPr>
              <w:t>conf. obs.</w:t>
            </w:r>
          </w:p>
          <w:p w14:paraId="136AED0D" w14:textId="77777777" w:rsidR="001C08A5" w:rsidRDefault="001C08A5">
            <w:pPr>
              <w:jc w:val="center"/>
              <w:rPr>
                <w:b/>
                <w:i/>
                <w:iCs/>
                <w:sz w:val="22"/>
                <w:szCs w:val="22"/>
              </w:rPr>
            </w:pPr>
          </w:p>
        </w:tc>
        <w:tc>
          <w:tcPr>
            <w:tcW w:w="1275" w:type="dxa"/>
          </w:tcPr>
          <w:p w14:paraId="0814D29C" w14:textId="77777777" w:rsidR="001C08A5" w:rsidRDefault="001C08A5">
            <w:pPr>
              <w:rPr>
                <w:i/>
                <w:iCs/>
                <w:sz w:val="22"/>
                <w:szCs w:val="22"/>
              </w:rPr>
            </w:pPr>
          </w:p>
        </w:tc>
        <w:tc>
          <w:tcPr>
            <w:tcW w:w="680" w:type="dxa"/>
          </w:tcPr>
          <w:p w14:paraId="21E057B5" w14:textId="77777777" w:rsidR="001C08A5" w:rsidRDefault="00000000">
            <w:pPr>
              <w:rPr>
                <w:i/>
                <w:iCs/>
                <w:sz w:val="22"/>
                <w:szCs w:val="22"/>
              </w:rPr>
            </w:pPr>
            <w:r>
              <w:rPr>
                <w:i/>
                <w:iCs/>
                <w:sz w:val="22"/>
                <w:szCs w:val="22"/>
              </w:rPr>
              <w:t>10</w:t>
            </w:r>
          </w:p>
        </w:tc>
        <w:tc>
          <w:tcPr>
            <w:tcW w:w="1560" w:type="dxa"/>
            <w:vMerge/>
          </w:tcPr>
          <w:p w14:paraId="36917499" w14:textId="77777777" w:rsidR="001C08A5" w:rsidRDefault="001C08A5">
            <w:pPr>
              <w:rPr>
                <w:i/>
                <w:iCs/>
                <w:sz w:val="22"/>
                <w:szCs w:val="22"/>
              </w:rPr>
            </w:pPr>
          </w:p>
        </w:tc>
      </w:tr>
      <w:tr w:rsidR="001C08A5" w14:paraId="29896F10" w14:textId="77777777">
        <w:tc>
          <w:tcPr>
            <w:tcW w:w="534" w:type="dxa"/>
          </w:tcPr>
          <w:p w14:paraId="0ECBD0E8" w14:textId="77777777" w:rsidR="001C08A5" w:rsidRDefault="00000000">
            <w:pPr>
              <w:rPr>
                <w:i/>
                <w:iCs/>
                <w:sz w:val="22"/>
                <w:szCs w:val="22"/>
              </w:rPr>
            </w:pPr>
            <w:r>
              <w:rPr>
                <w:i/>
                <w:iCs/>
                <w:sz w:val="22"/>
                <w:szCs w:val="22"/>
              </w:rPr>
              <w:t>3</w:t>
            </w:r>
          </w:p>
        </w:tc>
        <w:tc>
          <w:tcPr>
            <w:tcW w:w="1701" w:type="dxa"/>
          </w:tcPr>
          <w:p w14:paraId="3C1A1BFD" w14:textId="77777777" w:rsidR="001C08A5" w:rsidRDefault="00000000">
            <w:pPr>
              <w:rPr>
                <w:i/>
                <w:iCs/>
                <w:sz w:val="22"/>
                <w:szCs w:val="22"/>
              </w:rPr>
            </w:pPr>
            <w:r>
              <w:rPr>
                <w:i/>
                <w:iCs/>
                <w:sz w:val="22"/>
                <w:szCs w:val="22"/>
              </w:rPr>
              <w:t>Campinguri (amenajări pentru amplasarea corturilor, rulotelor, căsuţelor provizorii etc.)</w:t>
            </w:r>
          </w:p>
        </w:tc>
        <w:tc>
          <w:tcPr>
            <w:tcW w:w="1984" w:type="dxa"/>
          </w:tcPr>
          <w:p w14:paraId="50B08C3B" w14:textId="77777777" w:rsidR="001C08A5" w:rsidRDefault="00000000">
            <w:pPr>
              <w:rPr>
                <w:i/>
                <w:iCs/>
                <w:sz w:val="22"/>
                <w:szCs w:val="22"/>
              </w:rPr>
            </w:pPr>
            <w:r>
              <w:rPr>
                <w:i/>
                <w:iCs/>
                <w:sz w:val="22"/>
                <w:szCs w:val="22"/>
              </w:rPr>
              <w:t>Numărul simultan de persoane se poate preciza conform numărului de locuri de cazare plus sporul de personal.</w:t>
            </w:r>
          </w:p>
        </w:tc>
        <w:tc>
          <w:tcPr>
            <w:tcW w:w="1163" w:type="dxa"/>
            <w:vMerge/>
          </w:tcPr>
          <w:p w14:paraId="20008CAD" w14:textId="77777777" w:rsidR="001C08A5" w:rsidRDefault="001C08A5">
            <w:pPr>
              <w:rPr>
                <w:i/>
                <w:iCs/>
                <w:sz w:val="22"/>
                <w:szCs w:val="22"/>
              </w:rPr>
            </w:pPr>
          </w:p>
        </w:tc>
        <w:tc>
          <w:tcPr>
            <w:tcW w:w="709" w:type="dxa"/>
          </w:tcPr>
          <w:p w14:paraId="50218923" w14:textId="77777777" w:rsidR="001C08A5" w:rsidRDefault="001C08A5">
            <w:pPr>
              <w:jc w:val="center"/>
              <w:rPr>
                <w:b/>
                <w:i/>
                <w:iCs/>
                <w:sz w:val="22"/>
                <w:szCs w:val="22"/>
              </w:rPr>
            </w:pPr>
          </w:p>
          <w:p w14:paraId="3196D7B6" w14:textId="77777777" w:rsidR="001C08A5" w:rsidRDefault="00000000">
            <w:pPr>
              <w:jc w:val="center"/>
              <w:rPr>
                <w:b/>
                <w:i/>
                <w:iCs/>
                <w:sz w:val="22"/>
                <w:szCs w:val="22"/>
              </w:rPr>
            </w:pPr>
            <w:r>
              <w:rPr>
                <w:b/>
                <w:i/>
                <w:iCs/>
                <w:sz w:val="22"/>
                <w:szCs w:val="22"/>
              </w:rPr>
              <w:t>conf. obs.</w:t>
            </w:r>
          </w:p>
          <w:p w14:paraId="02DE2C59" w14:textId="77777777" w:rsidR="001C08A5" w:rsidRDefault="001C08A5">
            <w:pPr>
              <w:jc w:val="center"/>
              <w:rPr>
                <w:b/>
                <w:i/>
                <w:iCs/>
                <w:sz w:val="22"/>
                <w:szCs w:val="22"/>
              </w:rPr>
            </w:pPr>
          </w:p>
        </w:tc>
        <w:tc>
          <w:tcPr>
            <w:tcW w:w="1275" w:type="dxa"/>
          </w:tcPr>
          <w:p w14:paraId="205813E6" w14:textId="77777777" w:rsidR="001C08A5" w:rsidRDefault="001C08A5">
            <w:pPr>
              <w:rPr>
                <w:i/>
                <w:iCs/>
                <w:sz w:val="22"/>
                <w:szCs w:val="22"/>
              </w:rPr>
            </w:pPr>
          </w:p>
        </w:tc>
        <w:tc>
          <w:tcPr>
            <w:tcW w:w="680" w:type="dxa"/>
          </w:tcPr>
          <w:p w14:paraId="6E000F8F" w14:textId="77777777" w:rsidR="001C08A5" w:rsidRDefault="00000000">
            <w:pPr>
              <w:rPr>
                <w:i/>
                <w:iCs/>
                <w:sz w:val="22"/>
                <w:szCs w:val="22"/>
              </w:rPr>
            </w:pPr>
            <w:r>
              <w:rPr>
                <w:i/>
                <w:iCs/>
                <w:sz w:val="22"/>
                <w:szCs w:val="22"/>
              </w:rPr>
              <w:t>5</w:t>
            </w:r>
          </w:p>
        </w:tc>
        <w:tc>
          <w:tcPr>
            <w:tcW w:w="1560" w:type="dxa"/>
            <w:vMerge/>
          </w:tcPr>
          <w:p w14:paraId="1361C9DA" w14:textId="77777777" w:rsidR="001C08A5" w:rsidRDefault="001C08A5">
            <w:pPr>
              <w:rPr>
                <w:i/>
                <w:iCs/>
                <w:sz w:val="22"/>
                <w:szCs w:val="22"/>
              </w:rPr>
            </w:pPr>
          </w:p>
        </w:tc>
      </w:tr>
      <w:tr w:rsidR="001C08A5" w14:paraId="2B98C235" w14:textId="77777777">
        <w:tc>
          <w:tcPr>
            <w:tcW w:w="534" w:type="dxa"/>
          </w:tcPr>
          <w:p w14:paraId="18767B80" w14:textId="77777777" w:rsidR="001C08A5" w:rsidRDefault="00000000">
            <w:pPr>
              <w:rPr>
                <w:i/>
                <w:iCs/>
                <w:sz w:val="22"/>
                <w:szCs w:val="22"/>
              </w:rPr>
            </w:pPr>
            <w:r>
              <w:rPr>
                <w:i/>
                <w:iCs/>
                <w:sz w:val="22"/>
                <w:szCs w:val="22"/>
              </w:rPr>
              <w:t xml:space="preserve"> 4</w:t>
            </w:r>
          </w:p>
        </w:tc>
        <w:tc>
          <w:tcPr>
            <w:tcW w:w="1701" w:type="dxa"/>
          </w:tcPr>
          <w:p w14:paraId="146CAA4E" w14:textId="77777777" w:rsidR="001C08A5" w:rsidRDefault="00000000">
            <w:pPr>
              <w:rPr>
                <w:i/>
                <w:iCs/>
                <w:sz w:val="22"/>
                <w:szCs w:val="22"/>
              </w:rPr>
            </w:pPr>
            <w:r>
              <w:rPr>
                <w:i/>
                <w:iCs/>
                <w:sz w:val="22"/>
                <w:szCs w:val="22"/>
              </w:rPr>
              <w:t>Încăperi cu diverse funcţiuni / destinaţii la stadioane / arene</w:t>
            </w:r>
          </w:p>
        </w:tc>
        <w:tc>
          <w:tcPr>
            <w:tcW w:w="7371" w:type="dxa"/>
            <w:gridSpan w:val="6"/>
          </w:tcPr>
          <w:p w14:paraId="27CE2CC8"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1E5F4505" w14:textId="77777777" w:rsidR="001C08A5" w:rsidRDefault="001C08A5">
      <w:pPr>
        <w:rPr>
          <w:b/>
          <w:sz w:val="24"/>
          <w:szCs w:val="24"/>
        </w:rPr>
      </w:pPr>
    </w:p>
    <w:p w14:paraId="47E79B85" w14:textId="77777777" w:rsidR="001C08A5" w:rsidRDefault="00000000">
      <w:pPr>
        <w:pStyle w:val="Captiontabel"/>
      </w:pPr>
      <w:bookmarkStart w:id="2550" w:name="_Toc162360088"/>
      <w:r>
        <w:t xml:space="preserve">Tabelul </w:t>
      </w:r>
      <w:r>
        <w:fldChar w:fldCharType="begin"/>
      </w:r>
      <w:r>
        <w:instrText xml:space="preserve"> SEQ Tabelul \* ARABIC </w:instrText>
      </w:r>
      <w:r>
        <w:fldChar w:fldCharType="separate"/>
      </w:r>
      <w:r>
        <w:t>38</w:t>
      </w:r>
      <w:r>
        <w:fldChar w:fldCharType="end"/>
      </w:r>
      <w:bookmarkStart w:id="2551" w:name="_Toc22719"/>
      <w:bookmarkStart w:id="2552" w:name="_Toc27917"/>
      <w:bookmarkStart w:id="2553" w:name="_Toc18707"/>
      <w:bookmarkStart w:id="2554" w:name="_Toc5355"/>
      <w:bookmarkStart w:id="2555" w:name="_Toc16607"/>
      <w:bookmarkStart w:id="2556" w:name="_Toc4536"/>
      <w:bookmarkStart w:id="2557" w:name="_Toc26180"/>
      <w:bookmarkStart w:id="2558" w:name="_Toc2496"/>
      <w:bookmarkStart w:id="2559" w:name="_Toc9121"/>
      <w:bookmarkStart w:id="2560" w:name="_Toc16269"/>
      <w:bookmarkStart w:id="2561" w:name="_Toc3677"/>
      <w:bookmarkStart w:id="2562" w:name="_Toc27714"/>
      <w:bookmarkStart w:id="2563" w:name="_Toc22984"/>
      <w:bookmarkStart w:id="2564" w:name="_Toc18151"/>
      <w:bookmarkStart w:id="2565" w:name="_Toc30303"/>
      <w:bookmarkStart w:id="2566" w:name="_Toc30503"/>
      <w:bookmarkStart w:id="2567" w:name="_Toc8813"/>
      <w:bookmarkStart w:id="2568" w:name="_Toc21256"/>
      <w:bookmarkStart w:id="2569" w:name="_Toc19440"/>
      <w:r>
        <w:t>: Număr maxim simultan de persoane din clădiri subterane</w:t>
      </w:r>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p>
    <w:p w14:paraId="1B461AD4" w14:textId="77777777" w:rsidR="001C08A5" w:rsidRDefault="001C08A5">
      <w:pPr>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701"/>
        <w:gridCol w:w="7371"/>
      </w:tblGrid>
      <w:tr w:rsidR="001C08A5" w14:paraId="15AD472E" w14:textId="77777777">
        <w:tc>
          <w:tcPr>
            <w:tcW w:w="534" w:type="dxa"/>
          </w:tcPr>
          <w:p w14:paraId="6B8004DD" w14:textId="77777777" w:rsidR="001C08A5" w:rsidRDefault="001C08A5">
            <w:pPr>
              <w:rPr>
                <w:i/>
                <w:iCs/>
                <w:sz w:val="22"/>
                <w:szCs w:val="22"/>
              </w:rPr>
            </w:pPr>
          </w:p>
        </w:tc>
        <w:tc>
          <w:tcPr>
            <w:tcW w:w="1701" w:type="dxa"/>
          </w:tcPr>
          <w:p w14:paraId="294787ED" w14:textId="77777777" w:rsidR="001C08A5" w:rsidRDefault="00000000">
            <w:pPr>
              <w:rPr>
                <w:i/>
                <w:iCs/>
                <w:sz w:val="22"/>
                <w:szCs w:val="22"/>
              </w:rPr>
            </w:pPr>
            <w:r>
              <w:rPr>
                <w:i/>
                <w:iCs/>
                <w:sz w:val="22"/>
                <w:szCs w:val="22"/>
              </w:rPr>
              <w:t>Clădiri subterane</w:t>
            </w:r>
          </w:p>
        </w:tc>
        <w:tc>
          <w:tcPr>
            <w:tcW w:w="7371" w:type="dxa"/>
          </w:tcPr>
          <w:p w14:paraId="38364978" w14:textId="77777777" w:rsidR="001C08A5" w:rsidRDefault="00000000">
            <w:pPr>
              <w:rPr>
                <w:i/>
                <w:iCs/>
                <w:sz w:val="22"/>
                <w:szCs w:val="22"/>
              </w:rPr>
            </w:pPr>
            <w:r>
              <w:rPr>
                <w:i/>
                <w:iCs/>
                <w:sz w:val="22"/>
                <w:szCs w:val="22"/>
              </w:rPr>
              <w:t>Conform încadrare a clădirilor cu funcţiuni / destinaţii diferite din care sunt constituite.</w:t>
            </w:r>
          </w:p>
        </w:tc>
      </w:tr>
    </w:tbl>
    <w:p w14:paraId="3390673C" w14:textId="77777777" w:rsidR="001C08A5" w:rsidRDefault="001C08A5">
      <w:pPr>
        <w:rPr>
          <w:b/>
          <w:sz w:val="24"/>
          <w:szCs w:val="24"/>
        </w:rPr>
      </w:pPr>
    </w:p>
    <w:p w14:paraId="45D53320" w14:textId="77777777" w:rsidR="001C08A5" w:rsidRDefault="00000000">
      <w:pPr>
        <w:pStyle w:val="Captiontabel"/>
      </w:pPr>
      <w:bookmarkStart w:id="2570" w:name="_Toc162360089"/>
      <w:r>
        <w:t xml:space="preserve">Tabelul </w:t>
      </w:r>
      <w:r>
        <w:fldChar w:fldCharType="begin"/>
      </w:r>
      <w:r>
        <w:instrText xml:space="preserve"> SEQ Tabelul \* ARABIC </w:instrText>
      </w:r>
      <w:r>
        <w:fldChar w:fldCharType="separate"/>
      </w:r>
      <w:r>
        <w:t>39</w:t>
      </w:r>
      <w:r>
        <w:fldChar w:fldCharType="end"/>
      </w:r>
      <w:bookmarkStart w:id="2571" w:name="_Toc19543"/>
      <w:bookmarkStart w:id="2572" w:name="_Toc25186"/>
      <w:bookmarkStart w:id="2573" w:name="_Toc15100"/>
      <w:bookmarkStart w:id="2574" w:name="_Toc30963"/>
      <w:bookmarkStart w:id="2575" w:name="_Toc17938"/>
      <w:bookmarkStart w:id="2576" w:name="_Toc9886"/>
      <w:bookmarkStart w:id="2577" w:name="_Toc19587"/>
      <w:bookmarkStart w:id="2578" w:name="_Toc17369"/>
      <w:bookmarkStart w:id="2579" w:name="_Toc23468"/>
      <w:bookmarkStart w:id="2580" w:name="_Toc3708"/>
      <w:bookmarkStart w:id="2581" w:name="_Toc4741"/>
      <w:bookmarkStart w:id="2582" w:name="_Toc18502"/>
      <w:bookmarkStart w:id="2583" w:name="_Toc32695"/>
      <w:bookmarkStart w:id="2584" w:name="_Toc27815"/>
      <w:bookmarkStart w:id="2585" w:name="_Toc23746"/>
      <w:bookmarkStart w:id="2586" w:name="_Toc1418"/>
      <w:bookmarkStart w:id="2587" w:name="_Toc24843"/>
      <w:bookmarkStart w:id="2588" w:name="_Toc6146"/>
      <w:bookmarkStart w:id="2589" w:name="_Toc16324"/>
      <w:r>
        <w:t>: Număr minim simultan de persoane din construcţii de producţie şi / sau depozitare</w:t>
      </w:r>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p>
    <w:p w14:paraId="1F1733A9" w14:textId="77777777" w:rsidR="001C08A5" w:rsidRDefault="001C08A5">
      <w:pPr>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701"/>
        <w:gridCol w:w="1991"/>
        <w:gridCol w:w="1038"/>
        <w:gridCol w:w="800"/>
        <w:gridCol w:w="1274"/>
        <w:gridCol w:w="708"/>
        <w:gridCol w:w="1560"/>
      </w:tblGrid>
      <w:tr w:rsidR="001C08A5" w14:paraId="04DF4EA5" w14:textId="77777777">
        <w:trPr>
          <w:tblHeader/>
        </w:trPr>
        <w:tc>
          <w:tcPr>
            <w:tcW w:w="534" w:type="dxa"/>
            <w:shd w:val="clear" w:color="auto" w:fill="BFBFBF"/>
          </w:tcPr>
          <w:p w14:paraId="5825967C" w14:textId="77777777" w:rsidR="001C08A5" w:rsidRDefault="001C08A5">
            <w:pPr>
              <w:jc w:val="center"/>
              <w:rPr>
                <w:b/>
                <w:i/>
                <w:iCs/>
                <w:sz w:val="22"/>
                <w:szCs w:val="22"/>
              </w:rPr>
            </w:pPr>
          </w:p>
          <w:p w14:paraId="350B06D0" w14:textId="77777777" w:rsidR="001C08A5" w:rsidRDefault="00000000">
            <w:pPr>
              <w:jc w:val="center"/>
              <w:rPr>
                <w:b/>
                <w:i/>
                <w:iCs/>
                <w:sz w:val="22"/>
                <w:szCs w:val="22"/>
              </w:rPr>
            </w:pPr>
            <w:r>
              <w:rPr>
                <w:b/>
                <w:i/>
                <w:iCs/>
                <w:sz w:val="22"/>
                <w:szCs w:val="22"/>
              </w:rPr>
              <w:t>Nr.</w:t>
            </w:r>
          </w:p>
          <w:p w14:paraId="03112565" w14:textId="77777777" w:rsidR="001C08A5" w:rsidRDefault="00000000">
            <w:pPr>
              <w:jc w:val="center"/>
              <w:rPr>
                <w:i/>
                <w:iCs/>
                <w:sz w:val="22"/>
                <w:szCs w:val="22"/>
              </w:rPr>
            </w:pPr>
            <w:r>
              <w:rPr>
                <w:b/>
                <w:i/>
                <w:iCs/>
                <w:sz w:val="22"/>
                <w:szCs w:val="22"/>
              </w:rPr>
              <w:t>crt.</w:t>
            </w:r>
          </w:p>
        </w:tc>
        <w:tc>
          <w:tcPr>
            <w:tcW w:w="1701" w:type="dxa"/>
            <w:shd w:val="clear" w:color="auto" w:fill="BFBFBF"/>
          </w:tcPr>
          <w:p w14:paraId="43D44046" w14:textId="77777777" w:rsidR="001C08A5" w:rsidRDefault="001C08A5">
            <w:pPr>
              <w:jc w:val="center"/>
              <w:rPr>
                <w:b/>
                <w:i/>
                <w:iCs/>
                <w:sz w:val="22"/>
                <w:szCs w:val="22"/>
              </w:rPr>
            </w:pPr>
          </w:p>
          <w:p w14:paraId="40B29A32" w14:textId="77777777" w:rsidR="001C08A5" w:rsidRDefault="00000000">
            <w:pPr>
              <w:jc w:val="center"/>
              <w:rPr>
                <w:i/>
                <w:iCs/>
                <w:sz w:val="22"/>
                <w:szCs w:val="22"/>
              </w:rPr>
            </w:pPr>
            <w:r>
              <w:rPr>
                <w:b/>
                <w:i/>
                <w:iCs/>
                <w:sz w:val="22"/>
                <w:szCs w:val="22"/>
              </w:rPr>
              <w:t>Destinaţie / funcţiune</w:t>
            </w:r>
          </w:p>
        </w:tc>
        <w:tc>
          <w:tcPr>
            <w:tcW w:w="1991" w:type="dxa"/>
            <w:shd w:val="clear" w:color="auto" w:fill="BFBFBF"/>
          </w:tcPr>
          <w:p w14:paraId="1ED235B3" w14:textId="77777777" w:rsidR="001C08A5" w:rsidRDefault="001C08A5">
            <w:pPr>
              <w:jc w:val="center"/>
              <w:rPr>
                <w:b/>
                <w:i/>
                <w:iCs/>
                <w:sz w:val="22"/>
                <w:szCs w:val="22"/>
              </w:rPr>
            </w:pPr>
          </w:p>
          <w:p w14:paraId="0162DD16" w14:textId="77777777" w:rsidR="001C08A5" w:rsidRDefault="00000000">
            <w:pPr>
              <w:jc w:val="center"/>
              <w:rPr>
                <w:b/>
                <w:i/>
                <w:iCs/>
                <w:sz w:val="22"/>
                <w:szCs w:val="22"/>
              </w:rPr>
            </w:pPr>
            <w:r>
              <w:rPr>
                <w:b/>
                <w:i/>
                <w:iCs/>
                <w:sz w:val="22"/>
                <w:szCs w:val="22"/>
              </w:rPr>
              <w:t>Observaţii</w:t>
            </w:r>
          </w:p>
        </w:tc>
        <w:tc>
          <w:tcPr>
            <w:tcW w:w="1038" w:type="dxa"/>
            <w:shd w:val="clear" w:color="auto" w:fill="BFBFBF"/>
          </w:tcPr>
          <w:p w14:paraId="48C84C4A" w14:textId="77777777" w:rsidR="001C08A5" w:rsidRDefault="001C08A5">
            <w:pPr>
              <w:jc w:val="center"/>
              <w:rPr>
                <w:b/>
                <w:i/>
                <w:iCs/>
                <w:sz w:val="22"/>
                <w:szCs w:val="22"/>
              </w:rPr>
            </w:pPr>
          </w:p>
          <w:p w14:paraId="47238EAC" w14:textId="77777777" w:rsidR="001C08A5" w:rsidRDefault="00000000">
            <w:pPr>
              <w:jc w:val="center"/>
              <w:rPr>
                <w:i/>
                <w:iCs/>
                <w:sz w:val="22"/>
                <w:szCs w:val="22"/>
              </w:rPr>
            </w:pPr>
            <w:r>
              <w:rPr>
                <w:b/>
                <w:i/>
                <w:iCs/>
                <w:sz w:val="22"/>
                <w:szCs w:val="22"/>
              </w:rPr>
              <w:t>Nivel de referinţă</w:t>
            </w:r>
          </w:p>
        </w:tc>
        <w:tc>
          <w:tcPr>
            <w:tcW w:w="800" w:type="dxa"/>
            <w:shd w:val="clear" w:color="auto" w:fill="BFBFBF"/>
          </w:tcPr>
          <w:p w14:paraId="3A252EFB" w14:textId="77777777" w:rsidR="001C08A5" w:rsidRDefault="001C08A5">
            <w:pPr>
              <w:jc w:val="center"/>
              <w:rPr>
                <w:b/>
                <w:i/>
                <w:iCs/>
                <w:sz w:val="22"/>
                <w:szCs w:val="22"/>
              </w:rPr>
            </w:pPr>
          </w:p>
          <w:p w14:paraId="3F882C80" w14:textId="77777777" w:rsidR="001C08A5" w:rsidRDefault="00000000">
            <w:pPr>
              <w:jc w:val="center"/>
              <w:rPr>
                <w:b/>
                <w:i/>
                <w:iCs/>
                <w:sz w:val="22"/>
                <w:szCs w:val="22"/>
              </w:rPr>
            </w:pPr>
            <w:r>
              <w:rPr>
                <w:b/>
                <w:i/>
                <w:iCs/>
                <w:sz w:val="22"/>
                <w:szCs w:val="22"/>
              </w:rPr>
              <w:t>Arie utilă (m</w:t>
            </w:r>
            <w:r>
              <w:rPr>
                <w:b/>
                <w:i/>
                <w:iCs/>
                <w:sz w:val="22"/>
                <w:szCs w:val="22"/>
                <w:vertAlign w:val="superscript"/>
              </w:rPr>
              <w:t>2</w:t>
            </w:r>
            <w:r>
              <w:rPr>
                <w:b/>
                <w:i/>
                <w:iCs/>
                <w:sz w:val="22"/>
                <w:szCs w:val="22"/>
              </w:rPr>
              <w:t>)/ pers.</w:t>
            </w:r>
          </w:p>
        </w:tc>
        <w:tc>
          <w:tcPr>
            <w:tcW w:w="1274" w:type="dxa"/>
            <w:shd w:val="clear" w:color="auto" w:fill="BFBFBF"/>
          </w:tcPr>
          <w:p w14:paraId="661FF1C1" w14:textId="77777777" w:rsidR="001C08A5" w:rsidRDefault="00000000">
            <w:pPr>
              <w:jc w:val="center"/>
              <w:rPr>
                <w:b/>
                <w:i/>
                <w:iCs/>
                <w:sz w:val="22"/>
                <w:szCs w:val="22"/>
              </w:rPr>
            </w:pPr>
            <w:r>
              <w:rPr>
                <w:b/>
                <w:i/>
                <w:iCs/>
                <w:sz w:val="22"/>
                <w:szCs w:val="22"/>
              </w:rPr>
              <w:t>Destinaţia / funcţiunea ariei considerată în calcul</w:t>
            </w:r>
          </w:p>
        </w:tc>
        <w:tc>
          <w:tcPr>
            <w:tcW w:w="708" w:type="dxa"/>
            <w:shd w:val="clear" w:color="auto" w:fill="BFBFBF"/>
          </w:tcPr>
          <w:p w14:paraId="728A6F59" w14:textId="77777777" w:rsidR="001C08A5" w:rsidRDefault="001C08A5">
            <w:pPr>
              <w:jc w:val="center"/>
              <w:rPr>
                <w:b/>
                <w:i/>
                <w:iCs/>
                <w:sz w:val="22"/>
                <w:szCs w:val="22"/>
              </w:rPr>
            </w:pPr>
          </w:p>
          <w:p w14:paraId="43DE9B4C" w14:textId="77777777" w:rsidR="001C08A5" w:rsidRDefault="00000000">
            <w:pPr>
              <w:jc w:val="center"/>
              <w:rPr>
                <w:b/>
                <w:i/>
                <w:iCs/>
                <w:sz w:val="22"/>
                <w:szCs w:val="22"/>
              </w:rPr>
            </w:pPr>
            <w:r>
              <w:rPr>
                <w:b/>
                <w:i/>
                <w:iCs/>
                <w:sz w:val="22"/>
                <w:szCs w:val="22"/>
              </w:rPr>
              <w:t>Spor%</w:t>
            </w:r>
          </w:p>
          <w:p w14:paraId="4DF89716" w14:textId="77777777" w:rsidR="001C08A5" w:rsidRDefault="001C08A5">
            <w:pPr>
              <w:jc w:val="center"/>
              <w:rPr>
                <w:b/>
                <w:i/>
                <w:iCs/>
                <w:sz w:val="22"/>
                <w:szCs w:val="22"/>
              </w:rPr>
            </w:pPr>
          </w:p>
        </w:tc>
        <w:tc>
          <w:tcPr>
            <w:tcW w:w="1560" w:type="dxa"/>
            <w:shd w:val="clear" w:color="auto" w:fill="BFBFBF"/>
          </w:tcPr>
          <w:p w14:paraId="54C91715" w14:textId="77777777" w:rsidR="001C08A5" w:rsidRDefault="001C08A5">
            <w:pPr>
              <w:jc w:val="center"/>
              <w:rPr>
                <w:b/>
                <w:i/>
                <w:iCs/>
                <w:sz w:val="22"/>
                <w:szCs w:val="22"/>
              </w:rPr>
            </w:pPr>
          </w:p>
          <w:p w14:paraId="418776A4" w14:textId="77777777" w:rsidR="001C08A5" w:rsidRDefault="00000000">
            <w:pPr>
              <w:jc w:val="center"/>
              <w:rPr>
                <w:b/>
                <w:i/>
                <w:iCs/>
                <w:sz w:val="22"/>
                <w:szCs w:val="22"/>
              </w:rPr>
            </w:pPr>
            <w:r>
              <w:rPr>
                <w:b/>
                <w:i/>
                <w:iCs/>
                <w:sz w:val="22"/>
                <w:szCs w:val="22"/>
              </w:rPr>
              <w:t>Personalul pentru care se acordă spor</w:t>
            </w:r>
          </w:p>
        </w:tc>
      </w:tr>
      <w:tr w:rsidR="001C08A5" w14:paraId="4AB2085D" w14:textId="77777777">
        <w:tc>
          <w:tcPr>
            <w:tcW w:w="534" w:type="dxa"/>
          </w:tcPr>
          <w:p w14:paraId="05D8B3FC" w14:textId="77777777" w:rsidR="001C08A5" w:rsidRDefault="00000000">
            <w:pPr>
              <w:rPr>
                <w:i/>
                <w:iCs/>
                <w:sz w:val="22"/>
                <w:szCs w:val="22"/>
              </w:rPr>
            </w:pPr>
            <w:r>
              <w:rPr>
                <w:i/>
                <w:iCs/>
                <w:sz w:val="22"/>
                <w:szCs w:val="22"/>
              </w:rPr>
              <w:t>1</w:t>
            </w:r>
          </w:p>
        </w:tc>
        <w:tc>
          <w:tcPr>
            <w:tcW w:w="1701" w:type="dxa"/>
          </w:tcPr>
          <w:p w14:paraId="657D8C2F" w14:textId="77777777" w:rsidR="001C08A5" w:rsidRDefault="00000000">
            <w:pPr>
              <w:rPr>
                <w:i/>
                <w:iCs/>
                <w:sz w:val="22"/>
                <w:szCs w:val="22"/>
              </w:rPr>
            </w:pPr>
            <w:r>
              <w:rPr>
                <w:i/>
                <w:iCs/>
                <w:sz w:val="22"/>
                <w:szCs w:val="22"/>
              </w:rPr>
              <w:t>Spaţiu de producţie</w:t>
            </w:r>
          </w:p>
        </w:tc>
        <w:tc>
          <w:tcPr>
            <w:tcW w:w="1991" w:type="dxa"/>
          </w:tcPr>
          <w:p w14:paraId="1C77C569" w14:textId="77777777" w:rsidR="001C08A5" w:rsidRDefault="00000000">
            <w:pPr>
              <w:rPr>
                <w:i/>
                <w:iCs/>
                <w:sz w:val="22"/>
                <w:szCs w:val="22"/>
              </w:rPr>
            </w:pPr>
            <w:r>
              <w:rPr>
                <w:i/>
                <w:iCs/>
                <w:sz w:val="22"/>
                <w:szCs w:val="22"/>
              </w:rPr>
              <w:t>Personalul cu activitate permanentă stabilită prin proiect pentru un schimb de lucru</w:t>
            </w:r>
          </w:p>
        </w:tc>
        <w:tc>
          <w:tcPr>
            <w:tcW w:w="1038" w:type="dxa"/>
          </w:tcPr>
          <w:p w14:paraId="39DD1AEC" w14:textId="77777777" w:rsidR="001C08A5" w:rsidRDefault="001C08A5">
            <w:pPr>
              <w:rPr>
                <w:i/>
                <w:iCs/>
                <w:sz w:val="22"/>
                <w:szCs w:val="22"/>
              </w:rPr>
            </w:pPr>
          </w:p>
        </w:tc>
        <w:tc>
          <w:tcPr>
            <w:tcW w:w="800" w:type="dxa"/>
          </w:tcPr>
          <w:p w14:paraId="725E980A" w14:textId="77777777" w:rsidR="001C08A5" w:rsidRDefault="00000000">
            <w:pPr>
              <w:jc w:val="center"/>
              <w:rPr>
                <w:b/>
                <w:i/>
                <w:iCs/>
                <w:sz w:val="22"/>
                <w:szCs w:val="22"/>
              </w:rPr>
            </w:pPr>
            <w:r>
              <w:rPr>
                <w:b/>
                <w:i/>
                <w:iCs/>
                <w:sz w:val="22"/>
                <w:szCs w:val="22"/>
              </w:rPr>
              <w:t>5,00 (sau conf. obs.)</w:t>
            </w:r>
          </w:p>
        </w:tc>
        <w:tc>
          <w:tcPr>
            <w:tcW w:w="1274" w:type="dxa"/>
          </w:tcPr>
          <w:p w14:paraId="31FB9C56" w14:textId="77777777" w:rsidR="001C08A5" w:rsidRDefault="001C08A5">
            <w:pPr>
              <w:rPr>
                <w:i/>
                <w:iCs/>
                <w:sz w:val="22"/>
                <w:szCs w:val="22"/>
              </w:rPr>
            </w:pPr>
          </w:p>
        </w:tc>
        <w:tc>
          <w:tcPr>
            <w:tcW w:w="708" w:type="dxa"/>
          </w:tcPr>
          <w:p w14:paraId="1CA96DE1" w14:textId="77777777" w:rsidR="001C08A5" w:rsidRDefault="001C08A5">
            <w:pPr>
              <w:rPr>
                <w:i/>
                <w:iCs/>
                <w:sz w:val="22"/>
                <w:szCs w:val="22"/>
              </w:rPr>
            </w:pPr>
          </w:p>
        </w:tc>
        <w:tc>
          <w:tcPr>
            <w:tcW w:w="1560" w:type="dxa"/>
          </w:tcPr>
          <w:p w14:paraId="2AE91407" w14:textId="77777777" w:rsidR="001C08A5" w:rsidRDefault="001C08A5">
            <w:pPr>
              <w:rPr>
                <w:i/>
                <w:iCs/>
                <w:sz w:val="22"/>
                <w:szCs w:val="22"/>
              </w:rPr>
            </w:pPr>
          </w:p>
        </w:tc>
      </w:tr>
      <w:tr w:rsidR="001C08A5" w14:paraId="56FD1C81" w14:textId="77777777">
        <w:tc>
          <w:tcPr>
            <w:tcW w:w="534" w:type="dxa"/>
          </w:tcPr>
          <w:p w14:paraId="2AF7BDFD" w14:textId="77777777" w:rsidR="001C08A5" w:rsidRDefault="00000000">
            <w:pPr>
              <w:rPr>
                <w:i/>
                <w:iCs/>
                <w:sz w:val="22"/>
                <w:szCs w:val="22"/>
              </w:rPr>
            </w:pPr>
            <w:r>
              <w:rPr>
                <w:i/>
                <w:iCs/>
                <w:sz w:val="22"/>
                <w:szCs w:val="22"/>
              </w:rPr>
              <w:t>2</w:t>
            </w:r>
          </w:p>
        </w:tc>
        <w:tc>
          <w:tcPr>
            <w:tcW w:w="1701" w:type="dxa"/>
          </w:tcPr>
          <w:p w14:paraId="7D406374" w14:textId="77777777" w:rsidR="001C08A5" w:rsidRDefault="00000000">
            <w:pPr>
              <w:rPr>
                <w:i/>
                <w:iCs/>
                <w:sz w:val="22"/>
                <w:szCs w:val="22"/>
              </w:rPr>
            </w:pPr>
            <w:r>
              <w:rPr>
                <w:i/>
                <w:iCs/>
                <w:sz w:val="22"/>
                <w:szCs w:val="22"/>
              </w:rPr>
              <w:t>Depozit / antrepozit / magazie</w:t>
            </w:r>
          </w:p>
        </w:tc>
        <w:tc>
          <w:tcPr>
            <w:tcW w:w="1991" w:type="dxa"/>
          </w:tcPr>
          <w:p w14:paraId="2A346376" w14:textId="77777777" w:rsidR="001C08A5" w:rsidRDefault="00000000">
            <w:pPr>
              <w:rPr>
                <w:i/>
                <w:iCs/>
                <w:sz w:val="22"/>
                <w:szCs w:val="22"/>
              </w:rPr>
            </w:pPr>
            <w:r>
              <w:rPr>
                <w:i/>
                <w:iCs/>
                <w:sz w:val="22"/>
                <w:szCs w:val="22"/>
              </w:rPr>
              <w:t>Personalul cu activitate permanentă stabilită prin proiect</w:t>
            </w:r>
          </w:p>
        </w:tc>
        <w:tc>
          <w:tcPr>
            <w:tcW w:w="1038" w:type="dxa"/>
          </w:tcPr>
          <w:p w14:paraId="36D86555" w14:textId="77777777" w:rsidR="001C08A5" w:rsidRDefault="001C08A5">
            <w:pPr>
              <w:rPr>
                <w:i/>
                <w:iCs/>
                <w:sz w:val="22"/>
                <w:szCs w:val="22"/>
              </w:rPr>
            </w:pPr>
          </w:p>
        </w:tc>
        <w:tc>
          <w:tcPr>
            <w:tcW w:w="800" w:type="dxa"/>
          </w:tcPr>
          <w:p w14:paraId="26B441F3" w14:textId="77777777" w:rsidR="001C08A5" w:rsidRDefault="00000000">
            <w:pPr>
              <w:jc w:val="center"/>
              <w:rPr>
                <w:b/>
                <w:i/>
                <w:iCs/>
                <w:sz w:val="22"/>
                <w:szCs w:val="22"/>
              </w:rPr>
            </w:pPr>
            <w:r>
              <w:rPr>
                <w:b/>
                <w:i/>
                <w:iCs/>
                <w:sz w:val="22"/>
                <w:szCs w:val="22"/>
              </w:rPr>
              <w:t>30,00 (sau conf. obs.)</w:t>
            </w:r>
          </w:p>
        </w:tc>
        <w:tc>
          <w:tcPr>
            <w:tcW w:w="1274" w:type="dxa"/>
          </w:tcPr>
          <w:p w14:paraId="6C52D979" w14:textId="77777777" w:rsidR="001C08A5" w:rsidRDefault="001C08A5">
            <w:pPr>
              <w:rPr>
                <w:i/>
                <w:iCs/>
                <w:sz w:val="22"/>
                <w:szCs w:val="22"/>
              </w:rPr>
            </w:pPr>
          </w:p>
        </w:tc>
        <w:tc>
          <w:tcPr>
            <w:tcW w:w="708" w:type="dxa"/>
          </w:tcPr>
          <w:p w14:paraId="416DDAC3" w14:textId="77777777" w:rsidR="001C08A5" w:rsidRDefault="001C08A5">
            <w:pPr>
              <w:rPr>
                <w:i/>
                <w:iCs/>
                <w:sz w:val="22"/>
                <w:szCs w:val="22"/>
              </w:rPr>
            </w:pPr>
          </w:p>
        </w:tc>
        <w:tc>
          <w:tcPr>
            <w:tcW w:w="1560" w:type="dxa"/>
          </w:tcPr>
          <w:p w14:paraId="2E6E4295" w14:textId="77777777" w:rsidR="001C08A5" w:rsidRDefault="001C08A5">
            <w:pPr>
              <w:rPr>
                <w:i/>
                <w:iCs/>
                <w:sz w:val="22"/>
                <w:szCs w:val="22"/>
              </w:rPr>
            </w:pPr>
          </w:p>
        </w:tc>
      </w:tr>
      <w:tr w:rsidR="001C08A5" w14:paraId="44F600B6" w14:textId="77777777">
        <w:tc>
          <w:tcPr>
            <w:tcW w:w="534" w:type="dxa"/>
          </w:tcPr>
          <w:p w14:paraId="473B5A8D" w14:textId="77777777" w:rsidR="001C08A5" w:rsidRDefault="00000000">
            <w:pPr>
              <w:rPr>
                <w:i/>
                <w:iCs/>
                <w:sz w:val="22"/>
                <w:szCs w:val="22"/>
              </w:rPr>
            </w:pPr>
            <w:r>
              <w:rPr>
                <w:i/>
                <w:iCs/>
                <w:sz w:val="22"/>
                <w:szCs w:val="22"/>
              </w:rPr>
              <w:lastRenderedPageBreak/>
              <w:t>3</w:t>
            </w:r>
          </w:p>
        </w:tc>
        <w:tc>
          <w:tcPr>
            <w:tcW w:w="1701" w:type="dxa"/>
          </w:tcPr>
          <w:p w14:paraId="4B0DBD52" w14:textId="77777777" w:rsidR="001C08A5" w:rsidRDefault="00000000">
            <w:pPr>
              <w:rPr>
                <w:i/>
                <w:iCs/>
                <w:sz w:val="22"/>
                <w:szCs w:val="22"/>
              </w:rPr>
            </w:pPr>
            <w:r>
              <w:rPr>
                <w:i/>
                <w:iCs/>
                <w:sz w:val="22"/>
                <w:szCs w:val="22"/>
              </w:rPr>
              <w:t xml:space="preserve">Încăperi cu diverse funcţiuni / destinaţii </w:t>
            </w:r>
          </w:p>
        </w:tc>
        <w:tc>
          <w:tcPr>
            <w:tcW w:w="7371" w:type="dxa"/>
            <w:gridSpan w:val="6"/>
          </w:tcPr>
          <w:p w14:paraId="6924D46B" w14:textId="77777777" w:rsidR="001C08A5" w:rsidRDefault="00000000">
            <w:pPr>
              <w:jc w:val="center"/>
              <w:rPr>
                <w:i/>
                <w:iCs/>
                <w:sz w:val="22"/>
                <w:szCs w:val="22"/>
              </w:rPr>
            </w:pPr>
            <w:r>
              <w:rPr>
                <w:i/>
                <w:iCs/>
                <w:sz w:val="22"/>
                <w:szCs w:val="22"/>
              </w:rPr>
              <w:t>Conform încadrare „Încăperi specifice mai multor funcţiuni / destinaţii de clădiri civile”, destinaţii / funcţiuni din diferitele clădiri sau prin asimilare cu cele existente.</w:t>
            </w:r>
          </w:p>
        </w:tc>
      </w:tr>
    </w:tbl>
    <w:p w14:paraId="2C8618EA" w14:textId="77777777" w:rsidR="001C08A5" w:rsidRDefault="001C08A5">
      <w:pPr>
        <w:rPr>
          <w:b/>
          <w:sz w:val="24"/>
          <w:szCs w:val="24"/>
        </w:rPr>
      </w:pPr>
    </w:p>
    <w:p w14:paraId="2F7697D5" w14:textId="77777777" w:rsidR="001C08A5" w:rsidRDefault="00000000">
      <w:pPr>
        <w:pStyle w:val="Captiontabel"/>
      </w:pPr>
      <w:bookmarkStart w:id="2590" w:name="_Toc162360090"/>
      <w:bookmarkStart w:id="2591" w:name="_Ref32315"/>
      <w:r>
        <w:t xml:space="preserve">Tabelul </w:t>
      </w:r>
      <w:r>
        <w:fldChar w:fldCharType="begin"/>
      </w:r>
      <w:r>
        <w:instrText xml:space="preserve"> SEQ Tabelul \* ARABIC </w:instrText>
      </w:r>
      <w:r>
        <w:fldChar w:fldCharType="separate"/>
      </w:r>
      <w:r>
        <w:t>40</w:t>
      </w:r>
      <w:r>
        <w:fldChar w:fldCharType="end"/>
      </w:r>
      <w:bookmarkStart w:id="2592" w:name="_Toc6037"/>
      <w:bookmarkStart w:id="2593" w:name="_Toc5518"/>
      <w:bookmarkStart w:id="2594" w:name="_Toc24507"/>
      <w:bookmarkStart w:id="2595" w:name="_Toc12268"/>
      <w:bookmarkStart w:id="2596" w:name="_Toc22004"/>
      <w:bookmarkStart w:id="2597" w:name="_Toc26051"/>
      <w:bookmarkStart w:id="2598" w:name="_Toc10210"/>
      <w:bookmarkStart w:id="2599" w:name="_Toc16379"/>
      <w:bookmarkStart w:id="2600" w:name="_Toc18079"/>
      <w:bookmarkStart w:id="2601" w:name="_Toc17247"/>
      <w:bookmarkStart w:id="2602" w:name="_Toc5860"/>
      <w:bookmarkStart w:id="2603" w:name="_Toc18643"/>
      <w:bookmarkStart w:id="2604" w:name="_Toc11400"/>
      <w:bookmarkStart w:id="2605" w:name="_Toc22985"/>
      <w:bookmarkStart w:id="2606" w:name="_Toc5354"/>
      <w:bookmarkStart w:id="2607" w:name="_Toc1882"/>
      <w:bookmarkStart w:id="2608" w:name="_Toc2151"/>
      <w:bookmarkStart w:id="2609" w:name="_Toc30649"/>
      <w:bookmarkStart w:id="2610" w:name="_Toc7263"/>
      <w:r>
        <w:t>: Număr minim simultan de persoane din încăperi specifice mai multor  funcţiuni / destinaţii de clădiri civile</w:t>
      </w:r>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p>
    <w:p w14:paraId="73ABA383" w14:textId="77777777" w:rsidR="001C08A5" w:rsidRDefault="001C08A5">
      <w:pPr>
        <w:pStyle w:val="Default"/>
        <w:rPr>
          <w:color w:val="auto"/>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3827"/>
        <w:gridCol w:w="2126"/>
        <w:gridCol w:w="851"/>
        <w:gridCol w:w="2268"/>
      </w:tblGrid>
      <w:tr w:rsidR="001C08A5" w14:paraId="3077F538" w14:textId="77777777">
        <w:trPr>
          <w:tblHeader/>
        </w:trPr>
        <w:tc>
          <w:tcPr>
            <w:tcW w:w="534" w:type="dxa"/>
            <w:shd w:val="clear" w:color="auto" w:fill="BFBFBF"/>
          </w:tcPr>
          <w:p w14:paraId="1AACD054" w14:textId="77777777" w:rsidR="001C08A5" w:rsidRDefault="00000000">
            <w:pPr>
              <w:jc w:val="center"/>
              <w:rPr>
                <w:b/>
                <w:i/>
                <w:iCs/>
                <w:sz w:val="22"/>
                <w:szCs w:val="22"/>
              </w:rPr>
            </w:pPr>
            <w:r>
              <w:rPr>
                <w:b/>
                <w:i/>
                <w:iCs/>
                <w:sz w:val="22"/>
                <w:szCs w:val="22"/>
              </w:rPr>
              <w:t>Nr.</w:t>
            </w:r>
          </w:p>
          <w:p w14:paraId="72C0E42E" w14:textId="77777777" w:rsidR="001C08A5" w:rsidRDefault="00000000">
            <w:pPr>
              <w:jc w:val="center"/>
              <w:rPr>
                <w:i/>
                <w:iCs/>
                <w:sz w:val="22"/>
                <w:szCs w:val="22"/>
              </w:rPr>
            </w:pPr>
            <w:r>
              <w:rPr>
                <w:b/>
                <w:i/>
                <w:iCs/>
                <w:sz w:val="22"/>
                <w:szCs w:val="22"/>
              </w:rPr>
              <w:t>crt.</w:t>
            </w:r>
          </w:p>
        </w:tc>
        <w:tc>
          <w:tcPr>
            <w:tcW w:w="3827" w:type="dxa"/>
            <w:shd w:val="clear" w:color="auto" w:fill="BFBFBF"/>
          </w:tcPr>
          <w:p w14:paraId="6CFEA55B" w14:textId="77777777" w:rsidR="001C08A5" w:rsidRDefault="00000000">
            <w:pPr>
              <w:jc w:val="center"/>
              <w:rPr>
                <w:i/>
                <w:iCs/>
                <w:sz w:val="22"/>
                <w:szCs w:val="22"/>
              </w:rPr>
            </w:pPr>
            <w:r>
              <w:rPr>
                <w:b/>
                <w:i/>
                <w:iCs/>
                <w:sz w:val="22"/>
                <w:szCs w:val="22"/>
              </w:rPr>
              <w:t>Destinaţie / funcţiune</w:t>
            </w:r>
          </w:p>
        </w:tc>
        <w:tc>
          <w:tcPr>
            <w:tcW w:w="2126" w:type="dxa"/>
            <w:shd w:val="clear" w:color="auto" w:fill="BFBFBF"/>
          </w:tcPr>
          <w:p w14:paraId="001A7C96" w14:textId="77777777" w:rsidR="001C08A5" w:rsidRDefault="00000000">
            <w:pPr>
              <w:jc w:val="center"/>
              <w:rPr>
                <w:b/>
                <w:i/>
                <w:iCs/>
                <w:sz w:val="22"/>
                <w:szCs w:val="22"/>
              </w:rPr>
            </w:pPr>
            <w:r>
              <w:rPr>
                <w:b/>
                <w:i/>
                <w:iCs/>
                <w:sz w:val="22"/>
                <w:szCs w:val="22"/>
              </w:rPr>
              <w:t>Arie utilă (m</w:t>
            </w:r>
            <w:r>
              <w:rPr>
                <w:b/>
                <w:i/>
                <w:iCs/>
                <w:sz w:val="22"/>
                <w:szCs w:val="22"/>
                <w:vertAlign w:val="superscript"/>
              </w:rPr>
              <w:t>2</w:t>
            </w:r>
            <w:r>
              <w:rPr>
                <w:b/>
                <w:i/>
                <w:iCs/>
                <w:sz w:val="22"/>
                <w:szCs w:val="22"/>
              </w:rPr>
              <w:t>)/pers.</w:t>
            </w:r>
          </w:p>
        </w:tc>
        <w:tc>
          <w:tcPr>
            <w:tcW w:w="851" w:type="dxa"/>
            <w:shd w:val="clear" w:color="auto" w:fill="BFBFBF"/>
          </w:tcPr>
          <w:p w14:paraId="132A48F5" w14:textId="77777777" w:rsidR="001C08A5" w:rsidRDefault="00000000">
            <w:pPr>
              <w:jc w:val="center"/>
              <w:rPr>
                <w:b/>
                <w:i/>
                <w:iCs/>
                <w:sz w:val="22"/>
                <w:szCs w:val="22"/>
              </w:rPr>
            </w:pPr>
            <w:r>
              <w:rPr>
                <w:b/>
                <w:i/>
                <w:iCs/>
                <w:sz w:val="22"/>
                <w:szCs w:val="22"/>
              </w:rPr>
              <w:t>Spor%</w:t>
            </w:r>
          </w:p>
          <w:p w14:paraId="583D96E7" w14:textId="77777777" w:rsidR="001C08A5" w:rsidRDefault="001C08A5">
            <w:pPr>
              <w:jc w:val="center"/>
              <w:rPr>
                <w:b/>
                <w:i/>
                <w:iCs/>
                <w:sz w:val="22"/>
                <w:szCs w:val="22"/>
              </w:rPr>
            </w:pPr>
          </w:p>
        </w:tc>
        <w:tc>
          <w:tcPr>
            <w:tcW w:w="2268" w:type="dxa"/>
            <w:shd w:val="clear" w:color="auto" w:fill="BFBFBF"/>
          </w:tcPr>
          <w:p w14:paraId="4DD2F118" w14:textId="77777777" w:rsidR="001C08A5" w:rsidRDefault="00000000">
            <w:pPr>
              <w:jc w:val="center"/>
              <w:rPr>
                <w:b/>
                <w:i/>
                <w:iCs/>
                <w:sz w:val="22"/>
                <w:szCs w:val="22"/>
              </w:rPr>
            </w:pPr>
            <w:r>
              <w:rPr>
                <w:b/>
                <w:i/>
                <w:iCs/>
                <w:sz w:val="22"/>
                <w:szCs w:val="22"/>
              </w:rPr>
              <w:t>Personalul pentru care se acordă spor</w:t>
            </w:r>
          </w:p>
        </w:tc>
      </w:tr>
      <w:tr w:rsidR="001C08A5" w14:paraId="32EA8C01" w14:textId="77777777">
        <w:trPr>
          <w:trHeight w:val="1067"/>
        </w:trPr>
        <w:tc>
          <w:tcPr>
            <w:tcW w:w="534" w:type="dxa"/>
          </w:tcPr>
          <w:p w14:paraId="05073479" w14:textId="77777777" w:rsidR="001C08A5" w:rsidRDefault="00000000">
            <w:pPr>
              <w:rPr>
                <w:i/>
                <w:iCs/>
                <w:sz w:val="22"/>
                <w:szCs w:val="22"/>
              </w:rPr>
            </w:pPr>
            <w:r>
              <w:rPr>
                <w:i/>
                <w:iCs/>
                <w:sz w:val="22"/>
                <w:szCs w:val="22"/>
              </w:rPr>
              <w:t>1</w:t>
            </w:r>
          </w:p>
          <w:p w14:paraId="0074B23E" w14:textId="77777777" w:rsidR="001C08A5" w:rsidRDefault="001C08A5">
            <w:pPr>
              <w:rPr>
                <w:i/>
                <w:iCs/>
                <w:sz w:val="22"/>
                <w:szCs w:val="22"/>
              </w:rPr>
            </w:pPr>
          </w:p>
        </w:tc>
        <w:tc>
          <w:tcPr>
            <w:tcW w:w="3827" w:type="dxa"/>
          </w:tcPr>
          <w:p w14:paraId="17E6B56A" w14:textId="77777777" w:rsidR="001C08A5" w:rsidRDefault="00000000">
            <w:pPr>
              <w:rPr>
                <w:i/>
                <w:iCs/>
                <w:sz w:val="22"/>
                <w:szCs w:val="22"/>
              </w:rPr>
            </w:pPr>
            <w:r>
              <w:rPr>
                <w:i/>
                <w:iCs/>
                <w:sz w:val="22"/>
                <w:szCs w:val="22"/>
              </w:rPr>
              <w:t>Spaţii pentru comerţ, administrative, de artă / cultură, sănatate, învăţământ, turism, sport etc.</w:t>
            </w:r>
          </w:p>
        </w:tc>
        <w:tc>
          <w:tcPr>
            <w:tcW w:w="2126" w:type="dxa"/>
          </w:tcPr>
          <w:p w14:paraId="08CA6287" w14:textId="77777777" w:rsidR="001C08A5" w:rsidRDefault="00000000">
            <w:pPr>
              <w:jc w:val="center"/>
              <w:rPr>
                <w:b/>
                <w:i/>
                <w:iCs/>
                <w:sz w:val="22"/>
                <w:szCs w:val="22"/>
              </w:rPr>
            </w:pPr>
            <w:r>
              <w:rPr>
                <w:i/>
                <w:iCs/>
                <w:sz w:val="22"/>
                <w:szCs w:val="22"/>
              </w:rPr>
              <w:t>Conform ariilor specifice enumerate în alineatele anterioare sau observațiilor respective</w:t>
            </w:r>
          </w:p>
        </w:tc>
        <w:tc>
          <w:tcPr>
            <w:tcW w:w="3119" w:type="dxa"/>
            <w:gridSpan w:val="2"/>
          </w:tcPr>
          <w:p w14:paraId="57328ACE" w14:textId="77777777" w:rsidR="001C08A5" w:rsidRDefault="001C08A5">
            <w:pPr>
              <w:rPr>
                <w:i/>
                <w:iCs/>
                <w:sz w:val="22"/>
                <w:szCs w:val="22"/>
              </w:rPr>
            </w:pPr>
          </w:p>
          <w:p w14:paraId="4903D40B" w14:textId="77777777" w:rsidR="001C08A5" w:rsidRDefault="00000000">
            <w:pPr>
              <w:rPr>
                <w:i/>
                <w:iCs/>
                <w:sz w:val="22"/>
                <w:szCs w:val="22"/>
              </w:rPr>
            </w:pPr>
            <w:r>
              <w:rPr>
                <w:i/>
                <w:iCs/>
                <w:sz w:val="22"/>
                <w:szCs w:val="22"/>
              </w:rPr>
              <w:t>Conform  încadrărilor anterioare</w:t>
            </w:r>
          </w:p>
        </w:tc>
      </w:tr>
      <w:tr w:rsidR="001C08A5" w14:paraId="12BAA347" w14:textId="77777777">
        <w:tc>
          <w:tcPr>
            <w:tcW w:w="534" w:type="dxa"/>
          </w:tcPr>
          <w:p w14:paraId="6B09CC51" w14:textId="77777777" w:rsidR="001C08A5" w:rsidRDefault="00000000">
            <w:pPr>
              <w:rPr>
                <w:i/>
                <w:iCs/>
                <w:sz w:val="22"/>
                <w:szCs w:val="22"/>
              </w:rPr>
            </w:pPr>
            <w:r>
              <w:rPr>
                <w:i/>
                <w:iCs/>
                <w:sz w:val="22"/>
                <w:szCs w:val="22"/>
              </w:rPr>
              <w:t>2</w:t>
            </w:r>
          </w:p>
        </w:tc>
        <w:tc>
          <w:tcPr>
            <w:tcW w:w="3827" w:type="dxa"/>
          </w:tcPr>
          <w:p w14:paraId="71F023FA" w14:textId="77777777" w:rsidR="001C08A5" w:rsidRDefault="00000000">
            <w:pPr>
              <w:rPr>
                <w:i/>
                <w:iCs/>
                <w:sz w:val="22"/>
                <w:szCs w:val="22"/>
              </w:rPr>
            </w:pPr>
            <w:r>
              <w:rPr>
                <w:i/>
                <w:iCs/>
                <w:sz w:val="22"/>
                <w:szCs w:val="22"/>
              </w:rPr>
              <w:t>Atelier / workshop</w:t>
            </w:r>
          </w:p>
        </w:tc>
        <w:tc>
          <w:tcPr>
            <w:tcW w:w="2126" w:type="dxa"/>
          </w:tcPr>
          <w:p w14:paraId="24A12509" w14:textId="77777777" w:rsidR="001C08A5" w:rsidRDefault="00000000">
            <w:pPr>
              <w:jc w:val="center"/>
              <w:rPr>
                <w:b/>
                <w:i/>
                <w:iCs/>
                <w:sz w:val="22"/>
                <w:szCs w:val="22"/>
              </w:rPr>
            </w:pPr>
            <w:r>
              <w:rPr>
                <w:b/>
                <w:i/>
                <w:iCs/>
                <w:sz w:val="22"/>
                <w:szCs w:val="22"/>
              </w:rPr>
              <w:t xml:space="preserve">5,00 </w:t>
            </w:r>
            <w:r>
              <w:rPr>
                <w:bCs/>
                <w:i/>
                <w:iCs/>
                <w:sz w:val="22"/>
                <w:szCs w:val="22"/>
              </w:rPr>
              <w:t xml:space="preserve">până la </w:t>
            </w:r>
            <w:r>
              <w:rPr>
                <w:b/>
                <w:i/>
                <w:iCs/>
                <w:sz w:val="22"/>
                <w:szCs w:val="22"/>
              </w:rPr>
              <w:t>7,00</w:t>
            </w:r>
          </w:p>
        </w:tc>
        <w:tc>
          <w:tcPr>
            <w:tcW w:w="851" w:type="dxa"/>
            <w:vAlign w:val="center"/>
          </w:tcPr>
          <w:p w14:paraId="55167D72" w14:textId="77777777" w:rsidR="001C08A5" w:rsidRDefault="00000000">
            <w:pPr>
              <w:jc w:val="center"/>
              <w:rPr>
                <w:b/>
                <w:bCs/>
                <w:i/>
                <w:iCs/>
                <w:sz w:val="22"/>
                <w:szCs w:val="22"/>
              </w:rPr>
            </w:pPr>
            <w:r>
              <w:rPr>
                <w:b/>
                <w:bCs/>
                <w:i/>
                <w:iCs/>
                <w:sz w:val="22"/>
                <w:szCs w:val="22"/>
              </w:rPr>
              <w:t>5</w:t>
            </w:r>
          </w:p>
        </w:tc>
        <w:tc>
          <w:tcPr>
            <w:tcW w:w="2268" w:type="dxa"/>
          </w:tcPr>
          <w:p w14:paraId="5AD75A93" w14:textId="77777777" w:rsidR="001C08A5" w:rsidRDefault="00000000">
            <w:pPr>
              <w:rPr>
                <w:i/>
                <w:iCs/>
                <w:sz w:val="22"/>
                <w:szCs w:val="22"/>
              </w:rPr>
            </w:pPr>
            <w:r>
              <w:rPr>
                <w:i/>
                <w:iCs/>
                <w:sz w:val="22"/>
                <w:szCs w:val="22"/>
              </w:rPr>
              <w:t>Personal administrativ etc.</w:t>
            </w:r>
          </w:p>
        </w:tc>
      </w:tr>
      <w:tr w:rsidR="001C08A5" w14:paraId="623F4A39" w14:textId="77777777">
        <w:tc>
          <w:tcPr>
            <w:tcW w:w="534" w:type="dxa"/>
          </w:tcPr>
          <w:p w14:paraId="1D16A786" w14:textId="77777777" w:rsidR="001C08A5" w:rsidRDefault="00000000">
            <w:pPr>
              <w:rPr>
                <w:i/>
                <w:iCs/>
                <w:sz w:val="22"/>
                <w:szCs w:val="22"/>
              </w:rPr>
            </w:pPr>
            <w:r>
              <w:rPr>
                <w:i/>
                <w:iCs/>
                <w:sz w:val="22"/>
                <w:szCs w:val="22"/>
              </w:rPr>
              <w:t>3</w:t>
            </w:r>
          </w:p>
        </w:tc>
        <w:tc>
          <w:tcPr>
            <w:tcW w:w="3827" w:type="dxa"/>
          </w:tcPr>
          <w:p w14:paraId="09257329" w14:textId="77777777" w:rsidR="001C08A5" w:rsidRDefault="00000000">
            <w:pPr>
              <w:rPr>
                <w:i/>
                <w:iCs/>
                <w:sz w:val="22"/>
                <w:szCs w:val="22"/>
              </w:rPr>
            </w:pPr>
            <w:r>
              <w:rPr>
                <w:i/>
                <w:iCs/>
                <w:sz w:val="22"/>
                <w:szCs w:val="22"/>
              </w:rPr>
              <w:t>Bancă</w:t>
            </w:r>
          </w:p>
        </w:tc>
        <w:tc>
          <w:tcPr>
            <w:tcW w:w="2126" w:type="dxa"/>
          </w:tcPr>
          <w:p w14:paraId="7CBF9733" w14:textId="77777777" w:rsidR="001C08A5" w:rsidRDefault="00000000">
            <w:pPr>
              <w:jc w:val="center"/>
              <w:rPr>
                <w:b/>
                <w:i/>
                <w:iCs/>
                <w:sz w:val="22"/>
                <w:szCs w:val="22"/>
              </w:rPr>
            </w:pPr>
            <w:r>
              <w:rPr>
                <w:b/>
                <w:i/>
                <w:iCs/>
                <w:sz w:val="22"/>
                <w:szCs w:val="22"/>
              </w:rPr>
              <w:t>5,00</w:t>
            </w:r>
          </w:p>
        </w:tc>
        <w:tc>
          <w:tcPr>
            <w:tcW w:w="851" w:type="dxa"/>
            <w:vAlign w:val="center"/>
          </w:tcPr>
          <w:p w14:paraId="5D187F47" w14:textId="77777777" w:rsidR="001C08A5" w:rsidRDefault="00000000">
            <w:pPr>
              <w:jc w:val="center"/>
              <w:rPr>
                <w:b/>
                <w:bCs/>
                <w:i/>
                <w:iCs/>
                <w:sz w:val="22"/>
                <w:szCs w:val="22"/>
              </w:rPr>
            </w:pPr>
            <w:r>
              <w:rPr>
                <w:b/>
                <w:bCs/>
                <w:i/>
                <w:iCs/>
                <w:sz w:val="22"/>
                <w:szCs w:val="22"/>
              </w:rPr>
              <w:t>10</w:t>
            </w:r>
          </w:p>
        </w:tc>
        <w:tc>
          <w:tcPr>
            <w:tcW w:w="2268" w:type="dxa"/>
          </w:tcPr>
          <w:p w14:paraId="0FD7BB76" w14:textId="77777777" w:rsidR="001C08A5" w:rsidRDefault="00000000">
            <w:pPr>
              <w:rPr>
                <w:i/>
                <w:iCs/>
                <w:sz w:val="22"/>
                <w:szCs w:val="22"/>
              </w:rPr>
            </w:pPr>
            <w:r>
              <w:rPr>
                <w:i/>
                <w:iCs/>
                <w:sz w:val="22"/>
                <w:szCs w:val="22"/>
              </w:rPr>
              <w:t>Personal de deservire, administrativ etc.</w:t>
            </w:r>
          </w:p>
        </w:tc>
      </w:tr>
      <w:tr w:rsidR="001C08A5" w14:paraId="6C1E2B3D" w14:textId="77777777">
        <w:tc>
          <w:tcPr>
            <w:tcW w:w="534" w:type="dxa"/>
          </w:tcPr>
          <w:p w14:paraId="310F5AEE" w14:textId="77777777" w:rsidR="001C08A5" w:rsidRDefault="00000000">
            <w:pPr>
              <w:rPr>
                <w:i/>
                <w:iCs/>
                <w:sz w:val="22"/>
                <w:szCs w:val="22"/>
              </w:rPr>
            </w:pPr>
            <w:r>
              <w:rPr>
                <w:i/>
                <w:iCs/>
                <w:sz w:val="22"/>
                <w:szCs w:val="22"/>
              </w:rPr>
              <w:t>4</w:t>
            </w:r>
          </w:p>
        </w:tc>
        <w:tc>
          <w:tcPr>
            <w:tcW w:w="3827" w:type="dxa"/>
          </w:tcPr>
          <w:p w14:paraId="3520175B" w14:textId="77777777" w:rsidR="001C08A5" w:rsidRDefault="00000000">
            <w:pPr>
              <w:rPr>
                <w:i/>
                <w:iCs/>
                <w:sz w:val="22"/>
                <w:szCs w:val="22"/>
              </w:rPr>
            </w:pPr>
            <w:r>
              <w:rPr>
                <w:i/>
                <w:iCs/>
                <w:sz w:val="22"/>
                <w:szCs w:val="22"/>
              </w:rPr>
              <w:t>Lobby</w:t>
            </w:r>
          </w:p>
        </w:tc>
        <w:tc>
          <w:tcPr>
            <w:tcW w:w="2126" w:type="dxa"/>
          </w:tcPr>
          <w:p w14:paraId="2B2CCF0F" w14:textId="77777777" w:rsidR="001C08A5" w:rsidRDefault="00000000">
            <w:pPr>
              <w:jc w:val="center"/>
              <w:rPr>
                <w:b/>
                <w:i/>
                <w:iCs/>
                <w:sz w:val="22"/>
                <w:szCs w:val="22"/>
              </w:rPr>
            </w:pPr>
            <w:r>
              <w:rPr>
                <w:b/>
                <w:i/>
                <w:iCs/>
                <w:sz w:val="22"/>
                <w:szCs w:val="22"/>
              </w:rPr>
              <w:t>5,00</w:t>
            </w:r>
          </w:p>
        </w:tc>
        <w:tc>
          <w:tcPr>
            <w:tcW w:w="851" w:type="dxa"/>
            <w:vAlign w:val="center"/>
          </w:tcPr>
          <w:p w14:paraId="7110337C" w14:textId="77777777" w:rsidR="001C08A5" w:rsidRDefault="00000000">
            <w:pPr>
              <w:jc w:val="center"/>
              <w:rPr>
                <w:b/>
                <w:bCs/>
                <w:i/>
                <w:iCs/>
                <w:sz w:val="22"/>
                <w:szCs w:val="22"/>
              </w:rPr>
            </w:pPr>
            <w:r>
              <w:rPr>
                <w:b/>
                <w:bCs/>
                <w:i/>
                <w:iCs/>
                <w:sz w:val="22"/>
                <w:szCs w:val="22"/>
              </w:rPr>
              <w:t>10</w:t>
            </w:r>
          </w:p>
        </w:tc>
        <w:tc>
          <w:tcPr>
            <w:tcW w:w="2268" w:type="dxa"/>
          </w:tcPr>
          <w:p w14:paraId="15940F5D" w14:textId="77777777" w:rsidR="001C08A5" w:rsidRDefault="00000000">
            <w:pPr>
              <w:rPr>
                <w:i/>
                <w:iCs/>
                <w:sz w:val="22"/>
                <w:szCs w:val="22"/>
              </w:rPr>
            </w:pPr>
            <w:r>
              <w:rPr>
                <w:i/>
                <w:iCs/>
                <w:sz w:val="22"/>
                <w:szCs w:val="22"/>
              </w:rPr>
              <w:t>Personal de deservire, administrativ etc.</w:t>
            </w:r>
          </w:p>
        </w:tc>
      </w:tr>
      <w:tr w:rsidR="001C08A5" w14:paraId="2A29528F" w14:textId="77777777">
        <w:tc>
          <w:tcPr>
            <w:tcW w:w="534" w:type="dxa"/>
          </w:tcPr>
          <w:p w14:paraId="5C6DB5CD" w14:textId="77777777" w:rsidR="001C08A5" w:rsidRDefault="00000000">
            <w:pPr>
              <w:rPr>
                <w:i/>
                <w:iCs/>
                <w:sz w:val="22"/>
                <w:szCs w:val="22"/>
              </w:rPr>
            </w:pPr>
            <w:r>
              <w:rPr>
                <w:i/>
                <w:iCs/>
                <w:sz w:val="22"/>
                <w:szCs w:val="22"/>
              </w:rPr>
              <w:t>5</w:t>
            </w:r>
          </w:p>
        </w:tc>
        <w:tc>
          <w:tcPr>
            <w:tcW w:w="3827" w:type="dxa"/>
          </w:tcPr>
          <w:p w14:paraId="77E45003" w14:textId="77777777" w:rsidR="001C08A5" w:rsidRDefault="00000000">
            <w:pPr>
              <w:rPr>
                <w:i/>
                <w:iCs/>
                <w:sz w:val="22"/>
                <w:szCs w:val="22"/>
              </w:rPr>
            </w:pPr>
            <w:r>
              <w:rPr>
                <w:i/>
                <w:iCs/>
                <w:sz w:val="22"/>
                <w:szCs w:val="22"/>
              </w:rPr>
              <w:t>Camere pentru personal / vestiare (şi încăperi social-sanitare) cu vestiare cu dulapuri sau cuiere cu autoservire sau sistem garderobă</w:t>
            </w:r>
          </w:p>
        </w:tc>
        <w:tc>
          <w:tcPr>
            <w:tcW w:w="2126" w:type="dxa"/>
          </w:tcPr>
          <w:p w14:paraId="0CDE7B6E" w14:textId="77777777" w:rsidR="001C08A5" w:rsidRDefault="00000000">
            <w:pPr>
              <w:jc w:val="center"/>
              <w:rPr>
                <w:b/>
                <w:i/>
                <w:iCs/>
                <w:sz w:val="22"/>
                <w:szCs w:val="22"/>
              </w:rPr>
            </w:pPr>
            <w:r>
              <w:rPr>
                <w:i/>
                <w:iCs/>
                <w:sz w:val="22"/>
                <w:szCs w:val="22"/>
              </w:rPr>
              <w:t>Numărul de dulapuri amenajate sau nr. de lucrători din schimbul maxim</w:t>
            </w:r>
          </w:p>
        </w:tc>
        <w:tc>
          <w:tcPr>
            <w:tcW w:w="851" w:type="dxa"/>
            <w:vAlign w:val="center"/>
          </w:tcPr>
          <w:p w14:paraId="4E31D3A5" w14:textId="77777777" w:rsidR="001C08A5" w:rsidRDefault="00000000">
            <w:pPr>
              <w:jc w:val="center"/>
              <w:rPr>
                <w:b/>
                <w:bCs/>
                <w:i/>
                <w:iCs/>
                <w:sz w:val="22"/>
                <w:szCs w:val="22"/>
              </w:rPr>
            </w:pPr>
            <w:r>
              <w:rPr>
                <w:b/>
                <w:bCs/>
                <w:i/>
                <w:iCs/>
                <w:sz w:val="22"/>
                <w:szCs w:val="22"/>
              </w:rPr>
              <w:t>-</w:t>
            </w:r>
          </w:p>
        </w:tc>
        <w:tc>
          <w:tcPr>
            <w:tcW w:w="2268" w:type="dxa"/>
          </w:tcPr>
          <w:p w14:paraId="689152FB" w14:textId="77777777" w:rsidR="001C08A5" w:rsidRDefault="00000000">
            <w:pPr>
              <w:rPr>
                <w:i/>
                <w:iCs/>
                <w:sz w:val="22"/>
                <w:szCs w:val="22"/>
              </w:rPr>
            </w:pPr>
            <w:r>
              <w:rPr>
                <w:i/>
                <w:iCs/>
                <w:sz w:val="22"/>
                <w:szCs w:val="22"/>
              </w:rPr>
              <w:t xml:space="preserve">Suprapuneri posibile de program </w:t>
            </w:r>
          </w:p>
        </w:tc>
      </w:tr>
      <w:tr w:rsidR="001C08A5" w14:paraId="5FC4E5F9" w14:textId="77777777">
        <w:tc>
          <w:tcPr>
            <w:tcW w:w="534" w:type="dxa"/>
          </w:tcPr>
          <w:p w14:paraId="0E50F698" w14:textId="77777777" w:rsidR="001C08A5" w:rsidRDefault="00000000">
            <w:pPr>
              <w:rPr>
                <w:i/>
                <w:iCs/>
                <w:sz w:val="22"/>
                <w:szCs w:val="22"/>
              </w:rPr>
            </w:pPr>
            <w:r>
              <w:rPr>
                <w:i/>
                <w:iCs/>
                <w:sz w:val="22"/>
                <w:szCs w:val="22"/>
              </w:rPr>
              <w:t>6</w:t>
            </w:r>
          </w:p>
        </w:tc>
        <w:tc>
          <w:tcPr>
            <w:tcW w:w="3827" w:type="dxa"/>
          </w:tcPr>
          <w:p w14:paraId="5310D300" w14:textId="77777777" w:rsidR="001C08A5" w:rsidRDefault="00000000">
            <w:pPr>
              <w:rPr>
                <w:i/>
                <w:iCs/>
                <w:sz w:val="22"/>
                <w:szCs w:val="22"/>
              </w:rPr>
            </w:pPr>
            <w:r>
              <w:rPr>
                <w:i/>
                <w:iCs/>
                <w:sz w:val="22"/>
                <w:szCs w:val="22"/>
              </w:rPr>
              <w:t>Studio (de radio, tv etc.)</w:t>
            </w:r>
          </w:p>
        </w:tc>
        <w:tc>
          <w:tcPr>
            <w:tcW w:w="2126" w:type="dxa"/>
          </w:tcPr>
          <w:p w14:paraId="477B802A" w14:textId="77777777" w:rsidR="001C08A5" w:rsidRDefault="00000000">
            <w:pPr>
              <w:jc w:val="center"/>
              <w:rPr>
                <w:b/>
                <w:i/>
                <w:iCs/>
                <w:sz w:val="22"/>
                <w:szCs w:val="22"/>
              </w:rPr>
            </w:pPr>
            <w:r>
              <w:rPr>
                <w:b/>
                <w:i/>
                <w:iCs/>
                <w:sz w:val="22"/>
                <w:szCs w:val="22"/>
              </w:rPr>
              <w:t>3,00</w:t>
            </w:r>
          </w:p>
        </w:tc>
        <w:tc>
          <w:tcPr>
            <w:tcW w:w="851" w:type="dxa"/>
            <w:vAlign w:val="center"/>
          </w:tcPr>
          <w:p w14:paraId="67F0AAF0" w14:textId="77777777" w:rsidR="001C08A5" w:rsidRDefault="00000000">
            <w:pPr>
              <w:jc w:val="center"/>
              <w:rPr>
                <w:b/>
                <w:bCs/>
                <w:i/>
                <w:iCs/>
                <w:sz w:val="22"/>
                <w:szCs w:val="22"/>
              </w:rPr>
            </w:pPr>
            <w:r>
              <w:rPr>
                <w:b/>
                <w:bCs/>
                <w:i/>
                <w:iCs/>
                <w:sz w:val="22"/>
                <w:szCs w:val="22"/>
              </w:rPr>
              <w:t>20</w:t>
            </w:r>
          </w:p>
        </w:tc>
        <w:tc>
          <w:tcPr>
            <w:tcW w:w="2268" w:type="dxa"/>
          </w:tcPr>
          <w:p w14:paraId="16DAB7AB" w14:textId="77777777" w:rsidR="001C08A5" w:rsidRDefault="00000000">
            <w:pPr>
              <w:rPr>
                <w:i/>
                <w:iCs/>
                <w:sz w:val="22"/>
                <w:szCs w:val="22"/>
              </w:rPr>
            </w:pPr>
            <w:r>
              <w:rPr>
                <w:i/>
                <w:iCs/>
                <w:sz w:val="22"/>
                <w:szCs w:val="22"/>
              </w:rPr>
              <w:t>Public sau vizitatori, persoane straine etc</w:t>
            </w:r>
          </w:p>
        </w:tc>
      </w:tr>
      <w:tr w:rsidR="001C08A5" w14:paraId="30B19540" w14:textId="77777777">
        <w:tc>
          <w:tcPr>
            <w:tcW w:w="534" w:type="dxa"/>
          </w:tcPr>
          <w:p w14:paraId="1FB76CE8" w14:textId="77777777" w:rsidR="001C08A5" w:rsidRDefault="00000000">
            <w:pPr>
              <w:rPr>
                <w:i/>
                <w:iCs/>
                <w:sz w:val="22"/>
                <w:szCs w:val="22"/>
              </w:rPr>
            </w:pPr>
            <w:r>
              <w:rPr>
                <w:i/>
                <w:iCs/>
                <w:sz w:val="22"/>
                <w:szCs w:val="22"/>
              </w:rPr>
              <w:t>7</w:t>
            </w:r>
          </w:p>
        </w:tc>
        <w:tc>
          <w:tcPr>
            <w:tcW w:w="3827" w:type="dxa"/>
          </w:tcPr>
          <w:p w14:paraId="5AD9C5E3" w14:textId="77777777" w:rsidR="001C08A5" w:rsidRDefault="00000000">
            <w:pPr>
              <w:rPr>
                <w:i/>
                <w:iCs/>
                <w:sz w:val="22"/>
                <w:szCs w:val="22"/>
              </w:rPr>
            </w:pPr>
            <w:r>
              <w:rPr>
                <w:i/>
                <w:iCs/>
                <w:sz w:val="22"/>
                <w:szCs w:val="22"/>
              </w:rPr>
              <w:t>Zonă de aşteptare (aeroport, autogări etc.)</w:t>
            </w:r>
          </w:p>
        </w:tc>
        <w:tc>
          <w:tcPr>
            <w:tcW w:w="2126" w:type="dxa"/>
          </w:tcPr>
          <w:p w14:paraId="6F898BD9" w14:textId="77777777" w:rsidR="001C08A5" w:rsidRDefault="00000000">
            <w:pPr>
              <w:jc w:val="center"/>
              <w:rPr>
                <w:b/>
                <w:i/>
                <w:iCs/>
                <w:sz w:val="22"/>
                <w:szCs w:val="22"/>
              </w:rPr>
            </w:pPr>
            <w:r>
              <w:rPr>
                <w:b/>
                <w:i/>
                <w:iCs/>
                <w:sz w:val="22"/>
                <w:szCs w:val="22"/>
              </w:rPr>
              <w:t>4,00</w:t>
            </w:r>
          </w:p>
        </w:tc>
        <w:tc>
          <w:tcPr>
            <w:tcW w:w="851" w:type="dxa"/>
            <w:vAlign w:val="center"/>
          </w:tcPr>
          <w:p w14:paraId="0AC703BD" w14:textId="77777777" w:rsidR="001C08A5" w:rsidRDefault="00000000">
            <w:pPr>
              <w:jc w:val="center"/>
              <w:rPr>
                <w:b/>
                <w:bCs/>
                <w:i/>
                <w:iCs/>
                <w:sz w:val="22"/>
                <w:szCs w:val="22"/>
              </w:rPr>
            </w:pPr>
            <w:r>
              <w:rPr>
                <w:b/>
                <w:bCs/>
                <w:i/>
                <w:iCs/>
                <w:sz w:val="22"/>
                <w:szCs w:val="22"/>
              </w:rPr>
              <w:t>5</w:t>
            </w:r>
          </w:p>
        </w:tc>
        <w:tc>
          <w:tcPr>
            <w:tcW w:w="2268" w:type="dxa"/>
          </w:tcPr>
          <w:p w14:paraId="0FE71F89" w14:textId="77777777" w:rsidR="001C08A5" w:rsidRDefault="00000000">
            <w:pPr>
              <w:rPr>
                <w:i/>
                <w:iCs/>
                <w:sz w:val="22"/>
                <w:szCs w:val="22"/>
              </w:rPr>
            </w:pPr>
            <w:r>
              <w:rPr>
                <w:i/>
                <w:iCs/>
                <w:sz w:val="22"/>
                <w:szCs w:val="22"/>
              </w:rPr>
              <w:t>Personal de securitate, administrativ etc.</w:t>
            </w:r>
          </w:p>
        </w:tc>
      </w:tr>
      <w:tr w:rsidR="001C08A5" w14:paraId="0858FBD2" w14:textId="77777777">
        <w:trPr>
          <w:trHeight w:val="331"/>
        </w:trPr>
        <w:tc>
          <w:tcPr>
            <w:tcW w:w="534" w:type="dxa"/>
          </w:tcPr>
          <w:p w14:paraId="27B780DB" w14:textId="77777777" w:rsidR="001C08A5" w:rsidRDefault="00000000">
            <w:pPr>
              <w:rPr>
                <w:i/>
                <w:iCs/>
                <w:sz w:val="22"/>
                <w:szCs w:val="22"/>
              </w:rPr>
            </w:pPr>
            <w:r>
              <w:rPr>
                <w:i/>
                <w:iCs/>
                <w:sz w:val="22"/>
                <w:szCs w:val="22"/>
              </w:rPr>
              <w:t>8</w:t>
            </w:r>
          </w:p>
        </w:tc>
        <w:tc>
          <w:tcPr>
            <w:tcW w:w="3827" w:type="dxa"/>
          </w:tcPr>
          <w:p w14:paraId="45D72BC6" w14:textId="77777777" w:rsidR="001C08A5" w:rsidRDefault="00000000">
            <w:pPr>
              <w:rPr>
                <w:i/>
                <w:iCs/>
                <w:sz w:val="22"/>
                <w:szCs w:val="22"/>
              </w:rPr>
            </w:pPr>
            <w:r>
              <w:rPr>
                <w:i/>
                <w:iCs/>
                <w:sz w:val="22"/>
                <w:szCs w:val="22"/>
              </w:rPr>
              <w:t>Zonă de recepţie</w:t>
            </w:r>
          </w:p>
        </w:tc>
        <w:tc>
          <w:tcPr>
            <w:tcW w:w="2126" w:type="dxa"/>
          </w:tcPr>
          <w:p w14:paraId="6AB71914" w14:textId="77777777" w:rsidR="001C08A5" w:rsidRDefault="00000000">
            <w:pPr>
              <w:jc w:val="center"/>
              <w:rPr>
                <w:b/>
                <w:i/>
                <w:iCs/>
                <w:sz w:val="22"/>
                <w:szCs w:val="22"/>
              </w:rPr>
            </w:pPr>
            <w:r>
              <w:rPr>
                <w:b/>
                <w:i/>
                <w:iCs/>
                <w:sz w:val="22"/>
                <w:szCs w:val="22"/>
              </w:rPr>
              <w:t>8,00</w:t>
            </w:r>
          </w:p>
        </w:tc>
        <w:tc>
          <w:tcPr>
            <w:tcW w:w="851" w:type="dxa"/>
            <w:vAlign w:val="center"/>
          </w:tcPr>
          <w:p w14:paraId="0D49FF6B" w14:textId="77777777" w:rsidR="001C08A5" w:rsidRDefault="00000000">
            <w:pPr>
              <w:jc w:val="center"/>
              <w:rPr>
                <w:b/>
                <w:bCs/>
                <w:i/>
                <w:iCs/>
                <w:sz w:val="22"/>
                <w:szCs w:val="22"/>
              </w:rPr>
            </w:pPr>
            <w:r>
              <w:rPr>
                <w:b/>
                <w:bCs/>
                <w:i/>
                <w:iCs/>
                <w:sz w:val="22"/>
                <w:szCs w:val="22"/>
              </w:rPr>
              <w:t>5</w:t>
            </w:r>
          </w:p>
        </w:tc>
        <w:tc>
          <w:tcPr>
            <w:tcW w:w="2268" w:type="dxa"/>
          </w:tcPr>
          <w:p w14:paraId="6AD8559B" w14:textId="77777777" w:rsidR="001C08A5" w:rsidRDefault="00000000">
            <w:pPr>
              <w:rPr>
                <w:i/>
                <w:iCs/>
                <w:sz w:val="22"/>
                <w:szCs w:val="22"/>
              </w:rPr>
            </w:pPr>
            <w:r>
              <w:rPr>
                <w:i/>
                <w:iCs/>
                <w:sz w:val="22"/>
                <w:szCs w:val="22"/>
              </w:rPr>
              <w:t>Personal de deservire, administrativ etc.</w:t>
            </w:r>
          </w:p>
        </w:tc>
      </w:tr>
      <w:tr w:rsidR="001C08A5" w14:paraId="32A6A6B4" w14:textId="77777777">
        <w:tc>
          <w:tcPr>
            <w:tcW w:w="534" w:type="dxa"/>
          </w:tcPr>
          <w:p w14:paraId="58C158F7" w14:textId="77777777" w:rsidR="001C08A5" w:rsidRDefault="00000000">
            <w:pPr>
              <w:rPr>
                <w:i/>
                <w:iCs/>
                <w:sz w:val="22"/>
                <w:szCs w:val="22"/>
              </w:rPr>
            </w:pPr>
            <w:r>
              <w:rPr>
                <w:i/>
                <w:iCs/>
                <w:sz w:val="22"/>
                <w:szCs w:val="22"/>
              </w:rPr>
              <w:t>9</w:t>
            </w:r>
          </w:p>
        </w:tc>
        <w:tc>
          <w:tcPr>
            <w:tcW w:w="3827" w:type="dxa"/>
          </w:tcPr>
          <w:p w14:paraId="0C7EE5FB" w14:textId="77777777" w:rsidR="001C08A5" w:rsidRDefault="00000000">
            <w:pPr>
              <w:rPr>
                <w:i/>
                <w:iCs/>
                <w:sz w:val="22"/>
                <w:szCs w:val="22"/>
              </w:rPr>
            </w:pPr>
            <w:r>
              <w:rPr>
                <w:i/>
                <w:iCs/>
                <w:sz w:val="22"/>
                <w:szCs w:val="22"/>
              </w:rPr>
              <w:t>Bucătărie</w:t>
            </w:r>
          </w:p>
        </w:tc>
        <w:tc>
          <w:tcPr>
            <w:tcW w:w="2126" w:type="dxa"/>
          </w:tcPr>
          <w:p w14:paraId="7B499763" w14:textId="77777777" w:rsidR="001C08A5" w:rsidRDefault="00000000">
            <w:pPr>
              <w:jc w:val="center"/>
              <w:rPr>
                <w:b/>
                <w:i/>
                <w:iCs/>
                <w:sz w:val="22"/>
                <w:szCs w:val="22"/>
              </w:rPr>
            </w:pPr>
            <w:r>
              <w:rPr>
                <w:b/>
                <w:i/>
                <w:iCs/>
                <w:sz w:val="22"/>
                <w:szCs w:val="22"/>
              </w:rPr>
              <w:t>6,00</w:t>
            </w:r>
          </w:p>
        </w:tc>
        <w:tc>
          <w:tcPr>
            <w:tcW w:w="851" w:type="dxa"/>
            <w:vAlign w:val="center"/>
          </w:tcPr>
          <w:p w14:paraId="51419C90" w14:textId="77777777" w:rsidR="001C08A5" w:rsidRDefault="00000000">
            <w:pPr>
              <w:jc w:val="center"/>
              <w:rPr>
                <w:b/>
                <w:bCs/>
                <w:i/>
                <w:iCs/>
                <w:sz w:val="22"/>
                <w:szCs w:val="22"/>
              </w:rPr>
            </w:pPr>
            <w:r>
              <w:rPr>
                <w:b/>
                <w:bCs/>
                <w:i/>
                <w:iCs/>
                <w:sz w:val="22"/>
                <w:szCs w:val="22"/>
              </w:rPr>
              <w:t>-</w:t>
            </w:r>
          </w:p>
        </w:tc>
        <w:tc>
          <w:tcPr>
            <w:tcW w:w="2268" w:type="dxa"/>
          </w:tcPr>
          <w:p w14:paraId="5D2013DB" w14:textId="77777777" w:rsidR="001C08A5" w:rsidRDefault="00000000">
            <w:pPr>
              <w:rPr>
                <w:i/>
                <w:iCs/>
                <w:sz w:val="22"/>
                <w:szCs w:val="22"/>
              </w:rPr>
            </w:pPr>
            <w:r>
              <w:rPr>
                <w:i/>
                <w:iCs/>
                <w:sz w:val="22"/>
                <w:szCs w:val="22"/>
              </w:rPr>
              <w:t>Bucătari, chelneri, ospătari etc.</w:t>
            </w:r>
          </w:p>
        </w:tc>
      </w:tr>
      <w:tr w:rsidR="001C08A5" w14:paraId="16FF9E11" w14:textId="77777777">
        <w:tc>
          <w:tcPr>
            <w:tcW w:w="534" w:type="dxa"/>
          </w:tcPr>
          <w:p w14:paraId="3E5621AE" w14:textId="77777777" w:rsidR="001C08A5" w:rsidRDefault="00000000">
            <w:pPr>
              <w:rPr>
                <w:i/>
                <w:iCs/>
                <w:sz w:val="22"/>
                <w:szCs w:val="22"/>
              </w:rPr>
            </w:pPr>
            <w:r>
              <w:rPr>
                <w:i/>
                <w:iCs/>
                <w:sz w:val="22"/>
                <w:szCs w:val="22"/>
              </w:rPr>
              <w:t>10</w:t>
            </w:r>
          </w:p>
        </w:tc>
        <w:tc>
          <w:tcPr>
            <w:tcW w:w="3827" w:type="dxa"/>
          </w:tcPr>
          <w:p w14:paraId="0956E555" w14:textId="77777777" w:rsidR="001C08A5" w:rsidRDefault="00000000">
            <w:pPr>
              <w:rPr>
                <w:i/>
                <w:iCs/>
                <w:sz w:val="22"/>
                <w:szCs w:val="22"/>
              </w:rPr>
            </w:pPr>
            <w:r>
              <w:rPr>
                <w:i/>
                <w:iCs/>
                <w:sz w:val="22"/>
                <w:szCs w:val="22"/>
              </w:rPr>
              <w:t>Spaţiu de producţie</w:t>
            </w:r>
          </w:p>
        </w:tc>
        <w:tc>
          <w:tcPr>
            <w:tcW w:w="2126" w:type="dxa"/>
          </w:tcPr>
          <w:p w14:paraId="65A8AE8A" w14:textId="77777777" w:rsidR="001C08A5" w:rsidRDefault="00000000">
            <w:pPr>
              <w:jc w:val="center"/>
              <w:rPr>
                <w:b/>
                <w:i/>
                <w:iCs/>
                <w:sz w:val="22"/>
                <w:szCs w:val="22"/>
              </w:rPr>
            </w:pPr>
            <w:r>
              <w:rPr>
                <w:i/>
                <w:iCs/>
                <w:sz w:val="22"/>
                <w:szCs w:val="22"/>
              </w:rPr>
              <w:t>Număr de lucrători din schimbul maxim</w:t>
            </w:r>
          </w:p>
        </w:tc>
        <w:tc>
          <w:tcPr>
            <w:tcW w:w="851" w:type="dxa"/>
            <w:vAlign w:val="center"/>
          </w:tcPr>
          <w:p w14:paraId="133CDAF9" w14:textId="77777777" w:rsidR="001C08A5" w:rsidRDefault="00000000">
            <w:pPr>
              <w:jc w:val="center"/>
              <w:rPr>
                <w:b/>
                <w:bCs/>
                <w:i/>
                <w:iCs/>
                <w:sz w:val="22"/>
                <w:szCs w:val="22"/>
              </w:rPr>
            </w:pPr>
            <w:r>
              <w:rPr>
                <w:b/>
                <w:bCs/>
                <w:i/>
                <w:iCs/>
                <w:sz w:val="22"/>
                <w:szCs w:val="22"/>
              </w:rPr>
              <w:t>-</w:t>
            </w:r>
          </w:p>
        </w:tc>
        <w:tc>
          <w:tcPr>
            <w:tcW w:w="2268" w:type="dxa"/>
            <w:vAlign w:val="center"/>
          </w:tcPr>
          <w:p w14:paraId="20A93915" w14:textId="77777777" w:rsidR="001C08A5" w:rsidRDefault="00000000">
            <w:pPr>
              <w:jc w:val="center"/>
              <w:rPr>
                <w:i/>
                <w:iCs/>
                <w:sz w:val="22"/>
                <w:szCs w:val="22"/>
              </w:rPr>
            </w:pPr>
            <w:r>
              <w:rPr>
                <w:b/>
                <w:bCs/>
                <w:i/>
                <w:iCs/>
                <w:sz w:val="22"/>
                <w:szCs w:val="22"/>
              </w:rPr>
              <w:t>-</w:t>
            </w:r>
          </w:p>
        </w:tc>
      </w:tr>
      <w:tr w:rsidR="001C08A5" w14:paraId="6E4C0B3E" w14:textId="77777777">
        <w:tc>
          <w:tcPr>
            <w:tcW w:w="534" w:type="dxa"/>
          </w:tcPr>
          <w:p w14:paraId="675FB7EF" w14:textId="77777777" w:rsidR="001C08A5" w:rsidRDefault="00000000">
            <w:pPr>
              <w:rPr>
                <w:i/>
                <w:iCs/>
                <w:sz w:val="22"/>
                <w:szCs w:val="22"/>
              </w:rPr>
            </w:pPr>
            <w:r>
              <w:rPr>
                <w:i/>
                <w:iCs/>
                <w:sz w:val="22"/>
                <w:szCs w:val="22"/>
              </w:rPr>
              <w:t>11</w:t>
            </w:r>
          </w:p>
        </w:tc>
        <w:tc>
          <w:tcPr>
            <w:tcW w:w="3827" w:type="dxa"/>
          </w:tcPr>
          <w:p w14:paraId="5E2029C8" w14:textId="77777777" w:rsidR="001C08A5" w:rsidRDefault="00000000">
            <w:pPr>
              <w:rPr>
                <w:i/>
                <w:iCs/>
                <w:sz w:val="22"/>
                <w:szCs w:val="22"/>
              </w:rPr>
            </w:pPr>
            <w:r>
              <w:rPr>
                <w:i/>
                <w:iCs/>
                <w:sz w:val="22"/>
                <w:szCs w:val="22"/>
              </w:rPr>
              <w:t>Depozit / antrepozit / magazie</w:t>
            </w:r>
          </w:p>
        </w:tc>
        <w:tc>
          <w:tcPr>
            <w:tcW w:w="2126" w:type="dxa"/>
          </w:tcPr>
          <w:p w14:paraId="12EFD552" w14:textId="77777777" w:rsidR="001C08A5" w:rsidRDefault="00000000">
            <w:pPr>
              <w:jc w:val="center"/>
              <w:rPr>
                <w:b/>
                <w:i/>
                <w:iCs/>
                <w:sz w:val="22"/>
                <w:szCs w:val="22"/>
              </w:rPr>
            </w:pPr>
            <w:r>
              <w:rPr>
                <w:b/>
                <w:i/>
                <w:iCs/>
                <w:sz w:val="22"/>
                <w:szCs w:val="22"/>
              </w:rPr>
              <w:t>-</w:t>
            </w:r>
          </w:p>
          <w:p w14:paraId="15D76157" w14:textId="77777777" w:rsidR="001C08A5" w:rsidRDefault="00000000">
            <w:pPr>
              <w:jc w:val="center"/>
              <w:rPr>
                <w:b/>
                <w:i/>
                <w:iCs/>
                <w:sz w:val="22"/>
                <w:szCs w:val="22"/>
              </w:rPr>
            </w:pPr>
            <w:r>
              <w:rPr>
                <w:bCs/>
                <w:i/>
                <w:iCs/>
                <w:sz w:val="22"/>
                <w:szCs w:val="22"/>
              </w:rPr>
              <w:t>(sau personalul cu activitate permanentă stabilită prin proiect)</w:t>
            </w:r>
          </w:p>
        </w:tc>
        <w:tc>
          <w:tcPr>
            <w:tcW w:w="851" w:type="dxa"/>
            <w:vAlign w:val="center"/>
          </w:tcPr>
          <w:p w14:paraId="02BE0314" w14:textId="77777777" w:rsidR="001C08A5" w:rsidRDefault="00000000">
            <w:pPr>
              <w:jc w:val="center"/>
              <w:rPr>
                <w:b/>
                <w:bCs/>
                <w:i/>
                <w:iCs/>
                <w:sz w:val="22"/>
                <w:szCs w:val="22"/>
              </w:rPr>
            </w:pPr>
            <w:r>
              <w:rPr>
                <w:b/>
                <w:bCs/>
                <w:i/>
                <w:iCs/>
                <w:sz w:val="22"/>
                <w:szCs w:val="22"/>
              </w:rPr>
              <w:t>-</w:t>
            </w:r>
          </w:p>
        </w:tc>
        <w:tc>
          <w:tcPr>
            <w:tcW w:w="2268" w:type="dxa"/>
            <w:vAlign w:val="center"/>
          </w:tcPr>
          <w:p w14:paraId="4E88B9C8" w14:textId="77777777" w:rsidR="001C08A5" w:rsidRDefault="00000000">
            <w:pPr>
              <w:jc w:val="center"/>
              <w:rPr>
                <w:i/>
                <w:iCs/>
                <w:sz w:val="22"/>
                <w:szCs w:val="22"/>
              </w:rPr>
            </w:pPr>
            <w:r>
              <w:rPr>
                <w:b/>
                <w:bCs/>
                <w:i/>
                <w:iCs/>
                <w:sz w:val="22"/>
                <w:szCs w:val="22"/>
              </w:rPr>
              <w:t>-</w:t>
            </w:r>
          </w:p>
        </w:tc>
      </w:tr>
      <w:tr w:rsidR="001C08A5" w14:paraId="36EEDF39" w14:textId="77777777">
        <w:tc>
          <w:tcPr>
            <w:tcW w:w="534" w:type="dxa"/>
          </w:tcPr>
          <w:p w14:paraId="76583558" w14:textId="77777777" w:rsidR="001C08A5" w:rsidRDefault="00000000">
            <w:pPr>
              <w:rPr>
                <w:i/>
                <w:iCs/>
                <w:sz w:val="22"/>
                <w:szCs w:val="22"/>
              </w:rPr>
            </w:pPr>
            <w:r>
              <w:rPr>
                <w:i/>
                <w:iCs/>
                <w:sz w:val="22"/>
                <w:szCs w:val="22"/>
              </w:rPr>
              <w:t>12</w:t>
            </w:r>
          </w:p>
        </w:tc>
        <w:tc>
          <w:tcPr>
            <w:tcW w:w="3827" w:type="dxa"/>
          </w:tcPr>
          <w:p w14:paraId="3103597F" w14:textId="77777777" w:rsidR="001C08A5" w:rsidRDefault="00000000">
            <w:pPr>
              <w:rPr>
                <w:i/>
                <w:iCs/>
                <w:sz w:val="22"/>
                <w:szCs w:val="22"/>
              </w:rPr>
            </w:pPr>
            <w:r>
              <w:rPr>
                <w:i/>
                <w:iCs/>
                <w:sz w:val="22"/>
                <w:szCs w:val="22"/>
              </w:rPr>
              <w:t>Dormitoare comune / camere de cămin</w:t>
            </w:r>
          </w:p>
        </w:tc>
        <w:tc>
          <w:tcPr>
            <w:tcW w:w="2126" w:type="dxa"/>
          </w:tcPr>
          <w:p w14:paraId="688D1F99" w14:textId="77777777" w:rsidR="001C08A5" w:rsidRDefault="00000000">
            <w:pPr>
              <w:jc w:val="center"/>
              <w:rPr>
                <w:b/>
                <w:i/>
                <w:iCs/>
                <w:sz w:val="22"/>
                <w:szCs w:val="22"/>
              </w:rPr>
            </w:pPr>
            <w:r>
              <w:rPr>
                <w:bCs/>
                <w:i/>
                <w:iCs/>
                <w:sz w:val="22"/>
                <w:szCs w:val="22"/>
              </w:rPr>
              <w:t>Număr de paturi</w:t>
            </w:r>
          </w:p>
        </w:tc>
        <w:tc>
          <w:tcPr>
            <w:tcW w:w="851" w:type="dxa"/>
            <w:vAlign w:val="center"/>
          </w:tcPr>
          <w:p w14:paraId="09020ED8" w14:textId="77777777" w:rsidR="001C08A5" w:rsidRDefault="001C08A5">
            <w:pPr>
              <w:jc w:val="center"/>
              <w:rPr>
                <w:b/>
                <w:bCs/>
                <w:i/>
                <w:iCs/>
                <w:sz w:val="22"/>
                <w:szCs w:val="22"/>
              </w:rPr>
            </w:pPr>
          </w:p>
        </w:tc>
        <w:tc>
          <w:tcPr>
            <w:tcW w:w="2268" w:type="dxa"/>
          </w:tcPr>
          <w:p w14:paraId="2F003B47" w14:textId="77777777" w:rsidR="001C08A5" w:rsidRDefault="001C08A5">
            <w:pPr>
              <w:rPr>
                <w:i/>
                <w:iCs/>
                <w:sz w:val="22"/>
                <w:szCs w:val="22"/>
              </w:rPr>
            </w:pPr>
          </w:p>
        </w:tc>
      </w:tr>
      <w:tr w:rsidR="001C08A5" w14:paraId="0D6215FC" w14:textId="77777777">
        <w:tc>
          <w:tcPr>
            <w:tcW w:w="534" w:type="dxa"/>
          </w:tcPr>
          <w:p w14:paraId="04F64BAD" w14:textId="77777777" w:rsidR="001C08A5" w:rsidRDefault="00000000">
            <w:pPr>
              <w:rPr>
                <w:i/>
                <w:iCs/>
                <w:sz w:val="22"/>
                <w:szCs w:val="22"/>
              </w:rPr>
            </w:pPr>
            <w:r>
              <w:rPr>
                <w:i/>
                <w:iCs/>
                <w:sz w:val="22"/>
                <w:szCs w:val="22"/>
              </w:rPr>
              <w:t>13</w:t>
            </w:r>
          </w:p>
        </w:tc>
        <w:tc>
          <w:tcPr>
            <w:tcW w:w="3827" w:type="dxa"/>
          </w:tcPr>
          <w:p w14:paraId="77C1E7A3" w14:textId="77777777" w:rsidR="001C08A5" w:rsidRDefault="00000000">
            <w:pPr>
              <w:rPr>
                <w:i/>
                <w:iCs/>
                <w:sz w:val="22"/>
                <w:szCs w:val="22"/>
              </w:rPr>
            </w:pPr>
            <w:r>
              <w:rPr>
                <w:i/>
                <w:iCs/>
                <w:sz w:val="22"/>
                <w:szCs w:val="22"/>
              </w:rPr>
              <w:t>Stadioane şi tribune</w:t>
            </w:r>
          </w:p>
        </w:tc>
        <w:tc>
          <w:tcPr>
            <w:tcW w:w="5245" w:type="dxa"/>
            <w:gridSpan w:val="3"/>
          </w:tcPr>
          <w:p w14:paraId="64E05678" w14:textId="77777777" w:rsidR="001C08A5" w:rsidRDefault="00000000">
            <w:pPr>
              <w:rPr>
                <w:i/>
                <w:iCs/>
                <w:sz w:val="22"/>
                <w:szCs w:val="22"/>
              </w:rPr>
            </w:pPr>
            <w:r>
              <w:rPr>
                <w:bCs/>
                <w:i/>
                <w:iCs/>
                <w:sz w:val="22"/>
                <w:szCs w:val="22"/>
              </w:rPr>
              <w:t>Conform normativ specific</w:t>
            </w:r>
          </w:p>
        </w:tc>
      </w:tr>
    </w:tbl>
    <w:p w14:paraId="06F2169A" w14:textId="77777777" w:rsidR="001C08A5" w:rsidRDefault="001C08A5">
      <w:pPr>
        <w:pStyle w:val="Default"/>
        <w:rPr>
          <w:color w:val="auto"/>
        </w:rPr>
      </w:pPr>
    </w:p>
    <w:p w14:paraId="1059D250" w14:textId="77777777" w:rsidR="001C08A5" w:rsidRDefault="00000000">
      <w:pPr>
        <w:jc w:val="both"/>
        <w:rPr>
          <w:sz w:val="24"/>
          <w:szCs w:val="24"/>
        </w:rPr>
      </w:pPr>
      <w:r>
        <w:rPr>
          <w:sz w:val="24"/>
          <w:szCs w:val="24"/>
        </w:rPr>
        <w:tab/>
      </w:r>
      <w:r>
        <w:rPr>
          <w:b/>
          <w:sz w:val="24"/>
          <w:szCs w:val="24"/>
        </w:rPr>
        <w:t xml:space="preserve">(2) </w:t>
      </w:r>
      <w:r>
        <w:rPr>
          <w:sz w:val="24"/>
          <w:szCs w:val="24"/>
        </w:rPr>
        <w:t>La construcţiile la care normativul nu conţine dispoziţii necesare determinării numărului maxim simultan de persoane, acesta se stabileşte de proiectant pe fiecare încăpere în parte.</w:t>
      </w:r>
    </w:p>
    <w:p w14:paraId="60E5FBA9" w14:textId="77777777" w:rsidR="001C08A5" w:rsidRDefault="00000000">
      <w:pPr>
        <w:jc w:val="both"/>
        <w:rPr>
          <w:b/>
          <w:sz w:val="24"/>
          <w:szCs w:val="24"/>
        </w:rPr>
      </w:pPr>
      <w:r>
        <w:rPr>
          <w:sz w:val="24"/>
          <w:szCs w:val="24"/>
        </w:rPr>
        <w:tab/>
      </w:r>
      <w:r>
        <w:rPr>
          <w:b/>
          <w:sz w:val="24"/>
          <w:szCs w:val="24"/>
        </w:rPr>
        <w:t>(3)</w:t>
      </w:r>
      <w:r>
        <w:rPr>
          <w:sz w:val="24"/>
          <w:szCs w:val="24"/>
        </w:rPr>
        <w:t xml:space="preserve"> Numărul maxim simultan de persoane se precizează în documentaţia tehnică de proiectare pe fiecare încăpere, nivel, precum și pe întreaga clădire.</w:t>
      </w:r>
    </w:p>
    <w:p w14:paraId="71F46FDD" w14:textId="77777777" w:rsidR="001C08A5" w:rsidRDefault="00000000">
      <w:pPr>
        <w:pStyle w:val="Heading4"/>
      </w:pPr>
      <w:bookmarkStart w:id="2611" w:name="_Toc18033"/>
      <w:bookmarkStart w:id="2612" w:name="_Toc162355263"/>
      <w:bookmarkStart w:id="2613" w:name="_Toc32539"/>
      <w:bookmarkStart w:id="2614" w:name="_Toc18226"/>
      <w:bookmarkStart w:id="2615" w:name="_Toc16783"/>
      <w:bookmarkStart w:id="2616" w:name="_Toc10947"/>
      <w:bookmarkStart w:id="2617" w:name="_Toc28168"/>
      <w:bookmarkStart w:id="2618" w:name="_Toc28787"/>
      <w:r>
        <w:t>2.5.10. Număr normat de utilizatori (Uf) pentru unităţile de trecere (fluxurile) de evacuare</w:t>
      </w:r>
      <w:bookmarkEnd w:id="2611"/>
      <w:bookmarkEnd w:id="2612"/>
      <w:bookmarkEnd w:id="2613"/>
      <w:bookmarkEnd w:id="2614"/>
      <w:bookmarkEnd w:id="2615"/>
      <w:bookmarkEnd w:id="2616"/>
      <w:bookmarkEnd w:id="2617"/>
      <w:bookmarkEnd w:id="2618"/>
    </w:p>
    <w:p w14:paraId="49745996" w14:textId="77777777" w:rsidR="001C08A5" w:rsidRDefault="001C08A5">
      <w:pPr>
        <w:jc w:val="both"/>
        <w:rPr>
          <w:sz w:val="24"/>
          <w:szCs w:val="24"/>
        </w:rPr>
      </w:pPr>
    </w:p>
    <w:p w14:paraId="0F9DA357" w14:textId="77777777" w:rsidR="001C08A5" w:rsidRDefault="00000000">
      <w:pPr>
        <w:jc w:val="both"/>
        <w:rPr>
          <w:b/>
          <w:sz w:val="24"/>
          <w:szCs w:val="24"/>
        </w:rPr>
      </w:pPr>
      <w:r>
        <w:rPr>
          <w:b/>
          <w:sz w:val="24"/>
          <w:szCs w:val="24"/>
        </w:rPr>
        <w:lastRenderedPageBreak/>
        <w:tab/>
        <w:t>Art. 2.5.10.1.</w:t>
      </w:r>
      <w:r>
        <w:rPr>
          <w:sz w:val="24"/>
          <w:szCs w:val="24"/>
        </w:rPr>
        <w:t xml:space="preserve"> Numărul normat de utilizatori pe unităţile de trecere (fluxurile) de evacuare </w:t>
      </w:r>
      <w:r>
        <w:rPr>
          <w:b/>
          <w:bCs/>
          <w:sz w:val="24"/>
          <w:szCs w:val="24"/>
        </w:rPr>
        <w:t>(U</w:t>
      </w:r>
      <w:r>
        <w:rPr>
          <w:b/>
          <w:bCs/>
          <w:sz w:val="24"/>
          <w:szCs w:val="24"/>
          <w:vertAlign w:val="subscript"/>
        </w:rPr>
        <w:t>f</w:t>
      </w:r>
      <w:r>
        <w:rPr>
          <w:b/>
          <w:bCs/>
          <w:sz w:val="24"/>
          <w:szCs w:val="24"/>
        </w:rPr>
        <w:t>)</w:t>
      </w:r>
      <w:r>
        <w:rPr>
          <w:sz w:val="24"/>
          <w:szCs w:val="24"/>
        </w:rPr>
        <w:t xml:space="preserve"> din construcţiile cu înălţimi obişnuite, sunt precizate în funcţie de destinaţia construcţiei sau a porţiunii de construcţie din care se evacuează utilizatorii, conform prevederilor normate.</w:t>
      </w:r>
    </w:p>
    <w:p w14:paraId="2D8FFDE6" w14:textId="77777777" w:rsidR="001C08A5" w:rsidRDefault="00000000">
      <w:pPr>
        <w:pStyle w:val="Heading4"/>
      </w:pPr>
      <w:bookmarkStart w:id="2619" w:name="_Toc4122"/>
      <w:bookmarkStart w:id="2620" w:name="_Toc77"/>
      <w:bookmarkStart w:id="2621" w:name="_Toc18592"/>
      <w:bookmarkStart w:id="2622" w:name="_Toc20293"/>
      <w:bookmarkStart w:id="2623" w:name="_Toc12473"/>
      <w:bookmarkStart w:id="2624" w:name="_Toc18482"/>
      <w:bookmarkStart w:id="2625" w:name="_Toc162355264"/>
      <w:bookmarkStart w:id="2626" w:name="_Toc23658"/>
      <w:r>
        <w:t>2.5.11. Unităţi de trecere (fluxuri) de evacuare</w:t>
      </w:r>
      <w:bookmarkEnd w:id="2619"/>
      <w:bookmarkEnd w:id="2620"/>
      <w:bookmarkEnd w:id="2621"/>
      <w:bookmarkEnd w:id="2622"/>
      <w:bookmarkEnd w:id="2623"/>
      <w:bookmarkEnd w:id="2624"/>
      <w:bookmarkEnd w:id="2625"/>
      <w:bookmarkEnd w:id="2626"/>
    </w:p>
    <w:p w14:paraId="080C2A5D" w14:textId="77777777" w:rsidR="001C08A5" w:rsidRDefault="001C08A5">
      <w:pPr>
        <w:jc w:val="both"/>
        <w:rPr>
          <w:sz w:val="24"/>
          <w:szCs w:val="24"/>
        </w:rPr>
      </w:pPr>
    </w:p>
    <w:p w14:paraId="55C1E20A" w14:textId="77777777" w:rsidR="001C08A5" w:rsidRDefault="00000000">
      <w:pPr>
        <w:jc w:val="both"/>
        <w:rPr>
          <w:sz w:val="24"/>
          <w:szCs w:val="24"/>
        </w:rPr>
      </w:pPr>
      <w:r>
        <w:rPr>
          <w:b/>
          <w:sz w:val="24"/>
          <w:szCs w:val="24"/>
        </w:rPr>
        <w:tab/>
        <w:t>Art. 2.5.11.1. (1)</w:t>
      </w:r>
      <w:r>
        <w:rPr>
          <w:sz w:val="24"/>
          <w:szCs w:val="24"/>
        </w:rPr>
        <w:t xml:space="preserve"> Lăţimea liberă normată pentru unităţile de trecere (fluxuri) de evacuare este </w:t>
      </w:r>
      <w:r>
        <w:rPr>
          <w:i/>
          <w:iCs/>
          <w:sz w:val="24"/>
          <w:szCs w:val="24"/>
        </w:rPr>
        <w:t xml:space="preserve">(conform </w:t>
      </w:r>
      <w:r>
        <w:rPr>
          <w:rFonts w:cs="Mangal"/>
          <w:b/>
          <w:i/>
          <w:iCs/>
          <w:sz w:val="24"/>
          <w:szCs w:val="24"/>
        </w:rPr>
        <w:fldChar w:fldCharType="begin"/>
      </w:r>
      <w:r>
        <w:rPr>
          <w:rFonts w:cs="Mangal"/>
          <w:b/>
          <w:i/>
          <w:iCs/>
          <w:sz w:val="24"/>
          <w:szCs w:val="24"/>
        </w:rPr>
        <w:instrText xml:space="preserve"> REF _Ref16177 \h </w:instrText>
      </w:r>
      <w:r>
        <w:rPr>
          <w:rFonts w:cs="Mangal"/>
          <w:b/>
          <w:i/>
          <w:iCs/>
          <w:sz w:val="24"/>
          <w:szCs w:val="24"/>
        </w:rPr>
      </w:r>
      <w:r>
        <w:rPr>
          <w:rFonts w:cs="Mangal"/>
          <w:b/>
          <w:i/>
          <w:iCs/>
          <w:sz w:val="24"/>
          <w:szCs w:val="24"/>
        </w:rPr>
        <w:fldChar w:fldCharType="separate"/>
      </w:r>
      <w:r>
        <w:t>Figura 60</w:t>
      </w:r>
      <w:r>
        <w:rPr>
          <w:rFonts w:cs="Mangal"/>
          <w:b/>
          <w:i/>
          <w:iCs/>
          <w:sz w:val="24"/>
          <w:szCs w:val="24"/>
        </w:rPr>
        <w:fldChar w:fldCharType="end"/>
      </w:r>
      <w:r>
        <w:rPr>
          <w:b/>
          <w:bCs/>
          <w:i/>
          <w:iCs/>
          <w:sz w:val="24"/>
          <w:szCs w:val="24"/>
        </w:rPr>
        <w:t xml:space="preserve"> </w:t>
      </w:r>
      <w:r>
        <w:rPr>
          <w:sz w:val="24"/>
          <w:szCs w:val="24"/>
        </w:rPr>
        <w:t>și</w:t>
      </w:r>
      <w:r>
        <w:rPr>
          <w:b/>
          <w:bCs/>
          <w:i/>
          <w:iCs/>
          <w:sz w:val="24"/>
          <w:szCs w:val="24"/>
        </w:rPr>
        <w:t xml:space="preserve"> </w:t>
      </w:r>
      <w:r>
        <w:rPr>
          <w:rFonts w:cs="Mangal"/>
          <w:b/>
          <w:i/>
          <w:iCs/>
          <w:sz w:val="24"/>
          <w:szCs w:val="24"/>
        </w:rPr>
        <w:fldChar w:fldCharType="begin"/>
      </w:r>
      <w:r>
        <w:rPr>
          <w:rFonts w:cs="Mangal"/>
          <w:b/>
          <w:i/>
          <w:iCs/>
          <w:sz w:val="24"/>
          <w:szCs w:val="24"/>
        </w:rPr>
        <w:instrText xml:space="preserve"> REF _Ref16213 \h </w:instrText>
      </w:r>
      <w:r>
        <w:rPr>
          <w:rFonts w:cs="Mangal"/>
          <w:b/>
          <w:i/>
          <w:iCs/>
          <w:sz w:val="24"/>
          <w:szCs w:val="24"/>
        </w:rPr>
      </w:r>
      <w:r>
        <w:rPr>
          <w:rFonts w:cs="Mangal"/>
          <w:b/>
          <w:i/>
          <w:iCs/>
          <w:sz w:val="24"/>
          <w:szCs w:val="24"/>
        </w:rPr>
        <w:fldChar w:fldCharType="separate"/>
      </w:r>
      <w:r>
        <w:t>Figura 61</w:t>
      </w:r>
      <w:r>
        <w:rPr>
          <w:rFonts w:cs="Mangal"/>
          <w:b/>
          <w:i/>
          <w:iCs/>
          <w:sz w:val="24"/>
          <w:szCs w:val="24"/>
        </w:rPr>
        <w:fldChar w:fldCharType="end"/>
      </w:r>
      <w:r>
        <w:rPr>
          <w:i/>
          <w:iCs/>
          <w:sz w:val="24"/>
          <w:szCs w:val="24"/>
        </w:rPr>
        <w:t>):</w:t>
      </w:r>
    </w:p>
    <w:p w14:paraId="0A097294" w14:textId="77777777" w:rsidR="001C08A5" w:rsidRDefault="00000000">
      <w:pPr>
        <w:ind w:firstLine="1418"/>
        <w:jc w:val="both"/>
        <w:rPr>
          <w:b/>
          <w:sz w:val="24"/>
          <w:szCs w:val="24"/>
        </w:rPr>
      </w:pPr>
      <w:r>
        <w:rPr>
          <w:b/>
          <w:sz w:val="24"/>
          <w:szCs w:val="24"/>
        </w:rPr>
        <w:t xml:space="preserve">a) 80 </w:t>
      </w:r>
      <w:r>
        <w:rPr>
          <w:b/>
          <w:bCs/>
          <w:sz w:val="24"/>
          <w:szCs w:val="24"/>
        </w:rPr>
        <w:t>cm</w:t>
      </w:r>
      <w:r>
        <w:rPr>
          <w:sz w:val="24"/>
          <w:szCs w:val="24"/>
        </w:rPr>
        <w:t xml:space="preserve"> pentru o unitate de trecere (flux) de evacuare;</w:t>
      </w:r>
    </w:p>
    <w:p w14:paraId="277D3C2F" w14:textId="77777777" w:rsidR="001C08A5" w:rsidRDefault="00000000">
      <w:pPr>
        <w:ind w:firstLine="1418"/>
        <w:jc w:val="both"/>
        <w:rPr>
          <w:sz w:val="24"/>
          <w:szCs w:val="24"/>
        </w:rPr>
      </w:pPr>
      <w:r>
        <w:rPr>
          <w:b/>
          <w:sz w:val="24"/>
          <w:szCs w:val="24"/>
        </w:rPr>
        <w:t xml:space="preserve">b) 1,10 </w:t>
      </w:r>
      <w:r>
        <w:rPr>
          <w:b/>
          <w:bCs/>
          <w:sz w:val="24"/>
          <w:szCs w:val="24"/>
        </w:rPr>
        <w:t>m</w:t>
      </w:r>
      <w:r>
        <w:rPr>
          <w:sz w:val="24"/>
          <w:szCs w:val="24"/>
        </w:rPr>
        <w:t xml:space="preserve"> pentru două unităţi de trecere (fluxuri) de evacuare;</w:t>
      </w:r>
    </w:p>
    <w:p w14:paraId="0A7A9532" w14:textId="77777777" w:rsidR="001C08A5" w:rsidRDefault="00000000">
      <w:pPr>
        <w:ind w:firstLine="1418"/>
        <w:jc w:val="both"/>
        <w:rPr>
          <w:sz w:val="24"/>
          <w:szCs w:val="24"/>
        </w:rPr>
      </w:pPr>
      <w:r>
        <w:rPr>
          <w:b/>
          <w:sz w:val="24"/>
          <w:szCs w:val="24"/>
        </w:rPr>
        <w:t xml:space="preserve">c) 1,60 </w:t>
      </w:r>
      <w:r>
        <w:rPr>
          <w:b/>
          <w:bCs/>
          <w:sz w:val="24"/>
          <w:szCs w:val="24"/>
        </w:rPr>
        <w:t>m</w:t>
      </w:r>
      <w:r>
        <w:rPr>
          <w:sz w:val="24"/>
          <w:szCs w:val="24"/>
        </w:rPr>
        <w:t xml:space="preserve"> pentru trei unităţi de trecere (fluxuri) de evacuare;</w:t>
      </w:r>
    </w:p>
    <w:p w14:paraId="1BBA4288" w14:textId="77777777" w:rsidR="001C08A5" w:rsidRDefault="00000000">
      <w:pPr>
        <w:ind w:firstLine="1418"/>
        <w:jc w:val="both"/>
        <w:rPr>
          <w:sz w:val="24"/>
          <w:szCs w:val="24"/>
        </w:rPr>
      </w:pPr>
      <w:r>
        <w:rPr>
          <w:b/>
          <w:sz w:val="24"/>
          <w:szCs w:val="24"/>
        </w:rPr>
        <w:t xml:space="preserve">d) 2,10 </w:t>
      </w:r>
      <w:r>
        <w:rPr>
          <w:b/>
          <w:bCs/>
          <w:sz w:val="24"/>
          <w:szCs w:val="24"/>
        </w:rPr>
        <w:t>m</w:t>
      </w:r>
      <w:r>
        <w:rPr>
          <w:sz w:val="24"/>
          <w:szCs w:val="24"/>
        </w:rPr>
        <w:t xml:space="preserve"> pentru patru unităţi de trecere (fluxuri) de evacuare;</w:t>
      </w:r>
    </w:p>
    <w:p w14:paraId="53972B0E" w14:textId="77777777" w:rsidR="001C08A5" w:rsidRDefault="00000000">
      <w:pPr>
        <w:ind w:firstLine="1418"/>
        <w:jc w:val="both"/>
        <w:rPr>
          <w:sz w:val="24"/>
          <w:szCs w:val="24"/>
        </w:rPr>
      </w:pPr>
      <w:r>
        <w:rPr>
          <w:b/>
          <w:sz w:val="24"/>
          <w:szCs w:val="24"/>
        </w:rPr>
        <w:t>e) 2,50</w:t>
      </w:r>
      <w:r>
        <w:rPr>
          <w:b/>
          <w:bCs/>
          <w:sz w:val="24"/>
          <w:szCs w:val="24"/>
        </w:rPr>
        <w:t xml:space="preserve"> m </w:t>
      </w:r>
      <w:r>
        <w:rPr>
          <w:sz w:val="24"/>
          <w:szCs w:val="24"/>
        </w:rPr>
        <w:t>pentru cinci unităţi de trecere (fluxuri) de evacuare.</w:t>
      </w:r>
    </w:p>
    <w:p w14:paraId="695B9525" w14:textId="77777777" w:rsidR="001C08A5" w:rsidRDefault="00000000">
      <w:pPr>
        <w:jc w:val="both"/>
        <w:rPr>
          <w:sz w:val="24"/>
          <w:szCs w:val="24"/>
        </w:rPr>
      </w:pPr>
      <w:r>
        <w:rPr>
          <w:sz w:val="24"/>
          <w:szCs w:val="24"/>
        </w:rPr>
        <w:tab/>
      </w:r>
      <w:r>
        <w:rPr>
          <w:b/>
          <w:sz w:val="24"/>
          <w:szCs w:val="24"/>
        </w:rPr>
        <w:t xml:space="preserve">(2) </w:t>
      </w:r>
      <w:r>
        <w:rPr>
          <w:sz w:val="24"/>
          <w:szCs w:val="24"/>
        </w:rPr>
        <w:t>Lăţimile intermediare ale unităţilor de trecere rezultate din calcul, se consideră valabile pentru trecerea numărului inferior de unităţi de trecere (fluxuri) de evacuare.</w:t>
      </w:r>
    </w:p>
    <w:p w14:paraId="79759D35" w14:textId="77777777" w:rsidR="001C08A5" w:rsidRDefault="001C08A5">
      <w:pPr>
        <w:jc w:val="both"/>
        <w:rPr>
          <w:sz w:val="24"/>
          <w:szCs w:val="24"/>
        </w:rPr>
      </w:pPr>
    </w:p>
    <w:p w14:paraId="301CE241" w14:textId="77777777" w:rsidR="001C08A5" w:rsidRDefault="00000000">
      <w:pPr>
        <w:jc w:val="center"/>
        <w:rPr>
          <w:sz w:val="24"/>
          <w:szCs w:val="24"/>
          <w:lang w:eastAsia="ro-RO"/>
        </w:rPr>
      </w:pPr>
      <w:r>
        <w:rPr>
          <w:noProof/>
          <w:lang w:eastAsia="ro-RO"/>
        </w:rPr>
        <w:drawing>
          <wp:inline distT="0" distB="0" distL="0" distR="0" wp14:anchorId="60902284" wp14:editId="14891CC3">
            <wp:extent cx="4774565" cy="1517650"/>
            <wp:effectExtent l="0" t="0" r="6985" b="6350"/>
            <wp:docPr id="1137" name="Picture 88"/>
            <wp:cNvGraphicFramePr/>
            <a:graphic xmlns:a="http://schemas.openxmlformats.org/drawingml/2006/main">
              <a:graphicData uri="http://schemas.openxmlformats.org/drawingml/2006/picture">
                <pic:pic xmlns:pic="http://schemas.openxmlformats.org/drawingml/2006/picture">
                  <pic:nvPicPr>
                    <pic:cNvPr id="1137" name="Picture 88"/>
                    <pic:cNvPicPr/>
                  </pic:nvPicPr>
                  <pic:blipFill>
                    <a:blip r:embed="rId167" cstate="print"/>
                    <a:srcRect l="23619" t="48334" r="13180" b="17780"/>
                    <a:stretch>
                      <a:fillRect/>
                    </a:stretch>
                  </pic:blipFill>
                  <pic:spPr>
                    <a:xfrm>
                      <a:off x="0" y="0"/>
                      <a:ext cx="4774565" cy="1517650"/>
                    </a:xfrm>
                    <a:prstGeom prst="rect">
                      <a:avLst/>
                    </a:prstGeom>
                    <a:ln>
                      <a:noFill/>
                    </a:ln>
                  </pic:spPr>
                </pic:pic>
              </a:graphicData>
            </a:graphic>
          </wp:inline>
        </w:drawing>
      </w:r>
    </w:p>
    <w:p w14:paraId="5F20B5F2" w14:textId="77777777" w:rsidR="001C08A5" w:rsidRDefault="00000000">
      <w:pPr>
        <w:pStyle w:val="Caption"/>
        <w:jc w:val="center"/>
        <w:rPr>
          <w:rFonts w:cs="Times New Roman"/>
          <w:bCs/>
        </w:rPr>
      </w:pPr>
      <w:bookmarkStart w:id="2627" w:name="_Ref16177"/>
      <w:bookmarkStart w:id="2628" w:name="_Toc11859"/>
      <w:bookmarkStart w:id="2629" w:name="_Toc22705"/>
      <w:bookmarkStart w:id="2630" w:name="_Toc2792"/>
      <w:bookmarkStart w:id="2631" w:name="_Toc28246"/>
      <w:bookmarkStart w:id="2632" w:name="_Toc11040"/>
      <w:bookmarkStart w:id="2633" w:name="_Toc162360284"/>
      <w:bookmarkStart w:id="2634" w:name="_Toc9888"/>
      <w:r>
        <w:t xml:space="preserve">Figura </w:t>
      </w:r>
      <w:r>
        <w:fldChar w:fldCharType="begin"/>
      </w:r>
      <w:r>
        <w:instrText xml:space="preserve"> SEQ Figura \* ARABIC </w:instrText>
      </w:r>
      <w:r>
        <w:fldChar w:fldCharType="separate"/>
      </w:r>
      <w:r>
        <w:t>60</w:t>
      </w:r>
      <w:r>
        <w:fldChar w:fldCharType="end"/>
      </w:r>
      <w:bookmarkStart w:id="2635" w:name="_Toc24247"/>
      <w:bookmarkStart w:id="2636" w:name="_Toc37"/>
      <w:bookmarkStart w:id="2637" w:name="_Toc14457"/>
      <w:bookmarkStart w:id="2638" w:name="_Toc5025"/>
      <w:bookmarkStart w:id="2639" w:name="_Toc12699"/>
      <w:bookmarkStart w:id="2640" w:name="_Toc10712"/>
      <w:bookmarkStart w:id="2641" w:name="_Toc22238"/>
      <w:bookmarkStart w:id="2642" w:name="_Toc26328"/>
      <w:bookmarkStart w:id="2643" w:name="_Toc5829"/>
      <w:bookmarkStart w:id="2644" w:name="_Toc20762"/>
      <w:bookmarkStart w:id="2645" w:name="_Toc5596"/>
      <w:bookmarkEnd w:id="2627"/>
      <w:r>
        <w:t xml:space="preserve"> - </w:t>
      </w:r>
      <w:r>
        <w:rPr>
          <w:rFonts w:cs="Times New Roman"/>
          <w:bCs/>
        </w:rPr>
        <w:t>Lăţimi normate ale unităţilor de trecere (fluxurilor) de evacuare și lățimi libere ale ușilor de evacuare corespunzător numărului de fluxuri</w:t>
      </w:r>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p>
    <w:p w14:paraId="04F0F90F" w14:textId="77777777" w:rsidR="001C08A5" w:rsidRDefault="00000000">
      <w:pPr>
        <w:jc w:val="center"/>
        <w:rPr>
          <w:sz w:val="24"/>
          <w:szCs w:val="24"/>
          <w:lang w:eastAsia="ro-RO"/>
        </w:rPr>
      </w:pPr>
      <w:r>
        <w:rPr>
          <w:noProof/>
          <w:lang w:eastAsia="ro-RO"/>
        </w:rPr>
        <w:drawing>
          <wp:inline distT="0" distB="0" distL="0" distR="0" wp14:anchorId="6B213383" wp14:editId="73C21E26">
            <wp:extent cx="5273040" cy="1731010"/>
            <wp:effectExtent l="0" t="0" r="3810" b="2540"/>
            <wp:docPr id="1138" name="Picture 79"/>
            <wp:cNvGraphicFramePr/>
            <a:graphic xmlns:a="http://schemas.openxmlformats.org/drawingml/2006/main">
              <a:graphicData uri="http://schemas.openxmlformats.org/drawingml/2006/picture">
                <pic:pic xmlns:pic="http://schemas.openxmlformats.org/drawingml/2006/picture">
                  <pic:nvPicPr>
                    <pic:cNvPr id="1138" name="Picture 79"/>
                    <pic:cNvPicPr/>
                  </pic:nvPicPr>
                  <pic:blipFill>
                    <a:blip r:embed="rId168" cstate="print"/>
                    <a:srcRect l="17889" t="24085" r="12271" b="32549"/>
                    <a:stretch>
                      <a:fillRect/>
                    </a:stretch>
                  </pic:blipFill>
                  <pic:spPr>
                    <a:xfrm>
                      <a:off x="0" y="0"/>
                      <a:ext cx="5273040" cy="1731010"/>
                    </a:xfrm>
                    <a:prstGeom prst="rect">
                      <a:avLst/>
                    </a:prstGeom>
                    <a:ln>
                      <a:noFill/>
                    </a:ln>
                  </pic:spPr>
                </pic:pic>
              </a:graphicData>
            </a:graphic>
          </wp:inline>
        </w:drawing>
      </w:r>
    </w:p>
    <w:p w14:paraId="2B8F5665" w14:textId="77777777" w:rsidR="001C08A5" w:rsidRDefault="00000000">
      <w:pPr>
        <w:pStyle w:val="Caption"/>
        <w:jc w:val="center"/>
        <w:rPr>
          <w:rFonts w:cs="Times New Roman"/>
        </w:rPr>
      </w:pPr>
      <w:bookmarkStart w:id="2646" w:name="_Ref16213"/>
      <w:bookmarkStart w:id="2647" w:name="_Toc31030"/>
      <w:bookmarkStart w:id="2648" w:name="_Toc9446"/>
      <w:bookmarkStart w:id="2649" w:name="_Toc4294"/>
      <w:bookmarkStart w:id="2650" w:name="_Toc16442"/>
      <w:bookmarkStart w:id="2651" w:name="_Toc162360285"/>
      <w:bookmarkStart w:id="2652" w:name="_Toc13715"/>
      <w:bookmarkStart w:id="2653" w:name="_Toc21153"/>
      <w:r>
        <w:t xml:space="preserve">Figura </w:t>
      </w:r>
      <w:r>
        <w:fldChar w:fldCharType="begin"/>
      </w:r>
      <w:r>
        <w:instrText xml:space="preserve"> SEQ Figura \* ARABIC </w:instrText>
      </w:r>
      <w:r>
        <w:fldChar w:fldCharType="separate"/>
      </w:r>
      <w:r>
        <w:t>61</w:t>
      </w:r>
      <w:r>
        <w:fldChar w:fldCharType="end"/>
      </w:r>
      <w:bookmarkStart w:id="2654" w:name="_Toc16827"/>
      <w:bookmarkStart w:id="2655" w:name="_Toc29742"/>
      <w:bookmarkStart w:id="2656" w:name="_Toc11638"/>
      <w:bookmarkStart w:id="2657" w:name="_Toc21257"/>
      <w:bookmarkStart w:id="2658" w:name="_Toc287"/>
      <w:bookmarkStart w:id="2659" w:name="_Toc5198"/>
      <w:bookmarkStart w:id="2660" w:name="_Toc16935"/>
      <w:bookmarkStart w:id="2661" w:name="_Toc4546"/>
      <w:bookmarkStart w:id="2662" w:name="_Toc23941"/>
      <w:bookmarkStart w:id="2663" w:name="_Toc27280"/>
      <w:bookmarkStart w:id="2664" w:name="_Toc30433"/>
      <w:bookmarkEnd w:id="2646"/>
      <w:r>
        <w:t xml:space="preserve"> - </w:t>
      </w:r>
      <w:r>
        <w:rPr>
          <w:rFonts w:cs="Times New Roman"/>
        </w:rPr>
        <w:t>Lățimi și înălțimi libere ale ușilor de evacuare</w:t>
      </w:r>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p>
    <w:p w14:paraId="34F21F08" w14:textId="77777777" w:rsidR="001C08A5" w:rsidRDefault="00000000">
      <w:pPr>
        <w:pStyle w:val="Heading4"/>
      </w:pPr>
      <w:bookmarkStart w:id="2665" w:name="_Toc162355265"/>
      <w:bookmarkStart w:id="2666" w:name="_Toc13510"/>
      <w:bookmarkStart w:id="2667" w:name="_Toc17606"/>
      <w:bookmarkStart w:id="2668" w:name="_Toc118"/>
      <w:bookmarkStart w:id="2669" w:name="_Toc5020"/>
      <w:bookmarkStart w:id="2670" w:name="_Toc14962"/>
      <w:bookmarkStart w:id="2671" w:name="_Toc22031"/>
      <w:bookmarkStart w:id="2672" w:name="_Toc9042"/>
      <w:r>
        <w:t>2.5.12. Determinarea numărului unităţilor de trecere (fluxurilor) de evacuare</w:t>
      </w:r>
      <w:bookmarkEnd w:id="2665"/>
      <w:bookmarkEnd w:id="2666"/>
      <w:bookmarkEnd w:id="2667"/>
      <w:bookmarkEnd w:id="2668"/>
      <w:bookmarkEnd w:id="2669"/>
      <w:bookmarkEnd w:id="2670"/>
      <w:bookmarkEnd w:id="2671"/>
      <w:bookmarkEnd w:id="2672"/>
      <w:r>
        <w:tab/>
      </w:r>
    </w:p>
    <w:p w14:paraId="479D548A" w14:textId="77777777" w:rsidR="001C08A5" w:rsidRDefault="001C08A5">
      <w:pPr>
        <w:jc w:val="both"/>
        <w:rPr>
          <w:sz w:val="24"/>
          <w:szCs w:val="24"/>
        </w:rPr>
      </w:pPr>
    </w:p>
    <w:p w14:paraId="79C11BC7" w14:textId="77777777" w:rsidR="001C08A5" w:rsidRDefault="00000000">
      <w:pPr>
        <w:jc w:val="both"/>
        <w:rPr>
          <w:sz w:val="24"/>
          <w:szCs w:val="24"/>
        </w:rPr>
      </w:pPr>
      <w:r>
        <w:rPr>
          <w:b/>
          <w:sz w:val="24"/>
          <w:szCs w:val="24"/>
        </w:rPr>
        <w:tab/>
        <w:t>Art. 2.5.12.1. (1)</w:t>
      </w:r>
      <w:r>
        <w:rPr>
          <w:sz w:val="24"/>
          <w:szCs w:val="24"/>
        </w:rPr>
        <w:t xml:space="preserve"> La determinarea unităţilor de trecere (fluxurilor) de evacuare în caz de incendiu se are în vedere construcţia în ansamblu, asigurându-se îndeplinirea celor mai severe condiţii de evacuare atunci când căile de evacuare sunt comune mai multor funcţiuni distincte, iar în cazul în care se prevăd căi de evacuare proprii unei funcţiuni, se asigură condiţiile normate pentru funcţiunea respectivă.</w:t>
      </w:r>
    </w:p>
    <w:p w14:paraId="0053A5D8"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Numărul de unităţi de trecere (fluxuri) de evacuare ce trebuie asigurat pentru evacuarea utilizatorilor unei construcţii se determină cu relaţia </w:t>
      </w:r>
    </w:p>
    <w:p w14:paraId="240E0F62" w14:textId="77777777" w:rsidR="001C08A5" w:rsidRDefault="001C08A5">
      <w:pPr>
        <w:jc w:val="both"/>
        <w:rPr>
          <w:sz w:val="24"/>
          <w:szCs w:val="24"/>
        </w:rPr>
      </w:pPr>
    </w:p>
    <w:p w14:paraId="4A70FA1E" w14:textId="77777777" w:rsidR="001C08A5" w:rsidRDefault="00000000">
      <w:pPr>
        <w:jc w:val="center"/>
        <w:rPr>
          <w:sz w:val="24"/>
          <w:szCs w:val="24"/>
        </w:rPr>
      </w:pPr>
      <w:r>
        <w:rPr>
          <w:b/>
          <w:sz w:val="24"/>
          <w:szCs w:val="24"/>
        </w:rPr>
        <w:t xml:space="preserve">UT = N : </w:t>
      </w:r>
      <w:r>
        <w:rPr>
          <w:b/>
          <w:bCs/>
          <w:sz w:val="24"/>
          <w:szCs w:val="24"/>
        </w:rPr>
        <w:t>U</w:t>
      </w:r>
      <w:r>
        <w:rPr>
          <w:b/>
          <w:bCs/>
          <w:sz w:val="24"/>
          <w:szCs w:val="24"/>
          <w:vertAlign w:val="subscript"/>
        </w:rPr>
        <w:t>f</w:t>
      </w:r>
      <w:r>
        <w:rPr>
          <w:sz w:val="24"/>
          <w:szCs w:val="24"/>
        </w:rPr>
        <w:t>,</w:t>
      </w:r>
    </w:p>
    <w:p w14:paraId="6B383F1E" w14:textId="77777777" w:rsidR="001C08A5" w:rsidRDefault="00000000">
      <w:pPr>
        <w:jc w:val="both"/>
        <w:rPr>
          <w:sz w:val="24"/>
          <w:szCs w:val="24"/>
        </w:rPr>
      </w:pPr>
      <w:r>
        <w:rPr>
          <w:sz w:val="24"/>
          <w:szCs w:val="24"/>
        </w:rPr>
        <w:t>în care:</w:t>
      </w:r>
    </w:p>
    <w:p w14:paraId="67DA4327" w14:textId="77777777" w:rsidR="001C08A5" w:rsidRDefault="00000000">
      <w:pPr>
        <w:jc w:val="both"/>
        <w:rPr>
          <w:sz w:val="24"/>
          <w:szCs w:val="24"/>
        </w:rPr>
      </w:pPr>
      <w:r>
        <w:rPr>
          <w:b/>
          <w:sz w:val="24"/>
          <w:szCs w:val="24"/>
        </w:rPr>
        <w:t>UT</w:t>
      </w:r>
      <w:r>
        <w:rPr>
          <w:sz w:val="24"/>
          <w:szCs w:val="24"/>
        </w:rPr>
        <w:t xml:space="preserve"> = numărul unităţilor de trecere (fluxuri) de evacuare;</w:t>
      </w:r>
    </w:p>
    <w:p w14:paraId="3B4F26AE" w14:textId="77777777" w:rsidR="001C08A5" w:rsidRDefault="00000000">
      <w:pPr>
        <w:jc w:val="both"/>
        <w:rPr>
          <w:sz w:val="24"/>
          <w:szCs w:val="24"/>
        </w:rPr>
      </w:pPr>
      <w:r>
        <w:rPr>
          <w:b/>
          <w:sz w:val="24"/>
          <w:szCs w:val="24"/>
        </w:rPr>
        <w:lastRenderedPageBreak/>
        <w:t xml:space="preserve">N </w:t>
      </w:r>
      <w:r>
        <w:rPr>
          <w:sz w:val="24"/>
          <w:szCs w:val="24"/>
        </w:rPr>
        <w:t xml:space="preserve"> = numărul utilizatorilor care trebuie să se evacueze;</w:t>
      </w:r>
    </w:p>
    <w:p w14:paraId="668BB02F" w14:textId="77777777" w:rsidR="001C08A5" w:rsidRDefault="00000000">
      <w:pPr>
        <w:jc w:val="both"/>
        <w:rPr>
          <w:sz w:val="24"/>
          <w:szCs w:val="24"/>
        </w:rPr>
      </w:pPr>
      <w:r>
        <w:rPr>
          <w:b/>
          <w:bCs/>
          <w:sz w:val="24"/>
          <w:szCs w:val="24"/>
        </w:rPr>
        <w:t>U</w:t>
      </w:r>
      <w:r>
        <w:rPr>
          <w:b/>
          <w:bCs/>
          <w:sz w:val="24"/>
          <w:szCs w:val="24"/>
          <w:vertAlign w:val="subscript"/>
        </w:rPr>
        <w:t>f</w:t>
      </w:r>
      <w:r>
        <w:rPr>
          <w:sz w:val="24"/>
          <w:szCs w:val="24"/>
        </w:rPr>
        <w:t xml:space="preserve"> = numărul normat de utilizatori pe unitatea de trecere (flux) de evacuare.</w:t>
      </w:r>
    </w:p>
    <w:p w14:paraId="17F2E626" w14:textId="77777777" w:rsidR="001C08A5" w:rsidRDefault="00000000">
      <w:pPr>
        <w:jc w:val="both"/>
        <w:rPr>
          <w:b/>
          <w:sz w:val="24"/>
          <w:szCs w:val="24"/>
        </w:rPr>
      </w:pPr>
      <w:r>
        <w:rPr>
          <w:sz w:val="24"/>
          <w:szCs w:val="24"/>
        </w:rPr>
        <w:tab/>
      </w:r>
      <w:r>
        <w:rPr>
          <w:b/>
          <w:sz w:val="24"/>
          <w:szCs w:val="24"/>
        </w:rPr>
        <w:t>(3)</w:t>
      </w:r>
      <w:r>
        <w:rPr>
          <w:sz w:val="24"/>
          <w:szCs w:val="24"/>
        </w:rPr>
        <w:t xml:space="preserve"> Rezultatele se rotunjesc la numărul întreg imediat superior.</w:t>
      </w:r>
    </w:p>
    <w:p w14:paraId="5C7408EF" w14:textId="77777777" w:rsidR="001C08A5" w:rsidRDefault="00000000">
      <w:pPr>
        <w:jc w:val="both"/>
        <w:rPr>
          <w:b/>
          <w:sz w:val="24"/>
          <w:szCs w:val="24"/>
        </w:rPr>
      </w:pPr>
      <w:r>
        <w:rPr>
          <w:b/>
          <w:sz w:val="24"/>
          <w:szCs w:val="24"/>
        </w:rPr>
        <w:tab/>
        <w:t>(4)</w:t>
      </w:r>
      <w:r>
        <w:rPr>
          <w:sz w:val="24"/>
          <w:szCs w:val="24"/>
        </w:rPr>
        <w:t xml:space="preserve"> Numărul de utilizatori </w:t>
      </w:r>
      <w:r>
        <w:rPr>
          <w:b/>
          <w:sz w:val="24"/>
          <w:szCs w:val="24"/>
        </w:rPr>
        <w:t>(N)</w:t>
      </w:r>
      <w:r>
        <w:rPr>
          <w:sz w:val="24"/>
          <w:szCs w:val="24"/>
        </w:rPr>
        <w:t xml:space="preserve"> pentru care se calculează unităţile de trecere (fluxurile) de evacuare este constituit din capacitatea maximă simultană de utilizatori ai construcţiei, ai nivelurilor acesteia şi al încăperilor, conform prevederilor normativului.</w:t>
      </w:r>
    </w:p>
    <w:p w14:paraId="6A879D73" w14:textId="77777777" w:rsidR="001C08A5" w:rsidRDefault="00000000">
      <w:pPr>
        <w:jc w:val="both"/>
        <w:rPr>
          <w:sz w:val="24"/>
          <w:szCs w:val="24"/>
        </w:rPr>
      </w:pPr>
      <w:r>
        <w:rPr>
          <w:b/>
          <w:sz w:val="24"/>
          <w:szCs w:val="24"/>
        </w:rPr>
        <w:tab/>
        <w:t>(5)</w:t>
      </w:r>
      <w:r>
        <w:rPr>
          <w:sz w:val="24"/>
          <w:szCs w:val="24"/>
        </w:rPr>
        <w:t xml:space="preserve"> Numărul normat de utilizatori pe unitatea de trecere (flux) de evacuare </w:t>
      </w:r>
      <w:r>
        <w:rPr>
          <w:b/>
          <w:sz w:val="24"/>
          <w:szCs w:val="24"/>
        </w:rPr>
        <w:t>(</w:t>
      </w:r>
      <w:r>
        <w:rPr>
          <w:b/>
          <w:bCs/>
          <w:sz w:val="24"/>
          <w:szCs w:val="24"/>
        </w:rPr>
        <w:t>U</w:t>
      </w:r>
      <w:r>
        <w:rPr>
          <w:b/>
          <w:bCs/>
          <w:sz w:val="24"/>
          <w:szCs w:val="24"/>
          <w:vertAlign w:val="subscript"/>
        </w:rPr>
        <w:t>f</w:t>
      </w:r>
      <w:r>
        <w:rPr>
          <w:b/>
          <w:sz w:val="24"/>
          <w:szCs w:val="24"/>
        </w:rPr>
        <w:t>)</w:t>
      </w:r>
      <w:r>
        <w:rPr>
          <w:sz w:val="24"/>
          <w:szCs w:val="24"/>
        </w:rPr>
        <w:t xml:space="preserve"> din clădiri cu înălţimi obişnuite, se determină conform prevederilor normate (</w:t>
      </w:r>
      <w:r>
        <w:rPr>
          <w:bCs/>
          <w:sz w:val="24"/>
          <w:szCs w:val="24"/>
        </w:rPr>
        <w:t xml:space="preserve">în acord cu funcțiunile acestora sau tipurilor de clădire </w:t>
      </w:r>
      <w:r>
        <w:rPr>
          <w:sz w:val="24"/>
          <w:szCs w:val="24"/>
        </w:rPr>
        <w:t xml:space="preserve">pentru clădiri civile precum și </w:t>
      </w:r>
      <w:r>
        <w:rPr>
          <w:b/>
          <w:bCs/>
          <w:sz w:val="24"/>
          <w:szCs w:val="24"/>
        </w:rPr>
        <w:t>Art. 3.1.5.6.</w:t>
      </w:r>
      <w:r>
        <w:rPr>
          <w:sz w:val="24"/>
          <w:szCs w:val="24"/>
        </w:rPr>
        <w:t xml:space="preserve"> și </w:t>
      </w:r>
      <w:r>
        <w:rPr>
          <w:b/>
          <w:bCs/>
          <w:i/>
          <w:iCs/>
          <w:sz w:val="24"/>
          <w:szCs w:val="24"/>
        </w:rPr>
        <w:fldChar w:fldCharType="begin"/>
      </w:r>
      <w:r>
        <w:rPr>
          <w:b/>
          <w:bCs/>
          <w:i/>
          <w:iCs/>
          <w:sz w:val="24"/>
          <w:szCs w:val="24"/>
        </w:rPr>
        <w:instrText xml:space="preserve"> REF _Ref13754 \h </w:instrText>
      </w:r>
      <w:r>
        <w:rPr>
          <w:b/>
          <w:bCs/>
          <w:i/>
          <w:iCs/>
          <w:sz w:val="24"/>
          <w:szCs w:val="24"/>
        </w:rPr>
      </w:r>
      <w:r>
        <w:rPr>
          <w:b/>
          <w:bCs/>
          <w:i/>
          <w:iCs/>
          <w:sz w:val="24"/>
          <w:szCs w:val="24"/>
        </w:rPr>
        <w:fldChar w:fldCharType="separate"/>
      </w:r>
      <w:r>
        <w:t>Tabelul 51</w:t>
      </w:r>
      <w:r>
        <w:rPr>
          <w:b/>
          <w:bCs/>
          <w:i/>
          <w:iCs/>
          <w:sz w:val="24"/>
          <w:szCs w:val="24"/>
        </w:rPr>
        <w:fldChar w:fldCharType="end"/>
      </w:r>
      <w:r>
        <w:rPr>
          <w:sz w:val="24"/>
          <w:szCs w:val="24"/>
        </w:rPr>
        <w:t xml:space="preserve">) şi conform </w:t>
      </w:r>
      <w:r>
        <w:rPr>
          <w:b/>
          <w:sz w:val="24"/>
          <w:szCs w:val="24"/>
        </w:rPr>
        <w:t xml:space="preserve">Art. 6.1.5.15. </w:t>
      </w:r>
      <w:r>
        <w:rPr>
          <w:bCs/>
          <w:sz w:val="24"/>
          <w:szCs w:val="24"/>
        </w:rPr>
        <w:t xml:space="preserve">și </w:t>
      </w:r>
      <w:r>
        <w:rPr>
          <w:b/>
          <w:sz w:val="24"/>
          <w:szCs w:val="24"/>
        </w:rPr>
        <w:t xml:space="preserve"> </w:t>
      </w:r>
      <w:r>
        <w:rPr>
          <w:b/>
          <w:bCs/>
          <w:i/>
          <w:iCs/>
          <w:sz w:val="24"/>
          <w:szCs w:val="24"/>
        </w:rPr>
        <w:fldChar w:fldCharType="begin"/>
      </w:r>
      <w:r>
        <w:rPr>
          <w:b/>
          <w:bCs/>
          <w:i/>
          <w:iCs/>
          <w:sz w:val="24"/>
          <w:szCs w:val="24"/>
        </w:rPr>
        <w:instrText xml:space="preserve"> REF _Ref12711 \h </w:instrText>
      </w:r>
      <w:r>
        <w:rPr>
          <w:b/>
          <w:bCs/>
          <w:i/>
          <w:iCs/>
          <w:sz w:val="24"/>
          <w:szCs w:val="24"/>
        </w:rPr>
      </w:r>
      <w:r>
        <w:rPr>
          <w:b/>
          <w:bCs/>
          <w:i/>
          <w:iCs/>
          <w:sz w:val="24"/>
          <w:szCs w:val="24"/>
        </w:rPr>
        <w:fldChar w:fldCharType="separate"/>
      </w:r>
      <w:r>
        <w:t>Tabelul 115</w:t>
      </w:r>
      <w:r>
        <w:rPr>
          <w:b/>
          <w:bCs/>
          <w:i/>
          <w:iCs/>
          <w:sz w:val="24"/>
          <w:szCs w:val="24"/>
        </w:rPr>
        <w:fldChar w:fldCharType="end"/>
      </w:r>
      <w:r>
        <w:rPr>
          <w:b/>
          <w:sz w:val="24"/>
          <w:szCs w:val="24"/>
        </w:rPr>
        <w:t xml:space="preserve"> </w:t>
      </w:r>
      <w:r>
        <w:rPr>
          <w:sz w:val="24"/>
          <w:szCs w:val="24"/>
        </w:rPr>
        <w:t>pentru construcţii de producţie şi / sau depozitare).</w:t>
      </w:r>
    </w:p>
    <w:p w14:paraId="6FB042CE" w14:textId="77777777" w:rsidR="001C08A5" w:rsidRDefault="00000000">
      <w:pPr>
        <w:ind w:firstLine="720"/>
        <w:jc w:val="both"/>
        <w:rPr>
          <w:sz w:val="24"/>
          <w:szCs w:val="24"/>
        </w:rPr>
      </w:pPr>
      <w:r>
        <w:rPr>
          <w:b/>
          <w:sz w:val="24"/>
          <w:szCs w:val="24"/>
        </w:rPr>
        <w:t xml:space="preserve">(6) </w:t>
      </w:r>
      <w:r>
        <w:rPr>
          <w:sz w:val="24"/>
          <w:szCs w:val="24"/>
        </w:rPr>
        <w:t xml:space="preserve">Numărul normat de utilizatori pe unitatea de trecere (flux) de evacuare </w:t>
      </w:r>
      <w:r>
        <w:rPr>
          <w:b/>
          <w:sz w:val="24"/>
          <w:szCs w:val="24"/>
        </w:rPr>
        <w:t>(</w:t>
      </w:r>
      <w:r>
        <w:rPr>
          <w:b/>
          <w:bCs/>
          <w:sz w:val="24"/>
          <w:szCs w:val="24"/>
        </w:rPr>
        <w:t>U</w:t>
      </w:r>
      <w:r>
        <w:rPr>
          <w:b/>
          <w:bCs/>
          <w:sz w:val="24"/>
          <w:szCs w:val="24"/>
          <w:vertAlign w:val="subscript"/>
        </w:rPr>
        <w:t>f</w:t>
      </w:r>
      <w:r>
        <w:rPr>
          <w:b/>
          <w:sz w:val="24"/>
          <w:szCs w:val="24"/>
        </w:rPr>
        <w:t>)</w:t>
      </w:r>
      <w:r>
        <w:rPr>
          <w:sz w:val="24"/>
          <w:szCs w:val="24"/>
        </w:rPr>
        <w:t xml:space="preserve"> din clădirile supraterane înalte, foarte înalte sau cu săli aglomerate, este cel stabilit în prevederile specifice acestora.</w:t>
      </w:r>
    </w:p>
    <w:p w14:paraId="57FFC69B" w14:textId="77777777" w:rsidR="001C08A5" w:rsidRDefault="001C08A5">
      <w:pPr>
        <w:ind w:firstLine="720"/>
        <w:jc w:val="both"/>
        <w:rPr>
          <w:sz w:val="24"/>
          <w:szCs w:val="24"/>
        </w:rPr>
      </w:pPr>
    </w:p>
    <w:p w14:paraId="0A730633" w14:textId="77777777" w:rsidR="001C08A5" w:rsidRDefault="00000000">
      <w:pPr>
        <w:ind w:firstLine="720"/>
        <w:jc w:val="both"/>
        <w:rPr>
          <w:sz w:val="24"/>
          <w:szCs w:val="24"/>
        </w:rPr>
      </w:pPr>
      <w:r>
        <w:rPr>
          <w:b/>
          <w:bCs/>
          <w:sz w:val="24"/>
          <w:szCs w:val="24"/>
        </w:rPr>
        <w:t xml:space="preserve">Art. 2.5.12.2. </w:t>
      </w:r>
      <w:r>
        <w:rPr>
          <w:b/>
          <w:sz w:val="24"/>
          <w:szCs w:val="24"/>
        </w:rPr>
        <w:t>(1)</w:t>
      </w:r>
      <w:r>
        <w:rPr>
          <w:sz w:val="24"/>
          <w:szCs w:val="24"/>
        </w:rPr>
        <w:t xml:space="preserve"> Indiferent de numărul de unități de trecere (fluxuri) de evacuare rezultate din calcul, ieşirile în exteriorul clădirii (uşile exterioare), nu se pot reduce.</w:t>
      </w:r>
    </w:p>
    <w:p w14:paraId="79C1767D" w14:textId="77777777" w:rsidR="001C08A5" w:rsidRDefault="00000000">
      <w:pPr>
        <w:ind w:firstLine="720"/>
        <w:jc w:val="both"/>
        <w:rPr>
          <w:b/>
          <w:sz w:val="24"/>
          <w:szCs w:val="24"/>
        </w:rPr>
      </w:pPr>
      <w:r>
        <w:rPr>
          <w:b/>
          <w:sz w:val="24"/>
          <w:szCs w:val="24"/>
        </w:rPr>
        <w:t xml:space="preserve">(2) </w:t>
      </w:r>
      <w:r>
        <w:rPr>
          <w:sz w:val="24"/>
          <w:szCs w:val="24"/>
        </w:rPr>
        <w:t xml:space="preserve">La clădirile cu săli aglomerate precum și la cele a căror capacitate maximă simultană este mai mare de </w:t>
      </w:r>
      <w:r>
        <w:rPr>
          <w:b/>
          <w:bCs/>
          <w:sz w:val="24"/>
          <w:szCs w:val="24"/>
        </w:rPr>
        <w:t>3.500</w:t>
      </w:r>
      <w:r>
        <w:rPr>
          <w:sz w:val="24"/>
          <w:szCs w:val="24"/>
        </w:rPr>
        <w:t xml:space="preserve"> de persoane, pentru diminuarea consecințelor efectului de panică, numărul fluxurilor de evacuare în exteriorul clădirii, ce trec prin uşile care constituie accese principale în clădire de către public sau vizitatori (persoane străine de construcție) se măresc prin înmulțire cu un coeficient de minimum </w:t>
      </w:r>
      <w:r>
        <w:rPr>
          <w:b/>
          <w:bCs/>
          <w:sz w:val="24"/>
          <w:szCs w:val="24"/>
        </w:rPr>
        <w:t>1,25</w:t>
      </w:r>
      <w:r>
        <w:rPr>
          <w:sz w:val="24"/>
          <w:szCs w:val="24"/>
        </w:rPr>
        <w:t>.</w:t>
      </w:r>
    </w:p>
    <w:p w14:paraId="0DEBA0CF" w14:textId="77777777" w:rsidR="001C08A5" w:rsidRDefault="00000000">
      <w:pPr>
        <w:pStyle w:val="Heading4"/>
      </w:pPr>
      <w:bookmarkStart w:id="2673" w:name="_Toc16029"/>
      <w:bookmarkStart w:id="2674" w:name="_Toc3494"/>
      <w:bookmarkStart w:id="2675" w:name="_Toc12475"/>
      <w:bookmarkStart w:id="2676" w:name="_Toc20535"/>
      <w:bookmarkStart w:id="2677" w:name="_Toc29176"/>
      <w:bookmarkStart w:id="2678" w:name="_Toc162355266"/>
      <w:bookmarkStart w:id="2679" w:name="_Toc12837"/>
      <w:bookmarkStart w:id="2680" w:name="_Toc5249"/>
      <w:r>
        <w:t>2.5.13. Determinarea numărului căilor de evacuare</w:t>
      </w:r>
      <w:bookmarkEnd w:id="2673"/>
      <w:bookmarkEnd w:id="2674"/>
      <w:bookmarkEnd w:id="2675"/>
      <w:bookmarkEnd w:id="2676"/>
      <w:bookmarkEnd w:id="2677"/>
      <w:bookmarkEnd w:id="2678"/>
      <w:bookmarkEnd w:id="2679"/>
      <w:bookmarkEnd w:id="2680"/>
    </w:p>
    <w:p w14:paraId="2384E15E" w14:textId="77777777" w:rsidR="001C08A5" w:rsidRDefault="001C08A5">
      <w:pPr>
        <w:rPr>
          <w:sz w:val="24"/>
          <w:szCs w:val="24"/>
        </w:rPr>
      </w:pPr>
    </w:p>
    <w:p w14:paraId="3BC6A785" w14:textId="77777777" w:rsidR="001C08A5" w:rsidRDefault="00000000">
      <w:pPr>
        <w:jc w:val="both"/>
        <w:rPr>
          <w:b/>
          <w:sz w:val="24"/>
          <w:szCs w:val="24"/>
        </w:rPr>
      </w:pPr>
      <w:r>
        <w:rPr>
          <w:b/>
          <w:sz w:val="24"/>
          <w:szCs w:val="24"/>
        </w:rPr>
        <w:tab/>
        <w:t>Art. 2.5.13.1.</w:t>
      </w:r>
      <w:r>
        <w:rPr>
          <w:b/>
          <w:sz w:val="24"/>
          <w:szCs w:val="24"/>
        </w:rPr>
        <w:tab/>
      </w:r>
      <w:r>
        <w:rPr>
          <w:sz w:val="24"/>
          <w:szCs w:val="24"/>
        </w:rPr>
        <w:t xml:space="preserve">În construcţii, determinarea numărului căilor de evacuare se face în funcţie de necesarul determinat evacuării unităţilor de trecere (fluxurilor) de evacuare în caz de incendiu, ţinând cont de nivelul de stabilitate la incendiu, riscul de incendiu, tipul de construcţie și de destinaţia acesteia, coroborat cu prevederile </w:t>
      </w:r>
      <w:r>
        <w:rPr>
          <w:b/>
          <w:sz w:val="24"/>
          <w:szCs w:val="24"/>
        </w:rPr>
        <w:t>Art. 2.5.3.1.</w:t>
      </w:r>
    </w:p>
    <w:p w14:paraId="4F156106" w14:textId="77777777" w:rsidR="001C08A5" w:rsidRDefault="00000000">
      <w:pPr>
        <w:pStyle w:val="Heading4"/>
      </w:pPr>
      <w:bookmarkStart w:id="2681" w:name="_Toc14668"/>
      <w:bookmarkStart w:id="2682" w:name="_Toc162355267"/>
      <w:bookmarkStart w:id="2683" w:name="_Toc28604"/>
      <w:bookmarkStart w:id="2684" w:name="_Toc7890"/>
      <w:bookmarkStart w:id="2685" w:name="_Toc17096"/>
      <w:bookmarkStart w:id="2686" w:name="_Toc1274"/>
      <w:bookmarkStart w:id="2687" w:name="_Toc27680"/>
      <w:bookmarkStart w:id="2688" w:name="_Toc32201"/>
      <w:r>
        <w:t>2.5.14. Lungimea căii de evacuare</w:t>
      </w:r>
      <w:bookmarkEnd w:id="2681"/>
      <w:bookmarkEnd w:id="2682"/>
      <w:bookmarkEnd w:id="2683"/>
      <w:bookmarkEnd w:id="2684"/>
      <w:bookmarkEnd w:id="2685"/>
      <w:bookmarkEnd w:id="2686"/>
      <w:bookmarkEnd w:id="2687"/>
      <w:bookmarkEnd w:id="2688"/>
    </w:p>
    <w:p w14:paraId="0237F681" w14:textId="77777777" w:rsidR="001C08A5" w:rsidRDefault="001C08A5">
      <w:pPr>
        <w:jc w:val="both"/>
        <w:rPr>
          <w:sz w:val="24"/>
          <w:szCs w:val="24"/>
        </w:rPr>
      </w:pPr>
    </w:p>
    <w:p w14:paraId="37F865BE" w14:textId="77777777" w:rsidR="001C08A5" w:rsidRDefault="00000000">
      <w:pPr>
        <w:jc w:val="both"/>
        <w:rPr>
          <w:sz w:val="24"/>
          <w:szCs w:val="24"/>
          <w:lang w:eastAsia="zh-CN"/>
        </w:rPr>
      </w:pPr>
      <w:r>
        <w:rPr>
          <w:b/>
          <w:sz w:val="24"/>
          <w:szCs w:val="24"/>
        </w:rPr>
        <w:tab/>
        <w:t>Art. 2.5.14.1. (1)</w:t>
      </w:r>
      <w:r>
        <w:rPr>
          <w:sz w:val="24"/>
          <w:szCs w:val="24"/>
        </w:rPr>
        <w:t xml:space="preserve"> Lungimea căii de evacuare a utilizatorilor construcţiilor </w:t>
      </w:r>
      <w:r>
        <w:rPr>
          <w:sz w:val="24"/>
          <w:szCs w:val="24"/>
          <w:lang w:eastAsia="zh-CN"/>
        </w:rPr>
        <w:t>(</w:t>
      </w:r>
      <w:r>
        <w:rPr>
          <w:rFonts w:cs="Mangal"/>
          <w:b/>
          <w:i/>
          <w:iCs/>
          <w:sz w:val="24"/>
          <w:szCs w:val="24"/>
          <w:lang w:eastAsia="zh-CN"/>
        </w:rPr>
        <w:fldChar w:fldCharType="begin"/>
      </w:r>
      <w:r>
        <w:rPr>
          <w:rFonts w:cs="Mangal"/>
          <w:b/>
          <w:i/>
          <w:iCs/>
          <w:sz w:val="24"/>
          <w:szCs w:val="24"/>
          <w:lang w:eastAsia="zh-CN"/>
        </w:rPr>
        <w:instrText xml:space="preserve"> REF _Ref17767 \h </w:instrText>
      </w:r>
      <w:r>
        <w:rPr>
          <w:rFonts w:cs="Mangal"/>
          <w:b/>
          <w:i/>
          <w:iCs/>
          <w:sz w:val="24"/>
          <w:szCs w:val="24"/>
          <w:lang w:eastAsia="zh-CN"/>
        </w:rPr>
      </w:r>
      <w:r>
        <w:rPr>
          <w:rFonts w:cs="Mangal"/>
          <w:b/>
          <w:i/>
          <w:iCs/>
          <w:sz w:val="24"/>
          <w:szCs w:val="24"/>
          <w:lang w:eastAsia="zh-CN"/>
        </w:rPr>
        <w:fldChar w:fldCharType="separate"/>
      </w:r>
      <w:r>
        <w:t>Figura 62</w:t>
      </w:r>
      <w:r>
        <w:rPr>
          <w:rFonts w:cs="Mangal"/>
          <w:b/>
          <w:i/>
          <w:iCs/>
          <w:sz w:val="24"/>
          <w:szCs w:val="24"/>
          <w:lang w:eastAsia="zh-CN"/>
        </w:rPr>
        <w:fldChar w:fldCharType="end"/>
      </w:r>
      <w:r>
        <w:rPr>
          <w:i/>
          <w:iCs/>
          <w:sz w:val="24"/>
          <w:szCs w:val="24"/>
          <w:lang w:eastAsia="zh-CN"/>
        </w:rPr>
        <w:t>)</w:t>
      </w:r>
      <w:r>
        <w:rPr>
          <w:sz w:val="24"/>
          <w:szCs w:val="24"/>
        </w:rPr>
        <w:t xml:space="preserve">, se determină pe traseul ce trebuie parcurs - în axul căilor de evacuare, de la punctul de plecare al utilizatorului până la cea mai apropiată uşă de evacuare (directă în exterior, de acces într-o scară de evacuare, încăpere tampon sau de acces într-un degajament protejat), ori prima treapta a scării deschise, ţinând seama de poziţia diferitelor echipamente sau obiecte cu amplasament fix sau mobilier şi care trebuie ocolite, astfel: </w:t>
      </w:r>
    </w:p>
    <w:p w14:paraId="4F63EA50" w14:textId="77777777" w:rsidR="001C08A5" w:rsidRDefault="00000000">
      <w:pPr>
        <w:numPr>
          <w:ilvl w:val="3"/>
          <w:numId w:val="33"/>
        </w:numPr>
        <w:ind w:left="1260" w:firstLine="720"/>
        <w:jc w:val="both"/>
        <w:rPr>
          <w:sz w:val="24"/>
          <w:szCs w:val="24"/>
          <w:lang w:eastAsia="zh-CN"/>
        </w:rPr>
      </w:pPr>
      <w:r>
        <w:rPr>
          <w:sz w:val="24"/>
          <w:szCs w:val="24"/>
          <w:lang w:eastAsia="zh-CN"/>
        </w:rPr>
        <w:t xml:space="preserve">Lungimea pe căile de evacuare se măsoară pe orizontală, în axul căilor de circulație și evacuare și în direcția cea mai scurtă (doar una dintre lungimile căii de evacuare trebuie să îndeplinească condițiile normate) atunci când evacuarea se face către două direcții </w:t>
      </w:r>
      <w:r>
        <w:rPr>
          <w:bCs/>
          <w:sz w:val="24"/>
          <w:szCs w:val="24"/>
        </w:rPr>
        <w:t xml:space="preserve">distincte și independente </w:t>
      </w:r>
      <w:r>
        <w:rPr>
          <w:rFonts w:eastAsia="ArialMT"/>
          <w:sz w:val="24"/>
          <w:szCs w:val="24"/>
        </w:rPr>
        <w:t xml:space="preserve">(sub un unghi mai mare sau egal de </w:t>
      </w:r>
      <w:r>
        <w:rPr>
          <w:rFonts w:eastAsia="ArialMT"/>
          <w:b/>
          <w:bCs/>
          <w:sz w:val="24"/>
          <w:szCs w:val="24"/>
        </w:rPr>
        <w:t>90°</w:t>
      </w:r>
      <w:r>
        <w:rPr>
          <w:rFonts w:eastAsia="ArialMT"/>
          <w:sz w:val="24"/>
          <w:szCs w:val="24"/>
        </w:rPr>
        <w:t>)</w:t>
      </w:r>
      <w:r>
        <w:rPr>
          <w:sz w:val="24"/>
          <w:szCs w:val="24"/>
          <w:lang w:eastAsia="zh-CN"/>
        </w:rPr>
        <w:t>, de la locul cel mai îndepartat (de exemplu ușa unei încăperi prevăzută în coridorul de evacuare rezistent la foc conform condițiilor normate în condițiile în care în interiorul încăperii nu se depășește lungimea de coridor înfundat) pâna la ușa scării, a degajamentului protejat sau a  încaperii tampon protejată de acces la cea mai  apropiată scară de evacuare ori o la o ușă/ ieșire direct în exterior.</w:t>
      </w:r>
    </w:p>
    <w:p w14:paraId="4720EA0F" w14:textId="77777777" w:rsidR="001C08A5" w:rsidRDefault="00000000">
      <w:pPr>
        <w:numPr>
          <w:ilvl w:val="3"/>
          <w:numId w:val="33"/>
        </w:numPr>
        <w:ind w:left="1260" w:firstLine="720"/>
        <w:jc w:val="both"/>
        <w:rPr>
          <w:sz w:val="24"/>
          <w:szCs w:val="24"/>
          <w:lang w:eastAsia="zh-CN"/>
        </w:rPr>
      </w:pPr>
      <w:r>
        <w:rPr>
          <w:sz w:val="24"/>
          <w:szCs w:val="24"/>
          <w:lang w:eastAsia="zh-CN"/>
        </w:rPr>
        <w:t xml:space="preserve">Lungimea în interiorul încăperilor deschise (open space) se măsoară pe orizontală, în axul căilor de circulație și evacare și în direcția cea mai scurtă (doar una dintre lungimile căii de evacuare trebuie să îndeplinească condițiile normate) atunci când evacuarea se face către doua direcții </w:t>
      </w:r>
      <w:r>
        <w:rPr>
          <w:bCs/>
          <w:sz w:val="24"/>
          <w:szCs w:val="24"/>
        </w:rPr>
        <w:t xml:space="preserve">distincte și independente </w:t>
      </w:r>
      <w:r>
        <w:rPr>
          <w:rFonts w:eastAsia="ArialMT"/>
          <w:sz w:val="24"/>
          <w:szCs w:val="24"/>
        </w:rPr>
        <w:t xml:space="preserve">(sub un unghi mai mare sau egal de </w:t>
      </w:r>
      <w:r>
        <w:rPr>
          <w:rFonts w:eastAsia="ArialMT"/>
          <w:b/>
          <w:bCs/>
          <w:sz w:val="24"/>
          <w:szCs w:val="24"/>
        </w:rPr>
        <w:t>90°</w:t>
      </w:r>
      <w:r>
        <w:rPr>
          <w:rFonts w:eastAsia="ArialMT"/>
          <w:sz w:val="24"/>
          <w:szCs w:val="24"/>
        </w:rPr>
        <w:t>)</w:t>
      </w:r>
      <w:r>
        <w:rPr>
          <w:sz w:val="24"/>
          <w:szCs w:val="24"/>
          <w:lang w:eastAsia="zh-CN"/>
        </w:rPr>
        <w:t>, de la locul cel mai îndepartat pâna la ușa scării, a degajamentului protejat sau a a încaperii tampon protejată de acces la cea mai apropiată scară de evacuare ori o la o ușă/ ieșire direct în exterior.</w:t>
      </w:r>
    </w:p>
    <w:p w14:paraId="54C029F9" w14:textId="77777777" w:rsidR="001C08A5" w:rsidRDefault="00000000">
      <w:pPr>
        <w:ind w:firstLine="720"/>
        <w:jc w:val="both"/>
        <w:rPr>
          <w:sz w:val="24"/>
          <w:szCs w:val="24"/>
          <w:lang w:eastAsia="zh-CN"/>
        </w:rPr>
      </w:pPr>
      <w:r>
        <w:rPr>
          <w:sz w:val="24"/>
          <w:szCs w:val="24"/>
        </w:rPr>
        <w:lastRenderedPageBreak/>
        <w:t>Schimbarile de directie de pe traseul parcurs (în interiorul încăperilor) se vor realiza în unghiuri cu grade functie de axul caii de evacuare.</w:t>
      </w:r>
    </w:p>
    <w:p w14:paraId="6B171E34" w14:textId="77777777" w:rsidR="001C08A5" w:rsidRDefault="00000000">
      <w:pPr>
        <w:ind w:firstLine="720"/>
        <w:jc w:val="both"/>
        <w:rPr>
          <w:b/>
          <w:bCs/>
          <w:sz w:val="24"/>
          <w:szCs w:val="24"/>
          <w:lang w:eastAsia="zh-CN"/>
        </w:rPr>
      </w:pPr>
      <w:r>
        <w:rPr>
          <w:b/>
          <w:bCs/>
          <w:sz w:val="24"/>
          <w:szCs w:val="24"/>
          <w:lang w:eastAsia="zh-CN"/>
        </w:rPr>
        <w:t>(2)</w:t>
      </w:r>
      <w:r>
        <w:rPr>
          <w:sz w:val="24"/>
          <w:szCs w:val="24"/>
          <w:lang w:eastAsia="zh-CN"/>
        </w:rPr>
        <w:t xml:space="preserve"> Se vor avea în vedere următoarele:</w:t>
      </w:r>
    </w:p>
    <w:p w14:paraId="70EEAE8B" w14:textId="77777777" w:rsidR="001C08A5" w:rsidRDefault="00000000">
      <w:pPr>
        <w:numPr>
          <w:ilvl w:val="0"/>
          <w:numId w:val="64"/>
        </w:numPr>
        <w:jc w:val="both"/>
        <w:rPr>
          <w:rFonts w:eastAsia="ArialMT"/>
          <w:sz w:val="24"/>
          <w:szCs w:val="24"/>
        </w:rPr>
      </w:pPr>
      <w:r>
        <w:rPr>
          <w:rFonts w:eastAsia="ArialMT"/>
          <w:sz w:val="24"/>
          <w:szCs w:val="24"/>
        </w:rPr>
        <w:t>Un coridor înfundat cu lungimea mai mică decât cea normată pentru fiecare funcțiune / tip de clădire, măsurată printr-o cale de evacuare (coridor) cu acces la două scări, încăperi tampon, degajamente protejate sau ieșiri în exterior amplasate în direcții opuse (evacuare în ”</w:t>
      </w:r>
      <w:r>
        <w:rPr>
          <w:rFonts w:eastAsia="ArialMT"/>
          <w:b/>
          <w:bCs/>
          <w:sz w:val="24"/>
          <w:szCs w:val="24"/>
        </w:rPr>
        <w:t>T</w:t>
      </w:r>
      <w:r>
        <w:rPr>
          <w:rFonts w:eastAsia="ArialMT"/>
          <w:sz w:val="24"/>
          <w:szCs w:val="24"/>
        </w:rPr>
        <w:t xml:space="preserve">”, sub un unghi </w:t>
      </w:r>
      <w:r>
        <w:rPr>
          <w:rFonts w:eastAsia="ArialMT"/>
          <w:b/>
          <w:bCs/>
          <w:sz w:val="24"/>
          <w:szCs w:val="24"/>
        </w:rPr>
        <w:t>α</w:t>
      </w:r>
      <w:r>
        <w:rPr>
          <w:rFonts w:eastAsia="ArialMT"/>
          <w:sz w:val="24"/>
          <w:szCs w:val="24"/>
        </w:rPr>
        <w:t xml:space="preserve"> de </w:t>
      </w:r>
      <w:r>
        <w:rPr>
          <w:rFonts w:eastAsia="ArialMT"/>
          <w:b/>
          <w:bCs/>
          <w:sz w:val="24"/>
          <w:szCs w:val="24"/>
        </w:rPr>
        <w:t>180°</w:t>
      </w:r>
      <w:r>
        <w:rPr>
          <w:rFonts w:eastAsia="ArialMT"/>
          <w:sz w:val="24"/>
          <w:szCs w:val="24"/>
        </w:rPr>
        <w:t xml:space="preserve">), este considerat cale de evacuare admisă dacă distanța totală din punctul de plecare până la o scară, încăpere tampon, degajament protejat sau ieșire în exterior nu depășește lungimea de evacuare în două direcții </w:t>
      </w:r>
      <w:r>
        <w:rPr>
          <w:sz w:val="24"/>
          <w:szCs w:val="24"/>
          <w:lang w:eastAsia="zh-CN"/>
        </w:rPr>
        <w:t>iar distanța de parcurs în aceeași direcție nu depășește lungimea de coridor înfundat</w:t>
      </w:r>
      <w:r>
        <w:rPr>
          <w:rFonts w:eastAsia="ArialMT"/>
          <w:sz w:val="24"/>
          <w:szCs w:val="24"/>
        </w:rPr>
        <w:t xml:space="preserve">. </w:t>
      </w:r>
    </w:p>
    <w:p w14:paraId="0FAAFBDE" w14:textId="77777777" w:rsidR="001C08A5" w:rsidRDefault="00000000">
      <w:pPr>
        <w:numPr>
          <w:ilvl w:val="0"/>
          <w:numId w:val="64"/>
        </w:numPr>
        <w:jc w:val="both"/>
        <w:rPr>
          <w:sz w:val="24"/>
          <w:szCs w:val="24"/>
          <w:lang w:eastAsia="zh-CN"/>
        </w:rPr>
      </w:pPr>
      <w:r>
        <w:rPr>
          <w:sz w:val="24"/>
          <w:szCs w:val="24"/>
          <w:lang w:eastAsia="zh-CN"/>
        </w:rPr>
        <w:t xml:space="preserve">În interiorul încăperilor tip ”open space” lungimea măsurată până la cea mai apropiată ușă de acces la două scări, degajamente protejate, încăperi tampon sau ieșiri în exterior amplasate în direcții </w:t>
      </w:r>
      <w:r>
        <w:rPr>
          <w:bCs/>
          <w:sz w:val="24"/>
          <w:szCs w:val="24"/>
        </w:rPr>
        <w:t xml:space="preserve">distincte și independente </w:t>
      </w:r>
      <w:r>
        <w:rPr>
          <w:rFonts w:eastAsia="ArialMT"/>
          <w:sz w:val="24"/>
          <w:szCs w:val="24"/>
        </w:rPr>
        <w:t>(evacuare în ”</w:t>
      </w:r>
      <w:r>
        <w:rPr>
          <w:rFonts w:eastAsia="ArialMT"/>
          <w:b/>
          <w:bCs/>
          <w:sz w:val="24"/>
          <w:szCs w:val="24"/>
        </w:rPr>
        <w:t>Y</w:t>
      </w:r>
      <w:r>
        <w:rPr>
          <w:rFonts w:eastAsia="ArialMT"/>
          <w:sz w:val="24"/>
          <w:szCs w:val="24"/>
        </w:rPr>
        <w:t xml:space="preserve">”, sub un unghi </w:t>
      </w:r>
      <w:r>
        <w:rPr>
          <w:rFonts w:eastAsia="ArialMT"/>
          <w:b/>
          <w:bCs/>
          <w:sz w:val="24"/>
          <w:szCs w:val="24"/>
        </w:rPr>
        <w:t>α</w:t>
      </w:r>
      <w:r>
        <w:rPr>
          <w:rFonts w:eastAsia="ArialMT"/>
          <w:sz w:val="24"/>
          <w:szCs w:val="24"/>
        </w:rPr>
        <w:t xml:space="preserve"> mai mare sau egal de </w:t>
      </w:r>
      <w:r>
        <w:rPr>
          <w:rFonts w:eastAsia="ArialMT"/>
          <w:b/>
          <w:bCs/>
          <w:sz w:val="24"/>
          <w:szCs w:val="24"/>
        </w:rPr>
        <w:t>90°</w:t>
      </w:r>
      <w:r>
        <w:rPr>
          <w:rFonts w:eastAsia="ArialMT"/>
          <w:sz w:val="24"/>
          <w:szCs w:val="24"/>
        </w:rPr>
        <w:t>)</w:t>
      </w:r>
      <w:r>
        <w:rPr>
          <w:sz w:val="24"/>
          <w:szCs w:val="24"/>
          <w:lang w:eastAsia="zh-CN"/>
        </w:rPr>
        <w:t>, este considerat cale de evacuare admisă dacă distanța totală pâna la cea mai apropiata ușă de acces la scară, degajament protejat, încăpere tampon sau ieșire în exterior nu depășeste lungimea normată în două direcții iar distanța de parcurs în aceeași direcție de la punctul de plecare până la punctul de inflexiune, nu depășește lungimea de coridor înfundat (</w:t>
      </w:r>
      <w:r>
        <w:rPr>
          <w:rFonts w:cs="Mangal"/>
          <w:b/>
          <w:i/>
          <w:iCs/>
          <w:sz w:val="24"/>
          <w:szCs w:val="24"/>
          <w:lang w:eastAsia="zh-CN"/>
        </w:rPr>
        <w:fldChar w:fldCharType="begin"/>
      </w:r>
      <w:r>
        <w:rPr>
          <w:rFonts w:cs="Mangal"/>
          <w:b/>
          <w:i/>
          <w:iCs/>
          <w:sz w:val="24"/>
          <w:szCs w:val="24"/>
          <w:lang w:eastAsia="zh-CN"/>
        </w:rPr>
        <w:instrText xml:space="preserve"> REF _Ref17767 \h </w:instrText>
      </w:r>
      <w:r>
        <w:rPr>
          <w:rFonts w:cs="Mangal"/>
          <w:b/>
          <w:i/>
          <w:iCs/>
          <w:sz w:val="24"/>
          <w:szCs w:val="24"/>
          <w:lang w:eastAsia="zh-CN"/>
        </w:rPr>
      </w:r>
      <w:r>
        <w:rPr>
          <w:rFonts w:cs="Mangal"/>
          <w:b/>
          <w:i/>
          <w:iCs/>
          <w:sz w:val="24"/>
          <w:szCs w:val="24"/>
          <w:lang w:eastAsia="zh-CN"/>
        </w:rPr>
        <w:fldChar w:fldCharType="separate"/>
      </w:r>
      <w:r>
        <w:t>Figura 62</w:t>
      </w:r>
      <w:r>
        <w:rPr>
          <w:rFonts w:cs="Mangal"/>
          <w:b/>
          <w:i/>
          <w:iCs/>
          <w:sz w:val="24"/>
          <w:szCs w:val="24"/>
          <w:lang w:eastAsia="zh-CN"/>
        </w:rPr>
        <w:fldChar w:fldCharType="end"/>
      </w:r>
      <w:r>
        <w:rPr>
          <w:sz w:val="24"/>
          <w:szCs w:val="24"/>
          <w:lang w:eastAsia="zh-CN"/>
        </w:rPr>
        <w:t xml:space="preserve"> și </w:t>
      </w:r>
      <w:r>
        <w:rPr>
          <w:rFonts w:cs="Mangal"/>
          <w:b/>
          <w:i/>
          <w:iCs/>
          <w:sz w:val="24"/>
          <w:szCs w:val="24"/>
          <w:lang w:eastAsia="zh-CN"/>
        </w:rPr>
        <w:fldChar w:fldCharType="begin"/>
      </w:r>
      <w:r>
        <w:rPr>
          <w:rFonts w:cs="Mangal"/>
          <w:b/>
          <w:i/>
          <w:iCs/>
          <w:sz w:val="24"/>
          <w:szCs w:val="24"/>
          <w:lang w:eastAsia="zh-CN"/>
        </w:rPr>
        <w:instrText xml:space="preserve"> REF _Ref18035 \h </w:instrText>
      </w:r>
      <w:r>
        <w:rPr>
          <w:rFonts w:cs="Mangal"/>
          <w:b/>
          <w:i/>
          <w:iCs/>
          <w:sz w:val="24"/>
          <w:szCs w:val="24"/>
          <w:lang w:eastAsia="zh-CN"/>
        </w:rPr>
      </w:r>
      <w:r>
        <w:rPr>
          <w:rFonts w:cs="Mangal"/>
          <w:b/>
          <w:i/>
          <w:iCs/>
          <w:sz w:val="24"/>
          <w:szCs w:val="24"/>
          <w:lang w:eastAsia="zh-CN"/>
        </w:rPr>
        <w:fldChar w:fldCharType="separate"/>
      </w:r>
      <w:r>
        <w:t>Figura 63</w:t>
      </w:r>
      <w:r>
        <w:rPr>
          <w:rFonts w:cs="Mangal"/>
          <w:b/>
          <w:i/>
          <w:iCs/>
          <w:sz w:val="24"/>
          <w:szCs w:val="24"/>
          <w:lang w:eastAsia="zh-CN"/>
        </w:rPr>
        <w:fldChar w:fldCharType="end"/>
      </w:r>
      <w:r>
        <w:rPr>
          <w:b/>
          <w:bCs/>
          <w:sz w:val="24"/>
          <w:szCs w:val="24"/>
          <w:lang w:eastAsia="zh-CN"/>
        </w:rPr>
        <w:t xml:space="preserve"> </w:t>
      </w:r>
      <w:r>
        <w:rPr>
          <w:i/>
          <w:iCs/>
          <w:sz w:val="24"/>
          <w:szCs w:val="24"/>
          <w:lang w:eastAsia="zh-CN"/>
        </w:rPr>
        <w:t>)</w:t>
      </w:r>
      <w:r>
        <w:rPr>
          <w:sz w:val="24"/>
          <w:szCs w:val="24"/>
          <w:lang w:eastAsia="zh-CN"/>
        </w:rPr>
        <w:t xml:space="preserve">. </w:t>
      </w:r>
    </w:p>
    <w:p w14:paraId="2D8D2062" w14:textId="77777777" w:rsidR="001C08A5" w:rsidRDefault="00000000">
      <w:pPr>
        <w:numPr>
          <w:ilvl w:val="0"/>
          <w:numId w:val="64"/>
        </w:numPr>
        <w:jc w:val="both"/>
        <w:rPr>
          <w:sz w:val="24"/>
          <w:szCs w:val="24"/>
        </w:rPr>
      </w:pPr>
      <w:r>
        <w:rPr>
          <w:sz w:val="24"/>
          <w:szCs w:val="24"/>
          <w:lang w:eastAsia="zh-CN"/>
        </w:rPr>
        <w:t xml:space="preserve">Pe coridoarele de evacuare lungimea măsurată de la o ușă a unei încăperi prevazută în peretelele rezistent la foc al coridorului până la o cale de evacuare cu acces la două scări, degajamente protejate, încăperi tampon sau ieșiri în exterior amplasate în direcții </w:t>
      </w:r>
      <w:r>
        <w:rPr>
          <w:bCs/>
          <w:sz w:val="24"/>
          <w:szCs w:val="24"/>
        </w:rPr>
        <w:t xml:space="preserve">distincte și independente </w:t>
      </w:r>
      <w:r>
        <w:rPr>
          <w:rFonts w:eastAsia="ArialMT"/>
          <w:sz w:val="24"/>
          <w:szCs w:val="24"/>
        </w:rPr>
        <w:t xml:space="preserve">(sub un unghi mai mare sau egal de </w:t>
      </w:r>
      <w:r>
        <w:rPr>
          <w:rFonts w:eastAsia="ArialMT"/>
          <w:b/>
          <w:bCs/>
          <w:sz w:val="24"/>
          <w:szCs w:val="24"/>
        </w:rPr>
        <w:t>90°</w:t>
      </w:r>
      <w:r>
        <w:rPr>
          <w:rFonts w:eastAsia="ArialMT"/>
          <w:sz w:val="24"/>
          <w:szCs w:val="24"/>
        </w:rPr>
        <w:t>)</w:t>
      </w:r>
      <w:r>
        <w:rPr>
          <w:sz w:val="24"/>
          <w:szCs w:val="24"/>
          <w:lang w:eastAsia="zh-CN"/>
        </w:rPr>
        <w:t>, este considerat cale de evacuare admisă dacă distanța totală pâna la cea mai apropiată ușă de acces la scară, degajament protejat, încăpere tampon sau ieșire în exterior nu depășeste lungimea normată în două direcții iar distanța de parcurs în aceeași direcție, de la punctul de plecare până la punctul de inflexiune nu depășește lungimea de coridor înfundat (</w:t>
      </w:r>
      <w:r>
        <w:rPr>
          <w:rFonts w:cs="Mangal"/>
          <w:b/>
          <w:i/>
          <w:iCs/>
          <w:sz w:val="24"/>
          <w:szCs w:val="24"/>
          <w:lang w:eastAsia="zh-CN"/>
        </w:rPr>
        <w:fldChar w:fldCharType="begin"/>
      </w:r>
      <w:r>
        <w:rPr>
          <w:rFonts w:cs="Mangal"/>
          <w:b/>
          <w:i/>
          <w:iCs/>
          <w:sz w:val="24"/>
          <w:szCs w:val="24"/>
          <w:lang w:eastAsia="zh-CN"/>
        </w:rPr>
        <w:instrText xml:space="preserve"> REF _Ref17767 \h </w:instrText>
      </w:r>
      <w:r>
        <w:rPr>
          <w:rFonts w:cs="Mangal"/>
          <w:b/>
          <w:i/>
          <w:iCs/>
          <w:sz w:val="24"/>
          <w:szCs w:val="24"/>
          <w:lang w:eastAsia="zh-CN"/>
        </w:rPr>
      </w:r>
      <w:r>
        <w:rPr>
          <w:rFonts w:cs="Mangal"/>
          <w:b/>
          <w:i/>
          <w:iCs/>
          <w:sz w:val="24"/>
          <w:szCs w:val="24"/>
          <w:lang w:eastAsia="zh-CN"/>
        </w:rPr>
        <w:fldChar w:fldCharType="separate"/>
      </w:r>
      <w:r>
        <w:t>Figura 62</w:t>
      </w:r>
      <w:r>
        <w:rPr>
          <w:rFonts w:cs="Mangal"/>
          <w:b/>
          <w:i/>
          <w:iCs/>
          <w:sz w:val="24"/>
          <w:szCs w:val="24"/>
          <w:lang w:eastAsia="zh-CN"/>
        </w:rPr>
        <w:fldChar w:fldCharType="end"/>
      </w:r>
      <w:r>
        <w:rPr>
          <w:sz w:val="24"/>
          <w:szCs w:val="24"/>
          <w:lang w:eastAsia="zh-CN"/>
        </w:rPr>
        <w:t xml:space="preserve"> și </w:t>
      </w:r>
      <w:r>
        <w:rPr>
          <w:rFonts w:cs="Mangal"/>
          <w:b/>
          <w:i/>
          <w:iCs/>
          <w:sz w:val="24"/>
          <w:szCs w:val="24"/>
          <w:lang w:eastAsia="zh-CN"/>
        </w:rPr>
        <w:fldChar w:fldCharType="begin"/>
      </w:r>
      <w:r>
        <w:rPr>
          <w:rFonts w:cs="Mangal"/>
          <w:b/>
          <w:i/>
          <w:iCs/>
          <w:sz w:val="24"/>
          <w:szCs w:val="24"/>
          <w:lang w:eastAsia="zh-CN"/>
        </w:rPr>
        <w:instrText xml:space="preserve"> REF _Ref18035 \h </w:instrText>
      </w:r>
      <w:r>
        <w:rPr>
          <w:rFonts w:cs="Mangal"/>
          <w:b/>
          <w:i/>
          <w:iCs/>
          <w:sz w:val="24"/>
          <w:szCs w:val="24"/>
          <w:lang w:eastAsia="zh-CN"/>
        </w:rPr>
      </w:r>
      <w:r>
        <w:rPr>
          <w:rFonts w:cs="Mangal"/>
          <w:b/>
          <w:i/>
          <w:iCs/>
          <w:sz w:val="24"/>
          <w:szCs w:val="24"/>
          <w:lang w:eastAsia="zh-CN"/>
        </w:rPr>
        <w:fldChar w:fldCharType="separate"/>
      </w:r>
      <w:r>
        <w:t>Figura 63</w:t>
      </w:r>
      <w:r>
        <w:rPr>
          <w:rFonts w:cs="Mangal"/>
          <w:b/>
          <w:i/>
          <w:iCs/>
          <w:sz w:val="24"/>
          <w:szCs w:val="24"/>
          <w:lang w:eastAsia="zh-CN"/>
        </w:rPr>
        <w:fldChar w:fldCharType="end"/>
      </w:r>
      <w:r>
        <w:rPr>
          <w:i/>
          <w:iCs/>
          <w:sz w:val="24"/>
          <w:szCs w:val="24"/>
          <w:lang w:eastAsia="zh-CN"/>
        </w:rPr>
        <w:t>)</w:t>
      </w:r>
      <w:r>
        <w:rPr>
          <w:sz w:val="24"/>
          <w:szCs w:val="24"/>
          <w:lang w:eastAsia="zh-CN"/>
        </w:rPr>
        <w:t xml:space="preserve">. </w:t>
      </w:r>
    </w:p>
    <w:p w14:paraId="1A2013F0" w14:textId="77777777" w:rsidR="001C08A5" w:rsidRDefault="00000000">
      <w:pPr>
        <w:jc w:val="center"/>
      </w:pPr>
      <w:r>
        <w:rPr>
          <w:noProof/>
          <w:lang w:eastAsia="ro-RO"/>
        </w:rPr>
        <w:drawing>
          <wp:inline distT="0" distB="0" distL="0" distR="0" wp14:anchorId="790B97DB" wp14:editId="4CCD96BB">
            <wp:extent cx="6051550" cy="3661410"/>
            <wp:effectExtent l="0" t="0" r="6350" b="15240"/>
            <wp:docPr id="1139" name="Picture 50"/>
            <wp:cNvGraphicFramePr/>
            <a:graphic xmlns:a="http://schemas.openxmlformats.org/drawingml/2006/main">
              <a:graphicData uri="http://schemas.openxmlformats.org/drawingml/2006/picture">
                <pic:pic xmlns:pic="http://schemas.openxmlformats.org/drawingml/2006/picture">
                  <pic:nvPicPr>
                    <pic:cNvPr id="1139" name="Picture 50"/>
                    <pic:cNvPicPr/>
                  </pic:nvPicPr>
                  <pic:blipFill>
                    <a:blip r:embed="rId169" cstate="print"/>
                    <a:srcRect l="12417" t="3483" r="7465"/>
                    <a:stretch>
                      <a:fillRect/>
                    </a:stretch>
                  </pic:blipFill>
                  <pic:spPr>
                    <a:xfrm>
                      <a:off x="0" y="0"/>
                      <a:ext cx="6051550" cy="3661410"/>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1C08A5" w14:paraId="6DDF6F92" w14:textId="77777777">
        <w:tc>
          <w:tcPr>
            <w:tcW w:w="4927" w:type="dxa"/>
          </w:tcPr>
          <w:p w14:paraId="5BA9AAD6" w14:textId="77777777" w:rsidR="001C08A5" w:rsidRDefault="00000000">
            <w:pPr>
              <w:widowControl/>
              <w:jc w:val="center"/>
              <w:rPr>
                <w:b/>
                <w:bCs/>
                <w:i/>
                <w:iCs/>
                <w:sz w:val="22"/>
                <w:szCs w:val="22"/>
              </w:rPr>
            </w:pPr>
            <w:r>
              <w:rPr>
                <w:b/>
                <w:bCs/>
                <w:i/>
                <w:iCs/>
                <w:sz w:val="22"/>
                <w:szCs w:val="22"/>
              </w:rPr>
              <w:t>În axul coridorului din punctul A' este prevăzut perete cu rezistență la foc (si ușă, conform prevederi normate)</w:t>
            </w:r>
          </w:p>
          <w:p w14:paraId="170BCCFB" w14:textId="77777777" w:rsidR="001C08A5" w:rsidRDefault="00000000">
            <w:pPr>
              <w:widowControl/>
              <w:jc w:val="center"/>
              <w:rPr>
                <w:b/>
                <w:bCs/>
                <w:i/>
                <w:iCs/>
                <w:sz w:val="22"/>
                <w:szCs w:val="22"/>
              </w:rPr>
            </w:pPr>
            <w:r>
              <w:rPr>
                <w:b/>
                <w:bCs/>
                <w:i/>
                <w:iCs/>
                <w:sz w:val="22"/>
                <w:szCs w:val="22"/>
              </w:rPr>
              <w:t>Cu condiția ca (AA') &lt; l</w:t>
            </w:r>
          </w:p>
          <w:p w14:paraId="3AC3689D" w14:textId="77777777" w:rsidR="001C08A5" w:rsidRDefault="00000000">
            <w:pPr>
              <w:jc w:val="center"/>
              <w:rPr>
                <w:b/>
                <w:bCs/>
                <w:i/>
                <w:iCs/>
                <w:sz w:val="22"/>
                <w:szCs w:val="22"/>
              </w:rPr>
            </w:pPr>
            <w:r>
              <w:rPr>
                <w:b/>
                <w:bCs/>
                <w:i/>
                <w:iCs/>
                <w:sz w:val="22"/>
                <w:szCs w:val="22"/>
              </w:rPr>
              <w:lastRenderedPageBreak/>
              <w:t>(A'D)+(BD) sau (A'D)+(CD) ≤ L (necesită o a doua direcție din punctul D, cu un unghi de min. 90</w:t>
            </w:r>
            <w:r>
              <w:rPr>
                <w:rFonts w:ascii="Arial" w:hAnsi="Arial" w:cs="Arial"/>
                <w:b/>
                <w:bCs/>
                <w:i/>
                <w:iCs/>
                <w:sz w:val="22"/>
                <w:szCs w:val="22"/>
              </w:rPr>
              <w:t>°</w:t>
            </w:r>
            <w:r>
              <w:rPr>
                <w:b/>
                <w:bCs/>
                <w:i/>
                <w:iCs/>
                <w:sz w:val="22"/>
                <w:szCs w:val="22"/>
              </w:rPr>
              <w:t>)</w:t>
            </w:r>
          </w:p>
          <w:p w14:paraId="7591280C" w14:textId="77777777" w:rsidR="001C08A5" w:rsidRDefault="00000000">
            <w:pPr>
              <w:jc w:val="center"/>
              <w:rPr>
                <w:b/>
                <w:bCs/>
                <w:i/>
                <w:iCs/>
                <w:sz w:val="22"/>
                <w:szCs w:val="22"/>
              </w:rPr>
            </w:pPr>
            <w:r>
              <w:rPr>
                <w:b/>
                <w:bCs/>
                <w:i/>
                <w:iCs/>
                <w:sz w:val="22"/>
                <w:szCs w:val="22"/>
              </w:rPr>
              <w:t>Distanțele (pâna la ușile spre coridor) prevăzute din punctul A'', (A''B') &lt; l și (A''C') &lt; l</w:t>
            </w:r>
          </w:p>
        </w:tc>
        <w:tc>
          <w:tcPr>
            <w:tcW w:w="4928" w:type="dxa"/>
          </w:tcPr>
          <w:p w14:paraId="5CBA4C78" w14:textId="77777777" w:rsidR="001C08A5" w:rsidRDefault="00000000">
            <w:pPr>
              <w:widowControl/>
              <w:jc w:val="center"/>
              <w:rPr>
                <w:b/>
                <w:bCs/>
                <w:i/>
                <w:iCs/>
                <w:sz w:val="22"/>
                <w:szCs w:val="22"/>
              </w:rPr>
            </w:pPr>
            <w:r>
              <w:rPr>
                <w:b/>
                <w:bCs/>
                <w:i/>
                <w:iCs/>
                <w:sz w:val="22"/>
                <w:szCs w:val="22"/>
              </w:rPr>
              <w:lastRenderedPageBreak/>
              <w:t>În axul din punctul A' nu este prevăzut perete cu rezistență la foc</w:t>
            </w:r>
          </w:p>
          <w:p w14:paraId="72147806" w14:textId="77777777" w:rsidR="001C08A5" w:rsidRDefault="00000000">
            <w:pPr>
              <w:widowControl/>
              <w:jc w:val="center"/>
              <w:rPr>
                <w:b/>
                <w:bCs/>
                <w:i/>
                <w:iCs/>
                <w:sz w:val="22"/>
                <w:szCs w:val="22"/>
              </w:rPr>
            </w:pPr>
            <w:r>
              <w:rPr>
                <w:b/>
                <w:bCs/>
                <w:i/>
                <w:iCs/>
                <w:sz w:val="22"/>
                <w:szCs w:val="22"/>
              </w:rPr>
              <w:t xml:space="preserve">Dacă (AA') ≥ l, nu este admis </w:t>
            </w:r>
          </w:p>
          <w:p w14:paraId="164D759E" w14:textId="77777777" w:rsidR="001C08A5" w:rsidRDefault="00000000">
            <w:pPr>
              <w:widowControl/>
              <w:jc w:val="center"/>
              <w:rPr>
                <w:b/>
                <w:bCs/>
                <w:i/>
                <w:iCs/>
                <w:sz w:val="22"/>
                <w:szCs w:val="22"/>
              </w:rPr>
            </w:pPr>
            <w:r>
              <w:rPr>
                <w:b/>
                <w:bCs/>
                <w:i/>
                <w:iCs/>
                <w:sz w:val="22"/>
                <w:szCs w:val="22"/>
              </w:rPr>
              <w:t>Cu condiția ca (AD) &lt; l</w:t>
            </w:r>
          </w:p>
          <w:p w14:paraId="34A5F68E" w14:textId="77777777" w:rsidR="001C08A5" w:rsidRDefault="00000000">
            <w:pPr>
              <w:jc w:val="center"/>
              <w:rPr>
                <w:b/>
                <w:bCs/>
                <w:i/>
                <w:iCs/>
                <w:sz w:val="22"/>
                <w:szCs w:val="22"/>
              </w:rPr>
            </w:pPr>
            <w:r>
              <w:rPr>
                <w:b/>
                <w:bCs/>
                <w:i/>
                <w:iCs/>
                <w:sz w:val="22"/>
                <w:szCs w:val="22"/>
              </w:rPr>
              <w:lastRenderedPageBreak/>
              <w:t>(AD)+(BD) sau (AD)+(CD) ≤ L (necesită o a doua direcție din punctul D, cu un unghi de min. 90</w:t>
            </w:r>
            <w:r>
              <w:rPr>
                <w:rFonts w:ascii="Arial" w:hAnsi="Arial" w:cs="Arial"/>
                <w:b/>
                <w:bCs/>
                <w:i/>
                <w:iCs/>
                <w:sz w:val="22"/>
                <w:szCs w:val="22"/>
              </w:rPr>
              <w:t>°</w:t>
            </w:r>
            <w:r>
              <w:rPr>
                <w:b/>
                <w:bCs/>
                <w:i/>
                <w:iCs/>
                <w:sz w:val="22"/>
                <w:szCs w:val="22"/>
              </w:rPr>
              <w:t>)</w:t>
            </w:r>
          </w:p>
          <w:p w14:paraId="5DF07C5A" w14:textId="77777777" w:rsidR="001C08A5" w:rsidRDefault="00000000">
            <w:pPr>
              <w:jc w:val="center"/>
              <w:rPr>
                <w:b/>
                <w:bCs/>
                <w:i/>
                <w:iCs/>
                <w:sz w:val="22"/>
                <w:szCs w:val="22"/>
              </w:rPr>
            </w:pPr>
            <w:r>
              <w:rPr>
                <w:b/>
                <w:bCs/>
                <w:i/>
                <w:iCs/>
                <w:sz w:val="22"/>
                <w:szCs w:val="22"/>
              </w:rPr>
              <w:t>Distanțele (pâna la ușile spre coridor) prevăzute din punctul A'', (A''B') &lt; l și (A''C') &lt; l</w:t>
            </w:r>
          </w:p>
        </w:tc>
      </w:tr>
    </w:tbl>
    <w:p w14:paraId="2FC81CF1" w14:textId="77777777" w:rsidR="001C08A5" w:rsidRDefault="001C08A5">
      <w:pPr>
        <w:jc w:val="center"/>
      </w:pPr>
    </w:p>
    <w:p w14:paraId="2B0B086B" w14:textId="77777777" w:rsidR="001C08A5" w:rsidRDefault="00000000">
      <w:pPr>
        <w:jc w:val="center"/>
      </w:pPr>
      <w:r>
        <w:rPr>
          <w:noProof/>
          <w:lang w:eastAsia="ro-RO"/>
        </w:rPr>
        <w:drawing>
          <wp:inline distT="0" distB="0" distL="0" distR="0" wp14:anchorId="061C6C9D" wp14:editId="0B7F6D00">
            <wp:extent cx="6066155" cy="3663315"/>
            <wp:effectExtent l="0" t="0" r="10795" b="13334"/>
            <wp:docPr id="1140" name="Picture 52"/>
            <wp:cNvGraphicFramePr/>
            <a:graphic xmlns:a="http://schemas.openxmlformats.org/drawingml/2006/main">
              <a:graphicData uri="http://schemas.openxmlformats.org/drawingml/2006/picture">
                <pic:pic xmlns:pic="http://schemas.openxmlformats.org/drawingml/2006/picture">
                  <pic:nvPicPr>
                    <pic:cNvPr id="1140" name="Picture 52"/>
                    <pic:cNvPicPr/>
                  </pic:nvPicPr>
                  <pic:blipFill>
                    <a:blip r:embed="rId170" cstate="print"/>
                    <a:srcRect l="12316" t="3658" r="7373"/>
                    <a:stretch>
                      <a:fillRect/>
                    </a:stretch>
                  </pic:blipFill>
                  <pic:spPr>
                    <a:xfrm>
                      <a:off x="0" y="0"/>
                      <a:ext cx="6066155" cy="3663315"/>
                    </a:xfrm>
                    <a:prstGeom prst="rect">
                      <a:avLst/>
                    </a:prstGeom>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1C08A5" w14:paraId="033C1F41" w14:textId="77777777">
        <w:tc>
          <w:tcPr>
            <w:tcW w:w="4927" w:type="dxa"/>
          </w:tcPr>
          <w:p w14:paraId="614EB38E" w14:textId="77777777" w:rsidR="001C08A5" w:rsidRDefault="00000000">
            <w:pPr>
              <w:widowControl/>
              <w:jc w:val="center"/>
              <w:rPr>
                <w:b/>
                <w:bCs/>
                <w:i/>
                <w:iCs/>
                <w:sz w:val="22"/>
                <w:szCs w:val="22"/>
              </w:rPr>
            </w:pPr>
            <w:r>
              <w:rPr>
                <w:b/>
                <w:bCs/>
                <w:i/>
                <w:iCs/>
                <w:sz w:val="22"/>
                <w:szCs w:val="22"/>
              </w:rPr>
              <w:t>În axul coridorului din punctul A' este prevăzut perete cu rezistență la foc (si ușă, conform prevederi normate)</w:t>
            </w:r>
          </w:p>
          <w:p w14:paraId="234B41C1" w14:textId="77777777" w:rsidR="001C08A5" w:rsidRDefault="00000000">
            <w:pPr>
              <w:widowControl/>
              <w:jc w:val="center"/>
              <w:rPr>
                <w:b/>
                <w:bCs/>
                <w:i/>
                <w:iCs/>
                <w:sz w:val="22"/>
                <w:szCs w:val="22"/>
              </w:rPr>
            </w:pPr>
            <w:r>
              <w:rPr>
                <w:b/>
                <w:bCs/>
                <w:i/>
                <w:iCs/>
                <w:sz w:val="22"/>
                <w:szCs w:val="22"/>
              </w:rPr>
              <w:t>Cu condiția ca (AA') &lt; l</w:t>
            </w:r>
          </w:p>
          <w:p w14:paraId="1926438F" w14:textId="77777777" w:rsidR="001C08A5" w:rsidRDefault="00000000">
            <w:pPr>
              <w:jc w:val="center"/>
              <w:rPr>
                <w:b/>
                <w:bCs/>
                <w:i/>
                <w:iCs/>
                <w:sz w:val="22"/>
                <w:szCs w:val="22"/>
              </w:rPr>
            </w:pPr>
            <w:r>
              <w:rPr>
                <w:b/>
                <w:bCs/>
                <w:i/>
                <w:iCs/>
                <w:sz w:val="22"/>
                <w:szCs w:val="22"/>
              </w:rPr>
              <w:t>(A'D)+(BD) sau (A</w:t>
            </w:r>
            <w:r>
              <w:rPr>
                <w:rFonts w:ascii="Calibri" w:hAnsi="Calibri" w:cs="Calibri"/>
                <w:b/>
                <w:bCs/>
                <w:i/>
                <w:iCs/>
                <w:sz w:val="22"/>
                <w:szCs w:val="22"/>
              </w:rPr>
              <w:t>'</w:t>
            </w:r>
            <w:r>
              <w:rPr>
                <w:b/>
                <w:bCs/>
                <w:i/>
                <w:iCs/>
                <w:sz w:val="22"/>
                <w:szCs w:val="22"/>
              </w:rPr>
              <w:t xml:space="preserve">D)+(CD) </w:t>
            </w:r>
            <w:r>
              <w:rPr>
                <w:rFonts w:hint="eastAsia"/>
                <w:b/>
                <w:bCs/>
                <w:i/>
                <w:iCs/>
                <w:sz w:val="22"/>
                <w:szCs w:val="22"/>
              </w:rPr>
              <w:t>≤</w:t>
            </w:r>
            <w:r>
              <w:rPr>
                <w:b/>
                <w:bCs/>
                <w:i/>
                <w:iCs/>
                <w:sz w:val="22"/>
                <w:szCs w:val="22"/>
              </w:rPr>
              <w:t xml:space="preserve"> L (necesită o a doua direcție din punctul D, cu un unghi de min. 90</w:t>
            </w:r>
            <w:r>
              <w:rPr>
                <w:rFonts w:ascii="Arial" w:hAnsi="Arial" w:cs="Arial"/>
                <w:b/>
                <w:bCs/>
                <w:i/>
                <w:iCs/>
                <w:sz w:val="22"/>
                <w:szCs w:val="22"/>
              </w:rPr>
              <w:t>°</w:t>
            </w:r>
            <w:r>
              <w:rPr>
                <w:b/>
                <w:bCs/>
                <w:i/>
                <w:iCs/>
                <w:sz w:val="22"/>
                <w:szCs w:val="22"/>
              </w:rPr>
              <w:t>)</w:t>
            </w:r>
          </w:p>
          <w:p w14:paraId="6BFA927F" w14:textId="77777777" w:rsidR="001C08A5" w:rsidRDefault="00000000">
            <w:pPr>
              <w:jc w:val="center"/>
              <w:rPr>
                <w:b/>
                <w:bCs/>
                <w:i/>
                <w:iCs/>
                <w:sz w:val="22"/>
                <w:szCs w:val="22"/>
              </w:rPr>
            </w:pPr>
            <w:r>
              <w:rPr>
                <w:b/>
                <w:bCs/>
                <w:i/>
                <w:iCs/>
                <w:sz w:val="22"/>
                <w:szCs w:val="22"/>
              </w:rPr>
              <w:t xml:space="preserve">Distanțele (pâna la ușile spre casa scării) prevăzute din punctul A'',  (A''B) </w:t>
            </w:r>
            <w:r>
              <w:rPr>
                <w:rFonts w:hint="eastAsia"/>
                <w:b/>
                <w:bCs/>
                <w:i/>
                <w:iCs/>
                <w:sz w:val="22"/>
                <w:szCs w:val="22"/>
              </w:rPr>
              <w:t>≤</w:t>
            </w:r>
            <w:r>
              <w:rPr>
                <w:b/>
                <w:bCs/>
                <w:i/>
                <w:iCs/>
                <w:sz w:val="22"/>
                <w:szCs w:val="22"/>
              </w:rPr>
              <w:t xml:space="preserve"> L și (A''C) </w:t>
            </w:r>
            <w:r>
              <w:rPr>
                <w:rFonts w:hint="eastAsia"/>
                <w:b/>
                <w:bCs/>
                <w:i/>
                <w:iCs/>
                <w:sz w:val="22"/>
                <w:szCs w:val="22"/>
              </w:rPr>
              <w:t>≤</w:t>
            </w:r>
            <w:r>
              <w:rPr>
                <w:b/>
                <w:bCs/>
                <w:i/>
                <w:iCs/>
                <w:sz w:val="22"/>
                <w:szCs w:val="22"/>
              </w:rPr>
              <w:t xml:space="preserve"> L</w:t>
            </w:r>
          </w:p>
        </w:tc>
        <w:tc>
          <w:tcPr>
            <w:tcW w:w="4928" w:type="dxa"/>
          </w:tcPr>
          <w:p w14:paraId="06D31245" w14:textId="77777777" w:rsidR="001C08A5" w:rsidRDefault="00000000">
            <w:pPr>
              <w:widowControl/>
              <w:jc w:val="center"/>
              <w:rPr>
                <w:b/>
                <w:bCs/>
                <w:i/>
                <w:iCs/>
                <w:sz w:val="22"/>
                <w:szCs w:val="22"/>
              </w:rPr>
            </w:pPr>
            <w:r>
              <w:rPr>
                <w:b/>
                <w:bCs/>
                <w:i/>
                <w:iCs/>
                <w:sz w:val="22"/>
                <w:szCs w:val="22"/>
              </w:rPr>
              <w:t>În axul din punctul A' nu este prevăzut perete cu rezistență la foc</w:t>
            </w:r>
          </w:p>
          <w:p w14:paraId="6A70858E" w14:textId="77777777" w:rsidR="001C08A5" w:rsidRDefault="00000000">
            <w:pPr>
              <w:widowControl/>
              <w:jc w:val="center"/>
              <w:rPr>
                <w:b/>
                <w:bCs/>
                <w:i/>
                <w:iCs/>
                <w:sz w:val="22"/>
                <w:szCs w:val="22"/>
              </w:rPr>
            </w:pPr>
            <w:r>
              <w:rPr>
                <w:b/>
                <w:bCs/>
                <w:i/>
                <w:iCs/>
                <w:sz w:val="22"/>
                <w:szCs w:val="22"/>
              </w:rPr>
              <w:t xml:space="preserve">Dacă (AA') </w:t>
            </w:r>
            <w:r>
              <w:rPr>
                <w:rFonts w:hint="eastAsia"/>
                <w:b/>
                <w:bCs/>
                <w:i/>
                <w:iCs/>
                <w:sz w:val="22"/>
                <w:szCs w:val="22"/>
              </w:rPr>
              <w:t>≥</w:t>
            </w:r>
            <w:r>
              <w:rPr>
                <w:b/>
                <w:bCs/>
                <w:i/>
                <w:iCs/>
                <w:sz w:val="22"/>
                <w:szCs w:val="22"/>
              </w:rPr>
              <w:t xml:space="preserve"> l, nu este admis </w:t>
            </w:r>
          </w:p>
          <w:p w14:paraId="79C08408" w14:textId="77777777" w:rsidR="001C08A5" w:rsidRDefault="00000000">
            <w:pPr>
              <w:widowControl/>
              <w:jc w:val="center"/>
              <w:rPr>
                <w:b/>
                <w:bCs/>
                <w:i/>
                <w:iCs/>
                <w:sz w:val="22"/>
                <w:szCs w:val="22"/>
              </w:rPr>
            </w:pPr>
            <w:r>
              <w:rPr>
                <w:b/>
                <w:bCs/>
                <w:i/>
                <w:iCs/>
                <w:sz w:val="22"/>
                <w:szCs w:val="22"/>
              </w:rPr>
              <w:t>Cu condiția ca (AD) &lt; l</w:t>
            </w:r>
          </w:p>
          <w:p w14:paraId="699612E0" w14:textId="77777777" w:rsidR="001C08A5" w:rsidRDefault="00000000">
            <w:pPr>
              <w:jc w:val="center"/>
              <w:rPr>
                <w:b/>
                <w:bCs/>
                <w:i/>
                <w:iCs/>
                <w:sz w:val="22"/>
                <w:szCs w:val="22"/>
              </w:rPr>
            </w:pPr>
            <w:r>
              <w:rPr>
                <w:b/>
                <w:bCs/>
                <w:i/>
                <w:iCs/>
                <w:sz w:val="22"/>
                <w:szCs w:val="22"/>
              </w:rPr>
              <w:t xml:space="preserve">(AD)+(BD) sau (AD)+(CD) </w:t>
            </w:r>
            <w:r>
              <w:rPr>
                <w:rFonts w:hint="eastAsia"/>
                <w:b/>
                <w:bCs/>
                <w:i/>
                <w:iCs/>
                <w:sz w:val="22"/>
                <w:szCs w:val="22"/>
              </w:rPr>
              <w:t>≤</w:t>
            </w:r>
            <w:r>
              <w:rPr>
                <w:b/>
                <w:bCs/>
                <w:i/>
                <w:iCs/>
                <w:sz w:val="22"/>
                <w:szCs w:val="22"/>
              </w:rPr>
              <w:t xml:space="preserve"> L (necesită o a doua direcție din punctul D, cu un unghi de min. 90</w:t>
            </w:r>
            <w:r>
              <w:rPr>
                <w:rFonts w:ascii="Arial" w:hAnsi="Arial" w:cs="Arial"/>
                <w:b/>
                <w:bCs/>
                <w:i/>
                <w:iCs/>
                <w:sz w:val="22"/>
                <w:szCs w:val="22"/>
              </w:rPr>
              <w:t>°</w:t>
            </w:r>
            <w:r>
              <w:rPr>
                <w:b/>
                <w:bCs/>
                <w:i/>
                <w:iCs/>
                <w:sz w:val="22"/>
                <w:szCs w:val="22"/>
              </w:rPr>
              <w:t>)</w:t>
            </w:r>
          </w:p>
          <w:p w14:paraId="3D5F11D6" w14:textId="77777777" w:rsidR="001C08A5" w:rsidRDefault="00000000">
            <w:pPr>
              <w:jc w:val="center"/>
              <w:rPr>
                <w:b/>
                <w:bCs/>
                <w:i/>
                <w:iCs/>
                <w:sz w:val="22"/>
                <w:szCs w:val="22"/>
              </w:rPr>
            </w:pPr>
            <w:r>
              <w:rPr>
                <w:b/>
                <w:bCs/>
                <w:i/>
                <w:iCs/>
                <w:sz w:val="22"/>
                <w:szCs w:val="22"/>
              </w:rPr>
              <w:t xml:space="preserve">Distanțele (pâna la ușile spre casa scării) prevăzute din punctul A'',  (A''B) </w:t>
            </w:r>
            <w:r>
              <w:rPr>
                <w:rFonts w:hint="eastAsia"/>
                <w:b/>
                <w:bCs/>
                <w:i/>
                <w:iCs/>
                <w:sz w:val="22"/>
                <w:szCs w:val="22"/>
              </w:rPr>
              <w:t>≤</w:t>
            </w:r>
            <w:r>
              <w:rPr>
                <w:b/>
                <w:bCs/>
                <w:i/>
                <w:iCs/>
                <w:sz w:val="22"/>
                <w:szCs w:val="22"/>
              </w:rPr>
              <w:t xml:space="preserve"> L și (A''C) </w:t>
            </w:r>
            <w:r>
              <w:rPr>
                <w:rFonts w:hint="eastAsia"/>
                <w:b/>
                <w:bCs/>
                <w:i/>
                <w:iCs/>
                <w:sz w:val="22"/>
                <w:szCs w:val="22"/>
              </w:rPr>
              <w:t>≤</w:t>
            </w:r>
            <w:r>
              <w:rPr>
                <w:b/>
                <w:bCs/>
                <w:i/>
                <w:iCs/>
                <w:sz w:val="22"/>
                <w:szCs w:val="22"/>
              </w:rPr>
              <w:t xml:space="preserve"> L</w:t>
            </w:r>
          </w:p>
        </w:tc>
      </w:tr>
    </w:tbl>
    <w:p w14:paraId="3487B24B" w14:textId="77777777" w:rsidR="001C08A5" w:rsidRDefault="001C08A5">
      <w:pPr>
        <w:jc w:val="center"/>
      </w:pPr>
    </w:p>
    <w:p w14:paraId="54CFAB22" w14:textId="77777777" w:rsidR="001C08A5" w:rsidRDefault="00000000">
      <w:pPr>
        <w:jc w:val="center"/>
        <w:rPr>
          <w:sz w:val="24"/>
          <w:szCs w:val="24"/>
        </w:rPr>
      </w:pPr>
      <w:r>
        <w:rPr>
          <w:noProof/>
          <w:lang w:eastAsia="ro-RO"/>
        </w:rPr>
        <w:drawing>
          <wp:inline distT="0" distB="0" distL="0" distR="0" wp14:anchorId="328541B0" wp14:editId="3D35C89E">
            <wp:extent cx="6087745" cy="1270635"/>
            <wp:effectExtent l="0" t="0" r="8255" b="5715"/>
            <wp:docPr id="1141" name="Picture 49"/>
            <wp:cNvGraphicFramePr/>
            <a:graphic xmlns:a="http://schemas.openxmlformats.org/drawingml/2006/main">
              <a:graphicData uri="http://schemas.openxmlformats.org/drawingml/2006/picture">
                <pic:pic xmlns:pic="http://schemas.openxmlformats.org/drawingml/2006/picture">
                  <pic:nvPicPr>
                    <pic:cNvPr id="1141" name="Picture 49"/>
                    <pic:cNvPicPr/>
                  </pic:nvPicPr>
                  <pic:blipFill>
                    <a:blip r:embed="rId171" cstate="print"/>
                    <a:srcRect l="12224" t="22929" r="7179" b="9697"/>
                    <a:stretch>
                      <a:fillRect/>
                    </a:stretch>
                  </pic:blipFill>
                  <pic:spPr>
                    <a:xfrm>
                      <a:off x="0" y="0"/>
                      <a:ext cx="6087745" cy="1270635"/>
                    </a:xfrm>
                    <a:prstGeom prst="rect">
                      <a:avLst/>
                    </a:prstGeom>
                    <a:ln>
                      <a:noFill/>
                    </a:ln>
                  </pic:spPr>
                </pic:pic>
              </a:graphicData>
            </a:graphic>
          </wp:inline>
        </w:drawing>
      </w:r>
    </w:p>
    <w:p w14:paraId="3DE5178F" w14:textId="77777777" w:rsidR="001C08A5" w:rsidRDefault="00000000">
      <w:pPr>
        <w:pStyle w:val="Caption"/>
        <w:suppressLineNumbers w:val="0"/>
        <w:jc w:val="center"/>
        <w:rPr>
          <w:rFonts w:cs="Times New Roman"/>
          <w:bCs/>
          <w:lang w:eastAsia="zh-CN"/>
        </w:rPr>
      </w:pPr>
      <w:bookmarkStart w:id="2689" w:name="_Ref17767"/>
      <w:bookmarkStart w:id="2690" w:name="_Toc162360286"/>
      <w:bookmarkStart w:id="2691" w:name="_Ref3501"/>
      <w:bookmarkStart w:id="2692" w:name="_Toc30833"/>
      <w:bookmarkStart w:id="2693" w:name="_Toc3633"/>
      <w:bookmarkStart w:id="2694" w:name="_Toc28354"/>
      <w:bookmarkStart w:id="2695" w:name="_Toc13443"/>
      <w:bookmarkStart w:id="2696" w:name="_Toc23346"/>
      <w:bookmarkStart w:id="2697" w:name="_Toc15020"/>
      <w:r>
        <w:t xml:space="preserve">Figura </w:t>
      </w:r>
      <w:r>
        <w:fldChar w:fldCharType="begin"/>
      </w:r>
      <w:r>
        <w:instrText xml:space="preserve"> SEQ Figura \* ARABIC </w:instrText>
      </w:r>
      <w:r>
        <w:fldChar w:fldCharType="separate"/>
      </w:r>
      <w:r>
        <w:t>62</w:t>
      </w:r>
      <w:r>
        <w:fldChar w:fldCharType="end"/>
      </w:r>
      <w:bookmarkStart w:id="2698" w:name="_Toc30656"/>
      <w:bookmarkStart w:id="2699" w:name="_Toc21125"/>
      <w:bookmarkStart w:id="2700" w:name="_Toc23079"/>
      <w:bookmarkStart w:id="2701" w:name="_Toc8158"/>
      <w:bookmarkStart w:id="2702" w:name="_Toc31400"/>
      <w:bookmarkStart w:id="2703" w:name="_Toc4146"/>
      <w:bookmarkStart w:id="2704" w:name="_Toc16151"/>
      <w:bookmarkStart w:id="2705" w:name="_Toc23962"/>
      <w:bookmarkStart w:id="2706" w:name="_Toc19336"/>
      <w:bookmarkStart w:id="2707" w:name="_Toc19920"/>
      <w:bookmarkStart w:id="2708" w:name="_Toc10935"/>
      <w:bookmarkEnd w:id="2689"/>
      <w:r>
        <w:t xml:space="preserve"> - </w:t>
      </w:r>
      <w:r>
        <w:rPr>
          <w:rFonts w:cs="Times New Roman"/>
          <w:bCs/>
          <w:lang w:eastAsia="zh-CN"/>
        </w:rPr>
        <w:t>Evacuare (principii)</w:t>
      </w:r>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p>
    <w:p w14:paraId="18C5AB7C" w14:textId="77777777" w:rsidR="001C08A5" w:rsidRDefault="00000000">
      <w:pPr>
        <w:pStyle w:val="BodyText"/>
        <w:rPr>
          <w:b w:val="0"/>
          <w:bCs w:val="0"/>
          <w:sz w:val="22"/>
          <w:szCs w:val="22"/>
          <w:lang w:eastAsia="zh-CN"/>
        </w:rPr>
      </w:pPr>
      <w:r>
        <w:rPr>
          <w:b w:val="0"/>
          <w:bCs w:val="0"/>
          <w:iCs/>
          <w:sz w:val="22"/>
          <w:szCs w:val="22"/>
          <w:lang w:eastAsia="zh-CN"/>
        </w:rPr>
        <w:t xml:space="preserve">Nota </w:t>
      </w:r>
      <w:r>
        <w:rPr>
          <w:rFonts w:cs="Mangal"/>
          <w:bCs w:val="0"/>
          <w:iCs/>
        </w:rPr>
        <w:t>Figura 63</w:t>
      </w:r>
      <w:r>
        <w:rPr>
          <w:b w:val="0"/>
          <w:bCs w:val="0"/>
          <w:iCs/>
          <w:sz w:val="22"/>
          <w:szCs w:val="22"/>
          <w:lang w:eastAsia="zh-CN"/>
        </w:rPr>
        <w:t>:”</w:t>
      </w:r>
      <w:r>
        <w:rPr>
          <w:iCs/>
          <w:sz w:val="22"/>
          <w:szCs w:val="22"/>
          <w:lang w:eastAsia="zh-CN"/>
        </w:rPr>
        <w:t>L</w:t>
      </w:r>
      <w:r>
        <w:rPr>
          <w:b w:val="0"/>
          <w:bCs w:val="0"/>
          <w:iCs/>
          <w:sz w:val="22"/>
          <w:szCs w:val="22"/>
          <w:lang w:eastAsia="zh-CN"/>
        </w:rPr>
        <w:t>” indică lungimea maximă a căii de evacuare în două direcții; ”</w:t>
      </w:r>
      <w:r>
        <w:rPr>
          <w:iCs/>
          <w:sz w:val="22"/>
          <w:szCs w:val="22"/>
          <w:lang w:eastAsia="zh-CN"/>
        </w:rPr>
        <w:t>l</w:t>
      </w:r>
      <w:r>
        <w:rPr>
          <w:b w:val="0"/>
          <w:bCs w:val="0"/>
          <w:iCs/>
          <w:sz w:val="22"/>
          <w:szCs w:val="22"/>
          <w:lang w:eastAsia="zh-CN"/>
        </w:rPr>
        <w:t>” indică lungimea maximă a căii de evacuare într-o direcție</w:t>
      </w:r>
    </w:p>
    <w:p w14:paraId="7250620D" w14:textId="77777777" w:rsidR="001C08A5" w:rsidRDefault="001C08A5">
      <w:pPr>
        <w:jc w:val="both"/>
        <w:rPr>
          <w:lang w:eastAsia="ro-RO"/>
        </w:rPr>
      </w:pPr>
    </w:p>
    <w:p w14:paraId="10CE7ACC" w14:textId="77777777" w:rsidR="001C08A5" w:rsidRDefault="00000000">
      <w:pPr>
        <w:jc w:val="center"/>
        <w:rPr>
          <w:lang w:eastAsia="ro-RO"/>
        </w:rPr>
      </w:pPr>
      <w:r>
        <w:rPr>
          <w:noProof/>
        </w:rPr>
        <w:lastRenderedPageBreak/>
        <w:drawing>
          <wp:inline distT="0" distB="0" distL="114300" distR="114300" wp14:anchorId="535E1A68" wp14:editId="5C27ECC8">
            <wp:extent cx="6048375" cy="1531620"/>
            <wp:effectExtent l="0" t="0" r="9525" b="1143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6"/>
                    <pic:cNvPicPr>
                      <a:picLocks noChangeAspect="1"/>
                    </pic:cNvPicPr>
                  </pic:nvPicPr>
                  <pic:blipFill>
                    <a:blip r:embed="rId172"/>
                    <a:srcRect l="12414" t="12737" r="7477" b="48472"/>
                    <a:stretch>
                      <a:fillRect/>
                    </a:stretch>
                  </pic:blipFill>
                  <pic:spPr>
                    <a:xfrm>
                      <a:off x="0" y="0"/>
                      <a:ext cx="6048375" cy="153162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1C08A5" w14:paraId="29C33937" w14:textId="77777777">
        <w:tc>
          <w:tcPr>
            <w:tcW w:w="4927" w:type="dxa"/>
          </w:tcPr>
          <w:p w14:paraId="5C499124" w14:textId="77777777" w:rsidR="001C08A5" w:rsidRDefault="00000000">
            <w:pPr>
              <w:widowControl/>
              <w:jc w:val="center"/>
              <w:rPr>
                <w:b/>
                <w:bCs/>
                <w:i/>
                <w:iCs/>
                <w:sz w:val="22"/>
                <w:szCs w:val="22"/>
              </w:rPr>
            </w:pPr>
            <w:r>
              <w:rPr>
                <w:b/>
                <w:bCs/>
                <w:i/>
                <w:iCs/>
                <w:sz w:val="22"/>
                <w:szCs w:val="22"/>
              </w:rPr>
              <w:t>În axul din punctul A' este prevăzut perete cu rezistență la foc (si ușă conform prevederi normate)</w:t>
            </w:r>
          </w:p>
          <w:p w14:paraId="0D51F24A" w14:textId="77777777" w:rsidR="001C08A5" w:rsidRDefault="00000000">
            <w:pPr>
              <w:widowControl/>
              <w:jc w:val="center"/>
              <w:rPr>
                <w:b/>
                <w:bCs/>
                <w:i/>
                <w:iCs/>
                <w:sz w:val="22"/>
                <w:szCs w:val="22"/>
              </w:rPr>
            </w:pPr>
            <w:r>
              <w:rPr>
                <w:b/>
                <w:bCs/>
                <w:i/>
                <w:iCs/>
                <w:sz w:val="22"/>
                <w:szCs w:val="22"/>
              </w:rPr>
              <w:t>Dacă (AA') &lt; l</w:t>
            </w:r>
          </w:p>
          <w:p w14:paraId="1BC8BD0E" w14:textId="77777777" w:rsidR="001C08A5" w:rsidRDefault="00000000">
            <w:pPr>
              <w:widowControl/>
              <w:jc w:val="center"/>
              <w:rPr>
                <w:b/>
                <w:bCs/>
                <w:i/>
                <w:iCs/>
                <w:sz w:val="22"/>
                <w:szCs w:val="22"/>
              </w:rPr>
            </w:pPr>
            <w:r>
              <w:rPr>
                <w:b/>
                <w:bCs/>
                <w:i/>
                <w:iCs/>
                <w:sz w:val="22"/>
                <w:szCs w:val="22"/>
              </w:rPr>
              <w:t>(A'D)+(BD) sau (A'D)+(CD) ≤ L</w:t>
            </w:r>
          </w:p>
        </w:tc>
        <w:tc>
          <w:tcPr>
            <w:tcW w:w="4928" w:type="dxa"/>
          </w:tcPr>
          <w:p w14:paraId="7F097017" w14:textId="77777777" w:rsidR="001C08A5" w:rsidRDefault="00000000">
            <w:pPr>
              <w:widowControl/>
              <w:jc w:val="center"/>
              <w:rPr>
                <w:b/>
                <w:bCs/>
                <w:i/>
                <w:iCs/>
                <w:sz w:val="22"/>
                <w:szCs w:val="22"/>
              </w:rPr>
            </w:pPr>
            <w:r>
              <w:rPr>
                <w:b/>
                <w:bCs/>
                <w:i/>
                <w:iCs/>
                <w:sz w:val="22"/>
                <w:szCs w:val="22"/>
              </w:rPr>
              <w:t>În axul din punctul A' nu este prevăzut perete cu rezistență la foc</w:t>
            </w:r>
          </w:p>
          <w:p w14:paraId="281E106D" w14:textId="77777777" w:rsidR="001C08A5" w:rsidRDefault="00000000">
            <w:pPr>
              <w:widowControl/>
              <w:jc w:val="center"/>
              <w:rPr>
                <w:b/>
                <w:bCs/>
                <w:i/>
                <w:iCs/>
                <w:sz w:val="22"/>
                <w:szCs w:val="22"/>
              </w:rPr>
            </w:pPr>
            <w:r>
              <w:rPr>
                <w:b/>
                <w:bCs/>
                <w:i/>
                <w:iCs/>
                <w:sz w:val="22"/>
                <w:szCs w:val="22"/>
              </w:rPr>
              <w:t xml:space="preserve">Dacă (AA') ≥ l, nu este admis </w:t>
            </w:r>
          </w:p>
          <w:p w14:paraId="2468F8FF" w14:textId="77777777" w:rsidR="001C08A5" w:rsidRDefault="00000000">
            <w:pPr>
              <w:widowControl/>
              <w:jc w:val="center"/>
              <w:rPr>
                <w:b/>
                <w:bCs/>
                <w:i/>
                <w:iCs/>
                <w:sz w:val="22"/>
                <w:szCs w:val="22"/>
              </w:rPr>
            </w:pPr>
            <w:r>
              <w:rPr>
                <w:b/>
                <w:bCs/>
                <w:i/>
                <w:iCs/>
                <w:sz w:val="22"/>
                <w:szCs w:val="22"/>
              </w:rPr>
              <w:t>Maximum admis (AD) &lt; l</w:t>
            </w:r>
          </w:p>
          <w:p w14:paraId="6A25087B" w14:textId="77777777" w:rsidR="001C08A5" w:rsidRDefault="00000000">
            <w:pPr>
              <w:widowControl/>
              <w:jc w:val="center"/>
              <w:rPr>
                <w:b/>
                <w:bCs/>
                <w:i/>
                <w:iCs/>
                <w:sz w:val="22"/>
                <w:szCs w:val="22"/>
              </w:rPr>
            </w:pPr>
            <w:r>
              <w:rPr>
                <w:b/>
                <w:bCs/>
                <w:i/>
                <w:iCs/>
                <w:sz w:val="22"/>
                <w:szCs w:val="22"/>
              </w:rPr>
              <w:t>(AD)+(BD) sau (AD)+(CD) ≤ L</w:t>
            </w:r>
          </w:p>
        </w:tc>
      </w:tr>
    </w:tbl>
    <w:p w14:paraId="4176C75A" w14:textId="77777777" w:rsidR="001C08A5" w:rsidRDefault="00000000">
      <w:pPr>
        <w:jc w:val="center"/>
        <w:rPr>
          <w:b/>
          <w:bCs/>
          <w:i/>
          <w:iCs/>
          <w:sz w:val="22"/>
          <w:szCs w:val="22"/>
        </w:rPr>
      </w:pPr>
      <w:r>
        <w:rPr>
          <w:b/>
          <w:bCs/>
          <w:i/>
          <w:iCs/>
          <w:sz w:val="22"/>
          <w:szCs w:val="22"/>
        </w:rPr>
        <w:t>Varianta a) - evacuare clasică pe coridoare</w:t>
      </w:r>
    </w:p>
    <w:p w14:paraId="04CA8F68" w14:textId="77777777" w:rsidR="001C08A5" w:rsidRDefault="001C08A5">
      <w:pPr>
        <w:jc w:val="both"/>
        <w:rPr>
          <w:lang w:eastAsia="ro-RO"/>
        </w:rPr>
      </w:pPr>
    </w:p>
    <w:p w14:paraId="69EC35BC" w14:textId="77777777" w:rsidR="001C08A5" w:rsidRDefault="00000000">
      <w:pPr>
        <w:jc w:val="center"/>
        <w:rPr>
          <w:lang w:eastAsia="ro-RO"/>
        </w:rPr>
      </w:pPr>
      <w:r>
        <w:rPr>
          <w:noProof/>
        </w:rPr>
        <w:drawing>
          <wp:inline distT="0" distB="0" distL="114300" distR="114300" wp14:anchorId="02B3AF2B" wp14:editId="4253B76C">
            <wp:extent cx="6048375" cy="1805940"/>
            <wp:effectExtent l="0" t="0" r="9525" b="381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
                    <pic:cNvPicPr>
                      <a:picLocks noChangeAspect="1"/>
                    </pic:cNvPicPr>
                  </pic:nvPicPr>
                  <pic:blipFill>
                    <a:blip r:embed="rId173"/>
                    <a:srcRect l="12414" t="21615" r="7477" b="32647"/>
                    <a:stretch>
                      <a:fillRect/>
                    </a:stretch>
                  </pic:blipFill>
                  <pic:spPr>
                    <a:xfrm>
                      <a:off x="0" y="0"/>
                      <a:ext cx="6048375" cy="1805940"/>
                    </a:xfrm>
                    <a:prstGeom prst="rect">
                      <a:avLst/>
                    </a:prstGeom>
                    <a:noFill/>
                    <a:ln>
                      <a:noFill/>
                    </a:ln>
                  </pic:spPr>
                </pic:pic>
              </a:graphicData>
            </a:graphic>
          </wp:inline>
        </w:drawing>
      </w:r>
    </w:p>
    <w:p w14:paraId="25D66CE7" w14:textId="77777777" w:rsidR="001C08A5" w:rsidRDefault="001C08A5">
      <w:pPr>
        <w:jc w:val="center"/>
        <w:rPr>
          <w:lang w:eastAsia="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1C08A5" w14:paraId="2E776860" w14:textId="77777777">
        <w:tc>
          <w:tcPr>
            <w:tcW w:w="4927" w:type="dxa"/>
          </w:tcPr>
          <w:p w14:paraId="2E1C9A35" w14:textId="77777777" w:rsidR="001C08A5" w:rsidRDefault="00000000">
            <w:pPr>
              <w:widowControl/>
              <w:jc w:val="center"/>
              <w:rPr>
                <w:b/>
                <w:bCs/>
                <w:i/>
                <w:iCs/>
                <w:sz w:val="22"/>
                <w:szCs w:val="22"/>
              </w:rPr>
            </w:pPr>
            <w:r>
              <w:rPr>
                <w:b/>
                <w:bCs/>
                <w:i/>
                <w:iCs/>
                <w:sz w:val="22"/>
                <w:szCs w:val="22"/>
              </w:rPr>
              <w:t>În axul din punctul A' este prevăzut perete cu rezistență la foc (si ușă conform prevederi normate)</w:t>
            </w:r>
          </w:p>
          <w:p w14:paraId="1A54B740" w14:textId="77777777" w:rsidR="001C08A5" w:rsidRDefault="00000000">
            <w:pPr>
              <w:widowControl/>
              <w:jc w:val="center"/>
              <w:rPr>
                <w:b/>
                <w:bCs/>
                <w:i/>
                <w:iCs/>
                <w:sz w:val="22"/>
                <w:szCs w:val="22"/>
              </w:rPr>
            </w:pPr>
            <w:r>
              <w:rPr>
                <w:b/>
                <w:bCs/>
                <w:i/>
                <w:iCs/>
                <w:sz w:val="22"/>
                <w:szCs w:val="22"/>
              </w:rPr>
              <w:t>Dacă (AA') &lt; l</w:t>
            </w:r>
          </w:p>
          <w:p w14:paraId="3F06DD7A" w14:textId="77777777" w:rsidR="001C08A5" w:rsidRDefault="00000000">
            <w:pPr>
              <w:widowControl/>
              <w:jc w:val="center"/>
              <w:rPr>
                <w:b/>
                <w:bCs/>
                <w:i/>
                <w:iCs/>
                <w:sz w:val="22"/>
                <w:szCs w:val="22"/>
              </w:rPr>
            </w:pPr>
            <w:r>
              <w:rPr>
                <w:b/>
                <w:bCs/>
                <w:i/>
                <w:iCs/>
                <w:sz w:val="22"/>
                <w:szCs w:val="22"/>
              </w:rPr>
              <w:t>(A'D)+(BD) sau (A'D)+(CD) ≤ L</w:t>
            </w:r>
          </w:p>
          <w:p w14:paraId="056B7940" w14:textId="77777777" w:rsidR="001C08A5" w:rsidRDefault="00000000">
            <w:pPr>
              <w:widowControl/>
              <w:jc w:val="center"/>
              <w:rPr>
                <w:b/>
                <w:bCs/>
                <w:i/>
                <w:iCs/>
                <w:sz w:val="22"/>
                <w:szCs w:val="22"/>
              </w:rPr>
            </w:pPr>
            <w:r>
              <w:rPr>
                <w:b/>
                <w:bCs/>
                <w:i/>
                <w:iCs/>
                <w:sz w:val="22"/>
                <w:szCs w:val="22"/>
              </w:rPr>
              <w:t>Cu condiția ca (A'D) &lt; l</w:t>
            </w:r>
          </w:p>
        </w:tc>
        <w:tc>
          <w:tcPr>
            <w:tcW w:w="4928" w:type="dxa"/>
          </w:tcPr>
          <w:p w14:paraId="07173D42" w14:textId="77777777" w:rsidR="001C08A5" w:rsidRDefault="00000000">
            <w:pPr>
              <w:widowControl/>
              <w:jc w:val="center"/>
              <w:rPr>
                <w:b/>
                <w:bCs/>
                <w:i/>
                <w:iCs/>
                <w:sz w:val="22"/>
                <w:szCs w:val="22"/>
              </w:rPr>
            </w:pPr>
            <w:r>
              <w:rPr>
                <w:b/>
                <w:bCs/>
                <w:i/>
                <w:iCs/>
                <w:sz w:val="22"/>
                <w:szCs w:val="22"/>
              </w:rPr>
              <w:t>În axul din punctul A' nu este prevăzut perete cu rezistență la foc</w:t>
            </w:r>
          </w:p>
          <w:p w14:paraId="2195B883" w14:textId="77777777" w:rsidR="001C08A5" w:rsidRDefault="00000000">
            <w:pPr>
              <w:widowControl/>
              <w:jc w:val="center"/>
              <w:rPr>
                <w:b/>
                <w:bCs/>
                <w:i/>
                <w:iCs/>
                <w:sz w:val="22"/>
                <w:szCs w:val="22"/>
              </w:rPr>
            </w:pPr>
            <w:r>
              <w:rPr>
                <w:b/>
                <w:bCs/>
                <w:i/>
                <w:iCs/>
                <w:sz w:val="22"/>
                <w:szCs w:val="22"/>
              </w:rPr>
              <w:t>Dacă (AA') ≥ l, nu este admis</w:t>
            </w:r>
          </w:p>
          <w:p w14:paraId="07D44186" w14:textId="77777777" w:rsidR="001C08A5" w:rsidRDefault="00000000">
            <w:pPr>
              <w:widowControl/>
              <w:jc w:val="center"/>
              <w:rPr>
                <w:b/>
                <w:bCs/>
                <w:i/>
                <w:iCs/>
                <w:sz w:val="22"/>
                <w:szCs w:val="22"/>
              </w:rPr>
            </w:pPr>
            <w:r>
              <w:rPr>
                <w:b/>
                <w:bCs/>
                <w:i/>
                <w:iCs/>
                <w:sz w:val="22"/>
                <w:szCs w:val="22"/>
              </w:rPr>
              <w:t>Maximum admis (AD) &lt; l</w:t>
            </w:r>
          </w:p>
          <w:p w14:paraId="74E2738A" w14:textId="77777777" w:rsidR="001C08A5" w:rsidRDefault="00000000">
            <w:pPr>
              <w:widowControl/>
              <w:jc w:val="center"/>
              <w:rPr>
                <w:b/>
                <w:bCs/>
                <w:i/>
                <w:iCs/>
                <w:sz w:val="22"/>
                <w:szCs w:val="22"/>
              </w:rPr>
            </w:pPr>
            <w:r>
              <w:rPr>
                <w:b/>
                <w:bCs/>
                <w:i/>
                <w:iCs/>
                <w:sz w:val="22"/>
                <w:szCs w:val="22"/>
              </w:rPr>
              <w:t>(AD)+(BD) sau (AD)+(CD) ≤ L</w:t>
            </w:r>
          </w:p>
        </w:tc>
      </w:tr>
    </w:tbl>
    <w:p w14:paraId="35EBEC70" w14:textId="77777777" w:rsidR="001C08A5" w:rsidRDefault="00000000">
      <w:pPr>
        <w:jc w:val="center"/>
        <w:rPr>
          <w:b/>
          <w:bCs/>
          <w:i/>
          <w:iCs/>
          <w:sz w:val="22"/>
          <w:szCs w:val="22"/>
        </w:rPr>
      </w:pPr>
      <w:r>
        <w:rPr>
          <w:b/>
          <w:bCs/>
          <w:i/>
          <w:iCs/>
          <w:sz w:val="22"/>
          <w:szCs w:val="22"/>
        </w:rPr>
        <w:t>Varianta b) - evacuare ”în T” pe coridoare</w:t>
      </w:r>
    </w:p>
    <w:p w14:paraId="36DA5C0E" w14:textId="77777777" w:rsidR="001C08A5" w:rsidRDefault="001C08A5">
      <w:pPr>
        <w:jc w:val="center"/>
        <w:rPr>
          <w:lang w:eastAsia="ro-RO"/>
        </w:rPr>
      </w:pPr>
    </w:p>
    <w:p w14:paraId="720A56FB" w14:textId="77777777" w:rsidR="001C08A5" w:rsidRDefault="00000000">
      <w:pPr>
        <w:jc w:val="center"/>
        <w:rPr>
          <w:lang w:eastAsia="ro-RO"/>
        </w:rPr>
      </w:pPr>
      <w:r>
        <w:rPr>
          <w:noProof/>
        </w:rPr>
        <w:drawing>
          <wp:inline distT="0" distB="0" distL="114300" distR="114300" wp14:anchorId="20B089EC" wp14:editId="2FA7EB7E">
            <wp:extent cx="6029325" cy="2651125"/>
            <wp:effectExtent l="0" t="0" r="9525" b="15875"/>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7"/>
                    <pic:cNvPicPr>
                      <a:picLocks noChangeAspect="1"/>
                    </pic:cNvPicPr>
                  </pic:nvPicPr>
                  <pic:blipFill>
                    <a:blip r:embed="rId174"/>
                    <a:srcRect l="12540" t="22274" r="7603" b="10582"/>
                    <a:stretch>
                      <a:fillRect/>
                    </a:stretch>
                  </pic:blipFill>
                  <pic:spPr>
                    <a:xfrm>
                      <a:off x="0" y="0"/>
                      <a:ext cx="6029325" cy="265112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1C08A5" w14:paraId="377D7BBF" w14:textId="77777777">
        <w:tc>
          <w:tcPr>
            <w:tcW w:w="4927" w:type="dxa"/>
          </w:tcPr>
          <w:p w14:paraId="11B7C97B" w14:textId="77777777" w:rsidR="001C08A5" w:rsidRDefault="00000000">
            <w:pPr>
              <w:widowControl/>
              <w:jc w:val="center"/>
              <w:rPr>
                <w:b/>
                <w:bCs/>
                <w:i/>
                <w:iCs/>
                <w:sz w:val="22"/>
                <w:szCs w:val="22"/>
              </w:rPr>
            </w:pPr>
            <w:r>
              <w:rPr>
                <w:b/>
                <w:bCs/>
                <w:i/>
                <w:iCs/>
                <w:sz w:val="22"/>
                <w:szCs w:val="22"/>
              </w:rPr>
              <w:t>În axul din punctul A' este prevăzut perete cu rezistență la foc (si ușă conform prevederi normate)</w:t>
            </w:r>
          </w:p>
          <w:p w14:paraId="52B9358B" w14:textId="77777777" w:rsidR="001C08A5" w:rsidRDefault="00000000">
            <w:pPr>
              <w:widowControl/>
              <w:jc w:val="center"/>
              <w:rPr>
                <w:b/>
                <w:bCs/>
                <w:i/>
                <w:iCs/>
                <w:sz w:val="22"/>
                <w:szCs w:val="22"/>
              </w:rPr>
            </w:pPr>
            <w:r>
              <w:rPr>
                <w:b/>
                <w:bCs/>
                <w:i/>
                <w:iCs/>
                <w:sz w:val="22"/>
                <w:szCs w:val="22"/>
              </w:rPr>
              <w:t>Dacă (AA') &lt; l</w:t>
            </w:r>
          </w:p>
          <w:p w14:paraId="264808BD" w14:textId="77777777" w:rsidR="001C08A5" w:rsidRDefault="00000000">
            <w:pPr>
              <w:widowControl/>
              <w:jc w:val="center"/>
              <w:rPr>
                <w:b/>
                <w:bCs/>
                <w:i/>
                <w:iCs/>
                <w:sz w:val="22"/>
                <w:szCs w:val="22"/>
              </w:rPr>
            </w:pPr>
            <w:r>
              <w:rPr>
                <w:b/>
                <w:bCs/>
                <w:i/>
                <w:iCs/>
                <w:sz w:val="22"/>
                <w:szCs w:val="22"/>
              </w:rPr>
              <w:t xml:space="preserve">(A'D)+(BD) sau (A'D)+(CD) </w:t>
            </w:r>
            <w:r>
              <w:rPr>
                <w:rFonts w:hint="eastAsia"/>
                <w:b/>
                <w:bCs/>
                <w:i/>
                <w:iCs/>
                <w:sz w:val="22"/>
                <w:szCs w:val="22"/>
              </w:rPr>
              <w:t>≤</w:t>
            </w:r>
            <w:r>
              <w:rPr>
                <w:b/>
                <w:bCs/>
                <w:i/>
                <w:iCs/>
                <w:sz w:val="22"/>
                <w:szCs w:val="22"/>
              </w:rPr>
              <w:t xml:space="preserve"> L</w:t>
            </w:r>
          </w:p>
          <w:p w14:paraId="3483FC13" w14:textId="77777777" w:rsidR="001C08A5" w:rsidRDefault="00000000">
            <w:pPr>
              <w:widowControl/>
              <w:jc w:val="center"/>
              <w:rPr>
                <w:b/>
                <w:bCs/>
                <w:i/>
                <w:iCs/>
                <w:sz w:val="22"/>
                <w:szCs w:val="22"/>
              </w:rPr>
            </w:pPr>
            <w:r>
              <w:rPr>
                <w:b/>
                <w:bCs/>
                <w:i/>
                <w:iCs/>
                <w:sz w:val="22"/>
                <w:szCs w:val="22"/>
              </w:rPr>
              <w:lastRenderedPageBreak/>
              <w:t>Cu condiția ca (A'D) &lt; l</w:t>
            </w:r>
          </w:p>
        </w:tc>
        <w:tc>
          <w:tcPr>
            <w:tcW w:w="4928" w:type="dxa"/>
          </w:tcPr>
          <w:p w14:paraId="466A2E55" w14:textId="77777777" w:rsidR="001C08A5" w:rsidRDefault="00000000">
            <w:pPr>
              <w:widowControl/>
              <w:jc w:val="center"/>
              <w:rPr>
                <w:b/>
                <w:bCs/>
                <w:i/>
                <w:iCs/>
                <w:sz w:val="22"/>
                <w:szCs w:val="22"/>
              </w:rPr>
            </w:pPr>
            <w:r>
              <w:rPr>
                <w:b/>
                <w:bCs/>
                <w:i/>
                <w:iCs/>
                <w:sz w:val="22"/>
                <w:szCs w:val="22"/>
              </w:rPr>
              <w:lastRenderedPageBreak/>
              <w:t>În axul din punctul A' nu este prevăzut perete cu rezistență la foc</w:t>
            </w:r>
          </w:p>
          <w:p w14:paraId="72804D04" w14:textId="77777777" w:rsidR="001C08A5" w:rsidRDefault="00000000">
            <w:pPr>
              <w:widowControl/>
              <w:jc w:val="center"/>
              <w:rPr>
                <w:b/>
                <w:bCs/>
                <w:i/>
                <w:iCs/>
                <w:sz w:val="22"/>
                <w:szCs w:val="22"/>
              </w:rPr>
            </w:pPr>
            <w:r>
              <w:rPr>
                <w:b/>
                <w:bCs/>
                <w:i/>
                <w:iCs/>
                <w:sz w:val="22"/>
                <w:szCs w:val="22"/>
              </w:rPr>
              <w:t xml:space="preserve">Dacă (AA') </w:t>
            </w:r>
            <w:r>
              <w:rPr>
                <w:rFonts w:hint="eastAsia"/>
                <w:b/>
                <w:bCs/>
                <w:i/>
                <w:iCs/>
                <w:sz w:val="22"/>
                <w:szCs w:val="22"/>
              </w:rPr>
              <w:t>≥</w:t>
            </w:r>
            <w:r>
              <w:rPr>
                <w:b/>
                <w:bCs/>
                <w:i/>
                <w:iCs/>
                <w:sz w:val="22"/>
                <w:szCs w:val="22"/>
              </w:rPr>
              <w:t xml:space="preserve"> l, nu este admis</w:t>
            </w:r>
          </w:p>
          <w:p w14:paraId="3F178000" w14:textId="77777777" w:rsidR="001C08A5" w:rsidRDefault="00000000">
            <w:pPr>
              <w:widowControl/>
              <w:jc w:val="center"/>
              <w:rPr>
                <w:b/>
                <w:bCs/>
                <w:i/>
                <w:iCs/>
                <w:sz w:val="22"/>
                <w:szCs w:val="22"/>
              </w:rPr>
            </w:pPr>
            <w:r>
              <w:rPr>
                <w:b/>
                <w:bCs/>
                <w:i/>
                <w:iCs/>
                <w:sz w:val="22"/>
                <w:szCs w:val="22"/>
              </w:rPr>
              <w:t>Maximum admis (AD) &lt; l</w:t>
            </w:r>
          </w:p>
          <w:p w14:paraId="0396490F" w14:textId="77777777" w:rsidR="001C08A5" w:rsidRDefault="00000000">
            <w:pPr>
              <w:widowControl/>
              <w:jc w:val="center"/>
              <w:rPr>
                <w:b/>
                <w:bCs/>
                <w:i/>
                <w:iCs/>
                <w:sz w:val="22"/>
                <w:szCs w:val="22"/>
              </w:rPr>
            </w:pPr>
            <w:r>
              <w:rPr>
                <w:b/>
                <w:bCs/>
                <w:i/>
                <w:iCs/>
                <w:sz w:val="22"/>
                <w:szCs w:val="22"/>
              </w:rPr>
              <w:t xml:space="preserve">(AD)+(BD) sau (AD)+(CD) </w:t>
            </w:r>
            <w:r>
              <w:rPr>
                <w:rFonts w:hint="eastAsia"/>
                <w:b/>
                <w:bCs/>
                <w:i/>
                <w:iCs/>
                <w:sz w:val="22"/>
                <w:szCs w:val="22"/>
              </w:rPr>
              <w:t>≤</w:t>
            </w:r>
            <w:r>
              <w:rPr>
                <w:b/>
                <w:bCs/>
                <w:i/>
                <w:iCs/>
                <w:sz w:val="22"/>
                <w:szCs w:val="22"/>
              </w:rPr>
              <w:t xml:space="preserve"> L</w:t>
            </w:r>
          </w:p>
        </w:tc>
      </w:tr>
    </w:tbl>
    <w:p w14:paraId="64012A2C" w14:textId="77777777" w:rsidR="001C08A5" w:rsidRDefault="00000000">
      <w:pPr>
        <w:jc w:val="center"/>
        <w:rPr>
          <w:b/>
          <w:bCs/>
          <w:i/>
          <w:iCs/>
          <w:sz w:val="22"/>
          <w:szCs w:val="22"/>
        </w:rPr>
      </w:pPr>
      <w:r>
        <w:rPr>
          <w:b/>
          <w:bCs/>
          <w:i/>
          <w:iCs/>
          <w:sz w:val="22"/>
          <w:szCs w:val="22"/>
        </w:rPr>
        <w:t>Varianta c) - evacuare ”în Y” (cu un unghi mai mare sau egal cu 90 de grade) pe coridoare</w:t>
      </w:r>
    </w:p>
    <w:p w14:paraId="1BBBC762" w14:textId="77777777" w:rsidR="001C08A5" w:rsidRDefault="001C08A5">
      <w:pPr>
        <w:jc w:val="center"/>
      </w:pPr>
    </w:p>
    <w:p w14:paraId="0DDCB593" w14:textId="77777777" w:rsidR="001C08A5" w:rsidRDefault="00000000">
      <w:pPr>
        <w:jc w:val="center"/>
      </w:pPr>
      <w:r>
        <w:rPr>
          <w:noProof/>
          <w:lang w:eastAsia="ro-RO"/>
        </w:rPr>
        <w:drawing>
          <wp:inline distT="0" distB="0" distL="114300" distR="114300" wp14:anchorId="5802028F" wp14:editId="60291438">
            <wp:extent cx="5575935" cy="1903730"/>
            <wp:effectExtent l="0" t="0" r="5715" b="127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pic:cNvPicPr>
                  </pic:nvPicPr>
                  <pic:blipFill>
                    <a:blip r:embed="rId175"/>
                    <a:srcRect l="15959" t="58355" r="10171" b="6564"/>
                    <a:stretch>
                      <a:fillRect/>
                    </a:stretch>
                  </pic:blipFill>
                  <pic:spPr>
                    <a:xfrm>
                      <a:off x="0" y="0"/>
                      <a:ext cx="5575935" cy="190373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1C08A5" w14:paraId="6ED21E47" w14:textId="77777777">
        <w:tc>
          <w:tcPr>
            <w:tcW w:w="4820" w:type="dxa"/>
          </w:tcPr>
          <w:p w14:paraId="672E7A01" w14:textId="77777777" w:rsidR="001C08A5" w:rsidRDefault="00000000">
            <w:pPr>
              <w:widowControl/>
              <w:jc w:val="center"/>
              <w:rPr>
                <w:b/>
                <w:bCs/>
                <w:i/>
                <w:iCs/>
                <w:sz w:val="22"/>
                <w:szCs w:val="22"/>
              </w:rPr>
            </w:pPr>
            <w:r>
              <w:rPr>
                <w:b/>
                <w:bCs/>
                <w:i/>
                <w:iCs/>
                <w:sz w:val="22"/>
                <w:szCs w:val="22"/>
              </w:rPr>
              <w:t>În axul din punctul A' este prevăzut minimum perete de sectorizare cu rezistență la foc (si ușă conform prevederi normate)</w:t>
            </w:r>
          </w:p>
          <w:p w14:paraId="7D0B5BA4" w14:textId="77777777" w:rsidR="001C08A5" w:rsidRDefault="00000000">
            <w:pPr>
              <w:widowControl/>
              <w:jc w:val="center"/>
              <w:rPr>
                <w:b/>
                <w:bCs/>
                <w:i/>
                <w:iCs/>
                <w:sz w:val="22"/>
                <w:szCs w:val="22"/>
              </w:rPr>
            </w:pPr>
            <w:r>
              <w:rPr>
                <w:b/>
                <w:bCs/>
                <w:i/>
                <w:iCs/>
                <w:sz w:val="22"/>
                <w:szCs w:val="22"/>
              </w:rPr>
              <w:t>Dacă (AA') &lt; l</w:t>
            </w:r>
          </w:p>
          <w:p w14:paraId="37C79645" w14:textId="77777777" w:rsidR="001C08A5" w:rsidRDefault="00000000">
            <w:pPr>
              <w:widowControl/>
              <w:jc w:val="center"/>
              <w:rPr>
                <w:b/>
                <w:bCs/>
                <w:i/>
                <w:iCs/>
                <w:sz w:val="22"/>
                <w:szCs w:val="22"/>
              </w:rPr>
            </w:pPr>
            <w:r>
              <w:rPr>
                <w:b/>
                <w:bCs/>
                <w:i/>
                <w:iCs/>
                <w:sz w:val="22"/>
                <w:szCs w:val="22"/>
              </w:rPr>
              <w:t xml:space="preserve">(A'D)+(BD) sau (A'D)+(CD) </w:t>
            </w:r>
            <w:r>
              <w:rPr>
                <w:rFonts w:hint="eastAsia"/>
                <w:b/>
                <w:bCs/>
                <w:i/>
                <w:iCs/>
                <w:sz w:val="22"/>
                <w:szCs w:val="22"/>
              </w:rPr>
              <w:t>≤</w:t>
            </w:r>
            <w:r>
              <w:rPr>
                <w:b/>
                <w:bCs/>
                <w:i/>
                <w:iCs/>
                <w:sz w:val="22"/>
                <w:szCs w:val="22"/>
              </w:rPr>
              <w:t xml:space="preserve"> L</w:t>
            </w:r>
          </w:p>
          <w:p w14:paraId="7EDC99EC" w14:textId="77777777" w:rsidR="001C08A5" w:rsidRDefault="00000000">
            <w:pPr>
              <w:widowControl/>
              <w:jc w:val="center"/>
              <w:rPr>
                <w:b/>
                <w:bCs/>
                <w:i/>
                <w:iCs/>
                <w:sz w:val="22"/>
                <w:szCs w:val="22"/>
              </w:rPr>
            </w:pPr>
            <w:r>
              <w:rPr>
                <w:b/>
                <w:bCs/>
                <w:i/>
                <w:iCs/>
                <w:sz w:val="22"/>
                <w:szCs w:val="22"/>
              </w:rPr>
              <w:t>Cu condiția ca (A'D) &lt; l</w:t>
            </w:r>
          </w:p>
        </w:tc>
        <w:tc>
          <w:tcPr>
            <w:tcW w:w="4819" w:type="dxa"/>
          </w:tcPr>
          <w:p w14:paraId="7009F029" w14:textId="77777777" w:rsidR="001C08A5" w:rsidRDefault="00000000">
            <w:pPr>
              <w:widowControl/>
              <w:jc w:val="center"/>
              <w:rPr>
                <w:b/>
                <w:bCs/>
                <w:i/>
                <w:iCs/>
                <w:sz w:val="22"/>
                <w:szCs w:val="22"/>
              </w:rPr>
            </w:pPr>
            <w:r>
              <w:rPr>
                <w:b/>
                <w:bCs/>
                <w:i/>
                <w:iCs/>
                <w:sz w:val="22"/>
                <w:szCs w:val="22"/>
              </w:rPr>
              <w:t>În axul din punctul A' nu este prevăzut minimum perete de sectorizare cu rezistență la foc</w:t>
            </w:r>
          </w:p>
          <w:p w14:paraId="484F57CB" w14:textId="77777777" w:rsidR="001C08A5" w:rsidRDefault="00000000">
            <w:pPr>
              <w:widowControl/>
              <w:jc w:val="center"/>
              <w:rPr>
                <w:b/>
                <w:bCs/>
                <w:i/>
                <w:iCs/>
                <w:sz w:val="22"/>
                <w:szCs w:val="22"/>
              </w:rPr>
            </w:pPr>
            <w:r>
              <w:rPr>
                <w:b/>
                <w:bCs/>
                <w:i/>
                <w:iCs/>
                <w:sz w:val="22"/>
                <w:szCs w:val="22"/>
              </w:rPr>
              <w:t xml:space="preserve">Dacă (AA') </w:t>
            </w:r>
            <w:r>
              <w:rPr>
                <w:rFonts w:hint="eastAsia"/>
                <w:b/>
                <w:bCs/>
                <w:i/>
                <w:iCs/>
                <w:sz w:val="22"/>
                <w:szCs w:val="22"/>
              </w:rPr>
              <w:t>≥</w:t>
            </w:r>
            <w:r>
              <w:rPr>
                <w:b/>
                <w:bCs/>
                <w:i/>
                <w:iCs/>
                <w:sz w:val="22"/>
                <w:szCs w:val="22"/>
              </w:rPr>
              <w:t xml:space="preserve"> l, nu este admis</w:t>
            </w:r>
          </w:p>
          <w:p w14:paraId="26E7ED2D" w14:textId="77777777" w:rsidR="001C08A5" w:rsidRDefault="00000000">
            <w:pPr>
              <w:widowControl/>
              <w:jc w:val="center"/>
              <w:rPr>
                <w:b/>
                <w:bCs/>
                <w:i/>
                <w:iCs/>
                <w:sz w:val="22"/>
                <w:szCs w:val="22"/>
              </w:rPr>
            </w:pPr>
            <w:r>
              <w:rPr>
                <w:b/>
                <w:bCs/>
                <w:i/>
                <w:iCs/>
                <w:sz w:val="22"/>
                <w:szCs w:val="22"/>
              </w:rPr>
              <w:t>Maximum admis (AD) &lt; l</w:t>
            </w:r>
          </w:p>
          <w:p w14:paraId="2A829670" w14:textId="77777777" w:rsidR="001C08A5" w:rsidRDefault="00000000">
            <w:pPr>
              <w:widowControl/>
              <w:jc w:val="center"/>
              <w:rPr>
                <w:b/>
                <w:bCs/>
                <w:i/>
                <w:iCs/>
                <w:sz w:val="22"/>
                <w:szCs w:val="22"/>
              </w:rPr>
            </w:pPr>
            <w:r>
              <w:rPr>
                <w:b/>
                <w:bCs/>
                <w:i/>
                <w:iCs/>
                <w:sz w:val="22"/>
                <w:szCs w:val="22"/>
              </w:rPr>
              <w:t xml:space="preserve">(AD)+(BD) sau (AD)+(CD) </w:t>
            </w:r>
            <w:r>
              <w:rPr>
                <w:rFonts w:hint="eastAsia"/>
                <w:b/>
                <w:bCs/>
                <w:i/>
                <w:iCs/>
                <w:sz w:val="22"/>
                <w:szCs w:val="22"/>
              </w:rPr>
              <w:t>≤</w:t>
            </w:r>
            <w:r>
              <w:rPr>
                <w:b/>
                <w:bCs/>
                <w:i/>
                <w:iCs/>
                <w:sz w:val="22"/>
                <w:szCs w:val="22"/>
              </w:rPr>
              <w:t xml:space="preserve"> L</w:t>
            </w:r>
          </w:p>
        </w:tc>
      </w:tr>
    </w:tbl>
    <w:p w14:paraId="0DE07099" w14:textId="77777777" w:rsidR="001C08A5" w:rsidRDefault="00000000">
      <w:pPr>
        <w:jc w:val="center"/>
        <w:rPr>
          <w:b/>
          <w:bCs/>
          <w:i/>
          <w:iCs/>
          <w:sz w:val="22"/>
          <w:szCs w:val="22"/>
        </w:rPr>
      </w:pPr>
      <w:r>
        <w:rPr>
          <w:b/>
          <w:bCs/>
          <w:i/>
          <w:iCs/>
          <w:sz w:val="22"/>
          <w:szCs w:val="22"/>
        </w:rPr>
        <w:t>Varianta d.1) - evacuare ”în Y” (cu un unghi mai mare sau egal cu 90 de grade) în interiorul open space</w:t>
      </w:r>
    </w:p>
    <w:p w14:paraId="764C5926" w14:textId="77777777" w:rsidR="001C08A5" w:rsidRDefault="001C08A5">
      <w:pPr>
        <w:jc w:val="center"/>
      </w:pPr>
    </w:p>
    <w:p w14:paraId="6A04F027" w14:textId="77777777" w:rsidR="001C08A5" w:rsidRDefault="00000000">
      <w:pPr>
        <w:pStyle w:val="Caption"/>
        <w:jc w:val="center"/>
        <w:rPr>
          <w:rFonts w:cs="Times New Roman"/>
          <w:bCs/>
        </w:rPr>
      </w:pPr>
      <w:r>
        <w:rPr>
          <w:noProof/>
          <w:lang w:eastAsia="ro-RO"/>
        </w:rPr>
        <w:drawing>
          <wp:inline distT="0" distB="0" distL="114300" distR="114300" wp14:anchorId="22F9943E" wp14:editId="5BB8D794">
            <wp:extent cx="5575935" cy="1899920"/>
            <wp:effectExtent l="0" t="0" r="5715" b="5080"/>
            <wp:docPr id="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3"/>
                    <pic:cNvPicPr>
                      <a:picLocks noChangeAspect="1"/>
                    </pic:cNvPicPr>
                  </pic:nvPicPr>
                  <pic:blipFill>
                    <a:blip r:embed="rId175"/>
                    <a:srcRect l="15959" t="3393" r="10171" b="61596"/>
                    <a:stretch>
                      <a:fillRect/>
                    </a:stretch>
                  </pic:blipFill>
                  <pic:spPr>
                    <a:xfrm>
                      <a:off x="0" y="0"/>
                      <a:ext cx="5575935" cy="1899920"/>
                    </a:xfrm>
                    <a:prstGeom prst="rect">
                      <a:avLst/>
                    </a:prstGeom>
                    <a:noFill/>
                    <a:ln>
                      <a:noFill/>
                    </a:ln>
                  </pic:spPr>
                </pic:pic>
              </a:graphicData>
            </a:graphic>
          </wp:inline>
        </w:drawing>
      </w:r>
      <w:bookmarkStart w:id="2709" w:name="_Ref111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tblGrid>
      <w:tr w:rsidR="001C08A5" w14:paraId="49149EBC" w14:textId="77777777">
        <w:tc>
          <w:tcPr>
            <w:tcW w:w="4927" w:type="dxa"/>
          </w:tcPr>
          <w:p w14:paraId="5A7DF0FE" w14:textId="77777777" w:rsidR="001C08A5" w:rsidRDefault="00000000">
            <w:pPr>
              <w:widowControl/>
              <w:jc w:val="center"/>
              <w:rPr>
                <w:b/>
                <w:bCs/>
                <w:i/>
                <w:iCs/>
                <w:sz w:val="22"/>
                <w:szCs w:val="22"/>
              </w:rPr>
            </w:pPr>
            <w:r>
              <w:rPr>
                <w:b/>
                <w:bCs/>
                <w:i/>
                <w:iCs/>
                <w:sz w:val="22"/>
                <w:szCs w:val="22"/>
              </w:rPr>
              <w:t>În axul din punctul A' este prevăzut minimum perete de sectorizare cu rezistență la foc (si ușă conform prevederi normate)</w:t>
            </w:r>
          </w:p>
          <w:p w14:paraId="2C931E89" w14:textId="77777777" w:rsidR="001C08A5" w:rsidRDefault="00000000">
            <w:pPr>
              <w:widowControl/>
              <w:jc w:val="center"/>
              <w:rPr>
                <w:b/>
                <w:bCs/>
                <w:i/>
                <w:iCs/>
                <w:sz w:val="22"/>
                <w:szCs w:val="22"/>
              </w:rPr>
            </w:pPr>
            <w:r>
              <w:rPr>
                <w:b/>
                <w:bCs/>
                <w:i/>
                <w:iCs/>
                <w:sz w:val="22"/>
                <w:szCs w:val="22"/>
              </w:rPr>
              <w:t>Dacă (AA') &lt; l</w:t>
            </w:r>
          </w:p>
          <w:p w14:paraId="23073494" w14:textId="77777777" w:rsidR="001C08A5" w:rsidRDefault="00000000">
            <w:pPr>
              <w:widowControl/>
              <w:jc w:val="center"/>
              <w:rPr>
                <w:b/>
                <w:bCs/>
                <w:i/>
                <w:iCs/>
                <w:sz w:val="22"/>
                <w:szCs w:val="22"/>
              </w:rPr>
            </w:pPr>
            <w:r>
              <w:rPr>
                <w:b/>
                <w:bCs/>
                <w:i/>
                <w:iCs/>
                <w:sz w:val="22"/>
                <w:szCs w:val="22"/>
              </w:rPr>
              <w:t>(A'D)+(DD</w:t>
            </w:r>
            <w:r>
              <w:rPr>
                <w:b/>
                <w:bCs/>
                <w:i/>
                <w:iCs/>
                <w:sz w:val="22"/>
                <w:szCs w:val="22"/>
                <w:vertAlign w:val="subscript"/>
              </w:rPr>
              <w:t>1</w:t>
            </w:r>
            <w:r>
              <w:rPr>
                <w:b/>
                <w:bCs/>
                <w:i/>
                <w:iCs/>
                <w:sz w:val="22"/>
                <w:szCs w:val="22"/>
              </w:rPr>
              <w:t>)+(BD</w:t>
            </w:r>
            <w:r>
              <w:rPr>
                <w:b/>
                <w:bCs/>
                <w:i/>
                <w:iCs/>
                <w:sz w:val="22"/>
                <w:szCs w:val="22"/>
                <w:vertAlign w:val="subscript"/>
              </w:rPr>
              <w:t>1</w:t>
            </w:r>
            <w:r>
              <w:rPr>
                <w:b/>
                <w:bCs/>
                <w:i/>
                <w:iCs/>
                <w:sz w:val="22"/>
                <w:szCs w:val="22"/>
              </w:rPr>
              <w:t>) sau (A'D)+(DD</w:t>
            </w:r>
            <w:r>
              <w:rPr>
                <w:b/>
                <w:bCs/>
                <w:i/>
                <w:iCs/>
                <w:sz w:val="22"/>
                <w:szCs w:val="22"/>
                <w:vertAlign w:val="subscript"/>
              </w:rPr>
              <w:t>2</w:t>
            </w:r>
            <w:r>
              <w:rPr>
                <w:b/>
                <w:bCs/>
                <w:i/>
                <w:iCs/>
                <w:sz w:val="22"/>
                <w:szCs w:val="22"/>
              </w:rPr>
              <w:t>)+(CD</w:t>
            </w:r>
            <w:r>
              <w:rPr>
                <w:b/>
                <w:bCs/>
                <w:i/>
                <w:iCs/>
                <w:sz w:val="22"/>
                <w:szCs w:val="22"/>
                <w:vertAlign w:val="subscript"/>
              </w:rPr>
              <w:t>2</w:t>
            </w:r>
            <w:r>
              <w:rPr>
                <w:b/>
                <w:bCs/>
                <w:i/>
                <w:iCs/>
                <w:sz w:val="22"/>
                <w:szCs w:val="22"/>
              </w:rPr>
              <w:t xml:space="preserve">) </w:t>
            </w:r>
            <w:r>
              <w:rPr>
                <w:rFonts w:hint="eastAsia"/>
                <w:b/>
                <w:bCs/>
                <w:i/>
                <w:iCs/>
                <w:sz w:val="22"/>
                <w:szCs w:val="22"/>
              </w:rPr>
              <w:t>≤</w:t>
            </w:r>
            <w:r>
              <w:rPr>
                <w:b/>
                <w:bCs/>
                <w:i/>
                <w:iCs/>
                <w:sz w:val="22"/>
                <w:szCs w:val="22"/>
              </w:rPr>
              <w:t xml:space="preserve"> L</w:t>
            </w:r>
          </w:p>
          <w:p w14:paraId="6678DE31" w14:textId="77777777" w:rsidR="001C08A5" w:rsidRDefault="00000000">
            <w:pPr>
              <w:widowControl/>
              <w:jc w:val="center"/>
              <w:rPr>
                <w:b/>
                <w:bCs/>
                <w:i/>
                <w:iCs/>
                <w:sz w:val="22"/>
                <w:szCs w:val="22"/>
              </w:rPr>
            </w:pPr>
            <w:r>
              <w:rPr>
                <w:b/>
                <w:bCs/>
                <w:i/>
                <w:iCs/>
                <w:sz w:val="22"/>
                <w:szCs w:val="22"/>
              </w:rPr>
              <w:t>Cu condiția ca (A'D) &lt; l</w:t>
            </w:r>
          </w:p>
        </w:tc>
        <w:tc>
          <w:tcPr>
            <w:tcW w:w="4928" w:type="dxa"/>
          </w:tcPr>
          <w:p w14:paraId="45F0E221" w14:textId="77777777" w:rsidR="001C08A5" w:rsidRDefault="00000000">
            <w:pPr>
              <w:widowControl/>
              <w:jc w:val="center"/>
              <w:rPr>
                <w:b/>
                <w:bCs/>
                <w:i/>
                <w:iCs/>
                <w:sz w:val="22"/>
                <w:szCs w:val="22"/>
              </w:rPr>
            </w:pPr>
            <w:r>
              <w:rPr>
                <w:b/>
                <w:bCs/>
                <w:i/>
                <w:iCs/>
                <w:sz w:val="22"/>
                <w:szCs w:val="22"/>
              </w:rPr>
              <w:t>În axul din punctul A' nu este prevăzut minimum perete de sectorizare cu rezistență la foc</w:t>
            </w:r>
          </w:p>
          <w:p w14:paraId="451FEE25" w14:textId="77777777" w:rsidR="001C08A5" w:rsidRDefault="00000000">
            <w:pPr>
              <w:widowControl/>
              <w:jc w:val="center"/>
              <w:rPr>
                <w:b/>
                <w:bCs/>
                <w:i/>
                <w:iCs/>
                <w:sz w:val="22"/>
                <w:szCs w:val="22"/>
              </w:rPr>
            </w:pPr>
            <w:r>
              <w:rPr>
                <w:b/>
                <w:bCs/>
                <w:i/>
                <w:iCs/>
                <w:sz w:val="22"/>
                <w:szCs w:val="22"/>
              </w:rPr>
              <w:t xml:space="preserve">Dacă (AA') </w:t>
            </w:r>
            <w:r>
              <w:rPr>
                <w:rFonts w:hint="eastAsia"/>
                <w:b/>
                <w:bCs/>
                <w:i/>
                <w:iCs/>
                <w:sz w:val="22"/>
                <w:szCs w:val="22"/>
              </w:rPr>
              <w:t>≥</w:t>
            </w:r>
            <w:r>
              <w:rPr>
                <w:b/>
                <w:bCs/>
                <w:i/>
                <w:iCs/>
                <w:sz w:val="22"/>
                <w:szCs w:val="22"/>
              </w:rPr>
              <w:t xml:space="preserve"> l, nu este admis</w:t>
            </w:r>
          </w:p>
          <w:p w14:paraId="74FFD954" w14:textId="77777777" w:rsidR="001C08A5" w:rsidRDefault="00000000">
            <w:pPr>
              <w:widowControl/>
              <w:jc w:val="center"/>
              <w:rPr>
                <w:b/>
                <w:bCs/>
                <w:i/>
                <w:iCs/>
                <w:sz w:val="22"/>
                <w:szCs w:val="22"/>
              </w:rPr>
            </w:pPr>
            <w:r>
              <w:rPr>
                <w:b/>
                <w:bCs/>
                <w:i/>
                <w:iCs/>
                <w:sz w:val="22"/>
                <w:szCs w:val="22"/>
              </w:rPr>
              <w:t>Maximum admis (AD) &lt; l</w:t>
            </w:r>
          </w:p>
          <w:p w14:paraId="16416E32" w14:textId="77777777" w:rsidR="001C08A5" w:rsidRDefault="00000000">
            <w:pPr>
              <w:widowControl/>
              <w:jc w:val="center"/>
              <w:rPr>
                <w:b/>
                <w:bCs/>
                <w:i/>
                <w:iCs/>
                <w:sz w:val="22"/>
                <w:szCs w:val="22"/>
              </w:rPr>
            </w:pPr>
            <w:r>
              <w:rPr>
                <w:b/>
                <w:bCs/>
                <w:i/>
                <w:iCs/>
                <w:sz w:val="22"/>
                <w:szCs w:val="22"/>
              </w:rPr>
              <w:t>(AD)+(DD</w:t>
            </w:r>
            <w:r>
              <w:rPr>
                <w:b/>
                <w:bCs/>
                <w:i/>
                <w:iCs/>
                <w:sz w:val="22"/>
                <w:szCs w:val="22"/>
                <w:vertAlign w:val="subscript"/>
              </w:rPr>
              <w:t>1</w:t>
            </w:r>
            <w:r>
              <w:rPr>
                <w:b/>
                <w:bCs/>
                <w:i/>
                <w:iCs/>
                <w:sz w:val="22"/>
                <w:szCs w:val="22"/>
              </w:rPr>
              <w:t>)+(BD</w:t>
            </w:r>
            <w:r>
              <w:rPr>
                <w:b/>
                <w:bCs/>
                <w:i/>
                <w:iCs/>
                <w:sz w:val="22"/>
                <w:szCs w:val="22"/>
                <w:vertAlign w:val="subscript"/>
              </w:rPr>
              <w:t>1</w:t>
            </w:r>
            <w:r>
              <w:rPr>
                <w:b/>
                <w:bCs/>
                <w:i/>
                <w:iCs/>
                <w:sz w:val="22"/>
                <w:szCs w:val="22"/>
              </w:rPr>
              <w:t>) sau (AD)+(DD</w:t>
            </w:r>
            <w:r>
              <w:rPr>
                <w:b/>
                <w:bCs/>
                <w:i/>
                <w:iCs/>
                <w:sz w:val="22"/>
                <w:szCs w:val="22"/>
                <w:vertAlign w:val="subscript"/>
              </w:rPr>
              <w:t>2</w:t>
            </w:r>
            <w:r>
              <w:rPr>
                <w:b/>
                <w:bCs/>
                <w:i/>
                <w:iCs/>
                <w:sz w:val="22"/>
                <w:szCs w:val="22"/>
              </w:rPr>
              <w:t>)+(CD</w:t>
            </w:r>
            <w:r>
              <w:rPr>
                <w:b/>
                <w:bCs/>
                <w:i/>
                <w:iCs/>
                <w:sz w:val="22"/>
                <w:szCs w:val="22"/>
                <w:vertAlign w:val="subscript"/>
              </w:rPr>
              <w:t>2</w:t>
            </w:r>
            <w:r>
              <w:rPr>
                <w:b/>
                <w:bCs/>
                <w:i/>
                <w:iCs/>
                <w:sz w:val="22"/>
                <w:szCs w:val="22"/>
              </w:rPr>
              <w:t xml:space="preserve">) </w:t>
            </w:r>
            <w:r>
              <w:rPr>
                <w:rFonts w:hint="eastAsia"/>
                <w:b/>
                <w:bCs/>
                <w:i/>
                <w:iCs/>
                <w:sz w:val="22"/>
                <w:szCs w:val="22"/>
              </w:rPr>
              <w:t>≤</w:t>
            </w:r>
            <w:r>
              <w:rPr>
                <w:b/>
                <w:bCs/>
                <w:i/>
                <w:iCs/>
                <w:sz w:val="22"/>
                <w:szCs w:val="22"/>
              </w:rPr>
              <w:t xml:space="preserve"> L</w:t>
            </w:r>
          </w:p>
          <w:p w14:paraId="672D1F3F" w14:textId="77777777" w:rsidR="001C08A5" w:rsidRDefault="001C08A5">
            <w:pPr>
              <w:widowControl/>
              <w:jc w:val="center"/>
              <w:rPr>
                <w:b/>
                <w:bCs/>
                <w:i/>
                <w:iCs/>
                <w:sz w:val="22"/>
                <w:szCs w:val="22"/>
              </w:rPr>
            </w:pPr>
          </w:p>
        </w:tc>
      </w:tr>
    </w:tbl>
    <w:p w14:paraId="371A6CE3" w14:textId="77777777" w:rsidR="001C08A5" w:rsidRDefault="001C08A5">
      <w:pPr>
        <w:jc w:val="center"/>
      </w:pPr>
    </w:p>
    <w:p w14:paraId="0BD00B19" w14:textId="77777777" w:rsidR="001C08A5" w:rsidRDefault="00000000">
      <w:pPr>
        <w:jc w:val="center"/>
        <w:rPr>
          <w:b/>
          <w:bCs/>
          <w:i/>
          <w:iCs/>
          <w:sz w:val="22"/>
          <w:szCs w:val="22"/>
        </w:rPr>
      </w:pPr>
      <w:r>
        <w:rPr>
          <w:b/>
          <w:bCs/>
          <w:i/>
          <w:iCs/>
          <w:sz w:val="22"/>
          <w:szCs w:val="22"/>
        </w:rPr>
        <w:t>Varianta d.2) - evacuare ”în Y” (cu un unghi mai mare sau egal cu 90 de grade) în interiorul open space</w:t>
      </w:r>
    </w:p>
    <w:p w14:paraId="47466E43" w14:textId="77777777" w:rsidR="001C08A5" w:rsidRDefault="001C08A5">
      <w:pPr>
        <w:jc w:val="center"/>
        <w:rPr>
          <w:b/>
          <w:bCs/>
          <w:i/>
          <w:iCs/>
          <w:sz w:val="22"/>
          <w:szCs w:val="22"/>
        </w:rPr>
      </w:pPr>
    </w:p>
    <w:p w14:paraId="7400D24F" w14:textId="77777777" w:rsidR="001C08A5" w:rsidRDefault="00000000">
      <w:pPr>
        <w:pStyle w:val="BodyText"/>
        <w:rPr>
          <w:b w:val="0"/>
          <w:bCs w:val="0"/>
          <w:sz w:val="22"/>
          <w:szCs w:val="22"/>
          <w:lang w:eastAsia="zh-CN"/>
        </w:rPr>
      </w:pPr>
      <w:bookmarkStart w:id="2710" w:name="_Toc19533"/>
      <w:bookmarkStart w:id="2711" w:name="_Toc25433"/>
      <w:bookmarkStart w:id="2712" w:name="_Toc3178"/>
      <w:bookmarkStart w:id="2713" w:name="_Toc29900"/>
      <w:bookmarkStart w:id="2714" w:name="_Toc21539"/>
      <w:bookmarkStart w:id="2715" w:name="_Toc20035"/>
      <w:bookmarkEnd w:id="2709"/>
      <w:r>
        <w:rPr>
          <w:b w:val="0"/>
          <w:bCs w:val="0"/>
          <w:iCs/>
          <w:sz w:val="22"/>
          <w:szCs w:val="22"/>
          <w:lang w:eastAsia="zh-CN"/>
        </w:rPr>
        <w:t>Notă Figura 64:”L” indică lungimea maximă a căii de evacuare în două direcții; ”l” indică lungimea maximă a căii de evacuare într-o direcție</w:t>
      </w:r>
    </w:p>
    <w:p w14:paraId="5E9115F6" w14:textId="77777777" w:rsidR="001C08A5" w:rsidRDefault="00000000">
      <w:pPr>
        <w:pStyle w:val="Caption"/>
        <w:jc w:val="center"/>
        <w:rPr>
          <w:rFonts w:cs="Times New Roman"/>
          <w:bCs/>
          <w:lang w:eastAsia="zh-CN"/>
        </w:rPr>
      </w:pPr>
      <w:bookmarkStart w:id="2716" w:name="_Ref18035"/>
      <w:bookmarkStart w:id="2717" w:name="_Toc162360287"/>
      <w:r>
        <w:t xml:space="preserve">Figura </w:t>
      </w:r>
      <w:r>
        <w:fldChar w:fldCharType="begin"/>
      </w:r>
      <w:r>
        <w:instrText xml:space="preserve"> SEQ Figura \* ARABIC </w:instrText>
      </w:r>
      <w:r>
        <w:fldChar w:fldCharType="separate"/>
      </w:r>
      <w:r>
        <w:t>63</w:t>
      </w:r>
      <w:r>
        <w:fldChar w:fldCharType="end"/>
      </w:r>
      <w:bookmarkStart w:id="2718" w:name="_Toc5549"/>
      <w:bookmarkStart w:id="2719" w:name="_Toc22440"/>
      <w:bookmarkStart w:id="2720" w:name="_Toc26715"/>
      <w:bookmarkStart w:id="2721" w:name="_Toc6701"/>
      <w:bookmarkStart w:id="2722" w:name="_Toc54"/>
      <w:bookmarkStart w:id="2723" w:name="_Toc1230"/>
      <w:bookmarkStart w:id="2724" w:name="_Toc31524"/>
      <w:bookmarkStart w:id="2725" w:name="_Toc10390"/>
      <w:bookmarkStart w:id="2726" w:name="_Toc4731"/>
      <w:bookmarkStart w:id="2727" w:name="_Toc15163"/>
      <w:bookmarkStart w:id="2728" w:name="_Toc14016"/>
      <w:bookmarkEnd w:id="2716"/>
      <w:r>
        <w:t xml:space="preserve"> - </w:t>
      </w:r>
      <w:r>
        <w:rPr>
          <w:rFonts w:cs="Times New Roman"/>
          <w:bCs/>
          <w:lang w:eastAsia="zh-CN"/>
        </w:rPr>
        <w:t>Evacuare (calculul lungimii - exemple)</w:t>
      </w:r>
      <w:bookmarkEnd w:id="2710"/>
      <w:bookmarkEnd w:id="2711"/>
      <w:bookmarkEnd w:id="2712"/>
      <w:bookmarkEnd w:id="2713"/>
      <w:bookmarkEnd w:id="2714"/>
      <w:bookmarkEnd w:id="2715"/>
      <w:bookmarkEnd w:id="2717"/>
      <w:bookmarkEnd w:id="2718"/>
      <w:bookmarkEnd w:id="2719"/>
      <w:bookmarkEnd w:id="2720"/>
      <w:bookmarkEnd w:id="2721"/>
      <w:bookmarkEnd w:id="2722"/>
      <w:bookmarkEnd w:id="2723"/>
      <w:bookmarkEnd w:id="2724"/>
      <w:bookmarkEnd w:id="2725"/>
      <w:bookmarkEnd w:id="2726"/>
      <w:bookmarkEnd w:id="2727"/>
      <w:bookmarkEnd w:id="2728"/>
    </w:p>
    <w:p w14:paraId="7F04628B" w14:textId="77777777" w:rsidR="001C08A5" w:rsidRDefault="00000000">
      <w:pPr>
        <w:ind w:firstLine="720"/>
        <w:jc w:val="both"/>
        <w:rPr>
          <w:sz w:val="24"/>
          <w:szCs w:val="24"/>
        </w:rPr>
      </w:pPr>
      <w:r>
        <w:rPr>
          <w:b/>
          <w:bCs/>
          <w:sz w:val="24"/>
          <w:szCs w:val="24"/>
        </w:rPr>
        <w:t>(3)</w:t>
      </w:r>
      <w:r>
        <w:rPr>
          <w:sz w:val="24"/>
          <w:szCs w:val="24"/>
        </w:rPr>
        <w:t xml:space="preserve"> La determinarea lungimii de evacuare în spatiile tip open space compartimentate cu mobilier și/sau parapete, panouri opace sau vitrate, fixe sau mobile folosite ca separări funcționale și/sau izolante fonic trebuie să se ţină cont de următoarele cerinţe:</w:t>
      </w:r>
    </w:p>
    <w:p w14:paraId="66456914" w14:textId="77777777" w:rsidR="001C08A5" w:rsidRDefault="00000000">
      <w:pPr>
        <w:ind w:left="720"/>
        <w:jc w:val="both"/>
        <w:rPr>
          <w:bCs/>
          <w:sz w:val="24"/>
          <w:szCs w:val="24"/>
        </w:rPr>
      </w:pPr>
      <w:r>
        <w:rPr>
          <w:b/>
          <w:sz w:val="24"/>
          <w:szCs w:val="24"/>
        </w:rPr>
        <w:t>a)</w:t>
      </w:r>
      <w:r>
        <w:rPr>
          <w:bCs/>
          <w:sz w:val="24"/>
          <w:szCs w:val="24"/>
        </w:rPr>
        <w:t xml:space="preserve">lungimea căii de evacuare se calculează pornind de la punctul cel mai îndepărtat al spaţiilor de tip open space până la intrarea într-un spaţiu protejat (încăpere tampon protejată, degajament protejat, scară de evacuare, etc. sau direct în exterior) având în vedere panourile de separare şi mobilierul fix; </w:t>
      </w:r>
    </w:p>
    <w:p w14:paraId="0FDD0467" w14:textId="77777777" w:rsidR="001C08A5" w:rsidRDefault="00000000">
      <w:pPr>
        <w:ind w:left="720"/>
        <w:jc w:val="both"/>
        <w:rPr>
          <w:bCs/>
          <w:sz w:val="24"/>
          <w:szCs w:val="24"/>
        </w:rPr>
      </w:pPr>
      <w:r>
        <w:rPr>
          <w:b/>
          <w:sz w:val="24"/>
          <w:szCs w:val="24"/>
        </w:rPr>
        <w:t xml:space="preserve">b) </w:t>
      </w:r>
      <w:r>
        <w:rPr>
          <w:bCs/>
          <w:sz w:val="24"/>
          <w:szCs w:val="24"/>
        </w:rPr>
        <w:t xml:space="preserve">în situația scărilor deschise (doar acolo unde normativul prevede), lungimea de evacuare se masoara până la prima treapta a acestora; </w:t>
      </w:r>
    </w:p>
    <w:p w14:paraId="2CFE989E" w14:textId="77777777" w:rsidR="001C08A5" w:rsidRDefault="001C08A5">
      <w:pPr>
        <w:jc w:val="both"/>
        <w:rPr>
          <w:sz w:val="24"/>
          <w:szCs w:val="24"/>
        </w:rPr>
      </w:pPr>
    </w:p>
    <w:p w14:paraId="3E31BDE4" w14:textId="77777777" w:rsidR="001C08A5" w:rsidRDefault="00000000">
      <w:pPr>
        <w:jc w:val="both"/>
        <w:rPr>
          <w:sz w:val="24"/>
          <w:szCs w:val="24"/>
        </w:rPr>
      </w:pPr>
      <w:r>
        <w:rPr>
          <w:b/>
          <w:sz w:val="24"/>
          <w:szCs w:val="24"/>
        </w:rPr>
        <w:tab/>
        <w:t xml:space="preserve">Art. 2.5.14.2. </w:t>
      </w:r>
      <w:r>
        <w:rPr>
          <w:sz w:val="24"/>
          <w:szCs w:val="24"/>
        </w:rPr>
        <w:t>Funcţie de destinaţia (funcţiunea) construcţiei și a nivelului de stabilitate la incendiu asigurat, lungimile căilor de evacuare a utilizatorilor vor respecta prevederile privind performanțele specifice destinaţiei și tipului de clădire.</w:t>
      </w:r>
    </w:p>
    <w:p w14:paraId="154E9B2A" w14:textId="77777777" w:rsidR="001C08A5" w:rsidRDefault="001C08A5">
      <w:pPr>
        <w:jc w:val="both"/>
        <w:rPr>
          <w:i/>
          <w:sz w:val="24"/>
          <w:szCs w:val="24"/>
        </w:rPr>
      </w:pPr>
    </w:p>
    <w:p w14:paraId="03A34ABE" w14:textId="77777777" w:rsidR="001C08A5" w:rsidRDefault="00000000">
      <w:pPr>
        <w:jc w:val="both"/>
        <w:rPr>
          <w:sz w:val="24"/>
          <w:szCs w:val="24"/>
        </w:rPr>
      </w:pPr>
      <w:r>
        <w:rPr>
          <w:b/>
          <w:sz w:val="24"/>
          <w:szCs w:val="24"/>
        </w:rPr>
        <w:tab/>
        <w:t xml:space="preserve">Art. 2.5.14.3. (1) </w:t>
      </w:r>
      <w:r>
        <w:rPr>
          <w:sz w:val="24"/>
          <w:szCs w:val="24"/>
        </w:rPr>
        <w:t>Lungimea de evacuare a utilizatorilor în caz de incendiu pe căile de evacuare, este normată în funcţie de nivelul de stabilitate la incendiu al construcţiei şi măsurile de securitate asigurate utilizatorilor în caz de incendiu, precizându-se obligatoriu în documentaţia tehnică de proiectare.</w:t>
      </w:r>
    </w:p>
    <w:p w14:paraId="2A76FC25" w14:textId="77777777" w:rsidR="001C08A5" w:rsidRDefault="00000000">
      <w:pPr>
        <w:ind w:firstLine="720"/>
        <w:jc w:val="both"/>
        <w:rPr>
          <w:sz w:val="24"/>
          <w:szCs w:val="24"/>
        </w:rPr>
      </w:pPr>
      <w:r>
        <w:rPr>
          <w:b/>
          <w:sz w:val="24"/>
          <w:szCs w:val="24"/>
        </w:rPr>
        <w:t xml:space="preserve">(2) </w:t>
      </w:r>
      <w:r>
        <w:rPr>
          <w:sz w:val="24"/>
          <w:szCs w:val="24"/>
        </w:rPr>
        <w:t>La stabilirea lungimii căii de evacuare nu se iau în considerare distanţele parcurse:</w:t>
      </w:r>
    </w:p>
    <w:p w14:paraId="31B3D5DC" w14:textId="77777777" w:rsidR="001C08A5" w:rsidRDefault="00000000">
      <w:pPr>
        <w:ind w:left="1440" w:firstLine="720"/>
        <w:jc w:val="both"/>
        <w:rPr>
          <w:sz w:val="24"/>
          <w:szCs w:val="24"/>
        </w:rPr>
      </w:pPr>
      <w:r>
        <w:rPr>
          <w:sz w:val="24"/>
          <w:szCs w:val="24"/>
        </w:rPr>
        <w:t xml:space="preserve">a) pe scările de evacuare precum și în interiorul degajamentelor protejate, a încăperilor tampon protejate ventilate în suprapresiune și a tunelurilor protejate (tuneluri/degajamente protejate cu o lungime maximă de </w:t>
      </w:r>
      <w:r>
        <w:rPr>
          <w:b/>
          <w:bCs/>
          <w:sz w:val="24"/>
          <w:szCs w:val="24"/>
        </w:rPr>
        <w:t>200 m</w:t>
      </w:r>
      <w:r>
        <w:rPr>
          <w:sz w:val="24"/>
          <w:szCs w:val="24"/>
        </w:rPr>
        <w:t>);</w:t>
      </w:r>
    </w:p>
    <w:p w14:paraId="5B201829" w14:textId="77777777" w:rsidR="001C08A5" w:rsidRDefault="00000000">
      <w:pPr>
        <w:ind w:left="1440" w:firstLine="720"/>
        <w:jc w:val="both"/>
        <w:rPr>
          <w:sz w:val="24"/>
          <w:szCs w:val="24"/>
        </w:rPr>
      </w:pPr>
      <w:r>
        <w:rPr>
          <w:sz w:val="24"/>
          <w:szCs w:val="24"/>
        </w:rPr>
        <w:t>b) în interiorul încăperilor în care nu se depăşeşte lungimea de evacuare admisă pentru coridoare înfundate.</w:t>
      </w:r>
    </w:p>
    <w:p w14:paraId="794BC26B" w14:textId="77777777" w:rsidR="001C08A5" w:rsidRDefault="00000000">
      <w:pPr>
        <w:ind w:firstLine="720"/>
        <w:jc w:val="both"/>
        <w:rPr>
          <w:rStyle w:val="CommentReference"/>
        </w:rPr>
      </w:pPr>
      <w:r>
        <w:rPr>
          <w:b/>
          <w:sz w:val="24"/>
          <w:szCs w:val="24"/>
        </w:rPr>
        <w:t xml:space="preserve">(3) </w:t>
      </w:r>
      <w:r>
        <w:rPr>
          <w:iCs/>
          <w:sz w:val="24"/>
          <w:szCs w:val="24"/>
        </w:rPr>
        <w:t>Lungimea căii de evacuare în interiorul caselor de scară închise (pe circulația comună orizontală din interiorul acesteia) precum și în încăperile tampon de acces la scările de evacuare (atunci când acestea se prevăd) nu va trebui sa depășească lungimea pentru coridor înfundat.</w:t>
      </w:r>
    </w:p>
    <w:p w14:paraId="6A6E87CB" w14:textId="77777777" w:rsidR="001C08A5" w:rsidRDefault="001C08A5">
      <w:pPr>
        <w:ind w:firstLine="720"/>
        <w:jc w:val="both"/>
        <w:rPr>
          <w:rStyle w:val="CommentReference"/>
        </w:rPr>
      </w:pPr>
    </w:p>
    <w:p w14:paraId="2D5C5994" w14:textId="77777777" w:rsidR="001C08A5" w:rsidRDefault="00000000">
      <w:pPr>
        <w:ind w:firstLine="720"/>
        <w:jc w:val="both"/>
        <w:rPr>
          <w:sz w:val="24"/>
          <w:szCs w:val="24"/>
        </w:rPr>
      </w:pPr>
      <w:r>
        <w:rPr>
          <w:b/>
          <w:sz w:val="24"/>
          <w:szCs w:val="24"/>
        </w:rPr>
        <w:t>Art. 2.5.14.4. (1)</w:t>
      </w:r>
      <w:r>
        <w:rPr>
          <w:sz w:val="24"/>
          <w:szCs w:val="24"/>
        </w:rPr>
        <w:t xml:space="preserve"> În construcţiile cu funcţiuni mixte care au diferite destinaţii dispuse în zone distincte ale construcţiei, lungimile căilor de evacuare trebuie să îndeplinească performanţele corespunzătoare fiecărei funcţiuni.</w:t>
      </w:r>
    </w:p>
    <w:p w14:paraId="4AE54CA5" w14:textId="77777777" w:rsidR="001C08A5" w:rsidRDefault="00000000">
      <w:pPr>
        <w:ind w:firstLine="720"/>
        <w:jc w:val="both"/>
        <w:rPr>
          <w:sz w:val="24"/>
          <w:szCs w:val="24"/>
        </w:rPr>
      </w:pPr>
      <w:r>
        <w:rPr>
          <w:b/>
          <w:sz w:val="24"/>
          <w:szCs w:val="24"/>
        </w:rPr>
        <w:t xml:space="preserve">(2) </w:t>
      </w:r>
      <w:r>
        <w:rPr>
          <w:sz w:val="24"/>
          <w:szCs w:val="24"/>
        </w:rPr>
        <w:t>Atunci când căile de evacuare sunt comune mai multor destinaţii sau tuturor destinaţiilor din construcţie, dispunerea, dimensionarea și alcătuirea căilor de evacuare vor îndeplini condiţiile de performanţă cele mai severe ale destinaţiilor pentru care asigură evacuarea utilizatorilor.</w:t>
      </w:r>
    </w:p>
    <w:p w14:paraId="59BA3387" w14:textId="77777777" w:rsidR="001C08A5" w:rsidRDefault="00000000">
      <w:pPr>
        <w:jc w:val="both"/>
        <w:rPr>
          <w:b/>
          <w:sz w:val="24"/>
          <w:szCs w:val="24"/>
        </w:rPr>
      </w:pPr>
      <w:r>
        <w:rPr>
          <w:sz w:val="24"/>
          <w:szCs w:val="24"/>
        </w:rPr>
        <w:tab/>
      </w:r>
      <w:r>
        <w:rPr>
          <w:sz w:val="24"/>
          <w:szCs w:val="24"/>
        </w:rPr>
        <w:tab/>
      </w:r>
    </w:p>
    <w:p w14:paraId="575796DC" w14:textId="77777777" w:rsidR="001C08A5" w:rsidRDefault="00000000">
      <w:pPr>
        <w:pStyle w:val="Heading4"/>
        <w:rPr>
          <w:rFonts w:cs="Times New Roman"/>
          <w:sz w:val="24"/>
          <w:szCs w:val="24"/>
        </w:rPr>
      </w:pPr>
      <w:bookmarkStart w:id="2729" w:name="_Toc2053"/>
      <w:bookmarkStart w:id="2730" w:name="_Toc162355268"/>
      <w:bookmarkStart w:id="2731" w:name="_Toc3441"/>
      <w:bookmarkStart w:id="2732" w:name="_Toc21295"/>
      <w:bookmarkStart w:id="2733" w:name="_Toc3231"/>
      <w:bookmarkStart w:id="2734" w:name="_Toc1355"/>
      <w:bookmarkStart w:id="2735" w:name="_Toc826"/>
      <w:bookmarkStart w:id="2736" w:name="_Toc9367"/>
      <w:r>
        <w:t>2.5.15. Gabaritele căilor de evacuare</w:t>
      </w:r>
      <w:bookmarkEnd w:id="2729"/>
      <w:bookmarkEnd w:id="2730"/>
      <w:bookmarkEnd w:id="2731"/>
      <w:bookmarkEnd w:id="2732"/>
      <w:bookmarkEnd w:id="2733"/>
      <w:bookmarkEnd w:id="2734"/>
      <w:bookmarkEnd w:id="2735"/>
      <w:bookmarkEnd w:id="2736"/>
    </w:p>
    <w:p w14:paraId="56436770" w14:textId="77777777" w:rsidR="001C08A5" w:rsidRDefault="00000000">
      <w:pPr>
        <w:pStyle w:val="Heading5"/>
        <w:rPr>
          <w:lang w:val="ro-RO"/>
        </w:rPr>
      </w:pPr>
      <w:bookmarkStart w:id="2737" w:name="_Toc4590"/>
      <w:bookmarkStart w:id="2738" w:name="_Toc1459"/>
      <w:bookmarkStart w:id="2739" w:name="_Toc16283"/>
      <w:bookmarkStart w:id="2740" w:name="_Toc8842"/>
      <w:bookmarkStart w:id="2741" w:name="_Toc25934"/>
      <w:bookmarkStart w:id="2742" w:name="_Toc3156"/>
      <w:bookmarkStart w:id="2743" w:name="_Toc162355269"/>
      <w:bookmarkStart w:id="2744" w:name="_Toc32123"/>
      <w:r>
        <w:rPr>
          <w:lang w:val="ro-RO"/>
        </w:rPr>
        <w:t>2.5.15.1. Lăţimi normate ale căilor de evacuare</w:t>
      </w:r>
      <w:bookmarkEnd w:id="2737"/>
      <w:bookmarkEnd w:id="2738"/>
      <w:bookmarkEnd w:id="2739"/>
      <w:bookmarkEnd w:id="2740"/>
      <w:bookmarkEnd w:id="2741"/>
      <w:bookmarkEnd w:id="2742"/>
      <w:bookmarkEnd w:id="2743"/>
      <w:bookmarkEnd w:id="2744"/>
    </w:p>
    <w:p w14:paraId="72E414A4" w14:textId="77777777" w:rsidR="001C08A5" w:rsidRDefault="001C08A5">
      <w:pPr>
        <w:jc w:val="both"/>
        <w:rPr>
          <w:sz w:val="24"/>
          <w:szCs w:val="24"/>
        </w:rPr>
      </w:pPr>
    </w:p>
    <w:p w14:paraId="32F8D96E" w14:textId="77777777" w:rsidR="001C08A5" w:rsidRDefault="00000000">
      <w:pPr>
        <w:jc w:val="both"/>
        <w:rPr>
          <w:sz w:val="24"/>
          <w:szCs w:val="24"/>
        </w:rPr>
      </w:pPr>
      <w:r>
        <w:rPr>
          <w:b/>
          <w:sz w:val="24"/>
          <w:szCs w:val="24"/>
        </w:rPr>
        <w:tab/>
        <w:t>Art. 2.5.15.1.1. (1)</w:t>
      </w:r>
      <w:r>
        <w:rPr>
          <w:sz w:val="24"/>
          <w:szCs w:val="24"/>
        </w:rPr>
        <w:t xml:space="preserve"> Lăţimea liberă normată pentru căile de evacuare este cea stabilită la </w:t>
      </w:r>
      <w:r>
        <w:rPr>
          <w:b/>
          <w:sz w:val="24"/>
          <w:szCs w:val="24"/>
        </w:rPr>
        <w:t xml:space="preserve">Art.2.5.11.1. </w:t>
      </w:r>
      <w:r>
        <w:rPr>
          <w:sz w:val="24"/>
          <w:szCs w:val="24"/>
        </w:rPr>
        <w:t>şi conform</w:t>
      </w:r>
      <w:r>
        <w:rPr>
          <w:i/>
          <w:iCs/>
          <w:sz w:val="24"/>
          <w:szCs w:val="24"/>
        </w:rPr>
        <w:t xml:space="preserve"> </w:t>
      </w:r>
      <w:r>
        <w:rPr>
          <w:rFonts w:cs="Mangal"/>
          <w:b/>
          <w:i/>
          <w:iCs/>
          <w:sz w:val="24"/>
          <w:szCs w:val="24"/>
        </w:rPr>
        <w:fldChar w:fldCharType="begin"/>
      </w:r>
      <w:r>
        <w:rPr>
          <w:rFonts w:cs="Mangal"/>
          <w:b/>
          <w:i/>
          <w:iCs/>
          <w:sz w:val="24"/>
          <w:szCs w:val="24"/>
        </w:rPr>
        <w:instrText xml:space="preserve"> REF _Ref16177 \h </w:instrText>
      </w:r>
      <w:r>
        <w:rPr>
          <w:rFonts w:cs="Mangal"/>
          <w:b/>
          <w:i/>
          <w:iCs/>
          <w:sz w:val="24"/>
          <w:szCs w:val="24"/>
        </w:rPr>
      </w:r>
      <w:r>
        <w:rPr>
          <w:rFonts w:cs="Mangal"/>
          <w:b/>
          <w:i/>
          <w:iCs/>
          <w:sz w:val="24"/>
          <w:szCs w:val="24"/>
        </w:rPr>
        <w:fldChar w:fldCharType="separate"/>
      </w:r>
      <w:r>
        <w:t>Figura 60</w:t>
      </w:r>
      <w:r>
        <w:rPr>
          <w:rFonts w:cs="Mangal"/>
          <w:b/>
          <w:i/>
          <w:iCs/>
          <w:sz w:val="24"/>
          <w:szCs w:val="24"/>
        </w:rPr>
        <w:fldChar w:fldCharType="end"/>
      </w:r>
      <w:r>
        <w:rPr>
          <w:b/>
          <w:bCs/>
          <w:i/>
          <w:iCs/>
          <w:sz w:val="24"/>
          <w:szCs w:val="24"/>
        </w:rPr>
        <w:t xml:space="preserve"> </w:t>
      </w:r>
      <w:r>
        <w:rPr>
          <w:sz w:val="24"/>
          <w:szCs w:val="24"/>
        </w:rPr>
        <w:t>și</w:t>
      </w:r>
      <w:r>
        <w:rPr>
          <w:b/>
          <w:bCs/>
          <w:i/>
          <w:iCs/>
          <w:sz w:val="24"/>
          <w:szCs w:val="24"/>
        </w:rPr>
        <w:t xml:space="preserve"> </w:t>
      </w:r>
      <w:r>
        <w:rPr>
          <w:rFonts w:cs="Mangal"/>
          <w:b/>
          <w:i/>
          <w:iCs/>
          <w:sz w:val="24"/>
          <w:szCs w:val="24"/>
        </w:rPr>
        <w:fldChar w:fldCharType="begin"/>
      </w:r>
      <w:r>
        <w:rPr>
          <w:rFonts w:cs="Mangal"/>
          <w:b/>
          <w:i/>
          <w:iCs/>
          <w:sz w:val="24"/>
          <w:szCs w:val="24"/>
        </w:rPr>
        <w:instrText xml:space="preserve"> REF _Ref16213 \h </w:instrText>
      </w:r>
      <w:r>
        <w:rPr>
          <w:rFonts w:cs="Mangal"/>
          <w:b/>
          <w:i/>
          <w:iCs/>
          <w:sz w:val="24"/>
          <w:szCs w:val="24"/>
        </w:rPr>
      </w:r>
      <w:r>
        <w:rPr>
          <w:rFonts w:cs="Mangal"/>
          <w:b/>
          <w:i/>
          <w:iCs/>
          <w:sz w:val="24"/>
          <w:szCs w:val="24"/>
        </w:rPr>
        <w:fldChar w:fldCharType="separate"/>
      </w:r>
      <w:r>
        <w:t>Figura 61</w:t>
      </w:r>
      <w:r>
        <w:rPr>
          <w:rFonts w:cs="Mangal"/>
          <w:b/>
          <w:i/>
          <w:iCs/>
          <w:sz w:val="24"/>
          <w:szCs w:val="24"/>
        </w:rPr>
        <w:fldChar w:fldCharType="end"/>
      </w:r>
      <w:r>
        <w:rPr>
          <w:b/>
          <w:bCs/>
          <w:i/>
          <w:iCs/>
          <w:sz w:val="24"/>
          <w:szCs w:val="24"/>
        </w:rPr>
        <w:t>.</w:t>
      </w:r>
    </w:p>
    <w:p w14:paraId="0FBA2290" w14:textId="77777777" w:rsidR="001C08A5" w:rsidRDefault="00000000">
      <w:pPr>
        <w:ind w:firstLine="720"/>
        <w:jc w:val="both"/>
        <w:rPr>
          <w:sz w:val="24"/>
          <w:szCs w:val="24"/>
        </w:rPr>
      </w:pPr>
      <w:r>
        <w:rPr>
          <w:b/>
          <w:sz w:val="24"/>
          <w:szCs w:val="24"/>
        </w:rPr>
        <w:t xml:space="preserve">(2) </w:t>
      </w:r>
      <w:r>
        <w:rPr>
          <w:sz w:val="24"/>
          <w:szCs w:val="24"/>
        </w:rPr>
        <w:t>Lăţimile intermediare ale unităţilor de trecere rezultate din calcul, se consideră valabile pentru trecerea numărului inferior de unităţi de trecere (fluxuri) de evacuare.</w:t>
      </w:r>
    </w:p>
    <w:p w14:paraId="72CC9A5E" w14:textId="77777777" w:rsidR="001C08A5" w:rsidRDefault="001C08A5">
      <w:pPr>
        <w:jc w:val="both"/>
        <w:rPr>
          <w:sz w:val="24"/>
          <w:szCs w:val="24"/>
        </w:rPr>
      </w:pPr>
    </w:p>
    <w:p w14:paraId="2E4B00DC" w14:textId="77777777" w:rsidR="001C08A5" w:rsidRDefault="00000000">
      <w:pPr>
        <w:jc w:val="both"/>
        <w:rPr>
          <w:sz w:val="24"/>
          <w:szCs w:val="24"/>
        </w:rPr>
      </w:pPr>
      <w:r>
        <w:rPr>
          <w:b/>
          <w:sz w:val="24"/>
          <w:szCs w:val="24"/>
        </w:rPr>
        <w:tab/>
        <w:t>Art. 2.5.15.1.2. (1)</w:t>
      </w:r>
      <w:r>
        <w:rPr>
          <w:sz w:val="24"/>
          <w:szCs w:val="24"/>
        </w:rPr>
        <w:t xml:space="preserve"> Dimensiunile brute (nefinisate) ale uşilor și scărilor de evacuare se stabilesc astfel încât spaţiul liber necesar pentru trecerea numărului de unităţi de trecere (fluxuri) de evacuare să nu fie redus local cu mai mult de </w:t>
      </w:r>
      <w:r>
        <w:rPr>
          <w:b/>
          <w:sz w:val="24"/>
          <w:szCs w:val="24"/>
        </w:rPr>
        <w:t>10</w:t>
      </w:r>
      <w:r>
        <w:rPr>
          <w:b/>
          <w:bCs/>
          <w:sz w:val="24"/>
          <w:szCs w:val="24"/>
        </w:rPr>
        <w:t xml:space="preserve"> cm </w:t>
      </w:r>
      <w:r>
        <w:rPr>
          <w:sz w:val="24"/>
          <w:szCs w:val="24"/>
        </w:rPr>
        <w:t xml:space="preserve">pe înălţimea (ușii) de maximum </w:t>
      </w:r>
      <w:r>
        <w:rPr>
          <w:b/>
          <w:bCs/>
          <w:sz w:val="24"/>
          <w:szCs w:val="24"/>
        </w:rPr>
        <w:t>2,10 m</w:t>
      </w:r>
      <w:r>
        <w:rPr>
          <w:sz w:val="24"/>
          <w:szCs w:val="24"/>
        </w:rPr>
        <w:t xml:space="preserve"> de la cota pardoselii (prin proeminenţe ale pereţilor, tocurilor, căptuşelilor, canaturilor de uşi sau ferestre în poziţie deschisă, finisajelor interioare, instalaţiilor, etc). Reducerea lățimii spaţiul liber necesar pentru trecerea numărului de unităţi de trecere (fluxuri) de evacuare nu se admite.</w:t>
      </w:r>
    </w:p>
    <w:p w14:paraId="0E6CC361" w14:textId="77777777" w:rsidR="001C08A5" w:rsidRDefault="00000000">
      <w:pPr>
        <w:ind w:firstLine="720"/>
        <w:jc w:val="both"/>
        <w:rPr>
          <w:b/>
          <w:sz w:val="24"/>
          <w:szCs w:val="24"/>
        </w:rPr>
      </w:pPr>
      <w:r>
        <w:rPr>
          <w:b/>
          <w:sz w:val="24"/>
          <w:szCs w:val="24"/>
        </w:rPr>
        <w:t xml:space="preserve">(2) </w:t>
      </w:r>
      <w:r>
        <w:rPr>
          <w:sz w:val="24"/>
          <w:szCs w:val="24"/>
        </w:rPr>
        <w:t xml:space="preserve">Lăţimea căilor de evacuare pentru mai mult de </w:t>
      </w:r>
      <w:r>
        <w:rPr>
          <w:b/>
          <w:sz w:val="24"/>
          <w:szCs w:val="24"/>
        </w:rPr>
        <w:t>50</w:t>
      </w:r>
      <w:r>
        <w:rPr>
          <w:sz w:val="24"/>
          <w:szCs w:val="24"/>
        </w:rPr>
        <w:t xml:space="preserve"> de persoane nu trebuie micşorată în sensul de circulaţie și evacuare spre exterior, chiar dacă este mai mare decât lăţimea rezultată din calcul, cu exceptiile prevazute in normativ.</w:t>
      </w:r>
    </w:p>
    <w:p w14:paraId="7D901057" w14:textId="77777777" w:rsidR="001C08A5" w:rsidRDefault="00000000">
      <w:pPr>
        <w:ind w:firstLine="720"/>
        <w:jc w:val="both"/>
        <w:rPr>
          <w:sz w:val="24"/>
          <w:szCs w:val="24"/>
        </w:rPr>
      </w:pPr>
      <w:r>
        <w:rPr>
          <w:b/>
          <w:sz w:val="24"/>
          <w:szCs w:val="24"/>
        </w:rPr>
        <w:t xml:space="preserve">(3) </w:t>
      </w:r>
      <w:r>
        <w:rPr>
          <w:sz w:val="24"/>
          <w:szCs w:val="24"/>
        </w:rPr>
        <w:t xml:space="preserve">Lăţimea rampelor şi a podestelor scărilor se măsoară între proiecția orizontală a elementelor care le delimitează (balustrade, parapeți, perete și balustrada/ parapet). </w:t>
      </w:r>
    </w:p>
    <w:p w14:paraId="1ACFCAF9" w14:textId="77777777" w:rsidR="001C08A5" w:rsidRDefault="00000000">
      <w:pPr>
        <w:ind w:firstLine="720"/>
        <w:jc w:val="both"/>
        <w:rPr>
          <w:sz w:val="24"/>
          <w:szCs w:val="24"/>
        </w:rPr>
      </w:pPr>
      <w:r>
        <w:rPr>
          <w:b/>
          <w:sz w:val="24"/>
          <w:szCs w:val="24"/>
        </w:rPr>
        <w:t xml:space="preserve">(4) </w:t>
      </w:r>
      <w:r>
        <w:rPr>
          <w:sz w:val="24"/>
          <w:szCs w:val="24"/>
        </w:rPr>
        <w:t xml:space="preserve">În pereţii coridoarelor şi al scărilor se admit nişe libere (neînchise), cu parapetul la mai mult de </w:t>
      </w:r>
      <w:r>
        <w:rPr>
          <w:b/>
          <w:sz w:val="24"/>
          <w:szCs w:val="24"/>
        </w:rPr>
        <w:t>1,20</w:t>
      </w:r>
      <w:r>
        <w:rPr>
          <w:sz w:val="24"/>
          <w:szCs w:val="24"/>
        </w:rPr>
        <w:t xml:space="preserve"> m deasupra pardoselii şi nişe libere cu marginea lor superioară la cel mult </w:t>
      </w:r>
      <w:r>
        <w:rPr>
          <w:b/>
          <w:sz w:val="24"/>
          <w:szCs w:val="24"/>
        </w:rPr>
        <w:t>90 cm</w:t>
      </w:r>
      <w:r>
        <w:rPr>
          <w:sz w:val="24"/>
          <w:szCs w:val="24"/>
        </w:rPr>
        <w:t xml:space="preserve"> de pardoseală.</w:t>
      </w:r>
    </w:p>
    <w:p w14:paraId="30AA858E" w14:textId="77777777" w:rsidR="001C08A5" w:rsidRDefault="00000000">
      <w:pPr>
        <w:ind w:firstLine="720"/>
        <w:jc w:val="both"/>
        <w:rPr>
          <w:sz w:val="24"/>
          <w:szCs w:val="24"/>
        </w:rPr>
      </w:pPr>
      <w:r>
        <w:rPr>
          <w:b/>
          <w:sz w:val="24"/>
          <w:szCs w:val="24"/>
        </w:rPr>
        <w:t xml:space="preserve">(5) </w:t>
      </w:r>
      <w:r>
        <w:rPr>
          <w:sz w:val="24"/>
          <w:szCs w:val="24"/>
        </w:rPr>
        <w:t xml:space="preserve">Lăţimea liberă de trecere a coridoarelor, rampelor și podestelor scărilor prin care se evacuează utilizatorii nu trebuie să fie redusă de uşi sau ferestre care se deschid spre acestea, cu </w:t>
      </w:r>
      <w:r>
        <w:rPr>
          <w:sz w:val="24"/>
          <w:szCs w:val="24"/>
        </w:rPr>
        <w:lastRenderedPageBreak/>
        <w:t xml:space="preserve">excepţia ferestrelor care au parapetul mai mare de </w:t>
      </w:r>
      <w:r>
        <w:rPr>
          <w:b/>
          <w:sz w:val="24"/>
          <w:szCs w:val="24"/>
        </w:rPr>
        <w:t>2,10</w:t>
      </w:r>
      <w:r>
        <w:rPr>
          <w:sz w:val="24"/>
          <w:szCs w:val="24"/>
        </w:rPr>
        <w:t xml:space="preserve"> m faţă de nivelul pardoselii sau al treptelor din dreptul lor, precum și al uşilor care se pot rabata la perete (uşi cu balamale aruncătoare).</w:t>
      </w:r>
    </w:p>
    <w:p w14:paraId="18D25CEC" w14:textId="77777777" w:rsidR="001C08A5" w:rsidRDefault="00000000">
      <w:pPr>
        <w:ind w:firstLine="720"/>
        <w:jc w:val="both"/>
        <w:rPr>
          <w:sz w:val="24"/>
          <w:szCs w:val="24"/>
        </w:rPr>
      </w:pPr>
      <w:r>
        <w:rPr>
          <w:b/>
          <w:sz w:val="24"/>
          <w:szCs w:val="24"/>
        </w:rPr>
        <w:t xml:space="preserve">(6) </w:t>
      </w:r>
      <w:r>
        <w:rPr>
          <w:sz w:val="24"/>
          <w:szCs w:val="24"/>
        </w:rPr>
        <w:t xml:space="preserve">Atunci când există o  diferenţă de nivel mai mare de </w:t>
      </w:r>
      <w:r>
        <w:rPr>
          <w:b/>
          <w:bCs/>
          <w:sz w:val="24"/>
          <w:szCs w:val="24"/>
        </w:rPr>
        <w:t>20 cm</w:t>
      </w:r>
      <w:r>
        <w:rPr>
          <w:sz w:val="24"/>
          <w:szCs w:val="24"/>
        </w:rPr>
        <w:t xml:space="preserve"> între cota căii de evacuare şi cea a terenului, în faţa uşilor de evacuare ce conduc direct în exteriorul clădirii, se prevăd podeste, având lăţimea cel puţin egală cu dublul lăţimii uşii, iar adâncime egală cu minimum lăţimea uşii.</w:t>
      </w:r>
    </w:p>
    <w:p w14:paraId="59439663" w14:textId="77777777" w:rsidR="001C08A5" w:rsidRDefault="00000000">
      <w:pPr>
        <w:ind w:firstLine="720"/>
        <w:jc w:val="both"/>
        <w:rPr>
          <w:sz w:val="24"/>
          <w:szCs w:val="24"/>
        </w:rPr>
      </w:pPr>
      <w:r>
        <w:rPr>
          <w:b/>
          <w:sz w:val="24"/>
          <w:szCs w:val="24"/>
        </w:rPr>
        <w:t xml:space="preserve">(7) </w:t>
      </w:r>
      <w:r>
        <w:rPr>
          <w:sz w:val="24"/>
          <w:szCs w:val="24"/>
        </w:rPr>
        <w:t xml:space="preserve">În faţa uşilor ascensoarelor pentru persoane dispuse în casele de scări, lăţimea podestelor scărilor trebuie să fie de cel puţin </w:t>
      </w:r>
      <w:r>
        <w:rPr>
          <w:b/>
          <w:sz w:val="24"/>
          <w:szCs w:val="24"/>
        </w:rPr>
        <w:t xml:space="preserve">1,60 </w:t>
      </w:r>
      <w:r>
        <w:rPr>
          <w:sz w:val="24"/>
          <w:szCs w:val="24"/>
        </w:rPr>
        <w:t xml:space="preserve">m în cazul în care ușile de palier ale ascensoarelor sunt cu deschidere pe balamale şi de minimum </w:t>
      </w:r>
      <w:r>
        <w:rPr>
          <w:b/>
          <w:sz w:val="24"/>
          <w:szCs w:val="24"/>
        </w:rPr>
        <w:t>1,20</w:t>
      </w:r>
      <w:r>
        <w:rPr>
          <w:b/>
          <w:bCs/>
          <w:sz w:val="24"/>
          <w:szCs w:val="24"/>
        </w:rPr>
        <w:t xml:space="preserve"> m </w:t>
      </w:r>
      <w:r>
        <w:rPr>
          <w:sz w:val="24"/>
          <w:szCs w:val="24"/>
        </w:rPr>
        <w:t xml:space="preserve">atunci când ușile ascensoarelor sunt </w:t>
      </w:r>
      <w:r>
        <w:rPr>
          <w:bCs/>
          <w:sz w:val="24"/>
          <w:szCs w:val="24"/>
        </w:rPr>
        <w:t>culisant</w:t>
      </w:r>
      <w:r>
        <w:rPr>
          <w:sz w:val="24"/>
          <w:szCs w:val="24"/>
        </w:rPr>
        <w:t>e.</w:t>
      </w:r>
    </w:p>
    <w:p w14:paraId="10ED26D7" w14:textId="77777777" w:rsidR="001C08A5" w:rsidRDefault="00000000">
      <w:pPr>
        <w:ind w:firstLine="720"/>
        <w:jc w:val="both"/>
        <w:rPr>
          <w:sz w:val="24"/>
          <w:szCs w:val="24"/>
        </w:rPr>
      </w:pPr>
      <w:r>
        <w:rPr>
          <w:b/>
          <w:sz w:val="24"/>
          <w:szCs w:val="24"/>
        </w:rPr>
        <w:t xml:space="preserve">(8) </w:t>
      </w:r>
      <w:r>
        <w:rPr>
          <w:sz w:val="24"/>
          <w:szCs w:val="24"/>
        </w:rPr>
        <w:t xml:space="preserve">Lăţimea rampei scărilor de evacuare mai mare de </w:t>
      </w:r>
      <w:r>
        <w:rPr>
          <w:b/>
          <w:sz w:val="24"/>
          <w:szCs w:val="24"/>
        </w:rPr>
        <w:t>2,50</w:t>
      </w:r>
      <w:r>
        <w:rPr>
          <w:b/>
          <w:bCs/>
          <w:sz w:val="24"/>
          <w:szCs w:val="24"/>
        </w:rPr>
        <w:t xml:space="preserve"> m </w:t>
      </w:r>
      <w:r>
        <w:rPr>
          <w:sz w:val="24"/>
          <w:szCs w:val="24"/>
        </w:rPr>
        <w:t>între pereţi sau între perete și balustradă ori între două balustrade, se împarte prin balustrade intermediare. Nu este obligatorie prevederea balustradelor intermediare la:</w:t>
      </w:r>
    </w:p>
    <w:p w14:paraId="74F7B588" w14:textId="77777777" w:rsidR="001C08A5" w:rsidRDefault="00000000">
      <w:pPr>
        <w:ind w:left="360"/>
        <w:jc w:val="both"/>
        <w:rPr>
          <w:sz w:val="24"/>
          <w:szCs w:val="24"/>
        </w:rPr>
      </w:pPr>
      <w:r>
        <w:rPr>
          <w:sz w:val="24"/>
          <w:szCs w:val="24"/>
        </w:rPr>
        <w:tab/>
      </w:r>
      <w:r>
        <w:rPr>
          <w:sz w:val="24"/>
          <w:szCs w:val="24"/>
        </w:rPr>
        <w:tab/>
      </w:r>
      <w:r>
        <w:rPr>
          <w:sz w:val="24"/>
          <w:szCs w:val="24"/>
        </w:rPr>
        <w:tab/>
      </w:r>
      <w:r>
        <w:rPr>
          <w:sz w:val="24"/>
          <w:szCs w:val="24"/>
        </w:rPr>
        <w:tab/>
      </w:r>
      <w:r>
        <w:rPr>
          <w:b/>
          <w:sz w:val="24"/>
          <w:szCs w:val="24"/>
        </w:rPr>
        <w:t xml:space="preserve">a) </w:t>
      </w:r>
      <w:r>
        <w:rPr>
          <w:sz w:val="24"/>
          <w:szCs w:val="24"/>
        </w:rPr>
        <w:t>rampele scărilor folosite urcând pentru a ajunge la ieşire;</w:t>
      </w:r>
    </w:p>
    <w:p w14:paraId="5DFC21C8" w14:textId="77777777" w:rsidR="001C08A5" w:rsidRDefault="00000000">
      <w:pPr>
        <w:ind w:left="2880"/>
        <w:jc w:val="both"/>
        <w:rPr>
          <w:sz w:val="24"/>
          <w:szCs w:val="24"/>
        </w:rPr>
      </w:pPr>
      <w:r>
        <w:rPr>
          <w:b/>
          <w:sz w:val="24"/>
          <w:szCs w:val="24"/>
        </w:rPr>
        <w:t xml:space="preserve">b) </w:t>
      </w:r>
      <w:r>
        <w:rPr>
          <w:sz w:val="24"/>
          <w:szCs w:val="24"/>
        </w:rPr>
        <w:t>rampele scărilor cu lăţimea cel puţin de două ori mai mare decât cea necesară unităţilor (fluxurilor) de trecere de evacuare ;</w:t>
      </w:r>
    </w:p>
    <w:p w14:paraId="2CA8EDC5" w14:textId="77777777" w:rsidR="001C08A5" w:rsidRDefault="00000000">
      <w:pPr>
        <w:ind w:left="2880"/>
        <w:jc w:val="both"/>
        <w:rPr>
          <w:b/>
          <w:sz w:val="24"/>
          <w:szCs w:val="24"/>
        </w:rPr>
      </w:pPr>
      <w:r>
        <w:rPr>
          <w:b/>
          <w:sz w:val="24"/>
          <w:szCs w:val="24"/>
        </w:rPr>
        <w:t xml:space="preserve">c) </w:t>
      </w:r>
      <w:r>
        <w:rPr>
          <w:sz w:val="24"/>
          <w:szCs w:val="24"/>
        </w:rPr>
        <w:t>rampele scărilor monumentale interioare sau exterioare.</w:t>
      </w:r>
    </w:p>
    <w:p w14:paraId="67B6588F" w14:textId="77777777" w:rsidR="001C08A5" w:rsidRDefault="00000000">
      <w:pPr>
        <w:pStyle w:val="Heading5"/>
        <w:rPr>
          <w:lang w:val="ro-RO"/>
        </w:rPr>
      </w:pPr>
      <w:bookmarkStart w:id="2745" w:name="_Toc245"/>
      <w:bookmarkStart w:id="2746" w:name="_Toc32101"/>
      <w:bookmarkStart w:id="2747" w:name="_Toc16799"/>
      <w:bookmarkStart w:id="2748" w:name="_Toc162355270"/>
      <w:bookmarkStart w:id="2749" w:name="_Toc3040"/>
      <w:bookmarkStart w:id="2750" w:name="_Toc32371"/>
      <w:bookmarkStart w:id="2751" w:name="_Toc1545"/>
      <w:bookmarkStart w:id="2752" w:name="_Toc11892"/>
      <w:r>
        <w:rPr>
          <w:lang w:val="ro-RO"/>
        </w:rPr>
        <w:t>2.5.15.2. Înălţimi de trecere pe căile de evacuare</w:t>
      </w:r>
      <w:bookmarkEnd w:id="2745"/>
      <w:bookmarkEnd w:id="2746"/>
      <w:bookmarkEnd w:id="2747"/>
      <w:bookmarkEnd w:id="2748"/>
      <w:bookmarkEnd w:id="2749"/>
      <w:bookmarkEnd w:id="2750"/>
      <w:bookmarkEnd w:id="2751"/>
      <w:bookmarkEnd w:id="2752"/>
    </w:p>
    <w:p w14:paraId="5970566A" w14:textId="77777777" w:rsidR="001C08A5" w:rsidRDefault="001C08A5">
      <w:pPr>
        <w:rPr>
          <w:sz w:val="24"/>
          <w:szCs w:val="24"/>
        </w:rPr>
      </w:pPr>
    </w:p>
    <w:p w14:paraId="45B01300" w14:textId="77777777" w:rsidR="001C08A5" w:rsidRDefault="00000000">
      <w:pPr>
        <w:ind w:firstLine="708"/>
        <w:jc w:val="both"/>
        <w:rPr>
          <w:sz w:val="24"/>
          <w:szCs w:val="24"/>
        </w:rPr>
      </w:pPr>
      <w:r>
        <w:rPr>
          <w:b/>
          <w:sz w:val="24"/>
          <w:szCs w:val="24"/>
        </w:rPr>
        <w:tab/>
        <w:t>Art. 2.5.15.2.1. (1)</w:t>
      </w:r>
      <w:r>
        <w:rPr>
          <w:sz w:val="24"/>
          <w:szCs w:val="24"/>
        </w:rPr>
        <w:t xml:space="preserve"> Înălţimea liberă a căilor de evacuare a utilizatorilor construcţiilor trebuie să fie de minimum </w:t>
      </w:r>
      <w:r>
        <w:rPr>
          <w:b/>
          <w:sz w:val="24"/>
          <w:szCs w:val="24"/>
        </w:rPr>
        <w:t>2,10</w:t>
      </w:r>
      <w:r>
        <w:rPr>
          <w:sz w:val="24"/>
          <w:szCs w:val="24"/>
        </w:rPr>
        <w:t xml:space="preserve"> m, cu excepţiile prevăzute în normativ şi în reglementările tehnice specifice.</w:t>
      </w:r>
    </w:p>
    <w:p w14:paraId="0ED5AF76" w14:textId="77777777" w:rsidR="001C08A5" w:rsidRDefault="00000000">
      <w:pPr>
        <w:ind w:firstLine="720"/>
        <w:jc w:val="both"/>
        <w:rPr>
          <w:b/>
          <w:sz w:val="24"/>
          <w:szCs w:val="24"/>
        </w:rPr>
      </w:pPr>
      <w:r>
        <w:rPr>
          <w:b/>
          <w:sz w:val="24"/>
          <w:szCs w:val="24"/>
        </w:rPr>
        <w:t>(2)</w:t>
      </w:r>
      <w:r>
        <w:rPr>
          <w:sz w:val="24"/>
          <w:szCs w:val="24"/>
        </w:rPr>
        <w:t xml:space="preserve"> Podurile și subsolurile construcţiilor pot avea înălţimea liberă de minimum </w:t>
      </w:r>
      <w:r>
        <w:rPr>
          <w:b/>
          <w:sz w:val="24"/>
          <w:szCs w:val="24"/>
        </w:rPr>
        <w:t>1,90</w:t>
      </w:r>
      <w:r>
        <w:rPr>
          <w:sz w:val="24"/>
          <w:szCs w:val="24"/>
        </w:rPr>
        <w:t xml:space="preserve"> m, iar subsolurile tehnice de </w:t>
      </w:r>
      <w:r>
        <w:rPr>
          <w:b/>
          <w:sz w:val="24"/>
          <w:szCs w:val="24"/>
        </w:rPr>
        <w:t>1,80</w:t>
      </w:r>
      <w:r>
        <w:rPr>
          <w:sz w:val="24"/>
          <w:szCs w:val="24"/>
        </w:rPr>
        <w:t xml:space="preserve"> m.</w:t>
      </w:r>
    </w:p>
    <w:p w14:paraId="36B8E7C8" w14:textId="77777777" w:rsidR="001C08A5" w:rsidRDefault="00000000">
      <w:pPr>
        <w:pStyle w:val="Heading4"/>
      </w:pPr>
      <w:bookmarkStart w:id="2753" w:name="_Toc24067"/>
      <w:bookmarkStart w:id="2754" w:name="_Toc10910"/>
      <w:bookmarkStart w:id="2755" w:name="_Toc15319"/>
      <w:bookmarkStart w:id="2756" w:name="_Toc14400"/>
      <w:bookmarkStart w:id="2757" w:name="_Toc162355271"/>
      <w:bookmarkStart w:id="2758" w:name="_Toc32353"/>
      <w:bookmarkStart w:id="2759" w:name="_Toc14967"/>
      <w:bookmarkStart w:id="2760" w:name="_Toc22430"/>
      <w:r>
        <w:t>2.5.16. Marcarea căilor de evacuare</w:t>
      </w:r>
      <w:bookmarkEnd w:id="2753"/>
      <w:bookmarkEnd w:id="2754"/>
      <w:bookmarkEnd w:id="2755"/>
      <w:bookmarkEnd w:id="2756"/>
      <w:bookmarkEnd w:id="2757"/>
      <w:bookmarkEnd w:id="2758"/>
      <w:bookmarkEnd w:id="2759"/>
      <w:bookmarkEnd w:id="2760"/>
    </w:p>
    <w:p w14:paraId="6EA0BA0C" w14:textId="77777777" w:rsidR="001C08A5" w:rsidRDefault="001C08A5">
      <w:pPr>
        <w:rPr>
          <w:b/>
          <w:sz w:val="24"/>
          <w:szCs w:val="24"/>
        </w:rPr>
      </w:pPr>
    </w:p>
    <w:p w14:paraId="270E48C2" w14:textId="77777777" w:rsidR="001C08A5" w:rsidRDefault="00000000">
      <w:pPr>
        <w:jc w:val="both"/>
        <w:rPr>
          <w:sz w:val="24"/>
          <w:szCs w:val="24"/>
        </w:rPr>
      </w:pPr>
      <w:r>
        <w:rPr>
          <w:b/>
          <w:sz w:val="24"/>
          <w:szCs w:val="24"/>
        </w:rPr>
        <w:tab/>
        <w:t>Art. 2.5.16.1. (1)</w:t>
      </w:r>
      <w:r>
        <w:rPr>
          <w:sz w:val="24"/>
          <w:szCs w:val="24"/>
        </w:rPr>
        <w:t xml:space="preserve"> Traseele căilor de evacuare a utilizatorilor unei construcţii trebuie marcate cu indicatoare, conform prevederilor reglementărilor tehnice specifice.</w:t>
      </w:r>
    </w:p>
    <w:p w14:paraId="6A0A119E" w14:textId="77777777" w:rsidR="001C08A5" w:rsidRDefault="00000000">
      <w:pPr>
        <w:jc w:val="both"/>
        <w:rPr>
          <w:sz w:val="24"/>
          <w:szCs w:val="24"/>
        </w:rPr>
      </w:pPr>
      <w:r>
        <w:rPr>
          <w:sz w:val="24"/>
          <w:szCs w:val="24"/>
        </w:rPr>
        <w:tab/>
      </w:r>
      <w:r>
        <w:rPr>
          <w:b/>
          <w:sz w:val="24"/>
          <w:szCs w:val="24"/>
        </w:rPr>
        <w:t xml:space="preserve">(2)  </w:t>
      </w:r>
      <w:r>
        <w:rPr>
          <w:sz w:val="24"/>
          <w:szCs w:val="24"/>
        </w:rPr>
        <w:t>În cazul continuării scărilor supraterane de evacuare sub nivelul terenului, se iau măsuri de semnalizare a căii de evacuare spre ieşirea în exterior.</w:t>
      </w:r>
    </w:p>
    <w:p w14:paraId="1F52BDC1" w14:textId="77777777" w:rsidR="001C08A5" w:rsidRDefault="00000000">
      <w:pPr>
        <w:jc w:val="both"/>
        <w:rPr>
          <w:sz w:val="24"/>
          <w:szCs w:val="24"/>
        </w:rPr>
      </w:pPr>
      <w:r>
        <w:rPr>
          <w:sz w:val="24"/>
          <w:szCs w:val="24"/>
        </w:rPr>
        <w:tab/>
      </w:r>
      <w:r>
        <w:rPr>
          <w:b/>
          <w:sz w:val="24"/>
          <w:szCs w:val="24"/>
        </w:rPr>
        <w:t>(3)</w:t>
      </w:r>
      <w:r>
        <w:rPr>
          <w:sz w:val="24"/>
          <w:szCs w:val="24"/>
        </w:rPr>
        <w:t xml:space="preserve"> Pe căile de evacuare a utilizatorilor construcţiilor se asigură iluminat de securitate pentru evacuare și circulație, în conformitate cu prevederile reglementărilor tehnice de specialitate.</w:t>
      </w:r>
    </w:p>
    <w:p w14:paraId="44466968" w14:textId="77777777" w:rsidR="001C08A5" w:rsidRDefault="00000000">
      <w:pPr>
        <w:pStyle w:val="Heading3"/>
      </w:pPr>
      <w:bookmarkStart w:id="2761" w:name="_Toc587"/>
      <w:bookmarkStart w:id="2762" w:name="_Toc16865"/>
      <w:bookmarkStart w:id="2763" w:name="_Toc20422"/>
      <w:bookmarkStart w:id="2764" w:name="_Toc162355272"/>
      <w:bookmarkStart w:id="2765" w:name="_Toc31816"/>
      <w:bookmarkStart w:id="2766" w:name="_Toc25537"/>
      <w:bookmarkStart w:id="2767" w:name="_Toc6734"/>
      <w:bookmarkStart w:id="2768" w:name="_Toc17597"/>
      <w:bookmarkStart w:id="2769" w:name="_Toc23350"/>
      <w:bookmarkStart w:id="2770" w:name="_Toc13628"/>
      <w:r>
        <w:t>SECŢIUNEA VI</w:t>
      </w:r>
      <w:bookmarkEnd w:id="2761"/>
      <w:bookmarkEnd w:id="2762"/>
      <w:bookmarkEnd w:id="2763"/>
      <w:bookmarkEnd w:id="2764"/>
      <w:bookmarkEnd w:id="2765"/>
      <w:bookmarkEnd w:id="2766"/>
      <w:bookmarkEnd w:id="2767"/>
      <w:bookmarkEnd w:id="2768"/>
      <w:bookmarkEnd w:id="2769"/>
      <w:bookmarkEnd w:id="2770"/>
    </w:p>
    <w:p w14:paraId="5C46A1E2" w14:textId="77777777" w:rsidR="001C08A5" w:rsidRDefault="00000000">
      <w:pPr>
        <w:pStyle w:val="Heading3"/>
      </w:pPr>
      <w:bookmarkStart w:id="2771" w:name="_Toc6083"/>
      <w:bookmarkStart w:id="2772" w:name="_Toc7313"/>
      <w:bookmarkStart w:id="2773" w:name="_Toc162355273"/>
      <w:bookmarkStart w:id="2774" w:name="_Toc13850"/>
      <w:bookmarkStart w:id="2775" w:name="_Toc5693"/>
      <w:bookmarkStart w:id="2776" w:name="_Toc15414"/>
      <w:bookmarkStart w:id="2777" w:name="_Toc28755"/>
      <w:bookmarkStart w:id="2778" w:name="_Toc909"/>
      <w:bookmarkStart w:id="2779" w:name="_Toc27656"/>
      <w:bookmarkStart w:id="2780" w:name="_Toc19764"/>
      <w:r>
        <w:t>2.6. Condiţii de acces, intervenţie și salvare în caz de incendiu</w:t>
      </w:r>
      <w:bookmarkEnd w:id="2771"/>
      <w:bookmarkEnd w:id="2772"/>
      <w:bookmarkEnd w:id="2773"/>
      <w:bookmarkEnd w:id="2774"/>
      <w:bookmarkEnd w:id="2775"/>
      <w:bookmarkEnd w:id="2776"/>
      <w:bookmarkEnd w:id="2777"/>
      <w:bookmarkEnd w:id="2778"/>
      <w:bookmarkEnd w:id="2779"/>
      <w:bookmarkEnd w:id="2780"/>
    </w:p>
    <w:p w14:paraId="1CBD328C" w14:textId="77777777" w:rsidR="001C08A5" w:rsidRDefault="001C08A5">
      <w:pPr>
        <w:rPr>
          <w:sz w:val="24"/>
          <w:szCs w:val="24"/>
        </w:rPr>
      </w:pPr>
    </w:p>
    <w:p w14:paraId="2148D75D" w14:textId="77777777" w:rsidR="001C08A5" w:rsidRDefault="00000000">
      <w:pPr>
        <w:jc w:val="both"/>
        <w:rPr>
          <w:sz w:val="24"/>
          <w:szCs w:val="24"/>
        </w:rPr>
      </w:pPr>
      <w:r>
        <w:rPr>
          <w:b/>
          <w:sz w:val="24"/>
          <w:szCs w:val="24"/>
        </w:rPr>
        <w:tab/>
        <w:t xml:space="preserve">Art. </w:t>
      </w:r>
      <w:r>
        <w:rPr>
          <w:b/>
          <w:caps/>
          <w:sz w:val="24"/>
          <w:szCs w:val="24"/>
        </w:rPr>
        <w:t>2.6.</w:t>
      </w:r>
      <w:r>
        <w:rPr>
          <w:b/>
          <w:sz w:val="24"/>
          <w:szCs w:val="24"/>
        </w:rPr>
        <w:t xml:space="preserve">1. (1) </w:t>
      </w:r>
      <w:r>
        <w:rPr>
          <w:sz w:val="24"/>
          <w:szCs w:val="24"/>
        </w:rPr>
        <w:t>Construcţiile, precum și instalaţiile în aer liber, vor avea asigurate căile exterioare de acces şi circulaţie carosabile necesare funcţional (drumuri, platforme etc.), astfel realizate încât să asigure şi autospecialelor de intervenţie, în caz de incendiu, condiţiile necesare de acţiune și salvare.</w:t>
      </w:r>
    </w:p>
    <w:p w14:paraId="027ACE99" w14:textId="77777777" w:rsidR="001C08A5" w:rsidRDefault="00000000">
      <w:pPr>
        <w:ind w:firstLine="720"/>
        <w:jc w:val="both"/>
        <w:rPr>
          <w:sz w:val="24"/>
          <w:szCs w:val="24"/>
        </w:rPr>
      </w:pPr>
      <w:r>
        <w:rPr>
          <w:b/>
          <w:sz w:val="24"/>
          <w:szCs w:val="24"/>
        </w:rPr>
        <w:t>(2)</w:t>
      </w:r>
      <w:r>
        <w:rPr>
          <w:sz w:val="24"/>
          <w:szCs w:val="24"/>
        </w:rPr>
        <w:t xml:space="preserve"> Căile de circulaţie carosabile care trec peste construcţii subterane (subsoluri, canale, galerii etc.), vor fi accesibile tuturor autospecialelor de intervenţie.</w:t>
      </w:r>
    </w:p>
    <w:p w14:paraId="3C5485D2" w14:textId="77777777" w:rsidR="001C08A5" w:rsidRDefault="00000000">
      <w:pPr>
        <w:ind w:firstLine="720"/>
        <w:jc w:val="both"/>
        <w:rPr>
          <w:sz w:val="24"/>
          <w:szCs w:val="24"/>
        </w:rPr>
      </w:pPr>
      <w:r>
        <w:rPr>
          <w:b/>
          <w:sz w:val="24"/>
          <w:szCs w:val="24"/>
        </w:rPr>
        <w:t>(3)</w:t>
      </w:r>
      <w:r>
        <w:rPr>
          <w:sz w:val="24"/>
          <w:szCs w:val="24"/>
        </w:rPr>
        <w:t xml:space="preserve"> Atunci când construcţia sau instalaţia nu necesită căi exterioare de circulaţie carosabile funcţionale, se pot prevedea fâşii de teren fără obstacole, care să permită accesul autospecialelor de intervenţie în caz de incendiu.</w:t>
      </w:r>
    </w:p>
    <w:p w14:paraId="119E92A6" w14:textId="77777777" w:rsidR="001C08A5" w:rsidRDefault="00000000">
      <w:pPr>
        <w:ind w:firstLine="720"/>
        <w:jc w:val="both"/>
        <w:rPr>
          <w:sz w:val="24"/>
          <w:szCs w:val="24"/>
        </w:rPr>
      </w:pPr>
      <w:r>
        <w:rPr>
          <w:b/>
          <w:sz w:val="24"/>
          <w:szCs w:val="24"/>
        </w:rPr>
        <w:t>(4)</w:t>
      </w:r>
      <w:r>
        <w:rPr>
          <w:sz w:val="24"/>
          <w:szCs w:val="24"/>
        </w:rPr>
        <w:t xml:space="preserve"> Nu este obligatorie asigurarea unor căi exterioare de circulaţie carosabile sau a unor fâşii de teren care să permită accesul autospecialelor de intervenţie în caz de incendiu, la construcţiile montane sau din Delta Dunării, amplasate izolat şi la anexele gospodăreşti.</w:t>
      </w:r>
    </w:p>
    <w:p w14:paraId="0B6CAE1E" w14:textId="77777777" w:rsidR="001C08A5" w:rsidRDefault="00000000">
      <w:pPr>
        <w:ind w:firstLine="720"/>
        <w:rPr>
          <w:b/>
          <w:sz w:val="24"/>
          <w:szCs w:val="24"/>
        </w:rPr>
      </w:pPr>
      <w:r>
        <w:rPr>
          <w:b/>
          <w:sz w:val="24"/>
          <w:szCs w:val="24"/>
        </w:rPr>
        <w:t>(5)</w:t>
      </w:r>
      <w:r>
        <w:rPr>
          <w:sz w:val="24"/>
          <w:szCs w:val="24"/>
        </w:rPr>
        <w:t xml:space="preserve">  Drumurile de utilitate privată trebuie conformate în acord cu caracteristicile tehnice ale autospecialelor de intervenție din dotarea inspectoratelor pentru situații de urgență de care aparțin și trebuie prevăzute cu secțiuni pentru calarea autoscărilor conformate de asemenea în acord cu caracteristicile tehnice ale autoscărilor din dotarea inspectoratelor pentru situații de urgență de care </w:t>
      </w:r>
      <w:r>
        <w:rPr>
          <w:sz w:val="24"/>
          <w:szCs w:val="24"/>
        </w:rPr>
        <w:lastRenderedPageBreak/>
        <w:t>aparțin, raportat la înălțimea clădirilor. Trebuie asigurată permanența condițiilor impuse de folosirea autoscărilor și a autospecialelor de intervenţie în caz de incendiu.</w:t>
      </w:r>
      <w:r>
        <w:rPr>
          <w:sz w:val="24"/>
          <w:szCs w:val="24"/>
        </w:rPr>
        <w:br/>
      </w:r>
      <w:r>
        <w:rPr>
          <w:sz w:val="24"/>
          <w:szCs w:val="24"/>
        </w:rPr>
        <w:tab/>
      </w:r>
    </w:p>
    <w:p w14:paraId="63607722" w14:textId="77777777" w:rsidR="001C08A5" w:rsidRDefault="00000000">
      <w:pPr>
        <w:ind w:firstLine="720"/>
        <w:jc w:val="both"/>
        <w:rPr>
          <w:rFonts w:eastAsia="TimesNewRomanPS-BoldMT"/>
          <w:bCs/>
          <w:sz w:val="24"/>
          <w:szCs w:val="24"/>
        </w:rPr>
      </w:pPr>
      <w:r>
        <w:rPr>
          <w:b/>
          <w:sz w:val="24"/>
          <w:szCs w:val="24"/>
        </w:rPr>
        <w:t xml:space="preserve">Art. </w:t>
      </w:r>
      <w:r>
        <w:rPr>
          <w:b/>
          <w:caps/>
          <w:sz w:val="24"/>
          <w:szCs w:val="24"/>
        </w:rPr>
        <w:t>2.6.2</w:t>
      </w:r>
      <w:r>
        <w:rPr>
          <w:b/>
          <w:sz w:val="24"/>
          <w:szCs w:val="24"/>
        </w:rPr>
        <w:t xml:space="preserve">. </w:t>
      </w:r>
      <w:r>
        <w:rPr>
          <w:rFonts w:eastAsia="TimesNewRomanPS-BoldMT"/>
          <w:bCs/>
          <w:sz w:val="24"/>
          <w:szCs w:val="24"/>
        </w:rPr>
        <w:t>Construcțiile vor asigura accesul autospecialelor de intervenție, astfel:</w:t>
      </w:r>
    </w:p>
    <w:p w14:paraId="06C74313" w14:textId="77777777" w:rsidR="001C08A5" w:rsidRDefault="00000000">
      <w:pPr>
        <w:ind w:left="720" w:firstLine="720"/>
        <w:jc w:val="both"/>
        <w:rPr>
          <w:rFonts w:eastAsia="TimesNewRomanPSMT"/>
          <w:b/>
          <w:sz w:val="24"/>
          <w:szCs w:val="24"/>
        </w:rPr>
      </w:pPr>
      <w:r>
        <w:rPr>
          <w:rFonts w:eastAsia="Calibri"/>
          <w:sz w:val="24"/>
          <w:szCs w:val="24"/>
        </w:rPr>
        <w:t xml:space="preserve">- </w:t>
      </w:r>
      <w:r>
        <w:rPr>
          <w:rFonts w:eastAsia="TimesNewRomanPSMT"/>
          <w:sz w:val="24"/>
          <w:szCs w:val="24"/>
        </w:rPr>
        <w:t xml:space="preserve">prin intermediul unor căi de circulaţie carosabile cu lațimea liberă (gabarit) de minimum </w:t>
      </w:r>
      <w:r>
        <w:rPr>
          <w:rFonts w:eastAsia="TimesNewRomanPSMT"/>
          <w:b/>
          <w:bCs/>
          <w:sz w:val="24"/>
          <w:szCs w:val="24"/>
        </w:rPr>
        <w:t xml:space="preserve">3,50 m, </w:t>
      </w:r>
      <w:r>
        <w:rPr>
          <w:rFonts w:eastAsia="TimesNewRomanPSMT"/>
          <w:sz w:val="24"/>
          <w:szCs w:val="24"/>
        </w:rPr>
        <w:t xml:space="preserve">pentru o bandă de circulație la construcții (inclusiv la ansamblurile de locuințe unifamiliale/colective) cu regim de înălțime </w:t>
      </w:r>
      <w:r>
        <w:rPr>
          <w:rFonts w:eastAsia="TimesNewRomanPSMT"/>
          <w:b/>
          <w:bCs/>
          <w:sz w:val="24"/>
          <w:szCs w:val="24"/>
        </w:rPr>
        <w:t xml:space="preserve">h ≤ 15,00 m </w:t>
      </w:r>
      <w:r>
        <w:rPr>
          <w:rFonts w:eastAsia="TimesNewRomanPSMT"/>
          <w:sz w:val="24"/>
          <w:szCs w:val="24"/>
        </w:rPr>
        <w:t>(măsurat de la nivelul de referință până la cota de călcare a ultimului nivel folosit de utilizatori)</w:t>
      </w:r>
      <w:r>
        <w:rPr>
          <w:rFonts w:eastAsia="TimesNewRomanPSMT"/>
          <w:b/>
          <w:bCs/>
          <w:sz w:val="24"/>
          <w:szCs w:val="24"/>
        </w:rPr>
        <w:t xml:space="preserve"> </w:t>
      </w:r>
      <w:r>
        <w:rPr>
          <w:rFonts w:eastAsia="TimesNewRomanPSMT"/>
          <w:bCs/>
          <w:sz w:val="24"/>
          <w:szCs w:val="24"/>
        </w:rPr>
        <w:t>și</w:t>
      </w:r>
      <w:r>
        <w:rPr>
          <w:rFonts w:eastAsia="TimesNewRomanPSMT"/>
          <w:b/>
          <w:bCs/>
          <w:sz w:val="24"/>
          <w:szCs w:val="24"/>
        </w:rPr>
        <w:t xml:space="preserve"> </w:t>
      </w:r>
      <w:r>
        <w:rPr>
          <w:rFonts w:eastAsia="TimesNewRomanPSMT"/>
          <w:sz w:val="24"/>
          <w:szCs w:val="24"/>
        </w:rPr>
        <w:t xml:space="preserve">cu lungime/adâncime a carosabilului  accesibil autospecialelor de intervenție </w:t>
      </w:r>
      <w:r>
        <w:rPr>
          <w:rFonts w:eastAsia="TimesNewRomanPSMT"/>
          <w:b/>
          <w:bCs/>
          <w:sz w:val="24"/>
          <w:szCs w:val="24"/>
        </w:rPr>
        <w:t xml:space="preserve">≤ </w:t>
      </w:r>
      <w:r>
        <w:rPr>
          <w:rFonts w:eastAsia="TimesNewRomanPSMT"/>
          <w:b/>
          <w:sz w:val="24"/>
          <w:szCs w:val="24"/>
        </w:rPr>
        <w:t>30,00 m</w:t>
      </w:r>
      <w:r>
        <w:rPr>
          <w:rFonts w:eastAsia="TimesNewRomanPS-BoldMT"/>
          <w:bCs/>
          <w:sz w:val="24"/>
          <w:szCs w:val="24"/>
        </w:rPr>
        <w:t xml:space="preserve"> (conform </w:t>
      </w:r>
      <w:r>
        <w:rPr>
          <w:rFonts w:cs="Mangal"/>
          <w:b/>
          <w:i/>
          <w:iCs/>
          <w:sz w:val="24"/>
          <w:szCs w:val="24"/>
        </w:rPr>
        <w:fldChar w:fldCharType="begin"/>
      </w:r>
      <w:r>
        <w:rPr>
          <w:rFonts w:cs="Mangal"/>
          <w:b/>
          <w:i/>
          <w:iCs/>
          <w:sz w:val="24"/>
          <w:szCs w:val="24"/>
        </w:rPr>
        <w:instrText xml:space="preserve"> REF _Ref18829 \h </w:instrText>
      </w:r>
      <w:r>
        <w:rPr>
          <w:rFonts w:cs="Mangal"/>
          <w:b/>
          <w:i/>
          <w:iCs/>
          <w:sz w:val="24"/>
          <w:szCs w:val="24"/>
        </w:rPr>
      </w:r>
      <w:r>
        <w:rPr>
          <w:rFonts w:cs="Mangal"/>
          <w:b/>
          <w:i/>
          <w:iCs/>
          <w:sz w:val="24"/>
          <w:szCs w:val="24"/>
        </w:rPr>
        <w:fldChar w:fldCharType="separate"/>
      </w:r>
      <w:r>
        <w:t>Figura 64</w:t>
      </w:r>
      <w:r>
        <w:rPr>
          <w:rFonts w:cs="Mangal"/>
          <w:b/>
          <w:i/>
          <w:iCs/>
          <w:sz w:val="24"/>
          <w:szCs w:val="24"/>
        </w:rPr>
        <w:fldChar w:fldCharType="end"/>
      </w:r>
      <w:r>
        <w:rPr>
          <w:rFonts w:eastAsia="TimesNewRomanPS-BoldMT"/>
          <w:bCs/>
          <w:sz w:val="24"/>
          <w:szCs w:val="24"/>
        </w:rPr>
        <w:t xml:space="preserve"> varianta </w:t>
      </w:r>
      <w:r>
        <w:rPr>
          <w:rFonts w:eastAsia="TimesNewRomanPS-BoldMT"/>
          <w:b/>
          <w:sz w:val="24"/>
          <w:szCs w:val="24"/>
        </w:rPr>
        <w:t>a)</w:t>
      </w:r>
      <w:r>
        <w:rPr>
          <w:rFonts w:eastAsia="TimesNewRomanPSMT"/>
          <w:b/>
          <w:sz w:val="24"/>
          <w:szCs w:val="24"/>
        </w:rPr>
        <w:t>;</w:t>
      </w:r>
    </w:p>
    <w:p w14:paraId="2564DCB6" w14:textId="77777777" w:rsidR="001C08A5" w:rsidRDefault="00000000">
      <w:pPr>
        <w:ind w:left="720" w:firstLine="720"/>
        <w:jc w:val="both"/>
        <w:rPr>
          <w:sz w:val="28"/>
          <w:szCs w:val="28"/>
          <w:lang w:eastAsia="ro-RO"/>
        </w:rPr>
      </w:pPr>
      <w:r>
        <w:rPr>
          <w:rFonts w:eastAsia="TimesNewRomanPSMT"/>
          <w:sz w:val="24"/>
          <w:szCs w:val="24"/>
        </w:rPr>
        <w:t xml:space="preserve"> - prin intermediul unor căi de circulaţie carosabile cu lățimea liberă (gabarit) de minimum </w:t>
      </w:r>
      <w:r>
        <w:rPr>
          <w:rFonts w:eastAsia="TimesNewRomanPSMT"/>
          <w:b/>
          <w:sz w:val="24"/>
          <w:szCs w:val="24"/>
        </w:rPr>
        <w:t>7,00 m</w:t>
      </w:r>
      <w:r>
        <w:rPr>
          <w:rFonts w:eastAsia="TimesNewRomanPSMT"/>
          <w:sz w:val="24"/>
          <w:szCs w:val="24"/>
        </w:rPr>
        <w:t xml:space="preserve">, la construcțiile (inclusiv ansamblurile de locuințe colective) cu regim de înălțime </w:t>
      </w:r>
      <w:r>
        <w:rPr>
          <w:rFonts w:eastAsia="TimesNewRomanPSMT"/>
          <w:b/>
          <w:bCs/>
          <w:sz w:val="24"/>
          <w:szCs w:val="24"/>
        </w:rPr>
        <w:t xml:space="preserve">h &gt;15,00 m </w:t>
      </w:r>
      <w:r>
        <w:rPr>
          <w:rFonts w:eastAsia="TimesNewRomanPS-BoldMT"/>
          <w:bCs/>
          <w:sz w:val="24"/>
          <w:szCs w:val="24"/>
        </w:rPr>
        <w:t>(</w:t>
      </w:r>
      <w:r>
        <w:rPr>
          <w:rFonts w:eastAsia="TimesNewRomanPSMT"/>
          <w:sz w:val="24"/>
          <w:szCs w:val="24"/>
        </w:rPr>
        <w:t>măsurat de la nivelul de referință până la cota de călcare a ultimului nivel folosit de utilizatori,</w:t>
      </w:r>
      <w:r>
        <w:rPr>
          <w:rFonts w:eastAsia="TimesNewRomanPSMT"/>
          <w:sz w:val="22"/>
          <w:szCs w:val="22"/>
        </w:rPr>
        <w:t xml:space="preserve"> </w:t>
      </w:r>
      <w:r>
        <w:rPr>
          <w:rFonts w:eastAsia="TimesNewRomanPS-BoldMT"/>
          <w:bCs/>
          <w:sz w:val="24"/>
          <w:szCs w:val="24"/>
        </w:rPr>
        <w:t xml:space="preserve">conform </w:t>
      </w:r>
      <w:r>
        <w:rPr>
          <w:rFonts w:cs="Mangal"/>
          <w:b/>
          <w:i/>
          <w:iCs/>
          <w:sz w:val="24"/>
          <w:szCs w:val="24"/>
        </w:rPr>
        <w:fldChar w:fldCharType="begin"/>
      </w:r>
      <w:r>
        <w:rPr>
          <w:rFonts w:cs="Mangal"/>
          <w:b/>
          <w:i/>
          <w:iCs/>
          <w:sz w:val="24"/>
          <w:szCs w:val="24"/>
        </w:rPr>
        <w:instrText xml:space="preserve"> REF _Ref18829 \h </w:instrText>
      </w:r>
      <w:r>
        <w:rPr>
          <w:rFonts w:cs="Mangal"/>
          <w:b/>
          <w:i/>
          <w:iCs/>
          <w:sz w:val="24"/>
          <w:szCs w:val="24"/>
        </w:rPr>
      </w:r>
      <w:r>
        <w:rPr>
          <w:rFonts w:cs="Mangal"/>
          <w:b/>
          <w:i/>
          <w:iCs/>
          <w:sz w:val="24"/>
          <w:szCs w:val="24"/>
        </w:rPr>
        <w:fldChar w:fldCharType="separate"/>
      </w:r>
      <w:r>
        <w:t>Figura 64</w:t>
      </w:r>
      <w:r>
        <w:rPr>
          <w:rFonts w:cs="Mangal"/>
          <w:b/>
          <w:i/>
          <w:iCs/>
          <w:sz w:val="24"/>
          <w:szCs w:val="24"/>
        </w:rPr>
        <w:fldChar w:fldCharType="end"/>
      </w:r>
      <w:r>
        <w:rPr>
          <w:rFonts w:eastAsia="TimesNewRomanPS-BoldMT"/>
          <w:bCs/>
          <w:sz w:val="24"/>
          <w:szCs w:val="24"/>
        </w:rPr>
        <w:t xml:space="preserve"> varianta b) și </w:t>
      </w:r>
      <w:r>
        <w:rPr>
          <w:rFonts w:cs="Mangal"/>
          <w:b/>
          <w:i/>
          <w:iCs/>
          <w:sz w:val="24"/>
          <w:szCs w:val="24"/>
        </w:rPr>
        <w:fldChar w:fldCharType="begin"/>
      </w:r>
      <w:r>
        <w:rPr>
          <w:rFonts w:cs="Mangal"/>
          <w:b/>
          <w:i/>
          <w:iCs/>
          <w:sz w:val="24"/>
          <w:szCs w:val="24"/>
        </w:rPr>
        <w:instrText xml:space="preserve"> REF _Ref19286 \h </w:instrText>
      </w:r>
      <w:r>
        <w:rPr>
          <w:rFonts w:cs="Mangal"/>
          <w:b/>
          <w:i/>
          <w:iCs/>
          <w:sz w:val="24"/>
          <w:szCs w:val="24"/>
        </w:rPr>
      </w:r>
      <w:r>
        <w:rPr>
          <w:rFonts w:cs="Mangal"/>
          <w:b/>
          <w:i/>
          <w:iCs/>
          <w:sz w:val="24"/>
          <w:szCs w:val="24"/>
        </w:rPr>
        <w:fldChar w:fldCharType="separate"/>
      </w:r>
      <w:r>
        <w:t>Figura 65</w:t>
      </w:r>
      <w:r>
        <w:rPr>
          <w:rFonts w:cs="Mangal"/>
          <w:b/>
          <w:i/>
          <w:iCs/>
          <w:sz w:val="24"/>
          <w:szCs w:val="24"/>
        </w:rPr>
        <w:fldChar w:fldCharType="end"/>
      </w:r>
      <w:r>
        <w:rPr>
          <w:rFonts w:eastAsia="TimesNewRomanPS-BoldMT"/>
          <w:bCs/>
          <w:sz w:val="24"/>
          <w:szCs w:val="24"/>
        </w:rPr>
        <w:t>)</w:t>
      </w:r>
      <w:r>
        <w:rPr>
          <w:rFonts w:eastAsia="TimesNewRomanPSMT"/>
          <w:sz w:val="24"/>
          <w:szCs w:val="24"/>
        </w:rPr>
        <w:t>;</w:t>
      </w:r>
    </w:p>
    <w:p w14:paraId="2973FD6C" w14:textId="77777777" w:rsidR="001C08A5" w:rsidRDefault="00000000">
      <w:pPr>
        <w:jc w:val="center"/>
        <w:rPr>
          <w:sz w:val="28"/>
          <w:szCs w:val="28"/>
          <w:lang w:eastAsia="ro-RO"/>
        </w:rPr>
      </w:pPr>
      <w:r>
        <w:rPr>
          <w:noProof/>
        </w:rPr>
        <w:drawing>
          <wp:inline distT="0" distB="0" distL="114300" distR="114300" wp14:anchorId="5D33266D" wp14:editId="0E55FF63">
            <wp:extent cx="5892800" cy="2536190"/>
            <wp:effectExtent l="0" t="0" r="12700" b="16510"/>
            <wp:docPr id="3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2"/>
                    <pic:cNvPicPr>
                      <a:picLocks noChangeAspect="1"/>
                    </pic:cNvPicPr>
                  </pic:nvPicPr>
                  <pic:blipFill>
                    <a:blip r:embed="rId176"/>
                    <a:srcRect l="13444" t="13159" r="8481" b="6479"/>
                    <a:stretch>
                      <a:fillRect/>
                    </a:stretch>
                  </pic:blipFill>
                  <pic:spPr>
                    <a:xfrm>
                      <a:off x="0" y="0"/>
                      <a:ext cx="5892800" cy="253619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0"/>
        <w:gridCol w:w="4809"/>
      </w:tblGrid>
      <w:tr w:rsidR="001C08A5" w14:paraId="141E6F23" w14:textId="77777777" w:rsidTr="00C163C7">
        <w:trPr>
          <w:trHeight w:val="279"/>
        </w:trPr>
        <w:tc>
          <w:tcPr>
            <w:tcW w:w="4927" w:type="dxa"/>
          </w:tcPr>
          <w:p w14:paraId="61CDE0C3" w14:textId="77777777" w:rsidR="001C08A5" w:rsidRDefault="00000000">
            <w:pPr>
              <w:jc w:val="center"/>
              <w:rPr>
                <w:b/>
                <w:bCs/>
                <w:i/>
                <w:iCs/>
                <w:sz w:val="22"/>
                <w:szCs w:val="22"/>
              </w:rPr>
            </w:pPr>
            <w:r>
              <w:rPr>
                <w:b/>
                <w:bCs/>
                <w:i/>
                <w:iCs/>
                <w:sz w:val="22"/>
                <w:szCs w:val="22"/>
              </w:rPr>
              <w:t xml:space="preserve">Varianta a)  </w:t>
            </w:r>
            <w:r>
              <w:rPr>
                <w:rFonts w:eastAsia="TimesNewRomanPSMT"/>
                <w:i/>
                <w:iCs/>
                <w:sz w:val="22"/>
                <w:szCs w:val="22"/>
              </w:rPr>
              <w:t xml:space="preserve">cu regim de înălțime </w:t>
            </w:r>
            <w:r>
              <w:rPr>
                <w:rFonts w:eastAsia="TimesNewRomanPSMT"/>
                <w:b/>
                <w:bCs/>
                <w:i/>
                <w:iCs/>
                <w:sz w:val="22"/>
                <w:szCs w:val="22"/>
              </w:rPr>
              <w:t xml:space="preserve">h </w:t>
            </w:r>
            <w:r>
              <w:rPr>
                <w:rFonts w:ascii="Arial" w:eastAsia="TimesNewRomanPSMT" w:hAnsi="Arial" w:cs="Arial"/>
                <w:b/>
                <w:bCs/>
                <w:i/>
                <w:iCs/>
                <w:sz w:val="22"/>
                <w:szCs w:val="22"/>
              </w:rPr>
              <w:t>≤</w:t>
            </w:r>
            <w:r>
              <w:rPr>
                <w:rFonts w:eastAsia="TimesNewRomanPSMT"/>
                <w:i/>
                <w:iCs/>
                <w:sz w:val="22"/>
                <w:szCs w:val="22"/>
              </w:rPr>
              <w:t xml:space="preserve"> </w:t>
            </w:r>
            <w:r>
              <w:rPr>
                <w:rFonts w:eastAsia="TimesNewRomanPSMT"/>
                <w:b/>
                <w:bCs/>
                <w:i/>
                <w:iCs/>
                <w:sz w:val="22"/>
                <w:szCs w:val="22"/>
              </w:rPr>
              <w:t xml:space="preserve">15,00 m </w:t>
            </w:r>
            <w:r>
              <w:rPr>
                <w:rFonts w:eastAsia="TimesNewRomanPSMT"/>
                <w:i/>
                <w:iCs/>
                <w:sz w:val="24"/>
                <w:szCs w:val="24"/>
              </w:rPr>
              <w:t>(</w:t>
            </w:r>
            <w:r>
              <w:rPr>
                <w:rFonts w:eastAsia="TimesNewRomanPSMT"/>
                <w:i/>
                <w:iCs/>
                <w:sz w:val="22"/>
                <w:szCs w:val="22"/>
              </w:rPr>
              <w:t>măsurat de la nivelul de referință până la cota de călcare a ultimului nivel folosit de utilizatori</w:t>
            </w:r>
            <w:r>
              <w:rPr>
                <w:rFonts w:eastAsia="TimesNewRomanPSMT"/>
                <w:i/>
                <w:iCs/>
                <w:sz w:val="24"/>
                <w:szCs w:val="24"/>
              </w:rPr>
              <w:t>)</w:t>
            </w:r>
            <w:r>
              <w:rPr>
                <w:rFonts w:eastAsia="TimesNewRomanPSMT"/>
                <w:sz w:val="24"/>
                <w:szCs w:val="24"/>
              </w:rPr>
              <w:t xml:space="preserve"> </w:t>
            </w:r>
            <w:r>
              <w:rPr>
                <w:rFonts w:eastAsia="TimesNewRomanPSMT"/>
                <w:i/>
                <w:iCs/>
                <w:sz w:val="22"/>
                <w:szCs w:val="22"/>
              </w:rPr>
              <w:t xml:space="preserve">cu lungime/adâncime acces autospeciale intervenție mai mica de </w:t>
            </w:r>
            <w:r>
              <w:rPr>
                <w:rFonts w:eastAsia="TimesNewRomanPSMT"/>
                <w:b/>
                <w:bCs/>
                <w:i/>
                <w:iCs/>
                <w:sz w:val="22"/>
                <w:szCs w:val="22"/>
              </w:rPr>
              <w:t>30,00 m</w:t>
            </w:r>
          </w:p>
        </w:tc>
        <w:tc>
          <w:tcPr>
            <w:tcW w:w="4928" w:type="dxa"/>
          </w:tcPr>
          <w:p w14:paraId="32349273" w14:textId="77777777" w:rsidR="001C08A5" w:rsidRDefault="00000000">
            <w:pPr>
              <w:jc w:val="center"/>
              <w:rPr>
                <w:rFonts w:eastAsia="TimesNewRomanPSMT"/>
                <w:i/>
                <w:iCs/>
                <w:sz w:val="22"/>
                <w:szCs w:val="22"/>
              </w:rPr>
            </w:pPr>
            <w:r>
              <w:rPr>
                <w:b/>
                <w:bCs/>
                <w:i/>
                <w:iCs/>
                <w:sz w:val="22"/>
                <w:szCs w:val="22"/>
              </w:rPr>
              <w:t xml:space="preserve">Varianta b) </w:t>
            </w:r>
            <w:r>
              <w:rPr>
                <w:i/>
                <w:iCs/>
                <w:sz w:val="22"/>
                <w:szCs w:val="22"/>
              </w:rPr>
              <w:t xml:space="preserve"> </w:t>
            </w:r>
            <w:r>
              <w:rPr>
                <w:rFonts w:eastAsia="TimesNewRomanPSMT"/>
                <w:i/>
                <w:iCs/>
                <w:sz w:val="22"/>
                <w:szCs w:val="22"/>
              </w:rPr>
              <w:t xml:space="preserve">cu regim de înălțime </w:t>
            </w:r>
          </w:p>
          <w:p w14:paraId="25E3180D" w14:textId="77777777" w:rsidR="001C08A5" w:rsidRDefault="00000000">
            <w:pPr>
              <w:jc w:val="center"/>
              <w:rPr>
                <w:b/>
                <w:bCs/>
                <w:i/>
                <w:iCs/>
                <w:sz w:val="22"/>
                <w:szCs w:val="22"/>
              </w:rPr>
            </w:pPr>
            <w:r>
              <w:rPr>
                <w:rFonts w:eastAsia="TimesNewRomanPSMT"/>
                <w:b/>
                <w:bCs/>
                <w:i/>
                <w:iCs/>
                <w:sz w:val="22"/>
                <w:szCs w:val="22"/>
              </w:rPr>
              <w:t>h</w:t>
            </w:r>
            <w:r>
              <w:rPr>
                <w:rFonts w:eastAsia="TimesNewRomanPSMT"/>
                <w:i/>
                <w:iCs/>
                <w:sz w:val="22"/>
                <w:szCs w:val="22"/>
              </w:rPr>
              <w:t xml:space="preserve"> </w:t>
            </w:r>
            <w:r>
              <w:rPr>
                <w:rFonts w:ascii="Arial" w:eastAsia="TimesNewRomanPSMT" w:hAnsi="Arial" w:cs="Arial"/>
                <w:b/>
                <w:bCs/>
                <w:i/>
                <w:iCs/>
                <w:sz w:val="22"/>
                <w:szCs w:val="22"/>
              </w:rPr>
              <w:t>&gt;</w:t>
            </w:r>
            <w:r>
              <w:rPr>
                <w:rFonts w:eastAsia="TimesNewRomanPSMT"/>
                <w:i/>
                <w:iCs/>
                <w:sz w:val="22"/>
                <w:szCs w:val="22"/>
              </w:rPr>
              <w:t xml:space="preserve"> </w:t>
            </w:r>
            <w:r>
              <w:rPr>
                <w:rFonts w:eastAsia="TimesNewRomanPSMT"/>
                <w:b/>
                <w:bCs/>
                <w:i/>
                <w:iCs/>
                <w:sz w:val="22"/>
                <w:szCs w:val="22"/>
              </w:rPr>
              <w:t>15,00 m</w:t>
            </w:r>
            <w:r>
              <w:rPr>
                <w:rFonts w:eastAsia="TimesNewRomanPSMT"/>
                <w:i/>
                <w:iCs/>
                <w:sz w:val="22"/>
                <w:szCs w:val="22"/>
              </w:rPr>
              <w:t xml:space="preserve"> </w:t>
            </w:r>
            <w:r>
              <w:rPr>
                <w:rFonts w:eastAsia="TimesNewRomanPSMT"/>
                <w:i/>
                <w:iCs/>
                <w:sz w:val="24"/>
                <w:szCs w:val="24"/>
              </w:rPr>
              <w:t>(</w:t>
            </w:r>
            <w:r>
              <w:rPr>
                <w:rFonts w:eastAsia="TimesNewRomanPSMT"/>
                <w:i/>
                <w:iCs/>
                <w:sz w:val="22"/>
                <w:szCs w:val="22"/>
              </w:rPr>
              <w:t>măsurat de la nivelul de referință până la cota de călcare a ultimului nivel folosit de utilizatori</w:t>
            </w:r>
            <w:r>
              <w:rPr>
                <w:rFonts w:eastAsia="TimesNewRomanPSMT"/>
                <w:i/>
                <w:iCs/>
                <w:sz w:val="24"/>
                <w:szCs w:val="24"/>
              </w:rPr>
              <w:t>)</w:t>
            </w:r>
          </w:p>
        </w:tc>
      </w:tr>
    </w:tbl>
    <w:p w14:paraId="6E9A3EF8" w14:textId="77777777" w:rsidR="001C08A5" w:rsidRDefault="00000000">
      <w:pPr>
        <w:pStyle w:val="Caption"/>
        <w:jc w:val="center"/>
        <w:rPr>
          <w:sz w:val="28"/>
          <w:szCs w:val="28"/>
        </w:rPr>
      </w:pPr>
      <w:bookmarkStart w:id="2781" w:name="_Ref18829"/>
      <w:bookmarkStart w:id="2782" w:name="_Toc162360288"/>
      <w:r>
        <w:t xml:space="preserve">Figura </w:t>
      </w:r>
      <w:r>
        <w:fldChar w:fldCharType="begin"/>
      </w:r>
      <w:r>
        <w:instrText xml:space="preserve"> SEQ Figura \* ARABIC </w:instrText>
      </w:r>
      <w:r>
        <w:fldChar w:fldCharType="separate"/>
      </w:r>
      <w:r>
        <w:t>64</w:t>
      </w:r>
      <w:r>
        <w:fldChar w:fldCharType="end"/>
      </w:r>
      <w:bookmarkStart w:id="2783" w:name="_Toc20225"/>
      <w:bookmarkStart w:id="2784" w:name="_Toc17928"/>
      <w:bookmarkStart w:id="2785" w:name="_Toc14414"/>
      <w:bookmarkStart w:id="2786" w:name="_Toc14808"/>
      <w:bookmarkStart w:id="2787" w:name="_Toc20851"/>
      <w:bookmarkStart w:id="2788" w:name="_Toc2979"/>
      <w:bookmarkStart w:id="2789" w:name="_Toc4669"/>
      <w:bookmarkStart w:id="2790" w:name="_Toc10136"/>
      <w:bookmarkStart w:id="2791" w:name="_Toc944"/>
      <w:bookmarkStart w:id="2792" w:name="_Toc10673"/>
      <w:bookmarkStart w:id="2793" w:name="_Toc1335"/>
      <w:bookmarkEnd w:id="2781"/>
      <w:r>
        <w:t xml:space="preserve"> - </w:t>
      </w:r>
      <w:r>
        <w:rPr>
          <w:rFonts w:eastAsia="TimesNewRomanPS-BoldMT"/>
        </w:rPr>
        <w:t>Accesul autospecialelor de intervenție - caz general</w:t>
      </w:r>
      <w:bookmarkEnd w:id="2782"/>
      <w:bookmarkEnd w:id="2783"/>
      <w:bookmarkEnd w:id="2784"/>
      <w:bookmarkEnd w:id="2785"/>
      <w:bookmarkEnd w:id="2786"/>
      <w:bookmarkEnd w:id="2787"/>
      <w:bookmarkEnd w:id="2788"/>
      <w:bookmarkEnd w:id="2789"/>
      <w:bookmarkEnd w:id="2790"/>
      <w:bookmarkEnd w:id="2791"/>
      <w:bookmarkEnd w:id="2792"/>
      <w:bookmarkEnd w:id="2793"/>
    </w:p>
    <w:p w14:paraId="2E6EA535" w14:textId="77777777" w:rsidR="001C08A5" w:rsidRDefault="00000000">
      <w:pPr>
        <w:ind w:left="72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circulațiile carosabile, vor fi dimensionate astfel încat să fie accesibile autospecialelor de intervenție potrivit caracteristicilor tehnice menționate la </w:t>
      </w:r>
      <w:r>
        <w:rPr>
          <w:rFonts w:eastAsia="TimesNewRomanPSMT"/>
          <w:b/>
          <w:bCs/>
          <w:sz w:val="24"/>
          <w:szCs w:val="24"/>
        </w:rPr>
        <w:t>Art. 2.6.3</w:t>
      </w:r>
      <w:r>
        <w:rPr>
          <w:rFonts w:eastAsia="TimesNewRomanPSMT"/>
          <w:sz w:val="24"/>
          <w:szCs w:val="24"/>
        </w:rPr>
        <w:t>;</w:t>
      </w:r>
    </w:p>
    <w:p w14:paraId="65C4B87F" w14:textId="77777777" w:rsidR="001C08A5" w:rsidRDefault="00000000">
      <w:pPr>
        <w:ind w:left="72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pe traseul autospecialei de intevenție, înalțimea liberă va fi: minim </w:t>
      </w:r>
      <w:r>
        <w:rPr>
          <w:rFonts w:eastAsia="TimesNewRomanPSMT"/>
          <w:b/>
          <w:bCs/>
          <w:sz w:val="24"/>
          <w:szCs w:val="24"/>
        </w:rPr>
        <w:t>4,20 m</w:t>
      </w:r>
    </w:p>
    <w:p w14:paraId="46E6BC99" w14:textId="77777777" w:rsidR="001C08A5" w:rsidRDefault="00000000">
      <w:pPr>
        <w:ind w:left="72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distanța minimă de la construcție pană la circulația carosabilă: </w:t>
      </w:r>
      <w:r>
        <w:rPr>
          <w:rFonts w:eastAsia="TimesNewRomanPSMT"/>
          <w:b/>
          <w:bCs/>
          <w:sz w:val="24"/>
          <w:szCs w:val="24"/>
        </w:rPr>
        <w:t>3,00 m</w:t>
      </w:r>
    </w:p>
    <w:p w14:paraId="1CDE18F8" w14:textId="77777777" w:rsidR="001C08A5" w:rsidRDefault="00000000">
      <w:pPr>
        <w:ind w:left="72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distanța maximă de la construcție până la circulația carosabilă sau locul de amplasare al autospecialei de intervenție: </w:t>
      </w:r>
      <w:r>
        <w:rPr>
          <w:rFonts w:eastAsia="TimesNewRomanPSMT"/>
          <w:b/>
          <w:bCs/>
          <w:sz w:val="24"/>
          <w:szCs w:val="24"/>
        </w:rPr>
        <w:t>10,00 m</w:t>
      </w:r>
    </w:p>
    <w:p w14:paraId="0F709E57" w14:textId="77777777" w:rsidR="001C08A5" w:rsidRDefault="00000000">
      <w:pPr>
        <w:ind w:left="72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construcțiile cu înălțimea </w:t>
      </w:r>
      <w:r>
        <w:rPr>
          <w:rFonts w:eastAsia="TimesNewRomanPSMT"/>
          <w:b/>
          <w:bCs/>
          <w:sz w:val="24"/>
          <w:szCs w:val="24"/>
        </w:rPr>
        <w:t>h ≤ 15,00 m</w:t>
      </w:r>
      <w:r>
        <w:rPr>
          <w:rFonts w:eastAsia="TimesNewRomanPSMT"/>
          <w:sz w:val="24"/>
          <w:szCs w:val="24"/>
        </w:rPr>
        <w:t xml:space="preserve"> (măsurată de la nivelul de referință până la cota de călcare a ultimului nivel folosit de utilizatori) nu sunt obligatorii sa fie prevăzute cu loc pentru calarea autospecialei de intervenție,</w:t>
      </w:r>
    </w:p>
    <w:p w14:paraId="6E772494" w14:textId="77777777" w:rsidR="001C08A5" w:rsidRDefault="00000000">
      <w:pPr>
        <w:ind w:left="72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la cel puțin o fațadă a clădirii, se va prevedea câte o zonă pentru calarea autospecialei de intervenție (la fiecare </w:t>
      </w:r>
      <w:r>
        <w:rPr>
          <w:rFonts w:eastAsia="TimesNewRomanPSMT"/>
          <w:b/>
          <w:bCs/>
          <w:sz w:val="24"/>
          <w:szCs w:val="24"/>
        </w:rPr>
        <w:t>50,00 m</w:t>
      </w:r>
      <w:r>
        <w:rPr>
          <w:rFonts w:eastAsia="TimesNewRomanPSMT"/>
          <w:sz w:val="24"/>
          <w:szCs w:val="24"/>
        </w:rPr>
        <w:t xml:space="preserve"> liniari) cu dimensiunea: </w:t>
      </w:r>
      <w:r>
        <w:rPr>
          <w:rFonts w:eastAsia="TimesNewRomanPSMT"/>
          <w:b/>
          <w:bCs/>
          <w:sz w:val="24"/>
          <w:szCs w:val="24"/>
        </w:rPr>
        <w:t>6,00 m x 12,50 m</w:t>
      </w:r>
      <w:r>
        <w:rPr>
          <w:rFonts w:eastAsia="TimesNewRomanPSMT"/>
          <w:sz w:val="24"/>
          <w:szCs w:val="24"/>
        </w:rPr>
        <w:t xml:space="preserve"> (doar pentru construcțiile cu înălțimea cuprinsă între </w:t>
      </w:r>
      <w:r>
        <w:rPr>
          <w:rFonts w:eastAsia="TimesNewRomanPSMT"/>
          <w:b/>
          <w:bCs/>
          <w:sz w:val="24"/>
          <w:szCs w:val="24"/>
        </w:rPr>
        <w:t>15,00 m &lt; h &lt; 28,00 m</w:t>
      </w:r>
      <w:r>
        <w:rPr>
          <w:rFonts w:eastAsia="TimesNewRomanPSMT"/>
          <w:sz w:val="24"/>
          <w:szCs w:val="24"/>
        </w:rPr>
        <w:t xml:space="preserve">, măsurată de la nivelul de referință până la cota de călcare a ultimului nivel folosit de utilizatori, </w:t>
      </w:r>
      <w:r>
        <w:rPr>
          <w:rFonts w:eastAsia="TimesNewRomanPS-BoldMT"/>
          <w:bCs/>
          <w:sz w:val="24"/>
          <w:szCs w:val="24"/>
        </w:rPr>
        <w:t xml:space="preserve">conform </w:t>
      </w:r>
      <w:r>
        <w:rPr>
          <w:rFonts w:cs="Mangal"/>
          <w:b/>
          <w:i/>
          <w:iCs/>
          <w:sz w:val="24"/>
          <w:szCs w:val="24"/>
        </w:rPr>
        <w:fldChar w:fldCharType="begin"/>
      </w:r>
      <w:r>
        <w:rPr>
          <w:rFonts w:cs="Mangal"/>
          <w:b/>
          <w:i/>
          <w:iCs/>
          <w:sz w:val="24"/>
          <w:szCs w:val="24"/>
        </w:rPr>
        <w:instrText xml:space="preserve"> REF _Ref19286 \h </w:instrText>
      </w:r>
      <w:r>
        <w:rPr>
          <w:rFonts w:cs="Mangal"/>
          <w:b/>
          <w:i/>
          <w:iCs/>
          <w:sz w:val="24"/>
          <w:szCs w:val="24"/>
        </w:rPr>
      </w:r>
      <w:r>
        <w:rPr>
          <w:rFonts w:cs="Mangal"/>
          <w:b/>
          <w:i/>
          <w:iCs/>
          <w:sz w:val="24"/>
          <w:szCs w:val="24"/>
        </w:rPr>
        <w:fldChar w:fldCharType="separate"/>
      </w:r>
      <w:r>
        <w:t>Figura 65</w:t>
      </w:r>
      <w:r>
        <w:rPr>
          <w:rFonts w:cs="Mangal"/>
          <w:b/>
          <w:i/>
          <w:iCs/>
          <w:sz w:val="24"/>
          <w:szCs w:val="24"/>
        </w:rPr>
        <w:fldChar w:fldCharType="end"/>
      </w:r>
      <w:r>
        <w:rPr>
          <w:rFonts w:eastAsia="TimesNewRomanPS-BoldMT"/>
          <w:bCs/>
          <w:sz w:val="24"/>
          <w:szCs w:val="24"/>
        </w:rPr>
        <w:t xml:space="preserve"> varianta a</w:t>
      </w:r>
      <w:r>
        <w:rPr>
          <w:rFonts w:eastAsia="TimesNewRomanPSMT"/>
          <w:sz w:val="24"/>
          <w:szCs w:val="24"/>
        </w:rPr>
        <w:t>);</w:t>
      </w:r>
    </w:p>
    <w:p w14:paraId="6BC32BB6" w14:textId="77777777" w:rsidR="001C08A5" w:rsidRDefault="00000000">
      <w:pPr>
        <w:ind w:left="72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la cel puțin două fațade ale clădirii, se va prevedea câte o zonă pentru calarea autospecialei de intervenție (la fiecare </w:t>
      </w:r>
      <w:r>
        <w:rPr>
          <w:rFonts w:eastAsia="TimesNewRomanPSMT"/>
          <w:b/>
          <w:bCs/>
          <w:sz w:val="24"/>
          <w:szCs w:val="24"/>
        </w:rPr>
        <w:t>50,00 m</w:t>
      </w:r>
      <w:r>
        <w:rPr>
          <w:rFonts w:eastAsia="TimesNewRomanPSMT"/>
          <w:sz w:val="24"/>
          <w:szCs w:val="24"/>
        </w:rPr>
        <w:t xml:space="preserve"> liniari) cu dimensiunea: </w:t>
      </w:r>
      <w:r>
        <w:rPr>
          <w:rFonts w:eastAsia="TimesNewRomanPSMT"/>
          <w:b/>
          <w:bCs/>
          <w:sz w:val="24"/>
          <w:szCs w:val="24"/>
        </w:rPr>
        <w:t>8,20 m x 12,50 m</w:t>
      </w:r>
      <w:r>
        <w:rPr>
          <w:rFonts w:eastAsia="TimesNewRomanPSMT"/>
          <w:sz w:val="24"/>
          <w:szCs w:val="24"/>
        </w:rPr>
        <w:t xml:space="preserve"> (doar pentru construcțiile cu înălțimea </w:t>
      </w:r>
      <w:bookmarkStart w:id="2794" w:name="_Hlk151969964"/>
      <w:r>
        <w:rPr>
          <w:rFonts w:eastAsia="TimesNewRomanPSMT"/>
          <w:b/>
          <w:bCs/>
          <w:sz w:val="24"/>
          <w:szCs w:val="24"/>
        </w:rPr>
        <w:t>h ≥ 28,00 m</w:t>
      </w:r>
      <w:bookmarkEnd w:id="2794"/>
      <w:r>
        <w:rPr>
          <w:rFonts w:eastAsia="TimesNewRomanPSMT"/>
          <w:sz w:val="24"/>
          <w:szCs w:val="24"/>
        </w:rPr>
        <w:t xml:space="preserve">, măsurată de la nivelul de referință până la cota de călcare a ultimului nivel folosit de utilizatori, </w:t>
      </w:r>
      <w:r>
        <w:rPr>
          <w:rFonts w:eastAsia="TimesNewRomanPS-BoldMT"/>
          <w:bCs/>
          <w:sz w:val="24"/>
          <w:szCs w:val="24"/>
        </w:rPr>
        <w:t xml:space="preserve">conform </w:t>
      </w:r>
      <w:r>
        <w:rPr>
          <w:rFonts w:cs="Mangal"/>
          <w:b/>
          <w:i/>
          <w:iCs/>
          <w:sz w:val="24"/>
          <w:szCs w:val="24"/>
        </w:rPr>
        <w:fldChar w:fldCharType="begin"/>
      </w:r>
      <w:r>
        <w:rPr>
          <w:rFonts w:cs="Mangal"/>
          <w:b/>
          <w:i/>
          <w:iCs/>
          <w:sz w:val="24"/>
          <w:szCs w:val="24"/>
        </w:rPr>
        <w:instrText xml:space="preserve"> REF _Ref19286 \h </w:instrText>
      </w:r>
      <w:r>
        <w:rPr>
          <w:rFonts w:cs="Mangal"/>
          <w:b/>
          <w:i/>
          <w:iCs/>
          <w:sz w:val="24"/>
          <w:szCs w:val="24"/>
        </w:rPr>
      </w:r>
      <w:r>
        <w:rPr>
          <w:rFonts w:cs="Mangal"/>
          <w:b/>
          <w:i/>
          <w:iCs/>
          <w:sz w:val="24"/>
          <w:szCs w:val="24"/>
        </w:rPr>
        <w:fldChar w:fldCharType="separate"/>
      </w:r>
      <w:r>
        <w:t>Figura 65</w:t>
      </w:r>
      <w:r>
        <w:rPr>
          <w:rFonts w:cs="Mangal"/>
          <w:b/>
          <w:i/>
          <w:iCs/>
          <w:sz w:val="24"/>
          <w:szCs w:val="24"/>
        </w:rPr>
        <w:fldChar w:fldCharType="end"/>
      </w:r>
      <w:r>
        <w:rPr>
          <w:rFonts w:eastAsia="TimesNewRomanPS-BoldMT"/>
          <w:bCs/>
          <w:sz w:val="24"/>
          <w:szCs w:val="24"/>
        </w:rPr>
        <w:t xml:space="preserve"> varianta b</w:t>
      </w:r>
      <w:r>
        <w:rPr>
          <w:rFonts w:eastAsia="TimesNewRomanPSMT"/>
          <w:sz w:val="24"/>
          <w:szCs w:val="24"/>
        </w:rPr>
        <w:t>);</w:t>
      </w:r>
    </w:p>
    <w:p w14:paraId="3970DF53" w14:textId="77777777" w:rsidR="001C08A5" w:rsidRDefault="00000000">
      <w:pPr>
        <w:ind w:left="720" w:firstLine="720"/>
        <w:jc w:val="both"/>
        <w:rPr>
          <w:rFonts w:eastAsia="TimesNewRomanPSMT"/>
          <w:sz w:val="24"/>
          <w:szCs w:val="24"/>
        </w:rPr>
      </w:pPr>
      <w:r>
        <w:rPr>
          <w:rFonts w:eastAsia="Calibri"/>
          <w:sz w:val="24"/>
          <w:szCs w:val="24"/>
        </w:rPr>
        <w:lastRenderedPageBreak/>
        <w:t xml:space="preserve">- </w:t>
      </w:r>
      <w:r>
        <w:rPr>
          <w:rFonts w:eastAsia="TimesNewRomanPSMT"/>
          <w:sz w:val="24"/>
          <w:szCs w:val="24"/>
        </w:rPr>
        <w:t>în incinta construcțiilor în care accesul autospecialelor se face prin intermediul unui punct prevăzut cu bariera, aceasta se va prevedea cu deschidere automată în caz de incendiu în toate situațiile în care construcția este prevăzută cu sistem de detectare, semnalizare și alarmare a incendiului.</w:t>
      </w:r>
    </w:p>
    <w:p w14:paraId="3A3456E2" w14:textId="77777777" w:rsidR="001C08A5" w:rsidRDefault="00000000">
      <w:pPr>
        <w:ind w:left="720" w:firstLine="720"/>
        <w:jc w:val="both"/>
        <w:rPr>
          <w:rFonts w:eastAsia="TimesNewRomanPSMT"/>
          <w:sz w:val="24"/>
          <w:szCs w:val="24"/>
        </w:rPr>
      </w:pPr>
      <w:r>
        <w:rPr>
          <w:rFonts w:eastAsia="TimesNewRomanPSMT"/>
          <w:sz w:val="24"/>
          <w:szCs w:val="24"/>
        </w:rPr>
        <w:t>- c</w:t>
      </w:r>
      <w:r>
        <w:rPr>
          <w:sz w:val="24"/>
          <w:szCs w:val="24"/>
        </w:rPr>
        <w:t xml:space="preserve">ăile de circulație și acces de tip înfundat cu lungimi mai mari de </w:t>
      </w:r>
      <w:r>
        <w:rPr>
          <w:b/>
          <w:bCs/>
          <w:sz w:val="24"/>
          <w:szCs w:val="24"/>
        </w:rPr>
        <w:t>100 m</w:t>
      </w:r>
      <w:r>
        <w:rPr>
          <w:sz w:val="24"/>
          <w:szCs w:val="24"/>
        </w:rPr>
        <w:t>, vor avea suficient spațiu asigurat pentru manevră și întoarcere a autospecialelor de intervenție (inclusiv în interiorul amplasamentelor),  indiferent de destinația și regimul de înălțime ale construcțiilor.</w:t>
      </w:r>
    </w:p>
    <w:p w14:paraId="04F5ECE1" w14:textId="77777777" w:rsidR="001C08A5" w:rsidRDefault="00000000">
      <w:pPr>
        <w:ind w:left="720" w:firstLine="720"/>
        <w:jc w:val="both"/>
        <w:rPr>
          <w:rFonts w:eastAsia="TimesNewRomanPSMT"/>
          <w:sz w:val="24"/>
          <w:szCs w:val="24"/>
        </w:rPr>
      </w:pPr>
      <w:r>
        <w:rPr>
          <w:bCs/>
          <w:sz w:val="24"/>
          <w:szCs w:val="24"/>
        </w:rPr>
        <w:t xml:space="preserve">- în situația în care în interiorul amplasamentelor/incintelor accesul carosabil accesibil autospecialelor de intervenție depășește lungimea de </w:t>
      </w:r>
      <w:r>
        <w:rPr>
          <w:b/>
          <w:bCs/>
          <w:sz w:val="24"/>
          <w:szCs w:val="24"/>
        </w:rPr>
        <w:t>30,00 m</w:t>
      </w:r>
      <w:r>
        <w:rPr>
          <w:bCs/>
          <w:sz w:val="24"/>
          <w:szCs w:val="24"/>
        </w:rPr>
        <w:t>, se vor asigura două benzi de circulație cu lățimea totală de</w:t>
      </w:r>
      <w:r>
        <w:rPr>
          <w:b/>
          <w:bCs/>
          <w:sz w:val="24"/>
          <w:szCs w:val="24"/>
        </w:rPr>
        <w:t xml:space="preserve"> min 7,00 m</w:t>
      </w:r>
      <w:r>
        <w:rPr>
          <w:bCs/>
          <w:sz w:val="24"/>
          <w:szCs w:val="24"/>
        </w:rPr>
        <w:t>.</w:t>
      </w:r>
    </w:p>
    <w:p w14:paraId="698D1FDE" w14:textId="77777777" w:rsidR="001C08A5" w:rsidRDefault="001C08A5">
      <w:pPr>
        <w:tabs>
          <w:tab w:val="left" w:pos="4230"/>
        </w:tabs>
        <w:jc w:val="center"/>
        <w:rPr>
          <w:rFonts w:eastAsia="TimesNewRomanPSMT"/>
          <w:sz w:val="24"/>
          <w:szCs w:val="24"/>
          <w:lang w:eastAsia="ro-RO"/>
        </w:rPr>
      </w:pPr>
    </w:p>
    <w:p w14:paraId="660C8753" w14:textId="77777777" w:rsidR="001C08A5" w:rsidRDefault="00000000">
      <w:pPr>
        <w:tabs>
          <w:tab w:val="left" w:pos="4230"/>
        </w:tabs>
        <w:jc w:val="center"/>
        <w:rPr>
          <w:rFonts w:eastAsia="TimesNewRomanPSMT"/>
          <w:sz w:val="24"/>
          <w:szCs w:val="24"/>
          <w:lang w:eastAsia="ro-RO"/>
        </w:rPr>
      </w:pPr>
      <w:r>
        <w:rPr>
          <w:noProof/>
        </w:rPr>
        <w:drawing>
          <wp:inline distT="0" distB="0" distL="114300" distR="114300" wp14:anchorId="14334000" wp14:editId="0D2AFAF9">
            <wp:extent cx="5727700" cy="3077210"/>
            <wp:effectExtent l="0" t="0" r="6350" b="8890"/>
            <wp:docPr id="4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
                    <pic:cNvPicPr>
                      <a:picLocks noChangeAspect="1"/>
                    </pic:cNvPicPr>
                  </pic:nvPicPr>
                  <pic:blipFill>
                    <a:blip r:embed="rId177"/>
                    <a:srcRect l="15704" t="2445" r="8466" b="3513"/>
                    <a:stretch>
                      <a:fillRect/>
                    </a:stretch>
                  </pic:blipFill>
                  <pic:spPr>
                    <a:xfrm>
                      <a:off x="0" y="0"/>
                      <a:ext cx="5727700" cy="3077210"/>
                    </a:xfrm>
                    <a:prstGeom prst="rect">
                      <a:avLst/>
                    </a:prstGeom>
                    <a:noFill/>
                    <a:ln>
                      <a:noFill/>
                    </a:ln>
                  </pic:spPr>
                </pic:pic>
              </a:graphicData>
            </a:graphic>
          </wp:inline>
        </w:drawing>
      </w:r>
    </w:p>
    <w:p w14:paraId="09B068C7" w14:textId="77777777" w:rsidR="001C08A5" w:rsidRDefault="00000000">
      <w:pPr>
        <w:widowControl w:val="0"/>
        <w:jc w:val="center"/>
        <w:rPr>
          <w:rFonts w:eastAsia="TimesNewRomanPSMT"/>
          <w:b/>
          <w:bCs/>
          <w:i/>
          <w:iCs/>
          <w:sz w:val="22"/>
          <w:szCs w:val="22"/>
        </w:rPr>
      </w:pPr>
      <w:r>
        <w:rPr>
          <w:b/>
          <w:bCs/>
          <w:i/>
          <w:iCs/>
          <w:sz w:val="22"/>
          <w:szCs w:val="22"/>
        </w:rPr>
        <w:t xml:space="preserve">Varianta a) </w:t>
      </w:r>
      <w:r>
        <w:rPr>
          <w:rFonts w:eastAsia="TimesNewRomanPSMT"/>
          <w:b/>
          <w:bCs/>
          <w:i/>
          <w:iCs/>
          <w:sz w:val="22"/>
          <w:szCs w:val="22"/>
        </w:rPr>
        <w:t xml:space="preserve">la cel puțin o fațadă a clădirii (pentru construcțiile cu înălțimea </w:t>
      </w:r>
    </w:p>
    <w:p w14:paraId="4FB043CD" w14:textId="77777777" w:rsidR="001C08A5" w:rsidRDefault="00000000">
      <w:pPr>
        <w:widowControl w:val="0"/>
        <w:jc w:val="center"/>
        <w:rPr>
          <w:b/>
          <w:bCs/>
          <w:i/>
          <w:iCs/>
          <w:sz w:val="22"/>
          <w:szCs w:val="22"/>
        </w:rPr>
      </w:pPr>
      <w:r>
        <w:rPr>
          <w:rFonts w:eastAsia="TimesNewRomanPSMT"/>
          <w:b/>
          <w:bCs/>
          <w:i/>
          <w:iCs/>
          <w:sz w:val="22"/>
          <w:szCs w:val="22"/>
        </w:rPr>
        <w:t xml:space="preserve">cuprinsă între 15,00 m </w:t>
      </w:r>
      <w:r>
        <w:rPr>
          <w:rFonts w:eastAsia="TimesNewRomanPSMT"/>
          <w:b/>
          <w:bCs/>
          <w:sz w:val="24"/>
          <w:szCs w:val="24"/>
        </w:rPr>
        <w:t>&lt;</w:t>
      </w:r>
      <w:r>
        <w:rPr>
          <w:rFonts w:eastAsia="TimesNewRomanPSMT"/>
          <w:b/>
          <w:bCs/>
          <w:i/>
          <w:iCs/>
          <w:sz w:val="22"/>
          <w:szCs w:val="22"/>
        </w:rPr>
        <w:t xml:space="preserve"> h &lt; 28,00 m, măsurată de la nivelul de referință până la cota de călcare a ultimului nivel folosit de utilizatori);</w:t>
      </w:r>
    </w:p>
    <w:p w14:paraId="38260170" w14:textId="77777777" w:rsidR="001C08A5" w:rsidRDefault="001C08A5">
      <w:pPr>
        <w:ind w:left="720"/>
        <w:jc w:val="both"/>
        <w:rPr>
          <w:rFonts w:eastAsia="TimesNewRomanPSMT"/>
          <w:sz w:val="24"/>
          <w:szCs w:val="24"/>
        </w:rPr>
      </w:pPr>
    </w:p>
    <w:p w14:paraId="25120A18" w14:textId="77777777" w:rsidR="001C08A5" w:rsidRDefault="001C08A5">
      <w:pPr>
        <w:jc w:val="both"/>
        <w:rPr>
          <w:lang w:eastAsia="ro-RO"/>
        </w:rPr>
      </w:pPr>
    </w:p>
    <w:p w14:paraId="4019FD7B" w14:textId="77777777" w:rsidR="001C08A5" w:rsidRDefault="00000000">
      <w:pPr>
        <w:jc w:val="center"/>
        <w:rPr>
          <w:lang w:eastAsia="ro-RO"/>
        </w:rPr>
      </w:pPr>
      <w:r>
        <w:rPr>
          <w:noProof/>
        </w:rPr>
        <w:drawing>
          <wp:inline distT="0" distB="0" distL="114300" distR="114300" wp14:anchorId="44EAD40F" wp14:editId="7FD626BA">
            <wp:extent cx="5715000" cy="3388360"/>
            <wp:effectExtent l="0" t="0" r="0" b="2540"/>
            <wp:docPr id="4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3"/>
                    <pic:cNvPicPr>
                      <a:picLocks noChangeAspect="1"/>
                    </pic:cNvPicPr>
                  </pic:nvPicPr>
                  <pic:blipFill>
                    <a:blip r:embed="rId178"/>
                    <a:srcRect l="15713" t="10289" r="8580"/>
                    <a:stretch>
                      <a:fillRect/>
                    </a:stretch>
                  </pic:blipFill>
                  <pic:spPr>
                    <a:xfrm>
                      <a:off x="0" y="0"/>
                      <a:ext cx="5715000" cy="3388360"/>
                    </a:xfrm>
                    <a:prstGeom prst="rect">
                      <a:avLst/>
                    </a:prstGeom>
                    <a:noFill/>
                    <a:ln>
                      <a:noFill/>
                    </a:ln>
                  </pic:spPr>
                </pic:pic>
              </a:graphicData>
            </a:graphic>
          </wp:inline>
        </w:drawing>
      </w:r>
    </w:p>
    <w:p w14:paraId="401E2B74" w14:textId="77777777" w:rsidR="001C08A5" w:rsidRDefault="00000000">
      <w:pPr>
        <w:pStyle w:val="Default"/>
        <w:jc w:val="center"/>
        <w:rPr>
          <w:rFonts w:ascii="Times New Roman" w:eastAsia="TimesNewRomanPSMT" w:hAnsi="Times New Roman" w:cs="Times New Roman"/>
          <w:b/>
          <w:bCs/>
          <w:i/>
          <w:iCs/>
          <w:color w:val="auto"/>
          <w:sz w:val="22"/>
          <w:szCs w:val="22"/>
        </w:rPr>
      </w:pPr>
      <w:r>
        <w:rPr>
          <w:rFonts w:ascii="Times New Roman" w:hAnsi="Times New Roman" w:cs="Times New Roman"/>
          <w:b/>
          <w:bCs/>
          <w:i/>
          <w:iCs/>
          <w:color w:val="auto"/>
          <w:sz w:val="22"/>
          <w:szCs w:val="22"/>
          <w:lang w:val="ro-RO"/>
        </w:rPr>
        <w:lastRenderedPageBreak/>
        <w:t xml:space="preserve">Varianta b) </w:t>
      </w:r>
      <w:r>
        <w:rPr>
          <w:rFonts w:ascii="Times New Roman" w:eastAsia="TimesNewRomanPSMT" w:hAnsi="Times New Roman" w:cs="Times New Roman"/>
          <w:b/>
          <w:bCs/>
          <w:i/>
          <w:iCs/>
          <w:color w:val="auto"/>
          <w:sz w:val="22"/>
          <w:szCs w:val="22"/>
        </w:rPr>
        <w:t>la cel pu</w:t>
      </w:r>
      <w:r>
        <w:rPr>
          <w:rFonts w:ascii="Times New Roman" w:eastAsia="TimesNewRomanPSMT" w:hAnsi="Times New Roman" w:cs="Times New Roman"/>
          <w:b/>
          <w:bCs/>
          <w:i/>
          <w:iCs/>
          <w:color w:val="auto"/>
          <w:sz w:val="22"/>
          <w:szCs w:val="22"/>
          <w:lang w:val="ro-RO"/>
        </w:rPr>
        <w:t>ț</w:t>
      </w:r>
      <w:r>
        <w:rPr>
          <w:rFonts w:ascii="Times New Roman" w:eastAsia="TimesNewRomanPSMT" w:hAnsi="Times New Roman" w:cs="Times New Roman"/>
          <w:b/>
          <w:bCs/>
          <w:i/>
          <w:iCs/>
          <w:color w:val="auto"/>
          <w:sz w:val="22"/>
          <w:szCs w:val="22"/>
        </w:rPr>
        <w:t xml:space="preserve">in </w:t>
      </w:r>
      <w:r>
        <w:rPr>
          <w:rFonts w:ascii="Times New Roman" w:eastAsia="TimesNewRomanPSMT" w:hAnsi="Times New Roman" w:cs="Times New Roman"/>
          <w:b/>
          <w:bCs/>
          <w:i/>
          <w:iCs/>
          <w:color w:val="auto"/>
          <w:sz w:val="22"/>
          <w:szCs w:val="22"/>
          <w:lang w:val="ro-RO"/>
        </w:rPr>
        <w:t>două</w:t>
      </w:r>
      <w:r>
        <w:rPr>
          <w:rFonts w:ascii="Times New Roman" w:eastAsia="TimesNewRomanPSMT" w:hAnsi="Times New Roman" w:cs="Times New Roman"/>
          <w:b/>
          <w:bCs/>
          <w:i/>
          <w:iCs/>
          <w:color w:val="auto"/>
          <w:sz w:val="22"/>
          <w:szCs w:val="22"/>
        </w:rPr>
        <w:t xml:space="preserve"> fa</w:t>
      </w:r>
      <w:r>
        <w:rPr>
          <w:rFonts w:ascii="Times New Roman" w:eastAsia="TimesNewRomanPSMT" w:hAnsi="Times New Roman" w:cs="Times New Roman"/>
          <w:b/>
          <w:bCs/>
          <w:i/>
          <w:iCs/>
          <w:color w:val="auto"/>
          <w:sz w:val="22"/>
          <w:szCs w:val="22"/>
          <w:lang w:val="ro-RO"/>
        </w:rPr>
        <w:t>ț</w:t>
      </w:r>
      <w:r>
        <w:rPr>
          <w:rFonts w:ascii="Times New Roman" w:eastAsia="TimesNewRomanPSMT" w:hAnsi="Times New Roman" w:cs="Times New Roman"/>
          <w:b/>
          <w:bCs/>
          <w:i/>
          <w:iCs/>
          <w:color w:val="auto"/>
          <w:sz w:val="22"/>
          <w:szCs w:val="22"/>
        </w:rPr>
        <w:t>ad</w:t>
      </w:r>
      <w:r>
        <w:rPr>
          <w:rFonts w:ascii="Times New Roman" w:eastAsia="TimesNewRomanPSMT" w:hAnsi="Times New Roman" w:cs="Times New Roman"/>
          <w:b/>
          <w:bCs/>
          <w:i/>
          <w:iCs/>
          <w:color w:val="auto"/>
          <w:sz w:val="22"/>
          <w:szCs w:val="22"/>
          <w:lang w:val="ro-RO"/>
        </w:rPr>
        <w:t>e ale</w:t>
      </w:r>
      <w:r>
        <w:rPr>
          <w:rFonts w:ascii="Times New Roman" w:eastAsia="TimesNewRomanPSMT" w:hAnsi="Times New Roman" w:cs="Times New Roman"/>
          <w:b/>
          <w:bCs/>
          <w:i/>
          <w:iCs/>
          <w:color w:val="auto"/>
          <w:sz w:val="22"/>
          <w:szCs w:val="22"/>
        </w:rPr>
        <w:t xml:space="preserve"> cl</w:t>
      </w:r>
      <w:r>
        <w:rPr>
          <w:rFonts w:ascii="Times New Roman" w:eastAsia="TimesNewRomanPSMT" w:hAnsi="Times New Roman" w:cs="Times New Roman"/>
          <w:b/>
          <w:bCs/>
          <w:i/>
          <w:iCs/>
          <w:color w:val="auto"/>
          <w:sz w:val="22"/>
          <w:szCs w:val="22"/>
          <w:lang w:val="ro-RO"/>
        </w:rPr>
        <w:t>ă</w:t>
      </w:r>
      <w:r>
        <w:rPr>
          <w:rFonts w:ascii="Times New Roman" w:eastAsia="TimesNewRomanPSMT" w:hAnsi="Times New Roman" w:cs="Times New Roman"/>
          <w:b/>
          <w:bCs/>
          <w:i/>
          <w:iCs/>
          <w:color w:val="auto"/>
          <w:sz w:val="22"/>
          <w:szCs w:val="22"/>
        </w:rPr>
        <w:t>dirii</w:t>
      </w:r>
      <w:r>
        <w:rPr>
          <w:rFonts w:ascii="Times New Roman" w:eastAsia="TimesNewRomanPSMT" w:hAnsi="Times New Roman" w:cs="Times New Roman"/>
          <w:b/>
          <w:bCs/>
          <w:i/>
          <w:iCs/>
          <w:color w:val="auto"/>
          <w:sz w:val="22"/>
          <w:szCs w:val="22"/>
          <w:lang w:val="ro-RO"/>
        </w:rPr>
        <w:t xml:space="preserve"> </w:t>
      </w:r>
      <w:r>
        <w:rPr>
          <w:rFonts w:ascii="Times New Roman" w:eastAsia="TimesNewRomanPSMT" w:hAnsi="Times New Roman" w:cs="Times New Roman"/>
          <w:b/>
          <w:bCs/>
          <w:i/>
          <w:iCs/>
          <w:color w:val="auto"/>
          <w:sz w:val="22"/>
          <w:szCs w:val="22"/>
        </w:rPr>
        <w:t xml:space="preserve">(pentru </w:t>
      </w:r>
      <w:r>
        <w:rPr>
          <w:rFonts w:ascii="Times New Roman" w:eastAsia="TimesNewRomanPSMT" w:hAnsi="Times New Roman" w:cs="Times New Roman"/>
          <w:b/>
          <w:bCs/>
          <w:i/>
          <w:iCs/>
          <w:color w:val="auto"/>
          <w:sz w:val="22"/>
          <w:szCs w:val="22"/>
          <w:lang w:val="ro-RO"/>
        </w:rPr>
        <w:t>construcții</w:t>
      </w:r>
      <w:r>
        <w:rPr>
          <w:rFonts w:ascii="Times New Roman" w:eastAsia="TimesNewRomanPSMT" w:hAnsi="Times New Roman" w:cs="Times New Roman"/>
          <w:b/>
          <w:bCs/>
          <w:i/>
          <w:iCs/>
          <w:color w:val="auto"/>
          <w:sz w:val="22"/>
          <w:szCs w:val="22"/>
        </w:rPr>
        <w:t xml:space="preserve">le cu </w:t>
      </w:r>
      <w:r>
        <w:rPr>
          <w:rFonts w:ascii="Times New Roman" w:eastAsia="TimesNewRomanPSMT" w:hAnsi="Times New Roman" w:cs="Times New Roman"/>
          <w:b/>
          <w:bCs/>
          <w:i/>
          <w:iCs/>
          <w:color w:val="auto"/>
          <w:sz w:val="22"/>
          <w:szCs w:val="22"/>
          <w:lang w:val="ro-RO"/>
        </w:rPr>
        <w:t>î</w:t>
      </w:r>
      <w:r>
        <w:rPr>
          <w:rFonts w:ascii="Times New Roman" w:eastAsia="TimesNewRomanPSMT" w:hAnsi="Times New Roman" w:cs="Times New Roman"/>
          <w:b/>
          <w:bCs/>
          <w:i/>
          <w:iCs/>
          <w:color w:val="auto"/>
          <w:sz w:val="22"/>
          <w:szCs w:val="22"/>
        </w:rPr>
        <w:t>n</w:t>
      </w:r>
      <w:r>
        <w:rPr>
          <w:rFonts w:ascii="Times New Roman" w:eastAsia="TimesNewRomanPSMT" w:hAnsi="Times New Roman" w:cs="Times New Roman"/>
          <w:b/>
          <w:bCs/>
          <w:i/>
          <w:iCs/>
          <w:color w:val="auto"/>
          <w:sz w:val="22"/>
          <w:szCs w:val="22"/>
          <w:lang w:val="ro-RO"/>
        </w:rPr>
        <w:t>ă</w:t>
      </w:r>
      <w:r>
        <w:rPr>
          <w:rFonts w:ascii="Times New Roman" w:eastAsia="TimesNewRomanPSMT" w:hAnsi="Times New Roman" w:cs="Times New Roman"/>
          <w:b/>
          <w:bCs/>
          <w:i/>
          <w:iCs/>
          <w:color w:val="auto"/>
          <w:sz w:val="22"/>
          <w:szCs w:val="22"/>
        </w:rPr>
        <w:t>l</w:t>
      </w:r>
      <w:r>
        <w:rPr>
          <w:rFonts w:ascii="Times New Roman" w:eastAsia="TimesNewRomanPSMT" w:hAnsi="Times New Roman" w:cs="Times New Roman"/>
          <w:b/>
          <w:bCs/>
          <w:i/>
          <w:iCs/>
          <w:color w:val="auto"/>
          <w:sz w:val="22"/>
          <w:szCs w:val="22"/>
          <w:lang w:val="ro-RO"/>
        </w:rPr>
        <w:t>ți</w:t>
      </w:r>
      <w:r>
        <w:rPr>
          <w:rFonts w:ascii="Times New Roman" w:eastAsia="TimesNewRomanPSMT" w:hAnsi="Times New Roman" w:cs="Times New Roman"/>
          <w:b/>
          <w:bCs/>
          <w:i/>
          <w:iCs/>
          <w:color w:val="auto"/>
          <w:sz w:val="22"/>
          <w:szCs w:val="22"/>
        </w:rPr>
        <w:t>mea</w:t>
      </w:r>
    </w:p>
    <w:p w14:paraId="6075DDD3" w14:textId="77777777" w:rsidR="001C08A5" w:rsidRDefault="00000000">
      <w:pPr>
        <w:pStyle w:val="Default"/>
        <w:jc w:val="center"/>
        <w:rPr>
          <w:rFonts w:ascii="Times New Roman" w:hAnsi="Times New Roman" w:cs="Times New Roman"/>
          <w:color w:val="auto"/>
        </w:rPr>
      </w:pPr>
      <w:r>
        <w:rPr>
          <w:rFonts w:ascii="Times New Roman" w:eastAsia="TimesNewRomanPSMT" w:hAnsi="Times New Roman" w:cs="Times New Roman"/>
          <w:b/>
          <w:bCs/>
          <w:i/>
          <w:iCs/>
          <w:color w:val="auto"/>
          <w:sz w:val="22"/>
          <w:szCs w:val="22"/>
        </w:rPr>
        <w:t>h ≥ 28</w:t>
      </w:r>
      <w:r>
        <w:rPr>
          <w:rFonts w:ascii="Times New Roman" w:eastAsia="TimesNewRomanPSMT" w:hAnsi="Times New Roman" w:cs="Times New Roman"/>
          <w:b/>
          <w:bCs/>
          <w:i/>
          <w:iCs/>
          <w:color w:val="auto"/>
          <w:sz w:val="22"/>
          <w:szCs w:val="22"/>
          <w:lang w:val="ro-RO"/>
        </w:rPr>
        <w:t>,00</w:t>
      </w:r>
      <w:r>
        <w:rPr>
          <w:rFonts w:ascii="Times New Roman" w:eastAsia="TimesNewRomanPSMT" w:hAnsi="Times New Roman" w:cs="Times New Roman"/>
          <w:b/>
          <w:bCs/>
          <w:i/>
          <w:iCs/>
          <w:color w:val="auto"/>
          <w:sz w:val="22"/>
          <w:szCs w:val="22"/>
        </w:rPr>
        <w:t xml:space="preserve"> m, m</w:t>
      </w:r>
      <w:r>
        <w:rPr>
          <w:rFonts w:ascii="Times New Roman" w:eastAsia="TimesNewRomanPSMT" w:hAnsi="Times New Roman" w:cs="Times New Roman"/>
          <w:b/>
          <w:bCs/>
          <w:i/>
          <w:iCs/>
          <w:color w:val="auto"/>
          <w:sz w:val="22"/>
          <w:szCs w:val="22"/>
          <w:lang w:val="ro-RO"/>
        </w:rPr>
        <w:t>ă</w:t>
      </w:r>
      <w:r>
        <w:rPr>
          <w:rFonts w:ascii="Times New Roman" w:eastAsia="TimesNewRomanPSMT" w:hAnsi="Times New Roman" w:cs="Times New Roman"/>
          <w:b/>
          <w:bCs/>
          <w:i/>
          <w:iCs/>
          <w:color w:val="auto"/>
          <w:sz w:val="22"/>
          <w:szCs w:val="22"/>
        </w:rPr>
        <w:t>surat</w:t>
      </w:r>
      <w:r>
        <w:rPr>
          <w:rFonts w:ascii="Times New Roman" w:eastAsia="TimesNewRomanPSMT" w:hAnsi="Times New Roman" w:cs="Times New Roman"/>
          <w:b/>
          <w:bCs/>
          <w:i/>
          <w:iCs/>
          <w:color w:val="auto"/>
          <w:sz w:val="22"/>
          <w:szCs w:val="22"/>
          <w:lang w:val="ro-RO"/>
        </w:rPr>
        <w:t>ă</w:t>
      </w:r>
      <w:r>
        <w:rPr>
          <w:rFonts w:ascii="Times New Roman" w:eastAsia="TimesNewRomanPSMT" w:hAnsi="Times New Roman" w:cs="Times New Roman"/>
          <w:b/>
          <w:bCs/>
          <w:i/>
          <w:iCs/>
          <w:color w:val="auto"/>
          <w:sz w:val="22"/>
          <w:szCs w:val="22"/>
        </w:rPr>
        <w:t xml:space="preserve"> de la nivelul de referin</w:t>
      </w:r>
      <w:r>
        <w:rPr>
          <w:rFonts w:ascii="Times New Roman" w:eastAsia="TimesNewRomanPSMT" w:hAnsi="Times New Roman" w:cs="Times New Roman"/>
          <w:b/>
          <w:bCs/>
          <w:i/>
          <w:iCs/>
          <w:color w:val="auto"/>
          <w:sz w:val="22"/>
          <w:szCs w:val="22"/>
          <w:lang w:val="ro-RO"/>
        </w:rPr>
        <w:t>ță</w:t>
      </w:r>
      <w:r>
        <w:t xml:space="preserve"> </w:t>
      </w:r>
      <w:r>
        <w:rPr>
          <w:rFonts w:ascii="Times New Roman" w:eastAsia="TimesNewRomanPSMT" w:hAnsi="Times New Roman" w:cs="Times New Roman"/>
          <w:b/>
          <w:bCs/>
          <w:i/>
          <w:iCs/>
          <w:color w:val="auto"/>
          <w:sz w:val="22"/>
          <w:szCs w:val="22"/>
          <w:lang w:val="ro-RO"/>
        </w:rPr>
        <w:t>până la cota de călcare a ultimului nivel folosit de utilizatori</w:t>
      </w:r>
      <w:r>
        <w:rPr>
          <w:rFonts w:ascii="Times New Roman" w:eastAsia="TimesNewRomanPSMT" w:hAnsi="Times New Roman" w:cs="Times New Roman"/>
          <w:b/>
          <w:bCs/>
          <w:i/>
          <w:iCs/>
          <w:color w:val="auto"/>
          <w:sz w:val="22"/>
          <w:szCs w:val="22"/>
        </w:rPr>
        <w:t>);</w:t>
      </w:r>
    </w:p>
    <w:p w14:paraId="24CBDBF1" w14:textId="77777777" w:rsidR="001C08A5" w:rsidRDefault="00000000">
      <w:pPr>
        <w:pStyle w:val="Caption"/>
        <w:jc w:val="center"/>
        <w:rPr>
          <w:rFonts w:eastAsia="TimesNewRomanPS-BoldMT"/>
        </w:rPr>
      </w:pPr>
      <w:bookmarkStart w:id="2795" w:name="_Ref19286"/>
      <w:bookmarkStart w:id="2796" w:name="_Toc162360289"/>
      <w:r>
        <w:t xml:space="preserve">Figura </w:t>
      </w:r>
      <w:r>
        <w:fldChar w:fldCharType="begin"/>
      </w:r>
      <w:r>
        <w:instrText xml:space="preserve"> SEQ Figura \* ARABIC </w:instrText>
      </w:r>
      <w:r>
        <w:fldChar w:fldCharType="separate"/>
      </w:r>
      <w:r>
        <w:t>65</w:t>
      </w:r>
      <w:r>
        <w:fldChar w:fldCharType="end"/>
      </w:r>
      <w:bookmarkStart w:id="2797" w:name="_Toc23107"/>
      <w:bookmarkStart w:id="2798" w:name="_Toc7761"/>
      <w:bookmarkStart w:id="2799" w:name="_Toc10740"/>
      <w:bookmarkStart w:id="2800" w:name="_Toc2538"/>
      <w:bookmarkStart w:id="2801" w:name="_Toc20501"/>
      <w:bookmarkStart w:id="2802" w:name="_Toc3939"/>
      <w:bookmarkStart w:id="2803" w:name="_Toc21201"/>
      <w:bookmarkStart w:id="2804" w:name="_Toc5870"/>
      <w:bookmarkStart w:id="2805" w:name="_Toc1671"/>
      <w:bookmarkStart w:id="2806" w:name="_Toc3149"/>
      <w:bookmarkStart w:id="2807" w:name="_Toc27647"/>
      <w:bookmarkEnd w:id="2795"/>
      <w:r>
        <w:t xml:space="preserve"> - </w:t>
      </w:r>
      <w:r>
        <w:rPr>
          <w:rFonts w:eastAsia="TimesNewRomanPS-BoldMT"/>
        </w:rPr>
        <w:t>Accesul autospecialelor de intervenție la clădiri cu înălțimea mai mare de 15 m</w:t>
      </w:r>
      <w:bookmarkEnd w:id="2797"/>
      <w:bookmarkEnd w:id="2798"/>
      <w:bookmarkEnd w:id="2799"/>
      <w:bookmarkEnd w:id="2800"/>
      <w:r>
        <w:rPr>
          <w:rStyle w:val="CommentReference"/>
          <w:rFonts w:cs="Times New Roman"/>
          <w:b w:val="0"/>
          <w:i w:val="0"/>
          <w:iCs w:val="0"/>
        </w:rPr>
        <w:t xml:space="preserve"> </w:t>
      </w:r>
      <w:r>
        <w:rPr>
          <w:rStyle w:val="CommentReference"/>
          <w:rFonts w:cs="Times New Roman"/>
          <w:bCs/>
          <w:sz w:val="24"/>
          <w:szCs w:val="24"/>
        </w:rPr>
        <w:t>(</w:t>
      </w:r>
      <w:r>
        <w:rPr>
          <w:rFonts w:eastAsia="TimesNewRomanPSMT" w:cs="Times New Roman"/>
          <w:bCs/>
          <w:sz w:val="22"/>
          <w:szCs w:val="22"/>
        </w:rPr>
        <w:t>măsurată de la nivelul de referință</w:t>
      </w:r>
      <w:r>
        <w:t xml:space="preserve"> </w:t>
      </w:r>
      <w:r>
        <w:rPr>
          <w:rFonts w:eastAsia="TimesNewRomanPSMT" w:cs="Times New Roman"/>
          <w:bCs/>
          <w:sz w:val="22"/>
          <w:szCs w:val="22"/>
        </w:rPr>
        <w:t>până la cota de călcare a ultimului nivel folosit de utilizatori)</w:t>
      </w:r>
      <w:bookmarkEnd w:id="2796"/>
      <w:bookmarkEnd w:id="2801"/>
      <w:bookmarkEnd w:id="2802"/>
      <w:bookmarkEnd w:id="2803"/>
      <w:bookmarkEnd w:id="2804"/>
      <w:bookmarkEnd w:id="2805"/>
      <w:bookmarkEnd w:id="2806"/>
      <w:bookmarkEnd w:id="2807"/>
    </w:p>
    <w:p w14:paraId="3BC182CB" w14:textId="77777777" w:rsidR="001C08A5" w:rsidRDefault="001C08A5">
      <w:pPr>
        <w:ind w:firstLine="720"/>
        <w:jc w:val="both"/>
        <w:rPr>
          <w:rFonts w:eastAsia="TimesNewRomanPS-BoldMT"/>
          <w:b/>
          <w:i/>
          <w:iCs/>
          <w:sz w:val="24"/>
          <w:szCs w:val="24"/>
        </w:rPr>
      </w:pPr>
    </w:p>
    <w:p w14:paraId="09C38236" w14:textId="77777777" w:rsidR="001C08A5" w:rsidRDefault="00000000">
      <w:pPr>
        <w:ind w:firstLine="720"/>
        <w:jc w:val="both"/>
        <w:rPr>
          <w:rFonts w:eastAsia="TimesNewRomanPSMT"/>
          <w:sz w:val="24"/>
          <w:szCs w:val="24"/>
        </w:rPr>
      </w:pPr>
      <w:r>
        <w:rPr>
          <w:rFonts w:eastAsia="TimesNewRomanPS-BoldMT"/>
          <w:b/>
          <w:sz w:val="24"/>
          <w:szCs w:val="24"/>
        </w:rPr>
        <w:t xml:space="preserve">Art. 2.6.3. </w:t>
      </w:r>
      <w:r>
        <w:rPr>
          <w:rFonts w:eastAsia="TimesNewRomanPSMT"/>
          <w:sz w:val="24"/>
          <w:szCs w:val="24"/>
        </w:rPr>
        <w:t>Caracteristicile tehnice ale autospecialelor de pompieri necesare dimensionării drumurilor și planșeelor pe care au acees acestea, vor fi urmatoarele:</w:t>
      </w:r>
    </w:p>
    <w:p w14:paraId="2C670AA4" w14:textId="77777777" w:rsidR="001C08A5" w:rsidRDefault="00000000">
      <w:pPr>
        <w:ind w:left="216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lațime: </w:t>
      </w:r>
      <w:r>
        <w:rPr>
          <w:rFonts w:eastAsia="TimesNewRomanPSMT"/>
          <w:b/>
          <w:bCs/>
          <w:sz w:val="24"/>
          <w:szCs w:val="24"/>
        </w:rPr>
        <w:t>2,55 m</w:t>
      </w:r>
    </w:p>
    <w:p w14:paraId="080FF1D3" w14:textId="77777777" w:rsidR="001C08A5" w:rsidRDefault="00000000">
      <w:pPr>
        <w:ind w:left="2160" w:firstLine="720"/>
        <w:jc w:val="both"/>
        <w:rPr>
          <w:rFonts w:eastAsia="TimesNewRomanPSMT"/>
          <w:sz w:val="24"/>
          <w:szCs w:val="24"/>
        </w:rPr>
      </w:pPr>
      <w:r>
        <w:rPr>
          <w:rFonts w:eastAsia="Calibri"/>
          <w:sz w:val="24"/>
          <w:szCs w:val="24"/>
        </w:rPr>
        <w:t xml:space="preserve">- </w:t>
      </w:r>
      <w:r>
        <w:rPr>
          <w:sz w:val="24"/>
          <w:szCs w:val="24"/>
        </w:rPr>
        <w:t>înălțime</w:t>
      </w:r>
      <w:r>
        <w:rPr>
          <w:rFonts w:eastAsia="TimesNewRomanPSMT"/>
          <w:sz w:val="24"/>
          <w:szCs w:val="24"/>
        </w:rPr>
        <w:t xml:space="preserve">: </w:t>
      </w:r>
      <w:r>
        <w:rPr>
          <w:rFonts w:eastAsia="TimesNewRomanPSMT"/>
          <w:b/>
          <w:bCs/>
          <w:sz w:val="24"/>
          <w:szCs w:val="24"/>
        </w:rPr>
        <w:t>4,00 m</w:t>
      </w:r>
    </w:p>
    <w:p w14:paraId="66BCE0A0" w14:textId="77777777" w:rsidR="001C08A5" w:rsidRDefault="00000000">
      <w:pPr>
        <w:ind w:left="216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raza minimă de viraj: </w:t>
      </w:r>
      <w:r>
        <w:rPr>
          <w:rFonts w:eastAsia="TimesNewRomanPSMT"/>
          <w:b/>
          <w:bCs/>
          <w:sz w:val="24"/>
          <w:szCs w:val="24"/>
        </w:rPr>
        <w:t>11,00 m</w:t>
      </w:r>
    </w:p>
    <w:p w14:paraId="77024412" w14:textId="77777777" w:rsidR="001C08A5" w:rsidRDefault="00000000">
      <w:pPr>
        <w:ind w:left="216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panta maximă: </w:t>
      </w:r>
      <w:r>
        <w:rPr>
          <w:rFonts w:eastAsia="TimesNewRomanPSMT"/>
          <w:b/>
          <w:bCs/>
          <w:sz w:val="24"/>
          <w:szCs w:val="24"/>
        </w:rPr>
        <w:t>30 %</w:t>
      </w:r>
    </w:p>
    <w:p w14:paraId="2CFA6099" w14:textId="77777777" w:rsidR="001C08A5" w:rsidRDefault="00000000">
      <w:pPr>
        <w:ind w:left="216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masa maximă: </w:t>
      </w:r>
      <w:r>
        <w:rPr>
          <w:rFonts w:eastAsia="TimesNewRomanPSMT"/>
          <w:b/>
          <w:bCs/>
          <w:sz w:val="24"/>
          <w:szCs w:val="24"/>
        </w:rPr>
        <w:t>50000 kg</w:t>
      </w:r>
    </w:p>
    <w:p w14:paraId="1C58A361" w14:textId="77777777" w:rsidR="001C08A5" w:rsidRDefault="00000000">
      <w:pPr>
        <w:ind w:left="216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lațimea locului de calare până la: </w:t>
      </w:r>
      <w:r>
        <w:rPr>
          <w:rFonts w:eastAsia="TimesNewRomanPSMT"/>
          <w:b/>
          <w:bCs/>
          <w:sz w:val="24"/>
          <w:szCs w:val="24"/>
        </w:rPr>
        <w:t>8,20 m</w:t>
      </w:r>
    </w:p>
    <w:p w14:paraId="0F8072E5" w14:textId="77777777" w:rsidR="001C08A5" w:rsidRDefault="00000000">
      <w:pPr>
        <w:ind w:left="2160" w:firstLine="720"/>
        <w:jc w:val="both"/>
        <w:rPr>
          <w:rFonts w:eastAsia="TimesNewRomanPSMT"/>
          <w:sz w:val="24"/>
          <w:szCs w:val="24"/>
        </w:rPr>
      </w:pPr>
      <w:r>
        <w:rPr>
          <w:rFonts w:eastAsia="Calibri"/>
          <w:sz w:val="24"/>
          <w:szCs w:val="24"/>
        </w:rPr>
        <w:t xml:space="preserve">- </w:t>
      </w:r>
      <w:r>
        <w:rPr>
          <w:rFonts w:eastAsia="TimesNewRomanPSMT"/>
          <w:sz w:val="24"/>
          <w:szCs w:val="24"/>
        </w:rPr>
        <w:t xml:space="preserve">forța de apăsare a calei pe carosabil: autospeciala se consideră masa maximă operaționalizată </w:t>
      </w:r>
      <w:r>
        <w:rPr>
          <w:rFonts w:eastAsia="TimesNewRomanPSMT"/>
          <w:b/>
          <w:bCs/>
          <w:sz w:val="24"/>
          <w:szCs w:val="24"/>
        </w:rPr>
        <w:t>50000 kg</w:t>
      </w:r>
      <w:r>
        <w:rPr>
          <w:rFonts w:eastAsia="TimesNewRomanPSMT"/>
          <w:sz w:val="24"/>
          <w:szCs w:val="24"/>
        </w:rPr>
        <w:t xml:space="preserve">, iar calarea se face în </w:t>
      </w:r>
      <w:r>
        <w:rPr>
          <w:rFonts w:eastAsia="TimesNewRomanPSMT"/>
          <w:b/>
          <w:bCs/>
          <w:sz w:val="24"/>
          <w:szCs w:val="24"/>
        </w:rPr>
        <w:t>4</w:t>
      </w:r>
      <w:r>
        <w:rPr>
          <w:rFonts w:eastAsia="TimesNewRomanPSMT"/>
          <w:sz w:val="24"/>
          <w:szCs w:val="24"/>
        </w:rPr>
        <w:t xml:space="preserve"> puncte (suprafața pe care o are o cală este de </w:t>
      </w:r>
      <w:r>
        <w:rPr>
          <w:rFonts w:eastAsia="TimesNewRomanPSMT"/>
          <w:b/>
          <w:bCs/>
          <w:sz w:val="24"/>
          <w:szCs w:val="24"/>
        </w:rPr>
        <w:t>0,80 mp</w:t>
      </w:r>
      <w:r>
        <w:rPr>
          <w:rFonts w:eastAsia="TimesNewRomanPSMT"/>
          <w:sz w:val="24"/>
          <w:szCs w:val="24"/>
        </w:rPr>
        <w:t>)</w:t>
      </w:r>
    </w:p>
    <w:p w14:paraId="4DC46693" w14:textId="77777777" w:rsidR="001C08A5" w:rsidRDefault="001C08A5">
      <w:pPr>
        <w:jc w:val="both"/>
        <w:rPr>
          <w:sz w:val="24"/>
          <w:szCs w:val="24"/>
        </w:rPr>
      </w:pPr>
    </w:p>
    <w:p w14:paraId="029FF5C4" w14:textId="77777777" w:rsidR="001C08A5" w:rsidRDefault="00000000">
      <w:pPr>
        <w:jc w:val="both"/>
        <w:rPr>
          <w:sz w:val="24"/>
          <w:szCs w:val="24"/>
        </w:rPr>
      </w:pPr>
      <w:r>
        <w:rPr>
          <w:b/>
          <w:sz w:val="24"/>
          <w:szCs w:val="24"/>
        </w:rPr>
        <w:tab/>
        <w:t xml:space="preserve">Art. </w:t>
      </w:r>
      <w:r>
        <w:rPr>
          <w:b/>
          <w:caps/>
          <w:sz w:val="24"/>
          <w:szCs w:val="24"/>
        </w:rPr>
        <w:t>2.6.</w:t>
      </w:r>
      <w:r>
        <w:rPr>
          <w:b/>
          <w:sz w:val="24"/>
          <w:szCs w:val="24"/>
        </w:rPr>
        <w:t xml:space="preserve">4. (1) </w:t>
      </w:r>
      <w:r>
        <w:rPr>
          <w:sz w:val="24"/>
          <w:szCs w:val="24"/>
        </w:rPr>
        <w:t>Căile exterioare de acces şi circulaţie trebuie să permită intervenţia  autospecialelor în caz de incendiu (fără obstacole), la construcţii, instalaţii, depozite de materiale şi substanţe combustibile, precum şi accesul la sursele de alimentare cu apă.</w:t>
      </w:r>
    </w:p>
    <w:p w14:paraId="4DA403F2" w14:textId="77777777" w:rsidR="001C08A5" w:rsidRDefault="00000000">
      <w:pPr>
        <w:ind w:firstLine="720"/>
        <w:jc w:val="both"/>
        <w:rPr>
          <w:sz w:val="24"/>
          <w:szCs w:val="24"/>
        </w:rPr>
      </w:pPr>
      <w:r>
        <w:rPr>
          <w:b/>
          <w:sz w:val="24"/>
          <w:szCs w:val="24"/>
        </w:rPr>
        <w:t>(2)</w:t>
      </w:r>
      <w:r>
        <w:rPr>
          <w:sz w:val="24"/>
          <w:szCs w:val="24"/>
        </w:rPr>
        <w:t xml:space="preserve"> Incintele construite la care accesul din drumurile publice are încrucişări cu căi ferate sau de metrou suprateran, se vor  asigura două căi de acces din drumurile publice, unul din accese realizandu-se printr-o zona care sa nu intersecteze calea ferata sau de metrou suprateran.  </w:t>
      </w:r>
    </w:p>
    <w:p w14:paraId="2838270C" w14:textId="77777777" w:rsidR="001C08A5" w:rsidRDefault="001C08A5">
      <w:pPr>
        <w:jc w:val="both"/>
        <w:rPr>
          <w:sz w:val="24"/>
          <w:szCs w:val="24"/>
        </w:rPr>
      </w:pPr>
    </w:p>
    <w:p w14:paraId="0D3EB075" w14:textId="77777777" w:rsidR="001C08A5" w:rsidRDefault="00000000">
      <w:pPr>
        <w:jc w:val="both"/>
        <w:rPr>
          <w:sz w:val="24"/>
          <w:szCs w:val="24"/>
        </w:rPr>
      </w:pPr>
      <w:r>
        <w:rPr>
          <w:b/>
          <w:sz w:val="24"/>
          <w:szCs w:val="24"/>
        </w:rPr>
        <w:tab/>
        <w:t xml:space="preserve">Art. </w:t>
      </w:r>
      <w:r>
        <w:rPr>
          <w:b/>
          <w:caps/>
          <w:sz w:val="24"/>
          <w:szCs w:val="24"/>
        </w:rPr>
        <w:t>2.6.</w:t>
      </w:r>
      <w:r>
        <w:rPr>
          <w:b/>
          <w:sz w:val="24"/>
          <w:szCs w:val="24"/>
        </w:rPr>
        <w:t xml:space="preserve">5. (1) </w:t>
      </w:r>
      <w:r>
        <w:rPr>
          <w:sz w:val="24"/>
          <w:szCs w:val="24"/>
        </w:rPr>
        <w:t xml:space="preserve">Curţile interioare cu aria mai mare de </w:t>
      </w:r>
      <w:r>
        <w:rPr>
          <w:b/>
          <w:sz w:val="24"/>
          <w:szCs w:val="24"/>
        </w:rPr>
        <w:t xml:space="preserve">800 </w:t>
      </w:r>
      <w:r>
        <w:rPr>
          <w:b/>
          <w:bCs/>
          <w:sz w:val="24"/>
          <w:szCs w:val="24"/>
        </w:rPr>
        <w:t>m²</w:t>
      </w:r>
      <w:r>
        <w:rPr>
          <w:sz w:val="24"/>
          <w:szCs w:val="24"/>
        </w:rPr>
        <w:t xml:space="preserve">, închise pe toate laturile de construcţii şi situate la nivelul terenului sau al circulaţiilor carosabile adiacente sau cu o diferenţă de  nivel de cel mult </w:t>
      </w:r>
      <w:r>
        <w:rPr>
          <w:b/>
          <w:sz w:val="24"/>
          <w:szCs w:val="24"/>
        </w:rPr>
        <w:t>50 c</w:t>
      </w:r>
      <w:r>
        <w:rPr>
          <w:sz w:val="24"/>
          <w:szCs w:val="24"/>
        </w:rPr>
        <w:t xml:space="preserve">m faţă de acestea, se prevăd cu cel puţin o cale de acces carosabilă pentru autospecialele de intervenţie în caz de incendiu, având gabaritul de minimum </w:t>
      </w:r>
      <w:r>
        <w:rPr>
          <w:b/>
          <w:sz w:val="24"/>
          <w:szCs w:val="24"/>
        </w:rPr>
        <w:t xml:space="preserve">4,00 </w:t>
      </w:r>
      <w:r>
        <w:rPr>
          <w:sz w:val="24"/>
          <w:szCs w:val="24"/>
        </w:rPr>
        <w:t xml:space="preserve">m lăţime şi </w:t>
      </w:r>
      <w:r>
        <w:rPr>
          <w:b/>
          <w:sz w:val="24"/>
          <w:szCs w:val="24"/>
        </w:rPr>
        <w:t xml:space="preserve">4,50 </w:t>
      </w:r>
      <w:r>
        <w:rPr>
          <w:sz w:val="24"/>
          <w:szCs w:val="24"/>
        </w:rPr>
        <w:t>m înălţime.</w:t>
      </w:r>
    </w:p>
    <w:p w14:paraId="39043BB7" w14:textId="77777777" w:rsidR="001C08A5" w:rsidRDefault="00000000">
      <w:pPr>
        <w:ind w:firstLine="720"/>
        <w:jc w:val="both"/>
        <w:rPr>
          <w:sz w:val="24"/>
          <w:szCs w:val="24"/>
        </w:rPr>
      </w:pPr>
      <w:r>
        <w:rPr>
          <w:b/>
          <w:sz w:val="24"/>
          <w:szCs w:val="24"/>
        </w:rPr>
        <w:t>(2)</w:t>
      </w:r>
      <w:r>
        <w:rPr>
          <w:sz w:val="24"/>
          <w:szCs w:val="24"/>
        </w:rPr>
        <w:t xml:space="preserve"> Curţile interioare cu aria cuprinsă între </w:t>
      </w:r>
      <w:r>
        <w:rPr>
          <w:b/>
          <w:bCs/>
          <w:sz w:val="24"/>
          <w:szCs w:val="24"/>
        </w:rPr>
        <w:t>200 m</w:t>
      </w:r>
      <w:r>
        <w:rPr>
          <w:b/>
          <w:bCs/>
          <w:sz w:val="24"/>
          <w:szCs w:val="24"/>
          <w:vertAlign w:val="superscript"/>
        </w:rPr>
        <w:t>2</w:t>
      </w:r>
      <w:r>
        <w:rPr>
          <w:sz w:val="24"/>
          <w:szCs w:val="24"/>
        </w:rPr>
        <w:t xml:space="preserve"> și </w:t>
      </w:r>
      <w:r>
        <w:rPr>
          <w:b/>
          <w:sz w:val="24"/>
          <w:szCs w:val="24"/>
        </w:rPr>
        <w:t xml:space="preserve">800 </w:t>
      </w:r>
      <w:r>
        <w:rPr>
          <w:b/>
          <w:bCs/>
          <w:sz w:val="24"/>
          <w:szCs w:val="24"/>
        </w:rPr>
        <w:t>m²</w:t>
      </w:r>
      <w:r>
        <w:rPr>
          <w:sz w:val="24"/>
          <w:szCs w:val="24"/>
        </w:rPr>
        <w:t xml:space="preserve">, închise pe toate laturile de construcţii şi situate la diferenţe de nivel mai mari de </w:t>
      </w:r>
      <w:r>
        <w:rPr>
          <w:b/>
          <w:sz w:val="24"/>
          <w:szCs w:val="24"/>
        </w:rPr>
        <w:t>50</w:t>
      </w:r>
      <w:r>
        <w:rPr>
          <w:sz w:val="24"/>
          <w:szCs w:val="24"/>
        </w:rPr>
        <w:t xml:space="preserve"> cm faţă de nivelul terenului sau al circulaţiilor carosabile adiacente, se prevăd cu acces pietonal pentru personalul de intervenţie în caz de incendiu, având lăţimea liberă de minimum </w:t>
      </w:r>
      <w:r>
        <w:rPr>
          <w:b/>
          <w:sz w:val="24"/>
          <w:szCs w:val="24"/>
        </w:rPr>
        <w:t xml:space="preserve">1,50 </w:t>
      </w:r>
      <w:r>
        <w:rPr>
          <w:sz w:val="24"/>
          <w:szCs w:val="24"/>
        </w:rPr>
        <w:t xml:space="preserve">m şi înălţimea liberă de minimum </w:t>
      </w:r>
      <w:r>
        <w:rPr>
          <w:b/>
          <w:sz w:val="24"/>
          <w:szCs w:val="24"/>
        </w:rPr>
        <w:t xml:space="preserve">2,10 </w:t>
      </w:r>
      <w:r>
        <w:rPr>
          <w:sz w:val="24"/>
          <w:szCs w:val="24"/>
        </w:rPr>
        <w:t xml:space="preserve">m. </w:t>
      </w:r>
    </w:p>
    <w:p w14:paraId="7273B2B2" w14:textId="77777777" w:rsidR="001C08A5" w:rsidRDefault="00000000">
      <w:pPr>
        <w:jc w:val="both"/>
        <w:rPr>
          <w:sz w:val="24"/>
          <w:szCs w:val="24"/>
        </w:rPr>
      </w:pPr>
      <w:r>
        <w:rPr>
          <w:b/>
          <w:sz w:val="24"/>
          <w:szCs w:val="24"/>
        </w:rPr>
        <w:tab/>
        <w:t xml:space="preserve">Art. </w:t>
      </w:r>
      <w:r>
        <w:rPr>
          <w:b/>
          <w:caps/>
          <w:sz w:val="24"/>
          <w:szCs w:val="24"/>
        </w:rPr>
        <w:t>2.6.</w:t>
      </w:r>
      <w:r>
        <w:rPr>
          <w:b/>
          <w:sz w:val="24"/>
          <w:szCs w:val="24"/>
        </w:rPr>
        <w:t xml:space="preserve">6. (1) </w:t>
      </w:r>
      <w:r>
        <w:rPr>
          <w:sz w:val="24"/>
          <w:szCs w:val="24"/>
        </w:rPr>
        <w:t>La clădirile înalte și foarte înalte, în exteriorul pereţilor cortină, se marchează vizibil locurile pe unde pot pătrunde în clădire formaţiile de intervenţie în caz de incendiu, utilizând suprafeţele carosabile adiacente accesibile autospecialelor de intervenţie.</w:t>
      </w:r>
    </w:p>
    <w:p w14:paraId="5B9B40FC" w14:textId="77777777" w:rsidR="001C08A5" w:rsidRDefault="00000000">
      <w:pPr>
        <w:ind w:firstLine="720"/>
        <w:jc w:val="both"/>
        <w:rPr>
          <w:sz w:val="24"/>
          <w:szCs w:val="24"/>
        </w:rPr>
      </w:pPr>
      <w:r>
        <w:rPr>
          <w:b/>
          <w:sz w:val="24"/>
          <w:szCs w:val="24"/>
        </w:rPr>
        <w:t>(2)</w:t>
      </w:r>
      <w:r>
        <w:rPr>
          <w:sz w:val="24"/>
          <w:szCs w:val="24"/>
        </w:rPr>
        <w:t xml:space="preserve"> La construcţiile închise perimetral cu pereţi cortină sau prevăzute cu fațade duble - ,,double skin’, circulaţiile carosabile vor fi orizontale în dreptul panourilor de faţadă marcate pentru accesul personalului de intervenţie în caz de incendiu.</w:t>
      </w:r>
    </w:p>
    <w:p w14:paraId="6E18FA28" w14:textId="77777777" w:rsidR="001C08A5" w:rsidRDefault="00000000">
      <w:pPr>
        <w:ind w:firstLine="720"/>
        <w:jc w:val="both"/>
        <w:rPr>
          <w:sz w:val="24"/>
          <w:szCs w:val="24"/>
        </w:rPr>
      </w:pPr>
      <w:r>
        <w:rPr>
          <w:b/>
          <w:bCs/>
          <w:sz w:val="24"/>
          <w:szCs w:val="24"/>
        </w:rPr>
        <w:t>(3)</w:t>
      </w:r>
      <w:r>
        <w:rPr>
          <w:sz w:val="24"/>
          <w:szCs w:val="24"/>
        </w:rPr>
        <w:t xml:space="preserve"> Panourile vitrate din închiderile perimetrale ale construcţiilor cu pereţi cortină sau din fațadele ventilate și cele duble ale clădirilor înalte şi foarte înalte (și recomandabil la toate celelalte construcții) prin care se poate accede în circulaţiile comune orizontale sau în încăperi cu acces permanent în circulaţiile comune pentru intervenţia personalului de intervenţie direct din exterior, vor avea asigurate următoarele caracteristici:</w:t>
      </w:r>
    </w:p>
    <w:p w14:paraId="4F41BEFA" w14:textId="77777777" w:rsidR="001C08A5" w:rsidRDefault="00000000">
      <w:pPr>
        <w:ind w:left="1440" w:firstLine="720"/>
        <w:jc w:val="both"/>
        <w:rPr>
          <w:sz w:val="24"/>
          <w:szCs w:val="24"/>
        </w:rPr>
      </w:pPr>
      <w:r>
        <w:rPr>
          <w:sz w:val="24"/>
          <w:szCs w:val="24"/>
        </w:rPr>
        <w:t xml:space="preserve">- înălțime: minimum </w:t>
      </w:r>
      <w:r>
        <w:rPr>
          <w:b/>
          <w:bCs/>
          <w:sz w:val="24"/>
          <w:szCs w:val="24"/>
        </w:rPr>
        <w:t>1,50</w:t>
      </w:r>
      <w:r>
        <w:rPr>
          <w:sz w:val="24"/>
          <w:szCs w:val="24"/>
        </w:rPr>
        <w:t xml:space="preserve"> metri;</w:t>
      </w:r>
    </w:p>
    <w:p w14:paraId="28484CC5" w14:textId="77777777" w:rsidR="001C08A5" w:rsidRDefault="00000000">
      <w:pPr>
        <w:ind w:left="1440" w:firstLine="720"/>
        <w:jc w:val="both"/>
        <w:rPr>
          <w:sz w:val="24"/>
          <w:szCs w:val="24"/>
        </w:rPr>
      </w:pPr>
      <w:r>
        <w:rPr>
          <w:sz w:val="24"/>
          <w:szCs w:val="24"/>
        </w:rPr>
        <w:t>- latime: minimum</w:t>
      </w:r>
      <w:r>
        <w:rPr>
          <w:b/>
          <w:bCs/>
          <w:sz w:val="24"/>
          <w:szCs w:val="24"/>
        </w:rPr>
        <w:t xml:space="preserve"> 90</w:t>
      </w:r>
      <w:r>
        <w:rPr>
          <w:sz w:val="24"/>
          <w:szCs w:val="24"/>
        </w:rPr>
        <w:t xml:space="preserve"> cm;</w:t>
      </w:r>
    </w:p>
    <w:p w14:paraId="78B5F422" w14:textId="77777777" w:rsidR="001C08A5" w:rsidRDefault="00000000">
      <w:pPr>
        <w:ind w:left="1440" w:firstLine="720"/>
        <w:jc w:val="both"/>
        <w:rPr>
          <w:sz w:val="24"/>
          <w:szCs w:val="24"/>
        </w:rPr>
      </w:pPr>
      <w:r>
        <w:rPr>
          <w:sz w:val="24"/>
          <w:szCs w:val="24"/>
        </w:rPr>
        <w:t xml:space="preserve">- distanta intre deschideri succesive situate la acelasi nivel: de la </w:t>
      </w:r>
      <w:r>
        <w:rPr>
          <w:b/>
          <w:bCs/>
          <w:sz w:val="24"/>
          <w:szCs w:val="24"/>
        </w:rPr>
        <w:t>10,00</w:t>
      </w:r>
      <w:r>
        <w:rPr>
          <w:sz w:val="24"/>
          <w:szCs w:val="24"/>
        </w:rPr>
        <w:t xml:space="preserve"> la </w:t>
      </w:r>
      <w:r>
        <w:rPr>
          <w:b/>
          <w:bCs/>
          <w:sz w:val="24"/>
          <w:szCs w:val="24"/>
        </w:rPr>
        <w:t>20,00</w:t>
      </w:r>
      <w:r>
        <w:rPr>
          <w:sz w:val="24"/>
          <w:szCs w:val="24"/>
        </w:rPr>
        <w:t xml:space="preserve"> de metri;</w:t>
      </w:r>
    </w:p>
    <w:p w14:paraId="7763C2FF" w14:textId="77777777" w:rsidR="001C08A5" w:rsidRDefault="00000000">
      <w:pPr>
        <w:ind w:left="1440" w:firstLine="720"/>
        <w:jc w:val="both"/>
        <w:rPr>
          <w:sz w:val="24"/>
          <w:szCs w:val="24"/>
        </w:rPr>
      </w:pPr>
      <w:r>
        <w:rPr>
          <w:sz w:val="24"/>
          <w:szCs w:val="24"/>
        </w:rPr>
        <w:t>- să fie dispuse pe fiecare nivel al clădirii incepand cu primul etaj.</w:t>
      </w:r>
    </w:p>
    <w:p w14:paraId="493C9A36" w14:textId="77777777" w:rsidR="001C08A5" w:rsidRDefault="00000000">
      <w:pPr>
        <w:ind w:left="1440" w:firstLine="720"/>
        <w:jc w:val="both"/>
        <w:rPr>
          <w:sz w:val="24"/>
          <w:szCs w:val="24"/>
        </w:rPr>
      </w:pPr>
      <w:r>
        <w:rPr>
          <w:sz w:val="24"/>
          <w:szCs w:val="24"/>
        </w:rPr>
        <w:t xml:space="preserve">- distante minime de </w:t>
      </w:r>
      <w:r>
        <w:rPr>
          <w:b/>
          <w:bCs/>
          <w:sz w:val="24"/>
          <w:szCs w:val="24"/>
        </w:rPr>
        <w:t>4</w:t>
      </w:r>
      <w:r>
        <w:rPr>
          <w:sz w:val="24"/>
          <w:szCs w:val="24"/>
        </w:rPr>
        <w:t xml:space="preserve"> metri masurate în proiectia orizontala a fatadei intre ochiurile mobile de pe un nivel și cele ale nivelurilor situate imediat deasupra și dedesubt, cu exceptia celor cu acces la căile comune de circulații orizontale;</w:t>
      </w:r>
    </w:p>
    <w:p w14:paraId="34F4E0E9" w14:textId="77777777" w:rsidR="001C08A5" w:rsidRDefault="00000000">
      <w:pPr>
        <w:ind w:left="1440" w:firstLine="720"/>
        <w:jc w:val="both"/>
        <w:rPr>
          <w:sz w:val="24"/>
          <w:szCs w:val="24"/>
        </w:rPr>
      </w:pPr>
      <w:r>
        <w:rPr>
          <w:sz w:val="24"/>
          <w:szCs w:val="24"/>
        </w:rPr>
        <w:lastRenderedPageBreak/>
        <w:t>- panourile de obturare sau ramele ochiurilor mobile trebuie să se poată deschide/sparge și să rămână întotdeauna accesibile din exterior și din interior. Acestea trebuie să fie ușor de observat din exterior de către serviciile de intervenție.</w:t>
      </w:r>
    </w:p>
    <w:p w14:paraId="31651593" w14:textId="77777777" w:rsidR="001C08A5" w:rsidRDefault="001C08A5">
      <w:pPr>
        <w:ind w:firstLine="720"/>
        <w:jc w:val="both"/>
        <w:rPr>
          <w:sz w:val="24"/>
          <w:szCs w:val="24"/>
        </w:rPr>
      </w:pPr>
    </w:p>
    <w:p w14:paraId="0DF97475" w14:textId="77777777" w:rsidR="001C08A5" w:rsidRDefault="00000000">
      <w:pPr>
        <w:ind w:firstLine="720"/>
        <w:jc w:val="both"/>
        <w:rPr>
          <w:sz w:val="24"/>
          <w:szCs w:val="24"/>
        </w:rPr>
      </w:pPr>
      <w:r>
        <w:rPr>
          <w:b/>
          <w:sz w:val="24"/>
          <w:szCs w:val="24"/>
        </w:rPr>
        <w:t xml:space="preserve">Art. </w:t>
      </w:r>
      <w:r>
        <w:rPr>
          <w:b/>
          <w:caps/>
          <w:sz w:val="24"/>
          <w:szCs w:val="24"/>
        </w:rPr>
        <w:t>2.6.</w:t>
      </w:r>
      <w:r>
        <w:rPr>
          <w:b/>
          <w:sz w:val="24"/>
          <w:szCs w:val="24"/>
        </w:rPr>
        <w:t xml:space="preserve">7. (1) </w:t>
      </w:r>
      <w:r>
        <w:rPr>
          <w:sz w:val="24"/>
          <w:szCs w:val="24"/>
        </w:rPr>
        <w:t>Față de numărul minim de fațade accesibile și accese corespunzătoare prin străzi sau spații deschise conform prevederilor normate (conform funcțiune sau tip de clădire) este recomandabil să fie îndeplinite și următoarele condiții:</w:t>
      </w:r>
    </w:p>
    <w:p w14:paraId="35F56DFE" w14:textId="77777777" w:rsidR="001C08A5" w:rsidRDefault="00000000">
      <w:pPr>
        <w:ind w:left="720" w:firstLine="720"/>
        <w:jc w:val="both"/>
        <w:rPr>
          <w:sz w:val="24"/>
          <w:szCs w:val="24"/>
        </w:rPr>
      </w:pPr>
      <w:r>
        <w:rPr>
          <w:sz w:val="24"/>
          <w:szCs w:val="24"/>
        </w:rPr>
        <w:t xml:space="preserve">a) pentru construcţiile cu mai mult de </w:t>
      </w:r>
      <w:r>
        <w:rPr>
          <w:b/>
          <w:bCs/>
          <w:sz w:val="24"/>
          <w:szCs w:val="24"/>
        </w:rPr>
        <w:t>3.500</w:t>
      </w:r>
      <w:r>
        <w:rPr>
          <w:sz w:val="24"/>
          <w:szCs w:val="24"/>
        </w:rPr>
        <w:t xml:space="preserve"> de persoane: să dispuna de două fațade  deservite de două căi de circulație sau recomandabil de trei fațade, fiind întotdeauna îndeplinite următoarele două condiții:</w:t>
      </w:r>
    </w:p>
    <w:p w14:paraId="238979AC" w14:textId="77777777" w:rsidR="001C08A5" w:rsidRDefault="00000000">
      <w:pPr>
        <w:numPr>
          <w:ilvl w:val="0"/>
          <w:numId w:val="65"/>
        </w:numPr>
        <w:jc w:val="both"/>
        <w:rPr>
          <w:sz w:val="24"/>
          <w:szCs w:val="24"/>
        </w:rPr>
      </w:pPr>
      <w:r>
        <w:rPr>
          <w:sz w:val="24"/>
          <w:szCs w:val="24"/>
        </w:rPr>
        <w:t xml:space="preserve">lungimea fatadelor accesibile mașinilor de intervenție trebuie să fie mai mare de </w:t>
      </w:r>
      <w:r>
        <w:rPr>
          <w:b/>
          <w:bCs/>
          <w:sz w:val="24"/>
          <w:szCs w:val="24"/>
        </w:rPr>
        <w:t>50%</w:t>
      </w:r>
      <w:r>
        <w:rPr>
          <w:sz w:val="24"/>
          <w:szCs w:val="24"/>
        </w:rPr>
        <w:t xml:space="preserve"> din perimetrul clădirii;</w:t>
      </w:r>
    </w:p>
    <w:p w14:paraId="6C0D9180" w14:textId="77777777" w:rsidR="001C08A5" w:rsidRDefault="00000000">
      <w:pPr>
        <w:numPr>
          <w:ilvl w:val="0"/>
          <w:numId w:val="65"/>
        </w:numPr>
        <w:jc w:val="both"/>
        <w:rPr>
          <w:sz w:val="24"/>
          <w:szCs w:val="24"/>
        </w:rPr>
      </w:pPr>
      <w:r>
        <w:rPr>
          <w:sz w:val="24"/>
          <w:szCs w:val="24"/>
        </w:rPr>
        <w:t>sa existe posibilitatea realizarii accesului la nivelul etajului direct din exterior cu ajutorul echipelor de interventie folosind autospeciala de salvare de la înălțime prin intermediul unor panouri sau ferestre marcate corespunzator ce se pot deschide sau sparge cu usurinta si prin intermediul carora se poate accede la o circulație comuna orizontala sau spatii libere de tip open space. Dacă această condiție nu poate fi îndeplinită, construcţia trebuie obligatoriu să aibă trei fațade accesibile distribuite pe tot perimetrul său și deservite de căi de circulație;</w:t>
      </w:r>
    </w:p>
    <w:p w14:paraId="5F93C96B" w14:textId="77777777" w:rsidR="001C08A5" w:rsidRDefault="00000000">
      <w:pPr>
        <w:ind w:left="720" w:firstLine="720"/>
        <w:jc w:val="both"/>
        <w:rPr>
          <w:sz w:val="24"/>
          <w:szCs w:val="24"/>
        </w:rPr>
      </w:pPr>
      <w:r>
        <w:rPr>
          <w:sz w:val="24"/>
          <w:szCs w:val="24"/>
        </w:rPr>
        <w:t xml:space="preserve">b) pentru construcţiile care au între </w:t>
      </w:r>
      <w:r>
        <w:rPr>
          <w:b/>
          <w:bCs/>
          <w:sz w:val="24"/>
          <w:szCs w:val="24"/>
        </w:rPr>
        <w:t>2.501</w:t>
      </w:r>
      <w:r>
        <w:rPr>
          <w:sz w:val="24"/>
          <w:szCs w:val="24"/>
        </w:rPr>
        <w:t xml:space="preserve"> și </w:t>
      </w:r>
      <w:r>
        <w:rPr>
          <w:b/>
          <w:bCs/>
          <w:sz w:val="24"/>
          <w:szCs w:val="24"/>
        </w:rPr>
        <w:t>3.500</w:t>
      </w:r>
      <w:r>
        <w:rPr>
          <w:sz w:val="24"/>
          <w:szCs w:val="24"/>
        </w:rPr>
        <w:t xml:space="preserve"> persoane: trebuie să asigure accesul echipelor de interventie cu autospeciala de salvare de la înălțime la nivelul etajelor pe două fațade prin spații de tip open space sau circulații comune orizontale. Daca aceasta conditie nu este îndeplinita, construcţia este recomandabil să aibă o a treia fațadă accesibilă deservită de o cale de circulație;</w:t>
      </w:r>
    </w:p>
    <w:p w14:paraId="43A2F9B1" w14:textId="77777777" w:rsidR="001C08A5" w:rsidRDefault="00000000">
      <w:pPr>
        <w:ind w:firstLine="720"/>
        <w:jc w:val="both"/>
        <w:rPr>
          <w:sz w:val="24"/>
          <w:szCs w:val="24"/>
        </w:rPr>
      </w:pPr>
      <w:r>
        <w:rPr>
          <w:b/>
          <w:sz w:val="24"/>
          <w:szCs w:val="24"/>
        </w:rPr>
        <w:t xml:space="preserve">(2) </w:t>
      </w:r>
      <w:r>
        <w:rPr>
          <w:sz w:val="24"/>
          <w:szCs w:val="24"/>
        </w:rPr>
        <w:t>Indiferent de numărul persoanelor, la construcţiile destinate persoanelor care nu se pot evacua singure (definite conform terminologie)prevazute cu locuri pentru dormit</w:t>
      </w:r>
      <w:r>
        <w:rPr>
          <w:sz w:val="24"/>
          <w:szCs w:val="24"/>
          <w:shd w:val="clear" w:color="auto" w:fill="FFFFFF"/>
          <w:lang w:eastAsia="zh-CN"/>
        </w:rPr>
        <w:t xml:space="preserve"> trebuie </w:t>
      </w:r>
      <w:r>
        <w:rPr>
          <w:sz w:val="24"/>
          <w:szCs w:val="24"/>
        </w:rPr>
        <w:t xml:space="preserve">să se asigure accesul și intervenţia autospecialelor de stingere în caz de incendiu, cel puţin pe </w:t>
      </w:r>
      <w:r>
        <w:rPr>
          <w:b/>
          <w:bCs/>
          <w:sz w:val="24"/>
          <w:szCs w:val="24"/>
        </w:rPr>
        <w:t>50%</w:t>
      </w:r>
      <w:r>
        <w:rPr>
          <w:sz w:val="24"/>
          <w:szCs w:val="24"/>
        </w:rPr>
        <w:t xml:space="preserve"> din perimetrul pereților exteriori).</w:t>
      </w:r>
    </w:p>
    <w:p w14:paraId="5E51E3C0" w14:textId="77777777" w:rsidR="001C08A5" w:rsidRDefault="00000000">
      <w:pPr>
        <w:ind w:firstLine="720"/>
        <w:jc w:val="both"/>
        <w:rPr>
          <w:sz w:val="24"/>
          <w:szCs w:val="24"/>
        </w:rPr>
      </w:pPr>
      <w:r>
        <w:rPr>
          <w:b/>
          <w:sz w:val="24"/>
          <w:szCs w:val="24"/>
        </w:rPr>
        <w:t xml:space="preserve">(3) </w:t>
      </w:r>
      <w:r>
        <w:rPr>
          <w:bCs/>
          <w:sz w:val="24"/>
          <w:szCs w:val="24"/>
        </w:rPr>
        <w:t xml:space="preserve">Este recomandabil ca la construcțiile care au suprafața desfășurată între </w:t>
      </w:r>
      <w:r>
        <w:rPr>
          <w:b/>
          <w:sz w:val="24"/>
          <w:szCs w:val="24"/>
        </w:rPr>
        <w:t>15.000 m</w:t>
      </w:r>
      <w:r>
        <w:rPr>
          <w:b/>
          <w:sz w:val="24"/>
          <w:szCs w:val="24"/>
          <w:vertAlign w:val="superscript"/>
        </w:rPr>
        <w:t>2</w:t>
      </w:r>
      <w:r>
        <w:rPr>
          <w:bCs/>
          <w:sz w:val="24"/>
          <w:szCs w:val="24"/>
        </w:rPr>
        <w:t xml:space="preserve"> și </w:t>
      </w:r>
      <w:r>
        <w:rPr>
          <w:b/>
          <w:sz w:val="24"/>
          <w:szCs w:val="24"/>
        </w:rPr>
        <w:t>25.000 m</w:t>
      </w:r>
      <w:r>
        <w:rPr>
          <w:b/>
          <w:sz w:val="24"/>
          <w:szCs w:val="24"/>
          <w:vertAlign w:val="superscript"/>
        </w:rPr>
        <w:t>2</w:t>
      </w:r>
      <w:r>
        <w:rPr>
          <w:bCs/>
          <w:sz w:val="24"/>
          <w:szCs w:val="24"/>
        </w:rPr>
        <w:t xml:space="preserve"> să </w:t>
      </w:r>
      <w:r>
        <w:rPr>
          <w:sz w:val="24"/>
          <w:szCs w:val="24"/>
        </w:rPr>
        <w:t xml:space="preserve">se asigure căi de acces şi de intervenţie pentru autospecialele de intervenţie în caz de incendiu, cel puţin </w:t>
      </w:r>
      <w:r>
        <w:rPr>
          <w:bCs/>
          <w:sz w:val="24"/>
          <w:szCs w:val="24"/>
        </w:rPr>
        <w:t>integral pe două (</w:t>
      </w:r>
      <w:r>
        <w:rPr>
          <w:b/>
          <w:sz w:val="24"/>
          <w:szCs w:val="24"/>
        </w:rPr>
        <w:t>2</w:t>
      </w:r>
      <w:r>
        <w:rPr>
          <w:bCs/>
          <w:sz w:val="24"/>
          <w:szCs w:val="24"/>
        </w:rPr>
        <w:t xml:space="preserve">) laturi alăturate și pe a treia latură parțial </w:t>
      </w:r>
      <w:r>
        <w:rPr>
          <w:rFonts w:eastAsia="Times-Roman"/>
          <w:sz w:val="24"/>
          <w:szCs w:val="24"/>
        </w:rPr>
        <w:t xml:space="preserve">şi, totodată, cel puţin pe </w:t>
      </w:r>
      <w:r>
        <w:rPr>
          <w:rFonts w:eastAsia="Times-Roman"/>
          <w:b/>
          <w:bCs/>
          <w:sz w:val="24"/>
          <w:szCs w:val="24"/>
        </w:rPr>
        <w:t>75%</w:t>
      </w:r>
      <w:r>
        <w:rPr>
          <w:rFonts w:eastAsia="Times-Roman"/>
          <w:sz w:val="24"/>
          <w:szCs w:val="24"/>
        </w:rPr>
        <w:t xml:space="preserve"> din perimetrul pereților exteriori, iar pentru construcțiile </w:t>
      </w:r>
      <w:r>
        <w:rPr>
          <w:bCs/>
          <w:sz w:val="24"/>
          <w:szCs w:val="24"/>
        </w:rPr>
        <w:t xml:space="preserve">care au suprafața desfășurată mai mare de </w:t>
      </w:r>
      <w:r>
        <w:rPr>
          <w:b/>
          <w:sz w:val="24"/>
          <w:szCs w:val="24"/>
        </w:rPr>
        <w:t>25.000 m</w:t>
      </w:r>
      <w:r>
        <w:rPr>
          <w:b/>
          <w:sz w:val="24"/>
          <w:szCs w:val="24"/>
          <w:vertAlign w:val="superscript"/>
        </w:rPr>
        <w:t>2</w:t>
      </w:r>
      <w:r>
        <w:rPr>
          <w:bCs/>
          <w:sz w:val="24"/>
          <w:szCs w:val="24"/>
        </w:rPr>
        <w:t xml:space="preserve"> să </w:t>
      </w:r>
      <w:r>
        <w:rPr>
          <w:sz w:val="24"/>
          <w:szCs w:val="24"/>
        </w:rPr>
        <w:t xml:space="preserve">se asigure căi de acces şi de intervenţie pentru autospecialele de intervenţie în caz de incendiu, </w:t>
      </w:r>
      <w:r>
        <w:rPr>
          <w:bCs/>
          <w:sz w:val="24"/>
          <w:szCs w:val="24"/>
        </w:rPr>
        <w:t xml:space="preserve">integral pe toate laturile, </w:t>
      </w:r>
      <w:r>
        <w:rPr>
          <w:rFonts w:eastAsia="Times-Roman"/>
          <w:sz w:val="24"/>
          <w:szCs w:val="24"/>
        </w:rPr>
        <w:t xml:space="preserve">pe </w:t>
      </w:r>
      <w:r>
        <w:rPr>
          <w:rFonts w:eastAsia="Times-Roman"/>
          <w:b/>
          <w:bCs/>
          <w:sz w:val="24"/>
          <w:szCs w:val="24"/>
        </w:rPr>
        <w:t>100%</w:t>
      </w:r>
      <w:r>
        <w:rPr>
          <w:rFonts w:eastAsia="Times-Roman"/>
          <w:sz w:val="24"/>
          <w:szCs w:val="24"/>
        </w:rPr>
        <w:t xml:space="preserve"> din perimetrul pereților exteriori</w:t>
      </w:r>
      <w:r>
        <w:rPr>
          <w:sz w:val="24"/>
          <w:szCs w:val="24"/>
        </w:rPr>
        <w:t>.</w:t>
      </w:r>
    </w:p>
    <w:p w14:paraId="069B1E89" w14:textId="77777777" w:rsidR="001C08A5" w:rsidRDefault="001C08A5">
      <w:pPr>
        <w:jc w:val="both"/>
        <w:rPr>
          <w:sz w:val="24"/>
          <w:szCs w:val="24"/>
        </w:rPr>
      </w:pPr>
    </w:p>
    <w:p w14:paraId="07EF22D3" w14:textId="77777777" w:rsidR="001C08A5" w:rsidRDefault="00000000">
      <w:pPr>
        <w:widowControl w:val="0"/>
        <w:ind w:firstLine="720"/>
        <w:jc w:val="both"/>
        <w:rPr>
          <w:sz w:val="24"/>
          <w:szCs w:val="24"/>
        </w:rPr>
      </w:pPr>
      <w:r>
        <w:rPr>
          <w:b/>
          <w:sz w:val="24"/>
          <w:szCs w:val="24"/>
        </w:rPr>
        <w:t xml:space="preserve">Art. </w:t>
      </w:r>
      <w:r>
        <w:rPr>
          <w:b/>
          <w:caps/>
          <w:sz w:val="24"/>
          <w:szCs w:val="24"/>
        </w:rPr>
        <w:t>2.6.</w:t>
      </w:r>
      <w:r>
        <w:rPr>
          <w:b/>
          <w:sz w:val="24"/>
          <w:szCs w:val="24"/>
        </w:rPr>
        <w:t xml:space="preserve">8. (1) </w:t>
      </w:r>
      <w:r>
        <w:rPr>
          <w:sz w:val="24"/>
          <w:szCs w:val="24"/>
        </w:rPr>
        <w:t xml:space="preserve">În dreptul intrărilor în construcţii şi al zonelor prevăzute pentru intervenţie în caz de incendiu din exterior, precum şi în locurile marcate pentru amplasarea şi alimentarea cu apă a autospecialelor de intervenţie, nu sunt admise amenajări temporare sau permanente ori spaţii de parcare sau garare a altor autovehicule. </w:t>
      </w:r>
    </w:p>
    <w:p w14:paraId="7C179CD7" w14:textId="77777777" w:rsidR="001C08A5" w:rsidRDefault="00000000">
      <w:pPr>
        <w:widowControl w:val="0"/>
        <w:ind w:firstLine="720"/>
        <w:jc w:val="both"/>
        <w:rPr>
          <w:sz w:val="24"/>
          <w:szCs w:val="24"/>
        </w:rPr>
      </w:pPr>
      <w:r>
        <w:rPr>
          <w:b/>
          <w:bCs/>
          <w:sz w:val="24"/>
          <w:szCs w:val="24"/>
        </w:rPr>
        <w:t>(2)</w:t>
      </w:r>
      <w:r>
        <w:rPr>
          <w:sz w:val="24"/>
          <w:szCs w:val="24"/>
        </w:rPr>
        <w:t xml:space="preserve"> Căile de circulaţie funcţională, de evacuare și de intervenţie în caz de incendiu din interiorul construcţiilor vor fi marcate, astfel încât să fie uşor de recunoscut și utilizat în caz de incendiu.  </w:t>
      </w:r>
    </w:p>
    <w:p w14:paraId="30E8DA0B" w14:textId="77777777" w:rsidR="001C08A5" w:rsidRDefault="00000000">
      <w:pPr>
        <w:widowControl w:val="0"/>
        <w:ind w:firstLine="720"/>
        <w:jc w:val="both"/>
        <w:rPr>
          <w:sz w:val="24"/>
          <w:szCs w:val="24"/>
        </w:rPr>
      </w:pPr>
      <w:r>
        <w:rPr>
          <w:b/>
          <w:bCs/>
          <w:sz w:val="24"/>
          <w:szCs w:val="24"/>
        </w:rPr>
        <w:t>(3)</w:t>
      </w:r>
      <w:r>
        <w:rPr>
          <w:sz w:val="24"/>
          <w:szCs w:val="24"/>
        </w:rPr>
        <w:t xml:space="preserve"> Racordurile fixe aferente instalatiilor de stingere prevazute corespunzator reglementarilor de specialitate vor avea în vedere racordarea autospecialelor la maxim </w:t>
      </w:r>
      <w:r>
        <w:rPr>
          <w:b/>
          <w:bCs/>
          <w:sz w:val="24"/>
          <w:szCs w:val="24"/>
        </w:rPr>
        <w:t xml:space="preserve">40,00 m </w:t>
      </w:r>
      <w:r>
        <w:rPr>
          <w:sz w:val="24"/>
          <w:szCs w:val="24"/>
        </w:rPr>
        <w:t xml:space="preserve">față de acestea, în toate situațiile în care este prevazută instalație automată de stingere. În situația alimentării autospecialelor de intervenție direct din rezerva de apa prin absorbție cu ajutorul unor tuburi semirigide se va asigura o distanta maxima față de racord de </w:t>
      </w:r>
      <w:r>
        <w:rPr>
          <w:b/>
          <w:bCs/>
          <w:sz w:val="24"/>
          <w:szCs w:val="24"/>
        </w:rPr>
        <w:t>6,00 m</w:t>
      </w:r>
      <w:r>
        <w:rPr>
          <w:sz w:val="24"/>
          <w:szCs w:val="24"/>
        </w:rPr>
        <w:t>.</w:t>
      </w:r>
    </w:p>
    <w:p w14:paraId="7001AE3C" w14:textId="77777777" w:rsidR="001C08A5" w:rsidRDefault="001C08A5">
      <w:pPr>
        <w:rPr>
          <w:b/>
          <w:sz w:val="24"/>
          <w:szCs w:val="24"/>
        </w:rPr>
      </w:pPr>
    </w:p>
    <w:p w14:paraId="0B8636A0" w14:textId="77777777" w:rsidR="001C08A5" w:rsidRDefault="00000000">
      <w:pPr>
        <w:pStyle w:val="Heading3"/>
      </w:pPr>
      <w:bookmarkStart w:id="2808" w:name="_Toc18172"/>
      <w:bookmarkStart w:id="2809" w:name="_Toc22428"/>
      <w:bookmarkStart w:id="2810" w:name="_Toc29975"/>
      <w:bookmarkStart w:id="2811" w:name="_Toc26175"/>
      <w:bookmarkStart w:id="2812" w:name="_Toc162355274"/>
      <w:bookmarkStart w:id="2813" w:name="_Toc18503"/>
      <w:bookmarkStart w:id="2814" w:name="_Toc2233"/>
      <w:bookmarkStart w:id="2815" w:name="_Toc16570"/>
      <w:bookmarkStart w:id="2816" w:name="_Toc10671"/>
      <w:bookmarkStart w:id="2817" w:name="_Toc32314"/>
      <w:r>
        <w:lastRenderedPageBreak/>
        <w:t>SECŢIUNEA  VII</w:t>
      </w:r>
      <w:bookmarkEnd w:id="2808"/>
      <w:bookmarkEnd w:id="2809"/>
      <w:bookmarkEnd w:id="2810"/>
      <w:bookmarkEnd w:id="2811"/>
      <w:bookmarkEnd w:id="2812"/>
      <w:bookmarkEnd w:id="2813"/>
      <w:bookmarkEnd w:id="2814"/>
      <w:bookmarkEnd w:id="2815"/>
      <w:bookmarkEnd w:id="2816"/>
      <w:bookmarkEnd w:id="2817"/>
    </w:p>
    <w:p w14:paraId="36EA514C" w14:textId="77777777" w:rsidR="001C08A5" w:rsidRDefault="00000000">
      <w:pPr>
        <w:pStyle w:val="Heading3"/>
      </w:pPr>
      <w:bookmarkStart w:id="2818" w:name="_Toc4631"/>
      <w:bookmarkStart w:id="2819" w:name="_Toc23496"/>
      <w:bookmarkStart w:id="2820" w:name="_Toc162355275"/>
      <w:bookmarkStart w:id="2821" w:name="_Toc17676"/>
      <w:bookmarkStart w:id="2822" w:name="_Toc24786"/>
      <w:bookmarkStart w:id="2823" w:name="_Toc1995"/>
      <w:bookmarkStart w:id="2824" w:name="_Toc19598"/>
      <w:bookmarkStart w:id="2825" w:name="_Toc28477"/>
      <w:bookmarkStart w:id="2826" w:name="_Toc16360"/>
      <w:bookmarkStart w:id="2827" w:name="_Toc14392"/>
      <w:r>
        <w:t>2.7. ECHIPAREA  CONSTRUCŢIILOR  CU  INSTALAŢII  ŞI  MIJLOACE  DE  STINGERE  A  INCENDIILOR,  SERVICIUL  PENTRU  SITUAŢII  DE  URGENŢĂ</w:t>
      </w:r>
      <w:bookmarkEnd w:id="2818"/>
      <w:bookmarkEnd w:id="2819"/>
      <w:bookmarkEnd w:id="2820"/>
      <w:bookmarkEnd w:id="2821"/>
      <w:bookmarkEnd w:id="2822"/>
      <w:bookmarkEnd w:id="2823"/>
      <w:bookmarkEnd w:id="2824"/>
      <w:bookmarkEnd w:id="2825"/>
      <w:bookmarkEnd w:id="2826"/>
      <w:bookmarkEnd w:id="2827"/>
    </w:p>
    <w:p w14:paraId="563D9ACA" w14:textId="77777777" w:rsidR="001C08A5" w:rsidRDefault="001C08A5">
      <w:pPr>
        <w:jc w:val="center"/>
        <w:rPr>
          <w:b/>
          <w:caps/>
          <w:sz w:val="24"/>
          <w:szCs w:val="24"/>
        </w:rPr>
      </w:pPr>
    </w:p>
    <w:p w14:paraId="14680A7B" w14:textId="77777777" w:rsidR="001C08A5" w:rsidRDefault="00000000">
      <w:pPr>
        <w:pStyle w:val="BodyText"/>
        <w:rPr>
          <w:i w:val="0"/>
          <w:iCs/>
        </w:rPr>
      </w:pPr>
      <w:r>
        <w:rPr>
          <w:i w:val="0"/>
          <w:iCs/>
        </w:rPr>
        <w:tab/>
        <w:t xml:space="preserve">Art. 2.7.1. (1) </w:t>
      </w:r>
      <w:r>
        <w:rPr>
          <w:b w:val="0"/>
          <w:bCs w:val="0"/>
          <w:i w:val="0"/>
          <w:iCs/>
        </w:rPr>
        <w:t>Construcţiile se echipează cu instalaţii şi mijloace de stingere a incendiilor, precum și cu instalaţii de detectare, semnalizare şi alarmare a incendiului, conform prevederilor reglementărilor tehnice de specialitate.</w:t>
      </w:r>
    </w:p>
    <w:p w14:paraId="7666D504" w14:textId="77777777" w:rsidR="001C08A5" w:rsidRDefault="00000000">
      <w:pPr>
        <w:pStyle w:val="BodyText"/>
        <w:ind w:firstLine="720"/>
        <w:rPr>
          <w:i w:val="0"/>
          <w:iCs/>
        </w:rPr>
      </w:pPr>
      <w:r>
        <w:rPr>
          <w:i w:val="0"/>
          <w:iCs/>
        </w:rPr>
        <w:t xml:space="preserve">(2) </w:t>
      </w:r>
      <w:r>
        <w:rPr>
          <w:b w:val="0"/>
          <w:bCs w:val="0"/>
          <w:i w:val="0"/>
          <w:iCs/>
        </w:rPr>
        <w:t>Echiparea cu instalaţii de stingere şi/sau cu instalaţii de detectare, semnalizare şi alarmare a incendiului a clădirilor existente la care aceste instalaţii nu sunt obligatorii (cum sunt</w:t>
      </w:r>
      <w:r>
        <w:rPr>
          <w:b w:val="0"/>
          <w:i w:val="0"/>
          <w:iCs/>
        </w:rPr>
        <w:t xml:space="preserve"> lucrările de intervenţie efectuate asupra construcţiilor existente, atunci când în mod justificat tehnic nu pot fi îndeplinite unele prevederi ale normativului)</w:t>
      </w:r>
      <w:r>
        <w:rPr>
          <w:b w:val="0"/>
          <w:bCs w:val="0"/>
          <w:i w:val="0"/>
          <w:iCs/>
        </w:rPr>
        <w:t xml:space="preserve">, poate constitui măsură compensatorie de protecţie, în sensul prevederilor </w:t>
      </w:r>
      <w:r>
        <w:rPr>
          <w:i w:val="0"/>
          <w:iCs/>
        </w:rPr>
        <w:t>Art.</w:t>
      </w:r>
      <w:r>
        <w:rPr>
          <w:i w:val="0"/>
          <w:iCs/>
          <w:caps/>
        </w:rPr>
        <w:t>1.1.</w:t>
      </w:r>
      <w:r>
        <w:rPr>
          <w:i w:val="0"/>
          <w:iCs/>
        </w:rPr>
        <w:t>4. alin. (2)</w:t>
      </w:r>
      <w:r>
        <w:rPr>
          <w:b w:val="0"/>
          <w:bCs w:val="0"/>
          <w:i w:val="0"/>
          <w:iCs/>
        </w:rPr>
        <w:t>.</w:t>
      </w:r>
    </w:p>
    <w:p w14:paraId="6206ED77" w14:textId="77777777" w:rsidR="001C08A5" w:rsidRDefault="001C08A5">
      <w:pPr>
        <w:pStyle w:val="BodyText"/>
      </w:pPr>
    </w:p>
    <w:p w14:paraId="3ED0E78A" w14:textId="77777777" w:rsidR="001C08A5" w:rsidRDefault="00000000">
      <w:pPr>
        <w:ind w:firstLine="720"/>
        <w:jc w:val="both"/>
        <w:rPr>
          <w:b/>
          <w:caps/>
          <w:sz w:val="24"/>
          <w:szCs w:val="24"/>
        </w:rPr>
      </w:pPr>
      <w:r>
        <w:rPr>
          <w:b/>
          <w:sz w:val="24"/>
          <w:szCs w:val="24"/>
        </w:rPr>
        <w:t>Art. 2.7.2.</w:t>
      </w:r>
      <w:r>
        <w:rPr>
          <w:sz w:val="24"/>
          <w:szCs w:val="24"/>
        </w:rPr>
        <w:t xml:space="preserve"> Clădirile civile se prevăd cu stingătoare, conform normativului şi reglementărilor specifice.</w:t>
      </w:r>
    </w:p>
    <w:p w14:paraId="6F4F75E4" w14:textId="77777777" w:rsidR="001C08A5" w:rsidRDefault="001C08A5">
      <w:pPr>
        <w:rPr>
          <w:b/>
          <w:caps/>
          <w:sz w:val="24"/>
          <w:szCs w:val="24"/>
        </w:rPr>
      </w:pPr>
    </w:p>
    <w:p w14:paraId="566AA716" w14:textId="77777777" w:rsidR="001C08A5" w:rsidRDefault="00000000">
      <w:pPr>
        <w:ind w:firstLine="720"/>
        <w:jc w:val="both"/>
        <w:rPr>
          <w:sz w:val="24"/>
          <w:szCs w:val="24"/>
        </w:rPr>
      </w:pPr>
      <w:r>
        <w:rPr>
          <w:b/>
          <w:sz w:val="24"/>
          <w:szCs w:val="24"/>
        </w:rPr>
        <w:t xml:space="preserve">Art. 2.7.3. </w:t>
      </w:r>
      <w:r>
        <w:rPr>
          <w:sz w:val="24"/>
          <w:szCs w:val="24"/>
        </w:rPr>
        <w:t>Serviciul pentru situaţii de urgenţă se prevede în situaţiile stabilite în reglementarea specifică.</w:t>
      </w:r>
    </w:p>
    <w:p w14:paraId="5498C930" w14:textId="77777777" w:rsidR="001C08A5" w:rsidRDefault="001C08A5">
      <w:pPr>
        <w:rPr>
          <w:b/>
          <w:sz w:val="24"/>
          <w:szCs w:val="24"/>
        </w:rPr>
      </w:pPr>
    </w:p>
    <w:p w14:paraId="046B1A3F" w14:textId="77777777" w:rsidR="001C08A5" w:rsidRDefault="001C08A5">
      <w:pPr>
        <w:rPr>
          <w:b/>
          <w:sz w:val="24"/>
          <w:szCs w:val="24"/>
        </w:rPr>
      </w:pPr>
    </w:p>
    <w:p w14:paraId="1BDA9444" w14:textId="77777777" w:rsidR="001C08A5" w:rsidRDefault="001C08A5">
      <w:pPr>
        <w:rPr>
          <w:b/>
          <w:sz w:val="24"/>
          <w:szCs w:val="24"/>
        </w:rPr>
      </w:pPr>
    </w:p>
    <w:p w14:paraId="2B76C314" w14:textId="77777777" w:rsidR="001C08A5" w:rsidRDefault="00000000">
      <w:pPr>
        <w:pStyle w:val="Heading1"/>
        <w:jc w:val="center"/>
      </w:pPr>
      <w:bookmarkStart w:id="2828" w:name="_Toc1050"/>
      <w:bookmarkStart w:id="2829" w:name="_Toc162355276"/>
      <w:bookmarkStart w:id="2830" w:name="_Toc31034"/>
      <w:bookmarkStart w:id="2831" w:name="_Toc24123"/>
      <w:bookmarkStart w:id="2832" w:name="_Toc15907"/>
      <w:bookmarkStart w:id="2833" w:name="_Toc14096"/>
      <w:bookmarkStart w:id="2834" w:name="_Toc22043"/>
      <w:bookmarkStart w:id="2835" w:name="_Toc31197"/>
      <w:bookmarkStart w:id="2836" w:name="_Toc7648"/>
      <w:bookmarkStart w:id="2837" w:name="_Toc1857"/>
      <w:r>
        <w:t>CAPITOLUL 3</w:t>
      </w:r>
      <w:bookmarkEnd w:id="2828"/>
      <w:bookmarkEnd w:id="2829"/>
      <w:bookmarkEnd w:id="2830"/>
      <w:bookmarkEnd w:id="2831"/>
      <w:bookmarkEnd w:id="2832"/>
      <w:bookmarkEnd w:id="2833"/>
      <w:bookmarkEnd w:id="2834"/>
      <w:bookmarkEnd w:id="2835"/>
      <w:bookmarkEnd w:id="2836"/>
      <w:bookmarkEnd w:id="2837"/>
    </w:p>
    <w:p w14:paraId="0626AFF5" w14:textId="77777777" w:rsidR="001C08A5" w:rsidRDefault="00000000">
      <w:pPr>
        <w:pStyle w:val="Heading2"/>
        <w:jc w:val="center"/>
        <w:rPr>
          <w:rFonts w:cs="Times New Roman"/>
          <w:sz w:val="24"/>
          <w:szCs w:val="24"/>
        </w:rPr>
      </w:pPr>
      <w:bookmarkStart w:id="2838" w:name="_Toc7788"/>
      <w:bookmarkStart w:id="2839" w:name="_Toc18367"/>
      <w:bookmarkStart w:id="2840" w:name="_Toc31828"/>
      <w:bookmarkStart w:id="2841" w:name="_Toc26460"/>
      <w:bookmarkStart w:id="2842" w:name="_Toc162355277"/>
      <w:bookmarkStart w:id="2843" w:name="_Toc10252"/>
      <w:bookmarkStart w:id="2844" w:name="_Toc3819"/>
      <w:bookmarkStart w:id="2845" w:name="_Toc29646"/>
      <w:bookmarkStart w:id="2846" w:name="_Toc14698"/>
      <w:bookmarkStart w:id="2847" w:name="_Toc7406"/>
      <w:r>
        <w:t>3. PERFORMANŢE SPECIFICE UNOR FUNCŢIUNI ALE CONSTRUCŢIILOR CIVILE SUPRATERANE CU ÎNĂLŢIMI OBIŞNUITE</w:t>
      </w:r>
      <w:bookmarkEnd w:id="2838"/>
      <w:bookmarkEnd w:id="2839"/>
      <w:bookmarkEnd w:id="2840"/>
      <w:bookmarkEnd w:id="2841"/>
      <w:bookmarkEnd w:id="2842"/>
      <w:bookmarkEnd w:id="2843"/>
      <w:bookmarkEnd w:id="2844"/>
      <w:bookmarkEnd w:id="2845"/>
      <w:bookmarkEnd w:id="2846"/>
      <w:bookmarkEnd w:id="2847"/>
    </w:p>
    <w:p w14:paraId="15390DBE" w14:textId="77777777" w:rsidR="001C08A5" w:rsidRDefault="00000000">
      <w:pPr>
        <w:pStyle w:val="Heading3"/>
      </w:pPr>
      <w:bookmarkStart w:id="2848" w:name="_Toc20768"/>
      <w:bookmarkStart w:id="2849" w:name="_Toc17094"/>
      <w:bookmarkStart w:id="2850" w:name="_Toc19042"/>
      <w:bookmarkStart w:id="2851" w:name="_Toc4707"/>
      <w:bookmarkStart w:id="2852" w:name="_Toc480"/>
      <w:bookmarkStart w:id="2853" w:name="_Toc29955"/>
      <w:bookmarkStart w:id="2854" w:name="_Toc32220"/>
      <w:bookmarkStart w:id="2855" w:name="_Toc7600"/>
      <w:bookmarkStart w:id="2856" w:name="_Toc10670"/>
      <w:bookmarkStart w:id="2857" w:name="_Toc162355278"/>
      <w:r>
        <w:t>SECŢIUNEA I</w:t>
      </w:r>
      <w:bookmarkEnd w:id="2848"/>
      <w:bookmarkEnd w:id="2849"/>
      <w:bookmarkEnd w:id="2850"/>
      <w:bookmarkEnd w:id="2851"/>
      <w:bookmarkEnd w:id="2852"/>
      <w:bookmarkEnd w:id="2853"/>
      <w:bookmarkEnd w:id="2854"/>
      <w:bookmarkEnd w:id="2855"/>
      <w:bookmarkEnd w:id="2856"/>
      <w:bookmarkEnd w:id="2857"/>
    </w:p>
    <w:p w14:paraId="48D0ED4B" w14:textId="77777777" w:rsidR="001C08A5" w:rsidRDefault="00000000">
      <w:pPr>
        <w:pStyle w:val="Heading3"/>
      </w:pPr>
      <w:bookmarkStart w:id="2858" w:name="_Toc10548"/>
      <w:bookmarkStart w:id="2859" w:name="_Toc4710"/>
      <w:bookmarkStart w:id="2860" w:name="_Toc21878"/>
      <w:bookmarkStart w:id="2861" w:name="_Toc21532"/>
      <w:bookmarkStart w:id="2862" w:name="_Toc12611"/>
      <w:bookmarkStart w:id="2863" w:name="_Toc23132"/>
      <w:bookmarkStart w:id="2864" w:name="_Toc16537"/>
      <w:bookmarkStart w:id="2865" w:name="_Toc162355279"/>
      <w:bookmarkStart w:id="2866" w:name="_Toc10080"/>
      <w:bookmarkStart w:id="2867" w:name="_Toc19443"/>
      <w:r>
        <w:t>3.1. Dispoziţii comune</w:t>
      </w:r>
      <w:bookmarkEnd w:id="2858"/>
      <w:bookmarkEnd w:id="2859"/>
      <w:bookmarkEnd w:id="2860"/>
      <w:bookmarkEnd w:id="2861"/>
      <w:bookmarkEnd w:id="2862"/>
      <w:bookmarkEnd w:id="2863"/>
      <w:bookmarkEnd w:id="2864"/>
      <w:bookmarkEnd w:id="2865"/>
      <w:bookmarkEnd w:id="2866"/>
      <w:bookmarkEnd w:id="2867"/>
    </w:p>
    <w:p w14:paraId="122C23BA" w14:textId="77777777" w:rsidR="001C08A5" w:rsidRDefault="001C08A5">
      <w:pPr>
        <w:jc w:val="both"/>
        <w:rPr>
          <w:sz w:val="24"/>
          <w:szCs w:val="24"/>
        </w:rPr>
      </w:pPr>
    </w:p>
    <w:p w14:paraId="42634301" w14:textId="77777777" w:rsidR="001C08A5" w:rsidRDefault="00000000">
      <w:pPr>
        <w:pStyle w:val="Heading4"/>
      </w:pPr>
      <w:bookmarkStart w:id="2868" w:name="_Toc182"/>
      <w:bookmarkStart w:id="2869" w:name="_Toc162355280"/>
      <w:bookmarkStart w:id="2870" w:name="_Toc17192"/>
      <w:bookmarkStart w:id="2871" w:name="_Toc26981"/>
      <w:bookmarkStart w:id="2872" w:name="_Toc5762"/>
      <w:bookmarkStart w:id="2873" w:name="_Toc5192"/>
      <w:bookmarkStart w:id="2874" w:name="_Toc6320"/>
      <w:bookmarkStart w:id="2875" w:name="_Toc31571"/>
      <w:r>
        <w:t>3.1.1. Condiţii generale de performanţă a construcţiilor (risc de incendiu, nivel de stabilitate la incendiu)</w:t>
      </w:r>
      <w:bookmarkEnd w:id="2868"/>
      <w:bookmarkEnd w:id="2869"/>
      <w:bookmarkEnd w:id="2870"/>
      <w:bookmarkEnd w:id="2871"/>
      <w:bookmarkEnd w:id="2872"/>
      <w:bookmarkEnd w:id="2873"/>
      <w:bookmarkEnd w:id="2874"/>
      <w:bookmarkEnd w:id="2875"/>
    </w:p>
    <w:p w14:paraId="750E4C2F" w14:textId="77777777" w:rsidR="001C08A5" w:rsidRDefault="001C08A5">
      <w:pPr>
        <w:rPr>
          <w:b/>
          <w:sz w:val="24"/>
          <w:szCs w:val="24"/>
        </w:rPr>
      </w:pPr>
    </w:p>
    <w:p w14:paraId="408DAA93" w14:textId="77777777" w:rsidR="001C08A5" w:rsidRDefault="00000000">
      <w:pPr>
        <w:suppressAutoHyphens w:val="0"/>
        <w:autoSpaceDE w:val="0"/>
        <w:autoSpaceDN w:val="0"/>
        <w:adjustRightInd w:val="0"/>
        <w:jc w:val="both"/>
        <w:rPr>
          <w:b/>
          <w:sz w:val="24"/>
          <w:szCs w:val="24"/>
        </w:rPr>
      </w:pPr>
      <w:r>
        <w:rPr>
          <w:b/>
          <w:sz w:val="24"/>
          <w:szCs w:val="24"/>
        </w:rPr>
        <w:tab/>
        <w:t xml:space="preserve">Art. </w:t>
      </w:r>
      <w:r>
        <w:rPr>
          <w:b/>
          <w:caps/>
          <w:sz w:val="24"/>
          <w:szCs w:val="24"/>
        </w:rPr>
        <w:t>3.1.1.</w:t>
      </w:r>
      <w:r>
        <w:rPr>
          <w:b/>
          <w:sz w:val="24"/>
          <w:szCs w:val="24"/>
        </w:rPr>
        <w:t xml:space="preserve">1. (1) </w:t>
      </w:r>
      <w:r>
        <w:rPr>
          <w:sz w:val="24"/>
          <w:szCs w:val="24"/>
          <w:lang w:eastAsia="ro-RO"/>
        </w:rPr>
        <w:t xml:space="preserve">Încăperile, spaţiile și clădirile civile (publice), vor avea determinate riscuri de incendiu, conform prevederilor </w:t>
      </w:r>
      <w:r>
        <w:rPr>
          <w:sz w:val="24"/>
          <w:szCs w:val="24"/>
        </w:rPr>
        <w:t>privind performanțele comune</w:t>
      </w:r>
      <w:r>
        <w:rPr>
          <w:sz w:val="24"/>
          <w:szCs w:val="24"/>
          <w:lang w:eastAsia="ro-RO"/>
        </w:rPr>
        <w:t xml:space="preserve"> din prezentul normativ.</w:t>
      </w:r>
    </w:p>
    <w:p w14:paraId="15D59ADA" w14:textId="77777777" w:rsidR="001C08A5" w:rsidRDefault="00000000">
      <w:pPr>
        <w:suppressAutoHyphens w:val="0"/>
        <w:autoSpaceDE w:val="0"/>
        <w:autoSpaceDN w:val="0"/>
        <w:adjustRightInd w:val="0"/>
        <w:jc w:val="both"/>
        <w:rPr>
          <w:sz w:val="24"/>
          <w:szCs w:val="24"/>
          <w:lang w:val="en-US" w:eastAsia="ro-RO"/>
        </w:rPr>
      </w:pPr>
      <w:r>
        <w:rPr>
          <w:b/>
          <w:sz w:val="24"/>
          <w:szCs w:val="24"/>
        </w:rPr>
        <w:tab/>
        <w:t xml:space="preserve">(2) </w:t>
      </w:r>
      <w:r>
        <w:rPr>
          <w:sz w:val="24"/>
          <w:szCs w:val="24"/>
          <w:lang w:eastAsia="ro-RO"/>
        </w:rPr>
        <w:t xml:space="preserve">În funcţie de riscurile de incendiu determinate, se asigură clasele şi nivelurile de performanţă la foc prevăzute la </w:t>
      </w:r>
      <w:r>
        <w:rPr>
          <w:b/>
          <w:sz w:val="24"/>
          <w:szCs w:val="24"/>
          <w:lang w:eastAsia="ro-RO"/>
        </w:rPr>
        <w:t>Capitolul 3 - Performanţe specifice</w:t>
      </w:r>
      <w:r>
        <w:rPr>
          <w:sz w:val="24"/>
          <w:szCs w:val="24"/>
          <w:lang w:eastAsia="ro-RO"/>
        </w:rPr>
        <w:t xml:space="preserve"> și la </w:t>
      </w:r>
      <w:r>
        <w:rPr>
          <w:b/>
          <w:sz w:val="24"/>
          <w:szCs w:val="24"/>
          <w:lang w:eastAsia="ro-RO"/>
        </w:rPr>
        <w:t xml:space="preserve">Capitolul 2- </w:t>
      </w:r>
      <w:r>
        <w:rPr>
          <w:b/>
          <w:sz w:val="24"/>
          <w:szCs w:val="24"/>
        </w:rPr>
        <w:t>Performante comune</w:t>
      </w:r>
      <w:r>
        <w:rPr>
          <w:sz w:val="24"/>
          <w:szCs w:val="24"/>
        </w:rPr>
        <w:t xml:space="preserve"> construcţiilor cu orice destinaţie</w:t>
      </w:r>
      <w:r>
        <w:rPr>
          <w:sz w:val="24"/>
          <w:szCs w:val="24"/>
          <w:lang w:eastAsia="ro-RO"/>
        </w:rPr>
        <w:t>.</w:t>
      </w:r>
    </w:p>
    <w:p w14:paraId="3EA261AE" w14:textId="77777777" w:rsidR="001C08A5" w:rsidRDefault="00000000">
      <w:pPr>
        <w:jc w:val="both"/>
        <w:rPr>
          <w:sz w:val="24"/>
          <w:szCs w:val="24"/>
          <w:lang w:eastAsia="ro-RO"/>
        </w:rPr>
      </w:pPr>
      <w:r>
        <w:rPr>
          <w:b/>
          <w:sz w:val="24"/>
          <w:szCs w:val="24"/>
        </w:rPr>
        <w:tab/>
        <w:t xml:space="preserve">(3) </w:t>
      </w:r>
      <w:r>
        <w:rPr>
          <w:sz w:val="24"/>
          <w:szCs w:val="24"/>
          <w:lang w:eastAsia="ro-RO"/>
        </w:rPr>
        <w:t xml:space="preserve">Riscurile de incendiu </w:t>
      </w:r>
      <w:r>
        <w:rPr>
          <w:sz w:val="24"/>
          <w:szCs w:val="24"/>
        </w:rPr>
        <w:t>şi riscurile de explozie volumetrică ale încăperilor, zonelor, compartimentelor de incendiu şi construcţiilor</w:t>
      </w:r>
      <w:r>
        <w:rPr>
          <w:sz w:val="24"/>
          <w:szCs w:val="24"/>
          <w:lang w:eastAsia="ro-RO"/>
        </w:rPr>
        <w:t xml:space="preserve"> se precizează obligatoriu în documentaţia tehnică</w:t>
      </w:r>
      <w:r>
        <w:rPr>
          <w:sz w:val="24"/>
          <w:szCs w:val="24"/>
        </w:rPr>
        <w:t>.</w:t>
      </w:r>
    </w:p>
    <w:p w14:paraId="768A2ACC" w14:textId="77777777" w:rsidR="001C08A5" w:rsidRDefault="00000000">
      <w:pPr>
        <w:suppressAutoHyphens w:val="0"/>
        <w:autoSpaceDE w:val="0"/>
        <w:autoSpaceDN w:val="0"/>
        <w:adjustRightInd w:val="0"/>
        <w:jc w:val="both"/>
        <w:rPr>
          <w:b/>
          <w:caps/>
          <w:sz w:val="24"/>
          <w:szCs w:val="24"/>
        </w:rPr>
      </w:pPr>
      <w:r>
        <w:rPr>
          <w:b/>
          <w:bCs/>
          <w:sz w:val="24"/>
          <w:szCs w:val="24"/>
          <w:lang w:eastAsia="ro-RO"/>
        </w:rPr>
        <w:tab/>
        <w:t>(</w:t>
      </w:r>
      <w:r>
        <w:rPr>
          <w:b/>
          <w:bCs/>
          <w:sz w:val="24"/>
          <w:szCs w:val="24"/>
          <w:lang w:val="en-US" w:eastAsia="ro-RO"/>
        </w:rPr>
        <w:t>4</w:t>
      </w:r>
      <w:r>
        <w:rPr>
          <w:b/>
          <w:bCs/>
          <w:sz w:val="24"/>
          <w:szCs w:val="24"/>
          <w:lang w:eastAsia="ro-RO"/>
        </w:rPr>
        <w:t xml:space="preserve">) </w:t>
      </w:r>
      <w:r>
        <w:rPr>
          <w:sz w:val="24"/>
          <w:szCs w:val="24"/>
          <w:lang w:eastAsia="ro-RO"/>
        </w:rPr>
        <w:t xml:space="preserve">Clădirile civile (publice) vor avea nivelul de stabilitate la incendiu precizat obligatoriu în documentaţiile de proiectare. Condiţiile minime pe care trebuie să le îndeplinească clădirea, pentru încadrarea într-un anumit nivel de stabilitate la incendiu, sunt stabilite conform prevederilor din </w:t>
      </w:r>
      <w:r>
        <w:rPr>
          <w:b/>
          <w:sz w:val="24"/>
          <w:szCs w:val="24"/>
          <w:lang w:eastAsia="ro-RO"/>
        </w:rPr>
        <w:t>Art.</w:t>
      </w:r>
      <w:r>
        <w:rPr>
          <w:b/>
          <w:bCs/>
          <w:sz w:val="24"/>
          <w:szCs w:val="24"/>
        </w:rPr>
        <w:t>2.1.3.</w:t>
      </w:r>
      <w:r>
        <w:rPr>
          <w:b/>
          <w:sz w:val="24"/>
          <w:szCs w:val="24"/>
        </w:rPr>
        <w:t>2.</w:t>
      </w:r>
      <w:r>
        <w:rPr>
          <w:sz w:val="24"/>
          <w:szCs w:val="24"/>
          <w:lang w:eastAsia="ro-RO"/>
        </w:rPr>
        <w:t xml:space="preserve"> şi </w:t>
      </w:r>
      <w:r>
        <w:rPr>
          <w:rFonts w:cs="Mangal"/>
          <w:b/>
          <w:i/>
          <w:iCs/>
          <w:sz w:val="24"/>
          <w:szCs w:val="24"/>
          <w:lang w:eastAsia="ro-RO"/>
        </w:rPr>
        <w:fldChar w:fldCharType="begin"/>
      </w:r>
      <w:r>
        <w:rPr>
          <w:rFonts w:cs="Mangal"/>
          <w:b/>
          <w:i/>
          <w:iCs/>
          <w:sz w:val="24"/>
          <w:szCs w:val="24"/>
          <w:lang w:eastAsia="ro-RO"/>
        </w:rPr>
        <w:instrText xml:space="preserve"> REF _Ref26473 \h </w:instrText>
      </w:r>
      <w:r>
        <w:rPr>
          <w:rFonts w:cs="Mangal"/>
          <w:b/>
          <w:i/>
          <w:iCs/>
          <w:sz w:val="24"/>
          <w:szCs w:val="24"/>
          <w:lang w:eastAsia="ro-RO"/>
        </w:rPr>
      </w:r>
      <w:r>
        <w:rPr>
          <w:rFonts w:cs="Mangal"/>
          <w:b/>
          <w:i/>
          <w:iCs/>
          <w:sz w:val="24"/>
          <w:szCs w:val="24"/>
          <w:lang w:eastAsia="ro-RO"/>
        </w:rPr>
        <w:fldChar w:fldCharType="separate"/>
      </w:r>
      <w:r>
        <w:t>Tabelul 2</w:t>
      </w:r>
      <w:r>
        <w:rPr>
          <w:rFonts w:cs="Mangal"/>
          <w:b/>
          <w:i/>
          <w:iCs/>
          <w:sz w:val="24"/>
          <w:szCs w:val="24"/>
          <w:lang w:eastAsia="ro-RO"/>
        </w:rPr>
        <w:fldChar w:fldCharType="end"/>
      </w:r>
      <w:r>
        <w:rPr>
          <w:b/>
          <w:sz w:val="24"/>
          <w:szCs w:val="24"/>
          <w:lang w:eastAsia="ro-RO"/>
        </w:rPr>
        <w:t>.</w:t>
      </w:r>
    </w:p>
    <w:p w14:paraId="2D98C51A" w14:textId="77777777" w:rsidR="001C08A5" w:rsidRDefault="00000000">
      <w:pPr>
        <w:pStyle w:val="Heading4"/>
      </w:pPr>
      <w:bookmarkStart w:id="2876" w:name="_Toc29285"/>
      <w:bookmarkStart w:id="2877" w:name="_Toc11521"/>
      <w:bookmarkStart w:id="2878" w:name="_Toc20898"/>
      <w:bookmarkStart w:id="2879" w:name="_Toc162355281"/>
      <w:bookmarkStart w:id="2880" w:name="_Toc5847"/>
      <w:bookmarkStart w:id="2881" w:name="_Toc2764"/>
      <w:bookmarkStart w:id="2882" w:name="_Toc21726"/>
      <w:bookmarkStart w:id="2883" w:name="_Toc25021"/>
      <w:r>
        <w:lastRenderedPageBreak/>
        <w:t>3.1.2. Amplasarea şi conformarea construcţiilor</w:t>
      </w:r>
      <w:bookmarkEnd w:id="2876"/>
      <w:bookmarkEnd w:id="2877"/>
      <w:bookmarkEnd w:id="2878"/>
      <w:bookmarkEnd w:id="2879"/>
      <w:bookmarkEnd w:id="2880"/>
      <w:bookmarkEnd w:id="2881"/>
      <w:bookmarkEnd w:id="2882"/>
      <w:bookmarkEnd w:id="2883"/>
    </w:p>
    <w:p w14:paraId="58CE4CFC" w14:textId="77777777" w:rsidR="001C08A5" w:rsidRDefault="001C08A5">
      <w:pPr>
        <w:jc w:val="both"/>
        <w:rPr>
          <w:b/>
          <w:sz w:val="24"/>
          <w:szCs w:val="24"/>
        </w:rPr>
      </w:pPr>
    </w:p>
    <w:p w14:paraId="7D6C57E1" w14:textId="77777777" w:rsidR="001C08A5" w:rsidRDefault="00000000">
      <w:pPr>
        <w:jc w:val="both"/>
        <w:rPr>
          <w:sz w:val="24"/>
          <w:szCs w:val="24"/>
        </w:rPr>
      </w:pPr>
      <w:r>
        <w:rPr>
          <w:b/>
          <w:sz w:val="24"/>
          <w:szCs w:val="24"/>
        </w:rPr>
        <w:tab/>
        <w:t xml:space="preserve">Art. </w:t>
      </w:r>
      <w:r>
        <w:rPr>
          <w:b/>
          <w:caps/>
          <w:sz w:val="24"/>
          <w:szCs w:val="24"/>
        </w:rPr>
        <w:t>3.1.2.</w:t>
      </w:r>
      <w:r>
        <w:rPr>
          <w:b/>
          <w:sz w:val="24"/>
          <w:szCs w:val="24"/>
        </w:rPr>
        <w:t xml:space="preserve">1. </w:t>
      </w:r>
      <w:r>
        <w:rPr>
          <w:sz w:val="24"/>
          <w:szCs w:val="24"/>
        </w:rPr>
        <w:t>Construcţiile civile cu înălţimi obişnuite se conformează, realizează și compartimentează, potrivit prevederilor normativului.</w:t>
      </w:r>
    </w:p>
    <w:p w14:paraId="40744800" w14:textId="77777777" w:rsidR="001C08A5" w:rsidRDefault="001C08A5">
      <w:pPr>
        <w:jc w:val="both"/>
        <w:rPr>
          <w:sz w:val="24"/>
          <w:szCs w:val="24"/>
        </w:rPr>
      </w:pPr>
    </w:p>
    <w:p w14:paraId="47FB0C2E" w14:textId="77777777" w:rsidR="001C08A5" w:rsidRDefault="00000000">
      <w:pPr>
        <w:jc w:val="both"/>
        <w:rPr>
          <w:sz w:val="24"/>
          <w:szCs w:val="24"/>
        </w:rPr>
      </w:pPr>
      <w:r>
        <w:rPr>
          <w:b/>
          <w:sz w:val="24"/>
          <w:szCs w:val="24"/>
        </w:rPr>
        <w:tab/>
        <w:t xml:space="preserve">Art. </w:t>
      </w:r>
      <w:r>
        <w:rPr>
          <w:b/>
          <w:caps/>
          <w:sz w:val="24"/>
          <w:szCs w:val="24"/>
        </w:rPr>
        <w:t>3.1.2.</w:t>
      </w:r>
      <w:r>
        <w:rPr>
          <w:b/>
          <w:sz w:val="24"/>
          <w:szCs w:val="24"/>
        </w:rPr>
        <w:t xml:space="preserve">2. </w:t>
      </w:r>
      <w:r>
        <w:rPr>
          <w:sz w:val="24"/>
          <w:szCs w:val="24"/>
        </w:rPr>
        <w:t>Construcţiile civile cu înălţimi obişnuite supraterane se amplasează potrivit prevederilor normativului.</w:t>
      </w:r>
    </w:p>
    <w:p w14:paraId="050F14EF" w14:textId="77777777" w:rsidR="001C08A5" w:rsidRDefault="001C08A5">
      <w:pPr>
        <w:suppressAutoHyphens w:val="0"/>
        <w:autoSpaceDE w:val="0"/>
        <w:autoSpaceDN w:val="0"/>
        <w:adjustRightInd w:val="0"/>
        <w:rPr>
          <w:sz w:val="24"/>
          <w:szCs w:val="24"/>
          <w:lang w:eastAsia="ro-RO"/>
        </w:rPr>
      </w:pPr>
    </w:p>
    <w:p w14:paraId="2EA2CE98"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Art. </w:t>
      </w:r>
      <w:r>
        <w:rPr>
          <w:b/>
          <w:caps/>
          <w:sz w:val="24"/>
          <w:szCs w:val="24"/>
        </w:rPr>
        <w:t>3.1.2.</w:t>
      </w:r>
      <w:r>
        <w:rPr>
          <w:b/>
          <w:sz w:val="24"/>
          <w:szCs w:val="24"/>
        </w:rPr>
        <w:t xml:space="preserve">3. </w:t>
      </w:r>
      <w:r>
        <w:rPr>
          <w:sz w:val="24"/>
          <w:szCs w:val="24"/>
          <w:lang w:eastAsia="ro-RO"/>
        </w:rPr>
        <w:t>În cazul comasării mai multor destinaţii într-o clădire civilă, acestea se vor separa corespunzător, de regulă, prin pereţi și planşee rezistente la foc conform normativului.</w:t>
      </w:r>
    </w:p>
    <w:p w14:paraId="36DC78C8" w14:textId="77777777" w:rsidR="001C08A5" w:rsidRDefault="001C08A5">
      <w:pPr>
        <w:suppressAutoHyphens w:val="0"/>
        <w:autoSpaceDE w:val="0"/>
        <w:autoSpaceDN w:val="0"/>
        <w:adjustRightInd w:val="0"/>
        <w:rPr>
          <w:sz w:val="24"/>
          <w:szCs w:val="24"/>
          <w:lang w:eastAsia="ro-RO"/>
        </w:rPr>
      </w:pPr>
    </w:p>
    <w:p w14:paraId="43126926" w14:textId="77777777" w:rsidR="001C08A5" w:rsidRDefault="00000000">
      <w:pPr>
        <w:jc w:val="both"/>
        <w:rPr>
          <w:sz w:val="24"/>
          <w:szCs w:val="24"/>
        </w:rPr>
      </w:pPr>
      <w:r>
        <w:rPr>
          <w:b/>
          <w:sz w:val="24"/>
          <w:szCs w:val="24"/>
        </w:rPr>
        <w:tab/>
        <w:t xml:space="preserve">Art. </w:t>
      </w:r>
      <w:r>
        <w:rPr>
          <w:b/>
          <w:caps/>
          <w:sz w:val="24"/>
          <w:szCs w:val="24"/>
        </w:rPr>
        <w:t>3.1.2.</w:t>
      </w:r>
      <w:r>
        <w:rPr>
          <w:b/>
          <w:sz w:val="24"/>
          <w:szCs w:val="24"/>
        </w:rPr>
        <w:t xml:space="preserve">4. </w:t>
      </w:r>
      <w:r>
        <w:rPr>
          <w:sz w:val="24"/>
          <w:szCs w:val="24"/>
        </w:rPr>
        <w:t xml:space="preserve">Comasarea cu alte construcţii sau între ele a clădirilor civile supraterane înalte şi/sau foarte înalte este interzisă în cadrul aceluiași compartiment de incendiu. </w:t>
      </w:r>
    </w:p>
    <w:p w14:paraId="34589E23" w14:textId="77777777" w:rsidR="001C08A5" w:rsidRDefault="001C08A5">
      <w:pPr>
        <w:jc w:val="both"/>
        <w:rPr>
          <w:sz w:val="24"/>
          <w:szCs w:val="24"/>
        </w:rPr>
      </w:pPr>
    </w:p>
    <w:p w14:paraId="46B77B8F" w14:textId="77777777" w:rsidR="001C08A5" w:rsidRDefault="00000000">
      <w:pPr>
        <w:ind w:firstLine="720"/>
        <w:jc w:val="both"/>
        <w:rPr>
          <w:sz w:val="24"/>
          <w:szCs w:val="24"/>
          <w:lang w:eastAsia="ro-RO"/>
        </w:rPr>
      </w:pPr>
      <w:r>
        <w:rPr>
          <w:b/>
          <w:sz w:val="24"/>
          <w:szCs w:val="24"/>
        </w:rPr>
        <w:t xml:space="preserve">Art. </w:t>
      </w:r>
      <w:r>
        <w:rPr>
          <w:b/>
          <w:caps/>
          <w:sz w:val="24"/>
          <w:szCs w:val="24"/>
        </w:rPr>
        <w:t>3.1.2.</w:t>
      </w:r>
      <w:r>
        <w:rPr>
          <w:b/>
          <w:sz w:val="24"/>
          <w:szCs w:val="24"/>
        </w:rPr>
        <w:t xml:space="preserve">5. (1) </w:t>
      </w:r>
      <w:r>
        <w:rPr>
          <w:sz w:val="24"/>
          <w:szCs w:val="24"/>
          <w:lang w:eastAsia="ro-RO"/>
        </w:rPr>
        <w:t xml:space="preserve">Prin conformare se vor avea în vedere prevederile </w:t>
      </w:r>
      <w:r>
        <w:rPr>
          <w:sz w:val="24"/>
          <w:szCs w:val="24"/>
        </w:rPr>
        <w:t>privind performanțele</w:t>
      </w:r>
      <w:r>
        <w:rPr>
          <w:sz w:val="24"/>
          <w:szCs w:val="24"/>
          <w:lang w:eastAsia="ro-RO"/>
        </w:rPr>
        <w:t xml:space="preserve"> comune și cele specifice.</w:t>
      </w:r>
    </w:p>
    <w:p w14:paraId="080BE46F" w14:textId="77777777" w:rsidR="001C08A5" w:rsidRDefault="00000000">
      <w:pPr>
        <w:ind w:firstLine="720"/>
        <w:jc w:val="both"/>
        <w:rPr>
          <w:sz w:val="24"/>
          <w:szCs w:val="24"/>
        </w:rPr>
      </w:pPr>
      <w:r>
        <w:rPr>
          <w:b/>
          <w:sz w:val="24"/>
          <w:szCs w:val="24"/>
        </w:rPr>
        <w:t>(2)</w:t>
      </w:r>
      <w:r>
        <w:rPr>
          <w:sz w:val="24"/>
          <w:szCs w:val="24"/>
        </w:rPr>
        <w:t xml:space="preserve"> construcțiile civile supraterane cu înălţimi obişnuite vor fi conformate astfel încât să îndeplinească condiţiile de corelare între nivelul de stabilitate la incendiu asigurat (conform prevederilor </w:t>
      </w:r>
      <w:r>
        <w:rPr>
          <w:b/>
          <w:sz w:val="24"/>
          <w:szCs w:val="24"/>
        </w:rPr>
        <w:t>Art.</w:t>
      </w:r>
      <w:r>
        <w:rPr>
          <w:b/>
          <w:bCs/>
          <w:sz w:val="24"/>
          <w:szCs w:val="24"/>
        </w:rPr>
        <w:t>2.1.3.</w:t>
      </w:r>
      <w:r>
        <w:rPr>
          <w:b/>
          <w:sz w:val="24"/>
          <w:szCs w:val="24"/>
        </w:rPr>
        <w:t>2.</w:t>
      </w:r>
      <w:r>
        <w:rPr>
          <w:sz w:val="24"/>
          <w:szCs w:val="24"/>
        </w:rPr>
        <w:t xml:space="preserve"> şi </w:t>
      </w:r>
      <w:r>
        <w:rPr>
          <w:rFonts w:cs="Mangal"/>
          <w:b/>
          <w:i/>
          <w:iCs/>
          <w:sz w:val="24"/>
          <w:szCs w:val="24"/>
        </w:rPr>
        <w:fldChar w:fldCharType="begin"/>
      </w:r>
      <w:r>
        <w:rPr>
          <w:rFonts w:cs="Mangal"/>
          <w:b/>
          <w:i/>
          <w:iCs/>
          <w:sz w:val="24"/>
          <w:szCs w:val="24"/>
        </w:rPr>
        <w:instrText xml:space="preserve"> REF _Ref26473 \h </w:instrText>
      </w:r>
      <w:r>
        <w:rPr>
          <w:rFonts w:cs="Mangal"/>
          <w:b/>
          <w:i/>
          <w:iCs/>
          <w:sz w:val="24"/>
          <w:szCs w:val="24"/>
        </w:rPr>
      </w:r>
      <w:r>
        <w:rPr>
          <w:rFonts w:cs="Mangal"/>
          <w:b/>
          <w:i/>
          <w:iCs/>
          <w:sz w:val="24"/>
          <w:szCs w:val="24"/>
        </w:rPr>
        <w:fldChar w:fldCharType="separate"/>
      </w:r>
      <w:r>
        <w:t>Tabelul 2</w:t>
      </w:r>
      <w:r>
        <w:rPr>
          <w:rFonts w:cs="Mangal"/>
          <w:b/>
          <w:i/>
          <w:iCs/>
          <w:sz w:val="24"/>
          <w:szCs w:val="24"/>
        </w:rPr>
        <w:fldChar w:fldCharType="end"/>
      </w:r>
      <w:r>
        <w:rPr>
          <w:sz w:val="24"/>
          <w:szCs w:val="24"/>
        </w:rPr>
        <w:t>), aria construită (</w:t>
      </w:r>
      <w:r>
        <w:rPr>
          <w:b/>
          <w:sz w:val="24"/>
          <w:szCs w:val="24"/>
        </w:rPr>
        <w:t>Ac</w:t>
      </w:r>
      <w:r>
        <w:rPr>
          <w:sz w:val="24"/>
          <w:szCs w:val="24"/>
        </w:rPr>
        <w:t xml:space="preserve">), destinaţie și numărul de niveluri, conform prevederilor din </w:t>
      </w:r>
      <w:r>
        <w:rPr>
          <w:b/>
          <w:sz w:val="24"/>
          <w:szCs w:val="24"/>
        </w:rPr>
        <w:t xml:space="preserve">Art. </w:t>
      </w:r>
      <w:r>
        <w:rPr>
          <w:b/>
          <w:caps/>
          <w:sz w:val="24"/>
          <w:szCs w:val="24"/>
        </w:rPr>
        <w:t>3.1.2.</w:t>
      </w:r>
      <w:r>
        <w:rPr>
          <w:b/>
          <w:sz w:val="24"/>
          <w:szCs w:val="24"/>
        </w:rPr>
        <w:t>6.</w:t>
      </w:r>
      <w:r>
        <w:rPr>
          <w:sz w:val="24"/>
          <w:szCs w:val="24"/>
        </w:rPr>
        <w:t xml:space="preserve"> şi </w:t>
      </w:r>
      <w:r>
        <w:rPr>
          <w:b/>
          <w:sz w:val="24"/>
          <w:szCs w:val="24"/>
        </w:rPr>
        <w:t xml:space="preserve">Art. </w:t>
      </w:r>
      <w:r>
        <w:rPr>
          <w:b/>
          <w:caps/>
          <w:sz w:val="24"/>
          <w:szCs w:val="24"/>
        </w:rPr>
        <w:t>3.1.2.</w:t>
      </w:r>
      <w:r>
        <w:rPr>
          <w:b/>
          <w:sz w:val="24"/>
          <w:szCs w:val="24"/>
        </w:rPr>
        <w:t>7.</w:t>
      </w:r>
      <w:r>
        <w:rPr>
          <w:sz w:val="24"/>
          <w:szCs w:val="24"/>
        </w:rPr>
        <w:t xml:space="preserve"> precum și </w:t>
      </w:r>
      <w:r>
        <w:rPr>
          <w:rFonts w:cs="Mangal"/>
          <w:b/>
          <w:i/>
          <w:iCs/>
          <w:sz w:val="24"/>
          <w:szCs w:val="24"/>
        </w:rPr>
        <w:fldChar w:fldCharType="begin"/>
      </w:r>
      <w:r>
        <w:rPr>
          <w:rFonts w:cs="Mangal"/>
          <w:b/>
          <w:i/>
          <w:iCs/>
          <w:sz w:val="24"/>
          <w:szCs w:val="24"/>
        </w:rPr>
        <w:instrText xml:space="preserve"> REF _Ref2409 \h </w:instrText>
      </w:r>
      <w:r>
        <w:rPr>
          <w:rFonts w:cs="Mangal"/>
          <w:b/>
          <w:i/>
          <w:iCs/>
          <w:sz w:val="24"/>
          <w:szCs w:val="24"/>
        </w:rPr>
      </w:r>
      <w:r>
        <w:rPr>
          <w:rFonts w:cs="Mangal"/>
          <w:b/>
          <w:i/>
          <w:iCs/>
          <w:sz w:val="24"/>
          <w:szCs w:val="24"/>
        </w:rPr>
        <w:fldChar w:fldCharType="separate"/>
      </w:r>
      <w:r>
        <w:t>Tabelul 41</w:t>
      </w:r>
      <w:r>
        <w:rPr>
          <w:rFonts w:cs="Mangal"/>
          <w:b/>
          <w:i/>
          <w:iCs/>
          <w:sz w:val="24"/>
          <w:szCs w:val="24"/>
        </w:rPr>
        <w:fldChar w:fldCharType="end"/>
      </w:r>
      <w:r>
        <w:rPr>
          <w:sz w:val="24"/>
          <w:szCs w:val="24"/>
        </w:rPr>
        <w:t xml:space="preserve"> și </w:t>
      </w:r>
      <w:r>
        <w:rPr>
          <w:rFonts w:cs="Mangal"/>
          <w:b/>
          <w:i/>
          <w:iCs/>
          <w:sz w:val="24"/>
          <w:szCs w:val="24"/>
        </w:rPr>
        <w:fldChar w:fldCharType="begin"/>
      </w:r>
      <w:r>
        <w:rPr>
          <w:rFonts w:cs="Mangal"/>
          <w:b/>
          <w:i/>
          <w:iCs/>
          <w:sz w:val="24"/>
          <w:szCs w:val="24"/>
        </w:rPr>
        <w:instrText xml:space="preserve"> REF _Ref2948 \h </w:instrText>
      </w:r>
      <w:r>
        <w:rPr>
          <w:rFonts w:cs="Mangal"/>
          <w:b/>
          <w:i/>
          <w:iCs/>
          <w:sz w:val="24"/>
          <w:szCs w:val="24"/>
        </w:rPr>
      </w:r>
      <w:r>
        <w:rPr>
          <w:rFonts w:cs="Mangal"/>
          <w:b/>
          <w:i/>
          <w:iCs/>
          <w:sz w:val="24"/>
          <w:szCs w:val="24"/>
        </w:rPr>
        <w:fldChar w:fldCharType="separate"/>
      </w:r>
      <w:r>
        <w:t>Tabelul 42</w:t>
      </w:r>
      <w:r>
        <w:rPr>
          <w:rFonts w:cs="Mangal"/>
          <w:b/>
          <w:i/>
          <w:iCs/>
          <w:sz w:val="24"/>
          <w:szCs w:val="24"/>
        </w:rPr>
        <w:fldChar w:fldCharType="end"/>
      </w:r>
      <w:r>
        <w:rPr>
          <w:sz w:val="24"/>
          <w:szCs w:val="24"/>
        </w:rPr>
        <w:t>.</w:t>
      </w:r>
    </w:p>
    <w:p w14:paraId="4B4734BD" w14:textId="77777777" w:rsidR="001C08A5" w:rsidRDefault="00000000">
      <w:pPr>
        <w:jc w:val="both"/>
        <w:rPr>
          <w:dstrike/>
          <w:sz w:val="24"/>
          <w:szCs w:val="24"/>
        </w:rPr>
      </w:pPr>
      <w:r>
        <w:rPr>
          <w:sz w:val="24"/>
          <w:szCs w:val="24"/>
        </w:rPr>
        <w:tab/>
      </w:r>
      <w:r>
        <w:rPr>
          <w:b/>
          <w:sz w:val="24"/>
          <w:szCs w:val="24"/>
        </w:rPr>
        <w:t>(3)</w:t>
      </w:r>
      <w:r>
        <w:rPr>
          <w:sz w:val="24"/>
          <w:szCs w:val="24"/>
        </w:rPr>
        <w:t xml:space="preserve"> Pe cât posibil, activităţile cu riscuri mari şi foarte mari de incendiu se dispun în zone distincte ale construcţiei.</w:t>
      </w:r>
    </w:p>
    <w:p w14:paraId="05BF1C44" w14:textId="77777777" w:rsidR="001C08A5" w:rsidRDefault="00000000">
      <w:pPr>
        <w:jc w:val="both"/>
        <w:rPr>
          <w:dstrike/>
          <w:sz w:val="24"/>
          <w:szCs w:val="24"/>
        </w:rPr>
      </w:pPr>
      <w:r>
        <w:rPr>
          <w:sz w:val="24"/>
          <w:szCs w:val="24"/>
        </w:rPr>
        <w:tab/>
      </w:r>
      <w:r>
        <w:rPr>
          <w:b/>
          <w:sz w:val="24"/>
          <w:szCs w:val="24"/>
        </w:rPr>
        <w:t xml:space="preserve">(4) </w:t>
      </w:r>
      <w:r>
        <w:rPr>
          <w:sz w:val="24"/>
          <w:szCs w:val="24"/>
        </w:rPr>
        <w:t>Dispunerea încăperilor și a spaţiilor cu risc de explozie volumetrică în subsolurile construcţiilor civile supraterane nu este recomandată. În subsolurile acestor construcţii se pot dispune astfel de riscuri numai atunci când sunt justificate tehnic și asigurate măsurile specifice de protecţie şi compartimentate cu elemente rezistente la foc şi explozie.</w:t>
      </w:r>
    </w:p>
    <w:p w14:paraId="0FAC1BDF" w14:textId="77777777" w:rsidR="001C08A5" w:rsidRDefault="00000000">
      <w:pPr>
        <w:jc w:val="both"/>
        <w:rPr>
          <w:sz w:val="24"/>
          <w:szCs w:val="24"/>
        </w:rPr>
      </w:pPr>
      <w:r>
        <w:rPr>
          <w:sz w:val="24"/>
          <w:szCs w:val="24"/>
        </w:rPr>
        <w:tab/>
      </w:r>
      <w:r>
        <w:rPr>
          <w:b/>
          <w:sz w:val="24"/>
          <w:szCs w:val="24"/>
        </w:rPr>
        <w:t xml:space="preserve">(5) </w:t>
      </w:r>
      <w:r>
        <w:rPr>
          <w:sz w:val="24"/>
          <w:szCs w:val="24"/>
        </w:rPr>
        <w:t xml:space="preserve">În construcţiile supraterane sau subterane civile nu este admisă manipularea, prelucrarea sau depozitarea materialelor și substanţelor cu risc de explozie volumetrică, precum și amplasarea atelierelor în care se utilizează astfel de materiale, cu excepţia celor stabilite conform prevederilor normativului şi celor cu funcțiuni de laboratoare, farmacii, spitale etc.. </w:t>
      </w:r>
    </w:p>
    <w:p w14:paraId="58B5F235" w14:textId="77777777" w:rsidR="001C08A5" w:rsidRDefault="00000000">
      <w:pPr>
        <w:ind w:firstLine="720"/>
        <w:jc w:val="both"/>
        <w:rPr>
          <w:sz w:val="24"/>
          <w:szCs w:val="24"/>
        </w:rPr>
      </w:pPr>
      <w:r>
        <w:rPr>
          <w:b/>
          <w:sz w:val="24"/>
          <w:szCs w:val="24"/>
        </w:rPr>
        <w:t>(6)</w:t>
      </w:r>
      <w:r>
        <w:rPr>
          <w:sz w:val="24"/>
          <w:szCs w:val="24"/>
        </w:rPr>
        <w:t xml:space="preserve"> La activităţile cu risc de explozie volumetrică dispuse tehnic sau funcţional la toate nivelurile constructiei (inclusiv pe terasa ultimului nivel al construcţiei civile), este obligatorie asigurarea măsurilor corespunzătoare de compartimentare catre alte spatii și functiuni cu elemente rezistente la foc şi explozie volumetrică, potrivit prevederilor normativului şi ale reglementărilor tehnice aplicabile. </w:t>
      </w:r>
    </w:p>
    <w:p w14:paraId="5719BDEF" w14:textId="77777777" w:rsidR="001C08A5" w:rsidRDefault="001C08A5">
      <w:pPr>
        <w:ind w:firstLine="720"/>
        <w:jc w:val="both"/>
        <w:rPr>
          <w:sz w:val="24"/>
          <w:szCs w:val="24"/>
          <w:lang w:eastAsia="ro-RO"/>
        </w:rPr>
      </w:pPr>
    </w:p>
    <w:p w14:paraId="11985C22" w14:textId="77777777" w:rsidR="001C08A5" w:rsidRDefault="00000000">
      <w:pPr>
        <w:suppressAutoHyphens w:val="0"/>
        <w:autoSpaceDE w:val="0"/>
        <w:autoSpaceDN w:val="0"/>
        <w:adjustRightInd w:val="0"/>
        <w:jc w:val="both"/>
        <w:rPr>
          <w:b/>
          <w:sz w:val="24"/>
          <w:szCs w:val="24"/>
        </w:rPr>
      </w:pPr>
      <w:r>
        <w:rPr>
          <w:b/>
          <w:sz w:val="24"/>
          <w:szCs w:val="24"/>
        </w:rPr>
        <w:tab/>
        <w:t xml:space="preserve">Art. </w:t>
      </w:r>
      <w:r>
        <w:rPr>
          <w:b/>
          <w:caps/>
          <w:sz w:val="24"/>
          <w:szCs w:val="24"/>
        </w:rPr>
        <w:t>3.1.2.</w:t>
      </w:r>
      <w:r>
        <w:rPr>
          <w:b/>
          <w:sz w:val="24"/>
          <w:szCs w:val="24"/>
        </w:rPr>
        <w:t xml:space="preserve">6. </w:t>
      </w:r>
      <w:r>
        <w:rPr>
          <w:bCs/>
          <w:sz w:val="24"/>
          <w:szCs w:val="24"/>
        </w:rPr>
        <w:t xml:space="preserve">În funcţie de nivelul de stabilitate la incendiu asigurat, </w:t>
      </w:r>
      <w:r>
        <w:rPr>
          <w:sz w:val="24"/>
          <w:szCs w:val="24"/>
        </w:rPr>
        <w:t>ariile construite ale construcţiilor și compartimentelor de incendiu supraterane civile (</w:t>
      </w:r>
      <w:r>
        <w:rPr>
          <w:b/>
          <w:sz w:val="24"/>
          <w:szCs w:val="24"/>
        </w:rPr>
        <w:t>Ac</w:t>
      </w:r>
      <w:r>
        <w:rPr>
          <w:sz w:val="24"/>
          <w:szCs w:val="24"/>
        </w:rPr>
        <w:t xml:space="preserve">), se conformează potrivit prevederilor din </w:t>
      </w:r>
      <w:r>
        <w:rPr>
          <w:rFonts w:cs="Mangal"/>
          <w:b/>
          <w:i/>
          <w:iCs/>
          <w:sz w:val="24"/>
          <w:szCs w:val="24"/>
        </w:rPr>
        <w:fldChar w:fldCharType="begin"/>
      </w:r>
      <w:r>
        <w:rPr>
          <w:rFonts w:cs="Mangal"/>
          <w:b/>
          <w:i/>
          <w:iCs/>
          <w:sz w:val="24"/>
          <w:szCs w:val="24"/>
        </w:rPr>
        <w:instrText xml:space="preserve"> REF _Ref2409 \h </w:instrText>
      </w:r>
      <w:r>
        <w:rPr>
          <w:rFonts w:cs="Mangal"/>
          <w:b/>
          <w:i/>
          <w:iCs/>
          <w:sz w:val="24"/>
          <w:szCs w:val="24"/>
        </w:rPr>
      </w:r>
      <w:r>
        <w:rPr>
          <w:rFonts w:cs="Mangal"/>
          <w:b/>
          <w:i/>
          <w:iCs/>
          <w:sz w:val="24"/>
          <w:szCs w:val="24"/>
        </w:rPr>
        <w:fldChar w:fldCharType="separate"/>
      </w:r>
      <w:r>
        <w:t>Tabelul 41</w:t>
      </w:r>
      <w:r>
        <w:rPr>
          <w:rFonts w:cs="Mangal"/>
          <w:b/>
          <w:i/>
          <w:iCs/>
          <w:sz w:val="24"/>
          <w:szCs w:val="24"/>
        </w:rPr>
        <w:fldChar w:fldCharType="end"/>
      </w:r>
      <w:r>
        <w:rPr>
          <w:rStyle w:val="NORMALBOLDTABELE"/>
        </w:rPr>
        <w:t xml:space="preserve"> și </w:t>
      </w:r>
      <w:r>
        <w:rPr>
          <w:b/>
          <w:sz w:val="24"/>
          <w:szCs w:val="24"/>
        </w:rPr>
        <w:t xml:space="preserve">Art. </w:t>
      </w:r>
      <w:r>
        <w:rPr>
          <w:b/>
          <w:caps/>
          <w:sz w:val="24"/>
          <w:szCs w:val="24"/>
        </w:rPr>
        <w:t>3.1.2.</w:t>
      </w:r>
      <w:r>
        <w:rPr>
          <w:b/>
          <w:sz w:val="24"/>
          <w:szCs w:val="24"/>
        </w:rPr>
        <w:t>7.</w:t>
      </w:r>
    </w:p>
    <w:p w14:paraId="1D1343D1" w14:textId="77777777" w:rsidR="001C08A5" w:rsidRDefault="001C08A5">
      <w:pPr>
        <w:suppressAutoHyphens w:val="0"/>
        <w:autoSpaceDE w:val="0"/>
        <w:autoSpaceDN w:val="0"/>
        <w:adjustRightInd w:val="0"/>
        <w:jc w:val="both"/>
        <w:rPr>
          <w:b/>
          <w:sz w:val="24"/>
          <w:szCs w:val="24"/>
        </w:rPr>
      </w:pPr>
    </w:p>
    <w:p w14:paraId="071D7D00" w14:textId="77777777" w:rsidR="001C08A5" w:rsidRDefault="00000000">
      <w:pPr>
        <w:pStyle w:val="Captiontabel"/>
      </w:pPr>
      <w:bookmarkStart w:id="2884" w:name="_Ref2409"/>
      <w:bookmarkStart w:id="2885" w:name="_Toc162360091"/>
      <w:bookmarkStart w:id="2886" w:name="_Ref24455"/>
      <w:r>
        <w:t xml:space="preserve">Tabelul </w:t>
      </w:r>
      <w:r>
        <w:fldChar w:fldCharType="begin"/>
      </w:r>
      <w:r>
        <w:instrText xml:space="preserve"> SEQ Tabelul \* ARABIC </w:instrText>
      </w:r>
      <w:r>
        <w:fldChar w:fldCharType="separate"/>
      </w:r>
      <w:r>
        <w:t>41</w:t>
      </w:r>
      <w:r>
        <w:fldChar w:fldCharType="end"/>
      </w:r>
      <w:bookmarkStart w:id="2887" w:name="_Toc25939"/>
      <w:bookmarkStart w:id="2888" w:name="_Toc29508"/>
      <w:bookmarkStart w:id="2889" w:name="_Toc14446"/>
      <w:bookmarkStart w:id="2890" w:name="_Toc24107"/>
      <w:bookmarkStart w:id="2891" w:name="_Toc16814"/>
      <w:bookmarkStart w:id="2892" w:name="_Toc27546"/>
      <w:bookmarkStart w:id="2893" w:name="_Toc30121"/>
      <w:bookmarkStart w:id="2894" w:name="_Toc9490"/>
      <w:bookmarkStart w:id="2895" w:name="_Toc7921"/>
      <w:bookmarkStart w:id="2896" w:name="_Toc23432"/>
      <w:bookmarkStart w:id="2897" w:name="_Toc29794"/>
      <w:bookmarkStart w:id="2898" w:name="_Toc9631"/>
      <w:bookmarkStart w:id="2899" w:name="_Toc13184"/>
      <w:bookmarkStart w:id="2900" w:name="_Toc193"/>
      <w:bookmarkStart w:id="2901" w:name="_Toc27584"/>
      <w:bookmarkStart w:id="2902" w:name="_Toc31681"/>
      <w:bookmarkStart w:id="2903" w:name="_Toc25317"/>
      <w:bookmarkStart w:id="2904" w:name="_Toc13919"/>
      <w:bookmarkStart w:id="2905" w:name="_Toc14510"/>
      <w:bookmarkEnd w:id="2884"/>
      <w:r>
        <w:t>: Condiţii de corelare a ariilor construite (Ac) ale clădirilor și compartimentelor de incendiu supraterane civile cu nivelul de stabiliate la incendiu</w:t>
      </w:r>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p>
    <w:p w14:paraId="115114D6" w14:textId="77777777" w:rsidR="001C08A5" w:rsidRDefault="001C08A5">
      <w:pPr>
        <w:jc w:val="both"/>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3496"/>
        <w:gridCol w:w="3342"/>
      </w:tblGrid>
      <w:tr w:rsidR="001C08A5" w14:paraId="6B282560" w14:textId="77777777">
        <w:trPr>
          <w:cantSplit/>
          <w:tblHeader/>
        </w:trPr>
        <w:tc>
          <w:tcPr>
            <w:tcW w:w="2660" w:type="dxa"/>
            <w:vMerge w:val="restart"/>
            <w:shd w:val="clear" w:color="auto" w:fill="BFBFBF"/>
          </w:tcPr>
          <w:p w14:paraId="6E99132E" w14:textId="77777777" w:rsidR="001C08A5" w:rsidRDefault="00000000">
            <w:pPr>
              <w:jc w:val="center"/>
              <w:rPr>
                <w:b/>
                <w:i/>
                <w:iCs/>
                <w:sz w:val="22"/>
                <w:szCs w:val="22"/>
              </w:rPr>
            </w:pPr>
            <w:r>
              <w:rPr>
                <w:b/>
                <w:i/>
                <w:iCs/>
                <w:sz w:val="22"/>
                <w:szCs w:val="22"/>
              </w:rPr>
              <w:t>Nivel de stabilitate la incendiu</w:t>
            </w:r>
          </w:p>
        </w:tc>
        <w:tc>
          <w:tcPr>
            <w:tcW w:w="6838" w:type="dxa"/>
            <w:gridSpan w:val="2"/>
            <w:shd w:val="clear" w:color="auto" w:fill="BFBFBF"/>
          </w:tcPr>
          <w:p w14:paraId="0181C9D2" w14:textId="77777777" w:rsidR="001C08A5" w:rsidRDefault="00000000">
            <w:pPr>
              <w:jc w:val="center"/>
              <w:rPr>
                <w:b/>
                <w:i/>
                <w:iCs/>
                <w:sz w:val="22"/>
                <w:szCs w:val="22"/>
              </w:rPr>
            </w:pPr>
            <w:r>
              <w:rPr>
                <w:b/>
                <w:i/>
                <w:iCs/>
                <w:sz w:val="22"/>
                <w:szCs w:val="22"/>
              </w:rPr>
              <w:t>Aria maximă construită (Ac) a clădirilor și compartimentelor de incendiu supraterane civile (m²)</w:t>
            </w:r>
          </w:p>
        </w:tc>
      </w:tr>
      <w:tr w:rsidR="001C08A5" w14:paraId="0921ADAA" w14:textId="77777777">
        <w:trPr>
          <w:cantSplit/>
          <w:tblHeader/>
        </w:trPr>
        <w:tc>
          <w:tcPr>
            <w:tcW w:w="2660" w:type="dxa"/>
            <w:vMerge/>
            <w:shd w:val="clear" w:color="auto" w:fill="BFBFBF"/>
          </w:tcPr>
          <w:p w14:paraId="7E2EB488" w14:textId="77777777" w:rsidR="001C08A5" w:rsidRDefault="001C08A5">
            <w:pPr>
              <w:snapToGrid w:val="0"/>
              <w:jc w:val="both"/>
              <w:rPr>
                <w:b/>
                <w:i/>
                <w:iCs/>
                <w:sz w:val="22"/>
                <w:szCs w:val="22"/>
              </w:rPr>
            </w:pPr>
          </w:p>
        </w:tc>
        <w:tc>
          <w:tcPr>
            <w:tcW w:w="3496" w:type="dxa"/>
            <w:shd w:val="clear" w:color="auto" w:fill="BFBFBF"/>
          </w:tcPr>
          <w:p w14:paraId="60D0B6EC" w14:textId="77777777" w:rsidR="001C08A5" w:rsidRDefault="00000000">
            <w:pPr>
              <w:jc w:val="center"/>
              <w:rPr>
                <w:b/>
                <w:i/>
                <w:iCs/>
                <w:sz w:val="22"/>
                <w:szCs w:val="22"/>
              </w:rPr>
            </w:pPr>
            <w:r>
              <w:rPr>
                <w:b/>
                <w:i/>
                <w:iCs/>
                <w:sz w:val="22"/>
                <w:szCs w:val="22"/>
              </w:rPr>
              <w:t>cu un nivel</w:t>
            </w:r>
          </w:p>
        </w:tc>
        <w:tc>
          <w:tcPr>
            <w:tcW w:w="3342" w:type="dxa"/>
            <w:shd w:val="clear" w:color="auto" w:fill="BFBFBF"/>
          </w:tcPr>
          <w:p w14:paraId="42065CC4" w14:textId="77777777" w:rsidR="001C08A5" w:rsidRDefault="00000000">
            <w:pPr>
              <w:jc w:val="center"/>
              <w:rPr>
                <w:i/>
                <w:iCs/>
                <w:sz w:val="22"/>
                <w:szCs w:val="22"/>
              </w:rPr>
            </w:pPr>
            <w:r>
              <w:rPr>
                <w:b/>
                <w:i/>
                <w:iCs/>
                <w:sz w:val="22"/>
                <w:szCs w:val="22"/>
              </w:rPr>
              <w:t xml:space="preserve">cu mai multe niveluri </w:t>
            </w:r>
          </w:p>
        </w:tc>
      </w:tr>
      <w:tr w:rsidR="001C08A5" w14:paraId="541F1422" w14:textId="77777777">
        <w:tc>
          <w:tcPr>
            <w:tcW w:w="2660" w:type="dxa"/>
          </w:tcPr>
          <w:p w14:paraId="6C0FF9CB" w14:textId="77777777" w:rsidR="001C08A5" w:rsidRDefault="00000000">
            <w:pPr>
              <w:jc w:val="center"/>
              <w:rPr>
                <w:b/>
                <w:i/>
                <w:iCs/>
                <w:sz w:val="22"/>
                <w:szCs w:val="22"/>
              </w:rPr>
            </w:pPr>
            <w:r>
              <w:rPr>
                <w:b/>
                <w:i/>
                <w:iCs/>
                <w:sz w:val="22"/>
                <w:szCs w:val="22"/>
              </w:rPr>
              <w:t>I - II</w:t>
            </w:r>
          </w:p>
        </w:tc>
        <w:tc>
          <w:tcPr>
            <w:tcW w:w="6838" w:type="dxa"/>
            <w:gridSpan w:val="2"/>
          </w:tcPr>
          <w:p w14:paraId="3BEED2F0" w14:textId="77777777" w:rsidR="001C08A5" w:rsidRDefault="00000000">
            <w:pPr>
              <w:jc w:val="center"/>
              <w:rPr>
                <w:i/>
                <w:iCs/>
                <w:sz w:val="22"/>
                <w:szCs w:val="22"/>
              </w:rPr>
            </w:pPr>
            <w:r>
              <w:rPr>
                <w:b/>
                <w:i/>
                <w:iCs/>
                <w:sz w:val="22"/>
                <w:szCs w:val="22"/>
              </w:rPr>
              <w:t>3.500</w:t>
            </w:r>
          </w:p>
        </w:tc>
      </w:tr>
      <w:tr w:rsidR="001C08A5" w14:paraId="333E6815" w14:textId="77777777">
        <w:tc>
          <w:tcPr>
            <w:tcW w:w="2660" w:type="dxa"/>
          </w:tcPr>
          <w:p w14:paraId="4754391D" w14:textId="77777777" w:rsidR="001C08A5" w:rsidRDefault="00000000">
            <w:pPr>
              <w:jc w:val="center"/>
              <w:rPr>
                <w:b/>
                <w:i/>
                <w:iCs/>
                <w:sz w:val="22"/>
                <w:szCs w:val="22"/>
              </w:rPr>
            </w:pPr>
            <w:r>
              <w:rPr>
                <w:b/>
                <w:i/>
                <w:iCs/>
                <w:sz w:val="22"/>
                <w:szCs w:val="22"/>
              </w:rPr>
              <w:t>III</w:t>
            </w:r>
          </w:p>
        </w:tc>
        <w:tc>
          <w:tcPr>
            <w:tcW w:w="6838" w:type="dxa"/>
            <w:gridSpan w:val="2"/>
          </w:tcPr>
          <w:p w14:paraId="051FE26F" w14:textId="77777777" w:rsidR="001C08A5" w:rsidRDefault="00000000">
            <w:pPr>
              <w:jc w:val="center"/>
              <w:rPr>
                <w:i/>
                <w:iCs/>
                <w:sz w:val="22"/>
                <w:szCs w:val="22"/>
              </w:rPr>
            </w:pPr>
            <w:r>
              <w:rPr>
                <w:b/>
                <w:i/>
                <w:iCs/>
                <w:sz w:val="22"/>
                <w:szCs w:val="22"/>
              </w:rPr>
              <w:t>2.500</w:t>
            </w:r>
          </w:p>
        </w:tc>
      </w:tr>
      <w:tr w:rsidR="001C08A5" w14:paraId="02B828CD" w14:textId="77777777">
        <w:tc>
          <w:tcPr>
            <w:tcW w:w="2660" w:type="dxa"/>
          </w:tcPr>
          <w:p w14:paraId="7C2BCA76" w14:textId="77777777" w:rsidR="001C08A5" w:rsidRDefault="00000000">
            <w:pPr>
              <w:jc w:val="center"/>
              <w:rPr>
                <w:b/>
                <w:i/>
                <w:iCs/>
                <w:sz w:val="22"/>
                <w:szCs w:val="22"/>
              </w:rPr>
            </w:pPr>
            <w:r>
              <w:rPr>
                <w:b/>
                <w:i/>
                <w:iCs/>
                <w:sz w:val="22"/>
                <w:szCs w:val="22"/>
              </w:rPr>
              <w:t>IV</w:t>
            </w:r>
          </w:p>
        </w:tc>
        <w:tc>
          <w:tcPr>
            <w:tcW w:w="3496" w:type="dxa"/>
          </w:tcPr>
          <w:p w14:paraId="37031318" w14:textId="77777777" w:rsidR="001C08A5" w:rsidRDefault="00000000">
            <w:pPr>
              <w:jc w:val="center"/>
              <w:rPr>
                <w:b/>
                <w:i/>
                <w:iCs/>
                <w:sz w:val="22"/>
                <w:szCs w:val="22"/>
              </w:rPr>
            </w:pPr>
            <w:r>
              <w:rPr>
                <w:b/>
                <w:i/>
                <w:iCs/>
                <w:sz w:val="22"/>
                <w:szCs w:val="22"/>
              </w:rPr>
              <w:t>2.000</w:t>
            </w:r>
          </w:p>
        </w:tc>
        <w:tc>
          <w:tcPr>
            <w:tcW w:w="3342" w:type="dxa"/>
          </w:tcPr>
          <w:p w14:paraId="0C004DDF" w14:textId="77777777" w:rsidR="001C08A5" w:rsidRDefault="00000000">
            <w:pPr>
              <w:jc w:val="center"/>
              <w:rPr>
                <w:i/>
                <w:iCs/>
                <w:sz w:val="22"/>
                <w:szCs w:val="22"/>
              </w:rPr>
            </w:pPr>
            <w:r>
              <w:rPr>
                <w:b/>
                <w:i/>
                <w:iCs/>
                <w:sz w:val="22"/>
                <w:szCs w:val="22"/>
              </w:rPr>
              <w:t>1.500</w:t>
            </w:r>
          </w:p>
        </w:tc>
      </w:tr>
      <w:tr w:rsidR="001C08A5" w14:paraId="4ECA7527" w14:textId="77777777">
        <w:trPr>
          <w:trHeight w:val="68"/>
        </w:trPr>
        <w:tc>
          <w:tcPr>
            <w:tcW w:w="2660" w:type="dxa"/>
          </w:tcPr>
          <w:p w14:paraId="6E01EA35" w14:textId="77777777" w:rsidR="001C08A5" w:rsidRDefault="00000000">
            <w:pPr>
              <w:jc w:val="center"/>
              <w:rPr>
                <w:b/>
                <w:i/>
                <w:iCs/>
                <w:sz w:val="22"/>
                <w:szCs w:val="22"/>
              </w:rPr>
            </w:pPr>
            <w:r>
              <w:rPr>
                <w:b/>
                <w:i/>
                <w:iCs/>
                <w:sz w:val="22"/>
                <w:szCs w:val="22"/>
              </w:rPr>
              <w:t>V</w:t>
            </w:r>
          </w:p>
        </w:tc>
        <w:tc>
          <w:tcPr>
            <w:tcW w:w="3496" w:type="dxa"/>
          </w:tcPr>
          <w:p w14:paraId="5A82D3C3" w14:textId="77777777" w:rsidR="001C08A5" w:rsidRDefault="00000000">
            <w:pPr>
              <w:jc w:val="center"/>
              <w:rPr>
                <w:b/>
                <w:i/>
                <w:iCs/>
                <w:sz w:val="22"/>
                <w:szCs w:val="22"/>
              </w:rPr>
            </w:pPr>
            <w:r>
              <w:rPr>
                <w:b/>
                <w:i/>
                <w:iCs/>
                <w:sz w:val="22"/>
                <w:szCs w:val="22"/>
              </w:rPr>
              <w:t>1.000</w:t>
            </w:r>
          </w:p>
        </w:tc>
        <w:tc>
          <w:tcPr>
            <w:tcW w:w="3342" w:type="dxa"/>
          </w:tcPr>
          <w:p w14:paraId="6802CEF5" w14:textId="77777777" w:rsidR="001C08A5" w:rsidRDefault="00000000">
            <w:pPr>
              <w:jc w:val="center"/>
              <w:rPr>
                <w:b/>
                <w:i/>
                <w:iCs/>
                <w:sz w:val="22"/>
                <w:szCs w:val="22"/>
              </w:rPr>
            </w:pPr>
            <w:r>
              <w:rPr>
                <w:b/>
                <w:i/>
                <w:iCs/>
                <w:sz w:val="22"/>
                <w:szCs w:val="22"/>
              </w:rPr>
              <w:t>800</w:t>
            </w:r>
          </w:p>
        </w:tc>
      </w:tr>
    </w:tbl>
    <w:p w14:paraId="47FD4570" w14:textId="77777777" w:rsidR="001C08A5" w:rsidRDefault="00000000">
      <w:pPr>
        <w:jc w:val="both"/>
        <w:rPr>
          <w:i/>
          <w:sz w:val="22"/>
          <w:szCs w:val="22"/>
        </w:rPr>
      </w:pPr>
      <w:r>
        <w:rPr>
          <w:bCs/>
          <w:i/>
          <w:sz w:val="22"/>
          <w:szCs w:val="22"/>
          <w:u w:val="single"/>
        </w:rPr>
        <w:t>Note</w:t>
      </w:r>
      <w:r>
        <w:rPr>
          <w:i/>
          <w:sz w:val="22"/>
          <w:szCs w:val="22"/>
        </w:rPr>
        <w:t>:</w:t>
      </w:r>
    </w:p>
    <w:p w14:paraId="5A5DC595" w14:textId="77777777" w:rsidR="001C08A5" w:rsidRDefault="00000000">
      <w:pPr>
        <w:pStyle w:val="ListParagraph"/>
        <w:numPr>
          <w:ilvl w:val="4"/>
          <w:numId w:val="33"/>
        </w:numPr>
        <w:tabs>
          <w:tab w:val="clear" w:pos="2100"/>
        </w:tabs>
        <w:ind w:left="270" w:firstLine="60"/>
        <w:jc w:val="both"/>
        <w:rPr>
          <w:i/>
          <w:iCs/>
          <w:sz w:val="22"/>
          <w:szCs w:val="22"/>
        </w:rPr>
      </w:pPr>
      <w:r>
        <w:rPr>
          <w:i/>
          <w:iCs/>
          <w:sz w:val="22"/>
          <w:szCs w:val="22"/>
        </w:rPr>
        <w:t xml:space="preserve">Atunci când se prevăd instalații automate de detectare, semnalizare și alarmare a incendiului cu acoperire totală, ariile construite se pot majora cu </w:t>
      </w:r>
      <w:r>
        <w:rPr>
          <w:b/>
          <w:bCs/>
          <w:i/>
          <w:iCs/>
          <w:sz w:val="22"/>
          <w:szCs w:val="22"/>
        </w:rPr>
        <w:t xml:space="preserve">25% </w:t>
      </w:r>
      <w:r>
        <w:rPr>
          <w:i/>
          <w:iCs/>
          <w:sz w:val="22"/>
          <w:szCs w:val="22"/>
        </w:rPr>
        <w:t xml:space="preserve">(cu excepția clădirilor înalte și foarte înalte). </w:t>
      </w:r>
    </w:p>
    <w:p w14:paraId="5A71D48C" w14:textId="77777777" w:rsidR="001C08A5" w:rsidRDefault="00000000">
      <w:pPr>
        <w:pStyle w:val="ListParagraph"/>
        <w:numPr>
          <w:ilvl w:val="4"/>
          <w:numId w:val="33"/>
        </w:numPr>
        <w:tabs>
          <w:tab w:val="clear" w:pos="2100"/>
        </w:tabs>
        <w:ind w:left="270" w:firstLine="60"/>
        <w:jc w:val="both"/>
        <w:rPr>
          <w:i/>
          <w:iCs/>
          <w:sz w:val="22"/>
          <w:szCs w:val="22"/>
        </w:rPr>
      </w:pPr>
      <w:r>
        <w:rPr>
          <w:i/>
          <w:iCs/>
          <w:sz w:val="22"/>
          <w:szCs w:val="22"/>
        </w:rPr>
        <w:lastRenderedPageBreak/>
        <w:t xml:space="preserve">Atunci când se prevăd instalații automate de detectare, semnalizare și alarmare a incendiului, cu acoperire totală și instalații de stingere automată a incendiului cu sprinklere, ariile construite se pot majora cu </w:t>
      </w:r>
      <w:r>
        <w:rPr>
          <w:b/>
          <w:bCs/>
          <w:i/>
          <w:iCs/>
          <w:sz w:val="22"/>
          <w:szCs w:val="22"/>
        </w:rPr>
        <w:t>100%</w:t>
      </w:r>
      <w:r>
        <w:rPr>
          <w:i/>
          <w:iCs/>
          <w:sz w:val="22"/>
          <w:szCs w:val="22"/>
        </w:rPr>
        <w:t xml:space="preserve"> pentru construcțiile/compartimentele de incendiu încadrate în nivelul de stabilitate la incendiu </w:t>
      </w:r>
      <w:r>
        <w:rPr>
          <w:b/>
          <w:bCs/>
          <w:i/>
          <w:iCs/>
          <w:sz w:val="22"/>
          <w:szCs w:val="22"/>
        </w:rPr>
        <w:t>III, IV</w:t>
      </w:r>
      <w:r>
        <w:rPr>
          <w:i/>
          <w:iCs/>
          <w:sz w:val="22"/>
          <w:szCs w:val="22"/>
        </w:rPr>
        <w:t xml:space="preserve"> sau </w:t>
      </w:r>
      <w:r>
        <w:rPr>
          <w:b/>
          <w:bCs/>
          <w:i/>
          <w:iCs/>
          <w:sz w:val="22"/>
          <w:szCs w:val="22"/>
        </w:rPr>
        <w:t>V</w:t>
      </w:r>
      <w:r>
        <w:rPr>
          <w:i/>
          <w:iCs/>
          <w:sz w:val="22"/>
          <w:szCs w:val="22"/>
        </w:rPr>
        <w:t xml:space="preserve">. </w:t>
      </w:r>
    </w:p>
    <w:p w14:paraId="5BF3DC85" w14:textId="77777777" w:rsidR="001C08A5" w:rsidRDefault="00000000">
      <w:pPr>
        <w:pStyle w:val="ListParagraph"/>
        <w:numPr>
          <w:ilvl w:val="4"/>
          <w:numId w:val="33"/>
        </w:numPr>
        <w:tabs>
          <w:tab w:val="clear" w:pos="2100"/>
        </w:tabs>
        <w:ind w:left="270" w:firstLine="60"/>
        <w:jc w:val="both"/>
        <w:rPr>
          <w:i/>
          <w:iCs/>
          <w:sz w:val="22"/>
          <w:szCs w:val="22"/>
        </w:rPr>
      </w:pPr>
      <w:r>
        <w:rPr>
          <w:i/>
          <w:iCs/>
          <w:sz w:val="22"/>
          <w:szCs w:val="22"/>
        </w:rPr>
        <w:t xml:space="preserve">În situația clădirilor încadrate în nivelul de stabilitate la incendiu </w:t>
      </w:r>
      <w:r>
        <w:rPr>
          <w:b/>
          <w:bCs/>
          <w:i/>
          <w:iCs/>
          <w:sz w:val="22"/>
          <w:szCs w:val="22"/>
        </w:rPr>
        <w:t xml:space="preserve">I </w:t>
      </w:r>
      <w:r>
        <w:rPr>
          <w:i/>
          <w:iCs/>
          <w:sz w:val="22"/>
          <w:szCs w:val="22"/>
        </w:rPr>
        <w:t xml:space="preserve">(cu excepția clădirilor înalte și foarte înalte) sau </w:t>
      </w:r>
      <w:r>
        <w:rPr>
          <w:b/>
          <w:bCs/>
          <w:i/>
          <w:iCs/>
          <w:sz w:val="22"/>
          <w:szCs w:val="22"/>
        </w:rPr>
        <w:t>II</w:t>
      </w:r>
      <w:r>
        <w:rPr>
          <w:i/>
          <w:sz w:val="22"/>
          <w:szCs w:val="22"/>
        </w:rPr>
        <w:t xml:space="preserve"> atunci </w:t>
      </w:r>
      <w:r>
        <w:rPr>
          <w:i/>
          <w:iCs/>
          <w:sz w:val="22"/>
          <w:szCs w:val="22"/>
        </w:rPr>
        <w:t>când se prevăd</w:t>
      </w:r>
      <w:r>
        <w:rPr>
          <w:i/>
          <w:sz w:val="22"/>
          <w:szCs w:val="22"/>
        </w:rPr>
        <w:t xml:space="preserve"> instalaţii de detectare, semnalizare şi alarmare a incendiului cu acoperire totală, instalaţii automate de stingere a incendiilor </w:t>
      </w:r>
      <w:r>
        <w:rPr>
          <w:bCs/>
          <w:i/>
          <w:sz w:val="22"/>
          <w:szCs w:val="22"/>
        </w:rPr>
        <w:t>şi evacuare a fumului din circulațiile comune orizontale (coridoare/holuri) și casele de scări</w:t>
      </w:r>
      <w:r>
        <w:rPr>
          <w:i/>
          <w:iCs/>
          <w:sz w:val="22"/>
          <w:szCs w:val="22"/>
        </w:rPr>
        <w:t>, aria construită nu se limitează.</w:t>
      </w:r>
    </w:p>
    <w:p w14:paraId="355FB61B" w14:textId="77777777" w:rsidR="001C08A5" w:rsidRDefault="00000000">
      <w:pPr>
        <w:pStyle w:val="ListParagraph"/>
        <w:numPr>
          <w:ilvl w:val="4"/>
          <w:numId w:val="33"/>
        </w:numPr>
        <w:tabs>
          <w:tab w:val="clear" w:pos="2100"/>
        </w:tabs>
        <w:ind w:left="270" w:firstLine="60"/>
        <w:jc w:val="both"/>
        <w:rPr>
          <w:i/>
          <w:iCs/>
          <w:sz w:val="22"/>
          <w:szCs w:val="22"/>
        </w:rPr>
      </w:pPr>
      <w:r>
        <w:rPr>
          <w:i/>
          <w:sz w:val="22"/>
          <w:szCs w:val="22"/>
        </w:rPr>
        <w:t>Prin excepție de la lit. a), ariile construite (Ac)</w:t>
      </w:r>
      <w:r>
        <w:rPr>
          <w:bCs/>
          <w:i/>
          <w:sz w:val="22"/>
          <w:szCs w:val="22"/>
        </w:rPr>
        <w:t xml:space="preserve">ale clădirilor înalte și/ sau foarte înalte care nu sunt obligatoriu de echipat cu instalații automate de stingere conform normativului de profil, </w:t>
      </w:r>
      <w:r>
        <w:rPr>
          <w:i/>
          <w:sz w:val="22"/>
          <w:szCs w:val="22"/>
        </w:rPr>
        <w:t xml:space="preserve">pot fi majorate cu </w:t>
      </w:r>
      <w:r>
        <w:rPr>
          <w:b/>
          <w:i/>
          <w:sz w:val="22"/>
          <w:szCs w:val="22"/>
        </w:rPr>
        <w:t xml:space="preserve">50% </w:t>
      </w:r>
      <w:r>
        <w:rPr>
          <w:bCs/>
          <w:i/>
          <w:sz w:val="22"/>
          <w:szCs w:val="22"/>
        </w:rPr>
        <w:t>în cazul clădirilor înalte sau</w:t>
      </w:r>
      <w:r>
        <w:rPr>
          <w:i/>
          <w:sz w:val="22"/>
          <w:szCs w:val="22"/>
        </w:rPr>
        <w:t xml:space="preserve">cu </w:t>
      </w:r>
      <w:r>
        <w:rPr>
          <w:b/>
          <w:i/>
          <w:sz w:val="22"/>
          <w:szCs w:val="22"/>
        </w:rPr>
        <w:t xml:space="preserve">25% </w:t>
      </w:r>
      <w:r>
        <w:rPr>
          <w:bCs/>
          <w:i/>
          <w:sz w:val="22"/>
          <w:szCs w:val="22"/>
        </w:rPr>
        <w:t>în cazul clădirilor foarte înalte</w:t>
      </w:r>
      <w:r>
        <w:rPr>
          <w:i/>
          <w:sz w:val="22"/>
          <w:szCs w:val="22"/>
        </w:rPr>
        <w:t xml:space="preserve"> atunci când sunt echipate cu instalații de stingere a incendiilor cu apă tip sprinkler, suplimentar față de prevederile normativului P118:2.</w:t>
      </w:r>
    </w:p>
    <w:p w14:paraId="33D9F0D7" w14:textId="77777777" w:rsidR="001C08A5" w:rsidRDefault="00000000">
      <w:pPr>
        <w:pStyle w:val="ListParagraph"/>
        <w:numPr>
          <w:ilvl w:val="4"/>
          <w:numId w:val="33"/>
        </w:numPr>
        <w:tabs>
          <w:tab w:val="clear" w:pos="2100"/>
        </w:tabs>
        <w:ind w:left="270" w:firstLine="60"/>
        <w:jc w:val="both"/>
        <w:rPr>
          <w:i/>
          <w:iCs/>
          <w:sz w:val="22"/>
          <w:szCs w:val="22"/>
        </w:rPr>
      </w:pPr>
      <w:r>
        <w:rPr>
          <w:i/>
          <w:iCs/>
          <w:sz w:val="22"/>
          <w:szCs w:val="22"/>
        </w:rPr>
        <w:t>Majorările nu se cumulează.</w:t>
      </w:r>
    </w:p>
    <w:p w14:paraId="4AF94970" w14:textId="77777777" w:rsidR="001C08A5" w:rsidRDefault="001C08A5">
      <w:pPr>
        <w:pStyle w:val="ListParagraph"/>
        <w:ind w:left="330"/>
        <w:jc w:val="both"/>
        <w:rPr>
          <w:i/>
          <w:iCs/>
          <w:sz w:val="22"/>
          <w:szCs w:val="22"/>
        </w:rPr>
      </w:pPr>
    </w:p>
    <w:p w14:paraId="588325A7" w14:textId="77777777" w:rsidR="001C08A5" w:rsidRDefault="00000000">
      <w:pPr>
        <w:jc w:val="both"/>
        <w:rPr>
          <w:sz w:val="24"/>
          <w:szCs w:val="24"/>
        </w:rPr>
      </w:pPr>
      <w:r>
        <w:rPr>
          <w:sz w:val="24"/>
          <w:szCs w:val="24"/>
        </w:rPr>
        <w:tab/>
      </w:r>
      <w:r>
        <w:rPr>
          <w:b/>
          <w:sz w:val="24"/>
          <w:szCs w:val="24"/>
        </w:rPr>
        <w:t xml:space="preserve">Art. </w:t>
      </w:r>
      <w:r>
        <w:rPr>
          <w:b/>
          <w:caps/>
          <w:sz w:val="24"/>
          <w:szCs w:val="24"/>
        </w:rPr>
        <w:t>3.1.2.</w:t>
      </w:r>
      <w:r>
        <w:rPr>
          <w:b/>
          <w:sz w:val="24"/>
          <w:szCs w:val="24"/>
        </w:rPr>
        <w:t>7.</w:t>
      </w:r>
      <w:r>
        <w:rPr>
          <w:sz w:val="24"/>
          <w:szCs w:val="24"/>
        </w:rPr>
        <w:tab/>
        <w:t>Clădirile supraterane civile trebuie să respecte următoarele condiţii de corelare între nivelul de stabilitate la incendiu asigurat, numărul de niveluri supraterane, destinaţie și capacitatea maximă simultană de utilizatori:</w:t>
      </w:r>
    </w:p>
    <w:p w14:paraId="3A485AF3" w14:textId="77777777" w:rsidR="001C08A5" w:rsidRDefault="00000000">
      <w:pPr>
        <w:ind w:left="720" w:firstLine="720"/>
        <w:jc w:val="both"/>
        <w:rPr>
          <w:sz w:val="24"/>
          <w:szCs w:val="24"/>
        </w:rPr>
      </w:pPr>
      <w:r>
        <w:rPr>
          <w:b/>
          <w:sz w:val="24"/>
          <w:szCs w:val="24"/>
        </w:rPr>
        <w:t>a)</w:t>
      </w:r>
      <w:r>
        <w:rPr>
          <w:sz w:val="24"/>
          <w:szCs w:val="24"/>
        </w:rPr>
        <w:t xml:space="preserve"> la cele cu nivelul de stabilitate la incendiu </w:t>
      </w:r>
      <w:r>
        <w:rPr>
          <w:b/>
          <w:sz w:val="24"/>
          <w:szCs w:val="24"/>
        </w:rPr>
        <w:t>I</w:t>
      </w:r>
      <w:r>
        <w:rPr>
          <w:sz w:val="24"/>
          <w:szCs w:val="24"/>
        </w:rPr>
        <w:t>, numărul de niveluri supraterane nu se limitează, indiferent de destinaţia și capacitatea lor;</w:t>
      </w:r>
    </w:p>
    <w:p w14:paraId="04D5E99B" w14:textId="77777777" w:rsidR="001C08A5" w:rsidRDefault="00000000">
      <w:pPr>
        <w:ind w:left="720" w:firstLine="720"/>
        <w:jc w:val="both"/>
        <w:rPr>
          <w:sz w:val="24"/>
          <w:szCs w:val="24"/>
        </w:rPr>
      </w:pPr>
      <w:r>
        <w:rPr>
          <w:b/>
          <w:sz w:val="24"/>
          <w:szCs w:val="24"/>
        </w:rPr>
        <w:t>b)</w:t>
      </w:r>
      <w:r>
        <w:rPr>
          <w:sz w:val="24"/>
          <w:szCs w:val="24"/>
        </w:rPr>
        <w:t xml:space="preserve"> la cele cu nivelul de stabilitate la incendiu </w:t>
      </w:r>
      <w:r>
        <w:rPr>
          <w:b/>
          <w:sz w:val="24"/>
          <w:szCs w:val="24"/>
        </w:rPr>
        <w:t>II</w:t>
      </w:r>
      <w:r>
        <w:rPr>
          <w:sz w:val="24"/>
          <w:szCs w:val="24"/>
        </w:rPr>
        <w:t xml:space="preserve">, numărul de niveluri supraterane să fie corespunzător construcţiilor supraterane cu înălţimi obişnuite (să nu determine încadrarea lor în clădiri înalte sau foarte înalte, încadrate în nivelul de stabilitate la incendiu </w:t>
      </w:r>
      <w:r>
        <w:rPr>
          <w:b/>
          <w:sz w:val="24"/>
          <w:szCs w:val="24"/>
        </w:rPr>
        <w:t>I</w:t>
      </w:r>
      <w:r>
        <w:rPr>
          <w:sz w:val="24"/>
          <w:szCs w:val="24"/>
        </w:rPr>
        <w:t xml:space="preserve"> );</w:t>
      </w:r>
    </w:p>
    <w:p w14:paraId="1D6FA42C" w14:textId="77777777" w:rsidR="001C08A5" w:rsidRDefault="00000000">
      <w:pPr>
        <w:ind w:left="720" w:firstLine="720"/>
        <w:jc w:val="both"/>
        <w:rPr>
          <w:sz w:val="24"/>
          <w:szCs w:val="24"/>
        </w:rPr>
      </w:pPr>
      <w:r>
        <w:rPr>
          <w:b/>
          <w:sz w:val="24"/>
          <w:szCs w:val="24"/>
        </w:rPr>
        <w:t>c)</w:t>
      </w:r>
      <w:r>
        <w:rPr>
          <w:sz w:val="24"/>
          <w:szCs w:val="24"/>
        </w:rPr>
        <w:t xml:space="preserve"> la cele cu nivelul de stabilitate la incendiu </w:t>
      </w:r>
      <w:r>
        <w:rPr>
          <w:b/>
          <w:sz w:val="24"/>
          <w:szCs w:val="24"/>
        </w:rPr>
        <w:t>III</w:t>
      </w:r>
      <w:r>
        <w:rPr>
          <w:sz w:val="24"/>
          <w:szCs w:val="24"/>
        </w:rPr>
        <w:t>,</w:t>
      </w:r>
      <w:r>
        <w:rPr>
          <w:b/>
          <w:sz w:val="24"/>
          <w:szCs w:val="24"/>
        </w:rPr>
        <w:t xml:space="preserve"> IV </w:t>
      </w:r>
      <w:r>
        <w:rPr>
          <w:sz w:val="24"/>
          <w:szCs w:val="24"/>
        </w:rPr>
        <w:t xml:space="preserve">sau </w:t>
      </w:r>
      <w:r>
        <w:rPr>
          <w:b/>
          <w:sz w:val="24"/>
          <w:szCs w:val="24"/>
        </w:rPr>
        <w:t>V</w:t>
      </w:r>
      <w:r>
        <w:rPr>
          <w:sz w:val="24"/>
          <w:szCs w:val="24"/>
        </w:rPr>
        <w:t xml:space="preserve">, numărul de niveluri supraterane este limitat în funcţie de destinaţie și de capacitatea maximă simultană de utilizatori, conform prevederilor din </w:t>
      </w:r>
      <w:r>
        <w:rPr>
          <w:rFonts w:cs="Mangal"/>
          <w:b/>
          <w:i/>
          <w:iCs/>
          <w:sz w:val="24"/>
          <w:szCs w:val="24"/>
        </w:rPr>
        <w:fldChar w:fldCharType="begin"/>
      </w:r>
      <w:r>
        <w:rPr>
          <w:rFonts w:cs="Mangal"/>
          <w:b/>
          <w:i/>
          <w:iCs/>
          <w:sz w:val="24"/>
          <w:szCs w:val="24"/>
        </w:rPr>
        <w:instrText xml:space="preserve"> REF _Ref2948 \h </w:instrText>
      </w:r>
      <w:r>
        <w:rPr>
          <w:rFonts w:cs="Mangal"/>
          <w:b/>
          <w:i/>
          <w:iCs/>
          <w:sz w:val="24"/>
          <w:szCs w:val="24"/>
        </w:rPr>
      </w:r>
      <w:r>
        <w:rPr>
          <w:rFonts w:cs="Mangal"/>
          <w:b/>
          <w:i/>
          <w:iCs/>
          <w:sz w:val="24"/>
          <w:szCs w:val="24"/>
        </w:rPr>
        <w:fldChar w:fldCharType="separate"/>
      </w:r>
      <w:r>
        <w:t>Tabelul 42</w:t>
      </w:r>
      <w:r>
        <w:rPr>
          <w:rFonts w:cs="Mangal"/>
          <w:b/>
          <w:i/>
          <w:iCs/>
          <w:sz w:val="24"/>
          <w:szCs w:val="24"/>
        </w:rPr>
        <w:fldChar w:fldCharType="end"/>
      </w:r>
      <w:r>
        <w:rPr>
          <w:sz w:val="24"/>
          <w:szCs w:val="24"/>
        </w:rPr>
        <w:t>.</w:t>
      </w:r>
    </w:p>
    <w:p w14:paraId="5EF9DCB0" w14:textId="77777777" w:rsidR="001C08A5" w:rsidRDefault="001C08A5">
      <w:pPr>
        <w:jc w:val="both"/>
        <w:rPr>
          <w:sz w:val="24"/>
          <w:szCs w:val="24"/>
        </w:rPr>
      </w:pPr>
    </w:p>
    <w:p w14:paraId="32942853" w14:textId="77777777" w:rsidR="001C08A5" w:rsidRDefault="00000000">
      <w:pPr>
        <w:pStyle w:val="Captiontabel"/>
      </w:pPr>
      <w:bookmarkStart w:id="2906" w:name="_Ref2948"/>
      <w:bookmarkStart w:id="2907" w:name="_Toc162360092"/>
      <w:bookmarkStart w:id="2908" w:name="_Ref26891"/>
      <w:r>
        <w:t xml:space="preserve">Tabelul </w:t>
      </w:r>
      <w:r>
        <w:fldChar w:fldCharType="begin"/>
      </w:r>
      <w:r>
        <w:instrText xml:space="preserve"> SEQ Tabelul \* ARABIC </w:instrText>
      </w:r>
      <w:r>
        <w:fldChar w:fldCharType="separate"/>
      </w:r>
      <w:r>
        <w:t>42</w:t>
      </w:r>
      <w:r>
        <w:fldChar w:fldCharType="end"/>
      </w:r>
      <w:bookmarkStart w:id="2909" w:name="_Toc14839"/>
      <w:bookmarkStart w:id="2910" w:name="_Toc1885"/>
      <w:bookmarkStart w:id="2911" w:name="_Toc25089"/>
      <w:bookmarkStart w:id="2912" w:name="_Toc25877"/>
      <w:bookmarkStart w:id="2913" w:name="_Toc20224"/>
      <w:bookmarkStart w:id="2914" w:name="_Toc22044"/>
      <w:bookmarkStart w:id="2915" w:name="_Toc18821"/>
      <w:bookmarkStart w:id="2916" w:name="_Toc5424"/>
      <w:bookmarkStart w:id="2917" w:name="_Toc737"/>
      <w:bookmarkStart w:id="2918" w:name="_Toc31845"/>
      <w:bookmarkStart w:id="2919" w:name="_Toc27822"/>
      <w:bookmarkStart w:id="2920" w:name="_Toc16077"/>
      <w:bookmarkStart w:id="2921" w:name="_Toc17140"/>
      <w:bookmarkStart w:id="2922" w:name="_Toc28804"/>
      <w:bookmarkStart w:id="2923" w:name="_Toc22076"/>
      <w:bookmarkStart w:id="2924" w:name="_Toc23317"/>
      <w:bookmarkStart w:id="2925" w:name="_Toc8379"/>
      <w:bookmarkStart w:id="2926" w:name="_Toc1397"/>
      <w:bookmarkStart w:id="2927" w:name="_Toc9987"/>
      <w:bookmarkEnd w:id="2906"/>
      <w:r>
        <w:t>: Condiţii de corelare între destinaţie, capacitatea maximă simultană şi numărul de niveluri supraterane ale clădirilor civile, cu nivel de stabilitate la incendiu III, IV sau V</w:t>
      </w:r>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p>
    <w:p w14:paraId="78DBD091" w14:textId="77777777" w:rsidR="001C08A5" w:rsidRDefault="001C08A5">
      <w:pPr>
        <w:ind w:firstLine="720"/>
        <w:jc w:val="both"/>
        <w:rPr>
          <w:rFonts w:eastAsia="Times-Roman"/>
          <w:b/>
          <w:bCs/>
          <w:sz w:val="24"/>
          <w:szCs w:val="24"/>
        </w:rPr>
      </w:pPr>
    </w:p>
    <w:tbl>
      <w:tblPr>
        <w:tblW w:w="4997" w:type="pct"/>
        <w:tblLook w:val="04A0" w:firstRow="1" w:lastRow="0" w:firstColumn="1" w:lastColumn="0" w:noHBand="0" w:noVBand="1"/>
      </w:tblPr>
      <w:tblGrid>
        <w:gridCol w:w="628"/>
        <w:gridCol w:w="3897"/>
        <w:gridCol w:w="1555"/>
        <w:gridCol w:w="1130"/>
        <w:gridCol w:w="1130"/>
        <w:gridCol w:w="1273"/>
      </w:tblGrid>
      <w:tr w:rsidR="001C08A5" w14:paraId="4ECFC8AD" w14:textId="77777777">
        <w:trPr>
          <w:trHeight w:val="935"/>
          <w:tblHeader/>
        </w:trPr>
        <w:tc>
          <w:tcPr>
            <w:tcW w:w="326" w:type="pct"/>
            <w:vMerge w:val="restart"/>
            <w:tcBorders>
              <w:top w:val="single" w:sz="8" w:space="0" w:color="000000"/>
              <w:left w:val="single" w:sz="8" w:space="0" w:color="000000"/>
            </w:tcBorders>
            <w:shd w:val="clear" w:color="auto" w:fill="BFBFBF"/>
          </w:tcPr>
          <w:p w14:paraId="23DD3168" w14:textId="77777777" w:rsidR="001C08A5" w:rsidRDefault="001C08A5">
            <w:pPr>
              <w:snapToGrid w:val="0"/>
              <w:jc w:val="both"/>
              <w:rPr>
                <w:b/>
                <w:i/>
                <w:iCs/>
                <w:sz w:val="22"/>
                <w:szCs w:val="22"/>
              </w:rPr>
            </w:pPr>
          </w:p>
          <w:p w14:paraId="77BD1774" w14:textId="77777777" w:rsidR="001C08A5" w:rsidRDefault="001C08A5">
            <w:pPr>
              <w:jc w:val="both"/>
              <w:rPr>
                <w:b/>
                <w:i/>
                <w:iCs/>
                <w:sz w:val="22"/>
                <w:szCs w:val="22"/>
              </w:rPr>
            </w:pPr>
          </w:p>
          <w:p w14:paraId="2C39B195" w14:textId="77777777" w:rsidR="001C08A5" w:rsidRDefault="00000000">
            <w:pPr>
              <w:jc w:val="both"/>
              <w:rPr>
                <w:b/>
                <w:i/>
                <w:iCs/>
                <w:sz w:val="22"/>
                <w:szCs w:val="22"/>
              </w:rPr>
            </w:pPr>
            <w:r>
              <w:rPr>
                <w:b/>
                <w:i/>
                <w:iCs/>
                <w:sz w:val="22"/>
                <w:szCs w:val="22"/>
              </w:rPr>
              <w:t>Nr.</w:t>
            </w:r>
          </w:p>
          <w:p w14:paraId="3C5E5F18" w14:textId="77777777" w:rsidR="001C08A5" w:rsidRDefault="00000000">
            <w:pPr>
              <w:jc w:val="both"/>
              <w:rPr>
                <w:b/>
                <w:i/>
                <w:iCs/>
                <w:sz w:val="22"/>
                <w:szCs w:val="22"/>
              </w:rPr>
            </w:pPr>
            <w:r>
              <w:rPr>
                <w:b/>
                <w:i/>
                <w:iCs/>
                <w:sz w:val="22"/>
                <w:szCs w:val="22"/>
              </w:rPr>
              <w:t>crt.</w:t>
            </w:r>
          </w:p>
        </w:tc>
        <w:tc>
          <w:tcPr>
            <w:tcW w:w="2027" w:type="pct"/>
            <w:vMerge w:val="restart"/>
            <w:tcBorders>
              <w:top w:val="single" w:sz="8" w:space="0" w:color="000000"/>
              <w:left w:val="single" w:sz="4" w:space="0" w:color="000000"/>
            </w:tcBorders>
            <w:shd w:val="clear" w:color="auto" w:fill="BFBFBF"/>
          </w:tcPr>
          <w:p w14:paraId="0B72FDE1" w14:textId="77777777" w:rsidR="001C08A5" w:rsidRDefault="001C08A5">
            <w:pPr>
              <w:snapToGrid w:val="0"/>
              <w:jc w:val="both"/>
              <w:rPr>
                <w:b/>
                <w:i/>
                <w:iCs/>
                <w:sz w:val="22"/>
                <w:szCs w:val="22"/>
              </w:rPr>
            </w:pPr>
          </w:p>
          <w:p w14:paraId="55825244" w14:textId="77777777" w:rsidR="001C08A5" w:rsidRDefault="001C08A5">
            <w:pPr>
              <w:jc w:val="both"/>
              <w:rPr>
                <w:b/>
                <w:i/>
                <w:iCs/>
                <w:sz w:val="22"/>
                <w:szCs w:val="22"/>
              </w:rPr>
            </w:pPr>
          </w:p>
          <w:p w14:paraId="039AD705" w14:textId="77777777" w:rsidR="001C08A5" w:rsidRDefault="00000000">
            <w:pPr>
              <w:jc w:val="center"/>
              <w:rPr>
                <w:b/>
                <w:i/>
                <w:iCs/>
                <w:sz w:val="22"/>
                <w:szCs w:val="22"/>
              </w:rPr>
            </w:pPr>
            <w:r>
              <w:rPr>
                <w:b/>
                <w:i/>
                <w:iCs/>
                <w:sz w:val="22"/>
                <w:szCs w:val="22"/>
              </w:rPr>
              <w:t xml:space="preserve">Construcţii supraterane civile </w:t>
            </w:r>
          </w:p>
          <w:p w14:paraId="663785E6" w14:textId="77777777" w:rsidR="001C08A5" w:rsidRDefault="00000000">
            <w:pPr>
              <w:jc w:val="center"/>
              <w:rPr>
                <w:b/>
                <w:i/>
                <w:iCs/>
                <w:sz w:val="22"/>
                <w:szCs w:val="22"/>
              </w:rPr>
            </w:pPr>
            <w:r>
              <w:rPr>
                <w:b/>
                <w:i/>
                <w:iCs/>
                <w:sz w:val="22"/>
                <w:szCs w:val="22"/>
              </w:rPr>
              <w:t>pentru:</w:t>
            </w:r>
          </w:p>
        </w:tc>
        <w:tc>
          <w:tcPr>
            <w:tcW w:w="809" w:type="pct"/>
            <w:vMerge w:val="restart"/>
            <w:tcBorders>
              <w:top w:val="single" w:sz="8" w:space="0" w:color="000000"/>
              <w:left w:val="single" w:sz="4" w:space="0" w:color="000000"/>
            </w:tcBorders>
            <w:shd w:val="clear" w:color="auto" w:fill="BFBFBF"/>
          </w:tcPr>
          <w:p w14:paraId="7B18B366" w14:textId="77777777" w:rsidR="001C08A5" w:rsidRDefault="001C08A5">
            <w:pPr>
              <w:snapToGrid w:val="0"/>
              <w:rPr>
                <w:b/>
                <w:i/>
                <w:iCs/>
                <w:sz w:val="22"/>
                <w:szCs w:val="22"/>
              </w:rPr>
            </w:pPr>
          </w:p>
          <w:p w14:paraId="7DA75101" w14:textId="77777777" w:rsidR="001C08A5" w:rsidRDefault="00000000">
            <w:pPr>
              <w:jc w:val="center"/>
              <w:rPr>
                <w:b/>
                <w:i/>
                <w:iCs/>
                <w:sz w:val="22"/>
                <w:szCs w:val="22"/>
              </w:rPr>
            </w:pPr>
            <w:r>
              <w:rPr>
                <w:b/>
                <w:i/>
                <w:iCs/>
                <w:sz w:val="22"/>
                <w:szCs w:val="22"/>
              </w:rPr>
              <w:t>Capacitate</w:t>
            </w:r>
          </w:p>
          <w:p w14:paraId="16DB846F" w14:textId="77777777" w:rsidR="001C08A5" w:rsidRDefault="00000000">
            <w:pPr>
              <w:jc w:val="center"/>
              <w:rPr>
                <w:b/>
                <w:i/>
                <w:iCs/>
                <w:sz w:val="22"/>
                <w:szCs w:val="22"/>
              </w:rPr>
            </w:pPr>
            <w:r>
              <w:rPr>
                <w:b/>
                <w:i/>
                <w:iCs/>
                <w:sz w:val="22"/>
                <w:szCs w:val="22"/>
              </w:rPr>
              <w:t>maximă simultană (utilizatori)</w:t>
            </w:r>
          </w:p>
        </w:tc>
        <w:tc>
          <w:tcPr>
            <w:tcW w:w="1838" w:type="pct"/>
            <w:gridSpan w:val="3"/>
            <w:tcBorders>
              <w:top w:val="single" w:sz="8" w:space="0" w:color="000000"/>
              <w:left w:val="single" w:sz="4" w:space="0" w:color="000000"/>
              <w:bottom w:val="single" w:sz="4" w:space="0" w:color="000000"/>
              <w:right w:val="single" w:sz="8" w:space="0" w:color="000000"/>
            </w:tcBorders>
            <w:shd w:val="clear" w:color="auto" w:fill="BFBFBF"/>
          </w:tcPr>
          <w:p w14:paraId="7E744D8B" w14:textId="77777777" w:rsidR="001C08A5" w:rsidRDefault="00000000">
            <w:pPr>
              <w:jc w:val="center"/>
              <w:rPr>
                <w:i/>
                <w:iCs/>
                <w:sz w:val="22"/>
                <w:szCs w:val="22"/>
              </w:rPr>
            </w:pPr>
            <w:r>
              <w:rPr>
                <w:b/>
                <w:i/>
                <w:iCs/>
                <w:sz w:val="22"/>
                <w:szCs w:val="22"/>
              </w:rPr>
              <w:t>Număr maxim de niveluri supraterane admis pentru clădiri civile cu nivelul de stabilitate la incendiu:</w:t>
            </w:r>
          </w:p>
        </w:tc>
      </w:tr>
      <w:tr w:rsidR="001C08A5" w14:paraId="50DC083E" w14:textId="77777777">
        <w:trPr>
          <w:trHeight w:val="238"/>
          <w:tblHeader/>
        </w:trPr>
        <w:tc>
          <w:tcPr>
            <w:tcW w:w="326" w:type="pct"/>
            <w:vMerge/>
            <w:tcBorders>
              <w:left w:val="single" w:sz="8" w:space="0" w:color="000000"/>
              <w:bottom w:val="single" w:sz="8" w:space="0" w:color="000000"/>
            </w:tcBorders>
            <w:shd w:val="clear" w:color="auto" w:fill="D9D9D9"/>
          </w:tcPr>
          <w:p w14:paraId="1452865E" w14:textId="77777777" w:rsidR="001C08A5" w:rsidRDefault="001C08A5">
            <w:pPr>
              <w:snapToGrid w:val="0"/>
              <w:jc w:val="both"/>
              <w:rPr>
                <w:b/>
                <w:i/>
                <w:iCs/>
                <w:sz w:val="22"/>
                <w:szCs w:val="22"/>
              </w:rPr>
            </w:pPr>
          </w:p>
        </w:tc>
        <w:tc>
          <w:tcPr>
            <w:tcW w:w="2027" w:type="pct"/>
            <w:vMerge/>
            <w:tcBorders>
              <w:left w:val="single" w:sz="4" w:space="0" w:color="000000"/>
              <w:bottom w:val="single" w:sz="8" w:space="0" w:color="000000"/>
            </w:tcBorders>
            <w:shd w:val="clear" w:color="auto" w:fill="D9D9D9"/>
          </w:tcPr>
          <w:p w14:paraId="3CF97EBE" w14:textId="77777777" w:rsidR="001C08A5" w:rsidRDefault="001C08A5">
            <w:pPr>
              <w:snapToGrid w:val="0"/>
              <w:jc w:val="both"/>
              <w:rPr>
                <w:b/>
                <w:i/>
                <w:iCs/>
                <w:sz w:val="22"/>
                <w:szCs w:val="22"/>
              </w:rPr>
            </w:pPr>
          </w:p>
        </w:tc>
        <w:tc>
          <w:tcPr>
            <w:tcW w:w="809" w:type="pct"/>
            <w:vMerge/>
            <w:tcBorders>
              <w:left w:val="single" w:sz="4" w:space="0" w:color="000000"/>
              <w:bottom w:val="single" w:sz="8" w:space="0" w:color="000000"/>
            </w:tcBorders>
            <w:shd w:val="clear" w:color="auto" w:fill="D9D9D9"/>
          </w:tcPr>
          <w:p w14:paraId="4A801A83" w14:textId="77777777" w:rsidR="001C08A5" w:rsidRDefault="001C08A5">
            <w:pPr>
              <w:snapToGrid w:val="0"/>
              <w:jc w:val="both"/>
              <w:rPr>
                <w:b/>
                <w:i/>
                <w:iCs/>
                <w:sz w:val="22"/>
                <w:szCs w:val="22"/>
              </w:rPr>
            </w:pPr>
          </w:p>
        </w:tc>
        <w:tc>
          <w:tcPr>
            <w:tcW w:w="588" w:type="pct"/>
            <w:tcBorders>
              <w:top w:val="single" w:sz="4" w:space="0" w:color="000000"/>
              <w:left w:val="single" w:sz="4" w:space="0" w:color="000000"/>
              <w:bottom w:val="single" w:sz="8" w:space="0" w:color="000000"/>
            </w:tcBorders>
            <w:shd w:val="clear" w:color="auto" w:fill="BFBFBF"/>
          </w:tcPr>
          <w:p w14:paraId="2F85E51D" w14:textId="77777777" w:rsidR="001C08A5" w:rsidRDefault="00000000">
            <w:pPr>
              <w:jc w:val="center"/>
              <w:rPr>
                <w:b/>
                <w:i/>
                <w:iCs/>
                <w:sz w:val="22"/>
                <w:szCs w:val="22"/>
              </w:rPr>
            </w:pPr>
            <w:r>
              <w:rPr>
                <w:b/>
                <w:i/>
                <w:iCs/>
                <w:sz w:val="22"/>
                <w:szCs w:val="22"/>
              </w:rPr>
              <w:t>III</w:t>
            </w:r>
          </w:p>
        </w:tc>
        <w:tc>
          <w:tcPr>
            <w:tcW w:w="588" w:type="pct"/>
            <w:tcBorders>
              <w:top w:val="single" w:sz="4" w:space="0" w:color="000000"/>
              <w:left w:val="single" w:sz="4" w:space="0" w:color="000000"/>
              <w:bottom w:val="single" w:sz="8" w:space="0" w:color="000000"/>
            </w:tcBorders>
            <w:shd w:val="clear" w:color="auto" w:fill="BFBFBF"/>
          </w:tcPr>
          <w:p w14:paraId="3EB354FD" w14:textId="77777777" w:rsidR="001C08A5" w:rsidRDefault="00000000">
            <w:pPr>
              <w:jc w:val="center"/>
              <w:rPr>
                <w:b/>
                <w:i/>
                <w:iCs/>
                <w:sz w:val="22"/>
                <w:szCs w:val="22"/>
              </w:rPr>
            </w:pPr>
            <w:r>
              <w:rPr>
                <w:b/>
                <w:i/>
                <w:iCs/>
                <w:sz w:val="22"/>
                <w:szCs w:val="22"/>
              </w:rPr>
              <w:t>IV</w:t>
            </w:r>
          </w:p>
        </w:tc>
        <w:tc>
          <w:tcPr>
            <w:tcW w:w="661" w:type="pct"/>
            <w:tcBorders>
              <w:top w:val="single" w:sz="4" w:space="0" w:color="000000"/>
              <w:left w:val="single" w:sz="4" w:space="0" w:color="000000"/>
              <w:bottom w:val="single" w:sz="8" w:space="0" w:color="000000"/>
              <w:right w:val="single" w:sz="8" w:space="0" w:color="000000"/>
            </w:tcBorders>
            <w:shd w:val="clear" w:color="auto" w:fill="BFBFBF"/>
          </w:tcPr>
          <w:p w14:paraId="00D04462" w14:textId="77777777" w:rsidR="001C08A5" w:rsidRDefault="00000000">
            <w:pPr>
              <w:jc w:val="center"/>
              <w:rPr>
                <w:i/>
                <w:iCs/>
                <w:sz w:val="22"/>
                <w:szCs w:val="22"/>
              </w:rPr>
            </w:pPr>
            <w:r>
              <w:rPr>
                <w:b/>
                <w:i/>
                <w:iCs/>
                <w:sz w:val="22"/>
                <w:szCs w:val="22"/>
              </w:rPr>
              <w:t>V</w:t>
            </w:r>
          </w:p>
        </w:tc>
      </w:tr>
      <w:tr w:rsidR="001C08A5" w14:paraId="5C1B7BF5" w14:textId="77777777">
        <w:trPr>
          <w:trHeight w:val="523"/>
        </w:trPr>
        <w:tc>
          <w:tcPr>
            <w:tcW w:w="326" w:type="pct"/>
            <w:tcBorders>
              <w:top w:val="single" w:sz="8" w:space="0" w:color="000000"/>
              <w:left w:val="single" w:sz="8" w:space="0" w:color="000000"/>
              <w:bottom w:val="single" w:sz="4" w:space="0" w:color="auto"/>
            </w:tcBorders>
          </w:tcPr>
          <w:p w14:paraId="2435058C" w14:textId="77777777" w:rsidR="001C08A5" w:rsidRDefault="00000000">
            <w:pPr>
              <w:jc w:val="center"/>
              <w:rPr>
                <w:b/>
                <w:bCs/>
                <w:i/>
                <w:iCs/>
                <w:sz w:val="22"/>
                <w:szCs w:val="22"/>
              </w:rPr>
            </w:pPr>
            <w:r>
              <w:rPr>
                <w:b/>
                <w:bCs/>
                <w:i/>
                <w:iCs/>
                <w:sz w:val="22"/>
                <w:szCs w:val="22"/>
              </w:rPr>
              <w:t>1</w:t>
            </w:r>
          </w:p>
        </w:tc>
        <w:tc>
          <w:tcPr>
            <w:tcW w:w="2027" w:type="pct"/>
            <w:tcBorders>
              <w:top w:val="single" w:sz="8" w:space="0" w:color="000000"/>
              <w:left w:val="single" w:sz="4" w:space="0" w:color="000000"/>
              <w:bottom w:val="single" w:sz="4" w:space="0" w:color="auto"/>
            </w:tcBorders>
          </w:tcPr>
          <w:p w14:paraId="212294B1" w14:textId="77777777" w:rsidR="001C08A5" w:rsidRDefault="00000000">
            <w:pPr>
              <w:rPr>
                <w:b/>
                <w:i/>
                <w:iCs/>
                <w:sz w:val="22"/>
                <w:szCs w:val="22"/>
              </w:rPr>
            </w:pPr>
            <w:r>
              <w:rPr>
                <w:b/>
                <w:bCs/>
                <w:i/>
                <w:iCs/>
                <w:sz w:val="22"/>
                <w:szCs w:val="22"/>
              </w:rPr>
              <w:t xml:space="preserve">1. </w:t>
            </w:r>
            <w:r>
              <w:rPr>
                <w:i/>
                <w:iCs/>
                <w:sz w:val="22"/>
                <w:szCs w:val="22"/>
              </w:rPr>
              <w:t>Cl</w:t>
            </w:r>
            <w:r>
              <w:rPr>
                <w:rFonts w:eastAsia="Times-Roman"/>
                <w:i/>
                <w:iCs/>
                <w:sz w:val="22"/>
                <w:szCs w:val="22"/>
              </w:rPr>
              <w:t>ă</w:t>
            </w:r>
            <w:r>
              <w:rPr>
                <w:i/>
                <w:iCs/>
                <w:sz w:val="22"/>
                <w:szCs w:val="22"/>
              </w:rPr>
              <w:t>diri destintate persoanelor care nu se pot evacua singure;</w:t>
            </w:r>
          </w:p>
        </w:tc>
        <w:tc>
          <w:tcPr>
            <w:tcW w:w="809" w:type="pct"/>
            <w:tcBorders>
              <w:top w:val="single" w:sz="8" w:space="0" w:color="000000"/>
              <w:left w:val="single" w:sz="4" w:space="0" w:color="000000"/>
              <w:bottom w:val="single" w:sz="4" w:space="0" w:color="auto"/>
            </w:tcBorders>
            <w:vAlign w:val="center"/>
          </w:tcPr>
          <w:p w14:paraId="46AF130E" w14:textId="77777777" w:rsidR="001C08A5" w:rsidRDefault="00000000">
            <w:pPr>
              <w:jc w:val="center"/>
              <w:rPr>
                <w:b/>
                <w:i/>
                <w:iCs/>
                <w:sz w:val="22"/>
                <w:szCs w:val="22"/>
              </w:rPr>
            </w:pPr>
            <w:r>
              <w:rPr>
                <w:b/>
                <w:i/>
                <w:iCs/>
                <w:sz w:val="22"/>
                <w:szCs w:val="22"/>
              </w:rPr>
              <w:t>150</w:t>
            </w:r>
          </w:p>
        </w:tc>
        <w:tc>
          <w:tcPr>
            <w:tcW w:w="588" w:type="pct"/>
            <w:tcBorders>
              <w:top w:val="single" w:sz="8" w:space="0" w:color="000000"/>
              <w:left w:val="single" w:sz="4" w:space="0" w:color="000000"/>
              <w:bottom w:val="single" w:sz="8" w:space="0" w:color="000000"/>
            </w:tcBorders>
            <w:vAlign w:val="center"/>
          </w:tcPr>
          <w:p w14:paraId="457AE83C" w14:textId="77777777" w:rsidR="001C08A5" w:rsidRDefault="00000000">
            <w:pPr>
              <w:jc w:val="center"/>
              <w:rPr>
                <w:b/>
                <w:i/>
                <w:iCs/>
                <w:sz w:val="22"/>
                <w:szCs w:val="22"/>
              </w:rPr>
            </w:pPr>
            <w:r>
              <w:rPr>
                <w:b/>
                <w:i/>
                <w:iCs/>
                <w:sz w:val="22"/>
                <w:szCs w:val="22"/>
              </w:rPr>
              <w:t>2</w:t>
            </w:r>
          </w:p>
        </w:tc>
        <w:tc>
          <w:tcPr>
            <w:tcW w:w="588" w:type="pct"/>
            <w:tcBorders>
              <w:top w:val="single" w:sz="8" w:space="0" w:color="000000"/>
              <w:left w:val="single" w:sz="4" w:space="0" w:color="000000"/>
              <w:bottom w:val="single" w:sz="8" w:space="0" w:color="000000"/>
            </w:tcBorders>
            <w:vAlign w:val="center"/>
          </w:tcPr>
          <w:p w14:paraId="172C3212" w14:textId="77777777" w:rsidR="001C08A5" w:rsidRDefault="00000000">
            <w:pPr>
              <w:jc w:val="center"/>
              <w:rPr>
                <w:b/>
                <w:i/>
                <w:iCs/>
                <w:sz w:val="22"/>
                <w:szCs w:val="22"/>
              </w:rPr>
            </w:pPr>
            <w:r>
              <w:rPr>
                <w:b/>
                <w:i/>
                <w:iCs/>
                <w:sz w:val="22"/>
                <w:szCs w:val="22"/>
              </w:rPr>
              <w:t>1</w:t>
            </w:r>
          </w:p>
        </w:tc>
        <w:tc>
          <w:tcPr>
            <w:tcW w:w="661" w:type="pct"/>
            <w:tcBorders>
              <w:top w:val="single" w:sz="8" w:space="0" w:color="000000"/>
              <w:left w:val="single" w:sz="4" w:space="0" w:color="000000"/>
              <w:bottom w:val="single" w:sz="8" w:space="0" w:color="000000"/>
              <w:right w:val="single" w:sz="8" w:space="0" w:color="000000"/>
            </w:tcBorders>
            <w:vAlign w:val="center"/>
          </w:tcPr>
          <w:p w14:paraId="1589A213" w14:textId="77777777" w:rsidR="001C08A5" w:rsidRDefault="00000000">
            <w:pPr>
              <w:jc w:val="center"/>
              <w:rPr>
                <w:i/>
                <w:iCs/>
                <w:sz w:val="22"/>
                <w:szCs w:val="22"/>
              </w:rPr>
            </w:pPr>
            <w:r>
              <w:rPr>
                <w:b/>
                <w:i/>
                <w:iCs/>
                <w:sz w:val="22"/>
                <w:szCs w:val="22"/>
              </w:rPr>
              <w:t>1</w:t>
            </w:r>
          </w:p>
        </w:tc>
      </w:tr>
      <w:tr w:rsidR="001C08A5" w14:paraId="0E89692E" w14:textId="77777777">
        <w:trPr>
          <w:cantSplit/>
          <w:trHeight w:val="706"/>
        </w:trPr>
        <w:tc>
          <w:tcPr>
            <w:tcW w:w="326" w:type="pct"/>
            <w:vMerge w:val="restart"/>
            <w:tcBorders>
              <w:top w:val="single" w:sz="4" w:space="0" w:color="auto"/>
              <w:left w:val="single" w:sz="4" w:space="0" w:color="auto"/>
              <w:right w:val="single" w:sz="4" w:space="0" w:color="auto"/>
            </w:tcBorders>
          </w:tcPr>
          <w:p w14:paraId="256F43AB" w14:textId="77777777" w:rsidR="001C08A5" w:rsidRDefault="00000000">
            <w:pPr>
              <w:jc w:val="center"/>
              <w:rPr>
                <w:b/>
                <w:bCs/>
                <w:i/>
                <w:iCs/>
                <w:sz w:val="22"/>
                <w:szCs w:val="22"/>
              </w:rPr>
            </w:pPr>
            <w:r>
              <w:rPr>
                <w:b/>
                <w:bCs/>
                <w:i/>
                <w:iCs/>
                <w:sz w:val="22"/>
                <w:szCs w:val="22"/>
              </w:rPr>
              <w:t>2</w:t>
            </w:r>
          </w:p>
        </w:tc>
        <w:tc>
          <w:tcPr>
            <w:tcW w:w="2027" w:type="pct"/>
            <w:tcBorders>
              <w:top w:val="single" w:sz="4" w:space="0" w:color="auto"/>
              <w:left w:val="single" w:sz="4" w:space="0" w:color="auto"/>
              <w:bottom w:val="single" w:sz="4" w:space="0" w:color="auto"/>
              <w:right w:val="single" w:sz="4" w:space="0" w:color="auto"/>
            </w:tcBorders>
          </w:tcPr>
          <w:p w14:paraId="3883AC8C" w14:textId="77777777" w:rsidR="001C08A5" w:rsidRDefault="00000000">
            <w:pPr>
              <w:rPr>
                <w:b/>
                <w:i/>
                <w:iCs/>
                <w:sz w:val="22"/>
                <w:szCs w:val="22"/>
              </w:rPr>
            </w:pPr>
            <w:r>
              <w:rPr>
                <w:b/>
                <w:bCs/>
                <w:i/>
                <w:iCs/>
                <w:sz w:val="22"/>
                <w:szCs w:val="22"/>
              </w:rPr>
              <w:t>2a.</w:t>
            </w:r>
            <w:r>
              <w:rPr>
                <w:i/>
                <w:iCs/>
                <w:sz w:val="22"/>
                <w:szCs w:val="22"/>
              </w:rPr>
              <w:t xml:space="preserve"> Muzee sau expoziţii care nu adăpostesc valori deosebite şi nu sunt săli aglomerate;</w:t>
            </w:r>
          </w:p>
        </w:tc>
        <w:tc>
          <w:tcPr>
            <w:tcW w:w="809" w:type="pct"/>
            <w:tcBorders>
              <w:top w:val="single" w:sz="4" w:space="0" w:color="auto"/>
              <w:left w:val="single" w:sz="4" w:space="0" w:color="auto"/>
              <w:bottom w:val="single" w:sz="4" w:space="0" w:color="auto"/>
              <w:right w:val="single" w:sz="4" w:space="0" w:color="auto"/>
            </w:tcBorders>
            <w:vAlign w:val="center"/>
          </w:tcPr>
          <w:p w14:paraId="2E7F3DE5" w14:textId="77777777" w:rsidR="001C08A5" w:rsidRDefault="00000000">
            <w:pPr>
              <w:jc w:val="center"/>
              <w:rPr>
                <w:b/>
                <w:i/>
                <w:iCs/>
                <w:sz w:val="22"/>
                <w:szCs w:val="22"/>
              </w:rPr>
            </w:pPr>
            <w:r>
              <w:rPr>
                <w:b/>
                <w:i/>
                <w:iCs/>
                <w:sz w:val="22"/>
                <w:szCs w:val="22"/>
              </w:rPr>
              <w:t>300</w:t>
            </w:r>
          </w:p>
        </w:tc>
        <w:tc>
          <w:tcPr>
            <w:tcW w:w="588" w:type="pct"/>
            <w:vMerge w:val="restart"/>
            <w:tcBorders>
              <w:top w:val="single" w:sz="8" w:space="0" w:color="000000"/>
              <w:left w:val="single" w:sz="4" w:space="0" w:color="auto"/>
              <w:bottom w:val="single" w:sz="4" w:space="0" w:color="000000"/>
            </w:tcBorders>
            <w:vAlign w:val="center"/>
          </w:tcPr>
          <w:p w14:paraId="62763528" w14:textId="77777777" w:rsidR="001C08A5" w:rsidRDefault="001C08A5">
            <w:pPr>
              <w:snapToGrid w:val="0"/>
              <w:jc w:val="center"/>
              <w:rPr>
                <w:b/>
                <w:i/>
                <w:iCs/>
                <w:sz w:val="22"/>
                <w:szCs w:val="22"/>
              </w:rPr>
            </w:pPr>
          </w:p>
          <w:p w14:paraId="6BE23DDC" w14:textId="77777777" w:rsidR="001C08A5" w:rsidRDefault="001C08A5">
            <w:pPr>
              <w:snapToGrid w:val="0"/>
              <w:jc w:val="center"/>
              <w:rPr>
                <w:b/>
                <w:i/>
                <w:iCs/>
                <w:sz w:val="22"/>
                <w:szCs w:val="22"/>
              </w:rPr>
            </w:pPr>
          </w:p>
          <w:p w14:paraId="616C0433" w14:textId="77777777" w:rsidR="001C08A5" w:rsidRDefault="001C08A5">
            <w:pPr>
              <w:snapToGrid w:val="0"/>
              <w:jc w:val="center"/>
              <w:rPr>
                <w:b/>
                <w:i/>
                <w:iCs/>
                <w:sz w:val="22"/>
                <w:szCs w:val="22"/>
              </w:rPr>
            </w:pPr>
          </w:p>
          <w:p w14:paraId="07EA0C4C" w14:textId="77777777" w:rsidR="001C08A5" w:rsidRDefault="00000000">
            <w:pPr>
              <w:jc w:val="center"/>
              <w:rPr>
                <w:b/>
                <w:i/>
                <w:iCs/>
                <w:sz w:val="22"/>
                <w:szCs w:val="22"/>
              </w:rPr>
            </w:pPr>
            <w:r>
              <w:rPr>
                <w:b/>
                <w:i/>
                <w:iCs/>
                <w:sz w:val="22"/>
                <w:szCs w:val="22"/>
              </w:rPr>
              <w:t>3</w:t>
            </w:r>
          </w:p>
        </w:tc>
        <w:tc>
          <w:tcPr>
            <w:tcW w:w="588" w:type="pct"/>
            <w:vMerge w:val="restart"/>
            <w:tcBorders>
              <w:top w:val="single" w:sz="8" w:space="0" w:color="000000"/>
              <w:left w:val="single" w:sz="4" w:space="0" w:color="000000"/>
              <w:bottom w:val="single" w:sz="4" w:space="0" w:color="000000"/>
            </w:tcBorders>
            <w:vAlign w:val="center"/>
          </w:tcPr>
          <w:p w14:paraId="38E66513" w14:textId="77777777" w:rsidR="001C08A5" w:rsidRDefault="001C08A5">
            <w:pPr>
              <w:snapToGrid w:val="0"/>
              <w:jc w:val="center"/>
              <w:rPr>
                <w:b/>
                <w:i/>
                <w:iCs/>
                <w:sz w:val="22"/>
                <w:szCs w:val="22"/>
              </w:rPr>
            </w:pPr>
          </w:p>
          <w:p w14:paraId="79C05CD8" w14:textId="77777777" w:rsidR="001C08A5" w:rsidRDefault="001C08A5">
            <w:pPr>
              <w:snapToGrid w:val="0"/>
              <w:jc w:val="center"/>
              <w:rPr>
                <w:b/>
                <w:i/>
                <w:iCs/>
                <w:sz w:val="22"/>
                <w:szCs w:val="22"/>
              </w:rPr>
            </w:pPr>
          </w:p>
          <w:p w14:paraId="63B6CD97" w14:textId="77777777" w:rsidR="001C08A5" w:rsidRDefault="001C08A5">
            <w:pPr>
              <w:snapToGrid w:val="0"/>
              <w:jc w:val="center"/>
              <w:rPr>
                <w:b/>
                <w:i/>
                <w:iCs/>
                <w:sz w:val="22"/>
                <w:szCs w:val="22"/>
              </w:rPr>
            </w:pPr>
          </w:p>
          <w:p w14:paraId="76FA1542" w14:textId="77777777" w:rsidR="001C08A5" w:rsidRDefault="00000000">
            <w:pPr>
              <w:jc w:val="center"/>
              <w:rPr>
                <w:b/>
                <w:i/>
                <w:iCs/>
                <w:sz w:val="22"/>
                <w:szCs w:val="22"/>
              </w:rPr>
            </w:pPr>
            <w:r>
              <w:rPr>
                <w:b/>
                <w:i/>
                <w:iCs/>
                <w:sz w:val="22"/>
                <w:szCs w:val="22"/>
              </w:rPr>
              <w:t>2</w:t>
            </w:r>
          </w:p>
        </w:tc>
        <w:tc>
          <w:tcPr>
            <w:tcW w:w="661" w:type="pct"/>
            <w:vMerge w:val="restart"/>
            <w:tcBorders>
              <w:top w:val="single" w:sz="8" w:space="0" w:color="000000"/>
              <w:left w:val="single" w:sz="4" w:space="0" w:color="000000"/>
              <w:bottom w:val="single" w:sz="4" w:space="0" w:color="000000"/>
              <w:right w:val="single" w:sz="8" w:space="0" w:color="000000"/>
            </w:tcBorders>
            <w:vAlign w:val="center"/>
          </w:tcPr>
          <w:p w14:paraId="730E8B65" w14:textId="77777777" w:rsidR="001C08A5" w:rsidRDefault="001C08A5">
            <w:pPr>
              <w:snapToGrid w:val="0"/>
              <w:jc w:val="center"/>
              <w:rPr>
                <w:b/>
                <w:i/>
                <w:iCs/>
                <w:sz w:val="22"/>
                <w:szCs w:val="22"/>
              </w:rPr>
            </w:pPr>
          </w:p>
          <w:p w14:paraId="10069CCD" w14:textId="77777777" w:rsidR="001C08A5" w:rsidRDefault="001C08A5">
            <w:pPr>
              <w:jc w:val="center"/>
              <w:rPr>
                <w:b/>
                <w:i/>
                <w:iCs/>
                <w:sz w:val="22"/>
                <w:szCs w:val="22"/>
              </w:rPr>
            </w:pPr>
          </w:p>
          <w:p w14:paraId="68BA28BB" w14:textId="77777777" w:rsidR="001C08A5" w:rsidRDefault="001C08A5">
            <w:pPr>
              <w:jc w:val="center"/>
              <w:rPr>
                <w:b/>
                <w:i/>
                <w:iCs/>
                <w:sz w:val="22"/>
                <w:szCs w:val="22"/>
              </w:rPr>
            </w:pPr>
          </w:p>
          <w:p w14:paraId="48B979FB" w14:textId="77777777" w:rsidR="001C08A5" w:rsidRDefault="00000000">
            <w:pPr>
              <w:jc w:val="center"/>
              <w:rPr>
                <w:i/>
                <w:iCs/>
                <w:sz w:val="22"/>
                <w:szCs w:val="22"/>
              </w:rPr>
            </w:pPr>
            <w:r>
              <w:rPr>
                <w:b/>
                <w:i/>
                <w:iCs/>
                <w:sz w:val="22"/>
                <w:szCs w:val="22"/>
              </w:rPr>
              <w:t>1</w:t>
            </w:r>
          </w:p>
        </w:tc>
      </w:tr>
      <w:tr w:rsidR="001C08A5" w14:paraId="483838E5" w14:textId="77777777">
        <w:trPr>
          <w:cantSplit/>
          <w:trHeight w:val="337"/>
        </w:trPr>
        <w:tc>
          <w:tcPr>
            <w:tcW w:w="326" w:type="pct"/>
            <w:vMerge/>
            <w:tcBorders>
              <w:left w:val="single" w:sz="4" w:space="0" w:color="auto"/>
              <w:right w:val="single" w:sz="4" w:space="0" w:color="auto"/>
            </w:tcBorders>
          </w:tcPr>
          <w:p w14:paraId="4894B8C4" w14:textId="77777777" w:rsidR="001C08A5" w:rsidRDefault="001C08A5">
            <w:pPr>
              <w:snapToGrid w:val="0"/>
              <w:jc w:val="center"/>
              <w:rPr>
                <w:b/>
                <w:bCs/>
                <w:i/>
                <w:iCs/>
                <w:sz w:val="22"/>
                <w:szCs w:val="22"/>
              </w:rPr>
            </w:pPr>
          </w:p>
        </w:tc>
        <w:tc>
          <w:tcPr>
            <w:tcW w:w="2027" w:type="pct"/>
            <w:tcBorders>
              <w:top w:val="single" w:sz="4" w:space="0" w:color="auto"/>
              <w:left w:val="single" w:sz="4" w:space="0" w:color="auto"/>
              <w:bottom w:val="single" w:sz="4" w:space="0" w:color="auto"/>
              <w:right w:val="single" w:sz="4" w:space="0" w:color="auto"/>
            </w:tcBorders>
          </w:tcPr>
          <w:p w14:paraId="0C8113BE" w14:textId="77777777" w:rsidR="001C08A5" w:rsidRDefault="00000000">
            <w:pPr>
              <w:rPr>
                <w:b/>
                <w:i/>
                <w:iCs/>
                <w:sz w:val="22"/>
                <w:szCs w:val="22"/>
              </w:rPr>
            </w:pPr>
            <w:r>
              <w:rPr>
                <w:b/>
                <w:bCs/>
                <w:i/>
                <w:iCs/>
                <w:sz w:val="22"/>
                <w:szCs w:val="22"/>
              </w:rPr>
              <w:t>2b.</w:t>
            </w:r>
            <w:r>
              <w:rPr>
                <w:i/>
                <w:iCs/>
                <w:sz w:val="22"/>
                <w:szCs w:val="22"/>
              </w:rPr>
              <w:t xml:space="preserve"> Cl</w:t>
            </w:r>
            <w:r>
              <w:rPr>
                <w:rFonts w:eastAsia="Times-Roman"/>
                <w:i/>
                <w:iCs/>
                <w:sz w:val="22"/>
                <w:szCs w:val="22"/>
              </w:rPr>
              <w:t>ă</w:t>
            </w:r>
            <w:r>
              <w:rPr>
                <w:i/>
                <w:iCs/>
                <w:sz w:val="22"/>
                <w:szCs w:val="22"/>
              </w:rPr>
              <w:t>diri pentru cazare temporarã;</w:t>
            </w:r>
          </w:p>
        </w:tc>
        <w:tc>
          <w:tcPr>
            <w:tcW w:w="809" w:type="pct"/>
            <w:tcBorders>
              <w:top w:val="single" w:sz="4" w:space="0" w:color="auto"/>
              <w:left w:val="single" w:sz="4" w:space="0" w:color="auto"/>
              <w:bottom w:val="single" w:sz="4" w:space="0" w:color="auto"/>
              <w:right w:val="single" w:sz="4" w:space="0" w:color="auto"/>
            </w:tcBorders>
            <w:vAlign w:val="center"/>
          </w:tcPr>
          <w:p w14:paraId="4EDF2003" w14:textId="77777777" w:rsidR="001C08A5" w:rsidRDefault="00000000">
            <w:pPr>
              <w:jc w:val="center"/>
              <w:rPr>
                <w:b/>
                <w:i/>
                <w:iCs/>
                <w:sz w:val="22"/>
                <w:szCs w:val="22"/>
              </w:rPr>
            </w:pPr>
            <w:r>
              <w:rPr>
                <w:b/>
                <w:i/>
                <w:iCs/>
                <w:sz w:val="22"/>
                <w:szCs w:val="22"/>
              </w:rPr>
              <w:t>200</w:t>
            </w:r>
          </w:p>
        </w:tc>
        <w:tc>
          <w:tcPr>
            <w:tcW w:w="588" w:type="pct"/>
            <w:vMerge/>
            <w:tcBorders>
              <w:top w:val="single" w:sz="4" w:space="0" w:color="000000"/>
              <w:left w:val="single" w:sz="4" w:space="0" w:color="auto"/>
              <w:bottom w:val="single" w:sz="4" w:space="0" w:color="000000"/>
            </w:tcBorders>
            <w:vAlign w:val="center"/>
          </w:tcPr>
          <w:p w14:paraId="60DBF193" w14:textId="77777777" w:rsidR="001C08A5" w:rsidRDefault="001C08A5">
            <w:pPr>
              <w:snapToGrid w:val="0"/>
              <w:jc w:val="center"/>
              <w:rPr>
                <w:b/>
                <w:i/>
                <w:iCs/>
                <w:sz w:val="22"/>
                <w:szCs w:val="22"/>
              </w:rPr>
            </w:pPr>
          </w:p>
        </w:tc>
        <w:tc>
          <w:tcPr>
            <w:tcW w:w="588" w:type="pct"/>
            <w:vMerge/>
            <w:tcBorders>
              <w:top w:val="single" w:sz="4" w:space="0" w:color="000000"/>
              <w:left w:val="single" w:sz="4" w:space="0" w:color="000000"/>
              <w:bottom w:val="single" w:sz="4" w:space="0" w:color="000000"/>
            </w:tcBorders>
            <w:vAlign w:val="center"/>
          </w:tcPr>
          <w:p w14:paraId="70CF701D" w14:textId="77777777" w:rsidR="001C08A5" w:rsidRDefault="001C08A5">
            <w:pPr>
              <w:snapToGrid w:val="0"/>
              <w:jc w:val="center"/>
              <w:rPr>
                <w:b/>
                <w:i/>
                <w:iCs/>
                <w:sz w:val="22"/>
                <w:szCs w:val="22"/>
              </w:rPr>
            </w:pPr>
          </w:p>
        </w:tc>
        <w:tc>
          <w:tcPr>
            <w:tcW w:w="661" w:type="pct"/>
            <w:vMerge/>
            <w:tcBorders>
              <w:top w:val="single" w:sz="4" w:space="0" w:color="000000"/>
              <w:left w:val="single" w:sz="4" w:space="0" w:color="000000"/>
              <w:bottom w:val="single" w:sz="4" w:space="0" w:color="000000"/>
              <w:right w:val="single" w:sz="8" w:space="0" w:color="000000"/>
            </w:tcBorders>
            <w:vAlign w:val="center"/>
          </w:tcPr>
          <w:p w14:paraId="610CEEF6" w14:textId="77777777" w:rsidR="001C08A5" w:rsidRDefault="001C08A5">
            <w:pPr>
              <w:snapToGrid w:val="0"/>
              <w:jc w:val="center"/>
              <w:rPr>
                <w:b/>
                <w:i/>
                <w:iCs/>
                <w:sz w:val="22"/>
                <w:szCs w:val="22"/>
              </w:rPr>
            </w:pPr>
          </w:p>
        </w:tc>
      </w:tr>
      <w:tr w:rsidR="001C08A5" w14:paraId="71925D7F" w14:textId="77777777">
        <w:trPr>
          <w:cantSplit/>
          <w:trHeight w:val="337"/>
        </w:trPr>
        <w:tc>
          <w:tcPr>
            <w:tcW w:w="326" w:type="pct"/>
            <w:vMerge/>
            <w:tcBorders>
              <w:left w:val="single" w:sz="4" w:space="0" w:color="auto"/>
              <w:right w:val="single" w:sz="4" w:space="0" w:color="auto"/>
            </w:tcBorders>
          </w:tcPr>
          <w:p w14:paraId="2FEB87C1" w14:textId="77777777" w:rsidR="001C08A5" w:rsidRDefault="001C08A5">
            <w:pPr>
              <w:snapToGrid w:val="0"/>
              <w:jc w:val="center"/>
              <w:rPr>
                <w:b/>
                <w:bCs/>
                <w:i/>
                <w:iCs/>
                <w:sz w:val="22"/>
                <w:szCs w:val="22"/>
              </w:rPr>
            </w:pPr>
          </w:p>
        </w:tc>
        <w:tc>
          <w:tcPr>
            <w:tcW w:w="2027" w:type="pct"/>
            <w:tcBorders>
              <w:top w:val="single" w:sz="4" w:space="0" w:color="auto"/>
              <w:left w:val="single" w:sz="4" w:space="0" w:color="auto"/>
              <w:bottom w:val="single" w:sz="4" w:space="0" w:color="auto"/>
              <w:right w:val="single" w:sz="4" w:space="0" w:color="auto"/>
            </w:tcBorders>
          </w:tcPr>
          <w:p w14:paraId="79C3B36D" w14:textId="77777777" w:rsidR="001C08A5" w:rsidRDefault="00000000">
            <w:pPr>
              <w:rPr>
                <w:b/>
                <w:bCs/>
                <w:i/>
                <w:iCs/>
                <w:sz w:val="22"/>
                <w:szCs w:val="22"/>
              </w:rPr>
            </w:pPr>
            <w:r>
              <w:rPr>
                <w:b/>
                <w:bCs/>
                <w:i/>
                <w:iCs/>
                <w:sz w:val="22"/>
                <w:szCs w:val="22"/>
              </w:rPr>
              <w:t>2c.</w:t>
            </w:r>
            <w:r>
              <w:rPr>
                <w:i/>
                <w:iCs/>
                <w:sz w:val="22"/>
                <w:szCs w:val="22"/>
              </w:rPr>
              <w:t xml:space="preserve"> Cl</w:t>
            </w:r>
            <w:r>
              <w:rPr>
                <w:rFonts w:eastAsia="Times-Roman"/>
                <w:i/>
                <w:iCs/>
                <w:sz w:val="22"/>
                <w:szCs w:val="22"/>
              </w:rPr>
              <w:t>ă</w:t>
            </w:r>
            <w:r>
              <w:rPr>
                <w:i/>
                <w:iCs/>
                <w:sz w:val="22"/>
                <w:szCs w:val="22"/>
              </w:rPr>
              <w:t xml:space="preserve">diri pentru </w:t>
            </w:r>
            <w:r>
              <w:rPr>
                <w:rFonts w:eastAsia="Times-Roman"/>
                <w:i/>
                <w:iCs/>
                <w:sz w:val="22"/>
                <w:szCs w:val="22"/>
              </w:rPr>
              <w:t>î</w:t>
            </w:r>
            <w:r>
              <w:rPr>
                <w:i/>
                <w:iCs/>
                <w:sz w:val="22"/>
                <w:szCs w:val="22"/>
              </w:rPr>
              <w:t>nvăţământ primar</w:t>
            </w:r>
          </w:p>
        </w:tc>
        <w:tc>
          <w:tcPr>
            <w:tcW w:w="809" w:type="pct"/>
            <w:vMerge w:val="restart"/>
            <w:tcBorders>
              <w:top w:val="single" w:sz="4" w:space="0" w:color="auto"/>
              <w:left w:val="single" w:sz="4" w:space="0" w:color="auto"/>
              <w:bottom w:val="single" w:sz="4" w:space="0" w:color="auto"/>
              <w:right w:val="single" w:sz="4" w:space="0" w:color="auto"/>
            </w:tcBorders>
            <w:vAlign w:val="center"/>
          </w:tcPr>
          <w:p w14:paraId="63C76544" w14:textId="77777777" w:rsidR="001C08A5" w:rsidRDefault="00000000">
            <w:pPr>
              <w:jc w:val="center"/>
              <w:rPr>
                <w:b/>
                <w:i/>
                <w:iCs/>
                <w:sz w:val="22"/>
                <w:szCs w:val="22"/>
              </w:rPr>
            </w:pPr>
            <w:r>
              <w:rPr>
                <w:b/>
                <w:i/>
                <w:iCs/>
                <w:sz w:val="22"/>
                <w:szCs w:val="22"/>
              </w:rPr>
              <w:t>480</w:t>
            </w:r>
          </w:p>
        </w:tc>
        <w:tc>
          <w:tcPr>
            <w:tcW w:w="588" w:type="pct"/>
            <w:vMerge/>
            <w:tcBorders>
              <w:top w:val="single" w:sz="4" w:space="0" w:color="000000"/>
              <w:left w:val="single" w:sz="4" w:space="0" w:color="auto"/>
              <w:bottom w:val="single" w:sz="4" w:space="0" w:color="000000"/>
            </w:tcBorders>
            <w:vAlign w:val="center"/>
          </w:tcPr>
          <w:p w14:paraId="7384C787" w14:textId="77777777" w:rsidR="001C08A5" w:rsidRDefault="001C08A5">
            <w:pPr>
              <w:snapToGrid w:val="0"/>
              <w:jc w:val="center"/>
              <w:rPr>
                <w:b/>
                <w:i/>
                <w:iCs/>
                <w:sz w:val="22"/>
                <w:szCs w:val="22"/>
              </w:rPr>
            </w:pPr>
          </w:p>
        </w:tc>
        <w:tc>
          <w:tcPr>
            <w:tcW w:w="588" w:type="pct"/>
            <w:vMerge/>
            <w:tcBorders>
              <w:top w:val="single" w:sz="4" w:space="0" w:color="000000"/>
              <w:left w:val="single" w:sz="4" w:space="0" w:color="000000"/>
              <w:bottom w:val="single" w:sz="4" w:space="0" w:color="000000"/>
            </w:tcBorders>
            <w:vAlign w:val="center"/>
          </w:tcPr>
          <w:p w14:paraId="47E7807A" w14:textId="77777777" w:rsidR="001C08A5" w:rsidRDefault="001C08A5">
            <w:pPr>
              <w:snapToGrid w:val="0"/>
              <w:jc w:val="center"/>
              <w:rPr>
                <w:b/>
                <w:i/>
                <w:iCs/>
                <w:sz w:val="22"/>
                <w:szCs w:val="22"/>
              </w:rPr>
            </w:pPr>
          </w:p>
        </w:tc>
        <w:tc>
          <w:tcPr>
            <w:tcW w:w="661" w:type="pct"/>
            <w:vMerge/>
            <w:tcBorders>
              <w:top w:val="single" w:sz="4" w:space="0" w:color="000000"/>
              <w:left w:val="single" w:sz="4" w:space="0" w:color="000000"/>
              <w:bottom w:val="single" w:sz="4" w:space="0" w:color="000000"/>
              <w:right w:val="single" w:sz="8" w:space="0" w:color="000000"/>
            </w:tcBorders>
            <w:vAlign w:val="center"/>
          </w:tcPr>
          <w:p w14:paraId="17389AAB" w14:textId="77777777" w:rsidR="001C08A5" w:rsidRDefault="001C08A5">
            <w:pPr>
              <w:snapToGrid w:val="0"/>
              <w:jc w:val="center"/>
              <w:rPr>
                <w:b/>
                <w:i/>
                <w:iCs/>
                <w:sz w:val="22"/>
                <w:szCs w:val="22"/>
              </w:rPr>
            </w:pPr>
          </w:p>
        </w:tc>
      </w:tr>
      <w:tr w:rsidR="001C08A5" w14:paraId="5B1F4139" w14:textId="77777777">
        <w:trPr>
          <w:cantSplit/>
          <w:trHeight w:val="513"/>
        </w:trPr>
        <w:tc>
          <w:tcPr>
            <w:tcW w:w="326" w:type="pct"/>
            <w:vMerge/>
            <w:tcBorders>
              <w:left w:val="single" w:sz="4" w:space="0" w:color="auto"/>
              <w:bottom w:val="single" w:sz="4" w:space="0" w:color="auto"/>
              <w:right w:val="single" w:sz="4" w:space="0" w:color="auto"/>
            </w:tcBorders>
          </w:tcPr>
          <w:p w14:paraId="1719C700" w14:textId="77777777" w:rsidR="001C08A5" w:rsidRDefault="001C08A5">
            <w:pPr>
              <w:snapToGrid w:val="0"/>
              <w:jc w:val="center"/>
              <w:rPr>
                <w:b/>
                <w:bCs/>
                <w:i/>
                <w:iCs/>
                <w:sz w:val="22"/>
                <w:szCs w:val="22"/>
              </w:rPr>
            </w:pPr>
          </w:p>
        </w:tc>
        <w:tc>
          <w:tcPr>
            <w:tcW w:w="2027" w:type="pct"/>
            <w:tcBorders>
              <w:top w:val="single" w:sz="4" w:space="0" w:color="auto"/>
              <w:left w:val="single" w:sz="4" w:space="0" w:color="auto"/>
              <w:bottom w:val="single" w:sz="4" w:space="0" w:color="auto"/>
              <w:right w:val="single" w:sz="4" w:space="0" w:color="auto"/>
            </w:tcBorders>
          </w:tcPr>
          <w:p w14:paraId="52F41A33" w14:textId="77777777" w:rsidR="001C08A5" w:rsidRDefault="00000000">
            <w:pPr>
              <w:rPr>
                <w:b/>
                <w:i/>
                <w:iCs/>
                <w:sz w:val="22"/>
                <w:szCs w:val="22"/>
              </w:rPr>
            </w:pPr>
            <w:r>
              <w:rPr>
                <w:b/>
                <w:bCs/>
                <w:i/>
                <w:iCs/>
                <w:sz w:val="22"/>
                <w:szCs w:val="22"/>
              </w:rPr>
              <w:t>2d.</w:t>
            </w:r>
            <w:r>
              <w:rPr>
                <w:i/>
                <w:iCs/>
                <w:sz w:val="22"/>
                <w:szCs w:val="22"/>
              </w:rPr>
              <w:t xml:space="preserve"> Cl</w:t>
            </w:r>
            <w:r>
              <w:rPr>
                <w:rFonts w:eastAsia="Times-Roman"/>
                <w:i/>
                <w:iCs/>
                <w:sz w:val="22"/>
                <w:szCs w:val="22"/>
              </w:rPr>
              <w:t>ă</w:t>
            </w:r>
            <w:r>
              <w:rPr>
                <w:i/>
                <w:iCs/>
                <w:sz w:val="22"/>
                <w:szCs w:val="22"/>
              </w:rPr>
              <w:t xml:space="preserve">diri pentru </w:t>
            </w:r>
            <w:r>
              <w:rPr>
                <w:rFonts w:eastAsia="Times-Roman"/>
                <w:i/>
                <w:iCs/>
                <w:sz w:val="22"/>
                <w:szCs w:val="22"/>
              </w:rPr>
              <w:t>î</w:t>
            </w:r>
            <w:r>
              <w:rPr>
                <w:i/>
                <w:iCs/>
                <w:sz w:val="22"/>
                <w:szCs w:val="22"/>
              </w:rPr>
              <w:t>nvăţământ secundar și terţiar nonuniversitar;</w:t>
            </w:r>
          </w:p>
        </w:tc>
        <w:tc>
          <w:tcPr>
            <w:tcW w:w="809" w:type="pct"/>
            <w:vMerge/>
            <w:tcBorders>
              <w:top w:val="single" w:sz="4" w:space="0" w:color="auto"/>
              <w:left w:val="single" w:sz="4" w:space="0" w:color="auto"/>
              <w:bottom w:val="single" w:sz="4" w:space="0" w:color="auto"/>
              <w:right w:val="single" w:sz="4" w:space="0" w:color="auto"/>
            </w:tcBorders>
            <w:vAlign w:val="center"/>
          </w:tcPr>
          <w:p w14:paraId="799DF023" w14:textId="77777777" w:rsidR="001C08A5" w:rsidRDefault="001C08A5">
            <w:pPr>
              <w:jc w:val="center"/>
              <w:rPr>
                <w:b/>
                <w:i/>
                <w:iCs/>
                <w:sz w:val="22"/>
                <w:szCs w:val="22"/>
              </w:rPr>
            </w:pPr>
          </w:p>
        </w:tc>
        <w:tc>
          <w:tcPr>
            <w:tcW w:w="588" w:type="pct"/>
            <w:vMerge/>
            <w:tcBorders>
              <w:top w:val="single" w:sz="4" w:space="0" w:color="000000"/>
              <w:left w:val="single" w:sz="4" w:space="0" w:color="auto"/>
              <w:bottom w:val="single" w:sz="8" w:space="0" w:color="000000"/>
            </w:tcBorders>
            <w:vAlign w:val="center"/>
          </w:tcPr>
          <w:p w14:paraId="3B127835" w14:textId="77777777" w:rsidR="001C08A5" w:rsidRDefault="001C08A5">
            <w:pPr>
              <w:snapToGrid w:val="0"/>
              <w:jc w:val="center"/>
              <w:rPr>
                <w:b/>
                <w:i/>
                <w:iCs/>
                <w:sz w:val="22"/>
                <w:szCs w:val="22"/>
              </w:rPr>
            </w:pPr>
          </w:p>
        </w:tc>
        <w:tc>
          <w:tcPr>
            <w:tcW w:w="588" w:type="pct"/>
            <w:vMerge/>
            <w:tcBorders>
              <w:top w:val="single" w:sz="4" w:space="0" w:color="000000"/>
              <w:left w:val="single" w:sz="4" w:space="0" w:color="000000"/>
              <w:bottom w:val="single" w:sz="8" w:space="0" w:color="000000"/>
            </w:tcBorders>
            <w:vAlign w:val="center"/>
          </w:tcPr>
          <w:p w14:paraId="4E9A6F15" w14:textId="77777777" w:rsidR="001C08A5" w:rsidRDefault="001C08A5">
            <w:pPr>
              <w:snapToGrid w:val="0"/>
              <w:jc w:val="center"/>
              <w:rPr>
                <w:b/>
                <w:i/>
                <w:iCs/>
                <w:sz w:val="22"/>
                <w:szCs w:val="22"/>
              </w:rPr>
            </w:pPr>
          </w:p>
        </w:tc>
        <w:tc>
          <w:tcPr>
            <w:tcW w:w="661" w:type="pct"/>
            <w:vMerge/>
            <w:tcBorders>
              <w:top w:val="single" w:sz="4" w:space="0" w:color="000000"/>
              <w:left w:val="single" w:sz="4" w:space="0" w:color="000000"/>
              <w:bottom w:val="single" w:sz="8" w:space="0" w:color="000000"/>
              <w:right w:val="single" w:sz="8" w:space="0" w:color="000000"/>
            </w:tcBorders>
            <w:vAlign w:val="center"/>
          </w:tcPr>
          <w:p w14:paraId="15A44CB4" w14:textId="77777777" w:rsidR="001C08A5" w:rsidRDefault="001C08A5">
            <w:pPr>
              <w:snapToGrid w:val="0"/>
              <w:jc w:val="center"/>
              <w:rPr>
                <w:b/>
                <w:i/>
                <w:iCs/>
                <w:sz w:val="22"/>
                <w:szCs w:val="22"/>
              </w:rPr>
            </w:pPr>
          </w:p>
        </w:tc>
      </w:tr>
      <w:tr w:rsidR="001C08A5" w14:paraId="0FBEC377" w14:textId="77777777">
        <w:trPr>
          <w:trHeight w:val="398"/>
        </w:trPr>
        <w:tc>
          <w:tcPr>
            <w:tcW w:w="326" w:type="pct"/>
            <w:tcBorders>
              <w:top w:val="single" w:sz="4" w:space="0" w:color="auto"/>
              <w:left w:val="single" w:sz="8" w:space="0" w:color="000000"/>
              <w:bottom w:val="single" w:sz="8" w:space="0" w:color="000000"/>
            </w:tcBorders>
          </w:tcPr>
          <w:p w14:paraId="59160B83" w14:textId="77777777" w:rsidR="001C08A5" w:rsidRDefault="00000000">
            <w:pPr>
              <w:jc w:val="center"/>
              <w:rPr>
                <w:b/>
                <w:bCs/>
                <w:i/>
                <w:iCs/>
                <w:sz w:val="22"/>
                <w:szCs w:val="22"/>
              </w:rPr>
            </w:pPr>
            <w:r>
              <w:rPr>
                <w:b/>
                <w:bCs/>
                <w:i/>
                <w:iCs/>
                <w:sz w:val="22"/>
                <w:szCs w:val="22"/>
              </w:rPr>
              <w:t>3</w:t>
            </w:r>
          </w:p>
        </w:tc>
        <w:tc>
          <w:tcPr>
            <w:tcW w:w="2027" w:type="pct"/>
            <w:tcBorders>
              <w:top w:val="single" w:sz="4" w:space="0" w:color="auto"/>
              <w:left w:val="single" w:sz="4" w:space="0" w:color="000000"/>
              <w:bottom w:val="single" w:sz="8" w:space="0" w:color="000000"/>
            </w:tcBorders>
          </w:tcPr>
          <w:p w14:paraId="3DC47855" w14:textId="77777777" w:rsidR="001C08A5" w:rsidRDefault="00000000">
            <w:pPr>
              <w:rPr>
                <w:b/>
                <w:i/>
                <w:iCs/>
                <w:sz w:val="22"/>
                <w:szCs w:val="22"/>
              </w:rPr>
            </w:pPr>
            <w:r>
              <w:rPr>
                <w:b/>
                <w:bCs/>
                <w:i/>
                <w:iCs/>
                <w:sz w:val="22"/>
                <w:szCs w:val="22"/>
              </w:rPr>
              <w:t>3.</w:t>
            </w:r>
            <w:r>
              <w:rPr>
                <w:i/>
                <w:iCs/>
                <w:sz w:val="22"/>
                <w:szCs w:val="22"/>
              </w:rPr>
              <w:t xml:space="preserve"> Cl</w:t>
            </w:r>
            <w:r>
              <w:rPr>
                <w:rFonts w:eastAsia="Times-Roman"/>
                <w:i/>
                <w:iCs/>
                <w:sz w:val="22"/>
                <w:szCs w:val="22"/>
              </w:rPr>
              <w:t>ă</w:t>
            </w:r>
            <w:r>
              <w:rPr>
                <w:i/>
                <w:iCs/>
                <w:sz w:val="22"/>
                <w:szCs w:val="22"/>
              </w:rPr>
              <w:t>diri de locuit;</w:t>
            </w:r>
          </w:p>
        </w:tc>
        <w:tc>
          <w:tcPr>
            <w:tcW w:w="809" w:type="pct"/>
            <w:tcBorders>
              <w:top w:val="single" w:sz="4" w:space="0" w:color="auto"/>
              <w:left w:val="single" w:sz="4" w:space="0" w:color="000000"/>
              <w:bottom w:val="single" w:sz="8" w:space="0" w:color="000000"/>
            </w:tcBorders>
            <w:vAlign w:val="center"/>
          </w:tcPr>
          <w:p w14:paraId="35492341" w14:textId="77777777" w:rsidR="001C08A5" w:rsidRDefault="00000000">
            <w:pPr>
              <w:jc w:val="center"/>
              <w:rPr>
                <w:b/>
                <w:i/>
                <w:iCs/>
                <w:sz w:val="22"/>
                <w:szCs w:val="22"/>
              </w:rPr>
            </w:pPr>
            <w:r>
              <w:rPr>
                <w:b/>
                <w:i/>
                <w:iCs/>
                <w:sz w:val="22"/>
                <w:szCs w:val="22"/>
              </w:rPr>
              <w:t>200</w:t>
            </w:r>
          </w:p>
        </w:tc>
        <w:tc>
          <w:tcPr>
            <w:tcW w:w="588" w:type="pct"/>
            <w:tcBorders>
              <w:top w:val="single" w:sz="8" w:space="0" w:color="000000"/>
              <w:left w:val="single" w:sz="4" w:space="0" w:color="000000"/>
              <w:bottom w:val="single" w:sz="8" w:space="0" w:color="000000"/>
            </w:tcBorders>
            <w:vAlign w:val="center"/>
          </w:tcPr>
          <w:p w14:paraId="51DA4E4D" w14:textId="77777777" w:rsidR="001C08A5" w:rsidRDefault="00000000">
            <w:pPr>
              <w:jc w:val="center"/>
              <w:rPr>
                <w:b/>
                <w:i/>
                <w:iCs/>
                <w:sz w:val="22"/>
                <w:szCs w:val="22"/>
              </w:rPr>
            </w:pPr>
            <w:r>
              <w:rPr>
                <w:b/>
                <w:i/>
                <w:iCs/>
                <w:sz w:val="22"/>
                <w:szCs w:val="22"/>
              </w:rPr>
              <w:t>5</w:t>
            </w:r>
          </w:p>
        </w:tc>
        <w:tc>
          <w:tcPr>
            <w:tcW w:w="588" w:type="pct"/>
            <w:tcBorders>
              <w:top w:val="single" w:sz="8" w:space="0" w:color="000000"/>
              <w:left w:val="single" w:sz="4" w:space="0" w:color="000000"/>
              <w:bottom w:val="single" w:sz="8" w:space="0" w:color="000000"/>
            </w:tcBorders>
            <w:vAlign w:val="center"/>
          </w:tcPr>
          <w:p w14:paraId="3EFACA12" w14:textId="77777777" w:rsidR="001C08A5" w:rsidRDefault="00000000">
            <w:pPr>
              <w:jc w:val="center"/>
              <w:rPr>
                <w:b/>
                <w:i/>
                <w:iCs/>
                <w:sz w:val="22"/>
                <w:szCs w:val="22"/>
              </w:rPr>
            </w:pPr>
            <w:r>
              <w:rPr>
                <w:b/>
                <w:i/>
                <w:iCs/>
                <w:sz w:val="22"/>
                <w:szCs w:val="22"/>
              </w:rPr>
              <w:t>3</w:t>
            </w:r>
          </w:p>
        </w:tc>
        <w:tc>
          <w:tcPr>
            <w:tcW w:w="661" w:type="pct"/>
            <w:tcBorders>
              <w:top w:val="single" w:sz="8" w:space="0" w:color="000000"/>
              <w:left w:val="single" w:sz="4" w:space="0" w:color="000000"/>
              <w:bottom w:val="single" w:sz="8" w:space="0" w:color="000000"/>
              <w:right w:val="single" w:sz="8" w:space="0" w:color="000000"/>
            </w:tcBorders>
            <w:vAlign w:val="center"/>
          </w:tcPr>
          <w:p w14:paraId="3626F62C" w14:textId="77777777" w:rsidR="001C08A5" w:rsidRDefault="00000000">
            <w:pPr>
              <w:jc w:val="center"/>
              <w:rPr>
                <w:i/>
                <w:iCs/>
                <w:sz w:val="22"/>
                <w:szCs w:val="22"/>
              </w:rPr>
            </w:pPr>
            <w:r>
              <w:rPr>
                <w:b/>
                <w:i/>
                <w:iCs/>
                <w:sz w:val="22"/>
                <w:szCs w:val="22"/>
              </w:rPr>
              <w:t>2</w:t>
            </w:r>
          </w:p>
        </w:tc>
      </w:tr>
      <w:tr w:rsidR="001C08A5" w14:paraId="5A1EE267" w14:textId="77777777">
        <w:trPr>
          <w:trHeight w:val="543"/>
        </w:trPr>
        <w:tc>
          <w:tcPr>
            <w:tcW w:w="326" w:type="pct"/>
            <w:tcBorders>
              <w:top w:val="single" w:sz="8" w:space="0" w:color="000000"/>
              <w:left w:val="single" w:sz="8" w:space="0" w:color="000000"/>
              <w:bottom w:val="single" w:sz="8" w:space="0" w:color="000000"/>
            </w:tcBorders>
          </w:tcPr>
          <w:p w14:paraId="245D58AA" w14:textId="77777777" w:rsidR="001C08A5" w:rsidRDefault="00000000">
            <w:pPr>
              <w:jc w:val="center"/>
              <w:rPr>
                <w:b/>
                <w:bCs/>
                <w:i/>
                <w:iCs/>
                <w:sz w:val="22"/>
                <w:szCs w:val="22"/>
              </w:rPr>
            </w:pPr>
            <w:r>
              <w:rPr>
                <w:b/>
                <w:bCs/>
                <w:i/>
                <w:iCs/>
                <w:sz w:val="22"/>
                <w:szCs w:val="22"/>
              </w:rPr>
              <w:t>4</w:t>
            </w:r>
          </w:p>
        </w:tc>
        <w:tc>
          <w:tcPr>
            <w:tcW w:w="2027" w:type="pct"/>
            <w:tcBorders>
              <w:top w:val="single" w:sz="8" w:space="0" w:color="000000"/>
              <w:left w:val="single" w:sz="4" w:space="0" w:color="000000"/>
              <w:bottom w:val="single" w:sz="8" w:space="0" w:color="000000"/>
            </w:tcBorders>
          </w:tcPr>
          <w:p w14:paraId="2C1F4095" w14:textId="77777777" w:rsidR="001C08A5" w:rsidRDefault="00000000">
            <w:pPr>
              <w:rPr>
                <w:b/>
                <w:i/>
                <w:iCs/>
                <w:sz w:val="22"/>
                <w:szCs w:val="22"/>
              </w:rPr>
            </w:pPr>
            <w:r>
              <w:rPr>
                <w:b/>
                <w:bCs/>
                <w:i/>
                <w:iCs/>
                <w:sz w:val="22"/>
                <w:szCs w:val="22"/>
              </w:rPr>
              <w:t>4.</w:t>
            </w:r>
            <w:r>
              <w:rPr>
                <w:i/>
                <w:iCs/>
                <w:sz w:val="22"/>
                <w:szCs w:val="22"/>
              </w:rPr>
              <w:t xml:space="preserve"> Cl</w:t>
            </w:r>
            <w:r>
              <w:rPr>
                <w:rFonts w:eastAsia="Times-Roman"/>
                <w:i/>
                <w:iCs/>
                <w:sz w:val="22"/>
                <w:szCs w:val="22"/>
              </w:rPr>
              <w:t>ă</w:t>
            </w:r>
            <w:r>
              <w:rPr>
                <w:i/>
                <w:iCs/>
                <w:sz w:val="22"/>
                <w:szCs w:val="22"/>
              </w:rPr>
              <w:t>diri cu altă destinaţie (fără săli aglomerate).</w:t>
            </w:r>
          </w:p>
        </w:tc>
        <w:tc>
          <w:tcPr>
            <w:tcW w:w="809" w:type="pct"/>
            <w:tcBorders>
              <w:top w:val="single" w:sz="8" w:space="0" w:color="000000"/>
              <w:left w:val="single" w:sz="4" w:space="0" w:color="000000"/>
              <w:bottom w:val="single" w:sz="8" w:space="0" w:color="000000"/>
            </w:tcBorders>
            <w:vAlign w:val="center"/>
          </w:tcPr>
          <w:p w14:paraId="45FD7144" w14:textId="77777777" w:rsidR="001C08A5" w:rsidRDefault="00000000">
            <w:pPr>
              <w:jc w:val="center"/>
              <w:rPr>
                <w:b/>
                <w:i/>
                <w:iCs/>
                <w:sz w:val="22"/>
                <w:szCs w:val="22"/>
              </w:rPr>
            </w:pPr>
            <w:r>
              <w:rPr>
                <w:b/>
                <w:i/>
                <w:iCs/>
                <w:sz w:val="22"/>
                <w:szCs w:val="22"/>
              </w:rPr>
              <w:t>300</w:t>
            </w:r>
          </w:p>
        </w:tc>
        <w:tc>
          <w:tcPr>
            <w:tcW w:w="588" w:type="pct"/>
            <w:tcBorders>
              <w:top w:val="single" w:sz="8" w:space="0" w:color="000000"/>
              <w:left w:val="single" w:sz="4" w:space="0" w:color="000000"/>
              <w:bottom w:val="single" w:sz="8" w:space="0" w:color="000000"/>
            </w:tcBorders>
            <w:vAlign w:val="center"/>
          </w:tcPr>
          <w:p w14:paraId="26EF0F14" w14:textId="77777777" w:rsidR="001C08A5" w:rsidRDefault="00000000">
            <w:pPr>
              <w:jc w:val="center"/>
              <w:rPr>
                <w:b/>
                <w:i/>
                <w:iCs/>
                <w:sz w:val="22"/>
                <w:szCs w:val="22"/>
              </w:rPr>
            </w:pPr>
            <w:r>
              <w:rPr>
                <w:b/>
                <w:i/>
                <w:iCs/>
                <w:sz w:val="22"/>
                <w:szCs w:val="22"/>
              </w:rPr>
              <w:t>5</w:t>
            </w:r>
          </w:p>
        </w:tc>
        <w:tc>
          <w:tcPr>
            <w:tcW w:w="588" w:type="pct"/>
            <w:tcBorders>
              <w:top w:val="single" w:sz="8" w:space="0" w:color="000000"/>
              <w:left w:val="single" w:sz="4" w:space="0" w:color="000000"/>
              <w:bottom w:val="single" w:sz="8" w:space="0" w:color="000000"/>
            </w:tcBorders>
            <w:vAlign w:val="center"/>
          </w:tcPr>
          <w:p w14:paraId="3C222FC8" w14:textId="77777777" w:rsidR="001C08A5" w:rsidRDefault="00000000">
            <w:pPr>
              <w:jc w:val="center"/>
              <w:rPr>
                <w:b/>
                <w:i/>
                <w:iCs/>
                <w:sz w:val="22"/>
                <w:szCs w:val="22"/>
              </w:rPr>
            </w:pPr>
            <w:r>
              <w:rPr>
                <w:b/>
                <w:i/>
                <w:iCs/>
                <w:sz w:val="22"/>
                <w:szCs w:val="22"/>
              </w:rPr>
              <w:t>2</w:t>
            </w:r>
          </w:p>
        </w:tc>
        <w:tc>
          <w:tcPr>
            <w:tcW w:w="661" w:type="pct"/>
            <w:tcBorders>
              <w:top w:val="single" w:sz="8" w:space="0" w:color="000000"/>
              <w:left w:val="single" w:sz="4" w:space="0" w:color="000000"/>
              <w:bottom w:val="single" w:sz="8" w:space="0" w:color="000000"/>
              <w:right w:val="single" w:sz="8" w:space="0" w:color="000000"/>
            </w:tcBorders>
            <w:vAlign w:val="center"/>
          </w:tcPr>
          <w:p w14:paraId="068FEA5F" w14:textId="77777777" w:rsidR="001C08A5" w:rsidRDefault="00000000">
            <w:pPr>
              <w:jc w:val="center"/>
              <w:rPr>
                <w:i/>
                <w:iCs/>
                <w:sz w:val="22"/>
                <w:szCs w:val="22"/>
              </w:rPr>
            </w:pPr>
            <w:r>
              <w:rPr>
                <w:b/>
                <w:i/>
                <w:iCs/>
                <w:sz w:val="22"/>
                <w:szCs w:val="22"/>
              </w:rPr>
              <w:t>1</w:t>
            </w:r>
          </w:p>
        </w:tc>
      </w:tr>
    </w:tbl>
    <w:p w14:paraId="6DE0637B" w14:textId="77777777" w:rsidR="001C08A5" w:rsidRDefault="00000000">
      <w:pPr>
        <w:pStyle w:val="ListParagraph"/>
        <w:widowControl w:val="0"/>
        <w:numPr>
          <w:ilvl w:val="0"/>
          <w:numId w:val="66"/>
        </w:numPr>
        <w:jc w:val="both"/>
        <w:rPr>
          <w:rFonts w:eastAsia="Times-Roman"/>
          <w:i/>
          <w:sz w:val="22"/>
          <w:szCs w:val="22"/>
        </w:rPr>
      </w:pPr>
      <w:r>
        <w:rPr>
          <w:i/>
          <w:sz w:val="22"/>
          <w:szCs w:val="22"/>
          <w:u w:val="single"/>
        </w:rPr>
        <w:t>Note</w:t>
      </w:r>
      <w:r>
        <w:rPr>
          <w:i/>
          <w:sz w:val="22"/>
          <w:szCs w:val="22"/>
        </w:rPr>
        <w:t xml:space="preserve">:In cazuri justificate tehnic de catre specialisti atestati potrivit legii, pentru construcțiile prevazute la pct. </w:t>
      </w:r>
      <w:r>
        <w:rPr>
          <w:b/>
          <w:bCs/>
          <w:i/>
          <w:sz w:val="22"/>
          <w:szCs w:val="22"/>
        </w:rPr>
        <w:t>2a, 2b, 2d, 3</w:t>
      </w:r>
      <w:r>
        <w:rPr>
          <w:i/>
          <w:sz w:val="22"/>
          <w:szCs w:val="22"/>
        </w:rPr>
        <w:t xml:space="preserve"> și </w:t>
      </w:r>
      <w:r>
        <w:rPr>
          <w:b/>
          <w:bCs/>
          <w:i/>
          <w:sz w:val="22"/>
          <w:szCs w:val="22"/>
        </w:rPr>
        <w:t>4</w:t>
      </w:r>
      <w:r>
        <w:rPr>
          <w:i/>
          <w:sz w:val="22"/>
          <w:szCs w:val="22"/>
        </w:rPr>
        <w:t xml:space="preserve"> investitorii/beneficiarii pot adopta un singur nivel în plus față de cele admise, cu condiția echipării acestora </w:t>
      </w:r>
      <w:r>
        <w:rPr>
          <w:rFonts w:eastAsia="Times-Roman"/>
          <w:i/>
          <w:sz w:val="22"/>
          <w:szCs w:val="22"/>
        </w:rPr>
        <w:t>cu instalații de stingere a incendiilor tip sprinkler (sau ceață de apă exclusiv pentru situațiile în care au fost testate conform standardelor relevante).</w:t>
      </w:r>
    </w:p>
    <w:p w14:paraId="54554C42" w14:textId="77777777" w:rsidR="001C08A5" w:rsidRDefault="00000000">
      <w:pPr>
        <w:pStyle w:val="ListParagraph"/>
        <w:widowControl w:val="0"/>
        <w:numPr>
          <w:ilvl w:val="0"/>
          <w:numId w:val="66"/>
        </w:numPr>
        <w:jc w:val="both"/>
        <w:rPr>
          <w:b/>
          <w:i/>
          <w:sz w:val="22"/>
          <w:szCs w:val="22"/>
        </w:rPr>
      </w:pPr>
      <w:r>
        <w:rPr>
          <w:i/>
          <w:sz w:val="22"/>
          <w:szCs w:val="22"/>
        </w:rPr>
        <w:t xml:space="preserve">In cazul construcțiilor cu destinatia de locuit individuale încadrate in nivelul </w:t>
      </w:r>
      <w:r>
        <w:rPr>
          <w:b/>
          <w:bCs/>
          <w:i/>
          <w:sz w:val="22"/>
          <w:szCs w:val="22"/>
        </w:rPr>
        <w:t xml:space="preserve">V </w:t>
      </w:r>
      <w:r>
        <w:rPr>
          <w:i/>
          <w:sz w:val="22"/>
          <w:szCs w:val="22"/>
        </w:rPr>
        <w:t xml:space="preserve">de stabilitate la incendiu investitorii/beneficiarii pot adopta un singur nivel în plus cu condiția respectarii condițiilor din paranteze specificate la </w:t>
      </w:r>
      <w:r>
        <w:rPr>
          <w:rStyle w:val="NORMALBOLDTABELE"/>
          <w:sz w:val="22"/>
          <w:szCs w:val="22"/>
        </w:rPr>
        <w:fldChar w:fldCharType="begin"/>
      </w:r>
      <w:r>
        <w:rPr>
          <w:rStyle w:val="NORMALBOLDTABELE"/>
          <w:sz w:val="22"/>
          <w:szCs w:val="22"/>
        </w:rPr>
        <w:instrText xml:space="preserve"> REF _Ref4440 \h </w:instrText>
      </w:r>
      <w:r>
        <w:rPr>
          <w:rStyle w:val="NORMALBOLDTABELE"/>
          <w:sz w:val="22"/>
          <w:szCs w:val="22"/>
        </w:rPr>
      </w:r>
      <w:r>
        <w:rPr>
          <w:rStyle w:val="NORMALBOLDTABELE"/>
          <w:sz w:val="22"/>
          <w:szCs w:val="22"/>
        </w:rPr>
        <w:fldChar w:fldCharType="separate"/>
      </w:r>
      <w:r>
        <w:t xml:space="preserve">Tabelul 2: Condiţii minime pentru încadrarea construcţiei sau a compartimentului de </w:t>
      </w:r>
      <w:r>
        <w:lastRenderedPageBreak/>
        <w:t>incendiu în niveluri de stabilitate la incendiu pentru construcții civile</w:t>
      </w:r>
      <w:r>
        <w:rPr>
          <w:rStyle w:val="NORMALBOLDTABELE"/>
          <w:sz w:val="22"/>
          <w:szCs w:val="22"/>
        </w:rPr>
        <w:fldChar w:fldCharType="end"/>
      </w:r>
      <w:r>
        <w:rPr>
          <w:b/>
          <w:i/>
          <w:sz w:val="22"/>
          <w:szCs w:val="22"/>
        </w:rPr>
        <w:t>,</w:t>
      </w:r>
      <w:r>
        <w:rPr>
          <w:i/>
          <w:sz w:val="22"/>
          <w:szCs w:val="22"/>
        </w:rPr>
        <w:t xml:space="preserve"> pentru nivelul de stabilitate la incendiu </w:t>
      </w:r>
      <w:r>
        <w:rPr>
          <w:b/>
          <w:i/>
          <w:sz w:val="22"/>
          <w:szCs w:val="22"/>
        </w:rPr>
        <w:t>V.</w:t>
      </w:r>
    </w:p>
    <w:p w14:paraId="675B7370" w14:textId="77777777" w:rsidR="001C08A5" w:rsidRDefault="00000000">
      <w:pPr>
        <w:pStyle w:val="ListParagraph"/>
        <w:widowControl w:val="0"/>
        <w:numPr>
          <w:ilvl w:val="0"/>
          <w:numId w:val="66"/>
        </w:numPr>
        <w:jc w:val="both"/>
        <w:rPr>
          <w:b/>
          <w:i/>
          <w:sz w:val="22"/>
          <w:szCs w:val="22"/>
        </w:rPr>
      </w:pPr>
      <w:r>
        <w:rPr>
          <w:i/>
          <w:sz w:val="22"/>
          <w:szCs w:val="22"/>
        </w:rPr>
        <w:t xml:space="preserve">In cazul construcțiilor cu destinatia de cazare temporară încadrate în nivelul </w:t>
      </w:r>
      <w:r>
        <w:rPr>
          <w:b/>
          <w:bCs/>
          <w:i/>
          <w:sz w:val="22"/>
          <w:szCs w:val="22"/>
        </w:rPr>
        <w:t>V</w:t>
      </w:r>
      <w:r>
        <w:rPr>
          <w:i/>
          <w:sz w:val="22"/>
          <w:szCs w:val="22"/>
        </w:rPr>
        <w:t xml:space="preserve"> de stabilitate la incendiu, investitorii/beneficiarii pot adopta un singur nivel în plus cu condiția echipării acestora cu instalație de detectare, semnalizare si alarmare a incendiului cu acoperire totală, prin prevederea de dispozitive tip AFDD conform recomandărilor din SR EN 62606 precum și specificațiilor normativului de profil ”Normativ pentru proiectarea, execuția și exploatarea instalațiilor electrice aferente clădirilor”, indicativ </w:t>
      </w:r>
      <w:r>
        <w:rPr>
          <w:b/>
          <w:bCs/>
          <w:i/>
          <w:sz w:val="22"/>
          <w:szCs w:val="22"/>
        </w:rPr>
        <w:t>I7</w:t>
      </w:r>
      <w:r>
        <w:rPr>
          <w:i/>
          <w:sz w:val="22"/>
          <w:szCs w:val="22"/>
        </w:rPr>
        <w:t xml:space="preserve"> precum și cu condiția respectării măsurilor din paranteze specificate la </w:t>
      </w:r>
      <w:r>
        <w:rPr>
          <w:rStyle w:val="NORMALBOLDTABELE"/>
          <w:sz w:val="22"/>
          <w:szCs w:val="22"/>
        </w:rPr>
        <w:fldChar w:fldCharType="begin"/>
      </w:r>
      <w:r>
        <w:rPr>
          <w:rStyle w:val="NORMALBOLDTABELE"/>
          <w:sz w:val="22"/>
          <w:szCs w:val="22"/>
        </w:rPr>
        <w:instrText xml:space="preserve"> REF _Ref4440 \h </w:instrText>
      </w:r>
      <w:r>
        <w:rPr>
          <w:rStyle w:val="NORMALBOLDTABELE"/>
          <w:sz w:val="22"/>
          <w:szCs w:val="22"/>
        </w:rPr>
      </w:r>
      <w:r>
        <w:rPr>
          <w:rStyle w:val="NORMALBOLDTABELE"/>
          <w:sz w:val="22"/>
          <w:szCs w:val="22"/>
        </w:rPr>
        <w:fldChar w:fldCharType="separate"/>
      </w:r>
      <w:r>
        <w:t>Tabelul 2: Condiţii minime pentru încadrarea construcţiei sau a compartimentului de incendiu în niveluri de stabilitate la incendiu pentru construcții civile</w:t>
      </w:r>
      <w:r>
        <w:rPr>
          <w:rStyle w:val="NORMALBOLDTABELE"/>
          <w:sz w:val="22"/>
          <w:szCs w:val="22"/>
        </w:rPr>
        <w:fldChar w:fldCharType="end"/>
      </w:r>
      <w:r>
        <w:rPr>
          <w:i/>
          <w:sz w:val="22"/>
          <w:szCs w:val="22"/>
        </w:rPr>
        <w:t xml:space="preserve">, pentru nivelul de stabilitate la incendiu </w:t>
      </w:r>
      <w:r>
        <w:rPr>
          <w:b/>
          <w:i/>
          <w:sz w:val="22"/>
          <w:szCs w:val="22"/>
        </w:rPr>
        <w:t xml:space="preserve">V. </w:t>
      </w:r>
    </w:p>
    <w:p w14:paraId="3A688C5E" w14:textId="77777777" w:rsidR="001C08A5" w:rsidRDefault="001C08A5">
      <w:pPr>
        <w:pStyle w:val="ListParagraph"/>
        <w:widowControl w:val="0"/>
        <w:tabs>
          <w:tab w:val="left" w:pos="0"/>
        </w:tabs>
        <w:ind w:left="0"/>
        <w:jc w:val="both"/>
        <w:rPr>
          <w:i/>
          <w:sz w:val="22"/>
          <w:szCs w:val="22"/>
        </w:rPr>
      </w:pPr>
    </w:p>
    <w:p w14:paraId="57DDD594" w14:textId="77777777" w:rsidR="001C08A5" w:rsidRDefault="00000000">
      <w:pPr>
        <w:jc w:val="both"/>
        <w:rPr>
          <w:sz w:val="24"/>
          <w:szCs w:val="24"/>
        </w:rPr>
      </w:pPr>
      <w:r>
        <w:rPr>
          <w:b/>
          <w:sz w:val="24"/>
          <w:szCs w:val="24"/>
        </w:rPr>
        <w:tab/>
        <w:t xml:space="preserve">Art. </w:t>
      </w:r>
      <w:r>
        <w:rPr>
          <w:b/>
          <w:caps/>
          <w:sz w:val="24"/>
          <w:szCs w:val="24"/>
        </w:rPr>
        <w:t>3.1.2.</w:t>
      </w:r>
      <w:r>
        <w:rPr>
          <w:b/>
          <w:sz w:val="24"/>
          <w:szCs w:val="24"/>
        </w:rPr>
        <w:t>8.</w:t>
      </w:r>
      <w:r>
        <w:rPr>
          <w:b/>
          <w:sz w:val="24"/>
          <w:szCs w:val="24"/>
        </w:rPr>
        <w:tab/>
        <w:t xml:space="preserve">(1) </w:t>
      </w:r>
      <w:r>
        <w:rPr>
          <w:sz w:val="24"/>
          <w:szCs w:val="24"/>
        </w:rPr>
        <w:t xml:space="preserve">Mansardarea construcţiilor civile supraterane (realizarea unui nivel funcţional în volumul podului), este admisă conform prevederilor din </w:t>
      </w:r>
      <w:r>
        <w:rPr>
          <w:rFonts w:cs="Mangal"/>
          <w:b/>
          <w:i/>
          <w:iCs/>
          <w:sz w:val="24"/>
          <w:szCs w:val="24"/>
        </w:rPr>
        <w:fldChar w:fldCharType="begin"/>
      </w:r>
      <w:r>
        <w:rPr>
          <w:rFonts w:cs="Mangal"/>
          <w:b/>
          <w:i/>
          <w:iCs/>
          <w:sz w:val="24"/>
          <w:szCs w:val="24"/>
        </w:rPr>
        <w:instrText xml:space="preserve"> REF _Ref11558 \h </w:instrText>
      </w:r>
      <w:r>
        <w:rPr>
          <w:rFonts w:cs="Mangal"/>
          <w:b/>
          <w:i/>
          <w:iCs/>
          <w:sz w:val="24"/>
          <w:szCs w:val="24"/>
        </w:rPr>
      </w:r>
      <w:r>
        <w:rPr>
          <w:rFonts w:cs="Mangal"/>
          <w:b/>
          <w:i/>
          <w:iCs/>
          <w:sz w:val="24"/>
          <w:szCs w:val="24"/>
        </w:rPr>
        <w:fldChar w:fldCharType="separate"/>
      </w:r>
      <w:r>
        <w:t>Tabelul 43</w:t>
      </w:r>
      <w:r>
        <w:rPr>
          <w:rFonts w:cs="Mangal"/>
          <w:b/>
          <w:i/>
          <w:iCs/>
          <w:sz w:val="24"/>
          <w:szCs w:val="24"/>
        </w:rPr>
        <w:fldChar w:fldCharType="end"/>
      </w:r>
      <w:r>
        <w:rPr>
          <w:sz w:val="24"/>
          <w:szCs w:val="24"/>
        </w:rPr>
        <w:t>.</w:t>
      </w:r>
    </w:p>
    <w:p w14:paraId="74576A07" w14:textId="77777777" w:rsidR="001C08A5" w:rsidRDefault="001C08A5">
      <w:pPr>
        <w:jc w:val="both"/>
        <w:rPr>
          <w:sz w:val="24"/>
          <w:szCs w:val="24"/>
        </w:rPr>
      </w:pPr>
    </w:p>
    <w:p w14:paraId="588B7186" w14:textId="77777777" w:rsidR="001C08A5" w:rsidRDefault="00000000">
      <w:pPr>
        <w:pStyle w:val="Caption"/>
        <w:jc w:val="both"/>
        <w:rPr>
          <w:bCs/>
        </w:rPr>
      </w:pPr>
      <w:bookmarkStart w:id="2928" w:name="_Ref11558"/>
      <w:bookmarkStart w:id="2929" w:name="_Toc162360093"/>
      <w:r>
        <w:t xml:space="preserve">Tabelul </w:t>
      </w:r>
      <w:r>
        <w:fldChar w:fldCharType="begin"/>
      </w:r>
      <w:r>
        <w:instrText xml:space="preserve"> SEQ Tabelul \* ARABIC </w:instrText>
      </w:r>
      <w:r>
        <w:fldChar w:fldCharType="separate"/>
      </w:r>
      <w:r>
        <w:t>43</w:t>
      </w:r>
      <w:r>
        <w:fldChar w:fldCharType="end"/>
      </w:r>
      <w:bookmarkStart w:id="2930" w:name="_Toc25162"/>
      <w:bookmarkStart w:id="2931" w:name="_Toc13660"/>
      <w:bookmarkStart w:id="2932" w:name="_Toc4023"/>
      <w:bookmarkStart w:id="2933" w:name="_Toc24077"/>
      <w:bookmarkStart w:id="2934" w:name="_Toc15453"/>
      <w:bookmarkStart w:id="2935" w:name="_Toc16480"/>
      <w:bookmarkStart w:id="2936" w:name="_Toc10289"/>
      <w:bookmarkStart w:id="2937" w:name="_Toc10188"/>
      <w:bookmarkStart w:id="2938" w:name="_Toc16675"/>
      <w:bookmarkStart w:id="2939" w:name="_Toc13760"/>
      <w:bookmarkStart w:id="2940" w:name="_Toc26867"/>
      <w:bookmarkStart w:id="2941" w:name="_Toc20530"/>
      <w:bookmarkEnd w:id="2928"/>
      <w:r>
        <w:t xml:space="preserve">: </w:t>
      </w:r>
      <w:r>
        <w:rPr>
          <w:bCs/>
        </w:rPr>
        <w:t>Mansardarea construcţiilor civile supraterane (realizarea unui nivel funcţional în volumul podului)</w:t>
      </w:r>
      <w:bookmarkEnd w:id="2929"/>
      <w:bookmarkEnd w:id="2930"/>
      <w:bookmarkEnd w:id="2931"/>
      <w:bookmarkEnd w:id="2932"/>
      <w:bookmarkEnd w:id="2933"/>
      <w:bookmarkEnd w:id="2934"/>
      <w:bookmarkEnd w:id="2935"/>
      <w:bookmarkEnd w:id="2936"/>
      <w:bookmarkEnd w:id="2937"/>
      <w:bookmarkEnd w:id="2938"/>
      <w:bookmarkEnd w:id="2939"/>
      <w:bookmarkEnd w:id="2940"/>
      <w:bookmarkEnd w:id="2941"/>
    </w:p>
    <w:p w14:paraId="788EF991" w14:textId="77777777" w:rsidR="001C08A5" w:rsidRDefault="001C08A5">
      <w:pPr>
        <w:jc w:val="both"/>
        <w:rPr>
          <w:b/>
          <w:bCs/>
          <w:i/>
          <w:iCs/>
          <w:sz w:val="24"/>
          <w:szCs w:val="24"/>
        </w:rPr>
      </w:pPr>
    </w:p>
    <w:tbl>
      <w:tblPr>
        <w:tblStyle w:val="TableGrid"/>
        <w:tblW w:w="4996" w:type="pct"/>
        <w:jc w:val="center"/>
        <w:tblLayout w:type="fixed"/>
        <w:tblLook w:val="04A0" w:firstRow="1" w:lastRow="0" w:firstColumn="1" w:lastColumn="0" w:noHBand="0" w:noVBand="1"/>
      </w:tblPr>
      <w:tblGrid>
        <w:gridCol w:w="1290"/>
        <w:gridCol w:w="2081"/>
        <w:gridCol w:w="1480"/>
        <w:gridCol w:w="1743"/>
        <w:gridCol w:w="3027"/>
      </w:tblGrid>
      <w:tr w:rsidR="001C08A5" w14:paraId="5973AF91" w14:textId="77777777">
        <w:trPr>
          <w:trHeight w:val="909"/>
          <w:jc w:val="center"/>
        </w:trPr>
        <w:tc>
          <w:tcPr>
            <w:tcW w:w="670" w:type="pct"/>
            <w:vMerge w:val="restart"/>
            <w:shd w:val="clear" w:color="auto" w:fill="A5A5A5" w:themeFill="background1" w:themeFillShade="A5"/>
          </w:tcPr>
          <w:p w14:paraId="2009325A" w14:textId="77777777" w:rsidR="001C08A5" w:rsidRDefault="00000000">
            <w:pPr>
              <w:jc w:val="center"/>
              <w:rPr>
                <w:b/>
                <w:bCs/>
                <w:i/>
                <w:iCs/>
                <w:sz w:val="24"/>
                <w:szCs w:val="24"/>
              </w:rPr>
            </w:pPr>
            <w:r>
              <w:rPr>
                <w:b/>
                <w:bCs/>
                <w:i/>
                <w:iCs/>
                <w:sz w:val="24"/>
                <w:szCs w:val="24"/>
              </w:rPr>
              <w:t>Nivel de stabilitate la incendiu</w:t>
            </w:r>
          </w:p>
        </w:tc>
        <w:tc>
          <w:tcPr>
            <w:tcW w:w="1081" w:type="pct"/>
            <w:vMerge w:val="restart"/>
            <w:shd w:val="clear" w:color="auto" w:fill="A5A5A5" w:themeFill="background1" w:themeFillShade="A5"/>
          </w:tcPr>
          <w:p w14:paraId="1BDD7825" w14:textId="77777777" w:rsidR="001C08A5" w:rsidRDefault="00000000">
            <w:pPr>
              <w:jc w:val="center"/>
              <w:rPr>
                <w:b/>
                <w:bCs/>
                <w:i/>
                <w:iCs/>
                <w:sz w:val="24"/>
                <w:szCs w:val="24"/>
              </w:rPr>
            </w:pPr>
            <w:r>
              <w:rPr>
                <w:b/>
                <w:bCs/>
                <w:i/>
                <w:iCs/>
                <w:sz w:val="24"/>
                <w:szCs w:val="24"/>
              </w:rPr>
              <w:t>Clasa de reacție la foc a elementelor de construcție</w:t>
            </w:r>
          </w:p>
        </w:tc>
        <w:tc>
          <w:tcPr>
            <w:tcW w:w="769" w:type="pct"/>
            <w:vMerge w:val="restart"/>
            <w:shd w:val="clear" w:color="auto" w:fill="A5A5A5" w:themeFill="background1" w:themeFillShade="A5"/>
          </w:tcPr>
          <w:p w14:paraId="1A56E7EE" w14:textId="77777777" w:rsidR="001C08A5" w:rsidRDefault="00000000">
            <w:pPr>
              <w:jc w:val="center"/>
              <w:rPr>
                <w:b/>
                <w:bCs/>
                <w:i/>
                <w:iCs/>
                <w:sz w:val="24"/>
                <w:szCs w:val="24"/>
              </w:rPr>
            </w:pPr>
            <w:r>
              <w:rPr>
                <w:b/>
                <w:bCs/>
                <w:i/>
                <w:iCs/>
                <w:sz w:val="24"/>
                <w:szCs w:val="24"/>
              </w:rPr>
              <w:t>Rezistența la foc a elementelor de constructie</w:t>
            </w:r>
          </w:p>
        </w:tc>
        <w:tc>
          <w:tcPr>
            <w:tcW w:w="2479" w:type="pct"/>
            <w:gridSpan w:val="2"/>
            <w:shd w:val="clear" w:color="auto" w:fill="A5A5A5" w:themeFill="background1" w:themeFillShade="A5"/>
          </w:tcPr>
          <w:p w14:paraId="130C49B0" w14:textId="77777777" w:rsidR="001C08A5" w:rsidRDefault="00000000">
            <w:pPr>
              <w:jc w:val="center"/>
              <w:rPr>
                <w:b/>
                <w:bCs/>
                <w:i/>
                <w:iCs/>
                <w:sz w:val="24"/>
                <w:szCs w:val="24"/>
              </w:rPr>
            </w:pPr>
            <w:r>
              <w:rPr>
                <w:b/>
                <w:bCs/>
                <w:i/>
                <w:iCs/>
                <w:sz w:val="24"/>
                <w:szCs w:val="24"/>
              </w:rPr>
              <w:t>Separarea față de restul constructiei</w:t>
            </w:r>
          </w:p>
        </w:tc>
      </w:tr>
      <w:tr w:rsidR="001C08A5" w14:paraId="0B10FA54" w14:textId="77777777">
        <w:trPr>
          <w:trHeight w:val="294"/>
          <w:jc w:val="center"/>
        </w:trPr>
        <w:tc>
          <w:tcPr>
            <w:tcW w:w="670" w:type="pct"/>
            <w:vMerge/>
            <w:shd w:val="clear" w:color="auto" w:fill="A5A5A5" w:themeFill="background1" w:themeFillShade="A5"/>
          </w:tcPr>
          <w:p w14:paraId="46232438" w14:textId="77777777" w:rsidR="001C08A5" w:rsidRDefault="001C08A5">
            <w:pPr>
              <w:jc w:val="center"/>
              <w:rPr>
                <w:b/>
                <w:bCs/>
                <w:i/>
                <w:iCs/>
                <w:sz w:val="24"/>
                <w:szCs w:val="24"/>
              </w:rPr>
            </w:pPr>
          </w:p>
        </w:tc>
        <w:tc>
          <w:tcPr>
            <w:tcW w:w="1081" w:type="pct"/>
            <w:vMerge/>
            <w:shd w:val="clear" w:color="auto" w:fill="A5A5A5" w:themeFill="background1" w:themeFillShade="A5"/>
          </w:tcPr>
          <w:p w14:paraId="4D314A51" w14:textId="77777777" w:rsidR="001C08A5" w:rsidRDefault="001C08A5">
            <w:pPr>
              <w:jc w:val="center"/>
              <w:rPr>
                <w:b/>
                <w:bCs/>
                <w:i/>
                <w:iCs/>
                <w:sz w:val="24"/>
                <w:szCs w:val="24"/>
              </w:rPr>
            </w:pPr>
          </w:p>
        </w:tc>
        <w:tc>
          <w:tcPr>
            <w:tcW w:w="769" w:type="pct"/>
            <w:vMerge/>
            <w:shd w:val="clear" w:color="auto" w:fill="A5A5A5" w:themeFill="background1" w:themeFillShade="A5"/>
          </w:tcPr>
          <w:p w14:paraId="76FCD452" w14:textId="77777777" w:rsidR="001C08A5" w:rsidRDefault="001C08A5">
            <w:pPr>
              <w:jc w:val="center"/>
              <w:rPr>
                <w:b/>
                <w:bCs/>
                <w:i/>
                <w:iCs/>
                <w:sz w:val="24"/>
                <w:szCs w:val="24"/>
              </w:rPr>
            </w:pPr>
          </w:p>
        </w:tc>
        <w:tc>
          <w:tcPr>
            <w:tcW w:w="906" w:type="pct"/>
            <w:shd w:val="clear" w:color="auto" w:fill="A5A5A5" w:themeFill="background1" w:themeFillShade="A5"/>
          </w:tcPr>
          <w:p w14:paraId="5C6A5841" w14:textId="77777777" w:rsidR="001C08A5" w:rsidRDefault="00000000">
            <w:pPr>
              <w:jc w:val="center"/>
              <w:rPr>
                <w:b/>
                <w:bCs/>
                <w:i/>
                <w:iCs/>
                <w:sz w:val="24"/>
                <w:szCs w:val="24"/>
              </w:rPr>
            </w:pPr>
            <w:r>
              <w:rPr>
                <w:b/>
                <w:bCs/>
                <w:i/>
                <w:iCs/>
                <w:sz w:val="24"/>
                <w:szCs w:val="24"/>
              </w:rPr>
              <w:t>Pereți</w:t>
            </w:r>
          </w:p>
        </w:tc>
        <w:tc>
          <w:tcPr>
            <w:tcW w:w="1572" w:type="pct"/>
            <w:shd w:val="clear" w:color="auto" w:fill="A5A5A5" w:themeFill="background1" w:themeFillShade="A5"/>
          </w:tcPr>
          <w:p w14:paraId="76C8A93A" w14:textId="77777777" w:rsidR="001C08A5" w:rsidRDefault="00000000">
            <w:pPr>
              <w:jc w:val="center"/>
              <w:rPr>
                <w:b/>
                <w:bCs/>
                <w:i/>
                <w:iCs/>
                <w:sz w:val="24"/>
                <w:szCs w:val="24"/>
              </w:rPr>
            </w:pPr>
            <w:r>
              <w:rPr>
                <w:b/>
                <w:bCs/>
                <w:i/>
                <w:iCs/>
                <w:sz w:val="24"/>
                <w:szCs w:val="24"/>
              </w:rPr>
              <w:t xml:space="preserve">Uși </w:t>
            </w:r>
            <w:r>
              <w:rPr>
                <w:i/>
                <w:iCs/>
                <w:sz w:val="24"/>
                <w:szCs w:val="24"/>
              </w:rPr>
              <w:t>de comunicare ale mansardei cu podul</w:t>
            </w:r>
          </w:p>
        </w:tc>
      </w:tr>
      <w:tr w:rsidR="001C08A5" w14:paraId="26CC0B2D" w14:textId="77777777">
        <w:trPr>
          <w:trHeight w:val="281"/>
          <w:jc w:val="center"/>
        </w:trPr>
        <w:tc>
          <w:tcPr>
            <w:tcW w:w="670" w:type="pct"/>
          </w:tcPr>
          <w:p w14:paraId="25601D7E" w14:textId="77777777" w:rsidR="001C08A5" w:rsidRDefault="00000000">
            <w:pPr>
              <w:jc w:val="center"/>
              <w:rPr>
                <w:b/>
                <w:bCs/>
                <w:i/>
                <w:iCs/>
                <w:sz w:val="24"/>
                <w:szCs w:val="24"/>
              </w:rPr>
            </w:pPr>
            <w:r>
              <w:rPr>
                <w:b/>
                <w:i/>
                <w:iCs/>
                <w:sz w:val="24"/>
                <w:szCs w:val="24"/>
              </w:rPr>
              <w:t>I</w:t>
            </w:r>
          </w:p>
        </w:tc>
        <w:tc>
          <w:tcPr>
            <w:tcW w:w="1081" w:type="pct"/>
          </w:tcPr>
          <w:p w14:paraId="73582E5B" w14:textId="77777777" w:rsidR="001C08A5" w:rsidRDefault="00000000">
            <w:pPr>
              <w:jc w:val="center"/>
              <w:rPr>
                <w:b/>
                <w:bCs/>
                <w:i/>
                <w:iCs/>
                <w:sz w:val="24"/>
                <w:szCs w:val="24"/>
              </w:rPr>
            </w:pPr>
            <w:r>
              <w:rPr>
                <w:b/>
                <w:bCs/>
                <w:i/>
                <w:iCs/>
                <w:sz w:val="24"/>
                <w:szCs w:val="24"/>
              </w:rPr>
              <w:t>A1, A2s1d0</w:t>
            </w:r>
          </w:p>
        </w:tc>
        <w:tc>
          <w:tcPr>
            <w:tcW w:w="769" w:type="pct"/>
          </w:tcPr>
          <w:p w14:paraId="18F7531F" w14:textId="77777777" w:rsidR="001C08A5" w:rsidRDefault="00000000">
            <w:pPr>
              <w:jc w:val="center"/>
              <w:rPr>
                <w:b/>
                <w:bCs/>
                <w:i/>
                <w:iCs/>
                <w:sz w:val="24"/>
                <w:szCs w:val="24"/>
              </w:rPr>
            </w:pPr>
            <w:r>
              <w:rPr>
                <w:b/>
                <w:bCs/>
                <w:i/>
                <w:iCs/>
                <w:sz w:val="24"/>
                <w:szCs w:val="24"/>
              </w:rPr>
              <w:t>R 90</w:t>
            </w:r>
          </w:p>
        </w:tc>
        <w:tc>
          <w:tcPr>
            <w:tcW w:w="906" w:type="pct"/>
          </w:tcPr>
          <w:p w14:paraId="633C7BB1" w14:textId="77777777" w:rsidR="001C08A5" w:rsidRDefault="00000000">
            <w:pPr>
              <w:jc w:val="center"/>
              <w:rPr>
                <w:b/>
                <w:bCs/>
                <w:i/>
                <w:iCs/>
                <w:sz w:val="24"/>
                <w:szCs w:val="24"/>
              </w:rPr>
            </w:pPr>
            <w:r>
              <w:rPr>
                <w:b/>
                <w:bCs/>
                <w:i/>
                <w:iCs/>
                <w:sz w:val="24"/>
                <w:szCs w:val="24"/>
              </w:rPr>
              <w:t>EI 90</w:t>
            </w:r>
          </w:p>
        </w:tc>
        <w:tc>
          <w:tcPr>
            <w:tcW w:w="1572" w:type="pct"/>
          </w:tcPr>
          <w:p w14:paraId="22620E51" w14:textId="77777777" w:rsidR="001C08A5" w:rsidRDefault="00000000">
            <w:pPr>
              <w:jc w:val="center"/>
              <w:rPr>
                <w:b/>
                <w:bCs/>
                <w:i/>
                <w:iCs/>
                <w:sz w:val="24"/>
                <w:szCs w:val="24"/>
              </w:rPr>
            </w:pPr>
            <w:r>
              <w:rPr>
                <w:b/>
                <w:i/>
                <w:iCs/>
                <w:spacing w:val="2"/>
                <w:sz w:val="24"/>
                <w:szCs w:val="24"/>
              </w:rPr>
              <w:t>EI</w:t>
            </w:r>
            <w:r>
              <w:rPr>
                <w:b/>
                <w:i/>
                <w:iCs/>
                <w:spacing w:val="2"/>
                <w:sz w:val="24"/>
                <w:szCs w:val="24"/>
                <w:vertAlign w:val="subscript"/>
              </w:rPr>
              <w:t>2</w:t>
            </w:r>
            <w:r>
              <w:rPr>
                <w:b/>
                <w:i/>
                <w:iCs/>
                <w:spacing w:val="2"/>
                <w:sz w:val="24"/>
                <w:szCs w:val="24"/>
              </w:rPr>
              <w:t xml:space="preserve"> 60-C1</w:t>
            </w:r>
          </w:p>
        </w:tc>
      </w:tr>
      <w:tr w:rsidR="001C08A5" w14:paraId="0E476969" w14:textId="77777777">
        <w:trPr>
          <w:trHeight w:val="281"/>
          <w:jc w:val="center"/>
        </w:trPr>
        <w:tc>
          <w:tcPr>
            <w:tcW w:w="670" w:type="pct"/>
          </w:tcPr>
          <w:p w14:paraId="7CD57757" w14:textId="77777777" w:rsidR="001C08A5" w:rsidRDefault="00000000">
            <w:pPr>
              <w:jc w:val="center"/>
              <w:rPr>
                <w:b/>
                <w:bCs/>
                <w:i/>
                <w:iCs/>
                <w:sz w:val="24"/>
                <w:szCs w:val="24"/>
              </w:rPr>
            </w:pPr>
            <w:r>
              <w:rPr>
                <w:b/>
                <w:i/>
                <w:iCs/>
                <w:sz w:val="24"/>
                <w:szCs w:val="24"/>
              </w:rPr>
              <w:t>II</w:t>
            </w:r>
          </w:p>
        </w:tc>
        <w:tc>
          <w:tcPr>
            <w:tcW w:w="1081" w:type="pct"/>
          </w:tcPr>
          <w:p w14:paraId="24503513" w14:textId="77777777" w:rsidR="001C08A5" w:rsidRDefault="00000000">
            <w:pPr>
              <w:jc w:val="center"/>
              <w:rPr>
                <w:b/>
                <w:bCs/>
                <w:i/>
                <w:iCs/>
                <w:sz w:val="24"/>
                <w:szCs w:val="24"/>
              </w:rPr>
            </w:pPr>
            <w:r>
              <w:rPr>
                <w:b/>
                <w:bCs/>
                <w:i/>
                <w:iCs/>
                <w:sz w:val="24"/>
                <w:szCs w:val="24"/>
              </w:rPr>
              <w:t>A1, A2s1d0</w:t>
            </w:r>
          </w:p>
        </w:tc>
        <w:tc>
          <w:tcPr>
            <w:tcW w:w="769" w:type="pct"/>
          </w:tcPr>
          <w:p w14:paraId="3410E61B" w14:textId="77777777" w:rsidR="001C08A5" w:rsidRDefault="00000000">
            <w:pPr>
              <w:jc w:val="center"/>
              <w:rPr>
                <w:b/>
                <w:bCs/>
                <w:i/>
                <w:iCs/>
                <w:sz w:val="24"/>
                <w:szCs w:val="24"/>
              </w:rPr>
            </w:pPr>
            <w:r>
              <w:rPr>
                <w:b/>
                <w:bCs/>
                <w:i/>
                <w:iCs/>
                <w:sz w:val="24"/>
                <w:szCs w:val="24"/>
              </w:rPr>
              <w:t>R 60</w:t>
            </w:r>
          </w:p>
        </w:tc>
        <w:tc>
          <w:tcPr>
            <w:tcW w:w="906" w:type="pct"/>
          </w:tcPr>
          <w:p w14:paraId="0758693D" w14:textId="77777777" w:rsidR="001C08A5" w:rsidRDefault="00000000">
            <w:pPr>
              <w:jc w:val="center"/>
              <w:rPr>
                <w:b/>
                <w:bCs/>
                <w:i/>
                <w:iCs/>
                <w:sz w:val="24"/>
                <w:szCs w:val="24"/>
              </w:rPr>
            </w:pPr>
            <w:r>
              <w:rPr>
                <w:b/>
                <w:bCs/>
                <w:i/>
                <w:iCs/>
                <w:sz w:val="24"/>
                <w:szCs w:val="24"/>
              </w:rPr>
              <w:t>EI 60</w:t>
            </w:r>
          </w:p>
        </w:tc>
        <w:tc>
          <w:tcPr>
            <w:tcW w:w="1572" w:type="pct"/>
          </w:tcPr>
          <w:p w14:paraId="65C9EAF3" w14:textId="77777777" w:rsidR="001C08A5" w:rsidRDefault="00000000">
            <w:pPr>
              <w:jc w:val="center"/>
              <w:rPr>
                <w:b/>
                <w:bCs/>
                <w:i/>
                <w:iCs/>
                <w:sz w:val="24"/>
                <w:szCs w:val="24"/>
              </w:rPr>
            </w:pPr>
            <w:r>
              <w:rPr>
                <w:b/>
                <w:i/>
                <w:iCs/>
                <w:spacing w:val="2"/>
                <w:sz w:val="24"/>
                <w:szCs w:val="24"/>
              </w:rPr>
              <w:t>EI</w:t>
            </w:r>
            <w:r>
              <w:rPr>
                <w:b/>
                <w:i/>
                <w:iCs/>
                <w:spacing w:val="2"/>
                <w:sz w:val="24"/>
                <w:szCs w:val="24"/>
                <w:vertAlign w:val="subscript"/>
              </w:rPr>
              <w:t>2</w:t>
            </w:r>
            <w:r>
              <w:rPr>
                <w:b/>
                <w:i/>
                <w:iCs/>
                <w:spacing w:val="2"/>
                <w:sz w:val="24"/>
                <w:szCs w:val="24"/>
              </w:rPr>
              <w:t xml:space="preserve"> 45-C1</w:t>
            </w:r>
          </w:p>
        </w:tc>
      </w:tr>
      <w:tr w:rsidR="001C08A5" w14:paraId="30CB33D1" w14:textId="77777777">
        <w:trPr>
          <w:trHeight w:val="281"/>
          <w:jc w:val="center"/>
        </w:trPr>
        <w:tc>
          <w:tcPr>
            <w:tcW w:w="670" w:type="pct"/>
          </w:tcPr>
          <w:p w14:paraId="64A3A1A8" w14:textId="77777777" w:rsidR="001C08A5" w:rsidRDefault="00000000">
            <w:pPr>
              <w:jc w:val="center"/>
              <w:rPr>
                <w:b/>
                <w:bCs/>
                <w:i/>
                <w:iCs/>
                <w:sz w:val="24"/>
                <w:szCs w:val="24"/>
              </w:rPr>
            </w:pPr>
            <w:r>
              <w:rPr>
                <w:b/>
                <w:i/>
                <w:iCs/>
                <w:sz w:val="24"/>
                <w:szCs w:val="24"/>
              </w:rPr>
              <w:t>III</w:t>
            </w:r>
          </w:p>
        </w:tc>
        <w:tc>
          <w:tcPr>
            <w:tcW w:w="1081" w:type="pct"/>
          </w:tcPr>
          <w:p w14:paraId="747D92EE" w14:textId="77777777" w:rsidR="001C08A5" w:rsidRDefault="00000000">
            <w:pPr>
              <w:jc w:val="center"/>
              <w:rPr>
                <w:b/>
                <w:bCs/>
                <w:i/>
                <w:iCs/>
                <w:sz w:val="24"/>
                <w:szCs w:val="24"/>
              </w:rPr>
            </w:pPr>
            <w:r>
              <w:rPr>
                <w:b/>
                <w:bCs/>
                <w:i/>
                <w:iCs/>
                <w:sz w:val="24"/>
                <w:szCs w:val="24"/>
              </w:rPr>
              <w:t>Bs2d0</w:t>
            </w:r>
          </w:p>
        </w:tc>
        <w:tc>
          <w:tcPr>
            <w:tcW w:w="769" w:type="pct"/>
          </w:tcPr>
          <w:p w14:paraId="107A99B1" w14:textId="77777777" w:rsidR="001C08A5" w:rsidRDefault="00000000">
            <w:pPr>
              <w:jc w:val="center"/>
              <w:rPr>
                <w:b/>
                <w:bCs/>
                <w:i/>
                <w:iCs/>
                <w:sz w:val="24"/>
                <w:szCs w:val="24"/>
              </w:rPr>
            </w:pPr>
            <w:r>
              <w:rPr>
                <w:b/>
                <w:bCs/>
                <w:i/>
                <w:iCs/>
                <w:sz w:val="24"/>
                <w:szCs w:val="24"/>
              </w:rPr>
              <w:t>R 45</w:t>
            </w:r>
          </w:p>
        </w:tc>
        <w:tc>
          <w:tcPr>
            <w:tcW w:w="906" w:type="pct"/>
          </w:tcPr>
          <w:p w14:paraId="4A66DE10" w14:textId="77777777" w:rsidR="001C08A5" w:rsidRDefault="00000000">
            <w:pPr>
              <w:jc w:val="center"/>
              <w:rPr>
                <w:b/>
                <w:bCs/>
                <w:i/>
                <w:iCs/>
                <w:sz w:val="24"/>
                <w:szCs w:val="24"/>
              </w:rPr>
            </w:pPr>
            <w:r>
              <w:rPr>
                <w:b/>
                <w:bCs/>
                <w:i/>
                <w:iCs/>
                <w:sz w:val="24"/>
                <w:szCs w:val="24"/>
              </w:rPr>
              <w:t>EI 45</w:t>
            </w:r>
          </w:p>
        </w:tc>
        <w:tc>
          <w:tcPr>
            <w:tcW w:w="1572" w:type="pct"/>
          </w:tcPr>
          <w:p w14:paraId="6761DF95" w14:textId="77777777" w:rsidR="001C08A5" w:rsidRDefault="00000000">
            <w:pPr>
              <w:jc w:val="center"/>
              <w:rPr>
                <w:b/>
                <w:bCs/>
                <w:i/>
                <w:iCs/>
                <w:sz w:val="24"/>
                <w:szCs w:val="24"/>
              </w:rPr>
            </w:pPr>
            <w:r>
              <w:rPr>
                <w:b/>
                <w:i/>
                <w:iCs/>
                <w:spacing w:val="2"/>
                <w:sz w:val="24"/>
                <w:szCs w:val="24"/>
              </w:rPr>
              <w:t>EI</w:t>
            </w:r>
            <w:r>
              <w:rPr>
                <w:b/>
                <w:i/>
                <w:iCs/>
                <w:spacing w:val="2"/>
                <w:sz w:val="24"/>
                <w:szCs w:val="24"/>
                <w:vertAlign w:val="subscript"/>
              </w:rPr>
              <w:t>2</w:t>
            </w:r>
            <w:r>
              <w:rPr>
                <w:b/>
                <w:i/>
                <w:iCs/>
                <w:spacing w:val="2"/>
                <w:sz w:val="24"/>
                <w:szCs w:val="24"/>
              </w:rPr>
              <w:t>30-C1</w:t>
            </w:r>
          </w:p>
        </w:tc>
      </w:tr>
      <w:tr w:rsidR="001C08A5" w14:paraId="60AD3D8A" w14:textId="77777777">
        <w:trPr>
          <w:trHeight w:val="281"/>
          <w:jc w:val="center"/>
        </w:trPr>
        <w:tc>
          <w:tcPr>
            <w:tcW w:w="670" w:type="pct"/>
          </w:tcPr>
          <w:p w14:paraId="7E8FA6D9" w14:textId="77777777" w:rsidR="001C08A5" w:rsidRDefault="00000000">
            <w:pPr>
              <w:jc w:val="center"/>
              <w:rPr>
                <w:b/>
                <w:bCs/>
                <w:i/>
                <w:iCs/>
                <w:sz w:val="24"/>
                <w:szCs w:val="24"/>
              </w:rPr>
            </w:pPr>
            <w:r>
              <w:rPr>
                <w:b/>
                <w:i/>
                <w:iCs/>
                <w:sz w:val="24"/>
                <w:szCs w:val="24"/>
              </w:rPr>
              <w:t>IV</w:t>
            </w:r>
          </w:p>
        </w:tc>
        <w:tc>
          <w:tcPr>
            <w:tcW w:w="1081" w:type="pct"/>
          </w:tcPr>
          <w:p w14:paraId="6800CF70" w14:textId="77777777" w:rsidR="001C08A5" w:rsidRDefault="00000000">
            <w:pPr>
              <w:jc w:val="center"/>
              <w:rPr>
                <w:b/>
                <w:bCs/>
                <w:i/>
                <w:iCs/>
                <w:sz w:val="24"/>
                <w:szCs w:val="24"/>
              </w:rPr>
            </w:pPr>
            <w:r>
              <w:rPr>
                <w:b/>
                <w:bCs/>
                <w:i/>
                <w:iCs/>
                <w:sz w:val="24"/>
                <w:szCs w:val="24"/>
              </w:rPr>
              <w:t>Bs3d0</w:t>
            </w:r>
          </w:p>
        </w:tc>
        <w:tc>
          <w:tcPr>
            <w:tcW w:w="769" w:type="pct"/>
          </w:tcPr>
          <w:p w14:paraId="0222D83A" w14:textId="77777777" w:rsidR="001C08A5" w:rsidRDefault="00000000">
            <w:pPr>
              <w:jc w:val="center"/>
              <w:rPr>
                <w:b/>
                <w:bCs/>
                <w:i/>
                <w:iCs/>
                <w:sz w:val="24"/>
                <w:szCs w:val="24"/>
              </w:rPr>
            </w:pPr>
            <w:r>
              <w:rPr>
                <w:b/>
                <w:bCs/>
                <w:i/>
                <w:iCs/>
                <w:sz w:val="24"/>
                <w:szCs w:val="24"/>
              </w:rPr>
              <w:t>R 30</w:t>
            </w:r>
          </w:p>
        </w:tc>
        <w:tc>
          <w:tcPr>
            <w:tcW w:w="906" w:type="pct"/>
          </w:tcPr>
          <w:p w14:paraId="0DCDE910" w14:textId="77777777" w:rsidR="001C08A5" w:rsidRDefault="00000000">
            <w:pPr>
              <w:jc w:val="center"/>
              <w:rPr>
                <w:b/>
                <w:bCs/>
                <w:i/>
                <w:iCs/>
                <w:sz w:val="24"/>
                <w:szCs w:val="24"/>
              </w:rPr>
            </w:pPr>
            <w:r>
              <w:rPr>
                <w:b/>
                <w:bCs/>
                <w:i/>
                <w:iCs/>
                <w:sz w:val="24"/>
                <w:szCs w:val="24"/>
              </w:rPr>
              <w:t>EI 30</w:t>
            </w:r>
          </w:p>
        </w:tc>
        <w:tc>
          <w:tcPr>
            <w:tcW w:w="1572" w:type="pct"/>
          </w:tcPr>
          <w:p w14:paraId="2F72C2F0" w14:textId="77777777" w:rsidR="001C08A5" w:rsidRDefault="00000000">
            <w:pPr>
              <w:jc w:val="center"/>
              <w:rPr>
                <w:b/>
                <w:bCs/>
                <w:i/>
                <w:iCs/>
                <w:sz w:val="24"/>
                <w:szCs w:val="24"/>
              </w:rPr>
            </w:pPr>
            <w:r>
              <w:rPr>
                <w:b/>
                <w:i/>
                <w:iCs/>
                <w:spacing w:val="2"/>
                <w:sz w:val="24"/>
                <w:szCs w:val="24"/>
              </w:rPr>
              <w:t>EI</w:t>
            </w:r>
            <w:r>
              <w:rPr>
                <w:b/>
                <w:i/>
                <w:iCs/>
                <w:spacing w:val="2"/>
                <w:sz w:val="24"/>
                <w:szCs w:val="24"/>
                <w:vertAlign w:val="subscript"/>
              </w:rPr>
              <w:t>2</w:t>
            </w:r>
            <w:r>
              <w:rPr>
                <w:b/>
                <w:i/>
                <w:iCs/>
                <w:spacing w:val="2"/>
                <w:sz w:val="24"/>
                <w:szCs w:val="24"/>
              </w:rPr>
              <w:t>15-C1</w:t>
            </w:r>
          </w:p>
        </w:tc>
      </w:tr>
      <w:tr w:rsidR="001C08A5" w14:paraId="710D4054" w14:textId="77777777">
        <w:trPr>
          <w:trHeight w:val="281"/>
          <w:jc w:val="center"/>
        </w:trPr>
        <w:tc>
          <w:tcPr>
            <w:tcW w:w="670" w:type="pct"/>
          </w:tcPr>
          <w:p w14:paraId="711EB47E" w14:textId="77777777" w:rsidR="001C08A5" w:rsidRDefault="00000000">
            <w:pPr>
              <w:jc w:val="center"/>
              <w:rPr>
                <w:b/>
                <w:bCs/>
                <w:i/>
                <w:iCs/>
                <w:sz w:val="24"/>
                <w:szCs w:val="24"/>
              </w:rPr>
            </w:pPr>
            <w:r>
              <w:rPr>
                <w:b/>
                <w:i/>
                <w:iCs/>
                <w:sz w:val="24"/>
                <w:szCs w:val="24"/>
              </w:rPr>
              <w:t>V</w:t>
            </w:r>
          </w:p>
        </w:tc>
        <w:tc>
          <w:tcPr>
            <w:tcW w:w="1081" w:type="pct"/>
          </w:tcPr>
          <w:p w14:paraId="41FF2C0D" w14:textId="77777777" w:rsidR="001C08A5" w:rsidRDefault="00000000">
            <w:pPr>
              <w:jc w:val="center"/>
              <w:rPr>
                <w:b/>
                <w:bCs/>
                <w:i/>
                <w:iCs/>
                <w:sz w:val="24"/>
                <w:szCs w:val="24"/>
              </w:rPr>
            </w:pPr>
            <w:r>
              <w:rPr>
                <w:b/>
                <w:bCs/>
                <w:i/>
                <w:iCs/>
                <w:sz w:val="24"/>
                <w:szCs w:val="24"/>
              </w:rPr>
              <w:t>Cs3d0</w:t>
            </w:r>
          </w:p>
        </w:tc>
        <w:tc>
          <w:tcPr>
            <w:tcW w:w="769" w:type="pct"/>
          </w:tcPr>
          <w:p w14:paraId="7549C650" w14:textId="77777777" w:rsidR="001C08A5" w:rsidRDefault="00000000">
            <w:pPr>
              <w:jc w:val="center"/>
              <w:rPr>
                <w:b/>
                <w:bCs/>
                <w:i/>
                <w:iCs/>
                <w:sz w:val="24"/>
                <w:szCs w:val="24"/>
              </w:rPr>
            </w:pPr>
            <w:r>
              <w:rPr>
                <w:b/>
                <w:bCs/>
                <w:i/>
                <w:iCs/>
                <w:sz w:val="24"/>
                <w:szCs w:val="24"/>
              </w:rPr>
              <w:t>R 15</w:t>
            </w:r>
          </w:p>
        </w:tc>
        <w:tc>
          <w:tcPr>
            <w:tcW w:w="906" w:type="pct"/>
          </w:tcPr>
          <w:p w14:paraId="2A49D1DE" w14:textId="77777777" w:rsidR="001C08A5" w:rsidRDefault="00000000">
            <w:pPr>
              <w:jc w:val="center"/>
              <w:rPr>
                <w:b/>
                <w:bCs/>
                <w:i/>
                <w:iCs/>
                <w:sz w:val="24"/>
                <w:szCs w:val="24"/>
              </w:rPr>
            </w:pPr>
            <w:r>
              <w:rPr>
                <w:b/>
                <w:bCs/>
                <w:i/>
                <w:iCs/>
                <w:sz w:val="24"/>
                <w:szCs w:val="24"/>
              </w:rPr>
              <w:t>EI 15</w:t>
            </w:r>
          </w:p>
        </w:tc>
        <w:tc>
          <w:tcPr>
            <w:tcW w:w="1572" w:type="pct"/>
          </w:tcPr>
          <w:p w14:paraId="6D04ED37" w14:textId="77777777" w:rsidR="001C08A5" w:rsidRDefault="00000000">
            <w:pPr>
              <w:jc w:val="center"/>
              <w:rPr>
                <w:b/>
                <w:bCs/>
                <w:i/>
                <w:iCs/>
                <w:sz w:val="24"/>
                <w:szCs w:val="24"/>
              </w:rPr>
            </w:pPr>
            <w:r>
              <w:rPr>
                <w:b/>
                <w:i/>
                <w:iCs/>
                <w:spacing w:val="2"/>
                <w:sz w:val="24"/>
                <w:szCs w:val="24"/>
              </w:rPr>
              <w:t>C1</w:t>
            </w:r>
          </w:p>
        </w:tc>
      </w:tr>
    </w:tbl>
    <w:p w14:paraId="2469BF58" w14:textId="77777777" w:rsidR="001C08A5" w:rsidRDefault="001C08A5">
      <w:pPr>
        <w:jc w:val="both"/>
        <w:rPr>
          <w:b/>
          <w:bCs/>
          <w:sz w:val="24"/>
          <w:szCs w:val="24"/>
        </w:rPr>
      </w:pPr>
    </w:p>
    <w:p w14:paraId="07DE4AF2" w14:textId="77777777" w:rsidR="001C08A5" w:rsidRDefault="00000000">
      <w:pPr>
        <w:ind w:firstLine="720"/>
        <w:jc w:val="both"/>
        <w:rPr>
          <w:sz w:val="24"/>
          <w:szCs w:val="24"/>
        </w:rPr>
      </w:pPr>
      <w:r>
        <w:rPr>
          <w:b/>
          <w:sz w:val="24"/>
          <w:szCs w:val="24"/>
        </w:rPr>
        <w:t xml:space="preserve">(2) </w:t>
      </w:r>
      <w:r>
        <w:rPr>
          <w:sz w:val="24"/>
          <w:szCs w:val="24"/>
        </w:rPr>
        <w:t xml:space="preserve">Mansardarea construcţiilor civile supraterane (realizarea a mai multor niveluri funcţionale în volumul podului), este admisă  conform prevederilor din </w:t>
      </w:r>
      <w:r>
        <w:rPr>
          <w:rFonts w:cs="Mangal"/>
          <w:b/>
          <w:i/>
          <w:iCs/>
          <w:sz w:val="24"/>
          <w:szCs w:val="24"/>
        </w:rPr>
        <w:fldChar w:fldCharType="begin"/>
      </w:r>
      <w:r>
        <w:rPr>
          <w:rFonts w:cs="Mangal"/>
          <w:b/>
          <w:i/>
          <w:iCs/>
          <w:sz w:val="24"/>
          <w:szCs w:val="24"/>
        </w:rPr>
        <w:instrText xml:space="preserve"> REF _Ref11614 \h </w:instrText>
      </w:r>
      <w:r>
        <w:rPr>
          <w:rFonts w:cs="Mangal"/>
          <w:b/>
          <w:i/>
          <w:iCs/>
          <w:sz w:val="24"/>
          <w:szCs w:val="24"/>
        </w:rPr>
      </w:r>
      <w:r>
        <w:rPr>
          <w:rFonts w:cs="Mangal"/>
          <w:b/>
          <w:i/>
          <w:iCs/>
          <w:sz w:val="24"/>
          <w:szCs w:val="24"/>
        </w:rPr>
        <w:fldChar w:fldCharType="separate"/>
      </w:r>
      <w:r>
        <w:t>Tabelul 44</w:t>
      </w:r>
      <w:r>
        <w:rPr>
          <w:rFonts w:cs="Mangal"/>
          <w:b/>
          <w:i/>
          <w:iCs/>
          <w:sz w:val="24"/>
          <w:szCs w:val="24"/>
        </w:rPr>
        <w:fldChar w:fldCharType="end"/>
      </w:r>
      <w:r>
        <w:rPr>
          <w:sz w:val="24"/>
          <w:szCs w:val="24"/>
        </w:rPr>
        <w:t>.</w:t>
      </w:r>
    </w:p>
    <w:p w14:paraId="75EDCD53" w14:textId="77777777" w:rsidR="001C08A5" w:rsidRDefault="001C08A5">
      <w:pPr>
        <w:ind w:firstLine="720"/>
        <w:jc w:val="both"/>
        <w:rPr>
          <w:sz w:val="24"/>
          <w:szCs w:val="24"/>
        </w:rPr>
      </w:pPr>
    </w:p>
    <w:p w14:paraId="3EEAD7D2" w14:textId="77777777" w:rsidR="001C08A5" w:rsidRDefault="00000000">
      <w:pPr>
        <w:pStyle w:val="Caption"/>
        <w:jc w:val="both"/>
        <w:rPr>
          <w:bCs/>
        </w:rPr>
      </w:pPr>
      <w:bookmarkStart w:id="2942" w:name="_Ref11614"/>
      <w:bookmarkStart w:id="2943" w:name="_Toc162360094"/>
      <w:r>
        <w:t xml:space="preserve">Tabelul </w:t>
      </w:r>
      <w:r>
        <w:fldChar w:fldCharType="begin"/>
      </w:r>
      <w:r>
        <w:instrText xml:space="preserve"> SEQ Tabelul \* ARABIC </w:instrText>
      </w:r>
      <w:r>
        <w:fldChar w:fldCharType="separate"/>
      </w:r>
      <w:r>
        <w:t>44</w:t>
      </w:r>
      <w:r>
        <w:fldChar w:fldCharType="end"/>
      </w:r>
      <w:bookmarkStart w:id="2944" w:name="_Toc22388"/>
      <w:bookmarkStart w:id="2945" w:name="_Toc4038"/>
      <w:bookmarkStart w:id="2946" w:name="_Toc2470"/>
      <w:bookmarkStart w:id="2947" w:name="_Toc3322"/>
      <w:bookmarkStart w:id="2948" w:name="_Toc17985"/>
      <w:bookmarkStart w:id="2949" w:name="_Toc9026"/>
      <w:bookmarkStart w:id="2950" w:name="_Toc4179"/>
      <w:bookmarkStart w:id="2951" w:name="_Toc28052"/>
      <w:bookmarkStart w:id="2952" w:name="_Toc17537"/>
      <w:bookmarkStart w:id="2953" w:name="_Toc31259"/>
      <w:bookmarkStart w:id="2954" w:name="_Toc20440"/>
      <w:bookmarkStart w:id="2955" w:name="_Toc30267"/>
      <w:bookmarkEnd w:id="2942"/>
      <w:r>
        <w:t xml:space="preserve">: </w:t>
      </w:r>
      <w:r>
        <w:rPr>
          <w:bCs/>
        </w:rPr>
        <w:t>Mansardarea construcţiilor civile supraterane (realizarea a mai multor niveluri funcţionale în volumul podului)</w:t>
      </w:r>
      <w:bookmarkEnd w:id="2943"/>
      <w:bookmarkEnd w:id="2944"/>
      <w:bookmarkEnd w:id="2945"/>
      <w:bookmarkEnd w:id="2946"/>
      <w:bookmarkEnd w:id="2947"/>
      <w:bookmarkEnd w:id="2948"/>
      <w:bookmarkEnd w:id="2949"/>
      <w:bookmarkEnd w:id="2950"/>
      <w:bookmarkEnd w:id="2951"/>
      <w:bookmarkEnd w:id="2952"/>
      <w:bookmarkEnd w:id="2953"/>
      <w:bookmarkEnd w:id="2954"/>
      <w:bookmarkEnd w:id="2955"/>
    </w:p>
    <w:p w14:paraId="52667811" w14:textId="77777777" w:rsidR="001C08A5" w:rsidRDefault="001C08A5">
      <w:pPr>
        <w:ind w:firstLine="720"/>
        <w:jc w:val="both"/>
        <w:rPr>
          <w:sz w:val="24"/>
          <w:szCs w:val="24"/>
        </w:rPr>
      </w:pPr>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0"/>
        <w:gridCol w:w="2081"/>
        <w:gridCol w:w="1480"/>
        <w:gridCol w:w="1743"/>
        <w:gridCol w:w="3027"/>
      </w:tblGrid>
      <w:tr w:rsidR="001C08A5" w14:paraId="6074EEE2" w14:textId="77777777">
        <w:trPr>
          <w:trHeight w:val="909"/>
          <w:jc w:val="center"/>
        </w:trPr>
        <w:tc>
          <w:tcPr>
            <w:tcW w:w="670" w:type="pct"/>
            <w:vMerge w:val="restart"/>
            <w:shd w:val="clear" w:color="auto" w:fill="A6A6A6" w:themeFill="background1" w:themeFillShade="A6"/>
          </w:tcPr>
          <w:p w14:paraId="401909C7" w14:textId="77777777" w:rsidR="001C08A5" w:rsidRDefault="00000000">
            <w:pPr>
              <w:widowControl w:val="0"/>
              <w:jc w:val="center"/>
              <w:rPr>
                <w:b/>
                <w:bCs/>
                <w:i/>
                <w:iCs/>
                <w:sz w:val="24"/>
                <w:szCs w:val="24"/>
              </w:rPr>
            </w:pPr>
            <w:r>
              <w:rPr>
                <w:b/>
                <w:bCs/>
                <w:i/>
                <w:iCs/>
                <w:sz w:val="24"/>
                <w:szCs w:val="24"/>
              </w:rPr>
              <w:t>Nivel de stabilitate la incendiu</w:t>
            </w:r>
          </w:p>
        </w:tc>
        <w:tc>
          <w:tcPr>
            <w:tcW w:w="1081" w:type="pct"/>
            <w:vMerge w:val="restart"/>
            <w:shd w:val="clear" w:color="auto" w:fill="A6A6A6" w:themeFill="background1" w:themeFillShade="A6"/>
          </w:tcPr>
          <w:p w14:paraId="1B98FCD3" w14:textId="77777777" w:rsidR="001C08A5" w:rsidRDefault="00000000">
            <w:pPr>
              <w:widowControl w:val="0"/>
              <w:jc w:val="center"/>
              <w:rPr>
                <w:b/>
                <w:bCs/>
                <w:i/>
                <w:iCs/>
                <w:sz w:val="24"/>
                <w:szCs w:val="24"/>
              </w:rPr>
            </w:pPr>
            <w:r>
              <w:rPr>
                <w:b/>
                <w:bCs/>
                <w:i/>
                <w:iCs/>
                <w:sz w:val="24"/>
                <w:szCs w:val="24"/>
              </w:rPr>
              <w:t>Clasa de reacție la foc a elementelor de construcție</w:t>
            </w:r>
          </w:p>
          <w:p w14:paraId="5727E2D9" w14:textId="77777777" w:rsidR="001C08A5" w:rsidRDefault="001C08A5">
            <w:pPr>
              <w:rPr>
                <w:b/>
                <w:bCs/>
                <w:i/>
                <w:iCs/>
                <w:sz w:val="24"/>
                <w:szCs w:val="24"/>
              </w:rPr>
            </w:pPr>
          </w:p>
          <w:p w14:paraId="30368184" w14:textId="77777777" w:rsidR="001C08A5" w:rsidRDefault="001C08A5">
            <w:pPr>
              <w:rPr>
                <w:sz w:val="24"/>
                <w:szCs w:val="24"/>
              </w:rPr>
            </w:pPr>
          </w:p>
        </w:tc>
        <w:tc>
          <w:tcPr>
            <w:tcW w:w="769" w:type="pct"/>
            <w:vMerge w:val="restart"/>
            <w:shd w:val="clear" w:color="auto" w:fill="A6A6A6" w:themeFill="background1" w:themeFillShade="A6"/>
          </w:tcPr>
          <w:p w14:paraId="361360E6" w14:textId="77777777" w:rsidR="001C08A5" w:rsidRDefault="00000000">
            <w:pPr>
              <w:widowControl w:val="0"/>
              <w:jc w:val="center"/>
              <w:rPr>
                <w:b/>
                <w:bCs/>
                <w:i/>
                <w:iCs/>
                <w:sz w:val="24"/>
                <w:szCs w:val="24"/>
              </w:rPr>
            </w:pPr>
            <w:r>
              <w:rPr>
                <w:b/>
                <w:bCs/>
                <w:i/>
                <w:iCs/>
                <w:sz w:val="24"/>
                <w:szCs w:val="24"/>
              </w:rPr>
              <w:t>Rezistența la foc a elementelor de constructie</w:t>
            </w:r>
          </w:p>
        </w:tc>
        <w:tc>
          <w:tcPr>
            <w:tcW w:w="2479" w:type="pct"/>
            <w:gridSpan w:val="2"/>
            <w:shd w:val="clear" w:color="auto" w:fill="A6A6A6" w:themeFill="background1" w:themeFillShade="A6"/>
          </w:tcPr>
          <w:p w14:paraId="20791705" w14:textId="77777777" w:rsidR="001C08A5" w:rsidRDefault="00000000">
            <w:pPr>
              <w:widowControl w:val="0"/>
              <w:jc w:val="center"/>
              <w:rPr>
                <w:b/>
                <w:bCs/>
                <w:i/>
                <w:iCs/>
                <w:sz w:val="24"/>
                <w:szCs w:val="24"/>
              </w:rPr>
            </w:pPr>
            <w:r>
              <w:rPr>
                <w:b/>
                <w:bCs/>
                <w:i/>
                <w:iCs/>
                <w:sz w:val="24"/>
                <w:szCs w:val="24"/>
              </w:rPr>
              <w:t>Separarea față de restul constructiei</w:t>
            </w:r>
          </w:p>
        </w:tc>
      </w:tr>
      <w:tr w:rsidR="001C08A5" w14:paraId="334A1EFA" w14:textId="77777777">
        <w:trPr>
          <w:trHeight w:val="294"/>
          <w:jc w:val="center"/>
        </w:trPr>
        <w:tc>
          <w:tcPr>
            <w:tcW w:w="670" w:type="pct"/>
            <w:vMerge/>
            <w:shd w:val="clear" w:color="auto" w:fill="A6A6A6" w:themeFill="background1" w:themeFillShade="A6"/>
          </w:tcPr>
          <w:p w14:paraId="00FD4CAA" w14:textId="77777777" w:rsidR="001C08A5" w:rsidRDefault="001C08A5">
            <w:pPr>
              <w:widowControl w:val="0"/>
              <w:jc w:val="center"/>
              <w:rPr>
                <w:b/>
                <w:bCs/>
                <w:i/>
                <w:iCs/>
                <w:sz w:val="24"/>
                <w:szCs w:val="24"/>
              </w:rPr>
            </w:pPr>
          </w:p>
        </w:tc>
        <w:tc>
          <w:tcPr>
            <w:tcW w:w="1081" w:type="pct"/>
            <w:vMerge/>
            <w:shd w:val="clear" w:color="auto" w:fill="A6A6A6" w:themeFill="background1" w:themeFillShade="A6"/>
          </w:tcPr>
          <w:p w14:paraId="1072D334" w14:textId="77777777" w:rsidR="001C08A5" w:rsidRDefault="001C08A5">
            <w:pPr>
              <w:widowControl w:val="0"/>
              <w:jc w:val="center"/>
              <w:rPr>
                <w:b/>
                <w:bCs/>
                <w:i/>
                <w:iCs/>
                <w:sz w:val="24"/>
                <w:szCs w:val="24"/>
              </w:rPr>
            </w:pPr>
          </w:p>
        </w:tc>
        <w:tc>
          <w:tcPr>
            <w:tcW w:w="769" w:type="pct"/>
            <w:vMerge/>
            <w:shd w:val="clear" w:color="auto" w:fill="A6A6A6" w:themeFill="background1" w:themeFillShade="A6"/>
          </w:tcPr>
          <w:p w14:paraId="201D2346" w14:textId="77777777" w:rsidR="001C08A5" w:rsidRDefault="001C08A5">
            <w:pPr>
              <w:widowControl w:val="0"/>
              <w:jc w:val="center"/>
              <w:rPr>
                <w:b/>
                <w:bCs/>
                <w:i/>
                <w:iCs/>
                <w:sz w:val="24"/>
                <w:szCs w:val="24"/>
              </w:rPr>
            </w:pPr>
          </w:p>
        </w:tc>
        <w:tc>
          <w:tcPr>
            <w:tcW w:w="906" w:type="pct"/>
            <w:shd w:val="clear" w:color="auto" w:fill="A6A6A6" w:themeFill="background1" w:themeFillShade="A6"/>
          </w:tcPr>
          <w:p w14:paraId="18DEE7F2" w14:textId="77777777" w:rsidR="001C08A5" w:rsidRDefault="00000000">
            <w:pPr>
              <w:widowControl w:val="0"/>
              <w:jc w:val="center"/>
              <w:rPr>
                <w:b/>
                <w:bCs/>
                <w:i/>
                <w:iCs/>
                <w:sz w:val="24"/>
                <w:szCs w:val="24"/>
              </w:rPr>
            </w:pPr>
            <w:r>
              <w:rPr>
                <w:b/>
                <w:bCs/>
                <w:i/>
                <w:iCs/>
                <w:sz w:val="24"/>
                <w:szCs w:val="24"/>
              </w:rPr>
              <w:t>Pereți</w:t>
            </w:r>
          </w:p>
        </w:tc>
        <w:tc>
          <w:tcPr>
            <w:tcW w:w="1573" w:type="pct"/>
            <w:shd w:val="clear" w:color="auto" w:fill="A6A6A6" w:themeFill="background1" w:themeFillShade="A6"/>
          </w:tcPr>
          <w:p w14:paraId="3A74F0E4" w14:textId="77777777" w:rsidR="001C08A5" w:rsidRDefault="00000000">
            <w:pPr>
              <w:widowControl w:val="0"/>
              <w:jc w:val="center"/>
              <w:rPr>
                <w:b/>
                <w:bCs/>
                <w:i/>
                <w:iCs/>
                <w:sz w:val="24"/>
                <w:szCs w:val="24"/>
              </w:rPr>
            </w:pPr>
            <w:r>
              <w:rPr>
                <w:b/>
                <w:bCs/>
                <w:i/>
                <w:iCs/>
                <w:sz w:val="24"/>
                <w:szCs w:val="24"/>
              </w:rPr>
              <w:t xml:space="preserve">Uși </w:t>
            </w:r>
            <w:r>
              <w:rPr>
                <w:i/>
                <w:iCs/>
                <w:sz w:val="24"/>
                <w:szCs w:val="24"/>
              </w:rPr>
              <w:t>de comunicare ale mansardei cu podul</w:t>
            </w:r>
          </w:p>
        </w:tc>
      </w:tr>
      <w:tr w:rsidR="001C08A5" w14:paraId="4589AEC7" w14:textId="77777777">
        <w:trPr>
          <w:trHeight w:val="281"/>
          <w:jc w:val="center"/>
        </w:trPr>
        <w:tc>
          <w:tcPr>
            <w:tcW w:w="670" w:type="pct"/>
          </w:tcPr>
          <w:p w14:paraId="3D932B32" w14:textId="77777777" w:rsidR="001C08A5" w:rsidRDefault="00000000">
            <w:pPr>
              <w:widowControl w:val="0"/>
              <w:jc w:val="center"/>
              <w:rPr>
                <w:b/>
                <w:bCs/>
                <w:i/>
                <w:iCs/>
                <w:sz w:val="24"/>
                <w:szCs w:val="24"/>
              </w:rPr>
            </w:pPr>
            <w:r>
              <w:rPr>
                <w:i/>
                <w:sz w:val="22"/>
                <w:szCs w:val="22"/>
              </w:rPr>
              <w:t xml:space="preserve">investitorii/beneficiarii pot adopta </w:t>
            </w:r>
          </w:p>
        </w:tc>
        <w:tc>
          <w:tcPr>
            <w:tcW w:w="1081" w:type="pct"/>
          </w:tcPr>
          <w:p w14:paraId="51ECF6DA" w14:textId="77777777" w:rsidR="001C08A5" w:rsidRDefault="00000000">
            <w:pPr>
              <w:widowControl w:val="0"/>
              <w:jc w:val="center"/>
              <w:rPr>
                <w:b/>
                <w:bCs/>
                <w:i/>
                <w:iCs/>
                <w:sz w:val="24"/>
                <w:szCs w:val="24"/>
              </w:rPr>
            </w:pPr>
            <w:r>
              <w:rPr>
                <w:i/>
                <w:sz w:val="22"/>
                <w:szCs w:val="22"/>
              </w:rPr>
              <w:t xml:space="preserve">investitorii/beneficiarii pot adopta </w:t>
            </w:r>
          </w:p>
        </w:tc>
        <w:tc>
          <w:tcPr>
            <w:tcW w:w="769" w:type="pct"/>
          </w:tcPr>
          <w:p w14:paraId="0AC6F34C" w14:textId="77777777" w:rsidR="001C08A5" w:rsidRDefault="00000000">
            <w:pPr>
              <w:widowControl w:val="0"/>
              <w:jc w:val="center"/>
              <w:rPr>
                <w:b/>
                <w:bCs/>
                <w:i/>
                <w:iCs/>
                <w:sz w:val="24"/>
                <w:szCs w:val="24"/>
              </w:rPr>
            </w:pPr>
            <w:r>
              <w:rPr>
                <w:i/>
                <w:sz w:val="22"/>
                <w:szCs w:val="22"/>
              </w:rPr>
              <w:t xml:space="preserve">investitorii/beneficiarii pot adopta </w:t>
            </w:r>
          </w:p>
        </w:tc>
        <w:tc>
          <w:tcPr>
            <w:tcW w:w="906" w:type="pct"/>
          </w:tcPr>
          <w:p w14:paraId="0D7065E2" w14:textId="77777777" w:rsidR="001C08A5" w:rsidRDefault="00000000">
            <w:pPr>
              <w:widowControl w:val="0"/>
              <w:jc w:val="center"/>
              <w:rPr>
                <w:b/>
                <w:bCs/>
                <w:i/>
                <w:iCs/>
                <w:sz w:val="24"/>
                <w:szCs w:val="24"/>
              </w:rPr>
            </w:pPr>
            <w:r>
              <w:rPr>
                <w:i/>
                <w:sz w:val="22"/>
                <w:szCs w:val="22"/>
              </w:rPr>
              <w:t xml:space="preserve">investitorii/beneficiarii pot adopta </w:t>
            </w:r>
          </w:p>
        </w:tc>
        <w:tc>
          <w:tcPr>
            <w:tcW w:w="1573" w:type="pct"/>
          </w:tcPr>
          <w:p w14:paraId="2C013637" w14:textId="77777777" w:rsidR="001C08A5" w:rsidRDefault="00000000">
            <w:pPr>
              <w:widowControl w:val="0"/>
              <w:jc w:val="center"/>
              <w:rPr>
                <w:b/>
                <w:bCs/>
                <w:i/>
                <w:iCs/>
                <w:sz w:val="24"/>
                <w:szCs w:val="24"/>
              </w:rPr>
            </w:pPr>
            <w:r>
              <w:rPr>
                <w:i/>
                <w:sz w:val="22"/>
                <w:szCs w:val="22"/>
              </w:rPr>
              <w:t xml:space="preserve">investitorii/beneficiarii pot adopta </w:t>
            </w:r>
          </w:p>
        </w:tc>
      </w:tr>
      <w:tr w:rsidR="001C08A5" w14:paraId="767BDB3B" w14:textId="77777777">
        <w:trPr>
          <w:trHeight w:val="281"/>
          <w:jc w:val="center"/>
        </w:trPr>
        <w:tc>
          <w:tcPr>
            <w:tcW w:w="670" w:type="pct"/>
          </w:tcPr>
          <w:p w14:paraId="4E02D71E" w14:textId="77777777" w:rsidR="001C08A5" w:rsidRDefault="00000000">
            <w:pPr>
              <w:widowControl w:val="0"/>
              <w:jc w:val="center"/>
              <w:rPr>
                <w:b/>
                <w:bCs/>
                <w:i/>
                <w:iCs/>
                <w:sz w:val="24"/>
                <w:szCs w:val="24"/>
              </w:rPr>
            </w:pPr>
            <w:r>
              <w:rPr>
                <w:b/>
                <w:i/>
                <w:iCs/>
                <w:sz w:val="24"/>
                <w:szCs w:val="24"/>
              </w:rPr>
              <w:t>II</w:t>
            </w:r>
          </w:p>
        </w:tc>
        <w:tc>
          <w:tcPr>
            <w:tcW w:w="1081" w:type="pct"/>
          </w:tcPr>
          <w:p w14:paraId="5E037708" w14:textId="77777777" w:rsidR="001C08A5" w:rsidRDefault="00000000">
            <w:pPr>
              <w:widowControl w:val="0"/>
              <w:jc w:val="center"/>
              <w:rPr>
                <w:b/>
                <w:bCs/>
                <w:i/>
                <w:iCs/>
                <w:sz w:val="24"/>
                <w:szCs w:val="24"/>
              </w:rPr>
            </w:pPr>
            <w:r>
              <w:rPr>
                <w:b/>
                <w:bCs/>
                <w:i/>
                <w:iCs/>
                <w:sz w:val="24"/>
                <w:szCs w:val="24"/>
              </w:rPr>
              <w:t>A1, A2s1d0</w:t>
            </w:r>
          </w:p>
        </w:tc>
        <w:tc>
          <w:tcPr>
            <w:tcW w:w="769" w:type="pct"/>
          </w:tcPr>
          <w:p w14:paraId="45FA65A4" w14:textId="77777777" w:rsidR="001C08A5" w:rsidRDefault="00000000">
            <w:pPr>
              <w:widowControl w:val="0"/>
              <w:jc w:val="center"/>
              <w:rPr>
                <w:b/>
                <w:bCs/>
                <w:i/>
                <w:iCs/>
                <w:sz w:val="24"/>
                <w:szCs w:val="24"/>
              </w:rPr>
            </w:pPr>
            <w:r>
              <w:rPr>
                <w:b/>
                <w:bCs/>
                <w:i/>
                <w:iCs/>
                <w:sz w:val="24"/>
                <w:szCs w:val="24"/>
              </w:rPr>
              <w:t>R 90</w:t>
            </w:r>
          </w:p>
        </w:tc>
        <w:tc>
          <w:tcPr>
            <w:tcW w:w="906" w:type="pct"/>
          </w:tcPr>
          <w:p w14:paraId="321A2875" w14:textId="77777777" w:rsidR="001C08A5" w:rsidRDefault="00000000">
            <w:pPr>
              <w:widowControl w:val="0"/>
              <w:jc w:val="center"/>
              <w:rPr>
                <w:b/>
                <w:bCs/>
                <w:i/>
                <w:iCs/>
                <w:sz w:val="24"/>
                <w:szCs w:val="24"/>
              </w:rPr>
            </w:pPr>
            <w:r>
              <w:rPr>
                <w:b/>
                <w:bCs/>
                <w:i/>
                <w:iCs/>
                <w:sz w:val="24"/>
                <w:szCs w:val="24"/>
              </w:rPr>
              <w:t>EI 90</w:t>
            </w:r>
          </w:p>
        </w:tc>
        <w:tc>
          <w:tcPr>
            <w:tcW w:w="1573" w:type="pct"/>
          </w:tcPr>
          <w:p w14:paraId="308EEF37" w14:textId="77777777" w:rsidR="001C08A5" w:rsidRDefault="00000000">
            <w:pPr>
              <w:widowControl w:val="0"/>
              <w:jc w:val="center"/>
              <w:rPr>
                <w:b/>
                <w:bCs/>
                <w:i/>
                <w:iCs/>
                <w:sz w:val="24"/>
                <w:szCs w:val="24"/>
              </w:rPr>
            </w:pPr>
            <w:r>
              <w:rPr>
                <w:b/>
                <w:i/>
                <w:iCs/>
                <w:spacing w:val="2"/>
                <w:sz w:val="24"/>
                <w:szCs w:val="24"/>
              </w:rPr>
              <w:t>EI</w:t>
            </w:r>
            <w:r>
              <w:rPr>
                <w:b/>
                <w:i/>
                <w:iCs/>
                <w:spacing w:val="2"/>
                <w:sz w:val="24"/>
                <w:szCs w:val="24"/>
                <w:vertAlign w:val="subscript"/>
              </w:rPr>
              <w:t>2</w:t>
            </w:r>
            <w:r>
              <w:rPr>
                <w:b/>
                <w:i/>
                <w:iCs/>
                <w:spacing w:val="2"/>
                <w:sz w:val="24"/>
                <w:szCs w:val="24"/>
              </w:rPr>
              <w:t xml:space="preserve"> 60-C1</w:t>
            </w:r>
          </w:p>
        </w:tc>
      </w:tr>
      <w:tr w:rsidR="001C08A5" w14:paraId="5037255D" w14:textId="77777777">
        <w:trPr>
          <w:trHeight w:val="281"/>
          <w:jc w:val="center"/>
        </w:trPr>
        <w:tc>
          <w:tcPr>
            <w:tcW w:w="670" w:type="pct"/>
          </w:tcPr>
          <w:p w14:paraId="089666DD" w14:textId="77777777" w:rsidR="001C08A5" w:rsidRDefault="00000000">
            <w:pPr>
              <w:widowControl w:val="0"/>
              <w:jc w:val="center"/>
              <w:rPr>
                <w:b/>
                <w:bCs/>
                <w:i/>
                <w:iCs/>
                <w:sz w:val="24"/>
                <w:szCs w:val="24"/>
              </w:rPr>
            </w:pPr>
            <w:r>
              <w:rPr>
                <w:b/>
                <w:i/>
                <w:iCs/>
                <w:sz w:val="24"/>
                <w:szCs w:val="24"/>
              </w:rPr>
              <w:t>III</w:t>
            </w:r>
          </w:p>
        </w:tc>
        <w:tc>
          <w:tcPr>
            <w:tcW w:w="1081" w:type="pct"/>
          </w:tcPr>
          <w:p w14:paraId="0CF4ECA7" w14:textId="77777777" w:rsidR="001C08A5" w:rsidRDefault="00000000">
            <w:pPr>
              <w:widowControl w:val="0"/>
              <w:jc w:val="center"/>
              <w:rPr>
                <w:b/>
                <w:bCs/>
                <w:i/>
                <w:iCs/>
                <w:sz w:val="24"/>
                <w:szCs w:val="24"/>
              </w:rPr>
            </w:pPr>
            <w:r>
              <w:rPr>
                <w:b/>
                <w:bCs/>
                <w:i/>
                <w:iCs/>
                <w:sz w:val="24"/>
                <w:szCs w:val="24"/>
              </w:rPr>
              <w:t>Bs1d0</w:t>
            </w:r>
          </w:p>
        </w:tc>
        <w:tc>
          <w:tcPr>
            <w:tcW w:w="769" w:type="pct"/>
          </w:tcPr>
          <w:p w14:paraId="2B277745" w14:textId="77777777" w:rsidR="001C08A5" w:rsidRDefault="00000000">
            <w:pPr>
              <w:widowControl w:val="0"/>
              <w:jc w:val="center"/>
              <w:rPr>
                <w:b/>
                <w:bCs/>
                <w:i/>
                <w:iCs/>
                <w:sz w:val="24"/>
                <w:szCs w:val="24"/>
              </w:rPr>
            </w:pPr>
            <w:r>
              <w:rPr>
                <w:b/>
                <w:bCs/>
                <w:i/>
                <w:iCs/>
                <w:sz w:val="24"/>
                <w:szCs w:val="24"/>
              </w:rPr>
              <w:t>R 60</w:t>
            </w:r>
          </w:p>
        </w:tc>
        <w:tc>
          <w:tcPr>
            <w:tcW w:w="906" w:type="pct"/>
          </w:tcPr>
          <w:p w14:paraId="2417592D" w14:textId="77777777" w:rsidR="001C08A5" w:rsidRDefault="00000000">
            <w:pPr>
              <w:widowControl w:val="0"/>
              <w:jc w:val="center"/>
              <w:rPr>
                <w:b/>
                <w:bCs/>
                <w:i/>
                <w:iCs/>
                <w:sz w:val="24"/>
                <w:szCs w:val="24"/>
              </w:rPr>
            </w:pPr>
            <w:r>
              <w:rPr>
                <w:b/>
                <w:bCs/>
                <w:i/>
                <w:iCs/>
                <w:sz w:val="24"/>
                <w:szCs w:val="24"/>
              </w:rPr>
              <w:t>EI 60</w:t>
            </w:r>
          </w:p>
        </w:tc>
        <w:tc>
          <w:tcPr>
            <w:tcW w:w="1573" w:type="pct"/>
          </w:tcPr>
          <w:p w14:paraId="2EC4D549" w14:textId="77777777" w:rsidR="001C08A5" w:rsidRDefault="00000000">
            <w:pPr>
              <w:widowControl w:val="0"/>
              <w:jc w:val="center"/>
              <w:rPr>
                <w:b/>
                <w:bCs/>
                <w:i/>
                <w:iCs/>
                <w:sz w:val="24"/>
                <w:szCs w:val="24"/>
              </w:rPr>
            </w:pPr>
            <w:r>
              <w:rPr>
                <w:b/>
                <w:i/>
                <w:iCs/>
                <w:spacing w:val="2"/>
                <w:sz w:val="24"/>
                <w:szCs w:val="24"/>
              </w:rPr>
              <w:t>EI</w:t>
            </w:r>
            <w:r>
              <w:rPr>
                <w:b/>
                <w:i/>
                <w:iCs/>
                <w:spacing w:val="2"/>
                <w:sz w:val="24"/>
                <w:szCs w:val="24"/>
                <w:vertAlign w:val="subscript"/>
              </w:rPr>
              <w:t xml:space="preserve">2 </w:t>
            </w:r>
            <w:r>
              <w:rPr>
                <w:b/>
                <w:i/>
                <w:iCs/>
                <w:spacing w:val="2"/>
                <w:sz w:val="24"/>
                <w:szCs w:val="24"/>
              </w:rPr>
              <w:t>45-C1</w:t>
            </w:r>
          </w:p>
        </w:tc>
      </w:tr>
      <w:tr w:rsidR="001C08A5" w14:paraId="380D4827" w14:textId="77777777">
        <w:trPr>
          <w:trHeight w:val="281"/>
          <w:jc w:val="center"/>
        </w:trPr>
        <w:tc>
          <w:tcPr>
            <w:tcW w:w="670" w:type="pct"/>
          </w:tcPr>
          <w:p w14:paraId="6EA14470" w14:textId="77777777" w:rsidR="001C08A5" w:rsidRDefault="00000000">
            <w:pPr>
              <w:widowControl w:val="0"/>
              <w:jc w:val="center"/>
              <w:rPr>
                <w:b/>
                <w:bCs/>
                <w:i/>
                <w:iCs/>
                <w:sz w:val="24"/>
                <w:szCs w:val="24"/>
              </w:rPr>
            </w:pPr>
            <w:r>
              <w:rPr>
                <w:b/>
                <w:i/>
                <w:iCs/>
                <w:sz w:val="24"/>
                <w:szCs w:val="24"/>
              </w:rPr>
              <w:t>IV</w:t>
            </w:r>
          </w:p>
        </w:tc>
        <w:tc>
          <w:tcPr>
            <w:tcW w:w="1081" w:type="pct"/>
          </w:tcPr>
          <w:p w14:paraId="3BCB6CDB" w14:textId="77777777" w:rsidR="001C08A5" w:rsidRDefault="00000000">
            <w:pPr>
              <w:widowControl w:val="0"/>
              <w:jc w:val="center"/>
              <w:rPr>
                <w:b/>
                <w:bCs/>
                <w:i/>
                <w:iCs/>
                <w:sz w:val="24"/>
                <w:szCs w:val="24"/>
              </w:rPr>
            </w:pPr>
            <w:r>
              <w:rPr>
                <w:b/>
                <w:bCs/>
                <w:i/>
                <w:iCs/>
                <w:sz w:val="24"/>
                <w:szCs w:val="24"/>
              </w:rPr>
              <w:t>Bs2d0</w:t>
            </w:r>
          </w:p>
        </w:tc>
        <w:tc>
          <w:tcPr>
            <w:tcW w:w="769" w:type="pct"/>
          </w:tcPr>
          <w:p w14:paraId="061BE441" w14:textId="77777777" w:rsidR="001C08A5" w:rsidRDefault="00000000">
            <w:pPr>
              <w:widowControl w:val="0"/>
              <w:jc w:val="center"/>
              <w:rPr>
                <w:b/>
                <w:bCs/>
                <w:i/>
                <w:iCs/>
                <w:sz w:val="24"/>
                <w:szCs w:val="24"/>
              </w:rPr>
            </w:pPr>
            <w:r>
              <w:rPr>
                <w:b/>
                <w:bCs/>
                <w:i/>
                <w:iCs/>
                <w:sz w:val="24"/>
                <w:szCs w:val="24"/>
              </w:rPr>
              <w:t>R 30</w:t>
            </w:r>
          </w:p>
        </w:tc>
        <w:tc>
          <w:tcPr>
            <w:tcW w:w="906" w:type="pct"/>
          </w:tcPr>
          <w:p w14:paraId="77104B28" w14:textId="77777777" w:rsidR="001C08A5" w:rsidRDefault="00000000">
            <w:pPr>
              <w:widowControl w:val="0"/>
              <w:jc w:val="center"/>
              <w:rPr>
                <w:b/>
                <w:bCs/>
                <w:i/>
                <w:iCs/>
                <w:sz w:val="24"/>
                <w:szCs w:val="24"/>
              </w:rPr>
            </w:pPr>
            <w:r>
              <w:rPr>
                <w:b/>
                <w:bCs/>
                <w:i/>
                <w:iCs/>
                <w:sz w:val="24"/>
                <w:szCs w:val="24"/>
              </w:rPr>
              <w:t>EI 30</w:t>
            </w:r>
          </w:p>
        </w:tc>
        <w:tc>
          <w:tcPr>
            <w:tcW w:w="1573" w:type="pct"/>
          </w:tcPr>
          <w:p w14:paraId="47202A8D" w14:textId="77777777" w:rsidR="001C08A5" w:rsidRDefault="00000000">
            <w:pPr>
              <w:widowControl w:val="0"/>
              <w:jc w:val="center"/>
              <w:rPr>
                <w:b/>
                <w:bCs/>
                <w:i/>
                <w:iCs/>
                <w:sz w:val="24"/>
                <w:szCs w:val="24"/>
              </w:rPr>
            </w:pPr>
            <w:r>
              <w:rPr>
                <w:b/>
                <w:i/>
                <w:iCs/>
                <w:spacing w:val="2"/>
                <w:sz w:val="24"/>
                <w:szCs w:val="24"/>
              </w:rPr>
              <w:t>EI</w:t>
            </w:r>
            <w:r>
              <w:rPr>
                <w:b/>
                <w:i/>
                <w:iCs/>
                <w:spacing w:val="2"/>
                <w:sz w:val="24"/>
                <w:szCs w:val="24"/>
                <w:vertAlign w:val="subscript"/>
              </w:rPr>
              <w:t>2</w:t>
            </w:r>
            <w:r>
              <w:rPr>
                <w:b/>
                <w:i/>
                <w:iCs/>
                <w:spacing w:val="2"/>
                <w:sz w:val="24"/>
                <w:szCs w:val="24"/>
              </w:rPr>
              <w:t>20-C1</w:t>
            </w:r>
          </w:p>
        </w:tc>
      </w:tr>
      <w:tr w:rsidR="001C08A5" w14:paraId="0B5665E0" w14:textId="77777777">
        <w:trPr>
          <w:trHeight w:val="281"/>
          <w:jc w:val="center"/>
        </w:trPr>
        <w:tc>
          <w:tcPr>
            <w:tcW w:w="670" w:type="pct"/>
          </w:tcPr>
          <w:p w14:paraId="7095CD57" w14:textId="77777777" w:rsidR="001C08A5" w:rsidRDefault="00000000">
            <w:pPr>
              <w:widowControl w:val="0"/>
              <w:jc w:val="center"/>
              <w:rPr>
                <w:b/>
                <w:bCs/>
                <w:i/>
                <w:iCs/>
                <w:sz w:val="24"/>
                <w:szCs w:val="24"/>
              </w:rPr>
            </w:pPr>
            <w:r>
              <w:rPr>
                <w:b/>
                <w:i/>
                <w:iCs/>
                <w:sz w:val="24"/>
                <w:szCs w:val="24"/>
              </w:rPr>
              <w:t>V</w:t>
            </w:r>
          </w:p>
        </w:tc>
        <w:tc>
          <w:tcPr>
            <w:tcW w:w="1081" w:type="pct"/>
          </w:tcPr>
          <w:p w14:paraId="3DF38641" w14:textId="77777777" w:rsidR="001C08A5" w:rsidRDefault="00000000">
            <w:pPr>
              <w:widowControl w:val="0"/>
              <w:tabs>
                <w:tab w:val="left" w:pos="215"/>
                <w:tab w:val="center" w:pos="932"/>
              </w:tabs>
              <w:rPr>
                <w:b/>
                <w:bCs/>
                <w:i/>
                <w:iCs/>
                <w:sz w:val="24"/>
                <w:szCs w:val="24"/>
              </w:rPr>
            </w:pPr>
            <w:r>
              <w:rPr>
                <w:b/>
                <w:bCs/>
                <w:i/>
                <w:iCs/>
                <w:sz w:val="24"/>
                <w:szCs w:val="24"/>
              </w:rPr>
              <w:tab/>
            </w:r>
            <w:r>
              <w:rPr>
                <w:b/>
                <w:bCs/>
                <w:i/>
                <w:iCs/>
                <w:sz w:val="24"/>
                <w:szCs w:val="24"/>
              </w:rPr>
              <w:tab/>
              <w:t>Bs3d0</w:t>
            </w:r>
          </w:p>
        </w:tc>
        <w:tc>
          <w:tcPr>
            <w:tcW w:w="769" w:type="pct"/>
          </w:tcPr>
          <w:p w14:paraId="42724AFF" w14:textId="77777777" w:rsidR="001C08A5" w:rsidRDefault="00000000">
            <w:pPr>
              <w:widowControl w:val="0"/>
              <w:jc w:val="center"/>
              <w:rPr>
                <w:b/>
                <w:bCs/>
                <w:i/>
                <w:iCs/>
                <w:sz w:val="24"/>
                <w:szCs w:val="24"/>
              </w:rPr>
            </w:pPr>
            <w:r>
              <w:rPr>
                <w:b/>
                <w:bCs/>
                <w:i/>
                <w:iCs/>
                <w:sz w:val="24"/>
                <w:szCs w:val="24"/>
              </w:rPr>
              <w:t>R 15</w:t>
            </w:r>
          </w:p>
        </w:tc>
        <w:tc>
          <w:tcPr>
            <w:tcW w:w="906" w:type="pct"/>
          </w:tcPr>
          <w:p w14:paraId="35B3FB3E" w14:textId="77777777" w:rsidR="001C08A5" w:rsidRDefault="00000000">
            <w:pPr>
              <w:widowControl w:val="0"/>
              <w:jc w:val="center"/>
              <w:rPr>
                <w:b/>
                <w:bCs/>
                <w:i/>
                <w:iCs/>
                <w:sz w:val="24"/>
                <w:szCs w:val="24"/>
              </w:rPr>
            </w:pPr>
            <w:r>
              <w:rPr>
                <w:b/>
                <w:bCs/>
                <w:i/>
                <w:iCs/>
                <w:sz w:val="24"/>
                <w:szCs w:val="24"/>
              </w:rPr>
              <w:t>EI 15</w:t>
            </w:r>
          </w:p>
        </w:tc>
        <w:tc>
          <w:tcPr>
            <w:tcW w:w="1573" w:type="pct"/>
          </w:tcPr>
          <w:p w14:paraId="54BA54DC" w14:textId="77777777" w:rsidR="001C08A5" w:rsidRDefault="00000000">
            <w:pPr>
              <w:widowControl w:val="0"/>
              <w:jc w:val="center"/>
              <w:rPr>
                <w:b/>
                <w:bCs/>
                <w:i/>
                <w:iCs/>
                <w:sz w:val="24"/>
                <w:szCs w:val="24"/>
              </w:rPr>
            </w:pPr>
            <w:r>
              <w:rPr>
                <w:b/>
                <w:i/>
                <w:iCs/>
                <w:spacing w:val="2"/>
                <w:sz w:val="24"/>
                <w:szCs w:val="24"/>
              </w:rPr>
              <w:t>EI</w:t>
            </w:r>
            <w:r>
              <w:rPr>
                <w:b/>
                <w:i/>
                <w:iCs/>
                <w:spacing w:val="2"/>
                <w:sz w:val="24"/>
                <w:szCs w:val="24"/>
                <w:vertAlign w:val="subscript"/>
              </w:rPr>
              <w:t>2</w:t>
            </w:r>
            <w:r>
              <w:rPr>
                <w:b/>
                <w:i/>
                <w:iCs/>
                <w:spacing w:val="2"/>
                <w:sz w:val="24"/>
                <w:szCs w:val="24"/>
              </w:rPr>
              <w:t>15-C1</w:t>
            </w:r>
          </w:p>
        </w:tc>
      </w:tr>
    </w:tbl>
    <w:p w14:paraId="0C8EEFB6" w14:textId="77777777" w:rsidR="001C08A5" w:rsidRDefault="001C08A5">
      <w:pPr>
        <w:ind w:firstLine="720"/>
        <w:jc w:val="both"/>
        <w:rPr>
          <w:b/>
          <w:bCs/>
          <w:sz w:val="24"/>
          <w:szCs w:val="24"/>
        </w:rPr>
      </w:pPr>
    </w:p>
    <w:p w14:paraId="628EC878" w14:textId="77777777" w:rsidR="001C08A5" w:rsidRDefault="00000000">
      <w:pPr>
        <w:ind w:firstLine="705"/>
        <w:jc w:val="both"/>
        <w:rPr>
          <w:sz w:val="24"/>
          <w:szCs w:val="24"/>
        </w:rPr>
      </w:pPr>
      <w:r>
        <w:rPr>
          <w:b/>
          <w:sz w:val="24"/>
          <w:szCs w:val="24"/>
        </w:rPr>
        <w:t xml:space="preserve">Art. </w:t>
      </w:r>
      <w:r>
        <w:rPr>
          <w:b/>
          <w:caps/>
          <w:sz w:val="24"/>
          <w:szCs w:val="24"/>
        </w:rPr>
        <w:t>3.1.2.</w:t>
      </w:r>
      <w:r>
        <w:rPr>
          <w:b/>
          <w:sz w:val="24"/>
          <w:szCs w:val="24"/>
        </w:rPr>
        <w:t>9.</w:t>
      </w:r>
      <w:r>
        <w:rPr>
          <w:b/>
          <w:sz w:val="24"/>
          <w:szCs w:val="24"/>
        </w:rPr>
        <w:tab/>
        <w:t xml:space="preserve">(1) </w:t>
      </w:r>
      <w:r>
        <w:rPr>
          <w:sz w:val="24"/>
          <w:szCs w:val="24"/>
        </w:rPr>
        <w:t xml:space="preserve">Mansardarea construcţiilor civile supraterane se asigură  prin realizarea de tronsoane ale clădirii, prevăzute cu pereți de sectorizare rezistenţi la foc minimum </w:t>
      </w:r>
      <w:r>
        <w:rPr>
          <w:b/>
          <w:bCs/>
          <w:sz w:val="24"/>
          <w:szCs w:val="24"/>
        </w:rPr>
        <w:t>A1, A2-s1d0</w:t>
      </w:r>
      <w:r>
        <w:rPr>
          <w:sz w:val="24"/>
          <w:szCs w:val="24"/>
        </w:rPr>
        <w:t>, astfel:</w:t>
      </w:r>
    </w:p>
    <w:p w14:paraId="1AAD9C02" w14:textId="77777777" w:rsidR="001C08A5" w:rsidRDefault="00000000">
      <w:pPr>
        <w:numPr>
          <w:ilvl w:val="0"/>
          <w:numId w:val="67"/>
        </w:numPr>
        <w:jc w:val="both"/>
        <w:rPr>
          <w:sz w:val="24"/>
          <w:szCs w:val="24"/>
        </w:rPr>
      </w:pPr>
      <w:r>
        <w:rPr>
          <w:b/>
          <w:sz w:val="24"/>
          <w:szCs w:val="24"/>
        </w:rPr>
        <w:t>EI/REI 120</w:t>
      </w:r>
      <w:r>
        <w:rPr>
          <w:sz w:val="24"/>
          <w:szCs w:val="24"/>
        </w:rPr>
        <w:t xml:space="preserve">, la construcţiile cu nivelul de stabilitate la incendiu </w:t>
      </w:r>
      <w:r>
        <w:rPr>
          <w:b/>
          <w:sz w:val="24"/>
          <w:szCs w:val="24"/>
        </w:rPr>
        <w:t>I</w:t>
      </w:r>
      <w:r>
        <w:rPr>
          <w:sz w:val="24"/>
          <w:szCs w:val="24"/>
        </w:rPr>
        <w:t xml:space="preserve">; </w:t>
      </w:r>
    </w:p>
    <w:p w14:paraId="1146A83C" w14:textId="77777777" w:rsidR="001C08A5" w:rsidRDefault="00000000">
      <w:pPr>
        <w:numPr>
          <w:ilvl w:val="0"/>
          <w:numId w:val="67"/>
        </w:numPr>
        <w:jc w:val="both"/>
        <w:rPr>
          <w:sz w:val="24"/>
          <w:szCs w:val="24"/>
        </w:rPr>
      </w:pPr>
      <w:r>
        <w:rPr>
          <w:b/>
          <w:sz w:val="24"/>
          <w:szCs w:val="24"/>
        </w:rPr>
        <w:lastRenderedPageBreak/>
        <w:t>EI/REI 90</w:t>
      </w:r>
      <w:r>
        <w:rPr>
          <w:sz w:val="24"/>
          <w:szCs w:val="24"/>
        </w:rPr>
        <w:t xml:space="preserve">, la construcţiile cu nivelul de stabilitate la incendiu </w:t>
      </w:r>
      <w:r>
        <w:rPr>
          <w:b/>
          <w:sz w:val="24"/>
          <w:szCs w:val="24"/>
        </w:rPr>
        <w:t>II</w:t>
      </w:r>
    </w:p>
    <w:p w14:paraId="5EB0BF6A" w14:textId="77777777" w:rsidR="001C08A5" w:rsidRDefault="00000000">
      <w:pPr>
        <w:numPr>
          <w:ilvl w:val="0"/>
          <w:numId w:val="67"/>
        </w:numPr>
        <w:jc w:val="both"/>
        <w:rPr>
          <w:sz w:val="24"/>
          <w:szCs w:val="24"/>
        </w:rPr>
      </w:pPr>
      <w:r>
        <w:rPr>
          <w:b/>
          <w:sz w:val="24"/>
          <w:szCs w:val="24"/>
        </w:rPr>
        <w:t>EI/REI 60</w:t>
      </w:r>
      <w:r>
        <w:rPr>
          <w:sz w:val="24"/>
          <w:szCs w:val="24"/>
        </w:rPr>
        <w:t xml:space="preserve">, la construcţiile cu nivelul de stabilitate la incendiu </w:t>
      </w:r>
      <w:r>
        <w:rPr>
          <w:b/>
          <w:sz w:val="24"/>
          <w:szCs w:val="24"/>
        </w:rPr>
        <w:t>III</w:t>
      </w:r>
      <w:r>
        <w:rPr>
          <w:sz w:val="24"/>
          <w:szCs w:val="24"/>
        </w:rPr>
        <w:t>;</w:t>
      </w:r>
    </w:p>
    <w:p w14:paraId="3DAC397F" w14:textId="77777777" w:rsidR="001C08A5" w:rsidRDefault="00000000">
      <w:pPr>
        <w:numPr>
          <w:ilvl w:val="0"/>
          <w:numId w:val="67"/>
        </w:numPr>
        <w:jc w:val="both"/>
        <w:rPr>
          <w:sz w:val="24"/>
          <w:szCs w:val="24"/>
        </w:rPr>
      </w:pPr>
      <w:r>
        <w:rPr>
          <w:b/>
          <w:sz w:val="24"/>
          <w:szCs w:val="24"/>
        </w:rPr>
        <w:t>EI/REI 30</w:t>
      </w:r>
      <w:r>
        <w:rPr>
          <w:sz w:val="24"/>
          <w:szCs w:val="24"/>
        </w:rPr>
        <w:t xml:space="preserve">, la construcţiile cu nivelul de stabilitate la incendiu </w:t>
      </w:r>
      <w:r>
        <w:rPr>
          <w:b/>
          <w:sz w:val="24"/>
          <w:szCs w:val="24"/>
        </w:rPr>
        <w:t>IV</w:t>
      </w:r>
    </w:p>
    <w:p w14:paraId="13269DDF" w14:textId="77777777" w:rsidR="001C08A5" w:rsidRDefault="00000000">
      <w:pPr>
        <w:numPr>
          <w:ilvl w:val="0"/>
          <w:numId w:val="67"/>
        </w:numPr>
        <w:jc w:val="both"/>
        <w:rPr>
          <w:sz w:val="24"/>
          <w:szCs w:val="24"/>
        </w:rPr>
      </w:pPr>
      <w:r>
        <w:rPr>
          <w:b/>
          <w:sz w:val="24"/>
          <w:szCs w:val="24"/>
        </w:rPr>
        <w:t>EI/REI 15</w:t>
      </w:r>
      <w:r>
        <w:rPr>
          <w:sz w:val="24"/>
          <w:szCs w:val="24"/>
        </w:rPr>
        <w:t xml:space="preserve">, la construcţiile cu nivelul de stabilitate la incendiu </w:t>
      </w:r>
      <w:r>
        <w:rPr>
          <w:b/>
          <w:sz w:val="24"/>
          <w:szCs w:val="24"/>
        </w:rPr>
        <w:t>IV</w:t>
      </w:r>
      <w:r>
        <w:rPr>
          <w:sz w:val="24"/>
          <w:szCs w:val="24"/>
        </w:rPr>
        <w:t xml:space="preserve"> sau </w:t>
      </w:r>
      <w:r>
        <w:rPr>
          <w:b/>
          <w:sz w:val="24"/>
          <w:szCs w:val="24"/>
        </w:rPr>
        <w:t>V</w:t>
      </w:r>
      <w:r>
        <w:rPr>
          <w:sz w:val="24"/>
          <w:szCs w:val="24"/>
        </w:rPr>
        <w:t>.</w:t>
      </w:r>
    </w:p>
    <w:p w14:paraId="4B833A98" w14:textId="77777777" w:rsidR="001C08A5" w:rsidRDefault="00000000">
      <w:pPr>
        <w:ind w:firstLine="705"/>
        <w:jc w:val="both"/>
        <w:rPr>
          <w:b/>
          <w:sz w:val="24"/>
          <w:szCs w:val="24"/>
        </w:rPr>
      </w:pPr>
      <w:r>
        <w:rPr>
          <w:b/>
          <w:sz w:val="24"/>
          <w:szCs w:val="24"/>
        </w:rPr>
        <w:t xml:space="preserve">(2) </w:t>
      </w:r>
      <w:r>
        <w:rPr>
          <w:sz w:val="24"/>
          <w:szCs w:val="24"/>
        </w:rPr>
        <w:t>Mansardarea construcţiilor civile supraterane (realizarea unui nivel funcţional în volumul podului), este admisă dacă pereţii de sectorizare rezistenţi la foc depăşesc cu minimum (</w:t>
      </w:r>
      <w:r>
        <w:rPr>
          <w:rFonts w:cs="Mangal"/>
          <w:b/>
          <w:i/>
          <w:iCs/>
          <w:sz w:val="24"/>
          <w:szCs w:val="24"/>
        </w:rPr>
        <w:fldChar w:fldCharType="begin"/>
      </w:r>
      <w:r>
        <w:rPr>
          <w:rFonts w:cs="Mangal"/>
          <w:b/>
          <w:i/>
          <w:iCs/>
          <w:sz w:val="24"/>
          <w:szCs w:val="24"/>
        </w:rPr>
        <w:instrText xml:space="preserve"> REF _Ref19988 \h </w:instrText>
      </w:r>
      <w:r>
        <w:rPr>
          <w:rFonts w:cs="Mangal"/>
          <w:b/>
          <w:i/>
          <w:iCs/>
          <w:sz w:val="24"/>
          <w:szCs w:val="24"/>
        </w:rPr>
      </w:r>
      <w:r>
        <w:rPr>
          <w:rFonts w:cs="Mangal"/>
          <w:b/>
          <w:i/>
          <w:iCs/>
          <w:sz w:val="24"/>
          <w:szCs w:val="24"/>
        </w:rPr>
        <w:fldChar w:fldCharType="separate"/>
      </w:r>
      <w:r>
        <w:t>Figura 66</w:t>
      </w:r>
      <w:r>
        <w:rPr>
          <w:rFonts w:cs="Mangal"/>
          <w:b/>
          <w:i/>
          <w:iCs/>
          <w:sz w:val="24"/>
          <w:szCs w:val="24"/>
        </w:rPr>
        <w:fldChar w:fldCharType="end"/>
      </w:r>
      <w:r>
        <w:rPr>
          <w:sz w:val="24"/>
          <w:szCs w:val="24"/>
        </w:rPr>
        <w:t xml:space="preserve">):  </w:t>
      </w:r>
    </w:p>
    <w:p w14:paraId="046BB71C" w14:textId="77777777" w:rsidR="001C08A5" w:rsidRDefault="00000000">
      <w:pPr>
        <w:ind w:left="1440" w:firstLine="705"/>
        <w:jc w:val="both"/>
        <w:rPr>
          <w:sz w:val="24"/>
          <w:szCs w:val="24"/>
        </w:rPr>
      </w:pPr>
      <w:r>
        <w:rPr>
          <w:b/>
          <w:sz w:val="24"/>
          <w:szCs w:val="24"/>
        </w:rPr>
        <w:t xml:space="preserve">- 30 cm </w:t>
      </w:r>
      <w:r>
        <w:rPr>
          <w:sz w:val="24"/>
          <w:szCs w:val="24"/>
        </w:rPr>
        <w:t xml:space="preserve">(măsurat pe verticală), faţă de orice astfel de element combustibil al acoperişurilor și al luminatoarelor aflate la mai puţin de patru </w:t>
      </w:r>
      <w:r>
        <w:rPr>
          <w:b/>
          <w:sz w:val="24"/>
          <w:szCs w:val="24"/>
        </w:rPr>
        <w:t>4 m</w:t>
      </w:r>
      <w:r>
        <w:rPr>
          <w:sz w:val="24"/>
          <w:szCs w:val="24"/>
        </w:rPr>
        <w:t xml:space="preserve"> distanţă de peretele de sectorizare, inclusiv a acoperişurilor cu suport din tablă și termoizolaţie care nu sunt clasa de reacţie la foc </w:t>
      </w:r>
      <w:r>
        <w:rPr>
          <w:b/>
          <w:sz w:val="24"/>
          <w:szCs w:val="24"/>
        </w:rPr>
        <w:t xml:space="preserve">A1 </w:t>
      </w:r>
      <w:r>
        <w:rPr>
          <w:sz w:val="24"/>
          <w:szCs w:val="24"/>
        </w:rPr>
        <w:t>sau</w:t>
      </w:r>
      <w:r>
        <w:rPr>
          <w:b/>
          <w:sz w:val="24"/>
          <w:szCs w:val="24"/>
        </w:rPr>
        <w:t xml:space="preserve"> A2-s1d0</w:t>
      </w:r>
      <w:r>
        <w:rPr>
          <w:sz w:val="24"/>
          <w:szCs w:val="24"/>
        </w:rPr>
        <w:t xml:space="preserve">; </w:t>
      </w:r>
    </w:p>
    <w:p w14:paraId="335C5123" w14:textId="77777777" w:rsidR="001C08A5" w:rsidRDefault="00000000">
      <w:pPr>
        <w:ind w:left="1440" w:firstLine="705"/>
        <w:jc w:val="both"/>
        <w:rPr>
          <w:sz w:val="24"/>
          <w:szCs w:val="24"/>
        </w:rPr>
      </w:pPr>
      <w:r>
        <w:rPr>
          <w:sz w:val="24"/>
          <w:szCs w:val="24"/>
        </w:rPr>
        <w:t xml:space="preserve"> - </w:t>
      </w:r>
      <w:r>
        <w:rPr>
          <w:b/>
          <w:bCs/>
          <w:sz w:val="24"/>
          <w:szCs w:val="24"/>
        </w:rPr>
        <w:t>30 cm</w:t>
      </w:r>
      <w:r>
        <w:rPr>
          <w:sz w:val="24"/>
          <w:szCs w:val="24"/>
        </w:rPr>
        <w:t xml:space="preserve"> (măsurat pe verticală), față de planul exterior al acoperişurilor care nu sunt realizate exclusiv din componente substanțiale cu clasa de reacţie la foc </w:t>
      </w:r>
      <w:r>
        <w:rPr>
          <w:b/>
          <w:bCs/>
          <w:sz w:val="24"/>
          <w:szCs w:val="24"/>
        </w:rPr>
        <w:t>A1</w:t>
      </w:r>
      <w:r>
        <w:rPr>
          <w:sz w:val="24"/>
          <w:szCs w:val="24"/>
        </w:rPr>
        <w:t xml:space="preserve"> sau </w:t>
      </w:r>
      <w:r>
        <w:rPr>
          <w:b/>
          <w:bCs/>
          <w:sz w:val="24"/>
          <w:szCs w:val="24"/>
        </w:rPr>
        <w:t>A2-s1d0</w:t>
      </w:r>
      <w:r>
        <w:rPr>
          <w:sz w:val="24"/>
          <w:szCs w:val="24"/>
        </w:rPr>
        <w:t xml:space="preserve"> pe care le intersectează;</w:t>
      </w:r>
    </w:p>
    <w:p w14:paraId="77A18CBE" w14:textId="77777777" w:rsidR="001C08A5" w:rsidRDefault="00000000">
      <w:pPr>
        <w:ind w:left="1440" w:firstLine="705"/>
        <w:jc w:val="both"/>
        <w:rPr>
          <w:sz w:val="24"/>
          <w:szCs w:val="24"/>
        </w:rPr>
      </w:pPr>
      <w:r>
        <w:rPr>
          <w:sz w:val="24"/>
          <w:szCs w:val="24"/>
        </w:rPr>
        <w:t xml:space="preserve"> - </w:t>
      </w:r>
      <w:r>
        <w:rPr>
          <w:b/>
          <w:bCs/>
          <w:sz w:val="24"/>
          <w:szCs w:val="24"/>
        </w:rPr>
        <w:t>30 cm</w:t>
      </w:r>
      <w:r>
        <w:rPr>
          <w:sz w:val="24"/>
          <w:szCs w:val="24"/>
        </w:rPr>
        <w:t xml:space="preserve"> (măsurat pe verticală), față de planul exterior al luminatoarelor aflate la mai puţin de patru </w:t>
      </w:r>
      <w:r>
        <w:rPr>
          <w:b/>
          <w:sz w:val="24"/>
          <w:szCs w:val="24"/>
        </w:rPr>
        <w:t>4 m</w:t>
      </w:r>
      <w:r>
        <w:rPr>
          <w:sz w:val="24"/>
          <w:szCs w:val="24"/>
        </w:rPr>
        <w:t xml:space="preserve"> distanţă de peretele de sectorizare;</w:t>
      </w:r>
    </w:p>
    <w:p w14:paraId="0BA15DD9" w14:textId="77777777" w:rsidR="001C08A5" w:rsidRDefault="00000000">
      <w:pPr>
        <w:ind w:left="1440" w:firstLine="705"/>
        <w:jc w:val="both"/>
        <w:rPr>
          <w:sz w:val="24"/>
          <w:szCs w:val="24"/>
        </w:rPr>
      </w:pPr>
      <w:r>
        <w:rPr>
          <w:b/>
          <w:sz w:val="24"/>
          <w:szCs w:val="24"/>
        </w:rPr>
        <w:t xml:space="preserve">- 30 cm </w:t>
      </w:r>
      <w:r>
        <w:rPr>
          <w:sz w:val="24"/>
          <w:szCs w:val="24"/>
        </w:rPr>
        <w:t>(măsurat pe orizontală) faţă de pereţii exteriori şi streaşinile care nu sunt realizate exclusiv din componente substanțiale clasa de reacţie la foc</w:t>
      </w:r>
      <w:r>
        <w:rPr>
          <w:b/>
          <w:sz w:val="24"/>
          <w:szCs w:val="24"/>
        </w:rPr>
        <w:t xml:space="preserve"> A1 </w:t>
      </w:r>
      <w:r>
        <w:rPr>
          <w:sz w:val="24"/>
          <w:szCs w:val="24"/>
        </w:rPr>
        <w:t>sau</w:t>
      </w:r>
      <w:r>
        <w:rPr>
          <w:b/>
          <w:sz w:val="24"/>
          <w:szCs w:val="24"/>
        </w:rPr>
        <w:t xml:space="preserve"> A2-s1d0</w:t>
      </w:r>
      <w:r>
        <w:rPr>
          <w:sz w:val="24"/>
          <w:szCs w:val="24"/>
        </w:rPr>
        <w:t>;</w:t>
      </w:r>
    </w:p>
    <w:p w14:paraId="4899F505" w14:textId="77777777" w:rsidR="001C08A5" w:rsidRDefault="001C08A5">
      <w:pPr>
        <w:jc w:val="both"/>
        <w:rPr>
          <w:spacing w:val="2"/>
          <w:sz w:val="24"/>
          <w:szCs w:val="24"/>
        </w:rPr>
      </w:pPr>
    </w:p>
    <w:p w14:paraId="55599A94" w14:textId="77777777" w:rsidR="001C08A5" w:rsidRDefault="00000000">
      <w:pPr>
        <w:jc w:val="center"/>
      </w:pPr>
      <w:r>
        <w:rPr>
          <w:noProof/>
        </w:rPr>
        <w:drawing>
          <wp:inline distT="0" distB="0" distL="114300" distR="114300" wp14:anchorId="5598A142" wp14:editId="5B6F4C33">
            <wp:extent cx="5992495" cy="2309495"/>
            <wp:effectExtent l="0" t="0" r="0" b="0"/>
            <wp:docPr id="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1"/>
                    <pic:cNvPicPr>
                      <a:picLocks noChangeAspect="1"/>
                    </pic:cNvPicPr>
                  </pic:nvPicPr>
                  <pic:blipFill>
                    <a:blip r:embed="rId179"/>
                    <a:srcRect l="12736" t="14589" r="7882" b="6688"/>
                    <a:stretch>
                      <a:fillRect/>
                    </a:stretch>
                  </pic:blipFill>
                  <pic:spPr>
                    <a:xfrm>
                      <a:off x="0" y="0"/>
                      <a:ext cx="5992495" cy="23094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1"/>
        <w:gridCol w:w="3209"/>
        <w:gridCol w:w="3219"/>
      </w:tblGrid>
      <w:tr w:rsidR="001C08A5" w14:paraId="2CAD3FA2" w14:textId="77777777">
        <w:tc>
          <w:tcPr>
            <w:tcW w:w="3285" w:type="dxa"/>
          </w:tcPr>
          <w:p w14:paraId="698C10D5" w14:textId="77777777" w:rsidR="001C08A5" w:rsidRDefault="00000000">
            <w:pPr>
              <w:jc w:val="center"/>
              <w:rPr>
                <w:i/>
                <w:iCs/>
                <w:sz w:val="22"/>
                <w:szCs w:val="22"/>
              </w:rPr>
            </w:pPr>
            <w:r>
              <w:rPr>
                <w:b/>
                <w:bCs/>
                <w:i/>
                <w:iCs/>
                <w:sz w:val="22"/>
                <w:szCs w:val="22"/>
              </w:rPr>
              <w:t>Varianta a.1)</w:t>
            </w:r>
            <w:r>
              <w:rPr>
                <w:i/>
                <w:iCs/>
                <w:sz w:val="22"/>
                <w:szCs w:val="22"/>
              </w:rPr>
              <w:t xml:space="preserve"> - Plan nivel </w:t>
            </w:r>
          </w:p>
          <w:p w14:paraId="3D6E98E4" w14:textId="77777777" w:rsidR="001C08A5" w:rsidRDefault="00000000">
            <w:pPr>
              <w:jc w:val="center"/>
              <w:rPr>
                <w:i/>
                <w:iCs/>
                <w:sz w:val="22"/>
                <w:szCs w:val="22"/>
              </w:rPr>
            </w:pPr>
            <w:r>
              <w:rPr>
                <w:i/>
                <w:iCs/>
                <w:sz w:val="22"/>
                <w:szCs w:val="22"/>
              </w:rPr>
              <w:t>curent și plan mansardă</w:t>
            </w:r>
          </w:p>
        </w:tc>
        <w:tc>
          <w:tcPr>
            <w:tcW w:w="3285" w:type="dxa"/>
          </w:tcPr>
          <w:p w14:paraId="56EC30AD" w14:textId="77777777" w:rsidR="001C08A5" w:rsidRDefault="00000000">
            <w:pPr>
              <w:jc w:val="center"/>
              <w:rPr>
                <w:i/>
                <w:iCs/>
                <w:sz w:val="22"/>
                <w:szCs w:val="22"/>
              </w:rPr>
            </w:pPr>
            <w:r>
              <w:rPr>
                <w:b/>
                <w:bCs/>
                <w:i/>
                <w:iCs/>
                <w:sz w:val="22"/>
                <w:szCs w:val="22"/>
              </w:rPr>
              <w:t>Varianta a.1)</w:t>
            </w:r>
            <w:r>
              <w:rPr>
                <w:i/>
                <w:iCs/>
                <w:sz w:val="22"/>
                <w:szCs w:val="22"/>
              </w:rPr>
              <w:t xml:space="preserve"> - Secțiune</w:t>
            </w:r>
          </w:p>
        </w:tc>
        <w:tc>
          <w:tcPr>
            <w:tcW w:w="3285" w:type="dxa"/>
          </w:tcPr>
          <w:p w14:paraId="3E14527C" w14:textId="77777777" w:rsidR="001C08A5" w:rsidRDefault="00000000">
            <w:pPr>
              <w:jc w:val="center"/>
              <w:rPr>
                <w:i/>
                <w:iCs/>
                <w:sz w:val="22"/>
                <w:szCs w:val="22"/>
              </w:rPr>
            </w:pPr>
            <w:r>
              <w:rPr>
                <w:b/>
                <w:bCs/>
                <w:i/>
                <w:iCs/>
                <w:sz w:val="22"/>
                <w:szCs w:val="22"/>
              </w:rPr>
              <w:t>Varianta a.1)</w:t>
            </w:r>
            <w:r>
              <w:rPr>
                <w:i/>
                <w:iCs/>
                <w:sz w:val="22"/>
                <w:szCs w:val="22"/>
              </w:rPr>
              <w:t xml:space="preserve"> - Axonometrie</w:t>
            </w:r>
          </w:p>
        </w:tc>
      </w:tr>
    </w:tbl>
    <w:p w14:paraId="0D6EE280" w14:textId="77777777" w:rsidR="001C08A5" w:rsidRDefault="00000000">
      <w:pPr>
        <w:jc w:val="center"/>
        <w:rPr>
          <w:i/>
          <w:iCs/>
          <w:sz w:val="22"/>
          <w:szCs w:val="22"/>
        </w:rPr>
      </w:pPr>
      <w:r>
        <w:rPr>
          <w:b/>
          <w:bCs/>
          <w:i/>
          <w:iCs/>
          <w:sz w:val="22"/>
          <w:szCs w:val="22"/>
        </w:rPr>
        <w:t>Varianta a.1)</w:t>
      </w:r>
      <w:r>
        <w:rPr>
          <w:i/>
          <w:iCs/>
          <w:sz w:val="22"/>
          <w:szCs w:val="22"/>
        </w:rPr>
        <w:t xml:space="preserve"> - tronsonare paralelă cu linia pantei la nivelul mansardei - depășire cu minimum </w:t>
      </w:r>
      <w:r>
        <w:rPr>
          <w:b/>
          <w:bCs/>
          <w:i/>
          <w:iCs/>
          <w:sz w:val="22"/>
          <w:szCs w:val="22"/>
        </w:rPr>
        <w:t>30 cm</w:t>
      </w:r>
      <w:r>
        <w:rPr>
          <w:i/>
          <w:iCs/>
          <w:sz w:val="22"/>
          <w:szCs w:val="22"/>
        </w:rPr>
        <w:t xml:space="preserve"> (măsurat pe verticală), faţă de orice element combustibil al acoperişurilor prin pereți rezistenți la foc  </w:t>
      </w:r>
    </w:p>
    <w:p w14:paraId="71F40843" w14:textId="77777777" w:rsidR="001C08A5" w:rsidRDefault="00000000">
      <w:pPr>
        <w:jc w:val="center"/>
      </w:pPr>
      <w:r>
        <w:rPr>
          <w:i/>
          <w:iCs/>
          <w:sz w:val="22"/>
          <w:szCs w:val="22"/>
        </w:rPr>
        <w:t xml:space="preserve">Legendă </w:t>
      </w:r>
      <w:r>
        <w:rPr>
          <w:b/>
          <w:bCs/>
          <w:i/>
          <w:iCs/>
          <w:sz w:val="22"/>
          <w:szCs w:val="22"/>
        </w:rPr>
        <w:t>Fig. 67 varianta a.1)</w:t>
      </w:r>
      <w:r>
        <w:rPr>
          <w:i/>
          <w:iCs/>
          <w:sz w:val="22"/>
          <w:szCs w:val="22"/>
        </w:rPr>
        <w:t xml:space="preserve">: </w:t>
      </w:r>
      <w:r>
        <w:rPr>
          <w:b/>
          <w:bCs/>
          <w:i/>
          <w:iCs/>
          <w:sz w:val="22"/>
          <w:szCs w:val="22"/>
        </w:rPr>
        <w:t>1</w:t>
      </w:r>
      <w:r>
        <w:rPr>
          <w:i/>
          <w:iCs/>
          <w:sz w:val="22"/>
          <w:szCs w:val="22"/>
        </w:rPr>
        <w:t xml:space="preserve"> și </w:t>
      </w:r>
      <w:r>
        <w:rPr>
          <w:b/>
          <w:bCs/>
          <w:i/>
          <w:iCs/>
          <w:sz w:val="22"/>
          <w:szCs w:val="22"/>
        </w:rPr>
        <w:t>2</w:t>
      </w:r>
      <w:r>
        <w:rPr>
          <w:i/>
          <w:iCs/>
          <w:sz w:val="22"/>
          <w:szCs w:val="22"/>
        </w:rPr>
        <w:t xml:space="preserve"> - tronsoane cu aria conform </w:t>
      </w:r>
      <w:r>
        <w:rPr>
          <w:b/>
          <w:bCs/>
          <w:i/>
          <w:iCs/>
          <w:sz w:val="22"/>
          <w:szCs w:val="22"/>
        </w:rPr>
        <w:t>Art. 3.1.2.9.(3</w:t>
      </w:r>
      <w:r>
        <w:rPr>
          <w:i/>
          <w:iCs/>
          <w:sz w:val="22"/>
          <w:szCs w:val="22"/>
        </w:rPr>
        <w:t xml:space="preserve">); </w:t>
      </w:r>
      <w:r>
        <w:rPr>
          <w:b/>
          <w:bCs/>
          <w:i/>
          <w:iCs/>
          <w:sz w:val="22"/>
          <w:szCs w:val="22"/>
        </w:rPr>
        <w:t>3</w:t>
      </w:r>
      <w:r>
        <w:rPr>
          <w:i/>
          <w:iCs/>
          <w:sz w:val="22"/>
          <w:szCs w:val="22"/>
        </w:rPr>
        <w:t xml:space="preserve"> - pereți rezistenți la foc conform </w:t>
      </w:r>
      <w:r>
        <w:rPr>
          <w:b/>
          <w:bCs/>
          <w:i/>
          <w:iCs/>
          <w:sz w:val="22"/>
          <w:szCs w:val="22"/>
        </w:rPr>
        <w:t>Art. 3.1.2.9.(1</w:t>
      </w:r>
      <w:r>
        <w:rPr>
          <w:i/>
          <w:iCs/>
          <w:sz w:val="22"/>
          <w:szCs w:val="22"/>
        </w:rPr>
        <w:t>) care secționează planul mansardei</w:t>
      </w:r>
    </w:p>
    <w:p w14:paraId="39EDE249" w14:textId="77777777" w:rsidR="001C08A5" w:rsidRDefault="00000000">
      <w:pPr>
        <w:jc w:val="center"/>
      </w:pPr>
      <w:r>
        <w:rPr>
          <w:noProof/>
        </w:rPr>
        <w:drawing>
          <wp:inline distT="0" distB="0" distL="114300" distR="114300" wp14:anchorId="57CB1798" wp14:editId="2554FE9B">
            <wp:extent cx="5974715" cy="2346960"/>
            <wp:effectExtent l="0" t="0" r="6985" b="15240"/>
            <wp:docPr id="4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2"/>
                    <pic:cNvPicPr>
                      <a:picLocks noChangeAspect="1"/>
                    </pic:cNvPicPr>
                  </pic:nvPicPr>
                  <pic:blipFill>
                    <a:blip r:embed="rId180"/>
                    <a:srcRect l="13064" t="9459" r="7889" b="10541"/>
                    <a:stretch>
                      <a:fillRect/>
                    </a:stretch>
                  </pic:blipFill>
                  <pic:spPr>
                    <a:xfrm>
                      <a:off x="0" y="0"/>
                      <a:ext cx="5974715" cy="2346960"/>
                    </a:xfrm>
                    <a:prstGeom prst="rect">
                      <a:avLst/>
                    </a:prstGeom>
                    <a:noFill/>
                    <a:ln>
                      <a:noFill/>
                    </a:ln>
                  </pic:spPr>
                </pic:pic>
              </a:graphicData>
            </a:graphic>
          </wp:inline>
        </w:drawing>
      </w:r>
    </w:p>
    <w:tbl>
      <w:tblPr>
        <w:tblW w:w="0" w:type="auto"/>
        <w:tblLook w:val="04A0" w:firstRow="1" w:lastRow="0" w:firstColumn="1" w:lastColumn="0" w:noHBand="0" w:noVBand="1"/>
      </w:tblPr>
      <w:tblGrid>
        <w:gridCol w:w="4817"/>
        <w:gridCol w:w="4822"/>
      </w:tblGrid>
      <w:tr w:rsidR="001C08A5" w14:paraId="5ABD683F" w14:textId="77777777">
        <w:tc>
          <w:tcPr>
            <w:tcW w:w="4927" w:type="dxa"/>
          </w:tcPr>
          <w:p w14:paraId="760ECC61" w14:textId="77777777" w:rsidR="001C08A5" w:rsidRDefault="00000000">
            <w:pPr>
              <w:widowControl w:val="0"/>
              <w:jc w:val="center"/>
            </w:pPr>
            <w:r>
              <w:rPr>
                <w:b/>
                <w:bCs/>
                <w:i/>
                <w:iCs/>
                <w:sz w:val="22"/>
                <w:szCs w:val="22"/>
              </w:rPr>
              <w:t>Varianta a.2)</w:t>
            </w:r>
            <w:r>
              <w:rPr>
                <w:i/>
                <w:iCs/>
                <w:sz w:val="22"/>
                <w:szCs w:val="22"/>
              </w:rPr>
              <w:t xml:space="preserve"> -Plan nivel curent </w:t>
            </w:r>
          </w:p>
        </w:tc>
        <w:tc>
          <w:tcPr>
            <w:tcW w:w="4928" w:type="dxa"/>
          </w:tcPr>
          <w:p w14:paraId="30C3987B" w14:textId="77777777" w:rsidR="001C08A5" w:rsidRDefault="00000000">
            <w:pPr>
              <w:widowControl w:val="0"/>
              <w:jc w:val="center"/>
            </w:pPr>
            <w:r>
              <w:rPr>
                <w:b/>
                <w:bCs/>
                <w:i/>
                <w:iCs/>
                <w:sz w:val="22"/>
                <w:szCs w:val="22"/>
              </w:rPr>
              <w:t>Varianta a.2)</w:t>
            </w:r>
            <w:r>
              <w:rPr>
                <w:i/>
                <w:iCs/>
                <w:sz w:val="22"/>
                <w:szCs w:val="22"/>
              </w:rPr>
              <w:t xml:space="preserve"> -Plan învelitoare</w:t>
            </w:r>
          </w:p>
        </w:tc>
      </w:tr>
    </w:tbl>
    <w:p w14:paraId="2F551041" w14:textId="77777777" w:rsidR="001C08A5" w:rsidRDefault="001C08A5">
      <w:pPr>
        <w:jc w:val="center"/>
      </w:pPr>
    </w:p>
    <w:p w14:paraId="6D5D5F82" w14:textId="77777777" w:rsidR="001C08A5" w:rsidRDefault="00000000">
      <w:pPr>
        <w:jc w:val="center"/>
      </w:pPr>
      <w:r>
        <w:rPr>
          <w:noProof/>
        </w:rPr>
        <w:lastRenderedPageBreak/>
        <w:drawing>
          <wp:inline distT="0" distB="0" distL="114300" distR="114300" wp14:anchorId="48B858B9" wp14:editId="633097EF">
            <wp:extent cx="5983605" cy="3043555"/>
            <wp:effectExtent l="0" t="0" r="17145" b="4445"/>
            <wp:docPr id="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3"/>
                    <pic:cNvPicPr>
                      <a:picLocks noChangeAspect="1"/>
                    </pic:cNvPicPr>
                  </pic:nvPicPr>
                  <pic:blipFill>
                    <a:blip r:embed="rId181"/>
                    <a:srcRect l="12855" t="7596" r="7866"/>
                    <a:stretch>
                      <a:fillRect/>
                    </a:stretch>
                  </pic:blipFill>
                  <pic:spPr>
                    <a:xfrm>
                      <a:off x="0" y="0"/>
                      <a:ext cx="5983605" cy="3043555"/>
                    </a:xfrm>
                    <a:prstGeom prst="rect">
                      <a:avLst/>
                    </a:prstGeom>
                    <a:noFill/>
                    <a:ln>
                      <a:noFill/>
                    </a:ln>
                  </pic:spPr>
                </pic:pic>
              </a:graphicData>
            </a:graphic>
          </wp:inline>
        </w:drawing>
      </w:r>
    </w:p>
    <w:tbl>
      <w:tblPr>
        <w:tblW w:w="0" w:type="auto"/>
        <w:tblLook w:val="04A0" w:firstRow="1" w:lastRow="0" w:firstColumn="1" w:lastColumn="0" w:noHBand="0" w:noVBand="1"/>
      </w:tblPr>
      <w:tblGrid>
        <w:gridCol w:w="4814"/>
        <w:gridCol w:w="4825"/>
      </w:tblGrid>
      <w:tr w:rsidR="001C08A5" w14:paraId="48D5AB5F" w14:textId="77777777">
        <w:tc>
          <w:tcPr>
            <w:tcW w:w="4927" w:type="dxa"/>
          </w:tcPr>
          <w:p w14:paraId="3225EC86" w14:textId="77777777" w:rsidR="001C08A5" w:rsidRDefault="00000000">
            <w:pPr>
              <w:widowControl w:val="0"/>
              <w:jc w:val="center"/>
            </w:pPr>
            <w:r>
              <w:rPr>
                <w:b/>
                <w:bCs/>
                <w:i/>
                <w:iCs/>
                <w:sz w:val="22"/>
                <w:szCs w:val="22"/>
              </w:rPr>
              <w:t>Varianta a.2)</w:t>
            </w:r>
            <w:r>
              <w:rPr>
                <w:i/>
                <w:iCs/>
                <w:sz w:val="22"/>
                <w:szCs w:val="22"/>
              </w:rPr>
              <w:t xml:space="preserve"> - Secțiune </w:t>
            </w:r>
          </w:p>
        </w:tc>
        <w:tc>
          <w:tcPr>
            <w:tcW w:w="4928" w:type="dxa"/>
          </w:tcPr>
          <w:p w14:paraId="73EF928A" w14:textId="77777777" w:rsidR="001C08A5" w:rsidRDefault="00000000">
            <w:pPr>
              <w:widowControl w:val="0"/>
              <w:jc w:val="center"/>
            </w:pPr>
            <w:r>
              <w:rPr>
                <w:b/>
                <w:bCs/>
                <w:i/>
                <w:iCs/>
                <w:sz w:val="22"/>
                <w:szCs w:val="22"/>
              </w:rPr>
              <w:t xml:space="preserve">Varianta a.2) </w:t>
            </w:r>
            <w:r>
              <w:rPr>
                <w:i/>
                <w:iCs/>
                <w:sz w:val="22"/>
                <w:szCs w:val="22"/>
              </w:rPr>
              <w:t>- Axonometrie</w:t>
            </w:r>
          </w:p>
        </w:tc>
      </w:tr>
    </w:tbl>
    <w:p w14:paraId="481C4370" w14:textId="77777777" w:rsidR="001C08A5" w:rsidRDefault="00000000">
      <w:pPr>
        <w:jc w:val="center"/>
      </w:pPr>
      <w:r>
        <w:rPr>
          <w:i/>
          <w:iCs/>
          <w:sz w:val="22"/>
          <w:szCs w:val="22"/>
        </w:rPr>
        <w:t xml:space="preserve">Legendă </w:t>
      </w:r>
      <w:r>
        <w:rPr>
          <w:b/>
          <w:bCs/>
          <w:i/>
          <w:iCs/>
          <w:sz w:val="22"/>
          <w:szCs w:val="22"/>
        </w:rPr>
        <w:t>Fig. 67 varianta a.2)</w:t>
      </w:r>
      <w:r>
        <w:rPr>
          <w:i/>
          <w:iCs/>
          <w:sz w:val="22"/>
          <w:szCs w:val="22"/>
        </w:rPr>
        <w:t xml:space="preserve">: </w:t>
      </w:r>
      <w:r>
        <w:rPr>
          <w:b/>
          <w:bCs/>
          <w:i/>
          <w:iCs/>
          <w:sz w:val="22"/>
          <w:szCs w:val="22"/>
        </w:rPr>
        <w:t>1</w:t>
      </w:r>
      <w:r>
        <w:rPr>
          <w:i/>
          <w:iCs/>
          <w:sz w:val="22"/>
          <w:szCs w:val="22"/>
        </w:rPr>
        <w:t xml:space="preserve"> - pereți rezistenți la foc conform </w:t>
      </w:r>
      <w:r>
        <w:rPr>
          <w:b/>
          <w:bCs/>
          <w:i/>
          <w:iCs/>
          <w:sz w:val="22"/>
          <w:szCs w:val="22"/>
        </w:rPr>
        <w:t>Art. 3.1.2.9.(1</w:t>
      </w:r>
      <w:r>
        <w:rPr>
          <w:i/>
          <w:iCs/>
          <w:sz w:val="22"/>
          <w:szCs w:val="22"/>
        </w:rPr>
        <w:t>) care secționează planul mansardei;</w:t>
      </w:r>
      <w:r>
        <w:rPr>
          <w:b/>
          <w:bCs/>
          <w:i/>
          <w:iCs/>
          <w:sz w:val="22"/>
          <w:szCs w:val="22"/>
        </w:rPr>
        <w:t xml:space="preserve"> 2</w:t>
      </w:r>
      <w:r>
        <w:rPr>
          <w:i/>
          <w:iCs/>
          <w:sz w:val="22"/>
          <w:szCs w:val="22"/>
        </w:rPr>
        <w:t>,</w:t>
      </w:r>
      <w:r>
        <w:rPr>
          <w:b/>
          <w:bCs/>
          <w:i/>
          <w:iCs/>
          <w:sz w:val="22"/>
          <w:szCs w:val="22"/>
        </w:rPr>
        <w:t xml:space="preserve"> 2</w:t>
      </w:r>
      <w:r>
        <w:rPr>
          <w:rFonts w:ascii="Calibri" w:hAnsi="Calibri" w:cs="Calibri"/>
          <w:b/>
          <w:bCs/>
          <w:i/>
          <w:iCs/>
          <w:sz w:val="22"/>
          <w:szCs w:val="22"/>
        </w:rPr>
        <w:t>'</w:t>
      </w:r>
      <w:r>
        <w:rPr>
          <w:i/>
          <w:iCs/>
          <w:sz w:val="22"/>
          <w:szCs w:val="22"/>
        </w:rPr>
        <w:t>,</w:t>
      </w:r>
      <w:r>
        <w:rPr>
          <w:b/>
          <w:bCs/>
          <w:i/>
          <w:iCs/>
          <w:sz w:val="22"/>
          <w:szCs w:val="22"/>
        </w:rPr>
        <w:t xml:space="preserve"> 2</w:t>
      </w:r>
      <w:r>
        <w:rPr>
          <w:rFonts w:ascii="Calibri" w:hAnsi="Calibri" w:cs="Calibri"/>
          <w:b/>
          <w:bCs/>
          <w:i/>
          <w:iCs/>
          <w:sz w:val="22"/>
          <w:szCs w:val="22"/>
        </w:rPr>
        <w:t>''</w:t>
      </w:r>
      <w:r>
        <w:rPr>
          <w:i/>
          <w:iCs/>
          <w:sz w:val="22"/>
          <w:szCs w:val="22"/>
        </w:rPr>
        <w:t xml:space="preserve"> - tronsoane cu aria conform </w:t>
      </w:r>
      <w:r>
        <w:rPr>
          <w:b/>
          <w:bCs/>
          <w:i/>
          <w:iCs/>
          <w:sz w:val="22"/>
          <w:szCs w:val="22"/>
        </w:rPr>
        <w:t>Art. 3.1.2.9.(3</w:t>
      </w:r>
      <w:r>
        <w:rPr>
          <w:i/>
          <w:iCs/>
          <w:sz w:val="22"/>
          <w:szCs w:val="22"/>
        </w:rPr>
        <w:t xml:space="preserve">) </w:t>
      </w:r>
    </w:p>
    <w:p w14:paraId="7F53F70D" w14:textId="77777777" w:rsidR="001C08A5" w:rsidRDefault="001C08A5">
      <w:pPr>
        <w:jc w:val="center"/>
      </w:pPr>
    </w:p>
    <w:p w14:paraId="5339A5FB" w14:textId="77777777" w:rsidR="001C08A5" w:rsidRDefault="00000000">
      <w:pPr>
        <w:jc w:val="center"/>
        <w:rPr>
          <w:i/>
          <w:iCs/>
          <w:sz w:val="22"/>
          <w:szCs w:val="22"/>
        </w:rPr>
      </w:pPr>
      <w:r>
        <w:rPr>
          <w:b/>
          <w:bCs/>
          <w:i/>
          <w:iCs/>
          <w:sz w:val="22"/>
          <w:szCs w:val="22"/>
        </w:rPr>
        <w:t>Varianta a.2)</w:t>
      </w:r>
      <w:r>
        <w:rPr>
          <w:i/>
          <w:iCs/>
          <w:sz w:val="22"/>
          <w:szCs w:val="22"/>
        </w:rPr>
        <w:t xml:space="preserve"> - tronsonare perpendiculară pe linia pantei - depășire cu minimum </w:t>
      </w:r>
      <w:r>
        <w:rPr>
          <w:b/>
          <w:bCs/>
          <w:i/>
          <w:iCs/>
          <w:sz w:val="22"/>
          <w:szCs w:val="22"/>
        </w:rPr>
        <w:t>30 cm</w:t>
      </w:r>
      <w:r>
        <w:rPr>
          <w:i/>
          <w:iCs/>
          <w:sz w:val="22"/>
          <w:szCs w:val="22"/>
        </w:rPr>
        <w:t xml:space="preserve"> față de planul exterior al acoperişurilor și streşinilor care nu sunt realizate exclusiv din componente substanțiale cu clasa de reacţie la foc </w:t>
      </w:r>
      <w:r>
        <w:rPr>
          <w:b/>
          <w:bCs/>
          <w:i/>
          <w:iCs/>
          <w:sz w:val="22"/>
          <w:szCs w:val="22"/>
        </w:rPr>
        <w:t>A1</w:t>
      </w:r>
      <w:r>
        <w:rPr>
          <w:i/>
          <w:iCs/>
          <w:sz w:val="22"/>
          <w:szCs w:val="22"/>
        </w:rPr>
        <w:t xml:space="preserve"> sau </w:t>
      </w:r>
      <w:r>
        <w:rPr>
          <w:b/>
          <w:bCs/>
          <w:i/>
          <w:iCs/>
          <w:sz w:val="22"/>
          <w:szCs w:val="22"/>
        </w:rPr>
        <w:t>A2-s1d0</w:t>
      </w:r>
      <w:r>
        <w:rPr>
          <w:i/>
          <w:iCs/>
          <w:sz w:val="22"/>
          <w:szCs w:val="22"/>
        </w:rPr>
        <w:t xml:space="preserve"> pe care le intersectează prin pereți rezistenți la foc</w:t>
      </w:r>
    </w:p>
    <w:p w14:paraId="65A17C8D" w14:textId="77777777" w:rsidR="001C08A5" w:rsidRDefault="001C08A5">
      <w:pPr>
        <w:jc w:val="center"/>
        <w:rPr>
          <w:b/>
          <w:bCs/>
          <w:i/>
          <w:iCs/>
          <w:sz w:val="22"/>
          <w:szCs w:val="22"/>
        </w:rPr>
      </w:pPr>
    </w:p>
    <w:p w14:paraId="7F341C6A" w14:textId="77777777" w:rsidR="001C08A5" w:rsidRDefault="00000000">
      <w:pPr>
        <w:jc w:val="center"/>
        <w:rPr>
          <w:i/>
          <w:iCs/>
          <w:sz w:val="22"/>
          <w:szCs w:val="22"/>
        </w:rPr>
      </w:pPr>
      <w:r>
        <w:rPr>
          <w:b/>
          <w:bCs/>
          <w:i/>
          <w:iCs/>
          <w:sz w:val="22"/>
          <w:szCs w:val="22"/>
        </w:rPr>
        <w:t>Varianta a)</w:t>
      </w:r>
      <w:r>
        <w:rPr>
          <w:i/>
          <w:iCs/>
          <w:sz w:val="22"/>
          <w:szCs w:val="22"/>
        </w:rPr>
        <w:t xml:space="preserve"> </w:t>
      </w:r>
      <w:r>
        <w:rPr>
          <w:b/>
          <w:bCs/>
          <w:i/>
          <w:iCs/>
          <w:sz w:val="22"/>
          <w:szCs w:val="22"/>
        </w:rPr>
        <w:t>- tronsonare la nivelul mansardei</w:t>
      </w:r>
      <w:r>
        <w:rPr>
          <w:i/>
          <w:iCs/>
          <w:sz w:val="22"/>
          <w:szCs w:val="22"/>
        </w:rPr>
        <w:t xml:space="preserve"> - depășire cu minimum </w:t>
      </w:r>
      <w:r>
        <w:rPr>
          <w:b/>
          <w:bCs/>
          <w:i/>
          <w:iCs/>
          <w:sz w:val="22"/>
          <w:szCs w:val="22"/>
        </w:rPr>
        <w:t>30 cm</w:t>
      </w:r>
      <w:r>
        <w:rPr>
          <w:i/>
          <w:iCs/>
          <w:sz w:val="22"/>
          <w:szCs w:val="22"/>
        </w:rPr>
        <w:t xml:space="preserve"> (măsurat perpendicular pe verticală)  față de planul exterior al acoperişurilor și  minimum </w:t>
      </w:r>
      <w:r>
        <w:rPr>
          <w:b/>
          <w:bCs/>
          <w:i/>
          <w:iCs/>
          <w:sz w:val="22"/>
          <w:szCs w:val="22"/>
        </w:rPr>
        <w:t>30 cm</w:t>
      </w:r>
      <w:r>
        <w:rPr>
          <w:i/>
          <w:iCs/>
          <w:sz w:val="22"/>
          <w:szCs w:val="22"/>
        </w:rPr>
        <w:t xml:space="preserve"> (măsurat pe orizontală)  față de planul exterior al streşinilor care nu sunt realizate exclusiv din componente substanțiale cu clasa de reacţie la foc </w:t>
      </w:r>
      <w:r>
        <w:rPr>
          <w:b/>
          <w:bCs/>
          <w:i/>
          <w:iCs/>
          <w:sz w:val="22"/>
          <w:szCs w:val="22"/>
        </w:rPr>
        <w:t>A1</w:t>
      </w:r>
      <w:r>
        <w:rPr>
          <w:i/>
          <w:iCs/>
          <w:sz w:val="22"/>
          <w:szCs w:val="22"/>
        </w:rPr>
        <w:t xml:space="preserve"> sau </w:t>
      </w:r>
      <w:r>
        <w:rPr>
          <w:b/>
          <w:bCs/>
          <w:i/>
          <w:iCs/>
          <w:sz w:val="22"/>
          <w:szCs w:val="22"/>
        </w:rPr>
        <w:t>A2-s1d0,</w:t>
      </w:r>
      <w:r>
        <w:rPr>
          <w:i/>
          <w:iCs/>
          <w:sz w:val="22"/>
          <w:szCs w:val="22"/>
        </w:rPr>
        <w:t xml:space="preserve"> pe care le intersectează prin pereți rezistenți la foc conform </w:t>
      </w:r>
      <w:r>
        <w:rPr>
          <w:b/>
          <w:bCs/>
          <w:i/>
          <w:iCs/>
          <w:sz w:val="22"/>
          <w:szCs w:val="22"/>
        </w:rPr>
        <w:t>Art. 3.1.2.9.(1</w:t>
      </w:r>
      <w:r>
        <w:rPr>
          <w:i/>
          <w:iCs/>
          <w:sz w:val="22"/>
          <w:szCs w:val="22"/>
        </w:rPr>
        <w:t>) care secționează planul mansardei</w:t>
      </w:r>
    </w:p>
    <w:p w14:paraId="0D32FDA1" w14:textId="77777777" w:rsidR="001C08A5" w:rsidRDefault="001C08A5">
      <w:pPr>
        <w:jc w:val="center"/>
        <w:rPr>
          <w:lang w:eastAsia="ro-RO"/>
        </w:rPr>
      </w:pPr>
    </w:p>
    <w:p w14:paraId="7838CB59" w14:textId="77777777" w:rsidR="001C08A5" w:rsidRDefault="00000000">
      <w:pPr>
        <w:jc w:val="center"/>
      </w:pPr>
      <w:r>
        <w:rPr>
          <w:noProof/>
        </w:rPr>
        <w:drawing>
          <wp:inline distT="0" distB="0" distL="114300" distR="114300" wp14:anchorId="5A4186C9" wp14:editId="1EDCBA7E">
            <wp:extent cx="6000750" cy="2370455"/>
            <wp:effectExtent l="0" t="0" r="0" b="10795"/>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pic:cNvPicPr>
                  </pic:nvPicPr>
                  <pic:blipFill>
                    <a:blip r:embed="rId182"/>
                    <a:srcRect l="12703" t="14854" r="7852" b="3958"/>
                    <a:stretch>
                      <a:fillRect/>
                    </a:stretch>
                  </pic:blipFill>
                  <pic:spPr>
                    <a:xfrm>
                      <a:off x="0" y="0"/>
                      <a:ext cx="6000750" cy="237045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3256"/>
        <w:gridCol w:w="3219"/>
      </w:tblGrid>
      <w:tr w:rsidR="001C08A5" w14:paraId="323C4FFB" w14:textId="77777777">
        <w:tc>
          <w:tcPr>
            <w:tcW w:w="3235" w:type="dxa"/>
          </w:tcPr>
          <w:p w14:paraId="35DE0893" w14:textId="77777777" w:rsidR="001C08A5" w:rsidRDefault="00000000">
            <w:pPr>
              <w:jc w:val="center"/>
              <w:rPr>
                <w:i/>
                <w:iCs/>
                <w:sz w:val="22"/>
                <w:szCs w:val="22"/>
              </w:rPr>
            </w:pPr>
            <w:r>
              <w:rPr>
                <w:b/>
                <w:bCs/>
                <w:i/>
                <w:iCs/>
                <w:sz w:val="22"/>
                <w:szCs w:val="22"/>
              </w:rPr>
              <w:t xml:space="preserve">Varianta b.1) - </w:t>
            </w:r>
            <w:r>
              <w:rPr>
                <w:i/>
                <w:iCs/>
                <w:sz w:val="22"/>
                <w:szCs w:val="22"/>
              </w:rPr>
              <w:t>Plan nivel curent (inclusiv plan mansardă) și plan învelitoare</w:t>
            </w:r>
          </w:p>
        </w:tc>
        <w:tc>
          <w:tcPr>
            <w:tcW w:w="3335" w:type="dxa"/>
          </w:tcPr>
          <w:p w14:paraId="21FBB0F7" w14:textId="77777777" w:rsidR="001C08A5" w:rsidRDefault="00000000">
            <w:pPr>
              <w:jc w:val="center"/>
              <w:rPr>
                <w:i/>
                <w:iCs/>
                <w:sz w:val="22"/>
                <w:szCs w:val="22"/>
              </w:rPr>
            </w:pPr>
            <w:r>
              <w:rPr>
                <w:b/>
                <w:bCs/>
                <w:i/>
                <w:iCs/>
                <w:sz w:val="22"/>
                <w:szCs w:val="22"/>
              </w:rPr>
              <w:t xml:space="preserve">Varianta b.1) - </w:t>
            </w:r>
            <w:r>
              <w:rPr>
                <w:i/>
                <w:iCs/>
                <w:sz w:val="22"/>
                <w:szCs w:val="22"/>
              </w:rPr>
              <w:t>Secțiune</w:t>
            </w:r>
          </w:p>
        </w:tc>
        <w:tc>
          <w:tcPr>
            <w:tcW w:w="3285" w:type="dxa"/>
          </w:tcPr>
          <w:p w14:paraId="4FC0CB19" w14:textId="77777777" w:rsidR="001C08A5" w:rsidRDefault="00000000">
            <w:pPr>
              <w:jc w:val="center"/>
              <w:rPr>
                <w:i/>
                <w:iCs/>
                <w:sz w:val="22"/>
                <w:szCs w:val="22"/>
              </w:rPr>
            </w:pPr>
            <w:r>
              <w:rPr>
                <w:b/>
                <w:bCs/>
                <w:i/>
                <w:iCs/>
                <w:sz w:val="22"/>
                <w:szCs w:val="22"/>
              </w:rPr>
              <w:t xml:space="preserve">Varianta b.1) - </w:t>
            </w:r>
            <w:r>
              <w:rPr>
                <w:i/>
                <w:iCs/>
                <w:sz w:val="22"/>
                <w:szCs w:val="22"/>
              </w:rPr>
              <w:t>Axonometrie</w:t>
            </w:r>
          </w:p>
        </w:tc>
      </w:tr>
    </w:tbl>
    <w:p w14:paraId="4ED5181D" w14:textId="77777777" w:rsidR="001C08A5" w:rsidRDefault="00000000">
      <w:pPr>
        <w:jc w:val="center"/>
        <w:rPr>
          <w:i/>
          <w:iCs/>
          <w:sz w:val="22"/>
          <w:szCs w:val="22"/>
        </w:rPr>
      </w:pPr>
      <w:r>
        <w:rPr>
          <w:b/>
          <w:bCs/>
          <w:i/>
          <w:iCs/>
          <w:sz w:val="22"/>
          <w:szCs w:val="22"/>
        </w:rPr>
        <w:t>Varianta b.1)</w:t>
      </w:r>
      <w:r>
        <w:rPr>
          <w:i/>
          <w:iCs/>
          <w:sz w:val="22"/>
          <w:szCs w:val="22"/>
        </w:rPr>
        <w:t xml:space="preserve"> - tronsonare pe întreaga înălțime a construcției - depășire cu minimum </w:t>
      </w:r>
      <w:r>
        <w:rPr>
          <w:b/>
          <w:bCs/>
          <w:i/>
          <w:iCs/>
          <w:sz w:val="22"/>
          <w:szCs w:val="22"/>
        </w:rPr>
        <w:t>30 cm</w:t>
      </w:r>
      <w:r>
        <w:rPr>
          <w:i/>
          <w:iCs/>
          <w:sz w:val="22"/>
          <w:szCs w:val="22"/>
        </w:rPr>
        <w:t xml:space="preserve"> (măsurat perpendicular pe verticală)  față de planul exterior al acoperişurilor și  minimum </w:t>
      </w:r>
      <w:r>
        <w:rPr>
          <w:b/>
          <w:bCs/>
          <w:i/>
          <w:iCs/>
          <w:sz w:val="22"/>
          <w:szCs w:val="22"/>
        </w:rPr>
        <w:t>30 cm</w:t>
      </w:r>
      <w:r>
        <w:rPr>
          <w:i/>
          <w:iCs/>
          <w:sz w:val="22"/>
          <w:szCs w:val="22"/>
        </w:rPr>
        <w:t xml:space="preserve"> (măsurat pe orizontală)  față de planul exterior al pereţilor exteriori şi streşinilor care nu sunt realizate exclusiv din componente substanțiale cu clasa de reacţie la foc </w:t>
      </w:r>
      <w:r>
        <w:rPr>
          <w:b/>
          <w:bCs/>
          <w:i/>
          <w:iCs/>
          <w:sz w:val="22"/>
          <w:szCs w:val="22"/>
        </w:rPr>
        <w:t>A1</w:t>
      </w:r>
      <w:r>
        <w:rPr>
          <w:i/>
          <w:iCs/>
          <w:sz w:val="22"/>
          <w:szCs w:val="22"/>
        </w:rPr>
        <w:t xml:space="preserve"> sau </w:t>
      </w:r>
      <w:r>
        <w:rPr>
          <w:b/>
          <w:bCs/>
          <w:i/>
          <w:iCs/>
          <w:sz w:val="22"/>
          <w:szCs w:val="22"/>
        </w:rPr>
        <w:t>A2-s1d0,</w:t>
      </w:r>
      <w:r>
        <w:rPr>
          <w:i/>
          <w:iCs/>
          <w:sz w:val="22"/>
          <w:szCs w:val="22"/>
        </w:rPr>
        <w:t xml:space="preserve"> pe care le intersectează prin pereți rezistenți la foc care secționează întreaga clădire </w:t>
      </w:r>
    </w:p>
    <w:p w14:paraId="600AF8C2" w14:textId="77777777" w:rsidR="001C08A5" w:rsidRDefault="00000000">
      <w:pPr>
        <w:jc w:val="center"/>
      </w:pPr>
      <w:r>
        <w:rPr>
          <w:i/>
          <w:iCs/>
          <w:sz w:val="22"/>
          <w:szCs w:val="22"/>
        </w:rPr>
        <w:t xml:space="preserve">Legendă </w:t>
      </w:r>
      <w:r>
        <w:rPr>
          <w:b/>
          <w:bCs/>
          <w:i/>
          <w:iCs/>
          <w:sz w:val="22"/>
          <w:szCs w:val="22"/>
        </w:rPr>
        <w:t>Fig. 67 varianta b.1)</w:t>
      </w:r>
      <w:r>
        <w:rPr>
          <w:i/>
          <w:iCs/>
          <w:sz w:val="22"/>
          <w:szCs w:val="22"/>
        </w:rPr>
        <w:t xml:space="preserve">: </w:t>
      </w:r>
      <w:r>
        <w:rPr>
          <w:b/>
          <w:bCs/>
          <w:i/>
          <w:iCs/>
          <w:sz w:val="22"/>
          <w:szCs w:val="22"/>
        </w:rPr>
        <w:t>1</w:t>
      </w:r>
      <w:r>
        <w:rPr>
          <w:i/>
          <w:iCs/>
          <w:sz w:val="22"/>
          <w:szCs w:val="22"/>
        </w:rPr>
        <w:t xml:space="preserve"> și </w:t>
      </w:r>
      <w:r>
        <w:rPr>
          <w:b/>
          <w:bCs/>
          <w:i/>
          <w:iCs/>
          <w:sz w:val="22"/>
          <w:szCs w:val="22"/>
        </w:rPr>
        <w:t>2</w:t>
      </w:r>
      <w:r>
        <w:rPr>
          <w:i/>
          <w:iCs/>
          <w:sz w:val="22"/>
          <w:szCs w:val="22"/>
        </w:rPr>
        <w:t xml:space="preserve"> - tronsoane cu aria conform </w:t>
      </w:r>
      <w:r>
        <w:rPr>
          <w:b/>
          <w:bCs/>
          <w:i/>
          <w:iCs/>
          <w:sz w:val="22"/>
          <w:szCs w:val="22"/>
        </w:rPr>
        <w:t>Art. 3.1.2.9.(3</w:t>
      </w:r>
      <w:r>
        <w:rPr>
          <w:i/>
          <w:iCs/>
          <w:sz w:val="22"/>
          <w:szCs w:val="22"/>
        </w:rPr>
        <w:t xml:space="preserve">); </w:t>
      </w:r>
      <w:r>
        <w:rPr>
          <w:b/>
          <w:bCs/>
          <w:i/>
          <w:iCs/>
          <w:sz w:val="22"/>
          <w:szCs w:val="22"/>
        </w:rPr>
        <w:t>3</w:t>
      </w:r>
      <w:r>
        <w:rPr>
          <w:i/>
          <w:iCs/>
          <w:sz w:val="22"/>
          <w:szCs w:val="22"/>
        </w:rPr>
        <w:t xml:space="preserve"> - pereți rezistenți la foc conform </w:t>
      </w:r>
      <w:r>
        <w:rPr>
          <w:b/>
          <w:bCs/>
          <w:i/>
          <w:iCs/>
          <w:sz w:val="22"/>
          <w:szCs w:val="22"/>
        </w:rPr>
        <w:t>Art. 3.1.2.9.(1</w:t>
      </w:r>
      <w:r>
        <w:rPr>
          <w:i/>
          <w:iCs/>
          <w:sz w:val="22"/>
          <w:szCs w:val="22"/>
        </w:rPr>
        <w:t>) care secționează întreaga clădire</w:t>
      </w:r>
    </w:p>
    <w:p w14:paraId="1FF61DB8" w14:textId="77777777" w:rsidR="001C08A5" w:rsidRDefault="00000000">
      <w:pPr>
        <w:jc w:val="center"/>
      </w:pPr>
      <w:r>
        <w:rPr>
          <w:noProof/>
        </w:rPr>
        <w:lastRenderedPageBreak/>
        <w:drawing>
          <wp:inline distT="0" distB="0" distL="114300" distR="114300" wp14:anchorId="14EB35B7" wp14:editId="1E785AF7">
            <wp:extent cx="5979795" cy="2368550"/>
            <wp:effectExtent l="0" t="0" r="1905" b="12700"/>
            <wp:docPr id="2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6"/>
                    <pic:cNvPicPr>
                      <a:picLocks noChangeAspect="1"/>
                    </pic:cNvPicPr>
                  </pic:nvPicPr>
                  <pic:blipFill>
                    <a:blip r:embed="rId183"/>
                    <a:srcRect l="12990" t="4234" r="7782" b="8022"/>
                    <a:stretch>
                      <a:fillRect/>
                    </a:stretch>
                  </pic:blipFill>
                  <pic:spPr>
                    <a:xfrm>
                      <a:off x="0" y="0"/>
                      <a:ext cx="5979795" cy="236855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22"/>
      </w:tblGrid>
      <w:tr w:rsidR="001C08A5" w14:paraId="622BCDEB" w14:textId="77777777">
        <w:tc>
          <w:tcPr>
            <w:tcW w:w="4927" w:type="dxa"/>
          </w:tcPr>
          <w:p w14:paraId="3FDEDD42" w14:textId="77777777" w:rsidR="001C08A5" w:rsidRDefault="00000000">
            <w:pPr>
              <w:jc w:val="center"/>
            </w:pPr>
            <w:r>
              <w:rPr>
                <w:b/>
                <w:bCs/>
                <w:i/>
                <w:iCs/>
                <w:sz w:val="22"/>
                <w:szCs w:val="22"/>
              </w:rPr>
              <w:t xml:space="preserve">Varianta b.2) </w:t>
            </w:r>
            <w:r>
              <w:rPr>
                <w:i/>
                <w:iCs/>
                <w:sz w:val="22"/>
                <w:szCs w:val="22"/>
              </w:rPr>
              <w:t xml:space="preserve">- Plan nivel curent </w:t>
            </w:r>
          </w:p>
        </w:tc>
        <w:tc>
          <w:tcPr>
            <w:tcW w:w="4928" w:type="dxa"/>
          </w:tcPr>
          <w:p w14:paraId="63DAF668" w14:textId="77777777" w:rsidR="001C08A5" w:rsidRDefault="00000000">
            <w:pPr>
              <w:jc w:val="center"/>
            </w:pPr>
            <w:r>
              <w:rPr>
                <w:b/>
                <w:bCs/>
                <w:i/>
                <w:iCs/>
                <w:sz w:val="22"/>
                <w:szCs w:val="22"/>
              </w:rPr>
              <w:t xml:space="preserve">Varianta b.2) </w:t>
            </w:r>
            <w:r>
              <w:rPr>
                <w:i/>
                <w:iCs/>
                <w:sz w:val="22"/>
                <w:szCs w:val="22"/>
              </w:rPr>
              <w:t>- Plan învelitoare</w:t>
            </w:r>
          </w:p>
        </w:tc>
      </w:tr>
    </w:tbl>
    <w:p w14:paraId="45879DEB" w14:textId="77777777" w:rsidR="001C08A5" w:rsidRDefault="001C08A5">
      <w:pPr>
        <w:jc w:val="center"/>
      </w:pPr>
    </w:p>
    <w:p w14:paraId="7EC20946" w14:textId="77777777" w:rsidR="001C08A5" w:rsidRDefault="00000000">
      <w:pPr>
        <w:jc w:val="center"/>
      </w:pPr>
      <w:r>
        <w:rPr>
          <w:noProof/>
        </w:rPr>
        <w:drawing>
          <wp:inline distT="0" distB="0" distL="114300" distR="114300" wp14:anchorId="0A467307" wp14:editId="4BB776FC">
            <wp:extent cx="5957570" cy="3039745"/>
            <wp:effectExtent l="0" t="0" r="5080" b="8255"/>
            <wp:docPr id="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1"/>
                    <pic:cNvPicPr>
                      <a:picLocks noChangeAspect="1"/>
                    </pic:cNvPicPr>
                  </pic:nvPicPr>
                  <pic:blipFill>
                    <a:blip r:embed="rId184"/>
                    <a:srcRect l="13073" t="6617" r="8054" b="13400"/>
                    <a:stretch>
                      <a:fillRect/>
                    </a:stretch>
                  </pic:blipFill>
                  <pic:spPr>
                    <a:xfrm>
                      <a:off x="0" y="0"/>
                      <a:ext cx="5957570" cy="3039745"/>
                    </a:xfrm>
                    <a:prstGeom prst="rect">
                      <a:avLst/>
                    </a:prstGeom>
                    <a:noFill/>
                    <a:ln>
                      <a:noFill/>
                    </a:ln>
                  </pic:spPr>
                </pic:pic>
              </a:graphicData>
            </a:graphic>
          </wp:inline>
        </w:drawing>
      </w:r>
    </w:p>
    <w:tbl>
      <w:tblPr>
        <w:tblW w:w="0" w:type="auto"/>
        <w:tblLook w:val="04A0" w:firstRow="1" w:lastRow="0" w:firstColumn="1" w:lastColumn="0" w:noHBand="0" w:noVBand="1"/>
      </w:tblPr>
      <w:tblGrid>
        <w:gridCol w:w="4814"/>
        <w:gridCol w:w="4825"/>
      </w:tblGrid>
      <w:tr w:rsidR="001C08A5" w14:paraId="2D9520E8" w14:textId="77777777">
        <w:tc>
          <w:tcPr>
            <w:tcW w:w="4927" w:type="dxa"/>
          </w:tcPr>
          <w:p w14:paraId="74EAB884" w14:textId="77777777" w:rsidR="001C08A5" w:rsidRDefault="00000000">
            <w:pPr>
              <w:widowControl w:val="0"/>
              <w:jc w:val="center"/>
            </w:pPr>
            <w:r>
              <w:rPr>
                <w:b/>
                <w:bCs/>
                <w:i/>
                <w:iCs/>
                <w:sz w:val="22"/>
                <w:szCs w:val="22"/>
              </w:rPr>
              <w:t>Varianta b.2)</w:t>
            </w:r>
            <w:r>
              <w:rPr>
                <w:i/>
                <w:iCs/>
                <w:sz w:val="22"/>
                <w:szCs w:val="22"/>
              </w:rPr>
              <w:t xml:space="preserve"> - Secțiune </w:t>
            </w:r>
          </w:p>
        </w:tc>
        <w:tc>
          <w:tcPr>
            <w:tcW w:w="4928" w:type="dxa"/>
          </w:tcPr>
          <w:p w14:paraId="6BB583FB" w14:textId="77777777" w:rsidR="001C08A5" w:rsidRDefault="00000000">
            <w:pPr>
              <w:widowControl w:val="0"/>
              <w:jc w:val="center"/>
            </w:pPr>
            <w:r>
              <w:rPr>
                <w:b/>
                <w:bCs/>
                <w:i/>
                <w:iCs/>
                <w:sz w:val="22"/>
                <w:szCs w:val="22"/>
              </w:rPr>
              <w:t xml:space="preserve">Varianta b.2) </w:t>
            </w:r>
            <w:r>
              <w:rPr>
                <w:i/>
                <w:iCs/>
                <w:sz w:val="22"/>
                <w:szCs w:val="22"/>
              </w:rPr>
              <w:t>- Axonometrie</w:t>
            </w:r>
          </w:p>
        </w:tc>
      </w:tr>
    </w:tbl>
    <w:p w14:paraId="4D1C2D56" w14:textId="77777777" w:rsidR="001C08A5" w:rsidRDefault="00000000">
      <w:pPr>
        <w:jc w:val="center"/>
      </w:pPr>
      <w:r>
        <w:rPr>
          <w:i/>
          <w:iCs/>
          <w:sz w:val="22"/>
          <w:szCs w:val="22"/>
        </w:rPr>
        <w:t xml:space="preserve">Legendă </w:t>
      </w:r>
      <w:r>
        <w:rPr>
          <w:b/>
          <w:bCs/>
          <w:i/>
          <w:iCs/>
          <w:sz w:val="22"/>
          <w:szCs w:val="22"/>
        </w:rPr>
        <w:t>Fig. 67 varianta b.2)</w:t>
      </w:r>
      <w:r>
        <w:rPr>
          <w:i/>
          <w:iCs/>
          <w:sz w:val="22"/>
          <w:szCs w:val="22"/>
        </w:rPr>
        <w:t xml:space="preserve">: </w:t>
      </w:r>
      <w:r>
        <w:rPr>
          <w:b/>
          <w:bCs/>
          <w:i/>
          <w:iCs/>
          <w:sz w:val="22"/>
          <w:szCs w:val="22"/>
        </w:rPr>
        <w:t>1</w:t>
      </w:r>
      <w:r>
        <w:rPr>
          <w:i/>
          <w:iCs/>
          <w:sz w:val="22"/>
          <w:szCs w:val="22"/>
        </w:rPr>
        <w:t xml:space="preserve"> - pereți rezistenți la foc conform </w:t>
      </w:r>
      <w:r>
        <w:rPr>
          <w:b/>
          <w:bCs/>
          <w:i/>
          <w:iCs/>
          <w:sz w:val="22"/>
          <w:szCs w:val="22"/>
        </w:rPr>
        <w:t>Art. 3.1.2.9.(1</w:t>
      </w:r>
      <w:r>
        <w:rPr>
          <w:i/>
          <w:iCs/>
          <w:sz w:val="22"/>
          <w:szCs w:val="22"/>
        </w:rPr>
        <w:t>) care secționează întreaga clădire;</w:t>
      </w:r>
      <w:r>
        <w:rPr>
          <w:b/>
          <w:bCs/>
          <w:i/>
          <w:iCs/>
          <w:sz w:val="22"/>
          <w:szCs w:val="22"/>
        </w:rPr>
        <w:t xml:space="preserve"> 2</w:t>
      </w:r>
      <w:r>
        <w:rPr>
          <w:i/>
          <w:iCs/>
          <w:sz w:val="22"/>
          <w:szCs w:val="22"/>
        </w:rPr>
        <w:t>,</w:t>
      </w:r>
      <w:r>
        <w:rPr>
          <w:b/>
          <w:bCs/>
          <w:i/>
          <w:iCs/>
          <w:sz w:val="22"/>
          <w:szCs w:val="22"/>
        </w:rPr>
        <w:t xml:space="preserve"> 2</w:t>
      </w:r>
      <w:r>
        <w:rPr>
          <w:rFonts w:ascii="Calibri" w:hAnsi="Calibri" w:cs="Calibri"/>
          <w:b/>
          <w:bCs/>
          <w:i/>
          <w:iCs/>
          <w:sz w:val="22"/>
          <w:szCs w:val="22"/>
        </w:rPr>
        <w:t>'</w:t>
      </w:r>
      <w:r>
        <w:rPr>
          <w:i/>
          <w:iCs/>
          <w:sz w:val="22"/>
          <w:szCs w:val="22"/>
        </w:rPr>
        <w:t>,</w:t>
      </w:r>
      <w:r>
        <w:rPr>
          <w:b/>
          <w:bCs/>
          <w:i/>
          <w:iCs/>
          <w:sz w:val="22"/>
          <w:szCs w:val="22"/>
        </w:rPr>
        <w:t xml:space="preserve"> 2</w:t>
      </w:r>
      <w:r>
        <w:rPr>
          <w:rFonts w:ascii="Calibri" w:hAnsi="Calibri" w:cs="Calibri"/>
          <w:b/>
          <w:bCs/>
          <w:i/>
          <w:iCs/>
          <w:sz w:val="22"/>
          <w:szCs w:val="22"/>
        </w:rPr>
        <w:t>''</w:t>
      </w:r>
      <w:r>
        <w:rPr>
          <w:i/>
          <w:iCs/>
          <w:sz w:val="22"/>
          <w:szCs w:val="22"/>
        </w:rPr>
        <w:t xml:space="preserve"> - tronsoane cu aria conform </w:t>
      </w:r>
      <w:r>
        <w:rPr>
          <w:b/>
          <w:bCs/>
          <w:i/>
          <w:iCs/>
          <w:sz w:val="22"/>
          <w:szCs w:val="22"/>
        </w:rPr>
        <w:t>Art. 3.1.2.9.(3</w:t>
      </w:r>
      <w:r>
        <w:rPr>
          <w:i/>
          <w:iCs/>
          <w:sz w:val="22"/>
          <w:szCs w:val="22"/>
        </w:rPr>
        <w:t xml:space="preserve">) </w:t>
      </w:r>
    </w:p>
    <w:p w14:paraId="4D0419E7" w14:textId="77777777" w:rsidR="001C08A5" w:rsidRDefault="00000000">
      <w:pPr>
        <w:jc w:val="center"/>
        <w:rPr>
          <w:i/>
          <w:iCs/>
          <w:sz w:val="22"/>
          <w:szCs w:val="22"/>
        </w:rPr>
      </w:pPr>
      <w:r>
        <w:rPr>
          <w:b/>
          <w:bCs/>
          <w:i/>
          <w:iCs/>
          <w:sz w:val="22"/>
          <w:szCs w:val="22"/>
        </w:rPr>
        <w:t>Varianta b.2)</w:t>
      </w:r>
      <w:r>
        <w:rPr>
          <w:i/>
          <w:iCs/>
          <w:sz w:val="22"/>
          <w:szCs w:val="22"/>
        </w:rPr>
        <w:t xml:space="preserve"> - tronsonare perpendiculară pe linia pantei - depășire cu minimum </w:t>
      </w:r>
      <w:r>
        <w:rPr>
          <w:b/>
          <w:bCs/>
          <w:i/>
          <w:iCs/>
          <w:sz w:val="22"/>
          <w:szCs w:val="22"/>
        </w:rPr>
        <w:t>30 cm</w:t>
      </w:r>
      <w:r>
        <w:rPr>
          <w:i/>
          <w:iCs/>
          <w:sz w:val="22"/>
          <w:szCs w:val="22"/>
        </w:rPr>
        <w:t xml:space="preserve"> față de planul exterior al acoperişurilor, pereţilor exteriori şi streşinilor care nu sunt realizate exclusiv din componente substanțiale cu clasa de reacţie la foc </w:t>
      </w:r>
      <w:r>
        <w:rPr>
          <w:b/>
          <w:bCs/>
          <w:i/>
          <w:iCs/>
          <w:sz w:val="22"/>
          <w:szCs w:val="22"/>
        </w:rPr>
        <w:t>A1</w:t>
      </w:r>
      <w:r>
        <w:rPr>
          <w:i/>
          <w:iCs/>
          <w:sz w:val="22"/>
          <w:szCs w:val="22"/>
        </w:rPr>
        <w:t xml:space="preserve"> sau </w:t>
      </w:r>
      <w:r>
        <w:rPr>
          <w:b/>
          <w:bCs/>
          <w:i/>
          <w:iCs/>
          <w:sz w:val="22"/>
          <w:szCs w:val="22"/>
        </w:rPr>
        <w:t>A2-s1d0</w:t>
      </w:r>
      <w:r>
        <w:rPr>
          <w:i/>
          <w:iCs/>
          <w:sz w:val="22"/>
          <w:szCs w:val="22"/>
        </w:rPr>
        <w:t xml:space="preserve"> pe care le intersectează)</w:t>
      </w:r>
    </w:p>
    <w:p w14:paraId="31628EB5" w14:textId="77777777" w:rsidR="001C08A5" w:rsidRDefault="001C08A5">
      <w:pPr>
        <w:jc w:val="center"/>
        <w:rPr>
          <w:i/>
          <w:iCs/>
          <w:sz w:val="22"/>
          <w:szCs w:val="22"/>
        </w:rPr>
      </w:pPr>
    </w:p>
    <w:p w14:paraId="2D097CCA" w14:textId="77777777" w:rsidR="001C08A5" w:rsidRDefault="00000000">
      <w:pPr>
        <w:jc w:val="center"/>
        <w:rPr>
          <w:lang w:eastAsia="ro-RO"/>
        </w:rPr>
      </w:pPr>
      <w:r>
        <w:rPr>
          <w:b/>
          <w:bCs/>
          <w:i/>
          <w:iCs/>
          <w:sz w:val="22"/>
          <w:szCs w:val="22"/>
        </w:rPr>
        <w:t>Varianta b) - tronsonare pe întreaga înălțime a construcției</w:t>
      </w:r>
      <w:r>
        <w:rPr>
          <w:i/>
          <w:iCs/>
          <w:sz w:val="22"/>
          <w:szCs w:val="22"/>
        </w:rPr>
        <w:t xml:space="preserve"> - depășire cu minimum </w:t>
      </w:r>
      <w:r>
        <w:rPr>
          <w:b/>
          <w:bCs/>
          <w:i/>
          <w:iCs/>
          <w:sz w:val="22"/>
          <w:szCs w:val="22"/>
        </w:rPr>
        <w:t>30 cm</w:t>
      </w:r>
      <w:r>
        <w:rPr>
          <w:i/>
          <w:iCs/>
          <w:sz w:val="22"/>
          <w:szCs w:val="22"/>
        </w:rPr>
        <w:t xml:space="preserve"> (măsurat perpendicular pe verticală)  față de planul exterior al acoperişurilor și minimum </w:t>
      </w:r>
      <w:r>
        <w:rPr>
          <w:b/>
          <w:bCs/>
          <w:i/>
          <w:iCs/>
          <w:sz w:val="22"/>
          <w:szCs w:val="22"/>
        </w:rPr>
        <w:t>30 cm</w:t>
      </w:r>
      <w:r>
        <w:rPr>
          <w:i/>
          <w:iCs/>
          <w:sz w:val="22"/>
          <w:szCs w:val="22"/>
        </w:rPr>
        <w:t xml:space="preserve"> (măsurat pe orizontală)  față de planul exterior al pereţilor exteriori şi streşinilor care nu sunt realizate exclusiv din componente substanțiale cu clasa de reacţie la foc </w:t>
      </w:r>
      <w:r>
        <w:rPr>
          <w:b/>
          <w:bCs/>
          <w:i/>
          <w:iCs/>
          <w:sz w:val="22"/>
          <w:szCs w:val="22"/>
        </w:rPr>
        <w:t>A1</w:t>
      </w:r>
      <w:r>
        <w:rPr>
          <w:i/>
          <w:iCs/>
          <w:sz w:val="22"/>
          <w:szCs w:val="22"/>
        </w:rPr>
        <w:t xml:space="preserve"> sau </w:t>
      </w:r>
      <w:r>
        <w:rPr>
          <w:b/>
          <w:bCs/>
          <w:i/>
          <w:iCs/>
          <w:sz w:val="22"/>
          <w:szCs w:val="22"/>
        </w:rPr>
        <w:t>A2-s1d0,</w:t>
      </w:r>
      <w:r>
        <w:rPr>
          <w:i/>
          <w:iCs/>
          <w:sz w:val="22"/>
          <w:szCs w:val="22"/>
        </w:rPr>
        <w:t xml:space="preserve"> pe care le intersectează prin pereți rezistenți la foc conform </w:t>
      </w:r>
      <w:r>
        <w:rPr>
          <w:b/>
          <w:bCs/>
          <w:i/>
          <w:iCs/>
          <w:sz w:val="22"/>
          <w:szCs w:val="22"/>
        </w:rPr>
        <w:t>Art. 3.1.2.9.(1</w:t>
      </w:r>
      <w:r>
        <w:rPr>
          <w:i/>
          <w:iCs/>
          <w:sz w:val="22"/>
          <w:szCs w:val="22"/>
        </w:rPr>
        <w:t>)</w:t>
      </w:r>
    </w:p>
    <w:p w14:paraId="60050C5A" w14:textId="77777777" w:rsidR="001C08A5" w:rsidRDefault="00000000">
      <w:pPr>
        <w:pStyle w:val="Caption"/>
        <w:jc w:val="center"/>
        <w:rPr>
          <w:bCs/>
        </w:rPr>
      </w:pPr>
      <w:bookmarkStart w:id="2956" w:name="_Ref19988"/>
      <w:bookmarkStart w:id="2957" w:name="_Toc162360290"/>
      <w:r>
        <w:t xml:space="preserve">Figura </w:t>
      </w:r>
      <w:r>
        <w:fldChar w:fldCharType="begin"/>
      </w:r>
      <w:r>
        <w:instrText xml:space="preserve"> SEQ Figura \* ARABIC </w:instrText>
      </w:r>
      <w:r>
        <w:fldChar w:fldCharType="separate"/>
      </w:r>
      <w:r>
        <w:t>66</w:t>
      </w:r>
      <w:r>
        <w:fldChar w:fldCharType="end"/>
      </w:r>
      <w:bookmarkStart w:id="2958" w:name="_Toc14305"/>
      <w:bookmarkStart w:id="2959" w:name="_Toc30"/>
      <w:bookmarkStart w:id="2960" w:name="_Toc10481"/>
      <w:bookmarkStart w:id="2961" w:name="_Toc27512"/>
      <w:bookmarkStart w:id="2962" w:name="_Toc16339"/>
      <w:bookmarkStart w:id="2963" w:name="_Toc20150"/>
      <w:bookmarkStart w:id="2964" w:name="_Toc7165"/>
      <w:bookmarkStart w:id="2965" w:name="_Toc13081"/>
      <w:bookmarkStart w:id="2966" w:name="_Toc2912"/>
      <w:bookmarkStart w:id="2967" w:name="_Toc26353"/>
      <w:bookmarkStart w:id="2968" w:name="_Toc6987"/>
      <w:bookmarkEnd w:id="2956"/>
      <w:r>
        <w:t xml:space="preserve"> - </w:t>
      </w:r>
      <w:r>
        <w:rPr>
          <w:bCs/>
        </w:rPr>
        <w:t xml:space="preserve">Separare tronsoane clădire (prin pereți de sectorizare </w:t>
      </w:r>
      <w:bookmarkEnd w:id="2958"/>
      <w:bookmarkEnd w:id="2959"/>
      <w:bookmarkEnd w:id="2960"/>
      <w:bookmarkEnd w:id="2961"/>
      <w:r>
        <w:rPr>
          <w:bCs/>
        </w:rPr>
        <w:t xml:space="preserve">rezistenți la foc pentru </w:t>
      </w:r>
      <w:r>
        <w:t>mansardarea construcţiilor civile)</w:t>
      </w:r>
      <w:bookmarkEnd w:id="2957"/>
      <w:bookmarkEnd w:id="2962"/>
      <w:bookmarkEnd w:id="2963"/>
      <w:bookmarkEnd w:id="2964"/>
      <w:bookmarkEnd w:id="2965"/>
      <w:bookmarkEnd w:id="2966"/>
      <w:bookmarkEnd w:id="2967"/>
      <w:bookmarkEnd w:id="2968"/>
    </w:p>
    <w:p w14:paraId="3CB7B0A9" w14:textId="77777777" w:rsidR="001C08A5" w:rsidRDefault="001C08A5">
      <w:pPr>
        <w:jc w:val="both"/>
        <w:rPr>
          <w:b/>
          <w:sz w:val="24"/>
          <w:szCs w:val="24"/>
        </w:rPr>
      </w:pPr>
    </w:p>
    <w:p w14:paraId="6E0126AC" w14:textId="77777777" w:rsidR="001C08A5" w:rsidRDefault="00000000">
      <w:pPr>
        <w:ind w:firstLine="705"/>
        <w:jc w:val="both"/>
        <w:rPr>
          <w:b/>
          <w:bCs/>
          <w:sz w:val="24"/>
          <w:szCs w:val="24"/>
        </w:rPr>
      </w:pPr>
      <w:r>
        <w:rPr>
          <w:b/>
          <w:sz w:val="24"/>
          <w:szCs w:val="24"/>
        </w:rPr>
        <w:t xml:space="preserve">(3) </w:t>
      </w:r>
      <w:r>
        <w:rPr>
          <w:sz w:val="24"/>
          <w:szCs w:val="24"/>
        </w:rPr>
        <w:t xml:space="preserve">Pereții de sectorizare rezistenţi la foc minimum prevăzuți la </w:t>
      </w:r>
      <w:r>
        <w:rPr>
          <w:b/>
          <w:bCs/>
          <w:sz w:val="24"/>
          <w:szCs w:val="24"/>
        </w:rPr>
        <w:t xml:space="preserve">alin. (1) </w:t>
      </w:r>
      <w:r>
        <w:rPr>
          <w:sz w:val="24"/>
          <w:szCs w:val="24"/>
        </w:rPr>
        <w:t>se dispun la maximum</w:t>
      </w:r>
    </w:p>
    <w:p w14:paraId="3D35882D" w14:textId="77777777" w:rsidR="001C08A5" w:rsidRDefault="00000000">
      <w:pPr>
        <w:pStyle w:val="BodyTextIndent2"/>
        <w:numPr>
          <w:ilvl w:val="0"/>
          <w:numId w:val="68"/>
        </w:numPr>
        <w:tabs>
          <w:tab w:val="clear" w:pos="1500"/>
        </w:tabs>
        <w:suppressAutoHyphens w:val="0"/>
        <w:spacing w:after="0" w:line="240" w:lineRule="auto"/>
        <w:ind w:left="1554" w:right="-181" w:firstLine="0"/>
        <w:jc w:val="both"/>
        <w:rPr>
          <w:sz w:val="24"/>
          <w:szCs w:val="24"/>
        </w:rPr>
      </w:pPr>
      <w:r>
        <w:rPr>
          <w:b/>
          <w:bCs/>
          <w:sz w:val="24"/>
          <w:szCs w:val="24"/>
        </w:rPr>
        <w:t xml:space="preserve">65 </w:t>
      </w:r>
      <w:r>
        <w:rPr>
          <w:bCs/>
          <w:sz w:val="24"/>
          <w:szCs w:val="24"/>
        </w:rPr>
        <w:t>m</w:t>
      </w:r>
      <w:r>
        <w:rPr>
          <w:sz w:val="24"/>
          <w:szCs w:val="24"/>
        </w:rPr>
        <w:t xml:space="preserve"> distanţă, într-o arie de maximum </w:t>
      </w:r>
      <w:r>
        <w:rPr>
          <w:b/>
          <w:bCs/>
          <w:sz w:val="24"/>
          <w:szCs w:val="24"/>
        </w:rPr>
        <w:t>1000</w:t>
      </w:r>
      <w:r>
        <w:rPr>
          <w:sz w:val="24"/>
          <w:szCs w:val="24"/>
        </w:rPr>
        <w:t xml:space="preserve"> </w:t>
      </w:r>
      <w:r>
        <w:rPr>
          <w:b/>
          <w:sz w:val="24"/>
          <w:szCs w:val="24"/>
        </w:rPr>
        <w:t>m²</w:t>
      </w:r>
      <w:r>
        <w:rPr>
          <w:sz w:val="24"/>
          <w:szCs w:val="24"/>
        </w:rPr>
        <w:t xml:space="preserve"> în construcţiile civile cu nivelul de stabilitate la incendiu </w:t>
      </w:r>
      <w:r>
        <w:rPr>
          <w:b/>
          <w:sz w:val="24"/>
          <w:szCs w:val="24"/>
        </w:rPr>
        <w:t>I</w:t>
      </w:r>
      <w:r>
        <w:rPr>
          <w:sz w:val="24"/>
          <w:szCs w:val="24"/>
        </w:rPr>
        <w:t>;</w:t>
      </w:r>
    </w:p>
    <w:p w14:paraId="49B5EB35" w14:textId="77777777" w:rsidR="001C08A5" w:rsidRDefault="00000000">
      <w:pPr>
        <w:pStyle w:val="BodyTextIndent2"/>
        <w:numPr>
          <w:ilvl w:val="0"/>
          <w:numId w:val="68"/>
        </w:numPr>
        <w:tabs>
          <w:tab w:val="clear" w:pos="1500"/>
        </w:tabs>
        <w:suppressAutoHyphens w:val="0"/>
        <w:spacing w:after="0" w:line="240" w:lineRule="auto"/>
        <w:ind w:left="1554" w:right="-181" w:firstLine="0"/>
        <w:jc w:val="both"/>
        <w:rPr>
          <w:sz w:val="24"/>
          <w:szCs w:val="24"/>
        </w:rPr>
      </w:pPr>
      <w:r>
        <w:rPr>
          <w:b/>
          <w:bCs/>
          <w:sz w:val="24"/>
          <w:szCs w:val="24"/>
        </w:rPr>
        <w:t xml:space="preserve">55 </w:t>
      </w:r>
      <w:r>
        <w:rPr>
          <w:bCs/>
          <w:sz w:val="24"/>
          <w:szCs w:val="24"/>
        </w:rPr>
        <w:t>m</w:t>
      </w:r>
      <w:r>
        <w:rPr>
          <w:sz w:val="24"/>
          <w:szCs w:val="24"/>
        </w:rPr>
        <w:t xml:space="preserve"> distanţă, într-o arie de maximum </w:t>
      </w:r>
      <w:r>
        <w:rPr>
          <w:b/>
          <w:bCs/>
          <w:sz w:val="24"/>
          <w:szCs w:val="24"/>
        </w:rPr>
        <w:t>875</w:t>
      </w:r>
      <w:r>
        <w:rPr>
          <w:sz w:val="24"/>
          <w:szCs w:val="24"/>
        </w:rPr>
        <w:t xml:space="preserve"> </w:t>
      </w:r>
      <w:r>
        <w:rPr>
          <w:b/>
          <w:sz w:val="24"/>
          <w:szCs w:val="24"/>
        </w:rPr>
        <w:t>m²</w:t>
      </w:r>
      <w:r>
        <w:rPr>
          <w:sz w:val="24"/>
          <w:szCs w:val="24"/>
        </w:rPr>
        <w:t xml:space="preserve"> în construcţiile civile cu nivelul de stabilitate la incendiu </w:t>
      </w:r>
      <w:r>
        <w:rPr>
          <w:b/>
          <w:sz w:val="24"/>
          <w:szCs w:val="24"/>
        </w:rPr>
        <w:t>II</w:t>
      </w:r>
      <w:r>
        <w:rPr>
          <w:sz w:val="24"/>
          <w:szCs w:val="24"/>
        </w:rPr>
        <w:t>;</w:t>
      </w:r>
    </w:p>
    <w:p w14:paraId="630D2752" w14:textId="77777777" w:rsidR="001C08A5" w:rsidRDefault="00000000">
      <w:pPr>
        <w:pStyle w:val="BodyTextIndent2"/>
        <w:numPr>
          <w:ilvl w:val="0"/>
          <w:numId w:val="68"/>
        </w:numPr>
        <w:tabs>
          <w:tab w:val="clear" w:pos="1500"/>
        </w:tabs>
        <w:suppressAutoHyphens w:val="0"/>
        <w:spacing w:after="0" w:line="240" w:lineRule="auto"/>
        <w:ind w:left="1554" w:right="-181" w:firstLine="0"/>
        <w:jc w:val="both"/>
        <w:rPr>
          <w:sz w:val="24"/>
          <w:szCs w:val="24"/>
        </w:rPr>
      </w:pPr>
      <w:r>
        <w:rPr>
          <w:b/>
          <w:bCs/>
          <w:sz w:val="24"/>
          <w:szCs w:val="24"/>
        </w:rPr>
        <w:lastRenderedPageBreak/>
        <w:t xml:space="preserve">45 </w:t>
      </w:r>
      <w:r>
        <w:rPr>
          <w:bCs/>
          <w:sz w:val="24"/>
          <w:szCs w:val="24"/>
        </w:rPr>
        <w:t>m</w:t>
      </w:r>
      <w:r>
        <w:rPr>
          <w:sz w:val="24"/>
          <w:szCs w:val="24"/>
        </w:rPr>
        <w:t xml:space="preserve"> distanţă, într-o arie de maximum </w:t>
      </w:r>
      <w:r>
        <w:rPr>
          <w:b/>
          <w:bCs/>
          <w:sz w:val="24"/>
          <w:szCs w:val="24"/>
        </w:rPr>
        <w:t>625</w:t>
      </w:r>
      <w:r>
        <w:rPr>
          <w:sz w:val="24"/>
          <w:szCs w:val="24"/>
        </w:rPr>
        <w:t xml:space="preserve"> </w:t>
      </w:r>
      <w:r>
        <w:rPr>
          <w:b/>
          <w:sz w:val="24"/>
          <w:szCs w:val="24"/>
        </w:rPr>
        <w:t>m²</w:t>
      </w:r>
      <w:r>
        <w:rPr>
          <w:sz w:val="24"/>
          <w:szCs w:val="24"/>
        </w:rPr>
        <w:t xml:space="preserve"> în construcţiile civile cu nivelul de stabilitate la incendiu </w:t>
      </w:r>
      <w:r>
        <w:rPr>
          <w:b/>
          <w:sz w:val="24"/>
          <w:szCs w:val="24"/>
        </w:rPr>
        <w:t>III</w:t>
      </w:r>
      <w:r>
        <w:rPr>
          <w:sz w:val="24"/>
          <w:szCs w:val="24"/>
        </w:rPr>
        <w:t>;</w:t>
      </w:r>
    </w:p>
    <w:p w14:paraId="0AAA512E" w14:textId="77777777" w:rsidR="001C08A5" w:rsidRDefault="00000000">
      <w:pPr>
        <w:pStyle w:val="BodyTextIndent2"/>
        <w:numPr>
          <w:ilvl w:val="0"/>
          <w:numId w:val="68"/>
        </w:numPr>
        <w:tabs>
          <w:tab w:val="clear" w:pos="1500"/>
        </w:tabs>
        <w:suppressAutoHyphens w:val="0"/>
        <w:spacing w:after="0" w:line="240" w:lineRule="auto"/>
        <w:ind w:left="1554" w:right="-181" w:firstLine="0"/>
        <w:jc w:val="both"/>
        <w:rPr>
          <w:sz w:val="24"/>
          <w:szCs w:val="24"/>
        </w:rPr>
      </w:pPr>
      <w:r>
        <w:rPr>
          <w:b/>
          <w:bCs/>
          <w:sz w:val="24"/>
          <w:szCs w:val="24"/>
        </w:rPr>
        <w:t xml:space="preserve">35 </w:t>
      </w:r>
      <w:r>
        <w:rPr>
          <w:bCs/>
          <w:sz w:val="24"/>
          <w:szCs w:val="24"/>
        </w:rPr>
        <w:t>m</w:t>
      </w:r>
      <w:r>
        <w:rPr>
          <w:sz w:val="24"/>
          <w:szCs w:val="24"/>
        </w:rPr>
        <w:t xml:space="preserve"> distanţă, într-o arie de maximum </w:t>
      </w:r>
      <w:r>
        <w:rPr>
          <w:b/>
          <w:bCs/>
          <w:sz w:val="24"/>
          <w:szCs w:val="24"/>
        </w:rPr>
        <w:t>500</w:t>
      </w:r>
      <w:r>
        <w:rPr>
          <w:sz w:val="24"/>
          <w:szCs w:val="24"/>
        </w:rPr>
        <w:t xml:space="preserve"> </w:t>
      </w:r>
      <w:r>
        <w:rPr>
          <w:b/>
          <w:sz w:val="24"/>
          <w:szCs w:val="24"/>
        </w:rPr>
        <w:t>m²</w:t>
      </w:r>
      <w:r>
        <w:rPr>
          <w:sz w:val="24"/>
          <w:szCs w:val="24"/>
        </w:rPr>
        <w:t xml:space="preserve"> în construcţiile civile cu nivelul de stabilitate la incendiu </w:t>
      </w:r>
      <w:r>
        <w:rPr>
          <w:b/>
          <w:sz w:val="24"/>
          <w:szCs w:val="24"/>
        </w:rPr>
        <w:t>IV</w:t>
      </w:r>
      <w:r>
        <w:rPr>
          <w:sz w:val="24"/>
          <w:szCs w:val="24"/>
        </w:rPr>
        <w:t>;</w:t>
      </w:r>
    </w:p>
    <w:p w14:paraId="42F903C3" w14:textId="77777777" w:rsidR="001C08A5" w:rsidRDefault="00000000">
      <w:pPr>
        <w:pStyle w:val="BodyTextIndent2"/>
        <w:numPr>
          <w:ilvl w:val="0"/>
          <w:numId w:val="68"/>
        </w:numPr>
        <w:tabs>
          <w:tab w:val="clear" w:pos="1500"/>
        </w:tabs>
        <w:suppressAutoHyphens w:val="0"/>
        <w:spacing w:after="0" w:line="240" w:lineRule="auto"/>
        <w:ind w:left="1554" w:right="-181" w:firstLine="0"/>
        <w:jc w:val="both"/>
        <w:rPr>
          <w:sz w:val="24"/>
          <w:szCs w:val="24"/>
        </w:rPr>
      </w:pPr>
      <w:r>
        <w:rPr>
          <w:b/>
          <w:bCs/>
          <w:sz w:val="24"/>
          <w:szCs w:val="24"/>
        </w:rPr>
        <w:t xml:space="preserve">25 </w:t>
      </w:r>
      <w:r>
        <w:rPr>
          <w:bCs/>
          <w:sz w:val="24"/>
          <w:szCs w:val="24"/>
        </w:rPr>
        <w:t>m</w:t>
      </w:r>
      <w:r>
        <w:rPr>
          <w:sz w:val="24"/>
          <w:szCs w:val="24"/>
        </w:rPr>
        <w:t xml:space="preserve"> distanţă, într-o arie de maximum </w:t>
      </w:r>
      <w:r>
        <w:rPr>
          <w:b/>
          <w:bCs/>
          <w:sz w:val="24"/>
          <w:szCs w:val="24"/>
        </w:rPr>
        <w:t>300</w:t>
      </w:r>
      <w:r>
        <w:rPr>
          <w:sz w:val="24"/>
          <w:szCs w:val="24"/>
        </w:rPr>
        <w:t xml:space="preserve"> </w:t>
      </w:r>
      <w:r>
        <w:rPr>
          <w:b/>
          <w:sz w:val="24"/>
          <w:szCs w:val="24"/>
        </w:rPr>
        <w:t>m²</w:t>
      </w:r>
      <w:r>
        <w:rPr>
          <w:sz w:val="24"/>
          <w:szCs w:val="24"/>
        </w:rPr>
        <w:t xml:space="preserve"> în construcţiile civile cu nivelul de stabilitate la incendiu </w:t>
      </w:r>
      <w:r>
        <w:rPr>
          <w:b/>
          <w:sz w:val="24"/>
          <w:szCs w:val="24"/>
        </w:rPr>
        <w:t>V</w:t>
      </w:r>
      <w:r>
        <w:rPr>
          <w:sz w:val="24"/>
          <w:szCs w:val="24"/>
        </w:rPr>
        <w:t>.</w:t>
      </w:r>
    </w:p>
    <w:p w14:paraId="66123691" w14:textId="77777777" w:rsidR="001C08A5" w:rsidRDefault="00000000">
      <w:pPr>
        <w:suppressAutoHyphens w:val="0"/>
        <w:autoSpaceDE w:val="0"/>
        <w:autoSpaceDN w:val="0"/>
        <w:adjustRightInd w:val="0"/>
        <w:ind w:firstLine="720"/>
        <w:jc w:val="both"/>
        <w:rPr>
          <w:b/>
          <w:sz w:val="24"/>
          <w:szCs w:val="24"/>
          <w:lang w:eastAsia="ro-RO"/>
        </w:rPr>
      </w:pPr>
      <w:r>
        <w:rPr>
          <w:b/>
          <w:sz w:val="24"/>
          <w:szCs w:val="24"/>
        </w:rPr>
        <w:t xml:space="preserve">(4) </w:t>
      </w:r>
      <w:r>
        <w:rPr>
          <w:sz w:val="24"/>
          <w:szCs w:val="24"/>
        </w:rPr>
        <w:t xml:space="preserve">Mansardarea clădirilor civile cu nivel de stabilitate la incendiu </w:t>
      </w:r>
      <w:r>
        <w:rPr>
          <w:b/>
          <w:bCs/>
          <w:sz w:val="24"/>
          <w:szCs w:val="24"/>
        </w:rPr>
        <w:t>I-II</w:t>
      </w:r>
      <w:r>
        <w:rPr>
          <w:sz w:val="24"/>
          <w:szCs w:val="24"/>
        </w:rPr>
        <w:t xml:space="preserve">, este admisă în condiţiile </w:t>
      </w:r>
      <w:r>
        <w:rPr>
          <w:b/>
          <w:sz w:val="24"/>
          <w:szCs w:val="24"/>
        </w:rPr>
        <w:t>alin. (1)</w:t>
      </w:r>
      <w:r>
        <w:rPr>
          <w:sz w:val="24"/>
          <w:szCs w:val="24"/>
        </w:rPr>
        <w:t>, iar elementele de c</w:t>
      </w:r>
      <w:r>
        <w:rPr>
          <w:sz w:val="24"/>
          <w:szCs w:val="24"/>
          <w:lang w:eastAsia="ro-RO"/>
        </w:rPr>
        <w:t xml:space="preserve">onstrucţie structurale, utilizate la realizarea mansardei au minimum </w:t>
      </w:r>
      <w:r>
        <w:rPr>
          <w:sz w:val="24"/>
          <w:szCs w:val="24"/>
        </w:rPr>
        <w:t>clasa de reactie la foc</w:t>
      </w:r>
      <w:r>
        <w:rPr>
          <w:b/>
          <w:sz w:val="24"/>
          <w:szCs w:val="24"/>
        </w:rPr>
        <w:t xml:space="preserve"> A1, A2 s1,d0.</w:t>
      </w:r>
    </w:p>
    <w:p w14:paraId="63C433A3" w14:textId="77777777" w:rsidR="001C08A5" w:rsidRDefault="00000000">
      <w:pPr>
        <w:ind w:firstLine="720"/>
        <w:jc w:val="both"/>
        <w:rPr>
          <w:sz w:val="24"/>
          <w:szCs w:val="24"/>
        </w:rPr>
      </w:pPr>
      <w:r>
        <w:rPr>
          <w:b/>
          <w:sz w:val="24"/>
          <w:szCs w:val="24"/>
        </w:rPr>
        <w:t xml:space="preserve">(5) </w:t>
      </w:r>
      <w:r>
        <w:rPr>
          <w:sz w:val="24"/>
          <w:szCs w:val="24"/>
        </w:rPr>
        <w:t xml:space="preserve">În clădirile cu nivelul de stabilitate la incendiu </w:t>
      </w:r>
      <w:r>
        <w:rPr>
          <w:b/>
          <w:sz w:val="24"/>
          <w:szCs w:val="24"/>
        </w:rPr>
        <w:t>III-V</w:t>
      </w:r>
      <w:r>
        <w:rPr>
          <w:sz w:val="24"/>
          <w:szCs w:val="24"/>
        </w:rPr>
        <w:t xml:space="preserve">, mansardarea este admisă în condiţiile respectării prevederilor din </w:t>
      </w:r>
      <w:r>
        <w:rPr>
          <w:rFonts w:cs="Mangal"/>
          <w:b/>
          <w:i/>
          <w:iCs/>
          <w:sz w:val="24"/>
          <w:szCs w:val="24"/>
        </w:rPr>
        <w:fldChar w:fldCharType="begin"/>
      </w:r>
      <w:r>
        <w:rPr>
          <w:rFonts w:cs="Mangal"/>
          <w:b/>
          <w:i/>
          <w:iCs/>
          <w:sz w:val="24"/>
          <w:szCs w:val="24"/>
        </w:rPr>
        <w:instrText xml:space="preserve"> REF _Ref2948 \h </w:instrText>
      </w:r>
      <w:r>
        <w:rPr>
          <w:rFonts w:cs="Mangal"/>
          <w:b/>
          <w:i/>
          <w:iCs/>
          <w:sz w:val="24"/>
          <w:szCs w:val="24"/>
        </w:rPr>
      </w:r>
      <w:r>
        <w:rPr>
          <w:rFonts w:cs="Mangal"/>
          <w:b/>
          <w:i/>
          <w:iCs/>
          <w:sz w:val="24"/>
          <w:szCs w:val="24"/>
        </w:rPr>
        <w:fldChar w:fldCharType="separate"/>
      </w:r>
      <w:r>
        <w:t>Tabelul 42</w:t>
      </w:r>
      <w:r>
        <w:rPr>
          <w:rFonts w:cs="Mangal"/>
          <w:b/>
          <w:i/>
          <w:iCs/>
          <w:sz w:val="24"/>
          <w:szCs w:val="24"/>
        </w:rPr>
        <w:fldChar w:fldCharType="end"/>
      </w:r>
      <w:r>
        <w:rPr>
          <w:b/>
          <w:sz w:val="24"/>
          <w:szCs w:val="24"/>
        </w:rPr>
        <w:t xml:space="preserve">, </w:t>
      </w:r>
      <w:r>
        <w:rPr>
          <w:bCs/>
          <w:sz w:val="24"/>
          <w:szCs w:val="24"/>
        </w:rPr>
        <w:t xml:space="preserve">numărul de niveluri ale mansardei </w:t>
      </w:r>
      <w:r>
        <w:rPr>
          <w:rFonts w:eastAsia="Times-Roman"/>
          <w:bCs/>
          <w:sz w:val="24"/>
          <w:szCs w:val="24"/>
        </w:rPr>
        <w:t xml:space="preserve">incluzându-se în numărul de niveluri supraterane ale construcţiei și luându-se calcul la determinarea nivelului de stabilitate la incendiu al construcţiei. </w:t>
      </w:r>
    </w:p>
    <w:p w14:paraId="78FDE1AF" w14:textId="77777777" w:rsidR="001C08A5" w:rsidRDefault="001C08A5">
      <w:pPr>
        <w:ind w:firstLine="2160"/>
        <w:jc w:val="both"/>
        <w:rPr>
          <w:sz w:val="24"/>
          <w:szCs w:val="24"/>
        </w:rPr>
      </w:pPr>
    </w:p>
    <w:p w14:paraId="3EC7DEE0" w14:textId="77777777" w:rsidR="001C08A5" w:rsidRDefault="00000000">
      <w:pPr>
        <w:pStyle w:val="BodyTextIndent3"/>
        <w:spacing w:after="0"/>
        <w:ind w:left="0" w:firstLine="720"/>
        <w:jc w:val="both"/>
        <w:rPr>
          <w:strike/>
          <w:sz w:val="24"/>
          <w:szCs w:val="24"/>
        </w:rPr>
      </w:pPr>
      <w:r>
        <w:rPr>
          <w:b/>
          <w:sz w:val="24"/>
          <w:szCs w:val="24"/>
        </w:rPr>
        <w:tab/>
      </w:r>
    </w:p>
    <w:p w14:paraId="14BE0B39" w14:textId="77777777" w:rsidR="001C08A5" w:rsidRDefault="00000000">
      <w:pPr>
        <w:pStyle w:val="Heading4"/>
      </w:pPr>
      <w:bookmarkStart w:id="2969" w:name="_Toc23003"/>
      <w:bookmarkStart w:id="2970" w:name="_Toc24263"/>
      <w:bookmarkStart w:id="2971" w:name="_Toc16486"/>
      <w:bookmarkStart w:id="2972" w:name="_Toc162355282"/>
      <w:bookmarkStart w:id="2973" w:name="_Toc8522"/>
      <w:bookmarkStart w:id="2974" w:name="_Toc24516"/>
      <w:bookmarkStart w:id="2975" w:name="_Toc1096"/>
      <w:bookmarkStart w:id="2976" w:name="_Toc30877"/>
      <w:r>
        <w:t>3.1.3. LIMITAREA PROPAGĂRII INCENDIILOR</w:t>
      </w:r>
      <w:bookmarkEnd w:id="2969"/>
      <w:bookmarkEnd w:id="2970"/>
      <w:bookmarkEnd w:id="2971"/>
      <w:bookmarkEnd w:id="2972"/>
      <w:bookmarkEnd w:id="2973"/>
      <w:bookmarkEnd w:id="2974"/>
      <w:bookmarkEnd w:id="2975"/>
      <w:bookmarkEnd w:id="2976"/>
    </w:p>
    <w:p w14:paraId="59C146FF" w14:textId="77777777" w:rsidR="001C08A5" w:rsidRDefault="001C08A5">
      <w:pPr>
        <w:jc w:val="both"/>
        <w:rPr>
          <w:sz w:val="24"/>
          <w:szCs w:val="24"/>
        </w:rPr>
      </w:pPr>
    </w:p>
    <w:p w14:paraId="66CD94CD" w14:textId="77777777" w:rsidR="001C08A5" w:rsidRDefault="00000000">
      <w:pPr>
        <w:tabs>
          <w:tab w:val="left" w:pos="1843"/>
          <w:tab w:val="left" w:pos="6663"/>
        </w:tabs>
        <w:ind w:firstLine="720"/>
        <w:jc w:val="both"/>
        <w:rPr>
          <w:sz w:val="24"/>
          <w:szCs w:val="24"/>
        </w:rPr>
      </w:pPr>
      <w:r>
        <w:rPr>
          <w:b/>
          <w:sz w:val="24"/>
          <w:szCs w:val="24"/>
        </w:rPr>
        <w:t xml:space="preserve">Art. 3.1.3.1. </w:t>
      </w:r>
      <w:r>
        <w:rPr>
          <w:sz w:val="24"/>
          <w:szCs w:val="24"/>
        </w:rPr>
        <w:t xml:space="preserve">În cadrul construcţiilor civile, se asigură separarea încăperilor de restul construcţiei potrivit prevederilor privind performanțele comune și specifice, iar atunci când norma nu dispune, prin pereţi neportanți despărţitori interiori cu rol de limitare a propagării focului  potrivit prevederilor din </w:t>
      </w:r>
      <w:r>
        <w:rPr>
          <w:b/>
          <w:sz w:val="24"/>
          <w:szCs w:val="24"/>
        </w:rPr>
        <w:t>Art.</w:t>
      </w:r>
      <w:r>
        <w:rPr>
          <w:b/>
          <w:bCs/>
          <w:sz w:val="24"/>
          <w:szCs w:val="24"/>
        </w:rPr>
        <w:t>2.1.3.</w:t>
      </w:r>
      <w:r>
        <w:rPr>
          <w:b/>
          <w:sz w:val="24"/>
          <w:szCs w:val="24"/>
        </w:rPr>
        <w:t>2.</w:t>
      </w:r>
      <w:r>
        <w:rPr>
          <w:sz w:val="24"/>
          <w:szCs w:val="24"/>
        </w:rPr>
        <w:t xml:space="preserve"> şi </w:t>
      </w:r>
      <w:r>
        <w:rPr>
          <w:rFonts w:cs="Mangal"/>
          <w:b/>
          <w:i/>
          <w:iCs/>
          <w:sz w:val="24"/>
          <w:szCs w:val="24"/>
        </w:rPr>
        <w:fldChar w:fldCharType="begin"/>
      </w:r>
      <w:r>
        <w:rPr>
          <w:rFonts w:cs="Mangal"/>
          <w:b/>
          <w:i/>
          <w:iCs/>
          <w:sz w:val="24"/>
          <w:szCs w:val="24"/>
        </w:rPr>
        <w:instrText xml:space="preserve"> REF _Ref26473 \h </w:instrText>
      </w:r>
      <w:r>
        <w:rPr>
          <w:rFonts w:cs="Mangal"/>
          <w:b/>
          <w:i/>
          <w:iCs/>
          <w:sz w:val="24"/>
          <w:szCs w:val="24"/>
        </w:rPr>
      </w:r>
      <w:r>
        <w:rPr>
          <w:rFonts w:cs="Mangal"/>
          <w:b/>
          <w:i/>
          <w:iCs/>
          <w:sz w:val="24"/>
          <w:szCs w:val="24"/>
        </w:rPr>
        <w:fldChar w:fldCharType="separate"/>
      </w:r>
      <w:r>
        <w:t>Tabelul 2</w:t>
      </w:r>
      <w:r>
        <w:rPr>
          <w:rFonts w:cs="Mangal"/>
          <w:b/>
          <w:i/>
          <w:iCs/>
          <w:sz w:val="24"/>
          <w:szCs w:val="24"/>
        </w:rPr>
        <w:fldChar w:fldCharType="end"/>
      </w:r>
      <w:r>
        <w:rPr>
          <w:b/>
          <w:bCs/>
          <w:sz w:val="24"/>
          <w:szCs w:val="24"/>
        </w:rPr>
        <w:t>.</w:t>
      </w:r>
    </w:p>
    <w:p w14:paraId="77D27973" w14:textId="77777777" w:rsidR="001C08A5" w:rsidRDefault="001C08A5">
      <w:pPr>
        <w:jc w:val="both"/>
        <w:rPr>
          <w:b/>
          <w:sz w:val="24"/>
          <w:szCs w:val="24"/>
        </w:rPr>
      </w:pPr>
    </w:p>
    <w:p w14:paraId="608A3014" w14:textId="77777777" w:rsidR="001C08A5" w:rsidRDefault="00000000">
      <w:pPr>
        <w:jc w:val="both"/>
        <w:rPr>
          <w:sz w:val="24"/>
          <w:szCs w:val="24"/>
        </w:rPr>
      </w:pPr>
      <w:r>
        <w:rPr>
          <w:b/>
          <w:sz w:val="24"/>
          <w:szCs w:val="24"/>
        </w:rPr>
        <w:tab/>
        <w:t xml:space="preserve">Art. 3.1.3.2. </w:t>
      </w:r>
      <w:r>
        <w:rPr>
          <w:sz w:val="24"/>
          <w:szCs w:val="24"/>
        </w:rPr>
        <w:t>Măsurile de securitate la incendiu pentru construcţiile civile supraterane cu înălţimi obişnuite, se stabilesc şi se asigură în funcţie de nivelul de stabilitate la incendiu asigurat, destinaţie, riscuri de incendiu, numărul de niveluri, densităţile sarcinilor termice (q) și tip de clădire, conform prevederilor normativului.</w:t>
      </w:r>
    </w:p>
    <w:p w14:paraId="3063607C" w14:textId="77777777" w:rsidR="001C08A5" w:rsidRDefault="00000000">
      <w:pPr>
        <w:jc w:val="both"/>
        <w:rPr>
          <w:sz w:val="24"/>
          <w:szCs w:val="24"/>
        </w:rPr>
      </w:pPr>
      <w:r>
        <w:rPr>
          <w:sz w:val="24"/>
          <w:szCs w:val="24"/>
        </w:rPr>
        <w:tab/>
      </w:r>
    </w:p>
    <w:p w14:paraId="6F793A21" w14:textId="77777777" w:rsidR="001C08A5" w:rsidRDefault="00000000">
      <w:pPr>
        <w:pStyle w:val="BodyText"/>
        <w:rPr>
          <w:b w:val="0"/>
          <w:bCs w:val="0"/>
          <w:i w:val="0"/>
          <w:iCs/>
        </w:rPr>
      </w:pPr>
      <w:r>
        <w:tab/>
      </w:r>
      <w:r>
        <w:rPr>
          <w:i w:val="0"/>
          <w:iCs/>
        </w:rPr>
        <w:t xml:space="preserve">Art. 3.1.3.3. </w:t>
      </w:r>
      <w:r>
        <w:rPr>
          <w:bCs w:val="0"/>
          <w:i w:val="0"/>
          <w:iCs/>
        </w:rPr>
        <w:t>(1)</w:t>
      </w:r>
      <w:r>
        <w:rPr>
          <w:b w:val="0"/>
          <w:bCs w:val="0"/>
          <w:i w:val="0"/>
          <w:iCs/>
        </w:rPr>
        <w:t xml:space="preserve"> Pentru limitarea propagării incendiului în interiorul unui compartiment de incendiu se prevăd pereţi despărţitori cu rol de sectorizare </w:t>
      </w:r>
      <w:hyperlink r:id="rId185" w:history="1">
        <w:r>
          <w:rPr>
            <w:b w:val="0"/>
            <w:bCs w:val="0"/>
            <w:i w:val="0"/>
            <w:iCs/>
          </w:rPr>
          <w:t>de</w:t>
        </w:r>
      </w:hyperlink>
      <w:r>
        <w:rPr>
          <w:b w:val="0"/>
          <w:bCs w:val="0"/>
          <w:i w:val="0"/>
          <w:iCs/>
        </w:rPr>
        <w:t> </w:t>
      </w:r>
      <w:hyperlink r:id="rId186" w:history="1">
        <w:r>
          <w:rPr>
            <w:b w:val="0"/>
            <w:bCs w:val="0"/>
            <w:i w:val="0"/>
            <w:iCs/>
          </w:rPr>
          <w:t>protecţie</w:t>
        </w:r>
      </w:hyperlink>
      <w:r>
        <w:rPr>
          <w:b w:val="0"/>
          <w:bCs w:val="0"/>
          <w:i w:val="0"/>
          <w:iCs/>
        </w:rPr>
        <w:t> </w:t>
      </w:r>
      <w:hyperlink r:id="rId187" w:history="1">
        <w:r>
          <w:rPr>
            <w:b w:val="0"/>
            <w:bCs w:val="0"/>
            <w:i w:val="0"/>
            <w:iCs/>
          </w:rPr>
          <w:t>contra</w:t>
        </w:r>
      </w:hyperlink>
      <w:r>
        <w:rPr>
          <w:b w:val="0"/>
          <w:bCs w:val="0"/>
          <w:i w:val="0"/>
          <w:iCs/>
        </w:rPr>
        <w:t> </w:t>
      </w:r>
      <w:hyperlink r:id="rId188" w:history="1">
        <w:r>
          <w:rPr>
            <w:b w:val="0"/>
            <w:bCs w:val="0"/>
            <w:i w:val="0"/>
            <w:iCs/>
          </w:rPr>
          <w:t>incendiilor</w:t>
        </w:r>
      </w:hyperlink>
      <w:r>
        <w:rPr>
          <w:b w:val="0"/>
          <w:bCs w:val="0"/>
          <w:i w:val="0"/>
          <w:iCs/>
        </w:rPr>
        <w:t xml:space="preserve"> care limitează propagarea în interiorul compartimentelor de incendiu care secţioneaza transversal clădirea civilă (pot avea traseu sinuos şi pot fi decalaţi în plan vertical). </w:t>
      </w:r>
    </w:p>
    <w:p w14:paraId="18B7EFF6" w14:textId="77777777" w:rsidR="001C08A5" w:rsidRDefault="00000000">
      <w:pPr>
        <w:pStyle w:val="BodyText"/>
        <w:ind w:firstLine="720"/>
        <w:rPr>
          <w:b w:val="0"/>
          <w:bCs w:val="0"/>
          <w:i w:val="0"/>
          <w:iCs/>
        </w:rPr>
      </w:pPr>
      <w:r>
        <w:rPr>
          <w:bCs w:val="0"/>
          <w:i w:val="0"/>
          <w:iCs/>
        </w:rPr>
        <w:t xml:space="preserve">(2) </w:t>
      </w:r>
      <w:r>
        <w:rPr>
          <w:b w:val="0"/>
          <w:bCs w:val="0"/>
          <w:i w:val="0"/>
          <w:iCs/>
          <w:lang w:eastAsia="ro-RO"/>
        </w:rPr>
        <w:t xml:space="preserve">Condiţiile minime pe care trebuie să le îndeplinească </w:t>
      </w:r>
      <w:r>
        <w:rPr>
          <w:b w:val="0"/>
          <w:bCs w:val="0"/>
          <w:i w:val="0"/>
          <w:iCs/>
        </w:rPr>
        <w:t>pereţii și ușile pereţiilor despărţitori cu rol de sectorizare prevăzuţi pentru limitarea propagării incendiului în interiorul unui compartiment de incendiu</w:t>
      </w:r>
      <w:r>
        <w:rPr>
          <w:b w:val="0"/>
          <w:bCs w:val="0"/>
          <w:i w:val="0"/>
          <w:iCs/>
          <w:lang w:eastAsia="ro-RO"/>
        </w:rPr>
        <w:t xml:space="preserve">sunt precizate în </w:t>
      </w:r>
      <w:r>
        <w:rPr>
          <w:rFonts w:cs="Mangal"/>
          <w:bCs w:val="0"/>
          <w:iCs/>
          <w:lang w:eastAsia="ro-RO"/>
        </w:rPr>
        <w:fldChar w:fldCharType="begin"/>
      </w:r>
      <w:r>
        <w:rPr>
          <w:rFonts w:cs="Mangal"/>
          <w:bCs w:val="0"/>
          <w:iCs/>
          <w:lang w:eastAsia="ro-RO"/>
        </w:rPr>
        <w:instrText xml:space="preserve"> REF _Ref12784 \h </w:instrText>
      </w:r>
      <w:r>
        <w:rPr>
          <w:rFonts w:cs="Mangal"/>
          <w:bCs w:val="0"/>
          <w:iCs/>
          <w:lang w:eastAsia="ro-RO"/>
        </w:rPr>
      </w:r>
      <w:r>
        <w:rPr>
          <w:rFonts w:cs="Mangal"/>
          <w:bCs w:val="0"/>
          <w:iCs/>
          <w:lang w:eastAsia="ro-RO"/>
        </w:rPr>
        <w:fldChar w:fldCharType="separate"/>
      </w:r>
      <w:r>
        <w:t>Tabelul 45</w:t>
      </w:r>
      <w:r>
        <w:rPr>
          <w:rFonts w:cs="Mangal"/>
          <w:bCs w:val="0"/>
          <w:iCs/>
          <w:lang w:eastAsia="ro-RO"/>
        </w:rPr>
        <w:fldChar w:fldCharType="end"/>
      </w:r>
      <w:r>
        <w:rPr>
          <w:i w:val="0"/>
          <w:iCs/>
          <w:lang w:eastAsia="ro-RO"/>
        </w:rPr>
        <w:t xml:space="preserve">. </w:t>
      </w:r>
    </w:p>
    <w:p w14:paraId="637D8077" w14:textId="77777777" w:rsidR="001C08A5" w:rsidRDefault="00000000">
      <w:pPr>
        <w:pStyle w:val="BodyText"/>
        <w:rPr>
          <w:b w:val="0"/>
          <w:bCs w:val="0"/>
          <w:i w:val="0"/>
          <w:iCs/>
        </w:rPr>
      </w:pPr>
      <w:r>
        <w:rPr>
          <w:b w:val="0"/>
          <w:bCs w:val="0"/>
          <w:i w:val="0"/>
          <w:iCs/>
        </w:rPr>
        <w:tab/>
      </w:r>
      <w:r>
        <w:rPr>
          <w:bCs w:val="0"/>
          <w:i w:val="0"/>
          <w:iCs/>
        </w:rPr>
        <w:t xml:space="preserve">(3) </w:t>
      </w:r>
      <w:r>
        <w:rPr>
          <w:b w:val="0"/>
          <w:i w:val="0"/>
          <w:iCs/>
        </w:rPr>
        <w:t>În clădirile civile a</w:t>
      </w:r>
      <w:r>
        <w:rPr>
          <w:b w:val="0"/>
          <w:bCs w:val="0"/>
          <w:i w:val="0"/>
          <w:iCs/>
        </w:rPr>
        <w:t>ceşti pereţi cu rol de sectorizare prevăzuţi pentru limitarea propagării incendiului în interiorul unui compartiment de incendiu, se amplasează la cel mult:</w:t>
      </w:r>
    </w:p>
    <w:p w14:paraId="60B635BD" w14:textId="77777777" w:rsidR="001C08A5" w:rsidRDefault="00000000">
      <w:pPr>
        <w:pStyle w:val="BodyTextIndent2"/>
        <w:numPr>
          <w:ilvl w:val="0"/>
          <w:numId w:val="69"/>
        </w:numPr>
        <w:tabs>
          <w:tab w:val="clear" w:pos="425"/>
        </w:tabs>
        <w:suppressAutoHyphens w:val="0"/>
        <w:spacing w:after="0" w:line="240" w:lineRule="auto"/>
        <w:ind w:left="1554" w:right="-181" w:firstLine="0"/>
        <w:jc w:val="both"/>
        <w:rPr>
          <w:sz w:val="24"/>
          <w:szCs w:val="24"/>
        </w:rPr>
      </w:pPr>
      <w:r>
        <w:rPr>
          <w:b/>
          <w:bCs/>
          <w:sz w:val="24"/>
          <w:szCs w:val="24"/>
        </w:rPr>
        <w:t xml:space="preserve">130 </w:t>
      </w:r>
      <w:r>
        <w:rPr>
          <w:bCs/>
          <w:sz w:val="24"/>
          <w:szCs w:val="24"/>
        </w:rPr>
        <w:t>m</w:t>
      </w:r>
      <w:r>
        <w:rPr>
          <w:sz w:val="24"/>
          <w:szCs w:val="24"/>
        </w:rPr>
        <w:t xml:space="preserve"> distanţă în construcţiile civile cu nivelul de stabilitate la incendiu </w:t>
      </w:r>
      <w:r>
        <w:rPr>
          <w:b/>
          <w:sz w:val="24"/>
          <w:szCs w:val="24"/>
        </w:rPr>
        <w:t>I</w:t>
      </w:r>
      <w:r>
        <w:rPr>
          <w:sz w:val="24"/>
          <w:szCs w:val="24"/>
        </w:rPr>
        <w:t>;</w:t>
      </w:r>
    </w:p>
    <w:p w14:paraId="49386BB3" w14:textId="77777777" w:rsidR="001C08A5" w:rsidRDefault="00000000">
      <w:pPr>
        <w:pStyle w:val="BodyTextIndent2"/>
        <w:numPr>
          <w:ilvl w:val="0"/>
          <w:numId w:val="69"/>
        </w:numPr>
        <w:tabs>
          <w:tab w:val="clear" w:pos="425"/>
        </w:tabs>
        <w:suppressAutoHyphens w:val="0"/>
        <w:spacing w:after="0" w:line="240" w:lineRule="auto"/>
        <w:ind w:left="1554" w:right="-181" w:firstLine="0"/>
        <w:jc w:val="both"/>
        <w:rPr>
          <w:sz w:val="24"/>
          <w:szCs w:val="24"/>
        </w:rPr>
      </w:pPr>
      <w:r>
        <w:rPr>
          <w:b/>
          <w:bCs/>
          <w:sz w:val="24"/>
          <w:szCs w:val="24"/>
        </w:rPr>
        <w:t xml:space="preserve">110 </w:t>
      </w:r>
      <w:r>
        <w:rPr>
          <w:bCs/>
          <w:sz w:val="24"/>
          <w:szCs w:val="24"/>
        </w:rPr>
        <w:t>m</w:t>
      </w:r>
      <w:r>
        <w:rPr>
          <w:sz w:val="24"/>
          <w:szCs w:val="24"/>
        </w:rPr>
        <w:t xml:space="preserve"> distanţă în construcţiile civile cu nivelul de stabilitate la incendiu </w:t>
      </w:r>
      <w:r>
        <w:rPr>
          <w:b/>
          <w:sz w:val="24"/>
          <w:szCs w:val="24"/>
        </w:rPr>
        <w:t>II</w:t>
      </w:r>
      <w:r>
        <w:rPr>
          <w:sz w:val="24"/>
          <w:szCs w:val="24"/>
        </w:rPr>
        <w:t>;</w:t>
      </w:r>
    </w:p>
    <w:p w14:paraId="14889C47" w14:textId="77777777" w:rsidR="001C08A5" w:rsidRDefault="00000000">
      <w:pPr>
        <w:pStyle w:val="BodyTextIndent2"/>
        <w:numPr>
          <w:ilvl w:val="0"/>
          <w:numId w:val="69"/>
        </w:numPr>
        <w:tabs>
          <w:tab w:val="clear" w:pos="425"/>
        </w:tabs>
        <w:suppressAutoHyphens w:val="0"/>
        <w:spacing w:after="0" w:line="240" w:lineRule="auto"/>
        <w:ind w:left="1554" w:right="-181" w:firstLine="0"/>
        <w:jc w:val="both"/>
        <w:rPr>
          <w:sz w:val="24"/>
          <w:szCs w:val="24"/>
        </w:rPr>
      </w:pPr>
      <w:r>
        <w:rPr>
          <w:b/>
          <w:bCs/>
          <w:sz w:val="24"/>
          <w:szCs w:val="24"/>
        </w:rPr>
        <w:t xml:space="preserve">90 </w:t>
      </w:r>
      <w:r>
        <w:rPr>
          <w:bCs/>
          <w:sz w:val="24"/>
          <w:szCs w:val="24"/>
        </w:rPr>
        <w:t>m</w:t>
      </w:r>
      <w:r>
        <w:rPr>
          <w:sz w:val="24"/>
          <w:szCs w:val="24"/>
        </w:rPr>
        <w:t xml:space="preserve"> distanţă în construcţiile civile cu nivelul de stabilitate la incendiu </w:t>
      </w:r>
      <w:r>
        <w:rPr>
          <w:b/>
          <w:sz w:val="24"/>
          <w:szCs w:val="24"/>
        </w:rPr>
        <w:t>III</w:t>
      </w:r>
      <w:r>
        <w:rPr>
          <w:sz w:val="24"/>
          <w:szCs w:val="24"/>
        </w:rPr>
        <w:t>;</w:t>
      </w:r>
    </w:p>
    <w:p w14:paraId="57E018FF" w14:textId="77777777" w:rsidR="001C08A5" w:rsidRDefault="00000000">
      <w:pPr>
        <w:pStyle w:val="BodyTextIndent2"/>
        <w:numPr>
          <w:ilvl w:val="0"/>
          <w:numId w:val="69"/>
        </w:numPr>
        <w:tabs>
          <w:tab w:val="clear" w:pos="425"/>
        </w:tabs>
        <w:suppressAutoHyphens w:val="0"/>
        <w:spacing w:after="0" w:line="240" w:lineRule="auto"/>
        <w:ind w:left="1554" w:right="-181" w:firstLine="0"/>
        <w:jc w:val="both"/>
        <w:rPr>
          <w:sz w:val="24"/>
          <w:szCs w:val="24"/>
        </w:rPr>
      </w:pPr>
      <w:r>
        <w:rPr>
          <w:b/>
          <w:bCs/>
          <w:sz w:val="24"/>
          <w:szCs w:val="24"/>
        </w:rPr>
        <w:t xml:space="preserve">70 </w:t>
      </w:r>
      <w:r>
        <w:rPr>
          <w:bCs/>
          <w:sz w:val="24"/>
          <w:szCs w:val="24"/>
        </w:rPr>
        <w:t>m</w:t>
      </w:r>
      <w:r>
        <w:rPr>
          <w:sz w:val="24"/>
          <w:szCs w:val="24"/>
        </w:rPr>
        <w:t xml:space="preserve"> distanţă în construcţiile civile cu nivelul de stabilitate la incendiu </w:t>
      </w:r>
      <w:r>
        <w:rPr>
          <w:b/>
          <w:sz w:val="24"/>
          <w:szCs w:val="24"/>
        </w:rPr>
        <w:t>IV</w:t>
      </w:r>
      <w:r>
        <w:rPr>
          <w:sz w:val="24"/>
          <w:szCs w:val="24"/>
        </w:rPr>
        <w:t>;</w:t>
      </w:r>
    </w:p>
    <w:p w14:paraId="4B2BDA3C" w14:textId="77777777" w:rsidR="001C08A5" w:rsidRDefault="00000000">
      <w:pPr>
        <w:pStyle w:val="BodyTextIndent2"/>
        <w:numPr>
          <w:ilvl w:val="0"/>
          <w:numId w:val="69"/>
        </w:numPr>
        <w:tabs>
          <w:tab w:val="clear" w:pos="425"/>
        </w:tabs>
        <w:suppressAutoHyphens w:val="0"/>
        <w:spacing w:after="0" w:line="240" w:lineRule="auto"/>
        <w:ind w:left="1554" w:right="-181" w:firstLine="0"/>
        <w:jc w:val="both"/>
        <w:rPr>
          <w:sz w:val="24"/>
          <w:szCs w:val="24"/>
        </w:rPr>
      </w:pPr>
      <w:r>
        <w:rPr>
          <w:b/>
          <w:bCs/>
          <w:sz w:val="24"/>
          <w:szCs w:val="24"/>
        </w:rPr>
        <w:t xml:space="preserve">50 </w:t>
      </w:r>
      <w:r>
        <w:rPr>
          <w:bCs/>
          <w:sz w:val="24"/>
          <w:szCs w:val="24"/>
        </w:rPr>
        <w:t>m</w:t>
      </w:r>
      <w:r>
        <w:rPr>
          <w:sz w:val="24"/>
          <w:szCs w:val="24"/>
        </w:rPr>
        <w:t xml:space="preserve"> distanţă în construcţiile civile cu nivelul de stabilitate la incendiu </w:t>
      </w:r>
      <w:r>
        <w:rPr>
          <w:b/>
          <w:sz w:val="24"/>
          <w:szCs w:val="24"/>
        </w:rPr>
        <w:t>V</w:t>
      </w:r>
      <w:r>
        <w:rPr>
          <w:sz w:val="24"/>
          <w:szCs w:val="24"/>
        </w:rPr>
        <w:t>.</w:t>
      </w:r>
    </w:p>
    <w:p w14:paraId="6C600357" w14:textId="77777777" w:rsidR="001C08A5" w:rsidRDefault="00000000">
      <w:pPr>
        <w:pStyle w:val="BodyTextIndent2"/>
        <w:spacing w:after="0" w:line="240" w:lineRule="auto"/>
        <w:ind w:left="0" w:right="91" w:firstLine="720"/>
        <w:jc w:val="both"/>
        <w:rPr>
          <w:sz w:val="24"/>
          <w:szCs w:val="24"/>
        </w:rPr>
      </w:pPr>
      <w:r>
        <w:rPr>
          <w:b/>
          <w:sz w:val="24"/>
          <w:szCs w:val="24"/>
        </w:rPr>
        <w:t xml:space="preserve">(4) </w:t>
      </w:r>
      <w:r>
        <w:rPr>
          <w:rFonts w:eastAsia="Times-Roman"/>
          <w:sz w:val="24"/>
          <w:szCs w:val="24"/>
        </w:rPr>
        <w:t>La clădirile de locuit separarea se face între apartamente precum şi între acestea şi circulaţiile comune orizontale, cu pereţi rezistenţi la foc conform dispozitiilor specifice.</w:t>
      </w:r>
    </w:p>
    <w:p w14:paraId="3A6D0EC0" w14:textId="77777777" w:rsidR="001C08A5" w:rsidRDefault="00000000">
      <w:pPr>
        <w:pStyle w:val="BodyTextIndent2"/>
        <w:spacing w:after="0" w:line="240" w:lineRule="auto"/>
        <w:ind w:left="0" w:right="91" w:firstLine="720"/>
        <w:jc w:val="both"/>
        <w:rPr>
          <w:sz w:val="24"/>
          <w:szCs w:val="24"/>
        </w:rPr>
      </w:pPr>
      <w:r>
        <w:rPr>
          <w:b/>
          <w:sz w:val="24"/>
          <w:szCs w:val="24"/>
        </w:rPr>
        <w:t xml:space="preserve">(5) </w:t>
      </w:r>
      <w:r>
        <w:rPr>
          <w:bCs/>
          <w:sz w:val="24"/>
          <w:szCs w:val="24"/>
        </w:rPr>
        <w:t xml:space="preserve">La clădirile cu pod, pereţii despărţitori </w:t>
      </w:r>
      <w:r>
        <w:rPr>
          <w:sz w:val="24"/>
          <w:szCs w:val="24"/>
        </w:rPr>
        <w:t>cu rol de sectorizare prevăzuţi pentru limitarea propagării incendiului în interiorul unui compartiment de incendiu</w:t>
      </w:r>
      <w:r>
        <w:rPr>
          <w:bCs/>
          <w:sz w:val="24"/>
          <w:szCs w:val="24"/>
        </w:rPr>
        <w:t xml:space="preserve"> trebuie să separe şi volumul podului</w:t>
      </w:r>
      <w:r>
        <w:rPr>
          <w:sz w:val="24"/>
          <w:szCs w:val="24"/>
        </w:rPr>
        <w:t>.</w:t>
      </w:r>
    </w:p>
    <w:p w14:paraId="04DBB631" w14:textId="77777777" w:rsidR="001C08A5" w:rsidRDefault="00000000">
      <w:pPr>
        <w:pStyle w:val="BodyTextIndent2"/>
        <w:spacing w:after="0" w:line="240" w:lineRule="auto"/>
        <w:ind w:left="0" w:right="91" w:firstLine="720"/>
        <w:jc w:val="both"/>
        <w:rPr>
          <w:bCs/>
          <w:sz w:val="24"/>
          <w:szCs w:val="24"/>
        </w:rPr>
      </w:pPr>
      <w:r>
        <w:rPr>
          <w:b/>
          <w:bCs/>
          <w:sz w:val="24"/>
          <w:szCs w:val="24"/>
        </w:rPr>
        <w:t xml:space="preserve">(6) </w:t>
      </w:r>
      <w:r>
        <w:rPr>
          <w:bCs/>
          <w:sz w:val="24"/>
          <w:szCs w:val="24"/>
        </w:rPr>
        <w:t>La clădirile de productie/ depozitare se respectă dispozițiile specifice.</w:t>
      </w:r>
    </w:p>
    <w:p w14:paraId="7BE9327D" w14:textId="77777777" w:rsidR="001C08A5" w:rsidRDefault="00000000">
      <w:pPr>
        <w:pStyle w:val="BodyTextIndent2"/>
        <w:spacing w:after="0" w:line="240" w:lineRule="auto"/>
        <w:ind w:left="0" w:right="91" w:firstLine="720"/>
        <w:jc w:val="both"/>
        <w:rPr>
          <w:sz w:val="24"/>
          <w:szCs w:val="24"/>
        </w:rPr>
      </w:pPr>
      <w:r>
        <w:rPr>
          <w:b/>
          <w:bCs/>
          <w:sz w:val="24"/>
          <w:szCs w:val="24"/>
        </w:rPr>
        <w:t xml:space="preserve">(7) </w:t>
      </w:r>
      <w:r>
        <w:rPr>
          <w:sz w:val="24"/>
          <w:szCs w:val="24"/>
        </w:rPr>
        <w:t>În toate cazurile în care se prevăd pereţi de sectorizare la sau între grupările de încăperi de tip open space, c</w:t>
      </w:r>
      <w:r>
        <w:rPr>
          <w:sz w:val="24"/>
          <w:szCs w:val="24"/>
          <w:shd w:val="clear" w:color="auto" w:fill="FFFFFF"/>
          <w:lang w:eastAsia="zh-CN"/>
        </w:rPr>
        <w:t xml:space="preserve">onform încadrării construcţiei/ compartimentului de incendiu în nivelul de stabilitate la incendiu, se respectă minimum prevederile din </w:t>
      </w:r>
      <w:r>
        <w:rPr>
          <w:rFonts w:cs="Mangal"/>
          <w:b/>
          <w:i/>
          <w:iCs/>
          <w:sz w:val="24"/>
          <w:szCs w:val="24"/>
          <w:lang w:eastAsia="zh-CN"/>
        </w:rPr>
        <w:fldChar w:fldCharType="begin"/>
      </w:r>
      <w:r>
        <w:rPr>
          <w:rFonts w:cs="Mangal"/>
          <w:b/>
          <w:i/>
          <w:iCs/>
          <w:sz w:val="24"/>
          <w:szCs w:val="24"/>
          <w:lang w:eastAsia="zh-CN"/>
        </w:rPr>
        <w:instrText xml:space="preserve"> REF _Ref12784 \h </w:instrText>
      </w:r>
      <w:r>
        <w:rPr>
          <w:rFonts w:cs="Mangal"/>
          <w:b/>
          <w:i/>
          <w:iCs/>
          <w:sz w:val="24"/>
          <w:szCs w:val="24"/>
          <w:lang w:eastAsia="zh-CN"/>
        </w:rPr>
      </w:r>
      <w:r>
        <w:rPr>
          <w:rFonts w:cs="Mangal"/>
          <w:b/>
          <w:i/>
          <w:iCs/>
          <w:sz w:val="24"/>
          <w:szCs w:val="24"/>
          <w:lang w:eastAsia="zh-CN"/>
        </w:rPr>
        <w:fldChar w:fldCharType="separate"/>
      </w:r>
      <w:r>
        <w:t>Tabelul 45</w:t>
      </w:r>
      <w:r>
        <w:rPr>
          <w:rFonts w:cs="Mangal"/>
          <w:b/>
          <w:i/>
          <w:iCs/>
          <w:sz w:val="24"/>
          <w:szCs w:val="24"/>
          <w:lang w:eastAsia="zh-CN"/>
        </w:rPr>
        <w:fldChar w:fldCharType="end"/>
      </w:r>
      <w:r>
        <w:rPr>
          <w:sz w:val="24"/>
          <w:szCs w:val="24"/>
          <w:shd w:val="clear" w:color="auto" w:fill="FFFFFF"/>
          <w:lang w:eastAsia="zh-CN"/>
        </w:rPr>
        <w:t xml:space="preserve">. </w:t>
      </w:r>
    </w:p>
    <w:p w14:paraId="3C42EA8F" w14:textId="77777777" w:rsidR="001C08A5" w:rsidRDefault="001C08A5">
      <w:pPr>
        <w:pStyle w:val="BodyText"/>
      </w:pPr>
    </w:p>
    <w:p w14:paraId="6E2D413E" w14:textId="77777777" w:rsidR="001C08A5" w:rsidRDefault="00000000">
      <w:pPr>
        <w:pStyle w:val="Captiontabel"/>
      </w:pPr>
      <w:bookmarkStart w:id="2977" w:name="_Ref12784"/>
      <w:bookmarkStart w:id="2978" w:name="_Toc162360095"/>
      <w:r>
        <w:t xml:space="preserve">Tabelul </w:t>
      </w:r>
      <w:r>
        <w:fldChar w:fldCharType="begin"/>
      </w:r>
      <w:r>
        <w:instrText xml:space="preserve"> SEQ Tabelul \* ARABIC </w:instrText>
      </w:r>
      <w:r>
        <w:fldChar w:fldCharType="separate"/>
      </w:r>
      <w:r>
        <w:t>45</w:t>
      </w:r>
      <w:r>
        <w:fldChar w:fldCharType="end"/>
      </w:r>
      <w:bookmarkStart w:id="2979" w:name="_Toc27439"/>
      <w:bookmarkStart w:id="2980" w:name="_Toc6598"/>
      <w:bookmarkStart w:id="2981" w:name="_Toc30707"/>
      <w:bookmarkStart w:id="2982" w:name="_Toc8931"/>
      <w:bookmarkStart w:id="2983" w:name="_Toc31641"/>
      <w:bookmarkStart w:id="2984" w:name="_Toc15658"/>
      <w:bookmarkStart w:id="2985" w:name="_Toc4818"/>
      <w:bookmarkStart w:id="2986" w:name="_Toc2704"/>
      <w:bookmarkStart w:id="2987" w:name="_Toc31254"/>
      <w:bookmarkStart w:id="2988" w:name="_Toc15802"/>
      <w:bookmarkStart w:id="2989" w:name="_Toc18203"/>
      <w:bookmarkStart w:id="2990" w:name="_Toc2321"/>
      <w:bookmarkStart w:id="2991" w:name="_Toc26130"/>
      <w:bookmarkStart w:id="2992" w:name="_Toc27424"/>
      <w:bookmarkStart w:id="2993" w:name="_Toc12030"/>
      <w:bookmarkStart w:id="2994" w:name="_Toc5131"/>
      <w:bookmarkStart w:id="2995" w:name="_Toc32542"/>
      <w:bookmarkStart w:id="2996" w:name="_Toc18419"/>
      <w:bookmarkStart w:id="2997" w:name="_Toc21612"/>
      <w:bookmarkEnd w:id="2977"/>
      <w:r>
        <w:t xml:space="preserve">: Comportare la foc a pereţilor și uşilor pereţilor cu rol de sectorizare prevăzuţi pentru </w:t>
      </w:r>
      <w:r>
        <w:lastRenderedPageBreak/>
        <w:t>limitarea propagării incendiului în interiorul unui compartiment de incendiu</w:t>
      </w:r>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p>
    <w:p w14:paraId="592CEACC" w14:textId="77777777" w:rsidR="001C08A5" w:rsidRDefault="001C08A5">
      <w:pPr>
        <w:suppressAutoHyphens w:val="0"/>
        <w:autoSpaceDE w:val="0"/>
        <w:autoSpaceDN w:val="0"/>
        <w:adjustRightInd w:val="0"/>
        <w:jc w:val="both"/>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0"/>
        <w:gridCol w:w="1372"/>
        <w:gridCol w:w="1836"/>
        <w:gridCol w:w="1695"/>
        <w:gridCol w:w="1745"/>
        <w:gridCol w:w="1633"/>
      </w:tblGrid>
      <w:tr w:rsidR="001C08A5" w14:paraId="533BD1AD" w14:textId="77777777">
        <w:trPr>
          <w:tblHeader/>
        </w:trPr>
        <w:tc>
          <w:tcPr>
            <w:tcW w:w="1243" w:type="dxa"/>
            <w:vMerge w:val="restart"/>
            <w:tcBorders>
              <w:top w:val="single" w:sz="4" w:space="0" w:color="auto"/>
              <w:left w:val="single" w:sz="4" w:space="0" w:color="auto"/>
              <w:bottom w:val="single" w:sz="4" w:space="0" w:color="auto"/>
              <w:right w:val="single" w:sz="4" w:space="0" w:color="auto"/>
            </w:tcBorders>
            <w:shd w:val="clear" w:color="auto" w:fill="BFBFBF"/>
          </w:tcPr>
          <w:p w14:paraId="2B3876F1" w14:textId="77777777" w:rsidR="001C08A5" w:rsidRDefault="00000000">
            <w:pPr>
              <w:pStyle w:val="BodyText"/>
              <w:jc w:val="center"/>
              <w:rPr>
                <w:bCs w:val="0"/>
                <w:sz w:val="22"/>
                <w:szCs w:val="22"/>
              </w:rPr>
            </w:pPr>
            <w:r>
              <w:rPr>
                <w:bCs w:val="0"/>
                <w:sz w:val="22"/>
                <w:szCs w:val="22"/>
              </w:rPr>
              <w:t>Nivel de stabilitate</w:t>
            </w:r>
          </w:p>
          <w:p w14:paraId="3037C56E" w14:textId="77777777" w:rsidR="001C08A5" w:rsidRDefault="00000000">
            <w:pPr>
              <w:jc w:val="center"/>
              <w:rPr>
                <w:i/>
                <w:sz w:val="22"/>
                <w:szCs w:val="22"/>
              </w:rPr>
            </w:pPr>
            <w:r>
              <w:rPr>
                <w:b/>
                <w:bCs/>
                <w:i/>
                <w:sz w:val="22"/>
                <w:szCs w:val="22"/>
              </w:rPr>
              <w:t>la incendiu</w:t>
            </w:r>
          </w:p>
        </w:tc>
        <w:tc>
          <w:tcPr>
            <w:tcW w:w="8360" w:type="dxa"/>
            <w:gridSpan w:val="5"/>
            <w:tcBorders>
              <w:top w:val="single" w:sz="4" w:space="0" w:color="auto"/>
              <w:left w:val="single" w:sz="4" w:space="0" w:color="auto"/>
              <w:bottom w:val="single" w:sz="4" w:space="0" w:color="auto"/>
              <w:right w:val="single" w:sz="4" w:space="0" w:color="auto"/>
            </w:tcBorders>
            <w:shd w:val="clear" w:color="auto" w:fill="BFBFBF"/>
          </w:tcPr>
          <w:p w14:paraId="669DEA8B" w14:textId="77777777" w:rsidR="001C08A5" w:rsidRDefault="00000000">
            <w:pPr>
              <w:jc w:val="center"/>
              <w:rPr>
                <w:b/>
                <w:bCs/>
                <w:i/>
                <w:sz w:val="22"/>
                <w:szCs w:val="22"/>
              </w:rPr>
            </w:pPr>
            <w:r>
              <w:rPr>
                <w:b/>
                <w:bCs/>
                <w:i/>
                <w:sz w:val="22"/>
                <w:szCs w:val="22"/>
              </w:rPr>
              <w:t xml:space="preserve">Niveluri de comportare la foc admise la pereţi despărţitori cu rol de sectorizare </w:t>
            </w:r>
            <w:hyperlink r:id="rId189" w:history="1">
              <w:r>
                <w:rPr>
                  <w:b/>
                  <w:bCs/>
                  <w:i/>
                  <w:sz w:val="22"/>
                  <w:szCs w:val="22"/>
                </w:rPr>
                <w:t>de</w:t>
              </w:r>
            </w:hyperlink>
            <w:r>
              <w:rPr>
                <w:b/>
                <w:bCs/>
                <w:i/>
                <w:sz w:val="22"/>
                <w:szCs w:val="22"/>
              </w:rPr>
              <w:t> </w:t>
            </w:r>
            <w:hyperlink r:id="rId190" w:history="1">
              <w:r>
                <w:rPr>
                  <w:b/>
                  <w:bCs/>
                  <w:i/>
                  <w:sz w:val="22"/>
                  <w:szCs w:val="22"/>
                </w:rPr>
                <w:t>protecţie</w:t>
              </w:r>
            </w:hyperlink>
            <w:r>
              <w:rPr>
                <w:b/>
                <w:bCs/>
                <w:i/>
                <w:sz w:val="22"/>
                <w:szCs w:val="22"/>
              </w:rPr>
              <w:t> </w:t>
            </w:r>
            <w:hyperlink r:id="rId191" w:history="1">
              <w:r>
                <w:rPr>
                  <w:b/>
                  <w:bCs/>
                  <w:i/>
                  <w:sz w:val="22"/>
                  <w:szCs w:val="22"/>
                </w:rPr>
                <w:t>contra</w:t>
              </w:r>
            </w:hyperlink>
            <w:r>
              <w:rPr>
                <w:b/>
                <w:bCs/>
                <w:i/>
                <w:sz w:val="22"/>
                <w:szCs w:val="22"/>
              </w:rPr>
              <w:t> </w:t>
            </w:r>
            <w:hyperlink r:id="rId192" w:history="1">
              <w:r>
                <w:rPr>
                  <w:b/>
                  <w:bCs/>
                  <w:i/>
                  <w:sz w:val="22"/>
                  <w:szCs w:val="22"/>
                </w:rPr>
                <w:t>incendiilor</w:t>
              </w:r>
            </w:hyperlink>
            <w:r>
              <w:rPr>
                <w:b/>
                <w:bCs/>
                <w:i/>
                <w:sz w:val="22"/>
                <w:szCs w:val="22"/>
              </w:rPr>
              <w:t xml:space="preserve"> care limitează propagarea în interiorul compartimentelor de incendiu</w:t>
            </w:r>
          </w:p>
        </w:tc>
      </w:tr>
      <w:tr w:rsidR="001C08A5" w14:paraId="4B53A9FD" w14:textId="77777777">
        <w:trPr>
          <w:tblHeader/>
        </w:trPr>
        <w:tc>
          <w:tcPr>
            <w:tcW w:w="1243" w:type="dxa"/>
            <w:vMerge/>
            <w:tcBorders>
              <w:top w:val="single" w:sz="4" w:space="0" w:color="auto"/>
              <w:left w:val="single" w:sz="4" w:space="0" w:color="auto"/>
              <w:bottom w:val="single" w:sz="4" w:space="0" w:color="auto"/>
              <w:right w:val="single" w:sz="4" w:space="0" w:color="auto"/>
            </w:tcBorders>
            <w:shd w:val="clear" w:color="auto" w:fill="BFBFBF"/>
          </w:tcPr>
          <w:p w14:paraId="38E7CB5D" w14:textId="77777777" w:rsidR="001C08A5" w:rsidRDefault="001C08A5">
            <w:pPr>
              <w:jc w:val="center"/>
              <w:rPr>
                <w:i/>
                <w:sz w:val="22"/>
                <w:szCs w:val="22"/>
              </w:rPr>
            </w:pPr>
          </w:p>
        </w:tc>
        <w:tc>
          <w:tcPr>
            <w:tcW w:w="3244" w:type="dxa"/>
            <w:gridSpan w:val="2"/>
            <w:vMerge w:val="restart"/>
            <w:tcBorders>
              <w:top w:val="single" w:sz="4" w:space="0" w:color="auto"/>
              <w:left w:val="single" w:sz="4" w:space="0" w:color="auto"/>
              <w:bottom w:val="single" w:sz="4" w:space="0" w:color="auto"/>
              <w:right w:val="single" w:sz="4" w:space="0" w:color="auto"/>
            </w:tcBorders>
            <w:shd w:val="clear" w:color="auto" w:fill="BFBFBF"/>
          </w:tcPr>
          <w:p w14:paraId="2F718FBE" w14:textId="77777777" w:rsidR="001C08A5" w:rsidRDefault="00000000">
            <w:pPr>
              <w:jc w:val="center"/>
              <w:rPr>
                <w:i/>
                <w:sz w:val="22"/>
                <w:szCs w:val="22"/>
              </w:rPr>
            </w:pPr>
            <w:r>
              <w:rPr>
                <w:b/>
                <w:bCs/>
                <w:i/>
                <w:sz w:val="22"/>
                <w:szCs w:val="22"/>
              </w:rPr>
              <w:t>Pereţi</w:t>
            </w:r>
          </w:p>
        </w:tc>
        <w:tc>
          <w:tcPr>
            <w:tcW w:w="3475" w:type="dxa"/>
            <w:gridSpan w:val="2"/>
            <w:tcBorders>
              <w:top w:val="single" w:sz="4" w:space="0" w:color="auto"/>
              <w:left w:val="single" w:sz="4" w:space="0" w:color="auto"/>
              <w:bottom w:val="single" w:sz="4" w:space="0" w:color="auto"/>
              <w:right w:val="single" w:sz="4" w:space="0" w:color="auto"/>
            </w:tcBorders>
            <w:shd w:val="clear" w:color="auto" w:fill="BFBFBF"/>
          </w:tcPr>
          <w:p w14:paraId="32A44783" w14:textId="77777777" w:rsidR="001C08A5" w:rsidRDefault="00000000">
            <w:pPr>
              <w:jc w:val="center"/>
              <w:rPr>
                <w:i/>
                <w:sz w:val="22"/>
                <w:szCs w:val="22"/>
              </w:rPr>
            </w:pPr>
            <w:r>
              <w:rPr>
                <w:b/>
                <w:bCs/>
                <w:i/>
                <w:sz w:val="22"/>
                <w:szCs w:val="22"/>
              </w:rPr>
              <w:t>Sectorizare pe lungimea unei clădiri civile (secţionează transversal clădirea civilă)</w:t>
            </w:r>
          </w:p>
        </w:tc>
        <w:tc>
          <w:tcPr>
            <w:tcW w:w="1641" w:type="dxa"/>
            <w:tcBorders>
              <w:top w:val="single" w:sz="4" w:space="0" w:color="auto"/>
              <w:left w:val="single" w:sz="4" w:space="0" w:color="auto"/>
              <w:bottom w:val="single" w:sz="4" w:space="0" w:color="auto"/>
              <w:right w:val="single" w:sz="4" w:space="0" w:color="auto"/>
            </w:tcBorders>
            <w:shd w:val="clear" w:color="auto" w:fill="BFBFBF"/>
          </w:tcPr>
          <w:p w14:paraId="63583E1C" w14:textId="77777777" w:rsidR="001C08A5" w:rsidRDefault="00000000">
            <w:pPr>
              <w:jc w:val="center"/>
              <w:rPr>
                <w:b/>
                <w:bCs/>
                <w:i/>
                <w:sz w:val="22"/>
                <w:szCs w:val="22"/>
              </w:rPr>
            </w:pPr>
            <w:r>
              <w:rPr>
                <w:b/>
                <w:bCs/>
                <w:i/>
                <w:sz w:val="22"/>
                <w:szCs w:val="22"/>
              </w:rPr>
              <w:t>Sectorizare funcțională</w:t>
            </w:r>
          </w:p>
        </w:tc>
      </w:tr>
      <w:tr w:rsidR="001C08A5" w14:paraId="071DEBF8" w14:textId="77777777">
        <w:trPr>
          <w:tblHeader/>
        </w:trPr>
        <w:tc>
          <w:tcPr>
            <w:tcW w:w="1243" w:type="dxa"/>
            <w:vMerge/>
            <w:tcBorders>
              <w:top w:val="single" w:sz="4" w:space="0" w:color="auto"/>
              <w:left w:val="single" w:sz="4" w:space="0" w:color="auto"/>
              <w:bottom w:val="single" w:sz="4" w:space="0" w:color="auto"/>
              <w:right w:val="single" w:sz="4" w:space="0" w:color="auto"/>
            </w:tcBorders>
            <w:shd w:val="clear" w:color="auto" w:fill="BFBFBF"/>
          </w:tcPr>
          <w:p w14:paraId="63AD2560" w14:textId="77777777" w:rsidR="001C08A5" w:rsidRDefault="001C08A5">
            <w:pPr>
              <w:pStyle w:val="BodyText"/>
              <w:jc w:val="center"/>
              <w:rPr>
                <w:bCs w:val="0"/>
                <w:sz w:val="22"/>
                <w:szCs w:val="22"/>
              </w:rPr>
            </w:pPr>
          </w:p>
        </w:tc>
        <w:tc>
          <w:tcPr>
            <w:tcW w:w="3244" w:type="dxa"/>
            <w:gridSpan w:val="2"/>
            <w:vMerge/>
            <w:tcBorders>
              <w:top w:val="single" w:sz="4" w:space="0" w:color="auto"/>
              <w:left w:val="single" w:sz="4" w:space="0" w:color="auto"/>
              <w:bottom w:val="single" w:sz="4" w:space="0" w:color="auto"/>
              <w:right w:val="single" w:sz="4" w:space="0" w:color="auto"/>
            </w:tcBorders>
            <w:shd w:val="clear" w:color="auto" w:fill="BFBFBF"/>
          </w:tcPr>
          <w:p w14:paraId="047FC53F" w14:textId="77777777" w:rsidR="001C08A5" w:rsidRDefault="001C08A5">
            <w:pPr>
              <w:jc w:val="center"/>
              <w:rPr>
                <w:i/>
                <w:sz w:val="22"/>
                <w:szCs w:val="22"/>
              </w:rPr>
            </w:pPr>
          </w:p>
        </w:tc>
        <w:tc>
          <w:tcPr>
            <w:tcW w:w="1710" w:type="dxa"/>
            <w:tcBorders>
              <w:top w:val="single" w:sz="4" w:space="0" w:color="auto"/>
              <w:left w:val="single" w:sz="4" w:space="0" w:color="auto"/>
              <w:bottom w:val="single" w:sz="4" w:space="0" w:color="auto"/>
              <w:right w:val="single" w:sz="4" w:space="0" w:color="auto"/>
            </w:tcBorders>
            <w:shd w:val="clear" w:color="auto" w:fill="BFBFBF"/>
          </w:tcPr>
          <w:p w14:paraId="34BEAE8C" w14:textId="77777777" w:rsidR="001C08A5" w:rsidRDefault="00000000">
            <w:pPr>
              <w:jc w:val="center"/>
              <w:rPr>
                <w:b/>
                <w:i/>
                <w:sz w:val="22"/>
                <w:szCs w:val="22"/>
              </w:rPr>
            </w:pPr>
            <w:r>
              <w:rPr>
                <w:b/>
                <w:i/>
                <w:sz w:val="22"/>
                <w:szCs w:val="22"/>
              </w:rPr>
              <w:t>Distantă între ele (m)</w:t>
            </w:r>
          </w:p>
        </w:tc>
        <w:tc>
          <w:tcPr>
            <w:tcW w:w="1765" w:type="dxa"/>
            <w:tcBorders>
              <w:top w:val="single" w:sz="4" w:space="0" w:color="auto"/>
              <w:left w:val="single" w:sz="4" w:space="0" w:color="auto"/>
              <w:bottom w:val="single" w:sz="4" w:space="0" w:color="auto"/>
              <w:right w:val="single" w:sz="4" w:space="0" w:color="auto"/>
            </w:tcBorders>
            <w:shd w:val="clear" w:color="auto" w:fill="BFBFBF"/>
          </w:tcPr>
          <w:p w14:paraId="123AEE3B" w14:textId="77777777" w:rsidR="001C08A5" w:rsidRDefault="00000000">
            <w:pPr>
              <w:jc w:val="center"/>
              <w:rPr>
                <w:i/>
                <w:sz w:val="22"/>
                <w:szCs w:val="22"/>
              </w:rPr>
            </w:pPr>
            <w:r>
              <w:rPr>
                <w:b/>
                <w:bCs/>
                <w:i/>
                <w:sz w:val="22"/>
                <w:szCs w:val="22"/>
              </w:rPr>
              <w:t xml:space="preserve">Uşi </w:t>
            </w:r>
          </w:p>
        </w:tc>
        <w:tc>
          <w:tcPr>
            <w:tcW w:w="1641" w:type="dxa"/>
            <w:tcBorders>
              <w:top w:val="single" w:sz="4" w:space="0" w:color="auto"/>
              <w:left w:val="single" w:sz="4" w:space="0" w:color="auto"/>
              <w:bottom w:val="single" w:sz="4" w:space="0" w:color="auto"/>
              <w:right w:val="single" w:sz="4" w:space="0" w:color="auto"/>
            </w:tcBorders>
            <w:shd w:val="clear" w:color="auto" w:fill="BFBFBF"/>
          </w:tcPr>
          <w:p w14:paraId="79D1F7D7" w14:textId="77777777" w:rsidR="001C08A5" w:rsidRDefault="00000000">
            <w:pPr>
              <w:jc w:val="center"/>
              <w:rPr>
                <w:i/>
                <w:sz w:val="22"/>
                <w:szCs w:val="22"/>
              </w:rPr>
            </w:pPr>
            <w:r>
              <w:rPr>
                <w:b/>
                <w:bCs/>
                <w:i/>
                <w:sz w:val="22"/>
                <w:szCs w:val="22"/>
              </w:rPr>
              <w:t xml:space="preserve">Uşi </w:t>
            </w:r>
          </w:p>
        </w:tc>
      </w:tr>
      <w:tr w:rsidR="001C08A5" w14:paraId="585EF9A9" w14:textId="77777777">
        <w:tc>
          <w:tcPr>
            <w:tcW w:w="1243" w:type="dxa"/>
            <w:tcBorders>
              <w:top w:val="single" w:sz="4" w:space="0" w:color="auto"/>
            </w:tcBorders>
          </w:tcPr>
          <w:p w14:paraId="21F23C1F" w14:textId="77777777" w:rsidR="001C08A5" w:rsidRDefault="00000000">
            <w:pPr>
              <w:pStyle w:val="BodyText"/>
              <w:jc w:val="center"/>
              <w:rPr>
                <w:bCs w:val="0"/>
                <w:sz w:val="22"/>
                <w:szCs w:val="22"/>
              </w:rPr>
            </w:pPr>
            <w:r>
              <w:rPr>
                <w:bCs w:val="0"/>
                <w:sz w:val="22"/>
                <w:szCs w:val="22"/>
              </w:rPr>
              <w:t>I</w:t>
            </w:r>
          </w:p>
          <w:p w14:paraId="64F93F7C" w14:textId="77777777" w:rsidR="001C08A5" w:rsidRDefault="001C08A5">
            <w:pPr>
              <w:pStyle w:val="BodyText"/>
              <w:jc w:val="center"/>
              <w:rPr>
                <w:bCs w:val="0"/>
                <w:sz w:val="22"/>
                <w:szCs w:val="22"/>
              </w:rPr>
            </w:pPr>
          </w:p>
        </w:tc>
        <w:tc>
          <w:tcPr>
            <w:tcW w:w="1382" w:type="dxa"/>
            <w:tcBorders>
              <w:top w:val="single" w:sz="4" w:space="0" w:color="auto"/>
            </w:tcBorders>
          </w:tcPr>
          <w:p w14:paraId="49056A2A" w14:textId="77777777" w:rsidR="001C08A5" w:rsidRDefault="00000000">
            <w:pPr>
              <w:jc w:val="center"/>
              <w:rPr>
                <w:b/>
                <w:i/>
                <w:sz w:val="22"/>
                <w:szCs w:val="22"/>
              </w:rPr>
            </w:pPr>
            <w:r>
              <w:rPr>
                <w:b/>
                <w:i/>
                <w:sz w:val="22"/>
                <w:szCs w:val="22"/>
              </w:rPr>
              <w:t xml:space="preserve">EI/REI 120 </w:t>
            </w:r>
          </w:p>
          <w:p w14:paraId="6FC6993C" w14:textId="77777777" w:rsidR="001C08A5" w:rsidRDefault="001C08A5">
            <w:pPr>
              <w:jc w:val="center"/>
              <w:rPr>
                <w:b/>
                <w:i/>
                <w:sz w:val="22"/>
                <w:szCs w:val="22"/>
              </w:rPr>
            </w:pPr>
          </w:p>
        </w:tc>
        <w:tc>
          <w:tcPr>
            <w:tcW w:w="1862" w:type="dxa"/>
            <w:tcBorders>
              <w:top w:val="single" w:sz="4" w:space="0" w:color="auto"/>
            </w:tcBorders>
          </w:tcPr>
          <w:p w14:paraId="30F173AE"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10" w:type="dxa"/>
            <w:tcBorders>
              <w:top w:val="single" w:sz="4" w:space="0" w:color="auto"/>
            </w:tcBorders>
          </w:tcPr>
          <w:p w14:paraId="39EFAECE" w14:textId="77777777" w:rsidR="001C08A5" w:rsidRDefault="00000000">
            <w:pPr>
              <w:jc w:val="center"/>
              <w:rPr>
                <w:b/>
                <w:i/>
                <w:sz w:val="22"/>
                <w:szCs w:val="22"/>
              </w:rPr>
            </w:pPr>
            <w:r>
              <w:rPr>
                <w:b/>
                <w:i/>
                <w:sz w:val="22"/>
                <w:szCs w:val="22"/>
              </w:rPr>
              <w:t xml:space="preserve">130 </w:t>
            </w:r>
          </w:p>
        </w:tc>
        <w:tc>
          <w:tcPr>
            <w:tcW w:w="1765" w:type="dxa"/>
            <w:tcBorders>
              <w:top w:val="single" w:sz="4" w:space="0" w:color="auto"/>
            </w:tcBorders>
          </w:tcPr>
          <w:p w14:paraId="3B11F173" w14:textId="77777777" w:rsidR="001C08A5" w:rsidRDefault="00000000">
            <w:pPr>
              <w:jc w:val="center"/>
              <w:rPr>
                <w:b/>
                <w:bCs/>
                <w:i/>
                <w:sz w:val="22"/>
                <w:szCs w:val="22"/>
              </w:rPr>
            </w:pPr>
            <w:r>
              <w:rPr>
                <w:b/>
                <w:bCs/>
                <w:i/>
                <w:sz w:val="22"/>
                <w:szCs w:val="22"/>
              </w:rPr>
              <w:t>EI</w:t>
            </w:r>
            <w:r>
              <w:rPr>
                <w:b/>
                <w:bCs/>
                <w:i/>
                <w:sz w:val="22"/>
                <w:szCs w:val="22"/>
                <w:vertAlign w:val="subscript"/>
              </w:rPr>
              <w:t>2</w:t>
            </w:r>
            <w:r>
              <w:rPr>
                <w:b/>
                <w:bCs/>
                <w:i/>
                <w:sz w:val="22"/>
                <w:szCs w:val="22"/>
              </w:rPr>
              <w:t xml:space="preserve"> 60-C5S</w:t>
            </w:r>
            <w:r>
              <w:rPr>
                <w:b/>
                <w:bCs/>
                <w:i/>
                <w:sz w:val="22"/>
                <w:szCs w:val="22"/>
                <w:vertAlign w:val="subscript"/>
              </w:rPr>
              <w:t>200</w:t>
            </w:r>
          </w:p>
        </w:tc>
        <w:tc>
          <w:tcPr>
            <w:tcW w:w="1641" w:type="dxa"/>
            <w:tcBorders>
              <w:top w:val="single" w:sz="4" w:space="0" w:color="auto"/>
            </w:tcBorders>
          </w:tcPr>
          <w:p w14:paraId="3A688FBC" w14:textId="77777777" w:rsidR="001C08A5" w:rsidRDefault="00000000">
            <w:pPr>
              <w:jc w:val="center"/>
              <w:rPr>
                <w:b/>
                <w:bCs/>
                <w:i/>
                <w:sz w:val="22"/>
                <w:szCs w:val="22"/>
              </w:rPr>
            </w:pPr>
            <w:r>
              <w:rPr>
                <w:b/>
                <w:bCs/>
                <w:i/>
                <w:sz w:val="22"/>
                <w:szCs w:val="22"/>
              </w:rPr>
              <w:t>EI</w:t>
            </w:r>
            <w:r>
              <w:rPr>
                <w:b/>
                <w:bCs/>
                <w:i/>
                <w:sz w:val="22"/>
                <w:szCs w:val="22"/>
                <w:vertAlign w:val="subscript"/>
              </w:rPr>
              <w:t>2</w:t>
            </w:r>
            <w:r>
              <w:rPr>
                <w:b/>
                <w:bCs/>
                <w:i/>
                <w:sz w:val="22"/>
                <w:szCs w:val="22"/>
              </w:rPr>
              <w:t xml:space="preserve"> 60-C5S</w:t>
            </w:r>
            <w:r>
              <w:rPr>
                <w:b/>
                <w:bCs/>
                <w:i/>
                <w:sz w:val="22"/>
                <w:szCs w:val="22"/>
                <w:vertAlign w:val="subscript"/>
              </w:rPr>
              <w:t>200</w:t>
            </w:r>
          </w:p>
        </w:tc>
      </w:tr>
      <w:tr w:rsidR="001C08A5" w14:paraId="0D2E5A19" w14:textId="77777777">
        <w:tc>
          <w:tcPr>
            <w:tcW w:w="1243" w:type="dxa"/>
          </w:tcPr>
          <w:p w14:paraId="4E9CA47B" w14:textId="77777777" w:rsidR="001C08A5" w:rsidRDefault="00000000">
            <w:pPr>
              <w:pStyle w:val="BodyText"/>
              <w:jc w:val="center"/>
              <w:rPr>
                <w:bCs w:val="0"/>
                <w:sz w:val="22"/>
                <w:szCs w:val="22"/>
              </w:rPr>
            </w:pPr>
            <w:r>
              <w:rPr>
                <w:bCs w:val="0"/>
                <w:sz w:val="22"/>
                <w:szCs w:val="22"/>
              </w:rPr>
              <w:t>II</w:t>
            </w:r>
          </w:p>
        </w:tc>
        <w:tc>
          <w:tcPr>
            <w:tcW w:w="1382" w:type="dxa"/>
          </w:tcPr>
          <w:p w14:paraId="6A5EE596" w14:textId="77777777" w:rsidR="001C08A5" w:rsidRDefault="00000000">
            <w:pPr>
              <w:jc w:val="center"/>
              <w:rPr>
                <w:b/>
                <w:i/>
                <w:sz w:val="22"/>
                <w:szCs w:val="22"/>
              </w:rPr>
            </w:pPr>
            <w:r>
              <w:rPr>
                <w:b/>
                <w:i/>
                <w:sz w:val="22"/>
                <w:szCs w:val="22"/>
              </w:rPr>
              <w:t>EI/REI 90</w:t>
            </w:r>
          </w:p>
          <w:p w14:paraId="559AA2B4" w14:textId="77777777" w:rsidR="001C08A5" w:rsidRDefault="001C08A5">
            <w:pPr>
              <w:jc w:val="center"/>
              <w:rPr>
                <w:b/>
                <w:i/>
                <w:sz w:val="22"/>
                <w:szCs w:val="22"/>
              </w:rPr>
            </w:pPr>
          </w:p>
        </w:tc>
        <w:tc>
          <w:tcPr>
            <w:tcW w:w="1862" w:type="dxa"/>
          </w:tcPr>
          <w:p w14:paraId="2860ACDB"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10" w:type="dxa"/>
          </w:tcPr>
          <w:p w14:paraId="1FD422C1" w14:textId="77777777" w:rsidR="001C08A5" w:rsidRDefault="00000000">
            <w:pPr>
              <w:jc w:val="center"/>
              <w:rPr>
                <w:b/>
                <w:i/>
                <w:sz w:val="22"/>
                <w:szCs w:val="22"/>
              </w:rPr>
            </w:pPr>
            <w:r>
              <w:rPr>
                <w:b/>
                <w:i/>
                <w:sz w:val="22"/>
                <w:szCs w:val="22"/>
              </w:rPr>
              <w:t xml:space="preserve">110  </w:t>
            </w:r>
          </w:p>
        </w:tc>
        <w:tc>
          <w:tcPr>
            <w:tcW w:w="1765" w:type="dxa"/>
          </w:tcPr>
          <w:p w14:paraId="28460DBF" w14:textId="77777777" w:rsidR="001C08A5" w:rsidRDefault="00000000">
            <w:pPr>
              <w:jc w:val="center"/>
              <w:rPr>
                <w:b/>
                <w:bCs/>
                <w:i/>
                <w:sz w:val="22"/>
                <w:szCs w:val="22"/>
              </w:rPr>
            </w:pPr>
            <w:r>
              <w:rPr>
                <w:b/>
                <w:bCs/>
                <w:i/>
                <w:sz w:val="22"/>
                <w:szCs w:val="22"/>
              </w:rPr>
              <w:t>EI</w:t>
            </w:r>
            <w:r>
              <w:rPr>
                <w:b/>
                <w:bCs/>
                <w:i/>
                <w:sz w:val="22"/>
                <w:szCs w:val="22"/>
                <w:vertAlign w:val="subscript"/>
              </w:rPr>
              <w:t>2</w:t>
            </w:r>
            <w:r>
              <w:rPr>
                <w:b/>
                <w:bCs/>
                <w:i/>
                <w:sz w:val="22"/>
                <w:szCs w:val="22"/>
              </w:rPr>
              <w:t xml:space="preserve"> 60-C5S</w:t>
            </w:r>
            <w:r>
              <w:rPr>
                <w:b/>
                <w:bCs/>
                <w:i/>
                <w:sz w:val="22"/>
                <w:szCs w:val="22"/>
                <w:vertAlign w:val="subscript"/>
              </w:rPr>
              <w:t>200</w:t>
            </w:r>
          </w:p>
        </w:tc>
        <w:tc>
          <w:tcPr>
            <w:tcW w:w="1641" w:type="dxa"/>
          </w:tcPr>
          <w:p w14:paraId="228A24BE" w14:textId="77777777" w:rsidR="001C08A5" w:rsidRDefault="00000000">
            <w:pPr>
              <w:pStyle w:val="BodyText"/>
              <w:widowControl w:val="0"/>
              <w:jc w:val="center"/>
              <w:rPr>
                <w:sz w:val="22"/>
                <w:szCs w:val="22"/>
              </w:rPr>
            </w:pPr>
            <w:r>
              <w:rPr>
                <w:sz w:val="22"/>
                <w:szCs w:val="22"/>
              </w:rPr>
              <w:t>EI</w:t>
            </w:r>
            <w:r>
              <w:rPr>
                <w:sz w:val="22"/>
                <w:szCs w:val="22"/>
                <w:vertAlign w:val="subscript"/>
              </w:rPr>
              <w:t>2</w:t>
            </w:r>
            <w:r>
              <w:rPr>
                <w:sz w:val="22"/>
                <w:szCs w:val="22"/>
              </w:rPr>
              <w:t xml:space="preserve"> 45-C5S</w:t>
            </w:r>
            <w:r>
              <w:rPr>
                <w:sz w:val="22"/>
                <w:szCs w:val="22"/>
                <w:vertAlign w:val="subscript"/>
              </w:rPr>
              <w:t>200</w:t>
            </w:r>
          </w:p>
          <w:p w14:paraId="28B04406" w14:textId="77777777" w:rsidR="001C08A5" w:rsidRDefault="001C08A5">
            <w:pPr>
              <w:jc w:val="center"/>
              <w:rPr>
                <w:b/>
                <w:bCs/>
                <w:i/>
                <w:sz w:val="22"/>
                <w:szCs w:val="22"/>
              </w:rPr>
            </w:pPr>
          </w:p>
        </w:tc>
      </w:tr>
      <w:tr w:rsidR="001C08A5" w14:paraId="6D573D63" w14:textId="77777777">
        <w:tc>
          <w:tcPr>
            <w:tcW w:w="1243" w:type="dxa"/>
          </w:tcPr>
          <w:p w14:paraId="4643223C" w14:textId="77777777" w:rsidR="001C08A5" w:rsidRDefault="00000000">
            <w:pPr>
              <w:pStyle w:val="BodyText"/>
              <w:jc w:val="center"/>
              <w:rPr>
                <w:bCs w:val="0"/>
                <w:sz w:val="22"/>
                <w:szCs w:val="22"/>
              </w:rPr>
            </w:pPr>
            <w:r>
              <w:rPr>
                <w:bCs w:val="0"/>
                <w:sz w:val="22"/>
                <w:szCs w:val="22"/>
              </w:rPr>
              <w:t>III</w:t>
            </w:r>
          </w:p>
        </w:tc>
        <w:tc>
          <w:tcPr>
            <w:tcW w:w="1382" w:type="dxa"/>
          </w:tcPr>
          <w:p w14:paraId="188537A2" w14:textId="77777777" w:rsidR="001C08A5" w:rsidRDefault="00000000">
            <w:pPr>
              <w:jc w:val="center"/>
              <w:rPr>
                <w:b/>
                <w:i/>
                <w:sz w:val="22"/>
                <w:szCs w:val="22"/>
              </w:rPr>
            </w:pPr>
            <w:r>
              <w:rPr>
                <w:b/>
                <w:i/>
                <w:sz w:val="22"/>
                <w:szCs w:val="22"/>
              </w:rPr>
              <w:t xml:space="preserve">EI/REI 60 </w:t>
            </w:r>
          </w:p>
          <w:p w14:paraId="49B4018A" w14:textId="77777777" w:rsidR="001C08A5" w:rsidRDefault="001C08A5">
            <w:pPr>
              <w:jc w:val="center"/>
              <w:rPr>
                <w:b/>
                <w:i/>
                <w:sz w:val="22"/>
                <w:szCs w:val="22"/>
              </w:rPr>
            </w:pPr>
          </w:p>
        </w:tc>
        <w:tc>
          <w:tcPr>
            <w:tcW w:w="1862" w:type="dxa"/>
          </w:tcPr>
          <w:p w14:paraId="19ABF41C"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10" w:type="dxa"/>
          </w:tcPr>
          <w:p w14:paraId="74C09C01" w14:textId="77777777" w:rsidR="001C08A5" w:rsidRDefault="00000000">
            <w:pPr>
              <w:jc w:val="center"/>
              <w:rPr>
                <w:b/>
                <w:i/>
                <w:sz w:val="22"/>
                <w:szCs w:val="22"/>
              </w:rPr>
            </w:pPr>
            <w:r>
              <w:rPr>
                <w:b/>
                <w:i/>
                <w:sz w:val="22"/>
                <w:szCs w:val="22"/>
              </w:rPr>
              <w:t xml:space="preserve">90 </w:t>
            </w:r>
          </w:p>
        </w:tc>
        <w:tc>
          <w:tcPr>
            <w:tcW w:w="1765" w:type="dxa"/>
          </w:tcPr>
          <w:p w14:paraId="1C2DB74B" w14:textId="77777777" w:rsidR="001C08A5" w:rsidRDefault="00000000">
            <w:pPr>
              <w:jc w:val="center"/>
              <w:rPr>
                <w:b/>
                <w:bCs/>
                <w:i/>
                <w:sz w:val="22"/>
                <w:szCs w:val="22"/>
              </w:rPr>
            </w:pPr>
            <w:r>
              <w:rPr>
                <w:b/>
                <w:bCs/>
                <w:i/>
                <w:sz w:val="22"/>
                <w:szCs w:val="22"/>
              </w:rPr>
              <w:t>E 45-C5S</w:t>
            </w:r>
            <w:r>
              <w:rPr>
                <w:b/>
                <w:bCs/>
                <w:i/>
                <w:sz w:val="22"/>
                <w:szCs w:val="22"/>
                <w:vertAlign w:val="subscript"/>
              </w:rPr>
              <w:t>a</w:t>
            </w:r>
          </w:p>
        </w:tc>
        <w:tc>
          <w:tcPr>
            <w:tcW w:w="1641" w:type="dxa"/>
          </w:tcPr>
          <w:p w14:paraId="20DD8580" w14:textId="77777777" w:rsidR="001C08A5" w:rsidRDefault="00000000">
            <w:pPr>
              <w:jc w:val="center"/>
              <w:rPr>
                <w:b/>
                <w:bCs/>
                <w:i/>
                <w:strike/>
                <w:sz w:val="22"/>
                <w:szCs w:val="22"/>
              </w:rPr>
            </w:pPr>
            <w:r>
              <w:rPr>
                <w:b/>
                <w:bCs/>
                <w:i/>
                <w:sz w:val="22"/>
                <w:szCs w:val="22"/>
              </w:rPr>
              <w:t>E 30-C5S</w:t>
            </w:r>
            <w:r>
              <w:rPr>
                <w:b/>
                <w:bCs/>
                <w:i/>
                <w:sz w:val="22"/>
                <w:szCs w:val="22"/>
                <w:vertAlign w:val="subscript"/>
              </w:rPr>
              <w:t>a</w:t>
            </w:r>
          </w:p>
        </w:tc>
      </w:tr>
      <w:tr w:rsidR="001C08A5" w14:paraId="795449B3" w14:textId="77777777">
        <w:tc>
          <w:tcPr>
            <w:tcW w:w="1243" w:type="dxa"/>
          </w:tcPr>
          <w:p w14:paraId="46DB0084" w14:textId="77777777" w:rsidR="001C08A5" w:rsidRDefault="00000000">
            <w:pPr>
              <w:pStyle w:val="BodyText"/>
              <w:jc w:val="center"/>
              <w:rPr>
                <w:bCs w:val="0"/>
                <w:sz w:val="22"/>
                <w:szCs w:val="22"/>
              </w:rPr>
            </w:pPr>
            <w:r>
              <w:rPr>
                <w:bCs w:val="0"/>
                <w:sz w:val="22"/>
                <w:szCs w:val="22"/>
              </w:rPr>
              <w:t>IV</w:t>
            </w:r>
          </w:p>
        </w:tc>
        <w:tc>
          <w:tcPr>
            <w:tcW w:w="1382" w:type="dxa"/>
          </w:tcPr>
          <w:p w14:paraId="5AAFA40A" w14:textId="77777777" w:rsidR="001C08A5" w:rsidRDefault="00000000">
            <w:pPr>
              <w:jc w:val="center"/>
              <w:rPr>
                <w:b/>
                <w:i/>
                <w:sz w:val="22"/>
                <w:szCs w:val="22"/>
              </w:rPr>
            </w:pPr>
            <w:r>
              <w:rPr>
                <w:b/>
                <w:i/>
                <w:sz w:val="22"/>
                <w:szCs w:val="22"/>
              </w:rPr>
              <w:t xml:space="preserve">EI/REI 30 </w:t>
            </w:r>
          </w:p>
          <w:p w14:paraId="1F34F68A" w14:textId="77777777" w:rsidR="001C08A5" w:rsidRDefault="001C08A5">
            <w:pPr>
              <w:jc w:val="center"/>
              <w:rPr>
                <w:b/>
                <w:i/>
                <w:strike/>
                <w:sz w:val="22"/>
                <w:szCs w:val="22"/>
              </w:rPr>
            </w:pPr>
          </w:p>
        </w:tc>
        <w:tc>
          <w:tcPr>
            <w:tcW w:w="1862" w:type="dxa"/>
          </w:tcPr>
          <w:p w14:paraId="4DE2DCFB" w14:textId="77777777" w:rsidR="001C08A5" w:rsidRDefault="00000000">
            <w:pPr>
              <w:jc w:val="center"/>
              <w:rPr>
                <w:i/>
                <w:sz w:val="22"/>
                <w:szCs w:val="22"/>
              </w:rPr>
            </w:pPr>
            <w:r>
              <w:rPr>
                <w:b/>
                <w:i/>
                <w:sz w:val="22"/>
                <w:szCs w:val="22"/>
              </w:rPr>
              <w:t>B-s1d0</w:t>
            </w:r>
          </w:p>
        </w:tc>
        <w:tc>
          <w:tcPr>
            <w:tcW w:w="1710" w:type="dxa"/>
          </w:tcPr>
          <w:p w14:paraId="134462A7" w14:textId="77777777" w:rsidR="001C08A5" w:rsidRDefault="00000000">
            <w:pPr>
              <w:jc w:val="center"/>
              <w:rPr>
                <w:b/>
                <w:i/>
                <w:sz w:val="22"/>
                <w:szCs w:val="22"/>
              </w:rPr>
            </w:pPr>
            <w:r>
              <w:rPr>
                <w:b/>
                <w:i/>
                <w:sz w:val="22"/>
                <w:szCs w:val="22"/>
              </w:rPr>
              <w:t xml:space="preserve">70 </w:t>
            </w:r>
          </w:p>
        </w:tc>
        <w:tc>
          <w:tcPr>
            <w:tcW w:w="1765" w:type="dxa"/>
          </w:tcPr>
          <w:p w14:paraId="41894F80" w14:textId="77777777" w:rsidR="001C08A5" w:rsidRDefault="00000000">
            <w:pPr>
              <w:jc w:val="center"/>
              <w:rPr>
                <w:b/>
                <w:bCs/>
                <w:i/>
                <w:sz w:val="22"/>
                <w:szCs w:val="22"/>
              </w:rPr>
            </w:pPr>
            <w:r>
              <w:rPr>
                <w:b/>
                <w:bCs/>
                <w:i/>
                <w:sz w:val="22"/>
                <w:szCs w:val="22"/>
              </w:rPr>
              <w:t>E 30-C5S</w:t>
            </w:r>
            <w:r>
              <w:rPr>
                <w:b/>
                <w:bCs/>
                <w:i/>
                <w:sz w:val="22"/>
                <w:szCs w:val="22"/>
                <w:vertAlign w:val="subscript"/>
              </w:rPr>
              <w:t>a</w:t>
            </w:r>
          </w:p>
        </w:tc>
        <w:tc>
          <w:tcPr>
            <w:tcW w:w="1641" w:type="dxa"/>
          </w:tcPr>
          <w:p w14:paraId="4BBBA922" w14:textId="77777777" w:rsidR="001C08A5" w:rsidRDefault="00000000">
            <w:pPr>
              <w:jc w:val="center"/>
              <w:rPr>
                <w:b/>
                <w:bCs/>
                <w:i/>
                <w:sz w:val="22"/>
                <w:szCs w:val="22"/>
              </w:rPr>
            </w:pPr>
            <w:r>
              <w:rPr>
                <w:b/>
                <w:bCs/>
                <w:i/>
                <w:sz w:val="22"/>
                <w:szCs w:val="22"/>
              </w:rPr>
              <w:t>E 15-C5S</w:t>
            </w:r>
            <w:r>
              <w:rPr>
                <w:b/>
                <w:bCs/>
                <w:i/>
                <w:sz w:val="22"/>
                <w:szCs w:val="22"/>
                <w:vertAlign w:val="subscript"/>
              </w:rPr>
              <w:t>a</w:t>
            </w:r>
          </w:p>
        </w:tc>
      </w:tr>
      <w:tr w:rsidR="001C08A5" w14:paraId="7CD42F24" w14:textId="77777777">
        <w:tc>
          <w:tcPr>
            <w:tcW w:w="1243" w:type="dxa"/>
          </w:tcPr>
          <w:p w14:paraId="319C5BC1" w14:textId="77777777" w:rsidR="001C08A5" w:rsidRDefault="00000000">
            <w:pPr>
              <w:pStyle w:val="BodyText"/>
              <w:jc w:val="center"/>
              <w:rPr>
                <w:bCs w:val="0"/>
                <w:sz w:val="22"/>
                <w:szCs w:val="22"/>
              </w:rPr>
            </w:pPr>
            <w:r>
              <w:rPr>
                <w:bCs w:val="0"/>
                <w:sz w:val="22"/>
                <w:szCs w:val="22"/>
              </w:rPr>
              <w:t>V</w:t>
            </w:r>
          </w:p>
        </w:tc>
        <w:tc>
          <w:tcPr>
            <w:tcW w:w="1382" w:type="dxa"/>
          </w:tcPr>
          <w:p w14:paraId="5678BB2D" w14:textId="77777777" w:rsidR="001C08A5" w:rsidRDefault="00000000">
            <w:pPr>
              <w:jc w:val="center"/>
              <w:rPr>
                <w:b/>
                <w:i/>
                <w:sz w:val="22"/>
                <w:szCs w:val="22"/>
              </w:rPr>
            </w:pPr>
            <w:r>
              <w:rPr>
                <w:b/>
                <w:i/>
                <w:sz w:val="22"/>
                <w:szCs w:val="22"/>
              </w:rPr>
              <w:t>EI/REI 15</w:t>
            </w:r>
          </w:p>
          <w:p w14:paraId="70B192CC" w14:textId="77777777" w:rsidR="001C08A5" w:rsidRDefault="001C08A5">
            <w:pPr>
              <w:jc w:val="center"/>
              <w:rPr>
                <w:b/>
                <w:i/>
                <w:strike/>
                <w:sz w:val="22"/>
                <w:szCs w:val="22"/>
              </w:rPr>
            </w:pPr>
          </w:p>
        </w:tc>
        <w:tc>
          <w:tcPr>
            <w:tcW w:w="1862" w:type="dxa"/>
          </w:tcPr>
          <w:p w14:paraId="67599A10" w14:textId="77777777" w:rsidR="001C08A5" w:rsidRDefault="00000000">
            <w:pPr>
              <w:jc w:val="center"/>
              <w:rPr>
                <w:i/>
                <w:sz w:val="22"/>
                <w:szCs w:val="22"/>
              </w:rPr>
            </w:pPr>
            <w:r>
              <w:rPr>
                <w:b/>
                <w:bCs/>
                <w:i/>
                <w:sz w:val="22"/>
                <w:szCs w:val="22"/>
              </w:rPr>
              <w:t>C-s1d0</w:t>
            </w:r>
          </w:p>
        </w:tc>
        <w:tc>
          <w:tcPr>
            <w:tcW w:w="1710" w:type="dxa"/>
          </w:tcPr>
          <w:p w14:paraId="73783EB0" w14:textId="77777777" w:rsidR="001C08A5" w:rsidRDefault="00000000">
            <w:pPr>
              <w:jc w:val="center"/>
              <w:rPr>
                <w:b/>
                <w:i/>
                <w:sz w:val="22"/>
                <w:szCs w:val="22"/>
              </w:rPr>
            </w:pPr>
            <w:r>
              <w:rPr>
                <w:b/>
                <w:i/>
                <w:sz w:val="22"/>
                <w:szCs w:val="22"/>
              </w:rPr>
              <w:t xml:space="preserve">50 </w:t>
            </w:r>
          </w:p>
        </w:tc>
        <w:tc>
          <w:tcPr>
            <w:tcW w:w="1765" w:type="dxa"/>
          </w:tcPr>
          <w:p w14:paraId="6709CED6" w14:textId="77777777" w:rsidR="001C08A5" w:rsidRDefault="00000000">
            <w:pPr>
              <w:jc w:val="center"/>
              <w:rPr>
                <w:b/>
                <w:bCs/>
                <w:i/>
                <w:sz w:val="22"/>
                <w:szCs w:val="22"/>
              </w:rPr>
            </w:pPr>
            <w:r>
              <w:rPr>
                <w:b/>
                <w:bCs/>
                <w:i/>
                <w:sz w:val="22"/>
                <w:szCs w:val="22"/>
              </w:rPr>
              <w:t>E 15-C5S</w:t>
            </w:r>
            <w:r>
              <w:rPr>
                <w:b/>
                <w:bCs/>
                <w:i/>
                <w:sz w:val="22"/>
                <w:szCs w:val="22"/>
                <w:vertAlign w:val="subscript"/>
              </w:rPr>
              <w:t>a</w:t>
            </w:r>
          </w:p>
        </w:tc>
        <w:tc>
          <w:tcPr>
            <w:tcW w:w="1641" w:type="dxa"/>
          </w:tcPr>
          <w:p w14:paraId="7E50CCF8" w14:textId="77777777" w:rsidR="001C08A5" w:rsidRDefault="00000000">
            <w:pPr>
              <w:jc w:val="center"/>
              <w:rPr>
                <w:b/>
                <w:bCs/>
                <w:i/>
                <w:strike/>
                <w:sz w:val="22"/>
                <w:szCs w:val="22"/>
              </w:rPr>
            </w:pPr>
            <w:r>
              <w:rPr>
                <w:b/>
                <w:bCs/>
                <w:i/>
                <w:sz w:val="22"/>
                <w:szCs w:val="22"/>
              </w:rPr>
              <w:t>C5</w:t>
            </w:r>
          </w:p>
        </w:tc>
      </w:tr>
    </w:tbl>
    <w:p w14:paraId="73216B64" w14:textId="77777777" w:rsidR="001C08A5" w:rsidRDefault="001C08A5">
      <w:pPr>
        <w:suppressAutoHyphens w:val="0"/>
        <w:autoSpaceDE w:val="0"/>
        <w:autoSpaceDN w:val="0"/>
        <w:adjustRightInd w:val="0"/>
        <w:jc w:val="both"/>
        <w:rPr>
          <w:b/>
          <w:sz w:val="24"/>
          <w:szCs w:val="24"/>
        </w:rPr>
      </w:pPr>
    </w:p>
    <w:p w14:paraId="6421CA25"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Art. 3.1.3.5. </w:t>
      </w:r>
      <w:r>
        <w:rPr>
          <w:sz w:val="24"/>
          <w:szCs w:val="24"/>
          <w:lang w:eastAsia="ro-RO"/>
        </w:rPr>
        <w:t xml:space="preserve">Condiţiile minime pe care trebuie să le îndeplinească </w:t>
      </w:r>
      <w:r>
        <w:rPr>
          <w:sz w:val="24"/>
          <w:szCs w:val="24"/>
        </w:rPr>
        <w:t>pereţii, ușile și planşeele de separare a caselor de scări închise, a coridoarelor şi holurilor din clădirile</w:t>
      </w:r>
      <w:r>
        <w:rPr>
          <w:sz w:val="24"/>
          <w:szCs w:val="24"/>
          <w:lang w:eastAsia="ro-RO"/>
        </w:rPr>
        <w:t xml:space="preserve"> civile</w:t>
      </w:r>
      <w:r>
        <w:rPr>
          <w:sz w:val="24"/>
          <w:szCs w:val="24"/>
        </w:rPr>
        <w:t xml:space="preserve"> cu înălţimi obişnuite, atunci când nu se regăsesc în destinaţiile specifice detaliate în normativ,</w:t>
      </w:r>
      <w:r>
        <w:rPr>
          <w:sz w:val="24"/>
          <w:szCs w:val="24"/>
          <w:lang w:eastAsia="ro-RO"/>
        </w:rPr>
        <w:t xml:space="preserve"> sunt precizate în</w:t>
      </w:r>
      <w:r>
        <w:rPr>
          <w:sz w:val="24"/>
          <w:szCs w:val="24"/>
          <w:lang w:val="en-US" w:eastAsia="ro-RO"/>
        </w:rPr>
        <w:t xml:space="preserve"> </w:t>
      </w:r>
      <w:r>
        <w:rPr>
          <w:rFonts w:cs="Mangal"/>
          <w:b/>
          <w:i/>
          <w:iCs/>
          <w:sz w:val="24"/>
          <w:szCs w:val="24"/>
          <w:lang w:val="en-US" w:eastAsia="ro-RO"/>
        </w:rPr>
        <w:fldChar w:fldCharType="begin"/>
      </w:r>
      <w:r>
        <w:rPr>
          <w:rFonts w:cs="Mangal"/>
          <w:b/>
          <w:i/>
          <w:iCs/>
          <w:sz w:val="24"/>
          <w:szCs w:val="24"/>
          <w:lang w:val="en-US" w:eastAsia="ro-RO"/>
        </w:rPr>
        <w:instrText xml:space="preserve"> REF _Ref12947 \h </w:instrText>
      </w:r>
      <w:r>
        <w:rPr>
          <w:rFonts w:cs="Mangal"/>
          <w:b/>
          <w:i/>
          <w:iCs/>
          <w:sz w:val="24"/>
          <w:szCs w:val="24"/>
          <w:lang w:val="en-US" w:eastAsia="ro-RO"/>
        </w:rPr>
      </w:r>
      <w:r>
        <w:rPr>
          <w:rFonts w:cs="Mangal"/>
          <w:b/>
          <w:i/>
          <w:iCs/>
          <w:sz w:val="24"/>
          <w:szCs w:val="24"/>
          <w:lang w:val="en-US" w:eastAsia="ro-RO"/>
        </w:rPr>
        <w:fldChar w:fldCharType="separate"/>
      </w:r>
      <w:r>
        <w:t>Tabelul 46</w:t>
      </w:r>
      <w:r>
        <w:rPr>
          <w:rFonts w:cs="Mangal"/>
          <w:b/>
          <w:i/>
          <w:iCs/>
          <w:sz w:val="24"/>
          <w:szCs w:val="24"/>
          <w:lang w:val="en-US" w:eastAsia="ro-RO"/>
        </w:rPr>
        <w:fldChar w:fldCharType="end"/>
      </w:r>
      <w:r>
        <w:rPr>
          <w:sz w:val="24"/>
          <w:szCs w:val="24"/>
          <w:lang w:eastAsia="ro-RO"/>
        </w:rPr>
        <w:t xml:space="preserve"> </w:t>
      </w:r>
      <w:r>
        <w:rPr>
          <w:rStyle w:val="BodyTextChar"/>
          <w:lang w:eastAsia="ro-RO"/>
        </w:rPr>
        <w:t xml:space="preserve"> și </w:t>
      </w:r>
      <w:r>
        <w:rPr>
          <w:rFonts w:cs="Mangal"/>
          <w:b/>
          <w:i/>
          <w:iCs/>
          <w:sz w:val="24"/>
          <w:szCs w:val="24"/>
          <w:lang w:eastAsia="ro-RO"/>
        </w:rPr>
        <w:fldChar w:fldCharType="begin"/>
      </w:r>
      <w:r>
        <w:rPr>
          <w:rFonts w:cs="Mangal"/>
          <w:b/>
          <w:i/>
          <w:iCs/>
          <w:sz w:val="24"/>
          <w:szCs w:val="24"/>
          <w:lang w:eastAsia="ro-RO"/>
        </w:rPr>
        <w:instrText xml:space="preserve"> REF _Ref12957 \h </w:instrText>
      </w:r>
      <w:r>
        <w:rPr>
          <w:rFonts w:cs="Mangal"/>
          <w:b/>
          <w:i/>
          <w:iCs/>
          <w:sz w:val="24"/>
          <w:szCs w:val="24"/>
          <w:lang w:eastAsia="ro-RO"/>
        </w:rPr>
      </w:r>
      <w:r>
        <w:rPr>
          <w:rFonts w:cs="Mangal"/>
          <w:b/>
          <w:i/>
          <w:iCs/>
          <w:sz w:val="24"/>
          <w:szCs w:val="24"/>
          <w:lang w:eastAsia="ro-RO"/>
        </w:rPr>
        <w:fldChar w:fldCharType="separate"/>
      </w:r>
      <w:r>
        <w:t>Tabelul 47</w:t>
      </w:r>
      <w:r>
        <w:rPr>
          <w:rFonts w:cs="Mangal"/>
          <w:b/>
          <w:i/>
          <w:iCs/>
          <w:sz w:val="24"/>
          <w:szCs w:val="24"/>
          <w:lang w:eastAsia="ro-RO"/>
        </w:rPr>
        <w:fldChar w:fldCharType="end"/>
      </w:r>
      <w:r>
        <w:rPr>
          <w:sz w:val="24"/>
          <w:szCs w:val="24"/>
          <w:lang w:eastAsia="ro-RO"/>
        </w:rPr>
        <w:t>.</w:t>
      </w:r>
    </w:p>
    <w:p w14:paraId="7F54E027" w14:textId="77777777" w:rsidR="001C08A5" w:rsidRDefault="001C08A5">
      <w:pPr>
        <w:suppressAutoHyphens w:val="0"/>
        <w:autoSpaceDE w:val="0"/>
        <w:autoSpaceDN w:val="0"/>
        <w:adjustRightInd w:val="0"/>
        <w:jc w:val="both"/>
        <w:rPr>
          <w:strike/>
          <w:sz w:val="24"/>
          <w:szCs w:val="24"/>
          <w:lang w:eastAsia="ro-RO"/>
        </w:rPr>
      </w:pPr>
    </w:p>
    <w:p w14:paraId="76283BE4" w14:textId="77777777" w:rsidR="001C08A5" w:rsidRDefault="00000000">
      <w:pPr>
        <w:pStyle w:val="Captiontabel"/>
      </w:pPr>
      <w:bookmarkStart w:id="2998" w:name="_Ref12947"/>
      <w:bookmarkStart w:id="2999" w:name="_Toc162360096"/>
      <w:r>
        <w:t xml:space="preserve">Tabelul </w:t>
      </w:r>
      <w:r>
        <w:fldChar w:fldCharType="begin"/>
      </w:r>
      <w:r>
        <w:instrText xml:space="preserve"> SEQ Tabelul \* ARABIC </w:instrText>
      </w:r>
      <w:r>
        <w:fldChar w:fldCharType="separate"/>
      </w:r>
      <w:r>
        <w:t>46</w:t>
      </w:r>
      <w:r>
        <w:fldChar w:fldCharType="end"/>
      </w:r>
      <w:bookmarkStart w:id="3000" w:name="_Toc9473"/>
      <w:bookmarkStart w:id="3001" w:name="_Toc4040"/>
      <w:bookmarkStart w:id="3002" w:name="_Toc18244"/>
      <w:bookmarkStart w:id="3003" w:name="_Toc10720"/>
      <w:bookmarkStart w:id="3004" w:name="_Toc29436"/>
      <w:bookmarkStart w:id="3005" w:name="_Toc3921"/>
      <w:bookmarkStart w:id="3006" w:name="_Toc25558"/>
      <w:bookmarkStart w:id="3007" w:name="_Toc24756"/>
      <w:bookmarkStart w:id="3008" w:name="_Toc30326"/>
      <w:bookmarkStart w:id="3009" w:name="_Toc8108"/>
      <w:bookmarkStart w:id="3010" w:name="_Toc8643"/>
      <w:bookmarkStart w:id="3011" w:name="_Toc19486"/>
      <w:bookmarkStart w:id="3012" w:name="_Toc11164"/>
      <w:bookmarkStart w:id="3013" w:name="_Toc3318"/>
      <w:bookmarkStart w:id="3014" w:name="_Toc18995"/>
      <w:bookmarkStart w:id="3015" w:name="_Toc3706"/>
      <w:bookmarkStart w:id="3016" w:name="_Toc9199"/>
      <w:bookmarkStart w:id="3017" w:name="_Toc10253"/>
      <w:bookmarkStart w:id="3018" w:name="_Toc348"/>
      <w:bookmarkEnd w:id="2998"/>
      <w:r>
        <w:t>: Comportare la foc a pereţilor, uşilor și planşeelor de separare a caselor de scări închise din clădiri</w:t>
      </w:r>
      <w:r>
        <w:rPr>
          <w:lang w:eastAsia="ro-RO"/>
        </w:rPr>
        <w:t xml:space="preserve"> civile</w:t>
      </w:r>
      <w:r>
        <w:t xml:space="preserve"> cu înălţimi obişnuite, atunci când nu se regăsesc în destinaţiile specifice detaliate în normativ</w:t>
      </w:r>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p>
    <w:p w14:paraId="008E8042" w14:textId="77777777" w:rsidR="001C08A5" w:rsidRDefault="001C08A5">
      <w:pPr>
        <w:suppressAutoHyphens w:val="0"/>
        <w:autoSpaceDE w:val="0"/>
        <w:autoSpaceDN w:val="0"/>
        <w:adjustRightInd w:val="0"/>
        <w:jc w:val="both"/>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39"/>
        <w:gridCol w:w="1952"/>
        <w:gridCol w:w="1581"/>
        <w:gridCol w:w="1372"/>
        <w:gridCol w:w="1678"/>
        <w:gridCol w:w="1703"/>
      </w:tblGrid>
      <w:tr w:rsidR="001C08A5" w14:paraId="169EDCA9" w14:textId="77777777">
        <w:trPr>
          <w:tblHeader/>
        </w:trPr>
        <w:tc>
          <w:tcPr>
            <w:tcW w:w="1239" w:type="dxa"/>
            <w:vMerge w:val="restart"/>
            <w:shd w:val="clear" w:color="auto" w:fill="BFBFBF"/>
          </w:tcPr>
          <w:p w14:paraId="75DB2323" w14:textId="77777777" w:rsidR="001C08A5" w:rsidRDefault="00000000">
            <w:pPr>
              <w:pStyle w:val="BodyText"/>
              <w:jc w:val="center"/>
              <w:rPr>
                <w:bCs w:val="0"/>
                <w:sz w:val="22"/>
                <w:szCs w:val="22"/>
              </w:rPr>
            </w:pPr>
            <w:r>
              <w:rPr>
                <w:bCs w:val="0"/>
                <w:sz w:val="22"/>
                <w:szCs w:val="22"/>
              </w:rPr>
              <w:t>Nivel de stabilitate</w:t>
            </w:r>
          </w:p>
          <w:p w14:paraId="72DFFAA3" w14:textId="77777777" w:rsidR="001C08A5" w:rsidRDefault="00000000">
            <w:pPr>
              <w:jc w:val="center"/>
              <w:rPr>
                <w:i/>
                <w:sz w:val="22"/>
                <w:szCs w:val="22"/>
              </w:rPr>
            </w:pPr>
            <w:r>
              <w:rPr>
                <w:b/>
                <w:bCs/>
                <w:i/>
                <w:sz w:val="22"/>
                <w:szCs w:val="22"/>
              </w:rPr>
              <w:t>la incendiu</w:t>
            </w:r>
          </w:p>
        </w:tc>
        <w:tc>
          <w:tcPr>
            <w:tcW w:w="8286" w:type="dxa"/>
            <w:gridSpan w:val="5"/>
            <w:shd w:val="clear" w:color="auto" w:fill="BFBFBF"/>
          </w:tcPr>
          <w:p w14:paraId="159F2D70"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47704788" w14:textId="77777777">
        <w:trPr>
          <w:tblHeader/>
        </w:trPr>
        <w:tc>
          <w:tcPr>
            <w:tcW w:w="1239" w:type="dxa"/>
            <w:vMerge/>
            <w:shd w:val="clear" w:color="auto" w:fill="BFBFBF"/>
          </w:tcPr>
          <w:p w14:paraId="6783F0FF" w14:textId="77777777" w:rsidR="001C08A5" w:rsidRDefault="001C08A5">
            <w:pPr>
              <w:jc w:val="center"/>
              <w:rPr>
                <w:i/>
                <w:sz w:val="22"/>
                <w:szCs w:val="22"/>
              </w:rPr>
            </w:pPr>
          </w:p>
        </w:tc>
        <w:tc>
          <w:tcPr>
            <w:tcW w:w="3533" w:type="dxa"/>
            <w:gridSpan w:val="2"/>
            <w:shd w:val="clear" w:color="auto" w:fill="BFBFBF"/>
          </w:tcPr>
          <w:p w14:paraId="4BC149EB" w14:textId="77777777" w:rsidR="001C08A5" w:rsidRDefault="00000000">
            <w:pPr>
              <w:jc w:val="center"/>
              <w:rPr>
                <w:i/>
                <w:sz w:val="22"/>
                <w:szCs w:val="22"/>
              </w:rPr>
            </w:pPr>
            <w:r>
              <w:rPr>
                <w:b/>
                <w:bCs/>
                <w:i/>
                <w:sz w:val="22"/>
                <w:szCs w:val="22"/>
              </w:rPr>
              <w:t>Pereţi</w:t>
            </w:r>
          </w:p>
        </w:tc>
        <w:tc>
          <w:tcPr>
            <w:tcW w:w="3050" w:type="dxa"/>
            <w:gridSpan w:val="2"/>
            <w:shd w:val="clear" w:color="auto" w:fill="BFBFBF"/>
          </w:tcPr>
          <w:p w14:paraId="513D89B2"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703" w:type="dxa"/>
            <w:shd w:val="clear" w:color="auto" w:fill="BFBFBF"/>
          </w:tcPr>
          <w:p w14:paraId="40D85CE3" w14:textId="77777777" w:rsidR="001C08A5" w:rsidRDefault="00000000">
            <w:pPr>
              <w:jc w:val="center"/>
              <w:rPr>
                <w:b/>
                <w:bCs/>
                <w:i/>
                <w:sz w:val="22"/>
                <w:szCs w:val="22"/>
              </w:rPr>
            </w:pPr>
            <w:r>
              <w:rPr>
                <w:b/>
                <w:bCs/>
                <w:i/>
                <w:sz w:val="22"/>
                <w:szCs w:val="22"/>
              </w:rPr>
              <w:t xml:space="preserve">Uşi </w:t>
            </w:r>
            <w:r>
              <w:rPr>
                <w:bCs/>
                <w:i/>
                <w:sz w:val="22"/>
                <w:szCs w:val="22"/>
              </w:rPr>
              <w:t>(cu excepţia uşilor de apartament)</w:t>
            </w:r>
          </w:p>
        </w:tc>
      </w:tr>
      <w:tr w:rsidR="001C08A5" w14:paraId="5A72AF5F" w14:textId="77777777">
        <w:tc>
          <w:tcPr>
            <w:tcW w:w="1239" w:type="dxa"/>
          </w:tcPr>
          <w:p w14:paraId="397508CB" w14:textId="77777777" w:rsidR="001C08A5" w:rsidRDefault="00000000">
            <w:pPr>
              <w:pStyle w:val="BodyText"/>
              <w:jc w:val="center"/>
              <w:rPr>
                <w:bCs w:val="0"/>
                <w:sz w:val="22"/>
                <w:szCs w:val="22"/>
              </w:rPr>
            </w:pPr>
            <w:r>
              <w:rPr>
                <w:bCs w:val="0"/>
                <w:sz w:val="22"/>
                <w:szCs w:val="22"/>
              </w:rPr>
              <w:t>I</w:t>
            </w:r>
          </w:p>
          <w:p w14:paraId="59DF2C29" w14:textId="77777777" w:rsidR="001C08A5" w:rsidRDefault="00000000">
            <w:pPr>
              <w:pStyle w:val="BodyText"/>
              <w:jc w:val="center"/>
              <w:rPr>
                <w:bCs w:val="0"/>
                <w:sz w:val="22"/>
                <w:szCs w:val="22"/>
              </w:rPr>
            </w:pPr>
            <w:r>
              <w:rPr>
                <w:sz w:val="22"/>
                <w:szCs w:val="22"/>
              </w:rPr>
              <w:t>h&lt;28m</w:t>
            </w:r>
          </w:p>
        </w:tc>
        <w:tc>
          <w:tcPr>
            <w:tcW w:w="1952" w:type="dxa"/>
          </w:tcPr>
          <w:p w14:paraId="61AE079F" w14:textId="77777777" w:rsidR="001C08A5" w:rsidRDefault="00000000">
            <w:pPr>
              <w:jc w:val="center"/>
              <w:rPr>
                <w:b/>
                <w:i/>
                <w:sz w:val="22"/>
                <w:szCs w:val="22"/>
              </w:rPr>
            </w:pPr>
            <w:r>
              <w:rPr>
                <w:b/>
                <w:i/>
                <w:sz w:val="22"/>
                <w:szCs w:val="22"/>
              </w:rPr>
              <w:t xml:space="preserve">EI/REI 180 </w:t>
            </w:r>
          </w:p>
          <w:p w14:paraId="6C6739B9" w14:textId="77777777" w:rsidR="001C08A5" w:rsidRDefault="001C08A5">
            <w:pPr>
              <w:jc w:val="center"/>
              <w:rPr>
                <w:b/>
                <w:i/>
                <w:sz w:val="22"/>
                <w:szCs w:val="22"/>
              </w:rPr>
            </w:pPr>
          </w:p>
        </w:tc>
        <w:tc>
          <w:tcPr>
            <w:tcW w:w="1581" w:type="dxa"/>
          </w:tcPr>
          <w:p w14:paraId="4F1E5BA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72" w:type="dxa"/>
          </w:tcPr>
          <w:p w14:paraId="5AAFE439" w14:textId="77777777" w:rsidR="001C08A5" w:rsidRDefault="00000000">
            <w:pPr>
              <w:jc w:val="center"/>
              <w:rPr>
                <w:b/>
                <w:i/>
                <w:sz w:val="22"/>
                <w:szCs w:val="22"/>
              </w:rPr>
            </w:pPr>
            <w:r>
              <w:rPr>
                <w:b/>
                <w:i/>
                <w:sz w:val="22"/>
                <w:szCs w:val="22"/>
              </w:rPr>
              <w:t xml:space="preserve">REI 120 </w:t>
            </w:r>
          </w:p>
        </w:tc>
        <w:tc>
          <w:tcPr>
            <w:tcW w:w="1678" w:type="dxa"/>
          </w:tcPr>
          <w:p w14:paraId="28D3398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3" w:type="dxa"/>
          </w:tcPr>
          <w:p w14:paraId="4A5282DA" w14:textId="77777777" w:rsidR="001C08A5" w:rsidRDefault="00000000">
            <w:pPr>
              <w:jc w:val="center"/>
              <w:rPr>
                <w:i/>
                <w:sz w:val="22"/>
                <w:szCs w:val="22"/>
              </w:rPr>
            </w:pPr>
            <w:r>
              <w:rPr>
                <w:b/>
                <w:bCs/>
                <w:i/>
                <w:sz w:val="22"/>
                <w:szCs w:val="22"/>
              </w:rPr>
              <w:t xml:space="preserve">E60 - C5 </w:t>
            </w:r>
            <w:r>
              <w:rPr>
                <w:b/>
                <w:i/>
                <w:sz w:val="22"/>
                <w:szCs w:val="22"/>
              </w:rPr>
              <w:t>S</w:t>
            </w:r>
            <w:r>
              <w:rPr>
                <w:b/>
                <w:bCs/>
                <w:i/>
                <w:sz w:val="22"/>
                <w:szCs w:val="22"/>
                <w:vertAlign w:val="subscript"/>
              </w:rPr>
              <w:t>200</w:t>
            </w:r>
          </w:p>
        </w:tc>
      </w:tr>
      <w:tr w:rsidR="001C08A5" w14:paraId="338CEFA3" w14:textId="77777777">
        <w:tc>
          <w:tcPr>
            <w:tcW w:w="1239" w:type="dxa"/>
          </w:tcPr>
          <w:p w14:paraId="7CBEC8F8" w14:textId="77777777" w:rsidR="001C08A5" w:rsidRDefault="00000000">
            <w:pPr>
              <w:pStyle w:val="BodyText"/>
              <w:jc w:val="center"/>
              <w:rPr>
                <w:bCs w:val="0"/>
                <w:sz w:val="22"/>
                <w:szCs w:val="22"/>
              </w:rPr>
            </w:pPr>
            <w:r>
              <w:rPr>
                <w:bCs w:val="0"/>
                <w:sz w:val="22"/>
                <w:szCs w:val="22"/>
              </w:rPr>
              <w:t>II</w:t>
            </w:r>
          </w:p>
        </w:tc>
        <w:tc>
          <w:tcPr>
            <w:tcW w:w="1952" w:type="dxa"/>
          </w:tcPr>
          <w:p w14:paraId="3E30BCCB" w14:textId="77777777" w:rsidR="001C08A5" w:rsidRDefault="00000000">
            <w:pPr>
              <w:jc w:val="center"/>
              <w:rPr>
                <w:b/>
                <w:i/>
                <w:sz w:val="22"/>
                <w:szCs w:val="22"/>
              </w:rPr>
            </w:pPr>
            <w:r>
              <w:rPr>
                <w:b/>
                <w:i/>
                <w:sz w:val="22"/>
                <w:szCs w:val="22"/>
              </w:rPr>
              <w:t>EI/REI 180</w:t>
            </w:r>
          </w:p>
          <w:p w14:paraId="6EC78465" w14:textId="77777777" w:rsidR="001C08A5" w:rsidRDefault="001C08A5">
            <w:pPr>
              <w:jc w:val="center"/>
              <w:rPr>
                <w:b/>
                <w:i/>
                <w:sz w:val="22"/>
                <w:szCs w:val="22"/>
              </w:rPr>
            </w:pPr>
          </w:p>
        </w:tc>
        <w:tc>
          <w:tcPr>
            <w:tcW w:w="1581" w:type="dxa"/>
          </w:tcPr>
          <w:p w14:paraId="772F0FE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72" w:type="dxa"/>
          </w:tcPr>
          <w:p w14:paraId="6382CD0A" w14:textId="77777777" w:rsidR="001C08A5" w:rsidRDefault="00000000">
            <w:pPr>
              <w:jc w:val="center"/>
              <w:rPr>
                <w:b/>
                <w:i/>
                <w:sz w:val="22"/>
                <w:szCs w:val="22"/>
              </w:rPr>
            </w:pPr>
            <w:r>
              <w:rPr>
                <w:b/>
                <w:i/>
                <w:sz w:val="22"/>
                <w:szCs w:val="22"/>
              </w:rPr>
              <w:t>REI 120</w:t>
            </w:r>
          </w:p>
        </w:tc>
        <w:tc>
          <w:tcPr>
            <w:tcW w:w="1678" w:type="dxa"/>
          </w:tcPr>
          <w:p w14:paraId="2C00DFA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3" w:type="dxa"/>
          </w:tcPr>
          <w:p w14:paraId="389126DE" w14:textId="77777777" w:rsidR="001C08A5" w:rsidRDefault="00000000">
            <w:pPr>
              <w:jc w:val="center"/>
              <w:rPr>
                <w:i/>
                <w:sz w:val="22"/>
                <w:szCs w:val="22"/>
              </w:rPr>
            </w:pPr>
            <w:r>
              <w:rPr>
                <w:b/>
                <w:bCs/>
                <w:i/>
                <w:sz w:val="22"/>
                <w:szCs w:val="22"/>
              </w:rPr>
              <w:t xml:space="preserve">E45 - C5 </w:t>
            </w:r>
            <w:r>
              <w:rPr>
                <w:b/>
                <w:i/>
                <w:sz w:val="22"/>
                <w:szCs w:val="22"/>
              </w:rPr>
              <w:t>S</w:t>
            </w:r>
            <w:r>
              <w:rPr>
                <w:b/>
                <w:bCs/>
                <w:i/>
                <w:sz w:val="22"/>
                <w:szCs w:val="22"/>
                <w:vertAlign w:val="subscript"/>
              </w:rPr>
              <w:t>200</w:t>
            </w:r>
          </w:p>
        </w:tc>
      </w:tr>
      <w:tr w:rsidR="001C08A5" w14:paraId="1AEA8A6B" w14:textId="77777777">
        <w:tc>
          <w:tcPr>
            <w:tcW w:w="1239" w:type="dxa"/>
          </w:tcPr>
          <w:p w14:paraId="40D203A7" w14:textId="77777777" w:rsidR="001C08A5" w:rsidRDefault="00000000">
            <w:pPr>
              <w:pStyle w:val="BodyText"/>
              <w:jc w:val="center"/>
              <w:rPr>
                <w:bCs w:val="0"/>
                <w:sz w:val="22"/>
                <w:szCs w:val="22"/>
              </w:rPr>
            </w:pPr>
            <w:r>
              <w:rPr>
                <w:bCs w:val="0"/>
                <w:sz w:val="22"/>
                <w:szCs w:val="22"/>
              </w:rPr>
              <w:t>II (+)</w:t>
            </w:r>
          </w:p>
        </w:tc>
        <w:tc>
          <w:tcPr>
            <w:tcW w:w="1952" w:type="dxa"/>
          </w:tcPr>
          <w:p w14:paraId="53E2E36D" w14:textId="77777777" w:rsidR="001C08A5" w:rsidRDefault="00000000">
            <w:pPr>
              <w:jc w:val="center"/>
              <w:rPr>
                <w:b/>
                <w:i/>
                <w:sz w:val="22"/>
                <w:szCs w:val="22"/>
              </w:rPr>
            </w:pPr>
            <w:r>
              <w:rPr>
                <w:b/>
                <w:i/>
                <w:sz w:val="22"/>
                <w:szCs w:val="22"/>
              </w:rPr>
              <w:t>EI/REI 120</w:t>
            </w:r>
          </w:p>
          <w:p w14:paraId="423BAA8F" w14:textId="77777777" w:rsidR="001C08A5" w:rsidRDefault="001C08A5">
            <w:pPr>
              <w:jc w:val="center"/>
              <w:rPr>
                <w:b/>
                <w:i/>
                <w:sz w:val="22"/>
                <w:szCs w:val="22"/>
              </w:rPr>
            </w:pPr>
          </w:p>
        </w:tc>
        <w:tc>
          <w:tcPr>
            <w:tcW w:w="1581" w:type="dxa"/>
          </w:tcPr>
          <w:p w14:paraId="060B0140"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72" w:type="dxa"/>
          </w:tcPr>
          <w:p w14:paraId="6F3BAACC" w14:textId="77777777" w:rsidR="001C08A5" w:rsidRDefault="00000000">
            <w:pPr>
              <w:jc w:val="center"/>
              <w:rPr>
                <w:b/>
                <w:i/>
                <w:sz w:val="22"/>
                <w:szCs w:val="22"/>
              </w:rPr>
            </w:pPr>
            <w:r>
              <w:rPr>
                <w:b/>
                <w:i/>
                <w:sz w:val="22"/>
                <w:szCs w:val="22"/>
              </w:rPr>
              <w:t>REI 90</w:t>
            </w:r>
          </w:p>
        </w:tc>
        <w:tc>
          <w:tcPr>
            <w:tcW w:w="1678" w:type="dxa"/>
          </w:tcPr>
          <w:p w14:paraId="5F1436F0"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03" w:type="dxa"/>
          </w:tcPr>
          <w:p w14:paraId="258C8582" w14:textId="77777777" w:rsidR="001C08A5" w:rsidRDefault="00000000">
            <w:pPr>
              <w:jc w:val="center"/>
              <w:rPr>
                <w:b/>
                <w:bCs/>
                <w:i/>
                <w:sz w:val="22"/>
                <w:szCs w:val="22"/>
              </w:rPr>
            </w:pPr>
            <w:r>
              <w:rPr>
                <w:b/>
                <w:bCs/>
                <w:i/>
                <w:sz w:val="22"/>
                <w:szCs w:val="22"/>
              </w:rPr>
              <w:t xml:space="preserve">E45 - C5 </w:t>
            </w:r>
            <w:r>
              <w:rPr>
                <w:b/>
                <w:i/>
                <w:sz w:val="22"/>
                <w:szCs w:val="22"/>
              </w:rPr>
              <w:t>S</w:t>
            </w:r>
            <w:r>
              <w:rPr>
                <w:b/>
                <w:bCs/>
                <w:i/>
                <w:sz w:val="22"/>
                <w:szCs w:val="22"/>
                <w:vertAlign w:val="subscript"/>
              </w:rPr>
              <w:t>200</w:t>
            </w:r>
          </w:p>
        </w:tc>
      </w:tr>
      <w:tr w:rsidR="001C08A5" w14:paraId="24A17459" w14:textId="77777777">
        <w:tc>
          <w:tcPr>
            <w:tcW w:w="1239" w:type="dxa"/>
          </w:tcPr>
          <w:p w14:paraId="32CCFB92" w14:textId="77777777" w:rsidR="001C08A5" w:rsidRDefault="00000000">
            <w:pPr>
              <w:pStyle w:val="BodyText"/>
              <w:jc w:val="center"/>
              <w:rPr>
                <w:bCs w:val="0"/>
                <w:sz w:val="22"/>
                <w:szCs w:val="22"/>
              </w:rPr>
            </w:pPr>
            <w:r>
              <w:rPr>
                <w:bCs w:val="0"/>
                <w:sz w:val="22"/>
                <w:szCs w:val="22"/>
              </w:rPr>
              <w:t>III</w:t>
            </w:r>
          </w:p>
        </w:tc>
        <w:tc>
          <w:tcPr>
            <w:tcW w:w="1952" w:type="dxa"/>
          </w:tcPr>
          <w:p w14:paraId="7CDBDB90" w14:textId="77777777" w:rsidR="001C08A5" w:rsidRDefault="00000000">
            <w:pPr>
              <w:jc w:val="center"/>
              <w:rPr>
                <w:b/>
                <w:i/>
                <w:sz w:val="22"/>
                <w:szCs w:val="22"/>
              </w:rPr>
            </w:pPr>
            <w:r>
              <w:rPr>
                <w:b/>
                <w:i/>
                <w:sz w:val="22"/>
                <w:szCs w:val="22"/>
              </w:rPr>
              <w:t xml:space="preserve">EI/REI 90 </w:t>
            </w:r>
          </w:p>
          <w:p w14:paraId="1983271D" w14:textId="77777777" w:rsidR="001C08A5" w:rsidRDefault="001C08A5">
            <w:pPr>
              <w:jc w:val="center"/>
              <w:rPr>
                <w:b/>
                <w:i/>
                <w:sz w:val="22"/>
                <w:szCs w:val="22"/>
              </w:rPr>
            </w:pPr>
          </w:p>
        </w:tc>
        <w:tc>
          <w:tcPr>
            <w:tcW w:w="1581" w:type="dxa"/>
          </w:tcPr>
          <w:p w14:paraId="57804A7E"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72" w:type="dxa"/>
          </w:tcPr>
          <w:p w14:paraId="6FB69E22" w14:textId="77777777" w:rsidR="001C08A5" w:rsidRDefault="00000000">
            <w:pPr>
              <w:jc w:val="center"/>
              <w:rPr>
                <w:b/>
                <w:i/>
                <w:sz w:val="22"/>
                <w:szCs w:val="22"/>
              </w:rPr>
            </w:pPr>
            <w:r>
              <w:rPr>
                <w:b/>
                <w:i/>
                <w:sz w:val="22"/>
                <w:szCs w:val="22"/>
              </w:rPr>
              <w:t>REI 60</w:t>
            </w:r>
          </w:p>
        </w:tc>
        <w:tc>
          <w:tcPr>
            <w:tcW w:w="1678" w:type="dxa"/>
          </w:tcPr>
          <w:p w14:paraId="4BDD80CD"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03" w:type="dxa"/>
          </w:tcPr>
          <w:p w14:paraId="0BA31B75" w14:textId="77777777" w:rsidR="001C08A5" w:rsidRDefault="00000000">
            <w:pPr>
              <w:jc w:val="center"/>
              <w:rPr>
                <w:b/>
                <w:i/>
                <w:sz w:val="22"/>
                <w:szCs w:val="22"/>
              </w:rPr>
            </w:pPr>
            <w:r>
              <w:rPr>
                <w:b/>
                <w:bCs/>
                <w:i/>
                <w:sz w:val="22"/>
                <w:szCs w:val="22"/>
              </w:rPr>
              <w:t>E30 - C5 Sa</w:t>
            </w:r>
          </w:p>
          <w:p w14:paraId="0B6108F6" w14:textId="77777777" w:rsidR="001C08A5" w:rsidRDefault="001C08A5">
            <w:pPr>
              <w:jc w:val="center"/>
              <w:rPr>
                <w:i/>
                <w:strike/>
                <w:sz w:val="22"/>
                <w:szCs w:val="22"/>
              </w:rPr>
            </w:pPr>
          </w:p>
        </w:tc>
      </w:tr>
      <w:tr w:rsidR="001C08A5" w14:paraId="747AB51E" w14:textId="77777777">
        <w:tc>
          <w:tcPr>
            <w:tcW w:w="1239" w:type="dxa"/>
          </w:tcPr>
          <w:p w14:paraId="60F94FE6" w14:textId="77777777" w:rsidR="001C08A5" w:rsidRDefault="00000000">
            <w:pPr>
              <w:pStyle w:val="BodyText"/>
              <w:jc w:val="center"/>
              <w:rPr>
                <w:bCs w:val="0"/>
                <w:sz w:val="22"/>
                <w:szCs w:val="22"/>
              </w:rPr>
            </w:pPr>
            <w:r>
              <w:rPr>
                <w:bCs w:val="0"/>
                <w:sz w:val="22"/>
                <w:szCs w:val="22"/>
              </w:rPr>
              <w:t>III (+)</w:t>
            </w:r>
          </w:p>
        </w:tc>
        <w:tc>
          <w:tcPr>
            <w:tcW w:w="1952" w:type="dxa"/>
          </w:tcPr>
          <w:p w14:paraId="577B1507" w14:textId="77777777" w:rsidR="001C08A5" w:rsidRDefault="00000000">
            <w:pPr>
              <w:jc w:val="center"/>
              <w:rPr>
                <w:b/>
                <w:i/>
                <w:sz w:val="22"/>
                <w:szCs w:val="22"/>
              </w:rPr>
            </w:pPr>
            <w:r>
              <w:rPr>
                <w:b/>
                <w:i/>
                <w:sz w:val="22"/>
                <w:szCs w:val="22"/>
              </w:rPr>
              <w:t xml:space="preserve">EI/REI 60 </w:t>
            </w:r>
          </w:p>
          <w:p w14:paraId="27E28BA8" w14:textId="77777777" w:rsidR="001C08A5" w:rsidRDefault="001C08A5">
            <w:pPr>
              <w:jc w:val="center"/>
              <w:rPr>
                <w:b/>
                <w:i/>
                <w:sz w:val="22"/>
                <w:szCs w:val="22"/>
              </w:rPr>
            </w:pPr>
          </w:p>
        </w:tc>
        <w:tc>
          <w:tcPr>
            <w:tcW w:w="1581" w:type="dxa"/>
          </w:tcPr>
          <w:p w14:paraId="391464E7"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72" w:type="dxa"/>
          </w:tcPr>
          <w:p w14:paraId="5E6FC696" w14:textId="77777777" w:rsidR="001C08A5" w:rsidRDefault="00000000">
            <w:pPr>
              <w:jc w:val="center"/>
              <w:rPr>
                <w:b/>
                <w:i/>
                <w:sz w:val="22"/>
                <w:szCs w:val="22"/>
              </w:rPr>
            </w:pPr>
            <w:r>
              <w:rPr>
                <w:b/>
                <w:i/>
                <w:sz w:val="22"/>
                <w:szCs w:val="22"/>
              </w:rPr>
              <w:t xml:space="preserve">REI 45 </w:t>
            </w:r>
          </w:p>
        </w:tc>
        <w:tc>
          <w:tcPr>
            <w:tcW w:w="1678" w:type="dxa"/>
          </w:tcPr>
          <w:p w14:paraId="01224C13"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703" w:type="dxa"/>
          </w:tcPr>
          <w:p w14:paraId="1BCD37BE" w14:textId="77777777" w:rsidR="001C08A5" w:rsidRDefault="00000000">
            <w:pPr>
              <w:jc w:val="center"/>
              <w:rPr>
                <w:b/>
                <w:i/>
                <w:sz w:val="22"/>
                <w:szCs w:val="22"/>
              </w:rPr>
            </w:pPr>
            <w:r>
              <w:rPr>
                <w:b/>
                <w:bCs/>
                <w:i/>
                <w:sz w:val="22"/>
                <w:szCs w:val="22"/>
              </w:rPr>
              <w:t>E30 - C5 Sa</w:t>
            </w:r>
          </w:p>
          <w:p w14:paraId="2AE02867" w14:textId="77777777" w:rsidR="001C08A5" w:rsidRDefault="001C08A5">
            <w:pPr>
              <w:jc w:val="center"/>
              <w:rPr>
                <w:i/>
                <w:strike/>
                <w:sz w:val="22"/>
                <w:szCs w:val="22"/>
              </w:rPr>
            </w:pPr>
          </w:p>
        </w:tc>
      </w:tr>
      <w:tr w:rsidR="001C08A5" w14:paraId="0A28FDF4" w14:textId="77777777">
        <w:tc>
          <w:tcPr>
            <w:tcW w:w="1239" w:type="dxa"/>
          </w:tcPr>
          <w:p w14:paraId="22834336" w14:textId="77777777" w:rsidR="001C08A5" w:rsidRDefault="00000000">
            <w:pPr>
              <w:pStyle w:val="BodyText"/>
              <w:jc w:val="center"/>
              <w:rPr>
                <w:bCs w:val="0"/>
                <w:sz w:val="22"/>
                <w:szCs w:val="22"/>
              </w:rPr>
            </w:pPr>
            <w:r>
              <w:rPr>
                <w:bCs w:val="0"/>
                <w:sz w:val="22"/>
                <w:szCs w:val="22"/>
              </w:rPr>
              <w:t>IV</w:t>
            </w:r>
          </w:p>
        </w:tc>
        <w:tc>
          <w:tcPr>
            <w:tcW w:w="1952" w:type="dxa"/>
          </w:tcPr>
          <w:p w14:paraId="20B641DD" w14:textId="77777777" w:rsidR="001C08A5" w:rsidRDefault="00000000">
            <w:pPr>
              <w:jc w:val="center"/>
              <w:rPr>
                <w:b/>
                <w:i/>
                <w:sz w:val="22"/>
                <w:szCs w:val="22"/>
              </w:rPr>
            </w:pPr>
            <w:r>
              <w:rPr>
                <w:b/>
                <w:i/>
                <w:sz w:val="22"/>
                <w:szCs w:val="22"/>
              </w:rPr>
              <w:t xml:space="preserve">EI/REI 45 </w:t>
            </w:r>
          </w:p>
          <w:p w14:paraId="0B098D8F" w14:textId="77777777" w:rsidR="001C08A5" w:rsidRDefault="001C08A5">
            <w:pPr>
              <w:jc w:val="center"/>
              <w:rPr>
                <w:b/>
                <w:i/>
                <w:strike/>
                <w:sz w:val="22"/>
                <w:szCs w:val="22"/>
              </w:rPr>
            </w:pPr>
          </w:p>
        </w:tc>
        <w:tc>
          <w:tcPr>
            <w:tcW w:w="1581" w:type="dxa"/>
          </w:tcPr>
          <w:p w14:paraId="08886B5D"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372" w:type="dxa"/>
          </w:tcPr>
          <w:p w14:paraId="748B7C0A" w14:textId="77777777" w:rsidR="001C08A5" w:rsidRDefault="00000000">
            <w:pPr>
              <w:jc w:val="center"/>
              <w:rPr>
                <w:b/>
                <w:i/>
                <w:sz w:val="22"/>
                <w:szCs w:val="22"/>
              </w:rPr>
            </w:pPr>
            <w:r>
              <w:rPr>
                <w:b/>
                <w:i/>
                <w:sz w:val="22"/>
                <w:szCs w:val="22"/>
              </w:rPr>
              <w:t xml:space="preserve">REI 30 </w:t>
            </w:r>
          </w:p>
        </w:tc>
        <w:tc>
          <w:tcPr>
            <w:tcW w:w="1678" w:type="dxa"/>
          </w:tcPr>
          <w:p w14:paraId="262280BF"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703" w:type="dxa"/>
          </w:tcPr>
          <w:p w14:paraId="14B1F5A2" w14:textId="77777777" w:rsidR="001C08A5" w:rsidRDefault="00000000">
            <w:pPr>
              <w:jc w:val="center"/>
              <w:rPr>
                <w:i/>
                <w:sz w:val="22"/>
                <w:szCs w:val="22"/>
              </w:rPr>
            </w:pPr>
            <w:r>
              <w:rPr>
                <w:b/>
                <w:bCs/>
                <w:i/>
                <w:sz w:val="22"/>
                <w:szCs w:val="22"/>
              </w:rPr>
              <w:t xml:space="preserve">C5 </w:t>
            </w:r>
          </w:p>
        </w:tc>
      </w:tr>
      <w:tr w:rsidR="001C08A5" w14:paraId="46C71F2D" w14:textId="77777777">
        <w:tc>
          <w:tcPr>
            <w:tcW w:w="1239" w:type="dxa"/>
          </w:tcPr>
          <w:p w14:paraId="61A332A9" w14:textId="77777777" w:rsidR="001C08A5" w:rsidRDefault="00000000">
            <w:pPr>
              <w:pStyle w:val="BodyText"/>
              <w:jc w:val="center"/>
              <w:rPr>
                <w:bCs w:val="0"/>
                <w:sz w:val="22"/>
                <w:szCs w:val="22"/>
              </w:rPr>
            </w:pPr>
            <w:r>
              <w:rPr>
                <w:bCs w:val="0"/>
                <w:sz w:val="22"/>
                <w:szCs w:val="22"/>
              </w:rPr>
              <w:t>V</w:t>
            </w:r>
          </w:p>
        </w:tc>
        <w:tc>
          <w:tcPr>
            <w:tcW w:w="1952" w:type="dxa"/>
          </w:tcPr>
          <w:p w14:paraId="4CDB6000" w14:textId="77777777" w:rsidR="001C08A5" w:rsidRDefault="00000000">
            <w:pPr>
              <w:jc w:val="center"/>
              <w:rPr>
                <w:b/>
                <w:i/>
                <w:sz w:val="22"/>
                <w:szCs w:val="22"/>
              </w:rPr>
            </w:pPr>
            <w:r>
              <w:rPr>
                <w:b/>
                <w:i/>
                <w:sz w:val="22"/>
                <w:szCs w:val="22"/>
              </w:rPr>
              <w:t>EI/REI 30</w:t>
            </w:r>
          </w:p>
          <w:p w14:paraId="16FEBB57" w14:textId="77777777" w:rsidR="001C08A5" w:rsidRDefault="001C08A5">
            <w:pPr>
              <w:jc w:val="center"/>
              <w:rPr>
                <w:b/>
                <w:i/>
                <w:strike/>
                <w:sz w:val="22"/>
                <w:szCs w:val="22"/>
              </w:rPr>
            </w:pPr>
          </w:p>
        </w:tc>
        <w:tc>
          <w:tcPr>
            <w:tcW w:w="1581" w:type="dxa"/>
          </w:tcPr>
          <w:p w14:paraId="4565BC31"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 D-s1,d0</w:t>
            </w:r>
          </w:p>
        </w:tc>
        <w:tc>
          <w:tcPr>
            <w:tcW w:w="1372" w:type="dxa"/>
          </w:tcPr>
          <w:p w14:paraId="6AF1777E" w14:textId="77777777" w:rsidR="001C08A5" w:rsidRDefault="00000000">
            <w:pPr>
              <w:jc w:val="center"/>
              <w:rPr>
                <w:b/>
                <w:i/>
                <w:sz w:val="22"/>
                <w:szCs w:val="22"/>
              </w:rPr>
            </w:pPr>
            <w:r>
              <w:rPr>
                <w:b/>
                <w:i/>
                <w:sz w:val="22"/>
                <w:szCs w:val="22"/>
              </w:rPr>
              <w:t xml:space="preserve">REI 15 </w:t>
            </w:r>
          </w:p>
        </w:tc>
        <w:tc>
          <w:tcPr>
            <w:tcW w:w="1678" w:type="dxa"/>
          </w:tcPr>
          <w:p w14:paraId="4C8218DB"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 D-s1,d0</w:t>
            </w:r>
          </w:p>
        </w:tc>
        <w:tc>
          <w:tcPr>
            <w:tcW w:w="1703" w:type="dxa"/>
          </w:tcPr>
          <w:p w14:paraId="36005B9B" w14:textId="77777777" w:rsidR="001C08A5" w:rsidRDefault="00000000">
            <w:pPr>
              <w:jc w:val="center"/>
              <w:rPr>
                <w:i/>
                <w:strike/>
                <w:sz w:val="22"/>
                <w:szCs w:val="22"/>
              </w:rPr>
            </w:pPr>
            <w:r>
              <w:rPr>
                <w:b/>
                <w:bCs/>
                <w:i/>
                <w:sz w:val="22"/>
                <w:szCs w:val="22"/>
              </w:rPr>
              <w:t>C5</w:t>
            </w:r>
          </w:p>
        </w:tc>
      </w:tr>
    </w:tbl>
    <w:p w14:paraId="6003E154" w14:textId="77777777" w:rsidR="001C08A5" w:rsidRDefault="00000000">
      <w:pPr>
        <w:jc w:val="both"/>
        <w:rPr>
          <w:i/>
          <w:sz w:val="22"/>
          <w:szCs w:val="22"/>
        </w:rPr>
      </w:pPr>
      <w:r>
        <w:rPr>
          <w:i/>
          <w:sz w:val="22"/>
          <w:szCs w:val="22"/>
        </w:rPr>
        <w:t>Note:</w:t>
      </w:r>
    </w:p>
    <w:p w14:paraId="0FE84782" w14:textId="77777777" w:rsidR="001C08A5" w:rsidRDefault="00000000">
      <w:pPr>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5D0C0098" w14:textId="77777777" w:rsidR="001C08A5" w:rsidRDefault="00000000">
      <w:pPr>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307FB42A" w14:textId="77777777" w:rsidR="001C08A5" w:rsidRDefault="001C08A5">
      <w:pPr>
        <w:jc w:val="both"/>
        <w:rPr>
          <w:b/>
          <w:sz w:val="24"/>
          <w:szCs w:val="24"/>
        </w:rPr>
      </w:pPr>
    </w:p>
    <w:p w14:paraId="2E2F8D25" w14:textId="77777777" w:rsidR="001C08A5" w:rsidRDefault="00000000">
      <w:pPr>
        <w:pStyle w:val="Captiontabel"/>
      </w:pPr>
      <w:bookmarkStart w:id="3019" w:name="_Ref12957"/>
      <w:bookmarkStart w:id="3020" w:name="_Toc162360097"/>
      <w:r>
        <w:t xml:space="preserve">Tabelul </w:t>
      </w:r>
      <w:r>
        <w:fldChar w:fldCharType="begin"/>
      </w:r>
      <w:r>
        <w:instrText xml:space="preserve"> SEQ Tabelul \* ARABIC </w:instrText>
      </w:r>
      <w:r>
        <w:fldChar w:fldCharType="separate"/>
      </w:r>
      <w:r>
        <w:t>47</w:t>
      </w:r>
      <w:r>
        <w:fldChar w:fldCharType="end"/>
      </w:r>
      <w:bookmarkStart w:id="3021" w:name="_Toc27331"/>
      <w:bookmarkStart w:id="3022" w:name="_Toc31820"/>
      <w:bookmarkStart w:id="3023" w:name="_Toc5351"/>
      <w:bookmarkStart w:id="3024" w:name="_Toc20353"/>
      <w:bookmarkStart w:id="3025" w:name="_Toc32176"/>
      <w:bookmarkStart w:id="3026" w:name="_Toc26585"/>
      <w:bookmarkStart w:id="3027" w:name="_Toc17818"/>
      <w:bookmarkStart w:id="3028" w:name="_Toc31783"/>
      <w:bookmarkStart w:id="3029" w:name="_Toc14965"/>
      <w:bookmarkStart w:id="3030" w:name="_Toc5014"/>
      <w:bookmarkStart w:id="3031" w:name="_Toc13087"/>
      <w:bookmarkStart w:id="3032" w:name="_Toc4421"/>
      <w:bookmarkStart w:id="3033" w:name="_Toc3387"/>
      <w:bookmarkStart w:id="3034" w:name="_Toc29605"/>
      <w:bookmarkStart w:id="3035" w:name="_Toc729"/>
      <w:bookmarkStart w:id="3036" w:name="_Toc21783"/>
      <w:bookmarkStart w:id="3037" w:name="_Toc32501"/>
      <w:bookmarkStart w:id="3038" w:name="_Toc29597"/>
      <w:bookmarkStart w:id="3039" w:name="_Toc25948"/>
      <w:bookmarkEnd w:id="3019"/>
      <w:r>
        <w:t>: Comportare la foc a pereţilor, uşilor și planşeelor de separare a căilor de evacuare orizontale (coridoare şi holuri) din clădiri</w:t>
      </w:r>
      <w:r>
        <w:rPr>
          <w:lang w:eastAsia="ro-RO"/>
        </w:rPr>
        <w:t xml:space="preserve"> civile</w:t>
      </w:r>
      <w:r>
        <w:t xml:space="preserve"> cu înălţimi obişnuite, atunci când nu se regăsesc </w:t>
      </w:r>
      <w:r>
        <w:lastRenderedPageBreak/>
        <w:t>în destinaţiile specifice detaliate în normativ</w:t>
      </w:r>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p>
    <w:p w14:paraId="71468EC5"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602"/>
        <w:gridCol w:w="1731"/>
        <w:gridCol w:w="1503"/>
        <w:gridCol w:w="1861"/>
        <w:gridCol w:w="1539"/>
      </w:tblGrid>
      <w:tr w:rsidR="001C08A5" w14:paraId="6D85943A" w14:textId="77777777">
        <w:trPr>
          <w:tblHeader/>
        </w:trPr>
        <w:tc>
          <w:tcPr>
            <w:tcW w:w="1262" w:type="dxa"/>
            <w:vMerge w:val="restart"/>
            <w:shd w:val="clear" w:color="auto" w:fill="BFBFBF"/>
          </w:tcPr>
          <w:p w14:paraId="3ADFFC99" w14:textId="77777777" w:rsidR="001C08A5" w:rsidRDefault="001C08A5">
            <w:pPr>
              <w:pStyle w:val="BodyText"/>
              <w:jc w:val="center"/>
              <w:rPr>
                <w:bCs w:val="0"/>
                <w:sz w:val="22"/>
                <w:szCs w:val="22"/>
              </w:rPr>
            </w:pPr>
          </w:p>
          <w:p w14:paraId="3DEA5C1D" w14:textId="77777777" w:rsidR="001C08A5" w:rsidRDefault="00000000">
            <w:pPr>
              <w:pStyle w:val="BodyText"/>
              <w:jc w:val="center"/>
              <w:rPr>
                <w:bCs w:val="0"/>
                <w:sz w:val="22"/>
                <w:szCs w:val="22"/>
              </w:rPr>
            </w:pPr>
            <w:r>
              <w:rPr>
                <w:bCs w:val="0"/>
                <w:sz w:val="22"/>
                <w:szCs w:val="22"/>
              </w:rPr>
              <w:t>Nivel de stabilitate</w:t>
            </w:r>
          </w:p>
          <w:p w14:paraId="62DC98E7"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43E2C3FD" w14:textId="77777777" w:rsidR="001C08A5" w:rsidRDefault="00000000">
            <w:pPr>
              <w:jc w:val="center"/>
              <w:rPr>
                <w:b/>
                <w:bCs/>
                <w:i/>
                <w:sz w:val="22"/>
                <w:szCs w:val="22"/>
              </w:rPr>
            </w:pPr>
            <w:r>
              <w:rPr>
                <w:b/>
                <w:bCs/>
                <w:i/>
                <w:sz w:val="22"/>
                <w:szCs w:val="22"/>
              </w:rPr>
              <w:t>Niveluri de comportare la foc admise la coridoare şi la holuri</w:t>
            </w:r>
          </w:p>
        </w:tc>
      </w:tr>
      <w:tr w:rsidR="001C08A5" w14:paraId="76B99DC0" w14:textId="77777777">
        <w:trPr>
          <w:tblHeader/>
        </w:trPr>
        <w:tc>
          <w:tcPr>
            <w:tcW w:w="1262" w:type="dxa"/>
            <w:vMerge/>
            <w:shd w:val="clear" w:color="auto" w:fill="BFBFBF"/>
          </w:tcPr>
          <w:p w14:paraId="389474AD" w14:textId="77777777" w:rsidR="001C08A5" w:rsidRDefault="001C08A5">
            <w:pPr>
              <w:jc w:val="center"/>
              <w:rPr>
                <w:i/>
                <w:sz w:val="22"/>
                <w:szCs w:val="22"/>
              </w:rPr>
            </w:pPr>
          </w:p>
        </w:tc>
        <w:tc>
          <w:tcPr>
            <w:tcW w:w="3333" w:type="dxa"/>
            <w:gridSpan w:val="2"/>
            <w:shd w:val="clear" w:color="auto" w:fill="BFBFBF"/>
          </w:tcPr>
          <w:p w14:paraId="324CD136" w14:textId="77777777" w:rsidR="001C08A5" w:rsidRDefault="001C08A5">
            <w:pPr>
              <w:jc w:val="center"/>
              <w:rPr>
                <w:b/>
                <w:bCs/>
                <w:i/>
                <w:sz w:val="22"/>
                <w:szCs w:val="22"/>
              </w:rPr>
            </w:pPr>
          </w:p>
          <w:p w14:paraId="4802DF94" w14:textId="77777777" w:rsidR="001C08A5" w:rsidRDefault="00000000">
            <w:pPr>
              <w:jc w:val="center"/>
              <w:rPr>
                <w:i/>
                <w:sz w:val="22"/>
                <w:szCs w:val="22"/>
              </w:rPr>
            </w:pPr>
            <w:r>
              <w:rPr>
                <w:b/>
                <w:bCs/>
                <w:i/>
                <w:sz w:val="22"/>
                <w:szCs w:val="22"/>
              </w:rPr>
              <w:t>Pereţi</w:t>
            </w:r>
          </w:p>
        </w:tc>
        <w:tc>
          <w:tcPr>
            <w:tcW w:w="3364" w:type="dxa"/>
            <w:gridSpan w:val="2"/>
            <w:shd w:val="clear" w:color="auto" w:fill="BFBFBF"/>
          </w:tcPr>
          <w:p w14:paraId="31481E3D"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36BCCC19" w14:textId="77777777" w:rsidR="001C08A5" w:rsidRDefault="00000000">
            <w:pPr>
              <w:jc w:val="center"/>
              <w:rPr>
                <w:b/>
                <w:bCs/>
                <w:i/>
                <w:sz w:val="22"/>
                <w:szCs w:val="22"/>
              </w:rPr>
            </w:pPr>
            <w:r>
              <w:rPr>
                <w:b/>
                <w:bCs/>
                <w:i/>
                <w:sz w:val="22"/>
                <w:szCs w:val="22"/>
              </w:rPr>
              <w:t>Uşi</w:t>
            </w:r>
          </w:p>
          <w:p w14:paraId="03EEAEEE" w14:textId="77777777" w:rsidR="001C08A5" w:rsidRDefault="00000000">
            <w:pPr>
              <w:jc w:val="center"/>
              <w:rPr>
                <w:i/>
                <w:sz w:val="22"/>
                <w:szCs w:val="22"/>
              </w:rPr>
            </w:pPr>
            <w:r>
              <w:rPr>
                <w:bCs/>
                <w:i/>
                <w:sz w:val="22"/>
                <w:szCs w:val="22"/>
              </w:rPr>
              <w:t>(cu excepţia celor către case de scări închise)</w:t>
            </w:r>
          </w:p>
        </w:tc>
      </w:tr>
      <w:tr w:rsidR="001C08A5" w14:paraId="13FC597D" w14:textId="77777777">
        <w:tc>
          <w:tcPr>
            <w:tcW w:w="1262" w:type="dxa"/>
          </w:tcPr>
          <w:p w14:paraId="49E5BEEB" w14:textId="77777777" w:rsidR="001C08A5" w:rsidRDefault="00000000">
            <w:pPr>
              <w:pStyle w:val="BodyText"/>
              <w:jc w:val="center"/>
              <w:rPr>
                <w:bCs w:val="0"/>
                <w:sz w:val="22"/>
                <w:szCs w:val="22"/>
              </w:rPr>
            </w:pPr>
            <w:r>
              <w:rPr>
                <w:bCs w:val="0"/>
                <w:sz w:val="22"/>
                <w:szCs w:val="22"/>
              </w:rPr>
              <w:t>I</w:t>
            </w:r>
          </w:p>
          <w:p w14:paraId="0DDA1411" w14:textId="77777777" w:rsidR="001C08A5" w:rsidRDefault="00000000">
            <w:pPr>
              <w:pStyle w:val="BodyText"/>
              <w:jc w:val="center"/>
              <w:rPr>
                <w:bCs w:val="0"/>
                <w:sz w:val="22"/>
                <w:szCs w:val="22"/>
              </w:rPr>
            </w:pPr>
            <w:r>
              <w:rPr>
                <w:sz w:val="22"/>
                <w:szCs w:val="22"/>
              </w:rPr>
              <w:t>h&lt;28m</w:t>
            </w:r>
          </w:p>
        </w:tc>
        <w:tc>
          <w:tcPr>
            <w:tcW w:w="1602" w:type="dxa"/>
          </w:tcPr>
          <w:p w14:paraId="024089BA" w14:textId="77777777" w:rsidR="001C08A5" w:rsidRDefault="00000000">
            <w:pPr>
              <w:jc w:val="center"/>
              <w:rPr>
                <w:b/>
                <w:i/>
                <w:sz w:val="22"/>
                <w:szCs w:val="22"/>
              </w:rPr>
            </w:pPr>
            <w:r>
              <w:rPr>
                <w:b/>
                <w:i/>
                <w:sz w:val="22"/>
                <w:szCs w:val="22"/>
              </w:rPr>
              <w:t xml:space="preserve">EI/REI 90 </w:t>
            </w:r>
          </w:p>
          <w:p w14:paraId="00F044DE" w14:textId="77777777" w:rsidR="001C08A5" w:rsidRDefault="001C08A5">
            <w:pPr>
              <w:jc w:val="center"/>
              <w:rPr>
                <w:b/>
                <w:i/>
                <w:sz w:val="22"/>
                <w:szCs w:val="22"/>
              </w:rPr>
            </w:pPr>
          </w:p>
        </w:tc>
        <w:tc>
          <w:tcPr>
            <w:tcW w:w="1731" w:type="dxa"/>
          </w:tcPr>
          <w:p w14:paraId="1C8EB725"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03" w:type="dxa"/>
            <w:vMerge w:val="restart"/>
            <w:textDirection w:val="lrTbV"/>
          </w:tcPr>
          <w:p w14:paraId="2A14BD49" w14:textId="77777777" w:rsidR="001C08A5" w:rsidRDefault="00000000">
            <w:pPr>
              <w:jc w:val="center"/>
              <w:rPr>
                <w:b/>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2"/>
                <w:szCs w:val="22"/>
              </w:rPr>
              <w:t>, pct. 3</w:t>
            </w:r>
          </w:p>
          <w:p w14:paraId="78AE5EB6" w14:textId="77777777" w:rsidR="001C08A5" w:rsidRDefault="001C08A5">
            <w:pPr>
              <w:rPr>
                <w:i/>
                <w:sz w:val="22"/>
                <w:szCs w:val="22"/>
              </w:rPr>
            </w:pPr>
          </w:p>
          <w:p w14:paraId="547475B9" w14:textId="77777777" w:rsidR="001C08A5" w:rsidRDefault="00000000">
            <w:pP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1861" w:type="dxa"/>
          </w:tcPr>
          <w:p w14:paraId="12D5175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13ED5C58" w14:textId="77777777" w:rsidR="001C08A5" w:rsidRDefault="00000000">
            <w:pPr>
              <w:jc w:val="center"/>
              <w:rPr>
                <w:i/>
                <w:sz w:val="22"/>
                <w:szCs w:val="22"/>
              </w:rPr>
            </w:pPr>
            <w:r>
              <w:rPr>
                <w:b/>
                <w:bCs/>
                <w:i/>
                <w:sz w:val="22"/>
                <w:szCs w:val="22"/>
              </w:rPr>
              <w:t xml:space="preserve">E30 - C5 </w:t>
            </w:r>
            <w:r>
              <w:rPr>
                <w:b/>
                <w:i/>
                <w:sz w:val="22"/>
                <w:szCs w:val="22"/>
              </w:rPr>
              <w:t>S</w:t>
            </w:r>
            <w:r>
              <w:rPr>
                <w:b/>
                <w:bCs/>
                <w:i/>
                <w:sz w:val="22"/>
                <w:szCs w:val="22"/>
                <w:vertAlign w:val="subscript"/>
              </w:rPr>
              <w:t>200</w:t>
            </w:r>
          </w:p>
        </w:tc>
      </w:tr>
      <w:tr w:rsidR="001C08A5" w14:paraId="100613E7" w14:textId="77777777">
        <w:tc>
          <w:tcPr>
            <w:tcW w:w="1262" w:type="dxa"/>
          </w:tcPr>
          <w:p w14:paraId="5301C8C1" w14:textId="77777777" w:rsidR="001C08A5" w:rsidRDefault="00000000">
            <w:pPr>
              <w:pStyle w:val="BodyText"/>
              <w:jc w:val="center"/>
              <w:rPr>
                <w:bCs w:val="0"/>
                <w:sz w:val="22"/>
                <w:szCs w:val="22"/>
              </w:rPr>
            </w:pPr>
            <w:r>
              <w:rPr>
                <w:bCs w:val="0"/>
                <w:sz w:val="22"/>
                <w:szCs w:val="22"/>
              </w:rPr>
              <w:t>II</w:t>
            </w:r>
          </w:p>
        </w:tc>
        <w:tc>
          <w:tcPr>
            <w:tcW w:w="1602" w:type="dxa"/>
          </w:tcPr>
          <w:p w14:paraId="067F84BC" w14:textId="77777777" w:rsidR="001C08A5" w:rsidRDefault="00000000">
            <w:pPr>
              <w:jc w:val="center"/>
              <w:rPr>
                <w:b/>
                <w:i/>
                <w:sz w:val="22"/>
                <w:szCs w:val="22"/>
              </w:rPr>
            </w:pPr>
            <w:r>
              <w:rPr>
                <w:b/>
                <w:i/>
                <w:sz w:val="22"/>
                <w:szCs w:val="22"/>
              </w:rPr>
              <w:t xml:space="preserve">EI/REI 60 </w:t>
            </w:r>
          </w:p>
          <w:p w14:paraId="6513D3FF" w14:textId="77777777" w:rsidR="001C08A5" w:rsidRDefault="001C08A5">
            <w:pPr>
              <w:jc w:val="center"/>
              <w:rPr>
                <w:b/>
                <w:i/>
                <w:sz w:val="22"/>
                <w:szCs w:val="22"/>
              </w:rPr>
            </w:pPr>
          </w:p>
        </w:tc>
        <w:tc>
          <w:tcPr>
            <w:tcW w:w="1731" w:type="dxa"/>
          </w:tcPr>
          <w:p w14:paraId="44B8C437"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03" w:type="dxa"/>
            <w:vMerge/>
          </w:tcPr>
          <w:p w14:paraId="7F4C3F01" w14:textId="77777777" w:rsidR="001C08A5" w:rsidRDefault="001C08A5">
            <w:pPr>
              <w:jc w:val="center"/>
              <w:rPr>
                <w:b/>
                <w:i/>
                <w:sz w:val="22"/>
                <w:szCs w:val="22"/>
              </w:rPr>
            </w:pPr>
          </w:p>
        </w:tc>
        <w:tc>
          <w:tcPr>
            <w:tcW w:w="1861" w:type="dxa"/>
          </w:tcPr>
          <w:p w14:paraId="2B19FF14"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1F5B6388" w14:textId="77777777" w:rsidR="001C08A5" w:rsidRDefault="00000000">
            <w:pPr>
              <w:jc w:val="center"/>
              <w:rPr>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4A44F9ED" w14:textId="77777777">
        <w:tc>
          <w:tcPr>
            <w:tcW w:w="1262" w:type="dxa"/>
          </w:tcPr>
          <w:p w14:paraId="543640EF" w14:textId="77777777" w:rsidR="001C08A5" w:rsidRDefault="00000000">
            <w:pPr>
              <w:pStyle w:val="BodyText"/>
              <w:jc w:val="center"/>
              <w:rPr>
                <w:bCs w:val="0"/>
                <w:sz w:val="22"/>
                <w:szCs w:val="22"/>
              </w:rPr>
            </w:pPr>
            <w:r>
              <w:rPr>
                <w:bCs w:val="0"/>
                <w:sz w:val="22"/>
                <w:szCs w:val="22"/>
              </w:rPr>
              <w:t>II (+)</w:t>
            </w:r>
          </w:p>
        </w:tc>
        <w:tc>
          <w:tcPr>
            <w:tcW w:w="1602" w:type="dxa"/>
          </w:tcPr>
          <w:p w14:paraId="4065FD9F" w14:textId="77777777" w:rsidR="001C08A5" w:rsidRDefault="00000000">
            <w:pPr>
              <w:jc w:val="center"/>
              <w:rPr>
                <w:b/>
                <w:i/>
                <w:sz w:val="22"/>
                <w:szCs w:val="22"/>
              </w:rPr>
            </w:pPr>
            <w:r>
              <w:rPr>
                <w:b/>
                <w:i/>
                <w:sz w:val="22"/>
                <w:szCs w:val="22"/>
              </w:rPr>
              <w:t>EI/REI 60</w:t>
            </w:r>
          </w:p>
          <w:p w14:paraId="23BF8CB6" w14:textId="77777777" w:rsidR="001C08A5" w:rsidRDefault="001C08A5">
            <w:pPr>
              <w:jc w:val="center"/>
              <w:rPr>
                <w:b/>
                <w:i/>
                <w:sz w:val="22"/>
                <w:szCs w:val="22"/>
              </w:rPr>
            </w:pPr>
          </w:p>
        </w:tc>
        <w:tc>
          <w:tcPr>
            <w:tcW w:w="1731" w:type="dxa"/>
          </w:tcPr>
          <w:p w14:paraId="0685F4B1"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03" w:type="dxa"/>
            <w:vMerge/>
          </w:tcPr>
          <w:p w14:paraId="5C08E438" w14:textId="77777777" w:rsidR="001C08A5" w:rsidRDefault="001C08A5">
            <w:pPr>
              <w:jc w:val="center"/>
              <w:rPr>
                <w:b/>
                <w:i/>
                <w:sz w:val="22"/>
                <w:szCs w:val="22"/>
              </w:rPr>
            </w:pPr>
          </w:p>
        </w:tc>
        <w:tc>
          <w:tcPr>
            <w:tcW w:w="1861" w:type="dxa"/>
          </w:tcPr>
          <w:p w14:paraId="5C2821D7"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39" w:type="dxa"/>
          </w:tcPr>
          <w:p w14:paraId="0AA72BB8" w14:textId="77777777" w:rsidR="001C08A5" w:rsidRDefault="00000000">
            <w:pPr>
              <w:jc w:val="center"/>
              <w:rPr>
                <w:b/>
                <w:bCs/>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6D91D2B3" w14:textId="77777777">
        <w:tc>
          <w:tcPr>
            <w:tcW w:w="1262" w:type="dxa"/>
          </w:tcPr>
          <w:p w14:paraId="5334C8E5" w14:textId="77777777" w:rsidR="001C08A5" w:rsidRDefault="00000000">
            <w:pPr>
              <w:pStyle w:val="BodyText"/>
              <w:jc w:val="center"/>
              <w:rPr>
                <w:bCs w:val="0"/>
                <w:sz w:val="22"/>
                <w:szCs w:val="22"/>
              </w:rPr>
            </w:pPr>
            <w:r>
              <w:rPr>
                <w:bCs w:val="0"/>
                <w:sz w:val="22"/>
                <w:szCs w:val="22"/>
              </w:rPr>
              <w:t>III</w:t>
            </w:r>
          </w:p>
        </w:tc>
        <w:tc>
          <w:tcPr>
            <w:tcW w:w="1602" w:type="dxa"/>
          </w:tcPr>
          <w:p w14:paraId="2B0BE431" w14:textId="77777777" w:rsidR="001C08A5" w:rsidRDefault="00000000">
            <w:pPr>
              <w:jc w:val="center"/>
              <w:rPr>
                <w:b/>
                <w:i/>
                <w:sz w:val="22"/>
                <w:szCs w:val="22"/>
              </w:rPr>
            </w:pPr>
            <w:r>
              <w:rPr>
                <w:b/>
                <w:i/>
                <w:sz w:val="22"/>
                <w:szCs w:val="22"/>
              </w:rPr>
              <w:t xml:space="preserve">EI/REI 45 </w:t>
            </w:r>
          </w:p>
          <w:p w14:paraId="023DEDF7" w14:textId="77777777" w:rsidR="001C08A5" w:rsidRDefault="001C08A5">
            <w:pPr>
              <w:jc w:val="center"/>
              <w:rPr>
                <w:b/>
                <w:i/>
                <w:sz w:val="22"/>
                <w:szCs w:val="22"/>
              </w:rPr>
            </w:pPr>
          </w:p>
        </w:tc>
        <w:tc>
          <w:tcPr>
            <w:tcW w:w="1731" w:type="dxa"/>
          </w:tcPr>
          <w:p w14:paraId="1CDEDF1F"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503" w:type="dxa"/>
            <w:vMerge/>
          </w:tcPr>
          <w:p w14:paraId="2D225932" w14:textId="77777777" w:rsidR="001C08A5" w:rsidRDefault="001C08A5">
            <w:pPr>
              <w:jc w:val="center"/>
              <w:rPr>
                <w:b/>
                <w:i/>
                <w:sz w:val="22"/>
                <w:szCs w:val="22"/>
              </w:rPr>
            </w:pPr>
          </w:p>
        </w:tc>
        <w:tc>
          <w:tcPr>
            <w:tcW w:w="1861" w:type="dxa"/>
          </w:tcPr>
          <w:p w14:paraId="19C48EBC"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24A48549" w14:textId="77777777" w:rsidR="001C08A5" w:rsidRDefault="001C08A5">
            <w:pPr>
              <w:rPr>
                <w:i/>
                <w:sz w:val="22"/>
                <w:szCs w:val="22"/>
              </w:rPr>
            </w:pPr>
          </w:p>
        </w:tc>
        <w:tc>
          <w:tcPr>
            <w:tcW w:w="1539" w:type="dxa"/>
          </w:tcPr>
          <w:p w14:paraId="569A03D4" w14:textId="77777777" w:rsidR="001C08A5" w:rsidRDefault="00000000">
            <w:pPr>
              <w:jc w:val="center"/>
              <w:rPr>
                <w:i/>
                <w:sz w:val="22"/>
                <w:szCs w:val="22"/>
              </w:rPr>
            </w:pPr>
            <w:r>
              <w:rPr>
                <w:b/>
                <w:bCs/>
                <w:i/>
                <w:sz w:val="22"/>
                <w:szCs w:val="22"/>
              </w:rPr>
              <w:t>C5</w:t>
            </w:r>
          </w:p>
        </w:tc>
      </w:tr>
      <w:tr w:rsidR="001C08A5" w14:paraId="69262FEF" w14:textId="77777777">
        <w:tc>
          <w:tcPr>
            <w:tcW w:w="1262" w:type="dxa"/>
          </w:tcPr>
          <w:p w14:paraId="0E4D1271" w14:textId="77777777" w:rsidR="001C08A5" w:rsidRDefault="00000000">
            <w:pPr>
              <w:pStyle w:val="BodyText"/>
              <w:jc w:val="center"/>
              <w:rPr>
                <w:bCs w:val="0"/>
                <w:sz w:val="22"/>
                <w:szCs w:val="22"/>
              </w:rPr>
            </w:pPr>
            <w:r>
              <w:rPr>
                <w:bCs w:val="0"/>
                <w:sz w:val="22"/>
                <w:szCs w:val="22"/>
              </w:rPr>
              <w:t>III (+)</w:t>
            </w:r>
          </w:p>
        </w:tc>
        <w:tc>
          <w:tcPr>
            <w:tcW w:w="1602" w:type="dxa"/>
          </w:tcPr>
          <w:p w14:paraId="3DC944CE" w14:textId="77777777" w:rsidR="001C08A5" w:rsidRDefault="00000000">
            <w:pPr>
              <w:jc w:val="center"/>
              <w:rPr>
                <w:b/>
                <w:i/>
                <w:sz w:val="22"/>
                <w:szCs w:val="22"/>
              </w:rPr>
            </w:pPr>
            <w:r>
              <w:rPr>
                <w:b/>
                <w:i/>
                <w:sz w:val="22"/>
                <w:szCs w:val="22"/>
              </w:rPr>
              <w:t xml:space="preserve">EI/REI 45 </w:t>
            </w:r>
          </w:p>
          <w:p w14:paraId="6D615ED0" w14:textId="77777777" w:rsidR="001C08A5" w:rsidRDefault="001C08A5">
            <w:pPr>
              <w:jc w:val="center"/>
              <w:rPr>
                <w:b/>
                <w:i/>
                <w:sz w:val="22"/>
                <w:szCs w:val="22"/>
              </w:rPr>
            </w:pPr>
          </w:p>
        </w:tc>
        <w:tc>
          <w:tcPr>
            <w:tcW w:w="1731" w:type="dxa"/>
          </w:tcPr>
          <w:p w14:paraId="4B7F3272"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A2-s1d0,B-s1d0</w:t>
            </w:r>
          </w:p>
        </w:tc>
        <w:tc>
          <w:tcPr>
            <w:tcW w:w="1503" w:type="dxa"/>
            <w:vMerge/>
          </w:tcPr>
          <w:p w14:paraId="69BF1402" w14:textId="77777777" w:rsidR="001C08A5" w:rsidRDefault="001C08A5">
            <w:pPr>
              <w:jc w:val="center"/>
              <w:rPr>
                <w:b/>
                <w:i/>
                <w:sz w:val="22"/>
                <w:szCs w:val="22"/>
              </w:rPr>
            </w:pPr>
          </w:p>
        </w:tc>
        <w:tc>
          <w:tcPr>
            <w:tcW w:w="1861" w:type="dxa"/>
          </w:tcPr>
          <w:p w14:paraId="626F6D56"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539" w:type="dxa"/>
          </w:tcPr>
          <w:p w14:paraId="67C2698F" w14:textId="77777777" w:rsidR="001C08A5" w:rsidRDefault="00000000">
            <w:pPr>
              <w:jc w:val="center"/>
              <w:rPr>
                <w:b/>
                <w:i/>
                <w:sz w:val="22"/>
                <w:szCs w:val="22"/>
              </w:rPr>
            </w:pPr>
            <w:r>
              <w:rPr>
                <w:b/>
                <w:bCs/>
                <w:i/>
                <w:sz w:val="22"/>
                <w:szCs w:val="22"/>
              </w:rPr>
              <w:t>C5</w:t>
            </w:r>
          </w:p>
          <w:p w14:paraId="285893AE" w14:textId="77777777" w:rsidR="001C08A5" w:rsidRDefault="001C08A5">
            <w:pPr>
              <w:jc w:val="center"/>
              <w:rPr>
                <w:b/>
                <w:bCs/>
                <w:i/>
                <w:sz w:val="22"/>
                <w:szCs w:val="22"/>
              </w:rPr>
            </w:pPr>
          </w:p>
        </w:tc>
      </w:tr>
      <w:tr w:rsidR="001C08A5" w14:paraId="59842D63" w14:textId="77777777">
        <w:tc>
          <w:tcPr>
            <w:tcW w:w="1262" w:type="dxa"/>
          </w:tcPr>
          <w:p w14:paraId="7909C6BA" w14:textId="77777777" w:rsidR="001C08A5" w:rsidRDefault="00000000">
            <w:pPr>
              <w:pStyle w:val="BodyText"/>
              <w:jc w:val="center"/>
              <w:rPr>
                <w:bCs w:val="0"/>
                <w:sz w:val="22"/>
                <w:szCs w:val="22"/>
              </w:rPr>
            </w:pPr>
            <w:r>
              <w:rPr>
                <w:bCs w:val="0"/>
                <w:sz w:val="22"/>
                <w:szCs w:val="22"/>
              </w:rPr>
              <w:t>IV</w:t>
            </w:r>
          </w:p>
        </w:tc>
        <w:tc>
          <w:tcPr>
            <w:tcW w:w="1602" w:type="dxa"/>
          </w:tcPr>
          <w:p w14:paraId="0719C4C9" w14:textId="77777777" w:rsidR="001C08A5" w:rsidRDefault="00000000">
            <w:pPr>
              <w:jc w:val="center"/>
              <w:rPr>
                <w:b/>
                <w:i/>
                <w:sz w:val="22"/>
                <w:szCs w:val="22"/>
              </w:rPr>
            </w:pPr>
            <w:r>
              <w:rPr>
                <w:b/>
                <w:i/>
                <w:sz w:val="22"/>
                <w:szCs w:val="22"/>
              </w:rPr>
              <w:t xml:space="preserve">EI/REI 30 </w:t>
            </w:r>
          </w:p>
          <w:p w14:paraId="029F0633" w14:textId="77777777" w:rsidR="001C08A5" w:rsidRDefault="001C08A5">
            <w:pPr>
              <w:jc w:val="center"/>
              <w:rPr>
                <w:b/>
                <w:i/>
                <w:sz w:val="22"/>
                <w:szCs w:val="22"/>
              </w:rPr>
            </w:pPr>
          </w:p>
        </w:tc>
        <w:tc>
          <w:tcPr>
            <w:tcW w:w="1731" w:type="dxa"/>
          </w:tcPr>
          <w:p w14:paraId="29BD8854"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03" w:type="dxa"/>
            <w:vMerge/>
          </w:tcPr>
          <w:p w14:paraId="6723C207" w14:textId="77777777" w:rsidR="001C08A5" w:rsidRDefault="001C08A5">
            <w:pPr>
              <w:jc w:val="center"/>
              <w:rPr>
                <w:b/>
                <w:i/>
                <w:sz w:val="22"/>
                <w:szCs w:val="22"/>
              </w:rPr>
            </w:pPr>
          </w:p>
        </w:tc>
        <w:tc>
          <w:tcPr>
            <w:tcW w:w="1861" w:type="dxa"/>
          </w:tcPr>
          <w:p w14:paraId="61D76A45"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39" w:type="dxa"/>
          </w:tcPr>
          <w:p w14:paraId="2014D034" w14:textId="77777777" w:rsidR="001C08A5" w:rsidRDefault="00000000">
            <w:pPr>
              <w:jc w:val="center"/>
              <w:rPr>
                <w:i/>
                <w:sz w:val="22"/>
                <w:szCs w:val="22"/>
              </w:rPr>
            </w:pPr>
            <w:r>
              <w:rPr>
                <w:b/>
                <w:bCs/>
                <w:i/>
                <w:sz w:val="22"/>
                <w:szCs w:val="22"/>
              </w:rPr>
              <w:t>C5</w:t>
            </w:r>
          </w:p>
        </w:tc>
      </w:tr>
      <w:tr w:rsidR="001C08A5" w14:paraId="65BCACDD" w14:textId="77777777">
        <w:tc>
          <w:tcPr>
            <w:tcW w:w="1262" w:type="dxa"/>
          </w:tcPr>
          <w:p w14:paraId="3ECE0848" w14:textId="77777777" w:rsidR="001C08A5" w:rsidRDefault="00000000">
            <w:pPr>
              <w:pStyle w:val="BodyText"/>
              <w:jc w:val="center"/>
              <w:rPr>
                <w:bCs w:val="0"/>
                <w:sz w:val="22"/>
                <w:szCs w:val="22"/>
              </w:rPr>
            </w:pPr>
            <w:r>
              <w:rPr>
                <w:bCs w:val="0"/>
                <w:sz w:val="22"/>
                <w:szCs w:val="22"/>
              </w:rPr>
              <w:t>V</w:t>
            </w:r>
          </w:p>
        </w:tc>
        <w:tc>
          <w:tcPr>
            <w:tcW w:w="1602" w:type="dxa"/>
          </w:tcPr>
          <w:p w14:paraId="0120796B" w14:textId="77777777" w:rsidR="001C08A5" w:rsidRDefault="00000000">
            <w:pPr>
              <w:jc w:val="center"/>
              <w:rPr>
                <w:b/>
                <w:i/>
                <w:sz w:val="22"/>
                <w:szCs w:val="22"/>
              </w:rPr>
            </w:pPr>
            <w:r>
              <w:rPr>
                <w:b/>
                <w:i/>
                <w:sz w:val="22"/>
                <w:szCs w:val="22"/>
              </w:rPr>
              <w:t xml:space="preserve">EI/REI 15 </w:t>
            </w:r>
          </w:p>
          <w:p w14:paraId="55DEA761" w14:textId="77777777" w:rsidR="001C08A5" w:rsidRDefault="001C08A5">
            <w:pPr>
              <w:jc w:val="center"/>
              <w:rPr>
                <w:b/>
                <w:i/>
                <w:sz w:val="22"/>
                <w:szCs w:val="22"/>
              </w:rPr>
            </w:pPr>
          </w:p>
        </w:tc>
        <w:tc>
          <w:tcPr>
            <w:tcW w:w="1731" w:type="dxa"/>
          </w:tcPr>
          <w:p w14:paraId="59C82634"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 D-s1,d0</w:t>
            </w:r>
          </w:p>
        </w:tc>
        <w:tc>
          <w:tcPr>
            <w:tcW w:w="1503" w:type="dxa"/>
            <w:vMerge/>
          </w:tcPr>
          <w:p w14:paraId="6E6E88C2" w14:textId="77777777" w:rsidR="001C08A5" w:rsidRDefault="001C08A5">
            <w:pPr>
              <w:jc w:val="center"/>
              <w:rPr>
                <w:b/>
                <w:i/>
                <w:sz w:val="22"/>
                <w:szCs w:val="22"/>
              </w:rPr>
            </w:pPr>
          </w:p>
        </w:tc>
        <w:tc>
          <w:tcPr>
            <w:tcW w:w="1861" w:type="dxa"/>
          </w:tcPr>
          <w:p w14:paraId="21815B96"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 D-s1,d0</w:t>
            </w:r>
          </w:p>
        </w:tc>
        <w:tc>
          <w:tcPr>
            <w:tcW w:w="1539" w:type="dxa"/>
          </w:tcPr>
          <w:p w14:paraId="7AA34C8D" w14:textId="77777777" w:rsidR="001C08A5" w:rsidRDefault="00000000">
            <w:pPr>
              <w:jc w:val="center"/>
              <w:rPr>
                <w:b/>
                <w:bCs/>
                <w:i/>
                <w:sz w:val="22"/>
                <w:szCs w:val="22"/>
              </w:rPr>
            </w:pPr>
            <w:r>
              <w:rPr>
                <w:b/>
                <w:bCs/>
                <w:i/>
                <w:sz w:val="22"/>
                <w:szCs w:val="22"/>
              </w:rPr>
              <w:t>-</w:t>
            </w:r>
          </w:p>
        </w:tc>
      </w:tr>
    </w:tbl>
    <w:p w14:paraId="12408D01" w14:textId="77777777" w:rsidR="001C08A5" w:rsidRDefault="00000000">
      <w:pPr>
        <w:jc w:val="both"/>
        <w:rPr>
          <w:i/>
          <w:sz w:val="22"/>
          <w:szCs w:val="22"/>
          <w:u w:val="single"/>
        </w:rPr>
      </w:pPr>
      <w:r>
        <w:rPr>
          <w:i/>
          <w:sz w:val="22"/>
          <w:szCs w:val="22"/>
          <w:u w:val="single"/>
        </w:rPr>
        <w:t>Note:</w:t>
      </w:r>
    </w:p>
    <w:p w14:paraId="516E165C" w14:textId="77777777" w:rsidR="001C08A5" w:rsidRDefault="00000000">
      <w:pPr>
        <w:numPr>
          <w:ilvl w:val="0"/>
          <w:numId w:val="70"/>
        </w:numPr>
        <w:jc w:val="both"/>
        <w:rPr>
          <w:b/>
          <w:i/>
          <w:sz w:val="22"/>
          <w:szCs w:val="22"/>
        </w:rPr>
      </w:pPr>
      <w:r>
        <w:rPr>
          <w:i/>
          <w:sz w:val="22"/>
          <w:szCs w:val="22"/>
        </w:rPr>
        <w:t>În cazul pereților vitrați cu profil metalic care separă coridoarele și holurile de încăperile adiacente nu se ia în considerare clasa de reacție la foc.</w:t>
      </w:r>
    </w:p>
    <w:p w14:paraId="075CADB4" w14:textId="77777777" w:rsidR="001C08A5" w:rsidRDefault="00000000">
      <w:pPr>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0980838C" w14:textId="77777777" w:rsidR="001C08A5" w:rsidRDefault="00000000">
      <w:pPr>
        <w:suppressAutoHyphens w:val="0"/>
        <w:autoSpaceDE w:val="0"/>
        <w:autoSpaceDN w:val="0"/>
        <w:adjustRightInd w:val="0"/>
        <w:jc w:val="both"/>
        <w:rPr>
          <w:b/>
          <w:i/>
          <w:sz w:val="24"/>
          <w:szCs w:val="24"/>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22434B55"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Art. 3.1.3.6. (1) </w:t>
      </w:r>
      <w:r>
        <w:rPr>
          <w:sz w:val="24"/>
          <w:szCs w:val="24"/>
          <w:lang w:eastAsia="ro-RO"/>
        </w:rPr>
        <w:t xml:space="preserve">Funcţiunile cu diferite  riscuri de incendiu comasate într-o clădire civilă (publică) se separă de restul construcţiei prin pereţi, planşee şi goluri protejate, în conformitate cu prevederile generale, </w:t>
      </w:r>
      <w:r>
        <w:rPr>
          <w:sz w:val="24"/>
          <w:szCs w:val="24"/>
        </w:rPr>
        <w:t>performanțele comune şi</w:t>
      </w:r>
      <w:r>
        <w:rPr>
          <w:sz w:val="24"/>
          <w:szCs w:val="24"/>
          <w:lang w:eastAsia="ro-RO"/>
        </w:rPr>
        <w:t xml:space="preserve"> specifice stabilite în normativ.</w:t>
      </w:r>
    </w:p>
    <w:p w14:paraId="0AADBB92" w14:textId="77777777" w:rsidR="001C08A5" w:rsidRDefault="00000000">
      <w:pPr>
        <w:suppressAutoHyphens w:val="0"/>
        <w:autoSpaceDE w:val="0"/>
        <w:autoSpaceDN w:val="0"/>
        <w:adjustRightInd w:val="0"/>
        <w:ind w:firstLine="720"/>
        <w:jc w:val="both"/>
        <w:rPr>
          <w:sz w:val="24"/>
          <w:szCs w:val="24"/>
        </w:rPr>
      </w:pPr>
      <w:r>
        <w:rPr>
          <w:b/>
          <w:sz w:val="24"/>
          <w:szCs w:val="24"/>
        </w:rPr>
        <w:t xml:space="preserve">(2) </w:t>
      </w:r>
      <w:r>
        <w:rPr>
          <w:sz w:val="24"/>
          <w:szCs w:val="24"/>
        </w:rPr>
        <w:t xml:space="preserve">Bucătăriile și zonele destinate preparărilor calde vor fi izolate de spaţiile accesibile publicului, vor fi delimitate prin pereţi  </w:t>
      </w:r>
      <w:r>
        <w:rPr>
          <w:b/>
          <w:sz w:val="24"/>
          <w:szCs w:val="24"/>
        </w:rPr>
        <w:t>A1, A2-s1,d0</w:t>
      </w:r>
      <w:r>
        <w:rPr>
          <w:sz w:val="24"/>
          <w:szCs w:val="24"/>
        </w:rPr>
        <w:t xml:space="preserve">, minimum </w:t>
      </w:r>
      <w:r>
        <w:rPr>
          <w:b/>
          <w:sz w:val="24"/>
          <w:szCs w:val="24"/>
        </w:rPr>
        <w:t>EI/ REI 60</w:t>
      </w:r>
      <w:r>
        <w:rPr>
          <w:bCs/>
          <w:sz w:val="24"/>
          <w:szCs w:val="24"/>
        </w:rPr>
        <w:t xml:space="preserve"> și</w:t>
      </w:r>
      <w:r>
        <w:rPr>
          <w:sz w:val="24"/>
          <w:szCs w:val="24"/>
        </w:rPr>
        <w:t xml:space="preserve">planşee </w:t>
      </w:r>
      <w:r>
        <w:rPr>
          <w:b/>
          <w:sz w:val="24"/>
          <w:szCs w:val="24"/>
        </w:rPr>
        <w:t>A1, A2-s1,d0</w:t>
      </w:r>
      <w:r>
        <w:rPr>
          <w:sz w:val="24"/>
          <w:szCs w:val="24"/>
        </w:rPr>
        <w:t xml:space="preserve">, minimum </w:t>
      </w:r>
      <w:r>
        <w:rPr>
          <w:b/>
          <w:bCs/>
          <w:sz w:val="24"/>
          <w:szCs w:val="24"/>
        </w:rPr>
        <w:t>R</w:t>
      </w:r>
      <w:r>
        <w:rPr>
          <w:b/>
          <w:sz w:val="24"/>
          <w:szCs w:val="24"/>
        </w:rPr>
        <w:t>EI 60</w:t>
      </w:r>
      <w:r>
        <w:rPr>
          <w:sz w:val="24"/>
          <w:szCs w:val="24"/>
        </w:rPr>
        <w:t xml:space="preserve">, iar ușile de comunicare vor fi minumum </w:t>
      </w:r>
      <w:r>
        <w:rPr>
          <w:b/>
          <w:sz w:val="24"/>
          <w:szCs w:val="24"/>
        </w:rPr>
        <w:t>E15</w:t>
      </w:r>
      <w:r>
        <w:rPr>
          <w:sz w:val="24"/>
          <w:szCs w:val="24"/>
        </w:rPr>
        <w:t>. La clădirile de locuit se respectă dispozițiile specifice.</w:t>
      </w:r>
    </w:p>
    <w:p w14:paraId="460192A6" w14:textId="77777777" w:rsidR="001C08A5" w:rsidRDefault="00000000">
      <w:pPr>
        <w:suppressAutoHyphens w:val="0"/>
        <w:autoSpaceDE w:val="0"/>
        <w:autoSpaceDN w:val="0"/>
        <w:adjustRightInd w:val="0"/>
        <w:ind w:firstLine="720"/>
        <w:jc w:val="both"/>
        <w:rPr>
          <w:sz w:val="24"/>
          <w:szCs w:val="24"/>
        </w:rPr>
      </w:pPr>
      <w:r>
        <w:rPr>
          <w:b/>
          <w:sz w:val="24"/>
          <w:szCs w:val="24"/>
        </w:rPr>
        <w:t xml:space="preserve">(3) </w:t>
      </w:r>
      <w:r>
        <w:rPr>
          <w:sz w:val="24"/>
          <w:szCs w:val="24"/>
        </w:rPr>
        <w:t xml:space="preserve">Bucătăriile și zonele destinate preparărilor calde dispuse liber în spaţiile publice vor fi delimitate cu ecrane de minimum </w:t>
      </w:r>
      <w:r>
        <w:rPr>
          <w:b/>
          <w:sz w:val="24"/>
          <w:szCs w:val="24"/>
        </w:rPr>
        <w:t>0,50 m,</w:t>
      </w:r>
      <w:r>
        <w:rPr>
          <w:sz w:val="24"/>
          <w:szCs w:val="24"/>
        </w:rPr>
        <w:t xml:space="preserve"> dispuse sub plafon, realizate din materiale </w:t>
      </w:r>
      <w:r>
        <w:rPr>
          <w:b/>
          <w:sz w:val="24"/>
          <w:szCs w:val="24"/>
        </w:rPr>
        <w:t xml:space="preserve">A1, A2-s1,d0 </w:t>
      </w:r>
      <w:r>
        <w:rPr>
          <w:sz w:val="24"/>
          <w:szCs w:val="24"/>
        </w:rPr>
        <w:t xml:space="preserve">cu rezistenţa la foc </w:t>
      </w:r>
      <w:r>
        <w:rPr>
          <w:b/>
          <w:sz w:val="24"/>
          <w:szCs w:val="24"/>
        </w:rPr>
        <w:t>DH 30</w:t>
      </w:r>
      <w:r>
        <w:rPr>
          <w:sz w:val="24"/>
          <w:szCs w:val="24"/>
        </w:rPr>
        <w:t>.</w:t>
      </w:r>
    </w:p>
    <w:p w14:paraId="4563D680" w14:textId="77777777" w:rsidR="001C08A5" w:rsidRDefault="00000000">
      <w:pPr>
        <w:suppressAutoHyphens w:val="0"/>
        <w:autoSpaceDE w:val="0"/>
        <w:autoSpaceDN w:val="0"/>
        <w:adjustRightInd w:val="0"/>
        <w:ind w:firstLine="720"/>
        <w:jc w:val="both"/>
        <w:rPr>
          <w:sz w:val="24"/>
          <w:szCs w:val="24"/>
        </w:rPr>
      </w:pPr>
      <w:r>
        <w:rPr>
          <w:b/>
          <w:sz w:val="24"/>
          <w:szCs w:val="24"/>
        </w:rPr>
        <w:t>(4)</w:t>
      </w:r>
      <w:r>
        <w:rPr>
          <w:sz w:val="24"/>
          <w:szCs w:val="24"/>
        </w:rPr>
        <w:t xml:space="preserve"> La bucătăriile situate în clădirile înalte, foarte înalte sau cele aferente sălilor aglomerate, hotele se prevăd cu instalaţii automate de stingere.</w:t>
      </w:r>
    </w:p>
    <w:p w14:paraId="2228D16E" w14:textId="77777777" w:rsidR="001C08A5" w:rsidRDefault="00000000">
      <w:pPr>
        <w:suppressAutoHyphens w:val="0"/>
        <w:autoSpaceDE w:val="0"/>
        <w:autoSpaceDN w:val="0"/>
        <w:adjustRightInd w:val="0"/>
        <w:ind w:firstLine="720"/>
        <w:jc w:val="both"/>
        <w:rPr>
          <w:b/>
          <w:sz w:val="24"/>
          <w:szCs w:val="24"/>
        </w:rPr>
      </w:pPr>
      <w:r>
        <w:rPr>
          <w:b/>
          <w:sz w:val="24"/>
          <w:szCs w:val="24"/>
        </w:rPr>
        <w:t xml:space="preserve">(5) </w:t>
      </w:r>
      <w:r>
        <w:rPr>
          <w:sz w:val="24"/>
          <w:szCs w:val="24"/>
        </w:rPr>
        <w:t xml:space="preserve">Bucătăriile, cu excepția celor dispuse în clădiri de locuit, se dotează cu cel puțin </w:t>
      </w:r>
      <w:r>
        <w:rPr>
          <w:b/>
          <w:bCs/>
          <w:sz w:val="24"/>
          <w:szCs w:val="24"/>
        </w:rPr>
        <w:t xml:space="preserve">2 </w:t>
      </w:r>
      <w:r>
        <w:rPr>
          <w:sz w:val="24"/>
          <w:szCs w:val="24"/>
        </w:rPr>
        <w:t>(două) stingătoare de incendiu portative cu performanța de stingere cel puțin</w:t>
      </w:r>
      <w:r>
        <w:rPr>
          <w:b/>
          <w:sz w:val="24"/>
          <w:szCs w:val="24"/>
        </w:rPr>
        <w:t xml:space="preserve"> 75F.</w:t>
      </w:r>
    </w:p>
    <w:p w14:paraId="12F73624" w14:textId="77777777" w:rsidR="001C08A5" w:rsidRDefault="00000000">
      <w:pPr>
        <w:suppressAutoHyphens w:val="0"/>
        <w:autoSpaceDE w:val="0"/>
        <w:autoSpaceDN w:val="0"/>
        <w:adjustRightInd w:val="0"/>
        <w:ind w:firstLine="720"/>
        <w:jc w:val="both"/>
        <w:rPr>
          <w:bCs/>
          <w:sz w:val="24"/>
          <w:szCs w:val="24"/>
        </w:rPr>
      </w:pPr>
      <w:r>
        <w:rPr>
          <w:b/>
          <w:sz w:val="24"/>
          <w:szCs w:val="24"/>
        </w:rPr>
        <w:t>(6)</w:t>
      </w:r>
      <w:r>
        <w:rPr>
          <w:bCs/>
          <w:sz w:val="24"/>
          <w:szCs w:val="24"/>
        </w:rPr>
        <w:t xml:space="preserve"> Indiferent de funcțiunea clădirii, separarea circulațiilor comune orizontale de evacuare (care sunt luate în calculul lungimilor căilor de evacuare) faţă de grupurile sanitare adiacente (băi, duşuri, W.C.), se poate realiza conform condiţiilor normate pentru încadrarea în nivelul de stabilitate la incendiu. Delimitarea grupurilor sanitare față de alte spații (cu excepția circulațiilor comune orizontale de evacuare) se face prin pereti cu minimum rezistența la foc necesară circulațiilor comune orizontale de evacuare (coridoare, holuri), daca spațiile adiacente grupurilor sanitare nu generează performanțe mai mari ale pereților. Nu este necesară delimitarea prin elemente cu performantă la foc a grupurilor sanitare către încăperi cu destinație de dormitor, salon de spital, birou, etc. Atunci când grupurile sanitare debușează în spații ale circulațiilor comune orizontale de evacuare prevazute cu </w:t>
      </w:r>
      <w:r>
        <w:rPr>
          <w:bCs/>
          <w:sz w:val="24"/>
          <w:szCs w:val="24"/>
        </w:rPr>
        <w:lastRenderedPageBreak/>
        <w:t>suprapresiune, se poate aplica regula delimitării cu pereți prevăzuti mai sus iar ușile vor fi prevăzute cu autoinchidere (</w:t>
      </w:r>
      <w:r>
        <w:rPr>
          <w:b/>
          <w:sz w:val="24"/>
          <w:szCs w:val="24"/>
        </w:rPr>
        <w:t>-C</w:t>
      </w:r>
      <w:r>
        <w:rPr>
          <w:bCs/>
          <w:sz w:val="24"/>
          <w:szCs w:val="24"/>
        </w:rPr>
        <w:t>).</w:t>
      </w:r>
    </w:p>
    <w:p w14:paraId="30E4BA00" w14:textId="77777777" w:rsidR="001C08A5" w:rsidRDefault="001C08A5">
      <w:pPr>
        <w:suppressAutoHyphens w:val="0"/>
        <w:autoSpaceDE w:val="0"/>
        <w:autoSpaceDN w:val="0"/>
        <w:adjustRightInd w:val="0"/>
        <w:ind w:firstLine="720"/>
        <w:jc w:val="both"/>
        <w:rPr>
          <w:b/>
          <w:sz w:val="24"/>
          <w:szCs w:val="24"/>
        </w:rPr>
      </w:pPr>
    </w:p>
    <w:p w14:paraId="51C0714F" w14:textId="77777777" w:rsidR="001C08A5" w:rsidRDefault="00000000">
      <w:pPr>
        <w:jc w:val="both"/>
        <w:rPr>
          <w:b/>
          <w:caps/>
          <w:sz w:val="24"/>
          <w:szCs w:val="24"/>
        </w:rPr>
      </w:pPr>
      <w:r>
        <w:rPr>
          <w:b/>
          <w:sz w:val="24"/>
          <w:szCs w:val="24"/>
        </w:rPr>
        <w:tab/>
        <w:t>Art. 3.1.3.7.</w:t>
      </w:r>
      <w:r>
        <w:rPr>
          <w:b/>
          <w:sz w:val="24"/>
          <w:szCs w:val="24"/>
        </w:rPr>
        <w:tab/>
      </w:r>
      <w:r>
        <w:rPr>
          <w:bCs/>
          <w:sz w:val="24"/>
          <w:szCs w:val="24"/>
        </w:rPr>
        <w:t>S</w:t>
      </w:r>
      <w:r>
        <w:rPr>
          <w:sz w:val="24"/>
          <w:szCs w:val="24"/>
          <w:lang w:eastAsia="ro-RO"/>
        </w:rPr>
        <w:t>paţiile accesibile publicului vor fi astfel realizate şi protejate încât să fie ferite de fum în caz de incendiu, respectându-se condiţiile specifice stabilite prin normativ şi alte reglementari specifice.</w:t>
      </w:r>
    </w:p>
    <w:p w14:paraId="5EC7BF56" w14:textId="77777777" w:rsidR="001C08A5" w:rsidRDefault="00000000">
      <w:pPr>
        <w:pStyle w:val="Heading3"/>
      </w:pPr>
      <w:bookmarkStart w:id="3040" w:name="_Toc1864"/>
      <w:bookmarkStart w:id="3041" w:name="_Toc162355283"/>
      <w:bookmarkStart w:id="3042" w:name="_Toc2637"/>
      <w:bookmarkStart w:id="3043" w:name="_Toc4211"/>
      <w:bookmarkStart w:id="3044" w:name="_Toc7121"/>
      <w:bookmarkStart w:id="3045" w:name="_Toc14475"/>
      <w:bookmarkStart w:id="3046" w:name="_Toc9488"/>
      <w:bookmarkStart w:id="3047" w:name="_Toc7220"/>
      <w:bookmarkStart w:id="3048" w:name="_Toc10422"/>
      <w:bookmarkStart w:id="3049" w:name="_Toc17008"/>
      <w:r>
        <w:t>3.1.4. Alcătuiri constructive</w:t>
      </w:r>
      <w:bookmarkEnd w:id="3040"/>
      <w:bookmarkEnd w:id="3041"/>
      <w:bookmarkEnd w:id="3042"/>
      <w:bookmarkEnd w:id="3043"/>
      <w:bookmarkEnd w:id="3044"/>
      <w:bookmarkEnd w:id="3045"/>
      <w:bookmarkEnd w:id="3046"/>
      <w:bookmarkEnd w:id="3047"/>
      <w:bookmarkEnd w:id="3048"/>
      <w:bookmarkEnd w:id="3049"/>
    </w:p>
    <w:p w14:paraId="300425B4" w14:textId="77777777" w:rsidR="001C08A5" w:rsidRDefault="001C08A5">
      <w:pPr>
        <w:jc w:val="both"/>
        <w:rPr>
          <w:sz w:val="24"/>
          <w:szCs w:val="24"/>
        </w:rPr>
      </w:pPr>
    </w:p>
    <w:p w14:paraId="2A272D9A"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Art. </w:t>
      </w:r>
      <w:r>
        <w:rPr>
          <w:b/>
          <w:caps/>
          <w:sz w:val="24"/>
          <w:szCs w:val="24"/>
        </w:rPr>
        <w:t>3.1.4.</w:t>
      </w:r>
      <w:r>
        <w:rPr>
          <w:b/>
          <w:sz w:val="24"/>
          <w:szCs w:val="24"/>
        </w:rPr>
        <w:t xml:space="preserve">1. (1) </w:t>
      </w:r>
      <w:r>
        <w:rPr>
          <w:sz w:val="24"/>
          <w:szCs w:val="24"/>
          <w:lang w:eastAsia="ro-RO"/>
        </w:rPr>
        <w:t xml:space="preserve">Construcţiile civile se alcătuiesc corespunzător prevederilor normativului, îndeplinind performanţele generale și specifice ale acestora. Se recomandă utilizarea materialelor de construcţie </w:t>
      </w:r>
      <w:r>
        <w:rPr>
          <w:sz w:val="24"/>
          <w:szCs w:val="24"/>
        </w:rPr>
        <w:t>clasa</w:t>
      </w:r>
      <w:r>
        <w:rPr>
          <w:b/>
          <w:sz w:val="24"/>
          <w:szCs w:val="24"/>
        </w:rPr>
        <w:t xml:space="preserve"> A1 </w:t>
      </w:r>
      <w:r>
        <w:rPr>
          <w:sz w:val="24"/>
          <w:szCs w:val="24"/>
        </w:rPr>
        <w:t>sau</w:t>
      </w:r>
      <w:r>
        <w:rPr>
          <w:b/>
          <w:sz w:val="24"/>
          <w:szCs w:val="24"/>
        </w:rPr>
        <w:t xml:space="preserve"> A2-s1d0.</w:t>
      </w:r>
    </w:p>
    <w:p w14:paraId="3C0D442A" w14:textId="77777777" w:rsidR="001C08A5" w:rsidRDefault="00000000">
      <w:pPr>
        <w:suppressAutoHyphens w:val="0"/>
        <w:autoSpaceDE w:val="0"/>
        <w:autoSpaceDN w:val="0"/>
        <w:adjustRightInd w:val="0"/>
        <w:jc w:val="both"/>
        <w:rPr>
          <w:sz w:val="24"/>
          <w:szCs w:val="24"/>
          <w:lang w:eastAsia="ro-RO"/>
        </w:rPr>
      </w:pPr>
      <w:r>
        <w:rPr>
          <w:b/>
          <w:bCs/>
          <w:sz w:val="24"/>
          <w:szCs w:val="24"/>
          <w:lang w:eastAsia="ro-RO"/>
        </w:rPr>
        <w:tab/>
        <w:t xml:space="preserve">(2) </w:t>
      </w:r>
      <w:r>
        <w:rPr>
          <w:sz w:val="24"/>
          <w:szCs w:val="24"/>
          <w:lang w:eastAsia="ro-RO"/>
        </w:rPr>
        <w:t xml:space="preserve">Atunci când conform prevederilor normativului se pot utiliza materiale şi elemente din alte clase de reacţie la foc (exceptând </w:t>
      </w:r>
      <w:r>
        <w:rPr>
          <w:sz w:val="24"/>
          <w:szCs w:val="24"/>
        </w:rPr>
        <w:t>clasa</w:t>
      </w:r>
      <w:r>
        <w:rPr>
          <w:b/>
          <w:sz w:val="24"/>
          <w:szCs w:val="24"/>
        </w:rPr>
        <w:t xml:space="preserve"> A1 sau A2-s1d0</w:t>
      </w:r>
      <w:r>
        <w:rPr>
          <w:sz w:val="24"/>
          <w:szCs w:val="24"/>
          <w:lang w:eastAsia="ro-RO"/>
        </w:rPr>
        <w:t>), în funcţie de condiţiile specifice și scenariile de securitate la incendiu elaborate, precum și de rolul pe care îl au în caz de incendiu, se asigură măsurile de protecţie corespunzătoare, potrivit normativului.</w:t>
      </w:r>
    </w:p>
    <w:p w14:paraId="63FCC337" w14:textId="77777777" w:rsidR="001C08A5" w:rsidRDefault="00000000">
      <w:pPr>
        <w:suppressAutoHyphens w:val="0"/>
        <w:autoSpaceDE w:val="0"/>
        <w:autoSpaceDN w:val="0"/>
        <w:adjustRightInd w:val="0"/>
        <w:jc w:val="both"/>
        <w:rPr>
          <w:sz w:val="24"/>
          <w:szCs w:val="24"/>
          <w:lang w:eastAsia="ro-RO"/>
        </w:rPr>
      </w:pPr>
      <w:r>
        <w:rPr>
          <w:b/>
          <w:bCs/>
          <w:sz w:val="24"/>
          <w:szCs w:val="24"/>
          <w:lang w:eastAsia="ro-RO"/>
        </w:rPr>
        <w:tab/>
        <w:t xml:space="preserve">(3) </w:t>
      </w:r>
      <w:r>
        <w:rPr>
          <w:sz w:val="24"/>
          <w:szCs w:val="24"/>
          <w:lang w:eastAsia="ro-RO"/>
        </w:rPr>
        <w:t>Prin modul de alcătuire și realizare, elementele de construcţie utilizate nu trebuie să propage focul cu uşurinţă.</w:t>
      </w:r>
    </w:p>
    <w:p w14:paraId="72DA0B84" w14:textId="77777777" w:rsidR="001C08A5" w:rsidRDefault="001C08A5">
      <w:pPr>
        <w:suppressAutoHyphens w:val="0"/>
        <w:autoSpaceDE w:val="0"/>
        <w:autoSpaceDN w:val="0"/>
        <w:adjustRightInd w:val="0"/>
        <w:jc w:val="both"/>
        <w:rPr>
          <w:sz w:val="24"/>
          <w:szCs w:val="24"/>
          <w:lang w:eastAsia="ro-RO"/>
        </w:rPr>
      </w:pPr>
    </w:p>
    <w:p w14:paraId="31F8AE6E" w14:textId="77777777" w:rsidR="001C08A5" w:rsidRDefault="00000000">
      <w:pPr>
        <w:suppressAutoHyphens w:val="0"/>
        <w:autoSpaceDE w:val="0"/>
        <w:autoSpaceDN w:val="0"/>
        <w:adjustRightInd w:val="0"/>
        <w:jc w:val="both"/>
        <w:rPr>
          <w:sz w:val="24"/>
          <w:szCs w:val="24"/>
        </w:rPr>
      </w:pPr>
      <w:r>
        <w:rPr>
          <w:b/>
          <w:sz w:val="24"/>
          <w:szCs w:val="24"/>
        </w:rPr>
        <w:tab/>
        <w:t xml:space="preserve">Art. </w:t>
      </w:r>
      <w:r>
        <w:rPr>
          <w:b/>
          <w:caps/>
          <w:sz w:val="24"/>
          <w:szCs w:val="24"/>
        </w:rPr>
        <w:t>3.1.4.</w:t>
      </w:r>
      <w:r>
        <w:rPr>
          <w:b/>
          <w:sz w:val="24"/>
          <w:szCs w:val="24"/>
        </w:rPr>
        <w:t>2.</w:t>
      </w:r>
      <w:r>
        <w:rPr>
          <w:b/>
          <w:sz w:val="24"/>
          <w:szCs w:val="24"/>
        </w:rPr>
        <w:tab/>
      </w:r>
      <w:r>
        <w:rPr>
          <w:sz w:val="24"/>
          <w:szCs w:val="24"/>
        </w:rPr>
        <w:t>Circulaţiile verticale (scări, rampe) și orizontale prevăzute pentru circulaţia funcţională normală și evacuarea în caz de incendiu a utilizatorilor construcţiei, trebuie să îndeplinească condiţiile normate de dispunere, alcătuire, dimensionare și rezistenţă la foc, conform prevederilor normate privind performanțele comune și specifice destinaţiei și tipului clădirilor.</w:t>
      </w:r>
    </w:p>
    <w:p w14:paraId="2C4885F5" w14:textId="77777777" w:rsidR="001C08A5" w:rsidRDefault="001C08A5">
      <w:pPr>
        <w:jc w:val="both"/>
        <w:rPr>
          <w:sz w:val="24"/>
          <w:szCs w:val="24"/>
        </w:rPr>
      </w:pPr>
    </w:p>
    <w:p w14:paraId="7547D33B" w14:textId="77777777" w:rsidR="001C08A5" w:rsidRDefault="00000000">
      <w:pPr>
        <w:pStyle w:val="BodyText"/>
        <w:ind w:firstLine="720"/>
        <w:rPr>
          <w:b w:val="0"/>
          <w:bCs w:val="0"/>
          <w:i w:val="0"/>
          <w:iCs/>
        </w:rPr>
      </w:pPr>
      <w:r>
        <w:rPr>
          <w:i w:val="0"/>
          <w:iCs/>
        </w:rPr>
        <w:t xml:space="preserve">Art. </w:t>
      </w:r>
      <w:r>
        <w:rPr>
          <w:i w:val="0"/>
          <w:iCs/>
          <w:caps/>
        </w:rPr>
        <w:t>3.1.4.</w:t>
      </w:r>
      <w:r>
        <w:rPr>
          <w:i w:val="0"/>
          <w:iCs/>
        </w:rPr>
        <w:t>3. (1)</w:t>
      </w:r>
      <w:r>
        <w:rPr>
          <w:b w:val="0"/>
          <w:i w:val="0"/>
          <w:iCs/>
        </w:rPr>
        <w:t xml:space="preserve"> Ascensoarele (pentru circulaţia funcţională, de marfă, pentru transportul persoanelor cu dizabilităţi, </w:t>
      </w:r>
      <w:r>
        <w:rPr>
          <w:b w:val="0"/>
          <w:bCs w:val="0"/>
          <w:i w:val="0"/>
          <w:iCs/>
        </w:rPr>
        <w:t>de pompieri, mici de materiale etc.</w:t>
      </w:r>
      <w:r>
        <w:rPr>
          <w:b w:val="0"/>
          <w:i w:val="0"/>
          <w:iCs/>
        </w:rPr>
        <w:t>) și în general, sistemele de transport pe verticală din construcţii civile, inclusiv încăperile pentru maşinile aferente acestora, se separă de restul clădirii prin pereţi rezistenţi la foc (</w:t>
      </w:r>
      <w:r>
        <w:rPr>
          <w:i w:val="0"/>
          <w:iCs/>
        </w:rPr>
        <w:t>EI</w:t>
      </w:r>
      <w:r>
        <w:rPr>
          <w:b w:val="0"/>
          <w:i w:val="0"/>
          <w:iCs/>
        </w:rPr>
        <w:t xml:space="preserve">, după caz  </w:t>
      </w:r>
      <w:r>
        <w:rPr>
          <w:i w:val="0"/>
          <w:iCs/>
        </w:rPr>
        <w:t>REI</w:t>
      </w:r>
      <w:r>
        <w:rPr>
          <w:b w:val="0"/>
          <w:i w:val="0"/>
          <w:iCs/>
        </w:rPr>
        <w:t>)  şi planşee rezistente la foc (</w:t>
      </w:r>
      <w:r>
        <w:rPr>
          <w:i w:val="0"/>
          <w:iCs/>
        </w:rPr>
        <w:t>REI</w:t>
      </w:r>
      <w:r>
        <w:rPr>
          <w:b w:val="0"/>
          <w:i w:val="0"/>
          <w:iCs/>
        </w:rPr>
        <w:t>), potrivit prevederilor privind performanțele comune ale normativului.</w:t>
      </w:r>
    </w:p>
    <w:p w14:paraId="5F7F665C" w14:textId="77777777" w:rsidR="001C08A5" w:rsidRDefault="00000000">
      <w:pPr>
        <w:suppressAutoHyphens w:val="0"/>
        <w:autoSpaceDE w:val="0"/>
        <w:autoSpaceDN w:val="0"/>
        <w:adjustRightInd w:val="0"/>
        <w:ind w:firstLine="720"/>
        <w:jc w:val="both"/>
        <w:rPr>
          <w:sz w:val="24"/>
          <w:szCs w:val="24"/>
        </w:rPr>
      </w:pPr>
      <w:r>
        <w:rPr>
          <w:b/>
          <w:sz w:val="24"/>
          <w:szCs w:val="24"/>
        </w:rPr>
        <w:t xml:space="preserve">(2) </w:t>
      </w:r>
      <w:r>
        <w:rPr>
          <w:sz w:val="24"/>
          <w:szCs w:val="24"/>
        </w:rPr>
        <w:t>Golurile de palier prin care utilizatorii au acces la ascensoare de marfă din construcţiile civile cu înălțime obișnuită, se protejează cu:</w:t>
      </w:r>
    </w:p>
    <w:p w14:paraId="3586AEDD" w14:textId="77777777" w:rsidR="001C08A5" w:rsidRDefault="00000000">
      <w:pPr>
        <w:pStyle w:val="BodyText25"/>
        <w:numPr>
          <w:ilvl w:val="0"/>
          <w:numId w:val="71"/>
        </w:numPr>
        <w:tabs>
          <w:tab w:val="clear" w:pos="2500"/>
        </w:tabs>
        <w:overflowPunct/>
        <w:ind w:left="1413" w:firstLine="141"/>
        <w:textAlignment w:val="auto"/>
        <w:rPr>
          <w:rFonts w:ascii="Times New Roman" w:eastAsia="Times New Roman" w:hAnsi="Times New Roman" w:cs="Times New Roman"/>
          <w:b/>
        </w:rPr>
      </w:pPr>
      <w:r>
        <w:rPr>
          <w:rFonts w:ascii="Times New Roman" w:hAnsi="Times New Roman" w:cs="Times New Roman"/>
        </w:rPr>
        <w:t xml:space="preserve">uşi rezistente la foc </w:t>
      </w:r>
      <w:r>
        <w:rPr>
          <w:rFonts w:ascii="Times New Roman" w:eastAsia="Times New Roman" w:hAnsi="Times New Roman" w:cs="Times New Roman"/>
        </w:rPr>
        <w:t>minimum</w:t>
      </w:r>
      <w:r>
        <w:rPr>
          <w:rFonts w:ascii="Times New Roman" w:hAnsi="Times New Roman" w:cs="Times New Roman"/>
          <w:b/>
          <w:bCs/>
        </w:rPr>
        <w:t xml:space="preserve"> EI 90 </w:t>
      </w:r>
      <w:r>
        <w:rPr>
          <w:rFonts w:ascii="Times New Roman" w:eastAsia="Times New Roman" w:hAnsi="Times New Roman" w:cs="Times New Roman"/>
        </w:rPr>
        <w:t xml:space="preserve">pentru nivelul </w:t>
      </w:r>
      <w:r>
        <w:rPr>
          <w:rFonts w:ascii="Times New Roman" w:eastAsia="Times New Roman" w:hAnsi="Times New Roman" w:cs="Times New Roman"/>
          <w:b/>
        </w:rPr>
        <w:t>I și II</w:t>
      </w:r>
      <w:r>
        <w:rPr>
          <w:rFonts w:ascii="Times New Roman" w:eastAsia="Times New Roman" w:hAnsi="Times New Roman" w:cs="Times New Roman"/>
        </w:rPr>
        <w:t xml:space="preserve"> de stabilitate la incendiu; </w:t>
      </w:r>
    </w:p>
    <w:p w14:paraId="0AEF2D27" w14:textId="77777777" w:rsidR="001C08A5" w:rsidRDefault="00000000">
      <w:pPr>
        <w:pStyle w:val="BodyText25"/>
        <w:numPr>
          <w:ilvl w:val="0"/>
          <w:numId w:val="71"/>
        </w:numPr>
        <w:tabs>
          <w:tab w:val="clear" w:pos="2500"/>
        </w:tabs>
        <w:overflowPunct/>
        <w:ind w:left="1413" w:firstLine="141"/>
        <w:textAlignment w:val="auto"/>
        <w:rPr>
          <w:rFonts w:ascii="Times New Roman" w:eastAsia="Times New Roman" w:hAnsi="Times New Roman" w:cs="Times New Roman"/>
        </w:rPr>
      </w:pPr>
      <w:r>
        <w:rPr>
          <w:rFonts w:ascii="Times New Roman" w:hAnsi="Times New Roman" w:cs="Times New Roman"/>
        </w:rPr>
        <w:t xml:space="preserve">uşi rezistente la foc </w:t>
      </w:r>
      <w:r>
        <w:rPr>
          <w:rFonts w:ascii="Times New Roman" w:eastAsia="Times New Roman" w:hAnsi="Times New Roman" w:cs="Times New Roman"/>
        </w:rPr>
        <w:t>minimum</w:t>
      </w:r>
      <w:r>
        <w:rPr>
          <w:rFonts w:ascii="Times New Roman" w:hAnsi="Times New Roman" w:cs="Times New Roman"/>
          <w:b/>
          <w:bCs/>
        </w:rPr>
        <w:t xml:space="preserve"> EI 60 </w:t>
      </w:r>
      <w:r>
        <w:rPr>
          <w:rFonts w:ascii="Times New Roman" w:eastAsia="Times New Roman" w:hAnsi="Times New Roman" w:cs="Times New Roman"/>
        </w:rPr>
        <w:t xml:space="preserve">pentru nivelul </w:t>
      </w:r>
      <w:r>
        <w:rPr>
          <w:rFonts w:ascii="Times New Roman" w:eastAsia="Times New Roman" w:hAnsi="Times New Roman" w:cs="Times New Roman"/>
          <w:b/>
        </w:rPr>
        <w:t>III</w:t>
      </w:r>
      <w:r>
        <w:rPr>
          <w:rFonts w:ascii="Times New Roman" w:eastAsia="Times New Roman" w:hAnsi="Times New Roman" w:cs="Times New Roman"/>
        </w:rPr>
        <w:t xml:space="preserve"> de stabilitate la incendiu (</w:t>
      </w:r>
      <w:r>
        <w:rPr>
          <w:rFonts w:ascii="Times New Roman" w:eastAsia="Times New Roman" w:hAnsi="Times New Roman" w:cs="Times New Roman"/>
          <w:b/>
          <w:bCs/>
        </w:rPr>
        <w:t>EI45</w:t>
      </w:r>
      <w:r>
        <w:rPr>
          <w:rFonts w:ascii="Times New Roman" w:eastAsia="Times New Roman" w:hAnsi="Times New Roman" w:cs="Times New Roman"/>
        </w:rPr>
        <w:t xml:space="preserve"> în situația echipării suplimentare a construcțiilor cu instalații automate de stingere tip sprinkler); </w:t>
      </w:r>
    </w:p>
    <w:p w14:paraId="14A3F4FB" w14:textId="77777777" w:rsidR="001C08A5" w:rsidRDefault="00000000">
      <w:pPr>
        <w:pStyle w:val="BodyText25"/>
        <w:numPr>
          <w:ilvl w:val="0"/>
          <w:numId w:val="71"/>
        </w:numPr>
        <w:tabs>
          <w:tab w:val="clear" w:pos="2500"/>
        </w:tabs>
        <w:overflowPunct/>
        <w:ind w:left="1413" w:firstLine="141"/>
        <w:textAlignment w:val="auto"/>
        <w:rPr>
          <w:rFonts w:ascii="Times New Roman" w:hAnsi="Times New Roman" w:cs="Times New Roman"/>
          <w:b/>
        </w:rPr>
      </w:pPr>
      <w:r>
        <w:rPr>
          <w:rFonts w:ascii="Times New Roman" w:hAnsi="Times New Roman" w:cs="Times New Roman"/>
        </w:rPr>
        <w:t xml:space="preserve">uşi rezistente la foc </w:t>
      </w:r>
      <w:r>
        <w:rPr>
          <w:rFonts w:ascii="Times New Roman" w:eastAsia="Times New Roman" w:hAnsi="Times New Roman" w:cs="Times New Roman"/>
        </w:rPr>
        <w:t>minimum</w:t>
      </w:r>
      <w:r>
        <w:rPr>
          <w:rFonts w:ascii="Times New Roman" w:hAnsi="Times New Roman" w:cs="Times New Roman"/>
          <w:b/>
          <w:bCs/>
        </w:rPr>
        <w:t xml:space="preserve"> EI 30 </w:t>
      </w:r>
      <w:r>
        <w:rPr>
          <w:rFonts w:ascii="Times New Roman" w:eastAsia="Times New Roman" w:hAnsi="Times New Roman" w:cs="Times New Roman"/>
        </w:rPr>
        <w:t xml:space="preserve">pentru nivelul </w:t>
      </w:r>
      <w:r>
        <w:rPr>
          <w:rFonts w:ascii="Times New Roman" w:eastAsia="Times New Roman" w:hAnsi="Times New Roman" w:cs="Times New Roman"/>
          <w:b/>
        </w:rPr>
        <w:t>IV</w:t>
      </w:r>
      <w:r>
        <w:rPr>
          <w:rFonts w:ascii="Times New Roman" w:eastAsia="Times New Roman" w:hAnsi="Times New Roman" w:cs="Times New Roman"/>
        </w:rPr>
        <w:t xml:space="preserve"> de stabilitate la incendiu;</w:t>
      </w:r>
    </w:p>
    <w:p w14:paraId="70FA036B" w14:textId="77777777" w:rsidR="001C08A5" w:rsidRDefault="00000000">
      <w:pPr>
        <w:pStyle w:val="BodyText25"/>
        <w:numPr>
          <w:ilvl w:val="0"/>
          <w:numId w:val="71"/>
        </w:numPr>
        <w:tabs>
          <w:tab w:val="clear" w:pos="2500"/>
        </w:tabs>
        <w:overflowPunct/>
        <w:ind w:left="1413" w:firstLine="141"/>
        <w:textAlignment w:val="auto"/>
        <w:rPr>
          <w:rFonts w:ascii="Times New Roman" w:hAnsi="Times New Roman" w:cs="Times New Roman"/>
          <w:b/>
        </w:rPr>
      </w:pPr>
      <w:r>
        <w:rPr>
          <w:rFonts w:ascii="Times New Roman" w:hAnsi="Times New Roman" w:cs="Times New Roman"/>
        </w:rPr>
        <w:t xml:space="preserve">uşi etanşe la foc </w:t>
      </w:r>
      <w:r>
        <w:rPr>
          <w:rFonts w:ascii="Times New Roman" w:eastAsia="Times New Roman" w:hAnsi="Times New Roman" w:cs="Times New Roman"/>
        </w:rPr>
        <w:t>minimum</w:t>
      </w:r>
      <w:r>
        <w:rPr>
          <w:rFonts w:ascii="Times New Roman" w:hAnsi="Times New Roman" w:cs="Times New Roman"/>
          <w:b/>
          <w:bCs/>
        </w:rPr>
        <w:t xml:space="preserve"> E 15 </w:t>
      </w:r>
      <w:r>
        <w:rPr>
          <w:rFonts w:ascii="Times New Roman" w:eastAsia="Times New Roman" w:hAnsi="Times New Roman" w:cs="Times New Roman"/>
        </w:rPr>
        <w:t xml:space="preserve">pentru nivelul </w:t>
      </w:r>
      <w:r>
        <w:rPr>
          <w:rFonts w:ascii="Times New Roman" w:eastAsia="Times New Roman" w:hAnsi="Times New Roman" w:cs="Times New Roman"/>
          <w:b/>
        </w:rPr>
        <w:t>V</w:t>
      </w:r>
      <w:r>
        <w:rPr>
          <w:rFonts w:ascii="Times New Roman" w:eastAsia="Times New Roman" w:hAnsi="Times New Roman" w:cs="Times New Roman"/>
        </w:rPr>
        <w:t xml:space="preserve"> de stabilitate la incendiu (acolo unde ascensoarele sunt permise).</w:t>
      </w:r>
    </w:p>
    <w:p w14:paraId="42620F97" w14:textId="77777777" w:rsidR="001C08A5" w:rsidRDefault="00000000">
      <w:pPr>
        <w:pStyle w:val="BodyText"/>
        <w:widowControl w:val="0"/>
        <w:ind w:firstLine="708"/>
        <w:rPr>
          <w:b w:val="0"/>
          <w:bCs w:val="0"/>
          <w:i w:val="0"/>
          <w:iCs/>
        </w:rPr>
      </w:pPr>
      <w:r>
        <w:rPr>
          <w:i w:val="0"/>
          <w:iCs/>
        </w:rPr>
        <w:t xml:space="preserve">(3) </w:t>
      </w:r>
      <w:r>
        <w:rPr>
          <w:b w:val="0"/>
          <w:bCs w:val="0"/>
          <w:i w:val="0"/>
          <w:iCs/>
        </w:rPr>
        <w:t xml:space="preserve">Golurile de acces la ascensoarele prevăzute pentru circulația funcțională (transportul) persoanelor (valide sau cu dizabilităţi) din construcţiile civile cu înălțime obișnuită se protejează conform </w:t>
      </w:r>
      <w:r>
        <w:rPr>
          <w:i w:val="0"/>
          <w:iCs/>
        </w:rPr>
        <w:t xml:space="preserve">Art. 2.4.4.2.5. alin. (1). </w:t>
      </w:r>
      <w:r>
        <w:rPr>
          <w:b w:val="0"/>
          <w:bCs w:val="0"/>
          <w:i w:val="0"/>
          <w:iCs/>
        </w:rPr>
        <w:t xml:space="preserve">În toate situațiile se vor avea în vedere prevederile stipulate la </w:t>
      </w:r>
      <w:r>
        <w:rPr>
          <w:i w:val="0"/>
          <w:iCs/>
        </w:rPr>
        <w:t xml:space="preserve">Art. 2.4.4.2.5. alin. (2) </w:t>
      </w:r>
      <w:r>
        <w:rPr>
          <w:b w:val="0"/>
          <w:bCs w:val="0"/>
          <w:i w:val="0"/>
          <w:iCs/>
        </w:rPr>
        <w:t>și</w:t>
      </w:r>
      <w:r>
        <w:rPr>
          <w:i w:val="0"/>
          <w:iCs/>
        </w:rPr>
        <w:t xml:space="preserve"> alin. (3).</w:t>
      </w:r>
    </w:p>
    <w:p w14:paraId="46FCE71A" w14:textId="77777777" w:rsidR="001C08A5" w:rsidRDefault="001C08A5">
      <w:pPr>
        <w:pStyle w:val="BodyText"/>
        <w:widowControl w:val="0"/>
        <w:ind w:firstLine="708"/>
        <w:rPr>
          <w:i w:val="0"/>
          <w:iCs/>
        </w:rPr>
      </w:pPr>
    </w:p>
    <w:p w14:paraId="6F3AA2B7" w14:textId="77777777" w:rsidR="001C08A5" w:rsidRDefault="00000000">
      <w:pPr>
        <w:widowControl w:val="0"/>
        <w:ind w:firstLine="720"/>
        <w:jc w:val="both"/>
        <w:rPr>
          <w:b/>
          <w:iCs/>
          <w:sz w:val="24"/>
          <w:szCs w:val="24"/>
        </w:rPr>
      </w:pPr>
      <w:r>
        <w:rPr>
          <w:b/>
          <w:sz w:val="24"/>
          <w:szCs w:val="24"/>
        </w:rPr>
        <w:t xml:space="preserve">Art. 3.1.4.4. </w:t>
      </w:r>
      <w:r>
        <w:rPr>
          <w:b/>
          <w:iCs/>
          <w:sz w:val="24"/>
          <w:szCs w:val="24"/>
        </w:rPr>
        <w:t xml:space="preserve">(1) </w:t>
      </w:r>
      <w:r>
        <w:rPr>
          <w:sz w:val="24"/>
          <w:szCs w:val="24"/>
        </w:rPr>
        <w:t xml:space="preserve">Ascensoarele pentru transportul persoanelor cu căruciorul sau a persoanelor cu dizabilităţi care pot fi utilizate şi pentru evacuarea asistată a acestora în caz de incendiu se prevăd obligatoriu la clădiri cu persoane care nu se pot evacua singure (definite conform terminologie) și suplimentar conform </w:t>
      </w:r>
      <w:r>
        <w:rPr>
          <w:b/>
          <w:iCs/>
          <w:sz w:val="24"/>
          <w:szCs w:val="24"/>
        </w:rPr>
        <w:t xml:space="preserve">Art. 2.4.4.3.3. </w:t>
      </w:r>
    </w:p>
    <w:p w14:paraId="37813141" w14:textId="77777777" w:rsidR="001C08A5" w:rsidRDefault="00000000">
      <w:pPr>
        <w:widowControl w:val="0"/>
        <w:ind w:firstLine="720"/>
        <w:jc w:val="both"/>
        <w:rPr>
          <w:sz w:val="24"/>
          <w:szCs w:val="24"/>
        </w:rPr>
      </w:pPr>
      <w:r>
        <w:rPr>
          <w:b/>
          <w:bCs/>
          <w:sz w:val="24"/>
          <w:szCs w:val="24"/>
        </w:rPr>
        <w:t>(2)</w:t>
      </w:r>
      <w:r>
        <w:rPr>
          <w:sz w:val="24"/>
          <w:szCs w:val="24"/>
        </w:rPr>
        <w:t xml:space="preserve"> Ascensoarele prevăzute pentru transportul persoanelor cu căruciorul sau a persoanelor cu dizabilităţi care pot fi utilizate şi pentru evacuarea asistată a acestora în caz de incendiu se dispun în puţ propriu separat de restul construcţiei prin pereţi rezistenţi la foc minimum </w:t>
      </w:r>
      <w:r>
        <w:rPr>
          <w:b/>
          <w:sz w:val="24"/>
          <w:szCs w:val="24"/>
        </w:rPr>
        <w:t xml:space="preserve">EI/REI 90 </w:t>
      </w:r>
      <w:r>
        <w:rPr>
          <w:bCs/>
          <w:sz w:val="24"/>
          <w:szCs w:val="24"/>
        </w:rPr>
        <w:t>și</w:t>
      </w:r>
      <w:r>
        <w:rPr>
          <w:sz w:val="24"/>
          <w:szCs w:val="24"/>
        </w:rPr>
        <w:t xml:space="preserve">după caz, planşee rezistente la foc minimum  </w:t>
      </w:r>
      <w:r>
        <w:rPr>
          <w:b/>
          <w:sz w:val="24"/>
          <w:szCs w:val="24"/>
        </w:rPr>
        <w:t>REI 60</w:t>
      </w:r>
      <w:r>
        <w:rPr>
          <w:sz w:val="24"/>
          <w:szCs w:val="24"/>
        </w:rPr>
        <w:t xml:space="preserve">, clasa de reacţie la foc </w:t>
      </w:r>
      <w:r>
        <w:rPr>
          <w:b/>
          <w:bCs/>
          <w:sz w:val="24"/>
          <w:szCs w:val="24"/>
        </w:rPr>
        <w:t>A1</w:t>
      </w:r>
      <w:r>
        <w:rPr>
          <w:sz w:val="24"/>
          <w:szCs w:val="24"/>
        </w:rPr>
        <w:t xml:space="preserve"> sau </w:t>
      </w:r>
      <w:r>
        <w:rPr>
          <w:b/>
          <w:bCs/>
          <w:sz w:val="24"/>
          <w:szCs w:val="24"/>
        </w:rPr>
        <w:t>A2-s1d0</w:t>
      </w:r>
      <w:r>
        <w:rPr>
          <w:sz w:val="24"/>
          <w:szCs w:val="24"/>
        </w:rPr>
        <w:t>. La clădirile înalte și foarte înalte se respectă dispozitiile specifice.</w:t>
      </w:r>
    </w:p>
    <w:p w14:paraId="724B5E4E" w14:textId="77777777" w:rsidR="001C08A5" w:rsidRDefault="00000000">
      <w:pPr>
        <w:ind w:firstLine="720"/>
        <w:jc w:val="both"/>
        <w:rPr>
          <w:b/>
          <w:sz w:val="24"/>
          <w:szCs w:val="24"/>
        </w:rPr>
      </w:pPr>
      <w:r>
        <w:rPr>
          <w:b/>
          <w:iCs/>
          <w:sz w:val="24"/>
          <w:szCs w:val="24"/>
        </w:rPr>
        <w:lastRenderedPageBreak/>
        <w:t xml:space="preserve">(3) </w:t>
      </w:r>
      <w:r>
        <w:rPr>
          <w:sz w:val="24"/>
          <w:szCs w:val="24"/>
        </w:rPr>
        <w:t xml:space="preserve">Ascensoarele prevăzute pentru </w:t>
      </w:r>
      <w:r>
        <w:rPr>
          <w:iCs/>
          <w:sz w:val="24"/>
          <w:szCs w:val="24"/>
        </w:rPr>
        <w:t xml:space="preserve">transportul </w:t>
      </w:r>
      <w:r>
        <w:rPr>
          <w:sz w:val="24"/>
          <w:szCs w:val="24"/>
        </w:rPr>
        <w:t xml:space="preserve">persoanelor cu căruciorul sau a persoanelor cu dizabilităţi, pot fi utilizate şi pentru evacuarea asistată a acestora în caz de incendiu, atunci când respectă simultan următoarele condiţii: </w:t>
      </w:r>
    </w:p>
    <w:p w14:paraId="506DD26B" w14:textId="77777777" w:rsidR="001C08A5" w:rsidRDefault="00000000">
      <w:pPr>
        <w:ind w:left="2835"/>
        <w:jc w:val="both"/>
        <w:rPr>
          <w:sz w:val="24"/>
          <w:szCs w:val="24"/>
        </w:rPr>
      </w:pPr>
      <w:r>
        <w:rPr>
          <w:b/>
          <w:sz w:val="24"/>
          <w:szCs w:val="24"/>
        </w:rPr>
        <w:t xml:space="preserve">a) </w:t>
      </w:r>
      <w:r>
        <w:rPr>
          <w:sz w:val="24"/>
          <w:szCs w:val="24"/>
        </w:rPr>
        <w:t xml:space="preserve">sunt prevăzute cu puţ propriu, echipat cu instalaţie în suprapresiune, separat de restul construcţiei cu pereţi rezistenţi la foc minimum </w:t>
      </w:r>
      <w:r>
        <w:rPr>
          <w:b/>
          <w:sz w:val="24"/>
          <w:szCs w:val="24"/>
        </w:rPr>
        <w:t>EI/REI 90</w:t>
      </w:r>
      <w:r>
        <w:rPr>
          <w:bCs/>
          <w:sz w:val="24"/>
          <w:szCs w:val="24"/>
        </w:rPr>
        <w:t xml:space="preserve"> și </w:t>
      </w:r>
      <w:r>
        <w:rPr>
          <w:sz w:val="24"/>
          <w:szCs w:val="24"/>
        </w:rPr>
        <w:t xml:space="preserve">planşee rezistente la foc minimum </w:t>
      </w:r>
      <w:r>
        <w:rPr>
          <w:b/>
          <w:bCs/>
          <w:sz w:val="24"/>
          <w:szCs w:val="24"/>
        </w:rPr>
        <w:t xml:space="preserve">REI60 </w:t>
      </w:r>
      <w:r>
        <w:rPr>
          <w:bCs/>
          <w:sz w:val="24"/>
          <w:szCs w:val="24"/>
        </w:rPr>
        <w:t xml:space="preserve">, clasa de reacţie la foc </w:t>
      </w:r>
      <w:r>
        <w:rPr>
          <w:b/>
          <w:sz w:val="24"/>
          <w:szCs w:val="24"/>
        </w:rPr>
        <w:t>A1</w:t>
      </w:r>
      <w:r>
        <w:rPr>
          <w:bCs/>
          <w:sz w:val="24"/>
          <w:szCs w:val="24"/>
        </w:rPr>
        <w:t xml:space="preserve"> sau </w:t>
      </w:r>
      <w:r>
        <w:rPr>
          <w:b/>
          <w:sz w:val="24"/>
          <w:szCs w:val="24"/>
        </w:rPr>
        <w:t>A2-s1d0</w:t>
      </w:r>
      <w:r>
        <w:rPr>
          <w:sz w:val="24"/>
          <w:szCs w:val="24"/>
        </w:rPr>
        <w:t>;</w:t>
      </w:r>
    </w:p>
    <w:p w14:paraId="202E24EB" w14:textId="77777777" w:rsidR="001C08A5" w:rsidRDefault="00000000">
      <w:pPr>
        <w:ind w:left="2835"/>
        <w:jc w:val="both"/>
        <w:rPr>
          <w:sz w:val="24"/>
          <w:szCs w:val="24"/>
        </w:rPr>
      </w:pPr>
      <w:r>
        <w:rPr>
          <w:b/>
          <w:sz w:val="24"/>
          <w:szCs w:val="24"/>
        </w:rPr>
        <w:t xml:space="preserve">b) </w:t>
      </w:r>
      <w:r>
        <w:rPr>
          <w:sz w:val="24"/>
          <w:szCs w:val="24"/>
        </w:rPr>
        <w:t xml:space="preserve">au asigurată funcţionarea timp de minimum </w:t>
      </w:r>
      <w:r>
        <w:rPr>
          <w:b/>
          <w:sz w:val="24"/>
          <w:szCs w:val="24"/>
        </w:rPr>
        <w:t xml:space="preserve">60 </w:t>
      </w:r>
      <w:r>
        <w:rPr>
          <w:sz w:val="24"/>
          <w:szCs w:val="24"/>
        </w:rPr>
        <w:t xml:space="preserve">minute de la izbucnirea incendiului; </w:t>
      </w:r>
    </w:p>
    <w:p w14:paraId="254B213E" w14:textId="77777777" w:rsidR="001C08A5" w:rsidRDefault="00000000">
      <w:pPr>
        <w:ind w:left="2835"/>
        <w:jc w:val="both"/>
        <w:rPr>
          <w:sz w:val="24"/>
          <w:szCs w:val="24"/>
        </w:rPr>
      </w:pPr>
      <w:r>
        <w:rPr>
          <w:b/>
          <w:sz w:val="24"/>
          <w:szCs w:val="24"/>
        </w:rPr>
        <w:t>c)</w:t>
      </w:r>
      <w:r>
        <w:rPr>
          <w:sz w:val="24"/>
          <w:szCs w:val="24"/>
        </w:rPr>
        <w:t xml:space="preserve"> au acces la căile comune de circulaţie orizontală, la un hol sau o cale de acces directă în exterior; </w:t>
      </w:r>
    </w:p>
    <w:p w14:paraId="4E470125" w14:textId="77777777" w:rsidR="001C08A5" w:rsidRDefault="00000000">
      <w:pPr>
        <w:ind w:left="2835"/>
        <w:jc w:val="both"/>
        <w:rPr>
          <w:sz w:val="24"/>
          <w:szCs w:val="24"/>
        </w:rPr>
      </w:pPr>
      <w:r>
        <w:rPr>
          <w:b/>
          <w:sz w:val="24"/>
          <w:szCs w:val="24"/>
        </w:rPr>
        <w:t>d)</w:t>
      </w:r>
      <w:r>
        <w:rPr>
          <w:sz w:val="24"/>
          <w:szCs w:val="24"/>
        </w:rPr>
        <w:t xml:space="preserve"> sunt în legatură cu o scară sau o ieşire spre exterior, direct sau prin intermediul unei căi de acces separate (coridor, hol);</w:t>
      </w:r>
    </w:p>
    <w:p w14:paraId="1503B612" w14:textId="77777777" w:rsidR="001C08A5" w:rsidRDefault="00000000">
      <w:pPr>
        <w:ind w:left="2835"/>
        <w:jc w:val="both"/>
        <w:rPr>
          <w:sz w:val="24"/>
          <w:szCs w:val="24"/>
        </w:rPr>
      </w:pPr>
      <w:r>
        <w:rPr>
          <w:b/>
          <w:sz w:val="24"/>
          <w:szCs w:val="24"/>
        </w:rPr>
        <w:t>e)</w:t>
      </w:r>
      <w:r>
        <w:rPr>
          <w:sz w:val="24"/>
          <w:szCs w:val="24"/>
        </w:rPr>
        <w:t xml:space="preserve"> în faţa uşilor de palier ale acestor ascensoare se asigură o zonă de aşteptare care să nu blocheze circulaţia de evacuare a celorlalţi utilizatori;</w:t>
      </w:r>
    </w:p>
    <w:p w14:paraId="4A6C8AE8" w14:textId="77777777" w:rsidR="001C08A5" w:rsidRDefault="00000000">
      <w:pPr>
        <w:ind w:left="2835"/>
        <w:jc w:val="both"/>
        <w:rPr>
          <w:sz w:val="24"/>
          <w:szCs w:val="24"/>
        </w:rPr>
      </w:pPr>
      <w:r>
        <w:rPr>
          <w:b/>
          <w:sz w:val="24"/>
          <w:szCs w:val="24"/>
        </w:rPr>
        <w:t xml:space="preserve">f)  </w:t>
      </w:r>
      <w:r>
        <w:rPr>
          <w:sz w:val="24"/>
          <w:szCs w:val="24"/>
        </w:rPr>
        <w:t>sunt alimentate cu energie electrică din două surse independente;</w:t>
      </w:r>
    </w:p>
    <w:p w14:paraId="4119D33A" w14:textId="77777777" w:rsidR="001C08A5" w:rsidRDefault="00000000">
      <w:pPr>
        <w:ind w:left="2835"/>
        <w:jc w:val="both"/>
        <w:rPr>
          <w:sz w:val="24"/>
          <w:szCs w:val="24"/>
        </w:rPr>
      </w:pPr>
      <w:r>
        <w:rPr>
          <w:b/>
          <w:sz w:val="24"/>
          <w:szCs w:val="24"/>
        </w:rPr>
        <w:t>g)</w:t>
      </w:r>
      <w:r>
        <w:rPr>
          <w:sz w:val="24"/>
          <w:szCs w:val="24"/>
        </w:rPr>
        <w:t xml:space="preserve"> au asigurată marcarea şi semnalizarea corespunzătoare.</w:t>
      </w:r>
    </w:p>
    <w:p w14:paraId="16C935F5" w14:textId="77777777" w:rsidR="001C08A5" w:rsidRDefault="001C08A5">
      <w:pPr>
        <w:ind w:firstLine="720"/>
        <w:jc w:val="both"/>
        <w:rPr>
          <w:sz w:val="24"/>
          <w:szCs w:val="24"/>
        </w:rPr>
      </w:pPr>
    </w:p>
    <w:p w14:paraId="4027C255" w14:textId="77777777" w:rsidR="001C08A5" w:rsidRDefault="00000000">
      <w:pPr>
        <w:widowControl w:val="0"/>
        <w:ind w:firstLine="720"/>
        <w:jc w:val="both"/>
        <w:rPr>
          <w:sz w:val="24"/>
          <w:szCs w:val="24"/>
        </w:rPr>
      </w:pPr>
      <w:r>
        <w:rPr>
          <w:b/>
          <w:sz w:val="24"/>
          <w:szCs w:val="24"/>
        </w:rPr>
        <w:t xml:space="preserve">Art. 3.1.4.5. (1) </w:t>
      </w:r>
      <w:r>
        <w:rPr>
          <w:sz w:val="24"/>
          <w:szCs w:val="24"/>
        </w:rPr>
        <w:t xml:space="preserve">Accesul la ascensoarele prevăzute pentru transportul persoanelor cu căruciorul sau a persoanelor cu dizabilităţi care pot fi utilizate şi pentru evacuarea asistată a acestora în caz de incendiu la nivelurile supraterane ale clădirilor civile cu înălțime obișnuită, se asigură prin: </w:t>
      </w:r>
    </w:p>
    <w:p w14:paraId="505717E9" w14:textId="77777777" w:rsidR="001C08A5" w:rsidRDefault="00000000">
      <w:pPr>
        <w:widowControl w:val="0"/>
        <w:ind w:left="1440" w:firstLine="720"/>
        <w:jc w:val="both"/>
        <w:rPr>
          <w:b/>
          <w:sz w:val="24"/>
          <w:szCs w:val="24"/>
        </w:rPr>
      </w:pPr>
      <w:r>
        <w:rPr>
          <w:sz w:val="24"/>
          <w:szCs w:val="24"/>
        </w:rPr>
        <w:t xml:space="preserve">- uşi de palier (ale ascensoarelor) rezistente la foc </w:t>
      </w:r>
      <w:r>
        <w:rPr>
          <w:b/>
          <w:sz w:val="24"/>
          <w:szCs w:val="24"/>
        </w:rPr>
        <w:t xml:space="preserve">EI 60 </w:t>
      </w:r>
      <w:r>
        <w:rPr>
          <w:iCs/>
          <w:sz w:val="24"/>
          <w:szCs w:val="24"/>
        </w:rPr>
        <w:t>atunci când debușează în spații ferite de fum (degajamente protejate sau coridoare protejate prevăzute cu suprapresiune sau admisie de aer și evacuare de fum mecanică)</w:t>
      </w:r>
      <w:r>
        <w:rPr>
          <w:bCs/>
          <w:sz w:val="24"/>
          <w:szCs w:val="24"/>
        </w:rPr>
        <w:t xml:space="preserve">;în acest caz spațiile în care debușează ușile de palier ale ascensoarelor trebuie să fie prevăzute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 xml:space="preserve">EI/REI 60 </w:t>
      </w:r>
      <w:r>
        <w:rPr>
          <w:bCs/>
          <w:sz w:val="24"/>
          <w:szCs w:val="24"/>
        </w:rPr>
        <w:t xml:space="preserve">și uși minimum </w:t>
      </w:r>
      <w:r>
        <w:rPr>
          <w:b/>
          <w:sz w:val="24"/>
          <w:szCs w:val="24"/>
        </w:rPr>
        <w:t>EI</w:t>
      </w:r>
      <w:r>
        <w:rPr>
          <w:b/>
          <w:sz w:val="24"/>
          <w:szCs w:val="24"/>
          <w:vertAlign w:val="subscript"/>
        </w:rPr>
        <w:t>2</w:t>
      </w:r>
      <w:r>
        <w:rPr>
          <w:b/>
          <w:sz w:val="24"/>
          <w:szCs w:val="24"/>
        </w:rPr>
        <w:t>30-C5S</w:t>
      </w:r>
      <w:r>
        <w:rPr>
          <w:b/>
          <w:bCs/>
          <w:sz w:val="24"/>
          <w:szCs w:val="24"/>
          <w:vertAlign w:val="subscript"/>
        </w:rPr>
        <w:t>200</w:t>
      </w:r>
      <w:r>
        <w:rPr>
          <w:sz w:val="24"/>
          <w:szCs w:val="24"/>
        </w:rPr>
        <w:t>;</w:t>
      </w:r>
    </w:p>
    <w:p w14:paraId="383D281A" w14:textId="77777777" w:rsidR="001C08A5" w:rsidRDefault="00000000">
      <w:pPr>
        <w:widowControl w:val="0"/>
        <w:ind w:left="1440" w:firstLine="720"/>
        <w:jc w:val="both"/>
        <w:rPr>
          <w:b/>
          <w:sz w:val="24"/>
          <w:szCs w:val="24"/>
        </w:rPr>
      </w:pPr>
      <w:r>
        <w:rPr>
          <w:sz w:val="24"/>
          <w:szCs w:val="24"/>
        </w:rPr>
        <w:t xml:space="preserve">- realizarea unor încăperi tampon ventilate în suprapresiune, prevăzute cu uşi etanșe la foc și la fum </w:t>
      </w:r>
      <w:r>
        <w:rPr>
          <w:b/>
          <w:sz w:val="24"/>
          <w:szCs w:val="24"/>
        </w:rPr>
        <w:t>E30-C5S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 xml:space="preserve">EI60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60.</w:t>
      </w:r>
    </w:p>
    <w:p w14:paraId="1D383AD9" w14:textId="77777777" w:rsidR="001C08A5" w:rsidRDefault="00000000">
      <w:pPr>
        <w:widowControl w:val="0"/>
        <w:ind w:firstLine="720"/>
        <w:jc w:val="both"/>
        <w:rPr>
          <w:b/>
          <w:sz w:val="24"/>
          <w:szCs w:val="24"/>
        </w:rPr>
      </w:pPr>
      <w:r>
        <w:rPr>
          <w:b/>
          <w:sz w:val="24"/>
          <w:szCs w:val="24"/>
        </w:rPr>
        <w:t xml:space="preserve">(2) </w:t>
      </w:r>
      <w:r>
        <w:rPr>
          <w:sz w:val="24"/>
          <w:szCs w:val="24"/>
        </w:rPr>
        <w:t xml:space="preserve"> Accesul la ascensoarele prevăzute pentru transportul persoanelor cu căruciorul sau a persoanelor cu dizabilităţi care pot fi utilizate şi pentru evacuarea asistată a acestora în caz de incendiu la nivelurile subterane ale clădirilor civile cu înălțime obișnuită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 xml:space="preserve">EI60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60.</w:t>
      </w:r>
    </w:p>
    <w:p w14:paraId="113662AA" w14:textId="77777777" w:rsidR="001C08A5" w:rsidRDefault="00000000">
      <w:pPr>
        <w:ind w:firstLine="720"/>
        <w:jc w:val="both"/>
        <w:rPr>
          <w:b/>
          <w:sz w:val="24"/>
          <w:szCs w:val="24"/>
        </w:rPr>
      </w:pPr>
      <w:r>
        <w:rPr>
          <w:rFonts w:eastAsia="Arial"/>
          <w:b/>
          <w:bCs/>
          <w:sz w:val="24"/>
          <w:szCs w:val="24"/>
        </w:rPr>
        <w:t>(3)</w:t>
      </w:r>
      <w:r>
        <w:rPr>
          <w:rFonts w:eastAsia="Arial"/>
          <w:sz w:val="24"/>
          <w:szCs w:val="24"/>
        </w:rPr>
        <w:t xml:space="preserve"> Dacă </w:t>
      </w:r>
      <w:r>
        <w:rPr>
          <w:iCs/>
          <w:sz w:val="24"/>
          <w:szCs w:val="24"/>
        </w:rPr>
        <w:t>ascensoarele</w:t>
      </w:r>
      <w:r>
        <w:rPr>
          <w:sz w:val="24"/>
          <w:szCs w:val="24"/>
        </w:rPr>
        <w:t xml:space="preserve"> care pot fi utilizate şi pentru evacuarea asistată a persoanelor cu căruciorul sau a persoanelor cu dizabilităţi</w:t>
      </w:r>
      <w:r>
        <w:rPr>
          <w:rFonts w:eastAsia="Arial"/>
          <w:sz w:val="24"/>
          <w:szCs w:val="24"/>
        </w:rPr>
        <w:t xml:space="preserve"> au cabina cu două accese, toate </w:t>
      </w:r>
      <w:r>
        <w:rPr>
          <w:iCs/>
          <w:sz w:val="24"/>
          <w:szCs w:val="24"/>
        </w:rPr>
        <w:t>golurile de acces</w:t>
      </w:r>
      <w:r>
        <w:rPr>
          <w:rFonts w:eastAsia="Arial"/>
          <w:sz w:val="24"/>
          <w:szCs w:val="24"/>
        </w:rPr>
        <w:t xml:space="preserve"> prevăzute trebuie să îndeplinească condițiile de la </w:t>
      </w:r>
      <w:r>
        <w:rPr>
          <w:rFonts w:eastAsia="Arial"/>
          <w:b/>
          <w:bCs/>
          <w:sz w:val="24"/>
          <w:szCs w:val="24"/>
        </w:rPr>
        <w:t xml:space="preserve">alin. (1) </w:t>
      </w:r>
      <w:r>
        <w:rPr>
          <w:rFonts w:eastAsia="Arial"/>
          <w:sz w:val="24"/>
          <w:szCs w:val="24"/>
        </w:rPr>
        <w:t xml:space="preserve">și </w:t>
      </w:r>
      <w:r>
        <w:rPr>
          <w:rFonts w:eastAsia="Arial"/>
          <w:b/>
          <w:bCs/>
          <w:sz w:val="24"/>
          <w:szCs w:val="24"/>
        </w:rPr>
        <w:t>alin. (2)</w:t>
      </w:r>
      <w:r>
        <w:rPr>
          <w:b/>
          <w:sz w:val="24"/>
          <w:szCs w:val="24"/>
        </w:rPr>
        <w:t>.</w:t>
      </w:r>
    </w:p>
    <w:p w14:paraId="6E73C056" w14:textId="77777777" w:rsidR="001C08A5" w:rsidRDefault="00000000">
      <w:pPr>
        <w:ind w:firstLine="720"/>
        <w:jc w:val="both"/>
        <w:rPr>
          <w:b/>
          <w:sz w:val="24"/>
          <w:szCs w:val="24"/>
        </w:rPr>
      </w:pPr>
      <w:r>
        <w:rPr>
          <w:b/>
          <w:sz w:val="24"/>
          <w:szCs w:val="24"/>
        </w:rPr>
        <w:t xml:space="preserve">(4) </w:t>
      </w:r>
      <w:r>
        <w:rPr>
          <w:sz w:val="24"/>
          <w:szCs w:val="24"/>
        </w:rPr>
        <w:t>Ascensoarele prevăzute pentru transportul persoanelor cu căruciorul sau a persoanelor cu dizabilităţi care pot fi utilizate şi pentru evacuarea asistată a acestora în caz de incendiu din clădirile civile cu înălțime obișnuită vor avea comenzile în coridoare sau în degajamente protejate.</w:t>
      </w:r>
    </w:p>
    <w:p w14:paraId="69A6A65D" w14:textId="77777777" w:rsidR="001C08A5" w:rsidRDefault="00000000">
      <w:pPr>
        <w:widowControl w:val="0"/>
        <w:ind w:firstLine="720"/>
        <w:jc w:val="both"/>
        <w:rPr>
          <w:sz w:val="24"/>
          <w:szCs w:val="24"/>
        </w:rPr>
      </w:pPr>
      <w:r>
        <w:rPr>
          <w:b/>
          <w:bCs/>
          <w:iCs/>
          <w:sz w:val="24"/>
          <w:szCs w:val="24"/>
        </w:rPr>
        <w:t xml:space="preserve">(5) </w:t>
      </w:r>
      <w:r>
        <w:rPr>
          <w:sz w:val="24"/>
          <w:szCs w:val="24"/>
        </w:rPr>
        <w:t>La clădirile înalte, foarte înalte și la cele cu săli aglomerate se respectă dispozitiile specifice.</w:t>
      </w:r>
    </w:p>
    <w:p w14:paraId="39493931" w14:textId="77777777" w:rsidR="001C08A5" w:rsidRDefault="001C08A5">
      <w:pPr>
        <w:jc w:val="both"/>
        <w:rPr>
          <w:sz w:val="24"/>
          <w:szCs w:val="24"/>
        </w:rPr>
      </w:pPr>
    </w:p>
    <w:p w14:paraId="4923ECDC" w14:textId="77777777" w:rsidR="001C08A5" w:rsidRDefault="00000000">
      <w:pPr>
        <w:ind w:firstLine="720"/>
        <w:jc w:val="both"/>
        <w:rPr>
          <w:sz w:val="24"/>
          <w:szCs w:val="24"/>
        </w:rPr>
      </w:pPr>
      <w:r>
        <w:rPr>
          <w:b/>
          <w:sz w:val="24"/>
          <w:szCs w:val="24"/>
        </w:rPr>
        <w:t xml:space="preserve">Art. 3.1.4.6. (1) </w:t>
      </w:r>
      <w:r>
        <w:rPr>
          <w:bCs/>
          <w:sz w:val="24"/>
          <w:szCs w:val="24"/>
        </w:rPr>
        <w:t xml:space="preserve">Atunci când golurile de </w:t>
      </w:r>
      <w:r>
        <w:rPr>
          <w:sz w:val="24"/>
          <w:szCs w:val="24"/>
        </w:rPr>
        <w:t xml:space="preserve">acces la </w:t>
      </w:r>
      <w:r>
        <w:rPr>
          <w:iCs/>
          <w:sz w:val="24"/>
          <w:szCs w:val="24"/>
        </w:rPr>
        <w:t xml:space="preserve">ascensoarele prevăzute pentru circulația funcțională a persoanelor și la </w:t>
      </w:r>
      <w:r>
        <w:rPr>
          <w:sz w:val="24"/>
          <w:szCs w:val="24"/>
        </w:rPr>
        <w:t xml:space="preserve">ascensoarele prevăzute pentru transportul persoanelor cu căruciorul sau a persoanelor cu dizabilităţi care pot fi utilizate şi pentru evacuarea asistată a acestora în caz de incendiu la nivelurile suprateraneale clădirilor cu înălțime obișnuită debușează într-o încăpere tampon </w:t>
      </w:r>
      <w:r>
        <w:rPr>
          <w:sz w:val="24"/>
          <w:szCs w:val="24"/>
        </w:rPr>
        <w:lastRenderedPageBreak/>
        <w:t xml:space="preserve">ventilată în suprapresiune comună, toate ușile de la ascensoare vor fi minimum </w:t>
      </w:r>
      <w:r>
        <w:rPr>
          <w:b/>
          <w:bCs/>
          <w:sz w:val="24"/>
          <w:szCs w:val="24"/>
        </w:rPr>
        <w:t xml:space="preserve">EI60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30-C5S</w:t>
      </w:r>
      <w:r>
        <w:rPr>
          <w:b/>
          <w:bCs/>
          <w:sz w:val="24"/>
          <w:szCs w:val="24"/>
          <w:vertAlign w:val="subscript"/>
        </w:rPr>
        <w:t>200</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60</w:t>
      </w:r>
      <w:r>
        <w:rPr>
          <w:sz w:val="24"/>
          <w:szCs w:val="24"/>
        </w:rPr>
        <w:t xml:space="preserve">. La nivelurile subterane toate ușile de la ascensoare vor fi minimum </w:t>
      </w:r>
      <w:r>
        <w:rPr>
          <w:b/>
          <w:bCs/>
          <w:sz w:val="24"/>
          <w:szCs w:val="24"/>
        </w:rPr>
        <w:t xml:space="preserve">EI60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200</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60</w:t>
      </w:r>
      <w:r>
        <w:rPr>
          <w:sz w:val="24"/>
          <w:szCs w:val="24"/>
        </w:rPr>
        <w:t>.</w:t>
      </w:r>
    </w:p>
    <w:p w14:paraId="02428885" w14:textId="77777777" w:rsidR="001C08A5" w:rsidRDefault="00000000">
      <w:pPr>
        <w:ind w:firstLine="720"/>
        <w:jc w:val="both"/>
        <w:rPr>
          <w:b/>
          <w:bCs/>
          <w:i/>
          <w:iCs/>
          <w:sz w:val="24"/>
          <w:szCs w:val="24"/>
        </w:rPr>
      </w:pPr>
      <w:r>
        <w:rPr>
          <w:b/>
          <w:sz w:val="24"/>
          <w:szCs w:val="24"/>
        </w:rPr>
        <w:t xml:space="preserve">(2) </w:t>
      </w:r>
      <w:r>
        <w:rPr>
          <w:bCs/>
          <w:sz w:val="24"/>
          <w:szCs w:val="24"/>
        </w:rPr>
        <w:t xml:space="preserve">Atunci când golurile de </w:t>
      </w:r>
      <w:r>
        <w:rPr>
          <w:sz w:val="24"/>
          <w:szCs w:val="24"/>
        </w:rPr>
        <w:t xml:space="preserve">acces la </w:t>
      </w:r>
      <w:r>
        <w:rPr>
          <w:iCs/>
          <w:sz w:val="24"/>
          <w:szCs w:val="24"/>
        </w:rPr>
        <w:t xml:space="preserve">ascensoarele prevăzute pentru circulația funcțională a persoanelor, la </w:t>
      </w:r>
      <w:r>
        <w:rPr>
          <w:sz w:val="24"/>
          <w:szCs w:val="24"/>
        </w:rPr>
        <w:t xml:space="preserve">scările de evacuare a persoanelor și la ascensoarele prevăzute pentru transportul persoanelor cu căruciorul sau a persoanelor cu dizabilităţi care pot fi utilizate şi pentru evacuarea asistată a acestora în caz de incendiu la nivelurile supraterane ale clădirilor cu înălțime obișnuită debușează într-o încăpere tampon ventilată în suprapresiune comună, toate ușile de la ascensoare vor fi minimum </w:t>
      </w:r>
      <w:r>
        <w:rPr>
          <w:b/>
          <w:bCs/>
          <w:sz w:val="24"/>
          <w:szCs w:val="24"/>
        </w:rPr>
        <w:t xml:space="preserve">EI60, </w:t>
      </w:r>
      <w:r>
        <w:rPr>
          <w:sz w:val="24"/>
          <w:szCs w:val="24"/>
        </w:rPr>
        <w:t xml:space="preserve">ușa de la casa scării va fi minimum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30-C5S</w:t>
      </w:r>
      <w:r>
        <w:rPr>
          <w:b/>
          <w:bCs/>
          <w:sz w:val="24"/>
          <w:szCs w:val="24"/>
          <w:vertAlign w:val="subscript"/>
        </w:rPr>
        <w:t xml:space="preserve">200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60</w:t>
      </w:r>
      <w:r>
        <w:rPr>
          <w:sz w:val="24"/>
          <w:szCs w:val="24"/>
        </w:rPr>
        <w:t xml:space="preserve">. La nivelurile subterane  toate ușile de la ascensoare vor fi minimum </w:t>
      </w:r>
      <w:r>
        <w:rPr>
          <w:b/>
          <w:bCs/>
          <w:sz w:val="24"/>
          <w:szCs w:val="24"/>
        </w:rPr>
        <w:t xml:space="preserve">EI60, </w:t>
      </w:r>
      <w:r>
        <w:rPr>
          <w:sz w:val="24"/>
          <w:szCs w:val="24"/>
        </w:rPr>
        <w:t xml:space="preserve">ușa de la casa scării va fi minimum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60</w:t>
      </w:r>
      <w:r>
        <w:rPr>
          <w:sz w:val="24"/>
          <w:szCs w:val="24"/>
        </w:rPr>
        <w:t>.</w:t>
      </w:r>
    </w:p>
    <w:p w14:paraId="4D7C0C90" w14:textId="77777777" w:rsidR="001C08A5" w:rsidRDefault="001C08A5">
      <w:pPr>
        <w:jc w:val="both"/>
        <w:rPr>
          <w:b/>
          <w:sz w:val="24"/>
          <w:szCs w:val="24"/>
        </w:rPr>
      </w:pPr>
    </w:p>
    <w:p w14:paraId="2AFADDA3" w14:textId="77777777" w:rsidR="001C08A5" w:rsidRDefault="00000000">
      <w:pPr>
        <w:pStyle w:val="ListParagraph"/>
        <w:autoSpaceDE w:val="0"/>
        <w:ind w:left="0" w:firstLine="720"/>
        <w:jc w:val="both"/>
      </w:pPr>
      <w:r>
        <w:rPr>
          <w:b/>
        </w:rPr>
        <w:t xml:space="preserve">Art. 3.1.4.7. (1) </w:t>
      </w:r>
      <w:r>
        <w:t xml:space="preserve">Ascensoarele pentru  intervenţie în caz de incendiu (de pompieri), se prevăd obligatoriu în situaţiile stabilite în normativ şi se realizează conform prevederilor privind performanțele specifice, fiind dispuse în puţuri proprii, separate de restul construcţiei prin pereţi rezistenţi la foc minimum </w:t>
      </w:r>
      <w:r>
        <w:rPr>
          <w:b/>
        </w:rPr>
        <w:t xml:space="preserve">REI 120 </w:t>
      </w:r>
      <w:r>
        <w:t xml:space="preserve">şi după caz, planşee rezistente la foc minimum </w:t>
      </w:r>
      <w:r>
        <w:rPr>
          <w:b/>
        </w:rPr>
        <w:t>REI 120</w:t>
      </w:r>
      <w:r>
        <w:t xml:space="preserve">, clasa de reacţie la foc </w:t>
      </w:r>
      <w:r>
        <w:rPr>
          <w:b/>
          <w:bCs/>
        </w:rPr>
        <w:t>A1</w:t>
      </w:r>
      <w:r>
        <w:t xml:space="preserve"> sau </w:t>
      </w:r>
      <w:r>
        <w:rPr>
          <w:b/>
          <w:bCs/>
        </w:rPr>
        <w:t>A2-s1d0</w:t>
      </w:r>
      <w:r>
        <w:t>.</w:t>
      </w:r>
    </w:p>
    <w:p w14:paraId="75158137" w14:textId="77777777" w:rsidR="001C08A5" w:rsidRDefault="00000000">
      <w:pPr>
        <w:pStyle w:val="ListParagraph"/>
        <w:autoSpaceDE w:val="0"/>
        <w:ind w:left="0" w:firstLine="720"/>
        <w:jc w:val="both"/>
      </w:pPr>
      <w:r>
        <w:rPr>
          <w:b/>
        </w:rPr>
        <w:t xml:space="preserve">(2) </w:t>
      </w:r>
      <w:r>
        <w:t xml:space="preserve">Ascensoarele pentru  intervenţie în caz de incendiu (de pompieri) se pot prevedea și suplimentar conform </w:t>
      </w:r>
      <w:r>
        <w:rPr>
          <w:b/>
          <w:iCs/>
        </w:rPr>
        <w:t>Art. 2.4.4.4.2. .</w:t>
      </w:r>
    </w:p>
    <w:p w14:paraId="550B145D" w14:textId="77777777" w:rsidR="001C08A5" w:rsidRDefault="001C08A5">
      <w:pPr>
        <w:pStyle w:val="ListParagraph"/>
        <w:autoSpaceDE w:val="0"/>
        <w:ind w:left="0" w:firstLine="720"/>
        <w:jc w:val="both"/>
      </w:pPr>
    </w:p>
    <w:p w14:paraId="25191784" w14:textId="77777777" w:rsidR="001C08A5" w:rsidRDefault="00000000">
      <w:pPr>
        <w:widowControl w:val="0"/>
        <w:ind w:firstLine="720"/>
        <w:jc w:val="both"/>
        <w:rPr>
          <w:sz w:val="24"/>
          <w:szCs w:val="24"/>
        </w:rPr>
      </w:pPr>
      <w:r>
        <w:rPr>
          <w:b/>
          <w:sz w:val="24"/>
          <w:szCs w:val="24"/>
        </w:rPr>
        <w:t>Art. 3.1.4.8. (1)</w:t>
      </w:r>
      <w:r>
        <w:rPr>
          <w:sz w:val="24"/>
          <w:szCs w:val="24"/>
        </w:rPr>
        <w:t xml:space="preserve"> Accesul la ascensoarele de intervenție la nivelurile supraterane ale clădirilor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30-C5S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EI</w:t>
      </w:r>
      <w:r>
        <w:rPr>
          <w:b/>
          <w:bCs/>
          <w:sz w:val="24"/>
          <w:szCs w:val="24"/>
          <w:lang w:val="en-US"/>
        </w:rPr>
        <w:t>12</w:t>
      </w:r>
      <w:r>
        <w:rPr>
          <w:b/>
          <w:bCs/>
          <w:sz w:val="24"/>
          <w:szCs w:val="24"/>
        </w:rPr>
        <w:t xml:space="preserve">0 </w:t>
      </w:r>
      <w:r>
        <w:rPr>
          <w:sz w:val="24"/>
          <w:szCs w:val="24"/>
        </w:rPr>
        <w:t>la ușile ascensoarelor și</w:t>
      </w:r>
      <w:r>
        <w:rPr>
          <w:bCs/>
          <w:sz w:val="24"/>
          <w:szCs w:val="24"/>
        </w:rPr>
        <w:t xml:space="preserve">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 xml:space="preserve">EI/REI </w:t>
      </w:r>
      <w:r>
        <w:rPr>
          <w:b/>
          <w:sz w:val="24"/>
          <w:szCs w:val="24"/>
          <w:lang w:val="en-US"/>
        </w:rPr>
        <w:t>12</w:t>
      </w:r>
      <w:r>
        <w:rPr>
          <w:b/>
          <w:sz w:val="24"/>
          <w:szCs w:val="24"/>
        </w:rPr>
        <w:t xml:space="preserve">0 </w:t>
      </w:r>
      <w:r>
        <w:rPr>
          <w:bCs/>
          <w:sz w:val="24"/>
          <w:szCs w:val="24"/>
        </w:rPr>
        <w:t xml:space="preserve">(conform </w:t>
      </w:r>
      <w:r>
        <w:rPr>
          <w:rFonts w:cs="Mangal"/>
          <w:b/>
          <w:i/>
          <w:iCs/>
          <w:sz w:val="24"/>
          <w:szCs w:val="24"/>
        </w:rPr>
        <w:fldChar w:fldCharType="begin"/>
      </w:r>
      <w:r>
        <w:rPr>
          <w:rFonts w:cs="Mangal"/>
          <w:b/>
          <w:i/>
          <w:iCs/>
          <w:sz w:val="24"/>
          <w:szCs w:val="24"/>
        </w:rPr>
        <w:instrText xml:space="preserve"> REF _Ref20272 \h </w:instrText>
      </w:r>
      <w:r>
        <w:rPr>
          <w:rFonts w:cs="Mangal"/>
          <w:b/>
          <w:i/>
          <w:iCs/>
          <w:sz w:val="24"/>
          <w:szCs w:val="24"/>
        </w:rPr>
      </w:r>
      <w:r>
        <w:rPr>
          <w:rFonts w:cs="Mangal"/>
          <w:b/>
          <w:i/>
          <w:iCs/>
          <w:sz w:val="24"/>
          <w:szCs w:val="24"/>
        </w:rPr>
        <w:fldChar w:fldCharType="separate"/>
      </w:r>
      <w:r>
        <w:t>Figura 67</w:t>
      </w:r>
      <w:r>
        <w:rPr>
          <w:rFonts w:cs="Mangal"/>
          <w:b/>
          <w:i/>
          <w:iCs/>
          <w:sz w:val="24"/>
          <w:szCs w:val="24"/>
        </w:rPr>
        <w:fldChar w:fldCharType="end"/>
      </w:r>
      <w:r>
        <w:rPr>
          <w:rFonts w:cs="Mangal"/>
          <w:b/>
          <w:i/>
          <w:iCs/>
          <w:sz w:val="24"/>
          <w:szCs w:val="24"/>
        </w:rPr>
        <w:t xml:space="preserve"> </w:t>
      </w:r>
      <w:r>
        <w:rPr>
          <w:bCs/>
          <w:sz w:val="24"/>
          <w:szCs w:val="24"/>
        </w:rPr>
        <w:t>varianta a)</w:t>
      </w:r>
      <w:r>
        <w:rPr>
          <w:b/>
          <w:sz w:val="24"/>
          <w:szCs w:val="24"/>
        </w:rPr>
        <w:t>.</w:t>
      </w:r>
    </w:p>
    <w:p w14:paraId="4EA7F3BA" w14:textId="77777777" w:rsidR="001C08A5" w:rsidRDefault="00000000">
      <w:pPr>
        <w:widowControl w:val="0"/>
        <w:ind w:firstLine="720"/>
        <w:jc w:val="both"/>
        <w:rPr>
          <w:sz w:val="24"/>
          <w:szCs w:val="24"/>
        </w:rPr>
      </w:pPr>
      <w:r>
        <w:rPr>
          <w:b/>
          <w:sz w:val="24"/>
          <w:szCs w:val="24"/>
        </w:rPr>
        <w:t xml:space="preserve">(2) </w:t>
      </w:r>
      <w:r>
        <w:rPr>
          <w:sz w:val="24"/>
          <w:szCs w:val="24"/>
        </w:rPr>
        <w:t xml:space="preserve">Accesul la ascensoarele de intervenție la nivelurile subterane ale clădirilor civile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EI</w:t>
      </w:r>
      <w:r>
        <w:rPr>
          <w:b/>
          <w:bCs/>
          <w:sz w:val="24"/>
          <w:szCs w:val="24"/>
          <w:lang w:val="en-US"/>
        </w:rPr>
        <w:t>12</w:t>
      </w:r>
      <w:r>
        <w:rPr>
          <w:b/>
          <w:bCs/>
          <w:sz w:val="24"/>
          <w:szCs w:val="24"/>
        </w:rPr>
        <w:t xml:space="preserve">0 </w:t>
      </w:r>
      <w:r>
        <w:rPr>
          <w:sz w:val="24"/>
          <w:szCs w:val="24"/>
        </w:rPr>
        <w:t>la ușile ascensoarelor și</w:t>
      </w:r>
      <w:r>
        <w:rPr>
          <w:bCs/>
          <w:sz w:val="24"/>
          <w:szCs w:val="24"/>
        </w:rPr>
        <w:t xml:space="preserve">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 xml:space="preserve">EI/REI </w:t>
      </w:r>
      <w:r>
        <w:rPr>
          <w:b/>
          <w:sz w:val="24"/>
          <w:szCs w:val="24"/>
          <w:lang w:val="en-US"/>
        </w:rPr>
        <w:t>12</w:t>
      </w:r>
      <w:r>
        <w:rPr>
          <w:b/>
          <w:sz w:val="24"/>
          <w:szCs w:val="24"/>
        </w:rPr>
        <w:t xml:space="preserve">0 </w:t>
      </w:r>
      <w:r>
        <w:rPr>
          <w:bCs/>
          <w:sz w:val="24"/>
          <w:szCs w:val="24"/>
        </w:rPr>
        <w:t xml:space="preserve">(conform </w:t>
      </w:r>
      <w:r>
        <w:rPr>
          <w:rFonts w:cs="Mangal"/>
          <w:b/>
          <w:i/>
          <w:iCs/>
          <w:sz w:val="24"/>
          <w:szCs w:val="24"/>
        </w:rPr>
        <w:fldChar w:fldCharType="begin"/>
      </w:r>
      <w:r>
        <w:rPr>
          <w:rFonts w:cs="Mangal"/>
          <w:b/>
          <w:i/>
          <w:iCs/>
          <w:sz w:val="24"/>
          <w:szCs w:val="24"/>
        </w:rPr>
        <w:instrText xml:space="preserve"> REF _Ref20272 \h </w:instrText>
      </w:r>
      <w:r>
        <w:rPr>
          <w:rFonts w:cs="Mangal"/>
          <w:b/>
          <w:i/>
          <w:iCs/>
          <w:sz w:val="24"/>
          <w:szCs w:val="24"/>
        </w:rPr>
      </w:r>
      <w:r>
        <w:rPr>
          <w:rFonts w:cs="Mangal"/>
          <w:b/>
          <w:i/>
          <w:iCs/>
          <w:sz w:val="24"/>
          <w:szCs w:val="24"/>
        </w:rPr>
        <w:fldChar w:fldCharType="separate"/>
      </w:r>
      <w:r>
        <w:t>Figura 67</w:t>
      </w:r>
      <w:r>
        <w:rPr>
          <w:rFonts w:cs="Mangal"/>
          <w:b/>
          <w:i/>
          <w:iCs/>
          <w:sz w:val="24"/>
          <w:szCs w:val="24"/>
        </w:rPr>
        <w:fldChar w:fldCharType="end"/>
      </w:r>
      <w:r>
        <w:rPr>
          <w:bCs/>
          <w:sz w:val="24"/>
          <w:szCs w:val="24"/>
        </w:rPr>
        <w:t xml:space="preserve"> varianta b)</w:t>
      </w:r>
      <w:r>
        <w:rPr>
          <w:b/>
          <w:sz w:val="24"/>
          <w:szCs w:val="24"/>
        </w:rPr>
        <w:t>.</w:t>
      </w:r>
    </w:p>
    <w:p w14:paraId="1C3DF912" w14:textId="77777777" w:rsidR="001C08A5" w:rsidRDefault="001C08A5">
      <w:pPr>
        <w:widowControl w:val="0"/>
        <w:ind w:firstLine="720"/>
        <w:jc w:val="both"/>
        <w:rPr>
          <w:b/>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7"/>
        <w:gridCol w:w="4532"/>
      </w:tblGrid>
      <w:tr w:rsidR="001C08A5" w14:paraId="6F5EA724" w14:textId="77777777">
        <w:tc>
          <w:tcPr>
            <w:tcW w:w="5111" w:type="dxa"/>
          </w:tcPr>
          <w:p w14:paraId="1088DA7E" w14:textId="77777777" w:rsidR="001C08A5" w:rsidRDefault="00000000">
            <w:pPr>
              <w:rPr>
                <w:sz w:val="24"/>
                <w:szCs w:val="24"/>
              </w:rPr>
            </w:pPr>
            <w:r>
              <w:rPr>
                <w:noProof/>
                <w:lang w:eastAsia="ro-RO"/>
              </w:rPr>
              <w:drawing>
                <wp:inline distT="0" distB="0" distL="114300" distR="114300" wp14:anchorId="585C782A" wp14:editId="6E7ABC32">
                  <wp:extent cx="3067050" cy="1946910"/>
                  <wp:effectExtent l="0" t="0" r="0" b="1524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pic:cNvPicPr>
                            <a:picLocks noChangeAspect="1"/>
                          </pic:cNvPicPr>
                        </pic:nvPicPr>
                        <pic:blipFill>
                          <a:blip r:embed="rId193"/>
                          <a:srcRect l="27503" t="9963" r="31861" b="3009"/>
                          <a:stretch>
                            <a:fillRect/>
                          </a:stretch>
                        </pic:blipFill>
                        <pic:spPr>
                          <a:xfrm>
                            <a:off x="0" y="0"/>
                            <a:ext cx="3067050" cy="1946910"/>
                          </a:xfrm>
                          <a:prstGeom prst="rect">
                            <a:avLst/>
                          </a:prstGeom>
                          <a:noFill/>
                          <a:ln>
                            <a:noFill/>
                          </a:ln>
                        </pic:spPr>
                      </pic:pic>
                    </a:graphicData>
                  </a:graphic>
                </wp:inline>
              </w:drawing>
            </w:r>
          </w:p>
        </w:tc>
        <w:tc>
          <w:tcPr>
            <w:tcW w:w="4744" w:type="dxa"/>
          </w:tcPr>
          <w:p w14:paraId="6D32DB07" w14:textId="77777777" w:rsidR="001C08A5" w:rsidRDefault="00000000">
            <w:pPr>
              <w:pStyle w:val="Default"/>
              <w:jc w:val="left"/>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LEGENDĂ:</w:t>
            </w:r>
          </w:p>
          <w:p w14:paraId="530991C7" w14:textId="77777777" w:rsidR="001C08A5" w:rsidRDefault="00000000">
            <w:pPr>
              <w:pStyle w:val="Default"/>
              <w:ind w:firstLine="720"/>
              <w:jc w:val="left"/>
              <w:rPr>
                <w:rFonts w:ascii="Times New Roman" w:hAnsi="Times New Roman" w:cs="Times New Roman"/>
                <w:b/>
                <w:i/>
                <w:iCs/>
                <w:color w:val="auto"/>
                <w:sz w:val="22"/>
                <w:szCs w:val="22"/>
                <w:lang w:val="ro-RO"/>
              </w:rPr>
            </w:pPr>
            <w:r>
              <w:rPr>
                <w:rFonts w:ascii="Times New Roman" w:hAnsi="Times New Roman" w:cs="Times New Roman"/>
                <w:b/>
                <w:bCs/>
                <w:i/>
                <w:iCs/>
                <w:color w:val="auto"/>
                <w:sz w:val="22"/>
                <w:szCs w:val="22"/>
                <w:lang w:val="ro-RO"/>
              </w:rPr>
              <w:t>D</w:t>
            </w:r>
            <w:r>
              <w:rPr>
                <w:rFonts w:ascii="Times New Roman" w:hAnsi="Times New Roman" w:cs="Times New Roman"/>
                <w:i/>
                <w:iCs/>
                <w:color w:val="auto"/>
                <w:sz w:val="22"/>
                <w:szCs w:val="22"/>
                <w:lang w:val="ro-RO"/>
              </w:rPr>
              <w:t xml:space="preserve"> - uși </w:t>
            </w:r>
            <w:r>
              <w:rPr>
                <w:rFonts w:ascii="Times New Roman" w:hAnsi="Times New Roman" w:cs="Times New Roman"/>
                <w:b/>
                <w:i/>
                <w:iCs/>
                <w:color w:val="auto"/>
                <w:sz w:val="22"/>
                <w:szCs w:val="22"/>
              </w:rPr>
              <w:t>EI</w:t>
            </w:r>
            <w:r>
              <w:rPr>
                <w:rFonts w:ascii="Times New Roman" w:hAnsi="Times New Roman" w:cs="Times New Roman"/>
                <w:b/>
                <w:i/>
                <w:iCs/>
                <w:color w:val="auto"/>
                <w:sz w:val="22"/>
                <w:szCs w:val="22"/>
                <w:lang w:val="ro-RO"/>
              </w:rPr>
              <w:t>120</w:t>
            </w:r>
          </w:p>
          <w:p w14:paraId="312A7169" w14:textId="77777777" w:rsidR="001C08A5" w:rsidRDefault="00000000">
            <w:pPr>
              <w:ind w:firstLine="720"/>
              <w:jc w:val="left"/>
              <w:rPr>
                <w:b/>
                <w:bCs/>
                <w:i/>
                <w:iCs/>
                <w:sz w:val="22"/>
                <w:szCs w:val="22"/>
              </w:rPr>
            </w:pPr>
            <w:r>
              <w:rPr>
                <w:b/>
                <w:bCs/>
                <w:i/>
                <w:iCs/>
                <w:sz w:val="22"/>
                <w:szCs w:val="22"/>
              </w:rPr>
              <w:t>F</w:t>
            </w:r>
            <w:r>
              <w:rPr>
                <w:i/>
                <w:iCs/>
                <w:sz w:val="22"/>
                <w:szCs w:val="22"/>
              </w:rPr>
              <w:t xml:space="preserve"> - uși </w:t>
            </w:r>
            <w:r>
              <w:rPr>
                <w:b/>
                <w:i/>
                <w:iCs/>
                <w:sz w:val="22"/>
                <w:szCs w:val="22"/>
              </w:rPr>
              <w:t>EI</w:t>
            </w:r>
            <w:r>
              <w:rPr>
                <w:b/>
                <w:i/>
                <w:iCs/>
                <w:sz w:val="22"/>
                <w:szCs w:val="22"/>
                <w:vertAlign w:val="subscript"/>
              </w:rPr>
              <w:t xml:space="preserve">2 </w:t>
            </w:r>
            <w:r>
              <w:rPr>
                <w:b/>
                <w:i/>
                <w:iCs/>
                <w:sz w:val="22"/>
                <w:szCs w:val="22"/>
              </w:rPr>
              <w:t>30-C5S</w:t>
            </w:r>
            <w:r>
              <w:rPr>
                <w:b/>
                <w:bCs/>
                <w:i/>
                <w:iCs/>
                <w:sz w:val="22"/>
                <w:szCs w:val="22"/>
                <w:vertAlign w:val="subscript"/>
              </w:rPr>
              <w:t>200</w:t>
            </w:r>
          </w:p>
          <w:p w14:paraId="444D951F" w14:textId="77777777" w:rsidR="001C08A5" w:rsidRDefault="00000000">
            <w:pPr>
              <w:rPr>
                <w:sz w:val="24"/>
                <w:szCs w:val="24"/>
              </w:rPr>
            </w:pPr>
            <w:r>
              <w:rPr>
                <w:i/>
                <w:iCs/>
                <w:sz w:val="22"/>
                <w:szCs w:val="22"/>
              </w:rPr>
              <w:t xml:space="preserve">Notă: </w:t>
            </w:r>
            <w:r>
              <w:rPr>
                <w:bCs/>
                <w:i/>
                <w:iCs/>
                <w:sz w:val="22"/>
                <w:szCs w:val="22"/>
              </w:rPr>
              <w:t xml:space="preserve">pereții încăperii tampon ventilată în suprapresiune sunt rezistenți la foc min </w:t>
            </w:r>
            <w:r>
              <w:rPr>
                <w:b/>
                <w:i/>
                <w:iCs/>
                <w:sz w:val="22"/>
                <w:szCs w:val="22"/>
              </w:rPr>
              <w:t xml:space="preserve">EI/REI </w:t>
            </w:r>
            <w:r>
              <w:rPr>
                <w:b/>
                <w:i/>
                <w:iCs/>
                <w:sz w:val="22"/>
                <w:szCs w:val="22"/>
                <w:lang w:val="en-US"/>
              </w:rPr>
              <w:t>12</w:t>
            </w:r>
            <w:r>
              <w:rPr>
                <w:b/>
                <w:i/>
                <w:iCs/>
                <w:sz w:val="22"/>
                <w:szCs w:val="22"/>
              </w:rPr>
              <w:t>0</w:t>
            </w:r>
          </w:p>
        </w:tc>
      </w:tr>
      <w:tr w:rsidR="001C08A5" w14:paraId="16945503" w14:textId="77777777">
        <w:tc>
          <w:tcPr>
            <w:tcW w:w="9855" w:type="dxa"/>
            <w:gridSpan w:val="2"/>
          </w:tcPr>
          <w:p w14:paraId="1D3F0AF7" w14:textId="77777777" w:rsidR="001C08A5" w:rsidRDefault="00000000">
            <w:pPr>
              <w:jc w:val="center"/>
              <w:rPr>
                <w:sz w:val="24"/>
                <w:szCs w:val="24"/>
              </w:rPr>
            </w:pPr>
            <w:r>
              <w:rPr>
                <w:b/>
                <w:bCs/>
                <w:i/>
                <w:iCs/>
                <w:sz w:val="22"/>
                <w:szCs w:val="22"/>
              </w:rPr>
              <w:t>Varianta a) în suprateran</w:t>
            </w:r>
          </w:p>
        </w:tc>
      </w:tr>
      <w:tr w:rsidR="001C08A5" w14:paraId="10CCA5A5" w14:textId="77777777">
        <w:tc>
          <w:tcPr>
            <w:tcW w:w="5111" w:type="dxa"/>
          </w:tcPr>
          <w:p w14:paraId="538E1F2B" w14:textId="77777777" w:rsidR="001C08A5" w:rsidRDefault="00000000">
            <w:r>
              <w:rPr>
                <w:noProof/>
                <w:lang w:eastAsia="ro-RO"/>
              </w:rPr>
              <w:lastRenderedPageBreak/>
              <w:drawing>
                <wp:inline distT="0" distB="0" distL="114300" distR="114300" wp14:anchorId="7592BB4E" wp14:editId="192883F8">
                  <wp:extent cx="3067050" cy="1946910"/>
                  <wp:effectExtent l="0" t="0" r="0" b="1524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193"/>
                          <a:srcRect l="27503" t="9963" r="31861" b="3009"/>
                          <a:stretch>
                            <a:fillRect/>
                          </a:stretch>
                        </pic:blipFill>
                        <pic:spPr>
                          <a:xfrm>
                            <a:off x="0" y="0"/>
                            <a:ext cx="3067050" cy="1946910"/>
                          </a:xfrm>
                          <a:prstGeom prst="rect">
                            <a:avLst/>
                          </a:prstGeom>
                          <a:noFill/>
                          <a:ln>
                            <a:noFill/>
                          </a:ln>
                        </pic:spPr>
                      </pic:pic>
                    </a:graphicData>
                  </a:graphic>
                </wp:inline>
              </w:drawing>
            </w:r>
          </w:p>
        </w:tc>
        <w:tc>
          <w:tcPr>
            <w:tcW w:w="4744" w:type="dxa"/>
          </w:tcPr>
          <w:p w14:paraId="0E4E8E9D" w14:textId="77777777" w:rsidR="001C08A5" w:rsidRDefault="00000000">
            <w:pPr>
              <w:pStyle w:val="Default"/>
              <w:jc w:val="left"/>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LEGENDĂ:</w:t>
            </w:r>
          </w:p>
          <w:p w14:paraId="76C1D647" w14:textId="77777777" w:rsidR="001C08A5" w:rsidRDefault="00000000">
            <w:pPr>
              <w:pStyle w:val="Default"/>
              <w:ind w:firstLine="720"/>
              <w:jc w:val="left"/>
              <w:rPr>
                <w:rFonts w:ascii="Times New Roman" w:hAnsi="Times New Roman" w:cs="Times New Roman"/>
                <w:b/>
                <w:i/>
                <w:iCs/>
                <w:color w:val="auto"/>
                <w:sz w:val="22"/>
                <w:szCs w:val="22"/>
                <w:lang w:val="ro-RO"/>
              </w:rPr>
            </w:pPr>
            <w:r>
              <w:rPr>
                <w:rFonts w:ascii="Times New Roman" w:hAnsi="Times New Roman" w:cs="Times New Roman"/>
                <w:b/>
                <w:bCs/>
                <w:i/>
                <w:iCs/>
                <w:color w:val="auto"/>
                <w:sz w:val="22"/>
                <w:szCs w:val="22"/>
                <w:lang w:val="ro-RO"/>
              </w:rPr>
              <w:t>D</w:t>
            </w:r>
            <w:r>
              <w:rPr>
                <w:rFonts w:ascii="Times New Roman" w:hAnsi="Times New Roman" w:cs="Times New Roman"/>
                <w:i/>
                <w:iCs/>
                <w:color w:val="auto"/>
                <w:sz w:val="22"/>
                <w:szCs w:val="22"/>
                <w:lang w:val="ro-RO"/>
              </w:rPr>
              <w:t xml:space="preserve"> - uși </w:t>
            </w:r>
            <w:r>
              <w:rPr>
                <w:rFonts w:ascii="Times New Roman" w:hAnsi="Times New Roman" w:cs="Times New Roman"/>
                <w:b/>
                <w:i/>
                <w:iCs/>
                <w:color w:val="auto"/>
                <w:sz w:val="22"/>
                <w:szCs w:val="22"/>
              </w:rPr>
              <w:t>EI</w:t>
            </w:r>
            <w:r>
              <w:rPr>
                <w:rFonts w:ascii="Times New Roman" w:hAnsi="Times New Roman" w:cs="Times New Roman"/>
                <w:b/>
                <w:i/>
                <w:iCs/>
                <w:color w:val="auto"/>
                <w:sz w:val="22"/>
                <w:szCs w:val="22"/>
                <w:lang w:val="ro-RO"/>
              </w:rPr>
              <w:t>120</w:t>
            </w:r>
          </w:p>
          <w:p w14:paraId="0546594F" w14:textId="77777777" w:rsidR="001C08A5" w:rsidRDefault="00000000">
            <w:pPr>
              <w:ind w:firstLine="720"/>
              <w:jc w:val="left"/>
              <w:rPr>
                <w:b/>
                <w:bCs/>
                <w:i/>
                <w:iCs/>
                <w:sz w:val="22"/>
                <w:szCs w:val="22"/>
                <w:vertAlign w:val="subscript"/>
              </w:rPr>
            </w:pPr>
            <w:r>
              <w:rPr>
                <w:b/>
                <w:bCs/>
                <w:i/>
                <w:iCs/>
                <w:sz w:val="22"/>
                <w:szCs w:val="22"/>
              </w:rPr>
              <w:t>F</w:t>
            </w:r>
            <w:r>
              <w:rPr>
                <w:i/>
                <w:iCs/>
                <w:sz w:val="22"/>
                <w:szCs w:val="22"/>
              </w:rPr>
              <w:t xml:space="preserve"> - uși </w:t>
            </w:r>
            <w:r>
              <w:rPr>
                <w:b/>
                <w:i/>
                <w:iCs/>
                <w:sz w:val="22"/>
                <w:szCs w:val="22"/>
              </w:rPr>
              <w:t>EI</w:t>
            </w:r>
            <w:r>
              <w:rPr>
                <w:b/>
                <w:i/>
                <w:iCs/>
                <w:sz w:val="22"/>
                <w:szCs w:val="22"/>
                <w:vertAlign w:val="subscript"/>
              </w:rPr>
              <w:t>2</w:t>
            </w:r>
            <w:r>
              <w:rPr>
                <w:b/>
                <w:i/>
                <w:iCs/>
                <w:sz w:val="22"/>
                <w:szCs w:val="22"/>
              </w:rPr>
              <w:t>60 -C5S</w:t>
            </w:r>
            <w:r>
              <w:rPr>
                <w:b/>
                <w:bCs/>
                <w:i/>
                <w:iCs/>
                <w:sz w:val="22"/>
                <w:szCs w:val="22"/>
                <w:vertAlign w:val="subscript"/>
              </w:rPr>
              <w:t>200</w:t>
            </w:r>
          </w:p>
          <w:p w14:paraId="76DCD462" w14:textId="77777777" w:rsidR="001C08A5" w:rsidRDefault="00000000">
            <w:pPr>
              <w:rPr>
                <w:sz w:val="24"/>
                <w:szCs w:val="24"/>
              </w:rPr>
            </w:pPr>
            <w:r>
              <w:rPr>
                <w:i/>
                <w:iCs/>
                <w:sz w:val="22"/>
                <w:szCs w:val="22"/>
              </w:rPr>
              <w:t xml:space="preserve">Notă: </w:t>
            </w:r>
            <w:r>
              <w:rPr>
                <w:bCs/>
                <w:i/>
                <w:iCs/>
                <w:sz w:val="22"/>
                <w:szCs w:val="22"/>
              </w:rPr>
              <w:t xml:space="preserve">pereții încăperii tampon ventilată în suprapresiune sunt rezistenți la foc min </w:t>
            </w:r>
            <w:r>
              <w:rPr>
                <w:b/>
                <w:i/>
                <w:iCs/>
                <w:sz w:val="22"/>
                <w:szCs w:val="22"/>
              </w:rPr>
              <w:t xml:space="preserve">EI/REI </w:t>
            </w:r>
            <w:r>
              <w:rPr>
                <w:b/>
                <w:i/>
                <w:iCs/>
                <w:sz w:val="22"/>
                <w:szCs w:val="22"/>
                <w:lang w:val="en-US"/>
              </w:rPr>
              <w:t>12</w:t>
            </w:r>
            <w:r>
              <w:rPr>
                <w:b/>
                <w:i/>
                <w:iCs/>
                <w:sz w:val="22"/>
                <w:szCs w:val="22"/>
              </w:rPr>
              <w:t>0</w:t>
            </w:r>
          </w:p>
        </w:tc>
      </w:tr>
      <w:tr w:rsidR="001C08A5" w14:paraId="6A086205" w14:textId="77777777">
        <w:tc>
          <w:tcPr>
            <w:tcW w:w="9855" w:type="dxa"/>
            <w:gridSpan w:val="2"/>
          </w:tcPr>
          <w:p w14:paraId="15FB701A" w14:textId="77777777" w:rsidR="001C08A5" w:rsidRDefault="00000000">
            <w:pPr>
              <w:jc w:val="center"/>
              <w:rPr>
                <w:sz w:val="24"/>
                <w:szCs w:val="24"/>
              </w:rPr>
            </w:pPr>
            <w:r>
              <w:rPr>
                <w:b/>
                <w:bCs/>
                <w:i/>
                <w:iCs/>
                <w:sz w:val="22"/>
                <w:szCs w:val="22"/>
              </w:rPr>
              <w:t>Varianta b) în subteran</w:t>
            </w:r>
          </w:p>
        </w:tc>
      </w:tr>
    </w:tbl>
    <w:p w14:paraId="5EA54C15" w14:textId="77777777" w:rsidR="001C08A5" w:rsidRDefault="00000000">
      <w:pPr>
        <w:pStyle w:val="Caption"/>
        <w:widowControl w:val="0"/>
        <w:ind w:firstLine="720"/>
        <w:jc w:val="center"/>
      </w:pPr>
      <w:bookmarkStart w:id="3050" w:name="_Ref20272"/>
      <w:bookmarkStart w:id="3051" w:name="_Toc162360291"/>
      <w:r>
        <w:t xml:space="preserve">Figura </w:t>
      </w:r>
      <w:r>
        <w:fldChar w:fldCharType="begin"/>
      </w:r>
      <w:r>
        <w:instrText xml:space="preserve"> SEQ Figura \* ARABIC </w:instrText>
      </w:r>
      <w:r>
        <w:fldChar w:fldCharType="separate"/>
      </w:r>
      <w:r>
        <w:t>67</w:t>
      </w:r>
      <w:r>
        <w:fldChar w:fldCharType="end"/>
      </w:r>
      <w:bookmarkStart w:id="3052" w:name="_Toc15324"/>
      <w:bookmarkStart w:id="3053" w:name="_Toc30595"/>
      <w:bookmarkStart w:id="3054" w:name="_Toc9606"/>
      <w:bookmarkStart w:id="3055" w:name="_Toc5327"/>
      <w:bookmarkStart w:id="3056" w:name="_Toc19052"/>
      <w:bookmarkStart w:id="3057" w:name="_Toc30379"/>
      <w:bookmarkStart w:id="3058" w:name="_Toc10603"/>
      <w:bookmarkStart w:id="3059" w:name="_Toc17131"/>
      <w:bookmarkStart w:id="3060" w:name="_Toc16805"/>
      <w:bookmarkStart w:id="3061" w:name="_Toc2541"/>
      <w:bookmarkStart w:id="3062" w:name="_Toc19683"/>
      <w:bookmarkEnd w:id="3050"/>
      <w:r>
        <w:t xml:space="preserve"> - </w:t>
      </w:r>
      <w:r>
        <w:rPr>
          <w:bCs/>
        </w:rPr>
        <w:t>Accese la ascensoare de intervenție ale clădirilor (cerințe minimale)</w:t>
      </w:r>
      <w:bookmarkEnd w:id="3051"/>
      <w:bookmarkEnd w:id="3052"/>
      <w:bookmarkEnd w:id="3053"/>
      <w:bookmarkEnd w:id="3054"/>
      <w:bookmarkEnd w:id="3055"/>
      <w:bookmarkEnd w:id="3056"/>
      <w:bookmarkEnd w:id="3057"/>
      <w:bookmarkEnd w:id="3058"/>
      <w:bookmarkEnd w:id="3059"/>
      <w:bookmarkEnd w:id="3060"/>
      <w:bookmarkEnd w:id="3061"/>
      <w:bookmarkEnd w:id="3062"/>
    </w:p>
    <w:p w14:paraId="06649B8C" w14:textId="77777777" w:rsidR="001C08A5" w:rsidRDefault="00000000">
      <w:pPr>
        <w:ind w:firstLine="720"/>
        <w:jc w:val="both"/>
        <w:rPr>
          <w:sz w:val="24"/>
          <w:szCs w:val="24"/>
        </w:rPr>
      </w:pPr>
      <w:r>
        <w:rPr>
          <w:rFonts w:eastAsia="Arial"/>
          <w:b/>
          <w:bCs/>
          <w:sz w:val="24"/>
          <w:szCs w:val="24"/>
        </w:rPr>
        <w:t>(3)</w:t>
      </w:r>
      <w:r>
        <w:rPr>
          <w:rFonts w:eastAsia="Arial"/>
          <w:sz w:val="24"/>
          <w:szCs w:val="24"/>
        </w:rPr>
        <w:t xml:space="preserve"> Dacă </w:t>
      </w:r>
      <w:r>
        <w:rPr>
          <w:sz w:val="24"/>
          <w:szCs w:val="24"/>
        </w:rPr>
        <w:t>ascensoarele de intervenție</w:t>
      </w:r>
      <w:r>
        <w:rPr>
          <w:rFonts w:eastAsia="Arial"/>
          <w:sz w:val="24"/>
          <w:szCs w:val="24"/>
        </w:rPr>
        <w:t xml:space="preserve"> au cabina cu două accese, toate </w:t>
      </w:r>
      <w:r>
        <w:rPr>
          <w:iCs/>
          <w:sz w:val="24"/>
          <w:szCs w:val="24"/>
        </w:rPr>
        <w:t>golurile de acces</w:t>
      </w:r>
      <w:r>
        <w:rPr>
          <w:rFonts w:eastAsia="Arial"/>
          <w:sz w:val="24"/>
          <w:szCs w:val="24"/>
        </w:rPr>
        <w:t xml:space="preserve"> prevăzute trebuie să îndeplinească condițiile de la </w:t>
      </w:r>
      <w:r>
        <w:rPr>
          <w:rFonts w:eastAsia="Arial"/>
          <w:b/>
          <w:bCs/>
          <w:sz w:val="24"/>
          <w:szCs w:val="24"/>
        </w:rPr>
        <w:t xml:space="preserve">alin. (1) </w:t>
      </w:r>
      <w:r>
        <w:rPr>
          <w:rFonts w:eastAsia="Arial"/>
          <w:sz w:val="24"/>
          <w:szCs w:val="24"/>
        </w:rPr>
        <w:t xml:space="preserve">și </w:t>
      </w:r>
      <w:r>
        <w:rPr>
          <w:rFonts w:eastAsia="Arial"/>
          <w:b/>
          <w:bCs/>
          <w:sz w:val="24"/>
          <w:szCs w:val="24"/>
        </w:rPr>
        <w:t>alin. (2)</w:t>
      </w:r>
      <w:r>
        <w:rPr>
          <w:b/>
          <w:sz w:val="24"/>
          <w:szCs w:val="24"/>
        </w:rPr>
        <w:t>.</w:t>
      </w:r>
    </w:p>
    <w:p w14:paraId="5CAFFC23" w14:textId="77777777" w:rsidR="001C08A5" w:rsidRDefault="00000000">
      <w:pPr>
        <w:ind w:firstLine="720"/>
        <w:jc w:val="both"/>
        <w:rPr>
          <w:sz w:val="24"/>
          <w:szCs w:val="24"/>
        </w:rPr>
      </w:pPr>
      <w:r>
        <w:rPr>
          <w:b/>
          <w:sz w:val="24"/>
          <w:szCs w:val="24"/>
        </w:rPr>
        <w:t>(4)</w:t>
      </w:r>
      <w:r>
        <w:rPr>
          <w:sz w:val="24"/>
          <w:szCs w:val="24"/>
        </w:rPr>
        <w:t xml:space="preserve"> La clădirile înalte sau foarte înalte se prevăd conform dispozițiilor specifice.</w:t>
      </w:r>
    </w:p>
    <w:p w14:paraId="66689FFB" w14:textId="77777777" w:rsidR="001C08A5" w:rsidRDefault="00000000">
      <w:pPr>
        <w:autoSpaceDE w:val="0"/>
        <w:jc w:val="both"/>
        <w:rPr>
          <w:b/>
          <w:sz w:val="24"/>
          <w:szCs w:val="24"/>
        </w:rPr>
      </w:pPr>
      <w:r>
        <w:rPr>
          <w:rFonts w:eastAsia="Arial"/>
          <w:b/>
          <w:bCs/>
          <w:sz w:val="24"/>
          <w:szCs w:val="24"/>
        </w:rPr>
        <w:tab/>
        <w:t xml:space="preserve">(5) </w:t>
      </w:r>
      <w:r>
        <w:rPr>
          <w:rFonts w:eastAsia="Arial"/>
          <w:sz w:val="24"/>
          <w:szCs w:val="24"/>
        </w:rPr>
        <w:t xml:space="preserve">Dimensiunile cabinei ascensorului de </w:t>
      </w:r>
      <w:r>
        <w:rPr>
          <w:sz w:val="24"/>
          <w:szCs w:val="24"/>
        </w:rPr>
        <w:t>intervenţie în caz de incendiu</w:t>
      </w:r>
      <w:r>
        <w:rPr>
          <w:rFonts w:eastAsia="Arial"/>
          <w:sz w:val="24"/>
          <w:szCs w:val="24"/>
        </w:rPr>
        <w:t xml:space="preserve"> (de pompieri) trebuie să fie de minimum </w:t>
      </w:r>
      <w:r>
        <w:rPr>
          <w:rFonts w:eastAsia="Arial"/>
          <w:b/>
          <w:bCs/>
          <w:sz w:val="24"/>
          <w:szCs w:val="24"/>
        </w:rPr>
        <w:t xml:space="preserve">1100 mm </w:t>
      </w:r>
      <w:r>
        <w:rPr>
          <w:rFonts w:eastAsia="Arial"/>
          <w:sz w:val="24"/>
          <w:szCs w:val="24"/>
        </w:rPr>
        <w:t xml:space="preserve">lăţime şi </w:t>
      </w:r>
      <w:r>
        <w:rPr>
          <w:rFonts w:eastAsia="Arial"/>
          <w:b/>
          <w:bCs/>
          <w:sz w:val="24"/>
          <w:szCs w:val="24"/>
        </w:rPr>
        <w:t xml:space="preserve">1400 mm </w:t>
      </w:r>
      <w:r>
        <w:rPr>
          <w:rFonts w:eastAsia="Arial"/>
          <w:sz w:val="24"/>
          <w:szCs w:val="24"/>
        </w:rPr>
        <w:t xml:space="preserve">adâncime, cu o sarcină nominală de </w:t>
      </w:r>
      <w:r>
        <w:rPr>
          <w:rFonts w:eastAsia="Arial"/>
          <w:b/>
          <w:bCs/>
          <w:sz w:val="24"/>
          <w:szCs w:val="24"/>
        </w:rPr>
        <w:t>630 kg</w:t>
      </w:r>
      <w:r>
        <w:rPr>
          <w:rFonts w:eastAsia="Arial"/>
          <w:sz w:val="24"/>
          <w:szCs w:val="24"/>
        </w:rPr>
        <w:t xml:space="preserve">, ; lăţimea minimă a pasajului liber al uşii de cabină trebuie să fie de </w:t>
      </w:r>
      <w:r>
        <w:rPr>
          <w:rFonts w:eastAsia="Arial"/>
          <w:b/>
          <w:bCs/>
          <w:sz w:val="24"/>
          <w:szCs w:val="24"/>
        </w:rPr>
        <w:t>800 mm</w:t>
      </w:r>
      <w:r>
        <w:rPr>
          <w:rFonts w:eastAsia="Arial"/>
          <w:sz w:val="24"/>
          <w:szCs w:val="24"/>
        </w:rPr>
        <w:t>. Dacă ascensorul de pompieri este destinat a fi utilizat pentru evacuare, pentru a transporta tărgi sau paturi sau este un ascensor care are o cabină cu două accese, soluție care de regulă nu este recomandat</w:t>
      </w:r>
      <w:r>
        <w:rPr>
          <w:rFonts w:eastAsia="Arial"/>
          <w:b/>
          <w:bCs/>
          <w:sz w:val="24"/>
          <w:szCs w:val="24"/>
        </w:rPr>
        <w:t>ă</w:t>
      </w:r>
      <w:r>
        <w:rPr>
          <w:rFonts w:eastAsia="Arial"/>
          <w:sz w:val="24"/>
          <w:szCs w:val="24"/>
        </w:rPr>
        <w:t xml:space="preserve">, atunci sarcina nominală minimă trebuie să fie de </w:t>
      </w:r>
      <w:r>
        <w:rPr>
          <w:rFonts w:eastAsia="Arial"/>
          <w:b/>
          <w:bCs/>
          <w:sz w:val="24"/>
          <w:szCs w:val="24"/>
        </w:rPr>
        <w:t>1000 kg</w:t>
      </w:r>
      <w:r>
        <w:rPr>
          <w:rFonts w:eastAsia="Arial"/>
          <w:sz w:val="24"/>
          <w:szCs w:val="24"/>
        </w:rPr>
        <w:t xml:space="preserve"> și dimensiunile cabinei de </w:t>
      </w:r>
      <w:r>
        <w:rPr>
          <w:rFonts w:eastAsia="Arial"/>
          <w:b/>
          <w:bCs/>
          <w:sz w:val="24"/>
          <w:szCs w:val="24"/>
        </w:rPr>
        <w:t>1100 mm</w:t>
      </w:r>
      <w:r>
        <w:rPr>
          <w:rFonts w:eastAsia="Arial"/>
          <w:sz w:val="24"/>
          <w:szCs w:val="24"/>
        </w:rPr>
        <w:t xml:space="preserve"> lăţime și </w:t>
      </w:r>
      <w:r>
        <w:rPr>
          <w:rFonts w:eastAsia="Arial"/>
          <w:b/>
          <w:bCs/>
          <w:sz w:val="24"/>
          <w:szCs w:val="24"/>
        </w:rPr>
        <w:t>2100 mm</w:t>
      </w:r>
      <w:r>
        <w:rPr>
          <w:rFonts w:eastAsia="Arial"/>
          <w:sz w:val="24"/>
          <w:szCs w:val="24"/>
        </w:rPr>
        <w:t xml:space="preserve"> adâncime.</w:t>
      </w:r>
    </w:p>
    <w:p w14:paraId="56CE5525" w14:textId="77777777" w:rsidR="001C08A5" w:rsidRDefault="00000000">
      <w:pPr>
        <w:ind w:firstLine="720"/>
        <w:jc w:val="both"/>
        <w:rPr>
          <w:b/>
          <w:sz w:val="24"/>
          <w:szCs w:val="24"/>
        </w:rPr>
      </w:pPr>
      <w:r>
        <w:rPr>
          <w:b/>
          <w:sz w:val="24"/>
          <w:szCs w:val="24"/>
        </w:rPr>
        <w:t xml:space="preserve">(6) </w:t>
      </w:r>
      <w:r>
        <w:rPr>
          <w:sz w:val="24"/>
          <w:szCs w:val="24"/>
        </w:rPr>
        <w:t xml:space="preserve">Ascensoarele de intervenţie vor fi aduse automat la parter în caz de incendiu şi vor avea asigurat apel prioritar pentru pompieri. </w:t>
      </w:r>
    </w:p>
    <w:p w14:paraId="44A55B09" w14:textId="77777777" w:rsidR="001C08A5" w:rsidRDefault="00000000">
      <w:pPr>
        <w:autoSpaceDE w:val="0"/>
        <w:ind w:firstLine="680"/>
        <w:jc w:val="both"/>
        <w:rPr>
          <w:bCs/>
          <w:sz w:val="24"/>
          <w:szCs w:val="24"/>
          <w:shd w:val="clear" w:color="auto" w:fill="FFFF00"/>
        </w:rPr>
      </w:pPr>
      <w:r>
        <w:rPr>
          <w:b/>
          <w:sz w:val="24"/>
          <w:szCs w:val="24"/>
        </w:rPr>
        <w:tab/>
        <w:t xml:space="preserve">(7) </w:t>
      </w:r>
      <w:r>
        <w:rPr>
          <w:rFonts w:eastAsia="Arial"/>
          <w:bCs/>
          <w:sz w:val="24"/>
          <w:szCs w:val="24"/>
        </w:rPr>
        <w:t>Ascensoarele panoramice nu pot fi utilizate ca ascensoare de intervenţie în caz de incendiu (de pompieri).</w:t>
      </w:r>
    </w:p>
    <w:p w14:paraId="16A24602" w14:textId="77777777" w:rsidR="001C08A5" w:rsidRDefault="00000000">
      <w:pPr>
        <w:ind w:firstLine="720"/>
        <w:jc w:val="both"/>
        <w:rPr>
          <w:sz w:val="24"/>
          <w:szCs w:val="24"/>
        </w:rPr>
      </w:pPr>
      <w:r>
        <w:rPr>
          <w:b/>
          <w:sz w:val="24"/>
          <w:szCs w:val="24"/>
        </w:rPr>
        <w:t xml:space="preserve">(8) </w:t>
      </w:r>
      <w:r>
        <w:rPr>
          <w:sz w:val="24"/>
          <w:szCs w:val="24"/>
        </w:rPr>
        <w:t>Ascensoarele pentru  intervenţie în caz de incendiu (de pompieri) sunt alimentate cu energie electrică din două surse independente.</w:t>
      </w:r>
    </w:p>
    <w:p w14:paraId="6A64771E" w14:textId="77777777" w:rsidR="001C08A5" w:rsidRDefault="00000000">
      <w:pPr>
        <w:ind w:firstLine="720"/>
        <w:jc w:val="both"/>
        <w:rPr>
          <w:sz w:val="24"/>
          <w:szCs w:val="24"/>
        </w:rPr>
      </w:pPr>
      <w:r>
        <w:rPr>
          <w:b/>
          <w:sz w:val="24"/>
          <w:szCs w:val="24"/>
        </w:rPr>
        <w:t xml:space="preserve">(9) </w:t>
      </w:r>
      <w:r>
        <w:rPr>
          <w:rFonts w:eastAsia="Arial"/>
          <w:sz w:val="24"/>
          <w:szCs w:val="24"/>
        </w:rPr>
        <w:t xml:space="preserve">Ascensorul de </w:t>
      </w:r>
      <w:r>
        <w:rPr>
          <w:sz w:val="24"/>
          <w:szCs w:val="24"/>
        </w:rPr>
        <w:t>intervenţie în caz de incendiu trebuie să fie poziționat în cadrul construcțiilor astfel încât să fie prevazut cu acces spre exterior direct din afară sau prin spații ferite de fum cu lungimea maximă echivalentă cu cea a dimensiunilor de coridor înfundat din tipul sau destinațiile construcțiilor în care se află. Aceeași regulă se aplică în cazul prevederii mai multor ascensoare de intervenție într-o construcție.</w:t>
      </w:r>
    </w:p>
    <w:p w14:paraId="2B3AA32D" w14:textId="77777777" w:rsidR="001C08A5" w:rsidRDefault="00000000">
      <w:pPr>
        <w:ind w:firstLine="720"/>
        <w:jc w:val="both"/>
        <w:rPr>
          <w:sz w:val="24"/>
          <w:szCs w:val="24"/>
        </w:rPr>
      </w:pPr>
      <w:r>
        <w:rPr>
          <w:b/>
          <w:bCs/>
          <w:sz w:val="24"/>
          <w:szCs w:val="24"/>
        </w:rPr>
        <w:t xml:space="preserve">(10) </w:t>
      </w:r>
      <w:r>
        <w:rPr>
          <w:sz w:val="24"/>
          <w:szCs w:val="24"/>
        </w:rPr>
        <w:t>Ascensoarele pentru intervenţie în caz de incendiu (de pompieri) vor asigura accesul pompierilor la toate nivelurile clădirii, cu excepția parcajelor subterane cu mai mult de</w:t>
      </w:r>
      <w:r>
        <w:rPr>
          <w:b/>
          <w:bCs/>
          <w:sz w:val="24"/>
          <w:szCs w:val="24"/>
        </w:rPr>
        <w:t xml:space="preserve"> 4</w:t>
      </w:r>
      <w:r>
        <w:rPr>
          <w:sz w:val="24"/>
          <w:szCs w:val="24"/>
        </w:rPr>
        <w:t xml:space="preserve"> niveluri subterane înglobate în clădiri înalte sau foarte înalte, la care ascensoarele pentru intervenţie în caz de incendiu (de pompieri) aferente parcajului se separă de ascensoarele pentru intervenţie în caz de incendiu (de pompieri) ale nivelurilor supraterane.</w:t>
      </w:r>
    </w:p>
    <w:p w14:paraId="0392B0B2" w14:textId="77777777" w:rsidR="001C08A5" w:rsidRDefault="00000000">
      <w:pPr>
        <w:ind w:firstLine="720"/>
        <w:jc w:val="both"/>
        <w:rPr>
          <w:sz w:val="24"/>
          <w:szCs w:val="24"/>
        </w:rPr>
      </w:pPr>
      <w:r>
        <w:rPr>
          <w:b/>
          <w:bCs/>
          <w:sz w:val="24"/>
          <w:szCs w:val="24"/>
        </w:rPr>
        <w:t>(11)</w:t>
      </w:r>
      <w:r>
        <w:rPr>
          <w:sz w:val="24"/>
          <w:szCs w:val="24"/>
        </w:rPr>
        <w:t xml:space="preserve"> În cazul defectării sau opririi, ascensoarele de intervenție din clădirile supraterane înalte și foarte înalte precum și din clădirile unde acestea se mai prevăd, trebuie sa fie echipate cu un acces prin care pompierii blocați să se poata salva singuri sau cu ajutorul altora (de exemplu trapa de salvare care trebuie prevăzută în acoperișul cabinei să fie echipată cu scară portabilă). În caz de incendiu toate cabinele trebuie să fie aduse automat la parter și să ramană oprite până la anularea comenzii de incendiu din clădire. Fac excepție ascensoarele pentru intervenție precum și cele pentru evacauare persoane cu dizabilități care vor funcționa în timpul incendiului, prin alimentare de rezervă. </w:t>
      </w:r>
    </w:p>
    <w:p w14:paraId="2D914ABF" w14:textId="77777777" w:rsidR="001C08A5" w:rsidRDefault="00000000">
      <w:pPr>
        <w:ind w:firstLine="720"/>
        <w:jc w:val="both"/>
        <w:rPr>
          <w:sz w:val="24"/>
          <w:szCs w:val="24"/>
        </w:rPr>
      </w:pPr>
      <w:r>
        <w:rPr>
          <w:b/>
          <w:sz w:val="24"/>
          <w:szCs w:val="24"/>
        </w:rPr>
        <w:t xml:space="preserve">(12) </w:t>
      </w:r>
      <w:r>
        <w:rPr>
          <w:bCs/>
          <w:sz w:val="24"/>
          <w:szCs w:val="24"/>
        </w:rPr>
        <w:t xml:space="preserve">Atunci când golurile de </w:t>
      </w:r>
      <w:r>
        <w:rPr>
          <w:sz w:val="24"/>
          <w:szCs w:val="24"/>
        </w:rPr>
        <w:t xml:space="preserve">acces la </w:t>
      </w:r>
      <w:r>
        <w:rPr>
          <w:iCs/>
          <w:sz w:val="24"/>
          <w:szCs w:val="24"/>
        </w:rPr>
        <w:t xml:space="preserve">ascensoarele prevăzute pentru circulația funcțională a persoanelor și la </w:t>
      </w:r>
      <w:r>
        <w:rPr>
          <w:sz w:val="24"/>
          <w:szCs w:val="24"/>
        </w:rPr>
        <w:t xml:space="preserve">ascensoarele pentru intervenţie în caz de incendiu (de pompieri) debușează într-o încăpere tampon ventilată în suprapresiune comună, ușile de la toate ascensoarele vor fi minimum </w:t>
      </w:r>
      <w:r>
        <w:rPr>
          <w:b/>
          <w:bCs/>
          <w:sz w:val="24"/>
          <w:szCs w:val="24"/>
        </w:rPr>
        <w:t>EI120</w:t>
      </w:r>
      <w:r>
        <w:rPr>
          <w:sz w:val="24"/>
          <w:szCs w:val="24"/>
        </w:rPr>
        <w:t xml:space="preserve">iar la încăperea tampon ventilată în suprapresiune vor fi prevăzute uşi rezistente la foc și etanșe la fum minimum </w:t>
      </w:r>
      <w:r>
        <w:rPr>
          <w:b/>
          <w:sz w:val="24"/>
          <w:szCs w:val="24"/>
        </w:rPr>
        <w:t>EI</w:t>
      </w:r>
      <w:r>
        <w:rPr>
          <w:b/>
          <w:sz w:val="24"/>
          <w:szCs w:val="24"/>
          <w:vertAlign w:val="subscript"/>
        </w:rPr>
        <w:t>2</w:t>
      </w:r>
      <w:r>
        <w:rPr>
          <w:b/>
          <w:sz w:val="24"/>
          <w:szCs w:val="24"/>
        </w:rPr>
        <w:t>30-C5S</w:t>
      </w:r>
      <w:r>
        <w:rPr>
          <w:b/>
          <w:bCs/>
          <w:sz w:val="24"/>
          <w:szCs w:val="24"/>
          <w:vertAlign w:val="subscript"/>
        </w:rPr>
        <w:t xml:space="preserve">200 </w:t>
      </w:r>
      <w:r>
        <w:rPr>
          <w:sz w:val="24"/>
          <w:szCs w:val="24"/>
        </w:rPr>
        <w:t xml:space="preserve">în suprateran și minimum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120</w:t>
      </w:r>
      <w:r>
        <w:rPr>
          <w:sz w:val="24"/>
          <w:szCs w:val="24"/>
        </w:rPr>
        <w:t>.</w:t>
      </w:r>
    </w:p>
    <w:p w14:paraId="39ED5010" w14:textId="77777777" w:rsidR="001C08A5" w:rsidRDefault="00000000">
      <w:pPr>
        <w:ind w:firstLine="720"/>
        <w:jc w:val="both"/>
        <w:rPr>
          <w:sz w:val="24"/>
          <w:szCs w:val="24"/>
        </w:rPr>
      </w:pPr>
      <w:r>
        <w:rPr>
          <w:b/>
          <w:sz w:val="24"/>
          <w:szCs w:val="24"/>
        </w:rPr>
        <w:lastRenderedPageBreak/>
        <w:t xml:space="preserve">(13) </w:t>
      </w:r>
      <w:r>
        <w:rPr>
          <w:bCs/>
          <w:sz w:val="24"/>
          <w:szCs w:val="24"/>
        </w:rPr>
        <w:t xml:space="preserve">Atunci când golurile de </w:t>
      </w:r>
      <w:r>
        <w:rPr>
          <w:sz w:val="24"/>
          <w:szCs w:val="24"/>
        </w:rPr>
        <w:t xml:space="preserve">acces la </w:t>
      </w:r>
      <w:r>
        <w:rPr>
          <w:iCs/>
          <w:sz w:val="24"/>
          <w:szCs w:val="24"/>
        </w:rPr>
        <w:t xml:space="preserve">ascensoarele prevăzute pentru circulația funcțională a persoanelor, la </w:t>
      </w:r>
      <w:r>
        <w:rPr>
          <w:sz w:val="24"/>
          <w:szCs w:val="24"/>
        </w:rPr>
        <w:t xml:space="preserve">scările de evacuare a persoanelor și la ascensoarele prevăzute pentru intervenţie în caz de incendiu (de pompieri) debușează într-o încăpere tampon ventilată în suprapresiune comună, ușile de la ascensoare vor fi minimum </w:t>
      </w:r>
      <w:r>
        <w:rPr>
          <w:b/>
          <w:bCs/>
          <w:sz w:val="24"/>
          <w:szCs w:val="24"/>
        </w:rPr>
        <w:t xml:space="preserve">EI120 </w:t>
      </w:r>
      <w:r>
        <w:rPr>
          <w:sz w:val="24"/>
          <w:szCs w:val="24"/>
        </w:rPr>
        <w:t xml:space="preserve">și ușa de la casa scării va fi minimum </w:t>
      </w:r>
      <w:r>
        <w:rPr>
          <w:b/>
          <w:sz w:val="24"/>
          <w:szCs w:val="24"/>
        </w:rPr>
        <w:t>EI</w:t>
      </w:r>
      <w:r>
        <w:rPr>
          <w:b/>
          <w:sz w:val="24"/>
          <w:szCs w:val="24"/>
          <w:vertAlign w:val="subscript"/>
        </w:rPr>
        <w:t>2</w:t>
      </w:r>
      <w:r>
        <w:rPr>
          <w:b/>
          <w:sz w:val="24"/>
          <w:szCs w:val="24"/>
        </w:rPr>
        <w:t>120-C5S</w:t>
      </w:r>
      <w:r>
        <w:rPr>
          <w:b/>
          <w:bCs/>
          <w:sz w:val="24"/>
          <w:szCs w:val="24"/>
          <w:vertAlign w:val="subscript"/>
        </w:rPr>
        <w:t xml:space="preserve">200 </w:t>
      </w:r>
      <w:r>
        <w:rPr>
          <w:sz w:val="24"/>
          <w:szCs w:val="24"/>
        </w:rPr>
        <w:t xml:space="preserve">iar la încăperea tampon ventilată în suprapresiune vor fi prevăzute uşi rezistente la foc și etanșe la fum minimum </w:t>
      </w:r>
      <w:r>
        <w:rPr>
          <w:b/>
          <w:sz w:val="24"/>
          <w:szCs w:val="24"/>
        </w:rPr>
        <w:t>EI</w:t>
      </w:r>
      <w:r>
        <w:rPr>
          <w:b/>
          <w:sz w:val="24"/>
          <w:szCs w:val="24"/>
          <w:vertAlign w:val="subscript"/>
        </w:rPr>
        <w:t>2</w:t>
      </w:r>
      <w:r>
        <w:rPr>
          <w:b/>
          <w:sz w:val="24"/>
          <w:szCs w:val="24"/>
        </w:rPr>
        <w:t>30-C5S</w:t>
      </w:r>
      <w:r>
        <w:rPr>
          <w:b/>
          <w:bCs/>
          <w:sz w:val="24"/>
          <w:szCs w:val="24"/>
          <w:vertAlign w:val="subscript"/>
        </w:rPr>
        <w:t>200</w:t>
      </w:r>
      <w:r>
        <w:rPr>
          <w:sz w:val="24"/>
          <w:szCs w:val="24"/>
        </w:rPr>
        <w:t xml:space="preserve">în suprateran și minimum </w:t>
      </w:r>
      <w:r>
        <w:rPr>
          <w:b/>
          <w:sz w:val="24"/>
          <w:szCs w:val="24"/>
        </w:rPr>
        <w:t>EI</w:t>
      </w:r>
      <w:r>
        <w:rPr>
          <w:b/>
          <w:sz w:val="24"/>
          <w:szCs w:val="24"/>
          <w:vertAlign w:val="subscript"/>
        </w:rPr>
        <w:t>2</w:t>
      </w:r>
      <w:r>
        <w:rPr>
          <w:b/>
          <w:sz w:val="24"/>
          <w:szCs w:val="24"/>
        </w:rPr>
        <w:t>60-C5S</w:t>
      </w:r>
      <w:r>
        <w:rPr>
          <w:b/>
          <w:bCs/>
          <w:sz w:val="24"/>
          <w:szCs w:val="24"/>
          <w:vertAlign w:val="subscript"/>
        </w:rPr>
        <w:t>200</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120</w:t>
      </w:r>
      <w:r>
        <w:rPr>
          <w:sz w:val="24"/>
          <w:szCs w:val="24"/>
        </w:rPr>
        <w:t>.</w:t>
      </w:r>
    </w:p>
    <w:p w14:paraId="60254503" w14:textId="77777777" w:rsidR="001C08A5" w:rsidRDefault="00000000">
      <w:pPr>
        <w:numPr>
          <w:ilvl w:val="255"/>
          <w:numId w:val="0"/>
        </w:numPr>
        <w:ind w:firstLine="720"/>
        <w:jc w:val="both"/>
        <w:rPr>
          <w:sz w:val="24"/>
          <w:szCs w:val="24"/>
        </w:rPr>
      </w:pPr>
      <w:r>
        <w:rPr>
          <w:b/>
          <w:sz w:val="24"/>
          <w:szCs w:val="24"/>
        </w:rPr>
        <w:t xml:space="preserve">(14) </w:t>
      </w:r>
      <w:r>
        <w:rPr>
          <w:bCs/>
          <w:sz w:val="24"/>
          <w:szCs w:val="24"/>
        </w:rPr>
        <w:t xml:space="preserve">Atunci când golurile de </w:t>
      </w:r>
      <w:r>
        <w:rPr>
          <w:sz w:val="24"/>
          <w:szCs w:val="24"/>
        </w:rPr>
        <w:t xml:space="preserve">acces la scările de evacuare a persoanelor, la ascensoarele prevăzute pentru intervenţie în caz de incendiu (de pompieri) precum și la alte tipuri de ascensoare  debușează într-o încăpere tampon ventilată în suprapresiune comună, ușile de la toate ascensoarele vor fi minimum </w:t>
      </w:r>
      <w:r>
        <w:rPr>
          <w:b/>
          <w:bCs/>
          <w:sz w:val="24"/>
          <w:szCs w:val="24"/>
        </w:rPr>
        <w:t xml:space="preserve">EI120 </w:t>
      </w:r>
      <w:r>
        <w:rPr>
          <w:sz w:val="24"/>
          <w:szCs w:val="24"/>
        </w:rPr>
        <w:t xml:space="preserve">și ușa de la casa scării va fi minimum </w:t>
      </w:r>
      <w:r>
        <w:rPr>
          <w:b/>
          <w:sz w:val="24"/>
          <w:szCs w:val="24"/>
        </w:rPr>
        <w:t>EI</w:t>
      </w:r>
      <w:r>
        <w:rPr>
          <w:b/>
          <w:sz w:val="24"/>
          <w:szCs w:val="24"/>
          <w:vertAlign w:val="subscript"/>
        </w:rPr>
        <w:t>2</w:t>
      </w:r>
      <w:r>
        <w:rPr>
          <w:b/>
          <w:sz w:val="24"/>
          <w:szCs w:val="24"/>
        </w:rPr>
        <w:t>120-C5S</w:t>
      </w:r>
      <w:r>
        <w:rPr>
          <w:b/>
          <w:bCs/>
          <w:sz w:val="24"/>
          <w:szCs w:val="24"/>
          <w:vertAlign w:val="subscript"/>
        </w:rPr>
        <w:t xml:space="preserve">200 </w:t>
      </w:r>
      <w:r>
        <w:rPr>
          <w:sz w:val="24"/>
          <w:szCs w:val="24"/>
        </w:rPr>
        <w:t xml:space="preserve">iar la încăperea tampon ventilată în suprapresiune vor fi prevăzute uşi rezistente la foc și etanșe la fum minimum </w:t>
      </w:r>
      <w:r>
        <w:rPr>
          <w:b/>
          <w:sz w:val="24"/>
          <w:szCs w:val="24"/>
        </w:rPr>
        <w:t>EI</w:t>
      </w:r>
      <w:r>
        <w:rPr>
          <w:b/>
          <w:sz w:val="24"/>
          <w:szCs w:val="24"/>
          <w:vertAlign w:val="subscript"/>
        </w:rPr>
        <w:t>2</w:t>
      </w:r>
      <w:r>
        <w:rPr>
          <w:b/>
          <w:sz w:val="24"/>
          <w:szCs w:val="24"/>
        </w:rPr>
        <w:t>30-C5S</w:t>
      </w:r>
      <w:r>
        <w:rPr>
          <w:b/>
          <w:bCs/>
          <w:sz w:val="24"/>
          <w:szCs w:val="24"/>
          <w:vertAlign w:val="subscript"/>
        </w:rPr>
        <w:t>200</w:t>
      </w:r>
      <w:r>
        <w:rPr>
          <w:sz w:val="24"/>
          <w:szCs w:val="24"/>
        </w:rPr>
        <w:t xml:space="preserve">în suprateran și minimum </w:t>
      </w:r>
      <w:r>
        <w:rPr>
          <w:b/>
          <w:sz w:val="24"/>
          <w:szCs w:val="24"/>
        </w:rPr>
        <w:t>EI</w:t>
      </w:r>
      <w:r>
        <w:rPr>
          <w:b/>
          <w:sz w:val="24"/>
          <w:szCs w:val="24"/>
          <w:vertAlign w:val="subscript"/>
        </w:rPr>
        <w:t>2</w:t>
      </w:r>
      <w:r>
        <w:rPr>
          <w:b/>
          <w:sz w:val="24"/>
          <w:szCs w:val="24"/>
        </w:rPr>
        <w:t>60-C5S</w:t>
      </w:r>
      <w:r>
        <w:rPr>
          <w:b/>
          <w:bCs/>
          <w:sz w:val="24"/>
          <w:szCs w:val="24"/>
          <w:vertAlign w:val="subscript"/>
        </w:rPr>
        <w:t>200</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120</w:t>
      </w:r>
      <w:r>
        <w:rPr>
          <w:sz w:val="24"/>
          <w:szCs w:val="24"/>
        </w:rPr>
        <w:t>.</w:t>
      </w:r>
    </w:p>
    <w:p w14:paraId="10D55DB5" w14:textId="77777777" w:rsidR="001C08A5" w:rsidRDefault="00000000">
      <w:pPr>
        <w:numPr>
          <w:ilvl w:val="255"/>
          <w:numId w:val="0"/>
        </w:numPr>
        <w:ind w:firstLine="720"/>
        <w:jc w:val="both"/>
        <w:rPr>
          <w:sz w:val="24"/>
          <w:szCs w:val="24"/>
        </w:rPr>
      </w:pPr>
      <w:r>
        <w:rPr>
          <w:b/>
          <w:sz w:val="24"/>
          <w:szCs w:val="24"/>
        </w:rPr>
        <w:t xml:space="preserve">(15) </w:t>
      </w:r>
      <w:r>
        <w:rPr>
          <w:sz w:val="24"/>
          <w:szCs w:val="24"/>
        </w:rPr>
        <w:t>La clădirile înalte sau foarte înalte se prevăd conform dispozițiilor specifice.</w:t>
      </w:r>
    </w:p>
    <w:p w14:paraId="6478A585" w14:textId="77777777" w:rsidR="001C08A5" w:rsidRDefault="001C08A5">
      <w:pPr>
        <w:jc w:val="both"/>
        <w:rPr>
          <w:b/>
          <w:sz w:val="24"/>
          <w:szCs w:val="24"/>
        </w:rPr>
      </w:pPr>
    </w:p>
    <w:p w14:paraId="0372C513" w14:textId="77777777" w:rsidR="001C08A5" w:rsidRDefault="00000000">
      <w:pPr>
        <w:jc w:val="both"/>
        <w:rPr>
          <w:sz w:val="24"/>
          <w:szCs w:val="24"/>
        </w:rPr>
      </w:pPr>
      <w:r>
        <w:rPr>
          <w:b/>
          <w:sz w:val="24"/>
          <w:szCs w:val="24"/>
        </w:rPr>
        <w:tab/>
        <w:t xml:space="preserve">Art. </w:t>
      </w:r>
      <w:r>
        <w:rPr>
          <w:b/>
          <w:caps/>
          <w:sz w:val="24"/>
          <w:szCs w:val="24"/>
        </w:rPr>
        <w:t>3.1.4.</w:t>
      </w:r>
      <w:r>
        <w:rPr>
          <w:b/>
          <w:sz w:val="24"/>
          <w:szCs w:val="24"/>
        </w:rPr>
        <w:t xml:space="preserve">9. </w:t>
      </w:r>
      <w:r>
        <w:rPr>
          <w:sz w:val="24"/>
          <w:szCs w:val="24"/>
        </w:rPr>
        <w:t xml:space="preserve">Plafoanele autoportante sau suspendate, pardoselile supraînălţate, finisajele,  tratamentele termice și fonice, panourile de tâmplărie, uşile, ferestrele, pereţii cortină, faţadele ventilate şi faţadele duble - „double skin”, acoperişurile, galeriile, canalele, estacadele, ghenele pentru instalaţii, coşurile, încăperile și spaţiile destinate instalaţiilor utilitare aferente construcţiilor, camerele de pubele, compactoarele şi crematoriile pentru deşeuri, încăperile de depozitare, panourile publicitare </w:t>
      </w:r>
      <w:r>
        <w:rPr>
          <w:iCs/>
          <w:sz w:val="24"/>
          <w:szCs w:val="24"/>
        </w:rPr>
        <w:t xml:space="preserve">amplasate pe faţadele clădirilor, </w:t>
      </w:r>
      <w:r>
        <w:rPr>
          <w:sz w:val="24"/>
          <w:szCs w:val="24"/>
        </w:rPr>
        <w:t>instalaţiile și echipamentele specifice energiei regenerabile, precum și alte materiale, produse sau elemente de construcţie utilizate la clădiri civile, se realizeaza conform prevederilor privind performanțele comune și  specifice destinaţiei și tipului clădirilor civile.</w:t>
      </w:r>
    </w:p>
    <w:p w14:paraId="64FF10A3" w14:textId="77777777" w:rsidR="001C08A5" w:rsidRDefault="001C08A5">
      <w:pPr>
        <w:jc w:val="both"/>
        <w:rPr>
          <w:b/>
          <w:sz w:val="24"/>
          <w:szCs w:val="24"/>
        </w:rPr>
      </w:pPr>
    </w:p>
    <w:p w14:paraId="282E39E6" w14:textId="77777777" w:rsidR="001C08A5" w:rsidRDefault="00000000">
      <w:pPr>
        <w:jc w:val="both"/>
        <w:rPr>
          <w:sz w:val="24"/>
          <w:szCs w:val="24"/>
        </w:rPr>
      </w:pPr>
      <w:r>
        <w:rPr>
          <w:b/>
          <w:sz w:val="24"/>
          <w:szCs w:val="24"/>
        </w:rPr>
        <w:tab/>
        <w:t xml:space="preserve">Art. </w:t>
      </w:r>
      <w:r>
        <w:rPr>
          <w:b/>
          <w:caps/>
          <w:sz w:val="24"/>
          <w:szCs w:val="24"/>
        </w:rPr>
        <w:t>3.1.4.</w:t>
      </w:r>
      <w:r>
        <w:rPr>
          <w:b/>
          <w:sz w:val="24"/>
          <w:szCs w:val="24"/>
        </w:rPr>
        <w:t xml:space="preserve">10. </w:t>
      </w:r>
      <w:r>
        <w:rPr>
          <w:sz w:val="24"/>
          <w:szCs w:val="24"/>
        </w:rPr>
        <w:t>Finisajele, pe căile comune de circulaţie funcţională şi de evacuare a utilizatorilor construcţiilor cu înălţime obișnuită, se realizează potrivit prevederilor privind performanțele comune construcțiilor cu orice destinație.</w:t>
      </w:r>
    </w:p>
    <w:p w14:paraId="106FE9A0" w14:textId="77777777" w:rsidR="001C08A5" w:rsidRDefault="001C08A5">
      <w:pPr>
        <w:jc w:val="both"/>
        <w:rPr>
          <w:b/>
          <w:sz w:val="24"/>
          <w:szCs w:val="24"/>
        </w:rPr>
      </w:pPr>
    </w:p>
    <w:p w14:paraId="30625407" w14:textId="77777777" w:rsidR="001C08A5" w:rsidRDefault="00000000">
      <w:pPr>
        <w:jc w:val="both"/>
        <w:rPr>
          <w:sz w:val="24"/>
          <w:szCs w:val="24"/>
        </w:rPr>
      </w:pPr>
      <w:r>
        <w:rPr>
          <w:b/>
          <w:sz w:val="24"/>
          <w:szCs w:val="24"/>
        </w:rPr>
        <w:tab/>
        <w:t xml:space="preserve">Art. </w:t>
      </w:r>
      <w:r>
        <w:rPr>
          <w:b/>
          <w:caps/>
          <w:sz w:val="24"/>
          <w:szCs w:val="24"/>
        </w:rPr>
        <w:t>3.1.4.</w:t>
      </w:r>
      <w:r>
        <w:rPr>
          <w:b/>
          <w:sz w:val="24"/>
          <w:szCs w:val="24"/>
        </w:rPr>
        <w:t xml:space="preserve">11. (1) </w:t>
      </w:r>
      <w:r>
        <w:rPr>
          <w:sz w:val="24"/>
          <w:szCs w:val="24"/>
        </w:rPr>
        <w:t>Clasele de performanţă privind reacţia la foc a produselor folosite pentru finisarea interioară a caselor de scări închise şi a căilor de circulaţie funcţională şi de evacuare orizontale (coridoare şi holuri) din clădirile supraterane cu înălţimi obişnuite, trebuie să corespundă prevederilor normate specifice destinaţiei și tipului clădirilor.</w:t>
      </w:r>
    </w:p>
    <w:p w14:paraId="473E4D29" w14:textId="77777777" w:rsidR="001C08A5" w:rsidRDefault="00000000">
      <w:pPr>
        <w:jc w:val="both"/>
        <w:rPr>
          <w:sz w:val="24"/>
          <w:szCs w:val="24"/>
        </w:rPr>
      </w:pPr>
      <w:r>
        <w:rPr>
          <w:sz w:val="24"/>
          <w:szCs w:val="24"/>
        </w:rPr>
        <w:tab/>
      </w:r>
      <w:r>
        <w:rPr>
          <w:b/>
          <w:sz w:val="24"/>
          <w:szCs w:val="24"/>
        </w:rPr>
        <w:t>(2)</w:t>
      </w:r>
      <w:r>
        <w:rPr>
          <w:sz w:val="24"/>
          <w:szCs w:val="24"/>
        </w:rPr>
        <w:t xml:space="preserve"> În cazul în care nu se regăsesc în prevederile normate pentru destinaţiile specifice clădirilor detaliate în normativ (conform prevederilor privind performanțele specifice destinaţiei clădirilor), clasele de performanţă privind reacţia la foc a produselor folosite pentru finisarea interioară a caselor de scări închise şi a căilor de circulaţie funcţională şi de evacuare orizontale (coridoare şi holuri) din clădirile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_Ref13274 \h </w:instrText>
      </w:r>
      <w:r>
        <w:rPr>
          <w:rFonts w:cs="Mangal"/>
          <w:b/>
          <w:i/>
          <w:iCs/>
          <w:sz w:val="24"/>
          <w:szCs w:val="24"/>
        </w:rPr>
      </w:r>
      <w:r>
        <w:rPr>
          <w:rFonts w:cs="Mangal"/>
          <w:b/>
          <w:i/>
          <w:iCs/>
          <w:sz w:val="24"/>
          <w:szCs w:val="24"/>
        </w:rPr>
        <w:fldChar w:fldCharType="separate"/>
      </w:r>
      <w:r>
        <w:t>Tabelul 48</w:t>
      </w:r>
      <w:r>
        <w:rPr>
          <w:rFonts w:cs="Mangal"/>
          <w:b/>
          <w:i/>
          <w:iCs/>
          <w:sz w:val="24"/>
          <w:szCs w:val="24"/>
        </w:rPr>
        <w:fldChar w:fldCharType="end"/>
      </w:r>
      <w:r>
        <w:rPr>
          <w:sz w:val="24"/>
          <w:szCs w:val="24"/>
        </w:rPr>
        <w:t>.</w:t>
      </w:r>
    </w:p>
    <w:p w14:paraId="3C22F5B6" w14:textId="77777777" w:rsidR="001C08A5" w:rsidRDefault="00000000">
      <w:pPr>
        <w:jc w:val="both"/>
        <w:rPr>
          <w:sz w:val="24"/>
          <w:szCs w:val="24"/>
        </w:rPr>
      </w:pPr>
      <w:r>
        <w:rPr>
          <w:b/>
          <w:sz w:val="24"/>
          <w:szCs w:val="24"/>
        </w:rPr>
        <w:tab/>
        <w:t xml:space="preserve">(3) </w:t>
      </w:r>
      <w:r>
        <w:rPr>
          <w:sz w:val="24"/>
          <w:szCs w:val="24"/>
        </w:rPr>
        <w:t>Clasele de performanţă privind reacţia la foc a produselor folosite pentru finisarea interioară a caselor de scări închise şi a căilor de circulaţie funcţională şi de evacuare orizontale (coridoare şi holuri) din clădirile înalte, foarte înalte sau cu săli aglomerate, trebuie să corespundă şi prevederilor privind performanțele specifice acestora.</w:t>
      </w:r>
    </w:p>
    <w:p w14:paraId="24391C76" w14:textId="77777777" w:rsidR="001C08A5" w:rsidRDefault="001C08A5">
      <w:pPr>
        <w:jc w:val="both"/>
        <w:rPr>
          <w:b/>
          <w:sz w:val="24"/>
          <w:szCs w:val="24"/>
        </w:rPr>
      </w:pPr>
    </w:p>
    <w:p w14:paraId="3E05B070" w14:textId="77777777" w:rsidR="001C08A5" w:rsidRDefault="00000000">
      <w:pPr>
        <w:pStyle w:val="Captiontabel"/>
      </w:pPr>
      <w:bookmarkStart w:id="3063" w:name="_Ref13274"/>
      <w:bookmarkStart w:id="3064" w:name="_Toc162360098"/>
      <w:r>
        <w:t xml:space="preserve">Tabelul </w:t>
      </w:r>
      <w:r>
        <w:fldChar w:fldCharType="begin"/>
      </w:r>
      <w:r>
        <w:instrText xml:space="preserve"> SEQ Tabelul \* ARABIC </w:instrText>
      </w:r>
      <w:r>
        <w:fldChar w:fldCharType="separate"/>
      </w:r>
      <w:r>
        <w:t>48</w:t>
      </w:r>
      <w:r>
        <w:fldChar w:fldCharType="end"/>
      </w:r>
      <w:bookmarkStart w:id="3065" w:name="_Toc20319"/>
      <w:bookmarkStart w:id="3066" w:name="_Toc20118"/>
      <w:bookmarkStart w:id="3067" w:name="_Toc18471"/>
      <w:bookmarkStart w:id="3068" w:name="_Toc24300"/>
      <w:bookmarkStart w:id="3069" w:name="_Toc21176"/>
      <w:bookmarkStart w:id="3070" w:name="_Toc22099"/>
      <w:bookmarkStart w:id="3071" w:name="_Toc20728"/>
      <w:bookmarkStart w:id="3072" w:name="_Toc28923"/>
      <w:bookmarkStart w:id="3073" w:name="_Toc16658"/>
      <w:bookmarkStart w:id="3074" w:name="_Toc673"/>
      <w:bookmarkStart w:id="3075" w:name="_Toc17697"/>
      <w:bookmarkStart w:id="3076" w:name="_Toc30321"/>
      <w:bookmarkStart w:id="3077" w:name="_Toc27997"/>
      <w:bookmarkStart w:id="3078" w:name="_Toc31844"/>
      <w:bookmarkStart w:id="3079" w:name="_Toc19397"/>
      <w:bookmarkStart w:id="3080" w:name="_Toc19358"/>
      <w:bookmarkStart w:id="3081" w:name="_Toc28942"/>
      <w:bookmarkStart w:id="3082" w:name="_Toc19392"/>
      <w:bookmarkStart w:id="3083" w:name="_Toc8421"/>
      <w:bookmarkEnd w:id="3063"/>
      <w:r>
        <w:t>: Clase de performanţă privind reacţia la foc a produselor folosite pentru finisajele interioare la casele de scări închise şi a căilor de circulaţie funcţională şi de evacuare orizontale (coridoare şi holuri, tuneluri, degajamente protejate etc.) în clădiri supraterane cu înălţimi obişnuite</w:t>
      </w:r>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p>
    <w:p w14:paraId="7B4E7CCB" w14:textId="77777777" w:rsidR="001C08A5" w:rsidRDefault="001C08A5">
      <w:pPr>
        <w:jc w:val="both"/>
        <w:rPr>
          <w:sz w:val="24"/>
          <w:szCs w:val="24"/>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4"/>
        <w:gridCol w:w="1518"/>
        <w:gridCol w:w="1405"/>
        <w:gridCol w:w="1410"/>
        <w:gridCol w:w="1401"/>
        <w:gridCol w:w="1542"/>
        <w:gridCol w:w="1549"/>
      </w:tblGrid>
      <w:tr w:rsidR="001C08A5" w14:paraId="229A46E8" w14:textId="77777777">
        <w:trPr>
          <w:tblHeader/>
        </w:trPr>
        <w:tc>
          <w:tcPr>
            <w:tcW w:w="1064" w:type="dxa"/>
            <w:vMerge w:val="restart"/>
            <w:shd w:val="clear" w:color="auto" w:fill="BFBFBF"/>
          </w:tcPr>
          <w:p w14:paraId="0D167C39" w14:textId="77777777" w:rsidR="001C08A5" w:rsidRDefault="00000000">
            <w:pPr>
              <w:pStyle w:val="BodyText"/>
              <w:jc w:val="center"/>
              <w:rPr>
                <w:bCs w:val="0"/>
                <w:sz w:val="22"/>
                <w:szCs w:val="22"/>
              </w:rPr>
            </w:pPr>
            <w:r>
              <w:rPr>
                <w:bCs w:val="0"/>
                <w:sz w:val="22"/>
                <w:szCs w:val="22"/>
              </w:rPr>
              <w:lastRenderedPageBreak/>
              <w:t>Nivel de stabilitate</w:t>
            </w:r>
          </w:p>
          <w:p w14:paraId="32A84F94" w14:textId="77777777" w:rsidR="001C08A5" w:rsidRDefault="00000000">
            <w:pPr>
              <w:jc w:val="center"/>
              <w:rPr>
                <w:b/>
                <w:i/>
                <w:sz w:val="22"/>
                <w:szCs w:val="22"/>
              </w:rPr>
            </w:pPr>
            <w:r>
              <w:rPr>
                <w:b/>
                <w:i/>
                <w:sz w:val="22"/>
                <w:szCs w:val="22"/>
              </w:rPr>
              <w:t>la incendiu</w:t>
            </w:r>
          </w:p>
        </w:tc>
        <w:tc>
          <w:tcPr>
            <w:tcW w:w="8825" w:type="dxa"/>
            <w:gridSpan w:val="6"/>
            <w:shd w:val="clear" w:color="auto" w:fill="BFBFBF"/>
          </w:tcPr>
          <w:p w14:paraId="7E01B56E" w14:textId="77777777" w:rsidR="001C08A5" w:rsidRDefault="00000000">
            <w:pPr>
              <w:jc w:val="center"/>
              <w:rPr>
                <w:b/>
                <w:i/>
                <w:sz w:val="22"/>
                <w:szCs w:val="22"/>
              </w:rPr>
            </w:pPr>
            <w:r>
              <w:rPr>
                <w:b/>
                <w:i/>
                <w:sz w:val="22"/>
                <w:szCs w:val="22"/>
              </w:rPr>
              <w:t>Finisaje</w:t>
            </w:r>
          </w:p>
        </w:tc>
      </w:tr>
      <w:tr w:rsidR="001C08A5" w14:paraId="7A15D228" w14:textId="77777777">
        <w:trPr>
          <w:tblHeader/>
        </w:trPr>
        <w:tc>
          <w:tcPr>
            <w:tcW w:w="1064" w:type="dxa"/>
            <w:vMerge/>
            <w:shd w:val="clear" w:color="auto" w:fill="BFBFBF"/>
          </w:tcPr>
          <w:p w14:paraId="139EF532" w14:textId="77777777" w:rsidR="001C08A5" w:rsidRDefault="001C08A5">
            <w:pPr>
              <w:jc w:val="center"/>
              <w:rPr>
                <w:i/>
                <w:sz w:val="22"/>
                <w:szCs w:val="22"/>
              </w:rPr>
            </w:pPr>
          </w:p>
        </w:tc>
        <w:tc>
          <w:tcPr>
            <w:tcW w:w="4333" w:type="dxa"/>
            <w:gridSpan w:val="3"/>
            <w:shd w:val="clear" w:color="auto" w:fill="BFBFBF"/>
          </w:tcPr>
          <w:p w14:paraId="54313A82" w14:textId="77777777" w:rsidR="001C08A5" w:rsidRDefault="00000000">
            <w:pPr>
              <w:jc w:val="center"/>
              <w:rPr>
                <w:b/>
                <w:i/>
                <w:sz w:val="22"/>
                <w:szCs w:val="22"/>
              </w:rPr>
            </w:pPr>
            <w:r>
              <w:rPr>
                <w:b/>
                <w:bCs/>
                <w:i/>
                <w:sz w:val="22"/>
                <w:szCs w:val="22"/>
              </w:rPr>
              <w:t>la coridoare și la holuri</w:t>
            </w:r>
          </w:p>
        </w:tc>
        <w:tc>
          <w:tcPr>
            <w:tcW w:w="4492" w:type="dxa"/>
            <w:gridSpan w:val="3"/>
            <w:shd w:val="clear" w:color="auto" w:fill="BFBFBF"/>
          </w:tcPr>
          <w:p w14:paraId="7F9E61AB" w14:textId="77777777" w:rsidR="001C08A5" w:rsidRDefault="00000000">
            <w:pPr>
              <w:jc w:val="center"/>
              <w:rPr>
                <w:b/>
                <w:i/>
                <w:sz w:val="22"/>
                <w:szCs w:val="22"/>
              </w:rPr>
            </w:pPr>
            <w:r>
              <w:rPr>
                <w:b/>
                <w:bCs/>
                <w:i/>
                <w:sz w:val="22"/>
                <w:szCs w:val="22"/>
              </w:rPr>
              <w:t>la case de scări închise/ degajamente protejate/ tuneluri</w:t>
            </w:r>
          </w:p>
        </w:tc>
      </w:tr>
      <w:tr w:rsidR="001C08A5" w14:paraId="0A8657E7" w14:textId="77777777">
        <w:trPr>
          <w:tblHeader/>
        </w:trPr>
        <w:tc>
          <w:tcPr>
            <w:tcW w:w="1064" w:type="dxa"/>
            <w:vMerge/>
            <w:shd w:val="clear" w:color="auto" w:fill="BFBFBF"/>
          </w:tcPr>
          <w:p w14:paraId="322C3E3F" w14:textId="77777777" w:rsidR="001C08A5" w:rsidRDefault="001C08A5">
            <w:pPr>
              <w:jc w:val="center"/>
              <w:rPr>
                <w:i/>
                <w:sz w:val="22"/>
                <w:szCs w:val="22"/>
              </w:rPr>
            </w:pPr>
          </w:p>
        </w:tc>
        <w:tc>
          <w:tcPr>
            <w:tcW w:w="1518" w:type="dxa"/>
            <w:shd w:val="clear" w:color="auto" w:fill="BFBFBF"/>
          </w:tcPr>
          <w:p w14:paraId="665CB826" w14:textId="77777777" w:rsidR="001C08A5" w:rsidRDefault="00000000">
            <w:pPr>
              <w:jc w:val="both"/>
              <w:rPr>
                <w:b/>
                <w:i/>
                <w:sz w:val="22"/>
                <w:szCs w:val="22"/>
              </w:rPr>
            </w:pPr>
            <w:r>
              <w:rPr>
                <w:b/>
                <w:i/>
                <w:sz w:val="22"/>
                <w:szCs w:val="22"/>
              </w:rPr>
              <w:t>Pereţi</w:t>
            </w:r>
          </w:p>
        </w:tc>
        <w:tc>
          <w:tcPr>
            <w:tcW w:w="1405" w:type="dxa"/>
            <w:shd w:val="clear" w:color="auto" w:fill="BFBFBF"/>
          </w:tcPr>
          <w:p w14:paraId="0E116BAA" w14:textId="77777777" w:rsidR="001C08A5" w:rsidRDefault="00000000">
            <w:pPr>
              <w:jc w:val="both"/>
              <w:rPr>
                <w:b/>
                <w:i/>
                <w:sz w:val="22"/>
                <w:szCs w:val="22"/>
              </w:rPr>
            </w:pPr>
            <w:r>
              <w:rPr>
                <w:b/>
                <w:i/>
                <w:sz w:val="22"/>
                <w:szCs w:val="22"/>
              </w:rPr>
              <w:t>Tavane</w:t>
            </w:r>
          </w:p>
        </w:tc>
        <w:tc>
          <w:tcPr>
            <w:tcW w:w="1410" w:type="dxa"/>
            <w:shd w:val="clear" w:color="auto" w:fill="BFBFBF"/>
          </w:tcPr>
          <w:p w14:paraId="4D5C14C6" w14:textId="77777777" w:rsidR="001C08A5" w:rsidRDefault="00000000">
            <w:pPr>
              <w:jc w:val="both"/>
              <w:rPr>
                <w:b/>
                <w:i/>
                <w:sz w:val="22"/>
                <w:szCs w:val="22"/>
              </w:rPr>
            </w:pPr>
            <w:r>
              <w:rPr>
                <w:b/>
                <w:i/>
                <w:sz w:val="22"/>
                <w:szCs w:val="22"/>
              </w:rPr>
              <w:t>Pardoseli</w:t>
            </w:r>
          </w:p>
        </w:tc>
        <w:tc>
          <w:tcPr>
            <w:tcW w:w="1401" w:type="dxa"/>
            <w:shd w:val="clear" w:color="auto" w:fill="BFBFBF"/>
          </w:tcPr>
          <w:p w14:paraId="6095DCB9" w14:textId="77777777" w:rsidR="001C08A5" w:rsidRDefault="00000000">
            <w:pPr>
              <w:jc w:val="both"/>
              <w:rPr>
                <w:b/>
                <w:i/>
                <w:sz w:val="22"/>
                <w:szCs w:val="22"/>
              </w:rPr>
            </w:pPr>
            <w:r>
              <w:rPr>
                <w:b/>
                <w:i/>
                <w:sz w:val="22"/>
                <w:szCs w:val="22"/>
              </w:rPr>
              <w:t>Pereţi</w:t>
            </w:r>
          </w:p>
        </w:tc>
        <w:tc>
          <w:tcPr>
            <w:tcW w:w="1542" w:type="dxa"/>
            <w:shd w:val="clear" w:color="auto" w:fill="BFBFBF"/>
          </w:tcPr>
          <w:p w14:paraId="70419B84" w14:textId="77777777" w:rsidR="001C08A5" w:rsidRDefault="00000000">
            <w:pPr>
              <w:jc w:val="both"/>
              <w:rPr>
                <w:b/>
                <w:i/>
                <w:sz w:val="22"/>
                <w:szCs w:val="22"/>
              </w:rPr>
            </w:pPr>
            <w:r>
              <w:rPr>
                <w:b/>
                <w:i/>
                <w:sz w:val="22"/>
                <w:szCs w:val="22"/>
              </w:rPr>
              <w:t>Tavane</w:t>
            </w:r>
          </w:p>
        </w:tc>
        <w:tc>
          <w:tcPr>
            <w:tcW w:w="1549" w:type="dxa"/>
            <w:shd w:val="clear" w:color="auto" w:fill="BFBFBF"/>
          </w:tcPr>
          <w:p w14:paraId="1FF80FE4" w14:textId="77777777" w:rsidR="001C08A5" w:rsidRDefault="00000000">
            <w:pPr>
              <w:jc w:val="both"/>
              <w:rPr>
                <w:b/>
                <w:i/>
                <w:sz w:val="22"/>
                <w:szCs w:val="22"/>
              </w:rPr>
            </w:pPr>
            <w:r>
              <w:rPr>
                <w:b/>
                <w:i/>
                <w:sz w:val="22"/>
                <w:szCs w:val="22"/>
              </w:rPr>
              <w:t>Pardoseli</w:t>
            </w:r>
          </w:p>
        </w:tc>
      </w:tr>
      <w:tr w:rsidR="001C08A5" w14:paraId="772AB4AF" w14:textId="77777777">
        <w:tc>
          <w:tcPr>
            <w:tcW w:w="1064" w:type="dxa"/>
          </w:tcPr>
          <w:p w14:paraId="5EE6E3A0" w14:textId="77777777" w:rsidR="001C08A5" w:rsidRDefault="00000000">
            <w:pPr>
              <w:pStyle w:val="BodyText"/>
              <w:jc w:val="center"/>
              <w:rPr>
                <w:bCs w:val="0"/>
                <w:sz w:val="22"/>
                <w:szCs w:val="22"/>
              </w:rPr>
            </w:pPr>
            <w:r>
              <w:rPr>
                <w:bCs w:val="0"/>
                <w:sz w:val="22"/>
                <w:szCs w:val="22"/>
              </w:rPr>
              <w:t>I</w:t>
            </w:r>
          </w:p>
        </w:tc>
        <w:tc>
          <w:tcPr>
            <w:tcW w:w="1518" w:type="dxa"/>
          </w:tcPr>
          <w:p w14:paraId="5AB75F7E"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405" w:type="dxa"/>
          </w:tcPr>
          <w:p w14:paraId="47D753F8"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410" w:type="dxa"/>
          </w:tcPr>
          <w:p w14:paraId="2ABD19DA" w14:textId="77777777" w:rsidR="001C08A5" w:rsidRDefault="00000000">
            <w:pPr>
              <w:jc w:val="both"/>
              <w:rPr>
                <w:b/>
                <w:bCs/>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1401" w:type="dxa"/>
          </w:tcPr>
          <w:p w14:paraId="339581FC"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542" w:type="dxa"/>
          </w:tcPr>
          <w:p w14:paraId="09A86675"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549" w:type="dxa"/>
          </w:tcPr>
          <w:p w14:paraId="1C6F5C0A" w14:textId="77777777" w:rsidR="001C08A5" w:rsidRDefault="00000000">
            <w:pPr>
              <w:jc w:val="both"/>
              <w:rPr>
                <w:b/>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r>
      <w:tr w:rsidR="001C08A5" w14:paraId="69807B44" w14:textId="77777777">
        <w:tc>
          <w:tcPr>
            <w:tcW w:w="1064" w:type="dxa"/>
          </w:tcPr>
          <w:p w14:paraId="3C62A199" w14:textId="77777777" w:rsidR="001C08A5" w:rsidRDefault="00000000">
            <w:pPr>
              <w:pStyle w:val="BodyText"/>
              <w:jc w:val="center"/>
              <w:rPr>
                <w:bCs w:val="0"/>
                <w:sz w:val="22"/>
                <w:szCs w:val="22"/>
              </w:rPr>
            </w:pPr>
            <w:r>
              <w:rPr>
                <w:bCs w:val="0"/>
                <w:sz w:val="22"/>
                <w:szCs w:val="22"/>
              </w:rPr>
              <w:t>II</w:t>
            </w:r>
          </w:p>
        </w:tc>
        <w:tc>
          <w:tcPr>
            <w:tcW w:w="1518" w:type="dxa"/>
          </w:tcPr>
          <w:p w14:paraId="2EDE4685"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405" w:type="dxa"/>
          </w:tcPr>
          <w:p w14:paraId="2044314A"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410" w:type="dxa"/>
          </w:tcPr>
          <w:p w14:paraId="7323969B" w14:textId="77777777" w:rsidR="001C08A5" w:rsidRDefault="00000000">
            <w:pPr>
              <w:jc w:val="both"/>
              <w:rPr>
                <w:b/>
                <w:bCs/>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1401" w:type="dxa"/>
          </w:tcPr>
          <w:p w14:paraId="3755B763"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542" w:type="dxa"/>
          </w:tcPr>
          <w:p w14:paraId="6E692D33"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549" w:type="dxa"/>
          </w:tcPr>
          <w:p w14:paraId="53F7EE5E" w14:textId="77777777" w:rsidR="001C08A5" w:rsidRDefault="00000000">
            <w:pPr>
              <w:jc w:val="both"/>
              <w:rPr>
                <w:b/>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r>
      <w:tr w:rsidR="001C08A5" w14:paraId="32FD0694" w14:textId="77777777">
        <w:tc>
          <w:tcPr>
            <w:tcW w:w="1064" w:type="dxa"/>
          </w:tcPr>
          <w:p w14:paraId="0105C7DC" w14:textId="77777777" w:rsidR="001C08A5" w:rsidRDefault="00000000">
            <w:pPr>
              <w:pStyle w:val="BodyText"/>
              <w:jc w:val="center"/>
              <w:rPr>
                <w:bCs w:val="0"/>
                <w:sz w:val="22"/>
                <w:szCs w:val="22"/>
              </w:rPr>
            </w:pPr>
            <w:r>
              <w:rPr>
                <w:bCs w:val="0"/>
                <w:sz w:val="22"/>
                <w:szCs w:val="22"/>
              </w:rPr>
              <w:t>III</w:t>
            </w:r>
          </w:p>
        </w:tc>
        <w:tc>
          <w:tcPr>
            <w:tcW w:w="1518" w:type="dxa"/>
          </w:tcPr>
          <w:p w14:paraId="55D0E277" w14:textId="77777777" w:rsidR="001C08A5" w:rsidRDefault="00000000">
            <w:pPr>
              <w:rPr>
                <w:b/>
                <w:i/>
                <w:sz w:val="22"/>
                <w:szCs w:val="22"/>
              </w:rPr>
            </w:pPr>
            <w:r>
              <w:rPr>
                <w:b/>
                <w:i/>
                <w:sz w:val="22"/>
                <w:szCs w:val="22"/>
              </w:rPr>
              <w:t>min B-s1d0</w:t>
            </w:r>
          </w:p>
        </w:tc>
        <w:tc>
          <w:tcPr>
            <w:tcW w:w="1405" w:type="dxa"/>
          </w:tcPr>
          <w:p w14:paraId="498CDB21" w14:textId="77777777" w:rsidR="001C08A5" w:rsidRDefault="00000000">
            <w:pPr>
              <w:rPr>
                <w:b/>
                <w:i/>
                <w:sz w:val="22"/>
                <w:szCs w:val="22"/>
              </w:rPr>
            </w:pPr>
            <w:r>
              <w:rPr>
                <w:b/>
                <w:i/>
                <w:sz w:val="22"/>
                <w:szCs w:val="22"/>
              </w:rPr>
              <w:t>min B-s1d0</w:t>
            </w:r>
          </w:p>
        </w:tc>
        <w:tc>
          <w:tcPr>
            <w:tcW w:w="1410" w:type="dxa"/>
          </w:tcPr>
          <w:p w14:paraId="3BBF5582" w14:textId="77777777" w:rsidR="001C08A5" w:rsidRDefault="00000000">
            <w:pPr>
              <w:rPr>
                <w:b/>
                <w:i/>
                <w:sz w:val="22"/>
                <w:szCs w:val="22"/>
              </w:rPr>
            </w:pPr>
            <w:r>
              <w:rPr>
                <w:b/>
                <w:i/>
                <w:sz w:val="22"/>
                <w:szCs w:val="22"/>
              </w:rPr>
              <w:t>min B</w:t>
            </w:r>
            <w:r>
              <w:rPr>
                <w:b/>
                <w:i/>
                <w:sz w:val="22"/>
                <w:szCs w:val="22"/>
                <w:vertAlign w:val="subscript"/>
              </w:rPr>
              <w:t>FL</w:t>
            </w:r>
            <w:r>
              <w:rPr>
                <w:b/>
                <w:i/>
                <w:sz w:val="22"/>
                <w:szCs w:val="22"/>
              </w:rPr>
              <w:t>-s1</w:t>
            </w:r>
          </w:p>
        </w:tc>
        <w:tc>
          <w:tcPr>
            <w:tcW w:w="1401" w:type="dxa"/>
          </w:tcPr>
          <w:p w14:paraId="364031DF" w14:textId="77777777" w:rsidR="001C08A5" w:rsidRDefault="00000000">
            <w:pPr>
              <w:jc w:val="center"/>
              <w:rPr>
                <w:b/>
                <w:i/>
                <w:sz w:val="22"/>
                <w:szCs w:val="22"/>
              </w:rPr>
            </w:pPr>
            <w:r>
              <w:rPr>
                <w:b/>
                <w:i/>
                <w:sz w:val="22"/>
                <w:szCs w:val="22"/>
              </w:rPr>
              <w:t>min B-s1d0</w:t>
            </w:r>
          </w:p>
        </w:tc>
        <w:tc>
          <w:tcPr>
            <w:tcW w:w="1542" w:type="dxa"/>
          </w:tcPr>
          <w:p w14:paraId="57C60317"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549" w:type="dxa"/>
          </w:tcPr>
          <w:p w14:paraId="62716358" w14:textId="77777777" w:rsidR="001C08A5" w:rsidRDefault="00000000">
            <w:pPr>
              <w:jc w:val="both"/>
              <w:rPr>
                <w:b/>
                <w:i/>
                <w:sz w:val="22"/>
                <w:szCs w:val="22"/>
              </w:rPr>
            </w:pPr>
            <w:r>
              <w:rPr>
                <w:b/>
                <w:bCs/>
                <w:i/>
                <w:sz w:val="22"/>
                <w:szCs w:val="22"/>
              </w:rPr>
              <w:t>min B</w:t>
            </w:r>
            <w:r>
              <w:rPr>
                <w:b/>
                <w:bCs/>
                <w:i/>
                <w:sz w:val="22"/>
                <w:szCs w:val="22"/>
                <w:vertAlign w:val="subscript"/>
              </w:rPr>
              <w:t>FL</w:t>
            </w:r>
            <w:r>
              <w:rPr>
                <w:b/>
                <w:bCs/>
                <w:i/>
                <w:sz w:val="22"/>
                <w:szCs w:val="22"/>
              </w:rPr>
              <w:t>-s1</w:t>
            </w:r>
          </w:p>
        </w:tc>
      </w:tr>
      <w:tr w:rsidR="001C08A5" w14:paraId="2B5FE469" w14:textId="77777777">
        <w:tc>
          <w:tcPr>
            <w:tcW w:w="1064" w:type="dxa"/>
          </w:tcPr>
          <w:p w14:paraId="2FF22CEA" w14:textId="77777777" w:rsidR="001C08A5" w:rsidRDefault="00000000">
            <w:pPr>
              <w:pStyle w:val="BodyText"/>
              <w:jc w:val="center"/>
              <w:rPr>
                <w:bCs w:val="0"/>
                <w:sz w:val="22"/>
                <w:szCs w:val="22"/>
              </w:rPr>
            </w:pPr>
            <w:r>
              <w:rPr>
                <w:bCs w:val="0"/>
                <w:sz w:val="22"/>
                <w:szCs w:val="22"/>
              </w:rPr>
              <w:t>IV</w:t>
            </w:r>
          </w:p>
        </w:tc>
        <w:tc>
          <w:tcPr>
            <w:tcW w:w="1518" w:type="dxa"/>
          </w:tcPr>
          <w:p w14:paraId="78B1DBFB" w14:textId="77777777" w:rsidR="001C08A5" w:rsidRDefault="00000000">
            <w:pPr>
              <w:jc w:val="both"/>
              <w:rPr>
                <w:b/>
                <w:i/>
                <w:sz w:val="22"/>
                <w:szCs w:val="22"/>
              </w:rPr>
            </w:pPr>
            <w:r>
              <w:rPr>
                <w:b/>
                <w:i/>
                <w:sz w:val="22"/>
                <w:szCs w:val="22"/>
              </w:rPr>
              <w:t>min C-s1d0</w:t>
            </w:r>
          </w:p>
        </w:tc>
        <w:tc>
          <w:tcPr>
            <w:tcW w:w="1405" w:type="dxa"/>
          </w:tcPr>
          <w:p w14:paraId="5A511741" w14:textId="77777777" w:rsidR="001C08A5" w:rsidRDefault="00000000">
            <w:pPr>
              <w:jc w:val="both"/>
              <w:rPr>
                <w:b/>
                <w:i/>
                <w:sz w:val="22"/>
                <w:szCs w:val="22"/>
              </w:rPr>
            </w:pPr>
            <w:r>
              <w:rPr>
                <w:b/>
                <w:i/>
                <w:sz w:val="22"/>
                <w:szCs w:val="22"/>
              </w:rPr>
              <w:t xml:space="preserve">min C-s1d0 </w:t>
            </w:r>
          </w:p>
        </w:tc>
        <w:tc>
          <w:tcPr>
            <w:tcW w:w="1410" w:type="dxa"/>
          </w:tcPr>
          <w:p w14:paraId="73F6082E" w14:textId="77777777" w:rsidR="001C08A5" w:rsidRDefault="00000000">
            <w:pPr>
              <w:jc w:val="both"/>
              <w:rPr>
                <w:b/>
                <w:i/>
                <w:sz w:val="22"/>
                <w:szCs w:val="22"/>
              </w:rPr>
            </w:pPr>
            <w:r>
              <w:rPr>
                <w:b/>
                <w:bCs/>
                <w:i/>
                <w:sz w:val="22"/>
                <w:szCs w:val="22"/>
              </w:rPr>
              <w:t>min C</w:t>
            </w:r>
            <w:r>
              <w:rPr>
                <w:b/>
                <w:bCs/>
                <w:i/>
                <w:sz w:val="22"/>
                <w:szCs w:val="22"/>
                <w:vertAlign w:val="subscript"/>
              </w:rPr>
              <w:t>FL</w:t>
            </w:r>
            <w:r>
              <w:rPr>
                <w:b/>
                <w:bCs/>
                <w:i/>
                <w:sz w:val="22"/>
                <w:szCs w:val="22"/>
              </w:rPr>
              <w:t>-s1</w:t>
            </w:r>
          </w:p>
        </w:tc>
        <w:tc>
          <w:tcPr>
            <w:tcW w:w="1401" w:type="dxa"/>
          </w:tcPr>
          <w:p w14:paraId="40A4B84F" w14:textId="77777777" w:rsidR="001C08A5" w:rsidRDefault="00000000">
            <w:pPr>
              <w:jc w:val="center"/>
              <w:rPr>
                <w:b/>
                <w:i/>
                <w:sz w:val="22"/>
                <w:szCs w:val="22"/>
              </w:rPr>
            </w:pPr>
            <w:r>
              <w:rPr>
                <w:b/>
                <w:i/>
                <w:sz w:val="22"/>
                <w:szCs w:val="22"/>
              </w:rPr>
              <w:t>min C-s1d0</w:t>
            </w:r>
          </w:p>
        </w:tc>
        <w:tc>
          <w:tcPr>
            <w:tcW w:w="1542" w:type="dxa"/>
          </w:tcPr>
          <w:p w14:paraId="0A3F823F" w14:textId="77777777" w:rsidR="001C08A5" w:rsidRDefault="00000000">
            <w:pPr>
              <w:jc w:val="both"/>
              <w:rPr>
                <w:b/>
                <w:i/>
                <w:sz w:val="22"/>
                <w:szCs w:val="22"/>
              </w:rPr>
            </w:pPr>
            <w:r>
              <w:rPr>
                <w:b/>
                <w:i/>
                <w:sz w:val="22"/>
                <w:szCs w:val="22"/>
              </w:rPr>
              <w:t>min B-s1d0</w:t>
            </w:r>
          </w:p>
        </w:tc>
        <w:tc>
          <w:tcPr>
            <w:tcW w:w="1549" w:type="dxa"/>
          </w:tcPr>
          <w:p w14:paraId="417472AB" w14:textId="77777777" w:rsidR="001C08A5" w:rsidRDefault="00000000">
            <w:pPr>
              <w:jc w:val="both"/>
              <w:rPr>
                <w:b/>
                <w:i/>
                <w:sz w:val="22"/>
                <w:szCs w:val="22"/>
              </w:rPr>
            </w:pPr>
            <w:r>
              <w:rPr>
                <w:b/>
                <w:bCs/>
                <w:i/>
                <w:sz w:val="22"/>
                <w:szCs w:val="22"/>
              </w:rPr>
              <w:t>min C</w:t>
            </w:r>
            <w:r>
              <w:rPr>
                <w:b/>
                <w:bCs/>
                <w:i/>
                <w:sz w:val="22"/>
                <w:szCs w:val="22"/>
                <w:vertAlign w:val="subscript"/>
              </w:rPr>
              <w:t>FL</w:t>
            </w:r>
            <w:r>
              <w:rPr>
                <w:b/>
                <w:bCs/>
                <w:i/>
                <w:sz w:val="22"/>
                <w:szCs w:val="22"/>
              </w:rPr>
              <w:t>-s1</w:t>
            </w:r>
          </w:p>
        </w:tc>
      </w:tr>
      <w:tr w:rsidR="001C08A5" w14:paraId="3A6414EC" w14:textId="77777777">
        <w:tc>
          <w:tcPr>
            <w:tcW w:w="1064" w:type="dxa"/>
          </w:tcPr>
          <w:p w14:paraId="18CA6544" w14:textId="77777777" w:rsidR="001C08A5" w:rsidRDefault="00000000">
            <w:pPr>
              <w:pStyle w:val="BodyText"/>
              <w:jc w:val="center"/>
              <w:rPr>
                <w:bCs w:val="0"/>
                <w:sz w:val="22"/>
                <w:szCs w:val="22"/>
              </w:rPr>
            </w:pPr>
            <w:r>
              <w:rPr>
                <w:bCs w:val="0"/>
                <w:sz w:val="22"/>
                <w:szCs w:val="22"/>
              </w:rPr>
              <w:t>V</w:t>
            </w:r>
          </w:p>
        </w:tc>
        <w:tc>
          <w:tcPr>
            <w:tcW w:w="1518" w:type="dxa"/>
          </w:tcPr>
          <w:p w14:paraId="279BA25E" w14:textId="77777777" w:rsidR="001C08A5" w:rsidRDefault="00000000">
            <w:pPr>
              <w:jc w:val="both"/>
              <w:rPr>
                <w:b/>
                <w:i/>
                <w:sz w:val="22"/>
                <w:szCs w:val="22"/>
              </w:rPr>
            </w:pPr>
            <w:r>
              <w:rPr>
                <w:b/>
                <w:i/>
                <w:sz w:val="22"/>
                <w:szCs w:val="22"/>
              </w:rPr>
              <w:t>min D-s1d0</w:t>
            </w:r>
          </w:p>
        </w:tc>
        <w:tc>
          <w:tcPr>
            <w:tcW w:w="1405" w:type="dxa"/>
          </w:tcPr>
          <w:p w14:paraId="18B0C0A0" w14:textId="77777777" w:rsidR="001C08A5" w:rsidRDefault="00000000">
            <w:pPr>
              <w:jc w:val="both"/>
              <w:rPr>
                <w:b/>
                <w:i/>
                <w:strike/>
                <w:sz w:val="22"/>
                <w:szCs w:val="22"/>
              </w:rPr>
            </w:pPr>
            <w:r>
              <w:rPr>
                <w:b/>
                <w:i/>
                <w:sz w:val="22"/>
                <w:szCs w:val="22"/>
              </w:rPr>
              <w:t>min D-s1d0</w:t>
            </w:r>
          </w:p>
        </w:tc>
        <w:tc>
          <w:tcPr>
            <w:tcW w:w="1410" w:type="dxa"/>
          </w:tcPr>
          <w:p w14:paraId="4FDA70BF" w14:textId="77777777" w:rsidR="001C08A5" w:rsidRDefault="00000000">
            <w:pPr>
              <w:jc w:val="both"/>
              <w:rPr>
                <w:b/>
                <w:i/>
                <w:sz w:val="22"/>
                <w:szCs w:val="22"/>
              </w:rPr>
            </w:pPr>
            <w:r>
              <w:rPr>
                <w:b/>
                <w:bCs/>
                <w:i/>
                <w:sz w:val="22"/>
                <w:szCs w:val="22"/>
              </w:rPr>
              <w:t>min D</w:t>
            </w:r>
            <w:r>
              <w:rPr>
                <w:b/>
                <w:bCs/>
                <w:i/>
                <w:sz w:val="22"/>
                <w:szCs w:val="22"/>
                <w:vertAlign w:val="subscript"/>
              </w:rPr>
              <w:t>FL</w:t>
            </w:r>
            <w:r>
              <w:rPr>
                <w:b/>
                <w:bCs/>
                <w:i/>
                <w:sz w:val="22"/>
                <w:szCs w:val="22"/>
              </w:rPr>
              <w:t>-s1</w:t>
            </w:r>
          </w:p>
        </w:tc>
        <w:tc>
          <w:tcPr>
            <w:tcW w:w="1401" w:type="dxa"/>
          </w:tcPr>
          <w:p w14:paraId="0A243930" w14:textId="77777777" w:rsidR="001C08A5" w:rsidRDefault="00000000">
            <w:pPr>
              <w:jc w:val="center"/>
              <w:rPr>
                <w:b/>
                <w:i/>
                <w:sz w:val="22"/>
                <w:szCs w:val="22"/>
              </w:rPr>
            </w:pPr>
            <w:r>
              <w:rPr>
                <w:b/>
                <w:i/>
                <w:sz w:val="22"/>
                <w:szCs w:val="22"/>
              </w:rPr>
              <w:t>min D-s1d0</w:t>
            </w:r>
          </w:p>
        </w:tc>
        <w:tc>
          <w:tcPr>
            <w:tcW w:w="1542" w:type="dxa"/>
          </w:tcPr>
          <w:p w14:paraId="2AB2AC33" w14:textId="77777777" w:rsidR="001C08A5" w:rsidRDefault="00000000">
            <w:pPr>
              <w:jc w:val="both"/>
              <w:rPr>
                <w:b/>
                <w:i/>
                <w:sz w:val="22"/>
                <w:szCs w:val="22"/>
              </w:rPr>
            </w:pPr>
            <w:r>
              <w:rPr>
                <w:b/>
                <w:i/>
                <w:sz w:val="22"/>
                <w:szCs w:val="22"/>
              </w:rPr>
              <w:t>min C-s1d0</w:t>
            </w:r>
          </w:p>
        </w:tc>
        <w:tc>
          <w:tcPr>
            <w:tcW w:w="1549" w:type="dxa"/>
          </w:tcPr>
          <w:p w14:paraId="2384D820" w14:textId="77777777" w:rsidR="001C08A5" w:rsidRDefault="00000000">
            <w:pPr>
              <w:jc w:val="both"/>
              <w:rPr>
                <w:b/>
                <w:i/>
                <w:sz w:val="22"/>
                <w:szCs w:val="22"/>
              </w:rPr>
            </w:pPr>
            <w:r>
              <w:rPr>
                <w:b/>
                <w:bCs/>
                <w:i/>
                <w:sz w:val="22"/>
                <w:szCs w:val="22"/>
              </w:rPr>
              <w:t>min D</w:t>
            </w:r>
            <w:r>
              <w:rPr>
                <w:b/>
                <w:bCs/>
                <w:i/>
                <w:sz w:val="22"/>
                <w:szCs w:val="22"/>
                <w:vertAlign w:val="subscript"/>
              </w:rPr>
              <w:t>FL</w:t>
            </w:r>
            <w:r>
              <w:rPr>
                <w:b/>
                <w:bCs/>
                <w:i/>
                <w:sz w:val="22"/>
                <w:szCs w:val="22"/>
              </w:rPr>
              <w:t>-s1</w:t>
            </w:r>
          </w:p>
        </w:tc>
      </w:tr>
    </w:tbl>
    <w:p w14:paraId="2C837EA6" w14:textId="77777777" w:rsidR="001C08A5" w:rsidRDefault="00000000">
      <w:pPr>
        <w:jc w:val="both"/>
        <w:rPr>
          <w:i/>
          <w:sz w:val="22"/>
          <w:szCs w:val="22"/>
          <w:u w:val="single"/>
        </w:rPr>
      </w:pPr>
      <w:r>
        <w:rPr>
          <w:i/>
          <w:sz w:val="22"/>
          <w:szCs w:val="22"/>
          <w:u w:val="single"/>
        </w:rPr>
        <w:t>Note:</w:t>
      </w:r>
    </w:p>
    <w:p w14:paraId="4B9E62C5" w14:textId="77777777" w:rsidR="001C08A5" w:rsidRDefault="00000000">
      <w:pPr>
        <w:numPr>
          <w:ilvl w:val="0"/>
          <w:numId w:val="72"/>
        </w:numPr>
        <w:jc w:val="both"/>
        <w:rPr>
          <w:b/>
          <w:i/>
          <w:sz w:val="22"/>
          <w:szCs w:val="22"/>
        </w:rPr>
      </w:pPr>
      <w:r>
        <w:rPr>
          <w:i/>
          <w:sz w:val="22"/>
          <w:szCs w:val="22"/>
        </w:rPr>
        <w:t xml:space="preserve">Pe căile comune de circulaţie funcţională şi de evacuare a utilizatorilor construcţiilor cu înălţime obişnuită se admit și finisaje din folii cu grosimea de maxim </w:t>
      </w:r>
      <w:r>
        <w:rPr>
          <w:b/>
          <w:i/>
          <w:sz w:val="22"/>
          <w:szCs w:val="22"/>
        </w:rPr>
        <w:t>0,5</w:t>
      </w:r>
      <w:r>
        <w:rPr>
          <w:i/>
          <w:sz w:val="22"/>
          <w:szCs w:val="22"/>
        </w:rPr>
        <w:t xml:space="preserve"> cm care se lipesc pe suport </w:t>
      </w:r>
      <w:r>
        <w:rPr>
          <w:b/>
          <w:i/>
          <w:sz w:val="22"/>
          <w:szCs w:val="22"/>
        </w:rPr>
        <w:t>A1</w:t>
      </w:r>
      <w:r>
        <w:rPr>
          <w:i/>
          <w:sz w:val="22"/>
          <w:szCs w:val="22"/>
        </w:rPr>
        <w:t xml:space="preserve"> sau </w:t>
      </w:r>
      <w:r>
        <w:rPr>
          <w:b/>
          <w:i/>
          <w:sz w:val="22"/>
          <w:szCs w:val="22"/>
        </w:rPr>
        <w:t xml:space="preserve">A2-s1d0 și </w:t>
      </w:r>
      <w:r>
        <w:rPr>
          <w:i/>
          <w:sz w:val="22"/>
          <w:szCs w:val="22"/>
        </w:rPr>
        <w:t xml:space="preserve">mochete sau lemn, cu grosimea de maxim </w:t>
      </w:r>
      <w:r>
        <w:rPr>
          <w:b/>
          <w:i/>
          <w:sz w:val="22"/>
          <w:szCs w:val="22"/>
        </w:rPr>
        <w:t>2</w:t>
      </w:r>
      <w:r>
        <w:rPr>
          <w:i/>
          <w:sz w:val="22"/>
          <w:szCs w:val="22"/>
        </w:rPr>
        <w:t xml:space="preserve"> cm,</w:t>
      </w:r>
      <w:r>
        <w:rPr>
          <w:bCs/>
          <w:i/>
          <w:sz w:val="22"/>
          <w:szCs w:val="22"/>
        </w:rPr>
        <w:t xml:space="preserve">minimum </w:t>
      </w:r>
      <w:r>
        <w:rPr>
          <w:b/>
          <w:bCs/>
          <w:i/>
          <w:sz w:val="22"/>
          <w:szCs w:val="22"/>
        </w:rPr>
        <w:t>C</w:t>
      </w:r>
      <w:r>
        <w:rPr>
          <w:b/>
          <w:bCs/>
          <w:i/>
          <w:sz w:val="22"/>
          <w:szCs w:val="22"/>
          <w:vertAlign w:val="subscript"/>
        </w:rPr>
        <w:t>FL</w:t>
      </w:r>
      <w:r>
        <w:rPr>
          <w:b/>
          <w:bCs/>
          <w:i/>
          <w:sz w:val="22"/>
          <w:szCs w:val="22"/>
        </w:rPr>
        <w:t>-s1,</w:t>
      </w:r>
      <w:r>
        <w:rPr>
          <w:i/>
          <w:sz w:val="22"/>
          <w:szCs w:val="22"/>
        </w:rPr>
        <w:t xml:space="preserve"> montate direct sau pe un strat fonoizolator la zgomot de impact, care se lipesc sau se aşează liber pe suport </w:t>
      </w:r>
      <w:r>
        <w:rPr>
          <w:b/>
          <w:i/>
          <w:sz w:val="22"/>
          <w:szCs w:val="22"/>
        </w:rPr>
        <w:t>A1</w:t>
      </w:r>
      <w:r>
        <w:rPr>
          <w:i/>
          <w:sz w:val="22"/>
          <w:szCs w:val="22"/>
        </w:rPr>
        <w:t xml:space="preserve"> sau </w:t>
      </w:r>
      <w:r>
        <w:rPr>
          <w:b/>
          <w:i/>
          <w:sz w:val="22"/>
          <w:szCs w:val="22"/>
        </w:rPr>
        <w:t>A2-s1d0.</w:t>
      </w:r>
    </w:p>
    <w:p w14:paraId="16400FD0" w14:textId="77777777" w:rsidR="001C08A5" w:rsidRDefault="00000000">
      <w:pPr>
        <w:numPr>
          <w:ilvl w:val="0"/>
          <w:numId w:val="72"/>
        </w:numPr>
        <w:jc w:val="both"/>
        <w:rPr>
          <w:i/>
          <w:sz w:val="22"/>
          <w:szCs w:val="22"/>
        </w:rPr>
      </w:pPr>
      <w:r>
        <w:rPr>
          <w:i/>
          <w:sz w:val="22"/>
          <w:szCs w:val="22"/>
        </w:rPr>
        <w:t>În cazul pereților vitrați cu profil metalic care separă coridoarele și holurile de încăperile adiacente nu se ia în considerare clasa de reacție la foc.</w:t>
      </w:r>
    </w:p>
    <w:p w14:paraId="32AB55C9" w14:textId="77777777" w:rsidR="001C08A5" w:rsidRDefault="001C08A5">
      <w:pPr>
        <w:jc w:val="both"/>
        <w:rPr>
          <w:b/>
          <w:caps/>
          <w:sz w:val="24"/>
          <w:szCs w:val="24"/>
        </w:rPr>
      </w:pPr>
    </w:p>
    <w:p w14:paraId="7206D4D6" w14:textId="77777777" w:rsidR="001C08A5" w:rsidRDefault="00000000">
      <w:pPr>
        <w:ind w:firstLine="720"/>
        <w:jc w:val="both"/>
        <w:rPr>
          <w:sz w:val="24"/>
          <w:szCs w:val="24"/>
        </w:rPr>
      </w:pPr>
      <w:r>
        <w:rPr>
          <w:b/>
          <w:sz w:val="24"/>
          <w:szCs w:val="24"/>
        </w:rPr>
        <w:t>(4)</w:t>
      </w:r>
      <w:r>
        <w:rPr>
          <w:sz w:val="24"/>
          <w:szCs w:val="24"/>
        </w:rPr>
        <w:t xml:space="preserve"> În cazul în care nu se regăsesc în prevederile normate pentru destinaţiile specifice clădirilor detaliate în normativ (conform prevederilor privind performanțele specifice destinaţiei clădirilor), clasele de performanţă privind reacţia la foc a produselor folosite pentru finisarea interioară a încaperilor, cu excepția caselor de scări închise şi a căilor de circulaţie funcţională şi de evacuare orizontale (coridoare şi holuri) din clădirile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_Ref13408 \h </w:instrText>
      </w:r>
      <w:r>
        <w:rPr>
          <w:rFonts w:cs="Mangal"/>
          <w:b/>
          <w:i/>
          <w:iCs/>
          <w:sz w:val="24"/>
          <w:szCs w:val="24"/>
        </w:rPr>
      </w:r>
      <w:r>
        <w:rPr>
          <w:rFonts w:cs="Mangal"/>
          <w:b/>
          <w:i/>
          <w:iCs/>
          <w:sz w:val="24"/>
          <w:szCs w:val="24"/>
        </w:rPr>
        <w:fldChar w:fldCharType="separate"/>
      </w:r>
      <w:r>
        <w:t>Tabelul 49</w:t>
      </w:r>
      <w:r>
        <w:rPr>
          <w:rFonts w:cs="Mangal"/>
          <w:b/>
          <w:i/>
          <w:iCs/>
          <w:sz w:val="24"/>
          <w:szCs w:val="24"/>
        </w:rPr>
        <w:fldChar w:fldCharType="end"/>
      </w:r>
      <w:r>
        <w:rPr>
          <w:rStyle w:val="BodyTextChar"/>
        </w:rPr>
        <w:t>.</w:t>
      </w:r>
    </w:p>
    <w:p w14:paraId="0B200743" w14:textId="77777777" w:rsidR="001C08A5" w:rsidRDefault="00000000">
      <w:pPr>
        <w:ind w:firstLine="720"/>
        <w:jc w:val="both"/>
        <w:rPr>
          <w:sz w:val="24"/>
          <w:szCs w:val="24"/>
        </w:rPr>
      </w:pPr>
      <w:r>
        <w:rPr>
          <w:b/>
          <w:sz w:val="24"/>
          <w:szCs w:val="24"/>
        </w:rPr>
        <w:t xml:space="preserve">(5) </w:t>
      </w:r>
      <w:r>
        <w:rPr>
          <w:sz w:val="24"/>
          <w:szCs w:val="24"/>
        </w:rPr>
        <w:t>Clasele de performanţă privind reacţia la foc a produselor folosite pentru finisarea interioară  a încaperilor, cu excepția caselor de scări închise şi a căilor de circulaţie funcţională şi de evacuare orizontale (coridoare şi holuri) din clădirile înalte, foarte înalte sau cu săli aglomerate, trebuie să corespundă şi prevederilor privind performanțele specifice acestora.</w:t>
      </w:r>
    </w:p>
    <w:p w14:paraId="66C35002" w14:textId="77777777" w:rsidR="001C08A5" w:rsidRDefault="001C08A5">
      <w:pPr>
        <w:ind w:firstLine="720"/>
        <w:jc w:val="both"/>
        <w:rPr>
          <w:sz w:val="24"/>
          <w:szCs w:val="24"/>
        </w:rPr>
      </w:pPr>
    </w:p>
    <w:p w14:paraId="6DE13F2E" w14:textId="77777777" w:rsidR="001C08A5" w:rsidRDefault="00000000">
      <w:pPr>
        <w:pStyle w:val="Captiontabel"/>
      </w:pPr>
      <w:bookmarkStart w:id="3084" w:name="_Ref13408"/>
      <w:bookmarkStart w:id="3085" w:name="_Toc162360099"/>
      <w:r>
        <w:t xml:space="preserve">Tabelul </w:t>
      </w:r>
      <w:r>
        <w:fldChar w:fldCharType="begin"/>
      </w:r>
      <w:r>
        <w:instrText xml:space="preserve"> SEQ Tabelul \* ARABIC </w:instrText>
      </w:r>
      <w:r>
        <w:fldChar w:fldCharType="separate"/>
      </w:r>
      <w:r>
        <w:t>49</w:t>
      </w:r>
      <w:r>
        <w:fldChar w:fldCharType="end"/>
      </w:r>
      <w:bookmarkStart w:id="3086" w:name="_Toc9869"/>
      <w:bookmarkStart w:id="3087" w:name="_Toc20653"/>
      <w:bookmarkStart w:id="3088" w:name="_Toc13032"/>
      <w:bookmarkStart w:id="3089" w:name="_Toc22265"/>
      <w:bookmarkStart w:id="3090" w:name="_Toc4539"/>
      <w:bookmarkStart w:id="3091" w:name="_Toc30814"/>
      <w:bookmarkStart w:id="3092" w:name="_Toc29276"/>
      <w:bookmarkStart w:id="3093" w:name="_Toc18326"/>
      <w:bookmarkStart w:id="3094" w:name="_Toc660"/>
      <w:bookmarkStart w:id="3095" w:name="_Toc12261"/>
      <w:bookmarkStart w:id="3096" w:name="_Toc4791"/>
      <w:bookmarkStart w:id="3097" w:name="_Toc24498"/>
      <w:bookmarkStart w:id="3098" w:name="_Toc5656"/>
      <w:bookmarkStart w:id="3099" w:name="_Toc22783"/>
      <w:bookmarkStart w:id="3100" w:name="_Toc22888"/>
      <w:bookmarkStart w:id="3101" w:name="_Toc24161"/>
      <w:bookmarkStart w:id="3102" w:name="_Toc15271"/>
      <w:bookmarkStart w:id="3103" w:name="_Toc7618"/>
      <w:bookmarkStart w:id="3104" w:name="_Toc4716"/>
      <w:bookmarkEnd w:id="3084"/>
      <w:r>
        <w:t>: Clase de performanţă privind reacţia la foc a produselor folosite pentru finisajele interioare la încăperi, cu excepția caselor de scări închise şi a căilor de circulaţie funcţională şi de evacuare orizontale (coridoare şi holuri, tuneluri, degajamente protejate etc.) în clădiri supraterane cu înălţimi obişnuite</w:t>
      </w:r>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p>
    <w:p w14:paraId="7541BB79" w14:textId="77777777" w:rsidR="001C08A5" w:rsidRDefault="001C08A5">
      <w:pPr>
        <w:jc w:val="both"/>
        <w:rPr>
          <w:b/>
          <w:sz w:val="24"/>
          <w:szCs w:val="24"/>
        </w:rPr>
      </w:pPr>
    </w:p>
    <w:tbl>
      <w:tblPr>
        <w:tblW w:w="63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8"/>
        <w:gridCol w:w="1541"/>
        <w:gridCol w:w="1555"/>
        <w:gridCol w:w="1691"/>
      </w:tblGrid>
      <w:tr w:rsidR="001C08A5" w14:paraId="5A019D72" w14:textId="77777777">
        <w:trPr>
          <w:jc w:val="center"/>
        </w:trPr>
        <w:tc>
          <w:tcPr>
            <w:tcW w:w="1528" w:type="dxa"/>
            <w:vMerge w:val="restart"/>
            <w:shd w:val="clear" w:color="auto" w:fill="BFBFBF"/>
          </w:tcPr>
          <w:p w14:paraId="75C20338" w14:textId="77777777" w:rsidR="001C08A5" w:rsidRDefault="00000000">
            <w:pPr>
              <w:pStyle w:val="BodyText"/>
              <w:jc w:val="center"/>
              <w:rPr>
                <w:bCs w:val="0"/>
                <w:sz w:val="22"/>
                <w:szCs w:val="22"/>
              </w:rPr>
            </w:pPr>
            <w:r>
              <w:rPr>
                <w:bCs w:val="0"/>
                <w:sz w:val="22"/>
                <w:szCs w:val="22"/>
              </w:rPr>
              <w:t>Nivel de stabilitate</w:t>
            </w:r>
          </w:p>
          <w:p w14:paraId="2F027BB3" w14:textId="77777777" w:rsidR="001C08A5" w:rsidRDefault="00000000">
            <w:pPr>
              <w:pStyle w:val="BodyText"/>
              <w:jc w:val="center"/>
              <w:rPr>
                <w:bCs w:val="0"/>
                <w:sz w:val="22"/>
                <w:szCs w:val="22"/>
              </w:rPr>
            </w:pPr>
            <w:r>
              <w:rPr>
                <w:sz w:val="22"/>
                <w:szCs w:val="22"/>
              </w:rPr>
              <w:t>la incendiu</w:t>
            </w:r>
          </w:p>
        </w:tc>
        <w:tc>
          <w:tcPr>
            <w:tcW w:w="4787" w:type="dxa"/>
            <w:gridSpan w:val="3"/>
            <w:shd w:val="clear" w:color="auto" w:fill="BFBFBF"/>
          </w:tcPr>
          <w:p w14:paraId="0D503B5A" w14:textId="77777777" w:rsidR="001C08A5" w:rsidRDefault="00000000">
            <w:pPr>
              <w:jc w:val="both"/>
              <w:rPr>
                <w:b/>
                <w:i/>
                <w:sz w:val="22"/>
                <w:szCs w:val="22"/>
              </w:rPr>
            </w:pPr>
            <w:r>
              <w:rPr>
                <w:b/>
                <w:i/>
                <w:sz w:val="22"/>
                <w:szCs w:val="22"/>
              </w:rPr>
              <w:t>Finisaje în incaperi</w:t>
            </w:r>
          </w:p>
        </w:tc>
      </w:tr>
      <w:tr w:rsidR="001C08A5" w14:paraId="3C789DE4" w14:textId="77777777">
        <w:trPr>
          <w:jc w:val="center"/>
        </w:trPr>
        <w:tc>
          <w:tcPr>
            <w:tcW w:w="1528" w:type="dxa"/>
            <w:vMerge/>
            <w:shd w:val="clear" w:color="auto" w:fill="BFBFBF"/>
          </w:tcPr>
          <w:p w14:paraId="0B020FA2" w14:textId="77777777" w:rsidR="001C08A5" w:rsidRDefault="001C08A5">
            <w:pPr>
              <w:pStyle w:val="BodyText"/>
              <w:jc w:val="center"/>
              <w:rPr>
                <w:bCs w:val="0"/>
                <w:sz w:val="22"/>
                <w:szCs w:val="22"/>
              </w:rPr>
            </w:pPr>
          </w:p>
        </w:tc>
        <w:tc>
          <w:tcPr>
            <w:tcW w:w="1541" w:type="dxa"/>
            <w:shd w:val="clear" w:color="auto" w:fill="BFBFBF"/>
          </w:tcPr>
          <w:p w14:paraId="691E7EEF" w14:textId="77777777" w:rsidR="001C08A5" w:rsidRDefault="00000000">
            <w:pPr>
              <w:jc w:val="both"/>
              <w:rPr>
                <w:b/>
                <w:i/>
                <w:sz w:val="22"/>
                <w:szCs w:val="22"/>
              </w:rPr>
            </w:pPr>
            <w:r>
              <w:rPr>
                <w:b/>
                <w:i/>
                <w:sz w:val="22"/>
                <w:szCs w:val="22"/>
              </w:rPr>
              <w:t>Pereţi</w:t>
            </w:r>
          </w:p>
        </w:tc>
        <w:tc>
          <w:tcPr>
            <w:tcW w:w="1555" w:type="dxa"/>
            <w:shd w:val="clear" w:color="auto" w:fill="BFBFBF"/>
          </w:tcPr>
          <w:p w14:paraId="51F882CC" w14:textId="77777777" w:rsidR="001C08A5" w:rsidRDefault="00000000">
            <w:pPr>
              <w:jc w:val="both"/>
              <w:rPr>
                <w:b/>
                <w:i/>
                <w:sz w:val="22"/>
                <w:szCs w:val="22"/>
              </w:rPr>
            </w:pPr>
            <w:r>
              <w:rPr>
                <w:b/>
                <w:i/>
                <w:sz w:val="22"/>
                <w:szCs w:val="22"/>
              </w:rPr>
              <w:t>Tavane</w:t>
            </w:r>
          </w:p>
        </w:tc>
        <w:tc>
          <w:tcPr>
            <w:tcW w:w="1691" w:type="dxa"/>
            <w:shd w:val="clear" w:color="auto" w:fill="BFBFBF"/>
          </w:tcPr>
          <w:p w14:paraId="45BE9C22" w14:textId="77777777" w:rsidR="001C08A5" w:rsidRDefault="00000000">
            <w:pPr>
              <w:jc w:val="both"/>
              <w:rPr>
                <w:b/>
                <w:i/>
                <w:sz w:val="22"/>
                <w:szCs w:val="22"/>
              </w:rPr>
            </w:pPr>
            <w:r>
              <w:rPr>
                <w:b/>
                <w:i/>
                <w:sz w:val="22"/>
                <w:szCs w:val="22"/>
              </w:rPr>
              <w:t>Pardoseli</w:t>
            </w:r>
          </w:p>
        </w:tc>
      </w:tr>
      <w:tr w:rsidR="001C08A5" w14:paraId="302DC2A2" w14:textId="77777777">
        <w:trPr>
          <w:jc w:val="center"/>
        </w:trPr>
        <w:tc>
          <w:tcPr>
            <w:tcW w:w="1528" w:type="dxa"/>
          </w:tcPr>
          <w:p w14:paraId="7A4E0FFD" w14:textId="77777777" w:rsidR="001C08A5" w:rsidRDefault="00000000">
            <w:pPr>
              <w:pStyle w:val="BodyText"/>
              <w:jc w:val="center"/>
              <w:rPr>
                <w:bCs w:val="0"/>
                <w:sz w:val="22"/>
                <w:szCs w:val="22"/>
              </w:rPr>
            </w:pPr>
            <w:r>
              <w:rPr>
                <w:bCs w:val="0"/>
                <w:sz w:val="22"/>
                <w:szCs w:val="22"/>
              </w:rPr>
              <w:t>I</w:t>
            </w:r>
          </w:p>
        </w:tc>
        <w:tc>
          <w:tcPr>
            <w:tcW w:w="1541" w:type="dxa"/>
          </w:tcPr>
          <w:p w14:paraId="1FC846C9" w14:textId="77777777" w:rsidR="001C08A5" w:rsidRDefault="00000000">
            <w:pPr>
              <w:jc w:val="both"/>
              <w:rPr>
                <w:b/>
                <w:i/>
                <w:sz w:val="22"/>
                <w:szCs w:val="22"/>
              </w:rPr>
            </w:pPr>
            <w:r>
              <w:rPr>
                <w:b/>
                <w:i/>
                <w:sz w:val="22"/>
                <w:szCs w:val="22"/>
              </w:rPr>
              <w:t>min B-s1d0</w:t>
            </w:r>
          </w:p>
        </w:tc>
        <w:tc>
          <w:tcPr>
            <w:tcW w:w="1555" w:type="dxa"/>
          </w:tcPr>
          <w:p w14:paraId="615059D2" w14:textId="77777777" w:rsidR="001C08A5" w:rsidRDefault="00000000">
            <w:pPr>
              <w:jc w:val="both"/>
              <w:rPr>
                <w:b/>
                <w:i/>
                <w:sz w:val="22"/>
                <w:szCs w:val="22"/>
              </w:rPr>
            </w:pPr>
            <w:r>
              <w:rPr>
                <w:b/>
                <w:i/>
                <w:sz w:val="22"/>
                <w:szCs w:val="22"/>
              </w:rPr>
              <w:t>min B-s1d0</w:t>
            </w:r>
          </w:p>
        </w:tc>
        <w:tc>
          <w:tcPr>
            <w:tcW w:w="1691" w:type="dxa"/>
          </w:tcPr>
          <w:p w14:paraId="6292AE18" w14:textId="77777777" w:rsidR="001C08A5" w:rsidRDefault="00000000">
            <w:pPr>
              <w:jc w:val="both"/>
              <w:rPr>
                <w:b/>
                <w:bCs/>
                <w:i/>
                <w:sz w:val="22"/>
                <w:szCs w:val="22"/>
              </w:rPr>
            </w:pPr>
            <w:r>
              <w:rPr>
                <w:b/>
                <w:bCs/>
                <w:i/>
                <w:sz w:val="22"/>
                <w:szCs w:val="22"/>
              </w:rPr>
              <w:t>min B</w:t>
            </w:r>
            <w:r>
              <w:rPr>
                <w:b/>
                <w:bCs/>
                <w:i/>
                <w:sz w:val="22"/>
                <w:szCs w:val="22"/>
                <w:vertAlign w:val="subscript"/>
              </w:rPr>
              <w:t>FL</w:t>
            </w:r>
            <w:r>
              <w:rPr>
                <w:b/>
                <w:bCs/>
                <w:i/>
                <w:sz w:val="22"/>
                <w:szCs w:val="22"/>
              </w:rPr>
              <w:t>-s1</w:t>
            </w:r>
          </w:p>
        </w:tc>
      </w:tr>
      <w:tr w:rsidR="001C08A5" w14:paraId="4A9EF8D5" w14:textId="77777777">
        <w:trPr>
          <w:jc w:val="center"/>
        </w:trPr>
        <w:tc>
          <w:tcPr>
            <w:tcW w:w="1528" w:type="dxa"/>
          </w:tcPr>
          <w:p w14:paraId="66909A9D" w14:textId="77777777" w:rsidR="001C08A5" w:rsidRDefault="00000000">
            <w:pPr>
              <w:pStyle w:val="BodyText"/>
              <w:jc w:val="center"/>
              <w:rPr>
                <w:bCs w:val="0"/>
                <w:sz w:val="22"/>
                <w:szCs w:val="22"/>
              </w:rPr>
            </w:pPr>
            <w:r>
              <w:rPr>
                <w:bCs w:val="0"/>
                <w:sz w:val="22"/>
                <w:szCs w:val="22"/>
              </w:rPr>
              <w:t>II</w:t>
            </w:r>
          </w:p>
        </w:tc>
        <w:tc>
          <w:tcPr>
            <w:tcW w:w="1541" w:type="dxa"/>
          </w:tcPr>
          <w:p w14:paraId="54886A1A" w14:textId="77777777" w:rsidR="001C08A5" w:rsidRDefault="00000000">
            <w:pPr>
              <w:jc w:val="both"/>
              <w:rPr>
                <w:b/>
                <w:i/>
                <w:sz w:val="22"/>
                <w:szCs w:val="22"/>
              </w:rPr>
            </w:pPr>
            <w:r>
              <w:rPr>
                <w:b/>
                <w:i/>
                <w:sz w:val="22"/>
                <w:szCs w:val="22"/>
              </w:rPr>
              <w:t>min B-s2d0</w:t>
            </w:r>
          </w:p>
        </w:tc>
        <w:tc>
          <w:tcPr>
            <w:tcW w:w="1555" w:type="dxa"/>
          </w:tcPr>
          <w:p w14:paraId="105B44F6" w14:textId="77777777" w:rsidR="001C08A5" w:rsidRDefault="00000000">
            <w:pPr>
              <w:jc w:val="both"/>
              <w:rPr>
                <w:b/>
                <w:i/>
                <w:sz w:val="22"/>
                <w:szCs w:val="22"/>
              </w:rPr>
            </w:pPr>
            <w:r>
              <w:rPr>
                <w:b/>
                <w:i/>
                <w:sz w:val="22"/>
                <w:szCs w:val="22"/>
              </w:rPr>
              <w:t>min B-s2d0</w:t>
            </w:r>
          </w:p>
        </w:tc>
        <w:tc>
          <w:tcPr>
            <w:tcW w:w="1691" w:type="dxa"/>
          </w:tcPr>
          <w:p w14:paraId="187138DB" w14:textId="77777777" w:rsidR="001C08A5" w:rsidRDefault="00000000">
            <w:pPr>
              <w:jc w:val="both"/>
              <w:rPr>
                <w:b/>
                <w:bCs/>
                <w:i/>
                <w:sz w:val="22"/>
                <w:szCs w:val="22"/>
              </w:rPr>
            </w:pPr>
            <w:r>
              <w:rPr>
                <w:b/>
                <w:bCs/>
                <w:i/>
                <w:sz w:val="22"/>
                <w:szCs w:val="22"/>
              </w:rPr>
              <w:t>min C</w:t>
            </w:r>
            <w:r>
              <w:rPr>
                <w:b/>
                <w:bCs/>
                <w:i/>
                <w:sz w:val="22"/>
                <w:szCs w:val="22"/>
                <w:vertAlign w:val="subscript"/>
              </w:rPr>
              <w:t>FL</w:t>
            </w:r>
            <w:r>
              <w:rPr>
                <w:b/>
                <w:bCs/>
                <w:i/>
                <w:sz w:val="22"/>
                <w:szCs w:val="22"/>
              </w:rPr>
              <w:t>-s1</w:t>
            </w:r>
          </w:p>
        </w:tc>
      </w:tr>
      <w:tr w:rsidR="001C08A5" w14:paraId="0E1228A1" w14:textId="77777777">
        <w:trPr>
          <w:jc w:val="center"/>
        </w:trPr>
        <w:tc>
          <w:tcPr>
            <w:tcW w:w="1528" w:type="dxa"/>
          </w:tcPr>
          <w:p w14:paraId="4FBCE3F6" w14:textId="77777777" w:rsidR="001C08A5" w:rsidRDefault="00000000">
            <w:pPr>
              <w:pStyle w:val="BodyText"/>
              <w:jc w:val="center"/>
              <w:rPr>
                <w:bCs w:val="0"/>
                <w:sz w:val="22"/>
                <w:szCs w:val="22"/>
              </w:rPr>
            </w:pPr>
            <w:r>
              <w:rPr>
                <w:bCs w:val="0"/>
                <w:sz w:val="22"/>
                <w:szCs w:val="22"/>
              </w:rPr>
              <w:t>III</w:t>
            </w:r>
          </w:p>
        </w:tc>
        <w:tc>
          <w:tcPr>
            <w:tcW w:w="1541" w:type="dxa"/>
          </w:tcPr>
          <w:p w14:paraId="1C823361" w14:textId="77777777" w:rsidR="001C08A5" w:rsidRDefault="00000000">
            <w:pPr>
              <w:rPr>
                <w:b/>
                <w:i/>
                <w:sz w:val="22"/>
                <w:szCs w:val="22"/>
              </w:rPr>
            </w:pPr>
            <w:r>
              <w:rPr>
                <w:b/>
                <w:i/>
                <w:sz w:val="22"/>
                <w:szCs w:val="22"/>
              </w:rPr>
              <w:t>min B-s3d0</w:t>
            </w:r>
          </w:p>
        </w:tc>
        <w:tc>
          <w:tcPr>
            <w:tcW w:w="1555" w:type="dxa"/>
          </w:tcPr>
          <w:p w14:paraId="49F9D001" w14:textId="77777777" w:rsidR="001C08A5" w:rsidRDefault="00000000">
            <w:pPr>
              <w:rPr>
                <w:b/>
                <w:i/>
                <w:sz w:val="22"/>
                <w:szCs w:val="22"/>
              </w:rPr>
            </w:pPr>
            <w:r>
              <w:rPr>
                <w:b/>
                <w:i/>
                <w:sz w:val="22"/>
                <w:szCs w:val="22"/>
              </w:rPr>
              <w:t>min B-s3d0</w:t>
            </w:r>
          </w:p>
        </w:tc>
        <w:tc>
          <w:tcPr>
            <w:tcW w:w="1691" w:type="dxa"/>
          </w:tcPr>
          <w:p w14:paraId="0FAD7FF2" w14:textId="77777777" w:rsidR="001C08A5" w:rsidRDefault="00000000">
            <w:pPr>
              <w:rPr>
                <w:b/>
                <w:i/>
                <w:sz w:val="22"/>
                <w:szCs w:val="22"/>
              </w:rPr>
            </w:pPr>
            <w:r>
              <w:rPr>
                <w:b/>
                <w:i/>
                <w:sz w:val="22"/>
                <w:szCs w:val="22"/>
              </w:rPr>
              <w:t>min C</w:t>
            </w:r>
            <w:r>
              <w:rPr>
                <w:b/>
                <w:i/>
                <w:sz w:val="22"/>
                <w:szCs w:val="22"/>
                <w:vertAlign w:val="subscript"/>
              </w:rPr>
              <w:t>FL</w:t>
            </w:r>
            <w:r>
              <w:rPr>
                <w:b/>
                <w:i/>
                <w:sz w:val="22"/>
                <w:szCs w:val="22"/>
              </w:rPr>
              <w:t>-s1</w:t>
            </w:r>
          </w:p>
        </w:tc>
      </w:tr>
      <w:tr w:rsidR="001C08A5" w14:paraId="3F5D7BCF" w14:textId="77777777">
        <w:trPr>
          <w:jc w:val="center"/>
        </w:trPr>
        <w:tc>
          <w:tcPr>
            <w:tcW w:w="1528" w:type="dxa"/>
          </w:tcPr>
          <w:p w14:paraId="69AD676D" w14:textId="77777777" w:rsidR="001C08A5" w:rsidRDefault="00000000">
            <w:pPr>
              <w:pStyle w:val="BodyText"/>
              <w:jc w:val="center"/>
              <w:rPr>
                <w:bCs w:val="0"/>
                <w:sz w:val="22"/>
                <w:szCs w:val="22"/>
              </w:rPr>
            </w:pPr>
            <w:r>
              <w:rPr>
                <w:bCs w:val="0"/>
                <w:sz w:val="22"/>
                <w:szCs w:val="22"/>
              </w:rPr>
              <w:t>IV</w:t>
            </w:r>
          </w:p>
        </w:tc>
        <w:tc>
          <w:tcPr>
            <w:tcW w:w="1541" w:type="dxa"/>
          </w:tcPr>
          <w:p w14:paraId="3C65B09E" w14:textId="77777777" w:rsidR="001C08A5" w:rsidRDefault="00000000">
            <w:pPr>
              <w:jc w:val="both"/>
              <w:rPr>
                <w:b/>
                <w:i/>
                <w:sz w:val="22"/>
                <w:szCs w:val="22"/>
              </w:rPr>
            </w:pPr>
            <w:r>
              <w:rPr>
                <w:b/>
                <w:i/>
                <w:sz w:val="22"/>
                <w:szCs w:val="22"/>
              </w:rPr>
              <w:t>min C-s3d0</w:t>
            </w:r>
          </w:p>
        </w:tc>
        <w:tc>
          <w:tcPr>
            <w:tcW w:w="1555" w:type="dxa"/>
          </w:tcPr>
          <w:p w14:paraId="24356615" w14:textId="77777777" w:rsidR="001C08A5" w:rsidRDefault="00000000">
            <w:pPr>
              <w:jc w:val="both"/>
              <w:rPr>
                <w:b/>
                <w:i/>
                <w:sz w:val="22"/>
                <w:szCs w:val="22"/>
              </w:rPr>
            </w:pPr>
            <w:r>
              <w:rPr>
                <w:b/>
                <w:i/>
                <w:sz w:val="22"/>
                <w:szCs w:val="22"/>
              </w:rPr>
              <w:t xml:space="preserve">min C-s3d0 </w:t>
            </w:r>
          </w:p>
        </w:tc>
        <w:tc>
          <w:tcPr>
            <w:tcW w:w="1691" w:type="dxa"/>
          </w:tcPr>
          <w:p w14:paraId="2F99EE73" w14:textId="77777777" w:rsidR="001C08A5" w:rsidRDefault="00000000">
            <w:pPr>
              <w:jc w:val="both"/>
              <w:rPr>
                <w:b/>
                <w:i/>
                <w:sz w:val="22"/>
                <w:szCs w:val="22"/>
              </w:rPr>
            </w:pPr>
            <w:r>
              <w:rPr>
                <w:b/>
                <w:bCs/>
                <w:i/>
                <w:sz w:val="22"/>
                <w:szCs w:val="22"/>
              </w:rPr>
              <w:t>min D</w:t>
            </w:r>
            <w:r>
              <w:rPr>
                <w:b/>
                <w:bCs/>
                <w:i/>
                <w:sz w:val="22"/>
                <w:szCs w:val="22"/>
                <w:vertAlign w:val="subscript"/>
              </w:rPr>
              <w:t>FL</w:t>
            </w:r>
            <w:r>
              <w:rPr>
                <w:b/>
                <w:bCs/>
                <w:i/>
                <w:sz w:val="22"/>
                <w:szCs w:val="22"/>
              </w:rPr>
              <w:t>-s1</w:t>
            </w:r>
          </w:p>
        </w:tc>
      </w:tr>
      <w:tr w:rsidR="001C08A5" w14:paraId="12C08D40" w14:textId="77777777">
        <w:trPr>
          <w:jc w:val="center"/>
        </w:trPr>
        <w:tc>
          <w:tcPr>
            <w:tcW w:w="1528" w:type="dxa"/>
          </w:tcPr>
          <w:p w14:paraId="0063795D" w14:textId="77777777" w:rsidR="001C08A5" w:rsidRDefault="00000000">
            <w:pPr>
              <w:pStyle w:val="BodyText"/>
              <w:jc w:val="center"/>
              <w:rPr>
                <w:bCs w:val="0"/>
                <w:sz w:val="22"/>
                <w:szCs w:val="22"/>
              </w:rPr>
            </w:pPr>
            <w:r>
              <w:rPr>
                <w:bCs w:val="0"/>
                <w:sz w:val="22"/>
                <w:szCs w:val="22"/>
              </w:rPr>
              <w:t>V</w:t>
            </w:r>
          </w:p>
        </w:tc>
        <w:tc>
          <w:tcPr>
            <w:tcW w:w="1541" w:type="dxa"/>
          </w:tcPr>
          <w:p w14:paraId="03338B01" w14:textId="77777777" w:rsidR="001C08A5" w:rsidRDefault="00000000">
            <w:pPr>
              <w:jc w:val="both"/>
              <w:rPr>
                <w:b/>
                <w:i/>
                <w:sz w:val="22"/>
                <w:szCs w:val="22"/>
              </w:rPr>
            </w:pPr>
            <w:r>
              <w:rPr>
                <w:b/>
                <w:i/>
                <w:sz w:val="22"/>
                <w:szCs w:val="22"/>
              </w:rPr>
              <w:t>-</w:t>
            </w:r>
          </w:p>
        </w:tc>
        <w:tc>
          <w:tcPr>
            <w:tcW w:w="1555" w:type="dxa"/>
          </w:tcPr>
          <w:p w14:paraId="6B684AE7" w14:textId="77777777" w:rsidR="001C08A5" w:rsidRDefault="00000000">
            <w:pPr>
              <w:jc w:val="both"/>
              <w:rPr>
                <w:b/>
                <w:i/>
                <w:strike/>
                <w:sz w:val="22"/>
                <w:szCs w:val="22"/>
              </w:rPr>
            </w:pPr>
            <w:r>
              <w:rPr>
                <w:b/>
                <w:i/>
                <w:sz w:val="22"/>
                <w:szCs w:val="22"/>
              </w:rPr>
              <w:t>min d0</w:t>
            </w:r>
          </w:p>
        </w:tc>
        <w:tc>
          <w:tcPr>
            <w:tcW w:w="1691" w:type="dxa"/>
          </w:tcPr>
          <w:p w14:paraId="1B0E6836" w14:textId="77777777" w:rsidR="001C08A5" w:rsidRDefault="00000000">
            <w:pPr>
              <w:jc w:val="both"/>
              <w:rPr>
                <w:b/>
                <w:i/>
                <w:sz w:val="22"/>
                <w:szCs w:val="22"/>
              </w:rPr>
            </w:pPr>
            <w:r>
              <w:rPr>
                <w:b/>
                <w:bCs/>
                <w:i/>
                <w:sz w:val="22"/>
                <w:szCs w:val="22"/>
              </w:rPr>
              <w:t>-</w:t>
            </w:r>
          </w:p>
        </w:tc>
      </w:tr>
    </w:tbl>
    <w:p w14:paraId="7FF79B79" w14:textId="77777777" w:rsidR="001C08A5" w:rsidRDefault="00000000">
      <w:pPr>
        <w:jc w:val="both"/>
        <w:rPr>
          <w:i/>
          <w:iCs/>
          <w:sz w:val="22"/>
          <w:szCs w:val="22"/>
        </w:rPr>
      </w:pPr>
      <w:r>
        <w:rPr>
          <w:i/>
          <w:iCs/>
          <w:sz w:val="22"/>
          <w:szCs w:val="22"/>
        </w:rPr>
        <w:t>Notă: ”</w:t>
      </w:r>
      <w:r>
        <w:rPr>
          <w:b/>
          <w:bCs/>
          <w:i/>
          <w:iCs/>
          <w:sz w:val="22"/>
          <w:szCs w:val="22"/>
        </w:rPr>
        <w:t>-</w:t>
      </w:r>
      <w:r>
        <w:rPr>
          <w:i/>
          <w:iCs/>
          <w:sz w:val="22"/>
          <w:szCs w:val="22"/>
        </w:rPr>
        <w:t>” reprezintă ”fără performanțe la foc necesare”</w:t>
      </w:r>
    </w:p>
    <w:p w14:paraId="59147F3F" w14:textId="77777777" w:rsidR="001C08A5" w:rsidRDefault="001C08A5">
      <w:pPr>
        <w:jc w:val="both"/>
        <w:rPr>
          <w:i/>
          <w:iCs/>
          <w:sz w:val="22"/>
          <w:szCs w:val="22"/>
        </w:rPr>
      </w:pPr>
    </w:p>
    <w:p w14:paraId="02626B55" w14:textId="77777777" w:rsidR="001C08A5" w:rsidRDefault="00000000">
      <w:pPr>
        <w:pStyle w:val="BodyTextIndent3"/>
        <w:spacing w:after="0"/>
        <w:ind w:left="0" w:firstLine="720"/>
        <w:jc w:val="both"/>
        <w:rPr>
          <w:b/>
          <w:sz w:val="24"/>
          <w:szCs w:val="24"/>
        </w:rPr>
      </w:pPr>
      <w:r>
        <w:rPr>
          <w:b/>
          <w:sz w:val="24"/>
          <w:szCs w:val="24"/>
        </w:rPr>
        <w:t xml:space="preserve">Art. </w:t>
      </w:r>
      <w:r>
        <w:rPr>
          <w:b/>
          <w:caps/>
          <w:sz w:val="24"/>
          <w:szCs w:val="24"/>
        </w:rPr>
        <w:t>3.1.4.</w:t>
      </w:r>
      <w:r>
        <w:rPr>
          <w:b/>
          <w:sz w:val="24"/>
          <w:szCs w:val="24"/>
        </w:rPr>
        <w:t xml:space="preserve">12. (1) </w:t>
      </w:r>
      <w:r>
        <w:rPr>
          <w:bCs/>
          <w:sz w:val="24"/>
          <w:szCs w:val="24"/>
        </w:rPr>
        <w:t>Î</w:t>
      </w:r>
      <w:r>
        <w:rPr>
          <w:rFonts w:eastAsia="TimesNewRomanPSMT"/>
          <w:bCs/>
          <w:sz w:val="24"/>
          <w:szCs w:val="24"/>
        </w:rPr>
        <w:t xml:space="preserve">ncăperile de depozitare a materialelor și substanţelor combustibile </w:t>
      </w:r>
      <w:r>
        <w:rPr>
          <w:bCs/>
          <w:sz w:val="24"/>
          <w:szCs w:val="24"/>
        </w:rPr>
        <w:t xml:space="preserve">precum și cele admise de </w:t>
      </w:r>
      <w:r>
        <w:rPr>
          <w:rFonts w:eastAsia="TimesNewRomanPSMT"/>
          <w:bCs/>
          <w:sz w:val="24"/>
          <w:szCs w:val="24"/>
        </w:rPr>
        <w:t xml:space="preserve">lichide combustibile vor îndeplini condițiile prevăzute la subcapitolul </w:t>
      </w:r>
      <w:r>
        <w:rPr>
          <w:rFonts w:eastAsia="TimesNewRomanPS-BoldItalicMT"/>
          <w:b/>
          <w:i/>
          <w:sz w:val="24"/>
          <w:szCs w:val="24"/>
        </w:rPr>
        <w:t>2.4.16. Încăperi de depozitare</w:t>
      </w:r>
      <w:r>
        <w:rPr>
          <w:rFonts w:eastAsia="TimesNewRomanPS-BoldMT"/>
          <w:bCs/>
          <w:sz w:val="24"/>
          <w:szCs w:val="24"/>
        </w:rPr>
        <w:t xml:space="preserve"> </w:t>
      </w:r>
      <w:r>
        <w:rPr>
          <w:rFonts w:eastAsia="TimesNewRomanPSMT"/>
          <w:bCs/>
          <w:sz w:val="24"/>
          <w:szCs w:val="24"/>
        </w:rPr>
        <w:t>privind încăperile de depozitare din clădiri civile.</w:t>
      </w:r>
    </w:p>
    <w:p w14:paraId="14BC4E62" w14:textId="77777777" w:rsidR="001C08A5" w:rsidRDefault="00000000">
      <w:pPr>
        <w:pStyle w:val="BodyTextIndent3"/>
        <w:spacing w:after="0"/>
        <w:ind w:left="0" w:firstLine="720"/>
        <w:jc w:val="both"/>
        <w:rPr>
          <w:sz w:val="24"/>
          <w:szCs w:val="24"/>
        </w:rPr>
      </w:pPr>
      <w:r>
        <w:rPr>
          <w:b/>
          <w:sz w:val="24"/>
          <w:szCs w:val="24"/>
        </w:rPr>
        <w:t xml:space="preserve">(2) </w:t>
      </w:r>
      <w:r>
        <w:rPr>
          <w:sz w:val="24"/>
          <w:szCs w:val="24"/>
        </w:rPr>
        <w:t>Depozitarea mărfurilor și substanţelor cu pericol de explozie în clădirile civile, precum și amplasarea atelierelor în care se utilizează astfel de materiale, nu este admisă decât în cazurile menţionate și cu respectarea prevederilor normativului.</w:t>
      </w:r>
    </w:p>
    <w:p w14:paraId="1717C96B" w14:textId="77777777" w:rsidR="001C08A5" w:rsidRDefault="001C08A5">
      <w:pPr>
        <w:jc w:val="both"/>
        <w:rPr>
          <w:i/>
          <w:iCs/>
          <w:sz w:val="22"/>
          <w:szCs w:val="22"/>
        </w:rPr>
      </w:pPr>
    </w:p>
    <w:p w14:paraId="0696C0C0" w14:textId="77777777" w:rsidR="001C08A5" w:rsidRDefault="00000000">
      <w:pPr>
        <w:pStyle w:val="Heading4"/>
      </w:pPr>
      <w:bookmarkStart w:id="3105" w:name="_Toc4025"/>
      <w:bookmarkStart w:id="3106" w:name="_Toc5152"/>
      <w:bookmarkStart w:id="3107" w:name="_Toc20694"/>
      <w:bookmarkStart w:id="3108" w:name="_Toc10019"/>
      <w:bookmarkStart w:id="3109" w:name="_Toc13857"/>
      <w:bookmarkStart w:id="3110" w:name="_Toc20093"/>
      <w:bookmarkStart w:id="3111" w:name="_Toc9024"/>
      <w:bookmarkStart w:id="3112" w:name="_Toc162355284"/>
      <w:r>
        <w:lastRenderedPageBreak/>
        <w:t>3.1.5. Căi de evacuare a utilizatorilor în caz de incendiu</w:t>
      </w:r>
      <w:bookmarkEnd w:id="3105"/>
      <w:bookmarkEnd w:id="3106"/>
      <w:bookmarkEnd w:id="3107"/>
      <w:bookmarkEnd w:id="3108"/>
      <w:bookmarkEnd w:id="3109"/>
      <w:bookmarkEnd w:id="3110"/>
      <w:bookmarkEnd w:id="3111"/>
      <w:bookmarkEnd w:id="3112"/>
    </w:p>
    <w:p w14:paraId="606D4609" w14:textId="77777777" w:rsidR="001C08A5" w:rsidRDefault="001C08A5">
      <w:pPr>
        <w:jc w:val="both"/>
        <w:rPr>
          <w:b/>
          <w:sz w:val="24"/>
          <w:szCs w:val="24"/>
        </w:rPr>
      </w:pPr>
    </w:p>
    <w:p w14:paraId="5B24C1A0"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Art. </w:t>
      </w:r>
      <w:r>
        <w:rPr>
          <w:b/>
          <w:caps/>
          <w:sz w:val="24"/>
          <w:szCs w:val="24"/>
        </w:rPr>
        <w:t>3.1.5.</w:t>
      </w:r>
      <w:r>
        <w:rPr>
          <w:b/>
          <w:sz w:val="24"/>
          <w:szCs w:val="24"/>
        </w:rPr>
        <w:t xml:space="preserve">1. (1) </w:t>
      </w:r>
      <w:r>
        <w:rPr>
          <w:sz w:val="24"/>
          <w:szCs w:val="24"/>
          <w:lang w:eastAsia="ro-RO"/>
        </w:rPr>
        <w:t>Clădirile civile vor avea asigurat numărul necesar de căi de evacuare a utlizatorilor în caz de incendiu, corespunzător dispuse, alcătuite și dimensionate, potrivit prevederilor normativului (</w:t>
      </w:r>
      <w:r>
        <w:rPr>
          <w:sz w:val="24"/>
          <w:szCs w:val="24"/>
        </w:rPr>
        <w:t>conform prevederilor generale precum și privind performanțele comune şi cele specifice</w:t>
      </w:r>
      <w:r>
        <w:rPr>
          <w:sz w:val="24"/>
          <w:szCs w:val="24"/>
          <w:lang w:eastAsia="ro-RO"/>
        </w:rPr>
        <w:t>).</w:t>
      </w:r>
    </w:p>
    <w:p w14:paraId="2C2508B8" w14:textId="77777777" w:rsidR="001C08A5" w:rsidRDefault="00000000">
      <w:pPr>
        <w:suppressAutoHyphens w:val="0"/>
        <w:autoSpaceDE w:val="0"/>
        <w:autoSpaceDN w:val="0"/>
        <w:adjustRightInd w:val="0"/>
        <w:ind w:firstLine="720"/>
        <w:jc w:val="both"/>
        <w:rPr>
          <w:sz w:val="24"/>
          <w:szCs w:val="24"/>
          <w:lang w:eastAsia="ro-RO"/>
        </w:rPr>
      </w:pPr>
      <w:r>
        <w:rPr>
          <w:b/>
          <w:sz w:val="24"/>
          <w:szCs w:val="24"/>
        </w:rPr>
        <w:t xml:space="preserve">(2) </w:t>
      </w:r>
      <w:r>
        <w:rPr>
          <w:sz w:val="24"/>
          <w:szCs w:val="24"/>
        </w:rPr>
        <w:t>Pereţii şi planşeele de separare ale caselor de scări închise şi a circulaţiilor comune orizontale funcţionale și de evacuare din clădiri civile şi golurile de circulaţie funcţională şi de evacuare a utilizatorilor, practicate în pereţii care separă de restul construcţiei civile casele de scări, căile lor de ieşire în exterior la nivelul terenului sau al carosabilului adiacent şi circulaţiile comune orizontale funcţionale şi de evacuare din clădiri civile, vor corespunde prevederilor privind performanțele specifice destinaţiei și tipului acestor clădiri.</w:t>
      </w:r>
    </w:p>
    <w:p w14:paraId="23CC3C68" w14:textId="77777777" w:rsidR="001C08A5" w:rsidRDefault="00000000">
      <w:pPr>
        <w:pStyle w:val="BodyText"/>
        <w:ind w:firstLine="680"/>
        <w:rPr>
          <w:b w:val="0"/>
          <w:bCs w:val="0"/>
          <w:i w:val="0"/>
        </w:rPr>
      </w:pPr>
      <w:r>
        <w:rPr>
          <w:i w:val="0"/>
        </w:rPr>
        <w:tab/>
        <w:t xml:space="preserve">(2) </w:t>
      </w:r>
      <w:r>
        <w:rPr>
          <w:b w:val="0"/>
          <w:i w:val="0"/>
        </w:rPr>
        <w:t xml:space="preserve">În </w:t>
      </w:r>
      <w:r>
        <w:rPr>
          <w:b w:val="0"/>
          <w:bCs w:val="0"/>
          <w:i w:val="0"/>
        </w:rPr>
        <w:t xml:space="preserve">clădirile civile golurile de acces la casele de scări respectă </w:t>
      </w:r>
      <w:r>
        <w:rPr>
          <w:b w:val="0"/>
          <w:i w:val="0"/>
        </w:rPr>
        <w:t>prevederile privind performanțele  specifice destinaţiei și tipului de clădiri civile.</w:t>
      </w:r>
    </w:p>
    <w:p w14:paraId="6D363925"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(3) </w:t>
      </w:r>
      <w:r>
        <w:rPr>
          <w:sz w:val="24"/>
          <w:szCs w:val="24"/>
          <w:lang w:eastAsia="ro-RO"/>
        </w:rPr>
        <w:t xml:space="preserve">În clădirile civile care nu sunt înalte sau foarte înalte, de sănătate sau învăţământ, golurile de acces la casele de scări pot avea uşi cu autoînchidere </w:t>
      </w:r>
      <w:r>
        <w:rPr>
          <w:b/>
          <w:sz w:val="24"/>
          <w:szCs w:val="24"/>
          <w:lang w:eastAsia="ro-RO"/>
        </w:rPr>
        <w:t>C5</w:t>
      </w:r>
      <w:r>
        <w:rPr>
          <w:sz w:val="24"/>
          <w:szCs w:val="24"/>
          <w:vertAlign w:val="subscript"/>
          <w:lang w:eastAsia="ro-RO"/>
        </w:rPr>
        <w:t xml:space="preserve">, </w:t>
      </w:r>
      <w:r>
        <w:rPr>
          <w:sz w:val="24"/>
          <w:szCs w:val="24"/>
          <w:lang w:eastAsia="ro-RO"/>
        </w:rPr>
        <w:t>spre coridoare, vestibuluri de etaj și holuri, dacă normativul nu dispune altfel și se îndeplinesc următoarele condiţii:</w:t>
      </w:r>
    </w:p>
    <w:p w14:paraId="543B38B3" w14:textId="77777777" w:rsidR="001C08A5" w:rsidRDefault="00000000">
      <w:pPr>
        <w:suppressAutoHyphens w:val="0"/>
        <w:autoSpaceDE w:val="0"/>
        <w:autoSpaceDN w:val="0"/>
        <w:adjustRightInd w:val="0"/>
        <w:ind w:left="1701"/>
        <w:jc w:val="both"/>
        <w:rPr>
          <w:sz w:val="24"/>
          <w:szCs w:val="24"/>
          <w:lang w:eastAsia="ro-RO"/>
        </w:rPr>
      </w:pPr>
      <w:r>
        <w:rPr>
          <w:b/>
          <w:sz w:val="24"/>
          <w:szCs w:val="24"/>
          <w:lang w:eastAsia="ro-RO"/>
        </w:rPr>
        <w:t>a)</w:t>
      </w:r>
      <w:r>
        <w:rPr>
          <w:sz w:val="24"/>
          <w:szCs w:val="24"/>
          <w:lang w:eastAsia="ro-RO"/>
        </w:rPr>
        <w:t xml:space="preserve"> pereţii şi planşeele coridoarelor, vestibulurilor, holurilor au aceeaşi rezistenţă la foc cu cele ale caselor de scări;</w:t>
      </w:r>
    </w:p>
    <w:p w14:paraId="7EFB1965" w14:textId="77777777" w:rsidR="001C08A5" w:rsidRDefault="00000000">
      <w:pPr>
        <w:suppressAutoHyphens w:val="0"/>
        <w:autoSpaceDE w:val="0"/>
        <w:autoSpaceDN w:val="0"/>
        <w:adjustRightInd w:val="0"/>
        <w:ind w:left="1701"/>
        <w:jc w:val="both"/>
        <w:rPr>
          <w:sz w:val="24"/>
          <w:szCs w:val="24"/>
          <w:lang w:eastAsia="ro-RO"/>
        </w:rPr>
      </w:pPr>
      <w:r>
        <w:rPr>
          <w:b/>
          <w:sz w:val="24"/>
          <w:szCs w:val="24"/>
          <w:lang w:eastAsia="ro-RO"/>
        </w:rPr>
        <w:t>b)</w:t>
      </w:r>
      <w:r>
        <w:rPr>
          <w:sz w:val="24"/>
          <w:szCs w:val="24"/>
          <w:lang w:eastAsia="ro-RO"/>
        </w:rPr>
        <w:t xml:space="preserve"> între coridoare, vestibuluri sau holuri şi încăperile adiacente, inclusiv alte case de scări, se prevăd uşi </w:t>
      </w:r>
      <w:r>
        <w:rPr>
          <w:b/>
          <w:sz w:val="24"/>
          <w:szCs w:val="24"/>
          <w:lang w:eastAsia="ro-RO"/>
        </w:rPr>
        <w:t xml:space="preserve">C5, </w:t>
      </w:r>
      <w:r>
        <w:rPr>
          <w:sz w:val="24"/>
          <w:szCs w:val="24"/>
        </w:rPr>
        <w:t>iar aceste uşi ale încăperilor adiacente trebuie să aibă performanţa la foc cel puţin egală cu acea a uşilor folosite la case de scări închise, corespunzatoare prevederilor privind performanțele specifice fiecărei destinaţii şi tip de clădire;</w:t>
      </w:r>
    </w:p>
    <w:p w14:paraId="020A26E4" w14:textId="77777777" w:rsidR="001C08A5" w:rsidRDefault="00000000">
      <w:pPr>
        <w:suppressAutoHyphens w:val="0"/>
        <w:autoSpaceDE w:val="0"/>
        <w:autoSpaceDN w:val="0"/>
        <w:adjustRightInd w:val="0"/>
        <w:ind w:left="1701"/>
        <w:jc w:val="both"/>
        <w:rPr>
          <w:sz w:val="24"/>
          <w:szCs w:val="24"/>
          <w:lang w:eastAsia="ro-RO"/>
        </w:rPr>
      </w:pPr>
      <w:r>
        <w:rPr>
          <w:b/>
          <w:sz w:val="24"/>
          <w:szCs w:val="24"/>
          <w:lang w:eastAsia="ro-RO"/>
        </w:rPr>
        <w:t>c)</w:t>
      </w:r>
      <w:r>
        <w:rPr>
          <w:sz w:val="24"/>
          <w:szCs w:val="24"/>
          <w:lang w:eastAsia="ro-RO"/>
        </w:rPr>
        <w:t xml:space="preserve"> eventualele ferestre pentru iluminarea indirectă a coridoarelor de etaj sau a holurilor ori vestibulurilor, practicate în pereţii ce le separă de încăperile adiacente, sunt protejate conform </w:t>
      </w:r>
      <w:r>
        <w:rPr>
          <w:b/>
          <w:sz w:val="24"/>
          <w:szCs w:val="24"/>
          <w:lang w:eastAsia="ro-RO"/>
        </w:rPr>
        <w:t>Art.</w:t>
      </w:r>
      <w:r>
        <w:rPr>
          <w:b/>
          <w:sz w:val="24"/>
          <w:szCs w:val="24"/>
        </w:rPr>
        <w:t>2.5.6.2.2</w:t>
      </w:r>
      <w:r>
        <w:rPr>
          <w:sz w:val="24"/>
          <w:szCs w:val="24"/>
          <w:lang w:eastAsia="ro-RO"/>
        </w:rPr>
        <w:t>.</w:t>
      </w:r>
    </w:p>
    <w:p w14:paraId="5A829B38" w14:textId="77777777" w:rsidR="001C08A5" w:rsidRDefault="001C08A5">
      <w:pPr>
        <w:jc w:val="both"/>
        <w:rPr>
          <w:b/>
          <w:sz w:val="24"/>
          <w:szCs w:val="24"/>
        </w:rPr>
      </w:pPr>
    </w:p>
    <w:p w14:paraId="5F899B7F" w14:textId="77777777" w:rsidR="001C08A5" w:rsidRDefault="00000000">
      <w:pPr>
        <w:jc w:val="both"/>
        <w:rPr>
          <w:b/>
          <w:sz w:val="24"/>
          <w:szCs w:val="24"/>
        </w:rPr>
      </w:pPr>
      <w:r>
        <w:rPr>
          <w:b/>
          <w:sz w:val="24"/>
          <w:szCs w:val="24"/>
        </w:rPr>
        <w:tab/>
        <w:t xml:space="preserve">Art. </w:t>
      </w:r>
      <w:r>
        <w:rPr>
          <w:b/>
          <w:caps/>
          <w:sz w:val="24"/>
          <w:szCs w:val="24"/>
        </w:rPr>
        <w:t>3.1.5.</w:t>
      </w:r>
      <w:r>
        <w:rPr>
          <w:b/>
          <w:sz w:val="24"/>
          <w:szCs w:val="24"/>
        </w:rPr>
        <w:t xml:space="preserve">2. (1) </w:t>
      </w:r>
      <w:r>
        <w:rPr>
          <w:sz w:val="24"/>
          <w:szCs w:val="24"/>
          <w:lang w:eastAsia="ro-RO"/>
        </w:rPr>
        <w:t>Sunt admise scări de evacuare interioare deschise în construcţiile civile, dacă servesc la evacuarea utilizatorilor a cel mult două niveluri supraterane succesive.</w:t>
      </w:r>
    </w:p>
    <w:p w14:paraId="3D1F340C" w14:textId="77777777" w:rsidR="001C08A5" w:rsidRDefault="00000000">
      <w:pPr>
        <w:jc w:val="both"/>
        <w:rPr>
          <w:sz w:val="24"/>
          <w:szCs w:val="24"/>
          <w:lang w:eastAsia="ro-RO"/>
        </w:rPr>
      </w:pPr>
      <w:r>
        <w:rPr>
          <w:b/>
          <w:sz w:val="24"/>
          <w:szCs w:val="24"/>
        </w:rPr>
        <w:tab/>
        <w:t xml:space="preserve">(2) </w:t>
      </w:r>
      <w:r>
        <w:rPr>
          <w:sz w:val="24"/>
          <w:szCs w:val="24"/>
          <w:lang w:eastAsia="ro-RO"/>
        </w:rPr>
        <w:t xml:space="preserve">Scările amplasate în volumul atriumului şi neînchise în case de scări proprii, nu constituie căi de evacuare în caz de incendiu. Fac excepţie atriumurile cu înălţimea de maximum patru niveluri ale construcţiei, unde se consideră că pe scara deschisă în atrium, se poate asigura trecerea unui singur flux de evacuare, chiar dacă lăţimea rampelor asigură mai multe fluxuri. </w:t>
      </w:r>
    </w:p>
    <w:p w14:paraId="711C9330" w14:textId="77777777" w:rsidR="001C08A5" w:rsidRDefault="001C08A5">
      <w:pPr>
        <w:jc w:val="both"/>
        <w:rPr>
          <w:sz w:val="24"/>
          <w:szCs w:val="24"/>
          <w:lang w:eastAsia="ro-RO"/>
        </w:rPr>
      </w:pPr>
    </w:p>
    <w:p w14:paraId="704788AD" w14:textId="77777777" w:rsidR="001C08A5" w:rsidRDefault="00000000">
      <w:pPr>
        <w:autoSpaceDE w:val="0"/>
        <w:jc w:val="both"/>
        <w:rPr>
          <w:b/>
          <w:bCs/>
          <w:sz w:val="24"/>
          <w:szCs w:val="24"/>
          <w:vertAlign w:val="subscript"/>
        </w:rPr>
      </w:pPr>
      <w:r>
        <w:rPr>
          <w:b/>
          <w:sz w:val="24"/>
          <w:szCs w:val="24"/>
        </w:rPr>
        <w:tab/>
        <w:t xml:space="preserve">Art. </w:t>
      </w:r>
      <w:r>
        <w:rPr>
          <w:b/>
          <w:caps/>
          <w:sz w:val="24"/>
          <w:szCs w:val="24"/>
        </w:rPr>
        <w:t>3.1.5.</w:t>
      </w:r>
      <w:r>
        <w:rPr>
          <w:b/>
          <w:sz w:val="24"/>
          <w:szCs w:val="24"/>
        </w:rPr>
        <w:t xml:space="preserve">3. </w:t>
      </w:r>
      <w:r>
        <w:rPr>
          <w:sz w:val="24"/>
          <w:szCs w:val="24"/>
        </w:rPr>
        <w:t xml:space="preserve">Dispunerea, alcătuirea, gabaritele și numărul căilor de evacuare, lungimea de evacuare, traseele prevăzute și numărul unităţilor de trecere (fluxuri) de evacuare asigurate, numărul normat de utilizatori pe unitatea de trecere (flux) de evacuare </w:t>
      </w:r>
      <w:r>
        <w:rPr>
          <w:b/>
          <w:bCs/>
          <w:sz w:val="24"/>
          <w:szCs w:val="24"/>
        </w:rPr>
        <w:t>(U</w:t>
      </w:r>
      <w:r>
        <w:rPr>
          <w:b/>
          <w:bCs/>
          <w:sz w:val="24"/>
          <w:szCs w:val="24"/>
          <w:vertAlign w:val="subscript"/>
        </w:rPr>
        <w:t>f</w:t>
      </w:r>
      <w:r>
        <w:rPr>
          <w:b/>
          <w:bCs/>
          <w:sz w:val="24"/>
          <w:szCs w:val="24"/>
        </w:rPr>
        <w:t>)</w:t>
      </w:r>
      <w:r>
        <w:rPr>
          <w:sz w:val="24"/>
          <w:szCs w:val="24"/>
        </w:rPr>
        <w:t>, trebuie să îndeplinească condiţiile de circulaţie şi evacuare a utilizatorilor construcţiei, stabilite în prevederile generale precum și performanțele comune și cele specifice destinaţiei și tipului de clădiri civile, astfel încât să îndeplinească performanţele corespunzătoare destinaţiei, tipului de construcţie, riscului de incendiu şi nivelului de stabilitate la incendiu asigurat.</w:t>
      </w:r>
    </w:p>
    <w:p w14:paraId="035358F3" w14:textId="77777777" w:rsidR="001C08A5" w:rsidRDefault="001C08A5">
      <w:pPr>
        <w:suppressAutoHyphens w:val="0"/>
        <w:autoSpaceDE w:val="0"/>
        <w:autoSpaceDN w:val="0"/>
        <w:adjustRightInd w:val="0"/>
        <w:jc w:val="both"/>
        <w:rPr>
          <w:b/>
          <w:sz w:val="24"/>
          <w:szCs w:val="24"/>
        </w:rPr>
      </w:pPr>
    </w:p>
    <w:p w14:paraId="2F881EBF"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Art. </w:t>
      </w:r>
      <w:r>
        <w:rPr>
          <w:b/>
          <w:caps/>
          <w:sz w:val="24"/>
          <w:szCs w:val="24"/>
        </w:rPr>
        <w:t>3.1.5.</w:t>
      </w:r>
      <w:r>
        <w:rPr>
          <w:b/>
          <w:sz w:val="24"/>
          <w:szCs w:val="24"/>
        </w:rPr>
        <w:t xml:space="preserve">4. (1) </w:t>
      </w:r>
      <w:r>
        <w:rPr>
          <w:sz w:val="24"/>
          <w:szCs w:val="24"/>
          <w:lang w:eastAsia="ro-RO"/>
        </w:rPr>
        <w:t xml:space="preserve">Lungimile maximum admise ale căilor de evacuare din clădirile civile obișnuite </w:t>
      </w:r>
      <w:r>
        <w:rPr>
          <w:sz w:val="24"/>
          <w:szCs w:val="24"/>
        </w:rPr>
        <w:t>(cu excepţia clădirilor înalte și foarte înalte)</w:t>
      </w:r>
      <w:r>
        <w:rPr>
          <w:sz w:val="24"/>
          <w:szCs w:val="24"/>
          <w:lang w:eastAsia="ro-RO"/>
        </w:rPr>
        <w:t xml:space="preserve">, sunt cele prevăzute în prevederile </w:t>
      </w:r>
      <w:r>
        <w:rPr>
          <w:sz w:val="24"/>
          <w:szCs w:val="24"/>
        </w:rPr>
        <w:t>privind performanțele</w:t>
      </w:r>
      <w:r>
        <w:rPr>
          <w:sz w:val="24"/>
          <w:szCs w:val="24"/>
          <w:lang w:eastAsia="ro-RO"/>
        </w:rPr>
        <w:t xml:space="preserve"> specifice </w:t>
      </w:r>
      <w:r>
        <w:rPr>
          <w:sz w:val="24"/>
          <w:szCs w:val="24"/>
        </w:rPr>
        <w:t>destinaţiei și tipului de clădiri civile</w:t>
      </w:r>
      <w:r>
        <w:rPr>
          <w:sz w:val="24"/>
          <w:szCs w:val="24"/>
          <w:lang w:eastAsia="ro-RO"/>
        </w:rPr>
        <w:t>, iar pentru atriumuri conform prevederilor din</w:t>
      </w:r>
      <w:r>
        <w:rPr>
          <w:sz w:val="24"/>
          <w:szCs w:val="24"/>
          <w:lang w:val="en-US" w:eastAsia="ro-RO"/>
        </w:rPr>
        <w:t xml:space="preserve"> </w:t>
      </w:r>
      <w:r>
        <w:rPr>
          <w:rFonts w:cs="Mangal"/>
          <w:b/>
          <w:i/>
          <w:iCs/>
          <w:sz w:val="24"/>
          <w:szCs w:val="24"/>
          <w:lang w:val="en-US" w:eastAsia="ro-RO"/>
        </w:rPr>
        <w:fldChar w:fldCharType="begin"/>
      </w:r>
      <w:r>
        <w:rPr>
          <w:rFonts w:cs="Mangal"/>
          <w:b/>
          <w:i/>
          <w:iCs/>
          <w:sz w:val="24"/>
          <w:szCs w:val="24"/>
          <w:lang w:val="en-US" w:eastAsia="ro-RO"/>
        </w:rPr>
        <w:instrText xml:space="preserve"> REF _Ref13548 \h </w:instrText>
      </w:r>
      <w:r>
        <w:rPr>
          <w:rFonts w:cs="Mangal"/>
          <w:b/>
          <w:i/>
          <w:iCs/>
          <w:sz w:val="24"/>
          <w:szCs w:val="24"/>
          <w:lang w:val="en-US" w:eastAsia="ro-RO"/>
        </w:rPr>
      </w:r>
      <w:r>
        <w:rPr>
          <w:rFonts w:cs="Mangal"/>
          <w:b/>
          <w:i/>
          <w:iCs/>
          <w:sz w:val="24"/>
          <w:szCs w:val="24"/>
          <w:lang w:val="en-US" w:eastAsia="ro-RO"/>
        </w:rPr>
        <w:fldChar w:fldCharType="separate"/>
      </w:r>
      <w:r>
        <w:t>Tabelul 50</w:t>
      </w:r>
      <w:r>
        <w:rPr>
          <w:rFonts w:cs="Mangal"/>
          <w:b/>
          <w:i/>
          <w:iCs/>
          <w:sz w:val="24"/>
          <w:szCs w:val="24"/>
          <w:lang w:val="en-US" w:eastAsia="ro-RO"/>
        </w:rPr>
        <w:fldChar w:fldCharType="end"/>
      </w:r>
      <w:r>
        <w:rPr>
          <w:sz w:val="24"/>
          <w:szCs w:val="24"/>
          <w:lang w:eastAsia="ro-RO"/>
        </w:rPr>
        <w:t>.</w:t>
      </w:r>
    </w:p>
    <w:p w14:paraId="14104F45" w14:textId="77777777" w:rsidR="001C08A5" w:rsidRDefault="00000000">
      <w:pPr>
        <w:suppressAutoHyphens w:val="0"/>
        <w:autoSpaceDE w:val="0"/>
        <w:autoSpaceDN w:val="0"/>
        <w:adjustRightInd w:val="0"/>
        <w:ind w:firstLine="720"/>
        <w:jc w:val="both"/>
        <w:rPr>
          <w:sz w:val="24"/>
          <w:szCs w:val="24"/>
          <w:lang w:eastAsia="ro-RO"/>
        </w:rPr>
      </w:pPr>
      <w:r>
        <w:rPr>
          <w:b/>
          <w:sz w:val="24"/>
          <w:szCs w:val="24"/>
        </w:rPr>
        <w:t xml:space="preserve">(2) </w:t>
      </w:r>
      <w:r>
        <w:rPr>
          <w:sz w:val="24"/>
          <w:szCs w:val="24"/>
          <w:lang w:eastAsia="ro-RO"/>
        </w:rPr>
        <w:t>Lungimile maximum admise ale căilor de evacuare din clădirile civile</w:t>
      </w:r>
      <w:r>
        <w:rPr>
          <w:sz w:val="24"/>
          <w:szCs w:val="24"/>
        </w:rPr>
        <w:t xml:space="preserve"> înalte și foarte înalte pe circulațiile comune orizontale deschise spre atriumuri se vor reduce cu </w:t>
      </w:r>
      <w:r>
        <w:rPr>
          <w:b/>
          <w:bCs/>
          <w:sz w:val="24"/>
          <w:szCs w:val="24"/>
        </w:rPr>
        <w:t>25%</w:t>
      </w:r>
      <w:r>
        <w:rPr>
          <w:sz w:val="24"/>
          <w:szCs w:val="24"/>
        </w:rPr>
        <w:t xml:space="preserve"> față de lungimile de evacuare specifice acestor clădiri. Pentru încăperile de dormit din hoteluri, moteluri, cãmine, spitale, locuinţe și altele similare</w:t>
      </w:r>
      <w:r>
        <w:rPr>
          <w:sz w:val="24"/>
          <w:szCs w:val="24"/>
          <w:lang w:eastAsia="ro-RO"/>
        </w:rPr>
        <w:t xml:space="preserve"> din clădirile civile</w:t>
      </w:r>
      <w:r>
        <w:rPr>
          <w:sz w:val="24"/>
          <w:szCs w:val="24"/>
        </w:rPr>
        <w:t xml:space="preserve"> înalte și foarte înalte, lungimile căilor de evacuare de evacuare pe circulaţiile comune orizontale deschise spre atriumuri se reduc cu </w:t>
      </w:r>
      <w:r>
        <w:rPr>
          <w:b/>
          <w:bCs/>
          <w:sz w:val="24"/>
          <w:szCs w:val="24"/>
        </w:rPr>
        <w:t>50%.</w:t>
      </w:r>
    </w:p>
    <w:p w14:paraId="50BDD84A" w14:textId="77777777" w:rsidR="001C08A5" w:rsidRDefault="001C08A5">
      <w:pPr>
        <w:suppressAutoHyphens w:val="0"/>
        <w:autoSpaceDE w:val="0"/>
        <w:autoSpaceDN w:val="0"/>
        <w:adjustRightInd w:val="0"/>
        <w:jc w:val="both"/>
        <w:rPr>
          <w:sz w:val="24"/>
          <w:szCs w:val="24"/>
          <w:lang w:eastAsia="ro-RO"/>
        </w:rPr>
      </w:pPr>
    </w:p>
    <w:p w14:paraId="1E1F8100" w14:textId="77777777" w:rsidR="001C08A5" w:rsidRDefault="00000000">
      <w:pPr>
        <w:pStyle w:val="Captiontabel"/>
      </w:pPr>
      <w:bookmarkStart w:id="3113" w:name="_Ref13548"/>
      <w:bookmarkStart w:id="3114" w:name="_Toc162360100"/>
      <w:bookmarkStart w:id="3115" w:name="_Ref9587"/>
      <w:r>
        <w:lastRenderedPageBreak/>
        <w:t xml:space="preserve">Tabelul </w:t>
      </w:r>
      <w:r>
        <w:fldChar w:fldCharType="begin"/>
      </w:r>
      <w:r>
        <w:instrText xml:space="preserve"> SEQ Tabelul \* ARABIC </w:instrText>
      </w:r>
      <w:r>
        <w:fldChar w:fldCharType="separate"/>
      </w:r>
      <w:r>
        <w:t>50</w:t>
      </w:r>
      <w:r>
        <w:fldChar w:fldCharType="end"/>
      </w:r>
      <w:bookmarkStart w:id="3116" w:name="_Toc23699"/>
      <w:bookmarkStart w:id="3117" w:name="_Toc4222"/>
      <w:bookmarkStart w:id="3118" w:name="_Toc3977"/>
      <w:bookmarkStart w:id="3119" w:name="_Toc3304"/>
      <w:bookmarkStart w:id="3120" w:name="_Toc5167"/>
      <w:bookmarkStart w:id="3121" w:name="_Toc29062"/>
      <w:bookmarkStart w:id="3122" w:name="_Toc18362"/>
      <w:bookmarkStart w:id="3123" w:name="_Toc1841"/>
      <w:bookmarkStart w:id="3124" w:name="_Toc15893"/>
      <w:bookmarkStart w:id="3125" w:name="_Toc25816"/>
      <w:bookmarkStart w:id="3126" w:name="_Toc16471"/>
      <w:bookmarkStart w:id="3127" w:name="_Toc20739"/>
      <w:bookmarkStart w:id="3128" w:name="_Toc23949"/>
      <w:bookmarkStart w:id="3129" w:name="_Toc10099"/>
      <w:bookmarkStart w:id="3130" w:name="_Toc29086"/>
      <w:bookmarkStart w:id="3131" w:name="_Toc23601"/>
      <w:bookmarkStart w:id="3132" w:name="_Toc412"/>
      <w:bookmarkStart w:id="3133" w:name="_Toc7371"/>
      <w:bookmarkStart w:id="3134" w:name="_Toc49"/>
      <w:bookmarkEnd w:id="3113"/>
      <w:r>
        <w:t>: Lungimi de evacuare pe circulaţiile comune orizontale deschise spre atriumuri</w:t>
      </w:r>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p>
    <w:p w14:paraId="39A4A8FA" w14:textId="77777777" w:rsidR="001C08A5" w:rsidRDefault="001C08A5">
      <w:pPr>
        <w:jc w:val="both"/>
        <w:rPr>
          <w:sz w:val="24"/>
          <w:szCs w:val="24"/>
        </w:rPr>
      </w:pPr>
    </w:p>
    <w:tbl>
      <w:tblPr>
        <w:tblW w:w="4998" w:type="pct"/>
        <w:tblLook w:val="04A0" w:firstRow="1" w:lastRow="0" w:firstColumn="1" w:lastColumn="0" w:noHBand="0" w:noVBand="1"/>
      </w:tblPr>
      <w:tblGrid>
        <w:gridCol w:w="516"/>
        <w:gridCol w:w="1072"/>
        <w:gridCol w:w="1096"/>
        <w:gridCol w:w="1157"/>
        <w:gridCol w:w="1298"/>
        <w:gridCol w:w="4476"/>
      </w:tblGrid>
      <w:tr w:rsidR="001C08A5" w14:paraId="604DACD7" w14:textId="77777777">
        <w:tc>
          <w:tcPr>
            <w:tcW w:w="240" w:type="pct"/>
            <w:vMerge w:val="restart"/>
            <w:tcBorders>
              <w:top w:val="single" w:sz="8" w:space="0" w:color="000000"/>
              <w:left w:val="single" w:sz="8" w:space="0" w:color="000000"/>
              <w:bottom w:val="single" w:sz="4" w:space="0" w:color="000000"/>
            </w:tcBorders>
            <w:shd w:val="clear" w:color="auto" w:fill="BFBFBF"/>
          </w:tcPr>
          <w:p w14:paraId="7CF35FB3" w14:textId="77777777" w:rsidR="001C08A5" w:rsidRDefault="001C08A5">
            <w:pPr>
              <w:snapToGrid w:val="0"/>
              <w:jc w:val="center"/>
              <w:rPr>
                <w:b/>
                <w:i/>
                <w:iCs/>
                <w:sz w:val="22"/>
                <w:szCs w:val="22"/>
              </w:rPr>
            </w:pPr>
          </w:p>
          <w:p w14:paraId="1FAB50E9" w14:textId="77777777" w:rsidR="001C08A5" w:rsidRDefault="001C08A5">
            <w:pPr>
              <w:jc w:val="center"/>
              <w:rPr>
                <w:b/>
                <w:i/>
                <w:iCs/>
                <w:sz w:val="22"/>
                <w:szCs w:val="22"/>
              </w:rPr>
            </w:pPr>
          </w:p>
          <w:p w14:paraId="0A4BD04B" w14:textId="77777777" w:rsidR="001C08A5" w:rsidRDefault="00000000">
            <w:pPr>
              <w:jc w:val="center"/>
              <w:rPr>
                <w:i/>
                <w:iCs/>
                <w:sz w:val="22"/>
                <w:szCs w:val="22"/>
              </w:rPr>
            </w:pPr>
            <w:r>
              <w:rPr>
                <w:b/>
                <w:i/>
                <w:iCs/>
                <w:sz w:val="22"/>
                <w:szCs w:val="22"/>
              </w:rPr>
              <w:t>Nr. crt.</w:t>
            </w:r>
          </w:p>
          <w:p w14:paraId="198271F7" w14:textId="77777777" w:rsidR="001C08A5" w:rsidRDefault="001C08A5">
            <w:pPr>
              <w:jc w:val="center"/>
              <w:rPr>
                <w:i/>
                <w:iCs/>
                <w:sz w:val="22"/>
                <w:szCs w:val="22"/>
              </w:rPr>
            </w:pPr>
          </w:p>
        </w:tc>
        <w:tc>
          <w:tcPr>
            <w:tcW w:w="474" w:type="pct"/>
            <w:vMerge w:val="restart"/>
            <w:tcBorders>
              <w:top w:val="single" w:sz="8" w:space="0" w:color="000000"/>
              <w:left w:val="single" w:sz="4" w:space="0" w:color="000000"/>
              <w:bottom w:val="single" w:sz="4" w:space="0" w:color="000000"/>
            </w:tcBorders>
            <w:shd w:val="clear" w:color="auto" w:fill="BFBFBF"/>
          </w:tcPr>
          <w:p w14:paraId="3C5AC45B" w14:textId="77777777" w:rsidR="001C08A5" w:rsidRDefault="001C08A5">
            <w:pPr>
              <w:snapToGrid w:val="0"/>
              <w:jc w:val="center"/>
              <w:rPr>
                <w:b/>
                <w:i/>
                <w:iCs/>
                <w:sz w:val="22"/>
                <w:szCs w:val="22"/>
              </w:rPr>
            </w:pPr>
          </w:p>
          <w:p w14:paraId="012BB6AC" w14:textId="77777777" w:rsidR="001C08A5" w:rsidRDefault="001C08A5">
            <w:pPr>
              <w:jc w:val="center"/>
              <w:rPr>
                <w:b/>
                <w:i/>
                <w:iCs/>
                <w:sz w:val="22"/>
                <w:szCs w:val="22"/>
              </w:rPr>
            </w:pPr>
          </w:p>
          <w:p w14:paraId="050B8F46" w14:textId="77777777" w:rsidR="001C08A5" w:rsidRDefault="00000000">
            <w:pPr>
              <w:jc w:val="center"/>
              <w:rPr>
                <w:b/>
                <w:i/>
                <w:iCs/>
                <w:sz w:val="22"/>
                <w:szCs w:val="22"/>
              </w:rPr>
            </w:pPr>
            <w:r>
              <w:rPr>
                <w:b/>
                <w:i/>
                <w:iCs/>
                <w:sz w:val="22"/>
                <w:szCs w:val="22"/>
              </w:rPr>
              <w:t xml:space="preserve">Clădiri </w:t>
            </w:r>
          </w:p>
          <w:p w14:paraId="2784190B" w14:textId="77777777" w:rsidR="001C08A5" w:rsidRDefault="00000000">
            <w:pPr>
              <w:jc w:val="center"/>
              <w:rPr>
                <w:i/>
                <w:iCs/>
                <w:sz w:val="22"/>
                <w:szCs w:val="22"/>
              </w:rPr>
            </w:pPr>
            <w:r>
              <w:rPr>
                <w:b/>
                <w:i/>
                <w:iCs/>
                <w:sz w:val="22"/>
                <w:szCs w:val="22"/>
              </w:rPr>
              <w:t xml:space="preserve">civile </w:t>
            </w:r>
          </w:p>
          <w:p w14:paraId="11C18B35" w14:textId="77777777" w:rsidR="001C08A5" w:rsidRDefault="001C08A5">
            <w:pPr>
              <w:jc w:val="center"/>
              <w:rPr>
                <w:i/>
                <w:iCs/>
                <w:sz w:val="22"/>
                <w:szCs w:val="22"/>
              </w:rPr>
            </w:pPr>
          </w:p>
        </w:tc>
        <w:tc>
          <w:tcPr>
            <w:tcW w:w="519" w:type="pct"/>
            <w:vMerge w:val="restart"/>
            <w:tcBorders>
              <w:top w:val="single" w:sz="8" w:space="0" w:color="000000"/>
              <w:left w:val="single" w:sz="4" w:space="0" w:color="000000"/>
              <w:bottom w:val="single" w:sz="4" w:space="0" w:color="000000"/>
            </w:tcBorders>
            <w:shd w:val="clear" w:color="auto" w:fill="BFBFBF"/>
          </w:tcPr>
          <w:p w14:paraId="49061A07" w14:textId="77777777" w:rsidR="001C08A5" w:rsidRDefault="00000000">
            <w:pPr>
              <w:jc w:val="center"/>
              <w:rPr>
                <w:b/>
                <w:i/>
                <w:iCs/>
                <w:sz w:val="22"/>
                <w:szCs w:val="22"/>
              </w:rPr>
            </w:pPr>
            <w:r>
              <w:rPr>
                <w:b/>
                <w:i/>
                <w:iCs/>
                <w:sz w:val="22"/>
                <w:szCs w:val="22"/>
              </w:rPr>
              <w:t>Nivel de stabilitate  la incendiu asigurat</w:t>
            </w:r>
          </w:p>
        </w:tc>
        <w:tc>
          <w:tcPr>
            <w:tcW w:w="1385" w:type="pct"/>
            <w:gridSpan w:val="2"/>
            <w:tcBorders>
              <w:top w:val="single" w:sz="8" w:space="0" w:color="000000"/>
              <w:left w:val="single" w:sz="4" w:space="0" w:color="000000"/>
              <w:bottom w:val="single" w:sz="4" w:space="0" w:color="000000"/>
            </w:tcBorders>
            <w:shd w:val="clear" w:color="auto" w:fill="BFBFBF"/>
          </w:tcPr>
          <w:p w14:paraId="0A214F5B" w14:textId="77777777" w:rsidR="001C08A5" w:rsidRDefault="00000000">
            <w:pPr>
              <w:jc w:val="center"/>
              <w:rPr>
                <w:b/>
                <w:i/>
                <w:iCs/>
                <w:sz w:val="22"/>
                <w:szCs w:val="22"/>
              </w:rPr>
            </w:pPr>
            <w:r>
              <w:rPr>
                <w:b/>
                <w:i/>
                <w:iCs/>
                <w:sz w:val="22"/>
                <w:szCs w:val="22"/>
              </w:rPr>
              <w:t xml:space="preserve">Lungime maximă de evacuare </w:t>
            </w:r>
          </w:p>
        </w:tc>
        <w:tc>
          <w:tcPr>
            <w:tcW w:w="2380" w:type="pct"/>
            <w:vMerge w:val="restart"/>
            <w:tcBorders>
              <w:top w:val="single" w:sz="8" w:space="0" w:color="000000"/>
              <w:left w:val="single" w:sz="4" w:space="0" w:color="000000"/>
              <w:bottom w:val="single" w:sz="4" w:space="0" w:color="000000"/>
              <w:right w:val="single" w:sz="8" w:space="0" w:color="000000"/>
            </w:tcBorders>
            <w:shd w:val="clear" w:color="auto" w:fill="BFBFBF"/>
          </w:tcPr>
          <w:p w14:paraId="3AEE18E5" w14:textId="77777777" w:rsidR="001C08A5" w:rsidRDefault="001C08A5">
            <w:pPr>
              <w:snapToGrid w:val="0"/>
              <w:jc w:val="center"/>
              <w:rPr>
                <w:b/>
                <w:i/>
                <w:iCs/>
                <w:sz w:val="22"/>
                <w:szCs w:val="22"/>
              </w:rPr>
            </w:pPr>
          </w:p>
          <w:p w14:paraId="5B3DE3EE" w14:textId="77777777" w:rsidR="001C08A5" w:rsidRDefault="001C08A5">
            <w:pPr>
              <w:jc w:val="center"/>
              <w:rPr>
                <w:b/>
                <w:i/>
                <w:iCs/>
                <w:sz w:val="22"/>
                <w:szCs w:val="22"/>
              </w:rPr>
            </w:pPr>
          </w:p>
          <w:p w14:paraId="705DFA06" w14:textId="77777777" w:rsidR="001C08A5" w:rsidRDefault="00000000">
            <w:pPr>
              <w:jc w:val="center"/>
              <w:rPr>
                <w:i/>
                <w:iCs/>
                <w:sz w:val="22"/>
                <w:szCs w:val="22"/>
              </w:rPr>
            </w:pPr>
            <w:r>
              <w:rPr>
                <w:b/>
                <w:i/>
                <w:iCs/>
                <w:sz w:val="22"/>
                <w:szCs w:val="22"/>
              </w:rPr>
              <w:t>Observaţii</w:t>
            </w:r>
          </w:p>
        </w:tc>
      </w:tr>
      <w:tr w:rsidR="001C08A5" w14:paraId="6472DF67" w14:textId="77777777">
        <w:tc>
          <w:tcPr>
            <w:tcW w:w="240" w:type="pct"/>
            <w:vMerge/>
            <w:tcBorders>
              <w:top w:val="single" w:sz="4" w:space="0" w:color="000000"/>
              <w:left w:val="single" w:sz="8" w:space="0" w:color="000000"/>
              <w:bottom w:val="single" w:sz="4" w:space="0" w:color="000000"/>
            </w:tcBorders>
            <w:shd w:val="clear" w:color="auto" w:fill="auto"/>
          </w:tcPr>
          <w:p w14:paraId="1EECAD44" w14:textId="77777777" w:rsidR="001C08A5" w:rsidRDefault="001C08A5">
            <w:pPr>
              <w:snapToGrid w:val="0"/>
              <w:jc w:val="center"/>
              <w:rPr>
                <w:i/>
                <w:iCs/>
                <w:sz w:val="22"/>
                <w:szCs w:val="22"/>
              </w:rPr>
            </w:pPr>
          </w:p>
        </w:tc>
        <w:tc>
          <w:tcPr>
            <w:tcW w:w="474" w:type="pct"/>
            <w:vMerge/>
            <w:tcBorders>
              <w:top w:val="single" w:sz="4" w:space="0" w:color="000000"/>
              <w:left w:val="single" w:sz="4" w:space="0" w:color="000000"/>
              <w:bottom w:val="single" w:sz="4" w:space="0" w:color="000000"/>
            </w:tcBorders>
            <w:shd w:val="clear" w:color="auto" w:fill="auto"/>
          </w:tcPr>
          <w:p w14:paraId="78BFD886" w14:textId="77777777" w:rsidR="001C08A5" w:rsidRDefault="001C08A5">
            <w:pPr>
              <w:snapToGrid w:val="0"/>
              <w:jc w:val="center"/>
              <w:rPr>
                <w:i/>
                <w:iCs/>
                <w:sz w:val="22"/>
                <w:szCs w:val="22"/>
              </w:rPr>
            </w:pPr>
          </w:p>
        </w:tc>
        <w:tc>
          <w:tcPr>
            <w:tcW w:w="519" w:type="pct"/>
            <w:vMerge/>
            <w:tcBorders>
              <w:top w:val="single" w:sz="4" w:space="0" w:color="000000"/>
              <w:left w:val="single" w:sz="4" w:space="0" w:color="000000"/>
              <w:bottom w:val="single" w:sz="4" w:space="0" w:color="000000"/>
            </w:tcBorders>
            <w:shd w:val="clear" w:color="auto" w:fill="auto"/>
          </w:tcPr>
          <w:p w14:paraId="72E2902D" w14:textId="77777777" w:rsidR="001C08A5" w:rsidRDefault="001C08A5">
            <w:pPr>
              <w:snapToGrid w:val="0"/>
              <w:jc w:val="center"/>
              <w:rPr>
                <w:i/>
                <w:iCs/>
                <w:sz w:val="22"/>
                <w:szCs w:val="22"/>
              </w:rPr>
            </w:pPr>
          </w:p>
        </w:tc>
        <w:tc>
          <w:tcPr>
            <w:tcW w:w="656" w:type="pct"/>
            <w:tcBorders>
              <w:top w:val="single" w:sz="4" w:space="0" w:color="000000"/>
              <w:left w:val="single" w:sz="4" w:space="0" w:color="000000"/>
              <w:bottom w:val="single" w:sz="4" w:space="0" w:color="000000"/>
            </w:tcBorders>
            <w:shd w:val="clear" w:color="auto" w:fill="BFBFBF"/>
          </w:tcPr>
          <w:p w14:paraId="78C20628" w14:textId="77777777" w:rsidR="001C08A5" w:rsidRDefault="00000000">
            <w:pPr>
              <w:jc w:val="center"/>
              <w:rPr>
                <w:b/>
                <w:i/>
                <w:iCs/>
                <w:sz w:val="22"/>
                <w:szCs w:val="22"/>
              </w:rPr>
            </w:pPr>
            <w:r>
              <w:rPr>
                <w:b/>
                <w:i/>
                <w:iCs/>
                <w:sz w:val="22"/>
                <w:szCs w:val="22"/>
              </w:rPr>
              <w:t>în două direcţii diferite</w:t>
            </w:r>
          </w:p>
        </w:tc>
        <w:tc>
          <w:tcPr>
            <w:tcW w:w="729" w:type="pct"/>
            <w:tcBorders>
              <w:top w:val="single" w:sz="4" w:space="0" w:color="000000"/>
              <w:left w:val="single" w:sz="4" w:space="0" w:color="000000"/>
              <w:bottom w:val="single" w:sz="4" w:space="0" w:color="000000"/>
            </w:tcBorders>
            <w:shd w:val="clear" w:color="auto" w:fill="BFBFBF"/>
          </w:tcPr>
          <w:p w14:paraId="46731774" w14:textId="77777777" w:rsidR="001C08A5" w:rsidRDefault="00000000">
            <w:pPr>
              <w:jc w:val="center"/>
              <w:rPr>
                <w:i/>
                <w:iCs/>
                <w:sz w:val="22"/>
                <w:szCs w:val="22"/>
              </w:rPr>
            </w:pPr>
            <w:r>
              <w:rPr>
                <w:b/>
                <w:i/>
                <w:iCs/>
                <w:sz w:val="22"/>
                <w:szCs w:val="22"/>
              </w:rPr>
              <w:t>într-o direcţie (coridor înfundat)</w:t>
            </w:r>
          </w:p>
        </w:tc>
        <w:tc>
          <w:tcPr>
            <w:tcW w:w="2380" w:type="pct"/>
            <w:vMerge/>
            <w:tcBorders>
              <w:top w:val="single" w:sz="4" w:space="0" w:color="000000"/>
              <w:left w:val="single" w:sz="4" w:space="0" w:color="000000"/>
              <w:bottom w:val="single" w:sz="4" w:space="0" w:color="000000"/>
              <w:right w:val="single" w:sz="8" w:space="0" w:color="000000"/>
            </w:tcBorders>
          </w:tcPr>
          <w:p w14:paraId="48579EC6" w14:textId="77777777" w:rsidR="001C08A5" w:rsidRDefault="001C08A5">
            <w:pPr>
              <w:snapToGrid w:val="0"/>
              <w:rPr>
                <w:i/>
                <w:iCs/>
                <w:sz w:val="22"/>
                <w:szCs w:val="22"/>
              </w:rPr>
            </w:pPr>
          </w:p>
        </w:tc>
      </w:tr>
      <w:tr w:rsidR="001C08A5" w14:paraId="1C87BB21" w14:textId="77777777">
        <w:tc>
          <w:tcPr>
            <w:tcW w:w="240" w:type="pct"/>
            <w:vMerge/>
            <w:tcBorders>
              <w:top w:val="single" w:sz="4" w:space="0" w:color="000000"/>
              <w:left w:val="single" w:sz="8" w:space="0" w:color="000000"/>
              <w:bottom w:val="single" w:sz="8" w:space="0" w:color="000000"/>
            </w:tcBorders>
            <w:shd w:val="clear" w:color="auto" w:fill="auto"/>
          </w:tcPr>
          <w:p w14:paraId="25F16B94" w14:textId="77777777" w:rsidR="001C08A5" w:rsidRDefault="001C08A5">
            <w:pPr>
              <w:snapToGrid w:val="0"/>
              <w:jc w:val="center"/>
              <w:rPr>
                <w:i/>
                <w:iCs/>
                <w:sz w:val="22"/>
                <w:szCs w:val="22"/>
              </w:rPr>
            </w:pPr>
          </w:p>
        </w:tc>
        <w:tc>
          <w:tcPr>
            <w:tcW w:w="474" w:type="pct"/>
            <w:vMerge/>
            <w:tcBorders>
              <w:top w:val="single" w:sz="4" w:space="0" w:color="000000"/>
              <w:left w:val="single" w:sz="4" w:space="0" w:color="000000"/>
              <w:bottom w:val="single" w:sz="8" w:space="0" w:color="000000"/>
            </w:tcBorders>
            <w:shd w:val="clear" w:color="auto" w:fill="auto"/>
          </w:tcPr>
          <w:p w14:paraId="39B8DB97" w14:textId="77777777" w:rsidR="001C08A5" w:rsidRDefault="001C08A5">
            <w:pPr>
              <w:snapToGrid w:val="0"/>
              <w:jc w:val="center"/>
              <w:rPr>
                <w:i/>
                <w:iCs/>
                <w:sz w:val="22"/>
                <w:szCs w:val="22"/>
              </w:rPr>
            </w:pPr>
          </w:p>
        </w:tc>
        <w:tc>
          <w:tcPr>
            <w:tcW w:w="519" w:type="pct"/>
            <w:vMerge/>
            <w:tcBorders>
              <w:top w:val="single" w:sz="4" w:space="0" w:color="000000"/>
              <w:left w:val="single" w:sz="4" w:space="0" w:color="000000"/>
              <w:bottom w:val="single" w:sz="8" w:space="0" w:color="000000"/>
            </w:tcBorders>
            <w:shd w:val="clear" w:color="auto" w:fill="auto"/>
          </w:tcPr>
          <w:p w14:paraId="03CD0CFF" w14:textId="77777777" w:rsidR="001C08A5" w:rsidRDefault="001C08A5">
            <w:pPr>
              <w:snapToGrid w:val="0"/>
              <w:jc w:val="center"/>
              <w:rPr>
                <w:i/>
                <w:iCs/>
                <w:sz w:val="22"/>
                <w:szCs w:val="22"/>
              </w:rPr>
            </w:pPr>
          </w:p>
        </w:tc>
        <w:tc>
          <w:tcPr>
            <w:tcW w:w="656" w:type="pct"/>
            <w:tcBorders>
              <w:top w:val="single" w:sz="4" w:space="0" w:color="000000"/>
              <w:left w:val="single" w:sz="4" w:space="0" w:color="000000"/>
              <w:bottom w:val="single" w:sz="8" w:space="0" w:color="000000"/>
            </w:tcBorders>
            <w:shd w:val="clear" w:color="auto" w:fill="BFBFBF"/>
          </w:tcPr>
          <w:p w14:paraId="6C783DA5" w14:textId="77777777" w:rsidR="001C08A5" w:rsidRDefault="00000000">
            <w:pPr>
              <w:jc w:val="center"/>
              <w:rPr>
                <w:b/>
                <w:i/>
                <w:iCs/>
                <w:sz w:val="22"/>
                <w:szCs w:val="22"/>
              </w:rPr>
            </w:pPr>
            <w:r>
              <w:rPr>
                <w:b/>
                <w:i/>
                <w:iCs/>
                <w:sz w:val="22"/>
                <w:szCs w:val="22"/>
              </w:rPr>
              <w:t>metri</w:t>
            </w:r>
          </w:p>
        </w:tc>
        <w:tc>
          <w:tcPr>
            <w:tcW w:w="729" w:type="pct"/>
            <w:tcBorders>
              <w:top w:val="single" w:sz="4" w:space="0" w:color="000000"/>
              <w:left w:val="single" w:sz="4" w:space="0" w:color="000000"/>
              <w:bottom w:val="single" w:sz="8" w:space="0" w:color="000000"/>
            </w:tcBorders>
            <w:shd w:val="clear" w:color="auto" w:fill="BFBFBF"/>
          </w:tcPr>
          <w:p w14:paraId="5BE1C6D2" w14:textId="77777777" w:rsidR="001C08A5" w:rsidRDefault="00000000">
            <w:pPr>
              <w:jc w:val="center"/>
              <w:rPr>
                <w:i/>
                <w:iCs/>
                <w:sz w:val="22"/>
                <w:szCs w:val="22"/>
              </w:rPr>
            </w:pPr>
            <w:r>
              <w:rPr>
                <w:b/>
                <w:i/>
                <w:iCs/>
                <w:sz w:val="22"/>
                <w:szCs w:val="22"/>
              </w:rPr>
              <w:t>metri</w:t>
            </w:r>
          </w:p>
        </w:tc>
        <w:tc>
          <w:tcPr>
            <w:tcW w:w="2380" w:type="pct"/>
            <w:vMerge/>
            <w:tcBorders>
              <w:top w:val="single" w:sz="4" w:space="0" w:color="000000"/>
              <w:left w:val="single" w:sz="4" w:space="0" w:color="000000"/>
              <w:bottom w:val="single" w:sz="8" w:space="0" w:color="000000"/>
              <w:right w:val="single" w:sz="8" w:space="0" w:color="000000"/>
            </w:tcBorders>
          </w:tcPr>
          <w:p w14:paraId="7F954512" w14:textId="77777777" w:rsidR="001C08A5" w:rsidRDefault="001C08A5">
            <w:pPr>
              <w:snapToGrid w:val="0"/>
              <w:rPr>
                <w:i/>
                <w:iCs/>
                <w:sz w:val="22"/>
                <w:szCs w:val="22"/>
              </w:rPr>
            </w:pPr>
          </w:p>
        </w:tc>
      </w:tr>
      <w:tr w:rsidR="001C08A5" w14:paraId="4CF91053" w14:textId="77777777">
        <w:tc>
          <w:tcPr>
            <w:tcW w:w="240" w:type="pct"/>
            <w:vMerge w:val="restart"/>
            <w:tcBorders>
              <w:top w:val="single" w:sz="8" w:space="0" w:color="000000"/>
              <w:left w:val="single" w:sz="4" w:space="0" w:color="000000"/>
              <w:bottom w:val="single" w:sz="4" w:space="0" w:color="000000"/>
            </w:tcBorders>
          </w:tcPr>
          <w:p w14:paraId="1E229092" w14:textId="77777777" w:rsidR="001C08A5" w:rsidRDefault="001C08A5">
            <w:pPr>
              <w:snapToGrid w:val="0"/>
              <w:jc w:val="center"/>
              <w:rPr>
                <w:i/>
                <w:iCs/>
                <w:sz w:val="22"/>
                <w:szCs w:val="22"/>
              </w:rPr>
            </w:pPr>
          </w:p>
          <w:p w14:paraId="2F10F1A1" w14:textId="77777777" w:rsidR="001C08A5" w:rsidRDefault="001C08A5">
            <w:pPr>
              <w:jc w:val="center"/>
              <w:rPr>
                <w:i/>
                <w:iCs/>
                <w:sz w:val="22"/>
                <w:szCs w:val="22"/>
              </w:rPr>
            </w:pPr>
          </w:p>
          <w:p w14:paraId="381276FE" w14:textId="77777777" w:rsidR="001C08A5" w:rsidRDefault="001C08A5">
            <w:pPr>
              <w:jc w:val="center"/>
              <w:rPr>
                <w:i/>
                <w:iCs/>
                <w:sz w:val="22"/>
                <w:szCs w:val="22"/>
              </w:rPr>
            </w:pPr>
          </w:p>
          <w:p w14:paraId="376BCF62" w14:textId="77777777" w:rsidR="001C08A5" w:rsidRDefault="00000000">
            <w:pPr>
              <w:jc w:val="center"/>
              <w:rPr>
                <w:i/>
                <w:iCs/>
                <w:sz w:val="22"/>
                <w:szCs w:val="22"/>
              </w:rPr>
            </w:pPr>
            <w:r>
              <w:rPr>
                <w:i/>
                <w:iCs/>
                <w:sz w:val="22"/>
                <w:szCs w:val="22"/>
              </w:rPr>
              <w:t>1.</w:t>
            </w:r>
          </w:p>
        </w:tc>
        <w:tc>
          <w:tcPr>
            <w:tcW w:w="474" w:type="pct"/>
            <w:vMerge w:val="restart"/>
            <w:tcBorders>
              <w:top w:val="single" w:sz="8" w:space="0" w:color="000000"/>
              <w:left w:val="single" w:sz="4" w:space="0" w:color="000000"/>
              <w:bottom w:val="single" w:sz="4" w:space="0" w:color="000000"/>
            </w:tcBorders>
          </w:tcPr>
          <w:p w14:paraId="3DFFA5AA" w14:textId="77777777" w:rsidR="001C08A5" w:rsidRDefault="001C08A5">
            <w:pPr>
              <w:snapToGrid w:val="0"/>
              <w:jc w:val="center"/>
              <w:rPr>
                <w:i/>
                <w:iCs/>
                <w:sz w:val="22"/>
                <w:szCs w:val="22"/>
              </w:rPr>
            </w:pPr>
          </w:p>
          <w:p w14:paraId="1383340A" w14:textId="77777777" w:rsidR="001C08A5" w:rsidRDefault="00000000">
            <w:pPr>
              <w:jc w:val="center"/>
              <w:rPr>
                <w:i/>
                <w:iCs/>
                <w:sz w:val="22"/>
                <w:szCs w:val="22"/>
              </w:rPr>
            </w:pPr>
            <w:r>
              <w:rPr>
                <w:i/>
                <w:iCs/>
                <w:sz w:val="22"/>
                <w:szCs w:val="22"/>
              </w:rPr>
              <w:t>Circulaţii comune deschise spre atrium</w:t>
            </w:r>
          </w:p>
        </w:tc>
        <w:tc>
          <w:tcPr>
            <w:tcW w:w="519" w:type="pct"/>
            <w:tcBorders>
              <w:top w:val="single" w:sz="8" w:space="0" w:color="000000"/>
              <w:left w:val="single" w:sz="4" w:space="0" w:color="000000"/>
              <w:bottom w:val="single" w:sz="4" w:space="0" w:color="000000"/>
            </w:tcBorders>
          </w:tcPr>
          <w:p w14:paraId="2B702FD6" w14:textId="77777777" w:rsidR="001C08A5" w:rsidRDefault="00000000">
            <w:pPr>
              <w:spacing w:line="360" w:lineRule="auto"/>
              <w:jc w:val="center"/>
              <w:rPr>
                <w:b/>
                <w:bCs/>
                <w:i/>
                <w:iCs/>
                <w:sz w:val="22"/>
                <w:szCs w:val="22"/>
              </w:rPr>
            </w:pPr>
            <w:r>
              <w:rPr>
                <w:b/>
                <w:bCs/>
                <w:i/>
                <w:iCs/>
                <w:sz w:val="22"/>
                <w:szCs w:val="22"/>
              </w:rPr>
              <w:t>I şi II</w:t>
            </w:r>
          </w:p>
        </w:tc>
        <w:tc>
          <w:tcPr>
            <w:tcW w:w="656" w:type="pct"/>
            <w:tcBorders>
              <w:top w:val="single" w:sz="8" w:space="0" w:color="000000"/>
              <w:left w:val="single" w:sz="4" w:space="0" w:color="000000"/>
              <w:bottom w:val="single" w:sz="4" w:space="0" w:color="000000"/>
            </w:tcBorders>
          </w:tcPr>
          <w:p w14:paraId="09E7F42B" w14:textId="77777777" w:rsidR="001C08A5" w:rsidRDefault="00000000">
            <w:pPr>
              <w:spacing w:line="360" w:lineRule="auto"/>
              <w:jc w:val="center"/>
              <w:rPr>
                <w:b/>
                <w:bCs/>
                <w:i/>
                <w:iCs/>
                <w:sz w:val="22"/>
                <w:szCs w:val="22"/>
              </w:rPr>
            </w:pPr>
            <w:r>
              <w:rPr>
                <w:b/>
                <w:bCs/>
                <w:i/>
                <w:iCs/>
                <w:sz w:val="22"/>
                <w:szCs w:val="22"/>
              </w:rPr>
              <w:t>35</w:t>
            </w:r>
          </w:p>
        </w:tc>
        <w:tc>
          <w:tcPr>
            <w:tcW w:w="729" w:type="pct"/>
            <w:tcBorders>
              <w:top w:val="single" w:sz="8" w:space="0" w:color="000000"/>
              <w:left w:val="single" w:sz="4" w:space="0" w:color="000000"/>
              <w:bottom w:val="single" w:sz="4" w:space="0" w:color="000000"/>
            </w:tcBorders>
          </w:tcPr>
          <w:p w14:paraId="228EDDC7" w14:textId="77777777" w:rsidR="001C08A5" w:rsidRDefault="00000000">
            <w:pPr>
              <w:spacing w:line="360" w:lineRule="auto"/>
              <w:jc w:val="center"/>
              <w:rPr>
                <w:b/>
                <w:bCs/>
                <w:i/>
                <w:iCs/>
                <w:sz w:val="22"/>
                <w:szCs w:val="22"/>
              </w:rPr>
            </w:pPr>
            <w:r>
              <w:rPr>
                <w:b/>
                <w:bCs/>
                <w:i/>
                <w:iCs/>
                <w:sz w:val="22"/>
                <w:szCs w:val="22"/>
              </w:rPr>
              <w:t>20</w:t>
            </w:r>
          </w:p>
        </w:tc>
        <w:tc>
          <w:tcPr>
            <w:tcW w:w="2380" w:type="pct"/>
            <w:vMerge w:val="restart"/>
            <w:tcBorders>
              <w:top w:val="single" w:sz="8" w:space="0" w:color="000000"/>
              <w:left w:val="single" w:sz="4" w:space="0" w:color="000000"/>
              <w:bottom w:val="single" w:sz="4" w:space="0" w:color="000000"/>
              <w:right w:val="single" w:sz="4" w:space="0" w:color="000000"/>
            </w:tcBorders>
          </w:tcPr>
          <w:p w14:paraId="5DDEF20F" w14:textId="77777777" w:rsidR="001C08A5" w:rsidRDefault="00000000">
            <w:pPr>
              <w:jc w:val="center"/>
              <w:rPr>
                <w:i/>
                <w:iCs/>
                <w:sz w:val="22"/>
                <w:szCs w:val="22"/>
              </w:rPr>
            </w:pPr>
            <w:r>
              <w:rPr>
                <w:i/>
                <w:iCs/>
                <w:sz w:val="22"/>
                <w:szCs w:val="22"/>
              </w:rPr>
              <w:t xml:space="preserve">Pentru încăperile de dormit din hoteluri, moteluri, cămine, spitale, locuinţe și altele similare, lungimile căilor de evacuare de evacuare pe circulaţiile comune orizontale deschise spre atriumuri se reduc cu </w:t>
            </w:r>
            <w:r>
              <w:rPr>
                <w:b/>
                <w:bCs/>
                <w:i/>
                <w:iCs/>
                <w:sz w:val="22"/>
                <w:szCs w:val="22"/>
              </w:rPr>
              <w:t>50%</w:t>
            </w:r>
            <w:r>
              <w:rPr>
                <w:i/>
                <w:iCs/>
                <w:sz w:val="22"/>
                <w:szCs w:val="22"/>
              </w:rPr>
              <w:t>.</w:t>
            </w:r>
          </w:p>
        </w:tc>
      </w:tr>
      <w:tr w:rsidR="001C08A5" w14:paraId="0CA17181" w14:textId="77777777">
        <w:tc>
          <w:tcPr>
            <w:tcW w:w="240" w:type="pct"/>
            <w:vMerge/>
            <w:tcBorders>
              <w:top w:val="single" w:sz="4" w:space="0" w:color="000000"/>
              <w:left w:val="single" w:sz="4" w:space="0" w:color="000000"/>
              <w:bottom w:val="single" w:sz="4" w:space="0" w:color="000000"/>
            </w:tcBorders>
          </w:tcPr>
          <w:p w14:paraId="09F4290E" w14:textId="77777777" w:rsidR="001C08A5" w:rsidRDefault="001C08A5">
            <w:pPr>
              <w:snapToGrid w:val="0"/>
              <w:jc w:val="center"/>
              <w:rPr>
                <w:i/>
                <w:iCs/>
                <w:sz w:val="22"/>
                <w:szCs w:val="22"/>
              </w:rPr>
            </w:pPr>
          </w:p>
        </w:tc>
        <w:tc>
          <w:tcPr>
            <w:tcW w:w="474" w:type="pct"/>
            <w:vMerge/>
            <w:tcBorders>
              <w:top w:val="single" w:sz="4" w:space="0" w:color="000000"/>
              <w:left w:val="single" w:sz="4" w:space="0" w:color="000000"/>
              <w:bottom w:val="single" w:sz="4" w:space="0" w:color="000000"/>
            </w:tcBorders>
          </w:tcPr>
          <w:p w14:paraId="76D7BCF3" w14:textId="77777777" w:rsidR="001C08A5" w:rsidRDefault="001C08A5">
            <w:pPr>
              <w:snapToGrid w:val="0"/>
              <w:jc w:val="center"/>
              <w:rPr>
                <w:i/>
                <w:iCs/>
                <w:sz w:val="22"/>
                <w:szCs w:val="22"/>
              </w:rPr>
            </w:pPr>
          </w:p>
        </w:tc>
        <w:tc>
          <w:tcPr>
            <w:tcW w:w="519" w:type="pct"/>
            <w:tcBorders>
              <w:top w:val="single" w:sz="4" w:space="0" w:color="000000"/>
              <w:left w:val="single" w:sz="4" w:space="0" w:color="000000"/>
              <w:bottom w:val="single" w:sz="4" w:space="0" w:color="000000"/>
            </w:tcBorders>
          </w:tcPr>
          <w:p w14:paraId="4D789F54" w14:textId="77777777" w:rsidR="001C08A5" w:rsidRDefault="00000000">
            <w:pPr>
              <w:spacing w:line="360" w:lineRule="auto"/>
              <w:jc w:val="center"/>
              <w:rPr>
                <w:b/>
                <w:bCs/>
                <w:i/>
                <w:iCs/>
                <w:sz w:val="22"/>
                <w:szCs w:val="22"/>
              </w:rPr>
            </w:pPr>
            <w:r>
              <w:rPr>
                <w:b/>
                <w:bCs/>
                <w:i/>
                <w:iCs/>
                <w:sz w:val="22"/>
                <w:szCs w:val="22"/>
              </w:rPr>
              <w:t>III</w:t>
            </w:r>
          </w:p>
        </w:tc>
        <w:tc>
          <w:tcPr>
            <w:tcW w:w="656" w:type="pct"/>
            <w:tcBorders>
              <w:top w:val="single" w:sz="4" w:space="0" w:color="000000"/>
              <w:left w:val="single" w:sz="4" w:space="0" w:color="000000"/>
              <w:bottom w:val="single" w:sz="4" w:space="0" w:color="000000"/>
            </w:tcBorders>
          </w:tcPr>
          <w:p w14:paraId="27852678" w14:textId="77777777" w:rsidR="001C08A5" w:rsidRDefault="00000000">
            <w:pPr>
              <w:spacing w:line="360" w:lineRule="auto"/>
              <w:jc w:val="center"/>
              <w:rPr>
                <w:b/>
                <w:bCs/>
                <w:i/>
                <w:iCs/>
                <w:sz w:val="22"/>
                <w:szCs w:val="22"/>
              </w:rPr>
            </w:pPr>
            <w:r>
              <w:rPr>
                <w:b/>
                <w:bCs/>
                <w:i/>
                <w:iCs/>
                <w:sz w:val="22"/>
                <w:szCs w:val="22"/>
              </w:rPr>
              <w:t>25</w:t>
            </w:r>
          </w:p>
        </w:tc>
        <w:tc>
          <w:tcPr>
            <w:tcW w:w="729" w:type="pct"/>
            <w:tcBorders>
              <w:top w:val="single" w:sz="4" w:space="0" w:color="000000"/>
              <w:left w:val="single" w:sz="4" w:space="0" w:color="000000"/>
              <w:bottom w:val="single" w:sz="4" w:space="0" w:color="000000"/>
            </w:tcBorders>
          </w:tcPr>
          <w:p w14:paraId="3A2191FA" w14:textId="77777777" w:rsidR="001C08A5" w:rsidRDefault="00000000">
            <w:pPr>
              <w:spacing w:line="360" w:lineRule="auto"/>
              <w:jc w:val="center"/>
              <w:rPr>
                <w:b/>
                <w:bCs/>
                <w:i/>
                <w:iCs/>
                <w:sz w:val="22"/>
                <w:szCs w:val="22"/>
              </w:rPr>
            </w:pPr>
            <w:r>
              <w:rPr>
                <w:b/>
                <w:bCs/>
                <w:i/>
                <w:iCs/>
                <w:sz w:val="22"/>
                <w:szCs w:val="22"/>
              </w:rPr>
              <w:t>15</w:t>
            </w:r>
          </w:p>
        </w:tc>
        <w:tc>
          <w:tcPr>
            <w:tcW w:w="2380" w:type="pct"/>
            <w:vMerge/>
            <w:tcBorders>
              <w:top w:val="single" w:sz="4" w:space="0" w:color="000000"/>
              <w:left w:val="single" w:sz="4" w:space="0" w:color="000000"/>
              <w:bottom w:val="single" w:sz="4" w:space="0" w:color="000000"/>
              <w:right w:val="single" w:sz="4" w:space="0" w:color="000000"/>
            </w:tcBorders>
          </w:tcPr>
          <w:p w14:paraId="34E9E921" w14:textId="77777777" w:rsidR="001C08A5" w:rsidRDefault="001C08A5">
            <w:pPr>
              <w:snapToGrid w:val="0"/>
              <w:rPr>
                <w:i/>
                <w:iCs/>
                <w:sz w:val="22"/>
                <w:szCs w:val="22"/>
              </w:rPr>
            </w:pPr>
          </w:p>
        </w:tc>
      </w:tr>
      <w:tr w:rsidR="001C08A5" w14:paraId="368CEF1B" w14:textId="77777777">
        <w:tc>
          <w:tcPr>
            <w:tcW w:w="240" w:type="pct"/>
            <w:vMerge/>
            <w:tcBorders>
              <w:top w:val="single" w:sz="4" w:space="0" w:color="000000"/>
              <w:left w:val="single" w:sz="4" w:space="0" w:color="000000"/>
              <w:bottom w:val="single" w:sz="4" w:space="0" w:color="000000"/>
            </w:tcBorders>
          </w:tcPr>
          <w:p w14:paraId="288C2586" w14:textId="77777777" w:rsidR="001C08A5" w:rsidRDefault="001C08A5">
            <w:pPr>
              <w:snapToGrid w:val="0"/>
              <w:jc w:val="center"/>
              <w:rPr>
                <w:i/>
                <w:iCs/>
                <w:sz w:val="22"/>
                <w:szCs w:val="22"/>
              </w:rPr>
            </w:pPr>
          </w:p>
        </w:tc>
        <w:tc>
          <w:tcPr>
            <w:tcW w:w="474" w:type="pct"/>
            <w:vMerge/>
            <w:tcBorders>
              <w:top w:val="single" w:sz="4" w:space="0" w:color="000000"/>
              <w:left w:val="single" w:sz="4" w:space="0" w:color="000000"/>
              <w:bottom w:val="single" w:sz="4" w:space="0" w:color="000000"/>
            </w:tcBorders>
          </w:tcPr>
          <w:p w14:paraId="23886058" w14:textId="77777777" w:rsidR="001C08A5" w:rsidRDefault="001C08A5">
            <w:pPr>
              <w:snapToGrid w:val="0"/>
              <w:jc w:val="center"/>
              <w:rPr>
                <w:i/>
                <w:iCs/>
                <w:sz w:val="22"/>
                <w:szCs w:val="22"/>
              </w:rPr>
            </w:pPr>
          </w:p>
        </w:tc>
        <w:tc>
          <w:tcPr>
            <w:tcW w:w="519" w:type="pct"/>
            <w:tcBorders>
              <w:top w:val="single" w:sz="4" w:space="0" w:color="000000"/>
              <w:left w:val="single" w:sz="4" w:space="0" w:color="000000"/>
              <w:bottom w:val="single" w:sz="4" w:space="0" w:color="000000"/>
            </w:tcBorders>
          </w:tcPr>
          <w:p w14:paraId="41E4E191" w14:textId="77777777" w:rsidR="001C08A5" w:rsidRDefault="00000000">
            <w:pPr>
              <w:spacing w:line="360" w:lineRule="auto"/>
              <w:jc w:val="center"/>
              <w:rPr>
                <w:b/>
                <w:bCs/>
                <w:i/>
                <w:iCs/>
                <w:sz w:val="22"/>
                <w:szCs w:val="22"/>
              </w:rPr>
            </w:pPr>
            <w:r>
              <w:rPr>
                <w:b/>
                <w:bCs/>
                <w:i/>
                <w:iCs/>
                <w:sz w:val="22"/>
                <w:szCs w:val="22"/>
              </w:rPr>
              <w:t>IV</w:t>
            </w:r>
          </w:p>
        </w:tc>
        <w:tc>
          <w:tcPr>
            <w:tcW w:w="656" w:type="pct"/>
            <w:tcBorders>
              <w:top w:val="single" w:sz="4" w:space="0" w:color="000000"/>
              <w:left w:val="single" w:sz="4" w:space="0" w:color="000000"/>
              <w:bottom w:val="single" w:sz="4" w:space="0" w:color="000000"/>
            </w:tcBorders>
          </w:tcPr>
          <w:p w14:paraId="04AE4A1A" w14:textId="77777777" w:rsidR="001C08A5" w:rsidRDefault="00000000">
            <w:pPr>
              <w:spacing w:line="360" w:lineRule="auto"/>
              <w:jc w:val="center"/>
              <w:rPr>
                <w:b/>
                <w:bCs/>
                <w:i/>
                <w:iCs/>
                <w:sz w:val="22"/>
                <w:szCs w:val="22"/>
              </w:rPr>
            </w:pPr>
            <w:r>
              <w:rPr>
                <w:b/>
                <w:bCs/>
                <w:i/>
                <w:iCs/>
                <w:sz w:val="22"/>
                <w:szCs w:val="22"/>
              </w:rPr>
              <w:t>16</w:t>
            </w:r>
          </w:p>
        </w:tc>
        <w:tc>
          <w:tcPr>
            <w:tcW w:w="729" w:type="pct"/>
            <w:tcBorders>
              <w:top w:val="single" w:sz="4" w:space="0" w:color="000000"/>
              <w:left w:val="single" w:sz="4" w:space="0" w:color="000000"/>
              <w:bottom w:val="single" w:sz="4" w:space="0" w:color="000000"/>
            </w:tcBorders>
          </w:tcPr>
          <w:p w14:paraId="2D5D736E" w14:textId="77777777" w:rsidR="001C08A5" w:rsidRDefault="00000000">
            <w:pPr>
              <w:spacing w:line="360" w:lineRule="auto"/>
              <w:jc w:val="center"/>
              <w:rPr>
                <w:b/>
                <w:bCs/>
                <w:i/>
                <w:iCs/>
                <w:sz w:val="22"/>
                <w:szCs w:val="22"/>
              </w:rPr>
            </w:pPr>
            <w:r>
              <w:rPr>
                <w:b/>
                <w:bCs/>
                <w:i/>
                <w:iCs/>
                <w:sz w:val="22"/>
                <w:szCs w:val="22"/>
              </w:rPr>
              <w:t>12</w:t>
            </w:r>
          </w:p>
        </w:tc>
        <w:tc>
          <w:tcPr>
            <w:tcW w:w="2380" w:type="pct"/>
            <w:vMerge/>
            <w:tcBorders>
              <w:top w:val="single" w:sz="4" w:space="0" w:color="000000"/>
              <w:left w:val="single" w:sz="4" w:space="0" w:color="000000"/>
              <w:bottom w:val="single" w:sz="4" w:space="0" w:color="000000"/>
              <w:right w:val="single" w:sz="4" w:space="0" w:color="000000"/>
            </w:tcBorders>
          </w:tcPr>
          <w:p w14:paraId="75220E56" w14:textId="77777777" w:rsidR="001C08A5" w:rsidRDefault="001C08A5">
            <w:pPr>
              <w:snapToGrid w:val="0"/>
              <w:rPr>
                <w:i/>
                <w:iCs/>
                <w:sz w:val="22"/>
                <w:szCs w:val="22"/>
              </w:rPr>
            </w:pPr>
          </w:p>
        </w:tc>
      </w:tr>
      <w:tr w:rsidR="001C08A5" w14:paraId="541C5A86" w14:textId="77777777">
        <w:tc>
          <w:tcPr>
            <w:tcW w:w="240" w:type="pct"/>
            <w:vMerge/>
            <w:tcBorders>
              <w:top w:val="single" w:sz="4" w:space="0" w:color="000000"/>
              <w:left w:val="single" w:sz="4" w:space="0" w:color="000000"/>
              <w:bottom w:val="single" w:sz="4" w:space="0" w:color="000000"/>
            </w:tcBorders>
          </w:tcPr>
          <w:p w14:paraId="57BDAE02" w14:textId="77777777" w:rsidR="001C08A5" w:rsidRDefault="001C08A5">
            <w:pPr>
              <w:snapToGrid w:val="0"/>
              <w:jc w:val="center"/>
              <w:rPr>
                <w:i/>
                <w:iCs/>
                <w:sz w:val="22"/>
                <w:szCs w:val="22"/>
              </w:rPr>
            </w:pPr>
          </w:p>
        </w:tc>
        <w:tc>
          <w:tcPr>
            <w:tcW w:w="474" w:type="pct"/>
            <w:vMerge/>
            <w:tcBorders>
              <w:top w:val="single" w:sz="4" w:space="0" w:color="000000"/>
              <w:left w:val="single" w:sz="4" w:space="0" w:color="000000"/>
              <w:bottom w:val="single" w:sz="4" w:space="0" w:color="000000"/>
            </w:tcBorders>
          </w:tcPr>
          <w:p w14:paraId="22C95C58" w14:textId="77777777" w:rsidR="001C08A5" w:rsidRDefault="001C08A5">
            <w:pPr>
              <w:snapToGrid w:val="0"/>
              <w:jc w:val="center"/>
              <w:rPr>
                <w:i/>
                <w:iCs/>
                <w:sz w:val="22"/>
                <w:szCs w:val="22"/>
              </w:rPr>
            </w:pPr>
          </w:p>
        </w:tc>
        <w:tc>
          <w:tcPr>
            <w:tcW w:w="519" w:type="pct"/>
            <w:tcBorders>
              <w:top w:val="single" w:sz="4" w:space="0" w:color="000000"/>
              <w:left w:val="single" w:sz="4" w:space="0" w:color="000000"/>
              <w:bottom w:val="single" w:sz="4" w:space="0" w:color="000000"/>
            </w:tcBorders>
          </w:tcPr>
          <w:p w14:paraId="21E858BD" w14:textId="77777777" w:rsidR="001C08A5" w:rsidRDefault="00000000">
            <w:pPr>
              <w:spacing w:line="360" w:lineRule="auto"/>
              <w:jc w:val="center"/>
              <w:rPr>
                <w:b/>
                <w:bCs/>
                <w:i/>
                <w:iCs/>
                <w:sz w:val="22"/>
                <w:szCs w:val="22"/>
              </w:rPr>
            </w:pPr>
            <w:r>
              <w:rPr>
                <w:b/>
                <w:bCs/>
                <w:i/>
                <w:iCs/>
                <w:sz w:val="22"/>
                <w:szCs w:val="22"/>
              </w:rPr>
              <w:t>V</w:t>
            </w:r>
          </w:p>
        </w:tc>
        <w:tc>
          <w:tcPr>
            <w:tcW w:w="656" w:type="pct"/>
            <w:tcBorders>
              <w:top w:val="single" w:sz="4" w:space="0" w:color="000000"/>
              <w:left w:val="single" w:sz="4" w:space="0" w:color="000000"/>
              <w:bottom w:val="single" w:sz="4" w:space="0" w:color="000000"/>
            </w:tcBorders>
          </w:tcPr>
          <w:p w14:paraId="69A10A0C" w14:textId="77777777" w:rsidR="001C08A5" w:rsidRDefault="00000000">
            <w:pPr>
              <w:spacing w:line="360" w:lineRule="auto"/>
              <w:jc w:val="center"/>
              <w:rPr>
                <w:b/>
                <w:bCs/>
                <w:i/>
                <w:iCs/>
                <w:sz w:val="22"/>
                <w:szCs w:val="22"/>
              </w:rPr>
            </w:pPr>
            <w:r>
              <w:rPr>
                <w:b/>
                <w:bCs/>
                <w:i/>
                <w:iCs/>
                <w:sz w:val="22"/>
                <w:szCs w:val="22"/>
              </w:rPr>
              <w:t>10</w:t>
            </w:r>
          </w:p>
        </w:tc>
        <w:tc>
          <w:tcPr>
            <w:tcW w:w="729" w:type="pct"/>
            <w:tcBorders>
              <w:top w:val="single" w:sz="4" w:space="0" w:color="000000"/>
              <w:left w:val="single" w:sz="4" w:space="0" w:color="000000"/>
              <w:bottom w:val="single" w:sz="4" w:space="0" w:color="000000"/>
            </w:tcBorders>
          </w:tcPr>
          <w:p w14:paraId="620B61D2" w14:textId="77777777" w:rsidR="001C08A5" w:rsidRDefault="00000000">
            <w:pPr>
              <w:spacing w:line="360" w:lineRule="auto"/>
              <w:jc w:val="center"/>
              <w:rPr>
                <w:b/>
                <w:bCs/>
                <w:i/>
                <w:iCs/>
                <w:sz w:val="22"/>
                <w:szCs w:val="22"/>
              </w:rPr>
            </w:pPr>
            <w:r>
              <w:rPr>
                <w:b/>
                <w:bCs/>
                <w:i/>
                <w:iCs/>
                <w:sz w:val="22"/>
                <w:szCs w:val="22"/>
              </w:rPr>
              <w:t>10</w:t>
            </w:r>
          </w:p>
        </w:tc>
        <w:tc>
          <w:tcPr>
            <w:tcW w:w="2380" w:type="pct"/>
            <w:vMerge/>
            <w:tcBorders>
              <w:top w:val="single" w:sz="4" w:space="0" w:color="000000"/>
              <w:left w:val="single" w:sz="4" w:space="0" w:color="000000"/>
              <w:bottom w:val="single" w:sz="4" w:space="0" w:color="000000"/>
              <w:right w:val="single" w:sz="4" w:space="0" w:color="000000"/>
            </w:tcBorders>
          </w:tcPr>
          <w:p w14:paraId="69B4B1F8" w14:textId="77777777" w:rsidR="001C08A5" w:rsidRDefault="001C08A5">
            <w:pPr>
              <w:snapToGrid w:val="0"/>
              <w:rPr>
                <w:i/>
                <w:iCs/>
                <w:sz w:val="22"/>
                <w:szCs w:val="22"/>
              </w:rPr>
            </w:pPr>
          </w:p>
        </w:tc>
      </w:tr>
    </w:tbl>
    <w:p w14:paraId="5EC9A1F1" w14:textId="77777777" w:rsidR="001C08A5" w:rsidRDefault="001C08A5">
      <w:pPr>
        <w:jc w:val="both"/>
        <w:rPr>
          <w:b/>
          <w:dstrike/>
          <w:sz w:val="24"/>
          <w:szCs w:val="24"/>
        </w:rPr>
      </w:pPr>
    </w:p>
    <w:p w14:paraId="78567D87"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Art. </w:t>
      </w:r>
      <w:r>
        <w:rPr>
          <w:b/>
          <w:caps/>
          <w:sz w:val="24"/>
          <w:szCs w:val="24"/>
        </w:rPr>
        <w:t>3.1.5.</w:t>
      </w:r>
      <w:r>
        <w:rPr>
          <w:b/>
          <w:sz w:val="24"/>
          <w:szCs w:val="24"/>
        </w:rPr>
        <w:t xml:space="preserve">5. (1) </w:t>
      </w:r>
      <w:r>
        <w:rPr>
          <w:sz w:val="24"/>
          <w:szCs w:val="24"/>
          <w:lang w:eastAsia="ro-RO"/>
        </w:rPr>
        <w:t xml:space="preserve">Circulaţiile comune orizontale deschise spre atrium (platforme, supante etc), pot constitui căi de evacuare pentru persoanele aflate în încăperile adiacente, atunci când lungimea de evacuare, nu depăşeşte valorile maxime admise în </w:t>
      </w:r>
      <w:r>
        <w:rPr>
          <w:b/>
          <w:sz w:val="24"/>
          <w:szCs w:val="24"/>
        </w:rPr>
        <w:t xml:space="preserve">Art. </w:t>
      </w:r>
      <w:r>
        <w:rPr>
          <w:b/>
          <w:caps/>
          <w:sz w:val="24"/>
          <w:szCs w:val="24"/>
        </w:rPr>
        <w:t>3.1.5.</w:t>
      </w:r>
      <w:r>
        <w:rPr>
          <w:b/>
          <w:sz w:val="24"/>
          <w:szCs w:val="24"/>
        </w:rPr>
        <w:t xml:space="preserve">4. </w:t>
      </w:r>
      <w:r>
        <w:rPr>
          <w:bCs/>
          <w:sz w:val="24"/>
          <w:szCs w:val="24"/>
        </w:rPr>
        <w:t xml:space="preserve">și </w:t>
      </w:r>
      <w:r>
        <w:rPr>
          <w:rFonts w:cs="Mangal"/>
          <w:b/>
          <w:i/>
          <w:iCs/>
          <w:sz w:val="24"/>
          <w:szCs w:val="24"/>
        </w:rPr>
        <w:fldChar w:fldCharType="begin"/>
      </w:r>
      <w:r>
        <w:rPr>
          <w:rFonts w:cs="Mangal"/>
          <w:b/>
          <w:i/>
          <w:iCs/>
          <w:sz w:val="24"/>
          <w:szCs w:val="24"/>
        </w:rPr>
        <w:instrText xml:space="preserve"> REF _Ref13548 \h </w:instrText>
      </w:r>
      <w:r>
        <w:rPr>
          <w:rFonts w:cs="Mangal"/>
          <w:b/>
          <w:i/>
          <w:iCs/>
          <w:sz w:val="24"/>
          <w:szCs w:val="24"/>
        </w:rPr>
      </w:r>
      <w:r>
        <w:rPr>
          <w:rFonts w:cs="Mangal"/>
          <w:b/>
          <w:i/>
          <w:iCs/>
          <w:sz w:val="24"/>
          <w:szCs w:val="24"/>
        </w:rPr>
        <w:fldChar w:fldCharType="separate"/>
      </w:r>
      <w:r>
        <w:t>Tabelul 50</w:t>
      </w:r>
      <w:r>
        <w:rPr>
          <w:rFonts w:cs="Mangal"/>
          <w:b/>
          <w:i/>
          <w:iCs/>
          <w:sz w:val="24"/>
          <w:szCs w:val="24"/>
        </w:rPr>
        <w:fldChar w:fldCharType="end"/>
      </w:r>
      <w:r>
        <w:rPr>
          <w:sz w:val="24"/>
          <w:szCs w:val="24"/>
          <w:lang w:eastAsia="ro-RO"/>
        </w:rPr>
        <w:t>, de la uşa acestora până la o casă de scări de evacuare (măsurată în axul căilor), în funcţie de nivelul de stabilitate la incendiu al construcţiei.</w:t>
      </w:r>
    </w:p>
    <w:p w14:paraId="291AA239"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(2) </w:t>
      </w:r>
      <w:r>
        <w:rPr>
          <w:bCs/>
          <w:sz w:val="24"/>
          <w:szCs w:val="24"/>
        </w:rPr>
        <w:t xml:space="preserve">Ușile </w:t>
      </w:r>
      <w:r>
        <w:rPr>
          <w:sz w:val="24"/>
          <w:szCs w:val="24"/>
          <w:lang w:eastAsia="ro-RO"/>
        </w:rPr>
        <w:t>încăperilor care debuşează în circulaţiile comune orizontale deschise spre atrium, se alcătuiesc şi echipează conform prevederilor normativului referitoare la comunicarea între spaţii cu destinaţii diferite şi căi de evacuare.</w:t>
      </w:r>
    </w:p>
    <w:p w14:paraId="7DCE3A0C" w14:textId="77777777" w:rsidR="001C08A5" w:rsidRDefault="001C08A5">
      <w:pPr>
        <w:suppressAutoHyphens w:val="0"/>
        <w:autoSpaceDE w:val="0"/>
        <w:autoSpaceDN w:val="0"/>
        <w:adjustRightInd w:val="0"/>
        <w:jc w:val="both"/>
        <w:rPr>
          <w:sz w:val="24"/>
          <w:szCs w:val="24"/>
          <w:lang w:eastAsia="ro-RO"/>
        </w:rPr>
      </w:pPr>
    </w:p>
    <w:p w14:paraId="6B95DA4A" w14:textId="77777777" w:rsidR="001C08A5" w:rsidRDefault="00000000">
      <w:pPr>
        <w:jc w:val="both"/>
        <w:rPr>
          <w:b/>
          <w:bCs/>
          <w:sz w:val="24"/>
          <w:szCs w:val="24"/>
          <w:vertAlign w:val="subscript"/>
        </w:rPr>
      </w:pPr>
      <w:r>
        <w:rPr>
          <w:b/>
          <w:sz w:val="24"/>
          <w:szCs w:val="24"/>
        </w:rPr>
        <w:tab/>
        <w:t xml:space="preserve">Art. </w:t>
      </w:r>
      <w:r>
        <w:rPr>
          <w:b/>
          <w:caps/>
          <w:sz w:val="24"/>
          <w:szCs w:val="24"/>
        </w:rPr>
        <w:t>3.1.5.</w:t>
      </w:r>
      <w:r>
        <w:rPr>
          <w:b/>
          <w:sz w:val="24"/>
          <w:szCs w:val="24"/>
        </w:rPr>
        <w:t>6.</w:t>
      </w:r>
      <w:r>
        <w:rPr>
          <w:rFonts w:eastAsia="ArialMT"/>
          <w:sz w:val="24"/>
          <w:szCs w:val="24"/>
        </w:rPr>
        <w:t xml:space="preserve">Numărul normat de utilizatori pe unitatea de trecere (flux) de evacuare </w:t>
      </w:r>
      <w:r>
        <w:rPr>
          <w:rFonts w:eastAsia="Arial-BoldMT"/>
          <w:b/>
          <w:sz w:val="24"/>
          <w:szCs w:val="24"/>
        </w:rPr>
        <w:t>(Uf)</w:t>
      </w:r>
      <w:r>
        <w:rPr>
          <w:sz w:val="24"/>
          <w:szCs w:val="24"/>
        </w:rPr>
        <w:t xml:space="preserve"> din construcţiile civile cu înălţimi obişnuite, sunt precizate în </w:t>
      </w:r>
      <w:r>
        <w:rPr>
          <w:rFonts w:cs="Mangal"/>
          <w:b/>
          <w:i/>
          <w:iCs/>
          <w:sz w:val="24"/>
          <w:szCs w:val="24"/>
        </w:rPr>
        <w:fldChar w:fldCharType="begin"/>
      </w:r>
      <w:r>
        <w:rPr>
          <w:rFonts w:cs="Mangal"/>
          <w:b/>
          <w:i/>
          <w:iCs/>
          <w:sz w:val="24"/>
          <w:szCs w:val="24"/>
        </w:rPr>
        <w:instrText xml:space="preserve"> REF _Ref13754 \h </w:instrText>
      </w:r>
      <w:r>
        <w:rPr>
          <w:rFonts w:cs="Mangal"/>
          <w:b/>
          <w:i/>
          <w:iCs/>
          <w:sz w:val="24"/>
          <w:szCs w:val="24"/>
        </w:rPr>
      </w:r>
      <w:r>
        <w:rPr>
          <w:rFonts w:cs="Mangal"/>
          <w:b/>
          <w:i/>
          <w:iCs/>
          <w:sz w:val="24"/>
          <w:szCs w:val="24"/>
        </w:rPr>
        <w:fldChar w:fldCharType="separate"/>
      </w:r>
      <w:r>
        <w:t>Tabelul 51</w:t>
      </w:r>
      <w:r>
        <w:rPr>
          <w:rFonts w:cs="Mangal"/>
          <w:b/>
          <w:i/>
          <w:iCs/>
          <w:sz w:val="24"/>
          <w:szCs w:val="24"/>
        </w:rPr>
        <w:fldChar w:fldCharType="end"/>
      </w:r>
      <w:r>
        <w:rPr>
          <w:sz w:val="24"/>
          <w:szCs w:val="24"/>
        </w:rPr>
        <w:t>.</w:t>
      </w:r>
    </w:p>
    <w:p w14:paraId="6EE43381" w14:textId="77777777" w:rsidR="001C08A5" w:rsidRDefault="001C08A5">
      <w:pPr>
        <w:jc w:val="both"/>
        <w:rPr>
          <w:b/>
          <w:sz w:val="24"/>
          <w:szCs w:val="24"/>
        </w:rPr>
      </w:pPr>
    </w:p>
    <w:p w14:paraId="4398C7FC" w14:textId="77777777" w:rsidR="001C08A5" w:rsidRDefault="00000000">
      <w:pPr>
        <w:pStyle w:val="Captiontabel"/>
      </w:pPr>
      <w:bookmarkStart w:id="3135" w:name="_Ref13754"/>
      <w:bookmarkStart w:id="3136" w:name="_Ref17029"/>
      <w:bookmarkStart w:id="3137" w:name="_Toc162360101"/>
      <w:r>
        <w:t xml:space="preserve">Tabelul </w:t>
      </w:r>
      <w:r>
        <w:fldChar w:fldCharType="begin"/>
      </w:r>
      <w:r>
        <w:instrText xml:space="preserve"> SEQ Tabelul \* ARABIC </w:instrText>
      </w:r>
      <w:r>
        <w:fldChar w:fldCharType="separate"/>
      </w:r>
      <w:r>
        <w:t>51</w:t>
      </w:r>
      <w:r>
        <w:fldChar w:fldCharType="end"/>
      </w:r>
      <w:bookmarkStart w:id="3138" w:name="_Toc28710"/>
      <w:bookmarkStart w:id="3139" w:name="_Toc14612"/>
      <w:bookmarkStart w:id="3140" w:name="_Toc9258"/>
      <w:bookmarkStart w:id="3141" w:name="_Toc6126"/>
      <w:bookmarkStart w:id="3142" w:name="_Toc15507"/>
      <w:bookmarkStart w:id="3143" w:name="_Toc12934"/>
      <w:bookmarkStart w:id="3144" w:name="_Toc8858"/>
      <w:bookmarkStart w:id="3145" w:name="_Toc14624"/>
      <w:bookmarkStart w:id="3146" w:name="_Toc1359"/>
      <w:bookmarkStart w:id="3147" w:name="_Toc31223"/>
      <w:bookmarkStart w:id="3148" w:name="_Toc21762"/>
      <w:bookmarkStart w:id="3149" w:name="_Toc8459"/>
      <w:bookmarkStart w:id="3150" w:name="_Toc29484"/>
      <w:bookmarkStart w:id="3151" w:name="_Toc1698"/>
      <w:bookmarkStart w:id="3152" w:name="_Toc16795"/>
      <w:bookmarkStart w:id="3153" w:name="_Toc23719"/>
      <w:bookmarkStart w:id="3154" w:name="_Toc21821"/>
      <w:bookmarkStart w:id="3155" w:name="_Toc28443"/>
      <w:bookmarkStart w:id="3156" w:name="_Toc28525"/>
      <w:bookmarkEnd w:id="3135"/>
      <w:r>
        <w:t>: Număr normat de utilizatori pe unitatea de trecere (flux) de evacuare (Uf) din construcţiile civile cu înălţimi obişnuite</w:t>
      </w:r>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p>
    <w:tbl>
      <w:tblPr>
        <w:tblpPr w:leftFromText="180" w:rightFromText="180" w:vertAnchor="text" w:horzAnchor="page" w:tblpX="1499" w:tblpY="274"/>
        <w:tblOverlap w:val="never"/>
        <w:tblW w:w="9498" w:type="dxa"/>
        <w:tblLayout w:type="fixed"/>
        <w:tblLook w:val="04A0" w:firstRow="1" w:lastRow="0" w:firstColumn="1" w:lastColumn="0" w:noHBand="0" w:noVBand="1"/>
      </w:tblPr>
      <w:tblGrid>
        <w:gridCol w:w="709"/>
        <w:gridCol w:w="7015"/>
        <w:gridCol w:w="1774"/>
      </w:tblGrid>
      <w:tr w:rsidR="001C08A5" w14:paraId="398F3290" w14:textId="77777777">
        <w:trPr>
          <w:tblHeader/>
        </w:trPr>
        <w:tc>
          <w:tcPr>
            <w:tcW w:w="709" w:type="dxa"/>
            <w:tcBorders>
              <w:top w:val="single" w:sz="8" w:space="0" w:color="000000"/>
              <w:left w:val="single" w:sz="8" w:space="0" w:color="000000"/>
              <w:bottom w:val="single" w:sz="8" w:space="0" w:color="000000"/>
            </w:tcBorders>
            <w:shd w:val="clear" w:color="auto" w:fill="BFBFBF"/>
          </w:tcPr>
          <w:p w14:paraId="573CEC95" w14:textId="77777777" w:rsidR="001C08A5" w:rsidRDefault="001C08A5">
            <w:pPr>
              <w:snapToGrid w:val="0"/>
              <w:jc w:val="center"/>
              <w:rPr>
                <w:i/>
                <w:iCs/>
                <w:sz w:val="22"/>
                <w:szCs w:val="22"/>
              </w:rPr>
            </w:pPr>
          </w:p>
          <w:p w14:paraId="574CE865" w14:textId="77777777" w:rsidR="001C08A5" w:rsidRDefault="00000000">
            <w:pPr>
              <w:jc w:val="center"/>
              <w:rPr>
                <w:b/>
                <w:i/>
                <w:iCs/>
                <w:sz w:val="22"/>
                <w:szCs w:val="22"/>
              </w:rPr>
            </w:pPr>
            <w:r>
              <w:rPr>
                <w:b/>
                <w:i/>
                <w:iCs/>
                <w:sz w:val="22"/>
                <w:szCs w:val="22"/>
              </w:rPr>
              <w:t>Nr.</w:t>
            </w:r>
          </w:p>
          <w:p w14:paraId="3C7C437B" w14:textId="77777777" w:rsidR="001C08A5" w:rsidRDefault="00000000">
            <w:pPr>
              <w:jc w:val="center"/>
              <w:rPr>
                <w:i/>
                <w:iCs/>
                <w:sz w:val="22"/>
                <w:szCs w:val="22"/>
              </w:rPr>
            </w:pPr>
            <w:r>
              <w:rPr>
                <w:b/>
                <w:i/>
                <w:iCs/>
                <w:sz w:val="22"/>
                <w:szCs w:val="22"/>
              </w:rPr>
              <w:t>crt.</w:t>
            </w:r>
          </w:p>
        </w:tc>
        <w:tc>
          <w:tcPr>
            <w:tcW w:w="7015" w:type="dxa"/>
            <w:tcBorders>
              <w:top w:val="single" w:sz="8" w:space="0" w:color="000000"/>
              <w:left w:val="single" w:sz="4" w:space="0" w:color="000000"/>
              <w:bottom w:val="single" w:sz="8" w:space="0" w:color="000000"/>
            </w:tcBorders>
            <w:shd w:val="clear" w:color="auto" w:fill="BFBFBF"/>
          </w:tcPr>
          <w:p w14:paraId="0635A8E4" w14:textId="77777777" w:rsidR="001C08A5" w:rsidRDefault="001C08A5">
            <w:pPr>
              <w:snapToGrid w:val="0"/>
              <w:jc w:val="both"/>
              <w:rPr>
                <w:i/>
                <w:iCs/>
                <w:sz w:val="22"/>
                <w:szCs w:val="22"/>
              </w:rPr>
            </w:pPr>
          </w:p>
          <w:p w14:paraId="539CF92F" w14:textId="77777777" w:rsidR="001C08A5" w:rsidRDefault="00000000">
            <w:pPr>
              <w:jc w:val="center"/>
              <w:rPr>
                <w:b/>
                <w:i/>
                <w:iCs/>
                <w:sz w:val="22"/>
                <w:szCs w:val="22"/>
              </w:rPr>
            </w:pPr>
            <w:r>
              <w:rPr>
                <w:b/>
                <w:i/>
                <w:iCs/>
                <w:sz w:val="22"/>
                <w:szCs w:val="22"/>
              </w:rPr>
              <w:t>Destinaţia construcţiei sau a porţiunii de construcţie din care se  evacuează utilizatorii</w:t>
            </w:r>
          </w:p>
        </w:tc>
        <w:tc>
          <w:tcPr>
            <w:tcW w:w="1774" w:type="dxa"/>
            <w:tcBorders>
              <w:top w:val="single" w:sz="8" w:space="0" w:color="000000"/>
              <w:left w:val="single" w:sz="4" w:space="0" w:color="000000"/>
              <w:bottom w:val="single" w:sz="8" w:space="0" w:color="000000"/>
              <w:right w:val="single" w:sz="8" w:space="0" w:color="000000"/>
            </w:tcBorders>
            <w:shd w:val="clear" w:color="auto" w:fill="BFBFBF"/>
          </w:tcPr>
          <w:p w14:paraId="48106F6B" w14:textId="77777777" w:rsidR="001C08A5" w:rsidRDefault="00000000">
            <w:pPr>
              <w:jc w:val="center"/>
              <w:rPr>
                <w:i/>
                <w:iCs/>
                <w:sz w:val="22"/>
                <w:szCs w:val="22"/>
              </w:rPr>
            </w:pPr>
            <w:r>
              <w:rPr>
                <w:rFonts w:eastAsia="ArialMT"/>
                <w:b/>
                <w:bCs/>
                <w:i/>
                <w:iCs/>
                <w:sz w:val="22"/>
                <w:szCs w:val="22"/>
              </w:rPr>
              <w:t xml:space="preserve">Număr normat </w:t>
            </w:r>
            <w:r>
              <w:rPr>
                <w:rFonts w:eastAsia="ArialMT"/>
                <w:i/>
                <w:iCs/>
                <w:sz w:val="22"/>
                <w:szCs w:val="22"/>
              </w:rPr>
              <w:t xml:space="preserve">de utilizatori pe unitatea de trecere (flux) de evacuare </w:t>
            </w:r>
            <w:r>
              <w:rPr>
                <w:rFonts w:eastAsia="Arial-BoldMT"/>
                <w:b/>
                <w:i/>
                <w:iCs/>
                <w:sz w:val="22"/>
                <w:szCs w:val="22"/>
              </w:rPr>
              <w:t>(Uf)</w:t>
            </w:r>
          </w:p>
        </w:tc>
      </w:tr>
      <w:tr w:rsidR="001C08A5" w14:paraId="6499A088" w14:textId="77777777">
        <w:trPr>
          <w:trHeight w:val="517"/>
        </w:trPr>
        <w:tc>
          <w:tcPr>
            <w:tcW w:w="709" w:type="dxa"/>
            <w:tcBorders>
              <w:top w:val="single" w:sz="8" w:space="0" w:color="000000"/>
              <w:left w:val="single" w:sz="4" w:space="0" w:color="000000"/>
              <w:bottom w:val="single" w:sz="4" w:space="0" w:color="000000"/>
            </w:tcBorders>
          </w:tcPr>
          <w:p w14:paraId="45939E38" w14:textId="77777777" w:rsidR="001C08A5" w:rsidRDefault="001C08A5">
            <w:pPr>
              <w:snapToGrid w:val="0"/>
              <w:jc w:val="center"/>
              <w:rPr>
                <w:i/>
                <w:iCs/>
                <w:sz w:val="22"/>
                <w:szCs w:val="22"/>
              </w:rPr>
            </w:pPr>
          </w:p>
          <w:p w14:paraId="4B29B75D" w14:textId="77777777" w:rsidR="001C08A5" w:rsidRDefault="00000000">
            <w:pPr>
              <w:jc w:val="center"/>
              <w:rPr>
                <w:i/>
                <w:iCs/>
                <w:sz w:val="22"/>
                <w:szCs w:val="22"/>
              </w:rPr>
            </w:pPr>
            <w:r>
              <w:rPr>
                <w:i/>
                <w:iCs/>
                <w:sz w:val="22"/>
                <w:szCs w:val="22"/>
              </w:rPr>
              <w:t>1</w:t>
            </w:r>
          </w:p>
        </w:tc>
        <w:tc>
          <w:tcPr>
            <w:tcW w:w="7015" w:type="dxa"/>
            <w:tcBorders>
              <w:top w:val="single" w:sz="8" w:space="0" w:color="000000"/>
              <w:left w:val="single" w:sz="4" w:space="0" w:color="000000"/>
              <w:bottom w:val="single" w:sz="4" w:space="0" w:color="000000"/>
            </w:tcBorders>
          </w:tcPr>
          <w:p w14:paraId="1A6C4FA4" w14:textId="77777777" w:rsidR="001C08A5" w:rsidRDefault="00000000">
            <w:pPr>
              <w:jc w:val="both"/>
              <w:rPr>
                <w:b/>
                <w:i/>
                <w:iCs/>
                <w:sz w:val="22"/>
                <w:szCs w:val="22"/>
              </w:rPr>
            </w:pPr>
            <w:r>
              <w:rPr>
                <w:i/>
                <w:iCs/>
                <w:sz w:val="22"/>
                <w:szCs w:val="22"/>
              </w:rPr>
              <w:t>Destinate persoanelor care nu se pot evacua singure (definite conform terminologie), etc.</w:t>
            </w:r>
          </w:p>
        </w:tc>
        <w:tc>
          <w:tcPr>
            <w:tcW w:w="1774" w:type="dxa"/>
            <w:tcBorders>
              <w:top w:val="single" w:sz="8" w:space="0" w:color="000000"/>
              <w:left w:val="single" w:sz="4" w:space="0" w:color="000000"/>
              <w:bottom w:val="single" w:sz="4" w:space="0" w:color="000000"/>
              <w:right w:val="single" w:sz="4" w:space="0" w:color="000000"/>
            </w:tcBorders>
          </w:tcPr>
          <w:p w14:paraId="48380CC9" w14:textId="77777777" w:rsidR="001C08A5" w:rsidRDefault="001C08A5">
            <w:pPr>
              <w:jc w:val="both"/>
              <w:rPr>
                <w:b/>
                <w:i/>
                <w:iCs/>
                <w:sz w:val="22"/>
                <w:szCs w:val="22"/>
              </w:rPr>
            </w:pPr>
          </w:p>
          <w:p w14:paraId="294F5C6E" w14:textId="77777777" w:rsidR="001C08A5" w:rsidRDefault="00000000">
            <w:pPr>
              <w:jc w:val="center"/>
              <w:rPr>
                <w:i/>
                <w:iCs/>
                <w:sz w:val="22"/>
                <w:szCs w:val="22"/>
              </w:rPr>
            </w:pPr>
            <w:r>
              <w:rPr>
                <w:b/>
                <w:i/>
                <w:iCs/>
                <w:sz w:val="22"/>
                <w:szCs w:val="22"/>
              </w:rPr>
              <w:t>50</w:t>
            </w:r>
          </w:p>
        </w:tc>
      </w:tr>
      <w:tr w:rsidR="001C08A5" w14:paraId="204F239B" w14:textId="77777777">
        <w:tc>
          <w:tcPr>
            <w:tcW w:w="709" w:type="dxa"/>
            <w:tcBorders>
              <w:top w:val="single" w:sz="4" w:space="0" w:color="000000"/>
              <w:left w:val="single" w:sz="4" w:space="0" w:color="000000"/>
              <w:bottom w:val="single" w:sz="4" w:space="0" w:color="000000"/>
            </w:tcBorders>
          </w:tcPr>
          <w:p w14:paraId="74B06090" w14:textId="77777777" w:rsidR="001C08A5" w:rsidRDefault="001C08A5">
            <w:pPr>
              <w:snapToGrid w:val="0"/>
              <w:jc w:val="center"/>
              <w:rPr>
                <w:i/>
                <w:iCs/>
                <w:sz w:val="22"/>
                <w:szCs w:val="22"/>
              </w:rPr>
            </w:pPr>
          </w:p>
          <w:p w14:paraId="2D756861" w14:textId="77777777" w:rsidR="001C08A5" w:rsidRDefault="00000000">
            <w:pPr>
              <w:jc w:val="center"/>
              <w:rPr>
                <w:i/>
                <w:iCs/>
                <w:sz w:val="22"/>
                <w:szCs w:val="22"/>
              </w:rPr>
            </w:pPr>
            <w:r>
              <w:rPr>
                <w:i/>
                <w:iCs/>
                <w:sz w:val="22"/>
                <w:szCs w:val="22"/>
              </w:rPr>
              <w:t>2</w:t>
            </w:r>
          </w:p>
        </w:tc>
        <w:tc>
          <w:tcPr>
            <w:tcW w:w="7015" w:type="dxa"/>
            <w:tcBorders>
              <w:top w:val="single" w:sz="4" w:space="0" w:color="000000"/>
              <w:left w:val="single" w:sz="4" w:space="0" w:color="000000"/>
              <w:bottom w:val="single" w:sz="4" w:space="0" w:color="000000"/>
            </w:tcBorders>
          </w:tcPr>
          <w:p w14:paraId="0C3212A7" w14:textId="77777777" w:rsidR="001C08A5" w:rsidRDefault="00000000">
            <w:pPr>
              <w:jc w:val="both"/>
              <w:rPr>
                <w:b/>
                <w:i/>
                <w:iCs/>
                <w:sz w:val="22"/>
                <w:szCs w:val="22"/>
              </w:rPr>
            </w:pPr>
            <w:r>
              <w:rPr>
                <w:i/>
                <w:iCs/>
                <w:sz w:val="22"/>
                <w:szCs w:val="22"/>
              </w:rPr>
              <w:t>Pentru învăţământ de toate gradele (cu excepția celor enumerate la nr. crt. 1), cultură, cult, administrative, sociale, laboratoare, studiouri cinematografice și de radio, săli de adunări, auditorii, comerţ, expoziţii, alimentaţie publică, de lectură, sport, aşteptare, parcaje pentru autoturisme etc.</w:t>
            </w:r>
          </w:p>
        </w:tc>
        <w:tc>
          <w:tcPr>
            <w:tcW w:w="1774" w:type="dxa"/>
            <w:tcBorders>
              <w:top w:val="single" w:sz="4" w:space="0" w:color="000000"/>
              <w:left w:val="single" w:sz="4" w:space="0" w:color="000000"/>
              <w:bottom w:val="single" w:sz="4" w:space="0" w:color="000000"/>
              <w:right w:val="single" w:sz="4" w:space="0" w:color="000000"/>
            </w:tcBorders>
          </w:tcPr>
          <w:p w14:paraId="78025A18" w14:textId="77777777" w:rsidR="001C08A5" w:rsidRDefault="001C08A5">
            <w:pPr>
              <w:snapToGrid w:val="0"/>
              <w:jc w:val="center"/>
              <w:rPr>
                <w:b/>
                <w:i/>
                <w:iCs/>
                <w:sz w:val="22"/>
                <w:szCs w:val="22"/>
              </w:rPr>
            </w:pPr>
          </w:p>
          <w:p w14:paraId="0D474B39" w14:textId="77777777" w:rsidR="001C08A5" w:rsidRDefault="001C08A5">
            <w:pPr>
              <w:jc w:val="center"/>
              <w:rPr>
                <w:b/>
                <w:i/>
                <w:iCs/>
                <w:sz w:val="22"/>
                <w:szCs w:val="22"/>
              </w:rPr>
            </w:pPr>
          </w:p>
          <w:p w14:paraId="031D90F8" w14:textId="77777777" w:rsidR="001C08A5" w:rsidRDefault="00000000">
            <w:pPr>
              <w:jc w:val="center"/>
              <w:rPr>
                <w:i/>
                <w:iCs/>
                <w:sz w:val="22"/>
                <w:szCs w:val="22"/>
              </w:rPr>
            </w:pPr>
            <w:r>
              <w:rPr>
                <w:b/>
                <w:i/>
                <w:iCs/>
                <w:sz w:val="22"/>
                <w:szCs w:val="22"/>
              </w:rPr>
              <w:t>70</w:t>
            </w:r>
          </w:p>
        </w:tc>
      </w:tr>
      <w:tr w:rsidR="001C08A5" w14:paraId="546F5940" w14:textId="77777777">
        <w:tc>
          <w:tcPr>
            <w:tcW w:w="709" w:type="dxa"/>
            <w:tcBorders>
              <w:top w:val="single" w:sz="4" w:space="0" w:color="000000"/>
              <w:left w:val="single" w:sz="4" w:space="0" w:color="000000"/>
              <w:bottom w:val="single" w:sz="4" w:space="0" w:color="000000"/>
            </w:tcBorders>
          </w:tcPr>
          <w:p w14:paraId="1715BCEB" w14:textId="77777777" w:rsidR="001C08A5" w:rsidRDefault="00000000">
            <w:pPr>
              <w:jc w:val="center"/>
              <w:rPr>
                <w:i/>
                <w:iCs/>
                <w:sz w:val="22"/>
                <w:szCs w:val="22"/>
              </w:rPr>
            </w:pPr>
            <w:r>
              <w:rPr>
                <w:i/>
                <w:iCs/>
                <w:sz w:val="22"/>
                <w:szCs w:val="22"/>
              </w:rPr>
              <w:t>3</w:t>
            </w:r>
          </w:p>
        </w:tc>
        <w:tc>
          <w:tcPr>
            <w:tcW w:w="7015" w:type="dxa"/>
            <w:tcBorders>
              <w:top w:val="single" w:sz="4" w:space="0" w:color="000000"/>
              <w:left w:val="single" w:sz="4" w:space="0" w:color="000000"/>
              <w:bottom w:val="single" w:sz="4" w:space="0" w:color="000000"/>
            </w:tcBorders>
          </w:tcPr>
          <w:p w14:paraId="37FD320D" w14:textId="77777777" w:rsidR="001C08A5" w:rsidRDefault="00000000">
            <w:pPr>
              <w:jc w:val="both"/>
              <w:rPr>
                <w:b/>
                <w:i/>
                <w:iCs/>
                <w:sz w:val="22"/>
                <w:szCs w:val="22"/>
              </w:rPr>
            </w:pPr>
            <w:r>
              <w:rPr>
                <w:i/>
                <w:iCs/>
                <w:sz w:val="22"/>
                <w:szCs w:val="22"/>
              </w:rPr>
              <w:t>Pentru locuit,  hoteluri, cămine, cabane, pensiuni etc.</w:t>
            </w:r>
          </w:p>
        </w:tc>
        <w:tc>
          <w:tcPr>
            <w:tcW w:w="1774" w:type="dxa"/>
            <w:tcBorders>
              <w:top w:val="single" w:sz="4" w:space="0" w:color="000000"/>
              <w:left w:val="single" w:sz="4" w:space="0" w:color="000000"/>
              <w:bottom w:val="single" w:sz="4" w:space="0" w:color="000000"/>
              <w:right w:val="single" w:sz="4" w:space="0" w:color="000000"/>
            </w:tcBorders>
          </w:tcPr>
          <w:p w14:paraId="0775FCC9" w14:textId="77777777" w:rsidR="001C08A5" w:rsidRDefault="00000000">
            <w:pPr>
              <w:jc w:val="center"/>
              <w:rPr>
                <w:i/>
                <w:iCs/>
                <w:sz w:val="22"/>
                <w:szCs w:val="22"/>
              </w:rPr>
            </w:pPr>
            <w:r>
              <w:rPr>
                <w:b/>
                <w:i/>
                <w:iCs/>
                <w:sz w:val="22"/>
                <w:szCs w:val="22"/>
              </w:rPr>
              <w:t>80</w:t>
            </w:r>
          </w:p>
        </w:tc>
      </w:tr>
    </w:tbl>
    <w:p w14:paraId="4EBFC8DC" w14:textId="77777777" w:rsidR="001C08A5" w:rsidRDefault="001C08A5">
      <w:pPr>
        <w:jc w:val="both"/>
        <w:rPr>
          <w:i/>
          <w:sz w:val="22"/>
          <w:szCs w:val="22"/>
          <w:u w:val="single"/>
        </w:rPr>
      </w:pPr>
    </w:p>
    <w:p w14:paraId="2E898D3E" w14:textId="77777777" w:rsidR="001C08A5" w:rsidRDefault="00000000">
      <w:pPr>
        <w:jc w:val="both"/>
        <w:rPr>
          <w:i/>
          <w:sz w:val="22"/>
          <w:szCs w:val="22"/>
          <w:u w:val="single"/>
        </w:rPr>
      </w:pPr>
      <w:r>
        <w:rPr>
          <w:i/>
          <w:sz w:val="22"/>
          <w:szCs w:val="22"/>
          <w:u w:val="single"/>
        </w:rPr>
        <w:t>Notă:</w:t>
      </w:r>
    </w:p>
    <w:p w14:paraId="6DFC5DE2" w14:textId="77777777" w:rsidR="001C08A5" w:rsidRDefault="00000000">
      <w:pPr>
        <w:jc w:val="both"/>
        <w:rPr>
          <w:b/>
          <w:i/>
          <w:caps/>
          <w:sz w:val="22"/>
          <w:szCs w:val="22"/>
        </w:rPr>
      </w:pPr>
      <w:r>
        <w:rPr>
          <w:rFonts w:eastAsia="ArialMT"/>
          <w:i/>
          <w:sz w:val="22"/>
          <w:szCs w:val="22"/>
        </w:rPr>
        <w:t xml:space="preserve">Numărul normat de utilizatori pe unitatea de trecere (flux) de evacuare </w:t>
      </w:r>
      <w:r>
        <w:rPr>
          <w:rFonts w:eastAsia="Arial-BoldMT"/>
          <w:b/>
          <w:i/>
          <w:sz w:val="22"/>
          <w:szCs w:val="22"/>
        </w:rPr>
        <w:t>(Uf)</w:t>
      </w:r>
      <w:r>
        <w:rPr>
          <w:i/>
          <w:sz w:val="22"/>
          <w:szCs w:val="22"/>
        </w:rPr>
        <w:t xml:space="preserve"> din clădiri supraterane înalte, foarte înalte sau cu săli aglomerate și din clădirile civile subterane independente este precizat în prevederile privind performanțele specifice acestora.</w:t>
      </w:r>
    </w:p>
    <w:p w14:paraId="05AAA98E" w14:textId="77777777" w:rsidR="001C08A5" w:rsidRDefault="00000000">
      <w:pPr>
        <w:pStyle w:val="Heading4"/>
      </w:pPr>
      <w:bookmarkStart w:id="3157" w:name="_Toc27509"/>
      <w:bookmarkStart w:id="3158" w:name="_Toc27386"/>
      <w:bookmarkStart w:id="3159" w:name="_Toc28275"/>
      <w:bookmarkStart w:id="3160" w:name="_Toc30214"/>
      <w:bookmarkStart w:id="3161" w:name="_Toc17029"/>
      <w:bookmarkStart w:id="3162" w:name="_Toc162355285"/>
      <w:bookmarkStart w:id="3163" w:name="_Toc13815"/>
      <w:bookmarkStart w:id="3164" w:name="_Toc20456"/>
      <w:r>
        <w:t>3.1.6. Condiţii de acces, intervenţie și salvare în caz de incendiu</w:t>
      </w:r>
      <w:bookmarkEnd w:id="3157"/>
      <w:bookmarkEnd w:id="3158"/>
      <w:bookmarkEnd w:id="3159"/>
      <w:bookmarkEnd w:id="3160"/>
      <w:bookmarkEnd w:id="3161"/>
      <w:bookmarkEnd w:id="3162"/>
      <w:bookmarkEnd w:id="3163"/>
      <w:bookmarkEnd w:id="3164"/>
    </w:p>
    <w:p w14:paraId="7F376933" w14:textId="77777777" w:rsidR="001C08A5" w:rsidRDefault="001C08A5">
      <w:pPr>
        <w:jc w:val="both"/>
        <w:rPr>
          <w:sz w:val="24"/>
          <w:szCs w:val="24"/>
          <w:lang w:eastAsia="ro-RO"/>
        </w:rPr>
      </w:pPr>
    </w:p>
    <w:p w14:paraId="0BCBC7B6" w14:textId="77777777" w:rsidR="001C08A5" w:rsidRDefault="00000000">
      <w:pPr>
        <w:jc w:val="both"/>
        <w:rPr>
          <w:sz w:val="24"/>
          <w:szCs w:val="24"/>
          <w:lang w:eastAsia="ro-RO"/>
        </w:rPr>
      </w:pPr>
      <w:r>
        <w:rPr>
          <w:b/>
          <w:sz w:val="24"/>
          <w:szCs w:val="24"/>
        </w:rPr>
        <w:tab/>
        <w:t xml:space="preserve">Art. </w:t>
      </w:r>
      <w:r>
        <w:rPr>
          <w:b/>
          <w:caps/>
          <w:sz w:val="24"/>
          <w:szCs w:val="24"/>
        </w:rPr>
        <w:t>3.1.6.</w:t>
      </w:r>
      <w:r>
        <w:rPr>
          <w:b/>
          <w:sz w:val="24"/>
          <w:szCs w:val="24"/>
        </w:rPr>
        <w:t xml:space="preserve">1. (1) </w:t>
      </w:r>
      <w:r>
        <w:rPr>
          <w:sz w:val="24"/>
          <w:szCs w:val="24"/>
        </w:rPr>
        <w:t>Construcţiile civile supraterane cu înălţimi obişnuite vor avea asigurate condiţii de acces şi intervenţie a autospecialelor de stingere în caz de incendiu, potrivit prevederilor normativului.</w:t>
      </w:r>
    </w:p>
    <w:p w14:paraId="23B94019" w14:textId="77777777" w:rsidR="001C08A5" w:rsidRDefault="00000000">
      <w:pPr>
        <w:suppressAutoHyphens w:val="0"/>
        <w:autoSpaceDE w:val="0"/>
        <w:autoSpaceDN w:val="0"/>
        <w:adjustRightInd w:val="0"/>
        <w:jc w:val="both"/>
        <w:rPr>
          <w:sz w:val="24"/>
          <w:szCs w:val="24"/>
          <w:lang w:eastAsia="ro-RO"/>
        </w:rPr>
      </w:pPr>
      <w:r>
        <w:rPr>
          <w:b/>
          <w:sz w:val="24"/>
          <w:szCs w:val="24"/>
        </w:rPr>
        <w:lastRenderedPageBreak/>
        <w:tab/>
        <w:t xml:space="preserve">(2) </w:t>
      </w:r>
      <w:r>
        <w:rPr>
          <w:sz w:val="24"/>
          <w:szCs w:val="24"/>
          <w:lang w:eastAsia="ro-RO"/>
        </w:rPr>
        <w:t>Căile de acces, intervenţie și salvare, vor fi corespunzător alcătuite dimensionate și marcate, astfel încât să poată fi utilizate de către personalul care intervine în caz de incendiu.</w:t>
      </w:r>
    </w:p>
    <w:p w14:paraId="14DCD4A7"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(3) </w:t>
      </w:r>
      <w:r>
        <w:rPr>
          <w:sz w:val="24"/>
          <w:szCs w:val="24"/>
          <w:lang w:eastAsia="ro-RO"/>
        </w:rPr>
        <w:t>Căile de intervenţie exterioare vor permite accesul uşor al autospecialelor de intervenţie ale pompierilor, fiind marcate și menţinute permanent libere. De regulă, vor asigura intervenţia cel puţin la o faţadă a clădirii, cu excepţia situaţiilor precizate în normativ.</w:t>
      </w:r>
    </w:p>
    <w:p w14:paraId="76D6CEC6" w14:textId="77777777" w:rsidR="001C08A5" w:rsidRDefault="00000000">
      <w:pPr>
        <w:suppressAutoHyphens w:val="0"/>
        <w:autoSpaceDE w:val="0"/>
        <w:autoSpaceDN w:val="0"/>
        <w:adjustRightInd w:val="0"/>
        <w:jc w:val="both"/>
        <w:rPr>
          <w:sz w:val="24"/>
          <w:szCs w:val="24"/>
          <w:lang w:eastAsia="ro-RO"/>
        </w:rPr>
      </w:pPr>
      <w:r>
        <w:rPr>
          <w:b/>
          <w:sz w:val="24"/>
          <w:szCs w:val="24"/>
        </w:rPr>
        <w:tab/>
        <w:t xml:space="preserve">(4) </w:t>
      </w:r>
      <w:r>
        <w:rPr>
          <w:sz w:val="24"/>
          <w:szCs w:val="24"/>
          <w:lang w:eastAsia="ro-RO"/>
        </w:rPr>
        <w:t>În interiorul construcţiilor civile, căile de intervenţie ale pompierilor, marcate corespunzător, vor permite accesul uşor la principalele circulaţii funcţionale</w:t>
      </w:r>
      <w:r>
        <w:rPr>
          <w:sz w:val="24"/>
          <w:szCs w:val="24"/>
          <w:lang w:val="en-US" w:eastAsia="ro-RO"/>
        </w:rPr>
        <w:t>și de evacuare</w:t>
      </w:r>
      <w:r>
        <w:rPr>
          <w:sz w:val="24"/>
          <w:szCs w:val="24"/>
          <w:lang w:eastAsia="ro-RO"/>
        </w:rPr>
        <w:t xml:space="preserve"> (orizontale şi verticale), precum și la spaţiile cu risc sau pericol de incendiu.</w:t>
      </w:r>
    </w:p>
    <w:p w14:paraId="29C78668" w14:textId="77777777" w:rsidR="001C08A5" w:rsidRDefault="00000000">
      <w:pPr>
        <w:suppressAutoHyphens w:val="0"/>
        <w:autoSpaceDE w:val="0"/>
        <w:autoSpaceDN w:val="0"/>
        <w:adjustRightInd w:val="0"/>
        <w:ind w:firstLine="720"/>
        <w:jc w:val="both"/>
        <w:rPr>
          <w:b/>
          <w:sz w:val="24"/>
          <w:szCs w:val="24"/>
        </w:rPr>
      </w:pPr>
      <w:r>
        <w:rPr>
          <w:b/>
          <w:bCs/>
          <w:sz w:val="24"/>
          <w:szCs w:val="24"/>
        </w:rPr>
        <w:t>(5)</w:t>
      </w:r>
      <w:r>
        <w:rPr>
          <w:sz w:val="24"/>
          <w:szCs w:val="24"/>
        </w:rPr>
        <w:t xml:space="preserve"> În cazul construcţiilor civile supraterane cu înălţimi obişnuite se va asigura accesul și intervenţia autospecialelor de stingere în caz de incendiu, cel puţin pentru procentul (</w:t>
      </w:r>
      <w:r>
        <w:rPr>
          <w:b/>
          <w:bCs/>
          <w:sz w:val="24"/>
          <w:szCs w:val="24"/>
        </w:rPr>
        <w:t>%</w:t>
      </w:r>
      <w:r>
        <w:rPr>
          <w:sz w:val="24"/>
          <w:szCs w:val="24"/>
        </w:rPr>
        <w:t>) din perimetrul pereților exteriori  indicat la fiecare functiune în parte.</w:t>
      </w:r>
      <w:r>
        <w:rPr>
          <w:sz w:val="24"/>
          <w:szCs w:val="24"/>
        </w:rPr>
        <w:tab/>
      </w:r>
      <w:r>
        <w:rPr>
          <w:sz w:val="24"/>
          <w:szCs w:val="24"/>
        </w:rPr>
        <w:tab/>
      </w:r>
    </w:p>
    <w:p w14:paraId="667BFCA6" w14:textId="77777777" w:rsidR="001C08A5" w:rsidRDefault="00000000">
      <w:pPr>
        <w:pStyle w:val="Heading4"/>
      </w:pPr>
      <w:bookmarkStart w:id="3165" w:name="_Toc9483"/>
      <w:bookmarkStart w:id="3166" w:name="_Toc23011"/>
      <w:bookmarkStart w:id="3167" w:name="_Toc4485"/>
      <w:bookmarkStart w:id="3168" w:name="_Toc162355286"/>
      <w:bookmarkStart w:id="3169" w:name="_Toc6790"/>
      <w:bookmarkStart w:id="3170" w:name="_Toc1358"/>
      <w:bookmarkStart w:id="3171" w:name="_Toc26996"/>
      <w:bookmarkStart w:id="3172" w:name="_Toc26546"/>
      <w:r>
        <w:t>3.1.7. ECHIPAREA CONSTRUCŢIILOR CU INSTALAŢII ŞI ALTE MIJLOACE DE STINGERE A INCENDIILOR</w:t>
      </w:r>
      <w:bookmarkEnd w:id="3165"/>
      <w:bookmarkEnd w:id="3166"/>
      <w:bookmarkEnd w:id="3167"/>
      <w:bookmarkEnd w:id="3168"/>
      <w:bookmarkEnd w:id="3169"/>
      <w:bookmarkEnd w:id="3170"/>
      <w:bookmarkEnd w:id="3171"/>
      <w:bookmarkEnd w:id="3172"/>
    </w:p>
    <w:p w14:paraId="3D986756" w14:textId="77777777" w:rsidR="001C08A5" w:rsidRDefault="00000000">
      <w:pPr>
        <w:suppressAutoHyphens w:val="0"/>
        <w:autoSpaceDE w:val="0"/>
        <w:autoSpaceDN w:val="0"/>
        <w:adjustRightInd w:val="0"/>
        <w:jc w:val="both"/>
        <w:rPr>
          <w:sz w:val="24"/>
          <w:szCs w:val="24"/>
          <w:lang w:val="en-US" w:eastAsia="ro-RO"/>
        </w:rPr>
      </w:pPr>
      <w:r>
        <w:rPr>
          <w:b/>
          <w:sz w:val="24"/>
          <w:szCs w:val="24"/>
        </w:rPr>
        <w:tab/>
      </w:r>
    </w:p>
    <w:p w14:paraId="1AC131D3" w14:textId="77777777" w:rsidR="001C08A5" w:rsidRDefault="001C08A5">
      <w:pPr>
        <w:jc w:val="both"/>
        <w:rPr>
          <w:sz w:val="24"/>
          <w:szCs w:val="24"/>
        </w:rPr>
      </w:pPr>
    </w:p>
    <w:p w14:paraId="00A12E7E" w14:textId="77777777" w:rsidR="001C08A5" w:rsidRDefault="00000000">
      <w:pPr>
        <w:ind w:firstLine="720"/>
        <w:jc w:val="both"/>
        <w:rPr>
          <w:sz w:val="24"/>
          <w:szCs w:val="24"/>
        </w:rPr>
      </w:pPr>
      <w:r>
        <w:rPr>
          <w:b/>
          <w:sz w:val="24"/>
          <w:szCs w:val="24"/>
        </w:rPr>
        <w:t xml:space="preserve">Art. </w:t>
      </w:r>
      <w:r>
        <w:rPr>
          <w:b/>
          <w:caps/>
          <w:sz w:val="24"/>
          <w:szCs w:val="24"/>
        </w:rPr>
        <w:t>3.1.7.</w:t>
      </w:r>
      <w:r>
        <w:rPr>
          <w:b/>
          <w:sz w:val="24"/>
          <w:szCs w:val="24"/>
        </w:rPr>
        <w:t>1.</w:t>
      </w:r>
      <w:r>
        <w:rPr>
          <w:sz w:val="24"/>
          <w:szCs w:val="24"/>
        </w:rPr>
        <w:t xml:space="preserve"> Clădirile civile se prevăd cu stingătoare, asigurând un stingător portativ cu performanţa de stingere minimă </w:t>
      </w:r>
      <w:r>
        <w:rPr>
          <w:b/>
          <w:sz w:val="24"/>
          <w:szCs w:val="24"/>
        </w:rPr>
        <w:t xml:space="preserve">21A </w:t>
      </w:r>
      <w:r>
        <w:rPr>
          <w:sz w:val="24"/>
          <w:szCs w:val="24"/>
        </w:rPr>
        <w:t xml:space="preserve">şi </w:t>
      </w:r>
      <w:r>
        <w:rPr>
          <w:b/>
          <w:sz w:val="24"/>
          <w:szCs w:val="24"/>
        </w:rPr>
        <w:t xml:space="preserve">113B </w:t>
      </w:r>
      <w:r>
        <w:rPr>
          <w:sz w:val="24"/>
          <w:szCs w:val="24"/>
        </w:rPr>
        <w:t xml:space="preserve">pentru o arie desfăşurată de maximum </w:t>
      </w:r>
      <w:r>
        <w:rPr>
          <w:b/>
          <w:sz w:val="24"/>
          <w:szCs w:val="24"/>
        </w:rPr>
        <w:t xml:space="preserve">250 </w:t>
      </w:r>
      <w:r>
        <w:rPr>
          <w:bCs/>
          <w:sz w:val="24"/>
          <w:szCs w:val="24"/>
        </w:rPr>
        <w:t>m</w:t>
      </w:r>
      <w:r>
        <w:rPr>
          <w:bCs/>
          <w:sz w:val="24"/>
          <w:szCs w:val="24"/>
          <w:vertAlign w:val="superscript"/>
        </w:rPr>
        <w:t>2</w:t>
      </w:r>
      <w:r>
        <w:rPr>
          <w:sz w:val="24"/>
          <w:szCs w:val="24"/>
        </w:rPr>
        <w:t>, dar minimum două stingătoare pe fiecare nivel al clădirii.</w:t>
      </w:r>
    </w:p>
    <w:p w14:paraId="42814C26" w14:textId="77777777" w:rsidR="001C08A5" w:rsidRDefault="001C08A5">
      <w:pPr>
        <w:ind w:firstLine="720"/>
        <w:jc w:val="both"/>
        <w:rPr>
          <w:b/>
          <w:caps/>
          <w:sz w:val="24"/>
          <w:szCs w:val="24"/>
        </w:rPr>
      </w:pPr>
    </w:p>
    <w:p w14:paraId="7553265E" w14:textId="77777777" w:rsidR="001C08A5" w:rsidRDefault="00000000">
      <w:pPr>
        <w:jc w:val="both"/>
        <w:rPr>
          <w:b/>
          <w:sz w:val="24"/>
          <w:szCs w:val="24"/>
        </w:rPr>
      </w:pPr>
      <w:r>
        <w:rPr>
          <w:b/>
          <w:sz w:val="24"/>
          <w:szCs w:val="24"/>
        </w:rPr>
        <w:tab/>
        <w:t xml:space="preserve">Art. </w:t>
      </w:r>
      <w:r>
        <w:rPr>
          <w:b/>
          <w:caps/>
          <w:sz w:val="24"/>
          <w:szCs w:val="24"/>
        </w:rPr>
        <w:t>3.1.7.</w:t>
      </w:r>
      <w:r>
        <w:rPr>
          <w:b/>
          <w:sz w:val="24"/>
          <w:szCs w:val="24"/>
        </w:rPr>
        <w:t xml:space="preserve">2. (1) </w:t>
      </w:r>
      <w:r>
        <w:rPr>
          <w:sz w:val="24"/>
          <w:szCs w:val="24"/>
        </w:rPr>
        <w:t xml:space="preserve">Construcţiile civile, </w:t>
      </w:r>
      <w:r>
        <w:rPr>
          <w:bCs/>
          <w:sz w:val="24"/>
          <w:szCs w:val="24"/>
        </w:rPr>
        <w:t xml:space="preserve">se </w:t>
      </w:r>
      <w:r>
        <w:rPr>
          <w:sz w:val="24"/>
          <w:szCs w:val="24"/>
        </w:rPr>
        <w:t>echipează cu mijloace tehnice de apărare împotriva incendiilor, potrivit prevederilor normativului şi ale reglementărilor tehnice de specialitate.</w:t>
      </w:r>
    </w:p>
    <w:p w14:paraId="11F3E447" w14:textId="77777777" w:rsidR="001C08A5" w:rsidRDefault="00000000">
      <w:pPr>
        <w:jc w:val="both"/>
        <w:rPr>
          <w:sz w:val="24"/>
          <w:szCs w:val="24"/>
        </w:rPr>
      </w:pPr>
      <w:r>
        <w:rPr>
          <w:b/>
          <w:sz w:val="24"/>
          <w:szCs w:val="24"/>
        </w:rPr>
        <w:tab/>
        <w:t xml:space="preserve">(2) </w:t>
      </w:r>
      <w:r>
        <w:rPr>
          <w:sz w:val="24"/>
          <w:szCs w:val="24"/>
        </w:rPr>
        <w:t xml:space="preserve">În cazurile în care, la subsolul (subsolurile) construcţiilor civile cu înălţimi obişnuite se prevăd parcaje pentru mai mult de </w:t>
      </w:r>
      <w:r>
        <w:rPr>
          <w:b/>
          <w:bCs/>
          <w:sz w:val="24"/>
          <w:szCs w:val="24"/>
        </w:rPr>
        <w:t>10</w:t>
      </w:r>
      <w:r>
        <w:rPr>
          <w:sz w:val="24"/>
          <w:szCs w:val="24"/>
        </w:rPr>
        <w:t xml:space="preserve"> autoturisme sau alte destinaţii cu riscuri </w:t>
      </w:r>
      <w:r>
        <w:rPr>
          <w:bCs/>
          <w:sz w:val="24"/>
          <w:szCs w:val="24"/>
        </w:rPr>
        <w:t xml:space="preserve">mari sau foarte mari </w:t>
      </w:r>
      <w:r>
        <w:rPr>
          <w:sz w:val="24"/>
          <w:szCs w:val="24"/>
        </w:rPr>
        <w:t>de incendiu, acestea se alcătuiesc, compartimentează și echipează cu instalaţii de semnalizare și de stingere, potrivit reglementărilor tehnice de specialitate.</w:t>
      </w:r>
    </w:p>
    <w:p w14:paraId="548942A5" w14:textId="77777777" w:rsidR="001C08A5" w:rsidRDefault="00000000">
      <w:pPr>
        <w:jc w:val="both"/>
        <w:rPr>
          <w:sz w:val="24"/>
          <w:szCs w:val="24"/>
        </w:rPr>
      </w:pPr>
      <w:r>
        <w:rPr>
          <w:b/>
          <w:sz w:val="24"/>
          <w:szCs w:val="24"/>
        </w:rPr>
        <w:tab/>
        <w:t>(3)</w:t>
      </w:r>
      <w:r>
        <w:rPr>
          <w:sz w:val="24"/>
          <w:szCs w:val="24"/>
          <w:lang w:eastAsia="ro-RO"/>
        </w:rPr>
        <w:t xml:space="preserve"> În clădirile cu atrium, </w:t>
      </w:r>
      <w:r>
        <w:rPr>
          <w:sz w:val="24"/>
          <w:szCs w:val="24"/>
          <w:lang w:val="en-US" w:eastAsia="ro-RO"/>
        </w:rPr>
        <w:t xml:space="preserve">atriumul și </w:t>
      </w:r>
      <w:r>
        <w:rPr>
          <w:sz w:val="24"/>
          <w:szCs w:val="24"/>
          <w:lang w:eastAsia="ro-RO"/>
        </w:rPr>
        <w:t xml:space="preserve">spaţiile adiacente acestuia care sunt destinate magazinelor comerciale, expoziţiilor cu exponate combustibile şi, în general, a unor funcţiuni cu riscuri mari de incendiu, se echipează obligatoriu cu </w:t>
      </w:r>
      <w:r>
        <w:rPr>
          <w:sz w:val="24"/>
          <w:szCs w:val="24"/>
        </w:rPr>
        <w:t xml:space="preserve">instalaţii de detectare, semnalizare şi alarmare a incendiului şi instalaţii automate de stingere cu apă a incendiilor potrivit normativului </w:t>
      </w:r>
      <w:r>
        <w:rPr>
          <w:b/>
          <w:bCs/>
          <w:sz w:val="24"/>
          <w:szCs w:val="24"/>
        </w:rPr>
        <w:t xml:space="preserve">P118/2, </w:t>
      </w:r>
      <w:r>
        <w:rPr>
          <w:sz w:val="24"/>
          <w:szCs w:val="24"/>
        </w:rPr>
        <w:t>standardului</w:t>
      </w:r>
      <w:r>
        <w:rPr>
          <w:b/>
          <w:bCs/>
          <w:sz w:val="24"/>
          <w:szCs w:val="24"/>
        </w:rPr>
        <w:t xml:space="preserve"> SR EN 12845</w:t>
      </w:r>
      <w:r>
        <w:rPr>
          <w:sz w:val="24"/>
          <w:szCs w:val="24"/>
        </w:rPr>
        <w:t xml:space="preserve"> și respectiv normativului </w:t>
      </w:r>
      <w:r>
        <w:rPr>
          <w:b/>
          <w:bCs/>
          <w:sz w:val="24"/>
          <w:szCs w:val="24"/>
        </w:rPr>
        <w:t>P118/3</w:t>
      </w:r>
      <w:r>
        <w:rPr>
          <w:sz w:val="24"/>
          <w:szCs w:val="24"/>
          <w:lang w:eastAsia="ro-RO"/>
        </w:rPr>
        <w:t>.</w:t>
      </w:r>
    </w:p>
    <w:p w14:paraId="30CE9F64" w14:textId="77777777" w:rsidR="001C08A5" w:rsidRDefault="00000000">
      <w:pPr>
        <w:pStyle w:val="Heading3"/>
      </w:pPr>
      <w:bookmarkStart w:id="3173" w:name="_Toc26323"/>
      <w:bookmarkStart w:id="3174" w:name="_Toc17018"/>
      <w:bookmarkStart w:id="3175" w:name="_Toc4854"/>
      <w:bookmarkStart w:id="3176" w:name="_Toc26638"/>
      <w:bookmarkStart w:id="3177" w:name="_Toc2166"/>
      <w:bookmarkStart w:id="3178" w:name="_Toc28200"/>
      <w:bookmarkStart w:id="3179" w:name="_Toc28019"/>
      <w:bookmarkStart w:id="3180" w:name="_Toc1905"/>
      <w:bookmarkStart w:id="3181" w:name="_Toc162355287"/>
      <w:bookmarkStart w:id="3182" w:name="_Toc13958"/>
      <w:r>
        <w:t>SECŢIUNEA II</w:t>
      </w:r>
      <w:bookmarkEnd w:id="3173"/>
      <w:bookmarkEnd w:id="3174"/>
      <w:bookmarkEnd w:id="3175"/>
      <w:bookmarkEnd w:id="3176"/>
      <w:bookmarkEnd w:id="3177"/>
      <w:bookmarkEnd w:id="3178"/>
      <w:bookmarkEnd w:id="3179"/>
      <w:bookmarkEnd w:id="3180"/>
      <w:bookmarkEnd w:id="3181"/>
      <w:bookmarkEnd w:id="3182"/>
    </w:p>
    <w:p w14:paraId="01C584F1" w14:textId="77777777" w:rsidR="001C08A5" w:rsidRDefault="00000000">
      <w:pPr>
        <w:pStyle w:val="Heading3"/>
        <w:rPr>
          <w:rFonts w:cs="Times New Roman"/>
          <w:sz w:val="24"/>
          <w:szCs w:val="24"/>
        </w:rPr>
      </w:pPr>
      <w:bookmarkStart w:id="3183" w:name="_Toc6930"/>
      <w:bookmarkStart w:id="3184" w:name="_Toc243"/>
      <w:bookmarkStart w:id="3185" w:name="_Toc3629"/>
      <w:bookmarkStart w:id="3186" w:name="_Toc21325"/>
      <w:bookmarkStart w:id="3187" w:name="_Toc8439"/>
      <w:bookmarkStart w:id="3188" w:name="_Toc28589"/>
      <w:bookmarkStart w:id="3189" w:name="_Toc162355288"/>
      <w:bookmarkStart w:id="3190" w:name="_Toc11508"/>
      <w:bookmarkStart w:id="3191" w:name="_Toc26974"/>
      <w:bookmarkStart w:id="3192" w:name="_Toc4873"/>
      <w:r>
        <w:t>3.2. Performanţe specifice</w:t>
      </w:r>
      <w:bookmarkEnd w:id="3183"/>
      <w:bookmarkEnd w:id="3184"/>
      <w:bookmarkEnd w:id="3185"/>
      <w:bookmarkEnd w:id="3186"/>
      <w:bookmarkEnd w:id="3187"/>
      <w:bookmarkEnd w:id="3188"/>
      <w:bookmarkEnd w:id="3189"/>
      <w:bookmarkEnd w:id="3190"/>
      <w:bookmarkEnd w:id="3191"/>
      <w:bookmarkEnd w:id="3192"/>
    </w:p>
    <w:p w14:paraId="1189BB37" w14:textId="77777777" w:rsidR="001C08A5" w:rsidRDefault="00000000">
      <w:pPr>
        <w:pStyle w:val="Heading4"/>
      </w:pPr>
      <w:bookmarkStart w:id="3193" w:name="_Toc26238"/>
      <w:bookmarkStart w:id="3194" w:name="_Toc18403"/>
      <w:bookmarkStart w:id="3195" w:name="_Toc162355289"/>
      <w:bookmarkStart w:id="3196" w:name="_Toc20783"/>
      <w:bookmarkStart w:id="3197" w:name="_Toc27747"/>
      <w:bookmarkStart w:id="3198" w:name="_Toc27620"/>
      <w:bookmarkStart w:id="3199" w:name="_Toc4375"/>
      <w:bookmarkStart w:id="3200" w:name="_Toc209"/>
      <w:r>
        <w:t>3.2.1. Clădiri de locuit supraterane</w:t>
      </w:r>
      <w:bookmarkEnd w:id="3193"/>
      <w:bookmarkEnd w:id="3194"/>
      <w:bookmarkEnd w:id="3195"/>
      <w:bookmarkEnd w:id="3196"/>
      <w:bookmarkEnd w:id="3197"/>
      <w:bookmarkEnd w:id="3198"/>
      <w:bookmarkEnd w:id="3199"/>
      <w:bookmarkEnd w:id="3200"/>
    </w:p>
    <w:p w14:paraId="6BDFE028" w14:textId="77777777" w:rsidR="001C08A5" w:rsidRDefault="001C08A5">
      <w:pPr>
        <w:jc w:val="both"/>
        <w:rPr>
          <w:sz w:val="24"/>
          <w:szCs w:val="24"/>
        </w:rPr>
      </w:pPr>
    </w:p>
    <w:p w14:paraId="06A751B3" w14:textId="77777777" w:rsidR="001C08A5" w:rsidRDefault="00000000">
      <w:pPr>
        <w:ind w:firstLine="567"/>
        <w:jc w:val="both"/>
        <w:rPr>
          <w:sz w:val="24"/>
          <w:szCs w:val="24"/>
        </w:rPr>
      </w:pPr>
      <w:r>
        <w:rPr>
          <w:b/>
          <w:sz w:val="24"/>
          <w:szCs w:val="24"/>
        </w:rPr>
        <w:t xml:space="preserve">Art. </w:t>
      </w:r>
      <w:r>
        <w:rPr>
          <w:b/>
          <w:bCs/>
          <w:sz w:val="24"/>
          <w:szCs w:val="24"/>
        </w:rPr>
        <w:t>3.2.1.</w:t>
      </w:r>
      <w:r>
        <w:rPr>
          <w:b/>
          <w:sz w:val="24"/>
          <w:szCs w:val="24"/>
        </w:rPr>
        <w:t xml:space="preserve">1. </w:t>
      </w:r>
      <w:r>
        <w:rPr>
          <w:sz w:val="24"/>
          <w:szCs w:val="24"/>
        </w:rPr>
        <w:t xml:space="preserve">Clădirile de locuit supraterane cu înălţimi obişnuite, individuale (familiale) sau colective (blocuri de locuinţe, </w:t>
      </w:r>
      <w:r>
        <w:rPr>
          <w:rFonts w:eastAsia="Times-Roman"/>
          <w:sz w:val="24"/>
          <w:szCs w:val="24"/>
        </w:rPr>
        <w:t>cămine de familişti şi nefamilişti, case de locuit destionate copiilor fara adăpost</w:t>
      </w:r>
      <w:r>
        <w:rPr>
          <w:sz w:val="24"/>
          <w:szCs w:val="24"/>
        </w:rPr>
        <w:t>), dispuse independent sau comasate în limitele ariilor compartimentelor de incendiu normate pentru clădirile civile, se amplasează la distanţe de siguranţă sau se compartimentează faţă de clădirile învecinate conform prevederilor normativului.</w:t>
      </w:r>
    </w:p>
    <w:p w14:paraId="5BF5FA8C" w14:textId="77777777" w:rsidR="001C08A5" w:rsidRDefault="001C08A5">
      <w:pPr>
        <w:ind w:firstLine="567"/>
        <w:jc w:val="both"/>
        <w:rPr>
          <w:sz w:val="24"/>
          <w:szCs w:val="24"/>
        </w:rPr>
      </w:pPr>
    </w:p>
    <w:p w14:paraId="0699A162" w14:textId="77777777" w:rsidR="001C08A5" w:rsidRDefault="00000000">
      <w:pPr>
        <w:ind w:firstLine="567"/>
        <w:jc w:val="both"/>
        <w:rPr>
          <w:sz w:val="24"/>
          <w:szCs w:val="24"/>
        </w:rPr>
      </w:pPr>
      <w:r>
        <w:rPr>
          <w:b/>
          <w:sz w:val="24"/>
          <w:szCs w:val="24"/>
        </w:rPr>
        <w:t xml:space="preserve">Art. </w:t>
      </w:r>
      <w:r>
        <w:rPr>
          <w:b/>
          <w:bCs/>
          <w:sz w:val="24"/>
          <w:szCs w:val="24"/>
        </w:rPr>
        <w:t>3.2.1.</w:t>
      </w:r>
      <w:r>
        <w:rPr>
          <w:b/>
          <w:sz w:val="24"/>
          <w:szCs w:val="24"/>
        </w:rPr>
        <w:t xml:space="preserve">2. </w:t>
      </w:r>
      <w:r>
        <w:rPr>
          <w:sz w:val="24"/>
          <w:szCs w:val="24"/>
        </w:rPr>
        <w:t xml:space="preserve">Clădirile de locuit supraterane cu înălţimi obişnuite, individuale sau colective, se realizează din produse și elemente de construcţie care asigură îndeplinirea condiţiilor normate de conformare şi corelarea între destinaţie, nivelul de stabilitate la incendiu asigurat, numărul de niveluri ale clădiri și aria compartimentului de incendiu. </w:t>
      </w:r>
      <w:r>
        <w:rPr>
          <w:sz w:val="24"/>
          <w:szCs w:val="24"/>
        </w:rPr>
        <w:tab/>
      </w:r>
    </w:p>
    <w:p w14:paraId="4ED0DBE1" w14:textId="77777777" w:rsidR="001C08A5" w:rsidRDefault="00000000">
      <w:pPr>
        <w:ind w:firstLine="567"/>
        <w:jc w:val="both"/>
        <w:rPr>
          <w:sz w:val="24"/>
          <w:szCs w:val="24"/>
        </w:rPr>
      </w:pPr>
      <w:r>
        <w:rPr>
          <w:sz w:val="24"/>
          <w:szCs w:val="24"/>
        </w:rPr>
        <w:tab/>
      </w:r>
    </w:p>
    <w:p w14:paraId="3D90382E" w14:textId="77777777" w:rsidR="001C08A5" w:rsidRDefault="00000000">
      <w:pPr>
        <w:ind w:firstLine="720"/>
        <w:jc w:val="both"/>
        <w:rPr>
          <w:sz w:val="24"/>
          <w:szCs w:val="24"/>
        </w:rPr>
      </w:pPr>
      <w:r>
        <w:rPr>
          <w:b/>
          <w:sz w:val="24"/>
          <w:szCs w:val="24"/>
        </w:rPr>
        <w:t xml:space="preserve">Art. </w:t>
      </w:r>
      <w:r>
        <w:rPr>
          <w:b/>
          <w:bCs/>
          <w:sz w:val="24"/>
          <w:szCs w:val="24"/>
        </w:rPr>
        <w:t>3.2.1.</w:t>
      </w:r>
      <w:r>
        <w:rPr>
          <w:b/>
          <w:sz w:val="24"/>
          <w:szCs w:val="24"/>
        </w:rPr>
        <w:t>3.</w:t>
      </w:r>
      <w:r>
        <w:rPr>
          <w:sz w:val="24"/>
          <w:szCs w:val="24"/>
        </w:rPr>
        <w:t xml:space="preserve"> Materialele, produsele şi/sau elementele de construcţie utilizate la clădiri de locuit supraterane, se realizează conform prevederilor generale, precum și prevederilor privind performanțele comune şi cele specifice destinaţiei și tipului clădirilor civile.</w:t>
      </w:r>
    </w:p>
    <w:p w14:paraId="60C816B3" w14:textId="77777777" w:rsidR="001C08A5" w:rsidRDefault="001C08A5">
      <w:pPr>
        <w:ind w:firstLine="567"/>
        <w:jc w:val="both"/>
        <w:rPr>
          <w:b/>
          <w:sz w:val="24"/>
          <w:szCs w:val="24"/>
        </w:rPr>
      </w:pPr>
    </w:p>
    <w:p w14:paraId="771BB0A2" w14:textId="77777777" w:rsidR="001C08A5" w:rsidRDefault="00000000">
      <w:pPr>
        <w:ind w:firstLine="567"/>
        <w:jc w:val="both"/>
        <w:rPr>
          <w:sz w:val="24"/>
          <w:szCs w:val="24"/>
        </w:rPr>
      </w:pPr>
      <w:r>
        <w:rPr>
          <w:b/>
          <w:sz w:val="24"/>
          <w:szCs w:val="24"/>
        </w:rPr>
        <w:t xml:space="preserve">Art. </w:t>
      </w:r>
      <w:r>
        <w:rPr>
          <w:b/>
          <w:bCs/>
          <w:sz w:val="24"/>
          <w:szCs w:val="24"/>
        </w:rPr>
        <w:t>3.2.1.</w:t>
      </w:r>
      <w:r>
        <w:rPr>
          <w:b/>
          <w:sz w:val="24"/>
          <w:szCs w:val="24"/>
        </w:rPr>
        <w:t xml:space="preserve">4. (1) </w:t>
      </w:r>
      <w:r>
        <w:rPr>
          <w:sz w:val="24"/>
          <w:szCs w:val="24"/>
        </w:rPr>
        <w:t xml:space="preserve">Clasele de performanţă privind reacţia la foc a produselor folosite pentru finisarea interioara a caselor de scări închise şi a căilor de circulaţie funcţionlă și de evacuare orizontale (coridoare și holuri) din clădirile de locuit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_Ref13969 \h </w:instrText>
      </w:r>
      <w:r>
        <w:rPr>
          <w:rFonts w:cs="Mangal"/>
          <w:b/>
          <w:i/>
          <w:iCs/>
          <w:sz w:val="24"/>
          <w:szCs w:val="24"/>
        </w:rPr>
      </w:r>
      <w:r>
        <w:rPr>
          <w:rFonts w:cs="Mangal"/>
          <w:b/>
          <w:i/>
          <w:iCs/>
          <w:sz w:val="24"/>
          <w:szCs w:val="24"/>
        </w:rPr>
        <w:fldChar w:fldCharType="separate"/>
      </w:r>
      <w:r>
        <w:t>Tabelul 52</w:t>
      </w:r>
      <w:r>
        <w:rPr>
          <w:rFonts w:cs="Mangal"/>
          <w:b/>
          <w:i/>
          <w:iCs/>
          <w:sz w:val="24"/>
          <w:szCs w:val="24"/>
        </w:rPr>
        <w:fldChar w:fldCharType="end"/>
      </w:r>
      <w:r>
        <w:rPr>
          <w:sz w:val="24"/>
          <w:szCs w:val="24"/>
        </w:rPr>
        <w:t>.</w:t>
      </w:r>
    </w:p>
    <w:p w14:paraId="7C542E5C" w14:textId="77777777" w:rsidR="001C08A5" w:rsidRDefault="00000000">
      <w:pPr>
        <w:ind w:firstLine="567"/>
        <w:jc w:val="both"/>
        <w:rPr>
          <w:sz w:val="24"/>
          <w:szCs w:val="24"/>
        </w:rPr>
      </w:pPr>
      <w:r>
        <w:rPr>
          <w:b/>
          <w:sz w:val="24"/>
          <w:szCs w:val="24"/>
        </w:rPr>
        <w:t xml:space="preserve">(2) </w:t>
      </w:r>
      <w:r>
        <w:rPr>
          <w:sz w:val="24"/>
          <w:szCs w:val="24"/>
        </w:rPr>
        <w:t>Clasele de performanţă privind reacţia la foc a produselor folosite pentru finisarea interioară a caselor de scări închise şi a căilor de circulaţie funcţională şi de evacuare orizontale (coridoare şi holuri) din clădirile de locuit înalte, foarte înalte sau cu săli aglomerate, trebuie să corespundă şi prevederilor privind performanțele specifice acestora.</w:t>
      </w:r>
    </w:p>
    <w:p w14:paraId="448374D6" w14:textId="77777777" w:rsidR="001C08A5" w:rsidRDefault="001C08A5">
      <w:pPr>
        <w:jc w:val="both"/>
        <w:rPr>
          <w:b/>
          <w:sz w:val="24"/>
          <w:szCs w:val="24"/>
        </w:rPr>
      </w:pPr>
    </w:p>
    <w:p w14:paraId="02260180" w14:textId="77777777" w:rsidR="001C08A5" w:rsidRDefault="00000000">
      <w:pPr>
        <w:pStyle w:val="Captiontabel"/>
      </w:pPr>
      <w:bookmarkStart w:id="3201" w:name="_Ref13969"/>
      <w:bookmarkStart w:id="3202" w:name="_Toc162360102"/>
      <w:r>
        <w:t xml:space="preserve">Tabelul </w:t>
      </w:r>
      <w:r>
        <w:fldChar w:fldCharType="begin"/>
      </w:r>
      <w:r>
        <w:instrText xml:space="preserve"> SEQ Tabelul \* ARABIC </w:instrText>
      </w:r>
      <w:r>
        <w:fldChar w:fldCharType="separate"/>
      </w:r>
      <w:r>
        <w:t>52</w:t>
      </w:r>
      <w:r>
        <w:fldChar w:fldCharType="end"/>
      </w:r>
      <w:bookmarkStart w:id="3203" w:name="_Toc1981"/>
      <w:bookmarkStart w:id="3204" w:name="_Toc446"/>
      <w:bookmarkStart w:id="3205" w:name="_Toc10452"/>
      <w:bookmarkStart w:id="3206" w:name="_Toc28621"/>
      <w:bookmarkStart w:id="3207" w:name="_Toc26283"/>
      <w:bookmarkStart w:id="3208" w:name="_Toc25395"/>
      <w:bookmarkStart w:id="3209" w:name="_Toc2810"/>
      <w:bookmarkStart w:id="3210" w:name="_Toc13739"/>
      <w:bookmarkStart w:id="3211" w:name="_Toc24318"/>
      <w:bookmarkStart w:id="3212" w:name="_Toc29370"/>
      <w:bookmarkStart w:id="3213" w:name="_Toc30268"/>
      <w:bookmarkStart w:id="3214" w:name="_Toc23813"/>
      <w:bookmarkStart w:id="3215" w:name="_Toc19645"/>
      <w:bookmarkStart w:id="3216" w:name="_Toc2999"/>
      <w:bookmarkStart w:id="3217" w:name="_Toc14159"/>
      <w:bookmarkStart w:id="3218" w:name="_Toc17156"/>
      <w:bookmarkStart w:id="3219" w:name="_Toc5517"/>
      <w:bookmarkStart w:id="3220" w:name="_Toc8857"/>
      <w:bookmarkStart w:id="3221" w:name="_Toc32495"/>
      <w:bookmarkEnd w:id="3201"/>
      <w:r>
        <w:t>: Clase de performanţă privind reacţia la foc a produselor folosite pentru finisajele interioare ale circulaţiilor funcţionale şi de evacuare din clădiri de locuit supraterane cu înălţimi obişnuite</w:t>
      </w:r>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p>
    <w:p w14:paraId="0714311E" w14:textId="77777777" w:rsidR="001C08A5" w:rsidRDefault="001C08A5">
      <w:pPr>
        <w:jc w:val="both"/>
        <w:rPr>
          <w:sz w:val="24"/>
          <w:szCs w:val="24"/>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50"/>
        <w:gridCol w:w="1368"/>
        <w:gridCol w:w="1418"/>
        <w:gridCol w:w="1417"/>
        <w:gridCol w:w="1418"/>
        <w:gridCol w:w="1559"/>
        <w:gridCol w:w="1559"/>
      </w:tblGrid>
      <w:tr w:rsidR="001C08A5" w14:paraId="3FDF36B7" w14:textId="77777777">
        <w:trPr>
          <w:tblHeader/>
        </w:trPr>
        <w:tc>
          <w:tcPr>
            <w:tcW w:w="1150" w:type="dxa"/>
            <w:vMerge w:val="restart"/>
            <w:shd w:val="clear" w:color="auto" w:fill="BFBFBF"/>
          </w:tcPr>
          <w:p w14:paraId="2CAD066C" w14:textId="77777777" w:rsidR="001C08A5" w:rsidRDefault="00000000">
            <w:pPr>
              <w:pStyle w:val="BodyText"/>
              <w:jc w:val="center"/>
              <w:rPr>
                <w:bCs w:val="0"/>
                <w:sz w:val="22"/>
                <w:szCs w:val="22"/>
              </w:rPr>
            </w:pPr>
            <w:r>
              <w:rPr>
                <w:bCs w:val="0"/>
                <w:sz w:val="22"/>
                <w:szCs w:val="22"/>
              </w:rPr>
              <w:t>Nivel de stabilitate</w:t>
            </w:r>
          </w:p>
          <w:p w14:paraId="04DC2263" w14:textId="77777777" w:rsidR="001C08A5" w:rsidRDefault="00000000">
            <w:pPr>
              <w:jc w:val="center"/>
              <w:rPr>
                <w:b/>
                <w:i/>
                <w:sz w:val="22"/>
                <w:szCs w:val="22"/>
              </w:rPr>
            </w:pPr>
            <w:r>
              <w:rPr>
                <w:b/>
                <w:i/>
                <w:sz w:val="22"/>
                <w:szCs w:val="22"/>
              </w:rPr>
              <w:t>la incendiu</w:t>
            </w:r>
          </w:p>
        </w:tc>
        <w:tc>
          <w:tcPr>
            <w:tcW w:w="8739" w:type="dxa"/>
            <w:gridSpan w:val="6"/>
            <w:shd w:val="clear" w:color="auto" w:fill="BFBFBF"/>
          </w:tcPr>
          <w:p w14:paraId="0C1FED4C" w14:textId="77777777" w:rsidR="001C08A5" w:rsidRDefault="00000000">
            <w:pPr>
              <w:jc w:val="center"/>
              <w:rPr>
                <w:b/>
                <w:i/>
                <w:sz w:val="22"/>
                <w:szCs w:val="22"/>
              </w:rPr>
            </w:pPr>
            <w:r>
              <w:rPr>
                <w:b/>
                <w:i/>
                <w:sz w:val="22"/>
                <w:szCs w:val="22"/>
              </w:rPr>
              <w:t>Finisaje</w:t>
            </w:r>
          </w:p>
        </w:tc>
      </w:tr>
      <w:tr w:rsidR="001C08A5" w14:paraId="3166D381" w14:textId="77777777">
        <w:trPr>
          <w:tblHeader/>
        </w:trPr>
        <w:tc>
          <w:tcPr>
            <w:tcW w:w="1150" w:type="dxa"/>
            <w:vMerge/>
            <w:shd w:val="clear" w:color="auto" w:fill="BFBFBF"/>
          </w:tcPr>
          <w:p w14:paraId="7142F237" w14:textId="77777777" w:rsidR="001C08A5" w:rsidRDefault="001C08A5">
            <w:pPr>
              <w:jc w:val="center"/>
              <w:rPr>
                <w:i/>
                <w:sz w:val="22"/>
                <w:szCs w:val="22"/>
              </w:rPr>
            </w:pPr>
          </w:p>
        </w:tc>
        <w:tc>
          <w:tcPr>
            <w:tcW w:w="4203" w:type="dxa"/>
            <w:gridSpan w:val="3"/>
            <w:shd w:val="clear" w:color="auto" w:fill="BFBFBF"/>
          </w:tcPr>
          <w:p w14:paraId="30532782" w14:textId="77777777" w:rsidR="001C08A5" w:rsidRDefault="00000000">
            <w:pPr>
              <w:jc w:val="center"/>
              <w:rPr>
                <w:b/>
                <w:i/>
                <w:sz w:val="22"/>
                <w:szCs w:val="22"/>
              </w:rPr>
            </w:pPr>
            <w:r>
              <w:rPr>
                <w:b/>
                <w:bCs/>
                <w:i/>
                <w:sz w:val="22"/>
                <w:szCs w:val="22"/>
              </w:rPr>
              <w:t>la coridoare și la holuri</w:t>
            </w:r>
          </w:p>
        </w:tc>
        <w:tc>
          <w:tcPr>
            <w:tcW w:w="4536" w:type="dxa"/>
            <w:gridSpan w:val="3"/>
            <w:shd w:val="clear" w:color="auto" w:fill="BFBFBF"/>
          </w:tcPr>
          <w:p w14:paraId="011F8610" w14:textId="77777777" w:rsidR="001C08A5" w:rsidRDefault="00000000">
            <w:pPr>
              <w:jc w:val="center"/>
              <w:rPr>
                <w:b/>
                <w:i/>
                <w:sz w:val="22"/>
                <w:szCs w:val="22"/>
              </w:rPr>
            </w:pPr>
            <w:r>
              <w:rPr>
                <w:b/>
                <w:bCs/>
                <w:i/>
                <w:sz w:val="22"/>
                <w:szCs w:val="22"/>
              </w:rPr>
              <w:t>la case de scări închise/ degajamente protejate/ tuneluri de evacuare</w:t>
            </w:r>
          </w:p>
        </w:tc>
      </w:tr>
      <w:tr w:rsidR="001C08A5" w14:paraId="25BF4178" w14:textId="77777777">
        <w:trPr>
          <w:tblHeader/>
        </w:trPr>
        <w:tc>
          <w:tcPr>
            <w:tcW w:w="1150" w:type="dxa"/>
            <w:vMerge/>
            <w:shd w:val="clear" w:color="auto" w:fill="BFBFBF"/>
          </w:tcPr>
          <w:p w14:paraId="50CCBE7A" w14:textId="77777777" w:rsidR="001C08A5" w:rsidRDefault="001C08A5">
            <w:pPr>
              <w:jc w:val="center"/>
              <w:rPr>
                <w:i/>
                <w:sz w:val="22"/>
                <w:szCs w:val="22"/>
              </w:rPr>
            </w:pPr>
          </w:p>
        </w:tc>
        <w:tc>
          <w:tcPr>
            <w:tcW w:w="1368" w:type="dxa"/>
            <w:shd w:val="clear" w:color="auto" w:fill="BFBFBF"/>
          </w:tcPr>
          <w:p w14:paraId="59B41FA7" w14:textId="77777777" w:rsidR="001C08A5" w:rsidRDefault="00000000">
            <w:pPr>
              <w:jc w:val="both"/>
              <w:rPr>
                <w:b/>
                <w:i/>
                <w:sz w:val="22"/>
                <w:szCs w:val="22"/>
              </w:rPr>
            </w:pPr>
            <w:r>
              <w:rPr>
                <w:b/>
                <w:i/>
                <w:sz w:val="22"/>
                <w:szCs w:val="22"/>
              </w:rPr>
              <w:t>Pereţi</w:t>
            </w:r>
          </w:p>
        </w:tc>
        <w:tc>
          <w:tcPr>
            <w:tcW w:w="1418" w:type="dxa"/>
            <w:shd w:val="clear" w:color="auto" w:fill="BFBFBF"/>
          </w:tcPr>
          <w:p w14:paraId="6E2F3D34" w14:textId="77777777" w:rsidR="001C08A5" w:rsidRDefault="00000000">
            <w:pPr>
              <w:jc w:val="both"/>
              <w:rPr>
                <w:b/>
                <w:i/>
                <w:sz w:val="22"/>
                <w:szCs w:val="22"/>
              </w:rPr>
            </w:pPr>
            <w:r>
              <w:rPr>
                <w:b/>
                <w:i/>
                <w:sz w:val="22"/>
                <w:szCs w:val="22"/>
              </w:rPr>
              <w:t>Tavane</w:t>
            </w:r>
          </w:p>
        </w:tc>
        <w:tc>
          <w:tcPr>
            <w:tcW w:w="1417" w:type="dxa"/>
            <w:shd w:val="clear" w:color="auto" w:fill="BFBFBF"/>
          </w:tcPr>
          <w:p w14:paraId="254BF78B" w14:textId="77777777" w:rsidR="001C08A5" w:rsidRDefault="00000000">
            <w:pPr>
              <w:jc w:val="both"/>
              <w:rPr>
                <w:b/>
                <w:i/>
                <w:sz w:val="22"/>
                <w:szCs w:val="22"/>
              </w:rPr>
            </w:pPr>
            <w:r>
              <w:rPr>
                <w:b/>
                <w:i/>
                <w:sz w:val="22"/>
                <w:szCs w:val="22"/>
              </w:rPr>
              <w:t>Pardoseli</w:t>
            </w:r>
          </w:p>
        </w:tc>
        <w:tc>
          <w:tcPr>
            <w:tcW w:w="1418" w:type="dxa"/>
            <w:shd w:val="clear" w:color="auto" w:fill="BFBFBF"/>
          </w:tcPr>
          <w:p w14:paraId="6E644884" w14:textId="77777777" w:rsidR="001C08A5" w:rsidRDefault="00000000">
            <w:pPr>
              <w:jc w:val="both"/>
              <w:rPr>
                <w:b/>
                <w:i/>
                <w:sz w:val="22"/>
                <w:szCs w:val="22"/>
              </w:rPr>
            </w:pPr>
            <w:r>
              <w:rPr>
                <w:b/>
                <w:i/>
                <w:sz w:val="22"/>
                <w:szCs w:val="22"/>
              </w:rPr>
              <w:t>Pereţi</w:t>
            </w:r>
          </w:p>
        </w:tc>
        <w:tc>
          <w:tcPr>
            <w:tcW w:w="1559" w:type="dxa"/>
            <w:shd w:val="clear" w:color="auto" w:fill="BFBFBF"/>
          </w:tcPr>
          <w:p w14:paraId="183ED290" w14:textId="77777777" w:rsidR="001C08A5" w:rsidRDefault="00000000">
            <w:pPr>
              <w:jc w:val="both"/>
              <w:rPr>
                <w:b/>
                <w:i/>
                <w:sz w:val="22"/>
                <w:szCs w:val="22"/>
              </w:rPr>
            </w:pPr>
            <w:r>
              <w:rPr>
                <w:b/>
                <w:i/>
                <w:sz w:val="22"/>
                <w:szCs w:val="22"/>
              </w:rPr>
              <w:t>Tavane</w:t>
            </w:r>
          </w:p>
        </w:tc>
        <w:tc>
          <w:tcPr>
            <w:tcW w:w="1559" w:type="dxa"/>
            <w:shd w:val="clear" w:color="auto" w:fill="BFBFBF"/>
          </w:tcPr>
          <w:p w14:paraId="3D20934A" w14:textId="77777777" w:rsidR="001C08A5" w:rsidRDefault="00000000">
            <w:pPr>
              <w:jc w:val="both"/>
              <w:rPr>
                <w:b/>
                <w:i/>
                <w:sz w:val="22"/>
                <w:szCs w:val="22"/>
              </w:rPr>
            </w:pPr>
            <w:r>
              <w:rPr>
                <w:b/>
                <w:i/>
                <w:sz w:val="22"/>
                <w:szCs w:val="22"/>
              </w:rPr>
              <w:t>Pardoseli</w:t>
            </w:r>
          </w:p>
        </w:tc>
      </w:tr>
      <w:tr w:rsidR="001C08A5" w14:paraId="3FEF6DD1" w14:textId="77777777">
        <w:tc>
          <w:tcPr>
            <w:tcW w:w="1150" w:type="dxa"/>
          </w:tcPr>
          <w:p w14:paraId="353F6C4A" w14:textId="77777777" w:rsidR="001C08A5" w:rsidRDefault="00000000">
            <w:pPr>
              <w:pStyle w:val="BodyText"/>
              <w:jc w:val="center"/>
              <w:rPr>
                <w:bCs w:val="0"/>
                <w:sz w:val="22"/>
                <w:szCs w:val="22"/>
              </w:rPr>
            </w:pPr>
            <w:r>
              <w:rPr>
                <w:bCs w:val="0"/>
                <w:sz w:val="22"/>
                <w:szCs w:val="22"/>
              </w:rPr>
              <w:t>I</w:t>
            </w:r>
          </w:p>
        </w:tc>
        <w:tc>
          <w:tcPr>
            <w:tcW w:w="1368" w:type="dxa"/>
          </w:tcPr>
          <w:p w14:paraId="5D2A2899"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418" w:type="dxa"/>
          </w:tcPr>
          <w:p w14:paraId="35646DFE"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417" w:type="dxa"/>
          </w:tcPr>
          <w:p w14:paraId="68DC7F24" w14:textId="77777777" w:rsidR="001C08A5" w:rsidRDefault="00000000">
            <w:pPr>
              <w:jc w:val="both"/>
              <w:rPr>
                <w:b/>
                <w:bCs/>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1418" w:type="dxa"/>
          </w:tcPr>
          <w:p w14:paraId="6E06680F"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559" w:type="dxa"/>
          </w:tcPr>
          <w:p w14:paraId="06D2FB71"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559" w:type="dxa"/>
          </w:tcPr>
          <w:p w14:paraId="6704D86B" w14:textId="77777777" w:rsidR="001C08A5" w:rsidRDefault="00000000">
            <w:pPr>
              <w:jc w:val="both"/>
              <w:rPr>
                <w:b/>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r>
      <w:tr w:rsidR="001C08A5" w14:paraId="5E31B138" w14:textId="77777777">
        <w:tc>
          <w:tcPr>
            <w:tcW w:w="1150" w:type="dxa"/>
          </w:tcPr>
          <w:p w14:paraId="5F54C8CF" w14:textId="77777777" w:rsidR="001C08A5" w:rsidRDefault="00000000">
            <w:pPr>
              <w:pStyle w:val="BodyText"/>
              <w:jc w:val="center"/>
              <w:rPr>
                <w:bCs w:val="0"/>
                <w:sz w:val="22"/>
                <w:szCs w:val="22"/>
              </w:rPr>
            </w:pPr>
            <w:r>
              <w:rPr>
                <w:bCs w:val="0"/>
                <w:sz w:val="22"/>
                <w:szCs w:val="22"/>
              </w:rPr>
              <w:t>II</w:t>
            </w:r>
          </w:p>
        </w:tc>
        <w:tc>
          <w:tcPr>
            <w:tcW w:w="1368" w:type="dxa"/>
          </w:tcPr>
          <w:p w14:paraId="52A89DE4"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418" w:type="dxa"/>
          </w:tcPr>
          <w:p w14:paraId="29BE14DD"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417" w:type="dxa"/>
          </w:tcPr>
          <w:p w14:paraId="7C331E60" w14:textId="77777777" w:rsidR="001C08A5" w:rsidRDefault="00000000">
            <w:pPr>
              <w:jc w:val="both"/>
              <w:rPr>
                <w:b/>
                <w:bCs/>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c>
          <w:tcPr>
            <w:tcW w:w="1418" w:type="dxa"/>
          </w:tcPr>
          <w:p w14:paraId="50213CA3"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559" w:type="dxa"/>
          </w:tcPr>
          <w:p w14:paraId="26202B7B" w14:textId="77777777" w:rsidR="001C08A5" w:rsidRDefault="00000000">
            <w:pPr>
              <w:jc w:val="both"/>
              <w:rPr>
                <w:b/>
                <w:i/>
                <w:sz w:val="22"/>
                <w:szCs w:val="22"/>
              </w:rPr>
            </w:pPr>
            <w:r>
              <w:rPr>
                <w:b/>
                <w:i/>
                <w:sz w:val="22"/>
                <w:szCs w:val="22"/>
              </w:rPr>
              <w:t>A1</w:t>
            </w:r>
            <w:r>
              <w:rPr>
                <w:bCs/>
                <w:i/>
                <w:sz w:val="22"/>
                <w:szCs w:val="22"/>
              </w:rPr>
              <w:t xml:space="preserve">, </w:t>
            </w:r>
            <w:r>
              <w:rPr>
                <w:b/>
                <w:i/>
                <w:sz w:val="22"/>
                <w:szCs w:val="22"/>
              </w:rPr>
              <w:t>A2-s1d0</w:t>
            </w:r>
          </w:p>
        </w:tc>
        <w:tc>
          <w:tcPr>
            <w:tcW w:w="1559" w:type="dxa"/>
          </w:tcPr>
          <w:p w14:paraId="3B30E799" w14:textId="77777777" w:rsidR="001C08A5" w:rsidRDefault="00000000">
            <w:pPr>
              <w:jc w:val="both"/>
              <w:rPr>
                <w:b/>
                <w:i/>
                <w:sz w:val="22"/>
                <w:szCs w:val="22"/>
              </w:rPr>
            </w:pPr>
            <w:r>
              <w:rPr>
                <w:b/>
                <w:bCs/>
                <w:i/>
                <w:sz w:val="22"/>
                <w:szCs w:val="22"/>
              </w:rPr>
              <w:t>A1</w:t>
            </w:r>
            <w:r>
              <w:rPr>
                <w:b/>
                <w:bCs/>
                <w:i/>
                <w:sz w:val="22"/>
                <w:szCs w:val="22"/>
                <w:vertAlign w:val="subscript"/>
              </w:rPr>
              <w:t>FL</w:t>
            </w:r>
            <w:r>
              <w:rPr>
                <w:b/>
                <w:bCs/>
                <w:i/>
                <w:sz w:val="22"/>
                <w:szCs w:val="22"/>
              </w:rPr>
              <w:t>, A2</w:t>
            </w:r>
            <w:r>
              <w:rPr>
                <w:b/>
                <w:bCs/>
                <w:i/>
                <w:sz w:val="22"/>
                <w:szCs w:val="22"/>
                <w:vertAlign w:val="subscript"/>
              </w:rPr>
              <w:t>FL</w:t>
            </w:r>
            <w:r>
              <w:rPr>
                <w:b/>
                <w:bCs/>
                <w:i/>
                <w:sz w:val="22"/>
                <w:szCs w:val="22"/>
              </w:rPr>
              <w:t>-s1</w:t>
            </w:r>
          </w:p>
        </w:tc>
      </w:tr>
      <w:tr w:rsidR="001C08A5" w14:paraId="32E10DC9" w14:textId="77777777">
        <w:tc>
          <w:tcPr>
            <w:tcW w:w="1150" w:type="dxa"/>
          </w:tcPr>
          <w:p w14:paraId="3368ACFA" w14:textId="77777777" w:rsidR="001C08A5" w:rsidRDefault="00000000">
            <w:pPr>
              <w:pStyle w:val="BodyText"/>
              <w:jc w:val="center"/>
              <w:rPr>
                <w:bCs w:val="0"/>
                <w:sz w:val="22"/>
                <w:szCs w:val="22"/>
              </w:rPr>
            </w:pPr>
            <w:r>
              <w:rPr>
                <w:bCs w:val="0"/>
                <w:sz w:val="22"/>
                <w:szCs w:val="22"/>
              </w:rPr>
              <w:t>III</w:t>
            </w:r>
          </w:p>
        </w:tc>
        <w:tc>
          <w:tcPr>
            <w:tcW w:w="1368" w:type="dxa"/>
          </w:tcPr>
          <w:p w14:paraId="51C0C16B" w14:textId="77777777" w:rsidR="001C08A5" w:rsidRDefault="00000000">
            <w:pPr>
              <w:rPr>
                <w:b/>
                <w:i/>
                <w:sz w:val="22"/>
                <w:szCs w:val="22"/>
              </w:rPr>
            </w:pPr>
            <w:r>
              <w:rPr>
                <w:b/>
                <w:i/>
                <w:sz w:val="22"/>
                <w:szCs w:val="22"/>
              </w:rPr>
              <w:t>min B-s1d0</w:t>
            </w:r>
          </w:p>
        </w:tc>
        <w:tc>
          <w:tcPr>
            <w:tcW w:w="1418" w:type="dxa"/>
          </w:tcPr>
          <w:p w14:paraId="6AC91477" w14:textId="77777777" w:rsidR="001C08A5" w:rsidRDefault="00000000">
            <w:pPr>
              <w:rPr>
                <w:b/>
                <w:i/>
                <w:sz w:val="22"/>
                <w:szCs w:val="22"/>
              </w:rPr>
            </w:pPr>
            <w:r>
              <w:rPr>
                <w:b/>
                <w:i/>
                <w:sz w:val="22"/>
                <w:szCs w:val="22"/>
              </w:rPr>
              <w:t>min B-s1d0</w:t>
            </w:r>
          </w:p>
        </w:tc>
        <w:tc>
          <w:tcPr>
            <w:tcW w:w="1417" w:type="dxa"/>
          </w:tcPr>
          <w:p w14:paraId="3F22F6F7" w14:textId="77777777" w:rsidR="001C08A5" w:rsidRDefault="00000000">
            <w:pPr>
              <w:rPr>
                <w:b/>
                <w:i/>
                <w:sz w:val="22"/>
                <w:szCs w:val="22"/>
              </w:rPr>
            </w:pPr>
            <w:r>
              <w:rPr>
                <w:b/>
                <w:i/>
                <w:sz w:val="22"/>
                <w:szCs w:val="22"/>
              </w:rPr>
              <w:t>min B</w:t>
            </w:r>
            <w:r>
              <w:rPr>
                <w:b/>
                <w:i/>
                <w:sz w:val="22"/>
                <w:szCs w:val="22"/>
                <w:vertAlign w:val="subscript"/>
              </w:rPr>
              <w:t>FL</w:t>
            </w:r>
            <w:r>
              <w:rPr>
                <w:b/>
                <w:i/>
                <w:sz w:val="22"/>
                <w:szCs w:val="22"/>
              </w:rPr>
              <w:t>-s1</w:t>
            </w:r>
          </w:p>
        </w:tc>
        <w:tc>
          <w:tcPr>
            <w:tcW w:w="1418" w:type="dxa"/>
          </w:tcPr>
          <w:p w14:paraId="3B694490" w14:textId="77777777" w:rsidR="001C08A5" w:rsidRDefault="00000000">
            <w:pPr>
              <w:jc w:val="center"/>
              <w:rPr>
                <w:b/>
                <w:i/>
                <w:sz w:val="22"/>
                <w:szCs w:val="22"/>
              </w:rPr>
            </w:pPr>
            <w:r>
              <w:rPr>
                <w:b/>
                <w:i/>
                <w:sz w:val="22"/>
                <w:szCs w:val="22"/>
              </w:rPr>
              <w:t>min B-s1d0</w:t>
            </w:r>
          </w:p>
        </w:tc>
        <w:tc>
          <w:tcPr>
            <w:tcW w:w="1559" w:type="dxa"/>
          </w:tcPr>
          <w:p w14:paraId="50781231" w14:textId="77777777" w:rsidR="001C08A5" w:rsidRDefault="00000000">
            <w:pPr>
              <w:jc w:val="both"/>
              <w:rPr>
                <w:b/>
                <w:i/>
                <w:sz w:val="22"/>
                <w:szCs w:val="22"/>
              </w:rPr>
            </w:pPr>
            <w:r>
              <w:rPr>
                <w:b/>
                <w:i/>
                <w:sz w:val="22"/>
                <w:szCs w:val="22"/>
              </w:rPr>
              <w:t>min B-s1d0</w:t>
            </w:r>
          </w:p>
        </w:tc>
        <w:tc>
          <w:tcPr>
            <w:tcW w:w="1559" w:type="dxa"/>
          </w:tcPr>
          <w:p w14:paraId="295EBF63" w14:textId="77777777" w:rsidR="001C08A5" w:rsidRDefault="00000000">
            <w:pPr>
              <w:jc w:val="both"/>
              <w:rPr>
                <w:b/>
                <w:i/>
                <w:sz w:val="22"/>
                <w:szCs w:val="22"/>
              </w:rPr>
            </w:pPr>
            <w:r>
              <w:rPr>
                <w:b/>
                <w:bCs/>
                <w:i/>
                <w:sz w:val="22"/>
                <w:szCs w:val="22"/>
              </w:rPr>
              <w:t>min B</w:t>
            </w:r>
            <w:r>
              <w:rPr>
                <w:b/>
                <w:bCs/>
                <w:i/>
                <w:sz w:val="22"/>
                <w:szCs w:val="22"/>
                <w:vertAlign w:val="subscript"/>
              </w:rPr>
              <w:t>FL</w:t>
            </w:r>
            <w:r>
              <w:rPr>
                <w:b/>
                <w:bCs/>
                <w:i/>
                <w:sz w:val="22"/>
                <w:szCs w:val="22"/>
              </w:rPr>
              <w:t>-s1</w:t>
            </w:r>
          </w:p>
        </w:tc>
      </w:tr>
      <w:tr w:rsidR="001C08A5" w14:paraId="082869BF" w14:textId="77777777">
        <w:tc>
          <w:tcPr>
            <w:tcW w:w="1150" w:type="dxa"/>
          </w:tcPr>
          <w:p w14:paraId="7EDAA32B" w14:textId="77777777" w:rsidR="001C08A5" w:rsidRDefault="00000000">
            <w:pPr>
              <w:pStyle w:val="BodyText"/>
              <w:jc w:val="center"/>
              <w:rPr>
                <w:bCs w:val="0"/>
                <w:sz w:val="22"/>
                <w:szCs w:val="22"/>
              </w:rPr>
            </w:pPr>
            <w:r>
              <w:rPr>
                <w:bCs w:val="0"/>
                <w:sz w:val="22"/>
                <w:szCs w:val="22"/>
              </w:rPr>
              <w:t>IV</w:t>
            </w:r>
          </w:p>
        </w:tc>
        <w:tc>
          <w:tcPr>
            <w:tcW w:w="1368" w:type="dxa"/>
          </w:tcPr>
          <w:p w14:paraId="24B2AFF2" w14:textId="77777777" w:rsidR="001C08A5" w:rsidRDefault="00000000">
            <w:pPr>
              <w:jc w:val="both"/>
              <w:rPr>
                <w:b/>
                <w:i/>
                <w:sz w:val="22"/>
                <w:szCs w:val="22"/>
              </w:rPr>
            </w:pPr>
            <w:r>
              <w:rPr>
                <w:b/>
                <w:i/>
                <w:sz w:val="22"/>
                <w:szCs w:val="22"/>
              </w:rPr>
              <w:t xml:space="preserve">min </w:t>
            </w:r>
            <w:r>
              <w:rPr>
                <w:bCs/>
                <w:i/>
                <w:sz w:val="22"/>
                <w:szCs w:val="22"/>
              </w:rPr>
              <w:t>C</w:t>
            </w:r>
            <w:r>
              <w:rPr>
                <w:b/>
                <w:i/>
                <w:sz w:val="22"/>
                <w:szCs w:val="22"/>
              </w:rPr>
              <w:t>-s1d0</w:t>
            </w:r>
          </w:p>
        </w:tc>
        <w:tc>
          <w:tcPr>
            <w:tcW w:w="1418" w:type="dxa"/>
          </w:tcPr>
          <w:p w14:paraId="76148C2F" w14:textId="77777777" w:rsidR="001C08A5" w:rsidRDefault="00000000">
            <w:pPr>
              <w:jc w:val="both"/>
              <w:rPr>
                <w:b/>
                <w:i/>
                <w:sz w:val="22"/>
                <w:szCs w:val="22"/>
              </w:rPr>
            </w:pPr>
            <w:r>
              <w:rPr>
                <w:b/>
                <w:i/>
                <w:sz w:val="22"/>
                <w:szCs w:val="22"/>
              </w:rPr>
              <w:t xml:space="preserve">min C-s1d0 </w:t>
            </w:r>
          </w:p>
        </w:tc>
        <w:tc>
          <w:tcPr>
            <w:tcW w:w="1417" w:type="dxa"/>
          </w:tcPr>
          <w:p w14:paraId="0D52ECE6" w14:textId="77777777" w:rsidR="001C08A5" w:rsidRDefault="00000000">
            <w:pPr>
              <w:jc w:val="both"/>
              <w:rPr>
                <w:b/>
                <w:i/>
                <w:sz w:val="22"/>
                <w:szCs w:val="22"/>
              </w:rPr>
            </w:pPr>
            <w:r>
              <w:rPr>
                <w:b/>
                <w:bCs/>
                <w:i/>
                <w:sz w:val="22"/>
                <w:szCs w:val="22"/>
              </w:rPr>
              <w:t>min C</w:t>
            </w:r>
            <w:r>
              <w:rPr>
                <w:b/>
                <w:bCs/>
                <w:i/>
                <w:sz w:val="22"/>
                <w:szCs w:val="22"/>
                <w:vertAlign w:val="subscript"/>
              </w:rPr>
              <w:t>FL</w:t>
            </w:r>
            <w:r>
              <w:rPr>
                <w:b/>
                <w:bCs/>
                <w:i/>
                <w:sz w:val="22"/>
                <w:szCs w:val="22"/>
              </w:rPr>
              <w:t>-s1</w:t>
            </w:r>
          </w:p>
        </w:tc>
        <w:tc>
          <w:tcPr>
            <w:tcW w:w="1418" w:type="dxa"/>
          </w:tcPr>
          <w:p w14:paraId="4156F6EA" w14:textId="77777777" w:rsidR="001C08A5" w:rsidRDefault="00000000">
            <w:pPr>
              <w:jc w:val="center"/>
              <w:rPr>
                <w:b/>
                <w:i/>
                <w:sz w:val="22"/>
                <w:szCs w:val="22"/>
              </w:rPr>
            </w:pPr>
            <w:r>
              <w:rPr>
                <w:b/>
                <w:i/>
                <w:sz w:val="22"/>
                <w:szCs w:val="22"/>
              </w:rPr>
              <w:t>min C-s1d0</w:t>
            </w:r>
          </w:p>
        </w:tc>
        <w:tc>
          <w:tcPr>
            <w:tcW w:w="1559" w:type="dxa"/>
          </w:tcPr>
          <w:p w14:paraId="404B5429" w14:textId="77777777" w:rsidR="001C08A5" w:rsidRDefault="00000000">
            <w:pPr>
              <w:jc w:val="both"/>
              <w:rPr>
                <w:b/>
                <w:i/>
                <w:sz w:val="22"/>
                <w:szCs w:val="22"/>
              </w:rPr>
            </w:pPr>
            <w:r>
              <w:rPr>
                <w:b/>
                <w:i/>
                <w:sz w:val="22"/>
                <w:szCs w:val="22"/>
              </w:rPr>
              <w:t>min C-s1d0</w:t>
            </w:r>
          </w:p>
        </w:tc>
        <w:tc>
          <w:tcPr>
            <w:tcW w:w="1559" w:type="dxa"/>
          </w:tcPr>
          <w:p w14:paraId="24E88AFA" w14:textId="77777777" w:rsidR="001C08A5" w:rsidRDefault="00000000">
            <w:pPr>
              <w:jc w:val="both"/>
              <w:rPr>
                <w:b/>
                <w:i/>
                <w:sz w:val="22"/>
                <w:szCs w:val="22"/>
              </w:rPr>
            </w:pPr>
            <w:r>
              <w:rPr>
                <w:b/>
                <w:bCs/>
                <w:i/>
                <w:sz w:val="22"/>
                <w:szCs w:val="22"/>
              </w:rPr>
              <w:t>min C</w:t>
            </w:r>
            <w:r>
              <w:rPr>
                <w:b/>
                <w:bCs/>
                <w:i/>
                <w:sz w:val="22"/>
                <w:szCs w:val="22"/>
                <w:vertAlign w:val="subscript"/>
              </w:rPr>
              <w:t>FL</w:t>
            </w:r>
            <w:r>
              <w:rPr>
                <w:b/>
                <w:bCs/>
                <w:i/>
                <w:sz w:val="22"/>
                <w:szCs w:val="22"/>
              </w:rPr>
              <w:t>-s1</w:t>
            </w:r>
          </w:p>
        </w:tc>
      </w:tr>
      <w:tr w:rsidR="001C08A5" w14:paraId="1315ECD4" w14:textId="77777777">
        <w:tc>
          <w:tcPr>
            <w:tcW w:w="1150" w:type="dxa"/>
          </w:tcPr>
          <w:p w14:paraId="116D7E76" w14:textId="77777777" w:rsidR="001C08A5" w:rsidRDefault="00000000">
            <w:pPr>
              <w:pStyle w:val="BodyText"/>
              <w:jc w:val="center"/>
              <w:rPr>
                <w:bCs w:val="0"/>
                <w:sz w:val="22"/>
                <w:szCs w:val="22"/>
              </w:rPr>
            </w:pPr>
            <w:r>
              <w:rPr>
                <w:bCs w:val="0"/>
                <w:sz w:val="22"/>
                <w:szCs w:val="22"/>
              </w:rPr>
              <w:t>V</w:t>
            </w:r>
          </w:p>
        </w:tc>
        <w:tc>
          <w:tcPr>
            <w:tcW w:w="1368" w:type="dxa"/>
          </w:tcPr>
          <w:p w14:paraId="30991F94" w14:textId="77777777" w:rsidR="001C08A5" w:rsidRDefault="00000000">
            <w:pPr>
              <w:jc w:val="both"/>
              <w:rPr>
                <w:b/>
                <w:i/>
                <w:sz w:val="22"/>
                <w:szCs w:val="22"/>
              </w:rPr>
            </w:pPr>
            <w:r>
              <w:rPr>
                <w:b/>
                <w:i/>
                <w:sz w:val="22"/>
                <w:szCs w:val="22"/>
              </w:rPr>
              <w:t>min D-s1d0</w:t>
            </w:r>
          </w:p>
        </w:tc>
        <w:tc>
          <w:tcPr>
            <w:tcW w:w="1418" w:type="dxa"/>
          </w:tcPr>
          <w:p w14:paraId="7D5D38C5" w14:textId="77777777" w:rsidR="001C08A5" w:rsidRDefault="00000000">
            <w:pPr>
              <w:jc w:val="both"/>
              <w:rPr>
                <w:b/>
                <w:i/>
                <w:sz w:val="22"/>
                <w:szCs w:val="22"/>
              </w:rPr>
            </w:pPr>
            <w:r>
              <w:rPr>
                <w:b/>
                <w:i/>
                <w:sz w:val="22"/>
                <w:szCs w:val="22"/>
              </w:rPr>
              <w:t>min D-s1d0</w:t>
            </w:r>
          </w:p>
          <w:p w14:paraId="7C57CCC2" w14:textId="77777777" w:rsidR="001C08A5" w:rsidRDefault="001C08A5">
            <w:pPr>
              <w:jc w:val="both"/>
              <w:rPr>
                <w:b/>
                <w:i/>
                <w:strike/>
                <w:sz w:val="22"/>
                <w:szCs w:val="22"/>
              </w:rPr>
            </w:pPr>
          </w:p>
        </w:tc>
        <w:tc>
          <w:tcPr>
            <w:tcW w:w="1417" w:type="dxa"/>
          </w:tcPr>
          <w:p w14:paraId="4F571D98" w14:textId="77777777" w:rsidR="001C08A5" w:rsidRDefault="00000000">
            <w:pPr>
              <w:jc w:val="both"/>
              <w:rPr>
                <w:b/>
                <w:i/>
                <w:sz w:val="22"/>
                <w:szCs w:val="22"/>
              </w:rPr>
            </w:pPr>
            <w:r>
              <w:rPr>
                <w:b/>
                <w:bCs/>
                <w:i/>
                <w:sz w:val="22"/>
                <w:szCs w:val="22"/>
              </w:rPr>
              <w:t>min D</w:t>
            </w:r>
            <w:r>
              <w:rPr>
                <w:b/>
                <w:bCs/>
                <w:i/>
                <w:sz w:val="22"/>
                <w:szCs w:val="22"/>
                <w:vertAlign w:val="subscript"/>
              </w:rPr>
              <w:t>FL</w:t>
            </w:r>
            <w:r>
              <w:rPr>
                <w:b/>
                <w:bCs/>
                <w:i/>
                <w:sz w:val="22"/>
                <w:szCs w:val="22"/>
              </w:rPr>
              <w:t>-s1</w:t>
            </w:r>
          </w:p>
        </w:tc>
        <w:tc>
          <w:tcPr>
            <w:tcW w:w="1418" w:type="dxa"/>
          </w:tcPr>
          <w:p w14:paraId="5C173871" w14:textId="77777777" w:rsidR="001C08A5" w:rsidRDefault="00000000">
            <w:pPr>
              <w:jc w:val="both"/>
              <w:rPr>
                <w:b/>
                <w:i/>
                <w:sz w:val="22"/>
                <w:szCs w:val="22"/>
              </w:rPr>
            </w:pPr>
            <w:r>
              <w:rPr>
                <w:b/>
                <w:i/>
                <w:sz w:val="22"/>
                <w:szCs w:val="22"/>
              </w:rPr>
              <w:t>min D-s1d0</w:t>
            </w:r>
          </w:p>
        </w:tc>
        <w:tc>
          <w:tcPr>
            <w:tcW w:w="1559" w:type="dxa"/>
          </w:tcPr>
          <w:p w14:paraId="01DD3A4B" w14:textId="77777777" w:rsidR="001C08A5" w:rsidRDefault="00000000">
            <w:pPr>
              <w:jc w:val="both"/>
              <w:rPr>
                <w:b/>
                <w:i/>
                <w:sz w:val="22"/>
                <w:szCs w:val="22"/>
              </w:rPr>
            </w:pPr>
            <w:r>
              <w:rPr>
                <w:b/>
                <w:i/>
                <w:sz w:val="22"/>
                <w:szCs w:val="22"/>
              </w:rPr>
              <w:t>min D-s1d0</w:t>
            </w:r>
          </w:p>
        </w:tc>
        <w:tc>
          <w:tcPr>
            <w:tcW w:w="1559" w:type="dxa"/>
          </w:tcPr>
          <w:p w14:paraId="1F1210A9" w14:textId="77777777" w:rsidR="001C08A5" w:rsidRDefault="00000000">
            <w:pPr>
              <w:jc w:val="both"/>
              <w:rPr>
                <w:b/>
                <w:i/>
                <w:sz w:val="22"/>
                <w:szCs w:val="22"/>
              </w:rPr>
            </w:pPr>
            <w:r>
              <w:rPr>
                <w:b/>
                <w:bCs/>
                <w:i/>
                <w:sz w:val="22"/>
                <w:szCs w:val="22"/>
              </w:rPr>
              <w:t>min D</w:t>
            </w:r>
            <w:r>
              <w:rPr>
                <w:b/>
                <w:bCs/>
                <w:i/>
                <w:sz w:val="22"/>
                <w:szCs w:val="22"/>
                <w:vertAlign w:val="subscript"/>
              </w:rPr>
              <w:t>FL</w:t>
            </w:r>
            <w:r>
              <w:rPr>
                <w:b/>
                <w:bCs/>
                <w:i/>
                <w:sz w:val="22"/>
                <w:szCs w:val="22"/>
              </w:rPr>
              <w:t>-s1</w:t>
            </w:r>
          </w:p>
        </w:tc>
      </w:tr>
    </w:tbl>
    <w:p w14:paraId="4B2B4BCB" w14:textId="77777777" w:rsidR="001C08A5" w:rsidRDefault="00000000">
      <w:pPr>
        <w:jc w:val="both"/>
        <w:rPr>
          <w:i/>
          <w:sz w:val="22"/>
          <w:szCs w:val="22"/>
          <w:u w:val="single"/>
        </w:rPr>
      </w:pPr>
      <w:r>
        <w:rPr>
          <w:i/>
          <w:sz w:val="22"/>
          <w:szCs w:val="22"/>
          <w:u w:val="single"/>
        </w:rPr>
        <w:t>Notă:</w:t>
      </w:r>
    </w:p>
    <w:p w14:paraId="57078F39" w14:textId="77777777" w:rsidR="001C08A5" w:rsidRDefault="00000000">
      <w:pPr>
        <w:jc w:val="both"/>
        <w:rPr>
          <w:b/>
          <w:i/>
          <w:sz w:val="22"/>
          <w:szCs w:val="22"/>
        </w:rPr>
      </w:pPr>
      <w:r>
        <w:rPr>
          <w:i/>
          <w:sz w:val="22"/>
          <w:szCs w:val="22"/>
        </w:rPr>
        <w:t xml:space="preserve">(1) Pe căile comune de circulaţie funcţională şi de evacuare a utilizatorilor construcţiilor cu înălţime obişnuită se admit și finisaje din folii cu grosimea de maxim </w:t>
      </w:r>
      <w:r>
        <w:rPr>
          <w:b/>
          <w:i/>
          <w:sz w:val="22"/>
          <w:szCs w:val="22"/>
        </w:rPr>
        <w:t>0,5</w:t>
      </w:r>
      <w:r>
        <w:rPr>
          <w:i/>
          <w:sz w:val="22"/>
          <w:szCs w:val="22"/>
        </w:rPr>
        <w:t xml:space="preserve"> cm care se lipesc pe suport </w:t>
      </w:r>
      <w:r>
        <w:rPr>
          <w:b/>
          <w:i/>
          <w:sz w:val="22"/>
          <w:szCs w:val="22"/>
        </w:rPr>
        <w:t>A1</w:t>
      </w:r>
      <w:r>
        <w:rPr>
          <w:i/>
          <w:sz w:val="22"/>
          <w:szCs w:val="22"/>
        </w:rPr>
        <w:t xml:space="preserve"> sau </w:t>
      </w:r>
      <w:r>
        <w:rPr>
          <w:b/>
          <w:i/>
          <w:sz w:val="22"/>
          <w:szCs w:val="22"/>
        </w:rPr>
        <w:t xml:space="preserve">A2-s1d0 și </w:t>
      </w:r>
      <w:r>
        <w:rPr>
          <w:i/>
          <w:sz w:val="22"/>
          <w:szCs w:val="22"/>
        </w:rPr>
        <w:t xml:space="preserve">mochete sau lemn, cu grosimea de maxim </w:t>
      </w:r>
      <w:r>
        <w:rPr>
          <w:b/>
          <w:i/>
          <w:sz w:val="22"/>
          <w:szCs w:val="22"/>
        </w:rPr>
        <w:t>2</w:t>
      </w:r>
      <w:r>
        <w:rPr>
          <w:i/>
          <w:sz w:val="22"/>
          <w:szCs w:val="22"/>
        </w:rPr>
        <w:t xml:space="preserve"> cm,</w:t>
      </w:r>
      <w:r>
        <w:rPr>
          <w:bCs/>
          <w:i/>
          <w:sz w:val="22"/>
          <w:szCs w:val="22"/>
        </w:rPr>
        <w:t xml:space="preserve"> minimum </w:t>
      </w:r>
      <w:r>
        <w:rPr>
          <w:b/>
          <w:bCs/>
          <w:i/>
          <w:sz w:val="22"/>
          <w:szCs w:val="22"/>
        </w:rPr>
        <w:t>C</w:t>
      </w:r>
      <w:r>
        <w:rPr>
          <w:b/>
          <w:bCs/>
          <w:i/>
          <w:sz w:val="22"/>
          <w:szCs w:val="22"/>
          <w:vertAlign w:val="subscript"/>
        </w:rPr>
        <w:t>FL</w:t>
      </w:r>
      <w:r>
        <w:rPr>
          <w:b/>
          <w:bCs/>
          <w:i/>
          <w:sz w:val="22"/>
          <w:szCs w:val="22"/>
        </w:rPr>
        <w:t>-s1,</w:t>
      </w:r>
      <w:r>
        <w:rPr>
          <w:i/>
          <w:sz w:val="22"/>
          <w:szCs w:val="22"/>
        </w:rPr>
        <w:t xml:space="preserve"> montate direct sau pe un strat fonoizolator la zgomot de impact, care se lipesc sau se aşează liber pe suport </w:t>
      </w:r>
      <w:r>
        <w:rPr>
          <w:b/>
          <w:i/>
          <w:sz w:val="22"/>
          <w:szCs w:val="22"/>
        </w:rPr>
        <w:t>A1</w:t>
      </w:r>
      <w:r>
        <w:rPr>
          <w:i/>
          <w:sz w:val="22"/>
          <w:szCs w:val="22"/>
        </w:rPr>
        <w:t xml:space="preserve"> sau </w:t>
      </w:r>
      <w:r>
        <w:rPr>
          <w:b/>
          <w:i/>
          <w:sz w:val="22"/>
          <w:szCs w:val="22"/>
        </w:rPr>
        <w:t>A2-s1d0.</w:t>
      </w:r>
    </w:p>
    <w:p w14:paraId="580E6DCC" w14:textId="77777777" w:rsidR="001C08A5" w:rsidRDefault="00000000">
      <w:pPr>
        <w:jc w:val="both"/>
        <w:rPr>
          <w:i/>
          <w:sz w:val="22"/>
          <w:szCs w:val="22"/>
          <w:u w:val="single"/>
        </w:rPr>
      </w:pPr>
      <w:r>
        <w:rPr>
          <w:i/>
          <w:sz w:val="22"/>
          <w:szCs w:val="22"/>
        </w:rPr>
        <w:t>(2) Stratul fonoizolator la impact/ vibroamortizant nu trebuie sa aibă performanță la foc.</w:t>
      </w:r>
    </w:p>
    <w:p w14:paraId="3C97211F" w14:textId="77777777" w:rsidR="001C08A5" w:rsidRDefault="001C08A5">
      <w:pPr>
        <w:jc w:val="both"/>
        <w:rPr>
          <w:sz w:val="24"/>
          <w:szCs w:val="24"/>
        </w:rPr>
      </w:pPr>
    </w:p>
    <w:p w14:paraId="0CDE7F53" w14:textId="77777777" w:rsidR="001C08A5" w:rsidRDefault="00000000">
      <w:pPr>
        <w:ind w:firstLine="567"/>
        <w:jc w:val="both"/>
        <w:rPr>
          <w:sz w:val="24"/>
          <w:szCs w:val="24"/>
        </w:rPr>
      </w:pPr>
      <w:r>
        <w:rPr>
          <w:b/>
          <w:sz w:val="24"/>
          <w:szCs w:val="24"/>
        </w:rPr>
        <w:t xml:space="preserve">Art. </w:t>
      </w:r>
      <w:r>
        <w:rPr>
          <w:b/>
          <w:bCs/>
          <w:sz w:val="24"/>
          <w:szCs w:val="24"/>
        </w:rPr>
        <w:t>3.2.1.</w:t>
      </w:r>
      <w:r>
        <w:rPr>
          <w:b/>
          <w:sz w:val="24"/>
          <w:szCs w:val="24"/>
        </w:rPr>
        <w:t xml:space="preserve">5. </w:t>
      </w:r>
      <w:r>
        <w:rPr>
          <w:sz w:val="24"/>
          <w:szCs w:val="24"/>
        </w:rPr>
        <w:t xml:space="preserve">În subsolul sau demisolul clădirilor supraterane de locuit se pot realiza boxe gospodăreşti, cu condiţia ca densitatea de sarcină termică să nu depăşească </w:t>
      </w:r>
      <w:r>
        <w:rPr>
          <w:b/>
          <w:sz w:val="24"/>
          <w:szCs w:val="24"/>
        </w:rPr>
        <w:t xml:space="preserve">840 </w:t>
      </w:r>
      <w:r>
        <w:rPr>
          <w:b/>
          <w:bCs/>
          <w:sz w:val="24"/>
          <w:szCs w:val="24"/>
        </w:rPr>
        <w:t>MJ/m</w:t>
      </w:r>
      <w:r>
        <w:rPr>
          <w:b/>
          <w:bCs/>
          <w:sz w:val="24"/>
          <w:szCs w:val="24"/>
          <w:vertAlign w:val="superscript"/>
        </w:rPr>
        <w:t>2</w:t>
      </w:r>
      <w:r>
        <w:rPr>
          <w:sz w:val="24"/>
          <w:szCs w:val="24"/>
        </w:rPr>
        <w:t>.</w:t>
      </w:r>
    </w:p>
    <w:p w14:paraId="4EC75D8E" w14:textId="77777777" w:rsidR="001C08A5" w:rsidRDefault="00000000">
      <w:pPr>
        <w:jc w:val="both"/>
        <w:rPr>
          <w:sz w:val="24"/>
          <w:szCs w:val="24"/>
        </w:rPr>
      </w:pPr>
      <w:r>
        <w:rPr>
          <w:sz w:val="24"/>
          <w:szCs w:val="24"/>
        </w:rPr>
        <w:tab/>
      </w:r>
    </w:p>
    <w:p w14:paraId="515CF896" w14:textId="77777777" w:rsidR="001C08A5" w:rsidRDefault="00000000">
      <w:pPr>
        <w:ind w:firstLine="567"/>
        <w:jc w:val="both"/>
        <w:rPr>
          <w:b/>
          <w:sz w:val="24"/>
          <w:szCs w:val="24"/>
        </w:rPr>
      </w:pPr>
      <w:r>
        <w:rPr>
          <w:b/>
          <w:sz w:val="24"/>
          <w:szCs w:val="24"/>
        </w:rPr>
        <w:t xml:space="preserve">Art. </w:t>
      </w:r>
      <w:r>
        <w:rPr>
          <w:b/>
          <w:bCs/>
          <w:sz w:val="24"/>
          <w:szCs w:val="24"/>
        </w:rPr>
        <w:t>3.2.1.</w:t>
      </w:r>
      <w:r>
        <w:rPr>
          <w:b/>
          <w:sz w:val="24"/>
          <w:szCs w:val="24"/>
        </w:rPr>
        <w:t xml:space="preserve">6. </w:t>
      </w:r>
      <w:r>
        <w:rPr>
          <w:sz w:val="24"/>
          <w:szCs w:val="24"/>
        </w:rPr>
        <w:t xml:space="preserve">Pereţii despărţitori din clădirile de locuit vor respecta prevederile din </w:t>
      </w:r>
      <w:r>
        <w:rPr>
          <w:rFonts w:cs="Mangal"/>
          <w:b/>
          <w:i/>
          <w:iCs/>
          <w:sz w:val="24"/>
          <w:szCs w:val="24"/>
        </w:rPr>
        <w:fldChar w:fldCharType="begin"/>
      </w:r>
      <w:r>
        <w:rPr>
          <w:rFonts w:cs="Mangal"/>
          <w:b/>
          <w:i/>
          <w:iCs/>
          <w:sz w:val="24"/>
          <w:szCs w:val="24"/>
        </w:rPr>
        <w:instrText xml:space="preserve"> REF _Ref14064 \h </w:instrText>
      </w:r>
      <w:r>
        <w:rPr>
          <w:rFonts w:cs="Mangal"/>
          <w:b/>
          <w:i/>
          <w:iCs/>
          <w:sz w:val="24"/>
          <w:szCs w:val="24"/>
        </w:rPr>
      </w:r>
      <w:r>
        <w:rPr>
          <w:rFonts w:cs="Mangal"/>
          <w:b/>
          <w:i/>
          <w:iCs/>
          <w:sz w:val="24"/>
          <w:szCs w:val="24"/>
        </w:rPr>
        <w:fldChar w:fldCharType="separate"/>
      </w:r>
      <w:r>
        <w:t>Tabelul 53</w:t>
      </w:r>
      <w:r>
        <w:rPr>
          <w:rFonts w:cs="Mangal"/>
          <w:b/>
          <w:i/>
          <w:iCs/>
          <w:sz w:val="24"/>
          <w:szCs w:val="24"/>
        </w:rPr>
        <w:fldChar w:fldCharType="end"/>
      </w:r>
      <w:r>
        <w:rPr>
          <w:sz w:val="24"/>
          <w:szCs w:val="24"/>
        </w:rPr>
        <w:t>.</w:t>
      </w:r>
    </w:p>
    <w:p w14:paraId="76B970D3" w14:textId="77777777" w:rsidR="001C08A5" w:rsidRDefault="001C08A5">
      <w:pPr>
        <w:jc w:val="both"/>
        <w:rPr>
          <w:b/>
          <w:sz w:val="24"/>
          <w:szCs w:val="24"/>
        </w:rPr>
      </w:pPr>
    </w:p>
    <w:p w14:paraId="432A42CB" w14:textId="77777777" w:rsidR="001C08A5" w:rsidRDefault="00000000">
      <w:pPr>
        <w:pStyle w:val="Captiontabel"/>
      </w:pPr>
      <w:bookmarkStart w:id="3222" w:name="_Ref14064"/>
      <w:bookmarkStart w:id="3223" w:name="_Toc162360103"/>
      <w:r>
        <w:t xml:space="preserve">Tabelul </w:t>
      </w:r>
      <w:r>
        <w:fldChar w:fldCharType="begin"/>
      </w:r>
      <w:r>
        <w:instrText xml:space="preserve"> SEQ Tabelul \* ARABIC </w:instrText>
      </w:r>
      <w:r>
        <w:fldChar w:fldCharType="separate"/>
      </w:r>
      <w:r>
        <w:t>53</w:t>
      </w:r>
      <w:r>
        <w:fldChar w:fldCharType="end"/>
      </w:r>
      <w:bookmarkStart w:id="3224" w:name="_Toc7155"/>
      <w:bookmarkStart w:id="3225" w:name="_Toc30578"/>
      <w:bookmarkStart w:id="3226" w:name="_Toc16285"/>
      <w:bookmarkStart w:id="3227" w:name="_Toc30064"/>
      <w:bookmarkStart w:id="3228" w:name="_Toc28310"/>
      <w:bookmarkStart w:id="3229" w:name="_Toc32641"/>
      <w:bookmarkStart w:id="3230" w:name="_Toc32178"/>
      <w:bookmarkStart w:id="3231" w:name="_Toc8986"/>
      <w:bookmarkStart w:id="3232" w:name="_Toc23447"/>
      <w:bookmarkStart w:id="3233" w:name="_Toc27202"/>
      <w:bookmarkStart w:id="3234" w:name="_Toc13897"/>
      <w:bookmarkStart w:id="3235" w:name="_Toc6621"/>
      <w:bookmarkStart w:id="3236" w:name="_Toc7754"/>
      <w:bookmarkStart w:id="3237" w:name="_Toc4129"/>
      <w:bookmarkStart w:id="3238" w:name="_Toc15950"/>
      <w:bookmarkStart w:id="3239" w:name="_Toc8309"/>
      <w:bookmarkStart w:id="3240" w:name="_Toc32265"/>
      <w:bookmarkStart w:id="3241" w:name="_Toc1554"/>
      <w:bookmarkStart w:id="3242" w:name="_Toc18564"/>
      <w:bookmarkEnd w:id="3222"/>
      <w:r>
        <w:t>: Condiţii pentru pereţii despărţitori din clădirile de locuit supraterane cu înălţimi obişnuite</w:t>
      </w:r>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p>
    <w:p w14:paraId="47512E34" w14:textId="77777777" w:rsidR="001C08A5" w:rsidRDefault="001C08A5">
      <w:pPr>
        <w:jc w:val="both"/>
        <w:rPr>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8"/>
        <w:gridCol w:w="3041"/>
        <w:gridCol w:w="987"/>
        <w:gridCol w:w="1625"/>
        <w:gridCol w:w="3155"/>
      </w:tblGrid>
      <w:tr w:rsidR="001C08A5" w14:paraId="114C22A0" w14:textId="77777777">
        <w:trPr>
          <w:trHeight w:val="815"/>
          <w:tblHeader/>
        </w:trPr>
        <w:tc>
          <w:tcPr>
            <w:tcW w:w="798" w:type="dxa"/>
            <w:shd w:val="clear" w:color="auto" w:fill="BFBFBF"/>
            <w:vAlign w:val="center"/>
          </w:tcPr>
          <w:p w14:paraId="10664D2C" w14:textId="77777777" w:rsidR="001C08A5" w:rsidRDefault="00000000">
            <w:pPr>
              <w:pStyle w:val="BodyText"/>
              <w:jc w:val="center"/>
              <w:rPr>
                <w:bCs w:val="0"/>
                <w:sz w:val="22"/>
                <w:szCs w:val="22"/>
              </w:rPr>
            </w:pPr>
            <w:r>
              <w:rPr>
                <w:bCs w:val="0"/>
                <w:sz w:val="22"/>
                <w:szCs w:val="22"/>
              </w:rPr>
              <w:t>Nr.</w:t>
            </w:r>
          </w:p>
          <w:p w14:paraId="3FAB4104" w14:textId="77777777" w:rsidR="001C08A5" w:rsidRDefault="00000000">
            <w:pPr>
              <w:pStyle w:val="BodyText"/>
              <w:jc w:val="center"/>
              <w:rPr>
                <w:bCs w:val="0"/>
                <w:sz w:val="22"/>
                <w:szCs w:val="22"/>
              </w:rPr>
            </w:pPr>
            <w:r>
              <w:rPr>
                <w:bCs w:val="0"/>
                <w:sz w:val="22"/>
                <w:szCs w:val="22"/>
              </w:rPr>
              <w:t>crt.</w:t>
            </w:r>
          </w:p>
        </w:tc>
        <w:tc>
          <w:tcPr>
            <w:tcW w:w="3041" w:type="dxa"/>
            <w:shd w:val="clear" w:color="auto" w:fill="BFBFBF"/>
            <w:vAlign w:val="center"/>
          </w:tcPr>
          <w:p w14:paraId="27E9FA7D" w14:textId="77777777" w:rsidR="001C08A5" w:rsidRDefault="00000000">
            <w:pPr>
              <w:pStyle w:val="BodyText"/>
              <w:jc w:val="center"/>
              <w:rPr>
                <w:bCs w:val="0"/>
                <w:sz w:val="22"/>
                <w:szCs w:val="22"/>
              </w:rPr>
            </w:pPr>
            <w:r>
              <w:rPr>
                <w:bCs w:val="0"/>
                <w:sz w:val="22"/>
                <w:szCs w:val="22"/>
              </w:rPr>
              <w:t>Denumire element</w:t>
            </w:r>
          </w:p>
        </w:tc>
        <w:tc>
          <w:tcPr>
            <w:tcW w:w="987" w:type="dxa"/>
            <w:shd w:val="clear" w:color="auto" w:fill="BFBFBF"/>
            <w:vAlign w:val="center"/>
          </w:tcPr>
          <w:p w14:paraId="563B648D" w14:textId="77777777" w:rsidR="001C08A5" w:rsidRDefault="00000000">
            <w:pPr>
              <w:pStyle w:val="BodyText"/>
              <w:jc w:val="center"/>
              <w:rPr>
                <w:bCs w:val="0"/>
                <w:sz w:val="22"/>
                <w:szCs w:val="22"/>
              </w:rPr>
            </w:pPr>
            <w:r>
              <w:rPr>
                <w:bCs w:val="0"/>
                <w:sz w:val="22"/>
                <w:szCs w:val="22"/>
              </w:rPr>
              <w:t>Nivel de stab.la foc</w:t>
            </w:r>
          </w:p>
        </w:tc>
        <w:tc>
          <w:tcPr>
            <w:tcW w:w="1625" w:type="dxa"/>
            <w:shd w:val="clear" w:color="auto" w:fill="BFBFBF"/>
            <w:vAlign w:val="center"/>
          </w:tcPr>
          <w:p w14:paraId="3F8D5894" w14:textId="77777777" w:rsidR="001C08A5" w:rsidRDefault="00000000">
            <w:pPr>
              <w:pStyle w:val="BodyText"/>
              <w:jc w:val="center"/>
              <w:rPr>
                <w:bCs w:val="0"/>
                <w:sz w:val="22"/>
                <w:szCs w:val="22"/>
              </w:rPr>
            </w:pPr>
            <w:r>
              <w:rPr>
                <w:bCs w:val="0"/>
                <w:sz w:val="22"/>
                <w:szCs w:val="22"/>
              </w:rPr>
              <w:t>Condiţii minime</w:t>
            </w:r>
          </w:p>
          <w:p w14:paraId="2C8BFA10" w14:textId="77777777" w:rsidR="001C08A5" w:rsidRDefault="00000000">
            <w:pPr>
              <w:pStyle w:val="BodyText"/>
              <w:jc w:val="center"/>
              <w:rPr>
                <w:bCs w:val="0"/>
                <w:sz w:val="22"/>
                <w:szCs w:val="22"/>
              </w:rPr>
            </w:pPr>
            <w:r>
              <w:rPr>
                <w:sz w:val="22"/>
                <w:szCs w:val="22"/>
              </w:rPr>
              <w:t>pereţi</w:t>
            </w:r>
          </w:p>
        </w:tc>
        <w:tc>
          <w:tcPr>
            <w:tcW w:w="3155" w:type="dxa"/>
            <w:shd w:val="clear" w:color="auto" w:fill="BFBFBF"/>
          </w:tcPr>
          <w:p w14:paraId="1104F88E" w14:textId="77777777" w:rsidR="001C08A5" w:rsidRDefault="001C08A5">
            <w:pPr>
              <w:jc w:val="center"/>
              <w:rPr>
                <w:b/>
                <w:bCs/>
                <w:i/>
                <w:sz w:val="22"/>
                <w:szCs w:val="22"/>
              </w:rPr>
            </w:pPr>
          </w:p>
          <w:p w14:paraId="06C010AB" w14:textId="77777777" w:rsidR="001C08A5" w:rsidRDefault="00000000">
            <w:pPr>
              <w:jc w:val="center"/>
              <w:rPr>
                <w:b/>
                <w:i/>
                <w:sz w:val="22"/>
                <w:szCs w:val="22"/>
              </w:rPr>
            </w:pPr>
            <w:r>
              <w:rPr>
                <w:b/>
                <w:bCs/>
                <w:i/>
                <w:sz w:val="22"/>
                <w:szCs w:val="22"/>
              </w:rPr>
              <w:t>Observaţii</w:t>
            </w:r>
          </w:p>
        </w:tc>
      </w:tr>
      <w:tr w:rsidR="001C08A5" w14:paraId="0DFFA895" w14:textId="77777777">
        <w:tc>
          <w:tcPr>
            <w:tcW w:w="798" w:type="dxa"/>
            <w:vMerge w:val="restart"/>
            <w:vAlign w:val="center"/>
          </w:tcPr>
          <w:p w14:paraId="30D917F0" w14:textId="77777777" w:rsidR="001C08A5" w:rsidRDefault="00000000">
            <w:pPr>
              <w:pStyle w:val="BodyText"/>
              <w:jc w:val="center"/>
              <w:rPr>
                <w:bCs w:val="0"/>
                <w:sz w:val="22"/>
                <w:szCs w:val="22"/>
              </w:rPr>
            </w:pPr>
            <w:r>
              <w:rPr>
                <w:bCs w:val="0"/>
                <w:sz w:val="22"/>
                <w:szCs w:val="22"/>
              </w:rPr>
              <w:t>1.</w:t>
            </w:r>
          </w:p>
        </w:tc>
        <w:tc>
          <w:tcPr>
            <w:tcW w:w="3041" w:type="dxa"/>
            <w:vMerge w:val="restart"/>
          </w:tcPr>
          <w:p w14:paraId="1378146D" w14:textId="77777777" w:rsidR="001C08A5" w:rsidRDefault="001C08A5">
            <w:pPr>
              <w:jc w:val="both"/>
              <w:rPr>
                <w:i/>
                <w:sz w:val="22"/>
                <w:szCs w:val="22"/>
              </w:rPr>
            </w:pPr>
          </w:p>
          <w:p w14:paraId="00B462F5" w14:textId="77777777" w:rsidR="001C08A5" w:rsidRDefault="00000000">
            <w:pPr>
              <w:rPr>
                <w:i/>
                <w:sz w:val="22"/>
                <w:szCs w:val="22"/>
              </w:rPr>
            </w:pPr>
            <w:r>
              <w:rPr>
                <w:i/>
                <w:sz w:val="22"/>
                <w:szCs w:val="22"/>
              </w:rPr>
              <w:t>Pereţi despărţitori între tronsoane ale clădirii între apartamente, precum și între apartamente și spaţii comune</w:t>
            </w:r>
          </w:p>
        </w:tc>
        <w:tc>
          <w:tcPr>
            <w:tcW w:w="987" w:type="dxa"/>
          </w:tcPr>
          <w:p w14:paraId="2344FDD0" w14:textId="77777777" w:rsidR="001C08A5" w:rsidRDefault="00000000">
            <w:pPr>
              <w:jc w:val="center"/>
              <w:rPr>
                <w:b/>
                <w:i/>
                <w:sz w:val="22"/>
                <w:szCs w:val="22"/>
              </w:rPr>
            </w:pPr>
            <w:r>
              <w:rPr>
                <w:b/>
                <w:i/>
                <w:sz w:val="22"/>
                <w:szCs w:val="22"/>
              </w:rPr>
              <w:t>I</w:t>
            </w:r>
          </w:p>
        </w:tc>
        <w:tc>
          <w:tcPr>
            <w:tcW w:w="1625" w:type="dxa"/>
          </w:tcPr>
          <w:p w14:paraId="28C9DFDE" w14:textId="77777777" w:rsidR="001C08A5" w:rsidRDefault="00000000">
            <w:pPr>
              <w:pStyle w:val="BodyText"/>
              <w:jc w:val="center"/>
              <w:rPr>
                <w:bCs w:val="0"/>
                <w:sz w:val="22"/>
                <w:szCs w:val="22"/>
              </w:rPr>
            </w:pPr>
            <w:r>
              <w:rPr>
                <w:bCs w:val="0"/>
                <w:sz w:val="22"/>
                <w:szCs w:val="22"/>
              </w:rPr>
              <w:t>A1, A2-s1d0,</w:t>
            </w:r>
          </w:p>
          <w:p w14:paraId="639E1BAE" w14:textId="77777777" w:rsidR="001C08A5" w:rsidRDefault="00000000">
            <w:pPr>
              <w:jc w:val="center"/>
              <w:rPr>
                <w:b/>
                <w:bCs/>
                <w:i/>
                <w:sz w:val="22"/>
                <w:szCs w:val="22"/>
              </w:rPr>
            </w:pPr>
            <w:r>
              <w:rPr>
                <w:b/>
                <w:bCs/>
                <w:i/>
                <w:sz w:val="22"/>
                <w:szCs w:val="22"/>
              </w:rPr>
              <w:t>EI/REI 90</w:t>
            </w:r>
          </w:p>
        </w:tc>
        <w:tc>
          <w:tcPr>
            <w:tcW w:w="3155" w:type="dxa"/>
            <w:vMerge w:val="restart"/>
          </w:tcPr>
          <w:p w14:paraId="4398C41B" w14:textId="77777777" w:rsidR="001C08A5" w:rsidRDefault="001C08A5">
            <w:pPr>
              <w:jc w:val="both"/>
              <w:rPr>
                <w:i/>
                <w:sz w:val="22"/>
                <w:szCs w:val="22"/>
              </w:rPr>
            </w:pPr>
          </w:p>
          <w:p w14:paraId="56A81287" w14:textId="77777777" w:rsidR="001C08A5" w:rsidRDefault="00000000">
            <w:pPr>
              <w:jc w:val="center"/>
              <w:rPr>
                <w:b/>
                <w:bCs/>
                <w:i/>
                <w:sz w:val="22"/>
                <w:szCs w:val="22"/>
              </w:rPr>
            </w:pPr>
            <w:r>
              <w:rPr>
                <w:i/>
                <w:sz w:val="22"/>
                <w:szCs w:val="22"/>
              </w:rPr>
              <w:t xml:space="preserve">La tronsoane ale clădirii şi apartamente situate la demisol separarea se face între apartamente, cu pereţi rezistenţi la foc minimum </w:t>
            </w:r>
            <w:r>
              <w:rPr>
                <w:b/>
                <w:bCs/>
                <w:i/>
                <w:sz w:val="22"/>
                <w:szCs w:val="22"/>
              </w:rPr>
              <w:t>A1, A2-s1d0,</w:t>
            </w:r>
          </w:p>
          <w:p w14:paraId="08DBB344" w14:textId="77777777" w:rsidR="001C08A5" w:rsidRDefault="00000000">
            <w:pPr>
              <w:jc w:val="center"/>
              <w:rPr>
                <w:i/>
                <w:sz w:val="22"/>
                <w:szCs w:val="22"/>
              </w:rPr>
            </w:pPr>
            <w:r>
              <w:rPr>
                <w:b/>
                <w:bCs/>
                <w:i/>
                <w:sz w:val="22"/>
                <w:szCs w:val="22"/>
              </w:rPr>
              <w:t>EI/REI 60</w:t>
            </w:r>
            <w:r>
              <w:rPr>
                <w:i/>
                <w:sz w:val="22"/>
                <w:szCs w:val="22"/>
              </w:rPr>
              <w:t xml:space="preserve"> (cu exceptia încadrării clădirii în niv. </w:t>
            </w:r>
            <w:r>
              <w:rPr>
                <w:b/>
                <w:bCs/>
                <w:i/>
                <w:sz w:val="22"/>
                <w:szCs w:val="22"/>
              </w:rPr>
              <w:t>I</w:t>
            </w:r>
            <w:r>
              <w:rPr>
                <w:i/>
                <w:sz w:val="22"/>
                <w:szCs w:val="22"/>
              </w:rPr>
              <w:t xml:space="preserve"> de stabilitate unde acestia trebuie prevazuti minimum </w:t>
            </w:r>
            <w:r>
              <w:rPr>
                <w:b/>
                <w:bCs/>
                <w:i/>
                <w:sz w:val="22"/>
                <w:szCs w:val="22"/>
              </w:rPr>
              <w:t>EI/REI 90</w:t>
            </w:r>
            <w:r>
              <w:rPr>
                <w:i/>
                <w:sz w:val="22"/>
                <w:szCs w:val="22"/>
              </w:rPr>
              <w:t>)</w:t>
            </w:r>
          </w:p>
          <w:p w14:paraId="6F78F298" w14:textId="77777777" w:rsidR="001C08A5" w:rsidRDefault="001C08A5">
            <w:pPr>
              <w:jc w:val="center"/>
              <w:rPr>
                <w:i/>
                <w:sz w:val="22"/>
                <w:szCs w:val="22"/>
              </w:rPr>
            </w:pPr>
          </w:p>
        </w:tc>
      </w:tr>
      <w:tr w:rsidR="001C08A5" w14:paraId="4B851A7E" w14:textId="77777777">
        <w:tc>
          <w:tcPr>
            <w:tcW w:w="798" w:type="dxa"/>
            <w:vMerge/>
            <w:vAlign w:val="center"/>
          </w:tcPr>
          <w:p w14:paraId="23F31D3E" w14:textId="77777777" w:rsidR="001C08A5" w:rsidRDefault="001C08A5">
            <w:pPr>
              <w:pStyle w:val="BodyText"/>
              <w:jc w:val="center"/>
              <w:rPr>
                <w:bCs w:val="0"/>
                <w:sz w:val="22"/>
                <w:szCs w:val="22"/>
              </w:rPr>
            </w:pPr>
          </w:p>
        </w:tc>
        <w:tc>
          <w:tcPr>
            <w:tcW w:w="3041" w:type="dxa"/>
            <w:vMerge/>
          </w:tcPr>
          <w:p w14:paraId="40B5A772" w14:textId="77777777" w:rsidR="001C08A5" w:rsidRDefault="001C08A5">
            <w:pPr>
              <w:jc w:val="both"/>
              <w:rPr>
                <w:i/>
                <w:sz w:val="22"/>
                <w:szCs w:val="22"/>
              </w:rPr>
            </w:pPr>
          </w:p>
        </w:tc>
        <w:tc>
          <w:tcPr>
            <w:tcW w:w="987" w:type="dxa"/>
          </w:tcPr>
          <w:p w14:paraId="13E584AD" w14:textId="77777777" w:rsidR="001C08A5" w:rsidRDefault="00000000">
            <w:pPr>
              <w:jc w:val="center"/>
              <w:rPr>
                <w:b/>
                <w:i/>
                <w:sz w:val="22"/>
                <w:szCs w:val="22"/>
              </w:rPr>
            </w:pPr>
            <w:r>
              <w:rPr>
                <w:b/>
                <w:i/>
                <w:sz w:val="22"/>
                <w:szCs w:val="22"/>
              </w:rPr>
              <w:t>II</w:t>
            </w:r>
          </w:p>
        </w:tc>
        <w:tc>
          <w:tcPr>
            <w:tcW w:w="1625" w:type="dxa"/>
          </w:tcPr>
          <w:p w14:paraId="671FA687" w14:textId="77777777" w:rsidR="001C08A5" w:rsidRDefault="00000000">
            <w:pPr>
              <w:pStyle w:val="BodyText"/>
              <w:jc w:val="center"/>
              <w:rPr>
                <w:bCs w:val="0"/>
                <w:sz w:val="22"/>
                <w:szCs w:val="22"/>
              </w:rPr>
            </w:pPr>
            <w:r>
              <w:rPr>
                <w:bCs w:val="0"/>
                <w:sz w:val="22"/>
                <w:szCs w:val="22"/>
              </w:rPr>
              <w:t>A1, A2-s1d0,</w:t>
            </w:r>
          </w:p>
          <w:p w14:paraId="44448666" w14:textId="77777777" w:rsidR="001C08A5" w:rsidRDefault="00000000">
            <w:pPr>
              <w:jc w:val="center"/>
              <w:rPr>
                <w:b/>
                <w:i/>
                <w:sz w:val="22"/>
                <w:szCs w:val="22"/>
              </w:rPr>
            </w:pPr>
            <w:r>
              <w:rPr>
                <w:b/>
                <w:bCs/>
                <w:i/>
                <w:sz w:val="22"/>
                <w:szCs w:val="22"/>
              </w:rPr>
              <w:t>EI/REI 60</w:t>
            </w:r>
          </w:p>
        </w:tc>
        <w:tc>
          <w:tcPr>
            <w:tcW w:w="3155" w:type="dxa"/>
            <w:vMerge/>
          </w:tcPr>
          <w:p w14:paraId="13E4CC7A" w14:textId="77777777" w:rsidR="001C08A5" w:rsidRDefault="001C08A5">
            <w:pPr>
              <w:jc w:val="both"/>
              <w:rPr>
                <w:i/>
                <w:sz w:val="22"/>
                <w:szCs w:val="22"/>
              </w:rPr>
            </w:pPr>
          </w:p>
        </w:tc>
      </w:tr>
      <w:tr w:rsidR="001C08A5" w14:paraId="2CADD044" w14:textId="77777777">
        <w:tc>
          <w:tcPr>
            <w:tcW w:w="798" w:type="dxa"/>
            <w:vMerge/>
            <w:vAlign w:val="center"/>
          </w:tcPr>
          <w:p w14:paraId="4C563A20" w14:textId="77777777" w:rsidR="001C08A5" w:rsidRDefault="001C08A5">
            <w:pPr>
              <w:pStyle w:val="BodyText"/>
              <w:jc w:val="center"/>
              <w:rPr>
                <w:bCs w:val="0"/>
                <w:sz w:val="22"/>
                <w:szCs w:val="22"/>
              </w:rPr>
            </w:pPr>
          </w:p>
        </w:tc>
        <w:tc>
          <w:tcPr>
            <w:tcW w:w="3041" w:type="dxa"/>
            <w:vMerge/>
          </w:tcPr>
          <w:p w14:paraId="2300BC1D" w14:textId="77777777" w:rsidR="001C08A5" w:rsidRDefault="001C08A5">
            <w:pPr>
              <w:jc w:val="both"/>
              <w:rPr>
                <w:i/>
                <w:sz w:val="22"/>
                <w:szCs w:val="22"/>
              </w:rPr>
            </w:pPr>
          </w:p>
        </w:tc>
        <w:tc>
          <w:tcPr>
            <w:tcW w:w="987" w:type="dxa"/>
          </w:tcPr>
          <w:p w14:paraId="6E3D59E2" w14:textId="77777777" w:rsidR="001C08A5" w:rsidRDefault="00000000">
            <w:pPr>
              <w:jc w:val="center"/>
              <w:rPr>
                <w:b/>
                <w:i/>
                <w:sz w:val="22"/>
                <w:szCs w:val="22"/>
              </w:rPr>
            </w:pPr>
            <w:r>
              <w:rPr>
                <w:b/>
                <w:i/>
                <w:sz w:val="22"/>
                <w:szCs w:val="22"/>
              </w:rPr>
              <w:t>III</w:t>
            </w:r>
          </w:p>
        </w:tc>
        <w:tc>
          <w:tcPr>
            <w:tcW w:w="1625" w:type="dxa"/>
          </w:tcPr>
          <w:p w14:paraId="42AE1987" w14:textId="77777777" w:rsidR="001C08A5" w:rsidRDefault="00000000">
            <w:pPr>
              <w:pStyle w:val="BodyText"/>
              <w:jc w:val="center"/>
              <w:rPr>
                <w:bCs w:val="0"/>
                <w:sz w:val="22"/>
                <w:szCs w:val="22"/>
              </w:rPr>
            </w:pPr>
            <w:r>
              <w:rPr>
                <w:bCs w:val="0"/>
                <w:sz w:val="22"/>
                <w:szCs w:val="22"/>
              </w:rPr>
              <w:t>A1, A2-s1d0,</w:t>
            </w:r>
          </w:p>
          <w:p w14:paraId="2C163593" w14:textId="77777777" w:rsidR="001C08A5" w:rsidRDefault="00000000">
            <w:pPr>
              <w:jc w:val="center"/>
              <w:rPr>
                <w:b/>
                <w:i/>
                <w:sz w:val="22"/>
                <w:szCs w:val="22"/>
              </w:rPr>
            </w:pPr>
            <w:r>
              <w:rPr>
                <w:b/>
                <w:bCs/>
                <w:i/>
                <w:sz w:val="22"/>
                <w:szCs w:val="22"/>
              </w:rPr>
              <w:t>EI/REI 60</w:t>
            </w:r>
          </w:p>
        </w:tc>
        <w:tc>
          <w:tcPr>
            <w:tcW w:w="3155" w:type="dxa"/>
            <w:vMerge/>
          </w:tcPr>
          <w:p w14:paraId="6B120099" w14:textId="77777777" w:rsidR="001C08A5" w:rsidRDefault="001C08A5">
            <w:pPr>
              <w:jc w:val="both"/>
              <w:rPr>
                <w:i/>
                <w:sz w:val="22"/>
                <w:szCs w:val="22"/>
              </w:rPr>
            </w:pPr>
          </w:p>
        </w:tc>
      </w:tr>
      <w:tr w:rsidR="001C08A5" w14:paraId="582C80D0" w14:textId="77777777">
        <w:tc>
          <w:tcPr>
            <w:tcW w:w="798" w:type="dxa"/>
            <w:vMerge/>
            <w:vAlign w:val="center"/>
          </w:tcPr>
          <w:p w14:paraId="231B7CB9" w14:textId="77777777" w:rsidR="001C08A5" w:rsidRDefault="001C08A5">
            <w:pPr>
              <w:pStyle w:val="BodyText"/>
              <w:jc w:val="center"/>
              <w:rPr>
                <w:bCs w:val="0"/>
                <w:sz w:val="22"/>
                <w:szCs w:val="22"/>
              </w:rPr>
            </w:pPr>
          </w:p>
        </w:tc>
        <w:tc>
          <w:tcPr>
            <w:tcW w:w="3041" w:type="dxa"/>
            <w:vMerge/>
          </w:tcPr>
          <w:p w14:paraId="708C8BA3" w14:textId="77777777" w:rsidR="001C08A5" w:rsidRDefault="001C08A5">
            <w:pPr>
              <w:jc w:val="both"/>
              <w:rPr>
                <w:i/>
                <w:sz w:val="22"/>
                <w:szCs w:val="22"/>
              </w:rPr>
            </w:pPr>
          </w:p>
        </w:tc>
        <w:tc>
          <w:tcPr>
            <w:tcW w:w="987" w:type="dxa"/>
          </w:tcPr>
          <w:p w14:paraId="5AD5E286" w14:textId="77777777" w:rsidR="001C08A5" w:rsidRDefault="00000000">
            <w:pPr>
              <w:jc w:val="center"/>
              <w:rPr>
                <w:b/>
                <w:i/>
                <w:sz w:val="22"/>
                <w:szCs w:val="22"/>
              </w:rPr>
            </w:pPr>
            <w:r>
              <w:rPr>
                <w:b/>
                <w:i/>
                <w:sz w:val="22"/>
                <w:szCs w:val="22"/>
              </w:rPr>
              <w:t>IV</w:t>
            </w:r>
          </w:p>
        </w:tc>
        <w:tc>
          <w:tcPr>
            <w:tcW w:w="1625" w:type="dxa"/>
          </w:tcPr>
          <w:p w14:paraId="5A6027B0" w14:textId="77777777" w:rsidR="001C08A5" w:rsidRDefault="00000000">
            <w:pPr>
              <w:jc w:val="center"/>
              <w:rPr>
                <w:b/>
                <w:i/>
                <w:sz w:val="22"/>
                <w:szCs w:val="22"/>
              </w:rPr>
            </w:pPr>
            <w:r>
              <w:rPr>
                <w:b/>
                <w:bCs/>
                <w:i/>
                <w:sz w:val="22"/>
                <w:szCs w:val="22"/>
              </w:rPr>
              <w:t xml:space="preserve">B-s1d0, EI/REI 45/ </w:t>
            </w:r>
          </w:p>
        </w:tc>
        <w:tc>
          <w:tcPr>
            <w:tcW w:w="3155" w:type="dxa"/>
            <w:vMerge/>
          </w:tcPr>
          <w:p w14:paraId="35DF7231" w14:textId="77777777" w:rsidR="001C08A5" w:rsidRDefault="001C08A5">
            <w:pPr>
              <w:jc w:val="both"/>
              <w:rPr>
                <w:i/>
                <w:sz w:val="22"/>
                <w:szCs w:val="22"/>
              </w:rPr>
            </w:pPr>
          </w:p>
        </w:tc>
      </w:tr>
      <w:tr w:rsidR="001C08A5" w14:paraId="73D2C3F6" w14:textId="77777777">
        <w:tc>
          <w:tcPr>
            <w:tcW w:w="798" w:type="dxa"/>
            <w:vMerge/>
            <w:vAlign w:val="center"/>
          </w:tcPr>
          <w:p w14:paraId="3E56A28D" w14:textId="77777777" w:rsidR="001C08A5" w:rsidRDefault="001C08A5">
            <w:pPr>
              <w:pStyle w:val="BodyText"/>
              <w:jc w:val="center"/>
              <w:rPr>
                <w:bCs w:val="0"/>
                <w:sz w:val="22"/>
                <w:szCs w:val="22"/>
              </w:rPr>
            </w:pPr>
          </w:p>
        </w:tc>
        <w:tc>
          <w:tcPr>
            <w:tcW w:w="3041" w:type="dxa"/>
            <w:vMerge/>
          </w:tcPr>
          <w:p w14:paraId="1CA6BFC9" w14:textId="77777777" w:rsidR="001C08A5" w:rsidRDefault="001C08A5">
            <w:pPr>
              <w:jc w:val="both"/>
              <w:rPr>
                <w:i/>
                <w:sz w:val="22"/>
                <w:szCs w:val="22"/>
              </w:rPr>
            </w:pPr>
          </w:p>
        </w:tc>
        <w:tc>
          <w:tcPr>
            <w:tcW w:w="987" w:type="dxa"/>
          </w:tcPr>
          <w:p w14:paraId="44183D37" w14:textId="77777777" w:rsidR="001C08A5" w:rsidRDefault="00000000">
            <w:pPr>
              <w:jc w:val="center"/>
              <w:rPr>
                <w:b/>
                <w:i/>
                <w:sz w:val="22"/>
                <w:szCs w:val="22"/>
              </w:rPr>
            </w:pPr>
            <w:r>
              <w:rPr>
                <w:b/>
                <w:i/>
                <w:sz w:val="22"/>
                <w:szCs w:val="22"/>
              </w:rPr>
              <w:t>V</w:t>
            </w:r>
          </w:p>
        </w:tc>
        <w:tc>
          <w:tcPr>
            <w:tcW w:w="1625" w:type="dxa"/>
          </w:tcPr>
          <w:p w14:paraId="70F12D7C" w14:textId="77777777" w:rsidR="001C08A5" w:rsidRDefault="00000000">
            <w:pPr>
              <w:jc w:val="center"/>
              <w:rPr>
                <w:b/>
                <w:i/>
                <w:sz w:val="22"/>
                <w:szCs w:val="22"/>
              </w:rPr>
            </w:pPr>
            <w:r>
              <w:rPr>
                <w:b/>
                <w:bCs/>
                <w:i/>
                <w:sz w:val="22"/>
                <w:szCs w:val="22"/>
              </w:rPr>
              <w:t>D-s1d0, EI/REI 30</w:t>
            </w:r>
          </w:p>
        </w:tc>
        <w:tc>
          <w:tcPr>
            <w:tcW w:w="3155" w:type="dxa"/>
            <w:vMerge/>
          </w:tcPr>
          <w:p w14:paraId="6F6AEB53" w14:textId="77777777" w:rsidR="001C08A5" w:rsidRDefault="001C08A5">
            <w:pPr>
              <w:jc w:val="both"/>
              <w:rPr>
                <w:i/>
                <w:sz w:val="22"/>
                <w:szCs w:val="22"/>
              </w:rPr>
            </w:pPr>
          </w:p>
        </w:tc>
      </w:tr>
      <w:tr w:rsidR="001C08A5" w14:paraId="37EABB60" w14:textId="77777777">
        <w:tc>
          <w:tcPr>
            <w:tcW w:w="798" w:type="dxa"/>
            <w:vMerge w:val="restart"/>
            <w:vAlign w:val="center"/>
          </w:tcPr>
          <w:p w14:paraId="77B4BB76" w14:textId="77777777" w:rsidR="001C08A5" w:rsidRDefault="00000000">
            <w:pPr>
              <w:pStyle w:val="BodyText"/>
              <w:jc w:val="center"/>
              <w:rPr>
                <w:bCs w:val="0"/>
                <w:sz w:val="22"/>
                <w:szCs w:val="22"/>
              </w:rPr>
            </w:pPr>
            <w:r>
              <w:rPr>
                <w:bCs w:val="0"/>
                <w:sz w:val="22"/>
                <w:szCs w:val="22"/>
              </w:rPr>
              <w:lastRenderedPageBreak/>
              <w:t>2.</w:t>
            </w:r>
          </w:p>
        </w:tc>
        <w:tc>
          <w:tcPr>
            <w:tcW w:w="3041" w:type="dxa"/>
            <w:vMerge w:val="restart"/>
          </w:tcPr>
          <w:p w14:paraId="6B888AE3" w14:textId="77777777" w:rsidR="001C08A5" w:rsidRDefault="001C08A5">
            <w:pPr>
              <w:jc w:val="both"/>
              <w:rPr>
                <w:i/>
                <w:sz w:val="22"/>
                <w:szCs w:val="22"/>
              </w:rPr>
            </w:pPr>
          </w:p>
          <w:p w14:paraId="70450B64" w14:textId="77777777" w:rsidR="001C08A5" w:rsidRDefault="00000000">
            <w:pPr>
              <w:rPr>
                <w:i/>
                <w:sz w:val="22"/>
                <w:szCs w:val="22"/>
              </w:rPr>
            </w:pPr>
            <w:r>
              <w:rPr>
                <w:i/>
                <w:sz w:val="22"/>
                <w:szCs w:val="22"/>
              </w:rPr>
              <w:t>Pereţi despărţitori între băi şi bucătării, faţă de celelalte încăperi ale apartamentului.</w:t>
            </w:r>
          </w:p>
        </w:tc>
        <w:tc>
          <w:tcPr>
            <w:tcW w:w="987" w:type="dxa"/>
          </w:tcPr>
          <w:p w14:paraId="23D2EEF2" w14:textId="77777777" w:rsidR="001C08A5" w:rsidRDefault="00000000">
            <w:pPr>
              <w:jc w:val="center"/>
              <w:rPr>
                <w:b/>
                <w:i/>
                <w:sz w:val="22"/>
                <w:szCs w:val="22"/>
              </w:rPr>
            </w:pPr>
            <w:r>
              <w:rPr>
                <w:b/>
                <w:i/>
                <w:sz w:val="22"/>
                <w:szCs w:val="22"/>
              </w:rPr>
              <w:t>I</w:t>
            </w:r>
          </w:p>
        </w:tc>
        <w:tc>
          <w:tcPr>
            <w:tcW w:w="1625" w:type="dxa"/>
          </w:tcPr>
          <w:p w14:paraId="6E2577E1" w14:textId="77777777" w:rsidR="001C08A5" w:rsidRDefault="001C08A5">
            <w:pPr>
              <w:pStyle w:val="BodyText"/>
              <w:jc w:val="center"/>
              <w:rPr>
                <w:bCs w:val="0"/>
                <w:sz w:val="22"/>
                <w:szCs w:val="22"/>
              </w:rPr>
            </w:pPr>
          </w:p>
          <w:p w14:paraId="2E74D4E5" w14:textId="77777777" w:rsidR="001C08A5" w:rsidRDefault="00000000">
            <w:pPr>
              <w:jc w:val="center"/>
              <w:rPr>
                <w:b/>
                <w:i/>
                <w:sz w:val="22"/>
                <w:szCs w:val="22"/>
              </w:rPr>
            </w:pPr>
            <w:r>
              <w:rPr>
                <w:b/>
                <w:bCs/>
                <w:i/>
                <w:sz w:val="22"/>
                <w:szCs w:val="22"/>
              </w:rPr>
              <w:t>EI/REI 45*</w:t>
            </w:r>
          </w:p>
        </w:tc>
        <w:tc>
          <w:tcPr>
            <w:tcW w:w="3155" w:type="dxa"/>
            <w:vMerge w:val="restart"/>
          </w:tcPr>
          <w:p w14:paraId="53182D3B" w14:textId="77777777" w:rsidR="001C08A5" w:rsidRDefault="00000000">
            <w:pPr>
              <w:jc w:val="both"/>
              <w:rPr>
                <w:bCs/>
                <w:i/>
                <w:iCs/>
                <w:sz w:val="22"/>
                <w:szCs w:val="22"/>
              </w:rPr>
            </w:pPr>
            <w:r>
              <w:rPr>
                <w:bCs/>
                <w:i/>
                <w:iCs/>
                <w:sz w:val="22"/>
                <w:szCs w:val="22"/>
              </w:rPr>
              <w:t>* - Sau peretele despărțitor rezistent la foc de la bucătării va fi prevăzut la camera de zi, in conditiile in care bucataria este dispusă liber în camera de zi.</w:t>
            </w:r>
          </w:p>
          <w:p w14:paraId="618C1AAE" w14:textId="77777777" w:rsidR="001C08A5" w:rsidRDefault="001C08A5">
            <w:pPr>
              <w:jc w:val="both"/>
              <w:rPr>
                <w:i/>
                <w:sz w:val="22"/>
                <w:szCs w:val="22"/>
              </w:rPr>
            </w:pPr>
          </w:p>
          <w:p w14:paraId="56E874C7" w14:textId="77777777" w:rsidR="001C08A5" w:rsidRDefault="001C08A5">
            <w:pPr>
              <w:rPr>
                <w:i/>
                <w:sz w:val="22"/>
                <w:szCs w:val="22"/>
              </w:rPr>
            </w:pPr>
          </w:p>
          <w:p w14:paraId="2ED4E1E4" w14:textId="77777777" w:rsidR="001C08A5" w:rsidRDefault="00000000">
            <w:pPr>
              <w:jc w:val="center"/>
              <w:rPr>
                <w:i/>
                <w:sz w:val="22"/>
                <w:szCs w:val="22"/>
              </w:rPr>
            </w:pPr>
            <w:r>
              <w:rPr>
                <w:b/>
                <w:bCs/>
                <w:i/>
                <w:sz w:val="22"/>
                <w:szCs w:val="22"/>
              </w:rPr>
              <w:t>-</w:t>
            </w:r>
          </w:p>
        </w:tc>
      </w:tr>
      <w:tr w:rsidR="001C08A5" w14:paraId="795117E4" w14:textId="77777777">
        <w:tc>
          <w:tcPr>
            <w:tcW w:w="798" w:type="dxa"/>
            <w:vMerge/>
            <w:vAlign w:val="center"/>
          </w:tcPr>
          <w:p w14:paraId="432319A8" w14:textId="77777777" w:rsidR="001C08A5" w:rsidRDefault="001C08A5">
            <w:pPr>
              <w:pStyle w:val="BodyText"/>
              <w:jc w:val="center"/>
              <w:rPr>
                <w:bCs w:val="0"/>
                <w:sz w:val="22"/>
                <w:szCs w:val="22"/>
              </w:rPr>
            </w:pPr>
          </w:p>
        </w:tc>
        <w:tc>
          <w:tcPr>
            <w:tcW w:w="3041" w:type="dxa"/>
            <w:vMerge/>
          </w:tcPr>
          <w:p w14:paraId="349C1C52" w14:textId="77777777" w:rsidR="001C08A5" w:rsidRDefault="001C08A5">
            <w:pPr>
              <w:jc w:val="both"/>
              <w:rPr>
                <w:i/>
                <w:sz w:val="22"/>
                <w:szCs w:val="22"/>
              </w:rPr>
            </w:pPr>
          </w:p>
        </w:tc>
        <w:tc>
          <w:tcPr>
            <w:tcW w:w="987" w:type="dxa"/>
          </w:tcPr>
          <w:p w14:paraId="63F74AE8" w14:textId="77777777" w:rsidR="001C08A5" w:rsidRDefault="00000000">
            <w:pPr>
              <w:jc w:val="center"/>
              <w:rPr>
                <w:b/>
                <w:i/>
                <w:sz w:val="22"/>
                <w:szCs w:val="22"/>
              </w:rPr>
            </w:pPr>
            <w:r>
              <w:rPr>
                <w:b/>
                <w:i/>
                <w:sz w:val="22"/>
                <w:szCs w:val="22"/>
              </w:rPr>
              <w:t>II</w:t>
            </w:r>
          </w:p>
        </w:tc>
        <w:tc>
          <w:tcPr>
            <w:tcW w:w="1625" w:type="dxa"/>
          </w:tcPr>
          <w:p w14:paraId="21018D4F" w14:textId="77777777" w:rsidR="001C08A5" w:rsidRDefault="001C08A5">
            <w:pPr>
              <w:jc w:val="center"/>
              <w:rPr>
                <w:b/>
                <w:bCs/>
                <w:i/>
                <w:sz w:val="22"/>
                <w:szCs w:val="22"/>
              </w:rPr>
            </w:pPr>
          </w:p>
          <w:p w14:paraId="5396E02C" w14:textId="77777777" w:rsidR="001C08A5" w:rsidRDefault="00000000">
            <w:pPr>
              <w:pStyle w:val="BodyText"/>
              <w:jc w:val="center"/>
              <w:rPr>
                <w:sz w:val="22"/>
                <w:szCs w:val="22"/>
              </w:rPr>
            </w:pPr>
            <w:r>
              <w:rPr>
                <w:bCs w:val="0"/>
                <w:sz w:val="22"/>
                <w:szCs w:val="22"/>
              </w:rPr>
              <w:t>EI/REI 30*</w:t>
            </w:r>
          </w:p>
        </w:tc>
        <w:tc>
          <w:tcPr>
            <w:tcW w:w="3155" w:type="dxa"/>
            <w:vMerge/>
          </w:tcPr>
          <w:p w14:paraId="5E22D4F8" w14:textId="77777777" w:rsidR="001C08A5" w:rsidRDefault="001C08A5">
            <w:pPr>
              <w:jc w:val="center"/>
              <w:rPr>
                <w:i/>
                <w:sz w:val="22"/>
                <w:szCs w:val="22"/>
              </w:rPr>
            </w:pPr>
          </w:p>
        </w:tc>
      </w:tr>
      <w:tr w:rsidR="001C08A5" w14:paraId="5D4196B9" w14:textId="77777777">
        <w:tc>
          <w:tcPr>
            <w:tcW w:w="798" w:type="dxa"/>
            <w:vMerge/>
            <w:vAlign w:val="center"/>
          </w:tcPr>
          <w:p w14:paraId="370E71F3" w14:textId="77777777" w:rsidR="001C08A5" w:rsidRDefault="001C08A5">
            <w:pPr>
              <w:pStyle w:val="BodyText"/>
              <w:jc w:val="center"/>
              <w:rPr>
                <w:bCs w:val="0"/>
                <w:sz w:val="22"/>
                <w:szCs w:val="22"/>
              </w:rPr>
            </w:pPr>
          </w:p>
        </w:tc>
        <w:tc>
          <w:tcPr>
            <w:tcW w:w="3041" w:type="dxa"/>
            <w:vMerge/>
          </w:tcPr>
          <w:p w14:paraId="40365550" w14:textId="77777777" w:rsidR="001C08A5" w:rsidRDefault="001C08A5">
            <w:pPr>
              <w:jc w:val="both"/>
              <w:rPr>
                <w:i/>
                <w:sz w:val="22"/>
                <w:szCs w:val="22"/>
              </w:rPr>
            </w:pPr>
          </w:p>
        </w:tc>
        <w:tc>
          <w:tcPr>
            <w:tcW w:w="987" w:type="dxa"/>
          </w:tcPr>
          <w:p w14:paraId="7F73B653" w14:textId="77777777" w:rsidR="001C08A5" w:rsidRDefault="00000000">
            <w:pPr>
              <w:jc w:val="center"/>
              <w:rPr>
                <w:b/>
                <w:i/>
                <w:sz w:val="22"/>
                <w:szCs w:val="22"/>
              </w:rPr>
            </w:pPr>
            <w:r>
              <w:rPr>
                <w:b/>
                <w:i/>
                <w:sz w:val="22"/>
                <w:szCs w:val="22"/>
              </w:rPr>
              <w:t>III</w:t>
            </w:r>
          </w:p>
        </w:tc>
        <w:tc>
          <w:tcPr>
            <w:tcW w:w="1625" w:type="dxa"/>
          </w:tcPr>
          <w:p w14:paraId="15268D4F" w14:textId="77777777" w:rsidR="001C08A5" w:rsidRDefault="00000000">
            <w:pPr>
              <w:pStyle w:val="BodyText"/>
              <w:jc w:val="center"/>
              <w:rPr>
                <w:sz w:val="22"/>
                <w:szCs w:val="22"/>
              </w:rPr>
            </w:pPr>
            <w:r>
              <w:rPr>
                <w:bCs w:val="0"/>
                <w:sz w:val="22"/>
                <w:szCs w:val="22"/>
              </w:rPr>
              <w:t xml:space="preserve"> EI/REI 15*</w:t>
            </w:r>
          </w:p>
        </w:tc>
        <w:tc>
          <w:tcPr>
            <w:tcW w:w="3155" w:type="dxa"/>
            <w:vMerge/>
          </w:tcPr>
          <w:p w14:paraId="0307CC9F" w14:textId="77777777" w:rsidR="001C08A5" w:rsidRDefault="001C08A5">
            <w:pPr>
              <w:jc w:val="center"/>
              <w:rPr>
                <w:b/>
                <w:bCs/>
                <w:i/>
                <w:sz w:val="22"/>
                <w:szCs w:val="22"/>
              </w:rPr>
            </w:pPr>
          </w:p>
        </w:tc>
      </w:tr>
      <w:tr w:rsidR="001C08A5" w14:paraId="2EE775B1" w14:textId="77777777">
        <w:tc>
          <w:tcPr>
            <w:tcW w:w="798" w:type="dxa"/>
            <w:vMerge/>
            <w:vAlign w:val="center"/>
          </w:tcPr>
          <w:p w14:paraId="3840226F" w14:textId="77777777" w:rsidR="001C08A5" w:rsidRDefault="001C08A5">
            <w:pPr>
              <w:pStyle w:val="BodyText"/>
              <w:jc w:val="center"/>
              <w:rPr>
                <w:bCs w:val="0"/>
                <w:sz w:val="22"/>
                <w:szCs w:val="22"/>
              </w:rPr>
            </w:pPr>
          </w:p>
        </w:tc>
        <w:tc>
          <w:tcPr>
            <w:tcW w:w="3041" w:type="dxa"/>
            <w:vMerge/>
          </w:tcPr>
          <w:p w14:paraId="0F75C409" w14:textId="77777777" w:rsidR="001C08A5" w:rsidRDefault="001C08A5">
            <w:pPr>
              <w:jc w:val="both"/>
              <w:rPr>
                <w:i/>
                <w:sz w:val="22"/>
                <w:szCs w:val="22"/>
              </w:rPr>
            </w:pPr>
          </w:p>
        </w:tc>
        <w:tc>
          <w:tcPr>
            <w:tcW w:w="987" w:type="dxa"/>
          </w:tcPr>
          <w:p w14:paraId="33EE3A3A" w14:textId="77777777" w:rsidR="001C08A5" w:rsidRDefault="00000000">
            <w:pPr>
              <w:jc w:val="center"/>
              <w:rPr>
                <w:b/>
                <w:i/>
                <w:sz w:val="22"/>
                <w:szCs w:val="22"/>
              </w:rPr>
            </w:pPr>
            <w:r>
              <w:rPr>
                <w:b/>
                <w:i/>
                <w:sz w:val="22"/>
                <w:szCs w:val="22"/>
              </w:rPr>
              <w:t>IV</w:t>
            </w:r>
          </w:p>
        </w:tc>
        <w:tc>
          <w:tcPr>
            <w:tcW w:w="1625" w:type="dxa"/>
          </w:tcPr>
          <w:p w14:paraId="553C9C4F" w14:textId="77777777" w:rsidR="001C08A5" w:rsidRDefault="00000000">
            <w:pPr>
              <w:jc w:val="center"/>
              <w:rPr>
                <w:b/>
                <w:bCs/>
                <w:i/>
                <w:sz w:val="22"/>
                <w:szCs w:val="22"/>
              </w:rPr>
            </w:pPr>
            <w:r>
              <w:rPr>
                <w:b/>
                <w:bCs/>
                <w:i/>
                <w:sz w:val="22"/>
                <w:szCs w:val="22"/>
              </w:rPr>
              <w:t>-</w:t>
            </w:r>
          </w:p>
        </w:tc>
        <w:tc>
          <w:tcPr>
            <w:tcW w:w="3155" w:type="dxa"/>
          </w:tcPr>
          <w:p w14:paraId="1145695B" w14:textId="77777777" w:rsidR="001C08A5" w:rsidRDefault="00000000">
            <w:pPr>
              <w:jc w:val="center"/>
              <w:rPr>
                <w:b/>
                <w:bCs/>
                <w:i/>
                <w:sz w:val="22"/>
                <w:szCs w:val="22"/>
              </w:rPr>
            </w:pPr>
            <w:r>
              <w:rPr>
                <w:b/>
                <w:bCs/>
                <w:i/>
                <w:sz w:val="22"/>
                <w:szCs w:val="22"/>
              </w:rPr>
              <w:t>-</w:t>
            </w:r>
          </w:p>
        </w:tc>
      </w:tr>
      <w:tr w:rsidR="001C08A5" w14:paraId="16BD25DA" w14:textId="77777777">
        <w:tc>
          <w:tcPr>
            <w:tcW w:w="798" w:type="dxa"/>
            <w:vMerge/>
            <w:vAlign w:val="center"/>
          </w:tcPr>
          <w:p w14:paraId="009AD288" w14:textId="77777777" w:rsidR="001C08A5" w:rsidRDefault="001C08A5">
            <w:pPr>
              <w:pStyle w:val="BodyText"/>
              <w:jc w:val="center"/>
              <w:rPr>
                <w:bCs w:val="0"/>
                <w:sz w:val="22"/>
                <w:szCs w:val="22"/>
              </w:rPr>
            </w:pPr>
          </w:p>
        </w:tc>
        <w:tc>
          <w:tcPr>
            <w:tcW w:w="3041" w:type="dxa"/>
            <w:vMerge/>
          </w:tcPr>
          <w:p w14:paraId="4E8B6CF8" w14:textId="77777777" w:rsidR="001C08A5" w:rsidRDefault="001C08A5">
            <w:pPr>
              <w:jc w:val="both"/>
              <w:rPr>
                <w:i/>
                <w:sz w:val="22"/>
                <w:szCs w:val="22"/>
              </w:rPr>
            </w:pPr>
          </w:p>
        </w:tc>
        <w:tc>
          <w:tcPr>
            <w:tcW w:w="987" w:type="dxa"/>
          </w:tcPr>
          <w:p w14:paraId="55E03D76" w14:textId="77777777" w:rsidR="001C08A5" w:rsidRDefault="00000000">
            <w:pPr>
              <w:jc w:val="center"/>
              <w:rPr>
                <w:b/>
                <w:i/>
                <w:sz w:val="22"/>
                <w:szCs w:val="22"/>
              </w:rPr>
            </w:pPr>
            <w:r>
              <w:rPr>
                <w:b/>
                <w:i/>
                <w:sz w:val="22"/>
                <w:szCs w:val="22"/>
              </w:rPr>
              <w:t>V</w:t>
            </w:r>
          </w:p>
        </w:tc>
        <w:tc>
          <w:tcPr>
            <w:tcW w:w="1625" w:type="dxa"/>
          </w:tcPr>
          <w:p w14:paraId="16A2B53B" w14:textId="77777777" w:rsidR="001C08A5" w:rsidRDefault="00000000">
            <w:pPr>
              <w:jc w:val="center"/>
              <w:rPr>
                <w:b/>
                <w:bCs/>
                <w:i/>
                <w:sz w:val="22"/>
                <w:szCs w:val="22"/>
              </w:rPr>
            </w:pPr>
            <w:r>
              <w:rPr>
                <w:b/>
                <w:bCs/>
                <w:i/>
                <w:sz w:val="22"/>
                <w:szCs w:val="22"/>
              </w:rPr>
              <w:t>-</w:t>
            </w:r>
          </w:p>
        </w:tc>
        <w:tc>
          <w:tcPr>
            <w:tcW w:w="3155" w:type="dxa"/>
          </w:tcPr>
          <w:p w14:paraId="7B0F5858" w14:textId="77777777" w:rsidR="001C08A5" w:rsidRDefault="00000000">
            <w:pPr>
              <w:jc w:val="center"/>
              <w:rPr>
                <w:b/>
                <w:bCs/>
                <w:i/>
                <w:sz w:val="22"/>
                <w:szCs w:val="22"/>
              </w:rPr>
            </w:pPr>
            <w:r>
              <w:rPr>
                <w:b/>
                <w:bCs/>
                <w:i/>
                <w:sz w:val="22"/>
                <w:szCs w:val="22"/>
              </w:rPr>
              <w:t>-</w:t>
            </w:r>
          </w:p>
        </w:tc>
      </w:tr>
      <w:tr w:rsidR="001C08A5" w14:paraId="23D4F131" w14:textId="77777777">
        <w:trPr>
          <w:trHeight w:val="1178"/>
        </w:trPr>
        <w:tc>
          <w:tcPr>
            <w:tcW w:w="798" w:type="dxa"/>
            <w:vAlign w:val="center"/>
          </w:tcPr>
          <w:p w14:paraId="7161D5AA" w14:textId="77777777" w:rsidR="001C08A5" w:rsidRDefault="00000000">
            <w:pPr>
              <w:pStyle w:val="BodyText"/>
              <w:jc w:val="center"/>
              <w:rPr>
                <w:bCs w:val="0"/>
                <w:sz w:val="22"/>
                <w:szCs w:val="22"/>
              </w:rPr>
            </w:pPr>
            <w:r>
              <w:rPr>
                <w:bCs w:val="0"/>
                <w:sz w:val="22"/>
                <w:szCs w:val="22"/>
              </w:rPr>
              <w:t>3.</w:t>
            </w:r>
          </w:p>
        </w:tc>
        <w:tc>
          <w:tcPr>
            <w:tcW w:w="3041" w:type="dxa"/>
          </w:tcPr>
          <w:p w14:paraId="514EC0CF" w14:textId="77777777" w:rsidR="001C08A5" w:rsidRDefault="00000000">
            <w:pPr>
              <w:rPr>
                <w:i/>
                <w:sz w:val="22"/>
                <w:szCs w:val="22"/>
              </w:rPr>
            </w:pPr>
            <w:r>
              <w:rPr>
                <w:i/>
                <w:sz w:val="22"/>
                <w:szCs w:val="22"/>
              </w:rPr>
              <w:t xml:space="preserve">Pereţi despărţitori între boxele gospodăreşti sau de depozitare din subsol sau demisol, în cadrul unor grupări de maximum </w:t>
            </w:r>
            <w:r>
              <w:rPr>
                <w:b/>
                <w:bCs/>
                <w:i/>
                <w:sz w:val="22"/>
                <w:szCs w:val="22"/>
              </w:rPr>
              <w:t>”x”</w:t>
            </w:r>
            <w:r>
              <w:rPr>
                <w:i/>
                <w:sz w:val="22"/>
                <w:szCs w:val="22"/>
              </w:rPr>
              <w:t>m².</w:t>
            </w:r>
          </w:p>
        </w:tc>
        <w:tc>
          <w:tcPr>
            <w:tcW w:w="987" w:type="dxa"/>
          </w:tcPr>
          <w:p w14:paraId="5547AE53" w14:textId="77777777" w:rsidR="001C08A5" w:rsidRDefault="00000000">
            <w:pPr>
              <w:jc w:val="center"/>
              <w:rPr>
                <w:b/>
                <w:i/>
                <w:sz w:val="22"/>
                <w:szCs w:val="22"/>
              </w:rPr>
            </w:pPr>
            <w:r>
              <w:rPr>
                <w:b/>
                <w:i/>
                <w:sz w:val="22"/>
                <w:szCs w:val="22"/>
              </w:rPr>
              <w:t>I</w:t>
            </w:r>
          </w:p>
          <w:p w14:paraId="39F779EC" w14:textId="77777777" w:rsidR="001C08A5" w:rsidRDefault="00000000">
            <w:pPr>
              <w:jc w:val="center"/>
              <w:rPr>
                <w:b/>
                <w:i/>
                <w:sz w:val="22"/>
                <w:szCs w:val="22"/>
              </w:rPr>
            </w:pPr>
            <w:r>
              <w:rPr>
                <w:b/>
                <w:i/>
                <w:sz w:val="22"/>
                <w:szCs w:val="22"/>
              </w:rPr>
              <w:t>II</w:t>
            </w:r>
          </w:p>
          <w:p w14:paraId="660D2F6B" w14:textId="77777777" w:rsidR="001C08A5" w:rsidRDefault="00000000">
            <w:pPr>
              <w:jc w:val="center"/>
              <w:rPr>
                <w:b/>
                <w:i/>
                <w:sz w:val="22"/>
                <w:szCs w:val="22"/>
              </w:rPr>
            </w:pPr>
            <w:r>
              <w:rPr>
                <w:b/>
                <w:i/>
                <w:sz w:val="22"/>
                <w:szCs w:val="22"/>
              </w:rPr>
              <w:t>III</w:t>
            </w:r>
          </w:p>
          <w:p w14:paraId="22E11029" w14:textId="77777777" w:rsidR="001C08A5" w:rsidRDefault="00000000">
            <w:pPr>
              <w:jc w:val="center"/>
              <w:rPr>
                <w:b/>
                <w:i/>
                <w:sz w:val="22"/>
                <w:szCs w:val="22"/>
              </w:rPr>
            </w:pPr>
            <w:r>
              <w:rPr>
                <w:b/>
                <w:i/>
                <w:sz w:val="22"/>
                <w:szCs w:val="22"/>
              </w:rPr>
              <w:t>IV</w:t>
            </w:r>
          </w:p>
          <w:p w14:paraId="2F35CB23" w14:textId="77777777" w:rsidR="001C08A5" w:rsidRDefault="00000000">
            <w:pPr>
              <w:jc w:val="center"/>
              <w:rPr>
                <w:i/>
                <w:sz w:val="22"/>
                <w:szCs w:val="22"/>
              </w:rPr>
            </w:pPr>
            <w:r>
              <w:rPr>
                <w:b/>
                <w:i/>
                <w:sz w:val="22"/>
                <w:szCs w:val="22"/>
              </w:rPr>
              <w:t>V</w:t>
            </w:r>
          </w:p>
        </w:tc>
        <w:tc>
          <w:tcPr>
            <w:tcW w:w="1625" w:type="dxa"/>
          </w:tcPr>
          <w:p w14:paraId="3DBEDA2D" w14:textId="77777777" w:rsidR="001C08A5" w:rsidRDefault="001C08A5">
            <w:pPr>
              <w:jc w:val="center"/>
              <w:rPr>
                <w:b/>
                <w:i/>
                <w:sz w:val="22"/>
                <w:szCs w:val="22"/>
              </w:rPr>
            </w:pPr>
          </w:p>
          <w:p w14:paraId="5DC4CFBB" w14:textId="77777777" w:rsidR="001C08A5" w:rsidRDefault="001C08A5">
            <w:pPr>
              <w:jc w:val="center"/>
              <w:rPr>
                <w:b/>
                <w:i/>
                <w:sz w:val="22"/>
                <w:szCs w:val="22"/>
              </w:rPr>
            </w:pPr>
          </w:p>
          <w:p w14:paraId="62621B8A" w14:textId="77777777" w:rsidR="001C08A5" w:rsidRDefault="00000000">
            <w:pPr>
              <w:jc w:val="center"/>
              <w:rPr>
                <w:i/>
                <w:sz w:val="22"/>
                <w:szCs w:val="22"/>
              </w:rPr>
            </w:pPr>
            <w:r>
              <w:rPr>
                <w:b/>
                <w:i/>
                <w:sz w:val="22"/>
                <w:szCs w:val="22"/>
              </w:rPr>
              <w:t>A1</w:t>
            </w:r>
            <w:r>
              <w:rPr>
                <w:bCs/>
                <w:i/>
                <w:sz w:val="22"/>
                <w:szCs w:val="22"/>
              </w:rPr>
              <w:t xml:space="preserve"> sau</w:t>
            </w:r>
            <w:r>
              <w:rPr>
                <w:b/>
                <w:i/>
                <w:sz w:val="22"/>
                <w:szCs w:val="22"/>
              </w:rPr>
              <w:t xml:space="preserve"> A2-s1d0</w:t>
            </w:r>
          </w:p>
        </w:tc>
        <w:tc>
          <w:tcPr>
            <w:tcW w:w="3155" w:type="dxa"/>
          </w:tcPr>
          <w:p w14:paraId="68C75878" w14:textId="77777777" w:rsidR="001C08A5" w:rsidRDefault="001C08A5">
            <w:pPr>
              <w:jc w:val="both"/>
              <w:rPr>
                <w:i/>
                <w:sz w:val="22"/>
                <w:szCs w:val="22"/>
              </w:rPr>
            </w:pPr>
          </w:p>
          <w:p w14:paraId="4299DD8B" w14:textId="77777777" w:rsidR="001C08A5" w:rsidRDefault="00000000">
            <w:pPr>
              <w:rPr>
                <w:i/>
                <w:sz w:val="22"/>
                <w:szCs w:val="22"/>
              </w:rPr>
            </w:pPr>
            <w:r>
              <w:rPr>
                <w:i/>
                <w:sz w:val="22"/>
                <w:szCs w:val="22"/>
              </w:rPr>
              <w:t>Fără condiţii de rezistenţă la foc, inclusiv la uşi.</w:t>
            </w:r>
          </w:p>
        </w:tc>
      </w:tr>
      <w:tr w:rsidR="001C08A5" w14:paraId="05CE09E2" w14:textId="77777777">
        <w:tc>
          <w:tcPr>
            <w:tcW w:w="798" w:type="dxa"/>
            <w:vAlign w:val="center"/>
          </w:tcPr>
          <w:p w14:paraId="3B35BA85" w14:textId="77777777" w:rsidR="001C08A5" w:rsidRDefault="00000000">
            <w:pPr>
              <w:pStyle w:val="BodyText"/>
              <w:jc w:val="center"/>
              <w:rPr>
                <w:bCs w:val="0"/>
                <w:sz w:val="22"/>
                <w:szCs w:val="22"/>
              </w:rPr>
            </w:pPr>
            <w:r>
              <w:rPr>
                <w:bCs w:val="0"/>
                <w:sz w:val="22"/>
                <w:szCs w:val="22"/>
              </w:rPr>
              <w:t>4.</w:t>
            </w:r>
          </w:p>
        </w:tc>
        <w:tc>
          <w:tcPr>
            <w:tcW w:w="3041" w:type="dxa"/>
          </w:tcPr>
          <w:p w14:paraId="1741525E" w14:textId="77777777" w:rsidR="001C08A5" w:rsidRDefault="00000000">
            <w:pPr>
              <w:rPr>
                <w:i/>
                <w:sz w:val="22"/>
                <w:szCs w:val="22"/>
              </w:rPr>
            </w:pPr>
            <w:r>
              <w:rPr>
                <w:i/>
                <w:sz w:val="22"/>
                <w:szCs w:val="22"/>
              </w:rPr>
              <w:t xml:space="preserve">Pereţi despărţitori între grupările de boxe gospodăreşti menţionate la </w:t>
            </w:r>
            <w:r>
              <w:rPr>
                <w:b/>
                <w:i/>
                <w:sz w:val="22"/>
                <w:szCs w:val="22"/>
              </w:rPr>
              <w:t>pct.3</w:t>
            </w:r>
            <w:r>
              <w:rPr>
                <w:i/>
                <w:sz w:val="22"/>
                <w:szCs w:val="22"/>
              </w:rPr>
              <w:t xml:space="preserve"> (cu aria de maximum </w:t>
            </w:r>
            <w:r>
              <w:rPr>
                <w:b/>
                <w:bCs/>
                <w:i/>
                <w:sz w:val="22"/>
                <w:szCs w:val="22"/>
              </w:rPr>
              <w:t>”x”</w:t>
            </w:r>
            <w:r>
              <w:rPr>
                <w:i/>
                <w:sz w:val="22"/>
                <w:szCs w:val="22"/>
              </w:rPr>
              <w:t>m²) precum și între acestea și spaţiile tehnice ale clădirii (cu exceptia acelora care nu sunt explicitate în mod expres în normativ, reglementari speifice și anexe).</w:t>
            </w:r>
          </w:p>
        </w:tc>
        <w:tc>
          <w:tcPr>
            <w:tcW w:w="987" w:type="dxa"/>
          </w:tcPr>
          <w:p w14:paraId="40018FA7" w14:textId="77777777" w:rsidR="001C08A5" w:rsidRDefault="001C08A5">
            <w:pPr>
              <w:jc w:val="center"/>
              <w:rPr>
                <w:b/>
                <w:i/>
                <w:sz w:val="22"/>
                <w:szCs w:val="22"/>
              </w:rPr>
            </w:pPr>
          </w:p>
          <w:p w14:paraId="16F0D9A7" w14:textId="77777777" w:rsidR="001C08A5" w:rsidRDefault="00000000">
            <w:pPr>
              <w:jc w:val="center"/>
              <w:rPr>
                <w:b/>
                <w:i/>
                <w:sz w:val="22"/>
                <w:szCs w:val="22"/>
              </w:rPr>
            </w:pPr>
            <w:r>
              <w:rPr>
                <w:b/>
                <w:i/>
                <w:sz w:val="22"/>
                <w:szCs w:val="22"/>
              </w:rPr>
              <w:t>I</w:t>
            </w:r>
          </w:p>
          <w:p w14:paraId="30DAA94C" w14:textId="77777777" w:rsidR="001C08A5" w:rsidRDefault="00000000">
            <w:pPr>
              <w:jc w:val="center"/>
              <w:rPr>
                <w:b/>
                <w:i/>
                <w:sz w:val="22"/>
                <w:szCs w:val="22"/>
              </w:rPr>
            </w:pPr>
            <w:r>
              <w:rPr>
                <w:b/>
                <w:i/>
                <w:sz w:val="22"/>
                <w:szCs w:val="22"/>
              </w:rPr>
              <w:t>II</w:t>
            </w:r>
          </w:p>
          <w:p w14:paraId="4F9D82FA" w14:textId="77777777" w:rsidR="001C08A5" w:rsidRDefault="00000000">
            <w:pPr>
              <w:jc w:val="center"/>
              <w:rPr>
                <w:b/>
                <w:i/>
                <w:sz w:val="22"/>
                <w:szCs w:val="22"/>
              </w:rPr>
            </w:pPr>
            <w:r>
              <w:rPr>
                <w:b/>
                <w:i/>
                <w:sz w:val="22"/>
                <w:szCs w:val="22"/>
              </w:rPr>
              <w:t>III</w:t>
            </w:r>
          </w:p>
          <w:p w14:paraId="68B69DC4" w14:textId="77777777" w:rsidR="001C08A5" w:rsidRDefault="00000000">
            <w:pPr>
              <w:jc w:val="center"/>
              <w:rPr>
                <w:b/>
                <w:i/>
                <w:sz w:val="22"/>
                <w:szCs w:val="22"/>
              </w:rPr>
            </w:pPr>
            <w:r>
              <w:rPr>
                <w:b/>
                <w:i/>
                <w:sz w:val="22"/>
                <w:szCs w:val="22"/>
              </w:rPr>
              <w:t>IV</w:t>
            </w:r>
          </w:p>
          <w:p w14:paraId="40CF4617" w14:textId="77777777" w:rsidR="001C08A5" w:rsidRDefault="00000000">
            <w:pPr>
              <w:jc w:val="center"/>
              <w:rPr>
                <w:i/>
                <w:sz w:val="22"/>
                <w:szCs w:val="22"/>
              </w:rPr>
            </w:pPr>
            <w:r>
              <w:rPr>
                <w:b/>
                <w:i/>
                <w:sz w:val="22"/>
                <w:szCs w:val="22"/>
              </w:rPr>
              <w:t>V</w:t>
            </w:r>
          </w:p>
        </w:tc>
        <w:tc>
          <w:tcPr>
            <w:tcW w:w="1625" w:type="dxa"/>
          </w:tcPr>
          <w:p w14:paraId="6AC0AAAF" w14:textId="77777777" w:rsidR="001C08A5" w:rsidRDefault="001C08A5">
            <w:pPr>
              <w:snapToGrid w:val="0"/>
              <w:jc w:val="center"/>
              <w:rPr>
                <w:i/>
                <w:sz w:val="22"/>
                <w:szCs w:val="22"/>
              </w:rPr>
            </w:pPr>
          </w:p>
          <w:p w14:paraId="7C60DC9A" w14:textId="77777777" w:rsidR="001C08A5" w:rsidRDefault="00000000">
            <w:pPr>
              <w:jc w:val="center"/>
              <w:rPr>
                <w:i/>
                <w:sz w:val="22"/>
                <w:szCs w:val="22"/>
              </w:rPr>
            </w:pPr>
            <w:r>
              <w:rPr>
                <w:b/>
                <w:i/>
                <w:sz w:val="22"/>
                <w:szCs w:val="22"/>
              </w:rPr>
              <w:t xml:space="preserve"> EI/REI 60</w:t>
            </w:r>
          </w:p>
        </w:tc>
        <w:tc>
          <w:tcPr>
            <w:tcW w:w="3155" w:type="dxa"/>
          </w:tcPr>
          <w:p w14:paraId="2AFC08C4" w14:textId="77777777" w:rsidR="001C08A5" w:rsidRDefault="001C08A5">
            <w:pPr>
              <w:jc w:val="both"/>
              <w:rPr>
                <w:i/>
                <w:sz w:val="22"/>
                <w:szCs w:val="22"/>
              </w:rPr>
            </w:pPr>
          </w:p>
          <w:p w14:paraId="21E914C2" w14:textId="77777777" w:rsidR="001C08A5" w:rsidRDefault="00000000">
            <w:pPr>
              <w:jc w:val="both"/>
              <w:rPr>
                <w:i/>
                <w:sz w:val="22"/>
                <w:szCs w:val="22"/>
              </w:rPr>
            </w:pPr>
            <w:r>
              <w:rPr>
                <w:i/>
                <w:sz w:val="22"/>
                <w:szCs w:val="22"/>
              </w:rPr>
              <w:t xml:space="preserve">Uşile spre coridoare comune ale clădirii vor fi rezistente la foc minimum </w:t>
            </w:r>
            <w:r>
              <w:rPr>
                <w:b/>
                <w:bCs/>
                <w:i/>
                <w:sz w:val="22"/>
                <w:szCs w:val="22"/>
              </w:rPr>
              <w:t>EI</w:t>
            </w:r>
            <w:r>
              <w:rPr>
                <w:b/>
                <w:bCs/>
                <w:i/>
                <w:sz w:val="22"/>
                <w:szCs w:val="22"/>
                <w:vertAlign w:val="subscript"/>
              </w:rPr>
              <w:t>2</w:t>
            </w:r>
            <w:r>
              <w:rPr>
                <w:b/>
                <w:i/>
                <w:sz w:val="22"/>
                <w:szCs w:val="22"/>
              </w:rPr>
              <w:t xml:space="preserve"> 30-C2 Sa</w:t>
            </w:r>
          </w:p>
        </w:tc>
      </w:tr>
    </w:tbl>
    <w:p w14:paraId="4C5DC771" w14:textId="77777777" w:rsidR="001C08A5" w:rsidRDefault="00000000">
      <w:pPr>
        <w:jc w:val="both"/>
        <w:rPr>
          <w:bCs/>
          <w:i/>
          <w:sz w:val="22"/>
          <w:szCs w:val="22"/>
        </w:rPr>
      </w:pPr>
      <w:r>
        <w:rPr>
          <w:i/>
          <w:sz w:val="22"/>
          <w:szCs w:val="22"/>
        </w:rPr>
        <w:t>Note:</w:t>
      </w:r>
      <w:r>
        <w:rPr>
          <w:b/>
          <w:bCs/>
          <w:i/>
          <w:sz w:val="22"/>
          <w:szCs w:val="22"/>
        </w:rPr>
        <w:tab/>
        <w:t>”</w:t>
      </w:r>
      <w:r>
        <w:rPr>
          <w:b/>
          <w:bCs/>
          <w:sz w:val="22"/>
          <w:szCs w:val="22"/>
        </w:rPr>
        <w:t>-”</w:t>
      </w:r>
      <w:r>
        <w:rPr>
          <w:b/>
          <w:i/>
          <w:sz w:val="22"/>
          <w:szCs w:val="22"/>
        </w:rPr>
        <w:t>=</w:t>
      </w:r>
      <w:r>
        <w:rPr>
          <w:bCs/>
          <w:i/>
          <w:sz w:val="22"/>
          <w:szCs w:val="22"/>
        </w:rPr>
        <w:t xml:space="preserve"> fără performanţe determinate la foc </w:t>
      </w:r>
    </w:p>
    <w:p w14:paraId="44B91790" w14:textId="77777777" w:rsidR="001C08A5" w:rsidRDefault="00000000">
      <w:pPr>
        <w:widowControl w:val="0"/>
        <w:ind w:firstLine="720"/>
        <w:jc w:val="both"/>
        <w:rPr>
          <w:i/>
          <w:sz w:val="22"/>
          <w:szCs w:val="22"/>
        </w:rPr>
      </w:pPr>
      <w:r>
        <w:rPr>
          <w:b/>
          <w:bCs/>
          <w:i/>
          <w:sz w:val="22"/>
          <w:szCs w:val="22"/>
        </w:rPr>
        <w:t xml:space="preserve">”x” </w:t>
      </w:r>
      <w:r>
        <w:rPr>
          <w:b/>
          <w:i/>
          <w:sz w:val="22"/>
          <w:szCs w:val="22"/>
        </w:rPr>
        <w:t>=</w:t>
      </w:r>
      <w:r>
        <w:rPr>
          <w:i/>
          <w:sz w:val="22"/>
          <w:szCs w:val="22"/>
        </w:rPr>
        <w:t>Grupările de boxe gospodăreşti sau de depozitare din subsol sau demisol se admit în limita următoarelor arii construite:</w:t>
      </w:r>
    </w:p>
    <w:p w14:paraId="0BC9BD2B" w14:textId="77777777" w:rsidR="001C08A5" w:rsidRDefault="00000000">
      <w:pPr>
        <w:ind w:left="1440" w:firstLine="720"/>
        <w:jc w:val="both"/>
        <w:rPr>
          <w:i/>
          <w:sz w:val="22"/>
          <w:szCs w:val="22"/>
          <w:lang w:eastAsia="zh-CN"/>
        </w:rPr>
      </w:pPr>
      <w:r>
        <w:rPr>
          <w:i/>
          <w:sz w:val="22"/>
          <w:szCs w:val="22"/>
          <w:lang w:eastAsia="zh-CN"/>
        </w:rPr>
        <w:t xml:space="preserve">- maximum </w:t>
      </w:r>
      <w:r>
        <w:rPr>
          <w:b/>
          <w:bCs/>
          <w:i/>
          <w:sz w:val="22"/>
          <w:szCs w:val="22"/>
          <w:lang w:eastAsia="zh-CN"/>
        </w:rPr>
        <w:t>600 mp</w:t>
      </w:r>
      <w:r>
        <w:rPr>
          <w:i/>
          <w:sz w:val="22"/>
          <w:szCs w:val="22"/>
          <w:lang w:eastAsia="zh-CN"/>
        </w:rPr>
        <w:t xml:space="preserve">, cu condiția ca aria construită a încăperilor  </w:t>
      </w:r>
      <w:r>
        <w:rPr>
          <w:rFonts w:eastAsia="Times-Roman"/>
          <w:i/>
          <w:iCs/>
          <w:sz w:val="22"/>
          <w:szCs w:val="22"/>
        </w:rPr>
        <w:t>g</w:t>
      </w:r>
      <w:r>
        <w:rPr>
          <w:rFonts w:eastAsia="Times-Roman"/>
          <w:i/>
          <w:sz w:val="22"/>
          <w:szCs w:val="22"/>
        </w:rPr>
        <w:t xml:space="preserve">rupărilor de boxe gospodăreşti </w:t>
      </w:r>
      <w:r>
        <w:rPr>
          <w:i/>
          <w:sz w:val="22"/>
          <w:szCs w:val="22"/>
          <w:lang w:eastAsia="zh-CN"/>
        </w:rPr>
        <w:t xml:space="preserve">de tip open space sa fie de maximum </w:t>
      </w:r>
      <w:r>
        <w:rPr>
          <w:b/>
          <w:bCs/>
          <w:i/>
          <w:sz w:val="22"/>
          <w:szCs w:val="22"/>
          <w:lang w:eastAsia="zh-CN"/>
        </w:rPr>
        <w:t>75%</w:t>
      </w:r>
      <w:r>
        <w:rPr>
          <w:i/>
          <w:sz w:val="22"/>
          <w:szCs w:val="22"/>
          <w:lang w:eastAsia="zh-CN"/>
        </w:rPr>
        <w:t xml:space="preserve"> din cea a ariei construite a nivelului respectiv pentru construcții încadrate în nivelul </w:t>
      </w:r>
      <w:r>
        <w:rPr>
          <w:b/>
          <w:bCs/>
          <w:i/>
          <w:sz w:val="22"/>
          <w:szCs w:val="22"/>
          <w:lang w:eastAsia="zh-CN"/>
        </w:rPr>
        <w:t>I</w:t>
      </w:r>
      <w:r>
        <w:rPr>
          <w:i/>
          <w:sz w:val="22"/>
          <w:szCs w:val="22"/>
          <w:lang w:eastAsia="zh-CN"/>
        </w:rPr>
        <w:t xml:space="preserve"> de securitate la incendiu;</w:t>
      </w:r>
    </w:p>
    <w:p w14:paraId="556AC388" w14:textId="77777777" w:rsidR="001C08A5" w:rsidRDefault="00000000">
      <w:pPr>
        <w:ind w:left="1440" w:firstLine="720"/>
        <w:jc w:val="both"/>
        <w:rPr>
          <w:i/>
          <w:sz w:val="22"/>
          <w:szCs w:val="22"/>
          <w:lang w:eastAsia="zh-CN"/>
        </w:rPr>
      </w:pPr>
      <w:r>
        <w:rPr>
          <w:i/>
          <w:sz w:val="22"/>
          <w:szCs w:val="22"/>
          <w:lang w:eastAsia="zh-CN"/>
        </w:rPr>
        <w:t xml:space="preserve">- maximum </w:t>
      </w:r>
      <w:r>
        <w:rPr>
          <w:b/>
          <w:bCs/>
          <w:i/>
          <w:sz w:val="22"/>
          <w:szCs w:val="22"/>
          <w:lang w:eastAsia="zh-CN"/>
        </w:rPr>
        <w:t>400 mp</w:t>
      </w:r>
      <w:r>
        <w:rPr>
          <w:i/>
          <w:sz w:val="22"/>
          <w:szCs w:val="22"/>
          <w:lang w:eastAsia="zh-CN"/>
        </w:rPr>
        <w:t xml:space="preserve">, cu condiția ca aria construită a </w:t>
      </w:r>
      <w:r>
        <w:rPr>
          <w:rFonts w:eastAsia="Times-Roman"/>
          <w:i/>
          <w:iCs/>
          <w:sz w:val="22"/>
          <w:szCs w:val="22"/>
        </w:rPr>
        <w:t>g</w:t>
      </w:r>
      <w:r>
        <w:rPr>
          <w:rFonts w:eastAsia="Times-Roman"/>
          <w:i/>
          <w:sz w:val="22"/>
          <w:szCs w:val="22"/>
        </w:rPr>
        <w:t xml:space="preserve">rupărilor de boxe gospodăreşti </w:t>
      </w:r>
      <w:r>
        <w:rPr>
          <w:i/>
          <w:sz w:val="22"/>
          <w:szCs w:val="22"/>
          <w:lang w:eastAsia="zh-CN"/>
        </w:rPr>
        <w:t xml:space="preserve">de tip open space sa fie de maximum </w:t>
      </w:r>
      <w:r>
        <w:rPr>
          <w:b/>
          <w:bCs/>
          <w:i/>
          <w:sz w:val="22"/>
          <w:szCs w:val="22"/>
          <w:lang w:eastAsia="zh-CN"/>
        </w:rPr>
        <w:t>75%</w:t>
      </w:r>
      <w:r>
        <w:rPr>
          <w:i/>
          <w:sz w:val="22"/>
          <w:szCs w:val="22"/>
          <w:lang w:eastAsia="zh-CN"/>
        </w:rPr>
        <w:t xml:space="preserve"> din cea a ariei construite a nivelului respectiv pentru construcții încadrate în nivelul </w:t>
      </w:r>
      <w:r>
        <w:rPr>
          <w:b/>
          <w:bCs/>
          <w:i/>
          <w:sz w:val="22"/>
          <w:szCs w:val="22"/>
          <w:lang w:eastAsia="zh-CN"/>
        </w:rPr>
        <w:t>II</w:t>
      </w:r>
      <w:r>
        <w:rPr>
          <w:i/>
          <w:sz w:val="22"/>
          <w:szCs w:val="22"/>
          <w:lang w:eastAsia="zh-CN"/>
        </w:rPr>
        <w:t xml:space="preserve"> de securitate la incendiu;</w:t>
      </w:r>
    </w:p>
    <w:p w14:paraId="7BDC18FC" w14:textId="77777777" w:rsidR="001C08A5" w:rsidRDefault="00000000">
      <w:pPr>
        <w:ind w:left="1440" w:firstLine="720"/>
        <w:jc w:val="both"/>
        <w:rPr>
          <w:i/>
          <w:sz w:val="22"/>
          <w:szCs w:val="22"/>
          <w:lang w:eastAsia="zh-CN"/>
        </w:rPr>
      </w:pPr>
      <w:r>
        <w:rPr>
          <w:i/>
          <w:sz w:val="22"/>
          <w:szCs w:val="22"/>
          <w:lang w:eastAsia="zh-CN"/>
        </w:rPr>
        <w:t xml:space="preserve">- maximum </w:t>
      </w:r>
      <w:r>
        <w:rPr>
          <w:b/>
          <w:bCs/>
          <w:i/>
          <w:sz w:val="22"/>
          <w:szCs w:val="22"/>
          <w:lang w:eastAsia="zh-CN"/>
        </w:rPr>
        <w:t>300 mp</w:t>
      </w:r>
      <w:r>
        <w:rPr>
          <w:i/>
          <w:sz w:val="22"/>
          <w:szCs w:val="22"/>
          <w:lang w:eastAsia="zh-CN"/>
        </w:rPr>
        <w:t xml:space="preserve">, cu condiția ca aria construită a </w:t>
      </w:r>
      <w:r>
        <w:rPr>
          <w:rFonts w:eastAsia="Times-Roman"/>
          <w:i/>
          <w:iCs/>
          <w:sz w:val="22"/>
          <w:szCs w:val="22"/>
        </w:rPr>
        <w:t>g</w:t>
      </w:r>
      <w:r>
        <w:rPr>
          <w:rFonts w:eastAsia="Times-Roman"/>
          <w:i/>
          <w:sz w:val="22"/>
          <w:szCs w:val="22"/>
        </w:rPr>
        <w:t xml:space="preserve">rupărilor de boxe gospodăreşti </w:t>
      </w:r>
      <w:r>
        <w:rPr>
          <w:i/>
          <w:sz w:val="22"/>
          <w:szCs w:val="22"/>
          <w:lang w:eastAsia="zh-CN"/>
        </w:rPr>
        <w:t xml:space="preserve">de tip open space sa fie de maximum </w:t>
      </w:r>
      <w:r>
        <w:rPr>
          <w:b/>
          <w:bCs/>
          <w:i/>
          <w:sz w:val="22"/>
          <w:szCs w:val="22"/>
          <w:lang w:eastAsia="zh-CN"/>
        </w:rPr>
        <w:t>75%</w:t>
      </w:r>
      <w:r>
        <w:rPr>
          <w:i/>
          <w:sz w:val="22"/>
          <w:szCs w:val="22"/>
          <w:lang w:eastAsia="zh-CN"/>
        </w:rPr>
        <w:t xml:space="preserve"> din cea a ariei construite a nivelului respectiv pentru construcții încadrate în nivelul </w:t>
      </w:r>
      <w:r>
        <w:rPr>
          <w:b/>
          <w:bCs/>
          <w:i/>
          <w:sz w:val="22"/>
          <w:szCs w:val="22"/>
          <w:lang w:eastAsia="zh-CN"/>
        </w:rPr>
        <w:t>III</w:t>
      </w:r>
      <w:r>
        <w:rPr>
          <w:i/>
          <w:sz w:val="22"/>
          <w:szCs w:val="22"/>
          <w:lang w:eastAsia="zh-CN"/>
        </w:rPr>
        <w:t xml:space="preserve"> de securitate la incendiu;</w:t>
      </w:r>
    </w:p>
    <w:p w14:paraId="45B780EB" w14:textId="77777777" w:rsidR="001C08A5" w:rsidRDefault="00000000">
      <w:pPr>
        <w:ind w:left="1440" w:firstLine="720"/>
        <w:jc w:val="both"/>
        <w:rPr>
          <w:i/>
          <w:sz w:val="22"/>
          <w:szCs w:val="22"/>
          <w:lang w:eastAsia="zh-CN"/>
        </w:rPr>
      </w:pPr>
      <w:r>
        <w:rPr>
          <w:i/>
          <w:sz w:val="22"/>
          <w:szCs w:val="22"/>
          <w:lang w:eastAsia="zh-CN"/>
        </w:rPr>
        <w:t xml:space="preserve">- maximum </w:t>
      </w:r>
      <w:r>
        <w:rPr>
          <w:b/>
          <w:bCs/>
          <w:i/>
          <w:sz w:val="22"/>
          <w:szCs w:val="22"/>
          <w:lang w:eastAsia="zh-CN"/>
        </w:rPr>
        <w:t>200 mp</w:t>
      </w:r>
      <w:r>
        <w:rPr>
          <w:i/>
          <w:sz w:val="22"/>
          <w:szCs w:val="22"/>
          <w:lang w:eastAsia="zh-CN"/>
        </w:rPr>
        <w:t xml:space="preserve">, cu condiția ca aria construită a </w:t>
      </w:r>
      <w:r>
        <w:rPr>
          <w:rFonts w:eastAsia="Times-Roman"/>
          <w:i/>
          <w:iCs/>
          <w:sz w:val="22"/>
          <w:szCs w:val="22"/>
        </w:rPr>
        <w:t>g</w:t>
      </w:r>
      <w:r>
        <w:rPr>
          <w:rFonts w:eastAsia="Times-Roman"/>
          <w:i/>
          <w:sz w:val="22"/>
          <w:szCs w:val="22"/>
        </w:rPr>
        <w:t xml:space="preserve">rupărilor de boxe gospodăreşti </w:t>
      </w:r>
      <w:r>
        <w:rPr>
          <w:i/>
          <w:sz w:val="22"/>
          <w:szCs w:val="22"/>
          <w:lang w:eastAsia="zh-CN"/>
        </w:rPr>
        <w:t xml:space="preserve">de tip open space sa fie de maximum </w:t>
      </w:r>
      <w:r>
        <w:rPr>
          <w:b/>
          <w:bCs/>
          <w:i/>
          <w:sz w:val="22"/>
          <w:szCs w:val="22"/>
          <w:lang w:eastAsia="zh-CN"/>
        </w:rPr>
        <w:t>75%</w:t>
      </w:r>
      <w:r>
        <w:rPr>
          <w:i/>
          <w:sz w:val="22"/>
          <w:szCs w:val="22"/>
          <w:lang w:eastAsia="zh-CN"/>
        </w:rPr>
        <w:t xml:space="preserve"> din cea a ariei construite a nivelului respectiv pentru construcții încadrate în nivelul </w:t>
      </w:r>
      <w:r>
        <w:rPr>
          <w:b/>
          <w:bCs/>
          <w:i/>
          <w:sz w:val="22"/>
          <w:szCs w:val="22"/>
          <w:lang w:eastAsia="zh-CN"/>
        </w:rPr>
        <w:t>IV</w:t>
      </w:r>
      <w:r>
        <w:rPr>
          <w:i/>
          <w:sz w:val="22"/>
          <w:szCs w:val="22"/>
          <w:lang w:eastAsia="zh-CN"/>
        </w:rPr>
        <w:t xml:space="preserve"> de securitate la incendiu;</w:t>
      </w:r>
    </w:p>
    <w:p w14:paraId="2BD99D80" w14:textId="77777777" w:rsidR="001C08A5" w:rsidRDefault="00000000">
      <w:pPr>
        <w:ind w:left="1440" w:firstLine="720"/>
        <w:jc w:val="both"/>
        <w:rPr>
          <w:i/>
          <w:sz w:val="22"/>
          <w:szCs w:val="22"/>
          <w:lang w:eastAsia="zh-CN"/>
        </w:rPr>
      </w:pPr>
      <w:r>
        <w:rPr>
          <w:i/>
          <w:sz w:val="22"/>
          <w:szCs w:val="22"/>
          <w:lang w:eastAsia="zh-CN"/>
        </w:rPr>
        <w:t xml:space="preserve">- maximum </w:t>
      </w:r>
      <w:r>
        <w:rPr>
          <w:b/>
          <w:bCs/>
          <w:i/>
          <w:sz w:val="22"/>
          <w:szCs w:val="22"/>
          <w:lang w:eastAsia="zh-CN"/>
        </w:rPr>
        <w:t>100 mp</w:t>
      </w:r>
      <w:r>
        <w:rPr>
          <w:i/>
          <w:sz w:val="22"/>
          <w:szCs w:val="22"/>
          <w:lang w:eastAsia="zh-CN"/>
        </w:rPr>
        <w:t xml:space="preserve">, cu condiția ca aria construită a </w:t>
      </w:r>
      <w:r>
        <w:rPr>
          <w:rFonts w:eastAsia="Times-Roman"/>
          <w:i/>
          <w:iCs/>
          <w:sz w:val="22"/>
          <w:szCs w:val="22"/>
        </w:rPr>
        <w:t>g</w:t>
      </w:r>
      <w:r>
        <w:rPr>
          <w:rFonts w:eastAsia="Times-Roman"/>
          <w:i/>
          <w:sz w:val="22"/>
          <w:szCs w:val="22"/>
        </w:rPr>
        <w:t xml:space="preserve">rupărilor de boxe gospodăreşti </w:t>
      </w:r>
      <w:r>
        <w:rPr>
          <w:i/>
          <w:sz w:val="22"/>
          <w:szCs w:val="22"/>
          <w:lang w:eastAsia="zh-CN"/>
        </w:rPr>
        <w:t xml:space="preserve">de tip open space sa fie de maximum </w:t>
      </w:r>
      <w:r>
        <w:rPr>
          <w:b/>
          <w:bCs/>
          <w:i/>
          <w:sz w:val="22"/>
          <w:szCs w:val="22"/>
          <w:lang w:eastAsia="zh-CN"/>
        </w:rPr>
        <w:t>75%</w:t>
      </w:r>
      <w:r>
        <w:rPr>
          <w:i/>
          <w:sz w:val="22"/>
          <w:szCs w:val="22"/>
          <w:lang w:eastAsia="zh-CN"/>
        </w:rPr>
        <w:t xml:space="preserve"> din cea a ariei construite a nivelului respectiv pentru construcții încadrate în nivelul </w:t>
      </w:r>
      <w:r>
        <w:rPr>
          <w:b/>
          <w:bCs/>
          <w:i/>
          <w:sz w:val="22"/>
          <w:szCs w:val="22"/>
          <w:lang w:eastAsia="zh-CN"/>
        </w:rPr>
        <w:t>V</w:t>
      </w:r>
      <w:r>
        <w:rPr>
          <w:i/>
          <w:sz w:val="22"/>
          <w:szCs w:val="22"/>
          <w:lang w:eastAsia="zh-CN"/>
        </w:rPr>
        <w:t xml:space="preserve"> de securitate la incendiu;</w:t>
      </w:r>
    </w:p>
    <w:p w14:paraId="567C0114" w14:textId="77777777" w:rsidR="001C08A5" w:rsidRDefault="00000000">
      <w:pPr>
        <w:jc w:val="both"/>
        <w:rPr>
          <w:bCs/>
          <w:i/>
          <w:iCs/>
          <w:sz w:val="22"/>
          <w:szCs w:val="22"/>
        </w:rPr>
      </w:pPr>
      <w:r>
        <w:rPr>
          <w:bCs/>
          <w:i/>
          <w:iCs/>
          <w:sz w:val="22"/>
          <w:szCs w:val="22"/>
        </w:rPr>
        <w:t xml:space="preserve">* - sau peretele despărțitor rezistent la foc de la bucătării va fi prevăzut la camera de zi, astfel încât să se creeze o înlțime de </w:t>
      </w:r>
      <w:r>
        <w:rPr>
          <w:b/>
          <w:i/>
          <w:iCs/>
          <w:sz w:val="22"/>
          <w:szCs w:val="22"/>
        </w:rPr>
        <w:t>50 de cm</w:t>
      </w:r>
      <w:r>
        <w:rPr>
          <w:bCs/>
          <w:i/>
          <w:iCs/>
          <w:sz w:val="22"/>
          <w:szCs w:val="22"/>
        </w:rPr>
        <w:t xml:space="preserve"> dedesuptul tavanului pâna la tocăria ușii</w:t>
      </w:r>
    </w:p>
    <w:p w14:paraId="6E424457" w14:textId="77777777" w:rsidR="001C08A5" w:rsidRDefault="001C08A5">
      <w:pPr>
        <w:jc w:val="both"/>
        <w:rPr>
          <w:bCs/>
          <w:sz w:val="24"/>
          <w:szCs w:val="24"/>
        </w:rPr>
      </w:pPr>
    </w:p>
    <w:p w14:paraId="7F44A2E8" w14:textId="77777777" w:rsidR="001C08A5" w:rsidRDefault="00000000">
      <w:pPr>
        <w:ind w:firstLine="567"/>
        <w:jc w:val="both"/>
        <w:rPr>
          <w:sz w:val="24"/>
          <w:szCs w:val="24"/>
        </w:rPr>
      </w:pPr>
      <w:r>
        <w:rPr>
          <w:b/>
          <w:sz w:val="24"/>
          <w:szCs w:val="24"/>
        </w:rPr>
        <w:t xml:space="preserve">Art. </w:t>
      </w:r>
      <w:r>
        <w:rPr>
          <w:b/>
          <w:bCs/>
          <w:sz w:val="24"/>
          <w:szCs w:val="24"/>
        </w:rPr>
        <w:t>3.2.1.</w:t>
      </w:r>
      <w:r>
        <w:rPr>
          <w:b/>
          <w:sz w:val="24"/>
          <w:szCs w:val="24"/>
        </w:rPr>
        <w:t>7. (1)</w:t>
      </w:r>
      <w:r>
        <w:rPr>
          <w:sz w:val="24"/>
          <w:szCs w:val="24"/>
        </w:rPr>
        <w:t xml:space="preserve"> În clădirile realizate din materiale combustibile (în condiţiile admise de normativ), încăperile cu risc mijlociu de incendiu (bucătării, centrale termice și alte spaţii în care este utilizat focul deschis), vor avea finisaje din materiale clasa de reacţie la foc </w:t>
      </w:r>
      <w:r>
        <w:rPr>
          <w:b/>
          <w:sz w:val="24"/>
          <w:szCs w:val="24"/>
        </w:rPr>
        <w:t xml:space="preserve">A1 </w:t>
      </w:r>
      <w:r>
        <w:rPr>
          <w:sz w:val="24"/>
          <w:szCs w:val="24"/>
        </w:rPr>
        <w:t>sau</w:t>
      </w:r>
      <w:r>
        <w:rPr>
          <w:b/>
          <w:sz w:val="24"/>
          <w:szCs w:val="24"/>
        </w:rPr>
        <w:t xml:space="preserve"> A2-s1d0</w:t>
      </w:r>
      <w:r>
        <w:rPr>
          <w:sz w:val="24"/>
          <w:szCs w:val="24"/>
        </w:rPr>
        <w:t>.</w:t>
      </w:r>
    </w:p>
    <w:p w14:paraId="072A8E4E" w14:textId="77777777" w:rsidR="001C08A5" w:rsidRDefault="00000000">
      <w:pPr>
        <w:ind w:firstLine="720"/>
        <w:jc w:val="both"/>
        <w:rPr>
          <w:sz w:val="24"/>
          <w:szCs w:val="24"/>
        </w:rPr>
      </w:pPr>
      <w:r>
        <w:rPr>
          <w:b/>
          <w:sz w:val="24"/>
          <w:szCs w:val="24"/>
        </w:rPr>
        <w:t xml:space="preserve">(2) </w:t>
      </w:r>
      <w:r>
        <w:rPr>
          <w:sz w:val="24"/>
          <w:szCs w:val="24"/>
        </w:rPr>
        <w:t xml:space="preserve">Garajele (utilizate exclusiv pentru parcare) şi parcajele pentru maximum </w:t>
      </w:r>
      <w:r>
        <w:rPr>
          <w:b/>
          <w:bCs/>
          <w:sz w:val="24"/>
          <w:szCs w:val="24"/>
        </w:rPr>
        <w:t>3</w:t>
      </w:r>
      <w:r>
        <w:rPr>
          <w:sz w:val="24"/>
          <w:szCs w:val="24"/>
        </w:rPr>
        <w:t xml:space="preserve"> autoturisme, alipite sau înglobate în clădirile de locuit individuale (familiale), se separă de restul construcţiei prin pereţi rezistenţi la foc minimum </w:t>
      </w:r>
      <w:r>
        <w:rPr>
          <w:b/>
          <w:sz w:val="24"/>
          <w:szCs w:val="24"/>
        </w:rPr>
        <w:t xml:space="preserve">EI/REI 60 și </w:t>
      </w:r>
      <w:r>
        <w:rPr>
          <w:sz w:val="24"/>
          <w:szCs w:val="24"/>
        </w:rPr>
        <w:t xml:space="preserve">planşee minimum </w:t>
      </w:r>
      <w:r>
        <w:rPr>
          <w:b/>
          <w:sz w:val="24"/>
          <w:szCs w:val="24"/>
        </w:rPr>
        <w:t>REI 60</w:t>
      </w:r>
      <w:r>
        <w:rPr>
          <w:sz w:val="24"/>
          <w:szCs w:val="24"/>
        </w:rPr>
        <w:t xml:space="preserve">. Golurile de comunicare funcţională din pereţii de separare se protejază cu uşi </w:t>
      </w:r>
      <w:r>
        <w:rPr>
          <w:b/>
          <w:sz w:val="24"/>
          <w:szCs w:val="24"/>
        </w:rPr>
        <w:t>EI</w:t>
      </w:r>
      <w:r>
        <w:rPr>
          <w:b/>
          <w:sz w:val="24"/>
          <w:szCs w:val="24"/>
          <w:vertAlign w:val="subscript"/>
        </w:rPr>
        <w:t xml:space="preserve">2 </w:t>
      </w:r>
      <w:r>
        <w:rPr>
          <w:b/>
          <w:sz w:val="24"/>
          <w:szCs w:val="24"/>
        </w:rPr>
        <w:t>30-C3.</w:t>
      </w:r>
    </w:p>
    <w:p w14:paraId="06A1E8BB" w14:textId="77777777" w:rsidR="001C08A5" w:rsidRDefault="001C08A5">
      <w:pPr>
        <w:ind w:firstLine="567"/>
        <w:jc w:val="both"/>
        <w:rPr>
          <w:sz w:val="24"/>
          <w:szCs w:val="24"/>
        </w:rPr>
      </w:pPr>
    </w:p>
    <w:p w14:paraId="0C6A0FB9" w14:textId="77777777" w:rsidR="001C08A5" w:rsidRDefault="00000000">
      <w:pPr>
        <w:ind w:firstLine="567"/>
        <w:jc w:val="both"/>
        <w:rPr>
          <w:sz w:val="24"/>
          <w:szCs w:val="24"/>
        </w:rPr>
      </w:pPr>
      <w:r>
        <w:rPr>
          <w:sz w:val="24"/>
          <w:szCs w:val="24"/>
        </w:rPr>
        <w:lastRenderedPageBreak/>
        <w:tab/>
      </w:r>
      <w:r>
        <w:rPr>
          <w:b/>
          <w:sz w:val="24"/>
          <w:szCs w:val="24"/>
        </w:rPr>
        <w:t xml:space="preserve">Art. </w:t>
      </w:r>
      <w:r>
        <w:rPr>
          <w:b/>
          <w:bCs/>
          <w:sz w:val="24"/>
          <w:szCs w:val="24"/>
        </w:rPr>
        <w:t>3.2.1.</w:t>
      </w:r>
      <w:r>
        <w:rPr>
          <w:b/>
          <w:sz w:val="24"/>
          <w:szCs w:val="24"/>
        </w:rPr>
        <w:t xml:space="preserve">8. </w:t>
      </w:r>
      <w:r>
        <w:rPr>
          <w:sz w:val="24"/>
          <w:szCs w:val="24"/>
        </w:rPr>
        <w:t xml:space="preserve">Comportarea la foc a pereţilor, uşilor și planşeelor de separare a caselor de scări închise şi a uşilor din clădirile de locuit cu înălţimi obişnuite, trebuie să corespundă prevederilor din </w:t>
      </w:r>
      <w:r>
        <w:rPr>
          <w:rFonts w:cs="Mangal"/>
          <w:b/>
          <w:i/>
          <w:iCs/>
          <w:sz w:val="24"/>
          <w:szCs w:val="24"/>
        </w:rPr>
        <w:fldChar w:fldCharType="begin"/>
      </w:r>
      <w:r>
        <w:rPr>
          <w:rFonts w:cs="Mangal"/>
          <w:b/>
          <w:i/>
          <w:iCs/>
          <w:sz w:val="24"/>
          <w:szCs w:val="24"/>
        </w:rPr>
        <w:instrText xml:space="preserve"> REF _Ref14355 \h </w:instrText>
      </w:r>
      <w:r>
        <w:rPr>
          <w:rFonts w:cs="Mangal"/>
          <w:b/>
          <w:i/>
          <w:iCs/>
          <w:sz w:val="24"/>
          <w:szCs w:val="24"/>
        </w:rPr>
      </w:r>
      <w:r>
        <w:rPr>
          <w:rFonts w:cs="Mangal"/>
          <w:b/>
          <w:i/>
          <w:iCs/>
          <w:sz w:val="24"/>
          <w:szCs w:val="24"/>
        </w:rPr>
        <w:fldChar w:fldCharType="separate"/>
      </w:r>
      <w:r>
        <w:t>Tabelul 54</w:t>
      </w:r>
      <w:r>
        <w:rPr>
          <w:rFonts w:cs="Mangal"/>
          <w:b/>
          <w:i/>
          <w:iCs/>
          <w:sz w:val="24"/>
          <w:szCs w:val="24"/>
        </w:rPr>
        <w:fldChar w:fldCharType="end"/>
      </w:r>
      <w:r>
        <w:rPr>
          <w:sz w:val="24"/>
          <w:szCs w:val="24"/>
        </w:rPr>
        <w:t>.</w:t>
      </w:r>
    </w:p>
    <w:p w14:paraId="5BE9F21D" w14:textId="77777777" w:rsidR="001C08A5" w:rsidRDefault="001C08A5">
      <w:pPr>
        <w:rPr>
          <w:b/>
          <w:sz w:val="24"/>
          <w:szCs w:val="24"/>
        </w:rPr>
      </w:pPr>
    </w:p>
    <w:p w14:paraId="38FA2E6F" w14:textId="77777777" w:rsidR="001C08A5" w:rsidRDefault="00000000">
      <w:pPr>
        <w:pStyle w:val="Captiontabel"/>
      </w:pPr>
      <w:bookmarkStart w:id="3243" w:name="_Ref14355"/>
      <w:bookmarkStart w:id="3244" w:name="_Toc162360104"/>
      <w:r>
        <w:t xml:space="preserve">Tabelul </w:t>
      </w:r>
      <w:r>
        <w:fldChar w:fldCharType="begin"/>
      </w:r>
      <w:r>
        <w:instrText xml:space="preserve"> SEQ Tabelul \* ARABIC </w:instrText>
      </w:r>
      <w:r>
        <w:fldChar w:fldCharType="separate"/>
      </w:r>
      <w:r>
        <w:t>54</w:t>
      </w:r>
      <w:r>
        <w:fldChar w:fldCharType="end"/>
      </w:r>
      <w:bookmarkStart w:id="3245" w:name="_Toc10304"/>
      <w:bookmarkStart w:id="3246" w:name="_Toc11440"/>
      <w:bookmarkStart w:id="3247" w:name="_Toc15697"/>
      <w:bookmarkStart w:id="3248" w:name="_Toc8025"/>
      <w:bookmarkStart w:id="3249" w:name="_Toc32360"/>
      <w:bookmarkStart w:id="3250" w:name="_Toc4502"/>
      <w:bookmarkStart w:id="3251" w:name="_Toc31676"/>
      <w:bookmarkStart w:id="3252" w:name="_Toc120"/>
      <w:bookmarkStart w:id="3253" w:name="_Toc12904"/>
      <w:bookmarkStart w:id="3254" w:name="_Toc7157"/>
      <w:bookmarkStart w:id="3255" w:name="_Toc22226"/>
      <w:bookmarkStart w:id="3256" w:name="_Toc7051"/>
      <w:bookmarkStart w:id="3257" w:name="_Toc21740"/>
      <w:bookmarkStart w:id="3258" w:name="_Toc10364"/>
      <w:bookmarkStart w:id="3259" w:name="_Toc21906"/>
      <w:bookmarkStart w:id="3260" w:name="_Toc22937"/>
      <w:bookmarkStart w:id="3261" w:name="_Toc17861"/>
      <w:bookmarkStart w:id="3262" w:name="_Toc32003"/>
      <w:bookmarkStart w:id="3263" w:name="_Toc9146"/>
      <w:bookmarkEnd w:id="3243"/>
      <w:r>
        <w:t>: Comportare la foc a pereţilor, uşilor și planşeelor de separarea caselor de scări închise şi a uşilor din clădirile de locuit cu înălţimi obişnuite</w:t>
      </w:r>
      <w:bookmarkEnd w:id="3244"/>
      <w:r>
        <w:t xml:space="preserve"> </w:t>
      </w:r>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p>
    <w:p w14:paraId="70D42160" w14:textId="77777777" w:rsidR="001C08A5" w:rsidRDefault="001C08A5">
      <w:pPr>
        <w:jc w:val="both"/>
        <w:rPr>
          <w:b/>
          <w:bCs/>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39"/>
        <w:gridCol w:w="1952"/>
        <w:gridCol w:w="1581"/>
        <w:gridCol w:w="1372"/>
        <w:gridCol w:w="1678"/>
        <w:gridCol w:w="1703"/>
      </w:tblGrid>
      <w:tr w:rsidR="001C08A5" w14:paraId="77D08A1C" w14:textId="77777777">
        <w:trPr>
          <w:tblHeader/>
        </w:trPr>
        <w:tc>
          <w:tcPr>
            <w:tcW w:w="1243" w:type="dxa"/>
            <w:vMerge w:val="restart"/>
            <w:shd w:val="clear" w:color="auto" w:fill="BFBFBF"/>
          </w:tcPr>
          <w:p w14:paraId="151163E7" w14:textId="77777777" w:rsidR="001C08A5" w:rsidRDefault="00000000">
            <w:pPr>
              <w:pStyle w:val="BodyText"/>
              <w:jc w:val="center"/>
              <w:rPr>
                <w:bCs w:val="0"/>
                <w:sz w:val="22"/>
                <w:szCs w:val="22"/>
              </w:rPr>
            </w:pPr>
            <w:r>
              <w:rPr>
                <w:bCs w:val="0"/>
                <w:sz w:val="22"/>
                <w:szCs w:val="22"/>
              </w:rPr>
              <w:t>Nivel de stabilitate</w:t>
            </w:r>
          </w:p>
          <w:p w14:paraId="57324A7E" w14:textId="77777777" w:rsidR="001C08A5" w:rsidRDefault="00000000">
            <w:pPr>
              <w:jc w:val="center"/>
              <w:rPr>
                <w:i/>
                <w:sz w:val="22"/>
                <w:szCs w:val="22"/>
              </w:rPr>
            </w:pPr>
            <w:r>
              <w:rPr>
                <w:b/>
                <w:bCs/>
                <w:i/>
                <w:sz w:val="22"/>
                <w:szCs w:val="22"/>
              </w:rPr>
              <w:t>la incendiu</w:t>
            </w:r>
          </w:p>
        </w:tc>
        <w:tc>
          <w:tcPr>
            <w:tcW w:w="8360" w:type="dxa"/>
            <w:gridSpan w:val="5"/>
            <w:shd w:val="clear" w:color="auto" w:fill="BFBFBF"/>
          </w:tcPr>
          <w:p w14:paraId="3F6098BE"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1AA3F248" w14:textId="77777777">
        <w:trPr>
          <w:tblHeader/>
        </w:trPr>
        <w:tc>
          <w:tcPr>
            <w:tcW w:w="1243" w:type="dxa"/>
            <w:vMerge/>
            <w:shd w:val="clear" w:color="auto" w:fill="BFBFBF"/>
          </w:tcPr>
          <w:p w14:paraId="164F5341" w14:textId="77777777" w:rsidR="001C08A5" w:rsidRDefault="001C08A5">
            <w:pPr>
              <w:jc w:val="center"/>
              <w:rPr>
                <w:i/>
                <w:sz w:val="22"/>
                <w:szCs w:val="22"/>
              </w:rPr>
            </w:pPr>
          </w:p>
        </w:tc>
        <w:tc>
          <w:tcPr>
            <w:tcW w:w="3568" w:type="dxa"/>
            <w:gridSpan w:val="2"/>
            <w:shd w:val="clear" w:color="auto" w:fill="BFBFBF"/>
          </w:tcPr>
          <w:p w14:paraId="7C399A7C" w14:textId="77777777" w:rsidR="001C08A5" w:rsidRDefault="00000000">
            <w:pPr>
              <w:jc w:val="center"/>
              <w:rPr>
                <w:i/>
                <w:sz w:val="22"/>
                <w:szCs w:val="22"/>
              </w:rPr>
            </w:pPr>
            <w:r>
              <w:rPr>
                <w:b/>
                <w:bCs/>
                <w:i/>
                <w:sz w:val="22"/>
                <w:szCs w:val="22"/>
              </w:rPr>
              <w:t>Pereţi</w:t>
            </w:r>
          </w:p>
        </w:tc>
        <w:tc>
          <w:tcPr>
            <w:tcW w:w="3082" w:type="dxa"/>
            <w:gridSpan w:val="2"/>
            <w:shd w:val="clear" w:color="auto" w:fill="BFBFBF"/>
          </w:tcPr>
          <w:p w14:paraId="48E877E4"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710" w:type="dxa"/>
            <w:shd w:val="clear" w:color="auto" w:fill="BFBFBF"/>
          </w:tcPr>
          <w:p w14:paraId="194C2E96" w14:textId="77777777" w:rsidR="001C08A5" w:rsidRDefault="00000000">
            <w:pPr>
              <w:jc w:val="center"/>
              <w:rPr>
                <w:b/>
                <w:bCs/>
                <w:i/>
                <w:sz w:val="22"/>
                <w:szCs w:val="22"/>
              </w:rPr>
            </w:pPr>
            <w:r>
              <w:rPr>
                <w:b/>
                <w:bCs/>
                <w:i/>
                <w:sz w:val="22"/>
                <w:szCs w:val="22"/>
              </w:rPr>
              <w:t xml:space="preserve">Uşi </w:t>
            </w:r>
            <w:r>
              <w:rPr>
                <w:bCs/>
                <w:i/>
                <w:sz w:val="22"/>
                <w:szCs w:val="22"/>
              </w:rPr>
              <w:t>(cu excepţia uşilor de apartament)</w:t>
            </w:r>
          </w:p>
        </w:tc>
      </w:tr>
      <w:tr w:rsidR="001C08A5" w14:paraId="0D2456E3" w14:textId="77777777">
        <w:tc>
          <w:tcPr>
            <w:tcW w:w="1243" w:type="dxa"/>
          </w:tcPr>
          <w:p w14:paraId="1E927A11" w14:textId="77777777" w:rsidR="001C08A5" w:rsidRDefault="00000000">
            <w:pPr>
              <w:pStyle w:val="BodyText"/>
              <w:jc w:val="center"/>
              <w:rPr>
                <w:bCs w:val="0"/>
                <w:sz w:val="22"/>
                <w:szCs w:val="22"/>
              </w:rPr>
            </w:pPr>
            <w:r>
              <w:rPr>
                <w:bCs w:val="0"/>
                <w:sz w:val="22"/>
                <w:szCs w:val="22"/>
              </w:rPr>
              <w:t>I</w:t>
            </w:r>
          </w:p>
          <w:p w14:paraId="7461A3B5" w14:textId="77777777" w:rsidR="001C08A5" w:rsidRDefault="00000000">
            <w:pPr>
              <w:pStyle w:val="BodyText"/>
              <w:jc w:val="center"/>
              <w:rPr>
                <w:bCs w:val="0"/>
                <w:sz w:val="22"/>
                <w:szCs w:val="22"/>
              </w:rPr>
            </w:pPr>
            <w:r>
              <w:rPr>
                <w:sz w:val="22"/>
                <w:szCs w:val="22"/>
              </w:rPr>
              <w:t>h&lt;28m</w:t>
            </w:r>
          </w:p>
        </w:tc>
        <w:tc>
          <w:tcPr>
            <w:tcW w:w="1971" w:type="dxa"/>
          </w:tcPr>
          <w:p w14:paraId="60D2462C" w14:textId="77777777" w:rsidR="001C08A5" w:rsidRDefault="00000000">
            <w:pPr>
              <w:jc w:val="center"/>
              <w:rPr>
                <w:b/>
                <w:i/>
                <w:sz w:val="22"/>
                <w:szCs w:val="22"/>
              </w:rPr>
            </w:pPr>
            <w:r>
              <w:rPr>
                <w:b/>
                <w:i/>
                <w:sz w:val="22"/>
                <w:szCs w:val="22"/>
              </w:rPr>
              <w:t xml:space="preserve">EI/REI 180 </w:t>
            </w:r>
          </w:p>
          <w:p w14:paraId="7DDAE3B7" w14:textId="77777777" w:rsidR="001C08A5" w:rsidRDefault="001C08A5">
            <w:pPr>
              <w:jc w:val="center"/>
              <w:rPr>
                <w:b/>
                <w:i/>
                <w:sz w:val="22"/>
                <w:szCs w:val="22"/>
              </w:rPr>
            </w:pPr>
          </w:p>
        </w:tc>
        <w:tc>
          <w:tcPr>
            <w:tcW w:w="1597" w:type="dxa"/>
          </w:tcPr>
          <w:p w14:paraId="515EEC9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6" w:type="dxa"/>
          </w:tcPr>
          <w:p w14:paraId="41A79302" w14:textId="77777777" w:rsidR="001C08A5" w:rsidRDefault="00000000">
            <w:pPr>
              <w:jc w:val="center"/>
              <w:rPr>
                <w:b/>
                <w:i/>
                <w:sz w:val="22"/>
                <w:szCs w:val="22"/>
              </w:rPr>
            </w:pPr>
            <w:r>
              <w:rPr>
                <w:b/>
                <w:i/>
                <w:sz w:val="22"/>
                <w:szCs w:val="22"/>
              </w:rPr>
              <w:t xml:space="preserve">REI 120 </w:t>
            </w:r>
          </w:p>
        </w:tc>
        <w:tc>
          <w:tcPr>
            <w:tcW w:w="1696" w:type="dxa"/>
          </w:tcPr>
          <w:p w14:paraId="54BF7D01"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10" w:type="dxa"/>
          </w:tcPr>
          <w:p w14:paraId="512B81EE" w14:textId="77777777" w:rsidR="001C08A5" w:rsidRDefault="00000000">
            <w:pPr>
              <w:jc w:val="center"/>
              <w:rPr>
                <w:i/>
                <w:sz w:val="22"/>
                <w:szCs w:val="22"/>
              </w:rPr>
            </w:pPr>
            <w:r>
              <w:rPr>
                <w:b/>
                <w:bCs/>
                <w:i/>
                <w:sz w:val="22"/>
                <w:szCs w:val="22"/>
              </w:rPr>
              <w:t xml:space="preserve">E 15 - C5 </w:t>
            </w:r>
            <w:r>
              <w:rPr>
                <w:b/>
                <w:i/>
                <w:sz w:val="22"/>
                <w:szCs w:val="22"/>
              </w:rPr>
              <w:t>S</w:t>
            </w:r>
            <w:r>
              <w:rPr>
                <w:b/>
                <w:bCs/>
                <w:i/>
                <w:sz w:val="22"/>
                <w:szCs w:val="22"/>
                <w:vertAlign w:val="subscript"/>
              </w:rPr>
              <w:t>200</w:t>
            </w:r>
          </w:p>
        </w:tc>
      </w:tr>
      <w:tr w:rsidR="001C08A5" w14:paraId="3E9F91D8" w14:textId="77777777">
        <w:tc>
          <w:tcPr>
            <w:tcW w:w="1243" w:type="dxa"/>
          </w:tcPr>
          <w:p w14:paraId="46260A9F" w14:textId="77777777" w:rsidR="001C08A5" w:rsidRDefault="00000000">
            <w:pPr>
              <w:pStyle w:val="BodyText"/>
              <w:jc w:val="center"/>
              <w:rPr>
                <w:bCs w:val="0"/>
                <w:sz w:val="22"/>
                <w:szCs w:val="22"/>
              </w:rPr>
            </w:pPr>
            <w:r>
              <w:rPr>
                <w:bCs w:val="0"/>
                <w:sz w:val="22"/>
                <w:szCs w:val="22"/>
              </w:rPr>
              <w:t>II</w:t>
            </w:r>
          </w:p>
        </w:tc>
        <w:tc>
          <w:tcPr>
            <w:tcW w:w="1971" w:type="dxa"/>
          </w:tcPr>
          <w:p w14:paraId="3C724C87" w14:textId="77777777" w:rsidR="001C08A5" w:rsidRDefault="00000000">
            <w:pPr>
              <w:jc w:val="center"/>
              <w:rPr>
                <w:b/>
                <w:i/>
                <w:sz w:val="22"/>
                <w:szCs w:val="22"/>
              </w:rPr>
            </w:pPr>
            <w:r>
              <w:rPr>
                <w:b/>
                <w:i/>
                <w:sz w:val="22"/>
                <w:szCs w:val="22"/>
              </w:rPr>
              <w:t>EI/REI 180</w:t>
            </w:r>
          </w:p>
          <w:p w14:paraId="07EEBDEC" w14:textId="77777777" w:rsidR="001C08A5" w:rsidRDefault="001C08A5">
            <w:pPr>
              <w:jc w:val="center"/>
              <w:rPr>
                <w:b/>
                <w:i/>
                <w:sz w:val="22"/>
                <w:szCs w:val="22"/>
              </w:rPr>
            </w:pPr>
          </w:p>
        </w:tc>
        <w:tc>
          <w:tcPr>
            <w:tcW w:w="1597" w:type="dxa"/>
          </w:tcPr>
          <w:p w14:paraId="6CF8C945"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6" w:type="dxa"/>
          </w:tcPr>
          <w:p w14:paraId="1F4E414C" w14:textId="77777777" w:rsidR="001C08A5" w:rsidRDefault="00000000">
            <w:pPr>
              <w:jc w:val="center"/>
              <w:rPr>
                <w:b/>
                <w:i/>
                <w:sz w:val="22"/>
                <w:szCs w:val="22"/>
              </w:rPr>
            </w:pPr>
            <w:r>
              <w:rPr>
                <w:b/>
                <w:i/>
                <w:sz w:val="22"/>
                <w:szCs w:val="22"/>
              </w:rPr>
              <w:t>REI 120</w:t>
            </w:r>
          </w:p>
        </w:tc>
        <w:tc>
          <w:tcPr>
            <w:tcW w:w="1696" w:type="dxa"/>
          </w:tcPr>
          <w:p w14:paraId="182BC36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10" w:type="dxa"/>
          </w:tcPr>
          <w:p w14:paraId="61F2E748" w14:textId="77777777" w:rsidR="001C08A5" w:rsidRDefault="00000000">
            <w:pPr>
              <w:jc w:val="center"/>
              <w:rPr>
                <w:i/>
                <w:sz w:val="22"/>
                <w:szCs w:val="22"/>
              </w:rPr>
            </w:pPr>
            <w:r>
              <w:rPr>
                <w:b/>
                <w:bCs/>
                <w:i/>
                <w:sz w:val="22"/>
                <w:szCs w:val="22"/>
              </w:rPr>
              <w:t xml:space="preserve">E 15 - C5 </w:t>
            </w:r>
            <w:r>
              <w:rPr>
                <w:b/>
                <w:i/>
                <w:sz w:val="22"/>
                <w:szCs w:val="22"/>
              </w:rPr>
              <w:t>S</w:t>
            </w:r>
            <w:r>
              <w:rPr>
                <w:b/>
                <w:bCs/>
                <w:i/>
                <w:sz w:val="22"/>
                <w:szCs w:val="22"/>
                <w:vertAlign w:val="subscript"/>
              </w:rPr>
              <w:t>200</w:t>
            </w:r>
          </w:p>
        </w:tc>
      </w:tr>
      <w:tr w:rsidR="001C08A5" w14:paraId="267BF71D" w14:textId="77777777">
        <w:tc>
          <w:tcPr>
            <w:tcW w:w="1243" w:type="dxa"/>
          </w:tcPr>
          <w:p w14:paraId="0AAAD966" w14:textId="77777777" w:rsidR="001C08A5" w:rsidRDefault="00000000">
            <w:pPr>
              <w:pStyle w:val="BodyText"/>
              <w:jc w:val="center"/>
              <w:rPr>
                <w:bCs w:val="0"/>
                <w:sz w:val="22"/>
                <w:szCs w:val="22"/>
              </w:rPr>
            </w:pPr>
            <w:r>
              <w:rPr>
                <w:bCs w:val="0"/>
                <w:sz w:val="22"/>
                <w:szCs w:val="22"/>
              </w:rPr>
              <w:t>II (+)</w:t>
            </w:r>
          </w:p>
        </w:tc>
        <w:tc>
          <w:tcPr>
            <w:tcW w:w="1971" w:type="dxa"/>
          </w:tcPr>
          <w:p w14:paraId="5762CDEF" w14:textId="77777777" w:rsidR="001C08A5" w:rsidRDefault="00000000">
            <w:pPr>
              <w:jc w:val="center"/>
              <w:rPr>
                <w:b/>
                <w:i/>
                <w:sz w:val="22"/>
                <w:szCs w:val="22"/>
              </w:rPr>
            </w:pPr>
            <w:r>
              <w:rPr>
                <w:b/>
                <w:i/>
                <w:sz w:val="22"/>
                <w:szCs w:val="22"/>
              </w:rPr>
              <w:t>EI/REI 120</w:t>
            </w:r>
          </w:p>
          <w:p w14:paraId="0483264A" w14:textId="77777777" w:rsidR="001C08A5" w:rsidRDefault="001C08A5">
            <w:pPr>
              <w:jc w:val="center"/>
              <w:rPr>
                <w:b/>
                <w:i/>
                <w:sz w:val="22"/>
                <w:szCs w:val="22"/>
              </w:rPr>
            </w:pPr>
          </w:p>
        </w:tc>
        <w:tc>
          <w:tcPr>
            <w:tcW w:w="1597" w:type="dxa"/>
          </w:tcPr>
          <w:p w14:paraId="36609DE7"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86" w:type="dxa"/>
          </w:tcPr>
          <w:p w14:paraId="33968986" w14:textId="77777777" w:rsidR="001C08A5" w:rsidRDefault="00000000">
            <w:pPr>
              <w:jc w:val="center"/>
              <w:rPr>
                <w:b/>
                <w:i/>
                <w:sz w:val="22"/>
                <w:szCs w:val="22"/>
              </w:rPr>
            </w:pPr>
            <w:r>
              <w:rPr>
                <w:b/>
                <w:i/>
                <w:sz w:val="22"/>
                <w:szCs w:val="22"/>
              </w:rPr>
              <w:t>REI 90</w:t>
            </w:r>
          </w:p>
        </w:tc>
        <w:tc>
          <w:tcPr>
            <w:tcW w:w="1696" w:type="dxa"/>
          </w:tcPr>
          <w:p w14:paraId="3126B505"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10" w:type="dxa"/>
          </w:tcPr>
          <w:p w14:paraId="34FB4467" w14:textId="77777777" w:rsidR="001C08A5" w:rsidRDefault="00000000">
            <w:pPr>
              <w:jc w:val="center"/>
              <w:rPr>
                <w:b/>
                <w:bCs/>
                <w:i/>
                <w:sz w:val="22"/>
                <w:szCs w:val="22"/>
              </w:rPr>
            </w:pPr>
            <w:r>
              <w:rPr>
                <w:b/>
                <w:bCs/>
                <w:i/>
                <w:sz w:val="22"/>
                <w:szCs w:val="22"/>
              </w:rPr>
              <w:t xml:space="preserve">E 15 - C5 </w:t>
            </w:r>
            <w:r>
              <w:rPr>
                <w:b/>
                <w:i/>
                <w:sz w:val="22"/>
                <w:szCs w:val="22"/>
              </w:rPr>
              <w:t>S</w:t>
            </w:r>
            <w:r>
              <w:rPr>
                <w:b/>
                <w:bCs/>
                <w:i/>
                <w:sz w:val="22"/>
                <w:szCs w:val="22"/>
                <w:vertAlign w:val="subscript"/>
              </w:rPr>
              <w:t>200</w:t>
            </w:r>
          </w:p>
        </w:tc>
      </w:tr>
      <w:tr w:rsidR="001C08A5" w14:paraId="38CF90D1" w14:textId="77777777">
        <w:tc>
          <w:tcPr>
            <w:tcW w:w="1243" w:type="dxa"/>
          </w:tcPr>
          <w:p w14:paraId="7CC3E940" w14:textId="77777777" w:rsidR="001C08A5" w:rsidRDefault="00000000">
            <w:pPr>
              <w:pStyle w:val="BodyText"/>
              <w:jc w:val="center"/>
              <w:rPr>
                <w:bCs w:val="0"/>
                <w:sz w:val="22"/>
                <w:szCs w:val="22"/>
              </w:rPr>
            </w:pPr>
            <w:r>
              <w:rPr>
                <w:bCs w:val="0"/>
                <w:sz w:val="22"/>
                <w:szCs w:val="22"/>
              </w:rPr>
              <w:t>III</w:t>
            </w:r>
          </w:p>
        </w:tc>
        <w:tc>
          <w:tcPr>
            <w:tcW w:w="1971" w:type="dxa"/>
          </w:tcPr>
          <w:p w14:paraId="02D834AA" w14:textId="77777777" w:rsidR="001C08A5" w:rsidRDefault="00000000">
            <w:pPr>
              <w:jc w:val="center"/>
              <w:rPr>
                <w:b/>
                <w:i/>
                <w:sz w:val="22"/>
                <w:szCs w:val="22"/>
              </w:rPr>
            </w:pPr>
            <w:r>
              <w:rPr>
                <w:b/>
                <w:i/>
                <w:sz w:val="22"/>
                <w:szCs w:val="22"/>
              </w:rPr>
              <w:t xml:space="preserve">EI/REI 90 </w:t>
            </w:r>
          </w:p>
          <w:p w14:paraId="3B690D56" w14:textId="77777777" w:rsidR="001C08A5" w:rsidRDefault="001C08A5">
            <w:pPr>
              <w:jc w:val="center"/>
              <w:rPr>
                <w:b/>
                <w:i/>
                <w:sz w:val="22"/>
                <w:szCs w:val="22"/>
              </w:rPr>
            </w:pPr>
          </w:p>
        </w:tc>
        <w:tc>
          <w:tcPr>
            <w:tcW w:w="1597" w:type="dxa"/>
          </w:tcPr>
          <w:p w14:paraId="48318332"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86" w:type="dxa"/>
          </w:tcPr>
          <w:p w14:paraId="2E82F5AC" w14:textId="77777777" w:rsidR="001C08A5" w:rsidRDefault="00000000">
            <w:pPr>
              <w:jc w:val="center"/>
              <w:rPr>
                <w:b/>
                <w:i/>
                <w:sz w:val="22"/>
                <w:szCs w:val="22"/>
              </w:rPr>
            </w:pPr>
            <w:r>
              <w:rPr>
                <w:b/>
                <w:i/>
                <w:sz w:val="22"/>
                <w:szCs w:val="22"/>
              </w:rPr>
              <w:t>REI 60</w:t>
            </w:r>
          </w:p>
        </w:tc>
        <w:tc>
          <w:tcPr>
            <w:tcW w:w="1696" w:type="dxa"/>
          </w:tcPr>
          <w:p w14:paraId="71179F86"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10" w:type="dxa"/>
          </w:tcPr>
          <w:p w14:paraId="324FC1EE" w14:textId="77777777" w:rsidR="001C08A5" w:rsidRDefault="00000000">
            <w:pPr>
              <w:jc w:val="center"/>
              <w:rPr>
                <w:i/>
                <w:strike/>
                <w:sz w:val="22"/>
                <w:szCs w:val="22"/>
              </w:rPr>
            </w:pPr>
            <w:r>
              <w:rPr>
                <w:b/>
                <w:bCs/>
                <w:i/>
                <w:sz w:val="22"/>
                <w:szCs w:val="22"/>
              </w:rPr>
              <w:t>E 15 - C5 Sa</w:t>
            </w:r>
          </w:p>
        </w:tc>
      </w:tr>
      <w:tr w:rsidR="001C08A5" w14:paraId="6F7116AE" w14:textId="77777777">
        <w:tc>
          <w:tcPr>
            <w:tcW w:w="1243" w:type="dxa"/>
          </w:tcPr>
          <w:p w14:paraId="0DF37519" w14:textId="77777777" w:rsidR="001C08A5" w:rsidRDefault="00000000">
            <w:pPr>
              <w:pStyle w:val="BodyText"/>
              <w:jc w:val="center"/>
              <w:rPr>
                <w:bCs w:val="0"/>
                <w:sz w:val="22"/>
                <w:szCs w:val="22"/>
              </w:rPr>
            </w:pPr>
            <w:r>
              <w:rPr>
                <w:bCs w:val="0"/>
                <w:sz w:val="22"/>
                <w:szCs w:val="22"/>
              </w:rPr>
              <w:t>III (+)</w:t>
            </w:r>
          </w:p>
        </w:tc>
        <w:tc>
          <w:tcPr>
            <w:tcW w:w="1971" w:type="dxa"/>
          </w:tcPr>
          <w:p w14:paraId="4FE00B62" w14:textId="77777777" w:rsidR="001C08A5" w:rsidRDefault="00000000">
            <w:pPr>
              <w:jc w:val="center"/>
              <w:rPr>
                <w:b/>
                <w:i/>
                <w:sz w:val="22"/>
                <w:szCs w:val="22"/>
              </w:rPr>
            </w:pPr>
            <w:r>
              <w:rPr>
                <w:b/>
                <w:i/>
                <w:sz w:val="22"/>
                <w:szCs w:val="22"/>
              </w:rPr>
              <w:t xml:space="preserve">EI/REI 60 </w:t>
            </w:r>
          </w:p>
          <w:p w14:paraId="61219D7E" w14:textId="77777777" w:rsidR="001C08A5" w:rsidRDefault="001C08A5">
            <w:pPr>
              <w:jc w:val="center"/>
              <w:rPr>
                <w:b/>
                <w:i/>
                <w:sz w:val="22"/>
                <w:szCs w:val="22"/>
              </w:rPr>
            </w:pPr>
          </w:p>
        </w:tc>
        <w:tc>
          <w:tcPr>
            <w:tcW w:w="1597" w:type="dxa"/>
          </w:tcPr>
          <w:p w14:paraId="61A3E461"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86" w:type="dxa"/>
          </w:tcPr>
          <w:p w14:paraId="677D55DF" w14:textId="77777777" w:rsidR="001C08A5" w:rsidRDefault="00000000">
            <w:pPr>
              <w:jc w:val="center"/>
              <w:rPr>
                <w:b/>
                <w:i/>
                <w:sz w:val="22"/>
                <w:szCs w:val="22"/>
              </w:rPr>
            </w:pPr>
            <w:r>
              <w:rPr>
                <w:b/>
                <w:i/>
                <w:sz w:val="22"/>
                <w:szCs w:val="22"/>
              </w:rPr>
              <w:t xml:space="preserve">REI 45 </w:t>
            </w:r>
          </w:p>
        </w:tc>
        <w:tc>
          <w:tcPr>
            <w:tcW w:w="1696" w:type="dxa"/>
          </w:tcPr>
          <w:p w14:paraId="4E5436C9"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710" w:type="dxa"/>
          </w:tcPr>
          <w:p w14:paraId="0FC690A5" w14:textId="77777777" w:rsidR="001C08A5" w:rsidRDefault="00000000">
            <w:pPr>
              <w:jc w:val="center"/>
              <w:rPr>
                <w:b/>
                <w:i/>
                <w:sz w:val="22"/>
                <w:szCs w:val="22"/>
              </w:rPr>
            </w:pPr>
            <w:r>
              <w:rPr>
                <w:b/>
                <w:bCs/>
                <w:i/>
                <w:sz w:val="22"/>
                <w:szCs w:val="22"/>
              </w:rPr>
              <w:t>E 15 - C5 Sa</w:t>
            </w:r>
          </w:p>
          <w:p w14:paraId="4FA7B254" w14:textId="77777777" w:rsidR="001C08A5" w:rsidRDefault="001C08A5">
            <w:pPr>
              <w:jc w:val="center"/>
              <w:rPr>
                <w:i/>
                <w:strike/>
                <w:sz w:val="22"/>
                <w:szCs w:val="22"/>
              </w:rPr>
            </w:pPr>
          </w:p>
        </w:tc>
      </w:tr>
      <w:tr w:rsidR="001C08A5" w14:paraId="7258E3B6" w14:textId="77777777">
        <w:tc>
          <w:tcPr>
            <w:tcW w:w="1243" w:type="dxa"/>
          </w:tcPr>
          <w:p w14:paraId="60800D11" w14:textId="77777777" w:rsidR="001C08A5" w:rsidRDefault="00000000">
            <w:pPr>
              <w:pStyle w:val="BodyText"/>
              <w:jc w:val="center"/>
              <w:rPr>
                <w:bCs w:val="0"/>
                <w:sz w:val="22"/>
                <w:szCs w:val="22"/>
              </w:rPr>
            </w:pPr>
            <w:r>
              <w:rPr>
                <w:bCs w:val="0"/>
                <w:sz w:val="22"/>
                <w:szCs w:val="22"/>
              </w:rPr>
              <w:t>IV</w:t>
            </w:r>
          </w:p>
        </w:tc>
        <w:tc>
          <w:tcPr>
            <w:tcW w:w="1971" w:type="dxa"/>
          </w:tcPr>
          <w:p w14:paraId="2B8228C2" w14:textId="77777777" w:rsidR="001C08A5" w:rsidRDefault="00000000">
            <w:pPr>
              <w:jc w:val="center"/>
              <w:rPr>
                <w:b/>
                <w:i/>
                <w:sz w:val="22"/>
                <w:szCs w:val="22"/>
              </w:rPr>
            </w:pPr>
            <w:r>
              <w:rPr>
                <w:b/>
                <w:i/>
                <w:sz w:val="22"/>
                <w:szCs w:val="22"/>
              </w:rPr>
              <w:t xml:space="preserve">EI/REI 45 </w:t>
            </w:r>
          </w:p>
          <w:p w14:paraId="3B625D50" w14:textId="77777777" w:rsidR="001C08A5" w:rsidRDefault="001C08A5">
            <w:pPr>
              <w:jc w:val="center"/>
              <w:rPr>
                <w:b/>
                <w:i/>
                <w:strike/>
                <w:sz w:val="22"/>
                <w:szCs w:val="22"/>
              </w:rPr>
            </w:pPr>
          </w:p>
        </w:tc>
        <w:tc>
          <w:tcPr>
            <w:tcW w:w="1597" w:type="dxa"/>
          </w:tcPr>
          <w:p w14:paraId="47A2A0CD"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386" w:type="dxa"/>
          </w:tcPr>
          <w:p w14:paraId="44FFB10A" w14:textId="77777777" w:rsidR="001C08A5" w:rsidRDefault="00000000">
            <w:pPr>
              <w:jc w:val="center"/>
              <w:rPr>
                <w:b/>
                <w:i/>
                <w:sz w:val="22"/>
                <w:szCs w:val="22"/>
              </w:rPr>
            </w:pPr>
            <w:r>
              <w:rPr>
                <w:b/>
                <w:i/>
                <w:sz w:val="22"/>
                <w:szCs w:val="22"/>
              </w:rPr>
              <w:t xml:space="preserve">REI 30 </w:t>
            </w:r>
          </w:p>
        </w:tc>
        <w:tc>
          <w:tcPr>
            <w:tcW w:w="1696" w:type="dxa"/>
          </w:tcPr>
          <w:p w14:paraId="20379AEF"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710" w:type="dxa"/>
          </w:tcPr>
          <w:p w14:paraId="103F958C" w14:textId="77777777" w:rsidR="001C08A5" w:rsidRDefault="00000000">
            <w:pPr>
              <w:jc w:val="center"/>
              <w:rPr>
                <w:i/>
                <w:sz w:val="22"/>
                <w:szCs w:val="22"/>
              </w:rPr>
            </w:pPr>
            <w:r>
              <w:rPr>
                <w:b/>
                <w:bCs/>
                <w:i/>
                <w:sz w:val="22"/>
                <w:szCs w:val="22"/>
              </w:rPr>
              <w:t>-</w:t>
            </w:r>
          </w:p>
        </w:tc>
      </w:tr>
      <w:tr w:rsidR="001C08A5" w14:paraId="1E9962D5" w14:textId="77777777">
        <w:tc>
          <w:tcPr>
            <w:tcW w:w="1243" w:type="dxa"/>
          </w:tcPr>
          <w:p w14:paraId="5724C4BC" w14:textId="77777777" w:rsidR="001C08A5" w:rsidRDefault="00000000">
            <w:pPr>
              <w:pStyle w:val="BodyText"/>
              <w:jc w:val="center"/>
              <w:rPr>
                <w:bCs w:val="0"/>
                <w:sz w:val="22"/>
                <w:szCs w:val="22"/>
              </w:rPr>
            </w:pPr>
            <w:r>
              <w:rPr>
                <w:bCs w:val="0"/>
                <w:sz w:val="22"/>
                <w:szCs w:val="22"/>
              </w:rPr>
              <w:t>V</w:t>
            </w:r>
          </w:p>
        </w:tc>
        <w:tc>
          <w:tcPr>
            <w:tcW w:w="1971" w:type="dxa"/>
          </w:tcPr>
          <w:p w14:paraId="389C57CF" w14:textId="77777777" w:rsidR="001C08A5" w:rsidRDefault="00000000">
            <w:pPr>
              <w:jc w:val="center"/>
              <w:rPr>
                <w:b/>
                <w:i/>
                <w:sz w:val="22"/>
                <w:szCs w:val="22"/>
              </w:rPr>
            </w:pPr>
            <w:r>
              <w:rPr>
                <w:b/>
                <w:i/>
                <w:sz w:val="22"/>
                <w:szCs w:val="22"/>
              </w:rPr>
              <w:t>EI/REI 15</w:t>
            </w:r>
          </w:p>
          <w:p w14:paraId="60E16F2C" w14:textId="77777777" w:rsidR="001C08A5" w:rsidRDefault="001C08A5">
            <w:pPr>
              <w:jc w:val="center"/>
              <w:rPr>
                <w:b/>
                <w:i/>
                <w:strike/>
                <w:sz w:val="22"/>
                <w:szCs w:val="22"/>
              </w:rPr>
            </w:pPr>
          </w:p>
        </w:tc>
        <w:tc>
          <w:tcPr>
            <w:tcW w:w="1597" w:type="dxa"/>
          </w:tcPr>
          <w:p w14:paraId="4372D60F"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 D-s1,d0</w:t>
            </w:r>
          </w:p>
        </w:tc>
        <w:tc>
          <w:tcPr>
            <w:tcW w:w="1386" w:type="dxa"/>
          </w:tcPr>
          <w:p w14:paraId="278AC695" w14:textId="77777777" w:rsidR="001C08A5" w:rsidRDefault="00000000">
            <w:pPr>
              <w:jc w:val="center"/>
              <w:rPr>
                <w:b/>
                <w:i/>
                <w:sz w:val="22"/>
                <w:szCs w:val="22"/>
              </w:rPr>
            </w:pPr>
            <w:r>
              <w:rPr>
                <w:b/>
                <w:i/>
                <w:sz w:val="22"/>
                <w:szCs w:val="22"/>
              </w:rPr>
              <w:t xml:space="preserve">REI 15 </w:t>
            </w:r>
          </w:p>
        </w:tc>
        <w:tc>
          <w:tcPr>
            <w:tcW w:w="1696" w:type="dxa"/>
          </w:tcPr>
          <w:p w14:paraId="11F10066"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 D-s1,d0</w:t>
            </w:r>
          </w:p>
        </w:tc>
        <w:tc>
          <w:tcPr>
            <w:tcW w:w="1710" w:type="dxa"/>
          </w:tcPr>
          <w:p w14:paraId="65A8FA5B" w14:textId="77777777" w:rsidR="001C08A5" w:rsidRDefault="00000000">
            <w:pPr>
              <w:jc w:val="center"/>
              <w:rPr>
                <w:i/>
                <w:strike/>
                <w:sz w:val="22"/>
                <w:szCs w:val="22"/>
              </w:rPr>
            </w:pPr>
            <w:r>
              <w:rPr>
                <w:b/>
                <w:bCs/>
                <w:i/>
                <w:sz w:val="22"/>
                <w:szCs w:val="22"/>
              </w:rPr>
              <w:t>-</w:t>
            </w:r>
          </w:p>
        </w:tc>
      </w:tr>
    </w:tbl>
    <w:p w14:paraId="7D713CD3" w14:textId="77777777" w:rsidR="001C08A5" w:rsidRDefault="00000000">
      <w:pPr>
        <w:autoSpaceDE w:val="0"/>
        <w:rPr>
          <w:i/>
          <w:sz w:val="24"/>
          <w:szCs w:val="24"/>
        </w:rPr>
      </w:pPr>
      <w:r>
        <w:rPr>
          <w:bCs/>
          <w:i/>
          <w:sz w:val="24"/>
          <w:szCs w:val="24"/>
          <w:u w:val="single"/>
        </w:rPr>
        <w:t>Note</w:t>
      </w:r>
      <w:r>
        <w:rPr>
          <w:i/>
          <w:sz w:val="24"/>
          <w:szCs w:val="24"/>
        </w:rPr>
        <w:t>:</w:t>
      </w:r>
    </w:p>
    <w:p w14:paraId="7C37545F" w14:textId="77777777" w:rsidR="001C08A5" w:rsidRDefault="00000000">
      <w:pPr>
        <w:ind w:left="720"/>
        <w:rPr>
          <w:bCs/>
          <w:i/>
          <w:sz w:val="24"/>
          <w:szCs w:val="24"/>
        </w:rPr>
      </w:pPr>
      <w:r>
        <w:rPr>
          <w:b/>
          <w:bCs/>
          <w:i/>
          <w:sz w:val="24"/>
          <w:szCs w:val="24"/>
        </w:rPr>
        <w:t xml:space="preserve">”-” </w:t>
      </w:r>
      <w:r>
        <w:rPr>
          <w:b/>
          <w:i/>
          <w:sz w:val="24"/>
          <w:szCs w:val="24"/>
        </w:rPr>
        <w:t>=</w:t>
      </w:r>
      <w:r>
        <w:rPr>
          <w:bCs/>
          <w:i/>
          <w:sz w:val="24"/>
          <w:szCs w:val="24"/>
        </w:rPr>
        <w:t xml:space="preserve"> fără performanţe determinate la foc </w:t>
      </w:r>
    </w:p>
    <w:p w14:paraId="71ACCC1A"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0D1EEA93"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7619B6E1" w14:textId="77777777" w:rsidR="001C08A5" w:rsidRDefault="001C08A5">
      <w:pPr>
        <w:jc w:val="both"/>
        <w:rPr>
          <w:sz w:val="24"/>
          <w:szCs w:val="24"/>
        </w:rPr>
      </w:pPr>
    </w:p>
    <w:p w14:paraId="5389DFC1" w14:textId="77777777" w:rsidR="001C08A5" w:rsidRDefault="00000000">
      <w:pPr>
        <w:ind w:firstLine="567"/>
        <w:jc w:val="both"/>
        <w:rPr>
          <w:sz w:val="24"/>
          <w:szCs w:val="24"/>
        </w:rPr>
      </w:pPr>
      <w:r>
        <w:rPr>
          <w:b/>
          <w:sz w:val="24"/>
          <w:szCs w:val="24"/>
        </w:rPr>
        <w:t xml:space="preserve">Art. </w:t>
      </w:r>
      <w:r>
        <w:rPr>
          <w:b/>
          <w:bCs/>
          <w:sz w:val="24"/>
          <w:szCs w:val="24"/>
        </w:rPr>
        <w:t>3.2.1.</w:t>
      </w:r>
      <w:r>
        <w:rPr>
          <w:b/>
          <w:sz w:val="24"/>
          <w:szCs w:val="24"/>
        </w:rPr>
        <w:t xml:space="preserve">9. </w:t>
      </w:r>
      <w:r>
        <w:rPr>
          <w:sz w:val="24"/>
          <w:szCs w:val="24"/>
        </w:rPr>
        <w:t xml:space="preserve">Comportarea la foc a pereţilor, uşilor și planşeelor de separare a căilor de evacuare orizontale (coridoare și holuri) şi a uşilor din clădirile de locuit cu înălţimi obişnuite, trebuie să corespundă prevederilor din </w:t>
      </w:r>
      <w:r>
        <w:rPr>
          <w:rFonts w:cs="Mangal"/>
          <w:b/>
          <w:i/>
          <w:iCs/>
          <w:sz w:val="24"/>
          <w:szCs w:val="24"/>
        </w:rPr>
        <w:fldChar w:fldCharType="begin"/>
      </w:r>
      <w:r>
        <w:rPr>
          <w:rFonts w:cs="Mangal"/>
          <w:b/>
          <w:i/>
          <w:iCs/>
          <w:sz w:val="24"/>
          <w:szCs w:val="24"/>
        </w:rPr>
        <w:instrText xml:space="preserve"> REF _Ref14466 \h </w:instrText>
      </w:r>
      <w:r>
        <w:rPr>
          <w:rFonts w:cs="Mangal"/>
          <w:b/>
          <w:i/>
          <w:iCs/>
          <w:sz w:val="24"/>
          <w:szCs w:val="24"/>
        </w:rPr>
      </w:r>
      <w:r>
        <w:rPr>
          <w:rFonts w:cs="Mangal"/>
          <w:b/>
          <w:i/>
          <w:iCs/>
          <w:sz w:val="24"/>
          <w:szCs w:val="24"/>
        </w:rPr>
        <w:fldChar w:fldCharType="separate"/>
      </w:r>
      <w:r>
        <w:t>Tabelul 55</w:t>
      </w:r>
      <w:r>
        <w:rPr>
          <w:rFonts w:cs="Mangal"/>
          <w:b/>
          <w:i/>
          <w:iCs/>
          <w:sz w:val="24"/>
          <w:szCs w:val="24"/>
        </w:rPr>
        <w:fldChar w:fldCharType="end"/>
      </w:r>
      <w:r>
        <w:rPr>
          <w:sz w:val="24"/>
          <w:szCs w:val="24"/>
        </w:rPr>
        <w:t>.</w:t>
      </w:r>
    </w:p>
    <w:p w14:paraId="6B59DF6E" w14:textId="77777777" w:rsidR="001C08A5" w:rsidRDefault="001C08A5">
      <w:pPr>
        <w:jc w:val="both"/>
        <w:rPr>
          <w:sz w:val="24"/>
          <w:szCs w:val="24"/>
        </w:rPr>
      </w:pPr>
    </w:p>
    <w:p w14:paraId="71DD6383" w14:textId="77777777" w:rsidR="001C08A5" w:rsidRDefault="00000000">
      <w:pPr>
        <w:pStyle w:val="Captiontabel"/>
      </w:pPr>
      <w:bookmarkStart w:id="3264" w:name="_Ref14466"/>
      <w:bookmarkStart w:id="3265" w:name="_Toc162360105"/>
      <w:r>
        <w:t xml:space="preserve">Tabelul </w:t>
      </w:r>
      <w:r>
        <w:fldChar w:fldCharType="begin"/>
      </w:r>
      <w:r>
        <w:instrText xml:space="preserve"> SEQ Tabelul \* ARABIC </w:instrText>
      </w:r>
      <w:r>
        <w:fldChar w:fldCharType="separate"/>
      </w:r>
      <w:r>
        <w:t>55</w:t>
      </w:r>
      <w:r>
        <w:fldChar w:fldCharType="end"/>
      </w:r>
      <w:bookmarkStart w:id="3266" w:name="_Toc9748"/>
      <w:bookmarkStart w:id="3267" w:name="_Toc11838"/>
      <w:bookmarkStart w:id="3268" w:name="_Toc29486"/>
      <w:bookmarkStart w:id="3269" w:name="_Toc2961"/>
      <w:bookmarkStart w:id="3270" w:name="_Toc9975"/>
      <w:bookmarkStart w:id="3271" w:name="_Toc14909"/>
      <w:bookmarkStart w:id="3272" w:name="_Toc30089"/>
      <w:bookmarkStart w:id="3273" w:name="_Toc26731"/>
      <w:bookmarkStart w:id="3274" w:name="_Toc32327"/>
      <w:bookmarkStart w:id="3275" w:name="_Toc21698"/>
      <w:bookmarkStart w:id="3276" w:name="_Toc22574"/>
      <w:bookmarkStart w:id="3277" w:name="_Toc6053"/>
      <w:bookmarkStart w:id="3278" w:name="_Toc3473"/>
      <w:bookmarkStart w:id="3279" w:name="_Toc6660"/>
      <w:bookmarkStart w:id="3280" w:name="_Toc24150"/>
      <w:bookmarkStart w:id="3281" w:name="_Toc4173"/>
      <w:bookmarkStart w:id="3282" w:name="_Toc6663"/>
      <w:bookmarkStart w:id="3283" w:name="_Toc16643"/>
      <w:bookmarkStart w:id="3284" w:name="_Toc25185"/>
      <w:bookmarkEnd w:id="3264"/>
      <w:r>
        <w:t>: Comportare la foc a pereţilor, uşilor și planşeelor de separare a căilor de evacuare orizontale (coridoare şi holuri) din clădirile de locuit cu înălţimi obişnuite</w:t>
      </w:r>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p>
    <w:p w14:paraId="553F8FCD" w14:textId="77777777" w:rsidR="001C08A5" w:rsidRDefault="001C08A5">
      <w:pPr>
        <w:jc w:val="both"/>
        <w:rPr>
          <w:b/>
          <w:bCs/>
          <w:strike/>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602"/>
        <w:gridCol w:w="1731"/>
        <w:gridCol w:w="1611"/>
        <w:gridCol w:w="1923"/>
        <w:gridCol w:w="1369"/>
      </w:tblGrid>
      <w:tr w:rsidR="001C08A5" w14:paraId="7C8F6FD4" w14:textId="77777777">
        <w:trPr>
          <w:tblHeader/>
        </w:trPr>
        <w:tc>
          <w:tcPr>
            <w:tcW w:w="1262" w:type="dxa"/>
            <w:vMerge w:val="restart"/>
            <w:shd w:val="clear" w:color="auto" w:fill="BFBFBF"/>
          </w:tcPr>
          <w:p w14:paraId="027C8504" w14:textId="77777777" w:rsidR="001C08A5" w:rsidRDefault="001C08A5">
            <w:pPr>
              <w:pStyle w:val="BodyText"/>
              <w:jc w:val="center"/>
              <w:rPr>
                <w:bCs w:val="0"/>
                <w:sz w:val="22"/>
                <w:szCs w:val="22"/>
              </w:rPr>
            </w:pPr>
          </w:p>
          <w:p w14:paraId="7E07A040" w14:textId="77777777" w:rsidR="001C08A5" w:rsidRDefault="00000000">
            <w:pPr>
              <w:pStyle w:val="BodyText"/>
              <w:jc w:val="center"/>
              <w:rPr>
                <w:bCs w:val="0"/>
                <w:sz w:val="22"/>
                <w:szCs w:val="22"/>
              </w:rPr>
            </w:pPr>
            <w:r>
              <w:rPr>
                <w:bCs w:val="0"/>
                <w:sz w:val="22"/>
                <w:szCs w:val="22"/>
              </w:rPr>
              <w:t>Nivel de stabilitate</w:t>
            </w:r>
          </w:p>
          <w:p w14:paraId="059BA121"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3E812C5B" w14:textId="77777777" w:rsidR="001C08A5" w:rsidRDefault="00000000">
            <w:pPr>
              <w:jc w:val="center"/>
              <w:rPr>
                <w:b/>
                <w:bCs/>
                <w:i/>
                <w:sz w:val="22"/>
                <w:szCs w:val="22"/>
              </w:rPr>
            </w:pPr>
            <w:r>
              <w:rPr>
                <w:b/>
                <w:bCs/>
                <w:i/>
                <w:sz w:val="22"/>
                <w:szCs w:val="22"/>
              </w:rPr>
              <w:t>Niveluri de comportare la foc admise la coridoare şi la holuri</w:t>
            </w:r>
          </w:p>
        </w:tc>
      </w:tr>
      <w:tr w:rsidR="001C08A5" w14:paraId="6F075939" w14:textId="77777777">
        <w:trPr>
          <w:tblHeader/>
        </w:trPr>
        <w:tc>
          <w:tcPr>
            <w:tcW w:w="1262" w:type="dxa"/>
            <w:vMerge/>
            <w:shd w:val="clear" w:color="auto" w:fill="BFBFBF"/>
          </w:tcPr>
          <w:p w14:paraId="25C210E0" w14:textId="77777777" w:rsidR="001C08A5" w:rsidRDefault="001C08A5">
            <w:pPr>
              <w:jc w:val="center"/>
              <w:rPr>
                <w:i/>
                <w:sz w:val="22"/>
                <w:szCs w:val="22"/>
              </w:rPr>
            </w:pPr>
          </w:p>
        </w:tc>
        <w:tc>
          <w:tcPr>
            <w:tcW w:w="3333" w:type="dxa"/>
            <w:gridSpan w:val="2"/>
            <w:shd w:val="clear" w:color="auto" w:fill="BFBFBF"/>
          </w:tcPr>
          <w:p w14:paraId="210E3AC4" w14:textId="77777777" w:rsidR="001C08A5" w:rsidRDefault="001C08A5">
            <w:pPr>
              <w:jc w:val="center"/>
              <w:rPr>
                <w:b/>
                <w:bCs/>
                <w:i/>
                <w:sz w:val="22"/>
                <w:szCs w:val="22"/>
              </w:rPr>
            </w:pPr>
          </w:p>
          <w:p w14:paraId="39F13F6E" w14:textId="77777777" w:rsidR="001C08A5" w:rsidRDefault="00000000">
            <w:pPr>
              <w:jc w:val="center"/>
              <w:rPr>
                <w:i/>
                <w:sz w:val="22"/>
                <w:szCs w:val="22"/>
              </w:rPr>
            </w:pPr>
            <w:r>
              <w:rPr>
                <w:b/>
                <w:bCs/>
                <w:i/>
                <w:sz w:val="22"/>
                <w:szCs w:val="22"/>
              </w:rPr>
              <w:t>Pereţi</w:t>
            </w:r>
          </w:p>
        </w:tc>
        <w:tc>
          <w:tcPr>
            <w:tcW w:w="3534" w:type="dxa"/>
            <w:gridSpan w:val="2"/>
            <w:shd w:val="clear" w:color="auto" w:fill="BFBFBF"/>
          </w:tcPr>
          <w:p w14:paraId="771B2AB6"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369" w:type="dxa"/>
            <w:shd w:val="clear" w:color="auto" w:fill="BFBFBF"/>
          </w:tcPr>
          <w:p w14:paraId="68427A75" w14:textId="77777777" w:rsidR="001C08A5" w:rsidRDefault="00000000">
            <w:pPr>
              <w:jc w:val="center"/>
              <w:rPr>
                <w:b/>
                <w:bCs/>
                <w:i/>
                <w:sz w:val="22"/>
                <w:szCs w:val="22"/>
              </w:rPr>
            </w:pPr>
            <w:r>
              <w:rPr>
                <w:b/>
                <w:bCs/>
                <w:i/>
                <w:sz w:val="22"/>
                <w:szCs w:val="22"/>
              </w:rPr>
              <w:t>Uşi</w:t>
            </w:r>
          </w:p>
          <w:p w14:paraId="5960BB89" w14:textId="77777777" w:rsidR="001C08A5" w:rsidRDefault="00000000">
            <w:pPr>
              <w:jc w:val="center"/>
              <w:rPr>
                <w:i/>
                <w:sz w:val="22"/>
                <w:szCs w:val="22"/>
              </w:rPr>
            </w:pPr>
            <w:r>
              <w:rPr>
                <w:bCs/>
                <w:i/>
                <w:sz w:val="22"/>
                <w:szCs w:val="22"/>
              </w:rPr>
              <w:t>(cu excepţia celor către case de scări închise)</w:t>
            </w:r>
          </w:p>
        </w:tc>
      </w:tr>
      <w:tr w:rsidR="001C08A5" w14:paraId="2B408AD9" w14:textId="77777777">
        <w:tc>
          <w:tcPr>
            <w:tcW w:w="1262" w:type="dxa"/>
          </w:tcPr>
          <w:p w14:paraId="07F6D37A" w14:textId="77777777" w:rsidR="001C08A5" w:rsidRDefault="00000000">
            <w:pPr>
              <w:pStyle w:val="BodyText"/>
              <w:jc w:val="center"/>
              <w:rPr>
                <w:bCs w:val="0"/>
                <w:sz w:val="22"/>
                <w:szCs w:val="22"/>
              </w:rPr>
            </w:pPr>
            <w:r>
              <w:rPr>
                <w:bCs w:val="0"/>
                <w:sz w:val="22"/>
                <w:szCs w:val="22"/>
              </w:rPr>
              <w:t>I</w:t>
            </w:r>
          </w:p>
          <w:p w14:paraId="231B94DD" w14:textId="77777777" w:rsidR="001C08A5" w:rsidRDefault="00000000">
            <w:pPr>
              <w:pStyle w:val="BodyText"/>
              <w:jc w:val="center"/>
              <w:rPr>
                <w:bCs w:val="0"/>
                <w:sz w:val="22"/>
                <w:szCs w:val="22"/>
              </w:rPr>
            </w:pPr>
            <w:r>
              <w:rPr>
                <w:sz w:val="22"/>
                <w:szCs w:val="22"/>
              </w:rPr>
              <w:t>h&lt;28m</w:t>
            </w:r>
          </w:p>
        </w:tc>
        <w:tc>
          <w:tcPr>
            <w:tcW w:w="1602" w:type="dxa"/>
          </w:tcPr>
          <w:p w14:paraId="742A95D5" w14:textId="77777777" w:rsidR="001C08A5" w:rsidRDefault="00000000">
            <w:pPr>
              <w:jc w:val="center"/>
              <w:rPr>
                <w:b/>
                <w:i/>
                <w:sz w:val="22"/>
                <w:szCs w:val="22"/>
              </w:rPr>
            </w:pPr>
            <w:r>
              <w:rPr>
                <w:b/>
                <w:i/>
                <w:sz w:val="22"/>
                <w:szCs w:val="22"/>
              </w:rPr>
              <w:t xml:space="preserve">EI/REI 90 </w:t>
            </w:r>
          </w:p>
          <w:p w14:paraId="20C30B62" w14:textId="77777777" w:rsidR="001C08A5" w:rsidRDefault="001C08A5">
            <w:pPr>
              <w:jc w:val="center"/>
              <w:rPr>
                <w:b/>
                <w:i/>
                <w:sz w:val="22"/>
                <w:szCs w:val="22"/>
              </w:rPr>
            </w:pPr>
          </w:p>
        </w:tc>
        <w:tc>
          <w:tcPr>
            <w:tcW w:w="1731" w:type="dxa"/>
          </w:tcPr>
          <w:p w14:paraId="759883F1"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11" w:type="dxa"/>
            <w:vMerge w:val="restart"/>
            <w:textDirection w:val="lrTbV"/>
          </w:tcPr>
          <w:p w14:paraId="770AB07B" w14:textId="77777777" w:rsidR="001C08A5" w:rsidRDefault="00000000">
            <w:pPr>
              <w:jc w:val="center"/>
              <w:rPr>
                <w:b/>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rStyle w:val="BodyTextChar"/>
                <w:iCs/>
                <w:sz w:val="22"/>
                <w:szCs w:val="22"/>
              </w:rPr>
              <w:t>,</w:t>
            </w:r>
            <w:r>
              <w:rPr>
                <w:b/>
                <w:bCs/>
                <w:i/>
                <w:iCs/>
                <w:sz w:val="24"/>
                <w:szCs w:val="24"/>
              </w:rPr>
              <w:t xml:space="preserve"> pct. 3</w:t>
            </w:r>
          </w:p>
          <w:p w14:paraId="7021494E" w14:textId="77777777" w:rsidR="001C08A5" w:rsidRDefault="001C08A5">
            <w:pPr>
              <w:rPr>
                <w:i/>
                <w:sz w:val="22"/>
                <w:szCs w:val="22"/>
              </w:rPr>
            </w:pPr>
          </w:p>
          <w:p w14:paraId="48062175" w14:textId="77777777" w:rsidR="001C08A5" w:rsidRDefault="00000000">
            <w:pPr>
              <w:rPr>
                <w:b/>
                <w:i/>
                <w:sz w:val="22"/>
                <w:szCs w:val="22"/>
              </w:rPr>
            </w:pPr>
            <w:r>
              <w:rPr>
                <w:i/>
                <w:sz w:val="22"/>
                <w:szCs w:val="22"/>
              </w:rPr>
              <w:t xml:space="preserve">Condiţiile minime de rezistenţă la foc pe care trebuie să le </w:t>
            </w:r>
            <w:r>
              <w:rPr>
                <w:i/>
                <w:sz w:val="22"/>
                <w:szCs w:val="22"/>
              </w:rPr>
              <w:lastRenderedPageBreak/>
              <w:t>îndeplinească  PLANȘEELE (</w:t>
            </w:r>
            <w:r>
              <w:rPr>
                <w:b/>
                <w:bCs/>
                <w:i/>
                <w:sz w:val="22"/>
                <w:szCs w:val="22"/>
              </w:rPr>
              <w:t>REI</w:t>
            </w:r>
            <w:r>
              <w:rPr>
                <w:i/>
                <w:sz w:val="22"/>
                <w:szCs w:val="22"/>
              </w:rPr>
              <w:t>) pentru încadrarea  în nivelul stabilit de stabilitate la incendiu.</w:t>
            </w:r>
          </w:p>
        </w:tc>
        <w:tc>
          <w:tcPr>
            <w:tcW w:w="1923" w:type="dxa"/>
          </w:tcPr>
          <w:p w14:paraId="2E3E638A" w14:textId="77777777" w:rsidR="001C08A5" w:rsidRDefault="00000000">
            <w:pPr>
              <w:jc w:val="center"/>
              <w:rPr>
                <w:i/>
                <w:sz w:val="22"/>
                <w:szCs w:val="22"/>
              </w:rPr>
            </w:pPr>
            <w:r>
              <w:rPr>
                <w:b/>
                <w:i/>
                <w:sz w:val="22"/>
                <w:szCs w:val="22"/>
              </w:rPr>
              <w:lastRenderedPageBreak/>
              <w:t>A1</w:t>
            </w:r>
            <w:r>
              <w:rPr>
                <w:bCs/>
                <w:i/>
                <w:sz w:val="22"/>
                <w:szCs w:val="22"/>
              </w:rPr>
              <w:t xml:space="preserve"> sau </w:t>
            </w:r>
            <w:r>
              <w:rPr>
                <w:b/>
                <w:i/>
                <w:sz w:val="22"/>
                <w:szCs w:val="22"/>
              </w:rPr>
              <w:t>A2-s1d0</w:t>
            </w:r>
          </w:p>
        </w:tc>
        <w:tc>
          <w:tcPr>
            <w:tcW w:w="1369" w:type="dxa"/>
          </w:tcPr>
          <w:p w14:paraId="2A7D7D66" w14:textId="77777777" w:rsidR="001C08A5" w:rsidRDefault="00000000">
            <w:pPr>
              <w:jc w:val="center"/>
              <w:rPr>
                <w:i/>
                <w:sz w:val="22"/>
                <w:szCs w:val="22"/>
              </w:rPr>
            </w:pPr>
            <w:r>
              <w:rPr>
                <w:b/>
                <w:bCs/>
                <w:i/>
                <w:sz w:val="22"/>
                <w:szCs w:val="22"/>
              </w:rPr>
              <w:t>-</w:t>
            </w:r>
          </w:p>
        </w:tc>
      </w:tr>
      <w:tr w:rsidR="001C08A5" w14:paraId="11C7205F" w14:textId="77777777">
        <w:tc>
          <w:tcPr>
            <w:tcW w:w="1262" w:type="dxa"/>
          </w:tcPr>
          <w:p w14:paraId="661B63AC" w14:textId="77777777" w:rsidR="001C08A5" w:rsidRDefault="00000000">
            <w:pPr>
              <w:pStyle w:val="BodyText"/>
              <w:jc w:val="center"/>
              <w:rPr>
                <w:bCs w:val="0"/>
                <w:sz w:val="22"/>
                <w:szCs w:val="22"/>
              </w:rPr>
            </w:pPr>
            <w:r>
              <w:rPr>
                <w:bCs w:val="0"/>
                <w:sz w:val="22"/>
                <w:szCs w:val="22"/>
              </w:rPr>
              <w:t>II</w:t>
            </w:r>
          </w:p>
        </w:tc>
        <w:tc>
          <w:tcPr>
            <w:tcW w:w="1602" w:type="dxa"/>
          </w:tcPr>
          <w:p w14:paraId="43CBAA35" w14:textId="77777777" w:rsidR="001C08A5" w:rsidRDefault="00000000">
            <w:pPr>
              <w:jc w:val="center"/>
              <w:rPr>
                <w:b/>
                <w:i/>
                <w:sz w:val="22"/>
                <w:szCs w:val="22"/>
              </w:rPr>
            </w:pPr>
            <w:r>
              <w:rPr>
                <w:b/>
                <w:i/>
                <w:sz w:val="22"/>
                <w:szCs w:val="22"/>
              </w:rPr>
              <w:t xml:space="preserve">EI/REI 60 </w:t>
            </w:r>
          </w:p>
          <w:p w14:paraId="774D7C3B" w14:textId="77777777" w:rsidR="001C08A5" w:rsidRDefault="001C08A5">
            <w:pPr>
              <w:jc w:val="center"/>
              <w:rPr>
                <w:b/>
                <w:i/>
                <w:sz w:val="22"/>
                <w:szCs w:val="22"/>
              </w:rPr>
            </w:pPr>
          </w:p>
        </w:tc>
        <w:tc>
          <w:tcPr>
            <w:tcW w:w="1731" w:type="dxa"/>
          </w:tcPr>
          <w:p w14:paraId="72A3E07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11" w:type="dxa"/>
            <w:vMerge/>
          </w:tcPr>
          <w:p w14:paraId="13E7FB65" w14:textId="77777777" w:rsidR="001C08A5" w:rsidRDefault="001C08A5">
            <w:pPr>
              <w:jc w:val="center"/>
              <w:rPr>
                <w:b/>
                <w:i/>
                <w:sz w:val="22"/>
                <w:szCs w:val="22"/>
              </w:rPr>
            </w:pPr>
          </w:p>
        </w:tc>
        <w:tc>
          <w:tcPr>
            <w:tcW w:w="1923" w:type="dxa"/>
          </w:tcPr>
          <w:p w14:paraId="45A41F64"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69" w:type="dxa"/>
          </w:tcPr>
          <w:p w14:paraId="44552707" w14:textId="77777777" w:rsidR="001C08A5" w:rsidRDefault="00000000">
            <w:pPr>
              <w:jc w:val="center"/>
              <w:rPr>
                <w:i/>
                <w:sz w:val="22"/>
                <w:szCs w:val="22"/>
              </w:rPr>
            </w:pPr>
            <w:r>
              <w:rPr>
                <w:b/>
                <w:bCs/>
                <w:i/>
                <w:sz w:val="22"/>
                <w:szCs w:val="22"/>
              </w:rPr>
              <w:t>-</w:t>
            </w:r>
          </w:p>
        </w:tc>
      </w:tr>
      <w:tr w:rsidR="001C08A5" w14:paraId="6119BE8D" w14:textId="77777777">
        <w:tc>
          <w:tcPr>
            <w:tcW w:w="1262" w:type="dxa"/>
          </w:tcPr>
          <w:p w14:paraId="1F319469" w14:textId="77777777" w:rsidR="001C08A5" w:rsidRDefault="00000000">
            <w:pPr>
              <w:pStyle w:val="BodyText"/>
              <w:jc w:val="center"/>
              <w:rPr>
                <w:bCs w:val="0"/>
                <w:sz w:val="22"/>
                <w:szCs w:val="22"/>
              </w:rPr>
            </w:pPr>
            <w:r>
              <w:rPr>
                <w:bCs w:val="0"/>
                <w:sz w:val="22"/>
                <w:szCs w:val="22"/>
              </w:rPr>
              <w:t>II (+)</w:t>
            </w:r>
          </w:p>
        </w:tc>
        <w:tc>
          <w:tcPr>
            <w:tcW w:w="1602" w:type="dxa"/>
          </w:tcPr>
          <w:p w14:paraId="4C1746F4" w14:textId="77777777" w:rsidR="001C08A5" w:rsidRDefault="00000000">
            <w:pPr>
              <w:jc w:val="center"/>
              <w:rPr>
                <w:b/>
                <w:i/>
                <w:sz w:val="22"/>
                <w:szCs w:val="22"/>
              </w:rPr>
            </w:pPr>
            <w:r>
              <w:rPr>
                <w:b/>
                <w:i/>
                <w:sz w:val="22"/>
                <w:szCs w:val="22"/>
              </w:rPr>
              <w:t>EI/REI 60</w:t>
            </w:r>
          </w:p>
          <w:p w14:paraId="3409CB12" w14:textId="77777777" w:rsidR="001C08A5" w:rsidRDefault="001C08A5">
            <w:pPr>
              <w:jc w:val="center"/>
              <w:rPr>
                <w:b/>
                <w:i/>
                <w:sz w:val="22"/>
                <w:szCs w:val="22"/>
              </w:rPr>
            </w:pPr>
          </w:p>
        </w:tc>
        <w:tc>
          <w:tcPr>
            <w:tcW w:w="1731" w:type="dxa"/>
          </w:tcPr>
          <w:p w14:paraId="76C02F80"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611" w:type="dxa"/>
            <w:vMerge/>
          </w:tcPr>
          <w:p w14:paraId="45EB4A05" w14:textId="77777777" w:rsidR="001C08A5" w:rsidRDefault="001C08A5">
            <w:pPr>
              <w:jc w:val="center"/>
              <w:rPr>
                <w:b/>
                <w:i/>
                <w:sz w:val="22"/>
                <w:szCs w:val="22"/>
              </w:rPr>
            </w:pPr>
          </w:p>
        </w:tc>
        <w:tc>
          <w:tcPr>
            <w:tcW w:w="1923" w:type="dxa"/>
          </w:tcPr>
          <w:p w14:paraId="6E8379DB"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69" w:type="dxa"/>
          </w:tcPr>
          <w:p w14:paraId="44E6B0CF" w14:textId="77777777" w:rsidR="001C08A5" w:rsidRDefault="00000000">
            <w:pPr>
              <w:jc w:val="center"/>
              <w:rPr>
                <w:b/>
                <w:bCs/>
                <w:i/>
                <w:sz w:val="22"/>
                <w:szCs w:val="22"/>
              </w:rPr>
            </w:pPr>
            <w:r>
              <w:rPr>
                <w:b/>
                <w:bCs/>
                <w:i/>
                <w:sz w:val="22"/>
                <w:szCs w:val="22"/>
              </w:rPr>
              <w:t>-</w:t>
            </w:r>
          </w:p>
        </w:tc>
      </w:tr>
      <w:tr w:rsidR="001C08A5" w14:paraId="07494461" w14:textId="77777777">
        <w:tc>
          <w:tcPr>
            <w:tcW w:w="1262" w:type="dxa"/>
          </w:tcPr>
          <w:p w14:paraId="33B020C2" w14:textId="77777777" w:rsidR="001C08A5" w:rsidRDefault="00000000">
            <w:pPr>
              <w:pStyle w:val="BodyText"/>
              <w:jc w:val="center"/>
              <w:rPr>
                <w:bCs w:val="0"/>
                <w:sz w:val="22"/>
                <w:szCs w:val="22"/>
              </w:rPr>
            </w:pPr>
            <w:r>
              <w:rPr>
                <w:bCs w:val="0"/>
                <w:sz w:val="22"/>
                <w:szCs w:val="22"/>
              </w:rPr>
              <w:t>III</w:t>
            </w:r>
          </w:p>
        </w:tc>
        <w:tc>
          <w:tcPr>
            <w:tcW w:w="1602" w:type="dxa"/>
          </w:tcPr>
          <w:p w14:paraId="06E57DC9" w14:textId="77777777" w:rsidR="001C08A5" w:rsidRDefault="00000000">
            <w:pPr>
              <w:jc w:val="center"/>
              <w:rPr>
                <w:b/>
                <w:i/>
                <w:sz w:val="22"/>
                <w:szCs w:val="22"/>
              </w:rPr>
            </w:pPr>
            <w:r>
              <w:rPr>
                <w:b/>
                <w:i/>
                <w:sz w:val="22"/>
                <w:szCs w:val="22"/>
              </w:rPr>
              <w:t xml:space="preserve">EI/REI 45 </w:t>
            </w:r>
          </w:p>
          <w:p w14:paraId="2D172A30" w14:textId="77777777" w:rsidR="001C08A5" w:rsidRDefault="001C08A5">
            <w:pPr>
              <w:jc w:val="center"/>
              <w:rPr>
                <w:b/>
                <w:i/>
                <w:sz w:val="22"/>
                <w:szCs w:val="22"/>
              </w:rPr>
            </w:pPr>
          </w:p>
        </w:tc>
        <w:tc>
          <w:tcPr>
            <w:tcW w:w="1731" w:type="dxa"/>
          </w:tcPr>
          <w:p w14:paraId="6CBA46AE"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611" w:type="dxa"/>
            <w:vMerge/>
          </w:tcPr>
          <w:p w14:paraId="413679D9" w14:textId="77777777" w:rsidR="001C08A5" w:rsidRDefault="001C08A5">
            <w:pPr>
              <w:jc w:val="center"/>
              <w:rPr>
                <w:b/>
                <w:i/>
                <w:sz w:val="22"/>
                <w:szCs w:val="22"/>
              </w:rPr>
            </w:pPr>
          </w:p>
        </w:tc>
        <w:tc>
          <w:tcPr>
            <w:tcW w:w="1923" w:type="dxa"/>
          </w:tcPr>
          <w:p w14:paraId="61ED3E64"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657F63E2" w14:textId="77777777" w:rsidR="001C08A5" w:rsidRDefault="001C08A5">
            <w:pPr>
              <w:rPr>
                <w:i/>
                <w:sz w:val="22"/>
                <w:szCs w:val="22"/>
              </w:rPr>
            </w:pPr>
          </w:p>
        </w:tc>
        <w:tc>
          <w:tcPr>
            <w:tcW w:w="1369" w:type="dxa"/>
          </w:tcPr>
          <w:p w14:paraId="6327C1F8" w14:textId="77777777" w:rsidR="001C08A5" w:rsidRDefault="00000000">
            <w:pPr>
              <w:jc w:val="center"/>
              <w:rPr>
                <w:i/>
                <w:sz w:val="22"/>
                <w:szCs w:val="22"/>
              </w:rPr>
            </w:pPr>
            <w:r>
              <w:rPr>
                <w:b/>
                <w:bCs/>
                <w:i/>
                <w:sz w:val="22"/>
                <w:szCs w:val="22"/>
              </w:rPr>
              <w:t>-</w:t>
            </w:r>
          </w:p>
        </w:tc>
      </w:tr>
      <w:tr w:rsidR="001C08A5" w14:paraId="1E8DB91C" w14:textId="77777777">
        <w:tc>
          <w:tcPr>
            <w:tcW w:w="1262" w:type="dxa"/>
          </w:tcPr>
          <w:p w14:paraId="20D0E554" w14:textId="77777777" w:rsidR="001C08A5" w:rsidRDefault="00000000">
            <w:pPr>
              <w:pStyle w:val="BodyText"/>
              <w:jc w:val="center"/>
              <w:rPr>
                <w:bCs w:val="0"/>
                <w:sz w:val="22"/>
                <w:szCs w:val="22"/>
              </w:rPr>
            </w:pPr>
            <w:r>
              <w:rPr>
                <w:bCs w:val="0"/>
                <w:sz w:val="22"/>
                <w:szCs w:val="22"/>
              </w:rPr>
              <w:t>III (+)</w:t>
            </w:r>
          </w:p>
        </w:tc>
        <w:tc>
          <w:tcPr>
            <w:tcW w:w="1602" w:type="dxa"/>
          </w:tcPr>
          <w:p w14:paraId="08FA81D0" w14:textId="77777777" w:rsidR="001C08A5" w:rsidRDefault="00000000">
            <w:pPr>
              <w:jc w:val="center"/>
              <w:rPr>
                <w:b/>
                <w:i/>
                <w:sz w:val="22"/>
                <w:szCs w:val="22"/>
              </w:rPr>
            </w:pPr>
            <w:r>
              <w:rPr>
                <w:b/>
                <w:i/>
                <w:sz w:val="22"/>
                <w:szCs w:val="22"/>
              </w:rPr>
              <w:t xml:space="preserve">EI/REI 45 </w:t>
            </w:r>
          </w:p>
          <w:p w14:paraId="0D52C82E" w14:textId="77777777" w:rsidR="001C08A5" w:rsidRDefault="001C08A5">
            <w:pPr>
              <w:jc w:val="center"/>
              <w:rPr>
                <w:b/>
                <w:i/>
                <w:sz w:val="22"/>
                <w:szCs w:val="22"/>
              </w:rPr>
            </w:pPr>
          </w:p>
        </w:tc>
        <w:tc>
          <w:tcPr>
            <w:tcW w:w="1731" w:type="dxa"/>
          </w:tcPr>
          <w:p w14:paraId="3BD6485B"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A2-s1d0,B-s1d0</w:t>
            </w:r>
          </w:p>
        </w:tc>
        <w:tc>
          <w:tcPr>
            <w:tcW w:w="1611" w:type="dxa"/>
            <w:vMerge/>
          </w:tcPr>
          <w:p w14:paraId="26A29504" w14:textId="77777777" w:rsidR="001C08A5" w:rsidRDefault="001C08A5">
            <w:pPr>
              <w:jc w:val="center"/>
              <w:rPr>
                <w:b/>
                <w:i/>
                <w:sz w:val="22"/>
                <w:szCs w:val="22"/>
              </w:rPr>
            </w:pPr>
          </w:p>
        </w:tc>
        <w:tc>
          <w:tcPr>
            <w:tcW w:w="1923" w:type="dxa"/>
          </w:tcPr>
          <w:p w14:paraId="463B78A5"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 B-s1d0</w:t>
            </w:r>
          </w:p>
        </w:tc>
        <w:tc>
          <w:tcPr>
            <w:tcW w:w="1369" w:type="dxa"/>
          </w:tcPr>
          <w:p w14:paraId="729022A3" w14:textId="77777777" w:rsidR="001C08A5" w:rsidRDefault="00000000">
            <w:pPr>
              <w:jc w:val="center"/>
              <w:rPr>
                <w:b/>
                <w:bCs/>
                <w:i/>
                <w:sz w:val="22"/>
                <w:szCs w:val="22"/>
              </w:rPr>
            </w:pPr>
            <w:r>
              <w:rPr>
                <w:b/>
                <w:bCs/>
                <w:i/>
                <w:sz w:val="22"/>
                <w:szCs w:val="22"/>
              </w:rPr>
              <w:t>-</w:t>
            </w:r>
          </w:p>
        </w:tc>
      </w:tr>
      <w:tr w:rsidR="001C08A5" w14:paraId="6160C312" w14:textId="77777777">
        <w:tc>
          <w:tcPr>
            <w:tcW w:w="1262" w:type="dxa"/>
          </w:tcPr>
          <w:p w14:paraId="3E031E3F" w14:textId="77777777" w:rsidR="001C08A5" w:rsidRDefault="00000000">
            <w:pPr>
              <w:pStyle w:val="BodyText"/>
              <w:jc w:val="center"/>
              <w:rPr>
                <w:bCs w:val="0"/>
                <w:sz w:val="22"/>
                <w:szCs w:val="22"/>
              </w:rPr>
            </w:pPr>
            <w:r>
              <w:rPr>
                <w:bCs w:val="0"/>
                <w:sz w:val="22"/>
                <w:szCs w:val="22"/>
              </w:rPr>
              <w:lastRenderedPageBreak/>
              <w:t>IV</w:t>
            </w:r>
          </w:p>
        </w:tc>
        <w:tc>
          <w:tcPr>
            <w:tcW w:w="1602" w:type="dxa"/>
          </w:tcPr>
          <w:p w14:paraId="18AC1DC6" w14:textId="77777777" w:rsidR="001C08A5" w:rsidRDefault="00000000">
            <w:pPr>
              <w:jc w:val="center"/>
              <w:rPr>
                <w:b/>
                <w:i/>
                <w:sz w:val="22"/>
                <w:szCs w:val="22"/>
              </w:rPr>
            </w:pPr>
            <w:r>
              <w:rPr>
                <w:b/>
                <w:i/>
                <w:sz w:val="22"/>
                <w:szCs w:val="22"/>
              </w:rPr>
              <w:t xml:space="preserve">EI/REI 30 </w:t>
            </w:r>
          </w:p>
          <w:p w14:paraId="1DFEE1F7" w14:textId="77777777" w:rsidR="001C08A5" w:rsidRDefault="001C08A5">
            <w:pPr>
              <w:jc w:val="center"/>
              <w:rPr>
                <w:b/>
                <w:i/>
                <w:sz w:val="22"/>
                <w:szCs w:val="22"/>
              </w:rPr>
            </w:pPr>
          </w:p>
        </w:tc>
        <w:tc>
          <w:tcPr>
            <w:tcW w:w="1731" w:type="dxa"/>
          </w:tcPr>
          <w:p w14:paraId="562F7A93"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611" w:type="dxa"/>
            <w:vMerge/>
          </w:tcPr>
          <w:p w14:paraId="767E3BEE" w14:textId="77777777" w:rsidR="001C08A5" w:rsidRDefault="001C08A5">
            <w:pPr>
              <w:jc w:val="center"/>
              <w:rPr>
                <w:b/>
                <w:i/>
                <w:sz w:val="22"/>
                <w:szCs w:val="22"/>
              </w:rPr>
            </w:pPr>
          </w:p>
        </w:tc>
        <w:tc>
          <w:tcPr>
            <w:tcW w:w="1923" w:type="dxa"/>
          </w:tcPr>
          <w:p w14:paraId="63CE1431"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 B-s1d0</w:t>
            </w:r>
          </w:p>
        </w:tc>
        <w:tc>
          <w:tcPr>
            <w:tcW w:w="1369" w:type="dxa"/>
          </w:tcPr>
          <w:p w14:paraId="73E98A04" w14:textId="77777777" w:rsidR="001C08A5" w:rsidRDefault="00000000">
            <w:pPr>
              <w:jc w:val="center"/>
              <w:rPr>
                <w:i/>
                <w:sz w:val="22"/>
                <w:szCs w:val="22"/>
              </w:rPr>
            </w:pPr>
            <w:r>
              <w:rPr>
                <w:b/>
                <w:bCs/>
                <w:i/>
                <w:sz w:val="22"/>
                <w:szCs w:val="22"/>
              </w:rPr>
              <w:t>-</w:t>
            </w:r>
          </w:p>
        </w:tc>
      </w:tr>
      <w:tr w:rsidR="001C08A5" w14:paraId="61AAC0E9" w14:textId="77777777">
        <w:tc>
          <w:tcPr>
            <w:tcW w:w="1262" w:type="dxa"/>
          </w:tcPr>
          <w:p w14:paraId="5828810C" w14:textId="77777777" w:rsidR="001C08A5" w:rsidRDefault="00000000">
            <w:pPr>
              <w:pStyle w:val="BodyText"/>
              <w:jc w:val="center"/>
              <w:rPr>
                <w:bCs w:val="0"/>
                <w:sz w:val="22"/>
                <w:szCs w:val="22"/>
              </w:rPr>
            </w:pPr>
            <w:r>
              <w:rPr>
                <w:bCs w:val="0"/>
                <w:sz w:val="22"/>
                <w:szCs w:val="22"/>
              </w:rPr>
              <w:t>V</w:t>
            </w:r>
          </w:p>
        </w:tc>
        <w:tc>
          <w:tcPr>
            <w:tcW w:w="1602" w:type="dxa"/>
          </w:tcPr>
          <w:p w14:paraId="24EB9EB3" w14:textId="77777777" w:rsidR="001C08A5" w:rsidRDefault="00000000">
            <w:pPr>
              <w:jc w:val="center"/>
              <w:rPr>
                <w:b/>
                <w:i/>
                <w:sz w:val="22"/>
                <w:szCs w:val="22"/>
              </w:rPr>
            </w:pPr>
            <w:r>
              <w:rPr>
                <w:b/>
                <w:i/>
                <w:sz w:val="22"/>
                <w:szCs w:val="22"/>
              </w:rPr>
              <w:t xml:space="preserve">EI/REI 15 </w:t>
            </w:r>
          </w:p>
          <w:p w14:paraId="7E33FDBC" w14:textId="77777777" w:rsidR="001C08A5" w:rsidRDefault="001C08A5">
            <w:pPr>
              <w:jc w:val="center"/>
              <w:rPr>
                <w:b/>
                <w:i/>
                <w:sz w:val="22"/>
                <w:szCs w:val="22"/>
              </w:rPr>
            </w:pPr>
          </w:p>
        </w:tc>
        <w:tc>
          <w:tcPr>
            <w:tcW w:w="1731" w:type="dxa"/>
          </w:tcPr>
          <w:p w14:paraId="2B9A04CB"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B-s2d0</w:t>
            </w:r>
            <w:r>
              <w:rPr>
                <w:bCs/>
                <w:i/>
                <w:sz w:val="22"/>
                <w:szCs w:val="22"/>
              </w:rPr>
              <w:t xml:space="preserve">, </w:t>
            </w:r>
            <w:r>
              <w:rPr>
                <w:b/>
                <w:bCs/>
                <w:i/>
                <w:sz w:val="22"/>
                <w:szCs w:val="22"/>
              </w:rPr>
              <w:t xml:space="preserve">C-s1d0, C-s2d0, D-s1d0 </w:t>
            </w:r>
            <w:r>
              <w:rPr>
                <w:bCs/>
                <w:i/>
                <w:sz w:val="22"/>
                <w:szCs w:val="22"/>
              </w:rPr>
              <w:t>sau</w:t>
            </w:r>
            <w:r>
              <w:rPr>
                <w:b/>
                <w:bCs/>
                <w:i/>
                <w:sz w:val="22"/>
                <w:szCs w:val="22"/>
              </w:rPr>
              <w:t xml:space="preserve"> D-s2d0</w:t>
            </w:r>
          </w:p>
        </w:tc>
        <w:tc>
          <w:tcPr>
            <w:tcW w:w="1611" w:type="dxa"/>
            <w:vMerge/>
          </w:tcPr>
          <w:p w14:paraId="4EB69E03" w14:textId="77777777" w:rsidR="001C08A5" w:rsidRDefault="001C08A5">
            <w:pPr>
              <w:jc w:val="center"/>
              <w:rPr>
                <w:b/>
                <w:i/>
                <w:sz w:val="22"/>
                <w:szCs w:val="22"/>
              </w:rPr>
            </w:pPr>
          </w:p>
        </w:tc>
        <w:tc>
          <w:tcPr>
            <w:tcW w:w="1923" w:type="dxa"/>
          </w:tcPr>
          <w:p w14:paraId="4ED8B0C1"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B-s2d0</w:t>
            </w:r>
            <w:r>
              <w:rPr>
                <w:bCs/>
                <w:i/>
                <w:sz w:val="22"/>
                <w:szCs w:val="22"/>
              </w:rPr>
              <w:t xml:space="preserve">, </w:t>
            </w:r>
            <w:r>
              <w:rPr>
                <w:b/>
                <w:bCs/>
                <w:i/>
                <w:sz w:val="22"/>
                <w:szCs w:val="22"/>
              </w:rPr>
              <w:t xml:space="preserve">C-s1d0 </w:t>
            </w:r>
            <w:r>
              <w:rPr>
                <w:bCs/>
                <w:i/>
                <w:sz w:val="22"/>
                <w:szCs w:val="22"/>
              </w:rPr>
              <w:t xml:space="preserve">sau </w:t>
            </w:r>
            <w:r>
              <w:rPr>
                <w:b/>
                <w:bCs/>
                <w:i/>
                <w:sz w:val="22"/>
                <w:szCs w:val="22"/>
              </w:rPr>
              <w:t xml:space="preserve">C-s2d0, D-s1d0 </w:t>
            </w:r>
            <w:r>
              <w:rPr>
                <w:bCs/>
                <w:i/>
                <w:sz w:val="22"/>
                <w:szCs w:val="22"/>
              </w:rPr>
              <w:t>sau</w:t>
            </w:r>
            <w:r>
              <w:rPr>
                <w:b/>
                <w:bCs/>
                <w:i/>
                <w:sz w:val="22"/>
                <w:szCs w:val="22"/>
              </w:rPr>
              <w:t xml:space="preserve"> D-s2d0</w:t>
            </w:r>
          </w:p>
        </w:tc>
        <w:tc>
          <w:tcPr>
            <w:tcW w:w="1369" w:type="dxa"/>
          </w:tcPr>
          <w:p w14:paraId="6A01C9E2" w14:textId="77777777" w:rsidR="001C08A5" w:rsidRDefault="00000000">
            <w:pPr>
              <w:jc w:val="center"/>
              <w:rPr>
                <w:b/>
                <w:bCs/>
                <w:i/>
                <w:sz w:val="22"/>
                <w:szCs w:val="22"/>
              </w:rPr>
            </w:pPr>
            <w:r>
              <w:rPr>
                <w:b/>
                <w:bCs/>
                <w:i/>
                <w:sz w:val="22"/>
                <w:szCs w:val="22"/>
              </w:rPr>
              <w:t>-</w:t>
            </w:r>
          </w:p>
        </w:tc>
      </w:tr>
    </w:tbl>
    <w:p w14:paraId="6EB7945E" w14:textId="77777777" w:rsidR="001C08A5" w:rsidRDefault="00000000">
      <w:pPr>
        <w:autoSpaceDE w:val="0"/>
        <w:rPr>
          <w:i/>
          <w:sz w:val="24"/>
          <w:szCs w:val="24"/>
        </w:rPr>
      </w:pPr>
      <w:r>
        <w:rPr>
          <w:bCs/>
          <w:i/>
          <w:sz w:val="24"/>
          <w:szCs w:val="24"/>
          <w:u w:val="single"/>
        </w:rPr>
        <w:t>Note</w:t>
      </w:r>
      <w:r>
        <w:rPr>
          <w:i/>
          <w:sz w:val="24"/>
          <w:szCs w:val="24"/>
        </w:rPr>
        <w:t>:</w:t>
      </w:r>
    </w:p>
    <w:p w14:paraId="13C3BF4E" w14:textId="77777777" w:rsidR="001C08A5" w:rsidRDefault="00000000">
      <w:pPr>
        <w:ind w:left="720"/>
        <w:rPr>
          <w:bCs/>
          <w:i/>
          <w:sz w:val="24"/>
          <w:szCs w:val="24"/>
        </w:rPr>
      </w:pPr>
      <w:r>
        <w:rPr>
          <w:b/>
          <w:bCs/>
          <w:i/>
          <w:sz w:val="24"/>
          <w:szCs w:val="24"/>
        </w:rPr>
        <w:t xml:space="preserve">”-” </w:t>
      </w:r>
      <w:r>
        <w:rPr>
          <w:b/>
          <w:i/>
          <w:sz w:val="24"/>
          <w:szCs w:val="24"/>
        </w:rPr>
        <w:t>=</w:t>
      </w:r>
      <w:r>
        <w:rPr>
          <w:bCs/>
          <w:i/>
          <w:sz w:val="24"/>
          <w:szCs w:val="24"/>
        </w:rPr>
        <w:t xml:space="preserve"> fără performanţe determinate la foc</w:t>
      </w:r>
    </w:p>
    <w:p w14:paraId="578ECF34"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1CAFDCC1"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21B489F1" w14:textId="77777777" w:rsidR="001C08A5" w:rsidRDefault="001C08A5">
      <w:pPr>
        <w:rPr>
          <w:sz w:val="24"/>
          <w:szCs w:val="24"/>
        </w:rPr>
      </w:pPr>
    </w:p>
    <w:p w14:paraId="261CB460" w14:textId="77777777" w:rsidR="001C08A5" w:rsidRDefault="00000000">
      <w:pPr>
        <w:ind w:firstLine="567"/>
        <w:jc w:val="both"/>
        <w:rPr>
          <w:b/>
          <w:sz w:val="24"/>
          <w:szCs w:val="24"/>
        </w:rPr>
      </w:pPr>
      <w:r>
        <w:rPr>
          <w:b/>
          <w:sz w:val="24"/>
          <w:szCs w:val="24"/>
        </w:rPr>
        <w:t xml:space="preserve">Art. </w:t>
      </w:r>
      <w:r>
        <w:rPr>
          <w:b/>
          <w:bCs/>
          <w:sz w:val="24"/>
          <w:szCs w:val="24"/>
        </w:rPr>
        <w:t>3.2.1.</w:t>
      </w:r>
      <w:r>
        <w:rPr>
          <w:b/>
          <w:sz w:val="24"/>
          <w:szCs w:val="24"/>
        </w:rPr>
        <w:t>10.</w:t>
      </w:r>
      <w:r>
        <w:rPr>
          <w:b/>
          <w:sz w:val="24"/>
          <w:szCs w:val="24"/>
        </w:rPr>
        <w:tab/>
      </w:r>
      <w:r>
        <w:rPr>
          <w:sz w:val="24"/>
          <w:szCs w:val="24"/>
        </w:rPr>
        <w:t>Clădirile de locuit colective (blocurile de locuinţe), care se încadrează în categoria clădirilor supraterane înalte sau foarte înalte, vor respecta prevederile privind performanțele specifice acestor tipuri de clădiri.</w:t>
      </w:r>
    </w:p>
    <w:p w14:paraId="364087D7" w14:textId="77777777" w:rsidR="001C08A5" w:rsidRDefault="001C08A5">
      <w:pPr>
        <w:ind w:firstLine="567"/>
        <w:jc w:val="both"/>
        <w:rPr>
          <w:b/>
          <w:sz w:val="24"/>
          <w:szCs w:val="24"/>
        </w:rPr>
      </w:pPr>
    </w:p>
    <w:p w14:paraId="64A80916" w14:textId="77777777" w:rsidR="001C08A5" w:rsidRDefault="00000000">
      <w:pPr>
        <w:ind w:firstLine="567"/>
        <w:jc w:val="both"/>
        <w:rPr>
          <w:sz w:val="24"/>
          <w:szCs w:val="24"/>
        </w:rPr>
      </w:pPr>
      <w:r>
        <w:rPr>
          <w:b/>
          <w:sz w:val="24"/>
          <w:szCs w:val="24"/>
        </w:rPr>
        <w:t xml:space="preserve">Art. </w:t>
      </w:r>
      <w:r>
        <w:rPr>
          <w:b/>
          <w:bCs/>
          <w:sz w:val="24"/>
          <w:szCs w:val="24"/>
        </w:rPr>
        <w:t>3.2.1.</w:t>
      </w:r>
      <w:r>
        <w:rPr>
          <w:b/>
          <w:sz w:val="24"/>
          <w:szCs w:val="24"/>
        </w:rPr>
        <w:t>11. (1)</w:t>
      </w:r>
      <w:r>
        <w:rPr>
          <w:sz w:val="24"/>
          <w:szCs w:val="24"/>
        </w:rPr>
        <w:t xml:space="preserve"> Scările de evacuare ale utilizatorilor etajului și eventual ale mansardei clădirilor de locuit individuale (familiale), precum şi scările din cadrul apartamentelor duplex sau triplex din orice tip de clădire supraterană de locuit, pot fi realizate din materiale clasa de reacţie la foc </w:t>
      </w:r>
      <w:r>
        <w:rPr>
          <w:b/>
          <w:sz w:val="24"/>
          <w:szCs w:val="24"/>
        </w:rPr>
        <w:t>C</w:t>
      </w:r>
      <w:r>
        <w:rPr>
          <w:sz w:val="24"/>
          <w:szCs w:val="24"/>
        </w:rPr>
        <w:t xml:space="preserve"> sau </w:t>
      </w:r>
      <w:r>
        <w:rPr>
          <w:b/>
          <w:sz w:val="24"/>
          <w:szCs w:val="24"/>
        </w:rPr>
        <w:t xml:space="preserve">D </w:t>
      </w:r>
      <w:r>
        <w:rPr>
          <w:sz w:val="24"/>
          <w:szCs w:val="24"/>
        </w:rPr>
        <w:t>şi neînchise în case de scări.</w:t>
      </w:r>
    </w:p>
    <w:p w14:paraId="1D7183DC" w14:textId="77777777" w:rsidR="001C08A5" w:rsidRDefault="00000000">
      <w:pPr>
        <w:ind w:firstLine="720"/>
        <w:jc w:val="both"/>
        <w:rPr>
          <w:sz w:val="24"/>
          <w:szCs w:val="24"/>
        </w:rPr>
      </w:pPr>
      <w:r>
        <w:rPr>
          <w:b/>
          <w:sz w:val="24"/>
          <w:szCs w:val="24"/>
        </w:rPr>
        <w:t xml:space="preserve">(2) </w:t>
      </w:r>
      <w:r>
        <w:rPr>
          <w:sz w:val="24"/>
          <w:szCs w:val="24"/>
        </w:rPr>
        <w:t xml:space="preserve">Scările de evacuare ale utilizatorilor nivelurilor supraterane pot fi continuate în subsolul clădirilor de locuit cu înălţimi obişnuite, dacă golurile de acces în încăperile din subsol sunt protejate funcţie de riscurile de incendiu ale încăperilor respective, cu uşi rezistente la foc și etanșe la fum minimum </w:t>
      </w:r>
      <w:r>
        <w:rPr>
          <w:b/>
          <w:sz w:val="24"/>
          <w:szCs w:val="24"/>
        </w:rPr>
        <w:t>EI</w:t>
      </w:r>
      <w:r>
        <w:rPr>
          <w:b/>
          <w:sz w:val="24"/>
          <w:szCs w:val="24"/>
          <w:vertAlign w:val="subscript"/>
        </w:rPr>
        <w:t>2</w:t>
      </w:r>
      <w:r>
        <w:rPr>
          <w:b/>
          <w:sz w:val="24"/>
          <w:szCs w:val="24"/>
        </w:rPr>
        <w:t xml:space="preserve"> 15-C5 S</w:t>
      </w:r>
      <w:r>
        <w:rPr>
          <w:b/>
          <w:sz w:val="24"/>
          <w:szCs w:val="24"/>
          <w:vertAlign w:val="subscript"/>
        </w:rPr>
        <w:t>a</w:t>
      </w:r>
      <w:r>
        <w:rPr>
          <w:sz w:val="24"/>
          <w:szCs w:val="24"/>
        </w:rPr>
        <w:t>.</w:t>
      </w:r>
      <w:r>
        <w:rPr>
          <w:sz w:val="24"/>
          <w:szCs w:val="24"/>
        </w:rPr>
        <w:tab/>
      </w:r>
    </w:p>
    <w:p w14:paraId="26DC53DC" w14:textId="77777777" w:rsidR="001C08A5" w:rsidRDefault="00000000">
      <w:pPr>
        <w:ind w:firstLine="720"/>
        <w:jc w:val="both"/>
        <w:rPr>
          <w:sz w:val="24"/>
          <w:szCs w:val="24"/>
        </w:rPr>
      </w:pPr>
      <w:r>
        <w:rPr>
          <w:b/>
          <w:sz w:val="24"/>
          <w:szCs w:val="24"/>
        </w:rPr>
        <w:t xml:space="preserve">(3) </w:t>
      </w:r>
      <w:r>
        <w:rPr>
          <w:bCs/>
          <w:sz w:val="24"/>
          <w:szCs w:val="24"/>
        </w:rPr>
        <w:t xml:space="preserve">Ușile </w:t>
      </w:r>
      <w:r>
        <w:rPr>
          <w:sz w:val="24"/>
          <w:szCs w:val="24"/>
        </w:rPr>
        <w:t xml:space="preserve">de evacuare la nivelul terenului ale clădirilor de locuit supraterane cu înălţimi obişnuite, pot fi cu deschiderea spre interior. Uşile de evacuare la nivelul terenului ale </w:t>
      </w:r>
      <w:r>
        <w:rPr>
          <w:rFonts w:eastAsia="Times-Roman"/>
          <w:sz w:val="24"/>
          <w:szCs w:val="24"/>
        </w:rPr>
        <w:t>căminelor de familişti şi nefamilişti</w:t>
      </w:r>
      <w:r>
        <w:rPr>
          <w:sz w:val="24"/>
          <w:szCs w:val="24"/>
        </w:rPr>
        <w:t xml:space="preserve"> supraterane cu înălţimi obişnuite, vor fi cu deschiderea spre exterior daca prin ele se evacuează mai mult de </w:t>
      </w:r>
      <w:r>
        <w:rPr>
          <w:b/>
          <w:bCs/>
          <w:sz w:val="24"/>
          <w:szCs w:val="24"/>
        </w:rPr>
        <w:t>30</w:t>
      </w:r>
      <w:r>
        <w:rPr>
          <w:sz w:val="24"/>
          <w:szCs w:val="24"/>
        </w:rPr>
        <w:t xml:space="preserve"> de persoane.</w:t>
      </w:r>
    </w:p>
    <w:p w14:paraId="6D89D697" w14:textId="77777777" w:rsidR="001C08A5" w:rsidRDefault="00000000">
      <w:pPr>
        <w:ind w:firstLine="720"/>
        <w:jc w:val="both"/>
        <w:rPr>
          <w:sz w:val="24"/>
          <w:szCs w:val="24"/>
        </w:rPr>
      </w:pPr>
      <w:r>
        <w:rPr>
          <w:b/>
          <w:sz w:val="24"/>
          <w:szCs w:val="24"/>
        </w:rPr>
        <w:t xml:space="preserve">(4) </w:t>
      </w:r>
      <w:r>
        <w:rPr>
          <w:bCs/>
          <w:sz w:val="24"/>
          <w:szCs w:val="24"/>
        </w:rPr>
        <w:t xml:space="preserve">Ușile </w:t>
      </w:r>
      <w:r>
        <w:rPr>
          <w:sz w:val="24"/>
          <w:szCs w:val="24"/>
        </w:rPr>
        <w:t xml:space="preserve">de acces din scările de evacuare în apartamente situate în clădiri de locuit supraterane cu înălţimi obişnuite se recomandă a fi </w:t>
      </w:r>
      <w:r>
        <w:rPr>
          <w:b/>
          <w:sz w:val="24"/>
          <w:szCs w:val="24"/>
        </w:rPr>
        <w:t>E 15</w:t>
      </w:r>
      <w:r>
        <w:rPr>
          <w:sz w:val="24"/>
          <w:szCs w:val="24"/>
        </w:rPr>
        <w:t>. În clădirile de locuit colective înalte și foarte înalte, ușile de separare a apartamentelor de locuit faţă de căile comune circulaţie funcţională şi de evacuare orizontale (coridoare şi holuri) a utilizatorilor, vor respecta prevederile normate (</w:t>
      </w:r>
      <w:r>
        <w:rPr>
          <w:b/>
          <w:sz w:val="24"/>
          <w:szCs w:val="24"/>
        </w:rPr>
        <w:t xml:space="preserve">Art. 4.1.5.3. </w:t>
      </w:r>
      <w:r>
        <w:rPr>
          <w:sz w:val="24"/>
          <w:szCs w:val="24"/>
        </w:rPr>
        <w:t xml:space="preserve">şi </w:t>
      </w:r>
      <w:r>
        <w:rPr>
          <w:b/>
          <w:bCs/>
          <w:i/>
          <w:iCs/>
          <w:sz w:val="24"/>
          <w:szCs w:val="24"/>
        </w:rPr>
        <w:fldChar w:fldCharType="begin"/>
      </w:r>
      <w:r>
        <w:rPr>
          <w:b/>
          <w:bCs/>
          <w:i/>
          <w:iCs/>
          <w:sz w:val="24"/>
          <w:szCs w:val="24"/>
        </w:rPr>
        <w:instrText xml:space="preserve"> REF _Ref15001 \h </w:instrText>
      </w:r>
      <w:r>
        <w:rPr>
          <w:b/>
          <w:bCs/>
          <w:i/>
          <w:iCs/>
          <w:sz w:val="24"/>
          <w:szCs w:val="24"/>
        </w:rPr>
      </w:r>
      <w:r>
        <w:rPr>
          <w:b/>
          <w:bCs/>
          <w:i/>
          <w:iCs/>
          <w:sz w:val="24"/>
          <w:szCs w:val="24"/>
        </w:rPr>
        <w:fldChar w:fldCharType="separate"/>
      </w:r>
      <w:r>
        <w:t>Tabelul 92</w:t>
      </w:r>
      <w:r>
        <w:rPr>
          <w:b/>
          <w:bCs/>
          <w:i/>
          <w:iCs/>
          <w:sz w:val="24"/>
          <w:szCs w:val="24"/>
        </w:rPr>
        <w:fldChar w:fldCharType="end"/>
      </w:r>
      <w:r>
        <w:rPr>
          <w:sz w:val="24"/>
          <w:szCs w:val="24"/>
        </w:rPr>
        <w:t xml:space="preserve"> pentru clădiri înalte și </w:t>
      </w:r>
      <w:r>
        <w:rPr>
          <w:b/>
          <w:sz w:val="24"/>
          <w:szCs w:val="24"/>
        </w:rPr>
        <w:t>Art. 4.2.5.3.</w:t>
      </w:r>
      <w:r>
        <w:rPr>
          <w:sz w:val="24"/>
          <w:szCs w:val="24"/>
        </w:rPr>
        <w:t xml:space="preserve"> și </w:t>
      </w:r>
      <w:r>
        <w:rPr>
          <w:b/>
          <w:bCs/>
          <w:i/>
          <w:iCs/>
          <w:sz w:val="24"/>
          <w:szCs w:val="24"/>
        </w:rPr>
        <w:fldChar w:fldCharType="begin"/>
      </w:r>
      <w:r>
        <w:rPr>
          <w:b/>
          <w:bCs/>
          <w:i/>
          <w:iCs/>
          <w:sz w:val="24"/>
          <w:szCs w:val="24"/>
        </w:rPr>
        <w:instrText xml:space="preserve"> REF _Ref15178 \h </w:instrText>
      </w:r>
      <w:r>
        <w:rPr>
          <w:b/>
          <w:bCs/>
          <w:i/>
          <w:iCs/>
          <w:sz w:val="24"/>
          <w:szCs w:val="24"/>
        </w:rPr>
      </w:r>
      <w:r>
        <w:rPr>
          <w:b/>
          <w:bCs/>
          <w:i/>
          <w:iCs/>
          <w:sz w:val="24"/>
          <w:szCs w:val="24"/>
        </w:rPr>
        <w:fldChar w:fldCharType="separate"/>
      </w:r>
      <w:r>
        <w:t>Tabelul 96</w:t>
      </w:r>
      <w:r>
        <w:rPr>
          <w:b/>
          <w:bCs/>
          <w:i/>
          <w:iCs/>
          <w:sz w:val="24"/>
          <w:szCs w:val="24"/>
        </w:rPr>
        <w:fldChar w:fldCharType="end"/>
      </w:r>
      <w:r>
        <w:rPr>
          <w:sz w:val="24"/>
          <w:szCs w:val="24"/>
        </w:rPr>
        <w:t xml:space="preserve"> pentru clădiri foarte înalte).</w:t>
      </w:r>
    </w:p>
    <w:p w14:paraId="5BFA5D7C" w14:textId="77777777" w:rsidR="001C08A5" w:rsidRDefault="00000000">
      <w:pPr>
        <w:ind w:firstLine="567"/>
        <w:jc w:val="both"/>
        <w:rPr>
          <w:sz w:val="24"/>
          <w:szCs w:val="24"/>
        </w:rPr>
      </w:pPr>
      <w:r>
        <w:rPr>
          <w:sz w:val="24"/>
          <w:szCs w:val="24"/>
        </w:rPr>
        <w:tab/>
      </w:r>
      <w:r>
        <w:rPr>
          <w:sz w:val="24"/>
          <w:szCs w:val="24"/>
        </w:rPr>
        <w:tab/>
      </w:r>
      <w:r>
        <w:rPr>
          <w:sz w:val="24"/>
          <w:szCs w:val="24"/>
        </w:rPr>
        <w:tab/>
      </w:r>
    </w:p>
    <w:p w14:paraId="2EE136FD" w14:textId="77777777" w:rsidR="001C08A5" w:rsidRDefault="00000000">
      <w:pPr>
        <w:pStyle w:val="BodyText"/>
        <w:ind w:firstLine="567"/>
        <w:rPr>
          <w:i w:val="0"/>
          <w:iCs/>
        </w:rPr>
      </w:pPr>
      <w:r>
        <w:rPr>
          <w:i w:val="0"/>
          <w:iCs/>
        </w:rPr>
        <w:tab/>
        <w:t xml:space="preserve">Art. </w:t>
      </w:r>
      <w:r>
        <w:rPr>
          <w:bCs w:val="0"/>
          <w:i w:val="0"/>
          <w:iCs/>
        </w:rPr>
        <w:t>3.2.1.</w:t>
      </w:r>
      <w:r>
        <w:rPr>
          <w:i w:val="0"/>
          <w:iCs/>
        </w:rPr>
        <w:t>12.</w:t>
      </w:r>
      <w:r>
        <w:rPr>
          <w:b w:val="0"/>
          <w:bCs w:val="0"/>
          <w:i w:val="0"/>
          <w:iCs/>
        </w:rPr>
        <w:t xml:space="preserve"> Lungimea maximă de evacuare admisă a traseului de parcurs pe căile de evacuare în clădirile de locuit (cu excepţia clădirilor înalte şi foarte înalte), sunt precizate în </w:t>
      </w:r>
      <w:r>
        <w:rPr>
          <w:b w:val="0"/>
          <w:bCs w:val="0"/>
          <w:i w:val="0"/>
          <w:iCs/>
        </w:rPr>
        <w:fldChar w:fldCharType="begin"/>
      </w:r>
      <w:r>
        <w:rPr>
          <w:b w:val="0"/>
          <w:bCs w:val="0"/>
          <w:i w:val="0"/>
          <w:iCs/>
        </w:rPr>
        <w:instrText xml:space="preserve"> REF _Ref15347 \h </w:instrText>
      </w:r>
      <w:r>
        <w:rPr>
          <w:b w:val="0"/>
          <w:bCs w:val="0"/>
          <w:i w:val="0"/>
          <w:iCs/>
        </w:rPr>
      </w:r>
      <w:r>
        <w:rPr>
          <w:b w:val="0"/>
          <w:bCs w:val="0"/>
          <w:i w:val="0"/>
          <w:iCs/>
        </w:rPr>
        <w:fldChar w:fldCharType="separate"/>
      </w:r>
      <w:r>
        <w:t>Tabelul 56</w:t>
      </w:r>
      <w:r>
        <w:rPr>
          <w:b w:val="0"/>
          <w:bCs w:val="0"/>
          <w:i w:val="0"/>
          <w:iCs/>
        </w:rPr>
        <w:fldChar w:fldCharType="end"/>
      </w:r>
      <w:r>
        <w:rPr>
          <w:i w:val="0"/>
          <w:iCs/>
        </w:rPr>
        <w:t>.</w:t>
      </w:r>
    </w:p>
    <w:p w14:paraId="110752B1" w14:textId="77777777" w:rsidR="001C08A5" w:rsidRDefault="001C08A5">
      <w:pPr>
        <w:jc w:val="both"/>
        <w:rPr>
          <w:b/>
          <w:sz w:val="24"/>
          <w:szCs w:val="24"/>
        </w:rPr>
      </w:pPr>
    </w:p>
    <w:p w14:paraId="60FC0E6A" w14:textId="77777777" w:rsidR="001C08A5" w:rsidRDefault="00000000">
      <w:pPr>
        <w:pStyle w:val="Captiontabel"/>
      </w:pPr>
      <w:bookmarkStart w:id="3285" w:name="_Ref15347"/>
      <w:bookmarkStart w:id="3286" w:name="_Toc162360106"/>
      <w:bookmarkStart w:id="3287" w:name="_Ref10374"/>
      <w:r>
        <w:t xml:space="preserve">Tabelul </w:t>
      </w:r>
      <w:r>
        <w:fldChar w:fldCharType="begin"/>
      </w:r>
      <w:r>
        <w:instrText xml:space="preserve"> SEQ Tabelul \* ARABIC </w:instrText>
      </w:r>
      <w:r>
        <w:fldChar w:fldCharType="separate"/>
      </w:r>
      <w:r>
        <w:t>56</w:t>
      </w:r>
      <w:r>
        <w:fldChar w:fldCharType="end"/>
      </w:r>
      <w:bookmarkStart w:id="3288" w:name="_Toc3099"/>
      <w:bookmarkStart w:id="3289" w:name="_Toc15364"/>
      <w:bookmarkStart w:id="3290" w:name="_Toc15945"/>
      <w:bookmarkStart w:id="3291" w:name="_Toc213"/>
      <w:bookmarkStart w:id="3292" w:name="_Toc24023"/>
      <w:bookmarkStart w:id="3293" w:name="_Toc2493"/>
      <w:bookmarkStart w:id="3294" w:name="_Toc32680"/>
      <w:bookmarkStart w:id="3295" w:name="_Toc11234"/>
      <w:bookmarkStart w:id="3296" w:name="_Toc17272"/>
      <w:bookmarkStart w:id="3297" w:name="_Toc7533"/>
      <w:bookmarkStart w:id="3298" w:name="_Toc25445"/>
      <w:bookmarkStart w:id="3299" w:name="_Toc24935"/>
      <w:bookmarkStart w:id="3300" w:name="_Toc21243"/>
      <w:bookmarkStart w:id="3301" w:name="_Toc10713"/>
      <w:bookmarkStart w:id="3302" w:name="_Toc15934"/>
      <w:bookmarkStart w:id="3303" w:name="_Toc18430"/>
      <w:bookmarkStart w:id="3304" w:name="_Toc9978"/>
      <w:bookmarkStart w:id="3305" w:name="_Toc29779"/>
      <w:bookmarkStart w:id="3306" w:name="_Toc17240"/>
      <w:bookmarkEnd w:id="3285"/>
      <w:r>
        <w:t>: Lungimi de evacuare în clădiri de locuit supraterane cu înălţimi obişnuite</w:t>
      </w:r>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p>
    <w:p w14:paraId="40C1E89A" w14:textId="77777777" w:rsidR="001C08A5" w:rsidRDefault="001C08A5">
      <w:pPr>
        <w:jc w:val="both"/>
        <w:rPr>
          <w:sz w:val="24"/>
          <w:szCs w:val="24"/>
        </w:rPr>
      </w:pPr>
    </w:p>
    <w:tbl>
      <w:tblPr>
        <w:tblW w:w="9571" w:type="dxa"/>
        <w:tblInd w:w="176" w:type="dxa"/>
        <w:tblLayout w:type="fixed"/>
        <w:tblLook w:val="04A0" w:firstRow="1" w:lastRow="0" w:firstColumn="1" w:lastColumn="0" w:noHBand="0" w:noVBand="1"/>
      </w:tblPr>
      <w:tblGrid>
        <w:gridCol w:w="720"/>
        <w:gridCol w:w="1710"/>
        <w:gridCol w:w="1350"/>
        <w:gridCol w:w="1800"/>
        <w:gridCol w:w="1800"/>
        <w:gridCol w:w="2191"/>
      </w:tblGrid>
      <w:tr w:rsidR="001C08A5" w14:paraId="1024B545" w14:textId="77777777">
        <w:tc>
          <w:tcPr>
            <w:tcW w:w="720" w:type="dxa"/>
            <w:vMerge w:val="restart"/>
            <w:tcBorders>
              <w:top w:val="single" w:sz="8" w:space="0" w:color="000000"/>
              <w:left w:val="single" w:sz="8" w:space="0" w:color="000000"/>
              <w:bottom w:val="single" w:sz="4" w:space="0" w:color="000000"/>
            </w:tcBorders>
            <w:shd w:val="clear" w:color="auto" w:fill="BFBFBF"/>
          </w:tcPr>
          <w:p w14:paraId="6A052B98" w14:textId="77777777" w:rsidR="001C08A5" w:rsidRDefault="001C08A5">
            <w:pPr>
              <w:snapToGrid w:val="0"/>
              <w:jc w:val="center"/>
              <w:rPr>
                <w:b/>
                <w:i/>
                <w:iCs/>
                <w:sz w:val="22"/>
                <w:szCs w:val="22"/>
              </w:rPr>
            </w:pPr>
          </w:p>
          <w:p w14:paraId="63664347" w14:textId="77777777" w:rsidR="001C08A5" w:rsidRDefault="001C08A5">
            <w:pPr>
              <w:jc w:val="center"/>
              <w:rPr>
                <w:b/>
                <w:i/>
                <w:iCs/>
                <w:sz w:val="22"/>
                <w:szCs w:val="22"/>
              </w:rPr>
            </w:pPr>
          </w:p>
          <w:p w14:paraId="652FEB8F" w14:textId="77777777" w:rsidR="001C08A5" w:rsidRDefault="00000000">
            <w:pPr>
              <w:jc w:val="center"/>
              <w:rPr>
                <w:i/>
                <w:iCs/>
                <w:sz w:val="22"/>
                <w:szCs w:val="22"/>
              </w:rPr>
            </w:pPr>
            <w:r>
              <w:rPr>
                <w:b/>
                <w:i/>
                <w:iCs/>
                <w:sz w:val="22"/>
                <w:szCs w:val="22"/>
              </w:rPr>
              <w:t>Nr. crt.</w:t>
            </w:r>
          </w:p>
          <w:p w14:paraId="7A6CB4F2" w14:textId="77777777" w:rsidR="001C08A5" w:rsidRDefault="001C08A5">
            <w:pPr>
              <w:jc w:val="center"/>
              <w:rPr>
                <w:i/>
                <w:iCs/>
                <w:sz w:val="22"/>
                <w:szCs w:val="22"/>
              </w:rPr>
            </w:pPr>
          </w:p>
        </w:tc>
        <w:tc>
          <w:tcPr>
            <w:tcW w:w="1710" w:type="dxa"/>
            <w:vMerge w:val="restart"/>
            <w:tcBorders>
              <w:top w:val="single" w:sz="8" w:space="0" w:color="000000"/>
              <w:left w:val="single" w:sz="4" w:space="0" w:color="000000"/>
              <w:bottom w:val="single" w:sz="4" w:space="0" w:color="000000"/>
            </w:tcBorders>
            <w:shd w:val="clear" w:color="auto" w:fill="BFBFBF"/>
          </w:tcPr>
          <w:p w14:paraId="3766AC9D" w14:textId="77777777" w:rsidR="001C08A5" w:rsidRDefault="001C08A5">
            <w:pPr>
              <w:snapToGrid w:val="0"/>
              <w:jc w:val="center"/>
              <w:rPr>
                <w:b/>
                <w:i/>
                <w:iCs/>
                <w:sz w:val="22"/>
                <w:szCs w:val="22"/>
              </w:rPr>
            </w:pPr>
          </w:p>
          <w:p w14:paraId="78F8D0E2" w14:textId="77777777" w:rsidR="001C08A5" w:rsidRDefault="001C08A5">
            <w:pPr>
              <w:jc w:val="center"/>
              <w:rPr>
                <w:b/>
                <w:i/>
                <w:iCs/>
                <w:sz w:val="22"/>
                <w:szCs w:val="22"/>
              </w:rPr>
            </w:pPr>
          </w:p>
          <w:p w14:paraId="7C7263BC" w14:textId="77777777" w:rsidR="001C08A5" w:rsidRDefault="00000000">
            <w:pPr>
              <w:jc w:val="center"/>
              <w:rPr>
                <w:b/>
                <w:i/>
                <w:iCs/>
                <w:sz w:val="22"/>
                <w:szCs w:val="22"/>
              </w:rPr>
            </w:pPr>
            <w:r>
              <w:rPr>
                <w:b/>
                <w:i/>
                <w:iCs/>
                <w:sz w:val="22"/>
                <w:szCs w:val="22"/>
              </w:rPr>
              <w:t>Clădiri de locuit</w:t>
            </w:r>
          </w:p>
        </w:tc>
        <w:tc>
          <w:tcPr>
            <w:tcW w:w="1350" w:type="dxa"/>
            <w:vMerge w:val="restart"/>
            <w:tcBorders>
              <w:top w:val="single" w:sz="8" w:space="0" w:color="000000"/>
              <w:left w:val="single" w:sz="4" w:space="0" w:color="000000"/>
              <w:bottom w:val="single" w:sz="4" w:space="0" w:color="000000"/>
            </w:tcBorders>
            <w:shd w:val="clear" w:color="auto" w:fill="BFBFBF"/>
          </w:tcPr>
          <w:p w14:paraId="4B692A64" w14:textId="77777777" w:rsidR="001C08A5" w:rsidRDefault="00000000">
            <w:pPr>
              <w:jc w:val="center"/>
              <w:rPr>
                <w:b/>
                <w:i/>
                <w:iCs/>
                <w:sz w:val="22"/>
                <w:szCs w:val="22"/>
              </w:rPr>
            </w:pPr>
            <w:r>
              <w:rPr>
                <w:b/>
                <w:i/>
                <w:iCs/>
                <w:sz w:val="22"/>
                <w:szCs w:val="22"/>
              </w:rPr>
              <w:t>Nivel de stabilitate  la incendiu asigurat</w:t>
            </w:r>
          </w:p>
        </w:tc>
        <w:tc>
          <w:tcPr>
            <w:tcW w:w="3600" w:type="dxa"/>
            <w:gridSpan w:val="2"/>
            <w:tcBorders>
              <w:top w:val="single" w:sz="8" w:space="0" w:color="000000"/>
              <w:left w:val="single" w:sz="4" w:space="0" w:color="000000"/>
              <w:bottom w:val="single" w:sz="4" w:space="0" w:color="000000"/>
            </w:tcBorders>
            <w:shd w:val="clear" w:color="auto" w:fill="BFBFBF"/>
          </w:tcPr>
          <w:p w14:paraId="1C8C2B5A" w14:textId="77777777" w:rsidR="001C08A5" w:rsidRDefault="00000000">
            <w:pPr>
              <w:jc w:val="center"/>
              <w:rPr>
                <w:b/>
                <w:i/>
                <w:iCs/>
                <w:sz w:val="22"/>
                <w:szCs w:val="22"/>
              </w:rPr>
            </w:pPr>
            <w:r>
              <w:rPr>
                <w:b/>
                <w:i/>
                <w:iCs/>
                <w:sz w:val="22"/>
                <w:szCs w:val="22"/>
              </w:rPr>
              <w:t xml:space="preserve">Lungime maximă de evacuare </w:t>
            </w:r>
          </w:p>
        </w:tc>
        <w:tc>
          <w:tcPr>
            <w:tcW w:w="2191" w:type="dxa"/>
            <w:vMerge w:val="restart"/>
            <w:tcBorders>
              <w:top w:val="single" w:sz="8" w:space="0" w:color="000000"/>
              <w:left w:val="single" w:sz="4" w:space="0" w:color="000000"/>
              <w:bottom w:val="single" w:sz="4" w:space="0" w:color="000000"/>
              <w:right w:val="single" w:sz="8" w:space="0" w:color="000000"/>
            </w:tcBorders>
            <w:shd w:val="clear" w:color="auto" w:fill="BFBFBF"/>
          </w:tcPr>
          <w:p w14:paraId="4867DA2F" w14:textId="77777777" w:rsidR="001C08A5" w:rsidRDefault="001C08A5">
            <w:pPr>
              <w:snapToGrid w:val="0"/>
              <w:jc w:val="center"/>
              <w:rPr>
                <w:b/>
                <w:i/>
                <w:iCs/>
                <w:sz w:val="22"/>
                <w:szCs w:val="22"/>
              </w:rPr>
            </w:pPr>
          </w:p>
          <w:p w14:paraId="532A29A5" w14:textId="77777777" w:rsidR="001C08A5" w:rsidRDefault="001C08A5">
            <w:pPr>
              <w:jc w:val="center"/>
              <w:rPr>
                <w:b/>
                <w:i/>
                <w:iCs/>
                <w:sz w:val="22"/>
                <w:szCs w:val="22"/>
              </w:rPr>
            </w:pPr>
          </w:p>
          <w:p w14:paraId="138C805A" w14:textId="77777777" w:rsidR="001C08A5" w:rsidRDefault="00000000">
            <w:pPr>
              <w:jc w:val="center"/>
              <w:rPr>
                <w:i/>
                <w:iCs/>
                <w:sz w:val="22"/>
                <w:szCs w:val="22"/>
              </w:rPr>
            </w:pPr>
            <w:r>
              <w:rPr>
                <w:b/>
                <w:i/>
                <w:iCs/>
                <w:sz w:val="22"/>
                <w:szCs w:val="22"/>
              </w:rPr>
              <w:t>Observaţii</w:t>
            </w:r>
          </w:p>
        </w:tc>
      </w:tr>
      <w:tr w:rsidR="001C08A5" w14:paraId="181AFB28" w14:textId="77777777">
        <w:tc>
          <w:tcPr>
            <w:tcW w:w="720" w:type="dxa"/>
            <w:vMerge/>
            <w:tcBorders>
              <w:top w:val="single" w:sz="4" w:space="0" w:color="000000"/>
              <w:left w:val="single" w:sz="8" w:space="0" w:color="000000"/>
              <w:bottom w:val="single" w:sz="4" w:space="0" w:color="000000"/>
            </w:tcBorders>
            <w:shd w:val="clear" w:color="auto" w:fill="auto"/>
          </w:tcPr>
          <w:p w14:paraId="6B4AD0DC" w14:textId="77777777" w:rsidR="001C08A5" w:rsidRDefault="001C08A5">
            <w:pPr>
              <w:snapToGrid w:val="0"/>
              <w:jc w:val="center"/>
              <w:rPr>
                <w:i/>
                <w:iCs/>
                <w:sz w:val="22"/>
                <w:szCs w:val="22"/>
              </w:rPr>
            </w:pPr>
          </w:p>
        </w:tc>
        <w:tc>
          <w:tcPr>
            <w:tcW w:w="1710" w:type="dxa"/>
            <w:vMerge/>
            <w:tcBorders>
              <w:top w:val="single" w:sz="4" w:space="0" w:color="000000"/>
              <w:left w:val="single" w:sz="4" w:space="0" w:color="000000"/>
              <w:bottom w:val="single" w:sz="4" w:space="0" w:color="000000"/>
            </w:tcBorders>
            <w:shd w:val="clear" w:color="auto" w:fill="auto"/>
          </w:tcPr>
          <w:p w14:paraId="303B7BFD" w14:textId="77777777" w:rsidR="001C08A5" w:rsidRDefault="001C08A5">
            <w:pPr>
              <w:snapToGrid w:val="0"/>
              <w:jc w:val="center"/>
              <w:rPr>
                <w:i/>
                <w:iCs/>
                <w:sz w:val="22"/>
                <w:szCs w:val="22"/>
              </w:rPr>
            </w:pPr>
          </w:p>
        </w:tc>
        <w:tc>
          <w:tcPr>
            <w:tcW w:w="1350" w:type="dxa"/>
            <w:vMerge/>
            <w:tcBorders>
              <w:top w:val="single" w:sz="4" w:space="0" w:color="000000"/>
              <w:left w:val="single" w:sz="4" w:space="0" w:color="000000"/>
              <w:bottom w:val="single" w:sz="4" w:space="0" w:color="000000"/>
            </w:tcBorders>
            <w:shd w:val="clear" w:color="auto" w:fill="auto"/>
          </w:tcPr>
          <w:p w14:paraId="75105A52" w14:textId="77777777" w:rsidR="001C08A5" w:rsidRDefault="001C08A5">
            <w:pPr>
              <w:snapToGrid w:val="0"/>
              <w:jc w:val="center"/>
              <w:rPr>
                <w:i/>
                <w:iCs/>
                <w:sz w:val="22"/>
                <w:szCs w:val="22"/>
              </w:rPr>
            </w:pPr>
          </w:p>
        </w:tc>
        <w:tc>
          <w:tcPr>
            <w:tcW w:w="1800" w:type="dxa"/>
            <w:tcBorders>
              <w:top w:val="single" w:sz="4" w:space="0" w:color="000000"/>
              <w:left w:val="single" w:sz="4" w:space="0" w:color="000000"/>
              <w:bottom w:val="single" w:sz="4" w:space="0" w:color="000000"/>
            </w:tcBorders>
            <w:shd w:val="clear" w:color="auto" w:fill="BFBFBF"/>
          </w:tcPr>
          <w:p w14:paraId="0F65EB96" w14:textId="77777777" w:rsidR="001C08A5" w:rsidRDefault="00000000">
            <w:pPr>
              <w:jc w:val="center"/>
              <w:rPr>
                <w:b/>
                <w:i/>
                <w:iCs/>
                <w:sz w:val="22"/>
                <w:szCs w:val="22"/>
              </w:rPr>
            </w:pPr>
            <w:r>
              <w:rPr>
                <w:b/>
                <w:i/>
                <w:iCs/>
                <w:sz w:val="22"/>
                <w:szCs w:val="22"/>
              </w:rPr>
              <w:t>în două direcţii diferite</w:t>
            </w:r>
          </w:p>
        </w:tc>
        <w:tc>
          <w:tcPr>
            <w:tcW w:w="1800" w:type="dxa"/>
            <w:tcBorders>
              <w:top w:val="single" w:sz="4" w:space="0" w:color="000000"/>
              <w:left w:val="single" w:sz="4" w:space="0" w:color="000000"/>
              <w:bottom w:val="single" w:sz="4" w:space="0" w:color="000000"/>
            </w:tcBorders>
            <w:shd w:val="clear" w:color="auto" w:fill="BFBFBF"/>
          </w:tcPr>
          <w:p w14:paraId="540B8D44" w14:textId="77777777" w:rsidR="001C08A5" w:rsidRDefault="00000000">
            <w:pPr>
              <w:jc w:val="center"/>
              <w:rPr>
                <w:i/>
                <w:iCs/>
                <w:sz w:val="22"/>
                <w:szCs w:val="22"/>
              </w:rPr>
            </w:pPr>
            <w:r>
              <w:rPr>
                <w:b/>
                <w:i/>
                <w:iCs/>
                <w:sz w:val="22"/>
                <w:szCs w:val="22"/>
              </w:rPr>
              <w:t>într-o direcţie (coridor înfundat)</w:t>
            </w:r>
          </w:p>
        </w:tc>
        <w:tc>
          <w:tcPr>
            <w:tcW w:w="2191" w:type="dxa"/>
            <w:vMerge/>
            <w:tcBorders>
              <w:top w:val="single" w:sz="4" w:space="0" w:color="000000"/>
              <w:left w:val="single" w:sz="4" w:space="0" w:color="000000"/>
              <w:bottom w:val="single" w:sz="4" w:space="0" w:color="000000"/>
              <w:right w:val="single" w:sz="8" w:space="0" w:color="000000"/>
            </w:tcBorders>
          </w:tcPr>
          <w:p w14:paraId="5A37573F" w14:textId="77777777" w:rsidR="001C08A5" w:rsidRDefault="001C08A5">
            <w:pPr>
              <w:snapToGrid w:val="0"/>
              <w:rPr>
                <w:i/>
                <w:iCs/>
                <w:sz w:val="22"/>
                <w:szCs w:val="22"/>
              </w:rPr>
            </w:pPr>
          </w:p>
        </w:tc>
      </w:tr>
      <w:tr w:rsidR="001C08A5" w14:paraId="238C9BAC" w14:textId="77777777">
        <w:tc>
          <w:tcPr>
            <w:tcW w:w="720" w:type="dxa"/>
            <w:vMerge/>
            <w:tcBorders>
              <w:top w:val="single" w:sz="4" w:space="0" w:color="000000"/>
              <w:left w:val="single" w:sz="8" w:space="0" w:color="000000"/>
              <w:bottom w:val="single" w:sz="8" w:space="0" w:color="000000"/>
            </w:tcBorders>
            <w:shd w:val="clear" w:color="auto" w:fill="auto"/>
          </w:tcPr>
          <w:p w14:paraId="5E21FD41" w14:textId="77777777" w:rsidR="001C08A5" w:rsidRDefault="001C08A5">
            <w:pPr>
              <w:snapToGrid w:val="0"/>
              <w:jc w:val="center"/>
              <w:rPr>
                <w:i/>
                <w:iCs/>
                <w:sz w:val="22"/>
                <w:szCs w:val="22"/>
              </w:rPr>
            </w:pPr>
          </w:p>
        </w:tc>
        <w:tc>
          <w:tcPr>
            <w:tcW w:w="1710" w:type="dxa"/>
            <w:vMerge/>
            <w:tcBorders>
              <w:top w:val="single" w:sz="4" w:space="0" w:color="000000"/>
              <w:left w:val="single" w:sz="4" w:space="0" w:color="000000"/>
              <w:bottom w:val="single" w:sz="8" w:space="0" w:color="000000"/>
            </w:tcBorders>
            <w:shd w:val="clear" w:color="auto" w:fill="auto"/>
          </w:tcPr>
          <w:p w14:paraId="58FD8AA4" w14:textId="77777777" w:rsidR="001C08A5" w:rsidRDefault="001C08A5">
            <w:pPr>
              <w:snapToGrid w:val="0"/>
              <w:jc w:val="center"/>
              <w:rPr>
                <w:i/>
                <w:iCs/>
                <w:sz w:val="22"/>
                <w:szCs w:val="22"/>
              </w:rPr>
            </w:pPr>
          </w:p>
        </w:tc>
        <w:tc>
          <w:tcPr>
            <w:tcW w:w="1350" w:type="dxa"/>
            <w:vMerge/>
            <w:tcBorders>
              <w:top w:val="single" w:sz="4" w:space="0" w:color="000000"/>
              <w:left w:val="single" w:sz="4" w:space="0" w:color="000000"/>
              <w:bottom w:val="single" w:sz="8" w:space="0" w:color="000000"/>
            </w:tcBorders>
            <w:shd w:val="clear" w:color="auto" w:fill="auto"/>
          </w:tcPr>
          <w:p w14:paraId="11BCA23A" w14:textId="77777777" w:rsidR="001C08A5" w:rsidRDefault="001C08A5">
            <w:pPr>
              <w:snapToGrid w:val="0"/>
              <w:jc w:val="center"/>
              <w:rPr>
                <w:i/>
                <w:iCs/>
                <w:sz w:val="22"/>
                <w:szCs w:val="22"/>
              </w:rPr>
            </w:pPr>
          </w:p>
        </w:tc>
        <w:tc>
          <w:tcPr>
            <w:tcW w:w="1800" w:type="dxa"/>
            <w:tcBorders>
              <w:top w:val="single" w:sz="4" w:space="0" w:color="000000"/>
              <w:left w:val="single" w:sz="4" w:space="0" w:color="000000"/>
              <w:bottom w:val="single" w:sz="8" w:space="0" w:color="000000"/>
            </w:tcBorders>
            <w:shd w:val="clear" w:color="auto" w:fill="BFBFBF"/>
          </w:tcPr>
          <w:p w14:paraId="0CA84D16" w14:textId="77777777" w:rsidR="001C08A5" w:rsidRDefault="00000000">
            <w:pPr>
              <w:jc w:val="center"/>
              <w:rPr>
                <w:b/>
                <w:i/>
                <w:iCs/>
                <w:sz w:val="22"/>
                <w:szCs w:val="22"/>
              </w:rPr>
            </w:pPr>
            <w:r>
              <w:rPr>
                <w:b/>
                <w:i/>
                <w:iCs/>
                <w:sz w:val="22"/>
                <w:szCs w:val="22"/>
              </w:rPr>
              <w:t>metri</w:t>
            </w:r>
          </w:p>
        </w:tc>
        <w:tc>
          <w:tcPr>
            <w:tcW w:w="1800" w:type="dxa"/>
            <w:tcBorders>
              <w:top w:val="single" w:sz="4" w:space="0" w:color="000000"/>
              <w:left w:val="single" w:sz="4" w:space="0" w:color="000000"/>
              <w:bottom w:val="single" w:sz="8" w:space="0" w:color="000000"/>
            </w:tcBorders>
            <w:shd w:val="clear" w:color="auto" w:fill="BFBFBF"/>
          </w:tcPr>
          <w:p w14:paraId="2FA1F971" w14:textId="77777777" w:rsidR="001C08A5" w:rsidRDefault="00000000">
            <w:pPr>
              <w:jc w:val="center"/>
              <w:rPr>
                <w:i/>
                <w:iCs/>
                <w:sz w:val="22"/>
                <w:szCs w:val="22"/>
              </w:rPr>
            </w:pPr>
            <w:r>
              <w:rPr>
                <w:b/>
                <w:i/>
                <w:iCs/>
                <w:sz w:val="22"/>
                <w:szCs w:val="22"/>
              </w:rPr>
              <w:t>metri</w:t>
            </w:r>
          </w:p>
        </w:tc>
        <w:tc>
          <w:tcPr>
            <w:tcW w:w="2191" w:type="dxa"/>
            <w:vMerge/>
            <w:tcBorders>
              <w:top w:val="single" w:sz="4" w:space="0" w:color="000000"/>
              <w:left w:val="single" w:sz="4" w:space="0" w:color="000000"/>
              <w:bottom w:val="single" w:sz="8" w:space="0" w:color="000000"/>
              <w:right w:val="single" w:sz="8" w:space="0" w:color="000000"/>
            </w:tcBorders>
          </w:tcPr>
          <w:p w14:paraId="73EB4395" w14:textId="77777777" w:rsidR="001C08A5" w:rsidRDefault="001C08A5">
            <w:pPr>
              <w:snapToGrid w:val="0"/>
              <w:rPr>
                <w:i/>
                <w:iCs/>
                <w:sz w:val="22"/>
                <w:szCs w:val="22"/>
              </w:rPr>
            </w:pPr>
          </w:p>
        </w:tc>
      </w:tr>
      <w:tr w:rsidR="001C08A5" w14:paraId="4337516A" w14:textId="77777777">
        <w:tc>
          <w:tcPr>
            <w:tcW w:w="720" w:type="dxa"/>
            <w:vMerge w:val="restart"/>
            <w:tcBorders>
              <w:top w:val="single" w:sz="8" w:space="0" w:color="000000"/>
              <w:left w:val="single" w:sz="4" w:space="0" w:color="000000"/>
              <w:bottom w:val="single" w:sz="4" w:space="0" w:color="000000"/>
            </w:tcBorders>
          </w:tcPr>
          <w:p w14:paraId="643CE8BA" w14:textId="77777777" w:rsidR="001C08A5" w:rsidRDefault="001C08A5">
            <w:pPr>
              <w:snapToGrid w:val="0"/>
              <w:jc w:val="center"/>
              <w:rPr>
                <w:i/>
                <w:iCs/>
                <w:sz w:val="22"/>
                <w:szCs w:val="22"/>
              </w:rPr>
            </w:pPr>
          </w:p>
          <w:p w14:paraId="0FB92035" w14:textId="77777777" w:rsidR="001C08A5" w:rsidRDefault="001C08A5">
            <w:pPr>
              <w:jc w:val="center"/>
              <w:rPr>
                <w:i/>
                <w:iCs/>
                <w:sz w:val="22"/>
                <w:szCs w:val="22"/>
              </w:rPr>
            </w:pPr>
          </w:p>
          <w:p w14:paraId="4C1555AA" w14:textId="77777777" w:rsidR="001C08A5" w:rsidRDefault="00000000">
            <w:pPr>
              <w:jc w:val="center"/>
              <w:rPr>
                <w:i/>
                <w:iCs/>
                <w:sz w:val="22"/>
                <w:szCs w:val="22"/>
              </w:rPr>
            </w:pPr>
            <w:r>
              <w:rPr>
                <w:i/>
                <w:iCs/>
                <w:sz w:val="22"/>
                <w:szCs w:val="22"/>
              </w:rPr>
              <w:t>1.</w:t>
            </w:r>
          </w:p>
        </w:tc>
        <w:tc>
          <w:tcPr>
            <w:tcW w:w="1710" w:type="dxa"/>
            <w:vMerge w:val="restart"/>
            <w:tcBorders>
              <w:top w:val="single" w:sz="8" w:space="0" w:color="000000"/>
              <w:left w:val="single" w:sz="4" w:space="0" w:color="000000"/>
              <w:bottom w:val="single" w:sz="4" w:space="0" w:color="000000"/>
            </w:tcBorders>
          </w:tcPr>
          <w:p w14:paraId="69842E60" w14:textId="77777777" w:rsidR="001C08A5" w:rsidRDefault="00000000">
            <w:pPr>
              <w:jc w:val="center"/>
              <w:rPr>
                <w:b/>
                <w:i/>
                <w:iCs/>
                <w:sz w:val="22"/>
                <w:szCs w:val="22"/>
              </w:rPr>
            </w:pPr>
            <w:r>
              <w:rPr>
                <w:i/>
                <w:iCs/>
                <w:sz w:val="22"/>
                <w:szCs w:val="22"/>
              </w:rPr>
              <w:t>Cu apartamente cu una sau mai multe camere</w:t>
            </w:r>
          </w:p>
        </w:tc>
        <w:tc>
          <w:tcPr>
            <w:tcW w:w="1350" w:type="dxa"/>
            <w:tcBorders>
              <w:top w:val="single" w:sz="8" w:space="0" w:color="000000"/>
              <w:left w:val="single" w:sz="4" w:space="0" w:color="000000"/>
              <w:bottom w:val="single" w:sz="4" w:space="0" w:color="000000"/>
            </w:tcBorders>
          </w:tcPr>
          <w:p w14:paraId="0EF40DFE" w14:textId="77777777" w:rsidR="001C08A5" w:rsidRDefault="00000000">
            <w:pPr>
              <w:spacing w:line="360" w:lineRule="auto"/>
              <w:jc w:val="center"/>
              <w:rPr>
                <w:i/>
                <w:iCs/>
                <w:sz w:val="22"/>
                <w:szCs w:val="22"/>
              </w:rPr>
            </w:pPr>
            <w:r>
              <w:rPr>
                <w:b/>
                <w:i/>
                <w:iCs/>
                <w:sz w:val="22"/>
                <w:szCs w:val="22"/>
              </w:rPr>
              <w:t>I şi II</w:t>
            </w:r>
          </w:p>
        </w:tc>
        <w:tc>
          <w:tcPr>
            <w:tcW w:w="1800" w:type="dxa"/>
            <w:tcBorders>
              <w:top w:val="single" w:sz="8" w:space="0" w:color="000000"/>
              <w:left w:val="single" w:sz="4" w:space="0" w:color="000000"/>
              <w:bottom w:val="single" w:sz="4" w:space="0" w:color="000000"/>
            </w:tcBorders>
          </w:tcPr>
          <w:p w14:paraId="43C97914" w14:textId="77777777" w:rsidR="001C08A5" w:rsidRDefault="00000000">
            <w:pPr>
              <w:spacing w:line="360" w:lineRule="auto"/>
              <w:jc w:val="center"/>
              <w:rPr>
                <w:i/>
                <w:iCs/>
                <w:sz w:val="22"/>
                <w:szCs w:val="22"/>
              </w:rPr>
            </w:pPr>
            <w:r>
              <w:rPr>
                <w:i/>
                <w:iCs/>
                <w:sz w:val="22"/>
                <w:szCs w:val="22"/>
              </w:rPr>
              <w:t>50</w:t>
            </w:r>
          </w:p>
        </w:tc>
        <w:tc>
          <w:tcPr>
            <w:tcW w:w="1800" w:type="dxa"/>
            <w:tcBorders>
              <w:top w:val="single" w:sz="8" w:space="0" w:color="000000"/>
              <w:left w:val="single" w:sz="4" w:space="0" w:color="000000"/>
              <w:bottom w:val="single" w:sz="4" w:space="0" w:color="000000"/>
            </w:tcBorders>
          </w:tcPr>
          <w:p w14:paraId="2336C9C3" w14:textId="77777777" w:rsidR="001C08A5" w:rsidRDefault="00000000">
            <w:pPr>
              <w:spacing w:line="360" w:lineRule="auto"/>
              <w:jc w:val="center"/>
              <w:rPr>
                <w:i/>
                <w:iCs/>
                <w:sz w:val="22"/>
                <w:szCs w:val="22"/>
              </w:rPr>
            </w:pPr>
            <w:r>
              <w:rPr>
                <w:i/>
                <w:iCs/>
                <w:sz w:val="22"/>
                <w:szCs w:val="22"/>
              </w:rPr>
              <w:t>25</w:t>
            </w:r>
          </w:p>
        </w:tc>
        <w:tc>
          <w:tcPr>
            <w:tcW w:w="2191" w:type="dxa"/>
            <w:vMerge w:val="restart"/>
            <w:tcBorders>
              <w:top w:val="single" w:sz="8" w:space="0" w:color="000000"/>
              <w:left w:val="single" w:sz="4" w:space="0" w:color="000000"/>
              <w:bottom w:val="single" w:sz="4" w:space="0" w:color="000000"/>
              <w:right w:val="single" w:sz="4" w:space="0" w:color="000000"/>
            </w:tcBorders>
          </w:tcPr>
          <w:p w14:paraId="07E6FAFC" w14:textId="77777777" w:rsidR="001C08A5" w:rsidRDefault="00000000">
            <w:pPr>
              <w:jc w:val="center"/>
              <w:rPr>
                <w:i/>
                <w:iCs/>
                <w:sz w:val="22"/>
                <w:szCs w:val="22"/>
              </w:rPr>
            </w:pPr>
            <w:r>
              <w:rPr>
                <w:i/>
                <w:iCs/>
                <w:sz w:val="22"/>
                <w:szCs w:val="22"/>
              </w:rPr>
              <w:t xml:space="preserve">În interiorul apartamentelor de locuit, lungimile </w:t>
            </w:r>
            <w:r>
              <w:rPr>
                <w:i/>
                <w:iCs/>
                <w:sz w:val="22"/>
                <w:szCs w:val="22"/>
              </w:rPr>
              <w:lastRenderedPageBreak/>
              <w:t>căilor de evacuare nu se normează</w:t>
            </w:r>
          </w:p>
        </w:tc>
      </w:tr>
      <w:tr w:rsidR="001C08A5" w14:paraId="3CDDAC49" w14:textId="77777777">
        <w:tc>
          <w:tcPr>
            <w:tcW w:w="720" w:type="dxa"/>
            <w:vMerge/>
            <w:tcBorders>
              <w:top w:val="single" w:sz="4" w:space="0" w:color="000000"/>
              <w:left w:val="single" w:sz="4" w:space="0" w:color="000000"/>
              <w:bottom w:val="single" w:sz="4" w:space="0" w:color="000000"/>
            </w:tcBorders>
          </w:tcPr>
          <w:p w14:paraId="3C3B2E5E" w14:textId="77777777" w:rsidR="001C08A5" w:rsidRDefault="001C08A5">
            <w:pPr>
              <w:snapToGrid w:val="0"/>
              <w:jc w:val="center"/>
              <w:rPr>
                <w:i/>
                <w:iCs/>
                <w:sz w:val="22"/>
                <w:szCs w:val="22"/>
              </w:rPr>
            </w:pPr>
          </w:p>
        </w:tc>
        <w:tc>
          <w:tcPr>
            <w:tcW w:w="1710" w:type="dxa"/>
            <w:vMerge/>
            <w:tcBorders>
              <w:top w:val="single" w:sz="4" w:space="0" w:color="000000"/>
              <w:left w:val="single" w:sz="4" w:space="0" w:color="000000"/>
              <w:bottom w:val="single" w:sz="4" w:space="0" w:color="000000"/>
            </w:tcBorders>
          </w:tcPr>
          <w:p w14:paraId="456EA457"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40A36F6D" w14:textId="77777777" w:rsidR="001C08A5" w:rsidRDefault="00000000">
            <w:pPr>
              <w:spacing w:line="360" w:lineRule="auto"/>
              <w:jc w:val="center"/>
              <w:rPr>
                <w:i/>
                <w:iCs/>
                <w:sz w:val="22"/>
                <w:szCs w:val="22"/>
              </w:rPr>
            </w:pPr>
            <w:r>
              <w:rPr>
                <w:b/>
                <w:i/>
                <w:iCs/>
                <w:sz w:val="22"/>
                <w:szCs w:val="22"/>
              </w:rPr>
              <w:t>III şi IV</w:t>
            </w:r>
          </w:p>
        </w:tc>
        <w:tc>
          <w:tcPr>
            <w:tcW w:w="1800" w:type="dxa"/>
            <w:tcBorders>
              <w:top w:val="single" w:sz="4" w:space="0" w:color="000000"/>
              <w:left w:val="single" w:sz="4" w:space="0" w:color="000000"/>
              <w:bottom w:val="single" w:sz="4" w:space="0" w:color="000000"/>
            </w:tcBorders>
          </w:tcPr>
          <w:p w14:paraId="58F68FEC" w14:textId="77777777" w:rsidR="001C08A5" w:rsidRDefault="00000000">
            <w:pPr>
              <w:spacing w:line="360" w:lineRule="auto"/>
              <w:jc w:val="center"/>
              <w:rPr>
                <w:i/>
                <w:iCs/>
                <w:sz w:val="22"/>
                <w:szCs w:val="22"/>
              </w:rPr>
            </w:pPr>
            <w:r>
              <w:rPr>
                <w:i/>
                <w:iCs/>
                <w:sz w:val="22"/>
                <w:szCs w:val="22"/>
              </w:rPr>
              <w:t>25</w:t>
            </w:r>
          </w:p>
        </w:tc>
        <w:tc>
          <w:tcPr>
            <w:tcW w:w="1800" w:type="dxa"/>
            <w:tcBorders>
              <w:top w:val="single" w:sz="4" w:space="0" w:color="000000"/>
              <w:left w:val="single" w:sz="4" w:space="0" w:color="000000"/>
              <w:bottom w:val="single" w:sz="4" w:space="0" w:color="000000"/>
            </w:tcBorders>
          </w:tcPr>
          <w:p w14:paraId="05FC3D16" w14:textId="77777777" w:rsidR="001C08A5" w:rsidRDefault="00000000">
            <w:pPr>
              <w:spacing w:line="360" w:lineRule="auto"/>
              <w:jc w:val="center"/>
              <w:rPr>
                <w:i/>
                <w:iCs/>
                <w:sz w:val="22"/>
                <w:szCs w:val="22"/>
              </w:rPr>
            </w:pPr>
            <w:r>
              <w:rPr>
                <w:i/>
                <w:iCs/>
                <w:sz w:val="22"/>
                <w:szCs w:val="22"/>
              </w:rPr>
              <w:t>12</w:t>
            </w:r>
          </w:p>
        </w:tc>
        <w:tc>
          <w:tcPr>
            <w:tcW w:w="2191" w:type="dxa"/>
            <w:vMerge/>
            <w:tcBorders>
              <w:top w:val="single" w:sz="4" w:space="0" w:color="000000"/>
              <w:left w:val="single" w:sz="4" w:space="0" w:color="000000"/>
              <w:bottom w:val="single" w:sz="4" w:space="0" w:color="000000"/>
              <w:right w:val="single" w:sz="4" w:space="0" w:color="000000"/>
            </w:tcBorders>
          </w:tcPr>
          <w:p w14:paraId="38C01B22" w14:textId="77777777" w:rsidR="001C08A5" w:rsidRDefault="001C08A5">
            <w:pPr>
              <w:snapToGrid w:val="0"/>
              <w:rPr>
                <w:i/>
                <w:iCs/>
                <w:sz w:val="22"/>
                <w:szCs w:val="22"/>
              </w:rPr>
            </w:pPr>
          </w:p>
        </w:tc>
      </w:tr>
      <w:tr w:rsidR="001C08A5" w14:paraId="6A29AFE1" w14:textId="77777777">
        <w:tc>
          <w:tcPr>
            <w:tcW w:w="720" w:type="dxa"/>
            <w:vMerge/>
            <w:tcBorders>
              <w:top w:val="single" w:sz="4" w:space="0" w:color="000000"/>
              <w:left w:val="single" w:sz="4" w:space="0" w:color="000000"/>
              <w:bottom w:val="single" w:sz="4" w:space="0" w:color="000000"/>
            </w:tcBorders>
          </w:tcPr>
          <w:p w14:paraId="1F274A8F" w14:textId="77777777" w:rsidR="001C08A5" w:rsidRDefault="001C08A5">
            <w:pPr>
              <w:snapToGrid w:val="0"/>
              <w:jc w:val="center"/>
              <w:rPr>
                <w:i/>
                <w:iCs/>
                <w:sz w:val="22"/>
                <w:szCs w:val="22"/>
              </w:rPr>
            </w:pPr>
          </w:p>
        </w:tc>
        <w:tc>
          <w:tcPr>
            <w:tcW w:w="1710" w:type="dxa"/>
            <w:vMerge/>
            <w:tcBorders>
              <w:top w:val="single" w:sz="4" w:space="0" w:color="000000"/>
              <w:left w:val="single" w:sz="4" w:space="0" w:color="000000"/>
              <w:bottom w:val="single" w:sz="4" w:space="0" w:color="000000"/>
            </w:tcBorders>
          </w:tcPr>
          <w:p w14:paraId="416401DA"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34A7E0FD" w14:textId="77777777" w:rsidR="001C08A5" w:rsidRDefault="00000000">
            <w:pPr>
              <w:spacing w:line="360" w:lineRule="auto"/>
              <w:jc w:val="center"/>
              <w:rPr>
                <w:i/>
                <w:iCs/>
                <w:sz w:val="22"/>
                <w:szCs w:val="22"/>
              </w:rPr>
            </w:pPr>
            <w:r>
              <w:rPr>
                <w:b/>
                <w:i/>
                <w:iCs/>
                <w:sz w:val="22"/>
                <w:szCs w:val="22"/>
              </w:rPr>
              <w:t>V</w:t>
            </w:r>
          </w:p>
        </w:tc>
        <w:tc>
          <w:tcPr>
            <w:tcW w:w="1800" w:type="dxa"/>
            <w:tcBorders>
              <w:top w:val="single" w:sz="4" w:space="0" w:color="000000"/>
              <w:left w:val="single" w:sz="4" w:space="0" w:color="000000"/>
              <w:bottom w:val="single" w:sz="4" w:space="0" w:color="000000"/>
            </w:tcBorders>
          </w:tcPr>
          <w:p w14:paraId="276F06C1" w14:textId="77777777" w:rsidR="001C08A5" w:rsidRDefault="00000000">
            <w:pPr>
              <w:spacing w:line="360" w:lineRule="auto"/>
              <w:jc w:val="center"/>
              <w:rPr>
                <w:i/>
                <w:iCs/>
                <w:sz w:val="22"/>
                <w:szCs w:val="22"/>
              </w:rPr>
            </w:pPr>
            <w:r>
              <w:rPr>
                <w:i/>
                <w:iCs/>
                <w:sz w:val="22"/>
                <w:szCs w:val="22"/>
              </w:rPr>
              <w:t>12</w:t>
            </w:r>
          </w:p>
        </w:tc>
        <w:tc>
          <w:tcPr>
            <w:tcW w:w="1800" w:type="dxa"/>
            <w:tcBorders>
              <w:top w:val="single" w:sz="4" w:space="0" w:color="000000"/>
              <w:left w:val="single" w:sz="4" w:space="0" w:color="000000"/>
              <w:bottom w:val="single" w:sz="4" w:space="0" w:color="000000"/>
            </w:tcBorders>
          </w:tcPr>
          <w:p w14:paraId="6962E078" w14:textId="77777777" w:rsidR="001C08A5" w:rsidRDefault="00000000">
            <w:pPr>
              <w:spacing w:line="360" w:lineRule="auto"/>
              <w:jc w:val="center"/>
              <w:rPr>
                <w:i/>
                <w:iCs/>
                <w:sz w:val="22"/>
                <w:szCs w:val="22"/>
              </w:rPr>
            </w:pPr>
            <w:r>
              <w:rPr>
                <w:i/>
                <w:iCs/>
                <w:sz w:val="22"/>
                <w:szCs w:val="22"/>
              </w:rPr>
              <w:t>8</w:t>
            </w:r>
          </w:p>
        </w:tc>
        <w:tc>
          <w:tcPr>
            <w:tcW w:w="2191" w:type="dxa"/>
            <w:vMerge/>
            <w:tcBorders>
              <w:top w:val="single" w:sz="4" w:space="0" w:color="000000"/>
              <w:left w:val="single" w:sz="4" w:space="0" w:color="000000"/>
              <w:bottom w:val="single" w:sz="4" w:space="0" w:color="000000"/>
              <w:right w:val="single" w:sz="4" w:space="0" w:color="000000"/>
            </w:tcBorders>
          </w:tcPr>
          <w:p w14:paraId="114A4AF1" w14:textId="77777777" w:rsidR="001C08A5" w:rsidRDefault="001C08A5">
            <w:pPr>
              <w:snapToGrid w:val="0"/>
              <w:rPr>
                <w:i/>
                <w:iCs/>
                <w:sz w:val="22"/>
                <w:szCs w:val="22"/>
              </w:rPr>
            </w:pPr>
          </w:p>
        </w:tc>
      </w:tr>
    </w:tbl>
    <w:p w14:paraId="5C4D2AA5" w14:textId="77777777" w:rsidR="001C08A5" w:rsidRDefault="00000000">
      <w:pPr>
        <w:jc w:val="both"/>
        <w:rPr>
          <w:i/>
          <w:sz w:val="22"/>
          <w:szCs w:val="22"/>
        </w:rPr>
      </w:pPr>
      <w:r>
        <w:rPr>
          <w:i/>
          <w:sz w:val="22"/>
          <w:szCs w:val="22"/>
          <w:u w:val="single"/>
        </w:rPr>
        <w:t>Notă</w:t>
      </w:r>
      <w:r>
        <w:rPr>
          <w:i/>
          <w:sz w:val="22"/>
          <w:szCs w:val="22"/>
        </w:rPr>
        <w:t xml:space="preserve">: </w:t>
      </w:r>
    </w:p>
    <w:p w14:paraId="1769E8F7" w14:textId="77777777" w:rsidR="001C08A5" w:rsidRDefault="00000000">
      <w:pPr>
        <w:jc w:val="both"/>
        <w:rPr>
          <w:b/>
          <w:i/>
          <w:sz w:val="22"/>
          <w:szCs w:val="22"/>
        </w:rPr>
      </w:pPr>
      <w:r>
        <w:rPr>
          <w:i/>
          <w:sz w:val="22"/>
          <w:szCs w:val="22"/>
        </w:rPr>
        <w:t xml:space="preserve">La clădirile de locuit care nu sunt săli aglomerate, clădiri înalte sau clădiri foarte înalte și compartimentele de incendiu prevăzute cu instalaţii de detectare, semnalizare şi alarmare a incendiului cu acoperire totală și echipate cu instalaţii automate de stingere a incendiilor </w:t>
      </w:r>
      <w:r>
        <w:rPr>
          <w:bCs/>
          <w:i/>
          <w:sz w:val="22"/>
          <w:szCs w:val="22"/>
        </w:rPr>
        <w:t xml:space="preserve">şi evacuare a fumului din circulațiile comune orizontale (coridoare/holuri) și casele de scări, </w:t>
      </w:r>
      <w:r>
        <w:rPr>
          <w:i/>
          <w:sz w:val="22"/>
          <w:szCs w:val="22"/>
        </w:rPr>
        <w:t xml:space="preserve">lungimile normate de evacuare a utilizatorilor se pot majora cu </w:t>
      </w:r>
      <w:r>
        <w:rPr>
          <w:b/>
          <w:bCs/>
          <w:i/>
          <w:sz w:val="22"/>
          <w:szCs w:val="22"/>
        </w:rPr>
        <w:t>25%</w:t>
      </w:r>
      <w:r>
        <w:rPr>
          <w:i/>
          <w:sz w:val="22"/>
          <w:szCs w:val="22"/>
        </w:rPr>
        <w:t>.</w:t>
      </w:r>
    </w:p>
    <w:p w14:paraId="551B0A38" w14:textId="77777777" w:rsidR="001C08A5" w:rsidRDefault="001C08A5">
      <w:pPr>
        <w:jc w:val="both"/>
        <w:rPr>
          <w:b/>
          <w:sz w:val="24"/>
          <w:szCs w:val="24"/>
        </w:rPr>
      </w:pPr>
    </w:p>
    <w:p w14:paraId="0963F2EB" w14:textId="77777777" w:rsidR="001C08A5" w:rsidRDefault="00000000">
      <w:pPr>
        <w:ind w:firstLine="567"/>
        <w:jc w:val="both"/>
        <w:rPr>
          <w:rFonts w:eastAsia="Times-Roman"/>
          <w:sz w:val="24"/>
          <w:szCs w:val="24"/>
        </w:rPr>
      </w:pPr>
      <w:r>
        <w:rPr>
          <w:b/>
          <w:sz w:val="24"/>
          <w:szCs w:val="24"/>
        </w:rPr>
        <w:t xml:space="preserve">Art. </w:t>
      </w:r>
      <w:r>
        <w:rPr>
          <w:b/>
          <w:bCs/>
          <w:sz w:val="24"/>
          <w:szCs w:val="24"/>
        </w:rPr>
        <w:t>3.2.1.</w:t>
      </w:r>
      <w:r>
        <w:rPr>
          <w:b/>
          <w:sz w:val="24"/>
          <w:szCs w:val="24"/>
        </w:rPr>
        <w:t xml:space="preserve">13. (1) </w:t>
      </w:r>
      <w:r>
        <w:rPr>
          <w:sz w:val="24"/>
          <w:szCs w:val="24"/>
        </w:rPr>
        <w:t xml:space="preserve">Clădirile de locuit  reprezentând unități individuale (cu locuințe unifamiliale, de serviciu, de intervenție, de necesitate de sprijin, de protocol, case de vacanță) sau un ansamblu rezidențial care se constituie în condominiu format din locuințe și construcții cu altă destinație, individuale, amplasate izolat, înșiruit sau cuplat, în care proprietățile individuale sunt interdependente printr-o proprietate comună forțată și perpetuă, cu înăltimea h = maximum </w:t>
      </w:r>
      <w:r>
        <w:rPr>
          <w:b/>
          <w:bCs/>
          <w:sz w:val="24"/>
          <w:szCs w:val="24"/>
        </w:rPr>
        <w:t>8 m</w:t>
      </w:r>
      <w:r>
        <w:rPr>
          <w:sz w:val="24"/>
          <w:szCs w:val="24"/>
        </w:rPr>
        <w:t xml:space="preserve"> (unde </w:t>
      </w:r>
      <w:r>
        <w:rPr>
          <w:b/>
          <w:sz w:val="24"/>
          <w:szCs w:val="24"/>
        </w:rPr>
        <w:t>”h”</w:t>
      </w:r>
      <w:r>
        <w:rPr>
          <w:bCs/>
          <w:sz w:val="24"/>
          <w:szCs w:val="24"/>
        </w:rPr>
        <w:t xml:space="preserve"> reprezintă cota ultimului planșeu accesibil al </w:t>
      </w:r>
      <w:r>
        <w:rPr>
          <w:sz w:val="24"/>
          <w:szCs w:val="24"/>
        </w:rPr>
        <w:t xml:space="preserve">constructiei, față de nivelul de referință), vor avea asigurat accesul și intervenţia autospecialelor de stingere în caz de incendiu, cel puţin pe o latură </w:t>
      </w:r>
      <w:r>
        <w:rPr>
          <w:rFonts w:eastAsia="Times-Roman"/>
          <w:sz w:val="24"/>
          <w:szCs w:val="24"/>
        </w:rPr>
        <w:t xml:space="preserve">şi, totodată, cel puţin pe </w:t>
      </w:r>
      <w:r>
        <w:rPr>
          <w:rFonts w:eastAsia="Times-Roman"/>
          <w:b/>
          <w:bCs/>
          <w:sz w:val="24"/>
          <w:szCs w:val="24"/>
        </w:rPr>
        <w:t>15%</w:t>
      </w:r>
      <w:r>
        <w:rPr>
          <w:rFonts w:eastAsia="Times-Roman"/>
          <w:sz w:val="24"/>
          <w:szCs w:val="24"/>
        </w:rPr>
        <w:t xml:space="preserve"> din perimetrul pereților exteriori.</w:t>
      </w:r>
    </w:p>
    <w:p w14:paraId="5A6ADC6A" w14:textId="77777777" w:rsidR="001C08A5" w:rsidRDefault="00000000">
      <w:pPr>
        <w:ind w:firstLine="567"/>
        <w:jc w:val="both"/>
        <w:rPr>
          <w:sz w:val="24"/>
          <w:szCs w:val="24"/>
        </w:rPr>
      </w:pPr>
      <w:r>
        <w:rPr>
          <w:b/>
          <w:sz w:val="24"/>
          <w:szCs w:val="24"/>
        </w:rPr>
        <w:t xml:space="preserve">(2) </w:t>
      </w:r>
      <w:r>
        <w:rPr>
          <w:sz w:val="24"/>
          <w:szCs w:val="24"/>
        </w:rPr>
        <w:t xml:space="preserve">Clădirile de locuit colective supraterane cu înălţimi obişnuite cu cu înăltimea </w:t>
      </w:r>
      <w:r>
        <w:rPr>
          <w:b/>
          <w:bCs/>
          <w:sz w:val="24"/>
          <w:szCs w:val="24"/>
        </w:rPr>
        <w:t xml:space="preserve">h </w:t>
      </w:r>
      <w:r>
        <w:rPr>
          <w:rFonts w:ascii="Calibri" w:hAnsi="Calibri" w:cs="Calibri"/>
          <w:b/>
          <w:bCs/>
          <w:sz w:val="24"/>
          <w:szCs w:val="24"/>
        </w:rPr>
        <w:t>&gt;</w:t>
      </w:r>
      <w:r>
        <w:rPr>
          <w:b/>
          <w:bCs/>
          <w:sz w:val="24"/>
          <w:szCs w:val="24"/>
        </w:rPr>
        <w:t xml:space="preserve"> 8 m</w:t>
      </w:r>
      <w:r>
        <w:rPr>
          <w:sz w:val="24"/>
          <w:szCs w:val="24"/>
        </w:rPr>
        <w:t xml:space="preserve"> (unde </w:t>
      </w:r>
      <w:r>
        <w:rPr>
          <w:b/>
          <w:sz w:val="24"/>
          <w:szCs w:val="24"/>
        </w:rPr>
        <w:t>”h”</w:t>
      </w:r>
      <w:r>
        <w:rPr>
          <w:bCs/>
          <w:sz w:val="24"/>
          <w:szCs w:val="24"/>
        </w:rPr>
        <w:t xml:space="preserve"> reprezintă cota ultimului planșeu accesibil al </w:t>
      </w:r>
      <w:r>
        <w:rPr>
          <w:sz w:val="24"/>
          <w:szCs w:val="24"/>
        </w:rPr>
        <w:t xml:space="preserve">constructiei, față de nivelul de referință), vor avea asigurat accesul și intervenţia autospecialelor de stingere în caz de incendiu, cel puţin pe o latură </w:t>
      </w:r>
      <w:r>
        <w:rPr>
          <w:rFonts w:eastAsia="Times-Roman"/>
          <w:sz w:val="24"/>
          <w:szCs w:val="24"/>
        </w:rPr>
        <w:t xml:space="preserve">şi, totodată, cel puţin pe </w:t>
      </w:r>
      <w:r>
        <w:rPr>
          <w:rFonts w:eastAsia="Times-Roman"/>
          <w:b/>
          <w:bCs/>
          <w:sz w:val="24"/>
          <w:szCs w:val="24"/>
        </w:rPr>
        <w:t>25%</w:t>
      </w:r>
      <w:r>
        <w:rPr>
          <w:rFonts w:eastAsia="Times-Roman"/>
          <w:sz w:val="24"/>
          <w:szCs w:val="24"/>
        </w:rPr>
        <w:t xml:space="preserve"> din perimetrul pereților exteriori.</w:t>
      </w:r>
    </w:p>
    <w:p w14:paraId="5096AD71" w14:textId="77777777" w:rsidR="001C08A5" w:rsidRDefault="00000000">
      <w:pPr>
        <w:widowControl w:val="0"/>
        <w:ind w:firstLine="720"/>
        <w:jc w:val="both"/>
        <w:rPr>
          <w:sz w:val="24"/>
          <w:szCs w:val="24"/>
        </w:rPr>
      </w:pPr>
      <w:r>
        <w:rPr>
          <w:b/>
          <w:sz w:val="24"/>
          <w:szCs w:val="24"/>
        </w:rPr>
        <w:t xml:space="preserve">(3) </w:t>
      </w:r>
      <w:r>
        <w:rPr>
          <w:sz w:val="24"/>
          <w:szCs w:val="24"/>
        </w:rPr>
        <w:t xml:space="preserve">Cu acceptul autoritatilor locale (a serviciilor pentru situatii de urgenta) și dacă configurația urbanistică permite, se pot utiliza căi de acces amplasate adiacent accesului de intrare în clădirile de locuit colective cu înălţimi obişnuite cu maximum </w:t>
      </w:r>
      <w:r>
        <w:rPr>
          <w:b/>
          <w:sz w:val="24"/>
          <w:szCs w:val="24"/>
        </w:rPr>
        <w:t>4</w:t>
      </w:r>
      <w:r>
        <w:rPr>
          <w:sz w:val="24"/>
          <w:szCs w:val="24"/>
        </w:rPr>
        <w:t xml:space="preserve"> niveluri supraterane. </w:t>
      </w:r>
    </w:p>
    <w:p w14:paraId="3F88A736" w14:textId="77777777" w:rsidR="001C08A5" w:rsidRDefault="00000000">
      <w:pPr>
        <w:widowControl w:val="0"/>
        <w:ind w:firstLine="720"/>
        <w:jc w:val="both"/>
        <w:rPr>
          <w:b/>
          <w:sz w:val="24"/>
          <w:szCs w:val="24"/>
        </w:rPr>
      </w:pPr>
      <w:r>
        <w:rPr>
          <w:b/>
          <w:sz w:val="24"/>
          <w:szCs w:val="24"/>
        </w:rPr>
        <w:t xml:space="preserve">(4) </w:t>
      </w:r>
      <w:r>
        <w:rPr>
          <w:bCs/>
          <w:sz w:val="24"/>
          <w:szCs w:val="24"/>
        </w:rPr>
        <w:t>În</w:t>
      </w:r>
      <w:r>
        <w:rPr>
          <w:sz w:val="24"/>
          <w:szCs w:val="24"/>
        </w:rPr>
        <w:t xml:space="preserve">conformitate cu capacitatea maximă simultană a clădirii de locuit colective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w:t>
      </w:r>
      <w:r>
        <w:rPr>
          <w:bCs/>
          <w:sz w:val="24"/>
          <w:szCs w:val="24"/>
        </w:rPr>
        <w:t>și</w:t>
      </w:r>
      <w:r>
        <w:rPr>
          <w:b/>
          <w:sz w:val="24"/>
          <w:szCs w:val="24"/>
        </w:rPr>
        <w:t xml:space="preserve"> (3). </w:t>
      </w:r>
    </w:p>
    <w:p w14:paraId="78839051" w14:textId="77777777" w:rsidR="001C08A5" w:rsidRDefault="001C08A5">
      <w:pPr>
        <w:widowControl w:val="0"/>
        <w:jc w:val="both"/>
        <w:rPr>
          <w:bCs/>
          <w:sz w:val="24"/>
          <w:szCs w:val="24"/>
        </w:rPr>
      </w:pPr>
    </w:p>
    <w:p w14:paraId="6A445B20" w14:textId="77777777" w:rsidR="001C08A5" w:rsidRDefault="00000000">
      <w:pPr>
        <w:pStyle w:val="Heading4"/>
      </w:pPr>
      <w:bookmarkStart w:id="3307" w:name="_Toc23703"/>
      <w:bookmarkStart w:id="3308" w:name="_Toc16487"/>
      <w:bookmarkStart w:id="3309" w:name="_Toc15012"/>
      <w:bookmarkStart w:id="3310" w:name="_Toc31852"/>
      <w:bookmarkStart w:id="3311" w:name="_Toc16354"/>
      <w:bookmarkStart w:id="3312" w:name="_Toc22971"/>
      <w:bookmarkStart w:id="3313" w:name="_Toc162355290"/>
      <w:bookmarkStart w:id="3314" w:name="_Toc3480"/>
      <w:r>
        <w:t>3.2.2. Clădiri administrative supraterane</w:t>
      </w:r>
      <w:bookmarkEnd w:id="3307"/>
      <w:bookmarkEnd w:id="3308"/>
      <w:bookmarkEnd w:id="3309"/>
      <w:bookmarkEnd w:id="3310"/>
      <w:bookmarkEnd w:id="3311"/>
      <w:bookmarkEnd w:id="3312"/>
      <w:bookmarkEnd w:id="3313"/>
      <w:bookmarkEnd w:id="3314"/>
    </w:p>
    <w:p w14:paraId="5B68C373" w14:textId="77777777" w:rsidR="001C08A5" w:rsidRDefault="001C08A5">
      <w:pPr>
        <w:jc w:val="both"/>
        <w:rPr>
          <w:sz w:val="24"/>
          <w:szCs w:val="24"/>
        </w:rPr>
      </w:pPr>
    </w:p>
    <w:p w14:paraId="5D1EF109" w14:textId="77777777" w:rsidR="001C08A5" w:rsidRDefault="00000000">
      <w:pPr>
        <w:jc w:val="both"/>
        <w:rPr>
          <w:sz w:val="24"/>
          <w:szCs w:val="24"/>
        </w:rPr>
      </w:pPr>
      <w:r>
        <w:rPr>
          <w:b/>
          <w:sz w:val="24"/>
          <w:szCs w:val="24"/>
        </w:rPr>
        <w:tab/>
        <w:t xml:space="preserve">Art. </w:t>
      </w:r>
      <w:r>
        <w:rPr>
          <w:b/>
          <w:caps/>
          <w:sz w:val="24"/>
          <w:szCs w:val="24"/>
        </w:rPr>
        <w:t>3.2.2.1</w:t>
      </w:r>
      <w:r>
        <w:rPr>
          <w:b/>
          <w:sz w:val="24"/>
          <w:szCs w:val="24"/>
        </w:rPr>
        <w:t>. (1)</w:t>
      </w:r>
      <w:r>
        <w:rPr>
          <w:sz w:val="24"/>
          <w:szCs w:val="24"/>
        </w:rPr>
        <w:t xml:space="preserve"> Clădirile civile administrative supraterane cu înălţimi obişnuite (clădiri ale autorităţilor și instituţiilor centrale sau locale, financiar-bancare, sindicate, partide, birouri, etc.), vor avea asigurat nivelul de stabilitate la incendiu determinat conform prevederilor din </w:t>
      </w:r>
      <w:r>
        <w:rPr>
          <w:b/>
          <w:sz w:val="24"/>
          <w:szCs w:val="24"/>
        </w:rPr>
        <w:t>Art.</w:t>
      </w:r>
      <w:r>
        <w:rPr>
          <w:b/>
          <w:bCs/>
          <w:sz w:val="24"/>
          <w:szCs w:val="24"/>
        </w:rPr>
        <w:t>2.1.3.</w:t>
      </w:r>
      <w:r>
        <w:rPr>
          <w:b/>
          <w:sz w:val="24"/>
          <w:szCs w:val="24"/>
        </w:rPr>
        <w:t xml:space="preserve">2. </w:t>
      </w:r>
      <w:r>
        <w:rPr>
          <w:sz w:val="24"/>
          <w:szCs w:val="24"/>
        </w:rPr>
        <w:t xml:space="preserve">şi </w:t>
      </w:r>
      <w:r>
        <w:rPr>
          <w:rFonts w:cs="Mangal"/>
          <w:b/>
          <w:i/>
          <w:iCs/>
          <w:sz w:val="24"/>
          <w:szCs w:val="24"/>
        </w:rPr>
        <w:fldChar w:fldCharType="begin"/>
      </w:r>
      <w:r>
        <w:rPr>
          <w:rFonts w:cs="Mangal"/>
          <w:b/>
          <w:i/>
          <w:iCs/>
          <w:sz w:val="24"/>
          <w:szCs w:val="24"/>
        </w:rPr>
        <w:instrText xml:space="preserve"> REF _Ref26473 \h </w:instrText>
      </w:r>
      <w:r>
        <w:rPr>
          <w:rFonts w:cs="Mangal"/>
          <w:b/>
          <w:i/>
          <w:iCs/>
          <w:sz w:val="24"/>
          <w:szCs w:val="24"/>
        </w:rPr>
      </w:r>
      <w:r>
        <w:rPr>
          <w:rFonts w:cs="Mangal"/>
          <w:b/>
          <w:i/>
          <w:iCs/>
          <w:sz w:val="24"/>
          <w:szCs w:val="24"/>
        </w:rPr>
        <w:fldChar w:fldCharType="separate"/>
      </w:r>
      <w:r>
        <w:t>Tabelul 2</w:t>
      </w:r>
      <w:r>
        <w:rPr>
          <w:rFonts w:cs="Mangal"/>
          <w:b/>
          <w:i/>
          <w:iCs/>
          <w:sz w:val="24"/>
          <w:szCs w:val="24"/>
        </w:rPr>
        <w:fldChar w:fldCharType="end"/>
      </w:r>
      <w:r>
        <w:rPr>
          <w:sz w:val="24"/>
          <w:szCs w:val="24"/>
        </w:rPr>
        <w:t>.</w:t>
      </w:r>
    </w:p>
    <w:p w14:paraId="0711D372" w14:textId="77777777" w:rsidR="001C08A5" w:rsidRDefault="001C08A5">
      <w:pPr>
        <w:jc w:val="both"/>
        <w:rPr>
          <w:sz w:val="24"/>
          <w:szCs w:val="24"/>
        </w:rPr>
      </w:pPr>
    </w:p>
    <w:p w14:paraId="51E9627A" w14:textId="77777777" w:rsidR="001C08A5" w:rsidRDefault="00000000">
      <w:pPr>
        <w:ind w:firstLine="567"/>
        <w:jc w:val="both"/>
        <w:rPr>
          <w:sz w:val="24"/>
          <w:szCs w:val="24"/>
        </w:rPr>
      </w:pPr>
      <w:r>
        <w:rPr>
          <w:b/>
          <w:sz w:val="24"/>
          <w:szCs w:val="24"/>
        </w:rPr>
        <w:t xml:space="preserve">Art. </w:t>
      </w:r>
      <w:r>
        <w:rPr>
          <w:b/>
          <w:bCs/>
          <w:sz w:val="24"/>
          <w:szCs w:val="24"/>
        </w:rPr>
        <w:t>3.2.2.</w:t>
      </w:r>
      <w:r>
        <w:rPr>
          <w:b/>
          <w:sz w:val="24"/>
          <w:szCs w:val="24"/>
        </w:rPr>
        <w:t>2. (1)</w:t>
      </w:r>
      <w:r>
        <w:rPr>
          <w:sz w:val="24"/>
          <w:szCs w:val="24"/>
        </w:rPr>
        <w:t xml:space="preserve"> Clădirile administrative supraterane cu înălţimi obişnuite (clădiri ale autorităţilor și instituţiilor centrale sau locale, financiar-bancare, sindicate, partide, birouri etc.), se alcătuiesc în funcţie de destinaţie, astfel încât să asigure îndeplinirea performanţelor specifice de securitate la incendiu şi condiţiile de conformare și corelare normate între destinaţie, nivelul de stabilitate la incendiu asigurat, aria compartimentului de incendiu și numărul de niveluri supraterane conform prevederilor din </w:t>
      </w:r>
      <w:r>
        <w:rPr>
          <w:b/>
          <w:sz w:val="24"/>
          <w:szCs w:val="24"/>
        </w:rPr>
        <w:t xml:space="preserve">Art. </w:t>
      </w:r>
      <w:r>
        <w:rPr>
          <w:b/>
          <w:caps/>
          <w:sz w:val="24"/>
          <w:szCs w:val="24"/>
        </w:rPr>
        <w:t>3.1.2.</w:t>
      </w:r>
      <w:r>
        <w:rPr>
          <w:b/>
          <w:sz w:val="24"/>
          <w:szCs w:val="24"/>
        </w:rPr>
        <w:t>6.</w:t>
      </w:r>
      <w:r>
        <w:rPr>
          <w:sz w:val="24"/>
          <w:szCs w:val="24"/>
        </w:rPr>
        <w:t>,</w:t>
      </w:r>
      <w:r>
        <w:rPr>
          <w:b/>
          <w:sz w:val="24"/>
          <w:szCs w:val="24"/>
        </w:rPr>
        <w:t xml:space="preserve"> Art. </w:t>
      </w:r>
      <w:r>
        <w:rPr>
          <w:b/>
          <w:caps/>
          <w:sz w:val="24"/>
          <w:szCs w:val="24"/>
        </w:rPr>
        <w:t>3.1.2.</w:t>
      </w:r>
      <w:r>
        <w:rPr>
          <w:b/>
          <w:sz w:val="24"/>
          <w:szCs w:val="24"/>
        </w:rPr>
        <w:t xml:space="preserve">7. </w:t>
      </w:r>
      <w:r>
        <w:rPr>
          <w:sz w:val="24"/>
          <w:szCs w:val="24"/>
        </w:rPr>
        <w:t xml:space="preserve">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 xml:space="preserve"> și</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sz w:val="24"/>
          <w:szCs w:val="24"/>
        </w:rPr>
        <w:t>.</w:t>
      </w:r>
    </w:p>
    <w:p w14:paraId="0173C6A7" w14:textId="77777777" w:rsidR="001C08A5" w:rsidRDefault="00000000">
      <w:pPr>
        <w:ind w:firstLine="720"/>
        <w:jc w:val="both"/>
        <w:rPr>
          <w:sz w:val="24"/>
          <w:szCs w:val="24"/>
        </w:rPr>
      </w:pPr>
      <w:r>
        <w:rPr>
          <w:b/>
          <w:sz w:val="24"/>
          <w:szCs w:val="24"/>
        </w:rPr>
        <w:t xml:space="preserve">(2) </w:t>
      </w:r>
      <w:r>
        <w:rPr>
          <w:sz w:val="24"/>
          <w:szCs w:val="24"/>
        </w:rPr>
        <w:t>În cazul înglobării unor spaţii sau încăperi administrative în clădiri civile supraterane obişnuite cu altă destinaţie (de locuit, învăţământ, turism, comerţ etc.), se aplică şi dispoziţiile specifice clădirilor cu funcţiuni mixte, respectându-se cele mai severe condiţii.</w:t>
      </w:r>
    </w:p>
    <w:p w14:paraId="5198B076" w14:textId="77777777" w:rsidR="001C08A5" w:rsidRDefault="00000000">
      <w:pPr>
        <w:ind w:firstLine="720"/>
        <w:jc w:val="both"/>
        <w:rPr>
          <w:sz w:val="24"/>
          <w:szCs w:val="24"/>
        </w:rPr>
      </w:pPr>
      <w:r>
        <w:rPr>
          <w:b/>
          <w:sz w:val="24"/>
          <w:szCs w:val="24"/>
        </w:rPr>
        <w:t xml:space="preserve">(3) </w:t>
      </w:r>
      <w:r>
        <w:rPr>
          <w:sz w:val="24"/>
          <w:szCs w:val="24"/>
        </w:rPr>
        <w:t xml:space="preserve">În toate cazurile, nivelurile supraterane ale clădirilor administrative cu înălţimi obişnuite se separă de nivelurile subterane cu riscuri mari de incendiu (parcări autoturisme, depozite, arhive, etc.), prin planşee cu rezistenţa la foc de minimum </w:t>
      </w:r>
      <w:r>
        <w:rPr>
          <w:b/>
          <w:sz w:val="24"/>
          <w:szCs w:val="24"/>
        </w:rPr>
        <w:t>REI 120</w:t>
      </w:r>
      <w:r>
        <w:rPr>
          <w:sz w:val="24"/>
          <w:szCs w:val="24"/>
        </w:rPr>
        <w:t xml:space="preserve"> (inclusiv elementele de susţinere ale acestora).</w:t>
      </w:r>
    </w:p>
    <w:p w14:paraId="69B676C2" w14:textId="77777777" w:rsidR="001C08A5" w:rsidRDefault="00000000">
      <w:pPr>
        <w:ind w:firstLine="720"/>
        <w:jc w:val="both"/>
        <w:rPr>
          <w:b/>
          <w:sz w:val="24"/>
          <w:szCs w:val="24"/>
        </w:rPr>
      </w:pPr>
      <w:r>
        <w:rPr>
          <w:b/>
          <w:sz w:val="24"/>
          <w:szCs w:val="24"/>
        </w:rPr>
        <w:t>(4)</w:t>
      </w:r>
      <w:r>
        <w:rPr>
          <w:sz w:val="24"/>
          <w:szCs w:val="24"/>
        </w:rPr>
        <w:t xml:space="preserve"> Clădirile administrative care se încadrează în categoria sălilor aglomerate sau sunt clădiri înalte / foarte înalte, vor respecta condiţiile specifice acestor tipuri de clădiri. construcțiile administrative subterane vor respecta condiţiile normativului specific. Încaperile administrative dispuse în subsolurile clădirilor supraterane sau în clădiri înalte / foarte înalte vor respecta şi condiţiile specifice acestora</w:t>
      </w:r>
    </w:p>
    <w:p w14:paraId="17F6D841" w14:textId="77777777" w:rsidR="001C08A5" w:rsidRDefault="001C08A5">
      <w:pPr>
        <w:jc w:val="both"/>
        <w:rPr>
          <w:sz w:val="24"/>
          <w:szCs w:val="24"/>
        </w:rPr>
      </w:pPr>
    </w:p>
    <w:p w14:paraId="73D2FF0A" w14:textId="77777777" w:rsidR="001C08A5" w:rsidRDefault="00000000">
      <w:pPr>
        <w:ind w:firstLine="567"/>
        <w:jc w:val="both"/>
        <w:rPr>
          <w:sz w:val="24"/>
          <w:szCs w:val="24"/>
        </w:rPr>
      </w:pPr>
      <w:r>
        <w:rPr>
          <w:b/>
          <w:sz w:val="24"/>
          <w:szCs w:val="24"/>
        </w:rPr>
        <w:lastRenderedPageBreak/>
        <w:t xml:space="preserve">Art. </w:t>
      </w:r>
      <w:r>
        <w:rPr>
          <w:b/>
          <w:caps/>
          <w:sz w:val="24"/>
          <w:szCs w:val="24"/>
        </w:rPr>
        <w:t>3.2.2.3</w:t>
      </w:r>
      <w:r>
        <w:rPr>
          <w:b/>
          <w:sz w:val="24"/>
          <w:szCs w:val="24"/>
        </w:rPr>
        <w:t xml:space="preserve">. </w:t>
      </w:r>
      <w:r>
        <w:rPr>
          <w:sz w:val="24"/>
          <w:szCs w:val="24"/>
        </w:rPr>
        <w:t>Distanţele minime de</w:t>
      </w:r>
      <w:r>
        <w:rPr>
          <w:bCs/>
          <w:spacing w:val="-2"/>
          <w:sz w:val="24"/>
          <w:szCs w:val="24"/>
        </w:rPr>
        <w:t xml:space="preserve"> siguranţă </w:t>
      </w:r>
      <w:r>
        <w:rPr>
          <w:sz w:val="24"/>
          <w:szCs w:val="24"/>
        </w:rPr>
        <w:t xml:space="preserve">la incendiu ce trebuie asigurate între clădiri civile administrative supraterane cu înălţimi obişnuite (clădiri ale autorităţilor și instituţiilor centrale sau locale, financiar-bancare, sindicate, partide, birouri, etc.) și alte construcţii, sunt stabilite conform prevederilor din </w:t>
      </w:r>
      <w:r>
        <w:rPr>
          <w:b/>
          <w:sz w:val="24"/>
          <w:szCs w:val="24"/>
        </w:rPr>
        <w:t>Art.</w:t>
      </w:r>
      <w:r>
        <w:rPr>
          <w:b/>
          <w:bCs/>
          <w:sz w:val="24"/>
          <w:szCs w:val="24"/>
        </w:rPr>
        <w:t>2.2.1.2</w:t>
      </w:r>
      <w:r>
        <w:rPr>
          <w:b/>
          <w:sz w:val="24"/>
          <w:szCs w:val="24"/>
        </w:rPr>
        <w:t>.</w:t>
      </w:r>
      <w:r>
        <w:rPr>
          <w:sz w:val="24"/>
          <w:szCs w:val="24"/>
        </w:rPr>
        <w:t xml:space="preserve"> şi </w:t>
      </w:r>
      <w:r>
        <w:rPr>
          <w:rFonts w:cs="Mangal"/>
          <w:b/>
          <w:i/>
          <w:iCs/>
          <w:sz w:val="24"/>
          <w:szCs w:val="24"/>
        </w:rPr>
        <w:fldChar w:fldCharType="begin"/>
      </w:r>
      <w:r>
        <w:rPr>
          <w:rFonts w:cs="Mangal"/>
          <w:b/>
          <w:i/>
          <w:iCs/>
          <w:sz w:val="24"/>
          <w:szCs w:val="24"/>
        </w:rPr>
        <w:instrText xml:space="preserve"> REF _Ref29888 \h </w:instrText>
      </w:r>
      <w:r>
        <w:rPr>
          <w:rFonts w:cs="Mangal"/>
          <w:b/>
          <w:i/>
          <w:iCs/>
          <w:sz w:val="24"/>
          <w:szCs w:val="24"/>
        </w:rPr>
      </w:r>
      <w:r>
        <w:rPr>
          <w:rFonts w:cs="Mangal"/>
          <w:b/>
          <w:i/>
          <w:iCs/>
          <w:sz w:val="24"/>
          <w:szCs w:val="24"/>
        </w:rPr>
        <w:fldChar w:fldCharType="separate"/>
      </w:r>
      <w:r>
        <w:t>Tabelul 4</w:t>
      </w:r>
      <w:r>
        <w:rPr>
          <w:rFonts w:cs="Mangal"/>
          <w:b/>
          <w:i/>
          <w:iCs/>
          <w:sz w:val="24"/>
          <w:szCs w:val="24"/>
        </w:rPr>
        <w:fldChar w:fldCharType="end"/>
      </w:r>
      <w:r>
        <w:rPr>
          <w:sz w:val="24"/>
          <w:szCs w:val="24"/>
        </w:rPr>
        <w:t>.</w:t>
      </w:r>
    </w:p>
    <w:p w14:paraId="008F2324" w14:textId="77777777" w:rsidR="001C08A5" w:rsidRDefault="001C08A5">
      <w:pPr>
        <w:jc w:val="both"/>
        <w:rPr>
          <w:b/>
          <w:i/>
          <w:iCs/>
          <w:sz w:val="24"/>
          <w:szCs w:val="24"/>
        </w:rPr>
      </w:pPr>
    </w:p>
    <w:p w14:paraId="0E43BCFA" w14:textId="77777777" w:rsidR="001C08A5" w:rsidRDefault="00000000">
      <w:pPr>
        <w:tabs>
          <w:tab w:val="left" w:pos="1843"/>
          <w:tab w:val="left" w:pos="6663"/>
        </w:tabs>
        <w:ind w:firstLine="720"/>
        <w:jc w:val="both"/>
        <w:rPr>
          <w:b/>
          <w:bCs/>
          <w:sz w:val="24"/>
          <w:szCs w:val="24"/>
        </w:rPr>
      </w:pPr>
      <w:r>
        <w:rPr>
          <w:b/>
          <w:sz w:val="24"/>
          <w:szCs w:val="24"/>
        </w:rPr>
        <w:t xml:space="preserve">Art. 3.2.2.4. (1) </w:t>
      </w:r>
      <w:r>
        <w:rPr>
          <w:sz w:val="24"/>
          <w:szCs w:val="24"/>
        </w:rPr>
        <w:t xml:space="preserve">În cadrul construcţiilor civile administrative supraterane cu înălţimi obişnuite, se asigură separarea încăperilor de restul construcţiei potrivit prevederilor privind performanțele comune și cele specifice, iar atunci când norma nu dispune, prin pereţi neportanți despărţitori interiori cu rol de limitare a propagării focului  potrivit celor stipulate la </w:t>
      </w:r>
      <w:r>
        <w:rPr>
          <w:b/>
          <w:sz w:val="24"/>
          <w:szCs w:val="24"/>
        </w:rPr>
        <w:t xml:space="preserve">Art. </w:t>
      </w:r>
      <w:r>
        <w:rPr>
          <w:b/>
          <w:bCs/>
          <w:sz w:val="24"/>
          <w:szCs w:val="24"/>
        </w:rPr>
        <w:t>2.1.3.</w:t>
      </w:r>
      <w:r>
        <w:rPr>
          <w:b/>
          <w:sz w:val="24"/>
          <w:szCs w:val="24"/>
        </w:rPr>
        <w:t>2.</w:t>
      </w:r>
      <w:r>
        <w:rPr>
          <w:sz w:val="24"/>
          <w:szCs w:val="24"/>
        </w:rPr>
        <w:t xml:space="preserve"> şi </w:t>
      </w:r>
      <w:r>
        <w:rPr>
          <w:rFonts w:cs="Mangal"/>
          <w:b/>
          <w:i/>
          <w:iCs/>
          <w:sz w:val="24"/>
          <w:szCs w:val="24"/>
        </w:rPr>
        <w:fldChar w:fldCharType="begin"/>
      </w:r>
      <w:r>
        <w:rPr>
          <w:rFonts w:cs="Mangal"/>
          <w:b/>
          <w:i/>
          <w:iCs/>
          <w:sz w:val="24"/>
          <w:szCs w:val="24"/>
        </w:rPr>
        <w:instrText xml:space="preserve"> REF _Ref26473 \h </w:instrText>
      </w:r>
      <w:r>
        <w:rPr>
          <w:rFonts w:cs="Mangal"/>
          <w:b/>
          <w:i/>
          <w:iCs/>
          <w:sz w:val="24"/>
          <w:szCs w:val="24"/>
        </w:rPr>
      </w:r>
      <w:r>
        <w:rPr>
          <w:rFonts w:cs="Mangal"/>
          <w:b/>
          <w:i/>
          <w:iCs/>
          <w:sz w:val="24"/>
          <w:szCs w:val="24"/>
        </w:rPr>
        <w:fldChar w:fldCharType="separate"/>
      </w:r>
      <w:r>
        <w:t>Tabelul 2</w:t>
      </w:r>
      <w:r>
        <w:rPr>
          <w:rFonts w:cs="Mangal"/>
          <w:b/>
          <w:i/>
          <w:iCs/>
          <w:sz w:val="24"/>
          <w:szCs w:val="24"/>
        </w:rPr>
        <w:fldChar w:fldCharType="end"/>
      </w:r>
      <w:r>
        <w:rPr>
          <w:b/>
          <w:bCs/>
          <w:sz w:val="24"/>
          <w:szCs w:val="24"/>
        </w:rPr>
        <w:t>.</w:t>
      </w:r>
    </w:p>
    <w:p w14:paraId="57B56C55" w14:textId="77777777" w:rsidR="001C08A5" w:rsidRDefault="00000000">
      <w:pPr>
        <w:pStyle w:val="BodyText"/>
        <w:ind w:firstLine="720"/>
        <w:rPr>
          <w:b w:val="0"/>
          <w:bCs w:val="0"/>
          <w:i w:val="0"/>
          <w:iCs/>
        </w:rPr>
      </w:pPr>
      <w:r>
        <w:rPr>
          <w:bCs w:val="0"/>
          <w:i w:val="0"/>
          <w:iCs/>
        </w:rPr>
        <w:t>(2)</w:t>
      </w:r>
      <w:r>
        <w:rPr>
          <w:b w:val="0"/>
          <w:bCs w:val="0"/>
          <w:i w:val="0"/>
          <w:iCs/>
        </w:rPr>
        <w:t xml:space="preserve"> În cadrul unor grupări de încăperi de birouri deschise de tip open space, se prevăd minimum pereţi despărţitori de sectorizare cu rol de limitare a propagării focului față de spațiile adiacente (cu excepția celor catre căile de evacuare care respecta prevederile specifice și a celor catre încăperi cu risc mai mare generat de densitatea sarcinii termice din încaperi adiacente), care trebuie să fie clasa de reacţie la foc </w:t>
      </w:r>
      <w:r>
        <w:rPr>
          <w:i w:val="0"/>
          <w:iCs/>
        </w:rPr>
        <w:t xml:space="preserve">A1, A2-s1,d0 </w:t>
      </w:r>
      <w:r>
        <w:rPr>
          <w:b w:val="0"/>
          <w:bCs w:val="0"/>
          <w:i w:val="0"/>
          <w:iCs/>
        </w:rPr>
        <w:t>minimum:</w:t>
      </w:r>
    </w:p>
    <w:p w14:paraId="6609CFFB" w14:textId="77777777" w:rsidR="001C08A5" w:rsidRDefault="00000000">
      <w:pPr>
        <w:pStyle w:val="BodyText"/>
        <w:numPr>
          <w:ilvl w:val="0"/>
          <w:numId w:val="73"/>
        </w:numPr>
        <w:ind w:left="1554" w:firstLine="0"/>
        <w:rPr>
          <w:b w:val="0"/>
          <w:bCs w:val="0"/>
          <w:i w:val="0"/>
          <w:iCs/>
        </w:rPr>
      </w:pPr>
      <w:r>
        <w:rPr>
          <w:i w:val="0"/>
          <w:iCs/>
        </w:rPr>
        <w:t xml:space="preserve">EI/REI 120 </w:t>
      </w:r>
      <w:r>
        <w:rPr>
          <w:b w:val="0"/>
          <w:bCs w:val="0"/>
          <w:i w:val="0"/>
          <w:iCs/>
        </w:rPr>
        <w:t>prevăzuți cu ușirezistente la foc și etanșe la fum</w:t>
      </w:r>
      <w:r>
        <w:rPr>
          <w:i w:val="0"/>
          <w:iCs/>
        </w:rPr>
        <w:t xml:space="preserve"> EI</w:t>
      </w:r>
      <w:r>
        <w:rPr>
          <w:i w:val="0"/>
          <w:iCs/>
          <w:vertAlign w:val="subscript"/>
        </w:rPr>
        <w:t>2</w:t>
      </w:r>
      <w:r>
        <w:rPr>
          <w:i w:val="0"/>
          <w:iCs/>
        </w:rPr>
        <w:t xml:space="preserve"> 60-C5S</w:t>
      </w:r>
      <w:r>
        <w:rPr>
          <w:i w:val="0"/>
          <w:iCs/>
          <w:vertAlign w:val="subscript"/>
        </w:rPr>
        <w:t xml:space="preserve">200 </w:t>
      </w:r>
      <w:r>
        <w:rPr>
          <w:b w:val="0"/>
          <w:i w:val="0"/>
          <w:iCs/>
        </w:rPr>
        <w:t xml:space="preserve">în construcţiile civile administrative supraterane cu înălţimi obişnuite cu nivelul de stabilitate la incendiu </w:t>
      </w:r>
      <w:r>
        <w:rPr>
          <w:i w:val="0"/>
          <w:iCs/>
        </w:rPr>
        <w:t xml:space="preserve">I </w:t>
      </w:r>
      <w:r>
        <w:rPr>
          <w:b w:val="0"/>
          <w:i w:val="0"/>
          <w:iCs/>
        </w:rPr>
        <w:t>;</w:t>
      </w:r>
    </w:p>
    <w:p w14:paraId="217CC347" w14:textId="77777777" w:rsidR="001C08A5" w:rsidRDefault="00000000">
      <w:pPr>
        <w:pStyle w:val="BodyText"/>
        <w:numPr>
          <w:ilvl w:val="0"/>
          <w:numId w:val="73"/>
        </w:numPr>
        <w:ind w:left="1554" w:firstLine="0"/>
        <w:rPr>
          <w:b w:val="0"/>
          <w:bCs w:val="0"/>
          <w:i w:val="0"/>
          <w:iCs/>
        </w:rPr>
      </w:pPr>
      <w:r>
        <w:rPr>
          <w:i w:val="0"/>
          <w:iCs/>
        </w:rPr>
        <w:t xml:space="preserve">EI/REI 90 </w:t>
      </w:r>
      <w:r>
        <w:rPr>
          <w:b w:val="0"/>
          <w:bCs w:val="0"/>
          <w:i w:val="0"/>
          <w:iCs/>
        </w:rPr>
        <w:t xml:space="preserve">prevăzuți cu ușirezistente la foc și etanșe la fum </w:t>
      </w:r>
      <w:r>
        <w:rPr>
          <w:i w:val="0"/>
          <w:iCs/>
        </w:rPr>
        <w:t>EI</w:t>
      </w:r>
      <w:r>
        <w:rPr>
          <w:i w:val="0"/>
          <w:iCs/>
          <w:vertAlign w:val="subscript"/>
        </w:rPr>
        <w:t>2</w:t>
      </w:r>
      <w:r>
        <w:rPr>
          <w:i w:val="0"/>
          <w:iCs/>
        </w:rPr>
        <w:t xml:space="preserve"> 45-C5S</w:t>
      </w:r>
      <w:r>
        <w:rPr>
          <w:i w:val="0"/>
          <w:iCs/>
          <w:vertAlign w:val="subscript"/>
        </w:rPr>
        <w:t xml:space="preserve">200 </w:t>
      </w:r>
      <w:r>
        <w:rPr>
          <w:b w:val="0"/>
          <w:i w:val="0"/>
          <w:iCs/>
        </w:rPr>
        <w:t xml:space="preserve">în construcţiile civile administrative supraterane cu înălţimi obişnuite cu nivelul de stabilitate la incendiu </w:t>
      </w:r>
      <w:r>
        <w:rPr>
          <w:i w:val="0"/>
          <w:iCs/>
        </w:rPr>
        <w:t xml:space="preserve">II </w:t>
      </w:r>
      <w:r>
        <w:rPr>
          <w:b w:val="0"/>
          <w:i w:val="0"/>
          <w:iCs/>
        </w:rPr>
        <w:t>;</w:t>
      </w:r>
    </w:p>
    <w:p w14:paraId="4A5C2E45" w14:textId="77777777" w:rsidR="001C08A5" w:rsidRDefault="00000000">
      <w:pPr>
        <w:pStyle w:val="BodyText"/>
        <w:numPr>
          <w:ilvl w:val="0"/>
          <w:numId w:val="73"/>
        </w:numPr>
        <w:ind w:left="1554" w:firstLine="0"/>
        <w:rPr>
          <w:b w:val="0"/>
          <w:bCs w:val="0"/>
          <w:i w:val="0"/>
          <w:iCs/>
        </w:rPr>
      </w:pPr>
      <w:r>
        <w:rPr>
          <w:i w:val="0"/>
          <w:iCs/>
        </w:rPr>
        <w:t xml:space="preserve">EI/REI 60 </w:t>
      </w:r>
      <w:r>
        <w:rPr>
          <w:b w:val="0"/>
          <w:bCs w:val="0"/>
          <w:i w:val="0"/>
          <w:iCs/>
        </w:rPr>
        <w:t>prevăzuți cu uși etanșe la foc și etanșe la fum</w:t>
      </w:r>
      <w:r>
        <w:rPr>
          <w:i w:val="0"/>
          <w:iCs/>
        </w:rPr>
        <w:t xml:space="preserve"> E 30-C5S</w:t>
      </w:r>
      <w:r>
        <w:rPr>
          <w:i w:val="0"/>
          <w:iCs/>
          <w:vertAlign w:val="subscript"/>
        </w:rPr>
        <w:t xml:space="preserve">a </w:t>
      </w:r>
      <w:r>
        <w:rPr>
          <w:b w:val="0"/>
          <w:i w:val="0"/>
          <w:iCs/>
        </w:rPr>
        <w:t xml:space="preserve">în construcţiile civile administrative supraterane cu înălţimi obişnuite cu nivelul de stabilitate la incendiu </w:t>
      </w:r>
      <w:r>
        <w:rPr>
          <w:i w:val="0"/>
          <w:iCs/>
        </w:rPr>
        <w:t>III</w:t>
      </w:r>
      <w:r>
        <w:rPr>
          <w:b w:val="0"/>
          <w:i w:val="0"/>
          <w:iCs/>
        </w:rPr>
        <w:t>;</w:t>
      </w:r>
    </w:p>
    <w:p w14:paraId="4D67DEBD" w14:textId="77777777" w:rsidR="001C08A5" w:rsidRDefault="00000000">
      <w:pPr>
        <w:pStyle w:val="BodyText"/>
        <w:numPr>
          <w:ilvl w:val="0"/>
          <w:numId w:val="73"/>
        </w:numPr>
        <w:ind w:left="1554" w:firstLine="0"/>
        <w:rPr>
          <w:b w:val="0"/>
          <w:bCs w:val="0"/>
          <w:i w:val="0"/>
          <w:iCs/>
        </w:rPr>
      </w:pPr>
      <w:r>
        <w:rPr>
          <w:i w:val="0"/>
          <w:iCs/>
        </w:rPr>
        <w:t xml:space="preserve">EI/REI 30 </w:t>
      </w:r>
      <w:r>
        <w:rPr>
          <w:b w:val="0"/>
          <w:bCs w:val="0"/>
          <w:i w:val="0"/>
          <w:iCs/>
        </w:rPr>
        <w:t>prevăzuți cu uși etanșe la foc și etanșe la fum</w:t>
      </w:r>
      <w:r>
        <w:rPr>
          <w:i w:val="0"/>
          <w:iCs/>
        </w:rPr>
        <w:t xml:space="preserve"> E 15-C5S</w:t>
      </w:r>
      <w:r>
        <w:rPr>
          <w:i w:val="0"/>
          <w:iCs/>
          <w:vertAlign w:val="subscript"/>
        </w:rPr>
        <w:t xml:space="preserve">a </w:t>
      </w:r>
      <w:r>
        <w:rPr>
          <w:b w:val="0"/>
          <w:i w:val="0"/>
          <w:iCs/>
        </w:rPr>
        <w:t xml:space="preserve">în construcţiile civile administrative supraterane cu înălţimi obişnuite cu nivelul de stabilitate la incendiu </w:t>
      </w:r>
      <w:r>
        <w:rPr>
          <w:i w:val="0"/>
          <w:iCs/>
        </w:rPr>
        <w:t>IV</w:t>
      </w:r>
      <w:r>
        <w:rPr>
          <w:b w:val="0"/>
          <w:i w:val="0"/>
          <w:iCs/>
        </w:rPr>
        <w:t>;</w:t>
      </w:r>
    </w:p>
    <w:p w14:paraId="24D8D20D" w14:textId="77777777" w:rsidR="001C08A5" w:rsidRDefault="00000000">
      <w:pPr>
        <w:pStyle w:val="BodyText"/>
        <w:numPr>
          <w:ilvl w:val="0"/>
          <w:numId w:val="73"/>
        </w:numPr>
        <w:ind w:left="1554" w:firstLine="0"/>
        <w:rPr>
          <w:b w:val="0"/>
          <w:bCs w:val="0"/>
          <w:i w:val="0"/>
          <w:iCs/>
        </w:rPr>
      </w:pPr>
      <w:r>
        <w:rPr>
          <w:i w:val="0"/>
          <w:iCs/>
        </w:rPr>
        <w:t xml:space="preserve">EI/REI 15 </w:t>
      </w:r>
      <w:r>
        <w:rPr>
          <w:b w:val="0"/>
          <w:bCs w:val="0"/>
          <w:i w:val="0"/>
          <w:iCs/>
        </w:rPr>
        <w:t>prevăzuți cu uși</w:t>
      </w:r>
      <w:r>
        <w:rPr>
          <w:i w:val="0"/>
          <w:iCs/>
        </w:rPr>
        <w:t xml:space="preserve"> C5 </w:t>
      </w:r>
      <w:r>
        <w:rPr>
          <w:b w:val="0"/>
          <w:i w:val="0"/>
          <w:iCs/>
        </w:rPr>
        <w:t xml:space="preserve">în construcţiile civile administrative supraterane cu înălţimi obişnuite cu nivelul de stabilitate la incendiu </w:t>
      </w:r>
      <w:r>
        <w:rPr>
          <w:i w:val="0"/>
          <w:iCs/>
        </w:rPr>
        <w:t>V</w:t>
      </w:r>
      <w:r>
        <w:rPr>
          <w:b w:val="0"/>
          <w:i w:val="0"/>
          <w:iCs/>
        </w:rPr>
        <w:t>.</w:t>
      </w:r>
    </w:p>
    <w:p w14:paraId="2CFF0AF3" w14:textId="77777777" w:rsidR="001C08A5" w:rsidRDefault="00000000">
      <w:pPr>
        <w:ind w:firstLine="720"/>
        <w:jc w:val="both"/>
        <w:rPr>
          <w:sz w:val="24"/>
          <w:szCs w:val="24"/>
        </w:rPr>
      </w:pPr>
      <w:r>
        <w:rPr>
          <w:b/>
          <w:bCs/>
          <w:sz w:val="24"/>
          <w:szCs w:val="24"/>
        </w:rPr>
        <w:t xml:space="preserve">(3) </w:t>
      </w:r>
      <w:r>
        <w:rPr>
          <w:sz w:val="24"/>
          <w:szCs w:val="24"/>
        </w:rPr>
        <w:t xml:space="preserve">Grupările de încăperi de birouri cu același risc de incendiu și aceeasi destinație (proprie sau complementară conform celor prezentate în anexă) compartimentate între ele cu panouri opace sau vitrate, fixe sau mobile folosite ca separări funcționale și/sau izolante fonic sau pereţi interiori despărţitori funcţionali se admit în limita următoarelor arii construite în cadrul </w:t>
      </w:r>
      <w:r>
        <w:rPr>
          <w:sz w:val="24"/>
          <w:szCs w:val="24"/>
          <w:lang w:eastAsia="zh-CN"/>
        </w:rPr>
        <w:t>construcțiilor administrative</w:t>
      </w:r>
      <w:r>
        <w:rPr>
          <w:sz w:val="24"/>
          <w:szCs w:val="24"/>
        </w:rPr>
        <w:t xml:space="preserve"> cu înălţimi obişnuite:</w:t>
      </w:r>
    </w:p>
    <w:p w14:paraId="4F53D807"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1.000 m</w:t>
      </w:r>
      <w:r>
        <w:rPr>
          <w:b/>
          <w:bCs/>
          <w:sz w:val="24"/>
          <w:szCs w:val="24"/>
          <w:vertAlign w:val="superscript"/>
          <w:lang w:eastAsia="zh-CN"/>
        </w:rPr>
        <w:t>2</w:t>
      </w:r>
      <w:r>
        <w:rPr>
          <w:sz w:val="24"/>
          <w:szCs w:val="24"/>
          <w:lang w:eastAsia="zh-CN"/>
        </w:rPr>
        <w:t xml:space="preserve">, cu condiția ca aria construită a încăperilor de tip open space sa fie de maximum </w:t>
      </w:r>
      <w:r>
        <w:rPr>
          <w:b/>
          <w:bCs/>
          <w:sz w:val="24"/>
          <w:szCs w:val="24"/>
          <w:lang w:eastAsia="zh-CN"/>
        </w:rPr>
        <w:t>75%</w:t>
      </w:r>
      <w:r>
        <w:rPr>
          <w:sz w:val="24"/>
          <w:szCs w:val="24"/>
          <w:lang w:eastAsia="zh-CN"/>
        </w:rPr>
        <w:t xml:space="preserve"> din cea a ariei construite a nivelului respectiv pentru construcții administrative încadrate în nivelul </w:t>
      </w:r>
      <w:r>
        <w:rPr>
          <w:b/>
          <w:bCs/>
          <w:sz w:val="24"/>
          <w:szCs w:val="24"/>
          <w:lang w:eastAsia="zh-CN"/>
        </w:rPr>
        <w:t>I</w:t>
      </w:r>
      <w:r>
        <w:rPr>
          <w:sz w:val="24"/>
          <w:szCs w:val="24"/>
          <w:lang w:eastAsia="zh-CN"/>
        </w:rPr>
        <w:t xml:space="preserve"> de stabilitate la incendiu;</w:t>
      </w:r>
    </w:p>
    <w:p w14:paraId="5E9376E2"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600 m</w:t>
      </w:r>
      <w:r>
        <w:rPr>
          <w:b/>
          <w:bCs/>
          <w:sz w:val="24"/>
          <w:szCs w:val="24"/>
          <w:vertAlign w:val="superscript"/>
          <w:lang w:eastAsia="zh-CN"/>
        </w:rPr>
        <w:t>2</w:t>
      </w:r>
      <w:r>
        <w:rPr>
          <w:sz w:val="24"/>
          <w:szCs w:val="24"/>
          <w:lang w:eastAsia="zh-CN"/>
        </w:rPr>
        <w:t xml:space="preserve">, cu condiția ca aria construită a încăperilor de </w:t>
      </w:r>
      <w:r>
        <w:rPr>
          <w:sz w:val="24"/>
          <w:szCs w:val="24"/>
        </w:rPr>
        <w:t>birouri de tip open space să</w:t>
      </w:r>
      <w:r>
        <w:rPr>
          <w:sz w:val="24"/>
          <w:szCs w:val="24"/>
          <w:lang w:eastAsia="zh-CN"/>
        </w:rPr>
        <w:t xml:space="preserve"> fie de maximum </w:t>
      </w:r>
      <w:r>
        <w:rPr>
          <w:b/>
          <w:bCs/>
          <w:sz w:val="24"/>
          <w:szCs w:val="24"/>
          <w:lang w:eastAsia="zh-CN"/>
        </w:rPr>
        <w:t>75%</w:t>
      </w:r>
      <w:r>
        <w:rPr>
          <w:sz w:val="24"/>
          <w:szCs w:val="24"/>
          <w:lang w:eastAsia="zh-CN"/>
        </w:rPr>
        <w:t xml:space="preserve"> din cea a ariei construite a nivelului respectiv pentru construcții administrative încadrate în nivelul </w:t>
      </w:r>
      <w:r>
        <w:rPr>
          <w:b/>
          <w:bCs/>
          <w:sz w:val="24"/>
          <w:szCs w:val="24"/>
          <w:lang w:eastAsia="zh-CN"/>
        </w:rPr>
        <w:t>II</w:t>
      </w:r>
      <w:r>
        <w:rPr>
          <w:sz w:val="24"/>
          <w:szCs w:val="24"/>
          <w:lang w:eastAsia="zh-CN"/>
        </w:rPr>
        <w:t xml:space="preserve"> de stabilitate la incendiu;</w:t>
      </w:r>
    </w:p>
    <w:p w14:paraId="5A449CFC"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300 m</w:t>
      </w:r>
      <w:r>
        <w:rPr>
          <w:b/>
          <w:bCs/>
          <w:sz w:val="24"/>
          <w:szCs w:val="24"/>
          <w:vertAlign w:val="superscript"/>
          <w:lang w:eastAsia="zh-CN"/>
        </w:rPr>
        <w:t>2</w:t>
      </w:r>
      <w:r>
        <w:rPr>
          <w:sz w:val="24"/>
          <w:szCs w:val="24"/>
          <w:lang w:eastAsia="zh-CN"/>
        </w:rPr>
        <w:t xml:space="preserve">, cu condiția ca aria construită a încăperilor de </w:t>
      </w:r>
      <w:r>
        <w:rPr>
          <w:sz w:val="24"/>
          <w:szCs w:val="24"/>
        </w:rPr>
        <w:t>birouri de tip open space să</w:t>
      </w:r>
      <w:r>
        <w:rPr>
          <w:sz w:val="24"/>
          <w:szCs w:val="24"/>
          <w:lang w:eastAsia="zh-CN"/>
        </w:rPr>
        <w:t xml:space="preserve"> fie de maximum </w:t>
      </w:r>
      <w:r>
        <w:rPr>
          <w:b/>
          <w:bCs/>
          <w:sz w:val="24"/>
          <w:szCs w:val="24"/>
          <w:lang w:eastAsia="zh-CN"/>
        </w:rPr>
        <w:t>50%</w:t>
      </w:r>
      <w:r>
        <w:rPr>
          <w:sz w:val="24"/>
          <w:szCs w:val="24"/>
          <w:lang w:eastAsia="zh-CN"/>
        </w:rPr>
        <w:t xml:space="preserve"> din cea a ariei construite a nivelului respectiv pentru construcții administrative încadrate în nivelul </w:t>
      </w:r>
      <w:r>
        <w:rPr>
          <w:b/>
          <w:bCs/>
          <w:sz w:val="24"/>
          <w:szCs w:val="24"/>
          <w:lang w:eastAsia="zh-CN"/>
        </w:rPr>
        <w:t>III</w:t>
      </w:r>
      <w:r>
        <w:rPr>
          <w:sz w:val="24"/>
          <w:szCs w:val="24"/>
          <w:lang w:eastAsia="zh-CN"/>
        </w:rPr>
        <w:t xml:space="preserve"> de stabilitate la incendiu;</w:t>
      </w:r>
    </w:p>
    <w:p w14:paraId="15474412"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150 m</w:t>
      </w:r>
      <w:r>
        <w:rPr>
          <w:b/>
          <w:bCs/>
          <w:sz w:val="24"/>
          <w:szCs w:val="24"/>
          <w:vertAlign w:val="superscript"/>
          <w:lang w:eastAsia="zh-CN"/>
        </w:rPr>
        <w:t>2</w:t>
      </w:r>
      <w:r>
        <w:rPr>
          <w:sz w:val="24"/>
          <w:szCs w:val="24"/>
          <w:lang w:eastAsia="zh-CN"/>
        </w:rPr>
        <w:t xml:space="preserve">, cu condiția ca aria construită a încăperilor de  </w:t>
      </w:r>
      <w:r>
        <w:rPr>
          <w:sz w:val="24"/>
          <w:szCs w:val="24"/>
        </w:rPr>
        <w:t>birouri de tip open space să</w:t>
      </w:r>
      <w:r>
        <w:rPr>
          <w:sz w:val="24"/>
          <w:szCs w:val="24"/>
          <w:lang w:eastAsia="zh-CN"/>
        </w:rPr>
        <w:t xml:space="preserve"> fie de maximum </w:t>
      </w:r>
      <w:r>
        <w:rPr>
          <w:b/>
          <w:bCs/>
          <w:sz w:val="24"/>
          <w:szCs w:val="24"/>
          <w:lang w:eastAsia="zh-CN"/>
        </w:rPr>
        <w:t>25%</w:t>
      </w:r>
      <w:r>
        <w:rPr>
          <w:sz w:val="24"/>
          <w:szCs w:val="24"/>
          <w:lang w:eastAsia="zh-CN"/>
        </w:rPr>
        <w:t xml:space="preserve"> din cea a ariei construite a nivelului respectiv pentru construcții administrative încadrate în nivelul </w:t>
      </w:r>
      <w:r>
        <w:rPr>
          <w:b/>
          <w:bCs/>
          <w:sz w:val="24"/>
          <w:szCs w:val="24"/>
          <w:lang w:eastAsia="zh-CN"/>
        </w:rPr>
        <w:t>IV</w:t>
      </w:r>
      <w:r>
        <w:rPr>
          <w:sz w:val="24"/>
          <w:szCs w:val="24"/>
          <w:lang w:eastAsia="zh-CN"/>
        </w:rPr>
        <w:t xml:space="preserve"> de stabilitate la incendiu;</w:t>
      </w:r>
    </w:p>
    <w:p w14:paraId="6A0B15D1"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75 m</w:t>
      </w:r>
      <w:r>
        <w:rPr>
          <w:b/>
          <w:bCs/>
          <w:sz w:val="24"/>
          <w:szCs w:val="24"/>
          <w:vertAlign w:val="superscript"/>
          <w:lang w:eastAsia="zh-CN"/>
        </w:rPr>
        <w:t>2</w:t>
      </w:r>
      <w:r>
        <w:rPr>
          <w:sz w:val="24"/>
          <w:szCs w:val="24"/>
          <w:lang w:eastAsia="zh-CN"/>
        </w:rPr>
        <w:t xml:space="preserve">, cu condiția ca aria construită a încăperilor de  </w:t>
      </w:r>
      <w:r>
        <w:rPr>
          <w:sz w:val="24"/>
          <w:szCs w:val="24"/>
        </w:rPr>
        <w:t>birouri de tip open space să</w:t>
      </w:r>
      <w:r>
        <w:rPr>
          <w:sz w:val="24"/>
          <w:szCs w:val="24"/>
          <w:lang w:eastAsia="zh-CN"/>
        </w:rPr>
        <w:t xml:space="preserve"> fie de maximum </w:t>
      </w:r>
      <w:r>
        <w:rPr>
          <w:b/>
          <w:bCs/>
          <w:sz w:val="24"/>
          <w:szCs w:val="24"/>
          <w:lang w:eastAsia="zh-CN"/>
        </w:rPr>
        <w:t>25%</w:t>
      </w:r>
      <w:r>
        <w:rPr>
          <w:sz w:val="24"/>
          <w:szCs w:val="24"/>
          <w:lang w:eastAsia="zh-CN"/>
        </w:rPr>
        <w:t xml:space="preserve"> din cea a ariei construite a nivelului respectiv pentru construcții administrative încadrate în nivelul </w:t>
      </w:r>
      <w:r>
        <w:rPr>
          <w:b/>
          <w:bCs/>
          <w:sz w:val="24"/>
          <w:szCs w:val="24"/>
          <w:lang w:eastAsia="zh-CN"/>
        </w:rPr>
        <w:t>V</w:t>
      </w:r>
      <w:r>
        <w:rPr>
          <w:sz w:val="24"/>
          <w:szCs w:val="24"/>
          <w:lang w:eastAsia="zh-CN"/>
        </w:rPr>
        <w:t xml:space="preserve"> de stabilitate la incendiu;</w:t>
      </w:r>
    </w:p>
    <w:p w14:paraId="4650E45E" w14:textId="77777777" w:rsidR="001C08A5" w:rsidRDefault="00000000">
      <w:pPr>
        <w:ind w:firstLine="720"/>
        <w:jc w:val="both"/>
        <w:rPr>
          <w:bCs/>
          <w:sz w:val="24"/>
          <w:szCs w:val="24"/>
        </w:rPr>
      </w:pPr>
      <w:r>
        <w:rPr>
          <w:b/>
          <w:bCs/>
          <w:sz w:val="24"/>
          <w:szCs w:val="24"/>
        </w:rPr>
        <w:t xml:space="preserve">(4) </w:t>
      </w:r>
      <w:r>
        <w:rPr>
          <w:bCs/>
          <w:sz w:val="24"/>
          <w:szCs w:val="24"/>
        </w:rPr>
        <w:t xml:space="preserve">La </w:t>
      </w:r>
      <w:r>
        <w:rPr>
          <w:sz w:val="24"/>
          <w:szCs w:val="24"/>
          <w:lang w:eastAsia="zh-CN"/>
        </w:rPr>
        <w:t>construcțiile administrative</w:t>
      </w:r>
      <w:r>
        <w:rPr>
          <w:sz w:val="24"/>
          <w:szCs w:val="24"/>
        </w:rPr>
        <w:t xml:space="preserve"> cu înălţimi obişnuite</w:t>
      </w:r>
      <w:r>
        <w:rPr>
          <w:bCs/>
          <w:sz w:val="24"/>
          <w:szCs w:val="24"/>
        </w:rPr>
        <w:t xml:space="preserve"> echipate cu instalaţii de detectare, semnalizare şi alarmare a incendiului cu acoperire totală, precum și cu sisteme sau instalaţii de evacuare a fumului din circulațiile comune orizontale (coridoare/holuri) si casele de scări</w:t>
      </w:r>
      <w:r>
        <w:rPr>
          <w:bCs/>
          <w:i/>
          <w:sz w:val="22"/>
          <w:szCs w:val="22"/>
        </w:rPr>
        <w:t>,</w:t>
      </w:r>
      <w:r>
        <w:rPr>
          <w:bCs/>
          <w:sz w:val="24"/>
          <w:szCs w:val="24"/>
        </w:rPr>
        <w:t xml:space="preserve"> se admite </w:t>
      </w:r>
      <w:r>
        <w:rPr>
          <w:bCs/>
          <w:sz w:val="24"/>
          <w:szCs w:val="24"/>
        </w:rPr>
        <w:lastRenderedPageBreak/>
        <w:t xml:space="preserve">majorarea ariilor construite ale </w:t>
      </w:r>
      <w:r>
        <w:rPr>
          <w:sz w:val="24"/>
          <w:szCs w:val="24"/>
        </w:rPr>
        <w:t xml:space="preserve">grupărilor de încăperi de birouri deschise de tip open space prevazute la </w:t>
      </w:r>
      <w:r>
        <w:rPr>
          <w:b/>
          <w:bCs/>
          <w:sz w:val="24"/>
          <w:szCs w:val="24"/>
        </w:rPr>
        <w:t>Alin. (3)</w:t>
      </w:r>
      <w:r>
        <w:rPr>
          <w:sz w:val="24"/>
          <w:szCs w:val="24"/>
        </w:rPr>
        <w:t xml:space="preserve"> precedent cu </w:t>
      </w:r>
      <w:r>
        <w:rPr>
          <w:b/>
          <w:bCs/>
          <w:sz w:val="24"/>
          <w:szCs w:val="24"/>
        </w:rPr>
        <w:t>25%</w:t>
      </w:r>
      <w:r>
        <w:rPr>
          <w:sz w:val="24"/>
          <w:szCs w:val="24"/>
        </w:rPr>
        <w:t>.</w:t>
      </w:r>
    </w:p>
    <w:p w14:paraId="2855C424" w14:textId="77777777" w:rsidR="001C08A5" w:rsidRDefault="00000000">
      <w:pPr>
        <w:ind w:firstLine="720"/>
        <w:jc w:val="both"/>
        <w:rPr>
          <w:sz w:val="24"/>
          <w:szCs w:val="24"/>
        </w:rPr>
      </w:pPr>
      <w:r>
        <w:rPr>
          <w:b/>
          <w:bCs/>
          <w:sz w:val="24"/>
          <w:szCs w:val="24"/>
        </w:rPr>
        <w:t xml:space="preserve">(5) </w:t>
      </w:r>
      <w:r>
        <w:rPr>
          <w:bCs/>
          <w:sz w:val="24"/>
          <w:szCs w:val="24"/>
        </w:rPr>
        <w:t xml:space="preserve">La </w:t>
      </w:r>
      <w:r>
        <w:rPr>
          <w:sz w:val="24"/>
          <w:szCs w:val="24"/>
          <w:lang w:eastAsia="zh-CN"/>
        </w:rPr>
        <w:t>construcțiile administrative</w:t>
      </w:r>
      <w:r>
        <w:rPr>
          <w:sz w:val="24"/>
          <w:szCs w:val="24"/>
        </w:rPr>
        <w:t xml:space="preserve"> cu înălţimi obişnuite</w:t>
      </w:r>
      <w:r>
        <w:rPr>
          <w:bCs/>
          <w:sz w:val="24"/>
          <w:szCs w:val="24"/>
        </w:rPr>
        <w:t xml:space="preserve"> echipate cu instalaţii de detectare, semnalizare şi alarmare a incendiului cu acoperire totală, cu sisteme sau instalaţii de evacuare a fumului şi instalaţii de stingere tip sprinkler se admite majorarea ariilor construite ale </w:t>
      </w:r>
      <w:r>
        <w:rPr>
          <w:sz w:val="24"/>
          <w:szCs w:val="24"/>
        </w:rPr>
        <w:t>grupărilor de încăperi de birouri prevazute la alin.</w:t>
      </w:r>
      <w:r>
        <w:rPr>
          <w:b/>
          <w:bCs/>
          <w:sz w:val="24"/>
          <w:szCs w:val="24"/>
        </w:rPr>
        <w:t xml:space="preserve"> (3)</w:t>
      </w:r>
      <w:r>
        <w:rPr>
          <w:sz w:val="24"/>
          <w:szCs w:val="24"/>
        </w:rPr>
        <w:t xml:space="preserve"> precedent cu </w:t>
      </w:r>
      <w:r>
        <w:rPr>
          <w:b/>
          <w:bCs/>
          <w:sz w:val="24"/>
          <w:szCs w:val="24"/>
        </w:rPr>
        <w:t>75%</w:t>
      </w:r>
      <w:r>
        <w:rPr>
          <w:sz w:val="24"/>
          <w:szCs w:val="24"/>
        </w:rPr>
        <w:t>.</w:t>
      </w:r>
    </w:p>
    <w:p w14:paraId="7D525252" w14:textId="77777777" w:rsidR="001C08A5" w:rsidRDefault="00000000">
      <w:pPr>
        <w:ind w:firstLine="720"/>
        <w:jc w:val="both"/>
        <w:rPr>
          <w:sz w:val="24"/>
          <w:szCs w:val="24"/>
          <w:shd w:val="clear" w:color="auto" w:fill="FFFFFF"/>
          <w:lang w:eastAsia="zh-CN"/>
        </w:rPr>
      </w:pPr>
      <w:r>
        <w:rPr>
          <w:b/>
          <w:bCs/>
          <w:sz w:val="24"/>
          <w:szCs w:val="24"/>
        </w:rPr>
        <w:t xml:space="preserve">(6) </w:t>
      </w:r>
      <w:r>
        <w:rPr>
          <w:sz w:val="24"/>
          <w:szCs w:val="24"/>
        </w:rPr>
        <w:t xml:space="preserve">Pereţii despărţitori prevăzuți între grupările de încăperi de birouri de lucru deschise, de tip open space menţionate la </w:t>
      </w:r>
      <w:r>
        <w:rPr>
          <w:b/>
          <w:sz w:val="24"/>
          <w:szCs w:val="24"/>
        </w:rPr>
        <w:t>alin.</w:t>
      </w:r>
      <w:r>
        <w:rPr>
          <w:sz w:val="24"/>
          <w:szCs w:val="24"/>
        </w:rPr>
        <w:t xml:space="preserve"> (</w:t>
      </w:r>
      <w:r>
        <w:rPr>
          <w:b/>
          <w:sz w:val="24"/>
          <w:szCs w:val="24"/>
        </w:rPr>
        <w:t>3)</w:t>
      </w:r>
      <w:r>
        <w:rPr>
          <w:sz w:val="24"/>
          <w:szCs w:val="24"/>
        </w:rPr>
        <w:t xml:space="preserve"> precum şi între acestea şi alte spaţii ale clădirii, vor avea încadrarea minimum (</w:t>
      </w:r>
      <w:r>
        <w:rPr>
          <w:sz w:val="24"/>
          <w:szCs w:val="24"/>
          <w:lang w:eastAsia="zh-CN"/>
        </w:rPr>
        <w:t>dacă condițiile de conformare ale clădirii și/sau densitatea sarcinii termice din spațiile adiacente nu genereaza performanțe mai mari</w:t>
      </w:r>
      <w:r>
        <w:rPr>
          <w:sz w:val="24"/>
          <w:szCs w:val="24"/>
        </w:rPr>
        <w:t xml:space="preserve">) a </w:t>
      </w:r>
      <w:r>
        <w:rPr>
          <w:sz w:val="24"/>
          <w:szCs w:val="24"/>
          <w:shd w:val="clear" w:color="auto" w:fill="FFFFFF"/>
          <w:lang w:eastAsia="zh-CN"/>
        </w:rPr>
        <w:t xml:space="preserve">pereţilor </w:t>
      </w:r>
      <w:hyperlink r:id="rId194" w:history="1">
        <w:r>
          <w:rPr>
            <w:sz w:val="24"/>
            <w:szCs w:val="24"/>
            <w:shd w:val="clear" w:color="auto" w:fill="FFFFFF"/>
            <w:lang w:eastAsia="zh-CN"/>
          </w:rPr>
          <w:t>de</w:t>
        </w:r>
      </w:hyperlink>
      <w:r>
        <w:rPr>
          <w:sz w:val="24"/>
          <w:szCs w:val="24"/>
          <w:shd w:val="clear" w:color="auto" w:fill="FFFFFF"/>
          <w:lang w:eastAsia="zh-CN"/>
        </w:rPr>
        <w:t xml:space="preserve"> sectorizare cu rol de limitare a propagării focului (de protecție contra incendiilor care limitează propagarea în interiorul compartimentelor de incendiu </w:t>
      </w:r>
      <w:r>
        <w:rPr>
          <w:b/>
          <w:bCs/>
          <w:sz w:val="24"/>
          <w:szCs w:val="24"/>
          <w:shd w:val="clear" w:color="auto" w:fill="FFFFFF"/>
          <w:lang w:eastAsia="zh-CN"/>
        </w:rPr>
        <w:t>(REI/EI)</w:t>
      </w:r>
      <w:r>
        <w:rPr>
          <w:sz w:val="24"/>
          <w:szCs w:val="24"/>
          <w:shd w:val="clear" w:color="auto" w:fill="FFFFFF"/>
          <w:lang w:eastAsia="zh-CN"/>
        </w:rPr>
        <w:t xml:space="preserve">, conform încadrării construcţiei/ compartimentului de incendiu în nivelul de stabilitate la incendiu, în acord cu </w:t>
      </w:r>
      <w:r>
        <w:rPr>
          <w:b/>
          <w:bCs/>
          <w:sz w:val="24"/>
          <w:szCs w:val="24"/>
          <w:shd w:val="clear" w:color="auto" w:fill="FFFFFF"/>
          <w:lang w:eastAsia="zh-CN"/>
        </w:rPr>
        <w:t>Art. 3.1.3.3</w:t>
      </w:r>
      <w:r>
        <w:rPr>
          <w:sz w:val="24"/>
          <w:szCs w:val="24"/>
          <w:shd w:val="clear" w:color="auto" w:fill="FFFFFF"/>
          <w:lang w:eastAsia="zh-CN"/>
        </w:rPr>
        <w:t>..</w:t>
      </w:r>
    </w:p>
    <w:p w14:paraId="5A2D0B4C" w14:textId="77777777" w:rsidR="001C08A5" w:rsidRDefault="00000000">
      <w:pPr>
        <w:ind w:firstLine="720"/>
        <w:jc w:val="both"/>
        <w:rPr>
          <w:sz w:val="24"/>
          <w:szCs w:val="24"/>
        </w:rPr>
      </w:pPr>
      <w:r>
        <w:rPr>
          <w:b/>
          <w:bCs/>
          <w:sz w:val="24"/>
          <w:szCs w:val="24"/>
        </w:rPr>
        <w:t>(7)</w:t>
      </w:r>
      <w:r>
        <w:rPr>
          <w:bCs/>
          <w:sz w:val="24"/>
          <w:szCs w:val="24"/>
        </w:rPr>
        <w:t>G</w:t>
      </w:r>
      <w:r>
        <w:rPr>
          <w:sz w:val="24"/>
          <w:szCs w:val="24"/>
        </w:rPr>
        <w:t>rupările de încăperi de birouri deschise de tip open space prevăzute la alineatele precedente vor avea asigurate minimum două căi de evacuare, distincte şi independente, astfel dispuse şi alcătuite încât să poată fi uşor accesibile utilizatorilor.</w:t>
      </w:r>
    </w:p>
    <w:p w14:paraId="0D175807" w14:textId="77777777" w:rsidR="001C08A5" w:rsidRDefault="00000000">
      <w:pPr>
        <w:ind w:firstLine="720"/>
        <w:jc w:val="both"/>
        <w:rPr>
          <w:sz w:val="24"/>
          <w:szCs w:val="24"/>
        </w:rPr>
      </w:pPr>
      <w:r>
        <w:rPr>
          <w:b/>
          <w:bCs/>
          <w:sz w:val="24"/>
          <w:szCs w:val="24"/>
        </w:rPr>
        <w:t xml:space="preserve">(8) </w:t>
      </w:r>
      <w:r>
        <w:rPr>
          <w:bCs/>
          <w:sz w:val="24"/>
          <w:szCs w:val="24"/>
        </w:rPr>
        <w:t>G</w:t>
      </w:r>
      <w:r>
        <w:rPr>
          <w:sz w:val="24"/>
          <w:szCs w:val="24"/>
        </w:rPr>
        <w:t xml:space="preserve">rupările de încăperi de birouri deschise de tip open space vor respecta cerințele prevăzute la </w:t>
      </w:r>
      <w:r>
        <w:rPr>
          <w:b/>
          <w:sz w:val="24"/>
          <w:szCs w:val="24"/>
        </w:rPr>
        <w:t xml:space="preserve">Art. 2.4.3.2. </w:t>
      </w:r>
      <w:r>
        <w:rPr>
          <w:bCs/>
          <w:sz w:val="24"/>
          <w:szCs w:val="24"/>
        </w:rPr>
        <w:t>alin.</w:t>
      </w:r>
      <w:r>
        <w:rPr>
          <w:b/>
          <w:sz w:val="24"/>
          <w:szCs w:val="24"/>
        </w:rPr>
        <w:t xml:space="preserve"> (4) </w:t>
      </w:r>
      <w:r>
        <w:rPr>
          <w:bCs/>
          <w:sz w:val="24"/>
          <w:szCs w:val="24"/>
        </w:rPr>
        <w:t xml:space="preserve">și ale </w:t>
      </w:r>
      <w:r>
        <w:rPr>
          <w:b/>
          <w:sz w:val="24"/>
          <w:szCs w:val="24"/>
        </w:rPr>
        <w:t>Art. 2.5.14.1.</w:t>
      </w:r>
    </w:p>
    <w:p w14:paraId="5398A9DB" w14:textId="77777777" w:rsidR="001C08A5" w:rsidRDefault="001C08A5">
      <w:pPr>
        <w:jc w:val="both"/>
        <w:rPr>
          <w:b/>
          <w:sz w:val="24"/>
          <w:szCs w:val="24"/>
        </w:rPr>
      </w:pPr>
    </w:p>
    <w:p w14:paraId="22B921EF" w14:textId="77777777" w:rsidR="001C08A5" w:rsidRDefault="00000000">
      <w:pPr>
        <w:ind w:firstLine="567"/>
        <w:jc w:val="both"/>
        <w:rPr>
          <w:sz w:val="24"/>
          <w:szCs w:val="24"/>
        </w:rPr>
      </w:pPr>
      <w:r>
        <w:rPr>
          <w:b/>
          <w:sz w:val="24"/>
          <w:szCs w:val="24"/>
        </w:rPr>
        <w:t xml:space="preserve">Art. </w:t>
      </w:r>
      <w:r>
        <w:rPr>
          <w:b/>
          <w:bCs/>
          <w:sz w:val="24"/>
          <w:szCs w:val="24"/>
        </w:rPr>
        <w:t>3.2.2.</w:t>
      </w:r>
      <w:r>
        <w:rPr>
          <w:b/>
          <w:sz w:val="24"/>
          <w:szCs w:val="24"/>
        </w:rPr>
        <w:t xml:space="preserve">5. </w:t>
      </w:r>
      <w:r>
        <w:rPr>
          <w:b/>
          <w:bCs/>
          <w:sz w:val="24"/>
          <w:szCs w:val="24"/>
        </w:rPr>
        <w:t>(1)</w:t>
      </w:r>
      <w:r>
        <w:rPr>
          <w:sz w:val="24"/>
          <w:szCs w:val="24"/>
        </w:rPr>
        <w:t xml:space="preserve"> În clădirile administrative supraterane cu înălţimi obişnuite sunt admise scări monumentale deschise parţial sau pe toată înălţimea clădirii, în toate cazurile în care sunt asigurate și scări închise dispuse şi dimensionate astfel încât condiţiile normate de evacuare a utilizatorilor să fie asigurate. </w:t>
      </w:r>
    </w:p>
    <w:p w14:paraId="33578C77" w14:textId="77777777" w:rsidR="001C08A5" w:rsidRDefault="00000000">
      <w:pPr>
        <w:ind w:firstLine="567"/>
        <w:jc w:val="both"/>
        <w:rPr>
          <w:sz w:val="24"/>
          <w:szCs w:val="24"/>
        </w:rPr>
      </w:pPr>
      <w:r>
        <w:rPr>
          <w:b/>
          <w:bCs/>
          <w:sz w:val="24"/>
          <w:szCs w:val="24"/>
        </w:rPr>
        <w:t>(2)</w:t>
      </w:r>
      <w:r>
        <w:rPr>
          <w:sz w:val="24"/>
          <w:szCs w:val="24"/>
        </w:rPr>
        <w:t xml:space="preserve"> Scările monumentale deschise parţial sau pe toată înălţimea clădirii nu trebuie sa debuseze în spațiul </w:t>
      </w:r>
      <w:r>
        <w:rPr>
          <w:bCs/>
          <w:sz w:val="24"/>
          <w:szCs w:val="24"/>
        </w:rPr>
        <w:t>g</w:t>
      </w:r>
      <w:r>
        <w:rPr>
          <w:sz w:val="24"/>
          <w:szCs w:val="24"/>
        </w:rPr>
        <w:t xml:space="preserve">rupărilor de încăperi de birouri deschise explicitate la </w:t>
      </w:r>
      <w:r>
        <w:rPr>
          <w:b/>
          <w:sz w:val="24"/>
          <w:szCs w:val="24"/>
        </w:rPr>
        <w:t>Art. 3.2.2.4.</w:t>
      </w:r>
      <w:r>
        <w:rPr>
          <w:sz w:val="24"/>
          <w:szCs w:val="24"/>
        </w:rPr>
        <w:t>.</w:t>
      </w:r>
    </w:p>
    <w:p w14:paraId="40B48560" w14:textId="77777777" w:rsidR="001C08A5" w:rsidRDefault="001C08A5">
      <w:pPr>
        <w:jc w:val="both"/>
        <w:rPr>
          <w:b/>
          <w:i/>
          <w:iCs/>
          <w:sz w:val="24"/>
          <w:szCs w:val="24"/>
        </w:rPr>
      </w:pPr>
    </w:p>
    <w:p w14:paraId="686D8D0A" w14:textId="77777777" w:rsidR="001C08A5" w:rsidRDefault="00000000">
      <w:pPr>
        <w:ind w:firstLine="567"/>
        <w:jc w:val="both"/>
        <w:rPr>
          <w:sz w:val="24"/>
          <w:szCs w:val="24"/>
        </w:rPr>
      </w:pPr>
      <w:r>
        <w:rPr>
          <w:b/>
          <w:sz w:val="24"/>
          <w:szCs w:val="24"/>
        </w:rPr>
        <w:t xml:space="preserve">Art. </w:t>
      </w:r>
      <w:r>
        <w:rPr>
          <w:b/>
          <w:bCs/>
          <w:sz w:val="24"/>
          <w:szCs w:val="24"/>
        </w:rPr>
        <w:t>3.2.2.</w:t>
      </w:r>
      <w:r>
        <w:rPr>
          <w:b/>
          <w:sz w:val="24"/>
          <w:szCs w:val="24"/>
        </w:rPr>
        <w:t xml:space="preserve">6. </w:t>
      </w:r>
      <w:r>
        <w:rPr>
          <w:sz w:val="24"/>
          <w:szCs w:val="24"/>
        </w:rPr>
        <w:t xml:space="preserve">Comportarea la foc a pereţilor, uşilor și planşeelor de separare a caselor de scări închise din clădirile administrative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_Ref16575 \h </w:instrText>
      </w:r>
      <w:r>
        <w:rPr>
          <w:rFonts w:cs="Mangal"/>
          <w:b/>
          <w:i/>
          <w:iCs/>
          <w:sz w:val="24"/>
          <w:szCs w:val="24"/>
        </w:rPr>
      </w:r>
      <w:r>
        <w:rPr>
          <w:rFonts w:cs="Mangal"/>
          <w:b/>
          <w:i/>
          <w:iCs/>
          <w:sz w:val="24"/>
          <w:szCs w:val="24"/>
        </w:rPr>
        <w:fldChar w:fldCharType="separate"/>
      </w:r>
      <w:r>
        <w:t>Tabelul 57</w:t>
      </w:r>
      <w:r>
        <w:rPr>
          <w:rFonts w:cs="Mangal"/>
          <w:b/>
          <w:i/>
          <w:iCs/>
          <w:sz w:val="24"/>
          <w:szCs w:val="24"/>
        </w:rPr>
        <w:fldChar w:fldCharType="end"/>
      </w:r>
      <w:r>
        <w:rPr>
          <w:sz w:val="24"/>
          <w:szCs w:val="24"/>
        </w:rPr>
        <w:t>.</w:t>
      </w:r>
    </w:p>
    <w:p w14:paraId="4DC89851" w14:textId="77777777" w:rsidR="001C08A5" w:rsidRDefault="001C08A5">
      <w:pPr>
        <w:jc w:val="both"/>
        <w:rPr>
          <w:b/>
          <w:sz w:val="24"/>
          <w:szCs w:val="24"/>
        </w:rPr>
      </w:pPr>
    </w:p>
    <w:p w14:paraId="2388338B" w14:textId="77777777" w:rsidR="001C08A5" w:rsidRDefault="00000000">
      <w:pPr>
        <w:pStyle w:val="Captiontabel"/>
      </w:pPr>
      <w:bookmarkStart w:id="3315" w:name="_Ref16575"/>
      <w:bookmarkStart w:id="3316" w:name="_Toc162360107"/>
      <w:r>
        <w:t xml:space="preserve">Tabelul </w:t>
      </w:r>
      <w:r>
        <w:fldChar w:fldCharType="begin"/>
      </w:r>
      <w:r>
        <w:instrText xml:space="preserve"> SEQ Tabelul \* ARABIC </w:instrText>
      </w:r>
      <w:r>
        <w:fldChar w:fldCharType="separate"/>
      </w:r>
      <w:r>
        <w:t>57</w:t>
      </w:r>
      <w:r>
        <w:fldChar w:fldCharType="end"/>
      </w:r>
      <w:bookmarkStart w:id="3317" w:name="_Toc10453"/>
      <w:bookmarkStart w:id="3318" w:name="_Toc15687"/>
      <w:bookmarkStart w:id="3319" w:name="_Toc28543"/>
      <w:bookmarkStart w:id="3320" w:name="_Toc21472"/>
      <w:bookmarkStart w:id="3321" w:name="_Toc27141"/>
      <w:bookmarkStart w:id="3322" w:name="_Toc14714"/>
      <w:bookmarkStart w:id="3323" w:name="_Toc14143"/>
      <w:bookmarkStart w:id="3324" w:name="_Toc10872"/>
      <w:bookmarkStart w:id="3325" w:name="_Toc949"/>
      <w:bookmarkStart w:id="3326" w:name="_Toc26352"/>
      <w:bookmarkStart w:id="3327" w:name="_Toc12187"/>
      <w:bookmarkStart w:id="3328" w:name="_Toc27671"/>
      <w:bookmarkStart w:id="3329" w:name="_Toc11778"/>
      <w:bookmarkStart w:id="3330" w:name="_Toc15880"/>
      <w:bookmarkStart w:id="3331" w:name="_Toc24927"/>
      <w:bookmarkStart w:id="3332" w:name="_Toc27936"/>
      <w:bookmarkStart w:id="3333" w:name="_Toc3529"/>
      <w:bookmarkStart w:id="3334" w:name="_Toc17456"/>
      <w:bookmarkStart w:id="3335" w:name="_Toc19039"/>
      <w:bookmarkEnd w:id="3315"/>
      <w:r>
        <w:t>: Comportare la foc a pereţilor, uşilor și planşeelor de separare a caselor de scări închise şi a uşilor din clădirile administrative supraterane cu înălţimi obişnuite</w:t>
      </w:r>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p>
    <w:p w14:paraId="3B2E265A" w14:textId="77777777" w:rsidR="001C08A5" w:rsidRDefault="001C08A5">
      <w:pPr>
        <w:jc w:val="both"/>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1"/>
        <w:gridCol w:w="1690"/>
        <w:gridCol w:w="1845"/>
        <w:gridCol w:w="1303"/>
        <w:gridCol w:w="1834"/>
        <w:gridCol w:w="1612"/>
      </w:tblGrid>
      <w:tr w:rsidR="001C08A5" w14:paraId="409E11FB" w14:textId="77777777">
        <w:trPr>
          <w:tblHeader/>
        </w:trPr>
        <w:tc>
          <w:tcPr>
            <w:tcW w:w="1242" w:type="dxa"/>
            <w:vMerge w:val="restart"/>
            <w:shd w:val="clear" w:color="auto" w:fill="BFBFBF"/>
          </w:tcPr>
          <w:p w14:paraId="74820FC7" w14:textId="77777777" w:rsidR="001C08A5" w:rsidRDefault="00000000">
            <w:pPr>
              <w:pStyle w:val="BodyText"/>
              <w:jc w:val="center"/>
              <w:rPr>
                <w:bCs w:val="0"/>
                <w:sz w:val="22"/>
                <w:szCs w:val="22"/>
              </w:rPr>
            </w:pPr>
            <w:r>
              <w:rPr>
                <w:bCs w:val="0"/>
                <w:sz w:val="22"/>
                <w:szCs w:val="22"/>
              </w:rPr>
              <w:t>Nivel de stabilitate</w:t>
            </w:r>
          </w:p>
          <w:p w14:paraId="3CA43144" w14:textId="77777777" w:rsidR="001C08A5" w:rsidRDefault="00000000">
            <w:pPr>
              <w:jc w:val="center"/>
              <w:rPr>
                <w:i/>
                <w:sz w:val="22"/>
                <w:szCs w:val="22"/>
              </w:rPr>
            </w:pPr>
            <w:r>
              <w:rPr>
                <w:b/>
                <w:bCs/>
                <w:i/>
                <w:sz w:val="22"/>
                <w:szCs w:val="22"/>
              </w:rPr>
              <w:t>la incendiu</w:t>
            </w:r>
          </w:p>
        </w:tc>
        <w:tc>
          <w:tcPr>
            <w:tcW w:w="8329" w:type="dxa"/>
            <w:gridSpan w:val="5"/>
            <w:shd w:val="clear" w:color="auto" w:fill="BFBFBF"/>
          </w:tcPr>
          <w:p w14:paraId="0202CDCE"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606C9EFD" w14:textId="77777777">
        <w:trPr>
          <w:tblHeader/>
        </w:trPr>
        <w:tc>
          <w:tcPr>
            <w:tcW w:w="1242" w:type="dxa"/>
            <w:vMerge/>
            <w:shd w:val="clear" w:color="auto" w:fill="BFBFBF"/>
          </w:tcPr>
          <w:p w14:paraId="0B24A23B" w14:textId="77777777" w:rsidR="001C08A5" w:rsidRDefault="001C08A5">
            <w:pPr>
              <w:jc w:val="center"/>
              <w:rPr>
                <w:i/>
                <w:sz w:val="22"/>
                <w:szCs w:val="22"/>
              </w:rPr>
            </w:pPr>
          </w:p>
        </w:tc>
        <w:tc>
          <w:tcPr>
            <w:tcW w:w="3553" w:type="dxa"/>
            <w:gridSpan w:val="2"/>
            <w:shd w:val="clear" w:color="auto" w:fill="BFBFBF"/>
          </w:tcPr>
          <w:p w14:paraId="177065F6" w14:textId="77777777" w:rsidR="001C08A5" w:rsidRDefault="00000000">
            <w:pPr>
              <w:jc w:val="center"/>
              <w:rPr>
                <w:i/>
                <w:sz w:val="22"/>
                <w:szCs w:val="22"/>
              </w:rPr>
            </w:pPr>
            <w:r>
              <w:rPr>
                <w:b/>
                <w:bCs/>
                <w:i/>
                <w:sz w:val="22"/>
                <w:szCs w:val="22"/>
              </w:rPr>
              <w:t>Pereţi</w:t>
            </w:r>
          </w:p>
        </w:tc>
        <w:tc>
          <w:tcPr>
            <w:tcW w:w="3154" w:type="dxa"/>
            <w:gridSpan w:val="2"/>
            <w:shd w:val="clear" w:color="auto" w:fill="BFBFBF"/>
          </w:tcPr>
          <w:p w14:paraId="4E044E81"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622" w:type="dxa"/>
            <w:shd w:val="clear" w:color="auto" w:fill="BFBFBF"/>
          </w:tcPr>
          <w:p w14:paraId="1644974A" w14:textId="77777777" w:rsidR="001C08A5" w:rsidRDefault="00000000">
            <w:pPr>
              <w:jc w:val="center"/>
              <w:rPr>
                <w:b/>
                <w:bCs/>
                <w:i/>
                <w:sz w:val="22"/>
                <w:szCs w:val="22"/>
              </w:rPr>
            </w:pPr>
            <w:r>
              <w:rPr>
                <w:b/>
                <w:bCs/>
                <w:i/>
                <w:sz w:val="22"/>
                <w:szCs w:val="22"/>
              </w:rPr>
              <w:t xml:space="preserve">Uşi </w:t>
            </w:r>
          </w:p>
        </w:tc>
      </w:tr>
      <w:tr w:rsidR="001C08A5" w14:paraId="7952CE2F" w14:textId="77777777">
        <w:tc>
          <w:tcPr>
            <w:tcW w:w="1242" w:type="dxa"/>
          </w:tcPr>
          <w:p w14:paraId="421C3716" w14:textId="77777777" w:rsidR="001C08A5" w:rsidRDefault="00000000">
            <w:pPr>
              <w:pStyle w:val="BodyText"/>
              <w:jc w:val="center"/>
              <w:rPr>
                <w:bCs w:val="0"/>
                <w:sz w:val="22"/>
                <w:szCs w:val="22"/>
              </w:rPr>
            </w:pPr>
            <w:r>
              <w:rPr>
                <w:bCs w:val="0"/>
                <w:sz w:val="22"/>
                <w:szCs w:val="22"/>
              </w:rPr>
              <w:t>I</w:t>
            </w:r>
          </w:p>
          <w:p w14:paraId="4F7A2567" w14:textId="77777777" w:rsidR="001C08A5" w:rsidRDefault="00000000">
            <w:pPr>
              <w:pStyle w:val="BodyText"/>
              <w:jc w:val="center"/>
              <w:rPr>
                <w:bCs w:val="0"/>
                <w:sz w:val="22"/>
                <w:szCs w:val="22"/>
              </w:rPr>
            </w:pPr>
            <w:r>
              <w:rPr>
                <w:sz w:val="22"/>
                <w:szCs w:val="22"/>
              </w:rPr>
              <w:t>h&lt;28m</w:t>
            </w:r>
          </w:p>
        </w:tc>
        <w:tc>
          <w:tcPr>
            <w:tcW w:w="1697" w:type="dxa"/>
          </w:tcPr>
          <w:p w14:paraId="1BF9B52A" w14:textId="77777777" w:rsidR="001C08A5" w:rsidRDefault="00000000">
            <w:pPr>
              <w:jc w:val="center"/>
              <w:rPr>
                <w:b/>
                <w:i/>
                <w:sz w:val="22"/>
                <w:szCs w:val="22"/>
              </w:rPr>
            </w:pPr>
            <w:r>
              <w:rPr>
                <w:b/>
                <w:i/>
                <w:sz w:val="22"/>
                <w:szCs w:val="22"/>
              </w:rPr>
              <w:t xml:space="preserve">EI/REI 180 </w:t>
            </w:r>
          </w:p>
          <w:p w14:paraId="55A7D071" w14:textId="77777777" w:rsidR="001C08A5" w:rsidRDefault="001C08A5">
            <w:pPr>
              <w:jc w:val="center"/>
              <w:rPr>
                <w:b/>
                <w:i/>
                <w:sz w:val="22"/>
                <w:szCs w:val="22"/>
              </w:rPr>
            </w:pPr>
          </w:p>
        </w:tc>
        <w:tc>
          <w:tcPr>
            <w:tcW w:w="1856" w:type="dxa"/>
          </w:tcPr>
          <w:p w14:paraId="21F46422"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09" w:type="dxa"/>
          </w:tcPr>
          <w:p w14:paraId="37B2211A" w14:textId="77777777" w:rsidR="001C08A5" w:rsidRDefault="00000000">
            <w:pPr>
              <w:jc w:val="center"/>
              <w:rPr>
                <w:b/>
                <w:i/>
                <w:sz w:val="22"/>
                <w:szCs w:val="22"/>
              </w:rPr>
            </w:pPr>
            <w:r>
              <w:rPr>
                <w:b/>
                <w:i/>
                <w:sz w:val="22"/>
                <w:szCs w:val="22"/>
              </w:rPr>
              <w:t xml:space="preserve">REI 120 </w:t>
            </w:r>
          </w:p>
        </w:tc>
        <w:tc>
          <w:tcPr>
            <w:tcW w:w="1845" w:type="dxa"/>
          </w:tcPr>
          <w:p w14:paraId="47ACB77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22" w:type="dxa"/>
          </w:tcPr>
          <w:p w14:paraId="48081678" w14:textId="77777777" w:rsidR="001C08A5" w:rsidRDefault="00000000">
            <w:pPr>
              <w:jc w:val="center"/>
              <w:rPr>
                <w:i/>
                <w:sz w:val="22"/>
                <w:szCs w:val="22"/>
              </w:rPr>
            </w:pPr>
            <w:r>
              <w:rPr>
                <w:b/>
                <w:bCs/>
                <w:i/>
                <w:sz w:val="22"/>
                <w:szCs w:val="22"/>
              </w:rPr>
              <w:t xml:space="preserve">E 60 - C5 </w:t>
            </w:r>
            <w:r>
              <w:rPr>
                <w:b/>
                <w:i/>
                <w:sz w:val="22"/>
                <w:szCs w:val="22"/>
              </w:rPr>
              <w:t>S</w:t>
            </w:r>
            <w:r>
              <w:rPr>
                <w:b/>
                <w:bCs/>
                <w:i/>
                <w:sz w:val="22"/>
                <w:szCs w:val="22"/>
                <w:vertAlign w:val="subscript"/>
              </w:rPr>
              <w:t>200</w:t>
            </w:r>
          </w:p>
        </w:tc>
      </w:tr>
      <w:tr w:rsidR="001C08A5" w14:paraId="2B061198" w14:textId="77777777">
        <w:tc>
          <w:tcPr>
            <w:tcW w:w="1242" w:type="dxa"/>
          </w:tcPr>
          <w:p w14:paraId="78BCE40C" w14:textId="77777777" w:rsidR="001C08A5" w:rsidRDefault="00000000">
            <w:pPr>
              <w:pStyle w:val="BodyText"/>
              <w:jc w:val="center"/>
              <w:rPr>
                <w:bCs w:val="0"/>
                <w:sz w:val="22"/>
                <w:szCs w:val="22"/>
              </w:rPr>
            </w:pPr>
            <w:r>
              <w:rPr>
                <w:bCs w:val="0"/>
                <w:sz w:val="22"/>
                <w:szCs w:val="22"/>
              </w:rPr>
              <w:t>II</w:t>
            </w:r>
          </w:p>
        </w:tc>
        <w:tc>
          <w:tcPr>
            <w:tcW w:w="1697" w:type="dxa"/>
          </w:tcPr>
          <w:p w14:paraId="01858DAF" w14:textId="77777777" w:rsidR="001C08A5" w:rsidRDefault="00000000">
            <w:pPr>
              <w:jc w:val="center"/>
              <w:rPr>
                <w:b/>
                <w:i/>
                <w:sz w:val="22"/>
                <w:szCs w:val="22"/>
              </w:rPr>
            </w:pPr>
            <w:r>
              <w:rPr>
                <w:b/>
                <w:i/>
                <w:sz w:val="22"/>
                <w:szCs w:val="22"/>
              </w:rPr>
              <w:t>EI/REI 180</w:t>
            </w:r>
          </w:p>
          <w:p w14:paraId="7B9926A5" w14:textId="77777777" w:rsidR="001C08A5" w:rsidRDefault="001C08A5">
            <w:pPr>
              <w:jc w:val="center"/>
              <w:rPr>
                <w:b/>
                <w:i/>
                <w:sz w:val="22"/>
                <w:szCs w:val="22"/>
              </w:rPr>
            </w:pPr>
          </w:p>
        </w:tc>
        <w:tc>
          <w:tcPr>
            <w:tcW w:w="1856" w:type="dxa"/>
          </w:tcPr>
          <w:p w14:paraId="3D6C915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09" w:type="dxa"/>
          </w:tcPr>
          <w:p w14:paraId="091160C0" w14:textId="77777777" w:rsidR="001C08A5" w:rsidRDefault="00000000">
            <w:pPr>
              <w:jc w:val="center"/>
              <w:rPr>
                <w:b/>
                <w:i/>
                <w:sz w:val="22"/>
                <w:szCs w:val="22"/>
              </w:rPr>
            </w:pPr>
            <w:r>
              <w:rPr>
                <w:b/>
                <w:i/>
                <w:sz w:val="22"/>
                <w:szCs w:val="22"/>
              </w:rPr>
              <w:t>REI 120</w:t>
            </w:r>
          </w:p>
        </w:tc>
        <w:tc>
          <w:tcPr>
            <w:tcW w:w="1845" w:type="dxa"/>
          </w:tcPr>
          <w:p w14:paraId="7AB94F8F"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22" w:type="dxa"/>
          </w:tcPr>
          <w:p w14:paraId="322E086D" w14:textId="77777777" w:rsidR="001C08A5" w:rsidRDefault="00000000">
            <w:pPr>
              <w:jc w:val="center"/>
              <w:rPr>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6D944DD5" w14:textId="77777777">
        <w:tc>
          <w:tcPr>
            <w:tcW w:w="1242" w:type="dxa"/>
          </w:tcPr>
          <w:p w14:paraId="22DDBF73" w14:textId="77777777" w:rsidR="001C08A5" w:rsidRDefault="00000000">
            <w:pPr>
              <w:pStyle w:val="BodyText"/>
              <w:jc w:val="center"/>
              <w:rPr>
                <w:bCs w:val="0"/>
                <w:sz w:val="22"/>
                <w:szCs w:val="22"/>
              </w:rPr>
            </w:pPr>
            <w:r>
              <w:rPr>
                <w:bCs w:val="0"/>
                <w:sz w:val="22"/>
                <w:szCs w:val="22"/>
              </w:rPr>
              <w:t>II (+)</w:t>
            </w:r>
          </w:p>
        </w:tc>
        <w:tc>
          <w:tcPr>
            <w:tcW w:w="1697" w:type="dxa"/>
          </w:tcPr>
          <w:p w14:paraId="30066057" w14:textId="77777777" w:rsidR="001C08A5" w:rsidRDefault="00000000">
            <w:pPr>
              <w:jc w:val="center"/>
              <w:rPr>
                <w:b/>
                <w:i/>
                <w:sz w:val="22"/>
                <w:szCs w:val="22"/>
              </w:rPr>
            </w:pPr>
            <w:r>
              <w:rPr>
                <w:b/>
                <w:i/>
                <w:sz w:val="22"/>
                <w:szCs w:val="22"/>
              </w:rPr>
              <w:t>EI/REI 120</w:t>
            </w:r>
          </w:p>
          <w:p w14:paraId="7FAAC0F8" w14:textId="77777777" w:rsidR="001C08A5" w:rsidRDefault="001C08A5">
            <w:pPr>
              <w:jc w:val="center"/>
              <w:rPr>
                <w:b/>
                <w:i/>
                <w:sz w:val="22"/>
                <w:szCs w:val="22"/>
              </w:rPr>
            </w:pPr>
          </w:p>
        </w:tc>
        <w:tc>
          <w:tcPr>
            <w:tcW w:w="1856" w:type="dxa"/>
          </w:tcPr>
          <w:p w14:paraId="54B9E25A"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09" w:type="dxa"/>
          </w:tcPr>
          <w:p w14:paraId="7A2D8510" w14:textId="77777777" w:rsidR="001C08A5" w:rsidRDefault="00000000">
            <w:pPr>
              <w:jc w:val="center"/>
              <w:rPr>
                <w:b/>
                <w:i/>
                <w:sz w:val="22"/>
                <w:szCs w:val="22"/>
              </w:rPr>
            </w:pPr>
            <w:r>
              <w:rPr>
                <w:b/>
                <w:i/>
                <w:sz w:val="22"/>
                <w:szCs w:val="22"/>
              </w:rPr>
              <w:t>REI 90</w:t>
            </w:r>
          </w:p>
        </w:tc>
        <w:tc>
          <w:tcPr>
            <w:tcW w:w="1845" w:type="dxa"/>
          </w:tcPr>
          <w:p w14:paraId="3F56A602"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622" w:type="dxa"/>
          </w:tcPr>
          <w:p w14:paraId="7A2B637B" w14:textId="77777777" w:rsidR="001C08A5" w:rsidRDefault="00000000">
            <w:pPr>
              <w:jc w:val="center"/>
              <w:rPr>
                <w:b/>
                <w:bCs/>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2256B096" w14:textId="77777777">
        <w:tc>
          <w:tcPr>
            <w:tcW w:w="1242" w:type="dxa"/>
          </w:tcPr>
          <w:p w14:paraId="6D7AD0CC" w14:textId="77777777" w:rsidR="001C08A5" w:rsidRDefault="00000000">
            <w:pPr>
              <w:pStyle w:val="BodyText"/>
              <w:jc w:val="center"/>
              <w:rPr>
                <w:bCs w:val="0"/>
                <w:sz w:val="22"/>
                <w:szCs w:val="22"/>
              </w:rPr>
            </w:pPr>
            <w:r>
              <w:rPr>
                <w:bCs w:val="0"/>
                <w:sz w:val="22"/>
                <w:szCs w:val="22"/>
              </w:rPr>
              <w:t>III</w:t>
            </w:r>
          </w:p>
        </w:tc>
        <w:tc>
          <w:tcPr>
            <w:tcW w:w="1697" w:type="dxa"/>
          </w:tcPr>
          <w:p w14:paraId="1BA91C05" w14:textId="77777777" w:rsidR="001C08A5" w:rsidRDefault="00000000">
            <w:pPr>
              <w:jc w:val="center"/>
              <w:rPr>
                <w:b/>
                <w:i/>
                <w:sz w:val="22"/>
                <w:szCs w:val="22"/>
              </w:rPr>
            </w:pPr>
            <w:r>
              <w:rPr>
                <w:b/>
                <w:i/>
                <w:sz w:val="22"/>
                <w:szCs w:val="22"/>
              </w:rPr>
              <w:t xml:space="preserve">EI/REI 90 </w:t>
            </w:r>
          </w:p>
          <w:p w14:paraId="41A4B3AC" w14:textId="77777777" w:rsidR="001C08A5" w:rsidRDefault="001C08A5">
            <w:pPr>
              <w:jc w:val="center"/>
              <w:rPr>
                <w:b/>
                <w:i/>
                <w:sz w:val="22"/>
                <w:szCs w:val="22"/>
              </w:rPr>
            </w:pPr>
          </w:p>
        </w:tc>
        <w:tc>
          <w:tcPr>
            <w:tcW w:w="1856" w:type="dxa"/>
          </w:tcPr>
          <w:p w14:paraId="668DAEBD"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09" w:type="dxa"/>
          </w:tcPr>
          <w:p w14:paraId="64758005" w14:textId="77777777" w:rsidR="001C08A5" w:rsidRDefault="00000000">
            <w:pPr>
              <w:jc w:val="center"/>
              <w:rPr>
                <w:b/>
                <w:i/>
                <w:sz w:val="22"/>
                <w:szCs w:val="22"/>
              </w:rPr>
            </w:pPr>
            <w:r>
              <w:rPr>
                <w:b/>
                <w:i/>
                <w:sz w:val="22"/>
                <w:szCs w:val="22"/>
              </w:rPr>
              <w:t>REI 60</w:t>
            </w:r>
          </w:p>
        </w:tc>
        <w:tc>
          <w:tcPr>
            <w:tcW w:w="1845" w:type="dxa"/>
          </w:tcPr>
          <w:p w14:paraId="0ABD2739"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622" w:type="dxa"/>
          </w:tcPr>
          <w:p w14:paraId="15965C4C" w14:textId="77777777" w:rsidR="001C08A5" w:rsidRDefault="00000000">
            <w:pPr>
              <w:jc w:val="center"/>
              <w:rPr>
                <w:b/>
                <w:i/>
                <w:sz w:val="22"/>
                <w:szCs w:val="22"/>
              </w:rPr>
            </w:pPr>
            <w:r>
              <w:rPr>
                <w:b/>
                <w:bCs/>
                <w:i/>
                <w:sz w:val="22"/>
                <w:szCs w:val="22"/>
              </w:rPr>
              <w:t>E 30 - C5 Sa</w:t>
            </w:r>
          </w:p>
          <w:p w14:paraId="445F97FD" w14:textId="77777777" w:rsidR="001C08A5" w:rsidRDefault="001C08A5">
            <w:pPr>
              <w:jc w:val="center"/>
              <w:rPr>
                <w:i/>
                <w:strike/>
                <w:sz w:val="22"/>
                <w:szCs w:val="22"/>
              </w:rPr>
            </w:pPr>
          </w:p>
        </w:tc>
      </w:tr>
      <w:tr w:rsidR="001C08A5" w14:paraId="1CBEF4A3" w14:textId="77777777">
        <w:tc>
          <w:tcPr>
            <w:tcW w:w="1242" w:type="dxa"/>
          </w:tcPr>
          <w:p w14:paraId="72C11EA4" w14:textId="77777777" w:rsidR="001C08A5" w:rsidRDefault="00000000">
            <w:pPr>
              <w:pStyle w:val="BodyText"/>
              <w:jc w:val="center"/>
              <w:rPr>
                <w:bCs w:val="0"/>
                <w:sz w:val="22"/>
                <w:szCs w:val="22"/>
              </w:rPr>
            </w:pPr>
            <w:r>
              <w:rPr>
                <w:bCs w:val="0"/>
                <w:sz w:val="22"/>
                <w:szCs w:val="22"/>
              </w:rPr>
              <w:t>III (+)</w:t>
            </w:r>
          </w:p>
        </w:tc>
        <w:tc>
          <w:tcPr>
            <w:tcW w:w="1697" w:type="dxa"/>
          </w:tcPr>
          <w:p w14:paraId="75C16399" w14:textId="77777777" w:rsidR="001C08A5" w:rsidRDefault="00000000">
            <w:pPr>
              <w:jc w:val="center"/>
              <w:rPr>
                <w:b/>
                <w:i/>
                <w:sz w:val="22"/>
                <w:szCs w:val="22"/>
              </w:rPr>
            </w:pPr>
            <w:r>
              <w:rPr>
                <w:b/>
                <w:i/>
                <w:sz w:val="22"/>
                <w:szCs w:val="22"/>
              </w:rPr>
              <w:t xml:space="preserve">EI/REI 60 </w:t>
            </w:r>
          </w:p>
          <w:p w14:paraId="1716E5B0" w14:textId="77777777" w:rsidR="001C08A5" w:rsidRDefault="001C08A5">
            <w:pPr>
              <w:jc w:val="center"/>
              <w:rPr>
                <w:b/>
                <w:i/>
                <w:sz w:val="22"/>
                <w:szCs w:val="22"/>
              </w:rPr>
            </w:pPr>
          </w:p>
        </w:tc>
        <w:tc>
          <w:tcPr>
            <w:tcW w:w="1856" w:type="dxa"/>
          </w:tcPr>
          <w:p w14:paraId="64764336"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09" w:type="dxa"/>
          </w:tcPr>
          <w:p w14:paraId="27FD6A40" w14:textId="77777777" w:rsidR="001C08A5" w:rsidRDefault="00000000">
            <w:pPr>
              <w:jc w:val="center"/>
              <w:rPr>
                <w:b/>
                <w:i/>
                <w:sz w:val="22"/>
                <w:szCs w:val="22"/>
              </w:rPr>
            </w:pPr>
            <w:r>
              <w:rPr>
                <w:b/>
                <w:i/>
                <w:sz w:val="22"/>
                <w:szCs w:val="22"/>
              </w:rPr>
              <w:t xml:space="preserve">REI 45 </w:t>
            </w:r>
          </w:p>
        </w:tc>
        <w:tc>
          <w:tcPr>
            <w:tcW w:w="1845" w:type="dxa"/>
          </w:tcPr>
          <w:p w14:paraId="3FE1E7DA"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622" w:type="dxa"/>
          </w:tcPr>
          <w:p w14:paraId="58885E6D" w14:textId="77777777" w:rsidR="001C08A5" w:rsidRDefault="00000000">
            <w:pPr>
              <w:jc w:val="center"/>
              <w:rPr>
                <w:b/>
                <w:i/>
                <w:sz w:val="22"/>
                <w:szCs w:val="22"/>
              </w:rPr>
            </w:pPr>
            <w:r>
              <w:rPr>
                <w:b/>
                <w:bCs/>
                <w:i/>
                <w:sz w:val="22"/>
                <w:szCs w:val="22"/>
              </w:rPr>
              <w:t>E 30 - C5 Sa</w:t>
            </w:r>
          </w:p>
          <w:p w14:paraId="029B5956" w14:textId="77777777" w:rsidR="001C08A5" w:rsidRDefault="001C08A5">
            <w:pPr>
              <w:jc w:val="center"/>
              <w:rPr>
                <w:i/>
                <w:strike/>
                <w:sz w:val="22"/>
                <w:szCs w:val="22"/>
              </w:rPr>
            </w:pPr>
          </w:p>
        </w:tc>
      </w:tr>
      <w:tr w:rsidR="001C08A5" w14:paraId="7F7A80EF" w14:textId="77777777">
        <w:tc>
          <w:tcPr>
            <w:tcW w:w="1242" w:type="dxa"/>
          </w:tcPr>
          <w:p w14:paraId="64BBD420" w14:textId="77777777" w:rsidR="001C08A5" w:rsidRDefault="00000000">
            <w:pPr>
              <w:pStyle w:val="BodyText"/>
              <w:jc w:val="center"/>
              <w:rPr>
                <w:bCs w:val="0"/>
                <w:sz w:val="22"/>
                <w:szCs w:val="22"/>
              </w:rPr>
            </w:pPr>
            <w:r>
              <w:rPr>
                <w:bCs w:val="0"/>
                <w:sz w:val="22"/>
                <w:szCs w:val="22"/>
              </w:rPr>
              <w:t>IV</w:t>
            </w:r>
          </w:p>
        </w:tc>
        <w:tc>
          <w:tcPr>
            <w:tcW w:w="1697" w:type="dxa"/>
          </w:tcPr>
          <w:p w14:paraId="14C5C856" w14:textId="77777777" w:rsidR="001C08A5" w:rsidRDefault="00000000">
            <w:pPr>
              <w:jc w:val="center"/>
              <w:rPr>
                <w:b/>
                <w:i/>
                <w:sz w:val="22"/>
                <w:szCs w:val="22"/>
              </w:rPr>
            </w:pPr>
            <w:r>
              <w:rPr>
                <w:b/>
                <w:i/>
                <w:sz w:val="22"/>
                <w:szCs w:val="22"/>
              </w:rPr>
              <w:t xml:space="preserve">EI/REI 45 </w:t>
            </w:r>
          </w:p>
          <w:p w14:paraId="02A356A0" w14:textId="77777777" w:rsidR="001C08A5" w:rsidRDefault="001C08A5">
            <w:pPr>
              <w:jc w:val="center"/>
              <w:rPr>
                <w:b/>
                <w:i/>
                <w:strike/>
                <w:sz w:val="22"/>
                <w:szCs w:val="22"/>
              </w:rPr>
            </w:pPr>
          </w:p>
        </w:tc>
        <w:tc>
          <w:tcPr>
            <w:tcW w:w="1856" w:type="dxa"/>
          </w:tcPr>
          <w:p w14:paraId="4F3EE143"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309" w:type="dxa"/>
          </w:tcPr>
          <w:p w14:paraId="3A549678" w14:textId="77777777" w:rsidR="001C08A5" w:rsidRDefault="00000000">
            <w:pPr>
              <w:jc w:val="center"/>
              <w:rPr>
                <w:b/>
                <w:i/>
                <w:sz w:val="22"/>
                <w:szCs w:val="22"/>
              </w:rPr>
            </w:pPr>
            <w:r>
              <w:rPr>
                <w:b/>
                <w:i/>
                <w:sz w:val="22"/>
                <w:szCs w:val="22"/>
              </w:rPr>
              <w:t xml:space="preserve">REI 30 </w:t>
            </w:r>
          </w:p>
        </w:tc>
        <w:tc>
          <w:tcPr>
            <w:tcW w:w="1845" w:type="dxa"/>
          </w:tcPr>
          <w:p w14:paraId="5A1D3CE1"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622" w:type="dxa"/>
          </w:tcPr>
          <w:p w14:paraId="2EB561ED" w14:textId="77777777" w:rsidR="001C08A5" w:rsidRDefault="00000000">
            <w:pPr>
              <w:jc w:val="center"/>
              <w:rPr>
                <w:i/>
                <w:sz w:val="22"/>
                <w:szCs w:val="22"/>
              </w:rPr>
            </w:pPr>
            <w:r>
              <w:rPr>
                <w:b/>
                <w:bCs/>
                <w:i/>
                <w:sz w:val="22"/>
                <w:szCs w:val="22"/>
              </w:rPr>
              <w:t xml:space="preserve">C5 </w:t>
            </w:r>
          </w:p>
        </w:tc>
      </w:tr>
      <w:tr w:rsidR="001C08A5" w14:paraId="6F79F9AB" w14:textId="77777777">
        <w:tc>
          <w:tcPr>
            <w:tcW w:w="1242" w:type="dxa"/>
          </w:tcPr>
          <w:p w14:paraId="19B147BD" w14:textId="77777777" w:rsidR="001C08A5" w:rsidRDefault="00000000">
            <w:pPr>
              <w:pStyle w:val="BodyText"/>
              <w:jc w:val="center"/>
              <w:rPr>
                <w:bCs w:val="0"/>
                <w:sz w:val="22"/>
                <w:szCs w:val="22"/>
              </w:rPr>
            </w:pPr>
            <w:r>
              <w:rPr>
                <w:bCs w:val="0"/>
                <w:sz w:val="22"/>
                <w:szCs w:val="22"/>
              </w:rPr>
              <w:t>V</w:t>
            </w:r>
          </w:p>
        </w:tc>
        <w:tc>
          <w:tcPr>
            <w:tcW w:w="1697" w:type="dxa"/>
          </w:tcPr>
          <w:p w14:paraId="4119DB54" w14:textId="77777777" w:rsidR="001C08A5" w:rsidRDefault="00000000">
            <w:pPr>
              <w:jc w:val="center"/>
              <w:rPr>
                <w:b/>
                <w:i/>
                <w:sz w:val="22"/>
                <w:szCs w:val="22"/>
              </w:rPr>
            </w:pPr>
            <w:r>
              <w:rPr>
                <w:b/>
                <w:i/>
                <w:sz w:val="22"/>
                <w:szCs w:val="22"/>
              </w:rPr>
              <w:t>EI/REI 30</w:t>
            </w:r>
          </w:p>
          <w:p w14:paraId="17FFEBCD" w14:textId="77777777" w:rsidR="001C08A5" w:rsidRDefault="001C08A5">
            <w:pPr>
              <w:jc w:val="center"/>
              <w:rPr>
                <w:b/>
                <w:i/>
                <w:strike/>
                <w:sz w:val="22"/>
                <w:szCs w:val="22"/>
              </w:rPr>
            </w:pPr>
          </w:p>
        </w:tc>
        <w:tc>
          <w:tcPr>
            <w:tcW w:w="1856" w:type="dxa"/>
          </w:tcPr>
          <w:p w14:paraId="5005D97C"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309" w:type="dxa"/>
          </w:tcPr>
          <w:p w14:paraId="0B7544DD" w14:textId="77777777" w:rsidR="001C08A5" w:rsidRDefault="00000000">
            <w:pPr>
              <w:jc w:val="center"/>
              <w:rPr>
                <w:b/>
                <w:i/>
                <w:sz w:val="22"/>
                <w:szCs w:val="22"/>
              </w:rPr>
            </w:pPr>
            <w:r>
              <w:rPr>
                <w:b/>
                <w:i/>
                <w:sz w:val="22"/>
                <w:szCs w:val="22"/>
              </w:rPr>
              <w:t xml:space="preserve">REI 15 </w:t>
            </w:r>
          </w:p>
        </w:tc>
        <w:tc>
          <w:tcPr>
            <w:tcW w:w="1845" w:type="dxa"/>
          </w:tcPr>
          <w:p w14:paraId="2CDF8B75"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622" w:type="dxa"/>
          </w:tcPr>
          <w:p w14:paraId="16F5D1B0" w14:textId="77777777" w:rsidR="001C08A5" w:rsidRDefault="00000000">
            <w:pPr>
              <w:jc w:val="center"/>
              <w:rPr>
                <w:i/>
                <w:strike/>
                <w:sz w:val="22"/>
                <w:szCs w:val="22"/>
              </w:rPr>
            </w:pPr>
            <w:r>
              <w:rPr>
                <w:b/>
                <w:bCs/>
                <w:i/>
                <w:sz w:val="22"/>
                <w:szCs w:val="22"/>
              </w:rPr>
              <w:t>-</w:t>
            </w:r>
          </w:p>
        </w:tc>
      </w:tr>
    </w:tbl>
    <w:p w14:paraId="356BFFD2" w14:textId="77777777" w:rsidR="001C08A5" w:rsidRDefault="00000000">
      <w:pPr>
        <w:autoSpaceDE w:val="0"/>
        <w:rPr>
          <w:i/>
          <w:sz w:val="22"/>
          <w:szCs w:val="22"/>
        </w:rPr>
      </w:pPr>
      <w:r>
        <w:rPr>
          <w:bCs/>
          <w:i/>
          <w:sz w:val="22"/>
          <w:szCs w:val="22"/>
          <w:u w:val="single"/>
        </w:rPr>
        <w:t>Note</w:t>
      </w:r>
      <w:r>
        <w:rPr>
          <w:i/>
          <w:sz w:val="22"/>
          <w:szCs w:val="22"/>
        </w:rPr>
        <w:t>:</w:t>
      </w:r>
    </w:p>
    <w:p w14:paraId="0B41E7F2" w14:textId="77777777" w:rsidR="001C08A5" w:rsidRDefault="00000000">
      <w:pPr>
        <w:ind w:left="720"/>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7A6BDB6B"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16CD9408" w14:textId="77777777" w:rsidR="001C08A5" w:rsidRDefault="00000000">
      <w:pPr>
        <w:ind w:left="720"/>
        <w:rPr>
          <w:bCs/>
          <w:i/>
          <w:sz w:val="22"/>
          <w:szCs w:val="22"/>
        </w:rPr>
      </w:pPr>
      <w:r>
        <w:rPr>
          <w:b/>
          <w:i/>
          <w:sz w:val="22"/>
          <w:szCs w:val="22"/>
        </w:rPr>
        <w:lastRenderedPageBreak/>
        <w:t>”h”</w:t>
      </w:r>
      <w:r>
        <w:rPr>
          <w:bCs/>
          <w:i/>
          <w:sz w:val="22"/>
          <w:szCs w:val="22"/>
        </w:rPr>
        <w:t xml:space="preserve">= cota ultimului planșeu accesibil/ folosibil al </w:t>
      </w:r>
      <w:r>
        <w:rPr>
          <w:i/>
          <w:iCs/>
          <w:sz w:val="22"/>
          <w:szCs w:val="22"/>
        </w:rPr>
        <w:t>construcției, față de nivelul de referință</w:t>
      </w:r>
    </w:p>
    <w:p w14:paraId="67B4A9A1" w14:textId="77777777" w:rsidR="001C08A5" w:rsidRDefault="001C08A5">
      <w:pPr>
        <w:jc w:val="both"/>
        <w:rPr>
          <w:b/>
          <w:sz w:val="24"/>
          <w:szCs w:val="24"/>
        </w:rPr>
      </w:pPr>
    </w:p>
    <w:p w14:paraId="18DC8492" w14:textId="77777777" w:rsidR="001C08A5" w:rsidRDefault="00000000">
      <w:pPr>
        <w:ind w:firstLine="567"/>
        <w:jc w:val="both"/>
        <w:rPr>
          <w:sz w:val="24"/>
          <w:szCs w:val="24"/>
        </w:rPr>
      </w:pPr>
      <w:r>
        <w:rPr>
          <w:b/>
          <w:sz w:val="24"/>
          <w:szCs w:val="24"/>
        </w:rPr>
        <w:t xml:space="preserve">Art. </w:t>
      </w:r>
      <w:r>
        <w:rPr>
          <w:b/>
          <w:bCs/>
          <w:sz w:val="24"/>
          <w:szCs w:val="24"/>
        </w:rPr>
        <w:t>3.2.2.7</w:t>
      </w:r>
      <w:r>
        <w:rPr>
          <w:b/>
          <w:sz w:val="24"/>
          <w:szCs w:val="24"/>
        </w:rPr>
        <w:t xml:space="preserve">. </w:t>
      </w:r>
      <w:r>
        <w:rPr>
          <w:sz w:val="24"/>
          <w:szCs w:val="24"/>
        </w:rPr>
        <w:t xml:space="preserve">Comportarea la foc a pereţilor, uşilor și planşeelor de separare a căilor de evacuare orizontale (coridoare și holuri) din clădirile administrative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_Ref16696 \h </w:instrText>
      </w:r>
      <w:r>
        <w:rPr>
          <w:rFonts w:cs="Mangal"/>
          <w:b/>
          <w:i/>
          <w:iCs/>
          <w:sz w:val="24"/>
          <w:szCs w:val="24"/>
        </w:rPr>
      </w:r>
      <w:r>
        <w:rPr>
          <w:rFonts w:cs="Mangal"/>
          <w:b/>
          <w:i/>
          <w:iCs/>
          <w:sz w:val="24"/>
          <w:szCs w:val="24"/>
        </w:rPr>
        <w:fldChar w:fldCharType="separate"/>
      </w:r>
      <w:r>
        <w:t>Tabelul 58</w:t>
      </w:r>
      <w:r>
        <w:rPr>
          <w:rFonts w:cs="Mangal"/>
          <w:b/>
          <w:i/>
          <w:iCs/>
          <w:sz w:val="24"/>
          <w:szCs w:val="24"/>
        </w:rPr>
        <w:fldChar w:fldCharType="end"/>
      </w:r>
      <w:r>
        <w:rPr>
          <w:sz w:val="24"/>
          <w:szCs w:val="24"/>
        </w:rPr>
        <w:t xml:space="preserve">. </w:t>
      </w:r>
    </w:p>
    <w:p w14:paraId="5ED68AE9" w14:textId="77777777" w:rsidR="001C08A5" w:rsidRDefault="001C08A5">
      <w:pPr>
        <w:jc w:val="both"/>
        <w:rPr>
          <w:sz w:val="24"/>
          <w:szCs w:val="24"/>
        </w:rPr>
      </w:pPr>
    </w:p>
    <w:p w14:paraId="679BFD7C" w14:textId="77777777" w:rsidR="001C08A5" w:rsidRDefault="00000000">
      <w:pPr>
        <w:pStyle w:val="Captiontabel"/>
      </w:pPr>
      <w:bookmarkStart w:id="3336" w:name="_Ref16696"/>
      <w:bookmarkStart w:id="3337" w:name="_Toc162360108"/>
      <w:r>
        <w:t xml:space="preserve">Tabelul </w:t>
      </w:r>
      <w:r>
        <w:fldChar w:fldCharType="begin"/>
      </w:r>
      <w:r>
        <w:instrText xml:space="preserve"> SEQ Tabelul \* ARABIC </w:instrText>
      </w:r>
      <w:r>
        <w:fldChar w:fldCharType="separate"/>
      </w:r>
      <w:r>
        <w:t>58</w:t>
      </w:r>
      <w:r>
        <w:fldChar w:fldCharType="end"/>
      </w:r>
      <w:bookmarkStart w:id="3338" w:name="_Toc30668"/>
      <w:bookmarkStart w:id="3339" w:name="_Toc16138"/>
      <w:bookmarkStart w:id="3340" w:name="_Toc14198"/>
      <w:bookmarkStart w:id="3341" w:name="_Toc5276"/>
      <w:bookmarkStart w:id="3342" w:name="_Toc22661"/>
      <w:bookmarkStart w:id="3343" w:name="_Toc4625"/>
      <w:bookmarkStart w:id="3344" w:name="_Toc31063"/>
      <w:bookmarkStart w:id="3345" w:name="_Toc8227"/>
      <w:bookmarkStart w:id="3346" w:name="_Toc30652"/>
      <w:bookmarkStart w:id="3347" w:name="_Toc23259"/>
      <w:bookmarkStart w:id="3348" w:name="_Toc3353"/>
      <w:bookmarkStart w:id="3349" w:name="_Toc13761"/>
      <w:bookmarkStart w:id="3350" w:name="_Toc16361"/>
      <w:bookmarkStart w:id="3351" w:name="_Toc13201"/>
      <w:bookmarkStart w:id="3352" w:name="_Toc14284"/>
      <w:bookmarkStart w:id="3353" w:name="_Toc13586"/>
      <w:bookmarkStart w:id="3354" w:name="_Toc22281"/>
      <w:bookmarkStart w:id="3355" w:name="_Toc31419"/>
      <w:bookmarkStart w:id="3356" w:name="_Toc27593"/>
      <w:bookmarkEnd w:id="3336"/>
      <w:r>
        <w:t>: Comportare la foc a pereţilor, uşilor și planşeelor de separare a căilor de evacuare orizontale (coridoare și holuri) din clădirile administrative supraterane cu înălţimi obişnuite</w:t>
      </w:r>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p>
    <w:p w14:paraId="66586D03" w14:textId="77777777" w:rsidR="001C08A5" w:rsidRDefault="001C08A5">
      <w:pPr>
        <w:jc w:val="both"/>
        <w:rPr>
          <w:sz w:val="24"/>
          <w:szCs w:val="24"/>
        </w:rPr>
      </w:pPr>
    </w:p>
    <w:tbl>
      <w:tblPr>
        <w:tblW w:w="499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9"/>
        <w:gridCol w:w="1320"/>
        <w:gridCol w:w="1671"/>
        <w:gridCol w:w="1916"/>
        <w:gridCol w:w="1625"/>
        <w:gridCol w:w="1816"/>
      </w:tblGrid>
      <w:tr w:rsidR="001C08A5" w14:paraId="1D9FB9C7" w14:textId="77777777">
        <w:trPr>
          <w:tblHeader/>
        </w:trPr>
        <w:tc>
          <w:tcPr>
            <w:tcW w:w="664" w:type="pct"/>
            <w:vMerge w:val="restart"/>
            <w:shd w:val="clear" w:color="auto" w:fill="BFBFBF"/>
          </w:tcPr>
          <w:p w14:paraId="695B0CAA" w14:textId="77777777" w:rsidR="001C08A5" w:rsidRDefault="001C08A5">
            <w:pPr>
              <w:pStyle w:val="BodyText"/>
              <w:jc w:val="center"/>
              <w:rPr>
                <w:bCs w:val="0"/>
                <w:sz w:val="22"/>
                <w:szCs w:val="22"/>
              </w:rPr>
            </w:pPr>
          </w:p>
          <w:p w14:paraId="6501CA45" w14:textId="77777777" w:rsidR="001C08A5" w:rsidRDefault="00000000">
            <w:pPr>
              <w:pStyle w:val="BodyText"/>
              <w:jc w:val="center"/>
              <w:rPr>
                <w:bCs w:val="0"/>
                <w:sz w:val="22"/>
                <w:szCs w:val="22"/>
              </w:rPr>
            </w:pPr>
            <w:r>
              <w:rPr>
                <w:bCs w:val="0"/>
                <w:sz w:val="22"/>
                <w:szCs w:val="22"/>
              </w:rPr>
              <w:t>Nivel de stabilitate</w:t>
            </w:r>
          </w:p>
          <w:p w14:paraId="10B9A438" w14:textId="77777777" w:rsidR="001C08A5" w:rsidRDefault="00000000">
            <w:pPr>
              <w:jc w:val="center"/>
              <w:rPr>
                <w:i/>
                <w:sz w:val="22"/>
                <w:szCs w:val="22"/>
              </w:rPr>
            </w:pPr>
            <w:r>
              <w:rPr>
                <w:b/>
                <w:bCs/>
                <w:i/>
                <w:sz w:val="22"/>
                <w:szCs w:val="22"/>
              </w:rPr>
              <w:t>la incendiu</w:t>
            </w:r>
          </w:p>
        </w:tc>
        <w:tc>
          <w:tcPr>
            <w:tcW w:w="4335" w:type="pct"/>
            <w:gridSpan w:val="5"/>
            <w:shd w:val="clear" w:color="auto" w:fill="BFBFBF"/>
          </w:tcPr>
          <w:p w14:paraId="3CDDA214" w14:textId="77777777" w:rsidR="001C08A5" w:rsidRDefault="00000000">
            <w:pPr>
              <w:jc w:val="center"/>
              <w:rPr>
                <w:b/>
                <w:bCs/>
                <w:i/>
                <w:sz w:val="22"/>
                <w:szCs w:val="22"/>
              </w:rPr>
            </w:pPr>
            <w:r>
              <w:rPr>
                <w:b/>
                <w:bCs/>
                <w:i/>
                <w:sz w:val="22"/>
                <w:szCs w:val="22"/>
              </w:rPr>
              <w:t>Niveluri de comportare la foc admise la coridoare și holuri</w:t>
            </w:r>
          </w:p>
        </w:tc>
      </w:tr>
      <w:tr w:rsidR="001C08A5" w14:paraId="0C8EA1FC" w14:textId="77777777">
        <w:trPr>
          <w:tblHeader/>
        </w:trPr>
        <w:tc>
          <w:tcPr>
            <w:tcW w:w="664" w:type="pct"/>
            <w:vMerge/>
            <w:shd w:val="clear" w:color="auto" w:fill="BFBFBF"/>
          </w:tcPr>
          <w:p w14:paraId="13A6B8F9" w14:textId="77777777" w:rsidR="001C08A5" w:rsidRDefault="001C08A5">
            <w:pPr>
              <w:jc w:val="center"/>
              <w:rPr>
                <w:i/>
                <w:sz w:val="22"/>
                <w:szCs w:val="22"/>
              </w:rPr>
            </w:pPr>
          </w:p>
        </w:tc>
        <w:tc>
          <w:tcPr>
            <w:tcW w:w="1553" w:type="pct"/>
            <w:gridSpan w:val="2"/>
            <w:shd w:val="clear" w:color="auto" w:fill="BFBFBF"/>
          </w:tcPr>
          <w:p w14:paraId="7E12EC57" w14:textId="77777777" w:rsidR="001C08A5" w:rsidRDefault="001C08A5">
            <w:pPr>
              <w:jc w:val="center"/>
              <w:rPr>
                <w:b/>
                <w:bCs/>
                <w:i/>
                <w:sz w:val="22"/>
                <w:szCs w:val="22"/>
              </w:rPr>
            </w:pPr>
          </w:p>
          <w:p w14:paraId="3701B52D" w14:textId="77777777" w:rsidR="001C08A5" w:rsidRDefault="00000000">
            <w:pPr>
              <w:jc w:val="center"/>
              <w:rPr>
                <w:i/>
                <w:sz w:val="22"/>
                <w:szCs w:val="22"/>
              </w:rPr>
            </w:pPr>
            <w:r>
              <w:rPr>
                <w:b/>
                <w:bCs/>
                <w:i/>
                <w:sz w:val="22"/>
                <w:szCs w:val="22"/>
              </w:rPr>
              <w:t>Pereţi</w:t>
            </w:r>
          </w:p>
        </w:tc>
        <w:tc>
          <w:tcPr>
            <w:tcW w:w="1839" w:type="pct"/>
            <w:gridSpan w:val="2"/>
            <w:shd w:val="clear" w:color="auto" w:fill="BFBFBF"/>
          </w:tcPr>
          <w:p w14:paraId="579044A8"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942" w:type="pct"/>
            <w:shd w:val="clear" w:color="auto" w:fill="BFBFBF"/>
          </w:tcPr>
          <w:p w14:paraId="54A6BB8B" w14:textId="77777777" w:rsidR="001C08A5" w:rsidRDefault="00000000">
            <w:pPr>
              <w:jc w:val="center"/>
              <w:rPr>
                <w:b/>
                <w:bCs/>
                <w:i/>
                <w:sz w:val="22"/>
                <w:szCs w:val="22"/>
              </w:rPr>
            </w:pPr>
            <w:r>
              <w:rPr>
                <w:b/>
                <w:bCs/>
                <w:i/>
                <w:sz w:val="22"/>
                <w:szCs w:val="22"/>
              </w:rPr>
              <w:t>Uşi</w:t>
            </w:r>
          </w:p>
          <w:p w14:paraId="1B75AD86" w14:textId="77777777" w:rsidR="001C08A5" w:rsidRDefault="00000000">
            <w:pPr>
              <w:jc w:val="center"/>
              <w:rPr>
                <w:i/>
                <w:sz w:val="22"/>
                <w:szCs w:val="22"/>
              </w:rPr>
            </w:pPr>
            <w:r>
              <w:rPr>
                <w:bCs/>
                <w:i/>
                <w:sz w:val="22"/>
                <w:szCs w:val="22"/>
              </w:rPr>
              <w:t>(cu excepţia celor către case de scări închise)</w:t>
            </w:r>
          </w:p>
        </w:tc>
      </w:tr>
      <w:tr w:rsidR="001C08A5" w14:paraId="7750D49E" w14:textId="77777777">
        <w:trPr>
          <w:trHeight w:val="827"/>
        </w:trPr>
        <w:tc>
          <w:tcPr>
            <w:tcW w:w="664" w:type="pct"/>
            <w:vAlign w:val="center"/>
          </w:tcPr>
          <w:p w14:paraId="56E8EBC8" w14:textId="77777777" w:rsidR="001C08A5" w:rsidRDefault="00000000">
            <w:pPr>
              <w:pStyle w:val="BodyText"/>
              <w:jc w:val="center"/>
              <w:rPr>
                <w:bCs w:val="0"/>
                <w:sz w:val="22"/>
                <w:szCs w:val="22"/>
              </w:rPr>
            </w:pPr>
            <w:r>
              <w:rPr>
                <w:bCs w:val="0"/>
                <w:sz w:val="22"/>
                <w:szCs w:val="22"/>
              </w:rPr>
              <w:t>I</w:t>
            </w:r>
          </w:p>
          <w:p w14:paraId="40AA2A14" w14:textId="77777777" w:rsidR="001C08A5" w:rsidRDefault="00000000">
            <w:pPr>
              <w:pStyle w:val="BodyText"/>
              <w:jc w:val="center"/>
              <w:rPr>
                <w:bCs w:val="0"/>
                <w:sz w:val="22"/>
                <w:szCs w:val="22"/>
              </w:rPr>
            </w:pPr>
            <w:r>
              <w:rPr>
                <w:sz w:val="22"/>
                <w:szCs w:val="22"/>
              </w:rPr>
              <w:t>h&lt;28m</w:t>
            </w:r>
          </w:p>
        </w:tc>
        <w:tc>
          <w:tcPr>
            <w:tcW w:w="685" w:type="pct"/>
            <w:vAlign w:val="center"/>
          </w:tcPr>
          <w:p w14:paraId="5B1D139C" w14:textId="77777777" w:rsidR="001C08A5" w:rsidRDefault="00000000">
            <w:pPr>
              <w:jc w:val="center"/>
              <w:rPr>
                <w:b/>
                <w:i/>
                <w:sz w:val="22"/>
                <w:szCs w:val="22"/>
              </w:rPr>
            </w:pPr>
            <w:r>
              <w:rPr>
                <w:b/>
                <w:i/>
                <w:sz w:val="22"/>
                <w:szCs w:val="22"/>
              </w:rPr>
              <w:t>EI/REI 90</w:t>
            </w:r>
          </w:p>
          <w:p w14:paraId="0586396B" w14:textId="77777777" w:rsidR="001C08A5" w:rsidRDefault="001C08A5">
            <w:pPr>
              <w:jc w:val="center"/>
              <w:rPr>
                <w:b/>
                <w:i/>
                <w:sz w:val="22"/>
                <w:szCs w:val="22"/>
              </w:rPr>
            </w:pPr>
          </w:p>
        </w:tc>
        <w:tc>
          <w:tcPr>
            <w:tcW w:w="868" w:type="pct"/>
            <w:vAlign w:val="center"/>
          </w:tcPr>
          <w:p w14:paraId="09556703"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995" w:type="pct"/>
            <w:vMerge w:val="restart"/>
            <w:textDirection w:val="lrTbV"/>
            <w:vAlign w:val="center"/>
          </w:tcPr>
          <w:p w14:paraId="2C5D86DA" w14:textId="77777777" w:rsidR="001C08A5" w:rsidRDefault="00000000">
            <w:pPr>
              <w:jc w:val="center"/>
              <w:rPr>
                <w:b/>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rStyle w:val="BodyTextChar"/>
                <w:iCs/>
                <w:sz w:val="22"/>
                <w:szCs w:val="22"/>
              </w:rPr>
              <w:t>, pct. 3</w:t>
            </w:r>
          </w:p>
          <w:p w14:paraId="1B0B2BD8" w14:textId="77777777" w:rsidR="001C08A5" w:rsidRDefault="001C08A5">
            <w:pPr>
              <w:rPr>
                <w:i/>
                <w:sz w:val="22"/>
                <w:szCs w:val="22"/>
              </w:rPr>
            </w:pPr>
          </w:p>
          <w:p w14:paraId="169DBE5C" w14:textId="77777777" w:rsidR="001C08A5" w:rsidRDefault="00000000">
            <w:pPr>
              <w:jc w:val="cente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844" w:type="pct"/>
            <w:vAlign w:val="center"/>
          </w:tcPr>
          <w:p w14:paraId="3C9C8E7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942" w:type="pct"/>
          </w:tcPr>
          <w:p w14:paraId="5D112F4F" w14:textId="77777777" w:rsidR="001C08A5" w:rsidRDefault="00000000">
            <w:pPr>
              <w:jc w:val="center"/>
              <w:rPr>
                <w:i/>
                <w:sz w:val="22"/>
                <w:szCs w:val="22"/>
              </w:rPr>
            </w:pPr>
            <w:r>
              <w:rPr>
                <w:b/>
                <w:bCs/>
                <w:i/>
                <w:sz w:val="22"/>
                <w:szCs w:val="22"/>
              </w:rPr>
              <w:t xml:space="preserve">E 30 - C5 </w:t>
            </w:r>
            <w:r>
              <w:rPr>
                <w:b/>
                <w:i/>
                <w:sz w:val="22"/>
                <w:szCs w:val="22"/>
              </w:rPr>
              <w:t>S</w:t>
            </w:r>
            <w:r>
              <w:rPr>
                <w:b/>
                <w:bCs/>
                <w:i/>
                <w:sz w:val="22"/>
                <w:szCs w:val="22"/>
                <w:vertAlign w:val="subscript"/>
              </w:rPr>
              <w:t>a</w:t>
            </w:r>
          </w:p>
        </w:tc>
      </w:tr>
      <w:tr w:rsidR="001C08A5" w14:paraId="2246467C" w14:textId="77777777">
        <w:trPr>
          <w:trHeight w:val="827"/>
        </w:trPr>
        <w:tc>
          <w:tcPr>
            <w:tcW w:w="664" w:type="pct"/>
            <w:vAlign w:val="center"/>
          </w:tcPr>
          <w:p w14:paraId="72F9B951" w14:textId="77777777" w:rsidR="001C08A5" w:rsidRDefault="00000000">
            <w:pPr>
              <w:pStyle w:val="BodyText"/>
              <w:jc w:val="center"/>
              <w:rPr>
                <w:bCs w:val="0"/>
                <w:sz w:val="22"/>
                <w:szCs w:val="22"/>
              </w:rPr>
            </w:pPr>
            <w:r>
              <w:rPr>
                <w:bCs w:val="0"/>
                <w:sz w:val="22"/>
                <w:szCs w:val="22"/>
              </w:rPr>
              <w:t>II</w:t>
            </w:r>
          </w:p>
        </w:tc>
        <w:tc>
          <w:tcPr>
            <w:tcW w:w="685" w:type="pct"/>
            <w:vAlign w:val="center"/>
          </w:tcPr>
          <w:p w14:paraId="71474572" w14:textId="77777777" w:rsidR="001C08A5" w:rsidRDefault="00000000">
            <w:pPr>
              <w:jc w:val="center"/>
              <w:rPr>
                <w:b/>
                <w:i/>
                <w:sz w:val="22"/>
                <w:szCs w:val="22"/>
              </w:rPr>
            </w:pPr>
            <w:r>
              <w:rPr>
                <w:b/>
                <w:i/>
                <w:sz w:val="22"/>
                <w:szCs w:val="22"/>
              </w:rPr>
              <w:t>EI/REI 60</w:t>
            </w:r>
          </w:p>
          <w:p w14:paraId="56400B57" w14:textId="77777777" w:rsidR="001C08A5" w:rsidRDefault="001C08A5">
            <w:pPr>
              <w:jc w:val="center"/>
              <w:rPr>
                <w:b/>
                <w:i/>
                <w:sz w:val="22"/>
                <w:szCs w:val="22"/>
              </w:rPr>
            </w:pPr>
          </w:p>
        </w:tc>
        <w:tc>
          <w:tcPr>
            <w:tcW w:w="868" w:type="pct"/>
            <w:vAlign w:val="center"/>
          </w:tcPr>
          <w:p w14:paraId="71FFFC38"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995" w:type="pct"/>
            <w:vMerge/>
            <w:vAlign w:val="center"/>
          </w:tcPr>
          <w:p w14:paraId="047BD49A" w14:textId="77777777" w:rsidR="001C08A5" w:rsidRDefault="001C08A5">
            <w:pPr>
              <w:jc w:val="center"/>
              <w:rPr>
                <w:b/>
                <w:i/>
                <w:sz w:val="22"/>
                <w:szCs w:val="22"/>
              </w:rPr>
            </w:pPr>
          </w:p>
        </w:tc>
        <w:tc>
          <w:tcPr>
            <w:tcW w:w="844" w:type="pct"/>
            <w:vAlign w:val="center"/>
          </w:tcPr>
          <w:p w14:paraId="1D97CCE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942" w:type="pct"/>
          </w:tcPr>
          <w:p w14:paraId="639D3D51" w14:textId="77777777" w:rsidR="001C08A5" w:rsidRDefault="00000000">
            <w:pPr>
              <w:jc w:val="center"/>
              <w:rPr>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6A867529" w14:textId="77777777">
        <w:trPr>
          <w:trHeight w:val="827"/>
        </w:trPr>
        <w:tc>
          <w:tcPr>
            <w:tcW w:w="664" w:type="pct"/>
            <w:vAlign w:val="center"/>
          </w:tcPr>
          <w:p w14:paraId="7D0AD8C3" w14:textId="77777777" w:rsidR="001C08A5" w:rsidRDefault="00000000">
            <w:pPr>
              <w:pStyle w:val="BodyText"/>
              <w:jc w:val="center"/>
              <w:rPr>
                <w:bCs w:val="0"/>
                <w:sz w:val="22"/>
                <w:szCs w:val="22"/>
              </w:rPr>
            </w:pPr>
            <w:r>
              <w:rPr>
                <w:bCs w:val="0"/>
                <w:sz w:val="22"/>
                <w:szCs w:val="22"/>
              </w:rPr>
              <w:t>II (+)</w:t>
            </w:r>
          </w:p>
        </w:tc>
        <w:tc>
          <w:tcPr>
            <w:tcW w:w="685" w:type="pct"/>
            <w:vAlign w:val="center"/>
          </w:tcPr>
          <w:p w14:paraId="242AA940" w14:textId="77777777" w:rsidR="001C08A5" w:rsidRDefault="00000000">
            <w:pPr>
              <w:jc w:val="center"/>
              <w:rPr>
                <w:b/>
                <w:i/>
                <w:sz w:val="22"/>
                <w:szCs w:val="22"/>
              </w:rPr>
            </w:pPr>
            <w:r>
              <w:rPr>
                <w:b/>
                <w:i/>
                <w:sz w:val="22"/>
                <w:szCs w:val="22"/>
              </w:rPr>
              <w:t>EI/REI 60</w:t>
            </w:r>
          </w:p>
          <w:p w14:paraId="13ABD232" w14:textId="77777777" w:rsidR="001C08A5" w:rsidRDefault="001C08A5">
            <w:pPr>
              <w:jc w:val="center"/>
              <w:rPr>
                <w:b/>
                <w:i/>
                <w:sz w:val="22"/>
                <w:szCs w:val="22"/>
              </w:rPr>
            </w:pPr>
          </w:p>
        </w:tc>
        <w:tc>
          <w:tcPr>
            <w:tcW w:w="868" w:type="pct"/>
            <w:vAlign w:val="center"/>
          </w:tcPr>
          <w:p w14:paraId="41AB88C1"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995" w:type="pct"/>
            <w:vMerge/>
            <w:vAlign w:val="center"/>
          </w:tcPr>
          <w:p w14:paraId="6CAA1D9E" w14:textId="77777777" w:rsidR="001C08A5" w:rsidRDefault="001C08A5">
            <w:pPr>
              <w:jc w:val="center"/>
              <w:rPr>
                <w:b/>
                <w:i/>
                <w:sz w:val="22"/>
                <w:szCs w:val="22"/>
              </w:rPr>
            </w:pPr>
          </w:p>
        </w:tc>
        <w:tc>
          <w:tcPr>
            <w:tcW w:w="844" w:type="pct"/>
            <w:vAlign w:val="center"/>
          </w:tcPr>
          <w:p w14:paraId="553F1781"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942" w:type="pct"/>
          </w:tcPr>
          <w:p w14:paraId="70759949" w14:textId="77777777" w:rsidR="001C08A5" w:rsidRDefault="00000000">
            <w:pPr>
              <w:jc w:val="center"/>
              <w:rPr>
                <w:b/>
                <w:bCs/>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50471872" w14:textId="77777777">
        <w:trPr>
          <w:trHeight w:val="827"/>
        </w:trPr>
        <w:tc>
          <w:tcPr>
            <w:tcW w:w="664" w:type="pct"/>
            <w:vAlign w:val="center"/>
          </w:tcPr>
          <w:p w14:paraId="4349989C" w14:textId="77777777" w:rsidR="001C08A5" w:rsidRDefault="00000000">
            <w:pPr>
              <w:pStyle w:val="BodyText"/>
              <w:jc w:val="center"/>
              <w:rPr>
                <w:bCs w:val="0"/>
                <w:sz w:val="22"/>
                <w:szCs w:val="22"/>
              </w:rPr>
            </w:pPr>
            <w:r>
              <w:rPr>
                <w:bCs w:val="0"/>
                <w:sz w:val="22"/>
                <w:szCs w:val="22"/>
              </w:rPr>
              <w:t>III</w:t>
            </w:r>
          </w:p>
        </w:tc>
        <w:tc>
          <w:tcPr>
            <w:tcW w:w="685" w:type="pct"/>
            <w:vAlign w:val="center"/>
          </w:tcPr>
          <w:p w14:paraId="79707608" w14:textId="77777777" w:rsidR="001C08A5" w:rsidRDefault="00000000">
            <w:pPr>
              <w:jc w:val="center"/>
              <w:rPr>
                <w:b/>
                <w:i/>
                <w:sz w:val="22"/>
                <w:szCs w:val="22"/>
              </w:rPr>
            </w:pPr>
            <w:r>
              <w:rPr>
                <w:b/>
                <w:i/>
                <w:sz w:val="22"/>
                <w:szCs w:val="22"/>
              </w:rPr>
              <w:t>EI/REI 45</w:t>
            </w:r>
          </w:p>
          <w:p w14:paraId="6A6CF72E" w14:textId="77777777" w:rsidR="001C08A5" w:rsidRDefault="001C08A5">
            <w:pPr>
              <w:jc w:val="center"/>
              <w:rPr>
                <w:b/>
                <w:i/>
                <w:sz w:val="22"/>
                <w:szCs w:val="22"/>
              </w:rPr>
            </w:pPr>
          </w:p>
        </w:tc>
        <w:tc>
          <w:tcPr>
            <w:tcW w:w="868" w:type="pct"/>
            <w:vAlign w:val="center"/>
          </w:tcPr>
          <w:p w14:paraId="71539DAA"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995" w:type="pct"/>
            <w:vMerge/>
            <w:vAlign w:val="center"/>
          </w:tcPr>
          <w:p w14:paraId="2FD46990" w14:textId="77777777" w:rsidR="001C08A5" w:rsidRDefault="001C08A5">
            <w:pPr>
              <w:jc w:val="center"/>
              <w:rPr>
                <w:b/>
                <w:i/>
                <w:sz w:val="22"/>
                <w:szCs w:val="22"/>
              </w:rPr>
            </w:pPr>
          </w:p>
        </w:tc>
        <w:tc>
          <w:tcPr>
            <w:tcW w:w="844" w:type="pct"/>
            <w:vAlign w:val="center"/>
          </w:tcPr>
          <w:p w14:paraId="02E274E2"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44AAC516" w14:textId="77777777" w:rsidR="001C08A5" w:rsidRDefault="001C08A5">
            <w:pPr>
              <w:jc w:val="center"/>
              <w:rPr>
                <w:i/>
                <w:sz w:val="22"/>
                <w:szCs w:val="22"/>
              </w:rPr>
            </w:pPr>
          </w:p>
        </w:tc>
        <w:tc>
          <w:tcPr>
            <w:tcW w:w="942" w:type="pct"/>
          </w:tcPr>
          <w:p w14:paraId="6657C5AB" w14:textId="77777777" w:rsidR="001C08A5" w:rsidRDefault="00000000">
            <w:pPr>
              <w:jc w:val="center"/>
              <w:rPr>
                <w:i/>
                <w:sz w:val="22"/>
                <w:szCs w:val="22"/>
              </w:rPr>
            </w:pPr>
            <w:r>
              <w:rPr>
                <w:b/>
                <w:bCs/>
                <w:i/>
                <w:sz w:val="22"/>
                <w:szCs w:val="22"/>
              </w:rPr>
              <w:t>C5</w:t>
            </w:r>
          </w:p>
        </w:tc>
      </w:tr>
      <w:tr w:rsidR="001C08A5" w14:paraId="3CEE9206" w14:textId="77777777">
        <w:trPr>
          <w:trHeight w:val="827"/>
        </w:trPr>
        <w:tc>
          <w:tcPr>
            <w:tcW w:w="664" w:type="pct"/>
            <w:vAlign w:val="center"/>
          </w:tcPr>
          <w:p w14:paraId="5281B9C2" w14:textId="77777777" w:rsidR="001C08A5" w:rsidRDefault="00000000">
            <w:pPr>
              <w:pStyle w:val="BodyText"/>
              <w:jc w:val="center"/>
              <w:rPr>
                <w:bCs w:val="0"/>
                <w:sz w:val="22"/>
                <w:szCs w:val="22"/>
              </w:rPr>
            </w:pPr>
            <w:r>
              <w:rPr>
                <w:bCs w:val="0"/>
                <w:sz w:val="22"/>
                <w:szCs w:val="22"/>
              </w:rPr>
              <w:t>III (+)</w:t>
            </w:r>
          </w:p>
        </w:tc>
        <w:tc>
          <w:tcPr>
            <w:tcW w:w="685" w:type="pct"/>
            <w:vAlign w:val="center"/>
          </w:tcPr>
          <w:p w14:paraId="55C03A57" w14:textId="77777777" w:rsidR="001C08A5" w:rsidRDefault="00000000">
            <w:pPr>
              <w:jc w:val="center"/>
              <w:rPr>
                <w:b/>
                <w:i/>
                <w:sz w:val="22"/>
                <w:szCs w:val="22"/>
              </w:rPr>
            </w:pPr>
            <w:r>
              <w:rPr>
                <w:b/>
                <w:i/>
                <w:sz w:val="22"/>
                <w:szCs w:val="22"/>
              </w:rPr>
              <w:t>EI/REI 45</w:t>
            </w:r>
          </w:p>
          <w:p w14:paraId="4A8B06E7" w14:textId="77777777" w:rsidR="001C08A5" w:rsidRDefault="001C08A5">
            <w:pPr>
              <w:jc w:val="center"/>
              <w:rPr>
                <w:b/>
                <w:i/>
                <w:sz w:val="22"/>
                <w:szCs w:val="22"/>
              </w:rPr>
            </w:pPr>
          </w:p>
        </w:tc>
        <w:tc>
          <w:tcPr>
            <w:tcW w:w="868" w:type="pct"/>
            <w:vAlign w:val="center"/>
          </w:tcPr>
          <w:p w14:paraId="5294A9F4"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995" w:type="pct"/>
            <w:vMerge/>
            <w:vAlign w:val="center"/>
          </w:tcPr>
          <w:p w14:paraId="2C48CDE8" w14:textId="77777777" w:rsidR="001C08A5" w:rsidRDefault="001C08A5">
            <w:pPr>
              <w:jc w:val="center"/>
              <w:rPr>
                <w:b/>
                <w:i/>
                <w:sz w:val="22"/>
                <w:szCs w:val="22"/>
              </w:rPr>
            </w:pPr>
          </w:p>
        </w:tc>
        <w:tc>
          <w:tcPr>
            <w:tcW w:w="844" w:type="pct"/>
            <w:vAlign w:val="center"/>
          </w:tcPr>
          <w:p w14:paraId="00101613"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942" w:type="pct"/>
          </w:tcPr>
          <w:p w14:paraId="042B93C0" w14:textId="77777777" w:rsidR="001C08A5" w:rsidRDefault="00000000">
            <w:pPr>
              <w:jc w:val="center"/>
              <w:rPr>
                <w:b/>
                <w:i/>
                <w:sz w:val="22"/>
                <w:szCs w:val="22"/>
              </w:rPr>
            </w:pPr>
            <w:r>
              <w:rPr>
                <w:b/>
                <w:bCs/>
                <w:i/>
                <w:sz w:val="22"/>
                <w:szCs w:val="22"/>
              </w:rPr>
              <w:t>C5</w:t>
            </w:r>
          </w:p>
          <w:p w14:paraId="16CFCCC0" w14:textId="77777777" w:rsidR="001C08A5" w:rsidRDefault="001C08A5">
            <w:pPr>
              <w:jc w:val="center"/>
              <w:rPr>
                <w:b/>
                <w:bCs/>
                <w:i/>
                <w:sz w:val="22"/>
                <w:szCs w:val="22"/>
              </w:rPr>
            </w:pPr>
          </w:p>
        </w:tc>
      </w:tr>
      <w:tr w:rsidR="001C08A5" w14:paraId="04E0FE02" w14:textId="77777777">
        <w:trPr>
          <w:trHeight w:val="827"/>
        </w:trPr>
        <w:tc>
          <w:tcPr>
            <w:tcW w:w="664" w:type="pct"/>
            <w:vAlign w:val="center"/>
          </w:tcPr>
          <w:p w14:paraId="2764C146" w14:textId="77777777" w:rsidR="001C08A5" w:rsidRDefault="00000000">
            <w:pPr>
              <w:pStyle w:val="BodyText"/>
              <w:jc w:val="center"/>
              <w:rPr>
                <w:bCs w:val="0"/>
                <w:sz w:val="22"/>
                <w:szCs w:val="22"/>
              </w:rPr>
            </w:pPr>
            <w:r>
              <w:rPr>
                <w:bCs w:val="0"/>
                <w:sz w:val="22"/>
                <w:szCs w:val="22"/>
              </w:rPr>
              <w:t>IV</w:t>
            </w:r>
          </w:p>
        </w:tc>
        <w:tc>
          <w:tcPr>
            <w:tcW w:w="685" w:type="pct"/>
            <w:vAlign w:val="center"/>
          </w:tcPr>
          <w:p w14:paraId="5F575A91" w14:textId="77777777" w:rsidR="001C08A5" w:rsidRDefault="00000000">
            <w:pPr>
              <w:jc w:val="center"/>
              <w:rPr>
                <w:b/>
                <w:i/>
                <w:sz w:val="22"/>
                <w:szCs w:val="22"/>
              </w:rPr>
            </w:pPr>
            <w:r>
              <w:rPr>
                <w:b/>
                <w:i/>
                <w:sz w:val="22"/>
                <w:szCs w:val="22"/>
              </w:rPr>
              <w:t>EI/REI 30</w:t>
            </w:r>
          </w:p>
          <w:p w14:paraId="353A5919" w14:textId="77777777" w:rsidR="001C08A5" w:rsidRDefault="001C08A5">
            <w:pPr>
              <w:jc w:val="center"/>
              <w:rPr>
                <w:b/>
                <w:i/>
                <w:sz w:val="22"/>
                <w:szCs w:val="22"/>
              </w:rPr>
            </w:pPr>
          </w:p>
        </w:tc>
        <w:tc>
          <w:tcPr>
            <w:tcW w:w="868" w:type="pct"/>
            <w:vAlign w:val="center"/>
          </w:tcPr>
          <w:p w14:paraId="1A78E78E"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995" w:type="pct"/>
            <w:vMerge/>
            <w:vAlign w:val="center"/>
          </w:tcPr>
          <w:p w14:paraId="2B57F367" w14:textId="77777777" w:rsidR="001C08A5" w:rsidRDefault="001C08A5">
            <w:pPr>
              <w:jc w:val="center"/>
              <w:rPr>
                <w:b/>
                <w:i/>
                <w:sz w:val="22"/>
                <w:szCs w:val="22"/>
              </w:rPr>
            </w:pPr>
          </w:p>
        </w:tc>
        <w:tc>
          <w:tcPr>
            <w:tcW w:w="844" w:type="pct"/>
            <w:vAlign w:val="center"/>
          </w:tcPr>
          <w:p w14:paraId="68216E76"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942" w:type="pct"/>
          </w:tcPr>
          <w:p w14:paraId="65979FF9" w14:textId="77777777" w:rsidR="001C08A5" w:rsidRDefault="00000000">
            <w:pPr>
              <w:jc w:val="center"/>
              <w:rPr>
                <w:i/>
                <w:sz w:val="22"/>
                <w:szCs w:val="22"/>
              </w:rPr>
            </w:pPr>
            <w:r>
              <w:rPr>
                <w:b/>
                <w:bCs/>
                <w:i/>
                <w:sz w:val="22"/>
                <w:szCs w:val="22"/>
              </w:rPr>
              <w:t>C5</w:t>
            </w:r>
          </w:p>
        </w:tc>
      </w:tr>
      <w:tr w:rsidR="001C08A5" w14:paraId="34104E37" w14:textId="77777777">
        <w:trPr>
          <w:trHeight w:val="827"/>
        </w:trPr>
        <w:tc>
          <w:tcPr>
            <w:tcW w:w="664" w:type="pct"/>
            <w:vAlign w:val="center"/>
          </w:tcPr>
          <w:p w14:paraId="467D5171" w14:textId="77777777" w:rsidR="001C08A5" w:rsidRDefault="00000000">
            <w:pPr>
              <w:pStyle w:val="BodyText"/>
              <w:jc w:val="center"/>
              <w:rPr>
                <w:bCs w:val="0"/>
                <w:sz w:val="22"/>
                <w:szCs w:val="22"/>
              </w:rPr>
            </w:pPr>
            <w:r>
              <w:rPr>
                <w:bCs w:val="0"/>
                <w:sz w:val="22"/>
                <w:szCs w:val="22"/>
              </w:rPr>
              <w:t>V</w:t>
            </w:r>
          </w:p>
        </w:tc>
        <w:tc>
          <w:tcPr>
            <w:tcW w:w="685" w:type="pct"/>
            <w:vAlign w:val="center"/>
          </w:tcPr>
          <w:p w14:paraId="50AA372A" w14:textId="77777777" w:rsidR="001C08A5" w:rsidRDefault="00000000">
            <w:pPr>
              <w:jc w:val="center"/>
              <w:rPr>
                <w:b/>
                <w:i/>
                <w:sz w:val="22"/>
                <w:szCs w:val="22"/>
              </w:rPr>
            </w:pPr>
            <w:r>
              <w:rPr>
                <w:b/>
                <w:i/>
                <w:sz w:val="22"/>
                <w:szCs w:val="22"/>
              </w:rPr>
              <w:t>EI/REI 15</w:t>
            </w:r>
          </w:p>
          <w:p w14:paraId="2D131B4E" w14:textId="77777777" w:rsidR="001C08A5" w:rsidRDefault="001C08A5">
            <w:pPr>
              <w:jc w:val="center"/>
              <w:rPr>
                <w:b/>
                <w:i/>
                <w:sz w:val="22"/>
                <w:szCs w:val="22"/>
              </w:rPr>
            </w:pPr>
          </w:p>
        </w:tc>
        <w:tc>
          <w:tcPr>
            <w:tcW w:w="868" w:type="pct"/>
            <w:vAlign w:val="center"/>
          </w:tcPr>
          <w:p w14:paraId="510B3908"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995" w:type="pct"/>
            <w:vMerge/>
            <w:vAlign w:val="center"/>
          </w:tcPr>
          <w:p w14:paraId="3697BC80" w14:textId="77777777" w:rsidR="001C08A5" w:rsidRDefault="001C08A5">
            <w:pPr>
              <w:jc w:val="center"/>
              <w:rPr>
                <w:b/>
                <w:i/>
                <w:sz w:val="22"/>
                <w:szCs w:val="22"/>
              </w:rPr>
            </w:pPr>
          </w:p>
        </w:tc>
        <w:tc>
          <w:tcPr>
            <w:tcW w:w="844" w:type="pct"/>
            <w:vAlign w:val="center"/>
          </w:tcPr>
          <w:p w14:paraId="7627571C"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942" w:type="pct"/>
          </w:tcPr>
          <w:p w14:paraId="5E45BA7E" w14:textId="77777777" w:rsidR="001C08A5" w:rsidRDefault="00000000">
            <w:pPr>
              <w:jc w:val="center"/>
              <w:rPr>
                <w:b/>
                <w:bCs/>
                <w:i/>
                <w:sz w:val="22"/>
                <w:szCs w:val="22"/>
              </w:rPr>
            </w:pPr>
            <w:r>
              <w:rPr>
                <w:b/>
                <w:bCs/>
                <w:i/>
                <w:sz w:val="22"/>
                <w:szCs w:val="22"/>
              </w:rPr>
              <w:t>-</w:t>
            </w:r>
          </w:p>
        </w:tc>
      </w:tr>
    </w:tbl>
    <w:p w14:paraId="709550AB" w14:textId="77777777" w:rsidR="001C08A5" w:rsidRDefault="00000000">
      <w:pPr>
        <w:jc w:val="both"/>
        <w:rPr>
          <w:i/>
          <w:sz w:val="22"/>
          <w:szCs w:val="22"/>
          <w:u w:val="single"/>
        </w:rPr>
      </w:pPr>
      <w:r>
        <w:rPr>
          <w:i/>
          <w:sz w:val="22"/>
          <w:szCs w:val="22"/>
          <w:u w:val="single"/>
        </w:rPr>
        <w:t>Note:</w:t>
      </w:r>
    </w:p>
    <w:p w14:paraId="2B44B545" w14:textId="77777777" w:rsidR="001C08A5" w:rsidRDefault="00000000">
      <w:pPr>
        <w:ind w:left="720"/>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05EAE95E"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200771B3"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58A19C7E" w14:textId="77777777" w:rsidR="001C08A5" w:rsidRDefault="00000000">
      <w:pPr>
        <w:numPr>
          <w:ilvl w:val="0"/>
          <w:numId w:val="74"/>
        </w:numPr>
        <w:jc w:val="both"/>
        <w:rPr>
          <w:b/>
          <w:i/>
          <w:sz w:val="22"/>
          <w:szCs w:val="22"/>
        </w:rPr>
      </w:pPr>
      <w:r>
        <w:rPr>
          <w:i/>
          <w:sz w:val="22"/>
          <w:szCs w:val="22"/>
        </w:rPr>
        <w:t>În cazul pereților vitrați cu profil metalic care separă coridoarele de încăperile adiacente nu se ia în considerare clasa de reacție la foc.</w:t>
      </w:r>
    </w:p>
    <w:p w14:paraId="4AFD7E04" w14:textId="77777777" w:rsidR="001C08A5" w:rsidRDefault="001C08A5">
      <w:pPr>
        <w:rPr>
          <w:b/>
          <w:sz w:val="24"/>
          <w:szCs w:val="24"/>
        </w:rPr>
      </w:pPr>
    </w:p>
    <w:p w14:paraId="79D83D09" w14:textId="77777777" w:rsidR="001C08A5" w:rsidRDefault="00000000">
      <w:pPr>
        <w:ind w:firstLine="567"/>
        <w:jc w:val="both"/>
        <w:rPr>
          <w:sz w:val="24"/>
          <w:szCs w:val="24"/>
        </w:rPr>
      </w:pPr>
      <w:r>
        <w:rPr>
          <w:b/>
          <w:sz w:val="24"/>
          <w:szCs w:val="24"/>
        </w:rPr>
        <w:t xml:space="preserve">Art. </w:t>
      </w:r>
      <w:r>
        <w:rPr>
          <w:b/>
          <w:bCs/>
          <w:sz w:val="24"/>
          <w:szCs w:val="24"/>
        </w:rPr>
        <w:t>3.2.2.</w:t>
      </w:r>
      <w:r>
        <w:rPr>
          <w:b/>
          <w:sz w:val="24"/>
          <w:szCs w:val="24"/>
        </w:rPr>
        <w:t xml:space="preserve">8. </w:t>
      </w:r>
      <w:r>
        <w:rPr>
          <w:sz w:val="24"/>
          <w:szCs w:val="24"/>
        </w:rPr>
        <w:t xml:space="preserve">Comportarea la foc a pereţilor, uşilor și planşeelor de separare a holurilor de acces (lobby) din clădirile administrative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_Ref17010 \h </w:instrText>
      </w:r>
      <w:r>
        <w:rPr>
          <w:rFonts w:cs="Mangal"/>
          <w:b/>
          <w:i/>
          <w:iCs/>
          <w:sz w:val="24"/>
          <w:szCs w:val="24"/>
        </w:rPr>
      </w:r>
      <w:r>
        <w:rPr>
          <w:rFonts w:cs="Mangal"/>
          <w:b/>
          <w:i/>
          <w:iCs/>
          <w:sz w:val="24"/>
          <w:szCs w:val="24"/>
        </w:rPr>
        <w:fldChar w:fldCharType="separate"/>
      </w:r>
      <w:r>
        <w:t>Tabelul 59</w:t>
      </w:r>
      <w:r>
        <w:rPr>
          <w:rFonts w:cs="Mangal"/>
          <w:b/>
          <w:i/>
          <w:iCs/>
          <w:sz w:val="24"/>
          <w:szCs w:val="24"/>
        </w:rPr>
        <w:fldChar w:fldCharType="end"/>
      </w:r>
      <w:r>
        <w:rPr>
          <w:sz w:val="24"/>
          <w:szCs w:val="24"/>
        </w:rPr>
        <w:t>.</w:t>
      </w:r>
    </w:p>
    <w:p w14:paraId="77AA7D73" w14:textId="77777777" w:rsidR="001C08A5" w:rsidRDefault="001C08A5">
      <w:pPr>
        <w:rPr>
          <w:b/>
          <w:sz w:val="24"/>
          <w:szCs w:val="24"/>
        </w:rPr>
      </w:pPr>
    </w:p>
    <w:p w14:paraId="629B964B" w14:textId="77777777" w:rsidR="001C08A5" w:rsidRDefault="00000000">
      <w:pPr>
        <w:pStyle w:val="Captiontabel"/>
      </w:pPr>
      <w:bookmarkStart w:id="3357" w:name="_Ref17010"/>
      <w:bookmarkStart w:id="3358" w:name="_Toc162360109"/>
      <w:r>
        <w:t xml:space="preserve">Tabelul </w:t>
      </w:r>
      <w:r>
        <w:fldChar w:fldCharType="begin"/>
      </w:r>
      <w:r>
        <w:instrText xml:space="preserve"> SEQ Tabelul \* ARABIC </w:instrText>
      </w:r>
      <w:r>
        <w:fldChar w:fldCharType="separate"/>
      </w:r>
      <w:r>
        <w:t>59</w:t>
      </w:r>
      <w:r>
        <w:fldChar w:fldCharType="end"/>
      </w:r>
      <w:bookmarkStart w:id="3359" w:name="_Toc17396"/>
      <w:bookmarkStart w:id="3360" w:name="_Toc13396"/>
      <w:bookmarkStart w:id="3361" w:name="_Toc30941"/>
      <w:bookmarkStart w:id="3362" w:name="_Toc8741"/>
      <w:bookmarkStart w:id="3363" w:name="_Toc22635"/>
      <w:bookmarkStart w:id="3364" w:name="_Toc14267"/>
      <w:bookmarkStart w:id="3365" w:name="_Toc4905"/>
      <w:bookmarkStart w:id="3366" w:name="_Toc19621"/>
      <w:bookmarkStart w:id="3367" w:name="_Toc872"/>
      <w:bookmarkStart w:id="3368" w:name="_Toc16040"/>
      <w:bookmarkStart w:id="3369" w:name="_Toc8658"/>
      <w:bookmarkStart w:id="3370" w:name="_Toc24827"/>
      <w:bookmarkStart w:id="3371" w:name="_Toc17509"/>
      <w:bookmarkStart w:id="3372" w:name="_Toc29933"/>
      <w:bookmarkStart w:id="3373" w:name="_Toc6659"/>
      <w:bookmarkStart w:id="3374" w:name="_Toc9783"/>
      <w:bookmarkStart w:id="3375" w:name="_Toc21089"/>
      <w:bookmarkStart w:id="3376" w:name="_Toc7939"/>
      <w:bookmarkStart w:id="3377" w:name="_Toc23532"/>
      <w:bookmarkEnd w:id="3357"/>
      <w:r>
        <w:t>: Comportare la foc a pereţilor, uşilor și planşeelor de separare a holurilor de acces (lobby) din clădirile administrative supraterane cu înălţimi obişnuite</w:t>
      </w:r>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p>
    <w:p w14:paraId="05E19C48" w14:textId="77777777" w:rsidR="001C08A5" w:rsidRDefault="001C08A5">
      <w:pPr>
        <w:jc w:val="both"/>
        <w:rPr>
          <w:b/>
          <w:strike/>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602"/>
        <w:gridCol w:w="1731"/>
        <w:gridCol w:w="1503"/>
        <w:gridCol w:w="1861"/>
        <w:gridCol w:w="1539"/>
      </w:tblGrid>
      <w:tr w:rsidR="001C08A5" w14:paraId="09FC5066" w14:textId="77777777">
        <w:trPr>
          <w:tblHeader/>
        </w:trPr>
        <w:tc>
          <w:tcPr>
            <w:tcW w:w="1262" w:type="dxa"/>
            <w:vMerge w:val="restart"/>
            <w:shd w:val="clear" w:color="auto" w:fill="BFBFBF"/>
          </w:tcPr>
          <w:p w14:paraId="3B353240" w14:textId="77777777" w:rsidR="001C08A5" w:rsidRDefault="001C08A5">
            <w:pPr>
              <w:pStyle w:val="BodyText"/>
              <w:jc w:val="center"/>
              <w:rPr>
                <w:bCs w:val="0"/>
                <w:sz w:val="22"/>
                <w:szCs w:val="22"/>
              </w:rPr>
            </w:pPr>
          </w:p>
          <w:p w14:paraId="02D58EA8" w14:textId="77777777" w:rsidR="001C08A5" w:rsidRDefault="00000000">
            <w:pPr>
              <w:pStyle w:val="BodyText"/>
              <w:jc w:val="center"/>
              <w:rPr>
                <w:bCs w:val="0"/>
                <w:sz w:val="22"/>
                <w:szCs w:val="22"/>
              </w:rPr>
            </w:pPr>
            <w:r>
              <w:rPr>
                <w:bCs w:val="0"/>
                <w:sz w:val="22"/>
                <w:szCs w:val="22"/>
              </w:rPr>
              <w:t>Nivel de stabilitate</w:t>
            </w:r>
          </w:p>
          <w:p w14:paraId="55CE687F"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6A8BA315" w14:textId="77777777" w:rsidR="001C08A5" w:rsidRDefault="00000000">
            <w:pPr>
              <w:jc w:val="center"/>
              <w:rPr>
                <w:b/>
                <w:bCs/>
                <w:i/>
                <w:sz w:val="22"/>
                <w:szCs w:val="22"/>
              </w:rPr>
            </w:pPr>
            <w:r>
              <w:rPr>
                <w:b/>
                <w:bCs/>
                <w:i/>
                <w:sz w:val="22"/>
                <w:szCs w:val="22"/>
              </w:rPr>
              <w:t>Niveluri de comportare la foc admise la holuri (lobby acces constructie)</w:t>
            </w:r>
          </w:p>
        </w:tc>
      </w:tr>
      <w:tr w:rsidR="001C08A5" w14:paraId="679F7025" w14:textId="77777777">
        <w:trPr>
          <w:tblHeader/>
        </w:trPr>
        <w:tc>
          <w:tcPr>
            <w:tcW w:w="1262" w:type="dxa"/>
            <w:vMerge/>
            <w:shd w:val="clear" w:color="auto" w:fill="BFBFBF"/>
          </w:tcPr>
          <w:p w14:paraId="2FA4FE85" w14:textId="77777777" w:rsidR="001C08A5" w:rsidRDefault="001C08A5">
            <w:pPr>
              <w:jc w:val="center"/>
              <w:rPr>
                <w:i/>
                <w:sz w:val="22"/>
                <w:szCs w:val="22"/>
              </w:rPr>
            </w:pPr>
          </w:p>
        </w:tc>
        <w:tc>
          <w:tcPr>
            <w:tcW w:w="3333" w:type="dxa"/>
            <w:gridSpan w:val="2"/>
            <w:shd w:val="clear" w:color="auto" w:fill="BFBFBF"/>
          </w:tcPr>
          <w:p w14:paraId="67C50743" w14:textId="77777777" w:rsidR="001C08A5" w:rsidRDefault="001C08A5">
            <w:pPr>
              <w:jc w:val="center"/>
              <w:rPr>
                <w:b/>
                <w:bCs/>
                <w:i/>
                <w:sz w:val="22"/>
                <w:szCs w:val="22"/>
              </w:rPr>
            </w:pPr>
          </w:p>
          <w:p w14:paraId="0CB4721B" w14:textId="77777777" w:rsidR="001C08A5" w:rsidRDefault="00000000">
            <w:pPr>
              <w:jc w:val="center"/>
              <w:rPr>
                <w:i/>
                <w:sz w:val="22"/>
                <w:szCs w:val="22"/>
              </w:rPr>
            </w:pPr>
            <w:r>
              <w:rPr>
                <w:b/>
                <w:bCs/>
                <w:i/>
                <w:sz w:val="22"/>
                <w:szCs w:val="22"/>
              </w:rPr>
              <w:t>Pereţi</w:t>
            </w:r>
          </w:p>
        </w:tc>
        <w:tc>
          <w:tcPr>
            <w:tcW w:w="3364" w:type="dxa"/>
            <w:gridSpan w:val="2"/>
            <w:shd w:val="clear" w:color="auto" w:fill="BFBFBF"/>
          </w:tcPr>
          <w:p w14:paraId="018A2458"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2BA0EFBA" w14:textId="77777777" w:rsidR="001C08A5" w:rsidRDefault="00000000">
            <w:pPr>
              <w:jc w:val="center"/>
              <w:rPr>
                <w:b/>
                <w:bCs/>
                <w:i/>
                <w:sz w:val="22"/>
                <w:szCs w:val="22"/>
              </w:rPr>
            </w:pPr>
            <w:r>
              <w:rPr>
                <w:b/>
                <w:bCs/>
                <w:i/>
                <w:sz w:val="22"/>
                <w:szCs w:val="22"/>
              </w:rPr>
              <w:t>Uşi</w:t>
            </w:r>
          </w:p>
          <w:p w14:paraId="58198F68" w14:textId="77777777" w:rsidR="001C08A5" w:rsidRDefault="00000000">
            <w:pPr>
              <w:jc w:val="center"/>
              <w:rPr>
                <w:i/>
                <w:sz w:val="22"/>
                <w:szCs w:val="22"/>
              </w:rPr>
            </w:pPr>
            <w:r>
              <w:rPr>
                <w:bCs/>
                <w:i/>
                <w:sz w:val="22"/>
                <w:szCs w:val="22"/>
              </w:rPr>
              <w:t>(cu excepţia celor către case de scări închise)</w:t>
            </w:r>
          </w:p>
        </w:tc>
      </w:tr>
      <w:tr w:rsidR="001C08A5" w14:paraId="65EDFABF" w14:textId="77777777">
        <w:trPr>
          <w:trHeight w:val="827"/>
        </w:trPr>
        <w:tc>
          <w:tcPr>
            <w:tcW w:w="1262" w:type="dxa"/>
            <w:vAlign w:val="center"/>
          </w:tcPr>
          <w:p w14:paraId="6A9E180D" w14:textId="77777777" w:rsidR="001C08A5" w:rsidRDefault="00000000">
            <w:pPr>
              <w:pStyle w:val="BodyText"/>
              <w:jc w:val="center"/>
              <w:rPr>
                <w:bCs w:val="0"/>
                <w:sz w:val="22"/>
                <w:szCs w:val="22"/>
              </w:rPr>
            </w:pPr>
            <w:r>
              <w:rPr>
                <w:bCs w:val="0"/>
                <w:sz w:val="22"/>
                <w:szCs w:val="22"/>
              </w:rPr>
              <w:t>I</w:t>
            </w:r>
          </w:p>
          <w:p w14:paraId="4E0D980B" w14:textId="77777777" w:rsidR="001C08A5" w:rsidRDefault="00000000">
            <w:pPr>
              <w:pStyle w:val="BodyText"/>
              <w:jc w:val="center"/>
              <w:rPr>
                <w:bCs w:val="0"/>
                <w:sz w:val="22"/>
                <w:szCs w:val="22"/>
              </w:rPr>
            </w:pPr>
            <w:r>
              <w:rPr>
                <w:sz w:val="22"/>
                <w:szCs w:val="22"/>
              </w:rPr>
              <w:t>h&lt;28m</w:t>
            </w:r>
          </w:p>
        </w:tc>
        <w:tc>
          <w:tcPr>
            <w:tcW w:w="1602" w:type="dxa"/>
            <w:vAlign w:val="center"/>
          </w:tcPr>
          <w:p w14:paraId="7A8EB85B" w14:textId="77777777" w:rsidR="001C08A5" w:rsidRDefault="00000000">
            <w:pPr>
              <w:jc w:val="center"/>
              <w:rPr>
                <w:b/>
                <w:i/>
                <w:sz w:val="22"/>
                <w:szCs w:val="22"/>
              </w:rPr>
            </w:pPr>
            <w:r>
              <w:rPr>
                <w:b/>
                <w:i/>
                <w:sz w:val="22"/>
                <w:szCs w:val="22"/>
              </w:rPr>
              <w:t>EI/REI 90</w:t>
            </w:r>
          </w:p>
          <w:p w14:paraId="50437D82" w14:textId="77777777" w:rsidR="001C08A5" w:rsidRDefault="001C08A5">
            <w:pPr>
              <w:jc w:val="center"/>
              <w:rPr>
                <w:b/>
                <w:i/>
                <w:sz w:val="22"/>
                <w:szCs w:val="22"/>
              </w:rPr>
            </w:pPr>
          </w:p>
        </w:tc>
        <w:tc>
          <w:tcPr>
            <w:tcW w:w="1731" w:type="dxa"/>
            <w:vAlign w:val="center"/>
          </w:tcPr>
          <w:p w14:paraId="4832C735"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03" w:type="dxa"/>
            <w:vMerge w:val="restart"/>
            <w:textDirection w:val="lrTbV"/>
            <w:vAlign w:val="center"/>
          </w:tcPr>
          <w:p w14:paraId="5F111411" w14:textId="77777777" w:rsidR="001C08A5" w:rsidRDefault="00000000">
            <w:pPr>
              <w:jc w:val="center"/>
              <w:rPr>
                <w:b/>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2D3BCBE2" w14:textId="77777777" w:rsidR="001C08A5" w:rsidRDefault="001C08A5">
            <w:pPr>
              <w:rPr>
                <w:i/>
                <w:sz w:val="22"/>
                <w:szCs w:val="22"/>
              </w:rPr>
            </w:pPr>
          </w:p>
          <w:p w14:paraId="6A0972AB" w14:textId="77777777" w:rsidR="001C08A5" w:rsidRDefault="00000000">
            <w:pP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1861" w:type="dxa"/>
            <w:vAlign w:val="center"/>
          </w:tcPr>
          <w:p w14:paraId="0780F49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vAlign w:val="center"/>
          </w:tcPr>
          <w:p w14:paraId="79344953" w14:textId="77777777" w:rsidR="001C08A5" w:rsidRDefault="00000000">
            <w:pPr>
              <w:jc w:val="center"/>
              <w:rPr>
                <w:i/>
                <w:sz w:val="22"/>
                <w:szCs w:val="22"/>
              </w:rPr>
            </w:pPr>
            <w:r>
              <w:rPr>
                <w:b/>
                <w:bCs/>
                <w:i/>
                <w:sz w:val="22"/>
                <w:szCs w:val="22"/>
              </w:rPr>
              <w:t>E 30 - C5 Sa</w:t>
            </w:r>
          </w:p>
        </w:tc>
      </w:tr>
      <w:tr w:rsidR="001C08A5" w14:paraId="5756AED5" w14:textId="77777777">
        <w:trPr>
          <w:trHeight w:val="827"/>
        </w:trPr>
        <w:tc>
          <w:tcPr>
            <w:tcW w:w="1262" w:type="dxa"/>
            <w:vAlign w:val="center"/>
          </w:tcPr>
          <w:p w14:paraId="75B96C7E" w14:textId="77777777" w:rsidR="001C08A5" w:rsidRDefault="00000000">
            <w:pPr>
              <w:pStyle w:val="BodyText"/>
              <w:jc w:val="center"/>
              <w:rPr>
                <w:bCs w:val="0"/>
                <w:sz w:val="22"/>
                <w:szCs w:val="22"/>
              </w:rPr>
            </w:pPr>
            <w:r>
              <w:rPr>
                <w:bCs w:val="0"/>
                <w:sz w:val="22"/>
                <w:szCs w:val="22"/>
              </w:rPr>
              <w:t>II</w:t>
            </w:r>
          </w:p>
        </w:tc>
        <w:tc>
          <w:tcPr>
            <w:tcW w:w="1602" w:type="dxa"/>
            <w:vAlign w:val="center"/>
          </w:tcPr>
          <w:p w14:paraId="65840852" w14:textId="77777777" w:rsidR="001C08A5" w:rsidRDefault="00000000">
            <w:pPr>
              <w:jc w:val="center"/>
              <w:rPr>
                <w:b/>
                <w:i/>
                <w:sz w:val="22"/>
                <w:szCs w:val="22"/>
              </w:rPr>
            </w:pPr>
            <w:r>
              <w:rPr>
                <w:b/>
                <w:i/>
                <w:sz w:val="22"/>
                <w:szCs w:val="22"/>
              </w:rPr>
              <w:t>EI/REI 90</w:t>
            </w:r>
          </w:p>
          <w:p w14:paraId="15401705" w14:textId="77777777" w:rsidR="001C08A5" w:rsidRDefault="001C08A5">
            <w:pPr>
              <w:jc w:val="center"/>
              <w:rPr>
                <w:b/>
                <w:i/>
                <w:sz w:val="22"/>
                <w:szCs w:val="22"/>
              </w:rPr>
            </w:pPr>
          </w:p>
        </w:tc>
        <w:tc>
          <w:tcPr>
            <w:tcW w:w="1731" w:type="dxa"/>
            <w:vAlign w:val="center"/>
          </w:tcPr>
          <w:p w14:paraId="56BFDD8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03" w:type="dxa"/>
            <w:vMerge/>
            <w:vAlign w:val="center"/>
          </w:tcPr>
          <w:p w14:paraId="19A16AAB" w14:textId="77777777" w:rsidR="001C08A5" w:rsidRDefault="001C08A5">
            <w:pPr>
              <w:jc w:val="center"/>
              <w:rPr>
                <w:b/>
                <w:i/>
                <w:sz w:val="22"/>
                <w:szCs w:val="22"/>
              </w:rPr>
            </w:pPr>
          </w:p>
        </w:tc>
        <w:tc>
          <w:tcPr>
            <w:tcW w:w="1861" w:type="dxa"/>
            <w:vAlign w:val="center"/>
          </w:tcPr>
          <w:p w14:paraId="6085DC9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vAlign w:val="center"/>
          </w:tcPr>
          <w:p w14:paraId="0A6B743B" w14:textId="77777777" w:rsidR="001C08A5" w:rsidRDefault="00000000">
            <w:pPr>
              <w:jc w:val="center"/>
              <w:rPr>
                <w:i/>
                <w:sz w:val="22"/>
                <w:szCs w:val="22"/>
              </w:rPr>
            </w:pPr>
            <w:r>
              <w:rPr>
                <w:b/>
                <w:bCs/>
                <w:i/>
                <w:sz w:val="22"/>
                <w:szCs w:val="22"/>
              </w:rPr>
              <w:t>E 30 - C5 Sa</w:t>
            </w:r>
          </w:p>
        </w:tc>
      </w:tr>
      <w:tr w:rsidR="001C08A5" w14:paraId="5B0DE10D" w14:textId="77777777">
        <w:trPr>
          <w:trHeight w:val="827"/>
        </w:trPr>
        <w:tc>
          <w:tcPr>
            <w:tcW w:w="1262" w:type="dxa"/>
            <w:vAlign w:val="center"/>
          </w:tcPr>
          <w:p w14:paraId="337E1272" w14:textId="77777777" w:rsidR="001C08A5" w:rsidRDefault="00000000">
            <w:pPr>
              <w:pStyle w:val="BodyText"/>
              <w:jc w:val="center"/>
              <w:rPr>
                <w:bCs w:val="0"/>
                <w:sz w:val="22"/>
                <w:szCs w:val="22"/>
              </w:rPr>
            </w:pPr>
            <w:r>
              <w:rPr>
                <w:bCs w:val="0"/>
                <w:sz w:val="22"/>
                <w:szCs w:val="22"/>
              </w:rPr>
              <w:t>II (+)</w:t>
            </w:r>
          </w:p>
        </w:tc>
        <w:tc>
          <w:tcPr>
            <w:tcW w:w="1602" w:type="dxa"/>
            <w:vAlign w:val="center"/>
          </w:tcPr>
          <w:p w14:paraId="06967CEE" w14:textId="77777777" w:rsidR="001C08A5" w:rsidRDefault="00000000">
            <w:pPr>
              <w:jc w:val="center"/>
              <w:rPr>
                <w:b/>
                <w:i/>
                <w:sz w:val="22"/>
                <w:szCs w:val="22"/>
              </w:rPr>
            </w:pPr>
            <w:r>
              <w:rPr>
                <w:b/>
                <w:i/>
                <w:sz w:val="22"/>
                <w:szCs w:val="22"/>
              </w:rPr>
              <w:t>EI/REI 90</w:t>
            </w:r>
          </w:p>
          <w:p w14:paraId="56435DF2" w14:textId="77777777" w:rsidR="001C08A5" w:rsidRDefault="001C08A5">
            <w:pPr>
              <w:jc w:val="center"/>
              <w:rPr>
                <w:b/>
                <w:i/>
                <w:sz w:val="22"/>
                <w:szCs w:val="22"/>
              </w:rPr>
            </w:pPr>
          </w:p>
        </w:tc>
        <w:tc>
          <w:tcPr>
            <w:tcW w:w="1731" w:type="dxa"/>
            <w:vAlign w:val="center"/>
          </w:tcPr>
          <w:p w14:paraId="7178028C"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03" w:type="dxa"/>
            <w:vMerge/>
            <w:vAlign w:val="center"/>
          </w:tcPr>
          <w:p w14:paraId="2406BBCF" w14:textId="77777777" w:rsidR="001C08A5" w:rsidRDefault="001C08A5">
            <w:pPr>
              <w:jc w:val="center"/>
              <w:rPr>
                <w:b/>
                <w:i/>
                <w:sz w:val="22"/>
                <w:szCs w:val="22"/>
              </w:rPr>
            </w:pPr>
          </w:p>
        </w:tc>
        <w:tc>
          <w:tcPr>
            <w:tcW w:w="1861" w:type="dxa"/>
            <w:vAlign w:val="center"/>
          </w:tcPr>
          <w:p w14:paraId="315FACEC" w14:textId="77777777" w:rsidR="001C08A5" w:rsidRDefault="00000000">
            <w:pPr>
              <w:jc w:val="center"/>
              <w:rPr>
                <w:b/>
                <w:i/>
                <w:sz w:val="22"/>
                <w:szCs w:val="22"/>
              </w:rPr>
            </w:pPr>
            <w:r>
              <w:rPr>
                <w:b/>
                <w:i/>
                <w:sz w:val="22"/>
                <w:szCs w:val="22"/>
              </w:rPr>
              <w:t>A1 sau A2-s1d0</w:t>
            </w:r>
          </w:p>
        </w:tc>
        <w:tc>
          <w:tcPr>
            <w:tcW w:w="1539" w:type="dxa"/>
            <w:vAlign w:val="center"/>
          </w:tcPr>
          <w:p w14:paraId="3E79A078" w14:textId="77777777" w:rsidR="001C08A5" w:rsidRDefault="00000000">
            <w:pPr>
              <w:jc w:val="center"/>
              <w:rPr>
                <w:b/>
                <w:bCs/>
                <w:i/>
                <w:sz w:val="22"/>
                <w:szCs w:val="22"/>
              </w:rPr>
            </w:pPr>
            <w:r>
              <w:rPr>
                <w:b/>
                <w:bCs/>
                <w:i/>
                <w:sz w:val="22"/>
                <w:szCs w:val="22"/>
              </w:rPr>
              <w:t>E 30 - C5 Sa</w:t>
            </w:r>
          </w:p>
        </w:tc>
      </w:tr>
      <w:tr w:rsidR="001C08A5" w14:paraId="1EA900D1" w14:textId="77777777">
        <w:trPr>
          <w:trHeight w:val="827"/>
        </w:trPr>
        <w:tc>
          <w:tcPr>
            <w:tcW w:w="1262" w:type="dxa"/>
            <w:vAlign w:val="center"/>
          </w:tcPr>
          <w:p w14:paraId="3E7F982C" w14:textId="77777777" w:rsidR="001C08A5" w:rsidRDefault="00000000">
            <w:pPr>
              <w:pStyle w:val="BodyText"/>
              <w:jc w:val="center"/>
              <w:rPr>
                <w:bCs w:val="0"/>
                <w:sz w:val="22"/>
                <w:szCs w:val="22"/>
              </w:rPr>
            </w:pPr>
            <w:r>
              <w:rPr>
                <w:bCs w:val="0"/>
                <w:sz w:val="22"/>
                <w:szCs w:val="22"/>
              </w:rPr>
              <w:t>III</w:t>
            </w:r>
          </w:p>
        </w:tc>
        <w:tc>
          <w:tcPr>
            <w:tcW w:w="1602" w:type="dxa"/>
            <w:vAlign w:val="center"/>
          </w:tcPr>
          <w:p w14:paraId="3FFDB1C4" w14:textId="77777777" w:rsidR="001C08A5" w:rsidRDefault="00000000">
            <w:pPr>
              <w:jc w:val="center"/>
              <w:rPr>
                <w:b/>
                <w:i/>
                <w:sz w:val="22"/>
                <w:szCs w:val="22"/>
              </w:rPr>
            </w:pPr>
            <w:r>
              <w:rPr>
                <w:b/>
                <w:i/>
                <w:sz w:val="22"/>
                <w:szCs w:val="22"/>
              </w:rPr>
              <w:t>EI/REI 60</w:t>
            </w:r>
          </w:p>
          <w:p w14:paraId="0299879F" w14:textId="77777777" w:rsidR="001C08A5" w:rsidRDefault="001C08A5">
            <w:pPr>
              <w:jc w:val="center"/>
              <w:rPr>
                <w:b/>
                <w:i/>
                <w:sz w:val="22"/>
                <w:szCs w:val="22"/>
              </w:rPr>
            </w:pPr>
          </w:p>
        </w:tc>
        <w:tc>
          <w:tcPr>
            <w:tcW w:w="1731" w:type="dxa"/>
            <w:vAlign w:val="center"/>
          </w:tcPr>
          <w:p w14:paraId="56F482F3"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503" w:type="dxa"/>
            <w:vMerge/>
            <w:vAlign w:val="center"/>
          </w:tcPr>
          <w:p w14:paraId="7D509A37" w14:textId="77777777" w:rsidR="001C08A5" w:rsidRDefault="001C08A5">
            <w:pPr>
              <w:jc w:val="center"/>
              <w:rPr>
                <w:b/>
                <w:i/>
                <w:sz w:val="22"/>
                <w:szCs w:val="22"/>
              </w:rPr>
            </w:pPr>
          </w:p>
        </w:tc>
        <w:tc>
          <w:tcPr>
            <w:tcW w:w="1861" w:type="dxa"/>
            <w:vAlign w:val="center"/>
          </w:tcPr>
          <w:p w14:paraId="18391D14"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621D4DB9" w14:textId="77777777" w:rsidR="001C08A5" w:rsidRDefault="001C08A5">
            <w:pPr>
              <w:jc w:val="center"/>
              <w:rPr>
                <w:i/>
                <w:sz w:val="22"/>
                <w:szCs w:val="22"/>
              </w:rPr>
            </w:pPr>
          </w:p>
        </w:tc>
        <w:tc>
          <w:tcPr>
            <w:tcW w:w="1539" w:type="dxa"/>
            <w:vAlign w:val="center"/>
          </w:tcPr>
          <w:p w14:paraId="193B9AA9" w14:textId="77777777" w:rsidR="001C08A5" w:rsidRDefault="00000000">
            <w:pPr>
              <w:jc w:val="center"/>
              <w:rPr>
                <w:i/>
                <w:sz w:val="22"/>
                <w:szCs w:val="22"/>
              </w:rPr>
            </w:pPr>
            <w:r>
              <w:rPr>
                <w:b/>
                <w:bCs/>
                <w:i/>
                <w:sz w:val="22"/>
                <w:szCs w:val="22"/>
              </w:rPr>
              <w:t>E 15 - C5 Sa</w:t>
            </w:r>
          </w:p>
        </w:tc>
      </w:tr>
      <w:tr w:rsidR="001C08A5" w14:paraId="65499763" w14:textId="77777777">
        <w:trPr>
          <w:trHeight w:val="827"/>
        </w:trPr>
        <w:tc>
          <w:tcPr>
            <w:tcW w:w="1262" w:type="dxa"/>
            <w:vAlign w:val="center"/>
          </w:tcPr>
          <w:p w14:paraId="549106F9" w14:textId="77777777" w:rsidR="001C08A5" w:rsidRDefault="00000000">
            <w:pPr>
              <w:pStyle w:val="BodyText"/>
              <w:jc w:val="center"/>
              <w:rPr>
                <w:bCs w:val="0"/>
                <w:sz w:val="22"/>
                <w:szCs w:val="22"/>
              </w:rPr>
            </w:pPr>
            <w:r>
              <w:rPr>
                <w:bCs w:val="0"/>
                <w:sz w:val="22"/>
                <w:szCs w:val="22"/>
              </w:rPr>
              <w:t>III (+)</w:t>
            </w:r>
          </w:p>
        </w:tc>
        <w:tc>
          <w:tcPr>
            <w:tcW w:w="1602" w:type="dxa"/>
            <w:vAlign w:val="center"/>
          </w:tcPr>
          <w:p w14:paraId="5AC56F5F" w14:textId="77777777" w:rsidR="001C08A5" w:rsidRDefault="00000000">
            <w:pPr>
              <w:jc w:val="center"/>
              <w:rPr>
                <w:b/>
                <w:i/>
                <w:sz w:val="22"/>
                <w:szCs w:val="22"/>
              </w:rPr>
            </w:pPr>
            <w:r>
              <w:rPr>
                <w:b/>
                <w:i/>
                <w:sz w:val="22"/>
                <w:szCs w:val="22"/>
              </w:rPr>
              <w:t>EI/REI 45</w:t>
            </w:r>
          </w:p>
          <w:p w14:paraId="634E8572" w14:textId="77777777" w:rsidR="001C08A5" w:rsidRDefault="001C08A5">
            <w:pPr>
              <w:jc w:val="center"/>
              <w:rPr>
                <w:b/>
                <w:i/>
                <w:sz w:val="22"/>
                <w:szCs w:val="22"/>
              </w:rPr>
            </w:pPr>
          </w:p>
        </w:tc>
        <w:tc>
          <w:tcPr>
            <w:tcW w:w="1731" w:type="dxa"/>
            <w:vAlign w:val="center"/>
          </w:tcPr>
          <w:p w14:paraId="566262DE"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503" w:type="dxa"/>
            <w:vMerge/>
            <w:vAlign w:val="center"/>
          </w:tcPr>
          <w:p w14:paraId="1777D38A" w14:textId="77777777" w:rsidR="001C08A5" w:rsidRDefault="001C08A5">
            <w:pPr>
              <w:jc w:val="center"/>
              <w:rPr>
                <w:b/>
                <w:i/>
                <w:sz w:val="22"/>
                <w:szCs w:val="22"/>
              </w:rPr>
            </w:pPr>
          </w:p>
        </w:tc>
        <w:tc>
          <w:tcPr>
            <w:tcW w:w="1861" w:type="dxa"/>
            <w:vAlign w:val="center"/>
          </w:tcPr>
          <w:p w14:paraId="6AFB1665" w14:textId="77777777" w:rsidR="001C08A5" w:rsidRDefault="00000000">
            <w:pPr>
              <w:jc w:val="center"/>
              <w:rPr>
                <w:i/>
                <w:sz w:val="22"/>
                <w:szCs w:val="22"/>
              </w:rPr>
            </w:pPr>
            <w:r>
              <w:rPr>
                <w:b/>
                <w:i/>
                <w:sz w:val="22"/>
                <w:szCs w:val="22"/>
              </w:rPr>
              <w:t>A1 sau A2-s1d0</w:t>
            </w:r>
          </w:p>
        </w:tc>
        <w:tc>
          <w:tcPr>
            <w:tcW w:w="1539" w:type="dxa"/>
            <w:vAlign w:val="center"/>
          </w:tcPr>
          <w:p w14:paraId="3D97028C" w14:textId="77777777" w:rsidR="001C08A5" w:rsidRDefault="00000000">
            <w:pPr>
              <w:jc w:val="center"/>
              <w:rPr>
                <w:b/>
                <w:bCs/>
                <w:i/>
                <w:sz w:val="22"/>
                <w:szCs w:val="22"/>
              </w:rPr>
            </w:pPr>
            <w:r>
              <w:rPr>
                <w:b/>
                <w:bCs/>
                <w:i/>
                <w:sz w:val="22"/>
                <w:szCs w:val="22"/>
              </w:rPr>
              <w:t>E 15 - C5 Sa</w:t>
            </w:r>
          </w:p>
        </w:tc>
      </w:tr>
      <w:tr w:rsidR="001C08A5" w14:paraId="0507AB8D" w14:textId="77777777">
        <w:trPr>
          <w:trHeight w:val="827"/>
        </w:trPr>
        <w:tc>
          <w:tcPr>
            <w:tcW w:w="1262" w:type="dxa"/>
            <w:vAlign w:val="center"/>
          </w:tcPr>
          <w:p w14:paraId="5341ABB2" w14:textId="77777777" w:rsidR="001C08A5" w:rsidRDefault="00000000">
            <w:pPr>
              <w:pStyle w:val="BodyText"/>
              <w:jc w:val="center"/>
              <w:rPr>
                <w:bCs w:val="0"/>
                <w:sz w:val="22"/>
                <w:szCs w:val="22"/>
              </w:rPr>
            </w:pPr>
            <w:r>
              <w:rPr>
                <w:bCs w:val="0"/>
                <w:sz w:val="22"/>
                <w:szCs w:val="22"/>
              </w:rPr>
              <w:t>IV</w:t>
            </w:r>
          </w:p>
        </w:tc>
        <w:tc>
          <w:tcPr>
            <w:tcW w:w="1602" w:type="dxa"/>
            <w:vAlign w:val="center"/>
          </w:tcPr>
          <w:p w14:paraId="1964B9BD" w14:textId="77777777" w:rsidR="001C08A5" w:rsidRDefault="00000000">
            <w:pPr>
              <w:jc w:val="center"/>
              <w:rPr>
                <w:b/>
                <w:i/>
                <w:sz w:val="22"/>
                <w:szCs w:val="22"/>
              </w:rPr>
            </w:pPr>
            <w:r>
              <w:rPr>
                <w:b/>
                <w:i/>
                <w:sz w:val="22"/>
                <w:szCs w:val="22"/>
              </w:rPr>
              <w:t>EI/REI 30</w:t>
            </w:r>
          </w:p>
          <w:p w14:paraId="4836349E" w14:textId="77777777" w:rsidR="001C08A5" w:rsidRDefault="001C08A5">
            <w:pPr>
              <w:jc w:val="center"/>
              <w:rPr>
                <w:b/>
                <w:i/>
                <w:sz w:val="22"/>
                <w:szCs w:val="22"/>
              </w:rPr>
            </w:pPr>
          </w:p>
        </w:tc>
        <w:tc>
          <w:tcPr>
            <w:tcW w:w="1731" w:type="dxa"/>
            <w:vAlign w:val="center"/>
          </w:tcPr>
          <w:p w14:paraId="628D6AA3"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03" w:type="dxa"/>
            <w:vMerge/>
            <w:vAlign w:val="center"/>
          </w:tcPr>
          <w:p w14:paraId="6640D5DD" w14:textId="77777777" w:rsidR="001C08A5" w:rsidRDefault="001C08A5">
            <w:pPr>
              <w:jc w:val="center"/>
              <w:rPr>
                <w:b/>
                <w:i/>
                <w:sz w:val="22"/>
                <w:szCs w:val="22"/>
              </w:rPr>
            </w:pPr>
          </w:p>
        </w:tc>
        <w:tc>
          <w:tcPr>
            <w:tcW w:w="1861" w:type="dxa"/>
            <w:vAlign w:val="center"/>
          </w:tcPr>
          <w:p w14:paraId="605979A4"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39" w:type="dxa"/>
            <w:vAlign w:val="center"/>
          </w:tcPr>
          <w:p w14:paraId="639C7A2B" w14:textId="77777777" w:rsidR="001C08A5" w:rsidRDefault="00000000">
            <w:pPr>
              <w:jc w:val="center"/>
              <w:rPr>
                <w:i/>
                <w:sz w:val="22"/>
                <w:szCs w:val="22"/>
              </w:rPr>
            </w:pPr>
            <w:r>
              <w:rPr>
                <w:b/>
                <w:bCs/>
                <w:i/>
                <w:sz w:val="22"/>
                <w:szCs w:val="22"/>
              </w:rPr>
              <w:t>C5</w:t>
            </w:r>
          </w:p>
        </w:tc>
      </w:tr>
      <w:tr w:rsidR="001C08A5" w14:paraId="70EF1DA0" w14:textId="77777777">
        <w:trPr>
          <w:trHeight w:val="827"/>
        </w:trPr>
        <w:tc>
          <w:tcPr>
            <w:tcW w:w="1262" w:type="dxa"/>
            <w:vAlign w:val="center"/>
          </w:tcPr>
          <w:p w14:paraId="124CF13B" w14:textId="77777777" w:rsidR="001C08A5" w:rsidRDefault="00000000">
            <w:pPr>
              <w:pStyle w:val="BodyText"/>
              <w:jc w:val="center"/>
              <w:rPr>
                <w:bCs w:val="0"/>
                <w:sz w:val="22"/>
                <w:szCs w:val="22"/>
              </w:rPr>
            </w:pPr>
            <w:r>
              <w:rPr>
                <w:bCs w:val="0"/>
                <w:sz w:val="22"/>
                <w:szCs w:val="22"/>
              </w:rPr>
              <w:t>V</w:t>
            </w:r>
          </w:p>
        </w:tc>
        <w:tc>
          <w:tcPr>
            <w:tcW w:w="1602" w:type="dxa"/>
            <w:vAlign w:val="center"/>
          </w:tcPr>
          <w:p w14:paraId="2CCF0FF8" w14:textId="77777777" w:rsidR="001C08A5" w:rsidRDefault="00000000">
            <w:pPr>
              <w:jc w:val="center"/>
              <w:rPr>
                <w:b/>
                <w:i/>
                <w:sz w:val="22"/>
                <w:szCs w:val="22"/>
              </w:rPr>
            </w:pPr>
            <w:r>
              <w:rPr>
                <w:b/>
                <w:i/>
                <w:sz w:val="22"/>
                <w:szCs w:val="22"/>
              </w:rPr>
              <w:t>EI/REI 15</w:t>
            </w:r>
          </w:p>
          <w:p w14:paraId="1EA46507" w14:textId="77777777" w:rsidR="001C08A5" w:rsidRDefault="001C08A5">
            <w:pPr>
              <w:jc w:val="center"/>
              <w:rPr>
                <w:b/>
                <w:i/>
                <w:sz w:val="22"/>
                <w:szCs w:val="22"/>
              </w:rPr>
            </w:pPr>
          </w:p>
        </w:tc>
        <w:tc>
          <w:tcPr>
            <w:tcW w:w="1731" w:type="dxa"/>
            <w:vAlign w:val="center"/>
          </w:tcPr>
          <w:p w14:paraId="23C47F68"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503" w:type="dxa"/>
            <w:vMerge/>
            <w:vAlign w:val="center"/>
          </w:tcPr>
          <w:p w14:paraId="445885A8" w14:textId="77777777" w:rsidR="001C08A5" w:rsidRDefault="001C08A5">
            <w:pPr>
              <w:jc w:val="center"/>
              <w:rPr>
                <w:b/>
                <w:i/>
                <w:sz w:val="22"/>
                <w:szCs w:val="22"/>
              </w:rPr>
            </w:pPr>
          </w:p>
        </w:tc>
        <w:tc>
          <w:tcPr>
            <w:tcW w:w="1861" w:type="dxa"/>
            <w:vAlign w:val="center"/>
          </w:tcPr>
          <w:p w14:paraId="130C65CF"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539" w:type="dxa"/>
            <w:vAlign w:val="center"/>
          </w:tcPr>
          <w:p w14:paraId="5DAA7FA1" w14:textId="77777777" w:rsidR="001C08A5" w:rsidRDefault="00000000">
            <w:pPr>
              <w:jc w:val="center"/>
              <w:rPr>
                <w:b/>
                <w:bCs/>
                <w:i/>
                <w:sz w:val="22"/>
                <w:szCs w:val="22"/>
              </w:rPr>
            </w:pPr>
            <w:r>
              <w:rPr>
                <w:b/>
                <w:bCs/>
                <w:i/>
                <w:sz w:val="22"/>
                <w:szCs w:val="22"/>
              </w:rPr>
              <w:t>-</w:t>
            </w:r>
          </w:p>
        </w:tc>
      </w:tr>
    </w:tbl>
    <w:p w14:paraId="205070AC" w14:textId="77777777" w:rsidR="001C08A5" w:rsidRDefault="00000000">
      <w:pPr>
        <w:autoSpaceDE w:val="0"/>
        <w:rPr>
          <w:i/>
          <w:sz w:val="22"/>
          <w:szCs w:val="22"/>
        </w:rPr>
      </w:pPr>
      <w:r>
        <w:rPr>
          <w:bCs/>
          <w:i/>
          <w:sz w:val="22"/>
          <w:szCs w:val="22"/>
          <w:u w:val="single"/>
        </w:rPr>
        <w:t>Note:</w:t>
      </w:r>
    </w:p>
    <w:p w14:paraId="48FF3F8A" w14:textId="77777777" w:rsidR="001C08A5" w:rsidRDefault="00000000">
      <w:pPr>
        <w:ind w:left="720"/>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03356ECC"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33E83D89"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6F8D77CD" w14:textId="77777777" w:rsidR="001C08A5" w:rsidRDefault="00000000">
      <w:pPr>
        <w:ind w:left="360"/>
        <w:jc w:val="both"/>
        <w:rPr>
          <w:b/>
          <w:i/>
          <w:sz w:val="22"/>
          <w:szCs w:val="22"/>
        </w:rPr>
      </w:pPr>
      <w:r>
        <w:rPr>
          <w:i/>
          <w:sz w:val="22"/>
          <w:szCs w:val="22"/>
        </w:rPr>
        <w:t>a) În cazul pereților vitrați cu profil metalic care separă coridoarele de încăperile adiacente nu se ia în considerare clasa de reacție la foc.</w:t>
      </w:r>
    </w:p>
    <w:p w14:paraId="2139EBCF" w14:textId="77777777" w:rsidR="001C08A5" w:rsidRDefault="001C08A5">
      <w:pPr>
        <w:jc w:val="both"/>
        <w:rPr>
          <w:sz w:val="24"/>
          <w:szCs w:val="24"/>
        </w:rPr>
      </w:pPr>
    </w:p>
    <w:p w14:paraId="46183340" w14:textId="77777777" w:rsidR="001C08A5" w:rsidRDefault="00000000">
      <w:pPr>
        <w:pStyle w:val="BodyText"/>
        <w:ind w:firstLine="567"/>
      </w:pPr>
      <w:r>
        <w:rPr>
          <w:i w:val="0"/>
          <w:iCs/>
        </w:rPr>
        <w:t xml:space="preserve">Art. </w:t>
      </w:r>
      <w:r>
        <w:rPr>
          <w:bCs w:val="0"/>
          <w:i w:val="0"/>
          <w:iCs/>
        </w:rPr>
        <w:t>3.2.2.</w:t>
      </w:r>
      <w:r>
        <w:rPr>
          <w:i w:val="0"/>
          <w:iCs/>
        </w:rPr>
        <w:t>9.</w:t>
      </w:r>
      <w:r>
        <w:rPr>
          <w:b w:val="0"/>
          <w:bCs w:val="0"/>
          <w:i w:val="0"/>
          <w:iCs/>
        </w:rPr>
        <w:t xml:space="preserve"> Lungimea de evacuare maximă admisă a traseului de parcurs pe căile de evacuare în clădirile administrative (cu excepţia sălilor aglomerate, a clădirilor înalte şi foarte înalte), sunt precizate în </w:t>
      </w:r>
      <w:r>
        <w:rPr>
          <w:b w:val="0"/>
          <w:bCs w:val="0"/>
          <w:i w:val="0"/>
          <w:iCs/>
        </w:rPr>
        <w:fldChar w:fldCharType="begin"/>
      </w:r>
      <w:r>
        <w:rPr>
          <w:b w:val="0"/>
          <w:bCs w:val="0"/>
          <w:i w:val="0"/>
          <w:iCs/>
        </w:rPr>
        <w:instrText xml:space="preserve"> REF _Ref12052 \h </w:instrText>
      </w:r>
      <w:r>
        <w:rPr>
          <w:b w:val="0"/>
          <w:bCs w:val="0"/>
          <w:i w:val="0"/>
          <w:iCs/>
        </w:rPr>
      </w:r>
      <w:r>
        <w:rPr>
          <w:b w:val="0"/>
          <w:bCs w:val="0"/>
          <w:i w:val="0"/>
          <w:iCs/>
        </w:rPr>
        <w:fldChar w:fldCharType="separate"/>
      </w:r>
      <w:r>
        <w:t>Tabelul 60</w:t>
      </w:r>
      <w:r>
        <w:rPr>
          <w:b w:val="0"/>
          <w:bCs w:val="0"/>
          <w:i w:val="0"/>
          <w:iCs/>
        </w:rPr>
        <w:fldChar w:fldCharType="end"/>
      </w:r>
      <w:r>
        <w:t>.</w:t>
      </w:r>
    </w:p>
    <w:p w14:paraId="2972E9EE" w14:textId="77777777" w:rsidR="001C08A5" w:rsidRDefault="001C08A5">
      <w:pPr>
        <w:jc w:val="both"/>
        <w:rPr>
          <w:sz w:val="24"/>
          <w:szCs w:val="24"/>
        </w:rPr>
      </w:pPr>
    </w:p>
    <w:p w14:paraId="38851478" w14:textId="77777777" w:rsidR="001C08A5" w:rsidRDefault="00000000">
      <w:pPr>
        <w:pStyle w:val="Captiontabel"/>
      </w:pPr>
      <w:bookmarkStart w:id="3378" w:name="_Ref12052"/>
      <w:bookmarkStart w:id="3379" w:name="_Toc162360110"/>
      <w:bookmarkStart w:id="3380" w:name="_Ref10847"/>
      <w:r>
        <w:t xml:space="preserve">Tabelul </w:t>
      </w:r>
      <w:r>
        <w:fldChar w:fldCharType="begin"/>
      </w:r>
      <w:r>
        <w:instrText xml:space="preserve"> SEQ Tabelul \* ARABIC </w:instrText>
      </w:r>
      <w:r>
        <w:fldChar w:fldCharType="separate"/>
      </w:r>
      <w:r>
        <w:t>60</w:t>
      </w:r>
      <w:r>
        <w:fldChar w:fldCharType="end"/>
      </w:r>
      <w:bookmarkStart w:id="3381" w:name="_Toc4489"/>
      <w:bookmarkStart w:id="3382" w:name="_Toc22653"/>
      <w:bookmarkStart w:id="3383" w:name="_Toc15407"/>
      <w:bookmarkStart w:id="3384" w:name="_Toc4460"/>
      <w:bookmarkStart w:id="3385" w:name="_Toc25192"/>
      <w:bookmarkStart w:id="3386" w:name="_Toc5420"/>
      <w:bookmarkStart w:id="3387" w:name="_Toc6696"/>
      <w:bookmarkStart w:id="3388" w:name="_Toc17123"/>
      <w:bookmarkStart w:id="3389" w:name="_Toc11139"/>
      <w:bookmarkStart w:id="3390" w:name="_Toc18185"/>
      <w:bookmarkStart w:id="3391" w:name="_Toc10736"/>
      <w:bookmarkStart w:id="3392" w:name="_Toc20971"/>
      <w:bookmarkStart w:id="3393" w:name="_Toc833"/>
      <w:bookmarkStart w:id="3394" w:name="_Toc11347"/>
      <w:bookmarkStart w:id="3395" w:name="_Toc28970"/>
      <w:bookmarkStart w:id="3396" w:name="_Toc28047"/>
      <w:bookmarkStart w:id="3397" w:name="_Toc3115"/>
      <w:bookmarkStart w:id="3398" w:name="_Toc16592"/>
      <w:bookmarkStart w:id="3399" w:name="_Toc28817"/>
      <w:bookmarkEnd w:id="3378"/>
      <w:r>
        <w:t>: Lungimi de evacuare în clădiri administrative supraterane cu înălţimi obişnuite</w:t>
      </w:r>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p>
    <w:p w14:paraId="646F2498" w14:textId="77777777" w:rsidR="001C08A5" w:rsidRDefault="001C08A5">
      <w:pPr>
        <w:jc w:val="both"/>
        <w:rPr>
          <w:sz w:val="24"/>
          <w:szCs w:val="24"/>
        </w:rPr>
      </w:pPr>
    </w:p>
    <w:tbl>
      <w:tblPr>
        <w:tblW w:w="0" w:type="auto"/>
        <w:tblInd w:w="176" w:type="dxa"/>
        <w:tblLook w:val="04A0" w:firstRow="1" w:lastRow="0" w:firstColumn="1" w:lastColumn="0" w:noHBand="0" w:noVBand="1"/>
      </w:tblPr>
      <w:tblGrid>
        <w:gridCol w:w="593"/>
        <w:gridCol w:w="3310"/>
        <w:gridCol w:w="1691"/>
        <w:gridCol w:w="1177"/>
        <w:gridCol w:w="1527"/>
        <w:gridCol w:w="1145"/>
      </w:tblGrid>
      <w:tr w:rsidR="001C08A5" w14:paraId="1AEADA7D" w14:textId="77777777">
        <w:tc>
          <w:tcPr>
            <w:tcW w:w="0" w:type="auto"/>
            <w:vMerge w:val="restart"/>
            <w:tcBorders>
              <w:top w:val="single" w:sz="8" w:space="0" w:color="000000"/>
              <w:left w:val="single" w:sz="8" w:space="0" w:color="000000"/>
              <w:bottom w:val="single" w:sz="4" w:space="0" w:color="000000"/>
            </w:tcBorders>
            <w:shd w:val="clear" w:color="auto" w:fill="BFBFBF"/>
          </w:tcPr>
          <w:p w14:paraId="16DBD5BB" w14:textId="77777777" w:rsidR="001C08A5" w:rsidRDefault="001C08A5">
            <w:pPr>
              <w:snapToGrid w:val="0"/>
              <w:jc w:val="center"/>
              <w:rPr>
                <w:b/>
                <w:i/>
                <w:iCs/>
                <w:sz w:val="22"/>
                <w:szCs w:val="22"/>
              </w:rPr>
            </w:pPr>
          </w:p>
          <w:p w14:paraId="0AA319BD" w14:textId="77777777" w:rsidR="001C08A5" w:rsidRDefault="001C08A5">
            <w:pPr>
              <w:jc w:val="center"/>
              <w:rPr>
                <w:b/>
                <w:i/>
                <w:iCs/>
                <w:sz w:val="22"/>
                <w:szCs w:val="22"/>
              </w:rPr>
            </w:pPr>
          </w:p>
          <w:p w14:paraId="2E1F20FB" w14:textId="77777777" w:rsidR="001C08A5" w:rsidRDefault="00000000">
            <w:pPr>
              <w:jc w:val="center"/>
              <w:rPr>
                <w:i/>
                <w:iCs/>
                <w:sz w:val="22"/>
                <w:szCs w:val="22"/>
              </w:rPr>
            </w:pPr>
            <w:r>
              <w:rPr>
                <w:b/>
                <w:i/>
                <w:iCs/>
                <w:sz w:val="22"/>
                <w:szCs w:val="22"/>
              </w:rPr>
              <w:t>Nr. crt.</w:t>
            </w:r>
          </w:p>
          <w:p w14:paraId="7B41154C" w14:textId="77777777" w:rsidR="001C08A5" w:rsidRDefault="001C08A5">
            <w:pPr>
              <w:jc w:val="center"/>
              <w:rPr>
                <w:i/>
                <w:iCs/>
                <w:sz w:val="22"/>
                <w:szCs w:val="22"/>
              </w:rPr>
            </w:pPr>
          </w:p>
        </w:tc>
        <w:tc>
          <w:tcPr>
            <w:tcW w:w="0" w:type="auto"/>
            <w:vMerge w:val="restart"/>
            <w:tcBorders>
              <w:top w:val="single" w:sz="8" w:space="0" w:color="000000"/>
              <w:left w:val="single" w:sz="4" w:space="0" w:color="000000"/>
              <w:bottom w:val="single" w:sz="4" w:space="0" w:color="000000"/>
            </w:tcBorders>
            <w:shd w:val="clear" w:color="auto" w:fill="BFBFBF"/>
          </w:tcPr>
          <w:p w14:paraId="0ADAF5D4" w14:textId="77777777" w:rsidR="001C08A5" w:rsidRDefault="001C08A5">
            <w:pPr>
              <w:snapToGrid w:val="0"/>
              <w:jc w:val="center"/>
              <w:rPr>
                <w:b/>
                <w:i/>
                <w:iCs/>
                <w:sz w:val="22"/>
                <w:szCs w:val="22"/>
              </w:rPr>
            </w:pPr>
          </w:p>
          <w:p w14:paraId="0D158B2E" w14:textId="77777777" w:rsidR="001C08A5" w:rsidRDefault="001C08A5">
            <w:pPr>
              <w:jc w:val="center"/>
              <w:rPr>
                <w:b/>
                <w:i/>
                <w:iCs/>
                <w:sz w:val="22"/>
                <w:szCs w:val="22"/>
              </w:rPr>
            </w:pPr>
          </w:p>
          <w:p w14:paraId="0E8909ED" w14:textId="77777777" w:rsidR="001C08A5" w:rsidRDefault="00000000">
            <w:pPr>
              <w:jc w:val="center"/>
              <w:rPr>
                <w:b/>
                <w:i/>
                <w:iCs/>
                <w:sz w:val="22"/>
                <w:szCs w:val="22"/>
              </w:rPr>
            </w:pPr>
            <w:r>
              <w:rPr>
                <w:b/>
                <w:i/>
                <w:iCs/>
                <w:sz w:val="22"/>
                <w:szCs w:val="22"/>
              </w:rPr>
              <w:t>Clădiri administrative</w:t>
            </w:r>
          </w:p>
        </w:tc>
        <w:tc>
          <w:tcPr>
            <w:tcW w:w="0" w:type="auto"/>
            <w:vMerge w:val="restart"/>
            <w:tcBorders>
              <w:top w:val="single" w:sz="8" w:space="0" w:color="000000"/>
              <w:left w:val="single" w:sz="4" w:space="0" w:color="000000"/>
              <w:bottom w:val="single" w:sz="4" w:space="0" w:color="000000"/>
            </w:tcBorders>
            <w:shd w:val="clear" w:color="auto" w:fill="BFBFBF"/>
          </w:tcPr>
          <w:p w14:paraId="3A4E9500" w14:textId="77777777" w:rsidR="001C08A5" w:rsidRDefault="00000000">
            <w:pPr>
              <w:jc w:val="center"/>
              <w:rPr>
                <w:b/>
                <w:i/>
                <w:iCs/>
                <w:sz w:val="22"/>
                <w:szCs w:val="22"/>
              </w:rPr>
            </w:pPr>
            <w:r>
              <w:rPr>
                <w:b/>
                <w:i/>
                <w:iCs/>
                <w:sz w:val="22"/>
                <w:szCs w:val="22"/>
              </w:rPr>
              <w:t>Nivel de stabilitate  la incendiu asigurat</w:t>
            </w:r>
          </w:p>
        </w:tc>
        <w:tc>
          <w:tcPr>
            <w:tcW w:w="0" w:type="auto"/>
            <w:gridSpan w:val="2"/>
            <w:tcBorders>
              <w:top w:val="single" w:sz="8" w:space="0" w:color="000000"/>
              <w:left w:val="single" w:sz="4" w:space="0" w:color="000000"/>
              <w:bottom w:val="single" w:sz="4" w:space="0" w:color="000000"/>
            </w:tcBorders>
            <w:shd w:val="clear" w:color="auto" w:fill="BFBFBF"/>
          </w:tcPr>
          <w:p w14:paraId="73B6FAE9" w14:textId="77777777" w:rsidR="001C08A5" w:rsidRDefault="00000000">
            <w:pPr>
              <w:jc w:val="center"/>
              <w:rPr>
                <w:b/>
                <w:i/>
                <w:iCs/>
                <w:sz w:val="22"/>
                <w:szCs w:val="22"/>
              </w:rPr>
            </w:pPr>
            <w:r>
              <w:rPr>
                <w:b/>
                <w:i/>
                <w:iCs/>
                <w:sz w:val="22"/>
                <w:szCs w:val="22"/>
              </w:rPr>
              <w:t xml:space="preserve">Lungime maximă de evacuare </w:t>
            </w:r>
          </w:p>
        </w:tc>
        <w:tc>
          <w:tcPr>
            <w:tcW w:w="0" w:type="auto"/>
            <w:vMerge w:val="restart"/>
            <w:tcBorders>
              <w:top w:val="single" w:sz="8" w:space="0" w:color="000000"/>
              <w:left w:val="single" w:sz="4" w:space="0" w:color="000000"/>
              <w:bottom w:val="single" w:sz="4" w:space="0" w:color="000000"/>
              <w:right w:val="single" w:sz="8" w:space="0" w:color="000000"/>
            </w:tcBorders>
            <w:shd w:val="clear" w:color="auto" w:fill="BFBFBF"/>
          </w:tcPr>
          <w:p w14:paraId="4DC4BBA6" w14:textId="77777777" w:rsidR="001C08A5" w:rsidRDefault="001C08A5">
            <w:pPr>
              <w:snapToGrid w:val="0"/>
              <w:jc w:val="center"/>
              <w:rPr>
                <w:b/>
                <w:i/>
                <w:iCs/>
                <w:sz w:val="22"/>
                <w:szCs w:val="22"/>
              </w:rPr>
            </w:pPr>
          </w:p>
          <w:p w14:paraId="0F5FA4A7" w14:textId="77777777" w:rsidR="001C08A5" w:rsidRDefault="001C08A5">
            <w:pPr>
              <w:jc w:val="center"/>
              <w:rPr>
                <w:b/>
                <w:i/>
                <w:iCs/>
                <w:sz w:val="22"/>
                <w:szCs w:val="22"/>
              </w:rPr>
            </w:pPr>
          </w:p>
          <w:p w14:paraId="633C49DF" w14:textId="77777777" w:rsidR="001C08A5" w:rsidRDefault="00000000">
            <w:pPr>
              <w:jc w:val="center"/>
              <w:rPr>
                <w:i/>
                <w:iCs/>
                <w:sz w:val="22"/>
                <w:szCs w:val="22"/>
              </w:rPr>
            </w:pPr>
            <w:r>
              <w:rPr>
                <w:b/>
                <w:i/>
                <w:iCs/>
                <w:sz w:val="22"/>
                <w:szCs w:val="22"/>
              </w:rPr>
              <w:t>Observaţii</w:t>
            </w:r>
          </w:p>
        </w:tc>
      </w:tr>
      <w:tr w:rsidR="001C08A5" w14:paraId="7214F737" w14:textId="77777777">
        <w:tc>
          <w:tcPr>
            <w:tcW w:w="0" w:type="auto"/>
            <w:vMerge/>
            <w:tcBorders>
              <w:top w:val="single" w:sz="4" w:space="0" w:color="000000"/>
              <w:left w:val="single" w:sz="8" w:space="0" w:color="000000"/>
              <w:bottom w:val="single" w:sz="4" w:space="0" w:color="000000"/>
            </w:tcBorders>
            <w:shd w:val="clear" w:color="auto" w:fill="auto"/>
          </w:tcPr>
          <w:p w14:paraId="3ECCA528"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shd w:val="clear" w:color="auto" w:fill="auto"/>
          </w:tcPr>
          <w:p w14:paraId="4BE8CEC4"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shd w:val="clear" w:color="auto" w:fill="auto"/>
          </w:tcPr>
          <w:p w14:paraId="3D5109DF"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4" w:space="0" w:color="000000"/>
            </w:tcBorders>
            <w:shd w:val="clear" w:color="auto" w:fill="BFBFBF"/>
          </w:tcPr>
          <w:p w14:paraId="68F49397" w14:textId="77777777" w:rsidR="001C08A5" w:rsidRDefault="00000000">
            <w:pPr>
              <w:jc w:val="center"/>
              <w:rPr>
                <w:b/>
                <w:i/>
                <w:iCs/>
                <w:sz w:val="22"/>
                <w:szCs w:val="22"/>
              </w:rPr>
            </w:pPr>
            <w:r>
              <w:rPr>
                <w:b/>
                <w:i/>
                <w:iCs/>
                <w:sz w:val="22"/>
                <w:szCs w:val="22"/>
              </w:rPr>
              <w:t>în două direcţii diferite</w:t>
            </w:r>
          </w:p>
        </w:tc>
        <w:tc>
          <w:tcPr>
            <w:tcW w:w="0" w:type="auto"/>
            <w:tcBorders>
              <w:top w:val="single" w:sz="4" w:space="0" w:color="000000"/>
              <w:left w:val="single" w:sz="4" w:space="0" w:color="000000"/>
              <w:bottom w:val="single" w:sz="4" w:space="0" w:color="000000"/>
            </w:tcBorders>
            <w:shd w:val="clear" w:color="auto" w:fill="BFBFBF"/>
          </w:tcPr>
          <w:p w14:paraId="09CEF10F" w14:textId="77777777" w:rsidR="001C08A5" w:rsidRDefault="00000000">
            <w:pPr>
              <w:jc w:val="center"/>
              <w:rPr>
                <w:i/>
                <w:iCs/>
                <w:sz w:val="22"/>
                <w:szCs w:val="22"/>
              </w:rPr>
            </w:pPr>
            <w:r>
              <w:rPr>
                <w:b/>
                <w:i/>
                <w:iCs/>
                <w:sz w:val="22"/>
                <w:szCs w:val="22"/>
              </w:rPr>
              <w:t>într-o direcţie (coridor înfundat)</w:t>
            </w:r>
          </w:p>
        </w:tc>
        <w:tc>
          <w:tcPr>
            <w:tcW w:w="0" w:type="auto"/>
            <w:vMerge/>
            <w:tcBorders>
              <w:top w:val="single" w:sz="4" w:space="0" w:color="000000"/>
              <w:left w:val="single" w:sz="4" w:space="0" w:color="000000"/>
              <w:bottom w:val="single" w:sz="4" w:space="0" w:color="000000"/>
              <w:right w:val="single" w:sz="8" w:space="0" w:color="000000"/>
            </w:tcBorders>
          </w:tcPr>
          <w:p w14:paraId="630280D3" w14:textId="77777777" w:rsidR="001C08A5" w:rsidRDefault="001C08A5">
            <w:pPr>
              <w:snapToGrid w:val="0"/>
              <w:rPr>
                <w:i/>
                <w:iCs/>
                <w:sz w:val="22"/>
                <w:szCs w:val="22"/>
              </w:rPr>
            </w:pPr>
          </w:p>
        </w:tc>
      </w:tr>
      <w:tr w:rsidR="001C08A5" w14:paraId="55F9A2FF" w14:textId="77777777">
        <w:tc>
          <w:tcPr>
            <w:tcW w:w="0" w:type="auto"/>
            <w:vMerge/>
            <w:tcBorders>
              <w:top w:val="single" w:sz="4" w:space="0" w:color="000000"/>
              <w:left w:val="single" w:sz="8" w:space="0" w:color="000000"/>
              <w:bottom w:val="single" w:sz="8" w:space="0" w:color="000000"/>
            </w:tcBorders>
            <w:shd w:val="clear" w:color="auto" w:fill="auto"/>
          </w:tcPr>
          <w:p w14:paraId="295CEDA5"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8" w:space="0" w:color="000000"/>
            </w:tcBorders>
            <w:shd w:val="clear" w:color="auto" w:fill="auto"/>
          </w:tcPr>
          <w:p w14:paraId="6D15A5BC"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8" w:space="0" w:color="000000"/>
            </w:tcBorders>
            <w:shd w:val="clear" w:color="auto" w:fill="auto"/>
          </w:tcPr>
          <w:p w14:paraId="7284127B"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8" w:space="0" w:color="000000"/>
            </w:tcBorders>
            <w:shd w:val="clear" w:color="auto" w:fill="BFBFBF"/>
          </w:tcPr>
          <w:p w14:paraId="4FC5FC2F" w14:textId="77777777" w:rsidR="001C08A5" w:rsidRDefault="00000000">
            <w:pPr>
              <w:jc w:val="center"/>
              <w:rPr>
                <w:b/>
                <w:i/>
                <w:iCs/>
                <w:sz w:val="22"/>
                <w:szCs w:val="22"/>
              </w:rPr>
            </w:pPr>
            <w:r>
              <w:rPr>
                <w:b/>
                <w:i/>
                <w:iCs/>
                <w:sz w:val="22"/>
                <w:szCs w:val="22"/>
              </w:rPr>
              <w:t>metri</w:t>
            </w:r>
          </w:p>
        </w:tc>
        <w:tc>
          <w:tcPr>
            <w:tcW w:w="0" w:type="auto"/>
            <w:tcBorders>
              <w:top w:val="single" w:sz="4" w:space="0" w:color="000000"/>
              <w:left w:val="single" w:sz="4" w:space="0" w:color="000000"/>
              <w:bottom w:val="single" w:sz="8" w:space="0" w:color="000000"/>
            </w:tcBorders>
            <w:shd w:val="clear" w:color="auto" w:fill="BFBFBF"/>
          </w:tcPr>
          <w:p w14:paraId="79686885" w14:textId="77777777" w:rsidR="001C08A5" w:rsidRDefault="00000000">
            <w:pPr>
              <w:jc w:val="center"/>
              <w:rPr>
                <w:i/>
                <w:iCs/>
                <w:sz w:val="22"/>
                <w:szCs w:val="22"/>
              </w:rPr>
            </w:pPr>
            <w:r>
              <w:rPr>
                <w:b/>
                <w:i/>
                <w:iCs/>
                <w:sz w:val="22"/>
                <w:szCs w:val="22"/>
              </w:rPr>
              <w:t>metri</w:t>
            </w:r>
          </w:p>
        </w:tc>
        <w:tc>
          <w:tcPr>
            <w:tcW w:w="0" w:type="auto"/>
            <w:vMerge/>
            <w:tcBorders>
              <w:top w:val="single" w:sz="4" w:space="0" w:color="000000"/>
              <w:left w:val="single" w:sz="4" w:space="0" w:color="000000"/>
              <w:bottom w:val="single" w:sz="8" w:space="0" w:color="000000"/>
              <w:right w:val="single" w:sz="8" w:space="0" w:color="000000"/>
            </w:tcBorders>
          </w:tcPr>
          <w:p w14:paraId="357EA12A" w14:textId="77777777" w:rsidR="001C08A5" w:rsidRDefault="001C08A5">
            <w:pPr>
              <w:snapToGrid w:val="0"/>
              <w:rPr>
                <w:i/>
                <w:iCs/>
                <w:sz w:val="22"/>
                <w:szCs w:val="22"/>
              </w:rPr>
            </w:pPr>
          </w:p>
        </w:tc>
      </w:tr>
      <w:tr w:rsidR="001C08A5" w14:paraId="518AF112" w14:textId="77777777">
        <w:trPr>
          <w:trHeight w:val="275"/>
        </w:trPr>
        <w:tc>
          <w:tcPr>
            <w:tcW w:w="0" w:type="auto"/>
            <w:vMerge w:val="restart"/>
            <w:tcBorders>
              <w:top w:val="single" w:sz="8" w:space="0" w:color="000000"/>
              <w:left w:val="single" w:sz="4" w:space="0" w:color="000000"/>
              <w:bottom w:val="single" w:sz="4" w:space="0" w:color="000000"/>
            </w:tcBorders>
          </w:tcPr>
          <w:p w14:paraId="64EEE933" w14:textId="77777777" w:rsidR="001C08A5" w:rsidRDefault="001C08A5">
            <w:pPr>
              <w:snapToGrid w:val="0"/>
              <w:jc w:val="center"/>
              <w:rPr>
                <w:i/>
                <w:iCs/>
                <w:sz w:val="22"/>
                <w:szCs w:val="22"/>
              </w:rPr>
            </w:pPr>
          </w:p>
          <w:p w14:paraId="3C753E31" w14:textId="77777777" w:rsidR="001C08A5" w:rsidRDefault="00000000">
            <w:pPr>
              <w:jc w:val="center"/>
              <w:rPr>
                <w:i/>
                <w:iCs/>
                <w:sz w:val="22"/>
                <w:szCs w:val="22"/>
              </w:rPr>
            </w:pPr>
            <w:r>
              <w:rPr>
                <w:i/>
                <w:iCs/>
                <w:sz w:val="22"/>
                <w:szCs w:val="22"/>
              </w:rPr>
              <w:t>1.</w:t>
            </w:r>
          </w:p>
        </w:tc>
        <w:tc>
          <w:tcPr>
            <w:tcW w:w="0" w:type="auto"/>
            <w:vMerge w:val="restart"/>
            <w:tcBorders>
              <w:top w:val="single" w:sz="8" w:space="0" w:color="000000"/>
              <w:left w:val="single" w:sz="4" w:space="0" w:color="000000"/>
              <w:bottom w:val="single" w:sz="4" w:space="0" w:color="000000"/>
            </w:tcBorders>
          </w:tcPr>
          <w:p w14:paraId="78DFB085" w14:textId="77777777" w:rsidR="001C08A5" w:rsidRDefault="00000000">
            <w:pPr>
              <w:jc w:val="center"/>
              <w:rPr>
                <w:b/>
                <w:i/>
                <w:iCs/>
                <w:sz w:val="22"/>
                <w:szCs w:val="22"/>
              </w:rPr>
            </w:pPr>
            <w:r>
              <w:rPr>
                <w:i/>
                <w:iCs/>
                <w:sz w:val="22"/>
                <w:szCs w:val="22"/>
              </w:rPr>
              <w:t>Clădiri ale autorităţilor și instituţiilor centrale sau locale, financiar-bancare, sindicate, partide, birouri etc.</w:t>
            </w:r>
          </w:p>
        </w:tc>
        <w:tc>
          <w:tcPr>
            <w:tcW w:w="0" w:type="auto"/>
            <w:tcBorders>
              <w:top w:val="single" w:sz="8" w:space="0" w:color="000000"/>
              <w:left w:val="single" w:sz="4" w:space="0" w:color="000000"/>
              <w:bottom w:val="single" w:sz="4" w:space="0" w:color="000000"/>
            </w:tcBorders>
          </w:tcPr>
          <w:p w14:paraId="3883CC89" w14:textId="77777777" w:rsidR="001C08A5" w:rsidRDefault="00000000">
            <w:pPr>
              <w:jc w:val="center"/>
              <w:rPr>
                <w:i/>
                <w:iCs/>
                <w:sz w:val="22"/>
                <w:szCs w:val="22"/>
              </w:rPr>
            </w:pPr>
            <w:r>
              <w:rPr>
                <w:b/>
                <w:i/>
                <w:iCs/>
                <w:sz w:val="22"/>
                <w:szCs w:val="22"/>
              </w:rPr>
              <w:t>I și II</w:t>
            </w:r>
          </w:p>
        </w:tc>
        <w:tc>
          <w:tcPr>
            <w:tcW w:w="0" w:type="auto"/>
            <w:tcBorders>
              <w:top w:val="single" w:sz="8" w:space="0" w:color="000000"/>
              <w:left w:val="single" w:sz="4" w:space="0" w:color="000000"/>
              <w:bottom w:val="single" w:sz="4" w:space="0" w:color="000000"/>
            </w:tcBorders>
          </w:tcPr>
          <w:p w14:paraId="334A851A" w14:textId="77777777" w:rsidR="001C08A5" w:rsidRDefault="00000000">
            <w:pPr>
              <w:jc w:val="center"/>
              <w:rPr>
                <w:b/>
                <w:bCs/>
                <w:i/>
                <w:iCs/>
                <w:sz w:val="22"/>
                <w:szCs w:val="22"/>
              </w:rPr>
            </w:pPr>
            <w:r>
              <w:rPr>
                <w:b/>
                <w:bCs/>
                <w:i/>
                <w:iCs/>
                <w:sz w:val="22"/>
                <w:szCs w:val="22"/>
              </w:rPr>
              <w:t>45</w:t>
            </w:r>
          </w:p>
        </w:tc>
        <w:tc>
          <w:tcPr>
            <w:tcW w:w="0" w:type="auto"/>
            <w:tcBorders>
              <w:top w:val="single" w:sz="8" w:space="0" w:color="000000"/>
              <w:left w:val="single" w:sz="4" w:space="0" w:color="000000"/>
              <w:bottom w:val="single" w:sz="4" w:space="0" w:color="000000"/>
            </w:tcBorders>
          </w:tcPr>
          <w:p w14:paraId="4CE10E69" w14:textId="77777777" w:rsidR="001C08A5" w:rsidRDefault="00000000">
            <w:pPr>
              <w:jc w:val="center"/>
              <w:rPr>
                <w:b/>
                <w:bCs/>
                <w:i/>
                <w:iCs/>
                <w:sz w:val="22"/>
                <w:szCs w:val="22"/>
              </w:rPr>
            </w:pPr>
            <w:r>
              <w:rPr>
                <w:b/>
                <w:bCs/>
                <w:i/>
                <w:iCs/>
                <w:sz w:val="22"/>
                <w:szCs w:val="22"/>
              </w:rPr>
              <w:t>23</w:t>
            </w:r>
          </w:p>
        </w:tc>
        <w:tc>
          <w:tcPr>
            <w:tcW w:w="0" w:type="auto"/>
            <w:vMerge w:val="restart"/>
            <w:tcBorders>
              <w:top w:val="single" w:sz="8" w:space="0" w:color="000000"/>
              <w:left w:val="single" w:sz="4" w:space="0" w:color="000000"/>
              <w:bottom w:val="single" w:sz="4" w:space="0" w:color="000000"/>
              <w:right w:val="single" w:sz="4" w:space="0" w:color="000000"/>
            </w:tcBorders>
          </w:tcPr>
          <w:p w14:paraId="70F2B56C" w14:textId="77777777" w:rsidR="001C08A5" w:rsidRDefault="001C08A5">
            <w:pPr>
              <w:snapToGrid w:val="0"/>
              <w:jc w:val="center"/>
              <w:rPr>
                <w:i/>
                <w:iCs/>
                <w:sz w:val="22"/>
                <w:szCs w:val="22"/>
              </w:rPr>
            </w:pPr>
          </w:p>
          <w:p w14:paraId="2A26E3ED" w14:textId="77777777" w:rsidR="001C08A5" w:rsidRDefault="001C08A5">
            <w:pPr>
              <w:jc w:val="center"/>
              <w:rPr>
                <w:i/>
                <w:iCs/>
                <w:sz w:val="22"/>
                <w:szCs w:val="22"/>
              </w:rPr>
            </w:pPr>
          </w:p>
          <w:p w14:paraId="3102BFF5" w14:textId="77777777" w:rsidR="001C08A5" w:rsidRDefault="00000000">
            <w:pPr>
              <w:jc w:val="center"/>
              <w:rPr>
                <w:i/>
                <w:iCs/>
                <w:sz w:val="22"/>
                <w:szCs w:val="22"/>
              </w:rPr>
            </w:pPr>
            <w:r>
              <w:rPr>
                <w:i/>
                <w:iCs/>
                <w:sz w:val="22"/>
                <w:szCs w:val="22"/>
              </w:rPr>
              <w:t>-</w:t>
            </w:r>
          </w:p>
        </w:tc>
      </w:tr>
      <w:tr w:rsidR="001C08A5" w14:paraId="1651D7F9" w14:textId="77777777">
        <w:trPr>
          <w:trHeight w:val="275"/>
        </w:trPr>
        <w:tc>
          <w:tcPr>
            <w:tcW w:w="0" w:type="auto"/>
            <w:vMerge/>
            <w:tcBorders>
              <w:top w:val="single" w:sz="4" w:space="0" w:color="000000"/>
              <w:left w:val="single" w:sz="4" w:space="0" w:color="000000"/>
              <w:bottom w:val="single" w:sz="4" w:space="0" w:color="000000"/>
            </w:tcBorders>
          </w:tcPr>
          <w:p w14:paraId="5A4F1BED"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tcPr>
          <w:p w14:paraId="27EF2B84"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4" w:space="0" w:color="000000"/>
            </w:tcBorders>
          </w:tcPr>
          <w:p w14:paraId="1D652752" w14:textId="77777777" w:rsidR="001C08A5" w:rsidRDefault="00000000">
            <w:pPr>
              <w:jc w:val="center"/>
              <w:rPr>
                <w:i/>
                <w:iCs/>
                <w:sz w:val="22"/>
                <w:szCs w:val="22"/>
              </w:rPr>
            </w:pPr>
            <w:r>
              <w:rPr>
                <w:b/>
                <w:i/>
                <w:iCs/>
                <w:sz w:val="22"/>
                <w:szCs w:val="22"/>
              </w:rPr>
              <w:t>III</w:t>
            </w:r>
          </w:p>
        </w:tc>
        <w:tc>
          <w:tcPr>
            <w:tcW w:w="0" w:type="auto"/>
            <w:tcBorders>
              <w:top w:val="single" w:sz="4" w:space="0" w:color="000000"/>
              <w:left w:val="single" w:sz="4" w:space="0" w:color="000000"/>
              <w:bottom w:val="single" w:sz="4" w:space="0" w:color="000000"/>
            </w:tcBorders>
          </w:tcPr>
          <w:p w14:paraId="4CA22963" w14:textId="77777777" w:rsidR="001C08A5" w:rsidRDefault="00000000">
            <w:pPr>
              <w:jc w:val="center"/>
              <w:rPr>
                <w:b/>
                <w:bCs/>
                <w:i/>
                <w:iCs/>
                <w:sz w:val="22"/>
                <w:szCs w:val="22"/>
              </w:rPr>
            </w:pPr>
            <w:r>
              <w:rPr>
                <w:b/>
                <w:bCs/>
                <w:i/>
                <w:iCs/>
                <w:sz w:val="22"/>
                <w:szCs w:val="22"/>
              </w:rPr>
              <w:t>30</w:t>
            </w:r>
          </w:p>
        </w:tc>
        <w:tc>
          <w:tcPr>
            <w:tcW w:w="0" w:type="auto"/>
            <w:tcBorders>
              <w:top w:val="single" w:sz="4" w:space="0" w:color="000000"/>
              <w:left w:val="single" w:sz="4" w:space="0" w:color="000000"/>
              <w:bottom w:val="single" w:sz="4" w:space="0" w:color="000000"/>
            </w:tcBorders>
          </w:tcPr>
          <w:p w14:paraId="041AA870" w14:textId="77777777" w:rsidR="001C08A5" w:rsidRDefault="00000000">
            <w:pPr>
              <w:jc w:val="center"/>
              <w:rPr>
                <w:b/>
                <w:bCs/>
                <w:i/>
                <w:iCs/>
                <w:sz w:val="22"/>
                <w:szCs w:val="22"/>
              </w:rPr>
            </w:pPr>
            <w:r>
              <w:rPr>
                <w:b/>
                <w:bCs/>
                <w:i/>
                <w:iCs/>
                <w:sz w:val="22"/>
                <w:szCs w:val="22"/>
              </w:rPr>
              <w:t>16</w:t>
            </w:r>
          </w:p>
        </w:tc>
        <w:tc>
          <w:tcPr>
            <w:tcW w:w="0" w:type="auto"/>
            <w:vMerge/>
            <w:tcBorders>
              <w:top w:val="single" w:sz="4" w:space="0" w:color="000000"/>
              <w:left w:val="single" w:sz="4" w:space="0" w:color="000000"/>
              <w:bottom w:val="single" w:sz="4" w:space="0" w:color="000000"/>
              <w:right w:val="single" w:sz="4" w:space="0" w:color="000000"/>
            </w:tcBorders>
          </w:tcPr>
          <w:p w14:paraId="0DBC92A1" w14:textId="77777777" w:rsidR="001C08A5" w:rsidRDefault="001C08A5">
            <w:pPr>
              <w:snapToGrid w:val="0"/>
              <w:rPr>
                <w:i/>
                <w:iCs/>
                <w:sz w:val="22"/>
                <w:szCs w:val="22"/>
              </w:rPr>
            </w:pPr>
          </w:p>
        </w:tc>
      </w:tr>
      <w:tr w:rsidR="001C08A5" w14:paraId="07C091D3" w14:textId="77777777">
        <w:trPr>
          <w:trHeight w:val="275"/>
        </w:trPr>
        <w:tc>
          <w:tcPr>
            <w:tcW w:w="0" w:type="auto"/>
            <w:vMerge/>
            <w:tcBorders>
              <w:top w:val="single" w:sz="4" w:space="0" w:color="000000"/>
              <w:left w:val="single" w:sz="4" w:space="0" w:color="000000"/>
              <w:bottom w:val="single" w:sz="4" w:space="0" w:color="000000"/>
            </w:tcBorders>
          </w:tcPr>
          <w:p w14:paraId="5CD728BF"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tcPr>
          <w:p w14:paraId="4543178E"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4" w:space="0" w:color="000000"/>
            </w:tcBorders>
          </w:tcPr>
          <w:p w14:paraId="39EB7934" w14:textId="77777777" w:rsidR="001C08A5" w:rsidRDefault="00000000">
            <w:pPr>
              <w:jc w:val="center"/>
              <w:rPr>
                <w:i/>
                <w:iCs/>
                <w:sz w:val="22"/>
                <w:szCs w:val="22"/>
              </w:rPr>
            </w:pPr>
            <w:r>
              <w:rPr>
                <w:b/>
                <w:i/>
                <w:iCs/>
                <w:sz w:val="22"/>
                <w:szCs w:val="22"/>
              </w:rPr>
              <w:t>IV</w:t>
            </w:r>
          </w:p>
        </w:tc>
        <w:tc>
          <w:tcPr>
            <w:tcW w:w="0" w:type="auto"/>
            <w:tcBorders>
              <w:top w:val="single" w:sz="4" w:space="0" w:color="000000"/>
              <w:left w:val="single" w:sz="4" w:space="0" w:color="000000"/>
              <w:bottom w:val="single" w:sz="4" w:space="0" w:color="000000"/>
            </w:tcBorders>
          </w:tcPr>
          <w:p w14:paraId="199598D5" w14:textId="77777777" w:rsidR="001C08A5" w:rsidRDefault="00000000">
            <w:pPr>
              <w:jc w:val="center"/>
              <w:rPr>
                <w:b/>
                <w:bCs/>
                <w:i/>
                <w:iCs/>
                <w:sz w:val="22"/>
                <w:szCs w:val="22"/>
              </w:rPr>
            </w:pPr>
            <w:r>
              <w:rPr>
                <w:b/>
                <w:bCs/>
                <w:i/>
                <w:iCs/>
                <w:sz w:val="22"/>
                <w:szCs w:val="22"/>
              </w:rPr>
              <w:t>16</w:t>
            </w:r>
          </w:p>
        </w:tc>
        <w:tc>
          <w:tcPr>
            <w:tcW w:w="0" w:type="auto"/>
            <w:tcBorders>
              <w:top w:val="single" w:sz="4" w:space="0" w:color="000000"/>
              <w:left w:val="single" w:sz="4" w:space="0" w:color="000000"/>
              <w:bottom w:val="single" w:sz="4" w:space="0" w:color="000000"/>
            </w:tcBorders>
          </w:tcPr>
          <w:p w14:paraId="1B14EE29" w14:textId="77777777" w:rsidR="001C08A5" w:rsidRDefault="00000000">
            <w:pPr>
              <w:jc w:val="center"/>
              <w:rPr>
                <w:b/>
                <w:bCs/>
                <w:i/>
                <w:iCs/>
                <w:sz w:val="22"/>
                <w:szCs w:val="22"/>
              </w:rPr>
            </w:pPr>
            <w:r>
              <w:rPr>
                <w:b/>
                <w:bCs/>
                <w:i/>
                <w:iCs/>
                <w:sz w:val="22"/>
                <w:szCs w:val="22"/>
              </w:rPr>
              <w:t>10</w:t>
            </w:r>
          </w:p>
        </w:tc>
        <w:tc>
          <w:tcPr>
            <w:tcW w:w="0" w:type="auto"/>
            <w:vMerge/>
            <w:tcBorders>
              <w:top w:val="single" w:sz="4" w:space="0" w:color="000000"/>
              <w:left w:val="single" w:sz="4" w:space="0" w:color="000000"/>
              <w:bottom w:val="single" w:sz="4" w:space="0" w:color="000000"/>
              <w:right w:val="single" w:sz="4" w:space="0" w:color="000000"/>
            </w:tcBorders>
          </w:tcPr>
          <w:p w14:paraId="0D015903" w14:textId="77777777" w:rsidR="001C08A5" w:rsidRDefault="001C08A5">
            <w:pPr>
              <w:snapToGrid w:val="0"/>
              <w:rPr>
                <w:i/>
                <w:iCs/>
                <w:sz w:val="22"/>
                <w:szCs w:val="22"/>
              </w:rPr>
            </w:pPr>
          </w:p>
        </w:tc>
      </w:tr>
      <w:tr w:rsidR="001C08A5" w14:paraId="78C03CE3" w14:textId="77777777">
        <w:trPr>
          <w:trHeight w:val="275"/>
        </w:trPr>
        <w:tc>
          <w:tcPr>
            <w:tcW w:w="0" w:type="auto"/>
            <w:vMerge/>
            <w:tcBorders>
              <w:top w:val="single" w:sz="4" w:space="0" w:color="000000"/>
              <w:left w:val="single" w:sz="4" w:space="0" w:color="000000"/>
              <w:bottom w:val="single" w:sz="4" w:space="0" w:color="000000"/>
            </w:tcBorders>
          </w:tcPr>
          <w:p w14:paraId="01A6F4F1"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tcPr>
          <w:p w14:paraId="7D0F783F"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4" w:space="0" w:color="000000"/>
            </w:tcBorders>
          </w:tcPr>
          <w:p w14:paraId="5584F9A7" w14:textId="77777777" w:rsidR="001C08A5" w:rsidRDefault="00000000">
            <w:pPr>
              <w:jc w:val="center"/>
              <w:rPr>
                <w:i/>
                <w:iCs/>
                <w:sz w:val="22"/>
                <w:szCs w:val="22"/>
              </w:rPr>
            </w:pPr>
            <w:r>
              <w:rPr>
                <w:b/>
                <w:i/>
                <w:iCs/>
                <w:sz w:val="22"/>
                <w:szCs w:val="22"/>
              </w:rPr>
              <w:t>V</w:t>
            </w:r>
          </w:p>
        </w:tc>
        <w:tc>
          <w:tcPr>
            <w:tcW w:w="0" w:type="auto"/>
            <w:tcBorders>
              <w:top w:val="single" w:sz="4" w:space="0" w:color="000000"/>
              <w:left w:val="single" w:sz="4" w:space="0" w:color="000000"/>
              <w:bottom w:val="single" w:sz="4" w:space="0" w:color="000000"/>
            </w:tcBorders>
          </w:tcPr>
          <w:p w14:paraId="696A6F48" w14:textId="77777777" w:rsidR="001C08A5" w:rsidRDefault="00000000">
            <w:pPr>
              <w:jc w:val="center"/>
              <w:rPr>
                <w:b/>
                <w:bCs/>
                <w:i/>
                <w:iCs/>
                <w:sz w:val="22"/>
                <w:szCs w:val="22"/>
              </w:rPr>
            </w:pPr>
            <w:r>
              <w:rPr>
                <w:b/>
                <w:bCs/>
                <w:i/>
                <w:iCs/>
                <w:sz w:val="22"/>
                <w:szCs w:val="22"/>
              </w:rPr>
              <w:t>10</w:t>
            </w:r>
          </w:p>
        </w:tc>
        <w:tc>
          <w:tcPr>
            <w:tcW w:w="0" w:type="auto"/>
            <w:tcBorders>
              <w:top w:val="single" w:sz="4" w:space="0" w:color="000000"/>
              <w:left w:val="single" w:sz="4" w:space="0" w:color="000000"/>
              <w:bottom w:val="single" w:sz="4" w:space="0" w:color="000000"/>
            </w:tcBorders>
          </w:tcPr>
          <w:p w14:paraId="333C0169" w14:textId="77777777" w:rsidR="001C08A5" w:rsidRDefault="00000000">
            <w:pPr>
              <w:jc w:val="center"/>
              <w:rPr>
                <w:b/>
                <w:bCs/>
                <w:i/>
                <w:iCs/>
                <w:sz w:val="22"/>
                <w:szCs w:val="22"/>
              </w:rPr>
            </w:pPr>
            <w:r>
              <w:rPr>
                <w:b/>
                <w:bCs/>
                <w:i/>
                <w:iCs/>
                <w:sz w:val="22"/>
                <w:szCs w:val="22"/>
              </w:rPr>
              <w:t>6</w:t>
            </w:r>
          </w:p>
        </w:tc>
        <w:tc>
          <w:tcPr>
            <w:tcW w:w="0" w:type="auto"/>
            <w:vMerge/>
            <w:tcBorders>
              <w:top w:val="single" w:sz="4" w:space="0" w:color="000000"/>
              <w:left w:val="single" w:sz="4" w:space="0" w:color="000000"/>
              <w:bottom w:val="single" w:sz="4" w:space="0" w:color="000000"/>
              <w:right w:val="single" w:sz="4" w:space="0" w:color="000000"/>
            </w:tcBorders>
          </w:tcPr>
          <w:p w14:paraId="200EF456" w14:textId="77777777" w:rsidR="001C08A5" w:rsidRDefault="001C08A5">
            <w:pPr>
              <w:snapToGrid w:val="0"/>
              <w:rPr>
                <w:i/>
                <w:iCs/>
                <w:sz w:val="22"/>
                <w:szCs w:val="22"/>
              </w:rPr>
            </w:pPr>
          </w:p>
        </w:tc>
      </w:tr>
    </w:tbl>
    <w:p w14:paraId="01ECD2C5" w14:textId="77777777" w:rsidR="001C08A5" w:rsidRDefault="00000000">
      <w:pPr>
        <w:jc w:val="both"/>
        <w:rPr>
          <w:i/>
          <w:sz w:val="22"/>
          <w:szCs w:val="22"/>
        </w:rPr>
      </w:pPr>
      <w:r>
        <w:rPr>
          <w:i/>
          <w:sz w:val="22"/>
          <w:szCs w:val="22"/>
          <w:u w:val="single"/>
        </w:rPr>
        <w:t>Notă</w:t>
      </w:r>
      <w:r>
        <w:rPr>
          <w:i/>
          <w:sz w:val="22"/>
          <w:szCs w:val="22"/>
        </w:rPr>
        <w:t xml:space="preserve">: </w:t>
      </w:r>
    </w:p>
    <w:p w14:paraId="755E7E3E" w14:textId="77777777" w:rsidR="001C08A5" w:rsidRDefault="00000000">
      <w:pPr>
        <w:jc w:val="both"/>
        <w:rPr>
          <w:b/>
          <w:i/>
          <w:sz w:val="22"/>
          <w:szCs w:val="22"/>
        </w:rPr>
      </w:pPr>
      <w:r>
        <w:rPr>
          <w:i/>
          <w:sz w:val="22"/>
          <w:szCs w:val="22"/>
        </w:rPr>
        <w:t xml:space="preserve">La clădirile administrative care nu sunt săli aglomerate, clădiri înalte sau clădiri foarte înalte, dar sunt echipate cu instalaţii de detectare, semnalizare şi alarmare a incendiului cu acoperire totală, instalaţii </w:t>
      </w:r>
      <w:r>
        <w:rPr>
          <w:i/>
          <w:sz w:val="22"/>
          <w:szCs w:val="22"/>
        </w:rPr>
        <w:lastRenderedPageBreak/>
        <w:t xml:space="preserve">automate de stingere a incendiilor </w:t>
      </w:r>
      <w:r>
        <w:rPr>
          <w:bCs/>
          <w:i/>
          <w:sz w:val="22"/>
          <w:szCs w:val="22"/>
        </w:rPr>
        <w:t>şi evacuare a fumului din circulațiile comune orizontale (coridoare/holuri) si casele de scări, lungimile norm</w:t>
      </w:r>
      <w:r>
        <w:rPr>
          <w:i/>
          <w:sz w:val="22"/>
          <w:szCs w:val="22"/>
        </w:rPr>
        <w:t xml:space="preserve">ate de evacuare a utilizatorilor se pot majora cu </w:t>
      </w:r>
      <w:r>
        <w:rPr>
          <w:b/>
          <w:bCs/>
          <w:i/>
          <w:sz w:val="22"/>
          <w:szCs w:val="22"/>
        </w:rPr>
        <w:t>25%</w:t>
      </w:r>
      <w:r>
        <w:rPr>
          <w:i/>
          <w:sz w:val="22"/>
          <w:szCs w:val="22"/>
        </w:rPr>
        <w:t>.</w:t>
      </w:r>
    </w:p>
    <w:p w14:paraId="451E16F2" w14:textId="77777777" w:rsidR="001C08A5" w:rsidRDefault="001C08A5">
      <w:pPr>
        <w:jc w:val="both"/>
        <w:rPr>
          <w:b/>
          <w:sz w:val="24"/>
          <w:szCs w:val="24"/>
        </w:rPr>
      </w:pPr>
    </w:p>
    <w:p w14:paraId="2E632D96" w14:textId="77777777" w:rsidR="001C08A5" w:rsidRDefault="00000000">
      <w:pPr>
        <w:ind w:firstLine="720"/>
        <w:jc w:val="both"/>
        <w:rPr>
          <w:sz w:val="24"/>
          <w:szCs w:val="24"/>
        </w:rPr>
      </w:pPr>
      <w:r>
        <w:rPr>
          <w:b/>
          <w:sz w:val="24"/>
          <w:szCs w:val="24"/>
        </w:rPr>
        <w:t xml:space="preserve">Art. </w:t>
      </w:r>
      <w:r>
        <w:rPr>
          <w:b/>
          <w:bCs/>
          <w:sz w:val="24"/>
          <w:szCs w:val="24"/>
        </w:rPr>
        <w:t>3.2.2.</w:t>
      </w:r>
      <w:r>
        <w:rPr>
          <w:b/>
          <w:sz w:val="24"/>
          <w:szCs w:val="24"/>
        </w:rPr>
        <w:t xml:space="preserve">10. (1) </w:t>
      </w:r>
      <w:r>
        <w:rPr>
          <w:sz w:val="24"/>
          <w:szCs w:val="24"/>
        </w:rPr>
        <w:t xml:space="preserve">Clădirile administrative supraterane cu înălţimi obişnuite vor avea asigurat accesul și intervenţia autospecialelor de stingere în caz de incendiu, cel puţin pe o latură </w:t>
      </w:r>
      <w:r>
        <w:rPr>
          <w:rFonts w:eastAsia="Times-Roman"/>
          <w:sz w:val="24"/>
          <w:szCs w:val="24"/>
        </w:rPr>
        <w:t xml:space="preserve">şi totodată, cel puţin pe </w:t>
      </w:r>
      <w:r>
        <w:rPr>
          <w:rFonts w:eastAsia="Times-Roman"/>
          <w:b/>
          <w:bCs/>
          <w:sz w:val="24"/>
          <w:szCs w:val="24"/>
        </w:rPr>
        <w:t>25%</w:t>
      </w:r>
      <w:r>
        <w:rPr>
          <w:rFonts w:eastAsia="Times-Roman"/>
          <w:sz w:val="24"/>
          <w:szCs w:val="24"/>
        </w:rPr>
        <w:t xml:space="preserve"> din perimetrul pereților exteriori.</w:t>
      </w:r>
    </w:p>
    <w:p w14:paraId="2DD8AE02" w14:textId="77777777" w:rsidR="001C08A5" w:rsidRDefault="00000000">
      <w:pPr>
        <w:ind w:firstLine="720"/>
        <w:jc w:val="both"/>
        <w:rPr>
          <w:rStyle w:val="CommentReference"/>
        </w:rPr>
      </w:pPr>
      <w:r>
        <w:rPr>
          <w:b/>
          <w:sz w:val="24"/>
          <w:szCs w:val="24"/>
        </w:rPr>
        <w:t xml:space="preserve">(2) </w:t>
      </w:r>
      <w:r>
        <w:rPr>
          <w:bCs/>
          <w:sz w:val="24"/>
          <w:szCs w:val="24"/>
        </w:rPr>
        <w:t>Î</w:t>
      </w:r>
      <w:r>
        <w:rPr>
          <w:sz w:val="24"/>
          <w:szCs w:val="24"/>
        </w:rPr>
        <w:t xml:space="preserve">n conformitate cu capacitatea maximă simultană a clădirii administrative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(2) </w:t>
      </w:r>
      <w:r>
        <w:rPr>
          <w:bCs/>
          <w:sz w:val="24"/>
          <w:szCs w:val="24"/>
        </w:rPr>
        <w:t>și</w:t>
      </w:r>
      <w:r>
        <w:rPr>
          <w:b/>
          <w:sz w:val="24"/>
          <w:szCs w:val="24"/>
        </w:rPr>
        <w:t xml:space="preserve"> (3). </w:t>
      </w:r>
    </w:p>
    <w:p w14:paraId="6C984662" w14:textId="77777777" w:rsidR="001C08A5" w:rsidRDefault="00000000">
      <w:pPr>
        <w:pStyle w:val="Heading4"/>
      </w:pPr>
      <w:bookmarkStart w:id="3400" w:name="_Toc2814"/>
      <w:bookmarkStart w:id="3401" w:name="_Toc162355291"/>
      <w:bookmarkStart w:id="3402" w:name="_Toc17751"/>
      <w:bookmarkStart w:id="3403" w:name="_Toc17702"/>
      <w:bookmarkStart w:id="3404" w:name="_Toc24139"/>
      <w:bookmarkStart w:id="3405" w:name="_Toc29154"/>
      <w:bookmarkStart w:id="3406" w:name="_Toc3838"/>
      <w:bookmarkStart w:id="3407" w:name="_Toc627"/>
      <w:r>
        <w:t>3.2.3. Clădiri pentru comerţ supraterane</w:t>
      </w:r>
      <w:bookmarkEnd w:id="3400"/>
      <w:bookmarkEnd w:id="3401"/>
      <w:bookmarkEnd w:id="3402"/>
      <w:bookmarkEnd w:id="3403"/>
      <w:bookmarkEnd w:id="3404"/>
      <w:bookmarkEnd w:id="3405"/>
      <w:bookmarkEnd w:id="3406"/>
      <w:bookmarkEnd w:id="3407"/>
    </w:p>
    <w:p w14:paraId="28D11EA1" w14:textId="77777777" w:rsidR="001C08A5" w:rsidRDefault="001C08A5">
      <w:pPr>
        <w:jc w:val="both"/>
        <w:rPr>
          <w:b/>
          <w:sz w:val="24"/>
          <w:szCs w:val="24"/>
        </w:rPr>
      </w:pPr>
    </w:p>
    <w:p w14:paraId="7990D83B" w14:textId="77777777" w:rsidR="001C08A5" w:rsidRDefault="00000000">
      <w:pPr>
        <w:ind w:firstLine="720"/>
        <w:jc w:val="both"/>
        <w:rPr>
          <w:sz w:val="24"/>
          <w:szCs w:val="24"/>
        </w:rPr>
      </w:pPr>
      <w:r>
        <w:rPr>
          <w:b/>
          <w:sz w:val="24"/>
          <w:szCs w:val="24"/>
        </w:rPr>
        <w:t xml:space="preserve">Art. </w:t>
      </w:r>
      <w:r>
        <w:rPr>
          <w:b/>
          <w:caps/>
          <w:sz w:val="24"/>
          <w:szCs w:val="24"/>
        </w:rPr>
        <w:t>3.2.3.1.</w:t>
      </w:r>
      <w:r>
        <w:rPr>
          <w:b/>
          <w:sz w:val="24"/>
          <w:szCs w:val="24"/>
        </w:rPr>
        <w:t xml:space="preserve"> (1)</w:t>
      </w:r>
      <w:r>
        <w:rPr>
          <w:sz w:val="24"/>
          <w:szCs w:val="24"/>
        </w:rPr>
        <w:t xml:space="preserve"> Clădirile pentru comerţ supraterane, cu înălţimi obişnuite de tipul magazine, centre şi complexe comerciale, pieţe închise, alimentaţie publică (de exemplu restaurante, baruri etc., precum și discoteci), cazinouri, prestări servicii (fitness, intretinere corporala, spa, cabinete veterinare), service auto și altele similare, spatii de joaca pentru copii, vor avea asigurat nivelul de stabilitate la incendiu determinat conform prevederilor din </w:t>
      </w:r>
      <w:r>
        <w:rPr>
          <w:b/>
          <w:sz w:val="24"/>
          <w:szCs w:val="24"/>
        </w:rPr>
        <w:t xml:space="preserve">Art. </w:t>
      </w:r>
      <w:r>
        <w:rPr>
          <w:b/>
          <w:bCs/>
          <w:sz w:val="24"/>
          <w:szCs w:val="24"/>
        </w:rPr>
        <w:t>2.1.3.</w:t>
      </w:r>
      <w:r>
        <w:rPr>
          <w:b/>
          <w:sz w:val="24"/>
          <w:szCs w:val="24"/>
        </w:rPr>
        <w:t xml:space="preserve">2. </w:t>
      </w:r>
      <w:r>
        <w:rPr>
          <w:sz w:val="24"/>
          <w:szCs w:val="24"/>
        </w:rPr>
        <w:t xml:space="preserve">şi </w:t>
      </w:r>
      <w:r>
        <w:rPr>
          <w:rFonts w:cs="Mangal"/>
          <w:b/>
          <w:i/>
          <w:iCs/>
          <w:sz w:val="24"/>
          <w:szCs w:val="24"/>
        </w:rPr>
        <w:fldChar w:fldCharType="begin"/>
      </w:r>
      <w:r>
        <w:rPr>
          <w:rFonts w:cs="Mangal"/>
          <w:b/>
          <w:i/>
          <w:iCs/>
          <w:sz w:val="24"/>
          <w:szCs w:val="24"/>
        </w:rPr>
        <w:instrText xml:space="preserve"> REF _Ref26473 \h </w:instrText>
      </w:r>
      <w:r>
        <w:rPr>
          <w:rFonts w:cs="Mangal"/>
          <w:b/>
          <w:i/>
          <w:iCs/>
          <w:sz w:val="24"/>
          <w:szCs w:val="24"/>
        </w:rPr>
      </w:r>
      <w:r>
        <w:rPr>
          <w:rFonts w:cs="Mangal"/>
          <w:b/>
          <w:i/>
          <w:iCs/>
          <w:sz w:val="24"/>
          <w:szCs w:val="24"/>
        </w:rPr>
        <w:fldChar w:fldCharType="separate"/>
      </w:r>
      <w:r>
        <w:t>Tabelul 2</w:t>
      </w:r>
      <w:r>
        <w:rPr>
          <w:rFonts w:cs="Mangal"/>
          <w:b/>
          <w:i/>
          <w:iCs/>
          <w:sz w:val="24"/>
          <w:szCs w:val="24"/>
        </w:rPr>
        <w:fldChar w:fldCharType="end"/>
      </w:r>
      <w:r>
        <w:rPr>
          <w:sz w:val="24"/>
          <w:szCs w:val="24"/>
        </w:rPr>
        <w:t>.</w:t>
      </w:r>
    </w:p>
    <w:p w14:paraId="44C45628" w14:textId="77777777" w:rsidR="001C08A5" w:rsidRDefault="001C08A5">
      <w:pPr>
        <w:ind w:firstLine="720"/>
        <w:jc w:val="both"/>
        <w:rPr>
          <w:sz w:val="24"/>
          <w:szCs w:val="24"/>
        </w:rPr>
      </w:pPr>
    </w:p>
    <w:p w14:paraId="3B2A06C9" w14:textId="77777777" w:rsidR="001C08A5" w:rsidRDefault="00000000">
      <w:pPr>
        <w:ind w:firstLine="567"/>
        <w:jc w:val="both"/>
        <w:rPr>
          <w:sz w:val="24"/>
          <w:szCs w:val="24"/>
        </w:rPr>
      </w:pPr>
      <w:r>
        <w:rPr>
          <w:b/>
          <w:sz w:val="24"/>
          <w:szCs w:val="24"/>
        </w:rPr>
        <w:t xml:space="preserve">Art. </w:t>
      </w:r>
      <w:r>
        <w:rPr>
          <w:b/>
          <w:bCs/>
          <w:sz w:val="24"/>
          <w:szCs w:val="24"/>
        </w:rPr>
        <w:t>3.2.3.</w:t>
      </w:r>
      <w:r>
        <w:rPr>
          <w:b/>
          <w:sz w:val="24"/>
          <w:szCs w:val="24"/>
        </w:rPr>
        <w:t xml:space="preserve">2. (1) </w:t>
      </w:r>
      <w:r>
        <w:rPr>
          <w:sz w:val="24"/>
          <w:szCs w:val="24"/>
        </w:rPr>
        <w:t>Clădirile pentru comerţ supraterane, cu înălţimi obişnuite (magazine, centre și complexe comerciale, pieţe închise, alimentaţie publică, restaurante, baruri etc., precum și discoteci, cazinouri, prestări servicii, service auto și altele similare), vor respecta prevederile normativului şi reglementările specifice destinaţiilor respective.</w:t>
      </w:r>
    </w:p>
    <w:p w14:paraId="56532715" w14:textId="77777777" w:rsidR="001C08A5" w:rsidRDefault="00000000">
      <w:pPr>
        <w:ind w:firstLine="720"/>
        <w:jc w:val="both"/>
        <w:rPr>
          <w:b/>
          <w:sz w:val="24"/>
          <w:szCs w:val="24"/>
        </w:rPr>
      </w:pPr>
      <w:r>
        <w:rPr>
          <w:b/>
          <w:sz w:val="24"/>
          <w:szCs w:val="24"/>
        </w:rPr>
        <w:t>(2)</w:t>
      </w:r>
      <w:r>
        <w:rPr>
          <w:sz w:val="24"/>
          <w:szCs w:val="24"/>
        </w:rPr>
        <w:t xml:space="preserve"> Clădirile sau spatiile cu destinatia de comerţ care se încadrează în categoria sălilor aglomerate (centre şi complexe comerciale, supermagazine, hypermagazine, restaurante, discoteci etc.), sau se află în clădiri înalte/ foarte înalte sau </w:t>
      </w:r>
      <w:r>
        <w:rPr>
          <w:sz w:val="24"/>
          <w:szCs w:val="24"/>
          <w:lang w:val="en-US"/>
        </w:rPr>
        <w:t>sunt subterane</w:t>
      </w:r>
      <w:r>
        <w:rPr>
          <w:sz w:val="24"/>
          <w:szCs w:val="24"/>
        </w:rPr>
        <w:t>, vor respecta şi condiţiile specifice acestor tipuri de clădiri. construcțiile pentru comerţ subterane vor respecta condiţiile normativului specific precum și condițiile precizate în acest normativ. Încaperile pentru comerţ dispuse în subsolurile clădirilor supraterane vor respecta şi condiţiile specifice acestora.</w:t>
      </w:r>
    </w:p>
    <w:p w14:paraId="4F0F3735" w14:textId="77777777" w:rsidR="001C08A5" w:rsidRDefault="001C08A5">
      <w:pPr>
        <w:ind w:firstLine="567"/>
        <w:jc w:val="both"/>
        <w:rPr>
          <w:b/>
          <w:sz w:val="24"/>
          <w:szCs w:val="24"/>
        </w:rPr>
      </w:pPr>
    </w:p>
    <w:p w14:paraId="15C5B948" w14:textId="77777777" w:rsidR="001C08A5" w:rsidRDefault="00000000">
      <w:pPr>
        <w:ind w:firstLine="567"/>
        <w:jc w:val="both"/>
        <w:rPr>
          <w:sz w:val="24"/>
          <w:szCs w:val="24"/>
        </w:rPr>
      </w:pPr>
      <w:r>
        <w:rPr>
          <w:b/>
          <w:sz w:val="24"/>
          <w:szCs w:val="24"/>
        </w:rPr>
        <w:t xml:space="preserve">Art. </w:t>
      </w:r>
      <w:r>
        <w:rPr>
          <w:b/>
          <w:bCs/>
          <w:sz w:val="24"/>
          <w:szCs w:val="24"/>
        </w:rPr>
        <w:t>3.2.3.</w:t>
      </w:r>
      <w:r>
        <w:rPr>
          <w:b/>
          <w:sz w:val="24"/>
          <w:szCs w:val="24"/>
        </w:rPr>
        <w:t xml:space="preserve">3. (1) </w:t>
      </w:r>
      <w:r>
        <w:rPr>
          <w:sz w:val="24"/>
          <w:szCs w:val="24"/>
        </w:rPr>
        <w:t xml:space="preserve">Clădirile pentru comerţ supraterane, cu înălţimi obişnuite se conformează astfel încât să îndeplinească condiţiile de corelare dintre destinaţie, nivelul de stabilitate la incendiu asigurat, numărul de niveluri şi aria compartimentului de incendiu conform prevederilor din </w:t>
      </w:r>
      <w:r>
        <w:rPr>
          <w:b/>
          <w:sz w:val="24"/>
          <w:szCs w:val="24"/>
        </w:rPr>
        <w:t xml:space="preserve">Art. </w:t>
      </w:r>
      <w:r>
        <w:rPr>
          <w:b/>
          <w:caps/>
          <w:sz w:val="24"/>
          <w:szCs w:val="24"/>
        </w:rPr>
        <w:t>3.1.2.</w:t>
      </w:r>
      <w:r>
        <w:rPr>
          <w:b/>
          <w:sz w:val="24"/>
          <w:szCs w:val="24"/>
        </w:rPr>
        <w:t>6.</w:t>
      </w:r>
      <w:r>
        <w:rPr>
          <w:sz w:val="24"/>
          <w:szCs w:val="24"/>
        </w:rPr>
        <w:t>,</w:t>
      </w:r>
      <w:r>
        <w:rPr>
          <w:b/>
          <w:sz w:val="24"/>
          <w:szCs w:val="24"/>
        </w:rPr>
        <w:t xml:space="preserve"> Art. </w:t>
      </w:r>
      <w:r>
        <w:rPr>
          <w:b/>
          <w:caps/>
          <w:sz w:val="24"/>
          <w:szCs w:val="24"/>
        </w:rPr>
        <w:t>3.1.2.</w:t>
      </w:r>
      <w:r>
        <w:rPr>
          <w:b/>
          <w:sz w:val="24"/>
          <w:szCs w:val="24"/>
        </w:rPr>
        <w:t xml:space="preserve">7. </w:t>
      </w:r>
      <w:r>
        <w:rPr>
          <w:sz w:val="24"/>
          <w:szCs w:val="24"/>
        </w:rPr>
        <w:t xml:space="preserve">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 xml:space="preserve"> și</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sz w:val="24"/>
          <w:szCs w:val="24"/>
        </w:rPr>
        <w:t>, iar în cazul înglobării unor spaţii sau încăperi pentru comerţ în clădiri cu alte destinaţii, se vor respecta şi prevederile privind performanțele specifice clădirilor cu funcţiuni mixte, respectându-se cele mai severe condiţii.</w:t>
      </w:r>
    </w:p>
    <w:p w14:paraId="5D61CE81" w14:textId="77777777" w:rsidR="001C08A5" w:rsidRDefault="00000000">
      <w:pPr>
        <w:ind w:firstLine="720"/>
        <w:jc w:val="both"/>
        <w:rPr>
          <w:sz w:val="24"/>
          <w:szCs w:val="24"/>
        </w:rPr>
      </w:pPr>
      <w:r>
        <w:rPr>
          <w:b/>
          <w:sz w:val="24"/>
          <w:szCs w:val="24"/>
        </w:rPr>
        <w:t xml:space="preserve">(2) </w:t>
      </w:r>
      <w:r>
        <w:rPr>
          <w:sz w:val="24"/>
          <w:szCs w:val="24"/>
        </w:rPr>
        <w:t xml:space="preserve">Spaţiile pentru comerţ dispuse în clădiri supraterane, precum și cele din subsolurile clădirilor supraterane, vor fi separate cu elemente verticale şi orizontale rezistente la foc conform prevederilor normativului. </w:t>
      </w:r>
    </w:p>
    <w:p w14:paraId="0C3C126B" w14:textId="77777777" w:rsidR="001C08A5" w:rsidRDefault="001C08A5">
      <w:pPr>
        <w:jc w:val="both"/>
        <w:rPr>
          <w:sz w:val="24"/>
          <w:szCs w:val="24"/>
        </w:rPr>
      </w:pPr>
    </w:p>
    <w:p w14:paraId="779B4765" w14:textId="77777777" w:rsidR="001C08A5" w:rsidRDefault="00000000">
      <w:pPr>
        <w:ind w:firstLine="567"/>
        <w:jc w:val="both"/>
        <w:rPr>
          <w:sz w:val="24"/>
          <w:szCs w:val="24"/>
        </w:rPr>
      </w:pPr>
      <w:r>
        <w:rPr>
          <w:b/>
          <w:sz w:val="24"/>
          <w:szCs w:val="24"/>
        </w:rPr>
        <w:t xml:space="preserve">Art. </w:t>
      </w:r>
      <w:r>
        <w:rPr>
          <w:b/>
          <w:bCs/>
          <w:sz w:val="24"/>
          <w:szCs w:val="24"/>
        </w:rPr>
        <w:t>3.2.3.</w:t>
      </w:r>
      <w:r>
        <w:rPr>
          <w:b/>
          <w:sz w:val="24"/>
          <w:szCs w:val="24"/>
        </w:rPr>
        <w:t xml:space="preserve">4. </w:t>
      </w:r>
      <w:r>
        <w:rPr>
          <w:sz w:val="24"/>
          <w:szCs w:val="24"/>
        </w:rPr>
        <w:t>Distanţele minime de</w:t>
      </w:r>
      <w:r>
        <w:rPr>
          <w:bCs/>
          <w:spacing w:val="-2"/>
          <w:sz w:val="24"/>
          <w:szCs w:val="24"/>
        </w:rPr>
        <w:t xml:space="preserve"> siguranţă </w:t>
      </w:r>
      <w:r>
        <w:rPr>
          <w:sz w:val="24"/>
          <w:szCs w:val="24"/>
        </w:rPr>
        <w:t xml:space="preserve">la incendiu ce trebuie asigurate între clădiri pentru comerţ supraterane, cu înălţimi obişnuite (magazine, centre și complexe comerciale, pieţe închise, alimentaţie publică, restaurante, baruri etc., precum și discoteci, cazinouri, prestări servicii, service auto și altele similare), şi alte construcţii, sunt stabilite conform prevederilor din </w:t>
      </w:r>
      <w:r>
        <w:rPr>
          <w:b/>
          <w:sz w:val="24"/>
          <w:szCs w:val="24"/>
        </w:rPr>
        <w:t xml:space="preserve">Art. </w:t>
      </w:r>
      <w:r>
        <w:rPr>
          <w:b/>
          <w:bCs/>
          <w:sz w:val="24"/>
          <w:szCs w:val="24"/>
        </w:rPr>
        <w:t>2.2.1.2</w:t>
      </w:r>
      <w:r>
        <w:rPr>
          <w:b/>
          <w:sz w:val="24"/>
          <w:szCs w:val="24"/>
        </w:rPr>
        <w:t>.</w:t>
      </w:r>
      <w:r>
        <w:rPr>
          <w:sz w:val="24"/>
          <w:szCs w:val="24"/>
        </w:rPr>
        <w:t xml:space="preserve"> şi </w:t>
      </w:r>
      <w:r>
        <w:rPr>
          <w:rFonts w:cs="Mangal"/>
          <w:b/>
          <w:i/>
          <w:iCs/>
          <w:sz w:val="24"/>
          <w:szCs w:val="24"/>
        </w:rPr>
        <w:fldChar w:fldCharType="begin"/>
      </w:r>
      <w:r>
        <w:rPr>
          <w:rFonts w:cs="Mangal"/>
          <w:b/>
          <w:i/>
          <w:iCs/>
          <w:sz w:val="24"/>
          <w:szCs w:val="24"/>
        </w:rPr>
        <w:instrText xml:space="preserve"> REF _Ref29888 \h </w:instrText>
      </w:r>
      <w:r>
        <w:rPr>
          <w:rFonts w:cs="Mangal"/>
          <w:b/>
          <w:i/>
          <w:iCs/>
          <w:sz w:val="24"/>
          <w:szCs w:val="24"/>
        </w:rPr>
      </w:r>
      <w:r>
        <w:rPr>
          <w:rFonts w:cs="Mangal"/>
          <w:b/>
          <w:i/>
          <w:iCs/>
          <w:sz w:val="24"/>
          <w:szCs w:val="24"/>
        </w:rPr>
        <w:fldChar w:fldCharType="separate"/>
      </w:r>
      <w:r>
        <w:t>Tabelul 4</w:t>
      </w:r>
      <w:r>
        <w:rPr>
          <w:rFonts w:cs="Mangal"/>
          <w:b/>
          <w:i/>
          <w:iCs/>
          <w:sz w:val="24"/>
          <w:szCs w:val="24"/>
        </w:rPr>
        <w:fldChar w:fldCharType="end"/>
      </w:r>
      <w:r>
        <w:rPr>
          <w:sz w:val="24"/>
          <w:szCs w:val="24"/>
        </w:rPr>
        <w:t xml:space="preserve"> .</w:t>
      </w:r>
    </w:p>
    <w:p w14:paraId="1B0ED432" w14:textId="77777777" w:rsidR="001C08A5" w:rsidRDefault="00000000">
      <w:pPr>
        <w:jc w:val="both"/>
        <w:rPr>
          <w:b/>
          <w:sz w:val="24"/>
          <w:szCs w:val="24"/>
        </w:rPr>
      </w:pPr>
      <w:r>
        <w:rPr>
          <w:sz w:val="24"/>
          <w:szCs w:val="24"/>
        </w:rPr>
        <w:tab/>
      </w:r>
      <w:r>
        <w:rPr>
          <w:sz w:val="24"/>
          <w:szCs w:val="24"/>
        </w:rPr>
        <w:tab/>
      </w:r>
      <w:r>
        <w:rPr>
          <w:sz w:val="24"/>
          <w:szCs w:val="24"/>
        </w:rPr>
        <w:tab/>
      </w:r>
    </w:p>
    <w:p w14:paraId="22EF4839" w14:textId="77777777" w:rsidR="001C08A5" w:rsidRDefault="00000000">
      <w:pPr>
        <w:ind w:firstLine="567"/>
        <w:jc w:val="both"/>
        <w:rPr>
          <w:sz w:val="24"/>
          <w:szCs w:val="24"/>
        </w:rPr>
      </w:pPr>
      <w:r>
        <w:rPr>
          <w:b/>
          <w:sz w:val="24"/>
          <w:szCs w:val="24"/>
        </w:rPr>
        <w:t xml:space="preserve">Art. </w:t>
      </w:r>
      <w:r>
        <w:rPr>
          <w:b/>
          <w:bCs/>
          <w:sz w:val="24"/>
          <w:szCs w:val="24"/>
        </w:rPr>
        <w:t>3.2.3.</w:t>
      </w:r>
      <w:r>
        <w:rPr>
          <w:b/>
          <w:sz w:val="24"/>
          <w:szCs w:val="24"/>
        </w:rPr>
        <w:t xml:space="preserve">5. (1) </w:t>
      </w:r>
      <w:r>
        <w:rPr>
          <w:sz w:val="24"/>
          <w:szCs w:val="24"/>
        </w:rPr>
        <w:t xml:space="preserve">La clădirile şi spaţiile pentru comerţ supraterane, cu înălţimi obişnuite şi capacitatea maximă simultană mai mare de </w:t>
      </w:r>
      <w:r>
        <w:rPr>
          <w:b/>
          <w:bCs/>
          <w:sz w:val="24"/>
          <w:szCs w:val="24"/>
        </w:rPr>
        <w:t xml:space="preserve">200 </w:t>
      </w:r>
      <w:r>
        <w:rPr>
          <w:sz w:val="24"/>
          <w:szCs w:val="24"/>
        </w:rPr>
        <w:t xml:space="preserve">utilizatori (persoane), este obligatorie evacuarea fumului şi a gazelor fierbinţi în caz de incendiu prin tiraj natural-organizat sau prin ventilare mecanică. La spatiile comerciale amenajate in subsolurile clădirilor supraterane cu mai mult de </w:t>
      </w:r>
      <w:r>
        <w:rPr>
          <w:b/>
          <w:bCs/>
          <w:sz w:val="24"/>
          <w:szCs w:val="24"/>
        </w:rPr>
        <w:t xml:space="preserve">50 </w:t>
      </w:r>
      <w:r>
        <w:rPr>
          <w:sz w:val="24"/>
          <w:szCs w:val="24"/>
        </w:rPr>
        <w:t>de utilizatori este obligatorie evacuarea fumului şi a gazelor fierbinţi în caz de incendiu, inclusiv a căilor de evacuare închise aferente.</w:t>
      </w:r>
    </w:p>
    <w:p w14:paraId="50B2862D" w14:textId="77777777" w:rsidR="001C08A5" w:rsidRDefault="00000000">
      <w:pPr>
        <w:ind w:firstLine="720"/>
        <w:jc w:val="both"/>
        <w:rPr>
          <w:b/>
          <w:sz w:val="24"/>
          <w:szCs w:val="24"/>
        </w:rPr>
      </w:pPr>
      <w:r>
        <w:rPr>
          <w:b/>
          <w:bCs/>
          <w:sz w:val="24"/>
          <w:szCs w:val="24"/>
        </w:rPr>
        <w:t xml:space="preserve">(2) </w:t>
      </w:r>
      <w:r>
        <w:rPr>
          <w:sz w:val="24"/>
          <w:szCs w:val="24"/>
        </w:rPr>
        <w:t>Suprafaţă aerodinamică liberă a dispozitivelor cu deschidere automată pentru evacuarea fumului şi gazelor fierbinţi în caz de incendiu prin tiraj natural-organizat va fi cel puţin</w:t>
      </w:r>
      <w:r>
        <w:rPr>
          <w:b/>
          <w:bCs/>
          <w:sz w:val="24"/>
          <w:szCs w:val="24"/>
        </w:rPr>
        <w:t xml:space="preserve"> 1% </w:t>
      </w:r>
      <w:r>
        <w:rPr>
          <w:sz w:val="24"/>
          <w:szCs w:val="24"/>
        </w:rPr>
        <w:t xml:space="preserve">din aria </w:t>
      </w:r>
      <w:r>
        <w:rPr>
          <w:sz w:val="24"/>
          <w:szCs w:val="24"/>
        </w:rPr>
        <w:lastRenderedPageBreak/>
        <w:t xml:space="preserve">încăperii supraterane care se prevad cu sisteme de evacuare a  fumului și gazelor fierbinţi şi minimum </w:t>
      </w:r>
      <w:r>
        <w:rPr>
          <w:b/>
          <w:bCs/>
          <w:sz w:val="24"/>
          <w:szCs w:val="24"/>
        </w:rPr>
        <w:t xml:space="preserve">2% </w:t>
      </w:r>
      <w:r>
        <w:rPr>
          <w:sz w:val="24"/>
          <w:szCs w:val="24"/>
        </w:rPr>
        <w:t>la cele subterane.</w:t>
      </w:r>
    </w:p>
    <w:p w14:paraId="6BD25386" w14:textId="77777777" w:rsidR="001C08A5" w:rsidRDefault="00000000">
      <w:pPr>
        <w:ind w:firstLine="720"/>
        <w:jc w:val="both"/>
        <w:rPr>
          <w:sz w:val="24"/>
          <w:szCs w:val="24"/>
        </w:rPr>
      </w:pPr>
      <w:r>
        <w:rPr>
          <w:b/>
          <w:sz w:val="24"/>
          <w:szCs w:val="24"/>
        </w:rPr>
        <w:t xml:space="preserve">(3) </w:t>
      </w:r>
      <w:r>
        <w:rPr>
          <w:sz w:val="24"/>
          <w:szCs w:val="24"/>
        </w:rPr>
        <w:t>Atunci când evacuarea fumului se asigură prin ventilare mecanică, se respectă prevederile normativului şi ale reglementărilor tehnice specifice.</w:t>
      </w:r>
    </w:p>
    <w:p w14:paraId="7EDB1A16" w14:textId="77777777" w:rsidR="001C08A5" w:rsidRDefault="001C08A5">
      <w:pPr>
        <w:jc w:val="both"/>
        <w:rPr>
          <w:sz w:val="24"/>
          <w:szCs w:val="24"/>
        </w:rPr>
      </w:pPr>
    </w:p>
    <w:p w14:paraId="3684B91A" w14:textId="77777777" w:rsidR="001C08A5" w:rsidRDefault="00000000">
      <w:pPr>
        <w:ind w:firstLine="567"/>
        <w:jc w:val="both"/>
        <w:rPr>
          <w:sz w:val="24"/>
          <w:szCs w:val="24"/>
        </w:rPr>
      </w:pPr>
      <w:r>
        <w:rPr>
          <w:b/>
          <w:sz w:val="24"/>
          <w:szCs w:val="24"/>
        </w:rPr>
        <w:t xml:space="preserve">Art. </w:t>
      </w:r>
      <w:r>
        <w:rPr>
          <w:b/>
          <w:bCs/>
          <w:sz w:val="24"/>
          <w:szCs w:val="24"/>
        </w:rPr>
        <w:t>3.2.3.</w:t>
      </w:r>
      <w:r>
        <w:rPr>
          <w:b/>
          <w:sz w:val="24"/>
          <w:szCs w:val="24"/>
        </w:rPr>
        <w:t xml:space="preserve">6. (1) </w:t>
      </w:r>
      <w:r>
        <w:rPr>
          <w:sz w:val="24"/>
          <w:szCs w:val="24"/>
        </w:rPr>
        <w:t xml:space="preserve">Încăperile depozitelor principale şi recepţiile pentru produse alimentare sau nealimentare aferente clădirilor sau spaţiilor comerciale (supraterane sau subterane), se compartimentează faţă de restul clădirii cu elemente rezistente la foc, corespunzătoare densităţii sarcinii termice (q) a acestora, dar minimum </w:t>
      </w:r>
      <w:r>
        <w:rPr>
          <w:b/>
          <w:sz w:val="24"/>
          <w:szCs w:val="24"/>
        </w:rPr>
        <w:t>EI/REI 180</w:t>
      </w:r>
      <w:r>
        <w:rPr>
          <w:sz w:val="24"/>
          <w:szCs w:val="24"/>
        </w:rPr>
        <w:t xml:space="preserve"> pentru pereţi şi minimum </w:t>
      </w:r>
      <w:r>
        <w:rPr>
          <w:b/>
          <w:sz w:val="24"/>
          <w:szCs w:val="24"/>
        </w:rPr>
        <w:t>REI 90</w:t>
      </w:r>
      <w:r>
        <w:rPr>
          <w:sz w:val="24"/>
          <w:szCs w:val="24"/>
        </w:rPr>
        <w:t xml:space="preserve"> pentru planşee. </w:t>
      </w:r>
    </w:p>
    <w:p w14:paraId="1CBDDEB5" w14:textId="77777777" w:rsidR="001C08A5" w:rsidRDefault="00000000">
      <w:pPr>
        <w:ind w:firstLine="567"/>
        <w:jc w:val="both"/>
        <w:rPr>
          <w:strike/>
          <w:sz w:val="24"/>
          <w:szCs w:val="24"/>
        </w:rPr>
      </w:pPr>
      <w:r>
        <w:rPr>
          <w:b/>
          <w:bCs/>
          <w:sz w:val="24"/>
          <w:szCs w:val="24"/>
        </w:rPr>
        <w:t xml:space="preserve">(2) </w:t>
      </w:r>
      <w:r>
        <w:rPr>
          <w:sz w:val="24"/>
          <w:szCs w:val="24"/>
        </w:rPr>
        <w:t xml:space="preserve">Golurile de circulaţie funcţională şi de evacuare din aceste elemente despărţitoare rezistente la foc se protejează cu elemente de închidere rezistente la foc și etanșe la fum minimum </w:t>
      </w:r>
      <w:r>
        <w:rPr>
          <w:b/>
          <w:bCs/>
          <w:sz w:val="24"/>
          <w:szCs w:val="24"/>
        </w:rPr>
        <w:t>EI</w:t>
      </w:r>
      <w:r>
        <w:rPr>
          <w:b/>
          <w:bCs/>
          <w:sz w:val="24"/>
          <w:szCs w:val="24"/>
          <w:vertAlign w:val="subscript"/>
        </w:rPr>
        <w:t>2</w:t>
      </w:r>
      <w:r>
        <w:rPr>
          <w:b/>
          <w:bCs/>
          <w:sz w:val="24"/>
          <w:szCs w:val="24"/>
        </w:rPr>
        <w:t>90-C5</w:t>
      </w:r>
      <w:r>
        <w:rPr>
          <w:b/>
          <w:sz w:val="24"/>
          <w:szCs w:val="24"/>
        </w:rPr>
        <w:t>S</w:t>
      </w:r>
      <w:r>
        <w:rPr>
          <w:b/>
          <w:bCs/>
          <w:sz w:val="24"/>
          <w:szCs w:val="24"/>
          <w:vertAlign w:val="subscript"/>
        </w:rPr>
        <w:t>200.</w:t>
      </w:r>
    </w:p>
    <w:p w14:paraId="3B158B70" w14:textId="77777777" w:rsidR="001C08A5" w:rsidRDefault="00000000">
      <w:pPr>
        <w:ind w:firstLine="567"/>
        <w:jc w:val="both"/>
        <w:rPr>
          <w:sz w:val="24"/>
          <w:szCs w:val="24"/>
        </w:rPr>
      </w:pPr>
      <w:r>
        <w:rPr>
          <w:b/>
          <w:bCs/>
          <w:sz w:val="24"/>
          <w:szCs w:val="24"/>
        </w:rPr>
        <w:t xml:space="preserve">(3) </w:t>
      </w:r>
      <w:r>
        <w:rPr>
          <w:sz w:val="24"/>
          <w:szCs w:val="24"/>
        </w:rPr>
        <w:t>Încăperile depozitelor principale şi recepţiile pentru produse alimentare sau nealimentare, cu suprafața mai mare de 36mp, cu risc mare și foarte mare de incendiu, aferente clădirilor sau spaţiilor comerciale se prevăd cu sisteme independente de evacuare a fumului şi gazelor fierbinţi prin tiraj natural-organizat sau prin ventilare mecanică, potrivit prevederilor normativului şi ale reglementărilor tehnice specifice.</w:t>
      </w:r>
    </w:p>
    <w:p w14:paraId="44931EAE" w14:textId="77777777" w:rsidR="001C08A5" w:rsidRDefault="001C08A5">
      <w:pPr>
        <w:ind w:firstLine="567"/>
        <w:jc w:val="both"/>
        <w:rPr>
          <w:sz w:val="24"/>
          <w:szCs w:val="24"/>
        </w:rPr>
      </w:pPr>
    </w:p>
    <w:p w14:paraId="5B0CCEA1" w14:textId="77777777" w:rsidR="001C08A5" w:rsidRDefault="00000000">
      <w:pPr>
        <w:ind w:firstLine="567"/>
        <w:jc w:val="both"/>
        <w:rPr>
          <w:sz w:val="24"/>
          <w:szCs w:val="24"/>
        </w:rPr>
      </w:pPr>
      <w:r>
        <w:rPr>
          <w:b/>
          <w:sz w:val="24"/>
          <w:szCs w:val="24"/>
        </w:rPr>
        <w:t xml:space="preserve">Art. </w:t>
      </w:r>
      <w:r>
        <w:rPr>
          <w:b/>
          <w:bCs/>
          <w:sz w:val="24"/>
          <w:szCs w:val="24"/>
        </w:rPr>
        <w:t>3.2.3.</w:t>
      </w:r>
      <w:r>
        <w:rPr>
          <w:b/>
          <w:sz w:val="24"/>
          <w:szCs w:val="24"/>
        </w:rPr>
        <w:t xml:space="preserve">7. (1) </w:t>
      </w:r>
      <w:r>
        <w:rPr>
          <w:sz w:val="24"/>
          <w:szCs w:val="24"/>
        </w:rPr>
        <w:t xml:space="preserve">Încăperile de depozitare cu suprafata mai mare de </w:t>
      </w:r>
      <w:r>
        <w:rPr>
          <w:b/>
          <w:bCs/>
          <w:sz w:val="24"/>
          <w:szCs w:val="24"/>
        </w:rPr>
        <w:t xml:space="preserve">36 </w:t>
      </w:r>
      <w:r>
        <w:rPr>
          <w:b/>
          <w:bCs/>
          <w:sz w:val="24"/>
          <w:szCs w:val="24"/>
          <w:lang w:eastAsia="zh-CN"/>
        </w:rPr>
        <w:t>m</w:t>
      </w:r>
      <w:r>
        <w:rPr>
          <w:b/>
          <w:bCs/>
          <w:sz w:val="24"/>
          <w:szCs w:val="24"/>
          <w:vertAlign w:val="superscript"/>
          <w:lang w:eastAsia="zh-CN"/>
        </w:rPr>
        <w:t>2</w:t>
      </w:r>
      <w:r>
        <w:rPr>
          <w:sz w:val="24"/>
          <w:szCs w:val="24"/>
        </w:rPr>
        <w:t xml:space="preserve"> se separă față de vecinătăți prin elemente de construcție având performanța la foc prevăzută la </w:t>
      </w:r>
      <w:r>
        <w:rPr>
          <w:b/>
          <w:bCs/>
          <w:sz w:val="24"/>
          <w:szCs w:val="24"/>
        </w:rPr>
        <w:t>Art. 2.4.16.2. alin. (1)</w:t>
      </w:r>
      <w:r>
        <w:rPr>
          <w:sz w:val="24"/>
          <w:szCs w:val="24"/>
        </w:rPr>
        <w:t xml:space="preserve"> dar nu mai puțin de </w:t>
      </w:r>
      <w:r>
        <w:rPr>
          <w:b/>
          <w:bCs/>
          <w:sz w:val="24"/>
          <w:szCs w:val="24"/>
        </w:rPr>
        <w:t>REI/EI 180</w:t>
      </w:r>
      <w:r>
        <w:rPr>
          <w:sz w:val="24"/>
          <w:szCs w:val="24"/>
        </w:rPr>
        <w:t xml:space="preserve"> la pereți și </w:t>
      </w:r>
      <w:r>
        <w:rPr>
          <w:b/>
          <w:bCs/>
          <w:sz w:val="24"/>
          <w:szCs w:val="24"/>
        </w:rPr>
        <w:t>REI 90</w:t>
      </w:r>
      <w:r>
        <w:rPr>
          <w:sz w:val="24"/>
          <w:szCs w:val="24"/>
        </w:rPr>
        <w:t xml:space="preserve"> pentru planșee, respectiv </w:t>
      </w:r>
      <w:r>
        <w:rPr>
          <w:b/>
          <w:bCs/>
          <w:sz w:val="24"/>
          <w:szCs w:val="24"/>
        </w:rPr>
        <w:t>EI</w:t>
      </w:r>
      <w:r>
        <w:rPr>
          <w:b/>
          <w:bCs/>
          <w:sz w:val="24"/>
          <w:szCs w:val="24"/>
          <w:vertAlign w:val="subscript"/>
        </w:rPr>
        <w:t>2</w:t>
      </w:r>
      <w:r>
        <w:rPr>
          <w:b/>
          <w:bCs/>
          <w:sz w:val="24"/>
          <w:szCs w:val="24"/>
        </w:rPr>
        <w:t xml:space="preserve"> 90-C5 S</w:t>
      </w:r>
      <w:r>
        <w:rPr>
          <w:b/>
          <w:bCs/>
          <w:sz w:val="24"/>
          <w:szCs w:val="24"/>
          <w:vertAlign w:val="subscript"/>
        </w:rPr>
        <w:t>200</w:t>
      </w:r>
      <w:r>
        <w:rPr>
          <w:sz w:val="24"/>
          <w:szCs w:val="24"/>
        </w:rPr>
        <w:t xml:space="preserve"> la uși.</w:t>
      </w:r>
    </w:p>
    <w:p w14:paraId="155FD307" w14:textId="77777777" w:rsidR="001C08A5" w:rsidRDefault="00000000">
      <w:pPr>
        <w:ind w:firstLine="567"/>
        <w:jc w:val="both"/>
        <w:rPr>
          <w:bCs/>
          <w:sz w:val="24"/>
          <w:szCs w:val="24"/>
        </w:rPr>
      </w:pPr>
      <w:r>
        <w:rPr>
          <w:b/>
          <w:bCs/>
          <w:sz w:val="24"/>
          <w:szCs w:val="24"/>
        </w:rPr>
        <w:t>(2)</w:t>
      </w:r>
      <w:r>
        <w:rPr>
          <w:sz w:val="24"/>
          <w:szCs w:val="24"/>
        </w:rPr>
        <w:t xml:space="preserve"> Încăperile de depozitare cu suprafața mai mică de</w:t>
      </w:r>
      <w:r>
        <w:rPr>
          <w:b/>
          <w:bCs/>
          <w:sz w:val="24"/>
          <w:szCs w:val="24"/>
        </w:rPr>
        <w:t xml:space="preserve"> 36 </w:t>
      </w:r>
      <w:r>
        <w:rPr>
          <w:b/>
          <w:bCs/>
          <w:sz w:val="24"/>
          <w:szCs w:val="24"/>
          <w:lang w:eastAsia="zh-CN"/>
        </w:rPr>
        <w:t>m</w:t>
      </w:r>
      <w:r>
        <w:rPr>
          <w:b/>
          <w:bCs/>
          <w:sz w:val="24"/>
          <w:szCs w:val="24"/>
          <w:vertAlign w:val="superscript"/>
          <w:lang w:eastAsia="zh-CN"/>
        </w:rPr>
        <w:t>2</w:t>
      </w:r>
      <w:r>
        <w:rPr>
          <w:sz w:val="24"/>
          <w:szCs w:val="24"/>
        </w:rPr>
        <w:t xml:space="preserve"> se separă față de vecinătăți prin elemente de construcție având performanța la foc prevăzută la </w:t>
      </w:r>
      <w:r>
        <w:rPr>
          <w:b/>
          <w:bCs/>
          <w:sz w:val="24"/>
          <w:szCs w:val="24"/>
        </w:rPr>
        <w:t>Art. 2.4.16.2. alin. (2)</w:t>
      </w:r>
      <w:r>
        <w:rPr>
          <w:sz w:val="24"/>
          <w:szCs w:val="24"/>
        </w:rPr>
        <w:t xml:space="preserve"> dar nu mai puțin de </w:t>
      </w:r>
      <w:r>
        <w:rPr>
          <w:b/>
          <w:bCs/>
          <w:sz w:val="24"/>
          <w:szCs w:val="24"/>
        </w:rPr>
        <w:t>REI/EI 120</w:t>
      </w:r>
      <w:r>
        <w:rPr>
          <w:sz w:val="24"/>
          <w:szCs w:val="24"/>
        </w:rPr>
        <w:t xml:space="preserve"> la pereți și </w:t>
      </w:r>
      <w:r>
        <w:rPr>
          <w:b/>
          <w:bCs/>
          <w:sz w:val="24"/>
          <w:szCs w:val="24"/>
        </w:rPr>
        <w:t>REI 60</w:t>
      </w:r>
      <w:r>
        <w:rPr>
          <w:sz w:val="24"/>
          <w:szCs w:val="24"/>
        </w:rPr>
        <w:t xml:space="preserve"> pentru planșee, respectiv </w:t>
      </w:r>
      <w:r>
        <w:rPr>
          <w:b/>
          <w:bCs/>
          <w:sz w:val="24"/>
          <w:szCs w:val="24"/>
        </w:rPr>
        <w:t>EI</w:t>
      </w:r>
      <w:r>
        <w:rPr>
          <w:b/>
          <w:bCs/>
          <w:sz w:val="24"/>
          <w:szCs w:val="24"/>
          <w:vertAlign w:val="subscript"/>
        </w:rPr>
        <w:t>2</w:t>
      </w:r>
      <w:r>
        <w:rPr>
          <w:b/>
          <w:bCs/>
          <w:sz w:val="24"/>
          <w:szCs w:val="24"/>
        </w:rPr>
        <w:t>60-C5S</w:t>
      </w:r>
      <w:r>
        <w:rPr>
          <w:b/>
          <w:bCs/>
          <w:sz w:val="24"/>
          <w:szCs w:val="24"/>
          <w:vertAlign w:val="subscript"/>
        </w:rPr>
        <w:t>200</w:t>
      </w:r>
      <w:r>
        <w:rPr>
          <w:sz w:val="24"/>
          <w:szCs w:val="24"/>
        </w:rPr>
        <w:t xml:space="preserve"> la uși.</w:t>
      </w:r>
    </w:p>
    <w:p w14:paraId="182F7389" w14:textId="77777777" w:rsidR="001C08A5" w:rsidRDefault="00000000">
      <w:pPr>
        <w:ind w:firstLine="720"/>
        <w:jc w:val="both"/>
        <w:rPr>
          <w:sz w:val="24"/>
          <w:szCs w:val="24"/>
        </w:rPr>
      </w:pPr>
      <w:r>
        <w:rPr>
          <w:b/>
          <w:bCs/>
          <w:sz w:val="24"/>
          <w:szCs w:val="24"/>
        </w:rPr>
        <w:t xml:space="preserve">(3) </w:t>
      </w:r>
      <w:r>
        <w:rPr>
          <w:sz w:val="24"/>
          <w:szCs w:val="24"/>
        </w:rPr>
        <w:t xml:space="preserve">Încăperile depozitelor cu aria utilă mai mare de </w:t>
      </w:r>
      <w:r>
        <w:rPr>
          <w:b/>
          <w:bCs/>
          <w:sz w:val="24"/>
          <w:szCs w:val="24"/>
        </w:rPr>
        <w:t>36 m²</w:t>
      </w:r>
      <w:r>
        <w:rPr>
          <w:sz w:val="24"/>
          <w:szCs w:val="24"/>
        </w:rPr>
        <w:t xml:space="preserve"> şi sarcina termica mai mare de </w:t>
      </w:r>
      <w:r>
        <w:rPr>
          <w:b/>
          <w:bCs/>
          <w:sz w:val="24"/>
          <w:szCs w:val="24"/>
        </w:rPr>
        <w:t>105 MJ/</w:t>
      </w:r>
      <w:r>
        <w:rPr>
          <w:b/>
          <w:bCs/>
          <w:sz w:val="24"/>
          <w:szCs w:val="24"/>
          <w:lang w:eastAsia="zh-CN"/>
        </w:rPr>
        <w:t>m</w:t>
      </w:r>
      <w:r>
        <w:rPr>
          <w:b/>
          <w:bCs/>
          <w:sz w:val="24"/>
          <w:szCs w:val="24"/>
          <w:vertAlign w:val="superscript"/>
          <w:lang w:eastAsia="zh-CN"/>
        </w:rPr>
        <w:t>2</w:t>
      </w:r>
      <w:r>
        <w:rPr>
          <w:sz w:val="24"/>
          <w:szCs w:val="24"/>
        </w:rPr>
        <w:t xml:space="preserve"> 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6F7006E3" w14:textId="77777777" w:rsidR="001C08A5" w:rsidRDefault="001C08A5">
      <w:pPr>
        <w:ind w:firstLine="720"/>
        <w:jc w:val="both"/>
        <w:rPr>
          <w:b/>
          <w:sz w:val="24"/>
          <w:szCs w:val="24"/>
        </w:rPr>
      </w:pPr>
    </w:p>
    <w:p w14:paraId="37C5348B" w14:textId="77777777" w:rsidR="001C08A5" w:rsidRDefault="00000000">
      <w:pPr>
        <w:ind w:firstLine="720"/>
        <w:jc w:val="both"/>
        <w:rPr>
          <w:sz w:val="24"/>
          <w:szCs w:val="24"/>
        </w:rPr>
      </w:pPr>
      <w:r>
        <w:rPr>
          <w:b/>
          <w:sz w:val="24"/>
          <w:szCs w:val="24"/>
        </w:rPr>
        <w:t xml:space="preserve">Art. </w:t>
      </w:r>
      <w:r>
        <w:rPr>
          <w:b/>
          <w:bCs/>
          <w:sz w:val="24"/>
          <w:szCs w:val="24"/>
        </w:rPr>
        <w:t>3.2.3.</w:t>
      </w:r>
      <w:r>
        <w:rPr>
          <w:b/>
          <w:sz w:val="24"/>
          <w:szCs w:val="24"/>
        </w:rPr>
        <w:t xml:space="preserve">8. (1) </w:t>
      </w:r>
      <w:r>
        <w:rPr>
          <w:sz w:val="24"/>
          <w:szCs w:val="24"/>
        </w:rPr>
        <w:t xml:space="preserve">Depozitele de mână aferente sălilor de vânzare (reprezentând maximum </w:t>
      </w:r>
      <w:r>
        <w:rPr>
          <w:b/>
          <w:sz w:val="24"/>
          <w:szCs w:val="24"/>
        </w:rPr>
        <w:t>20%</w:t>
      </w:r>
      <w:r>
        <w:rPr>
          <w:sz w:val="24"/>
          <w:szCs w:val="24"/>
        </w:rPr>
        <w:t xml:space="preserve"> din produsele expuse şi aria de cel mult </w:t>
      </w:r>
      <w:r>
        <w:rPr>
          <w:b/>
          <w:sz w:val="24"/>
          <w:szCs w:val="24"/>
        </w:rPr>
        <w:t xml:space="preserve">10% </w:t>
      </w:r>
      <w:r>
        <w:rPr>
          <w:sz w:val="24"/>
          <w:szCs w:val="24"/>
        </w:rPr>
        <w:t xml:space="preserve">din cea a sălii de vânzare a spațiului comercial de pe nivel, dar nu mai mare de </w:t>
      </w:r>
      <w:r>
        <w:rPr>
          <w:b/>
          <w:sz w:val="24"/>
          <w:szCs w:val="24"/>
        </w:rPr>
        <w:t xml:space="preserve">36 </w:t>
      </w:r>
      <w:r>
        <w:rPr>
          <w:b/>
          <w:bCs/>
          <w:sz w:val="24"/>
          <w:szCs w:val="24"/>
        </w:rPr>
        <w:t>m²</w:t>
      </w:r>
      <w:r>
        <w:rPr>
          <w:sz w:val="24"/>
          <w:szCs w:val="24"/>
        </w:rPr>
        <w:t xml:space="preserve">), pot fi separate numai prin mobilier de spaţiile accesibile publicului sau prin pereti funcționali fără rezistență la foc. </w:t>
      </w:r>
    </w:p>
    <w:p w14:paraId="237D7890" w14:textId="77777777" w:rsidR="001C08A5" w:rsidRDefault="00000000">
      <w:pPr>
        <w:ind w:firstLine="720"/>
        <w:jc w:val="both"/>
        <w:rPr>
          <w:sz w:val="24"/>
          <w:szCs w:val="24"/>
        </w:rPr>
      </w:pPr>
      <w:r>
        <w:rPr>
          <w:b/>
          <w:bCs/>
          <w:sz w:val="24"/>
          <w:szCs w:val="24"/>
        </w:rPr>
        <w:t xml:space="preserve">(2) </w:t>
      </w:r>
      <w:r>
        <w:rPr>
          <w:sz w:val="24"/>
          <w:szCs w:val="24"/>
        </w:rPr>
        <w:t xml:space="preserve">Evacuarea fumului din depozitele de mână aferente sălilor de vânzare se face prin sistemele de evacuare a fumului şi gazelor fierbinţi prin tiraj natural-organizat sau prin ventilare mecanică a salilor de vanzare/ spatiilor comerciale (atunci cand acestea se prevăd cu sisteme de evacuare a fumului şi gazelor fierbinţi). Pereții funcționali de la depozitele de mâna aferente sălilor de vânzare trebuie prevazuti cu gol la partea superioara iar spatiul delimitat de depozitul de mână prin pereti functionali trebuie prevazut cu admisie de aer. </w:t>
      </w:r>
    </w:p>
    <w:p w14:paraId="1F86EB68" w14:textId="77777777" w:rsidR="001C08A5" w:rsidRDefault="00000000">
      <w:pPr>
        <w:ind w:firstLine="720"/>
        <w:jc w:val="both"/>
        <w:rPr>
          <w:sz w:val="24"/>
          <w:szCs w:val="24"/>
        </w:rPr>
      </w:pPr>
      <w:r>
        <w:rPr>
          <w:b/>
          <w:bCs/>
          <w:sz w:val="24"/>
          <w:szCs w:val="24"/>
        </w:rPr>
        <w:t xml:space="preserve">(3) </w:t>
      </w:r>
      <w:r>
        <w:rPr>
          <w:sz w:val="24"/>
          <w:szCs w:val="24"/>
        </w:rPr>
        <w:t xml:space="preserve">Depozitele de mână aferente fiecarei săli de vânzare nu trebuie sa depășească însumate  maximum </w:t>
      </w:r>
      <w:r>
        <w:rPr>
          <w:b/>
          <w:sz w:val="24"/>
          <w:szCs w:val="24"/>
        </w:rPr>
        <w:t>20%</w:t>
      </w:r>
      <w:r>
        <w:rPr>
          <w:sz w:val="24"/>
          <w:szCs w:val="24"/>
        </w:rPr>
        <w:t xml:space="preserve"> din produsele expuse şi aria de cel mult </w:t>
      </w:r>
      <w:r>
        <w:rPr>
          <w:b/>
          <w:sz w:val="24"/>
          <w:szCs w:val="24"/>
        </w:rPr>
        <w:t xml:space="preserve">10%, </w:t>
      </w:r>
      <w:r>
        <w:rPr>
          <w:bCs/>
          <w:sz w:val="24"/>
          <w:szCs w:val="24"/>
        </w:rPr>
        <w:t xml:space="preserve">dar maximum </w:t>
      </w:r>
      <w:r>
        <w:rPr>
          <w:b/>
          <w:sz w:val="24"/>
          <w:szCs w:val="24"/>
        </w:rPr>
        <w:t xml:space="preserve">36 m², </w:t>
      </w:r>
      <w:r>
        <w:rPr>
          <w:sz w:val="24"/>
          <w:szCs w:val="24"/>
        </w:rPr>
        <w:t xml:space="preserve">din cea a sălii de vânzare deservite. La o suprafață de depozitare mai mare de </w:t>
      </w:r>
      <w:r>
        <w:rPr>
          <w:b/>
          <w:sz w:val="24"/>
          <w:szCs w:val="24"/>
        </w:rPr>
        <w:t xml:space="preserve">36 m² </w:t>
      </w:r>
      <w:r>
        <w:rPr>
          <w:bCs/>
          <w:sz w:val="24"/>
          <w:szCs w:val="24"/>
        </w:rPr>
        <w:t xml:space="preserve">se aplica prevederile din </w:t>
      </w:r>
      <w:r>
        <w:rPr>
          <w:b/>
          <w:sz w:val="24"/>
          <w:szCs w:val="24"/>
        </w:rPr>
        <w:t xml:space="preserve">Art. 3.2.3.7. alin. (1) </w:t>
      </w:r>
      <w:r>
        <w:rPr>
          <w:bCs/>
          <w:sz w:val="24"/>
          <w:szCs w:val="24"/>
        </w:rPr>
        <w:t xml:space="preserve">și </w:t>
      </w:r>
      <w:r>
        <w:rPr>
          <w:rFonts w:cs="Mangal"/>
          <w:b/>
          <w:i/>
          <w:iCs/>
          <w:sz w:val="24"/>
          <w:szCs w:val="24"/>
        </w:rPr>
        <w:fldChar w:fldCharType="begin"/>
      </w:r>
      <w:r>
        <w:rPr>
          <w:rFonts w:cs="Mangal"/>
          <w:b/>
          <w:i/>
          <w:iCs/>
          <w:sz w:val="24"/>
          <w:szCs w:val="24"/>
        </w:rPr>
        <w:instrText xml:space="preserve"> REF _Ref1328 \h </w:instrText>
      </w:r>
      <w:r>
        <w:rPr>
          <w:rFonts w:cs="Mangal"/>
          <w:b/>
          <w:i/>
          <w:iCs/>
          <w:sz w:val="24"/>
          <w:szCs w:val="24"/>
        </w:rPr>
      </w:r>
      <w:r>
        <w:rPr>
          <w:rFonts w:cs="Mangal"/>
          <w:b/>
          <w:i/>
          <w:iCs/>
          <w:sz w:val="24"/>
          <w:szCs w:val="24"/>
        </w:rPr>
        <w:fldChar w:fldCharType="separate"/>
      </w:r>
      <w:r>
        <w:t>Tabelul 21</w:t>
      </w:r>
      <w:r>
        <w:rPr>
          <w:rFonts w:cs="Mangal"/>
          <w:b/>
          <w:i/>
          <w:iCs/>
          <w:sz w:val="24"/>
          <w:szCs w:val="24"/>
        </w:rPr>
        <w:fldChar w:fldCharType="end"/>
      </w:r>
      <w:r>
        <w:rPr>
          <w:b/>
          <w:sz w:val="24"/>
          <w:szCs w:val="24"/>
        </w:rPr>
        <w:t>.</w:t>
      </w:r>
    </w:p>
    <w:p w14:paraId="1601A603" w14:textId="77777777" w:rsidR="001C08A5" w:rsidRDefault="001C08A5">
      <w:pPr>
        <w:jc w:val="both"/>
        <w:rPr>
          <w:b/>
          <w:sz w:val="24"/>
          <w:szCs w:val="24"/>
        </w:rPr>
      </w:pPr>
    </w:p>
    <w:p w14:paraId="584A8187" w14:textId="77777777" w:rsidR="001C08A5" w:rsidRDefault="00000000">
      <w:pPr>
        <w:ind w:firstLine="567"/>
        <w:jc w:val="both"/>
        <w:rPr>
          <w:sz w:val="24"/>
          <w:szCs w:val="24"/>
        </w:rPr>
      </w:pPr>
      <w:r>
        <w:rPr>
          <w:b/>
          <w:sz w:val="24"/>
          <w:szCs w:val="24"/>
        </w:rPr>
        <w:t xml:space="preserve">Art. </w:t>
      </w:r>
      <w:r>
        <w:rPr>
          <w:b/>
          <w:bCs/>
          <w:sz w:val="24"/>
          <w:szCs w:val="24"/>
        </w:rPr>
        <w:t>3.2.3.9</w:t>
      </w:r>
      <w:r>
        <w:rPr>
          <w:b/>
          <w:sz w:val="24"/>
          <w:szCs w:val="24"/>
        </w:rPr>
        <w:t xml:space="preserve">.  </w:t>
      </w:r>
      <w:r>
        <w:rPr>
          <w:sz w:val="24"/>
          <w:szCs w:val="24"/>
        </w:rPr>
        <w:t xml:space="preserve">Spaţiile de vânzare mai mari de </w:t>
      </w:r>
      <w:r>
        <w:rPr>
          <w:b/>
          <w:sz w:val="24"/>
          <w:szCs w:val="24"/>
        </w:rPr>
        <w:t xml:space="preserve">200 </w:t>
      </w:r>
      <w:r>
        <w:rPr>
          <w:b/>
          <w:bCs/>
          <w:sz w:val="24"/>
          <w:szCs w:val="24"/>
        </w:rPr>
        <w:t>m²</w:t>
      </w:r>
      <w:r>
        <w:rPr>
          <w:sz w:val="24"/>
          <w:szCs w:val="24"/>
        </w:rPr>
        <w:t xml:space="preserve"> destinate cumpărătorilor, se separă de încăperile anexă care nu sunt accesibile cumpărătorilor (anexe sociale sau funcţionale, birouri etc.), prin pereţi rezistenţi la foc minimum </w:t>
      </w:r>
      <w:r>
        <w:rPr>
          <w:b/>
          <w:sz w:val="24"/>
          <w:szCs w:val="24"/>
        </w:rPr>
        <w:t>EI/REI 60</w:t>
      </w:r>
      <w:r>
        <w:rPr>
          <w:sz w:val="24"/>
          <w:szCs w:val="24"/>
        </w:rPr>
        <w:t xml:space="preserve"> şi, după caz, cu planşee rezistente la foc </w:t>
      </w:r>
      <w:r>
        <w:rPr>
          <w:b/>
          <w:sz w:val="24"/>
          <w:szCs w:val="24"/>
        </w:rPr>
        <w:t>REI 60</w:t>
      </w:r>
      <w:r>
        <w:rPr>
          <w:sz w:val="24"/>
          <w:szCs w:val="24"/>
        </w:rPr>
        <w:t xml:space="preserve">, iar golurile de circulaţie funcţională şi de evacuare din aceşti pereţi se protejază cu elemente de închidere rezistente la foc minimum </w:t>
      </w:r>
      <w:r>
        <w:rPr>
          <w:b/>
          <w:bCs/>
          <w:sz w:val="24"/>
          <w:szCs w:val="24"/>
        </w:rPr>
        <w:t>EI</w:t>
      </w:r>
      <w:r>
        <w:rPr>
          <w:b/>
          <w:bCs/>
          <w:sz w:val="24"/>
          <w:szCs w:val="24"/>
          <w:vertAlign w:val="subscript"/>
        </w:rPr>
        <w:t>2</w:t>
      </w:r>
      <w:r>
        <w:rPr>
          <w:b/>
          <w:bCs/>
          <w:sz w:val="24"/>
          <w:szCs w:val="24"/>
        </w:rPr>
        <w:t>30-C4 S</w:t>
      </w:r>
      <w:r>
        <w:rPr>
          <w:b/>
          <w:bCs/>
          <w:sz w:val="24"/>
          <w:szCs w:val="24"/>
          <w:vertAlign w:val="subscript"/>
        </w:rPr>
        <w:t>200</w:t>
      </w:r>
      <w:r>
        <w:rPr>
          <w:sz w:val="24"/>
          <w:szCs w:val="24"/>
        </w:rPr>
        <w:t xml:space="preserve">. Încăperile anexă care nu sunt accesibile cumpărătorilor se separă în același fel între ele. </w:t>
      </w:r>
    </w:p>
    <w:p w14:paraId="3D57F9FA" w14:textId="77777777" w:rsidR="001C08A5" w:rsidRDefault="001C08A5">
      <w:pPr>
        <w:ind w:firstLine="567"/>
        <w:jc w:val="both"/>
        <w:rPr>
          <w:sz w:val="24"/>
          <w:szCs w:val="24"/>
        </w:rPr>
      </w:pPr>
    </w:p>
    <w:p w14:paraId="731DAECE" w14:textId="77777777" w:rsidR="001C08A5" w:rsidRDefault="00000000">
      <w:pPr>
        <w:ind w:firstLine="567"/>
        <w:jc w:val="both"/>
        <w:rPr>
          <w:bCs/>
          <w:sz w:val="24"/>
          <w:szCs w:val="24"/>
        </w:rPr>
      </w:pPr>
      <w:r>
        <w:rPr>
          <w:b/>
          <w:sz w:val="24"/>
          <w:szCs w:val="24"/>
        </w:rPr>
        <w:t xml:space="preserve">Art. </w:t>
      </w:r>
      <w:r>
        <w:rPr>
          <w:b/>
          <w:bCs/>
          <w:sz w:val="24"/>
          <w:szCs w:val="24"/>
        </w:rPr>
        <w:t>3.2.3.10</w:t>
      </w:r>
      <w:r>
        <w:rPr>
          <w:b/>
          <w:sz w:val="24"/>
          <w:szCs w:val="24"/>
        </w:rPr>
        <w:t xml:space="preserve">. (1) </w:t>
      </w:r>
      <w:r>
        <w:rPr>
          <w:sz w:val="24"/>
          <w:szCs w:val="24"/>
        </w:rPr>
        <w:t xml:space="preserve">La spaţiile de vânzare din clădiri de comerț menționate la </w:t>
      </w:r>
      <w:r>
        <w:rPr>
          <w:b/>
          <w:sz w:val="24"/>
          <w:szCs w:val="24"/>
        </w:rPr>
        <w:t xml:space="preserve">Art. </w:t>
      </w:r>
      <w:r>
        <w:rPr>
          <w:b/>
          <w:bCs/>
          <w:sz w:val="24"/>
          <w:szCs w:val="24"/>
        </w:rPr>
        <w:t>3.2.3.</w:t>
      </w:r>
      <w:r>
        <w:rPr>
          <w:b/>
          <w:sz w:val="24"/>
          <w:szCs w:val="24"/>
        </w:rPr>
        <w:t xml:space="preserve">5. (1) </w:t>
      </w:r>
      <w:r>
        <w:rPr>
          <w:sz w:val="24"/>
          <w:szCs w:val="24"/>
        </w:rPr>
        <w:t xml:space="preserve">la care evacuarea fumului nu se poate face direct din rezervorul de fum (sau </w:t>
      </w:r>
      <w:r>
        <w:rPr>
          <w:rFonts w:eastAsia="Arial"/>
          <w:bCs/>
          <w:sz w:val="24"/>
          <w:szCs w:val="24"/>
        </w:rPr>
        <w:t>incendiul este într-o încăpere adiacentă spaţiului care conţine rezervorul sau este sub un mezanin închis în acelaşi spaţiu</w:t>
      </w:r>
      <w:r>
        <w:rPr>
          <w:sz w:val="24"/>
          <w:szCs w:val="24"/>
        </w:rPr>
        <w:t xml:space="preserve">), </w:t>
      </w:r>
      <w:r>
        <w:rPr>
          <w:bCs/>
          <w:sz w:val="24"/>
          <w:szCs w:val="24"/>
        </w:rPr>
        <w:t xml:space="preserve">echipate cu instalaţii de detectare, semnalizare şi alarmare a incendiului cu acoperire totală, instalaţii de evacuare a fumului şi instalaţii de stingere tip sprinkler se admite înlocuirea pereţilor rezistenţi la foc dintre </w:t>
      </w:r>
      <w:r>
        <w:rPr>
          <w:sz w:val="24"/>
          <w:szCs w:val="24"/>
        </w:rPr>
        <w:t xml:space="preserve">spaţiile de vânzare (cu excepția celor menționate la </w:t>
      </w:r>
      <w:r>
        <w:rPr>
          <w:b/>
          <w:sz w:val="24"/>
          <w:szCs w:val="24"/>
        </w:rPr>
        <w:t xml:space="preserve">Art. 2.4.16.2., Art. </w:t>
      </w:r>
      <w:r>
        <w:rPr>
          <w:b/>
          <w:bCs/>
          <w:sz w:val="24"/>
          <w:szCs w:val="24"/>
        </w:rPr>
        <w:t>3.2.3.</w:t>
      </w:r>
      <w:r>
        <w:rPr>
          <w:b/>
          <w:sz w:val="24"/>
          <w:szCs w:val="24"/>
        </w:rPr>
        <w:t xml:space="preserve">6. </w:t>
      </w:r>
      <w:r>
        <w:rPr>
          <w:bCs/>
          <w:sz w:val="24"/>
          <w:szCs w:val="24"/>
        </w:rPr>
        <w:t>și</w:t>
      </w:r>
      <w:r>
        <w:rPr>
          <w:b/>
          <w:sz w:val="24"/>
          <w:szCs w:val="24"/>
        </w:rPr>
        <w:t xml:space="preserve"> Art. </w:t>
      </w:r>
      <w:r>
        <w:rPr>
          <w:b/>
          <w:bCs/>
          <w:sz w:val="24"/>
          <w:szCs w:val="24"/>
        </w:rPr>
        <w:t>3.2.3.7</w:t>
      </w:r>
      <w:r>
        <w:rPr>
          <w:b/>
          <w:sz w:val="24"/>
          <w:szCs w:val="24"/>
        </w:rPr>
        <w:t>.</w:t>
      </w:r>
      <w:r>
        <w:rPr>
          <w:sz w:val="24"/>
          <w:szCs w:val="24"/>
        </w:rPr>
        <w:t>)</w:t>
      </w:r>
      <w:r>
        <w:rPr>
          <w:bCs/>
          <w:sz w:val="24"/>
          <w:szCs w:val="24"/>
        </w:rPr>
        <w:t xml:space="preserve"> cu ecrane continui, având înălţimea egală cu aceea a rezervorului de fum, dar minimum </w:t>
      </w:r>
      <w:r>
        <w:rPr>
          <w:b/>
          <w:bCs/>
          <w:sz w:val="24"/>
          <w:szCs w:val="24"/>
        </w:rPr>
        <w:t>1</w:t>
      </w:r>
      <w:r>
        <w:rPr>
          <w:bCs/>
          <w:sz w:val="24"/>
          <w:szCs w:val="24"/>
        </w:rPr>
        <w:t xml:space="preserve"> m (</w:t>
      </w:r>
      <w:r>
        <w:rPr>
          <w:sz w:val="24"/>
          <w:szCs w:val="24"/>
        </w:rPr>
        <w:t xml:space="preserve">fumul din </w:t>
      </w:r>
      <w:r>
        <w:rPr>
          <w:rFonts w:eastAsia="Arial"/>
          <w:bCs/>
          <w:sz w:val="24"/>
          <w:szCs w:val="24"/>
        </w:rPr>
        <w:t>rezervorul de fum trebuie</w:t>
      </w:r>
      <w:r>
        <w:rPr>
          <w:sz w:val="24"/>
          <w:szCs w:val="24"/>
        </w:rPr>
        <w:t xml:space="preserve"> să nu se extindă la zonele de fum învecinate</w:t>
      </w:r>
      <w:r>
        <w:rPr>
          <w:bCs/>
          <w:sz w:val="24"/>
          <w:szCs w:val="24"/>
        </w:rPr>
        <w:t>), care trebuie să fie:</w:t>
      </w:r>
    </w:p>
    <w:p w14:paraId="54C7FD83" w14:textId="77777777" w:rsidR="001C08A5" w:rsidRDefault="00000000">
      <w:pPr>
        <w:ind w:left="1440" w:firstLine="720"/>
        <w:jc w:val="both"/>
        <w:rPr>
          <w:sz w:val="24"/>
          <w:szCs w:val="24"/>
        </w:rPr>
      </w:pPr>
      <w:r>
        <w:rPr>
          <w:b/>
          <w:sz w:val="24"/>
          <w:szCs w:val="24"/>
        </w:rPr>
        <w:t>- DH 90</w:t>
      </w:r>
      <w:r>
        <w:rPr>
          <w:bCs/>
          <w:sz w:val="24"/>
          <w:szCs w:val="24"/>
        </w:rPr>
        <w:t xml:space="preserve"> - </w:t>
      </w:r>
      <w:r>
        <w:rPr>
          <w:sz w:val="24"/>
          <w:szCs w:val="24"/>
        </w:rPr>
        <w:t>în construcţiile civile de comerț supraterane cu înălţimi obişnuite cu nivelul de stabilitate la incendiu</w:t>
      </w:r>
      <w:r>
        <w:rPr>
          <w:b/>
          <w:bCs/>
          <w:sz w:val="24"/>
          <w:szCs w:val="24"/>
        </w:rPr>
        <w:t xml:space="preserve"> I</w:t>
      </w:r>
    </w:p>
    <w:p w14:paraId="17555AFE" w14:textId="77777777" w:rsidR="001C08A5" w:rsidRDefault="00000000">
      <w:pPr>
        <w:ind w:left="1440" w:firstLine="720"/>
        <w:jc w:val="both"/>
        <w:rPr>
          <w:sz w:val="24"/>
          <w:szCs w:val="24"/>
        </w:rPr>
      </w:pPr>
      <w:r>
        <w:rPr>
          <w:b/>
          <w:sz w:val="24"/>
          <w:szCs w:val="24"/>
        </w:rPr>
        <w:t>- DH 60</w:t>
      </w:r>
      <w:r>
        <w:rPr>
          <w:bCs/>
          <w:sz w:val="24"/>
          <w:szCs w:val="24"/>
        </w:rPr>
        <w:t xml:space="preserve"> - </w:t>
      </w:r>
      <w:r>
        <w:rPr>
          <w:sz w:val="24"/>
          <w:szCs w:val="24"/>
        </w:rPr>
        <w:t>în construcţiile civile de comerț supraterane cu înălţimi obişnuite cu nivelul de stabilitate la incendiu</w:t>
      </w:r>
      <w:r>
        <w:rPr>
          <w:b/>
          <w:bCs/>
          <w:sz w:val="24"/>
          <w:szCs w:val="24"/>
        </w:rPr>
        <w:t xml:space="preserve"> II</w:t>
      </w:r>
      <w:r>
        <w:rPr>
          <w:sz w:val="24"/>
          <w:szCs w:val="24"/>
        </w:rPr>
        <w:t xml:space="preserve"> și </w:t>
      </w:r>
      <w:r>
        <w:rPr>
          <w:b/>
          <w:bCs/>
          <w:sz w:val="24"/>
          <w:szCs w:val="24"/>
        </w:rPr>
        <w:t>III</w:t>
      </w:r>
    </w:p>
    <w:p w14:paraId="409071EE" w14:textId="77777777" w:rsidR="001C08A5" w:rsidRDefault="00000000">
      <w:pPr>
        <w:ind w:left="1440" w:firstLine="720"/>
        <w:jc w:val="both"/>
        <w:rPr>
          <w:rFonts w:eastAsia="Arial"/>
          <w:bCs/>
          <w:sz w:val="24"/>
          <w:szCs w:val="24"/>
        </w:rPr>
      </w:pPr>
      <w:r>
        <w:rPr>
          <w:b/>
          <w:sz w:val="24"/>
          <w:szCs w:val="24"/>
        </w:rPr>
        <w:t>- DH 30</w:t>
      </w:r>
      <w:r>
        <w:rPr>
          <w:bCs/>
          <w:sz w:val="24"/>
          <w:szCs w:val="24"/>
        </w:rPr>
        <w:t xml:space="preserve"> - </w:t>
      </w:r>
      <w:r>
        <w:rPr>
          <w:sz w:val="24"/>
          <w:szCs w:val="24"/>
        </w:rPr>
        <w:t>în construcţiile civile de comerț supraterane cu înălţimi obişnuite cu nivelul de stabilitate la incendiu</w:t>
      </w:r>
      <w:r>
        <w:rPr>
          <w:b/>
          <w:bCs/>
          <w:sz w:val="24"/>
          <w:szCs w:val="24"/>
        </w:rPr>
        <w:t xml:space="preserve"> IV</w:t>
      </w:r>
    </w:p>
    <w:p w14:paraId="006F7F06" w14:textId="77777777" w:rsidR="001C08A5" w:rsidRDefault="00000000">
      <w:pPr>
        <w:ind w:firstLine="567"/>
        <w:jc w:val="both"/>
        <w:rPr>
          <w:rFonts w:eastAsia="Arial"/>
          <w:bCs/>
          <w:sz w:val="24"/>
          <w:szCs w:val="24"/>
        </w:rPr>
      </w:pPr>
      <w:r>
        <w:rPr>
          <w:b/>
          <w:sz w:val="24"/>
          <w:szCs w:val="24"/>
        </w:rPr>
        <w:t xml:space="preserve">(2) </w:t>
      </w:r>
      <w:r>
        <w:rPr>
          <w:rFonts w:eastAsia="Arial"/>
          <w:bCs/>
          <w:sz w:val="24"/>
          <w:szCs w:val="24"/>
        </w:rPr>
        <w:t xml:space="preserve">Aria maximă a rezervorului de fum delimitat de ecranele precizate la alineatul precedent trebuie să fie de </w:t>
      </w:r>
      <w:r>
        <w:rPr>
          <w:rFonts w:eastAsia="Arial"/>
          <w:b/>
          <w:sz w:val="24"/>
          <w:szCs w:val="24"/>
        </w:rPr>
        <w:t>1.000 m</w:t>
      </w:r>
      <w:r>
        <w:rPr>
          <w:rFonts w:eastAsia="Arial"/>
          <w:b/>
          <w:sz w:val="24"/>
          <w:szCs w:val="24"/>
          <w:vertAlign w:val="superscript"/>
        </w:rPr>
        <w:t>2</w:t>
      </w:r>
      <w:r>
        <w:rPr>
          <w:rFonts w:eastAsia="Arial"/>
          <w:bCs/>
          <w:sz w:val="24"/>
          <w:szCs w:val="24"/>
        </w:rPr>
        <w:t xml:space="preserve"> dacă există evacuare naturală a fumului sau </w:t>
      </w:r>
      <w:r>
        <w:rPr>
          <w:rFonts w:eastAsia="Arial"/>
          <w:b/>
          <w:sz w:val="24"/>
          <w:szCs w:val="24"/>
        </w:rPr>
        <w:t>1.300 m</w:t>
      </w:r>
      <w:r>
        <w:rPr>
          <w:rFonts w:eastAsia="Arial"/>
          <w:b/>
          <w:sz w:val="24"/>
          <w:szCs w:val="24"/>
          <w:vertAlign w:val="superscript"/>
        </w:rPr>
        <w:t>2</w:t>
      </w:r>
      <w:r>
        <w:rPr>
          <w:rFonts w:eastAsia="Arial"/>
          <w:bCs/>
          <w:sz w:val="24"/>
          <w:szCs w:val="24"/>
        </w:rPr>
        <w:t xml:space="preserve"> dacă există ventilatoare mecanice de evacuare a fumului, iar </w:t>
      </w:r>
      <w:r>
        <w:rPr>
          <w:bCs/>
          <w:sz w:val="24"/>
          <w:szCs w:val="24"/>
        </w:rPr>
        <w:t xml:space="preserve">lungimea maximă a rezervorului de fum nu va depăşi </w:t>
      </w:r>
      <w:r>
        <w:rPr>
          <w:b/>
          <w:sz w:val="24"/>
          <w:szCs w:val="24"/>
        </w:rPr>
        <w:t>60 m</w:t>
      </w:r>
      <w:r>
        <w:rPr>
          <w:rFonts w:eastAsia="Arial"/>
          <w:bCs/>
          <w:sz w:val="24"/>
          <w:szCs w:val="24"/>
        </w:rPr>
        <w:t>.</w:t>
      </w:r>
    </w:p>
    <w:p w14:paraId="5068A833" w14:textId="77777777" w:rsidR="001C08A5" w:rsidRDefault="00000000">
      <w:pPr>
        <w:ind w:firstLine="567"/>
        <w:jc w:val="both"/>
        <w:rPr>
          <w:sz w:val="24"/>
          <w:szCs w:val="24"/>
        </w:rPr>
      </w:pPr>
      <w:r>
        <w:rPr>
          <w:b/>
          <w:sz w:val="24"/>
          <w:szCs w:val="24"/>
        </w:rPr>
        <w:t xml:space="preserve">(3) </w:t>
      </w:r>
      <w:r>
        <w:rPr>
          <w:bCs/>
          <w:sz w:val="24"/>
          <w:szCs w:val="24"/>
        </w:rPr>
        <w:t xml:space="preserve">Pereţii rezistenţi la foc dintre </w:t>
      </w:r>
      <w:r>
        <w:rPr>
          <w:sz w:val="24"/>
          <w:szCs w:val="24"/>
        </w:rPr>
        <w:t xml:space="preserve">spaţiile de vânzare și circulațiile comune de evacuare (coridoare și holuri) din construcţiile civile de comerț supraterane cu înălţimi obişnuite pot fi înlocuiți respectând prevederile aferente </w:t>
      </w:r>
      <w:r>
        <w:rPr>
          <w:b/>
          <w:bCs/>
          <w:i/>
          <w:iCs/>
          <w:sz w:val="24"/>
          <w:szCs w:val="24"/>
        </w:rPr>
        <w:t>Notei b)</w:t>
      </w:r>
      <w:r>
        <w:rPr>
          <w:sz w:val="24"/>
          <w:szCs w:val="24"/>
        </w:rPr>
        <w:t xml:space="preserve"> de la </w:t>
      </w:r>
      <w:r>
        <w:rPr>
          <w:b/>
          <w:bCs/>
          <w:i/>
          <w:iCs/>
          <w:sz w:val="24"/>
          <w:szCs w:val="24"/>
        </w:rPr>
        <w:t>Tabelul 62</w:t>
      </w:r>
      <w:r>
        <w:rPr>
          <w:sz w:val="24"/>
          <w:szCs w:val="24"/>
        </w:rPr>
        <w:t xml:space="preserve"> și </w:t>
      </w:r>
      <w:r>
        <w:rPr>
          <w:b/>
          <w:bCs/>
          <w:i/>
          <w:iCs/>
          <w:sz w:val="24"/>
          <w:szCs w:val="24"/>
        </w:rPr>
        <w:t>Tabelul 63</w:t>
      </w:r>
      <w:r>
        <w:rPr>
          <w:sz w:val="24"/>
          <w:szCs w:val="24"/>
        </w:rPr>
        <w:t>.</w:t>
      </w:r>
    </w:p>
    <w:p w14:paraId="5A098E02" w14:textId="77777777" w:rsidR="001C08A5" w:rsidRDefault="00000000">
      <w:pPr>
        <w:ind w:firstLine="567"/>
        <w:jc w:val="both"/>
        <w:rPr>
          <w:sz w:val="24"/>
          <w:szCs w:val="24"/>
        </w:rPr>
      </w:pPr>
      <w:r>
        <w:rPr>
          <w:b/>
          <w:sz w:val="24"/>
          <w:szCs w:val="24"/>
        </w:rPr>
        <w:t xml:space="preserve">(4) </w:t>
      </w:r>
      <w:r>
        <w:rPr>
          <w:bCs/>
          <w:sz w:val="24"/>
          <w:szCs w:val="24"/>
        </w:rPr>
        <w:t xml:space="preserve">Pereţii rezistenţi la foc dintre </w:t>
      </w:r>
      <w:r>
        <w:rPr>
          <w:sz w:val="24"/>
          <w:szCs w:val="24"/>
        </w:rPr>
        <w:t xml:space="preserve">spaţiile de vânzare și circulațiile comune verticale de evacuare (case de scări închise) din construcţiile civile de comerț supraterane cu înălţimi obişnuite trebuie să respecte </w:t>
      </w:r>
      <w:r>
        <w:rPr>
          <w:b/>
          <w:bCs/>
          <w:i/>
          <w:iCs/>
          <w:sz w:val="24"/>
          <w:szCs w:val="24"/>
        </w:rPr>
        <w:t>Tabelul 61</w:t>
      </w:r>
      <w:r>
        <w:rPr>
          <w:sz w:val="24"/>
          <w:szCs w:val="24"/>
        </w:rPr>
        <w:t xml:space="preserve"> dar minimum </w:t>
      </w:r>
      <w:r>
        <w:rPr>
          <w:b/>
          <w:sz w:val="24"/>
          <w:szCs w:val="24"/>
        </w:rPr>
        <w:t>EI/REI 120</w:t>
      </w:r>
      <w:r>
        <w:rPr>
          <w:sz w:val="24"/>
          <w:szCs w:val="24"/>
        </w:rPr>
        <w:t xml:space="preserve"> şi, după caz, cu planşee rezistente la foc minimum </w:t>
      </w:r>
      <w:r>
        <w:rPr>
          <w:b/>
          <w:sz w:val="24"/>
          <w:szCs w:val="24"/>
        </w:rPr>
        <w:t>REI 90</w:t>
      </w:r>
      <w:r>
        <w:rPr>
          <w:sz w:val="24"/>
          <w:szCs w:val="24"/>
        </w:rPr>
        <w:t xml:space="preserve">, iar golurile de circulaţie funcţională şi de evacuare din aceşti pereţi se protejază cu elemente de închidere rezistente la foc minimum </w:t>
      </w:r>
      <w:r>
        <w:rPr>
          <w:b/>
          <w:bCs/>
          <w:sz w:val="24"/>
          <w:szCs w:val="24"/>
        </w:rPr>
        <w:t>EI</w:t>
      </w:r>
      <w:r>
        <w:rPr>
          <w:b/>
          <w:bCs/>
          <w:sz w:val="24"/>
          <w:szCs w:val="24"/>
          <w:vertAlign w:val="subscript"/>
        </w:rPr>
        <w:t>2</w:t>
      </w:r>
      <w:r>
        <w:rPr>
          <w:b/>
          <w:bCs/>
          <w:sz w:val="24"/>
          <w:szCs w:val="24"/>
        </w:rPr>
        <w:t>60-C4S</w:t>
      </w:r>
      <w:r>
        <w:rPr>
          <w:b/>
          <w:bCs/>
          <w:sz w:val="24"/>
          <w:szCs w:val="24"/>
          <w:vertAlign w:val="subscript"/>
        </w:rPr>
        <w:t>m</w:t>
      </w:r>
      <w:r>
        <w:rPr>
          <w:sz w:val="24"/>
          <w:szCs w:val="24"/>
        </w:rPr>
        <w:t>.</w:t>
      </w:r>
    </w:p>
    <w:p w14:paraId="3B99D418" w14:textId="77777777" w:rsidR="001C08A5" w:rsidRDefault="001C08A5">
      <w:pPr>
        <w:jc w:val="both"/>
        <w:rPr>
          <w:sz w:val="24"/>
          <w:szCs w:val="24"/>
        </w:rPr>
      </w:pPr>
    </w:p>
    <w:p w14:paraId="176A6FBE" w14:textId="77777777" w:rsidR="001C08A5" w:rsidRDefault="00000000">
      <w:pPr>
        <w:ind w:firstLine="567"/>
        <w:jc w:val="both"/>
        <w:rPr>
          <w:bCs/>
          <w:sz w:val="24"/>
          <w:szCs w:val="24"/>
        </w:rPr>
      </w:pPr>
      <w:r>
        <w:rPr>
          <w:b/>
          <w:sz w:val="24"/>
          <w:szCs w:val="24"/>
        </w:rPr>
        <w:t xml:space="preserve">Art. </w:t>
      </w:r>
      <w:r>
        <w:rPr>
          <w:b/>
          <w:bCs/>
          <w:sz w:val="24"/>
          <w:szCs w:val="24"/>
        </w:rPr>
        <w:t>3.2.3.11</w:t>
      </w:r>
      <w:r>
        <w:rPr>
          <w:b/>
          <w:sz w:val="24"/>
          <w:szCs w:val="24"/>
        </w:rPr>
        <w:t xml:space="preserve">. (1) </w:t>
      </w:r>
      <w:r>
        <w:rPr>
          <w:sz w:val="24"/>
          <w:szCs w:val="24"/>
        </w:rPr>
        <w:t xml:space="preserve">La spaţiile de vânzare din clădiri de comerț menționate la </w:t>
      </w:r>
      <w:r>
        <w:rPr>
          <w:b/>
          <w:sz w:val="24"/>
          <w:szCs w:val="24"/>
        </w:rPr>
        <w:t xml:space="preserve">Art. </w:t>
      </w:r>
      <w:r>
        <w:rPr>
          <w:b/>
          <w:bCs/>
          <w:sz w:val="24"/>
          <w:szCs w:val="24"/>
        </w:rPr>
        <w:t>3.2.3.</w:t>
      </w:r>
      <w:r>
        <w:rPr>
          <w:b/>
          <w:sz w:val="24"/>
          <w:szCs w:val="24"/>
        </w:rPr>
        <w:t>5. (1)</w:t>
      </w:r>
      <w:r>
        <w:rPr>
          <w:bCs/>
          <w:sz w:val="24"/>
          <w:szCs w:val="24"/>
        </w:rPr>
        <w:t xml:space="preserve">, </w:t>
      </w:r>
      <w:r>
        <w:rPr>
          <w:sz w:val="24"/>
          <w:szCs w:val="24"/>
        </w:rPr>
        <w:t>la care evacuarea fumului se poate face direct din rezervorul de fum (</w:t>
      </w:r>
      <w:r>
        <w:rPr>
          <w:rFonts w:eastAsia="Arial"/>
          <w:bCs/>
          <w:sz w:val="24"/>
          <w:szCs w:val="24"/>
        </w:rPr>
        <w:t>incendiul este direct sub rezervorul de fum</w:t>
      </w:r>
      <w:r>
        <w:rPr>
          <w:sz w:val="24"/>
          <w:szCs w:val="24"/>
        </w:rPr>
        <w:t xml:space="preserve">), </w:t>
      </w:r>
      <w:r>
        <w:rPr>
          <w:bCs/>
          <w:sz w:val="24"/>
          <w:szCs w:val="24"/>
        </w:rPr>
        <w:t xml:space="preserve">echipate cu instalaţii de detectare, semnalizare şi alarmare a incendiului cu acoperire totală, instalaţii de evacuare a fumului şi instalaţii de stingere tip sprinkler se admite înlocuirea pereţilor rezistenţi la foc dintre </w:t>
      </w:r>
      <w:r>
        <w:rPr>
          <w:sz w:val="24"/>
          <w:szCs w:val="24"/>
        </w:rPr>
        <w:t xml:space="preserve">spaţiile de vânzare (cu excepția celor menționate la </w:t>
      </w:r>
      <w:r>
        <w:rPr>
          <w:b/>
          <w:sz w:val="24"/>
          <w:szCs w:val="24"/>
        </w:rPr>
        <w:t xml:space="preserve">Art. 2.4.16.2., Art. </w:t>
      </w:r>
      <w:r>
        <w:rPr>
          <w:b/>
          <w:bCs/>
          <w:sz w:val="24"/>
          <w:szCs w:val="24"/>
        </w:rPr>
        <w:t>3.2.3.</w:t>
      </w:r>
      <w:r>
        <w:rPr>
          <w:b/>
          <w:sz w:val="24"/>
          <w:szCs w:val="24"/>
        </w:rPr>
        <w:t xml:space="preserve">6. </w:t>
      </w:r>
      <w:r>
        <w:rPr>
          <w:bCs/>
          <w:sz w:val="24"/>
          <w:szCs w:val="24"/>
        </w:rPr>
        <w:t>și</w:t>
      </w:r>
      <w:r>
        <w:rPr>
          <w:b/>
          <w:sz w:val="24"/>
          <w:szCs w:val="24"/>
        </w:rPr>
        <w:t xml:space="preserve"> Art. </w:t>
      </w:r>
      <w:r>
        <w:rPr>
          <w:b/>
          <w:bCs/>
          <w:sz w:val="24"/>
          <w:szCs w:val="24"/>
        </w:rPr>
        <w:t>3.2.3.7</w:t>
      </w:r>
      <w:r>
        <w:rPr>
          <w:b/>
          <w:sz w:val="24"/>
          <w:szCs w:val="24"/>
        </w:rPr>
        <w:t>.</w:t>
      </w:r>
      <w:r>
        <w:rPr>
          <w:sz w:val="24"/>
          <w:szCs w:val="24"/>
        </w:rPr>
        <w:t>)</w:t>
      </w:r>
      <w:r>
        <w:rPr>
          <w:bCs/>
          <w:sz w:val="24"/>
          <w:szCs w:val="24"/>
        </w:rPr>
        <w:t xml:space="preserve"> cu ecrane continui, având înălţimea egală cu aceea a rezervorului de fum, dar minimum </w:t>
      </w:r>
      <w:r>
        <w:rPr>
          <w:b/>
          <w:bCs/>
          <w:sz w:val="24"/>
          <w:szCs w:val="24"/>
        </w:rPr>
        <w:t>1</w:t>
      </w:r>
      <w:r>
        <w:rPr>
          <w:bCs/>
          <w:sz w:val="24"/>
          <w:szCs w:val="24"/>
        </w:rPr>
        <w:t xml:space="preserve"> m (</w:t>
      </w:r>
      <w:r>
        <w:rPr>
          <w:sz w:val="24"/>
          <w:szCs w:val="24"/>
        </w:rPr>
        <w:t xml:space="preserve">fumul din </w:t>
      </w:r>
      <w:r>
        <w:rPr>
          <w:rFonts w:eastAsia="Arial"/>
          <w:bCs/>
          <w:sz w:val="24"/>
          <w:szCs w:val="24"/>
        </w:rPr>
        <w:t>rezervorul de fum trebuie</w:t>
      </w:r>
      <w:r>
        <w:rPr>
          <w:sz w:val="24"/>
          <w:szCs w:val="24"/>
        </w:rPr>
        <w:t xml:space="preserve"> să nu se extindă la zonele de fum învecinate</w:t>
      </w:r>
      <w:r>
        <w:rPr>
          <w:bCs/>
          <w:sz w:val="24"/>
          <w:szCs w:val="24"/>
        </w:rPr>
        <w:t>), care trebuie să fie:</w:t>
      </w:r>
    </w:p>
    <w:p w14:paraId="694D8963" w14:textId="77777777" w:rsidR="001C08A5" w:rsidRDefault="00000000">
      <w:pPr>
        <w:ind w:left="1440" w:firstLine="720"/>
        <w:jc w:val="both"/>
        <w:rPr>
          <w:sz w:val="24"/>
          <w:szCs w:val="24"/>
        </w:rPr>
      </w:pPr>
      <w:r>
        <w:rPr>
          <w:b/>
          <w:sz w:val="24"/>
          <w:szCs w:val="24"/>
        </w:rPr>
        <w:t>- D</w:t>
      </w:r>
      <w:r>
        <w:rPr>
          <w:b/>
          <w:sz w:val="24"/>
          <w:szCs w:val="24"/>
          <w:vertAlign w:val="subscript"/>
        </w:rPr>
        <w:t>600</w:t>
      </w:r>
      <w:r>
        <w:rPr>
          <w:b/>
          <w:sz w:val="24"/>
          <w:szCs w:val="24"/>
        </w:rPr>
        <w:t xml:space="preserve"> 90</w:t>
      </w:r>
      <w:r>
        <w:rPr>
          <w:bCs/>
          <w:sz w:val="24"/>
          <w:szCs w:val="24"/>
        </w:rPr>
        <w:t xml:space="preserve"> - </w:t>
      </w:r>
      <w:r>
        <w:rPr>
          <w:sz w:val="24"/>
          <w:szCs w:val="24"/>
        </w:rPr>
        <w:t>în construcţiile civile de comerț supraterane cu înălţimi obişnuite cu nivelul de stabilitate la incendiu</w:t>
      </w:r>
      <w:r>
        <w:rPr>
          <w:b/>
          <w:bCs/>
          <w:sz w:val="24"/>
          <w:szCs w:val="24"/>
        </w:rPr>
        <w:t xml:space="preserve"> I</w:t>
      </w:r>
    </w:p>
    <w:p w14:paraId="5E9C9219" w14:textId="77777777" w:rsidR="001C08A5" w:rsidRDefault="00000000">
      <w:pPr>
        <w:ind w:left="1440" w:firstLine="720"/>
        <w:jc w:val="both"/>
        <w:rPr>
          <w:sz w:val="24"/>
          <w:szCs w:val="24"/>
        </w:rPr>
      </w:pPr>
      <w:r>
        <w:rPr>
          <w:b/>
          <w:sz w:val="24"/>
          <w:szCs w:val="24"/>
        </w:rPr>
        <w:t>- D</w:t>
      </w:r>
      <w:r>
        <w:rPr>
          <w:b/>
          <w:sz w:val="24"/>
          <w:szCs w:val="24"/>
          <w:vertAlign w:val="subscript"/>
        </w:rPr>
        <w:t>600</w:t>
      </w:r>
      <w:r>
        <w:rPr>
          <w:b/>
          <w:sz w:val="24"/>
          <w:szCs w:val="24"/>
        </w:rPr>
        <w:t xml:space="preserve"> 60</w:t>
      </w:r>
      <w:r>
        <w:rPr>
          <w:bCs/>
          <w:sz w:val="24"/>
          <w:szCs w:val="24"/>
        </w:rPr>
        <w:t xml:space="preserve"> - </w:t>
      </w:r>
      <w:r>
        <w:rPr>
          <w:sz w:val="24"/>
          <w:szCs w:val="24"/>
        </w:rPr>
        <w:t>în construcţiile civile de comerț supraterane cu înălţimi obişnuite cu nivelul de stabilitate la incendiu</w:t>
      </w:r>
      <w:r>
        <w:rPr>
          <w:b/>
          <w:bCs/>
          <w:sz w:val="24"/>
          <w:szCs w:val="24"/>
        </w:rPr>
        <w:t xml:space="preserve"> II</w:t>
      </w:r>
      <w:r>
        <w:rPr>
          <w:sz w:val="24"/>
          <w:szCs w:val="24"/>
        </w:rPr>
        <w:t xml:space="preserve"> și</w:t>
      </w:r>
      <w:r>
        <w:rPr>
          <w:b/>
          <w:bCs/>
          <w:sz w:val="24"/>
          <w:szCs w:val="24"/>
        </w:rPr>
        <w:t xml:space="preserve"> III</w:t>
      </w:r>
    </w:p>
    <w:p w14:paraId="379DC1F1" w14:textId="77777777" w:rsidR="001C08A5" w:rsidRDefault="00000000">
      <w:pPr>
        <w:ind w:left="1440" w:firstLine="720"/>
        <w:jc w:val="both"/>
        <w:rPr>
          <w:rFonts w:eastAsia="Arial"/>
          <w:bCs/>
          <w:sz w:val="24"/>
          <w:szCs w:val="24"/>
        </w:rPr>
      </w:pPr>
      <w:r>
        <w:rPr>
          <w:b/>
          <w:sz w:val="24"/>
          <w:szCs w:val="24"/>
        </w:rPr>
        <w:t>- D</w:t>
      </w:r>
      <w:r>
        <w:rPr>
          <w:b/>
          <w:sz w:val="24"/>
          <w:szCs w:val="24"/>
          <w:vertAlign w:val="subscript"/>
        </w:rPr>
        <w:t>600</w:t>
      </w:r>
      <w:r>
        <w:rPr>
          <w:b/>
          <w:sz w:val="24"/>
          <w:szCs w:val="24"/>
        </w:rPr>
        <w:t xml:space="preserve"> 30</w:t>
      </w:r>
      <w:r>
        <w:rPr>
          <w:bCs/>
          <w:sz w:val="24"/>
          <w:szCs w:val="24"/>
        </w:rPr>
        <w:t xml:space="preserve"> - </w:t>
      </w:r>
      <w:r>
        <w:rPr>
          <w:sz w:val="24"/>
          <w:szCs w:val="24"/>
        </w:rPr>
        <w:t>în construcţiile civile de comerț supraterane cu înălţimi obişnuite cu nivelul de stabilitate la incendiu</w:t>
      </w:r>
      <w:r>
        <w:rPr>
          <w:b/>
          <w:bCs/>
          <w:sz w:val="24"/>
          <w:szCs w:val="24"/>
        </w:rPr>
        <w:t xml:space="preserve"> IV</w:t>
      </w:r>
    </w:p>
    <w:p w14:paraId="3A2613DE" w14:textId="77777777" w:rsidR="001C08A5" w:rsidRDefault="00000000">
      <w:pPr>
        <w:ind w:firstLine="567"/>
        <w:jc w:val="both"/>
        <w:rPr>
          <w:rFonts w:eastAsia="Arial"/>
          <w:bCs/>
          <w:sz w:val="24"/>
          <w:szCs w:val="24"/>
        </w:rPr>
      </w:pPr>
      <w:r>
        <w:rPr>
          <w:b/>
          <w:sz w:val="24"/>
          <w:szCs w:val="24"/>
        </w:rPr>
        <w:t xml:space="preserve">(2) </w:t>
      </w:r>
      <w:r>
        <w:rPr>
          <w:rFonts w:eastAsia="Arial"/>
          <w:bCs/>
          <w:sz w:val="24"/>
          <w:szCs w:val="24"/>
        </w:rPr>
        <w:t xml:space="preserve">Aria maximă a rezervorului de fum delimitat de ecranele precizate la alineatul precedent trebuie să fie de </w:t>
      </w:r>
      <w:r>
        <w:rPr>
          <w:rFonts w:eastAsia="Arial"/>
          <w:b/>
          <w:sz w:val="24"/>
          <w:szCs w:val="24"/>
        </w:rPr>
        <w:t>2.000 m</w:t>
      </w:r>
      <w:r>
        <w:rPr>
          <w:rFonts w:eastAsia="Arial"/>
          <w:b/>
          <w:sz w:val="24"/>
          <w:szCs w:val="24"/>
          <w:vertAlign w:val="superscript"/>
        </w:rPr>
        <w:t>2</w:t>
      </w:r>
      <w:r>
        <w:rPr>
          <w:rFonts w:eastAsia="Arial"/>
          <w:bCs/>
          <w:sz w:val="24"/>
          <w:szCs w:val="24"/>
        </w:rPr>
        <w:t xml:space="preserve"> dacă există evacuare naturală a fumului sau </w:t>
      </w:r>
      <w:r>
        <w:rPr>
          <w:rFonts w:eastAsia="Arial"/>
          <w:b/>
          <w:sz w:val="24"/>
          <w:szCs w:val="24"/>
        </w:rPr>
        <w:t>2.600 m</w:t>
      </w:r>
      <w:r>
        <w:rPr>
          <w:rFonts w:eastAsia="Arial"/>
          <w:b/>
          <w:sz w:val="24"/>
          <w:szCs w:val="24"/>
          <w:vertAlign w:val="superscript"/>
        </w:rPr>
        <w:t>2</w:t>
      </w:r>
      <w:r>
        <w:rPr>
          <w:rFonts w:eastAsia="Arial"/>
          <w:bCs/>
          <w:sz w:val="24"/>
          <w:szCs w:val="24"/>
        </w:rPr>
        <w:t xml:space="preserve"> dacă există ventilatoare mecanice de evacuare a fumului, iar </w:t>
      </w:r>
      <w:r>
        <w:rPr>
          <w:bCs/>
          <w:sz w:val="24"/>
          <w:szCs w:val="24"/>
        </w:rPr>
        <w:t xml:space="preserve">lungimea maximă a rezervorului de fum nu va depăşi </w:t>
      </w:r>
      <w:r>
        <w:rPr>
          <w:b/>
          <w:sz w:val="24"/>
          <w:szCs w:val="24"/>
        </w:rPr>
        <w:t>60 m</w:t>
      </w:r>
      <w:r>
        <w:rPr>
          <w:rFonts w:eastAsia="Arial"/>
          <w:bCs/>
          <w:sz w:val="24"/>
          <w:szCs w:val="24"/>
        </w:rPr>
        <w:t>.</w:t>
      </w:r>
    </w:p>
    <w:p w14:paraId="61D4F2E7" w14:textId="77777777" w:rsidR="001C08A5" w:rsidRDefault="00000000">
      <w:pPr>
        <w:ind w:firstLine="567"/>
        <w:jc w:val="both"/>
        <w:rPr>
          <w:rFonts w:eastAsia="Arial"/>
          <w:bCs/>
          <w:sz w:val="24"/>
          <w:szCs w:val="24"/>
        </w:rPr>
      </w:pPr>
      <w:r>
        <w:rPr>
          <w:b/>
          <w:sz w:val="24"/>
          <w:szCs w:val="24"/>
        </w:rPr>
        <w:t xml:space="preserve">(3) </w:t>
      </w:r>
      <w:r>
        <w:rPr>
          <w:bCs/>
          <w:sz w:val="24"/>
          <w:szCs w:val="24"/>
        </w:rPr>
        <w:t xml:space="preserve">Pereţii rezistenţi la foc dintre </w:t>
      </w:r>
      <w:r>
        <w:rPr>
          <w:sz w:val="24"/>
          <w:szCs w:val="24"/>
        </w:rPr>
        <w:t xml:space="preserve">spaţiile de vânzare și circulațiile comune orizontale de evacuare (coridoare și holuri) din construcţiile civile de comerț supraterane cu înălţimi obişnuite pot fi inlocuiti respectand prevederile aferente </w:t>
      </w:r>
      <w:r>
        <w:rPr>
          <w:b/>
          <w:bCs/>
          <w:i/>
          <w:iCs/>
          <w:sz w:val="24"/>
          <w:szCs w:val="24"/>
        </w:rPr>
        <w:t>Notei b)</w:t>
      </w:r>
      <w:r>
        <w:rPr>
          <w:sz w:val="24"/>
          <w:szCs w:val="24"/>
        </w:rPr>
        <w:t xml:space="preserve"> de la </w:t>
      </w:r>
      <w:r>
        <w:rPr>
          <w:rFonts w:cs="Mangal"/>
          <w:b/>
          <w:i/>
          <w:iCs/>
          <w:sz w:val="24"/>
          <w:szCs w:val="24"/>
        </w:rPr>
        <w:fldChar w:fldCharType="begin"/>
      </w:r>
      <w:r>
        <w:rPr>
          <w:rFonts w:cs="Mangal"/>
          <w:b/>
          <w:i/>
          <w:iCs/>
          <w:sz w:val="24"/>
          <w:szCs w:val="24"/>
        </w:rPr>
        <w:instrText xml:space="preserve"> REF _Ref12800 \h </w:instrText>
      </w:r>
      <w:r>
        <w:rPr>
          <w:rFonts w:cs="Mangal"/>
          <w:b/>
          <w:i/>
          <w:iCs/>
          <w:sz w:val="24"/>
          <w:szCs w:val="24"/>
        </w:rPr>
      </w:r>
      <w:r>
        <w:rPr>
          <w:rFonts w:cs="Mangal"/>
          <w:b/>
          <w:i/>
          <w:iCs/>
          <w:sz w:val="24"/>
          <w:szCs w:val="24"/>
        </w:rPr>
        <w:fldChar w:fldCharType="separate"/>
      </w:r>
      <w:r>
        <w:t>Tabelul 62</w:t>
      </w:r>
      <w:r>
        <w:rPr>
          <w:rFonts w:cs="Mangal"/>
          <w:b/>
          <w:i/>
          <w:iCs/>
          <w:sz w:val="24"/>
          <w:szCs w:val="24"/>
        </w:rPr>
        <w:fldChar w:fldCharType="end"/>
      </w:r>
      <w:r>
        <w:rPr>
          <w:rFonts w:cs="Mangal"/>
          <w:b/>
          <w:i/>
          <w:iCs/>
          <w:sz w:val="24"/>
          <w:szCs w:val="24"/>
        </w:rPr>
        <w:t xml:space="preserve"> </w:t>
      </w:r>
      <w:r>
        <w:rPr>
          <w:sz w:val="24"/>
          <w:szCs w:val="24"/>
        </w:rPr>
        <w:t xml:space="preserve">și </w:t>
      </w:r>
      <w:r>
        <w:rPr>
          <w:rFonts w:cs="Mangal"/>
          <w:b/>
          <w:i/>
          <w:iCs/>
          <w:sz w:val="24"/>
          <w:szCs w:val="24"/>
        </w:rPr>
        <w:fldChar w:fldCharType="begin"/>
      </w:r>
      <w:r>
        <w:rPr>
          <w:rFonts w:cs="Mangal"/>
          <w:b/>
          <w:i/>
          <w:iCs/>
          <w:sz w:val="24"/>
          <w:szCs w:val="24"/>
        </w:rPr>
        <w:instrText xml:space="preserve"> REF _Ref12832 \h </w:instrText>
      </w:r>
      <w:r>
        <w:rPr>
          <w:rFonts w:cs="Mangal"/>
          <w:b/>
          <w:i/>
          <w:iCs/>
          <w:sz w:val="24"/>
          <w:szCs w:val="24"/>
        </w:rPr>
      </w:r>
      <w:r>
        <w:rPr>
          <w:rFonts w:cs="Mangal"/>
          <w:b/>
          <w:i/>
          <w:iCs/>
          <w:sz w:val="24"/>
          <w:szCs w:val="24"/>
        </w:rPr>
        <w:fldChar w:fldCharType="separate"/>
      </w:r>
      <w:r>
        <w:t>Tabelul 63</w:t>
      </w:r>
      <w:r>
        <w:rPr>
          <w:rFonts w:cs="Mangal"/>
          <w:b/>
          <w:i/>
          <w:iCs/>
          <w:sz w:val="24"/>
          <w:szCs w:val="24"/>
        </w:rPr>
        <w:fldChar w:fldCharType="end"/>
      </w:r>
      <w:r>
        <w:rPr>
          <w:sz w:val="24"/>
          <w:szCs w:val="24"/>
        </w:rPr>
        <w:t>.</w:t>
      </w:r>
    </w:p>
    <w:p w14:paraId="41777E28" w14:textId="77777777" w:rsidR="001C08A5" w:rsidRDefault="00000000">
      <w:pPr>
        <w:ind w:firstLine="567"/>
        <w:jc w:val="both"/>
        <w:rPr>
          <w:rFonts w:eastAsia="Arial"/>
          <w:bCs/>
          <w:sz w:val="24"/>
          <w:szCs w:val="24"/>
        </w:rPr>
      </w:pPr>
      <w:r>
        <w:rPr>
          <w:b/>
          <w:sz w:val="24"/>
          <w:szCs w:val="24"/>
        </w:rPr>
        <w:t xml:space="preserve">(4) </w:t>
      </w:r>
      <w:r>
        <w:rPr>
          <w:bCs/>
          <w:sz w:val="24"/>
          <w:szCs w:val="24"/>
        </w:rPr>
        <w:t xml:space="preserve">Pereţii rezistenţi la foc dintre </w:t>
      </w:r>
      <w:r>
        <w:rPr>
          <w:sz w:val="24"/>
          <w:szCs w:val="24"/>
        </w:rPr>
        <w:t xml:space="preserve">spaţiile de vânzare și circulațiile comune </w:t>
      </w:r>
      <w:r>
        <w:rPr>
          <w:sz w:val="24"/>
          <w:szCs w:val="24"/>
          <w:lang w:eastAsia="zh-CN"/>
        </w:rPr>
        <w:t>verticale</w:t>
      </w:r>
      <w:r>
        <w:rPr>
          <w:sz w:val="24"/>
          <w:szCs w:val="24"/>
        </w:rPr>
        <w:t xml:space="preserve"> (case de scări pentru evacuare) din construcţiile civile de comerț supraterane cu înălţimi obişnuite trebuie să </w:t>
      </w:r>
      <w:r>
        <w:rPr>
          <w:sz w:val="24"/>
          <w:szCs w:val="24"/>
        </w:rPr>
        <w:lastRenderedPageBreak/>
        <w:t xml:space="preserve">respecte </w:t>
      </w:r>
      <w:r>
        <w:rPr>
          <w:rFonts w:cs="Mangal"/>
          <w:b/>
          <w:i/>
          <w:iCs/>
          <w:sz w:val="24"/>
          <w:szCs w:val="24"/>
        </w:rPr>
        <w:fldChar w:fldCharType="begin"/>
      </w:r>
      <w:r>
        <w:rPr>
          <w:rFonts w:cs="Mangal"/>
          <w:b/>
          <w:i/>
          <w:iCs/>
          <w:sz w:val="24"/>
          <w:szCs w:val="24"/>
        </w:rPr>
        <w:instrText xml:space="preserve"> REF _Ref11996 \h </w:instrText>
      </w:r>
      <w:r>
        <w:rPr>
          <w:rFonts w:cs="Mangal"/>
          <w:b/>
          <w:i/>
          <w:iCs/>
          <w:sz w:val="24"/>
          <w:szCs w:val="24"/>
        </w:rPr>
      </w:r>
      <w:r>
        <w:rPr>
          <w:rFonts w:cs="Mangal"/>
          <w:b/>
          <w:i/>
          <w:iCs/>
          <w:sz w:val="24"/>
          <w:szCs w:val="24"/>
        </w:rPr>
        <w:fldChar w:fldCharType="separate"/>
      </w:r>
      <w:r>
        <w:t>Tabelul 61</w:t>
      </w:r>
      <w:r>
        <w:rPr>
          <w:rFonts w:cs="Mangal"/>
          <w:b/>
          <w:i/>
          <w:iCs/>
          <w:sz w:val="24"/>
          <w:szCs w:val="24"/>
        </w:rPr>
        <w:fldChar w:fldCharType="end"/>
      </w:r>
      <w:r>
        <w:rPr>
          <w:sz w:val="24"/>
          <w:szCs w:val="24"/>
        </w:rPr>
        <w:t xml:space="preserve"> dar minimum </w:t>
      </w:r>
      <w:r>
        <w:rPr>
          <w:b/>
          <w:sz w:val="24"/>
          <w:szCs w:val="24"/>
        </w:rPr>
        <w:t>EI/REI 120</w:t>
      </w:r>
      <w:r>
        <w:rPr>
          <w:sz w:val="24"/>
          <w:szCs w:val="24"/>
        </w:rPr>
        <w:t xml:space="preserve">, iar golurile de circulaţie funcţională şi de evacuare din aceşti pereţi se protejază cu elemente de închidere rezistente la foc minimum </w:t>
      </w:r>
      <w:r>
        <w:rPr>
          <w:b/>
          <w:bCs/>
          <w:sz w:val="24"/>
          <w:szCs w:val="24"/>
        </w:rPr>
        <w:t>EI</w:t>
      </w:r>
      <w:r>
        <w:rPr>
          <w:b/>
          <w:bCs/>
          <w:sz w:val="24"/>
          <w:szCs w:val="24"/>
          <w:vertAlign w:val="subscript"/>
        </w:rPr>
        <w:t>2</w:t>
      </w:r>
      <w:r>
        <w:rPr>
          <w:b/>
          <w:bCs/>
          <w:sz w:val="24"/>
          <w:szCs w:val="24"/>
        </w:rPr>
        <w:t>60-C4S</w:t>
      </w:r>
      <w:r>
        <w:rPr>
          <w:b/>
          <w:bCs/>
          <w:sz w:val="24"/>
          <w:szCs w:val="24"/>
          <w:vertAlign w:val="subscript"/>
        </w:rPr>
        <w:t>m</w:t>
      </w:r>
      <w:r>
        <w:rPr>
          <w:sz w:val="24"/>
          <w:szCs w:val="24"/>
        </w:rPr>
        <w:t>.</w:t>
      </w:r>
    </w:p>
    <w:p w14:paraId="202F9023" w14:textId="77777777" w:rsidR="001C08A5" w:rsidRDefault="001C08A5">
      <w:pPr>
        <w:jc w:val="both"/>
        <w:rPr>
          <w:b/>
          <w:sz w:val="24"/>
          <w:szCs w:val="24"/>
        </w:rPr>
      </w:pPr>
    </w:p>
    <w:p w14:paraId="5BB94CC1" w14:textId="77777777" w:rsidR="001C08A5" w:rsidRDefault="00000000">
      <w:pPr>
        <w:ind w:firstLine="567"/>
        <w:jc w:val="both"/>
        <w:rPr>
          <w:sz w:val="24"/>
          <w:szCs w:val="24"/>
        </w:rPr>
      </w:pPr>
      <w:r>
        <w:rPr>
          <w:b/>
          <w:sz w:val="24"/>
          <w:szCs w:val="24"/>
        </w:rPr>
        <w:t xml:space="preserve">Art. </w:t>
      </w:r>
      <w:r>
        <w:rPr>
          <w:b/>
          <w:bCs/>
          <w:sz w:val="24"/>
          <w:szCs w:val="24"/>
        </w:rPr>
        <w:t>3.2.3.</w:t>
      </w:r>
      <w:r>
        <w:rPr>
          <w:b/>
          <w:sz w:val="24"/>
          <w:szCs w:val="24"/>
        </w:rPr>
        <w:t xml:space="preserve">12. </w:t>
      </w:r>
      <w:r>
        <w:rPr>
          <w:sz w:val="24"/>
          <w:szCs w:val="24"/>
        </w:rPr>
        <w:t xml:space="preserve">Clădirile și compartimentele de incendiu pentru comerţ supraterane cu înălţimi obişnuite și încăperile supraterane pentru comerţ cu capacitatea maximă simultană mai mare de </w:t>
      </w:r>
      <w:r>
        <w:rPr>
          <w:b/>
          <w:bCs/>
          <w:sz w:val="24"/>
          <w:szCs w:val="24"/>
        </w:rPr>
        <w:t>100</w:t>
      </w:r>
      <w:r>
        <w:rPr>
          <w:sz w:val="24"/>
          <w:szCs w:val="24"/>
        </w:rPr>
        <w:t xml:space="preserve"> utilizatori, precum și cele subterane cu mai mult de</w:t>
      </w:r>
      <w:r>
        <w:rPr>
          <w:b/>
          <w:bCs/>
          <w:sz w:val="24"/>
          <w:szCs w:val="24"/>
        </w:rPr>
        <w:t xml:space="preserve"> 60</w:t>
      </w:r>
      <w:r>
        <w:rPr>
          <w:sz w:val="24"/>
          <w:szCs w:val="24"/>
        </w:rPr>
        <w:t xml:space="preserve"> utilizatori, vor avea asigurate minimum două căi de evacuare. </w:t>
      </w:r>
    </w:p>
    <w:p w14:paraId="6EC2713C" w14:textId="77777777" w:rsidR="001C08A5" w:rsidRDefault="001C08A5">
      <w:pPr>
        <w:ind w:firstLine="567"/>
        <w:jc w:val="both"/>
        <w:rPr>
          <w:sz w:val="24"/>
          <w:szCs w:val="24"/>
        </w:rPr>
      </w:pPr>
    </w:p>
    <w:p w14:paraId="347F04EE" w14:textId="77777777" w:rsidR="001C08A5" w:rsidRDefault="00000000">
      <w:pPr>
        <w:ind w:firstLine="567"/>
        <w:jc w:val="both"/>
        <w:rPr>
          <w:sz w:val="24"/>
          <w:szCs w:val="24"/>
        </w:rPr>
      </w:pPr>
      <w:r>
        <w:rPr>
          <w:b/>
          <w:sz w:val="24"/>
          <w:szCs w:val="24"/>
        </w:rPr>
        <w:t xml:space="preserve">Art. </w:t>
      </w:r>
      <w:r>
        <w:rPr>
          <w:b/>
          <w:bCs/>
          <w:sz w:val="24"/>
          <w:szCs w:val="24"/>
        </w:rPr>
        <w:t>3.2.3.</w:t>
      </w:r>
      <w:r>
        <w:rPr>
          <w:b/>
          <w:sz w:val="24"/>
          <w:szCs w:val="24"/>
        </w:rPr>
        <w:t xml:space="preserve">13. (1) </w:t>
      </w:r>
      <w:r>
        <w:rPr>
          <w:sz w:val="24"/>
          <w:szCs w:val="24"/>
        </w:rPr>
        <w:t>La clădirile pentru comerţ supraterane cu înălţimi obişnuite, se pot utiliza scări interioare deschise, în condițiile stabilite de normativ, dacă se prevăd şi scări de evacuare închise care îndeplinesc condiţiile normate.</w:t>
      </w:r>
    </w:p>
    <w:p w14:paraId="07ECFB4D" w14:textId="77777777" w:rsidR="001C08A5" w:rsidRDefault="00000000">
      <w:pPr>
        <w:ind w:firstLine="720"/>
        <w:jc w:val="both"/>
        <w:rPr>
          <w:sz w:val="24"/>
          <w:szCs w:val="24"/>
        </w:rPr>
      </w:pPr>
      <w:r>
        <w:rPr>
          <w:b/>
          <w:sz w:val="24"/>
          <w:szCs w:val="24"/>
        </w:rPr>
        <w:t>(2)</w:t>
      </w:r>
      <w:r>
        <w:rPr>
          <w:sz w:val="24"/>
          <w:szCs w:val="24"/>
        </w:rPr>
        <w:t xml:space="preserve"> Indiferent de numărul scărilor deschise prevăzute într-un spaţiu pentru comerţ delimitat de pereţi şi planşee, acestea constituie o singură cale de evacuare a utilizatorilor spaţiului respectiv.</w:t>
      </w:r>
    </w:p>
    <w:p w14:paraId="29716E79" w14:textId="77777777" w:rsidR="001C08A5" w:rsidRDefault="001C08A5">
      <w:pPr>
        <w:ind w:firstLine="567"/>
        <w:jc w:val="both"/>
        <w:rPr>
          <w:sz w:val="24"/>
          <w:szCs w:val="24"/>
        </w:rPr>
      </w:pPr>
    </w:p>
    <w:p w14:paraId="7FA7E5F4" w14:textId="77777777" w:rsidR="001C08A5" w:rsidRDefault="00000000">
      <w:pPr>
        <w:ind w:firstLine="567"/>
        <w:jc w:val="both"/>
        <w:rPr>
          <w:sz w:val="24"/>
          <w:szCs w:val="24"/>
        </w:rPr>
      </w:pPr>
      <w:r>
        <w:rPr>
          <w:b/>
          <w:sz w:val="24"/>
          <w:szCs w:val="24"/>
        </w:rPr>
        <w:t xml:space="preserve">Art. </w:t>
      </w:r>
      <w:r>
        <w:rPr>
          <w:b/>
          <w:bCs/>
          <w:sz w:val="24"/>
          <w:szCs w:val="24"/>
        </w:rPr>
        <w:t>3.2.3.14</w:t>
      </w:r>
      <w:r>
        <w:rPr>
          <w:b/>
          <w:sz w:val="24"/>
          <w:szCs w:val="24"/>
        </w:rPr>
        <w:t>. (1)</w:t>
      </w:r>
      <w:r>
        <w:rPr>
          <w:sz w:val="24"/>
          <w:szCs w:val="24"/>
        </w:rPr>
        <w:t xml:space="preserve"> În clădirile şi spaţiile comerciale de regulă nu sunt admise produse explozive sau cu ardere violentă (muniţie, articole pirotehnice etc.), gaze lichefiate şi lichide combustibile cu temperatura de inflamabilitate a vaporilor sub </w:t>
      </w:r>
      <w:r>
        <w:rPr>
          <w:b/>
          <w:bCs/>
          <w:sz w:val="24"/>
          <w:szCs w:val="24"/>
        </w:rPr>
        <w:t>28</w:t>
      </w:r>
      <w:r>
        <w:rPr>
          <w:b/>
          <w:bCs/>
          <w:sz w:val="24"/>
          <w:szCs w:val="24"/>
          <w:vertAlign w:val="superscript"/>
        </w:rPr>
        <w:t>º</w:t>
      </w:r>
      <w:r>
        <w:rPr>
          <w:b/>
          <w:bCs/>
          <w:sz w:val="24"/>
          <w:szCs w:val="24"/>
        </w:rPr>
        <w:t>C</w:t>
      </w:r>
      <w:r>
        <w:rPr>
          <w:sz w:val="24"/>
          <w:szCs w:val="24"/>
        </w:rPr>
        <w:t>.</w:t>
      </w:r>
    </w:p>
    <w:p w14:paraId="672DC536" w14:textId="77777777" w:rsidR="001C08A5" w:rsidRDefault="00000000">
      <w:pPr>
        <w:ind w:firstLine="720"/>
        <w:jc w:val="both"/>
        <w:rPr>
          <w:sz w:val="24"/>
          <w:szCs w:val="24"/>
        </w:rPr>
      </w:pPr>
      <w:r>
        <w:rPr>
          <w:b/>
          <w:sz w:val="24"/>
          <w:szCs w:val="24"/>
        </w:rPr>
        <w:t>(2)</w:t>
      </w:r>
      <w:r>
        <w:rPr>
          <w:sz w:val="24"/>
          <w:szCs w:val="24"/>
        </w:rPr>
        <w:t xml:space="preserve"> Fac excepţie de la </w:t>
      </w:r>
      <w:r>
        <w:rPr>
          <w:b/>
          <w:sz w:val="24"/>
          <w:szCs w:val="24"/>
        </w:rPr>
        <w:t xml:space="preserve">alin. </w:t>
      </w:r>
      <w:r>
        <w:rPr>
          <w:b/>
          <w:bCs/>
          <w:sz w:val="24"/>
          <w:szCs w:val="24"/>
        </w:rPr>
        <w:t>(1)</w:t>
      </w:r>
      <w:r>
        <w:rPr>
          <w:sz w:val="24"/>
          <w:szCs w:val="24"/>
        </w:rPr>
        <w:t xml:space="preserve"> produsele cosmetice şi farmaceutice ambalate în flacoane, precum și magazinele special realizate pentru comercializarea produselor explozive sau cu ardere violentă la care sunt asigurate măsuri specifice de securitate la incendiu.</w:t>
      </w:r>
    </w:p>
    <w:p w14:paraId="61F3A752" w14:textId="77777777" w:rsidR="001C08A5" w:rsidRDefault="001C08A5">
      <w:pPr>
        <w:jc w:val="both"/>
        <w:rPr>
          <w:sz w:val="24"/>
          <w:szCs w:val="24"/>
        </w:rPr>
      </w:pPr>
    </w:p>
    <w:p w14:paraId="5B66D48C" w14:textId="77777777" w:rsidR="001C08A5" w:rsidRDefault="00000000">
      <w:pPr>
        <w:ind w:firstLine="567"/>
        <w:jc w:val="both"/>
        <w:rPr>
          <w:sz w:val="24"/>
          <w:szCs w:val="24"/>
        </w:rPr>
      </w:pPr>
      <w:r>
        <w:rPr>
          <w:sz w:val="24"/>
          <w:szCs w:val="24"/>
        </w:rPr>
        <w:tab/>
      </w:r>
      <w:r>
        <w:rPr>
          <w:b/>
          <w:sz w:val="24"/>
          <w:szCs w:val="24"/>
        </w:rPr>
        <w:t xml:space="preserve">Art. </w:t>
      </w:r>
      <w:r>
        <w:rPr>
          <w:b/>
          <w:bCs/>
          <w:sz w:val="24"/>
          <w:szCs w:val="24"/>
        </w:rPr>
        <w:t>3.2.3.1</w:t>
      </w:r>
      <w:r>
        <w:rPr>
          <w:b/>
          <w:sz w:val="24"/>
          <w:szCs w:val="24"/>
        </w:rPr>
        <w:t xml:space="preserve">5. </w:t>
      </w:r>
      <w:r>
        <w:rPr>
          <w:sz w:val="24"/>
          <w:szCs w:val="24"/>
        </w:rPr>
        <w:t xml:space="preserve">Comportarea la foc a pereţilor, uşilor și planşeelor de separare a caselor de scări închise din clădirile pentru comerţ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_Ref11996 \h </w:instrText>
      </w:r>
      <w:r>
        <w:rPr>
          <w:rFonts w:cs="Mangal"/>
          <w:b/>
          <w:i/>
          <w:iCs/>
          <w:sz w:val="24"/>
          <w:szCs w:val="24"/>
        </w:rPr>
      </w:r>
      <w:r>
        <w:rPr>
          <w:rFonts w:cs="Mangal"/>
          <w:b/>
          <w:i/>
          <w:iCs/>
          <w:sz w:val="24"/>
          <w:szCs w:val="24"/>
        </w:rPr>
        <w:fldChar w:fldCharType="separate"/>
      </w:r>
      <w:r>
        <w:t>Tabelul 61</w:t>
      </w:r>
      <w:r>
        <w:rPr>
          <w:rFonts w:cs="Mangal"/>
          <w:b/>
          <w:i/>
          <w:iCs/>
          <w:sz w:val="24"/>
          <w:szCs w:val="24"/>
        </w:rPr>
        <w:fldChar w:fldCharType="end"/>
      </w:r>
      <w:r>
        <w:rPr>
          <w:sz w:val="24"/>
          <w:szCs w:val="24"/>
        </w:rPr>
        <w:t>.</w:t>
      </w:r>
    </w:p>
    <w:p w14:paraId="12F4DDF2" w14:textId="77777777" w:rsidR="001C08A5" w:rsidRDefault="001C08A5">
      <w:pPr>
        <w:jc w:val="both"/>
        <w:rPr>
          <w:sz w:val="24"/>
          <w:szCs w:val="24"/>
        </w:rPr>
      </w:pPr>
    </w:p>
    <w:p w14:paraId="56F353A5" w14:textId="77777777" w:rsidR="001C08A5" w:rsidRDefault="00000000">
      <w:pPr>
        <w:pStyle w:val="Captiontabel"/>
      </w:pPr>
      <w:bookmarkStart w:id="3408" w:name="_Ref11996"/>
      <w:bookmarkStart w:id="3409" w:name="_Toc162360111"/>
      <w:r>
        <w:t xml:space="preserve">Tabelul </w:t>
      </w:r>
      <w:r>
        <w:fldChar w:fldCharType="begin"/>
      </w:r>
      <w:r>
        <w:instrText xml:space="preserve"> SEQ Tabelul \* ARABIC </w:instrText>
      </w:r>
      <w:r>
        <w:fldChar w:fldCharType="separate"/>
      </w:r>
      <w:r>
        <w:t>61</w:t>
      </w:r>
      <w:r>
        <w:fldChar w:fldCharType="end"/>
      </w:r>
      <w:bookmarkStart w:id="3410" w:name="_Toc3761"/>
      <w:bookmarkStart w:id="3411" w:name="_Toc17893"/>
      <w:bookmarkStart w:id="3412" w:name="_Toc25853"/>
      <w:bookmarkStart w:id="3413" w:name="_Toc7110"/>
      <w:bookmarkStart w:id="3414" w:name="_Toc14197"/>
      <w:bookmarkStart w:id="3415" w:name="_Toc13789"/>
      <w:bookmarkStart w:id="3416" w:name="_Toc25621"/>
      <w:bookmarkStart w:id="3417" w:name="_Toc25999"/>
      <w:bookmarkStart w:id="3418" w:name="_Toc15606"/>
      <w:bookmarkStart w:id="3419" w:name="_Toc32582"/>
      <w:bookmarkStart w:id="3420" w:name="_Toc14729"/>
      <w:bookmarkStart w:id="3421" w:name="_Toc22940"/>
      <w:bookmarkStart w:id="3422" w:name="_Toc18780"/>
      <w:bookmarkStart w:id="3423" w:name="_Toc6169"/>
      <w:bookmarkStart w:id="3424" w:name="_Toc4936"/>
      <w:bookmarkStart w:id="3425" w:name="_Toc18761"/>
      <w:bookmarkStart w:id="3426" w:name="_Toc30110"/>
      <w:bookmarkStart w:id="3427" w:name="_Toc16359"/>
      <w:bookmarkStart w:id="3428" w:name="_Toc25248"/>
      <w:bookmarkEnd w:id="3408"/>
      <w:r>
        <w:t>: Comportare la foc a pereţilor, uşilor și planşeelor de separare a caselor de scări închise din clădirile pentru comerţ supraterane cu înălţimi obişnuite</w:t>
      </w:r>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p>
    <w:p w14:paraId="4FDCCCC3" w14:textId="77777777" w:rsidR="001C08A5" w:rsidRDefault="001C08A5">
      <w:pPr>
        <w:jc w:val="both"/>
        <w:rPr>
          <w:b/>
          <w:bCs/>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1"/>
        <w:gridCol w:w="1834"/>
        <w:gridCol w:w="1701"/>
        <w:gridCol w:w="1373"/>
        <w:gridCol w:w="1680"/>
        <w:gridCol w:w="1696"/>
      </w:tblGrid>
      <w:tr w:rsidR="001C08A5" w14:paraId="56792C89" w14:textId="77777777">
        <w:trPr>
          <w:tblHeader/>
        </w:trPr>
        <w:tc>
          <w:tcPr>
            <w:tcW w:w="1242" w:type="dxa"/>
            <w:vMerge w:val="restart"/>
            <w:shd w:val="clear" w:color="auto" w:fill="BFBFBF"/>
          </w:tcPr>
          <w:p w14:paraId="64A83D4A" w14:textId="77777777" w:rsidR="001C08A5" w:rsidRDefault="00000000">
            <w:pPr>
              <w:pStyle w:val="BodyText"/>
              <w:jc w:val="center"/>
              <w:rPr>
                <w:bCs w:val="0"/>
                <w:sz w:val="22"/>
                <w:szCs w:val="22"/>
              </w:rPr>
            </w:pPr>
            <w:r>
              <w:rPr>
                <w:bCs w:val="0"/>
                <w:sz w:val="22"/>
                <w:szCs w:val="22"/>
              </w:rPr>
              <w:t>Nivel de stabilitate</w:t>
            </w:r>
          </w:p>
          <w:p w14:paraId="254421AB" w14:textId="77777777" w:rsidR="001C08A5" w:rsidRDefault="00000000">
            <w:pPr>
              <w:jc w:val="center"/>
              <w:rPr>
                <w:i/>
                <w:sz w:val="22"/>
                <w:szCs w:val="22"/>
              </w:rPr>
            </w:pPr>
            <w:r>
              <w:rPr>
                <w:b/>
                <w:bCs/>
                <w:i/>
                <w:sz w:val="22"/>
                <w:szCs w:val="22"/>
              </w:rPr>
              <w:t>la incendiu</w:t>
            </w:r>
          </w:p>
        </w:tc>
        <w:tc>
          <w:tcPr>
            <w:tcW w:w="8329" w:type="dxa"/>
            <w:gridSpan w:val="5"/>
            <w:shd w:val="clear" w:color="auto" w:fill="BFBFBF"/>
          </w:tcPr>
          <w:p w14:paraId="41CC522C"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01E672BB" w14:textId="77777777">
        <w:trPr>
          <w:tblHeader/>
        </w:trPr>
        <w:tc>
          <w:tcPr>
            <w:tcW w:w="1242" w:type="dxa"/>
            <w:vMerge/>
            <w:shd w:val="clear" w:color="auto" w:fill="BFBFBF"/>
          </w:tcPr>
          <w:p w14:paraId="01AE79B6" w14:textId="77777777" w:rsidR="001C08A5" w:rsidRDefault="001C08A5">
            <w:pPr>
              <w:jc w:val="center"/>
              <w:rPr>
                <w:i/>
                <w:sz w:val="22"/>
                <w:szCs w:val="22"/>
              </w:rPr>
            </w:pPr>
          </w:p>
        </w:tc>
        <w:tc>
          <w:tcPr>
            <w:tcW w:w="3553" w:type="dxa"/>
            <w:gridSpan w:val="2"/>
            <w:shd w:val="clear" w:color="auto" w:fill="BFBFBF"/>
          </w:tcPr>
          <w:p w14:paraId="1D7FEAD9" w14:textId="77777777" w:rsidR="001C08A5" w:rsidRDefault="00000000">
            <w:pPr>
              <w:jc w:val="center"/>
              <w:rPr>
                <w:i/>
                <w:sz w:val="22"/>
                <w:szCs w:val="22"/>
              </w:rPr>
            </w:pPr>
            <w:r>
              <w:rPr>
                <w:b/>
                <w:bCs/>
                <w:i/>
                <w:sz w:val="22"/>
                <w:szCs w:val="22"/>
              </w:rPr>
              <w:t>Pereţi</w:t>
            </w:r>
          </w:p>
        </w:tc>
        <w:tc>
          <w:tcPr>
            <w:tcW w:w="3069" w:type="dxa"/>
            <w:gridSpan w:val="2"/>
            <w:shd w:val="clear" w:color="auto" w:fill="BFBFBF"/>
          </w:tcPr>
          <w:p w14:paraId="4F61555C"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707" w:type="dxa"/>
            <w:shd w:val="clear" w:color="auto" w:fill="BFBFBF"/>
          </w:tcPr>
          <w:p w14:paraId="641482AF" w14:textId="77777777" w:rsidR="001C08A5" w:rsidRDefault="00000000">
            <w:pPr>
              <w:jc w:val="center"/>
              <w:rPr>
                <w:b/>
                <w:bCs/>
                <w:i/>
                <w:sz w:val="22"/>
                <w:szCs w:val="22"/>
              </w:rPr>
            </w:pPr>
            <w:r>
              <w:rPr>
                <w:b/>
                <w:bCs/>
                <w:i/>
                <w:sz w:val="22"/>
                <w:szCs w:val="22"/>
              </w:rPr>
              <w:t xml:space="preserve">Uşi </w:t>
            </w:r>
          </w:p>
        </w:tc>
      </w:tr>
      <w:tr w:rsidR="001C08A5" w14:paraId="2D6BD1D7" w14:textId="77777777">
        <w:tc>
          <w:tcPr>
            <w:tcW w:w="1242" w:type="dxa"/>
          </w:tcPr>
          <w:p w14:paraId="00CC2CC8" w14:textId="77777777" w:rsidR="001C08A5" w:rsidRDefault="00000000">
            <w:pPr>
              <w:pStyle w:val="BodyText"/>
              <w:jc w:val="center"/>
              <w:rPr>
                <w:bCs w:val="0"/>
                <w:sz w:val="22"/>
                <w:szCs w:val="22"/>
              </w:rPr>
            </w:pPr>
            <w:r>
              <w:rPr>
                <w:bCs w:val="0"/>
                <w:sz w:val="22"/>
                <w:szCs w:val="22"/>
              </w:rPr>
              <w:t>I</w:t>
            </w:r>
          </w:p>
          <w:p w14:paraId="33DE94A7" w14:textId="77777777" w:rsidR="001C08A5" w:rsidRDefault="00000000">
            <w:pPr>
              <w:pStyle w:val="BodyText"/>
              <w:jc w:val="center"/>
              <w:rPr>
                <w:bCs w:val="0"/>
                <w:sz w:val="22"/>
                <w:szCs w:val="22"/>
              </w:rPr>
            </w:pPr>
            <w:r>
              <w:rPr>
                <w:sz w:val="22"/>
                <w:szCs w:val="22"/>
              </w:rPr>
              <w:t>h&lt;28m</w:t>
            </w:r>
          </w:p>
        </w:tc>
        <w:tc>
          <w:tcPr>
            <w:tcW w:w="1843" w:type="dxa"/>
          </w:tcPr>
          <w:p w14:paraId="7CF9AAA4" w14:textId="77777777" w:rsidR="001C08A5" w:rsidRDefault="00000000">
            <w:pPr>
              <w:jc w:val="center"/>
              <w:rPr>
                <w:b/>
                <w:i/>
                <w:sz w:val="22"/>
                <w:szCs w:val="22"/>
              </w:rPr>
            </w:pPr>
            <w:r>
              <w:rPr>
                <w:b/>
                <w:i/>
                <w:sz w:val="22"/>
                <w:szCs w:val="22"/>
              </w:rPr>
              <w:t xml:space="preserve">EI/REI 180 </w:t>
            </w:r>
          </w:p>
          <w:p w14:paraId="11145CCA" w14:textId="77777777" w:rsidR="001C08A5" w:rsidRDefault="001C08A5">
            <w:pPr>
              <w:jc w:val="center"/>
              <w:rPr>
                <w:b/>
                <w:i/>
                <w:sz w:val="22"/>
                <w:szCs w:val="22"/>
              </w:rPr>
            </w:pPr>
          </w:p>
        </w:tc>
        <w:tc>
          <w:tcPr>
            <w:tcW w:w="1710" w:type="dxa"/>
          </w:tcPr>
          <w:p w14:paraId="55386F5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71148B7C" w14:textId="77777777" w:rsidR="001C08A5" w:rsidRDefault="00000000">
            <w:pPr>
              <w:jc w:val="center"/>
              <w:rPr>
                <w:b/>
                <w:i/>
                <w:sz w:val="22"/>
                <w:szCs w:val="22"/>
              </w:rPr>
            </w:pPr>
            <w:r>
              <w:rPr>
                <w:b/>
                <w:i/>
                <w:sz w:val="22"/>
                <w:szCs w:val="22"/>
              </w:rPr>
              <w:t xml:space="preserve">REI 120 </w:t>
            </w:r>
          </w:p>
        </w:tc>
        <w:tc>
          <w:tcPr>
            <w:tcW w:w="1689" w:type="dxa"/>
          </w:tcPr>
          <w:p w14:paraId="3C38124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4E22F05C" w14:textId="77777777" w:rsidR="001C08A5" w:rsidRDefault="00000000">
            <w:pPr>
              <w:jc w:val="center"/>
              <w:rPr>
                <w:i/>
                <w:sz w:val="22"/>
                <w:szCs w:val="22"/>
              </w:rPr>
            </w:pPr>
            <w:r>
              <w:rPr>
                <w:b/>
                <w:bCs/>
                <w:i/>
                <w:sz w:val="22"/>
                <w:szCs w:val="22"/>
              </w:rPr>
              <w:t xml:space="preserve">E 60 - C5 </w:t>
            </w:r>
            <w:r>
              <w:rPr>
                <w:b/>
                <w:i/>
                <w:sz w:val="22"/>
                <w:szCs w:val="22"/>
              </w:rPr>
              <w:t>S</w:t>
            </w:r>
            <w:r>
              <w:rPr>
                <w:b/>
                <w:bCs/>
                <w:i/>
                <w:sz w:val="22"/>
                <w:szCs w:val="22"/>
                <w:vertAlign w:val="subscript"/>
              </w:rPr>
              <w:t>200</w:t>
            </w:r>
          </w:p>
        </w:tc>
      </w:tr>
      <w:tr w:rsidR="001C08A5" w14:paraId="27C7854B" w14:textId="77777777">
        <w:tc>
          <w:tcPr>
            <w:tcW w:w="1242" w:type="dxa"/>
          </w:tcPr>
          <w:p w14:paraId="1C5DE579" w14:textId="77777777" w:rsidR="001C08A5" w:rsidRDefault="00000000">
            <w:pPr>
              <w:pStyle w:val="BodyText"/>
              <w:jc w:val="center"/>
              <w:rPr>
                <w:bCs w:val="0"/>
                <w:sz w:val="22"/>
                <w:szCs w:val="22"/>
              </w:rPr>
            </w:pPr>
            <w:r>
              <w:rPr>
                <w:bCs w:val="0"/>
                <w:sz w:val="22"/>
                <w:szCs w:val="22"/>
              </w:rPr>
              <w:t>II</w:t>
            </w:r>
          </w:p>
        </w:tc>
        <w:tc>
          <w:tcPr>
            <w:tcW w:w="1843" w:type="dxa"/>
          </w:tcPr>
          <w:p w14:paraId="5939078E" w14:textId="77777777" w:rsidR="001C08A5" w:rsidRDefault="00000000">
            <w:pPr>
              <w:jc w:val="center"/>
              <w:rPr>
                <w:b/>
                <w:i/>
                <w:sz w:val="22"/>
                <w:szCs w:val="22"/>
              </w:rPr>
            </w:pPr>
            <w:r>
              <w:rPr>
                <w:b/>
                <w:i/>
                <w:sz w:val="22"/>
                <w:szCs w:val="22"/>
              </w:rPr>
              <w:t>EI/REI 180</w:t>
            </w:r>
          </w:p>
          <w:p w14:paraId="7BE3C00E" w14:textId="77777777" w:rsidR="001C08A5" w:rsidRDefault="001C08A5">
            <w:pPr>
              <w:jc w:val="center"/>
              <w:rPr>
                <w:b/>
                <w:i/>
                <w:sz w:val="22"/>
                <w:szCs w:val="22"/>
              </w:rPr>
            </w:pPr>
          </w:p>
        </w:tc>
        <w:tc>
          <w:tcPr>
            <w:tcW w:w="1710" w:type="dxa"/>
          </w:tcPr>
          <w:p w14:paraId="6B4BC162"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5446C6CF" w14:textId="77777777" w:rsidR="001C08A5" w:rsidRDefault="00000000">
            <w:pPr>
              <w:jc w:val="center"/>
              <w:rPr>
                <w:b/>
                <w:i/>
                <w:sz w:val="22"/>
                <w:szCs w:val="22"/>
              </w:rPr>
            </w:pPr>
            <w:r>
              <w:rPr>
                <w:b/>
                <w:i/>
                <w:sz w:val="22"/>
                <w:szCs w:val="22"/>
              </w:rPr>
              <w:t>REI 120</w:t>
            </w:r>
          </w:p>
        </w:tc>
        <w:tc>
          <w:tcPr>
            <w:tcW w:w="1689" w:type="dxa"/>
          </w:tcPr>
          <w:p w14:paraId="3A45D6EE"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2453393C" w14:textId="77777777" w:rsidR="001C08A5" w:rsidRDefault="00000000">
            <w:pPr>
              <w:jc w:val="center"/>
              <w:rPr>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1F51A69F" w14:textId="77777777">
        <w:tc>
          <w:tcPr>
            <w:tcW w:w="1242" w:type="dxa"/>
          </w:tcPr>
          <w:p w14:paraId="2C516790" w14:textId="77777777" w:rsidR="001C08A5" w:rsidRDefault="00000000">
            <w:pPr>
              <w:pStyle w:val="BodyText"/>
              <w:jc w:val="center"/>
              <w:rPr>
                <w:bCs w:val="0"/>
                <w:sz w:val="22"/>
                <w:szCs w:val="22"/>
              </w:rPr>
            </w:pPr>
            <w:r>
              <w:rPr>
                <w:bCs w:val="0"/>
                <w:sz w:val="22"/>
                <w:szCs w:val="22"/>
              </w:rPr>
              <w:t>II (+)</w:t>
            </w:r>
          </w:p>
        </w:tc>
        <w:tc>
          <w:tcPr>
            <w:tcW w:w="1843" w:type="dxa"/>
          </w:tcPr>
          <w:p w14:paraId="49FEC692" w14:textId="77777777" w:rsidR="001C08A5" w:rsidRDefault="00000000">
            <w:pPr>
              <w:jc w:val="center"/>
              <w:rPr>
                <w:b/>
                <w:i/>
                <w:sz w:val="22"/>
                <w:szCs w:val="22"/>
              </w:rPr>
            </w:pPr>
            <w:r>
              <w:rPr>
                <w:b/>
                <w:i/>
                <w:sz w:val="22"/>
                <w:szCs w:val="22"/>
              </w:rPr>
              <w:t>EI/REI 120</w:t>
            </w:r>
          </w:p>
          <w:p w14:paraId="4E149EE9" w14:textId="77777777" w:rsidR="001C08A5" w:rsidRDefault="001C08A5">
            <w:pPr>
              <w:jc w:val="center"/>
              <w:rPr>
                <w:b/>
                <w:i/>
                <w:sz w:val="22"/>
                <w:szCs w:val="22"/>
              </w:rPr>
            </w:pPr>
          </w:p>
        </w:tc>
        <w:tc>
          <w:tcPr>
            <w:tcW w:w="1710" w:type="dxa"/>
          </w:tcPr>
          <w:p w14:paraId="0821429D"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80" w:type="dxa"/>
          </w:tcPr>
          <w:p w14:paraId="7F053F12" w14:textId="77777777" w:rsidR="001C08A5" w:rsidRDefault="00000000">
            <w:pPr>
              <w:jc w:val="center"/>
              <w:rPr>
                <w:b/>
                <w:i/>
                <w:sz w:val="22"/>
                <w:szCs w:val="22"/>
              </w:rPr>
            </w:pPr>
            <w:r>
              <w:rPr>
                <w:b/>
                <w:i/>
                <w:sz w:val="22"/>
                <w:szCs w:val="22"/>
              </w:rPr>
              <w:t>REI 90</w:t>
            </w:r>
          </w:p>
        </w:tc>
        <w:tc>
          <w:tcPr>
            <w:tcW w:w="1689" w:type="dxa"/>
          </w:tcPr>
          <w:p w14:paraId="0751A508"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07" w:type="dxa"/>
          </w:tcPr>
          <w:p w14:paraId="6234D163" w14:textId="77777777" w:rsidR="001C08A5" w:rsidRDefault="00000000">
            <w:pPr>
              <w:jc w:val="center"/>
              <w:rPr>
                <w:b/>
                <w:bCs/>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7CE5D78A" w14:textId="77777777">
        <w:tc>
          <w:tcPr>
            <w:tcW w:w="1242" w:type="dxa"/>
          </w:tcPr>
          <w:p w14:paraId="1A71EB92" w14:textId="77777777" w:rsidR="001C08A5" w:rsidRDefault="00000000">
            <w:pPr>
              <w:pStyle w:val="BodyText"/>
              <w:jc w:val="center"/>
              <w:rPr>
                <w:bCs w:val="0"/>
                <w:sz w:val="22"/>
                <w:szCs w:val="22"/>
              </w:rPr>
            </w:pPr>
            <w:r>
              <w:rPr>
                <w:bCs w:val="0"/>
                <w:sz w:val="22"/>
                <w:szCs w:val="22"/>
              </w:rPr>
              <w:t>III</w:t>
            </w:r>
          </w:p>
        </w:tc>
        <w:tc>
          <w:tcPr>
            <w:tcW w:w="1843" w:type="dxa"/>
          </w:tcPr>
          <w:p w14:paraId="1F66F04C" w14:textId="77777777" w:rsidR="001C08A5" w:rsidRDefault="00000000">
            <w:pPr>
              <w:jc w:val="center"/>
              <w:rPr>
                <w:b/>
                <w:i/>
                <w:sz w:val="22"/>
                <w:szCs w:val="22"/>
              </w:rPr>
            </w:pPr>
            <w:r>
              <w:rPr>
                <w:b/>
                <w:i/>
                <w:sz w:val="22"/>
                <w:szCs w:val="22"/>
              </w:rPr>
              <w:t xml:space="preserve">EI/REI 90 </w:t>
            </w:r>
          </w:p>
          <w:p w14:paraId="4B1D4630" w14:textId="77777777" w:rsidR="001C08A5" w:rsidRDefault="001C08A5">
            <w:pPr>
              <w:jc w:val="center"/>
              <w:rPr>
                <w:b/>
                <w:i/>
                <w:sz w:val="22"/>
                <w:szCs w:val="22"/>
              </w:rPr>
            </w:pPr>
          </w:p>
        </w:tc>
        <w:tc>
          <w:tcPr>
            <w:tcW w:w="1710" w:type="dxa"/>
          </w:tcPr>
          <w:p w14:paraId="3D1A6A37"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3969A476" w14:textId="77777777" w:rsidR="001C08A5" w:rsidRDefault="00000000">
            <w:pPr>
              <w:jc w:val="center"/>
              <w:rPr>
                <w:b/>
                <w:i/>
                <w:sz w:val="22"/>
                <w:szCs w:val="22"/>
              </w:rPr>
            </w:pPr>
            <w:r>
              <w:rPr>
                <w:b/>
                <w:i/>
                <w:sz w:val="22"/>
                <w:szCs w:val="22"/>
              </w:rPr>
              <w:t>REI 60</w:t>
            </w:r>
          </w:p>
        </w:tc>
        <w:tc>
          <w:tcPr>
            <w:tcW w:w="1689" w:type="dxa"/>
          </w:tcPr>
          <w:p w14:paraId="24D70C99"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690B193B" w14:textId="77777777" w:rsidR="001C08A5" w:rsidRDefault="00000000">
            <w:pPr>
              <w:jc w:val="center"/>
              <w:rPr>
                <w:b/>
                <w:i/>
                <w:sz w:val="22"/>
                <w:szCs w:val="22"/>
              </w:rPr>
            </w:pPr>
            <w:r>
              <w:rPr>
                <w:b/>
                <w:bCs/>
                <w:i/>
                <w:sz w:val="22"/>
                <w:szCs w:val="22"/>
              </w:rPr>
              <w:t>E 30 - C5 Sa</w:t>
            </w:r>
          </w:p>
          <w:p w14:paraId="69D3C97E" w14:textId="77777777" w:rsidR="001C08A5" w:rsidRDefault="001C08A5">
            <w:pPr>
              <w:jc w:val="center"/>
              <w:rPr>
                <w:i/>
                <w:strike/>
                <w:sz w:val="22"/>
                <w:szCs w:val="22"/>
              </w:rPr>
            </w:pPr>
          </w:p>
        </w:tc>
      </w:tr>
      <w:tr w:rsidR="001C08A5" w14:paraId="22E402D0" w14:textId="77777777">
        <w:tc>
          <w:tcPr>
            <w:tcW w:w="1242" w:type="dxa"/>
          </w:tcPr>
          <w:p w14:paraId="188AB123" w14:textId="77777777" w:rsidR="001C08A5" w:rsidRDefault="00000000">
            <w:pPr>
              <w:pStyle w:val="BodyText"/>
              <w:jc w:val="center"/>
              <w:rPr>
                <w:bCs w:val="0"/>
                <w:sz w:val="22"/>
                <w:szCs w:val="22"/>
              </w:rPr>
            </w:pPr>
            <w:r>
              <w:rPr>
                <w:bCs w:val="0"/>
                <w:sz w:val="22"/>
                <w:szCs w:val="22"/>
              </w:rPr>
              <w:t>III (+)</w:t>
            </w:r>
          </w:p>
        </w:tc>
        <w:tc>
          <w:tcPr>
            <w:tcW w:w="1843" w:type="dxa"/>
          </w:tcPr>
          <w:p w14:paraId="1BBA43B0" w14:textId="77777777" w:rsidR="001C08A5" w:rsidRDefault="00000000">
            <w:pPr>
              <w:jc w:val="center"/>
              <w:rPr>
                <w:b/>
                <w:i/>
                <w:sz w:val="22"/>
                <w:szCs w:val="22"/>
              </w:rPr>
            </w:pPr>
            <w:r>
              <w:rPr>
                <w:b/>
                <w:i/>
                <w:sz w:val="22"/>
                <w:szCs w:val="22"/>
              </w:rPr>
              <w:t xml:space="preserve">EI/REI 60 </w:t>
            </w:r>
          </w:p>
          <w:p w14:paraId="53C384B6" w14:textId="77777777" w:rsidR="001C08A5" w:rsidRDefault="001C08A5">
            <w:pPr>
              <w:jc w:val="center"/>
              <w:rPr>
                <w:b/>
                <w:i/>
                <w:sz w:val="22"/>
                <w:szCs w:val="22"/>
              </w:rPr>
            </w:pPr>
          </w:p>
        </w:tc>
        <w:tc>
          <w:tcPr>
            <w:tcW w:w="1710" w:type="dxa"/>
          </w:tcPr>
          <w:p w14:paraId="0EC728CA"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09748BBA" w14:textId="77777777" w:rsidR="001C08A5" w:rsidRDefault="00000000">
            <w:pPr>
              <w:jc w:val="center"/>
              <w:rPr>
                <w:b/>
                <w:i/>
                <w:sz w:val="22"/>
                <w:szCs w:val="22"/>
              </w:rPr>
            </w:pPr>
            <w:r>
              <w:rPr>
                <w:b/>
                <w:i/>
                <w:sz w:val="22"/>
                <w:szCs w:val="22"/>
              </w:rPr>
              <w:t xml:space="preserve">REI 45 </w:t>
            </w:r>
          </w:p>
        </w:tc>
        <w:tc>
          <w:tcPr>
            <w:tcW w:w="1689" w:type="dxa"/>
          </w:tcPr>
          <w:p w14:paraId="572116D7"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2B761FC2" w14:textId="77777777" w:rsidR="001C08A5" w:rsidRDefault="00000000">
            <w:pPr>
              <w:jc w:val="center"/>
              <w:rPr>
                <w:b/>
                <w:i/>
                <w:sz w:val="22"/>
                <w:szCs w:val="22"/>
              </w:rPr>
            </w:pPr>
            <w:r>
              <w:rPr>
                <w:b/>
                <w:bCs/>
                <w:i/>
                <w:sz w:val="22"/>
                <w:szCs w:val="22"/>
              </w:rPr>
              <w:t>E 30 - C5 Sa</w:t>
            </w:r>
          </w:p>
          <w:p w14:paraId="6DAD0D4C" w14:textId="77777777" w:rsidR="001C08A5" w:rsidRDefault="001C08A5">
            <w:pPr>
              <w:jc w:val="center"/>
              <w:rPr>
                <w:i/>
                <w:strike/>
                <w:sz w:val="22"/>
                <w:szCs w:val="22"/>
              </w:rPr>
            </w:pPr>
          </w:p>
        </w:tc>
      </w:tr>
      <w:tr w:rsidR="001C08A5" w14:paraId="132A910E" w14:textId="77777777">
        <w:tc>
          <w:tcPr>
            <w:tcW w:w="1242" w:type="dxa"/>
          </w:tcPr>
          <w:p w14:paraId="204CB61D" w14:textId="77777777" w:rsidR="001C08A5" w:rsidRDefault="00000000">
            <w:pPr>
              <w:pStyle w:val="BodyText"/>
              <w:jc w:val="center"/>
              <w:rPr>
                <w:bCs w:val="0"/>
                <w:sz w:val="22"/>
                <w:szCs w:val="22"/>
              </w:rPr>
            </w:pPr>
            <w:r>
              <w:rPr>
                <w:bCs w:val="0"/>
                <w:sz w:val="22"/>
                <w:szCs w:val="22"/>
              </w:rPr>
              <w:t>IV</w:t>
            </w:r>
          </w:p>
        </w:tc>
        <w:tc>
          <w:tcPr>
            <w:tcW w:w="1843" w:type="dxa"/>
          </w:tcPr>
          <w:p w14:paraId="39F33420" w14:textId="77777777" w:rsidR="001C08A5" w:rsidRDefault="00000000">
            <w:pPr>
              <w:jc w:val="center"/>
              <w:rPr>
                <w:b/>
                <w:i/>
                <w:sz w:val="22"/>
                <w:szCs w:val="22"/>
              </w:rPr>
            </w:pPr>
            <w:r>
              <w:rPr>
                <w:b/>
                <w:i/>
                <w:sz w:val="22"/>
                <w:szCs w:val="22"/>
              </w:rPr>
              <w:t xml:space="preserve">EI/REI 45 </w:t>
            </w:r>
          </w:p>
          <w:p w14:paraId="4223954E" w14:textId="77777777" w:rsidR="001C08A5" w:rsidRDefault="001C08A5">
            <w:pPr>
              <w:jc w:val="center"/>
              <w:rPr>
                <w:b/>
                <w:i/>
                <w:strike/>
                <w:sz w:val="22"/>
                <w:szCs w:val="22"/>
              </w:rPr>
            </w:pPr>
          </w:p>
        </w:tc>
        <w:tc>
          <w:tcPr>
            <w:tcW w:w="1710" w:type="dxa"/>
          </w:tcPr>
          <w:p w14:paraId="6A239777"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380" w:type="dxa"/>
          </w:tcPr>
          <w:p w14:paraId="7276B108" w14:textId="77777777" w:rsidR="001C08A5" w:rsidRDefault="00000000">
            <w:pPr>
              <w:jc w:val="center"/>
              <w:rPr>
                <w:b/>
                <w:i/>
                <w:sz w:val="22"/>
                <w:szCs w:val="22"/>
              </w:rPr>
            </w:pPr>
            <w:r>
              <w:rPr>
                <w:b/>
                <w:i/>
                <w:sz w:val="22"/>
                <w:szCs w:val="22"/>
              </w:rPr>
              <w:t xml:space="preserve">REI 30 </w:t>
            </w:r>
          </w:p>
        </w:tc>
        <w:tc>
          <w:tcPr>
            <w:tcW w:w="1689" w:type="dxa"/>
          </w:tcPr>
          <w:p w14:paraId="4E7262F6"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707" w:type="dxa"/>
          </w:tcPr>
          <w:p w14:paraId="154B564E" w14:textId="77777777" w:rsidR="001C08A5" w:rsidRDefault="00000000">
            <w:pPr>
              <w:jc w:val="center"/>
              <w:rPr>
                <w:b/>
                <w:i/>
                <w:sz w:val="22"/>
                <w:szCs w:val="22"/>
              </w:rPr>
            </w:pPr>
            <w:r>
              <w:rPr>
                <w:b/>
                <w:bCs/>
                <w:i/>
                <w:sz w:val="22"/>
                <w:szCs w:val="22"/>
              </w:rPr>
              <w:t>E 15 - C5</w:t>
            </w:r>
          </w:p>
          <w:p w14:paraId="063AA723" w14:textId="77777777" w:rsidR="001C08A5" w:rsidRDefault="001C08A5">
            <w:pPr>
              <w:jc w:val="center"/>
              <w:rPr>
                <w:i/>
                <w:sz w:val="22"/>
                <w:szCs w:val="22"/>
              </w:rPr>
            </w:pPr>
          </w:p>
        </w:tc>
      </w:tr>
      <w:tr w:rsidR="001C08A5" w14:paraId="1AB88D25" w14:textId="77777777">
        <w:tc>
          <w:tcPr>
            <w:tcW w:w="1242" w:type="dxa"/>
          </w:tcPr>
          <w:p w14:paraId="630B876C" w14:textId="77777777" w:rsidR="001C08A5" w:rsidRDefault="00000000">
            <w:pPr>
              <w:pStyle w:val="BodyText"/>
              <w:jc w:val="center"/>
              <w:rPr>
                <w:bCs w:val="0"/>
                <w:sz w:val="22"/>
                <w:szCs w:val="22"/>
              </w:rPr>
            </w:pPr>
            <w:r>
              <w:rPr>
                <w:bCs w:val="0"/>
                <w:sz w:val="22"/>
                <w:szCs w:val="22"/>
              </w:rPr>
              <w:t>V</w:t>
            </w:r>
          </w:p>
        </w:tc>
        <w:tc>
          <w:tcPr>
            <w:tcW w:w="1843" w:type="dxa"/>
          </w:tcPr>
          <w:p w14:paraId="4C57230F" w14:textId="77777777" w:rsidR="001C08A5" w:rsidRDefault="00000000">
            <w:pPr>
              <w:jc w:val="center"/>
              <w:rPr>
                <w:b/>
                <w:i/>
                <w:sz w:val="22"/>
                <w:szCs w:val="22"/>
              </w:rPr>
            </w:pPr>
            <w:r>
              <w:rPr>
                <w:b/>
                <w:i/>
                <w:sz w:val="22"/>
                <w:szCs w:val="22"/>
              </w:rPr>
              <w:t>EI/REI 30</w:t>
            </w:r>
          </w:p>
          <w:p w14:paraId="45E8D4B5" w14:textId="77777777" w:rsidR="001C08A5" w:rsidRDefault="001C08A5">
            <w:pPr>
              <w:jc w:val="center"/>
              <w:rPr>
                <w:b/>
                <w:i/>
                <w:strike/>
                <w:sz w:val="22"/>
                <w:szCs w:val="22"/>
              </w:rPr>
            </w:pPr>
          </w:p>
        </w:tc>
        <w:tc>
          <w:tcPr>
            <w:tcW w:w="1710" w:type="dxa"/>
          </w:tcPr>
          <w:p w14:paraId="103510ED"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380" w:type="dxa"/>
          </w:tcPr>
          <w:p w14:paraId="5ED72086" w14:textId="77777777" w:rsidR="001C08A5" w:rsidRDefault="00000000">
            <w:pPr>
              <w:jc w:val="center"/>
              <w:rPr>
                <w:b/>
                <w:i/>
                <w:sz w:val="22"/>
                <w:szCs w:val="22"/>
              </w:rPr>
            </w:pPr>
            <w:r>
              <w:rPr>
                <w:b/>
                <w:i/>
                <w:sz w:val="22"/>
                <w:szCs w:val="22"/>
              </w:rPr>
              <w:t xml:space="preserve">REI 15 </w:t>
            </w:r>
          </w:p>
        </w:tc>
        <w:tc>
          <w:tcPr>
            <w:tcW w:w="1689" w:type="dxa"/>
          </w:tcPr>
          <w:p w14:paraId="7E079901"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707" w:type="dxa"/>
          </w:tcPr>
          <w:p w14:paraId="0485C3E3" w14:textId="77777777" w:rsidR="001C08A5" w:rsidRDefault="00000000">
            <w:pPr>
              <w:jc w:val="center"/>
              <w:rPr>
                <w:i/>
                <w:strike/>
                <w:sz w:val="22"/>
                <w:szCs w:val="22"/>
              </w:rPr>
            </w:pPr>
            <w:r>
              <w:rPr>
                <w:b/>
                <w:bCs/>
                <w:i/>
                <w:sz w:val="22"/>
                <w:szCs w:val="22"/>
              </w:rPr>
              <w:t>C5</w:t>
            </w:r>
          </w:p>
        </w:tc>
      </w:tr>
    </w:tbl>
    <w:p w14:paraId="350B8854" w14:textId="77777777" w:rsidR="001C08A5" w:rsidRDefault="00000000">
      <w:pPr>
        <w:jc w:val="both"/>
        <w:rPr>
          <w:i/>
          <w:iCs/>
          <w:sz w:val="24"/>
          <w:szCs w:val="24"/>
        </w:rPr>
      </w:pPr>
      <w:r>
        <w:rPr>
          <w:i/>
          <w:iCs/>
          <w:sz w:val="24"/>
          <w:szCs w:val="24"/>
        </w:rPr>
        <w:t>Note:</w:t>
      </w:r>
    </w:p>
    <w:p w14:paraId="1679C7B9"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58EFC971"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020FC79A" w14:textId="77777777" w:rsidR="001C08A5" w:rsidRDefault="001C08A5">
      <w:pPr>
        <w:jc w:val="both"/>
        <w:rPr>
          <w:sz w:val="24"/>
          <w:szCs w:val="24"/>
        </w:rPr>
      </w:pPr>
    </w:p>
    <w:p w14:paraId="3269005D" w14:textId="77777777" w:rsidR="001C08A5" w:rsidRDefault="00000000">
      <w:pPr>
        <w:ind w:firstLine="567"/>
        <w:jc w:val="both"/>
        <w:rPr>
          <w:sz w:val="24"/>
          <w:szCs w:val="24"/>
        </w:rPr>
      </w:pPr>
      <w:r>
        <w:rPr>
          <w:b/>
          <w:sz w:val="24"/>
          <w:szCs w:val="24"/>
        </w:rPr>
        <w:t xml:space="preserve">Art. </w:t>
      </w:r>
      <w:r>
        <w:rPr>
          <w:b/>
          <w:bCs/>
          <w:sz w:val="24"/>
          <w:szCs w:val="24"/>
        </w:rPr>
        <w:t>3.2.3.</w:t>
      </w:r>
      <w:r>
        <w:rPr>
          <w:b/>
          <w:sz w:val="24"/>
          <w:szCs w:val="24"/>
        </w:rPr>
        <w:t xml:space="preserve">16. </w:t>
      </w:r>
      <w:r>
        <w:rPr>
          <w:sz w:val="24"/>
          <w:szCs w:val="24"/>
        </w:rPr>
        <w:t xml:space="preserve">Comportarea la foc a pereţilor, uşilor și planşeelor de separare a căilor  de evacuare orizontale (coridoare) din clădirile pentru comerţ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_Ref12800 \h </w:instrText>
      </w:r>
      <w:r>
        <w:rPr>
          <w:rFonts w:cs="Mangal"/>
          <w:b/>
          <w:i/>
          <w:iCs/>
          <w:sz w:val="24"/>
          <w:szCs w:val="24"/>
        </w:rPr>
      </w:r>
      <w:r>
        <w:rPr>
          <w:rFonts w:cs="Mangal"/>
          <w:b/>
          <w:i/>
          <w:iCs/>
          <w:sz w:val="24"/>
          <w:szCs w:val="24"/>
        </w:rPr>
        <w:fldChar w:fldCharType="separate"/>
      </w:r>
      <w:r>
        <w:t>Tabelul 62</w:t>
      </w:r>
      <w:r>
        <w:rPr>
          <w:rFonts w:cs="Mangal"/>
          <w:b/>
          <w:i/>
          <w:iCs/>
          <w:sz w:val="24"/>
          <w:szCs w:val="24"/>
        </w:rPr>
        <w:fldChar w:fldCharType="end"/>
      </w:r>
      <w:r>
        <w:rPr>
          <w:sz w:val="24"/>
          <w:szCs w:val="24"/>
        </w:rPr>
        <w:t>.</w:t>
      </w:r>
    </w:p>
    <w:p w14:paraId="013FCA15" w14:textId="77777777" w:rsidR="001C08A5" w:rsidRDefault="001C08A5">
      <w:pPr>
        <w:jc w:val="both"/>
        <w:rPr>
          <w:b/>
          <w:sz w:val="24"/>
          <w:szCs w:val="24"/>
        </w:rPr>
      </w:pPr>
    </w:p>
    <w:p w14:paraId="07382707" w14:textId="77777777" w:rsidR="001C08A5" w:rsidRDefault="00000000">
      <w:pPr>
        <w:pStyle w:val="Captiontabel"/>
      </w:pPr>
      <w:bookmarkStart w:id="3429" w:name="_Ref12800"/>
      <w:bookmarkStart w:id="3430" w:name="_Toc162360112"/>
      <w:r>
        <w:lastRenderedPageBreak/>
        <w:t xml:space="preserve">Tabelul </w:t>
      </w:r>
      <w:r>
        <w:fldChar w:fldCharType="begin"/>
      </w:r>
      <w:r>
        <w:instrText xml:space="preserve"> SEQ Tabelul \* ARABIC </w:instrText>
      </w:r>
      <w:r>
        <w:fldChar w:fldCharType="separate"/>
      </w:r>
      <w:r>
        <w:t>62</w:t>
      </w:r>
      <w:r>
        <w:fldChar w:fldCharType="end"/>
      </w:r>
      <w:bookmarkStart w:id="3431" w:name="_Toc26087"/>
      <w:bookmarkStart w:id="3432" w:name="_Toc25034"/>
      <w:bookmarkStart w:id="3433" w:name="_Toc18659"/>
      <w:bookmarkStart w:id="3434" w:name="_Toc29800"/>
      <w:bookmarkStart w:id="3435" w:name="_Toc14820"/>
      <w:bookmarkStart w:id="3436" w:name="_Toc25581"/>
      <w:bookmarkStart w:id="3437" w:name="_Toc5615"/>
      <w:bookmarkStart w:id="3438" w:name="_Toc28867"/>
      <w:bookmarkStart w:id="3439" w:name="_Toc8087"/>
      <w:bookmarkStart w:id="3440" w:name="_Toc17656"/>
      <w:bookmarkStart w:id="3441" w:name="_Toc10466"/>
      <w:bookmarkStart w:id="3442" w:name="_Toc22449"/>
      <w:bookmarkStart w:id="3443" w:name="_Toc10985"/>
      <w:bookmarkStart w:id="3444" w:name="_Toc27614"/>
      <w:bookmarkStart w:id="3445" w:name="_Toc8104"/>
      <w:bookmarkStart w:id="3446" w:name="_Toc24422"/>
      <w:bookmarkStart w:id="3447" w:name="_Toc7301"/>
      <w:bookmarkStart w:id="3448" w:name="_Toc5730"/>
      <w:bookmarkStart w:id="3449" w:name="_Toc12037"/>
      <w:bookmarkEnd w:id="3429"/>
      <w:r>
        <w:t>: Comportare la foc a pereţilor, uşilor și planşeelor de separare a căilor de evacuare orizontale (coridoare ) din clădirile pentru comerţ supraterane cu înălţimi obişnuite</w:t>
      </w:r>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p>
    <w:p w14:paraId="103DEF25"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369"/>
        <w:gridCol w:w="1725"/>
        <w:gridCol w:w="1742"/>
        <w:gridCol w:w="1861"/>
        <w:gridCol w:w="1539"/>
      </w:tblGrid>
      <w:tr w:rsidR="001C08A5" w14:paraId="691A076F" w14:textId="77777777">
        <w:trPr>
          <w:tblHeader/>
        </w:trPr>
        <w:tc>
          <w:tcPr>
            <w:tcW w:w="1262" w:type="dxa"/>
            <w:vMerge w:val="restart"/>
            <w:shd w:val="clear" w:color="auto" w:fill="BFBFBF"/>
          </w:tcPr>
          <w:p w14:paraId="330C14E1" w14:textId="77777777" w:rsidR="001C08A5" w:rsidRDefault="001C08A5">
            <w:pPr>
              <w:pStyle w:val="BodyText"/>
              <w:jc w:val="center"/>
              <w:rPr>
                <w:bCs w:val="0"/>
                <w:sz w:val="22"/>
                <w:szCs w:val="22"/>
              </w:rPr>
            </w:pPr>
          </w:p>
          <w:p w14:paraId="7189C0EF" w14:textId="77777777" w:rsidR="001C08A5" w:rsidRDefault="00000000">
            <w:pPr>
              <w:pStyle w:val="BodyText"/>
              <w:jc w:val="center"/>
              <w:rPr>
                <w:bCs w:val="0"/>
                <w:sz w:val="22"/>
                <w:szCs w:val="22"/>
              </w:rPr>
            </w:pPr>
            <w:r>
              <w:rPr>
                <w:bCs w:val="0"/>
                <w:sz w:val="22"/>
                <w:szCs w:val="22"/>
              </w:rPr>
              <w:t>Nivel de stabilitate</w:t>
            </w:r>
          </w:p>
          <w:p w14:paraId="4CBB7411"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4E608D50" w14:textId="77777777" w:rsidR="001C08A5" w:rsidRDefault="00000000">
            <w:pPr>
              <w:jc w:val="center"/>
              <w:rPr>
                <w:b/>
                <w:bCs/>
                <w:i/>
                <w:sz w:val="22"/>
                <w:szCs w:val="22"/>
              </w:rPr>
            </w:pPr>
            <w:r>
              <w:rPr>
                <w:b/>
                <w:bCs/>
                <w:i/>
                <w:sz w:val="22"/>
                <w:szCs w:val="22"/>
              </w:rPr>
              <w:t>Niveluri de comportare la foc admise la coridoare și holuri</w:t>
            </w:r>
          </w:p>
        </w:tc>
      </w:tr>
      <w:tr w:rsidR="001C08A5" w14:paraId="5490700B" w14:textId="77777777">
        <w:trPr>
          <w:tblHeader/>
        </w:trPr>
        <w:tc>
          <w:tcPr>
            <w:tcW w:w="1262" w:type="dxa"/>
            <w:vMerge/>
            <w:shd w:val="clear" w:color="auto" w:fill="BFBFBF"/>
          </w:tcPr>
          <w:p w14:paraId="269C1135" w14:textId="77777777" w:rsidR="001C08A5" w:rsidRDefault="001C08A5">
            <w:pPr>
              <w:jc w:val="center"/>
              <w:rPr>
                <w:i/>
                <w:sz w:val="22"/>
                <w:szCs w:val="22"/>
              </w:rPr>
            </w:pPr>
          </w:p>
        </w:tc>
        <w:tc>
          <w:tcPr>
            <w:tcW w:w="3094" w:type="dxa"/>
            <w:gridSpan w:val="2"/>
            <w:shd w:val="clear" w:color="auto" w:fill="BFBFBF"/>
          </w:tcPr>
          <w:p w14:paraId="4C4CD699" w14:textId="77777777" w:rsidR="001C08A5" w:rsidRDefault="001C08A5">
            <w:pPr>
              <w:jc w:val="center"/>
              <w:rPr>
                <w:b/>
                <w:bCs/>
                <w:i/>
                <w:sz w:val="22"/>
                <w:szCs w:val="22"/>
              </w:rPr>
            </w:pPr>
          </w:p>
          <w:p w14:paraId="3AD19C33" w14:textId="77777777" w:rsidR="001C08A5" w:rsidRDefault="00000000">
            <w:pPr>
              <w:jc w:val="center"/>
              <w:rPr>
                <w:i/>
                <w:sz w:val="22"/>
                <w:szCs w:val="22"/>
              </w:rPr>
            </w:pPr>
            <w:r>
              <w:rPr>
                <w:b/>
                <w:bCs/>
                <w:i/>
                <w:sz w:val="22"/>
                <w:szCs w:val="22"/>
              </w:rPr>
              <w:t>Pereţi</w:t>
            </w:r>
          </w:p>
        </w:tc>
        <w:tc>
          <w:tcPr>
            <w:tcW w:w="3603" w:type="dxa"/>
            <w:gridSpan w:val="2"/>
            <w:shd w:val="clear" w:color="auto" w:fill="BFBFBF"/>
          </w:tcPr>
          <w:p w14:paraId="16622A98"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4F08C96F" w14:textId="77777777" w:rsidR="001C08A5" w:rsidRDefault="00000000">
            <w:pPr>
              <w:jc w:val="center"/>
              <w:rPr>
                <w:b/>
                <w:bCs/>
                <w:i/>
                <w:sz w:val="22"/>
                <w:szCs w:val="22"/>
              </w:rPr>
            </w:pPr>
            <w:r>
              <w:rPr>
                <w:b/>
                <w:bCs/>
                <w:i/>
                <w:sz w:val="22"/>
                <w:szCs w:val="22"/>
              </w:rPr>
              <w:t>Uşi</w:t>
            </w:r>
          </w:p>
          <w:p w14:paraId="1F24745A" w14:textId="77777777" w:rsidR="001C08A5" w:rsidRDefault="00000000">
            <w:pPr>
              <w:jc w:val="center"/>
              <w:rPr>
                <w:i/>
                <w:sz w:val="22"/>
                <w:szCs w:val="22"/>
              </w:rPr>
            </w:pPr>
            <w:r>
              <w:rPr>
                <w:bCs/>
                <w:i/>
                <w:sz w:val="22"/>
                <w:szCs w:val="22"/>
              </w:rPr>
              <w:t>(cu excepţia celor către case de scări închise)</w:t>
            </w:r>
          </w:p>
        </w:tc>
      </w:tr>
      <w:tr w:rsidR="001C08A5" w14:paraId="38DF2E13" w14:textId="77777777">
        <w:tc>
          <w:tcPr>
            <w:tcW w:w="1262" w:type="dxa"/>
          </w:tcPr>
          <w:p w14:paraId="44273D8C" w14:textId="77777777" w:rsidR="001C08A5" w:rsidRDefault="00000000">
            <w:pPr>
              <w:pStyle w:val="BodyText"/>
              <w:jc w:val="center"/>
              <w:rPr>
                <w:bCs w:val="0"/>
                <w:sz w:val="22"/>
                <w:szCs w:val="22"/>
              </w:rPr>
            </w:pPr>
            <w:r>
              <w:rPr>
                <w:bCs w:val="0"/>
                <w:sz w:val="22"/>
                <w:szCs w:val="22"/>
              </w:rPr>
              <w:t>I</w:t>
            </w:r>
          </w:p>
          <w:p w14:paraId="3070FEC0" w14:textId="77777777" w:rsidR="001C08A5" w:rsidRDefault="00000000">
            <w:pPr>
              <w:pStyle w:val="BodyText"/>
              <w:jc w:val="center"/>
              <w:rPr>
                <w:bCs w:val="0"/>
                <w:sz w:val="22"/>
                <w:szCs w:val="22"/>
              </w:rPr>
            </w:pPr>
            <w:r>
              <w:rPr>
                <w:sz w:val="22"/>
                <w:szCs w:val="22"/>
              </w:rPr>
              <w:t>h&lt;28m</w:t>
            </w:r>
          </w:p>
        </w:tc>
        <w:tc>
          <w:tcPr>
            <w:tcW w:w="1369" w:type="dxa"/>
          </w:tcPr>
          <w:p w14:paraId="79E9CBE3" w14:textId="77777777" w:rsidR="001C08A5" w:rsidRDefault="00000000">
            <w:pPr>
              <w:jc w:val="center"/>
              <w:rPr>
                <w:b/>
                <w:i/>
                <w:sz w:val="22"/>
                <w:szCs w:val="22"/>
              </w:rPr>
            </w:pPr>
            <w:r>
              <w:rPr>
                <w:b/>
                <w:i/>
                <w:sz w:val="22"/>
                <w:szCs w:val="22"/>
              </w:rPr>
              <w:t xml:space="preserve">EI/REI 90 </w:t>
            </w:r>
          </w:p>
          <w:p w14:paraId="193FAFE4" w14:textId="77777777" w:rsidR="001C08A5" w:rsidRDefault="001C08A5">
            <w:pPr>
              <w:jc w:val="center"/>
              <w:rPr>
                <w:b/>
                <w:i/>
                <w:sz w:val="22"/>
                <w:szCs w:val="22"/>
              </w:rPr>
            </w:pPr>
          </w:p>
        </w:tc>
        <w:tc>
          <w:tcPr>
            <w:tcW w:w="1725" w:type="dxa"/>
          </w:tcPr>
          <w:p w14:paraId="3B4B6B03"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42" w:type="dxa"/>
            <w:vMerge w:val="restart"/>
            <w:textDirection w:val="lrTbV"/>
          </w:tcPr>
          <w:p w14:paraId="575519DF" w14:textId="77777777" w:rsidR="001C08A5" w:rsidRDefault="00000000">
            <w:pPr>
              <w:jc w:val="center"/>
              <w:rPr>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76CE5A4C" w14:textId="77777777" w:rsidR="001C08A5" w:rsidRDefault="00000000">
            <w:pP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1861" w:type="dxa"/>
          </w:tcPr>
          <w:p w14:paraId="656B1117"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577B8661" w14:textId="77777777" w:rsidR="001C08A5" w:rsidRDefault="00000000">
            <w:pPr>
              <w:jc w:val="center"/>
              <w:rPr>
                <w:i/>
                <w:sz w:val="22"/>
                <w:szCs w:val="22"/>
              </w:rPr>
            </w:pPr>
            <w:r>
              <w:rPr>
                <w:b/>
                <w:bCs/>
                <w:i/>
                <w:sz w:val="22"/>
                <w:szCs w:val="22"/>
              </w:rPr>
              <w:t>E 45 - C5 S</w:t>
            </w:r>
            <w:r>
              <w:rPr>
                <w:b/>
                <w:bCs/>
                <w:i/>
                <w:sz w:val="22"/>
                <w:szCs w:val="22"/>
                <w:vertAlign w:val="subscript"/>
              </w:rPr>
              <w:t>a</w:t>
            </w:r>
          </w:p>
        </w:tc>
      </w:tr>
      <w:tr w:rsidR="001C08A5" w14:paraId="0DA7D3E3" w14:textId="77777777">
        <w:tc>
          <w:tcPr>
            <w:tcW w:w="1262" w:type="dxa"/>
          </w:tcPr>
          <w:p w14:paraId="64F76BE3" w14:textId="77777777" w:rsidR="001C08A5" w:rsidRDefault="00000000">
            <w:pPr>
              <w:pStyle w:val="BodyText"/>
              <w:jc w:val="center"/>
              <w:rPr>
                <w:bCs w:val="0"/>
                <w:sz w:val="22"/>
                <w:szCs w:val="22"/>
              </w:rPr>
            </w:pPr>
            <w:r>
              <w:rPr>
                <w:bCs w:val="0"/>
                <w:sz w:val="22"/>
                <w:szCs w:val="22"/>
              </w:rPr>
              <w:t>II</w:t>
            </w:r>
          </w:p>
        </w:tc>
        <w:tc>
          <w:tcPr>
            <w:tcW w:w="1369" w:type="dxa"/>
          </w:tcPr>
          <w:p w14:paraId="02F2CD45" w14:textId="77777777" w:rsidR="001C08A5" w:rsidRDefault="00000000">
            <w:pPr>
              <w:jc w:val="center"/>
              <w:rPr>
                <w:b/>
                <w:i/>
                <w:sz w:val="22"/>
                <w:szCs w:val="22"/>
              </w:rPr>
            </w:pPr>
            <w:r>
              <w:rPr>
                <w:b/>
                <w:i/>
                <w:sz w:val="22"/>
                <w:szCs w:val="22"/>
              </w:rPr>
              <w:t xml:space="preserve">EI/REI 90 </w:t>
            </w:r>
          </w:p>
          <w:p w14:paraId="37B96F76" w14:textId="77777777" w:rsidR="001C08A5" w:rsidRDefault="001C08A5">
            <w:pPr>
              <w:jc w:val="center"/>
              <w:rPr>
                <w:b/>
                <w:i/>
                <w:sz w:val="22"/>
                <w:szCs w:val="22"/>
              </w:rPr>
            </w:pPr>
          </w:p>
        </w:tc>
        <w:tc>
          <w:tcPr>
            <w:tcW w:w="1725" w:type="dxa"/>
          </w:tcPr>
          <w:p w14:paraId="5FF5DFD4"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42" w:type="dxa"/>
            <w:vMerge/>
          </w:tcPr>
          <w:p w14:paraId="7698B050" w14:textId="77777777" w:rsidR="001C08A5" w:rsidRDefault="001C08A5">
            <w:pPr>
              <w:jc w:val="center"/>
              <w:rPr>
                <w:b/>
                <w:i/>
                <w:sz w:val="22"/>
                <w:szCs w:val="22"/>
              </w:rPr>
            </w:pPr>
          </w:p>
        </w:tc>
        <w:tc>
          <w:tcPr>
            <w:tcW w:w="1861" w:type="dxa"/>
          </w:tcPr>
          <w:p w14:paraId="5AB0E745"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4FA525CC" w14:textId="77777777" w:rsidR="001C08A5" w:rsidRDefault="00000000">
            <w:pPr>
              <w:jc w:val="center"/>
              <w:rPr>
                <w:i/>
                <w:sz w:val="22"/>
                <w:szCs w:val="22"/>
              </w:rPr>
            </w:pPr>
            <w:r>
              <w:rPr>
                <w:b/>
                <w:bCs/>
                <w:i/>
                <w:sz w:val="22"/>
                <w:szCs w:val="22"/>
              </w:rPr>
              <w:t>E 45 - C5 S</w:t>
            </w:r>
            <w:r>
              <w:rPr>
                <w:b/>
                <w:bCs/>
                <w:i/>
                <w:sz w:val="22"/>
                <w:szCs w:val="22"/>
                <w:vertAlign w:val="subscript"/>
              </w:rPr>
              <w:t>a</w:t>
            </w:r>
          </w:p>
        </w:tc>
      </w:tr>
      <w:tr w:rsidR="001C08A5" w14:paraId="673FDAF3" w14:textId="77777777">
        <w:tc>
          <w:tcPr>
            <w:tcW w:w="1262" w:type="dxa"/>
          </w:tcPr>
          <w:p w14:paraId="7A785798" w14:textId="77777777" w:rsidR="001C08A5" w:rsidRDefault="00000000">
            <w:pPr>
              <w:pStyle w:val="BodyText"/>
              <w:jc w:val="center"/>
              <w:rPr>
                <w:bCs w:val="0"/>
                <w:sz w:val="22"/>
                <w:szCs w:val="22"/>
              </w:rPr>
            </w:pPr>
            <w:r>
              <w:rPr>
                <w:bCs w:val="0"/>
                <w:sz w:val="22"/>
                <w:szCs w:val="22"/>
              </w:rPr>
              <w:t>II (+)</w:t>
            </w:r>
          </w:p>
        </w:tc>
        <w:tc>
          <w:tcPr>
            <w:tcW w:w="1369" w:type="dxa"/>
          </w:tcPr>
          <w:p w14:paraId="75C561E5" w14:textId="77777777" w:rsidR="001C08A5" w:rsidRDefault="00000000">
            <w:pPr>
              <w:jc w:val="center"/>
              <w:rPr>
                <w:b/>
                <w:i/>
                <w:sz w:val="22"/>
                <w:szCs w:val="22"/>
              </w:rPr>
            </w:pPr>
            <w:r>
              <w:rPr>
                <w:b/>
                <w:i/>
                <w:sz w:val="22"/>
                <w:szCs w:val="22"/>
              </w:rPr>
              <w:t>EI/REI 60</w:t>
            </w:r>
          </w:p>
          <w:p w14:paraId="30497BD0" w14:textId="77777777" w:rsidR="001C08A5" w:rsidRDefault="001C08A5">
            <w:pPr>
              <w:jc w:val="center"/>
              <w:rPr>
                <w:b/>
                <w:i/>
                <w:sz w:val="22"/>
                <w:szCs w:val="22"/>
              </w:rPr>
            </w:pPr>
          </w:p>
        </w:tc>
        <w:tc>
          <w:tcPr>
            <w:tcW w:w="1725" w:type="dxa"/>
          </w:tcPr>
          <w:p w14:paraId="0E1FAA84"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42" w:type="dxa"/>
            <w:vMerge/>
          </w:tcPr>
          <w:p w14:paraId="6FDD3629" w14:textId="77777777" w:rsidR="001C08A5" w:rsidRDefault="001C08A5">
            <w:pPr>
              <w:jc w:val="center"/>
              <w:rPr>
                <w:b/>
                <w:i/>
                <w:sz w:val="22"/>
                <w:szCs w:val="22"/>
              </w:rPr>
            </w:pPr>
          </w:p>
        </w:tc>
        <w:tc>
          <w:tcPr>
            <w:tcW w:w="1861" w:type="dxa"/>
          </w:tcPr>
          <w:p w14:paraId="1473A32E"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39" w:type="dxa"/>
          </w:tcPr>
          <w:p w14:paraId="3347DEEC" w14:textId="77777777" w:rsidR="001C08A5" w:rsidRDefault="00000000">
            <w:pPr>
              <w:jc w:val="center"/>
              <w:rPr>
                <w:b/>
                <w:bCs/>
                <w:i/>
                <w:sz w:val="22"/>
                <w:szCs w:val="22"/>
              </w:rPr>
            </w:pPr>
            <w:r>
              <w:rPr>
                <w:b/>
                <w:bCs/>
                <w:i/>
                <w:sz w:val="22"/>
                <w:szCs w:val="22"/>
              </w:rPr>
              <w:t>E 30 - C5 S</w:t>
            </w:r>
            <w:r>
              <w:rPr>
                <w:b/>
                <w:bCs/>
                <w:i/>
                <w:sz w:val="22"/>
                <w:szCs w:val="22"/>
                <w:vertAlign w:val="subscript"/>
              </w:rPr>
              <w:t>a</w:t>
            </w:r>
          </w:p>
        </w:tc>
      </w:tr>
      <w:tr w:rsidR="001C08A5" w14:paraId="0EAD2905" w14:textId="77777777">
        <w:tc>
          <w:tcPr>
            <w:tcW w:w="1262" w:type="dxa"/>
          </w:tcPr>
          <w:p w14:paraId="17BF869A" w14:textId="77777777" w:rsidR="001C08A5" w:rsidRDefault="00000000">
            <w:pPr>
              <w:pStyle w:val="BodyText"/>
              <w:jc w:val="center"/>
              <w:rPr>
                <w:bCs w:val="0"/>
                <w:sz w:val="22"/>
                <w:szCs w:val="22"/>
              </w:rPr>
            </w:pPr>
            <w:r>
              <w:rPr>
                <w:bCs w:val="0"/>
                <w:sz w:val="22"/>
                <w:szCs w:val="22"/>
              </w:rPr>
              <w:t>III</w:t>
            </w:r>
          </w:p>
        </w:tc>
        <w:tc>
          <w:tcPr>
            <w:tcW w:w="1369" w:type="dxa"/>
          </w:tcPr>
          <w:p w14:paraId="299B921F" w14:textId="77777777" w:rsidR="001C08A5" w:rsidRDefault="00000000">
            <w:pPr>
              <w:jc w:val="center"/>
              <w:rPr>
                <w:b/>
                <w:i/>
                <w:sz w:val="22"/>
                <w:szCs w:val="22"/>
              </w:rPr>
            </w:pPr>
            <w:r>
              <w:rPr>
                <w:b/>
                <w:i/>
                <w:sz w:val="22"/>
                <w:szCs w:val="22"/>
              </w:rPr>
              <w:t xml:space="preserve">EI/REI 45 </w:t>
            </w:r>
          </w:p>
          <w:p w14:paraId="50417060" w14:textId="77777777" w:rsidR="001C08A5" w:rsidRDefault="001C08A5">
            <w:pPr>
              <w:jc w:val="center"/>
              <w:rPr>
                <w:b/>
                <w:i/>
                <w:sz w:val="22"/>
                <w:szCs w:val="22"/>
              </w:rPr>
            </w:pPr>
          </w:p>
        </w:tc>
        <w:tc>
          <w:tcPr>
            <w:tcW w:w="1725" w:type="dxa"/>
          </w:tcPr>
          <w:p w14:paraId="7980E6CB"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742" w:type="dxa"/>
            <w:vMerge/>
          </w:tcPr>
          <w:p w14:paraId="6122E45E" w14:textId="77777777" w:rsidR="001C08A5" w:rsidRDefault="001C08A5">
            <w:pPr>
              <w:jc w:val="center"/>
              <w:rPr>
                <w:b/>
                <w:i/>
                <w:sz w:val="22"/>
                <w:szCs w:val="22"/>
              </w:rPr>
            </w:pPr>
          </w:p>
        </w:tc>
        <w:tc>
          <w:tcPr>
            <w:tcW w:w="1861" w:type="dxa"/>
          </w:tcPr>
          <w:p w14:paraId="129FD646"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18EBF307" w14:textId="77777777" w:rsidR="001C08A5" w:rsidRDefault="001C08A5">
            <w:pPr>
              <w:rPr>
                <w:i/>
                <w:sz w:val="22"/>
                <w:szCs w:val="22"/>
              </w:rPr>
            </w:pPr>
          </w:p>
        </w:tc>
        <w:tc>
          <w:tcPr>
            <w:tcW w:w="1539" w:type="dxa"/>
          </w:tcPr>
          <w:p w14:paraId="2ED724D7" w14:textId="77777777" w:rsidR="001C08A5" w:rsidRDefault="00000000">
            <w:pPr>
              <w:jc w:val="center"/>
              <w:rPr>
                <w:i/>
                <w:sz w:val="22"/>
                <w:szCs w:val="22"/>
              </w:rPr>
            </w:pPr>
            <w:r>
              <w:rPr>
                <w:b/>
                <w:bCs/>
                <w:i/>
                <w:sz w:val="22"/>
                <w:szCs w:val="22"/>
              </w:rPr>
              <w:t>E 15 - C5 S</w:t>
            </w:r>
            <w:r>
              <w:rPr>
                <w:b/>
                <w:bCs/>
                <w:i/>
                <w:sz w:val="22"/>
                <w:szCs w:val="22"/>
                <w:vertAlign w:val="subscript"/>
              </w:rPr>
              <w:t>a</w:t>
            </w:r>
          </w:p>
        </w:tc>
      </w:tr>
      <w:tr w:rsidR="001C08A5" w14:paraId="26FC5F13" w14:textId="77777777">
        <w:tc>
          <w:tcPr>
            <w:tcW w:w="1262" w:type="dxa"/>
          </w:tcPr>
          <w:p w14:paraId="240B6149" w14:textId="77777777" w:rsidR="001C08A5" w:rsidRDefault="00000000">
            <w:pPr>
              <w:pStyle w:val="BodyText"/>
              <w:jc w:val="center"/>
              <w:rPr>
                <w:bCs w:val="0"/>
                <w:sz w:val="22"/>
                <w:szCs w:val="22"/>
              </w:rPr>
            </w:pPr>
            <w:r>
              <w:rPr>
                <w:bCs w:val="0"/>
                <w:sz w:val="22"/>
                <w:szCs w:val="22"/>
              </w:rPr>
              <w:t>III (+)</w:t>
            </w:r>
          </w:p>
        </w:tc>
        <w:tc>
          <w:tcPr>
            <w:tcW w:w="1369" w:type="dxa"/>
          </w:tcPr>
          <w:p w14:paraId="639FF766" w14:textId="77777777" w:rsidR="001C08A5" w:rsidRDefault="00000000">
            <w:pPr>
              <w:jc w:val="center"/>
              <w:rPr>
                <w:b/>
                <w:i/>
                <w:sz w:val="22"/>
                <w:szCs w:val="22"/>
              </w:rPr>
            </w:pPr>
            <w:r>
              <w:rPr>
                <w:b/>
                <w:i/>
                <w:sz w:val="22"/>
                <w:szCs w:val="22"/>
              </w:rPr>
              <w:t xml:space="preserve">EI/REI 45 </w:t>
            </w:r>
          </w:p>
          <w:p w14:paraId="0AE2E1A5" w14:textId="77777777" w:rsidR="001C08A5" w:rsidRDefault="001C08A5">
            <w:pPr>
              <w:jc w:val="center"/>
              <w:rPr>
                <w:b/>
                <w:i/>
                <w:sz w:val="22"/>
                <w:szCs w:val="22"/>
              </w:rPr>
            </w:pPr>
          </w:p>
        </w:tc>
        <w:tc>
          <w:tcPr>
            <w:tcW w:w="1725" w:type="dxa"/>
          </w:tcPr>
          <w:p w14:paraId="3CF72566"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742" w:type="dxa"/>
            <w:vMerge/>
          </w:tcPr>
          <w:p w14:paraId="70628535" w14:textId="77777777" w:rsidR="001C08A5" w:rsidRDefault="001C08A5">
            <w:pPr>
              <w:jc w:val="center"/>
              <w:rPr>
                <w:b/>
                <w:i/>
                <w:sz w:val="22"/>
                <w:szCs w:val="22"/>
              </w:rPr>
            </w:pPr>
          </w:p>
        </w:tc>
        <w:tc>
          <w:tcPr>
            <w:tcW w:w="1861" w:type="dxa"/>
          </w:tcPr>
          <w:p w14:paraId="0E9D2337" w14:textId="77777777" w:rsidR="001C08A5" w:rsidRDefault="00000000">
            <w:pPr>
              <w:jc w:val="center"/>
              <w:rPr>
                <w:i/>
                <w:sz w:val="22"/>
                <w:szCs w:val="22"/>
              </w:rPr>
            </w:pPr>
            <w:r>
              <w:rPr>
                <w:b/>
                <w:i/>
                <w:sz w:val="22"/>
                <w:szCs w:val="22"/>
              </w:rPr>
              <w:t xml:space="preserve"> A1 </w:t>
            </w:r>
            <w:r>
              <w:rPr>
                <w:i/>
                <w:sz w:val="22"/>
                <w:szCs w:val="22"/>
              </w:rPr>
              <w:t>sau</w:t>
            </w:r>
            <w:r>
              <w:rPr>
                <w:b/>
                <w:i/>
                <w:sz w:val="22"/>
                <w:szCs w:val="22"/>
              </w:rPr>
              <w:t xml:space="preserve"> A2-s1d0, </w:t>
            </w:r>
          </w:p>
        </w:tc>
        <w:tc>
          <w:tcPr>
            <w:tcW w:w="1539" w:type="dxa"/>
          </w:tcPr>
          <w:p w14:paraId="3D5CAA41" w14:textId="77777777" w:rsidR="001C08A5" w:rsidRDefault="00000000">
            <w:pPr>
              <w:jc w:val="center"/>
              <w:rPr>
                <w:b/>
                <w:bCs/>
                <w:i/>
                <w:sz w:val="22"/>
                <w:szCs w:val="22"/>
              </w:rPr>
            </w:pPr>
            <w:r>
              <w:rPr>
                <w:b/>
                <w:bCs/>
                <w:i/>
                <w:sz w:val="22"/>
                <w:szCs w:val="22"/>
              </w:rPr>
              <w:t>E 15 - C5 S</w:t>
            </w:r>
            <w:r>
              <w:rPr>
                <w:b/>
                <w:bCs/>
                <w:i/>
                <w:sz w:val="22"/>
                <w:szCs w:val="22"/>
                <w:vertAlign w:val="subscript"/>
              </w:rPr>
              <w:t>a</w:t>
            </w:r>
          </w:p>
        </w:tc>
      </w:tr>
      <w:tr w:rsidR="001C08A5" w14:paraId="26C4394B" w14:textId="77777777">
        <w:tc>
          <w:tcPr>
            <w:tcW w:w="1262" w:type="dxa"/>
          </w:tcPr>
          <w:p w14:paraId="3AD81F1D" w14:textId="77777777" w:rsidR="001C08A5" w:rsidRDefault="00000000">
            <w:pPr>
              <w:pStyle w:val="BodyText"/>
              <w:jc w:val="center"/>
              <w:rPr>
                <w:bCs w:val="0"/>
                <w:sz w:val="22"/>
                <w:szCs w:val="22"/>
              </w:rPr>
            </w:pPr>
            <w:r>
              <w:rPr>
                <w:bCs w:val="0"/>
                <w:sz w:val="22"/>
                <w:szCs w:val="22"/>
              </w:rPr>
              <w:t>IV</w:t>
            </w:r>
          </w:p>
        </w:tc>
        <w:tc>
          <w:tcPr>
            <w:tcW w:w="1369" w:type="dxa"/>
          </w:tcPr>
          <w:p w14:paraId="102E72C1" w14:textId="77777777" w:rsidR="001C08A5" w:rsidRDefault="00000000">
            <w:pPr>
              <w:jc w:val="center"/>
              <w:rPr>
                <w:b/>
                <w:i/>
                <w:sz w:val="22"/>
                <w:szCs w:val="22"/>
              </w:rPr>
            </w:pPr>
            <w:r>
              <w:rPr>
                <w:b/>
                <w:i/>
                <w:sz w:val="22"/>
                <w:szCs w:val="22"/>
              </w:rPr>
              <w:t xml:space="preserve">EI/REI 30 </w:t>
            </w:r>
          </w:p>
          <w:p w14:paraId="60F51A12" w14:textId="77777777" w:rsidR="001C08A5" w:rsidRDefault="001C08A5">
            <w:pPr>
              <w:jc w:val="center"/>
              <w:rPr>
                <w:b/>
                <w:i/>
                <w:sz w:val="22"/>
                <w:szCs w:val="22"/>
              </w:rPr>
            </w:pPr>
          </w:p>
        </w:tc>
        <w:tc>
          <w:tcPr>
            <w:tcW w:w="1725" w:type="dxa"/>
          </w:tcPr>
          <w:p w14:paraId="35F61B14"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742" w:type="dxa"/>
            <w:vMerge/>
          </w:tcPr>
          <w:p w14:paraId="3D798F61" w14:textId="77777777" w:rsidR="001C08A5" w:rsidRDefault="001C08A5">
            <w:pPr>
              <w:jc w:val="center"/>
              <w:rPr>
                <w:b/>
                <w:i/>
                <w:sz w:val="22"/>
                <w:szCs w:val="22"/>
              </w:rPr>
            </w:pPr>
          </w:p>
        </w:tc>
        <w:tc>
          <w:tcPr>
            <w:tcW w:w="1861" w:type="dxa"/>
          </w:tcPr>
          <w:p w14:paraId="7B7E5028"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39" w:type="dxa"/>
          </w:tcPr>
          <w:p w14:paraId="37D5F928" w14:textId="77777777" w:rsidR="001C08A5" w:rsidRDefault="00000000">
            <w:pPr>
              <w:jc w:val="center"/>
              <w:rPr>
                <w:i/>
                <w:sz w:val="22"/>
                <w:szCs w:val="22"/>
              </w:rPr>
            </w:pPr>
            <w:r>
              <w:rPr>
                <w:b/>
                <w:bCs/>
                <w:i/>
                <w:sz w:val="22"/>
                <w:szCs w:val="22"/>
              </w:rPr>
              <w:t>E 15 - C5</w:t>
            </w:r>
          </w:p>
        </w:tc>
      </w:tr>
      <w:tr w:rsidR="001C08A5" w14:paraId="568E035A" w14:textId="77777777">
        <w:tc>
          <w:tcPr>
            <w:tcW w:w="1262" w:type="dxa"/>
          </w:tcPr>
          <w:p w14:paraId="50D6A9D8" w14:textId="77777777" w:rsidR="001C08A5" w:rsidRDefault="00000000">
            <w:pPr>
              <w:pStyle w:val="BodyText"/>
              <w:jc w:val="center"/>
              <w:rPr>
                <w:bCs w:val="0"/>
                <w:sz w:val="22"/>
                <w:szCs w:val="22"/>
              </w:rPr>
            </w:pPr>
            <w:r>
              <w:rPr>
                <w:bCs w:val="0"/>
                <w:sz w:val="22"/>
                <w:szCs w:val="22"/>
              </w:rPr>
              <w:t>V</w:t>
            </w:r>
          </w:p>
        </w:tc>
        <w:tc>
          <w:tcPr>
            <w:tcW w:w="1369" w:type="dxa"/>
          </w:tcPr>
          <w:p w14:paraId="563E94C4" w14:textId="77777777" w:rsidR="001C08A5" w:rsidRDefault="00000000">
            <w:pPr>
              <w:jc w:val="center"/>
              <w:rPr>
                <w:b/>
                <w:i/>
                <w:sz w:val="22"/>
                <w:szCs w:val="22"/>
              </w:rPr>
            </w:pPr>
            <w:r>
              <w:rPr>
                <w:b/>
                <w:i/>
                <w:sz w:val="22"/>
                <w:szCs w:val="22"/>
              </w:rPr>
              <w:t xml:space="preserve">EI/REI 15 </w:t>
            </w:r>
          </w:p>
          <w:p w14:paraId="39DE001D" w14:textId="77777777" w:rsidR="001C08A5" w:rsidRDefault="001C08A5">
            <w:pPr>
              <w:jc w:val="center"/>
              <w:rPr>
                <w:b/>
                <w:i/>
                <w:sz w:val="22"/>
                <w:szCs w:val="22"/>
              </w:rPr>
            </w:pPr>
          </w:p>
        </w:tc>
        <w:tc>
          <w:tcPr>
            <w:tcW w:w="1725" w:type="dxa"/>
          </w:tcPr>
          <w:p w14:paraId="14B73B5E"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742" w:type="dxa"/>
            <w:vMerge/>
          </w:tcPr>
          <w:p w14:paraId="546D4F07" w14:textId="77777777" w:rsidR="001C08A5" w:rsidRDefault="001C08A5">
            <w:pPr>
              <w:jc w:val="center"/>
              <w:rPr>
                <w:b/>
                <w:i/>
                <w:sz w:val="22"/>
                <w:szCs w:val="22"/>
              </w:rPr>
            </w:pPr>
          </w:p>
        </w:tc>
        <w:tc>
          <w:tcPr>
            <w:tcW w:w="1861" w:type="dxa"/>
          </w:tcPr>
          <w:p w14:paraId="007D9D22"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539" w:type="dxa"/>
          </w:tcPr>
          <w:p w14:paraId="6E01CFCE" w14:textId="77777777" w:rsidR="001C08A5" w:rsidRDefault="00000000">
            <w:pPr>
              <w:jc w:val="center"/>
              <w:rPr>
                <w:b/>
                <w:bCs/>
                <w:i/>
                <w:sz w:val="22"/>
                <w:szCs w:val="22"/>
              </w:rPr>
            </w:pPr>
            <w:r>
              <w:rPr>
                <w:b/>
                <w:bCs/>
                <w:i/>
                <w:sz w:val="22"/>
                <w:szCs w:val="22"/>
              </w:rPr>
              <w:t>-</w:t>
            </w:r>
          </w:p>
        </w:tc>
      </w:tr>
    </w:tbl>
    <w:p w14:paraId="21238045" w14:textId="77777777" w:rsidR="001C08A5" w:rsidRDefault="00000000">
      <w:pPr>
        <w:autoSpaceDE w:val="0"/>
        <w:rPr>
          <w:i/>
          <w:sz w:val="22"/>
          <w:szCs w:val="22"/>
        </w:rPr>
      </w:pPr>
      <w:r>
        <w:rPr>
          <w:bCs/>
          <w:i/>
          <w:sz w:val="22"/>
          <w:szCs w:val="22"/>
          <w:u w:val="single"/>
        </w:rPr>
        <w:t>Note</w:t>
      </w:r>
      <w:r>
        <w:rPr>
          <w:i/>
          <w:sz w:val="22"/>
          <w:szCs w:val="22"/>
        </w:rPr>
        <w:t>:</w:t>
      </w:r>
    </w:p>
    <w:p w14:paraId="69FC921C" w14:textId="77777777" w:rsidR="001C08A5" w:rsidRDefault="00000000">
      <w:pPr>
        <w:rPr>
          <w:bCs/>
          <w:i/>
          <w:sz w:val="22"/>
          <w:szCs w:val="22"/>
        </w:rPr>
      </w:pPr>
      <w:r>
        <w:rPr>
          <w:b/>
          <w:bCs/>
          <w:i/>
          <w:sz w:val="22"/>
          <w:szCs w:val="22"/>
        </w:rPr>
        <w:t xml:space="preserve">a)- </w:t>
      </w:r>
      <w:r>
        <w:rPr>
          <w:i/>
          <w:sz w:val="22"/>
          <w:szCs w:val="22"/>
        </w:rPr>
        <w:t>=</w:t>
      </w:r>
      <w:r>
        <w:rPr>
          <w:bCs/>
          <w:i/>
          <w:sz w:val="22"/>
          <w:szCs w:val="22"/>
        </w:rPr>
        <w:t xml:space="preserve"> fără performanţe determinate la foc;</w:t>
      </w:r>
    </w:p>
    <w:p w14:paraId="197E1B1C" w14:textId="77777777" w:rsidR="001C08A5" w:rsidRDefault="00000000">
      <w:pPr>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15E2B9F8" w14:textId="77777777" w:rsidR="001C08A5" w:rsidRDefault="00000000">
      <w:pPr>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36052CCC" w14:textId="77777777" w:rsidR="001C08A5" w:rsidRDefault="00000000">
      <w:pPr>
        <w:jc w:val="both"/>
        <w:rPr>
          <w:bCs/>
          <w:i/>
          <w:sz w:val="22"/>
          <w:szCs w:val="22"/>
        </w:rPr>
      </w:pPr>
      <w:r>
        <w:rPr>
          <w:b/>
          <w:bCs/>
          <w:i/>
          <w:sz w:val="22"/>
          <w:szCs w:val="22"/>
        </w:rPr>
        <w:t>b)</w:t>
      </w:r>
      <w:r>
        <w:rPr>
          <w:bCs/>
          <w:i/>
          <w:sz w:val="22"/>
          <w:szCs w:val="22"/>
        </w:rPr>
        <w:t xml:space="preserve"> la clădirile de comerţ echipate cu instalaţii de detectare, semnalizare şi alarmare a incendiului cu acoperire totală, instalaţii de evacuare a fumului şi instalaţii de stingere tip sprinkler se admite înlocuirea pereţilor și ușilor rezistente la foc a coridoarelor cu un sistem similar celui de protecţie a golurilor în planşee alcătuit din sprinklere şi ecrane </w:t>
      </w:r>
      <w:r>
        <w:rPr>
          <w:b/>
          <w:i/>
          <w:sz w:val="22"/>
          <w:szCs w:val="22"/>
        </w:rPr>
        <w:t>DH 60</w:t>
      </w:r>
      <w:r>
        <w:rPr>
          <w:bCs/>
          <w:i/>
          <w:sz w:val="22"/>
          <w:szCs w:val="22"/>
        </w:rPr>
        <w:t xml:space="preserve"> minimum </w:t>
      </w:r>
      <w:r>
        <w:rPr>
          <w:b/>
          <w:bCs/>
          <w:i/>
          <w:sz w:val="22"/>
          <w:szCs w:val="22"/>
        </w:rPr>
        <w:t>1</w:t>
      </w:r>
      <w:r>
        <w:rPr>
          <w:bCs/>
          <w:i/>
          <w:sz w:val="22"/>
          <w:szCs w:val="22"/>
        </w:rPr>
        <w:t xml:space="preserve"> m, în condiţiile în care se realizează evacuarea fumului și din spaţiile adiacente coridorului;</w:t>
      </w:r>
    </w:p>
    <w:p w14:paraId="7F944F71" w14:textId="77777777" w:rsidR="001C08A5" w:rsidRDefault="00000000">
      <w:pPr>
        <w:jc w:val="both"/>
        <w:rPr>
          <w:bCs/>
          <w:i/>
          <w:sz w:val="22"/>
          <w:szCs w:val="22"/>
        </w:rPr>
      </w:pPr>
      <w:r>
        <w:rPr>
          <w:b/>
          <w:bCs/>
          <w:i/>
          <w:sz w:val="22"/>
          <w:szCs w:val="22"/>
        </w:rPr>
        <w:t>c)</w:t>
      </w:r>
      <w:r>
        <w:rPr>
          <w:i/>
          <w:sz w:val="22"/>
          <w:szCs w:val="22"/>
        </w:rPr>
        <w:t>în cazul pereților vitrați cu profil metalic care separă coridoarele de încăperile adiacente nu se ia în considerare clasa de reacție la foc.</w:t>
      </w:r>
    </w:p>
    <w:p w14:paraId="77B8B13C" w14:textId="77777777" w:rsidR="001C08A5" w:rsidRDefault="001C08A5">
      <w:pPr>
        <w:jc w:val="both"/>
        <w:rPr>
          <w:sz w:val="24"/>
          <w:szCs w:val="24"/>
        </w:rPr>
      </w:pPr>
    </w:p>
    <w:p w14:paraId="03744F80" w14:textId="77777777" w:rsidR="001C08A5" w:rsidRDefault="00000000">
      <w:pPr>
        <w:ind w:firstLine="567"/>
        <w:jc w:val="both"/>
        <w:rPr>
          <w:sz w:val="24"/>
          <w:szCs w:val="24"/>
        </w:rPr>
      </w:pPr>
      <w:r>
        <w:rPr>
          <w:b/>
          <w:sz w:val="24"/>
          <w:szCs w:val="24"/>
        </w:rPr>
        <w:t xml:space="preserve">Art. </w:t>
      </w:r>
      <w:r>
        <w:rPr>
          <w:b/>
          <w:bCs/>
          <w:sz w:val="24"/>
          <w:szCs w:val="24"/>
        </w:rPr>
        <w:t>3.2.3.17</w:t>
      </w:r>
      <w:r>
        <w:rPr>
          <w:b/>
          <w:sz w:val="24"/>
          <w:szCs w:val="24"/>
        </w:rPr>
        <w:t xml:space="preserve">. </w:t>
      </w:r>
      <w:r>
        <w:rPr>
          <w:sz w:val="24"/>
          <w:szCs w:val="24"/>
        </w:rPr>
        <w:t xml:space="preserve">Comportarea la foc a pereţilor, uşilor și planşeelor de separare a căilor  de evacuare orizontale (holuri) din clădirile pentru comerţ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_Ref12832 \h </w:instrText>
      </w:r>
      <w:r>
        <w:rPr>
          <w:rFonts w:cs="Mangal"/>
          <w:b/>
          <w:i/>
          <w:iCs/>
          <w:sz w:val="24"/>
          <w:szCs w:val="24"/>
        </w:rPr>
      </w:r>
      <w:r>
        <w:rPr>
          <w:rFonts w:cs="Mangal"/>
          <w:b/>
          <w:i/>
          <w:iCs/>
          <w:sz w:val="24"/>
          <w:szCs w:val="24"/>
        </w:rPr>
        <w:fldChar w:fldCharType="separate"/>
      </w:r>
      <w:r>
        <w:t>Tabelul 63</w:t>
      </w:r>
      <w:r>
        <w:rPr>
          <w:rFonts w:cs="Mangal"/>
          <w:b/>
          <w:i/>
          <w:iCs/>
          <w:sz w:val="24"/>
          <w:szCs w:val="24"/>
        </w:rPr>
        <w:fldChar w:fldCharType="end"/>
      </w:r>
      <w:r>
        <w:rPr>
          <w:sz w:val="24"/>
          <w:szCs w:val="24"/>
        </w:rPr>
        <w:t>.</w:t>
      </w:r>
    </w:p>
    <w:p w14:paraId="201A88FD" w14:textId="77777777" w:rsidR="001C08A5" w:rsidRDefault="001C08A5">
      <w:pPr>
        <w:jc w:val="both"/>
        <w:rPr>
          <w:sz w:val="24"/>
          <w:szCs w:val="24"/>
        </w:rPr>
      </w:pPr>
    </w:p>
    <w:p w14:paraId="3506212F" w14:textId="77777777" w:rsidR="001C08A5" w:rsidRDefault="00000000">
      <w:pPr>
        <w:pStyle w:val="Captiontabel"/>
      </w:pPr>
      <w:bookmarkStart w:id="3450" w:name="_Ref12832"/>
      <w:bookmarkStart w:id="3451" w:name="_Toc162360113"/>
      <w:r>
        <w:t xml:space="preserve">Tabelul </w:t>
      </w:r>
      <w:r>
        <w:fldChar w:fldCharType="begin"/>
      </w:r>
      <w:r>
        <w:instrText xml:space="preserve"> SEQ Tabelul \* ARABIC </w:instrText>
      </w:r>
      <w:r>
        <w:fldChar w:fldCharType="separate"/>
      </w:r>
      <w:r>
        <w:t>63</w:t>
      </w:r>
      <w:r>
        <w:fldChar w:fldCharType="end"/>
      </w:r>
      <w:bookmarkStart w:id="3452" w:name="_Toc15103"/>
      <w:bookmarkStart w:id="3453" w:name="_Toc29343"/>
      <w:bookmarkStart w:id="3454" w:name="_Toc8885"/>
      <w:bookmarkStart w:id="3455" w:name="_Toc19790"/>
      <w:bookmarkStart w:id="3456" w:name="_Toc24061"/>
      <w:bookmarkStart w:id="3457" w:name="_Toc23295"/>
      <w:bookmarkStart w:id="3458" w:name="_Toc20426"/>
      <w:bookmarkStart w:id="3459" w:name="_Toc12101"/>
      <w:bookmarkStart w:id="3460" w:name="_Toc18573"/>
      <w:bookmarkStart w:id="3461" w:name="_Toc15305"/>
      <w:bookmarkStart w:id="3462" w:name="_Toc28458"/>
      <w:bookmarkStart w:id="3463" w:name="_Toc2001"/>
      <w:bookmarkStart w:id="3464" w:name="_Toc8017"/>
      <w:bookmarkStart w:id="3465" w:name="_Toc12084"/>
      <w:bookmarkStart w:id="3466" w:name="_Toc20360"/>
      <w:bookmarkStart w:id="3467" w:name="_Toc15574"/>
      <w:bookmarkStart w:id="3468" w:name="_Toc6001"/>
      <w:bookmarkStart w:id="3469" w:name="_Toc29687"/>
      <w:bookmarkStart w:id="3470" w:name="_Toc11174"/>
      <w:bookmarkEnd w:id="3450"/>
      <w:r>
        <w:t>: Comportare la foc a pereţilor, uşilor și planşeelor de separare a căilor de evacuare orizontale (holuri) din clădirile pentru comerţ supraterane cu înălţimi obişnuite</w:t>
      </w:r>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p>
    <w:p w14:paraId="4733E8A8"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602"/>
        <w:gridCol w:w="1731"/>
        <w:gridCol w:w="1503"/>
        <w:gridCol w:w="1861"/>
        <w:gridCol w:w="1539"/>
      </w:tblGrid>
      <w:tr w:rsidR="001C08A5" w14:paraId="4D5137F5" w14:textId="77777777">
        <w:trPr>
          <w:tblHeader/>
        </w:trPr>
        <w:tc>
          <w:tcPr>
            <w:tcW w:w="1262" w:type="dxa"/>
            <w:vMerge w:val="restart"/>
            <w:shd w:val="clear" w:color="auto" w:fill="BFBFBF"/>
          </w:tcPr>
          <w:p w14:paraId="2D71540B" w14:textId="77777777" w:rsidR="001C08A5" w:rsidRDefault="001C08A5">
            <w:pPr>
              <w:pStyle w:val="BodyText"/>
              <w:jc w:val="center"/>
              <w:rPr>
                <w:bCs w:val="0"/>
                <w:sz w:val="22"/>
                <w:szCs w:val="22"/>
              </w:rPr>
            </w:pPr>
          </w:p>
          <w:p w14:paraId="6FB1E9C2" w14:textId="77777777" w:rsidR="001C08A5" w:rsidRDefault="00000000">
            <w:pPr>
              <w:pStyle w:val="BodyText"/>
              <w:jc w:val="center"/>
              <w:rPr>
                <w:bCs w:val="0"/>
                <w:sz w:val="22"/>
                <w:szCs w:val="22"/>
              </w:rPr>
            </w:pPr>
            <w:r>
              <w:rPr>
                <w:bCs w:val="0"/>
                <w:sz w:val="22"/>
                <w:szCs w:val="22"/>
              </w:rPr>
              <w:t>Nivel de stabilitate</w:t>
            </w:r>
          </w:p>
          <w:p w14:paraId="1761A76C"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18609C19" w14:textId="77777777" w:rsidR="001C08A5" w:rsidRDefault="00000000">
            <w:pPr>
              <w:jc w:val="center"/>
              <w:rPr>
                <w:b/>
                <w:bCs/>
                <w:i/>
                <w:sz w:val="22"/>
                <w:szCs w:val="22"/>
              </w:rPr>
            </w:pPr>
            <w:r>
              <w:rPr>
                <w:b/>
                <w:bCs/>
                <w:i/>
                <w:sz w:val="22"/>
                <w:szCs w:val="22"/>
              </w:rPr>
              <w:t>Niveluri de comportare la foc admise la holuri (lobby acces principal)</w:t>
            </w:r>
          </w:p>
        </w:tc>
      </w:tr>
      <w:tr w:rsidR="001C08A5" w14:paraId="2AD4A100" w14:textId="77777777">
        <w:trPr>
          <w:tblHeader/>
        </w:trPr>
        <w:tc>
          <w:tcPr>
            <w:tcW w:w="1262" w:type="dxa"/>
            <w:vMerge/>
            <w:shd w:val="clear" w:color="auto" w:fill="BFBFBF"/>
          </w:tcPr>
          <w:p w14:paraId="3FDC99C8" w14:textId="77777777" w:rsidR="001C08A5" w:rsidRDefault="001C08A5">
            <w:pPr>
              <w:jc w:val="center"/>
              <w:rPr>
                <w:i/>
                <w:sz w:val="22"/>
                <w:szCs w:val="22"/>
              </w:rPr>
            </w:pPr>
          </w:p>
        </w:tc>
        <w:tc>
          <w:tcPr>
            <w:tcW w:w="3333" w:type="dxa"/>
            <w:gridSpan w:val="2"/>
            <w:shd w:val="clear" w:color="auto" w:fill="BFBFBF"/>
          </w:tcPr>
          <w:p w14:paraId="0D045717" w14:textId="77777777" w:rsidR="001C08A5" w:rsidRDefault="001C08A5">
            <w:pPr>
              <w:jc w:val="center"/>
              <w:rPr>
                <w:b/>
                <w:bCs/>
                <w:i/>
                <w:sz w:val="22"/>
                <w:szCs w:val="22"/>
              </w:rPr>
            </w:pPr>
          </w:p>
          <w:p w14:paraId="7A8DC121" w14:textId="77777777" w:rsidR="001C08A5" w:rsidRDefault="00000000">
            <w:pPr>
              <w:jc w:val="center"/>
              <w:rPr>
                <w:i/>
                <w:sz w:val="22"/>
                <w:szCs w:val="22"/>
              </w:rPr>
            </w:pPr>
            <w:r>
              <w:rPr>
                <w:b/>
                <w:bCs/>
                <w:i/>
                <w:sz w:val="22"/>
                <w:szCs w:val="22"/>
              </w:rPr>
              <w:t>Pereţi</w:t>
            </w:r>
          </w:p>
        </w:tc>
        <w:tc>
          <w:tcPr>
            <w:tcW w:w="3364" w:type="dxa"/>
            <w:gridSpan w:val="2"/>
            <w:shd w:val="clear" w:color="auto" w:fill="BFBFBF"/>
          </w:tcPr>
          <w:p w14:paraId="2B36FC89"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7782DCD2" w14:textId="77777777" w:rsidR="001C08A5" w:rsidRDefault="00000000">
            <w:pPr>
              <w:jc w:val="center"/>
              <w:rPr>
                <w:b/>
                <w:bCs/>
                <w:i/>
                <w:sz w:val="22"/>
                <w:szCs w:val="22"/>
              </w:rPr>
            </w:pPr>
            <w:r>
              <w:rPr>
                <w:b/>
                <w:bCs/>
                <w:i/>
                <w:sz w:val="22"/>
                <w:szCs w:val="22"/>
              </w:rPr>
              <w:t>Uşi</w:t>
            </w:r>
          </w:p>
          <w:p w14:paraId="725E684F" w14:textId="77777777" w:rsidR="001C08A5" w:rsidRDefault="00000000">
            <w:pPr>
              <w:jc w:val="center"/>
              <w:rPr>
                <w:i/>
                <w:sz w:val="22"/>
                <w:szCs w:val="22"/>
              </w:rPr>
            </w:pPr>
            <w:r>
              <w:rPr>
                <w:bCs/>
                <w:i/>
                <w:sz w:val="22"/>
                <w:szCs w:val="22"/>
              </w:rPr>
              <w:t>(cu excepţia celor către case de scări închise)</w:t>
            </w:r>
          </w:p>
        </w:tc>
      </w:tr>
      <w:tr w:rsidR="001C08A5" w14:paraId="1695AF20" w14:textId="77777777">
        <w:tc>
          <w:tcPr>
            <w:tcW w:w="1262" w:type="dxa"/>
          </w:tcPr>
          <w:p w14:paraId="3A31520B" w14:textId="77777777" w:rsidR="001C08A5" w:rsidRDefault="00000000">
            <w:pPr>
              <w:pStyle w:val="BodyText"/>
              <w:jc w:val="center"/>
              <w:rPr>
                <w:bCs w:val="0"/>
                <w:sz w:val="22"/>
                <w:szCs w:val="22"/>
              </w:rPr>
            </w:pPr>
            <w:r>
              <w:rPr>
                <w:bCs w:val="0"/>
                <w:sz w:val="22"/>
                <w:szCs w:val="22"/>
              </w:rPr>
              <w:t>I</w:t>
            </w:r>
          </w:p>
          <w:p w14:paraId="1125500F" w14:textId="77777777" w:rsidR="001C08A5" w:rsidRDefault="00000000">
            <w:pPr>
              <w:pStyle w:val="BodyText"/>
              <w:jc w:val="center"/>
              <w:rPr>
                <w:bCs w:val="0"/>
                <w:sz w:val="22"/>
                <w:szCs w:val="22"/>
              </w:rPr>
            </w:pPr>
            <w:r>
              <w:rPr>
                <w:sz w:val="22"/>
                <w:szCs w:val="22"/>
              </w:rPr>
              <w:t>h&lt;28m</w:t>
            </w:r>
          </w:p>
        </w:tc>
        <w:tc>
          <w:tcPr>
            <w:tcW w:w="1602" w:type="dxa"/>
          </w:tcPr>
          <w:p w14:paraId="5F7CFDAE" w14:textId="77777777" w:rsidR="001C08A5" w:rsidRDefault="00000000">
            <w:pPr>
              <w:jc w:val="center"/>
              <w:rPr>
                <w:b/>
                <w:i/>
                <w:sz w:val="22"/>
                <w:szCs w:val="22"/>
              </w:rPr>
            </w:pPr>
            <w:r>
              <w:rPr>
                <w:b/>
                <w:i/>
                <w:sz w:val="22"/>
                <w:szCs w:val="22"/>
              </w:rPr>
              <w:t xml:space="preserve">EI/REI 90 </w:t>
            </w:r>
          </w:p>
          <w:p w14:paraId="591CD8D2" w14:textId="77777777" w:rsidR="001C08A5" w:rsidRDefault="001C08A5">
            <w:pPr>
              <w:jc w:val="center"/>
              <w:rPr>
                <w:b/>
                <w:i/>
                <w:sz w:val="22"/>
                <w:szCs w:val="22"/>
              </w:rPr>
            </w:pPr>
          </w:p>
        </w:tc>
        <w:tc>
          <w:tcPr>
            <w:tcW w:w="1731" w:type="dxa"/>
          </w:tcPr>
          <w:p w14:paraId="42B6DD9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03" w:type="dxa"/>
            <w:vMerge w:val="restart"/>
            <w:textDirection w:val="lrTbV"/>
          </w:tcPr>
          <w:p w14:paraId="7C608408" w14:textId="77777777" w:rsidR="001C08A5" w:rsidRDefault="00000000">
            <w:pPr>
              <w:jc w:val="center"/>
              <w:rPr>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1DB6295C" w14:textId="77777777" w:rsidR="001C08A5" w:rsidRDefault="00000000">
            <w:pPr>
              <w:rPr>
                <w:b/>
                <w:i/>
                <w:sz w:val="22"/>
                <w:szCs w:val="22"/>
              </w:rPr>
            </w:pPr>
            <w:r>
              <w:rPr>
                <w:i/>
                <w:sz w:val="22"/>
                <w:szCs w:val="22"/>
              </w:rPr>
              <w:t xml:space="preserve">Condiţiile minime de rezistenţă la foc pe care </w:t>
            </w:r>
            <w:r>
              <w:rPr>
                <w:i/>
                <w:sz w:val="22"/>
                <w:szCs w:val="22"/>
              </w:rPr>
              <w:lastRenderedPageBreak/>
              <w:t>trebuie să le îndeplinească  PLANȘEELE (</w:t>
            </w:r>
            <w:r>
              <w:rPr>
                <w:b/>
                <w:bCs/>
                <w:i/>
                <w:sz w:val="22"/>
                <w:szCs w:val="22"/>
              </w:rPr>
              <w:t>REI</w:t>
            </w:r>
            <w:r>
              <w:rPr>
                <w:i/>
                <w:sz w:val="22"/>
                <w:szCs w:val="22"/>
              </w:rPr>
              <w:t>) pentru încadrarea  în nivelul stabilit de stabilitate la incendiu.</w:t>
            </w:r>
          </w:p>
        </w:tc>
        <w:tc>
          <w:tcPr>
            <w:tcW w:w="1861" w:type="dxa"/>
          </w:tcPr>
          <w:p w14:paraId="705D6B09" w14:textId="77777777" w:rsidR="001C08A5" w:rsidRDefault="00000000">
            <w:pPr>
              <w:jc w:val="center"/>
              <w:rPr>
                <w:i/>
                <w:sz w:val="22"/>
                <w:szCs w:val="22"/>
              </w:rPr>
            </w:pPr>
            <w:r>
              <w:rPr>
                <w:b/>
                <w:i/>
                <w:sz w:val="22"/>
                <w:szCs w:val="22"/>
              </w:rPr>
              <w:lastRenderedPageBreak/>
              <w:t>A1</w:t>
            </w:r>
            <w:r>
              <w:rPr>
                <w:bCs/>
                <w:i/>
                <w:sz w:val="22"/>
                <w:szCs w:val="22"/>
              </w:rPr>
              <w:t xml:space="preserve"> sau </w:t>
            </w:r>
            <w:r>
              <w:rPr>
                <w:b/>
                <w:i/>
                <w:sz w:val="22"/>
                <w:szCs w:val="22"/>
              </w:rPr>
              <w:t>A2-s1d0</w:t>
            </w:r>
          </w:p>
        </w:tc>
        <w:tc>
          <w:tcPr>
            <w:tcW w:w="1539" w:type="dxa"/>
          </w:tcPr>
          <w:p w14:paraId="4AE03673" w14:textId="77777777" w:rsidR="001C08A5" w:rsidRDefault="00000000">
            <w:pPr>
              <w:jc w:val="center"/>
              <w:rPr>
                <w:i/>
                <w:sz w:val="22"/>
                <w:szCs w:val="22"/>
              </w:rPr>
            </w:pPr>
            <w:r>
              <w:rPr>
                <w:b/>
                <w:bCs/>
                <w:i/>
                <w:sz w:val="22"/>
                <w:szCs w:val="22"/>
              </w:rPr>
              <w:t>E 45 - C5 Sa</w:t>
            </w:r>
          </w:p>
        </w:tc>
      </w:tr>
      <w:tr w:rsidR="001C08A5" w14:paraId="4FE90ECB" w14:textId="77777777">
        <w:tc>
          <w:tcPr>
            <w:tcW w:w="1262" w:type="dxa"/>
          </w:tcPr>
          <w:p w14:paraId="076C0DD5" w14:textId="77777777" w:rsidR="001C08A5" w:rsidRDefault="00000000">
            <w:pPr>
              <w:pStyle w:val="BodyText"/>
              <w:jc w:val="center"/>
              <w:rPr>
                <w:bCs w:val="0"/>
                <w:sz w:val="22"/>
                <w:szCs w:val="22"/>
              </w:rPr>
            </w:pPr>
            <w:r>
              <w:rPr>
                <w:bCs w:val="0"/>
                <w:sz w:val="22"/>
                <w:szCs w:val="22"/>
              </w:rPr>
              <w:t>II</w:t>
            </w:r>
          </w:p>
        </w:tc>
        <w:tc>
          <w:tcPr>
            <w:tcW w:w="1602" w:type="dxa"/>
          </w:tcPr>
          <w:p w14:paraId="575B687D" w14:textId="77777777" w:rsidR="001C08A5" w:rsidRDefault="00000000">
            <w:pPr>
              <w:jc w:val="center"/>
              <w:rPr>
                <w:b/>
                <w:i/>
                <w:sz w:val="22"/>
                <w:szCs w:val="22"/>
              </w:rPr>
            </w:pPr>
            <w:r>
              <w:rPr>
                <w:b/>
                <w:i/>
                <w:sz w:val="22"/>
                <w:szCs w:val="22"/>
              </w:rPr>
              <w:t xml:space="preserve">EI/REI 90 </w:t>
            </w:r>
          </w:p>
          <w:p w14:paraId="68C46185" w14:textId="77777777" w:rsidR="001C08A5" w:rsidRDefault="001C08A5">
            <w:pPr>
              <w:jc w:val="center"/>
              <w:rPr>
                <w:b/>
                <w:i/>
                <w:sz w:val="22"/>
                <w:szCs w:val="22"/>
              </w:rPr>
            </w:pPr>
          </w:p>
        </w:tc>
        <w:tc>
          <w:tcPr>
            <w:tcW w:w="1731" w:type="dxa"/>
          </w:tcPr>
          <w:p w14:paraId="50DE0A8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03" w:type="dxa"/>
            <w:vMerge/>
          </w:tcPr>
          <w:p w14:paraId="714797E4" w14:textId="77777777" w:rsidR="001C08A5" w:rsidRDefault="001C08A5">
            <w:pPr>
              <w:jc w:val="center"/>
              <w:rPr>
                <w:b/>
                <w:i/>
                <w:sz w:val="22"/>
                <w:szCs w:val="22"/>
              </w:rPr>
            </w:pPr>
          </w:p>
        </w:tc>
        <w:tc>
          <w:tcPr>
            <w:tcW w:w="1861" w:type="dxa"/>
          </w:tcPr>
          <w:p w14:paraId="629AE968"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6BF9240E" w14:textId="77777777" w:rsidR="001C08A5" w:rsidRDefault="00000000">
            <w:pPr>
              <w:jc w:val="center"/>
              <w:rPr>
                <w:i/>
                <w:sz w:val="22"/>
                <w:szCs w:val="22"/>
              </w:rPr>
            </w:pPr>
            <w:r>
              <w:rPr>
                <w:b/>
                <w:bCs/>
                <w:i/>
                <w:sz w:val="22"/>
                <w:szCs w:val="22"/>
              </w:rPr>
              <w:t>E 45 - C5 Sa</w:t>
            </w:r>
          </w:p>
        </w:tc>
      </w:tr>
      <w:tr w:rsidR="001C08A5" w14:paraId="66EF583F" w14:textId="77777777">
        <w:tc>
          <w:tcPr>
            <w:tcW w:w="1262" w:type="dxa"/>
          </w:tcPr>
          <w:p w14:paraId="3AE95631" w14:textId="77777777" w:rsidR="001C08A5" w:rsidRDefault="00000000">
            <w:pPr>
              <w:pStyle w:val="BodyText"/>
              <w:jc w:val="center"/>
              <w:rPr>
                <w:bCs w:val="0"/>
                <w:sz w:val="22"/>
                <w:szCs w:val="22"/>
              </w:rPr>
            </w:pPr>
            <w:r>
              <w:rPr>
                <w:bCs w:val="0"/>
                <w:sz w:val="22"/>
                <w:szCs w:val="22"/>
              </w:rPr>
              <w:t>II (+)</w:t>
            </w:r>
          </w:p>
        </w:tc>
        <w:tc>
          <w:tcPr>
            <w:tcW w:w="1602" w:type="dxa"/>
          </w:tcPr>
          <w:p w14:paraId="249C647A" w14:textId="77777777" w:rsidR="001C08A5" w:rsidRDefault="00000000">
            <w:pPr>
              <w:jc w:val="center"/>
              <w:rPr>
                <w:b/>
                <w:i/>
                <w:sz w:val="22"/>
                <w:szCs w:val="22"/>
              </w:rPr>
            </w:pPr>
            <w:r>
              <w:rPr>
                <w:b/>
                <w:i/>
                <w:sz w:val="22"/>
                <w:szCs w:val="22"/>
              </w:rPr>
              <w:t>EI/REI 90</w:t>
            </w:r>
          </w:p>
          <w:p w14:paraId="1EC76B86" w14:textId="77777777" w:rsidR="001C08A5" w:rsidRDefault="001C08A5">
            <w:pPr>
              <w:jc w:val="center"/>
              <w:rPr>
                <w:b/>
                <w:i/>
                <w:sz w:val="22"/>
                <w:szCs w:val="22"/>
              </w:rPr>
            </w:pPr>
          </w:p>
        </w:tc>
        <w:tc>
          <w:tcPr>
            <w:tcW w:w="1731" w:type="dxa"/>
          </w:tcPr>
          <w:p w14:paraId="6374A6EE"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03" w:type="dxa"/>
            <w:vMerge/>
          </w:tcPr>
          <w:p w14:paraId="0D34DB98" w14:textId="77777777" w:rsidR="001C08A5" w:rsidRDefault="001C08A5">
            <w:pPr>
              <w:jc w:val="center"/>
              <w:rPr>
                <w:b/>
                <w:i/>
                <w:sz w:val="22"/>
                <w:szCs w:val="22"/>
              </w:rPr>
            </w:pPr>
          </w:p>
        </w:tc>
        <w:tc>
          <w:tcPr>
            <w:tcW w:w="1861" w:type="dxa"/>
          </w:tcPr>
          <w:p w14:paraId="3FD9159C" w14:textId="77777777" w:rsidR="001C08A5" w:rsidRDefault="00000000">
            <w:pPr>
              <w:jc w:val="center"/>
              <w:rPr>
                <w:b/>
                <w:i/>
                <w:sz w:val="22"/>
                <w:szCs w:val="22"/>
              </w:rPr>
            </w:pPr>
            <w:r>
              <w:rPr>
                <w:b/>
                <w:i/>
                <w:sz w:val="22"/>
                <w:szCs w:val="22"/>
              </w:rPr>
              <w:t>A1 sau A2-s1d0</w:t>
            </w:r>
          </w:p>
        </w:tc>
        <w:tc>
          <w:tcPr>
            <w:tcW w:w="1539" w:type="dxa"/>
          </w:tcPr>
          <w:p w14:paraId="061ECEC7" w14:textId="77777777" w:rsidR="001C08A5" w:rsidRDefault="00000000">
            <w:pPr>
              <w:jc w:val="center"/>
              <w:rPr>
                <w:b/>
                <w:bCs/>
                <w:i/>
                <w:sz w:val="22"/>
                <w:szCs w:val="22"/>
              </w:rPr>
            </w:pPr>
            <w:r>
              <w:rPr>
                <w:b/>
                <w:bCs/>
                <w:i/>
                <w:sz w:val="22"/>
                <w:szCs w:val="22"/>
              </w:rPr>
              <w:t>E 45 - C5 Sa</w:t>
            </w:r>
          </w:p>
        </w:tc>
      </w:tr>
      <w:tr w:rsidR="001C08A5" w14:paraId="64BDD46D" w14:textId="77777777">
        <w:tc>
          <w:tcPr>
            <w:tcW w:w="1262" w:type="dxa"/>
          </w:tcPr>
          <w:p w14:paraId="07194C52" w14:textId="77777777" w:rsidR="001C08A5" w:rsidRDefault="00000000">
            <w:pPr>
              <w:pStyle w:val="BodyText"/>
              <w:jc w:val="center"/>
              <w:rPr>
                <w:bCs w:val="0"/>
                <w:sz w:val="22"/>
                <w:szCs w:val="22"/>
              </w:rPr>
            </w:pPr>
            <w:r>
              <w:rPr>
                <w:bCs w:val="0"/>
                <w:sz w:val="22"/>
                <w:szCs w:val="22"/>
              </w:rPr>
              <w:t>III</w:t>
            </w:r>
          </w:p>
        </w:tc>
        <w:tc>
          <w:tcPr>
            <w:tcW w:w="1602" w:type="dxa"/>
          </w:tcPr>
          <w:p w14:paraId="70919AB0" w14:textId="77777777" w:rsidR="001C08A5" w:rsidRDefault="00000000">
            <w:pPr>
              <w:jc w:val="center"/>
              <w:rPr>
                <w:b/>
                <w:i/>
                <w:sz w:val="22"/>
                <w:szCs w:val="22"/>
              </w:rPr>
            </w:pPr>
            <w:r>
              <w:rPr>
                <w:b/>
                <w:i/>
                <w:sz w:val="22"/>
                <w:szCs w:val="22"/>
              </w:rPr>
              <w:t xml:space="preserve">EI/REI 60 </w:t>
            </w:r>
          </w:p>
          <w:p w14:paraId="1CE834EC" w14:textId="77777777" w:rsidR="001C08A5" w:rsidRDefault="001C08A5">
            <w:pPr>
              <w:jc w:val="center"/>
              <w:rPr>
                <w:b/>
                <w:i/>
                <w:sz w:val="22"/>
                <w:szCs w:val="22"/>
              </w:rPr>
            </w:pPr>
          </w:p>
        </w:tc>
        <w:tc>
          <w:tcPr>
            <w:tcW w:w="1731" w:type="dxa"/>
          </w:tcPr>
          <w:p w14:paraId="1342F344"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503" w:type="dxa"/>
            <w:vMerge/>
          </w:tcPr>
          <w:p w14:paraId="0A7B2DA8" w14:textId="77777777" w:rsidR="001C08A5" w:rsidRDefault="001C08A5">
            <w:pPr>
              <w:jc w:val="center"/>
              <w:rPr>
                <w:b/>
                <w:i/>
                <w:sz w:val="22"/>
                <w:szCs w:val="22"/>
              </w:rPr>
            </w:pPr>
          </w:p>
        </w:tc>
        <w:tc>
          <w:tcPr>
            <w:tcW w:w="1861" w:type="dxa"/>
          </w:tcPr>
          <w:p w14:paraId="3293311E"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53D01062" w14:textId="77777777" w:rsidR="001C08A5" w:rsidRDefault="001C08A5">
            <w:pPr>
              <w:rPr>
                <w:i/>
                <w:sz w:val="22"/>
                <w:szCs w:val="22"/>
              </w:rPr>
            </w:pPr>
          </w:p>
        </w:tc>
        <w:tc>
          <w:tcPr>
            <w:tcW w:w="1539" w:type="dxa"/>
          </w:tcPr>
          <w:p w14:paraId="70115A30" w14:textId="77777777" w:rsidR="001C08A5" w:rsidRDefault="00000000">
            <w:pPr>
              <w:jc w:val="center"/>
              <w:rPr>
                <w:i/>
                <w:sz w:val="22"/>
                <w:szCs w:val="22"/>
              </w:rPr>
            </w:pPr>
            <w:r>
              <w:rPr>
                <w:b/>
                <w:bCs/>
                <w:i/>
                <w:sz w:val="22"/>
                <w:szCs w:val="22"/>
              </w:rPr>
              <w:t>E 30 - C5 Sa</w:t>
            </w:r>
          </w:p>
        </w:tc>
      </w:tr>
      <w:tr w:rsidR="001C08A5" w14:paraId="2FE3159B" w14:textId="77777777">
        <w:tc>
          <w:tcPr>
            <w:tcW w:w="1262" w:type="dxa"/>
          </w:tcPr>
          <w:p w14:paraId="618B5680" w14:textId="77777777" w:rsidR="001C08A5" w:rsidRDefault="00000000">
            <w:pPr>
              <w:pStyle w:val="BodyText"/>
              <w:jc w:val="center"/>
              <w:rPr>
                <w:bCs w:val="0"/>
                <w:sz w:val="22"/>
                <w:szCs w:val="22"/>
              </w:rPr>
            </w:pPr>
            <w:r>
              <w:rPr>
                <w:bCs w:val="0"/>
                <w:sz w:val="22"/>
                <w:szCs w:val="22"/>
              </w:rPr>
              <w:lastRenderedPageBreak/>
              <w:t>III (+)</w:t>
            </w:r>
          </w:p>
        </w:tc>
        <w:tc>
          <w:tcPr>
            <w:tcW w:w="1602" w:type="dxa"/>
          </w:tcPr>
          <w:p w14:paraId="398264D6" w14:textId="77777777" w:rsidR="001C08A5" w:rsidRDefault="00000000">
            <w:pPr>
              <w:jc w:val="center"/>
              <w:rPr>
                <w:b/>
                <w:i/>
                <w:sz w:val="22"/>
                <w:szCs w:val="22"/>
              </w:rPr>
            </w:pPr>
            <w:r>
              <w:rPr>
                <w:b/>
                <w:i/>
                <w:sz w:val="22"/>
                <w:szCs w:val="22"/>
              </w:rPr>
              <w:t xml:space="preserve">EI/REI 45 </w:t>
            </w:r>
          </w:p>
          <w:p w14:paraId="5A6334A4" w14:textId="77777777" w:rsidR="001C08A5" w:rsidRDefault="001C08A5">
            <w:pPr>
              <w:jc w:val="center"/>
              <w:rPr>
                <w:b/>
                <w:i/>
                <w:sz w:val="22"/>
                <w:szCs w:val="22"/>
              </w:rPr>
            </w:pPr>
          </w:p>
        </w:tc>
        <w:tc>
          <w:tcPr>
            <w:tcW w:w="1731" w:type="dxa"/>
          </w:tcPr>
          <w:p w14:paraId="2AE75BAF"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503" w:type="dxa"/>
            <w:vMerge/>
          </w:tcPr>
          <w:p w14:paraId="08B515D4" w14:textId="77777777" w:rsidR="001C08A5" w:rsidRDefault="001C08A5">
            <w:pPr>
              <w:jc w:val="center"/>
              <w:rPr>
                <w:b/>
                <w:i/>
                <w:sz w:val="22"/>
                <w:szCs w:val="22"/>
              </w:rPr>
            </w:pPr>
          </w:p>
        </w:tc>
        <w:tc>
          <w:tcPr>
            <w:tcW w:w="1861" w:type="dxa"/>
          </w:tcPr>
          <w:p w14:paraId="261323E9" w14:textId="77777777" w:rsidR="001C08A5" w:rsidRDefault="00000000">
            <w:pPr>
              <w:jc w:val="center"/>
              <w:rPr>
                <w:i/>
                <w:sz w:val="22"/>
                <w:szCs w:val="22"/>
              </w:rPr>
            </w:pPr>
            <w:r>
              <w:rPr>
                <w:b/>
                <w:i/>
                <w:sz w:val="22"/>
                <w:szCs w:val="22"/>
              </w:rPr>
              <w:t xml:space="preserve"> A1 sau A2-s1d0 </w:t>
            </w:r>
          </w:p>
        </w:tc>
        <w:tc>
          <w:tcPr>
            <w:tcW w:w="1539" w:type="dxa"/>
          </w:tcPr>
          <w:p w14:paraId="47555678" w14:textId="77777777" w:rsidR="001C08A5" w:rsidRDefault="00000000">
            <w:pPr>
              <w:jc w:val="center"/>
              <w:rPr>
                <w:b/>
                <w:bCs/>
                <w:i/>
                <w:sz w:val="22"/>
                <w:szCs w:val="22"/>
              </w:rPr>
            </w:pPr>
            <w:r>
              <w:rPr>
                <w:b/>
                <w:bCs/>
                <w:i/>
                <w:sz w:val="22"/>
                <w:szCs w:val="22"/>
              </w:rPr>
              <w:t>E 30 - C5 Sa</w:t>
            </w:r>
          </w:p>
        </w:tc>
      </w:tr>
      <w:tr w:rsidR="001C08A5" w14:paraId="195CAD5F" w14:textId="77777777">
        <w:tc>
          <w:tcPr>
            <w:tcW w:w="1262" w:type="dxa"/>
          </w:tcPr>
          <w:p w14:paraId="35C0B73F" w14:textId="77777777" w:rsidR="001C08A5" w:rsidRDefault="00000000">
            <w:pPr>
              <w:pStyle w:val="BodyText"/>
              <w:jc w:val="center"/>
              <w:rPr>
                <w:bCs w:val="0"/>
                <w:sz w:val="22"/>
                <w:szCs w:val="22"/>
              </w:rPr>
            </w:pPr>
            <w:r>
              <w:rPr>
                <w:bCs w:val="0"/>
                <w:sz w:val="22"/>
                <w:szCs w:val="22"/>
              </w:rPr>
              <w:t>IV</w:t>
            </w:r>
          </w:p>
        </w:tc>
        <w:tc>
          <w:tcPr>
            <w:tcW w:w="1602" w:type="dxa"/>
          </w:tcPr>
          <w:p w14:paraId="3D42C0DB" w14:textId="77777777" w:rsidR="001C08A5" w:rsidRDefault="00000000">
            <w:pPr>
              <w:jc w:val="center"/>
              <w:rPr>
                <w:b/>
                <w:i/>
                <w:sz w:val="22"/>
                <w:szCs w:val="22"/>
              </w:rPr>
            </w:pPr>
            <w:r>
              <w:rPr>
                <w:b/>
                <w:i/>
                <w:sz w:val="22"/>
                <w:szCs w:val="22"/>
              </w:rPr>
              <w:t xml:space="preserve">EI/REI 30 </w:t>
            </w:r>
          </w:p>
          <w:p w14:paraId="44ED6AA6" w14:textId="77777777" w:rsidR="001C08A5" w:rsidRDefault="001C08A5">
            <w:pPr>
              <w:jc w:val="center"/>
              <w:rPr>
                <w:b/>
                <w:i/>
                <w:sz w:val="22"/>
                <w:szCs w:val="22"/>
              </w:rPr>
            </w:pPr>
          </w:p>
        </w:tc>
        <w:tc>
          <w:tcPr>
            <w:tcW w:w="1731" w:type="dxa"/>
          </w:tcPr>
          <w:p w14:paraId="63213B05"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03" w:type="dxa"/>
            <w:vMerge/>
          </w:tcPr>
          <w:p w14:paraId="0CE20B0E" w14:textId="77777777" w:rsidR="001C08A5" w:rsidRDefault="001C08A5">
            <w:pPr>
              <w:jc w:val="center"/>
              <w:rPr>
                <w:b/>
                <w:i/>
                <w:sz w:val="22"/>
                <w:szCs w:val="22"/>
              </w:rPr>
            </w:pPr>
          </w:p>
        </w:tc>
        <w:tc>
          <w:tcPr>
            <w:tcW w:w="1861" w:type="dxa"/>
          </w:tcPr>
          <w:p w14:paraId="56CEE290"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39" w:type="dxa"/>
          </w:tcPr>
          <w:p w14:paraId="59D69D48" w14:textId="77777777" w:rsidR="001C08A5" w:rsidRDefault="00000000">
            <w:pPr>
              <w:jc w:val="center"/>
              <w:rPr>
                <w:i/>
                <w:sz w:val="22"/>
                <w:szCs w:val="22"/>
              </w:rPr>
            </w:pPr>
            <w:r>
              <w:rPr>
                <w:b/>
                <w:bCs/>
                <w:i/>
                <w:sz w:val="22"/>
                <w:szCs w:val="22"/>
              </w:rPr>
              <w:t>E 15 - C5</w:t>
            </w:r>
          </w:p>
        </w:tc>
      </w:tr>
      <w:tr w:rsidR="001C08A5" w14:paraId="12C235DD" w14:textId="77777777">
        <w:tc>
          <w:tcPr>
            <w:tcW w:w="1262" w:type="dxa"/>
          </w:tcPr>
          <w:p w14:paraId="1373E3AA" w14:textId="77777777" w:rsidR="001C08A5" w:rsidRDefault="00000000">
            <w:pPr>
              <w:pStyle w:val="BodyText"/>
              <w:jc w:val="center"/>
              <w:rPr>
                <w:bCs w:val="0"/>
                <w:sz w:val="22"/>
                <w:szCs w:val="22"/>
              </w:rPr>
            </w:pPr>
            <w:r>
              <w:rPr>
                <w:bCs w:val="0"/>
                <w:sz w:val="22"/>
                <w:szCs w:val="22"/>
              </w:rPr>
              <w:t>V</w:t>
            </w:r>
          </w:p>
        </w:tc>
        <w:tc>
          <w:tcPr>
            <w:tcW w:w="1602" w:type="dxa"/>
          </w:tcPr>
          <w:p w14:paraId="5FF1B58A" w14:textId="77777777" w:rsidR="001C08A5" w:rsidRDefault="00000000">
            <w:pPr>
              <w:jc w:val="center"/>
              <w:rPr>
                <w:b/>
                <w:i/>
                <w:sz w:val="22"/>
                <w:szCs w:val="22"/>
              </w:rPr>
            </w:pPr>
            <w:r>
              <w:rPr>
                <w:b/>
                <w:i/>
                <w:sz w:val="22"/>
                <w:szCs w:val="22"/>
              </w:rPr>
              <w:t xml:space="preserve">EI/REI 15 </w:t>
            </w:r>
          </w:p>
          <w:p w14:paraId="56CE6598" w14:textId="77777777" w:rsidR="001C08A5" w:rsidRDefault="001C08A5">
            <w:pPr>
              <w:jc w:val="center"/>
              <w:rPr>
                <w:b/>
                <w:i/>
                <w:sz w:val="22"/>
                <w:szCs w:val="22"/>
              </w:rPr>
            </w:pPr>
          </w:p>
        </w:tc>
        <w:tc>
          <w:tcPr>
            <w:tcW w:w="1731" w:type="dxa"/>
          </w:tcPr>
          <w:p w14:paraId="471C58BA"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503" w:type="dxa"/>
            <w:vMerge/>
          </w:tcPr>
          <w:p w14:paraId="2584AF9D" w14:textId="77777777" w:rsidR="001C08A5" w:rsidRDefault="001C08A5">
            <w:pPr>
              <w:jc w:val="center"/>
              <w:rPr>
                <w:b/>
                <w:i/>
                <w:sz w:val="22"/>
                <w:szCs w:val="22"/>
              </w:rPr>
            </w:pPr>
          </w:p>
        </w:tc>
        <w:tc>
          <w:tcPr>
            <w:tcW w:w="1861" w:type="dxa"/>
          </w:tcPr>
          <w:p w14:paraId="6E51DDEB"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539" w:type="dxa"/>
          </w:tcPr>
          <w:p w14:paraId="55BB6FF0" w14:textId="77777777" w:rsidR="001C08A5" w:rsidRDefault="00000000">
            <w:pPr>
              <w:jc w:val="center"/>
              <w:rPr>
                <w:b/>
                <w:bCs/>
                <w:i/>
                <w:sz w:val="22"/>
                <w:szCs w:val="22"/>
              </w:rPr>
            </w:pPr>
            <w:r>
              <w:rPr>
                <w:b/>
                <w:bCs/>
                <w:i/>
                <w:sz w:val="22"/>
                <w:szCs w:val="22"/>
              </w:rPr>
              <w:t>-</w:t>
            </w:r>
          </w:p>
        </w:tc>
      </w:tr>
    </w:tbl>
    <w:p w14:paraId="3F991370" w14:textId="77777777" w:rsidR="001C08A5" w:rsidRDefault="00000000">
      <w:pPr>
        <w:autoSpaceDE w:val="0"/>
        <w:rPr>
          <w:i/>
          <w:sz w:val="22"/>
          <w:szCs w:val="22"/>
        </w:rPr>
      </w:pPr>
      <w:r>
        <w:rPr>
          <w:bCs/>
          <w:i/>
          <w:sz w:val="22"/>
          <w:szCs w:val="22"/>
          <w:u w:val="single"/>
        </w:rPr>
        <w:t>Note</w:t>
      </w:r>
      <w:r>
        <w:rPr>
          <w:i/>
          <w:sz w:val="22"/>
          <w:szCs w:val="22"/>
        </w:rPr>
        <w:t>:</w:t>
      </w:r>
    </w:p>
    <w:p w14:paraId="6E8B7358" w14:textId="77777777" w:rsidR="001C08A5" w:rsidRDefault="00000000">
      <w:pPr>
        <w:jc w:val="both"/>
        <w:rPr>
          <w:bCs/>
          <w:i/>
          <w:sz w:val="22"/>
          <w:szCs w:val="22"/>
        </w:rPr>
      </w:pPr>
      <w:r>
        <w:rPr>
          <w:b/>
          <w:bCs/>
          <w:i/>
          <w:sz w:val="22"/>
          <w:szCs w:val="22"/>
        </w:rPr>
        <w:t xml:space="preserve">a) - </w:t>
      </w:r>
      <w:r>
        <w:rPr>
          <w:i/>
          <w:sz w:val="22"/>
          <w:szCs w:val="22"/>
        </w:rPr>
        <w:t>=</w:t>
      </w:r>
      <w:r>
        <w:rPr>
          <w:bCs/>
          <w:i/>
          <w:sz w:val="22"/>
          <w:szCs w:val="22"/>
        </w:rPr>
        <w:t xml:space="preserve"> fără performanţe determinate la foc;</w:t>
      </w:r>
    </w:p>
    <w:p w14:paraId="76D4F7FE" w14:textId="77777777" w:rsidR="001C08A5" w:rsidRDefault="00000000">
      <w:pPr>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633AC362" w14:textId="77777777" w:rsidR="001C08A5" w:rsidRDefault="00000000">
      <w:pPr>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60666708" w14:textId="77777777" w:rsidR="001C08A5" w:rsidRDefault="00000000">
      <w:pPr>
        <w:jc w:val="both"/>
        <w:rPr>
          <w:bCs/>
          <w:i/>
          <w:sz w:val="22"/>
          <w:szCs w:val="22"/>
        </w:rPr>
      </w:pPr>
      <w:r>
        <w:rPr>
          <w:b/>
          <w:bCs/>
          <w:i/>
          <w:sz w:val="22"/>
          <w:szCs w:val="22"/>
        </w:rPr>
        <w:t xml:space="preserve">b) </w:t>
      </w:r>
      <w:r>
        <w:rPr>
          <w:bCs/>
          <w:i/>
          <w:sz w:val="22"/>
          <w:szCs w:val="22"/>
        </w:rPr>
        <w:t xml:space="preserve"> la clădirile de comerţ echipate cu instalaţii de detectare, semnalizare şi alarmare a incendiului cu acoperire totală, instalaţii de evacuare a fumului şi instalaţii de stingere tip sprinkler se admite înlocuirea pereţilor și ușilor rezistente la foc a holurilor cu un sistem similar celui de protecţie a golurilor în planşee alcătuit din sprinklere şi ecrane </w:t>
      </w:r>
      <w:r>
        <w:rPr>
          <w:b/>
          <w:i/>
          <w:sz w:val="22"/>
          <w:szCs w:val="22"/>
        </w:rPr>
        <w:t>DH 90</w:t>
      </w:r>
      <w:r>
        <w:rPr>
          <w:bCs/>
          <w:i/>
          <w:sz w:val="22"/>
          <w:szCs w:val="22"/>
        </w:rPr>
        <w:t xml:space="preserve"> având înălţimea egală cu aceea a rezervorului de fum, dar minimum </w:t>
      </w:r>
      <w:r>
        <w:rPr>
          <w:b/>
          <w:bCs/>
          <w:i/>
          <w:sz w:val="22"/>
          <w:szCs w:val="22"/>
        </w:rPr>
        <w:t>1 m</w:t>
      </w:r>
      <w:r>
        <w:rPr>
          <w:bCs/>
          <w:i/>
          <w:sz w:val="22"/>
          <w:szCs w:val="22"/>
        </w:rPr>
        <w:t>, în condiţiile în care se realizează evacuarea fumului și din spaţiile adiacente coridorului.</w:t>
      </w:r>
    </w:p>
    <w:p w14:paraId="538B9557" w14:textId="77777777" w:rsidR="001C08A5" w:rsidRDefault="00000000">
      <w:pPr>
        <w:jc w:val="both"/>
        <w:rPr>
          <w:bCs/>
          <w:i/>
          <w:sz w:val="22"/>
          <w:szCs w:val="22"/>
        </w:rPr>
      </w:pPr>
      <w:r>
        <w:rPr>
          <w:b/>
          <w:bCs/>
          <w:i/>
          <w:sz w:val="22"/>
          <w:szCs w:val="22"/>
        </w:rPr>
        <w:t>c)</w:t>
      </w:r>
      <w:r>
        <w:rPr>
          <w:i/>
          <w:sz w:val="22"/>
          <w:szCs w:val="22"/>
        </w:rPr>
        <w:t>în cazul pereților vitrați cu profil metalic care separă holurile de încăperile adiacente nu se ia în considerare clasa de reacție la foc.</w:t>
      </w:r>
    </w:p>
    <w:p w14:paraId="2CED18FA" w14:textId="77777777" w:rsidR="001C08A5" w:rsidRDefault="00000000">
      <w:pPr>
        <w:jc w:val="both"/>
        <w:rPr>
          <w:b/>
          <w:sz w:val="24"/>
          <w:szCs w:val="24"/>
        </w:rPr>
      </w:pPr>
      <w:r>
        <w:rPr>
          <w:sz w:val="24"/>
          <w:szCs w:val="24"/>
        </w:rPr>
        <w:tab/>
      </w:r>
      <w:r>
        <w:rPr>
          <w:sz w:val="24"/>
          <w:szCs w:val="24"/>
        </w:rPr>
        <w:tab/>
      </w:r>
      <w:r>
        <w:rPr>
          <w:sz w:val="24"/>
          <w:szCs w:val="24"/>
        </w:rPr>
        <w:tab/>
      </w:r>
      <w:r>
        <w:rPr>
          <w:sz w:val="24"/>
          <w:szCs w:val="24"/>
        </w:rPr>
        <w:tab/>
      </w:r>
    </w:p>
    <w:p w14:paraId="1EE3F7A7" w14:textId="77777777" w:rsidR="001C08A5" w:rsidRDefault="00000000">
      <w:pPr>
        <w:ind w:firstLine="567"/>
        <w:jc w:val="both"/>
        <w:rPr>
          <w:sz w:val="24"/>
          <w:szCs w:val="24"/>
        </w:rPr>
      </w:pPr>
      <w:r>
        <w:rPr>
          <w:b/>
          <w:sz w:val="24"/>
          <w:szCs w:val="24"/>
        </w:rPr>
        <w:t xml:space="preserve">Art. </w:t>
      </w:r>
      <w:r>
        <w:rPr>
          <w:b/>
          <w:bCs/>
          <w:sz w:val="24"/>
          <w:szCs w:val="24"/>
        </w:rPr>
        <w:t>3.2.3.18</w:t>
      </w:r>
      <w:r>
        <w:rPr>
          <w:b/>
          <w:sz w:val="24"/>
          <w:szCs w:val="24"/>
        </w:rPr>
        <w:t>.</w:t>
      </w:r>
      <w:r>
        <w:rPr>
          <w:sz w:val="24"/>
          <w:szCs w:val="24"/>
        </w:rPr>
        <w:t xml:space="preserve"> Căile de circulaţie funcţională şi de evacuare a utilizatorilor construcţiilor şi spaţiilor comerciale subterane cu capacitatea maximă simultană mai mare de</w:t>
      </w:r>
      <w:r>
        <w:rPr>
          <w:b/>
          <w:bCs/>
          <w:sz w:val="24"/>
          <w:szCs w:val="24"/>
        </w:rPr>
        <w:t xml:space="preserve"> 100</w:t>
      </w:r>
      <w:r>
        <w:rPr>
          <w:sz w:val="24"/>
          <w:szCs w:val="24"/>
        </w:rPr>
        <w:t xml:space="preserve"> utilizatori, vor fi independente de căile de evacuare ale nivelurilor supraterane cu altă destinaţie, iar comunicarea între acestea este admisă numai prin încăperi tampon protejate ventilate în suprapresiune.</w:t>
      </w:r>
    </w:p>
    <w:p w14:paraId="2AA08A6D" w14:textId="77777777" w:rsidR="001C08A5" w:rsidRDefault="001C08A5">
      <w:pPr>
        <w:ind w:firstLine="567"/>
        <w:jc w:val="both"/>
        <w:rPr>
          <w:sz w:val="24"/>
          <w:szCs w:val="24"/>
        </w:rPr>
      </w:pPr>
    </w:p>
    <w:p w14:paraId="6BEB3962" w14:textId="77777777" w:rsidR="001C08A5" w:rsidRDefault="00000000">
      <w:pPr>
        <w:pStyle w:val="BodyText"/>
        <w:ind w:firstLine="567"/>
      </w:pPr>
      <w:r>
        <w:rPr>
          <w:i w:val="0"/>
          <w:iCs/>
        </w:rPr>
        <w:t xml:space="preserve">Art. </w:t>
      </w:r>
      <w:r>
        <w:rPr>
          <w:bCs w:val="0"/>
          <w:i w:val="0"/>
          <w:iCs/>
        </w:rPr>
        <w:t>3.2.3.19</w:t>
      </w:r>
      <w:r>
        <w:rPr>
          <w:i w:val="0"/>
          <w:iCs/>
        </w:rPr>
        <w:t xml:space="preserve">. </w:t>
      </w:r>
      <w:r>
        <w:rPr>
          <w:b w:val="0"/>
          <w:bCs w:val="0"/>
          <w:i w:val="0"/>
          <w:iCs/>
        </w:rPr>
        <w:t xml:space="preserve">Lungimea de evacuare maximă admisă a traseului de parcurs pe căile de evacuare în clădirile pentru comerţ (cu excepţia sălilor aglomerate, a clădirilor înalte şi foarte înalte), sunt precizate în </w:t>
      </w:r>
      <w:r>
        <w:rPr>
          <w:b w:val="0"/>
          <w:bCs w:val="0"/>
          <w:i w:val="0"/>
          <w:iCs/>
        </w:rPr>
        <w:fldChar w:fldCharType="begin"/>
      </w:r>
      <w:r>
        <w:rPr>
          <w:b w:val="0"/>
          <w:bCs w:val="0"/>
          <w:i w:val="0"/>
          <w:iCs/>
        </w:rPr>
        <w:instrText xml:space="preserve"> REF _Ref13649 \h </w:instrText>
      </w:r>
      <w:r>
        <w:rPr>
          <w:b w:val="0"/>
          <w:bCs w:val="0"/>
          <w:i w:val="0"/>
          <w:iCs/>
        </w:rPr>
      </w:r>
      <w:r>
        <w:rPr>
          <w:b w:val="0"/>
          <w:bCs w:val="0"/>
          <w:i w:val="0"/>
          <w:iCs/>
        </w:rPr>
        <w:fldChar w:fldCharType="separate"/>
      </w:r>
      <w:r>
        <w:t>Tabelul 64</w:t>
      </w:r>
      <w:r>
        <w:rPr>
          <w:b w:val="0"/>
          <w:bCs w:val="0"/>
          <w:i w:val="0"/>
          <w:iCs/>
        </w:rPr>
        <w:fldChar w:fldCharType="end"/>
      </w:r>
      <w:r>
        <w:t>.</w:t>
      </w:r>
    </w:p>
    <w:p w14:paraId="3A0550E0" w14:textId="77777777" w:rsidR="001C08A5" w:rsidRDefault="001C08A5">
      <w:pPr>
        <w:jc w:val="both"/>
        <w:rPr>
          <w:sz w:val="24"/>
          <w:szCs w:val="24"/>
        </w:rPr>
      </w:pPr>
    </w:p>
    <w:p w14:paraId="78FC66FB" w14:textId="77777777" w:rsidR="001C08A5" w:rsidRDefault="00000000">
      <w:pPr>
        <w:pStyle w:val="Captiontabel"/>
      </w:pPr>
      <w:bookmarkStart w:id="3471" w:name="_Ref13649"/>
      <w:bookmarkStart w:id="3472" w:name="_Ref10763"/>
      <w:bookmarkStart w:id="3473" w:name="_Toc162360114"/>
      <w:r>
        <w:t xml:space="preserve">Tabelul </w:t>
      </w:r>
      <w:r>
        <w:fldChar w:fldCharType="begin"/>
      </w:r>
      <w:r>
        <w:instrText xml:space="preserve"> SEQ Tabelul \* ARABIC </w:instrText>
      </w:r>
      <w:r>
        <w:fldChar w:fldCharType="separate"/>
      </w:r>
      <w:r>
        <w:t>64</w:t>
      </w:r>
      <w:r>
        <w:fldChar w:fldCharType="end"/>
      </w:r>
      <w:bookmarkStart w:id="3474" w:name="_Toc21328"/>
      <w:bookmarkStart w:id="3475" w:name="_Toc1059"/>
      <w:bookmarkStart w:id="3476" w:name="_Toc24576"/>
      <w:bookmarkStart w:id="3477" w:name="_Toc8631"/>
      <w:bookmarkStart w:id="3478" w:name="_Toc31546"/>
      <w:bookmarkStart w:id="3479" w:name="_Toc21143"/>
      <w:bookmarkStart w:id="3480" w:name="_Toc8828"/>
      <w:bookmarkStart w:id="3481" w:name="_Toc15784"/>
      <w:bookmarkStart w:id="3482" w:name="_Toc14686"/>
      <w:bookmarkStart w:id="3483" w:name="_Toc13357"/>
      <w:bookmarkStart w:id="3484" w:name="_Toc16323"/>
      <w:bookmarkStart w:id="3485" w:name="_Toc16042"/>
      <w:bookmarkStart w:id="3486" w:name="_Toc6087"/>
      <w:bookmarkStart w:id="3487" w:name="_Toc9874"/>
      <w:bookmarkStart w:id="3488" w:name="_Toc12411"/>
      <w:bookmarkStart w:id="3489" w:name="_Toc21094"/>
      <w:bookmarkStart w:id="3490" w:name="_Toc6635"/>
      <w:bookmarkStart w:id="3491" w:name="_Toc20577"/>
      <w:bookmarkStart w:id="3492" w:name="_Toc30912"/>
      <w:bookmarkEnd w:id="3471"/>
      <w:r>
        <w:t>: Lungimi de evacuare în clădiri pentru comerţ supraterane cu înălţimi obişnuite</w:t>
      </w:r>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p>
    <w:p w14:paraId="0607A193" w14:textId="77777777" w:rsidR="001C08A5" w:rsidRDefault="001C08A5">
      <w:pPr>
        <w:jc w:val="both"/>
        <w:rPr>
          <w:sz w:val="24"/>
          <w:szCs w:val="24"/>
        </w:rPr>
      </w:pPr>
    </w:p>
    <w:tbl>
      <w:tblPr>
        <w:tblW w:w="9585" w:type="dxa"/>
        <w:tblInd w:w="176" w:type="dxa"/>
        <w:tblLayout w:type="fixed"/>
        <w:tblLook w:val="04A0" w:firstRow="1" w:lastRow="0" w:firstColumn="1" w:lastColumn="0" w:noHBand="0" w:noVBand="1"/>
      </w:tblPr>
      <w:tblGrid>
        <w:gridCol w:w="630"/>
        <w:gridCol w:w="2320"/>
        <w:gridCol w:w="1609"/>
        <w:gridCol w:w="1636"/>
        <w:gridCol w:w="1964"/>
        <w:gridCol w:w="1391"/>
        <w:gridCol w:w="35"/>
      </w:tblGrid>
      <w:tr w:rsidR="001C08A5" w14:paraId="7ADD9281" w14:textId="77777777">
        <w:tc>
          <w:tcPr>
            <w:tcW w:w="630" w:type="dxa"/>
            <w:vMerge w:val="restart"/>
            <w:tcBorders>
              <w:top w:val="single" w:sz="8" w:space="0" w:color="000000"/>
              <w:left w:val="single" w:sz="8" w:space="0" w:color="000000"/>
              <w:bottom w:val="single" w:sz="4" w:space="0" w:color="000000"/>
            </w:tcBorders>
            <w:shd w:val="clear" w:color="auto" w:fill="BFBFBF"/>
          </w:tcPr>
          <w:p w14:paraId="6DCE3793" w14:textId="77777777" w:rsidR="001C08A5" w:rsidRDefault="001C08A5">
            <w:pPr>
              <w:snapToGrid w:val="0"/>
              <w:jc w:val="center"/>
              <w:rPr>
                <w:b/>
                <w:i/>
                <w:iCs/>
                <w:sz w:val="22"/>
                <w:szCs w:val="22"/>
              </w:rPr>
            </w:pPr>
          </w:p>
          <w:p w14:paraId="1B3704EE" w14:textId="77777777" w:rsidR="001C08A5" w:rsidRDefault="001C08A5">
            <w:pPr>
              <w:jc w:val="center"/>
              <w:rPr>
                <w:b/>
                <w:i/>
                <w:iCs/>
                <w:sz w:val="22"/>
                <w:szCs w:val="22"/>
              </w:rPr>
            </w:pPr>
          </w:p>
          <w:p w14:paraId="28C4E21F" w14:textId="77777777" w:rsidR="001C08A5" w:rsidRDefault="00000000">
            <w:pPr>
              <w:jc w:val="center"/>
              <w:rPr>
                <w:i/>
                <w:iCs/>
                <w:sz w:val="22"/>
                <w:szCs w:val="22"/>
              </w:rPr>
            </w:pPr>
            <w:r>
              <w:rPr>
                <w:b/>
                <w:i/>
                <w:iCs/>
                <w:sz w:val="22"/>
                <w:szCs w:val="22"/>
              </w:rPr>
              <w:t>Nr. crt.</w:t>
            </w:r>
          </w:p>
          <w:p w14:paraId="242399ED" w14:textId="77777777" w:rsidR="001C08A5" w:rsidRDefault="001C08A5">
            <w:pPr>
              <w:jc w:val="center"/>
              <w:rPr>
                <w:i/>
                <w:iCs/>
                <w:sz w:val="22"/>
                <w:szCs w:val="22"/>
              </w:rPr>
            </w:pPr>
          </w:p>
        </w:tc>
        <w:tc>
          <w:tcPr>
            <w:tcW w:w="2320" w:type="dxa"/>
            <w:vMerge w:val="restart"/>
            <w:tcBorders>
              <w:top w:val="single" w:sz="8" w:space="0" w:color="000000"/>
              <w:left w:val="single" w:sz="4" w:space="0" w:color="000000"/>
              <w:bottom w:val="single" w:sz="4" w:space="0" w:color="000000"/>
            </w:tcBorders>
            <w:shd w:val="clear" w:color="auto" w:fill="BFBFBF"/>
          </w:tcPr>
          <w:p w14:paraId="04D4EAB3" w14:textId="77777777" w:rsidR="001C08A5" w:rsidRDefault="001C08A5">
            <w:pPr>
              <w:snapToGrid w:val="0"/>
              <w:jc w:val="center"/>
              <w:rPr>
                <w:b/>
                <w:i/>
                <w:iCs/>
                <w:sz w:val="22"/>
                <w:szCs w:val="22"/>
              </w:rPr>
            </w:pPr>
          </w:p>
          <w:p w14:paraId="773C8115" w14:textId="77777777" w:rsidR="001C08A5" w:rsidRDefault="001C08A5">
            <w:pPr>
              <w:jc w:val="center"/>
              <w:rPr>
                <w:b/>
                <w:i/>
                <w:iCs/>
                <w:sz w:val="22"/>
                <w:szCs w:val="22"/>
              </w:rPr>
            </w:pPr>
          </w:p>
          <w:p w14:paraId="6730FB56" w14:textId="77777777" w:rsidR="001C08A5" w:rsidRDefault="00000000">
            <w:pPr>
              <w:jc w:val="center"/>
              <w:rPr>
                <w:b/>
                <w:i/>
                <w:iCs/>
                <w:sz w:val="22"/>
                <w:szCs w:val="22"/>
              </w:rPr>
            </w:pPr>
            <w:r>
              <w:rPr>
                <w:b/>
                <w:i/>
                <w:iCs/>
                <w:sz w:val="22"/>
                <w:szCs w:val="22"/>
              </w:rPr>
              <w:t>Clădiri pentru comerţ</w:t>
            </w:r>
          </w:p>
        </w:tc>
        <w:tc>
          <w:tcPr>
            <w:tcW w:w="1609" w:type="dxa"/>
            <w:vMerge w:val="restart"/>
            <w:tcBorders>
              <w:top w:val="single" w:sz="8" w:space="0" w:color="000000"/>
              <w:left w:val="single" w:sz="4" w:space="0" w:color="000000"/>
              <w:bottom w:val="single" w:sz="4" w:space="0" w:color="000000"/>
            </w:tcBorders>
            <w:shd w:val="clear" w:color="auto" w:fill="BFBFBF"/>
          </w:tcPr>
          <w:p w14:paraId="5D27040F" w14:textId="77777777" w:rsidR="001C08A5" w:rsidRDefault="00000000">
            <w:pPr>
              <w:jc w:val="center"/>
              <w:rPr>
                <w:b/>
                <w:i/>
                <w:iCs/>
                <w:sz w:val="22"/>
                <w:szCs w:val="22"/>
              </w:rPr>
            </w:pPr>
            <w:r>
              <w:rPr>
                <w:b/>
                <w:i/>
                <w:iCs/>
                <w:sz w:val="22"/>
                <w:szCs w:val="22"/>
              </w:rPr>
              <w:t>Nivel de stabilitate  la incendiu asigurat</w:t>
            </w:r>
          </w:p>
        </w:tc>
        <w:tc>
          <w:tcPr>
            <w:tcW w:w="3600" w:type="dxa"/>
            <w:gridSpan w:val="2"/>
            <w:tcBorders>
              <w:top w:val="single" w:sz="8" w:space="0" w:color="000000"/>
              <w:left w:val="single" w:sz="4" w:space="0" w:color="000000"/>
              <w:bottom w:val="single" w:sz="4" w:space="0" w:color="000000"/>
            </w:tcBorders>
            <w:shd w:val="clear" w:color="auto" w:fill="BFBFBF"/>
          </w:tcPr>
          <w:p w14:paraId="3CD389EB" w14:textId="77777777" w:rsidR="001C08A5" w:rsidRDefault="00000000">
            <w:pPr>
              <w:jc w:val="center"/>
              <w:rPr>
                <w:b/>
                <w:i/>
                <w:iCs/>
                <w:sz w:val="22"/>
                <w:szCs w:val="22"/>
              </w:rPr>
            </w:pPr>
            <w:r>
              <w:rPr>
                <w:b/>
                <w:i/>
                <w:iCs/>
                <w:sz w:val="22"/>
                <w:szCs w:val="22"/>
              </w:rPr>
              <w:t xml:space="preserve">Lungime maximă de evacuare </w:t>
            </w:r>
          </w:p>
        </w:tc>
        <w:tc>
          <w:tcPr>
            <w:tcW w:w="1426" w:type="dxa"/>
            <w:gridSpan w:val="2"/>
            <w:vMerge w:val="restart"/>
            <w:tcBorders>
              <w:top w:val="single" w:sz="8" w:space="0" w:color="000000"/>
              <w:left w:val="single" w:sz="4" w:space="0" w:color="000000"/>
              <w:bottom w:val="single" w:sz="4" w:space="0" w:color="000000"/>
              <w:right w:val="single" w:sz="8" w:space="0" w:color="000000"/>
            </w:tcBorders>
            <w:shd w:val="clear" w:color="auto" w:fill="BFBFBF"/>
          </w:tcPr>
          <w:p w14:paraId="1A5EC760" w14:textId="77777777" w:rsidR="001C08A5" w:rsidRDefault="001C08A5">
            <w:pPr>
              <w:snapToGrid w:val="0"/>
              <w:jc w:val="center"/>
              <w:rPr>
                <w:b/>
                <w:i/>
                <w:iCs/>
                <w:sz w:val="22"/>
                <w:szCs w:val="22"/>
              </w:rPr>
            </w:pPr>
          </w:p>
          <w:p w14:paraId="411380E5" w14:textId="77777777" w:rsidR="001C08A5" w:rsidRDefault="001C08A5">
            <w:pPr>
              <w:jc w:val="center"/>
              <w:rPr>
                <w:b/>
                <w:i/>
                <w:iCs/>
                <w:sz w:val="22"/>
                <w:szCs w:val="22"/>
              </w:rPr>
            </w:pPr>
          </w:p>
          <w:p w14:paraId="2444B4EC" w14:textId="77777777" w:rsidR="001C08A5" w:rsidRDefault="00000000">
            <w:pPr>
              <w:jc w:val="center"/>
              <w:rPr>
                <w:i/>
                <w:iCs/>
                <w:sz w:val="22"/>
                <w:szCs w:val="22"/>
              </w:rPr>
            </w:pPr>
            <w:r>
              <w:rPr>
                <w:b/>
                <w:i/>
                <w:iCs/>
                <w:sz w:val="22"/>
                <w:szCs w:val="22"/>
              </w:rPr>
              <w:t>Observaţii</w:t>
            </w:r>
          </w:p>
        </w:tc>
      </w:tr>
      <w:tr w:rsidR="001C08A5" w14:paraId="61E43E90" w14:textId="77777777">
        <w:tc>
          <w:tcPr>
            <w:tcW w:w="630" w:type="dxa"/>
            <w:vMerge/>
            <w:tcBorders>
              <w:top w:val="single" w:sz="4" w:space="0" w:color="000000"/>
              <w:left w:val="single" w:sz="8" w:space="0" w:color="000000"/>
              <w:bottom w:val="single" w:sz="4" w:space="0" w:color="000000"/>
            </w:tcBorders>
            <w:shd w:val="clear" w:color="auto" w:fill="auto"/>
          </w:tcPr>
          <w:p w14:paraId="214A57BA"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4" w:space="0" w:color="000000"/>
            </w:tcBorders>
            <w:shd w:val="clear" w:color="auto" w:fill="auto"/>
          </w:tcPr>
          <w:p w14:paraId="3C142D99" w14:textId="77777777" w:rsidR="001C08A5" w:rsidRDefault="001C08A5">
            <w:pPr>
              <w:snapToGrid w:val="0"/>
              <w:jc w:val="center"/>
              <w:rPr>
                <w:i/>
                <w:iCs/>
                <w:sz w:val="22"/>
                <w:szCs w:val="22"/>
              </w:rPr>
            </w:pPr>
          </w:p>
        </w:tc>
        <w:tc>
          <w:tcPr>
            <w:tcW w:w="1609" w:type="dxa"/>
            <w:vMerge/>
            <w:tcBorders>
              <w:top w:val="single" w:sz="4" w:space="0" w:color="000000"/>
              <w:left w:val="single" w:sz="4" w:space="0" w:color="000000"/>
              <w:bottom w:val="single" w:sz="4" w:space="0" w:color="000000"/>
            </w:tcBorders>
            <w:shd w:val="clear" w:color="auto" w:fill="auto"/>
          </w:tcPr>
          <w:p w14:paraId="6D2614CE" w14:textId="77777777" w:rsidR="001C08A5" w:rsidRDefault="001C08A5">
            <w:pPr>
              <w:snapToGrid w:val="0"/>
              <w:jc w:val="center"/>
              <w:rPr>
                <w:i/>
                <w:iCs/>
                <w:sz w:val="22"/>
                <w:szCs w:val="22"/>
              </w:rPr>
            </w:pPr>
          </w:p>
        </w:tc>
        <w:tc>
          <w:tcPr>
            <w:tcW w:w="1636" w:type="dxa"/>
            <w:tcBorders>
              <w:top w:val="single" w:sz="4" w:space="0" w:color="000000"/>
              <w:left w:val="single" w:sz="4" w:space="0" w:color="000000"/>
              <w:bottom w:val="single" w:sz="4" w:space="0" w:color="000000"/>
            </w:tcBorders>
            <w:shd w:val="clear" w:color="auto" w:fill="BFBFBF"/>
          </w:tcPr>
          <w:p w14:paraId="68F914F3" w14:textId="77777777" w:rsidR="001C08A5" w:rsidRDefault="00000000">
            <w:pPr>
              <w:jc w:val="center"/>
              <w:rPr>
                <w:b/>
                <w:i/>
                <w:iCs/>
                <w:sz w:val="22"/>
                <w:szCs w:val="22"/>
              </w:rPr>
            </w:pPr>
            <w:r>
              <w:rPr>
                <w:b/>
                <w:i/>
                <w:iCs/>
                <w:sz w:val="22"/>
                <w:szCs w:val="22"/>
              </w:rPr>
              <w:t>în două direcţii diferite</w:t>
            </w:r>
          </w:p>
        </w:tc>
        <w:tc>
          <w:tcPr>
            <w:tcW w:w="1964" w:type="dxa"/>
            <w:tcBorders>
              <w:top w:val="single" w:sz="4" w:space="0" w:color="000000"/>
              <w:left w:val="single" w:sz="4" w:space="0" w:color="000000"/>
              <w:bottom w:val="single" w:sz="4" w:space="0" w:color="000000"/>
            </w:tcBorders>
            <w:shd w:val="clear" w:color="auto" w:fill="BFBFBF"/>
          </w:tcPr>
          <w:p w14:paraId="36A5A0B2" w14:textId="77777777" w:rsidR="001C08A5" w:rsidRDefault="00000000">
            <w:pPr>
              <w:jc w:val="center"/>
              <w:rPr>
                <w:i/>
                <w:iCs/>
                <w:sz w:val="22"/>
                <w:szCs w:val="22"/>
              </w:rPr>
            </w:pPr>
            <w:r>
              <w:rPr>
                <w:b/>
                <w:i/>
                <w:iCs/>
                <w:sz w:val="22"/>
                <w:szCs w:val="22"/>
              </w:rPr>
              <w:t>într-o direcţie (coridor înfundat)</w:t>
            </w:r>
          </w:p>
        </w:tc>
        <w:tc>
          <w:tcPr>
            <w:tcW w:w="1426" w:type="dxa"/>
            <w:gridSpan w:val="2"/>
            <w:vMerge/>
            <w:tcBorders>
              <w:top w:val="single" w:sz="4" w:space="0" w:color="000000"/>
              <w:left w:val="single" w:sz="4" w:space="0" w:color="000000"/>
              <w:bottom w:val="single" w:sz="4" w:space="0" w:color="000000"/>
              <w:right w:val="single" w:sz="8" w:space="0" w:color="000000"/>
            </w:tcBorders>
          </w:tcPr>
          <w:p w14:paraId="0B128E28" w14:textId="77777777" w:rsidR="001C08A5" w:rsidRDefault="001C08A5">
            <w:pPr>
              <w:snapToGrid w:val="0"/>
              <w:rPr>
                <w:i/>
                <w:iCs/>
                <w:sz w:val="22"/>
                <w:szCs w:val="22"/>
              </w:rPr>
            </w:pPr>
          </w:p>
        </w:tc>
      </w:tr>
      <w:tr w:rsidR="001C08A5" w14:paraId="352B9756" w14:textId="77777777">
        <w:tc>
          <w:tcPr>
            <w:tcW w:w="630" w:type="dxa"/>
            <w:vMerge/>
            <w:tcBorders>
              <w:top w:val="single" w:sz="4" w:space="0" w:color="000000"/>
              <w:left w:val="single" w:sz="8" w:space="0" w:color="000000"/>
              <w:bottom w:val="single" w:sz="8" w:space="0" w:color="000000"/>
            </w:tcBorders>
            <w:shd w:val="clear" w:color="auto" w:fill="auto"/>
          </w:tcPr>
          <w:p w14:paraId="0C4116B2"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8" w:space="0" w:color="000000"/>
            </w:tcBorders>
            <w:shd w:val="clear" w:color="auto" w:fill="auto"/>
          </w:tcPr>
          <w:p w14:paraId="38107239" w14:textId="77777777" w:rsidR="001C08A5" w:rsidRDefault="001C08A5">
            <w:pPr>
              <w:snapToGrid w:val="0"/>
              <w:jc w:val="center"/>
              <w:rPr>
                <w:i/>
                <w:iCs/>
                <w:sz w:val="22"/>
                <w:szCs w:val="22"/>
              </w:rPr>
            </w:pPr>
          </w:p>
        </w:tc>
        <w:tc>
          <w:tcPr>
            <w:tcW w:w="1609" w:type="dxa"/>
            <w:vMerge/>
            <w:tcBorders>
              <w:top w:val="single" w:sz="4" w:space="0" w:color="000000"/>
              <w:left w:val="single" w:sz="4" w:space="0" w:color="000000"/>
              <w:bottom w:val="single" w:sz="8" w:space="0" w:color="000000"/>
            </w:tcBorders>
            <w:shd w:val="clear" w:color="auto" w:fill="auto"/>
          </w:tcPr>
          <w:p w14:paraId="69FABA17" w14:textId="77777777" w:rsidR="001C08A5" w:rsidRDefault="001C08A5">
            <w:pPr>
              <w:snapToGrid w:val="0"/>
              <w:jc w:val="center"/>
              <w:rPr>
                <w:i/>
                <w:iCs/>
                <w:sz w:val="22"/>
                <w:szCs w:val="22"/>
              </w:rPr>
            </w:pPr>
          </w:p>
        </w:tc>
        <w:tc>
          <w:tcPr>
            <w:tcW w:w="1636" w:type="dxa"/>
            <w:tcBorders>
              <w:top w:val="single" w:sz="4" w:space="0" w:color="000000"/>
              <w:left w:val="single" w:sz="4" w:space="0" w:color="000000"/>
              <w:bottom w:val="single" w:sz="8" w:space="0" w:color="000000"/>
            </w:tcBorders>
            <w:shd w:val="clear" w:color="auto" w:fill="BFBFBF"/>
          </w:tcPr>
          <w:p w14:paraId="52C1E5D6" w14:textId="77777777" w:rsidR="001C08A5" w:rsidRDefault="00000000">
            <w:pPr>
              <w:jc w:val="center"/>
              <w:rPr>
                <w:b/>
                <w:i/>
                <w:iCs/>
                <w:sz w:val="22"/>
                <w:szCs w:val="22"/>
              </w:rPr>
            </w:pPr>
            <w:r>
              <w:rPr>
                <w:b/>
                <w:i/>
                <w:iCs/>
                <w:sz w:val="22"/>
                <w:szCs w:val="22"/>
              </w:rPr>
              <w:t>metri</w:t>
            </w:r>
          </w:p>
        </w:tc>
        <w:tc>
          <w:tcPr>
            <w:tcW w:w="1964" w:type="dxa"/>
            <w:tcBorders>
              <w:top w:val="single" w:sz="4" w:space="0" w:color="000000"/>
              <w:left w:val="single" w:sz="4" w:space="0" w:color="000000"/>
              <w:bottom w:val="single" w:sz="8" w:space="0" w:color="000000"/>
            </w:tcBorders>
            <w:shd w:val="clear" w:color="auto" w:fill="BFBFBF"/>
          </w:tcPr>
          <w:p w14:paraId="739B28A4" w14:textId="77777777" w:rsidR="001C08A5" w:rsidRDefault="00000000">
            <w:pPr>
              <w:jc w:val="center"/>
              <w:rPr>
                <w:i/>
                <w:iCs/>
                <w:sz w:val="22"/>
                <w:szCs w:val="22"/>
              </w:rPr>
            </w:pPr>
            <w:r>
              <w:rPr>
                <w:b/>
                <w:i/>
                <w:iCs/>
                <w:sz w:val="22"/>
                <w:szCs w:val="22"/>
              </w:rPr>
              <w:t>metri</w:t>
            </w:r>
          </w:p>
        </w:tc>
        <w:tc>
          <w:tcPr>
            <w:tcW w:w="1426" w:type="dxa"/>
            <w:gridSpan w:val="2"/>
            <w:vMerge/>
            <w:tcBorders>
              <w:top w:val="single" w:sz="4" w:space="0" w:color="000000"/>
              <w:left w:val="single" w:sz="4" w:space="0" w:color="000000"/>
              <w:bottom w:val="single" w:sz="8" w:space="0" w:color="000000"/>
              <w:right w:val="single" w:sz="8" w:space="0" w:color="000000"/>
            </w:tcBorders>
          </w:tcPr>
          <w:p w14:paraId="22731CFB" w14:textId="77777777" w:rsidR="001C08A5" w:rsidRDefault="001C08A5">
            <w:pPr>
              <w:snapToGrid w:val="0"/>
              <w:rPr>
                <w:i/>
                <w:iCs/>
                <w:sz w:val="22"/>
                <w:szCs w:val="22"/>
              </w:rPr>
            </w:pPr>
          </w:p>
        </w:tc>
      </w:tr>
      <w:tr w:rsidR="001C08A5" w14:paraId="42298C5D" w14:textId="77777777">
        <w:trPr>
          <w:gridAfter w:val="1"/>
          <w:wAfter w:w="35" w:type="dxa"/>
        </w:trPr>
        <w:tc>
          <w:tcPr>
            <w:tcW w:w="630" w:type="dxa"/>
            <w:vMerge w:val="restart"/>
            <w:tcBorders>
              <w:top w:val="single" w:sz="8" w:space="0" w:color="000000"/>
              <w:left w:val="single" w:sz="4" w:space="0" w:color="000000"/>
              <w:bottom w:val="single" w:sz="4" w:space="0" w:color="000000"/>
            </w:tcBorders>
          </w:tcPr>
          <w:p w14:paraId="64598306" w14:textId="77777777" w:rsidR="001C08A5" w:rsidRDefault="001C08A5">
            <w:pPr>
              <w:snapToGrid w:val="0"/>
              <w:jc w:val="center"/>
              <w:rPr>
                <w:i/>
                <w:iCs/>
                <w:sz w:val="22"/>
                <w:szCs w:val="22"/>
              </w:rPr>
            </w:pPr>
          </w:p>
          <w:p w14:paraId="590473A4" w14:textId="77777777" w:rsidR="001C08A5" w:rsidRDefault="00000000">
            <w:pPr>
              <w:jc w:val="center"/>
              <w:rPr>
                <w:i/>
                <w:iCs/>
                <w:sz w:val="22"/>
                <w:szCs w:val="22"/>
              </w:rPr>
            </w:pPr>
            <w:r>
              <w:rPr>
                <w:i/>
                <w:iCs/>
                <w:sz w:val="22"/>
                <w:szCs w:val="22"/>
              </w:rPr>
              <w:t>1.</w:t>
            </w:r>
          </w:p>
        </w:tc>
        <w:tc>
          <w:tcPr>
            <w:tcW w:w="2320" w:type="dxa"/>
            <w:vMerge w:val="restart"/>
            <w:tcBorders>
              <w:top w:val="single" w:sz="8" w:space="0" w:color="000000"/>
              <w:left w:val="single" w:sz="4" w:space="0" w:color="000000"/>
              <w:bottom w:val="single" w:sz="4" w:space="0" w:color="000000"/>
            </w:tcBorders>
          </w:tcPr>
          <w:p w14:paraId="1AD53B17" w14:textId="77777777" w:rsidR="001C08A5" w:rsidRDefault="00000000">
            <w:pPr>
              <w:jc w:val="center"/>
              <w:rPr>
                <w:b/>
                <w:i/>
                <w:iCs/>
                <w:sz w:val="22"/>
                <w:szCs w:val="22"/>
              </w:rPr>
            </w:pPr>
            <w:r>
              <w:rPr>
                <w:i/>
                <w:iCs/>
                <w:sz w:val="22"/>
                <w:szCs w:val="22"/>
              </w:rPr>
              <w:t>Magazine, alimentaţie publică, expoziţii etc.</w:t>
            </w:r>
          </w:p>
        </w:tc>
        <w:tc>
          <w:tcPr>
            <w:tcW w:w="1609" w:type="dxa"/>
            <w:tcBorders>
              <w:top w:val="single" w:sz="8" w:space="0" w:color="000000"/>
              <w:left w:val="single" w:sz="4" w:space="0" w:color="000000"/>
              <w:bottom w:val="single" w:sz="4" w:space="0" w:color="000000"/>
            </w:tcBorders>
          </w:tcPr>
          <w:p w14:paraId="01489309" w14:textId="77777777" w:rsidR="001C08A5" w:rsidRDefault="00000000">
            <w:pPr>
              <w:jc w:val="center"/>
              <w:rPr>
                <w:i/>
                <w:iCs/>
                <w:sz w:val="22"/>
                <w:szCs w:val="22"/>
              </w:rPr>
            </w:pPr>
            <w:r>
              <w:rPr>
                <w:b/>
                <w:i/>
                <w:iCs/>
                <w:sz w:val="22"/>
                <w:szCs w:val="22"/>
              </w:rPr>
              <w:t>I și II</w:t>
            </w:r>
          </w:p>
        </w:tc>
        <w:tc>
          <w:tcPr>
            <w:tcW w:w="1636" w:type="dxa"/>
            <w:tcBorders>
              <w:top w:val="single" w:sz="8" w:space="0" w:color="000000"/>
              <w:left w:val="single" w:sz="4" w:space="0" w:color="000000"/>
              <w:bottom w:val="single" w:sz="4" w:space="0" w:color="000000"/>
            </w:tcBorders>
          </w:tcPr>
          <w:p w14:paraId="583D8427" w14:textId="77777777" w:rsidR="001C08A5" w:rsidRDefault="00000000">
            <w:pPr>
              <w:jc w:val="center"/>
              <w:rPr>
                <w:b/>
                <w:bCs/>
                <w:i/>
                <w:iCs/>
                <w:sz w:val="22"/>
                <w:szCs w:val="22"/>
              </w:rPr>
            </w:pPr>
            <w:r>
              <w:rPr>
                <w:b/>
                <w:bCs/>
                <w:i/>
                <w:iCs/>
                <w:sz w:val="22"/>
                <w:szCs w:val="22"/>
              </w:rPr>
              <w:t>42</w:t>
            </w:r>
          </w:p>
        </w:tc>
        <w:tc>
          <w:tcPr>
            <w:tcW w:w="1964" w:type="dxa"/>
            <w:tcBorders>
              <w:top w:val="single" w:sz="8" w:space="0" w:color="000000"/>
              <w:left w:val="single" w:sz="4" w:space="0" w:color="000000"/>
              <w:bottom w:val="single" w:sz="4" w:space="0" w:color="000000"/>
            </w:tcBorders>
          </w:tcPr>
          <w:p w14:paraId="4B03BBBD" w14:textId="77777777" w:rsidR="001C08A5" w:rsidRDefault="00000000">
            <w:pPr>
              <w:jc w:val="center"/>
              <w:rPr>
                <w:b/>
                <w:bCs/>
                <w:i/>
                <w:iCs/>
                <w:sz w:val="22"/>
                <w:szCs w:val="22"/>
              </w:rPr>
            </w:pPr>
            <w:r>
              <w:rPr>
                <w:b/>
                <w:bCs/>
                <w:i/>
                <w:iCs/>
                <w:sz w:val="22"/>
                <w:szCs w:val="22"/>
              </w:rPr>
              <w:t>21</w:t>
            </w:r>
          </w:p>
        </w:tc>
        <w:tc>
          <w:tcPr>
            <w:tcW w:w="1391" w:type="dxa"/>
            <w:vMerge w:val="restart"/>
            <w:tcBorders>
              <w:top w:val="single" w:sz="8" w:space="0" w:color="000000"/>
              <w:left w:val="single" w:sz="4" w:space="0" w:color="000000"/>
              <w:bottom w:val="single" w:sz="4" w:space="0" w:color="000000"/>
              <w:right w:val="single" w:sz="4" w:space="0" w:color="000000"/>
            </w:tcBorders>
          </w:tcPr>
          <w:p w14:paraId="6946125B" w14:textId="77777777" w:rsidR="001C08A5" w:rsidRDefault="001C08A5">
            <w:pPr>
              <w:snapToGrid w:val="0"/>
              <w:jc w:val="center"/>
              <w:rPr>
                <w:i/>
                <w:iCs/>
                <w:sz w:val="22"/>
                <w:szCs w:val="22"/>
              </w:rPr>
            </w:pPr>
          </w:p>
          <w:p w14:paraId="403B1EF3" w14:textId="77777777" w:rsidR="001C08A5" w:rsidRDefault="001C08A5">
            <w:pPr>
              <w:jc w:val="center"/>
              <w:rPr>
                <w:i/>
                <w:iCs/>
                <w:sz w:val="22"/>
                <w:szCs w:val="22"/>
              </w:rPr>
            </w:pPr>
          </w:p>
          <w:p w14:paraId="371F2DB7" w14:textId="77777777" w:rsidR="001C08A5" w:rsidRDefault="00000000">
            <w:pPr>
              <w:jc w:val="center"/>
              <w:rPr>
                <w:i/>
                <w:iCs/>
                <w:sz w:val="22"/>
                <w:szCs w:val="22"/>
              </w:rPr>
            </w:pPr>
            <w:r>
              <w:rPr>
                <w:i/>
                <w:iCs/>
                <w:sz w:val="22"/>
                <w:szCs w:val="22"/>
              </w:rPr>
              <w:t>-</w:t>
            </w:r>
          </w:p>
        </w:tc>
      </w:tr>
      <w:tr w:rsidR="001C08A5" w14:paraId="3F52F7CA" w14:textId="77777777">
        <w:trPr>
          <w:gridAfter w:val="1"/>
          <w:wAfter w:w="35" w:type="dxa"/>
        </w:trPr>
        <w:tc>
          <w:tcPr>
            <w:tcW w:w="630" w:type="dxa"/>
            <w:vMerge/>
            <w:tcBorders>
              <w:top w:val="single" w:sz="4" w:space="0" w:color="000000"/>
              <w:left w:val="single" w:sz="4" w:space="0" w:color="000000"/>
              <w:bottom w:val="single" w:sz="4" w:space="0" w:color="000000"/>
            </w:tcBorders>
          </w:tcPr>
          <w:p w14:paraId="4EFA9F2E"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4" w:space="0" w:color="000000"/>
            </w:tcBorders>
          </w:tcPr>
          <w:p w14:paraId="7FB987EA" w14:textId="77777777" w:rsidR="001C08A5" w:rsidRDefault="001C08A5">
            <w:pPr>
              <w:snapToGrid w:val="0"/>
              <w:jc w:val="center"/>
              <w:rPr>
                <w:i/>
                <w:iCs/>
                <w:sz w:val="22"/>
                <w:szCs w:val="22"/>
              </w:rPr>
            </w:pPr>
          </w:p>
        </w:tc>
        <w:tc>
          <w:tcPr>
            <w:tcW w:w="1609" w:type="dxa"/>
            <w:tcBorders>
              <w:top w:val="single" w:sz="4" w:space="0" w:color="000000"/>
              <w:left w:val="single" w:sz="4" w:space="0" w:color="000000"/>
              <w:bottom w:val="single" w:sz="4" w:space="0" w:color="000000"/>
            </w:tcBorders>
          </w:tcPr>
          <w:p w14:paraId="0BA024E8" w14:textId="77777777" w:rsidR="001C08A5" w:rsidRDefault="00000000">
            <w:pPr>
              <w:jc w:val="center"/>
              <w:rPr>
                <w:i/>
                <w:iCs/>
                <w:sz w:val="22"/>
                <w:szCs w:val="22"/>
              </w:rPr>
            </w:pPr>
            <w:r>
              <w:rPr>
                <w:b/>
                <w:i/>
                <w:iCs/>
                <w:sz w:val="22"/>
                <w:szCs w:val="22"/>
              </w:rPr>
              <w:t>III</w:t>
            </w:r>
          </w:p>
        </w:tc>
        <w:tc>
          <w:tcPr>
            <w:tcW w:w="1636" w:type="dxa"/>
            <w:tcBorders>
              <w:top w:val="single" w:sz="4" w:space="0" w:color="000000"/>
              <w:left w:val="single" w:sz="4" w:space="0" w:color="000000"/>
              <w:bottom w:val="single" w:sz="4" w:space="0" w:color="000000"/>
            </w:tcBorders>
          </w:tcPr>
          <w:p w14:paraId="19B4865D" w14:textId="77777777" w:rsidR="001C08A5" w:rsidRDefault="00000000">
            <w:pPr>
              <w:jc w:val="center"/>
              <w:rPr>
                <w:b/>
                <w:bCs/>
                <w:i/>
                <w:iCs/>
                <w:sz w:val="22"/>
                <w:szCs w:val="22"/>
              </w:rPr>
            </w:pPr>
            <w:r>
              <w:rPr>
                <w:b/>
                <w:bCs/>
                <w:i/>
                <w:iCs/>
                <w:sz w:val="22"/>
                <w:szCs w:val="22"/>
              </w:rPr>
              <w:t>21</w:t>
            </w:r>
          </w:p>
        </w:tc>
        <w:tc>
          <w:tcPr>
            <w:tcW w:w="1964" w:type="dxa"/>
            <w:tcBorders>
              <w:top w:val="single" w:sz="4" w:space="0" w:color="000000"/>
              <w:left w:val="single" w:sz="4" w:space="0" w:color="000000"/>
              <w:bottom w:val="single" w:sz="4" w:space="0" w:color="000000"/>
            </w:tcBorders>
          </w:tcPr>
          <w:p w14:paraId="3D936C76" w14:textId="77777777" w:rsidR="001C08A5" w:rsidRDefault="00000000">
            <w:pPr>
              <w:jc w:val="center"/>
              <w:rPr>
                <w:b/>
                <w:bCs/>
                <w:i/>
                <w:iCs/>
                <w:sz w:val="22"/>
                <w:szCs w:val="22"/>
              </w:rPr>
            </w:pPr>
            <w:r>
              <w:rPr>
                <w:b/>
                <w:bCs/>
                <w:i/>
                <w:iCs/>
                <w:sz w:val="22"/>
                <w:szCs w:val="22"/>
              </w:rPr>
              <w:t>15</w:t>
            </w:r>
          </w:p>
        </w:tc>
        <w:tc>
          <w:tcPr>
            <w:tcW w:w="1391" w:type="dxa"/>
            <w:vMerge/>
            <w:tcBorders>
              <w:top w:val="single" w:sz="4" w:space="0" w:color="000000"/>
              <w:left w:val="single" w:sz="4" w:space="0" w:color="000000"/>
              <w:bottom w:val="single" w:sz="4" w:space="0" w:color="000000"/>
              <w:right w:val="single" w:sz="4" w:space="0" w:color="000000"/>
            </w:tcBorders>
          </w:tcPr>
          <w:p w14:paraId="5BB4BA11" w14:textId="77777777" w:rsidR="001C08A5" w:rsidRDefault="001C08A5">
            <w:pPr>
              <w:snapToGrid w:val="0"/>
              <w:rPr>
                <w:i/>
                <w:iCs/>
                <w:sz w:val="22"/>
                <w:szCs w:val="22"/>
              </w:rPr>
            </w:pPr>
          </w:p>
        </w:tc>
      </w:tr>
      <w:tr w:rsidR="001C08A5" w14:paraId="54E73D7C" w14:textId="77777777">
        <w:trPr>
          <w:gridAfter w:val="1"/>
          <w:wAfter w:w="35" w:type="dxa"/>
        </w:trPr>
        <w:tc>
          <w:tcPr>
            <w:tcW w:w="630" w:type="dxa"/>
            <w:vMerge/>
            <w:tcBorders>
              <w:top w:val="single" w:sz="4" w:space="0" w:color="000000"/>
              <w:left w:val="single" w:sz="4" w:space="0" w:color="000000"/>
              <w:bottom w:val="single" w:sz="4" w:space="0" w:color="000000"/>
            </w:tcBorders>
          </w:tcPr>
          <w:p w14:paraId="6CF8E383"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4" w:space="0" w:color="000000"/>
            </w:tcBorders>
          </w:tcPr>
          <w:p w14:paraId="233CFE58" w14:textId="77777777" w:rsidR="001C08A5" w:rsidRDefault="001C08A5">
            <w:pPr>
              <w:snapToGrid w:val="0"/>
              <w:jc w:val="center"/>
              <w:rPr>
                <w:i/>
                <w:iCs/>
                <w:sz w:val="22"/>
                <w:szCs w:val="22"/>
              </w:rPr>
            </w:pPr>
          </w:p>
        </w:tc>
        <w:tc>
          <w:tcPr>
            <w:tcW w:w="1609" w:type="dxa"/>
            <w:tcBorders>
              <w:top w:val="single" w:sz="4" w:space="0" w:color="000000"/>
              <w:left w:val="single" w:sz="4" w:space="0" w:color="000000"/>
              <w:bottom w:val="single" w:sz="4" w:space="0" w:color="000000"/>
            </w:tcBorders>
          </w:tcPr>
          <w:p w14:paraId="75F64338" w14:textId="77777777" w:rsidR="001C08A5" w:rsidRDefault="00000000">
            <w:pPr>
              <w:jc w:val="center"/>
              <w:rPr>
                <w:i/>
                <w:iCs/>
                <w:sz w:val="22"/>
                <w:szCs w:val="22"/>
              </w:rPr>
            </w:pPr>
            <w:r>
              <w:rPr>
                <w:b/>
                <w:i/>
                <w:iCs/>
                <w:sz w:val="22"/>
                <w:szCs w:val="22"/>
              </w:rPr>
              <w:t>IV</w:t>
            </w:r>
          </w:p>
        </w:tc>
        <w:tc>
          <w:tcPr>
            <w:tcW w:w="1636" w:type="dxa"/>
            <w:tcBorders>
              <w:top w:val="single" w:sz="4" w:space="0" w:color="000000"/>
              <w:left w:val="single" w:sz="4" w:space="0" w:color="000000"/>
              <w:bottom w:val="single" w:sz="4" w:space="0" w:color="000000"/>
            </w:tcBorders>
          </w:tcPr>
          <w:p w14:paraId="037D9F9A" w14:textId="77777777" w:rsidR="001C08A5" w:rsidRDefault="00000000">
            <w:pPr>
              <w:jc w:val="center"/>
              <w:rPr>
                <w:b/>
                <w:bCs/>
                <w:i/>
                <w:iCs/>
                <w:sz w:val="22"/>
                <w:szCs w:val="22"/>
              </w:rPr>
            </w:pPr>
            <w:r>
              <w:rPr>
                <w:b/>
                <w:bCs/>
                <w:i/>
                <w:iCs/>
                <w:sz w:val="22"/>
                <w:szCs w:val="22"/>
              </w:rPr>
              <w:t>15</w:t>
            </w:r>
          </w:p>
        </w:tc>
        <w:tc>
          <w:tcPr>
            <w:tcW w:w="1964" w:type="dxa"/>
            <w:tcBorders>
              <w:top w:val="single" w:sz="4" w:space="0" w:color="000000"/>
              <w:left w:val="single" w:sz="4" w:space="0" w:color="000000"/>
              <w:bottom w:val="single" w:sz="4" w:space="0" w:color="000000"/>
            </w:tcBorders>
          </w:tcPr>
          <w:p w14:paraId="05608BEC" w14:textId="77777777" w:rsidR="001C08A5" w:rsidRDefault="00000000">
            <w:pPr>
              <w:jc w:val="center"/>
              <w:rPr>
                <w:b/>
                <w:bCs/>
                <w:i/>
                <w:iCs/>
                <w:sz w:val="22"/>
                <w:szCs w:val="22"/>
              </w:rPr>
            </w:pPr>
            <w:r>
              <w:rPr>
                <w:b/>
                <w:bCs/>
                <w:i/>
                <w:iCs/>
                <w:sz w:val="22"/>
                <w:szCs w:val="22"/>
              </w:rPr>
              <w:t>10</w:t>
            </w:r>
          </w:p>
        </w:tc>
        <w:tc>
          <w:tcPr>
            <w:tcW w:w="1391" w:type="dxa"/>
            <w:vMerge/>
            <w:tcBorders>
              <w:top w:val="single" w:sz="4" w:space="0" w:color="000000"/>
              <w:left w:val="single" w:sz="4" w:space="0" w:color="000000"/>
              <w:bottom w:val="single" w:sz="4" w:space="0" w:color="000000"/>
              <w:right w:val="single" w:sz="4" w:space="0" w:color="000000"/>
            </w:tcBorders>
          </w:tcPr>
          <w:p w14:paraId="63E4A051" w14:textId="77777777" w:rsidR="001C08A5" w:rsidRDefault="001C08A5">
            <w:pPr>
              <w:snapToGrid w:val="0"/>
              <w:rPr>
                <w:i/>
                <w:iCs/>
                <w:sz w:val="22"/>
                <w:szCs w:val="22"/>
              </w:rPr>
            </w:pPr>
          </w:p>
        </w:tc>
      </w:tr>
      <w:tr w:rsidR="001C08A5" w14:paraId="3D4204FE" w14:textId="77777777">
        <w:trPr>
          <w:gridAfter w:val="1"/>
          <w:wAfter w:w="35" w:type="dxa"/>
        </w:trPr>
        <w:tc>
          <w:tcPr>
            <w:tcW w:w="630" w:type="dxa"/>
            <w:vMerge/>
            <w:tcBorders>
              <w:top w:val="single" w:sz="4" w:space="0" w:color="000000"/>
              <w:left w:val="single" w:sz="4" w:space="0" w:color="000000"/>
              <w:bottom w:val="single" w:sz="4" w:space="0" w:color="000000"/>
            </w:tcBorders>
          </w:tcPr>
          <w:p w14:paraId="462E93C4"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4" w:space="0" w:color="000000"/>
            </w:tcBorders>
          </w:tcPr>
          <w:p w14:paraId="03E79841" w14:textId="77777777" w:rsidR="001C08A5" w:rsidRDefault="001C08A5">
            <w:pPr>
              <w:snapToGrid w:val="0"/>
              <w:jc w:val="center"/>
              <w:rPr>
                <w:i/>
                <w:iCs/>
                <w:sz w:val="22"/>
                <w:szCs w:val="22"/>
              </w:rPr>
            </w:pPr>
          </w:p>
        </w:tc>
        <w:tc>
          <w:tcPr>
            <w:tcW w:w="1609" w:type="dxa"/>
            <w:tcBorders>
              <w:top w:val="single" w:sz="4" w:space="0" w:color="000000"/>
              <w:left w:val="single" w:sz="4" w:space="0" w:color="000000"/>
              <w:bottom w:val="single" w:sz="4" w:space="0" w:color="000000"/>
            </w:tcBorders>
          </w:tcPr>
          <w:p w14:paraId="66C8A51E" w14:textId="77777777" w:rsidR="001C08A5" w:rsidRDefault="00000000">
            <w:pPr>
              <w:jc w:val="center"/>
              <w:rPr>
                <w:i/>
                <w:iCs/>
                <w:sz w:val="22"/>
                <w:szCs w:val="22"/>
              </w:rPr>
            </w:pPr>
            <w:r>
              <w:rPr>
                <w:b/>
                <w:i/>
                <w:iCs/>
                <w:sz w:val="22"/>
                <w:szCs w:val="22"/>
              </w:rPr>
              <w:t>V</w:t>
            </w:r>
          </w:p>
        </w:tc>
        <w:tc>
          <w:tcPr>
            <w:tcW w:w="1636" w:type="dxa"/>
            <w:tcBorders>
              <w:top w:val="single" w:sz="4" w:space="0" w:color="000000"/>
              <w:left w:val="single" w:sz="4" w:space="0" w:color="000000"/>
              <w:bottom w:val="single" w:sz="4" w:space="0" w:color="000000"/>
            </w:tcBorders>
          </w:tcPr>
          <w:p w14:paraId="3A734FE2" w14:textId="77777777" w:rsidR="001C08A5" w:rsidRDefault="00000000">
            <w:pPr>
              <w:jc w:val="center"/>
              <w:rPr>
                <w:b/>
                <w:bCs/>
                <w:i/>
                <w:iCs/>
                <w:sz w:val="22"/>
                <w:szCs w:val="22"/>
              </w:rPr>
            </w:pPr>
            <w:r>
              <w:rPr>
                <w:b/>
                <w:bCs/>
                <w:i/>
                <w:iCs/>
                <w:sz w:val="22"/>
                <w:szCs w:val="22"/>
              </w:rPr>
              <w:t>10</w:t>
            </w:r>
          </w:p>
        </w:tc>
        <w:tc>
          <w:tcPr>
            <w:tcW w:w="1964" w:type="dxa"/>
            <w:tcBorders>
              <w:top w:val="single" w:sz="4" w:space="0" w:color="000000"/>
              <w:left w:val="single" w:sz="4" w:space="0" w:color="000000"/>
              <w:bottom w:val="single" w:sz="4" w:space="0" w:color="000000"/>
            </w:tcBorders>
          </w:tcPr>
          <w:p w14:paraId="74CC5EB9" w14:textId="77777777" w:rsidR="001C08A5" w:rsidRDefault="00000000">
            <w:pPr>
              <w:jc w:val="center"/>
              <w:rPr>
                <w:b/>
                <w:bCs/>
                <w:i/>
                <w:iCs/>
                <w:sz w:val="22"/>
                <w:szCs w:val="22"/>
              </w:rPr>
            </w:pPr>
            <w:r>
              <w:rPr>
                <w:b/>
                <w:bCs/>
                <w:i/>
                <w:iCs/>
                <w:sz w:val="22"/>
                <w:szCs w:val="22"/>
              </w:rPr>
              <w:t>6</w:t>
            </w:r>
          </w:p>
        </w:tc>
        <w:tc>
          <w:tcPr>
            <w:tcW w:w="1391" w:type="dxa"/>
            <w:vMerge/>
            <w:tcBorders>
              <w:top w:val="single" w:sz="4" w:space="0" w:color="000000"/>
              <w:left w:val="single" w:sz="4" w:space="0" w:color="000000"/>
              <w:bottom w:val="single" w:sz="4" w:space="0" w:color="000000"/>
              <w:right w:val="single" w:sz="4" w:space="0" w:color="000000"/>
            </w:tcBorders>
          </w:tcPr>
          <w:p w14:paraId="5F5AE64D" w14:textId="77777777" w:rsidR="001C08A5" w:rsidRDefault="001C08A5">
            <w:pPr>
              <w:snapToGrid w:val="0"/>
              <w:rPr>
                <w:i/>
                <w:iCs/>
                <w:sz w:val="22"/>
                <w:szCs w:val="22"/>
              </w:rPr>
            </w:pPr>
          </w:p>
        </w:tc>
      </w:tr>
    </w:tbl>
    <w:p w14:paraId="28C66921" w14:textId="77777777" w:rsidR="001C08A5" w:rsidRDefault="00000000">
      <w:pPr>
        <w:jc w:val="both"/>
        <w:rPr>
          <w:i/>
          <w:sz w:val="22"/>
          <w:szCs w:val="22"/>
        </w:rPr>
      </w:pPr>
      <w:r>
        <w:rPr>
          <w:i/>
          <w:sz w:val="22"/>
          <w:szCs w:val="22"/>
          <w:u w:val="single"/>
        </w:rPr>
        <w:t>Notă:</w:t>
      </w:r>
    </w:p>
    <w:p w14:paraId="5EBBDD32" w14:textId="77777777" w:rsidR="001C08A5" w:rsidRDefault="00000000">
      <w:pPr>
        <w:jc w:val="both"/>
        <w:rPr>
          <w:i/>
          <w:sz w:val="22"/>
          <w:szCs w:val="22"/>
        </w:rPr>
      </w:pPr>
      <w:r>
        <w:rPr>
          <w:i/>
          <w:sz w:val="22"/>
          <w:szCs w:val="22"/>
        </w:rPr>
        <w:t xml:space="preserve">(1)La clădirile pentru comerţ care nu sunt săli aglomerate, clădiri înalte sau clădiri foarte înalte, dar sunt echipate cu instalaţii de detectare, semnalizare şi alarmare a incendiului cu acoperire totală, instalaţii automate de stingere a incendiilor </w:t>
      </w:r>
      <w:r>
        <w:rPr>
          <w:bCs/>
          <w:i/>
          <w:sz w:val="22"/>
          <w:szCs w:val="22"/>
        </w:rPr>
        <w:t xml:space="preserve">şi sisteme de evacuare a fumului din circulațiile comune orizontale (holuri și coridoare), case de scări precum și din spaţiile adiacente coridoarelor </w:t>
      </w:r>
      <w:r>
        <w:rPr>
          <w:i/>
          <w:sz w:val="22"/>
          <w:szCs w:val="22"/>
        </w:rPr>
        <w:t xml:space="preserve">lungimile de evacuare a utilizatorilor se pot majora cu </w:t>
      </w:r>
      <w:r>
        <w:rPr>
          <w:b/>
          <w:bCs/>
          <w:i/>
          <w:sz w:val="22"/>
          <w:szCs w:val="22"/>
        </w:rPr>
        <w:t>25%</w:t>
      </w:r>
      <w:r>
        <w:rPr>
          <w:i/>
          <w:sz w:val="22"/>
          <w:szCs w:val="22"/>
        </w:rPr>
        <w:t>.</w:t>
      </w:r>
    </w:p>
    <w:p w14:paraId="6821A892" w14:textId="77777777" w:rsidR="001C08A5" w:rsidRDefault="001C08A5">
      <w:pPr>
        <w:jc w:val="both"/>
        <w:rPr>
          <w:b/>
          <w:sz w:val="24"/>
          <w:szCs w:val="24"/>
        </w:rPr>
      </w:pPr>
    </w:p>
    <w:p w14:paraId="6E4CC7F9" w14:textId="77777777" w:rsidR="001C08A5" w:rsidRDefault="00000000">
      <w:pPr>
        <w:jc w:val="both"/>
        <w:rPr>
          <w:sz w:val="24"/>
          <w:szCs w:val="24"/>
        </w:rPr>
      </w:pPr>
      <w:r>
        <w:rPr>
          <w:b/>
          <w:sz w:val="24"/>
          <w:szCs w:val="24"/>
        </w:rPr>
        <w:lastRenderedPageBreak/>
        <w:tab/>
        <w:t xml:space="preserve">Art. </w:t>
      </w:r>
      <w:r>
        <w:rPr>
          <w:b/>
          <w:bCs/>
          <w:sz w:val="24"/>
          <w:szCs w:val="24"/>
        </w:rPr>
        <w:t>3.2.3.</w:t>
      </w:r>
      <w:r>
        <w:rPr>
          <w:b/>
          <w:sz w:val="24"/>
          <w:szCs w:val="24"/>
        </w:rPr>
        <w:t xml:space="preserve">20. (1) </w:t>
      </w:r>
      <w:r>
        <w:rPr>
          <w:sz w:val="24"/>
          <w:szCs w:val="24"/>
        </w:rPr>
        <w:t xml:space="preserve">Clădirile pentru comerţ supraterane cu înălţimi obişnuite vor avea asigurate căi de acces şi intervenţie a autospecialelor de stingere în caz de incendiu, cel puţin </w:t>
      </w:r>
      <w:r>
        <w:rPr>
          <w:bCs/>
          <w:sz w:val="24"/>
          <w:szCs w:val="24"/>
        </w:rPr>
        <w:t xml:space="preserve">integral pe două (2) laturi alăturate </w:t>
      </w:r>
      <w:r>
        <w:rPr>
          <w:rFonts w:eastAsia="Times-Roman"/>
          <w:sz w:val="24"/>
          <w:szCs w:val="24"/>
        </w:rPr>
        <w:t xml:space="preserve">şi, totodată, cel puţin pe </w:t>
      </w:r>
      <w:r>
        <w:rPr>
          <w:rFonts w:eastAsia="Times-Roman"/>
          <w:b/>
          <w:bCs/>
          <w:sz w:val="24"/>
          <w:szCs w:val="24"/>
        </w:rPr>
        <w:t>50%</w:t>
      </w:r>
      <w:r>
        <w:rPr>
          <w:rFonts w:eastAsia="Times-Roman"/>
          <w:sz w:val="24"/>
          <w:szCs w:val="24"/>
        </w:rPr>
        <w:t xml:space="preserve"> din perimetrul pereților exteriori</w:t>
      </w:r>
    </w:p>
    <w:p w14:paraId="12A07A9E" w14:textId="77777777" w:rsidR="001C08A5" w:rsidRDefault="00000000">
      <w:pPr>
        <w:ind w:firstLine="720"/>
        <w:jc w:val="both"/>
        <w:rPr>
          <w:sz w:val="24"/>
          <w:szCs w:val="24"/>
        </w:rPr>
      </w:pPr>
      <w:r>
        <w:rPr>
          <w:b/>
          <w:sz w:val="24"/>
          <w:szCs w:val="24"/>
        </w:rPr>
        <w:t>(2)</w:t>
      </w:r>
      <w:r>
        <w:rPr>
          <w:bCs/>
          <w:sz w:val="24"/>
          <w:szCs w:val="24"/>
        </w:rPr>
        <w:t xml:space="preserve"> În</w:t>
      </w:r>
      <w:r>
        <w:rPr>
          <w:sz w:val="24"/>
          <w:szCs w:val="24"/>
        </w:rPr>
        <w:t xml:space="preserve">conformitate cu capacitatea maximă simultană a clădirii pentru comerţ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(2) </w:t>
      </w:r>
      <w:r>
        <w:rPr>
          <w:bCs/>
          <w:sz w:val="24"/>
          <w:szCs w:val="24"/>
        </w:rPr>
        <w:t>și</w:t>
      </w:r>
      <w:r>
        <w:rPr>
          <w:b/>
          <w:sz w:val="24"/>
          <w:szCs w:val="24"/>
        </w:rPr>
        <w:t xml:space="preserve"> (3). </w:t>
      </w:r>
    </w:p>
    <w:p w14:paraId="318CCD40" w14:textId="77777777" w:rsidR="001C08A5" w:rsidRDefault="00000000">
      <w:pPr>
        <w:pStyle w:val="Heading4"/>
      </w:pPr>
      <w:bookmarkStart w:id="3493" w:name="_Toc162355292"/>
      <w:bookmarkStart w:id="3494" w:name="_Toc2568"/>
      <w:bookmarkStart w:id="3495" w:name="_Toc4924"/>
      <w:bookmarkStart w:id="3496" w:name="_Toc14179"/>
      <w:bookmarkStart w:id="3497" w:name="_Toc4853"/>
      <w:bookmarkStart w:id="3498" w:name="_Toc3018"/>
      <w:bookmarkStart w:id="3499" w:name="_Toc20813"/>
      <w:bookmarkStart w:id="3500" w:name="_Toc14481"/>
      <w:r>
        <w:t>3.2.4. Clădiri pentru sănătate supraterane</w:t>
      </w:r>
      <w:bookmarkEnd w:id="3493"/>
      <w:bookmarkEnd w:id="3494"/>
      <w:bookmarkEnd w:id="3495"/>
      <w:bookmarkEnd w:id="3496"/>
      <w:bookmarkEnd w:id="3497"/>
      <w:bookmarkEnd w:id="3498"/>
      <w:bookmarkEnd w:id="3499"/>
      <w:bookmarkEnd w:id="3500"/>
    </w:p>
    <w:p w14:paraId="01AADF87" w14:textId="77777777" w:rsidR="001C08A5" w:rsidRDefault="00000000">
      <w:pPr>
        <w:ind w:firstLine="720"/>
        <w:jc w:val="both"/>
        <w:rPr>
          <w:sz w:val="24"/>
          <w:szCs w:val="24"/>
        </w:rPr>
      </w:pPr>
      <w:r>
        <w:rPr>
          <w:b/>
          <w:sz w:val="24"/>
          <w:szCs w:val="24"/>
        </w:rPr>
        <w:t xml:space="preserve">Art. </w:t>
      </w:r>
      <w:r>
        <w:rPr>
          <w:b/>
          <w:bCs/>
          <w:sz w:val="24"/>
          <w:szCs w:val="24"/>
        </w:rPr>
        <w:t>3.2.4.</w:t>
      </w:r>
      <w:r>
        <w:rPr>
          <w:b/>
          <w:sz w:val="24"/>
          <w:szCs w:val="24"/>
        </w:rPr>
        <w:t xml:space="preserve">1. (1) </w:t>
      </w:r>
      <w:r>
        <w:rPr>
          <w:sz w:val="24"/>
          <w:szCs w:val="24"/>
        </w:rPr>
        <w:t>Clădirile pentru sănătate supraterane cu înălţimi obişnuite (spitale, policlinici, creșe, cămine de bătrâni și persoane cu dizabilități, sanatorii etc.), centre medicale de diagnostic și tratament, centre medicale și de sănătate multifuncționale, clinici și unități medicale  ambulatorii similare policlinicilor, vor fi conformate astfel încât să îndeplinească condiţiile de corelare între destinaţie, nivelul de stabilitate la incendiu asigurat, aria construită (</w:t>
      </w:r>
      <w:r>
        <w:rPr>
          <w:b/>
          <w:sz w:val="24"/>
          <w:szCs w:val="24"/>
        </w:rPr>
        <w:t>Ac</w:t>
      </w:r>
      <w:r>
        <w:rPr>
          <w:sz w:val="24"/>
          <w:szCs w:val="24"/>
        </w:rPr>
        <w:t xml:space="preserve">) şi numărul de niveluri, conform prevederilor din </w:t>
      </w:r>
      <w:r>
        <w:rPr>
          <w:b/>
          <w:sz w:val="24"/>
          <w:szCs w:val="24"/>
        </w:rPr>
        <w:t xml:space="preserve">Art. </w:t>
      </w:r>
      <w:r>
        <w:rPr>
          <w:b/>
          <w:caps/>
          <w:sz w:val="24"/>
          <w:szCs w:val="24"/>
        </w:rPr>
        <w:t>3.1.2.</w:t>
      </w:r>
      <w:r>
        <w:rPr>
          <w:b/>
          <w:sz w:val="24"/>
          <w:szCs w:val="24"/>
        </w:rPr>
        <w:t>6.</w:t>
      </w:r>
      <w:r>
        <w:rPr>
          <w:sz w:val="24"/>
          <w:szCs w:val="24"/>
        </w:rPr>
        <w:t>,</w:t>
      </w:r>
      <w:r>
        <w:rPr>
          <w:b/>
          <w:sz w:val="24"/>
          <w:szCs w:val="24"/>
        </w:rPr>
        <w:t xml:space="preserve"> Art. </w:t>
      </w:r>
      <w:r>
        <w:rPr>
          <w:b/>
          <w:caps/>
          <w:sz w:val="24"/>
          <w:szCs w:val="24"/>
        </w:rPr>
        <w:t>3.1.2.</w:t>
      </w:r>
      <w:r>
        <w:rPr>
          <w:b/>
          <w:sz w:val="24"/>
          <w:szCs w:val="24"/>
        </w:rPr>
        <w:t xml:space="preserve">7. </w:t>
      </w:r>
      <w:r>
        <w:rPr>
          <w:sz w:val="24"/>
          <w:szCs w:val="24"/>
        </w:rPr>
        <w:t xml:space="preserve">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 xml:space="preserve"> și</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sz w:val="24"/>
          <w:szCs w:val="24"/>
        </w:rPr>
        <w:t xml:space="preserve">. </w:t>
      </w:r>
    </w:p>
    <w:p w14:paraId="134DF844" w14:textId="77777777" w:rsidR="001C08A5" w:rsidRDefault="00000000">
      <w:pPr>
        <w:pStyle w:val="ListParagraph"/>
        <w:numPr>
          <w:ilvl w:val="255"/>
          <w:numId w:val="0"/>
        </w:numPr>
        <w:ind w:firstLine="720"/>
        <w:jc w:val="both"/>
      </w:pPr>
      <w:r>
        <w:rPr>
          <w:b/>
        </w:rPr>
        <w:t xml:space="preserve">(2) </w:t>
      </w:r>
      <w:r>
        <w:t>Creșele se proiectează în conformitate cu prevederile normativului specific.</w:t>
      </w:r>
    </w:p>
    <w:p w14:paraId="313A015A" w14:textId="77777777" w:rsidR="001C08A5" w:rsidRDefault="00000000">
      <w:pPr>
        <w:pStyle w:val="ListParagraph"/>
        <w:numPr>
          <w:ilvl w:val="255"/>
          <w:numId w:val="0"/>
        </w:numPr>
        <w:ind w:firstLine="720"/>
        <w:jc w:val="both"/>
      </w:pPr>
      <w:r>
        <w:rPr>
          <w:b/>
        </w:rPr>
        <w:t>(3)</w:t>
      </w:r>
      <w:r>
        <w:t xml:space="preserve"> Clădirile pentru sănătate destinate persoanelor care nu se pot evacua singure trebuie să îndeplinească criteriile de încadrare în nivelul </w:t>
      </w:r>
      <w:r>
        <w:rPr>
          <w:b/>
          <w:bCs/>
        </w:rPr>
        <w:t>I</w:t>
      </w:r>
      <w:r>
        <w:t xml:space="preserve"> sau </w:t>
      </w:r>
      <w:r>
        <w:rPr>
          <w:b/>
          <w:bCs/>
        </w:rPr>
        <w:t>II</w:t>
      </w:r>
      <w:r>
        <w:t xml:space="preserve"> de stabilitate la incendiu.</w:t>
      </w:r>
    </w:p>
    <w:p w14:paraId="1952B077" w14:textId="77777777" w:rsidR="001C08A5" w:rsidRDefault="001C08A5">
      <w:pPr>
        <w:ind w:firstLine="720"/>
        <w:jc w:val="both"/>
        <w:rPr>
          <w:sz w:val="24"/>
          <w:szCs w:val="24"/>
        </w:rPr>
      </w:pPr>
    </w:p>
    <w:p w14:paraId="144885BF" w14:textId="77777777" w:rsidR="001C08A5" w:rsidRDefault="00000000">
      <w:pPr>
        <w:ind w:firstLine="567"/>
        <w:jc w:val="both"/>
        <w:rPr>
          <w:sz w:val="24"/>
          <w:szCs w:val="24"/>
        </w:rPr>
      </w:pPr>
      <w:r>
        <w:rPr>
          <w:b/>
          <w:sz w:val="24"/>
          <w:szCs w:val="24"/>
        </w:rPr>
        <w:t xml:space="preserve">Art. </w:t>
      </w:r>
      <w:r>
        <w:rPr>
          <w:b/>
          <w:bCs/>
          <w:sz w:val="24"/>
          <w:szCs w:val="24"/>
        </w:rPr>
        <w:t>3.2.4.</w:t>
      </w:r>
      <w:r>
        <w:rPr>
          <w:b/>
          <w:sz w:val="24"/>
          <w:szCs w:val="24"/>
        </w:rPr>
        <w:t xml:space="preserve">2. (1) </w:t>
      </w:r>
      <w:r>
        <w:rPr>
          <w:sz w:val="24"/>
          <w:szCs w:val="24"/>
        </w:rPr>
        <w:t>Clădirile pentru sănătate parter, cu aria desfăşurată (</w:t>
      </w:r>
      <w:r>
        <w:rPr>
          <w:b/>
          <w:bCs/>
          <w:sz w:val="24"/>
          <w:szCs w:val="24"/>
        </w:rPr>
        <w:t>Ad</w:t>
      </w:r>
      <w:r>
        <w:rPr>
          <w:sz w:val="24"/>
          <w:szCs w:val="24"/>
        </w:rPr>
        <w:t xml:space="preserve">) mai mare de </w:t>
      </w:r>
      <w:r>
        <w:rPr>
          <w:b/>
          <w:sz w:val="24"/>
          <w:szCs w:val="24"/>
        </w:rPr>
        <w:t>600</w:t>
      </w:r>
      <w:r>
        <w:rPr>
          <w:sz w:val="24"/>
          <w:szCs w:val="24"/>
        </w:rPr>
        <w:t xml:space="preserve"> m² și cele etajate (indiferent de arie), vor avea asigurate minimum două căi de evacuare a utilizatorilor.</w:t>
      </w:r>
    </w:p>
    <w:p w14:paraId="3D3FB2EC" w14:textId="77777777" w:rsidR="001C08A5" w:rsidRDefault="00000000">
      <w:pPr>
        <w:ind w:firstLine="720"/>
        <w:jc w:val="both"/>
        <w:rPr>
          <w:sz w:val="24"/>
          <w:szCs w:val="24"/>
        </w:rPr>
      </w:pPr>
      <w:r>
        <w:rPr>
          <w:b/>
          <w:sz w:val="24"/>
          <w:szCs w:val="24"/>
        </w:rPr>
        <w:t xml:space="preserve">(2) </w:t>
      </w:r>
      <w:r>
        <w:rPr>
          <w:sz w:val="24"/>
          <w:szCs w:val="24"/>
        </w:rPr>
        <w:t>La clădirile pentru sănătate în care sunt spitalizate persoane care trebuie evacuate cu targa sau căruciorul în caz de incendiu, se interzic scările cu rampe curbe sau cu trepte balansate.</w:t>
      </w:r>
    </w:p>
    <w:p w14:paraId="4FBFECF6" w14:textId="77777777" w:rsidR="001C08A5" w:rsidRDefault="00000000">
      <w:pPr>
        <w:ind w:firstLine="720"/>
        <w:jc w:val="both"/>
        <w:rPr>
          <w:b/>
          <w:sz w:val="24"/>
          <w:szCs w:val="24"/>
        </w:rPr>
      </w:pPr>
      <w:r>
        <w:rPr>
          <w:b/>
          <w:sz w:val="24"/>
          <w:szCs w:val="24"/>
        </w:rPr>
        <w:t>(3)</w:t>
      </w:r>
      <w:r>
        <w:rPr>
          <w:sz w:val="24"/>
          <w:szCs w:val="24"/>
        </w:rPr>
        <w:t xml:space="preserve"> Casele de scări închise vor fi, pe cât posibil, iluminate natural.</w:t>
      </w:r>
    </w:p>
    <w:p w14:paraId="10F2826B" w14:textId="77777777" w:rsidR="001C08A5" w:rsidRDefault="001C08A5">
      <w:pPr>
        <w:jc w:val="both"/>
        <w:rPr>
          <w:b/>
          <w:sz w:val="24"/>
          <w:szCs w:val="24"/>
        </w:rPr>
      </w:pPr>
    </w:p>
    <w:p w14:paraId="42820FAC" w14:textId="77777777" w:rsidR="001C08A5" w:rsidRDefault="00000000">
      <w:pPr>
        <w:ind w:firstLine="567"/>
        <w:jc w:val="both"/>
        <w:rPr>
          <w:sz w:val="24"/>
          <w:szCs w:val="24"/>
        </w:rPr>
      </w:pPr>
      <w:r>
        <w:rPr>
          <w:b/>
          <w:sz w:val="24"/>
          <w:szCs w:val="24"/>
        </w:rPr>
        <w:t xml:space="preserve">Art. </w:t>
      </w:r>
      <w:r>
        <w:rPr>
          <w:b/>
          <w:bCs/>
          <w:sz w:val="24"/>
          <w:szCs w:val="24"/>
        </w:rPr>
        <w:t>3.2.4.</w:t>
      </w:r>
      <w:r>
        <w:rPr>
          <w:b/>
          <w:sz w:val="24"/>
          <w:szCs w:val="24"/>
        </w:rPr>
        <w:t>3. (1)</w:t>
      </w:r>
      <w:r>
        <w:rPr>
          <w:sz w:val="24"/>
          <w:szCs w:val="24"/>
        </w:rPr>
        <w:t xml:space="preserve"> La clădirile pentru sănătate supraterane cu înălţimi obişnuite în care evacuarea utilizatorilor în caz de incendiu trebuie efectuată cu patul cu rotile, targa sau căruciorul, lăţimile libere ale căilor de circulaţie funcţională şi de evacuare, verticale și orizontale, vor fi de minimum:</w:t>
      </w:r>
    </w:p>
    <w:p w14:paraId="12A01A4B" w14:textId="77777777" w:rsidR="001C08A5" w:rsidRDefault="00000000">
      <w:pPr>
        <w:pStyle w:val="ListParagraph"/>
        <w:numPr>
          <w:ilvl w:val="0"/>
          <w:numId w:val="75"/>
        </w:numPr>
        <w:tabs>
          <w:tab w:val="clear" w:pos="2105"/>
          <w:tab w:val="left" w:pos="1134"/>
        </w:tabs>
        <w:jc w:val="both"/>
        <w:rPr>
          <w:rStyle w:val="CommentReference"/>
          <w:b/>
          <w:bCs/>
          <w:sz w:val="24"/>
          <w:szCs w:val="24"/>
        </w:rPr>
      </w:pPr>
      <w:r>
        <w:rPr>
          <w:rStyle w:val="CommentReference"/>
          <w:b/>
          <w:bCs/>
          <w:sz w:val="24"/>
          <w:szCs w:val="24"/>
        </w:rPr>
        <w:t xml:space="preserve">1,05 </w:t>
      </w:r>
      <w:r>
        <w:rPr>
          <w:rStyle w:val="CommentReference"/>
          <w:sz w:val="24"/>
          <w:szCs w:val="24"/>
        </w:rPr>
        <w:t>m pentru uşi la saloane bolnavi;</w:t>
      </w:r>
    </w:p>
    <w:p w14:paraId="231D7CCD" w14:textId="77777777" w:rsidR="001C08A5" w:rsidRDefault="00000000">
      <w:pPr>
        <w:pStyle w:val="ListParagraph"/>
        <w:numPr>
          <w:ilvl w:val="0"/>
          <w:numId w:val="75"/>
        </w:numPr>
        <w:tabs>
          <w:tab w:val="clear" w:pos="2105"/>
          <w:tab w:val="left" w:pos="1134"/>
        </w:tabs>
        <w:jc w:val="both"/>
        <w:rPr>
          <w:rStyle w:val="CommentReference"/>
          <w:b/>
          <w:bCs/>
          <w:sz w:val="24"/>
          <w:szCs w:val="24"/>
        </w:rPr>
      </w:pPr>
      <w:r>
        <w:rPr>
          <w:rStyle w:val="CommentReference"/>
          <w:b/>
          <w:bCs/>
          <w:sz w:val="24"/>
          <w:szCs w:val="24"/>
        </w:rPr>
        <w:t xml:space="preserve">1,40 </w:t>
      </w:r>
      <w:r>
        <w:rPr>
          <w:rStyle w:val="CommentReference"/>
          <w:sz w:val="24"/>
          <w:szCs w:val="24"/>
        </w:rPr>
        <w:t>m la săli operații şi pe trasee pe care sunt cărați bolnavi pe targa;</w:t>
      </w:r>
    </w:p>
    <w:p w14:paraId="3D4977E0" w14:textId="77777777" w:rsidR="001C08A5" w:rsidRDefault="00000000">
      <w:pPr>
        <w:pStyle w:val="ListParagraph"/>
        <w:numPr>
          <w:ilvl w:val="0"/>
          <w:numId w:val="75"/>
        </w:numPr>
        <w:tabs>
          <w:tab w:val="clear" w:pos="2105"/>
          <w:tab w:val="left" w:pos="1134"/>
        </w:tabs>
        <w:jc w:val="both"/>
        <w:rPr>
          <w:rStyle w:val="CommentReference"/>
          <w:b/>
          <w:bCs/>
          <w:sz w:val="24"/>
          <w:szCs w:val="24"/>
        </w:rPr>
      </w:pPr>
      <w:r>
        <w:rPr>
          <w:rStyle w:val="CommentReference"/>
          <w:b/>
          <w:bCs/>
          <w:sz w:val="24"/>
          <w:szCs w:val="24"/>
        </w:rPr>
        <w:t xml:space="preserve">90 </w:t>
      </w:r>
      <w:r>
        <w:rPr>
          <w:rStyle w:val="CommentReference"/>
          <w:sz w:val="24"/>
          <w:szCs w:val="24"/>
        </w:rPr>
        <w:t>cm la spaţiile de diagnostic ­ tratament;</w:t>
      </w:r>
    </w:p>
    <w:p w14:paraId="46889714" w14:textId="77777777" w:rsidR="001C08A5" w:rsidRDefault="00000000">
      <w:pPr>
        <w:pStyle w:val="ListParagraph"/>
        <w:numPr>
          <w:ilvl w:val="0"/>
          <w:numId w:val="75"/>
        </w:numPr>
        <w:tabs>
          <w:tab w:val="clear" w:pos="2105"/>
          <w:tab w:val="left" w:pos="1134"/>
        </w:tabs>
        <w:jc w:val="both"/>
        <w:rPr>
          <w:rStyle w:val="CommentReference"/>
          <w:b/>
          <w:bCs/>
          <w:sz w:val="24"/>
          <w:szCs w:val="24"/>
        </w:rPr>
      </w:pPr>
      <w:r>
        <w:rPr>
          <w:rStyle w:val="CommentReference"/>
          <w:b/>
          <w:bCs/>
          <w:sz w:val="24"/>
          <w:szCs w:val="24"/>
        </w:rPr>
        <w:t xml:space="preserve">70 </w:t>
      </w:r>
      <w:r>
        <w:rPr>
          <w:rStyle w:val="CommentReference"/>
          <w:sz w:val="24"/>
          <w:szCs w:val="24"/>
        </w:rPr>
        <w:t>cm la grupuri sanitare pentru pacienţi valizi;</w:t>
      </w:r>
    </w:p>
    <w:p w14:paraId="0118B7C8" w14:textId="77777777" w:rsidR="001C08A5" w:rsidRDefault="00000000">
      <w:pPr>
        <w:pStyle w:val="ListParagraph"/>
        <w:numPr>
          <w:ilvl w:val="0"/>
          <w:numId w:val="75"/>
        </w:numPr>
        <w:tabs>
          <w:tab w:val="clear" w:pos="2105"/>
          <w:tab w:val="left" w:pos="1134"/>
        </w:tabs>
        <w:jc w:val="both"/>
        <w:rPr>
          <w:rStyle w:val="CommentReference"/>
          <w:sz w:val="24"/>
          <w:szCs w:val="24"/>
        </w:rPr>
      </w:pPr>
      <w:r>
        <w:rPr>
          <w:rStyle w:val="CommentReference"/>
          <w:b/>
          <w:bCs/>
          <w:sz w:val="24"/>
          <w:szCs w:val="24"/>
        </w:rPr>
        <w:t xml:space="preserve">80 </w:t>
      </w:r>
      <w:r>
        <w:rPr>
          <w:rStyle w:val="CommentReference"/>
          <w:sz w:val="24"/>
          <w:szCs w:val="24"/>
        </w:rPr>
        <w:t>cm ­ la grupuri sanitare pentru persoane cu dizabilități;</w:t>
      </w:r>
    </w:p>
    <w:p w14:paraId="2C4F1B25" w14:textId="77777777" w:rsidR="001C08A5" w:rsidRDefault="00000000">
      <w:pPr>
        <w:pStyle w:val="ListParagraph"/>
        <w:numPr>
          <w:ilvl w:val="0"/>
          <w:numId w:val="75"/>
        </w:numPr>
        <w:tabs>
          <w:tab w:val="clear" w:pos="2105"/>
          <w:tab w:val="left" w:pos="1134"/>
        </w:tabs>
        <w:jc w:val="both"/>
        <w:rPr>
          <w:rStyle w:val="CommentReference"/>
          <w:sz w:val="24"/>
          <w:szCs w:val="24"/>
        </w:rPr>
      </w:pPr>
      <w:r>
        <w:rPr>
          <w:rStyle w:val="CommentReference"/>
          <w:b/>
          <w:bCs/>
          <w:sz w:val="24"/>
          <w:szCs w:val="24"/>
        </w:rPr>
        <w:t>2,20</w:t>
      </w:r>
      <w:r>
        <w:rPr>
          <w:rStyle w:val="CommentReference"/>
          <w:sz w:val="24"/>
          <w:szCs w:val="24"/>
        </w:rPr>
        <w:t xml:space="preserve"> m ­ pentru transport targa și </w:t>
      </w:r>
      <w:r>
        <w:rPr>
          <w:rStyle w:val="CommentReference"/>
          <w:b/>
          <w:bCs/>
          <w:sz w:val="24"/>
          <w:szCs w:val="24"/>
        </w:rPr>
        <w:t>2,40</w:t>
      </w:r>
      <w:r>
        <w:rPr>
          <w:rStyle w:val="CommentReference"/>
          <w:sz w:val="24"/>
          <w:szCs w:val="24"/>
        </w:rPr>
        <w:t xml:space="preserve"> m ­ pentru transport pat cu rotile a coridoarelor principale în unităţile de îngrijire, diagnostic şi tratament;</w:t>
      </w:r>
    </w:p>
    <w:p w14:paraId="71D129B7" w14:textId="77777777" w:rsidR="001C08A5" w:rsidRDefault="00000000">
      <w:pPr>
        <w:pStyle w:val="ListParagraph"/>
        <w:numPr>
          <w:ilvl w:val="0"/>
          <w:numId w:val="75"/>
        </w:numPr>
        <w:tabs>
          <w:tab w:val="clear" w:pos="2105"/>
          <w:tab w:val="left" w:pos="1134"/>
        </w:tabs>
        <w:jc w:val="both"/>
        <w:rPr>
          <w:rStyle w:val="CommentReference"/>
          <w:sz w:val="24"/>
          <w:szCs w:val="24"/>
        </w:rPr>
      </w:pPr>
      <w:r>
        <w:rPr>
          <w:rStyle w:val="CommentReference"/>
          <w:b/>
          <w:bCs/>
          <w:sz w:val="24"/>
          <w:szCs w:val="24"/>
        </w:rPr>
        <w:t>2,40</w:t>
      </w:r>
      <w:r>
        <w:rPr>
          <w:rStyle w:val="CommentReference"/>
          <w:sz w:val="24"/>
          <w:szCs w:val="24"/>
        </w:rPr>
        <w:t xml:space="preserve"> m ­ cu aşteptare pe o latură și </w:t>
      </w:r>
      <w:r>
        <w:rPr>
          <w:rStyle w:val="CommentReference"/>
          <w:b/>
          <w:bCs/>
          <w:sz w:val="24"/>
          <w:szCs w:val="24"/>
        </w:rPr>
        <w:t xml:space="preserve">3,50 </w:t>
      </w:r>
      <w:r>
        <w:rPr>
          <w:rStyle w:val="CommentReference"/>
          <w:sz w:val="24"/>
          <w:szCs w:val="24"/>
        </w:rPr>
        <w:t>m ­ cu aşteptare pe două laturi a coridoarelor cu zone de aşteptare de­a lungul pereţilor</w:t>
      </w:r>
    </w:p>
    <w:p w14:paraId="003A3D92" w14:textId="77777777" w:rsidR="001C08A5" w:rsidRDefault="00000000">
      <w:pPr>
        <w:pStyle w:val="ListParagraph"/>
        <w:numPr>
          <w:ilvl w:val="0"/>
          <w:numId w:val="75"/>
        </w:numPr>
        <w:tabs>
          <w:tab w:val="clear" w:pos="2105"/>
          <w:tab w:val="left" w:pos="1134"/>
        </w:tabs>
        <w:jc w:val="both"/>
      </w:pPr>
      <w:r>
        <w:rPr>
          <w:b/>
        </w:rPr>
        <w:t>1,40</w:t>
      </w:r>
      <w:r>
        <w:t xml:space="preserve"> m pentru rampele scărilor și a planurilor înclinate, cu paliere / podeste de </w:t>
      </w:r>
      <w:r>
        <w:rPr>
          <w:b/>
        </w:rPr>
        <w:t>2,20</w:t>
      </w:r>
      <w:r>
        <w:t xml:space="preserve"> m adâncime corespunzător evacuării unui flux (cu targa); </w:t>
      </w:r>
    </w:p>
    <w:p w14:paraId="5558AB15" w14:textId="77777777" w:rsidR="001C08A5" w:rsidRDefault="00000000">
      <w:pPr>
        <w:pStyle w:val="ListParagraph"/>
        <w:numPr>
          <w:ilvl w:val="0"/>
          <w:numId w:val="75"/>
        </w:numPr>
        <w:jc w:val="both"/>
        <w:rPr>
          <w:b/>
          <w:bCs/>
        </w:rPr>
      </w:pPr>
      <w:r>
        <w:rPr>
          <w:b/>
        </w:rPr>
        <w:t>2,20</w:t>
      </w:r>
      <w:r>
        <w:t xml:space="preserve"> m pentru rampele scărilor și a planurilor înclinate, cu paliere / podeste de </w:t>
      </w:r>
      <w:r>
        <w:rPr>
          <w:b/>
        </w:rPr>
        <w:t>2,60</w:t>
      </w:r>
      <w:r>
        <w:t xml:space="preserve"> m adâncime corespunzător evacuării a două fluxuri (cu targa); </w:t>
      </w:r>
    </w:p>
    <w:p w14:paraId="45A82271" w14:textId="77777777" w:rsidR="001C08A5" w:rsidRDefault="00000000">
      <w:pPr>
        <w:pStyle w:val="ListParagraph"/>
        <w:numPr>
          <w:ilvl w:val="0"/>
          <w:numId w:val="75"/>
        </w:numPr>
        <w:jc w:val="both"/>
        <w:rPr>
          <w:b/>
          <w:bCs/>
        </w:rPr>
      </w:pPr>
      <w:r>
        <w:rPr>
          <w:b/>
          <w:bCs/>
        </w:rPr>
        <w:t xml:space="preserve">2,50 </w:t>
      </w:r>
      <w:r>
        <w:t>m (</w:t>
      </w:r>
      <w:r>
        <w:rPr>
          <w:b/>
          <w:bCs/>
        </w:rPr>
        <w:t xml:space="preserve">3,30 </w:t>
      </w:r>
      <w:r>
        <w:t xml:space="preserve">m adîncime) pentru spaţiile din faţa ascensoarelor dispuse pe o parte și </w:t>
      </w:r>
      <w:r>
        <w:rPr>
          <w:b/>
          <w:bCs/>
        </w:rPr>
        <w:t>2,50</w:t>
      </w:r>
      <w:r>
        <w:t xml:space="preserve"> m normat (recomandabil </w:t>
      </w:r>
      <w:r>
        <w:rPr>
          <w:b/>
          <w:bCs/>
        </w:rPr>
        <w:t>3,00</w:t>
      </w:r>
      <w:r>
        <w:t xml:space="preserve"> m lățime/</w:t>
      </w:r>
      <w:r>
        <w:rPr>
          <w:b/>
          <w:bCs/>
        </w:rPr>
        <w:t>5,40</w:t>
      </w:r>
      <w:r>
        <w:t xml:space="preserve"> m adîncime) atunci când ascensoarele sunt dispuse faţă în faţă.</w:t>
      </w:r>
    </w:p>
    <w:p w14:paraId="5E3E1ACC" w14:textId="77777777" w:rsidR="001C08A5" w:rsidRDefault="00000000">
      <w:pPr>
        <w:ind w:firstLine="720"/>
        <w:jc w:val="both"/>
        <w:rPr>
          <w:sz w:val="24"/>
          <w:szCs w:val="24"/>
        </w:rPr>
      </w:pPr>
      <w:r>
        <w:rPr>
          <w:b/>
          <w:bCs/>
          <w:sz w:val="24"/>
          <w:szCs w:val="24"/>
        </w:rPr>
        <w:t>(2)</w:t>
      </w:r>
      <w:r>
        <w:rPr>
          <w:sz w:val="24"/>
          <w:szCs w:val="24"/>
        </w:rPr>
        <w:t xml:space="preserve"> Cabinele de ascensor prevăzute pentru transportul bolnavilor cu patul cu rotile, cu targa ori căruciorul sau a persoanelor cu dizabilităţi care pot fi utilizate şi pentru evacuarea asistată a acestora în caz de incendiu vor avea lăţimea de minimum </w:t>
      </w:r>
      <w:r>
        <w:rPr>
          <w:b/>
          <w:sz w:val="24"/>
          <w:szCs w:val="24"/>
        </w:rPr>
        <w:t>2,20</w:t>
      </w:r>
      <w:r>
        <w:rPr>
          <w:sz w:val="24"/>
          <w:szCs w:val="24"/>
        </w:rPr>
        <w:t xml:space="preserve"> m şi lungimea de minimum </w:t>
      </w:r>
      <w:r>
        <w:rPr>
          <w:b/>
          <w:sz w:val="24"/>
          <w:szCs w:val="24"/>
        </w:rPr>
        <w:t>2,70</w:t>
      </w:r>
      <w:r>
        <w:rPr>
          <w:sz w:val="24"/>
          <w:szCs w:val="24"/>
        </w:rPr>
        <w:t xml:space="preserve"> m corespunzător evacuării a două tărgi și lăţimea de minimum </w:t>
      </w:r>
      <w:r>
        <w:rPr>
          <w:b/>
          <w:sz w:val="24"/>
          <w:szCs w:val="24"/>
        </w:rPr>
        <w:t>1,80</w:t>
      </w:r>
      <w:r>
        <w:rPr>
          <w:sz w:val="24"/>
          <w:szCs w:val="24"/>
        </w:rPr>
        <w:t xml:space="preserve"> m şi lungimea de minimum </w:t>
      </w:r>
      <w:r>
        <w:rPr>
          <w:b/>
          <w:sz w:val="24"/>
          <w:szCs w:val="24"/>
        </w:rPr>
        <w:t>2,70</w:t>
      </w:r>
      <w:r>
        <w:rPr>
          <w:sz w:val="24"/>
          <w:szCs w:val="24"/>
        </w:rPr>
        <w:t xml:space="preserve"> m corespunzător evacuării unei tărgi.</w:t>
      </w:r>
    </w:p>
    <w:p w14:paraId="0F96E478" w14:textId="77777777" w:rsidR="001C08A5" w:rsidRDefault="00000000">
      <w:pPr>
        <w:ind w:firstLine="720"/>
        <w:jc w:val="both"/>
        <w:rPr>
          <w:sz w:val="24"/>
          <w:szCs w:val="24"/>
        </w:rPr>
      </w:pPr>
      <w:r>
        <w:rPr>
          <w:b/>
          <w:sz w:val="24"/>
          <w:szCs w:val="24"/>
        </w:rPr>
        <w:t xml:space="preserve">(3) </w:t>
      </w:r>
      <w:r>
        <w:rPr>
          <w:sz w:val="24"/>
          <w:szCs w:val="24"/>
        </w:rPr>
        <w:t xml:space="preserve">Înălţimile libere de trecere pe căile comune de evacuare (coridoare, holuri, încăperi tampon, degajamente protejate, scări, tuneluri de evacuare, etc.) nu vor fi mai mici de </w:t>
      </w:r>
      <w:r>
        <w:rPr>
          <w:b/>
          <w:sz w:val="24"/>
          <w:szCs w:val="24"/>
        </w:rPr>
        <w:t>2,20</w:t>
      </w:r>
      <w:r>
        <w:rPr>
          <w:sz w:val="24"/>
          <w:szCs w:val="24"/>
        </w:rPr>
        <w:t xml:space="preserve"> m.</w:t>
      </w:r>
    </w:p>
    <w:p w14:paraId="2AC799B3" w14:textId="77777777" w:rsidR="001C08A5" w:rsidRDefault="00000000">
      <w:pPr>
        <w:ind w:firstLine="720"/>
        <w:jc w:val="both"/>
        <w:rPr>
          <w:b/>
          <w:sz w:val="24"/>
          <w:szCs w:val="24"/>
        </w:rPr>
      </w:pPr>
      <w:r>
        <w:rPr>
          <w:b/>
          <w:sz w:val="24"/>
          <w:szCs w:val="24"/>
        </w:rPr>
        <w:t>(4)</w:t>
      </w:r>
      <w:r>
        <w:rPr>
          <w:sz w:val="24"/>
          <w:szCs w:val="24"/>
        </w:rPr>
        <w:t xml:space="preserve"> Pentru căile de circulaţie funcţională şi de evacuare în caz de incendiu a bolnavilor care se pot deplasa singuri se respectă condiţiile stabilite în normativ.</w:t>
      </w:r>
    </w:p>
    <w:p w14:paraId="46603428" w14:textId="77777777" w:rsidR="001C08A5" w:rsidRDefault="00000000">
      <w:pPr>
        <w:ind w:firstLine="709"/>
        <w:jc w:val="both"/>
        <w:rPr>
          <w:sz w:val="36"/>
          <w:szCs w:val="36"/>
          <w:lang w:eastAsia="zh-CN"/>
        </w:rPr>
      </w:pPr>
      <w:r>
        <w:rPr>
          <w:b/>
          <w:sz w:val="24"/>
          <w:szCs w:val="24"/>
        </w:rPr>
        <w:t xml:space="preserve">(5) </w:t>
      </w:r>
      <w:r>
        <w:rPr>
          <w:sz w:val="24"/>
          <w:szCs w:val="24"/>
          <w:lang w:eastAsia="zh-CN"/>
        </w:rPr>
        <w:t xml:space="preserve">Pe căile comune de evacuare orizontale (coridoare,holuri) se admite prevederea elementelor de mobiler fix în condițiile prevăzute la </w:t>
      </w:r>
      <w:r>
        <w:rPr>
          <w:b/>
          <w:sz w:val="24"/>
          <w:szCs w:val="24"/>
        </w:rPr>
        <w:t xml:space="preserve">Art. 2.5.2.1. alin. (5) </w:t>
      </w:r>
      <w:r>
        <w:rPr>
          <w:bCs/>
          <w:sz w:val="24"/>
          <w:szCs w:val="24"/>
        </w:rPr>
        <w:t xml:space="preserve">și </w:t>
      </w:r>
      <w:r>
        <w:rPr>
          <w:b/>
          <w:sz w:val="24"/>
          <w:szCs w:val="24"/>
        </w:rPr>
        <w:t>(6).</w:t>
      </w:r>
    </w:p>
    <w:p w14:paraId="73BDAAFC" w14:textId="77777777" w:rsidR="001C08A5" w:rsidRDefault="00000000">
      <w:pPr>
        <w:ind w:firstLine="709"/>
        <w:jc w:val="both"/>
        <w:rPr>
          <w:sz w:val="24"/>
          <w:szCs w:val="24"/>
          <w:lang w:eastAsia="zh-CN"/>
        </w:rPr>
      </w:pPr>
      <w:r>
        <w:rPr>
          <w:b/>
          <w:bCs/>
          <w:sz w:val="24"/>
          <w:szCs w:val="24"/>
          <w:lang w:eastAsia="zh-CN"/>
        </w:rPr>
        <w:lastRenderedPageBreak/>
        <w:t>(6)</w:t>
      </w:r>
      <w:r>
        <w:rPr>
          <w:sz w:val="24"/>
          <w:szCs w:val="24"/>
          <w:lang w:eastAsia="zh-CN"/>
        </w:rPr>
        <w:t xml:space="preserve"> Nu se admite amplasarea nici unui obiect de mobilier (combustibil sau incombustibil) în incinta scărilor de evacuare, a degajamentelor protejate, a încăperilor tampon, a tunelurilor de evacuare, etc. în clădirile de sănătate.</w:t>
      </w:r>
    </w:p>
    <w:p w14:paraId="4E557830" w14:textId="77777777" w:rsidR="001C08A5" w:rsidRDefault="001C08A5">
      <w:pPr>
        <w:jc w:val="both"/>
        <w:rPr>
          <w:b/>
          <w:sz w:val="24"/>
          <w:szCs w:val="24"/>
        </w:rPr>
      </w:pPr>
    </w:p>
    <w:p w14:paraId="3FF09FFB" w14:textId="77777777" w:rsidR="001C08A5" w:rsidRDefault="00000000">
      <w:pPr>
        <w:ind w:firstLine="567"/>
        <w:jc w:val="both"/>
        <w:rPr>
          <w:b/>
          <w:sz w:val="24"/>
          <w:szCs w:val="24"/>
        </w:rPr>
      </w:pPr>
      <w:r>
        <w:rPr>
          <w:b/>
          <w:sz w:val="24"/>
          <w:szCs w:val="24"/>
        </w:rPr>
        <w:t xml:space="preserve">Art. </w:t>
      </w:r>
      <w:r>
        <w:rPr>
          <w:b/>
          <w:bCs/>
          <w:sz w:val="24"/>
          <w:szCs w:val="24"/>
        </w:rPr>
        <w:t>3.2.4.</w:t>
      </w:r>
      <w:r>
        <w:rPr>
          <w:b/>
          <w:sz w:val="24"/>
          <w:szCs w:val="24"/>
        </w:rPr>
        <w:t xml:space="preserve">4. (1) </w:t>
      </w:r>
      <w:r>
        <w:rPr>
          <w:sz w:val="24"/>
          <w:szCs w:val="24"/>
        </w:rPr>
        <w:t>În funcţie de numărul de niveluri ale clădirii pentru sănătate supraterane cu înălţime obişnuită și de numărul de bolnavi transportabili cu targa sau căruciorul, ascensoarele care se prevăd funcţional pentru aceştia vor fi separate, alcătuite constructiv și alimentate cu energie electrică, astfel încât să poată fi utilizate de către personalul de intervenţie și pentru evacuarea asistată a bolnavilor în caz de incendiu.</w:t>
      </w:r>
    </w:p>
    <w:p w14:paraId="0D363229" w14:textId="77777777" w:rsidR="001C08A5" w:rsidRDefault="00000000">
      <w:pPr>
        <w:ind w:firstLine="720"/>
        <w:jc w:val="both"/>
        <w:rPr>
          <w:sz w:val="24"/>
          <w:szCs w:val="24"/>
        </w:rPr>
      </w:pPr>
      <w:r>
        <w:rPr>
          <w:b/>
          <w:sz w:val="24"/>
          <w:szCs w:val="24"/>
        </w:rPr>
        <w:t xml:space="preserve">(2) </w:t>
      </w:r>
      <w:r>
        <w:rPr>
          <w:sz w:val="24"/>
          <w:szCs w:val="24"/>
        </w:rPr>
        <w:t>Ascensoarele utilizate pentru evacuarea asistată a bolnavilor în caz de incendiu vor corespunde prevederilor privind performanțele comune .</w:t>
      </w:r>
    </w:p>
    <w:p w14:paraId="732EF76E" w14:textId="77777777" w:rsidR="001C08A5" w:rsidRDefault="00000000">
      <w:pPr>
        <w:pStyle w:val="BodyText"/>
        <w:widowControl w:val="0"/>
        <w:ind w:firstLine="708"/>
        <w:rPr>
          <w:b w:val="0"/>
          <w:bCs w:val="0"/>
          <w:i w:val="0"/>
          <w:iCs/>
        </w:rPr>
      </w:pPr>
      <w:r>
        <w:rPr>
          <w:i w:val="0"/>
          <w:iCs/>
        </w:rPr>
        <w:t xml:space="preserve">(3) </w:t>
      </w:r>
      <w:r>
        <w:rPr>
          <w:b w:val="0"/>
          <w:bCs w:val="0"/>
          <w:i w:val="0"/>
          <w:iCs/>
        </w:rPr>
        <w:t xml:space="preserve">Golurile de acces la ascensoarele de persoane precum și la ascensoarele prevăzute pentru transportul bolnavilor cu patul cu rotile, cu targa ori căruciorul sau a persoanelor cu dizabilităţi din construcţiile civile de sănătate cu înălțime obișnuită, se protejează conform prevederilor </w:t>
      </w:r>
      <w:r>
        <w:rPr>
          <w:i w:val="0"/>
          <w:iCs/>
        </w:rPr>
        <w:t>Art. 2.4.4.2.5.</w:t>
      </w:r>
    </w:p>
    <w:p w14:paraId="6BD71B10" w14:textId="77777777" w:rsidR="001C08A5" w:rsidRDefault="00000000">
      <w:pPr>
        <w:widowControl w:val="0"/>
        <w:ind w:firstLine="720"/>
        <w:jc w:val="both"/>
        <w:rPr>
          <w:iCs/>
          <w:sz w:val="24"/>
          <w:szCs w:val="24"/>
        </w:rPr>
      </w:pPr>
      <w:r>
        <w:rPr>
          <w:b/>
          <w:bCs/>
          <w:iCs/>
          <w:sz w:val="24"/>
          <w:szCs w:val="24"/>
        </w:rPr>
        <w:t>(4)</w:t>
      </w:r>
      <w:r>
        <w:rPr>
          <w:iCs/>
          <w:sz w:val="24"/>
          <w:szCs w:val="24"/>
        </w:rPr>
        <w:t xml:space="preserve"> Atunci când golurile de acces la ascensoarele de persoane precum și la ascensoarele prevăzute pentru transportul bolnavilor cu patul cu rotile, cu targa ori căruciorul sau a persoanelor cu dizabilităţi din construcţiile civile de sănătate obișnuitădebușează în spații ferite de fum (case de scări închise prevăzute cu suprapresiune sau evacuare a fumului, încăperi tampon protejate, degajamente protejate sau coridoare protejate prevăzute cu admisie de aer și evacuare de fum sau suprapresiune) nu este necesară prevederea performanțelor de rezistență la foc la golurile de acces prevăzute la </w:t>
      </w:r>
      <w:r>
        <w:rPr>
          <w:b/>
          <w:bCs/>
          <w:iCs/>
          <w:sz w:val="24"/>
          <w:szCs w:val="24"/>
        </w:rPr>
        <w:t>alin. (3)</w:t>
      </w:r>
      <w:r>
        <w:rPr>
          <w:iCs/>
          <w:sz w:val="24"/>
          <w:szCs w:val="24"/>
        </w:rPr>
        <w:t xml:space="preserve"> precedent.</w:t>
      </w:r>
    </w:p>
    <w:p w14:paraId="3636286E" w14:textId="77777777" w:rsidR="001C08A5" w:rsidRDefault="00000000">
      <w:pPr>
        <w:ind w:firstLine="720"/>
        <w:jc w:val="both"/>
        <w:rPr>
          <w:sz w:val="24"/>
          <w:szCs w:val="24"/>
        </w:rPr>
      </w:pPr>
      <w:r>
        <w:rPr>
          <w:b/>
          <w:sz w:val="24"/>
          <w:szCs w:val="24"/>
        </w:rPr>
        <w:t xml:space="preserve">(5) </w:t>
      </w:r>
      <w:r>
        <w:rPr>
          <w:sz w:val="24"/>
          <w:szCs w:val="24"/>
        </w:rPr>
        <w:t xml:space="preserve">Ascensoarele pentru transportul bolnavilor </w:t>
      </w:r>
      <w:r>
        <w:rPr>
          <w:iCs/>
          <w:sz w:val="24"/>
          <w:szCs w:val="24"/>
        </w:rPr>
        <w:t>cu patul cu rotile</w:t>
      </w:r>
      <w:r>
        <w:rPr>
          <w:sz w:val="24"/>
          <w:szCs w:val="24"/>
        </w:rPr>
        <w:t>, cu targa ori căruciorul sau a persoanelor cu dizabilităţi care pot fi utilizate şi pentru evacuarea asistată a acestora în caz de incendiu se prevăd în cazurile stabilite în normativ şi în reglementările tehnice specifice, obligatoriu la clădiri de sănătate cu persoane care nu se pot evacua singure (definite conform terminologie).</w:t>
      </w:r>
    </w:p>
    <w:p w14:paraId="56B9C1ED" w14:textId="77777777" w:rsidR="001C08A5" w:rsidRDefault="00000000">
      <w:pPr>
        <w:widowControl w:val="0"/>
        <w:ind w:firstLine="720"/>
        <w:jc w:val="both"/>
        <w:rPr>
          <w:sz w:val="24"/>
          <w:szCs w:val="24"/>
        </w:rPr>
      </w:pPr>
      <w:r>
        <w:rPr>
          <w:b/>
          <w:sz w:val="24"/>
          <w:szCs w:val="24"/>
        </w:rPr>
        <w:t>(6)</w:t>
      </w:r>
      <w:r>
        <w:rPr>
          <w:sz w:val="24"/>
          <w:szCs w:val="24"/>
        </w:rPr>
        <w:t xml:space="preserve"> În clădiri civile de sănătate cu înălţime obişnuită, ascensoarele pentru transporul bolnavilor cu targa ori căruciorul sau a persoanelor cu dizabilităţi, pot fi utilizate şi pentru evacuarea asistată a acestora în caz de incendiu, atunci când respectă simultan</w:t>
      </w:r>
      <w:r>
        <w:rPr>
          <w:b/>
          <w:sz w:val="24"/>
          <w:szCs w:val="24"/>
        </w:rPr>
        <w:t xml:space="preserve"> </w:t>
      </w:r>
      <w:r>
        <w:rPr>
          <w:sz w:val="24"/>
          <w:szCs w:val="24"/>
        </w:rPr>
        <w:t>următoarele condiţii:</w:t>
      </w:r>
    </w:p>
    <w:p w14:paraId="2F518341" w14:textId="77777777" w:rsidR="001C08A5" w:rsidRDefault="00000000">
      <w:pPr>
        <w:ind w:left="2880" w:firstLine="720"/>
        <w:jc w:val="both"/>
        <w:rPr>
          <w:sz w:val="24"/>
          <w:szCs w:val="24"/>
        </w:rPr>
      </w:pPr>
      <w:r>
        <w:rPr>
          <w:b/>
          <w:sz w:val="24"/>
          <w:szCs w:val="24"/>
        </w:rPr>
        <w:t xml:space="preserve">a) </w:t>
      </w:r>
      <w:r>
        <w:rPr>
          <w:sz w:val="24"/>
          <w:szCs w:val="24"/>
        </w:rPr>
        <w:t xml:space="preserve">sunt prevăzute cu puţ propriu, echipat cu instalaţie în suprapresiune, separat de restul construcţiei cu pereţi </w:t>
      </w:r>
      <w:r>
        <w:rPr>
          <w:bCs/>
          <w:sz w:val="24"/>
          <w:szCs w:val="24"/>
        </w:rPr>
        <w:t xml:space="preserve">clasa de reacţie la foc </w:t>
      </w:r>
      <w:r>
        <w:rPr>
          <w:b/>
          <w:sz w:val="24"/>
          <w:szCs w:val="24"/>
        </w:rPr>
        <w:t>A1</w:t>
      </w:r>
      <w:r>
        <w:rPr>
          <w:bCs/>
          <w:sz w:val="24"/>
          <w:szCs w:val="24"/>
        </w:rPr>
        <w:t xml:space="preserve"> sau </w:t>
      </w:r>
      <w:r>
        <w:rPr>
          <w:b/>
          <w:sz w:val="24"/>
          <w:szCs w:val="24"/>
        </w:rPr>
        <w:t xml:space="preserve">A2-s1d0 </w:t>
      </w:r>
      <w:r>
        <w:rPr>
          <w:sz w:val="24"/>
          <w:szCs w:val="24"/>
        </w:rPr>
        <w:t xml:space="preserve">rezistenţi la foc minimum </w:t>
      </w:r>
      <w:r>
        <w:rPr>
          <w:b/>
          <w:sz w:val="24"/>
          <w:szCs w:val="24"/>
        </w:rPr>
        <w:t>EI/REI 90</w:t>
      </w:r>
      <w:r>
        <w:rPr>
          <w:bCs/>
          <w:sz w:val="24"/>
          <w:szCs w:val="24"/>
        </w:rPr>
        <w:t xml:space="preserve"> și </w:t>
      </w:r>
      <w:r>
        <w:rPr>
          <w:sz w:val="24"/>
          <w:szCs w:val="24"/>
        </w:rPr>
        <w:t xml:space="preserve">planşee </w:t>
      </w:r>
      <w:r>
        <w:rPr>
          <w:bCs/>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rezistente la foc minimum </w:t>
      </w:r>
      <w:r>
        <w:rPr>
          <w:b/>
          <w:bCs/>
          <w:sz w:val="24"/>
          <w:szCs w:val="24"/>
        </w:rPr>
        <w:t>REI 90</w:t>
      </w:r>
      <w:r>
        <w:rPr>
          <w:sz w:val="24"/>
          <w:szCs w:val="24"/>
        </w:rPr>
        <w:t>;</w:t>
      </w:r>
    </w:p>
    <w:p w14:paraId="65252C81" w14:textId="77777777" w:rsidR="001C08A5" w:rsidRDefault="00000000">
      <w:pPr>
        <w:ind w:left="2835" w:firstLine="713"/>
        <w:jc w:val="both"/>
        <w:rPr>
          <w:sz w:val="24"/>
          <w:szCs w:val="24"/>
        </w:rPr>
      </w:pPr>
      <w:r>
        <w:rPr>
          <w:b/>
          <w:sz w:val="24"/>
          <w:szCs w:val="24"/>
        </w:rPr>
        <w:t xml:space="preserve">b) </w:t>
      </w:r>
      <w:r>
        <w:rPr>
          <w:sz w:val="24"/>
          <w:szCs w:val="24"/>
        </w:rPr>
        <w:t xml:space="preserve">au asigurată funcţionarea timp de minimum </w:t>
      </w:r>
      <w:r>
        <w:rPr>
          <w:b/>
          <w:sz w:val="24"/>
          <w:szCs w:val="24"/>
        </w:rPr>
        <w:t xml:space="preserve">90 </w:t>
      </w:r>
      <w:r>
        <w:rPr>
          <w:sz w:val="24"/>
          <w:szCs w:val="24"/>
        </w:rPr>
        <w:t xml:space="preserve">minute de la izbucnirea incendiului; </w:t>
      </w:r>
    </w:p>
    <w:p w14:paraId="5E292D2C" w14:textId="77777777" w:rsidR="001C08A5" w:rsidRDefault="00000000">
      <w:pPr>
        <w:ind w:left="2835" w:firstLine="713"/>
        <w:jc w:val="both"/>
        <w:rPr>
          <w:sz w:val="24"/>
          <w:szCs w:val="24"/>
        </w:rPr>
      </w:pPr>
      <w:r>
        <w:rPr>
          <w:b/>
          <w:sz w:val="24"/>
          <w:szCs w:val="24"/>
        </w:rPr>
        <w:t>c)</w:t>
      </w:r>
      <w:r>
        <w:rPr>
          <w:sz w:val="24"/>
          <w:szCs w:val="24"/>
        </w:rPr>
        <w:t xml:space="preserve"> respectă prevederile </w:t>
      </w:r>
      <w:r>
        <w:rPr>
          <w:b/>
          <w:sz w:val="24"/>
          <w:szCs w:val="24"/>
        </w:rPr>
        <w:t>Art. 3.1.4.4. alin. (3), lit. (c), (d), (e), (f) și (g)</w:t>
      </w:r>
      <w:r>
        <w:rPr>
          <w:sz w:val="24"/>
          <w:szCs w:val="24"/>
        </w:rPr>
        <w:t>.</w:t>
      </w:r>
    </w:p>
    <w:p w14:paraId="6CB6E8CB" w14:textId="77777777" w:rsidR="001C08A5" w:rsidRDefault="00000000">
      <w:pPr>
        <w:widowControl w:val="0"/>
        <w:ind w:firstLine="720"/>
        <w:jc w:val="both"/>
        <w:rPr>
          <w:sz w:val="24"/>
          <w:szCs w:val="24"/>
        </w:rPr>
      </w:pPr>
      <w:r>
        <w:rPr>
          <w:b/>
          <w:sz w:val="24"/>
          <w:szCs w:val="24"/>
        </w:rPr>
        <w:t xml:space="preserve">(7) </w:t>
      </w:r>
      <w:r>
        <w:rPr>
          <w:sz w:val="24"/>
          <w:szCs w:val="24"/>
        </w:rPr>
        <w:t xml:space="preserve"> Accesul la ascensoarele prevăzute pentru transportul bolnavilor </w:t>
      </w:r>
      <w:r>
        <w:rPr>
          <w:iCs/>
          <w:sz w:val="24"/>
          <w:szCs w:val="24"/>
        </w:rPr>
        <w:t>cu patul cu rotile</w:t>
      </w:r>
      <w:r>
        <w:rPr>
          <w:sz w:val="24"/>
          <w:szCs w:val="24"/>
        </w:rPr>
        <w:t xml:space="preserve">, cu targa ori căruciorul sau a persoanelor cu dizabilităţi care pot fi utilizate şi pentru evacuarea asistată a acestora în caz de incendiu la nivelurile supraterane ale clădirilor civile de sănătate cu înălțime obișnuită, se asigură prin: </w:t>
      </w:r>
    </w:p>
    <w:p w14:paraId="400D9E98" w14:textId="77777777" w:rsidR="001C08A5" w:rsidRDefault="00000000">
      <w:pPr>
        <w:widowControl w:val="0"/>
        <w:ind w:left="1440" w:firstLine="720"/>
        <w:jc w:val="both"/>
        <w:rPr>
          <w:b/>
          <w:sz w:val="24"/>
          <w:szCs w:val="24"/>
        </w:rPr>
      </w:pPr>
      <w:r>
        <w:rPr>
          <w:sz w:val="24"/>
          <w:szCs w:val="24"/>
        </w:rPr>
        <w:t xml:space="preserve">- uşi de palier (ale ascensoarelor) rezistente la foc </w:t>
      </w:r>
      <w:r>
        <w:rPr>
          <w:b/>
          <w:sz w:val="24"/>
          <w:szCs w:val="24"/>
        </w:rPr>
        <w:t xml:space="preserve">EI 90 </w:t>
      </w:r>
      <w:r>
        <w:rPr>
          <w:iCs/>
          <w:sz w:val="24"/>
          <w:szCs w:val="24"/>
        </w:rPr>
        <w:t>atunci când debușează în spații ferite de fum (degajamente protejate sau coridoare protejate prevăzute cu suprapresiune sau admisie de aer și evacuare de fum mecanică)</w:t>
      </w:r>
      <w:r>
        <w:rPr>
          <w:bCs/>
          <w:sz w:val="24"/>
          <w:szCs w:val="24"/>
        </w:rPr>
        <w:t xml:space="preserve">;în acest caz spațiile în care debușează ușile de palier ale ascensoarelor trebuie să fie prevăzute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 xml:space="preserve">EI/REI 90 </w:t>
      </w:r>
      <w:r>
        <w:rPr>
          <w:bCs/>
          <w:sz w:val="24"/>
          <w:szCs w:val="24"/>
        </w:rPr>
        <w:t xml:space="preserve">și uși minimum </w:t>
      </w:r>
      <w:r>
        <w:rPr>
          <w:b/>
          <w:sz w:val="24"/>
          <w:szCs w:val="24"/>
        </w:rPr>
        <w:t>EI</w:t>
      </w:r>
      <w:r>
        <w:rPr>
          <w:b/>
          <w:sz w:val="24"/>
          <w:szCs w:val="24"/>
          <w:vertAlign w:val="subscript"/>
        </w:rPr>
        <w:t>2</w:t>
      </w:r>
      <w:r>
        <w:rPr>
          <w:b/>
          <w:sz w:val="24"/>
          <w:szCs w:val="24"/>
        </w:rPr>
        <w:t>30-C5S</w:t>
      </w:r>
      <w:r>
        <w:rPr>
          <w:b/>
          <w:bCs/>
          <w:sz w:val="24"/>
          <w:szCs w:val="24"/>
          <w:vertAlign w:val="subscript"/>
        </w:rPr>
        <w:t>200</w:t>
      </w:r>
      <w:r>
        <w:rPr>
          <w:sz w:val="24"/>
          <w:szCs w:val="24"/>
        </w:rPr>
        <w:t>;</w:t>
      </w:r>
    </w:p>
    <w:p w14:paraId="658A07F4" w14:textId="77777777" w:rsidR="001C08A5" w:rsidRDefault="00000000">
      <w:pPr>
        <w:widowControl w:val="0"/>
        <w:ind w:left="1440" w:firstLine="720"/>
        <w:jc w:val="both"/>
        <w:rPr>
          <w:b/>
          <w:sz w:val="24"/>
          <w:szCs w:val="24"/>
        </w:rPr>
      </w:pPr>
      <w:r>
        <w:rPr>
          <w:sz w:val="24"/>
          <w:szCs w:val="24"/>
        </w:rPr>
        <w:t>- realizarea unor încăperi tampon ventilate în suprapresiune, prevăzute cu uşi etanșe la foc și la fum minimum</w:t>
      </w:r>
      <w:r>
        <w:rPr>
          <w:b/>
          <w:sz w:val="24"/>
          <w:szCs w:val="24"/>
        </w:rPr>
        <w:t>E30-C5S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 xml:space="preserve">EI90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90.</w:t>
      </w:r>
    </w:p>
    <w:p w14:paraId="7B601A91" w14:textId="77777777" w:rsidR="001C08A5" w:rsidRDefault="00000000">
      <w:pPr>
        <w:widowControl w:val="0"/>
        <w:ind w:firstLine="720"/>
        <w:jc w:val="both"/>
        <w:rPr>
          <w:b/>
          <w:sz w:val="24"/>
          <w:szCs w:val="24"/>
        </w:rPr>
      </w:pPr>
      <w:r>
        <w:rPr>
          <w:b/>
          <w:sz w:val="24"/>
          <w:szCs w:val="24"/>
        </w:rPr>
        <w:lastRenderedPageBreak/>
        <w:t xml:space="preserve">(8) </w:t>
      </w:r>
      <w:r>
        <w:rPr>
          <w:sz w:val="24"/>
          <w:szCs w:val="24"/>
        </w:rPr>
        <w:t xml:space="preserve"> Accesul la ascensoarele prevăzute pentru transportul bolnavilor </w:t>
      </w:r>
      <w:r>
        <w:rPr>
          <w:iCs/>
          <w:sz w:val="24"/>
          <w:szCs w:val="24"/>
        </w:rPr>
        <w:t>cu patul cu rotile,</w:t>
      </w:r>
      <w:r>
        <w:rPr>
          <w:sz w:val="24"/>
          <w:szCs w:val="24"/>
        </w:rPr>
        <w:t xml:space="preserve">cu targa ori căruciorul sau a persoanelor cu dizabilităţi care pot fi utilizate şi pentru evacuarea asistată a acestora în caz de incendiu la nivelurile subterane ale clădirilor civile de sănătate cu înălțime obișnuită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 xml:space="preserve">EI90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90.</w:t>
      </w:r>
    </w:p>
    <w:p w14:paraId="30E82157" w14:textId="77777777" w:rsidR="001C08A5" w:rsidRDefault="00000000">
      <w:pPr>
        <w:ind w:firstLine="720"/>
        <w:jc w:val="both"/>
        <w:rPr>
          <w:b/>
          <w:sz w:val="24"/>
          <w:szCs w:val="24"/>
        </w:rPr>
      </w:pPr>
      <w:r>
        <w:rPr>
          <w:rFonts w:eastAsia="Arial"/>
          <w:b/>
          <w:bCs/>
          <w:sz w:val="24"/>
          <w:szCs w:val="24"/>
        </w:rPr>
        <w:t>(9)</w:t>
      </w:r>
      <w:r>
        <w:rPr>
          <w:rFonts w:eastAsia="Arial"/>
          <w:sz w:val="24"/>
          <w:szCs w:val="24"/>
        </w:rPr>
        <w:t xml:space="preserve"> Dacă </w:t>
      </w:r>
      <w:r>
        <w:rPr>
          <w:iCs/>
          <w:sz w:val="24"/>
          <w:szCs w:val="24"/>
        </w:rPr>
        <w:t>ascensoarele</w:t>
      </w:r>
      <w:r>
        <w:rPr>
          <w:sz w:val="24"/>
          <w:szCs w:val="24"/>
        </w:rPr>
        <w:t xml:space="preserve"> care pot fi utilizate şi pentru evacuarea asistată a bolnavilor </w:t>
      </w:r>
      <w:r>
        <w:rPr>
          <w:iCs/>
          <w:sz w:val="24"/>
          <w:szCs w:val="24"/>
        </w:rPr>
        <w:t>cu patul cu rotile,</w:t>
      </w:r>
      <w:r>
        <w:rPr>
          <w:sz w:val="24"/>
          <w:szCs w:val="24"/>
        </w:rPr>
        <w:t>cu targa ori căruciorul sau a persoanelor cu dizabilităţi</w:t>
      </w:r>
      <w:r>
        <w:rPr>
          <w:rFonts w:eastAsia="Arial"/>
          <w:sz w:val="24"/>
          <w:szCs w:val="24"/>
        </w:rPr>
        <w:t xml:space="preserve"> au cabina cu două accese, toate </w:t>
      </w:r>
      <w:r>
        <w:rPr>
          <w:iCs/>
          <w:sz w:val="24"/>
          <w:szCs w:val="24"/>
        </w:rPr>
        <w:t>golurile de acces</w:t>
      </w:r>
      <w:r>
        <w:rPr>
          <w:rFonts w:eastAsia="Arial"/>
          <w:sz w:val="24"/>
          <w:szCs w:val="24"/>
        </w:rPr>
        <w:t xml:space="preserve"> prevăzute trebuie să îndeplinească condițiile de la </w:t>
      </w:r>
      <w:r>
        <w:rPr>
          <w:rFonts w:eastAsia="Arial"/>
          <w:b/>
          <w:bCs/>
          <w:sz w:val="24"/>
          <w:szCs w:val="24"/>
        </w:rPr>
        <w:t xml:space="preserve">alin. (7) </w:t>
      </w:r>
      <w:r>
        <w:rPr>
          <w:rFonts w:eastAsia="Arial"/>
          <w:sz w:val="24"/>
          <w:szCs w:val="24"/>
        </w:rPr>
        <w:t xml:space="preserve">și </w:t>
      </w:r>
      <w:r>
        <w:rPr>
          <w:rFonts w:eastAsia="Arial"/>
          <w:b/>
          <w:bCs/>
          <w:sz w:val="24"/>
          <w:szCs w:val="24"/>
        </w:rPr>
        <w:t>alin. (8)</w:t>
      </w:r>
      <w:r>
        <w:rPr>
          <w:b/>
          <w:sz w:val="24"/>
          <w:szCs w:val="24"/>
        </w:rPr>
        <w:t>.</w:t>
      </w:r>
    </w:p>
    <w:p w14:paraId="5453D966" w14:textId="77777777" w:rsidR="001C08A5" w:rsidRDefault="00000000">
      <w:pPr>
        <w:ind w:firstLine="720"/>
        <w:jc w:val="both"/>
        <w:rPr>
          <w:sz w:val="24"/>
          <w:szCs w:val="24"/>
        </w:rPr>
      </w:pPr>
      <w:r>
        <w:rPr>
          <w:b/>
          <w:sz w:val="24"/>
          <w:szCs w:val="24"/>
        </w:rPr>
        <w:t xml:space="preserve">(10) </w:t>
      </w:r>
      <w:r>
        <w:rPr>
          <w:bCs/>
          <w:sz w:val="24"/>
          <w:szCs w:val="24"/>
        </w:rPr>
        <w:t xml:space="preserve">Atunci când golurile de </w:t>
      </w:r>
      <w:r>
        <w:rPr>
          <w:sz w:val="24"/>
          <w:szCs w:val="24"/>
        </w:rPr>
        <w:t xml:space="preserve">acces la ascensoarele pentru persoane precum și la ascensoarele prevăzute pentru transportul bolnavilor </w:t>
      </w:r>
      <w:r>
        <w:rPr>
          <w:iCs/>
          <w:sz w:val="24"/>
          <w:szCs w:val="24"/>
        </w:rPr>
        <w:t>cu patul cu rotile,</w:t>
      </w:r>
      <w:r>
        <w:rPr>
          <w:sz w:val="24"/>
          <w:szCs w:val="24"/>
        </w:rPr>
        <w:t xml:space="preserve">cu targa ori căruciorul sau a persoanelor cu dizabilităţi care pot fi utilizate şi pentru evacuarea asistată a acestora în caz de incendiu la nivelurile supraterane și/ sau subterane ale clădirilor civile de sănătate cu înălțime obișnuită debușează într-un spațiu comun, toate ușile de la ascensoare vor fi </w:t>
      </w:r>
      <w:r>
        <w:rPr>
          <w:b/>
          <w:bCs/>
          <w:sz w:val="24"/>
          <w:szCs w:val="24"/>
        </w:rPr>
        <w:t xml:space="preserve">EI90, </w:t>
      </w:r>
      <w:r>
        <w:rPr>
          <w:sz w:val="24"/>
          <w:szCs w:val="24"/>
        </w:rPr>
        <w:t xml:space="preserve">iar spațiile în care debușează vor fi prevăzute  cu uşi rezistente la foc și etanșe la fum minimum </w:t>
      </w:r>
      <w:r>
        <w:rPr>
          <w:b/>
          <w:bCs/>
          <w:sz w:val="24"/>
          <w:szCs w:val="24"/>
        </w:rPr>
        <w:t xml:space="preserve">EI30 </w:t>
      </w:r>
      <w:r>
        <w:rPr>
          <w:sz w:val="24"/>
          <w:szCs w:val="24"/>
        </w:rPr>
        <w:t xml:space="preserve">în suprateran și </w:t>
      </w:r>
      <w:r>
        <w:rPr>
          <w:b/>
          <w:bCs/>
          <w:sz w:val="24"/>
          <w:szCs w:val="24"/>
        </w:rPr>
        <w:t>EI60</w:t>
      </w:r>
      <w:r>
        <w:rPr>
          <w:sz w:val="24"/>
          <w:szCs w:val="24"/>
        </w:rPr>
        <w:t xml:space="preserve"> în subteran.</w:t>
      </w:r>
    </w:p>
    <w:p w14:paraId="2FC8133E" w14:textId="77777777" w:rsidR="001C08A5" w:rsidRDefault="00000000">
      <w:pPr>
        <w:ind w:firstLine="720"/>
        <w:jc w:val="both"/>
        <w:rPr>
          <w:sz w:val="24"/>
          <w:szCs w:val="24"/>
        </w:rPr>
      </w:pPr>
      <w:r>
        <w:rPr>
          <w:b/>
          <w:sz w:val="24"/>
          <w:szCs w:val="24"/>
        </w:rPr>
        <w:t xml:space="preserve">(11) </w:t>
      </w:r>
      <w:r>
        <w:rPr>
          <w:bCs/>
          <w:sz w:val="24"/>
          <w:szCs w:val="24"/>
        </w:rPr>
        <w:t xml:space="preserve">Atunci când golurile de </w:t>
      </w:r>
      <w:r>
        <w:rPr>
          <w:sz w:val="24"/>
          <w:szCs w:val="24"/>
        </w:rPr>
        <w:t xml:space="preserve">acces la scările de evacuare a persoanelor precum și la ascensoarele prevăzute pentru transportul bolnavilor </w:t>
      </w:r>
      <w:r>
        <w:rPr>
          <w:iCs/>
          <w:sz w:val="24"/>
          <w:szCs w:val="24"/>
        </w:rPr>
        <w:t>cu patul cu rotile,</w:t>
      </w:r>
      <w:r>
        <w:rPr>
          <w:sz w:val="24"/>
          <w:szCs w:val="24"/>
        </w:rPr>
        <w:t xml:space="preserve">cu targa ori căruciorul sau a persoanelor cu dizabilităţi care pot fi utilizate şi pentru evacuarea asistată a acestora în caz de incendiu la nivelurile supraterane și/ sau subterane ale clădirilor civile de sănătate cu înălțime obișnuită debușează într-un spațiu comun, toate ușile de la ascensoare vor fi </w:t>
      </w:r>
      <w:r>
        <w:rPr>
          <w:b/>
          <w:bCs/>
          <w:sz w:val="24"/>
          <w:szCs w:val="24"/>
        </w:rPr>
        <w:t xml:space="preserve">EI90 </w:t>
      </w:r>
      <w:r>
        <w:rPr>
          <w:sz w:val="24"/>
          <w:szCs w:val="24"/>
        </w:rPr>
        <w:t xml:space="preserve">iar ușa de la casa scării va fi </w:t>
      </w:r>
      <w:r>
        <w:rPr>
          <w:b/>
          <w:sz w:val="24"/>
          <w:szCs w:val="24"/>
        </w:rPr>
        <w:t>EI</w:t>
      </w:r>
      <w:r>
        <w:rPr>
          <w:b/>
          <w:sz w:val="24"/>
          <w:szCs w:val="24"/>
          <w:vertAlign w:val="subscript"/>
        </w:rPr>
        <w:t>2</w:t>
      </w:r>
      <w:r>
        <w:rPr>
          <w:b/>
          <w:sz w:val="24"/>
          <w:szCs w:val="24"/>
        </w:rPr>
        <w:t>90-C5S</w:t>
      </w:r>
      <w:r>
        <w:rPr>
          <w:b/>
          <w:bCs/>
          <w:sz w:val="24"/>
          <w:szCs w:val="24"/>
          <w:vertAlign w:val="subscript"/>
        </w:rPr>
        <w:t>200</w:t>
      </w:r>
      <w:r>
        <w:rPr>
          <w:sz w:val="24"/>
          <w:szCs w:val="24"/>
        </w:rPr>
        <w:t>.</w:t>
      </w:r>
    </w:p>
    <w:p w14:paraId="29970EA9" w14:textId="77777777" w:rsidR="001C08A5" w:rsidRDefault="00000000">
      <w:pPr>
        <w:ind w:firstLine="720"/>
        <w:jc w:val="both"/>
        <w:rPr>
          <w:sz w:val="24"/>
          <w:szCs w:val="24"/>
        </w:rPr>
      </w:pPr>
      <w:r>
        <w:rPr>
          <w:b/>
          <w:bCs/>
          <w:sz w:val="24"/>
          <w:szCs w:val="24"/>
        </w:rPr>
        <w:t xml:space="preserve">(12) </w:t>
      </w:r>
      <w:r>
        <w:rPr>
          <w:sz w:val="24"/>
          <w:szCs w:val="24"/>
        </w:rPr>
        <w:t xml:space="preserve">Ascensoarele prevăzute pentru transportul bolnavilor </w:t>
      </w:r>
      <w:r>
        <w:rPr>
          <w:iCs/>
          <w:sz w:val="24"/>
          <w:szCs w:val="24"/>
        </w:rPr>
        <w:t>cu patul cu rotile,</w:t>
      </w:r>
      <w:r>
        <w:rPr>
          <w:sz w:val="24"/>
          <w:szCs w:val="24"/>
        </w:rPr>
        <w:t>cu targa ori căruciorul sau a persoanelor cu dizabilităţi care pot fi utilizate şi pentru evacuarea asistată a acestora în caz de incendiu din clădirile civile de sănătate cu înălțime obișnuită vor avea comenzile în coridoare sau în degajamentele protejate</w:t>
      </w:r>
    </w:p>
    <w:p w14:paraId="231A3AC5" w14:textId="77777777" w:rsidR="001C08A5" w:rsidRDefault="00000000">
      <w:pPr>
        <w:widowControl w:val="0"/>
        <w:ind w:firstLine="720"/>
        <w:jc w:val="both"/>
        <w:rPr>
          <w:sz w:val="24"/>
          <w:szCs w:val="24"/>
        </w:rPr>
      </w:pPr>
      <w:r>
        <w:rPr>
          <w:b/>
          <w:bCs/>
          <w:iCs/>
          <w:sz w:val="24"/>
          <w:szCs w:val="24"/>
        </w:rPr>
        <w:t xml:space="preserve">(13) </w:t>
      </w:r>
      <w:r>
        <w:rPr>
          <w:sz w:val="24"/>
          <w:szCs w:val="24"/>
        </w:rPr>
        <w:t>La clădirile de sănătate înalte, foarte înalte și la cele cu săli aglomerate se respectă dispozitiile specifice.</w:t>
      </w:r>
    </w:p>
    <w:p w14:paraId="404D5515" w14:textId="77777777" w:rsidR="001C08A5" w:rsidRDefault="001C08A5">
      <w:pPr>
        <w:ind w:firstLine="720"/>
        <w:jc w:val="both"/>
        <w:rPr>
          <w:sz w:val="24"/>
          <w:szCs w:val="24"/>
        </w:rPr>
      </w:pPr>
    </w:p>
    <w:p w14:paraId="71C5E556" w14:textId="77777777" w:rsidR="001C08A5" w:rsidRDefault="00000000">
      <w:pPr>
        <w:ind w:firstLine="567"/>
        <w:jc w:val="both"/>
        <w:rPr>
          <w:sz w:val="24"/>
          <w:szCs w:val="24"/>
        </w:rPr>
      </w:pPr>
      <w:r>
        <w:rPr>
          <w:sz w:val="24"/>
          <w:szCs w:val="24"/>
        </w:rPr>
        <w:tab/>
      </w:r>
      <w:r>
        <w:rPr>
          <w:b/>
          <w:sz w:val="24"/>
          <w:szCs w:val="24"/>
        </w:rPr>
        <w:t xml:space="preserve">Art. </w:t>
      </w:r>
      <w:r>
        <w:rPr>
          <w:b/>
          <w:bCs/>
          <w:sz w:val="24"/>
          <w:szCs w:val="24"/>
        </w:rPr>
        <w:t>3.2.4.</w:t>
      </w:r>
      <w:r>
        <w:rPr>
          <w:b/>
          <w:sz w:val="24"/>
          <w:szCs w:val="24"/>
        </w:rPr>
        <w:t xml:space="preserve">5. </w:t>
      </w:r>
      <w:r>
        <w:rPr>
          <w:sz w:val="24"/>
          <w:szCs w:val="24"/>
        </w:rPr>
        <w:t xml:space="preserve">Comportarea la foc a pereţilor, uşilor și planşeelor de separare a caselor de scări închise şi a uşilor din clădirile pentru sănătate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_Ref14015 \h </w:instrText>
      </w:r>
      <w:r>
        <w:rPr>
          <w:rFonts w:cs="Mangal"/>
          <w:b/>
          <w:i/>
          <w:iCs/>
          <w:sz w:val="24"/>
          <w:szCs w:val="24"/>
        </w:rPr>
      </w:r>
      <w:r>
        <w:rPr>
          <w:rFonts w:cs="Mangal"/>
          <w:b/>
          <w:i/>
          <w:iCs/>
          <w:sz w:val="24"/>
          <w:szCs w:val="24"/>
        </w:rPr>
        <w:fldChar w:fldCharType="separate"/>
      </w:r>
      <w:r>
        <w:t>Tabelul 65</w:t>
      </w:r>
      <w:r>
        <w:rPr>
          <w:rFonts w:cs="Mangal"/>
          <w:b/>
          <w:i/>
          <w:iCs/>
          <w:sz w:val="24"/>
          <w:szCs w:val="24"/>
        </w:rPr>
        <w:fldChar w:fldCharType="end"/>
      </w:r>
      <w:r>
        <w:rPr>
          <w:sz w:val="24"/>
          <w:szCs w:val="24"/>
        </w:rPr>
        <w:t>.</w:t>
      </w:r>
    </w:p>
    <w:p w14:paraId="4FFC04DC" w14:textId="77777777" w:rsidR="001C08A5" w:rsidRDefault="001C08A5">
      <w:pPr>
        <w:jc w:val="both"/>
        <w:rPr>
          <w:sz w:val="24"/>
          <w:szCs w:val="24"/>
        </w:rPr>
      </w:pPr>
    </w:p>
    <w:p w14:paraId="12534610" w14:textId="77777777" w:rsidR="001C08A5" w:rsidRDefault="00000000">
      <w:pPr>
        <w:pStyle w:val="Captiontabel"/>
      </w:pPr>
      <w:bookmarkStart w:id="3501" w:name="_Ref14015"/>
      <w:bookmarkStart w:id="3502" w:name="_Toc162360115"/>
      <w:r>
        <w:t xml:space="preserve">Tabelul </w:t>
      </w:r>
      <w:r>
        <w:fldChar w:fldCharType="begin"/>
      </w:r>
      <w:r>
        <w:instrText xml:space="preserve"> SEQ Tabelul \* ARABIC </w:instrText>
      </w:r>
      <w:r>
        <w:fldChar w:fldCharType="separate"/>
      </w:r>
      <w:r>
        <w:t>65</w:t>
      </w:r>
      <w:r>
        <w:fldChar w:fldCharType="end"/>
      </w:r>
      <w:bookmarkStart w:id="3503" w:name="_Toc18348"/>
      <w:bookmarkStart w:id="3504" w:name="_Toc3021"/>
      <w:bookmarkStart w:id="3505" w:name="_Toc14617"/>
      <w:bookmarkStart w:id="3506" w:name="_Toc16509"/>
      <w:bookmarkStart w:id="3507" w:name="_Toc30592"/>
      <w:bookmarkStart w:id="3508" w:name="_Toc14335"/>
      <w:bookmarkStart w:id="3509" w:name="_Toc32138"/>
      <w:bookmarkStart w:id="3510" w:name="_Toc12129"/>
      <w:bookmarkStart w:id="3511" w:name="_Toc17383"/>
      <w:bookmarkStart w:id="3512" w:name="_Toc9340"/>
      <w:bookmarkStart w:id="3513" w:name="_Toc6211"/>
      <w:bookmarkStart w:id="3514" w:name="_Toc16444"/>
      <w:bookmarkStart w:id="3515" w:name="_Toc29502"/>
      <w:bookmarkStart w:id="3516" w:name="_Toc7785"/>
      <w:bookmarkStart w:id="3517" w:name="_Toc24137"/>
      <w:bookmarkStart w:id="3518" w:name="_Toc21401"/>
      <w:bookmarkStart w:id="3519" w:name="_Toc23697"/>
      <w:bookmarkStart w:id="3520" w:name="_Toc26771"/>
      <w:bookmarkStart w:id="3521" w:name="_Toc19875"/>
      <w:bookmarkEnd w:id="3501"/>
      <w:r>
        <w:t>: Comportare la foc a pereţilor, uşilor și planşeelor de separare a caselor de scări închise din clădirile pentru sănătate supraterane cu înălţimi obişnuite</w:t>
      </w:r>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p>
    <w:p w14:paraId="1FB39AFF" w14:textId="77777777" w:rsidR="001C08A5" w:rsidRDefault="001C08A5">
      <w:pPr>
        <w:jc w:val="both"/>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0"/>
        <w:gridCol w:w="1834"/>
        <w:gridCol w:w="1700"/>
        <w:gridCol w:w="1374"/>
        <w:gridCol w:w="1680"/>
        <w:gridCol w:w="1697"/>
      </w:tblGrid>
      <w:tr w:rsidR="001C08A5" w14:paraId="0AD1CA3C" w14:textId="77777777">
        <w:trPr>
          <w:tblHeader/>
        </w:trPr>
        <w:tc>
          <w:tcPr>
            <w:tcW w:w="1242" w:type="dxa"/>
            <w:vMerge w:val="restart"/>
            <w:shd w:val="clear" w:color="auto" w:fill="BFBFBF"/>
          </w:tcPr>
          <w:p w14:paraId="484DF18B" w14:textId="77777777" w:rsidR="001C08A5" w:rsidRDefault="00000000">
            <w:pPr>
              <w:pStyle w:val="BodyText"/>
              <w:jc w:val="center"/>
              <w:rPr>
                <w:bCs w:val="0"/>
                <w:sz w:val="22"/>
                <w:szCs w:val="22"/>
              </w:rPr>
            </w:pPr>
            <w:r>
              <w:rPr>
                <w:bCs w:val="0"/>
                <w:sz w:val="22"/>
                <w:szCs w:val="22"/>
              </w:rPr>
              <w:t>Nivel de stabilitate</w:t>
            </w:r>
          </w:p>
          <w:p w14:paraId="71383138" w14:textId="77777777" w:rsidR="001C08A5" w:rsidRDefault="00000000">
            <w:pPr>
              <w:jc w:val="center"/>
              <w:rPr>
                <w:i/>
                <w:sz w:val="22"/>
                <w:szCs w:val="22"/>
              </w:rPr>
            </w:pPr>
            <w:r>
              <w:rPr>
                <w:b/>
                <w:bCs/>
                <w:i/>
                <w:sz w:val="22"/>
                <w:szCs w:val="22"/>
              </w:rPr>
              <w:t>la incendiu</w:t>
            </w:r>
          </w:p>
        </w:tc>
        <w:tc>
          <w:tcPr>
            <w:tcW w:w="8329" w:type="dxa"/>
            <w:gridSpan w:val="5"/>
            <w:shd w:val="clear" w:color="auto" w:fill="BFBFBF"/>
          </w:tcPr>
          <w:p w14:paraId="13C51560"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21FEA7D3" w14:textId="77777777">
        <w:trPr>
          <w:tblHeader/>
        </w:trPr>
        <w:tc>
          <w:tcPr>
            <w:tcW w:w="1242" w:type="dxa"/>
            <w:vMerge/>
            <w:shd w:val="clear" w:color="auto" w:fill="BFBFBF"/>
          </w:tcPr>
          <w:p w14:paraId="2D4828C7" w14:textId="77777777" w:rsidR="001C08A5" w:rsidRDefault="001C08A5">
            <w:pPr>
              <w:jc w:val="center"/>
              <w:rPr>
                <w:i/>
                <w:sz w:val="22"/>
                <w:szCs w:val="22"/>
              </w:rPr>
            </w:pPr>
          </w:p>
        </w:tc>
        <w:tc>
          <w:tcPr>
            <w:tcW w:w="3553" w:type="dxa"/>
            <w:gridSpan w:val="2"/>
            <w:shd w:val="clear" w:color="auto" w:fill="BFBFBF"/>
          </w:tcPr>
          <w:p w14:paraId="445130FC" w14:textId="77777777" w:rsidR="001C08A5" w:rsidRDefault="00000000">
            <w:pPr>
              <w:jc w:val="center"/>
              <w:rPr>
                <w:i/>
                <w:sz w:val="22"/>
                <w:szCs w:val="22"/>
              </w:rPr>
            </w:pPr>
            <w:r>
              <w:rPr>
                <w:b/>
                <w:bCs/>
                <w:i/>
                <w:sz w:val="22"/>
                <w:szCs w:val="22"/>
              </w:rPr>
              <w:t>Pereţi</w:t>
            </w:r>
          </w:p>
        </w:tc>
        <w:tc>
          <w:tcPr>
            <w:tcW w:w="3069" w:type="dxa"/>
            <w:gridSpan w:val="2"/>
            <w:shd w:val="clear" w:color="auto" w:fill="BFBFBF"/>
          </w:tcPr>
          <w:p w14:paraId="79D11374"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707" w:type="dxa"/>
            <w:shd w:val="clear" w:color="auto" w:fill="BFBFBF"/>
          </w:tcPr>
          <w:p w14:paraId="64E43629" w14:textId="77777777" w:rsidR="001C08A5" w:rsidRDefault="00000000">
            <w:pPr>
              <w:jc w:val="center"/>
              <w:rPr>
                <w:b/>
                <w:bCs/>
                <w:i/>
                <w:sz w:val="22"/>
                <w:szCs w:val="22"/>
              </w:rPr>
            </w:pPr>
            <w:r>
              <w:rPr>
                <w:b/>
                <w:bCs/>
                <w:i/>
                <w:sz w:val="22"/>
                <w:szCs w:val="22"/>
              </w:rPr>
              <w:t xml:space="preserve">Uşi </w:t>
            </w:r>
          </w:p>
        </w:tc>
      </w:tr>
      <w:tr w:rsidR="001C08A5" w14:paraId="42ED1CB9" w14:textId="77777777">
        <w:tc>
          <w:tcPr>
            <w:tcW w:w="1242" w:type="dxa"/>
          </w:tcPr>
          <w:p w14:paraId="417916D4" w14:textId="77777777" w:rsidR="001C08A5" w:rsidRDefault="00000000">
            <w:pPr>
              <w:pStyle w:val="BodyText"/>
              <w:jc w:val="center"/>
              <w:rPr>
                <w:bCs w:val="0"/>
                <w:sz w:val="22"/>
                <w:szCs w:val="22"/>
              </w:rPr>
            </w:pPr>
            <w:r>
              <w:rPr>
                <w:bCs w:val="0"/>
                <w:sz w:val="22"/>
                <w:szCs w:val="22"/>
              </w:rPr>
              <w:t>I</w:t>
            </w:r>
          </w:p>
          <w:p w14:paraId="5D6DA04D" w14:textId="77777777" w:rsidR="001C08A5" w:rsidRDefault="00000000">
            <w:pPr>
              <w:pStyle w:val="BodyText"/>
              <w:jc w:val="center"/>
              <w:rPr>
                <w:bCs w:val="0"/>
                <w:sz w:val="22"/>
                <w:szCs w:val="22"/>
              </w:rPr>
            </w:pPr>
            <w:r>
              <w:rPr>
                <w:sz w:val="22"/>
                <w:szCs w:val="22"/>
              </w:rPr>
              <w:t>h&lt;28m</w:t>
            </w:r>
          </w:p>
        </w:tc>
        <w:tc>
          <w:tcPr>
            <w:tcW w:w="1843" w:type="dxa"/>
          </w:tcPr>
          <w:p w14:paraId="51AB8948" w14:textId="77777777" w:rsidR="001C08A5" w:rsidRDefault="00000000">
            <w:pPr>
              <w:jc w:val="center"/>
              <w:rPr>
                <w:b/>
                <w:i/>
                <w:sz w:val="22"/>
                <w:szCs w:val="22"/>
              </w:rPr>
            </w:pPr>
            <w:r>
              <w:rPr>
                <w:b/>
                <w:i/>
                <w:sz w:val="22"/>
                <w:szCs w:val="22"/>
              </w:rPr>
              <w:t xml:space="preserve">EI/REI 180 </w:t>
            </w:r>
          </w:p>
          <w:p w14:paraId="3CBE6ACB" w14:textId="77777777" w:rsidR="001C08A5" w:rsidRDefault="001C08A5">
            <w:pPr>
              <w:jc w:val="center"/>
              <w:rPr>
                <w:b/>
                <w:i/>
                <w:sz w:val="22"/>
                <w:szCs w:val="22"/>
              </w:rPr>
            </w:pPr>
          </w:p>
        </w:tc>
        <w:tc>
          <w:tcPr>
            <w:tcW w:w="1710" w:type="dxa"/>
          </w:tcPr>
          <w:p w14:paraId="7013CD34"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42B42D77" w14:textId="77777777" w:rsidR="001C08A5" w:rsidRDefault="00000000">
            <w:pPr>
              <w:jc w:val="center"/>
              <w:rPr>
                <w:b/>
                <w:i/>
                <w:sz w:val="22"/>
                <w:szCs w:val="22"/>
              </w:rPr>
            </w:pPr>
            <w:r>
              <w:rPr>
                <w:b/>
                <w:i/>
                <w:sz w:val="22"/>
                <w:szCs w:val="22"/>
              </w:rPr>
              <w:t xml:space="preserve">REI 120 </w:t>
            </w:r>
          </w:p>
        </w:tc>
        <w:tc>
          <w:tcPr>
            <w:tcW w:w="1689" w:type="dxa"/>
          </w:tcPr>
          <w:p w14:paraId="1541058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7A7DB09B" w14:textId="77777777" w:rsidR="001C08A5" w:rsidRDefault="00000000">
            <w:pPr>
              <w:jc w:val="center"/>
              <w:rPr>
                <w:i/>
                <w:sz w:val="22"/>
                <w:szCs w:val="22"/>
              </w:rPr>
            </w:pPr>
            <w:r>
              <w:rPr>
                <w:b/>
                <w:bCs/>
                <w:i/>
                <w:sz w:val="22"/>
                <w:szCs w:val="22"/>
              </w:rPr>
              <w:t xml:space="preserve">E 60 - C5 </w:t>
            </w:r>
            <w:r>
              <w:rPr>
                <w:b/>
                <w:i/>
                <w:sz w:val="22"/>
                <w:szCs w:val="22"/>
              </w:rPr>
              <w:t>S</w:t>
            </w:r>
            <w:r>
              <w:rPr>
                <w:b/>
                <w:bCs/>
                <w:i/>
                <w:sz w:val="22"/>
                <w:szCs w:val="22"/>
                <w:vertAlign w:val="subscript"/>
              </w:rPr>
              <w:t>200</w:t>
            </w:r>
          </w:p>
        </w:tc>
      </w:tr>
      <w:tr w:rsidR="001C08A5" w14:paraId="1487624E" w14:textId="77777777">
        <w:tc>
          <w:tcPr>
            <w:tcW w:w="1242" w:type="dxa"/>
          </w:tcPr>
          <w:p w14:paraId="1D73CD23" w14:textId="77777777" w:rsidR="001C08A5" w:rsidRDefault="00000000">
            <w:pPr>
              <w:pStyle w:val="BodyText"/>
              <w:jc w:val="center"/>
              <w:rPr>
                <w:bCs w:val="0"/>
                <w:sz w:val="22"/>
                <w:szCs w:val="22"/>
              </w:rPr>
            </w:pPr>
            <w:r>
              <w:rPr>
                <w:bCs w:val="0"/>
                <w:sz w:val="22"/>
                <w:szCs w:val="22"/>
              </w:rPr>
              <w:t>II</w:t>
            </w:r>
          </w:p>
        </w:tc>
        <w:tc>
          <w:tcPr>
            <w:tcW w:w="1843" w:type="dxa"/>
          </w:tcPr>
          <w:p w14:paraId="7E9168B7" w14:textId="77777777" w:rsidR="001C08A5" w:rsidRDefault="00000000">
            <w:pPr>
              <w:jc w:val="center"/>
              <w:rPr>
                <w:b/>
                <w:i/>
                <w:sz w:val="22"/>
                <w:szCs w:val="22"/>
              </w:rPr>
            </w:pPr>
            <w:r>
              <w:rPr>
                <w:b/>
                <w:i/>
                <w:sz w:val="22"/>
                <w:szCs w:val="22"/>
              </w:rPr>
              <w:t>EI/REI 180</w:t>
            </w:r>
          </w:p>
          <w:p w14:paraId="2B6B2CBE" w14:textId="77777777" w:rsidR="001C08A5" w:rsidRDefault="001C08A5">
            <w:pPr>
              <w:jc w:val="center"/>
              <w:rPr>
                <w:b/>
                <w:i/>
                <w:sz w:val="22"/>
                <w:szCs w:val="22"/>
              </w:rPr>
            </w:pPr>
          </w:p>
        </w:tc>
        <w:tc>
          <w:tcPr>
            <w:tcW w:w="1710" w:type="dxa"/>
          </w:tcPr>
          <w:p w14:paraId="49A03D07"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235224BD" w14:textId="77777777" w:rsidR="001C08A5" w:rsidRDefault="00000000">
            <w:pPr>
              <w:jc w:val="center"/>
              <w:rPr>
                <w:b/>
                <w:i/>
                <w:sz w:val="22"/>
                <w:szCs w:val="22"/>
              </w:rPr>
            </w:pPr>
            <w:r>
              <w:rPr>
                <w:b/>
                <w:i/>
                <w:sz w:val="22"/>
                <w:szCs w:val="22"/>
              </w:rPr>
              <w:t>REI 120</w:t>
            </w:r>
          </w:p>
        </w:tc>
        <w:tc>
          <w:tcPr>
            <w:tcW w:w="1689" w:type="dxa"/>
          </w:tcPr>
          <w:p w14:paraId="21582F6B"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4F1FDDA8" w14:textId="77777777" w:rsidR="001C08A5" w:rsidRDefault="00000000">
            <w:pPr>
              <w:jc w:val="center"/>
              <w:rPr>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3153F9F0" w14:textId="77777777">
        <w:tc>
          <w:tcPr>
            <w:tcW w:w="1242" w:type="dxa"/>
          </w:tcPr>
          <w:p w14:paraId="28D30FDF" w14:textId="77777777" w:rsidR="001C08A5" w:rsidRDefault="00000000">
            <w:pPr>
              <w:pStyle w:val="BodyText"/>
              <w:jc w:val="center"/>
              <w:rPr>
                <w:bCs w:val="0"/>
                <w:sz w:val="22"/>
                <w:szCs w:val="22"/>
              </w:rPr>
            </w:pPr>
            <w:r>
              <w:rPr>
                <w:bCs w:val="0"/>
                <w:sz w:val="22"/>
                <w:szCs w:val="22"/>
              </w:rPr>
              <w:t>II (+)</w:t>
            </w:r>
          </w:p>
        </w:tc>
        <w:tc>
          <w:tcPr>
            <w:tcW w:w="1843" w:type="dxa"/>
          </w:tcPr>
          <w:p w14:paraId="4414A711" w14:textId="77777777" w:rsidR="001C08A5" w:rsidRDefault="00000000">
            <w:pPr>
              <w:jc w:val="center"/>
              <w:rPr>
                <w:b/>
                <w:i/>
                <w:sz w:val="22"/>
                <w:szCs w:val="22"/>
              </w:rPr>
            </w:pPr>
            <w:r>
              <w:rPr>
                <w:b/>
                <w:i/>
                <w:sz w:val="22"/>
                <w:szCs w:val="22"/>
              </w:rPr>
              <w:t>EI/REI 120</w:t>
            </w:r>
          </w:p>
          <w:p w14:paraId="675A14D6" w14:textId="77777777" w:rsidR="001C08A5" w:rsidRDefault="001C08A5">
            <w:pPr>
              <w:jc w:val="center"/>
              <w:rPr>
                <w:b/>
                <w:i/>
                <w:sz w:val="22"/>
                <w:szCs w:val="22"/>
              </w:rPr>
            </w:pPr>
          </w:p>
        </w:tc>
        <w:tc>
          <w:tcPr>
            <w:tcW w:w="1710" w:type="dxa"/>
          </w:tcPr>
          <w:p w14:paraId="05DE3189"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80" w:type="dxa"/>
          </w:tcPr>
          <w:p w14:paraId="381EF570" w14:textId="77777777" w:rsidR="001C08A5" w:rsidRDefault="00000000">
            <w:pPr>
              <w:jc w:val="center"/>
              <w:rPr>
                <w:b/>
                <w:i/>
                <w:sz w:val="22"/>
                <w:szCs w:val="22"/>
              </w:rPr>
            </w:pPr>
            <w:r>
              <w:rPr>
                <w:b/>
                <w:i/>
                <w:sz w:val="22"/>
                <w:szCs w:val="22"/>
              </w:rPr>
              <w:t>REI 90</w:t>
            </w:r>
          </w:p>
        </w:tc>
        <w:tc>
          <w:tcPr>
            <w:tcW w:w="1689" w:type="dxa"/>
          </w:tcPr>
          <w:p w14:paraId="16BAAB06"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07" w:type="dxa"/>
          </w:tcPr>
          <w:p w14:paraId="123FB6C9" w14:textId="77777777" w:rsidR="001C08A5" w:rsidRDefault="00000000">
            <w:pPr>
              <w:jc w:val="center"/>
              <w:rPr>
                <w:b/>
                <w:bCs/>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37E16E9D" w14:textId="77777777">
        <w:tc>
          <w:tcPr>
            <w:tcW w:w="1242" w:type="dxa"/>
          </w:tcPr>
          <w:p w14:paraId="7DA83983" w14:textId="77777777" w:rsidR="001C08A5" w:rsidRDefault="00000000">
            <w:pPr>
              <w:pStyle w:val="BodyText"/>
              <w:jc w:val="center"/>
              <w:rPr>
                <w:bCs w:val="0"/>
                <w:sz w:val="22"/>
                <w:szCs w:val="22"/>
              </w:rPr>
            </w:pPr>
            <w:r>
              <w:rPr>
                <w:bCs w:val="0"/>
                <w:sz w:val="22"/>
                <w:szCs w:val="22"/>
              </w:rPr>
              <w:t>III</w:t>
            </w:r>
          </w:p>
        </w:tc>
        <w:tc>
          <w:tcPr>
            <w:tcW w:w="1843" w:type="dxa"/>
          </w:tcPr>
          <w:p w14:paraId="39B341D0" w14:textId="77777777" w:rsidR="001C08A5" w:rsidRDefault="00000000">
            <w:pPr>
              <w:jc w:val="center"/>
              <w:rPr>
                <w:b/>
                <w:i/>
                <w:sz w:val="22"/>
                <w:szCs w:val="22"/>
              </w:rPr>
            </w:pPr>
            <w:r>
              <w:rPr>
                <w:b/>
                <w:i/>
                <w:sz w:val="22"/>
                <w:szCs w:val="22"/>
              </w:rPr>
              <w:t xml:space="preserve">EI/REI 90 </w:t>
            </w:r>
          </w:p>
          <w:p w14:paraId="2CF09FB5" w14:textId="77777777" w:rsidR="001C08A5" w:rsidRDefault="001C08A5">
            <w:pPr>
              <w:jc w:val="center"/>
              <w:rPr>
                <w:b/>
                <w:i/>
                <w:sz w:val="22"/>
                <w:szCs w:val="22"/>
              </w:rPr>
            </w:pPr>
          </w:p>
        </w:tc>
        <w:tc>
          <w:tcPr>
            <w:tcW w:w="1710" w:type="dxa"/>
          </w:tcPr>
          <w:p w14:paraId="262B9FBF"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729C36AE" w14:textId="77777777" w:rsidR="001C08A5" w:rsidRDefault="00000000">
            <w:pPr>
              <w:jc w:val="center"/>
              <w:rPr>
                <w:b/>
                <w:i/>
                <w:sz w:val="22"/>
                <w:szCs w:val="22"/>
              </w:rPr>
            </w:pPr>
            <w:r>
              <w:rPr>
                <w:b/>
                <w:i/>
                <w:sz w:val="22"/>
                <w:szCs w:val="22"/>
              </w:rPr>
              <w:t>REI 60</w:t>
            </w:r>
          </w:p>
        </w:tc>
        <w:tc>
          <w:tcPr>
            <w:tcW w:w="1689" w:type="dxa"/>
          </w:tcPr>
          <w:p w14:paraId="6DEA984F"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5BE20C81" w14:textId="77777777" w:rsidR="001C08A5" w:rsidRDefault="00000000">
            <w:pPr>
              <w:jc w:val="center"/>
              <w:rPr>
                <w:b/>
                <w:i/>
                <w:sz w:val="22"/>
                <w:szCs w:val="22"/>
              </w:rPr>
            </w:pPr>
            <w:r>
              <w:rPr>
                <w:b/>
                <w:bCs/>
                <w:i/>
                <w:sz w:val="22"/>
                <w:szCs w:val="22"/>
              </w:rPr>
              <w:t>E 30 - C5 Sa</w:t>
            </w:r>
          </w:p>
          <w:p w14:paraId="0A0689CF" w14:textId="77777777" w:rsidR="001C08A5" w:rsidRDefault="001C08A5">
            <w:pPr>
              <w:jc w:val="center"/>
              <w:rPr>
                <w:i/>
                <w:strike/>
                <w:sz w:val="22"/>
                <w:szCs w:val="22"/>
              </w:rPr>
            </w:pPr>
          </w:p>
        </w:tc>
      </w:tr>
      <w:tr w:rsidR="001C08A5" w14:paraId="581958DC" w14:textId="77777777">
        <w:tc>
          <w:tcPr>
            <w:tcW w:w="1242" w:type="dxa"/>
          </w:tcPr>
          <w:p w14:paraId="5E5D6183" w14:textId="77777777" w:rsidR="001C08A5" w:rsidRDefault="00000000">
            <w:pPr>
              <w:pStyle w:val="BodyText"/>
              <w:jc w:val="center"/>
              <w:rPr>
                <w:bCs w:val="0"/>
                <w:sz w:val="22"/>
                <w:szCs w:val="22"/>
              </w:rPr>
            </w:pPr>
            <w:r>
              <w:rPr>
                <w:bCs w:val="0"/>
                <w:sz w:val="22"/>
                <w:szCs w:val="22"/>
              </w:rPr>
              <w:t>III (+)</w:t>
            </w:r>
          </w:p>
        </w:tc>
        <w:tc>
          <w:tcPr>
            <w:tcW w:w="1843" w:type="dxa"/>
          </w:tcPr>
          <w:p w14:paraId="3F72CEAF" w14:textId="77777777" w:rsidR="001C08A5" w:rsidRDefault="00000000">
            <w:pPr>
              <w:jc w:val="center"/>
              <w:rPr>
                <w:b/>
                <w:i/>
                <w:sz w:val="22"/>
                <w:szCs w:val="22"/>
              </w:rPr>
            </w:pPr>
            <w:r>
              <w:rPr>
                <w:b/>
                <w:i/>
                <w:sz w:val="22"/>
                <w:szCs w:val="22"/>
              </w:rPr>
              <w:t xml:space="preserve">EI/REI 60 </w:t>
            </w:r>
          </w:p>
        </w:tc>
        <w:tc>
          <w:tcPr>
            <w:tcW w:w="1710" w:type="dxa"/>
          </w:tcPr>
          <w:p w14:paraId="326FDF39"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08D36AC6" w14:textId="77777777" w:rsidR="001C08A5" w:rsidRDefault="00000000">
            <w:pPr>
              <w:jc w:val="center"/>
              <w:rPr>
                <w:b/>
                <w:i/>
                <w:sz w:val="22"/>
                <w:szCs w:val="22"/>
              </w:rPr>
            </w:pPr>
            <w:r>
              <w:rPr>
                <w:b/>
                <w:i/>
                <w:sz w:val="22"/>
                <w:szCs w:val="22"/>
              </w:rPr>
              <w:t xml:space="preserve">REI 45 </w:t>
            </w:r>
          </w:p>
        </w:tc>
        <w:tc>
          <w:tcPr>
            <w:tcW w:w="1689" w:type="dxa"/>
          </w:tcPr>
          <w:p w14:paraId="31B3D1F9"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5A8AFF18" w14:textId="77777777" w:rsidR="001C08A5" w:rsidRDefault="00000000">
            <w:pPr>
              <w:jc w:val="center"/>
              <w:rPr>
                <w:b/>
                <w:i/>
                <w:sz w:val="22"/>
                <w:szCs w:val="22"/>
              </w:rPr>
            </w:pPr>
            <w:r>
              <w:rPr>
                <w:b/>
                <w:bCs/>
                <w:i/>
                <w:sz w:val="22"/>
                <w:szCs w:val="22"/>
              </w:rPr>
              <w:t>E 30 - C5 Sa</w:t>
            </w:r>
          </w:p>
          <w:p w14:paraId="21691A0E" w14:textId="77777777" w:rsidR="001C08A5" w:rsidRDefault="001C08A5">
            <w:pPr>
              <w:jc w:val="center"/>
              <w:rPr>
                <w:i/>
                <w:strike/>
                <w:sz w:val="22"/>
                <w:szCs w:val="22"/>
              </w:rPr>
            </w:pPr>
          </w:p>
        </w:tc>
      </w:tr>
      <w:tr w:rsidR="001C08A5" w14:paraId="3A23B006" w14:textId="77777777">
        <w:tc>
          <w:tcPr>
            <w:tcW w:w="1242" w:type="dxa"/>
          </w:tcPr>
          <w:p w14:paraId="5F72DE97" w14:textId="77777777" w:rsidR="001C08A5" w:rsidRDefault="00000000">
            <w:pPr>
              <w:pStyle w:val="BodyText"/>
              <w:jc w:val="center"/>
              <w:rPr>
                <w:bCs w:val="0"/>
                <w:sz w:val="22"/>
                <w:szCs w:val="22"/>
              </w:rPr>
            </w:pPr>
            <w:r>
              <w:rPr>
                <w:bCs w:val="0"/>
                <w:sz w:val="22"/>
                <w:szCs w:val="22"/>
              </w:rPr>
              <w:t>IV</w:t>
            </w:r>
          </w:p>
        </w:tc>
        <w:tc>
          <w:tcPr>
            <w:tcW w:w="1843" w:type="dxa"/>
          </w:tcPr>
          <w:p w14:paraId="54D22B8F" w14:textId="77777777" w:rsidR="001C08A5" w:rsidRDefault="00000000">
            <w:pPr>
              <w:jc w:val="center"/>
              <w:rPr>
                <w:b/>
                <w:i/>
                <w:sz w:val="22"/>
                <w:szCs w:val="22"/>
              </w:rPr>
            </w:pPr>
            <w:r>
              <w:rPr>
                <w:b/>
                <w:i/>
                <w:sz w:val="22"/>
                <w:szCs w:val="22"/>
              </w:rPr>
              <w:t xml:space="preserve">EI/REI 60 </w:t>
            </w:r>
          </w:p>
          <w:p w14:paraId="1DDDEB96" w14:textId="77777777" w:rsidR="001C08A5" w:rsidRDefault="001C08A5">
            <w:pPr>
              <w:jc w:val="center"/>
              <w:rPr>
                <w:b/>
                <w:i/>
                <w:strike/>
                <w:sz w:val="22"/>
                <w:szCs w:val="22"/>
              </w:rPr>
            </w:pPr>
          </w:p>
        </w:tc>
        <w:tc>
          <w:tcPr>
            <w:tcW w:w="1710" w:type="dxa"/>
          </w:tcPr>
          <w:p w14:paraId="65A39CC7"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380" w:type="dxa"/>
          </w:tcPr>
          <w:p w14:paraId="50C25C7A" w14:textId="77777777" w:rsidR="001C08A5" w:rsidRDefault="00000000">
            <w:pPr>
              <w:jc w:val="center"/>
              <w:rPr>
                <w:b/>
                <w:i/>
                <w:sz w:val="22"/>
                <w:szCs w:val="22"/>
              </w:rPr>
            </w:pPr>
            <w:r>
              <w:rPr>
                <w:b/>
                <w:i/>
                <w:sz w:val="22"/>
                <w:szCs w:val="22"/>
              </w:rPr>
              <w:t xml:space="preserve">REI 30 </w:t>
            </w:r>
          </w:p>
        </w:tc>
        <w:tc>
          <w:tcPr>
            <w:tcW w:w="1689" w:type="dxa"/>
          </w:tcPr>
          <w:p w14:paraId="4B629A86"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707" w:type="dxa"/>
          </w:tcPr>
          <w:p w14:paraId="20CED73B" w14:textId="77777777" w:rsidR="001C08A5" w:rsidRDefault="00000000">
            <w:pPr>
              <w:jc w:val="center"/>
              <w:rPr>
                <w:i/>
                <w:sz w:val="22"/>
                <w:szCs w:val="22"/>
              </w:rPr>
            </w:pPr>
            <w:r>
              <w:rPr>
                <w:b/>
                <w:bCs/>
                <w:i/>
                <w:sz w:val="22"/>
                <w:szCs w:val="22"/>
              </w:rPr>
              <w:t>E 15 - C5 Sa</w:t>
            </w:r>
          </w:p>
        </w:tc>
      </w:tr>
      <w:tr w:rsidR="001C08A5" w14:paraId="79D6C115" w14:textId="77777777">
        <w:tc>
          <w:tcPr>
            <w:tcW w:w="1242" w:type="dxa"/>
          </w:tcPr>
          <w:p w14:paraId="0624BBDC" w14:textId="77777777" w:rsidR="001C08A5" w:rsidRDefault="00000000">
            <w:pPr>
              <w:pStyle w:val="BodyText"/>
              <w:jc w:val="center"/>
              <w:rPr>
                <w:bCs w:val="0"/>
                <w:sz w:val="22"/>
                <w:szCs w:val="22"/>
              </w:rPr>
            </w:pPr>
            <w:r>
              <w:rPr>
                <w:bCs w:val="0"/>
                <w:sz w:val="22"/>
                <w:szCs w:val="22"/>
              </w:rPr>
              <w:t>V</w:t>
            </w:r>
          </w:p>
        </w:tc>
        <w:tc>
          <w:tcPr>
            <w:tcW w:w="1843" w:type="dxa"/>
          </w:tcPr>
          <w:p w14:paraId="4A47AD0E" w14:textId="77777777" w:rsidR="001C08A5" w:rsidRDefault="00000000">
            <w:pPr>
              <w:jc w:val="center"/>
              <w:rPr>
                <w:b/>
                <w:i/>
                <w:strike/>
                <w:sz w:val="22"/>
                <w:szCs w:val="22"/>
              </w:rPr>
            </w:pPr>
            <w:r>
              <w:rPr>
                <w:b/>
                <w:bCs/>
                <w:i/>
                <w:sz w:val="22"/>
                <w:szCs w:val="22"/>
              </w:rPr>
              <w:t>Nu se admit</w:t>
            </w:r>
          </w:p>
        </w:tc>
        <w:tc>
          <w:tcPr>
            <w:tcW w:w="1710" w:type="dxa"/>
          </w:tcPr>
          <w:p w14:paraId="3AC6CC86" w14:textId="77777777" w:rsidR="001C08A5" w:rsidRDefault="00000000">
            <w:pPr>
              <w:jc w:val="center"/>
              <w:rPr>
                <w:i/>
                <w:sz w:val="22"/>
                <w:szCs w:val="22"/>
              </w:rPr>
            </w:pPr>
            <w:r>
              <w:rPr>
                <w:b/>
                <w:bCs/>
                <w:i/>
                <w:sz w:val="22"/>
                <w:szCs w:val="22"/>
              </w:rPr>
              <w:t>Nu se admit</w:t>
            </w:r>
          </w:p>
        </w:tc>
        <w:tc>
          <w:tcPr>
            <w:tcW w:w="1380" w:type="dxa"/>
          </w:tcPr>
          <w:p w14:paraId="77A113BB" w14:textId="77777777" w:rsidR="001C08A5" w:rsidRDefault="00000000">
            <w:pPr>
              <w:jc w:val="center"/>
              <w:rPr>
                <w:b/>
                <w:i/>
                <w:sz w:val="22"/>
                <w:szCs w:val="22"/>
              </w:rPr>
            </w:pPr>
            <w:r>
              <w:rPr>
                <w:b/>
                <w:bCs/>
                <w:i/>
                <w:sz w:val="22"/>
                <w:szCs w:val="22"/>
              </w:rPr>
              <w:t>Nu se admit</w:t>
            </w:r>
          </w:p>
        </w:tc>
        <w:tc>
          <w:tcPr>
            <w:tcW w:w="1689" w:type="dxa"/>
          </w:tcPr>
          <w:p w14:paraId="797EF214" w14:textId="77777777" w:rsidR="001C08A5" w:rsidRDefault="00000000">
            <w:pPr>
              <w:jc w:val="center"/>
              <w:rPr>
                <w:i/>
                <w:sz w:val="22"/>
                <w:szCs w:val="22"/>
              </w:rPr>
            </w:pPr>
            <w:r>
              <w:rPr>
                <w:b/>
                <w:bCs/>
                <w:i/>
                <w:sz w:val="22"/>
                <w:szCs w:val="22"/>
              </w:rPr>
              <w:t>Nu se admit</w:t>
            </w:r>
          </w:p>
        </w:tc>
        <w:tc>
          <w:tcPr>
            <w:tcW w:w="1707" w:type="dxa"/>
          </w:tcPr>
          <w:p w14:paraId="1619E0EE" w14:textId="77777777" w:rsidR="001C08A5" w:rsidRDefault="00000000">
            <w:pPr>
              <w:jc w:val="center"/>
              <w:rPr>
                <w:i/>
                <w:strike/>
                <w:sz w:val="22"/>
                <w:szCs w:val="22"/>
              </w:rPr>
            </w:pPr>
            <w:r>
              <w:rPr>
                <w:b/>
                <w:bCs/>
                <w:i/>
                <w:sz w:val="22"/>
                <w:szCs w:val="22"/>
              </w:rPr>
              <w:t>Nu se admit</w:t>
            </w:r>
          </w:p>
        </w:tc>
      </w:tr>
    </w:tbl>
    <w:p w14:paraId="3EBA2C6E" w14:textId="77777777" w:rsidR="001C08A5" w:rsidRDefault="00000000">
      <w:pPr>
        <w:autoSpaceDE w:val="0"/>
        <w:rPr>
          <w:sz w:val="24"/>
          <w:szCs w:val="24"/>
        </w:rPr>
      </w:pPr>
      <w:r>
        <w:rPr>
          <w:sz w:val="24"/>
          <w:szCs w:val="24"/>
        </w:rPr>
        <w:t>Note:</w:t>
      </w:r>
    </w:p>
    <w:p w14:paraId="07473DB9" w14:textId="77777777" w:rsidR="001C08A5" w:rsidRDefault="00000000">
      <w:pPr>
        <w:jc w:val="both"/>
        <w:rPr>
          <w:rFonts w:eastAsia="Times New Roman"/>
          <w:i/>
          <w:sz w:val="22"/>
          <w:szCs w:val="22"/>
        </w:rPr>
      </w:pPr>
      <w:r>
        <w:rPr>
          <w:i/>
          <w:sz w:val="22"/>
          <w:szCs w:val="22"/>
        </w:rPr>
        <w:lastRenderedPageBreak/>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531799CE" w14:textId="77777777" w:rsidR="001C08A5" w:rsidRDefault="00000000">
      <w:pPr>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4B744522" w14:textId="77777777" w:rsidR="001C08A5" w:rsidRDefault="001C08A5">
      <w:pPr>
        <w:rPr>
          <w:bCs/>
          <w:i/>
          <w:sz w:val="22"/>
          <w:szCs w:val="22"/>
        </w:rPr>
      </w:pPr>
    </w:p>
    <w:p w14:paraId="468D0643" w14:textId="77777777" w:rsidR="001C08A5" w:rsidRDefault="00000000">
      <w:pPr>
        <w:ind w:firstLine="567"/>
        <w:jc w:val="both"/>
        <w:rPr>
          <w:strike/>
          <w:sz w:val="24"/>
          <w:szCs w:val="24"/>
        </w:rPr>
      </w:pPr>
      <w:r>
        <w:rPr>
          <w:b/>
          <w:sz w:val="24"/>
          <w:szCs w:val="24"/>
        </w:rPr>
        <w:t xml:space="preserve">Art. </w:t>
      </w:r>
      <w:r>
        <w:rPr>
          <w:b/>
          <w:bCs/>
          <w:sz w:val="24"/>
          <w:szCs w:val="24"/>
        </w:rPr>
        <w:t>3.2.4.</w:t>
      </w:r>
      <w:r>
        <w:rPr>
          <w:b/>
          <w:sz w:val="24"/>
          <w:szCs w:val="24"/>
        </w:rPr>
        <w:t xml:space="preserve">6. </w:t>
      </w:r>
      <w:r>
        <w:rPr>
          <w:sz w:val="24"/>
          <w:szCs w:val="24"/>
        </w:rPr>
        <w:t xml:space="preserve">Comportarea la foc a pereţilor, uşilor și planşeelor de separare a căilor de evacuare orizontale (coridoare și holuri) din clădirile pentru sănătate supraterane cu înălţimi obişnuite, trebuie să corespundă prevederilor din </w:t>
      </w:r>
      <w:r>
        <w:rPr>
          <w:rFonts w:cs="Mangal"/>
          <w:b/>
          <w:i/>
          <w:iCs/>
          <w:sz w:val="24"/>
          <w:szCs w:val="24"/>
        </w:rPr>
        <w:fldChar w:fldCharType="begin"/>
      </w:r>
      <w:r>
        <w:rPr>
          <w:rFonts w:cs="Mangal"/>
          <w:b/>
          <w:i/>
          <w:iCs/>
          <w:sz w:val="24"/>
          <w:szCs w:val="24"/>
        </w:rPr>
        <w:instrText xml:space="preserve"> REF _Ref14093 \h </w:instrText>
      </w:r>
      <w:r>
        <w:rPr>
          <w:rFonts w:cs="Mangal"/>
          <w:b/>
          <w:i/>
          <w:iCs/>
          <w:sz w:val="24"/>
          <w:szCs w:val="24"/>
        </w:rPr>
      </w:r>
      <w:r>
        <w:rPr>
          <w:rFonts w:cs="Mangal"/>
          <w:b/>
          <w:i/>
          <w:iCs/>
          <w:sz w:val="24"/>
          <w:szCs w:val="24"/>
        </w:rPr>
        <w:fldChar w:fldCharType="separate"/>
      </w:r>
      <w:r>
        <w:t>Tabelul 66</w:t>
      </w:r>
      <w:r>
        <w:rPr>
          <w:rFonts w:cs="Mangal"/>
          <w:b/>
          <w:i/>
          <w:iCs/>
          <w:sz w:val="24"/>
          <w:szCs w:val="24"/>
        </w:rPr>
        <w:fldChar w:fldCharType="end"/>
      </w:r>
      <w:r>
        <w:rPr>
          <w:sz w:val="24"/>
          <w:szCs w:val="24"/>
        </w:rPr>
        <w:t>.</w:t>
      </w:r>
    </w:p>
    <w:p w14:paraId="2B361B2C" w14:textId="77777777" w:rsidR="001C08A5" w:rsidRDefault="001C08A5">
      <w:pPr>
        <w:jc w:val="both"/>
        <w:rPr>
          <w:sz w:val="24"/>
          <w:szCs w:val="24"/>
        </w:rPr>
      </w:pPr>
    </w:p>
    <w:p w14:paraId="55BD30DD" w14:textId="77777777" w:rsidR="001C08A5" w:rsidRDefault="00000000">
      <w:pPr>
        <w:pStyle w:val="Captiontabel"/>
      </w:pPr>
      <w:bookmarkStart w:id="3522" w:name="_Ref14093"/>
      <w:bookmarkStart w:id="3523" w:name="_Toc162360116"/>
      <w:r>
        <w:t xml:space="preserve">Tabelul </w:t>
      </w:r>
      <w:r>
        <w:fldChar w:fldCharType="begin"/>
      </w:r>
      <w:r>
        <w:instrText xml:space="preserve"> SEQ Tabelul \* ARABIC </w:instrText>
      </w:r>
      <w:r>
        <w:fldChar w:fldCharType="separate"/>
      </w:r>
      <w:r>
        <w:t>66</w:t>
      </w:r>
      <w:r>
        <w:fldChar w:fldCharType="end"/>
      </w:r>
      <w:bookmarkStart w:id="3524" w:name="_Toc8447"/>
      <w:bookmarkStart w:id="3525" w:name="_Toc9903"/>
      <w:bookmarkStart w:id="3526" w:name="_Toc27621"/>
      <w:bookmarkStart w:id="3527" w:name="_Toc10517"/>
      <w:bookmarkStart w:id="3528" w:name="_Toc17532"/>
      <w:bookmarkStart w:id="3529" w:name="_Toc31449"/>
      <w:bookmarkStart w:id="3530" w:name="_Toc13898"/>
      <w:bookmarkStart w:id="3531" w:name="_Toc19286"/>
      <w:bookmarkStart w:id="3532" w:name="_Toc3344"/>
      <w:bookmarkStart w:id="3533" w:name="_Toc20636"/>
      <w:bookmarkStart w:id="3534" w:name="_Toc2977"/>
      <w:bookmarkStart w:id="3535" w:name="_Toc23263"/>
      <w:bookmarkStart w:id="3536" w:name="_Toc23236"/>
      <w:bookmarkStart w:id="3537" w:name="_Toc7277"/>
      <w:bookmarkStart w:id="3538" w:name="_Toc31385"/>
      <w:bookmarkStart w:id="3539" w:name="_Toc25486"/>
      <w:bookmarkStart w:id="3540" w:name="_Toc6769"/>
      <w:bookmarkStart w:id="3541" w:name="_Toc21660"/>
      <w:bookmarkStart w:id="3542" w:name="_Toc24185"/>
      <w:bookmarkEnd w:id="3522"/>
      <w:r>
        <w:t>: Comportare la foc a pereţilor, uşilor și planşeelor de separare a căilor de evacuare orizontale (coridoare şi holuri) din clădirile pentru sănătate supraterane cu înălţimi obişnuite</w:t>
      </w:r>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p>
    <w:p w14:paraId="56086BDF" w14:textId="77777777" w:rsidR="001C08A5" w:rsidRDefault="001C08A5">
      <w:pPr>
        <w:jc w:val="both"/>
        <w:rPr>
          <w:b/>
          <w:strike/>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369"/>
        <w:gridCol w:w="1762"/>
        <w:gridCol w:w="1862"/>
        <w:gridCol w:w="1704"/>
        <w:gridCol w:w="1539"/>
      </w:tblGrid>
      <w:tr w:rsidR="001C08A5" w14:paraId="395AABB2" w14:textId="77777777">
        <w:trPr>
          <w:tblHeader/>
        </w:trPr>
        <w:tc>
          <w:tcPr>
            <w:tcW w:w="1262" w:type="dxa"/>
            <w:vMerge w:val="restart"/>
            <w:shd w:val="clear" w:color="auto" w:fill="BFBFBF"/>
          </w:tcPr>
          <w:p w14:paraId="1C1F1ED5" w14:textId="77777777" w:rsidR="001C08A5" w:rsidRDefault="001C08A5">
            <w:pPr>
              <w:pStyle w:val="BodyText"/>
              <w:jc w:val="center"/>
              <w:rPr>
                <w:bCs w:val="0"/>
                <w:sz w:val="22"/>
                <w:szCs w:val="22"/>
              </w:rPr>
            </w:pPr>
          </w:p>
          <w:p w14:paraId="70EE9C88" w14:textId="77777777" w:rsidR="001C08A5" w:rsidRDefault="00000000">
            <w:pPr>
              <w:pStyle w:val="BodyText"/>
              <w:jc w:val="center"/>
              <w:rPr>
                <w:bCs w:val="0"/>
                <w:sz w:val="22"/>
                <w:szCs w:val="22"/>
              </w:rPr>
            </w:pPr>
            <w:r>
              <w:rPr>
                <w:bCs w:val="0"/>
                <w:sz w:val="22"/>
                <w:szCs w:val="22"/>
              </w:rPr>
              <w:t>Nivel de stabilitate</w:t>
            </w:r>
          </w:p>
          <w:p w14:paraId="0CF7EE5E"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1E80416D" w14:textId="77777777" w:rsidR="001C08A5" w:rsidRDefault="00000000">
            <w:pPr>
              <w:jc w:val="center"/>
              <w:rPr>
                <w:b/>
                <w:bCs/>
                <w:i/>
                <w:sz w:val="22"/>
                <w:szCs w:val="22"/>
              </w:rPr>
            </w:pPr>
            <w:r>
              <w:rPr>
                <w:b/>
                <w:bCs/>
                <w:i/>
                <w:sz w:val="22"/>
                <w:szCs w:val="22"/>
              </w:rPr>
              <w:t xml:space="preserve">Niveluri de comportare la foc admise la coridoare și holuri </w:t>
            </w:r>
          </w:p>
        </w:tc>
      </w:tr>
      <w:tr w:rsidR="001C08A5" w14:paraId="19BA3325" w14:textId="77777777">
        <w:trPr>
          <w:tblHeader/>
        </w:trPr>
        <w:tc>
          <w:tcPr>
            <w:tcW w:w="1262" w:type="dxa"/>
            <w:vMerge/>
            <w:shd w:val="clear" w:color="auto" w:fill="BFBFBF"/>
          </w:tcPr>
          <w:p w14:paraId="66798EDF" w14:textId="77777777" w:rsidR="001C08A5" w:rsidRDefault="001C08A5">
            <w:pPr>
              <w:jc w:val="center"/>
              <w:rPr>
                <w:i/>
                <w:sz w:val="22"/>
                <w:szCs w:val="22"/>
              </w:rPr>
            </w:pPr>
          </w:p>
        </w:tc>
        <w:tc>
          <w:tcPr>
            <w:tcW w:w="3131" w:type="dxa"/>
            <w:gridSpan w:val="2"/>
            <w:shd w:val="clear" w:color="auto" w:fill="BFBFBF"/>
          </w:tcPr>
          <w:p w14:paraId="606AFE97" w14:textId="77777777" w:rsidR="001C08A5" w:rsidRDefault="001C08A5">
            <w:pPr>
              <w:jc w:val="center"/>
              <w:rPr>
                <w:b/>
                <w:bCs/>
                <w:i/>
                <w:sz w:val="22"/>
                <w:szCs w:val="22"/>
              </w:rPr>
            </w:pPr>
          </w:p>
          <w:p w14:paraId="03B5D12F" w14:textId="77777777" w:rsidR="001C08A5" w:rsidRDefault="00000000">
            <w:pPr>
              <w:jc w:val="center"/>
              <w:rPr>
                <w:i/>
                <w:sz w:val="22"/>
                <w:szCs w:val="22"/>
              </w:rPr>
            </w:pPr>
            <w:r>
              <w:rPr>
                <w:b/>
                <w:bCs/>
                <w:i/>
                <w:sz w:val="22"/>
                <w:szCs w:val="22"/>
              </w:rPr>
              <w:t>Pereţi</w:t>
            </w:r>
          </w:p>
        </w:tc>
        <w:tc>
          <w:tcPr>
            <w:tcW w:w="3566" w:type="dxa"/>
            <w:gridSpan w:val="2"/>
            <w:shd w:val="clear" w:color="auto" w:fill="BFBFBF"/>
          </w:tcPr>
          <w:p w14:paraId="7126A1E2"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721D4293" w14:textId="77777777" w:rsidR="001C08A5" w:rsidRDefault="00000000">
            <w:pPr>
              <w:jc w:val="center"/>
              <w:rPr>
                <w:b/>
                <w:bCs/>
                <w:i/>
                <w:sz w:val="22"/>
                <w:szCs w:val="22"/>
              </w:rPr>
            </w:pPr>
            <w:r>
              <w:rPr>
                <w:b/>
                <w:bCs/>
                <w:i/>
                <w:sz w:val="22"/>
                <w:szCs w:val="22"/>
              </w:rPr>
              <w:t>Uşi</w:t>
            </w:r>
          </w:p>
          <w:p w14:paraId="678FFBC2" w14:textId="77777777" w:rsidR="001C08A5" w:rsidRDefault="001C08A5">
            <w:pPr>
              <w:jc w:val="center"/>
              <w:rPr>
                <w:i/>
                <w:sz w:val="22"/>
                <w:szCs w:val="22"/>
              </w:rPr>
            </w:pPr>
          </w:p>
        </w:tc>
      </w:tr>
      <w:tr w:rsidR="001C08A5" w14:paraId="66134237" w14:textId="77777777">
        <w:tc>
          <w:tcPr>
            <w:tcW w:w="1262" w:type="dxa"/>
          </w:tcPr>
          <w:p w14:paraId="1748DAFA" w14:textId="77777777" w:rsidR="001C08A5" w:rsidRDefault="00000000">
            <w:pPr>
              <w:pStyle w:val="BodyText"/>
              <w:jc w:val="center"/>
              <w:rPr>
                <w:bCs w:val="0"/>
                <w:sz w:val="22"/>
                <w:szCs w:val="22"/>
              </w:rPr>
            </w:pPr>
            <w:r>
              <w:rPr>
                <w:bCs w:val="0"/>
                <w:sz w:val="22"/>
                <w:szCs w:val="22"/>
              </w:rPr>
              <w:t>I</w:t>
            </w:r>
          </w:p>
          <w:p w14:paraId="610555B3" w14:textId="77777777" w:rsidR="001C08A5" w:rsidRDefault="00000000">
            <w:pPr>
              <w:pStyle w:val="BodyText"/>
              <w:jc w:val="center"/>
              <w:rPr>
                <w:bCs w:val="0"/>
                <w:sz w:val="22"/>
                <w:szCs w:val="22"/>
              </w:rPr>
            </w:pPr>
            <w:r>
              <w:rPr>
                <w:sz w:val="22"/>
                <w:szCs w:val="22"/>
              </w:rPr>
              <w:t>h&lt;28m</w:t>
            </w:r>
          </w:p>
        </w:tc>
        <w:tc>
          <w:tcPr>
            <w:tcW w:w="1369" w:type="dxa"/>
          </w:tcPr>
          <w:p w14:paraId="24B5ACAA" w14:textId="77777777" w:rsidR="001C08A5" w:rsidRDefault="00000000">
            <w:pPr>
              <w:jc w:val="center"/>
              <w:rPr>
                <w:b/>
                <w:i/>
                <w:sz w:val="22"/>
                <w:szCs w:val="22"/>
              </w:rPr>
            </w:pPr>
            <w:r>
              <w:rPr>
                <w:b/>
                <w:i/>
                <w:sz w:val="22"/>
                <w:szCs w:val="22"/>
              </w:rPr>
              <w:t xml:space="preserve">EI/REI 90 </w:t>
            </w:r>
          </w:p>
          <w:p w14:paraId="68ADBA2A" w14:textId="77777777" w:rsidR="001C08A5" w:rsidRDefault="001C08A5">
            <w:pPr>
              <w:jc w:val="center"/>
              <w:rPr>
                <w:b/>
                <w:i/>
                <w:sz w:val="22"/>
                <w:szCs w:val="22"/>
              </w:rPr>
            </w:pPr>
          </w:p>
        </w:tc>
        <w:tc>
          <w:tcPr>
            <w:tcW w:w="1762" w:type="dxa"/>
          </w:tcPr>
          <w:p w14:paraId="6BCBD73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62" w:type="dxa"/>
            <w:vMerge w:val="restart"/>
            <w:textDirection w:val="lrTbV"/>
          </w:tcPr>
          <w:p w14:paraId="060D3447" w14:textId="77777777" w:rsidR="001C08A5" w:rsidRDefault="00000000">
            <w:pPr>
              <w:jc w:val="center"/>
              <w:rPr>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439B37AC" w14:textId="77777777" w:rsidR="001C08A5" w:rsidRDefault="00000000">
            <w:pP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1704" w:type="dxa"/>
          </w:tcPr>
          <w:p w14:paraId="34B39DF2"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69BF2C4C" w14:textId="77777777" w:rsidR="001C08A5" w:rsidRDefault="00000000">
            <w:pPr>
              <w:jc w:val="center"/>
              <w:rPr>
                <w:i/>
                <w:sz w:val="22"/>
                <w:szCs w:val="22"/>
              </w:rPr>
            </w:pPr>
            <w:r>
              <w:rPr>
                <w:b/>
                <w:bCs/>
                <w:i/>
                <w:sz w:val="22"/>
                <w:szCs w:val="22"/>
              </w:rPr>
              <w:t>C5 Sa</w:t>
            </w:r>
          </w:p>
        </w:tc>
      </w:tr>
      <w:tr w:rsidR="001C08A5" w14:paraId="610AF42B" w14:textId="77777777">
        <w:tc>
          <w:tcPr>
            <w:tcW w:w="1262" w:type="dxa"/>
          </w:tcPr>
          <w:p w14:paraId="0BE01352" w14:textId="77777777" w:rsidR="001C08A5" w:rsidRDefault="00000000">
            <w:pPr>
              <w:pStyle w:val="BodyText"/>
              <w:jc w:val="center"/>
              <w:rPr>
                <w:bCs w:val="0"/>
                <w:sz w:val="22"/>
                <w:szCs w:val="22"/>
              </w:rPr>
            </w:pPr>
            <w:r>
              <w:rPr>
                <w:bCs w:val="0"/>
                <w:sz w:val="22"/>
                <w:szCs w:val="22"/>
              </w:rPr>
              <w:t>II</w:t>
            </w:r>
          </w:p>
        </w:tc>
        <w:tc>
          <w:tcPr>
            <w:tcW w:w="1369" w:type="dxa"/>
          </w:tcPr>
          <w:p w14:paraId="2E51F460" w14:textId="77777777" w:rsidR="001C08A5" w:rsidRDefault="00000000">
            <w:pPr>
              <w:jc w:val="center"/>
              <w:rPr>
                <w:b/>
                <w:i/>
                <w:sz w:val="22"/>
                <w:szCs w:val="22"/>
              </w:rPr>
            </w:pPr>
            <w:r>
              <w:rPr>
                <w:b/>
                <w:i/>
                <w:sz w:val="22"/>
                <w:szCs w:val="22"/>
              </w:rPr>
              <w:t xml:space="preserve">EI/REI 90 </w:t>
            </w:r>
          </w:p>
          <w:p w14:paraId="1918DA93" w14:textId="77777777" w:rsidR="001C08A5" w:rsidRDefault="001C08A5">
            <w:pPr>
              <w:jc w:val="center"/>
              <w:rPr>
                <w:b/>
                <w:i/>
                <w:sz w:val="22"/>
                <w:szCs w:val="22"/>
              </w:rPr>
            </w:pPr>
          </w:p>
        </w:tc>
        <w:tc>
          <w:tcPr>
            <w:tcW w:w="1762" w:type="dxa"/>
          </w:tcPr>
          <w:p w14:paraId="6985E8C1"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62" w:type="dxa"/>
            <w:vMerge/>
          </w:tcPr>
          <w:p w14:paraId="513F2C86" w14:textId="77777777" w:rsidR="001C08A5" w:rsidRDefault="001C08A5">
            <w:pPr>
              <w:jc w:val="center"/>
              <w:rPr>
                <w:b/>
                <w:i/>
                <w:sz w:val="22"/>
                <w:szCs w:val="22"/>
              </w:rPr>
            </w:pPr>
          </w:p>
        </w:tc>
        <w:tc>
          <w:tcPr>
            <w:tcW w:w="1704" w:type="dxa"/>
          </w:tcPr>
          <w:p w14:paraId="7F9BE68B"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1AE868D8" w14:textId="77777777" w:rsidR="001C08A5" w:rsidRDefault="00000000">
            <w:pPr>
              <w:jc w:val="center"/>
              <w:rPr>
                <w:i/>
                <w:sz w:val="22"/>
                <w:szCs w:val="22"/>
              </w:rPr>
            </w:pPr>
            <w:r>
              <w:rPr>
                <w:b/>
                <w:bCs/>
                <w:i/>
                <w:sz w:val="22"/>
                <w:szCs w:val="22"/>
              </w:rPr>
              <w:t>C5 Sa</w:t>
            </w:r>
          </w:p>
        </w:tc>
      </w:tr>
      <w:tr w:rsidR="001C08A5" w14:paraId="484C75C4" w14:textId="77777777">
        <w:tc>
          <w:tcPr>
            <w:tcW w:w="1262" w:type="dxa"/>
          </w:tcPr>
          <w:p w14:paraId="7C45FD52" w14:textId="77777777" w:rsidR="001C08A5" w:rsidRDefault="00000000">
            <w:pPr>
              <w:pStyle w:val="BodyText"/>
              <w:jc w:val="center"/>
              <w:rPr>
                <w:bCs w:val="0"/>
                <w:sz w:val="22"/>
                <w:szCs w:val="22"/>
              </w:rPr>
            </w:pPr>
            <w:r>
              <w:rPr>
                <w:bCs w:val="0"/>
                <w:sz w:val="22"/>
                <w:szCs w:val="22"/>
              </w:rPr>
              <w:t>II (+)</w:t>
            </w:r>
          </w:p>
        </w:tc>
        <w:tc>
          <w:tcPr>
            <w:tcW w:w="1369" w:type="dxa"/>
          </w:tcPr>
          <w:p w14:paraId="24141B9E" w14:textId="77777777" w:rsidR="001C08A5" w:rsidRDefault="00000000">
            <w:pPr>
              <w:jc w:val="center"/>
              <w:rPr>
                <w:b/>
                <w:i/>
                <w:sz w:val="22"/>
                <w:szCs w:val="22"/>
              </w:rPr>
            </w:pPr>
            <w:r>
              <w:rPr>
                <w:b/>
                <w:i/>
                <w:sz w:val="22"/>
                <w:szCs w:val="22"/>
              </w:rPr>
              <w:t>EI/REI 90</w:t>
            </w:r>
          </w:p>
          <w:p w14:paraId="3274345F" w14:textId="77777777" w:rsidR="001C08A5" w:rsidRDefault="001C08A5">
            <w:pPr>
              <w:jc w:val="center"/>
              <w:rPr>
                <w:b/>
                <w:i/>
                <w:sz w:val="22"/>
                <w:szCs w:val="22"/>
              </w:rPr>
            </w:pPr>
          </w:p>
        </w:tc>
        <w:tc>
          <w:tcPr>
            <w:tcW w:w="1762" w:type="dxa"/>
          </w:tcPr>
          <w:p w14:paraId="2F09EE4A"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862" w:type="dxa"/>
            <w:vMerge/>
          </w:tcPr>
          <w:p w14:paraId="2B075531" w14:textId="77777777" w:rsidR="001C08A5" w:rsidRDefault="001C08A5">
            <w:pPr>
              <w:jc w:val="center"/>
              <w:rPr>
                <w:b/>
                <w:i/>
                <w:sz w:val="22"/>
                <w:szCs w:val="22"/>
              </w:rPr>
            </w:pPr>
          </w:p>
        </w:tc>
        <w:tc>
          <w:tcPr>
            <w:tcW w:w="1704" w:type="dxa"/>
          </w:tcPr>
          <w:p w14:paraId="535BF724" w14:textId="77777777" w:rsidR="001C08A5" w:rsidRDefault="00000000">
            <w:pPr>
              <w:jc w:val="center"/>
              <w:rPr>
                <w:b/>
                <w:i/>
                <w:sz w:val="22"/>
                <w:szCs w:val="22"/>
              </w:rPr>
            </w:pPr>
            <w:r>
              <w:rPr>
                <w:b/>
                <w:i/>
                <w:sz w:val="22"/>
                <w:szCs w:val="22"/>
              </w:rPr>
              <w:t>A1 sau A2-s1d0</w:t>
            </w:r>
          </w:p>
        </w:tc>
        <w:tc>
          <w:tcPr>
            <w:tcW w:w="1539" w:type="dxa"/>
          </w:tcPr>
          <w:p w14:paraId="0A24FEB7" w14:textId="77777777" w:rsidR="001C08A5" w:rsidRDefault="00000000">
            <w:pPr>
              <w:jc w:val="center"/>
              <w:rPr>
                <w:b/>
                <w:bCs/>
                <w:i/>
                <w:sz w:val="22"/>
                <w:szCs w:val="22"/>
              </w:rPr>
            </w:pPr>
            <w:r>
              <w:rPr>
                <w:b/>
                <w:bCs/>
                <w:i/>
                <w:sz w:val="22"/>
                <w:szCs w:val="22"/>
              </w:rPr>
              <w:t>C5 Sa</w:t>
            </w:r>
          </w:p>
        </w:tc>
      </w:tr>
      <w:tr w:rsidR="001C08A5" w14:paraId="4C68FD90" w14:textId="77777777">
        <w:tc>
          <w:tcPr>
            <w:tcW w:w="1262" w:type="dxa"/>
          </w:tcPr>
          <w:p w14:paraId="384EBE64" w14:textId="77777777" w:rsidR="001C08A5" w:rsidRDefault="00000000">
            <w:pPr>
              <w:pStyle w:val="BodyText"/>
              <w:jc w:val="center"/>
              <w:rPr>
                <w:bCs w:val="0"/>
                <w:sz w:val="22"/>
                <w:szCs w:val="22"/>
              </w:rPr>
            </w:pPr>
            <w:r>
              <w:rPr>
                <w:bCs w:val="0"/>
                <w:sz w:val="22"/>
                <w:szCs w:val="22"/>
              </w:rPr>
              <w:t>III</w:t>
            </w:r>
          </w:p>
        </w:tc>
        <w:tc>
          <w:tcPr>
            <w:tcW w:w="1369" w:type="dxa"/>
          </w:tcPr>
          <w:p w14:paraId="3FEAC22B" w14:textId="77777777" w:rsidR="001C08A5" w:rsidRDefault="00000000">
            <w:pPr>
              <w:jc w:val="center"/>
              <w:rPr>
                <w:b/>
                <w:i/>
                <w:sz w:val="22"/>
                <w:szCs w:val="22"/>
              </w:rPr>
            </w:pPr>
            <w:r>
              <w:rPr>
                <w:b/>
                <w:i/>
                <w:sz w:val="22"/>
                <w:szCs w:val="22"/>
              </w:rPr>
              <w:t xml:space="preserve">EI/REI 60 </w:t>
            </w:r>
          </w:p>
          <w:p w14:paraId="2C27BC2C" w14:textId="77777777" w:rsidR="001C08A5" w:rsidRDefault="001C08A5">
            <w:pPr>
              <w:jc w:val="center"/>
              <w:rPr>
                <w:b/>
                <w:i/>
                <w:sz w:val="22"/>
                <w:szCs w:val="22"/>
              </w:rPr>
            </w:pPr>
          </w:p>
        </w:tc>
        <w:tc>
          <w:tcPr>
            <w:tcW w:w="1762" w:type="dxa"/>
          </w:tcPr>
          <w:p w14:paraId="0B6AA194"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862" w:type="dxa"/>
            <w:vMerge/>
          </w:tcPr>
          <w:p w14:paraId="14C56A15" w14:textId="77777777" w:rsidR="001C08A5" w:rsidRDefault="001C08A5">
            <w:pPr>
              <w:jc w:val="center"/>
              <w:rPr>
                <w:b/>
                <w:i/>
                <w:sz w:val="22"/>
                <w:szCs w:val="22"/>
              </w:rPr>
            </w:pPr>
          </w:p>
        </w:tc>
        <w:tc>
          <w:tcPr>
            <w:tcW w:w="1704" w:type="dxa"/>
          </w:tcPr>
          <w:p w14:paraId="74836DC2"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7116AC47" w14:textId="77777777" w:rsidR="001C08A5" w:rsidRDefault="001C08A5">
            <w:pPr>
              <w:rPr>
                <w:i/>
                <w:sz w:val="22"/>
                <w:szCs w:val="22"/>
              </w:rPr>
            </w:pPr>
          </w:p>
        </w:tc>
        <w:tc>
          <w:tcPr>
            <w:tcW w:w="1539" w:type="dxa"/>
          </w:tcPr>
          <w:p w14:paraId="0DDC02ED" w14:textId="77777777" w:rsidR="001C08A5" w:rsidRDefault="00000000">
            <w:pPr>
              <w:jc w:val="center"/>
              <w:rPr>
                <w:i/>
                <w:sz w:val="22"/>
                <w:szCs w:val="22"/>
              </w:rPr>
            </w:pPr>
            <w:r>
              <w:rPr>
                <w:b/>
                <w:bCs/>
                <w:i/>
                <w:sz w:val="22"/>
                <w:szCs w:val="22"/>
              </w:rPr>
              <w:t>C5 Sa</w:t>
            </w:r>
          </w:p>
        </w:tc>
      </w:tr>
      <w:tr w:rsidR="001C08A5" w14:paraId="536F9C82" w14:textId="77777777">
        <w:tc>
          <w:tcPr>
            <w:tcW w:w="1262" w:type="dxa"/>
          </w:tcPr>
          <w:p w14:paraId="72D45161" w14:textId="77777777" w:rsidR="001C08A5" w:rsidRDefault="00000000">
            <w:pPr>
              <w:pStyle w:val="BodyText"/>
              <w:jc w:val="center"/>
              <w:rPr>
                <w:bCs w:val="0"/>
                <w:sz w:val="22"/>
                <w:szCs w:val="22"/>
              </w:rPr>
            </w:pPr>
            <w:r>
              <w:rPr>
                <w:bCs w:val="0"/>
                <w:sz w:val="22"/>
                <w:szCs w:val="22"/>
              </w:rPr>
              <w:t>III (+)</w:t>
            </w:r>
          </w:p>
        </w:tc>
        <w:tc>
          <w:tcPr>
            <w:tcW w:w="1369" w:type="dxa"/>
          </w:tcPr>
          <w:p w14:paraId="5642EECC" w14:textId="77777777" w:rsidR="001C08A5" w:rsidRDefault="00000000">
            <w:pPr>
              <w:jc w:val="center"/>
              <w:rPr>
                <w:b/>
                <w:i/>
                <w:sz w:val="22"/>
                <w:szCs w:val="22"/>
              </w:rPr>
            </w:pPr>
            <w:r>
              <w:rPr>
                <w:b/>
                <w:i/>
                <w:sz w:val="22"/>
                <w:szCs w:val="22"/>
              </w:rPr>
              <w:t xml:space="preserve">EI/REI 45 </w:t>
            </w:r>
          </w:p>
          <w:p w14:paraId="60CFEBFD" w14:textId="77777777" w:rsidR="001C08A5" w:rsidRDefault="001C08A5">
            <w:pPr>
              <w:jc w:val="center"/>
              <w:rPr>
                <w:b/>
                <w:i/>
                <w:sz w:val="22"/>
                <w:szCs w:val="22"/>
              </w:rPr>
            </w:pPr>
          </w:p>
        </w:tc>
        <w:tc>
          <w:tcPr>
            <w:tcW w:w="1762" w:type="dxa"/>
          </w:tcPr>
          <w:p w14:paraId="239D279F"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862" w:type="dxa"/>
            <w:vMerge/>
          </w:tcPr>
          <w:p w14:paraId="5F05C904" w14:textId="77777777" w:rsidR="001C08A5" w:rsidRDefault="001C08A5">
            <w:pPr>
              <w:jc w:val="center"/>
              <w:rPr>
                <w:b/>
                <w:i/>
                <w:sz w:val="22"/>
                <w:szCs w:val="22"/>
              </w:rPr>
            </w:pPr>
          </w:p>
        </w:tc>
        <w:tc>
          <w:tcPr>
            <w:tcW w:w="1704" w:type="dxa"/>
          </w:tcPr>
          <w:p w14:paraId="7BFD7883" w14:textId="77777777" w:rsidR="001C08A5" w:rsidRDefault="00000000">
            <w:pPr>
              <w:jc w:val="center"/>
              <w:rPr>
                <w:i/>
                <w:sz w:val="22"/>
                <w:szCs w:val="22"/>
              </w:rPr>
            </w:pPr>
            <w:r>
              <w:rPr>
                <w:b/>
                <w:i/>
                <w:sz w:val="22"/>
                <w:szCs w:val="22"/>
              </w:rPr>
              <w:t xml:space="preserve"> A1 sau A2-s1d0 </w:t>
            </w:r>
          </w:p>
        </w:tc>
        <w:tc>
          <w:tcPr>
            <w:tcW w:w="1539" w:type="dxa"/>
          </w:tcPr>
          <w:p w14:paraId="46054688" w14:textId="77777777" w:rsidR="001C08A5" w:rsidRDefault="00000000">
            <w:pPr>
              <w:jc w:val="center"/>
              <w:rPr>
                <w:b/>
                <w:bCs/>
                <w:i/>
                <w:sz w:val="22"/>
                <w:szCs w:val="22"/>
              </w:rPr>
            </w:pPr>
            <w:r>
              <w:rPr>
                <w:b/>
                <w:bCs/>
                <w:i/>
                <w:sz w:val="22"/>
                <w:szCs w:val="22"/>
              </w:rPr>
              <w:t>C5 Sa</w:t>
            </w:r>
          </w:p>
        </w:tc>
      </w:tr>
      <w:tr w:rsidR="001C08A5" w14:paraId="258FF091" w14:textId="77777777">
        <w:tc>
          <w:tcPr>
            <w:tcW w:w="1262" w:type="dxa"/>
          </w:tcPr>
          <w:p w14:paraId="7BD3FD8A" w14:textId="77777777" w:rsidR="001C08A5" w:rsidRDefault="00000000">
            <w:pPr>
              <w:pStyle w:val="BodyText"/>
              <w:jc w:val="center"/>
              <w:rPr>
                <w:bCs w:val="0"/>
                <w:sz w:val="22"/>
                <w:szCs w:val="22"/>
              </w:rPr>
            </w:pPr>
            <w:r>
              <w:rPr>
                <w:bCs w:val="0"/>
                <w:sz w:val="22"/>
                <w:szCs w:val="22"/>
              </w:rPr>
              <w:t>IV</w:t>
            </w:r>
          </w:p>
        </w:tc>
        <w:tc>
          <w:tcPr>
            <w:tcW w:w="1369" w:type="dxa"/>
          </w:tcPr>
          <w:p w14:paraId="0EB2A0EE" w14:textId="77777777" w:rsidR="001C08A5" w:rsidRDefault="00000000">
            <w:pPr>
              <w:jc w:val="center"/>
              <w:rPr>
                <w:b/>
                <w:i/>
                <w:sz w:val="22"/>
                <w:szCs w:val="22"/>
              </w:rPr>
            </w:pPr>
            <w:r>
              <w:rPr>
                <w:b/>
                <w:i/>
                <w:sz w:val="22"/>
                <w:szCs w:val="22"/>
              </w:rPr>
              <w:t xml:space="preserve">EI/REI 30 </w:t>
            </w:r>
          </w:p>
          <w:p w14:paraId="75D47F6F" w14:textId="77777777" w:rsidR="001C08A5" w:rsidRDefault="001C08A5">
            <w:pPr>
              <w:jc w:val="center"/>
              <w:rPr>
                <w:b/>
                <w:i/>
                <w:sz w:val="22"/>
                <w:szCs w:val="22"/>
              </w:rPr>
            </w:pPr>
          </w:p>
        </w:tc>
        <w:tc>
          <w:tcPr>
            <w:tcW w:w="1762" w:type="dxa"/>
          </w:tcPr>
          <w:p w14:paraId="7429AF45"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862" w:type="dxa"/>
            <w:vMerge/>
          </w:tcPr>
          <w:p w14:paraId="7E35E445" w14:textId="77777777" w:rsidR="001C08A5" w:rsidRDefault="001C08A5">
            <w:pPr>
              <w:jc w:val="center"/>
              <w:rPr>
                <w:b/>
                <w:i/>
                <w:sz w:val="22"/>
                <w:szCs w:val="22"/>
              </w:rPr>
            </w:pPr>
          </w:p>
        </w:tc>
        <w:tc>
          <w:tcPr>
            <w:tcW w:w="1704" w:type="dxa"/>
          </w:tcPr>
          <w:p w14:paraId="74833528"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39" w:type="dxa"/>
          </w:tcPr>
          <w:p w14:paraId="689B36BD" w14:textId="77777777" w:rsidR="001C08A5" w:rsidRDefault="00000000">
            <w:pPr>
              <w:jc w:val="center"/>
              <w:rPr>
                <w:i/>
                <w:sz w:val="22"/>
                <w:szCs w:val="22"/>
              </w:rPr>
            </w:pPr>
            <w:r>
              <w:rPr>
                <w:b/>
                <w:bCs/>
                <w:i/>
                <w:sz w:val="22"/>
                <w:szCs w:val="22"/>
              </w:rPr>
              <w:t>C5 Sa</w:t>
            </w:r>
          </w:p>
        </w:tc>
      </w:tr>
      <w:tr w:rsidR="001C08A5" w14:paraId="1F2D2039" w14:textId="77777777">
        <w:tc>
          <w:tcPr>
            <w:tcW w:w="1262" w:type="dxa"/>
          </w:tcPr>
          <w:p w14:paraId="1E0CA07A" w14:textId="77777777" w:rsidR="001C08A5" w:rsidRDefault="00000000">
            <w:pPr>
              <w:pStyle w:val="BodyText"/>
              <w:jc w:val="center"/>
              <w:rPr>
                <w:bCs w:val="0"/>
                <w:sz w:val="22"/>
                <w:szCs w:val="22"/>
              </w:rPr>
            </w:pPr>
            <w:r>
              <w:rPr>
                <w:bCs w:val="0"/>
                <w:sz w:val="22"/>
                <w:szCs w:val="22"/>
              </w:rPr>
              <w:t>V</w:t>
            </w:r>
          </w:p>
        </w:tc>
        <w:tc>
          <w:tcPr>
            <w:tcW w:w="1369" w:type="dxa"/>
          </w:tcPr>
          <w:p w14:paraId="65752BD4" w14:textId="77777777" w:rsidR="001C08A5" w:rsidRDefault="00000000">
            <w:pPr>
              <w:jc w:val="center"/>
              <w:rPr>
                <w:b/>
                <w:i/>
                <w:sz w:val="22"/>
                <w:szCs w:val="22"/>
              </w:rPr>
            </w:pPr>
            <w:r>
              <w:rPr>
                <w:b/>
                <w:i/>
                <w:sz w:val="22"/>
                <w:szCs w:val="22"/>
              </w:rPr>
              <w:t xml:space="preserve">EI/REI 15 </w:t>
            </w:r>
          </w:p>
          <w:p w14:paraId="5B1F571B" w14:textId="77777777" w:rsidR="001C08A5" w:rsidRDefault="001C08A5">
            <w:pPr>
              <w:jc w:val="center"/>
              <w:rPr>
                <w:b/>
                <w:i/>
                <w:sz w:val="22"/>
                <w:szCs w:val="22"/>
              </w:rPr>
            </w:pPr>
          </w:p>
        </w:tc>
        <w:tc>
          <w:tcPr>
            <w:tcW w:w="1762" w:type="dxa"/>
          </w:tcPr>
          <w:p w14:paraId="5C5D80A5"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p>
        </w:tc>
        <w:tc>
          <w:tcPr>
            <w:tcW w:w="1862" w:type="dxa"/>
            <w:vMerge/>
          </w:tcPr>
          <w:p w14:paraId="0A1D31FB" w14:textId="77777777" w:rsidR="001C08A5" w:rsidRDefault="001C08A5">
            <w:pPr>
              <w:jc w:val="center"/>
              <w:rPr>
                <w:b/>
                <w:i/>
                <w:sz w:val="22"/>
                <w:szCs w:val="22"/>
              </w:rPr>
            </w:pPr>
          </w:p>
        </w:tc>
        <w:tc>
          <w:tcPr>
            <w:tcW w:w="1704" w:type="dxa"/>
          </w:tcPr>
          <w:p w14:paraId="1D131D36"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p>
        </w:tc>
        <w:tc>
          <w:tcPr>
            <w:tcW w:w="1539" w:type="dxa"/>
          </w:tcPr>
          <w:p w14:paraId="01546ED9" w14:textId="77777777" w:rsidR="001C08A5" w:rsidRDefault="00000000">
            <w:pPr>
              <w:jc w:val="center"/>
              <w:rPr>
                <w:b/>
                <w:bCs/>
                <w:i/>
                <w:sz w:val="22"/>
                <w:szCs w:val="22"/>
              </w:rPr>
            </w:pPr>
            <w:r>
              <w:rPr>
                <w:b/>
                <w:bCs/>
                <w:i/>
                <w:sz w:val="22"/>
                <w:szCs w:val="22"/>
              </w:rPr>
              <w:t>C5</w:t>
            </w:r>
          </w:p>
        </w:tc>
      </w:tr>
    </w:tbl>
    <w:p w14:paraId="2139F6B0" w14:textId="77777777" w:rsidR="001C08A5" w:rsidRDefault="00000000">
      <w:pPr>
        <w:autoSpaceDE w:val="0"/>
        <w:rPr>
          <w:i/>
          <w:sz w:val="22"/>
          <w:szCs w:val="22"/>
        </w:rPr>
      </w:pPr>
      <w:r>
        <w:rPr>
          <w:bCs/>
          <w:i/>
          <w:sz w:val="22"/>
          <w:szCs w:val="22"/>
          <w:u w:val="single"/>
        </w:rPr>
        <w:t>Note</w:t>
      </w:r>
      <w:r>
        <w:rPr>
          <w:i/>
          <w:sz w:val="22"/>
          <w:szCs w:val="22"/>
        </w:rPr>
        <w:t>:</w:t>
      </w:r>
    </w:p>
    <w:p w14:paraId="47B983F5" w14:textId="77777777" w:rsidR="001C08A5" w:rsidRDefault="00000000">
      <w:pPr>
        <w:ind w:left="720"/>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3308312C"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5C533B00"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000B5CED" w14:textId="77777777" w:rsidR="001C08A5" w:rsidRDefault="00000000">
      <w:pPr>
        <w:ind w:left="720"/>
        <w:jc w:val="both"/>
        <w:rPr>
          <w:i/>
          <w:sz w:val="22"/>
          <w:szCs w:val="22"/>
        </w:rPr>
      </w:pPr>
      <w:r>
        <w:rPr>
          <w:i/>
          <w:sz w:val="22"/>
          <w:szCs w:val="22"/>
        </w:rPr>
        <w:t>În cazul pereților vitrați cu profil metalic care separă coridoarele și holurile de încăperile adiacente nu se ia în considerare clasa de reacție la foc.</w:t>
      </w:r>
    </w:p>
    <w:p w14:paraId="4EF88F1E" w14:textId="77777777" w:rsidR="001C08A5" w:rsidRDefault="001C08A5">
      <w:pPr>
        <w:jc w:val="both"/>
        <w:rPr>
          <w:sz w:val="24"/>
          <w:szCs w:val="24"/>
        </w:rPr>
      </w:pPr>
    </w:p>
    <w:p w14:paraId="30975362" w14:textId="77777777" w:rsidR="001C08A5" w:rsidRDefault="00000000">
      <w:pPr>
        <w:pStyle w:val="BodyText"/>
        <w:ind w:firstLine="720"/>
        <w:rPr>
          <w:b w:val="0"/>
          <w:i w:val="0"/>
          <w:iCs/>
        </w:rPr>
      </w:pPr>
      <w:r>
        <w:rPr>
          <w:i w:val="0"/>
          <w:iCs/>
        </w:rPr>
        <w:t xml:space="preserve">Art. 3.2.4.7. (1) </w:t>
      </w:r>
      <w:r>
        <w:rPr>
          <w:b w:val="0"/>
          <w:i w:val="0"/>
          <w:iCs/>
        </w:rPr>
        <w:t>Finisajele, tratamentele și izolaţiile termice și fonice din încăperile clădirilor de sănătate trebuie să fie preponderent</w:t>
      </w:r>
      <w:r>
        <w:rPr>
          <w:i w:val="0"/>
          <w:iCs/>
        </w:rPr>
        <w:t xml:space="preserve"> A1, A2-s1,d0 </w:t>
      </w:r>
      <w:r>
        <w:rPr>
          <w:b w:val="0"/>
          <w:i w:val="0"/>
          <w:iCs/>
        </w:rPr>
        <w:t xml:space="preserve">pentru nivelul </w:t>
      </w:r>
      <w:r>
        <w:rPr>
          <w:bCs w:val="0"/>
          <w:i w:val="0"/>
          <w:iCs/>
        </w:rPr>
        <w:t>I, II</w:t>
      </w:r>
      <w:r>
        <w:rPr>
          <w:b w:val="0"/>
          <w:i w:val="0"/>
          <w:iCs/>
        </w:rPr>
        <w:t xml:space="preserve"> şi</w:t>
      </w:r>
      <w:r>
        <w:rPr>
          <w:bCs w:val="0"/>
          <w:i w:val="0"/>
          <w:iCs/>
        </w:rPr>
        <w:t xml:space="preserve"> III</w:t>
      </w:r>
      <w:r>
        <w:rPr>
          <w:b w:val="0"/>
          <w:i w:val="0"/>
          <w:iCs/>
        </w:rPr>
        <w:t xml:space="preserve"> de stabilitate la incendiu, respectivpreponderent </w:t>
      </w:r>
      <w:r>
        <w:rPr>
          <w:i w:val="0"/>
          <w:iCs/>
        </w:rPr>
        <w:t xml:space="preserve">A1, A2-s1,d0 </w:t>
      </w:r>
      <w:r>
        <w:rPr>
          <w:b w:val="0"/>
          <w:i w:val="0"/>
          <w:iCs/>
        </w:rPr>
        <w:t xml:space="preserve">şi </w:t>
      </w:r>
      <w:r>
        <w:rPr>
          <w:i w:val="0"/>
          <w:iCs/>
        </w:rPr>
        <w:t xml:space="preserve">B-s1,d0 </w:t>
      </w:r>
      <w:r>
        <w:rPr>
          <w:b w:val="0"/>
          <w:i w:val="0"/>
          <w:iCs/>
        </w:rPr>
        <w:t xml:space="preserve">pentru nivelul </w:t>
      </w:r>
      <w:r>
        <w:rPr>
          <w:bCs w:val="0"/>
          <w:i w:val="0"/>
          <w:iCs/>
        </w:rPr>
        <w:t>IV</w:t>
      </w:r>
      <w:r>
        <w:rPr>
          <w:b w:val="0"/>
          <w:i w:val="0"/>
          <w:iCs/>
        </w:rPr>
        <w:t xml:space="preserve"> şi </w:t>
      </w:r>
      <w:r>
        <w:rPr>
          <w:bCs w:val="0"/>
          <w:i w:val="0"/>
          <w:iCs/>
        </w:rPr>
        <w:t>V</w:t>
      </w:r>
      <w:r>
        <w:rPr>
          <w:b w:val="0"/>
          <w:i w:val="0"/>
          <w:iCs/>
        </w:rPr>
        <w:t xml:space="preserve"> de stabilitate la incendiu.</w:t>
      </w:r>
    </w:p>
    <w:p w14:paraId="3866A3C7" w14:textId="77777777" w:rsidR="001C08A5" w:rsidRDefault="00000000">
      <w:pPr>
        <w:pStyle w:val="BodyText"/>
        <w:ind w:firstLine="720"/>
        <w:rPr>
          <w:b w:val="0"/>
          <w:i w:val="0"/>
          <w:iCs/>
          <w:strike/>
        </w:rPr>
      </w:pPr>
      <w:r>
        <w:rPr>
          <w:bCs w:val="0"/>
          <w:i w:val="0"/>
          <w:iCs/>
        </w:rPr>
        <w:t xml:space="preserve">(2) </w:t>
      </w:r>
      <w:r>
        <w:rPr>
          <w:b w:val="0"/>
          <w:i w:val="0"/>
          <w:iCs/>
        </w:rPr>
        <w:t xml:space="preserve">Prin excepție de la prevederile </w:t>
      </w:r>
      <w:r>
        <w:rPr>
          <w:bCs w:val="0"/>
          <w:i w:val="0"/>
          <w:iCs/>
        </w:rPr>
        <w:t>alin. (1)</w:t>
      </w:r>
      <w:r>
        <w:rPr>
          <w:b w:val="0"/>
          <w:i w:val="0"/>
          <w:iCs/>
        </w:rPr>
        <w:t xml:space="preserve">, în clădirile de sănătate se admite utilizarea finisajelor combustibile la pereți minim </w:t>
      </w:r>
      <w:r>
        <w:rPr>
          <w:bCs w:val="0"/>
          <w:i w:val="0"/>
          <w:iCs/>
        </w:rPr>
        <w:t>B-s2d0</w:t>
      </w:r>
      <w:r>
        <w:rPr>
          <w:b w:val="0"/>
          <w:i w:val="0"/>
          <w:iCs/>
        </w:rPr>
        <w:t xml:space="preserve">, lipit pe suprafață incombustibilă, respectiv la pardoseli minim </w:t>
      </w:r>
      <w:r>
        <w:rPr>
          <w:bCs w:val="0"/>
          <w:i w:val="0"/>
          <w:iCs/>
        </w:rPr>
        <w:t>B</w:t>
      </w:r>
      <w:r>
        <w:rPr>
          <w:bCs w:val="0"/>
          <w:i w:val="0"/>
          <w:iCs/>
          <w:vertAlign w:val="subscript"/>
        </w:rPr>
        <w:t>fl</w:t>
      </w:r>
      <w:r>
        <w:rPr>
          <w:bCs w:val="0"/>
          <w:i w:val="0"/>
          <w:iCs/>
        </w:rPr>
        <w:t xml:space="preserve"> -s1</w:t>
      </w:r>
      <w:r>
        <w:rPr>
          <w:b w:val="0"/>
          <w:i w:val="0"/>
          <w:iCs/>
        </w:rPr>
        <w:t>, lipită pe suprafață incombustibilă, inclusiv pe căile de evacuare.</w:t>
      </w:r>
    </w:p>
    <w:p w14:paraId="54A5E694" w14:textId="77777777" w:rsidR="001C08A5" w:rsidRDefault="001C08A5">
      <w:pPr>
        <w:pStyle w:val="BodyText"/>
        <w:ind w:firstLine="567"/>
        <w:rPr>
          <w:b w:val="0"/>
        </w:rPr>
      </w:pPr>
    </w:p>
    <w:p w14:paraId="7B8B9B12" w14:textId="77777777" w:rsidR="001C08A5" w:rsidRDefault="00000000">
      <w:pPr>
        <w:pStyle w:val="BodyText"/>
        <w:ind w:firstLine="567"/>
      </w:pPr>
      <w:r>
        <w:rPr>
          <w:i w:val="0"/>
          <w:iCs/>
        </w:rPr>
        <w:t xml:space="preserve">Art. </w:t>
      </w:r>
      <w:r>
        <w:rPr>
          <w:bCs w:val="0"/>
          <w:i w:val="0"/>
          <w:iCs/>
        </w:rPr>
        <w:t>3.2.4.</w:t>
      </w:r>
      <w:r>
        <w:rPr>
          <w:i w:val="0"/>
          <w:iCs/>
        </w:rPr>
        <w:t>8.</w:t>
      </w:r>
      <w:r>
        <w:rPr>
          <w:b w:val="0"/>
          <w:bCs w:val="0"/>
          <w:i w:val="0"/>
          <w:iCs/>
        </w:rPr>
        <w:t xml:space="preserve"> Lungimea maximă de evacuare admisă a traseului de parcurs pe căile de evacuare în clădirile pentru sănătate (cu excepţia sălilor aglomerate, a clădirilor înalte şi foarte înalte), se asigură ţinând seama şi de necesitatea transportării bolnavilor cu targa sau căruciorul conform prevederilor din</w:t>
      </w:r>
      <w:r>
        <w:rPr>
          <w:b w:val="0"/>
          <w:bCs w:val="0"/>
        </w:rPr>
        <w:t xml:space="preserve"> </w:t>
      </w:r>
      <w:r>
        <w:rPr>
          <w:b w:val="0"/>
          <w:bCs w:val="0"/>
        </w:rPr>
        <w:fldChar w:fldCharType="begin"/>
      </w:r>
      <w:r>
        <w:rPr>
          <w:b w:val="0"/>
          <w:bCs w:val="0"/>
        </w:rPr>
        <w:instrText xml:space="preserve"> REF _Ref14230 \h </w:instrText>
      </w:r>
      <w:r>
        <w:rPr>
          <w:b w:val="0"/>
          <w:bCs w:val="0"/>
        </w:rPr>
      </w:r>
      <w:r>
        <w:rPr>
          <w:b w:val="0"/>
          <w:bCs w:val="0"/>
        </w:rPr>
        <w:fldChar w:fldCharType="separate"/>
      </w:r>
      <w:r>
        <w:t>Tabelul 67</w:t>
      </w:r>
      <w:r>
        <w:rPr>
          <w:b w:val="0"/>
          <w:bCs w:val="0"/>
        </w:rPr>
        <w:fldChar w:fldCharType="end"/>
      </w:r>
      <w:r>
        <w:rPr>
          <w:b w:val="0"/>
          <w:bCs w:val="0"/>
        </w:rPr>
        <w:t xml:space="preserve"> și </w:t>
      </w:r>
      <w:r>
        <w:fldChar w:fldCharType="begin"/>
      </w:r>
      <w:r>
        <w:instrText xml:space="preserve"> REF _Ref14289 \h </w:instrText>
      </w:r>
      <w:r>
        <w:fldChar w:fldCharType="separate"/>
      </w:r>
      <w:r>
        <w:t>Tabelul 68</w:t>
      </w:r>
      <w:r>
        <w:fldChar w:fldCharType="end"/>
      </w:r>
      <w:r>
        <w:t>.</w:t>
      </w:r>
    </w:p>
    <w:p w14:paraId="35C9038A" w14:textId="77777777" w:rsidR="001C08A5" w:rsidRDefault="001C08A5">
      <w:pPr>
        <w:jc w:val="both"/>
        <w:rPr>
          <w:i/>
          <w:sz w:val="24"/>
          <w:szCs w:val="24"/>
        </w:rPr>
      </w:pPr>
    </w:p>
    <w:p w14:paraId="7B99A4AA" w14:textId="77777777" w:rsidR="001C08A5" w:rsidRDefault="00000000">
      <w:pPr>
        <w:pStyle w:val="Captiontabel"/>
      </w:pPr>
      <w:bookmarkStart w:id="3543" w:name="_Ref14230"/>
      <w:bookmarkStart w:id="3544" w:name="_Toc162360117"/>
      <w:bookmarkStart w:id="3545" w:name="_Ref11344"/>
      <w:r>
        <w:t xml:space="preserve">Tabelul </w:t>
      </w:r>
      <w:r>
        <w:fldChar w:fldCharType="begin"/>
      </w:r>
      <w:r>
        <w:instrText xml:space="preserve"> SEQ Tabelul \* ARABIC </w:instrText>
      </w:r>
      <w:r>
        <w:fldChar w:fldCharType="separate"/>
      </w:r>
      <w:r>
        <w:t>67</w:t>
      </w:r>
      <w:r>
        <w:fldChar w:fldCharType="end"/>
      </w:r>
      <w:bookmarkStart w:id="3546" w:name="_Toc18464"/>
      <w:bookmarkStart w:id="3547" w:name="_Toc31185"/>
      <w:bookmarkStart w:id="3548" w:name="_Toc23787"/>
      <w:bookmarkStart w:id="3549" w:name="_Toc11610"/>
      <w:bookmarkStart w:id="3550" w:name="_Toc4622"/>
      <w:bookmarkStart w:id="3551" w:name="_Toc12305"/>
      <w:bookmarkStart w:id="3552" w:name="_Toc14979"/>
      <w:bookmarkStart w:id="3553" w:name="_Toc2216"/>
      <w:bookmarkStart w:id="3554" w:name="_Toc28045"/>
      <w:bookmarkStart w:id="3555" w:name="_Toc607"/>
      <w:bookmarkStart w:id="3556" w:name="_Toc30597"/>
      <w:bookmarkStart w:id="3557" w:name="_Toc15739"/>
      <w:bookmarkStart w:id="3558" w:name="_Toc173"/>
      <w:bookmarkStart w:id="3559" w:name="_Toc964"/>
      <w:bookmarkStart w:id="3560" w:name="_Toc7689"/>
      <w:bookmarkStart w:id="3561" w:name="_Toc19771"/>
      <w:bookmarkStart w:id="3562" w:name="_Toc27760"/>
      <w:bookmarkStart w:id="3563" w:name="_Toc29675"/>
      <w:bookmarkStart w:id="3564" w:name="_Toc3711"/>
      <w:bookmarkEnd w:id="3543"/>
      <w:r>
        <w:t>: Lungimi de evacuare în clădiri pentru sănătate supraterane cu înălţimi obişnuite (la care este necesar transportul bolnavilor cu targa sau căruciorul)</w:t>
      </w:r>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p>
    <w:p w14:paraId="504EFE4D" w14:textId="77777777" w:rsidR="001C08A5" w:rsidRDefault="001C08A5">
      <w:pPr>
        <w:jc w:val="both"/>
        <w:rPr>
          <w:sz w:val="24"/>
          <w:szCs w:val="24"/>
        </w:rPr>
      </w:pPr>
    </w:p>
    <w:tbl>
      <w:tblPr>
        <w:tblW w:w="9585" w:type="dxa"/>
        <w:tblInd w:w="176" w:type="dxa"/>
        <w:tblLayout w:type="fixed"/>
        <w:tblLook w:val="04A0" w:firstRow="1" w:lastRow="0" w:firstColumn="1" w:lastColumn="0" w:noHBand="0" w:noVBand="1"/>
      </w:tblPr>
      <w:tblGrid>
        <w:gridCol w:w="630"/>
        <w:gridCol w:w="2658"/>
        <w:gridCol w:w="1237"/>
        <w:gridCol w:w="1125"/>
        <w:gridCol w:w="1650"/>
        <w:gridCol w:w="2285"/>
      </w:tblGrid>
      <w:tr w:rsidR="001C08A5" w14:paraId="198AD316" w14:textId="77777777">
        <w:tc>
          <w:tcPr>
            <w:tcW w:w="630" w:type="dxa"/>
            <w:vMerge w:val="restart"/>
            <w:tcBorders>
              <w:top w:val="single" w:sz="8" w:space="0" w:color="000000"/>
              <w:left w:val="single" w:sz="8" w:space="0" w:color="000000"/>
              <w:bottom w:val="single" w:sz="4" w:space="0" w:color="000000"/>
            </w:tcBorders>
            <w:shd w:val="clear" w:color="auto" w:fill="BFBFBF"/>
          </w:tcPr>
          <w:p w14:paraId="017EA339" w14:textId="77777777" w:rsidR="001C08A5" w:rsidRDefault="001C08A5">
            <w:pPr>
              <w:snapToGrid w:val="0"/>
              <w:jc w:val="center"/>
              <w:rPr>
                <w:b/>
                <w:i/>
                <w:iCs/>
                <w:sz w:val="22"/>
                <w:szCs w:val="22"/>
              </w:rPr>
            </w:pPr>
          </w:p>
          <w:p w14:paraId="72486D9D" w14:textId="77777777" w:rsidR="001C08A5" w:rsidRDefault="001C08A5">
            <w:pPr>
              <w:jc w:val="center"/>
              <w:rPr>
                <w:b/>
                <w:i/>
                <w:iCs/>
                <w:sz w:val="22"/>
                <w:szCs w:val="22"/>
              </w:rPr>
            </w:pPr>
          </w:p>
          <w:p w14:paraId="5FA20ACF" w14:textId="77777777" w:rsidR="001C08A5" w:rsidRDefault="00000000">
            <w:pPr>
              <w:jc w:val="center"/>
              <w:rPr>
                <w:i/>
                <w:iCs/>
                <w:sz w:val="22"/>
                <w:szCs w:val="22"/>
              </w:rPr>
            </w:pPr>
            <w:r>
              <w:rPr>
                <w:b/>
                <w:i/>
                <w:iCs/>
                <w:sz w:val="22"/>
                <w:szCs w:val="22"/>
              </w:rPr>
              <w:t>Nr. crt.</w:t>
            </w:r>
          </w:p>
          <w:p w14:paraId="6685866E" w14:textId="77777777" w:rsidR="001C08A5" w:rsidRDefault="001C08A5">
            <w:pPr>
              <w:jc w:val="center"/>
              <w:rPr>
                <w:i/>
                <w:iCs/>
                <w:sz w:val="22"/>
                <w:szCs w:val="22"/>
              </w:rPr>
            </w:pPr>
          </w:p>
        </w:tc>
        <w:tc>
          <w:tcPr>
            <w:tcW w:w="2658" w:type="dxa"/>
            <w:vMerge w:val="restart"/>
            <w:tcBorders>
              <w:top w:val="single" w:sz="8" w:space="0" w:color="000000"/>
              <w:left w:val="single" w:sz="4" w:space="0" w:color="000000"/>
              <w:bottom w:val="single" w:sz="4" w:space="0" w:color="000000"/>
            </w:tcBorders>
            <w:shd w:val="clear" w:color="auto" w:fill="BFBFBF"/>
          </w:tcPr>
          <w:p w14:paraId="2B8324FF" w14:textId="77777777" w:rsidR="001C08A5" w:rsidRDefault="001C08A5">
            <w:pPr>
              <w:snapToGrid w:val="0"/>
              <w:jc w:val="center"/>
              <w:rPr>
                <w:b/>
                <w:i/>
                <w:iCs/>
                <w:sz w:val="22"/>
                <w:szCs w:val="22"/>
              </w:rPr>
            </w:pPr>
          </w:p>
          <w:p w14:paraId="612F07DA" w14:textId="77777777" w:rsidR="001C08A5" w:rsidRDefault="001C08A5">
            <w:pPr>
              <w:jc w:val="center"/>
              <w:rPr>
                <w:b/>
                <w:i/>
                <w:iCs/>
                <w:sz w:val="22"/>
                <w:szCs w:val="22"/>
              </w:rPr>
            </w:pPr>
          </w:p>
          <w:p w14:paraId="644D1F65" w14:textId="77777777" w:rsidR="001C08A5" w:rsidRDefault="00000000">
            <w:pPr>
              <w:jc w:val="center"/>
              <w:rPr>
                <w:b/>
                <w:i/>
                <w:iCs/>
                <w:sz w:val="22"/>
                <w:szCs w:val="22"/>
              </w:rPr>
            </w:pPr>
            <w:r>
              <w:rPr>
                <w:b/>
                <w:i/>
                <w:iCs/>
                <w:sz w:val="22"/>
                <w:szCs w:val="22"/>
              </w:rPr>
              <w:t>Clădiri pentru sănătate</w:t>
            </w:r>
          </w:p>
        </w:tc>
        <w:tc>
          <w:tcPr>
            <w:tcW w:w="1237" w:type="dxa"/>
            <w:vMerge w:val="restart"/>
            <w:tcBorders>
              <w:top w:val="single" w:sz="8" w:space="0" w:color="000000"/>
              <w:left w:val="single" w:sz="4" w:space="0" w:color="000000"/>
              <w:bottom w:val="single" w:sz="4" w:space="0" w:color="000000"/>
            </w:tcBorders>
            <w:shd w:val="clear" w:color="auto" w:fill="BFBFBF"/>
          </w:tcPr>
          <w:p w14:paraId="7DBA406D" w14:textId="77777777" w:rsidR="001C08A5" w:rsidRDefault="00000000">
            <w:pPr>
              <w:jc w:val="center"/>
              <w:rPr>
                <w:b/>
                <w:i/>
                <w:iCs/>
                <w:sz w:val="22"/>
                <w:szCs w:val="22"/>
              </w:rPr>
            </w:pPr>
            <w:r>
              <w:rPr>
                <w:b/>
                <w:i/>
                <w:iCs/>
                <w:sz w:val="22"/>
                <w:szCs w:val="22"/>
              </w:rPr>
              <w:t>Nivel de stabilitate  la incendiu asigurat</w:t>
            </w:r>
          </w:p>
        </w:tc>
        <w:tc>
          <w:tcPr>
            <w:tcW w:w="2775" w:type="dxa"/>
            <w:gridSpan w:val="2"/>
            <w:tcBorders>
              <w:top w:val="single" w:sz="8" w:space="0" w:color="000000"/>
              <w:left w:val="single" w:sz="4" w:space="0" w:color="000000"/>
              <w:bottom w:val="single" w:sz="4" w:space="0" w:color="000000"/>
            </w:tcBorders>
            <w:shd w:val="clear" w:color="auto" w:fill="BFBFBF"/>
          </w:tcPr>
          <w:p w14:paraId="6D469486" w14:textId="77777777" w:rsidR="001C08A5" w:rsidRDefault="00000000">
            <w:pPr>
              <w:jc w:val="center"/>
              <w:rPr>
                <w:b/>
                <w:i/>
                <w:iCs/>
                <w:sz w:val="22"/>
                <w:szCs w:val="22"/>
              </w:rPr>
            </w:pPr>
            <w:r>
              <w:rPr>
                <w:b/>
                <w:i/>
                <w:iCs/>
                <w:sz w:val="22"/>
                <w:szCs w:val="22"/>
              </w:rPr>
              <w:t xml:space="preserve">Lungime maximă de evacuare </w:t>
            </w:r>
          </w:p>
        </w:tc>
        <w:tc>
          <w:tcPr>
            <w:tcW w:w="2285" w:type="dxa"/>
            <w:vMerge w:val="restart"/>
            <w:tcBorders>
              <w:top w:val="single" w:sz="8" w:space="0" w:color="000000"/>
              <w:left w:val="single" w:sz="4" w:space="0" w:color="000000"/>
              <w:bottom w:val="single" w:sz="4" w:space="0" w:color="000000"/>
              <w:right w:val="single" w:sz="8" w:space="0" w:color="000000"/>
            </w:tcBorders>
            <w:shd w:val="clear" w:color="auto" w:fill="BFBFBF"/>
          </w:tcPr>
          <w:p w14:paraId="47BCCD7E" w14:textId="77777777" w:rsidR="001C08A5" w:rsidRDefault="001C08A5">
            <w:pPr>
              <w:snapToGrid w:val="0"/>
              <w:jc w:val="center"/>
              <w:rPr>
                <w:b/>
                <w:i/>
                <w:iCs/>
                <w:sz w:val="22"/>
                <w:szCs w:val="22"/>
              </w:rPr>
            </w:pPr>
          </w:p>
          <w:p w14:paraId="31243B82" w14:textId="77777777" w:rsidR="001C08A5" w:rsidRDefault="001C08A5">
            <w:pPr>
              <w:jc w:val="center"/>
              <w:rPr>
                <w:b/>
                <w:i/>
                <w:iCs/>
                <w:sz w:val="22"/>
                <w:szCs w:val="22"/>
              </w:rPr>
            </w:pPr>
          </w:p>
          <w:p w14:paraId="560BB0CF" w14:textId="77777777" w:rsidR="001C08A5" w:rsidRDefault="00000000">
            <w:pPr>
              <w:jc w:val="center"/>
              <w:rPr>
                <w:i/>
                <w:iCs/>
                <w:sz w:val="22"/>
                <w:szCs w:val="22"/>
              </w:rPr>
            </w:pPr>
            <w:r>
              <w:rPr>
                <w:b/>
                <w:i/>
                <w:iCs/>
                <w:sz w:val="22"/>
                <w:szCs w:val="22"/>
              </w:rPr>
              <w:t>Observaţii</w:t>
            </w:r>
          </w:p>
        </w:tc>
      </w:tr>
      <w:tr w:rsidR="001C08A5" w14:paraId="43269071" w14:textId="77777777">
        <w:tc>
          <w:tcPr>
            <w:tcW w:w="630" w:type="dxa"/>
            <w:vMerge/>
            <w:tcBorders>
              <w:top w:val="single" w:sz="4" w:space="0" w:color="000000"/>
              <w:left w:val="single" w:sz="8" w:space="0" w:color="000000"/>
              <w:bottom w:val="single" w:sz="4" w:space="0" w:color="000000"/>
            </w:tcBorders>
            <w:shd w:val="clear" w:color="auto" w:fill="auto"/>
          </w:tcPr>
          <w:p w14:paraId="7DD0BD51" w14:textId="77777777" w:rsidR="001C08A5" w:rsidRDefault="001C08A5">
            <w:pPr>
              <w:snapToGrid w:val="0"/>
              <w:jc w:val="center"/>
              <w:rPr>
                <w:i/>
                <w:iCs/>
                <w:sz w:val="22"/>
                <w:szCs w:val="22"/>
              </w:rPr>
            </w:pPr>
          </w:p>
        </w:tc>
        <w:tc>
          <w:tcPr>
            <w:tcW w:w="2658" w:type="dxa"/>
            <w:vMerge/>
            <w:tcBorders>
              <w:top w:val="single" w:sz="4" w:space="0" w:color="000000"/>
              <w:left w:val="single" w:sz="4" w:space="0" w:color="000000"/>
              <w:bottom w:val="single" w:sz="4" w:space="0" w:color="000000"/>
            </w:tcBorders>
            <w:shd w:val="clear" w:color="auto" w:fill="auto"/>
          </w:tcPr>
          <w:p w14:paraId="4BFBD3D2" w14:textId="77777777" w:rsidR="001C08A5" w:rsidRDefault="001C08A5">
            <w:pPr>
              <w:snapToGrid w:val="0"/>
              <w:jc w:val="center"/>
              <w:rPr>
                <w:i/>
                <w:iCs/>
                <w:sz w:val="22"/>
                <w:szCs w:val="22"/>
              </w:rPr>
            </w:pPr>
          </w:p>
        </w:tc>
        <w:tc>
          <w:tcPr>
            <w:tcW w:w="1237" w:type="dxa"/>
            <w:vMerge/>
            <w:tcBorders>
              <w:top w:val="single" w:sz="4" w:space="0" w:color="000000"/>
              <w:left w:val="single" w:sz="4" w:space="0" w:color="000000"/>
              <w:bottom w:val="single" w:sz="4" w:space="0" w:color="000000"/>
            </w:tcBorders>
            <w:shd w:val="clear" w:color="auto" w:fill="auto"/>
          </w:tcPr>
          <w:p w14:paraId="16FA01D3" w14:textId="77777777" w:rsidR="001C08A5" w:rsidRDefault="001C08A5">
            <w:pPr>
              <w:snapToGrid w:val="0"/>
              <w:jc w:val="center"/>
              <w:rPr>
                <w:i/>
                <w:iCs/>
                <w:sz w:val="22"/>
                <w:szCs w:val="22"/>
              </w:rPr>
            </w:pPr>
          </w:p>
        </w:tc>
        <w:tc>
          <w:tcPr>
            <w:tcW w:w="1125" w:type="dxa"/>
            <w:tcBorders>
              <w:top w:val="single" w:sz="4" w:space="0" w:color="000000"/>
              <w:left w:val="single" w:sz="4" w:space="0" w:color="000000"/>
              <w:bottom w:val="single" w:sz="4" w:space="0" w:color="000000"/>
            </w:tcBorders>
            <w:shd w:val="clear" w:color="auto" w:fill="BFBFBF"/>
          </w:tcPr>
          <w:p w14:paraId="1024A9A9" w14:textId="77777777" w:rsidR="001C08A5" w:rsidRDefault="00000000">
            <w:pPr>
              <w:jc w:val="center"/>
              <w:rPr>
                <w:b/>
                <w:i/>
                <w:iCs/>
                <w:sz w:val="22"/>
                <w:szCs w:val="22"/>
              </w:rPr>
            </w:pPr>
            <w:r>
              <w:rPr>
                <w:b/>
                <w:i/>
                <w:iCs/>
                <w:sz w:val="22"/>
                <w:szCs w:val="22"/>
              </w:rPr>
              <w:t>în două direcţii diferite</w:t>
            </w:r>
          </w:p>
        </w:tc>
        <w:tc>
          <w:tcPr>
            <w:tcW w:w="1650" w:type="dxa"/>
            <w:tcBorders>
              <w:top w:val="single" w:sz="4" w:space="0" w:color="000000"/>
              <w:left w:val="single" w:sz="4" w:space="0" w:color="000000"/>
              <w:bottom w:val="single" w:sz="4" w:space="0" w:color="000000"/>
            </w:tcBorders>
            <w:shd w:val="clear" w:color="auto" w:fill="BFBFBF"/>
          </w:tcPr>
          <w:p w14:paraId="698D8019" w14:textId="77777777" w:rsidR="001C08A5" w:rsidRDefault="00000000">
            <w:pPr>
              <w:jc w:val="center"/>
              <w:rPr>
                <w:i/>
                <w:iCs/>
                <w:sz w:val="22"/>
                <w:szCs w:val="22"/>
              </w:rPr>
            </w:pPr>
            <w:r>
              <w:rPr>
                <w:b/>
                <w:i/>
                <w:iCs/>
                <w:sz w:val="22"/>
                <w:szCs w:val="22"/>
              </w:rPr>
              <w:t>într-o direcţie (coridor înfundat)</w:t>
            </w:r>
          </w:p>
        </w:tc>
        <w:tc>
          <w:tcPr>
            <w:tcW w:w="2285" w:type="dxa"/>
            <w:vMerge/>
            <w:tcBorders>
              <w:top w:val="single" w:sz="4" w:space="0" w:color="000000"/>
              <w:left w:val="single" w:sz="4" w:space="0" w:color="000000"/>
              <w:bottom w:val="single" w:sz="4" w:space="0" w:color="000000"/>
              <w:right w:val="single" w:sz="8" w:space="0" w:color="000000"/>
            </w:tcBorders>
          </w:tcPr>
          <w:p w14:paraId="747838C3" w14:textId="77777777" w:rsidR="001C08A5" w:rsidRDefault="001C08A5">
            <w:pPr>
              <w:snapToGrid w:val="0"/>
              <w:rPr>
                <w:i/>
                <w:iCs/>
                <w:sz w:val="22"/>
                <w:szCs w:val="22"/>
              </w:rPr>
            </w:pPr>
          </w:p>
        </w:tc>
      </w:tr>
      <w:tr w:rsidR="001C08A5" w14:paraId="2DF6B106" w14:textId="77777777">
        <w:tc>
          <w:tcPr>
            <w:tcW w:w="630" w:type="dxa"/>
            <w:vMerge/>
            <w:tcBorders>
              <w:top w:val="single" w:sz="4" w:space="0" w:color="000000"/>
              <w:left w:val="single" w:sz="8" w:space="0" w:color="000000"/>
              <w:bottom w:val="single" w:sz="8" w:space="0" w:color="000000"/>
            </w:tcBorders>
            <w:shd w:val="clear" w:color="auto" w:fill="auto"/>
          </w:tcPr>
          <w:p w14:paraId="398025C7" w14:textId="77777777" w:rsidR="001C08A5" w:rsidRDefault="001C08A5">
            <w:pPr>
              <w:snapToGrid w:val="0"/>
              <w:jc w:val="center"/>
              <w:rPr>
                <w:i/>
                <w:iCs/>
                <w:sz w:val="22"/>
                <w:szCs w:val="22"/>
              </w:rPr>
            </w:pPr>
          </w:p>
        </w:tc>
        <w:tc>
          <w:tcPr>
            <w:tcW w:w="2658" w:type="dxa"/>
            <w:vMerge/>
            <w:tcBorders>
              <w:top w:val="single" w:sz="4" w:space="0" w:color="000000"/>
              <w:left w:val="single" w:sz="4" w:space="0" w:color="000000"/>
              <w:bottom w:val="single" w:sz="8" w:space="0" w:color="000000"/>
            </w:tcBorders>
            <w:shd w:val="clear" w:color="auto" w:fill="auto"/>
          </w:tcPr>
          <w:p w14:paraId="04361E43" w14:textId="77777777" w:rsidR="001C08A5" w:rsidRDefault="001C08A5">
            <w:pPr>
              <w:snapToGrid w:val="0"/>
              <w:jc w:val="center"/>
              <w:rPr>
                <w:i/>
                <w:iCs/>
                <w:sz w:val="22"/>
                <w:szCs w:val="22"/>
              </w:rPr>
            </w:pPr>
          </w:p>
        </w:tc>
        <w:tc>
          <w:tcPr>
            <w:tcW w:w="1237" w:type="dxa"/>
            <w:vMerge/>
            <w:tcBorders>
              <w:top w:val="single" w:sz="4" w:space="0" w:color="000000"/>
              <w:left w:val="single" w:sz="4" w:space="0" w:color="000000"/>
              <w:bottom w:val="single" w:sz="8" w:space="0" w:color="000000"/>
            </w:tcBorders>
            <w:shd w:val="clear" w:color="auto" w:fill="auto"/>
          </w:tcPr>
          <w:p w14:paraId="2B339116" w14:textId="77777777" w:rsidR="001C08A5" w:rsidRDefault="001C08A5">
            <w:pPr>
              <w:snapToGrid w:val="0"/>
              <w:jc w:val="center"/>
              <w:rPr>
                <w:i/>
                <w:iCs/>
                <w:sz w:val="22"/>
                <w:szCs w:val="22"/>
              </w:rPr>
            </w:pPr>
          </w:p>
        </w:tc>
        <w:tc>
          <w:tcPr>
            <w:tcW w:w="1125" w:type="dxa"/>
            <w:tcBorders>
              <w:top w:val="single" w:sz="4" w:space="0" w:color="000000"/>
              <w:left w:val="single" w:sz="4" w:space="0" w:color="000000"/>
              <w:bottom w:val="single" w:sz="8" w:space="0" w:color="000000"/>
            </w:tcBorders>
            <w:shd w:val="clear" w:color="auto" w:fill="BFBFBF"/>
          </w:tcPr>
          <w:p w14:paraId="7451BAED" w14:textId="77777777" w:rsidR="001C08A5" w:rsidRDefault="00000000">
            <w:pPr>
              <w:jc w:val="center"/>
              <w:rPr>
                <w:b/>
                <w:i/>
                <w:iCs/>
                <w:sz w:val="22"/>
                <w:szCs w:val="22"/>
              </w:rPr>
            </w:pPr>
            <w:r>
              <w:rPr>
                <w:b/>
                <w:i/>
                <w:iCs/>
                <w:sz w:val="22"/>
                <w:szCs w:val="22"/>
              </w:rPr>
              <w:t>metri</w:t>
            </w:r>
          </w:p>
        </w:tc>
        <w:tc>
          <w:tcPr>
            <w:tcW w:w="1650" w:type="dxa"/>
            <w:tcBorders>
              <w:top w:val="single" w:sz="4" w:space="0" w:color="000000"/>
              <w:left w:val="single" w:sz="4" w:space="0" w:color="000000"/>
              <w:bottom w:val="single" w:sz="8" w:space="0" w:color="000000"/>
            </w:tcBorders>
            <w:shd w:val="clear" w:color="auto" w:fill="BFBFBF"/>
          </w:tcPr>
          <w:p w14:paraId="7E7D104D" w14:textId="77777777" w:rsidR="001C08A5" w:rsidRDefault="00000000">
            <w:pPr>
              <w:jc w:val="center"/>
              <w:rPr>
                <w:i/>
                <w:iCs/>
                <w:sz w:val="22"/>
                <w:szCs w:val="22"/>
              </w:rPr>
            </w:pPr>
            <w:r>
              <w:rPr>
                <w:b/>
                <w:i/>
                <w:iCs/>
                <w:sz w:val="22"/>
                <w:szCs w:val="22"/>
              </w:rPr>
              <w:t>metri</w:t>
            </w:r>
          </w:p>
        </w:tc>
        <w:tc>
          <w:tcPr>
            <w:tcW w:w="2285" w:type="dxa"/>
            <w:vMerge/>
            <w:tcBorders>
              <w:top w:val="single" w:sz="4" w:space="0" w:color="000000"/>
              <w:left w:val="single" w:sz="4" w:space="0" w:color="000000"/>
              <w:bottom w:val="single" w:sz="8" w:space="0" w:color="000000"/>
              <w:right w:val="single" w:sz="8" w:space="0" w:color="000000"/>
            </w:tcBorders>
          </w:tcPr>
          <w:p w14:paraId="1EE76411" w14:textId="77777777" w:rsidR="001C08A5" w:rsidRDefault="001C08A5">
            <w:pPr>
              <w:snapToGrid w:val="0"/>
              <w:rPr>
                <w:i/>
                <w:iCs/>
                <w:sz w:val="22"/>
                <w:szCs w:val="22"/>
              </w:rPr>
            </w:pPr>
          </w:p>
        </w:tc>
      </w:tr>
      <w:tr w:rsidR="001C08A5" w14:paraId="328EBFF0" w14:textId="77777777">
        <w:tc>
          <w:tcPr>
            <w:tcW w:w="630" w:type="dxa"/>
            <w:vMerge w:val="restart"/>
            <w:tcBorders>
              <w:top w:val="single" w:sz="8" w:space="0" w:color="000000"/>
              <w:left w:val="single" w:sz="4" w:space="0" w:color="000000"/>
              <w:bottom w:val="single" w:sz="4" w:space="0" w:color="000000"/>
            </w:tcBorders>
          </w:tcPr>
          <w:p w14:paraId="6BF20CA4" w14:textId="77777777" w:rsidR="001C08A5" w:rsidRDefault="001C08A5">
            <w:pPr>
              <w:snapToGrid w:val="0"/>
              <w:jc w:val="center"/>
              <w:rPr>
                <w:i/>
                <w:iCs/>
                <w:sz w:val="22"/>
                <w:szCs w:val="22"/>
              </w:rPr>
            </w:pPr>
          </w:p>
          <w:p w14:paraId="3FDBEB23" w14:textId="77777777" w:rsidR="001C08A5" w:rsidRDefault="00000000">
            <w:pPr>
              <w:jc w:val="center"/>
              <w:rPr>
                <w:i/>
                <w:iCs/>
                <w:sz w:val="22"/>
                <w:szCs w:val="22"/>
              </w:rPr>
            </w:pPr>
            <w:r>
              <w:rPr>
                <w:i/>
                <w:iCs/>
                <w:sz w:val="22"/>
                <w:szCs w:val="22"/>
              </w:rPr>
              <w:t>1.</w:t>
            </w:r>
          </w:p>
        </w:tc>
        <w:tc>
          <w:tcPr>
            <w:tcW w:w="2658" w:type="dxa"/>
            <w:vMerge w:val="restart"/>
            <w:tcBorders>
              <w:top w:val="single" w:sz="8" w:space="0" w:color="000000"/>
              <w:left w:val="single" w:sz="4" w:space="0" w:color="000000"/>
              <w:bottom w:val="single" w:sz="4" w:space="0" w:color="000000"/>
            </w:tcBorders>
          </w:tcPr>
          <w:p w14:paraId="72D8656B" w14:textId="77777777" w:rsidR="001C08A5" w:rsidRDefault="00000000">
            <w:pPr>
              <w:jc w:val="center"/>
              <w:rPr>
                <w:i/>
                <w:iCs/>
                <w:sz w:val="22"/>
                <w:szCs w:val="22"/>
              </w:rPr>
            </w:pPr>
            <w:r>
              <w:rPr>
                <w:i/>
                <w:iCs/>
                <w:sz w:val="22"/>
                <w:szCs w:val="22"/>
              </w:rPr>
              <w:t>Spitale, policlinici, centre medicale de diagnostic și tratament, centre medicale și de sănătate multifuncționale, clinici și unități medicale ambulatorii similare policlinicilor, sanatorii,</w:t>
            </w:r>
          </w:p>
          <w:p w14:paraId="72B7B38D" w14:textId="77777777" w:rsidR="001C08A5" w:rsidRDefault="00000000">
            <w:pPr>
              <w:jc w:val="center"/>
              <w:rPr>
                <w:b/>
                <w:i/>
                <w:iCs/>
                <w:sz w:val="22"/>
                <w:szCs w:val="22"/>
              </w:rPr>
            </w:pPr>
            <w:r>
              <w:rPr>
                <w:i/>
                <w:iCs/>
                <w:sz w:val="22"/>
                <w:szCs w:val="22"/>
              </w:rPr>
              <w:t>cămine de bătrâni și persoane cu dizabilități etc..</w:t>
            </w:r>
          </w:p>
        </w:tc>
        <w:tc>
          <w:tcPr>
            <w:tcW w:w="1237" w:type="dxa"/>
            <w:tcBorders>
              <w:top w:val="single" w:sz="8" w:space="0" w:color="000000"/>
              <w:left w:val="single" w:sz="4" w:space="0" w:color="000000"/>
              <w:bottom w:val="single" w:sz="4" w:space="0" w:color="000000"/>
            </w:tcBorders>
          </w:tcPr>
          <w:p w14:paraId="0C7027D4" w14:textId="77777777" w:rsidR="001C08A5" w:rsidRDefault="00000000">
            <w:pPr>
              <w:jc w:val="center"/>
              <w:rPr>
                <w:i/>
                <w:iCs/>
                <w:sz w:val="22"/>
                <w:szCs w:val="22"/>
              </w:rPr>
            </w:pPr>
            <w:r>
              <w:rPr>
                <w:b/>
                <w:i/>
                <w:iCs/>
                <w:sz w:val="22"/>
                <w:szCs w:val="22"/>
              </w:rPr>
              <w:t>I și II</w:t>
            </w:r>
          </w:p>
        </w:tc>
        <w:tc>
          <w:tcPr>
            <w:tcW w:w="1125" w:type="dxa"/>
            <w:tcBorders>
              <w:top w:val="single" w:sz="8" w:space="0" w:color="000000"/>
              <w:left w:val="single" w:sz="4" w:space="0" w:color="000000"/>
              <w:bottom w:val="single" w:sz="4" w:space="0" w:color="000000"/>
            </w:tcBorders>
          </w:tcPr>
          <w:p w14:paraId="45B4B061" w14:textId="77777777" w:rsidR="001C08A5" w:rsidRDefault="00000000">
            <w:pPr>
              <w:jc w:val="center"/>
              <w:rPr>
                <w:b/>
                <w:bCs/>
                <w:i/>
                <w:iCs/>
                <w:sz w:val="22"/>
                <w:szCs w:val="22"/>
              </w:rPr>
            </w:pPr>
            <w:r>
              <w:rPr>
                <w:b/>
                <w:bCs/>
                <w:i/>
                <w:iCs/>
                <w:sz w:val="22"/>
                <w:szCs w:val="22"/>
              </w:rPr>
              <w:t>38</w:t>
            </w:r>
          </w:p>
        </w:tc>
        <w:tc>
          <w:tcPr>
            <w:tcW w:w="1650" w:type="dxa"/>
            <w:tcBorders>
              <w:top w:val="single" w:sz="8" w:space="0" w:color="000000"/>
              <w:left w:val="single" w:sz="4" w:space="0" w:color="000000"/>
              <w:bottom w:val="single" w:sz="4" w:space="0" w:color="000000"/>
            </w:tcBorders>
          </w:tcPr>
          <w:p w14:paraId="3FDF5434" w14:textId="77777777" w:rsidR="001C08A5" w:rsidRDefault="00000000">
            <w:pPr>
              <w:jc w:val="center"/>
              <w:rPr>
                <w:b/>
                <w:bCs/>
                <w:i/>
                <w:iCs/>
                <w:sz w:val="22"/>
                <w:szCs w:val="22"/>
              </w:rPr>
            </w:pPr>
            <w:r>
              <w:rPr>
                <w:b/>
                <w:bCs/>
                <w:i/>
                <w:iCs/>
                <w:sz w:val="22"/>
                <w:szCs w:val="22"/>
              </w:rPr>
              <w:t>18</w:t>
            </w:r>
          </w:p>
        </w:tc>
        <w:tc>
          <w:tcPr>
            <w:tcW w:w="2285" w:type="dxa"/>
            <w:vMerge w:val="restart"/>
            <w:tcBorders>
              <w:top w:val="single" w:sz="8" w:space="0" w:color="000000"/>
              <w:left w:val="single" w:sz="4" w:space="0" w:color="000000"/>
              <w:bottom w:val="single" w:sz="4" w:space="0" w:color="000000"/>
              <w:right w:val="single" w:sz="4" w:space="0" w:color="000000"/>
            </w:tcBorders>
          </w:tcPr>
          <w:p w14:paraId="75AE15FF" w14:textId="77777777" w:rsidR="001C08A5" w:rsidRDefault="00000000">
            <w:pPr>
              <w:jc w:val="center"/>
              <w:rPr>
                <w:i/>
                <w:iCs/>
                <w:sz w:val="22"/>
                <w:szCs w:val="22"/>
              </w:rPr>
            </w:pPr>
            <w:r>
              <w:rPr>
                <w:i/>
                <w:iCs/>
                <w:sz w:val="22"/>
                <w:szCs w:val="22"/>
              </w:rPr>
              <w:t xml:space="preserve">La construcţiile cu înălţimi obişnuite de sănătate în care nu este necesar transportul bolnavilor cu targa sau caruciorul, se respectă valorile din </w:t>
            </w:r>
            <w:r>
              <w:rPr>
                <w:b/>
                <w:bCs/>
                <w:i/>
                <w:iCs/>
                <w:sz w:val="22"/>
                <w:szCs w:val="22"/>
              </w:rPr>
              <w:fldChar w:fldCharType="begin"/>
            </w:r>
            <w:r>
              <w:rPr>
                <w:b/>
                <w:bCs/>
                <w:i/>
                <w:iCs/>
                <w:sz w:val="22"/>
                <w:szCs w:val="22"/>
              </w:rPr>
              <w:instrText xml:space="preserve"> REF _Ref14289 \h </w:instrText>
            </w:r>
            <w:r>
              <w:rPr>
                <w:b/>
                <w:bCs/>
                <w:i/>
                <w:iCs/>
                <w:sz w:val="22"/>
                <w:szCs w:val="22"/>
              </w:rPr>
            </w:r>
            <w:r>
              <w:rPr>
                <w:b/>
                <w:bCs/>
                <w:i/>
                <w:iCs/>
                <w:sz w:val="22"/>
                <w:szCs w:val="22"/>
              </w:rPr>
              <w:fldChar w:fldCharType="separate"/>
            </w:r>
            <w:r>
              <w:t>Tabelul 68</w:t>
            </w:r>
            <w:r>
              <w:rPr>
                <w:b/>
                <w:bCs/>
                <w:i/>
                <w:iCs/>
                <w:sz w:val="22"/>
                <w:szCs w:val="22"/>
              </w:rPr>
              <w:fldChar w:fldCharType="end"/>
            </w:r>
            <w:r>
              <w:rPr>
                <w:i/>
                <w:iCs/>
                <w:sz w:val="22"/>
                <w:szCs w:val="22"/>
              </w:rPr>
              <w:t>.</w:t>
            </w:r>
          </w:p>
        </w:tc>
      </w:tr>
      <w:tr w:rsidR="001C08A5" w14:paraId="663AC092" w14:textId="77777777">
        <w:tc>
          <w:tcPr>
            <w:tcW w:w="630" w:type="dxa"/>
            <w:vMerge/>
            <w:tcBorders>
              <w:top w:val="single" w:sz="4" w:space="0" w:color="000000"/>
              <w:left w:val="single" w:sz="4" w:space="0" w:color="000000"/>
              <w:bottom w:val="single" w:sz="4" w:space="0" w:color="000000"/>
            </w:tcBorders>
          </w:tcPr>
          <w:p w14:paraId="29662E09" w14:textId="77777777" w:rsidR="001C08A5" w:rsidRDefault="001C08A5">
            <w:pPr>
              <w:snapToGrid w:val="0"/>
              <w:jc w:val="center"/>
              <w:rPr>
                <w:i/>
                <w:iCs/>
                <w:sz w:val="22"/>
                <w:szCs w:val="22"/>
              </w:rPr>
            </w:pPr>
          </w:p>
        </w:tc>
        <w:tc>
          <w:tcPr>
            <w:tcW w:w="2658" w:type="dxa"/>
            <w:vMerge/>
            <w:tcBorders>
              <w:top w:val="single" w:sz="4" w:space="0" w:color="000000"/>
              <w:left w:val="single" w:sz="4" w:space="0" w:color="000000"/>
              <w:bottom w:val="single" w:sz="4" w:space="0" w:color="000000"/>
            </w:tcBorders>
          </w:tcPr>
          <w:p w14:paraId="5000CC8F" w14:textId="77777777" w:rsidR="001C08A5" w:rsidRDefault="001C08A5">
            <w:pPr>
              <w:snapToGrid w:val="0"/>
              <w:jc w:val="center"/>
              <w:rPr>
                <w:i/>
                <w:iCs/>
                <w:sz w:val="22"/>
                <w:szCs w:val="22"/>
              </w:rPr>
            </w:pPr>
          </w:p>
        </w:tc>
        <w:tc>
          <w:tcPr>
            <w:tcW w:w="1237" w:type="dxa"/>
            <w:tcBorders>
              <w:top w:val="single" w:sz="4" w:space="0" w:color="000000"/>
              <w:left w:val="single" w:sz="4" w:space="0" w:color="000000"/>
              <w:bottom w:val="single" w:sz="4" w:space="0" w:color="000000"/>
            </w:tcBorders>
          </w:tcPr>
          <w:p w14:paraId="49B47A1E" w14:textId="77777777" w:rsidR="001C08A5" w:rsidRDefault="00000000">
            <w:pPr>
              <w:jc w:val="center"/>
              <w:rPr>
                <w:i/>
                <w:iCs/>
                <w:sz w:val="22"/>
                <w:szCs w:val="22"/>
              </w:rPr>
            </w:pPr>
            <w:r>
              <w:rPr>
                <w:b/>
                <w:i/>
                <w:iCs/>
                <w:sz w:val="22"/>
                <w:szCs w:val="22"/>
              </w:rPr>
              <w:t>III</w:t>
            </w:r>
          </w:p>
        </w:tc>
        <w:tc>
          <w:tcPr>
            <w:tcW w:w="1125" w:type="dxa"/>
            <w:tcBorders>
              <w:top w:val="single" w:sz="4" w:space="0" w:color="000000"/>
              <w:left w:val="single" w:sz="4" w:space="0" w:color="000000"/>
              <w:bottom w:val="single" w:sz="4" w:space="0" w:color="000000"/>
            </w:tcBorders>
          </w:tcPr>
          <w:p w14:paraId="2BBDA784" w14:textId="77777777" w:rsidR="001C08A5" w:rsidRDefault="00000000">
            <w:pPr>
              <w:jc w:val="center"/>
              <w:rPr>
                <w:b/>
                <w:bCs/>
                <w:i/>
                <w:iCs/>
                <w:sz w:val="22"/>
                <w:szCs w:val="22"/>
              </w:rPr>
            </w:pPr>
            <w:r>
              <w:rPr>
                <w:b/>
                <w:bCs/>
                <w:i/>
                <w:iCs/>
                <w:sz w:val="22"/>
                <w:szCs w:val="22"/>
              </w:rPr>
              <w:t>18</w:t>
            </w:r>
          </w:p>
        </w:tc>
        <w:tc>
          <w:tcPr>
            <w:tcW w:w="1650" w:type="dxa"/>
            <w:tcBorders>
              <w:top w:val="single" w:sz="4" w:space="0" w:color="000000"/>
              <w:left w:val="single" w:sz="4" w:space="0" w:color="000000"/>
              <w:bottom w:val="single" w:sz="4" w:space="0" w:color="000000"/>
            </w:tcBorders>
          </w:tcPr>
          <w:p w14:paraId="25D04BE5" w14:textId="77777777" w:rsidR="001C08A5" w:rsidRDefault="00000000">
            <w:pPr>
              <w:jc w:val="center"/>
              <w:rPr>
                <w:b/>
                <w:bCs/>
                <w:i/>
                <w:iCs/>
                <w:sz w:val="22"/>
                <w:szCs w:val="22"/>
              </w:rPr>
            </w:pPr>
            <w:r>
              <w:rPr>
                <w:b/>
                <w:bCs/>
                <w:i/>
                <w:iCs/>
                <w:sz w:val="22"/>
                <w:szCs w:val="22"/>
              </w:rPr>
              <w:t>12</w:t>
            </w:r>
          </w:p>
        </w:tc>
        <w:tc>
          <w:tcPr>
            <w:tcW w:w="2285" w:type="dxa"/>
            <w:vMerge/>
            <w:tcBorders>
              <w:top w:val="single" w:sz="4" w:space="0" w:color="000000"/>
              <w:left w:val="single" w:sz="4" w:space="0" w:color="000000"/>
              <w:bottom w:val="single" w:sz="4" w:space="0" w:color="000000"/>
              <w:right w:val="single" w:sz="4" w:space="0" w:color="000000"/>
            </w:tcBorders>
          </w:tcPr>
          <w:p w14:paraId="42FC5AF8" w14:textId="77777777" w:rsidR="001C08A5" w:rsidRDefault="001C08A5">
            <w:pPr>
              <w:snapToGrid w:val="0"/>
              <w:rPr>
                <w:i/>
                <w:iCs/>
                <w:sz w:val="22"/>
                <w:szCs w:val="22"/>
              </w:rPr>
            </w:pPr>
          </w:p>
        </w:tc>
      </w:tr>
      <w:tr w:rsidR="001C08A5" w14:paraId="42B8AB1E" w14:textId="77777777">
        <w:tc>
          <w:tcPr>
            <w:tcW w:w="630" w:type="dxa"/>
            <w:vMerge/>
            <w:tcBorders>
              <w:top w:val="single" w:sz="4" w:space="0" w:color="000000"/>
              <w:left w:val="single" w:sz="4" w:space="0" w:color="000000"/>
              <w:bottom w:val="single" w:sz="4" w:space="0" w:color="000000"/>
            </w:tcBorders>
          </w:tcPr>
          <w:p w14:paraId="76FA9121" w14:textId="77777777" w:rsidR="001C08A5" w:rsidRDefault="001C08A5">
            <w:pPr>
              <w:snapToGrid w:val="0"/>
              <w:jc w:val="center"/>
              <w:rPr>
                <w:i/>
                <w:iCs/>
                <w:sz w:val="22"/>
                <w:szCs w:val="22"/>
              </w:rPr>
            </w:pPr>
          </w:p>
        </w:tc>
        <w:tc>
          <w:tcPr>
            <w:tcW w:w="2658" w:type="dxa"/>
            <w:vMerge/>
            <w:tcBorders>
              <w:top w:val="single" w:sz="4" w:space="0" w:color="000000"/>
              <w:left w:val="single" w:sz="4" w:space="0" w:color="000000"/>
              <w:bottom w:val="single" w:sz="4" w:space="0" w:color="000000"/>
            </w:tcBorders>
          </w:tcPr>
          <w:p w14:paraId="059E9501" w14:textId="77777777" w:rsidR="001C08A5" w:rsidRDefault="001C08A5">
            <w:pPr>
              <w:snapToGrid w:val="0"/>
              <w:jc w:val="center"/>
              <w:rPr>
                <w:i/>
                <w:iCs/>
                <w:sz w:val="22"/>
                <w:szCs w:val="22"/>
              </w:rPr>
            </w:pPr>
          </w:p>
        </w:tc>
        <w:tc>
          <w:tcPr>
            <w:tcW w:w="1237" w:type="dxa"/>
            <w:tcBorders>
              <w:top w:val="single" w:sz="4" w:space="0" w:color="000000"/>
              <w:left w:val="single" w:sz="4" w:space="0" w:color="000000"/>
              <w:bottom w:val="single" w:sz="4" w:space="0" w:color="000000"/>
            </w:tcBorders>
          </w:tcPr>
          <w:p w14:paraId="2FC6FE23" w14:textId="77777777" w:rsidR="001C08A5" w:rsidRDefault="00000000">
            <w:pPr>
              <w:jc w:val="center"/>
              <w:rPr>
                <w:i/>
                <w:iCs/>
                <w:sz w:val="22"/>
                <w:szCs w:val="22"/>
              </w:rPr>
            </w:pPr>
            <w:r>
              <w:rPr>
                <w:b/>
                <w:i/>
                <w:iCs/>
                <w:sz w:val="22"/>
                <w:szCs w:val="22"/>
              </w:rPr>
              <w:t>IV</w:t>
            </w:r>
          </w:p>
        </w:tc>
        <w:tc>
          <w:tcPr>
            <w:tcW w:w="1125" w:type="dxa"/>
            <w:tcBorders>
              <w:top w:val="single" w:sz="4" w:space="0" w:color="000000"/>
              <w:left w:val="single" w:sz="4" w:space="0" w:color="000000"/>
              <w:bottom w:val="single" w:sz="4" w:space="0" w:color="000000"/>
            </w:tcBorders>
          </w:tcPr>
          <w:p w14:paraId="00105617" w14:textId="77777777" w:rsidR="001C08A5" w:rsidRDefault="00000000">
            <w:pPr>
              <w:jc w:val="center"/>
              <w:rPr>
                <w:b/>
                <w:bCs/>
                <w:i/>
                <w:iCs/>
                <w:sz w:val="22"/>
                <w:szCs w:val="22"/>
              </w:rPr>
            </w:pPr>
            <w:r>
              <w:rPr>
                <w:b/>
                <w:bCs/>
                <w:i/>
                <w:iCs/>
                <w:sz w:val="22"/>
                <w:szCs w:val="22"/>
              </w:rPr>
              <w:t>12</w:t>
            </w:r>
          </w:p>
        </w:tc>
        <w:tc>
          <w:tcPr>
            <w:tcW w:w="1650" w:type="dxa"/>
            <w:tcBorders>
              <w:top w:val="single" w:sz="4" w:space="0" w:color="000000"/>
              <w:left w:val="single" w:sz="4" w:space="0" w:color="000000"/>
              <w:bottom w:val="single" w:sz="4" w:space="0" w:color="000000"/>
            </w:tcBorders>
          </w:tcPr>
          <w:p w14:paraId="0DC36DE0" w14:textId="77777777" w:rsidR="001C08A5" w:rsidRDefault="00000000">
            <w:pPr>
              <w:jc w:val="center"/>
              <w:rPr>
                <w:b/>
                <w:bCs/>
                <w:i/>
                <w:iCs/>
                <w:sz w:val="22"/>
                <w:szCs w:val="22"/>
              </w:rPr>
            </w:pPr>
            <w:r>
              <w:rPr>
                <w:b/>
                <w:bCs/>
                <w:i/>
                <w:iCs/>
                <w:sz w:val="22"/>
                <w:szCs w:val="22"/>
              </w:rPr>
              <w:t>8</w:t>
            </w:r>
          </w:p>
        </w:tc>
        <w:tc>
          <w:tcPr>
            <w:tcW w:w="2285" w:type="dxa"/>
            <w:vMerge/>
            <w:tcBorders>
              <w:top w:val="single" w:sz="4" w:space="0" w:color="000000"/>
              <w:left w:val="single" w:sz="4" w:space="0" w:color="000000"/>
              <w:bottom w:val="single" w:sz="4" w:space="0" w:color="000000"/>
              <w:right w:val="single" w:sz="4" w:space="0" w:color="000000"/>
            </w:tcBorders>
          </w:tcPr>
          <w:p w14:paraId="1D5AE2BA" w14:textId="77777777" w:rsidR="001C08A5" w:rsidRDefault="001C08A5">
            <w:pPr>
              <w:snapToGrid w:val="0"/>
              <w:rPr>
                <w:i/>
                <w:iCs/>
                <w:sz w:val="22"/>
                <w:szCs w:val="22"/>
              </w:rPr>
            </w:pPr>
          </w:p>
        </w:tc>
      </w:tr>
      <w:tr w:rsidR="001C08A5" w14:paraId="76E43E94" w14:textId="77777777">
        <w:tc>
          <w:tcPr>
            <w:tcW w:w="630" w:type="dxa"/>
            <w:vMerge/>
            <w:tcBorders>
              <w:top w:val="single" w:sz="4" w:space="0" w:color="000000"/>
              <w:left w:val="single" w:sz="4" w:space="0" w:color="000000"/>
              <w:bottom w:val="single" w:sz="4" w:space="0" w:color="000000"/>
            </w:tcBorders>
          </w:tcPr>
          <w:p w14:paraId="41897258" w14:textId="77777777" w:rsidR="001C08A5" w:rsidRDefault="001C08A5">
            <w:pPr>
              <w:snapToGrid w:val="0"/>
              <w:jc w:val="center"/>
              <w:rPr>
                <w:i/>
                <w:iCs/>
                <w:sz w:val="22"/>
                <w:szCs w:val="22"/>
              </w:rPr>
            </w:pPr>
          </w:p>
        </w:tc>
        <w:tc>
          <w:tcPr>
            <w:tcW w:w="2658" w:type="dxa"/>
            <w:vMerge/>
            <w:tcBorders>
              <w:top w:val="single" w:sz="4" w:space="0" w:color="000000"/>
              <w:left w:val="single" w:sz="4" w:space="0" w:color="000000"/>
              <w:bottom w:val="single" w:sz="4" w:space="0" w:color="000000"/>
            </w:tcBorders>
          </w:tcPr>
          <w:p w14:paraId="50F468A5" w14:textId="77777777" w:rsidR="001C08A5" w:rsidRDefault="001C08A5">
            <w:pPr>
              <w:snapToGrid w:val="0"/>
              <w:jc w:val="center"/>
              <w:rPr>
                <w:i/>
                <w:iCs/>
                <w:sz w:val="22"/>
                <w:szCs w:val="22"/>
              </w:rPr>
            </w:pPr>
          </w:p>
        </w:tc>
        <w:tc>
          <w:tcPr>
            <w:tcW w:w="1237" w:type="dxa"/>
            <w:tcBorders>
              <w:top w:val="single" w:sz="4" w:space="0" w:color="000000"/>
              <w:left w:val="single" w:sz="4" w:space="0" w:color="000000"/>
              <w:bottom w:val="single" w:sz="4" w:space="0" w:color="000000"/>
            </w:tcBorders>
          </w:tcPr>
          <w:p w14:paraId="4B5F5124" w14:textId="77777777" w:rsidR="001C08A5" w:rsidRDefault="00000000">
            <w:pPr>
              <w:jc w:val="center"/>
              <w:rPr>
                <w:i/>
                <w:iCs/>
                <w:sz w:val="22"/>
                <w:szCs w:val="22"/>
              </w:rPr>
            </w:pPr>
            <w:r>
              <w:rPr>
                <w:b/>
                <w:i/>
                <w:iCs/>
                <w:sz w:val="22"/>
                <w:szCs w:val="22"/>
              </w:rPr>
              <w:t>V*</w:t>
            </w:r>
          </w:p>
        </w:tc>
        <w:tc>
          <w:tcPr>
            <w:tcW w:w="1125" w:type="dxa"/>
            <w:tcBorders>
              <w:top w:val="single" w:sz="4" w:space="0" w:color="000000"/>
              <w:left w:val="single" w:sz="4" w:space="0" w:color="000000"/>
              <w:bottom w:val="single" w:sz="4" w:space="0" w:color="000000"/>
            </w:tcBorders>
          </w:tcPr>
          <w:p w14:paraId="22B8ABB2" w14:textId="77777777" w:rsidR="001C08A5" w:rsidRDefault="00000000">
            <w:pPr>
              <w:jc w:val="center"/>
              <w:rPr>
                <w:b/>
                <w:bCs/>
                <w:i/>
                <w:iCs/>
                <w:sz w:val="22"/>
                <w:szCs w:val="22"/>
              </w:rPr>
            </w:pPr>
            <w:r>
              <w:rPr>
                <w:b/>
                <w:bCs/>
                <w:i/>
                <w:iCs/>
                <w:sz w:val="22"/>
                <w:szCs w:val="22"/>
              </w:rPr>
              <w:t>8</w:t>
            </w:r>
          </w:p>
        </w:tc>
        <w:tc>
          <w:tcPr>
            <w:tcW w:w="1650" w:type="dxa"/>
            <w:tcBorders>
              <w:top w:val="single" w:sz="4" w:space="0" w:color="000000"/>
              <w:left w:val="single" w:sz="4" w:space="0" w:color="000000"/>
              <w:bottom w:val="single" w:sz="4" w:space="0" w:color="000000"/>
            </w:tcBorders>
          </w:tcPr>
          <w:p w14:paraId="219F886F" w14:textId="77777777" w:rsidR="001C08A5" w:rsidRDefault="00000000">
            <w:pPr>
              <w:jc w:val="center"/>
              <w:rPr>
                <w:b/>
                <w:bCs/>
                <w:i/>
                <w:iCs/>
                <w:sz w:val="22"/>
                <w:szCs w:val="22"/>
              </w:rPr>
            </w:pPr>
            <w:r>
              <w:rPr>
                <w:b/>
                <w:bCs/>
                <w:i/>
                <w:iCs/>
                <w:sz w:val="22"/>
                <w:szCs w:val="22"/>
              </w:rPr>
              <w:t>6</w:t>
            </w:r>
          </w:p>
        </w:tc>
        <w:tc>
          <w:tcPr>
            <w:tcW w:w="2285" w:type="dxa"/>
            <w:vMerge/>
            <w:tcBorders>
              <w:top w:val="single" w:sz="4" w:space="0" w:color="000000"/>
              <w:left w:val="single" w:sz="4" w:space="0" w:color="000000"/>
              <w:bottom w:val="single" w:sz="4" w:space="0" w:color="000000"/>
              <w:right w:val="single" w:sz="4" w:space="0" w:color="000000"/>
            </w:tcBorders>
          </w:tcPr>
          <w:p w14:paraId="0041C9B8" w14:textId="77777777" w:rsidR="001C08A5" w:rsidRDefault="001C08A5">
            <w:pPr>
              <w:snapToGrid w:val="0"/>
              <w:rPr>
                <w:i/>
                <w:iCs/>
                <w:sz w:val="22"/>
                <w:szCs w:val="22"/>
              </w:rPr>
            </w:pPr>
          </w:p>
        </w:tc>
      </w:tr>
    </w:tbl>
    <w:p w14:paraId="2D41B073" w14:textId="77777777" w:rsidR="001C08A5" w:rsidRDefault="00000000">
      <w:pPr>
        <w:jc w:val="both"/>
        <w:rPr>
          <w:i/>
          <w:sz w:val="22"/>
          <w:szCs w:val="22"/>
        </w:rPr>
      </w:pPr>
      <w:r>
        <w:rPr>
          <w:i/>
          <w:sz w:val="22"/>
          <w:szCs w:val="22"/>
          <w:u w:val="single"/>
        </w:rPr>
        <w:t>Note</w:t>
      </w:r>
      <w:r>
        <w:rPr>
          <w:i/>
          <w:sz w:val="22"/>
          <w:szCs w:val="22"/>
        </w:rPr>
        <w:t xml:space="preserve">: </w:t>
      </w:r>
    </w:p>
    <w:p w14:paraId="4C1AF73B" w14:textId="77777777" w:rsidR="001C08A5" w:rsidRDefault="00000000">
      <w:pPr>
        <w:numPr>
          <w:ilvl w:val="0"/>
          <w:numId w:val="76"/>
        </w:numPr>
        <w:jc w:val="both"/>
        <w:rPr>
          <w:i/>
          <w:sz w:val="22"/>
          <w:szCs w:val="22"/>
        </w:rPr>
      </w:pPr>
      <w:r>
        <w:rPr>
          <w:i/>
          <w:sz w:val="22"/>
          <w:szCs w:val="22"/>
        </w:rPr>
        <w:t xml:space="preserve">La clădirile pentru sănătate supraterane cu înălţimi obişnuite (la care este necesar transportul bolnavilor cu targa sau căruciorul) care nu sunt săli aglomerate, clădiri înalte sau clădiri foarte înalte, dar sunt echipate cu instalaţii de detectare, semnalizare şi alarmare a incendiului cu acoperire totală, instalaţii automate de stingere a incendiilor </w:t>
      </w:r>
      <w:r>
        <w:rPr>
          <w:bCs/>
          <w:i/>
          <w:sz w:val="22"/>
          <w:szCs w:val="22"/>
        </w:rPr>
        <w:t xml:space="preserve">şi sisteme de evacuare a fumului din circulațiile comune orizontale (holuri și coridoare) și case de scări, </w:t>
      </w:r>
      <w:r>
        <w:rPr>
          <w:i/>
          <w:sz w:val="22"/>
          <w:szCs w:val="22"/>
        </w:rPr>
        <w:t xml:space="preserve">lungimile normate de evacuare a utilizatorilor sectoarelor de clădiri (sectorizarea se face prin elemente cu rol de securitate la incendiu conform cerințelor prevăzute de </w:t>
      </w:r>
      <w:r>
        <w:rPr>
          <w:b/>
          <w:bCs/>
          <w:i/>
          <w:iCs/>
          <w:sz w:val="22"/>
          <w:szCs w:val="22"/>
        </w:rPr>
        <w:fldChar w:fldCharType="begin"/>
      </w:r>
      <w:r>
        <w:rPr>
          <w:b/>
          <w:bCs/>
          <w:i/>
          <w:iCs/>
          <w:sz w:val="22"/>
          <w:szCs w:val="22"/>
        </w:rPr>
        <w:instrText xml:space="preserve"> REF _Ref12784 \h </w:instrText>
      </w:r>
      <w:r>
        <w:rPr>
          <w:b/>
          <w:bCs/>
          <w:i/>
          <w:iCs/>
          <w:sz w:val="22"/>
          <w:szCs w:val="22"/>
        </w:rPr>
      </w:r>
      <w:r>
        <w:rPr>
          <w:b/>
          <w:bCs/>
          <w:i/>
          <w:iCs/>
          <w:sz w:val="22"/>
          <w:szCs w:val="22"/>
        </w:rPr>
        <w:fldChar w:fldCharType="separate"/>
      </w:r>
      <w:r>
        <w:t>Tabelul 45</w:t>
      </w:r>
      <w:r>
        <w:rPr>
          <w:b/>
          <w:bCs/>
          <w:i/>
          <w:iCs/>
          <w:sz w:val="22"/>
          <w:szCs w:val="22"/>
        </w:rPr>
        <w:fldChar w:fldCharType="end"/>
      </w:r>
      <w:r>
        <w:rPr>
          <w:i/>
          <w:sz w:val="22"/>
          <w:szCs w:val="22"/>
        </w:rPr>
        <w:t xml:space="preserve">) care sunt accesibile doar personalului de deservire, întreţinere, administrativ, precum și a personalului de securitate / supraveghere (cu exceptia celor utilizate de catre bolnavi) se pot majora cu </w:t>
      </w:r>
      <w:r>
        <w:rPr>
          <w:b/>
          <w:bCs/>
          <w:i/>
          <w:sz w:val="22"/>
          <w:szCs w:val="22"/>
        </w:rPr>
        <w:t>25%</w:t>
      </w:r>
      <w:r>
        <w:rPr>
          <w:i/>
          <w:sz w:val="22"/>
          <w:szCs w:val="22"/>
        </w:rPr>
        <w:t>.</w:t>
      </w:r>
    </w:p>
    <w:p w14:paraId="418B68E7" w14:textId="77777777" w:rsidR="001C08A5" w:rsidRDefault="00000000">
      <w:pPr>
        <w:numPr>
          <w:ilvl w:val="255"/>
          <w:numId w:val="0"/>
        </w:numPr>
        <w:jc w:val="both"/>
        <w:rPr>
          <w:i/>
          <w:sz w:val="22"/>
          <w:szCs w:val="22"/>
        </w:rPr>
      </w:pPr>
      <w:r>
        <w:rPr>
          <w:b/>
          <w:i/>
          <w:sz w:val="22"/>
          <w:szCs w:val="22"/>
        </w:rPr>
        <w:t xml:space="preserve">* </w:t>
      </w:r>
      <w:r>
        <w:rPr>
          <w:i/>
          <w:sz w:val="22"/>
          <w:szCs w:val="22"/>
        </w:rPr>
        <w:t>= numai clădiri parter</w:t>
      </w:r>
    </w:p>
    <w:p w14:paraId="1C4430EC" w14:textId="77777777" w:rsidR="001C08A5" w:rsidRDefault="001C08A5">
      <w:pPr>
        <w:jc w:val="both"/>
        <w:rPr>
          <w:sz w:val="24"/>
          <w:szCs w:val="24"/>
        </w:rPr>
      </w:pPr>
    </w:p>
    <w:p w14:paraId="7F15A0C0" w14:textId="77777777" w:rsidR="001C08A5" w:rsidRDefault="00000000">
      <w:pPr>
        <w:pStyle w:val="Captiontabel"/>
      </w:pPr>
      <w:bookmarkStart w:id="3565" w:name="_Ref14289"/>
      <w:bookmarkStart w:id="3566" w:name="_Ref11357"/>
      <w:bookmarkStart w:id="3567" w:name="_Toc162360118"/>
      <w:r>
        <w:t xml:space="preserve">Tabelul </w:t>
      </w:r>
      <w:r>
        <w:fldChar w:fldCharType="begin"/>
      </w:r>
      <w:r>
        <w:instrText xml:space="preserve"> SEQ Tabelul \* ARABIC </w:instrText>
      </w:r>
      <w:r>
        <w:fldChar w:fldCharType="separate"/>
      </w:r>
      <w:r>
        <w:t>68</w:t>
      </w:r>
      <w:r>
        <w:fldChar w:fldCharType="end"/>
      </w:r>
      <w:bookmarkStart w:id="3568" w:name="_Toc21056"/>
      <w:bookmarkStart w:id="3569" w:name="_Toc28475"/>
      <w:bookmarkStart w:id="3570" w:name="_Toc847"/>
      <w:bookmarkStart w:id="3571" w:name="_Toc29116"/>
      <w:bookmarkStart w:id="3572" w:name="_Toc31566"/>
      <w:bookmarkStart w:id="3573" w:name="_Toc2857"/>
      <w:bookmarkStart w:id="3574" w:name="_Toc31118"/>
      <w:bookmarkStart w:id="3575" w:name="_Toc26839"/>
      <w:bookmarkStart w:id="3576" w:name="_Toc8705"/>
      <w:bookmarkStart w:id="3577" w:name="_Toc26043"/>
      <w:bookmarkStart w:id="3578" w:name="_Toc13068"/>
      <w:bookmarkStart w:id="3579" w:name="_Toc7912"/>
      <w:bookmarkStart w:id="3580" w:name="_Toc15714"/>
      <w:bookmarkStart w:id="3581" w:name="_Toc2118"/>
      <w:bookmarkStart w:id="3582" w:name="_Toc16774"/>
      <w:bookmarkStart w:id="3583" w:name="_Toc79"/>
      <w:bookmarkStart w:id="3584" w:name="_Toc20527"/>
      <w:bookmarkStart w:id="3585" w:name="_Toc1054"/>
      <w:bookmarkStart w:id="3586" w:name="_Toc8417"/>
      <w:bookmarkEnd w:id="3565"/>
      <w:r>
        <w:t>: Lungimi de evacuare în clădiri pentru sănătate supraterane cu înălţimi obişnuite (la care nu este necesar transportul bolnavilor cu targa sau căruciorul)</w:t>
      </w:r>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p>
    <w:p w14:paraId="7BC4EFD7" w14:textId="77777777" w:rsidR="001C08A5" w:rsidRDefault="001C08A5">
      <w:pPr>
        <w:jc w:val="both"/>
        <w:rPr>
          <w:sz w:val="24"/>
          <w:szCs w:val="24"/>
        </w:rPr>
      </w:pPr>
    </w:p>
    <w:tbl>
      <w:tblPr>
        <w:tblW w:w="9550" w:type="dxa"/>
        <w:tblInd w:w="176" w:type="dxa"/>
        <w:tblLayout w:type="fixed"/>
        <w:tblLook w:val="04A0" w:firstRow="1" w:lastRow="0" w:firstColumn="1" w:lastColumn="0" w:noHBand="0" w:noVBand="1"/>
      </w:tblPr>
      <w:tblGrid>
        <w:gridCol w:w="630"/>
        <w:gridCol w:w="3070"/>
        <w:gridCol w:w="1500"/>
        <w:gridCol w:w="1488"/>
        <w:gridCol w:w="1612"/>
        <w:gridCol w:w="1250"/>
      </w:tblGrid>
      <w:tr w:rsidR="001C08A5" w14:paraId="6F3D96B9" w14:textId="77777777">
        <w:tc>
          <w:tcPr>
            <w:tcW w:w="630" w:type="dxa"/>
            <w:vMerge w:val="restart"/>
            <w:tcBorders>
              <w:top w:val="single" w:sz="8" w:space="0" w:color="000000"/>
              <w:left w:val="single" w:sz="8" w:space="0" w:color="000000"/>
              <w:bottom w:val="single" w:sz="4" w:space="0" w:color="000000"/>
            </w:tcBorders>
            <w:shd w:val="clear" w:color="auto" w:fill="BFBFBF"/>
          </w:tcPr>
          <w:p w14:paraId="4D320251" w14:textId="77777777" w:rsidR="001C08A5" w:rsidRDefault="001C08A5">
            <w:pPr>
              <w:snapToGrid w:val="0"/>
              <w:jc w:val="center"/>
              <w:rPr>
                <w:b/>
                <w:i/>
                <w:iCs/>
                <w:sz w:val="22"/>
                <w:szCs w:val="22"/>
              </w:rPr>
            </w:pPr>
          </w:p>
          <w:p w14:paraId="128FB6F8" w14:textId="77777777" w:rsidR="001C08A5" w:rsidRDefault="001C08A5">
            <w:pPr>
              <w:jc w:val="center"/>
              <w:rPr>
                <w:b/>
                <w:i/>
                <w:iCs/>
                <w:sz w:val="22"/>
                <w:szCs w:val="22"/>
              </w:rPr>
            </w:pPr>
          </w:p>
          <w:p w14:paraId="2E6AFDE5" w14:textId="77777777" w:rsidR="001C08A5" w:rsidRDefault="00000000">
            <w:pPr>
              <w:jc w:val="center"/>
              <w:rPr>
                <w:i/>
                <w:iCs/>
                <w:sz w:val="22"/>
                <w:szCs w:val="22"/>
              </w:rPr>
            </w:pPr>
            <w:r>
              <w:rPr>
                <w:b/>
                <w:i/>
                <w:iCs/>
                <w:sz w:val="22"/>
                <w:szCs w:val="22"/>
              </w:rPr>
              <w:t>Nr. crt.</w:t>
            </w:r>
          </w:p>
          <w:p w14:paraId="599AFDB3" w14:textId="77777777" w:rsidR="001C08A5" w:rsidRDefault="001C08A5">
            <w:pPr>
              <w:jc w:val="center"/>
              <w:rPr>
                <w:i/>
                <w:iCs/>
                <w:sz w:val="22"/>
                <w:szCs w:val="22"/>
              </w:rPr>
            </w:pPr>
          </w:p>
        </w:tc>
        <w:tc>
          <w:tcPr>
            <w:tcW w:w="3070" w:type="dxa"/>
            <w:vMerge w:val="restart"/>
            <w:tcBorders>
              <w:top w:val="single" w:sz="8" w:space="0" w:color="000000"/>
              <w:left w:val="single" w:sz="4" w:space="0" w:color="000000"/>
              <w:bottom w:val="single" w:sz="4" w:space="0" w:color="000000"/>
            </w:tcBorders>
            <w:shd w:val="clear" w:color="auto" w:fill="BFBFBF"/>
          </w:tcPr>
          <w:p w14:paraId="2A03AF1E" w14:textId="77777777" w:rsidR="001C08A5" w:rsidRDefault="001C08A5">
            <w:pPr>
              <w:snapToGrid w:val="0"/>
              <w:jc w:val="center"/>
              <w:rPr>
                <w:b/>
                <w:i/>
                <w:iCs/>
                <w:sz w:val="22"/>
                <w:szCs w:val="22"/>
              </w:rPr>
            </w:pPr>
          </w:p>
          <w:p w14:paraId="6A61EBBC" w14:textId="77777777" w:rsidR="001C08A5" w:rsidRDefault="001C08A5">
            <w:pPr>
              <w:jc w:val="center"/>
              <w:rPr>
                <w:b/>
                <w:i/>
                <w:iCs/>
                <w:sz w:val="22"/>
                <w:szCs w:val="22"/>
              </w:rPr>
            </w:pPr>
          </w:p>
          <w:p w14:paraId="499D8355" w14:textId="77777777" w:rsidR="001C08A5" w:rsidRDefault="00000000">
            <w:pPr>
              <w:jc w:val="center"/>
              <w:rPr>
                <w:b/>
                <w:i/>
                <w:iCs/>
                <w:sz w:val="22"/>
                <w:szCs w:val="22"/>
              </w:rPr>
            </w:pPr>
            <w:r>
              <w:rPr>
                <w:b/>
                <w:i/>
                <w:iCs/>
                <w:sz w:val="22"/>
                <w:szCs w:val="22"/>
              </w:rPr>
              <w:t>Clădiri pentru sănătate</w:t>
            </w:r>
          </w:p>
        </w:tc>
        <w:tc>
          <w:tcPr>
            <w:tcW w:w="1500" w:type="dxa"/>
            <w:vMerge w:val="restart"/>
            <w:tcBorders>
              <w:top w:val="single" w:sz="8" w:space="0" w:color="000000"/>
              <w:left w:val="single" w:sz="4" w:space="0" w:color="000000"/>
              <w:bottom w:val="single" w:sz="4" w:space="0" w:color="000000"/>
            </w:tcBorders>
            <w:shd w:val="clear" w:color="auto" w:fill="BFBFBF"/>
          </w:tcPr>
          <w:p w14:paraId="3AC42D45" w14:textId="77777777" w:rsidR="001C08A5" w:rsidRDefault="00000000">
            <w:pPr>
              <w:jc w:val="center"/>
              <w:rPr>
                <w:b/>
                <w:i/>
                <w:iCs/>
                <w:sz w:val="22"/>
                <w:szCs w:val="22"/>
              </w:rPr>
            </w:pPr>
            <w:r>
              <w:rPr>
                <w:b/>
                <w:i/>
                <w:iCs/>
                <w:sz w:val="22"/>
                <w:szCs w:val="22"/>
              </w:rPr>
              <w:t>Nivel de stabilitate  la incendiu asigurat</w:t>
            </w:r>
          </w:p>
        </w:tc>
        <w:tc>
          <w:tcPr>
            <w:tcW w:w="3100" w:type="dxa"/>
            <w:gridSpan w:val="2"/>
            <w:tcBorders>
              <w:top w:val="single" w:sz="8" w:space="0" w:color="000000"/>
              <w:left w:val="single" w:sz="4" w:space="0" w:color="000000"/>
              <w:bottom w:val="single" w:sz="4" w:space="0" w:color="000000"/>
            </w:tcBorders>
            <w:shd w:val="clear" w:color="auto" w:fill="BFBFBF"/>
          </w:tcPr>
          <w:p w14:paraId="13097E4B" w14:textId="77777777" w:rsidR="001C08A5" w:rsidRDefault="00000000">
            <w:pPr>
              <w:jc w:val="center"/>
              <w:rPr>
                <w:b/>
                <w:i/>
                <w:iCs/>
                <w:sz w:val="22"/>
                <w:szCs w:val="22"/>
              </w:rPr>
            </w:pPr>
            <w:r>
              <w:rPr>
                <w:b/>
                <w:i/>
                <w:iCs/>
                <w:sz w:val="22"/>
                <w:szCs w:val="22"/>
              </w:rPr>
              <w:t xml:space="preserve">Lungime maximă de evacuare </w:t>
            </w:r>
          </w:p>
        </w:tc>
        <w:tc>
          <w:tcPr>
            <w:tcW w:w="1250" w:type="dxa"/>
            <w:vMerge w:val="restart"/>
            <w:tcBorders>
              <w:top w:val="single" w:sz="8" w:space="0" w:color="000000"/>
              <w:left w:val="single" w:sz="4" w:space="0" w:color="000000"/>
              <w:bottom w:val="single" w:sz="4" w:space="0" w:color="000000"/>
              <w:right w:val="single" w:sz="8" w:space="0" w:color="000000"/>
            </w:tcBorders>
            <w:shd w:val="clear" w:color="auto" w:fill="BFBFBF"/>
          </w:tcPr>
          <w:p w14:paraId="6E3ECEFF" w14:textId="77777777" w:rsidR="001C08A5" w:rsidRDefault="001C08A5">
            <w:pPr>
              <w:snapToGrid w:val="0"/>
              <w:jc w:val="center"/>
              <w:rPr>
                <w:b/>
                <w:i/>
                <w:iCs/>
                <w:sz w:val="22"/>
                <w:szCs w:val="22"/>
              </w:rPr>
            </w:pPr>
          </w:p>
          <w:p w14:paraId="7A97FEF9" w14:textId="77777777" w:rsidR="001C08A5" w:rsidRDefault="001C08A5">
            <w:pPr>
              <w:jc w:val="center"/>
              <w:rPr>
                <w:b/>
                <w:i/>
                <w:iCs/>
                <w:sz w:val="22"/>
                <w:szCs w:val="22"/>
              </w:rPr>
            </w:pPr>
          </w:p>
          <w:p w14:paraId="341D9DDA" w14:textId="77777777" w:rsidR="001C08A5" w:rsidRDefault="00000000">
            <w:pPr>
              <w:jc w:val="center"/>
              <w:rPr>
                <w:i/>
                <w:iCs/>
                <w:sz w:val="22"/>
                <w:szCs w:val="22"/>
              </w:rPr>
            </w:pPr>
            <w:r>
              <w:rPr>
                <w:b/>
                <w:i/>
                <w:iCs/>
                <w:sz w:val="22"/>
                <w:szCs w:val="22"/>
              </w:rPr>
              <w:t>Observaţii</w:t>
            </w:r>
          </w:p>
        </w:tc>
      </w:tr>
      <w:tr w:rsidR="001C08A5" w14:paraId="02387C0B" w14:textId="77777777">
        <w:tc>
          <w:tcPr>
            <w:tcW w:w="630" w:type="dxa"/>
            <w:vMerge/>
            <w:tcBorders>
              <w:top w:val="single" w:sz="4" w:space="0" w:color="000000"/>
              <w:left w:val="single" w:sz="8" w:space="0" w:color="000000"/>
              <w:bottom w:val="single" w:sz="4" w:space="0" w:color="000000"/>
            </w:tcBorders>
            <w:shd w:val="clear" w:color="auto" w:fill="auto"/>
          </w:tcPr>
          <w:p w14:paraId="28CC31F1" w14:textId="77777777" w:rsidR="001C08A5" w:rsidRDefault="001C08A5">
            <w:pPr>
              <w:snapToGrid w:val="0"/>
              <w:jc w:val="center"/>
              <w:rPr>
                <w:i/>
                <w:iCs/>
                <w:sz w:val="22"/>
                <w:szCs w:val="22"/>
              </w:rPr>
            </w:pPr>
          </w:p>
        </w:tc>
        <w:tc>
          <w:tcPr>
            <w:tcW w:w="3070" w:type="dxa"/>
            <w:vMerge/>
            <w:tcBorders>
              <w:top w:val="single" w:sz="4" w:space="0" w:color="000000"/>
              <w:left w:val="single" w:sz="4" w:space="0" w:color="000000"/>
              <w:bottom w:val="single" w:sz="4" w:space="0" w:color="000000"/>
            </w:tcBorders>
            <w:shd w:val="clear" w:color="auto" w:fill="auto"/>
          </w:tcPr>
          <w:p w14:paraId="3CA4B268" w14:textId="77777777" w:rsidR="001C08A5" w:rsidRDefault="001C08A5">
            <w:pPr>
              <w:snapToGrid w:val="0"/>
              <w:jc w:val="center"/>
              <w:rPr>
                <w:i/>
                <w:iCs/>
                <w:sz w:val="22"/>
                <w:szCs w:val="22"/>
              </w:rPr>
            </w:pPr>
          </w:p>
        </w:tc>
        <w:tc>
          <w:tcPr>
            <w:tcW w:w="1500" w:type="dxa"/>
            <w:vMerge/>
            <w:tcBorders>
              <w:top w:val="single" w:sz="4" w:space="0" w:color="000000"/>
              <w:left w:val="single" w:sz="4" w:space="0" w:color="000000"/>
              <w:bottom w:val="single" w:sz="4" w:space="0" w:color="000000"/>
            </w:tcBorders>
            <w:shd w:val="clear" w:color="auto" w:fill="auto"/>
          </w:tcPr>
          <w:p w14:paraId="155D210B" w14:textId="77777777" w:rsidR="001C08A5" w:rsidRDefault="001C08A5">
            <w:pPr>
              <w:snapToGrid w:val="0"/>
              <w:jc w:val="center"/>
              <w:rPr>
                <w:i/>
                <w:iCs/>
                <w:sz w:val="22"/>
                <w:szCs w:val="22"/>
              </w:rPr>
            </w:pPr>
          </w:p>
        </w:tc>
        <w:tc>
          <w:tcPr>
            <w:tcW w:w="1488" w:type="dxa"/>
            <w:tcBorders>
              <w:top w:val="single" w:sz="4" w:space="0" w:color="000000"/>
              <w:left w:val="single" w:sz="4" w:space="0" w:color="000000"/>
              <w:bottom w:val="single" w:sz="4" w:space="0" w:color="000000"/>
            </w:tcBorders>
            <w:shd w:val="clear" w:color="auto" w:fill="BFBFBF"/>
          </w:tcPr>
          <w:p w14:paraId="30C94DA2" w14:textId="77777777" w:rsidR="001C08A5" w:rsidRDefault="00000000">
            <w:pPr>
              <w:jc w:val="center"/>
              <w:rPr>
                <w:b/>
                <w:i/>
                <w:iCs/>
                <w:sz w:val="22"/>
                <w:szCs w:val="22"/>
              </w:rPr>
            </w:pPr>
            <w:r>
              <w:rPr>
                <w:b/>
                <w:i/>
                <w:iCs/>
                <w:sz w:val="22"/>
                <w:szCs w:val="22"/>
              </w:rPr>
              <w:t>în două direcţii diferite</w:t>
            </w:r>
          </w:p>
        </w:tc>
        <w:tc>
          <w:tcPr>
            <w:tcW w:w="1612" w:type="dxa"/>
            <w:tcBorders>
              <w:top w:val="single" w:sz="4" w:space="0" w:color="000000"/>
              <w:left w:val="single" w:sz="4" w:space="0" w:color="000000"/>
              <w:bottom w:val="single" w:sz="4" w:space="0" w:color="000000"/>
            </w:tcBorders>
            <w:shd w:val="clear" w:color="auto" w:fill="BFBFBF"/>
          </w:tcPr>
          <w:p w14:paraId="35B400E4" w14:textId="77777777" w:rsidR="001C08A5" w:rsidRDefault="00000000">
            <w:pPr>
              <w:jc w:val="center"/>
              <w:rPr>
                <w:i/>
                <w:iCs/>
                <w:sz w:val="22"/>
                <w:szCs w:val="22"/>
              </w:rPr>
            </w:pPr>
            <w:r>
              <w:rPr>
                <w:b/>
                <w:i/>
                <w:iCs/>
                <w:sz w:val="22"/>
                <w:szCs w:val="22"/>
              </w:rPr>
              <w:t>într-o direcţie (coridor înfundat)</w:t>
            </w:r>
          </w:p>
        </w:tc>
        <w:tc>
          <w:tcPr>
            <w:tcW w:w="1250" w:type="dxa"/>
            <w:vMerge/>
            <w:tcBorders>
              <w:top w:val="single" w:sz="4" w:space="0" w:color="000000"/>
              <w:left w:val="single" w:sz="4" w:space="0" w:color="000000"/>
              <w:bottom w:val="single" w:sz="4" w:space="0" w:color="000000"/>
              <w:right w:val="single" w:sz="8" w:space="0" w:color="000000"/>
            </w:tcBorders>
          </w:tcPr>
          <w:p w14:paraId="5592F7C7" w14:textId="77777777" w:rsidR="001C08A5" w:rsidRDefault="001C08A5">
            <w:pPr>
              <w:snapToGrid w:val="0"/>
              <w:rPr>
                <w:i/>
                <w:iCs/>
                <w:sz w:val="22"/>
                <w:szCs w:val="22"/>
              </w:rPr>
            </w:pPr>
          </w:p>
        </w:tc>
      </w:tr>
      <w:tr w:rsidR="001C08A5" w14:paraId="345BDD06" w14:textId="77777777">
        <w:tc>
          <w:tcPr>
            <w:tcW w:w="630" w:type="dxa"/>
            <w:vMerge/>
            <w:tcBorders>
              <w:top w:val="single" w:sz="4" w:space="0" w:color="000000"/>
              <w:left w:val="single" w:sz="8" w:space="0" w:color="000000"/>
              <w:bottom w:val="single" w:sz="8" w:space="0" w:color="000000"/>
            </w:tcBorders>
            <w:shd w:val="clear" w:color="auto" w:fill="auto"/>
          </w:tcPr>
          <w:p w14:paraId="4BFB50F1" w14:textId="77777777" w:rsidR="001C08A5" w:rsidRDefault="001C08A5">
            <w:pPr>
              <w:snapToGrid w:val="0"/>
              <w:jc w:val="center"/>
              <w:rPr>
                <w:i/>
                <w:iCs/>
                <w:sz w:val="22"/>
                <w:szCs w:val="22"/>
              </w:rPr>
            </w:pPr>
          </w:p>
        </w:tc>
        <w:tc>
          <w:tcPr>
            <w:tcW w:w="3070" w:type="dxa"/>
            <w:vMerge/>
            <w:tcBorders>
              <w:top w:val="single" w:sz="4" w:space="0" w:color="000000"/>
              <w:left w:val="single" w:sz="4" w:space="0" w:color="000000"/>
              <w:bottom w:val="single" w:sz="8" w:space="0" w:color="000000"/>
            </w:tcBorders>
            <w:shd w:val="clear" w:color="auto" w:fill="auto"/>
          </w:tcPr>
          <w:p w14:paraId="035D0812" w14:textId="77777777" w:rsidR="001C08A5" w:rsidRDefault="001C08A5">
            <w:pPr>
              <w:snapToGrid w:val="0"/>
              <w:jc w:val="center"/>
              <w:rPr>
                <w:i/>
                <w:iCs/>
                <w:sz w:val="22"/>
                <w:szCs w:val="22"/>
              </w:rPr>
            </w:pPr>
          </w:p>
        </w:tc>
        <w:tc>
          <w:tcPr>
            <w:tcW w:w="1500" w:type="dxa"/>
            <w:vMerge/>
            <w:tcBorders>
              <w:top w:val="single" w:sz="4" w:space="0" w:color="000000"/>
              <w:left w:val="single" w:sz="4" w:space="0" w:color="000000"/>
              <w:bottom w:val="single" w:sz="8" w:space="0" w:color="000000"/>
            </w:tcBorders>
            <w:shd w:val="clear" w:color="auto" w:fill="auto"/>
          </w:tcPr>
          <w:p w14:paraId="230B4ED7" w14:textId="77777777" w:rsidR="001C08A5" w:rsidRDefault="001C08A5">
            <w:pPr>
              <w:snapToGrid w:val="0"/>
              <w:jc w:val="center"/>
              <w:rPr>
                <w:i/>
                <w:iCs/>
                <w:sz w:val="22"/>
                <w:szCs w:val="22"/>
              </w:rPr>
            </w:pPr>
          </w:p>
        </w:tc>
        <w:tc>
          <w:tcPr>
            <w:tcW w:w="1488" w:type="dxa"/>
            <w:tcBorders>
              <w:top w:val="single" w:sz="4" w:space="0" w:color="000000"/>
              <w:left w:val="single" w:sz="4" w:space="0" w:color="000000"/>
              <w:bottom w:val="single" w:sz="8" w:space="0" w:color="000000"/>
            </w:tcBorders>
            <w:shd w:val="clear" w:color="auto" w:fill="BFBFBF"/>
          </w:tcPr>
          <w:p w14:paraId="03DC5FB5" w14:textId="77777777" w:rsidR="001C08A5" w:rsidRDefault="00000000">
            <w:pPr>
              <w:jc w:val="center"/>
              <w:rPr>
                <w:b/>
                <w:i/>
                <w:iCs/>
                <w:sz w:val="22"/>
                <w:szCs w:val="22"/>
              </w:rPr>
            </w:pPr>
            <w:r>
              <w:rPr>
                <w:b/>
                <w:i/>
                <w:iCs/>
                <w:sz w:val="22"/>
                <w:szCs w:val="22"/>
              </w:rPr>
              <w:t>metri</w:t>
            </w:r>
          </w:p>
        </w:tc>
        <w:tc>
          <w:tcPr>
            <w:tcW w:w="1612" w:type="dxa"/>
            <w:tcBorders>
              <w:top w:val="single" w:sz="4" w:space="0" w:color="000000"/>
              <w:left w:val="single" w:sz="4" w:space="0" w:color="000000"/>
              <w:bottom w:val="single" w:sz="8" w:space="0" w:color="000000"/>
            </w:tcBorders>
            <w:shd w:val="clear" w:color="auto" w:fill="BFBFBF"/>
          </w:tcPr>
          <w:p w14:paraId="38504ED0" w14:textId="77777777" w:rsidR="001C08A5" w:rsidRDefault="00000000">
            <w:pPr>
              <w:jc w:val="center"/>
              <w:rPr>
                <w:i/>
                <w:iCs/>
                <w:sz w:val="22"/>
                <w:szCs w:val="22"/>
              </w:rPr>
            </w:pPr>
            <w:r>
              <w:rPr>
                <w:b/>
                <w:i/>
                <w:iCs/>
                <w:sz w:val="22"/>
                <w:szCs w:val="22"/>
              </w:rPr>
              <w:t>metri</w:t>
            </w:r>
          </w:p>
        </w:tc>
        <w:tc>
          <w:tcPr>
            <w:tcW w:w="1250" w:type="dxa"/>
            <w:vMerge/>
            <w:tcBorders>
              <w:top w:val="single" w:sz="4" w:space="0" w:color="000000"/>
              <w:left w:val="single" w:sz="4" w:space="0" w:color="000000"/>
              <w:bottom w:val="single" w:sz="8" w:space="0" w:color="000000"/>
              <w:right w:val="single" w:sz="8" w:space="0" w:color="000000"/>
            </w:tcBorders>
          </w:tcPr>
          <w:p w14:paraId="7BEC53E8" w14:textId="77777777" w:rsidR="001C08A5" w:rsidRDefault="001C08A5">
            <w:pPr>
              <w:snapToGrid w:val="0"/>
              <w:rPr>
                <w:i/>
                <w:iCs/>
                <w:sz w:val="22"/>
                <w:szCs w:val="22"/>
              </w:rPr>
            </w:pPr>
          </w:p>
        </w:tc>
      </w:tr>
      <w:tr w:rsidR="001C08A5" w14:paraId="141A740E" w14:textId="77777777">
        <w:trPr>
          <w:trHeight w:val="564"/>
        </w:trPr>
        <w:tc>
          <w:tcPr>
            <w:tcW w:w="630" w:type="dxa"/>
            <w:vMerge w:val="restart"/>
            <w:tcBorders>
              <w:top w:val="single" w:sz="8" w:space="0" w:color="000000"/>
              <w:left w:val="single" w:sz="4" w:space="0" w:color="000000"/>
              <w:bottom w:val="single" w:sz="4" w:space="0" w:color="000000"/>
            </w:tcBorders>
          </w:tcPr>
          <w:p w14:paraId="433AFED4" w14:textId="77777777" w:rsidR="001C08A5" w:rsidRDefault="001C08A5">
            <w:pPr>
              <w:snapToGrid w:val="0"/>
              <w:jc w:val="center"/>
              <w:rPr>
                <w:i/>
                <w:iCs/>
                <w:sz w:val="22"/>
                <w:szCs w:val="22"/>
              </w:rPr>
            </w:pPr>
          </w:p>
          <w:p w14:paraId="494EE814" w14:textId="77777777" w:rsidR="001C08A5" w:rsidRDefault="00000000">
            <w:pPr>
              <w:jc w:val="center"/>
              <w:rPr>
                <w:i/>
                <w:iCs/>
                <w:sz w:val="22"/>
                <w:szCs w:val="22"/>
              </w:rPr>
            </w:pPr>
            <w:r>
              <w:rPr>
                <w:i/>
                <w:iCs/>
                <w:sz w:val="22"/>
                <w:szCs w:val="22"/>
              </w:rPr>
              <w:t>1.</w:t>
            </w:r>
          </w:p>
        </w:tc>
        <w:tc>
          <w:tcPr>
            <w:tcW w:w="3070" w:type="dxa"/>
            <w:vMerge w:val="restart"/>
            <w:tcBorders>
              <w:top w:val="single" w:sz="8" w:space="0" w:color="000000"/>
              <w:left w:val="single" w:sz="4" w:space="0" w:color="000000"/>
              <w:bottom w:val="single" w:sz="4" w:space="0" w:color="000000"/>
            </w:tcBorders>
          </w:tcPr>
          <w:p w14:paraId="732A11AB" w14:textId="77777777" w:rsidR="001C08A5" w:rsidRDefault="00000000">
            <w:pPr>
              <w:jc w:val="center"/>
              <w:rPr>
                <w:i/>
                <w:iCs/>
                <w:sz w:val="22"/>
                <w:szCs w:val="22"/>
              </w:rPr>
            </w:pPr>
            <w:r>
              <w:rPr>
                <w:i/>
                <w:iCs/>
                <w:sz w:val="22"/>
                <w:szCs w:val="22"/>
              </w:rPr>
              <w:t>Spitale, policlinici, centre medicale de diagnostic și tratament, centre medicale și de sănătate multifuncționale, clinici și unități medicale ambulatorii similare policlinicilor, sanatorii,</w:t>
            </w:r>
          </w:p>
          <w:p w14:paraId="2FF4B51F" w14:textId="77777777" w:rsidR="001C08A5" w:rsidRDefault="00000000">
            <w:pPr>
              <w:jc w:val="center"/>
              <w:rPr>
                <w:b/>
                <w:i/>
                <w:iCs/>
                <w:sz w:val="22"/>
                <w:szCs w:val="22"/>
              </w:rPr>
            </w:pPr>
            <w:r>
              <w:rPr>
                <w:i/>
                <w:iCs/>
                <w:sz w:val="22"/>
                <w:szCs w:val="22"/>
              </w:rPr>
              <w:t>cămine de bătrâni și persoane cu dizabilități etc..</w:t>
            </w:r>
          </w:p>
        </w:tc>
        <w:tc>
          <w:tcPr>
            <w:tcW w:w="1500" w:type="dxa"/>
            <w:tcBorders>
              <w:top w:val="single" w:sz="8" w:space="0" w:color="000000"/>
              <w:left w:val="single" w:sz="4" w:space="0" w:color="000000"/>
              <w:bottom w:val="single" w:sz="4" w:space="0" w:color="000000"/>
            </w:tcBorders>
            <w:vAlign w:val="center"/>
          </w:tcPr>
          <w:p w14:paraId="59D54498" w14:textId="77777777" w:rsidR="001C08A5" w:rsidRDefault="00000000">
            <w:pPr>
              <w:jc w:val="center"/>
              <w:rPr>
                <w:b/>
                <w:i/>
                <w:iCs/>
                <w:sz w:val="22"/>
                <w:szCs w:val="22"/>
              </w:rPr>
            </w:pPr>
            <w:r>
              <w:rPr>
                <w:b/>
                <w:i/>
                <w:iCs/>
                <w:sz w:val="22"/>
                <w:szCs w:val="22"/>
              </w:rPr>
              <w:t>I și II</w:t>
            </w:r>
          </w:p>
        </w:tc>
        <w:tc>
          <w:tcPr>
            <w:tcW w:w="1488" w:type="dxa"/>
            <w:tcBorders>
              <w:top w:val="single" w:sz="8" w:space="0" w:color="000000"/>
              <w:left w:val="single" w:sz="4" w:space="0" w:color="000000"/>
              <w:bottom w:val="single" w:sz="4" w:space="0" w:color="000000"/>
            </w:tcBorders>
            <w:vAlign w:val="center"/>
          </w:tcPr>
          <w:p w14:paraId="65B56F5B" w14:textId="77777777" w:rsidR="001C08A5" w:rsidRDefault="00000000">
            <w:pPr>
              <w:jc w:val="center"/>
              <w:rPr>
                <w:b/>
                <w:i/>
                <w:iCs/>
                <w:sz w:val="22"/>
                <w:szCs w:val="22"/>
              </w:rPr>
            </w:pPr>
            <w:r>
              <w:rPr>
                <w:b/>
                <w:i/>
                <w:iCs/>
                <w:sz w:val="22"/>
                <w:szCs w:val="22"/>
              </w:rPr>
              <w:t>40</w:t>
            </w:r>
          </w:p>
        </w:tc>
        <w:tc>
          <w:tcPr>
            <w:tcW w:w="1612" w:type="dxa"/>
            <w:tcBorders>
              <w:top w:val="single" w:sz="8" w:space="0" w:color="000000"/>
              <w:left w:val="single" w:sz="4" w:space="0" w:color="000000"/>
              <w:bottom w:val="single" w:sz="4" w:space="0" w:color="000000"/>
            </w:tcBorders>
            <w:vAlign w:val="center"/>
          </w:tcPr>
          <w:p w14:paraId="7C7DE4B9" w14:textId="77777777" w:rsidR="001C08A5" w:rsidRDefault="00000000">
            <w:pPr>
              <w:jc w:val="center"/>
              <w:rPr>
                <w:b/>
                <w:i/>
                <w:iCs/>
                <w:sz w:val="22"/>
                <w:szCs w:val="22"/>
              </w:rPr>
            </w:pPr>
            <w:r>
              <w:rPr>
                <w:b/>
                <w:i/>
                <w:iCs/>
                <w:sz w:val="22"/>
                <w:szCs w:val="22"/>
              </w:rPr>
              <w:t>20</w:t>
            </w:r>
          </w:p>
        </w:tc>
        <w:tc>
          <w:tcPr>
            <w:tcW w:w="1250" w:type="dxa"/>
            <w:vMerge w:val="restart"/>
            <w:tcBorders>
              <w:top w:val="single" w:sz="8" w:space="0" w:color="000000"/>
              <w:left w:val="single" w:sz="4" w:space="0" w:color="000000"/>
              <w:bottom w:val="single" w:sz="4" w:space="0" w:color="000000"/>
              <w:right w:val="single" w:sz="4" w:space="0" w:color="000000"/>
            </w:tcBorders>
            <w:vAlign w:val="center"/>
          </w:tcPr>
          <w:p w14:paraId="04BC9847" w14:textId="77777777" w:rsidR="001C08A5" w:rsidRDefault="001C08A5">
            <w:pPr>
              <w:snapToGrid w:val="0"/>
              <w:jc w:val="center"/>
              <w:rPr>
                <w:i/>
                <w:iCs/>
                <w:sz w:val="22"/>
                <w:szCs w:val="22"/>
              </w:rPr>
            </w:pPr>
          </w:p>
          <w:p w14:paraId="522A9410" w14:textId="77777777" w:rsidR="001C08A5" w:rsidRDefault="001C08A5">
            <w:pPr>
              <w:jc w:val="center"/>
              <w:rPr>
                <w:i/>
                <w:iCs/>
                <w:sz w:val="22"/>
                <w:szCs w:val="22"/>
              </w:rPr>
            </w:pPr>
          </w:p>
          <w:p w14:paraId="467F1376" w14:textId="77777777" w:rsidR="001C08A5" w:rsidRDefault="00000000">
            <w:pPr>
              <w:jc w:val="center"/>
              <w:rPr>
                <w:i/>
                <w:iCs/>
                <w:sz w:val="22"/>
                <w:szCs w:val="22"/>
              </w:rPr>
            </w:pPr>
            <w:r>
              <w:rPr>
                <w:i/>
                <w:iCs/>
                <w:sz w:val="22"/>
                <w:szCs w:val="22"/>
              </w:rPr>
              <w:t>-</w:t>
            </w:r>
          </w:p>
        </w:tc>
      </w:tr>
      <w:tr w:rsidR="001C08A5" w14:paraId="67B667A2" w14:textId="77777777">
        <w:trPr>
          <w:trHeight w:val="564"/>
        </w:trPr>
        <w:tc>
          <w:tcPr>
            <w:tcW w:w="630" w:type="dxa"/>
            <w:vMerge/>
            <w:tcBorders>
              <w:top w:val="single" w:sz="4" w:space="0" w:color="000000"/>
              <w:left w:val="single" w:sz="4" w:space="0" w:color="000000"/>
              <w:bottom w:val="single" w:sz="4" w:space="0" w:color="000000"/>
            </w:tcBorders>
          </w:tcPr>
          <w:p w14:paraId="55E2FCED" w14:textId="77777777" w:rsidR="001C08A5" w:rsidRDefault="001C08A5">
            <w:pPr>
              <w:snapToGrid w:val="0"/>
              <w:jc w:val="center"/>
              <w:rPr>
                <w:i/>
                <w:iCs/>
                <w:sz w:val="22"/>
                <w:szCs w:val="22"/>
              </w:rPr>
            </w:pPr>
          </w:p>
        </w:tc>
        <w:tc>
          <w:tcPr>
            <w:tcW w:w="3070" w:type="dxa"/>
            <w:vMerge/>
            <w:tcBorders>
              <w:top w:val="single" w:sz="4" w:space="0" w:color="000000"/>
              <w:left w:val="single" w:sz="4" w:space="0" w:color="000000"/>
              <w:bottom w:val="single" w:sz="4" w:space="0" w:color="000000"/>
            </w:tcBorders>
          </w:tcPr>
          <w:p w14:paraId="000DE0A6" w14:textId="77777777" w:rsidR="001C08A5" w:rsidRDefault="001C08A5">
            <w:pPr>
              <w:snapToGrid w:val="0"/>
              <w:jc w:val="center"/>
              <w:rPr>
                <w:i/>
                <w:iCs/>
                <w:sz w:val="22"/>
                <w:szCs w:val="22"/>
              </w:rPr>
            </w:pPr>
          </w:p>
        </w:tc>
        <w:tc>
          <w:tcPr>
            <w:tcW w:w="1500" w:type="dxa"/>
            <w:tcBorders>
              <w:top w:val="single" w:sz="4" w:space="0" w:color="000000"/>
              <w:left w:val="single" w:sz="4" w:space="0" w:color="000000"/>
              <w:bottom w:val="single" w:sz="4" w:space="0" w:color="000000"/>
            </w:tcBorders>
            <w:vAlign w:val="center"/>
          </w:tcPr>
          <w:p w14:paraId="2F6FFDE6" w14:textId="77777777" w:rsidR="001C08A5" w:rsidRDefault="00000000">
            <w:pPr>
              <w:jc w:val="center"/>
              <w:rPr>
                <w:b/>
                <w:i/>
                <w:iCs/>
                <w:sz w:val="22"/>
                <w:szCs w:val="22"/>
              </w:rPr>
            </w:pPr>
            <w:r>
              <w:rPr>
                <w:b/>
                <w:i/>
                <w:iCs/>
                <w:sz w:val="22"/>
                <w:szCs w:val="22"/>
              </w:rPr>
              <w:t>III</w:t>
            </w:r>
          </w:p>
        </w:tc>
        <w:tc>
          <w:tcPr>
            <w:tcW w:w="1488" w:type="dxa"/>
            <w:tcBorders>
              <w:top w:val="single" w:sz="4" w:space="0" w:color="000000"/>
              <w:left w:val="single" w:sz="4" w:space="0" w:color="000000"/>
              <w:bottom w:val="single" w:sz="4" w:space="0" w:color="000000"/>
            </w:tcBorders>
            <w:vAlign w:val="center"/>
          </w:tcPr>
          <w:p w14:paraId="766C1FDE" w14:textId="77777777" w:rsidR="001C08A5" w:rsidRDefault="00000000">
            <w:pPr>
              <w:jc w:val="center"/>
              <w:rPr>
                <w:b/>
                <w:i/>
                <w:iCs/>
                <w:sz w:val="22"/>
                <w:szCs w:val="22"/>
              </w:rPr>
            </w:pPr>
            <w:r>
              <w:rPr>
                <w:b/>
                <w:i/>
                <w:iCs/>
                <w:sz w:val="22"/>
                <w:szCs w:val="22"/>
              </w:rPr>
              <w:t>24</w:t>
            </w:r>
          </w:p>
        </w:tc>
        <w:tc>
          <w:tcPr>
            <w:tcW w:w="1612" w:type="dxa"/>
            <w:tcBorders>
              <w:top w:val="single" w:sz="4" w:space="0" w:color="000000"/>
              <w:left w:val="single" w:sz="4" w:space="0" w:color="000000"/>
              <w:bottom w:val="single" w:sz="4" w:space="0" w:color="000000"/>
            </w:tcBorders>
            <w:vAlign w:val="center"/>
          </w:tcPr>
          <w:p w14:paraId="2D0F81C8" w14:textId="77777777" w:rsidR="001C08A5" w:rsidRDefault="00000000">
            <w:pPr>
              <w:jc w:val="center"/>
              <w:rPr>
                <w:b/>
                <w:i/>
                <w:iCs/>
                <w:sz w:val="22"/>
                <w:szCs w:val="22"/>
              </w:rPr>
            </w:pPr>
            <w:r>
              <w:rPr>
                <w:b/>
                <w:i/>
                <w:iCs/>
                <w:sz w:val="22"/>
                <w:szCs w:val="22"/>
              </w:rPr>
              <w:t>16</w:t>
            </w:r>
          </w:p>
        </w:tc>
        <w:tc>
          <w:tcPr>
            <w:tcW w:w="1250" w:type="dxa"/>
            <w:vMerge/>
            <w:tcBorders>
              <w:top w:val="single" w:sz="4" w:space="0" w:color="000000"/>
              <w:left w:val="single" w:sz="4" w:space="0" w:color="000000"/>
              <w:bottom w:val="single" w:sz="4" w:space="0" w:color="000000"/>
              <w:right w:val="single" w:sz="4" w:space="0" w:color="000000"/>
            </w:tcBorders>
            <w:vAlign w:val="center"/>
          </w:tcPr>
          <w:p w14:paraId="46F2B27E" w14:textId="77777777" w:rsidR="001C08A5" w:rsidRDefault="001C08A5">
            <w:pPr>
              <w:snapToGrid w:val="0"/>
              <w:jc w:val="center"/>
              <w:rPr>
                <w:i/>
                <w:iCs/>
                <w:sz w:val="22"/>
                <w:szCs w:val="22"/>
              </w:rPr>
            </w:pPr>
          </w:p>
        </w:tc>
      </w:tr>
      <w:tr w:rsidR="001C08A5" w14:paraId="06B5836A" w14:textId="77777777">
        <w:trPr>
          <w:trHeight w:val="564"/>
        </w:trPr>
        <w:tc>
          <w:tcPr>
            <w:tcW w:w="630" w:type="dxa"/>
            <w:vMerge/>
            <w:tcBorders>
              <w:top w:val="single" w:sz="4" w:space="0" w:color="000000"/>
              <w:left w:val="single" w:sz="4" w:space="0" w:color="000000"/>
              <w:bottom w:val="single" w:sz="4" w:space="0" w:color="000000"/>
            </w:tcBorders>
          </w:tcPr>
          <w:p w14:paraId="5BB2A637" w14:textId="77777777" w:rsidR="001C08A5" w:rsidRDefault="001C08A5">
            <w:pPr>
              <w:snapToGrid w:val="0"/>
              <w:jc w:val="center"/>
              <w:rPr>
                <w:i/>
                <w:iCs/>
                <w:sz w:val="22"/>
                <w:szCs w:val="22"/>
              </w:rPr>
            </w:pPr>
          </w:p>
        </w:tc>
        <w:tc>
          <w:tcPr>
            <w:tcW w:w="3070" w:type="dxa"/>
            <w:vMerge/>
            <w:tcBorders>
              <w:top w:val="single" w:sz="4" w:space="0" w:color="000000"/>
              <w:left w:val="single" w:sz="4" w:space="0" w:color="000000"/>
              <w:bottom w:val="single" w:sz="4" w:space="0" w:color="000000"/>
            </w:tcBorders>
          </w:tcPr>
          <w:p w14:paraId="6F9F6930" w14:textId="77777777" w:rsidR="001C08A5" w:rsidRDefault="001C08A5">
            <w:pPr>
              <w:snapToGrid w:val="0"/>
              <w:jc w:val="center"/>
              <w:rPr>
                <w:i/>
                <w:iCs/>
                <w:sz w:val="22"/>
                <w:szCs w:val="22"/>
              </w:rPr>
            </w:pPr>
          </w:p>
        </w:tc>
        <w:tc>
          <w:tcPr>
            <w:tcW w:w="1500" w:type="dxa"/>
            <w:tcBorders>
              <w:top w:val="single" w:sz="4" w:space="0" w:color="000000"/>
              <w:left w:val="single" w:sz="4" w:space="0" w:color="000000"/>
              <w:bottom w:val="single" w:sz="4" w:space="0" w:color="000000"/>
            </w:tcBorders>
            <w:vAlign w:val="center"/>
          </w:tcPr>
          <w:p w14:paraId="51935524" w14:textId="77777777" w:rsidR="001C08A5" w:rsidRDefault="00000000">
            <w:pPr>
              <w:jc w:val="center"/>
              <w:rPr>
                <w:b/>
                <w:i/>
                <w:iCs/>
                <w:sz w:val="22"/>
                <w:szCs w:val="22"/>
              </w:rPr>
            </w:pPr>
            <w:r>
              <w:rPr>
                <w:b/>
                <w:i/>
                <w:iCs/>
                <w:sz w:val="22"/>
                <w:szCs w:val="22"/>
              </w:rPr>
              <w:t>IV</w:t>
            </w:r>
          </w:p>
        </w:tc>
        <w:tc>
          <w:tcPr>
            <w:tcW w:w="1488" w:type="dxa"/>
            <w:tcBorders>
              <w:top w:val="single" w:sz="4" w:space="0" w:color="000000"/>
              <w:left w:val="single" w:sz="4" w:space="0" w:color="000000"/>
              <w:bottom w:val="single" w:sz="4" w:space="0" w:color="000000"/>
            </w:tcBorders>
            <w:vAlign w:val="center"/>
          </w:tcPr>
          <w:p w14:paraId="1C3625EA" w14:textId="77777777" w:rsidR="001C08A5" w:rsidRDefault="00000000">
            <w:pPr>
              <w:jc w:val="center"/>
              <w:rPr>
                <w:b/>
                <w:i/>
                <w:iCs/>
                <w:sz w:val="22"/>
                <w:szCs w:val="22"/>
              </w:rPr>
            </w:pPr>
            <w:r>
              <w:rPr>
                <w:b/>
                <w:i/>
                <w:iCs/>
                <w:sz w:val="22"/>
                <w:szCs w:val="22"/>
              </w:rPr>
              <w:t>15</w:t>
            </w:r>
          </w:p>
        </w:tc>
        <w:tc>
          <w:tcPr>
            <w:tcW w:w="1612" w:type="dxa"/>
            <w:tcBorders>
              <w:top w:val="single" w:sz="4" w:space="0" w:color="000000"/>
              <w:left w:val="single" w:sz="4" w:space="0" w:color="000000"/>
              <w:bottom w:val="single" w:sz="4" w:space="0" w:color="000000"/>
            </w:tcBorders>
            <w:vAlign w:val="center"/>
          </w:tcPr>
          <w:p w14:paraId="645941B2" w14:textId="77777777" w:rsidR="001C08A5" w:rsidRDefault="00000000">
            <w:pPr>
              <w:jc w:val="center"/>
              <w:rPr>
                <w:b/>
                <w:i/>
                <w:iCs/>
                <w:sz w:val="22"/>
                <w:szCs w:val="22"/>
              </w:rPr>
            </w:pPr>
            <w:r>
              <w:rPr>
                <w:b/>
                <w:i/>
                <w:iCs/>
                <w:sz w:val="22"/>
                <w:szCs w:val="22"/>
              </w:rPr>
              <w:t>10</w:t>
            </w:r>
          </w:p>
        </w:tc>
        <w:tc>
          <w:tcPr>
            <w:tcW w:w="1250" w:type="dxa"/>
            <w:vMerge/>
            <w:tcBorders>
              <w:top w:val="single" w:sz="4" w:space="0" w:color="000000"/>
              <w:left w:val="single" w:sz="4" w:space="0" w:color="000000"/>
              <w:bottom w:val="single" w:sz="4" w:space="0" w:color="000000"/>
              <w:right w:val="single" w:sz="4" w:space="0" w:color="000000"/>
            </w:tcBorders>
            <w:vAlign w:val="center"/>
          </w:tcPr>
          <w:p w14:paraId="4F3A32A3" w14:textId="77777777" w:rsidR="001C08A5" w:rsidRDefault="001C08A5">
            <w:pPr>
              <w:snapToGrid w:val="0"/>
              <w:jc w:val="center"/>
              <w:rPr>
                <w:i/>
                <w:iCs/>
                <w:sz w:val="22"/>
                <w:szCs w:val="22"/>
              </w:rPr>
            </w:pPr>
          </w:p>
        </w:tc>
      </w:tr>
      <w:tr w:rsidR="001C08A5" w14:paraId="0CFAD254" w14:textId="77777777">
        <w:trPr>
          <w:trHeight w:val="564"/>
        </w:trPr>
        <w:tc>
          <w:tcPr>
            <w:tcW w:w="630" w:type="dxa"/>
            <w:vMerge/>
            <w:tcBorders>
              <w:top w:val="single" w:sz="4" w:space="0" w:color="000000"/>
              <w:left w:val="single" w:sz="4" w:space="0" w:color="000000"/>
              <w:bottom w:val="single" w:sz="4" w:space="0" w:color="000000"/>
            </w:tcBorders>
          </w:tcPr>
          <w:p w14:paraId="7C7F3812" w14:textId="77777777" w:rsidR="001C08A5" w:rsidRDefault="001C08A5">
            <w:pPr>
              <w:snapToGrid w:val="0"/>
              <w:jc w:val="center"/>
              <w:rPr>
                <w:i/>
                <w:iCs/>
                <w:sz w:val="22"/>
                <w:szCs w:val="22"/>
              </w:rPr>
            </w:pPr>
          </w:p>
        </w:tc>
        <w:tc>
          <w:tcPr>
            <w:tcW w:w="3070" w:type="dxa"/>
            <w:vMerge/>
            <w:tcBorders>
              <w:top w:val="single" w:sz="4" w:space="0" w:color="000000"/>
              <w:left w:val="single" w:sz="4" w:space="0" w:color="000000"/>
              <w:bottom w:val="single" w:sz="4" w:space="0" w:color="000000"/>
            </w:tcBorders>
          </w:tcPr>
          <w:p w14:paraId="3796FE14" w14:textId="77777777" w:rsidR="001C08A5" w:rsidRDefault="001C08A5">
            <w:pPr>
              <w:snapToGrid w:val="0"/>
              <w:jc w:val="center"/>
              <w:rPr>
                <w:i/>
                <w:iCs/>
                <w:sz w:val="22"/>
                <w:szCs w:val="22"/>
              </w:rPr>
            </w:pPr>
          </w:p>
        </w:tc>
        <w:tc>
          <w:tcPr>
            <w:tcW w:w="1500" w:type="dxa"/>
            <w:tcBorders>
              <w:top w:val="single" w:sz="4" w:space="0" w:color="000000"/>
              <w:left w:val="single" w:sz="4" w:space="0" w:color="000000"/>
              <w:bottom w:val="single" w:sz="4" w:space="0" w:color="000000"/>
            </w:tcBorders>
            <w:vAlign w:val="center"/>
          </w:tcPr>
          <w:p w14:paraId="369E22B4" w14:textId="77777777" w:rsidR="001C08A5" w:rsidRDefault="00000000">
            <w:pPr>
              <w:jc w:val="center"/>
              <w:rPr>
                <w:b/>
                <w:i/>
                <w:iCs/>
                <w:sz w:val="22"/>
                <w:szCs w:val="22"/>
              </w:rPr>
            </w:pPr>
            <w:r>
              <w:rPr>
                <w:b/>
                <w:i/>
                <w:iCs/>
                <w:sz w:val="22"/>
                <w:szCs w:val="22"/>
              </w:rPr>
              <w:t>V*</w:t>
            </w:r>
          </w:p>
        </w:tc>
        <w:tc>
          <w:tcPr>
            <w:tcW w:w="1488" w:type="dxa"/>
            <w:tcBorders>
              <w:top w:val="single" w:sz="4" w:space="0" w:color="000000"/>
              <w:left w:val="single" w:sz="4" w:space="0" w:color="000000"/>
              <w:bottom w:val="single" w:sz="4" w:space="0" w:color="000000"/>
            </w:tcBorders>
            <w:vAlign w:val="center"/>
          </w:tcPr>
          <w:p w14:paraId="6BA61A45" w14:textId="77777777" w:rsidR="001C08A5" w:rsidRDefault="00000000">
            <w:pPr>
              <w:jc w:val="center"/>
              <w:rPr>
                <w:b/>
                <w:i/>
                <w:iCs/>
                <w:sz w:val="22"/>
                <w:szCs w:val="22"/>
              </w:rPr>
            </w:pPr>
            <w:r>
              <w:rPr>
                <w:b/>
                <w:i/>
                <w:iCs/>
                <w:sz w:val="22"/>
                <w:szCs w:val="22"/>
              </w:rPr>
              <w:t>10</w:t>
            </w:r>
          </w:p>
        </w:tc>
        <w:tc>
          <w:tcPr>
            <w:tcW w:w="1612" w:type="dxa"/>
            <w:tcBorders>
              <w:top w:val="single" w:sz="4" w:space="0" w:color="000000"/>
              <w:left w:val="single" w:sz="4" w:space="0" w:color="000000"/>
              <w:bottom w:val="single" w:sz="4" w:space="0" w:color="000000"/>
            </w:tcBorders>
            <w:vAlign w:val="center"/>
          </w:tcPr>
          <w:p w14:paraId="5E4AC2D3" w14:textId="77777777" w:rsidR="001C08A5" w:rsidRDefault="00000000">
            <w:pPr>
              <w:jc w:val="center"/>
              <w:rPr>
                <w:b/>
                <w:i/>
                <w:iCs/>
                <w:sz w:val="22"/>
                <w:szCs w:val="22"/>
              </w:rPr>
            </w:pPr>
            <w:r>
              <w:rPr>
                <w:b/>
                <w:i/>
                <w:iCs/>
                <w:sz w:val="22"/>
                <w:szCs w:val="22"/>
              </w:rPr>
              <w:t>6</w:t>
            </w:r>
          </w:p>
        </w:tc>
        <w:tc>
          <w:tcPr>
            <w:tcW w:w="1250" w:type="dxa"/>
            <w:vMerge/>
            <w:tcBorders>
              <w:top w:val="single" w:sz="4" w:space="0" w:color="000000"/>
              <w:left w:val="single" w:sz="4" w:space="0" w:color="000000"/>
              <w:bottom w:val="single" w:sz="4" w:space="0" w:color="000000"/>
              <w:right w:val="single" w:sz="4" w:space="0" w:color="000000"/>
            </w:tcBorders>
            <w:vAlign w:val="center"/>
          </w:tcPr>
          <w:p w14:paraId="7520F8EF" w14:textId="77777777" w:rsidR="001C08A5" w:rsidRDefault="001C08A5">
            <w:pPr>
              <w:snapToGrid w:val="0"/>
              <w:jc w:val="center"/>
              <w:rPr>
                <w:i/>
                <w:iCs/>
                <w:sz w:val="22"/>
                <w:szCs w:val="22"/>
              </w:rPr>
            </w:pPr>
          </w:p>
        </w:tc>
      </w:tr>
    </w:tbl>
    <w:p w14:paraId="0D638A67" w14:textId="77777777" w:rsidR="001C08A5" w:rsidRDefault="00000000">
      <w:pPr>
        <w:jc w:val="both"/>
        <w:rPr>
          <w:i/>
          <w:sz w:val="22"/>
          <w:szCs w:val="22"/>
        </w:rPr>
      </w:pPr>
      <w:r>
        <w:rPr>
          <w:i/>
          <w:sz w:val="22"/>
          <w:szCs w:val="22"/>
          <w:u w:val="single"/>
        </w:rPr>
        <w:t>Note</w:t>
      </w:r>
      <w:r>
        <w:rPr>
          <w:i/>
          <w:sz w:val="22"/>
          <w:szCs w:val="22"/>
        </w:rPr>
        <w:t xml:space="preserve">: </w:t>
      </w:r>
    </w:p>
    <w:p w14:paraId="3EC15980" w14:textId="77777777" w:rsidR="001C08A5" w:rsidRDefault="00000000">
      <w:pPr>
        <w:numPr>
          <w:ilvl w:val="0"/>
          <w:numId w:val="77"/>
        </w:numPr>
        <w:jc w:val="both"/>
        <w:rPr>
          <w:i/>
          <w:sz w:val="22"/>
          <w:szCs w:val="22"/>
        </w:rPr>
      </w:pPr>
      <w:r>
        <w:rPr>
          <w:i/>
          <w:sz w:val="22"/>
          <w:szCs w:val="22"/>
        </w:rPr>
        <w:t xml:space="preserve">La clădirile sau sectoarele de clădiri pentru sănătate supraterane cu înălţimi obişnuite (la care </w:t>
      </w:r>
      <w:r>
        <w:rPr>
          <w:b/>
          <w:bCs/>
          <w:i/>
          <w:sz w:val="22"/>
          <w:szCs w:val="22"/>
        </w:rPr>
        <w:t>nu</w:t>
      </w:r>
      <w:r>
        <w:rPr>
          <w:i/>
          <w:sz w:val="22"/>
          <w:szCs w:val="22"/>
        </w:rPr>
        <w:t xml:space="preserve"> este necesar transportul bolnavilor cu targa sau căruciorul) care nu sunt săli aglomerate, clădiri înalte sau clădiri foarte înalte, dar sunt echipate cu instalaţii de detectare, semnalizare şi alarmare a incendiului cu acoperire totală, instalaţii automate de stingere a incendiilor </w:t>
      </w:r>
      <w:r>
        <w:rPr>
          <w:bCs/>
          <w:i/>
          <w:sz w:val="22"/>
          <w:szCs w:val="22"/>
        </w:rPr>
        <w:t xml:space="preserve">şi sisteme de evacuare a fumului din circulațiile comune orizontale (holuri și coridoare) și case de scări, </w:t>
      </w:r>
      <w:r>
        <w:rPr>
          <w:i/>
          <w:sz w:val="22"/>
          <w:szCs w:val="22"/>
        </w:rPr>
        <w:t xml:space="preserve">lungimile normate de evacuare a utilizatorilor sectoarelor de clădiri (sectorizarea se face prin elemente cu rol de securitate la incendiu conform cerințelor prevăzute de </w:t>
      </w:r>
      <w:r>
        <w:rPr>
          <w:b/>
          <w:bCs/>
          <w:i/>
          <w:iCs/>
          <w:sz w:val="22"/>
          <w:szCs w:val="22"/>
        </w:rPr>
        <w:fldChar w:fldCharType="begin"/>
      </w:r>
      <w:r>
        <w:rPr>
          <w:b/>
          <w:bCs/>
          <w:i/>
          <w:iCs/>
          <w:sz w:val="22"/>
          <w:szCs w:val="22"/>
        </w:rPr>
        <w:instrText xml:space="preserve"> REF _Ref12784 \h </w:instrText>
      </w:r>
      <w:r>
        <w:rPr>
          <w:b/>
          <w:bCs/>
          <w:i/>
          <w:iCs/>
          <w:sz w:val="22"/>
          <w:szCs w:val="22"/>
        </w:rPr>
      </w:r>
      <w:r>
        <w:rPr>
          <w:b/>
          <w:bCs/>
          <w:i/>
          <w:iCs/>
          <w:sz w:val="22"/>
          <w:szCs w:val="22"/>
        </w:rPr>
        <w:fldChar w:fldCharType="separate"/>
      </w:r>
      <w:r>
        <w:t>Tabelul 45</w:t>
      </w:r>
      <w:r>
        <w:rPr>
          <w:b/>
          <w:bCs/>
          <w:i/>
          <w:iCs/>
          <w:sz w:val="22"/>
          <w:szCs w:val="22"/>
        </w:rPr>
        <w:fldChar w:fldCharType="end"/>
      </w:r>
      <w:r>
        <w:rPr>
          <w:i/>
          <w:sz w:val="22"/>
          <w:szCs w:val="22"/>
        </w:rPr>
        <w:t>)</w:t>
      </w:r>
      <w:r>
        <w:rPr>
          <w:bCs/>
          <w:i/>
          <w:sz w:val="22"/>
          <w:szCs w:val="22"/>
        </w:rPr>
        <w:t xml:space="preserve">, </w:t>
      </w:r>
      <w:r>
        <w:rPr>
          <w:i/>
          <w:sz w:val="22"/>
          <w:szCs w:val="22"/>
        </w:rPr>
        <w:t xml:space="preserve">lungimile normate de evacuare se pot majora cu </w:t>
      </w:r>
      <w:r>
        <w:rPr>
          <w:b/>
          <w:bCs/>
          <w:i/>
          <w:sz w:val="22"/>
          <w:szCs w:val="22"/>
        </w:rPr>
        <w:t>25%</w:t>
      </w:r>
      <w:r>
        <w:rPr>
          <w:i/>
          <w:sz w:val="22"/>
          <w:szCs w:val="22"/>
        </w:rPr>
        <w:t>.</w:t>
      </w:r>
    </w:p>
    <w:p w14:paraId="1A93534D" w14:textId="77777777" w:rsidR="001C08A5" w:rsidRDefault="00000000">
      <w:pPr>
        <w:jc w:val="both"/>
        <w:rPr>
          <w:i/>
          <w:sz w:val="22"/>
          <w:szCs w:val="22"/>
        </w:rPr>
      </w:pPr>
      <w:r>
        <w:rPr>
          <w:b/>
          <w:i/>
          <w:sz w:val="22"/>
          <w:szCs w:val="22"/>
        </w:rPr>
        <w:t xml:space="preserve">* </w:t>
      </w:r>
      <w:r>
        <w:rPr>
          <w:i/>
          <w:sz w:val="22"/>
          <w:szCs w:val="22"/>
        </w:rPr>
        <w:t>= numai clădiri parter</w:t>
      </w:r>
    </w:p>
    <w:p w14:paraId="20EF759C" w14:textId="77777777" w:rsidR="001C08A5" w:rsidRDefault="001C08A5">
      <w:pPr>
        <w:jc w:val="both"/>
        <w:rPr>
          <w:i/>
          <w:sz w:val="22"/>
          <w:szCs w:val="22"/>
        </w:rPr>
      </w:pPr>
    </w:p>
    <w:p w14:paraId="1D7FA3D6" w14:textId="77777777" w:rsidR="001C08A5" w:rsidRDefault="00000000">
      <w:pPr>
        <w:tabs>
          <w:tab w:val="left" w:pos="1843"/>
          <w:tab w:val="left" w:pos="6663"/>
        </w:tabs>
        <w:ind w:firstLine="720"/>
        <w:jc w:val="both"/>
        <w:rPr>
          <w:b/>
          <w:bCs/>
          <w:sz w:val="24"/>
          <w:szCs w:val="24"/>
        </w:rPr>
      </w:pPr>
      <w:r>
        <w:rPr>
          <w:b/>
          <w:sz w:val="24"/>
          <w:szCs w:val="24"/>
        </w:rPr>
        <w:t xml:space="preserve">Art. 3.2.4.9. (1) </w:t>
      </w:r>
      <w:r>
        <w:rPr>
          <w:sz w:val="24"/>
          <w:szCs w:val="24"/>
        </w:rPr>
        <w:t xml:space="preserve">În cadrul construcţiilor civile de sănătate supraterane cu înălţimi obişnuite, se asigură separarea încăperilor de restul construcţiei potrivit prevederilor privind performanțele </w:t>
      </w:r>
      <w:r>
        <w:rPr>
          <w:sz w:val="24"/>
          <w:szCs w:val="24"/>
        </w:rPr>
        <w:lastRenderedPageBreak/>
        <w:t xml:space="preserve">comune și cele specifice, iar atunci când norma nu dispune, prin pereţi neportanți despărţitori interiori cu rol de limitare a propagării focului  potrivit </w:t>
      </w:r>
      <w:r>
        <w:rPr>
          <w:b/>
          <w:sz w:val="24"/>
          <w:szCs w:val="24"/>
        </w:rPr>
        <w:t xml:space="preserve">Art. </w:t>
      </w:r>
      <w:r>
        <w:rPr>
          <w:b/>
          <w:bCs/>
          <w:sz w:val="24"/>
          <w:szCs w:val="24"/>
        </w:rPr>
        <w:t>2.1.3.</w:t>
      </w:r>
      <w:r>
        <w:rPr>
          <w:b/>
          <w:sz w:val="24"/>
          <w:szCs w:val="24"/>
        </w:rPr>
        <w:t>2.</w:t>
      </w:r>
      <w:r>
        <w:rPr>
          <w:sz w:val="24"/>
          <w:szCs w:val="24"/>
        </w:rPr>
        <w:t xml:space="preserve"> şi </w:t>
      </w:r>
      <w:r>
        <w:rPr>
          <w:rFonts w:cs="Mangal"/>
          <w:b/>
          <w:i/>
          <w:iCs/>
          <w:sz w:val="24"/>
          <w:szCs w:val="24"/>
        </w:rPr>
        <w:fldChar w:fldCharType="begin"/>
      </w:r>
      <w:r>
        <w:rPr>
          <w:rFonts w:cs="Mangal"/>
          <w:b/>
          <w:i/>
          <w:iCs/>
          <w:sz w:val="24"/>
          <w:szCs w:val="24"/>
        </w:rPr>
        <w:instrText xml:space="preserve"> REF _Ref26473 \h </w:instrText>
      </w:r>
      <w:r>
        <w:rPr>
          <w:rFonts w:cs="Mangal"/>
          <w:b/>
          <w:i/>
          <w:iCs/>
          <w:sz w:val="24"/>
          <w:szCs w:val="24"/>
        </w:rPr>
      </w:r>
      <w:r>
        <w:rPr>
          <w:rFonts w:cs="Mangal"/>
          <w:b/>
          <w:i/>
          <w:iCs/>
          <w:sz w:val="24"/>
          <w:szCs w:val="24"/>
        </w:rPr>
        <w:fldChar w:fldCharType="separate"/>
      </w:r>
      <w:r>
        <w:t>Tabelul 2</w:t>
      </w:r>
      <w:r>
        <w:rPr>
          <w:rFonts w:cs="Mangal"/>
          <w:b/>
          <w:i/>
          <w:iCs/>
          <w:sz w:val="24"/>
          <w:szCs w:val="24"/>
        </w:rPr>
        <w:fldChar w:fldCharType="end"/>
      </w:r>
      <w:r>
        <w:rPr>
          <w:b/>
          <w:bCs/>
          <w:sz w:val="24"/>
          <w:szCs w:val="24"/>
        </w:rPr>
        <w:t>.</w:t>
      </w:r>
    </w:p>
    <w:p w14:paraId="44BD0B21" w14:textId="77777777" w:rsidR="001C08A5" w:rsidRDefault="00000000">
      <w:pPr>
        <w:pStyle w:val="BodyText"/>
        <w:ind w:firstLine="720"/>
        <w:rPr>
          <w:b w:val="0"/>
          <w:bCs w:val="0"/>
          <w:i w:val="0"/>
          <w:iCs/>
        </w:rPr>
      </w:pPr>
      <w:r>
        <w:rPr>
          <w:bCs w:val="0"/>
          <w:i w:val="0"/>
          <w:iCs/>
        </w:rPr>
        <w:t>(2)</w:t>
      </w:r>
      <w:r>
        <w:rPr>
          <w:b w:val="0"/>
          <w:bCs w:val="0"/>
          <w:i w:val="0"/>
          <w:iCs/>
        </w:rPr>
        <w:t xml:space="preserve"> În cadrul unor grupări de încăperi deschise (spații deschise de lucru pentru activități care necesită o comunicare frecventă) de tip open space </w:t>
      </w:r>
      <w:r>
        <w:rPr>
          <w:b w:val="0"/>
          <w:bCs w:val="0"/>
          <w:i w:val="0"/>
          <w:iCs/>
          <w:shd w:val="clear" w:color="auto" w:fill="FFFFFF"/>
          <w:lang w:eastAsia="zh-CN"/>
        </w:rPr>
        <w:t xml:space="preserve">care nu sunt </w:t>
      </w:r>
      <w:r>
        <w:rPr>
          <w:b w:val="0"/>
          <w:bCs w:val="0"/>
          <w:i w:val="0"/>
          <w:iCs/>
        </w:rPr>
        <w:t>utilizate de persoane care nu se pot evacua singure definite conform terminologie (s</w:t>
      </w:r>
      <w:r>
        <w:rPr>
          <w:b w:val="0"/>
          <w:bCs w:val="0"/>
          <w:i w:val="0"/>
          <w:iCs/>
          <w:shd w:val="clear" w:color="auto" w:fill="FFFFFF"/>
          <w:lang w:eastAsia="zh-CN"/>
        </w:rPr>
        <w:t>pații administrative precum și vestiarele personalului, incluse în funcțiunea de sănătate)</w:t>
      </w:r>
      <w:r>
        <w:rPr>
          <w:b w:val="0"/>
          <w:bCs w:val="0"/>
          <w:i w:val="0"/>
          <w:iCs/>
        </w:rPr>
        <w:t xml:space="preserve"> cu suprafaţa maximă normată, cu risc mic de incendiu și aceeași destinație (proprie sau complementara / spații și circulații funcționale delimitate cu parapete, panouri sau pereţii interiori despărţitori funcţionali), se prevăd minimum pereţi despărţitori de sectorizare cu rol de limitare a propagării focului față de spațiile adiacente (cu excepția celor catre căile de evacuare care respecta prevederile specifice și a celor catre încăperi cu risc mai mare generat de densitatea sarcinii termice din încaperi adiacente), care trebuie să fie clasa de reacţie la foc </w:t>
      </w:r>
      <w:r>
        <w:rPr>
          <w:i w:val="0"/>
          <w:iCs/>
        </w:rPr>
        <w:t xml:space="preserve">A1, A2-s1,d0 </w:t>
      </w:r>
      <w:r>
        <w:rPr>
          <w:b w:val="0"/>
          <w:bCs w:val="0"/>
          <w:i w:val="0"/>
          <w:iCs/>
        </w:rPr>
        <w:t>minimum:</w:t>
      </w:r>
    </w:p>
    <w:p w14:paraId="2360C848" w14:textId="77777777" w:rsidR="001C08A5" w:rsidRDefault="00000000">
      <w:pPr>
        <w:pStyle w:val="BodyText"/>
        <w:numPr>
          <w:ilvl w:val="0"/>
          <w:numId w:val="78"/>
        </w:numPr>
        <w:tabs>
          <w:tab w:val="clear" w:pos="425"/>
        </w:tabs>
        <w:ind w:left="1554" w:firstLine="0"/>
        <w:rPr>
          <w:b w:val="0"/>
          <w:bCs w:val="0"/>
          <w:i w:val="0"/>
          <w:iCs/>
        </w:rPr>
      </w:pPr>
      <w:r>
        <w:rPr>
          <w:i w:val="0"/>
          <w:iCs/>
        </w:rPr>
        <w:t xml:space="preserve">EI/REI 120 </w:t>
      </w:r>
      <w:r>
        <w:rPr>
          <w:b w:val="0"/>
          <w:bCs w:val="0"/>
          <w:i w:val="0"/>
          <w:iCs/>
        </w:rPr>
        <w:t>prevăzuți cu uși rezistente la foc și etanșe la fum</w:t>
      </w:r>
      <w:r>
        <w:rPr>
          <w:i w:val="0"/>
          <w:iCs/>
        </w:rPr>
        <w:t xml:space="preserve"> EI</w:t>
      </w:r>
      <w:r>
        <w:rPr>
          <w:i w:val="0"/>
          <w:iCs/>
          <w:vertAlign w:val="subscript"/>
        </w:rPr>
        <w:t>2</w:t>
      </w:r>
      <w:r>
        <w:rPr>
          <w:i w:val="0"/>
          <w:iCs/>
        </w:rPr>
        <w:t xml:space="preserve"> 60-C5S</w:t>
      </w:r>
      <w:r>
        <w:rPr>
          <w:i w:val="0"/>
          <w:iCs/>
          <w:vertAlign w:val="subscript"/>
        </w:rPr>
        <w:t xml:space="preserve">200 </w:t>
      </w:r>
      <w:r>
        <w:rPr>
          <w:b w:val="0"/>
          <w:i w:val="0"/>
          <w:iCs/>
        </w:rPr>
        <w:t xml:space="preserve">în construcţiile civile de sănătate supraterane cu înălţimi obişnuite cu nivelul de stabilitate la incendiu </w:t>
      </w:r>
      <w:r>
        <w:rPr>
          <w:i w:val="0"/>
          <w:iCs/>
        </w:rPr>
        <w:t xml:space="preserve">I </w:t>
      </w:r>
      <w:r>
        <w:rPr>
          <w:b w:val="0"/>
          <w:i w:val="0"/>
          <w:iCs/>
        </w:rPr>
        <w:t>;</w:t>
      </w:r>
    </w:p>
    <w:p w14:paraId="52F03D15" w14:textId="77777777" w:rsidR="001C08A5" w:rsidRDefault="00000000">
      <w:pPr>
        <w:pStyle w:val="BodyText"/>
        <w:numPr>
          <w:ilvl w:val="0"/>
          <w:numId w:val="78"/>
        </w:numPr>
        <w:tabs>
          <w:tab w:val="clear" w:pos="425"/>
        </w:tabs>
        <w:ind w:left="1554" w:firstLine="0"/>
        <w:rPr>
          <w:b w:val="0"/>
          <w:bCs w:val="0"/>
          <w:i w:val="0"/>
          <w:iCs/>
        </w:rPr>
      </w:pPr>
      <w:r>
        <w:rPr>
          <w:i w:val="0"/>
          <w:iCs/>
        </w:rPr>
        <w:t xml:space="preserve">EI/REI 90 </w:t>
      </w:r>
      <w:r>
        <w:rPr>
          <w:b w:val="0"/>
          <w:bCs w:val="0"/>
          <w:i w:val="0"/>
          <w:iCs/>
        </w:rPr>
        <w:t>prevăzuți cu uși rezistente la foc și etanșe la fum</w:t>
      </w:r>
      <w:r>
        <w:rPr>
          <w:i w:val="0"/>
          <w:iCs/>
        </w:rPr>
        <w:t xml:space="preserve"> EI</w:t>
      </w:r>
      <w:r>
        <w:rPr>
          <w:i w:val="0"/>
          <w:iCs/>
          <w:vertAlign w:val="subscript"/>
        </w:rPr>
        <w:t>2</w:t>
      </w:r>
      <w:r>
        <w:rPr>
          <w:i w:val="0"/>
          <w:iCs/>
        </w:rPr>
        <w:t xml:space="preserve"> 45-C5S</w:t>
      </w:r>
      <w:r>
        <w:rPr>
          <w:i w:val="0"/>
          <w:iCs/>
          <w:vertAlign w:val="subscript"/>
        </w:rPr>
        <w:t xml:space="preserve">200 </w:t>
      </w:r>
      <w:r>
        <w:rPr>
          <w:b w:val="0"/>
          <w:i w:val="0"/>
          <w:iCs/>
        </w:rPr>
        <w:t xml:space="preserve">în construcţiile civile de sănătate supraterane cu înălţimi obişnuite cu nivelul de stabilitate la incendiu </w:t>
      </w:r>
      <w:r>
        <w:rPr>
          <w:i w:val="0"/>
          <w:iCs/>
        </w:rPr>
        <w:t xml:space="preserve">II </w:t>
      </w:r>
      <w:r>
        <w:rPr>
          <w:b w:val="0"/>
          <w:i w:val="0"/>
          <w:iCs/>
        </w:rPr>
        <w:t>;</w:t>
      </w:r>
    </w:p>
    <w:p w14:paraId="6564410B" w14:textId="77777777" w:rsidR="001C08A5" w:rsidRDefault="00000000">
      <w:pPr>
        <w:pStyle w:val="BodyText"/>
        <w:numPr>
          <w:ilvl w:val="0"/>
          <w:numId w:val="78"/>
        </w:numPr>
        <w:tabs>
          <w:tab w:val="clear" w:pos="425"/>
        </w:tabs>
        <w:ind w:left="1554" w:firstLine="0"/>
        <w:rPr>
          <w:b w:val="0"/>
          <w:bCs w:val="0"/>
          <w:i w:val="0"/>
          <w:iCs/>
        </w:rPr>
      </w:pPr>
      <w:r>
        <w:rPr>
          <w:i w:val="0"/>
          <w:iCs/>
        </w:rPr>
        <w:t xml:space="preserve">EI/REI 60 </w:t>
      </w:r>
      <w:r>
        <w:rPr>
          <w:b w:val="0"/>
          <w:bCs w:val="0"/>
          <w:i w:val="0"/>
          <w:iCs/>
        </w:rPr>
        <w:t>prevăzuți cu uși etanșe la foc și etanșe la fum</w:t>
      </w:r>
      <w:r>
        <w:rPr>
          <w:i w:val="0"/>
          <w:iCs/>
        </w:rPr>
        <w:t xml:space="preserve"> E 30-C5S</w:t>
      </w:r>
      <w:r>
        <w:rPr>
          <w:i w:val="0"/>
          <w:iCs/>
          <w:vertAlign w:val="subscript"/>
        </w:rPr>
        <w:t>a</w:t>
      </w:r>
      <w:r>
        <w:rPr>
          <w:b w:val="0"/>
          <w:i w:val="0"/>
          <w:iCs/>
        </w:rPr>
        <w:t xml:space="preserve">în construcţiile civile de sănătate supraterane cu înălţimi obişnuite cu nivelul de stabilitate la incendiu </w:t>
      </w:r>
      <w:r>
        <w:rPr>
          <w:i w:val="0"/>
          <w:iCs/>
        </w:rPr>
        <w:t>III</w:t>
      </w:r>
      <w:r>
        <w:rPr>
          <w:b w:val="0"/>
          <w:i w:val="0"/>
          <w:iCs/>
        </w:rPr>
        <w:t>;</w:t>
      </w:r>
    </w:p>
    <w:p w14:paraId="52202AD9" w14:textId="77777777" w:rsidR="001C08A5" w:rsidRDefault="00000000">
      <w:pPr>
        <w:pStyle w:val="BodyText"/>
        <w:numPr>
          <w:ilvl w:val="0"/>
          <w:numId w:val="78"/>
        </w:numPr>
        <w:tabs>
          <w:tab w:val="clear" w:pos="425"/>
        </w:tabs>
        <w:ind w:left="1554" w:firstLine="0"/>
        <w:rPr>
          <w:b w:val="0"/>
          <w:bCs w:val="0"/>
          <w:i w:val="0"/>
          <w:iCs/>
        </w:rPr>
      </w:pPr>
      <w:r>
        <w:rPr>
          <w:i w:val="0"/>
          <w:iCs/>
        </w:rPr>
        <w:t xml:space="preserve">EI/REI 30 </w:t>
      </w:r>
      <w:r>
        <w:rPr>
          <w:b w:val="0"/>
          <w:bCs w:val="0"/>
          <w:i w:val="0"/>
          <w:iCs/>
        </w:rPr>
        <w:t xml:space="preserve">prevăzuți cu ușietanșe la foc și etanșe la fum </w:t>
      </w:r>
      <w:r>
        <w:rPr>
          <w:i w:val="0"/>
          <w:iCs/>
        </w:rPr>
        <w:t>E 15-C5S</w:t>
      </w:r>
      <w:r>
        <w:rPr>
          <w:i w:val="0"/>
          <w:iCs/>
          <w:vertAlign w:val="subscript"/>
        </w:rPr>
        <w:t xml:space="preserve">a </w:t>
      </w:r>
      <w:r>
        <w:rPr>
          <w:b w:val="0"/>
          <w:i w:val="0"/>
          <w:iCs/>
        </w:rPr>
        <w:t xml:space="preserve">în construcţiile civile de sănătate supraterane cu înălţimi obişnuite cu nivelul de stabilitate la incendiu </w:t>
      </w:r>
      <w:r>
        <w:rPr>
          <w:i w:val="0"/>
          <w:iCs/>
        </w:rPr>
        <w:t>IV</w:t>
      </w:r>
      <w:r>
        <w:rPr>
          <w:b w:val="0"/>
          <w:i w:val="0"/>
          <w:iCs/>
        </w:rPr>
        <w:t>;</w:t>
      </w:r>
    </w:p>
    <w:p w14:paraId="3718973B" w14:textId="77777777" w:rsidR="001C08A5" w:rsidRDefault="00000000">
      <w:pPr>
        <w:pStyle w:val="BodyText"/>
        <w:numPr>
          <w:ilvl w:val="0"/>
          <w:numId w:val="78"/>
        </w:numPr>
        <w:tabs>
          <w:tab w:val="clear" w:pos="425"/>
        </w:tabs>
        <w:ind w:left="1554" w:firstLine="0"/>
      </w:pPr>
      <w:r>
        <w:rPr>
          <w:i w:val="0"/>
          <w:iCs/>
        </w:rPr>
        <w:t xml:space="preserve">EI/REI 15 </w:t>
      </w:r>
      <w:r>
        <w:rPr>
          <w:b w:val="0"/>
          <w:bCs w:val="0"/>
          <w:i w:val="0"/>
          <w:iCs/>
        </w:rPr>
        <w:t>prevăzuți cu uși</w:t>
      </w:r>
      <w:r>
        <w:rPr>
          <w:i w:val="0"/>
          <w:iCs/>
        </w:rPr>
        <w:t xml:space="preserve"> C5 </w:t>
      </w:r>
      <w:r>
        <w:rPr>
          <w:b w:val="0"/>
          <w:i w:val="0"/>
          <w:iCs/>
        </w:rPr>
        <w:t xml:space="preserve">în construcţiile civile de sănătate supraterane cu înălţimi obişnuite cu nivelul de stabilitate la incendiu </w:t>
      </w:r>
      <w:r>
        <w:rPr>
          <w:i w:val="0"/>
          <w:iCs/>
        </w:rPr>
        <w:t>V</w:t>
      </w:r>
      <w:r>
        <w:rPr>
          <w:b w:val="0"/>
        </w:rPr>
        <w:t>.</w:t>
      </w:r>
    </w:p>
    <w:p w14:paraId="456E8874" w14:textId="77777777" w:rsidR="001C08A5" w:rsidRDefault="00000000">
      <w:pPr>
        <w:ind w:firstLine="720"/>
        <w:jc w:val="both"/>
        <w:rPr>
          <w:sz w:val="24"/>
          <w:szCs w:val="24"/>
        </w:rPr>
      </w:pPr>
      <w:r>
        <w:rPr>
          <w:b/>
          <w:bCs/>
          <w:sz w:val="24"/>
          <w:szCs w:val="24"/>
        </w:rPr>
        <w:t xml:space="preserve">(3) </w:t>
      </w:r>
      <w:r>
        <w:rPr>
          <w:sz w:val="24"/>
          <w:szCs w:val="24"/>
        </w:rPr>
        <w:t xml:space="preserve">Grupările de încăperi cu risc mic de incendiu și aceeași destinație, incluzand și destinatii colaterale, inclusiv cele de comunicari functionale orizontale (precum vestiare + grupuri sanitare; birouri + sas acces) precum și cele specifice funcțiunii de sănătate (camera RMN + camera de comanda + sas acces; cameră CT+ camera de comanda + sas acces, etc.) compartimentate între ele cu panouri opace sau vitrate, fixe sau mobile folosite ca separări funcționale și/sau izolante fonic sau pereţi interiori despărţitori funcţionali se admit în limita următoarelor arii construite în cadrul </w:t>
      </w:r>
      <w:r>
        <w:rPr>
          <w:sz w:val="24"/>
          <w:szCs w:val="24"/>
          <w:lang w:eastAsia="zh-CN"/>
        </w:rPr>
        <w:t>construcțiilor de sănătate</w:t>
      </w:r>
      <w:r>
        <w:rPr>
          <w:sz w:val="24"/>
          <w:szCs w:val="24"/>
        </w:rPr>
        <w:t xml:space="preserve"> cu înălţimi obişnuite:</w:t>
      </w:r>
    </w:p>
    <w:p w14:paraId="3C7591B3"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600 m</w:t>
      </w:r>
      <w:r>
        <w:rPr>
          <w:b/>
          <w:bCs/>
          <w:sz w:val="24"/>
          <w:szCs w:val="24"/>
          <w:vertAlign w:val="superscript"/>
          <w:lang w:eastAsia="zh-CN"/>
        </w:rPr>
        <w:t>2</w:t>
      </w:r>
      <w:r>
        <w:rPr>
          <w:sz w:val="24"/>
          <w:szCs w:val="24"/>
          <w:lang w:eastAsia="zh-CN"/>
        </w:rPr>
        <w:t xml:space="preserve">, cu condiția ca aria construită a încăperilor de tip </w:t>
      </w:r>
      <w:r>
        <w:rPr>
          <w:sz w:val="24"/>
          <w:szCs w:val="24"/>
          <w:shd w:val="clear" w:color="auto" w:fill="FFFFFF"/>
          <w:lang w:eastAsia="zh-CN"/>
        </w:rPr>
        <w:t>open space</w:t>
      </w:r>
      <w:r>
        <w:rPr>
          <w:sz w:val="24"/>
          <w:szCs w:val="24"/>
          <w:lang w:eastAsia="zh-CN"/>
        </w:rPr>
        <w:t xml:space="preserve"> să fie de maximum </w:t>
      </w:r>
      <w:r>
        <w:rPr>
          <w:b/>
          <w:bCs/>
          <w:sz w:val="24"/>
          <w:szCs w:val="24"/>
          <w:lang w:eastAsia="zh-CN"/>
        </w:rPr>
        <w:t>50%</w:t>
      </w:r>
      <w:r>
        <w:rPr>
          <w:sz w:val="24"/>
          <w:szCs w:val="24"/>
          <w:lang w:eastAsia="zh-CN"/>
        </w:rPr>
        <w:t xml:space="preserve"> din cea a ariei construite a nivelului clădirii/ compartimentului de incendiu respectiv, pentru construcții de sănătate încadrate în nivelul </w:t>
      </w:r>
      <w:r>
        <w:rPr>
          <w:b/>
          <w:bCs/>
          <w:sz w:val="24"/>
          <w:szCs w:val="24"/>
          <w:lang w:eastAsia="zh-CN"/>
        </w:rPr>
        <w:t>I</w:t>
      </w:r>
      <w:r>
        <w:rPr>
          <w:sz w:val="24"/>
          <w:szCs w:val="24"/>
          <w:lang w:eastAsia="zh-CN"/>
        </w:rPr>
        <w:t xml:space="preserve"> de stabilitate la incendiu;</w:t>
      </w:r>
    </w:p>
    <w:p w14:paraId="0563456A"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400 m</w:t>
      </w:r>
      <w:r>
        <w:rPr>
          <w:b/>
          <w:bCs/>
          <w:sz w:val="24"/>
          <w:szCs w:val="24"/>
          <w:vertAlign w:val="superscript"/>
          <w:lang w:eastAsia="zh-CN"/>
        </w:rPr>
        <w:t>2</w:t>
      </w:r>
      <w:r>
        <w:rPr>
          <w:sz w:val="24"/>
          <w:szCs w:val="24"/>
          <w:lang w:eastAsia="zh-CN"/>
        </w:rPr>
        <w:t xml:space="preserve">, cu condiția ca aria construită a încăperilor de tip </w:t>
      </w:r>
      <w:r>
        <w:rPr>
          <w:sz w:val="24"/>
          <w:szCs w:val="24"/>
          <w:shd w:val="clear" w:color="auto" w:fill="FFFFFF"/>
          <w:lang w:eastAsia="zh-CN"/>
        </w:rPr>
        <w:t xml:space="preserve">open space </w:t>
      </w:r>
      <w:r>
        <w:rPr>
          <w:sz w:val="24"/>
          <w:szCs w:val="24"/>
          <w:lang w:eastAsia="zh-CN"/>
        </w:rPr>
        <w:t xml:space="preserve">să fie de maximum </w:t>
      </w:r>
      <w:r>
        <w:rPr>
          <w:b/>
          <w:bCs/>
          <w:sz w:val="24"/>
          <w:szCs w:val="24"/>
          <w:lang w:eastAsia="zh-CN"/>
        </w:rPr>
        <w:t>50%</w:t>
      </w:r>
      <w:r>
        <w:rPr>
          <w:sz w:val="24"/>
          <w:szCs w:val="24"/>
          <w:lang w:eastAsia="zh-CN"/>
        </w:rPr>
        <w:t xml:space="preserve"> din cea a ariei construite a nivelului clădirii/ compartimentului de incendiu respectiv pentru construcții de sănătate încadrate în nivelul </w:t>
      </w:r>
      <w:r>
        <w:rPr>
          <w:b/>
          <w:bCs/>
          <w:sz w:val="24"/>
          <w:szCs w:val="24"/>
          <w:lang w:eastAsia="zh-CN"/>
        </w:rPr>
        <w:t>II</w:t>
      </w:r>
      <w:r>
        <w:rPr>
          <w:sz w:val="24"/>
          <w:szCs w:val="24"/>
          <w:lang w:eastAsia="zh-CN"/>
        </w:rPr>
        <w:t xml:space="preserve"> de stabilitate la incendiu;</w:t>
      </w:r>
    </w:p>
    <w:p w14:paraId="4C6AAEA0"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200 m</w:t>
      </w:r>
      <w:r>
        <w:rPr>
          <w:b/>
          <w:bCs/>
          <w:sz w:val="24"/>
          <w:szCs w:val="24"/>
          <w:vertAlign w:val="superscript"/>
          <w:lang w:eastAsia="zh-CN"/>
        </w:rPr>
        <w:t>2</w:t>
      </w:r>
      <w:r>
        <w:rPr>
          <w:sz w:val="24"/>
          <w:szCs w:val="24"/>
          <w:lang w:eastAsia="zh-CN"/>
        </w:rPr>
        <w:t xml:space="preserve">, cu condiția ca aria construită a încăperilor de tip </w:t>
      </w:r>
      <w:r>
        <w:rPr>
          <w:sz w:val="24"/>
          <w:szCs w:val="24"/>
          <w:shd w:val="clear" w:color="auto" w:fill="FFFFFF"/>
          <w:lang w:eastAsia="zh-CN"/>
        </w:rPr>
        <w:t xml:space="preserve">open space </w:t>
      </w:r>
      <w:r>
        <w:rPr>
          <w:sz w:val="24"/>
          <w:szCs w:val="24"/>
          <w:lang w:eastAsia="zh-CN"/>
        </w:rPr>
        <w:t xml:space="preserve">să fie de maximum </w:t>
      </w:r>
      <w:r>
        <w:rPr>
          <w:b/>
          <w:bCs/>
          <w:sz w:val="24"/>
          <w:szCs w:val="24"/>
          <w:lang w:eastAsia="zh-CN"/>
        </w:rPr>
        <w:t>50%</w:t>
      </w:r>
      <w:r>
        <w:rPr>
          <w:sz w:val="24"/>
          <w:szCs w:val="24"/>
          <w:lang w:eastAsia="zh-CN"/>
        </w:rPr>
        <w:t xml:space="preserve"> din cea a ariei construite a nivelului clădirii/ compartimentului de incendiu respectiv pentru construcții de sănătate încadrate în nivelul </w:t>
      </w:r>
      <w:r>
        <w:rPr>
          <w:b/>
          <w:bCs/>
          <w:sz w:val="24"/>
          <w:szCs w:val="24"/>
          <w:lang w:eastAsia="zh-CN"/>
        </w:rPr>
        <w:t>III</w:t>
      </w:r>
      <w:r>
        <w:rPr>
          <w:sz w:val="24"/>
          <w:szCs w:val="24"/>
          <w:lang w:eastAsia="zh-CN"/>
        </w:rPr>
        <w:t xml:space="preserve"> de stabilitate la incendiu;</w:t>
      </w:r>
    </w:p>
    <w:p w14:paraId="33BA1607"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100 m</w:t>
      </w:r>
      <w:r>
        <w:rPr>
          <w:b/>
          <w:bCs/>
          <w:sz w:val="24"/>
          <w:szCs w:val="24"/>
          <w:vertAlign w:val="superscript"/>
          <w:lang w:eastAsia="zh-CN"/>
        </w:rPr>
        <w:t>2</w:t>
      </w:r>
      <w:r>
        <w:rPr>
          <w:sz w:val="24"/>
          <w:szCs w:val="24"/>
          <w:lang w:eastAsia="zh-CN"/>
        </w:rPr>
        <w:t xml:space="preserve">, cu condiția ca aria construită a încăperilor de tip </w:t>
      </w:r>
      <w:r>
        <w:rPr>
          <w:sz w:val="24"/>
          <w:szCs w:val="24"/>
          <w:shd w:val="clear" w:color="auto" w:fill="FFFFFF"/>
          <w:lang w:eastAsia="zh-CN"/>
        </w:rPr>
        <w:t>open space</w:t>
      </w:r>
      <w:r>
        <w:rPr>
          <w:sz w:val="24"/>
          <w:szCs w:val="24"/>
          <w:lang w:eastAsia="zh-CN"/>
        </w:rPr>
        <w:t xml:space="preserve"> să fie de maximum </w:t>
      </w:r>
      <w:r>
        <w:rPr>
          <w:b/>
          <w:bCs/>
          <w:sz w:val="24"/>
          <w:szCs w:val="24"/>
          <w:lang w:eastAsia="zh-CN"/>
        </w:rPr>
        <w:t>25%</w:t>
      </w:r>
      <w:r>
        <w:rPr>
          <w:sz w:val="24"/>
          <w:szCs w:val="24"/>
          <w:lang w:eastAsia="zh-CN"/>
        </w:rPr>
        <w:t xml:space="preserve"> din cea a ariei construite a nivelului clădirii/ compartimentului de incendiu respectiv pentru construcții de sănătate încadrate în nivelul </w:t>
      </w:r>
      <w:r>
        <w:rPr>
          <w:b/>
          <w:bCs/>
          <w:sz w:val="24"/>
          <w:szCs w:val="24"/>
          <w:lang w:eastAsia="zh-CN"/>
        </w:rPr>
        <w:t>IV</w:t>
      </w:r>
      <w:r>
        <w:rPr>
          <w:sz w:val="24"/>
          <w:szCs w:val="24"/>
          <w:lang w:eastAsia="zh-CN"/>
        </w:rPr>
        <w:t xml:space="preserve"> de stabilitate la incendiu;</w:t>
      </w:r>
    </w:p>
    <w:p w14:paraId="04EBE596"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50 m</w:t>
      </w:r>
      <w:r>
        <w:rPr>
          <w:b/>
          <w:bCs/>
          <w:sz w:val="24"/>
          <w:szCs w:val="24"/>
          <w:vertAlign w:val="superscript"/>
          <w:lang w:eastAsia="zh-CN"/>
        </w:rPr>
        <w:t>2</w:t>
      </w:r>
      <w:r>
        <w:rPr>
          <w:sz w:val="24"/>
          <w:szCs w:val="24"/>
          <w:lang w:eastAsia="zh-CN"/>
        </w:rPr>
        <w:t xml:space="preserve">, cu condiția ca aria construită a încăperilor de tip </w:t>
      </w:r>
      <w:r>
        <w:rPr>
          <w:sz w:val="24"/>
          <w:szCs w:val="24"/>
          <w:shd w:val="clear" w:color="auto" w:fill="FFFFFF"/>
          <w:lang w:eastAsia="zh-CN"/>
        </w:rPr>
        <w:t xml:space="preserve">open space </w:t>
      </w:r>
      <w:r>
        <w:rPr>
          <w:sz w:val="24"/>
          <w:szCs w:val="24"/>
          <w:lang w:eastAsia="zh-CN"/>
        </w:rPr>
        <w:t xml:space="preserve">să fie de maximum </w:t>
      </w:r>
      <w:r>
        <w:rPr>
          <w:b/>
          <w:bCs/>
          <w:sz w:val="24"/>
          <w:szCs w:val="24"/>
          <w:lang w:eastAsia="zh-CN"/>
        </w:rPr>
        <w:t>25%</w:t>
      </w:r>
      <w:r>
        <w:rPr>
          <w:sz w:val="24"/>
          <w:szCs w:val="24"/>
          <w:lang w:eastAsia="zh-CN"/>
        </w:rPr>
        <w:t xml:space="preserve"> din cea a ariei construite a nivelului respectiv pentru construcții de sănătate încadrate în nivelul </w:t>
      </w:r>
      <w:r>
        <w:rPr>
          <w:b/>
          <w:bCs/>
          <w:sz w:val="24"/>
          <w:szCs w:val="24"/>
          <w:lang w:eastAsia="zh-CN"/>
        </w:rPr>
        <w:t>V</w:t>
      </w:r>
      <w:r>
        <w:rPr>
          <w:sz w:val="24"/>
          <w:szCs w:val="24"/>
          <w:lang w:eastAsia="zh-CN"/>
        </w:rPr>
        <w:t xml:space="preserve"> de stabilitate la incendiu;</w:t>
      </w:r>
    </w:p>
    <w:p w14:paraId="68D35334" w14:textId="77777777" w:rsidR="001C08A5" w:rsidRDefault="00000000">
      <w:pPr>
        <w:ind w:firstLine="720"/>
        <w:jc w:val="both"/>
        <w:rPr>
          <w:sz w:val="24"/>
          <w:szCs w:val="24"/>
        </w:rPr>
      </w:pPr>
      <w:r>
        <w:rPr>
          <w:b/>
          <w:bCs/>
          <w:sz w:val="24"/>
          <w:szCs w:val="24"/>
        </w:rPr>
        <w:lastRenderedPageBreak/>
        <w:t xml:space="preserve">(4) </w:t>
      </w:r>
      <w:r>
        <w:rPr>
          <w:bCs/>
          <w:sz w:val="24"/>
          <w:szCs w:val="24"/>
        </w:rPr>
        <w:t xml:space="preserve">La </w:t>
      </w:r>
      <w:r>
        <w:rPr>
          <w:sz w:val="24"/>
          <w:szCs w:val="24"/>
          <w:lang w:eastAsia="zh-CN"/>
        </w:rPr>
        <w:t>construcțiile de sănătate</w:t>
      </w:r>
      <w:r>
        <w:rPr>
          <w:sz w:val="24"/>
          <w:szCs w:val="24"/>
        </w:rPr>
        <w:t xml:space="preserve"> cu înălţimi obişnuite</w:t>
      </w:r>
      <w:r>
        <w:rPr>
          <w:bCs/>
          <w:sz w:val="24"/>
          <w:szCs w:val="24"/>
        </w:rPr>
        <w:t xml:space="preserve"> echipate cu instalaţii de detectare, semnalizare şi alarmare a incendiului cu acoperire totală, cu sisteme sau instalaţii de evacuare a fumului şi instalaţii de stingere tip sprinkler se admite majorarea ariilor construite ale </w:t>
      </w:r>
      <w:r>
        <w:rPr>
          <w:sz w:val="24"/>
          <w:szCs w:val="24"/>
        </w:rPr>
        <w:t xml:space="preserve">grupărilor de încăperi prevazute la </w:t>
      </w:r>
      <w:r>
        <w:rPr>
          <w:b/>
          <w:bCs/>
          <w:sz w:val="24"/>
          <w:szCs w:val="24"/>
        </w:rPr>
        <w:t xml:space="preserve">Alin.(3) </w:t>
      </w:r>
      <w:r>
        <w:rPr>
          <w:sz w:val="24"/>
          <w:szCs w:val="24"/>
        </w:rPr>
        <w:t xml:space="preserve">precedent cu </w:t>
      </w:r>
      <w:r>
        <w:rPr>
          <w:b/>
          <w:bCs/>
          <w:sz w:val="24"/>
          <w:szCs w:val="24"/>
        </w:rPr>
        <w:t>25%</w:t>
      </w:r>
      <w:r>
        <w:rPr>
          <w:sz w:val="24"/>
          <w:szCs w:val="24"/>
        </w:rPr>
        <w:t>.</w:t>
      </w:r>
    </w:p>
    <w:p w14:paraId="0E2BD613" w14:textId="77777777" w:rsidR="001C08A5" w:rsidRDefault="00000000">
      <w:pPr>
        <w:ind w:firstLine="720"/>
        <w:jc w:val="both"/>
        <w:rPr>
          <w:rStyle w:val="CommentReference"/>
          <w:lang w:eastAsia="zh-CN"/>
        </w:rPr>
      </w:pPr>
      <w:r>
        <w:rPr>
          <w:b/>
          <w:bCs/>
          <w:sz w:val="24"/>
          <w:szCs w:val="24"/>
        </w:rPr>
        <w:t xml:space="preserve">(5) </w:t>
      </w:r>
      <w:r>
        <w:rPr>
          <w:sz w:val="24"/>
          <w:szCs w:val="24"/>
        </w:rPr>
        <w:t xml:space="preserve">Pereţi despărţitori prevăzuți între grupările de încăperi menţionate la </w:t>
      </w:r>
      <w:r>
        <w:rPr>
          <w:b/>
          <w:sz w:val="24"/>
          <w:szCs w:val="24"/>
        </w:rPr>
        <w:t>alin. (3)</w:t>
      </w:r>
      <w:r>
        <w:rPr>
          <w:sz w:val="24"/>
          <w:szCs w:val="24"/>
        </w:rPr>
        <w:t xml:space="preserve"> precum și între acestea și alte spaţii ale clădirii (dispuși la limita față de circulațiile comune de evacuare - coridoare, degajamente protejate, incaperi tampon ventilate în suprapresiune, scări închise, etc. precum și față de spații cu risc diferit de incendiu - conform densităţilor sarcinilor termice (q) din spaţiile adiacente şi/sau densităţilor sarcinilor termice (q) cele mai mari din spaţiile pe care le despart și/ sau cele cu risc diferit de incendiu provenit din funcțiune), vor avea clasa de reacție la foc </w:t>
      </w:r>
      <w:r>
        <w:rPr>
          <w:b/>
          <w:bCs/>
          <w:sz w:val="24"/>
          <w:szCs w:val="24"/>
        </w:rPr>
        <w:t xml:space="preserve">A1 </w:t>
      </w:r>
      <w:r>
        <w:rPr>
          <w:sz w:val="24"/>
          <w:szCs w:val="24"/>
        </w:rPr>
        <w:t>sau</w:t>
      </w:r>
      <w:r>
        <w:rPr>
          <w:b/>
          <w:bCs/>
          <w:sz w:val="24"/>
          <w:szCs w:val="24"/>
        </w:rPr>
        <w:t xml:space="preserve"> A2s1d0</w:t>
      </w:r>
      <w:r>
        <w:rPr>
          <w:sz w:val="24"/>
          <w:szCs w:val="24"/>
        </w:rPr>
        <w:t xml:space="preserve"> și încadrarea privind rezistența la foc minimum (</w:t>
      </w:r>
      <w:r>
        <w:rPr>
          <w:sz w:val="24"/>
          <w:szCs w:val="24"/>
          <w:lang w:eastAsia="zh-CN"/>
        </w:rPr>
        <w:t>dacă densitatea sarcinii termice din spațiile adiacente nu genereaza performanțe mai mari</w:t>
      </w:r>
      <w:r>
        <w:rPr>
          <w:sz w:val="24"/>
          <w:szCs w:val="24"/>
        </w:rPr>
        <w:t xml:space="preserve">) a </w:t>
      </w:r>
      <w:r>
        <w:rPr>
          <w:sz w:val="24"/>
          <w:szCs w:val="24"/>
          <w:shd w:val="clear" w:color="auto" w:fill="FFFFFF"/>
          <w:lang w:eastAsia="zh-CN"/>
        </w:rPr>
        <w:t xml:space="preserve">pereţilor </w:t>
      </w:r>
      <w:hyperlink r:id="rId195" w:history="1">
        <w:r>
          <w:rPr>
            <w:sz w:val="24"/>
            <w:szCs w:val="24"/>
            <w:shd w:val="clear" w:color="auto" w:fill="FFFFFF"/>
            <w:lang w:eastAsia="zh-CN"/>
          </w:rPr>
          <w:t>de</w:t>
        </w:r>
      </w:hyperlink>
      <w:r>
        <w:rPr>
          <w:sz w:val="24"/>
          <w:szCs w:val="24"/>
          <w:shd w:val="clear" w:color="auto" w:fill="FFFFFF"/>
          <w:lang w:eastAsia="zh-CN"/>
        </w:rPr>
        <w:t xml:space="preserve"> sectorizare cu rol de limitare a propagării focului (de protecție contra incendiilor care limitează propagarea în interiorul compartimentelor de incendiu </w:t>
      </w:r>
      <w:r>
        <w:rPr>
          <w:b/>
          <w:bCs/>
          <w:sz w:val="24"/>
          <w:szCs w:val="24"/>
          <w:shd w:val="clear" w:color="auto" w:fill="FFFFFF"/>
          <w:lang w:eastAsia="zh-CN"/>
        </w:rPr>
        <w:t>(REI/EI)</w:t>
      </w:r>
      <w:r>
        <w:rPr>
          <w:sz w:val="24"/>
          <w:szCs w:val="24"/>
          <w:shd w:val="clear" w:color="auto" w:fill="FFFFFF"/>
          <w:lang w:eastAsia="zh-CN"/>
        </w:rPr>
        <w:t xml:space="preserve">, conform încadrării construcţiei/ compartimentului de incendiu în nivelul de stabilitate la incendiu precizate în </w:t>
      </w:r>
      <w:r>
        <w:rPr>
          <w:rFonts w:cs="Mangal"/>
          <w:b/>
          <w:i/>
          <w:iCs/>
          <w:sz w:val="24"/>
          <w:szCs w:val="24"/>
          <w:lang w:eastAsia="zh-CN"/>
        </w:rPr>
        <w:fldChar w:fldCharType="begin"/>
      </w:r>
      <w:r>
        <w:rPr>
          <w:rFonts w:cs="Mangal"/>
          <w:b/>
          <w:i/>
          <w:iCs/>
          <w:sz w:val="24"/>
          <w:szCs w:val="24"/>
          <w:lang w:eastAsia="zh-CN"/>
        </w:rPr>
        <w:instrText xml:space="preserve"> REF _Ref26473 \h </w:instrText>
      </w:r>
      <w:r>
        <w:rPr>
          <w:rFonts w:cs="Mangal"/>
          <w:b/>
          <w:i/>
          <w:iCs/>
          <w:sz w:val="24"/>
          <w:szCs w:val="24"/>
          <w:lang w:eastAsia="zh-CN"/>
        </w:rPr>
      </w:r>
      <w:r>
        <w:rPr>
          <w:rFonts w:cs="Mangal"/>
          <w:b/>
          <w:i/>
          <w:iCs/>
          <w:sz w:val="24"/>
          <w:szCs w:val="24"/>
          <w:lang w:eastAsia="zh-CN"/>
        </w:rPr>
        <w:fldChar w:fldCharType="separate"/>
      </w:r>
      <w:r>
        <w:t>Tabelul 2</w:t>
      </w:r>
      <w:r>
        <w:rPr>
          <w:rFonts w:cs="Mangal"/>
          <w:b/>
          <w:i/>
          <w:iCs/>
          <w:sz w:val="24"/>
          <w:szCs w:val="24"/>
          <w:lang w:eastAsia="zh-CN"/>
        </w:rPr>
        <w:fldChar w:fldCharType="end"/>
      </w:r>
      <w:r>
        <w:rPr>
          <w:rStyle w:val="BodyTextChar"/>
          <w:lang w:eastAsia="zh-CN"/>
        </w:rPr>
        <w:t xml:space="preserve"> </w:t>
      </w:r>
      <w:r>
        <w:rPr>
          <w:rStyle w:val="BodyTextChar"/>
        </w:rPr>
        <w:t>nr. crt. 5</w:t>
      </w:r>
      <w:r>
        <w:rPr>
          <w:sz w:val="24"/>
          <w:szCs w:val="24"/>
          <w:shd w:val="clear" w:color="auto" w:fill="FFFFFF"/>
          <w:lang w:eastAsia="zh-CN"/>
        </w:rPr>
        <w:t>.</w:t>
      </w:r>
    </w:p>
    <w:p w14:paraId="42C044C2" w14:textId="77777777" w:rsidR="001C08A5" w:rsidRDefault="00000000">
      <w:pPr>
        <w:ind w:firstLine="720"/>
        <w:jc w:val="both"/>
        <w:rPr>
          <w:sz w:val="24"/>
          <w:szCs w:val="24"/>
          <w:shd w:val="clear" w:color="auto" w:fill="FFFFFF"/>
          <w:lang w:eastAsia="zh-CN"/>
        </w:rPr>
      </w:pPr>
      <w:r>
        <w:rPr>
          <w:b/>
          <w:bCs/>
          <w:sz w:val="24"/>
          <w:szCs w:val="24"/>
        </w:rPr>
        <w:t xml:space="preserve">(6) </w:t>
      </w:r>
      <w:r>
        <w:rPr>
          <w:sz w:val="24"/>
          <w:szCs w:val="24"/>
        </w:rPr>
        <w:t>Spațiile de același tip utilizate de persoane care nu se pot evacua singure situate în clădiri de sănătate [</w:t>
      </w:r>
      <w:r>
        <w:rPr>
          <w:sz w:val="24"/>
          <w:szCs w:val="24"/>
          <w:shd w:val="clear" w:color="auto" w:fill="FFFFFF"/>
          <w:lang w:eastAsia="zh-CN"/>
        </w:rPr>
        <w:t xml:space="preserve">clădiri de spitale sau cu caracter spitalicesc - </w:t>
      </w:r>
      <w:r>
        <w:rPr>
          <w:sz w:val="24"/>
          <w:szCs w:val="24"/>
        </w:rPr>
        <w:t>spitale, maternitati, policlinici, staţionare medicale, dispensare, centre medicale și de sănătate multifuncționale, clinici și unități medicale ambulatorii similare policlinicilor, centre medicale de diagnostic și tratament, aziluri sau cămine pentru bătrâni și persoane cu dizabilități, ospicii pentru alienaţi mintal, sanatorii, etc.</w:t>
      </w:r>
      <w:r>
        <w:rPr>
          <w:sz w:val="24"/>
          <w:szCs w:val="24"/>
          <w:shd w:val="clear" w:color="auto" w:fill="FFFFFF"/>
          <w:lang w:eastAsia="zh-CN"/>
        </w:rPr>
        <w:t xml:space="preserve">)] constituite în </w:t>
      </w:r>
      <w:r>
        <w:rPr>
          <w:sz w:val="24"/>
          <w:szCs w:val="24"/>
        </w:rPr>
        <w:t xml:space="preserve">grupări de încăperi deschise, </w:t>
      </w:r>
      <w:r>
        <w:rPr>
          <w:sz w:val="24"/>
          <w:szCs w:val="24"/>
          <w:shd w:val="clear" w:color="auto" w:fill="FFFFFF"/>
          <w:lang w:eastAsia="zh-CN"/>
        </w:rPr>
        <w:t>nu sunt admise, cu excepțiile precizate.</w:t>
      </w:r>
    </w:p>
    <w:p w14:paraId="651AA69C" w14:textId="77777777" w:rsidR="001C08A5" w:rsidRDefault="00000000">
      <w:pPr>
        <w:widowControl w:val="0"/>
        <w:ind w:firstLine="720"/>
        <w:jc w:val="both"/>
        <w:rPr>
          <w:sz w:val="24"/>
          <w:szCs w:val="24"/>
          <w:shd w:val="clear" w:color="auto" w:fill="FFFFFF"/>
          <w:lang w:eastAsia="zh-CN"/>
        </w:rPr>
      </w:pPr>
      <w:r>
        <w:rPr>
          <w:b/>
          <w:bCs/>
          <w:sz w:val="24"/>
          <w:szCs w:val="24"/>
        </w:rPr>
        <w:t xml:space="preserve">(7) </w:t>
      </w:r>
      <w:r>
        <w:rPr>
          <w:sz w:val="24"/>
          <w:szCs w:val="24"/>
          <w:shd w:val="clear" w:color="auto" w:fill="FFFFFF"/>
          <w:lang w:eastAsia="zh-CN"/>
        </w:rPr>
        <w:t>Incăperile de dormit sau spitalizare (saloane, rezerve, cabinete medicale, etc.), cu excepția celor care necesită supraveghere permanentă (ATI, UPU, etc.)nu se pot constitui în grupări de tip open-space, acestea trebuind sa fie delimitate între ele prin minimumpereti neportanţi despărţitori interiori cu rol de limitare a propagării focului (</w:t>
      </w:r>
      <w:r>
        <w:rPr>
          <w:b/>
          <w:bCs/>
          <w:sz w:val="24"/>
          <w:szCs w:val="24"/>
          <w:shd w:val="clear" w:color="auto" w:fill="FFFFFF"/>
          <w:lang w:eastAsia="zh-CN"/>
        </w:rPr>
        <w:t>EI</w:t>
      </w:r>
      <w:r>
        <w:rPr>
          <w:sz w:val="24"/>
          <w:szCs w:val="24"/>
          <w:shd w:val="clear" w:color="auto" w:fill="FFFFFF"/>
          <w:lang w:eastAsia="zh-CN"/>
        </w:rPr>
        <w:t xml:space="preserve">) conform încadrării construcţiei/compartimentului de incendiu în nivel de stabilitate </w:t>
      </w:r>
      <w:r>
        <w:rPr>
          <w:sz w:val="24"/>
          <w:szCs w:val="24"/>
        </w:rPr>
        <w:t>(</w:t>
      </w:r>
      <w:r>
        <w:rPr>
          <w:sz w:val="24"/>
          <w:szCs w:val="24"/>
          <w:lang w:eastAsia="zh-CN"/>
        </w:rPr>
        <w:t>dacă funcțiunea sau densitatea sarcinii termice din spațiile adiacente nu genereaza performanțe mai mari</w:t>
      </w:r>
      <w:r>
        <w:rPr>
          <w:sz w:val="24"/>
          <w:szCs w:val="24"/>
        </w:rPr>
        <w:t>)</w:t>
      </w:r>
      <w:r>
        <w:rPr>
          <w:sz w:val="24"/>
          <w:szCs w:val="24"/>
          <w:shd w:val="clear" w:color="auto" w:fill="FFFFFF"/>
          <w:lang w:eastAsia="zh-CN"/>
        </w:rPr>
        <w:t xml:space="preserve">. </w:t>
      </w:r>
    </w:p>
    <w:p w14:paraId="4A768A3C" w14:textId="77777777" w:rsidR="001C08A5" w:rsidRDefault="00000000">
      <w:pPr>
        <w:widowControl w:val="0"/>
        <w:ind w:firstLine="720"/>
        <w:jc w:val="both"/>
        <w:rPr>
          <w:sz w:val="24"/>
          <w:szCs w:val="24"/>
          <w:shd w:val="clear" w:color="auto" w:fill="FFFFFF"/>
          <w:lang w:eastAsia="zh-CN"/>
        </w:rPr>
      </w:pPr>
      <w:r>
        <w:rPr>
          <w:b/>
          <w:sz w:val="24"/>
          <w:szCs w:val="24"/>
          <w:shd w:val="clear" w:color="auto" w:fill="FFFFFF"/>
          <w:lang w:eastAsia="zh-CN"/>
        </w:rPr>
        <w:t>(8)</w:t>
      </w:r>
      <w:r>
        <w:rPr>
          <w:sz w:val="24"/>
          <w:szCs w:val="24"/>
          <w:shd w:val="clear" w:color="auto" w:fill="FFFFFF"/>
          <w:lang w:eastAsia="zh-CN"/>
        </w:rPr>
        <w:t xml:space="preserve"> Obligatoriu camerele de operații </w:t>
      </w:r>
      <w:r>
        <w:rPr>
          <w:rFonts w:cs="Mangal"/>
          <w:sz w:val="24"/>
          <w:szCs w:val="24"/>
          <w:lang w:eastAsia="zh-CN"/>
        </w:rPr>
        <w:t>împreună</w:t>
      </w:r>
      <w:r>
        <w:rPr>
          <w:rFonts w:cs="Mangal"/>
          <w:b/>
          <w:i/>
          <w:iCs/>
          <w:sz w:val="24"/>
          <w:szCs w:val="24"/>
          <w:lang w:eastAsia="zh-CN"/>
        </w:rPr>
        <w:t xml:space="preserve"> </w:t>
      </w:r>
      <w:r>
        <w:rPr>
          <w:sz w:val="24"/>
          <w:szCs w:val="24"/>
          <w:shd w:val="clear" w:color="auto" w:fill="FFFFFF"/>
          <w:lang w:eastAsia="zh-CN"/>
        </w:rPr>
        <w:t xml:space="preserve">cu </w:t>
      </w:r>
      <w:r>
        <w:rPr>
          <w:sz w:val="24"/>
          <w:szCs w:val="24"/>
        </w:rPr>
        <w:t xml:space="preserve">destinatiile colaterale ale acestora (spălătoare, depozite de mână de instrumentar medical specific, etc.) conform </w:t>
      </w:r>
      <w:r>
        <w:rPr>
          <w:rFonts w:cs="Mangal"/>
          <w:b/>
          <w:i/>
          <w:iCs/>
          <w:sz w:val="24"/>
          <w:szCs w:val="24"/>
        </w:rPr>
        <w:fldChar w:fldCharType="begin"/>
      </w:r>
      <w:r>
        <w:rPr>
          <w:rFonts w:cs="Mangal"/>
          <w:b/>
          <w:i/>
          <w:iCs/>
          <w:sz w:val="24"/>
          <w:szCs w:val="24"/>
        </w:rPr>
        <w:instrText xml:space="preserve"> REF _Ref20938 \h </w:instrText>
      </w:r>
      <w:r>
        <w:rPr>
          <w:rFonts w:cs="Mangal"/>
          <w:b/>
          <w:i/>
          <w:iCs/>
          <w:sz w:val="24"/>
          <w:szCs w:val="24"/>
        </w:rPr>
      </w:r>
      <w:r>
        <w:rPr>
          <w:rFonts w:cs="Mangal"/>
          <w:b/>
          <w:i/>
          <w:iCs/>
          <w:sz w:val="24"/>
          <w:szCs w:val="24"/>
        </w:rPr>
        <w:fldChar w:fldCharType="separate"/>
      </w:r>
      <w:r>
        <w:t>Figura 68</w:t>
      </w:r>
      <w:r>
        <w:rPr>
          <w:rFonts w:cs="Mangal"/>
          <w:b/>
          <w:i/>
          <w:iCs/>
          <w:sz w:val="24"/>
          <w:szCs w:val="24"/>
        </w:rPr>
        <w:fldChar w:fldCharType="end"/>
      </w:r>
      <w:r>
        <w:rPr>
          <w:sz w:val="24"/>
          <w:szCs w:val="24"/>
        </w:rPr>
        <w:t xml:space="preserve">, precum și </w:t>
      </w:r>
      <w:r>
        <w:rPr>
          <w:sz w:val="24"/>
          <w:szCs w:val="24"/>
          <w:shd w:val="clear" w:color="auto" w:fill="FFFFFF"/>
          <w:lang w:eastAsia="zh-CN"/>
        </w:rPr>
        <w:t>spațiile care necesită supraveghere permanentă (ATI) și recomandabil altor încăperi (UPU, etc.),</w:t>
      </w:r>
      <w:r>
        <w:rPr>
          <w:sz w:val="24"/>
          <w:szCs w:val="24"/>
        </w:rPr>
        <w:t xml:space="preserve"> se vor </w:t>
      </w:r>
      <w:r>
        <w:rPr>
          <w:sz w:val="24"/>
          <w:szCs w:val="24"/>
          <w:shd w:val="clear" w:color="auto" w:fill="FFFFFF"/>
          <w:lang w:eastAsia="zh-CN"/>
        </w:rPr>
        <w:t xml:space="preserve">constitui fiecare în grupare de tip open space în limita suprafețelor precizate la </w:t>
      </w:r>
      <w:r>
        <w:rPr>
          <w:b/>
          <w:bCs/>
          <w:sz w:val="24"/>
          <w:szCs w:val="24"/>
          <w:shd w:val="clear" w:color="auto" w:fill="FFFFFF"/>
          <w:lang w:eastAsia="zh-CN"/>
        </w:rPr>
        <w:t>Art. 3.2.4.9. alin. (3)</w:t>
      </w:r>
      <w:r>
        <w:rPr>
          <w:sz w:val="24"/>
          <w:szCs w:val="24"/>
          <w:shd w:val="clear" w:color="auto" w:fill="FFFFFF"/>
          <w:lang w:eastAsia="zh-CN"/>
        </w:rPr>
        <w:t xml:space="preserve"> și se prevăd cu pereți rezistenți la foc </w:t>
      </w:r>
      <w:r>
        <w:rPr>
          <w:b/>
          <w:bCs/>
          <w:sz w:val="24"/>
          <w:szCs w:val="24"/>
          <w:shd w:val="clear" w:color="auto" w:fill="FFFFFF"/>
          <w:lang w:eastAsia="zh-CN"/>
        </w:rPr>
        <w:t>EI/REI 120</w:t>
      </w:r>
      <w:r>
        <w:rPr>
          <w:sz w:val="24"/>
          <w:szCs w:val="24"/>
          <w:shd w:val="clear" w:color="auto" w:fill="FFFFFF"/>
          <w:lang w:eastAsia="zh-CN"/>
        </w:rPr>
        <w:t xml:space="preserve"> și uși (culisante) rezistente la foc cu autoînchidere </w:t>
      </w:r>
      <w:r>
        <w:rPr>
          <w:b/>
          <w:bCs/>
          <w:iCs/>
          <w:sz w:val="24"/>
          <w:szCs w:val="24"/>
        </w:rPr>
        <w:t>EI</w:t>
      </w:r>
      <w:r>
        <w:rPr>
          <w:b/>
          <w:bCs/>
          <w:iCs/>
          <w:sz w:val="24"/>
          <w:szCs w:val="24"/>
          <w:vertAlign w:val="subscript"/>
        </w:rPr>
        <w:t>2</w:t>
      </w:r>
      <w:r>
        <w:rPr>
          <w:b/>
          <w:bCs/>
          <w:iCs/>
          <w:sz w:val="24"/>
          <w:szCs w:val="24"/>
        </w:rPr>
        <w:t xml:space="preserve"> 60-C5S</w:t>
      </w:r>
      <w:r>
        <w:rPr>
          <w:b/>
          <w:bCs/>
          <w:iCs/>
          <w:sz w:val="24"/>
          <w:szCs w:val="24"/>
          <w:vertAlign w:val="subscript"/>
        </w:rPr>
        <w:t xml:space="preserve">200 </w:t>
      </w:r>
      <w:r>
        <w:rPr>
          <w:sz w:val="24"/>
          <w:szCs w:val="24"/>
          <w:shd w:val="clear" w:color="auto" w:fill="FFFFFF"/>
          <w:lang w:eastAsia="zh-CN"/>
        </w:rPr>
        <w:t>.</w:t>
      </w:r>
    </w:p>
    <w:p w14:paraId="40A1F84A" w14:textId="77777777" w:rsidR="001C08A5" w:rsidRDefault="00000000">
      <w:pPr>
        <w:jc w:val="both"/>
      </w:pPr>
      <w:r>
        <w:rPr>
          <w:noProof/>
          <w:lang w:eastAsia="ro-RO"/>
        </w:rPr>
        <w:drawing>
          <wp:inline distT="0" distB="0" distL="114300" distR="114300" wp14:anchorId="425B7279" wp14:editId="49435A55">
            <wp:extent cx="6017895" cy="3374390"/>
            <wp:effectExtent l="0" t="0" r="1905" b="16510"/>
            <wp:docPr id="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3"/>
                    <pic:cNvPicPr>
                      <a:picLocks noChangeAspect="1"/>
                    </pic:cNvPicPr>
                  </pic:nvPicPr>
                  <pic:blipFill>
                    <a:blip r:embed="rId196"/>
                    <a:srcRect l="12568" t="12403" r="7706" b="25415"/>
                    <a:stretch>
                      <a:fillRect/>
                    </a:stretch>
                  </pic:blipFill>
                  <pic:spPr>
                    <a:xfrm>
                      <a:off x="0" y="0"/>
                      <a:ext cx="6017895" cy="3374390"/>
                    </a:xfrm>
                    <a:prstGeom prst="rect">
                      <a:avLst/>
                    </a:prstGeom>
                    <a:noFill/>
                    <a:ln>
                      <a:noFill/>
                    </a:ln>
                  </pic:spPr>
                </pic:pic>
              </a:graphicData>
            </a:graphic>
          </wp:inline>
        </w:drawing>
      </w:r>
    </w:p>
    <w:p w14:paraId="20BEF637" w14:textId="77777777" w:rsidR="001C08A5" w:rsidRDefault="00000000">
      <w:pPr>
        <w:pStyle w:val="Caption"/>
        <w:jc w:val="center"/>
        <w:rPr>
          <w:bCs/>
        </w:rPr>
      </w:pPr>
      <w:bookmarkStart w:id="3587" w:name="_Ref20938"/>
      <w:bookmarkStart w:id="3588" w:name="_Toc162360292"/>
      <w:r>
        <w:t xml:space="preserve">Figura </w:t>
      </w:r>
      <w:r>
        <w:fldChar w:fldCharType="begin"/>
      </w:r>
      <w:r>
        <w:instrText xml:space="preserve"> SEQ Figura \* ARABIC </w:instrText>
      </w:r>
      <w:r>
        <w:fldChar w:fldCharType="separate"/>
      </w:r>
      <w:r>
        <w:t>68</w:t>
      </w:r>
      <w:r>
        <w:fldChar w:fldCharType="end"/>
      </w:r>
      <w:bookmarkStart w:id="3589" w:name="_Toc27480"/>
      <w:bookmarkStart w:id="3590" w:name="_Toc792"/>
      <w:bookmarkStart w:id="3591" w:name="_Toc18851"/>
      <w:bookmarkStart w:id="3592" w:name="_Toc22560"/>
      <w:bookmarkStart w:id="3593" w:name="_Toc13776"/>
      <w:bookmarkStart w:id="3594" w:name="_Toc9378"/>
      <w:bookmarkStart w:id="3595" w:name="_Toc6985"/>
      <w:bookmarkStart w:id="3596" w:name="_Toc23328"/>
      <w:bookmarkStart w:id="3597" w:name="_Toc812"/>
      <w:bookmarkStart w:id="3598" w:name="_Toc6735"/>
      <w:bookmarkStart w:id="3599" w:name="_Toc22376"/>
      <w:bookmarkEnd w:id="3587"/>
      <w:r>
        <w:t xml:space="preserve"> - </w:t>
      </w:r>
      <w:r>
        <w:rPr>
          <w:bCs/>
        </w:rPr>
        <w:t>Concept de apărare ”pe loc”</w:t>
      </w:r>
      <w:bookmarkEnd w:id="3588"/>
      <w:bookmarkEnd w:id="3589"/>
      <w:bookmarkEnd w:id="3590"/>
      <w:bookmarkEnd w:id="3591"/>
      <w:bookmarkEnd w:id="3592"/>
      <w:bookmarkEnd w:id="3593"/>
      <w:bookmarkEnd w:id="3594"/>
      <w:bookmarkEnd w:id="3595"/>
      <w:bookmarkEnd w:id="3596"/>
      <w:bookmarkEnd w:id="3597"/>
      <w:bookmarkEnd w:id="3598"/>
      <w:bookmarkEnd w:id="3599"/>
    </w:p>
    <w:p w14:paraId="58F872D2" w14:textId="77777777" w:rsidR="001C08A5" w:rsidRDefault="00000000">
      <w:pPr>
        <w:jc w:val="both"/>
        <w:rPr>
          <w:i/>
          <w:iCs/>
          <w:sz w:val="22"/>
          <w:szCs w:val="22"/>
        </w:rPr>
      </w:pPr>
      <w:r>
        <w:rPr>
          <w:b/>
          <w:bCs/>
          <w:i/>
          <w:iCs/>
          <w:sz w:val="22"/>
          <w:szCs w:val="22"/>
        </w:rPr>
        <w:lastRenderedPageBreak/>
        <w:t>Legendă Figura 69</w:t>
      </w:r>
      <w:r>
        <w:rPr>
          <w:i/>
          <w:iCs/>
          <w:sz w:val="22"/>
          <w:szCs w:val="22"/>
        </w:rPr>
        <w:t xml:space="preserve"> (exemplu principiu):</w:t>
      </w:r>
    </w:p>
    <w:p w14:paraId="4E59D022" w14:textId="77777777" w:rsidR="001C08A5" w:rsidRDefault="00000000">
      <w:pPr>
        <w:jc w:val="both"/>
        <w:rPr>
          <w:i/>
          <w:iCs/>
          <w:sz w:val="22"/>
          <w:szCs w:val="22"/>
        </w:rPr>
      </w:pPr>
      <w:r>
        <w:rPr>
          <w:i/>
          <w:iCs/>
          <w:sz w:val="22"/>
          <w:szCs w:val="22"/>
        </w:rPr>
        <w:t>A - spălător medici; B - acces bolnavi, etc. ; C - sala de operație</w:t>
      </w:r>
    </w:p>
    <w:p w14:paraId="66928D21" w14:textId="77777777" w:rsidR="001C08A5" w:rsidRDefault="001C08A5">
      <w:pPr>
        <w:jc w:val="both"/>
        <w:rPr>
          <w:i/>
          <w:iCs/>
          <w:sz w:val="22"/>
          <w:szCs w:val="22"/>
        </w:rPr>
      </w:pPr>
    </w:p>
    <w:p w14:paraId="1F3D1098" w14:textId="77777777" w:rsidR="001C08A5" w:rsidRDefault="00000000">
      <w:pPr>
        <w:ind w:firstLine="567"/>
        <w:jc w:val="both"/>
        <w:rPr>
          <w:b/>
          <w:sz w:val="24"/>
          <w:szCs w:val="24"/>
        </w:rPr>
      </w:pPr>
      <w:r>
        <w:rPr>
          <w:b/>
          <w:sz w:val="24"/>
          <w:szCs w:val="24"/>
        </w:rPr>
        <w:t xml:space="preserve">Art. </w:t>
      </w:r>
      <w:r>
        <w:rPr>
          <w:b/>
          <w:bCs/>
          <w:sz w:val="24"/>
          <w:szCs w:val="24"/>
        </w:rPr>
        <w:t>3.2.4.</w:t>
      </w:r>
      <w:r>
        <w:rPr>
          <w:b/>
          <w:sz w:val="24"/>
          <w:szCs w:val="24"/>
        </w:rPr>
        <w:t xml:space="preserve">10. </w:t>
      </w:r>
      <w:r>
        <w:rPr>
          <w:sz w:val="24"/>
          <w:szCs w:val="24"/>
        </w:rPr>
        <w:t>La clădirile pentru sănătate înalte sau foarte înalte și la cele cu sali aglomerate se respectă şi prevederile privind performanțele specifice acestora.</w:t>
      </w:r>
      <w:r>
        <w:rPr>
          <w:sz w:val="24"/>
          <w:szCs w:val="24"/>
        </w:rPr>
        <w:tab/>
      </w:r>
      <w:r>
        <w:rPr>
          <w:sz w:val="24"/>
          <w:szCs w:val="24"/>
        </w:rPr>
        <w:tab/>
      </w:r>
    </w:p>
    <w:p w14:paraId="04B25663" w14:textId="77777777" w:rsidR="001C08A5" w:rsidRDefault="00000000">
      <w:pPr>
        <w:ind w:firstLine="567"/>
        <w:jc w:val="both"/>
        <w:rPr>
          <w:b/>
          <w:sz w:val="24"/>
          <w:szCs w:val="24"/>
        </w:rPr>
      </w:pPr>
      <w:r>
        <w:rPr>
          <w:b/>
          <w:sz w:val="24"/>
          <w:szCs w:val="24"/>
        </w:rPr>
        <w:tab/>
      </w:r>
    </w:p>
    <w:p w14:paraId="48A8CC29" w14:textId="77777777" w:rsidR="001C08A5" w:rsidRDefault="00000000">
      <w:pPr>
        <w:ind w:firstLine="567"/>
        <w:jc w:val="both"/>
        <w:rPr>
          <w:sz w:val="24"/>
          <w:szCs w:val="24"/>
        </w:rPr>
      </w:pPr>
      <w:r>
        <w:rPr>
          <w:b/>
          <w:sz w:val="24"/>
          <w:szCs w:val="24"/>
        </w:rPr>
        <w:t xml:space="preserve">Art. </w:t>
      </w:r>
      <w:r>
        <w:rPr>
          <w:b/>
          <w:bCs/>
          <w:sz w:val="24"/>
          <w:szCs w:val="24"/>
        </w:rPr>
        <w:t>3.2.4.</w:t>
      </w:r>
      <w:r>
        <w:rPr>
          <w:b/>
          <w:sz w:val="24"/>
          <w:szCs w:val="24"/>
        </w:rPr>
        <w:t xml:space="preserve">11. (1) </w:t>
      </w:r>
      <w:r>
        <w:rPr>
          <w:sz w:val="24"/>
          <w:szCs w:val="24"/>
        </w:rPr>
        <w:t xml:space="preserve">Clădirile pentru sănătate supraterane cu înălţime obişnuită şi cu locuri de spitalizare, vor avea asigurate căi de acces şi intervenţie a autospecialelor de stingere în caz de incendiu, cel puţin </w:t>
      </w:r>
      <w:r>
        <w:rPr>
          <w:bCs/>
          <w:sz w:val="24"/>
          <w:szCs w:val="24"/>
        </w:rPr>
        <w:t xml:space="preserve">integral pe două (2) laturi alăturate </w:t>
      </w:r>
      <w:r>
        <w:rPr>
          <w:rFonts w:eastAsia="Times-Roman"/>
          <w:sz w:val="24"/>
          <w:szCs w:val="24"/>
        </w:rPr>
        <w:t xml:space="preserve">şi, totodată, cel puţin pe </w:t>
      </w:r>
      <w:r>
        <w:rPr>
          <w:rFonts w:eastAsia="Times-Roman"/>
          <w:b/>
          <w:bCs/>
          <w:sz w:val="24"/>
          <w:szCs w:val="24"/>
        </w:rPr>
        <w:t>50%</w:t>
      </w:r>
      <w:r>
        <w:rPr>
          <w:rFonts w:eastAsia="Times-Roman"/>
          <w:sz w:val="24"/>
          <w:szCs w:val="24"/>
        </w:rPr>
        <w:t xml:space="preserve"> din perimetrul pereților exteriori</w:t>
      </w:r>
      <w:r>
        <w:rPr>
          <w:sz w:val="24"/>
          <w:szCs w:val="24"/>
        </w:rPr>
        <w:t>.</w:t>
      </w:r>
    </w:p>
    <w:p w14:paraId="0EAD2394" w14:textId="77777777" w:rsidR="001C08A5" w:rsidRDefault="00000000">
      <w:pPr>
        <w:ind w:firstLine="567"/>
        <w:jc w:val="both"/>
        <w:rPr>
          <w:sz w:val="24"/>
          <w:szCs w:val="24"/>
        </w:rPr>
      </w:pPr>
      <w:r>
        <w:rPr>
          <w:b/>
          <w:sz w:val="24"/>
          <w:szCs w:val="24"/>
        </w:rPr>
        <w:t xml:space="preserve">(2) </w:t>
      </w:r>
      <w:r>
        <w:rPr>
          <w:sz w:val="24"/>
          <w:szCs w:val="24"/>
        </w:rPr>
        <w:t xml:space="preserve">Clădirile pentru sănătate supraterane cu înălţime obişnuită fără locuri de spitalizare, vor avea asigurat accesul și intervenţia autospecialelor de stingere în caz de incendiu, cel puţin pe o latură </w:t>
      </w:r>
      <w:r>
        <w:rPr>
          <w:rFonts w:eastAsia="Times-Roman"/>
          <w:sz w:val="24"/>
          <w:szCs w:val="24"/>
        </w:rPr>
        <w:t xml:space="preserve">şi, totodată, cel puţin pe </w:t>
      </w:r>
      <w:r>
        <w:rPr>
          <w:rFonts w:eastAsia="Times-Roman"/>
          <w:b/>
          <w:bCs/>
          <w:sz w:val="24"/>
          <w:szCs w:val="24"/>
        </w:rPr>
        <w:t>25%</w:t>
      </w:r>
      <w:r>
        <w:rPr>
          <w:rFonts w:eastAsia="Times-Roman"/>
          <w:sz w:val="24"/>
          <w:szCs w:val="24"/>
        </w:rPr>
        <w:t xml:space="preserve"> din perimetrul pereților exteriori.</w:t>
      </w:r>
    </w:p>
    <w:p w14:paraId="233AA0B6" w14:textId="77777777" w:rsidR="001C08A5" w:rsidRDefault="00000000">
      <w:pPr>
        <w:ind w:firstLine="720"/>
        <w:jc w:val="both"/>
        <w:rPr>
          <w:b/>
          <w:sz w:val="24"/>
          <w:szCs w:val="24"/>
        </w:rPr>
      </w:pPr>
      <w:r>
        <w:rPr>
          <w:b/>
          <w:sz w:val="24"/>
          <w:szCs w:val="24"/>
        </w:rPr>
        <w:t xml:space="preserve">(3) </w:t>
      </w:r>
      <w:r>
        <w:rPr>
          <w:bCs/>
          <w:sz w:val="24"/>
          <w:szCs w:val="24"/>
        </w:rPr>
        <w:t>În</w:t>
      </w:r>
      <w:r>
        <w:rPr>
          <w:sz w:val="24"/>
          <w:szCs w:val="24"/>
        </w:rPr>
        <w:t xml:space="preserve">conformitate cu capacitatea maximă simultană a clădirii pentru sănătate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w:t>
      </w:r>
      <w:r>
        <w:rPr>
          <w:bCs/>
          <w:sz w:val="24"/>
          <w:szCs w:val="24"/>
        </w:rPr>
        <w:t>și</w:t>
      </w:r>
      <w:r>
        <w:rPr>
          <w:b/>
          <w:sz w:val="24"/>
          <w:szCs w:val="24"/>
        </w:rPr>
        <w:t xml:space="preserve"> (2). </w:t>
      </w:r>
    </w:p>
    <w:p w14:paraId="1B342596" w14:textId="77777777" w:rsidR="001C08A5" w:rsidRDefault="00000000">
      <w:pPr>
        <w:pStyle w:val="Heading4"/>
      </w:pPr>
      <w:bookmarkStart w:id="3600" w:name="_Toc26494"/>
      <w:bookmarkStart w:id="3601" w:name="_Toc25464"/>
      <w:bookmarkStart w:id="3602" w:name="_Toc15546"/>
      <w:bookmarkStart w:id="3603" w:name="_Toc11463"/>
      <w:bookmarkStart w:id="3604" w:name="_Toc18174"/>
      <w:bookmarkStart w:id="3605" w:name="_Toc3834"/>
      <w:bookmarkStart w:id="3606" w:name="_Toc162355293"/>
      <w:bookmarkStart w:id="3607" w:name="_Toc6513"/>
      <w:r>
        <w:t>3.2.5. Clădiri pentru cultură supraterane</w:t>
      </w:r>
      <w:bookmarkEnd w:id="3600"/>
      <w:bookmarkEnd w:id="3601"/>
      <w:bookmarkEnd w:id="3602"/>
      <w:bookmarkEnd w:id="3603"/>
      <w:bookmarkEnd w:id="3604"/>
      <w:bookmarkEnd w:id="3605"/>
      <w:bookmarkEnd w:id="3606"/>
      <w:bookmarkEnd w:id="3607"/>
    </w:p>
    <w:p w14:paraId="3A929933" w14:textId="77777777" w:rsidR="001C08A5" w:rsidRDefault="001C08A5">
      <w:pPr>
        <w:jc w:val="both"/>
        <w:rPr>
          <w:b/>
          <w:sz w:val="24"/>
          <w:szCs w:val="24"/>
        </w:rPr>
      </w:pPr>
    </w:p>
    <w:p w14:paraId="250C0BBA" w14:textId="77777777" w:rsidR="001C08A5" w:rsidRDefault="00000000">
      <w:pPr>
        <w:ind w:firstLine="567"/>
        <w:jc w:val="both"/>
        <w:rPr>
          <w:sz w:val="24"/>
          <w:szCs w:val="24"/>
        </w:rPr>
      </w:pPr>
      <w:r>
        <w:rPr>
          <w:b/>
          <w:sz w:val="24"/>
          <w:szCs w:val="24"/>
        </w:rPr>
        <w:t xml:space="preserve">Art. </w:t>
      </w:r>
      <w:r>
        <w:rPr>
          <w:b/>
          <w:bCs/>
          <w:sz w:val="24"/>
          <w:szCs w:val="24"/>
        </w:rPr>
        <w:t>3.2.5.</w:t>
      </w:r>
      <w:r>
        <w:rPr>
          <w:b/>
          <w:sz w:val="24"/>
          <w:szCs w:val="24"/>
        </w:rPr>
        <w:t>1. (1)</w:t>
      </w:r>
      <w:r>
        <w:rPr>
          <w:sz w:val="24"/>
          <w:szCs w:val="24"/>
        </w:rPr>
        <w:t xml:space="preserve"> Clădirile pentru cultură supraterane cu înălţimi obişnuite (expoziţii, muzee, biblioteci, cluburi, săli, centre și complexe culturale, cinematografe, teatre, săli polivalente etc.), se conformează astfel încât să îndeplinească condiţiile de corelare între destinaţie, nivelul de stabilitate la incendiu asigurat, aria construită (Ac) şi numărul de niveluri, conform prevederilor din </w:t>
      </w:r>
      <w:r>
        <w:rPr>
          <w:b/>
          <w:sz w:val="24"/>
          <w:szCs w:val="24"/>
        </w:rPr>
        <w:t xml:space="preserve">Art. </w:t>
      </w:r>
      <w:r>
        <w:rPr>
          <w:b/>
          <w:caps/>
          <w:sz w:val="24"/>
          <w:szCs w:val="24"/>
        </w:rPr>
        <w:t>3.1.2.</w:t>
      </w:r>
      <w:r>
        <w:rPr>
          <w:b/>
          <w:sz w:val="24"/>
          <w:szCs w:val="24"/>
        </w:rPr>
        <w:t>6.</w:t>
      </w:r>
      <w:r>
        <w:rPr>
          <w:sz w:val="24"/>
          <w:szCs w:val="24"/>
        </w:rPr>
        <w:t>,</w:t>
      </w:r>
      <w:r>
        <w:rPr>
          <w:b/>
          <w:sz w:val="24"/>
          <w:szCs w:val="24"/>
        </w:rPr>
        <w:t xml:space="preserve"> Art. </w:t>
      </w:r>
      <w:r>
        <w:rPr>
          <w:b/>
          <w:caps/>
          <w:sz w:val="24"/>
          <w:szCs w:val="24"/>
        </w:rPr>
        <w:t>3.1.2.</w:t>
      </w:r>
      <w:r>
        <w:rPr>
          <w:b/>
          <w:sz w:val="24"/>
          <w:szCs w:val="24"/>
        </w:rPr>
        <w:t xml:space="preserve">7. </w:t>
      </w:r>
      <w:r>
        <w:rPr>
          <w:sz w:val="24"/>
          <w:szCs w:val="24"/>
        </w:rPr>
        <w:t xml:space="preserve">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 xml:space="preserve"> și</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sz w:val="24"/>
          <w:szCs w:val="24"/>
        </w:rPr>
        <w:t>.</w:t>
      </w:r>
    </w:p>
    <w:p w14:paraId="5A2A9C03" w14:textId="77777777" w:rsidR="001C08A5" w:rsidRDefault="00000000">
      <w:pPr>
        <w:ind w:firstLine="720"/>
        <w:jc w:val="both"/>
        <w:rPr>
          <w:sz w:val="24"/>
          <w:szCs w:val="24"/>
        </w:rPr>
      </w:pPr>
      <w:r>
        <w:rPr>
          <w:b/>
          <w:sz w:val="24"/>
          <w:szCs w:val="24"/>
        </w:rPr>
        <w:t xml:space="preserve">(2) </w:t>
      </w:r>
      <w:r>
        <w:rPr>
          <w:sz w:val="24"/>
          <w:szCs w:val="24"/>
        </w:rPr>
        <w:t xml:space="preserve">Se recomandă ca, prin alcătuirea construcţiilor pentru cultură, să se asigure nivelurile de stabilitate la incendiu </w:t>
      </w:r>
      <w:r>
        <w:rPr>
          <w:b/>
          <w:sz w:val="24"/>
          <w:szCs w:val="24"/>
        </w:rPr>
        <w:t>I</w:t>
      </w:r>
      <w:r>
        <w:rPr>
          <w:sz w:val="24"/>
          <w:szCs w:val="24"/>
        </w:rPr>
        <w:t xml:space="preserve">, </w:t>
      </w:r>
      <w:r>
        <w:rPr>
          <w:b/>
          <w:sz w:val="24"/>
          <w:szCs w:val="24"/>
        </w:rPr>
        <w:t>II</w:t>
      </w:r>
      <w:r>
        <w:rPr>
          <w:sz w:val="24"/>
          <w:szCs w:val="24"/>
        </w:rPr>
        <w:t xml:space="preserve"> sau </w:t>
      </w:r>
      <w:r>
        <w:rPr>
          <w:b/>
          <w:sz w:val="24"/>
          <w:szCs w:val="24"/>
        </w:rPr>
        <w:t>III</w:t>
      </w:r>
      <w:r>
        <w:rPr>
          <w:sz w:val="24"/>
          <w:szCs w:val="24"/>
        </w:rPr>
        <w:t xml:space="preserve">, în funcţie de numărul utilizatorilor, de importanţa clădirilor și  de valorile de patrimoniu adăpostite. </w:t>
      </w:r>
      <w:r>
        <w:rPr>
          <w:sz w:val="24"/>
          <w:szCs w:val="24"/>
        </w:rPr>
        <w:tab/>
      </w:r>
    </w:p>
    <w:p w14:paraId="2FAFF6D5" w14:textId="77777777" w:rsidR="001C08A5" w:rsidRDefault="001C08A5">
      <w:pPr>
        <w:ind w:firstLine="567"/>
        <w:jc w:val="both"/>
        <w:rPr>
          <w:sz w:val="24"/>
          <w:szCs w:val="24"/>
        </w:rPr>
      </w:pPr>
    </w:p>
    <w:p w14:paraId="0C9D17C2" w14:textId="77777777" w:rsidR="001C08A5" w:rsidRDefault="00000000">
      <w:pPr>
        <w:ind w:firstLine="567"/>
        <w:jc w:val="both"/>
        <w:rPr>
          <w:sz w:val="24"/>
          <w:szCs w:val="24"/>
        </w:rPr>
      </w:pPr>
      <w:r>
        <w:rPr>
          <w:b/>
          <w:sz w:val="24"/>
          <w:szCs w:val="24"/>
        </w:rPr>
        <w:t xml:space="preserve">Art. </w:t>
      </w:r>
      <w:r>
        <w:rPr>
          <w:b/>
          <w:bCs/>
          <w:sz w:val="24"/>
          <w:szCs w:val="24"/>
        </w:rPr>
        <w:t>3.2.5.</w:t>
      </w:r>
      <w:r>
        <w:rPr>
          <w:b/>
          <w:sz w:val="24"/>
          <w:szCs w:val="24"/>
        </w:rPr>
        <w:t xml:space="preserve">2. </w:t>
      </w:r>
      <w:r>
        <w:rPr>
          <w:sz w:val="24"/>
          <w:szCs w:val="24"/>
        </w:rPr>
        <w:t>Căile de evacuare a utilizatorilor în caz de incendiu din clădirile pentru cultură supraterane cu înălţimi obişnuite, vor îndeplini condiţiile normate corespunzătoare nivelului de stabilitate la incendiu asigurat, numărului maxim simultan de utilizatori şi destinaţiei.</w:t>
      </w:r>
    </w:p>
    <w:p w14:paraId="01A520CE" w14:textId="77777777" w:rsidR="001C08A5" w:rsidRDefault="001C08A5">
      <w:pPr>
        <w:ind w:firstLine="567"/>
        <w:jc w:val="both"/>
        <w:rPr>
          <w:sz w:val="24"/>
          <w:szCs w:val="24"/>
        </w:rPr>
      </w:pPr>
    </w:p>
    <w:p w14:paraId="36E84292" w14:textId="77777777" w:rsidR="001C08A5" w:rsidRDefault="00000000">
      <w:pPr>
        <w:ind w:firstLine="567"/>
        <w:jc w:val="both"/>
        <w:rPr>
          <w:sz w:val="24"/>
          <w:szCs w:val="24"/>
        </w:rPr>
      </w:pPr>
      <w:r>
        <w:rPr>
          <w:b/>
          <w:sz w:val="24"/>
          <w:szCs w:val="24"/>
        </w:rPr>
        <w:t xml:space="preserve">Art. </w:t>
      </w:r>
      <w:r>
        <w:rPr>
          <w:b/>
          <w:bCs/>
          <w:sz w:val="24"/>
          <w:szCs w:val="24"/>
        </w:rPr>
        <w:t>3.2.5.</w:t>
      </w:r>
      <w:r>
        <w:rPr>
          <w:b/>
          <w:sz w:val="24"/>
          <w:szCs w:val="24"/>
        </w:rPr>
        <w:t xml:space="preserve">3. </w:t>
      </w:r>
      <w:r>
        <w:rPr>
          <w:sz w:val="24"/>
          <w:szCs w:val="24"/>
        </w:rPr>
        <w:t xml:space="preserve">Comportarea la foc a pereţilor, uşilor și planşeelor de separare a caselor de scări închise din clădirile pentru cultură supraterane cu înălţimi obişnuite, trebuie să corespundă prevederilor din </w:t>
      </w:r>
      <w:r>
        <w:rPr>
          <w:b/>
          <w:bCs/>
          <w:i/>
          <w:iCs/>
          <w:sz w:val="24"/>
          <w:szCs w:val="24"/>
        </w:rPr>
        <w:fldChar w:fldCharType="begin"/>
      </w:r>
      <w:r>
        <w:rPr>
          <w:b/>
          <w:bCs/>
          <w:i/>
          <w:iCs/>
          <w:sz w:val="24"/>
          <w:szCs w:val="24"/>
        </w:rPr>
        <w:instrText xml:space="preserve"> REF _Ref15213 \h </w:instrText>
      </w:r>
      <w:r>
        <w:rPr>
          <w:b/>
          <w:bCs/>
          <w:i/>
          <w:iCs/>
          <w:sz w:val="24"/>
          <w:szCs w:val="24"/>
        </w:rPr>
      </w:r>
      <w:r>
        <w:rPr>
          <w:b/>
          <w:bCs/>
          <w:i/>
          <w:iCs/>
          <w:sz w:val="24"/>
          <w:szCs w:val="24"/>
        </w:rPr>
        <w:fldChar w:fldCharType="separate"/>
      </w:r>
      <w:r>
        <w:t>Tabelul 69</w:t>
      </w:r>
      <w:r>
        <w:rPr>
          <w:b/>
          <w:bCs/>
          <w:i/>
          <w:iCs/>
          <w:sz w:val="24"/>
          <w:szCs w:val="24"/>
        </w:rPr>
        <w:fldChar w:fldCharType="end"/>
      </w:r>
      <w:r>
        <w:rPr>
          <w:sz w:val="24"/>
          <w:szCs w:val="24"/>
        </w:rPr>
        <w:t>.</w:t>
      </w:r>
    </w:p>
    <w:p w14:paraId="074EBCAD" w14:textId="77777777" w:rsidR="001C08A5" w:rsidRDefault="001C08A5">
      <w:pPr>
        <w:jc w:val="both"/>
        <w:rPr>
          <w:sz w:val="24"/>
          <w:szCs w:val="24"/>
        </w:rPr>
      </w:pPr>
    </w:p>
    <w:p w14:paraId="72A8EB6C" w14:textId="77777777" w:rsidR="001C08A5" w:rsidRDefault="00000000">
      <w:pPr>
        <w:pStyle w:val="Captiontabel"/>
      </w:pPr>
      <w:bookmarkStart w:id="3608" w:name="_Ref15213"/>
      <w:bookmarkStart w:id="3609" w:name="_Toc162360119"/>
      <w:r>
        <w:t xml:space="preserve">Tabelul </w:t>
      </w:r>
      <w:r>
        <w:fldChar w:fldCharType="begin"/>
      </w:r>
      <w:r>
        <w:instrText xml:space="preserve"> SEQ Tabelul \* ARABIC </w:instrText>
      </w:r>
      <w:r>
        <w:fldChar w:fldCharType="separate"/>
      </w:r>
      <w:r>
        <w:t>69</w:t>
      </w:r>
      <w:r>
        <w:fldChar w:fldCharType="end"/>
      </w:r>
      <w:bookmarkStart w:id="3610" w:name="_Toc7398"/>
      <w:bookmarkStart w:id="3611" w:name="_Toc936"/>
      <w:bookmarkStart w:id="3612" w:name="_Toc9642"/>
      <w:bookmarkStart w:id="3613" w:name="_Toc31684"/>
      <w:bookmarkStart w:id="3614" w:name="_Toc13304"/>
      <w:bookmarkStart w:id="3615" w:name="_Toc13571"/>
      <w:bookmarkStart w:id="3616" w:name="_Toc12544"/>
      <w:bookmarkStart w:id="3617" w:name="_Toc22776"/>
      <w:bookmarkStart w:id="3618" w:name="_Toc29906"/>
      <w:bookmarkStart w:id="3619" w:name="_Toc15892"/>
      <w:bookmarkStart w:id="3620" w:name="_Toc25768"/>
      <w:bookmarkStart w:id="3621" w:name="_Toc16915"/>
      <w:bookmarkStart w:id="3622" w:name="_Toc5031"/>
      <w:bookmarkStart w:id="3623" w:name="_Toc22469"/>
      <w:bookmarkStart w:id="3624" w:name="_Toc23614"/>
      <w:bookmarkStart w:id="3625" w:name="_Toc10579"/>
      <w:bookmarkStart w:id="3626" w:name="_Toc20265"/>
      <w:bookmarkStart w:id="3627" w:name="_Toc3820"/>
      <w:bookmarkStart w:id="3628" w:name="_Toc30305"/>
      <w:bookmarkEnd w:id="3608"/>
      <w:r>
        <w:t>: Comportare la foc a pereţilor, uşilor și planşeelor de separare a caselor de scări închise din clădirile pentru cultură supraterane cu înălţimi obişnuite</w:t>
      </w:r>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p>
    <w:p w14:paraId="555C7F60" w14:textId="77777777" w:rsidR="001C08A5" w:rsidRDefault="001C08A5">
      <w:pPr>
        <w:jc w:val="both"/>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1"/>
        <w:gridCol w:w="1834"/>
        <w:gridCol w:w="1701"/>
        <w:gridCol w:w="1373"/>
        <w:gridCol w:w="1680"/>
        <w:gridCol w:w="1696"/>
      </w:tblGrid>
      <w:tr w:rsidR="001C08A5" w14:paraId="66832F5F" w14:textId="77777777">
        <w:trPr>
          <w:tblHeader/>
        </w:trPr>
        <w:tc>
          <w:tcPr>
            <w:tcW w:w="1242" w:type="dxa"/>
            <w:vMerge w:val="restart"/>
            <w:shd w:val="clear" w:color="auto" w:fill="BFBFBF"/>
          </w:tcPr>
          <w:p w14:paraId="588F6A81" w14:textId="77777777" w:rsidR="001C08A5" w:rsidRDefault="00000000">
            <w:pPr>
              <w:pStyle w:val="BodyText"/>
              <w:jc w:val="center"/>
              <w:rPr>
                <w:bCs w:val="0"/>
                <w:sz w:val="22"/>
                <w:szCs w:val="22"/>
              </w:rPr>
            </w:pPr>
            <w:r>
              <w:rPr>
                <w:bCs w:val="0"/>
                <w:sz w:val="22"/>
                <w:szCs w:val="22"/>
              </w:rPr>
              <w:t>Nivel de stabilitate</w:t>
            </w:r>
          </w:p>
          <w:p w14:paraId="10F5AE88" w14:textId="77777777" w:rsidR="001C08A5" w:rsidRDefault="00000000">
            <w:pPr>
              <w:jc w:val="center"/>
              <w:rPr>
                <w:i/>
                <w:sz w:val="22"/>
                <w:szCs w:val="22"/>
              </w:rPr>
            </w:pPr>
            <w:r>
              <w:rPr>
                <w:b/>
                <w:bCs/>
                <w:i/>
                <w:sz w:val="22"/>
                <w:szCs w:val="22"/>
              </w:rPr>
              <w:t>la incendiu</w:t>
            </w:r>
          </w:p>
        </w:tc>
        <w:tc>
          <w:tcPr>
            <w:tcW w:w="8329" w:type="dxa"/>
            <w:gridSpan w:val="5"/>
            <w:shd w:val="clear" w:color="auto" w:fill="BFBFBF"/>
          </w:tcPr>
          <w:p w14:paraId="3C355ED0"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3CD8A167" w14:textId="77777777">
        <w:trPr>
          <w:tblHeader/>
        </w:trPr>
        <w:tc>
          <w:tcPr>
            <w:tcW w:w="1242" w:type="dxa"/>
            <w:vMerge/>
            <w:shd w:val="clear" w:color="auto" w:fill="BFBFBF"/>
          </w:tcPr>
          <w:p w14:paraId="51BD393C" w14:textId="77777777" w:rsidR="001C08A5" w:rsidRDefault="001C08A5">
            <w:pPr>
              <w:jc w:val="center"/>
              <w:rPr>
                <w:i/>
                <w:sz w:val="22"/>
                <w:szCs w:val="22"/>
              </w:rPr>
            </w:pPr>
          </w:p>
        </w:tc>
        <w:tc>
          <w:tcPr>
            <w:tcW w:w="3553" w:type="dxa"/>
            <w:gridSpan w:val="2"/>
            <w:shd w:val="clear" w:color="auto" w:fill="BFBFBF"/>
          </w:tcPr>
          <w:p w14:paraId="634997F3" w14:textId="77777777" w:rsidR="001C08A5" w:rsidRDefault="00000000">
            <w:pPr>
              <w:jc w:val="center"/>
              <w:rPr>
                <w:i/>
                <w:sz w:val="22"/>
                <w:szCs w:val="22"/>
              </w:rPr>
            </w:pPr>
            <w:r>
              <w:rPr>
                <w:b/>
                <w:bCs/>
                <w:i/>
                <w:sz w:val="22"/>
                <w:szCs w:val="22"/>
              </w:rPr>
              <w:t>Pereţi</w:t>
            </w:r>
          </w:p>
        </w:tc>
        <w:tc>
          <w:tcPr>
            <w:tcW w:w="3069" w:type="dxa"/>
            <w:gridSpan w:val="2"/>
            <w:shd w:val="clear" w:color="auto" w:fill="BFBFBF"/>
          </w:tcPr>
          <w:p w14:paraId="1957275C"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707" w:type="dxa"/>
            <w:shd w:val="clear" w:color="auto" w:fill="BFBFBF"/>
          </w:tcPr>
          <w:p w14:paraId="3F8DC558" w14:textId="77777777" w:rsidR="001C08A5" w:rsidRDefault="00000000">
            <w:pPr>
              <w:jc w:val="center"/>
              <w:rPr>
                <w:b/>
                <w:bCs/>
                <w:i/>
                <w:sz w:val="22"/>
                <w:szCs w:val="22"/>
              </w:rPr>
            </w:pPr>
            <w:r>
              <w:rPr>
                <w:b/>
                <w:bCs/>
                <w:i/>
                <w:sz w:val="22"/>
                <w:szCs w:val="22"/>
              </w:rPr>
              <w:t xml:space="preserve">Uşi </w:t>
            </w:r>
          </w:p>
        </w:tc>
      </w:tr>
      <w:tr w:rsidR="001C08A5" w14:paraId="1AC6877B" w14:textId="77777777">
        <w:tc>
          <w:tcPr>
            <w:tcW w:w="1242" w:type="dxa"/>
          </w:tcPr>
          <w:p w14:paraId="5DB4BD7D" w14:textId="77777777" w:rsidR="001C08A5" w:rsidRDefault="00000000">
            <w:pPr>
              <w:pStyle w:val="BodyText"/>
              <w:jc w:val="center"/>
              <w:rPr>
                <w:bCs w:val="0"/>
                <w:sz w:val="22"/>
                <w:szCs w:val="22"/>
              </w:rPr>
            </w:pPr>
            <w:r>
              <w:rPr>
                <w:bCs w:val="0"/>
                <w:sz w:val="22"/>
                <w:szCs w:val="22"/>
              </w:rPr>
              <w:t>I</w:t>
            </w:r>
          </w:p>
          <w:p w14:paraId="79D652C7" w14:textId="77777777" w:rsidR="001C08A5" w:rsidRDefault="00000000">
            <w:pPr>
              <w:pStyle w:val="BodyText"/>
              <w:jc w:val="center"/>
              <w:rPr>
                <w:bCs w:val="0"/>
                <w:sz w:val="22"/>
                <w:szCs w:val="22"/>
              </w:rPr>
            </w:pPr>
            <w:r>
              <w:rPr>
                <w:sz w:val="22"/>
                <w:szCs w:val="22"/>
              </w:rPr>
              <w:t>h&lt;28m</w:t>
            </w:r>
          </w:p>
        </w:tc>
        <w:tc>
          <w:tcPr>
            <w:tcW w:w="1843" w:type="dxa"/>
          </w:tcPr>
          <w:p w14:paraId="2E328B7D" w14:textId="77777777" w:rsidR="001C08A5" w:rsidRDefault="00000000">
            <w:pPr>
              <w:jc w:val="center"/>
              <w:rPr>
                <w:b/>
                <w:i/>
                <w:sz w:val="22"/>
                <w:szCs w:val="22"/>
              </w:rPr>
            </w:pPr>
            <w:r>
              <w:rPr>
                <w:b/>
                <w:i/>
                <w:sz w:val="22"/>
                <w:szCs w:val="22"/>
              </w:rPr>
              <w:t xml:space="preserve">EI/REI 180 </w:t>
            </w:r>
          </w:p>
          <w:p w14:paraId="641E032A" w14:textId="77777777" w:rsidR="001C08A5" w:rsidRDefault="001C08A5">
            <w:pPr>
              <w:jc w:val="center"/>
              <w:rPr>
                <w:b/>
                <w:i/>
                <w:sz w:val="22"/>
                <w:szCs w:val="22"/>
              </w:rPr>
            </w:pPr>
          </w:p>
        </w:tc>
        <w:tc>
          <w:tcPr>
            <w:tcW w:w="1710" w:type="dxa"/>
          </w:tcPr>
          <w:p w14:paraId="6E6C4A68"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4B6F640D" w14:textId="77777777" w:rsidR="001C08A5" w:rsidRDefault="00000000">
            <w:pPr>
              <w:jc w:val="center"/>
              <w:rPr>
                <w:b/>
                <w:i/>
                <w:sz w:val="22"/>
                <w:szCs w:val="22"/>
              </w:rPr>
            </w:pPr>
            <w:r>
              <w:rPr>
                <w:b/>
                <w:i/>
                <w:sz w:val="22"/>
                <w:szCs w:val="22"/>
              </w:rPr>
              <w:t xml:space="preserve">REI 120 </w:t>
            </w:r>
          </w:p>
        </w:tc>
        <w:tc>
          <w:tcPr>
            <w:tcW w:w="1689" w:type="dxa"/>
          </w:tcPr>
          <w:p w14:paraId="0B5E32B3"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37CBA6B0" w14:textId="77777777" w:rsidR="001C08A5" w:rsidRDefault="00000000">
            <w:pPr>
              <w:jc w:val="center"/>
              <w:rPr>
                <w:i/>
                <w:sz w:val="22"/>
                <w:szCs w:val="22"/>
              </w:rPr>
            </w:pPr>
            <w:r>
              <w:rPr>
                <w:b/>
                <w:bCs/>
                <w:i/>
                <w:sz w:val="22"/>
                <w:szCs w:val="22"/>
              </w:rPr>
              <w:t xml:space="preserve">E 60 - C5 </w:t>
            </w:r>
            <w:r>
              <w:rPr>
                <w:b/>
                <w:i/>
                <w:sz w:val="22"/>
                <w:szCs w:val="22"/>
              </w:rPr>
              <w:t>S</w:t>
            </w:r>
            <w:r>
              <w:rPr>
                <w:b/>
                <w:bCs/>
                <w:i/>
                <w:sz w:val="22"/>
                <w:szCs w:val="22"/>
                <w:vertAlign w:val="subscript"/>
              </w:rPr>
              <w:t>200</w:t>
            </w:r>
          </w:p>
        </w:tc>
      </w:tr>
      <w:tr w:rsidR="001C08A5" w14:paraId="33317963" w14:textId="77777777">
        <w:tc>
          <w:tcPr>
            <w:tcW w:w="1242" w:type="dxa"/>
          </w:tcPr>
          <w:p w14:paraId="4D482F7B" w14:textId="77777777" w:rsidR="001C08A5" w:rsidRDefault="00000000">
            <w:pPr>
              <w:pStyle w:val="BodyText"/>
              <w:jc w:val="center"/>
              <w:rPr>
                <w:bCs w:val="0"/>
                <w:sz w:val="22"/>
                <w:szCs w:val="22"/>
              </w:rPr>
            </w:pPr>
            <w:r>
              <w:rPr>
                <w:bCs w:val="0"/>
                <w:sz w:val="22"/>
                <w:szCs w:val="22"/>
              </w:rPr>
              <w:t>II</w:t>
            </w:r>
          </w:p>
        </w:tc>
        <w:tc>
          <w:tcPr>
            <w:tcW w:w="1843" w:type="dxa"/>
          </w:tcPr>
          <w:p w14:paraId="65526B8E" w14:textId="77777777" w:rsidR="001C08A5" w:rsidRDefault="00000000">
            <w:pPr>
              <w:jc w:val="center"/>
              <w:rPr>
                <w:b/>
                <w:i/>
                <w:sz w:val="22"/>
                <w:szCs w:val="22"/>
              </w:rPr>
            </w:pPr>
            <w:r>
              <w:rPr>
                <w:b/>
                <w:i/>
                <w:sz w:val="22"/>
                <w:szCs w:val="22"/>
              </w:rPr>
              <w:t>EI/REI 180</w:t>
            </w:r>
          </w:p>
          <w:p w14:paraId="25F519AD" w14:textId="77777777" w:rsidR="001C08A5" w:rsidRDefault="001C08A5">
            <w:pPr>
              <w:jc w:val="center"/>
              <w:rPr>
                <w:b/>
                <w:i/>
                <w:sz w:val="22"/>
                <w:szCs w:val="22"/>
              </w:rPr>
            </w:pPr>
          </w:p>
        </w:tc>
        <w:tc>
          <w:tcPr>
            <w:tcW w:w="1710" w:type="dxa"/>
          </w:tcPr>
          <w:p w14:paraId="46E6DBB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2186C09D" w14:textId="77777777" w:rsidR="001C08A5" w:rsidRDefault="00000000">
            <w:pPr>
              <w:jc w:val="center"/>
              <w:rPr>
                <w:b/>
                <w:i/>
                <w:sz w:val="22"/>
                <w:szCs w:val="22"/>
              </w:rPr>
            </w:pPr>
            <w:r>
              <w:rPr>
                <w:b/>
                <w:i/>
                <w:sz w:val="22"/>
                <w:szCs w:val="22"/>
              </w:rPr>
              <w:t>REI 120</w:t>
            </w:r>
          </w:p>
        </w:tc>
        <w:tc>
          <w:tcPr>
            <w:tcW w:w="1689" w:type="dxa"/>
          </w:tcPr>
          <w:p w14:paraId="4997FA1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66610609" w14:textId="77777777" w:rsidR="001C08A5" w:rsidRDefault="00000000">
            <w:pPr>
              <w:jc w:val="center"/>
              <w:rPr>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37EA07A0" w14:textId="77777777">
        <w:tc>
          <w:tcPr>
            <w:tcW w:w="1242" w:type="dxa"/>
          </w:tcPr>
          <w:p w14:paraId="0C0A96F2" w14:textId="77777777" w:rsidR="001C08A5" w:rsidRDefault="00000000">
            <w:pPr>
              <w:pStyle w:val="BodyText"/>
              <w:jc w:val="center"/>
              <w:rPr>
                <w:bCs w:val="0"/>
                <w:sz w:val="22"/>
                <w:szCs w:val="22"/>
              </w:rPr>
            </w:pPr>
            <w:r>
              <w:rPr>
                <w:bCs w:val="0"/>
                <w:sz w:val="22"/>
                <w:szCs w:val="22"/>
              </w:rPr>
              <w:t>II (+)</w:t>
            </w:r>
          </w:p>
        </w:tc>
        <w:tc>
          <w:tcPr>
            <w:tcW w:w="1843" w:type="dxa"/>
          </w:tcPr>
          <w:p w14:paraId="0D4D7C70" w14:textId="77777777" w:rsidR="001C08A5" w:rsidRDefault="00000000">
            <w:pPr>
              <w:jc w:val="center"/>
              <w:rPr>
                <w:b/>
                <w:i/>
                <w:sz w:val="22"/>
                <w:szCs w:val="22"/>
              </w:rPr>
            </w:pPr>
            <w:r>
              <w:rPr>
                <w:b/>
                <w:i/>
                <w:sz w:val="22"/>
                <w:szCs w:val="22"/>
              </w:rPr>
              <w:t>EI/REI 120</w:t>
            </w:r>
          </w:p>
          <w:p w14:paraId="70AB82D7" w14:textId="77777777" w:rsidR="001C08A5" w:rsidRDefault="001C08A5">
            <w:pPr>
              <w:jc w:val="center"/>
              <w:rPr>
                <w:b/>
                <w:i/>
                <w:sz w:val="22"/>
                <w:szCs w:val="22"/>
              </w:rPr>
            </w:pPr>
          </w:p>
        </w:tc>
        <w:tc>
          <w:tcPr>
            <w:tcW w:w="1710" w:type="dxa"/>
          </w:tcPr>
          <w:p w14:paraId="7EC76E1C"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80" w:type="dxa"/>
          </w:tcPr>
          <w:p w14:paraId="43D819B0" w14:textId="77777777" w:rsidR="001C08A5" w:rsidRDefault="00000000">
            <w:pPr>
              <w:jc w:val="center"/>
              <w:rPr>
                <w:b/>
                <w:i/>
                <w:sz w:val="22"/>
                <w:szCs w:val="22"/>
              </w:rPr>
            </w:pPr>
            <w:r>
              <w:rPr>
                <w:b/>
                <w:i/>
                <w:sz w:val="22"/>
                <w:szCs w:val="22"/>
              </w:rPr>
              <w:t>REI 90</w:t>
            </w:r>
          </w:p>
        </w:tc>
        <w:tc>
          <w:tcPr>
            <w:tcW w:w="1689" w:type="dxa"/>
          </w:tcPr>
          <w:p w14:paraId="545E55F8"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07" w:type="dxa"/>
          </w:tcPr>
          <w:p w14:paraId="4214ED8D" w14:textId="77777777" w:rsidR="001C08A5" w:rsidRDefault="00000000">
            <w:pPr>
              <w:jc w:val="center"/>
              <w:rPr>
                <w:b/>
                <w:bCs/>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361DE0F1" w14:textId="77777777">
        <w:tc>
          <w:tcPr>
            <w:tcW w:w="1242" w:type="dxa"/>
          </w:tcPr>
          <w:p w14:paraId="283350F4" w14:textId="77777777" w:rsidR="001C08A5" w:rsidRDefault="00000000">
            <w:pPr>
              <w:pStyle w:val="BodyText"/>
              <w:jc w:val="center"/>
              <w:rPr>
                <w:bCs w:val="0"/>
                <w:sz w:val="22"/>
                <w:szCs w:val="22"/>
              </w:rPr>
            </w:pPr>
            <w:r>
              <w:rPr>
                <w:bCs w:val="0"/>
                <w:sz w:val="22"/>
                <w:szCs w:val="22"/>
              </w:rPr>
              <w:t>III</w:t>
            </w:r>
          </w:p>
        </w:tc>
        <w:tc>
          <w:tcPr>
            <w:tcW w:w="1843" w:type="dxa"/>
          </w:tcPr>
          <w:p w14:paraId="53B57396" w14:textId="77777777" w:rsidR="001C08A5" w:rsidRDefault="00000000">
            <w:pPr>
              <w:jc w:val="center"/>
              <w:rPr>
                <w:b/>
                <w:i/>
                <w:sz w:val="22"/>
                <w:szCs w:val="22"/>
              </w:rPr>
            </w:pPr>
            <w:r>
              <w:rPr>
                <w:b/>
                <w:i/>
                <w:sz w:val="22"/>
                <w:szCs w:val="22"/>
              </w:rPr>
              <w:t xml:space="preserve">EI/REI 90 </w:t>
            </w:r>
          </w:p>
          <w:p w14:paraId="73201E40" w14:textId="77777777" w:rsidR="001C08A5" w:rsidRDefault="001C08A5">
            <w:pPr>
              <w:jc w:val="center"/>
              <w:rPr>
                <w:b/>
                <w:i/>
                <w:sz w:val="22"/>
                <w:szCs w:val="22"/>
              </w:rPr>
            </w:pPr>
          </w:p>
        </w:tc>
        <w:tc>
          <w:tcPr>
            <w:tcW w:w="1710" w:type="dxa"/>
          </w:tcPr>
          <w:p w14:paraId="32357882"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485CE56C" w14:textId="77777777" w:rsidR="001C08A5" w:rsidRDefault="00000000">
            <w:pPr>
              <w:jc w:val="center"/>
              <w:rPr>
                <w:b/>
                <w:i/>
                <w:sz w:val="22"/>
                <w:szCs w:val="22"/>
              </w:rPr>
            </w:pPr>
            <w:r>
              <w:rPr>
                <w:b/>
                <w:i/>
                <w:sz w:val="22"/>
                <w:szCs w:val="22"/>
              </w:rPr>
              <w:t>REI 60</w:t>
            </w:r>
          </w:p>
        </w:tc>
        <w:tc>
          <w:tcPr>
            <w:tcW w:w="1689" w:type="dxa"/>
          </w:tcPr>
          <w:p w14:paraId="2EDA440A"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06710B61" w14:textId="77777777" w:rsidR="001C08A5" w:rsidRDefault="00000000">
            <w:pPr>
              <w:jc w:val="center"/>
              <w:rPr>
                <w:b/>
                <w:i/>
                <w:sz w:val="22"/>
                <w:szCs w:val="22"/>
              </w:rPr>
            </w:pPr>
            <w:r>
              <w:rPr>
                <w:b/>
                <w:bCs/>
                <w:i/>
                <w:sz w:val="22"/>
                <w:szCs w:val="22"/>
              </w:rPr>
              <w:t>E 30 - C5 Sa</w:t>
            </w:r>
          </w:p>
          <w:p w14:paraId="39CE3040" w14:textId="77777777" w:rsidR="001C08A5" w:rsidRDefault="001C08A5">
            <w:pPr>
              <w:jc w:val="center"/>
              <w:rPr>
                <w:i/>
                <w:strike/>
                <w:sz w:val="22"/>
                <w:szCs w:val="22"/>
              </w:rPr>
            </w:pPr>
          </w:p>
        </w:tc>
      </w:tr>
      <w:tr w:rsidR="001C08A5" w14:paraId="2CE04BF5" w14:textId="77777777">
        <w:tc>
          <w:tcPr>
            <w:tcW w:w="1242" w:type="dxa"/>
          </w:tcPr>
          <w:p w14:paraId="334B4149" w14:textId="77777777" w:rsidR="001C08A5" w:rsidRDefault="00000000">
            <w:pPr>
              <w:pStyle w:val="BodyText"/>
              <w:jc w:val="center"/>
              <w:rPr>
                <w:bCs w:val="0"/>
                <w:sz w:val="22"/>
                <w:szCs w:val="22"/>
              </w:rPr>
            </w:pPr>
            <w:r>
              <w:rPr>
                <w:bCs w:val="0"/>
                <w:sz w:val="22"/>
                <w:szCs w:val="22"/>
              </w:rPr>
              <w:t>III (+)</w:t>
            </w:r>
          </w:p>
        </w:tc>
        <w:tc>
          <w:tcPr>
            <w:tcW w:w="1843" w:type="dxa"/>
          </w:tcPr>
          <w:p w14:paraId="69146F26" w14:textId="77777777" w:rsidR="001C08A5" w:rsidRDefault="00000000">
            <w:pPr>
              <w:jc w:val="center"/>
              <w:rPr>
                <w:b/>
                <w:i/>
                <w:sz w:val="22"/>
                <w:szCs w:val="22"/>
              </w:rPr>
            </w:pPr>
            <w:r>
              <w:rPr>
                <w:b/>
                <w:i/>
                <w:sz w:val="22"/>
                <w:szCs w:val="22"/>
              </w:rPr>
              <w:t xml:space="preserve">EI/REI 60 </w:t>
            </w:r>
          </w:p>
          <w:p w14:paraId="4FF8F8A5" w14:textId="77777777" w:rsidR="001C08A5" w:rsidRDefault="001C08A5">
            <w:pPr>
              <w:jc w:val="center"/>
              <w:rPr>
                <w:b/>
                <w:i/>
                <w:sz w:val="22"/>
                <w:szCs w:val="22"/>
              </w:rPr>
            </w:pPr>
          </w:p>
        </w:tc>
        <w:tc>
          <w:tcPr>
            <w:tcW w:w="1710" w:type="dxa"/>
          </w:tcPr>
          <w:p w14:paraId="1D67A4BD"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2C27B57C" w14:textId="77777777" w:rsidR="001C08A5" w:rsidRDefault="00000000">
            <w:pPr>
              <w:jc w:val="center"/>
              <w:rPr>
                <w:b/>
                <w:i/>
                <w:sz w:val="22"/>
                <w:szCs w:val="22"/>
              </w:rPr>
            </w:pPr>
            <w:r>
              <w:rPr>
                <w:b/>
                <w:i/>
                <w:sz w:val="22"/>
                <w:szCs w:val="22"/>
              </w:rPr>
              <w:t xml:space="preserve">REI 45 </w:t>
            </w:r>
          </w:p>
        </w:tc>
        <w:tc>
          <w:tcPr>
            <w:tcW w:w="1689" w:type="dxa"/>
          </w:tcPr>
          <w:p w14:paraId="0A6A3330"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273A6373" w14:textId="77777777" w:rsidR="001C08A5" w:rsidRDefault="00000000">
            <w:pPr>
              <w:jc w:val="center"/>
              <w:rPr>
                <w:b/>
                <w:i/>
                <w:sz w:val="22"/>
                <w:szCs w:val="22"/>
              </w:rPr>
            </w:pPr>
            <w:r>
              <w:rPr>
                <w:b/>
                <w:bCs/>
                <w:i/>
                <w:sz w:val="22"/>
                <w:szCs w:val="22"/>
              </w:rPr>
              <w:t>E 30 - C5 Sa</w:t>
            </w:r>
          </w:p>
          <w:p w14:paraId="0605F04C" w14:textId="77777777" w:rsidR="001C08A5" w:rsidRDefault="001C08A5">
            <w:pPr>
              <w:jc w:val="center"/>
              <w:rPr>
                <w:i/>
                <w:strike/>
                <w:sz w:val="22"/>
                <w:szCs w:val="22"/>
              </w:rPr>
            </w:pPr>
          </w:p>
        </w:tc>
      </w:tr>
      <w:tr w:rsidR="001C08A5" w14:paraId="2119E531" w14:textId="77777777">
        <w:tc>
          <w:tcPr>
            <w:tcW w:w="1242" w:type="dxa"/>
          </w:tcPr>
          <w:p w14:paraId="33CEC042" w14:textId="77777777" w:rsidR="001C08A5" w:rsidRDefault="00000000">
            <w:pPr>
              <w:pStyle w:val="BodyText"/>
              <w:jc w:val="center"/>
              <w:rPr>
                <w:bCs w:val="0"/>
                <w:sz w:val="22"/>
                <w:szCs w:val="22"/>
              </w:rPr>
            </w:pPr>
            <w:r>
              <w:rPr>
                <w:bCs w:val="0"/>
                <w:sz w:val="22"/>
                <w:szCs w:val="22"/>
              </w:rPr>
              <w:t>IV</w:t>
            </w:r>
          </w:p>
        </w:tc>
        <w:tc>
          <w:tcPr>
            <w:tcW w:w="1843" w:type="dxa"/>
          </w:tcPr>
          <w:p w14:paraId="1DB27E0B" w14:textId="77777777" w:rsidR="001C08A5" w:rsidRDefault="00000000">
            <w:pPr>
              <w:jc w:val="center"/>
              <w:rPr>
                <w:b/>
                <w:i/>
                <w:sz w:val="22"/>
                <w:szCs w:val="22"/>
              </w:rPr>
            </w:pPr>
            <w:r>
              <w:rPr>
                <w:b/>
                <w:i/>
                <w:sz w:val="22"/>
                <w:szCs w:val="22"/>
              </w:rPr>
              <w:t xml:space="preserve">EI/REI 45 </w:t>
            </w:r>
          </w:p>
          <w:p w14:paraId="639A2C35" w14:textId="77777777" w:rsidR="001C08A5" w:rsidRDefault="001C08A5">
            <w:pPr>
              <w:jc w:val="center"/>
              <w:rPr>
                <w:b/>
                <w:i/>
                <w:strike/>
                <w:sz w:val="22"/>
                <w:szCs w:val="22"/>
              </w:rPr>
            </w:pPr>
          </w:p>
        </w:tc>
        <w:tc>
          <w:tcPr>
            <w:tcW w:w="1710" w:type="dxa"/>
          </w:tcPr>
          <w:p w14:paraId="2C9EE0A5"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380" w:type="dxa"/>
          </w:tcPr>
          <w:p w14:paraId="661CE94A" w14:textId="77777777" w:rsidR="001C08A5" w:rsidRDefault="00000000">
            <w:pPr>
              <w:jc w:val="center"/>
              <w:rPr>
                <w:b/>
                <w:i/>
                <w:sz w:val="22"/>
                <w:szCs w:val="22"/>
              </w:rPr>
            </w:pPr>
            <w:r>
              <w:rPr>
                <w:b/>
                <w:i/>
                <w:sz w:val="22"/>
                <w:szCs w:val="22"/>
              </w:rPr>
              <w:t xml:space="preserve">REI 30 </w:t>
            </w:r>
          </w:p>
        </w:tc>
        <w:tc>
          <w:tcPr>
            <w:tcW w:w="1689" w:type="dxa"/>
          </w:tcPr>
          <w:p w14:paraId="7E2EA36E"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707" w:type="dxa"/>
          </w:tcPr>
          <w:p w14:paraId="5E40B436" w14:textId="77777777" w:rsidR="001C08A5" w:rsidRDefault="00000000">
            <w:pPr>
              <w:jc w:val="center"/>
              <w:rPr>
                <w:b/>
                <w:i/>
                <w:sz w:val="22"/>
                <w:szCs w:val="22"/>
              </w:rPr>
            </w:pPr>
            <w:r>
              <w:rPr>
                <w:b/>
                <w:bCs/>
                <w:i/>
                <w:sz w:val="22"/>
                <w:szCs w:val="22"/>
              </w:rPr>
              <w:t>E 15 - C5 Sa</w:t>
            </w:r>
          </w:p>
          <w:p w14:paraId="734E6231" w14:textId="77777777" w:rsidR="001C08A5" w:rsidRDefault="001C08A5">
            <w:pPr>
              <w:jc w:val="center"/>
              <w:rPr>
                <w:i/>
                <w:sz w:val="22"/>
                <w:szCs w:val="22"/>
              </w:rPr>
            </w:pPr>
          </w:p>
        </w:tc>
      </w:tr>
      <w:tr w:rsidR="001C08A5" w14:paraId="33174DBC" w14:textId="77777777">
        <w:tc>
          <w:tcPr>
            <w:tcW w:w="1242" w:type="dxa"/>
          </w:tcPr>
          <w:p w14:paraId="797A5826" w14:textId="77777777" w:rsidR="001C08A5" w:rsidRDefault="00000000">
            <w:pPr>
              <w:pStyle w:val="BodyText"/>
              <w:jc w:val="center"/>
              <w:rPr>
                <w:bCs w:val="0"/>
                <w:sz w:val="22"/>
                <w:szCs w:val="22"/>
              </w:rPr>
            </w:pPr>
            <w:r>
              <w:rPr>
                <w:bCs w:val="0"/>
                <w:sz w:val="22"/>
                <w:szCs w:val="22"/>
              </w:rPr>
              <w:lastRenderedPageBreak/>
              <w:t>V</w:t>
            </w:r>
          </w:p>
        </w:tc>
        <w:tc>
          <w:tcPr>
            <w:tcW w:w="1843" w:type="dxa"/>
          </w:tcPr>
          <w:p w14:paraId="6594915B" w14:textId="77777777" w:rsidR="001C08A5" w:rsidRDefault="00000000">
            <w:pPr>
              <w:jc w:val="center"/>
              <w:rPr>
                <w:b/>
                <w:i/>
                <w:sz w:val="22"/>
                <w:szCs w:val="22"/>
              </w:rPr>
            </w:pPr>
            <w:r>
              <w:rPr>
                <w:b/>
                <w:i/>
                <w:sz w:val="22"/>
                <w:szCs w:val="22"/>
              </w:rPr>
              <w:t>EI/REI 30</w:t>
            </w:r>
          </w:p>
          <w:p w14:paraId="0F992B1A" w14:textId="77777777" w:rsidR="001C08A5" w:rsidRDefault="001C08A5">
            <w:pPr>
              <w:jc w:val="center"/>
              <w:rPr>
                <w:b/>
                <w:i/>
                <w:strike/>
                <w:sz w:val="22"/>
                <w:szCs w:val="22"/>
              </w:rPr>
            </w:pPr>
          </w:p>
        </w:tc>
        <w:tc>
          <w:tcPr>
            <w:tcW w:w="1710" w:type="dxa"/>
          </w:tcPr>
          <w:p w14:paraId="02172C29"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380" w:type="dxa"/>
          </w:tcPr>
          <w:p w14:paraId="4E05DEB6" w14:textId="77777777" w:rsidR="001C08A5" w:rsidRDefault="00000000">
            <w:pPr>
              <w:jc w:val="center"/>
              <w:rPr>
                <w:b/>
                <w:i/>
                <w:sz w:val="22"/>
                <w:szCs w:val="22"/>
              </w:rPr>
            </w:pPr>
            <w:r>
              <w:rPr>
                <w:b/>
                <w:i/>
                <w:sz w:val="22"/>
                <w:szCs w:val="22"/>
              </w:rPr>
              <w:t xml:space="preserve">REI 15 </w:t>
            </w:r>
          </w:p>
        </w:tc>
        <w:tc>
          <w:tcPr>
            <w:tcW w:w="1689" w:type="dxa"/>
          </w:tcPr>
          <w:p w14:paraId="523DC057"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707" w:type="dxa"/>
          </w:tcPr>
          <w:p w14:paraId="26089A61" w14:textId="77777777" w:rsidR="001C08A5" w:rsidRDefault="00000000">
            <w:pPr>
              <w:jc w:val="center"/>
              <w:rPr>
                <w:i/>
                <w:strike/>
                <w:sz w:val="22"/>
                <w:szCs w:val="22"/>
              </w:rPr>
            </w:pPr>
            <w:r>
              <w:rPr>
                <w:b/>
                <w:bCs/>
                <w:i/>
                <w:sz w:val="22"/>
                <w:szCs w:val="22"/>
              </w:rPr>
              <w:t>C5</w:t>
            </w:r>
          </w:p>
        </w:tc>
      </w:tr>
    </w:tbl>
    <w:p w14:paraId="200DFE9D" w14:textId="77777777" w:rsidR="001C08A5" w:rsidRDefault="00000000">
      <w:pPr>
        <w:jc w:val="both"/>
        <w:rPr>
          <w:i/>
          <w:iCs/>
          <w:sz w:val="24"/>
          <w:szCs w:val="24"/>
        </w:rPr>
      </w:pPr>
      <w:r>
        <w:rPr>
          <w:i/>
          <w:iCs/>
          <w:sz w:val="24"/>
          <w:szCs w:val="24"/>
        </w:rPr>
        <w:t>Note:</w:t>
      </w:r>
    </w:p>
    <w:p w14:paraId="53ED944B"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5C5ED11E"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3C895DDD" w14:textId="77777777" w:rsidR="001C08A5" w:rsidRDefault="001C08A5">
      <w:pPr>
        <w:jc w:val="both"/>
        <w:rPr>
          <w:sz w:val="24"/>
          <w:szCs w:val="24"/>
        </w:rPr>
      </w:pPr>
    </w:p>
    <w:p w14:paraId="7CE2CBB0" w14:textId="77777777" w:rsidR="001C08A5" w:rsidRDefault="00000000">
      <w:pPr>
        <w:ind w:firstLine="567"/>
        <w:jc w:val="both"/>
        <w:rPr>
          <w:sz w:val="24"/>
          <w:szCs w:val="24"/>
        </w:rPr>
      </w:pPr>
      <w:r>
        <w:rPr>
          <w:b/>
          <w:sz w:val="24"/>
          <w:szCs w:val="24"/>
        </w:rPr>
        <w:t xml:space="preserve">Art. </w:t>
      </w:r>
      <w:r>
        <w:rPr>
          <w:b/>
          <w:bCs/>
          <w:sz w:val="24"/>
          <w:szCs w:val="24"/>
        </w:rPr>
        <w:t>3.2.5.</w:t>
      </w:r>
      <w:r>
        <w:rPr>
          <w:b/>
          <w:sz w:val="24"/>
          <w:szCs w:val="24"/>
        </w:rPr>
        <w:t xml:space="preserve">4. </w:t>
      </w:r>
      <w:r>
        <w:rPr>
          <w:sz w:val="24"/>
          <w:szCs w:val="24"/>
        </w:rPr>
        <w:t xml:space="preserve">Comportarea la foc a pereţilor, uşilor și planşeelor de separare a căilor de evacuare orizontale (coridoare şi holuri) din clădirile pentru cultură supraterane cu înălţimi obişnuite, trebuie să corespundă prevederilor din </w:t>
      </w:r>
      <w:r>
        <w:rPr>
          <w:b/>
          <w:bCs/>
          <w:i/>
          <w:iCs/>
          <w:sz w:val="24"/>
          <w:szCs w:val="24"/>
        </w:rPr>
        <w:fldChar w:fldCharType="begin"/>
      </w:r>
      <w:r>
        <w:rPr>
          <w:b/>
          <w:bCs/>
          <w:i/>
          <w:iCs/>
          <w:sz w:val="24"/>
          <w:szCs w:val="24"/>
        </w:rPr>
        <w:instrText xml:space="preserve"> REF _Ref15291 \h </w:instrText>
      </w:r>
      <w:r>
        <w:rPr>
          <w:b/>
          <w:bCs/>
          <w:i/>
          <w:iCs/>
          <w:sz w:val="24"/>
          <w:szCs w:val="24"/>
        </w:rPr>
      </w:r>
      <w:r>
        <w:rPr>
          <w:b/>
          <w:bCs/>
          <w:i/>
          <w:iCs/>
          <w:sz w:val="24"/>
          <w:szCs w:val="24"/>
        </w:rPr>
        <w:fldChar w:fldCharType="separate"/>
      </w:r>
      <w:r>
        <w:t>Tabelul 70</w:t>
      </w:r>
      <w:r>
        <w:rPr>
          <w:b/>
          <w:bCs/>
          <w:i/>
          <w:iCs/>
          <w:sz w:val="24"/>
          <w:szCs w:val="24"/>
        </w:rPr>
        <w:fldChar w:fldCharType="end"/>
      </w:r>
      <w:r>
        <w:rPr>
          <w:sz w:val="24"/>
          <w:szCs w:val="24"/>
        </w:rPr>
        <w:t>.</w:t>
      </w:r>
    </w:p>
    <w:p w14:paraId="23AD0810" w14:textId="77777777" w:rsidR="001C08A5" w:rsidRDefault="001C08A5">
      <w:pPr>
        <w:jc w:val="both"/>
        <w:rPr>
          <w:sz w:val="24"/>
          <w:szCs w:val="24"/>
        </w:rPr>
      </w:pPr>
    </w:p>
    <w:p w14:paraId="401B21A8" w14:textId="77777777" w:rsidR="001C08A5" w:rsidRDefault="00000000">
      <w:pPr>
        <w:pStyle w:val="Captiontabel"/>
      </w:pPr>
      <w:bookmarkStart w:id="3629" w:name="_Ref15291"/>
      <w:bookmarkStart w:id="3630" w:name="_Toc162360120"/>
      <w:r>
        <w:t xml:space="preserve">Tabelul </w:t>
      </w:r>
      <w:r>
        <w:fldChar w:fldCharType="begin"/>
      </w:r>
      <w:r>
        <w:instrText xml:space="preserve"> SEQ Tabelul \* ARABIC </w:instrText>
      </w:r>
      <w:r>
        <w:fldChar w:fldCharType="separate"/>
      </w:r>
      <w:r>
        <w:t>70</w:t>
      </w:r>
      <w:r>
        <w:fldChar w:fldCharType="end"/>
      </w:r>
      <w:bookmarkStart w:id="3631" w:name="_Toc14075"/>
      <w:bookmarkStart w:id="3632" w:name="_Toc10925"/>
      <w:bookmarkStart w:id="3633" w:name="_Toc16037"/>
      <w:bookmarkStart w:id="3634" w:name="_Toc14138"/>
      <w:bookmarkStart w:id="3635" w:name="_Toc13322"/>
      <w:bookmarkStart w:id="3636" w:name="_Toc23665"/>
      <w:bookmarkStart w:id="3637" w:name="_Toc10820"/>
      <w:bookmarkStart w:id="3638" w:name="_Toc30500"/>
      <w:bookmarkStart w:id="3639" w:name="_Toc1842"/>
      <w:bookmarkStart w:id="3640" w:name="_Toc9573"/>
      <w:bookmarkStart w:id="3641" w:name="_Toc10229"/>
      <w:bookmarkStart w:id="3642" w:name="_Toc15246"/>
      <w:bookmarkStart w:id="3643" w:name="_Toc1556"/>
      <w:bookmarkStart w:id="3644" w:name="_Toc29288"/>
      <w:bookmarkStart w:id="3645" w:name="_Toc19758"/>
      <w:bookmarkStart w:id="3646" w:name="_Toc19066"/>
      <w:bookmarkStart w:id="3647" w:name="_Toc26232"/>
      <w:bookmarkStart w:id="3648" w:name="_Toc3492"/>
      <w:bookmarkStart w:id="3649" w:name="_Toc14321"/>
      <w:bookmarkEnd w:id="3629"/>
      <w:r>
        <w:t>: Comportare la foc a pereţilor, uşilor și planşeelor de separare a căilor de evacuare orizontale (coridoare şi holuri) din clădirile pentru cultură supraterane cu înălţimi obişnuite</w:t>
      </w:r>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p>
    <w:p w14:paraId="6BE70DAF"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294"/>
        <w:gridCol w:w="1812"/>
        <w:gridCol w:w="1857"/>
        <w:gridCol w:w="1734"/>
        <w:gridCol w:w="1539"/>
      </w:tblGrid>
      <w:tr w:rsidR="001C08A5" w14:paraId="3944DB67" w14:textId="77777777">
        <w:trPr>
          <w:tblHeader/>
        </w:trPr>
        <w:tc>
          <w:tcPr>
            <w:tcW w:w="1262" w:type="dxa"/>
            <w:vMerge w:val="restart"/>
            <w:shd w:val="clear" w:color="auto" w:fill="BFBFBF"/>
          </w:tcPr>
          <w:p w14:paraId="1A04E2BF" w14:textId="77777777" w:rsidR="001C08A5" w:rsidRDefault="001C08A5">
            <w:pPr>
              <w:pStyle w:val="BodyText"/>
              <w:jc w:val="center"/>
              <w:rPr>
                <w:bCs w:val="0"/>
                <w:sz w:val="22"/>
                <w:szCs w:val="22"/>
              </w:rPr>
            </w:pPr>
          </w:p>
          <w:p w14:paraId="487B69B7" w14:textId="77777777" w:rsidR="001C08A5" w:rsidRDefault="00000000">
            <w:pPr>
              <w:pStyle w:val="BodyText"/>
              <w:jc w:val="center"/>
              <w:rPr>
                <w:bCs w:val="0"/>
                <w:sz w:val="22"/>
                <w:szCs w:val="22"/>
              </w:rPr>
            </w:pPr>
            <w:r>
              <w:rPr>
                <w:bCs w:val="0"/>
                <w:sz w:val="22"/>
                <w:szCs w:val="22"/>
              </w:rPr>
              <w:t>Nivel de stabilitate</w:t>
            </w:r>
          </w:p>
          <w:p w14:paraId="41937164"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5071CFFC" w14:textId="77777777" w:rsidR="001C08A5" w:rsidRDefault="00000000">
            <w:pPr>
              <w:jc w:val="center"/>
              <w:rPr>
                <w:b/>
                <w:bCs/>
                <w:i/>
                <w:sz w:val="22"/>
                <w:szCs w:val="22"/>
              </w:rPr>
            </w:pPr>
            <w:r>
              <w:rPr>
                <w:b/>
                <w:bCs/>
                <w:i/>
                <w:sz w:val="22"/>
                <w:szCs w:val="22"/>
              </w:rPr>
              <w:t xml:space="preserve">Niveluri de comportare la foc admise la coridoare şi la holuri </w:t>
            </w:r>
          </w:p>
        </w:tc>
      </w:tr>
      <w:tr w:rsidR="001C08A5" w14:paraId="72D69684" w14:textId="77777777">
        <w:trPr>
          <w:tblHeader/>
        </w:trPr>
        <w:tc>
          <w:tcPr>
            <w:tcW w:w="1262" w:type="dxa"/>
            <w:vMerge/>
            <w:shd w:val="clear" w:color="auto" w:fill="BFBFBF"/>
          </w:tcPr>
          <w:p w14:paraId="21A1C4A1" w14:textId="77777777" w:rsidR="001C08A5" w:rsidRDefault="001C08A5">
            <w:pPr>
              <w:jc w:val="center"/>
              <w:rPr>
                <w:i/>
                <w:sz w:val="22"/>
                <w:szCs w:val="22"/>
              </w:rPr>
            </w:pPr>
          </w:p>
        </w:tc>
        <w:tc>
          <w:tcPr>
            <w:tcW w:w="3106" w:type="dxa"/>
            <w:gridSpan w:val="2"/>
            <w:shd w:val="clear" w:color="auto" w:fill="BFBFBF"/>
          </w:tcPr>
          <w:p w14:paraId="56010F88" w14:textId="77777777" w:rsidR="001C08A5" w:rsidRDefault="001C08A5">
            <w:pPr>
              <w:jc w:val="center"/>
              <w:rPr>
                <w:b/>
                <w:bCs/>
                <w:i/>
                <w:sz w:val="22"/>
                <w:szCs w:val="22"/>
              </w:rPr>
            </w:pPr>
          </w:p>
          <w:p w14:paraId="01BDB358" w14:textId="77777777" w:rsidR="001C08A5" w:rsidRDefault="00000000">
            <w:pPr>
              <w:jc w:val="center"/>
              <w:rPr>
                <w:i/>
                <w:sz w:val="22"/>
                <w:szCs w:val="22"/>
              </w:rPr>
            </w:pPr>
            <w:r>
              <w:rPr>
                <w:b/>
                <w:bCs/>
                <w:i/>
                <w:sz w:val="22"/>
                <w:szCs w:val="22"/>
              </w:rPr>
              <w:t>Pereţi</w:t>
            </w:r>
          </w:p>
        </w:tc>
        <w:tc>
          <w:tcPr>
            <w:tcW w:w="3591" w:type="dxa"/>
            <w:gridSpan w:val="2"/>
            <w:shd w:val="clear" w:color="auto" w:fill="BFBFBF"/>
          </w:tcPr>
          <w:p w14:paraId="6595EFC3"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441BFFE8" w14:textId="77777777" w:rsidR="001C08A5" w:rsidRDefault="00000000">
            <w:pPr>
              <w:jc w:val="center"/>
              <w:rPr>
                <w:b/>
                <w:bCs/>
                <w:i/>
                <w:sz w:val="22"/>
                <w:szCs w:val="22"/>
              </w:rPr>
            </w:pPr>
            <w:r>
              <w:rPr>
                <w:b/>
                <w:bCs/>
                <w:i/>
                <w:sz w:val="22"/>
                <w:szCs w:val="22"/>
              </w:rPr>
              <w:t>Uşi</w:t>
            </w:r>
          </w:p>
          <w:p w14:paraId="01353FA0" w14:textId="77777777" w:rsidR="001C08A5" w:rsidRDefault="00000000">
            <w:pPr>
              <w:jc w:val="center"/>
              <w:rPr>
                <w:i/>
                <w:sz w:val="22"/>
                <w:szCs w:val="22"/>
              </w:rPr>
            </w:pPr>
            <w:r>
              <w:rPr>
                <w:bCs/>
                <w:i/>
                <w:sz w:val="22"/>
                <w:szCs w:val="22"/>
              </w:rPr>
              <w:t>(cu excepţia celor către case de scări închise)</w:t>
            </w:r>
          </w:p>
        </w:tc>
      </w:tr>
      <w:tr w:rsidR="001C08A5" w14:paraId="6FC07217" w14:textId="77777777">
        <w:tc>
          <w:tcPr>
            <w:tcW w:w="1262" w:type="dxa"/>
          </w:tcPr>
          <w:p w14:paraId="2D594B67" w14:textId="77777777" w:rsidR="001C08A5" w:rsidRDefault="00000000">
            <w:pPr>
              <w:pStyle w:val="BodyText"/>
              <w:jc w:val="center"/>
              <w:rPr>
                <w:bCs w:val="0"/>
                <w:sz w:val="22"/>
                <w:szCs w:val="22"/>
              </w:rPr>
            </w:pPr>
            <w:r>
              <w:rPr>
                <w:bCs w:val="0"/>
                <w:sz w:val="22"/>
                <w:szCs w:val="22"/>
              </w:rPr>
              <w:t>I</w:t>
            </w:r>
          </w:p>
          <w:p w14:paraId="55AE80C3" w14:textId="77777777" w:rsidR="001C08A5" w:rsidRDefault="00000000">
            <w:pPr>
              <w:pStyle w:val="BodyText"/>
              <w:jc w:val="center"/>
              <w:rPr>
                <w:bCs w:val="0"/>
                <w:sz w:val="22"/>
                <w:szCs w:val="22"/>
              </w:rPr>
            </w:pPr>
            <w:r>
              <w:rPr>
                <w:sz w:val="22"/>
                <w:szCs w:val="22"/>
              </w:rPr>
              <w:t>h&lt;28m</w:t>
            </w:r>
          </w:p>
        </w:tc>
        <w:tc>
          <w:tcPr>
            <w:tcW w:w="1294" w:type="dxa"/>
          </w:tcPr>
          <w:p w14:paraId="228EAA95" w14:textId="77777777" w:rsidR="001C08A5" w:rsidRDefault="00000000">
            <w:pPr>
              <w:jc w:val="center"/>
              <w:rPr>
                <w:b/>
                <w:i/>
                <w:sz w:val="22"/>
                <w:szCs w:val="22"/>
              </w:rPr>
            </w:pPr>
            <w:r>
              <w:rPr>
                <w:b/>
                <w:i/>
                <w:sz w:val="22"/>
                <w:szCs w:val="22"/>
              </w:rPr>
              <w:t xml:space="preserve">EI/REI 90 </w:t>
            </w:r>
          </w:p>
          <w:p w14:paraId="5632E5A0" w14:textId="77777777" w:rsidR="001C08A5" w:rsidRDefault="001C08A5">
            <w:pPr>
              <w:jc w:val="center"/>
              <w:rPr>
                <w:b/>
                <w:i/>
                <w:sz w:val="22"/>
                <w:szCs w:val="22"/>
              </w:rPr>
            </w:pPr>
          </w:p>
        </w:tc>
        <w:tc>
          <w:tcPr>
            <w:tcW w:w="1812" w:type="dxa"/>
          </w:tcPr>
          <w:p w14:paraId="79A0209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57" w:type="dxa"/>
            <w:vMerge w:val="restart"/>
            <w:textDirection w:val="lrTbV"/>
          </w:tcPr>
          <w:p w14:paraId="0F0FF9AF" w14:textId="77777777" w:rsidR="001C08A5" w:rsidRDefault="00000000">
            <w:pPr>
              <w:jc w:val="center"/>
              <w:rPr>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72EA6F89" w14:textId="77777777" w:rsidR="001C08A5" w:rsidRDefault="00000000">
            <w:pP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1734" w:type="dxa"/>
          </w:tcPr>
          <w:p w14:paraId="26C5C71E"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0C74968E" w14:textId="77777777" w:rsidR="001C08A5" w:rsidRDefault="00000000">
            <w:pPr>
              <w:jc w:val="center"/>
              <w:rPr>
                <w:i/>
                <w:sz w:val="22"/>
                <w:szCs w:val="22"/>
              </w:rPr>
            </w:pPr>
            <w:r>
              <w:rPr>
                <w:b/>
                <w:bCs/>
                <w:i/>
                <w:sz w:val="22"/>
                <w:szCs w:val="22"/>
              </w:rPr>
              <w:t xml:space="preserve">E 30 - C5 </w:t>
            </w:r>
            <w:r>
              <w:rPr>
                <w:b/>
                <w:i/>
                <w:sz w:val="22"/>
                <w:szCs w:val="22"/>
              </w:rPr>
              <w:t>S</w:t>
            </w:r>
            <w:r>
              <w:rPr>
                <w:b/>
                <w:bCs/>
                <w:i/>
                <w:sz w:val="22"/>
                <w:szCs w:val="22"/>
                <w:vertAlign w:val="subscript"/>
              </w:rPr>
              <w:t>200</w:t>
            </w:r>
          </w:p>
        </w:tc>
      </w:tr>
      <w:tr w:rsidR="001C08A5" w14:paraId="20AE8060" w14:textId="77777777">
        <w:tc>
          <w:tcPr>
            <w:tcW w:w="1262" w:type="dxa"/>
          </w:tcPr>
          <w:p w14:paraId="44E5D883" w14:textId="77777777" w:rsidR="001C08A5" w:rsidRDefault="00000000">
            <w:pPr>
              <w:pStyle w:val="BodyText"/>
              <w:jc w:val="center"/>
              <w:rPr>
                <w:bCs w:val="0"/>
                <w:sz w:val="22"/>
                <w:szCs w:val="22"/>
              </w:rPr>
            </w:pPr>
            <w:r>
              <w:rPr>
                <w:bCs w:val="0"/>
                <w:sz w:val="22"/>
                <w:szCs w:val="22"/>
              </w:rPr>
              <w:t>II</w:t>
            </w:r>
          </w:p>
        </w:tc>
        <w:tc>
          <w:tcPr>
            <w:tcW w:w="1294" w:type="dxa"/>
          </w:tcPr>
          <w:p w14:paraId="40AFF2AE" w14:textId="77777777" w:rsidR="001C08A5" w:rsidRDefault="00000000">
            <w:pPr>
              <w:jc w:val="center"/>
              <w:rPr>
                <w:b/>
                <w:i/>
                <w:sz w:val="22"/>
                <w:szCs w:val="22"/>
              </w:rPr>
            </w:pPr>
            <w:r>
              <w:rPr>
                <w:b/>
                <w:i/>
                <w:sz w:val="22"/>
                <w:szCs w:val="22"/>
              </w:rPr>
              <w:t xml:space="preserve">EI/REI 90 </w:t>
            </w:r>
          </w:p>
          <w:p w14:paraId="38FDD5ED" w14:textId="77777777" w:rsidR="001C08A5" w:rsidRDefault="001C08A5">
            <w:pPr>
              <w:jc w:val="center"/>
              <w:rPr>
                <w:b/>
                <w:i/>
                <w:sz w:val="22"/>
                <w:szCs w:val="22"/>
              </w:rPr>
            </w:pPr>
          </w:p>
        </w:tc>
        <w:tc>
          <w:tcPr>
            <w:tcW w:w="1812" w:type="dxa"/>
          </w:tcPr>
          <w:p w14:paraId="7D04C155"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57" w:type="dxa"/>
            <w:vMerge/>
          </w:tcPr>
          <w:p w14:paraId="3A79CAB9" w14:textId="77777777" w:rsidR="001C08A5" w:rsidRDefault="001C08A5">
            <w:pPr>
              <w:jc w:val="center"/>
              <w:rPr>
                <w:b/>
                <w:i/>
                <w:sz w:val="22"/>
                <w:szCs w:val="22"/>
              </w:rPr>
            </w:pPr>
          </w:p>
        </w:tc>
        <w:tc>
          <w:tcPr>
            <w:tcW w:w="1734" w:type="dxa"/>
          </w:tcPr>
          <w:p w14:paraId="6D62E3F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05D03C85" w14:textId="77777777" w:rsidR="001C08A5" w:rsidRDefault="00000000">
            <w:pPr>
              <w:jc w:val="center"/>
              <w:rPr>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063F0729" w14:textId="77777777">
        <w:tc>
          <w:tcPr>
            <w:tcW w:w="1262" w:type="dxa"/>
          </w:tcPr>
          <w:p w14:paraId="617FB658" w14:textId="77777777" w:rsidR="001C08A5" w:rsidRDefault="00000000">
            <w:pPr>
              <w:pStyle w:val="BodyText"/>
              <w:jc w:val="center"/>
              <w:rPr>
                <w:bCs w:val="0"/>
                <w:sz w:val="22"/>
                <w:szCs w:val="22"/>
              </w:rPr>
            </w:pPr>
            <w:r>
              <w:rPr>
                <w:bCs w:val="0"/>
                <w:sz w:val="22"/>
                <w:szCs w:val="22"/>
              </w:rPr>
              <w:t>II (+)</w:t>
            </w:r>
          </w:p>
        </w:tc>
        <w:tc>
          <w:tcPr>
            <w:tcW w:w="1294" w:type="dxa"/>
          </w:tcPr>
          <w:p w14:paraId="7B833524" w14:textId="77777777" w:rsidR="001C08A5" w:rsidRDefault="00000000">
            <w:pPr>
              <w:jc w:val="center"/>
              <w:rPr>
                <w:b/>
                <w:i/>
                <w:sz w:val="22"/>
                <w:szCs w:val="22"/>
              </w:rPr>
            </w:pPr>
            <w:r>
              <w:rPr>
                <w:b/>
                <w:i/>
                <w:sz w:val="22"/>
                <w:szCs w:val="22"/>
              </w:rPr>
              <w:t>EI/REI 90</w:t>
            </w:r>
          </w:p>
          <w:p w14:paraId="739AAAD9" w14:textId="77777777" w:rsidR="001C08A5" w:rsidRDefault="001C08A5">
            <w:pPr>
              <w:jc w:val="center"/>
              <w:rPr>
                <w:b/>
                <w:i/>
                <w:sz w:val="22"/>
                <w:szCs w:val="22"/>
              </w:rPr>
            </w:pPr>
          </w:p>
        </w:tc>
        <w:tc>
          <w:tcPr>
            <w:tcW w:w="1812" w:type="dxa"/>
          </w:tcPr>
          <w:p w14:paraId="0F9941F1"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857" w:type="dxa"/>
            <w:vMerge/>
          </w:tcPr>
          <w:p w14:paraId="05837ED0" w14:textId="77777777" w:rsidR="001C08A5" w:rsidRDefault="001C08A5">
            <w:pPr>
              <w:jc w:val="center"/>
              <w:rPr>
                <w:b/>
                <w:i/>
                <w:sz w:val="22"/>
                <w:szCs w:val="22"/>
              </w:rPr>
            </w:pPr>
          </w:p>
        </w:tc>
        <w:tc>
          <w:tcPr>
            <w:tcW w:w="1734" w:type="dxa"/>
          </w:tcPr>
          <w:p w14:paraId="20A4B740" w14:textId="77777777" w:rsidR="001C08A5" w:rsidRDefault="00000000">
            <w:pPr>
              <w:jc w:val="center"/>
              <w:rPr>
                <w:b/>
                <w:i/>
                <w:sz w:val="22"/>
                <w:szCs w:val="22"/>
              </w:rPr>
            </w:pPr>
            <w:r>
              <w:rPr>
                <w:b/>
                <w:i/>
                <w:sz w:val="22"/>
                <w:szCs w:val="22"/>
              </w:rPr>
              <w:t>A1 sau A2-s1d0</w:t>
            </w:r>
          </w:p>
        </w:tc>
        <w:tc>
          <w:tcPr>
            <w:tcW w:w="1539" w:type="dxa"/>
          </w:tcPr>
          <w:p w14:paraId="6A16C2E0" w14:textId="77777777" w:rsidR="001C08A5" w:rsidRDefault="00000000">
            <w:pPr>
              <w:jc w:val="center"/>
              <w:rPr>
                <w:b/>
                <w:bCs/>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087ABBE6" w14:textId="77777777">
        <w:tc>
          <w:tcPr>
            <w:tcW w:w="1262" w:type="dxa"/>
          </w:tcPr>
          <w:p w14:paraId="3B026611" w14:textId="77777777" w:rsidR="001C08A5" w:rsidRDefault="00000000">
            <w:pPr>
              <w:pStyle w:val="BodyText"/>
              <w:jc w:val="center"/>
              <w:rPr>
                <w:bCs w:val="0"/>
                <w:sz w:val="22"/>
                <w:szCs w:val="22"/>
              </w:rPr>
            </w:pPr>
            <w:r>
              <w:rPr>
                <w:bCs w:val="0"/>
                <w:sz w:val="22"/>
                <w:szCs w:val="22"/>
              </w:rPr>
              <w:t>III</w:t>
            </w:r>
          </w:p>
        </w:tc>
        <w:tc>
          <w:tcPr>
            <w:tcW w:w="1294" w:type="dxa"/>
          </w:tcPr>
          <w:p w14:paraId="66128087" w14:textId="77777777" w:rsidR="001C08A5" w:rsidRDefault="00000000">
            <w:pPr>
              <w:jc w:val="center"/>
              <w:rPr>
                <w:b/>
                <w:i/>
                <w:sz w:val="22"/>
                <w:szCs w:val="22"/>
              </w:rPr>
            </w:pPr>
            <w:r>
              <w:rPr>
                <w:b/>
                <w:i/>
                <w:sz w:val="22"/>
                <w:szCs w:val="22"/>
              </w:rPr>
              <w:t xml:space="preserve">EI/REI 60 </w:t>
            </w:r>
          </w:p>
          <w:p w14:paraId="6ED99986" w14:textId="77777777" w:rsidR="001C08A5" w:rsidRDefault="001C08A5">
            <w:pPr>
              <w:jc w:val="center"/>
              <w:rPr>
                <w:b/>
                <w:i/>
                <w:sz w:val="22"/>
                <w:szCs w:val="22"/>
              </w:rPr>
            </w:pPr>
          </w:p>
        </w:tc>
        <w:tc>
          <w:tcPr>
            <w:tcW w:w="1812" w:type="dxa"/>
          </w:tcPr>
          <w:p w14:paraId="2CE3ABC2"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857" w:type="dxa"/>
            <w:vMerge/>
          </w:tcPr>
          <w:p w14:paraId="3540F18B" w14:textId="77777777" w:rsidR="001C08A5" w:rsidRDefault="001C08A5">
            <w:pPr>
              <w:jc w:val="center"/>
              <w:rPr>
                <w:b/>
                <w:i/>
                <w:sz w:val="22"/>
                <w:szCs w:val="22"/>
              </w:rPr>
            </w:pPr>
          </w:p>
        </w:tc>
        <w:tc>
          <w:tcPr>
            <w:tcW w:w="1734" w:type="dxa"/>
          </w:tcPr>
          <w:p w14:paraId="177F2097"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0311F216" w14:textId="77777777" w:rsidR="001C08A5" w:rsidRDefault="001C08A5">
            <w:pPr>
              <w:rPr>
                <w:i/>
                <w:sz w:val="22"/>
                <w:szCs w:val="22"/>
              </w:rPr>
            </w:pPr>
          </w:p>
        </w:tc>
        <w:tc>
          <w:tcPr>
            <w:tcW w:w="1539" w:type="dxa"/>
          </w:tcPr>
          <w:p w14:paraId="6280F66E" w14:textId="77777777" w:rsidR="001C08A5" w:rsidRDefault="00000000">
            <w:pPr>
              <w:jc w:val="center"/>
              <w:rPr>
                <w:i/>
                <w:sz w:val="22"/>
                <w:szCs w:val="22"/>
              </w:rPr>
            </w:pPr>
            <w:r>
              <w:rPr>
                <w:b/>
                <w:bCs/>
                <w:i/>
                <w:sz w:val="22"/>
                <w:szCs w:val="22"/>
              </w:rPr>
              <w:t>C5</w:t>
            </w:r>
          </w:p>
        </w:tc>
      </w:tr>
      <w:tr w:rsidR="001C08A5" w14:paraId="3D7AAF0D" w14:textId="77777777">
        <w:tc>
          <w:tcPr>
            <w:tcW w:w="1262" w:type="dxa"/>
          </w:tcPr>
          <w:p w14:paraId="67871A2E" w14:textId="77777777" w:rsidR="001C08A5" w:rsidRDefault="00000000">
            <w:pPr>
              <w:pStyle w:val="BodyText"/>
              <w:jc w:val="center"/>
              <w:rPr>
                <w:bCs w:val="0"/>
                <w:sz w:val="22"/>
                <w:szCs w:val="22"/>
              </w:rPr>
            </w:pPr>
            <w:r>
              <w:rPr>
                <w:bCs w:val="0"/>
                <w:sz w:val="22"/>
                <w:szCs w:val="22"/>
              </w:rPr>
              <w:t>III (+)</w:t>
            </w:r>
          </w:p>
        </w:tc>
        <w:tc>
          <w:tcPr>
            <w:tcW w:w="1294" w:type="dxa"/>
          </w:tcPr>
          <w:p w14:paraId="45043652" w14:textId="77777777" w:rsidR="001C08A5" w:rsidRDefault="00000000">
            <w:pPr>
              <w:jc w:val="center"/>
              <w:rPr>
                <w:b/>
                <w:i/>
                <w:sz w:val="22"/>
                <w:szCs w:val="22"/>
              </w:rPr>
            </w:pPr>
            <w:r>
              <w:rPr>
                <w:b/>
                <w:i/>
                <w:sz w:val="22"/>
                <w:szCs w:val="22"/>
              </w:rPr>
              <w:t xml:space="preserve">EI/REI 45 </w:t>
            </w:r>
          </w:p>
          <w:p w14:paraId="4DA4B8F0" w14:textId="77777777" w:rsidR="001C08A5" w:rsidRDefault="001C08A5">
            <w:pPr>
              <w:jc w:val="center"/>
              <w:rPr>
                <w:b/>
                <w:i/>
                <w:sz w:val="22"/>
                <w:szCs w:val="22"/>
              </w:rPr>
            </w:pPr>
          </w:p>
        </w:tc>
        <w:tc>
          <w:tcPr>
            <w:tcW w:w="1812" w:type="dxa"/>
          </w:tcPr>
          <w:p w14:paraId="43579E29"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857" w:type="dxa"/>
            <w:vMerge/>
          </w:tcPr>
          <w:p w14:paraId="135B75F8" w14:textId="77777777" w:rsidR="001C08A5" w:rsidRDefault="001C08A5">
            <w:pPr>
              <w:jc w:val="center"/>
              <w:rPr>
                <w:b/>
                <w:i/>
                <w:sz w:val="22"/>
                <w:szCs w:val="22"/>
              </w:rPr>
            </w:pPr>
          </w:p>
        </w:tc>
        <w:tc>
          <w:tcPr>
            <w:tcW w:w="1734" w:type="dxa"/>
          </w:tcPr>
          <w:p w14:paraId="36C9743A" w14:textId="77777777" w:rsidR="001C08A5" w:rsidRDefault="00000000">
            <w:pPr>
              <w:jc w:val="center"/>
              <w:rPr>
                <w:i/>
                <w:sz w:val="22"/>
                <w:szCs w:val="22"/>
              </w:rPr>
            </w:pPr>
            <w:r>
              <w:rPr>
                <w:b/>
                <w:i/>
                <w:sz w:val="22"/>
                <w:szCs w:val="22"/>
              </w:rPr>
              <w:t xml:space="preserve"> A1 sau A2-s1d0 </w:t>
            </w:r>
          </w:p>
        </w:tc>
        <w:tc>
          <w:tcPr>
            <w:tcW w:w="1539" w:type="dxa"/>
          </w:tcPr>
          <w:p w14:paraId="697C9355" w14:textId="77777777" w:rsidR="001C08A5" w:rsidRDefault="00000000">
            <w:pPr>
              <w:jc w:val="center"/>
              <w:rPr>
                <w:b/>
                <w:i/>
                <w:sz w:val="22"/>
                <w:szCs w:val="22"/>
              </w:rPr>
            </w:pPr>
            <w:r>
              <w:rPr>
                <w:b/>
                <w:bCs/>
                <w:i/>
                <w:sz w:val="22"/>
                <w:szCs w:val="22"/>
              </w:rPr>
              <w:t>C5</w:t>
            </w:r>
          </w:p>
          <w:p w14:paraId="6B2D21E8" w14:textId="77777777" w:rsidR="001C08A5" w:rsidRDefault="001C08A5">
            <w:pPr>
              <w:jc w:val="center"/>
              <w:rPr>
                <w:b/>
                <w:bCs/>
                <w:i/>
                <w:sz w:val="22"/>
                <w:szCs w:val="22"/>
              </w:rPr>
            </w:pPr>
          </w:p>
        </w:tc>
      </w:tr>
      <w:tr w:rsidR="001C08A5" w14:paraId="5BFE8E78" w14:textId="77777777">
        <w:tc>
          <w:tcPr>
            <w:tcW w:w="1262" w:type="dxa"/>
          </w:tcPr>
          <w:p w14:paraId="269A639C" w14:textId="77777777" w:rsidR="001C08A5" w:rsidRDefault="00000000">
            <w:pPr>
              <w:pStyle w:val="BodyText"/>
              <w:jc w:val="center"/>
              <w:rPr>
                <w:bCs w:val="0"/>
                <w:sz w:val="22"/>
                <w:szCs w:val="22"/>
              </w:rPr>
            </w:pPr>
            <w:r>
              <w:rPr>
                <w:bCs w:val="0"/>
                <w:sz w:val="22"/>
                <w:szCs w:val="22"/>
              </w:rPr>
              <w:t>IV</w:t>
            </w:r>
          </w:p>
        </w:tc>
        <w:tc>
          <w:tcPr>
            <w:tcW w:w="1294" w:type="dxa"/>
          </w:tcPr>
          <w:p w14:paraId="0BEC2201" w14:textId="77777777" w:rsidR="001C08A5" w:rsidRDefault="00000000">
            <w:pPr>
              <w:jc w:val="center"/>
              <w:rPr>
                <w:b/>
                <w:i/>
                <w:sz w:val="22"/>
                <w:szCs w:val="22"/>
              </w:rPr>
            </w:pPr>
            <w:r>
              <w:rPr>
                <w:b/>
                <w:i/>
                <w:sz w:val="22"/>
                <w:szCs w:val="22"/>
              </w:rPr>
              <w:t xml:space="preserve">EI/REI 30 </w:t>
            </w:r>
          </w:p>
          <w:p w14:paraId="7CE13B07" w14:textId="77777777" w:rsidR="001C08A5" w:rsidRDefault="001C08A5">
            <w:pPr>
              <w:jc w:val="center"/>
              <w:rPr>
                <w:b/>
                <w:i/>
                <w:sz w:val="22"/>
                <w:szCs w:val="22"/>
              </w:rPr>
            </w:pPr>
          </w:p>
        </w:tc>
        <w:tc>
          <w:tcPr>
            <w:tcW w:w="1812" w:type="dxa"/>
          </w:tcPr>
          <w:p w14:paraId="67A2845C"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 B-s1d0</w:t>
            </w:r>
          </w:p>
        </w:tc>
        <w:tc>
          <w:tcPr>
            <w:tcW w:w="1857" w:type="dxa"/>
            <w:vMerge/>
          </w:tcPr>
          <w:p w14:paraId="60BCB156" w14:textId="77777777" w:rsidR="001C08A5" w:rsidRDefault="001C08A5">
            <w:pPr>
              <w:jc w:val="center"/>
              <w:rPr>
                <w:b/>
                <w:i/>
                <w:sz w:val="22"/>
                <w:szCs w:val="22"/>
              </w:rPr>
            </w:pPr>
          </w:p>
        </w:tc>
        <w:tc>
          <w:tcPr>
            <w:tcW w:w="1734" w:type="dxa"/>
          </w:tcPr>
          <w:p w14:paraId="41EC0A02"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39" w:type="dxa"/>
          </w:tcPr>
          <w:p w14:paraId="1748B96F" w14:textId="77777777" w:rsidR="001C08A5" w:rsidRDefault="00000000">
            <w:pPr>
              <w:jc w:val="center"/>
              <w:rPr>
                <w:i/>
                <w:sz w:val="22"/>
                <w:szCs w:val="22"/>
              </w:rPr>
            </w:pPr>
            <w:r>
              <w:rPr>
                <w:b/>
                <w:bCs/>
                <w:i/>
                <w:sz w:val="22"/>
                <w:szCs w:val="22"/>
              </w:rPr>
              <w:t>C5</w:t>
            </w:r>
          </w:p>
        </w:tc>
      </w:tr>
      <w:tr w:rsidR="001C08A5" w14:paraId="4C4A0385" w14:textId="77777777">
        <w:tc>
          <w:tcPr>
            <w:tcW w:w="1262" w:type="dxa"/>
          </w:tcPr>
          <w:p w14:paraId="4FAC85CF" w14:textId="77777777" w:rsidR="001C08A5" w:rsidRDefault="00000000">
            <w:pPr>
              <w:pStyle w:val="BodyText"/>
              <w:jc w:val="center"/>
              <w:rPr>
                <w:bCs w:val="0"/>
                <w:sz w:val="22"/>
                <w:szCs w:val="22"/>
              </w:rPr>
            </w:pPr>
            <w:r>
              <w:rPr>
                <w:bCs w:val="0"/>
                <w:sz w:val="22"/>
                <w:szCs w:val="22"/>
              </w:rPr>
              <w:t>V</w:t>
            </w:r>
          </w:p>
        </w:tc>
        <w:tc>
          <w:tcPr>
            <w:tcW w:w="1294" w:type="dxa"/>
          </w:tcPr>
          <w:p w14:paraId="2896257A" w14:textId="77777777" w:rsidR="001C08A5" w:rsidRDefault="00000000">
            <w:pPr>
              <w:jc w:val="center"/>
              <w:rPr>
                <w:b/>
                <w:i/>
                <w:sz w:val="22"/>
                <w:szCs w:val="22"/>
              </w:rPr>
            </w:pPr>
            <w:r>
              <w:rPr>
                <w:b/>
                <w:i/>
                <w:sz w:val="22"/>
                <w:szCs w:val="22"/>
              </w:rPr>
              <w:t xml:space="preserve">EI/REI 15 </w:t>
            </w:r>
          </w:p>
          <w:p w14:paraId="2328738B" w14:textId="77777777" w:rsidR="001C08A5" w:rsidRDefault="001C08A5">
            <w:pPr>
              <w:jc w:val="center"/>
              <w:rPr>
                <w:b/>
                <w:i/>
                <w:sz w:val="22"/>
                <w:szCs w:val="22"/>
              </w:rPr>
            </w:pPr>
          </w:p>
        </w:tc>
        <w:tc>
          <w:tcPr>
            <w:tcW w:w="1812" w:type="dxa"/>
          </w:tcPr>
          <w:p w14:paraId="61E55424"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857" w:type="dxa"/>
            <w:vMerge/>
          </w:tcPr>
          <w:p w14:paraId="35D9CF35" w14:textId="77777777" w:rsidR="001C08A5" w:rsidRDefault="001C08A5">
            <w:pPr>
              <w:jc w:val="center"/>
              <w:rPr>
                <w:b/>
                <w:i/>
                <w:sz w:val="22"/>
                <w:szCs w:val="22"/>
              </w:rPr>
            </w:pPr>
          </w:p>
        </w:tc>
        <w:tc>
          <w:tcPr>
            <w:tcW w:w="1734" w:type="dxa"/>
          </w:tcPr>
          <w:p w14:paraId="7FEEEDD4"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539" w:type="dxa"/>
          </w:tcPr>
          <w:p w14:paraId="0C26EC75" w14:textId="77777777" w:rsidR="001C08A5" w:rsidRDefault="00000000">
            <w:pPr>
              <w:jc w:val="center"/>
              <w:rPr>
                <w:b/>
                <w:bCs/>
                <w:i/>
                <w:sz w:val="22"/>
                <w:szCs w:val="22"/>
              </w:rPr>
            </w:pPr>
            <w:r>
              <w:rPr>
                <w:b/>
                <w:bCs/>
                <w:i/>
                <w:sz w:val="22"/>
                <w:szCs w:val="22"/>
              </w:rPr>
              <w:t>-</w:t>
            </w:r>
          </w:p>
        </w:tc>
      </w:tr>
    </w:tbl>
    <w:p w14:paraId="4E75D5F0" w14:textId="77777777" w:rsidR="001C08A5" w:rsidRDefault="00000000">
      <w:pPr>
        <w:jc w:val="both"/>
        <w:rPr>
          <w:i/>
          <w:sz w:val="22"/>
          <w:szCs w:val="22"/>
          <w:u w:val="single"/>
        </w:rPr>
      </w:pPr>
      <w:r>
        <w:rPr>
          <w:i/>
          <w:sz w:val="22"/>
          <w:szCs w:val="22"/>
          <w:u w:val="single"/>
        </w:rPr>
        <w:t>Note:</w:t>
      </w:r>
    </w:p>
    <w:p w14:paraId="199D431D" w14:textId="77777777" w:rsidR="001C08A5" w:rsidRDefault="00000000">
      <w:pPr>
        <w:ind w:left="720"/>
        <w:jc w:val="both"/>
        <w:rPr>
          <w:i/>
          <w:sz w:val="22"/>
          <w:szCs w:val="22"/>
        </w:rPr>
      </w:pPr>
      <w:r>
        <w:rPr>
          <w:i/>
          <w:sz w:val="22"/>
          <w:szCs w:val="22"/>
        </w:rPr>
        <w:t>În cazul pereților vitrați cu profil metalic care separă coridoarele și holurile de încăperile adiacente nu se ia în considerare clasa de reacție la foc.</w:t>
      </w:r>
    </w:p>
    <w:p w14:paraId="41246ABB"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2D1F4E71"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25111BF8" w14:textId="77777777" w:rsidR="001C08A5" w:rsidRDefault="001C08A5">
      <w:pPr>
        <w:jc w:val="both"/>
        <w:rPr>
          <w:sz w:val="24"/>
          <w:szCs w:val="24"/>
        </w:rPr>
      </w:pPr>
    </w:p>
    <w:p w14:paraId="1C6AC78C" w14:textId="77777777" w:rsidR="001C08A5" w:rsidRDefault="00000000">
      <w:pPr>
        <w:ind w:firstLine="567"/>
        <w:jc w:val="both"/>
        <w:rPr>
          <w:sz w:val="24"/>
          <w:szCs w:val="24"/>
        </w:rPr>
      </w:pPr>
      <w:r>
        <w:rPr>
          <w:b/>
          <w:sz w:val="24"/>
          <w:szCs w:val="24"/>
        </w:rPr>
        <w:t xml:space="preserve">Art. </w:t>
      </w:r>
      <w:r>
        <w:rPr>
          <w:b/>
          <w:bCs/>
          <w:sz w:val="24"/>
          <w:szCs w:val="24"/>
        </w:rPr>
        <w:t>3.2.5.</w:t>
      </w:r>
      <w:r>
        <w:rPr>
          <w:b/>
          <w:sz w:val="24"/>
          <w:szCs w:val="24"/>
        </w:rPr>
        <w:t xml:space="preserve">5. </w:t>
      </w:r>
      <w:r>
        <w:rPr>
          <w:sz w:val="24"/>
          <w:szCs w:val="24"/>
        </w:rPr>
        <w:t xml:space="preserve">Clădirile pentru cultură supraterane cu înălţimi obişnuite, compartimentele de incendiu şi încăperile supraterane cu capacitatea maximă simultană mai mare de </w:t>
      </w:r>
      <w:r>
        <w:rPr>
          <w:b/>
          <w:bCs/>
          <w:sz w:val="24"/>
          <w:szCs w:val="24"/>
        </w:rPr>
        <w:t>100</w:t>
      </w:r>
      <w:r>
        <w:rPr>
          <w:sz w:val="24"/>
          <w:szCs w:val="24"/>
        </w:rPr>
        <w:t xml:space="preserve"> utilizatori, precum și cele subterane cu mai mult decât cu capacitatea maximă simultană mai mare de </w:t>
      </w:r>
      <w:r>
        <w:rPr>
          <w:b/>
          <w:bCs/>
          <w:sz w:val="24"/>
          <w:szCs w:val="24"/>
        </w:rPr>
        <w:t>60</w:t>
      </w:r>
      <w:r>
        <w:rPr>
          <w:sz w:val="24"/>
          <w:szCs w:val="24"/>
        </w:rPr>
        <w:t xml:space="preserve"> utilizatori, vor avea asigurate minimum două căi de evacuare în caz de incendiu.</w:t>
      </w:r>
    </w:p>
    <w:p w14:paraId="47760027" w14:textId="77777777" w:rsidR="001C08A5" w:rsidRDefault="001C08A5">
      <w:pPr>
        <w:ind w:firstLine="567"/>
        <w:jc w:val="both"/>
        <w:rPr>
          <w:sz w:val="24"/>
          <w:szCs w:val="24"/>
        </w:rPr>
      </w:pPr>
    </w:p>
    <w:p w14:paraId="14F0BE26" w14:textId="77777777" w:rsidR="001C08A5" w:rsidRDefault="00000000">
      <w:pPr>
        <w:ind w:firstLine="567"/>
        <w:jc w:val="both"/>
        <w:rPr>
          <w:b/>
          <w:sz w:val="24"/>
          <w:szCs w:val="24"/>
        </w:rPr>
      </w:pPr>
      <w:r>
        <w:rPr>
          <w:b/>
          <w:sz w:val="24"/>
          <w:szCs w:val="24"/>
        </w:rPr>
        <w:t xml:space="preserve">Art. </w:t>
      </w:r>
      <w:r>
        <w:rPr>
          <w:b/>
          <w:bCs/>
          <w:sz w:val="24"/>
          <w:szCs w:val="24"/>
        </w:rPr>
        <w:t>3.2.5.</w:t>
      </w:r>
      <w:r>
        <w:rPr>
          <w:b/>
          <w:sz w:val="24"/>
          <w:szCs w:val="24"/>
        </w:rPr>
        <w:t xml:space="preserve">6. </w:t>
      </w:r>
      <w:r>
        <w:rPr>
          <w:sz w:val="24"/>
          <w:szCs w:val="24"/>
        </w:rPr>
        <w:t xml:space="preserve">Spaţiile accesibile publicului din clădirile pentru cultură supraterane și căile de circulaţie funcţională şi de evacuare a utilizatorilor vor fi separate de încăperile anexe și cele tehnice </w:t>
      </w:r>
      <w:r>
        <w:rPr>
          <w:sz w:val="24"/>
          <w:szCs w:val="24"/>
        </w:rPr>
        <w:lastRenderedPageBreak/>
        <w:t xml:space="preserve">prin pereţi </w:t>
      </w:r>
      <w:r>
        <w:rPr>
          <w:b/>
          <w:sz w:val="24"/>
          <w:szCs w:val="24"/>
        </w:rPr>
        <w:t>REI/</w:t>
      </w:r>
      <w:r>
        <w:rPr>
          <w:b/>
          <w:bCs/>
          <w:sz w:val="24"/>
          <w:szCs w:val="24"/>
        </w:rPr>
        <w:t>EI</w:t>
      </w:r>
      <w:r>
        <w:rPr>
          <w:sz w:val="24"/>
          <w:szCs w:val="24"/>
        </w:rPr>
        <w:t xml:space="preserve"> și planşee </w:t>
      </w:r>
      <w:r>
        <w:rPr>
          <w:b/>
          <w:bCs/>
          <w:sz w:val="24"/>
          <w:szCs w:val="24"/>
        </w:rPr>
        <w:t>REI</w:t>
      </w:r>
      <w:r>
        <w:rPr>
          <w:sz w:val="24"/>
          <w:szCs w:val="24"/>
        </w:rPr>
        <w:t xml:space="preserve">, cu rezistenţe la foc corespunzătoare destinaţiei și densităţii sarcinii termice (q) din încăperile adiacente, dar nu mai mici decât cele prevăzute în </w:t>
      </w:r>
      <w:r>
        <w:rPr>
          <w:b/>
          <w:bCs/>
          <w:i/>
          <w:iCs/>
          <w:sz w:val="24"/>
          <w:szCs w:val="24"/>
        </w:rPr>
        <w:fldChar w:fldCharType="begin"/>
      </w:r>
      <w:r>
        <w:rPr>
          <w:b/>
          <w:bCs/>
          <w:i/>
          <w:iCs/>
          <w:sz w:val="24"/>
          <w:szCs w:val="24"/>
        </w:rPr>
        <w:instrText xml:space="preserve"> REF _Ref15383 \h </w:instrText>
      </w:r>
      <w:r>
        <w:rPr>
          <w:b/>
          <w:bCs/>
          <w:i/>
          <w:iCs/>
          <w:sz w:val="24"/>
          <w:szCs w:val="24"/>
        </w:rPr>
      </w:r>
      <w:r>
        <w:rPr>
          <w:b/>
          <w:bCs/>
          <w:i/>
          <w:iCs/>
          <w:sz w:val="24"/>
          <w:szCs w:val="24"/>
        </w:rPr>
        <w:fldChar w:fldCharType="separate"/>
      </w:r>
      <w:r>
        <w:t>Tabelul 71</w:t>
      </w:r>
      <w:r>
        <w:rPr>
          <w:b/>
          <w:bCs/>
          <w:i/>
          <w:iCs/>
          <w:sz w:val="24"/>
          <w:szCs w:val="24"/>
        </w:rPr>
        <w:fldChar w:fldCharType="end"/>
      </w:r>
      <w:r>
        <w:rPr>
          <w:sz w:val="24"/>
          <w:szCs w:val="24"/>
        </w:rPr>
        <w:t>.</w:t>
      </w:r>
    </w:p>
    <w:p w14:paraId="72BB7372" w14:textId="77777777" w:rsidR="001C08A5" w:rsidRDefault="001C08A5">
      <w:pPr>
        <w:jc w:val="both"/>
        <w:rPr>
          <w:b/>
          <w:sz w:val="24"/>
          <w:szCs w:val="24"/>
        </w:rPr>
      </w:pPr>
    </w:p>
    <w:p w14:paraId="1C48CCBC" w14:textId="77777777" w:rsidR="001C08A5" w:rsidRDefault="00000000">
      <w:pPr>
        <w:pStyle w:val="Captiontabel"/>
      </w:pPr>
      <w:bookmarkStart w:id="3650" w:name="_Ref15383"/>
      <w:bookmarkStart w:id="3651" w:name="_Toc162360121"/>
      <w:r>
        <w:t xml:space="preserve">Tabelul </w:t>
      </w:r>
      <w:r>
        <w:fldChar w:fldCharType="begin"/>
      </w:r>
      <w:r>
        <w:instrText xml:space="preserve"> SEQ Tabelul \* ARABIC </w:instrText>
      </w:r>
      <w:r>
        <w:fldChar w:fldCharType="separate"/>
      </w:r>
      <w:r>
        <w:t>71</w:t>
      </w:r>
      <w:r>
        <w:fldChar w:fldCharType="end"/>
      </w:r>
      <w:bookmarkStart w:id="3652" w:name="_Toc28167"/>
      <w:bookmarkStart w:id="3653" w:name="_Toc18309"/>
      <w:bookmarkStart w:id="3654" w:name="_Toc23944"/>
      <w:bookmarkStart w:id="3655" w:name="_Toc16862"/>
      <w:bookmarkStart w:id="3656" w:name="_Toc14609"/>
      <w:bookmarkStart w:id="3657" w:name="_Toc3936"/>
      <w:bookmarkStart w:id="3658" w:name="_Toc25837"/>
      <w:bookmarkStart w:id="3659" w:name="_Toc3747"/>
      <w:bookmarkStart w:id="3660" w:name="_Toc18834"/>
      <w:bookmarkStart w:id="3661" w:name="_Toc2076"/>
      <w:bookmarkStart w:id="3662" w:name="_Toc4164"/>
      <w:bookmarkStart w:id="3663" w:name="_Toc6255"/>
      <w:bookmarkStart w:id="3664" w:name="_Toc31239"/>
      <w:bookmarkStart w:id="3665" w:name="_Toc1185"/>
      <w:bookmarkStart w:id="3666" w:name="_Toc30188"/>
      <w:bookmarkStart w:id="3667" w:name="_Toc18356"/>
      <w:bookmarkStart w:id="3668" w:name="_Toc945"/>
      <w:bookmarkStart w:id="3669" w:name="_Toc15683"/>
      <w:bookmarkStart w:id="3670" w:name="_Toc30351"/>
      <w:bookmarkEnd w:id="3650"/>
      <w:r>
        <w:t>: Elemente de separare (pereţi şi planşee) din clădirile pentru cultură supraterane cu înălţimi obişnuite</w:t>
      </w:r>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p>
    <w:p w14:paraId="2FE30690" w14:textId="77777777" w:rsidR="001C08A5" w:rsidRDefault="001C08A5">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0"/>
        <w:gridCol w:w="2326"/>
        <w:gridCol w:w="1225"/>
        <w:gridCol w:w="1388"/>
        <w:gridCol w:w="1262"/>
        <w:gridCol w:w="2678"/>
      </w:tblGrid>
      <w:tr w:rsidR="001C08A5" w14:paraId="448A46A8" w14:textId="77777777">
        <w:tc>
          <w:tcPr>
            <w:tcW w:w="800" w:type="dxa"/>
            <w:vMerge w:val="restart"/>
            <w:shd w:val="clear" w:color="auto" w:fill="BFBFBF"/>
          </w:tcPr>
          <w:p w14:paraId="337F99FB" w14:textId="77777777" w:rsidR="001C08A5" w:rsidRDefault="001C08A5">
            <w:pPr>
              <w:snapToGrid w:val="0"/>
              <w:jc w:val="center"/>
              <w:rPr>
                <w:b/>
                <w:i/>
                <w:iCs/>
                <w:sz w:val="22"/>
                <w:szCs w:val="22"/>
              </w:rPr>
            </w:pPr>
          </w:p>
          <w:p w14:paraId="4142F997" w14:textId="77777777" w:rsidR="001C08A5" w:rsidRDefault="00000000">
            <w:pPr>
              <w:jc w:val="center"/>
              <w:rPr>
                <w:b/>
                <w:i/>
                <w:iCs/>
                <w:sz w:val="22"/>
                <w:szCs w:val="22"/>
              </w:rPr>
            </w:pPr>
            <w:r>
              <w:rPr>
                <w:b/>
                <w:i/>
                <w:iCs/>
                <w:sz w:val="22"/>
                <w:szCs w:val="22"/>
              </w:rPr>
              <w:t>Nr.</w:t>
            </w:r>
          </w:p>
          <w:p w14:paraId="416DF3AA" w14:textId="77777777" w:rsidR="001C08A5" w:rsidRDefault="00000000">
            <w:pPr>
              <w:jc w:val="center"/>
              <w:rPr>
                <w:b/>
                <w:i/>
                <w:iCs/>
                <w:sz w:val="22"/>
                <w:szCs w:val="22"/>
              </w:rPr>
            </w:pPr>
            <w:r>
              <w:rPr>
                <w:b/>
                <w:i/>
                <w:iCs/>
                <w:sz w:val="22"/>
                <w:szCs w:val="22"/>
              </w:rPr>
              <w:t>crt.</w:t>
            </w:r>
          </w:p>
        </w:tc>
        <w:tc>
          <w:tcPr>
            <w:tcW w:w="2326" w:type="dxa"/>
            <w:vMerge w:val="restart"/>
            <w:shd w:val="clear" w:color="auto" w:fill="BFBFBF"/>
          </w:tcPr>
          <w:p w14:paraId="3229AA7C" w14:textId="77777777" w:rsidR="001C08A5" w:rsidRDefault="001C08A5">
            <w:pPr>
              <w:snapToGrid w:val="0"/>
              <w:jc w:val="center"/>
              <w:rPr>
                <w:b/>
                <w:i/>
                <w:iCs/>
                <w:sz w:val="22"/>
                <w:szCs w:val="22"/>
              </w:rPr>
            </w:pPr>
          </w:p>
          <w:p w14:paraId="037E15D7" w14:textId="77777777" w:rsidR="001C08A5" w:rsidRDefault="00000000">
            <w:pPr>
              <w:jc w:val="center"/>
              <w:rPr>
                <w:b/>
                <w:i/>
                <w:iCs/>
                <w:sz w:val="22"/>
                <w:szCs w:val="22"/>
              </w:rPr>
            </w:pPr>
            <w:r>
              <w:rPr>
                <w:b/>
                <w:i/>
                <w:iCs/>
                <w:sz w:val="22"/>
                <w:szCs w:val="22"/>
              </w:rPr>
              <w:t>Destinaţia elementului</w:t>
            </w:r>
          </w:p>
        </w:tc>
        <w:tc>
          <w:tcPr>
            <w:tcW w:w="1225" w:type="dxa"/>
            <w:vMerge w:val="restart"/>
            <w:shd w:val="clear" w:color="auto" w:fill="BFBFBF"/>
          </w:tcPr>
          <w:p w14:paraId="171894D3" w14:textId="77777777" w:rsidR="001C08A5" w:rsidRDefault="00000000">
            <w:pPr>
              <w:jc w:val="center"/>
              <w:rPr>
                <w:b/>
                <w:i/>
                <w:iCs/>
                <w:sz w:val="22"/>
                <w:szCs w:val="22"/>
              </w:rPr>
            </w:pPr>
            <w:r>
              <w:rPr>
                <w:b/>
                <w:i/>
                <w:iCs/>
                <w:sz w:val="22"/>
                <w:szCs w:val="22"/>
              </w:rPr>
              <w:t>Nivel de stabilitate la incendiu al clădirii</w:t>
            </w:r>
          </w:p>
        </w:tc>
        <w:tc>
          <w:tcPr>
            <w:tcW w:w="2650" w:type="dxa"/>
            <w:gridSpan w:val="2"/>
            <w:shd w:val="clear" w:color="auto" w:fill="BFBFBF"/>
          </w:tcPr>
          <w:p w14:paraId="25123394" w14:textId="77777777" w:rsidR="001C08A5" w:rsidRDefault="00000000">
            <w:pPr>
              <w:jc w:val="center"/>
              <w:rPr>
                <w:b/>
                <w:i/>
                <w:iCs/>
                <w:sz w:val="22"/>
                <w:szCs w:val="22"/>
              </w:rPr>
            </w:pPr>
            <w:r>
              <w:rPr>
                <w:b/>
                <w:i/>
                <w:iCs/>
                <w:sz w:val="22"/>
                <w:szCs w:val="22"/>
              </w:rPr>
              <w:t>Condiţii minime de rezistenţă (minute)</w:t>
            </w:r>
          </w:p>
        </w:tc>
        <w:tc>
          <w:tcPr>
            <w:tcW w:w="2678" w:type="dxa"/>
            <w:vMerge w:val="restart"/>
            <w:shd w:val="clear" w:color="auto" w:fill="BFBFBF"/>
          </w:tcPr>
          <w:p w14:paraId="46516ED6" w14:textId="77777777" w:rsidR="001C08A5" w:rsidRDefault="001C08A5">
            <w:pPr>
              <w:jc w:val="both"/>
              <w:rPr>
                <w:b/>
                <w:i/>
                <w:iCs/>
                <w:sz w:val="22"/>
                <w:szCs w:val="22"/>
              </w:rPr>
            </w:pPr>
          </w:p>
          <w:p w14:paraId="3D15D8D1" w14:textId="77777777" w:rsidR="001C08A5" w:rsidRDefault="001C08A5">
            <w:pPr>
              <w:jc w:val="both"/>
              <w:rPr>
                <w:b/>
                <w:i/>
                <w:iCs/>
                <w:sz w:val="22"/>
                <w:szCs w:val="22"/>
              </w:rPr>
            </w:pPr>
          </w:p>
          <w:p w14:paraId="0A2B91EF" w14:textId="77777777" w:rsidR="001C08A5" w:rsidRDefault="00000000">
            <w:pPr>
              <w:jc w:val="center"/>
              <w:rPr>
                <w:i/>
                <w:iCs/>
                <w:sz w:val="22"/>
                <w:szCs w:val="22"/>
              </w:rPr>
            </w:pPr>
            <w:r>
              <w:rPr>
                <w:b/>
                <w:i/>
                <w:iCs/>
                <w:sz w:val="22"/>
                <w:szCs w:val="22"/>
              </w:rPr>
              <w:t>Observaţii</w:t>
            </w:r>
          </w:p>
        </w:tc>
      </w:tr>
      <w:tr w:rsidR="001C08A5" w14:paraId="382C968C" w14:textId="77777777">
        <w:trPr>
          <w:trHeight w:val="77"/>
        </w:trPr>
        <w:tc>
          <w:tcPr>
            <w:tcW w:w="800" w:type="dxa"/>
            <w:vMerge/>
            <w:shd w:val="clear" w:color="auto" w:fill="auto"/>
          </w:tcPr>
          <w:p w14:paraId="07C563CA" w14:textId="77777777" w:rsidR="001C08A5" w:rsidRDefault="001C08A5">
            <w:pPr>
              <w:jc w:val="both"/>
              <w:rPr>
                <w:i/>
                <w:iCs/>
                <w:sz w:val="22"/>
                <w:szCs w:val="22"/>
              </w:rPr>
            </w:pPr>
          </w:p>
        </w:tc>
        <w:tc>
          <w:tcPr>
            <w:tcW w:w="2326" w:type="dxa"/>
            <w:vMerge/>
            <w:shd w:val="clear" w:color="auto" w:fill="auto"/>
          </w:tcPr>
          <w:p w14:paraId="3A91FE2C" w14:textId="77777777" w:rsidR="001C08A5" w:rsidRDefault="001C08A5">
            <w:pPr>
              <w:jc w:val="both"/>
              <w:rPr>
                <w:i/>
                <w:iCs/>
                <w:sz w:val="22"/>
                <w:szCs w:val="22"/>
              </w:rPr>
            </w:pPr>
          </w:p>
        </w:tc>
        <w:tc>
          <w:tcPr>
            <w:tcW w:w="1225" w:type="dxa"/>
            <w:vMerge/>
            <w:shd w:val="clear" w:color="auto" w:fill="auto"/>
          </w:tcPr>
          <w:p w14:paraId="0DD0A3E5" w14:textId="77777777" w:rsidR="001C08A5" w:rsidRDefault="001C08A5">
            <w:pPr>
              <w:jc w:val="both"/>
              <w:rPr>
                <w:i/>
                <w:iCs/>
                <w:sz w:val="22"/>
                <w:szCs w:val="22"/>
              </w:rPr>
            </w:pPr>
          </w:p>
        </w:tc>
        <w:tc>
          <w:tcPr>
            <w:tcW w:w="1388" w:type="dxa"/>
            <w:shd w:val="clear" w:color="auto" w:fill="BFBFBF"/>
          </w:tcPr>
          <w:p w14:paraId="182C4DBA" w14:textId="77777777" w:rsidR="001C08A5" w:rsidRDefault="001C08A5">
            <w:pPr>
              <w:snapToGrid w:val="0"/>
              <w:jc w:val="center"/>
              <w:rPr>
                <w:b/>
                <w:i/>
                <w:iCs/>
                <w:sz w:val="22"/>
                <w:szCs w:val="22"/>
              </w:rPr>
            </w:pPr>
          </w:p>
          <w:p w14:paraId="76AEA19F" w14:textId="77777777" w:rsidR="001C08A5" w:rsidRDefault="00000000">
            <w:pPr>
              <w:jc w:val="center"/>
              <w:rPr>
                <w:b/>
                <w:i/>
                <w:iCs/>
                <w:sz w:val="22"/>
                <w:szCs w:val="22"/>
              </w:rPr>
            </w:pPr>
            <w:r>
              <w:rPr>
                <w:b/>
                <w:i/>
                <w:iCs/>
                <w:sz w:val="22"/>
                <w:szCs w:val="22"/>
              </w:rPr>
              <w:t>Pereţi</w:t>
            </w:r>
          </w:p>
        </w:tc>
        <w:tc>
          <w:tcPr>
            <w:tcW w:w="1262" w:type="dxa"/>
            <w:shd w:val="clear" w:color="auto" w:fill="BFBFBF"/>
          </w:tcPr>
          <w:p w14:paraId="247B54CA" w14:textId="77777777" w:rsidR="001C08A5" w:rsidRDefault="001C08A5">
            <w:pPr>
              <w:snapToGrid w:val="0"/>
              <w:jc w:val="center"/>
              <w:rPr>
                <w:b/>
                <w:i/>
                <w:iCs/>
                <w:sz w:val="22"/>
                <w:szCs w:val="22"/>
              </w:rPr>
            </w:pPr>
          </w:p>
          <w:p w14:paraId="2A707EF5" w14:textId="77777777" w:rsidR="001C08A5" w:rsidRDefault="00000000">
            <w:pPr>
              <w:jc w:val="center"/>
              <w:rPr>
                <w:b/>
                <w:i/>
                <w:iCs/>
                <w:sz w:val="22"/>
                <w:szCs w:val="22"/>
              </w:rPr>
            </w:pPr>
            <w:r>
              <w:rPr>
                <w:b/>
                <w:i/>
                <w:iCs/>
                <w:sz w:val="22"/>
                <w:szCs w:val="22"/>
              </w:rPr>
              <w:t>Planşee</w:t>
            </w:r>
          </w:p>
        </w:tc>
        <w:tc>
          <w:tcPr>
            <w:tcW w:w="2678" w:type="dxa"/>
            <w:vMerge/>
          </w:tcPr>
          <w:p w14:paraId="38C351F9" w14:textId="77777777" w:rsidR="001C08A5" w:rsidRDefault="001C08A5">
            <w:pPr>
              <w:jc w:val="both"/>
              <w:rPr>
                <w:i/>
                <w:iCs/>
                <w:sz w:val="22"/>
                <w:szCs w:val="22"/>
              </w:rPr>
            </w:pPr>
          </w:p>
        </w:tc>
      </w:tr>
      <w:tr w:rsidR="001C08A5" w14:paraId="551ED375" w14:textId="77777777">
        <w:tc>
          <w:tcPr>
            <w:tcW w:w="800" w:type="dxa"/>
            <w:vMerge w:val="restart"/>
          </w:tcPr>
          <w:p w14:paraId="21985194" w14:textId="77777777" w:rsidR="001C08A5" w:rsidRDefault="001C08A5">
            <w:pPr>
              <w:jc w:val="center"/>
              <w:rPr>
                <w:i/>
                <w:iCs/>
                <w:sz w:val="22"/>
                <w:szCs w:val="22"/>
              </w:rPr>
            </w:pPr>
          </w:p>
          <w:p w14:paraId="6B7E50A3" w14:textId="77777777" w:rsidR="001C08A5" w:rsidRDefault="001C08A5">
            <w:pPr>
              <w:jc w:val="center"/>
              <w:rPr>
                <w:i/>
                <w:iCs/>
                <w:sz w:val="22"/>
                <w:szCs w:val="22"/>
              </w:rPr>
            </w:pPr>
          </w:p>
          <w:p w14:paraId="67E86E0E" w14:textId="77777777" w:rsidR="001C08A5" w:rsidRDefault="00000000">
            <w:pPr>
              <w:jc w:val="center"/>
              <w:rPr>
                <w:i/>
                <w:iCs/>
                <w:sz w:val="22"/>
                <w:szCs w:val="22"/>
              </w:rPr>
            </w:pPr>
            <w:r>
              <w:rPr>
                <w:i/>
                <w:iCs/>
                <w:sz w:val="22"/>
                <w:szCs w:val="22"/>
              </w:rPr>
              <w:t>1.</w:t>
            </w:r>
          </w:p>
        </w:tc>
        <w:tc>
          <w:tcPr>
            <w:tcW w:w="2326" w:type="dxa"/>
            <w:vMerge w:val="restart"/>
          </w:tcPr>
          <w:p w14:paraId="5AD2FE34" w14:textId="77777777" w:rsidR="001C08A5" w:rsidRDefault="00000000">
            <w:pPr>
              <w:rPr>
                <w:i/>
                <w:iCs/>
                <w:sz w:val="22"/>
                <w:szCs w:val="22"/>
              </w:rPr>
            </w:pPr>
            <w:r>
              <w:rPr>
                <w:i/>
                <w:iCs/>
                <w:sz w:val="22"/>
                <w:szCs w:val="22"/>
              </w:rPr>
              <w:t>Elemente de separare a încăperilor în care are acces publicul faţă de  funcţiuni neaccesibile publicului (cu excepţia parcajelor pentru autoturisme)</w:t>
            </w:r>
          </w:p>
        </w:tc>
        <w:tc>
          <w:tcPr>
            <w:tcW w:w="1225" w:type="dxa"/>
          </w:tcPr>
          <w:p w14:paraId="6B6EF90A" w14:textId="77777777" w:rsidR="001C08A5" w:rsidRDefault="00000000">
            <w:pPr>
              <w:spacing w:line="360" w:lineRule="auto"/>
              <w:jc w:val="center"/>
              <w:rPr>
                <w:b/>
                <w:i/>
                <w:iCs/>
                <w:sz w:val="22"/>
                <w:szCs w:val="22"/>
              </w:rPr>
            </w:pPr>
            <w:r>
              <w:rPr>
                <w:b/>
                <w:i/>
                <w:iCs/>
                <w:sz w:val="22"/>
                <w:szCs w:val="22"/>
              </w:rPr>
              <w:t>I</w:t>
            </w:r>
          </w:p>
        </w:tc>
        <w:tc>
          <w:tcPr>
            <w:tcW w:w="1388" w:type="dxa"/>
          </w:tcPr>
          <w:p w14:paraId="1B54E0E8" w14:textId="77777777" w:rsidR="001C08A5" w:rsidRDefault="00000000">
            <w:pPr>
              <w:spacing w:line="360" w:lineRule="auto"/>
              <w:jc w:val="center"/>
              <w:rPr>
                <w:b/>
                <w:i/>
                <w:iCs/>
                <w:sz w:val="22"/>
                <w:szCs w:val="22"/>
              </w:rPr>
            </w:pPr>
            <w:r>
              <w:rPr>
                <w:b/>
                <w:i/>
                <w:iCs/>
                <w:sz w:val="22"/>
                <w:szCs w:val="22"/>
              </w:rPr>
              <w:t>EI/REI 120</w:t>
            </w:r>
          </w:p>
        </w:tc>
        <w:tc>
          <w:tcPr>
            <w:tcW w:w="1262" w:type="dxa"/>
          </w:tcPr>
          <w:p w14:paraId="2244E9E4" w14:textId="77777777" w:rsidR="001C08A5" w:rsidRDefault="00000000">
            <w:pPr>
              <w:spacing w:line="360" w:lineRule="auto"/>
              <w:jc w:val="center"/>
              <w:rPr>
                <w:b/>
                <w:i/>
                <w:iCs/>
                <w:sz w:val="22"/>
                <w:szCs w:val="22"/>
              </w:rPr>
            </w:pPr>
            <w:r>
              <w:rPr>
                <w:b/>
                <w:i/>
                <w:iCs/>
                <w:sz w:val="22"/>
                <w:szCs w:val="22"/>
              </w:rPr>
              <w:t>REI 120</w:t>
            </w:r>
          </w:p>
        </w:tc>
        <w:tc>
          <w:tcPr>
            <w:tcW w:w="2678" w:type="dxa"/>
            <w:vMerge w:val="restart"/>
          </w:tcPr>
          <w:p w14:paraId="48CD9FDA" w14:textId="77777777" w:rsidR="001C08A5" w:rsidRDefault="00000000">
            <w:pPr>
              <w:jc w:val="center"/>
              <w:rPr>
                <w:i/>
                <w:iCs/>
                <w:sz w:val="22"/>
                <w:szCs w:val="22"/>
              </w:rPr>
            </w:pPr>
            <w:r>
              <w:rPr>
                <w:i/>
                <w:iCs/>
                <w:sz w:val="22"/>
                <w:szCs w:val="22"/>
              </w:rPr>
              <w:t>Parcajele</w:t>
            </w:r>
          </w:p>
          <w:p w14:paraId="137A47BD" w14:textId="77777777" w:rsidR="001C08A5" w:rsidRDefault="00000000">
            <w:pPr>
              <w:jc w:val="center"/>
              <w:rPr>
                <w:i/>
                <w:iCs/>
                <w:sz w:val="22"/>
                <w:szCs w:val="22"/>
              </w:rPr>
            </w:pPr>
            <w:r>
              <w:rPr>
                <w:i/>
                <w:iCs/>
                <w:sz w:val="22"/>
                <w:szCs w:val="22"/>
              </w:rPr>
              <w:t>subterane pentru autoturisme se separă de nivelurile supraterane ale construcţiei conform prevederilor normate.</w:t>
            </w:r>
          </w:p>
        </w:tc>
      </w:tr>
      <w:tr w:rsidR="001C08A5" w14:paraId="0CF9CCFD" w14:textId="77777777">
        <w:tc>
          <w:tcPr>
            <w:tcW w:w="800" w:type="dxa"/>
            <w:vMerge/>
          </w:tcPr>
          <w:p w14:paraId="1AA31961" w14:textId="77777777" w:rsidR="001C08A5" w:rsidRDefault="001C08A5">
            <w:pPr>
              <w:jc w:val="center"/>
              <w:rPr>
                <w:i/>
                <w:iCs/>
                <w:sz w:val="22"/>
                <w:szCs w:val="22"/>
              </w:rPr>
            </w:pPr>
          </w:p>
        </w:tc>
        <w:tc>
          <w:tcPr>
            <w:tcW w:w="2326" w:type="dxa"/>
            <w:vMerge/>
          </w:tcPr>
          <w:p w14:paraId="7E116AF6" w14:textId="77777777" w:rsidR="001C08A5" w:rsidRDefault="001C08A5">
            <w:pPr>
              <w:jc w:val="both"/>
              <w:rPr>
                <w:i/>
                <w:iCs/>
                <w:sz w:val="22"/>
                <w:szCs w:val="22"/>
              </w:rPr>
            </w:pPr>
          </w:p>
        </w:tc>
        <w:tc>
          <w:tcPr>
            <w:tcW w:w="1225" w:type="dxa"/>
          </w:tcPr>
          <w:p w14:paraId="7D415F91" w14:textId="77777777" w:rsidR="001C08A5" w:rsidRDefault="00000000">
            <w:pPr>
              <w:spacing w:line="360" w:lineRule="auto"/>
              <w:jc w:val="center"/>
              <w:rPr>
                <w:b/>
                <w:i/>
                <w:iCs/>
                <w:sz w:val="22"/>
                <w:szCs w:val="22"/>
              </w:rPr>
            </w:pPr>
            <w:r>
              <w:rPr>
                <w:b/>
                <w:i/>
                <w:iCs/>
                <w:sz w:val="22"/>
                <w:szCs w:val="22"/>
              </w:rPr>
              <w:t>II</w:t>
            </w:r>
          </w:p>
        </w:tc>
        <w:tc>
          <w:tcPr>
            <w:tcW w:w="1388" w:type="dxa"/>
          </w:tcPr>
          <w:p w14:paraId="4FFC35C9" w14:textId="77777777" w:rsidR="001C08A5" w:rsidRDefault="00000000">
            <w:pPr>
              <w:spacing w:line="360" w:lineRule="auto"/>
              <w:jc w:val="center"/>
              <w:rPr>
                <w:b/>
                <w:i/>
                <w:iCs/>
                <w:sz w:val="22"/>
                <w:szCs w:val="22"/>
              </w:rPr>
            </w:pPr>
            <w:r>
              <w:rPr>
                <w:b/>
                <w:i/>
                <w:iCs/>
                <w:sz w:val="22"/>
                <w:szCs w:val="22"/>
              </w:rPr>
              <w:t>EI/REI 90</w:t>
            </w:r>
          </w:p>
        </w:tc>
        <w:tc>
          <w:tcPr>
            <w:tcW w:w="1262" w:type="dxa"/>
          </w:tcPr>
          <w:p w14:paraId="19A84074" w14:textId="77777777" w:rsidR="001C08A5" w:rsidRDefault="00000000">
            <w:pPr>
              <w:spacing w:line="360" w:lineRule="auto"/>
              <w:jc w:val="center"/>
              <w:rPr>
                <w:b/>
                <w:i/>
                <w:iCs/>
                <w:sz w:val="22"/>
                <w:szCs w:val="22"/>
              </w:rPr>
            </w:pPr>
            <w:r>
              <w:rPr>
                <w:b/>
                <w:i/>
                <w:iCs/>
                <w:sz w:val="22"/>
                <w:szCs w:val="22"/>
              </w:rPr>
              <w:t>REI 60</w:t>
            </w:r>
          </w:p>
        </w:tc>
        <w:tc>
          <w:tcPr>
            <w:tcW w:w="2678" w:type="dxa"/>
            <w:vMerge/>
          </w:tcPr>
          <w:p w14:paraId="66BD7336" w14:textId="77777777" w:rsidR="001C08A5" w:rsidRDefault="001C08A5">
            <w:pPr>
              <w:jc w:val="both"/>
              <w:rPr>
                <w:i/>
                <w:iCs/>
                <w:sz w:val="22"/>
                <w:szCs w:val="22"/>
              </w:rPr>
            </w:pPr>
          </w:p>
        </w:tc>
      </w:tr>
      <w:tr w:rsidR="001C08A5" w14:paraId="489F7EEF" w14:textId="77777777">
        <w:tc>
          <w:tcPr>
            <w:tcW w:w="800" w:type="dxa"/>
            <w:vMerge/>
          </w:tcPr>
          <w:p w14:paraId="6639CEBD" w14:textId="77777777" w:rsidR="001C08A5" w:rsidRDefault="001C08A5">
            <w:pPr>
              <w:jc w:val="center"/>
              <w:rPr>
                <w:i/>
                <w:iCs/>
                <w:sz w:val="22"/>
                <w:szCs w:val="22"/>
              </w:rPr>
            </w:pPr>
          </w:p>
        </w:tc>
        <w:tc>
          <w:tcPr>
            <w:tcW w:w="2326" w:type="dxa"/>
            <w:vMerge/>
          </w:tcPr>
          <w:p w14:paraId="52BD17C7" w14:textId="77777777" w:rsidR="001C08A5" w:rsidRDefault="001C08A5">
            <w:pPr>
              <w:jc w:val="both"/>
              <w:rPr>
                <w:i/>
                <w:iCs/>
                <w:sz w:val="22"/>
                <w:szCs w:val="22"/>
              </w:rPr>
            </w:pPr>
          </w:p>
        </w:tc>
        <w:tc>
          <w:tcPr>
            <w:tcW w:w="1225" w:type="dxa"/>
          </w:tcPr>
          <w:p w14:paraId="3B461572" w14:textId="77777777" w:rsidR="001C08A5" w:rsidRDefault="00000000">
            <w:pPr>
              <w:spacing w:line="360" w:lineRule="auto"/>
              <w:jc w:val="center"/>
              <w:rPr>
                <w:b/>
                <w:i/>
                <w:iCs/>
                <w:sz w:val="22"/>
                <w:szCs w:val="22"/>
              </w:rPr>
            </w:pPr>
            <w:r>
              <w:rPr>
                <w:b/>
                <w:i/>
                <w:iCs/>
                <w:sz w:val="22"/>
                <w:szCs w:val="22"/>
              </w:rPr>
              <w:t>III</w:t>
            </w:r>
          </w:p>
        </w:tc>
        <w:tc>
          <w:tcPr>
            <w:tcW w:w="1388" w:type="dxa"/>
          </w:tcPr>
          <w:p w14:paraId="0AB17C53" w14:textId="77777777" w:rsidR="001C08A5" w:rsidRDefault="00000000">
            <w:pPr>
              <w:spacing w:line="360" w:lineRule="auto"/>
              <w:jc w:val="center"/>
              <w:rPr>
                <w:b/>
                <w:i/>
                <w:iCs/>
                <w:sz w:val="22"/>
                <w:szCs w:val="22"/>
              </w:rPr>
            </w:pPr>
            <w:r>
              <w:rPr>
                <w:b/>
                <w:i/>
                <w:iCs/>
                <w:sz w:val="22"/>
                <w:szCs w:val="22"/>
              </w:rPr>
              <w:t>EI/REI 60</w:t>
            </w:r>
          </w:p>
        </w:tc>
        <w:tc>
          <w:tcPr>
            <w:tcW w:w="1262" w:type="dxa"/>
          </w:tcPr>
          <w:p w14:paraId="55FB41AF" w14:textId="77777777" w:rsidR="001C08A5" w:rsidRDefault="00000000">
            <w:pPr>
              <w:spacing w:line="360" w:lineRule="auto"/>
              <w:jc w:val="center"/>
              <w:rPr>
                <w:b/>
                <w:i/>
                <w:iCs/>
                <w:sz w:val="22"/>
                <w:szCs w:val="22"/>
              </w:rPr>
            </w:pPr>
            <w:r>
              <w:rPr>
                <w:b/>
                <w:i/>
                <w:iCs/>
                <w:sz w:val="22"/>
                <w:szCs w:val="22"/>
              </w:rPr>
              <w:t>REI 45</w:t>
            </w:r>
          </w:p>
        </w:tc>
        <w:tc>
          <w:tcPr>
            <w:tcW w:w="2678" w:type="dxa"/>
            <w:vMerge/>
          </w:tcPr>
          <w:p w14:paraId="2313C5FF" w14:textId="77777777" w:rsidR="001C08A5" w:rsidRDefault="001C08A5">
            <w:pPr>
              <w:jc w:val="both"/>
              <w:rPr>
                <w:i/>
                <w:iCs/>
                <w:sz w:val="22"/>
                <w:szCs w:val="22"/>
              </w:rPr>
            </w:pPr>
          </w:p>
        </w:tc>
      </w:tr>
      <w:tr w:rsidR="001C08A5" w14:paraId="30EEFD11" w14:textId="77777777">
        <w:tc>
          <w:tcPr>
            <w:tcW w:w="800" w:type="dxa"/>
            <w:vMerge/>
          </w:tcPr>
          <w:p w14:paraId="29D5729D" w14:textId="77777777" w:rsidR="001C08A5" w:rsidRDefault="001C08A5">
            <w:pPr>
              <w:jc w:val="center"/>
              <w:rPr>
                <w:i/>
                <w:iCs/>
                <w:sz w:val="22"/>
                <w:szCs w:val="22"/>
              </w:rPr>
            </w:pPr>
          </w:p>
        </w:tc>
        <w:tc>
          <w:tcPr>
            <w:tcW w:w="2326" w:type="dxa"/>
            <w:vMerge/>
          </w:tcPr>
          <w:p w14:paraId="7C9AB810" w14:textId="77777777" w:rsidR="001C08A5" w:rsidRDefault="001C08A5">
            <w:pPr>
              <w:jc w:val="both"/>
              <w:rPr>
                <w:i/>
                <w:iCs/>
                <w:sz w:val="22"/>
                <w:szCs w:val="22"/>
              </w:rPr>
            </w:pPr>
          </w:p>
        </w:tc>
        <w:tc>
          <w:tcPr>
            <w:tcW w:w="1225" w:type="dxa"/>
          </w:tcPr>
          <w:p w14:paraId="56944582" w14:textId="77777777" w:rsidR="001C08A5" w:rsidRDefault="00000000">
            <w:pPr>
              <w:spacing w:line="360" w:lineRule="auto"/>
              <w:jc w:val="center"/>
              <w:rPr>
                <w:b/>
                <w:i/>
                <w:iCs/>
                <w:sz w:val="22"/>
                <w:szCs w:val="22"/>
              </w:rPr>
            </w:pPr>
            <w:r>
              <w:rPr>
                <w:b/>
                <w:i/>
                <w:iCs/>
                <w:sz w:val="22"/>
                <w:szCs w:val="22"/>
              </w:rPr>
              <w:t>IV</w:t>
            </w:r>
          </w:p>
        </w:tc>
        <w:tc>
          <w:tcPr>
            <w:tcW w:w="1388" w:type="dxa"/>
          </w:tcPr>
          <w:p w14:paraId="113B6445" w14:textId="77777777" w:rsidR="001C08A5" w:rsidRDefault="00000000">
            <w:pPr>
              <w:spacing w:line="360" w:lineRule="auto"/>
              <w:jc w:val="center"/>
              <w:rPr>
                <w:b/>
                <w:i/>
                <w:iCs/>
                <w:sz w:val="22"/>
                <w:szCs w:val="22"/>
              </w:rPr>
            </w:pPr>
            <w:r>
              <w:rPr>
                <w:b/>
                <w:i/>
                <w:iCs/>
                <w:sz w:val="22"/>
                <w:szCs w:val="22"/>
              </w:rPr>
              <w:t>EI/REI 30</w:t>
            </w:r>
          </w:p>
        </w:tc>
        <w:tc>
          <w:tcPr>
            <w:tcW w:w="1262" w:type="dxa"/>
          </w:tcPr>
          <w:p w14:paraId="2E826EF4" w14:textId="77777777" w:rsidR="001C08A5" w:rsidRDefault="00000000">
            <w:pPr>
              <w:spacing w:line="360" w:lineRule="auto"/>
              <w:jc w:val="center"/>
              <w:rPr>
                <w:b/>
                <w:i/>
                <w:iCs/>
                <w:sz w:val="22"/>
                <w:szCs w:val="22"/>
              </w:rPr>
            </w:pPr>
            <w:r>
              <w:rPr>
                <w:b/>
                <w:i/>
                <w:iCs/>
                <w:sz w:val="22"/>
                <w:szCs w:val="22"/>
              </w:rPr>
              <w:t>REI 30</w:t>
            </w:r>
          </w:p>
        </w:tc>
        <w:tc>
          <w:tcPr>
            <w:tcW w:w="2678" w:type="dxa"/>
            <w:vMerge/>
          </w:tcPr>
          <w:p w14:paraId="5CE74FD8" w14:textId="77777777" w:rsidR="001C08A5" w:rsidRDefault="001C08A5">
            <w:pPr>
              <w:jc w:val="both"/>
              <w:rPr>
                <w:i/>
                <w:iCs/>
                <w:sz w:val="22"/>
                <w:szCs w:val="22"/>
              </w:rPr>
            </w:pPr>
          </w:p>
        </w:tc>
      </w:tr>
      <w:tr w:rsidR="001C08A5" w14:paraId="6429F2A9" w14:textId="77777777">
        <w:tc>
          <w:tcPr>
            <w:tcW w:w="800" w:type="dxa"/>
            <w:vMerge/>
          </w:tcPr>
          <w:p w14:paraId="5B6F48B8" w14:textId="77777777" w:rsidR="001C08A5" w:rsidRDefault="001C08A5">
            <w:pPr>
              <w:jc w:val="center"/>
              <w:rPr>
                <w:i/>
                <w:iCs/>
                <w:sz w:val="22"/>
                <w:szCs w:val="22"/>
              </w:rPr>
            </w:pPr>
          </w:p>
        </w:tc>
        <w:tc>
          <w:tcPr>
            <w:tcW w:w="2326" w:type="dxa"/>
            <w:vMerge/>
          </w:tcPr>
          <w:p w14:paraId="5745A8FD" w14:textId="77777777" w:rsidR="001C08A5" w:rsidRDefault="001C08A5">
            <w:pPr>
              <w:jc w:val="both"/>
              <w:rPr>
                <w:i/>
                <w:iCs/>
                <w:sz w:val="22"/>
                <w:szCs w:val="22"/>
              </w:rPr>
            </w:pPr>
          </w:p>
        </w:tc>
        <w:tc>
          <w:tcPr>
            <w:tcW w:w="1225" w:type="dxa"/>
          </w:tcPr>
          <w:p w14:paraId="2670CC33" w14:textId="77777777" w:rsidR="001C08A5" w:rsidRDefault="00000000">
            <w:pPr>
              <w:spacing w:line="360" w:lineRule="auto"/>
              <w:jc w:val="center"/>
              <w:rPr>
                <w:i/>
                <w:iCs/>
                <w:sz w:val="22"/>
                <w:szCs w:val="22"/>
              </w:rPr>
            </w:pPr>
            <w:r>
              <w:rPr>
                <w:b/>
                <w:i/>
                <w:iCs/>
                <w:sz w:val="22"/>
                <w:szCs w:val="22"/>
              </w:rPr>
              <w:t>V</w:t>
            </w:r>
          </w:p>
        </w:tc>
        <w:tc>
          <w:tcPr>
            <w:tcW w:w="1388" w:type="dxa"/>
          </w:tcPr>
          <w:p w14:paraId="505695A5" w14:textId="77777777" w:rsidR="001C08A5" w:rsidRDefault="00000000">
            <w:pPr>
              <w:spacing w:line="360" w:lineRule="auto"/>
              <w:jc w:val="center"/>
              <w:rPr>
                <w:i/>
                <w:iCs/>
                <w:sz w:val="22"/>
                <w:szCs w:val="22"/>
              </w:rPr>
            </w:pPr>
            <w:r>
              <w:rPr>
                <w:b/>
                <w:i/>
                <w:iCs/>
                <w:sz w:val="22"/>
                <w:szCs w:val="22"/>
              </w:rPr>
              <w:t>EI/REI 15</w:t>
            </w:r>
          </w:p>
        </w:tc>
        <w:tc>
          <w:tcPr>
            <w:tcW w:w="1262" w:type="dxa"/>
          </w:tcPr>
          <w:p w14:paraId="24B7C1F8" w14:textId="77777777" w:rsidR="001C08A5" w:rsidRDefault="00000000">
            <w:pPr>
              <w:spacing w:line="360" w:lineRule="auto"/>
              <w:jc w:val="center"/>
              <w:rPr>
                <w:i/>
                <w:iCs/>
                <w:sz w:val="22"/>
                <w:szCs w:val="22"/>
              </w:rPr>
            </w:pPr>
            <w:r>
              <w:rPr>
                <w:b/>
                <w:i/>
                <w:iCs/>
                <w:sz w:val="22"/>
                <w:szCs w:val="22"/>
              </w:rPr>
              <w:t>REI 30</w:t>
            </w:r>
          </w:p>
        </w:tc>
        <w:tc>
          <w:tcPr>
            <w:tcW w:w="2678" w:type="dxa"/>
            <w:vMerge/>
          </w:tcPr>
          <w:p w14:paraId="38991791" w14:textId="77777777" w:rsidR="001C08A5" w:rsidRDefault="001C08A5">
            <w:pPr>
              <w:jc w:val="both"/>
              <w:rPr>
                <w:i/>
                <w:iCs/>
                <w:sz w:val="22"/>
                <w:szCs w:val="22"/>
              </w:rPr>
            </w:pPr>
          </w:p>
        </w:tc>
      </w:tr>
      <w:tr w:rsidR="001C08A5" w14:paraId="308A3419" w14:textId="77777777">
        <w:tc>
          <w:tcPr>
            <w:tcW w:w="800" w:type="dxa"/>
            <w:vMerge w:val="restart"/>
          </w:tcPr>
          <w:p w14:paraId="384F2732" w14:textId="77777777" w:rsidR="001C08A5" w:rsidRDefault="001C08A5">
            <w:pPr>
              <w:jc w:val="center"/>
              <w:rPr>
                <w:i/>
                <w:iCs/>
                <w:sz w:val="22"/>
                <w:szCs w:val="22"/>
              </w:rPr>
            </w:pPr>
          </w:p>
          <w:p w14:paraId="4F9F6EEC" w14:textId="77777777" w:rsidR="001C08A5" w:rsidRDefault="001C08A5">
            <w:pPr>
              <w:jc w:val="center"/>
              <w:rPr>
                <w:i/>
                <w:iCs/>
                <w:sz w:val="22"/>
                <w:szCs w:val="22"/>
              </w:rPr>
            </w:pPr>
          </w:p>
          <w:p w14:paraId="326F31B2" w14:textId="77777777" w:rsidR="001C08A5" w:rsidRDefault="00000000">
            <w:pPr>
              <w:jc w:val="center"/>
              <w:rPr>
                <w:i/>
                <w:iCs/>
                <w:sz w:val="22"/>
                <w:szCs w:val="22"/>
              </w:rPr>
            </w:pPr>
            <w:r>
              <w:rPr>
                <w:i/>
                <w:iCs/>
                <w:sz w:val="22"/>
                <w:szCs w:val="22"/>
              </w:rPr>
              <w:t>2.</w:t>
            </w:r>
          </w:p>
        </w:tc>
        <w:tc>
          <w:tcPr>
            <w:tcW w:w="2326" w:type="dxa"/>
            <w:vMerge w:val="restart"/>
          </w:tcPr>
          <w:p w14:paraId="6ED24AF5" w14:textId="77777777" w:rsidR="001C08A5" w:rsidRDefault="00000000">
            <w:pPr>
              <w:jc w:val="both"/>
              <w:rPr>
                <w:i/>
                <w:iCs/>
                <w:sz w:val="22"/>
                <w:szCs w:val="22"/>
              </w:rPr>
            </w:pPr>
            <w:r>
              <w:rPr>
                <w:i/>
                <w:iCs/>
                <w:sz w:val="22"/>
                <w:szCs w:val="22"/>
              </w:rPr>
              <w:t>Elemente de separare a anexelor tehnice faţă de restul construcţiei.</w:t>
            </w:r>
          </w:p>
        </w:tc>
        <w:tc>
          <w:tcPr>
            <w:tcW w:w="1225" w:type="dxa"/>
          </w:tcPr>
          <w:p w14:paraId="14929C48" w14:textId="77777777" w:rsidR="001C08A5" w:rsidRDefault="00000000">
            <w:pPr>
              <w:jc w:val="center"/>
              <w:rPr>
                <w:b/>
                <w:i/>
                <w:iCs/>
                <w:sz w:val="22"/>
                <w:szCs w:val="22"/>
              </w:rPr>
            </w:pPr>
            <w:r>
              <w:rPr>
                <w:b/>
                <w:i/>
                <w:iCs/>
                <w:sz w:val="22"/>
                <w:szCs w:val="22"/>
              </w:rPr>
              <w:t>I</w:t>
            </w:r>
          </w:p>
        </w:tc>
        <w:tc>
          <w:tcPr>
            <w:tcW w:w="1388" w:type="dxa"/>
          </w:tcPr>
          <w:p w14:paraId="5782329F" w14:textId="77777777" w:rsidR="001C08A5" w:rsidRDefault="00000000">
            <w:pPr>
              <w:jc w:val="center"/>
              <w:rPr>
                <w:b/>
                <w:i/>
                <w:iCs/>
                <w:sz w:val="22"/>
                <w:szCs w:val="22"/>
              </w:rPr>
            </w:pPr>
            <w:r>
              <w:rPr>
                <w:b/>
                <w:i/>
                <w:iCs/>
                <w:sz w:val="22"/>
                <w:szCs w:val="22"/>
              </w:rPr>
              <w:t>EI/REI 120</w:t>
            </w:r>
          </w:p>
        </w:tc>
        <w:tc>
          <w:tcPr>
            <w:tcW w:w="1262" w:type="dxa"/>
          </w:tcPr>
          <w:p w14:paraId="38DCEE01" w14:textId="77777777" w:rsidR="001C08A5" w:rsidRDefault="00000000">
            <w:pPr>
              <w:jc w:val="center"/>
              <w:rPr>
                <w:b/>
                <w:i/>
                <w:iCs/>
                <w:sz w:val="22"/>
                <w:szCs w:val="22"/>
              </w:rPr>
            </w:pPr>
            <w:r>
              <w:rPr>
                <w:b/>
                <w:i/>
                <w:iCs/>
                <w:sz w:val="22"/>
                <w:szCs w:val="22"/>
              </w:rPr>
              <w:t>REI 120</w:t>
            </w:r>
          </w:p>
        </w:tc>
        <w:tc>
          <w:tcPr>
            <w:tcW w:w="2678" w:type="dxa"/>
            <w:vMerge w:val="restart"/>
          </w:tcPr>
          <w:p w14:paraId="0EA379F4" w14:textId="77777777" w:rsidR="001C08A5" w:rsidRDefault="00000000">
            <w:pPr>
              <w:jc w:val="center"/>
              <w:rPr>
                <w:i/>
                <w:iCs/>
                <w:sz w:val="22"/>
                <w:szCs w:val="22"/>
              </w:rPr>
            </w:pPr>
            <w:r>
              <w:rPr>
                <w:i/>
                <w:iCs/>
                <w:sz w:val="22"/>
                <w:szCs w:val="22"/>
              </w:rPr>
              <w:t>Prevazute cu uși în functie de risc de incendiu si/sau conform prevederi  privind performanțele comune</w:t>
            </w:r>
          </w:p>
        </w:tc>
      </w:tr>
      <w:tr w:rsidR="001C08A5" w14:paraId="34CCDD05" w14:textId="77777777">
        <w:tc>
          <w:tcPr>
            <w:tcW w:w="800" w:type="dxa"/>
            <w:vMerge/>
          </w:tcPr>
          <w:p w14:paraId="40FD6E3C" w14:textId="77777777" w:rsidR="001C08A5" w:rsidRDefault="001C08A5">
            <w:pPr>
              <w:jc w:val="both"/>
              <w:rPr>
                <w:i/>
                <w:iCs/>
                <w:sz w:val="22"/>
                <w:szCs w:val="22"/>
              </w:rPr>
            </w:pPr>
          </w:p>
        </w:tc>
        <w:tc>
          <w:tcPr>
            <w:tcW w:w="2326" w:type="dxa"/>
            <w:vMerge/>
          </w:tcPr>
          <w:p w14:paraId="557AD4C1" w14:textId="77777777" w:rsidR="001C08A5" w:rsidRDefault="001C08A5">
            <w:pPr>
              <w:jc w:val="both"/>
              <w:rPr>
                <w:i/>
                <w:iCs/>
                <w:sz w:val="22"/>
                <w:szCs w:val="22"/>
              </w:rPr>
            </w:pPr>
          </w:p>
        </w:tc>
        <w:tc>
          <w:tcPr>
            <w:tcW w:w="1225" w:type="dxa"/>
          </w:tcPr>
          <w:p w14:paraId="6440CB99" w14:textId="77777777" w:rsidR="001C08A5" w:rsidRDefault="00000000">
            <w:pPr>
              <w:jc w:val="center"/>
              <w:rPr>
                <w:b/>
                <w:i/>
                <w:iCs/>
                <w:sz w:val="22"/>
                <w:szCs w:val="22"/>
              </w:rPr>
            </w:pPr>
            <w:r>
              <w:rPr>
                <w:b/>
                <w:i/>
                <w:iCs/>
                <w:sz w:val="22"/>
                <w:szCs w:val="22"/>
              </w:rPr>
              <w:t>II</w:t>
            </w:r>
          </w:p>
        </w:tc>
        <w:tc>
          <w:tcPr>
            <w:tcW w:w="1388" w:type="dxa"/>
          </w:tcPr>
          <w:p w14:paraId="24CFA478" w14:textId="77777777" w:rsidR="001C08A5" w:rsidRDefault="00000000">
            <w:pPr>
              <w:jc w:val="center"/>
              <w:rPr>
                <w:b/>
                <w:i/>
                <w:iCs/>
                <w:sz w:val="22"/>
                <w:szCs w:val="22"/>
              </w:rPr>
            </w:pPr>
            <w:r>
              <w:rPr>
                <w:b/>
                <w:i/>
                <w:iCs/>
                <w:sz w:val="22"/>
                <w:szCs w:val="22"/>
              </w:rPr>
              <w:t>EI/REI 90</w:t>
            </w:r>
          </w:p>
        </w:tc>
        <w:tc>
          <w:tcPr>
            <w:tcW w:w="1262" w:type="dxa"/>
          </w:tcPr>
          <w:p w14:paraId="4CE55B0C" w14:textId="77777777" w:rsidR="001C08A5" w:rsidRDefault="00000000">
            <w:pPr>
              <w:jc w:val="center"/>
              <w:rPr>
                <w:b/>
                <w:i/>
                <w:iCs/>
                <w:sz w:val="22"/>
                <w:szCs w:val="22"/>
              </w:rPr>
            </w:pPr>
            <w:r>
              <w:rPr>
                <w:b/>
                <w:i/>
                <w:iCs/>
                <w:sz w:val="22"/>
                <w:szCs w:val="22"/>
              </w:rPr>
              <w:t>REI 90</w:t>
            </w:r>
          </w:p>
        </w:tc>
        <w:tc>
          <w:tcPr>
            <w:tcW w:w="2678" w:type="dxa"/>
            <w:vMerge/>
          </w:tcPr>
          <w:p w14:paraId="15E2B1D4" w14:textId="77777777" w:rsidR="001C08A5" w:rsidRDefault="001C08A5">
            <w:pPr>
              <w:jc w:val="both"/>
              <w:rPr>
                <w:i/>
                <w:iCs/>
                <w:sz w:val="22"/>
                <w:szCs w:val="22"/>
              </w:rPr>
            </w:pPr>
          </w:p>
        </w:tc>
      </w:tr>
      <w:tr w:rsidR="001C08A5" w14:paraId="5DE85C98" w14:textId="77777777">
        <w:tc>
          <w:tcPr>
            <w:tcW w:w="800" w:type="dxa"/>
            <w:vMerge/>
          </w:tcPr>
          <w:p w14:paraId="3247DBD7" w14:textId="77777777" w:rsidR="001C08A5" w:rsidRDefault="001C08A5">
            <w:pPr>
              <w:jc w:val="both"/>
              <w:rPr>
                <w:i/>
                <w:iCs/>
                <w:sz w:val="22"/>
                <w:szCs w:val="22"/>
              </w:rPr>
            </w:pPr>
          </w:p>
        </w:tc>
        <w:tc>
          <w:tcPr>
            <w:tcW w:w="2326" w:type="dxa"/>
            <w:vMerge/>
          </w:tcPr>
          <w:p w14:paraId="09C9847A" w14:textId="77777777" w:rsidR="001C08A5" w:rsidRDefault="001C08A5">
            <w:pPr>
              <w:jc w:val="both"/>
              <w:rPr>
                <w:i/>
                <w:iCs/>
                <w:sz w:val="22"/>
                <w:szCs w:val="22"/>
              </w:rPr>
            </w:pPr>
          </w:p>
        </w:tc>
        <w:tc>
          <w:tcPr>
            <w:tcW w:w="1225" w:type="dxa"/>
          </w:tcPr>
          <w:p w14:paraId="12EBE6BC" w14:textId="77777777" w:rsidR="001C08A5" w:rsidRDefault="00000000">
            <w:pPr>
              <w:jc w:val="center"/>
              <w:rPr>
                <w:b/>
                <w:i/>
                <w:iCs/>
                <w:sz w:val="22"/>
                <w:szCs w:val="22"/>
              </w:rPr>
            </w:pPr>
            <w:r>
              <w:rPr>
                <w:b/>
                <w:i/>
                <w:iCs/>
                <w:sz w:val="22"/>
                <w:szCs w:val="22"/>
              </w:rPr>
              <w:t>III</w:t>
            </w:r>
          </w:p>
        </w:tc>
        <w:tc>
          <w:tcPr>
            <w:tcW w:w="1388" w:type="dxa"/>
          </w:tcPr>
          <w:p w14:paraId="7EFF666D" w14:textId="77777777" w:rsidR="001C08A5" w:rsidRDefault="00000000">
            <w:pPr>
              <w:jc w:val="center"/>
              <w:rPr>
                <w:b/>
                <w:i/>
                <w:iCs/>
                <w:sz w:val="22"/>
                <w:szCs w:val="22"/>
              </w:rPr>
            </w:pPr>
            <w:r>
              <w:rPr>
                <w:b/>
                <w:i/>
                <w:iCs/>
                <w:sz w:val="22"/>
                <w:szCs w:val="22"/>
              </w:rPr>
              <w:t>EI/REI 60</w:t>
            </w:r>
          </w:p>
        </w:tc>
        <w:tc>
          <w:tcPr>
            <w:tcW w:w="1262" w:type="dxa"/>
          </w:tcPr>
          <w:p w14:paraId="27096347" w14:textId="77777777" w:rsidR="001C08A5" w:rsidRDefault="00000000">
            <w:pPr>
              <w:jc w:val="center"/>
              <w:rPr>
                <w:b/>
                <w:i/>
                <w:iCs/>
                <w:sz w:val="22"/>
                <w:szCs w:val="22"/>
              </w:rPr>
            </w:pPr>
            <w:r>
              <w:rPr>
                <w:b/>
                <w:i/>
                <w:iCs/>
                <w:sz w:val="22"/>
                <w:szCs w:val="22"/>
              </w:rPr>
              <w:t>REI 60</w:t>
            </w:r>
          </w:p>
        </w:tc>
        <w:tc>
          <w:tcPr>
            <w:tcW w:w="2678" w:type="dxa"/>
            <w:vMerge/>
          </w:tcPr>
          <w:p w14:paraId="2E32620D" w14:textId="77777777" w:rsidR="001C08A5" w:rsidRDefault="001C08A5">
            <w:pPr>
              <w:jc w:val="both"/>
              <w:rPr>
                <w:i/>
                <w:iCs/>
                <w:sz w:val="22"/>
                <w:szCs w:val="22"/>
              </w:rPr>
            </w:pPr>
          </w:p>
        </w:tc>
      </w:tr>
      <w:tr w:rsidR="001C08A5" w14:paraId="1E851052" w14:textId="77777777">
        <w:tc>
          <w:tcPr>
            <w:tcW w:w="800" w:type="dxa"/>
            <w:vMerge/>
          </w:tcPr>
          <w:p w14:paraId="36352530" w14:textId="77777777" w:rsidR="001C08A5" w:rsidRDefault="001C08A5">
            <w:pPr>
              <w:jc w:val="both"/>
              <w:rPr>
                <w:i/>
                <w:iCs/>
                <w:sz w:val="22"/>
                <w:szCs w:val="22"/>
              </w:rPr>
            </w:pPr>
          </w:p>
        </w:tc>
        <w:tc>
          <w:tcPr>
            <w:tcW w:w="2326" w:type="dxa"/>
            <w:vMerge/>
          </w:tcPr>
          <w:p w14:paraId="2FE0607B" w14:textId="77777777" w:rsidR="001C08A5" w:rsidRDefault="001C08A5">
            <w:pPr>
              <w:jc w:val="both"/>
              <w:rPr>
                <w:i/>
                <w:iCs/>
                <w:sz w:val="22"/>
                <w:szCs w:val="22"/>
              </w:rPr>
            </w:pPr>
          </w:p>
        </w:tc>
        <w:tc>
          <w:tcPr>
            <w:tcW w:w="1225" w:type="dxa"/>
          </w:tcPr>
          <w:p w14:paraId="4DE21172" w14:textId="77777777" w:rsidR="001C08A5" w:rsidRDefault="00000000">
            <w:pPr>
              <w:jc w:val="center"/>
              <w:rPr>
                <w:b/>
                <w:i/>
                <w:iCs/>
                <w:sz w:val="22"/>
                <w:szCs w:val="22"/>
              </w:rPr>
            </w:pPr>
            <w:r>
              <w:rPr>
                <w:b/>
                <w:i/>
                <w:iCs/>
                <w:sz w:val="22"/>
                <w:szCs w:val="22"/>
              </w:rPr>
              <w:t>IV</w:t>
            </w:r>
          </w:p>
        </w:tc>
        <w:tc>
          <w:tcPr>
            <w:tcW w:w="1388" w:type="dxa"/>
          </w:tcPr>
          <w:p w14:paraId="74C4162E" w14:textId="77777777" w:rsidR="001C08A5" w:rsidRDefault="00000000">
            <w:pPr>
              <w:jc w:val="center"/>
              <w:rPr>
                <w:b/>
                <w:i/>
                <w:iCs/>
                <w:sz w:val="22"/>
                <w:szCs w:val="22"/>
              </w:rPr>
            </w:pPr>
            <w:r>
              <w:rPr>
                <w:b/>
                <w:i/>
                <w:iCs/>
                <w:sz w:val="22"/>
                <w:szCs w:val="22"/>
              </w:rPr>
              <w:t>EI/REI 30</w:t>
            </w:r>
          </w:p>
        </w:tc>
        <w:tc>
          <w:tcPr>
            <w:tcW w:w="1262" w:type="dxa"/>
          </w:tcPr>
          <w:p w14:paraId="2193E5C3" w14:textId="77777777" w:rsidR="001C08A5" w:rsidRDefault="00000000">
            <w:pPr>
              <w:jc w:val="center"/>
              <w:rPr>
                <w:b/>
                <w:i/>
                <w:iCs/>
                <w:sz w:val="22"/>
                <w:szCs w:val="22"/>
              </w:rPr>
            </w:pPr>
            <w:r>
              <w:rPr>
                <w:b/>
                <w:i/>
                <w:iCs/>
                <w:sz w:val="22"/>
                <w:szCs w:val="22"/>
              </w:rPr>
              <w:t>REI 30</w:t>
            </w:r>
          </w:p>
        </w:tc>
        <w:tc>
          <w:tcPr>
            <w:tcW w:w="2678" w:type="dxa"/>
            <w:vMerge/>
          </w:tcPr>
          <w:p w14:paraId="41E237D7" w14:textId="77777777" w:rsidR="001C08A5" w:rsidRDefault="001C08A5">
            <w:pPr>
              <w:jc w:val="both"/>
              <w:rPr>
                <w:i/>
                <w:iCs/>
                <w:sz w:val="22"/>
                <w:szCs w:val="22"/>
              </w:rPr>
            </w:pPr>
          </w:p>
        </w:tc>
      </w:tr>
      <w:tr w:rsidR="001C08A5" w14:paraId="4068D351" w14:textId="77777777">
        <w:trPr>
          <w:trHeight w:val="207"/>
        </w:trPr>
        <w:tc>
          <w:tcPr>
            <w:tcW w:w="800" w:type="dxa"/>
            <w:vMerge/>
          </w:tcPr>
          <w:p w14:paraId="71CFCBC3" w14:textId="77777777" w:rsidR="001C08A5" w:rsidRDefault="001C08A5">
            <w:pPr>
              <w:jc w:val="both"/>
              <w:rPr>
                <w:i/>
                <w:iCs/>
                <w:sz w:val="22"/>
                <w:szCs w:val="22"/>
              </w:rPr>
            </w:pPr>
          </w:p>
        </w:tc>
        <w:tc>
          <w:tcPr>
            <w:tcW w:w="2326" w:type="dxa"/>
            <w:vMerge/>
          </w:tcPr>
          <w:p w14:paraId="4BC8FDF6" w14:textId="77777777" w:rsidR="001C08A5" w:rsidRDefault="001C08A5">
            <w:pPr>
              <w:jc w:val="both"/>
              <w:rPr>
                <w:i/>
                <w:iCs/>
                <w:sz w:val="22"/>
                <w:szCs w:val="22"/>
              </w:rPr>
            </w:pPr>
          </w:p>
        </w:tc>
        <w:tc>
          <w:tcPr>
            <w:tcW w:w="1225" w:type="dxa"/>
          </w:tcPr>
          <w:p w14:paraId="78C3A599" w14:textId="77777777" w:rsidR="001C08A5" w:rsidRDefault="00000000">
            <w:pPr>
              <w:jc w:val="center"/>
              <w:rPr>
                <w:i/>
                <w:iCs/>
                <w:sz w:val="22"/>
                <w:szCs w:val="22"/>
              </w:rPr>
            </w:pPr>
            <w:r>
              <w:rPr>
                <w:b/>
                <w:i/>
                <w:iCs/>
                <w:sz w:val="22"/>
                <w:szCs w:val="22"/>
              </w:rPr>
              <w:t>V</w:t>
            </w:r>
          </w:p>
        </w:tc>
        <w:tc>
          <w:tcPr>
            <w:tcW w:w="1388" w:type="dxa"/>
          </w:tcPr>
          <w:p w14:paraId="04B4D99E" w14:textId="77777777" w:rsidR="001C08A5" w:rsidRDefault="00000000">
            <w:pPr>
              <w:jc w:val="center"/>
              <w:rPr>
                <w:i/>
                <w:iCs/>
                <w:sz w:val="22"/>
                <w:szCs w:val="22"/>
              </w:rPr>
            </w:pPr>
            <w:r>
              <w:rPr>
                <w:b/>
                <w:i/>
                <w:iCs/>
                <w:sz w:val="22"/>
                <w:szCs w:val="22"/>
              </w:rPr>
              <w:t>EI/REI 30</w:t>
            </w:r>
          </w:p>
        </w:tc>
        <w:tc>
          <w:tcPr>
            <w:tcW w:w="1262" w:type="dxa"/>
          </w:tcPr>
          <w:p w14:paraId="290D3FC4" w14:textId="77777777" w:rsidR="001C08A5" w:rsidRDefault="00000000">
            <w:pPr>
              <w:jc w:val="center"/>
              <w:rPr>
                <w:i/>
                <w:iCs/>
                <w:sz w:val="22"/>
                <w:szCs w:val="22"/>
              </w:rPr>
            </w:pPr>
            <w:r>
              <w:rPr>
                <w:b/>
                <w:i/>
                <w:iCs/>
                <w:sz w:val="22"/>
                <w:szCs w:val="22"/>
              </w:rPr>
              <w:t>REI 30</w:t>
            </w:r>
          </w:p>
        </w:tc>
        <w:tc>
          <w:tcPr>
            <w:tcW w:w="2678" w:type="dxa"/>
            <w:vMerge/>
          </w:tcPr>
          <w:p w14:paraId="7C5412F9" w14:textId="77777777" w:rsidR="001C08A5" w:rsidRDefault="001C08A5">
            <w:pPr>
              <w:jc w:val="both"/>
              <w:rPr>
                <w:i/>
                <w:iCs/>
                <w:sz w:val="22"/>
                <w:szCs w:val="22"/>
              </w:rPr>
            </w:pPr>
          </w:p>
        </w:tc>
      </w:tr>
    </w:tbl>
    <w:p w14:paraId="107FA3D2" w14:textId="77777777" w:rsidR="001C08A5" w:rsidRDefault="001C08A5">
      <w:pPr>
        <w:jc w:val="both"/>
        <w:rPr>
          <w:sz w:val="24"/>
          <w:szCs w:val="24"/>
        </w:rPr>
      </w:pPr>
    </w:p>
    <w:p w14:paraId="0BBC5728" w14:textId="77777777" w:rsidR="001C08A5" w:rsidRDefault="00000000">
      <w:pPr>
        <w:ind w:firstLine="567"/>
        <w:jc w:val="both"/>
        <w:rPr>
          <w:b/>
          <w:sz w:val="24"/>
          <w:szCs w:val="24"/>
        </w:rPr>
      </w:pPr>
      <w:r>
        <w:rPr>
          <w:b/>
          <w:sz w:val="24"/>
          <w:szCs w:val="24"/>
        </w:rPr>
        <w:t xml:space="preserve">Art. </w:t>
      </w:r>
      <w:r>
        <w:rPr>
          <w:b/>
          <w:bCs/>
          <w:sz w:val="24"/>
          <w:szCs w:val="24"/>
        </w:rPr>
        <w:t>3.2.5.</w:t>
      </w:r>
      <w:r>
        <w:rPr>
          <w:b/>
          <w:sz w:val="24"/>
          <w:szCs w:val="24"/>
        </w:rPr>
        <w:t xml:space="preserve">7. </w:t>
      </w:r>
      <w:r>
        <w:rPr>
          <w:sz w:val="24"/>
          <w:szCs w:val="24"/>
        </w:rPr>
        <w:t xml:space="preserve">Golurile de circulaţie funcţională şi de evacuare din elementele de separare menţionate în </w:t>
      </w:r>
      <w:r>
        <w:rPr>
          <w:b/>
          <w:sz w:val="24"/>
          <w:szCs w:val="24"/>
        </w:rPr>
        <w:t>Art.</w:t>
      </w:r>
      <w:r>
        <w:rPr>
          <w:b/>
          <w:bCs/>
          <w:sz w:val="24"/>
          <w:szCs w:val="24"/>
        </w:rPr>
        <w:t>3.2.5.</w:t>
      </w:r>
      <w:r>
        <w:rPr>
          <w:b/>
          <w:sz w:val="24"/>
          <w:szCs w:val="24"/>
        </w:rPr>
        <w:t>6.</w:t>
      </w:r>
      <w:r>
        <w:rPr>
          <w:sz w:val="24"/>
          <w:szCs w:val="24"/>
        </w:rPr>
        <w:t xml:space="preserve"> şi </w:t>
      </w:r>
      <w:r>
        <w:rPr>
          <w:b/>
          <w:bCs/>
          <w:i/>
          <w:iCs/>
          <w:sz w:val="24"/>
          <w:szCs w:val="24"/>
        </w:rPr>
        <w:fldChar w:fldCharType="begin"/>
      </w:r>
      <w:r>
        <w:rPr>
          <w:b/>
          <w:bCs/>
          <w:i/>
          <w:iCs/>
          <w:sz w:val="24"/>
          <w:szCs w:val="24"/>
        </w:rPr>
        <w:instrText xml:space="preserve"> REF _Ref15383 \h </w:instrText>
      </w:r>
      <w:r>
        <w:rPr>
          <w:b/>
          <w:bCs/>
          <w:i/>
          <w:iCs/>
          <w:sz w:val="24"/>
          <w:szCs w:val="24"/>
        </w:rPr>
      </w:r>
      <w:r>
        <w:rPr>
          <w:b/>
          <w:bCs/>
          <w:i/>
          <w:iCs/>
          <w:sz w:val="24"/>
          <w:szCs w:val="24"/>
        </w:rPr>
        <w:fldChar w:fldCharType="separate"/>
      </w:r>
      <w:r>
        <w:t>Tabelul 71</w:t>
      </w:r>
      <w:r>
        <w:rPr>
          <w:b/>
          <w:bCs/>
          <w:i/>
          <w:iCs/>
          <w:sz w:val="24"/>
          <w:szCs w:val="24"/>
        </w:rPr>
        <w:fldChar w:fldCharType="end"/>
      </w:r>
      <w:r>
        <w:rPr>
          <w:b/>
          <w:sz w:val="24"/>
          <w:szCs w:val="24"/>
        </w:rPr>
        <w:t xml:space="preserve">, </w:t>
      </w:r>
      <w:r>
        <w:rPr>
          <w:sz w:val="24"/>
          <w:szCs w:val="24"/>
        </w:rPr>
        <w:t xml:space="preserve">se protejază cu elemente de închidere având rezistenţa  la foc cel puțin egală cu jumătate din cea a peretelui (după criteriile </w:t>
      </w:r>
      <w:r>
        <w:rPr>
          <w:b/>
          <w:sz w:val="24"/>
          <w:szCs w:val="24"/>
        </w:rPr>
        <w:t>EI</w:t>
      </w:r>
      <w:r>
        <w:rPr>
          <w:b/>
          <w:sz w:val="24"/>
          <w:szCs w:val="24"/>
          <w:vertAlign w:val="subscript"/>
        </w:rPr>
        <w:t>2</w:t>
      </w:r>
      <w:r>
        <w:rPr>
          <w:b/>
          <w:sz w:val="24"/>
          <w:szCs w:val="24"/>
        </w:rPr>
        <w:t xml:space="preserve"> C3)</w:t>
      </w:r>
      <w:r>
        <w:rPr>
          <w:sz w:val="24"/>
          <w:szCs w:val="24"/>
        </w:rPr>
        <w:t>.</w:t>
      </w:r>
    </w:p>
    <w:p w14:paraId="53683EEB" w14:textId="77777777" w:rsidR="001C08A5" w:rsidRDefault="001C08A5">
      <w:pPr>
        <w:ind w:firstLine="567"/>
        <w:jc w:val="both"/>
        <w:rPr>
          <w:sz w:val="24"/>
          <w:szCs w:val="24"/>
        </w:rPr>
      </w:pPr>
    </w:p>
    <w:p w14:paraId="6142AFB6" w14:textId="77777777" w:rsidR="001C08A5" w:rsidRDefault="00000000">
      <w:pPr>
        <w:pStyle w:val="BodyText"/>
        <w:ind w:firstLine="567"/>
      </w:pPr>
      <w:r>
        <w:rPr>
          <w:i w:val="0"/>
          <w:iCs/>
        </w:rPr>
        <w:t xml:space="preserve">Art. </w:t>
      </w:r>
      <w:r>
        <w:rPr>
          <w:bCs w:val="0"/>
          <w:i w:val="0"/>
          <w:iCs/>
        </w:rPr>
        <w:t>3.2.5.</w:t>
      </w:r>
      <w:r>
        <w:rPr>
          <w:i w:val="0"/>
          <w:iCs/>
        </w:rPr>
        <w:t>8.</w:t>
      </w:r>
      <w:r>
        <w:rPr>
          <w:b w:val="0"/>
          <w:bCs w:val="0"/>
          <w:i w:val="0"/>
          <w:iCs/>
        </w:rPr>
        <w:t xml:space="preserve"> Lungimea maximă admisă a traseului de parcurs pe căile de evacuare în clădirile pentru cultură (cu excepţia sălilor aglomerate, a clădirilor înalte şi foarte înalte), sunt precizate în </w:t>
      </w:r>
      <w:r>
        <w:rPr>
          <w:b w:val="0"/>
          <w:bCs w:val="0"/>
          <w:i w:val="0"/>
          <w:iCs/>
        </w:rPr>
        <w:fldChar w:fldCharType="begin"/>
      </w:r>
      <w:r>
        <w:rPr>
          <w:b w:val="0"/>
          <w:bCs w:val="0"/>
          <w:i w:val="0"/>
          <w:iCs/>
        </w:rPr>
        <w:instrText xml:space="preserve"> REF _Ref15631 \h </w:instrText>
      </w:r>
      <w:r>
        <w:rPr>
          <w:b w:val="0"/>
          <w:bCs w:val="0"/>
          <w:i w:val="0"/>
          <w:iCs/>
        </w:rPr>
      </w:r>
      <w:r>
        <w:rPr>
          <w:b w:val="0"/>
          <w:bCs w:val="0"/>
          <w:i w:val="0"/>
          <w:iCs/>
        </w:rPr>
        <w:fldChar w:fldCharType="separate"/>
      </w:r>
      <w:r>
        <w:t>Tabelul 72</w:t>
      </w:r>
      <w:r>
        <w:rPr>
          <w:b w:val="0"/>
          <w:bCs w:val="0"/>
          <w:i w:val="0"/>
          <w:iCs/>
        </w:rPr>
        <w:fldChar w:fldCharType="end"/>
      </w:r>
      <w:r>
        <w:t>.</w:t>
      </w:r>
    </w:p>
    <w:p w14:paraId="565BBA00" w14:textId="77777777" w:rsidR="001C08A5" w:rsidRDefault="001C08A5">
      <w:pPr>
        <w:jc w:val="both"/>
        <w:rPr>
          <w:sz w:val="24"/>
          <w:szCs w:val="24"/>
        </w:rPr>
      </w:pPr>
    </w:p>
    <w:p w14:paraId="17FB6686" w14:textId="77777777" w:rsidR="001C08A5" w:rsidRDefault="00000000">
      <w:pPr>
        <w:pStyle w:val="Captiontabel"/>
      </w:pPr>
      <w:bookmarkStart w:id="3671" w:name="_Ref15631"/>
      <w:bookmarkStart w:id="3672" w:name="_Ref11683"/>
      <w:bookmarkStart w:id="3673" w:name="_Toc162360122"/>
      <w:r>
        <w:t xml:space="preserve">Tabelul </w:t>
      </w:r>
      <w:r>
        <w:fldChar w:fldCharType="begin"/>
      </w:r>
      <w:r>
        <w:instrText xml:space="preserve"> SEQ Tabelul \* ARABIC </w:instrText>
      </w:r>
      <w:r>
        <w:fldChar w:fldCharType="separate"/>
      </w:r>
      <w:r>
        <w:t>72</w:t>
      </w:r>
      <w:r>
        <w:fldChar w:fldCharType="end"/>
      </w:r>
      <w:bookmarkStart w:id="3674" w:name="_Toc22370"/>
      <w:bookmarkStart w:id="3675" w:name="_Toc21718"/>
      <w:bookmarkStart w:id="3676" w:name="_Toc10202"/>
      <w:bookmarkStart w:id="3677" w:name="_Toc31065"/>
      <w:bookmarkStart w:id="3678" w:name="_Toc6080"/>
      <w:bookmarkStart w:id="3679" w:name="_Toc29287"/>
      <w:bookmarkStart w:id="3680" w:name="_Toc16124"/>
      <w:bookmarkStart w:id="3681" w:name="_Toc17886"/>
      <w:bookmarkStart w:id="3682" w:name="_Toc15352"/>
      <w:bookmarkStart w:id="3683" w:name="_Toc25980"/>
      <w:bookmarkStart w:id="3684" w:name="_Toc21407"/>
      <w:bookmarkStart w:id="3685" w:name="_Toc15873"/>
      <w:bookmarkStart w:id="3686" w:name="_Toc540"/>
      <w:bookmarkStart w:id="3687" w:name="_Toc8264"/>
      <w:bookmarkStart w:id="3688" w:name="_Toc26351"/>
      <w:bookmarkStart w:id="3689" w:name="_Toc16198"/>
      <w:bookmarkStart w:id="3690" w:name="_Toc22442"/>
      <w:bookmarkStart w:id="3691" w:name="_Toc2986"/>
      <w:bookmarkStart w:id="3692" w:name="_Toc21881"/>
      <w:bookmarkEnd w:id="3671"/>
      <w:r>
        <w:t>: Lungimi de evacuare în clădiri pentru cultură supraterane cu înălţimi obişnuite</w:t>
      </w:r>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p>
    <w:p w14:paraId="2298D1F6" w14:textId="77777777" w:rsidR="001C08A5" w:rsidRDefault="001C08A5">
      <w:pPr>
        <w:jc w:val="both"/>
        <w:rPr>
          <w:sz w:val="24"/>
          <w:szCs w:val="24"/>
        </w:rPr>
      </w:pPr>
    </w:p>
    <w:tbl>
      <w:tblPr>
        <w:tblW w:w="9585" w:type="dxa"/>
        <w:tblInd w:w="176" w:type="dxa"/>
        <w:tblLayout w:type="fixed"/>
        <w:tblLook w:val="04A0" w:firstRow="1" w:lastRow="0" w:firstColumn="1" w:lastColumn="0" w:noHBand="0" w:noVBand="1"/>
      </w:tblPr>
      <w:tblGrid>
        <w:gridCol w:w="630"/>
        <w:gridCol w:w="1883"/>
        <w:gridCol w:w="1350"/>
        <w:gridCol w:w="1405"/>
        <w:gridCol w:w="1745"/>
        <w:gridCol w:w="2572"/>
      </w:tblGrid>
      <w:tr w:rsidR="001C08A5" w14:paraId="4CD9193E" w14:textId="77777777">
        <w:tc>
          <w:tcPr>
            <w:tcW w:w="630" w:type="dxa"/>
            <w:vMerge w:val="restart"/>
            <w:tcBorders>
              <w:top w:val="single" w:sz="8" w:space="0" w:color="000000"/>
              <w:left w:val="single" w:sz="8" w:space="0" w:color="000000"/>
              <w:bottom w:val="single" w:sz="4" w:space="0" w:color="000000"/>
            </w:tcBorders>
            <w:shd w:val="clear" w:color="auto" w:fill="BFBFBF"/>
          </w:tcPr>
          <w:p w14:paraId="5BBB9572" w14:textId="77777777" w:rsidR="001C08A5" w:rsidRDefault="001C08A5">
            <w:pPr>
              <w:jc w:val="both"/>
              <w:rPr>
                <w:b/>
                <w:i/>
                <w:iCs/>
                <w:sz w:val="22"/>
                <w:szCs w:val="22"/>
              </w:rPr>
            </w:pPr>
          </w:p>
          <w:p w14:paraId="46611067" w14:textId="77777777" w:rsidR="001C08A5" w:rsidRDefault="00000000">
            <w:pPr>
              <w:jc w:val="center"/>
              <w:rPr>
                <w:i/>
                <w:iCs/>
                <w:sz w:val="22"/>
                <w:szCs w:val="22"/>
              </w:rPr>
            </w:pPr>
            <w:r>
              <w:rPr>
                <w:b/>
                <w:i/>
                <w:iCs/>
                <w:sz w:val="22"/>
                <w:szCs w:val="22"/>
              </w:rPr>
              <w:t>Nr. crt.</w:t>
            </w:r>
          </w:p>
        </w:tc>
        <w:tc>
          <w:tcPr>
            <w:tcW w:w="1883" w:type="dxa"/>
            <w:vMerge w:val="restart"/>
            <w:tcBorders>
              <w:top w:val="single" w:sz="8" w:space="0" w:color="000000"/>
              <w:left w:val="single" w:sz="4" w:space="0" w:color="000000"/>
              <w:bottom w:val="single" w:sz="4" w:space="0" w:color="000000"/>
            </w:tcBorders>
            <w:shd w:val="clear" w:color="auto" w:fill="BFBFBF"/>
          </w:tcPr>
          <w:p w14:paraId="14BF1F08" w14:textId="77777777" w:rsidR="001C08A5" w:rsidRDefault="001C08A5">
            <w:pPr>
              <w:snapToGrid w:val="0"/>
              <w:jc w:val="center"/>
              <w:rPr>
                <w:b/>
                <w:i/>
                <w:iCs/>
                <w:sz w:val="22"/>
                <w:szCs w:val="22"/>
              </w:rPr>
            </w:pPr>
          </w:p>
          <w:p w14:paraId="031620B2" w14:textId="77777777" w:rsidR="001C08A5" w:rsidRDefault="001C08A5">
            <w:pPr>
              <w:jc w:val="center"/>
              <w:rPr>
                <w:b/>
                <w:i/>
                <w:iCs/>
                <w:sz w:val="22"/>
                <w:szCs w:val="22"/>
              </w:rPr>
            </w:pPr>
          </w:p>
          <w:p w14:paraId="02F0F547" w14:textId="77777777" w:rsidR="001C08A5" w:rsidRDefault="00000000">
            <w:pPr>
              <w:jc w:val="center"/>
              <w:rPr>
                <w:b/>
                <w:i/>
                <w:iCs/>
                <w:sz w:val="22"/>
                <w:szCs w:val="22"/>
              </w:rPr>
            </w:pPr>
            <w:r>
              <w:rPr>
                <w:b/>
                <w:i/>
                <w:iCs/>
                <w:sz w:val="22"/>
                <w:szCs w:val="22"/>
              </w:rPr>
              <w:t>Clădiri pentru cultură</w:t>
            </w:r>
          </w:p>
        </w:tc>
        <w:tc>
          <w:tcPr>
            <w:tcW w:w="1350" w:type="dxa"/>
            <w:vMerge w:val="restart"/>
            <w:tcBorders>
              <w:top w:val="single" w:sz="8" w:space="0" w:color="000000"/>
              <w:left w:val="single" w:sz="4" w:space="0" w:color="000000"/>
              <w:bottom w:val="single" w:sz="4" w:space="0" w:color="000000"/>
            </w:tcBorders>
            <w:shd w:val="clear" w:color="auto" w:fill="BFBFBF"/>
          </w:tcPr>
          <w:p w14:paraId="70FE6980" w14:textId="77777777" w:rsidR="001C08A5" w:rsidRDefault="00000000">
            <w:pPr>
              <w:jc w:val="center"/>
              <w:rPr>
                <w:b/>
                <w:i/>
                <w:iCs/>
                <w:sz w:val="22"/>
                <w:szCs w:val="22"/>
              </w:rPr>
            </w:pPr>
            <w:r>
              <w:rPr>
                <w:b/>
                <w:i/>
                <w:iCs/>
                <w:sz w:val="22"/>
                <w:szCs w:val="22"/>
              </w:rPr>
              <w:t>Nivel de stabilitate  la incendiu asigurat</w:t>
            </w:r>
          </w:p>
        </w:tc>
        <w:tc>
          <w:tcPr>
            <w:tcW w:w="3150" w:type="dxa"/>
            <w:gridSpan w:val="2"/>
            <w:tcBorders>
              <w:top w:val="single" w:sz="8" w:space="0" w:color="000000"/>
              <w:left w:val="single" w:sz="4" w:space="0" w:color="000000"/>
              <w:bottom w:val="single" w:sz="4" w:space="0" w:color="000000"/>
            </w:tcBorders>
            <w:shd w:val="clear" w:color="auto" w:fill="BFBFBF"/>
          </w:tcPr>
          <w:p w14:paraId="6B2259FD" w14:textId="77777777" w:rsidR="001C08A5" w:rsidRDefault="00000000">
            <w:pPr>
              <w:jc w:val="center"/>
              <w:rPr>
                <w:b/>
                <w:i/>
                <w:iCs/>
                <w:sz w:val="22"/>
                <w:szCs w:val="22"/>
              </w:rPr>
            </w:pPr>
            <w:r>
              <w:rPr>
                <w:b/>
                <w:i/>
                <w:iCs/>
                <w:sz w:val="22"/>
                <w:szCs w:val="22"/>
              </w:rPr>
              <w:t xml:space="preserve">Lungime maximă de evacuare </w:t>
            </w:r>
          </w:p>
        </w:tc>
        <w:tc>
          <w:tcPr>
            <w:tcW w:w="2572" w:type="dxa"/>
            <w:vMerge w:val="restart"/>
            <w:tcBorders>
              <w:top w:val="single" w:sz="8" w:space="0" w:color="000000"/>
              <w:left w:val="single" w:sz="4" w:space="0" w:color="000000"/>
              <w:bottom w:val="single" w:sz="4" w:space="0" w:color="000000"/>
              <w:right w:val="single" w:sz="8" w:space="0" w:color="000000"/>
            </w:tcBorders>
            <w:shd w:val="clear" w:color="auto" w:fill="BFBFBF"/>
          </w:tcPr>
          <w:p w14:paraId="1FE33945" w14:textId="77777777" w:rsidR="001C08A5" w:rsidRDefault="001C08A5">
            <w:pPr>
              <w:snapToGrid w:val="0"/>
              <w:jc w:val="center"/>
              <w:rPr>
                <w:b/>
                <w:i/>
                <w:iCs/>
                <w:sz w:val="22"/>
                <w:szCs w:val="22"/>
              </w:rPr>
            </w:pPr>
          </w:p>
          <w:p w14:paraId="6B18D75E" w14:textId="77777777" w:rsidR="001C08A5" w:rsidRDefault="001C08A5">
            <w:pPr>
              <w:jc w:val="center"/>
              <w:rPr>
                <w:b/>
                <w:i/>
                <w:iCs/>
                <w:sz w:val="22"/>
                <w:szCs w:val="22"/>
              </w:rPr>
            </w:pPr>
          </w:p>
          <w:p w14:paraId="330B200B" w14:textId="77777777" w:rsidR="001C08A5" w:rsidRDefault="00000000">
            <w:pPr>
              <w:jc w:val="center"/>
              <w:rPr>
                <w:i/>
                <w:iCs/>
                <w:sz w:val="22"/>
                <w:szCs w:val="22"/>
              </w:rPr>
            </w:pPr>
            <w:r>
              <w:rPr>
                <w:b/>
                <w:i/>
                <w:iCs/>
                <w:sz w:val="22"/>
                <w:szCs w:val="22"/>
              </w:rPr>
              <w:t>Observaţii</w:t>
            </w:r>
          </w:p>
        </w:tc>
      </w:tr>
      <w:tr w:rsidR="001C08A5" w14:paraId="0C2F62BB" w14:textId="77777777">
        <w:tc>
          <w:tcPr>
            <w:tcW w:w="630" w:type="dxa"/>
            <w:vMerge/>
            <w:tcBorders>
              <w:top w:val="single" w:sz="4" w:space="0" w:color="000000"/>
              <w:left w:val="single" w:sz="8" w:space="0" w:color="000000"/>
              <w:bottom w:val="single" w:sz="4" w:space="0" w:color="000000"/>
            </w:tcBorders>
            <w:shd w:val="clear" w:color="auto" w:fill="auto"/>
          </w:tcPr>
          <w:p w14:paraId="3FAA31CC"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4" w:space="0" w:color="000000"/>
            </w:tcBorders>
            <w:shd w:val="clear" w:color="auto" w:fill="auto"/>
          </w:tcPr>
          <w:p w14:paraId="7F452384" w14:textId="77777777" w:rsidR="001C08A5" w:rsidRDefault="001C08A5">
            <w:pPr>
              <w:snapToGrid w:val="0"/>
              <w:jc w:val="center"/>
              <w:rPr>
                <w:i/>
                <w:iCs/>
                <w:sz w:val="22"/>
                <w:szCs w:val="22"/>
              </w:rPr>
            </w:pPr>
          </w:p>
        </w:tc>
        <w:tc>
          <w:tcPr>
            <w:tcW w:w="1350" w:type="dxa"/>
            <w:vMerge/>
            <w:tcBorders>
              <w:top w:val="single" w:sz="4" w:space="0" w:color="000000"/>
              <w:left w:val="single" w:sz="4" w:space="0" w:color="000000"/>
              <w:bottom w:val="single" w:sz="4" w:space="0" w:color="000000"/>
            </w:tcBorders>
            <w:shd w:val="clear" w:color="auto" w:fill="auto"/>
          </w:tcPr>
          <w:p w14:paraId="1A7078F0" w14:textId="77777777" w:rsidR="001C08A5" w:rsidRDefault="001C08A5">
            <w:pPr>
              <w:snapToGrid w:val="0"/>
              <w:jc w:val="center"/>
              <w:rPr>
                <w:i/>
                <w:iCs/>
                <w:sz w:val="22"/>
                <w:szCs w:val="22"/>
              </w:rPr>
            </w:pPr>
          </w:p>
        </w:tc>
        <w:tc>
          <w:tcPr>
            <w:tcW w:w="1405" w:type="dxa"/>
            <w:tcBorders>
              <w:top w:val="single" w:sz="4" w:space="0" w:color="000000"/>
              <w:left w:val="single" w:sz="4" w:space="0" w:color="000000"/>
              <w:bottom w:val="single" w:sz="4" w:space="0" w:color="000000"/>
            </w:tcBorders>
            <w:shd w:val="clear" w:color="auto" w:fill="BFBFBF"/>
          </w:tcPr>
          <w:p w14:paraId="67DC5DEF" w14:textId="77777777" w:rsidR="001C08A5" w:rsidRDefault="00000000">
            <w:pPr>
              <w:jc w:val="center"/>
              <w:rPr>
                <w:b/>
                <w:i/>
                <w:iCs/>
                <w:sz w:val="22"/>
                <w:szCs w:val="22"/>
              </w:rPr>
            </w:pPr>
            <w:r>
              <w:rPr>
                <w:b/>
                <w:i/>
                <w:iCs/>
                <w:sz w:val="22"/>
                <w:szCs w:val="22"/>
              </w:rPr>
              <w:t>în două direcţii diferite</w:t>
            </w:r>
          </w:p>
        </w:tc>
        <w:tc>
          <w:tcPr>
            <w:tcW w:w="1745" w:type="dxa"/>
            <w:tcBorders>
              <w:top w:val="single" w:sz="4" w:space="0" w:color="000000"/>
              <w:left w:val="single" w:sz="4" w:space="0" w:color="000000"/>
              <w:bottom w:val="single" w:sz="4" w:space="0" w:color="000000"/>
            </w:tcBorders>
            <w:shd w:val="clear" w:color="auto" w:fill="BFBFBF"/>
          </w:tcPr>
          <w:p w14:paraId="0C0C965C" w14:textId="77777777" w:rsidR="001C08A5" w:rsidRDefault="00000000">
            <w:pPr>
              <w:jc w:val="center"/>
              <w:rPr>
                <w:i/>
                <w:iCs/>
                <w:sz w:val="22"/>
                <w:szCs w:val="22"/>
              </w:rPr>
            </w:pPr>
            <w:r>
              <w:rPr>
                <w:b/>
                <w:i/>
                <w:iCs/>
                <w:sz w:val="22"/>
                <w:szCs w:val="22"/>
              </w:rPr>
              <w:t>într-o direcţie (coridor înfundat)</w:t>
            </w:r>
          </w:p>
        </w:tc>
        <w:tc>
          <w:tcPr>
            <w:tcW w:w="2572" w:type="dxa"/>
            <w:vMerge/>
            <w:tcBorders>
              <w:top w:val="single" w:sz="4" w:space="0" w:color="000000"/>
              <w:left w:val="single" w:sz="4" w:space="0" w:color="000000"/>
              <w:bottom w:val="single" w:sz="4" w:space="0" w:color="000000"/>
              <w:right w:val="single" w:sz="8" w:space="0" w:color="000000"/>
            </w:tcBorders>
          </w:tcPr>
          <w:p w14:paraId="59F0F68D" w14:textId="77777777" w:rsidR="001C08A5" w:rsidRDefault="001C08A5">
            <w:pPr>
              <w:snapToGrid w:val="0"/>
              <w:rPr>
                <w:i/>
                <w:iCs/>
                <w:sz w:val="22"/>
                <w:szCs w:val="22"/>
              </w:rPr>
            </w:pPr>
          </w:p>
        </w:tc>
      </w:tr>
      <w:tr w:rsidR="001C08A5" w14:paraId="61348EF2" w14:textId="77777777">
        <w:trPr>
          <w:trHeight w:val="146"/>
        </w:trPr>
        <w:tc>
          <w:tcPr>
            <w:tcW w:w="630" w:type="dxa"/>
            <w:vMerge/>
            <w:tcBorders>
              <w:top w:val="single" w:sz="4" w:space="0" w:color="000000"/>
              <w:left w:val="single" w:sz="8" w:space="0" w:color="000000"/>
              <w:bottom w:val="single" w:sz="8" w:space="0" w:color="000000"/>
            </w:tcBorders>
            <w:shd w:val="clear" w:color="auto" w:fill="auto"/>
          </w:tcPr>
          <w:p w14:paraId="10EB5BCE"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8" w:space="0" w:color="000000"/>
            </w:tcBorders>
            <w:shd w:val="clear" w:color="auto" w:fill="auto"/>
          </w:tcPr>
          <w:p w14:paraId="302DA655" w14:textId="77777777" w:rsidR="001C08A5" w:rsidRDefault="001C08A5">
            <w:pPr>
              <w:snapToGrid w:val="0"/>
              <w:jc w:val="center"/>
              <w:rPr>
                <w:i/>
                <w:iCs/>
                <w:sz w:val="22"/>
                <w:szCs w:val="22"/>
              </w:rPr>
            </w:pPr>
          </w:p>
        </w:tc>
        <w:tc>
          <w:tcPr>
            <w:tcW w:w="1350" w:type="dxa"/>
            <w:vMerge/>
            <w:tcBorders>
              <w:top w:val="single" w:sz="4" w:space="0" w:color="000000"/>
              <w:left w:val="single" w:sz="4" w:space="0" w:color="000000"/>
              <w:bottom w:val="single" w:sz="8" w:space="0" w:color="000000"/>
            </w:tcBorders>
            <w:shd w:val="clear" w:color="auto" w:fill="auto"/>
          </w:tcPr>
          <w:p w14:paraId="6252E311" w14:textId="77777777" w:rsidR="001C08A5" w:rsidRDefault="001C08A5">
            <w:pPr>
              <w:snapToGrid w:val="0"/>
              <w:jc w:val="center"/>
              <w:rPr>
                <w:i/>
                <w:iCs/>
                <w:sz w:val="22"/>
                <w:szCs w:val="22"/>
              </w:rPr>
            </w:pPr>
          </w:p>
        </w:tc>
        <w:tc>
          <w:tcPr>
            <w:tcW w:w="1405" w:type="dxa"/>
            <w:tcBorders>
              <w:top w:val="single" w:sz="4" w:space="0" w:color="000000"/>
              <w:left w:val="single" w:sz="4" w:space="0" w:color="000000"/>
              <w:bottom w:val="single" w:sz="8" w:space="0" w:color="000000"/>
            </w:tcBorders>
            <w:shd w:val="clear" w:color="auto" w:fill="BFBFBF"/>
          </w:tcPr>
          <w:p w14:paraId="20DDFB5D" w14:textId="77777777" w:rsidR="001C08A5" w:rsidRDefault="00000000">
            <w:pPr>
              <w:jc w:val="center"/>
              <w:rPr>
                <w:b/>
                <w:i/>
                <w:iCs/>
                <w:sz w:val="22"/>
                <w:szCs w:val="22"/>
              </w:rPr>
            </w:pPr>
            <w:r>
              <w:rPr>
                <w:b/>
                <w:i/>
                <w:iCs/>
                <w:sz w:val="22"/>
                <w:szCs w:val="22"/>
              </w:rPr>
              <w:t>metri</w:t>
            </w:r>
          </w:p>
        </w:tc>
        <w:tc>
          <w:tcPr>
            <w:tcW w:w="1745" w:type="dxa"/>
            <w:tcBorders>
              <w:top w:val="single" w:sz="4" w:space="0" w:color="000000"/>
              <w:left w:val="single" w:sz="4" w:space="0" w:color="000000"/>
              <w:bottom w:val="single" w:sz="8" w:space="0" w:color="000000"/>
            </w:tcBorders>
            <w:shd w:val="clear" w:color="auto" w:fill="BFBFBF"/>
          </w:tcPr>
          <w:p w14:paraId="7F00DFBF" w14:textId="77777777" w:rsidR="001C08A5" w:rsidRDefault="00000000">
            <w:pPr>
              <w:jc w:val="center"/>
              <w:rPr>
                <w:i/>
                <w:iCs/>
                <w:sz w:val="22"/>
                <w:szCs w:val="22"/>
              </w:rPr>
            </w:pPr>
            <w:r>
              <w:rPr>
                <w:b/>
                <w:i/>
                <w:iCs/>
                <w:sz w:val="22"/>
                <w:szCs w:val="22"/>
              </w:rPr>
              <w:t>metri</w:t>
            </w:r>
          </w:p>
        </w:tc>
        <w:tc>
          <w:tcPr>
            <w:tcW w:w="2572" w:type="dxa"/>
            <w:vMerge/>
            <w:tcBorders>
              <w:top w:val="single" w:sz="4" w:space="0" w:color="000000"/>
              <w:left w:val="single" w:sz="4" w:space="0" w:color="000000"/>
              <w:bottom w:val="single" w:sz="8" w:space="0" w:color="000000"/>
              <w:right w:val="single" w:sz="8" w:space="0" w:color="000000"/>
            </w:tcBorders>
          </w:tcPr>
          <w:p w14:paraId="5F948EBB" w14:textId="77777777" w:rsidR="001C08A5" w:rsidRDefault="001C08A5">
            <w:pPr>
              <w:snapToGrid w:val="0"/>
              <w:rPr>
                <w:i/>
                <w:iCs/>
                <w:sz w:val="22"/>
                <w:szCs w:val="22"/>
              </w:rPr>
            </w:pPr>
          </w:p>
        </w:tc>
      </w:tr>
      <w:tr w:rsidR="001C08A5" w14:paraId="15B855CD" w14:textId="77777777">
        <w:trPr>
          <w:trHeight w:val="90"/>
        </w:trPr>
        <w:tc>
          <w:tcPr>
            <w:tcW w:w="630" w:type="dxa"/>
            <w:vMerge w:val="restart"/>
            <w:tcBorders>
              <w:top w:val="single" w:sz="8" w:space="0" w:color="000000"/>
              <w:left w:val="single" w:sz="4" w:space="0" w:color="000000"/>
              <w:bottom w:val="single" w:sz="4" w:space="0" w:color="000000"/>
            </w:tcBorders>
          </w:tcPr>
          <w:p w14:paraId="385CD326" w14:textId="77777777" w:rsidR="001C08A5" w:rsidRDefault="001C08A5">
            <w:pPr>
              <w:snapToGrid w:val="0"/>
              <w:jc w:val="center"/>
              <w:rPr>
                <w:i/>
                <w:iCs/>
                <w:sz w:val="22"/>
                <w:szCs w:val="22"/>
              </w:rPr>
            </w:pPr>
          </w:p>
          <w:p w14:paraId="5C1D2E99" w14:textId="77777777" w:rsidR="001C08A5" w:rsidRDefault="00000000">
            <w:pPr>
              <w:jc w:val="center"/>
              <w:rPr>
                <w:i/>
                <w:iCs/>
                <w:sz w:val="22"/>
                <w:szCs w:val="22"/>
              </w:rPr>
            </w:pPr>
            <w:r>
              <w:rPr>
                <w:i/>
                <w:iCs/>
                <w:sz w:val="22"/>
                <w:szCs w:val="22"/>
              </w:rPr>
              <w:t>1.</w:t>
            </w:r>
          </w:p>
        </w:tc>
        <w:tc>
          <w:tcPr>
            <w:tcW w:w="1883" w:type="dxa"/>
            <w:vMerge w:val="restart"/>
            <w:tcBorders>
              <w:top w:val="single" w:sz="8" w:space="0" w:color="000000"/>
              <w:left w:val="single" w:sz="4" w:space="0" w:color="000000"/>
              <w:bottom w:val="single" w:sz="4" w:space="0" w:color="000000"/>
            </w:tcBorders>
          </w:tcPr>
          <w:p w14:paraId="66917C98" w14:textId="77777777" w:rsidR="001C08A5" w:rsidRDefault="00000000">
            <w:pPr>
              <w:jc w:val="center"/>
              <w:rPr>
                <w:b/>
                <w:i/>
                <w:iCs/>
                <w:sz w:val="22"/>
                <w:szCs w:val="22"/>
              </w:rPr>
            </w:pPr>
            <w:r>
              <w:rPr>
                <w:i/>
                <w:iCs/>
                <w:sz w:val="22"/>
                <w:szCs w:val="22"/>
              </w:rPr>
              <w:t xml:space="preserve">Atenee, teatre, auditorii, săli de conferinţe, cinematografe, biblioteci etc. </w:t>
            </w:r>
          </w:p>
        </w:tc>
        <w:tc>
          <w:tcPr>
            <w:tcW w:w="1350" w:type="dxa"/>
            <w:tcBorders>
              <w:top w:val="single" w:sz="8" w:space="0" w:color="000000"/>
              <w:left w:val="single" w:sz="4" w:space="0" w:color="000000"/>
              <w:bottom w:val="single" w:sz="4" w:space="0" w:color="000000"/>
            </w:tcBorders>
          </w:tcPr>
          <w:p w14:paraId="7665CB53" w14:textId="77777777" w:rsidR="001C08A5" w:rsidRDefault="00000000">
            <w:pPr>
              <w:jc w:val="center"/>
              <w:rPr>
                <w:i/>
                <w:iCs/>
                <w:sz w:val="22"/>
                <w:szCs w:val="22"/>
              </w:rPr>
            </w:pPr>
            <w:r>
              <w:rPr>
                <w:b/>
                <w:i/>
                <w:iCs/>
                <w:sz w:val="22"/>
                <w:szCs w:val="22"/>
              </w:rPr>
              <w:t>I și II</w:t>
            </w:r>
          </w:p>
        </w:tc>
        <w:tc>
          <w:tcPr>
            <w:tcW w:w="1405" w:type="dxa"/>
            <w:tcBorders>
              <w:top w:val="single" w:sz="8" w:space="0" w:color="000000"/>
              <w:left w:val="single" w:sz="4" w:space="0" w:color="000000"/>
              <w:bottom w:val="single" w:sz="4" w:space="0" w:color="000000"/>
            </w:tcBorders>
          </w:tcPr>
          <w:p w14:paraId="3A3635E0" w14:textId="77777777" w:rsidR="001C08A5" w:rsidRDefault="00000000">
            <w:pPr>
              <w:jc w:val="center"/>
              <w:rPr>
                <w:b/>
                <w:bCs/>
                <w:i/>
                <w:iCs/>
                <w:sz w:val="22"/>
                <w:szCs w:val="22"/>
              </w:rPr>
            </w:pPr>
            <w:r>
              <w:rPr>
                <w:b/>
                <w:bCs/>
                <w:i/>
                <w:iCs/>
                <w:sz w:val="22"/>
                <w:szCs w:val="22"/>
              </w:rPr>
              <w:t>40</w:t>
            </w:r>
          </w:p>
        </w:tc>
        <w:tc>
          <w:tcPr>
            <w:tcW w:w="1745" w:type="dxa"/>
            <w:tcBorders>
              <w:top w:val="single" w:sz="8" w:space="0" w:color="000000"/>
              <w:left w:val="single" w:sz="4" w:space="0" w:color="000000"/>
              <w:bottom w:val="single" w:sz="4" w:space="0" w:color="000000"/>
            </w:tcBorders>
          </w:tcPr>
          <w:p w14:paraId="4CBD9CA1" w14:textId="77777777" w:rsidR="001C08A5" w:rsidRDefault="00000000">
            <w:pPr>
              <w:jc w:val="center"/>
              <w:rPr>
                <w:b/>
                <w:bCs/>
                <w:i/>
                <w:iCs/>
                <w:sz w:val="22"/>
                <w:szCs w:val="22"/>
              </w:rPr>
            </w:pPr>
            <w:r>
              <w:rPr>
                <w:b/>
                <w:bCs/>
                <w:i/>
                <w:iCs/>
                <w:sz w:val="22"/>
                <w:szCs w:val="22"/>
              </w:rPr>
              <w:t>20</w:t>
            </w:r>
          </w:p>
        </w:tc>
        <w:tc>
          <w:tcPr>
            <w:tcW w:w="2572" w:type="dxa"/>
            <w:vMerge w:val="restart"/>
            <w:tcBorders>
              <w:top w:val="single" w:sz="8" w:space="0" w:color="000000"/>
              <w:left w:val="single" w:sz="4" w:space="0" w:color="000000"/>
              <w:bottom w:val="single" w:sz="4" w:space="0" w:color="000000"/>
              <w:right w:val="single" w:sz="4" w:space="0" w:color="000000"/>
            </w:tcBorders>
          </w:tcPr>
          <w:p w14:paraId="212EA68E" w14:textId="77777777" w:rsidR="001C08A5" w:rsidRDefault="00000000">
            <w:pPr>
              <w:jc w:val="center"/>
              <w:rPr>
                <w:i/>
                <w:iCs/>
                <w:sz w:val="22"/>
                <w:szCs w:val="22"/>
              </w:rPr>
            </w:pPr>
            <w:r>
              <w:rPr>
                <w:i/>
                <w:iCs/>
                <w:sz w:val="22"/>
                <w:szCs w:val="22"/>
              </w:rPr>
              <w:t>La clădirile obişnuite de cultură care se încadrează în categoria sălilor aglomerate, se respectă prevederile privind performanțele specifice acestora.</w:t>
            </w:r>
          </w:p>
        </w:tc>
      </w:tr>
      <w:tr w:rsidR="001C08A5" w14:paraId="779B910C" w14:textId="77777777">
        <w:tc>
          <w:tcPr>
            <w:tcW w:w="630" w:type="dxa"/>
            <w:vMerge/>
            <w:tcBorders>
              <w:top w:val="single" w:sz="4" w:space="0" w:color="000000"/>
              <w:left w:val="single" w:sz="4" w:space="0" w:color="000000"/>
              <w:bottom w:val="single" w:sz="4" w:space="0" w:color="000000"/>
            </w:tcBorders>
          </w:tcPr>
          <w:p w14:paraId="5BC0667F"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4" w:space="0" w:color="000000"/>
            </w:tcBorders>
          </w:tcPr>
          <w:p w14:paraId="7F290BD8"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64B86B62" w14:textId="77777777" w:rsidR="001C08A5" w:rsidRDefault="00000000">
            <w:pPr>
              <w:jc w:val="center"/>
              <w:rPr>
                <w:i/>
                <w:iCs/>
                <w:sz w:val="22"/>
                <w:szCs w:val="22"/>
              </w:rPr>
            </w:pPr>
            <w:r>
              <w:rPr>
                <w:b/>
                <w:i/>
                <w:iCs/>
                <w:sz w:val="22"/>
                <w:szCs w:val="22"/>
              </w:rPr>
              <w:t>III</w:t>
            </w:r>
          </w:p>
        </w:tc>
        <w:tc>
          <w:tcPr>
            <w:tcW w:w="1405" w:type="dxa"/>
            <w:tcBorders>
              <w:top w:val="single" w:sz="4" w:space="0" w:color="000000"/>
              <w:left w:val="single" w:sz="4" w:space="0" w:color="000000"/>
              <w:bottom w:val="single" w:sz="4" w:space="0" w:color="000000"/>
            </w:tcBorders>
          </w:tcPr>
          <w:p w14:paraId="11FC69A4" w14:textId="77777777" w:rsidR="001C08A5" w:rsidRDefault="00000000">
            <w:pPr>
              <w:jc w:val="center"/>
              <w:rPr>
                <w:b/>
                <w:bCs/>
                <w:i/>
                <w:iCs/>
                <w:sz w:val="22"/>
                <w:szCs w:val="22"/>
              </w:rPr>
            </w:pPr>
            <w:r>
              <w:rPr>
                <w:b/>
                <w:bCs/>
                <w:i/>
                <w:iCs/>
                <w:sz w:val="22"/>
                <w:szCs w:val="22"/>
              </w:rPr>
              <w:t>30</w:t>
            </w:r>
          </w:p>
        </w:tc>
        <w:tc>
          <w:tcPr>
            <w:tcW w:w="1745" w:type="dxa"/>
            <w:tcBorders>
              <w:top w:val="single" w:sz="4" w:space="0" w:color="000000"/>
              <w:left w:val="single" w:sz="4" w:space="0" w:color="000000"/>
              <w:bottom w:val="single" w:sz="4" w:space="0" w:color="000000"/>
            </w:tcBorders>
          </w:tcPr>
          <w:p w14:paraId="1B6D86A8" w14:textId="77777777" w:rsidR="001C08A5" w:rsidRDefault="00000000">
            <w:pPr>
              <w:jc w:val="center"/>
              <w:rPr>
                <w:b/>
                <w:bCs/>
                <w:i/>
                <w:iCs/>
                <w:sz w:val="22"/>
                <w:szCs w:val="22"/>
              </w:rPr>
            </w:pPr>
            <w:r>
              <w:rPr>
                <w:b/>
                <w:bCs/>
                <w:i/>
                <w:iCs/>
                <w:sz w:val="22"/>
                <w:szCs w:val="22"/>
              </w:rPr>
              <w:t>16</w:t>
            </w:r>
          </w:p>
        </w:tc>
        <w:tc>
          <w:tcPr>
            <w:tcW w:w="2572" w:type="dxa"/>
            <w:vMerge/>
            <w:tcBorders>
              <w:top w:val="single" w:sz="4" w:space="0" w:color="000000"/>
              <w:left w:val="single" w:sz="4" w:space="0" w:color="000000"/>
              <w:bottom w:val="single" w:sz="4" w:space="0" w:color="000000"/>
              <w:right w:val="single" w:sz="4" w:space="0" w:color="000000"/>
            </w:tcBorders>
          </w:tcPr>
          <w:p w14:paraId="53D398D9" w14:textId="77777777" w:rsidR="001C08A5" w:rsidRDefault="001C08A5">
            <w:pPr>
              <w:snapToGrid w:val="0"/>
              <w:rPr>
                <w:i/>
                <w:iCs/>
                <w:sz w:val="22"/>
                <w:szCs w:val="22"/>
              </w:rPr>
            </w:pPr>
          </w:p>
        </w:tc>
      </w:tr>
      <w:tr w:rsidR="001C08A5" w14:paraId="5D73AF7C" w14:textId="77777777">
        <w:tc>
          <w:tcPr>
            <w:tcW w:w="630" w:type="dxa"/>
            <w:vMerge/>
            <w:tcBorders>
              <w:top w:val="single" w:sz="4" w:space="0" w:color="000000"/>
              <w:left w:val="single" w:sz="4" w:space="0" w:color="000000"/>
              <w:bottom w:val="single" w:sz="4" w:space="0" w:color="000000"/>
            </w:tcBorders>
          </w:tcPr>
          <w:p w14:paraId="26187FDC"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4" w:space="0" w:color="000000"/>
            </w:tcBorders>
          </w:tcPr>
          <w:p w14:paraId="14EDD033"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0258EDA0" w14:textId="77777777" w:rsidR="001C08A5" w:rsidRDefault="00000000">
            <w:pPr>
              <w:jc w:val="center"/>
              <w:rPr>
                <w:i/>
                <w:iCs/>
                <w:sz w:val="22"/>
                <w:szCs w:val="22"/>
              </w:rPr>
            </w:pPr>
            <w:r>
              <w:rPr>
                <w:b/>
                <w:i/>
                <w:iCs/>
                <w:sz w:val="22"/>
                <w:szCs w:val="22"/>
              </w:rPr>
              <w:t>IV</w:t>
            </w:r>
          </w:p>
        </w:tc>
        <w:tc>
          <w:tcPr>
            <w:tcW w:w="1405" w:type="dxa"/>
            <w:tcBorders>
              <w:top w:val="single" w:sz="4" w:space="0" w:color="000000"/>
              <w:left w:val="single" w:sz="4" w:space="0" w:color="000000"/>
              <w:bottom w:val="single" w:sz="4" w:space="0" w:color="000000"/>
            </w:tcBorders>
          </w:tcPr>
          <w:p w14:paraId="28A0D656" w14:textId="77777777" w:rsidR="001C08A5" w:rsidRDefault="00000000">
            <w:pPr>
              <w:jc w:val="center"/>
              <w:rPr>
                <w:b/>
                <w:bCs/>
                <w:i/>
                <w:iCs/>
                <w:sz w:val="22"/>
                <w:szCs w:val="22"/>
              </w:rPr>
            </w:pPr>
            <w:r>
              <w:rPr>
                <w:b/>
                <w:bCs/>
                <w:i/>
                <w:iCs/>
                <w:sz w:val="22"/>
                <w:szCs w:val="22"/>
              </w:rPr>
              <w:t>15</w:t>
            </w:r>
          </w:p>
        </w:tc>
        <w:tc>
          <w:tcPr>
            <w:tcW w:w="1745" w:type="dxa"/>
            <w:tcBorders>
              <w:top w:val="single" w:sz="4" w:space="0" w:color="000000"/>
              <w:left w:val="single" w:sz="4" w:space="0" w:color="000000"/>
              <w:bottom w:val="single" w:sz="4" w:space="0" w:color="000000"/>
            </w:tcBorders>
          </w:tcPr>
          <w:p w14:paraId="3D4B7876" w14:textId="77777777" w:rsidR="001C08A5" w:rsidRDefault="00000000">
            <w:pPr>
              <w:jc w:val="center"/>
              <w:rPr>
                <w:b/>
                <w:bCs/>
                <w:i/>
                <w:iCs/>
                <w:sz w:val="22"/>
                <w:szCs w:val="22"/>
              </w:rPr>
            </w:pPr>
            <w:r>
              <w:rPr>
                <w:b/>
                <w:bCs/>
                <w:i/>
                <w:iCs/>
                <w:sz w:val="22"/>
                <w:szCs w:val="22"/>
              </w:rPr>
              <w:t>10</w:t>
            </w:r>
          </w:p>
        </w:tc>
        <w:tc>
          <w:tcPr>
            <w:tcW w:w="2572" w:type="dxa"/>
            <w:vMerge/>
            <w:tcBorders>
              <w:top w:val="single" w:sz="4" w:space="0" w:color="000000"/>
              <w:left w:val="single" w:sz="4" w:space="0" w:color="000000"/>
              <w:bottom w:val="single" w:sz="4" w:space="0" w:color="000000"/>
              <w:right w:val="single" w:sz="4" w:space="0" w:color="000000"/>
            </w:tcBorders>
          </w:tcPr>
          <w:p w14:paraId="135921D5" w14:textId="77777777" w:rsidR="001C08A5" w:rsidRDefault="001C08A5">
            <w:pPr>
              <w:snapToGrid w:val="0"/>
              <w:rPr>
                <w:i/>
                <w:iCs/>
                <w:sz w:val="22"/>
                <w:szCs w:val="22"/>
              </w:rPr>
            </w:pPr>
          </w:p>
        </w:tc>
      </w:tr>
      <w:tr w:rsidR="001C08A5" w14:paraId="0AA825A2" w14:textId="77777777">
        <w:tc>
          <w:tcPr>
            <w:tcW w:w="630" w:type="dxa"/>
            <w:vMerge/>
            <w:tcBorders>
              <w:top w:val="single" w:sz="4" w:space="0" w:color="000000"/>
              <w:left w:val="single" w:sz="4" w:space="0" w:color="000000"/>
              <w:bottom w:val="single" w:sz="4" w:space="0" w:color="000000"/>
            </w:tcBorders>
          </w:tcPr>
          <w:p w14:paraId="3A201059"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4" w:space="0" w:color="000000"/>
            </w:tcBorders>
          </w:tcPr>
          <w:p w14:paraId="7B1FFA2C"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14CD7401" w14:textId="77777777" w:rsidR="001C08A5" w:rsidRDefault="00000000">
            <w:pPr>
              <w:jc w:val="center"/>
              <w:rPr>
                <w:i/>
                <w:iCs/>
                <w:sz w:val="22"/>
                <w:szCs w:val="22"/>
              </w:rPr>
            </w:pPr>
            <w:r>
              <w:rPr>
                <w:b/>
                <w:i/>
                <w:iCs/>
                <w:sz w:val="22"/>
                <w:szCs w:val="22"/>
              </w:rPr>
              <w:t>V</w:t>
            </w:r>
          </w:p>
        </w:tc>
        <w:tc>
          <w:tcPr>
            <w:tcW w:w="1405" w:type="dxa"/>
            <w:tcBorders>
              <w:top w:val="single" w:sz="4" w:space="0" w:color="000000"/>
              <w:left w:val="single" w:sz="4" w:space="0" w:color="000000"/>
              <w:bottom w:val="single" w:sz="4" w:space="0" w:color="000000"/>
            </w:tcBorders>
          </w:tcPr>
          <w:p w14:paraId="28E81452" w14:textId="77777777" w:rsidR="001C08A5" w:rsidRDefault="00000000">
            <w:pPr>
              <w:jc w:val="center"/>
              <w:rPr>
                <w:b/>
                <w:bCs/>
                <w:i/>
                <w:iCs/>
                <w:sz w:val="22"/>
                <w:szCs w:val="22"/>
              </w:rPr>
            </w:pPr>
            <w:r>
              <w:rPr>
                <w:b/>
                <w:bCs/>
                <w:i/>
                <w:iCs/>
                <w:sz w:val="22"/>
                <w:szCs w:val="22"/>
              </w:rPr>
              <w:t>10</w:t>
            </w:r>
          </w:p>
        </w:tc>
        <w:tc>
          <w:tcPr>
            <w:tcW w:w="1745" w:type="dxa"/>
            <w:tcBorders>
              <w:top w:val="single" w:sz="4" w:space="0" w:color="000000"/>
              <w:left w:val="single" w:sz="4" w:space="0" w:color="000000"/>
              <w:bottom w:val="single" w:sz="4" w:space="0" w:color="000000"/>
            </w:tcBorders>
          </w:tcPr>
          <w:p w14:paraId="6A604BFA" w14:textId="77777777" w:rsidR="001C08A5" w:rsidRDefault="00000000">
            <w:pPr>
              <w:jc w:val="center"/>
              <w:rPr>
                <w:b/>
                <w:bCs/>
                <w:i/>
                <w:iCs/>
                <w:sz w:val="22"/>
                <w:szCs w:val="22"/>
              </w:rPr>
            </w:pPr>
            <w:r>
              <w:rPr>
                <w:b/>
                <w:bCs/>
                <w:i/>
                <w:iCs/>
                <w:sz w:val="22"/>
                <w:szCs w:val="22"/>
              </w:rPr>
              <w:t>6</w:t>
            </w:r>
          </w:p>
        </w:tc>
        <w:tc>
          <w:tcPr>
            <w:tcW w:w="2572" w:type="dxa"/>
            <w:vMerge/>
            <w:tcBorders>
              <w:top w:val="single" w:sz="4" w:space="0" w:color="000000"/>
              <w:left w:val="single" w:sz="4" w:space="0" w:color="000000"/>
              <w:bottom w:val="single" w:sz="4" w:space="0" w:color="000000"/>
              <w:right w:val="single" w:sz="4" w:space="0" w:color="000000"/>
            </w:tcBorders>
          </w:tcPr>
          <w:p w14:paraId="0B4FACE3" w14:textId="77777777" w:rsidR="001C08A5" w:rsidRDefault="001C08A5">
            <w:pPr>
              <w:snapToGrid w:val="0"/>
              <w:rPr>
                <w:i/>
                <w:iCs/>
                <w:sz w:val="22"/>
                <w:szCs w:val="22"/>
              </w:rPr>
            </w:pPr>
          </w:p>
        </w:tc>
      </w:tr>
    </w:tbl>
    <w:p w14:paraId="6FB86EEC" w14:textId="77777777" w:rsidR="001C08A5" w:rsidRDefault="00000000">
      <w:pPr>
        <w:jc w:val="both"/>
        <w:rPr>
          <w:i/>
          <w:sz w:val="22"/>
          <w:szCs w:val="22"/>
        </w:rPr>
      </w:pPr>
      <w:r>
        <w:rPr>
          <w:i/>
          <w:sz w:val="22"/>
          <w:szCs w:val="22"/>
          <w:u w:val="single"/>
        </w:rPr>
        <w:t>Note</w:t>
      </w:r>
      <w:r>
        <w:rPr>
          <w:i/>
          <w:sz w:val="22"/>
          <w:szCs w:val="22"/>
        </w:rPr>
        <w:t xml:space="preserve">: </w:t>
      </w:r>
    </w:p>
    <w:p w14:paraId="118440FC" w14:textId="77777777" w:rsidR="001C08A5" w:rsidRDefault="00000000">
      <w:pPr>
        <w:jc w:val="both"/>
        <w:rPr>
          <w:b/>
          <w:i/>
          <w:sz w:val="22"/>
          <w:szCs w:val="22"/>
        </w:rPr>
      </w:pPr>
      <w:r>
        <w:rPr>
          <w:i/>
          <w:sz w:val="22"/>
          <w:szCs w:val="22"/>
        </w:rPr>
        <w:t xml:space="preserve">La clădirile pentru cultură care nu sunt săli aglomerate, clădiri înalte sau clădiri foarte înalte, dar sunt echipate cu instalaţii de detectare, semnalizare şi alarmare a incendiului cu acoperire totală, instalaţii automate de stingere a incendiilor </w:t>
      </w:r>
      <w:r>
        <w:rPr>
          <w:bCs/>
          <w:i/>
          <w:sz w:val="22"/>
          <w:szCs w:val="22"/>
        </w:rPr>
        <w:t xml:space="preserve">şi sisteme de evacuare a fumului din circulațiile comune orizontale (coridoare/ holuri) și casele de scări, </w:t>
      </w:r>
      <w:r>
        <w:rPr>
          <w:i/>
          <w:sz w:val="22"/>
          <w:szCs w:val="22"/>
        </w:rPr>
        <w:t xml:space="preserve">lungimile normate de evacuare a utilizatorilor se pot majora cu </w:t>
      </w:r>
      <w:r>
        <w:rPr>
          <w:b/>
          <w:bCs/>
          <w:i/>
          <w:sz w:val="22"/>
          <w:szCs w:val="22"/>
        </w:rPr>
        <w:t>25%</w:t>
      </w:r>
      <w:r>
        <w:rPr>
          <w:i/>
          <w:sz w:val="22"/>
          <w:szCs w:val="22"/>
        </w:rPr>
        <w:t>.</w:t>
      </w:r>
    </w:p>
    <w:p w14:paraId="19BDB0BB" w14:textId="77777777" w:rsidR="001C08A5" w:rsidRDefault="001C08A5">
      <w:pPr>
        <w:jc w:val="both"/>
        <w:rPr>
          <w:sz w:val="24"/>
          <w:szCs w:val="24"/>
        </w:rPr>
      </w:pPr>
    </w:p>
    <w:p w14:paraId="1D31BDB8" w14:textId="77777777" w:rsidR="001C08A5" w:rsidRDefault="00000000">
      <w:pPr>
        <w:ind w:firstLine="567"/>
        <w:jc w:val="both"/>
        <w:rPr>
          <w:sz w:val="24"/>
          <w:szCs w:val="24"/>
        </w:rPr>
      </w:pPr>
      <w:r>
        <w:rPr>
          <w:b/>
          <w:sz w:val="24"/>
          <w:szCs w:val="24"/>
        </w:rPr>
        <w:tab/>
        <w:t xml:space="preserve">Art. </w:t>
      </w:r>
      <w:r>
        <w:rPr>
          <w:b/>
          <w:bCs/>
          <w:sz w:val="24"/>
          <w:szCs w:val="24"/>
        </w:rPr>
        <w:t>3.2.5.</w:t>
      </w:r>
      <w:r>
        <w:rPr>
          <w:b/>
          <w:sz w:val="24"/>
          <w:szCs w:val="24"/>
        </w:rPr>
        <w:t xml:space="preserve">9. </w:t>
      </w:r>
      <w:r>
        <w:rPr>
          <w:sz w:val="24"/>
          <w:szCs w:val="24"/>
        </w:rPr>
        <w:t xml:space="preserve">Clădirile pentru cultură supraterane cu înălţimi obişnuite vor avea asigurat accesul și intervenţia autospecialelor de stingere în caz de incendiu, cel puţin pe o latură </w:t>
      </w:r>
      <w:r>
        <w:rPr>
          <w:rFonts w:eastAsia="Times-Roman"/>
          <w:sz w:val="24"/>
          <w:szCs w:val="24"/>
        </w:rPr>
        <w:t xml:space="preserve">şi, totodată, cel puţin pe </w:t>
      </w:r>
      <w:r>
        <w:rPr>
          <w:rFonts w:eastAsia="Times-Roman"/>
          <w:b/>
          <w:bCs/>
          <w:sz w:val="24"/>
          <w:szCs w:val="24"/>
        </w:rPr>
        <w:t>25%</w:t>
      </w:r>
      <w:r>
        <w:rPr>
          <w:rFonts w:eastAsia="Times-Roman"/>
          <w:sz w:val="24"/>
          <w:szCs w:val="24"/>
        </w:rPr>
        <w:t xml:space="preserve"> din perimetrul pereților exteriori.</w:t>
      </w:r>
    </w:p>
    <w:p w14:paraId="1847EFC6" w14:textId="77777777" w:rsidR="001C08A5" w:rsidRDefault="00000000">
      <w:pPr>
        <w:ind w:firstLine="720"/>
        <w:jc w:val="both"/>
        <w:rPr>
          <w:b/>
          <w:bCs/>
          <w:sz w:val="24"/>
          <w:szCs w:val="24"/>
        </w:rPr>
      </w:pPr>
      <w:r>
        <w:rPr>
          <w:b/>
          <w:sz w:val="24"/>
          <w:szCs w:val="24"/>
        </w:rPr>
        <w:lastRenderedPageBreak/>
        <w:t xml:space="preserve">(2) </w:t>
      </w:r>
      <w:r>
        <w:rPr>
          <w:bCs/>
          <w:sz w:val="24"/>
          <w:szCs w:val="24"/>
        </w:rPr>
        <w:t>În</w:t>
      </w:r>
      <w:r>
        <w:rPr>
          <w:sz w:val="24"/>
          <w:szCs w:val="24"/>
        </w:rPr>
        <w:t xml:space="preserve">conformitate cu capacitatea maximă simultană a clădirii pentru cultură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(2) </w:t>
      </w:r>
      <w:r>
        <w:rPr>
          <w:bCs/>
          <w:sz w:val="24"/>
          <w:szCs w:val="24"/>
        </w:rPr>
        <w:t>și</w:t>
      </w:r>
      <w:r>
        <w:rPr>
          <w:b/>
          <w:sz w:val="24"/>
          <w:szCs w:val="24"/>
        </w:rPr>
        <w:t xml:space="preserve"> (3). </w:t>
      </w:r>
      <w:r>
        <w:rPr>
          <w:bCs/>
          <w:sz w:val="24"/>
          <w:szCs w:val="24"/>
        </w:rPr>
        <w:t xml:space="preserve">Pentru o capacitate maxim simultană mai mare de </w:t>
      </w:r>
      <w:r>
        <w:rPr>
          <w:b/>
          <w:sz w:val="24"/>
          <w:szCs w:val="24"/>
        </w:rPr>
        <w:t>3500</w:t>
      </w:r>
      <w:r>
        <w:rPr>
          <w:bCs/>
          <w:sz w:val="24"/>
          <w:szCs w:val="24"/>
        </w:rPr>
        <w:t xml:space="preserve"> de persoane nu se ia în calcul </w:t>
      </w:r>
      <w:r>
        <w:rPr>
          <w:b/>
          <w:sz w:val="24"/>
          <w:szCs w:val="24"/>
        </w:rPr>
        <w:t xml:space="preserve">Art. </w:t>
      </w:r>
      <w:r>
        <w:rPr>
          <w:b/>
          <w:caps/>
          <w:sz w:val="24"/>
          <w:szCs w:val="24"/>
        </w:rPr>
        <w:t>2.6.</w:t>
      </w:r>
      <w:r>
        <w:rPr>
          <w:b/>
          <w:sz w:val="24"/>
          <w:szCs w:val="24"/>
        </w:rPr>
        <w:t xml:space="preserve">7. </w:t>
      </w:r>
      <w:r>
        <w:rPr>
          <w:bCs/>
          <w:sz w:val="24"/>
          <w:szCs w:val="24"/>
        </w:rPr>
        <w:t>alin.</w:t>
      </w:r>
      <w:r>
        <w:rPr>
          <w:b/>
          <w:sz w:val="24"/>
          <w:szCs w:val="24"/>
        </w:rPr>
        <w:t xml:space="preserve"> (3).</w:t>
      </w:r>
    </w:p>
    <w:p w14:paraId="1AC62DB0" w14:textId="77777777" w:rsidR="001C08A5" w:rsidRDefault="00000000">
      <w:pPr>
        <w:pStyle w:val="Heading4"/>
      </w:pPr>
      <w:bookmarkStart w:id="3693" w:name="_Toc11299"/>
      <w:bookmarkStart w:id="3694" w:name="_Toc162355294"/>
      <w:bookmarkStart w:id="3695" w:name="_Toc13635"/>
      <w:bookmarkStart w:id="3696" w:name="_Toc18562"/>
      <w:bookmarkStart w:id="3697" w:name="_Toc17092"/>
      <w:bookmarkStart w:id="3698" w:name="_Toc26295"/>
      <w:bookmarkStart w:id="3699" w:name="_Toc26208"/>
      <w:bookmarkStart w:id="3700" w:name="_Toc11579"/>
      <w:r>
        <w:t>3.2.6. Clădiri pentru învăţământ supraterane</w:t>
      </w:r>
      <w:bookmarkEnd w:id="3693"/>
      <w:bookmarkEnd w:id="3694"/>
      <w:bookmarkEnd w:id="3695"/>
      <w:bookmarkEnd w:id="3696"/>
      <w:bookmarkEnd w:id="3697"/>
      <w:bookmarkEnd w:id="3698"/>
      <w:bookmarkEnd w:id="3699"/>
      <w:bookmarkEnd w:id="3700"/>
    </w:p>
    <w:p w14:paraId="3FD3799A" w14:textId="77777777" w:rsidR="001C08A5" w:rsidRDefault="00000000">
      <w:pPr>
        <w:ind w:firstLine="567"/>
        <w:jc w:val="both"/>
        <w:rPr>
          <w:sz w:val="24"/>
          <w:szCs w:val="24"/>
        </w:rPr>
      </w:pPr>
      <w:r>
        <w:rPr>
          <w:b/>
          <w:sz w:val="24"/>
          <w:szCs w:val="24"/>
        </w:rPr>
        <w:t xml:space="preserve">Art. </w:t>
      </w:r>
      <w:r>
        <w:rPr>
          <w:b/>
          <w:bCs/>
          <w:sz w:val="24"/>
          <w:szCs w:val="24"/>
        </w:rPr>
        <w:t>3.2.6.</w:t>
      </w:r>
      <w:r>
        <w:rPr>
          <w:b/>
          <w:sz w:val="24"/>
          <w:szCs w:val="24"/>
        </w:rPr>
        <w:t xml:space="preserve">1. </w:t>
      </w:r>
      <w:r>
        <w:rPr>
          <w:sz w:val="24"/>
          <w:szCs w:val="24"/>
        </w:rPr>
        <w:t xml:space="preserve">Clădirile </w:t>
      </w:r>
      <w:r>
        <w:rPr>
          <w:bCs/>
          <w:sz w:val="24"/>
          <w:szCs w:val="24"/>
        </w:rPr>
        <w:t>pentru învăţământ supraterane cu înălţimi obişnuite</w:t>
      </w:r>
      <w:r>
        <w:rPr>
          <w:sz w:val="24"/>
          <w:szCs w:val="24"/>
        </w:rPr>
        <w:t xml:space="preserve"> (învăţământ preşcolar, învăţământ primar, secundar, </w:t>
      </w:r>
      <w:r>
        <w:rPr>
          <w:iCs/>
          <w:sz w:val="24"/>
          <w:szCs w:val="24"/>
        </w:rPr>
        <w:t>terţiar nonuniversitar</w:t>
      </w:r>
      <w:r>
        <w:rPr>
          <w:sz w:val="24"/>
          <w:szCs w:val="24"/>
        </w:rPr>
        <w:t xml:space="preserve"> şi universitar, after school, spatii cazare pentru elevi si studenti, internate, cantine scolare, sali de sport aferente functiunii de invatamant, etc.), se proiectează, realizează și utilizează în conformitate cu prevederile normativului şi reglementărilor tehnice aplicabile, asigurându-se îndeplinirea condiţiilor, performanţelor și nivelurilor de performanţă normate diferenţiat, în funcţie de vârsta utilizatorilor și programele funcţionale de învăţămînt. </w:t>
      </w:r>
    </w:p>
    <w:p w14:paraId="2EECD96B" w14:textId="77777777" w:rsidR="001C08A5" w:rsidRDefault="001C08A5">
      <w:pPr>
        <w:jc w:val="both"/>
        <w:rPr>
          <w:sz w:val="24"/>
          <w:szCs w:val="24"/>
        </w:rPr>
      </w:pPr>
    </w:p>
    <w:p w14:paraId="4F5DBADB" w14:textId="77777777" w:rsidR="001C08A5" w:rsidRDefault="00000000">
      <w:pPr>
        <w:ind w:firstLine="567"/>
        <w:jc w:val="both"/>
        <w:rPr>
          <w:sz w:val="24"/>
          <w:szCs w:val="24"/>
        </w:rPr>
      </w:pPr>
      <w:r>
        <w:rPr>
          <w:b/>
          <w:sz w:val="24"/>
          <w:szCs w:val="24"/>
        </w:rPr>
        <w:t xml:space="preserve">Art. </w:t>
      </w:r>
      <w:r>
        <w:rPr>
          <w:b/>
          <w:bCs/>
          <w:sz w:val="24"/>
          <w:szCs w:val="24"/>
        </w:rPr>
        <w:t>3.2.6.</w:t>
      </w:r>
      <w:r>
        <w:rPr>
          <w:b/>
          <w:sz w:val="24"/>
          <w:szCs w:val="24"/>
        </w:rPr>
        <w:t xml:space="preserve">2. </w:t>
      </w:r>
      <w:r>
        <w:rPr>
          <w:sz w:val="24"/>
          <w:szCs w:val="24"/>
        </w:rPr>
        <w:t xml:space="preserve">Clădirile </w:t>
      </w:r>
      <w:r>
        <w:rPr>
          <w:bCs/>
          <w:sz w:val="24"/>
          <w:szCs w:val="24"/>
        </w:rPr>
        <w:t>pentru învăţămînt supraterane cu înălţimi obişnuite</w:t>
      </w:r>
      <w:r>
        <w:rPr>
          <w:sz w:val="24"/>
          <w:szCs w:val="24"/>
        </w:rPr>
        <w:t xml:space="preserve"> se amplasează independent, la distanţe de siguranţă faţă de clădirile învecinate sau se compartimentează faţă de acestea prin pereti antifoc. Se recomandă majorarea distanţelor de siguranţă normate cu cel puţin </w:t>
      </w:r>
      <w:r>
        <w:rPr>
          <w:b/>
          <w:sz w:val="24"/>
          <w:szCs w:val="24"/>
        </w:rPr>
        <w:t>50%</w:t>
      </w:r>
      <w:r>
        <w:rPr>
          <w:sz w:val="24"/>
          <w:szCs w:val="24"/>
        </w:rPr>
        <w:t xml:space="preserve">, iar atunci când se alipesc de alte clădiri se compartimentează corespunzător densităţii sarcinii termice (q) din spaţiile adiacente, conform prevederilor normativului şi ale celor precizate în </w:t>
      </w:r>
      <w:r>
        <w:rPr>
          <w:b/>
          <w:sz w:val="24"/>
          <w:szCs w:val="24"/>
        </w:rPr>
        <w:t xml:space="preserve">Art. </w:t>
      </w:r>
      <w:r>
        <w:rPr>
          <w:b/>
          <w:bCs/>
          <w:sz w:val="24"/>
          <w:szCs w:val="24"/>
        </w:rPr>
        <w:t>2.3.1.2.</w:t>
      </w:r>
      <w:r>
        <w:rPr>
          <w:sz w:val="24"/>
          <w:szCs w:val="24"/>
        </w:rPr>
        <w:t xml:space="preserve"> şi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sz w:val="24"/>
          <w:szCs w:val="24"/>
        </w:rPr>
        <w:t xml:space="preserve"> dar cu pereţi antifoc minimum </w:t>
      </w:r>
      <w:r>
        <w:rPr>
          <w:b/>
          <w:sz w:val="24"/>
          <w:szCs w:val="24"/>
        </w:rPr>
        <w:t>EI-M 180/REI 180</w:t>
      </w:r>
      <w:r>
        <w:rPr>
          <w:sz w:val="24"/>
          <w:szCs w:val="24"/>
        </w:rPr>
        <w:t xml:space="preserve"> şi planşee minimum </w:t>
      </w:r>
      <w:r>
        <w:rPr>
          <w:b/>
          <w:sz w:val="24"/>
          <w:szCs w:val="24"/>
        </w:rPr>
        <w:t>REI 60</w:t>
      </w:r>
      <w:r>
        <w:rPr>
          <w:sz w:val="24"/>
          <w:szCs w:val="24"/>
        </w:rPr>
        <w:t>.</w:t>
      </w:r>
    </w:p>
    <w:p w14:paraId="59D64D5B" w14:textId="77777777" w:rsidR="001C08A5" w:rsidRDefault="001C08A5">
      <w:pPr>
        <w:jc w:val="both"/>
        <w:rPr>
          <w:sz w:val="24"/>
          <w:szCs w:val="24"/>
        </w:rPr>
      </w:pPr>
    </w:p>
    <w:p w14:paraId="0D62882F" w14:textId="77777777" w:rsidR="001C08A5" w:rsidRDefault="00000000">
      <w:pPr>
        <w:ind w:firstLine="567"/>
        <w:jc w:val="both"/>
        <w:rPr>
          <w:sz w:val="24"/>
          <w:szCs w:val="24"/>
        </w:rPr>
      </w:pPr>
      <w:r>
        <w:rPr>
          <w:b/>
          <w:sz w:val="24"/>
          <w:szCs w:val="24"/>
        </w:rPr>
        <w:t xml:space="preserve">Art. </w:t>
      </w:r>
      <w:r>
        <w:rPr>
          <w:b/>
          <w:bCs/>
          <w:sz w:val="24"/>
          <w:szCs w:val="24"/>
        </w:rPr>
        <w:t>3.2.6.</w:t>
      </w:r>
      <w:r>
        <w:rPr>
          <w:b/>
          <w:sz w:val="24"/>
          <w:szCs w:val="24"/>
        </w:rPr>
        <w:t xml:space="preserve">3. (1) </w:t>
      </w:r>
      <w:r>
        <w:rPr>
          <w:sz w:val="24"/>
          <w:szCs w:val="24"/>
        </w:rPr>
        <w:t xml:space="preserve">Încăperile cu risc </w:t>
      </w:r>
      <w:r>
        <w:rPr>
          <w:bCs/>
          <w:sz w:val="24"/>
          <w:szCs w:val="24"/>
        </w:rPr>
        <w:t>mijlociu sau mare</w:t>
      </w:r>
      <w:r>
        <w:rPr>
          <w:sz w:val="24"/>
          <w:szCs w:val="24"/>
        </w:rPr>
        <w:t xml:space="preserve"> de incendiu (laboratoare, depozite, ateliere, etc.) din clădirile </w:t>
      </w:r>
      <w:r>
        <w:rPr>
          <w:bCs/>
          <w:sz w:val="24"/>
          <w:szCs w:val="24"/>
        </w:rPr>
        <w:t>pentru învăţămînt supraterane cu înălţimi obişnuite</w:t>
      </w:r>
      <w:r>
        <w:rPr>
          <w:sz w:val="24"/>
          <w:szCs w:val="24"/>
        </w:rPr>
        <w:t>, vor fi dispuse pe cât posibil, izolat faţă de sălile de clasă sau separate prin elemente de construcţie rezistente la foc, alcătuite și realizate corespunzător densităţii sarcinii termice (</w:t>
      </w:r>
      <w:r>
        <w:rPr>
          <w:b/>
          <w:sz w:val="24"/>
          <w:szCs w:val="24"/>
        </w:rPr>
        <w:t>q</w:t>
      </w:r>
      <w:r>
        <w:rPr>
          <w:sz w:val="24"/>
          <w:szCs w:val="24"/>
        </w:rPr>
        <w:t>) și riscului de incendiu din spaţiile adiacente.</w:t>
      </w:r>
    </w:p>
    <w:p w14:paraId="180F2AAC" w14:textId="77777777" w:rsidR="001C08A5" w:rsidRDefault="00000000">
      <w:pPr>
        <w:ind w:firstLine="720"/>
        <w:jc w:val="both"/>
        <w:rPr>
          <w:b/>
          <w:sz w:val="24"/>
          <w:szCs w:val="24"/>
        </w:rPr>
      </w:pPr>
      <w:r>
        <w:rPr>
          <w:b/>
          <w:sz w:val="24"/>
          <w:szCs w:val="24"/>
        </w:rPr>
        <w:t xml:space="preserve">(2) </w:t>
      </w:r>
      <w:r>
        <w:rPr>
          <w:sz w:val="24"/>
          <w:szCs w:val="24"/>
        </w:rPr>
        <w:t>În condiţiile asigurării funcţionalităţii specifice, se vor lua măsuri de limitare a surselor potenţiale de izbucnire a incendiilor şi reducere a materialelor și a substanţelor combustibile din spaţiile și zonele accesibile utilizatorilor.</w:t>
      </w:r>
    </w:p>
    <w:p w14:paraId="18E4D9C9" w14:textId="77777777" w:rsidR="001C08A5" w:rsidRDefault="001C08A5">
      <w:pPr>
        <w:ind w:firstLine="708"/>
        <w:jc w:val="both"/>
        <w:rPr>
          <w:b/>
          <w:sz w:val="24"/>
          <w:szCs w:val="24"/>
        </w:rPr>
      </w:pPr>
    </w:p>
    <w:p w14:paraId="1E83AA92" w14:textId="77777777" w:rsidR="001C08A5" w:rsidRDefault="00000000">
      <w:pPr>
        <w:ind w:firstLine="567"/>
        <w:jc w:val="both"/>
        <w:rPr>
          <w:b/>
          <w:sz w:val="24"/>
          <w:szCs w:val="24"/>
        </w:rPr>
      </w:pPr>
      <w:r>
        <w:rPr>
          <w:b/>
          <w:sz w:val="24"/>
          <w:szCs w:val="24"/>
        </w:rPr>
        <w:t xml:space="preserve">Art. </w:t>
      </w:r>
      <w:r>
        <w:rPr>
          <w:b/>
          <w:bCs/>
          <w:sz w:val="24"/>
          <w:szCs w:val="24"/>
        </w:rPr>
        <w:t>3.2.6.</w:t>
      </w:r>
      <w:r>
        <w:rPr>
          <w:b/>
          <w:sz w:val="24"/>
          <w:szCs w:val="24"/>
        </w:rPr>
        <w:t xml:space="preserve">4. (1) </w:t>
      </w:r>
      <w:r>
        <w:rPr>
          <w:sz w:val="24"/>
          <w:szCs w:val="24"/>
        </w:rPr>
        <w:t xml:space="preserve">Încăperile auxiliare şi anexe (centrale termice, staţii tehnice, gospodării de combustibil, grupuri electrogene etc.) aferente, se dispun independent, sau atunci când se comasează cu clădirea de învăţămînt, se separă prin pereţi și planşee rezistente la foc conform prevederilor normativului. Acolo unde acestea nu sunt în mod expres specificate, se aplică prevederile din </w:t>
      </w:r>
      <w:r>
        <w:rPr>
          <w:b/>
          <w:sz w:val="24"/>
          <w:szCs w:val="24"/>
        </w:rPr>
        <w:t xml:space="preserve">Art. </w:t>
      </w:r>
      <w:r>
        <w:rPr>
          <w:b/>
          <w:bCs/>
          <w:sz w:val="24"/>
          <w:szCs w:val="24"/>
        </w:rPr>
        <w:t>2.3.1.2.</w:t>
      </w:r>
      <w:r>
        <w:rPr>
          <w:sz w:val="24"/>
          <w:szCs w:val="24"/>
        </w:rPr>
        <w:t xml:space="preserve"> şi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b/>
          <w:bCs/>
          <w:i/>
          <w:iCs/>
          <w:sz w:val="24"/>
          <w:szCs w:val="24"/>
        </w:rPr>
        <w:t xml:space="preserve"> </w:t>
      </w:r>
      <w:r>
        <w:rPr>
          <w:bCs/>
          <w:sz w:val="24"/>
          <w:szCs w:val="24"/>
        </w:rPr>
        <w:t>și</w:t>
      </w:r>
      <w:r>
        <w:rPr>
          <w:b/>
          <w:sz w:val="24"/>
          <w:szCs w:val="24"/>
        </w:rPr>
        <w:t xml:space="preserve"> </w:t>
      </w:r>
      <w:r>
        <w:rPr>
          <w:sz w:val="24"/>
          <w:szCs w:val="24"/>
        </w:rPr>
        <w:t xml:space="preserve">ale reglementărilor tehnice specifice. Spaţiile auxiliare şi anexele vor avea căi de acces separate de cele aferente construcţiei pentru învăţămînt. </w:t>
      </w:r>
    </w:p>
    <w:p w14:paraId="3C335F82" w14:textId="77777777" w:rsidR="001C08A5" w:rsidRDefault="00000000">
      <w:pPr>
        <w:ind w:firstLine="720"/>
        <w:jc w:val="both"/>
        <w:rPr>
          <w:sz w:val="24"/>
          <w:szCs w:val="24"/>
        </w:rPr>
      </w:pPr>
      <w:r>
        <w:rPr>
          <w:b/>
          <w:bCs/>
          <w:sz w:val="24"/>
          <w:szCs w:val="24"/>
        </w:rPr>
        <w:t>(2)</w:t>
      </w:r>
      <w:r>
        <w:rPr>
          <w:sz w:val="24"/>
          <w:szCs w:val="24"/>
        </w:rPr>
        <w:t xml:space="preserve"> Nu este admisă amplasarea centralelor și a punctelor termice în, sub sau deasupra încăperilor pentru învăţământ.</w:t>
      </w:r>
    </w:p>
    <w:p w14:paraId="19E3C81C" w14:textId="77777777" w:rsidR="001C08A5" w:rsidRDefault="00000000">
      <w:pPr>
        <w:ind w:firstLine="720"/>
        <w:jc w:val="both"/>
        <w:rPr>
          <w:sz w:val="24"/>
          <w:szCs w:val="24"/>
        </w:rPr>
      </w:pPr>
      <w:r>
        <w:rPr>
          <w:b/>
          <w:sz w:val="24"/>
          <w:szCs w:val="24"/>
        </w:rPr>
        <w:t xml:space="preserve">(3) </w:t>
      </w:r>
      <w:r>
        <w:rPr>
          <w:sz w:val="24"/>
          <w:szCs w:val="24"/>
        </w:rPr>
        <w:t>În spaţiile auxiliare şi anexe se vor respecta regulile şi măsurile specifice de securitate în caz de incendiu, stabilite în funcţie de destinaţia și riscul de incendiu al acestora.</w:t>
      </w:r>
    </w:p>
    <w:p w14:paraId="52809165" w14:textId="77777777" w:rsidR="001C08A5" w:rsidRDefault="00000000">
      <w:pPr>
        <w:ind w:firstLine="720"/>
        <w:jc w:val="both"/>
        <w:rPr>
          <w:sz w:val="24"/>
          <w:szCs w:val="24"/>
        </w:rPr>
      </w:pPr>
      <w:r>
        <w:rPr>
          <w:b/>
          <w:sz w:val="24"/>
          <w:szCs w:val="24"/>
        </w:rPr>
        <w:t xml:space="preserve">(4) </w:t>
      </w:r>
      <w:r>
        <w:rPr>
          <w:sz w:val="24"/>
          <w:szCs w:val="24"/>
        </w:rPr>
        <w:t>Se interzice folosirea sau depozitarea lichidelor ori a gazelor combustibile în alte locuri decât cele special amenajate şi în cantităţile stabilite, precum și fără respectarea măsurilor de apărare împotriva incendiilor specifice acestora.</w:t>
      </w:r>
    </w:p>
    <w:p w14:paraId="2956A483" w14:textId="77777777" w:rsidR="001C08A5" w:rsidRDefault="001C08A5">
      <w:pPr>
        <w:jc w:val="both"/>
        <w:rPr>
          <w:sz w:val="24"/>
          <w:szCs w:val="24"/>
        </w:rPr>
      </w:pPr>
    </w:p>
    <w:p w14:paraId="7BF200BD" w14:textId="77777777" w:rsidR="001C08A5" w:rsidRDefault="00000000">
      <w:pPr>
        <w:ind w:firstLine="567"/>
        <w:jc w:val="both"/>
        <w:rPr>
          <w:sz w:val="24"/>
          <w:szCs w:val="24"/>
        </w:rPr>
      </w:pPr>
      <w:r>
        <w:rPr>
          <w:b/>
          <w:sz w:val="24"/>
          <w:szCs w:val="24"/>
        </w:rPr>
        <w:t xml:space="preserve">Art. </w:t>
      </w:r>
      <w:r>
        <w:rPr>
          <w:b/>
          <w:bCs/>
          <w:sz w:val="24"/>
          <w:szCs w:val="24"/>
        </w:rPr>
        <w:t>3.2.6.</w:t>
      </w:r>
      <w:r>
        <w:rPr>
          <w:b/>
          <w:sz w:val="24"/>
          <w:szCs w:val="24"/>
        </w:rPr>
        <w:t>5. (1)</w:t>
      </w:r>
      <w:r>
        <w:rPr>
          <w:sz w:val="24"/>
          <w:szCs w:val="24"/>
        </w:rPr>
        <w:t xml:space="preserve"> Clădirile </w:t>
      </w:r>
      <w:r>
        <w:rPr>
          <w:bCs/>
          <w:sz w:val="24"/>
          <w:szCs w:val="24"/>
        </w:rPr>
        <w:t>pentru învăţămînt supraterane cu înălţimi obişnuite</w:t>
      </w:r>
      <w:r>
        <w:rPr>
          <w:sz w:val="24"/>
          <w:szCs w:val="24"/>
        </w:rPr>
        <w:t xml:space="preserve"> se realizează din materiale şi elemente de construcţie rezistente la foc, conformându-se astfel încât să îndeplinească condiţiile de corelare între destinaţie, nivelul de stabilitate la incendiu asigurat, aria construită (Ac) şi numărul de niveluri, potrivit prevederilor din </w:t>
      </w:r>
      <w:r>
        <w:rPr>
          <w:b/>
          <w:sz w:val="24"/>
          <w:szCs w:val="24"/>
        </w:rPr>
        <w:t xml:space="preserve">Art. </w:t>
      </w:r>
      <w:r>
        <w:rPr>
          <w:b/>
          <w:caps/>
          <w:sz w:val="24"/>
          <w:szCs w:val="24"/>
        </w:rPr>
        <w:t>3.1.2.</w:t>
      </w:r>
      <w:r>
        <w:rPr>
          <w:b/>
          <w:sz w:val="24"/>
          <w:szCs w:val="24"/>
        </w:rPr>
        <w:t>6.</w:t>
      </w:r>
      <w:r>
        <w:rPr>
          <w:sz w:val="24"/>
          <w:szCs w:val="24"/>
        </w:rPr>
        <w:t>,</w:t>
      </w:r>
      <w:r>
        <w:rPr>
          <w:b/>
          <w:sz w:val="24"/>
          <w:szCs w:val="24"/>
        </w:rPr>
        <w:t xml:space="preserve"> Art. </w:t>
      </w:r>
      <w:r>
        <w:rPr>
          <w:b/>
          <w:caps/>
          <w:sz w:val="24"/>
          <w:szCs w:val="24"/>
        </w:rPr>
        <w:t>3.1.2.</w:t>
      </w:r>
      <w:r>
        <w:rPr>
          <w:b/>
          <w:sz w:val="24"/>
          <w:szCs w:val="24"/>
        </w:rPr>
        <w:t xml:space="preserve">7. </w:t>
      </w:r>
      <w:r>
        <w:rPr>
          <w:sz w:val="24"/>
          <w:szCs w:val="24"/>
        </w:rPr>
        <w:t xml:space="preserve">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 xml:space="preserve"> și</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sz w:val="24"/>
          <w:szCs w:val="24"/>
        </w:rPr>
        <w:t>.</w:t>
      </w:r>
    </w:p>
    <w:p w14:paraId="0E1359FC" w14:textId="77777777" w:rsidR="001C08A5" w:rsidRDefault="00000000">
      <w:pPr>
        <w:ind w:firstLine="720"/>
        <w:jc w:val="both"/>
        <w:rPr>
          <w:sz w:val="24"/>
          <w:szCs w:val="24"/>
        </w:rPr>
      </w:pPr>
      <w:r>
        <w:rPr>
          <w:b/>
          <w:sz w:val="24"/>
          <w:szCs w:val="24"/>
        </w:rPr>
        <w:t xml:space="preserve">(2) </w:t>
      </w:r>
      <w:r>
        <w:rPr>
          <w:sz w:val="24"/>
          <w:szCs w:val="24"/>
        </w:rPr>
        <w:t xml:space="preserve">Finisajele, tratamentele și izolaţiile termice și fonice din spaţiile accesibile utilizatorilor  trebuie să aibă clasa de reacţie la foc </w:t>
      </w:r>
      <w:r>
        <w:rPr>
          <w:bCs/>
          <w:sz w:val="24"/>
          <w:szCs w:val="24"/>
        </w:rPr>
        <w:t xml:space="preserve">minimum </w:t>
      </w:r>
      <w:r>
        <w:rPr>
          <w:b/>
          <w:sz w:val="24"/>
          <w:szCs w:val="24"/>
        </w:rPr>
        <w:t>C-s1,d0</w:t>
      </w:r>
      <w:r>
        <w:rPr>
          <w:sz w:val="24"/>
          <w:szCs w:val="24"/>
        </w:rPr>
        <w:t>.</w:t>
      </w:r>
    </w:p>
    <w:p w14:paraId="176FCDD3" w14:textId="77777777" w:rsidR="001C08A5" w:rsidRDefault="00000000">
      <w:pPr>
        <w:ind w:firstLine="720"/>
        <w:jc w:val="both"/>
        <w:rPr>
          <w:sz w:val="24"/>
          <w:szCs w:val="24"/>
        </w:rPr>
      </w:pPr>
      <w:r>
        <w:rPr>
          <w:b/>
          <w:sz w:val="24"/>
          <w:szCs w:val="24"/>
        </w:rPr>
        <w:t xml:space="preserve">(3) </w:t>
      </w:r>
      <w:r>
        <w:rPr>
          <w:sz w:val="24"/>
          <w:szCs w:val="24"/>
        </w:rPr>
        <w:t xml:space="preserve">Limitarea propagării fumului în spaţiile, încăperile, coridoarele şi scările de evacuare, se asigură prin prevederea unor elemente despărţitoare verticale şi orizontale (pereţi </w:t>
      </w:r>
      <w:r>
        <w:rPr>
          <w:b/>
          <w:bCs/>
          <w:sz w:val="24"/>
          <w:szCs w:val="24"/>
        </w:rPr>
        <w:t xml:space="preserve">EI </w:t>
      </w:r>
      <w:r>
        <w:rPr>
          <w:sz w:val="24"/>
          <w:szCs w:val="24"/>
        </w:rPr>
        <w:t>sau</w:t>
      </w:r>
      <w:r>
        <w:rPr>
          <w:b/>
          <w:sz w:val="24"/>
          <w:szCs w:val="24"/>
        </w:rPr>
        <w:t xml:space="preserve"> REI</w:t>
      </w:r>
      <w:r>
        <w:rPr>
          <w:sz w:val="24"/>
          <w:szCs w:val="24"/>
        </w:rPr>
        <w:t xml:space="preserve">,după caz, planşee </w:t>
      </w:r>
      <w:r>
        <w:rPr>
          <w:b/>
          <w:bCs/>
          <w:sz w:val="24"/>
          <w:szCs w:val="24"/>
        </w:rPr>
        <w:t>REI</w:t>
      </w:r>
      <w:r>
        <w:rPr>
          <w:sz w:val="24"/>
          <w:szCs w:val="24"/>
        </w:rPr>
        <w:t>), alcătuite și dimensionate conform prevederilor normativului şi ale reglementărilor tehnice specifice, protejându-se corespunzător golurile de circulaţie funcţională şi de evacuare din acestea.</w:t>
      </w:r>
    </w:p>
    <w:p w14:paraId="3737D0C0" w14:textId="77777777" w:rsidR="001C08A5" w:rsidRDefault="00000000">
      <w:pPr>
        <w:ind w:firstLine="720"/>
        <w:jc w:val="both"/>
        <w:rPr>
          <w:sz w:val="24"/>
          <w:szCs w:val="24"/>
        </w:rPr>
      </w:pPr>
      <w:r>
        <w:rPr>
          <w:b/>
          <w:sz w:val="24"/>
          <w:szCs w:val="24"/>
        </w:rPr>
        <w:lastRenderedPageBreak/>
        <w:t xml:space="preserve">(4) </w:t>
      </w:r>
      <w:r>
        <w:rPr>
          <w:sz w:val="24"/>
          <w:szCs w:val="24"/>
        </w:rPr>
        <w:t xml:space="preserve">În spaţiile accesibile copiilor preşcolari și a celor din învățământul primar și secundar este admisă utilizarea numai a elementelor de construcţie, a materialelor, a finisajelor, panourilor de tamplarie, tratamentelor şi izolaţiilor termice și fonice clasa de reacţie la foc </w:t>
      </w:r>
      <w:r>
        <w:rPr>
          <w:b/>
          <w:sz w:val="24"/>
          <w:szCs w:val="24"/>
        </w:rPr>
        <w:t>A1, A2-s1,d0</w:t>
      </w:r>
      <w:r>
        <w:rPr>
          <w:sz w:val="24"/>
          <w:szCs w:val="24"/>
        </w:rPr>
        <w:t xml:space="preserve"> ori </w:t>
      </w:r>
      <w:r>
        <w:rPr>
          <w:b/>
          <w:sz w:val="24"/>
          <w:szCs w:val="24"/>
        </w:rPr>
        <w:t xml:space="preserve">B-s1,d0, </w:t>
      </w:r>
      <w:r>
        <w:rPr>
          <w:sz w:val="24"/>
          <w:szCs w:val="24"/>
        </w:rPr>
        <w:t>cu excepția panourilor de tâmplărie (uși, ferestre) metalice sau din lemn cu vitraj de sticlă.</w:t>
      </w:r>
    </w:p>
    <w:p w14:paraId="735018F5" w14:textId="77777777" w:rsidR="001C08A5" w:rsidRDefault="00000000">
      <w:pPr>
        <w:ind w:firstLine="720"/>
        <w:jc w:val="both"/>
        <w:rPr>
          <w:b/>
          <w:sz w:val="24"/>
          <w:szCs w:val="24"/>
        </w:rPr>
      </w:pPr>
      <w:r>
        <w:rPr>
          <w:b/>
          <w:bCs/>
          <w:iCs/>
          <w:sz w:val="24"/>
          <w:szCs w:val="24"/>
        </w:rPr>
        <w:t xml:space="preserve">(5) </w:t>
      </w:r>
      <w:r>
        <w:rPr>
          <w:iCs/>
          <w:sz w:val="24"/>
          <w:szCs w:val="24"/>
        </w:rPr>
        <w:t xml:space="preserve">Prin excepție de la prevederile </w:t>
      </w:r>
      <w:r>
        <w:rPr>
          <w:b/>
          <w:bCs/>
          <w:iCs/>
          <w:sz w:val="24"/>
          <w:szCs w:val="24"/>
        </w:rPr>
        <w:t>alin. (4)</w:t>
      </w:r>
      <w:r>
        <w:rPr>
          <w:iCs/>
          <w:sz w:val="24"/>
          <w:szCs w:val="24"/>
        </w:rPr>
        <w:t xml:space="preserve">, în clădirile de invatamant se admite utilizarea finisajelor combustibile la pereți minim </w:t>
      </w:r>
      <w:r>
        <w:rPr>
          <w:b/>
          <w:bCs/>
          <w:iCs/>
          <w:sz w:val="24"/>
          <w:szCs w:val="24"/>
        </w:rPr>
        <w:t>B-s2d0</w:t>
      </w:r>
      <w:r>
        <w:rPr>
          <w:iCs/>
          <w:sz w:val="24"/>
          <w:szCs w:val="24"/>
        </w:rPr>
        <w:t xml:space="preserve">, lipit pe suprafață incombustibilă, respectiv la pardoseli minim </w:t>
      </w:r>
      <w:r>
        <w:rPr>
          <w:b/>
          <w:bCs/>
          <w:iCs/>
          <w:sz w:val="24"/>
          <w:szCs w:val="24"/>
        </w:rPr>
        <w:t>B</w:t>
      </w:r>
      <w:r>
        <w:rPr>
          <w:b/>
          <w:bCs/>
          <w:iCs/>
          <w:sz w:val="24"/>
          <w:szCs w:val="24"/>
          <w:vertAlign w:val="subscript"/>
        </w:rPr>
        <w:t>fl</w:t>
      </w:r>
      <w:r>
        <w:rPr>
          <w:b/>
          <w:bCs/>
          <w:iCs/>
          <w:sz w:val="24"/>
          <w:szCs w:val="24"/>
        </w:rPr>
        <w:t>-s1</w:t>
      </w:r>
      <w:r>
        <w:rPr>
          <w:iCs/>
          <w:sz w:val="24"/>
          <w:szCs w:val="24"/>
        </w:rPr>
        <w:t>, lipită pe suprafață incombustibilă, inclusiv pe căile de evacuare.</w:t>
      </w:r>
    </w:p>
    <w:p w14:paraId="62DA6C95" w14:textId="77777777" w:rsidR="001C08A5" w:rsidRDefault="001C08A5">
      <w:pPr>
        <w:ind w:firstLine="567"/>
        <w:jc w:val="both"/>
        <w:rPr>
          <w:b/>
          <w:sz w:val="24"/>
          <w:szCs w:val="24"/>
        </w:rPr>
      </w:pPr>
    </w:p>
    <w:p w14:paraId="70847A73" w14:textId="77777777" w:rsidR="001C08A5" w:rsidRDefault="00000000">
      <w:pPr>
        <w:ind w:firstLine="567"/>
        <w:jc w:val="both"/>
        <w:rPr>
          <w:b/>
          <w:sz w:val="24"/>
          <w:szCs w:val="24"/>
        </w:rPr>
      </w:pPr>
      <w:r>
        <w:rPr>
          <w:b/>
          <w:sz w:val="24"/>
          <w:szCs w:val="24"/>
        </w:rPr>
        <w:t xml:space="preserve">Art. </w:t>
      </w:r>
      <w:r>
        <w:rPr>
          <w:b/>
          <w:bCs/>
          <w:sz w:val="24"/>
          <w:szCs w:val="24"/>
        </w:rPr>
        <w:t>3.2.6.</w:t>
      </w:r>
      <w:r>
        <w:rPr>
          <w:b/>
          <w:sz w:val="24"/>
          <w:szCs w:val="24"/>
        </w:rPr>
        <w:t xml:space="preserve">6. </w:t>
      </w:r>
      <w:r>
        <w:rPr>
          <w:sz w:val="24"/>
          <w:szCs w:val="24"/>
        </w:rPr>
        <w:t xml:space="preserve">Comportarea la foc a pereţilor, uşilor și planşeelor de separare a caselor de scări închise din clădirile pentru învăţămînt </w:t>
      </w:r>
      <w:r>
        <w:rPr>
          <w:bCs/>
          <w:sz w:val="24"/>
          <w:szCs w:val="24"/>
        </w:rPr>
        <w:t xml:space="preserve">secundar, terţiar, nonuniversitar și universitar </w:t>
      </w:r>
      <w:r>
        <w:rPr>
          <w:sz w:val="24"/>
          <w:szCs w:val="24"/>
        </w:rPr>
        <w:t xml:space="preserve">supraterane cu înălţimi obişnuite, trebuie să corespundă prevederilor din </w:t>
      </w:r>
      <w:r>
        <w:rPr>
          <w:b/>
          <w:bCs/>
          <w:i/>
          <w:iCs/>
          <w:sz w:val="24"/>
          <w:szCs w:val="24"/>
        </w:rPr>
        <w:fldChar w:fldCharType="begin"/>
      </w:r>
      <w:r>
        <w:rPr>
          <w:b/>
          <w:bCs/>
          <w:i/>
          <w:iCs/>
          <w:sz w:val="24"/>
          <w:szCs w:val="24"/>
        </w:rPr>
        <w:instrText xml:space="preserve"> REF _Ref16104 \h </w:instrText>
      </w:r>
      <w:r>
        <w:rPr>
          <w:b/>
          <w:bCs/>
          <w:i/>
          <w:iCs/>
          <w:sz w:val="24"/>
          <w:szCs w:val="24"/>
        </w:rPr>
      </w:r>
      <w:r>
        <w:rPr>
          <w:b/>
          <w:bCs/>
          <w:i/>
          <w:iCs/>
          <w:sz w:val="24"/>
          <w:szCs w:val="24"/>
        </w:rPr>
        <w:fldChar w:fldCharType="separate"/>
      </w:r>
      <w:r>
        <w:t>Tabelul 73</w:t>
      </w:r>
      <w:r>
        <w:rPr>
          <w:b/>
          <w:bCs/>
          <w:i/>
          <w:iCs/>
          <w:sz w:val="24"/>
          <w:szCs w:val="24"/>
        </w:rPr>
        <w:fldChar w:fldCharType="end"/>
      </w:r>
      <w:r>
        <w:rPr>
          <w:sz w:val="24"/>
          <w:szCs w:val="24"/>
        </w:rPr>
        <w:t>.</w:t>
      </w:r>
    </w:p>
    <w:p w14:paraId="255A8451" w14:textId="77777777" w:rsidR="001C08A5" w:rsidRDefault="001C08A5">
      <w:pPr>
        <w:jc w:val="both"/>
        <w:rPr>
          <w:b/>
          <w:sz w:val="24"/>
          <w:szCs w:val="24"/>
        </w:rPr>
      </w:pPr>
    </w:p>
    <w:p w14:paraId="1C92D8B1" w14:textId="77777777" w:rsidR="001C08A5" w:rsidRDefault="00000000">
      <w:pPr>
        <w:pStyle w:val="Captiontabel"/>
      </w:pPr>
      <w:bookmarkStart w:id="3701" w:name="_Ref16104"/>
      <w:bookmarkStart w:id="3702" w:name="_Toc162360123"/>
      <w:r>
        <w:t xml:space="preserve">Tabelul </w:t>
      </w:r>
      <w:r>
        <w:fldChar w:fldCharType="begin"/>
      </w:r>
      <w:r>
        <w:instrText xml:space="preserve"> SEQ Tabelul \* ARABIC </w:instrText>
      </w:r>
      <w:r>
        <w:fldChar w:fldCharType="separate"/>
      </w:r>
      <w:r>
        <w:t>73</w:t>
      </w:r>
      <w:r>
        <w:fldChar w:fldCharType="end"/>
      </w:r>
      <w:bookmarkStart w:id="3703" w:name="_Toc13788"/>
      <w:bookmarkStart w:id="3704" w:name="_Toc19255"/>
      <w:bookmarkStart w:id="3705" w:name="_Toc14975"/>
      <w:bookmarkStart w:id="3706" w:name="_Toc16320"/>
      <w:bookmarkStart w:id="3707" w:name="_Toc30191"/>
      <w:bookmarkStart w:id="3708" w:name="_Toc8296"/>
      <w:bookmarkStart w:id="3709" w:name="_Toc6432"/>
      <w:bookmarkStart w:id="3710" w:name="_Toc21568"/>
      <w:bookmarkStart w:id="3711" w:name="_Toc21653"/>
      <w:bookmarkStart w:id="3712" w:name="_Toc22206"/>
      <w:bookmarkStart w:id="3713" w:name="_Toc29867"/>
      <w:bookmarkStart w:id="3714" w:name="_Toc1114"/>
      <w:bookmarkStart w:id="3715" w:name="_Toc20757"/>
      <w:bookmarkStart w:id="3716" w:name="_Toc9700"/>
      <w:bookmarkStart w:id="3717" w:name="_Toc23995"/>
      <w:bookmarkStart w:id="3718" w:name="_Toc30123"/>
      <w:bookmarkStart w:id="3719" w:name="_Toc23403"/>
      <w:bookmarkStart w:id="3720" w:name="_Toc26749"/>
      <w:bookmarkStart w:id="3721" w:name="_Toc16719"/>
      <w:bookmarkEnd w:id="3701"/>
      <w:r>
        <w:t>: Comportare la foc a pereţilor, uşilor și planşeelor de separare a caselor de scări închise din clădirile pentru învăţămînt primar, secundar, terţiar, nonuniversitar și universitar supraterane cu înălţimi obişnuite</w:t>
      </w:r>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p>
    <w:p w14:paraId="488FB9CB" w14:textId="77777777" w:rsidR="001C08A5" w:rsidRDefault="001C08A5">
      <w:pPr>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1"/>
        <w:gridCol w:w="1834"/>
        <w:gridCol w:w="1701"/>
        <w:gridCol w:w="1373"/>
        <w:gridCol w:w="1680"/>
        <w:gridCol w:w="1696"/>
      </w:tblGrid>
      <w:tr w:rsidR="001C08A5" w14:paraId="37C587A6" w14:textId="77777777">
        <w:trPr>
          <w:tblHeader/>
        </w:trPr>
        <w:tc>
          <w:tcPr>
            <w:tcW w:w="1242" w:type="dxa"/>
            <w:vMerge w:val="restart"/>
            <w:shd w:val="clear" w:color="auto" w:fill="BFBFBF"/>
          </w:tcPr>
          <w:p w14:paraId="4CD78320" w14:textId="77777777" w:rsidR="001C08A5" w:rsidRDefault="00000000">
            <w:pPr>
              <w:pStyle w:val="BodyText"/>
              <w:jc w:val="center"/>
              <w:rPr>
                <w:bCs w:val="0"/>
                <w:sz w:val="22"/>
                <w:szCs w:val="22"/>
              </w:rPr>
            </w:pPr>
            <w:r>
              <w:rPr>
                <w:bCs w:val="0"/>
                <w:sz w:val="22"/>
                <w:szCs w:val="22"/>
              </w:rPr>
              <w:t>Nivel de stabilitate</w:t>
            </w:r>
          </w:p>
          <w:p w14:paraId="02CE4F6D" w14:textId="77777777" w:rsidR="001C08A5" w:rsidRDefault="00000000">
            <w:pPr>
              <w:jc w:val="center"/>
              <w:rPr>
                <w:i/>
                <w:sz w:val="22"/>
                <w:szCs w:val="22"/>
              </w:rPr>
            </w:pPr>
            <w:r>
              <w:rPr>
                <w:b/>
                <w:bCs/>
                <w:i/>
                <w:sz w:val="22"/>
                <w:szCs w:val="22"/>
              </w:rPr>
              <w:t>la incendiu</w:t>
            </w:r>
          </w:p>
        </w:tc>
        <w:tc>
          <w:tcPr>
            <w:tcW w:w="8329" w:type="dxa"/>
            <w:gridSpan w:val="5"/>
            <w:shd w:val="clear" w:color="auto" w:fill="BFBFBF"/>
          </w:tcPr>
          <w:p w14:paraId="3FC9B22F"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256407FF" w14:textId="77777777">
        <w:trPr>
          <w:tblHeader/>
        </w:trPr>
        <w:tc>
          <w:tcPr>
            <w:tcW w:w="1242" w:type="dxa"/>
            <w:vMerge/>
            <w:shd w:val="clear" w:color="auto" w:fill="BFBFBF"/>
          </w:tcPr>
          <w:p w14:paraId="2FF1BC3B" w14:textId="77777777" w:rsidR="001C08A5" w:rsidRDefault="001C08A5">
            <w:pPr>
              <w:jc w:val="center"/>
              <w:rPr>
                <w:i/>
                <w:sz w:val="22"/>
                <w:szCs w:val="22"/>
              </w:rPr>
            </w:pPr>
          </w:p>
        </w:tc>
        <w:tc>
          <w:tcPr>
            <w:tcW w:w="3553" w:type="dxa"/>
            <w:gridSpan w:val="2"/>
            <w:shd w:val="clear" w:color="auto" w:fill="BFBFBF"/>
          </w:tcPr>
          <w:p w14:paraId="67CEDD80" w14:textId="77777777" w:rsidR="001C08A5" w:rsidRDefault="00000000">
            <w:pPr>
              <w:jc w:val="center"/>
              <w:rPr>
                <w:i/>
                <w:sz w:val="22"/>
                <w:szCs w:val="22"/>
              </w:rPr>
            </w:pPr>
            <w:r>
              <w:rPr>
                <w:b/>
                <w:bCs/>
                <w:i/>
                <w:sz w:val="22"/>
                <w:szCs w:val="22"/>
              </w:rPr>
              <w:t>Pereţi</w:t>
            </w:r>
          </w:p>
        </w:tc>
        <w:tc>
          <w:tcPr>
            <w:tcW w:w="3069" w:type="dxa"/>
            <w:gridSpan w:val="2"/>
            <w:shd w:val="clear" w:color="auto" w:fill="BFBFBF"/>
          </w:tcPr>
          <w:p w14:paraId="06146EF1"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707" w:type="dxa"/>
            <w:shd w:val="clear" w:color="auto" w:fill="BFBFBF"/>
          </w:tcPr>
          <w:p w14:paraId="58F0B531" w14:textId="77777777" w:rsidR="001C08A5" w:rsidRDefault="00000000">
            <w:pPr>
              <w:jc w:val="center"/>
              <w:rPr>
                <w:b/>
                <w:bCs/>
                <w:i/>
                <w:sz w:val="22"/>
                <w:szCs w:val="22"/>
              </w:rPr>
            </w:pPr>
            <w:r>
              <w:rPr>
                <w:b/>
                <w:bCs/>
                <w:i/>
                <w:sz w:val="22"/>
                <w:szCs w:val="22"/>
              </w:rPr>
              <w:t xml:space="preserve">Uşi </w:t>
            </w:r>
          </w:p>
        </w:tc>
      </w:tr>
      <w:tr w:rsidR="001C08A5" w14:paraId="6EC2EC85" w14:textId="77777777">
        <w:tc>
          <w:tcPr>
            <w:tcW w:w="1242" w:type="dxa"/>
          </w:tcPr>
          <w:p w14:paraId="09938A65" w14:textId="77777777" w:rsidR="001C08A5" w:rsidRDefault="00000000">
            <w:pPr>
              <w:pStyle w:val="BodyText"/>
              <w:jc w:val="center"/>
              <w:rPr>
                <w:bCs w:val="0"/>
                <w:sz w:val="22"/>
                <w:szCs w:val="22"/>
              </w:rPr>
            </w:pPr>
            <w:r>
              <w:rPr>
                <w:bCs w:val="0"/>
                <w:sz w:val="22"/>
                <w:szCs w:val="22"/>
              </w:rPr>
              <w:t>I</w:t>
            </w:r>
          </w:p>
          <w:p w14:paraId="7C31067A" w14:textId="77777777" w:rsidR="001C08A5" w:rsidRDefault="00000000">
            <w:pPr>
              <w:pStyle w:val="BodyText"/>
              <w:jc w:val="center"/>
              <w:rPr>
                <w:bCs w:val="0"/>
                <w:sz w:val="22"/>
                <w:szCs w:val="22"/>
              </w:rPr>
            </w:pPr>
            <w:r>
              <w:rPr>
                <w:sz w:val="22"/>
                <w:szCs w:val="22"/>
              </w:rPr>
              <w:t>h&lt;28m</w:t>
            </w:r>
          </w:p>
        </w:tc>
        <w:tc>
          <w:tcPr>
            <w:tcW w:w="1843" w:type="dxa"/>
          </w:tcPr>
          <w:p w14:paraId="7FD26297" w14:textId="77777777" w:rsidR="001C08A5" w:rsidRDefault="00000000">
            <w:pPr>
              <w:jc w:val="center"/>
              <w:rPr>
                <w:b/>
                <w:i/>
                <w:sz w:val="22"/>
                <w:szCs w:val="22"/>
              </w:rPr>
            </w:pPr>
            <w:r>
              <w:rPr>
                <w:b/>
                <w:i/>
                <w:sz w:val="22"/>
                <w:szCs w:val="22"/>
              </w:rPr>
              <w:t xml:space="preserve">EI/REI 180 </w:t>
            </w:r>
          </w:p>
          <w:p w14:paraId="451D26D4" w14:textId="77777777" w:rsidR="001C08A5" w:rsidRDefault="001C08A5">
            <w:pPr>
              <w:jc w:val="center"/>
              <w:rPr>
                <w:b/>
                <w:i/>
                <w:sz w:val="22"/>
                <w:szCs w:val="22"/>
              </w:rPr>
            </w:pPr>
          </w:p>
        </w:tc>
        <w:tc>
          <w:tcPr>
            <w:tcW w:w="1710" w:type="dxa"/>
          </w:tcPr>
          <w:p w14:paraId="0A67631E"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3B52300B" w14:textId="77777777" w:rsidR="001C08A5" w:rsidRDefault="00000000">
            <w:pPr>
              <w:jc w:val="center"/>
              <w:rPr>
                <w:b/>
                <w:i/>
                <w:sz w:val="22"/>
                <w:szCs w:val="22"/>
              </w:rPr>
            </w:pPr>
            <w:r>
              <w:rPr>
                <w:b/>
                <w:i/>
                <w:sz w:val="22"/>
                <w:szCs w:val="22"/>
              </w:rPr>
              <w:t xml:space="preserve">REI 120 </w:t>
            </w:r>
          </w:p>
        </w:tc>
        <w:tc>
          <w:tcPr>
            <w:tcW w:w="1689" w:type="dxa"/>
          </w:tcPr>
          <w:p w14:paraId="5B09EE0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26FDB985" w14:textId="77777777" w:rsidR="001C08A5" w:rsidRDefault="00000000">
            <w:pPr>
              <w:jc w:val="center"/>
              <w:rPr>
                <w:i/>
                <w:sz w:val="22"/>
                <w:szCs w:val="22"/>
              </w:rPr>
            </w:pPr>
            <w:r>
              <w:rPr>
                <w:b/>
                <w:bCs/>
                <w:i/>
                <w:sz w:val="22"/>
                <w:szCs w:val="22"/>
              </w:rPr>
              <w:t xml:space="preserve">E 60 - C5 </w:t>
            </w:r>
            <w:r>
              <w:rPr>
                <w:b/>
                <w:i/>
                <w:sz w:val="22"/>
                <w:szCs w:val="22"/>
              </w:rPr>
              <w:t>S</w:t>
            </w:r>
            <w:r>
              <w:rPr>
                <w:b/>
                <w:bCs/>
                <w:i/>
                <w:sz w:val="22"/>
                <w:szCs w:val="22"/>
                <w:vertAlign w:val="subscript"/>
              </w:rPr>
              <w:t>200</w:t>
            </w:r>
          </w:p>
        </w:tc>
      </w:tr>
      <w:tr w:rsidR="001C08A5" w14:paraId="3EB3BCBC" w14:textId="77777777">
        <w:tc>
          <w:tcPr>
            <w:tcW w:w="1242" w:type="dxa"/>
          </w:tcPr>
          <w:p w14:paraId="46F895EA" w14:textId="77777777" w:rsidR="001C08A5" w:rsidRDefault="00000000">
            <w:pPr>
              <w:pStyle w:val="BodyText"/>
              <w:jc w:val="center"/>
              <w:rPr>
                <w:bCs w:val="0"/>
                <w:sz w:val="22"/>
                <w:szCs w:val="22"/>
              </w:rPr>
            </w:pPr>
            <w:r>
              <w:rPr>
                <w:bCs w:val="0"/>
                <w:sz w:val="22"/>
                <w:szCs w:val="22"/>
              </w:rPr>
              <w:t>II</w:t>
            </w:r>
          </w:p>
        </w:tc>
        <w:tc>
          <w:tcPr>
            <w:tcW w:w="1843" w:type="dxa"/>
          </w:tcPr>
          <w:p w14:paraId="499C058D" w14:textId="77777777" w:rsidR="001C08A5" w:rsidRDefault="00000000">
            <w:pPr>
              <w:jc w:val="center"/>
              <w:rPr>
                <w:b/>
                <w:i/>
                <w:sz w:val="22"/>
                <w:szCs w:val="22"/>
              </w:rPr>
            </w:pPr>
            <w:r>
              <w:rPr>
                <w:b/>
                <w:i/>
                <w:sz w:val="22"/>
                <w:szCs w:val="22"/>
              </w:rPr>
              <w:t>EI/REI 180</w:t>
            </w:r>
          </w:p>
          <w:p w14:paraId="018DE05F" w14:textId="77777777" w:rsidR="001C08A5" w:rsidRDefault="001C08A5">
            <w:pPr>
              <w:jc w:val="center"/>
              <w:rPr>
                <w:b/>
                <w:i/>
                <w:sz w:val="22"/>
                <w:szCs w:val="22"/>
              </w:rPr>
            </w:pPr>
          </w:p>
        </w:tc>
        <w:tc>
          <w:tcPr>
            <w:tcW w:w="1710" w:type="dxa"/>
          </w:tcPr>
          <w:p w14:paraId="3AE5507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0A4BADD0" w14:textId="77777777" w:rsidR="001C08A5" w:rsidRDefault="00000000">
            <w:pPr>
              <w:jc w:val="center"/>
              <w:rPr>
                <w:b/>
                <w:i/>
                <w:sz w:val="22"/>
                <w:szCs w:val="22"/>
              </w:rPr>
            </w:pPr>
            <w:r>
              <w:rPr>
                <w:b/>
                <w:i/>
                <w:sz w:val="22"/>
                <w:szCs w:val="22"/>
              </w:rPr>
              <w:t>REI 120</w:t>
            </w:r>
          </w:p>
        </w:tc>
        <w:tc>
          <w:tcPr>
            <w:tcW w:w="1689" w:type="dxa"/>
          </w:tcPr>
          <w:p w14:paraId="1457AA54"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022E20FA" w14:textId="77777777" w:rsidR="001C08A5" w:rsidRDefault="00000000">
            <w:pPr>
              <w:jc w:val="center"/>
              <w:rPr>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60827481" w14:textId="77777777">
        <w:tc>
          <w:tcPr>
            <w:tcW w:w="1242" w:type="dxa"/>
          </w:tcPr>
          <w:p w14:paraId="105C4EB2" w14:textId="77777777" w:rsidR="001C08A5" w:rsidRDefault="00000000">
            <w:pPr>
              <w:pStyle w:val="BodyText"/>
              <w:jc w:val="center"/>
              <w:rPr>
                <w:bCs w:val="0"/>
                <w:sz w:val="22"/>
                <w:szCs w:val="22"/>
              </w:rPr>
            </w:pPr>
            <w:r>
              <w:rPr>
                <w:bCs w:val="0"/>
                <w:sz w:val="22"/>
                <w:szCs w:val="22"/>
              </w:rPr>
              <w:t>II (+)</w:t>
            </w:r>
          </w:p>
        </w:tc>
        <w:tc>
          <w:tcPr>
            <w:tcW w:w="1843" w:type="dxa"/>
          </w:tcPr>
          <w:p w14:paraId="4043B757" w14:textId="77777777" w:rsidR="001C08A5" w:rsidRDefault="00000000">
            <w:pPr>
              <w:jc w:val="center"/>
              <w:rPr>
                <w:b/>
                <w:i/>
                <w:sz w:val="22"/>
                <w:szCs w:val="22"/>
              </w:rPr>
            </w:pPr>
            <w:r>
              <w:rPr>
                <w:b/>
                <w:i/>
                <w:sz w:val="22"/>
                <w:szCs w:val="22"/>
              </w:rPr>
              <w:t>EI/REI 120</w:t>
            </w:r>
          </w:p>
          <w:p w14:paraId="00DD52AF" w14:textId="77777777" w:rsidR="001C08A5" w:rsidRDefault="001C08A5">
            <w:pPr>
              <w:jc w:val="center"/>
              <w:rPr>
                <w:b/>
                <w:i/>
                <w:sz w:val="22"/>
                <w:szCs w:val="22"/>
              </w:rPr>
            </w:pPr>
          </w:p>
        </w:tc>
        <w:tc>
          <w:tcPr>
            <w:tcW w:w="1710" w:type="dxa"/>
          </w:tcPr>
          <w:p w14:paraId="45B9C164"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80" w:type="dxa"/>
          </w:tcPr>
          <w:p w14:paraId="023CED8E" w14:textId="77777777" w:rsidR="001C08A5" w:rsidRDefault="00000000">
            <w:pPr>
              <w:jc w:val="center"/>
              <w:rPr>
                <w:b/>
                <w:i/>
                <w:sz w:val="22"/>
                <w:szCs w:val="22"/>
              </w:rPr>
            </w:pPr>
            <w:r>
              <w:rPr>
                <w:b/>
                <w:i/>
                <w:sz w:val="22"/>
                <w:szCs w:val="22"/>
              </w:rPr>
              <w:t>REI 90</w:t>
            </w:r>
          </w:p>
        </w:tc>
        <w:tc>
          <w:tcPr>
            <w:tcW w:w="1689" w:type="dxa"/>
          </w:tcPr>
          <w:p w14:paraId="7671FF74"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07" w:type="dxa"/>
          </w:tcPr>
          <w:p w14:paraId="0E61FF0E" w14:textId="77777777" w:rsidR="001C08A5" w:rsidRDefault="00000000">
            <w:pPr>
              <w:jc w:val="center"/>
              <w:rPr>
                <w:b/>
                <w:bCs/>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05E7055F" w14:textId="77777777">
        <w:tc>
          <w:tcPr>
            <w:tcW w:w="1242" w:type="dxa"/>
          </w:tcPr>
          <w:p w14:paraId="07BC7074" w14:textId="77777777" w:rsidR="001C08A5" w:rsidRDefault="00000000">
            <w:pPr>
              <w:pStyle w:val="BodyText"/>
              <w:jc w:val="center"/>
              <w:rPr>
                <w:bCs w:val="0"/>
                <w:sz w:val="22"/>
                <w:szCs w:val="22"/>
              </w:rPr>
            </w:pPr>
            <w:r>
              <w:rPr>
                <w:bCs w:val="0"/>
                <w:sz w:val="22"/>
                <w:szCs w:val="22"/>
              </w:rPr>
              <w:t>III</w:t>
            </w:r>
          </w:p>
        </w:tc>
        <w:tc>
          <w:tcPr>
            <w:tcW w:w="1843" w:type="dxa"/>
          </w:tcPr>
          <w:p w14:paraId="6332C1B8" w14:textId="77777777" w:rsidR="001C08A5" w:rsidRDefault="00000000">
            <w:pPr>
              <w:jc w:val="center"/>
              <w:rPr>
                <w:b/>
                <w:i/>
                <w:sz w:val="22"/>
                <w:szCs w:val="22"/>
              </w:rPr>
            </w:pPr>
            <w:r>
              <w:rPr>
                <w:b/>
                <w:i/>
                <w:sz w:val="22"/>
                <w:szCs w:val="22"/>
              </w:rPr>
              <w:t xml:space="preserve">EI/REI 90 </w:t>
            </w:r>
          </w:p>
          <w:p w14:paraId="2D3E96CC" w14:textId="77777777" w:rsidR="001C08A5" w:rsidRDefault="001C08A5">
            <w:pPr>
              <w:jc w:val="center"/>
              <w:rPr>
                <w:b/>
                <w:i/>
                <w:sz w:val="22"/>
                <w:szCs w:val="22"/>
              </w:rPr>
            </w:pPr>
          </w:p>
        </w:tc>
        <w:tc>
          <w:tcPr>
            <w:tcW w:w="1710" w:type="dxa"/>
          </w:tcPr>
          <w:p w14:paraId="552BD99D"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0E483D25" w14:textId="77777777" w:rsidR="001C08A5" w:rsidRDefault="00000000">
            <w:pPr>
              <w:jc w:val="center"/>
              <w:rPr>
                <w:b/>
                <w:i/>
                <w:sz w:val="22"/>
                <w:szCs w:val="22"/>
              </w:rPr>
            </w:pPr>
            <w:r>
              <w:rPr>
                <w:b/>
                <w:i/>
                <w:sz w:val="22"/>
                <w:szCs w:val="22"/>
              </w:rPr>
              <w:t>REI 60</w:t>
            </w:r>
          </w:p>
        </w:tc>
        <w:tc>
          <w:tcPr>
            <w:tcW w:w="1689" w:type="dxa"/>
          </w:tcPr>
          <w:p w14:paraId="045E7782"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371B5925" w14:textId="77777777" w:rsidR="001C08A5" w:rsidRDefault="00000000">
            <w:pPr>
              <w:jc w:val="center"/>
              <w:rPr>
                <w:b/>
                <w:i/>
                <w:sz w:val="22"/>
                <w:szCs w:val="22"/>
              </w:rPr>
            </w:pPr>
            <w:r>
              <w:rPr>
                <w:b/>
                <w:bCs/>
                <w:i/>
                <w:sz w:val="22"/>
                <w:szCs w:val="22"/>
              </w:rPr>
              <w:t>E 30 - C5 Sa</w:t>
            </w:r>
          </w:p>
          <w:p w14:paraId="2F37ACA5" w14:textId="77777777" w:rsidR="001C08A5" w:rsidRDefault="001C08A5">
            <w:pPr>
              <w:jc w:val="center"/>
              <w:rPr>
                <w:i/>
                <w:strike/>
                <w:sz w:val="22"/>
                <w:szCs w:val="22"/>
              </w:rPr>
            </w:pPr>
          </w:p>
        </w:tc>
      </w:tr>
      <w:tr w:rsidR="001C08A5" w14:paraId="57DC1374" w14:textId="77777777">
        <w:tc>
          <w:tcPr>
            <w:tcW w:w="1242" w:type="dxa"/>
          </w:tcPr>
          <w:p w14:paraId="0AC5AF4F" w14:textId="77777777" w:rsidR="001C08A5" w:rsidRDefault="00000000">
            <w:pPr>
              <w:pStyle w:val="BodyText"/>
              <w:jc w:val="center"/>
              <w:rPr>
                <w:bCs w:val="0"/>
                <w:sz w:val="22"/>
                <w:szCs w:val="22"/>
              </w:rPr>
            </w:pPr>
            <w:r>
              <w:rPr>
                <w:bCs w:val="0"/>
                <w:sz w:val="22"/>
                <w:szCs w:val="22"/>
              </w:rPr>
              <w:t>III (+)</w:t>
            </w:r>
          </w:p>
        </w:tc>
        <w:tc>
          <w:tcPr>
            <w:tcW w:w="1843" w:type="dxa"/>
          </w:tcPr>
          <w:p w14:paraId="5CE31A1A" w14:textId="77777777" w:rsidR="001C08A5" w:rsidRDefault="00000000">
            <w:pPr>
              <w:jc w:val="center"/>
              <w:rPr>
                <w:b/>
                <w:i/>
                <w:sz w:val="22"/>
                <w:szCs w:val="22"/>
              </w:rPr>
            </w:pPr>
            <w:r>
              <w:rPr>
                <w:b/>
                <w:i/>
                <w:sz w:val="22"/>
                <w:szCs w:val="22"/>
              </w:rPr>
              <w:t xml:space="preserve">EI/REI 60 </w:t>
            </w:r>
          </w:p>
          <w:p w14:paraId="0F6D3E53" w14:textId="77777777" w:rsidR="001C08A5" w:rsidRDefault="001C08A5">
            <w:pPr>
              <w:jc w:val="center"/>
              <w:rPr>
                <w:b/>
                <w:i/>
                <w:sz w:val="22"/>
                <w:szCs w:val="22"/>
              </w:rPr>
            </w:pPr>
          </w:p>
        </w:tc>
        <w:tc>
          <w:tcPr>
            <w:tcW w:w="1710" w:type="dxa"/>
          </w:tcPr>
          <w:p w14:paraId="6CFCB8B0"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36461D2B" w14:textId="77777777" w:rsidR="001C08A5" w:rsidRDefault="00000000">
            <w:pPr>
              <w:jc w:val="center"/>
              <w:rPr>
                <w:b/>
                <w:i/>
                <w:sz w:val="22"/>
                <w:szCs w:val="22"/>
              </w:rPr>
            </w:pPr>
            <w:r>
              <w:rPr>
                <w:b/>
                <w:i/>
                <w:sz w:val="22"/>
                <w:szCs w:val="22"/>
              </w:rPr>
              <w:t xml:space="preserve">REI 45 </w:t>
            </w:r>
          </w:p>
        </w:tc>
        <w:tc>
          <w:tcPr>
            <w:tcW w:w="1689" w:type="dxa"/>
          </w:tcPr>
          <w:p w14:paraId="3AD9BD62"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4E432C5F" w14:textId="77777777" w:rsidR="001C08A5" w:rsidRDefault="00000000">
            <w:pPr>
              <w:jc w:val="center"/>
              <w:rPr>
                <w:b/>
                <w:i/>
                <w:sz w:val="22"/>
                <w:szCs w:val="22"/>
              </w:rPr>
            </w:pPr>
            <w:r>
              <w:rPr>
                <w:b/>
                <w:bCs/>
                <w:i/>
                <w:sz w:val="22"/>
                <w:szCs w:val="22"/>
              </w:rPr>
              <w:t>E 30 - C5 Sa</w:t>
            </w:r>
          </w:p>
          <w:p w14:paraId="020A1534" w14:textId="77777777" w:rsidR="001C08A5" w:rsidRDefault="001C08A5">
            <w:pPr>
              <w:jc w:val="center"/>
              <w:rPr>
                <w:i/>
                <w:strike/>
                <w:sz w:val="22"/>
                <w:szCs w:val="22"/>
              </w:rPr>
            </w:pPr>
          </w:p>
        </w:tc>
      </w:tr>
      <w:tr w:rsidR="001C08A5" w14:paraId="59A475DB" w14:textId="77777777">
        <w:tc>
          <w:tcPr>
            <w:tcW w:w="1242" w:type="dxa"/>
          </w:tcPr>
          <w:p w14:paraId="30E31F63" w14:textId="77777777" w:rsidR="001C08A5" w:rsidRDefault="00000000">
            <w:pPr>
              <w:pStyle w:val="BodyText"/>
              <w:jc w:val="center"/>
              <w:rPr>
                <w:bCs w:val="0"/>
                <w:sz w:val="22"/>
                <w:szCs w:val="22"/>
              </w:rPr>
            </w:pPr>
            <w:r>
              <w:rPr>
                <w:bCs w:val="0"/>
                <w:sz w:val="22"/>
                <w:szCs w:val="22"/>
              </w:rPr>
              <w:t>IV</w:t>
            </w:r>
          </w:p>
        </w:tc>
        <w:tc>
          <w:tcPr>
            <w:tcW w:w="1843" w:type="dxa"/>
          </w:tcPr>
          <w:p w14:paraId="1437E612" w14:textId="77777777" w:rsidR="001C08A5" w:rsidRDefault="00000000">
            <w:pPr>
              <w:jc w:val="center"/>
              <w:rPr>
                <w:b/>
                <w:i/>
                <w:sz w:val="22"/>
                <w:szCs w:val="22"/>
              </w:rPr>
            </w:pPr>
            <w:r>
              <w:rPr>
                <w:b/>
                <w:i/>
                <w:sz w:val="22"/>
                <w:szCs w:val="22"/>
              </w:rPr>
              <w:t xml:space="preserve">EI/REI 45 </w:t>
            </w:r>
          </w:p>
          <w:p w14:paraId="3F81F07E" w14:textId="77777777" w:rsidR="001C08A5" w:rsidRDefault="001C08A5">
            <w:pPr>
              <w:jc w:val="center"/>
              <w:rPr>
                <w:b/>
                <w:i/>
                <w:strike/>
                <w:sz w:val="22"/>
                <w:szCs w:val="22"/>
              </w:rPr>
            </w:pPr>
          </w:p>
        </w:tc>
        <w:tc>
          <w:tcPr>
            <w:tcW w:w="1710" w:type="dxa"/>
          </w:tcPr>
          <w:p w14:paraId="76F3F533"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380" w:type="dxa"/>
          </w:tcPr>
          <w:p w14:paraId="0812A728" w14:textId="77777777" w:rsidR="001C08A5" w:rsidRDefault="00000000">
            <w:pPr>
              <w:jc w:val="center"/>
              <w:rPr>
                <w:b/>
                <w:i/>
                <w:sz w:val="22"/>
                <w:szCs w:val="22"/>
              </w:rPr>
            </w:pPr>
            <w:r>
              <w:rPr>
                <w:b/>
                <w:i/>
                <w:sz w:val="22"/>
                <w:szCs w:val="22"/>
              </w:rPr>
              <w:t xml:space="preserve">REI 30 </w:t>
            </w:r>
          </w:p>
        </w:tc>
        <w:tc>
          <w:tcPr>
            <w:tcW w:w="1689" w:type="dxa"/>
          </w:tcPr>
          <w:p w14:paraId="4EA3664C"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707" w:type="dxa"/>
          </w:tcPr>
          <w:p w14:paraId="6D98575C" w14:textId="77777777" w:rsidR="001C08A5" w:rsidRDefault="00000000">
            <w:pPr>
              <w:jc w:val="center"/>
              <w:rPr>
                <w:b/>
                <w:i/>
                <w:sz w:val="22"/>
                <w:szCs w:val="22"/>
              </w:rPr>
            </w:pPr>
            <w:r>
              <w:rPr>
                <w:b/>
                <w:bCs/>
                <w:i/>
                <w:sz w:val="22"/>
                <w:szCs w:val="22"/>
              </w:rPr>
              <w:t>E 15 - C5 Sa</w:t>
            </w:r>
          </w:p>
          <w:p w14:paraId="085C57E4" w14:textId="77777777" w:rsidR="001C08A5" w:rsidRDefault="001C08A5">
            <w:pPr>
              <w:jc w:val="center"/>
              <w:rPr>
                <w:i/>
                <w:sz w:val="22"/>
                <w:szCs w:val="22"/>
              </w:rPr>
            </w:pPr>
          </w:p>
        </w:tc>
      </w:tr>
      <w:tr w:rsidR="001C08A5" w14:paraId="524193C7" w14:textId="77777777">
        <w:tc>
          <w:tcPr>
            <w:tcW w:w="1242" w:type="dxa"/>
          </w:tcPr>
          <w:p w14:paraId="154A3CF6" w14:textId="77777777" w:rsidR="001C08A5" w:rsidRDefault="00000000">
            <w:pPr>
              <w:pStyle w:val="BodyText"/>
              <w:jc w:val="center"/>
              <w:rPr>
                <w:bCs w:val="0"/>
                <w:sz w:val="22"/>
                <w:szCs w:val="22"/>
              </w:rPr>
            </w:pPr>
            <w:r>
              <w:rPr>
                <w:bCs w:val="0"/>
                <w:sz w:val="22"/>
                <w:szCs w:val="22"/>
              </w:rPr>
              <w:t>V</w:t>
            </w:r>
          </w:p>
        </w:tc>
        <w:tc>
          <w:tcPr>
            <w:tcW w:w="1843" w:type="dxa"/>
          </w:tcPr>
          <w:p w14:paraId="5C115A25" w14:textId="77777777" w:rsidR="001C08A5" w:rsidRDefault="00000000">
            <w:pPr>
              <w:jc w:val="center"/>
              <w:rPr>
                <w:b/>
                <w:i/>
                <w:sz w:val="22"/>
                <w:szCs w:val="22"/>
              </w:rPr>
            </w:pPr>
            <w:r>
              <w:rPr>
                <w:b/>
                <w:i/>
                <w:sz w:val="22"/>
                <w:szCs w:val="22"/>
              </w:rPr>
              <w:t>EI/REI 30</w:t>
            </w:r>
          </w:p>
          <w:p w14:paraId="20BC20CC" w14:textId="77777777" w:rsidR="001C08A5" w:rsidRDefault="001C08A5">
            <w:pPr>
              <w:jc w:val="center"/>
              <w:rPr>
                <w:b/>
                <w:i/>
                <w:strike/>
                <w:sz w:val="22"/>
                <w:szCs w:val="22"/>
              </w:rPr>
            </w:pPr>
          </w:p>
        </w:tc>
        <w:tc>
          <w:tcPr>
            <w:tcW w:w="1710" w:type="dxa"/>
          </w:tcPr>
          <w:p w14:paraId="6C430667"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 xml:space="preserve">B-s1d0 </w:t>
            </w:r>
          </w:p>
        </w:tc>
        <w:tc>
          <w:tcPr>
            <w:tcW w:w="1380" w:type="dxa"/>
          </w:tcPr>
          <w:p w14:paraId="62598484" w14:textId="77777777" w:rsidR="001C08A5" w:rsidRDefault="00000000">
            <w:pPr>
              <w:jc w:val="center"/>
              <w:rPr>
                <w:b/>
                <w:i/>
                <w:sz w:val="22"/>
                <w:szCs w:val="22"/>
              </w:rPr>
            </w:pPr>
            <w:r>
              <w:rPr>
                <w:b/>
                <w:i/>
                <w:sz w:val="22"/>
                <w:szCs w:val="22"/>
              </w:rPr>
              <w:t xml:space="preserve">REI 15 </w:t>
            </w:r>
          </w:p>
        </w:tc>
        <w:tc>
          <w:tcPr>
            <w:tcW w:w="1689" w:type="dxa"/>
          </w:tcPr>
          <w:p w14:paraId="1F3DB9C3"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p>
        </w:tc>
        <w:tc>
          <w:tcPr>
            <w:tcW w:w="1707" w:type="dxa"/>
          </w:tcPr>
          <w:p w14:paraId="1E0C2058" w14:textId="77777777" w:rsidR="001C08A5" w:rsidRDefault="00000000">
            <w:pPr>
              <w:jc w:val="center"/>
              <w:rPr>
                <w:i/>
                <w:strike/>
                <w:sz w:val="22"/>
                <w:szCs w:val="22"/>
              </w:rPr>
            </w:pPr>
            <w:r>
              <w:rPr>
                <w:b/>
                <w:bCs/>
                <w:i/>
                <w:sz w:val="22"/>
                <w:szCs w:val="22"/>
              </w:rPr>
              <w:t>C5</w:t>
            </w:r>
          </w:p>
        </w:tc>
      </w:tr>
    </w:tbl>
    <w:p w14:paraId="38CF21E5" w14:textId="77777777" w:rsidR="001C08A5" w:rsidRDefault="00000000">
      <w:pPr>
        <w:jc w:val="both"/>
        <w:rPr>
          <w:i/>
          <w:iCs/>
          <w:sz w:val="24"/>
          <w:szCs w:val="24"/>
        </w:rPr>
      </w:pPr>
      <w:r>
        <w:rPr>
          <w:i/>
          <w:iCs/>
          <w:sz w:val="24"/>
          <w:szCs w:val="24"/>
        </w:rPr>
        <w:t>Note:</w:t>
      </w:r>
    </w:p>
    <w:p w14:paraId="7D54178B"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1E182908"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1FEAE35C" w14:textId="77777777" w:rsidR="001C08A5" w:rsidRDefault="001C08A5">
      <w:pPr>
        <w:jc w:val="both"/>
        <w:rPr>
          <w:sz w:val="24"/>
          <w:szCs w:val="24"/>
        </w:rPr>
      </w:pPr>
    </w:p>
    <w:p w14:paraId="112116E4" w14:textId="77777777" w:rsidR="001C08A5" w:rsidRDefault="00000000">
      <w:pPr>
        <w:jc w:val="both"/>
        <w:rPr>
          <w:sz w:val="24"/>
          <w:szCs w:val="24"/>
        </w:rPr>
      </w:pPr>
      <w:r>
        <w:rPr>
          <w:b/>
          <w:sz w:val="24"/>
          <w:szCs w:val="24"/>
        </w:rPr>
        <w:tab/>
        <w:t xml:space="preserve">Art. </w:t>
      </w:r>
      <w:r>
        <w:rPr>
          <w:b/>
          <w:bCs/>
          <w:sz w:val="24"/>
          <w:szCs w:val="24"/>
        </w:rPr>
        <w:t>3.2.6.</w:t>
      </w:r>
      <w:r>
        <w:rPr>
          <w:b/>
          <w:sz w:val="24"/>
          <w:szCs w:val="24"/>
        </w:rPr>
        <w:t xml:space="preserve">7. </w:t>
      </w:r>
      <w:r>
        <w:rPr>
          <w:sz w:val="24"/>
          <w:szCs w:val="24"/>
        </w:rPr>
        <w:t xml:space="preserve">Comportarea la foc a pereţilor, uşilor și planşeelor de separare a caselor de scări închise din clădirile </w:t>
      </w:r>
      <w:r>
        <w:rPr>
          <w:bCs/>
          <w:sz w:val="24"/>
          <w:szCs w:val="24"/>
        </w:rPr>
        <w:t xml:space="preserve">pentru învăţământ preşcolar </w:t>
      </w:r>
      <w:r>
        <w:rPr>
          <w:sz w:val="24"/>
          <w:szCs w:val="24"/>
        </w:rPr>
        <w:t xml:space="preserve">supraterane cu înălţimi obişnuite, trebuie să corespundă prevederilor din </w:t>
      </w:r>
      <w:r>
        <w:rPr>
          <w:b/>
          <w:bCs/>
          <w:i/>
          <w:iCs/>
          <w:sz w:val="24"/>
          <w:szCs w:val="24"/>
        </w:rPr>
        <w:fldChar w:fldCharType="begin"/>
      </w:r>
      <w:r>
        <w:rPr>
          <w:b/>
          <w:bCs/>
          <w:i/>
          <w:iCs/>
          <w:sz w:val="24"/>
          <w:szCs w:val="24"/>
        </w:rPr>
        <w:instrText xml:space="preserve"> REF _Ref16376 \h </w:instrText>
      </w:r>
      <w:r>
        <w:rPr>
          <w:b/>
          <w:bCs/>
          <w:i/>
          <w:iCs/>
          <w:sz w:val="24"/>
          <w:szCs w:val="24"/>
        </w:rPr>
      </w:r>
      <w:r>
        <w:rPr>
          <w:b/>
          <w:bCs/>
          <w:i/>
          <w:iCs/>
          <w:sz w:val="24"/>
          <w:szCs w:val="24"/>
        </w:rPr>
        <w:fldChar w:fldCharType="separate"/>
      </w:r>
      <w:r>
        <w:t>Tabelul 74</w:t>
      </w:r>
      <w:r>
        <w:rPr>
          <w:b/>
          <w:bCs/>
          <w:i/>
          <w:iCs/>
          <w:sz w:val="24"/>
          <w:szCs w:val="24"/>
        </w:rPr>
        <w:fldChar w:fldCharType="end"/>
      </w:r>
      <w:r>
        <w:rPr>
          <w:sz w:val="24"/>
          <w:szCs w:val="24"/>
        </w:rPr>
        <w:t>.</w:t>
      </w:r>
    </w:p>
    <w:p w14:paraId="3D77F3D5" w14:textId="77777777" w:rsidR="001C08A5" w:rsidRDefault="001C08A5">
      <w:pPr>
        <w:jc w:val="both"/>
        <w:rPr>
          <w:sz w:val="24"/>
          <w:szCs w:val="24"/>
        </w:rPr>
      </w:pPr>
    </w:p>
    <w:p w14:paraId="3DD20566" w14:textId="77777777" w:rsidR="001C08A5" w:rsidRDefault="00000000">
      <w:pPr>
        <w:pStyle w:val="Captiontabel"/>
      </w:pPr>
      <w:bookmarkStart w:id="3722" w:name="_Ref16376"/>
      <w:bookmarkStart w:id="3723" w:name="_Toc162360124"/>
      <w:r>
        <w:t xml:space="preserve">Tabelul </w:t>
      </w:r>
      <w:r>
        <w:fldChar w:fldCharType="begin"/>
      </w:r>
      <w:r>
        <w:instrText xml:space="preserve"> SEQ Tabelul \* ARABIC </w:instrText>
      </w:r>
      <w:r>
        <w:fldChar w:fldCharType="separate"/>
      </w:r>
      <w:r>
        <w:t>74</w:t>
      </w:r>
      <w:r>
        <w:fldChar w:fldCharType="end"/>
      </w:r>
      <w:bookmarkStart w:id="3724" w:name="_Toc8473"/>
      <w:bookmarkStart w:id="3725" w:name="_Toc29709"/>
      <w:bookmarkStart w:id="3726" w:name="_Toc22697"/>
      <w:bookmarkStart w:id="3727" w:name="_Toc2693"/>
      <w:bookmarkStart w:id="3728" w:name="_Toc14715"/>
      <w:bookmarkStart w:id="3729" w:name="_Toc7251"/>
      <w:bookmarkStart w:id="3730" w:name="_Toc5359"/>
      <w:bookmarkStart w:id="3731" w:name="_Toc17306"/>
      <w:bookmarkStart w:id="3732" w:name="_Toc4596"/>
      <w:bookmarkStart w:id="3733" w:name="_Toc16633"/>
      <w:bookmarkStart w:id="3734" w:name="_Toc30148"/>
      <w:bookmarkStart w:id="3735" w:name="_Toc27848"/>
      <w:bookmarkStart w:id="3736" w:name="_Toc1004"/>
      <w:bookmarkStart w:id="3737" w:name="_Toc7822"/>
      <w:bookmarkStart w:id="3738" w:name="_Toc4469"/>
      <w:bookmarkStart w:id="3739" w:name="_Toc17770"/>
      <w:bookmarkStart w:id="3740" w:name="_Toc25966"/>
      <w:bookmarkStart w:id="3741" w:name="_Toc5476"/>
      <w:bookmarkStart w:id="3742" w:name="_Toc40"/>
      <w:bookmarkEnd w:id="3722"/>
      <w:r>
        <w:t>: Comportare la foc a pereţilor, uşilor și planşeelor de separare a caselor de scări închise din clădirile pentru învăţământ preşcolar supraterane cu înălţimi obişnuite</w:t>
      </w:r>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p>
    <w:p w14:paraId="3D25FDC9" w14:textId="77777777" w:rsidR="001C08A5" w:rsidRDefault="001C08A5">
      <w:pPr>
        <w:jc w:val="both"/>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1"/>
        <w:gridCol w:w="1748"/>
        <w:gridCol w:w="1785"/>
        <w:gridCol w:w="1482"/>
        <w:gridCol w:w="1641"/>
        <w:gridCol w:w="1628"/>
      </w:tblGrid>
      <w:tr w:rsidR="001C08A5" w14:paraId="23837C3C" w14:textId="77777777">
        <w:trPr>
          <w:tblHeader/>
        </w:trPr>
        <w:tc>
          <w:tcPr>
            <w:tcW w:w="1241" w:type="dxa"/>
            <w:vMerge w:val="restart"/>
            <w:shd w:val="clear" w:color="auto" w:fill="BFBFBF"/>
          </w:tcPr>
          <w:p w14:paraId="7585D8CA" w14:textId="77777777" w:rsidR="001C08A5" w:rsidRDefault="00000000">
            <w:pPr>
              <w:pStyle w:val="BodyText"/>
              <w:jc w:val="center"/>
              <w:rPr>
                <w:bCs w:val="0"/>
                <w:sz w:val="22"/>
                <w:szCs w:val="22"/>
              </w:rPr>
            </w:pPr>
            <w:r>
              <w:rPr>
                <w:bCs w:val="0"/>
                <w:sz w:val="22"/>
                <w:szCs w:val="22"/>
              </w:rPr>
              <w:t>Nivel de stabilitate</w:t>
            </w:r>
          </w:p>
          <w:p w14:paraId="2ADAB63E" w14:textId="77777777" w:rsidR="001C08A5" w:rsidRDefault="00000000">
            <w:pPr>
              <w:jc w:val="center"/>
              <w:rPr>
                <w:i/>
                <w:sz w:val="22"/>
                <w:szCs w:val="22"/>
              </w:rPr>
            </w:pPr>
            <w:r>
              <w:rPr>
                <w:b/>
                <w:bCs/>
                <w:i/>
                <w:sz w:val="22"/>
                <w:szCs w:val="22"/>
              </w:rPr>
              <w:t>la incendiu</w:t>
            </w:r>
          </w:p>
        </w:tc>
        <w:tc>
          <w:tcPr>
            <w:tcW w:w="8284" w:type="dxa"/>
            <w:gridSpan w:val="5"/>
            <w:shd w:val="clear" w:color="auto" w:fill="BFBFBF"/>
          </w:tcPr>
          <w:p w14:paraId="238E41EA"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6E779266" w14:textId="77777777">
        <w:trPr>
          <w:tblHeader/>
        </w:trPr>
        <w:tc>
          <w:tcPr>
            <w:tcW w:w="1241" w:type="dxa"/>
            <w:vMerge/>
            <w:shd w:val="clear" w:color="auto" w:fill="BFBFBF"/>
          </w:tcPr>
          <w:p w14:paraId="0641D58E" w14:textId="77777777" w:rsidR="001C08A5" w:rsidRDefault="001C08A5">
            <w:pPr>
              <w:jc w:val="center"/>
              <w:rPr>
                <w:i/>
                <w:sz w:val="22"/>
                <w:szCs w:val="22"/>
              </w:rPr>
            </w:pPr>
          </w:p>
        </w:tc>
        <w:tc>
          <w:tcPr>
            <w:tcW w:w="3533" w:type="dxa"/>
            <w:gridSpan w:val="2"/>
            <w:shd w:val="clear" w:color="auto" w:fill="BFBFBF"/>
          </w:tcPr>
          <w:p w14:paraId="26AA4E34" w14:textId="77777777" w:rsidR="001C08A5" w:rsidRDefault="00000000">
            <w:pPr>
              <w:jc w:val="center"/>
              <w:rPr>
                <w:i/>
                <w:sz w:val="22"/>
                <w:szCs w:val="22"/>
              </w:rPr>
            </w:pPr>
            <w:r>
              <w:rPr>
                <w:b/>
                <w:bCs/>
                <w:i/>
                <w:sz w:val="22"/>
                <w:szCs w:val="22"/>
              </w:rPr>
              <w:t>Pereţi</w:t>
            </w:r>
          </w:p>
        </w:tc>
        <w:tc>
          <w:tcPr>
            <w:tcW w:w="3123" w:type="dxa"/>
            <w:gridSpan w:val="2"/>
            <w:shd w:val="clear" w:color="auto" w:fill="BFBFBF"/>
          </w:tcPr>
          <w:p w14:paraId="6E86DB68"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628" w:type="dxa"/>
            <w:shd w:val="clear" w:color="auto" w:fill="BFBFBF"/>
          </w:tcPr>
          <w:p w14:paraId="469C1FAA" w14:textId="77777777" w:rsidR="001C08A5" w:rsidRDefault="00000000">
            <w:pPr>
              <w:jc w:val="center"/>
              <w:rPr>
                <w:b/>
                <w:bCs/>
                <w:i/>
                <w:sz w:val="22"/>
                <w:szCs w:val="22"/>
              </w:rPr>
            </w:pPr>
            <w:r>
              <w:rPr>
                <w:b/>
                <w:bCs/>
                <w:i/>
                <w:sz w:val="22"/>
                <w:szCs w:val="22"/>
              </w:rPr>
              <w:t xml:space="preserve">Uşi </w:t>
            </w:r>
          </w:p>
        </w:tc>
      </w:tr>
      <w:tr w:rsidR="001C08A5" w14:paraId="62A4A35E" w14:textId="77777777">
        <w:tc>
          <w:tcPr>
            <w:tcW w:w="1241" w:type="dxa"/>
          </w:tcPr>
          <w:p w14:paraId="7C38447E" w14:textId="77777777" w:rsidR="001C08A5" w:rsidRDefault="00000000">
            <w:pPr>
              <w:pStyle w:val="BodyText"/>
              <w:jc w:val="center"/>
              <w:rPr>
                <w:bCs w:val="0"/>
                <w:sz w:val="22"/>
                <w:szCs w:val="22"/>
              </w:rPr>
            </w:pPr>
            <w:r>
              <w:rPr>
                <w:bCs w:val="0"/>
                <w:sz w:val="22"/>
                <w:szCs w:val="22"/>
              </w:rPr>
              <w:t>I</w:t>
            </w:r>
          </w:p>
          <w:p w14:paraId="15A89647" w14:textId="77777777" w:rsidR="001C08A5" w:rsidRDefault="00000000">
            <w:pPr>
              <w:pStyle w:val="BodyText"/>
              <w:jc w:val="center"/>
              <w:rPr>
                <w:bCs w:val="0"/>
                <w:sz w:val="22"/>
                <w:szCs w:val="22"/>
              </w:rPr>
            </w:pPr>
            <w:r>
              <w:rPr>
                <w:sz w:val="22"/>
                <w:szCs w:val="22"/>
              </w:rPr>
              <w:t>h&lt;28m</w:t>
            </w:r>
          </w:p>
        </w:tc>
        <w:tc>
          <w:tcPr>
            <w:tcW w:w="1748" w:type="dxa"/>
          </w:tcPr>
          <w:p w14:paraId="7F99E90C" w14:textId="77777777" w:rsidR="001C08A5" w:rsidRDefault="00000000">
            <w:pPr>
              <w:jc w:val="center"/>
              <w:rPr>
                <w:b/>
                <w:i/>
                <w:sz w:val="22"/>
                <w:szCs w:val="22"/>
              </w:rPr>
            </w:pPr>
            <w:r>
              <w:rPr>
                <w:b/>
                <w:i/>
                <w:sz w:val="22"/>
                <w:szCs w:val="22"/>
              </w:rPr>
              <w:t xml:space="preserve">EI/REI 180 </w:t>
            </w:r>
          </w:p>
          <w:p w14:paraId="4E8E6798" w14:textId="77777777" w:rsidR="001C08A5" w:rsidRDefault="001C08A5">
            <w:pPr>
              <w:jc w:val="center"/>
              <w:rPr>
                <w:b/>
                <w:i/>
                <w:sz w:val="22"/>
                <w:szCs w:val="22"/>
              </w:rPr>
            </w:pPr>
          </w:p>
        </w:tc>
        <w:tc>
          <w:tcPr>
            <w:tcW w:w="1785" w:type="dxa"/>
          </w:tcPr>
          <w:p w14:paraId="4829245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482" w:type="dxa"/>
          </w:tcPr>
          <w:p w14:paraId="6D63C338" w14:textId="77777777" w:rsidR="001C08A5" w:rsidRDefault="00000000">
            <w:pPr>
              <w:jc w:val="center"/>
              <w:rPr>
                <w:b/>
                <w:i/>
                <w:sz w:val="22"/>
                <w:szCs w:val="22"/>
              </w:rPr>
            </w:pPr>
            <w:r>
              <w:rPr>
                <w:b/>
                <w:i/>
                <w:sz w:val="22"/>
                <w:szCs w:val="22"/>
              </w:rPr>
              <w:t xml:space="preserve">REI 120 </w:t>
            </w:r>
          </w:p>
        </w:tc>
        <w:tc>
          <w:tcPr>
            <w:tcW w:w="1641" w:type="dxa"/>
          </w:tcPr>
          <w:p w14:paraId="27451C3A"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28" w:type="dxa"/>
          </w:tcPr>
          <w:p w14:paraId="2158B1AB" w14:textId="77777777" w:rsidR="001C08A5" w:rsidRDefault="00000000">
            <w:pPr>
              <w:jc w:val="center"/>
              <w:rPr>
                <w:i/>
                <w:sz w:val="22"/>
                <w:szCs w:val="22"/>
              </w:rPr>
            </w:pPr>
            <w:r>
              <w:rPr>
                <w:b/>
                <w:bCs/>
                <w:i/>
                <w:sz w:val="22"/>
                <w:szCs w:val="22"/>
              </w:rPr>
              <w:t xml:space="preserve">E 60 - C5 </w:t>
            </w:r>
            <w:r>
              <w:rPr>
                <w:b/>
                <w:i/>
                <w:sz w:val="22"/>
                <w:szCs w:val="22"/>
              </w:rPr>
              <w:t>S</w:t>
            </w:r>
            <w:r>
              <w:rPr>
                <w:b/>
                <w:bCs/>
                <w:i/>
                <w:sz w:val="22"/>
                <w:szCs w:val="22"/>
                <w:vertAlign w:val="subscript"/>
              </w:rPr>
              <w:t>200</w:t>
            </w:r>
          </w:p>
        </w:tc>
      </w:tr>
      <w:tr w:rsidR="001C08A5" w14:paraId="40B3132B" w14:textId="77777777">
        <w:tc>
          <w:tcPr>
            <w:tcW w:w="1241" w:type="dxa"/>
          </w:tcPr>
          <w:p w14:paraId="611C3A78" w14:textId="77777777" w:rsidR="001C08A5" w:rsidRDefault="00000000">
            <w:pPr>
              <w:pStyle w:val="BodyText"/>
              <w:jc w:val="center"/>
              <w:rPr>
                <w:bCs w:val="0"/>
                <w:sz w:val="22"/>
                <w:szCs w:val="22"/>
              </w:rPr>
            </w:pPr>
            <w:r>
              <w:rPr>
                <w:bCs w:val="0"/>
                <w:sz w:val="22"/>
                <w:szCs w:val="22"/>
              </w:rPr>
              <w:t>II</w:t>
            </w:r>
          </w:p>
        </w:tc>
        <w:tc>
          <w:tcPr>
            <w:tcW w:w="1748" w:type="dxa"/>
          </w:tcPr>
          <w:p w14:paraId="12FBE7F6" w14:textId="77777777" w:rsidR="001C08A5" w:rsidRDefault="00000000">
            <w:pPr>
              <w:jc w:val="center"/>
              <w:rPr>
                <w:b/>
                <w:i/>
                <w:sz w:val="22"/>
                <w:szCs w:val="22"/>
              </w:rPr>
            </w:pPr>
            <w:r>
              <w:rPr>
                <w:b/>
                <w:i/>
                <w:sz w:val="22"/>
                <w:szCs w:val="22"/>
              </w:rPr>
              <w:t>EI/REI 180</w:t>
            </w:r>
          </w:p>
          <w:p w14:paraId="64FE7E17" w14:textId="77777777" w:rsidR="001C08A5" w:rsidRDefault="001C08A5">
            <w:pPr>
              <w:jc w:val="center"/>
              <w:rPr>
                <w:b/>
                <w:i/>
                <w:sz w:val="22"/>
                <w:szCs w:val="22"/>
              </w:rPr>
            </w:pPr>
          </w:p>
        </w:tc>
        <w:tc>
          <w:tcPr>
            <w:tcW w:w="1785" w:type="dxa"/>
          </w:tcPr>
          <w:p w14:paraId="12381B44"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482" w:type="dxa"/>
          </w:tcPr>
          <w:p w14:paraId="0D7AAA31" w14:textId="77777777" w:rsidR="001C08A5" w:rsidRDefault="00000000">
            <w:pPr>
              <w:jc w:val="center"/>
              <w:rPr>
                <w:b/>
                <w:i/>
                <w:sz w:val="22"/>
                <w:szCs w:val="22"/>
              </w:rPr>
            </w:pPr>
            <w:r>
              <w:rPr>
                <w:b/>
                <w:i/>
                <w:sz w:val="22"/>
                <w:szCs w:val="22"/>
              </w:rPr>
              <w:t>REI 120</w:t>
            </w:r>
          </w:p>
        </w:tc>
        <w:tc>
          <w:tcPr>
            <w:tcW w:w="1641" w:type="dxa"/>
          </w:tcPr>
          <w:p w14:paraId="35DFCCE7"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28" w:type="dxa"/>
          </w:tcPr>
          <w:p w14:paraId="65C48F1C" w14:textId="77777777" w:rsidR="001C08A5" w:rsidRDefault="00000000">
            <w:pPr>
              <w:jc w:val="center"/>
              <w:rPr>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4B10FC4C" w14:textId="77777777">
        <w:tc>
          <w:tcPr>
            <w:tcW w:w="1241" w:type="dxa"/>
          </w:tcPr>
          <w:p w14:paraId="30F324F9" w14:textId="77777777" w:rsidR="001C08A5" w:rsidRDefault="00000000">
            <w:pPr>
              <w:pStyle w:val="BodyText"/>
              <w:jc w:val="center"/>
              <w:rPr>
                <w:bCs w:val="0"/>
                <w:sz w:val="22"/>
                <w:szCs w:val="22"/>
              </w:rPr>
            </w:pPr>
            <w:r>
              <w:rPr>
                <w:bCs w:val="0"/>
                <w:sz w:val="22"/>
                <w:szCs w:val="22"/>
              </w:rPr>
              <w:t>II (+)</w:t>
            </w:r>
          </w:p>
        </w:tc>
        <w:tc>
          <w:tcPr>
            <w:tcW w:w="1748" w:type="dxa"/>
          </w:tcPr>
          <w:p w14:paraId="7ADE41D0" w14:textId="77777777" w:rsidR="001C08A5" w:rsidRDefault="00000000">
            <w:pPr>
              <w:jc w:val="center"/>
              <w:rPr>
                <w:b/>
                <w:i/>
                <w:sz w:val="22"/>
                <w:szCs w:val="22"/>
              </w:rPr>
            </w:pPr>
            <w:r>
              <w:rPr>
                <w:b/>
                <w:i/>
                <w:sz w:val="22"/>
                <w:szCs w:val="22"/>
              </w:rPr>
              <w:t>EI/REI 120</w:t>
            </w:r>
          </w:p>
          <w:p w14:paraId="3B8FD534" w14:textId="77777777" w:rsidR="001C08A5" w:rsidRDefault="001C08A5">
            <w:pPr>
              <w:jc w:val="center"/>
              <w:rPr>
                <w:b/>
                <w:i/>
                <w:sz w:val="22"/>
                <w:szCs w:val="22"/>
              </w:rPr>
            </w:pPr>
          </w:p>
        </w:tc>
        <w:tc>
          <w:tcPr>
            <w:tcW w:w="1785" w:type="dxa"/>
          </w:tcPr>
          <w:p w14:paraId="17F3037C"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482" w:type="dxa"/>
          </w:tcPr>
          <w:p w14:paraId="60D96C7C" w14:textId="77777777" w:rsidR="001C08A5" w:rsidRDefault="00000000">
            <w:pPr>
              <w:jc w:val="center"/>
              <w:rPr>
                <w:b/>
                <w:i/>
                <w:sz w:val="22"/>
                <w:szCs w:val="22"/>
              </w:rPr>
            </w:pPr>
            <w:r>
              <w:rPr>
                <w:b/>
                <w:i/>
                <w:sz w:val="22"/>
                <w:szCs w:val="22"/>
              </w:rPr>
              <w:t>REI 90</w:t>
            </w:r>
          </w:p>
        </w:tc>
        <w:tc>
          <w:tcPr>
            <w:tcW w:w="1641" w:type="dxa"/>
          </w:tcPr>
          <w:p w14:paraId="1023B2FB"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628" w:type="dxa"/>
          </w:tcPr>
          <w:p w14:paraId="44960A2B" w14:textId="77777777" w:rsidR="001C08A5" w:rsidRDefault="00000000">
            <w:pPr>
              <w:jc w:val="center"/>
              <w:rPr>
                <w:b/>
                <w:bCs/>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30F27D6D" w14:textId="77777777">
        <w:tc>
          <w:tcPr>
            <w:tcW w:w="1241" w:type="dxa"/>
          </w:tcPr>
          <w:p w14:paraId="65ABBFEE" w14:textId="77777777" w:rsidR="001C08A5" w:rsidRDefault="00000000">
            <w:pPr>
              <w:pStyle w:val="BodyText"/>
              <w:jc w:val="center"/>
              <w:rPr>
                <w:bCs w:val="0"/>
                <w:sz w:val="22"/>
                <w:szCs w:val="22"/>
              </w:rPr>
            </w:pPr>
            <w:r>
              <w:rPr>
                <w:bCs w:val="0"/>
                <w:sz w:val="22"/>
                <w:szCs w:val="22"/>
              </w:rPr>
              <w:lastRenderedPageBreak/>
              <w:t>III</w:t>
            </w:r>
          </w:p>
        </w:tc>
        <w:tc>
          <w:tcPr>
            <w:tcW w:w="1748" w:type="dxa"/>
          </w:tcPr>
          <w:p w14:paraId="08EF02E1" w14:textId="77777777" w:rsidR="001C08A5" w:rsidRDefault="00000000">
            <w:pPr>
              <w:jc w:val="center"/>
              <w:rPr>
                <w:b/>
                <w:i/>
                <w:sz w:val="22"/>
                <w:szCs w:val="22"/>
              </w:rPr>
            </w:pPr>
            <w:r>
              <w:rPr>
                <w:b/>
                <w:i/>
                <w:sz w:val="22"/>
                <w:szCs w:val="22"/>
              </w:rPr>
              <w:t xml:space="preserve">EI/REI 90 </w:t>
            </w:r>
          </w:p>
          <w:p w14:paraId="544E170D" w14:textId="77777777" w:rsidR="001C08A5" w:rsidRDefault="001C08A5">
            <w:pPr>
              <w:jc w:val="center"/>
              <w:rPr>
                <w:b/>
                <w:i/>
                <w:sz w:val="22"/>
                <w:szCs w:val="22"/>
              </w:rPr>
            </w:pPr>
          </w:p>
        </w:tc>
        <w:tc>
          <w:tcPr>
            <w:tcW w:w="1785" w:type="dxa"/>
          </w:tcPr>
          <w:p w14:paraId="52D73918"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482" w:type="dxa"/>
          </w:tcPr>
          <w:p w14:paraId="25B632B9" w14:textId="77777777" w:rsidR="001C08A5" w:rsidRDefault="00000000">
            <w:pPr>
              <w:jc w:val="center"/>
              <w:rPr>
                <w:b/>
                <w:i/>
                <w:sz w:val="22"/>
                <w:szCs w:val="22"/>
              </w:rPr>
            </w:pPr>
            <w:r>
              <w:rPr>
                <w:b/>
                <w:i/>
                <w:sz w:val="22"/>
                <w:szCs w:val="22"/>
              </w:rPr>
              <w:t>REI 60</w:t>
            </w:r>
          </w:p>
        </w:tc>
        <w:tc>
          <w:tcPr>
            <w:tcW w:w="1641" w:type="dxa"/>
          </w:tcPr>
          <w:p w14:paraId="59C4B75A"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628" w:type="dxa"/>
          </w:tcPr>
          <w:p w14:paraId="6ABAD0DC" w14:textId="77777777" w:rsidR="001C08A5" w:rsidRDefault="00000000">
            <w:pPr>
              <w:jc w:val="center"/>
              <w:rPr>
                <w:b/>
                <w:i/>
                <w:sz w:val="22"/>
                <w:szCs w:val="22"/>
              </w:rPr>
            </w:pPr>
            <w:r>
              <w:rPr>
                <w:b/>
                <w:bCs/>
                <w:i/>
                <w:sz w:val="22"/>
                <w:szCs w:val="22"/>
              </w:rPr>
              <w:t>E 30 - C5 Sa</w:t>
            </w:r>
          </w:p>
          <w:p w14:paraId="1BEB679C" w14:textId="77777777" w:rsidR="001C08A5" w:rsidRDefault="001C08A5">
            <w:pPr>
              <w:jc w:val="center"/>
              <w:rPr>
                <w:i/>
                <w:strike/>
                <w:sz w:val="22"/>
                <w:szCs w:val="22"/>
              </w:rPr>
            </w:pPr>
          </w:p>
        </w:tc>
      </w:tr>
      <w:tr w:rsidR="001C08A5" w14:paraId="68CDDE33" w14:textId="77777777">
        <w:tc>
          <w:tcPr>
            <w:tcW w:w="1241" w:type="dxa"/>
          </w:tcPr>
          <w:p w14:paraId="61C28973" w14:textId="77777777" w:rsidR="001C08A5" w:rsidRDefault="00000000">
            <w:pPr>
              <w:pStyle w:val="BodyText"/>
              <w:jc w:val="center"/>
              <w:rPr>
                <w:bCs w:val="0"/>
                <w:sz w:val="22"/>
                <w:szCs w:val="22"/>
              </w:rPr>
            </w:pPr>
            <w:r>
              <w:rPr>
                <w:bCs w:val="0"/>
                <w:sz w:val="22"/>
                <w:szCs w:val="22"/>
              </w:rPr>
              <w:t>III (+)</w:t>
            </w:r>
          </w:p>
        </w:tc>
        <w:tc>
          <w:tcPr>
            <w:tcW w:w="1748" w:type="dxa"/>
          </w:tcPr>
          <w:p w14:paraId="7F1FEC39" w14:textId="77777777" w:rsidR="001C08A5" w:rsidRDefault="00000000">
            <w:pPr>
              <w:jc w:val="center"/>
              <w:rPr>
                <w:b/>
                <w:i/>
                <w:sz w:val="22"/>
                <w:szCs w:val="22"/>
              </w:rPr>
            </w:pPr>
            <w:r>
              <w:rPr>
                <w:b/>
                <w:i/>
                <w:sz w:val="22"/>
                <w:szCs w:val="22"/>
              </w:rPr>
              <w:t xml:space="preserve">EI/REI 60 </w:t>
            </w:r>
          </w:p>
          <w:p w14:paraId="06B632AF" w14:textId="77777777" w:rsidR="001C08A5" w:rsidRDefault="001C08A5">
            <w:pPr>
              <w:jc w:val="center"/>
              <w:rPr>
                <w:b/>
                <w:i/>
                <w:sz w:val="22"/>
                <w:szCs w:val="22"/>
              </w:rPr>
            </w:pPr>
          </w:p>
        </w:tc>
        <w:tc>
          <w:tcPr>
            <w:tcW w:w="1785" w:type="dxa"/>
          </w:tcPr>
          <w:p w14:paraId="16C30D50"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482" w:type="dxa"/>
          </w:tcPr>
          <w:p w14:paraId="53E27035" w14:textId="77777777" w:rsidR="001C08A5" w:rsidRDefault="00000000">
            <w:pPr>
              <w:jc w:val="center"/>
              <w:rPr>
                <w:b/>
                <w:i/>
                <w:sz w:val="22"/>
                <w:szCs w:val="22"/>
              </w:rPr>
            </w:pPr>
            <w:r>
              <w:rPr>
                <w:b/>
                <w:i/>
                <w:sz w:val="22"/>
                <w:szCs w:val="22"/>
              </w:rPr>
              <w:t xml:space="preserve">REI 45 </w:t>
            </w:r>
          </w:p>
        </w:tc>
        <w:tc>
          <w:tcPr>
            <w:tcW w:w="1641" w:type="dxa"/>
          </w:tcPr>
          <w:p w14:paraId="30F7794C"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628" w:type="dxa"/>
          </w:tcPr>
          <w:p w14:paraId="20F51C7F" w14:textId="77777777" w:rsidR="001C08A5" w:rsidRDefault="00000000">
            <w:pPr>
              <w:jc w:val="center"/>
              <w:rPr>
                <w:b/>
                <w:i/>
                <w:sz w:val="22"/>
                <w:szCs w:val="22"/>
              </w:rPr>
            </w:pPr>
            <w:r>
              <w:rPr>
                <w:b/>
                <w:bCs/>
                <w:i/>
                <w:sz w:val="22"/>
                <w:szCs w:val="22"/>
              </w:rPr>
              <w:t>E 30 - C5 Sa</w:t>
            </w:r>
          </w:p>
          <w:p w14:paraId="7652FD57" w14:textId="77777777" w:rsidR="001C08A5" w:rsidRDefault="001C08A5">
            <w:pPr>
              <w:jc w:val="center"/>
              <w:rPr>
                <w:i/>
                <w:strike/>
                <w:sz w:val="22"/>
                <w:szCs w:val="22"/>
              </w:rPr>
            </w:pPr>
          </w:p>
        </w:tc>
      </w:tr>
      <w:tr w:rsidR="001C08A5" w14:paraId="6D6C37AE" w14:textId="77777777">
        <w:tc>
          <w:tcPr>
            <w:tcW w:w="1241" w:type="dxa"/>
          </w:tcPr>
          <w:p w14:paraId="3CD24470" w14:textId="77777777" w:rsidR="001C08A5" w:rsidRDefault="00000000">
            <w:pPr>
              <w:pStyle w:val="BodyText"/>
              <w:jc w:val="center"/>
              <w:rPr>
                <w:bCs w:val="0"/>
                <w:sz w:val="22"/>
                <w:szCs w:val="22"/>
              </w:rPr>
            </w:pPr>
            <w:r>
              <w:rPr>
                <w:bCs w:val="0"/>
                <w:sz w:val="22"/>
                <w:szCs w:val="22"/>
              </w:rPr>
              <w:t>IV</w:t>
            </w:r>
          </w:p>
        </w:tc>
        <w:tc>
          <w:tcPr>
            <w:tcW w:w="1748" w:type="dxa"/>
          </w:tcPr>
          <w:p w14:paraId="69984477" w14:textId="77777777" w:rsidR="001C08A5" w:rsidRDefault="00000000">
            <w:pPr>
              <w:jc w:val="center"/>
              <w:rPr>
                <w:b/>
                <w:i/>
                <w:strike/>
                <w:sz w:val="22"/>
                <w:szCs w:val="22"/>
              </w:rPr>
            </w:pPr>
            <w:r>
              <w:rPr>
                <w:b/>
                <w:i/>
                <w:sz w:val="22"/>
                <w:szCs w:val="22"/>
              </w:rPr>
              <w:t xml:space="preserve">EI/REI 45 </w:t>
            </w:r>
          </w:p>
        </w:tc>
        <w:tc>
          <w:tcPr>
            <w:tcW w:w="1785" w:type="dxa"/>
          </w:tcPr>
          <w:p w14:paraId="118789E3"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p>
        </w:tc>
        <w:tc>
          <w:tcPr>
            <w:tcW w:w="1482" w:type="dxa"/>
          </w:tcPr>
          <w:p w14:paraId="17C17839" w14:textId="77777777" w:rsidR="001C08A5" w:rsidRDefault="00000000">
            <w:pPr>
              <w:jc w:val="center"/>
              <w:rPr>
                <w:b/>
                <w:i/>
                <w:sz w:val="22"/>
                <w:szCs w:val="22"/>
              </w:rPr>
            </w:pPr>
            <w:r>
              <w:rPr>
                <w:b/>
                <w:i/>
                <w:sz w:val="22"/>
                <w:szCs w:val="22"/>
              </w:rPr>
              <w:t xml:space="preserve">REI 30 </w:t>
            </w:r>
          </w:p>
        </w:tc>
        <w:tc>
          <w:tcPr>
            <w:tcW w:w="1641" w:type="dxa"/>
          </w:tcPr>
          <w:p w14:paraId="742DE35E"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p>
        </w:tc>
        <w:tc>
          <w:tcPr>
            <w:tcW w:w="1628" w:type="dxa"/>
          </w:tcPr>
          <w:p w14:paraId="1F7883FD" w14:textId="77777777" w:rsidR="001C08A5" w:rsidRDefault="00000000">
            <w:pPr>
              <w:jc w:val="center"/>
              <w:rPr>
                <w:i/>
                <w:sz w:val="22"/>
                <w:szCs w:val="22"/>
              </w:rPr>
            </w:pPr>
            <w:r>
              <w:rPr>
                <w:b/>
                <w:bCs/>
                <w:i/>
                <w:sz w:val="22"/>
                <w:szCs w:val="22"/>
              </w:rPr>
              <w:t>E 15 - C5 Sa</w:t>
            </w:r>
          </w:p>
        </w:tc>
      </w:tr>
      <w:tr w:rsidR="001C08A5" w14:paraId="429A1C53" w14:textId="77777777">
        <w:tc>
          <w:tcPr>
            <w:tcW w:w="1241" w:type="dxa"/>
          </w:tcPr>
          <w:p w14:paraId="6BA105F2" w14:textId="77777777" w:rsidR="001C08A5" w:rsidRDefault="00000000">
            <w:pPr>
              <w:pStyle w:val="BodyText"/>
              <w:jc w:val="center"/>
              <w:rPr>
                <w:bCs w:val="0"/>
                <w:sz w:val="22"/>
                <w:szCs w:val="22"/>
              </w:rPr>
            </w:pPr>
            <w:r>
              <w:rPr>
                <w:bCs w:val="0"/>
                <w:sz w:val="22"/>
                <w:szCs w:val="22"/>
              </w:rPr>
              <w:t>V</w:t>
            </w:r>
          </w:p>
        </w:tc>
        <w:tc>
          <w:tcPr>
            <w:tcW w:w="1748" w:type="dxa"/>
          </w:tcPr>
          <w:p w14:paraId="1B6DF8F2" w14:textId="77777777" w:rsidR="001C08A5" w:rsidRDefault="00000000">
            <w:pPr>
              <w:jc w:val="center"/>
              <w:rPr>
                <w:b/>
                <w:i/>
                <w:strike/>
                <w:sz w:val="22"/>
                <w:szCs w:val="22"/>
              </w:rPr>
            </w:pPr>
            <w:r>
              <w:rPr>
                <w:b/>
                <w:bCs/>
                <w:i/>
                <w:sz w:val="22"/>
                <w:szCs w:val="22"/>
              </w:rPr>
              <w:t>Nu se admit</w:t>
            </w:r>
          </w:p>
        </w:tc>
        <w:tc>
          <w:tcPr>
            <w:tcW w:w="1785" w:type="dxa"/>
          </w:tcPr>
          <w:p w14:paraId="64F42245" w14:textId="77777777" w:rsidR="001C08A5" w:rsidRDefault="00000000">
            <w:pPr>
              <w:jc w:val="center"/>
              <w:rPr>
                <w:i/>
                <w:sz w:val="22"/>
                <w:szCs w:val="22"/>
              </w:rPr>
            </w:pPr>
            <w:r>
              <w:rPr>
                <w:b/>
                <w:bCs/>
                <w:i/>
                <w:sz w:val="22"/>
                <w:szCs w:val="22"/>
              </w:rPr>
              <w:t>Nu se admit</w:t>
            </w:r>
          </w:p>
        </w:tc>
        <w:tc>
          <w:tcPr>
            <w:tcW w:w="1482" w:type="dxa"/>
          </w:tcPr>
          <w:p w14:paraId="04D3A06A" w14:textId="77777777" w:rsidR="001C08A5" w:rsidRDefault="00000000">
            <w:pPr>
              <w:jc w:val="center"/>
              <w:rPr>
                <w:b/>
                <w:i/>
                <w:sz w:val="22"/>
                <w:szCs w:val="22"/>
              </w:rPr>
            </w:pPr>
            <w:r>
              <w:rPr>
                <w:b/>
                <w:bCs/>
                <w:i/>
                <w:sz w:val="22"/>
                <w:szCs w:val="22"/>
              </w:rPr>
              <w:t>Nu se admit</w:t>
            </w:r>
          </w:p>
        </w:tc>
        <w:tc>
          <w:tcPr>
            <w:tcW w:w="1641" w:type="dxa"/>
          </w:tcPr>
          <w:p w14:paraId="45BDB2D6" w14:textId="77777777" w:rsidR="001C08A5" w:rsidRDefault="00000000">
            <w:pPr>
              <w:jc w:val="center"/>
              <w:rPr>
                <w:i/>
                <w:sz w:val="22"/>
                <w:szCs w:val="22"/>
              </w:rPr>
            </w:pPr>
            <w:r>
              <w:rPr>
                <w:b/>
                <w:bCs/>
                <w:i/>
                <w:sz w:val="22"/>
                <w:szCs w:val="22"/>
              </w:rPr>
              <w:t>Nu se admit</w:t>
            </w:r>
          </w:p>
        </w:tc>
        <w:tc>
          <w:tcPr>
            <w:tcW w:w="1628" w:type="dxa"/>
          </w:tcPr>
          <w:p w14:paraId="19829BA7" w14:textId="77777777" w:rsidR="001C08A5" w:rsidRDefault="00000000">
            <w:pPr>
              <w:jc w:val="center"/>
              <w:rPr>
                <w:i/>
                <w:strike/>
                <w:sz w:val="22"/>
                <w:szCs w:val="22"/>
              </w:rPr>
            </w:pPr>
            <w:r>
              <w:rPr>
                <w:b/>
                <w:bCs/>
                <w:i/>
                <w:sz w:val="22"/>
                <w:szCs w:val="22"/>
              </w:rPr>
              <w:t>Nu se admit</w:t>
            </w:r>
          </w:p>
        </w:tc>
      </w:tr>
    </w:tbl>
    <w:p w14:paraId="2D3D8102" w14:textId="77777777" w:rsidR="001C08A5" w:rsidRDefault="00000000">
      <w:pPr>
        <w:jc w:val="both"/>
        <w:rPr>
          <w:sz w:val="24"/>
          <w:szCs w:val="24"/>
        </w:rPr>
      </w:pPr>
      <w:r>
        <w:rPr>
          <w:sz w:val="24"/>
          <w:szCs w:val="24"/>
        </w:rPr>
        <w:t>Note:</w:t>
      </w:r>
    </w:p>
    <w:p w14:paraId="2B8AEFF0"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0C23853C"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49BB075E" w14:textId="77777777" w:rsidR="001C08A5" w:rsidRDefault="001C08A5">
      <w:pPr>
        <w:jc w:val="both"/>
        <w:rPr>
          <w:bCs/>
          <w:i/>
          <w:sz w:val="24"/>
          <w:szCs w:val="24"/>
        </w:rPr>
      </w:pPr>
    </w:p>
    <w:p w14:paraId="2716804F" w14:textId="77777777" w:rsidR="001C08A5" w:rsidRDefault="00000000">
      <w:pPr>
        <w:jc w:val="both"/>
        <w:rPr>
          <w:b/>
          <w:sz w:val="24"/>
          <w:szCs w:val="24"/>
        </w:rPr>
      </w:pPr>
      <w:r>
        <w:rPr>
          <w:sz w:val="24"/>
          <w:szCs w:val="24"/>
        </w:rPr>
        <w:tab/>
      </w:r>
      <w:r>
        <w:rPr>
          <w:b/>
          <w:sz w:val="24"/>
          <w:szCs w:val="24"/>
        </w:rPr>
        <w:t xml:space="preserve">Art. </w:t>
      </w:r>
      <w:r>
        <w:rPr>
          <w:b/>
          <w:bCs/>
          <w:sz w:val="24"/>
          <w:szCs w:val="24"/>
        </w:rPr>
        <w:t>3.2.6.</w:t>
      </w:r>
      <w:r>
        <w:rPr>
          <w:b/>
          <w:sz w:val="24"/>
          <w:szCs w:val="24"/>
        </w:rPr>
        <w:t xml:space="preserve">8. </w:t>
      </w:r>
      <w:r>
        <w:rPr>
          <w:sz w:val="24"/>
          <w:szCs w:val="24"/>
        </w:rPr>
        <w:t xml:space="preserve">Comportarea la foc a pereţilor, uşilor și planşeelor de separare a căilor de evacuare orizontale (coridoare şi holuri) din clădirile pentru învăţămînt primar, </w:t>
      </w:r>
      <w:r>
        <w:rPr>
          <w:bCs/>
          <w:sz w:val="24"/>
          <w:szCs w:val="24"/>
        </w:rPr>
        <w:t>secundar, terţiar, nonuniversitar și universitar</w:t>
      </w:r>
      <w:r>
        <w:rPr>
          <w:sz w:val="24"/>
          <w:szCs w:val="24"/>
        </w:rPr>
        <w:t xml:space="preserve"> supraterane cu înălţimi obişnuite, trebuie să corespundă prevederilor din </w:t>
      </w:r>
      <w:r>
        <w:rPr>
          <w:b/>
          <w:bCs/>
          <w:i/>
          <w:iCs/>
          <w:sz w:val="24"/>
          <w:szCs w:val="24"/>
        </w:rPr>
        <w:fldChar w:fldCharType="begin"/>
      </w:r>
      <w:r>
        <w:rPr>
          <w:b/>
          <w:bCs/>
          <w:i/>
          <w:iCs/>
          <w:sz w:val="24"/>
          <w:szCs w:val="24"/>
        </w:rPr>
        <w:instrText xml:space="preserve"> REF _Ref16823 \h </w:instrText>
      </w:r>
      <w:r>
        <w:rPr>
          <w:b/>
          <w:bCs/>
          <w:i/>
          <w:iCs/>
          <w:sz w:val="24"/>
          <w:szCs w:val="24"/>
        </w:rPr>
      </w:r>
      <w:r>
        <w:rPr>
          <w:b/>
          <w:bCs/>
          <w:i/>
          <w:iCs/>
          <w:sz w:val="24"/>
          <w:szCs w:val="24"/>
        </w:rPr>
        <w:fldChar w:fldCharType="separate"/>
      </w:r>
      <w:r>
        <w:t>Tabelul 75</w:t>
      </w:r>
      <w:r>
        <w:rPr>
          <w:b/>
          <w:bCs/>
          <w:i/>
          <w:iCs/>
          <w:sz w:val="24"/>
          <w:szCs w:val="24"/>
        </w:rPr>
        <w:fldChar w:fldCharType="end"/>
      </w:r>
      <w:r>
        <w:rPr>
          <w:sz w:val="24"/>
          <w:szCs w:val="24"/>
        </w:rPr>
        <w:t>.</w:t>
      </w:r>
    </w:p>
    <w:p w14:paraId="25452467" w14:textId="77777777" w:rsidR="001C08A5" w:rsidRDefault="001C08A5">
      <w:pPr>
        <w:jc w:val="both"/>
        <w:rPr>
          <w:b/>
          <w:sz w:val="24"/>
          <w:szCs w:val="24"/>
        </w:rPr>
      </w:pPr>
    </w:p>
    <w:p w14:paraId="689244C1" w14:textId="77777777" w:rsidR="001C08A5" w:rsidRDefault="00000000">
      <w:pPr>
        <w:pStyle w:val="Captiontabel"/>
      </w:pPr>
      <w:bookmarkStart w:id="3743" w:name="_Ref16823"/>
      <w:bookmarkStart w:id="3744" w:name="_Toc162360125"/>
      <w:r>
        <w:t xml:space="preserve">Tabelul </w:t>
      </w:r>
      <w:r>
        <w:fldChar w:fldCharType="begin"/>
      </w:r>
      <w:r>
        <w:instrText xml:space="preserve"> SEQ Tabelul \* ARABIC </w:instrText>
      </w:r>
      <w:r>
        <w:fldChar w:fldCharType="separate"/>
      </w:r>
      <w:r>
        <w:t>75</w:t>
      </w:r>
      <w:r>
        <w:fldChar w:fldCharType="end"/>
      </w:r>
      <w:bookmarkStart w:id="3745" w:name="_Toc24211"/>
      <w:bookmarkStart w:id="3746" w:name="_Toc25615"/>
      <w:bookmarkStart w:id="3747" w:name="_Toc19460"/>
      <w:bookmarkStart w:id="3748" w:name="_Toc25282"/>
      <w:bookmarkStart w:id="3749" w:name="_Toc12462"/>
      <w:bookmarkStart w:id="3750" w:name="_Toc17049"/>
      <w:bookmarkStart w:id="3751" w:name="_Toc9389"/>
      <w:bookmarkStart w:id="3752" w:name="_Toc7919"/>
      <w:bookmarkStart w:id="3753" w:name="_Toc15740"/>
      <w:bookmarkStart w:id="3754" w:name="_Toc27167"/>
      <w:bookmarkStart w:id="3755" w:name="_Toc16536"/>
      <w:bookmarkStart w:id="3756" w:name="_Toc19135"/>
      <w:bookmarkStart w:id="3757" w:name="_Toc8673"/>
      <w:bookmarkStart w:id="3758" w:name="_Toc16238"/>
      <w:bookmarkStart w:id="3759" w:name="_Toc12068"/>
      <w:bookmarkStart w:id="3760" w:name="_Toc17364"/>
      <w:bookmarkStart w:id="3761" w:name="_Toc20022"/>
      <w:bookmarkStart w:id="3762" w:name="_Toc28062"/>
      <w:bookmarkStart w:id="3763" w:name="_Toc18084"/>
      <w:bookmarkEnd w:id="3743"/>
      <w:r>
        <w:t>: Comportare la foc a pereţilor, a uşilor şi planşeelor de separare a căilor de evacuare orizontale (coridoare şi holuri) din clădirile pentru învăţămînt primar, secundar, terţiar, nonuniversitar și universitar supraterane cu înălţimi obişnuite</w:t>
      </w:r>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p>
    <w:p w14:paraId="4E6488F0" w14:textId="77777777" w:rsidR="001C08A5" w:rsidRDefault="001C08A5">
      <w:pPr>
        <w:ind w:left="1440" w:hanging="1440"/>
        <w:jc w:val="both"/>
        <w:rPr>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242"/>
        <w:gridCol w:w="1665"/>
        <w:gridCol w:w="1905"/>
        <w:gridCol w:w="1885"/>
        <w:gridCol w:w="28"/>
        <w:gridCol w:w="1511"/>
      </w:tblGrid>
      <w:tr w:rsidR="001C08A5" w14:paraId="2521A95A" w14:textId="77777777">
        <w:trPr>
          <w:tblHeader/>
        </w:trPr>
        <w:tc>
          <w:tcPr>
            <w:tcW w:w="1262" w:type="dxa"/>
            <w:vMerge w:val="restart"/>
            <w:shd w:val="clear" w:color="auto" w:fill="BFBFBF"/>
          </w:tcPr>
          <w:p w14:paraId="01E63D74" w14:textId="77777777" w:rsidR="001C08A5" w:rsidRDefault="001C08A5">
            <w:pPr>
              <w:pStyle w:val="BodyText"/>
              <w:jc w:val="center"/>
              <w:rPr>
                <w:bCs w:val="0"/>
                <w:sz w:val="22"/>
                <w:szCs w:val="22"/>
              </w:rPr>
            </w:pPr>
          </w:p>
          <w:p w14:paraId="78D02B95" w14:textId="77777777" w:rsidR="001C08A5" w:rsidRDefault="00000000">
            <w:pPr>
              <w:pStyle w:val="BodyText"/>
              <w:jc w:val="center"/>
              <w:rPr>
                <w:bCs w:val="0"/>
                <w:sz w:val="22"/>
                <w:szCs w:val="22"/>
              </w:rPr>
            </w:pPr>
            <w:r>
              <w:rPr>
                <w:bCs w:val="0"/>
                <w:sz w:val="22"/>
                <w:szCs w:val="22"/>
              </w:rPr>
              <w:t>Nivel de stabilitate</w:t>
            </w:r>
          </w:p>
          <w:p w14:paraId="6524E5EB" w14:textId="77777777" w:rsidR="001C08A5" w:rsidRDefault="00000000">
            <w:pPr>
              <w:jc w:val="center"/>
              <w:rPr>
                <w:i/>
                <w:sz w:val="22"/>
                <w:szCs w:val="22"/>
              </w:rPr>
            </w:pPr>
            <w:r>
              <w:rPr>
                <w:b/>
                <w:bCs/>
                <w:i/>
                <w:sz w:val="22"/>
                <w:szCs w:val="22"/>
              </w:rPr>
              <w:t>la incendiu</w:t>
            </w:r>
          </w:p>
        </w:tc>
        <w:tc>
          <w:tcPr>
            <w:tcW w:w="8236" w:type="dxa"/>
            <w:gridSpan w:val="6"/>
            <w:shd w:val="clear" w:color="auto" w:fill="BFBFBF"/>
          </w:tcPr>
          <w:p w14:paraId="539563C7" w14:textId="77777777" w:rsidR="001C08A5" w:rsidRDefault="00000000">
            <w:pPr>
              <w:jc w:val="center"/>
              <w:rPr>
                <w:b/>
                <w:bCs/>
                <w:i/>
                <w:sz w:val="22"/>
                <w:szCs w:val="22"/>
              </w:rPr>
            </w:pPr>
            <w:r>
              <w:rPr>
                <w:b/>
                <w:bCs/>
                <w:i/>
                <w:sz w:val="22"/>
                <w:szCs w:val="22"/>
              </w:rPr>
              <w:t xml:space="preserve">Niveluri de comportare la foc admise la coridoare şi la holuri </w:t>
            </w:r>
          </w:p>
        </w:tc>
      </w:tr>
      <w:tr w:rsidR="001C08A5" w14:paraId="11B1D80F" w14:textId="77777777">
        <w:trPr>
          <w:tblHeader/>
        </w:trPr>
        <w:tc>
          <w:tcPr>
            <w:tcW w:w="1262" w:type="dxa"/>
            <w:vMerge/>
            <w:shd w:val="clear" w:color="auto" w:fill="BFBFBF"/>
          </w:tcPr>
          <w:p w14:paraId="176AB64B" w14:textId="77777777" w:rsidR="001C08A5" w:rsidRDefault="001C08A5">
            <w:pPr>
              <w:jc w:val="center"/>
              <w:rPr>
                <w:i/>
                <w:sz w:val="22"/>
                <w:szCs w:val="22"/>
              </w:rPr>
            </w:pPr>
          </w:p>
        </w:tc>
        <w:tc>
          <w:tcPr>
            <w:tcW w:w="2907" w:type="dxa"/>
            <w:gridSpan w:val="2"/>
            <w:shd w:val="clear" w:color="auto" w:fill="BFBFBF"/>
          </w:tcPr>
          <w:p w14:paraId="73E0117E" w14:textId="77777777" w:rsidR="001C08A5" w:rsidRDefault="001C08A5">
            <w:pPr>
              <w:jc w:val="center"/>
              <w:rPr>
                <w:b/>
                <w:bCs/>
                <w:i/>
                <w:sz w:val="22"/>
                <w:szCs w:val="22"/>
              </w:rPr>
            </w:pPr>
          </w:p>
          <w:p w14:paraId="760BFC17" w14:textId="77777777" w:rsidR="001C08A5" w:rsidRDefault="00000000">
            <w:pPr>
              <w:jc w:val="center"/>
              <w:rPr>
                <w:i/>
                <w:sz w:val="22"/>
                <w:szCs w:val="22"/>
              </w:rPr>
            </w:pPr>
            <w:r>
              <w:rPr>
                <w:b/>
                <w:bCs/>
                <w:i/>
                <w:sz w:val="22"/>
                <w:szCs w:val="22"/>
              </w:rPr>
              <w:t>Pereţi</w:t>
            </w:r>
          </w:p>
        </w:tc>
        <w:tc>
          <w:tcPr>
            <w:tcW w:w="3790" w:type="dxa"/>
            <w:gridSpan w:val="2"/>
            <w:shd w:val="clear" w:color="auto" w:fill="BFBFBF"/>
          </w:tcPr>
          <w:p w14:paraId="44D2FF28"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539" w:type="dxa"/>
            <w:gridSpan w:val="2"/>
            <w:shd w:val="clear" w:color="auto" w:fill="BFBFBF"/>
          </w:tcPr>
          <w:p w14:paraId="6D9384A9" w14:textId="77777777" w:rsidR="001C08A5" w:rsidRDefault="00000000">
            <w:pPr>
              <w:jc w:val="center"/>
              <w:rPr>
                <w:b/>
                <w:bCs/>
                <w:i/>
                <w:sz w:val="22"/>
                <w:szCs w:val="22"/>
              </w:rPr>
            </w:pPr>
            <w:r>
              <w:rPr>
                <w:b/>
                <w:bCs/>
                <w:i/>
                <w:sz w:val="22"/>
                <w:szCs w:val="22"/>
              </w:rPr>
              <w:t>Uşi</w:t>
            </w:r>
          </w:p>
          <w:p w14:paraId="4F552D26" w14:textId="77777777" w:rsidR="001C08A5" w:rsidRDefault="00000000">
            <w:pPr>
              <w:jc w:val="center"/>
              <w:rPr>
                <w:i/>
                <w:sz w:val="22"/>
                <w:szCs w:val="22"/>
              </w:rPr>
            </w:pPr>
            <w:r>
              <w:rPr>
                <w:bCs/>
                <w:i/>
                <w:sz w:val="22"/>
                <w:szCs w:val="22"/>
              </w:rPr>
              <w:t>(cu excepţia celor către case de scări închise)</w:t>
            </w:r>
          </w:p>
        </w:tc>
      </w:tr>
      <w:tr w:rsidR="001C08A5" w14:paraId="139D118E" w14:textId="77777777">
        <w:tc>
          <w:tcPr>
            <w:tcW w:w="1262" w:type="dxa"/>
          </w:tcPr>
          <w:p w14:paraId="6EBA7556" w14:textId="77777777" w:rsidR="001C08A5" w:rsidRDefault="00000000">
            <w:pPr>
              <w:pStyle w:val="BodyText"/>
              <w:jc w:val="center"/>
              <w:rPr>
                <w:bCs w:val="0"/>
                <w:sz w:val="22"/>
                <w:szCs w:val="22"/>
              </w:rPr>
            </w:pPr>
            <w:r>
              <w:rPr>
                <w:bCs w:val="0"/>
                <w:sz w:val="22"/>
                <w:szCs w:val="22"/>
              </w:rPr>
              <w:t>I</w:t>
            </w:r>
          </w:p>
          <w:p w14:paraId="023465CC" w14:textId="77777777" w:rsidR="001C08A5" w:rsidRDefault="00000000">
            <w:pPr>
              <w:pStyle w:val="BodyText"/>
              <w:jc w:val="center"/>
              <w:rPr>
                <w:bCs w:val="0"/>
                <w:sz w:val="22"/>
                <w:szCs w:val="22"/>
              </w:rPr>
            </w:pPr>
            <w:r>
              <w:rPr>
                <w:sz w:val="22"/>
                <w:szCs w:val="22"/>
              </w:rPr>
              <w:t>h&lt;28m</w:t>
            </w:r>
          </w:p>
        </w:tc>
        <w:tc>
          <w:tcPr>
            <w:tcW w:w="1242" w:type="dxa"/>
          </w:tcPr>
          <w:p w14:paraId="2F31F8D6" w14:textId="77777777" w:rsidR="001C08A5" w:rsidRDefault="00000000">
            <w:pPr>
              <w:jc w:val="center"/>
              <w:rPr>
                <w:b/>
                <w:i/>
                <w:sz w:val="22"/>
                <w:szCs w:val="22"/>
              </w:rPr>
            </w:pPr>
            <w:r>
              <w:rPr>
                <w:b/>
                <w:i/>
                <w:sz w:val="22"/>
                <w:szCs w:val="22"/>
              </w:rPr>
              <w:t xml:space="preserve">EI/REI 90 </w:t>
            </w:r>
          </w:p>
          <w:p w14:paraId="2B23E64A" w14:textId="77777777" w:rsidR="001C08A5" w:rsidRDefault="001C08A5">
            <w:pPr>
              <w:jc w:val="center"/>
              <w:rPr>
                <w:b/>
                <w:i/>
                <w:sz w:val="22"/>
                <w:szCs w:val="22"/>
              </w:rPr>
            </w:pPr>
          </w:p>
        </w:tc>
        <w:tc>
          <w:tcPr>
            <w:tcW w:w="1665" w:type="dxa"/>
          </w:tcPr>
          <w:p w14:paraId="1B46665F"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905" w:type="dxa"/>
            <w:vMerge w:val="restart"/>
            <w:textDirection w:val="lrTbV"/>
          </w:tcPr>
          <w:p w14:paraId="76D21AE8" w14:textId="77777777" w:rsidR="001C08A5" w:rsidRDefault="00000000">
            <w:pPr>
              <w:jc w:val="center"/>
              <w:rPr>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755F32A9" w14:textId="77777777" w:rsidR="001C08A5" w:rsidRDefault="00000000">
            <w:pP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1913" w:type="dxa"/>
            <w:gridSpan w:val="2"/>
          </w:tcPr>
          <w:p w14:paraId="60276B5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11" w:type="dxa"/>
          </w:tcPr>
          <w:p w14:paraId="634CC7E2" w14:textId="77777777" w:rsidR="001C08A5" w:rsidRDefault="00000000">
            <w:pPr>
              <w:jc w:val="center"/>
              <w:rPr>
                <w:i/>
                <w:sz w:val="22"/>
                <w:szCs w:val="22"/>
              </w:rPr>
            </w:pPr>
            <w:r>
              <w:rPr>
                <w:b/>
                <w:bCs/>
                <w:i/>
                <w:sz w:val="22"/>
                <w:szCs w:val="22"/>
              </w:rPr>
              <w:t xml:space="preserve">E 30 - C5 </w:t>
            </w:r>
            <w:r>
              <w:rPr>
                <w:b/>
                <w:i/>
                <w:sz w:val="22"/>
                <w:szCs w:val="22"/>
              </w:rPr>
              <w:t>S</w:t>
            </w:r>
            <w:r>
              <w:rPr>
                <w:b/>
                <w:bCs/>
                <w:i/>
                <w:sz w:val="22"/>
                <w:szCs w:val="22"/>
                <w:vertAlign w:val="subscript"/>
              </w:rPr>
              <w:t>200</w:t>
            </w:r>
          </w:p>
        </w:tc>
      </w:tr>
      <w:tr w:rsidR="001C08A5" w14:paraId="01D100A5" w14:textId="77777777">
        <w:tc>
          <w:tcPr>
            <w:tcW w:w="1262" w:type="dxa"/>
          </w:tcPr>
          <w:p w14:paraId="0BB73002" w14:textId="77777777" w:rsidR="001C08A5" w:rsidRDefault="00000000">
            <w:pPr>
              <w:pStyle w:val="BodyText"/>
              <w:jc w:val="center"/>
              <w:rPr>
                <w:bCs w:val="0"/>
                <w:sz w:val="22"/>
                <w:szCs w:val="22"/>
              </w:rPr>
            </w:pPr>
            <w:r>
              <w:rPr>
                <w:bCs w:val="0"/>
                <w:sz w:val="22"/>
                <w:szCs w:val="22"/>
              </w:rPr>
              <w:t>II</w:t>
            </w:r>
          </w:p>
        </w:tc>
        <w:tc>
          <w:tcPr>
            <w:tcW w:w="1242" w:type="dxa"/>
          </w:tcPr>
          <w:p w14:paraId="0DB971C7" w14:textId="77777777" w:rsidR="001C08A5" w:rsidRDefault="00000000">
            <w:pPr>
              <w:jc w:val="center"/>
              <w:rPr>
                <w:b/>
                <w:i/>
                <w:sz w:val="22"/>
                <w:szCs w:val="22"/>
              </w:rPr>
            </w:pPr>
            <w:r>
              <w:rPr>
                <w:b/>
                <w:i/>
                <w:sz w:val="22"/>
                <w:szCs w:val="22"/>
              </w:rPr>
              <w:t xml:space="preserve">EI/REI 90 </w:t>
            </w:r>
          </w:p>
          <w:p w14:paraId="1E4EA9D9" w14:textId="77777777" w:rsidR="001C08A5" w:rsidRDefault="001C08A5">
            <w:pPr>
              <w:jc w:val="center"/>
              <w:rPr>
                <w:b/>
                <w:i/>
                <w:sz w:val="22"/>
                <w:szCs w:val="22"/>
              </w:rPr>
            </w:pPr>
          </w:p>
        </w:tc>
        <w:tc>
          <w:tcPr>
            <w:tcW w:w="1665" w:type="dxa"/>
          </w:tcPr>
          <w:p w14:paraId="4AD6B968"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905" w:type="dxa"/>
            <w:vMerge/>
          </w:tcPr>
          <w:p w14:paraId="2A93A0E0" w14:textId="77777777" w:rsidR="001C08A5" w:rsidRDefault="001C08A5">
            <w:pPr>
              <w:jc w:val="center"/>
              <w:rPr>
                <w:b/>
                <w:i/>
                <w:sz w:val="22"/>
                <w:szCs w:val="22"/>
              </w:rPr>
            </w:pPr>
          </w:p>
        </w:tc>
        <w:tc>
          <w:tcPr>
            <w:tcW w:w="1913" w:type="dxa"/>
            <w:gridSpan w:val="2"/>
          </w:tcPr>
          <w:p w14:paraId="7C8F7FE5"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11" w:type="dxa"/>
          </w:tcPr>
          <w:p w14:paraId="282A822F" w14:textId="77777777" w:rsidR="001C08A5" w:rsidRDefault="00000000">
            <w:pPr>
              <w:jc w:val="center"/>
              <w:rPr>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009EDBF4" w14:textId="77777777">
        <w:tc>
          <w:tcPr>
            <w:tcW w:w="1262" w:type="dxa"/>
          </w:tcPr>
          <w:p w14:paraId="4A127CED" w14:textId="77777777" w:rsidR="001C08A5" w:rsidRDefault="00000000">
            <w:pPr>
              <w:pStyle w:val="BodyText"/>
              <w:jc w:val="center"/>
              <w:rPr>
                <w:bCs w:val="0"/>
                <w:sz w:val="22"/>
                <w:szCs w:val="22"/>
              </w:rPr>
            </w:pPr>
            <w:r>
              <w:rPr>
                <w:bCs w:val="0"/>
                <w:sz w:val="22"/>
                <w:szCs w:val="22"/>
              </w:rPr>
              <w:t>II (+)</w:t>
            </w:r>
          </w:p>
        </w:tc>
        <w:tc>
          <w:tcPr>
            <w:tcW w:w="1242" w:type="dxa"/>
          </w:tcPr>
          <w:p w14:paraId="424F78C6" w14:textId="77777777" w:rsidR="001C08A5" w:rsidRDefault="00000000">
            <w:pPr>
              <w:jc w:val="center"/>
              <w:rPr>
                <w:b/>
                <w:i/>
                <w:sz w:val="22"/>
                <w:szCs w:val="22"/>
              </w:rPr>
            </w:pPr>
            <w:r>
              <w:rPr>
                <w:b/>
                <w:i/>
                <w:sz w:val="22"/>
                <w:szCs w:val="22"/>
              </w:rPr>
              <w:t>EI/REI 90</w:t>
            </w:r>
          </w:p>
          <w:p w14:paraId="7DD92B41" w14:textId="77777777" w:rsidR="001C08A5" w:rsidRDefault="001C08A5">
            <w:pPr>
              <w:jc w:val="center"/>
              <w:rPr>
                <w:b/>
                <w:i/>
                <w:sz w:val="22"/>
                <w:szCs w:val="22"/>
              </w:rPr>
            </w:pPr>
          </w:p>
        </w:tc>
        <w:tc>
          <w:tcPr>
            <w:tcW w:w="1665" w:type="dxa"/>
          </w:tcPr>
          <w:p w14:paraId="0F5D48F7"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905" w:type="dxa"/>
            <w:vMerge/>
          </w:tcPr>
          <w:p w14:paraId="08C4D206" w14:textId="77777777" w:rsidR="001C08A5" w:rsidRDefault="001C08A5">
            <w:pPr>
              <w:jc w:val="center"/>
              <w:rPr>
                <w:b/>
                <w:i/>
                <w:sz w:val="22"/>
                <w:szCs w:val="22"/>
              </w:rPr>
            </w:pPr>
          </w:p>
        </w:tc>
        <w:tc>
          <w:tcPr>
            <w:tcW w:w="1913" w:type="dxa"/>
            <w:gridSpan w:val="2"/>
          </w:tcPr>
          <w:p w14:paraId="01B9DCB1" w14:textId="77777777" w:rsidR="001C08A5" w:rsidRDefault="00000000">
            <w:pPr>
              <w:jc w:val="center"/>
              <w:rPr>
                <w:b/>
                <w:i/>
                <w:sz w:val="22"/>
                <w:szCs w:val="22"/>
              </w:rPr>
            </w:pPr>
            <w:r>
              <w:rPr>
                <w:b/>
                <w:i/>
                <w:sz w:val="22"/>
                <w:szCs w:val="22"/>
              </w:rPr>
              <w:t>A1 sau A2-s1d0</w:t>
            </w:r>
          </w:p>
        </w:tc>
        <w:tc>
          <w:tcPr>
            <w:tcW w:w="1511" w:type="dxa"/>
          </w:tcPr>
          <w:p w14:paraId="525421BB" w14:textId="77777777" w:rsidR="001C08A5" w:rsidRDefault="00000000">
            <w:pPr>
              <w:jc w:val="center"/>
              <w:rPr>
                <w:b/>
                <w:bCs/>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7A8A9698" w14:textId="77777777">
        <w:tc>
          <w:tcPr>
            <w:tcW w:w="1262" w:type="dxa"/>
          </w:tcPr>
          <w:p w14:paraId="6968E206" w14:textId="77777777" w:rsidR="001C08A5" w:rsidRDefault="00000000">
            <w:pPr>
              <w:pStyle w:val="BodyText"/>
              <w:jc w:val="center"/>
              <w:rPr>
                <w:bCs w:val="0"/>
                <w:sz w:val="22"/>
                <w:szCs w:val="22"/>
              </w:rPr>
            </w:pPr>
            <w:r>
              <w:rPr>
                <w:bCs w:val="0"/>
                <w:sz w:val="22"/>
                <w:szCs w:val="22"/>
              </w:rPr>
              <w:t>III</w:t>
            </w:r>
          </w:p>
        </w:tc>
        <w:tc>
          <w:tcPr>
            <w:tcW w:w="1242" w:type="dxa"/>
          </w:tcPr>
          <w:p w14:paraId="77B3FDD5" w14:textId="77777777" w:rsidR="001C08A5" w:rsidRDefault="00000000">
            <w:pPr>
              <w:jc w:val="center"/>
              <w:rPr>
                <w:b/>
                <w:i/>
                <w:sz w:val="22"/>
                <w:szCs w:val="22"/>
              </w:rPr>
            </w:pPr>
            <w:r>
              <w:rPr>
                <w:b/>
                <w:i/>
                <w:sz w:val="22"/>
                <w:szCs w:val="22"/>
              </w:rPr>
              <w:t xml:space="preserve">EI/REI 60 </w:t>
            </w:r>
          </w:p>
          <w:p w14:paraId="4F1DD122" w14:textId="77777777" w:rsidR="001C08A5" w:rsidRDefault="001C08A5">
            <w:pPr>
              <w:jc w:val="center"/>
              <w:rPr>
                <w:b/>
                <w:i/>
                <w:sz w:val="22"/>
                <w:szCs w:val="22"/>
              </w:rPr>
            </w:pPr>
          </w:p>
        </w:tc>
        <w:tc>
          <w:tcPr>
            <w:tcW w:w="1665" w:type="dxa"/>
          </w:tcPr>
          <w:p w14:paraId="45ECEFD3"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905" w:type="dxa"/>
            <w:vMerge/>
          </w:tcPr>
          <w:p w14:paraId="2DB94FC4" w14:textId="77777777" w:rsidR="001C08A5" w:rsidRDefault="001C08A5">
            <w:pPr>
              <w:jc w:val="center"/>
              <w:rPr>
                <w:b/>
                <w:i/>
                <w:sz w:val="22"/>
                <w:szCs w:val="22"/>
              </w:rPr>
            </w:pPr>
          </w:p>
        </w:tc>
        <w:tc>
          <w:tcPr>
            <w:tcW w:w="1913" w:type="dxa"/>
            <w:gridSpan w:val="2"/>
          </w:tcPr>
          <w:p w14:paraId="3935CB13"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5FBC6C92" w14:textId="77777777" w:rsidR="001C08A5" w:rsidRDefault="001C08A5">
            <w:pPr>
              <w:rPr>
                <w:i/>
                <w:sz w:val="22"/>
                <w:szCs w:val="22"/>
              </w:rPr>
            </w:pPr>
          </w:p>
        </w:tc>
        <w:tc>
          <w:tcPr>
            <w:tcW w:w="1511" w:type="dxa"/>
          </w:tcPr>
          <w:p w14:paraId="5A9E009E" w14:textId="77777777" w:rsidR="001C08A5" w:rsidRDefault="00000000">
            <w:pPr>
              <w:jc w:val="center"/>
              <w:rPr>
                <w:i/>
                <w:sz w:val="22"/>
                <w:szCs w:val="22"/>
              </w:rPr>
            </w:pPr>
            <w:r>
              <w:rPr>
                <w:b/>
                <w:bCs/>
                <w:i/>
                <w:sz w:val="22"/>
                <w:szCs w:val="22"/>
              </w:rPr>
              <w:t>C5</w:t>
            </w:r>
          </w:p>
        </w:tc>
      </w:tr>
      <w:tr w:rsidR="001C08A5" w14:paraId="1F20D737" w14:textId="77777777">
        <w:tc>
          <w:tcPr>
            <w:tcW w:w="1262" w:type="dxa"/>
          </w:tcPr>
          <w:p w14:paraId="31C04652" w14:textId="77777777" w:rsidR="001C08A5" w:rsidRDefault="00000000">
            <w:pPr>
              <w:pStyle w:val="BodyText"/>
              <w:jc w:val="center"/>
              <w:rPr>
                <w:bCs w:val="0"/>
                <w:sz w:val="22"/>
                <w:szCs w:val="22"/>
              </w:rPr>
            </w:pPr>
            <w:r>
              <w:rPr>
                <w:bCs w:val="0"/>
                <w:sz w:val="22"/>
                <w:szCs w:val="22"/>
              </w:rPr>
              <w:t>III (+)</w:t>
            </w:r>
          </w:p>
        </w:tc>
        <w:tc>
          <w:tcPr>
            <w:tcW w:w="1242" w:type="dxa"/>
          </w:tcPr>
          <w:p w14:paraId="3856906E" w14:textId="77777777" w:rsidR="001C08A5" w:rsidRDefault="00000000">
            <w:pPr>
              <w:jc w:val="center"/>
              <w:rPr>
                <w:b/>
                <w:i/>
                <w:sz w:val="22"/>
                <w:szCs w:val="22"/>
              </w:rPr>
            </w:pPr>
            <w:r>
              <w:rPr>
                <w:b/>
                <w:i/>
                <w:sz w:val="22"/>
                <w:szCs w:val="22"/>
              </w:rPr>
              <w:t xml:space="preserve">EI/REI 45 </w:t>
            </w:r>
          </w:p>
          <w:p w14:paraId="6BEFA13A" w14:textId="77777777" w:rsidR="001C08A5" w:rsidRDefault="001C08A5">
            <w:pPr>
              <w:jc w:val="center"/>
              <w:rPr>
                <w:b/>
                <w:i/>
                <w:sz w:val="22"/>
                <w:szCs w:val="22"/>
              </w:rPr>
            </w:pPr>
          </w:p>
        </w:tc>
        <w:tc>
          <w:tcPr>
            <w:tcW w:w="1665" w:type="dxa"/>
          </w:tcPr>
          <w:p w14:paraId="63092308"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905" w:type="dxa"/>
            <w:vMerge/>
          </w:tcPr>
          <w:p w14:paraId="7091D893" w14:textId="77777777" w:rsidR="001C08A5" w:rsidRDefault="001C08A5">
            <w:pPr>
              <w:jc w:val="center"/>
              <w:rPr>
                <w:b/>
                <w:i/>
                <w:sz w:val="22"/>
                <w:szCs w:val="22"/>
              </w:rPr>
            </w:pPr>
          </w:p>
        </w:tc>
        <w:tc>
          <w:tcPr>
            <w:tcW w:w="1913" w:type="dxa"/>
            <w:gridSpan w:val="2"/>
          </w:tcPr>
          <w:p w14:paraId="262E641C" w14:textId="77777777" w:rsidR="001C08A5" w:rsidRDefault="00000000">
            <w:pPr>
              <w:jc w:val="center"/>
              <w:rPr>
                <w:i/>
                <w:sz w:val="22"/>
                <w:szCs w:val="22"/>
              </w:rPr>
            </w:pPr>
            <w:r>
              <w:rPr>
                <w:b/>
                <w:i/>
                <w:sz w:val="22"/>
                <w:szCs w:val="22"/>
              </w:rPr>
              <w:t xml:space="preserve"> A1 sau A2-s1d0 </w:t>
            </w:r>
          </w:p>
        </w:tc>
        <w:tc>
          <w:tcPr>
            <w:tcW w:w="1511" w:type="dxa"/>
          </w:tcPr>
          <w:p w14:paraId="5CC33E71" w14:textId="77777777" w:rsidR="001C08A5" w:rsidRDefault="00000000">
            <w:pPr>
              <w:jc w:val="center"/>
              <w:rPr>
                <w:b/>
                <w:i/>
                <w:sz w:val="22"/>
                <w:szCs w:val="22"/>
              </w:rPr>
            </w:pPr>
            <w:r>
              <w:rPr>
                <w:b/>
                <w:bCs/>
                <w:i/>
                <w:sz w:val="22"/>
                <w:szCs w:val="22"/>
              </w:rPr>
              <w:t>C5</w:t>
            </w:r>
          </w:p>
          <w:p w14:paraId="493F5EB3" w14:textId="77777777" w:rsidR="001C08A5" w:rsidRDefault="001C08A5">
            <w:pPr>
              <w:jc w:val="center"/>
              <w:rPr>
                <w:b/>
                <w:bCs/>
                <w:i/>
                <w:sz w:val="22"/>
                <w:szCs w:val="22"/>
              </w:rPr>
            </w:pPr>
          </w:p>
        </w:tc>
      </w:tr>
      <w:tr w:rsidR="001C08A5" w14:paraId="69D4C250" w14:textId="77777777">
        <w:tc>
          <w:tcPr>
            <w:tcW w:w="1262" w:type="dxa"/>
          </w:tcPr>
          <w:p w14:paraId="49ED18D2" w14:textId="77777777" w:rsidR="001C08A5" w:rsidRDefault="00000000">
            <w:pPr>
              <w:pStyle w:val="BodyText"/>
              <w:jc w:val="center"/>
              <w:rPr>
                <w:bCs w:val="0"/>
                <w:sz w:val="22"/>
                <w:szCs w:val="22"/>
              </w:rPr>
            </w:pPr>
            <w:r>
              <w:rPr>
                <w:bCs w:val="0"/>
                <w:sz w:val="22"/>
                <w:szCs w:val="22"/>
              </w:rPr>
              <w:t>IV</w:t>
            </w:r>
          </w:p>
        </w:tc>
        <w:tc>
          <w:tcPr>
            <w:tcW w:w="1242" w:type="dxa"/>
          </w:tcPr>
          <w:p w14:paraId="27DE00D7" w14:textId="77777777" w:rsidR="001C08A5" w:rsidRDefault="00000000">
            <w:pPr>
              <w:jc w:val="center"/>
              <w:rPr>
                <w:b/>
                <w:i/>
                <w:sz w:val="22"/>
                <w:szCs w:val="22"/>
              </w:rPr>
            </w:pPr>
            <w:r>
              <w:rPr>
                <w:b/>
                <w:i/>
                <w:sz w:val="22"/>
                <w:szCs w:val="22"/>
              </w:rPr>
              <w:t xml:space="preserve">EI/REI 30 </w:t>
            </w:r>
          </w:p>
          <w:p w14:paraId="0AD2F5B3" w14:textId="77777777" w:rsidR="001C08A5" w:rsidRDefault="001C08A5">
            <w:pPr>
              <w:jc w:val="center"/>
              <w:rPr>
                <w:b/>
                <w:i/>
                <w:sz w:val="22"/>
                <w:szCs w:val="22"/>
              </w:rPr>
            </w:pPr>
          </w:p>
        </w:tc>
        <w:tc>
          <w:tcPr>
            <w:tcW w:w="1665" w:type="dxa"/>
          </w:tcPr>
          <w:p w14:paraId="5A289357"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905" w:type="dxa"/>
            <w:vMerge/>
          </w:tcPr>
          <w:p w14:paraId="61A95D1A" w14:textId="77777777" w:rsidR="001C08A5" w:rsidRDefault="001C08A5">
            <w:pPr>
              <w:jc w:val="center"/>
              <w:rPr>
                <w:b/>
                <w:i/>
                <w:sz w:val="22"/>
                <w:szCs w:val="22"/>
              </w:rPr>
            </w:pPr>
          </w:p>
        </w:tc>
        <w:tc>
          <w:tcPr>
            <w:tcW w:w="1913" w:type="dxa"/>
            <w:gridSpan w:val="2"/>
          </w:tcPr>
          <w:p w14:paraId="396588E2"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511" w:type="dxa"/>
          </w:tcPr>
          <w:p w14:paraId="07412929" w14:textId="77777777" w:rsidR="001C08A5" w:rsidRDefault="00000000">
            <w:pPr>
              <w:jc w:val="center"/>
              <w:rPr>
                <w:i/>
                <w:sz w:val="22"/>
                <w:szCs w:val="22"/>
              </w:rPr>
            </w:pPr>
            <w:r>
              <w:rPr>
                <w:b/>
                <w:bCs/>
                <w:i/>
                <w:sz w:val="22"/>
                <w:szCs w:val="22"/>
              </w:rPr>
              <w:t>C5</w:t>
            </w:r>
          </w:p>
        </w:tc>
      </w:tr>
      <w:tr w:rsidR="001C08A5" w14:paraId="1EE49408" w14:textId="77777777">
        <w:tc>
          <w:tcPr>
            <w:tcW w:w="1262" w:type="dxa"/>
          </w:tcPr>
          <w:p w14:paraId="222F6EA6" w14:textId="77777777" w:rsidR="001C08A5" w:rsidRDefault="00000000">
            <w:pPr>
              <w:pStyle w:val="BodyText"/>
              <w:jc w:val="center"/>
              <w:rPr>
                <w:bCs w:val="0"/>
                <w:sz w:val="22"/>
                <w:szCs w:val="22"/>
              </w:rPr>
            </w:pPr>
            <w:r>
              <w:rPr>
                <w:bCs w:val="0"/>
                <w:sz w:val="22"/>
                <w:szCs w:val="22"/>
              </w:rPr>
              <w:t>V</w:t>
            </w:r>
          </w:p>
        </w:tc>
        <w:tc>
          <w:tcPr>
            <w:tcW w:w="1242" w:type="dxa"/>
          </w:tcPr>
          <w:p w14:paraId="10B4AC40" w14:textId="77777777" w:rsidR="001C08A5" w:rsidRDefault="00000000">
            <w:pPr>
              <w:jc w:val="center"/>
              <w:rPr>
                <w:b/>
                <w:i/>
                <w:sz w:val="22"/>
                <w:szCs w:val="22"/>
              </w:rPr>
            </w:pPr>
            <w:r>
              <w:rPr>
                <w:b/>
                <w:i/>
                <w:sz w:val="22"/>
                <w:szCs w:val="22"/>
              </w:rPr>
              <w:t xml:space="preserve">EI/REI 15 </w:t>
            </w:r>
          </w:p>
          <w:p w14:paraId="7E40D3D6" w14:textId="77777777" w:rsidR="001C08A5" w:rsidRDefault="001C08A5">
            <w:pPr>
              <w:jc w:val="center"/>
              <w:rPr>
                <w:b/>
                <w:i/>
                <w:sz w:val="22"/>
                <w:szCs w:val="22"/>
              </w:rPr>
            </w:pPr>
          </w:p>
        </w:tc>
        <w:tc>
          <w:tcPr>
            <w:tcW w:w="1665" w:type="dxa"/>
          </w:tcPr>
          <w:p w14:paraId="180BA89D"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p>
        </w:tc>
        <w:tc>
          <w:tcPr>
            <w:tcW w:w="1905" w:type="dxa"/>
            <w:vMerge/>
          </w:tcPr>
          <w:p w14:paraId="125049DB" w14:textId="77777777" w:rsidR="001C08A5" w:rsidRDefault="001C08A5">
            <w:pPr>
              <w:jc w:val="center"/>
              <w:rPr>
                <w:b/>
                <w:i/>
                <w:sz w:val="22"/>
                <w:szCs w:val="22"/>
              </w:rPr>
            </w:pPr>
          </w:p>
        </w:tc>
        <w:tc>
          <w:tcPr>
            <w:tcW w:w="1913" w:type="dxa"/>
            <w:gridSpan w:val="2"/>
          </w:tcPr>
          <w:p w14:paraId="2D2E2097"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p>
        </w:tc>
        <w:tc>
          <w:tcPr>
            <w:tcW w:w="1511" w:type="dxa"/>
          </w:tcPr>
          <w:p w14:paraId="5DA50603" w14:textId="77777777" w:rsidR="001C08A5" w:rsidRDefault="00000000">
            <w:pPr>
              <w:jc w:val="center"/>
              <w:rPr>
                <w:b/>
                <w:bCs/>
                <w:i/>
                <w:sz w:val="22"/>
                <w:szCs w:val="22"/>
              </w:rPr>
            </w:pPr>
            <w:r>
              <w:rPr>
                <w:b/>
                <w:bCs/>
                <w:i/>
                <w:sz w:val="22"/>
                <w:szCs w:val="22"/>
              </w:rPr>
              <w:t>-</w:t>
            </w:r>
          </w:p>
        </w:tc>
      </w:tr>
    </w:tbl>
    <w:p w14:paraId="420FC2CF" w14:textId="77777777" w:rsidR="001C08A5" w:rsidRDefault="00000000">
      <w:pPr>
        <w:autoSpaceDE w:val="0"/>
        <w:rPr>
          <w:i/>
          <w:sz w:val="22"/>
          <w:szCs w:val="22"/>
        </w:rPr>
      </w:pPr>
      <w:r>
        <w:rPr>
          <w:bCs/>
          <w:i/>
          <w:sz w:val="22"/>
          <w:szCs w:val="22"/>
          <w:u w:val="single"/>
        </w:rPr>
        <w:t>Note</w:t>
      </w:r>
      <w:r>
        <w:rPr>
          <w:i/>
          <w:sz w:val="22"/>
          <w:szCs w:val="22"/>
        </w:rPr>
        <w:t>:</w:t>
      </w:r>
    </w:p>
    <w:p w14:paraId="71B1591C" w14:textId="77777777" w:rsidR="001C08A5" w:rsidRDefault="00000000">
      <w:pPr>
        <w:ind w:left="720"/>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3BB4862D" w14:textId="77777777" w:rsidR="001C08A5" w:rsidRDefault="00000000">
      <w:pPr>
        <w:ind w:left="720"/>
        <w:jc w:val="both"/>
        <w:rPr>
          <w:i/>
          <w:sz w:val="22"/>
          <w:szCs w:val="22"/>
        </w:rPr>
      </w:pPr>
      <w:r>
        <w:rPr>
          <w:i/>
          <w:sz w:val="22"/>
          <w:szCs w:val="22"/>
        </w:rPr>
        <w:t>În cazul pereților vitrați cu profil metalic care separă coridoarele și holurile de încăperile adiacente nu se ia în considerare clasa de reacție la foc.</w:t>
      </w:r>
    </w:p>
    <w:p w14:paraId="178C41B2"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7AC0F8DE"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5818471F" w14:textId="77777777" w:rsidR="001C08A5" w:rsidRDefault="001C08A5">
      <w:pPr>
        <w:ind w:left="1440" w:hanging="1440"/>
        <w:jc w:val="both"/>
        <w:rPr>
          <w:b/>
          <w:sz w:val="24"/>
          <w:szCs w:val="24"/>
        </w:rPr>
      </w:pPr>
    </w:p>
    <w:p w14:paraId="366D4E73" w14:textId="77777777" w:rsidR="001C08A5" w:rsidRDefault="00000000">
      <w:pPr>
        <w:jc w:val="both"/>
        <w:rPr>
          <w:sz w:val="24"/>
          <w:szCs w:val="24"/>
        </w:rPr>
      </w:pPr>
      <w:r>
        <w:rPr>
          <w:b/>
          <w:sz w:val="24"/>
          <w:szCs w:val="24"/>
        </w:rPr>
        <w:lastRenderedPageBreak/>
        <w:tab/>
        <w:t xml:space="preserve">Art. </w:t>
      </w:r>
      <w:r>
        <w:rPr>
          <w:b/>
          <w:bCs/>
          <w:sz w:val="24"/>
          <w:szCs w:val="24"/>
        </w:rPr>
        <w:t>3.2.6.</w:t>
      </w:r>
      <w:r>
        <w:rPr>
          <w:b/>
          <w:sz w:val="24"/>
          <w:szCs w:val="24"/>
        </w:rPr>
        <w:t xml:space="preserve">9. </w:t>
      </w:r>
      <w:r>
        <w:rPr>
          <w:sz w:val="24"/>
          <w:szCs w:val="24"/>
        </w:rPr>
        <w:t xml:space="preserve">Comportarea la foc a pereţilor, uşilor și planşeelor de separare a căilor de evacuare orizontale (coridoare şi holuri) din clădirile </w:t>
      </w:r>
      <w:r>
        <w:rPr>
          <w:bCs/>
          <w:sz w:val="24"/>
          <w:szCs w:val="24"/>
        </w:rPr>
        <w:t xml:space="preserve">pentru învăţământ preşcolar </w:t>
      </w:r>
      <w:r>
        <w:rPr>
          <w:sz w:val="24"/>
          <w:szCs w:val="24"/>
        </w:rPr>
        <w:t xml:space="preserve">supraterane cu înălţimi obişnuite, trebuie să corespundă prevederilor din </w:t>
      </w:r>
      <w:r>
        <w:rPr>
          <w:b/>
          <w:bCs/>
          <w:i/>
          <w:iCs/>
          <w:sz w:val="24"/>
          <w:szCs w:val="24"/>
        </w:rPr>
        <w:fldChar w:fldCharType="begin"/>
      </w:r>
      <w:r>
        <w:rPr>
          <w:b/>
          <w:bCs/>
          <w:i/>
          <w:iCs/>
          <w:sz w:val="24"/>
          <w:szCs w:val="24"/>
        </w:rPr>
        <w:instrText xml:space="preserve"> REF _Ref18129 \h </w:instrText>
      </w:r>
      <w:r>
        <w:rPr>
          <w:b/>
          <w:bCs/>
          <w:i/>
          <w:iCs/>
          <w:sz w:val="24"/>
          <w:szCs w:val="24"/>
        </w:rPr>
      </w:r>
      <w:r>
        <w:rPr>
          <w:b/>
          <w:bCs/>
          <w:i/>
          <w:iCs/>
          <w:sz w:val="24"/>
          <w:szCs w:val="24"/>
        </w:rPr>
        <w:fldChar w:fldCharType="separate"/>
      </w:r>
      <w:r>
        <w:t>Tabelul 76</w:t>
      </w:r>
      <w:r>
        <w:rPr>
          <w:b/>
          <w:bCs/>
          <w:i/>
          <w:iCs/>
          <w:sz w:val="24"/>
          <w:szCs w:val="24"/>
        </w:rPr>
        <w:fldChar w:fldCharType="end"/>
      </w:r>
      <w:r>
        <w:rPr>
          <w:sz w:val="24"/>
          <w:szCs w:val="24"/>
        </w:rPr>
        <w:t>.</w:t>
      </w:r>
    </w:p>
    <w:p w14:paraId="1A67519E" w14:textId="77777777" w:rsidR="001C08A5" w:rsidRDefault="001C08A5">
      <w:pPr>
        <w:jc w:val="both"/>
        <w:rPr>
          <w:b/>
          <w:sz w:val="24"/>
          <w:szCs w:val="24"/>
        </w:rPr>
      </w:pPr>
    </w:p>
    <w:p w14:paraId="08B2EAF3" w14:textId="77777777" w:rsidR="001C08A5" w:rsidRDefault="00000000">
      <w:pPr>
        <w:pStyle w:val="Captiontabel"/>
      </w:pPr>
      <w:bookmarkStart w:id="3764" w:name="_Ref18129"/>
      <w:bookmarkStart w:id="3765" w:name="_Toc162360126"/>
      <w:r>
        <w:t xml:space="preserve">Tabelul </w:t>
      </w:r>
      <w:r>
        <w:fldChar w:fldCharType="begin"/>
      </w:r>
      <w:r>
        <w:instrText xml:space="preserve"> SEQ Tabelul \* ARABIC </w:instrText>
      </w:r>
      <w:r>
        <w:fldChar w:fldCharType="separate"/>
      </w:r>
      <w:r>
        <w:t>76</w:t>
      </w:r>
      <w:r>
        <w:fldChar w:fldCharType="end"/>
      </w:r>
      <w:bookmarkStart w:id="3766" w:name="_Toc4566"/>
      <w:bookmarkStart w:id="3767" w:name="_Toc8788"/>
      <w:bookmarkStart w:id="3768" w:name="_Toc24293"/>
      <w:bookmarkStart w:id="3769" w:name="_Toc22107"/>
      <w:bookmarkStart w:id="3770" w:name="_Toc3741"/>
      <w:bookmarkStart w:id="3771" w:name="_Toc15333"/>
      <w:bookmarkStart w:id="3772" w:name="_Toc19848"/>
      <w:bookmarkStart w:id="3773" w:name="_Toc5685"/>
      <w:bookmarkStart w:id="3774" w:name="_Toc2627"/>
      <w:bookmarkStart w:id="3775" w:name="_Toc12398"/>
      <w:bookmarkStart w:id="3776" w:name="_Toc27323"/>
      <w:bookmarkStart w:id="3777" w:name="_Toc24496"/>
      <w:bookmarkStart w:id="3778" w:name="_Toc28460"/>
      <w:bookmarkStart w:id="3779" w:name="_Toc23402"/>
      <w:bookmarkStart w:id="3780" w:name="_Toc25161"/>
      <w:bookmarkStart w:id="3781" w:name="_Toc11162"/>
      <w:bookmarkStart w:id="3782" w:name="_Toc15159"/>
      <w:bookmarkStart w:id="3783" w:name="_Toc15089"/>
      <w:bookmarkStart w:id="3784" w:name="_Toc8701"/>
      <w:bookmarkEnd w:id="3764"/>
      <w:r>
        <w:t>: Comportare la foc a pereţilor, uşilor și planşeelor de separare a căilor de evacuare orizontale (coridoare şi holuri) din clădirile pentru învăţământ preşcolar supraterane cu înălţimi obişnuite</w:t>
      </w:r>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p>
    <w:p w14:paraId="52EC29DE" w14:textId="77777777" w:rsidR="001C08A5" w:rsidRDefault="001C08A5">
      <w:pPr>
        <w:ind w:left="1440" w:hanging="1440"/>
        <w:jc w:val="both"/>
        <w:rPr>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227"/>
        <w:gridCol w:w="1635"/>
        <w:gridCol w:w="1800"/>
        <w:gridCol w:w="1800"/>
        <w:gridCol w:w="1774"/>
      </w:tblGrid>
      <w:tr w:rsidR="001C08A5" w14:paraId="4D625F0D" w14:textId="77777777">
        <w:trPr>
          <w:tblHeader/>
        </w:trPr>
        <w:tc>
          <w:tcPr>
            <w:tcW w:w="1262" w:type="dxa"/>
            <w:vMerge w:val="restart"/>
            <w:shd w:val="clear" w:color="auto" w:fill="BFBFBF"/>
          </w:tcPr>
          <w:p w14:paraId="490F0F53" w14:textId="77777777" w:rsidR="001C08A5" w:rsidRDefault="001C08A5">
            <w:pPr>
              <w:pStyle w:val="BodyText"/>
              <w:jc w:val="center"/>
              <w:rPr>
                <w:bCs w:val="0"/>
                <w:sz w:val="22"/>
                <w:szCs w:val="22"/>
              </w:rPr>
            </w:pPr>
          </w:p>
          <w:p w14:paraId="61CBCFA6" w14:textId="77777777" w:rsidR="001C08A5" w:rsidRDefault="00000000">
            <w:pPr>
              <w:pStyle w:val="BodyText"/>
              <w:jc w:val="center"/>
              <w:rPr>
                <w:bCs w:val="0"/>
                <w:sz w:val="22"/>
                <w:szCs w:val="22"/>
              </w:rPr>
            </w:pPr>
            <w:r>
              <w:rPr>
                <w:bCs w:val="0"/>
                <w:sz w:val="22"/>
                <w:szCs w:val="22"/>
              </w:rPr>
              <w:t>Nivel de stabilitate</w:t>
            </w:r>
          </w:p>
          <w:p w14:paraId="62E9EDBE"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43527514" w14:textId="77777777" w:rsidR="001C08A5" w:rsidRDefault="00000000">
            <w:pPr>
              <w:jc w:val="center"/>
              <w:rPr>
                <w:b/>
                <w:bCs/>
                <w:i/>
                <w:sz w:val="22"/>
                <w:szCs w:val="22"/>
              </w:rPr>
            </w:pPr>
            <w:r>
              <w:rPr>
                <w:b/>
                <w:bCs/>
                <w:i/>
                <w:sz w:val="22"/>
                <w:szCs w:val="22"/>
              </w:rPr>
              <w:t xml:space="preserve">Niveluri de comportare la foc admise la  coridoare și la holuri </w:t>
            </w:r>
          </w:p>
        </w:tc>
      </w:tr>
      <w:tr w:rsidR="001C08A5" w14:paraId="475A7B9F" w14:textId="77777777">
        <w:trPr>
          <w:tblHeader/>
        </w:trPr>
        <w:tc>
          <w:tcPr>
            <w:tcW w:w="1262" w:type="dxa"/>
            <w:vMerge/>
            <w:shd w:val="clear" w:color="auto" w:fill="BFBFBF"/>
          </w:tcPr>
          <w:p w14:paraId="51E546F2" w14:textId="77777777" w:rsidR="001C08A5" w:rsidRDefault="001C08A5">
            <w:pPr>
              <w:jc w:val="center"/>
              <w:rPr>
                <w:i/>
                <w:sz w:val="22"/>
                <w:szCs w:val="22"/>
              </w:rPr>
            </w:pPr>
          </w:p>
        </w:tc>
        <w:tc>
          <w:tcPr>
            <w:tcW w:w="2862" w:type="dxa"/>
            <w:gridSpan w:val="2"/>
            <w:shd w:val="clear" w:color="auto" w:fill="BFBFBF"/>
          </w:tcPr>
          <w:p w14:paraId="63DF87DB" w14:textId="77777777" w:rsidR="001C08A5" w:rsidRDefault="001C08A5">
            <w:pPr>
              <w:jc w:val="center"/>
              <w:rPr>
                <w:b/>
                <w:bCs/>
                <w:i/>
                <w:sz w:val="22"/>
                <w:szCs w:val="22"/>
              </w:rPr>
            </w:pPr>
          </w:p>
          <w:p w14:paraId="116BC383" w14:textId="77777777" w:rsidR="001C08A5" w:rsidRDefault="00000000">
            <w:pPr>
              <w:jc w:val="center"/>
              <w:rPr>
                <w:i/>
                <w:sz w:val="22"/>
                <w:szCs w:val="22"/>
              </w:rPr>
            </w:pPr>
            <w:r>
              <w:rPr>
                <w:b/>
                <w:bCs/>
                <w:i/>
                <w:sz w:val="22"/>
                <w:szCs w:val="22"/>
              </w:rPr>
              <w:t>Pereţi</w:t>
            </w:r>
          </w:p>
        </w:tc>
        <w:tc>
          <w:tcPr>
            <w:tcW w:w="3600" w:type="dxa"/>
            <w:gridSpan w:val="2"/>
            <w:shd w:val="clear" w:color="auto" w:fill="BFBFBF"/>
          </w:tcPr>
          <w:p w14:paraId="6E384218"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774" w:type="dxa"/>
            <w:shd w:val="clear" w:color="auto" w:fill="BFBFBF"/>
          </w:tcPr>
          <w:p w14:paraId="7F4C73D3" w14:textId="77777777" w:rsidR="001C08A5" w:rsidRDefault="00000000">
            <w:pPr>
              <w:jc w:val="center"/>
              <w:rPr>
                <w:b/>
                <w:bCs/>
                <w:i/>
                <w:sz w:val="22"/>
                <w:szCs w:val="22"/>
              </w:rPr>
            </w:pPr>
            <w:r>
              <w:rPr>
                <w:b/>
                <w:bCs/>
                <w:i/>
                <w:sz w:val="22"/>
                <w:szCs w:val="22"/>
              </w:rPr>
              <w:t>Uşi</w:t>
            </w:r>
          </w:p>
          <w:p w14:paraId="33044F14" w14:textId="77777777" w:rsidR="001C08A5" w:rsidRDefault="00000000">
            <w:pPr>
              <w:jc w:val="center"/>
              <w:rPr>
                <w:i/>
                <w:sz w:val="22"/>
                <w:szCs w:val="22"/>
              </w:rPr>
            </w:pPr>
            <w:r>
              <w:rPr>
                <w:bCs/>
                <w:i/>
                <w:sz w:val="22"/>
                <w:szCs w:val="22"/>
              </w:rPr>
              <w:t>(cu excepţia celor către case de scări închise)</w:t>
            </w:r>
          </w:p>
        </w:tc>
      </w:tr>
      <w:tr w:rsidR="001C08A5" w14:paraId="26D052A4" w14:textId="77777777">
        <w:tc>
          <w:tcPr>
            <w:tcW w:w="1262" w:type="dxa"/>
          </w:tcPr>
          <w:p w14:paraId="754555EE" w14:textId="77777777" w:rsidR="001C08A5" w:rsidRDefault="00000000">
            <w:pPr>
              <w:pStyle w:val="BodyText"/>
              <w:jc w:val="center"/>
              <w:rPr>
                <w:bCs w:val="0"/>
                <w:sz w:val="22"/>
                <w:szCs w:val="22"/>
              </w:rPr>
            </w:pPr>
            <w:r>
              <w:rPr>
                <w:bCs w:val="0"/>
                <w:sz w:val="22"/>
                <w:szCs w:val="22"/>
              </w:rPr>
              <w:t>I</w:t>
            </w:r>
          </w:p>
          <w:p w14:paraId="7FFE7D20" w14:textId="77777777" w:rsidR="001C08A5" w:rsidRDefault="00000000">
            <w:pPr>
              <w:pStyle w:val="BodyText"/>
              <w:jc w:val="center"/>
              <w:rPr>
                <w:bCs w:val="0"/>
                <w:sz w:val="22"/>
                <w:szCs w:val="22"/>
              </w:rPr>
            </w:pPr>
            <w:r>
              <w:rPr>
                <w:sz w:val="22"/>
                <w:szCs w:val="22"/>
              </w:rPr>
              <w:t>h&lt;28m</w:t>
            </w:r>
          </w:p>
        </w:tc>
        <w:tc>
          <w:tcPr>
            <w:tcW w:w="1227" w:type="dxa"/>
          </w:tcPr>
          <w:p w14:paraId="61132398" w14:textId="77777777" w:rsidR="001C08A5" w:rsidRDefault="00000000">
            <w:pPr>
              <w:jc w:val="center"/>
              <w:rPr>
                <w:b/>
                <w:i/>
                <w:sz w:val="22"/>
                <w:szCs w:val="22"/>
              </w:rPr>
            </w:pPr>
            <w:r>
              <w:rPr>
                <w:b/>
                <w:i/>
                <w:sz w:val="22"/>
                <w:szCs w:val="22"/>
              </w:rPr>
              <w:t xml:space="preserve">EI/REI 90 </w:t>
            </w:r>
          </w:p>
          <w:p w14:paraId="36495882" w14:textId="77777777" w:rsidR="001C08A5" w:rsidRDefault="001C08A5">
            <w:pPr>
              <w:jc w:val="center"/>
              <w:rPr>
                <w:b/>
                <w:i/>
                <w:sz w:val="22"/>
                <w:szCs w:val="22"/>
              </w:rPr>
            </w:pPr>
          </w:p>
        </w:tc>
        <w:tc>
          <w:tcPr>
            <w:tcW w:w="1635" w:type="dxa"/>
          </w:tcPr>
          <w:p w14:paraId="36D5485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00" w:type="dxa"/>
            <w:vMerge w:val="restart"/>
            <w:textDirection w:val="lrTbV"/>
          </w:tcPr>
          <w:p w14:paraId="2F453EFF" w14:textId="77777777" w:rsidR="001C08A5" w:rsidRDefault="00000000">
            <w:pPr>
              <w:jc w:val="center"/>
              <w:rPr>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0E8E8D1D" w14:textId="77777777" w:rsidR="001C08A5" w:rsidRDefault="00000000">
            <w:pP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1800" w:type="dxa"/>
          </w:tcPr>
          <w:p w14:paraId="0DC8482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74" w:type="dxa"/>
          </w:tcPr>
          <w:p w14:paraId="57851054" w14:textId="77777777" w:rsidR="001C08A5" w:rsidRDefault="00000000">
            <w:pPr>
              <w:jc w:val="center"/>
              <w:rPr>
                <w:i/>
                <w:sz w:val="22"/>
                <w:szCs w:val="22"/>
              </w:rPr>
            </w:pPr>
            <w:r>
              <w:rPr>
                <w:b/>
                <w:bCs/>
                <w:i/>
                <w:sz w:val="22"/>
                <w:szCs w:val="22"/>
              </w:rPr>
              <w:t xml:space="preserve">E 30 - C5 </w:t>
            </w:r>
            <w:r>
              <w:rPr>
                <w:b/>
                <w:i/>
                <w:sz w:val="22"/>
                <w:szCs w:val="22"/>
              </w:rPr>
              <w:t>S</w:t>
            </w:r>
            <w:r>
              <w:rPr>
                <w:b/>
                <w:bCs/>
                <w:i/>
                <w:sz w:val="22"/>
                <w:szCs w:val="22"/>
                <w:vertAlign w:val="subscript"/>
              </w:rPr>
              <w:t>200</w:t>
            </w:r>
          </w:p>
        </w:tc>
      </w:tr>
      <w:tr w:rsidR="001C08A5" w14:paraId="2A7E0C54" w14:textId="77777777">
        <w:tc>
          <w:tcPr>
            <w:tcW w:w="1262" w:type="dxa"/>
          </w:tcPr>
          <w:p w14:paraId="20FF152D" w14:textId="77777777" w:rsidR="001C08A5" w:rsidRDefault="00000000">
            <w:pPr>
              <w:pStyle w:val="BodyText"/>
              <w:jc w:val="center"/>
              <w:rPr>
                <w:bCs w:val="0"/>
                <w:sz w:val="22"/>
                <w:szCs w:val="22"/>
              </w:rPr>
            </w:pPr>
            <w:r>
              <w:rPr>
                <w:bCs w:val="0"/>
                <w:sz w:val="22"/>
                <w:szCs w:val="22"/>
              </w:rPr>
              <w:t>II</w:t>
            </w:r>
          </w:p>
        </w:tc>
        <w:tc>
          <w:tcPr>
            <w:tcW w:w="1227" w:type="dxa"/>
          </w:tcPr>
          <w:p w14:paraId="74DC30A4" w14:textId="77777777" w:rsidR="001C08A5" w:rsidRDefault="00000000">
            <w:pPr>
              <w:jc w:val="center"/>
              <w:rPr>
                <w:b/>
                <w:i/>
                <w:sz w:val="22"/>
                <w:szCs w:val="22"/>
              </w:rPr>
            </w:pPr>
            <w:r>
              <w:rPr>
                <w:b/>
                <w:i/>
                <w:sz w:val="22"/>
                <w:szCs w:val="22"/>
              </w:rPr>
              <w:t xml:space="preserve">EI/REI 90 </w:t>
            </w:r>
          </w:p>
          <w:p w14:paraId="3E4306DA" w14:textId="77777777" w:rsidR="001C08A5" w:rsidRDefault="001C08A5">
            <w:pPr>
              <w:jc w:val="center"/>
              <w:rPr>
                <w:b/>
                <w:i/>
                <w:sz w:val="22"/>
                <w:szCs w:val="22"/>
              </w:rPr>
            </w:pPr>
          </w:p>
        </w:tc>
        <w:tc>
          <w:tcPr>
            <w:tcW w:w="1635" w:type="dxa"/>
          </w:tcPr>
          <w:p w14:paraId="2C6ABC07"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00" w:type="dxa"/>
            <w:vMerge/>
          </w:tcPr>
          <w:p w14:paraId="15BC226D" w14:textId="77777777" w:rsidR="001C08A5" w:rsidRDefault="001C08A5">
            <w:pPr>
              <w:jc w:val="center"/>
              <w:rPr>
                <w:b/>
                <w:i/>
                <w:sz w:val="22"/>
                <w:szCs w:val="22"/>
              </w:rPr>
            </w:pPr>
          </w:p>
        </w:tc>
        <w:tc>
          <w:tcPr>
            <w:tcW w:w="1800" w:type="dxa"/>
          </w:tcPr>
          <w:p w14:paraId="6D8166D1"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74" w:type="dxa"/>
          </w:tcPr>
          <w:p w14:paraId="18525B1C" w14:textId="77777777" w:rsidR="001C08A5" w:rsidRDefault="00000000">
            <w:pPr>
              <w:jc w:val="center"/>
              <w:rPr>
                <w:i/>
                <w:sz w:val="22"/>
                <w:szCs w:val="22"/>
              </w:rPr>
            </w:pPr>
            <w:r>
              <w:rPr>
                <w:b/>
                <w:bCs/>
                <w:i/>
                <w:sz w:val="22"/>
                <w:szCs w:val="22"/>
              </w:rPr>
              <w:t>E 15 - C5 S</w:t>
            </w:r>
            <w:r>
              <w:rPr>
                <w:b/>
                <w:bCs/>
                <w:i/>
                <w:sz w:val="22"/>
                <w:szCs w:val="22"/>
                <w:vertAlign w:val="subscript"/>
              </w:rPr>
              <w:t>a</w:t>
            </w:r>
            <w:r>
              <w:rPr>
                <w:b/>
                <w:bCs/>
                <w:i/>
                <w:sz w:val="22"/>
                <w:szCs w:val="22"/>
              </w:rPr>
              <w:t xml:space="preserve"> sau uși pline din lemn sau metal</w:t>
            </w:r>
          </w:p>
        </w:tc>
      </w:tr>
      <w:tr w:rsidR="001C08A5" w14:paraId="280F647A" w14:textId="77777777">
        <w:tc>
          <w:tcPr>
            <w:tcW w:w="1262" w:type="dxa"/>
          </w:tcPr>
          <w:p w14:paraId="40ABAD1C" w14:textId="77777777" w:rsidR="001C08A5" w:rsidRDefault="00000000">
            <w:pPr>
              <w:pStyle w:val="BodyText"/>
              <w:jc w:val="center"/>
              <w:rPr>
                <w:bCs w:val="0"/>
                <w:sz w:val="22"/>
                <w:szCs w:val="22"/>
              </w:rPr>
            </w:pPr>
            <w:r>
              <w:rPr>
                <w:bCs w:val="0"/>
                <w:sz w:val="22"/>
                <w:szCs w:val="22"/>
              </w:rPr>
              <w:t>II (+)</w:t>
            </w:r>
          </w:p>
        </w:tc>
        <w:tc>
          <w:tcPr>
            <w:tcW w:w="1227" w:type="dxa"/>
          </w:tcPr>
          <w:p w14:paraId="151CE6AA" w14:textId="77777777" w:rsidR="001C08A5" w:rsidRDefault="00000000">
            <w:pPr>
              <w:jc w:val="center"/>
              <w:rPr>
                <w:b/>
                <w:i/>
                <w:sz w:val="22"/>
                <w:szCs w:val="22"/>
              </w:rPr>
            </w:pPr>
            <w:r>
              <w:rPr>
                <w:b/>
                <w:i/>
                <w:sz w:val="22"/>
                <w:szCs w:val="22"/>
              </w:rPr>
              <w:t>EI/REI 90</w:t>
            </w:r>
          </w:p>
          <w:p w14:paraId="10C9B2EB" w14:textId="77777777" w:rsidR="001C08A5" w:rsidRDefault="001C08A5">
            <w:pPr>
              <w:jc w:val="center"/>
              <w:rPr>
                <w:b/>
                <w:i/>
                <w:sz w:val="22"/>
                <w:szCs w:val="22"/>
              </w:rPr>
            </w:pPr>
          </w:p>
        </w:tc>
        <w:tc>
          <w:tcPr>
            <w:tcW w:w="1635" w:type="dxa"/>
          </w:tcPr>
          <w:p w14:paraId="24E1ACD3"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800" w:type="dxa"/>
            <w:vMerge/>
          </w:tcPr>
          <w:p w14:paraId="00AFF120" w14:textId="77777777" w:rsidR="001C08A5" w:rsidRDefault="001C08A5">
            <w:pPr>
              <w:jc w:val="center"/>
              <w:rPr>
                <w:b/>
                <w:i/>
                <w:sz w:val="22"/>
                <w:szCs w:val="22"/>
              </w:rPr>
            </w:pPr>
          </w:p>
        </w:tc>
        <w:tc>
          <w:tcPr>
            <w:tcW w:w="1800" w:type="dxa"/>
          </w:tcPr>
          <w:p w14:paraId="78C1FD43" w14:textId="77777777" w:rsidR="001C08A5" w:rsidRDefault="00000000">
            <w:pPr>
              <w:jc w:val="center"/>
              <w:rPr>
                <w:b/>
                <w:i/>
                <w:sz w:val="22"/>
                <w:szCs w:val="22"/>
              </w:rPr>
            </w:pPr>
            <w:r>
              <w:rPr>
                <w:b/>
                <w:i/>
                <w:sz w:val="22"/>
                <w:szCs w:val="22"/>
              </w:rPr>
              <w:t>A1 sau A2-s1d0</w:t>
            </w:r>
          </w:p>
        </w:tc>
        <w:tc>
          <w:tcPr>
            <w:tcW w:w="1774" w:type="dxa"/>
          </w:tcPr>
          <w:p w14:paraId="451DECBA" w14:textId="77777777" w:rsidR="001C08A5" w:rsidRDefault="00000000">
            <w:pPr>
              <w:jc w:val="center"/>
              <w:rPr>
                <w:b/>
                <w:bCs/>
                <w:i/>
                <w:sz w:val="22"/>
                <w:szCs w:val="22"/>
              </w:rPr>
            </w:pPr>
            <w:r>
              <w:rPr>
                <w:b/>
                <w:bCs/>
                <w:i/>
                <w:sz w:val="22"/>
                <w:szCs w:val="22"/>
              </w:rPr>
              <w:t>E 15 - C5 S</w:t>
            </w:r>
            <w:r>
              <w:rPr>
                <w:b/>
                <w:bCs/>
                <w:i/>
                <w:sz w:val="22"/>
                <w:szCs w:val="22"/>
                <w:vertAlign w:val="subscript"/>
              </w:rPr>
              <w:t>a</w:t>
            </w:r>
            <w:r>
              <w:rPr>
                <w:b/>
                <w:bCs/>
                <w:i/>
                <w:sz w:val="22"/>
                <w:szCs w:val="22"/>
              </w:rPr>
              <w:t xml:space="preserve"> sau uși pline din lemn sau metal</w:t>
            </w:r>
          </w:p>
        </w:tc>
      </w:tr>
      <w:tr w:rsidR="001C08A5" w14:paraId="0C01A824" w14:textId="77777777">
        <w:tc>
          <w:tcPr>
            <w:tcW w:w="1262" w:type="dxa"/>
          </w:tcPr>
          <w:p w14:paraId="718E6C0B" w14:textId="77777777" w:rsidR="001C08A5" w:rsidRDefault="00000000">
            <w:pPr>
              <w:pStyle w:val="BodyText"/>
              <w:jc w:val="center"/>
              <w:rPr>
                <w:bCs w:val="0"/>
                <w:sz w:val="22"/>
                <w:szCs w:val="22"/>
              </w:rPr>
            </w:pPr>
            <w:r>
              <w:rPr>
                <w:bCs w:val="0"/>
                <w:sz w:val="22"/>
                <w:szCs w:val="22"/>
              </w:rPr>
              <w:t>III</w:t>
            </w:r>
          </w:p>
        </w:tc>
        <w:tc>
          <w:tcPr>
            <w:tcW w:w="1227" w:type="dxa"/>
          </w:tcPr>
          <w:p w14:paraId="7FD3C606" w14:textId="77777777" w:rsidR="001C08A5" w:rsidRDefault="00000000">
            <w:pPr>
              <w:jc w:val="center"/>
              <w:rPr>
                <w:b/>
                <w:i/>
                <w:sz w:val="22"/>
                <w:szCs w:val="22"/>
              </w:rPr>
            </w:pPr>
            <w:r>
              <w:rPr>
                <w:b/>
                <w:i/>
                <w:sz w:val="22"/>
                <w:szCs w:val="22"/>
              </w:rPr>
              <w:t xml:space="preserve">EI/REI 60 </w:t>
            </w:r>
          </w:p>
          <w:p w14:paraId="7A60C0E6" w14:textId="77777777" w:rsidR="001C08A5" w:rsidRDefault="001C08A5">
            <w:pPr>
              <w:jc w:val="center"/>
              <w:rPr>
                <w:b/>
                <w:i/>
                <w:sz w:val="22"/>
                <w:szCs w:val="22"/>
              </w:rPr>
            </w:pPr>
          </w:p>
        </w:tc>
        <w:tc>
          <w:tcPr>
            <w:tcW w:w="1635" w:type="dxa"/>
          </w:tcPr>
          <w:p w14:paraId="6CD526F8"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800" w:type="dxa"/>
            <w:vMerge/>
          </w:tcPr>
          <w:p w14:paraId="4844FC31" w14:textId="77777777" w:rsidR="001C08A5" w:rsidRDefault="001C08A5">
            <w:pPr>
              <w:jc w:val="center"/>
              <w:rPr>
                <w:b/>
                <w:i/>
                <w:sz w:val="22"/>
                <w:szCs w:val="22"/>
              </w:rPr>
            </w:pPr>
          </w:p>
        </w:tc>
        <w:tc>
          <w:tcPr>
            <w:tcW w:w="1800" w:type="dxa"/>
          </w:tcPr>
          <w:p w14:paraId="198BC6A2"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224FFEBC" w14:textId="77777777" w:rsidR="001C08A5" w:rsidRDefault="001C08A5">
            <w:pPr>
              <w:rPr>
                <w:i/>
                <w:sz w:val="22"/>
                <w:szCs w:val="22"/>
              </w:rPr>
            </w:pPr>
          </w:p>
        </w:tc>
        <w:tc>
          <w:tcPr>
            <w:tcW w:w="1774" w:type="dxa"/>
          </w:tcPr>
          <w:p w14:paraId="71EC2984" w14:textId="77777777" w:rsidR="001C08A5" w:rsidRDefault="00000000">
            <w:pPr>
              <w:jc w:val="center"/>
              <w:rPr>
                <w:i/>
                <w:sz w:val="22"/>
                <w:szCs w:val="22"/>
              </w:rPr>
            </w:pPr>
            <w:r>
              <w:rPr>
                <w:b/>
                <w:bCs/>
                <w:i/>
                <w:sz w:val="22"/>
                <w:szCs w:val="22"/>
              </w:rPr>
              <w:t>C5</w:t>
            </w:r>
          </w:p>
        </w:tc>
      </w:tr>
      <w:tr w:rsidR="001C08A5" w14:paraId="5DF11D5A" w14:textId="77777777">
        <w:tc>
          <w:tcPr>
            <w:tcW w:w="1262" w:type="dxa"/>
          </w:tcPr>
          <w:p w14:paraId="369C11DE" w14:textId="77777777" w:rsidR="001C08A5" w:rsidRDefault="00000000">
            <w:pPr>
              <w:pStyle w:val="BodyText"/>
              <w:jc w:val="center"/>
              <w:rPr>
                <w:bCs w:val="0"/>
                <w:sz w:val="22"/>
                <w:szCs w:val="22"/>
              </w:rPr>
            </w:pPr>
            <w:r>
              <w:rPr>
                <w:bCs w:val="0"/>
                <w:sz w:val="22"/>
                <w:szCs w:val="22"/>
              </w:rPr>
              <w:t>III (+)</w:t>
            </w:r>
          </w:p>
        </w:tc>
        <w:tc>
          <w:tcPr>
            <w:tcW w:w="1227" w:type="dxa"/>
          </w:tcPr>
          <w:p w14:paraId="1C66529C" w14:textId="77777777" w:rsidR="001C08A5" w:rsidRDefault="00000000">
            <w:pPr>
              <w:jc w:val="center"/>
              <w:rPr>
                <w:b/>
                <w:i/>
                <w:sz w:val="22"/>
                <w:szCs w:val="22"/>
              </w:rPr>
            </w:pPr>
            <w:r>
              <w:rPr>
                <w:b/>
                <w:i/>
                <w:sz w:val="22"/>
                <w:szCs w:val="22"/>
              </w:rPr>
              <w:t xml:space="preserve">EI/REI 45 </w:t>
            </w:r>
          </w:p>
          <w:p w14:paraId="1C7BDFCC" w14:textId="77777777" w:rsidR="001C08A5" w:rsidRDefault="001C08A5">
            <w:pPr>
              <w:jc w:val="center"/>
              <w:rPr>
                <w:b/>
                <w:i/>
                <w:sz w:val="22"/>
                <w:szCs w:val="22"/>
              </w:rPr>
            </w:pPr>
          </w:p>
        </w:tc>
        <w:tc>
          <w:tcPr>
            <w:tcW w:w="1635" w:type="dxa"/>
          </w:tcPr>
          <w:p w14:paraId="574566A1"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800" w:type="dxa"/>
            <w:vMerge/>
          </w:tcPr>
          <w:p w14:paraId="1C7F204F" w14:textId="77777777" w:rsidR="001C08A5" w:rsidRDefault="001C08A5">
            <w:pPr>
              <w:jc w:val="center"/>
              <w:rPr>
                <w:b/>
                <w:i/>
                <w:sz w:val="22"/>
                <w:szCs w:val="22"/>
              </w:rPr>
            </w:pPr>
          </w:p>
        </w:tc>
        <w:tc>
          <w:tcPr>
            <w:tcW w:w="1800" w:type="dxa"/>
          </w:tcPr>
          <w:p w14:paraId="540726CD" w14:textId="77777777" w:rsidR="001C08A5" w:rsidRDefault="00000000">
            <w:pPr>
              <w:jc w:val="center"/>
              <w:rPr>
                <w:i/>
                <w:sz w:val="22"/>
                <w:szCs w:val="22"/>
              </w:rPr>
            </w:pPr>
            <w:r>
              <w:rPr>
                <w:b/>
                <w:i/>
                <w:sz w:val="22"/>
                <w:szCs w:val="22"/>
              </w:rPr>
              <w:t xml:space="preserve"> A1 sau A2-s1d0 </w:t>
            </w:r>
          </w:p>
        </w:tc>
        <w:tc>
          <w:tcPr>
            <w:tcW w:w="1774" w:type="dxa"/>
          </w:tcPr>
          <w:p w14:paraId="316877D7" w14:textId="77777777" w:rsidR="001C08A5" w:rsidRDefault="00000000">
            <w:pPr>
              <w:jc w:val="center"/>
              <w:rPr>
                <w:b/>
                <w:i/>
                <w:sz w:val="22"/>
                <w:szCs w:val="22"/>
              </w:rPr>
            </w:pPr>
            <w:r>
              <w:rPr>
                <w:b/>
                <w:bCs/>
                <w:i/>
                <w:sz w:val="22"/>
                <w:szCs w:val="22"/>
              </w:rPr>
              <w:t>C5</w:t>
            </w:r>
          </w:p>
          <w:p w14:paraId="0FCA4621" w14:textId="77777777" w:rsidR="001C08A5" w:rsidRDefault="001C08A5">
            <w:pPr>
              <w:jc w:val="center"/>
              <w:rPr>
                <w:b/>
                <w:bCs/>
                <w:i/>
                <w:sz w:val="22"/>
                <w:szCs w:val="22"/>
              </w:rPr>
            </w:pPr>
          </w:p>
        </w:tc>
      </w:tr>
      <w:tr w:rsidR="001C08A5" w14:paraId="2859E794" w14:textId="77777777">
        <w:tc>
          <w:tcPr>
            <w:tcW w:w="1262" w:type="dxa"/>
          </w:tcPr>
          <w:p w14:paraId="05FFFCD6" w14:textId="77777777" w:rsidR="001C08A5" w:rsidRDefault="00000000">
            <w:pPr>
              <w:pStyle w:val="BodyText"/>
              <w:jc w:val="center"/>
              <w:rPr>
                <w:bCs w:val="0"/>
                <w:sz w:val="22"/>
                <w:szCs w:val="22"/>
              </w:rPr>
            </w:pPr>
            <w:r>
              <w:rPr>
                <w:bCs w:val="0"/>
                <w:sz w:val="22"/>
                <w:szCs w:val="22"/>
              </w:rPr>
              <w:t>IV</w:t>
            </w:r>
          </w:p>
        </w:tc>
        <w:tc>
          <w:tcPr>
            <w:tcW w:w="1227" w:type="dxa"/>
          </w:tcPr>
          <w:p w14:paraId="489349E0" w14:textId="77777777" w:rsidR="001C08A5" w:rsidRDefault="00000000">
            <w:pPr>
              <w:jc w:val="center"/>
              <w:rPr>
                <w:b/>
                <w:i/>
                <w:sz w:val="22"/>
                <w:szCs w:val="22"/>
              </w:rPr>
            </w:pPr>
            <w:r>
              <w:rPr>
                <w:b/>
                <w:i/>
                <w:sz w:val="22"/>
                <w:szCs w:val="22"/>
              </w:rPr>
              <w:t xml:space="preserve">EI/REI 30 </w:t>
            </w:r>
          </w:p>
          <w:p w14:paraId="5585EFB0" w14:textId="77777777" w:rsidR="001C08A5" w:rsidRDefault="001C08A5">
            <w:pPr>
              <w:jc w:val="center"/>
              <w:rPr>
                <w:b/>
                <w:i/>
                <w:sz w:val="22"/>
                <w:szCs w:val="22"/>
              </w:rPr>
            </w:pPr>
          </w:p>
        </w:tc>
        <w:tc>
          <w:tcPr>
            <w:tcW w:w="1635" w:type="dxa"/>
          </w:tcPr>
          <w:p w14:paraId="0E492090"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w:t>
            </w:r>
          </w:p>
        </w:tc>
        <w:tc>
          <w:tcPr>
            <w:tcW w:w="1800" w:type="dxa"/>
            <w:vMerge/>
          </w:tcPr>
          <w:p w14:paraId="2672DDD3" w14:textId="77777777" w:rsidR="001C08A5" w:rsidRDefault="001C08A5">
            <w:pPr>
              <w:jc w:val="center"/>
              <w:rPr>
                <w:b/>
                <w:i/>
                <w:sz w:val="22"/>
                <w:szCs w:val="22"/>
              </w:rPr>
            </w:pPr>
          </w:p>
        </w:tc>
        <w:tc>
          <w:tcPr>
            <w:tcW w:w="1800" w:type="dxa"/>
          </w:tcPr>
          <w:p w14:paraId="1FB4B342"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w:t>
            </w:r>
          </w:p>
        </w:tc>
        <w:tc>
          <w:tcPr>
            <w:tcW w:w="1774" w:type="dxa"/>
          </w:tcPr>
          <w:p w14:paraId="724DA904" w14:textId="77777777" w:rsidR="001C08A5" w:rsidRDefault="00000000">
            <w:pPr>
              <w:jc w:val="center"/>
              <w:rPr>
                <w:i/>
                <w:sz w:val="22"/>
                <w:szCs w:val="22"/>
              </w:rPr>
            </w:pPr>
            <w:r>
              <w:rPr>
                <w:b/>
                <w:bCs/>
                <w:i/>
                <w:sz w:val="22"/>
                <w:szCs w:val="22"/>
              </w:rPr>
              <w:t>C5</w:t>
            </w:r>
          </w:p>
        </w:tc>
      </w:tr>
      <w:tr w:rsidR="001C08A5" w14:paraId="57209D2D" w14:textId="77777777">
        <w:tc>
          <w:tcPr>
            <w:tcW w:w="1262" w:type="dxa"/>
          </w:tcPr>
          <w:p w14:paraId="1C15EC9D" w14:textId="77777777" w:rsidR="001C08A5" w:rsidRDefault="00000000">
            <w:pPr>
              <w:pStyle w:val="BodyText"/>
              <w:jc w:val="center"/>
              <w:rPr>
                <w:bCs w:val="0"/>
                <w:sz w:val="22"/>
                <w:szCs w:val="22"/>
              </w:rPr>
            </w:pPr>
            <w:r>
              <w:rPr>
                <w:bCs w:val="0"/>
                <w:sz w:val="22"/>
                <w:szCs w:val="22"/>
              </w:rPr>
              <w:t>V</w:t>
            </w:r>
          </w:p>
        </w:tc>
        <w:tc>
          <w:tcPr>
            <w:tcW w:w="1227" w:type="dxa"/>
          </w:tcPr>
          <w:p w14:paraId="10230054" w14:textId="77777777" w:rsidR="001C08A5" w:rsidRDefault="00000000">
            <w:pPr>
              <w:jc w:val="center"/>
              <w:rPr>
                <w:b/>
                <w:i/>
                <w:sz w:val="22"/>
                <w:szCs w:val="22"/>
              </w:rPr>
            </w:pPr>
            <w:r>
              <w:rPr>
                <w:b/>
                <w:i/>
                <w:sz w:val="22"/>
                <w:szCs w:val="22"/>
              </w:rPr>
              <w:t xml:space="preserve">EI/REI 15 </w:t>
            </w:r>
          </w:p>
        </w:tc>
        <w:tc>
          <w:tcPr>
            <w:tcW w:w="1635" w:type="dxa"/>
          </w:tcPr>
          <w:p w14:paraId="29D06052"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p>
        </w:tc>
        <w:tc>
          <w:tcPr>
            <w:tcW w:w="1800" w:type="dxa"/>
            <w:vMerge/>
          </w:tcPr>
          <w:p w14:paraId="3A0C0068" w14:textId="77777777" w:rsidR="001C08A5" w:rsidRDefault="001C08A5">
            <w:pPr>
              <w:jc w:val="center"/>
              <w:rPr>
                <w:b/>
                <w:i/>
                <w:sz w:val="22"/>
                <w:szCs w:val="22"/>
              </w:rPr>
            </w:pPr>
          </w:p>
        </w:tc>
        <w:tc>
          <w:tcPr>
            <w:tcW w:w="1800" w:type="dxa"/>
          </w:tcPr>
          <w:p w14:paraId="79786EB8"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p>
        </w:tc>
        <w:tc>
          <w:tcPr>
            <w:tcW w:w="1774" w:type="dxa"/>
          </w:tcPr>
          <w:p w14:paraId="1C3C79FD" w14:textId="77777777" w:rsidR="001C08A5" w:rsidRDefault="00000000">
            <w:pPr>
              <w:jc w:val="center"/>
              <w:rPr>
                <w:b/>
                <w:bCs/>
                <w:i/>
                <w:sz w:val="22"/>
                <w:szCs w:val="22"/>
              </w:rPr>
            </w:pPr>
            <w:r>
              <w:rPr>
                <w:b/>
                <w:bCs/>
                <w:i/>
                <w:sz w:val="22"/>
                <w:szCs w:val="22"/>
              </w:rPr>
              <w:t>-</w:t>
            </w:r>
          </w:p>
        </w:tc>
      </w:tr>
    </w:tbl>
    <w:p w14:paraId="193A9F04" w14:textId="77777777" w:rsidR="001C08A5" w:rsidRDefault="00000000">
      <w:pPr>
        <w:autoSpaceDE w:val="0"/>
        <w:rPr>
          <w:i/>
          <w:sz w:val="22"/>
          <w:szCs w:val="22"/>
        </w:rPr>
      </w:pPr>
      <w:r>
        <w:rPr>
          <w:bCs/>
          <w:i/>
          <w:sz w:val="22"/>
          <w:szCs w:val="22"/>
          <w:u w:val="single"/>
        </w:rPr>
        <w:t>Note</w:t>
      </w:r>
      <w:r>
        <w:rPr>
          <w:i/>
          <w:sz w:val="22"/>
          <w:szCs w:val="22"/>
        </w:rPr>
        <w:t>:</w:t>
      </w:r>
    </w:p>
    <w:p w14:paraId="78F323DB" w14:textId="77777777" w:rsidR="001C08A5" w:rsidRDefault="00000000">
      <w:pPr>
        <w:ind w:left="720"/>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22B38CBC"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5D2ACBA8"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4DD3D12F" w14:textId="77777777" w:rsidR="001C08A5" w:rsidRDefault="001C08A5">
      <w:pPr>
        <w:ind w:left="1440" w:hanging="1440"/>
        <w:jc w:val="both"/>
        <w:rPr>
          <w:b/>
          <w:sz w:val="24"/>
          <w:szCs w:val="24"/>
        </w:rPr>
      </w:pPr>
    </w:p>
    <w:p w14:paraId="520CDA28" w14:textId="77777777" w:rsidR="001C08A5" w:rsidRDefault="00000000">
      <w:pPr>
        <w:ind w:firstLine="567"/>
        <w:jc w:val="both"/>
        <w:rPr>
          <w:sz w:val="24"/>
          <w:szCs w:val="24"/>
        </w:rPr>
      </w:pPr>
      <w:r>
        <w:rPr>
          <w:b/>
          <w:sz w:val="24"/>
          <w:szCs w:val="24"/>
        </w:rPr>
        <w:t xml:space="preserve">Art. </w:t>
      </w:r>
      <w:r>
        <w:rPr>
          <w:b/>
          <w:bCs/>
          <w:sz w:val="24"/>
          <w:szCs w:val="24"/>
        </w:rPr>
        <w:t>3.2.6.</w:t>
      </w:r>
      <w:r>
        <w:rPr>
          <w:b/>
          <w:sz w:val="24"/>
          <w:szCs w:val="24"/>
        </w:rPr>
        <w:t>10. (1)</w:t>
      </w:r>
      <w:r>
        <w:rPr>
          <w:sz w:val="24"/>
          <w:szCs w:val="24"/>
        </w:rPr>
        <w:t xml:space="preserve"> Clădirile </w:t>
      </w:r>
      <w:r>
        <w:rPr>
          <w:bCs/>
          <w:sz w:val="24"/>
          <w:szCs w:val="24"/>
        </w:rPr>
        <w:t>pentru învăţământ supraterane cu înălţimi obişnuite,</w:t>
      </w:r>
      <w:r>
        <w:rPr>
          <w:sz w:val="24"/>
          <w:szCs w:val="24"/>
        </w:rPr>
        <w:t xml:space="preserve"> vor avea asigurate minimum două căi de evacuare, distincte şi independente, astfel dispuse şi alcătuite încât să poată fi uşor accesibile tuturor utilizatorilor.</w:t>
      </w:r>
    </w:p>
    <w:p w14:paraId="521A0174" w14:textId="77777777" w:rsidR="001C08A5" w:rsidRDefault="00000000">
      <w:pPr>
        <w:ind w:firstLine="720"/>
        <w:jc w:val="both"/>
        <w:rPr>
          <w:sz w:val="24"/>
          <w:szCs w:val="24"/>
        </w:rPr>
      </w:pPr>
      <w:r>
        <w:rPr>
          <w:b/>
          <w:sz w:val="24"/>
          <w:szCs w:val="24"/>
        </w:rPr>
        <w:t xml:space="preserve">(2) </w:t>
      </w:r>
      <w:r>
        <w:rPr>
          <w:sz w:val="24"/>
          <w:szCs w:val="24"/>
        </w:rPr>
        <w:t>Clădirile etajate vor avea casele de scări de evacuare închise, indiferent de numărul nivelurilor supraterane sau subterane.</w:t>
      </w:r>
    </w:p>
    <w:p w14:paraId="4AB69F93" w14:textId="77777777" w:rsidR="001C08A5" w:rsidRDefault="00000000">
      <w:pPr>
        <w:ind w:firstLine="720"/>
        <w:jc w:val="both"/>
        <w:rPr>
          <w:sz w:val="24"/>
          <w:szCs w:val="24"/>
        </w:rPr>
      </w:pPr>
      <w:r>
        <w:rPr>
          <w:b/>
          <w:sz w:val="24"/>
          <w:szCs w:val="24"/>
        </w:rPr>
        <w:t xml:space="preserve">(3) </w:t>
      </w:r>
      <w:r>
        <w:rPr>
          <w:sz w:val="24"/>
          <w:szCs w:val="24"/>
        </w:rPr>
        <w:t xml:space="preserve">Alcătuirea și dimensionarea căilor de evacuare vor corespunde numărului de utilizatori, dar indiferent de lăţimile de trecere (fluxurile) de evacuare rezultate din calcul, ușile dispuse pe căile de evacuare ale utilizatorilor vor avea lăţimea minimă libera de trecere de </w:t>
      </w:r>
      <w:r>
        <w:rPr>
          <w:b/>
          <w:sz w:val="24"/>
          <w:szCs w:val="24"/>
        </w:rPr>
        <w:t>90</w:t>
      </w:r>
      <w:r>
        <w:rPr>
          <w:sz w:val="24"/>
          <w:szCs w:val="24"/>
        </w:rPr>
        <w:t xml:space="preserve"> cm, iar rampele scărilor și coridoarele cel puţin </w:t>
      </w:r>
      <w:r>
        <w:rPr>
          <w:b/>
          <w:sz w:val="24"/>
          <w:szCs w:val="24"/>
        </w:rPr>
        <w:t>1,20</w:t>
      </w:r>
      <w:r>
        <w:rPr>
          <w:sz w:val="24"/>
          <w:szCs w:val="24"/>
        </w:rPr>
        <w:t xml:space="preserve"> m lăţime.</w:t>
      </w:r>
    </w:p>
    <w:p w14:paraId="5B149B79" w14:textId="77777777" w:rsidR="001C08A5" w:rsidRDefault="00000000">
      <w:pPr>
        <w:ind w:firstLine="720"/>
        <w:jc w:val="both"/>
        <w:rPr>
          <w:sz w:val="24"/>
          <w:szCs w:val="24"/>
        </w:rPr>
      </w:pPr>
      <w:r>
        <w:rPr>
          <w:b/>
          <w:bCs/>
          <w:sz w:val="24"/>
          <w:szCs w:val="24"/>
        </w:rPr>
        <w:t>(4)</w:t>
      </w:r>
      <w:r>
        <w:rPr>
          <w:sz w:val="24"/>
          <w:szCs w:val="24"/>
        </w:rPr>
        <w:t xml:space="preserve"> Clădirile de învăţămînt specializate pentru utilizatori cu dizabilităţi/handicap, trebuie să fie de nivelul </w:t>
      </w:r>
      <w:r>
        <w:rPr>
          <w:b/>
          <w:sz w:val="24"/>
          <w:szCs w:val="24"/>
        </w:rPr>
        <w:t>I</w:t>
      </w:r>
      <w:r>
        <w:rPr>
          <w:sz w:val="24"/>
          <w:szCs w:val="24"/>
        </w:rPr>
        <w:t xml:space="preserve"> sau </w:t>
      </w:r>
      <w:r>
        <w:rPr>
          <w:b/>
          <w:sz w:val="24"/>
          <w:szCs w:val="24"/>
        </w:rPr>
        <w:t>II</w:t>
      </w:r>
      <w:r>
        <w:rPr>
          <w:sz w:val="24"/>
          <w:szCs w:val="24"/>
        </w:rPr>
        <w:t xml:space="preserve"> de stabilitate la incendiu și să aibă maximum </w:t>
      </w:r>
      <w:r>
        <w:rPr>
          <w:b/>
          <w:sz w:val="24"/>
          <w:szCs w:val="24"/>
        </w:rPr>
        <w:t>3</w:t>
      </w:r>
      <w:r>
        <w:rPr>
          <w:sz w:val="24"/>
          <w:szCs w:val="24"/>
        </w:rPr>
        <w:t xml:space="preserve"> niveluri supraterane, având asigurate măsurile de protecţie prevăzute în reglementările specifice.</w:t>
      </w:r>
    </w:p>
    <w:p w14:paraId="409D5F54" w14:textId="77777777" w:rsidR="001C08A5" w:rsidRDefault="00000000">
      <w:pPr>
        <w:ind w:firstLine="720"/>
        <w:jc w:val="both"/>
        <w:rPr>
          <w:sz w:val="24"/>
          <w:szCs w:val="24"/>
          <w:lang w:eastAsia="zh-CN"/>
        </w:rPr>
      </w:pPr>
      <w:r>
        <w:rPr>
          <w:b/>
          <w:sz w:val="24"/>
          <w:szCs w:val="24"/>
        </w:rPr>
        <w:t xml:space="preserve">(5) </w:t>
      </w:r>
      <w:r>
        <w:rPr>
          <w:sz w:val="24"/>
          <w:szCs w:val="24"/>
        </w:rPr>
        <w:t xml:space="preserve">Sălile polivalente cu capacitatea maximă simultană mai mare de </w:t>
      </w:r>
      <w:r>
        <w:rPr>
          <w:b/>
          <w:bCs/>
          <w:sz w:val="24"/>
          <w:szCs w:val="24"/>
        </w:rPr>
        <w:t>100</w:t>
      </w:r>
      <w:r>
        <w:rPr>
          <w:sz w:val="24"/>
          <w:szCs w:val="24"/>
        </w:rPr>
        <w:t xml:space="preserve"> utilizatori aferente clădirilor pentru </w:t>
      </w:r>
      <w:r>
        <w:rPr>
          <w:bCs/>
          <w:sz w:val="24"/>
          <w:szCs w:val="24"/>
        </w:rPr>
        <w:t>învăţământ preşcolar</w:t>
      </w:r>
      <w:r>
        <w:rPr>
          <w:sz w:val="24"/>
          <w:szCs w:val="24"/>
        </w:rPr>
        <w:t>, vor avea asigurat cel puţin un acces direct din exterior (uşă exterioară dispusă la nivelul terenului sau acces la o scară exterioară de evacuare).</w:t>
      </w:r>
    </w:p>
    <w:p w14:paraId="705EE258" w14:textId="77777777" w:rsidR="001C08A5" w:rsidRDefault="00000000">
      <w:pPr>
        <w:ind w:firstLine="709"/>
        <w:jc w:val="both"/>
        <w:rPr>
          <w:sz w:val="36"/>
          <w:szCs w:val="36"/>
          <w:lang w:eastAsia="zh-CN"/>
        </w:rPr>
      </w:pPr>
      <w:r>
        <w:rPr>
          <w:sz w:val="24"/>
          <w:szCs w:val="24"/>
        </w:rPr>
        <w:tab/>
      </w:r>
      <w:r>
        <w:rPr>
          <w:b/>
          <w:sz w:val="24"/>
          <w:szCs w:val="24"/>
        </w:rPr>
        <w:t xml:space="preserve">(6) </w:t>
      </w:r>
      <w:r>
        <w:rPr>
          <w:sz w:val="24"/>
          <w:szCs w:val="24"/>
          <w:lang w:eastAsia="zh-CN"/>
        </w:rPr>
        <w:t xml:space="preserve">Pe căile comune de evacuare orizontale (coridoare, holuri) se admite prevederea elementelor de mobiler fix în condițiile prevăzute la </w:t>
      </w:r>
      <w:r>
        <w:rPr>
          <w:b/>
          <w:sz w:val="24"/>
          <w:szCs w:val="24"/>
        </w:rPr>
        <w:t xml:space="preserve">Art. 2.5.2.1. alin. (5) </w:t>
      </w:r>
      <w:r>
        <w:rPr>
          <w:bCs/>
          <w:sz w:val="24"/>
          <w:szCs w:val="24"/>
        </w:rPr>
        <w:t xml:space="preserve">și </w:t>
      </w:r>
      <w:r>
        <w:rPr>
          <w:b/>
          <w:sz w:val="24"/>
          <w:szCs w:val="24"/>
        </w:rPr>
        <w:t>(6).</w:t>
      </w:r>
    </w:p>
    <w:p w14:paraId="031E3917" w14:textId="77777777" w:rsidR="001C08A5" w:rsidRDefault="00000000">
      <w:pPr>
        <w:ind w:firstLine="709"/>
        <w:jc w:val="both"/>
        <w:rPr>
          <w:sz w:val="24"/>
          <w:szCs w:val="24"/>
          <w:lang w:eastAsia="zh-CN"/>
        </w:rPr>
      </w:pPr>
      <w:r>
        <w:rPr>
          <w:b/>
          <w:bCs/>
          <w:sz w:val="24"/>
          <w:szCs w:val="24"/>
          <w:lang w:eastAsia="zh-CN"/>
        </w:rPr>
        <w:t>(7)</w:t>
      </w:r>
      <w:r>
        <w:rPr>
          <w:sz w:val="24"/>
          <w:szCs w:val="24"/>
          <w:lang w:eastAsia="zh-CN"/>
        </w:rPr>
        <w:t xml:space="preserve"> Nu se admite amplasarea nici unui obiect de mobilier (combustibil sau incombustibil) în incinta scărilor de evacuare, a degajamentelor protejate, a încăperilor tampon, a tunelurilor de evacuare, etc. în clădirile de </w:t>
      </w:r>
      <w:r>
        <w:rPr>
          <w:sz w:val="24"/>
          <w:szCs w:val="24"/>
        </w:rPr>
        <w:t>învăţămînt</w:t>
      </w:r>
      <w:r>
        <w:rPr>
          <w:sz w:val="24"/>
          <w:szCs w:val="24"/>
          <w:lang w:eastAsia="zh-CN"/>
        </w:rPr>
        <w:t>.</w:t>
      </w:r>
    </w:p>
    <w:p w14:paraId="3980E938" w14:textId="77777777" w:rsidR="001C08A5" w:rsidRDefault="00000000">
      <w:pPr>
        <w:jc w:val="both"/>
        <w:rPr>
          <w:b/>
          <w:sz w:val="24"/>
          <w:szCs w:val="24"/>
        </w:rPr>
      </w:pPr>
      <w:r>
        <w:rPr>
          <w:b/>
          <w:sz w:val="24"/>
          <w:szCs w:val="24"/>
        </w:rPr>
        <w:lastRenderedPageBreak/>
        <w:tab/>
      </w:r>
    </w:p>
    <w:p w14:paraId="217FD63A" w14:textId="77777777" w:rsidR="001C08A5" w:rsidRDefault="00000000">
      <w:pPr>
        <w:pStyle w:val="BodyText"/>
        <w:ind w:firstLine="567"/>
      </w:pPr>
      <w:r>
        <w:rPr>
          <w:i w:val="0"/>
          <w:iCs/>
        </w:rPr>
        <w:t xml:space="preserve">Art. </w:t>
      </w:r>
      <w:r>
        <w:rPr>
          <w:bCs w:val="0"/>
          <w:i w:val="0"/>
          <w:iCs/>
        </w:rPr>
        <w:t>3.2.6.</w:t>
      </w:r>
      <w:r>
        <w:rPr>
          <w:i w:val="0"/>
          <w:iCs/>
        </w:rPr>
        <w:t>11.</w:t>
      </w:r>
      <w:r>
        <w:rPr>
          <w:b w:val="0"/>
          <w:bCs w:val="0"/>
          <w:i w:val="0"/>
          <w:iCs/>
        </w:rPr>
        <w:t xml:space="preserve"> Lungimea maximă admisă a traseului de parcurs pe căile de evacuare în clădirile pentru învăţământ (cu excepţia sălilor aglomerate, a clădirilor înalte şi foarte înalte), sunt precizate în </w:t>
      </w:r>
      <w:r>
        <w:rPr>
          <w:b w:val="0"/>
          <w:bCs w:val="0"/>
          <w:i w:val="0"/>
          <w:iCs/>
        </w:rPr>
        <w:fldChar w:fldCharType="begin"/>
      </w:r>
      <w:r>
        <w:rPr>
          <w:b w:val="0"/>
          <w:bCs w:val="0"/>
          <w:i w:val="0"/>
          <w:iCs/>
        </w:rPr>
        <w:instrText xml:space="preserve"> REF _Ref32527 \h </w:instrText>
      </w:r>
      <w:r>
        <w:rPr>
          <w:b w:val="0"/>
          <w:bCs w:val="0"/>
          <w:i w:val="0"/>
          <w:iCs/>
        </w:rPr>
      </w:r>
      <w:r>
        <w:rPr>
          <w:b w:val="0"/>
          <w:bCs w:val="0"/>
          <w:i w:val="0"/>
          <w:iCs/>
        </w:rPr>
        <w:fldChar w:fldCharType="separate"/>
      </w:r>
      <w:r>
        <w:t>Tabelul 77</w:t>
      </w:r>
      <w:r>
        <w:rPr>
          <w:b w:val="0"/>
          <w:bCs w:val="0"/>
          <w:i w:val="0"/>
          <w:iCs/>
        </w:rPr>
        <w:fldChar w:fldCharType="end"/>
      </w:r>
      <w:r>
        <w:t>.</w:t>
      </w:r>
    </w:p>
    <w:p w14:paraId="404A211F" w14:textId="77777777" w:rsidR="001C08A5" w:rsidRDefault="001C08A5">
      <w:pPr>
        <w:jc w:val="both"/>
        <w:rPr>
          <w:b/>
          <w:sz w:val="24"/>
          <w:szCs w:val="24"/>
        </w:rPr>
      </w:pPr>
    </w:p>
    <w:p w14:paraId="76E588FC" w14:textId="77777777" w:rsidR="001C08A5" w:rsidRDefault="00000000">
      <w:pPr>
        <w:pStyle w:val="Captiontabel"/>
      </w:pPr>
      <w:bookmarkStart w:id="3785" w:name="_Ref32527"/>
      <w:bookmarkStart w:id="3786" w:name="_Toc162360127"/>
      <w:bookmarkStart w:id="3787" w:name="_Ref32462"/>
      <w:r>
        <w:t xml:space="preserve">Tabelul </w:t>
      </w:r>
      <w:r>
        <w:fldChar w:fldCharType="begin"/>
      </w:r>
      <w:r>
        <w:instrText xml:space="preserve"> SEQ Tabelul \* ARABIC </w:instrText>
      </w:r>
      <w:r>
        <w:fldChar w:fldCharType="separate"/>
      </w:r>
      <w:r>
        <w:t>77</w:t>
      </w:r>
      <w:r>
        <w:fldChar w:fldCharType="end"/>
      </w:r>
      <w:bookmarkStart w:id="3788" w:name="_Toc26217"/>
      <w:bookmarkStart w:id="3789" w:name="_Toc22169"/>
      <w:bookmarkStart w:id="3790" w:name="_Toc1199"/>
      <w:bookmarkStart w:id="3791" w:name="_Toc20076"/>
      <w:bookmarkStart w:id="3792" w:name="_Toc17736"/>
      <w:bookmarkStart w:id="3793" w:name="_Toc31742"/>
      <w:bookmarkStart w:id="3794" w:name="_Toc24376"/>
      <w:bookmarkStart w:id="3795" w:name="_Toc3710"/>
      <w:bookmarkStart w:id="3796" w:name="_Toc7140"/>
      <w:bookmarkStart w:id="3797" w:name="_Toc4920"/>
      <w:bookmarkStart w:id="3798" w:name="_Toc17261"/>
      <w:bookmarkStart w:id="3799" w:name="_Toc10420"/>
      <w:bookmarkStart w:id="3800" w:name="_Toc476"/>
      <w:bookmarkStart w:id="3801" w:name="_Toc21082"/>
      <w:bookmarkStart w:id="3802" w:name="_Toc27739"/>
      <w:bookmarkStart w:id="3803" w:name="_Toc27977"/>
      <w:bookmarkStart w:id="3804" w:name="_Toc26853"/>
      <w:bookmarkStart w:id="3805" w:name="_Toc14605"/>
      <w:bookmarkStart w:id="3806" w:name="_Toc30022"/>
      <w:bookmarkEnd w:id="3785"/>
      <w:r>
        <w:t>: Lungimi de evacuare în clădiri pentru învăţământ supraterane cu înălţimi obişnuite</w:t>
      </w:r>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p>
    <w:p w14:paraId="5EC52CDF" w14:textId="77777777" w:rsidR="001C08A5" w:rsidRDefault="001C08A5">
      <w:pPr>
        <w:jc w:val="both"/>
        <w:rPr>
          <w:sz w:val="24"/>
          <w:szCs w:val="24"/>
        </w:rPr>
      </w:pPr>
    </w:p>
    <w:tbl>
      <w:tblPr>
        <w:tblW w:w="9550" w:type="dxa"/>
        <w:tblInd w:w="176" w:type="dxa"/>
        <w:tblLayout w:type="fixed"/>
        <w:tblLook w:val="04A0" w:firstRow="1" w:lastRow="0" w:firstColumn="1" w:lastColumn="0" w:noHBand="0" w:noVBand="1"/>
      </w:tblPr>
      <w:tblGrid>
        <w:gridCol w:w="641"/>
        <w:gridCol w:w="1829"/>
        <w:gridCol w:w="1392"/>
        <w:gridCol w:w="1838"/>
        <w:gridCol w:w="893"/>
        <w:gridCol w:w="930"/>
        <w:gridCol w:w="2027"/>
      </w:tblGrid>
      <w:tr w:rsidR="001C08A5" w14:paraId="6AEB9C9D" w14:textId="77777777">
        <w:tc>
          <w:tcPr>
            <w:tcW w:w="641" w:type="dxa"/>
            <w:vMerge w:val="restart"/>
            <w:tcBorders>
              <w:top w:val="single" w:sz="8" w:space="0" w:color="000000"/>
              <w:left w:val="single" w:sz="8" w:space="0" w:color="000000"/>
              <w:bottom w:val="single" w:sz="4" w:space="0" w:color="000000"/>
            </w:tcBorders>
            <w:shd w:val="clear" w:color="auto" w:fill="D9D9D9"/>
          </w:tcPr>
          <w:p w14:paraId="4D5754A2" w14:textId="77777777" w:rsidR="001C08A5" w:rsidRDefault="001C08A5">
            <w:pPr>
              <w:snapToGrid w:val="0"/>
              <w:jc w:val="center"/>
              <w:rPr>
                <w:b/>
                <w:i/>
                <w:iCs/>
                <w:sz w:val="22"/>
                <w:szCs w:val="22"/>
              </w:rPr>
            </w:pPr>
          </w:p>
          <w:p w14:paraId="2A569ABA" w14:textId="77777777" w:rsidR="001C08A5" w:rsidRDefault="00000000">
            <w:pPr>
              <w:jc w:val="center"/>
              <w:rPr>
                <w:i/>
                <w:iCs/>
                <w:sz w:val="22"/>
                <w:szCs w:val="22"/>
              </w:rPr>
            </w:pPr>
            <w:r>
              <w:rPr>
                <w:b/>
                <w:i/>
                <w:iCs/>
                <w:sz w:val="22"/>
                <w:szCs w:val="22"/>
              </w:rPr>
              <w:t>Nr. crt.</w:t>
            </w:r>
          </w:p>
          <w:p w14:paraId="577A9D2C" w14:textId="77777777" w:rsidR="001C08A5" w:rsidRDefault="001C08A5">
            <w:pPr>
              <w:jc w:val="center"/>
              <w:rPr>
                <w:i/>
                <w:iCs/>
                <w:sz w:val="22"/>
                <w:szCs w:val="22"/>
              </w:rPr>
            </w:pPr>
          </w:p>
        </w:tc>
        <w:tc>
          <w:tcPr>
            <w:tcW w:w="1829" w:type="dxa"/>
            <w:vMerge w:val="restart"/>
            <w:tcBorders>
              <w:top w:val="single" w:sz="8" w:space="0" w:color="000000"/>
              <w:left w:val="single" w:sz="4" w:space="0" w:color="000000"/>
              <w:bottom w:val="single" w:sz="4" w:space="0" w:color="000000"/>
            </w:tcBorders>
            <w:shd w:val="clear" w:color="auto" w:fill="D9D9D9"/>
          </w:tcPr>
          <w:p w14:paraId="15EC8564" w14:textId="77777777" w:rsidR="001C08A5" w:rsidRDefault="001C08A5">
            <w:pPr>
              <w:snapToGrid w:val="0"/>
              <w:jc w:val="center"/>
              <w:rPr>
                <w:b/>
                <w:i/>
                <w:iCs/>
                <w:sz w:val="22"/>
                <w:szCs w:val="22"/>
              </w:rPr>
            </w:pPr>
          </w:p>
          <w:p w14:paraId="2DC61017" w14:textId="77777777" w:rsidR="001C08A5" w:rsidRDefault="00000000">
            <w:pPr>
              <w:jc w:val="center"/>
              <w:rPr>
                <w:b/>
                <w:i/>
                <w:iCs/>
                <w:sz w:val="22"/>
                <w:szCs w:val="22"/>
              </w:rPr>
            </w:pPr>
            <w:r>
              <w:rPr>
                <w:b/>
                <w:i/>
                <w:iCs/>
                <w:sz w:val="22"/>
                <w:szCs w:val="22"/>
              </w:rPr>
              <w:t xml:space="preserve">Clădiri </w:t>
            </w:r>
          </w:p>
          <w:p w14:paraId="22641621" w14:textId="77777777" w:rsidR="001C08A5" w:rsidRDefault="00000000">
            <w:pPr>
              <w:jc w:val="center"/>
              <w:rPr>
                <w:b/>
                <w:i/>
                <w:iCs/>
                <w:sz w:val="22"/>
                <w:szCs w:val="22"/>
              </w:rPr>
            </w:pPr>
            <w:r>
              <w:rPr>
                <w:b/>
                <w:i/>
                <w:iCs/>
                <w:sz w:val="22"/>
                <w:szCs w:val="22"/>
              </w:rPr>
              <w:t xml:space="preserve"> pentru învăţământ</w:t>
            </w:r>
          </w:p>
        </w:tc>
        <w:tc>
          <w:tcPr>
            <w:tcW w:w="1392" w:type="dxa"/>
            <w:vMerge w:val="restart"/>
            <w:tcBorders>
              <w:top w:val="single" w:sz="8" w:space="0" w:color="000000"/>
              <w:left w:val="single" w:sz="4" w:space="0" w:color="000000"/>
              <w:bottom w:val="single" w:sz="4" w:space="0" w:color="000000"/>
            </w:tcBorders>
            <w:shd w:val="clear" w:color="auto" w:fill="D9D9D9"/>
          </w:tcPr>
          <w:p w14:paraId="74B1A64F" w14:textId="77777777" w:rsidR="001C08A5" w:rsidRDefault="00000000">
            <w:pPr>
              <w:jc w:val="center"/>
              <w:rPr>
                <w:b/>
                <w:i/>
                <w:iCs/>
                <w:sz w:val="22"/>
                <w:szCs w:val="22"/>
              </w:rPr>
            </w:pPr>
            <w:r>
              <w:rPr>
                <w:b/>
                <w:i/>
                <w:iCs/>
                <w:sz w:val="22"/>
                <w:szCs w:val="22"/>
              </w:rPr>
              <w:t>Nivel de stabilitate  la incendiu asigurat</w:t>
            </w:r>
          </w:p>
        </w:tc>
        <w:tc>
          <w:tcPr>
            <w:tcW w:w="3661" w:type="dxa"/>
            <w:gridSpan w:val="3"/>
            <w:tcBorders>
              <w:top w:val="single" w:sz="8" w:space="0" w:color="000000"/>
              <w:left w:val="single" w:sz="4" w:space="0" w:color="000000"/>
              <w:bottom w:val="single" w:sz="4" w:space="0" w:color="000000"/>
            </w:tcBorders>
            <w:shd w:val="clear" w:color="auto" w:fill="D9D9D9"/>
          </w:tcPr>
          <w:p w14:paraId="5E4618FD" w14:textId="77777777" w:rsidR="001C08A5" w:rsidRDefault="00000000">
            <w:pPr>
              <w:jc w:val="center"/>
              <w:rPr>
                <w:b/>
                <w:i/>
                <w:iCs/>
                <w:sz w:val="22"/>
                <w:szCs w:val="22"/>
              </w:rPr>
            </w:pPr>
            <w:r>
              <w:rPr>
                <w:b/>
                <w:i/>
                <w:iCs/>
                <w:sz w:val="22"/>
                <w:szCs w:val="22"/>
              </w:rPr>
              <w:t xml:space="preserve">Lungime maximă de evacuare </w:t>
            </w:r>
          </w:p>
        </w:tc>
        <w:tc>
          <w:tcPr>
            <w:tcW w:w="2027" w:type="dxa"/>
            <w:vMerge w:val="restart"/>
            <w:tcBorders>
              <w:top w:val="single" w:sz="8" w:space="0" w:color="000000"/>
              <w:left w:val="single" w:sz="4" w:space="0" w:color="000000"/>
              <w:bottom w:val="single" w:sz="4" w:space="0" w:color="000000"/>
              <w:right w:val="single" w:sz="8" w:space="0" w:color="000000"/>
            </w:tcBorders>
            <w:shd w:val="clear" w:color="auto" w:fill="D9D9D9"/>
          </w:tcPr>
          <w:p w14:paraId="42397827" w14:textId="77777777" w:rsidR="001C08A5" w:rsidRDefault="001C08A5">
            <w:pPr>
              <w:snapToGrid w:val="0"/>
              <w:jc w:val="center"/>
              <w:rPr>
                <w:b/>
                <w:i/>
                <w:iCs/>
                <w:sz w:val="22"/>
                <w:szCs w:val="22"/>
              </w:rPr>
            </w:pPr>
          </w:p>
          <w:p w14:paraId="31C34CA1" w14:textId="77777777" w:rsidR="001C08A5" w:rsidRDefault="001C08A5">
            <w:pPr>
              <w:jc w:val="center"/>
              <w:rPr>
                <w:b/>
                <w:i/>
                <w:iCs/>
                <w:sz w:val="22"/>
                <w:szCs w:val="22"/>
              </w:rPr>
            </w:pPr>
          </w:p>
          <w:p w14:paraId="2C5F9BE0" w14:textId="77777777" w:rsidR="001C08A5" w:rsidRDefault="00000000">
            <w:pPr>
              <w:jc w:val="center"/>
              <w:rPr>
                <w:i/>
                <w:iCs/>
                <w:sz w:val="22"/>
                <w:szCs w:val="22"/>
              </w:rPr>
            </w:pPr>
            <w:r>
              <w:rPr>
                <w:b/>
                <w:i/>
                <w:iCs/>
                <w:sz w:val="22"/>
                <w:szCs w:val="22"/>
              </w:rPr>
              <w:t>Observaţii</w:t>
            </w:r>
          </w:p>
        </w:tc>
      </w:tr>
      <w:tr w:rsidR="001C08A5" w14:paraId="4614C208" w14:textId="77777777" w:rsidTr="00C163C7">
        <w:tc>
          <w:tcPr>
            <w:tcW w:w="641" w:type="dxa"/>
            <w:vMerge/>
            <w:tcBorders>
              <w:top w:val="single" w:sz="4" w:space="0" w:color="000000"/>
              <w:left w:val="single" w:sz="8" w:space="0" w:color="000000"/>
              <w:bottom w:val="single" w:sz="4" w:space="0" w:color="000000"/>
            </w:tcBorders>
            <w:shd w:val="clear" w:color="auto" w:fill="auto"/>
          </w:tcPr>
          <w:p w14:paraId="6BE434BC" w14:textId="77777777" w:rsidR="001C08A5" w:rsidRDefault="001C08A5">
            <w:pPr>
              <w:snapToGrid w:val="0"/>
              <w:jc w:val="center"/>
              <w:rPr>
                <w:i/>
                <w:iCs/>
                <w:sz w:val="22"/>
                <w:szCs w:val="22"/>
              </w:rPr>
            </w:pPr>
          </w:p>
        </w:tc>
        <w:tc>
          <w:tcPr>
            <w:tcW w:w="1829" w:type="dxa"/>
            <w:vMerge/>
            <w:tcBorders>
              <w:top w:val="single" w:sz="4" w:space="0" w:color="000000"/>
              <w:left w:val="single" w:sz="4" w:space="0" w:color="000000"/>
              <w:bottom w:val="single" w:sz="4" w:space="0" w:color="000000"/>
            </w:tcBorders>
            <w:shd w:val="clear" w:color="auto" w:fill="auto"/>
          </w:tcPr>
          <w:p w14:paraId="2CC7FA52" w14:textId="77777777" w:rsidR="001C08A5" w:rsidRDefault="001C08A5">
            <w:pPr>
              <w:snapToGrid w:val="0"/>
              <w:jc w:val="center"/>
              <w:rPr>
                <w:i/>
                <w:iCs/>
                <w:sz w:val="22"/>
                <w:szCs w:val="22"/>
              </w:rPr>
            </w:pPr>
          </w:p>
        </w:tc>
        <w:tc>
          <w:tcPr>
            <w:tcW w:w="1392" w:type="dxa"/>
            <w:vMerge/>
            <w:tcBorders>
              <w:top w:val="single" w:sz="4" w:space="0" w:color="000000"/>
              <w:left w:val="single" w:sz="4" w:space="0" w:color="000000"/>
              <w:bottom w:val="single" w:sz="4" w:space="0" w:color="000000"/>
            </w:tcBorders>
            <w:shd w:val="clear" w:color="auto" w:fill="auto"/>
          </w:tcPr>
          <w:p w14:paraId="0EDAF688" w14:textId="77777777" w:rsidR="001C08A5" w:rsidRDefault="001C08A5">
            <w:pPr>
              <w:snapToGrid w:val="0"/>
              <w:jc w:val="center"/>
              <w:rPr>
                <w:i/>
                <w:iCs/>
                <w:sz w:val="22"/>
                <w:szCs w:val="22"/>
              </w:rPr>
            </w:pPr>
          </w:p>
        </w:tc>
        <w:tc>
          <w:tcPr>
            <w:tcW w:w="1838" w:type="dxa"/>
            <w:tcBorders>
              <w:top w:val="single" w:sz="4" w:space="0" w:color="000000"/>
              <w:left w:val="single" w:sz="4" w:space="0" w:color="000000"/>
              <w:bottom w:val="single" w:sz="4" w:space="0" w:color="000000"/>
            </w:tcBorders>
            <w:shd w:val="clear" w:color="auto" w:fill="D9D9D9"/>
          </w:tcPr>
          <w:p w14:paraId="0130719D" w14:textId="77777777" w:rsidR="001C08A5" w:rsidRDefault="00000000">
            <w:pPr>
              <w:jc w:val="center"/>
              <w:rPr>
                <w:b/>
                <w:i/>
                <w:iCs/>
                <w:sz w:val="22"/>
                <w:szCs w:val="22"/>
              </w:rPr>
            </w:pPr>
            <w:r>
              <w:rPr>
                <w:b/>
                <w:i/>
                <w:iCs/>
                <w:sz w:val="22"/>
                <w:szCs w:val="22"/>
              </w:rPr>
              <w:t>în două direcţii diferite</w:t>
            </w:r>
          </w:p>
        </w:tc>
        <w:tc>
          <w:tcPr>
            <w:tcW w:w="1823" w:type="dxa"/>
            <w:gridSpan w:val="2"/>
            <w:tcBorders>
              <w:top w:val="single" w:sz="4" w:space="0" w:color="000000"/>
              <w:left w:val="single" w:sz="4" w:space="0" w:color="000000"/>
              <w:bottom w:val="single" w:sz="4" w:space="0" w:color="auto"/>
            </w:tcBorders>
            <w:shd w:val="clear" w:color="auto" w:fill="D9D9D9"/>
          </w:tcPr>
          <w:p w14:paraId="3A833BF9" w14:textId="77777777" w:rsidR="001C08A5" w:rsidRDefault="00000000">
            <w:pPr>
              <w:jc w:val="center"/>
              <w:rPr>
                <w:i/>
                <w:iCs/>
                <w:sz w:val="22"/>
                <w:szCs w:val="22"/>
              </w:rPr>
            </w:pPr>
            <w:r>
              <w:rPr>
                <w:b/>
                <w:i/>
                <w:iCs/>
                <w:sz w:val="22"/>
                <w:szCs w:val="22"/>
              </w:rPr>
              <w:t>într-o direcţie (coridor înfundat)</w:t>
            </w:r>
          </w:p>
        </w:tc>
        <w:tc>
          <w:tcPr>
            <w:tcW w:w="2027" w:type="dxa"/>
            <w:vMerge/>
            <w:tcBorders>
              <w:top w:val="single" w:sz="4" w:space="0" w:color="000000"/>
              <w:left w:val="single" w:sz="4" w:space="0" w:color="000000"/>
              <w:bottom w:val="single" w:sz="4" w:space="0" w:color="000000"/>
              <w:right w:val="single" w:sz="8" w:space="0" w:color="000000"/>
            </w:tcBorders>
            <w:shd w:val="clear" w:color="auto" w:fill="D9D9D9"/>
          </w:tcPr>
          <w:p w14:paraId="57A0922E" w14:textId="77777777" w:rsidR="001C08A5" w:rsidRDefault="001C08A5">
            <w:pPr>
              <w:snapToGrid w:val="0"/>
              <w:rPr>
                <w:i/>
                <w:iCs/>
                <w:sz w:val="22"/>
                <w:szCs w:val="22"/>
              </w:rPr>
            </w:pPr>
          </w:p>
        </w:tc>
      </w:tr>
      <w:tr w:rsidR="00C163C7" w14:paraId="0EC6C4B1" w14:textId="77777777" w:rsidTr="00C163C7">
        <w:tc>
          <w:tcPr>
            <w:tcW w:w="641" w:type="dxa"/>
            <w:vMerge/>
            <w:tcBorders>
              <w:top w:val="single" w:sz="4" w:space="0" w:color="000000"/>
              <w:left w:val="single" w:sz="8" w:space="0" w:color="000000"/>
              <w:bottom w:val="single" w:sz="8" w:space="0" w:color="000000"/>
            </w:tcBorders>
            <w:shd w:val="clear" w:color="auto" w:fill="auto"/>
          </w:tcPr>
          <w:p w14:paraId="25648626" w14:textId="77777777" w:rsidR="001C08A5" w:rsidRDefault="001C08A5">
            <w:pPr>
              <w:snapToGrid w:val="0"/>
              <w:jc w:val="center"/>
              <w:rPr>
                <w:i/>
                <w:iCs/>
                <w:sz w:val="22"/>
                <w:szCs w:val="22"/>
              </w:rPr>
            </w:pPr>
          </w:p>
        </w:tc>
        <w:tc>
          <w:tcPr>
            <w:tcW w:w="1829" w:type="dxa"/>
            <w:vMerge/>
            <w:tcBorders>
              <w:top w:val="single" w:sz="4" w:space="0" w:color="000000"/>
              <w:left w:val="single" w:sz="4" w:space="0" w:color="000000"/>
              <w:bottom w:val="single" w:sz="8" w:space="0" w:color="000000"/>
            </w:tcBorders>
            <w:shd w:val="clear" w:color="auto" w:fill="auto"/>
          </w:tcPr>
          <w:p w14:paraId="1C7B2018" w14:textId="77777777" w:rsidR="001C08A5" w:rsidRDefault="001C08A5">
            <w:pPr>
              <w:snapToGrid w:val="0"/>
              <w:jc w:val="center"/>
              <w:rPr>
                <w:i/>
                <w:iCs/>
                <w:sz w:val="22"/>
                <w:szCs w:val="22"/>
              </w:rPr>
            </w:pPr>
          </w:p>
        </w:tc>
        <w:tc>
          <w:tcPr>
            <w:tcW w:w="1392" w:type="dxa"/>
            <w:vMerge/>
            <w:tcBorders>
              <w:top w:val="single" w:sz="4" w:space="0" w:color="000000"/>
              <w:left w:val="single" w:sz="4" w:space="0" w:color="000000"/>
              <w:bottom w:val="single" w:sz="8" w:space="0" w:color="000000"/>
            </w:tcBorders>
            <w:shd w:val="clear" w:color="auto" w:fill="auto"/>
          </w:tcPr>
          <w:p w14:paraId="3A8B0CB7" w14:textId="77777777" w:rsidR="001C08A5" w:rsidRDefault="001C08A5">
            <w:pPr>
              <w:snapToGrid w:val="0"/>
              <w:jc w:val="center"/>
              <w:rPr>
                <w:i/>
                <w:iCs/>
                <w:sz w:val="22"/>
                <w:szCs w:val="22"/>
              </w:rPr>
            </w:pPr>
          </w:p>
        </w:tc>
        <w:tc>
          <w:tcPr>
            <w:tcW w:w="1838" w:type="dxa"/>
            <w:tcBorders>
              <w:top w:val="single" w:sz="4" w:space="0" w:color="000000"/>
              <w:left w:val="single" w:sz="4" w:space="0" w:color="000000"/>
              <w:bottom w:val="single" w:sz="8" w:space="0" w:color="000000"/>
              <w:right w:val="single" w:sz="4" w:space="0" w:color="auto"/>
            </w:tcBorders>
            <w:shd w:val="clear" w:color="auto" w:fill="D9D9D9"/>
          </w:tcPr>
          <w:p w14:paraId="037393B6" w14:textId="77777777" w:rsidR="001C08A5" w:rsidRDefault="00000000">
            <w:pPr>
              <w:jc w:val="center"/>
              <w:rPr>
                <w:b/>
                <w:i/>
                <w:iCs/>
                <w:sz w:val="22"/>
                <w:szCs w:val="22"/>
              </w:rPr>
            </w:pPr>
            <w:r>
              <w:rPr>
                <w:b/>
                <w:i/>
                <w:iCs/>
                <w:sz w:val="22"/>
                <w:szCs w:val="22"/>
              </w:rPr>
              <w:t>metri</w:t>
            </w:r>
          </w:p>
        </w:tc>
        <w:tc>
          <w:tcPr>
            <w:tcW w:w="893" w:type="dxa"/>
            <w:tcBorders>
              <w:top w:val="single" w:sz="4" w:space="0" w:color="auto"/>
              <w:left w:val="single" w:sz="4" w:space="0" w:color="auto"/>
              <w:bottom w:val="single" w:sz="4" w:space="0" w:color="auto"/>
            </w:tcBorders>
            <w:shd w:val="clear" w:color="auto" w:fill="D9D9D9"/>
          </w:tcPr>
          <w:p w14:paraId="03F66EAF" w14:textId="77777777" w:rsidR="001C08A5" w:rsidRDefault="001C08A5">
            <w:pPr>
              <w:jc w:val="center"/>
              <w:rPr>
                <w:b/>
                <w:i/>
                <w:iCs/>
                <w:sz w:val="22"/>
                <w:szCs w:val="22"/>
              </w:rPr>
            </w:pPr>
          </w:p>
        </w:tc>
        <w:tc>
          <w:tcPr>
            <w:tcW w:w="930" w:type="dxa"/>
            <w:tcBorders>
              <w:top w:val="single" w:sz="4" w:space="0" w:color="auto"/>
              <w:left w:val="single" w:sz="4" w:space="0" w:color="000000"/>
              <w:bottom w:val="single" w:sz="4" w:space="0" w:color="auto"/>
              <w:right w:val="single" w:sz="4" w:space="0" w:color="auto"/>
            </w:tcBorders>
            <w:shd w:val="clear" w:color="auto" w:fill="D9D9D9"/>
          </w:tcPr>
          <w:p w14:paraId="2000E094" w14:textId="77777777" w:rsidR="001C08A5" w:rsidRDefault="00000000">
            <w:pPr>
              <w:jc w:val="center"/>
              <w:rPr>
                <w:i/>
                <w:iCs/>
                <w:sz w:val="22"/>
                <w:szCs w:val="22"/>
              </w:rPr>
            </w:pPr>
            <w:r>
              <w:rPr>
                <w:b/>
                <w:i/>
                <w:iCs/>
                <w:sz w:val="22"/>
                <w:szCs w:val="22"/>
              </w:rPr>
              <w:t>metri</w:t>
            </w:r>
          </w:p>
        </w:tc>
        <w:tc>
          <w:tcPr>
            <w:tcW w:w="2027" w:type="dxa"/>
            <w:vMerge/>
            <w:tcBorders>
              <w:top w:val="single" w:sz="4" w:space="0" w:color="000000"/>
              <w:left w:val="single" w:sz="4" w:space="0" w:color="auto"/>
              <w:bottom w:val="single" w:sz="8" w:space="0" w:color="000000"/>
              <w:right w:val="single" w:sz="8" w:space="0" w:color="000000"/>
            </w:tcBorders>
            <w:shd w:val="clear" w:color="auto" w:fill="D9D9D9"/>
          </w:tcPr>
          <w:p w14:paraId="5CB45FA9" w14:textId="77777777" w:rsidR="001C08A5" w:rsidRDefault="001C08A5">
            <w:pPr>
              <w:snapToGrid w:val="0"/>
              <w:rPr>
                <w:i/>
                <w:iCs/>
                <w:sz w:val="22"/>
                <w:szCs w:val="22"/>
              </w:rPr>
            </w:pPr>
          </w:p>
        </w:tc>
      </w:tr>
      <w:tr w:rsidR="001C08A5" w14:paraId="5F8C8672" w14:textId="77777777" w:rsidTr="00C163C7">
        <w:tc>
          <w:tcPr>
            <w:tcW w:w="641" w:type="dxa"/>
            <w:vMerge w:val="restart"/>
            <w:tcBorders>
              <w:top w:val="single" w:sz="8" w:space="0" w:color="000000"/>
              <w:left w:val="single" w:sz="4" w:space="0" w:color="000000"/>
              <w:bottom w:val="single" w:sz="4" w:space="0" w:color="000000"/>
            </w:tcBorders>
          </w:tcPr>
          <w:p w14:paraId="7A747C29" w14:textId="77777777" w:rsidR="001C08A5" w:rsidRDefault="001C08A5">
            <w:pPr>
              <w:snapToGrid w:val="0"/>
              <w:jc w:val="center"/>
              <w:rPr>
                <w:i/>
                <w:iCs/>
                <w:sz w:val="22"/>
                <w:szCs w:val="22"/>
              </w:rPr>
            </w:pPr>
          </w:p>
          <w:p w14:paraId="61CC2422" w14:textId="77777777" w:rsidR="001C08A5" w:rsidRDefault="00000000">
            <w:pPr>
              <w:jc w:val="center"/>
              <w:rPr>
                <w:i/>
                <w:iCs/>
                <w:sz w:val="22"/>
                <w:szCs w:val="22"/>
              </w:rPr>
            </w:pPr>
            <w:r>
              <w:rPr>
                <w:i/>
                <w:iCs/>
                <w:sz w:val="22"/>
                <w:szCs w:val="22"/>
              </w:rPr>
              <w:t>1.</w:t>
            </w:r>
          </w:p>
        </w:tc>
        <w:tc>
          <w:tcPr>
            <w:tcW w:w="1829" w:type="dxa"/>
            <w:vMerge w:val="restart"/>
            <w:tcBorders>
              <w:top w:val="single" w:sz="8" w:space="0" w:color="000000"/>
              <w:left w:val="single" w:sz="4" w:space="0" w:color="000000"/>
              <w:bottom w:val="single" w:sz="4" w:space="0" w:color="000000"/>
            </w:tcBorders>
          </w:tcPr>
          <w:p w14:paraId="6F931446" w14:textId="77777777" w:rsidR="001C08A5" w:rsidRDefault="00000000">
            <w:pPr>
              <w:jc w:val="center"/>
              <w:rPr>
                <w:i/>
                <w:iCs/>
                <w:sz w:val="22"/>
                <w:szCs w:val="22"/>
              </w:rPr>
            </w:pPr>
            <w:r>
              <w:rPr>
                <w:i/>
                <w:iCs/>
                <w:sz w:val="22"/>
                <w:szCs w:val="22"/>
              </w:rPr>
              <w:t xml:space="preserve">Învăţământ </w:t>
            </w:r>
            <w:r>
              <w:rPr>
                <w:bCs/>
                <w:i/>
                <w:iCs/>
                <w:sz w:val="22"/>
                <w:szCs w:val="22"/>
              </w:rPr>
              <w:t>preşcolar</w:t>
            </w:r>
            <w:r>
              <w:rPr>
                <w:i/>
                <w:iCs/>
                <w:sz w:val="22"/>
                <w:szCs w:val="22"/>
              </w:rPr>
              <w:t>,</w:t>
            </w:r>
          </w:p>
          <w:p w14:paraId="787DBF28" w14:textId="77777777" w:rsidR="001C08A5" w:rsidRDefault="00000000">
            <w:pPr>
              <w:jc w:val="center"/>
              <w:rPr>
                <w:b/>
                <w:i/>
                <w:iCs/>
                <w:sz w:val="22"/>
                <w:szCs w:val="22"/>
              </w:rPr>
            </w:pPr>
            <w:r>
              <w:rPr>
                <w:i/>
                <w:iCs/>
                <w:sz w:val="22"/>
                <w:szCs w:val="22"/>
              </w:rPr>
              <w:t>primar, secundar, terţiar, nonuniversitar, internate (spatii cazare elevi)</w:t>
            </w:r>
          </w:p>
        </w:tc>
        <w:tc>
          <w:tcPr>
            <w:tcW w:w="1392" w:type="dxa"/>
            <w:tcBorders>
              <w:top w:val="single" w:sz="8" w:space="0" w:color="000000"/>
              <w:left w:val="single" w:sz="4" w:space="0" w:color="000000"/>
              <w:bottom w:val="single" w:sz="4" w:space="0" w:color="000000"/>
            </w:tcBorders>
          </w:tcPr>
          <w:p w14:paraId="0B1B59F2" w14:textId="77777777" w:rsidR="001C08A5" w:rsidRDefault="00000000">
            <w:pPr>
              <w:jc w:val="center"/>
              <w:rPr>
                <w:i/>
                <w:iCs/>
                <w:sz w:val="22"/>
                <w:szCs w:val="22"/>
              </w:rPr>
            </w:pPr>
            <w:r>
              <w:rPr>
                <w:b/>
                <w:i/>
                <w:iCs/>
                <w:sz w:val="22"/>
                <w:szCs w:val="22"/>
              </w:rPr>
              <w:t>I și II</w:t>
            </w:r>
          </w:p>
        </w:tc>
        <w:tc>
          <w:tcPr>
            <w:tcW w:w="1838" w:type="dxa"/>
            <w:tcBorders>
              <w:top w:val="single" w:sz="8" w:space="0" w:color="000000"/>
              <w:left w:val="single" w:sz="4" w:space="0" w:color="000000"/>
              <w:bottom w:val="single" w:sz="4" w:space="0" w:color="000000"/>
            </w:tcBorders>
          </w:tcPr>
          <w:p w14:paraId="3356487F" w14:textId="77777777" w:rsidR="001C08A5" w:rsidRDefault="00000000">
            <w:pPr>
              <w:jc w:val="center"/>
              <w:rPr>
                <w:b/>
                <w:bCs/>
                <w:i/>
                <w:iCs/>
                <w:sz w:val="22"/>
                <w:szCs w:val="22"/>
              </w:rPr>
            </w:pPr>
            <w:r>
              <w:rPr>
                <w:b/>
                <w:bCs/>
                <w:i/>
                <w:iCs/>
                <w:sz w:val="22"/>
                <w:szCs w:val="22"/>
              </w:rPr>
              <w:t>30</w:t>
            </w:r>
          </w:p>
          <w:p w14:paraId="1027F0BA" w14:textId="77777777" w:rsidR="001C08A5" w:rsidRDefault="00000000">
            <w:pPr>
              <w:jc w:val="center"/>
              <w:rPr>
                <w:b/>
                <w:bCs/>
                <w:i/>
                <w:iCs/>
                <w:sz w:val="22"/>
                <w:szCs w:val="22"/>
              </w:rPr>
            </w:pPr>
            <w:r>
              <w:rPr>
                <w:b/>
                <w:bCs/>
                <w:i/>
                <w:iCs/>
                <w:sz w:val="22"/>
                <w:szCs w:val="22"/>
              </w:rPr>
              <w:t>(20)</w:t>
            </w:r>
          </w:p>
        </w:tc>
        <w:tc>
          <w:tcPr>
            <w:tcW w:w="1823" w:type="dxa"/>
            <w:gridSpan w:val="2"/>
            <w:tcBorders>
              <w:top w:val="single" w:sz="4" w:space="0" w:color="auto"/>
              <w:left w:val="single" w:sz="4" w:space="0" w:color="000000"/>
              <w:bottom w:val="single" w:sz="4" w:space="0" w:color="000000"/>
            </w:tcBorders>
          </w:tcPr>
          <w:p w14:paraId="674AD913" w14:textId="77777777" w:rsidR="001C08A5" w:rsidRDefault="00000000">
            <w:pPr>
              <w:jc w:val="center"/>
              <w:rPr>
                <w:b/>
                <w:bCs/>
                <w:i/>
                <w:iCs/>
                <w:sz w:val="22"/>
                <w:szCs w:val="22"/>
              </w:rPr>
            </w:pPr>
            <w:r>
              <w:rPr>
                <w:b/>
                <w:bCs/>
                <w:i/>
                <w:iCs/>
                <w:sz w:val="22"/>
                <w:szCs w:val="22"/>
              </w:rPr>
              <w:t>20</w:t>
            </w:r>
          </w:p>
          <w:p w14:paraId="3D768F03" w14:textId="77777777" w:rsidR="001C08A5" w:rsidRDefault="001C08A5">
            <w:pPr>
              <w:jc w:val="center"/>
              <w:rPr>
                <w:b/>
                <w:bCs/>
                <w:i/>
                <w:iCs/>
                <w:sz w:val="22"/>
                <w:szCs w:val="22"/>
              </w:rPr>
            </w:pPr>
          </w:p>
        </w:tc>
        <w:tc>
          <w:tcPr>
            <w:tcW w:w="2027" w:type="dxa"/>
            <w:vMerge w:val="restart"/>
            <w:tcBorders>
              <w:top w:val="single" w:sz="8" w:space="0" w:color="000000"/>
              <w:left w:val="single" w:sz="4" w:space="0" w:color="000000"/>
              <w:bottom w:val="single" w:sz="4" w:space="0" w:color="000000"/>
              <w:right w:val="single" w:sz="4" w:space="0" w:color="000000"/>
            </w:tcBorders>
          </w:tcPr>
          <w:p w14:paraId="08592928" w14:textId="77777777" w:rsidR="001C08A5" w:rsidRDefault="00000000">
            <w:pPr>
              <w:jc w:val="center"/>
              <w:rPr>
                <w:i/>
                <w:iCs/>
                <w:sz w:val="22"/>
                <w:szCs w:val="22"/>
              </w:rPr>
            </w:pPr>
            <w:r>
              <w:rPr>
                <w:i/>
                <w:iCs/>
                <w:sz w:val="22"/>
                <w:szCs w:val="22"/>
              </w:rPr>
              <w:t>Valorile din paranteză sunt valabile pentru evacuarea copiilor de vârstă preşcolară</w:t>
            </w:r>
          </w:p>
        </w:tc>
      </w:tr>
      <w:tr w:rsidR="001C08A5" w14:paraId="0B43BB97" w14:textId="77777777">
        <w:tc>
          <w:tcPr>
            <w:tcW w:w="641" w:type="dxa"/>
            <w:vMerge/>
            <w:tcBorders>
              <w:top w:val="single" w:sz="4" w:space="0" w:color="000000"/>
              <w:left w:val="single" w:sz="4" w:space="0" w:color="000000"/>
              <w:bottom w:val="single" w:sz="4" w:space="0" w:color="000000"/>
            </w:tcBorders>
          </w:tcPr>
          <w:p w14:paraId="2D0EB5FB" w14:textId="77777777" w:rsidR="001C08A5" w:rsidRDefault="001C08A5">
            <w:pPr>
              <w:snapToGrid w:val="0"/>
              <w:rPr>
                <w:i/>
                <w:iCs/>
                <w:sz w:val="22"/>
                <w:szCs w:val="22"/>
              </w:rPr>
            </w:pPr>
          </w:p>
        </w:tc>
        <w:tc>
          <w:tcPr>
            <w:tcW w:w="1829" w:type="dxa"/>
            <w:vMerge/>
            <w:tcBorders>
              <w:top w:val="single" w:sz="4" w:space="0" w:color="000000"/>
              <w:left w:val="single" w:sz="4" w:space="0" w:color="000000"/>
              <w:bottom w:val="single" w:sz="4" w:space="0" w:color="000000"/>
            </w:tcBorders>
          </w:tcPr>
          <w:p w14:paraId="28682D9C" w14:textId="77777777" w:rsidR="001C08A5" w:rsidRDefault="001C08A5">
            <w:pPr>
              <w:snapToGrid w:val="0"/>
              <w:jc w:val="center"/>
              <w:rPr>
                <w:i/>
                <w:iCs/>
                <w:sz w:val="22"/>
                <w:szCs w:val="22"/>
              </w:rPr>
            </w:pPr>
          </w:p>
        </w:tc>
        <w:tc>
          <w:tcPr>
            <w:tcW w:w="1392" w:type="dxa"/>
            <w:tcBorders>
              <w:top w:val="single" w:sz="4" w:space="0" w:color="000000"/>
              <w:left w:val="single" w:sz="4" w:space="0" w:color="000000"/>
              <w:bottom w:val="single" w:sz="4" w:space="0" w:color="000000"/>
            </w:tcBorders>
          </w:tcPr>
          <w:p w14:paraId="3FAA81D4" w14:textId="77777777" w:rsidR="001C08A5" w:rsidRDefault="00000000">
            <w:pPr>
              <w:jc w:val="center"/>
              <w:rPr>
                <w:i/>
                <w:iCs/>
                <w:sz w:val="22"/>
                <w:szCs w:val="22"/>
              </w:rPr>
            </w:pPr>
            <w:r>
              <w:rPr>
                <w:b/>
                <w:i/>
                <w:iCs/>
                <w:sz w:val="22"/>
                <w:szCs w:val="22"/>
              </w:rPr>
              <w:t>III</w:t>
            </w:r>
          </w:p>
        </w:tc>
        <w:tc>
          <w:tcPr>
            <w:tcW w:w="1838" w:type="dxa"/>
            <w:tcBorders>
              <w:top w:val="single" w:sz="4" w:space="0" w:color="000000"/>
              <w:left w:val="single" w:sz="4" w:space="0" w:color="000000"/>
              <w:bottom w:val="single" w:sz="4" w:space="0" w:color="000000"/>
            </w:tcBorders>
          </w:tcPr>
          <w:p w14:paraId="0B4378C9" w14:textId="77777777" w:rsidR="001C08A5" w:rsidRDefault="00000000">
            <w:pPr>
              <w:jc w:val="center"/>
              <w:rPr>
                <w:b/>
                <w:bCs/>
                <w:i/>
                <w:iCs/>
                <w:sz w:val="22"/>
                <w:szCs w:val="22"/>
              </w:rPr>
            </w:pPr>
            <w:r>
              <w:rPr>
                <w:b/>
                <w:bCs/>
                <w:i/>
                <w:iCs/>
                <w:sz w:val="22"/>
                <w:szCs w:val="22"/>
              </w:rPr>
              <w:t>25</w:t>
            </w:r>
          </w:p>
          <w:p w14:paraId="367D7789" w14:textId="77777777" w:rsidR="001C08A5" w:rsidRDefault="00000000">
            <w:pPr>
              <w:jc w:val="center"/>
              <w:rPr>
                <w:b/>
                <w:bCs/>
                <w:i/>
                <w:iCs/>
                <w:sz w:val="22"/>
                <w:szCs w:val="22"/>
              </w:rPr>
            </w:pPr>
            <w:r>
              <w:rPr>
                <w:b/>
                <w:bCs/>
                <w:i/>
                <w:iCs/>
                <w:sz w:val="22"/>
                <w:szCs w:val="22"/>
              </w:rPr>
              <w:t>(15)</w:t>
            </w:r>
          </w:p>
        </w:tc>
        <w:tc>
          <w:tcPr>
            <w:tcW w:w="1823" w:type="dxa"/>
            <w:gridSpan w:val="2"/>
            <w:tcBorders>
              <w:top w:val="single" w:sz="4" w:space="0" w:color="000000"/>
              <w:left w:val="single" w:sz="4" w:space="0" w:color="000000"/>
              <w:bottom w:val="single" w:sz="4" w:space="0" w:color="000000"/>
            </w:tcBorders>
          </w:tcPr>
          <w:p w14:paraId="065F854F" w14:textId="77777777" w:rsidR="001C08A5" w:rsidRDefault="00000000">
            <w:pPr>
              <w:jc w:val="center"/>
              <w:rPr>
                <w:b/>
                <w:bCs/>
                <w:i/>
                <w:iCs/>
                <w:sz w:val="22"/>
                <w:szCs w:val="22"/>
              </w:rPr>
            </w:pPr>
            <w:r>
              <w:rPr>
                <w:b/>
                <w:bCs/>
                <w:i/>
                <w:iCs/>
                <w:sz w:val="22"/>
                <w:szCs w:val="22"/>
              </w:rPr>
              <w:t>15</w:t>
            </w:r>
          </w:p>
          <w:p w14:paraId="1989E691" w14:textId="77777777" w:rsidR="001C08A5" w:rsidRDefault="001C08A5">
            <w:pPr>
              <w:jc w:val="center"/>
              <w:rPr>
                <w:b/>
                <w:bCs/>
                <w:i/>
                <w:iCs/>
                <w:sz w:val="22"/>
                <w:szCs w:val="22"/>
              </w:rPr>
            </w:pPr>
          </w:p>
        </w:tc>
        <w:tc>
          <w:tcPr>
            <w:tcW w:w="2027" w:type="dxa"/>
            <w:vMerge/>
            <w:tcBorders>
              <w:top w:val="single" w:sz="4" w:space="0" w:color="000000"/>
              <w:left w:val="single" w:sz="4" w:space="0" w:color="000000"/>
              <w:bottom w:val="single" w:sz="4" w:space="0" w:color="000000"/>
              <w:right w:val="single" w:sz="4" w:space="0" w:color="000000"/>
            </w:tcBorders>
          </w:tcPr>
          <w:p w14:paraId="5A5F0B5C" w14:textId="77777777" w:rsidR="001C08A5" w:rsidRDefault="001C08A5">
            <w:pPr>
              <w:snapToGrid w:val="0"/>
              <w:jc w:val="center"/>
              <w:rPr>
                <w:i/>
                <w:iCs/>
                <w:sz w:val="22"/>
                <w:szCs w:val="22"/>
              </w:rPr>
            </w:pPr>
          </w:p>
        </w:tc>
      </w:tr>
      <w:tr w:rsidR="001C08A5" w14:paraId="1CC179EA" w14:textId="77777777">
        <w:tc>
          <w:tcPr>
            <w:tcW w:w="641" w:type="dxa"/>
            <w:vMerge/>
            <w:tcBorders>
              <w:top w:val="single" w:sz="4" w:space="0" w:color="000000"/>
              <w:left w:val="single" w:sz="4" w:space="0" w:color="000000"/>
              <w:bottom w:val="single" w:sz="4" w:space="0" w:color="000000"/>
            </w:tcBorders>
          </w:tcPr>
          <w:p w14:paraId="40804A4D" w14:textId="77777777" w:rsidR="001C08A5" w:rsidRDefault="001C08A5">
            <w:pPr>
              <w:snapToGrid w:val="0"/>
              <w:rPr>
                <w:i/>
                <w:iCs/>
                <w:sz w:val="22"/>
                <w:szCs w:val="22"/>
              </w:rPr>
            </w:pPr>
          </w:p>
        </w:tc>
        <w:tc>
          <w:tcPr>
            <w:tcW w:w="1829" w:type="dxa"/>
            <w:vMerge/>
            <w:tcBorders>
              <w:top w:val="single" w:sz="4" w:space="0" w:color="000000"/>
              <w:left w:val="single" w:sz="4" w:space="0" w:color="000000"/>
              <w:bottom w:val="single" w:sz="4" w:space="0" w:color="000000"/>
            </w:tcBorders>
          </w:tcPr>
          <w:p w14:paraId="14AF3987" w14:textId="77777777" w:rsidR="001C08A5" w:rsidRDefault="001C08A5">
            <w:pPr>
              <w:snapToGrid w:val="0"/>
              <w:jc w:val="center"/>
              <w:rPr>
                <w:i/>
                <w:iCs/>
                <w:sz w:val="22"/>
                <w:szCs w:val="22"/>
              </w:rPr>
            </w:pPr>
          </w:p>
        </w:tc>
        <w:tc>
          <w:tcPr>
            <w:tcW w:w="1392" w:type="dxa"/>
            <w:tcBorders>
              <w:top w:val="single" w:sz="4" w:space="0" w:color="000000"/>
              <w:left w:val="single" w:sz="4" w:space="0" w:color="000000"/>
              <w:bottom w:val="single" w:sz="4" w:space="0" w:color="000000"/>
            </w:tcBorders>
          </w:tcPr>
          <w:p w14:paraId="213EA372" w14:textId="77777777" w:rsidR="001C08A5" w:rsidRDefault="00000000">
            <w:pPr>
              <w:jc w:val="center"/>
              <w:rPr>
                <w:i/>
                <w:iCs/>
                <w:sz w:val="22"/>
                <w:szCs w:val="22"/>
              </w:rPr>
            </w:pPr>
            <w:r>
              <w:rPr>
                <w:b/>
                <w:i/>
                <w:iCs/>
                <w:sz w:val="22"/>
                <w:szCs w:val="22"/>
              </w:rPr>
              <w:t>IV</w:t>
            </w:r>
          </w:p>
        </w:tc>
        <w:tc>
          <w:tcPr>
            <w:tcW w:w="1838" w:type="dxa"/>
            <w:tcBorders>
              <w:top w:val="single" w:sz="4" w:space="0" w:color="000000"/>
              <w:left w:val="single" w:sz="4" w:space="0" w:color="000000"/>
              <w:bottom w:val="single" w:sz="4" w:space="0" w:color="000000"/>
            </w:tcBorders>
          </w:tcPr>
          <w:p w14:paraId="7B11171D" w14:textId="77777777" w:rsidR="001C08A5" w:rsidRDefault="00000000">
            <w:pPr>
              <w:jc w:val="center"/>
              <w:rPr>
                <w:b/>
                <w:bCs/>
                <w:i/>
                <w:iCs/>
                <w:sz w:val="22"/>
                <w:szCs w:val="22"/>
              </w:rPr>
            </w:pPr>
            <w:r>
              <w:rPr>
                <w:b/>
                <w:bCs/>
                <w:i/>
                <w:iCs/>
                <w:sz w:val="22"/>
                <w:szCs w:val="22"/>
              </w:rPr>
              <w:t>12</w:t>
            </w:r>
          </w:p>
        </w:tc>
        <w:tc>
          <w:tcPr>
            <w:tcW w:w="1823" w:type="dxa"/>
            <w:gridSpan w:val="2"/>
            <w:tcBorders>
              <w:top w:val="single" w:sz="4" w:space="0" w:color="000000"/>
              <w:left w:val="single" w:sz="4" w:space="0" w:color="000000"/>
              <w:bottom w:val="single" w:sz="4" w:space="0" w:color="000000"/>
            </w:tcBorders>
          </w:tcPr>
          <w:p w14:paraId="59B0B768" w14:textId="77777777" w:rsidR="001C08A5" w:rsidRDefault="00000000">
            <w:pPr>
              <w:jc w:val="center"/>
              <w:rPr>
                <w:b/>
                <w:bCs/>
                <w:i/>
                <w:iCs/>
                <w:sz w:val="22"/>
                <w:szCs w:val="22"/>
              </w:rPr>
            </w:pPr>
            <w:r>
              <w:rPr>
                <w:b/>
                <w:bCs/>
                <w:i/>
                <w:iCs/>
                <w:sz w:val="22"/>
                <w:szCs w:val="22"/>
              </w:rPr>
              <w:t>10</w:t>
            </w:r>
          </w:p>
        </w:tc>
        <w:tc>
          <w:tcPr>
            <w:tcW w:w="2027" w:type="dxa"/>
            <w:vMerge/>
            <w:tcBorders>
              <w:top w:val="single" w:sz="4" w:space="0" w:color="000000"/>
              <w:left w:val="single" w:sz="4" w:space="0" w:color="000000"/>
              <w:bottom w:val="single" w:sz="4" w:space="0" w:color="000000"/>
              <w:right w:val="single" w:sz="4" w:space="0" w:color="000000"/>
            </w:tcBorders>
          </w:tcPr>
          <w:p w14:paraId="6B7904FE" w14:textId="77777777" w:rsidR="001C08A5" w:rsidRDefault="001C08A5">
            <w:pPr>
              <w:snapToGrid w:val="0"/>
              <w:jc w:val="center"/>
              <w:rPr>
                <w:i/>
                <w:iCs/>
                <w:sz w:val="22"/>
                <w:szCs w:val="22"/>
              </w:rPr>
            </w:pPr>
          </w:p>
        </w:tc>
      </w:tr>
      <w:tr w:rsidR="001C08A5" w14:paraId="5338F390" w14:textId="77777777">
        <w:trPr>
          <w:trHeight w:val="195"/>
        </w:trPr>
        <w:tc>
          <w:tcPr>
            <w:tcW w:w="641" w:type="dxa"/>
            <w:vMerge/>
            <w:tcBorders>
              <w:top w:val="single" w:sz="4" w:space="0" w:color="000000"/>
              <w:left w:val="single" w:sz="4" w:space="0" w:color="000000"/>
              <w:bottom w:val="single" w:sz="4" w:space="0" w:color="000000"/>
            </w:tcBorders>
          </w:tcPr>
          <w:p w14:paraId="456EC060" w14:textId="77777777" w:rsidR="001C08A5" w:rsidRDefault="001C08A5">
            <w:pPr>
              <w:snapToGrid w:val="0"/>
              <w:rPr>
                <w:i/>
                <w:iCs/>
                <w:sz w:val="22"/>
                <w:szCs w:val="22"/>
              </w:rPr>
            </w:pPr>
          </w:p>
        </w:tc>
        <w:tc>
          <w:tcPr>
            <w:tcW w:w="1829" w:type="dxa"/>
            <w:vMerge/>
            <w:tcBorders>
              <w:top w:val="single" w:sz="4" w:space="0" w:color="000000"/>
              <w:left w:val="single" w:sz="4" w:space="0" w:color="000000"/>
              <w:bottom w:val="single" w:sz="4" w:space="0" w:color="000000"/>
            </w:tcBorders>
          </w:tcPr>
          <w:p w14:paraId="44D70FD2" w14:textId="77777777" w:rsidR="001C08A5" w:rsidRDefault="001C08A5">
            <w:pPr>
              <w:snapToGrid w:val="0"/>
              <w:jc w:val="center"/>
              <w:rPr>
                <w:i/>
                <w:iCs/>
                <w:sz w:val="22"/>
                <w:szCs w:val="22"/>
              </w:rPr>
            </w:pPr>
          </w:p>
        </w:tc>
        <w:tc>
          <w:tcPr>
            <w:tcW w:w="1392" w:type="dxa"/>
            <w:tcBorders>
              <w:top w:val="single" w:sz="4" w:space="0" w:color="000000"/>
              <w:left w:val="single" w:sz="4" w:space="0" w:color="000000"/>
              <w:bottom w:val="single" w:sz="4" w:space="0" w:color="000000"/>
            </w:tcBorders>
          </w:tcPr>
          <w:p w14:paraId="0986C92E" w14:textId="77777777" w:rsidR="001C08A5" w:rsidRDefault="00000000">
            <w:pPr>
              <w:jc w:val="center"/>
              <w:rPr>
                <w:i/>
                <w:iCs/>
                <w:sz w:val="22"/>
                <w:szCs w:val="22"/>
              </w:rPr>
            </w:pPr>
            <w:r>
              <w:rPr>
                <w:b/>
                <w:i/>
                <w:iCs/>
                <w:sz w:val="22"/>
                <w:szCs w:val="22"/>
              </w:rPr>
              <w:t>V</w:t>
            </w:r>
          </w:p>
        </w:tc>
        <w:tc>
          <w:tcPr>
            <w:tcW w:w="1838" w:type="dxa"/>
            <w:tcBorders>
              <w:top w:val="single" w:sz="4" w:space="0" w:color="000000"/>
              <w:left w:val="single" w:sz="4" w:space="0" w:color="000000"/>
              <w:bottom w:val="single" w:sz="4" w:space="0" w:color="000000"/>
            </w:tcBorders>
          </w:tcPr>
          <w:p w14:paraId="12E08DAE" w14:textId="77777777" w:rsidR="001C08A5" w:rsidRDefault="00000000">
            <w:pPr>
              <w:jc w:val="center"/>
              <w:rPr>
                <w:b/>
                <w:bCs/>
                <w:i/>
                <w:iCs/>
                <w:sz w:val="22"/>
                <w:szCs w:val="22"/>
              </w:rPr>
            </w:pPr>
            <w:r>
              <w:rPr>
                <w:b/>
                <w:bCs/>
                <w:i/>
                <w:iCs/>
                <w:sz w:val="22"/>
                <w:szCs w:val="22"/>
              </w:rPr>
              <w:t>10</w:t>
            </w:r>
          </w:p>
        </w:tc>
        <w:tc>
          <w:tcPr>
            <w:tcW w:w="1823" w:type="dxa"/>
            <w:gridSpan w:val="2"/>
            <w:tcBorders>
              <w:top w:val="single" w:sz="4" w:space="0" w:color="000000"/>
              <w:left w:val="single" w:sz="4" w:space="0" w:color="000000"/>
              <w:bottom w:val="single" w:sz="4" w:space="0" w:color="000000"/>
            </w:tcBorders>
          </w:tcPr>
          <w:p w14:paraId="4BA806E1" w14:textId="77777777" w:rsidR="001C08A5" w:rsidRDefault="00000000">
            <w:pPr>
              <w:jc w:val="center"/>
              <w:rPr>
                <w:b/>
                <w:bCs/>
                <w:i/>
                <w:iCs/>
                <w:sz w:val="22"/>
                <w:szCs w:val="22"/>
              </w:rPr>
            </w:pPr>
            <w:r>
              <w:rPr>
                <w:b/>
                <w:bCs/>
                <w:i/>
                <w:iCs/>
                <w:sz w:val="22"/>
                <w:szCs w:val="22"/>
              </w:rPr>
              <w:t>8</w:t>
            </w:r>
          </w:p>
        </w:tc>
        <w:tc>
          <w:tcPr>
            <w:tcW w:w="2027" w:type="dxa"/>
            <w:vMerge/>
            <w:tcBorders>
              <w:top w:val="single" w:sz="4" w:space="0" w:color="000000"/>
              <w:left w:val="single" w:sz="4" w:space="0" w:color="000000"/>
              <w:bottom w:val="single" w:sz="4" w:space="0" w:color="000000"/>
              <w:right w:val="single" w:sz="4" w:space="0" w:color="000000"/>
            </w:tcBorders>
          </w:tcPr>
          <w:p w14:paraId="081CC833" w14:textId="77777777" w:rsidR="001C08A5" w:rsidRDefault="001C08A5">
            <w:pPr>
              <w:snapToGrid w:val="0"/>
              <w:jc w:val="center"/>
              <w:rPr>
                <w:i/>
                <w:iCs/>
                <w:sz w:val="22"/>
                <w:szCs w:val="22"/>
              </w:rPr>
            </w:pPr>
          </w:p>
        </w:tc>
      </w:tr>
      <w:tr w:rsidR="001C08A5" w14:paraId="5696F12B" w14:textId="77777777">
        <w:tc>
          <w:tcPr>
            <w:tcW w:w="641" w:type="dxa"/>
            <w:vMerge w:val="restart"/>
            <w:tcBorders>
              <w:top w:val="single" w:sz="4" w:space="0" w:color="000000"/>
              <w:left w:val="single" w:sz="4" w:space="0" w:color="000000"/>
              <w:bottom w:val="single" w:sz="4" w:space="0" w:color="000000"/>
            </w:tcBorders>
          </w:tcPr>
          <w:p w14:paraId="4AE4CD81" w14:textId="77777777" w:rsidR="001C08A5" w:rsidRDefault="001C08A5">
            <w:pPr>
              <w:snapToGrid w:val="0"/>
              <w:jc w:val="center"/>
              <w:rPr>
                <w:i/>
                <w:iCs/>
                <w:sz w:val="22"/>
                <w:szCs w:val="22"/>
              </w:rPr>
            </w:pPr>
          </w:p>
          <w:p w14:paraId="46ACA0CF" w14:textId="77777777" w:rsidR="001C08A5" w:rsidRDefault="00000000">
            <w:pPr>
              <w:rPr>
                <w:i/>
                <w:iCs/>
                <w:sz w:val="22"/>
                <w:szCs w:val="22"/>
              </w:rPr>
            </w:pPr>
            <w:r>
              <w:rPr>
                <w:i/>
                <w:iCs/>
                <w:sz w:val="22"/>
                <w:szCs w:val="22"/>
              </w:rPr>
              <w:t>2.</w:t>
            </w:r>
          </w:p>
        </w:tc>
        <w:tc>
          <w:tcPr>
            <w:tcW w:w="1829" w:type="dxa"/>
            <w:vMerge w:val="restart"/>
            <w:tcBorders>
              <w:top w:val="single" w:sz="4" w:space="0" w:color="000000"/>
              <w:left w:val="single" w:sz="4" w:space="0" w:color="000000"/>
              <w:bottom w:val="single" w:sz="4" w:space="0" w:color="000000"/>
            </w:tcBorders>
          </w:tcPr>
          <w:p w14:paraId="67A201F5" w14:textId="77777777" w:rsidR="001C08A5" w:rsidRDefault="001C08A5">
            <w:pPr>
              <w:snapToGrid w:val="0"/>
              <w:jc w:val="center"/>
              <w:rPr>
                <w:i/>
                <w:iCs/>
                <w:sz w:val="22"/>
                <w:szCs w:val="22"/>
              </w:rPr>
            </w:pPr>
          </w:p>
          <w:p w14:paraId="4D320F43" w14:textId="77777777" w:rsidR="001C08A5" w:rsidRDefault="00000000">
            <w:pPr>
              <w:jc w:val="center"/>
              <w:rPr>
                <w:i/>
                <w:iCs/>
                <w:sz w:val="22"/>
                <w:szCs w:val="22"/>
              </w:rPr>
            </w:pPr>
            <w:r>
              <w:rPr>
                <w:i/>
                <w:iCs/>
                <w:sz w:val="22"/>
                <w:szCs w:val="22"/>
              </w:rPr>
              <w:t>Învăţământ superior, camine studentesti.</w:t>
            </w:r>
          </w:p>
          <w:p w14:paraId="14804F77" w14:textId="77777777" w:rsidR="001C08A5" w:rsidRDefault="001C08A5">
            <w:pPr>
              <w:jc w:val="center"/>
              <w:rPr>
                <w:i/>
                <w:iCs/>
                <w:sz w:val="22"/>
                <w:szCs w:val="22"/>
              </w:rPr>
            </w:pPr>
          </w:p>
        </w:tc>
        <w:tc>
          <w:tcPr>
            <w:tcW w:w="1392" w:type="dxa"/>
            <w:tcBorders>
              <w:top w:val="single" w:sz="4" w:space="0" w:color="000000"/>
              <w:left w:val="single" w:sz="4" w:space="0" w:color="000000"/>
              <w:bottom w:val="single" w:sz="4" w:space="0" w:color="000000"/>
            </w:tcBorders>
          </w:tcPr>
          <w:p w14:paraId="19753EB5" w14:textId="77777777" w:rsidR="001C08A5" w:rsidRDefault="00000000">
            <w:pPr>
              <w:jc w:val="center"/>
              <w:rPr>
                <w:i/>
                <w:iCs/>
                <w:sz w:val="22"/>
                <w:szCs w:val="22"/>
              </w:rPr>
            </w:pPr>
            <w:r>
              <w:rPr>
                <w:b/>
                <w:i/>
                <w:iCs/>
                <w:sz w:val="22"/>
                <w:szCs w:val="22"/>
              </w:rPr>
              <w:t>I</w:t>
            </w:r>
          </w:p>
        </w:tc>
        <w:tc>
          <w:tcPr>
            <w:tcW w:w="1838" w:type="dxa"/>
            <w:tcBorders>
              <w:top w:val="single" w:sz="4" w:space="0" w:color="000000"/>
              <w:left w:val="single" w:sz="4" w:space="0" w:color="000000"/>
              <w:bottom w:val="single" w:sz="4" w:space="0" w:color="000000"/>
            </w:tcBorders>
          </w:tcPr>
          <w:p w14:paraId="41F35B41" w14:textId="77777777" w:rsidR="001C08A5" w:rsidRDefault="00000000">
            <w:pPr>
              <w:jc w:val="center"/>
              <w:rPr>
                <w:b/>
                <w:bCs/>
                <w:i/>
                <w:iCs/>
                <w:sz w:val="22"/>
                <w:szCs w:val="22"/>
              </w:rPr>
            </w:pPr>
            <w:r>
              <w:rPr>
                <w:b/>
                <w:bCs/>
                <w:i/>
                <w:iCs/>
                <w:sz w:val="22"/>
                <w:szCs w:val="22"/>
              </w:rPr>
              <w:t>50</w:t>
            </w:r>
          </w:p>
        </w:tc>
        <w:tc>
          <w:tcPr>
            <w:tcW w:w="1823" w:type="dxa"/>
            <w:gridSpan w:val="2"/>
            <w:tcBorders>
              <w:top w:val="single" w:sz="4" w:space="0" w:color="000000"/>
              <w:left w:val="single" w:sz="4" w:space="0" w:color="000000"/>
              <w:bottom w:val="single" w:sz="4" w:space="0" w:color="000000"/>
            </w:tcBorders>
          </w:tcPr>
          <w:p w14:paraId="30009A9D" w14:textId="77777777" w:rsidR="001C08A5" w:rsidRDefault="00000000">
            <w:pPr>
              <w:jc w:val="center"/>
              <w:rPr>
                <w:b/>
                <w:bCs/>
                <w:i/>
                <w:iCs/>
                <w:sz w:val="22"/>
                <w:szCs w:val="22"/>
              </w:rPr>
            </w:pPr>
            <w:r>
              <w:rPr>
                <w:b/>
                <w:bCs/>
                <w:i/>
                <w:iCs/>
                <w:sz w:val="22"/>
                <w:szCs w:val="22"/>
              </w:rPr>
              <w:t>25</w:t>
            </w:r>
          </w:p>
        </w:tc>
        <w:tc>
          <w:tcPr>
            <w:tcW w:w="2027" w:type="dxa"/>
            <w:vMerge w:val="restart"/>
            <w:tcBorders>
              <w:top w:val="single" w:sz="4" w:space="0" w:color="000000"/>
              <w:left w:val="single" w:sz="4" w:space="0" w:color="000000"/>
              <w:bottom w:val="single" w:sz="4" w:space="0" w:color="000000"/>
              <w:right w:val="single" w:sz="4" w:space="0" w:color="000000"/>
            </w:tcBorders>
          </w:tcPr>
          <w:p w14:paraId="22385640" w14:textId="77777777" w:rsidR="001C08A5" w:rsidRDefault="001C08A5">
            <w:pPr>
              <w:snapToGrid w:val="0"/>
              <w:jc w:val="center"/>
              <w:rPr>
                <w:i/>
                <w:iCs/>
                <w:sz w:val="22"/>
                <w:szCs w:val="22"/>
              </w:rPr>
            </w:pPr>
          </w:p>
          <w:p w14:paraId="6651873A" w14:textId="77777777" w:rsidR="001C08A5" w:rsidRDefault="001C08A5">
            <w:pPr>
              <w:snapToGrid w:val="0"/>
              <w:jc w:val="center"/>
              <w:rPr>
                <w:i/>
                <w:iCs/>
                <w:sz w:val="22"/>
                <w:szCs w:val="22"/>
              </w:rPr>
            </w:pPr>
          </w:p>
          <w:p w14:paraId="60BD9BD4" w14:textId="77777777" w:rsidR="001C08A5" w:rsidRDefault="001C08A5">
            <w:pPr>
              <w:snapToGrid w:val="0"/>
              <w:jc w:val="center"/>
              <w:rPr>
                <w:i/>
                <w:iCs/>
                <w:sz w:val="22"/>
                <w:szCs w:val="22"/>
              </w:rPr>
            </w:pPr>
          </w:p>
          <w:p w14:paraId="650FF319" w14:textId="77777777" w:rsidR="001C08A5" w:rsidRDefault="001C08A5">
            <w:pPr>
              <w:jc w:val="center"/>
              <w:rPr>
                <w:i/>
                <w:iCs/>
                <w:sz w:val="22"/>
                <w:szCs w:val="22"/>
              </w:rPr>
            </w:pPr>
          </w:p>
          <w:p w14:paraId="2FEDF32E" w14:textId="77777777" w:rsidR="001C08A5" w:rsidRDefault="00000000">
            <w:pPr>
              <w:jc w:val="center"/>
              <w:rPr>
                <w:i/>
                <w:iCs/>
                <w:sz w:val="22"/>
                <w:szCs w:val="22"/>
              </w:rPr>
            </w:pPr>
            <w:r>
              <w:rPr>
                <w:i/>
                <w:iCs/>
                <w:sz w:val="22"/>
                <w:szCs w:val="22"/>
              </w:rPr>
              <w:t>-</w:t>
            </w:r>
          </w:p>
        </w:tc>
      </w:tr>
      <w:tr w:rsidR="001C08A5" w14:paraId="30834142" w14:textId="77777777">
        <w:tc>
          <w:tcPr>
            <w:tcW w:w="641" w:type="dxa"/>
            <w:vMerge/>
            <w:tcBorders>
              <w:top w:val="single" w:sz="4" w:space="0" w:color="000000"/>
              <w:left w:val="single" w:sz="4" w:space="0" w:color="000000"/>
              <w:bottom w:val="single" w:sz="4" w:space="0" w:color="000000"/>
            </w:tcBorders>
          </w:tcPr>
          <w:p w14:paraId="77AEE711" w14:textId="77777777" w:rsidR="001C08A5" w:rsidRDefault="001C08A5">
            <w:pPr>
              <w:snapToGrid w:val="0"/>
              <w:jc w:val="center"/>
              <w:rPr>
                <w:i/>
                <w:iCs/>
                <w:sz w:val="22"/>
                <w:szCs w:val="22"/>
              </w:rPr>
            </w:pPr>
          </w:p>
        </w:tc>
        <w:tc>
          <w:tcPr>
            <w:tcW w:w="1829" w:type="dxa"/>
            <w:vMerge/>
            <w:tcBorders>
              <w:top w:val="single" w:sz="4" w:space="0" w:color="000000"/>
              <w:left w:val="single" w:sz="4" w:space="0" w:color="000000"/>
              <w:bottom w:val="single" w:sz="4" w:space="0" w:color="000000"/>
            </w:tcBorders>
          </w:tcPr>
          <w:p w14:paraId="0BE37F53" w14:textId="77777777" w:rsidR="001C08A5" w:rsidRDefault="001C08A5">
            <w:pPr>
              <w:snapToGrid w:val="0"/>
              <w:jc w:val="center"/>
              <w:rPr>
                <w:i/>
                <w:iCs/>
                <w:sz w:val="22"/>
                <w:szCs w:val="22"/>
              </w:rPr>
            </w:pPr>
          </w:p>
        </w:tc>
        <w:tc>
          <w:tcPr>
            <w:tcW w:w="1392" w:type="dxa"/>
            <w:tcBorders>
              <w:top w:val="single" w:sz="4" w:space="0" w:color="000000"/>
              <w:left w:val="single" w:sz="4" w:space="0" w:color="000000"/>
              <w:bottom w:val="single" w:sz="4" w:space="0" w:color="000000"/>
            </w:tcBorders>
          </w:tcPr>
          <w:p w14:paraId="31984847" w14:textId="77777777" w:rsidR="001C08A5" w:rsidRDefault="00000000">
            <w:pPr>
              <w:jc w:val="center"/>
              <w:rPr>
                <w:i/>
                <w:iCs/>
                <w:sz w:val="22"/>
                <w:szCs w:val="22"/>
              </w:rPr>
            </w:pPr>
            <w:r>
              <w:rPr>
                <w:b/>
                <w:i/>
                <w:iCs/>
                <w:sz w:val="22"/>
                <w:szCs w:val="22"/>
              </w:rPr>
              <w:t>II</w:t>
            </w:r>
          </w:p>
        </w:tc>
        <w:tc>
          <w:tcPr>
            <w:tcW w:w="1838" w:type="dxa"/>
            <w:tcBorders>
              <w:top w:val="single" w:sz="4" w:space="0" w:color="000000"/>
              <w:left w:val="single" w:sz="4" w:space="0" w:color="000000"/>
              <w:bottom w:val="single" w:sz="4" w:space="0" w:color="000000"/>
            </w:tcBorders>
          </w:tcPr>
          <w:p w14:paraId="3A199D51" w14:textId="77777777" w:rsidR="001C08A5" w:rsidRDefault="00000000">
            <w:pPr>
              <w:jc w:val="center"/>
              <w:rPr>
                <w:b/>
                <w:bCs/>
                <w:i/>
                <w:iCs/>
                <w:sz w:val="22"/>
                <w:szCs w:val="22"/>
              </w:rPr>
            </w:pPr>
            <w:r>
              <w:rPr>
                <w:b/>
                <w:bCs/>
                <w:i/>
                <w:iCs/>
                <w:sz w:val="22"/>
                <w:szCs w:val="22"/>
              </w:rPr>
              <w:t>40</w:t>
            </w:r>
          </w:p>
        </w:tc>
        <w:tc>
          <w:tcPr>
            <w:tcW w:w="1823" w:type="dxa"/>
            <w:gridSpan w:val="2"/>
            <w:tcBorders>
              <w:top w:val="single" w:sz="4" w:space="0" w:color="000000"/>
              <w:left w:val="single" w:sz="4" w:space="0" w:color="000000"/>
              <w:bottom w:val="single" w:sz="4" w:space="0" w:color="000000"/>
            </w:tcBorders>
          </w:tcPr>
          <w:p w14:paraId="03B4F7E2" w14:textId="77777777" w:rsidR="001C08A5" w:rsidRDefault="00000000">
            <w:pPr>
              <w:jc w:val="center"/>
              <w:rPr>
                <w:b/>
                <w:bCs/>
                <w:i/>
                <w:iCs/>
                <w:sz w:val="22"/>
                <w:szCs w:val="22"/>
              </w:rPr>
            </w:pPr>
            <w:r>
              <w:rPr>
                <w:b/>
                <w:bCs/>
                <w:i/>
                <w:iCs/>
                <w:sz w:val="22"/>
                <w:szCs w:val="22"/>
              </w:rPr>
              <w:t>20</w:t>
            </w:r>
          </w:p>
        </w:tc>
        <w:tc>
          <w:tcPr>
            <w:tcW w:w="2027" w:type="dxa"/>
            <w:vMerge/>
            <w:tcBorders>
              <w:top w:val="single" w:sz="4" w:space="0" w:color="000000"/>
              <w:left w:val="single" w:sz="4" w:space="0" w:color="000000"/>
              <w:bottom w:val="single" w:sz="4" w:space="0" w:color="000000"/>
              <w:right w:val="single" w:sz="4" w:space="0" w:color="000000"/>
            </w:tcBorders>
          </w:tcPr>
          <w:p w14:paraId="50964934" w14:textId="77777777" w:rsidR="001C08A5" w:rsidRDefault="001C08A5">
            <w:pPr>
              <w:snapToGrid w:val="0"/>
              <w:jc w:val="center"/>
              <w:rPr>
                <w:i/>
                <w:iCs/>
                <w:sz w:val="22"/>
                <w:szCs w:val="22"/>
              </w:rPr>
            </w:pPr>
          </w:p>
        </w:tc>
      </w:tr>
      <w:tr w:rsidR="001C08A5" w14:paraId="1E93D27E" w14:textId="77777777">
        <w:tc>
          <w:tcPr>
            <w:tcW w:w="641" w:type="dxa"/>
            <w:vMerge/>
            <w:tcBorders>
              <w:top w:val="single" w:sz="4" w:space="0" w:color="000000"/>
              <w:left w:val="single" w:sz="4" w:space="0" w:color="000000"/>
              <w:bottom w:val="single" w:sz="4" w:space="0" w:color="000000"/>
            </w:tcBorders>
          </w:tcPr>
          <w:p w14:paraId="366B53FF" w14:textId="77777777" w:rsidR="001C08A5" w:rsidRDefault="001C08A5">
            <w:pPr>
              <w:snapToGrid w:val="0"/>
              <w:rPr>
                <w:i/>
                <w:iCs/>
                <w:sz w:val="22"/>
                <w:szCs w:val="22"/>
              </w:rPr>
            </w:pPr>
          </w:p>
        </w:tc>
        <w:tc>
          <w:tcPr>
            <w:tcW w:w="1829" w:type="dxa"/>
            <w:vMerge/>
            <w:tcBorders>
              <w:top w:val="single" w:sz="4" w:space="0" w:color="000000"/>
              <w:left w:val="single" w:sz="4" w:space="0" w:color="000000"/>
              <w:bottom w:val="single" w:sz="4" w:space="0" w:color="000000"/>
            </w:tcBorders>
          </w:tcPr>
          <w:p w14:paraId="4E82415E" w14:textId="77777777" w:rsidR="001C08A5" w:rsidRDefault="001C08A5">
            <w:pPr>
              <w:snapToGrid w:val="0"/>
              <w:rPr>
                <w:i/>
                <w:iCs/>
                <w:sz w:val="22"/>
                <w:szCs w:val="22"/>
              </w:rPr>
            </w:pPr>
          </w:p>
        </w:tc>
        <w:tc>
          <w:tcPr>
            <w:tcW w:w="1392" w:type="dxa"/>
            <w:tcBorders>
              <w:top w:val="single" w:sz="4" w:space="0" w:color="000000"/>
              <w:left w:val="single" w:sz="4" w:space="0" w:color="000000"/>
              <w:bottom w:val="single" w:sz="4" w:space="0" w:color="000000"/>
            </w:tcBorders>
          </w:tcPr>
          <w:p w14:paraId="761283EB" w14:textId="77777777" w:rsidR="001C08A5" w:rsidRDefault="00000000">
            <w:pPr>
              <w:jc w:val="center"/>
              <w:rPr>
                <w:i/>
                <w:iCs/>
                <w:sz w:val="22"/>
                <w:szCs w:val="22"/>
              </w:rPr>
            </w:pPr>
            <w:r>
              <w:rPr>
                <w:b/>
                <w:i/>
                <w:iCs/>
                <w:sz w:val="22"/>
                <w:szCs w:val="22"/>
              </w:rPr>
              <w:t>III</w:t>
            </w:r>
          </w:p>
        </w:tc>
        <w:tc>
          <w:tcPr>
            <w:tcW w:w="1838" w:type="dxa"/>
            <w:tcBorders>
              <w:top w:val="single" w:sz="4" w:space="0" w:color="000000"/>
              <w:left w:val="single" w:sz="4" w:space="0" w:color="000000"/>
              <w:bottom w:val="single" w:sz="4" w:space="0" w:color="000000"/>
            </w:tcBorders>
          </w:tcPr>
          <w:p w14:paraId="3F5BC73B" w14:textId="77777777" w:rsidR="001C08A5" w:rsidRDefault="00000000">
            <w:pPr>
              <w:jc w:val="center"/>
              <w:rPr>
                <w:b/>
                <w:bCs/>
                <w:i/>
                <w:iCs/>
                <w:sz w:val="22"/>
                <w:szCs w:val="22"/>
              </w:rPr>
            </w:pPr>
            <w:r>
              <w:rPr>
                <w:b/>
                <w:bCs/>
                <w:i/>
                <w:iCs/>
                <w:sz w:val="22"/>
                <w:szCs w:val="22"/>
              </w:rPr>
              <w:t>30</w:t>
            </w:r>
          </w:p>
        </w:tc>
        <w:tc>
          <w:tcPr>
            <w:tcW w:w="1823" w:type="dxa"/>
            <w:gridSpan w:val="2"/>
            <w:tcBorders>
              <w:top w:val="single" w:sz="4" w:space="0" w:color="000000"/>
              <w:left w:val="single" w:sz="4" w:space="0" w:color="000000"/>
              <w:bottom w:val="single" w:sz="4" w:space="0" w:color="000000"/>
            </w:tcBorders>
          </w:tcPr>
          <w:p w14:paraId="3EF6FBD3" w14:textId="77777777" w:rsidR="001C08A5" w:rsidRDefault="00000000">
            <w:pPr>
              <w:jc w:val="center"/>
              <w:rPr>
                <w:b/>
                <w:bCs/>
                <w:i/>
                <w:iCs/>
                <w:sz w:val="22"/>
                <w:szCs w:val="22"/>
              </w:rPr>
            </w:pPr>
            <w:r>
              <w:rPr>
                <w:b/>
                <w:bCs/>
                <w:i/>
                <w:iCs/>
                <w:sz w:val="22"/>
                <w:szCs w:val="22"/>
              </w:rPr>
              <w:t>15</w:t>
            </w:r>
          </w:p>
        </w:tc>
        <w:tc>
          <w:tcPr>
            <w:tcW w:w="2027" w:type="dxa"/>
            <w:vMerge/>
            <w:tcBorders>
              <w:top w:val="single" w:sz="4" w:space="0" w:color="000000"/>
              <w:left w:val="single" w:sz="4" w:space="0" w:color="000000"/>
              <w:bottom w:val="single" w:sz="4" w:space="0" w:color="000000"/>
              <w:right w:val="single" w:sz="4" w:space="0" w:color="000000"/>
            </w:tcBorders>
          </w:tcPr>
          <w:p w14:paraId="24279BE1" w14:textId="77777777" w:rsidR="001C08A5" w:rsidRDefault="001C08A5">
            <w:pPr>
              <w:snapToGrid w:val="0"/>
              <w:jc w:val="center"/>
              <w:rPr>
                <w:i/>
                <w:iCs/>
                <w:sz w:val="22"/>
                <w:szCs w:val="22"/>
              </w:rPr>
            </w:pPr>
          </w:p>
        </w:tc>
      </w:tr>
      <w:tr w:rsidR="001C08A5" w14:paraId="5CE207BE" w14:textId="77777777">
        <w:tc>
          <w:tcPr>
            <w:tcW w:w="641" w:type="dxa"/>
            <w:vMerge/>
            <w:tcBorders>
              <w:top w:val="single" w:sz="4" w:space="0" w:color="000000"/>
              <w:left w:val="single" w:sz="4" w:space="0" w:color="000000"/>
              <w:bottom w:val="single" w:sz="4" w:space="0" w:color="000000"/>
            </w:tcBorders>
          </w:tcPr>
          <w:p w14:paraId="27FEF7C1" w14:textId="77777777" w:rsidR="001C08A5" w:rsidRDefault="001C08A5">
            <w:pPr>
              <w:snapToGrid w:val="0"/>
              <w:rPr>
                <w:i/>
                <w:iCs/>
                <w:sz w:val="22"/>
                <w:szCs w:val="22"/>
              </w:rPr>
            </w:pPr>
          </w:p>
        </w:tc>
        <w:tc>
          <w:tcPr>
            <w:tcW w:w="1829" w:type="dxa"/>
            <w:vMerge/>
            <w:tcBorders>
              <w:top w:val="single" w:sz="4" w:space="0" w:color="000000"/>
              <w:left w:val="single" w:sz="4" w:space="0" w:color="000000"/>
              <w:bottom w:val="single" w:sz="4" w:space="0" w:color="000000"/>
            </w:tcBorders>
          </w:tcPr>
          <w:p w14:paraId="7B7361A1" w14:textId="77777777" w:rsidR="001C08A5" w:rsidRDefault="001C08A5">
            <w:pPr>
              <w:snapToGrid w:val="0"/>
              <w:rPr>
                <w:i/>
                <w:iCs/>
                <w:sz w:val="22"/>
                <w:szCs w:val="22"/>
              </w:rPr>
            </w:pPr>
          </w:p>
        </w:tc>
        <w:tc>
          <w:tcPr>
            <w:tcW w:w="1392" w:type="dxa"/>
            <w:tcBorders>
              <w:top w:val="single" w:sz="4" w:space="0" w:color="000000"/>
              <w:left w:val="single" w:sz="4" w:space="0" w:color="000000"/>
              <w:bottom w:val="single" w:sz="4" w:space="0" w:color="000000"/>
            </w:tcBorders>
          </w:tcPr>
          <w:p w14:paraId="14755860" w14:textId="77777777" w:rsidR="001C08A5" w:rsidRDefault="00000000">
            <w:pPr>
              <w:jc w:val="center"/>
              <w:rPr>
                <w:i/>
                <w:iCs/>
                <w:sz w:val="22"/>
                <w:szCs w:val="22"/>
              </w:rPr>
            </w:pPr>
            <w:r>
              <w:rPr>
                <w:b/>
                <w:i/>
                <w:iCs/>
                <w:sz w:val="22"/>
                <w:szCs w:val="22"/>
              </w:rPr>
              <w:t>IV</w:t>
            </w:r>
          </w:p>
        </w:tc>
        <w:tc>
          <w:tcPr>
            <w:tcW w:w="1838" w:type="dxa"/>
            <w:tcBorders>
              <w:top w:val="single" w:sz="4" w:space="0" w:color="000000"/>
              <w:left w:val="single" w:sz="4" w:space="0" w:color="000000"/>
              <w:bottom w:val="single" w:sz="4" w:space="0" w:color="000000"/>
            </w:tcBorders>
          </w:tcPr>
          <w:p w14:paraId="74CC0A27" w14:textId="77777777" w:rsidR="001C08A5" w:rsidRDefault="00000000">
            <w:pPr>
              <w:jc w:val="center"/>
              <w:rPr>
                <w:b/>
                <w:bCs/>
                <w:i/>
                <w:iCs/>
                <w:sz w:val="22"/>
                <w:szCs w:val="22"/>
              </w:rPr>
            </w:pPr>
            <w:r>
              <w:rPr>
                <w:b/>
                <w:bCs/>
                <w:i/>
                <w:iCs/>
                <w:sz w:val="22"/>
                <w:szCs w:val="22"/>
              </w:rPr>
              <w:t>20</w:t>
            </w:r>
          </w:p>
        </w:tc>
        <w:tc>
          <w:tcPr>
            <w:tcW w:w="1823" w:type="dxa"/>
            <w:gridSpan w:val="2"/>
            <w:tcBorders>
              <w:top w:val="single" w:sz="4" w:space="0" w:color="000000"/>
              <w:left w:val="single" w:sz="4" w:space="0" w:color="000000"/>
              <w:bottom w:val="single" w:sz="4" w:space="0" w:color="000000"/>
            </w:tcBorders>
          </w:tcPr>
          <w:p w14:paraId="52AE6B9C" w14:textId="77777777" w:rsidR="001C08A5" w:rsidRDefault="00000000">
            <w:pPr>
              <w:jc w:val="center"/>
              <w:rPr>
                <w:b/>
                <w:bCs/>
                <w:i/>
                <w:iCs/>
                <w:sz w:val="22"/>
                <w:szCs w:val="22"/>
              </w:rPr>
            </w:pPr>
            <w:r>
              <w:rPr>
                <w:b/>
                <w:bCs/>
                <w:i/>
                <w:iCs/>
                <w:sz w:val="22"/>
                <w:szCs w:val="22"/>
              </w:rPr>
              <w:t>12</w:t>
            </w:r>
          </w:p>
        </w:tc>
        <w:tc>
          <w:tcPr>
            <w:tcW w:w="2027" w:type="dxa"/>
            <w:vMerge/>
            <w:tcBorders>
              <w:top w:val="single" w:sz="4" w:space="0" w:color="000000"/>
              <w:left w:val="single" w:sz="4" w:space="0" w:color="000000"/>
              <w:bottom w:val="single" w:sz="4" w:space="0" w:color="000000"/>
              <w:right w:val="single" w:sz="4" w:space="0" w:color="000000"/>
            </w:tcBorders>
          </w:tcPr>
          <w:p w14:paraId="086319D0" w14:textId="77777777" w:rsidR="001C08A5" w:rsidRDefault="001C08A5">
            <w:pPr>
              <w:snapToGrid w:val="0"/>
              <w:jc w:val="center"/>
              <w:rPr>
                <w:i/>
                <w:iCs/>
                <w:sz w:val="22"/>
                <w:szCs w:val="22"/>
              </w:rPr>
            </w:pPr>
          </w:p>
        </w:tc>
      </w:tr>
      <w:tr w:rsidR="001C08A5" w14:paraId="6EE2EF00" w14:textId="77777777">
        <w:tc>
          <w:tcPr>
            <w:tcW w:w="641" w:type="dxa"/>
            <w:vMerge/>
            <w:tcBorders>
              <w:top w:val="single" w:sz="4" w:space="0" w:color="000000"/>
              <w:left w:val="single" w:sz="4" w:space="0" w:color="000000"/>
              <w:bottom w:val="single" w:sz="4" w:space="0" w:color="000000"/>
            </w:tcBorders>
          </w:tcPr>
          <w:p w14:paraId="664FF34A" w14:textId="77777777" w:rsidR="001C08A5" w:rsidRDefault="001C08A5">
            <w:pPr>
              <w:snapToGrid w:val="0"/>
              <w:rPr>
                <w:i/>
                <w:iCs/>
                <w:sz w:val="22"/>
                <w:szCs w:val="22"/>
              </w:rPr>
            </w:pPr>
          </w:p>
        </w:tc>
        <w:tc>
          <w:tcPr>
            <w:tcW w:w="1829" w:type="dxa"/>
            <w:vMerge/>
            <w:tcBorders>
              <w:top w:val="single" w:sz="4" w:space="0" w:color="000000"/>
              <w:left w:val="single" w:sz="4" w:space="0" w:color="000000"/>
              <w:bottom w:val="single" w:sz="4" w:space="0" w:color="000000"/>
            </w:tcBorders>
          </w:tcPr>
          <w:p w14:paraId="243553F9" w14:textId="77777777" w:rsidR="001C08A5" w:rsidRDefault="001C08A5">
            <w:pPr>
              <w:snapToGrid w:val="0"/>
              <w:rPr>
                <w:i/>
                <w:iCs/>
                <w:sz w:val="22"/>
                <w:szCs w:val="22"/>
              </w:rPr>
            </w:pPr>
          </w:p>
        </w:tc>
        <w:tc>
          <w:tcPr>
            <w:tcW w:w="1392" w:type="dxa"/>
            <w:tcBorders>
              <w:top w:val="single" w:sz="4" w:space="0" w:color="000000"/>
              <w:left w:val="single" w:sz="4" w:space="0" w:color="000000"/>
              <w:bottom w:val="single" w:sz="4" w:space="0" w:color="000000"/>
            </w:tcBorders>
          </w:tcPr>
          <w:p w14:paraId="2CE33520" w14:textId="77777777" w:rsidR="001C08A5" w:rsidRDefault="00000000">
            <w:pPr>
              <w:jc w:val="center"/>
              <w:rPr>
                <w:i/>
                <w:iCs/>
                <w:sz w:val="22"/>
                <w:szCs w:val="22"/>
              </w:rPr>
            </w:pPr>
            <w:r>
              <w:rPr>
                <w:b/>
                <w:i/>
                <w:iCs/>
                <w:sz w:val="22"/>
                <w:szCs w:val="22"/>
              </w:rPr>
              <w:t>V</w:t>
            </w:r>
          </w:p>
        </w:tc>
        <w:tc>
          <w:tcPr>
            <w:tcW w:w="1838" w:type="dxa"/>
            <w:tcBorders>
              <w:top w:val="single" w:sz="4" w:space="0" w:color="000000"/>
              <w:left w:val="single" w:sz="4" w:space="0" w:color="000000"/>
              <w:bottom w:val="single" w:sz="4" w:space="0" w:color="000000"/>
            </w:tcBorders>
          </w:tcPr>
          <w:p w14:paraId="2379D2E9" w14:textId="77777777" w:rsidR="001C08A5" w:rsidRDefault="00000000">
            <w:pPr>
              <w:jc w:val="center"/>
              <w:rPr>
                <w:b/>
                <w:bCs/>
                <w:i/>
                <w:iCs/>
                <w:sz w:val="22"/>
                <w:szCs w:val="22"/>
              </w:rPr>
            </w:pPr>
            <w:r>
              <w:rPr>
                <w:b/>
                <w:bCs/>
                <w:i/>
                <w:iCs/>
                <w:sz w:val="22"/>
                <w:szCs w:val="22"/>
              </w:rPr>
              <w:t>15</w:t>
            </w:r>
          </w:p>
        </w:tc>
        <w:tc>
          <w:tcPr>
            <w:tcW w:w="1823" w:type="dxa"/>
            <w:gridSpan w:val="2"/>
            <w:tcBorders>
              <w:top w:val="single" w:sz="4" w:space="0" w:color="000000"/>
              <w:left w:val="single" w:sz="4" w:space="0" w:color="000000"/>
              <w:bottom w:val="single" w:sz="4" w:space="0" w:color="000000"/>
            </w:tcBorders>
          </w:tcPr>
          <w:p w14:paraId="139CF6A9" w14:textId="77777777" w:rsidR="001C08A5" w:rsidRDefault="00000000">
            <w:pPr>
              <w:jc w:val="center"/>
              <w:rPr>
                <w:b/>
                <w:bCs/>
                <w:i/>
                <w:iCs/>
                <w:sz w:val="22"/>
                <w:szCs w:val="22"/>
              </w:rPr>
            </w:pPr>
            <w:r>
              <w:rPr>
                <w:b/>
                <w:bCs/>
                <w:i/>
                <w:iCs/>
                <w:sz w:val="22"/>
                <w:szCs w:val="22"/>
              </w:rPr>
              <w:t>10</w:t>
            </w:r>
          </w:p>
        </w:tc>
        <w:tc>
          <w:tcPr>
            <w:tcW w:w="2027" w:type="dxa"/>
            <w:vMerge/>
            <w:tcBorders>
              <w:top w:val="single" w:sz="4" w:space="0" w:color="000000"/>
              <w:left w:val="single" w:sz="4" w:space="0" w:color="000000"/>
              <w:bottom w:val="single" w:sz="4" w:space="0" w:color="000000"/>
              <w:right w:val="single" w:sz="4" w:space="0" w:color="000000"/>
            </w:tcBorders>
          </w:tcPr>
          <w:p w14:paraId="07AF65D9" w14:textId="77777777" w:rsidR="001C08A5" w:rsidRDefault="001C08A5">
            <w:pPr>
              <w:snapToGrid w:val="0"/>
              <w:jc w:val="center"/>
              <w:rPr>
                <w:i/>
                <w:iCs/>
                <w:sz w:val="22"/>
                <w:szCs w:val="22"/>
              </w:rPr>
            </w:pPr>
          </w:p>
        </w:tc>
      </w:tr>
    </w:tbl>
    <w:p w14:paraId="12F7C38C" w14:textId="77777777" w:rsidR="001C08A5" w:rsidRDefault="001C08A5">
      <w:pPr>
        <w:jc w:val="both"/>
        <w:rPr>
          <w:b/>
          <w:sz w:val="24"/>
          <w:szCs w:val="24"/>
        </w:rPr>
      </w:pPr>
    </w:p>
    <w:p w14:paraId="46157EBE" w14:textId="77777777" w:rsidR="001C08A5" w:rsidRDefault="00000000">
      <w:pPr>
        <w:ind w:firstLine="567"/>
        <w:jc w:val="both"/>
        <w:rPr>
          <w:sz w:val="24"/>
          <w:szCs w:val="24"/>
        </w:rPr>
      </w:pPr>
      <w:r>
        <w:rPr>
          <w:b/>
          <w:sz w:val="24"/>
          <w:szCs w:val="24"/>
        </w:rPr>
        <w:t xml:space="preserve">Art. </w:t>
      </w:r>
      <w:r>
        <w:rPr>
          <w:b/>
          <w:bCs/>
          <w:sz w:val="24"/>
          <w:szCs w:val="24"/>
        </w:rPr>
        <w:t>3.2.6.</w:t>
      </w:r>
      <w:r>
        <w:rPr>
          <w:b/>
          <w:sz w:val="24"/>
          <w:szCs w:val="24"/>
        </w:rPr>
        <w:t xml:space="preserve">12. (1) </w:t>
      </w:r>
      <w:r>
        <w:rPr>
          <w:sz w:val="24"/>
          <w:szCs w:val="24"/>
        </w:rPr>
        <w:t>Construcţiile</w:t>
      </w:r>
      <w:r>
        <w:rPr>
          <w:bCs/>
          <w:sz w:val="24"/>
          <w:szCs w:val="24"/>
        </w:rPr>
        <w:t xml:space="preserve"> pentru învăţământ </w:t>
      </w:r>
      <w:r>
        <w:rPr>
          <w:sz w:val="24"/>
          <w:szCs w:val="24"/>
        </w:rPr>
        <w:t xml:space="preserve">supraterane cu înălţimi obişnuite vor avea asigurat accesul și intervenţia autospecialelor de stingere în caz de incendiu, cel puţin pe o latură </w:t>
      </w:r>
      <w:r>
        <w:rPr>
          <w:rFonts w:eastAsia="Times-Roman"/>
          <w:sz w:val="24"/>
          <w:szCs w:val="24"/>
        </w:rPr>
        <w:t xml:space="preserve">şi, totodată, cel puţin pe </w:t>
      </w:r>
      <w:r>
        <w:rPr>
          <w:rFonts w:eastAsia="Times-Roman"/>
          <w:b/>
          <w:bCs/>
          <w:sz w:val="24"/>
          <w:szCs w:val="24"/>
        </w:rPr>
        <w:t>25%</w:t>
      </w:r>
      <w:r>
        <w:rPr>
          <w:rFonts w:eastAsia="Times-Roman"/>
          <w:sz w:val="24"/>
          <w:szCs w:val="24"/>
        </w:rPr>
        <w:t xml:space="preserve"> din perimetrul pereților exteriori</w:t>
      </w:r>
      <w:r>
        <w:rPr>
          <w:sz w:val="24"/>
          <w:szCs w:val="24"/>
        </w:rPr>
        <w:t xml:space="preserve">, atunci când capacitatea maximă simultană este mai mică de </w:t>
      </w:r>
      <w:r>
        <w:rPr>
          <w:b/>
          <w:bCs/>
          <w:sz w:val="24"/>
          <w:szCs w:val="24"/>
        </w:rPr>
        <w:t>200</w:t>
      </w:r>
      <w:r>
        <w:rPr>
          <w:sz w:val="24"/>
          <w:szCs w:val="24"/>
        </w:rPr>
        <w:t xml:space="preserve"> de utilizatori, iar în cazul în care este mai mare sau egală de </w:t>
      </w:r>
      <w:r>
        <w:rPr>
          <w:b/>
          <w:bCs/>
          <w:sz w:val="24"/>
          <w:szCs w:val="24"/>
        </w:rPr>
        <w:t>200</w:t>
      </w:r>
      <w:r>
        <w:rPr>
          <w:sz w:val="24"/>
          <w:szCs w:val="24"/>
        </w:rPr>
        <w:t xml:space="preserve"> de utilizatori trebuie asigurate căi de acces şi intervenţie a autospecialelor de intervenţie în caz de incendiu pe două laturi  astfel încât să se asigure accesul și intervenţia autospecialelor de stingere în caz de incendiu,  cel puţin </w:t>
      </w:r>
      <w:r>
        <w:rPr>
          <w:bCs/>
          <w:sz w:val="24"/>
          <w:szCs w:val="24"/>
        </w:rPr>
        <w:t xml:space="preserve">integral pe două </w:t>
      </w:r>
      <w:r>
        <w:rPr>
          <w:b/>
          <w:sz w:val="24"/>
          <w:szCs w:val="24"/>
        </w:rPr>
        <w:t>(2)</w:t>
      </w:r>
      <w:r>
        <w:rPr>
          <w:bCs/>
          <w:sz w:val="24"/>
          <w:szCs w:val="24"/>
        </w:rPr>
        <w:t xml:space="preserve"> laturi alăturate </w:t>
      </w:r>
      <w:r>
        <w:rPr>
          <w:rFonts w:eastAsia="Times-Roman"/>
          <w:sz w:val="24"/>
          <w:szCs w:val="24"/>
        </w:rPr>
        <w:t xml:space="preserve">şi, totodată, cel puţin pe </w:t>
      </w:r>
      <w:r>
        <w:rPr>
          <w:rFonts w:eastAsia="Times-Roman"/>
          <w:b/>
          <w:bCs/>
          <w:sz w:val="24"/>
          <w:szCs w:val="24"/>
        </w:rPr>
        <w:t>50%</w:t>
      </w:r>
      <w:r>
        <w:rPr>
          <w:rFonts w:eastAsia="Times-Roman"/>
          <w:sz w:val="24"/>
          <w:szCs w:val="24"/>
        </w:rPr>
        <w:t xml:space="preserve"> din perimetrul pereților exteriori</w:t>
      </w:r>
      <w:r>
        <w:rPr>
          <w:sz w:val="24"/>
          <w:szCs w:val="24"/>
        </w:rPr>
        <w:t>i.</w:t>
      </w:r>
    </w:p>
    <w:p w14:paraId="41AC114C" w14:textId="77777777" w:rsidR="001C08A5" w:rsidRDefault="00000000">
      <w:pPr>
        <w:ind w:firstLine="720"/>
        <w:jc w:val="both"/>
        <w:rPr>
          <w:b/>
          <w:sz w:val="24"/>
          <w:szCs w:val="24"/>
        </w:rPr>
      </w:pPr>
      <w:r>
        <w:rPr>
          <w:b/>
          <w:sz w:val="24"/>
          <w:szCs w:val="24"/>
        </w:rPr>
        <w:t xml:space="preserve">(2) </w:t>
      </w:r>
      <w:r>
        <w:rPr>
          <w:bCs/>
          <w:sz w:val="24"/>
          <w:szCs w:val="24"/>
        </w:rPr>
        <w:t xml:space="preserve">În </w:t>
      </w:r>
      <w:r>
        <w:rPr>
          <w:sz w:val="24"/>
          <w:szCs w:val="24"/>
        </w:rPr>
        <w:t xml:space="preserve">conformitate cu capacitatea maximă simultană a clădirii </w:t>
      </w:r>
      <w:r>
        <w:rPr>
          <w:bCs/>
          <w:sz w:val="24"/>
          <w:szCs w:val="24"/>
        </w:rPr>
        <w:t>pentru învăţământ</w:t>
      </w:r>
      <w:r>
        <w:rPr>
          <w:sz w:val="24"/>
          <w:szCs w:val="24"/>
        </w:rPr>
        <w:t xml:space="preserv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(2) </w:t>
      </w:r>
      <w:r>
        <w:rPr>
          <w:bCs/>
          <w:sz w:val="24"/>
          <w:szCs w:val="24"/>
        </w:rPr>
        <w:t>și</w:t>
      </w:r>
      <w:r>
        <w:rPr>
          <w:b/>
          <w:sz w:val="24"/>
          <w:szCs w:val="24"/>
        </w:rPr>
        <w:t xml:space="preserve"> (3). </w:t>
      </w:r>
    </w:p>
    <w:p w14:paraId="01205506" w14:textId="77777777" w:rsidR="001C08A5" w:rsidRDefault="00000000">
      <w:pPr>
        <w:pStyle w:val="Heading4"/>
      </w:pPr>
      <w:bookmarkStart w:id="3807" w:name="_Toc8432"/>
      <w:bookmarkStart w:id="3808" w:name="_Toc29639"/>
      <w:bookmarkStart w:id="3809" w:name="_Toc22305"/>
      <w:bookmarkStart w:id="3810" w:name="_Toc8466"/>
      <w:bookmarkStart w:id="3811" w:name="_Toc162355295"/>
      <w:bookmarkStart w:id="3812" w:name="_Toc108"/>
      <w:bookmarkStart w:id="3813" w:name="_Toc22591"/>
      <w:bookmarkStart w:id="3814" w:name="_Toc23335"/>
      <w:r>
        <w:t>3.2.7. Clădiri pentru turism supraterane</w:t>
      </w:r>
      <w:bookmarkEnd w:id="3807"/>
      <w:bookmarkEnd w:id="3808"/>
      <w:bookmarkEnd w:id="3809"/>
      <w:bookmarkEnd w:id="3810"/>
      <w:bookmarkEnd w:id="3811"/>
      <w:bookmarkEnd w:id="3812"/>
      <w:bookmarkEnd w:id="3813"/>
      <w:bookmarkEnd w:id="3814"/>
    </w:p>
    <w:p w14:paraId="506A7470" w14:textId="77777777" w:rsidR="001C08A5" w:rsidRDefault="001C08A5">
      <w:pPr>
        <w:jc w:val="both"/>
        <w:rPr>
          <w:b/>
          <w:sz w:val="24"/>
          <w:szCs w:val="24"/>
        </w:rPr>
      </w:pPr>
    </w:p>
    <w:p w14:paraId="1F01BB71" w14:textId="77777777" w:rsidR="001C08A5" w:rsidRDefault="00000000">
      <w:pPr>
        <w:jc w:val="both"/>
        <w:rPr>
          <w:sz w:val="24"/>
          <w:szCs w:val="24"/>
        </w:rPr>
      </w:pPr>
      <w:r>
        <w:rPr>
          <w:b/>
          <w:sz w:val="24"/>
          <w:szCs w:val="24"/>
        </w:rPr>
        <w:tab/>
        <w:t xml:space="preserve">Art. </w:t>
      </w:r>
      <w:r>
        <w:rPr>
          <w:b/>
          <w:bCs/>
          <w:sz w:val="24"/>
          <w:szCs w:val="24"/>
        </w:rPr>
        <w:t xml:space="preserve">3.2.7.1. </w:t>
      </w:r>
      <w:r>
        <w:rPr>
          <w:sz w:val="24"/>
          <w:szCs w:val="24"/>
        </w:rPr>
        <w:t xml:space="preserve">Clădirile </w:t>
      </w:r>
      <w:r>
        <w:rPr>
          <w:bCs/>
          <w:sz w:val="24"/>
          <w:szCs w:val="24"/>
        </w:rPr>
        <w:t>pentru turism supraterane cu înălţimi obişnuite</w:t>
      </w:r>
      <w:r>
        <w:rPr>
          <w:sz w:val="24"/>
          <w:szCs w:val="24"/>
        </w:rPr>
        <w:t xml:space="preserve"> (hoteluri, hosteluri, moteluri, vile, bungalouri, cabane, pensiuni etc.), se vor conforma astfel încât să îndeplinească condiţiile de corelare între destinaţie, nivelul de stabilitate la incendiu asigurat, aria construită (Ac) şi numărul de niveluri, potrivit prevederilor din </w:t>
      </w:r>
      <w:r>
        <w:rPr>
          <w:b/>
          <w:sz w:val="24"/>
          <w:szCs w:val="24"/>
        </w:rPr>
        <w:t xml:space="preserve">Art. </w:t>
      </w:r>
      <w:r>
        <w:rPr>
          <w:b/>
          <w:caps/>
          <w:sz w:val="24"/>
          <w:szCs w:val="24"/>
        </w:rPr>
        <w:t>3.1.2.</w:t>
      </w:r>
      <w:r>
        <w:rPr>
          <w:b/>
          <w:sz w:val="24"/>
          <w:szCs w:val="24"/>
        </w:rPr>
        <w:t>6.</w:t>
      </w:r>
      <w:r>
        <w:rPr>
          <w:sz w:val="24"/>
          <w:szCs w:val="24"/>
        </w:rPr>
        <w:t>,</w:t>
      </w:r>
      <w:r>
        <w:rPr>
          <w:b/>
          <w:sz w:val="24"/>
          <w:szCs w:val="24"/>
        </w:rPr>
        <w:t xml:space="preserve"> Art. </w:t>
      </w:r>
      <w:r>
        <w:rPr>
          <w:b/>
          <w:caps/>
          <w:sz w:val="24"/>
          <w:szCs w:val="24"/>
        </w:rPr>
        <w:t>3.1.2.</w:t>
      </w:r>
      <w:r>
        <w:rPr>
          <w:b/>
          <w:sz w:val="24"/>
          <w:szCs w:val="24"/>
        </w:rPr>
        <w:t xml:space="preserve">7. </w:t>
      </w:r>
      <w:r>
        <w:rPr>
          <w:sz w:val="24"/>
          <w:szCs w:val="24"/>
        </w:rPr>
        <w:t xml:space="preserve">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 xml:space="preserve"> și</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sz w:val="24"/>
          <w:szCs w:val="24"/>
        </w:rPr>
        <w:t>.</w:t>
      </w:r>
    </w:p>
    <w:p w14:paraId="20809952" w14:textId="77777777" w:rsidR="001C08A5" w:rsidRDefault="001C08A5">
      <w:pPr>
        <w:jc w:val="both"/>
        <w:rPr>
          <w:dstrike/>
          <w:sz w:val="24"/>
          <w:szCs w:val="24"/>
        </w:rPr>
      </w:pPr>
    </w:p>
    <w:p w14:paraId="0086AC45" w14:textId="77777777" w:rsidR="001C08A5" w:rsidRDefault="00000000">
      <w:pPr>
        <w:jc w:val="both"/>
        <w:rPr>
          <w:sz w:val="24"/>
          <w:szCs w:val="24"/>
        </w:rPr>
      </w:pPr>
      <w:r>
        <w:rPr>
          <w:b/>
          <w:sz w:val="24"/>
          <w:szCs w:val="24"/>
        </w:rPr>
        <w:tab/>
        <w:t xml:space="preserve">Art. </w:t>
      </w:r>
      <w:r>
        <w:rPr>
          <w:b/>
          <w:bCs/>
          <w:sz w:val="24"/>
          <w:szCs w:val="24"/>
        </w:rPr>
        <w:t xml:space="preserve">3.2.7.2. </w:t>
      </w:r>
      <w:r>
        <w:rPr>
          <w:sz w:val="24"/>
          <w:szCs w:val="24"/>
        </w:rPr>
        <w:t xml:space="preserve">Comportarea la foc a pereţilor, uşilor și planşeelor de separare a caselor de scări închise din clădirile pentru turism supraterane cu înălţimi obişnuite, trebuie să corespundă prevederilor din </w:t>
      </w:r>
      <w:r>
        <w:rPr>
          <w:b/>
          <w:bCs/>
          <w:i/>
          <w:iCs/>
          <w:sz w:val="24"/>
          <w:szCs w:val="24"/>
        </w:rPr>
        <w:fldChar w:fldCharType="begin"/>
      </w:r>
      <w:r>
        <w:rPr>
          <w:b/>
          <w:bCs/>
          <w:i/>
          <w:iCs/>
          <w:sz w:val="24"/>
          <w:szCs w:val="24"/>
        </w:rPr>
        <w:instrText xml:space="preserve"> REF _Ref25557 \h </w:instrText>
      </w:r>
      <w:r>
        <w:rPr>
          <w:b/>
          <w:bCs/>
          <w:i/>
          <w:iCs/>
          <w:sz w:val="24"/>
          <w:szCs w:val="24"/>
        </w:rPr>
      </w:r>
      <w:r>
        <w:rPr>
          <w:b/>
          <w:bCs/>
          <w:i/>
          <w:iCs/>
          <w:sz w:val="24"/>
          <w:szCs w:val="24"/>
        </w:rPr>
        <w:fldChar w:fldCharType="separate"/>
      </w:r>
      <w:r>
        <w:t>Tabelul 78</w:t>
      </w:r>
      <w:r>
        <w:rPr>
          <w:b/>
          <w:bCs/>
          <w:i/>
          <w:iCs/>
          <w:sz w:val="24"/>
          <w:szCs w:val="24"/>
        </w:rPr>
        <w:fldChar w:fldCharType="end"/>
      </w:r>
      <w:r>
        <w:rPr>
          <w:sz w:val="24"/>
          <w:szCs w:val="24"/>
        </w:rPr>
        <w:t>.</w:t>
      </w:r>
    </w:p>
    <w:p w14:paraId="498B7F80" w14:textId="77777777" w:rsidR="001C08A5" w:rsidRDefault="001C08A5">
      <w:pPr>
        <w:jc w:val="both"/>
        <w:rPr>
          <w:b/>
          <w:sz w:val="24"/>
          <w:szCs w:val="24"/>
        </w:rPr>
      </w:pPr>
    </w:p>
    <w:p w14:paraId="07A72054" w14:textId="77777777" w:rsidR="001C08A5" w:rsidRDefault="00000000">
      <w:pPr>
        <w:pStyle w:val="Captiontabel"/>
      </w:pPr>
      <w:bookmarkStart w:id="3815" w:name="_Ref25557"/>
      <w:bookmarkStart w:id="3816" w:name="_Toc162360128"/>
      <w:bookmarkStart w:id="3817" w:name="_Ref25541"/>
      <w:r>
        <w:t xml:space="preserve">Tabelul </w:t>
      </w:r>
      <w:r>
        <w:fldChar w:fldCharType="begin"/>
      </w:r>
      <w:r>
        <w:instrText xml:space="preserve"> SEQ Tabelul \* ARABIC </w:instrText>
      </w:r>
      <w:r>
        <w:fldChar w:fldCharType="separate"/>
      </w:r>
      <w:r>
        <w:t>78</w:t>
      </w:r>
      <w:r>
        <w:fldChar w:fldCharType="end"/>
      </w:r>
      <w:bookmarkStart w:id="3818" w:name="_Toc8904"/>
      <w:bookmarkStart w:id="3819" w:name="_Toc8609"/>
      <w:bookmarkStart w:id="3820" w:name="_Toc20478"/>
      <w:bookmarkStart w:id="3821" w:name="_Toc30085"/>
      <w:bookmarkStart w:id="3822" w:name="_Toc13600"/>
      <w:bookmarkStart w:id="3823" w:name="_Toc32386"/>
      <w:bookmarkStart w:id="3824" w:name="_Toc8322"/>
      <w:bookmarkStart w:id="3825" w:name="_Toc31347"/>
      <w:bookmarkStart w:id="3826" w:name="_Toc7502"/>
      <w:bookmarkStart w:id="3827" w:name="_Toc6900"/>
      <w:bookmarkStart w:id="3828" w:name="_Toc24583"/>
      <w:bookmarkStart w:id="3829" w:name="_Toc30967"/>
      <w:bookmarkStart w:id="3830" w:name="_Toc10888"/>
      <w:bookmarkStart w:id="3831" w:name="_Toc15408"/>
      <w:bookmarkStart w:id="3832" w:name="_Toc18557"/>
      <w:bookmarkStart w:id="3833" w:name="_Toc18011"/>
      <w:bookmarkStart w:id="3834" w:name="_Toc14147"/>
      <w:bookmarkStart w:id="3835" w:name="_Toc6115"/>
      <w:bookmarkStart w:id="3836" w:name="_Toc19559"/>
      <w:bookmarkEnd w:id="3815"/>
      <w:r>
        <w:t>: Comportarea la foc a pereţilor, uşilor și planşeelor de separare a caselor de scări închise din clădirile pentru turism supraterane cu înălţimi obişnuite</w:t>
      </w:r>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p>
    <w:p w14:paraId="318FF8C1" w14:textId="77777777" w:rsidR="001C08A5" w:rsidRDefault="001C08A5">
      <w:pPr>
        <w:jc w:val="both"/>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1"/>
        <w:gridCol w:w="1834"/>
        <w:gridCol w:w="1701"/>
        <w:gridCol w:w="1373"/>
        <w:gridCol w:w="1680"/>
        <w:gridCol w:w="1696"/>
      </w:tblGrid>
      <w:tr w:rsidR="001C08A5" w14:paraId="26830480" w14:textId="77777777">
        <w:trPr>
          <w:tblHeader/>
        </w:trPr>
        <w:tc>
          <w:tcPr>
            <w:tcW w:w="1241" w:type="dxa"/>
            <w:vMerge w:val="restart"/>
            <w:shd w:val="clear" w:color="auto" w:fill="BFBFBF"/>
          </w:tcPr>
          <w:p w14:paraId="7B46CD77" w14:textId="77777777" w:rsidR="001C08A5" w:rsidRDefault="00000000">
            <w:pPr>
              <w:pStyle w:val="BodyText"/>
              <w:jc w:val="center"/>
              <w:rPr>
                <w:bCs w:val="0"/>
                <w:sz w:val="22"/>
                <w:szCs w:val="22"/>
              </w:rPr>
            </w:pPr>
            <w:r>
              <w:rPr>
                <w:bCs w:val="0"/>
                <w:sz w:val="22"/>
                <w:szCs w:val="22"/>
              </w:rPr>
              <w:lastRenderedPageBreak/>
              <w:t>Nivel de stabilitate</w:t>
            </w:r>
          </w:p>
          <w:p w14:paraId="664547C3" w14:textId="77777777" w:rsidR="001C08A5" w:rsidRDefault="00000000">
            <w:pPr>
              <w:jc w:val="center"/>
              <w:rPr>
                <w:i/>
                <w:sz w:val="22"/>
                <w:szCs w:val="22"/>
              </w:rPr>
            </w:pPr>
            <w:r>
              <w:rPr>
                <w:b/>
                <w:bCs/>
                <w:i/>
                <w:sz w:val="22"/>
                <w:szCs w:val="22"/>
              </w:rPr>
              <w:t>la incendiu</w:t>
            </w:r>
          </w:p>
        </w:tc>
        <w:tc>
          <w:tcPr>
            <w:tcW w:w="8284" w:type="dxa"/>
            <w:gridSpan w:val="5"/>
            <w:shd w:val="clear" w:color="auto" w:fill="BFBFBF"/>
          </w:tcPr>
          <w:p w14:paraId="0ADEF5A9"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7D0A3FA9" w14:textId="77777777">
        <w:trPr>
          <w:tblHeader/>
        </w:trPr>
        <w:tc>
          <w:tcPr>
            <w:tcW w:w="1241" w:type="dxa"/>
            <w:vMerge/>
            <w:shd w:val="clear" w:color="auto" w:fill="BFBFBF"/>
          </w:tcPr>
          <w:p w14:paraId="0B506D82" w14:textId="77777777" w:rsidR="001C08A5" w:rsidRDefault="001C08A5">
            <w:pPr>
              <w:jc w:val="center"/>
              <w:rPr>
                <w:i/>
                <w:sz w:val="22"/>
                <w:szCs w:val="22"/>
              </w:rPr>
            </w:pPr>
          </w:p>
        </w:tc>
        <w:tc>
          <w:tcPr>
            <w:tcW w:w="3535" w:type="dxa"/>
            <w:gridSpan w:val="2"/>
            <w:shd w:val="clear" w:color="auto" w:fill="BFBFBF"/>
          </w:tcPr>
          <w:p w14:paraId="2785C0E3" w14:textId="77777777" w:rsidR="001C08A5" w:rsidRDefault="00000000">
            <w:pPr>
              <w:jc w:val="center"/>
              <w:rPr>
                <w:i/>
                <w:sz w:val="22"/>
                <w:szCs w:val="22"/>
              </w:rPr>
            </w:pPr>
            <w:r>
              <w:rPr>
                <w:b/>
                <w:bCs/>
                <w:i/>
                <w:sz w:val="22"/>
                <w:szCs w:val="22"/>
              </w:rPr>
              <w:t>Pereţi</w:t>
            </w:r>
          </w:p>
        </w:tc>
        <w:tc>
          <w:tcPr>
            <w:tcW w:w="3053" w:type="dxa"/>
            <w:gridSpan w:val="2"/>
            <w:shd w:val="clear" w:color="auto" w:fill="BFBFBF"/>
          </w:tcPr>
          <w:p w14:paraId="514581D5"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696" w:type="dxa"/>
            <w:shd w:val="clear" w:color="auto" w:fill="BFBFBF"/>
          </w:tcPr>
          <w:p w14:paraId="72929926" w14:textId="77777777" w:rsidR="001C08A5" w:rsidRDefault="00000000">
            <w:pPr>
              <w:jc w:val="center"/>
              <w:rPr>
                <w:b/>
                <w:bCs/>
                <w:i/>
                <w:sz w:val="22"/>
                <w:szCs w:val="22"/>
              </w:rPr>
            </w:pPr>
            <w:r>
              <w:rPr>
                <w:b/>
                <w:bCs/>
                <w:i/>
                <w:sz w:val="22"/>
                <w:szCs w:val="22"/>
              </w:rPr>
              <w:t xml:space="preserve">Uşi </w:t>
            </w:r>
          </w:p>
        </w:tc>
      </w:tr>
      <w:tr w:rsidR="001C08A5" w14:paraId="402A7CC9" w14:textId="77777777">
        <w:tc>
          <w:tcPr>
            <w:tcW w:w="1241" w:type="dxa"/>
          </w:tcPr>
          <w:p w14:paraId="0D393627" w14:textId="77777777" w:rsidR="001C08A5" w:rsidRDefault="00000000">
            <w:pPr>
              <w:pStyle w:val="BodyText"/>
              <w:jc w:val="center"/>
              <w:rPr>
                <w:bCs w:val="0"/>
                <w:sz w:val="22"/>
                <w:szCs w:val="22"/>
              </w:rPr>
            </w:pPr>
            <w:r>
              <w:rPr>
                <w:bCs w:val="0"/>
                <w:sz w:val="22"/>
                <w:szCs w:val="22"/>
              </w:rPr>
              <w:t>I</w:t>
            </w:r>
          </w:p>
          <w:p w14:paraId="66DF1E1A" w14:textId="77777777" w:rsidR="001C08A5" w:rsidRDefault="00000000">
            <w:pPr>
              <w:pStyle w:val="BodyText"/>
              <w:jc w:val="center"/>
              <w:rPr>
                <w:bCs w:val="0"/>
                <w:sz w:val="22"/>
                <w:szCs w:val="22"/>
              </w:rPr>
            </w:pPr>
            <w:r>
              <w:rPr>
                <w:sz w:val="22"/>
                <w:szCs w:val="22"/>
              </w:rPr>
              <w:t>h&lt;28m</w:t>
            </w:r>
          </w:p>
        </w:tc>
        <w:tc>
          <w:tcPr>
            <w:tcW w:w="1834" w:type="dxa"/>
          </w:tcPr>
          <w:p w14:paraId="1892C488" w14:textId="77777777" w:rsidR="001C08A5" w:rsidRDefault="00000000">
            <w:pPr>
              <w:jc w:val="center"/>
              <w:rPr>
                <w:b/>
                <w:i/>
                <w:sz w:val="22"/>
                <w:szCs w:val="22"/>
              </w:rPr>
            </w:pPr>
            <w:r>
              <w:rPr>
                <w:b/>
                <w:i/>
                <w:sz w:val="22"/>
                <w:szCs w:val="22"/>
              </w:rPr>
              <w:t xml:space="preserve">EI/REI 180 </w:t>
            </w:r>
          </w:p>
          <w:p w14:paraId="518A5D43" w14:textId="77777777" w:rsidR="001C08A5" w:rsidRDefault="001C08A5">
            <w:pPr>
              <w:jc w:val="center"/>
              <w:rPr>
                <w:b/>
                <w:i/>
                <w:sz w:val="22"/>
                <w:szCs w:val="22"/>
              </w:rPr>
            </w:pPr>
          </w:p>
        </w:tc>
        <w:tc>
          <w:tcPr>
            <w:tcW w:w="1701" w:type="dxa"/>
          </w:tcPr>
          <w:p w14:paraId="4428B49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73" w:type="dxa"/>
          </w:tcPr>
          <w:p w14:paraId="68A52294" w14:textId="77777777" w:rsidR="001C08A5" w:rsidRDefault="00000000">
            <w:pPr>
              <w:jc w:val="center"/>
              <w:rPr>
                <w:b/>
                <w:i/>
                <w:sz w:val="22"/>
                <w:szCs w:val="22"/>
              </w:rPr>
            </w:pPr>
            <w:r>
              <w:rPr>
                <w:b/>
                <w:i/>
                <w:sz w:val="22"/>
                <w:szCs w:val="22"/>
              </w:rPr>
              <w:t xml:space="preserve">REI 120 </w:t>
            </w:r>
          </w:p>
        </w:tc>
        <w:tc>
          <w:tcPr>
            <w:tcW w:w="1680" w:type="dxa"/>
          </w:tcPr>
          <w:p w14:paraId="222C6F2B"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96" w:type="dxa"/>
          </w:tcPr>
          <w:p w14:paraId="1DB19193" w14:textId="77777777" w:rsidR="001C08A5" w:rsidRDefault="00000000">
            <w:pPr>
              <w:jc w:val="center"/>
              <w:rPr>
                <w:i/>
                <w:sz w:val="22"/>
                <w:szCs w:val="22"/>
              </w:rPr>
            </w:pPr>
            <w:r>
              <w:rPr>
                <w:b/>
                <w:bCs/>
                <w:i/>
                <w:sz w:val="22"/>
                <w:szCs w:val="22"/>
              </w:rPr>
              <w:t xml:space="preserve">E 60 - C5 </w:t>
            </w:r>
            <w:r>
              <w:rPr>
                <w:b/>
                <w:i/>
                <w:sz w:val="22"/>
                <w:szCs w:val="22"/>
              </w:rPr>
              <w:t>S</w:t>
            </w:r>
            <w:r>
              <w:rPr>
                <w:b/>
                <w:bCs/>
                <w:i/>
                <w:sz w:val="22"/>
                <w:szCs w:val="22"/>
                <w:vertAlign w:val="subscript"/>
              </w:rPr>
              <w:t>200</w:t>
            </w:r>
          </w:p>
        </w:tc>
      </w:tr>
      <w:tr w:rsidR="001C08A5" w14:paraId="006C02EF" w14:textId="77777777">
        <w:tc>
          <w:tcPr>
            <w:tcW w:w="1241" w:type="dxa"/>
          </w:tcPr>
          <w:p w14:paraId="3901F054" w14:textId="77777777" w:rsidR="001C08A5" w:rsidRDefault="00000000">
            <w:pPr>
              <w:pStyle w:val="BodyText"/>
              <w:jc w:val="center"/>
              <w:rPr>
                <w:bCs w:val="0"/>
                <w:sz w:val="22"/>
                <w:szCs w:val="22"/>
              </w:rPr>
            </w:pPr>
            <w:r>
              <w:rPr>
                <w:bCs w:val="0"/>
                <w:sz w:val="22"/>
                <w:szCs w:val="22"/>
              </w:rPr>
              <w:t>II</w:t>
            </w:r>
          </w:p>
        </w:tc>
        <w:tc>
          <w:tcPr>
            <w:tcW w:w="1834" w:type="dxa"/>
          </w:tcPr>
          <w:p w14:paraId="1A6DA108" w14:textId="77777777" w:rsidR="001C08A5" w:rsidRDefault="00000000">
            <w:pPr>
              <w:jc w:val="center"/>
              <w:rPr>
                <w:b/>
                <w:i/>
                <w:sz w:val="22"/>
                <w:szCs w:val="22"/>
              </w:rPr>
            </w:pPr>
            <w:r>
              <w:rPr>
                <w:b/>
                <w:i/>
                <w:sz w:val="22"/>
                <w:szCs w:val="22"/>
              </w:rPr>
              <w:t>EI/REI 180</w:t>
            </w:r>
          </w:p>
          <w:p w14:paraId="7AC77390" w14:textId="77777777" w:rsidR="001C08A5" w:rsidRDefault="001C08A5">
            <w:pPr>
              <w:jc w:val="center"/>
              <w:rPr>
                <w:b/>
                <w:i/>
                <w:sz w:val="22"/>
                <w:szCs w:val="22"/>
              </w:rPr>
            </w:pPr>
          </w:p>
        </w:tc>
        <w:tc>
          <w:tcPr>
            <w:tcW w:w="1701" w:type="dxa"/>
          </w:tcPr>
          <w:p w14:paraId="50A95C57"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73" w:type="dxa"/>
          </w:tcPr>
          <w:p w14:paraId="0C48475B" w14:textId="77777777" w:rsidR="001C08A5" w:rsidRDefault="00000000">
            <w:pPr>
              <w:jc w:val="center"/>
              <w:rPr>
                <w:b/>
                <w:i/>
                <w:sz w:val="22"/>
                <w:szCs w:val="22"/>
              </w:rPr>
            </w:pPr>
            <w:r>
              <w:rPr>
                <w:b/>
                <w:i/>
                <w:sz w:val="22"/>
                <w:szCs w:val="22"/>
              </w:rPr>
              <w:t>REI 120</w:t>
            </w:r>
          </w:p>
        </w:tc>
        <w:tc>
          <w:tcPr>
            <w:tcW w:w="1680" w:type="dxa"/>
          </w:tcPr>
          <w:p w14:paraId="4BE6280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96" w:type="dxa"/>
          </w:tcPr>
          <w:p w14:paraId="579B6B30" w14:textId="77777777" w:rsidR="001C08A5" w:rsidRDefault="00000000">
            <w:pPr>
              <w:jc w:val="center"/>
              <w:rPr>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5FC5533F" w14:textId="77777777">
        <w:tc>
          <w:tcPr>
            <w:tcW w:w="1241" w:type="dxa"/>
          </w:tcPr>
          <w:p w14:paraId="4AB92CEB" w14:textId="77777777" w:rsidR="001C08A5" w:rsidRDefault="00000000">
            <w:pPr>
              <w:pStyle w:val="BodyText"/>
              <w:jc w:val="center"/>
              <w:rPr>
                <w:bCs w:val="0"/>
                <w:sz w:val="22"/>
                <w:szCs w:val="22"/>
              </w:rPr>
            </w:pPr>
            <w:r>
              <w:rPr>
                <w:bCs w:val="0"/>
                <w:sz w:val="22"/>
                <w:szCs w:val="22"/>
              </w:rPr>
              <w:t>II (+)</w:t>
            </w:r>
          </w:p>
        </w:tc>
        <w:tc>
          <w:tcPr>
            <w:tcW w:w="1834" w:type="dxa"/>
          </w:tcPr>
          <w:p w14:paraId="3CFCFFA6" w14:textId="77777777" w:rsidR="001C08A5" w:rsidRDefault="00000000">
            <w:pPr>
              <w:jc w:val="center"/>
              <w:rPr>
                <w:b/>
                <w:i/>
                <w:sz w:val="22"/>
                <w:szCs w:val="22"/>
              </w:rPr>
            </w:pPr>
            <w:r>
              <w:rPr>
                <w:b/>
                <w:i/>
                <w:sz w:val="22"/>
                <w:szCs w:val="22"/>
              </w:rPr>
              <w:t>EI/REI 120</w:t>
            </w:r>
          </w:p>
          <w:p w14:paraId="50E86529" w14:textId="77777777" w:rsidR="001C08A5" w:rsidRDefault="001C08A5">
            <w:pPr>
              <w:jc w:val="center"/>
              <w:rPr>
                <w:b/>
                <w:i/>
                <w:sz w:val="22"/>
                <w:szCs w:val="22"/>
              </w:rPr>
            </w:pPr>
          </w:p>
        </w:tc>
        <w:tc>
          <w:tcPr>
            <w:tcW w:w="1701" w:type="dxa"/>
          </w:tcPr>
          <w:p w14:paraId="7E7DB846"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73" w:type="dxa"/>
          </w:tcPr>
          <w:p w14:paraId="3813423A" w14:textId="77777777" w:rsidR="001C08A5" w:rsidRDefault="00000000">
            <w:pPr>
              <w:jc w:val="center"/>
              <w:rPr>
                <w:b/>
                <w:i/>
                <w:sz w:val="22"/>
                <w:szCs w:val="22"/>
              </w:rPr>
            </w:pPr>
            <w:r>
              <w:rPr>
                <w:b/>
                <w:i/>
                <w:sz w:val="22"/>
                <w:szCs w:val="22"/>
              </w:rPr>
              <w:t>REI 90</w:t>
            </w:r>
          </w:p>
        </w:tc>
        <w:tc>
          <w:tcPr>
            <w:tcW w:w="1680" w:type="dxa"/>
          </w:tcPr>
          <w:p w14:paraId="55E07B05"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696" w:type="dxa"/>
          </w:tcPr>
          <w:p w14:paraId="1FDC4164" w14:textId="77777777" w:rsidR="001C08A5" w:rsidRDefault="00000000">
            <w:pPr>
              <w:jc w:val="center"/>
              <w:rPr>
                <w:b/>
                <w:bCs/>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683FD625" w14:textId="77777777">
        <w:tc>
          <w:tcPr>
            <w:tcW w:w="1241" w:type="dxa"/>
          </w:tcPr>
          <w:p w14:paraId="30178163" w14:textId="77777777" w:rsidR="001C08A5" w:rsidRDefault="00000000">
            <w:pPr>
              <w:pStyle w:val="BodyText"/>
              <w:jc w:val="center"/>
              <w:rPr>
                <w:bCs w:val="0"/>
                <w:sz w:val="22"/>
                <w:szCs w:val="22"/>
              </w:rPr>
            </w:pPr>
            <w:r>
              <w:rPr>
                <w:bCs w:val="0"/>
                <w:sz w:val="22"/>
                <w:szCs w:val="22"/>
              </w:rPr>
              <w:t>III</w:t>
            </w:r>
          </w:p>
        </w:tc>
        <w:tc>
          <w:tcPr>
            <w:tcW w:w="1834" w:type="dxa"/>
          </w:tcPr>
          <w:p w14:paraId="10CB8337" w14:textId="77777777" w:rsidR="001C08A5" w:rsidRDefault="00000000">
            <w:pPr>
              <w:jc w:val="center"/>
              <w:rPr>
                <w:b/>
                <w:i/>
                <w:sz w:val="22"/>
                <w:szCs w:val="22"/>
              </w:rPr>
            </w:pPr>
            <w:r>
              <w:rPr>
                <w:b/>
                <w:i/>
                <w:sz w:val="22"/>
                <w:szCs w:val="22"/>
              </w:rPr>
              <w:t xml:space="preserve">EI/REI 90 </w:t>
            </w:r>
          </w:p>
          <w:p w14:paraId="6A759D0F" w14:textId="77777777" w:rsidR="001C08A5" w:rsidRDefault="001C08A5">
            <w:pPr>
              <w:jc w:val="center"/>
              <w:rPr>
                <w:b/>
                <w:i/>
                <w:sz w:val="22"/>
                <w:szCs w:val="22"/>
              </w:rPr>
            </w:pPr>
          </w:p>
        </w:tc>
        <w:tc>
          <w:tcPr>
            <w:tcW w:w="1701" w:type="dxa"/>
          </w:tcPr>
          <w:p w14:paraId="3D173E9D"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73" w:type="dxa"/>
          </w:tcPr>
          <w:p w14:paraId="3FC9D1AB" w14:textId="77777777" w:rsidR="001C08A5" w:rsidRDefault="00000000">
            <w:pPr>
              <w:jc w:val="center"/>
              <w:rPr>
                <w:b/>
                <w:i/>
                <w:sz w:val="22"/>
                <w:szCs w:val="22"/>
              </w:rPr>
            </w:pPr>
            <w:r>
              <w:rPr>
                <w:b/>
                <w:i/>
                <w:sz w:val="22"/>
                <w:szCs w:val="22"/>
              </w:rPr>
              <w:t>REI 60</w:t>
            </w:r>
          </w:p>
        </w:tc>
        <w:tc>
          <w:tcPr>
            <w:tcW w:w="1680" w:type="dxa"/>
          </w:tcPr>
          <w:p w14:paraId="3C7D75A6"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696" w:type="dxa"/>
          </w:tcPr>
          <w:p w14:paraId="341723B1" w14:textId="77777777" w:rsidR="001C08A5" w:rsidRDefault="00000000">
            <w:pPr>
              <w:jc w:val="center"/>
              <w:rPr>
                <w:b/>
                <w:i/>
                <w:sz w:val="22"/>
                <w:szCs w:val="22"/>
              </w:rPr>
            </w:pPr>
            <w:r>
              <w:rPr>
                <w:b/>
                <w:bCs/>
                <w:i/>
                <w:sz w:val="22"/>
                <w:szCs w:val="22"/>
              </w:rPr>
              <w:t>E 30 - C5 Sa</w:t>
            </w:r>
          </w:p>
          <w:p w14:paraId="76C11497" w14:textId="77777777" w:rsidR="001C08A5" w:rsidRDefault="001C08A5">
            <w:pPr>
              <w:jc w:val="center"/>
              <w:rPr>
                <w:i/>
                <w:strike/>
                <w:sz w:val="22"/>
                <w:szCs w:val="22"/>
              </w:rPr>
            </w:pPr>
          </w:p>
        </w:tc>
      </w:tr>
      <w:tr w:rsidR="001C08A5" w14:paraId="1584A2B5" w14:textId="77777777">
        <w:tc>
          <w:tcPr>
            <w:tcW w:w="1241" w:type="dxa"/>
          </w:tcPr>
          <w:p w14:paraId="74073BDB" w14:textId="77777777" w:rsidR="001C08A5" w:rsidRDefault="00000000">
            <w:pPr>
              <w:pStyle w:val="BodyText"/>
              <w:jc w:val="center"/>
              <w:rPr>
                <w:bCs w:val="0"/>
                <w:sz w:val="22"/>
                <w:szCs w:val="22"/>
              </w:rPr>
            </w:pPr>
            <w:r>
              <w:rPr>
                <w:bCs w:val="0"/>
                <w:sz w:val="22"/>
                <w:szCs w:val="22"/>
              </w:rPr>
              <w:t>III (+)</w:t>
            </w:r>
          </w:p>
        </w:tc>
        <w:tc>
          <w:tcPr>
            <w:tcW w:w="1834" w:type="dxa"/>
          </w:tcPr>
          <w:p w14:paraId="54902869" w14:textId="77777777" w:rsidR="001C08A5" w:rsidRDefault="00000000">
            <w:pPr>
              <w:jc w:val="center"/>
              <w:rPr>
                <w:b/>
                <w:i/>
                <w:sz w:val="22"/>
                <w:szCs w:val="22"/>
              </w:rPr>
            </w:pPr>
            <w:r>
              <w:rPr>
                <w:b/>
                <w:i/>
                <w:sz w:val="22"/>
                <w:szCs w:val="22"/>
              </w:rPr>
              <w:t xml:space="preserve">EI/REI 60 </w:t>
            </w:r>
          </w:p>
          <w:p w14:paraId="396B14B1" w14:textId="77777777" w:rsidR="001C08A5" w:rsidRDefault="001C08A5">
            <w:pPr>
              <w:jc w:val="center"/>
              <w:rPr>
                <w:b/>
                <w:i/>
                <w:sz w:val="22"/>
                <w:szCs w:val="22"/>
              </w:rPr>
            </w:pPr>
          </w:p>
        </w:tc>
        <w:tc>
          <w:tcPr>
            <w:tcW w:w="1701" w:type="dxa"/>
          </w:tcPr>
          <w:p w14:paraId="5C05AE41"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73" w:type="dxa"/>
          </w:tcPr>
          <w:p w14:paraId="60FAD94A" w14:textId="77777777" w:rsidR="001C08A5" w:rsidRDefault="00000000">
            <w:pPr>
              <w:jc w:val="center"/>
              <w:rPr>
                <w:b/>
                <w:i/>
                <w:sz w:val="22"/>
                <w:szCs w:val="22"/>
              </w:rPr>
            </w:pPr>
            <w:r>
              <w:rPr>
                <w:b/>
                <w:i/>
                <w:sz w:val="22"/>
                <w:szCs w:val="22"/>
              </w:rPr>
              <w:t xml:space="preserve">REI 45 </w:t>
            </w:r>
          </w:p>
        </w:tc>
        <w:tc>
          <w:tcPr>
            <w:tcW w:w="1680" w:type="dxa"/>
          </w:tcPr>
          <w:p w14:paraId="126ED862"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696" w:type="dxa"/>
          </w:tcPr>
          <w:p w14:paraId="416FDBAD" w14:textId="77777777" w:rsidR="001C08A5" w:rsidRDefault="00000000">
            <w:pPr>
              <w:jc w:val="center"/>
              <w:rPr>
                <w:b/>
                <w:i/>
                <w:sz w:val="22"/>
                <w:szCs w:val="22"/>
              </w:rPr>
            </w:pPr>
            <w:r>
              <w:rPr>
                <w:b/>
                <w:bCs/>
                <w:i/>
                <w:sz w:val="22"/>
                <w:szCs w:val="22"/>
              </w:rPr>
              <w:t>E 30 - C5 Sa</w:t>
            </w:r>
          </w:p>
          <w:p w14:paraId="7B4B5EE6" w14:textId="77777777" w:rsidR="001C08A5" w:rsidRDefault="001C08A5">
            <w:pPr>
              <w:jc w:val="center"/>
              <w:rPr>
                <w:i/>
                <w:strike/>
                <w:sz w:val="22"/>
                <w:szCs w:val="22"/>
              </w:rPr>
            </w:pPr>
          </w:p>
        </w:tc>
      </w:tr>
      <w:tr w:rsidR="001C08A5" w14:paraId="0F682995" w14:textId="77777777">
        <w:tc>
          <w:tcPr>
            <w:tcW w:w="1241" w:type="dxa"/>
          </w:tcPr>
          <w:p w14:paraId="1C62A4B1" w14:textId="77777777" w:rsidR="001C08A5" w:rsidRDefault="00000000">
            <w:pPr>
              <w:pStyle w:val="BodyText"/>
              <w:jc w:val="center"/>
              <w:rPr>
                <w:bCs w:val="0"/>
                <w:sz w:val="22"/>
                <w:szCs w:val="22"/>
              </w:rPr>
            </w:pPr>
            <w:r>
              <w:rPr>
                <w:bCs w:val="0"/>
                <w:sz w:val="22"/>
                <w:szCs w:val="22"/>
              </w:rPr>
              <w:t>IV</w:t>
            </w:r>
          </w:p>
        </w:tc>
        <w:tc>
          <w:tcPr>
            <w:tcW w:w="1834" w:type="dxa"/>
          </w:tcPr>
          <w:p w14:paraId="0F54D0DA" w14:textId="77777777" w:rsidR="001C08A5" w:rsidRDefault="00000000">
            <w:pPr>
              <w:jc w:val="center"/>
              <w:rPr>
                <w:b/>
                <w:i/>
                <w:sz w:val="22"/>
                <w:szCs w:val="22"/>
              </w:rPr>
            </w:pPr>
            <w:r>
              <w:rPr>
                <w:b/>
                <w:i/>
                <w:sz w:val="22"/>
                <w:szCs w:val="22"/>
              </w:rPr>
              <w:t xml:space="preserve">EI/REI 45 </w:t>
            </w:r>
          </w:p>
          <w:p w14:paraId="43DCF7AA" w14:textId="77777777" w:rsidR="001C08A5" w:rsidRDefault="001C08A5">
            <w:pPr>
              <w:jc w:val="center"/>
              <w:rPr>
                <w:b/>
                <w:i/>
                <w:strike/>
                <w:sz w:val="22"/>
                <w:szCs w:val="22"/>
              </w:rPr>
            </w:pPr>
          </w:p>
        </w:tc>
        <w:tc>
          <w:tcPr>
            <w:tcW w:w="1701" w:type="dxa"/>
          </w:tcPr>
          <w:p w14:paraId="0F15FEA4"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373" w:type="dxa"/>
          </w:tcPr>
          <w:p w14:paraId="59D690CD" w14:textId="77777777" w:rsidR="001C08A5" w:rsidRDefault="00000000">
            <w:pPr>
              <w:jc w:val="center"/>
              <w:rPr>
                <w:b/>
                <w:i/>
                <w:sz w:val="22"/>
                <w:szCs w:val="22"/>
              </w:rPr>
            </w:pPr>
            <w:r>
              <w:rPr>
                <w:b/>
                <w:i/>
                <w:sz w:val="22"/>
                <w:szCs w:val="22"/>
              </w:rPr>
              <w:t xml:space="preserve">REI 30 </w:t>
            </w:r>
          </w:p>
        </w:tc>
        <w:tc>
          <w:tcPr>
            <w:tcW w:w="1680" w:type="dxa"/>
          </w:tcPr>
          <w:p w14:paraId="177DDD4B"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696" w:type="dxa"/>
          </w:tcPr>
          <w:p w14:paraId="529F5166" w14:textId="77777777" w:rsidR="001C08A5" w:rsidRDefault="00000000">
            <w:pPr>
              <w:jc w:val="center"/>
              <w:rPr>
                <w:b/>
                <w:i/>
                <w:sz w:val="22"/>
                <w:szCs w:val="22"/>
              </w:rPr>
            </w:pPr>
            <w:r>
              <w:rPr>
                <w:b/>
                <w:bCs/>
                <w:i/>
                <w:sz w:val="22"/>
                <w:szCs w:val="22"/>
              </w:rPr>
              <w:t>E 15 - C5 Sa</w:t>
            </w:r>
          </w:p>
          <w:p w14:paraId="45029703" w14:textId="77777777" w:rsidR="001C08A5" w:rsidRDefault="001C08A5">
            <w:pPr>
              <w:jc w:val="center"/>
              <w:rPr>
                <w:i/>
                <w:sz w:val="22"/>
                <w:szCs w:val="22"/>
              </w:rPr>
            </w:pPr>
          </w:p>
        </w:tc>
      </w:tr>
      <w:tr w:rsidR="001C08A5" w14:paraId="4BF670A8" w14:textId="77777777">
        <w:tc>
          <w:tcPr>
            <w:tcW w:w="1241" w:type="dxa"/>
          </w:tcPr>
          <w:p w14:paraId="2A0FE44A" w14:textId="77777777" w:rsidR="001C08A5" w:rsidRDefault="00000000">
            <w:pPr>
              <w:pStyle w:val="BodyText"/>
              <w:jc w:val="center"/>
              <w:rPr>
                <w:bCs w:val="0"/>
                <w:sz w:val="22"/>
                <w:szCs w:val="22"/>
              </w:rPr>
            </w:pPr>
            <w:r>
              <w:rPr>
                <w:bCs w:val="0"/>
                <w:sz w:val="22"/>
                <w:szCs w:val="22"/>
              </w:rPr>
              <w:t>V</w:t>
            </w:r>
          </w:p>
        </w:tc>
        <w:tc>
          <w:tcPr>
            <w:tcW w:w="1834" w:type="dxa"/>
          </w:tcPr>
          <w:p w14:paraId="3EB5B656" w14:textId="77777777" w:rsidR="001C08A5" w:rsidRDefault="00000000">
            <w:pPr>
              <w:jc w:val="center"/>
              <w:rPr>
                <w:b/>
                <w:i/>
                <w:sz w:val="22"/>
                <w:szCs w:val="22"/>
              </w:rPr>
            </w:pPr>
            <w:r>
              <w:rPr>
                <w:b/>
                <w:i/>
                <w:sz w:val="22"/>
                <w:szCs w:val="22"/>
              </w:rPr>
              <w:t>EI/REI 30</w:t>
            </w:r>
          </w:p>
          <w:p w14:paraId="5C20D7B5" w14:textId="77777777" w:rsidR="001C08A5" w:rsidRDefault="001C08A5">
            <w:pPr>
              <w:jc w:val="center"/>
              <w:rPr>
                <w:b/>
                <w:i/>
                <w:strike/>
                <w:sz w:val="22"/>
                <w:szCs w:val="22"/>
              </w:rPr>
            </w:pPr>
          </w:p>
        </w:tc>
        <w:tc>
          <w:tcPr>
            <w:tcW w:w="1701" w:type="dxa"/>
          </w:tcPr>
          <w:p w14:paraId="73002C1E"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373" w:type="dxa"/>
          </w:tcPr>
          <w:p w14:paraId="68A97448" w14:textId="77777777" w:rsidR="001C08A5" w:rsidRDefault="00000000">
            <w:pPr>
              <w:jc w:val="center"/>
              <w:rPr>
                <w:b/>
                <w:i/>
                <w:sz w:val="22"/>
                <w:szCs w:val="22"/>
              </w:rPr>
            </w:pPr>
            <w:r>
              <w:rPr>
                <w:b/>
                <w:i/>
                <w:sz w:val="22"/>
                <w:szCs w:val="22"/>
              </w:rPr>
              <w:t xml:space="preserve">REI 15 </w:t>
            </w:r>
          </w:p>
        </w:tc>
        <w:tc>
          <w:tcPr>
            <w:tcW w:w="1680" w:type="dxa"/>
          </w:tcPr>
          <w:p w14:paraId="47DED1E3"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696" w:type="dxa"/>
          </w:tcPr>
          <w:p w14:paraId="4A26C23D" w14:textId="77777777" w:rsidR="001C08A5" w:rsidRDefault="00000000">
            <w:pPr>
              <w:jc w:val="center"/>
              <w:rPr>
                <w:i/>
                <w:strike/>
                <w:sz w:val="22"/>
                <w:szCs w:val="22"/>
              </w:rPr>
            </w:pPr>
            <w:r>
              <w:rPr>
                <w:b/>
                <w:bCs/>
                <w:i/>
                <w:sz w:val="22"/>
                <w:szCs w:val="22"/>
              </w:rPr>
              <w:t>C5</w:t>
            </w:r>
          </w:p>
        </w:tc>
      </w:tr>
    </w:tbl>
    <w:p w14:paraId="484CB658" w14:textId="77777777" w:rsidR="001C08A5" w:rsidRDefault="00000000">
      <w:pPr>
        <w:jc w:val="both"/>
        <w:rPr>
          <w:i/>
          <w:sz w:val="22"/>
          <w:szCs w:val="22"/>
        </w:rPr>
      </w:pPr>
      <w:r>
        <w:rPr>
          <w:i/>
          <w:sz w:val="22"/>
          <w:szCs w:val="22"/>
        </w:rPr>
        <w:t>Note:</w:t>
      </w:r>
    </w:p>
    <w:p w14:paraId="41FC3B97"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0486DFBC"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4541D489" w14:textId="77777777" w:rsidR="001C08A5" w:rsidRDefault="001C08A5">
      <w:pPr>
        <w:jc w:val="both"/>
        <w:rPr>
          <w:sz w:val="24"/>
          <w:szCs w:val="24"/>
        </w:rPr>
      </w:pPr>
    </w:p>
    <w:p w14:paraId="0983702D" w14:textId="77777777" w:rsidR="001C08A5" w:rsidRDefault="00000000">
      <w:pPr>
        <w:jc w:val="both"/>
        <w:rPr>
          <w:sz w:val="24"/>
          <w:szCs w:val="24"/>
        </w:rPr>
      </w:pPr>
      <w:r>
        <w:rPr>
          <w:sz w:val="24"/>
          <w:szCs w:val="24"/>
        </w:rPr>
        <w:tab/>
      </w:r>
      <w:r>
        <w:rPr>
          <w:b/>
          <w:sz w:val="24"/>
          <w:szCs w:val="24"/>
        </w:rPr>
        <w:t xml:space="preserve">Art. </w:t>
      </w:r>
      <w:r>
        <w:rPr>
          <w:b/>
          <w:bCs/>
          <w:sz w:val="24"/>
          <w:szCs w:val="24"/>
        </w:rPr>
        <w:t>3.2.7.3.</w:t>
      </w:r>
      <w:r>
        <w:rPr>
          <w:sz w:val="24"/>
          <w:szCs w:val="24"/>
        </w:rPr>
        <w:tab/>
        <w:t xml:space="preserve">Comportarea la foc a pereţilor, uşilor și planşeelor de separare a căilor de evacuare orizontale (coridoare şi holuri) din clădirile pentru turism supraterane cu înălţimi obişnuite, trebuie să corespundă prevederilor din </w:t>
      </w:r>
      <w:r>
        <w:rPr>
          <w:b/>
          <w:bCs/>
          <w:i/>
          <w:iCs/>
          <w:sz w:val="24"/>
          <w:szCs w:val="24"/>
        </w:rPr>
        <w:fldChar w:fldCharType="begin"/>
      </w:r>
      <w:r>
        <w:rPr>
          <w:b/>
          <w:bCs/>
          <w:i/>
          <w:iCs/>
          <w:sz w:val="24"/>
          <w:szCs w:val="24"/>
        </w:rPr>
        <w:instrText xml:space="preserve"> REF _Ref25652 \h </w:instrText>
      </w:r>
      <w:r>
        <w:rPr>
          <w:b/>
          <w:bCs/>
          <w:i/>
          <w:iCs/>
          <w:sz w:val="24"/>
          <w:szCs w:val="24"/>
        </w:rPr>
      </w:r>
      <w:r>
        <w:rPr>
          <w:b/>
          <w:bCs/>
          <w:i/>
          <w:iCs/>
          <w:sz w:val="24"/>
          <w:szCs w:val="24"/>
        </w:rPr>
        <w:fldChar w:fldCharType="separate"/>
      </w:r>
      <w:r>
        <w:t>Tabelul 79</w:t>
      </w:r>
      <w:r>
        <w:rPr>
          <w:b/>
          <w:bCs/>
          <w:i/>
          <w:iCs/>
          <w:sz w:val="24"/>
          <w:szCs w:val="24"/>
        </w:rPr>
        <w:fldChar w:fldCharType="end"/>
      </w:r>
      <w:r>
        <w:rPr>
          <w:sz w:val="24"/>
          <w:szCs w:val="24"/>
        </w:rPr>
        <w:t xml:space="preserve">. </w:t>
      </w:r>
    </w:p>
    <w:p w14:paraId="1273311D" w14:textId="77777777" w:rsidR="001C08A5" w:rsidRDefault="001C08A5">
      <w:pPr>
        <w:jc w:val="both"/>
        <w:rPr>
          <w:sz w:val="24"/>
          <w:szCs w:val="24"/>
        </w:rPr>
      </w:pPr>
    </w:p>
    <w:p w14:paraId="682FD2F1" w14:textId="77777777" w:rsidR="001C08A5" w:rsidRDefault="00000000">
      <w:pPr>
        <w:pStyle w:val="Captiontabel"/>
      </w:pPr>
      <w:bookmarkStart w:id="3837" w:name="_Ref25652"/>
      <w:bookmarkStart w:id="3838" w:name="_Toc162360129"/>
      <w:r>
        <w:t xml:space="preserve">Tabelul </w:t>
      </w:r>
      <w:r>
        <w:fldChar w:fldCharType="begin"/>
      </w:r>
      <w:r>
        <w:instrText xml:space="preserve"> SEQ Tabelul \* ARABIC </w:instrText>
      </w:r>
      <w:r>
        <w:fldChar w:fldCharType="separate"/>
      </w:r>
      <w:r>
        <w:t>79</w:t>
      </w:r>
      <w:r>
        <w:fldChar w:fldCharType="end"/>
      </w:r>
      <w:bookmarkStart w:id="3839" w:name="_Toc17503"/>
      <w:bookmarkStart w:id="3840" w:name="_Toc7514"/>
      <w:bookmarkStart w:id="3841" w:name="_Toc8353"/>
      <w:bookmarkStart w:id="3842" w:name="_Toc27360"/>
      <w:bookmarkStart w:id="3843" w:name="_Toc9814"/>
      <w:bookmarkStart w:id="3844" w:name="_Toc21966"/>
      <w:bookmarkStart w:id="3845" w:name="_Toc10386"/>
      <w:bookmarkStart w:id="3846" w:name="_Toc18391"/>
      <w:bookmarkStart w:id="3847" w:name="_Toc28818"/>
      <w:bookmarkStart w:id="3848" w:name="_Toc1642"/>
      <w:bookmarkStart w:id="3849" w:name="_Toc1774"/>
      <w:bookmarkStart w:id="3850" w:name="_Toc17645"/>
      <w:bookmarkStart w:id="3851" w:name="_Toc21484"/>
      <w:bookmarkStart w:id="3852" w:name="_Toc22636"/>
      <w:bookmarkStart w:id="3853" w:name="_Toc14830"/>
      <w:bookmarkStart w:id="3854" w:name="_Toc12576"/>
      <w:bookmarkStart w:id="3855" w:name="_Toc16842"/>
      <w:bookmarkStart w:id="3856" w:name="_Toc5857"/>
      <w:bookmarkStart w:id="3857" w:name="_Toc32449"/>
      <w:bookmarkEnd w:id="3837"/>
      <w:r>
        <w:t>: Comportarea la foc a pereţilor, uşilor și planşeelor de separare a căilorde evacuare orizontale (coridoare şi holuri) din clădirile pentru turism supraterane cu înălţimi obişnuite</w:t>
      </w:r>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p>
    <w:p w14:paraId="0DBC443E"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306"/>
        <w:gridCol w:w="1662"/>
        <w:gridCol w:w="1868"/>
        <w:gridCol w:w="1861"/>
        <w:gridCol w:w="1539"/>
      </w:tblGrid>
      <w:tr w:rsidR="001C08A5" w14:paraId="69CFDD06" w14:textId="77777777">
        <w:trPr>
          <w:tblHeader/>
        </w:trPr>
        <w:tc>
          <w:tcPr>
            <w:tcW w:w="1262" w:type="dxa"/>
            <w:vMerge w:val="restart"/>
            <w:shd w:val="clear" w:color="auto" w:fill="BFBFBF"/>
          </w:tcPr>
          <w:p w14:paraId="0A92A617" w14:textId="77777777" w:rsidR="001C08A5" w:rsidRDefault="001C08A5">
            <w:pPr>
              <w:pStyle w:val="BodyText"/>
              <w:jc w:val="center"/>
              <w:rPr>
                <w:bCs w:val="0"/>
                <w:sz w:val="22"/>
                <w:szCs w:val="22"/>
              </w:rPr>
            </w:pPr>
          </w:p>
          <w:p w14:paraId="36FA703C" w14:textId="77777777" w:rsidR="001C08A5" w:rsidRDefault="00000000">
            <w:pPr>
              <w:pStyle w:val="BodyText"/>
              <w:jc w:val="center"/>
              <w:rPr>
                <w:bCs w:val="0"/>
                <w:sz w:val="22"/>
                <w:szCs w:val="22"/>
              </w:rPr>
            </w:pPr>
            <w:r>
              <w:rPr>
                <w:bCs w:val="0"/>
                <w:sz w:val="22"/>
                <w:szCs w:val="22"/>
              </w:rPr>
              <w:t>Nivel de stabilitate</w:t>
            </w:r>
          </w:p>
          <w:p w14:paraId="40B08A42"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4FB4E55C" w14:textId="77777777" w:rsidR="001C08A5" w:rsidRDefault="00000000">
            <w:pPr>
              <w:jc w:val="center"/>
              <w:rPr>
                <w:b/>
                <w:bCs/>
                <w:i/>
                <w:sz w:val="22"/>
                <w:szCs w:val="22"/>
              </w:rPr>
            </w:pPr>
            <w:r>
              <w:rPr>
                <w:b/>
                <w:bCs/>
                <w:i/>
                <w:sz w:val="22"/>
                <w:szCs w:val="22"/>
              </w:rPr>
              <w:t xml:space="preserve">Niveluri de comportare la foc admise la  coridoare și la holuri </w:t>
            </w:r>
          </w:p>
        </w:tc>
      </w:tr>
      <w:tr w:rsidR="001C08A5" w14:paraId="58739C1B" w14:textId="77777777">
        <w:trPr>
          <w:tblHeader/>
        </w:trPr>
        <w:tc>
          <w:tcPr>
            <w:tcW w:w="1262" w:type="dxa"/>
            <w:vMerge/>
            <w:shd w:val="clear" w:color="auto" w:fill="BFBFBF"/>
          </w:tcPr>
          <w:p w14:paraId="665F30E1" w14:textId="77777777" w:rsidR="001C08A5" w:rsidRDefault="001C08A5">
            <w:pPr>
              <w:jc w:val="center"/>
              <w:rPr>
                <w:i/>
                <w:sz w:val="22"/>
                <w:szCs w:val="22"/>
              </w:rPr>
            </w:pPr>
          </w:p>
        </w:tc>
        <w:tc>
          <w:tcPr>
            <w:tcW w:w="2968" w:type="dxa"/>
            <w:gridSpan w:val="2"/>
            <w:shd w:val="clear" w:color="auto" w:fill="BFBFBF"/>
          </w:tcPr>
          <w:p w14:paraId="6CE311AF" w14:textId="77777777" w:rsidR="001C08A5" w:rsidRDefault="001C08A5">
            <w:pPr>
              <w:jc w:val="center"/>
              <w:rPr>
                <w:b/>
                <w:bCs/>
                <w:i/>
                <w:sz w:val="22"/>
                <w:szCs w:val="22"/>
              </w:rPr>
            </w:pPr>
          </w:p>
          <w:p w14:paraId="5E2A60A2" w14:textId="77777777" w:rsidR="001C08A5" w:rsidRDefault="00000000">
            <w:pPr>
              <w:jc w:val="center"/>
              <w:rPr>
                <w:i/>
                <w:sz w:val="22"/>
                <w:szCs w:val="22"/>
              </w:rPr>
            </w:pPr>
            <w:r>
              <w:rPr>
                <w:b/>
                <w:bCs/>
                <w:i/>
                <w:sz w:val="22"/>
                <w:szCs w:val="22"/>
              </w:rPr>
              <w:t>Pereţi</w:t>
            </w:r>
          </w:p>
        </w:tc>
        <w:tc>
          <w:tcPr>
            <w:tcW w:w="3729" w:type="dxa"/>
            <w:gridSpan w:val="2"/>
            <w:shd w:val="clear" w:color="auto" w:fill="BFBFBF"/>
          </w:tcPr>
          <w:p w14:paraId="1AC9FCA6"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51EE1EF5" w14:textId="77777777" w:rsidR="001C08A5" w:rsidRDefault="00000000">
            <w:pPr>
              <w:jc w:val="center"/>
              <w:rPr>
                <w:b/>
                <w:bCs/>
                <w:i/>
                <w:sz w:val="22"/>
                <w:szCs w:val="22"/>
              </w:rPr>
            </w:pPr>
            <w:r>
              <w:rPr>
                <w:b/>
                <w:bCs/>
                <w:i/>
                <w:sz w:val="22"/>
                <w:szCs w:val="22"/>
              </w:rPr>
              <w:t>Uşi</w:t>
            </w:r>
          </w:p>
          <w:p w14:paraId="37266EC0" w14:textId="77777777" w:rsidR="001C08A5" w:rsidRDefault="00000000">
            <w:pPr>
              <w:jc w:val="center"/>
              <w:rPr>
                <w:i/>
                <w:sz w:val="22"/>
                <w:szCs w:val="22"/>
              </w:rPr>
            </w:pPr>
            <w:r>
              <w:rPr>
                <w:bCs/>
                <w:i/>
                <w:sz w:val="22"/>
                <w:szCs w:val="22"/>
              </w:rPr>
              <w:t>(cu excepţia celor către case de scări închise)</w:t>
            </w:r>
          </w:p>
        </w:tc>
      </w:tr>
      <w:tr w:rsidR="001C08A5" w14:paraId="70253A4D" w14:textId="77777777">
        <w:tc>
          <w:tcPr>
            <w:tcW w:w="1262" w:type="dxa"/>
          </w:tcPr>
          <w:p w14:paraId="6638A846" w14:textId="77777777" w:rsidR="001C08A5" w:rsidRDefault="00000000">
            <w:pPr>
              <w:pStyle w:val="BodyText"/>
              <w:jc w:val="center"/>
              <w:rPr>
                <w:bCs w:val="0"/>
                <w:sz w:val="22"/>
                <w:szCs w:val="22"/>
              </w:rPr>
            </w:pPr>
            <w:r>
              <w:rPr>
                <w:bCs w:val="0"/>
                <w:sz w:val="22"/>
                <w:szCs w:val="22"/>
              </w:rPr>
              <w:t>I</w:t>
            </w:r>
          </w:p>
          <w:p w14:paraId="269C77EC" w14:textId="77777777" w:rsidR="001C08A5" w:rsidRDefault="00000000">
            <w:pPr>
              <w:pStyle w:val="BodyText"/>
              <w:jc w:val="center"/>
              <w:rPr>
                <w:bCs w:val="0"/>
                <w:sz w:val="22"/>
                <w:szCs w:val="22"/>
              </w:rPr>
            </w:pPr>
            <w:r>
              <w:rPr>
                <w:sz w:val="22"/>
                <w:szCs w:val="22"/>
              </w:rPr>
              <w:t>h&lt;28m</w:t>
            </w:r>
          </w:p>
        </w:tc>
        <w:tc>
          <w:tcPr>
            <w:tcW w:w="1306" w:type="dxa"/>
          </w:tcPr>
          <w:p w14:paraId="5BB16130" w14:textId="77777777" w:rsidR="001C08A5" w:rsidRDefault="00000000">
            <w:pPr>
              <w:jc w:val="center"/>
              <w:rPr>
                <w:b/>
                <w:i/>
                <w:sz w:val="22"/>
                <w:szCs w:val="22"/>
              </w:rPr>
            </w:pPr>
            <w:r>
              <w:rPr>
                <w:b/>
                <w:i/>
                <w:sz w:val="22"/>
                <w:szCs w:val="22"/>
              </w:rPr>
              <w:t xml:space="preserve">EI/REI 90 </w:t>
            </w:r>
          </w:p>
          <w:p w14:paraId="3EEA6114" w14:textId="77777777" w:rsidR="001C08A5" w:rsidRDefault="001C08A5">
            <w:pPr>
              <w:jc w:val="center"/>
              <w:rPr>
                <w:b/>
                <w:i/>
                <w:sz w:val="22"/>
                <w:szCs w:val="22"/>
              </w:rPr>
            </w:pPr>
          </w:p>
        </w:tc>
        <w:tc>
          <w:tcPr>
            <w:tcW w:w="1662" w:type="dxa"/>
          </w:tcPr>
          <w:p w14:paraId="409B12A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68" w:type="dxa"/>
            <w:vMerge w:val="restart"/>
            <w:textDirection w:val="lrTbV"/>
          </w:tcPr>
          <w:p w14:paraId="1827A16F" w14:textId="77777777" w:rsidR="001C08A5" w:rsidRDefault="00000000">
            <w:pPr>
              <w:jc w:val="center"/>
              <w:rPr>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4368D01A" w14:textId="77777777" w:rsidR="001C08A5" w:rsidRDefault="00000000">
            <w:pP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1861" w:type="dxa"/>
          </w:tcPr>
          <w:p w14:paraId="270458C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6CCF84C4" w14:textId="77777777" w:rsidR="001C08A5" w:rsidRDefault="00000000">
            <w:pPr>
              <w:jc w:val="center"/>
              <w:rPr>
                <w:i/>
                <w:sz w:val="22"/>
                <w:szCs w:val="22"/>
              </w:rPr>
            </w:pPr>
            <w:r>
              <w:rPr>
                <w:b/>
                <w:bCs/>
                <w:i/>
                <w:sz w:val="22"/>
                <w:szCs w:val="22"/>
              </w:rPr>
              <w:t xml:space="preserve">E 30 - C5 </w:t>
            </w:r>
            <w:r>
              <w:rPr>
                <w:b/>
                <w:i/>
                <w:sz w:val="22"/>
                <w:szCs w:val="22"/>
              </w:rPr>
              <w:t>S</w:t>
            </w:r>
            <w:r>
              <w:rPr>
                <w:b/>
                <w:bCs/>
                <w:i/>
                <w:sz w:val="22"/>
                <w:szCs w:val="22"/>
                <w:vertAlign w:val="subscript"/>
              </w:rPr>
              <w:t>a</w:t>
            </w:r>
          </w:p>
        </w:tc>
      </w:tr>
      <w:tr w:rsidR="001C08A5" w14:paraId="27DC52EB" w14:textId="77777777">
        <w:tc>
          <w:tcPr>
            <w:tcW w:w="1262" w:type="dxa"/>
          </w:tcPr>
          <w:p w14:paraId="5F3A99C7" w14:textId="77777777" w:rsidR="001C08A5" w:rsidRDefault="00000000">
            <w:pPr>
              <w:pStyle w:val="BodyText"/>
              <w:jc w:val="center"/>
              <w:rPr>
                <w:bCs w:val="0"/>
                <w:sz w:val="22"/>
                <w:szCs w:val="22"/>
              </w:rPr>
            </w:pPr>
            <w:r>
              <w:rPr>
                <w:bCs w:val="0"/>
                <w:sz w:val="22"/>
                <w:szCs w:val="22"/>
              </w:rPr>
              <w:t>II</w:t>
            </w:r>
          </w:p>
        </w:tc>
        <w:tc>
          <w:tcPr>
            <w:tcW w:w="1306" w:type="dxa"/>
          </w:tcPr>
          <w:p w14:paraId="662A403B" w14:textId="77777777" w:rsidR="001C08A5" w:rsidRDefault="00000000">
            <w:pPr>
              <w:jc w:val="center"/>
              <w:rPr>
                <w:b/>
                <w:i/>
                <w:sz w:val="22"/>
                <w:szCs w:val="22"/>
              </w:rPr>
            </w:pPr>
            <w:r>
              <w:rPr>
                <w:b/>
                <w:i/>
                <w:sz w:val="22"/>
                <w:szCs w:val="22"/>
              </w:rPr>
              <w:t xml:space="preserve">EI/REI 90 </w:t>
            </w:r>
          </w:p>
          <w:p w14:paraId="7DEF0892" w14:textId="77777777" w:rsidR="001C08A5" w:rsidRDefault="001C08A5">
            <w:pPr>
              <w:jc w:val="center"/>
              <w:rPr>
                <w:b/>
                <w:i/>
                <w:sz w:val="22"/>
                <w:szCs w:val="22"/>
              </w:rPr>
            </w:pPr>
          </w:p>
        </w:tc>
        <w:tc>
          <w:tcPr>
            <w:tcW w:w="1662" w:type="dxa"/>
          </w:tcPr>
          <w:p w14:paraId="5628D3E1"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68" w:type="dxa"/>
            <w:vMerge/>
          </w:tcPr>
          <w:p w14:paraId="77554EE7" w14:textId="77777777" w:rsidR="001C08A5" w:rsidRDefault="001C08A5">
            <w:pPr>
              <w:jc w:val="center"/>
              <w:rPr>
                <w:b/>
                <w:i/>
                <w:sz w:val="22"/>
                <w:szCs w:val="22"/>
              </w:rPr>
            </w:pPr>
          </w:p>
        </w:tc>
        <w:tc>
          <w:tcPr>
            <w:tcW w:w="1861" w:type="dxa"/>
          </w:tcPr>
          <w:p w14:paraId="1EC0F0E7"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6AE6807E" w14:textId="77777777" w:rsidR="001C08A5" w:rsidRDefault="00000000">
            <w:pPr>
              <w:jc w:val="center"/>
              <w:rPr>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3D683F22" w14:textId="77777777">
        <w:tc>
          <w:tcPr>
            <w:tcW w:w="1262" w:type="dxa"/>
          </w:tcPr>
          <w:p w14:paraId="4A65BFA3" w14:textId="77777777" w:rsidR="001C08A5" w:rsidRDefault="00000000">
            <w:pPr>
              <w:pStyle w:val="BodyText"/>
              <w:jc w:val="center"/>
              <w:rPr>
                <w:bCs w:val="0"/>
                <w:sz w:val="22"/>
                <w:szCs w:val="22"/>
              </w:rPr>
            </w:pPr>
            <w:r>
              <w:rPr>
                <w:bCs w:val="0"/>
                <w:sz w:val="22"/>
                <w:szCs w:val="22"/>
              </w:rPr>
              <w:t>II (+)</w:t>
            </w:r>
          </w:p>
        </w:tc>
        <w:tc>
          <w:tcPr>
            <w:tcW w:w="1306" w:type="dxa"/>
          </w:tcPr>
          <w:p w14:paraId="3C75A7E2" w14:textId="77777777" w:rsidR="001C08A5" w:rsidRDefault="00000000">
            <w:pPr>
              <w:jc w:val="center"/>
              <w:rPr>
                <w:b/>
                <w:i/>
                <w:sz w:val="22"/>
                <w:szCs w:val="22"/>
              </w:rPr>
            </w:pPr>
            <w:r>
              <w:rPr>
                <w:b/>
                <w:i/>
                <w:sz w:val="22"/>
                <w:szCs w:val="22"/>
              </w:rPr>
              <w:t>EI/REI 90</w:t>
            </w:r>
          </w:p>
          <w:p w14:paraId="08B65083" w14:textId="77777777" w:rsidR="001C08A5" w:rsidRDefault="001C08A5">
            <w:pPr>
              <w:jc w:val="center"/>
              <w:rPr>
                <w:b/>
                <w:i/>
                <w:sz w:val="22"/>
                <w:szCs w:val="22"/>
              </w:rPr>
            </w:pPr>
          </w:p>
        </w:tc>
        <w:tc>
          <w:tcPr>
            <w:tcW w:w="1662" w:type="dxa"/>
          </w:tcPr>
          <w:p w14:paraId="553B6909"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868" w:type="dxa"/>
            <w:vMerge/>
          </w:tcPr>
          <w:p w14:paraId="633967FE" w14:textId="77777777" w:rsidR="001C08A5" w:rsidRDefault="001C08A5">
            <w:pPr>
              <w:jc w:val="center"/>
              <w:rPr>
                <w:b/>
                <w:i/>
                <w:sz w:val="22"/>
                <w:szCs w:val="22"/>
              </w:rPr>
            </w:pPr>
          </w:p>
        </w:tc>
        <w:tc>
          <w:tcPr>
            <w:tcW w:w="1861" w:type="dxa"/>
          </w:tcPr>
          <w:p w14:paraId="2C57606E" w14:textId="77777777" w:rsidR="001C08A5" w:rsidRDefault="00000000">
            <w:pPr>
              <w:jc w:val="center"/>
              <w:rPr>
                <w:b/>
                <w:i/>
                <w:sz w:val="22"/>
                <w:szCs w:val="22"/>
              </w:rPr>
            </w:pPr>
            <w:r>
              <w:rPr>
                <w:b/>
                <w:i/>
                <w:sz w:val="22"/>
                <w:szCs w:val="22"/>
              </w:rPr>
              <w:t>A1 sau A2-s1d0</w:t>
            </w:r>
          </w:p>
        </w:tc>
        <w:tc>
          <w:tcPr>
            <w:tcW w:w="1539" w:type="dxa"/>
          </w:tcPr>
          <w:p w14:paraId="2F1B17AE" w14:textId="77777777" w:rsidR="001C08A5" w:rsidRDefault="00000000">
            <w:pPr>
              <w:jc w:val="center"/>
              <w:rPr>
                <w:b/>
                <w:bCs/>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70F70E51" w14:textId="77777777">
        <w:tc>
          <w:tcPr>
            <w:tcW w:w="1262" w:type="dxa"/>
          </w:tcPr>
          <w:p w14:paraId="634ADBC8" w14:textId="77777777" w:rsidR="001C08A5" w:rsidRDefault="00000000">
            <w:pPr>
              <w:pStyle w:val="BodyText"/>
              <w:jc w:val="center"/>
              <w:rPr>
                <w:bCs w:val="0"/>
                <w:sz w:val="22"/>
                <w:szCs w:val="22"/>
              </w:rPr>
            </w:pPr>
            <w:r>
              <w:rPr>
                <w:bCs w:val="0"/>
                <w:sz w:val="22"/>
                <w:szCs w:val="22"/>
              </w:rPr>
              <w:t>III</w:t>
            </w:r>
          </w:p>
        </w:tc>
        <w:tc>
          <w:tcPr>
            <w:tcW w:w="1306" w:type="dxa"/>
          </w:tcPr>
          <w:p w14:paraId="49DE7F17" w14:textId="77777777" w:rsidR="001C08A5" w:rsidRDefault="00000000">
            <w:pPr>
              <w:jc w:val="center"/>
              <w:rPr>
                <w:b/>
                <w:i/>
                <w:sz w:val="22"/>
                <w:szCs w:val="22"/>
              </w:rPr>
            </w:pPr>
            <w:r>
              <w:rPr>
                <w:b/>
                <w:i/>
                <w:sz w:val="22"/>
                <w:szCs w:val="22"/>
              </w:rPr>
              <w:t xml:space="preserve">EI/REI 60 </w:t>
            </w:r>
          </w:p>
          <w:p w14:paraId="77BE83B9" w14:textId="77777777" w:rsidR="001C08A5" w:rsidRDefault="001C08A5">
            <w:pPr>
              <w:jc w:val="center"/>
              <w:rPr>
                <w:b/>
                <w:i/>
                <w:sz w:val="22"/>
                <w:szCs w:val="22"/>
              </w:rPr>
            </w:pPr>
          </w:p>
        </w:tc>
        <w:tc>
          <w:tcPr>
            <w:tcW w:w="1662" w:type="dxa"/>
          </w:tcPr>
          <w:p w14:paraId="62D03F66"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868" w:type="dxa"/>
            <w:vMerge/>
          </w:tcPr>
          <w:p w14:paraId="6A1D1B2C" w14:textId="77777777" w:rsidR="001C08A5" w:rsidRDefault="001C08A5">
            <w:pPr>
              <w:jc w:val="center"/>
              <w:rPr>
                <w:b/>
                <w:i/>
                <w:sz w:val="22"/>
                <w:szCs w:val="22"/>
              </w:rPr>
            </w:pPr>
          </w:p>
        </w:tc>
        <w:tc>
          <w:tcPr>
            <w:tcW w:w="1861" w:type="dxa"/>
          </w:tcPr>
          <w:p w14:paraId="79A84F22"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48F0B79F" w14:textId="77777777" w:rsidR="001C08A5" w:rsidRDefault="001C08A5">
            <w:pPr>
              <w:rPr>
                <w:i/>
                <w:sz w:val="22"/>
                <w:szCs w:val="22"/>
              </w:rPr>
            </w:pPr>
          </w:p>
        </w:tc>
        <w:tc>
          <w:tcPr>
            <w:tcW w:w="1539" w:type="dxa"/>
          </w:tcPr>
          <w:p w14:paraId="55C13ABB" w14:textId="77777777" w:rsidR="001C08A5" w:rsidRDefault="00000000">
            <w:pPr>
              <w:jc w:val="center"/>
              <w:rPr>
                <w:i/>
                <w:sz w:val="22"/>
                <w:szCs w:val="22"/>
              </w:rPr>
            </w:pPr>
            <w:r>
              <w:rPr>
                <w:b/>
                <w:bCs/>
                <w:i/>
                <w:sz w:val="22"/>
                <w:szCs w:val="22"/>
              </w:rPr>
              <w:t>C5</w:t>
            </w:r>
          </w:p>
        </w:tc>
      </w:tr>
      <w:tr w:rsidR="001C08A5" w14:paraId="7414A7A6" w14:textId="77777777">
        <w:tc>
          <w:tcPr>
            <w:tcW w:w="1262" w:type="dxa"/>
          </w:tcPr>
          <w:p w14:paraId="50ED3954" w14:textId="77777777" w:rsidR="001C08A5" w:rsidRDefault="00000000">
            <w:pPr>
              <w:pStyle w:val="BodyText"/>
              <w:jc w:val="center"/>
              <w:rPr>
                <w:bCs w:val="0"/>
                <w:sz w:val="22"/>
                <w:szCs w:val="22"/>
              </w:rPr>
            </w:pPr>
            <w:r>
              <w:rPr>
                <w:bCs w:val="0"/>
                <w:sz w:val="22"/>
                <w:szCs w:val="22"/>
              </w:rPr>
              <w:t>III (+)</w:t>
            </w:r>
          </w:p>
        </w:tc>
        <w:tc>
          <w:tcPr>
            <w:tcW w:w="1306" w:type="dxa"/>
          </w:tcPr>
          <w:p w14:paraId="37BD27C1" w14:textId="77777777" w:rsidR="001C08A5" w:rsidRDefault="00000000">
            <w:pPr>
              <w:jc w:val="center"/>
              <w:rPr>
                <w:b/>
                <w:i/>
                <w:sz w:val="22"/>
                <w:szCs w:val="22"/>
              </w:rPr>
            </w:pPr>
            <w:r>
              <w:rPr>
                <w:b/>
                <w:i/>
                <w:sz w:val="22"/>
                <w:szCs w:val="22"/>
              </w:rPr>
              <w:t xml:space="preserve">EI/REI 45 </w:t>
            </w:r>
          </w:p>
          <w:p w14:paraId="6EAAE197" w14:textId="77777777" w:rsidR="001C08A5" w:rsidRDefault="001C08A5">
            <w:pPr>
              <w:jc w:val="center"/>
              <w:rPr>
                <w:b/>
                <w:i/>
                <w:sz w:val="22"/>
                <w:szCs w:val="22"/>
              </w:rPr>
            </w:pPr>
          </w:p>
        </w:tc>
        <w:tc>
          <w:tcPr>
            <w:tcW w:w="1662" w:type="dxa"/>
          </w:tcPr>
          <w:p w14:paraId="2C9D4CD3"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tc>
        <w:tc>
          <w:tcPr>
            <w:tcW w:w="1868" w:type="dxa"/>
            <w:vMerge/>
          </w:tcPr>
          <w:p w14:paraId="299914F1" w14:textId="77777777" w:rsidR="001C08A5" w:rsidRDefault="001C08A5">
            <w:pPr>
              <w:jc w:val="center"/>
              <w:rPr>
                <w:b/>
                <w:i/>
                <w:sz w:val="22"/>
                <w:szCs w:val="22"/>
              </w:rPr>
            </w:pPr>
          </w:p>
        </w:tc>
        <w:tc>
          <w:tcPr>
            <w:tcW w:w="1861" w:type="dxa"/>
          </w:tcPr>
          <w:p w14:paraId="70C536AB" w14:textId="77777777" w:rsidR="001C08A5" w:rsidRDefault="00000000">
            <w:pPr>
              <w:jc w:val="center"/>
              <w:rPr>
                <w:i/>
                <w:sz w:val="22"/>
                <w:szCs w:val="22"/>
              </w:rPr>
            </w:pPr>
            <w:r>
              <w:rPr>
                <w:b/>
                <w:i/>
                <w:sz w:val="22"/>
                <w:szCs w:val="22"/>
              </w:rPr>
              <w:t xml:space="preserve"> A1 sau A2-s1d0 </w:t>
            </w:r>
          </w:p>
        </w:tc>
        <w:tc>
          <w:tcPr>
            <w:tcW w:w="1539" w:type="dxa"/>
          </w:tcPr>
          <w:p w14:paraId="58CF2525" w14:textId="77777777" w:rsidR="001C08A5" w:rsidRDefault="00000000">
            <w:pPr>
              <w:jc w:val="center"/>
              <w:rPr>
                <w:b/>
                <w:i/>
                <w:sz w:val="22"/>
                <w:szCs w:val="22"/>
              </w:rPr>
            </w:pPr>
            <w:r>
              <w:rPr>
                <w:b/>
                <w:bCs/>
                <w:i/>
                <w:sz w:val="22"/>
                <w:szCs w:val="22"/>
              </w:rPr>
              <w:t>C5</w:t>
            </w:r>
          </w:p>
          <w:p w14:paraId="1DD0F35B" w14:textId="77777777" w:rsidR="001C08A5" w:rsidRDefault="001C08A5">
            <w:pPr>
              <w:jc w:val="center"/>
              <w:rPr>
                <w:b/>
                <w:bCs/>
                <w:i/>
                <w:sz w:val="22"/>
                <w:szCs w:val="22"/>
              </w:rPr>
            </w:pPr>
          </w:p>
        </w:tc>
      </w:tr>
      <w:tr w:rsidR="001C08A5" w14:paraId="54AB7764" w14:textId="77777777">
        <w:tc>
          <w:tcPr>
            <w:tcW w:w="1262" w:type="dxa"/>
          </w:tcPr>
          <w:p w14:paraId="577070FB" w14:textId="77777777" w:rsidR="001C08A5" w:rsidRDefault="00000000">
            <w:pPr>
              <w:pStyle w:val="BodyText"/>
              <w:jc w:val="center"/>
              <w:rPr>
                <w:bCs w:val="0"/>
                <w:sz w:val="22"/>
                <w:szCs w:val="22"/>
              </w:rPr>
            </w:pPr>
            <w:r>
              <w:rPr>
                <w:bCs w:val="0"/>
                <w:sz w:val="22"/>
                <w:szCs w:val="22"/>
              </w:rPr>
              <w:t>IV</w:t>
            </w:r>
          </w:p>
        </w:tc>
        <w:tc>
          <w:tcPr>
            <w:tcW w:w="1306" w:type="dxa"/>
          </w:tcPr>
          <w:p w14:paraId="0FAB39C2" w14:textId="77777777" w:rsidR="001C08A5" w:rsidRDefault="00000000">
            <w:pPr>
              <w:jc w:val="center"/>
              <w:rPr>
                <w:b/>
                <w:i/>
                <w:sz w:val="22"/>
                <w:szCs w:val="22"/>
              </w:rPr>
            </w:pPr>
            <w:r>
              <w:rPr>
                <w:b/>
                <w:i/>
                <w:sz w:val="22"/>
                <w:szCs w:val="22"/>
              </w:rPr>
              <w:t xml:space="preserve">EI/REI 45 </w:t>
            </w:r>
          </w:p>
          <w:p w14:paraId="36D38285" w14:textId="77777777" w:rsidR="001C08A5" w:rsidRDefault="001C08A5">
            <w:pPr>
              <w:jc w:val="center"/>
              <w:rPr>
                <w:b/>
                <w:i/>
                <w:sz w:val="22"/>
                <w:szCs w:val="22"/>
              </w:rPr>
            </w:pPr>
          </w:p>
        </w:tc>
        <w:tc>
          <w:tcPr>
            <w:tcW w:w="1662" w:type="dxa"/>
          </w:tcPr>
          <w:p w14:paraId="6B430740"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p w14:paraId="057A016A" w14:textId="77777777" w:rsidR="001C08A5" w:rsidRDefault="00000000">
            <w:pPr>
              <w:jc w:val="center"/>
              <w:rPr>
                <w:i/>
                <w:sz w:val="22"/>
                <w:szCs w:val="22"/>
              </w:rPr>
            </w:pPr>
            <w:r>
              <w:rPr>
                <w:i/>
                <w:sz w:val="22"/>
                <w:szCs w:val="22"/>
              </w:rPr>
              <w:t xml:space="preserve">sau </w:t>
            </w:r>
            <w:r>
              <w:rPr>
                <w:b/>
                <w:i/>
                <w:sz w:val="22"/>
                <w:szCs w:val="22"/>
              </w:rPr>
              <w:t>B-s1d0</w:t>
            </w:r>
          </w:p>
        </w:tc>
        <w:tc>
          <w:tcPr>
            <w:tcW w:w="1868" w:type="dxa"/>
            <w:vMerge/>
          </w:tcPr>
          <w:p w14:paraId="3494E6FF" w14:textId="77777777" w:rsidR="001C08A5" w:rsidRDefault="001C08A5">
            <w:pPr>
              <w:jc w:val="center"/>
              <w:rPr>
                <w:b/>
                <w:i/>
                <w:sz w:val="22"/>
                <w:szCs w:val="22"/>
              </w:rPr>
            </w:pPr>
          </w:p>
        </w:tc>
        <w:tc>
          <w:tcPr>
            <w:tcW w:w="1861" w:type="dxa"/>
          </w:tcPr>
          <w:p w14:paraId="4F6E93E9"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p w14:paraId="602D323A" w14:textId="77777777" w:rsidR="001C08A5" w:rsidRDefault="00000000">
            <w:pPr>
              <w:jc w:val="center"/>
              <w:rPr>
                <w:i/>
                <w:sz w:val="22"/>
                <w:szCs w:val="22"/>
              </w:rPr>
            </w:pPr>
            <w:r>
              <w:rPr>
                <w:i/>
                <w:sz w:val="22"/>
                <w:szCs w:val="22"/>
              </w:rPr>
              <w:t xml:space="preserve">sau </w:t>
            </w:r>
            <w:r>
              <w:rPr>
                <w:b/>
                <w:i/>
                <w:sz w:val="22"/>
                <w:szCs w:val="22"/>
              </w:rPr>
              <w:t>B-s1d0</w:t>
            </w:r>
          </w:p>
        </w:tc>
        <w:tc>
          <w:tcPr>
            <w:tcW w:w="1539" w:type="dxa"/>
          </w:tcPr>
          <w:p w14:paraId="40ECBA14" w14:textId="77777777" w:rsidR="001C08A5" w:rsidRDefault="00000000">
            <w:pPr>
              <w:jc w:val="center"/>
              <w:rPr>
                <w:i/>
                <w:sz w:val="22"/>
                <w:szCs w:val="22"/>
              </w:rPr>
            </w:pPr>
            <w:r>
              <w:rPr>
                <w:b/>
                <w:bCs/>
                <w:i/>
                <w:sz w:val="22"/>
                <w:szCs w:val="22"/>
              </w:rPr>
              <w:t>C5</w:t>
            </w:r>
          </w:p>
        </w:tc>
      </w:tr>
      <w:tr w:rsidR="001C08A5" w14:paraId="5CCB8DA8" w14:textId="77777777">
        <w:tc>
          <w:tcPr>
            <w:tcW w:w="1262" w:type="dxa"/>
          </w:tcPr>
          <w:p w14:paraId="51102745" w14:textId="77777777" w:rsidR="001C08A5" w:rsidRDefault="00000000">
            <w:pPr>
              <w:pStyle w:val="BodyText"/>
              <w:jc w:val="center"/>
              <w:rPr>
                <w:bCs w:val="0"/>
                <w:sz w:val="22"/>
                <w:szCs w:val="22"/>
              </w:rPr>
            </w:pPr>
            <w:r>
              <w:rPr>
                <w:bCs w:val="0"/>
                <w:sz w:val="22"/>
                <w:szCs w:val="22"/>
              </w:rPr>
              <w:t>V</w:t>
            </w:r>
          </w:p>
        </w:tc>
        <w:tc>
          <w:tcPr>
            <w:tcW w:w="1306" w:type="dxa"/>
          </w:tcPr>
          <w:p w14:paraId="73BF6A24" w14:textId="77777777" w:rsidR="001C08A5" w:rsidRDefault="00000000">
            <w:pPr>
              <w:jc w:val="center"/>
              <w:rPr>
                <w:b/>
                <w:i/>
                <w:sz w:val="22"/>
                <w:szCs w:val="22"/>
              </w:rPr>
            </w:pPr>
            <w:r>
              <w:rPr>
                <w:b/>
                <w:i/>
                <w:sz w:val="22"/>
                <w:szCs w:val="22"/>
              </w:rPr>
              <w:t xml:space="preserve">EI/REI 30 </w:t>
            </w:r>
          </w:p>
          <w:p w14:paraId="1157CC62" w14:textId="77777777" w:rsidR="001C08A5" w:rsidRDefault="001C08A5">
            <w:pPr>
              <w:jc w:val="center"/>
              <w:rPr>
                <w:b/>
                <w:i/>
                <w:sz w:val="22"/>
                <w:szCs w:val="22"/>
              </w:rPr>
            </w:pPr>
          </w:p>
        </w:tc>
        <w:tc>
          <w:tcPr>
            <w:tcW w:w="1662" w:type="dxa"/>
          </w:tcPr>
          <w:p w14:paraId="70489541" w14:textId="77777777" w:rsidR="001C08A5" w:rsidRDefault="00000000">
            <w:pPr>
              <w:jc w:val="center"/>
              <w:rPr>
                <w:bCs/>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p>
          <w:p w14:paraId="2B92CDA9" w14:textId="77777777" w:rsidR="001C08A5" w:rsidRDefault="00000000">
            <w:pPr>
              <w:jc w:val="center"/>
              <w:rPr>
                <w:i/>
                <w:sz w:val="22"/>
                <w:szCs w:val="22"/>
              </w:rPr>
            </w:pPr>
            <w:r>
              <w:rPr>
                <w:b/>
                <w:bCs/>
                <w:i/>
                <w:sz w:val="22"/>
                <w:szCs w:val="22"/>
              </w:rPr>
              <w:t>B-s1d0</w:t>
            </w:r>
            <w:r>
              <w:rPr>
                <w:bCs/>
                <w:i/>
                <w:sz w:val="22"/>
                <w:szCs w:val="22"/>
              </w:rPr>
              <w:t xml:space="preserve">, </w:t>
            </w:r>
            <w:r>
              <w:rPr>
                <w:b/>
                <w:bCs/>
                <w:i/>
                <w:sz w:val="22"/>
                <w:szCs w:val="22"/>
              </w:rPr>
              <w:t xml:space="preserve">C-s1d0 </w:t>
            </w:r>
          </w:p>
        </w:tc>
        <w:tc>
          <w:tcPr>
            <w:tcW w:w="1868" w:type="dxa"/>
            <w:vMerge/>
          </w:tcPr>
          <w:p w14:paraId="39E8875D" w14:textId="77777777" w:rsidR="001C08A5" w:rsidRDefault="001C08A5">
            <w:pPr>
              <w:jc w:val="center"/>
              <w:rPr>
                <w:b/>
                <w:i/>
                <w:sz w:val="22"/>
                <w:szCs w:val="22"/>
              </w:rPr>
            </w:pPr>
          </w:p>
        </w:tc>
        <w:tc>
          <w:tcPr>
            <w:tcW w:w="1861" w:type="dxa"/>
          </w:tcPr>
          <w:p w14:paraId="289DD2C1" w14:textId="77777777" w:rsidR="001C08A5" w:rsidRDefault="00000000">
            <w:pPr>
              <w:jc w:val="center"/>
              <w:rPr>
                <w:bCs/>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p>
          <w:p w14:paraId="49AAF308" w14:textId="77777777" w:rsidR="001C08A5" w:rsidRDefault="00000000">
            <w:pPr>
              <w:jc w:val="center"/>
              <w:rPr>
                <w:i/>
                <w:sz w:val="22"/>
                <w:szCs w:val="22"/>
              </w:rPr>
            </w:pPr>
            <w:r>
              <w:rPr>
                <w:b/>
                <w:bCs/>
                <w:i/>
                <w:sz w:val="22"/>
                <w:szCs w:val="22"/>
              </w:rPr>
              <w:t>B-s1d0</w:t>
            </w:r>
            <w:r>
              <w:rPr>
                <w:bCs/>
                <w:i/>
                <w:sz w:val="22"/>
                <w:szCs w:val="22"/>
              </w:rPr>
              <w:t xml:space="preserve">, </w:t>
            </w:r>
            <w:r>
              <w:rPr>
                <w:b/>
                <w:bCs/>
                <w:i/>
                <w:sz w:val="22"/>
                <w:szCs w:val="22"/>
              </w:rPr>
              <w:t xml:space="preserve">C-s1d0 </w:t>
            </w:r>
          </w:p>
        </w:tc>
        <w:tc>
          <w:tcPr>
            <w:tcW w:w="1539" w:type="dxa"/>
          </w:tcPr>
          <w:p w14:paraId="3E3A473C" w14:textId="77777777" w:rsidR="001C08A5" w:rsidRDefault="00000000">
            <w:pPr>
              <w:jc w:val="center"/>
              <w:rPr>
                <w:b/>
                <w:bCs/>
                <w:i/>
                <w:sz w:val="22"/>
                <w:szCs w:val="22"/>
              </w:rPr>
            </w:pPr>
            <w:r>
              <w:rPr>
                <w:b/>
                <w:bCs/>
                <w:i/>
                <w:sz w:val="22"/>
                <w:szCs w:val="22"/>
              </w:rPr>
              <w:t>-</w:t>
            </w:r>
          </w:p>
        </w:tc>
      </w:tr>
    </w:tbl>
    <w:p w14:paraId="08063D1A" w14:textId="77777777" w:rsidR="001C08A5" w:rsidRDefault="00000000">
      <w:pPr>
        <w:jc w:val="both"/>
        <w:rPr>
          <w:i/>
          <w:sz w:val="22"/>
          <w:szCs w:val="22"/>
          <w:u w:val="single"/>
        </w:rPr>
      </w:pPr>
      <w:r>
        <w:rPr>
          <w:i/>
          <w:sz w:val="22"/>
          <w:szCs w:val="22"/>
          <w:u w:val="single"/>
        </w:rPr>
        <w:t>Note:</w:t>
      </w:r>
    </w:p>
    <w:p w14:paraId="7262C477" w14:textId="77777777" w:rsidR="001C08A5" w:rsidRDefault="00000000">
      <w:pPr>
        <w:ind w:left="720"/>
        <w:jc w:val="both"/>
        <w:rPr>
          <w:i/>
          <w:sz w:val="22"/>
          <w:szCs w:val="22"/>
        </w:rPr>
      </w:pPr>
      <w:r>
        <w:rPr>
          <w:i/>
          <w:sz w:val="22"/>
          <w:szCs w:val="22"/>
        </w:rPr>
        <w:t>În cazul pereților vitrați cu profil metalic care separă coridoarele și holurile de încăperile adiacente nu se ia în considerare clasa de reacție la foc.</w:t>
      </w:r>
    </w:p>
    <w:p w14:paraId="52180802" w14:textId="77777777" w:rsidR="001C08A5" w:rsidRDefault="00000000">
      <w:pPr>
        <w:ind w:left="720"/>
        <w:jc w:val="both"/>
        <w:rPr>
          <w:rFonts w:eastAsia="Times New Roman"/>
          <w:i/>
          <w:sz w:val="22"/>
          <w:szCs w:val="22"/>
        </w:rPr>
      </w:pPr>
      <w:r>
        <w:rPr>
          <w:i/>
          <w:sz w:val="22"/>
          <w:szCs w:val="22"/>
        </w:rPr>
        <w:lastRenderedPageBreak/>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7EF81B73"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0F420C1B" w14:textId="77777777" w:rsidR="001C08A5" w:rsidRDefault="001C08A5">
      <w:pPr>
        <w:jc w:val="both"/>
        <w:rPr>
          <w:sz w:val="24"/>
          <w:szCs w:val="24"/>
        </w:rPr>
      </w:pPr>
    </w:p>
    <w:p w14:paraId="73D72F10" w14:textId="77777777" w:rsidR="001C08A5" w:rsidRDefault="00000000">
      <w:pPr>
        <w:jc w:val="both"/>
        <w:rPr>
          <w:sz w:val="24"/>
          <w:szCs w:val="24"/>
        </w:rPr>
      </w:pPr>
      <w:r>
        <w:rPr>
          <w:sz w:val="24"/>
          <w:szCs w:val="24"/>
        </w:rPr>
        <w:tab/>
      </w:r>
      <w:r>
        <w:rPr>
          <w:b/>
          <w:sz w:val="24"/>
          <w:szCs w:val="24"/>
        </w:rPr>
        <w:t xml:space="preserve">Art. </w:t>
      </w:r>
      <w:r>
        <w:rPr>
          <w:b/>
          <w:bCs/>
          <w:sz w:val="24"/>
          <w:szCs w:val="24"/>
        </w:rPr>
        <w:t xml:space="preserve">3.2.7.4. </w:t>
      </w:r>
      <w:r>
        <w:rPr>
          <w:sz w:val="24"/>
          <w:szCs w:val="24"/>
        </w:rPr>
        <w:t>Scările monumentale pot fi deschise pe toată înălţimea construcţiei pentru turism supraterane cu înălţime obişnuită, dacă sunt prevăzute şi scări închise care asigură îndeplinirea condiţiilor normate de evacuare a utilizatorilor.</w:t>
      </w:r>
    </w:p>
    <w:p w14:paraId="21356F0D" w14:textId="77777777" w:rsidR="001C08A5" w:rsidRDefault="001C08A5">
      <w:pPr>
        <w:jc w:val="both"/>
        <w:rPr>
          <w:strike/>
          <w:sz w:val="24"/>
          <w:szCs w:val="24"/>
        </w:rPr>
      </w:pPr>
    </w:p>
    <w:p w14:paraId="19F2117A" w14:textId="77777777" w:rsidR="001C08A5" w:rsidRDefault="00000000">
      <w:pPr>
        <w:pStyle w:val="BodyText"/>
      </w:pPr>
      <w:r>
        <w:rPr>
          <w:b w:val="0"/>
        </w:rPr>
        <w:tab/>
      </w:r>
      <w:r>
        <w:rPr>
          <w:i w:val="0"/>
          <w:iCs/>
        </w:rPr>
        <w:t xml:space="preserve">Art. </w:t>
      </w:r>
      <w:r>
        <w:rPr>
          <w:bCs w:val="0"/>
          <w:i w:val="0"/>
          <w:iCs/>
        </w:rPr>
        <w:t>3.2.7.5.</w:t>
      </w:r>
      <w:r>
        <w:rPr>
          <w:b w:val="0"/>
          <w:bCs w:val="0"/>
          <w:i w:val="0"/>
          <w:iCs/>
        </w:rPr>
        <w:t xml:space="preserve"> Lungimea maxima admisă a traseului de parcurs pe căile de evacuare în clădirile pentru turism (cu excepţia sălilor aglomerate, a clădirilor înalte şi foarte înalte), sunt precizate în </w:t>
      </w:r>
      <w:r>
        <w:rPr>
          <w:b w:val="0"/>
          <w:bCs w:val="0"/>
          <w:i w:val="0"/>
          <w:iCs/>
        </w:rPr>
        <w:fldChar w:fldCharType="begin"/>
      </w:r>
      <w:r>
        <w:rPr>
          <w:b w:val="0"/>
          <w:bCs w:val="0"/>
          <w:i w:val="0"/>
          <w:iCs/>
        </w:rPr>
        <w:instrText xml:space="preserve"> REF _Ref25753 \h </w:instrText>
      </w:r>
      <w:r>
        <w:rPr>
          <w:b w:val="0"/>
          <w:bCs w:val="0"/>
          <w:i w:val="0"/>
          <w:iCs/>
        </w:rPr>
      </w:r>
      <w:r>
        <w:rPr>
          <w:b w:val="0"/>
          <w:bCs w:val="0"/>
          <w:i w:val="0"/>
          <w:iCs/>
        </w:rPr>
        <w:fldChar w:fldCharType="separate"/>
      </w:r>
      <w:r>
        <w:t>Tabelul 80</w:t>
      </w:r>
      <w:r>
        <w:rPr>
          <w:b w:val="0"/>
          <w:bCs w:val="0"/>
          <w:i w:val="0"/>
          <w:iCs/>
        </w:rPr>
        <w:fldChar w:fldCharType="end"/>
      </w:r>
      <w:r>
        <w:t>.</w:t>
      </w:r>
    </w:p>
    <w:p w14:paraId="7695414B" w14:textId="77777777" w:rsidR="001C08A5" w:rsidRDefault="001C08A5">
      <w:pPr>
        <w:jc w:val="both"/>
        <w:rPr>
          <w:b/>
          <w:sz w:val="24"/>
          <w:szCs w:val="24"/>
        </w:rPr>
      </w:pPr>
    </w:p>
    <w:p w14:paraId="56F6E17E" w14:textId="77777777" w:rsidR="001C08A5" w:rsidRDefault="00000000">
      <w:pPr>
        <w:pStyle w:val="Captiontabel"/>
      </w:pPr>
      <w:bookmarkStart w:id="3858" w:name="_Ref25753"/>
      <w:bookmarkStart w:id="3859" w:name="_Toc162360130"/>
      <w:bookmarkStart w:id="3860" w:name="_Ref12937"/>
      <w:r>
        <w:t xml:space="preserve">Tabelul </w:t>
      </w:r>
      <w:r>
        <w:fldChar w:fldCharType="begin"/>
      </w:r>
      <w:r>
        <w:instrText xml:space="preserve"> SEQ Tabelul \* ARABIC </w:instrText>
      </w:r>
      <w:r>
        <w:fldChar w:fldCharType="separate"/>
      </w:r>
      <w:r>
        <w:t>80</w:t>
      </w:r>
      <w:r>
        <w:fldChar w:fldCharType="end"/>
      </w:r>
      <w:bookmarkStart w:id="3861" w:name="_Toc2982"/>
      <w:bookmarkStart w:id="3862" w:name="_Toc11068"/>
      <w:bookmarkStart w:id="3863" w:name="_Toc10293"/>
      <w:bookmarkStart w:id="3864" w:name="_Toc26510"/>
      <w:bookmarkStart w:id="3865" w:name="_Toc22498"/>
      <w:bookmarkStart w:id="3866" w:name="_Toc16137"/>
      <w:bookmarkStart w:id="3867" w:name="_Toc15756"/>
      <w:bookmarkStart w:id="3868" w:name="_Toc18028"/>
      <w:bookmarkStart w:id="3869" w:name="_Toc12339"/>
      <w:bookmarkStart w:id="3870" w:name="_Toc11506"/>
      <w:bookmarkStart w:id="3871" w:name="_Toc15669"/>
      <w:bookmarkStart w:id="3872" w:name="_Toc9996"/>
      <w:bookmarkStart w:id="3873" w:name="_Toc3502"/>
      <w:bookmarkStart w:id="3874" w:name="_Toc4846"/>
      <w:bookmarkStart w:id="3875" w:name="_Toc24624"/>
      <w:bookmarkStart w:id="3876" w:name="_Toc1655"/>
      <w:bookmarkStart w:id="3877" w:name="_Toc23226"/>
      <w:bookmarkStart w:id="3878" w:name="_Toc15114"/>
      <w:bookmarkStart w:id="3879" w:name="_Toc32009"/>
      <w:bookmarkEnd w:id="3858"/>
      <w:r>
        <w:t>: Lungimi de evacuare în clădiri pentru turism supraterane cu înălţimi obişnuite</w:t>
      </w:r>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p>
    <w:p w14:paraId="5835735E" w14:textId="77777777" w:rsidR="001C08A5" w:rsidRDefault="001C08A5">
      <w:pPr>
        <w:jc w:val="both"/>
        <w:rPr>
          <w:sz w:val="24"/>
          <w:szCs w:val="24"/>
        </w:rPr>
      </w:pPr>
    </w:p>
    <w:tbl>
      <w:tblPr>
        <w:tblW w:w="9585" w:type="dxa"/>
        <w:tblInd w:w="176" w:type="dxa"/>
        <w:tblLayout w:type="fixed"/>
        <w:tblLook w:val="04A0" w:firstRow="1" w:lastRow="0" w:firstColumn="1" w:lastColumn="0" w:noHBand="0" w:noVBand="1"/>
      </w:tblPr>
      <w:tblGrid>
        <w:gridCol w:w="630"/>
        <w:gridCol w:w="1883"/>
        <w:gridCol w:w="1350"/>
        <w:gridCol w:w="1405"/>
        <w:gridCol w:w="1745"/>
        <w:gridCol w:w="2572"/>
      </w:tblGrid>
      <w:tr w:rsidR="001C08A5" w14:paraId="0D1F3C7F" w14:textId="77777777">
        <w:tc>
          <w:tcPr>
            <w:tcW w:w="630" w:type="dxa"/>
            <w:vMerge w:val="restart"/>
            <w:tcBorders>
              <w:top w:val="single" w:sz="8" w:space="0" w:color="000000"/>
              <w:left w:val="single" w:sz="8" w:space="0" w:color="000000"/>
              <w:bottom w:val="single" w:sz="4" w:space="0" w:color="000000"/>
            </w:tcBorders>
            <w:shd w:val="clear" w:color="auto" w:fill="BFBFBF"/>
          </w:tcPr>
          <w:p w14:paraId="1597B9C3" w14:textId="77777777" w:rsidR="001C08A5" w:rsidRDefault="001C08A5">
            <w:pPr>
              <w:jc w:val="both"/>
              <w:rPr>
                <w:b/>
                <w:i/>
                <w:iCs/>
                <w:sz w:val="22"/>
                <w:szCs w:val="22"/>
              </w:rPr>
            </w:pPr>
          </w:p>
          <w:p w14:paraId="78BE34CB" w14:textId="77777777" w:rsidR="001C08A5" w:rsidRDefault="00000000">
            <w:pPr>
              <w:jc w:val="center"/>
              <w:rPr>
                <w:i/>
                <w:iCs/>
                <w:sz w:val="22"/>
                <w:szCs w:val="22"/>
              </w:rPr>
            </w:pPr>
            <w:r>
              <w:rPr>
                <w:b/>
                <w:i/>
                <w:iCs/>
                <w:sz w:val="22"/>
                <w:szCs w:val="22"/>
              </w:rPr>
              <w:t>Nr. crt.</w:t>
            </w:r>
          </w:p>
        </w:tc>
        <w:tc>
          <w:tcPr>
            <w:tcW w:w="1883" w:type="dxa"/>
            <w:vMerge w:val="restart"/>
            <w:tcBorders>
              <w:top w:val="single" w:sz="8" w:space="0" w:color="000000"/>
              <w:left w:val="single" w:sz="4" w:space="0" w:color="000000"/>
              <w:bottom w:val="single" w:sz="4" w:space="0" w:color="000000"/>
            </w:tcBorders>
            <w:shd w:val="clear" w:color="auto" w:fill="BFBFBF"/>
          </w:tcPr>
          <w:p w14:paraId="33FC5079" w14:textId="77777777" w:rsidR="001C08A5" w:rsidRDefault="001C08A5">
            <w:pPr>
              <w:snapToGrid w:val="0"/>
              <w:jc w:val="center"/>
              <w:rPr>
                <w:b/>
                <w:i/>
                <w:iCs/>
                <w:sz w:val="22"/>
                <w:szCs w:val="22"/>
              </w:rPr>
            </w:pPr>
          </w:p>
          <w:p w14:paraId="71A80E31" w14:textId="77777777" w:rsidR="001C08A5" w:rsidRDefault="001C08A5">
            <w:pPr>
              <w:jc w:val="center"/>
              <w:rPr>
                <w:b/>
                <w:i/>
                <w:iCs/>
                <w:sz w:val="22"/>
                <w:szCs w:val="22"/>
              </w:rPr>
            </w:pPr>
          </w:p>
          <w:p w14:paraId="57355EA4" w14:textId="77777777" w:rsidR="001C08A5" w:rsidRDefault="00000000">
            <w:pPr>
              <w:jc w:val="center"/>
              <w:rPr>
                <w:b/>
                <w:i/>
                <w:iCs/>
                <w:sz w:val="22"/>
                <w:szCs w:val="22"/>
              </w:rPr>
            </w:pPr>
            <w:r>
              <w:rPr>
                <w:b/>
                <w:i/>
                <w:iCs/>
                <w:sz w:val="22"/>
                <w:szCs w:val="22"/>
              </w:rPr>
              <w:t>Clădiri pentru turism</w:t>
            </w:r>
          </w:p>
        </w:tc>
        <w:tc>
          <w:tcPr>
            <w:tcW w:w="1350" w:type="dxa"/>
            <w:vMerge w:val="restart"/>
            <w:tcBorders>
              <w:top w:val="single" w:sz="8" w:space="0" w:color="000000"/>
              <w:left w:val="single" w:sz="4" w:space="0" w:color="000000"/>
              <w:bottom w:val="single" w:sz="4" w:space="0" w:color="000000"/>
            </w:tcBorders>
            <w:shd w:val="clear" w:color="auto" w:fill="BFBFBF"/>
          </w:tcPr>
          <w:p w14:paraId="357CA8B3" w14:textId="77777777" w:rsidR="001C08A5" w:rsidRDefault="00000000">
            <w:pPr>
              <w:jc w:val="center"/>
              <w:rPr>
                <w:b/>
                <w:i/>
                <w:iCs/>
                <w:sz w:val="22"/>
                <w:szCs w:val="22"/>
              </w:rPr>
            </w:pPr>
            <w:r>
              <w:rPr>
                <w:b/>
                <w:i/>
                <w:iCs/>
                <w:sz w:val="22"/>
                <w:szCs w:val="22"/>
              </w:rPr>
              <w:t>Nivel de stabilitate  la incendiu asigurat</w:t>
            </w:r>
          </w:p>
        </w:tc>
        <w:tc>
          <w:tcPr>
            <w:tcW w:w="3150" w:type="dxa"/>
            <w:gridSpan w:val="2"/>
            <w:tcBorders>
              <w:top w:val="single" w:sz="8" w:space="0" w:color="000000"/>
              <w:left w:val="single" w:sz="4" w:space="0" w:color="000000"/>
              <w:bottom w:val="single" w:sz="4" w:space="0" w:color="000000"/>
            </w:tcBorders>
            <w:shd w:val="clear" w:color="auto" w:fill="BFBFBF"/>
          </w:tcPr>
          <w:p w14:paraId="0A609CD1" w14:textId="77777777" w:rsidR="001C08A5" w:rsidRDefault="00000000">
            <w:pPr>
              <w:jc w:val="center"/>
              <w:rPr>
                <w:b/>
                <w:i/>
                <w:iCs/>
                <w:sz w:val="22"/>
                <w:szCs w:val="22"/>
              </w:rPr>
            </w:pPr>
            <w:r>
              <w:rPr>
                <w:b/>
                <w:i/>
                <w:iCs/>
                <w:sz w:val="22"/>
                <w:szCs w:val="22"/>
              </w:rPr>
              <w:t xml:space="preserve">Lungime maximă de evacuare </w:t>
            </w:r>
          </w:p>
        </w:tc>
        <w:tc>
          <w:tcPr>
            <w:tcW w:w="2572" w:type="dxa"/>
            <w:vMerge w:val="restart"/>
            <w:tcBorders>
              <w:top w:val="single" w:sz="8" w:space="0" w:color="000000"/>
              <w:left w:val="single" w:sz="4" w:space="0" w:color="000000"/>
              <w:bottom w:val="single" w:sz="4" w:space="0" w:color="000000"/>
              <w:right w:val="single" w:sz="8" w:space="0" w:color="000000"/>
            </w:tcBorders>
            <w:shd w:val="clear" w:color="auto" w:fill="BFBFBF"/>
          </w:tcPr>
          <w:p w14:paraId="376CC3D6" w14:textId="77777777" w:rsidR="001C08A5" w:rsidRDefault="001C08A5">
            <w:pPr>
              <w:snapToGrid w:val="0"/>
              <w:jc w:val="center"/>
              <w:rPr>
                <w:b/>
                <w:i/>
                <w:iCs/>
                <w:sz w:val="22"/>
                <w:szCs w:val="22"/>
              </w:rPr>
            </w:pPr>
          </w:p>
          <w:p w14:paraId="62A1AE46" w14:textId="77777777" w:rsidR="001C08A5" w:rsidRDefault="001C08A5">
            <w:pPr>
              <w:jc w:val="center"/>
              <w:rPr>
                <w:b/>
                <w:i/>
                <w:iCs/>
                <w:sz w:val="22"/>
                <w:szCs w:val="22"/>
              </w:rPr>
            </w:pPr>
          </w:p>
          <w:p w14:paraId="6FA7A2D8" w14:textId="77777777" w:rsidR="001C08A5" w:rsidRDefault="00000000">
            <w:pPr>
              <w:jc w:val="center"/>
              <w:rPr>
                <w:i/>
                <w:iCs/>
                <w:sz w:val="22"/>
                <w:szCs w:val="22"/>
              </w:rPr>
            </w:pPr>
            <w:r>
              <w:rPr>
                <w:b/>
                <w:i/>
                <w:iCs/>
                <w:sz w:val="22"/>
                <w:szCs w:val="22"/>
              </w:rPr>
              <w:t>Observaţii</w:t>
            </w:r>
          </w:p>
        </w:tc>
      </w:tr>
      <w:tr w:rsidR="001C08A5" w14:paraId="50CA0927" w14:textId="77777777">
        <w:tc>
          <w:tcPr>
            <w:tcW w:w="630" w:type="dxa"/>
            <w:vMerge/>
            <w:tcBorders>
              <w:top w:val="single" w:sz="4" w:space="0" w:color="000000"/>
              <w:left w:val="single" w:sz="8" w:space="0" w:color="000000"/>
              <w:bottom w:val="single" w:sz="4" w:space="0" w:color="000000"/>
            </w:tcBorders>
            <w:shd w:val="clear" w:color="auto" w:fill="auto"/>
          </w:tcPr>
          <w:p w14:paraId="026089B7"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4" w:space="0" w:color="000000"/>
            </w:tcBorders>
            <w:shd w:val="clear" w:color="auto" w:fill="auto"/>
          </w:tcPr>
          <w:p w14:paraId="4C8FE016" w14:textId="77777777" w:rsidR="001C08A5" w:rsidRDefault="001C08A5">
            <w:pPr>
              <w:snapToGrid w:val="0"/>
              <w:jc w:val="center"/>
              <w:rPr>
                <w:i/>
                <w:iCs/>
                <w:sz w:val="22"/>
                <w:szCs w:val="22"/>
              </w:rPr>
            </w:pPr>
          </w:p>
        </w:tc>
        <w:tc>
          <w:tcPr>
            <w:tcW w:w="1350" w:type="dxa"/>
            <w:vMerge/>
            <w:tcBorders>
              <w:top w:val="single" w:sz="4" w:space="0" w:color="000000"/>
              <w:left w:val="single" w:sz="4" w:space="0" w:color="000000"/>
              <w:bottom w:val="single" w:sz="4" w:space="0" w:color="000000"/>
            </w:tcBorders>
            <w:shd w:val="clear" w:color="auto" w:fill="auto"/>
          </w:tcPr>
          <w:p w14:paraId="46948516" w14:textId="77777777" w:rsidR="001C08A5" w:rsidRDefault="001C08A5">
            <w:pPr>
              <w:snapToGrid w:val="0"/>
              <w:jc w:val="center"/>
              <w:rPr>
                <w:i/>
                <w:iCs/>
                <w:sz w:val="22"/>
                <w:szCs w:val="22"/>
              </w:rPr>
            </w:pPr>
          </w:p>
        </w:tc>
        <w:tc>
          <w:tcPr>
            <w:tcW w:w="1405" w:type="dxa"/>
            <w:tcBorders>
              <w:top w:val="single" w:sz="4" w:space="0" w:color="000000"/>
              <w:left w:val="single" w:sz="4" w:space="0" w:color="000000"/>
              <w:bottom w:val="single" w:sz="4" w:space="0" w:color="000000"/>
            </w:tcBorders>
            <w:shd w:val="clear" w:color="auto" w:fill="BFBFBF"/>
          </w:tcPr>
          <w:p w14:paraId="4AC26659" w14:textId="77777777" w:rsidR="001C08A5" w:rsidRDefault="00000000">
            <w:pPr>
              <w:jc w:val="center"/>
              <w:rPr>
                <w:b/>
                <w:i/>
                <w:iCs/>
                <w:sz w:val="22"/>
                <w:szCs w:val="22"/>
              </w:rPr>
            </w:pPr>
            <w:r>
              <w:rPr>
                <w:b/>
                <w:i/>
                <w:iCs/>
                <w:sz w:val="22"/>
                <w:szCs w:val="22"/>
              </w:rPr>
              <w:t>în două direcţii diferite</w:t>
            </w:r>
          </w:p>
        </w:tc>
        <w:tc>
          <w:tcPr>
            <w:tcW w:w="1745" w:type="dxa"/>
            <w:tcBorders>
              <w:top w:val="single" w:sz="4" w:space="0" w:color="000000"/>
              <w:left w:val="single" w:sz="4" w:space="0" w:color="000000"/>
              <w:bottom w:val="single" w:sz="4" w:space="0" w:color="000000"/>
            </w:tcBorders>
            <w:shd w:val="clear" w:color="auto" w:fill="BFBFBF"/>
          </w:tcPr>
          <w:p w14:paraId="1EDD3781" w14:textId="77777777" w:rsidR="001C08A5" w:rsidRDefault="00000000">
            <w:pPr>
              <w:jc w:val="center"/>
              <w:rPr>
                <w:i/>
                <w:iCs/>
                <w:sz w:val="22"/>
                <w:szCs w:val="22"/>
              </w:rPr>
            </w:pPr>
            <w:r>
              <w:rPr>
                <w:b/>
                <w:i/>
                <w:iCs/>
                <w:sz w:val="22"/>
                <w:szCs w:val="22"/>
              </w:rPr>
              <w:t>într-o direcţie (coridor înfundat)</w:t>
            </w:r>
          </w:p>
        </w:tc>
        <w:tc>
          <w:tcPr>
            <w:tcW w:w="2572" w:type="dxa"/>
            <w:vMerge/>
            <w:tcBorders>
              <w:top w:val="single" w:sz="4" w:space="0" w:color="000000"/>
              <w:left w:val="single" w:sz="4" w:space="0" w:color="000000"/>
              <w:bottom w:val="single" w:sz="4" w:space="0" w:color="000000"/>
              <w:right w:val="single" w:sz="8" w:space="0" w:color="000000"/>
            </w:tcBorders>
          </w:tcPr>
          <w:p w14:paraId="27A71B2B" w14:textId="77777777" w:rsidR="001C08A5" w:rsidRDefault="001C08A5">
            <w:pPr>
              <w:snapToGrid w:val="0"/>
              <w:rPr>
                <w:i/>
                <w:iCs/>
                <w:sz w:val="22"/>
                <w:szCs w:val="22"/>
              </w:rPr>
            </w:pPr>
          </w:p>
        </w:tc>
      </w:tr>
      <w:tr w:rsidR="001C08A5" w14:paraId="4BCB6896" w14:textId="77777777">
        <w:trPr>
          <w:trHeight w:val="146"/>
        </w:trPr>
        <w:tc>
          <w:tcPr>
            <w:tcW w:w="630" w:type="dxa"/>
            <w:vMerge/>
            <w:tcBorders>
              <w:top w:val="single" w:sz="4" w:space="0" w:color="000000"/>
              <w:left w:val="single" w:sz="8" w:space="0" w:color="000000"/>
              <w:bottom w:val="single" w:sz="8" w:space="0" w:color="000000"/>
            </w:tcBorders>
            <w:shd w:val="clear" w:color="auto" w:fill="auto"/>
          </w:tcPr>
          <w:p w14:paraId="71CDF069"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8" w:space="0" w:color="000000"/>
            </w:tcBorders>
            <w:shd w:val="clear" w:color="auto" w:fill="auto"/>
          </w:tcPr>
          <w:p w14:paraId="048CE4C8" w14:textId="77777777" w:rsidR="001C08A5" w:rsidRDefault="001C08A5">
            <w:pPr>
              <w:snapToGrid w:val="0"/>
              <w:jc w:val="center"/>
              <w:rPr>
                <w:i/>
                <w:iCs/>
                <w:sz w:val="22"/>
                <w:szCs w:val="22"/>
              </w:rPr>
            </w:pPr>
          </w:p>
        </w:tc>
        <w:tc>
          <w:tcPr>
            <w:tcW w:w="1350" w:type="dxa"/>
            <w:vMerge/>
            <w:tcBorders>
              <w:top w:val="single" w:sz="4" w:space="0" w:color="000000"/>
              <w:left w:val="single" w:sz="4" w:space="0" w:color="000000"/>
              <w:bottom w:val="single" w:sz="8" w:space="0" w:color="000000"/>
            </w:tcBorders>
            <w:shd w:val="clear" w:color="auto" w:fill="auto"/>
          </w:tcPr>
          <w:p w14:paraId="2C319138" w14:textId="77777777" w:rsidR="001C08A5" w:rsidRDefault="001C08A5">
            <w:pPr>
              <w:snapToGrid w:val="0"/>
              <w:jc w:val="center"/>
              <w:rPr>
                <w:i/>
                <w:iCs/>
                <w:sz w:val="22"/>
                <w:szCs w:val="22"/>
              </w:rPr>
            </w:pPr>
          </w:p>
        </w:tc>
        <w:tc>
          <w:tcPr>
            <w:tcW w:w="1405" w:type="dxa"/>
            <w:tcBorders>
              <w:top w:val="single" w:sz="4" w:space="0" w:color="000000"/>
              <w:left w:val="single" w:sz="4" w:space="0" w:color="000000"/>
              <w:bottom w:val="single" w:sz="8" w:space="0" w:color="000000"/>
            </w:tcBorders>
            <w:shd w:val="clear" w:color="auto" w:fill="BFBFBF"/>
          </w:tcPr>
          <w:p w14:paraId="049CCC8B" w14:textId="77777777" w:rsidR="001C08A5" w:rsidRDefault="00000000">
            <w:pPr>
              <w:jc w:val="center"/>
              <w:rPr>
                <w:b/>
                <w:i/>
                <w:iCs/>
                <w:sz w:val="22"/>
                <w:szCs w:val="22"/>
              </w:rPr>
            </w:pPr>
            <w:r>
              <w:rPr>
                <w:b/>
                <w:i/>
                <w:iCs/>
                <w:sz w:val="22"/>
                <w:szCs w:val="22"/>
              </w:rPr>
              <w:t>metri</w:t>
            </w:r>
          </w:p>
        </w:tc>
        <w:tc>
          <w:tcPr>
            <w:tcW w:w="1745" w:type="dxa"/>
            <w:tcBorders>
              <w:top w:val="single" w:sz="4" w:space="0" w:color="000000"/>
              <w:left w:val="single" w:sz="4" w:space="0" w:color="000000"/>
              <w:bottom w:val="single" w:sz="8" w:space="0" w:color="000000"/>
            </w:tcBorders>
            <w:shd w:val="clear" w:color="auto" w:fill="BFBFBF"/>
          </w:tcPr>
          <w:p w14:paraId="0E5F90A5" w14:textId="77777777" w:rsidR="001C08A5" w:rsidRDefault="00000000">
            <w:pPr>
              <w:jc w:val="center"/>
              <w:rPr>
                <w:i/>
                <w:iCs/>
                <w:sz w:val="22"/>
                <w:szCs w:val="22"/>
              </w:rPr>
            </w:pPr>
            <w:r>
              <w:rPr>
                <w:b/>
                <w:i/>
                <w:iCs/>
                <w:sz w:val="22"/>
                <w:szCs w:val="22"/>
              </w:rPr>
              <w:t>metri</w:t>
            </w:r>
          </w:p>
        </w:tc>
        <w:tc>
          <w:tcPr>
            <w:tcW w:w="2572" w:type="dxa"/>
            <w:vMerge/>
            <w:tcBorders>
              <w:top w:val="single" w:sz="4" w:space="0" w:color="000000"/>
              <w:left w:val="single" w:sz="4" w:space="0" w:color="000000"/>
              <w:bottom w:val="single" w:sz="8" w:space="0" w:color="000000"/>
              <w:right w:val="single" w:sz="8" w:space="0" w:color="000000"/>
            </w:tcBorders>
          </w:tcPr>
          <w:p w14:paraId="033CBA80" w14:textId="77777777" w:rsidR="001C08A5" w:rsidRDefault="001C08A5">
            <w:pPr>
              <w:snapToGrid w:val="0"/>
              <w:rPr>
                <w:i/>
                <w:iCs/>
                <w:sz w:val="22"/>
                <w:szCs w:val="22"/>
              </w:rPr>
            </w:pPr>
          </w:p>
        </w:tc>
      </w:tr>
      <w:tr w:rsidR="001C08A5" w14:paraId="109BA588" w14:textId="77777777">
        <w:trPr>
          <w:trHeight w:val="90"/>
        </w:trPr>
        <w:tc>
          <w:tcPr>
            <w:tcW w:w="630" w:type="dxa"/>
            <w:vMerge w:val="restart"/>
            <w:tcBorders>
              <w:top w:val="single" w:sz="8" w:space="0" w:color="000000"/>
              <w:left w:val="single" w:sz="4" w:space="0" w:color="000000"/>
              <w:bottom w:val="single" w:sz="4" w:space="0" w:color="000000"/>
            </w:tcBorders>
          </w:tcPr>
          <w:p w14:paraId="55782327" w14:textId="77777777" w:rsidR="001C08A5" w:rsidRDefault="001C08A5">
            <w:pPr>
              <w:snapToGrid w:val="0"/>
              <w:jc w:val="center"/>
              <w:rPr>
                <w:i/>
                <w:iCs/>
                <w:sz w:val="22"/>
                <w:szCs w:val="22"/>
              </w:rPr>
            </w:pPr>
          </w:p>
          <w:p w14:paraId="7CE965C8" w14:textId="77777777" w:rsidR="001C08A5" w:rsidRDefault="00000000">
            <w:pPr>
              <w:jc w:val="center"/>
              <w:rPr>
                <w:i/>
                <w:iCs/>
                <w:sz w:val="22"/>
                <w:szCs w:val="22"/>
              </w:rPr>
            </w:pPr>
            <w:r>
              <w:rPr>
                <w:i/>
                <w:iCs/>
                <w:sz w:val="22"/>
                <w:szCs w:val="22"/>
              </w:rPr>
              <w:t>1.</w:t>
            </w:r>
          </w:p>
        </w:tc>
        <w:tc>
          <w:tcPr>
            <w:tcW w:w="1883" w:type="dxa"/>
            <w:vMerge w:val="restart"/>
            <w:tcBorders>
              <w:top w:val="single" w:sz="8" w:space="0" w:color="000000"/>
              <w:left w:val="single" w:sz="4" w:space="0" w:color="000000"/>
              <w:bottom w:val="single" w:sz="4" w:space="0" w:color="000000"/>
            </w:tcBorders>
          </w:tcPr>
          <w:p w14:paraId="20F2A8F6" w14:textId="77777777" w:rsidR="001C08A5" w:rsidRDefault="00000000">
            <w:pPr>
              <w:jc w:val="center"/>
              <w:rPr>
                <w:i/>
                <w:iCs/>
                <w:sz w:val="22"/>
                <w:szCs w:val="22"/>
              </w:rPr>
            </w:pPr>
            <w:r>
              <w:rPr>
                <w:i/>
                <w:iCs/>
                <w:sz w:val="22"/>
                <w:szCs w:val="22"/>
              </w:rPr>
              <w:t>Hoteluri, moteluri, cabane, pensiuni etc.</w:t>
            </w:r>
          </w:p>
          <w:p w14:paraId="1848B039" w14:textId="77777777" w:rsidR="001C08A5" w:rsidRDefault="001C08A5">
            <w:pPr>
              <w:jc w:val="center"/>
              <w:rPr>
                <w:b/>
                <w:i/>
                <w:iCs/>
                <w:sz w:val="22"/>
                <w:szCs w:val="22"/>
              </w:rPr>
            </w:pPr>
          </w:p>
        </w:tc>
        <w:tc>
          <w:tcPr>
            <w:tcW w:w="1350" w:type="dxa"/>
            <w:tcBorders>
              <w:top w:val="single" w:sz="8" w:space="0" w:color="000000"/>
              <w:left w:val="single" w:sz="4" w:space="0" w:color="000000"/>
              <w:bottom w:val="single" w:sz="4" w:space="0" w:color="000000"/>
            </w:tcBorders>
          </w:tcPr>
          <w:p w14:paraId="379D3FCB" w14:textId="77777777" w:rsidR="001C08A5" w:rsidRDefault="00000000">
            <w:pPr>
              <w:jc w:val="center"/>
              <w:rPr>
                <w:i/>
                <w:iCs/>
                <w:sz w:val="22"/>
                <w:szCs w:val="22"/>
              </w:rPr>
            </w:pPr>
            <w:r>
              <w:rPr>
                <w:b/>
                <w:i/>
                <w:iCs/>
                <w:sz w:val="22"/>
                <w:szCs w:val="22"/>
              </w:rPr>
              <w:t>I și II</w:t>
            </w:r>
          </w:p>
        </w:tc>
        <w:tc>
          <w:tcPr>
            <w:tcW w:w="1405" w:type="dxa"/>
            <w:tcBorders>
              <w:top w:val="single" w:sz="8" w:space="0" w:color="000000"/>
              <w:left w:val="single" w:sz="4" w:space="0" w:color="000000"/>
              <w:bottom w:val="single" w:sz="4" w:space="0" w:color="000000"/>
            </w:tcBorders>
          </w:tcPr>
          <w:p w14:paraId="26A5145B" w14:textId="77777777" w:rsidR="001C08A5" w:rsidRDefault="00000000">
            <w:pPr>
              <w:jc w:val="center"/>
              <w:rPr>
                <w:b/>
                <w:bCs/>
                <w:i/>
                <w:iCs/>
                <w:sz w:val="22"/>
                <w:szCs w:val="22"/>
              </w:rPr>
            </w:pPr>
            <w:r>
              <w:rPr>
                <w:b/>
                <w:bCs/>
                <w:i/>
                <w:iCs/>
                <w:sz w:val="22"/>
                <w:szCs w:val="22"/>
              </w:rPr>
              <w:t>40</w:t>
            </w:r>
          </w:p>
        </w:tc>
        <w:tc>
          <w:tcPr>
            <w:tcW w:w="1745" w:type="dxa"/>
            <w:tcBorders>
              <w:top w:val="single" w:sz="8" w:space="0" w:color="000000"/>
              <w:left w:val="single" w:sz="4" w:space="0" w:color="000000"/>
              <w:bottom w:val="single" w:sz="4" w:space="0" w:color="000000"/>
            </w:tcBorders>
          </w:tcPr>
          <w:p w14:paraId="260AB715" w14:textId="77777777" w:rsidR="001C08A5" w:rsidRDefault="00000000">
            <w:pPr>
              <w:jc w:val="center"/>
              <w:rPr>
                <w:b/>
                <w:bCs/>
                <w:i/>
                <w:iCs/>
                <w:sz w:val="22"/>
                <w:szCs w:val="22"/>
              </w:rPr>
            </w:pPr>
            <w:r>
              <w:rPr>
                <w:b/>
                <w:bCs/>
                <w:i/>
                <w:iCs/>
                <w:sz w:val="22"/>
                <w:szCs w:val="22"/>
              </w:rPr>
              <w:t>20</w:t>
            </w:r>
          </w:p>
        </w:tc>
        <w:tc>
          <w:tcPr>
            <w:tcW w:w="2572" w:type="dxa"/>
            <w:vMerge w:val="restart"/>
            <w:tcBorders>
              <w:top w:val="single" w:sz="8" w:space="0" w:color="000000"/>
              <w:left w:val="single" w:sz="4" w:space="0" w:color="000000"/>
              <w:bottom w:val="single" w:sz="4" w:space="0" w:color="000000"/>
              <w:right w:val="single" w:sz="4" w:space="0" w:color="000000"/>
            </w:tcBorders>
          </w:tcPr>
          <w:p w14:paraId="041E7A2C" w14:textId="77777777" w:rsidR="001C08A5" w:rsidRDefault="001C08A5">
            <w:pPr>
              <w:jc w:val="center"/>
              <w:rPr>
                <w:i/>
                <w:iCs/>
                <w:sz w:val="22"/>
                <w:szCs w:val="22"/>
              </w:rPr>
            </w:pPr>
          </w:p>
          <w:p w14:paraId="20419FC9" w14:textId="77777777" w:rsidR="001C08A5" w:rsidRDefault="00000000">
            <w:pPr>
              <w:jc w:val="center"/>
              <w:rPr>
                <w:i/>
                <w:iCs/>
                <w:sz w:val="22"/>
                <w:szCs w:val="22"/>
              </w:rPr>
            </w:pPr>
            <w:r>
              <w:rPr>
                <w:i/>
                <w:iCs/>
                <w:sz w:val="22"/>
                <w:szCs w:val="22"/>
              </w:rPr>
              <w:t>-</w:t>
            </w:r>
          </w:p>
        </w:tc>
      </w:tr>
      <w:tr w:rsidR="001C08A5" w14:paraId="1608CFC7" w14:textId="77777777">
        <w:tc>
          <w:tcPr>
            <w:tcW w:w="630" w:type="dxa"/>
            <w:vMerge/>
            <w:tcBorders>
              <w:top w:val="single" w:sz="4" w:space="0" w:color="000000"/>
              <w:left w:val="single" w:sz="4" w:space="0" w:color="000000"/>
              <w:bottom w:val="single" w:sz="4" w:space="0" w:color="000000"/>
            </w:tcBorders>
          </w:tcPr>
          <w:p w14:paraId="3E2A1F22"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4" w:space="0" w:color="000000"/>
            </w:tcBorders>
          </w:tcPr>
          <w:p w14:paraId="70F93530"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237A6A7A" w14:textId="77777777" w:rsidR="001C08A5" w:rsidRDefault="00000000">
            <w:pPr>
              <w:jc w:val="center"/>
              <w:rPr>
                <w:i/>
                <w:iCs/>
                <w:sz w:val="22"/>
                <w:szCs w:val="22"/>
              </w:rPr>
            </w:pPr>
            <w:r>
              <w:rPr>
                <w:b/>
                <w:i/>
                <w:iCs/>
                <w:sz w:val="22"/>
                <w:szCs w:val="22"/>
              </w:rPr>
              <w:t>III</w:t>
            </w:r>
          </w:p>
        </w:tc>
        <w:tc>
          <w:tcPr>
            <w:tcW w:w="1405" w:type="dxa"/>
            <w:tcBorders>
              <w:top w:val="single" w:sz="4" w:space="0" w:color="000000"/>
              <w:left w:val="single" w:sz="4" w:space="0" w:color="000000"/>
              <w:bottom w:val="single" w:sz="4" w:space="0" w:color="000000"/>
            </w:tcBorders>
          </w:tcPr>
          <w:p w14:paraId="2A537D7F" w14:textId="77777777" w:rsidR="001C08A5" w:rsidRDefault="00000000">
            <w:pPr>
              <w:jc w:val="center"/>
              <w:rPr>
                <w:b/>
                <w:bCs/>
                <w:i/>
                <w:iCs/>
                <w:sz w:val="22"/>
                <w:szCs w:val="22"/>
              </w:rPr>
            </w:pPr>
            <w:r>
              <w:rPr>
                <w:b/>
                <w:bCs/>
                <w:i/>
                <w:iCs/>
                <w:sz w:val="22"/>
                <w:szCs w:val="22"/>
              </w:rPr>
              <w:t>30</w:t>
            </w:r>
          </w:p>
        </w:tc>
        <w:tc>
          <w:tcPr>
            <w:tcW w:w="1745" w:type="dxa"/>
            <w:tcBorders>
              <w:top w:val="single" w:sz="4" w:space="0" w:color="000000"/>
              <w:left w:val="single" w:sz="4" w:space="0" w:color="000000"/>
              <w:bottom w:val="single" w:sz="4" w:space="0" w:color="000000"/>
            </w:tcBorders>
          </w:tcPr>
          <w:p w14:paraId="60024D4C" w14:textId="77777777" w:rsidR="001C08A5" w:rsidRDefault="00000000">
            <w:pPr>
              <w:jc w:val="center"/>
              <w:rPr>
                <w:b/>
                <w:bCs/>
                <w:i/>
                <w:iCs/>
                <w:sz w:val="22"/>
                <w:szCs w:val="22"/>
              </w:rPr>
            </w:pPr>
            <w:r>
              <w:rPr>
                <w:b/>
                <w:bCs/>
                <w:i/>
                <w:iCs/>
                <w:sz w:val="22"/>
                <w:szCs w:val="22"/>
              </w:rPr>
              <w:t>16</w:t>
            </w:r>
          </w:p>
        </w:tc>
        <w:tc>
          <w:tcPr>
            <w:tcW w:w="2572" w:type="dxa"/>
            <w:vMerge/>
            <w:tcBorders>
              <w:top w:val="single" w:sz="4" w:space="0" w:color="000000"/>
              <w:left w:val="single" w:sz="4" w:space="0" w:color="000000"/>
              <w:bottom w:val="single" w:sz="4" w:space="0" w:color="000000"/>
              <w:right w:val="single" w:sz="4" w:space="0" w:color="000000"/>
            </w:tcBorders>
          </w:tcPr>
          <w:p w14:paraId="535C467B" w14:textId="77777777" w:rsidR="001C08A5" w:rsidRDefault="001C08A5">
            <w:pPr>
              <w:snapToGrid w:val="0"/>
              <w:rPr>
                <w:i/>
                <w:iCs/>
                <w:sz w:val="22"/>
                <w:szCs w:val="22"/>
              </w:rPr>
            </w:pPr>
          </w:p>
        </w:tc>
      </w:tr>
      <w:tr w:rsidR="001C08A5" w14:paraId="6EE1B217" w14:textId="77777777">
        <w:tc>
          <w:tcPr>
            <w:tcW w:w="630" w:type="dxa"/>
            <w:vMerge/>
            <w:tcBorders>
              <w:top w:val="single" w:sz="4" w:space="0" w:color="000000"/>
              <w:left w:val="single" w:sz="4" w:space="0" w:color="000000"/>
              <w:bottom w:val="single" w:sz="4" w:space="0" w:color="000000"/>
            </w:tcBorders>
          </w:tcPr>
          <w:p w14:paraId="6B17B8C4"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4" w:space="0" w:color="000000"/>
            </w:tcBorders>
          </w:tcPr>
          <w:p w14:paraId="08182F3E"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22D910B4" w14:textId="77777777" w:rsidR="001C08A5" w:rsidRDefault="00000000">
            <w:pPr>
              <w:jc w:val="center"/>
              <w:rPr>
                <w:i/>
                <w:iCs/>
                <w:sz w:val="22"/>
                <w:szCs w:val="22"/>
              </w:rPr>
            </w:pPr>
            <w:r>
              <w:rPr>
                <w:b/>
                <w:i/>
                <w:iCs/>
                <w:sz w:val="22"/>
                <w:szCs w:val="22"/>
              </w:rPr>
              <w:t>IV</w:t>
            </w:r>
          </w:p>
        </w:tc>
        <w:tc>
          <w:tcPr>
            <w:tcW w:w="1405" w:type="dxa"/>
            <w:tcBorders>
              <w:top w:val="single" w:sz="4" w:space="0" w:color="000000"/>
              <w:left w:val="single" w:sz="4" w:space="0" w:color="000000"/>
              <w:bottom w:val="single" w:sz="4" w:space="0" w:color="000000"/>
            </w:tcBorders>
          </w:tcPr>
          <w:p w14:paraId="7C627F30" w14:textId="77777777" w:rsidR="001C08A5" w:rsidRDefault="00000000">
            <w:pPr>
              <w:jc w:val="center"/>
              <w:rPr>
                <w:b/>
                <w:bCs/>
                <w:i/>
                <w:iCs/>
                <w:sz w:val="22"/>
                <w:szCs w:val="22"/>
              </w:rPr>
            </w:pPr>
            <w:r>
              <w:rPr>
                <w:b/>
                <w:bCs/>
                <w:i/>
                <w:iCs/>
                <w:sz w:val="22"/>
                <w:szCs w:val="22"/>
              </w:rPr>
              <w:t>15</w:t>
            </w:r>
          </w:p>
        </w:tc>
        <w:tc>
          <w:tcPr>
            <w:tcW w:w="1745" w:type="dxa"/>
            <w:tcBorders>
              <w:top w:val="single" w:sz="4" w:space="0" w:color="000000"/>
              <w:left w:val="single" w:sz="4" w:space="0" w:color="000000"/>
              <w:bottom w:val="single" w:sz="4" w:space="0" w:color="000000"/>
            </w:tcBorders>
          </w:tcPr>
          <w:p w14:paraId="69B63E4F" w14:textId="77777777" w:rsidR="001C08A5" w:rsidRDefault="00000000">
            <w:pPr>
              <w:jc w:val="center"/>
              <w:rPr>
                <w:b/>
                <w:bCs/>
                <w:i/>
                <w:iCs/>
                <w:sz w:val="22"/>
                <w:szCs w:val="22"/>
              </w:rPr>
            </w:pPr>
            <w:r>
              <w:rPr>
                <w:b/>
                <w:bCs/>
                <w:i/>
                <w:iCs/>
                <w:sz w:val="22"/>
                <w:szCs w:val="22"/>
              </w:rPr>
              <w:t>10</w:t>
            </w:r>
          </w:p>
        </w:tc>
        <w:tc>
          <w:tcPr>
            <w:tcW w:w="2572" w:type="dxa"/>
            <w:vMerge/>
            <w:tcBorders>
              <w:top w:val="single" w:sz="4" w:space="0" w:color="000000"/>
              <w:left w:val="single" w:sz="4" w:space="0" w:color="000000"/>
              <w:bottom w:val="single" w:sz="4" w:space="0" w:color="000000"/>
              <w:right w:val="single" w:sz="4" w:space="0" w:color="000000"/>
            </w:tcBorders>
          </w:tcPr>
          <w:p w14:paraId="0F814FDE" w14:textId="77777777" w:rsidR="001C08A5" w:rsidRDefault="001C08A5">
            <w:pPr>
              <w:snapToGrid w:val="0"/>
              <w:rPr>
                <w:i/>
                <w:iCs/>
                <w:sz w:val="22"/>
                <w:szCs w:val="22"/>
              </w:rPr>
            </w:pPr>
          </w:p>
        </w:tc>
      </w:tr>
      <w:tr w:rsidR="001C08A5" w14:paraId="535A2BDC" w14:textId="77777777">
        <w:tc>
          <w:tcPr>
            <w:tcW w:w="630" w:type="dxa"/>
            <w:vMerge/>
            <w:tcBorders>
              <w:top w:val="single" w:sz="4" w:space="0" w:color="000000"/>
              <w:left w:val="single" w:sz="4" w:space="0" w:color="000000"/>
              <w:bottom w:val="single" w:sz="4" w:space="0" w:color="000000"/>
            </w:tcBorders>
          </w:tcPr>
          <w:p w14:paraId="637A1045" w14:textId="77777777" w:rsidR="001C08A5" w:rsidRDefault="001C08A5">
            <w:pPr>
              <w:snapToGrid w:val="0"/>
              <w:jc w:val="center"/>
              <w:rPr>
                <w:i/>
                <w:iCs/>
                <w:sz w:val="22"/>
                <w:szCs w:val="22"/>
              </w:rPr>
            </w:pPr>
          </w:p>
        </w:tc>
        <w:tc>
          <w:tcPr>
            <w:tcW w:w="1883" w:type="dxa"/>
            <w:vMerge/>
            <w:tcBorders>
              <w:top w:val="single" w:sz="4" w:space="0" w:color="000000"/>
              <w:left w:val="single" w:sz="4" w:space="0" w:color="000000"/>
              <w:bottom w:val="single" w:sz="4" w:space="0" w:color="000000"/>
            </w:tcBorders>
          </w:tcPr>
          <w:p w14:paraId="5CCF00E7"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0C6295F5" w14:textId="77777777" w:rsidR="001C08A5" w:rsidRDefault="00000000">
            <w:pPr>
              <w:jc w:val="center"/>
              <w:rPr>
                <w:i/>
                <w:iCs/>
                <w:sz w:val="22"/>
                <w:szCs w:val="22"/>
              </w:rPr>
            </w:pPr>
            <w:r>
              <w:rPr>
                <w:b/>
                <w:i/>
                <w:iCs/>
                <w:sz w:val="22"/>
                <w:szCs w:val="22"/>
              </w:rPr>
              <w:t>V</w:t>
            </w:r>
          </w:p>
        </w:tc>
        <w:tc>
          <w:tcPr>
            <w:tcW w:w="1405" w:type="dxa"/>
            <w:tcBorders>
              <w:top w:val="single" w:sz="4" w:space="0" w:color="000000"/>
              <w:left w:val="single" w:sz="4" w:space="0" w:color="000000"/>
              <w:bottom w:val="single" w:sz="4" w:space="0" w:color="000000"/>
            </w:tcBorders>
          </w:tcPr>
          <w:p w14:paraId="3D1F8B08" w14:textId="77777777" w:rsidR="001C08A5" w:rsidRDefault="00000000">
            <w:pPr>
              <w:jc w:val="center"/>
              <w:rPr>
                <w:b/>
                <w:bCs/>
                <w:i/>
                <w:iCs/>
                <w:sz w:val="22"/>
                <w:szCs w:val="22"/>
              </w:rPr>
            </w:pPr>
            <w:r>
              <w:rPr>
                <w:b/>
                <w:bCs/>
                <w:i/>
                <w:iCs/>
                <w:sz w:val="22"/>
                <w:szCs w:val="22"/>
              </w:rPr>
              <w:t>10</w:t>
            </w:r>
          </w:p>
        </w:tc>
        <w:tc>
          <w:tcPr>
            <w:tcW w:w="1745" w:type="dxa"/>
            <w:tcBorders>
              <w:top w:val="single" w:sz="4" w:space="0" w:color="000000"/>
              <w:left w:val="single" w:sz="4" w:space="0" w:color="000000"/>
              <w:bottom w:val="single" w:sz="4" w:space="0" w:color="000000"/>
            </w:tcBorders>
          </w:tcPr>
          <w:p w14:paraId="7E258021" w14:textId="77777777" w:rsidR="001C08A5" w:rsidRDefault="00000000">
            <w:pPr>
              <w:jc w:val="center"/>
              <w:rPr>
                <w:b/>
                <w:bCs/>
                <w:i/>
                <w:iCs/>
                <w:sz w:val="22"/>
                <w:szCs w:val="22"/>
              </w:rPr>
            </w:pPr>
            <w:r>
              <w:rPr>
                <w:b/>
                <w:bCs/>
                <w:i/>
                <w:iCs/>
                <w:sz w:val="22"/>
                <w:szCs w:val="22"/>
              </w:rPr>
              <w:t>6</w:t>
            </w:r>
          </w:p>
        </w:tc>
        <w:tc>
          <w:tcPr>
            <w:tcW w:w="2572" w:type="dxa"/>
            <w:vMerge/>
            <w:tcBorders>
              <w:top w:val="single" w:sz="4" w:space="0" w:color="000000"/>
              <w:left w:val="single" w:sz="4" w:space="0" w:color="000000"/>
              <w:bottom w:val="single" w:sz="4" w:space="0" w:color="000000"/>
              <w:right w:val="single" w:sz="4" w:space="0" w:color="000000"/>
            </w:tcBorders>
          </w:tcPr>
          <w:p w14:paraId="7FB1641A" w14:textId="77777777" w:rsidR="001C08A5" w:rsidRDefault="001C08A5">
            <w:pPr>
              <w:snapToGrid w:val="0"/>
              <w:rPr>
                <w:i/>
                <w:iCs/>
                <w:sz w:val="22"/>
                <w:szCs w:val="22"/>
              </w:rPr>
            </w:pPr>
          </w:p>
        </w:tc>
      </w:tr>
    </w:tbl>
    <w:p w14:paraId="45517ED9" w14:textId="77777777" w:rsidR="001C08A5" w:rsidRDefault="00000000">
      <w:pPr>
        <w:jc w:val="both"/>
        <w:rPr>
          <w:i/>
          <w:sz w:val="22"/>
          <w:szCs w:val="22"/>
        </w:rPr>
      </w:pPr>
      <w:r>
        <w:rPr>
          <w:i/>
          <w:sz w:val="22"/>
          <w:szCs w:val="22"/>
          <w:u w:val="single"/>
        </w:rPr>
        <w:t>Notă</w:t>
      </w:r>
      <w:r>
        <w:rPr>
          <w:i/>
          <w:sz w:val="22"/>
          <w:szCs w:val="22"/>
        </w:rPr>
        <w:t xml:space="preserve">: </w:t>
      </w:r>
    </w:p>
    <w:p w14:paraId="627C2232" w14:textId="77777777" w:rsidR="001C08A5" w:rsidRDefault="00000000">
      <w:pPr>
        <w:jc w:val="both"/>
        <w:rPr>
          <w:b/>
          <w:i/>
          <w:sz w:val="22"/>
          <w:szCs w:val="22"/>
        </w:rPr>
      </w:pPr>
      <w:r>
        <w:rPr>
          <w:i/>
          <w:sz w:val="22"/>
          <w:szCs w:val="22"/>
        </w:rPr>
        <w:t xml:space="preserve">La clădirile pentru turism care nu sunt sali aglomerate, clădiri înalte sau clădiri foarte înalte, dar sunt echipate cu instalaţii de detectare, semnalizare şi alarmare a incendiului cu acoperire totală, instalaţii automate de stingere a incendiilor şi </w:t>
      </w:r>
      <w:r>
        <w:rPr>
          <w:bCs/>
          <w:i/>
          <w:sz w:val="22"/>
          <w:szCs w:val="22"/>
        </w:rPr>
        <w:t xml:space="preserve">sisteme de evacuare a fumului din circulațiile comune orizontale (coridoare/ holuri) și casele de scări, </w:t>
      </w:r>
      <w:r>
        <w:rPr>
          <w:i/>
          <w:sz w:val="22"/>
          <w:szCs w:val="22"/>
        </w:rPr>
        <w:t xml:space="preserve">lungimile normate de evacuare a utilizatorilor se pot majora cu </w:t>
      </w:r>
      <w:r>
        <w:rPr>
          <w:b/>
          <w:bCs/>
          <w:i/>
          <w:sz w:val="22"/>
          <w:szCs w:val="22"/>
        </w:rPr>
        <w:t>25%</w:t>
      </w:r>
      <w:r>
        <w:rPr>
          <w:i/>
          <w:sz w:val="22"/>
          <w:szCs w:val="22"/>
        </w:rPr>
        <w:t>.</w:t>
      </w:r>
    </w:p>
    <w:p w14:paraId="4F38D06C" w14:textId="77777777" w:rsidR="001C08A5" w:rsidRDefault="001C08A5">
      <w:pPr>
        <w:jc w:val="both"/>
        <w:rPr>
          <w:b/>
          <w:sz w:val="24"/>
          <w:szCs w:val="24"/>
        </w:rPr>
      </w:pPr>
    </w:p>
    <w:p w14:paraId="51A0AD87" w14:textId="77777777" w:rsidR="001C08A5" w:rsidRDefault="00000000">
      <w:pPr>
        <w:jc w:val="both"/>
        <w:rPr>
          <w:sz w:val="24"/>
          <w:szCs w:val="24"/>
        </w:rPr>
      </w:pPr>
      <w:r>
        <w:rPr>
          <w:b/>
          <w:sz w:val="24"/>
          <w:szCs w:val="24"/>
        </w:rPr>
        <w:tab/>
        <w:t xml:space="preserve">Art. </w:t>
      </w:r>
      <w:r>
        <w:rPr>
          <w:b/>
          <w:bCs/>
          <w:sz w:val="24"/>
          <w:szCs w:val="24"/>
        </w:rPr>
        <w:t xml:space="preserve">3.2.7.6. </w:t>
      </w:r>
      <w:r>
        <w:rPr>
          <w:sz w:val="24"/>
          <w:szCs w:val="24"/>
        </w:rPr>
        <w:t xml:space="preserve">În cazurile în care clădirile pentru turism supraterane cu înălţime obişnuită au şi niveluri subterane în care sunt dispuse funcţiuni anexă (centrale, ateliere, parcaje pentru autoturisme etc.), acestea vor fi separate de nivelurile supraterane prin planşee rezistente la foc minimum </w:t>
      </w:r>
      <w:r>
        <w:rPr>
          <w:b/>
          <w:sz w:val="24"/>
          <w:szCs w:val="24"/>
        </w:rPr>
        <w:t>REI 120</w:t>
      </w:r>
      <w:r>
        <w:rPr>
          <w:sz w:val="24"/>
          <w:szCs w:val="24"/>
        </w:rPr>
        <w:t>.</w:t>
      </w:r>
    </w:p>
    <w:p w14:paraId="1C2DFC45" w14:textId="77777777" w:rsidR="001C08A5" w:rsidRDefault="001C08A5">
      <w:pPr>
        <w:ind w:firstLine="720"/>
        <w:jc w:val="both"/>
        <w:rPr>
          <w:b/>
          <w:sz w:val="24"/>
          <w:szCs w:val="24"/>
        </w:rPr>
      </w:pPr>
    </w:p>
    <w:p w14:paraId="2B33AFF2" w14:textId="77777777" w:rsidR="001C08A5" w:rsidRDefault="00000000">
      <w:pPr>
        <w:ind w:firstLine="720"/>
        <w:jc w:val="both"/>
        <w:rPr>
          <w:sz w:val="24"/>
          <w:szCs w:val="24"/>
        </w:rPr>
      </w:pPr>
      <w:r>
        <w:rPr>
          <w:b/>
          <w:sz w:val="24"/>
          <w:szCs w:val="24"/>
        </w:rPr>
        <w:t xml:space="preserve">Art. </w:t>
      </w:r>
      <w:r>
        <w:rPr>
          <w:b/>
          <w:bCs/>
          <w:sz w:val="24"/>
          <w:szCs w:val="24"/>
        </w:rPr>
        <w:t xml:space="preserve">3.2.7.7. </w:t>
      </w:r>
      <w:r>
        <w:rPr>
          <w:sz w:val="24"/>
          <w:szCs w:val="24"/>
        </w:rPr>
        <w:t xml:space="preserve">Construcţiile pentru turism supraterane cu înălţime obişnuită care au capacitatea totală de cazare mai mare de </w:t>
      </w:r>
      <w:r>
        <w:rPr>
          <w:b/>
          <w:bCs/>
          <w:sz w:val="24"/>
          <w:szCs w:val="24"/>
        </w:rPr>
        <w:t>50</w:t>
      </w:r>
      <w:r>
        <w:rPr>
          <w:sz w:val="24"/>
          <w:szCs w:val="24"/>
        </w:rPr>
        <w:t xml:space="preserve"> de locuri de cazare vor avea asigurate minimum două căi de evacuare a utilizatorilor.</w:t>
      </w:r>
    </w:p>
    <w:p w14:paraId="78F19853" w14:textId="77777777" w:rsidR="001C08A5" w:rsidRDefault="001C08A5">
      <w:pPr>
        <w:jc w:val="both"/>
        <w:rPr>
          <w:sz w:val="24"/>
          <w:szCs w:val="24"/>
        </w:rPr>
      </w:pPr>
    </w:p>
    <w:p w14:paraId="676D97F1" w14:textId="77777777" w:rsidR="001C08A5" w:rsidRDefault="00000000">
      <w:pPr>
        <w:jc w:val="both"/>
        <w:rPr>
          <w:strike/>
          <w:sz w:val="24"/>
          <w:szCs w:val="24"/>
        </w:rPr>
      </w:pPr>
      <w:r>
        <w:rPr>
          <w:b/>
          <w:sz w:val="24"/>
          <w:szCs w:val="24"/>
        </w:rPr>
        <w:tab/>
        <w:t xml:space="preserve">Art. </w:t>
      </w:r>
      <w:r>
        <w:rPr>
          <w:b/>
          <w:bCs/>
          <w:sz w:val="24"/>
          <w:szCs w:val="24"/>
        </w:rPr>
        <w:t xml:space="preserve">3.2.7.8. (1) </w:t>
      </w:r>
      <w:r>
        <w:rPr>
          <w:sz w:val="24"/>
          <w:szCs w:val="24"/>
        </w:rPr>
        <w:t xml:space="preserve">Construcţiile pentru turism supraterane cu înălţime obişnuită, care au capacitatea totală de cazare mai mare de </w:t>
      </w:r>
      <w:r>
        <w:rPr>
          <w:b/>
          <w:bCs/>
          <w:sz w:val="24"/>
          <w:szCs w:val="24"/>
        </w:rPr>
        <w:t>50</w:t>
      </w:r>
      <w:r>
        <w:rPr>
          <w:sz w:val="24"/>
          <w:szCs w:val="24"/>
        </w:rPr>
        <w:t xml:space="preserve"> de locuri de cazare, vor avea asigurate căi de acces şi intervenţie a autospecialelor de stingere în caz de incendiu, cel puţin </w:t>
      </w:r>
      <w:r>
        <w:rPr>
          <w:bCs/>
          <w:sz w:val="24"/>
          <w:szCs w:val="24"/>
        </w:rPr>
        <w:t>integral pe două (</w:t>
      </w:r>
      <w:r>
        <w:rPr>
          <w:b/>
          <w:sz w:val="24"/>
          <w:szCs w:val="24"/>
        </w:rPr>
        <w:t>2</w:t>
      </w:r>
      <w:r>
        <w:rPr>
          <w:bCs/>
          <w:sz w:val="24"/>
          <w:szCs w:val="24"/>
        </w:rPr>
        <w:t xml:space="preserve">) laturi alăturate </w:t>
      </w:r>
      <w:r>
        <w:rPr>
          <w:rFonts w:eastAsia="Times-Roman"/>
          <w:sz w:val="24"/>
          <w:szCs w:val="24"/>
        </w:rPr>
        <w:t xml:space="preserve">şi, totodată, cel puţin pe </w:t>
      </w:r>
      <w:r>
        <w:rPr>
          <w:rFonts w:eastAsia="Times-Roman"/>
          <w:b/>
          <w:bCs/>
          <w:sz w:val="24"/>
          <w:szCs w:val="24"/>
        </w:rPr>
        <w:t>50%</w:t>
      </w:r>
      <w:r>
        <w:rPr>
          <w:rFonts w:eastAsia="Times-Roman"/>
          <w:sz w:val="24"/>
          <w:szCs w:val="24"/>
        </w:rPr>
        <w:t xml:space="preserve"> din perimetrul pereților exteriori</w:t>
      </w:r>
      <w:r>
        <w:rPr>
          <w:sz w:val="24"/>
          <w:szCs w:val="24"/>
        </w:rPr>
        <w:t xml:space="preserve">, iar cele cu capacităţi mai mici de </w:t>
      </w:r>
      <w:r>
        <w:rPr>
          <w:b/>
          <w:bCs/>
          <w:sz w:val="24"/>
          <w:szCs w:val="24"/>
        </w:rPr>
        <w:t>50</w:t>
      </w:r>
      <w:r>
        <w:rPr>
          <w:sz w:val="24"/>
          <w:szCs w:val="24"/>
        </w:rPr>
        <w:t xml:space="preserve"> de locuri de cazare vor avea asigurat accesul și intervenţia autospecialelor de stingere în caz de incendiu, cel puţin pe o latură </w:t>
      </w:r>
      <w:r>
        <w:rPr>
          <w:rFonts w:eastAsia="Times-Roman"/>
          <w:sz w:val="24"/>
          <w:szCs w:val="24"/>
        </w:rPr>
        <w:t xml:space="preserve">şi, totodată, cel puţin pe </w:t>
      </w:r>
      <w:r>
        <w:rPr>
          <w:rFonts w:eastAsia="Times-Roman"/>
          <w:b/>
          <w:bCs/>
          <w:sz w:val="24"/>
          <w:szCs w:val="24"/>
        </w:rPr>
        <w:t>25%</w:t>
      </w:r>
      <w:r>
        <w:rPr>
          <w:rFonts w:eastAsia="Times-Roman"/>
          <w:sz w:val="24"/>
          <w:szCs w:val="24"/>
        </w:rPr>
        <w:t xml:space="preserve"> din perimetrul pereților exteriori</w:t>
      </w:r>
      <w:r>
        <w:rPr>
          <w:sz w:val="24"/>
          <w:szCs w:val="24"/>
        </w:rPr>
        <w:t xml:space="preserve">. </w:t>
      </w:r>
    </w:p>
    <w:p w14:paraId="726AF90D" w14:textId="77777777" w:rsidR="001C08A5" w:rsidRDefault="00000000">
      <w:pPr>
        <w:ind w:firstLine="720"/>
        <w:jc w:val="both"/>
        <w:rPr>
          <w:sz w:val="24"/>
          <w:szCs w:val="24"/>
        </w:rPr>
      </w:pPr>
      <w:r>
        <w:rPr>
          <w:b/>
          <w:sz w:val="24"/>
          <w:szCs w:val="24"/>
        </w:rPr>
        <w:t xml:space="preserve">(2) </w:t>
      </w:r>
      <w:r>
        <w:rPr>
          <w:bCs/>
          <w:sz w:val="24"/>
          <w:szCs w:val="24"/>
        </w:rPr>
        <w:t>În</w:t>
      </w:r>
      <w:r>
        <w:rPr>
          <w:sz w:val="24"/>
          <w:szCs w:val="24"/>
        </w:rPr>
        <w:t xml:space="preserve">conformitate cu capacitatea maximă simultană a clădirii </w:t>
      </w:r>
      <w:r>
        <w:rPr>
          <w:bCs/>
          <w:sz w:val="24"/>
          <w:szCs w:val="24"/>
        </w:rPr>
        <w:t>pentru turism</w:t>
      </w:r>
      <w:r>
        <w:rPr>
          <w:sz w:val="24"/>
          <w:szCs w:val="24"/>
        </w:rPr>
        <w:t xml:space="preserv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(2) </w:t>
      </w:r>
      <w:r>
        <w:rPr>
          <w:bCs/>
          <w:sz w:val="24"/>
          <w:szCs w:val="24"/>
        </w:rPr>
        <w:t>și</w:t>
      </w:r>
      <w:r>
        <w:rPr>
          <w:b/>
          <w:sz w:val="24"/>
          <w:szCs w:val="24"/>
        </w:rPr>
        <w:t xml:space="preserve"> (3).</w:t>
      </w:r>
    </w:p>
    <w:p w14:paraId="0CE15545" w14:textId="77777777" w:rsidR="001C08A5" w:rsidRDefault="00000000">
      <w:pPr>
        <w:pStyle w:val="Heading4"/>
      </w:pPr>
      <w:bookmarkStart w:id="3880" w:name="_Toc162355296"/>
      <w:bookmarkStart w:id="3881" w:name="_Toc19583"/>
      <w:bookmarkStart w:id="3882" w:name="_Toc32662"/>
      <w:bookmarkStart w:id="3883" w:name="_Toc7086"/>
      <w:bookmarkStart w:id="3884" w:name="_Toc7990"/>
      <w:bookmarkStart w:id="3885" w:name="_Toc13638"/>
      <w:bookmarkStart w:id="3886" w:name="_Toc21727"/>
      <w:bookmarkStart w:id="3887" w:name="_Toc6318"/>
      <w:r>
        <w:t>3.2.8. Clădirile de cult supraterane</w:t>
      </w:r>
      <w:bookmarkEnd w:id="3880"/>
      <w:bookmarkEnd w:id="3881"/>
      <w:bookmarkEnd w:id="3882"/>
      <w:bookmarkEnd w:id="3883"/>
      <w:bookmarkEnd w:id="3884"/>
      <w:bookmarkEnd w:id="3885"/>
      <w:bookmarkEnd w:id="3886"/>
      <w:bookmarkEnd w:id="3887"/>
    </w:p>
    <w:p w14:paraId="3B91011F" w14:textId="77777777" w:rsidR="001C08A5" w:rsidRDefault="001C08A5">
      <w:pPr>
        <w:jc w:val="both"/>
        <w:rPr>
          <w:sz w:val="24"/>
          <w:szCs w:val="24"/>
        </w:rPr>
      </w:pPr>
    </w:p>
    <w:p w14:paraId="44E4DFEC" w14:textId="77777777" w:rsidR="001C08A5" w:rsidRDefault="00000000">
      <w:pPr>
        <w:jc w:val="both"/>
        <w:rPr>
          <w:sz w:val="24"/>
          <w:szCs w:val="24"/>
        </w:rPr>
      </w:pPr>
      <w:r>
        <w:rPr>
          <w:b/>
          <w:sz w:val="24"/>
          <w:szCs w:val="24"/>
        </w:rPr>
        <w:tab/>
        <w:t xml:space="preserve">Art. </w:t>
      </w:r>
      <w:r>
        <w:rPr>
          <w:b/>
          <w:bCs/>
          <w:sz w:val="24"/>
          <w:szCs w:val="24"/>
        </w:rPr>
        <w:t>3.2.8.</w:t>
      </w:r>
      <w:r>
        <w:rPr>
          <w:b/>
          <w:sz w:val="24"/>
          <w:szCs w:val="24"/>
        </w:rPr>
        <w:t xml:space="preserve">1. </w:t>
      </w:r>
      <w:r>
        <w:rPr>
          <w:sz w:val="24"/>
          <w:szCs w:val="24"/>
        </w:rPr>
        <w:t xml:space="preserve">Clădirile de cult supraterane cu înălţime obişnuită (catedrale, biserici, lăcaşuri de cult, sinagogi, temple, case de rugăciuni etc.) și ansamblurile mănăstireşti cu exceptia spatiilor de dormit (chilii) și a celor anexate acestora, vor îndeplini condiţiile de stabilitate la incendiu prevăzute la </w:t>
      </w:r>
      <w:r>
        <w:rPr>
          <w:b/>
          <w:sz w:val="24"/>
          <w:szCs w:val="24"/>
        </w:rPr>
        <w:t>Art.2.1.3.2</w:t>
      </w:r>
      <w:r>
        <w:rPr>
          <w:sz w:val="24"/>
          <w:szCs w:val="24"/>
        </w:rPr>
        <w:t xml:space="preserve"> şi </w:t>
      </w:r>
      <w:r>
        <w:rPr>
          <w:rStyle w:val="BodyTextChar"/>
          <w:iCs/>
        </w:rPr>
        <w:fldChar w:fldCharType="begin"/>
      </w:r>
      <w:r>
        <w:rPr>
          <w:rStyle w:val="BodyTextChar"/>
          <w:iCs/>
        </w:rPr>
        <w:instrText xml:space="preserve"> REF _Ref26473 \h </w:instrText>
      </w:r>
      <w:r>
        <w:rPr>
          <w:rStyle w:val="BodyTextChar"/>
          <w:iCs/>
        </w:rPr>
      </w:r>
      <w:r>
        <w:rPr>
          <w:rStyle w:val="BodyTextChar"/>
          <w:iCs/>
        </w:rPr>
        <w:fldChar w:fldCharType="separate"/>
      </w:r>
      <w:r>
        <w:t>Tabelul 2</w:t>
      </w:r>
      <w:r>
        <w:rPr>
          <w:rStyle w:val="BodyTextChar"/>
          <w:iCs/>
        </w:rPr>
        <w:fldChar w:fldCharType="end"/>
      </w:r>
      <w:r>
        <w:rPr>
          <w:rStyle w:val="BodyTextChar"/>
        </w:rPr>
        <w:t xml:space="preserve"> </w:t>
      </w:r>
      <w:r>
        <w:rPr>
          <w:sz w:val="24"/>
          <w:szCs w:val="24"/>
        </w:rPr>
        <w:t xml:space="preserve">din normativ, iar clădirile parter cu capacitatea maximă simultană de </w:t>
      </w:r>
      <w:r>
        <w:rPr>
          <w:b/>
          <w:sz w:val="24"/>
          <w:szCs w:val="24"/>
        </w:rPr>
        <w:t>100</w:t>
      </w:r>
      <w:r>
        <w:rPr>
          <w:sz w:val="24"/>
          <w:szCs w:val="24"/>
        </w:rPr>
        <w:t xml:space="preserve"> </w:t>
      </w:r>
      <w:r>
        <w:rPr>
          <w:sz w:val="24"/>
          <w:szCs w:val="24"/>
        </w:rPr>
        <w:lastRenderedPageBreak/>
        <w:t xml:space="preserve">utilizatori pot fi realizate din elemente de construcţie din lemn minimum clasa de reacţie la foc </w:t>
      </w:r>
      <w:r>
        <w:rPr>
          <w:b/>
          <w:bCs/>
          <w:sz w:val="24"/>
          <w:szCs w:val="24"/>
        </w:rPr>
        <w:t xml:space="preserve">D-s1d0 </w:t>
      </w:r>
      <w:r>
        <w:rPr>
          <w:sz w:val="24"/>
          <w:szCs w:val="24"/>
        </w:rPr>
        <w:t xml:space="preserve">sau </w:t>
      </w:r>
      <w:r>
        <w:rPr>
          <w:b/>
          <w:bCs/>
          <w:sz w:val="24"/>
          <w:szCs w:val="24"/>
        </w:rPr>
        <w:t>D-s2d0</w:t>
      </w:r>
      <w:r>
        <w:rPr>
          <w:sz w:val="24"/>
          <w:szCs w:val="24"/>
        </w:rPr>
        <w:t xml:space="preserve">. </w:t>
      </w:r>
    </w:p>
    <w:p w14:paraId="1B6F3C86" w14:textId="77777777" w:rsidR="001C08A5" w:rsidRDefault="00000000">
      <w:pPr>
        <w:jc w:val="both"/>
        <w:rPr>
          <w:b/>
          <w:sz w:val="24"/>
          <w:szCs w:val="24"/>
        </w:rPr>
      </w:pPr>
      <w:r>
        <w:rPr>
          <w:b/>
          <w:sz w:val="24"/>
          <w:szCs w:val="24"/>
        </w:rPr>
        <w:tab/>
      </w:r>
    </w:p>
    <w:p w14:paraId="1571A7B7" w14:textId="77777777" w:rsidR="001C08A5" w:rsidRDefault="00000000">
      <w:pPr>
        <w:ind w:firstLine="720"/>
        <w:jc w:val="both"/>
        <w:rPr>
          <w:sz w:val="24"/>
          <w:szCs w:val="24"/>
        </w:rPr>
      </w:pPr>
      <w:r>
        <w:rPr>
          <w:b/>
          <w:sz w:val="24"/>
          <w:szCs w:val="24"/>
        </w:rPr>
        <w:t xml:space="preserve">Art. </w:t>
      </w:r>
      <w:r>
        <w:rPr>
          <w:b/>
          <w:bCs/>
          <w:sz w:val="24"/>
          <w:szCs w:val="24"/>
        </w:rPr>
        <w:t>3.2.8.</w:t>
      </w:r>
      <w:r>
        <w:rPr>
          <w:b/>
          <w:sz w:val="24"/>
          <w:szCs w:val="24"/>
        </w:rPr>
        <w:t>2. (1)</w:t>
      </w:r>
      <w:r>
        <w:rPr>
          <w:sz w:val="24"/>
          <w:szCs w:val="24"/>
        </w:rPr>
        <w:t xml:space="preserve"> Clădirile de cult supraterane cu înălţime obişnuită se conformează astfel încât să îndeplinească condiţiile de corelare între destinaţie, nivelul de stabilitate la incendiu asigurat, aria construită (Ac) şi numărul de niveluri, conform prevederilor din </w:t>
      </w:r>
      <w:r>
        <w:rPr>
          <w:b/>
          <w:sz w:val="24"/>
          <w:szCs w:val="24"/>
        </w:rPr>
        <w:t xml:space="preserve">Art. </w:t>
      </w:r>
      <w:r>
        <w:rPr>
          <w:b/>
          <w:caps/>
          <w:sz w:val="24"/>
          <w:szCs w:val="24"/>
        </w:rPr>
        <w:t>3.1.2.</w:t>
      </w:r>
      <w:r>
        <w:rPr>
          <w:b/>
          <w:sz w:val="24"/>
          <w:szCs w:val="24"/>
        </w:rPr>
        <w:t>6.</w:t>
      </w:r>
      <w:r>
        <w:rPr>
          <w:sz w:val="24"/>
          <w:szCs w:val="24"/>
        </w:rPr>
        <w:t>,</w:t>
      </w:r>
      <w:r>
        <w:rPr>
          <w:b/>
          <w:sz w:val="24"/>
          <w:szCs w:val="24"/>
        </w:rPr>
        <w:t xml:space="preserve"> Art. </w:t>
      </w:r>
      <w:r>
        <w:rPr>
          <w:b/>
          <w:caps/>
          <w:sz w:val="24"/>
          <w:szCs w:val="24"/>
        </w:rPr>
        <w:t>3.1.2.</w:t>
      </w:r>
      <w:r>
        <w:rPr>
          <w:b/>
          <w:sz w:val="24"/>
          <w:szCs w:val="24"/>
        </w:rPr>
        <w:t xml:space="preserve">7. </w:t>
      </w:r>
      <w:r>
        <w:rPr>
          <w:sz w:val="24"/>
          <w:szCs w:val="24"/>
        </w:rPr>
        <w:t xml:space="preserve">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 xml:space="preserve"> și</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sz w:val="24"/>
          <w:szCs w:val="24"/>
        </w:rPr>
        <w:t>.</w:t>
      </w:r>
    </w:p>
    <w:p w14:paraId="443BD273" w14:textId="77777777" w:rsidR="001C08A5" w:rsidRDefault="00000000">
      <w:pPr>
        <w:ind w:firstLine="720"/>
        <w:jc w:val="both"/>
        <w:rPr>
          <w:b/>
          <w:sz w:val="24"/>
          <w:szCs w:val="24"/>
        </w:rPr>
      </w:pPr>
      <w:r>
        <w:rPr>
          <w:b/>
          <w:sz w:val="24"/>
          <w:szCs w:val="24"/>
        </w:rPr>
        <w:t xml:space="preserve">(2) </w:t>
      </w:r>
      <w:r>
        <w:rPr>
          <w:sz w:val="24"/>
          <w:szCs w:val="24"/>
        </w:rPr>
        <w:t>Amplasarea clădirilor de cult supraterane cu înălţime obişnuită se realizează independent, la distanţele de siguranţă normate faţă de clădirile învecinate, sau se compartimentează faţă de acestea, cu elemente de constructie cu rol de separare a compartimentelor de incendiu (pereți antifoc).</w:t>
      </w:r>
    </w:p>
    <w:p w14:paraId="46055DBE" w14:textId="77777777" w:rsidR="001C08A5" w:rsidRDefault="00000000">
      <w:pPr>
        <w:jc w:val="both"/>
        <w:rPr>
          <w:b/>
          <w:sz w:val="24"/>
          <w:szCs w:val="24"/>
        </w:rPr>
      </w:pPr>
      <w:r>
        <w:rPr>
          <w:sz w:val="24"/>
          <w:szCs w:val="24"/>
        </w:rPr>
        <w:tab/>
      </w:r>
      <w:r>
        <w:rPr>
          <w:sz w:val="24"/>
          <w:szCs w:val="24"/>
        </w:rPr>
        <w:tab/>
      </w:r>
      <w:r>
        <w:rPr>
          <w:sz w:val="24"/>
          <w:szCs w:val="24"/>
        </w:rPr>
        <w:tab/>
      </w:r>
    </w:p>
    <w:p w14:paraId="56EA254D" w14:textId="77777777" w:rsidR="001C08A5" w:rsidRDefault="00000000">
      <w:pPr>
        <w:jc w:val="both"/>
        <w:rPr>
          <w:b/>
          <w:sz w:val="24"/>
          <w:szCs w:val="24"/>
        </w:rPr>
      </w:pPr>
      <w:r>
        <w:rPr>
          <w:b/>
          <w:sz w:val="24"/>
          <w:szCs w:val="24"/>
        </w:rPr>
        <w:tab/>
        <w:t xml:space="preserve">Art. </w:t>
      </w:r>
      <w:r>
        <w:rPr>
          <w:b/>
          <w:bCs/>
          <w:sz w:val="24"/>
          <w:szCs w:val="24"/>
        </w:rPr>
        <w:t>3.2.8.</w:t>
      </w:r>
      <w:r>
        <w:rPr>
          <w:b/>
          <w:sz w:val="24"/>
          <w:szCs w:val="24"/>
        </w:rPr>
        <w:t xml:space="preserve">3. </w:t>
      </w:r>
      <w:r>
        <w:rPr>
          <w:sz w:val="24"/>
          <w:szCs w:val="24"/>
        </w:rPr>
        <w:t>Pentru clădirile de cult care se încadrează în categoria sălilor aglomerate, vor fi respectate și prevederile privind performanțele specifice acestora.</w:t>
      </w:r>
    </w:p>
    <w:p w14:paraId="6FA5EEA9" w14:textId="77777777" w:rsidR="001C08A5" w:rsidRDefault="001C08A5">
      <w:pPr>
        <w:ind w:firstLine="720"/>
        <w:jc w:val="both"/>
        <w:rPr>
          <w:sz w:val="24"/>
          <w:szCs w:val="24"/>
        </w:rPr>
      </w:pPr>
    </w:p>
    <w:p w14:paraId="4BC1B49E" w14:textId="77777777" w:rsidR="001C08A5" w:rsidRDefault="00000000">
      <w:pPr>
        <w:jc w:val="both"/>
        <w:rPr>
          <w:sz w:val="24"/>
          <w:szCs w:val="24"/>
        </w:rPr>
      </w:pPr>
      <w:r>
        <w:rPr>
          <w:b/>
          <w:sz w:val="24"/>
          <w:szCs w:val="24"/>
        </w:rPr>
        <w:tab/>
        <w:t xml:space="preserve">Art. </w:t>
      </w:r>
      <w:r>
        <w:rPr>
          <w:b/>
          <w:bCs/>
          <w:sz w:val="24"/>
          <w:szCs w:val="24"/>
        </w:rPr>
        <w:t>3.2.8.</w:t>
      </w:r>
      <w:r>
        <w:rPr>
          <w:b/>
          <w:sz w:val="24"/>
          <w:szCs w:val="24"/>
        </w:rPr>
        <w:t>4. (1)</w:t>
      </w:r>
      <w:r>
        <w:rPr>
          <w:sz w:val="24"/>
          <w:szCs w:val="24"/>
        </w:rPr>
        <w:t xml:space="preserve"> Clădirile de cult supraterane cu înălţime obişnuită care au capacitatea simultană mai mare de </w:t>
      </w:r>
      <w:r>
        <w:rPr>
          <w:b/>
          <w:sz w:val="24"/>
          <w:szCs w:val="24"/>
        </w:rPr>
        <w:t>100</w:t>
      </w:r>
      <w:r>
        <w:rPr>
          <w:sz w:val="24"/>
          <w:szCs w:val="24"/>
        </w:rPr>
        <w:t xml:space="preserve"> de utilizatori, vor avea asigurate cel puţin două căi de evacuare, distincte şi independente. </w:t>
      </w:r>
    </w:p>
    <w:p w14:paraId="613AE88A"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Clădirile de cult cu capacitatea de </w:t>
      </w:r>
      <w:r>
        <w:rPr>
          <w:b/>
          <w:bCs/>
          <w:sz w:val="24"/>
          <w:szCs w:val="24"/>
        </w:rPr>
        <w:t>30</w:t>
      </w:r>
      <w:r>
        <w:rPr>
          <w:sz w:val="24"/>
          <w:szCs w:val="24"/>
        </w:rPr>
        <w:t xml:space="preserve"> de utilizatori şi mai mult, vor avea ușile de evacuare cu deschidere normală pe balamale sau pivoţi şi cu deschiderea în sensul de evacuare a utilizatorilor spre exterior.</w:t>
      </w:r>
    </w:p>
    <w:p w14:paraId="2BF7D97D" w14:textId="77777777" w:rsidR="001C08A5" w:rsidRDefault="00000000">
      <w:pPr>
        <w:jc w:val="both"/>
        <w:rPr>
          <w:sz w:val="24"/>
          <w:szCs w:val="24"/>
        </w:rPr>
      </w:pPr>
      <w:r>
        <w:rPr>
          <w:sz w:val="24"/>
          <w:szCs w:val="24"/>
        </w:rPr>
        <w:tab/>
      </w:r>
      <w:r>
        <w:rPr>
          <w:b/>
          <w:sz w:val="24"/>
          <w:szCs w:val="24"/>
        </w:rPr>
        <w:t xml:space="preserve">(3) </w:t>
      </w:r>
      <w:r>
        <w:rPr>
          <w:sz w:val="24"/>
          <w:szCs w:val="24"/>
        </w:rPr>
        <w:t>Supantele, mezaninele și balcoanele pentru maximum</w:t>
      </w:r>
      <w:r>
        <w:rPr>
          <w:b/>
          <w:bCs/>
          <w:sz w:val="24"/>
          <w:szCs w:val="24"/>
        </w:rPr>
        <w:t>70</w:t>
      </w:r>
      <w:r>
        <w:rPr>
          <w:sz w:val="24"/>
          <w:szCs w:val="24"/>
        </w:rPr>
        <w:t xml:space="preserve"> de persoane pot avea asigurată evacuarea utilizatorilor printr-o scară interioară deschisă.</w:t>
      </w:r>
    </w:p>
    <w:p w14:paraId="5E5F64B4" w14:textId="77777777" w:rsidR="001C08A5" w:rsidRDefault="00000000">
      <w:pPr>
        <w:jc w:val="both"/>
        <w:rPr>
          <w:sz w:val="24"/>
          <w:szCs w:val="24"/>
        </w:rPr>
      </w:pPr>
      <w:r>
        <w:rPr>
          <w:sz w:val="24"/>
          <w:szCs w:val="24"/>
        </w:rPr>
        <w:tab/>
      </w:r>
      <w:r>
        <w:rPr>
          <w:b/>
          <w:sz w:val="24"/>
          <w:szCs w:val="24"/>
        </w:rPr>
        <w:t xml:space="preserve">(4) </w:t>
      </w:r>
      <w:r>
        <w:rPr>
          <w:sz w:val="24"/>
          <w:szCs w:val="24"/>
        </w:rPr>
        <w:t xml:space="preserve">Clădirile de cult cu subsol, vor avea asigurat acces separat pentru subsol, iar în cazul în care subsolul cuprinde spaţii funcţionale necesare cultului se pot realiza goluri de circulaţie funcţională şi de evacuare între subsol şi parter, cu condiţia ca acestea să fie protejate cu uşi rezistente la foc minimum </w:t>
      </w:r>
      <w:r>
        <w:rPr>
          <w:b/>
          <w:sz w:val="24"/>
          <w:szCs w:val="24"/>
        </w:rPr>
        <w:t>EI</w:t>
      </w:r>
      <w:r>
        <w:rPr>
          <w:b/>
          <w:sz w:val="24"/>
          <w:szCs w:val="24"/>
          <w:vertAlign w:val="subscript"/>
        </w:rPr>
        <w:t>2</w:t>
      </w:r>
      <w:r>
        <w:rPr>
          <w:b/>
          <w:sz w:val="24"/>
          <w:szCs w:val="24"/>
        </w:rPr>
        <w:t xml:space="preserve"> 30-C5 S</w:t>
      </w:r>
      <w:r>
        <w:rPr>
          <w:b/>
          <w:sz w:val="24"/>
          <w:szCs w:val="24"/>
          <w:vertAlign w:val="subscript"/>
        </w:rPr>
        <w:t>200</w:t>
      </w:r>
      <w:r>
        <w:rPr>
          <w:sz w:val="24"/>
          <w:szCs w:val="24"/>
        </w:rPr>
        <w:t>.</w:t>
      </w:r>
    </w:p>
    <w:p w14:paraId="0CA7347F" w14:textId="77777777" w:rsidR="001C08A5" w:rsidRDefault="001C08A5">
      <w:pPr>
        <w:pStyle w:val="BodyText"/>
      </w:pPr>
    </w:p>
    <w:p w14:paraId="05959D38" w14:textId="77777777" w:rsidR="001C08A5" w:rsidRDefault="00000000">
      <w:pPr>
        <w:pStyle w:val="BodyText"/>
      </w:pPr>
      <w:r>
        <w:tab/>
      </w:r>
      <w:r>
        <w:rPr>
          <w:i w:val="0"/>
          <w:iCs/>
        </w:rPr>
        <w:t xml:space="preserve">Art. </w:t>
      </w:r>
      <w:r>
        <w:rPr>
          <w:bCs w:val="0"/>
          <w:i w:val="0"/>
          <w:iCs/>
        </w:rPr>
        <w:t>3.2.8.</w:t>
      </w:r>
      <w:r>
        <w:rPr>
          <w:i w:val="0"/>
          <w:iCs/>
        </w:rPr>
        <w:t>5.</w:t>
      </w:r>
      <w:r>
        <w:rPr>
          <w:b w:val="0"/>
          <w:bCs w:val="0"/>
          <w:i w:val="0"/>
          <w:iCs/>
        </w:rPr>
        <w:t xml:space="preserve"> Lungimea maximă de evacuare admisă a traseului de parcurs pe căile de evacuare în clădirile de cult (cu excepţia sălilor aglomerate, a clădirilor înalte şi foarte înalte), sunt precizate în </w:t>
      </w:r>
      <w:r>
        <w:rPr>
          <w:b w:val="0"/>
          <w:bCs w:val="0"/>
          <w:i w:val="0"/>
          <w:iCs/>
        </w:rPr>
        <w:fldChar w:fldCharType="begin"/>
      </w:r>
      <w:r>
        <w:rPr>
          <w:b w:val="0"/>
          <w:bCs w:val="0"/>
          <w:i w:val="0"/>
          <w:iCs/>
        </w:rPr>
        <w:instrText xml:space="preserve"> REF _Ref26285 \h </w:instrText>
      </w:r>
      <w:r>
        <w:rPr>
          <w:b w:val="0"/>
          <w:bCs w:val="0"/>
          <w:i w:val="0"/>
          <w:iCs/>
        </w:rPr>
      </w:r>
      <w:r>
        <w:rPr>
          <w:b w:val="0"/>
          <w:bCs w:val="0"/>
          <w:i w:val="0"/>
          <w:iCs/>
        </w:rPr>
        <w:fldChar w:fldCharType="separate"/>
      </w:r>
      <w:r>
        <w:t>Tabelul 81</w:t>
      </w:r>
      <w:r>
        <w:rPr>
          <w:b w:val="0"/>
          <w:bCs w:val="0"/>
          <w:i w:val="0"/>
          <w:iCs/>
        </w:rPr>
        <w:fldChar w:fldCharType="end"/>
      </w:r>
      <w:r>
        <w:t>.</w:t>
      </w:r>
    </w:p>
    <w:p w14:paraId="57BD1FD8" w14:textId="77777777" w:rsidR="001C08A5" w:rsidRDefault="00000000">
      <w:pPr>
        <w:jc w:val="both"/>
        <w:rPr>
          <w:sz w:val="24"/>
          <w:szCs w:val="24"/>
        </w:rPr>
      </w:pPr>
      <w:r>
        <w:rPr>
          <w:sz w:val="24"/>
          <w:szCs w:val="24"/>
        </w:rPr>
        <w:tab/>
      </w:r>
    </w:p>
    <w:p w14:paraId="0D7B8BA5" w14:textId="77777777" w:rsidR="001C08A5" w:rsidRDefault="00000000">
      <w:pPr>
        <w:pStyle w:val="Captiontabel"/>
      </w:pPr>
      <w:bookmarkStart w:id="3888" w:name="_Ref26285"/>
      <w:bookmarkStart w:id="3889" w:name="_Toc162360131"/>
      <w:bookmarkStart w:id="3890" w:name="_Ref13378"/>
      <w:r>
        <w:t xml:space="preserve">Tabelul </w:t>
      </w:r>
      <w:r>
        <w:fldChar w:fldCharType="begin"/>
      </w:r>
      <w:r>
        <w:instrText xml:space="preserve"> SEQ Tabelul \* ARABIC </w:instrText>
      </w:r>
      <w:r>
        <w:fldChar w:fldCharType="separate"/>
      </w:r>
      <w:r>
        <w:t>81</w:t>
      </w:r>
      <w:r>
        <w:fldChar w:fldCharType="end"/>
      </w:r>
      <w:bookmarkStart w:id="3891" w:name="_Toc19509"/>
      <w:bookmarkStart w:id="3892" w:name="_Toc32541"/>
      <w:bookmarkStart w:id="3893" w:name="_Toc12239"/>
      <w:bookmarkStart w:id="3894" w:name="_Toc25970"/>
      <w:bookmarkStart w:id="3895" w:name="_Toc751"/>
      <w:bookmarkStart w:id="3896" w:name="_Toc27791"/>
      <w:bookmarkStart w:id="3897" w:name="_Toc27219"/>
      <w:bookmarkStart w:id="3898" w:name="_Toc29650"/>
      <w:bookmarkStart w:id="3899" w:name="_Toc6017"/>
      <w:bookmarkStart w:id="3900" w:name="_Toc4413"/>
      <w:bookmarkStart w:id="3901" w:name="_Toc21561"/>
      <w:bookmarkStart w:id="3902" w:name="_Toc26614"/>
      <w:bookmarkStart w:id="3903" w:name="_Toc12595"/>
      <w:bookmarkStart w:id="3904" w:name="_Toc13405"/>
      <w:bookmarkStart w:id="3905" w:name="_Toc32283"/>
      <w:bookmarkStart w:id="3906" w:name="_Toc5369"/>
      <w:bookmarkStart w:id="3907" w:name="_Toc28786"/>
      <w:bookmarkStart w:id="3908" w:name="_Toc30170"/>
      <w:bookmarkStart w:id="3909" w:name="_Toc8366"/>
      <w:bookmarkEnd w:id="3888"/>
      <w:r>
        <w:t>: Lungimi de evacuare în clădiri de cult supraterane cu înălţimi obişnuite</w:t>
      </w:r>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p>
    <w:p w14:paraId="57A8FB2D" w14:textId="77777777" w:rsidR="001C08A5" w:rsidRDefault="001C08A5">
      <w:pPr>
        <w:rPr>
          <w:sz w:val="24"/>
          <w:szCs w:val="24"/>
        </w:rPr>
      </w:pPr>
    </w:p>
    <w:tbl>
      <w:tblPr>
        <w:tblW w:w="9585" w:type="dxa"/>
        <w:tblInd w:w="176" w:type="dxa"/>
        <w:tblLayout w:type="fixed"/>
        <w:tblLook w:val="04A0" w:firstRow="1" w:lastRow="0" w:firstColumn="1" w:lastColumn="0" w:noHBand="0" w:noVBand="1"/>
      </w:tblPr>
      <w:tblGrid>
        <w:gridCol w:w="630"/>
        <w:gridCol w:w="1611"/>
        <w:gridCol w:w="1459"/>
        <w:gridCol w:w="1575"/>
        <w:gridCol w:w="1425"/>
        <w:gridCol w:w="2850"/>
        <w:gridCol w:w="35"/>
      </w:tblGrid>
      <w:tr w:rsidR="001C08A5" w14:paraId="0766F5E6" w14:textId="77777777">
        <w:tc>
          <w:tcPr>
            <w:tcW w:w="630" w:type="dxa"/>
            <w:vMerge w:val="restart"/>
            <w:tcBorders>
              <w:top w:val="single" w:sz="8" w:space="0" w:color="000000"/>
              <w:left w:val="single" w:sz="8" w:space="0" w:color="000000"/>
              <w:bottom w:val="single" w:sz="4" w:space="0" w:color="000000"/>
            </w:tcBorders>
            <w:shd w:val="clear" w:color="auto" w:fill="BFBFBF"/>
          </w:tcPr>
          <w:p w14:paraId="08B8DD12" w14:textId="77777777" w:rsidR="001C08A5" w:rsidRDefault="001C08A5">
            <w:pPr>
              <w:snapToGrid w:val="0"/>
              <w:jc w:val="center"/>
              <w:rPr>
                <w:b/>
                <w:i/>
                <w:iCs/>
                <w:sz w:val="22"/>
                <w:szCs w:val="22"/>
              </w:rPr>
            </w:pPr>
          </w:p>
          <w:p w14:paraId="3705A859" w14:textId="77777777" w:rsidR="001C08A5" w:rsidRDefault="001C08A5">
            <w:pPr>
              <w:jc w:val="center"/>
              <w:rPr>
                <w:b/>
                <w:i/>
                <w:iCs/>
                <w:sz w:val="22"/>
                <w:szCs w:val="22"/>
              </w:rPr>
            </w:pPr>
          </w:p>
          <w:p w14:paraId="6F1829A2" w14:textId="77777777" w:rsidR="001C08A5" w:rsidRDefault="00000000">
            <w:pPr>
              <w:jc w:val="center"/>
              <w:rPr>
                <w:i/>
                <w:iCs/>
                <w:sz w:val="22"/>
                <w:szCs w:val="22"/>
              </w:rPr>
            </w:pPr>
            <w:r>
              <w:rPr>
                <w:b/>
                <w:i/>
                <w:iCs/>
                <w:sz w:val="22"/>
                <w:szCs w:val="22"/>
              </w:rPr>
              <w:t>Nr. crt.</w:t>
            </w:r>
          </w:p>
          <w:p w14:paraId="0D021AC0" w14:textId="77777777" w:rsidR="001C08A5" w:rsidRDefault="001C08A5">
            <w:pPr>
              <w:jc w:val="center"/>
              <w:rPr>
                <w:i/>
                <w:iCs/>
                <w:sz w:val="22"/>
                <w:szCs w:val="22"/>
              </w:rPr>
            </w:pPr>
          </w:p>
        </w:tc>
        <w:tc>
          <w:tcPr>
            <w:tcW w:w="1611" w:type="dxa"/>
            <w:vMerge w:val="restart"/>
            <w:tcBorders>
              <w:top w:val="single" w:sz="8" w:space="0" w:color="000000"/>
              <w:left w:val="single" w:sz="4" w:space="0" w:color="000000"/>
              <w:bottom w:val="single" w:sz="4" w:space="0" w:color="000000"/>
            </w:tcBorders>
            <w:shd w:val="clear" w:color="auto" w:fill="BFBFBF"/>
          </w:tcPr>
          <w:p w14:paraId="24C8E4A2" w14:textId="77777777" w:rsidR="001C08A5" w:rsidRDefault="001C08A5">
            <w:pPr>
              <w:snapToGrid w:val="0"/>
              <w:jc w:val="center"/>
              <w:rPr>
                <w:b/>
                <w:i/>
                <w:iCs/>
                <w:sz w:val="22"/>
                <w:szCs w:val="22"/>
              </w:rPr>
            </w:pPr>
          </w:p>
          <w:p w14:paraId="49F7ED1F" w14:textId="77777777" w:rsidR="001C08A5" w:rsidRDefault="001C08A5">
            <w:pPr>
              <w:jc w:val="center"/>
              <w:rPr>
                <w:b/>
                <w:i/>
                <w:iCs/>
                <w:sz w:val="22"/>
                <w:szCs w:val="22"/>
              </w:rPr>
            </w:pPr>
          </w:p>
          <w:p w14:paraId="4750A909" w14:textId="77777777" w:rsidR="001C08A5" w:rsidRDefault="00000000">
            <w:pPr>
              <w:jc w:val="center"/>
              <w:rPr>
                <w:b/>
                <w:i/>
                <w:iCs/>
                <w:sz w:val="22"/>
                <w:szCs w:val="22"/>
              </w:rPr>
            </w:pPr>
            <w:r>
              <w:rPr>
                <w:b/>
                <w:i/>
                <w:iCs/>
                <w:sz w:val="22"/>
                <w:szCs w:val="22"/>
              </w:rPr>
              <w:t>Clădiri de cult</w:t>
            </w:r>
          </w:p>
        </w:tc>
        <w:tc>
          <w:tcPr>
            <w:tcW w:w="1459" w:type="dxa"/>
            <w:vMerge w:val="restart"/>
            <w:tcBorders>
              <w:top w:val="single" w:sz="8" w:space="0" w:color="000000"/>
              <w:left w:val="single" w:sz="4" w:space="0" w:color="000000"/>
              <w:bottom w:val="single" w:sz="4" w:space="0" w:color="000000"/>
            </w:tcBorders>
            <w:shd w:val="clear" w:color="auto" w:fill="BFBFBF"/>
          </w:tcPr>
          <w:p w14:paraId="7C7191E3" w14:textId="77777777" w:rsidR="001C08A5" w:rsidRDefault="00000000">
            <w:pPr>
              <w:jc w:val="center"/>
              <w:rPr>
                <w:b/>
                <w:i/>
                <w:iCs/>
                <w:sz w:val="22"/>
                <w:szCs w:val="22"/>
              </w:rPr>
            </w:pPr>
            <w:r>
              <w:rPr>
                <w:b/>
                <w:i/>
                <w:iCs/>
                <w:sz w:val="22"/>
                <w:szCs w:val="22"/>
              </w:rPr>
              <w:t>Nivel de stabilitate  la incendiu asigurat</w:t>
            </w:r>
          </w:p>
        </w:tc>
        <w:tc>
          <w:tcPr>
            <w:tcW w:w="3000" w:type="dxa"/>
            <w:gridSpan w:val="2"/>
            <w:tcBorders>
              <w:top w:val="single" w:sz="8" w:space="0" w:color="000000"/>
              <w:left w:val="single" w:sz="4" w:space="0" w:color="000000"/>
              <w:bottom w:val="single" w:sz="4" w:space="0" w:color="000000"/>
            </w:tcBorders>
            <w:shd w:val="clear" w:color="auto" w:fill="BFBFBF"/>
          </w:tcPr>
          <w:p w14:paraId="2BF6A694" w14:textId="77777777" w:rsidR="001C08A5" w:rsidRDefault="00000000">
            <w:pPr>
              <w:jc w:val="center"/>
              <w:rPr>
                <w:b/>
                <w:i/>
                <w:iCs/>
                <w:sz w:val="22"/>
                <w:szCs w:val="22"/>
              </w:rPr>
            </w:pPr>
            <w:r>
              <w:rPr>
                <w:b/>
                <w:i/>
                <w:iCs/>
                <w:sz w:val="22"/>
                <w:szCs w:val="22"/>
              </w:rPr>
              <w:t xml:space="preserve">Lungime maximă de evacuare </w:t>
            </w:r>
          </w:p>
        </w:tc>
        <w:tc>
          <w:tcPr>
            <w:tcW w:w="2885" w:type="dxa"/>
            <w:gridSpan w:val="2"/>
            <w:vMerge w:val="restart"/>
            <w:tcBorders>
              <w:top w:val="single" w:sz="8" w:space="0" w:color="000000"/>
              <w:left w:val="single" w:sz="4" w:space="0" w:color="000000"/>
              <w:bottom w:val="single" w:sz="4" w:space="0" w:color="000000"/>
              <w:right w:val="single" w:sz="8" w:space="0" w:color="000000"/>
            </w:tcBorders>
            <w:shd w:val="clear" w:color="auto" w:fill="BFBFBF"/>
          </w:tcPr>
          <w:p w14:paraId="30615202" w14:textId="77777777" w:rsidR="001C08A5" w:rsidRDefault="001C08A5">
            <w:pPr>
              <w:snapToGrid w:val="0"/>
              <w:jc w:val="center"/>
              <w:rPr>
                <w:b/>
                <w:i/>
                <w:iCs/>
                <w:sz w:val="22"/>
                <w:szCs w:val="22"/>
              </w:rPr>
            </w:pPr>
          </w:p>
          <w:p w14:paraId="2093F331" w14:textId="77777777" w:rsidR="001C08A5" w:rsidRDefault="001C08A5">
            <w:pPr>
              <w:jc w:val="center"/>
              <w:rPr>
                <w:b/>
                <w:i/>
                <w:iCs/>
                <w:sz w:val="22"/>
                <w:szCs w:val="22"/>
              </w:rPr>
            </w:pPr>
          </w:p>
          <w:p w14:paraId="66E557D2" w14:textId="77777777" w:rsidR="001C08A5" w:rsidRDefault="00000000">
            <w:pPr>
              <w:jc w:val="center"/>
              <w:rPr>
                <w:i/>
                <w:iCs/>
                <w:sz w:val="22"/>
                <w:szCs w:val="22"/>
              </w:rPr>
            </w:pPr>
            <w:r>
              <w:rPr>
                <w:b/>
                <w:i/>
                <w:iCs/>
                <w:sz w:val="22"/>
                <w:szCs w:val="22"/>
              </w:rPr>
              <w:t>Observaţii</w:t>
            </w:r>
          </w:p>
        </w:tc>
      </w:tr>
      <w:tr w:rsidR="001C08A5" w14:paraId="6038D844" w14:textId="77777777">
        <w:tc>
          <w:tcPr>
            <w:tcW w:w="630" w:type="dxa"/>
            <w:vMerge/>
            <w:tcBorders>
              <w:top w:val="single" w:sz="4" w:space="0" w:color="000000"/>
              <w:left w:val="single" w:sz="8" w:space="0" w:color="000000"/>
              <w:bottom w:val="single" w:sz="4" w:space="0" w:color="000000"/>
            </w:tcBorders>
            <w:shd w:val="clear" w:color="auto" w:fill="auto"/>
          </w:tcPr>
          <w:p w14:paraId="13F42D88" w14:textId="77777777" w:rsidR="001C08A5" w:rsidRDefault="001C08A5">
            <w:pPr>
              <w:snapToGrid w:val="0"/>
              <w:jc w:val="center"/>
              <w:rPr>
                <w:i/>
                <w:iCs/>
                <w:sz w:val="22"/>
                <w:szCs w:val="22"/>
              </w:rPr>
            </w:pPr>
          </w:p>
        </w:tc>
        <w:tc>
          <w:tcPr>
            <w:tcW w:w="1611" w:type="dxa"/>
            <w:vMerge/>
            <w:tcBorders>
              <w:top w:val="single" w:sz="4" w:space="0" w:color="000000"/>
              <w:left w:val="single" w:sz="4" w:space="0" w:color="000000"/>
              <w:bottom w:val="single" w:sz="4" w:space="0" w:color="000000"/>
            </w:tcBorders>
            <w:shd w:val="clear" w:color="auto" w:fill="auto"/>
          </w:tcPr>
          <w:p w14:paraId="19837DFF" w14:textId="77777777" w:rsidR="001C08A5" w:rsidRDefault="001C08A5">
            <w:pPr>
              <w:snapToGrid w:val="0"/>
              <w:jc w:val="center"/>
              <w:rPr>
                <w:i/>
                <w:iCs/>
                <w:sz w:val="22"/>
                <w:szCs w:val="22"/>
              </w:rPr>
            </w:pPr>
          </w:p>
        </w:tc>
        <w:tc>
          <w:tcPr>
            <w:tcW w:w="1459" w:type="dxa"/>
            <w:vMerge/>
            <w:tcBorders>
              <w:top w:val="single" w:sz="4" w:space="0" w:color="000000"/>
              <w:left w:val="single" w:sz="4" w:space="0" w:color="000000"/>
              <w:bottom w:val="single" w:sz="4" w:space="0" w:color="000000"/>
            </w:tcBorders>
            <w:shd w:val="clear" w:color="auto" w:fill="auto"/>
          </w:tcPr>
          <w:p w14:paraId="64854CF7" w14:textId="77777777" w:rsidR="001C08A5" w:rsidRDefault="001C08A5">
            <w:pPr>
              <w:snapToGrid w:val="0"/>
              <w:jc w:val="center"/>
              <w:rPr>
                <w:i/>
                <w:iCs/>
                <w:sz w:val="22"/>
                <w:szCs w:val="22"/>
              </w:rPr>
            </w:pPr>
          </w:p>
        </w:tc>
        <w:tc>
          <w:tcPr>
            <w:tcW w:w="1575" w:type="dxa"/>
            <w:tcBorders>
              <w:top w:val="single" w:sz="4" w:space="0" w:color="000000"/>
              <w:left w:val="single" w:sz="4" w:space="0" w:color="000000"/>
              <w:bottom w:val="single" w:sz="4" w:space="0" w:color="000000"/>
            </w:tcBorders>
            <w:shd w:val="clear" w:color="auto" w:fill="BFBFBF"/>
          </w:tcPr>
          <w:p w14:paraId="68E69BCF" w14:textId="77777777" w:rsidR="001C08A5" w:rsidRDefault="00000000">
            <w:pPr>
              <w:jc w:val="center"/>
              <w:rPr>
                <w:b/>
                <w:i/>
                <w:iCs/>
                <w:sz w:val="22"/>
                <w:szCs w:val="22"/>
              </w:rPr>
            </w:pPr>
            <w:r>
              <w:rPr>
                <w:b/>
                <w:i/>
                <w:iCs/>
                <w:sz w:val="22"/>
                <w:szCs w:val="22"/>
              </w:rPr>
              <w:t>în două direcţii diferite</w:t>
            </w:r>
          </w:p>
        </w:tc>
        <w:tc>
          <w:tcPr>
            <w:tcW w:w="1425" w:type="dxa"/>
            <w:tcBorders>
              <w:top w:val="single" w:sz="4" w:space="0" w:color="000000"/>
              <w:left w:val="single" w:sz="4" w:space="0" w:color="000000"/>
              <w:bottom w:val="single" w:sz="4" w:space="0" w:color="000000"/>
            </w:tcBorders>
            <w:shd w:val="clear" w:color="auto" w:fill="BFBFBF"/>
          </w:tcPr>
          <w:p w14:paraId="71F44C9B" w14:textId="77777777" w:rsidR="001C08A5" w:rsidRDefault="00000000">
            <w:pPr>
              <w:jc w:val="center"/>
              <w:rPr>
                <w:i/>
                <w:iCs/>
                <w:sz w:val="22"/>
                <w:szCs w:val="22"/>
              </w:rPr>
            </w:pPr>
            <w:r>
              <w:rPr>
                <w:b/>
                <w:i/>
                <w:iCs/>
                <w:sz w:val="22"/>
                <w:szCs w:val="22"/>
              </w:rPr>
              <w:t>într-o direcţie (coridor înfundat)</w:t>
            </w:r>
          </w:p>
        </w:tc>
        <w:tc>
          <w:tcPr>
            <w:tcW w:w="2885" w:type="dxa"/>
            <w:gridSpan w:val="2"/>
            <w:vMerge/>
            <w:tcBorders>
              <w:top w:val="single" w:sz="4" w:space="0" w:color="000000"/>
              <w:left w:val="single" w:sz="4" w:space="0" w:color="000000"/>
              <w:bottom w:val="single" w:sz="4" w:space="0" w:color="000000"/>
              <w:right w:val="single" w:sz="8" w:space="0" w:color="000000"/>
            </w:tcBorders>
          </w:tcPr>
          <w:p w14:paraId="442BD28A" w14:textId="77777777" w:rsidR="001C08A5" w:rsidRDefault="001C08A5">
            <w:pPr>
              <w:snapToGrid w:val="0"/>
              <w:rPr>
                <w:i/>
                <w:iCs/>
                <w:sz w:val="22"/>
                <w:szCs w:val="22"/>
              </w:rPr>
            </w:pPr>
          </w:p>
        </w:tc>
      </w:tr>
      <w:tr w:rsidR="001C08A5" w14:paraId="4CAAD2BE" w14:textId="77777777">
        <w:tc>
          <w:tcPr>
            <w:tcW w:w="630" w:type="dxa"/>
            <w:vMerge/>
            <w:tcBorders>
              <w:top w:val="single" w:sz="4" w:space="0" w:color="000000"/>
              <w:left w:val="single" w:sz="8" w:space="0" w:color="000000"/>
              <w:bottom w:val="single" w:sz="8" w:space="0" w:color="000000"/>
            </w:tcBorders>
            <w:shd w:val="clear" w:color="auto" w:fill="auto"/>
          </w:tcPr>
          <w:p w14:paraId="7FCD8443" w14:textId="77777777" w:rsidR="001C08A5" w:rsidRDefault="001C08A5">
            <w:pPr>
              <w:snapToGrid w:val="0"/>
              <w:jc w:val="center"/>
              <w:rPr>
                <w:i/>
                <w:iCs/>
                <w:sz w:val="22"/>
                <w:szCs w:val="22"/>
              </w:rPr>
            </w:pPr>
          </w:p>
        </w:tc>
        <w:tc>
          <w:tcPr>
            <w:tcW w:w="1611" w:type="dxa"/>
            <w:vMerge/>
            <w:tcBorders>
              <w:top w:val="single" w:sz="4" w:space="0" w:color="000000"/>
              <w:left w:val="single" w:sz="4" w:space="0" w:color="000000"/>
              <w:bottom w:val="single" w:sz="8" w:space="0" w:color="000000"/>
            </w:tcBorders>
            <w:shd w:val="clear" w:color="auto" w:fill="auto"/>
          </w:tcPr>
          <w:p w14:paraId="0A57FD32" w14:textId="77777777" w:rsidR="001C08A5" w:rsidRDefault="001C08A5">
            <w:pPr>
              <w:snapToGrid w:val="0"/>
              <w:jc w:val="center"/>
              <w:rPr>
                <w:i/>
                <w:iCs/>
                <w:sz w:val="22"/>
                <w:szCs w:val="22"/>
              </w:rPr>
            </w:pPr>
          </w:p>
        </w:tc>
        <w:tc>
          <w:tcPr>
            <w:tcW w:w="1459" w:type="dxa"/>
            <w:vMerge/>
            <w:tcBorders>
              <w:top w:val="single" w:sz="4" w:space="0" w:color="000000"/>
              <w:left w:val="single" w:sz="4" w:space="0" w:color="000000"/>
              <w:bottom w:val="single" w:sz="8" w:space="0" w:color="000000"/>
            </w:tcBorders>
            <w:shd w:val="clear" w:color="auto" w:fill="auto"/>
          </w:tcPr>
          <w:p w14:paraId="6C992E91" w14:textId="77777777" w:rsidR="001C08A5" w:rsidRDefault="001C08A5">
            <w:pPr>
              <w:snapToGrid w:val="0"/>
              <w:jc w:val="center"/>
              <w:rPr>
                <w:i/>
                <w:iCs/>
                <w:sz w:val="22"/>
                <w:szCs w:val="22"/>
              </w:rPr>
            </w:pPr>
          </w:p>
        </w:tc>
        <w:tc>
          <w:tcPr>
            <w:tcW w:w="1575" w:type="dxa"/>
            <w:tcBorders>
              <w:top w:val="single" w:sz="4" w:space="0" w:color="000000"/>
              <w:left w:val="single" w:sz="4" w:space="0" w:color="000000"/>
              <w:bottom w:val="single" w:sz="8" w:space="0" w:color="000000"/>
            </w:tcBorders>
            <w:shd w:val="clear" w:color="auto" w:fill="BFBFBF"/>
          </w:tcPr>
          <w:p w14:paraId="4B9C74D9" w14:textId="77777777" w:rsidR="001C08A5" w:rsidRDefault="00000000">
            <w:pPr>
              <w:jc w:val="center"/>
              <w:rPr>
                <w:b/>
                <w:i/>
                <w:iCs/>
                <w:sz w:val="22"/>
                <w:szCs w:val="22"/>
              </w:rPr>
            </w:pPr>
            <w:r>
              <w:rPr>
                <w:b/>
                <w:i/>
                <w:iCs/>
                <w:sz w:val="22"/>
                <w:szCs w:val="22"/>
              </w:rPr>
              <w:t>metri</w:t>
            </w:r>
          </w:p>
        </w:tc>
        <w:tc>
          <w:tcPr>
            <w:tcW w:w="1425" w:type="dxa"/>
            <w:tcBorders>
              <w:top w:val="single" w:sz="4" w:space="0" w:color="000000"/>
              <w:left w:val="single" w:sz="4" w:space="0" w:color="000000"/>
              <w:bottom w:val="single" w:sz="8" w:space="0" w:color="000000"/>
            </w:tcBorders>
            <w:shd w:val="clear" w:color="auto" w:fill="BFBFBF"/>
          </w:tcPr>
          <w:p w14:paraId="4C3B928E" w14:textId="77777777" w:rsidR="001C08A5" w:rsidRDefault="00000000">
            <w:pPr>
              <w:jc w:val="center"/>
              <w:rPr>
                <w:i/>
                <w:iCs/>
                <w:sz w:val="22"/>
                <w:szCs w:val="22"/>
              </w:rPr>
            </w:pPr>
            <w:r>
              <w:rPr>
                <w:b/>
                <w:i/>
                <w:iCs/>
                <w:sz w:val="22"/>
                <w:szCs w:val="22"/>
              </w:rPr>
              <w:t>metri</w:t>
            </w:r>
          </w:p>
        </w:tc>
        <w:tc>
          <w:tcPr>
            <w:tcW w:w="2885" w:type="dxa"/>
            <w:gridSpan w:val="2"/>
            <w:vMerge/>
            <w:tcBorders>
              <w:top w:val="single" w:sz="4" w:space="0" w:color="000000"/>
              <w:left w:val="single" w:sz="4" w:space="0" w:color="000000"/>
              <w:bottom w:val="single" w:sz="8" w:space="0" w:color="000000"/>
              <w:right w:val="single" w:sz="8" w:space="0" w:color="000000"/>
            </w:tcBorders>
          </w:tcPr>
          <w:p w14:paraId="247236BE" w14:textId="77777777" w:rsidR="001C08A5" w:rsidRDefault="001C08A5">
            <w:pPr>
              <w:snapToGrid w:val="0"/>
              <w:rPr>
                <w:i/>
                <w:iCs/>
                <w:sz w:val="22"/>
                <w:szCs w:val="22"/>
              </w:rPr>
            </w:pPr>
          </w:p>
        </w:tc>
      </w:tr>
      <w:tr w:rsidR="001C08A5" w14:paraId="1EBAF3AE" w14:textId="77777777">
        <w:trPr>
          <w:gridAfter w:val="1"/>
          <w:wAfter w:w="35" w:type="dxa"/>
          <w:trHeight w:val="229"/>
        </w:trPr>
        <w:tc>
          <w:tcPr>
            <w:tcW w:w="630" w:type="dxa"/>
            <w:vMerge w:val="restart"/>
            <w:tcBorders>
              <w:top w:val="single" w:sz="8" w:space="0" w:color="000000"/>
              <w:left w:val="single" w:sz="4" w:space="0" w:color="000000"/>
              <w:bottom w:val="single" w:sz="4" w:space="0" w:color="000000"/>
            </w:tcBorders>
          </w:tcPr>
          <w:p w14:paraId="506393F2" w14:textId="77777777" w:rsidR="001C08A5" w:rsidRDefault="001C08A5">
            <w:pPr>
              <w:snapToGrid w:val="0"/>
              <w:jc w:val="center"/>
              <w:rPr>
                <w:i/>
                <w:iCs/>
                <w:sz w:val="22"/>
                <w:szCs w:val="22"/>
              </w:rPr>
            </w:pPr>
          </w:p>
          <w:p w14:paraId="172F8B59" w14:textId="77777777" w:rsidR="001C08A5" w:rsidRDefault="00000000">
            <w:pPr>
              <w:jc w:val="center"/>
              <w:rPr>
                <w:i/>
                <w:iCs/>
                <w:sz w:val="22"/>
                <w:szCs w:val="22"/>
              </w:rPr>
            </w:pPr>
            <w:r>
              <w:rPr>
                <w:i/>
                <w:iCs/>
                <w:sz w:val="22"/>
                <w:szCs w:val="22"/>
              </w:rPr>
              <w:t>1.</w:t>
            </w:r>
          </w:p>
        </w:tc>
        <w:tc>
          <w:tcPr>
            <w:tcW w:w="1611" w:type="dxa"/>
            <w:vMerge w:val="restart"/>
            <w:tcBorders>
              <w:top w:val="single" w:sz="8" w:space="0" w:color="000000"/>
              <w:left w:val="single" w:sz="4" w:space="0" w:color="000000"/>
              <w:bottom w:val="single" w:sz="4" w:space="0" w:color="000000"/>
            </w:tcBorders>
          </w:tcPr>
          <w:p w14:paraId="1601A668" w14:textId="77777777" w:rsidR="001C08A5" w:rsidRDefault="00000000">
            <w:pPr>
              <w:jc w:val="center"/>
              <w:rPr>
                <w:b/>
                <w:i/>
                <w:iCs/>
                <w:sz w:val="22"/>
                <w:szCs w:val="22"/>
              </w:rPr>
            </w:pPr>
            <w:r>
              <w:rPr>
                <w:i/>
                <w:iCs/>
                <w:sz w:val="22"/>
                <w:szCs w:val="22"/>
              </w:rPr>
              <w:t>Catedrale, biserici, moschei, case de rugăciuni, pagode, temple etc.</w:t>
            </w:r>
          </w:p>
        </w:tc>
        <w:tc>
          <w:tcPr>
            <w:tcW w:w="1459" w:type="dxa"/>
            <w:tcBorders>
              <w:top w:val="single" w:sz="8" w:space="0" w:color="000000"/>
              <w:left w:val="single" w:sz="4" w:space="0" w:color="000000"/>
              <w:bottom w:val="single" w:sz="4" w:space="0" w:color="000000"/>
            </w:tcBorders>
          </w:tcPr>
          <w:p w14:paraId="5859ABC9" w14:textId="77777777" w:rsidR="001C08A5" w:rsidRDefault="00000000">
            <w:pPr>
              <w:jc w:val="center"/>
              <w:rPr>
                <w:i/>
                <w:iCs/>
                <w:sz w:val="22"/>
                <w:szCs w:val="22"/>
              </w:rPr>
            </w:pPr>
            <w:r>
              <w:rPr>
                <w:b/>
                <w:i/>
                <w:iCs/>
                <w:sz w:val="22"/>
                <w:szCs w:val="22"/>
              </w:rPr>
              <w:t>I şi II</w:t>
            </w:r>
          </w:p>
        </w:tc>
        <w:tc>
          <w:tcPr>
            <w:tcW w:w="1575" w:type="dxa"/>
            <w:tcBorders>
              <w:top w:val="single" w:sz="8" w:space="0" w:color="000000"/>
              <w:left w:val="single" w:sz="4" w:space="0" w:color="000000"/>
              <w:bottom w:val="single" w:sz="4" w:space="0" w:color="000000"/>
            </w:tcBorders>
          </w:tcPr>
          <w:p w14:paraId="03202D38" w14:textId="77777777" w:rsidR="001C08A5" w:rsidRDefault="00000000">
            <w:pPr>
              <w:jc w:val="center"/>
              <w:rPr>
                <w:b/>
                <w:bCs/>
                <w:i/>
                <w:iCs/>
                <w:sz w:val="22"/>
                <w:szCs w:val="22"/>
              </w:rPr>
            </w:pPr>
            <w:r>
              <w:rPr>
                <w:b/>
                <w:bCs/>
                <w:i/>
                <w:iCs/>
                <w:sz w:val="22"/>
                <w:szCs w:val="22"/>
              </w:rPr>
              <w:t>50</w:t>
            </w:r>
          </w:p>
        </w:tc>
        <w:tc>
          <w:tcPr>
            <w:tcW w:w="1425" w:type="dxa"/>
            <w:tcBorders>
              <w:top w:val="single" w:sz="8" w:space="0" w:color="000000"/>
              <w:left w:val="single" w:sz="4" w:space="0" w:color="000000"/>
              <w:bottom w:val="single" w:sz="4" w:space="0" w:color="000000"/>
            </w:tcBorders>
          </w:tcPr>
          <w:p w14:paraId="04735FBD" w14:textId="77777777" w:rsidR="001C08A5" w:rsidRDefault="00000000">
            <w:pPr>
              <w:jc w:val="center"/>
              <w:rPr>
                <w:b/>
                <w:bCs/>
                <w:i/>
                <w:iCs/>
                <w:sz w:val="22"/>
                <w:szCs w:val="22"/>
              </w:rPr>
            </w:pPr>
            <w:r>
              <w:rPr>
                <w:b/>
                <w:bCs/>
                <w:i/>
                <w:iCs/>
                <w:sz w:val="22"/>
                <w:szCs w:val="22"/>
              </w:rPr>
              <w:t>25</w:t>
            </w:r>
          </w:p>
        </w:tc>
        <w:tc>
          <w:tcPr>
            <w:tcW w:w="2850" w:type="dxa"/>
            <w:vMerge w:val="restart"/>
            <w:tcBorders>
              <w:top w:val="single" w:sz="8" w:space="0" w:color="000000"/>
              <w:left w:val="single" w:sz="4" w:space="0" w:color="000000"/>
              <w:bottom w:val="single" w:sz="4" w:space="0" w:color="000000"/>
              <w:right w:val="single" w:sz="4" w:space="0" w:color="000000"/>
            </w:tcBorders>
          </w:tcPr>
          <w:p w14:paraId="592C9773" w14:textId="77777777" w:rsidR="001C08A5" w:rsidRDefault="00000000">
            <w:pPr>
              <w:jc w:val="center"/>
              <w:rPr>
                <w:i/>
                <w:iCs/>
                <w:sz w:val="22"/>
                <w:szCs w:val="22"/>
              </w:rPr>
            </w:pPr>
            <w:r>
              <w:rPr>
                <w:i/>
                <w:iCs/>
                <w:sz w:val="22"/>
                <w:szCs w:val="22"/>
              </w:rPr>
              <w:t>Pentru clădirile obişnuite de cult care se încadrează în categoria sălilor aglomerate, se respectă prevederile privind performanțele specifice acestora.</w:t>
            </w:r>
          </w:p>
        </w:tc>
      </w:tr>
      <w:tr w:rsidR="001C08A5" w14:paraId="4A7FA08A" w14:textId="77777777">
        <w:trPr>
          <w:gridAfter w:val="1"/>
          <w:wAfter w:w="35" w:type="dxa"/>
          <w:trHeight w:val="229"/>
        </w:trPr>
        <w:tc>
          <w:tcPr>
            <w:tcW w:w="630" w:type="dxa"/>
            <w:vMerge/>
            <w:tcBorders>
              <w:top w:val="single" w:sz="4" w:space="0" w:color="000000"/>
              <w:left w:val="single" w:sz="4" w:space="0" w:color="000000"/>
              <w:bottom w:val="single" w:sz="4" w:space="0" w:color="000000"/>
            </w:tcBorders>
          </w:tcPr>
          <w:p w14:paraId="05232DC3" w14:textId="77777777" w:rsidR="001C08A5" w:rsidRDefault="001C08A5">
            <w:pPr>
              <w:snapToGrid w:val="0"/>
              <w:jc w:val="center"/>
              <w:rPr>
                <w:i/>
                <w:iCs/>
                <w:sz w:val="22"/>
                <w:szCs w:val="22"/>
              </w:rPr>
            </w:pPr>
          </w:p>
        </w:tc>
        <w:tc>
          <w:tcPr>
            <w:tcW w:w="1611" w:type="dxa"/>
            <w:vMerge/>
            <w:tcBorders>
              <w:top w:val="single" w:sz="4" w:space="0" w:color="000000"/>
              <w:left w:val="single" w:sz="4" w:space="0" w:color="000000"/>
              <w:bottom w:val="single" w:sz="4" w:space="0" w:color="000000"/>
            </w:tcBorders>
          </w:tcPr>
          <w:p w14:paraId="319F3342" w14:textId="77777777" w:rsidR="001C08A5" w:rsidRDefault="001C08A5">
            <w:pPr>
              <w:snapToGrid w:val="0"/>
              <w:jc w:val="center"/>
              <w:rPr>
                <w:i/>
                <w:iCs/>
                <w:sz w:val="22"/>
                <w:szCs w:val="22"/>
              </w:rPr>
            </w:pPr>
          </w:p>
        </w:tc>
        <w:tc>
          <w:tcPr>
            <w:tcW w:w="1459" w:type="dxa"/>
            <w:tcBorders>
              <w:top w:val="single" w:sz="4" w:space="0" w:color="000000"/>
              <w:left w:val="single" w:sz="4" w:space="0" w:color="000000"/>
              <w:bottom w:val="single" w:sz="4" w:space="0" w:color="000000"/>
            </w:tcBorders>
          </w:tcPr>
          <w:p w14:paraId="437E4544" w14:textId="77777777" w:rsidR="001C08A5" w:rsidRDefault="00000000">
            <w:pPr>
              <w:jc w:val="center"/>
              <w:rPr>
                <w:i/>
                <w:iCs/>
                <w:sz w:val="22"/>
                <w:szCs w:val="22"/>
              </w:rPr>
            </w:pPr>
            <w:r>
              <w:rPr>
                <w:b/>
                <w:i/>
                <w:iCs/>
                <w:sz w:val="22"/>
                <w:szCs w:val="22"/>
              </w:rPr>
              <w:t>III</w:t>
            </w:r>
          </w:p>
        </w:tc>
        <w:tc>
          <w:tcPr>
            <w:tcW w:w="1575" w:type="dxa"/>
            <w:tcBorders>
              <w:top w:val="single" w:sz="4" w:space="0" w:color="000000"/>
              <w:left w:val="single" w:sz="4" w:space="0" w:color="000000"/>
              <w:bottom w:val="single" w:sz="4" w:space="0" w:color="000000"/>
            </w:tcBorders>
          </w:tcPr>
          <w:p w14:paraId="5E3416D2" w14:textId="77777777" w:rsidR="001C08A5" w:rsidRDefault="00000000">
            <w:pPr>
              <w:jc w:val="center"/>
              <w:rPr>
                <w:b/>
                <w:bCs/>
                <w:i/>
                <w:iCs/>
                <w:sz w:val="22"/>
                <w:szCs w:val="22"/>
              </w:rPr>
            </w:pPr>
            <w:r>
              <w:rPr>
                <w:b/>
                <w:bCs/>
                <w:i/>
                <w:iCs/>
                <w:sz w:val="22"/>
                <w:szCs w:val="22"/>
              </w:rPr>
              <w:t>30</w:t>
            </w:r>
          </w:p>
        </w:tc>
        <w:tc>
          <w:tcPr>
            <w:tcW w:w="1425" w:type="dxa"/>
            <w:tcBorders>
              <w:top w:val="single" w:sz="4" w:space="0" w:color="000000"/>
              <w:left w:val="single" w:sz="4" w:space="0" w:color="000000"/>
              <w:bottom w:val="single" w:sz="4" w:space="0" w:color="000000"/>
            </w:tcBorders>
          </w:tcPr>
          <w:p w14:paraId="0F5C5D52" w14:textId="77777777" w:rsidR="001C08A5" w:rsidRDefault="00000000">
            <w:pPr>
              <w:jc w:val="center"/>
              <w:rPr>
                <w:b/>
                <w:bCs/>
                <w:i/>
                <w:iCs/>
                <w:sz w:val="22"/>
                <w:szCs w:val="22"/>
              </w:rPr>
            </w:pPr>
            <w:r>
              <w:rPr>
                <w:b/>
                <w:bCs/>
                <w:i/>
                <w:iCs/>
                <w:sz w:val="22"/>
                <w:szCs w:val="22"/>
              </w:rPr>
              <w:t>15</w:t>
            </w:r>
          </w:p>
        </w:tc>
        <w:tc>
          <w:tcPr>
            <w:tcW w:w="2850" w:type="dxa"/>
            <w:vMerge/>
            <w:tcBorders>
              <w:top w:val="single" w:sz="4" w:space="0" w:color="000000"/>
              <w:left w:val="single" w:sz="4" w:space="0" w:color="000000"/>
              <w:bottom w:val="single" w:sz="4" w:space="0" w:color="000000"/>
              <w:right w:val="single" w:sz="4" w:space="0" w:color="000000"/>
            </w:tcBorders>
          </w:tcPr>
          <w:p w14:paraId="6574BCE6" w14:textId="77777777" w:rsidR="001C08A5" w:rsidRDefault="001C08A5">
            <w:pPr>
              <w:snapToGrid w:val="0"/>
              <w:rPr>
                <w:i/>
                <w:iCs/>
                <w:sz w:val="22"/>
                <w:szCs w:val="22"/>
              </w:rPr>
            </w:pPr>
          </w:p>
        </w:tc>
      </w:tr>
      <w:tr w:rsidR="001C08A5" w14:paraId="76530A59" w14:textId="77777777">
        <w:trPr>
          <w:gridAfter w:val="1"/>
          <w:wAfter w:w="35" w:type="dxa"/>
          <w:trHeight w:val="229"/>
        </w:trPr>
        <w:tc>
          <w:tcPr>
            <w:tcW w:w="630" w:type="dxa"/>
            <w:vMerge/>
            <w:tcBorders>
              <w:top w:val="single" w:sz="4" w:space="0" w:color="000000"/>
              <w:left w:val="single" w:sz="4" w:space="0" w:color="000000"/>
              <w:bottom w:val="single" w:sz="4" w:space="0" w:color="000000"/>
            </w:tcBorders>
          </w:tcPr>
          <w:p w14:paraId="1D3EB7EF" w14:textId="77777777" w:rsidR="001C08A5" w:rsidRDefault="001C08A5">
            <w:pPr>
              <w:snapToGrid w:val="0"/>
              <w:jc w:val="center"/>
              <w:rPr>
                <w:i/>
                <w:iCs/>
                <w:sz w:val="22"/>
                <w:szCs w:val="22"/>
              </w:rPr>
            </w:pPr>
          </w:p>
        </w:tc>
        <w:tc>
          <w:tcPr>
            <w:tcW w:w="1611" w:type="dxa"/>
            <w:vMerge/>
            <w:tcBorders>
              <w:top w:val="single" w:sz="4" w:space="0" w:color="000000"/>
              <w:left w:val="single" w:sz="4" w:space="0" w:color="000000"/>
              <w:bottom w:val="single" w:sz="4" w:space="0" w:color="000000"/>
            </w:tcBorders>
          </w:tcPr>
          <w:p w14:paraId="0A231196" w14:textId="77777777" w:rsidR="001C08A5" w:rsidRDefault="001C08A5">
            <w:pPr>
              <w:snapToGrid w:val="0"/>
              <w:jc w:val="center"/>
              <w:rPr>
                <w:i/>
                <w:iCs/>
                <w:sz w:val="22"/>
                <w:szCs w:val="22"/>
              </w:rPr>
            </w:pPr>
          </w:p>
        </w:tc>
        <w:tc>
          <w:tcPr>
            <w:tcW w:w="1459" w:type="dxa"/>
            <w:tcBorders>
              <w:top w:val="single" w:sz="4" w:space="0" w:color="000000"/>
              <w:left w:val="single" w:sz="4" w:space="0" w:color="000000"/>
              <w:bottom w:val="single" w:sz="4" w:space="0" w:color="000000"/>
            </w:tcBorders>
          </w:tcPr>
          <w:p w14:paraId="7E665F16" w14:textId="77777777" w:rsidR="001C08A5" w:rsidRDefault="00000000">
            <w:pPr>
              <w:jc w:val="center"/>
              <w:rPr>
                <w:i/>
                <w:iCs/>
                <w:sz w:val="22"/>
                <w:szCs w:val="22"/>
              </w:rPr>
            </w:pPr>
            <w:r>
              <w:rPr>
                <w:b/>
                <w:i/>
                <w:iCs/>
                <w:sz w:val="22"/>
                <w:szCs w:val="22"/>
              </w:rPr>
              <w:t>IV</w:t>
            </w:r>
          </w:p>
        </w:tc>
        <w:tc>
          <w:tcPr>
            <w:tcW w:w="1575" w:type="dxa"/>
            <w:tcBorders>
              <w:top w:val="single" w:sz="4" w:space="0" w:color="000000"/>
              <w:left w:val="single" w:sz="4" w:space="0" w:color="000000"/>
              <w:bottom w:val="single" w:sz="4" w:space="0" w:color="000000"/>
            </w:tcBorders>
          </w:tcPr>
          <w:p w14:paraId="385AC6A7" w14:textId="77777777" w:rsidR="001C08A5" w:rsidRDefault="00000000">
            <w:pPr>
              <w:jc w:val="center"/>
              <w:rPr>
                <w:b/>
                <w:bCs/>
                <w:i/>
                <w:iCs/>
                <w:sz w:val="22"/>
                <w:szCs w:val="22"/>
              </w:rPr>
            </w:pPr>
            <w:r>
              <w:rPr>
                <w:b/>
                <w:bCs/>
                <w:i/>
                <w:iCs/>
                <w:sz w:val="22"/>
                <w:szCs w:val="22"/>
              </w:rPr>
              <w:t>25</w:t>
            </w:r>
          </w:p>
        </w:tc>
        <w:tc>
          <w:tcPr>
            <w:tcW w:w="1425" w:type="dxa"/>
            <w:tcBorders>
              <w:top w:val="single" w:sz="4" w:space="0" w:color="000000"/>
              <w:left w:val="single" w:sz="4" w:space="0" w:color="000000"/>
              <w:bottom w:val="single" w:sz="4" w:space="0" w:color="000000"/>
            </w:tcBorders>
          </w:tcPr>
          <w:p w14:paraId="0D83D1A8" w14:textId="77777777" w:rsidR="001C08A5" w:rsidRDefault="00000000">
            <w:pPr>
              <w:jc w:val="center"/>
              <w:rPr>
                <w:b/>
                <w:bCs/>
                <w:i/>
                <w:iCs/>
                <w:sz w:val="22"/>
                <w:szCs w:val="22"/>
              </w:rPr>
            </w:pPr>
            <w:r>
              <w:rPr>
                <w:b/>
                <w:bCs/>
                <w:i/>
                <w:iCs/>
                <w:sz w:val="22"/>
                <w:szCs w:val="22"/>
              </w:rPr>
              <w:t>12</w:t>
            </w:r>
          </w:p>
        </w:tc>
        <w:tc>
          <w:tcPr>
            <w:tcW w:w="2850" w:type="dxa"/>
            <w:vMerge/>
            <w:tcBorders>
              <w:top w:val="single" w:sz="4" w:space="0" w:color="000000"/>
              <w:left w:val="single" w:sz="4" w:space="0" w:color="000000"/>
              <w:bottom w:val="single" w:sz="4" w:space="0" w:color="000000"/>
              <w:right w:val="single" w:sz="4" w:space="0" w:color="000000"/>
            </w:tcBorders>
          </w:tcPr>
          <w:p w14:paraId="150EDD78" w14:textId="77777777" w:rsidR="001C08A5" w:rsidRDefault="001C08A5">
            <w:pPr>
              <w:snapToGrid w:val="0"/>
              <w:rPr>
                <w:i/>
                <w:iCs/>
                <w:sz w:val="22"/>
                <w:szCs w:val="22"/>
              </w:rPr>
            </w:pPr>
          </w:p>
        </w:tc>
      </w:tr>
      <w:tr w:rsidR="001C08A5" w14:paraId="1E4FD5D3" w14:textId="77777777">
        <w:trPr>
          <w:gridAfter w:val="1"/>
          <w:wAfter w:w="35" w:type="dxa"/>
          <w:trHeight w:val="229"/>
        </w:trPr>
        <w:tc>
          <w:tcPr>
            <w:tcW w:w="630" w:type="dxa"/>
            <w:vMerge/>
            <w:tcBorders>
              <w:top w:val="single" w:sz="4" w:space="0" w:color="000000"/>
              <w:left w:val="single" w:sz="4" w:space="0" w:color="000000"/>
              <w:bottom w:val="single" w:sz="4" w:space="0" w:color="000000"/>
            </w:tcBorders>
          </w:tcPr>
          <w:p w14:paraId="6AC0FCA7" w14:textId="77777777" w:rsidR="001C08A5" w:rsidRDefault="001C08A5">
            <w:pPr>
              <w:snapToGrid w:val="0"/>
              <w:jc w:val="center"/>
              <w:rPr>
                <w:i/>
                <w:iCs/>
                <w:sz w:val="22"/>
                <w:szCs w:val="22"/>
              </w:rPr>
            </w:pPr>
          </w:p>
        </w:tc>
        <w:tc>
          <w:tcPr>
            <w:tcW w:w="1611" w:type="dxa"/>
            <w:vMerge/>
            <w:tcBorders>
              <w:top w:val="single" w:sz="4" w:space="0" w:color="000000"/>
              <w:left w:val="single" w:sz="4" w:space="0" w:color="000000"/>
              <w:bottom w:val="single" w:sz="4" w:space="0" w:color="000000"/>
            </w:tcBorders>
          </w:tcPr>
          <w:p w14:paraId="08A98A7B" w14:textId="77777777" w:rsidR="001C08A5" w:rsidRDefault="001C08A5">
            <w:pPr>
              <w:snapToGrid w:val="0"/>
              <w:jc w:val="center"/>
              <w:rPr>
                <w:i/>
                <w:iCs/>
                <w:sz w:val="22"/>
                <w:szCs w:val="22"/>
              </w:rPr>
            </w:pPr>
          </w:p>
        </w:tc>
        <w:tc>
          <w:tcPr>
            <w:tcW w:w="1459" w:type="dxa"/>
            <w:tcBorders>
              <w:top w:val="single" w:sz="4" w:space="0" w:color="000000"/>
              <w:left w:val="single" w:sz="4" w:space="0" w:color="000000"/>
              <w:bottom w:val="single" w:sz="4" w:space="0" w:color="000000"/>
            </w:tcBorders>
          </w:tcPr>
          <w:p w14:paraId="6B32552A" w14:textId="77777777" w:rsidR="001C08A5" w:rsidRDefault="00000000">
            <w:pPr>
              <w:jc w:val="center"/>
              <w:rPr>
                <w:i/>
                <w:iCs/>
                <w:sz w:val="22"/>
                <w:szCs w:val="22"/>
              </w:rPr>
            </w:pPr>
            <w:r>
              <w:rPr>
                <w:b/>
                <w:i/>
                <w:iCs/>
                <w:sz w:val="22"/>
                <w:szCs w:val="22"/>
              </w:rPr>
              <w:t>V</w:t>
            </w:r>
          </w:p>
        </w:tc>
        <w:tc>
          <w:tcPr>
            <w:tcW w:w="1575" w:type="dxa"/>
            <w:tcBorders>
              <w:top w:val="single" w:sz="4" w:space="0" w:color="000000"/>
              <w:left w:val="single" w:sz="4" w:space="0" w:color="000000"/>
              <w:bottom w:val="single" w:sz="4" w:space="0" w:color="000000"/>
            </w:tcBorders>
          </w:tcPr>
          <w:p w14:paraId="04FA2D37" w14:textId="77777777" w:rsidR="001C08A5" w:rsidRDefault="00000000">
            <w:pPr>
              <w:jc w:val="center"/>
              <w:rPr>
                <w:b/>
                <w:bCs/>
                <w:i/>
                <w:iCs/>
                <w:sz w:val="22"/>
                <w:szCs w:val="22"/>
              </w:rPr>
            </w:pPr>
            <w:r>
              <w:rPr>
                <w:b/>
                <w:bCs/>
                <w:i/>
                <w:iCs/>
                <w:sz w:val="22"/>
                <w:szCs w:val="22"/>
              </w:rPr>
              <w:t>15</w:t>
            </w:r>
          </w:p>
        </w:tc>
        <w:tc>
          <w:tcPr>
            <w:tcW w:w="1425" w:type="dxa"/>
            <w:tcBorders>
              <w:top w:val="single" w:sz="4" w:space="0" w:color="000000"/>
              <w:left w:val="single" w:sz="4" w:space="0" w:color="000000"/>
              <w:bottom w:val="single" w:sz="4" w:space="0" w:color="000000"/>
            </w:tcBorders>
          </w:tcPr>
          <w:p w14:paraId="0CA53B53" w14:textId="77777777" w:rsidR="001C08A5" w:rsidRDefault="00000000">
            <w:pPr>
              <w:jc w:val="center"/>
              <w:rPr>
                <w:b/>
                <w:bCs/>
                <w:i/>
                <w:iCs/>
                <w:sz w:val="22"/>
                <w:szCs w:val="22"/>
              </w:rPr>
            </w:pPr>
            <w:r>
              <w:rPr>
                <w:b/>
                <w:bCs/>
                <w:i/>
                <w:iCs/>
                <w:sz w:val="22"/>
                <w:szCs w:val="22"/>
              </w:rPr>
              <w:t>10</w:t>
            </w:r>
          </w:p>
        </w:tc>
        <w:tc>
          <w:tcPr>
            <w:tcW w:w="2850" w:type="dxa"/>
            <w:vMerge/>
            <w:tcBorders>
              <w:top w:val="single" w:sz="4" w:space="0" w:color="000000"/>
              <w:left w:val="single" w:sz="4" w:space="0" w:color="000000"/>
              <w:bottom w:val="single" w:sz="4" w:space="0" w:color="000000"/>
              <w:right w:val="single" w:sz="4" w:space="0" w:color="000000"/>
            </w:tcBorders>
          </w:tcPr>
          <w:p w14:paraId="39E1964D" w14:textId="77777777" w:rsidR="001C08A5" w:rsidRDefault="001C08A5">
            <w:pPr>
              <w:snapToGrid w:val="0"/>
              <w:rPr>
                <w:i/>
                <w:iCs/>
                <w:sz w:val="22"/>
                <w:szCs w:val="22"/>
              </w:rPr>
            </w:pPr>
          </w:p>
        </w:tc>
      </w:tr>
    </w:tbl>
    <w:p w14:paraId="77CACEEC" w14:textId="77777777" w:rsidR="001C08A5" w:rsidRDefault="00000000">
      <w:pPr>
        <w:jc w:val="both"/>
        <w:rPr>
          <w:i/>
          <w:sz w:val="22"/>
          <w:szCs w:val="22"/>
        </w:rPr>
      </w:pPr>
      <w:r>
        <w:rPr>
          <w:i/>
          <w:sz w:val="22"/>
          <w:szCs w:val="22"/>
        </w:rPr>
        <w:t xml:space="preserve">Notă: </w:t>
      </w:r>
    </w:p>
    <w:p w14:paraId="3A713AAE" w14:textId="77777777" w:rsidR="001C08A5" w:rsidRDefault="00000000">
      <w:pPr>
        <w:jc w:val="both"/>
        <w:rPr>
          <w:b/>
          <w:i/>
          <w:sz w:val="22"/>
          <w:szCs w:val="22"/>
        </w:rPr>
      </w:pPr>
      <w:r>
        <w:rPr>
          <w:i/>
          <w:sz w:val="22"/>
          <w:szCs w:val="22"/>
        </w:rPr>
        <w:t xml:space="preserve">La clădirile de cult  care nu sunt săli aglomerate, clădiri înalte sau clădiri foarte înalte, dar sunt echipate cu instalaţii de detectare, semnalizare şi alarmare a incendiului cu acoperire totală, instalaţii automate de stingere a incendiilor </w:t>
      </w:r>
      <w:r>
        <w:rPr>
          <w:bCs/>
          <w:i/>
          <w:sz w:val="22"/>
          <w:szCs w:val="22"/>
        </w:rPr>
        <w:t xml:space="preserve">şi evacuare a fumului, </w:t>
      </w:r>
      <w:r>
        <w:rPr>
          <w:i/>
          <w:sz w:val="22"/>
          <w:szCs w:val="22"/>
        </w:rPr>
        <w:t xml:space="preserve">lungimile normate de evacuare a utilizatorilor se pot majora cu </w:t>
      </w:r>
      <w:r>
        <w:rPr>
          <w:b/>
          <w:bCs/>
          <w:i/>
          <w:sz w:val="22"/>
          <w:szCs w:val="22"/>
        </w:rPr>
        <w:t>25%</w:t>
      </w:r>
      <w:r>
        <w:rPr>
          <w:i/>
          <w:sz w:val="22"/>
          <w:szCs w:val="22"/>
        </w:rPr>
        <w:t>.</w:t>
      </w:r>
    </w:p>
    <w:p w14:paraId="24E5044C" w14:textId="77777777" w:rsidR="001C08A5" w:rsidRDefault="00000000">
      <w:pPr>
        <w:pStyle w:val="BodyText"/>
        <w:rPr>
          <w:b w:val="0"/>
          <w:bCs w:val="0"/>
        </w:rPr>
      </w:pPr>
      <w:r>
        <w:tab/>
      </w:r>
    </w:p>
    <w:p w14:paraId="00E29E59" w14:textId="77777777" w:rsidR="001C08A5" w:rsidRDefault="00000000">
      <w:pPr>
        <w:jc w:val="both"/>
        <w:rPr>
          <w:b/>
          <w:sz w:val="24"/>
          <w:szCs w:val="24"/>
        </w:rPr>
      </w:pPr>
      <w:r>
        <w:rPr>
          <w:b/>
          <w:sz w:val="24"/>
          <w:szCs w:val="24"/>
        </w:rPr>
        <w:tab/>
        <w:t xml:space="preserve">Art. </w:t>
      </w:r>
      <w:r>
        <w:rPr>
          <w:b/>
          <w:bCs/>
          <w:sz w:val="24"/>
          <w:szCs w:val="24"/>
        </w:rPr>
        <w:t>3.2.8.</w:t>
      </w:r>
      <w:r>
        <w:rPr>
          <w:b/>
          <w:sz w:val="24"/>
          <w:szCs w:val="24"/>
        </w:rPr>
        <w:t xml:space="preserve">6. </w:t>
      </w:r>
      <w:r>
        <w:rPr>
          <w:sz w:val="24"/>
          <w:szCs w:val="24"/>
        </w:rPr>
        <w:t>Focul deschis (lumânări, candele etc.) în orice clădire de cult poate fi utilizat în condiţiile asigurării măsurilor specifice de apărare împotriva incendiilor și în locurile stabilite și amenajate corespunzător.</w:t>
      </w:r>
      <w:r>
        <w:rPr>
          <w:b/>
          <w:sz w:val="24"/>
          <w:szCs w:val="24"/>
        </w:rPr>
        <w:tab/>
      </w:r>
    </w:p>
    <w:p w14:paraId="10E15B6E" w14:textId="77777777" w:rsidR="001C08A5" w:rsidRDefault="00000000">
      <w:pPr>
        <w:jc w:val="both"/>
        <w:rPr>
          <w:b/>
          <w:sz w:val="24"/>
          <w:szCs w:val="24"/>
        </w:rPr>
      </w:pPr>
      <w:r>
        <w:rPr>
          <w:b/>
          <w:sz w:val="24"/>
          <w:szCs w:val="24"/>
        </w:rPr>
        <w:lastRenderedPageBreak/>
        <w:tab/>
        <w:t xml:space="preserve">Art. </w:t>
      </w:r>
      <w:r>
        <w:rPr>
          <w:b/>
          <w:bCs/>
          <w:sz w:val="24"/>
          <w:szCs w:val="24"/>
        </w:rPr>
        <w:t>3.2.8.</w:t>
      </w:r>
      <w:r>
        <w:rPr>
          <w:b/>
          <w:sz w:val="24"/>
          <w:szCs w:val="24"/>
        </w:rPr>
        <w:t xml:space="preserve">7. </w:t>
      </w:r>
      <w:r>
        <w:rPr>
          <w:sz w:val="24"/>
          <w:szCs w:val="24"/>
        </w:rPr>
        <w:t>Instalaţiile utilitare aferente construcţiilor de cult supraterane cu înălţimi obişnuite (sanitare, electrice, încălzire, ventilare etc.), se proiectează și realizează conform prevederilor reglementărilor tehnice de specialitate.</w:t>
      </w:r>
    </w:p>
    <w:p w14:paraId="307D4D0D" w14:textId="77777777" w:rsidR="001C08A5" w:rsidRDefault="00000000">
      <w:pPr>
        <w:jc w:val="both"/>
        <w:rPr>
          <w:b/>
          <w:sz w:val="24"/>
          <w:szCs w:val="24"/>
        </w:rPr>
      </w:pPr>
      <w:r>
        <w:rPr>
          <w:b/>
          <w:sz w:val="24"/>
          <w:szCs w:val="24"/>
        </w:rPr>
        <w:tab/>
      </w:r>
    </w:p>
    <w:p w14:paraId="5201B2A4" w14:textId="77777777" w:rsidR="001C08A5" w:rsidRDefault="00000000">
      <w:pPr>
        <w:ind w:firstLine="567"/>
        <w:jc w:val="both"/>
        <w:rPr>
          <w:sz w:val="24"/>
          <w:szCs w:val="24"/>
        </w:rPr>
      </w:pPr>
      <w:r>
        <w:rPr>
          <w:b/>
          <w:sz w:val="24"/>
          <w:szCs w:val="24"/>
        </w:rPr>
        <w:tab/>
        <w:t xml:space="preserve">Art. </w:t>
      </w:r>
      <w:r>
        <w:rPr>
          <w:b/>
          <w:bCs/>
          <w:sz w:val="24"/>
          <w:szCs w:val="24"/>
        </w:rPr>
        <w:t>3.2.8.</w:t>
      </w:r>
      <w:r>
        <w:rPr>
          <w:b/>
          <w:sz w:val="24"/>
          <w:szCs w:val="24"/>
        </w:rPr>
        <w:t xml:space="preserve">8. </w:t>
      </w:r>
      <w:r>
        <w:rPr>
          <w:sz w:val="24"/>
          <w:szCs w:val="24"/>
        </w:rPr>
        <w:t xml:space="preserve">Clădirile de cult supraterane cu înălţimi obişnuite vor avea asigurat accesul și intervenţia autospecialelor de stingere în caz de incendiu, cel puţin pe o latură </w:t>
      </w:r>
      <w:r>
        <w:rPr>
          <w:rFonts w:eastAsia="Times-Roman"/>
          <w:sz w:val="24"/>
          <w:szCs w:val="24"/>
        </w:rPr>
        <w:t xml:space="preserve">şi, totodată, cel puţin pe </w:t>
      </w:r>
      <w:r>
        <w:rPr>
          <w:rFonts w:eastAsia="Times-Roman"/>
          <w:b/>
          <w:bCs/>
          <w:sz w:val="24"/>
          <w:szCs w:val="24"/>
        </w:rPr>
        <w:t>25%</w:t>
      </w:r>
      <w:r>
        <w:rPr>
          <w:rFonts w:eastAsia="Times-Roman"/>
          <w:sz w:val="24"/>
          <w:szCs w:val="24"/>
        </w:rPr>
        <w:t xml:space="preserve"> din perimetrul pereților exteriori, cu exceptia celor prevazute cu sali aglomerate sau care fac parte dintr-o clădire înaltă sau foarte înaltă, respectandu-se prevederile specifice.</w:t>
      </w:r>
    </w:p>
    <w:p w14:paraId="262F27A4" w14:textId="77777777" w:rsidR="001C08A5" w:rsidRDefault="00000000">
      <w:pPr>
        <w:ind w:firstLine="720"/>
        <w:jc w:val="both"/>
        <w:rPr>
          <w:b/>
          <w:sz w:val="24"/>
          <w:szCs w:val="24"/>
        </w:rPr>
      </w:pPr>
      <w:r>
        <w:rPr>
          <w:b/>
          <w:sz w:val="24"/>
          <w:szCs w:val="24"/>
        </w:rPr>
        <w:t xml:space="preserve">(2) </w:t>
      </w:r>
      <w:r>
        <w:rPr>
          <w:bCs/>
          <w:sz w:val="24"/>
          <w:szCs w:val="24"/>
        </w:rPr>
        <w:t xml:space="preserve">În </w:t>
      </w:r>
      <w:r>
        <w:rPr>
          <w:sz w:val="24"/>
          <w:szCs w:val="24"/>
        </w:rPr>
        <w:t xml:space="preserve">conformitate cu capacitatea maximă simultană a clădirii </w:t>
      </w:r>
      <w:r>
        <w:rPr>
          <w:bCs/>
          <w:sz w:val="24"/>
          <w:szCs w:val="24"/>
        </w:rPr>
        <w:t>de cult</w:t>
      </w:r>
      <w:r>
        <w:rPr>
          <w:sz w:val="24"/>
          <w:szCs w:val="24"/>
        </w:rPr>
        <w:t xml:space="preserv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(2) </w:t>
      </w:r>
      <w:r>
        <w:rPr>
          <w:bCs/>
          <w:sz w:val="24"/>
          <w:szCs w:val="24"/>
        </w:rPr>
        <w:t>și</w:t>
      </w:r>
      <w:r>
        <w:rPr>
          <w:b/>
          <w:sz w:val="24"/>
          <w:szCs w:val="24"/>
        </w:rPr>
        <w:t xml:space="preserve"> (3). </w:t>
      </w:r>
    </w:p>
    <w:p w14:paraId="7A108981" w14:textId="77777777" w:rsidR="001C08A5" w:rsidRDefault="00000000">
      <w:pPr>
        <w:pStyle w:val="Heading4"/>
      </w:pPr>
      <w:bookmarkStart w:id="3910" w:name="_Toc8497"/>
      <w:bookmarkStart w:id="3911" w:name="_Toc1570"/>
      <w:bookmarkStart w:id="3912" w:name="_Toc28843"/>
      <w:bookmarkStart w:id="3913" w:name="_Toc76"/>
      <w:bookmarkStart w:id="3914" w:name="_Toc11873"/>
      <w:bookmarkStart w:id="3915" w:name="_Toc162355297"/>
      <w:bookmarkStart w:id="3916" w:name="_Toc20948"/>
      <w:bookmarkStart w:id="3917" w:name="_Toc4583"/>
      <w:r>
        <w:t>3.2.9. Clădiri de sport supraterane</w:t>
      </w:r>
      <w:bookmarkEnd w:id="3910"/>
      <w:bookmarkEnd w:id="3911"/>
      <w:bookmarkEnd w:id="3912"/>
      <w:bookmarkEnd w:id="3913"/>
      <w:bookmarkEnd w:id="3914"/>
      <w:bookmarkEnd w:id="3915"/>
      <w:bookmarkEnd w:id="3916"/>
      <w:bookmarkEnd w:id="3917"/>
    </w:p>
    <w:p w14:paraId="67780C47" w14:textId="77777777" w:rsidR="001C08A5" w:rsidRDefault="001C08A5">
      <w:pPr>
        <w:rPr>
          <w:bCs/>
          <w:sz w:val="24"/>
          <w:szCs w:val="24"/>
        </w:rPr>
      </w:pPr>
    </w:p>
    <w:p w14:paraId="037BE7B9" w14:textId="77777777" w:rsidR="001C08A5" w:rsidRDefault="00000000">
      <w:pPr>
        <w:autoSpaceDE w:val="0"/>
        <w:jc w:val="both"/>
        <w:rPr>
          <w:sz w:val="24"/>
          <w:szCs w:val="24"/>
        </w:rPr>
      </w:pPr>
      <w:r>
        <w:rPr>
          <w:b/>
          <w:sz w:val="24"/>
          <w:szCs w:val="24"/>
        </w:rPr>
        <w:tab/>
        <w:t xml:space="preserve">Art. </w:t>
      </w:r>
      <w:r>
        <w:rPr>
          <w:b/>
          <w:bCs/>
          <w:sz w:val="24"/>
          <w:szCs w:val="24"/>
        </w:rPr>
        <w:t>3.2.9.</w:t>
      </w:r>
      <w:r>
        <w:rPr>
          <w:b/>
          <w:sz w:val="24"/>
          <w:szCs w:val="24"/>
        </w:rPr>
        <w:t>1. (1)</w:t>
      </w:r>
      <w:r>
        <w:rPr>
          <w:sz w:val="24"/>
          <w:szCs w:val="24"/>
        </w:rPr>
        <w:t xml:space="preserve"> Clădirile închise de sport supraterane cu înălţimi obişnuite se conformează astfel încât să îndeplinească condiţiile de corelare între destinaţie, nivelul de stabilitate la incendiu asigurat, aria construită (</w:t>
      </w:r>
      <w:r>
        <w:rPr>
          <w:b/>
          <w:sz w:val="24"/>
          <w:szCs w:val="24"/>
        </w:rPr>
        <w:t>Ac</w:t>
      </w:r>
      <w:r>
        <w:rPr>
          <w:sz w:val="24"/>
          <w:szCs w:val="24"/>
        </w:rPr>
        <w:t xml:space="preserve">) şi numărul de niveluri, conform prevederilor </w:t>
      </w:r>
      <w:r>
        <w:rPr>
          <w:b/>
          <w:sz w:val="24"/>
          <w:szCs w:val="24"/>
        </w:rPr>
        <w:t xml:space="preserve">Art. </w:t>
      </w:r>
      <w:r>
        <w:rPr>
          <w:b/>
          <w:caps/>
          <w:sz w:val="24"/>
          <w:szCs w:val="24"/>
        </w:rPr>
        <w:t>3.1.2.</w:t>
      </w:r>
      <w:r>
        <w:rPr>
          <w:b/>
          <w:sz w:val="24"/>
          <w:szCs w:val="24"/>
        </w:rPr>
        <w:t>6.</w:t>
      </w:r>
      <w:r>
        <w:rPr>
          <w:sz w:val="24"/>
          <w:szCs w:val="24"/>
        </w:rPr>
        <w:t>,</w:t>
      </w:r>
      <w:r>
        <w:rPr>
          <w:b/>
          <w:sz w:val="24"/>
          <w:szCs w:val="24"/>
        </w:rPr>
        <w:t xml:space="preserve"> Art. </w:t>
      </w:r>
      <w:r>
        <w:rPr>
          <w:b/>
          <w:caps/>
          <w:sz w:val="24"/>
          <w:szCs w:val="24"/>
        </w:rPr>
        <w:t>3.1.2.</w:t>
      </w:r>
      <w:r>
        <w:rPr>
          <w:b/>
          <w:sz w:val="24"/>
          <w:szCs w:val="24"/>
        </w:rPr>
        <w:t xml:space="preserve">7. </w:t>
      </w:r>
      <w:r>
        <w:rPr>
          <w:sz w:val="24"/>
          <w:szCs w:val="24"/>
        </w:rPr>
        <w:t xml:space="preserve">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 xml:space="preserve"> și</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sz w:val="24"/>
          <w:szCs w:val="24"/>
        </w:rPr>
        <w:t>.</w:t>
      </w:r>
    </w:p>
    <w:p w14:paraId="43755536" w14:textId="77777777" w:rsidR="001C08A5" w:rsidRDefault="00000000">
      <w:pPr>
        <w:jc w:val="both"/>
        <w:rPr>
          <w:sz w:val="24"/>
          <w:szCs w:val="24"/>
        </w:rPr>
      </w:pPr>
      <w:r>
        <w:rPr>
          <w:sz w:val="24"/>
          <w:szCs w:val="24"/>
        </w:rPr>
        <w:tab/>
      </w:r>
      <w:r>
        <w:rPr>
          <w:b/>
          <w:sz w:val="24"/>
          <w:szCs w:val="24"/>
        </w:rPr>
        <w:t>(2)</w:t>
      </w:r>
      <w:r>
        <w:rPr>
          <w:sz w:val="24"/>
          <w:szCs w:val="24"/>
        </w:rPr>
        <w:t xml:space="preserve"> Pentru clădirile de sport care se încadrează în categoria sălilor aglomerate, clădirilor înalte sau foarte înalte, vor fi respectate și prevederile privind performanțele specifice acestora.</w:t>
      </w:r>
    </w:p>
    <w:p w14:paraId="0752CA85" w14:textId="77777777" w:rsidR="001C08A5" w:rsidRDefault="001C08A5">
      <w:pPr>
        <w:jc w:val="both"/>
        <w:rPr>
          <w:b/>
          <w:sz w:val="24"/>
          <w:szCs w:val="24"/>
        </w:rPr>
      </w:pPr>
    </w:p>
    <w:p w14:paraId="0E2FF1E3" w14:textId="77777777" w:rsidR="001C08A5" w:rsidRDefault="00000000">
      <w:pPr>
        <w:jc w:val="both"/>
        <w:rPr>
          <w:sz w:val="24"/>
          <w:szCs w:val="24"/>
        </w:rPr>
      </w:pPr>
      <w:r>
        <w:rPr>
          <w:b/>
          <w:sz w:val="24"/>
          <w:szCs w:val="24"/>
        </w:rPr>
        <w:tab/>
        <w:t xml:space="preserve">Art. </w:t>
      </w:r>
      <w:r>
        <w:rPr>
          <w:b/>
          <w:bCs/>
          <w:sz w:val="24"/>
          <w:szCs w:val="24"/>
        </w:rPr>
        <w:t>3.2.9.</w:t>
      </w:r>
      <w:r>
        <w:rPr>
          <w:b/>
          <w:sz w:val="24"/>
          <w:szCs w:val="24"/>
        </w:rPr>
        <w:t xml:space="preserve">2. </w:t>
      </w:r>
      <w:r>
        <w:rPr>
          <w:sz w:val="24"/>
          <w:szCs w:val="24"/>
        </w:rPr>
        <w:t xml:space="preserve">În cazul în care clădirile </w:t>
      </w:r>
      <w:r>
        <w:rPr>
          <w:bCs/>
          <w:sz w:val="24"/>
          <w:szCs w:val="24"/>
        </w:rPr>
        <w:t>de sport supraterane cu înălţimi obişnuite</w:t>
      </w:r>
      <w:r>
        <w:rPr>
          <w:sz w:val="24"/>
          <w:szCs w:val="24"/>
        </w:rPr>
        <w:t xml:space="preserve"> au şi niveluri subterane în care sunt dispuse funcţiuni anexă, acestea vor fi separate de nivelurile supraterane prin planşee rezistente la foc minimum </w:t>
      </w:r>
      <w:r>
        <w:rPr>
          <w:b/>
          <w:sz w:val="24"/>
          <w:szCs w:val="24"/>
        </w:rPr>
        <w:t>REI 120</w:t>
      </w:r>
      <w:r>
        <w:rPr>
          <w:sz w:val="24"/>
          <w:szCs w:val="24"/>
        </w:rPr>
        <w:t>. Sunt exceptate subsolurile și demisolurile care cuprind funcţiuni similare celor dispuse la nivelurile supraterane.</w:t>
      </w:r>
    </w:p>
    <w:p w14:paraId="605F5353" w14:textId="77777777" w:rsidR="001C08A5" w:rsidRDefault="001C08A5">
      <w:pPr>
        <w:jc w:val="both"/>
        <w:rPr>
          <w:sz w:val="24"/>
          <w:szCs w:val="24"/>
        </w:rPr>
      </w:pPr>
    </w:p>
    <w:p w14:paraId="440C8A64" w14:textId="77777777" w:rsidR="001C08A5" w:rsidRDefault="00000000">
      <w:pPr>
        <w:jc w:val="both"/>
        <w:rPr>
          <w:sz w:val="24"/>
          <w:szCs w:val="24"/>
        </w:rPr>
      </w:pPr>
      <w:r>
        <w:rPr>
          <w:b/>
          <w:sz w:val="24"/>
          <w:szCs w:val="24"/>
        </w:rPr>
        <w:tab/>
        <w:t xml:space="preserve">Art. </w:t>
      </w:r>
      <w:r>
        <w:rPr>
          <w:b/>
          <w:bCs/>
          <w:sz w:val="24"/>
          <w:szCs w:val="24"/>
        </w:rPr>
        <w:t>3.2.9.</w:t>
      </w:r>
      <w:r>
        <w:rPr>
          <w:b/>
          <w:sz w:val="24"/>
          <w:szCs w:val="24"/>
        </w:rPr>
        <w:t xml:space="preserve">3. </w:t>
      </w:r>
      <w:r>
        <w:rPr>
          <w:sz w:val="24"/>
          <w:szCs w:val="24"/>
        </w:rPr>
        <w:t xml:space="preserve">Comportarea la foc a pereţilor, uşilor și planşeelor de separare a caselor de scări închise din clădirile pentru sport supraterane cu înălţimi obişnuite, trebuie să corespundă prevederilor din </w:t>
      </w:r>
      <w:r>
        <w:rPr>
          <w:b/>
          <w:bCs/>
          <w:i/>
          <w:iCs/>
          <w:sz w:val="24"/>
          <w:szCs w:val="24"/>
        </w:rPr>
        <w:fldChar w:fldCharType="begin"/>
      </w:r>
      <w:r>
        <w:rPr>
          <w:b/>
          <w:bCs/>
          <w:i/>
          <w:iCs/>
          <w:sz w:val="24"/>
          <w:szCs w:val="24"/>
        </w:rPr>
        <w:instrText xml:space="preserve"> REF _Ref26151 \h </w:instrText>
      </w:r>
      <w:r>
        <w:rPr>
          <w:b/>
          <w:bCs/>
          <w:i/>
          <w:iCs/>
          <w:sz w:val="24"/>
          <w:szCs w:val="24"/>
        </w:rPr>
      </w:r>
      <w:r>
        <w:rPr>
          <w:b/>
          <w:bCs/>
          <w:i/>
          <w:iCs/>
          <w:sz w:val="24"/>
          <w:szCs w:val="24"/>
        </w:rPr>
        <w:fldChar w:fldCharType="separate"/>
      </w:r>
      <w:r>
        <w:t>Tabelul 82</w:t>
      </w:r>
      <w:r>
        <w:rPr>
          <w:b/>
          <w:bCs/>
          <w:i/>
          <w:iCs/>
          <w:sz w:val="24"/>
          <w:szCs w:val="24"/>
        </w:rPr>
        <w:fldChar w:fldCharType="end"/>
      </w:r>
      <w:r>
        <w:rPr>
          <w:sz w:val="24"/>
          <w:szCs w:val="24"/>
        </w:rPr>
        <w:t>.</w:t>
      </w:r>
    </w:p>
    <w:p w14:paraId="3026061B" w14:textId="77777777" w:rsidR="001C08A5" w:rsidRDefault="001C08A5">
      <w:pPr>
        <w:jc w:val="both"/>
        <w:rPr>
          <w:sz w:val="24"/>
          <w:szCs w:val="24"/>
        </w:rPr>
      </w:pPr>
    </w:p>
    <w:p w14:paraId="3DC5033D" w14:textId="77777777" w:rsidR="001C08A5" w:rsidRDefault="00000000">
      <w:pPr>
        <w:pStyle w:val="Captiontabel"/>
      </w:pPr>
      <w:bookmarkStart w:id="3918" w:name="_Ref26151"/>
      <w:bookmarkStart w:id="3919" w:name="_Ref13515"/>
      <w:bookmarkStart w:id="3920" w:name="_Toc162360132"/>
      <w:r>
        <w:t xml:space="preserve">Tabelul </w:t>
      </w:r>
      <w:r>
        <w:fldChar w:fldCharType="begin"/>
      </w:r>
      <w:r>
        <w:instrText xml:space="preserve"> SEQ Tabelul \* ARABIC </w:instrText>
      </w:r>
      <w:r>
        <w:fldChar w:fldCharType="separate"/>
      </w:r>
      <w:r>
        <w:t>82</w:t>
      </w:r>
      <w:r>
        <w:fldChar w:fldCharType="end"/>
      </w:r>
      <w:bookmarkStart w:id="3921" w:name="_Toc2501"/>
      <w:bookmarkStart w:id="3922" w:name="_Toc1593"/>
      <w:bookmarkStart w:id="3923" w:name="_Toc30295"/>
      <w:bookmarkStart w:id="3924" w:name="_Toc30805"/>
      <w:bookmarkStart w:id="3925" w:name="_Toc7252"/>
      <w:bookmarkStart w:id="3926" w:name="_Toc13226"/>
      <w:bookmarkStart w:id="3927" w:name="_Toc11324"/>
      <w:bookmarkStart w:id="3928" w:name="_Toc8083"/>
      <w:bookmarkStart w:id="3929" w:name="_Toc30343"/>
      <w:bookmarkStart w:id="3930" w:name="_Toc5859"/>
      <w:bookmarkStart w:id="3931" w:name="_Toc11618"/>
      <w:bookmarkStart w:id="3932" w:name="_Toc21537"/>
      <w:bookmarkStart w:id="3933" w:name="_Toc29811"/>
      <w:bookmarkStart w:id="3934" w:name="_Toc7807"/>
      <w:bookmarkStart w:id="3935" w:name="_Toc28470"/>
      <w:bookmarkStart w:id="3936" w:name="_Toc19089"/>
      <w:bookmarkStart w:id="3937" w:name="_Toc31547"/>
      <w:bookmarkStart w:id="3938" w:name="_Toc14297"/>
      <w:bookmarkStart w:id="3939" w:name="_Toc3924"/>
      <w:bookmarkEnd w:id="3918"/>
      <w:r>
        <w:t>: Comportare la foc a pereţilor, uşilor și planşeelor de separare a caselor de scări închise din clădirile pentru sport supraterane cu înălţimi obişnuite</w:t>
      </w:r>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p>
    <w:p w14:paraId="4A1A154C" w14:textId="77777777" w:rsidR="001C08A5" w:rsidRDefault="001C08A5">
      <w:pPr>
        <w:jc w:val="both"/>
        <w:rPr>
          <w:b/>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0"/>
        <w:gridCol w:w="1570"/>
        <w:gridCol w:w="1828"/>
        <w:gridCol w:w="1405"/>
        <w:gridCol w:w="1786"/>
        <w:gridCol w:w="1696"/>
      </w:tblGrid>
      <w:tr w:rsidR="001C08A5" w14:paraId="5895D12C" w14:textId="77777777">
        <w:trPr>
          <w:tblHeader/>
        </w:trPr>
        <w:tc>
          <w:tcPr>
            <w:tcW w:w="1240" w:type="dxa"/>
            <w:vMerge w:val="restart"/>
            <w:shd w:val="clear" w:color="auto" w:fill="BFBFBF"/>
          </w:tcPr>
          <w:p w14:paraId="65AFF227" w14:textId="77777777" w:rsidR="001C08A5" w:rsidRDefault="00000000">
            <w:pPr>
              <w:pStyle w:val="BodyText"/>
              <w:jc w:val="center"/>
              <w:rPr>
                <w:bCs w:val="0"/>
                <w:sz w:val="22"/>
                <w:szCs w:val="22"/>
              </w:rPr>
            </w:pPr>
            <w:r>
              <w:rPr>
                <w:bCs w:val="0"/>
                <w:sz w:val="22"/>
                <w:szCs w:val="22"/>
              </w:rPr>
              <w:t>Nivel de stabilitate</w:t>
            </w:r>
          </w:p>
          <w:p w14:paraId="29E9B170" w14:textId="77777777" w:rsidR="001C08A5" w:rsidRDefault="00000000">
            <w:pPr>
              <w:jc w:val="center"/>
              <w:rPr>
                <w:i/>
                <w:sz w:val="22"/>
                <w:szCs w:val="22"/>
              </w:rPr>
            </w:pPr>
            <w:r>
              <w:rPr>
                <w:b/>
                <w:bCs/>
                <w:i/>
                <w:sz w:val="22"/>
                <w:szCs w:val="22"/>
              </w:rPr>
              <w:t>la incendiu</w:t>
            </w:r>
          </w:p>
        </w:tc>
        <w:tc>
          <w:tcPr>
            <w:tcW w:w="8285" w:type="dxa"/>
            <w:gridSpan w:val="5"/>
            <w:shd w:val="clear" w:color="auto" w:fill="BFBFBF"/>
          </w:tcPr>
          <w:p w14:paraId="0548E56A"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0FC1C795" w14:textId="77777777">
        <w:trPr>
          <w:tblHeader/>
        </w:trPr>
        <w:tc>
          <w:tcPr>
            <w:tcW w:w="1240" w:type="dxa"/>
            <w:vMerge/>
            <w:shd w:val="clear" w:color="auto" w:fill="BFBFBF"/>
          </w:tcPr>
          <w:p w14:paraId="068671A2" w14:textId="77777777" w:rsidR="001C08A5" w:rsidRDefault="001C08A5">
            <w:pPr>
              <w:jc w:val="center"/>
              <w:rPr>
                <w:i/>
                <w:sz w:val="22"/>
                <w:szCs w:val="22"/>
              </w:rPr>
            </w:pPr>
          </w:p>
        </w:tc>
        <w:tc>
          <w:tcPr>
            <w:tcW w:w="3398" w:type="dxa"/>
            <w:gridSpan w:val="2"/>
            <w:shd w:val="clear" w:color="auto" w:fill="BFBFBF"/>
          </w:tcPr>
          <w:p w14:paraId="6EC215DC" w14:textId="77777777" w:rsidR="001C08A5" w:rsidRDefault="00000000">
            <w:pPr>
              <w:jc w:val="center"/>
              <w:rPr>
                <w:i/>
                <w:sz w:val="22"/>
                <w:szCs w:val="22"/>
              </w:rPr>
            </w:pPr>
            <w:r>
              <w:rPr>
                <w:b/>
                <w:bCs/>
                <w:i/>
                <w:sz w:val="22"/>
                <w:szCs w:val="22"/>
              </w:rPr>
              <w:t>Pereţi</w:t>
            </w:r>
          </w:p>
        </w:tc>
        <w:tc>
          <w:tcPr>
            <w:tcW w:w="3191" w:type="dxa"/>
            <w:gridSpan w:val="2"/>
            <w:shd w:val="clear" w:color="auto" w:fill="BFBFBF"/>
          </w:tcPr>
          <w:p w14:paraId="26CD9A1A"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696" w:type="dxa"/>
            <w:shd w:val="clear" w:color="auto" w:fill="BFBFBF"/>
          </w:tcPr>
          <w:p w14:paraId="389D909E" w14:textId="77777777" w:rsidR="001C08A5" w:rsidRDefault="00000000">
            <w:pPr>
              <w:jc w:val="center"/>
              <w:rPr>
                <w:b/>
                <w:bCs/>
                <w:i/>
                <w:sz w:val="22"/>
                <w:szCs w:val="22"/>
              </w:rPr>
            </w:pPr>
            <w:r>
              <w:rPr>
                <w:b/>
                <w:bCs/>
                <w:i/>
                <w:sz w:val="22"/>
                <w:szCs w:val="22"/>
              </w:rPr>
              <w:t xml:space="preserve">Uşi </w:t>
            </w:r>
          </w:p>
        </w:tc>
      </w:tr>
      <w:tr w:rsidR="001C08A5" w14:paraId="737DB619" w14:textId="77777777">
        <w:tc>
          <w:tcPr>
            <w:tcW w:w="1240" w:type="dxa"/>
          </w:tcPr>
          <w:p w14:paraId="18124BDD" w14:textId="77777777" w:rsidR="001C08A5" w:rsidRDefault="00000000">
            <w:pPr>
              <w:pStyle w:val="BodyText"/>
              <w:jc w:val="center"/>
              <w:rPr>
                <w:bCs w:val="0"/>
                <w:sz w:val="22"/>
                <w:szCs w:val="22"/>
              </w:rPr>
            </w:pPr>
            <w:r>
              <w:rPr>
                <w:bCs w:val="0"/>
                <w:sz w:val="22"/>
                <w:szCs w:val="22"/>
              </w:rPr>
              <w:t>I</w:t>
            </w:r>
          </w:p>
          <w:p w14:paraId="10F5219F" w14:textId="77777777" w:rsidR="001C08A5" w:rsidRDefault="00000000">
            <w:pPr>
              <w:pStyle w:val="BodyText"/>
              <w:jc w:val="center"/>
              <w:rPr>
                <w:bCs w:val="0"/>
                <w:sz w:val="22"/>
                <w:szCs w:val="22"/>
              </w:rPr>
            </w:pPr>
            <w:r>
              <w:rPr>
                <w:sz w:val="22"/>
                <w:szCs w:val="22"/>
              </w:rPr>
              <w:t>h&lt;28m</w:t>
            </w:r>
          </w:p>
        </w:tc>
        <w:tc>
          <w:tcPr>
            <w:tcW w:w="1570" w:type="dxa"/>
          </w:tcPr>
          <w:p w14:paraId="27179D6A" w14:textId="77777777" w:rsidR="001C08A5" w:rsidRDefault="00000000">
            <w:pPr>
              <w:jc w:val="center"/>
              <w:rPr>
                <w:b/>
                <w:i/>
                <w:sz w:val="22"/>
                <w:szCs w:val="22"/>
              </w:rPr>
            </w:pPr>
            <w:r>
              <w:rPr>
                <w:b/>
                <w:i/>
                <w:sz w:val="22"/>
                <w:szCs w:val="22"/>
              </w:rPr>
              <w:t xml:space="preserve">EI/REI 180 </w:t>
            </w:r>
          </w:p>
          <w:p w14:paraId="4FFEBE61" w14:textId="77777777" w:rsidR="001C08A5" w:rsidRDefault="001C08A5">
            <w:pPr>
              <w:jc w:val="center"/>
              <w:rPr>
                <w:b/>
                <w:i/>
                <w:sz w:val="22"/>
                <w:szCs w:val="22"/>
              </w:rPr>
            </w:pPr>
          </w:p>
        </w:tc>
        <w:tc>
          <w:tcPr>
            <w:tcW w:w="1828" w:type="dxa"/>
          </w:tcPr>
          <w:p w14:paraId="7ADA6507"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405" w:type="dxa"/>
          </w:tcPr>
          <w:p w14:paraId="2762BCEC" w14:textId="77777777" w:rsidR="001C08A5" w:rsidRDefault="00000000">
            <w:pPr>
              <w:jc w:val="center"/>
              <w:rPr>
                <w:b/>
                <w:i/>
                <w:sz w:val="22"/>
                <w:szCs w:val="22"/>
              </w:rPr>
            </w:pPr>
            <w:r>
              <w:rPr>
                <w:b/>
                <w:i/>
                <w:sz w:val="22"/>
                <w:szCs w:val="22"/>
              </w:rPr>
              <w:t xml:space="preserve">REI 120 </w:t>
            </w:r>
          </w:p>
        </w:tc>
        <w:tc>
          <w:tcPr>
            <w:tcW w:w="1786" w:type="dxa"/>
          </w:tcPr>
          <w:p w14:paraId="11F67B7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96" w:type="dxa"/>
          </w:tcPr>
          <w:p w14:paraId="37EBFE0B" w14:textId="77777777" w:rsidR="001C08A5" w:rsidRDefault="00000000">
            <w:pPr>
              <w:jc w:val="center"/>
              <w:rPr>
                <w:i/>
                <w:sz w:val="22"/>
                <w:szCs w:val="22"/>
              </w:rPr>
            </w:pPr>
            <w:r>
              <w:rPr>
                <w:b/>
                <w:bCs/>
                <w:i/>
                <w:sz w:val="22"/>
                <w:szCs w:val="22"/>
              </w:rPr>
              <w:t xml:space="preserve">E 60 - C5 </w:t>
            </w:r>
            <w:r>
              <w:rPr>
                <w:b/>
                <w:i/>
                <w:sz w:val="22"/>
                <w:szCs w:val="22"/>
              </w:rPr>
              <w:t>S</w:t>
            </w:r>
            <w:r>
              <w:rPr>
                <w:b/>
                <w:bCs/>
                <w:i/>
                <w:sz w:val="22"/>
                <w:szCs w:val="22"/>
                <w:vertAlign w:val="subscript"/>
              </w:rPr>
              <w:t>200</w:t>
            </w:r>
          </w:p>
        </w:tc>
      </w:tr>
      <w:tr w:rsidR="001C08A5" w14:paraId="64423E9D" w14:textId="77777777">
        <w:tc>
          <w:tcPr>
            <w:tcW w:w="1240" w:type="dxa"/>
          </w:tcPr>
          <w:p w14:paraId="38BFCF93" w14:textId="77777777" w:rsidR="001C08A5" w:rsidRDefault="00000000">
            <w:pPr>
              <w:pStyle w:val="BodyText"/>
              <w:jc w:val="center"/>
              <w:rPr>
                <w:bCs w:val="0"/>
                <w:sz w:val="22"/>
                <w:szCs w:val="22"/>
              </w:rPr>
            </w:pPr>
            <w:r>
              <w:rPr>
                <w:bCs w:val="0"/>
                <w:sz w:val="22"/>
                <w:szCs w:val="22"/>
              </w:rPr>
              <w:t>II</w:t>
            </w:r>
          </w:p>
        </w:tc>
        <w:tc>
          <w:tcPr>
            <w:tcW w:w="1570" w:type="dxa"/>
          </w:tcPr>
          <w:p w14:paraId="318B02DC" w14:textId="77777777" w:rsidR="001C08A5" w:rsidRDefault="00000000">
            <w:pPr>
              <w:jc w:val="center"/>
              <w:rPr>
                <w:b/>
                <w:i/>
                <w:sz w:val="22"/>
                <w:szCs w:val="22"/>
              </w:rPr>
            </w:pPr>
            <w:r>
              <w:rPr>
                <w:b/>
                <w:i/>
                <w:sz w:val="22"/>
                <w:szCs w:val="22"/>
              </w:rPr>
              <w:t>EI/REI 180</w:t>
            </w:r>
          </w:p>
          <w:p w14:paraId="3CF97E33" w14:textId="77777777" w:rsidR="001C08A5" w:rsidRDefault="001C08A5">
            <w:pPr>
              <w:jc w:val="center"/>
              <w:rPr>
                <w:b/>
                <w:i/>
                <w:sz w:val="22"/>
                <w:szCs w:val="22"/>
              </w:rPr>
            </w:pPr>
          </w:p>
        </w:tc>
        <w:tc>
          <w:tcPr>
            <w:tcW w:w="1828" w:type="dxa"/>
          </w:tcPr>
          <w:p w14:paraId="4A6B40EB"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405" w:type="dxa"/>
          </w:tcPr>
          <w:p w14:paraId="0FA661C6" w14:textId="77777777" w:rsidR="001C08A5" w:rsidRDefault="00000000">
            <w:pPr>
              <w:jc w:val="center"/>
              <w:rPr>
                <w:b/>
                <w:i/>
                <w:sz w:val="22"/>
                <w:szCs w:val="22"/>
              </w:rPr>
            </w:pPr>
            <w:r>
              <w:rPr>
                <w:b/>
                <w:i/>
                <w:sz w:val="22"/>
                <w:szCs w:val="22"/>
              </w:rPr>
              <w:t>REI 120</w:t>
            </w:r>
          </w:p>
        </w:tc>
        <w:tc>
          <w:tcPr>
            <w:tcW w:w="1786" w:type="dxa"/>
          </w:tcPr>
          <w:p w14:paraId="7D0199B4"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96" w:type="dxa"/>
          </w:tcPr>
          <w:p w14:paraId="4172981C" w14:textId="77777777" w:rsidR="001C08A5" w:rsidRDefault="00000000">
            <w:pPr>
              <w:jc w:val="center"/>
              <w:rPr>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0D0750BE" w14:textId="77777777">
        <w:tc>
          <w:tcPr>
            <w:tcW w:w="1240" w:type="dxa"/>
          </w:tcPr>
          <w:p w14:paraId="5C690212" w14:textId="77777777" w:rsidR="001C08A5" w:rsidRDefault="00000000">
            <w:pPr>
              <w:pStyle w:val="BodyText"/>
              <w:jc w:val="center"/>
              <w:rPr>
                <w:bCs w:val="0"/>
                <w:sz w:val="22"/>
                <w:szCs w:val="22"/>
              </w:rPr>
            </w:pPr>
            <w:r>
              <w:rPr>
                <w:bCs w:val="0"/>
                <w:sz w:val="22"/>
                <w:szCs w:val="22"/>
              </w:rPr>
              <w:t>II (+)</w:t>
            </w:r>
          </w:p>
        </w:tc>
        <w:tc>
          <w:tcPr>
            <w:tcW w:w="1570" w:type="dxa"/>
          </w:tcPr>
          <w:p w14:paraId="4381621A" w14:textId="77777777" w:rsidR="001C08A5" w:rsidRDefault="00000000">
            <w:pPr>
              <w:jc w:val="center"/>
              <w:rPr>
                <w:b/>
                <w:i/>
                <w:sz w:val="22"/>
                <w:szCs w:val="22"/>
              </w:rPr>
            </w:pPr>
            <w:r>
              <w:rPr>
                <w:b/>
                <w:i/>
                <w:sz w:val="22"/>
                <w:szCs w:val="22"/>
              </w:rPr>
              <w:t>EI/REI 120</w:t>
            </w:r>
          </w:p>
          <w:p w14:paraId="559D590F" w14:textId="77777777" w:rsidR="001C08A5" w:rsidRDefault="001C08A5">
            <w:pPr>
              <w:jc w:val="center"/>
              <w:rPr>
                <w:b/>
                <w:i/>
                <w:sz w:val="22"/>
                <w:szCs w:val="22"/>
              </w:rPr>
            </w:pPr>
          </w:p>
        </w:tc>
        <w:tc>
          <w:tcPr>
            <w:tcW w:w="1828" w:type="dxa"/>
          </w:tcPr>
          <w:p w14:paraId="106E7795"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405" w:type="dxa"/>
          </w:tcPr>
          <w:p w14:paraId="78EE4E84" w14:textId="77777777" w:rsidR="001C08A5" w:rsidRDefault="00000000">
            <w:pPr>
              <w:jc w:val="center"/>
              <w:rPr>
                <w:b/>
                <w:i/>
                <w:sz w:val="22"/>
                <w:szCs w:val="22"/>
              </w:rPr>
            </w:pPr>
            <w:r>
              <w:rPr>
                <w:b/>
                <w:i/>
                <w:sz w:val="22"/>
                <w:szCs w:val="22"/>
              </w:rPr>
              <w:t>REI 90</w:t>
            </w:r>
          </w:p>
        </w:tc>
        <w:tc>
          <w:tcPr>
            <w:tcW w:w="1786" w:type="dxa"/>
          </w:tcPr>
          <w:p w14:paraId="6947116A"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696" w:type="dxa"/>
          </w:tcPr>
          <w:p w14:paraId="66740C43" w14:textId="77777777" w:rsidR="001C08A5" w:rsidRDefault="00000000">
            <w:pPr>
              <w:jc w:val="center"/>
              <w:rPr>
                <w:b/>
                <w:bCs/>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662700A9" w14:textId="77777777">
        <w:tc>
          <w:tcPr>
            <w:tcW w:w="1240" w:type="dxa"/>
          </w:tcPr>
          <w:p w14:paraId="6CB139CD" w14:textId="77777777" w:rsidR="001C08A5" w:rsidRDefault="00000000">
            <w:pPr>
              <w:pStyle w:val="BodyText"/>
              <w:jc w:val="center"/>
              <w:rPr>
                <w:bCs w:val="0"/>
                <w:sz w:val="22"/>
                <w:szCs w:val="22"/>
              </w:rPr>
            </w:pPr>
            <w:r>
              <w:rPr>
                <w:bCs w:val="0"/>
                <w:sz w:val="22"/>
                <w:szCs w:val="22"/>
              </w:rPr>
              <w:t>III</w:t>
            </w:r>
          </w:p>
        </w:tc>
        <w:tc>
          <w:tcPr>
            <w:tcW w:w="1570" w:type="dxa"/>
          </w:tcPr>
          <w:p w14:paraId="660350D3" w14:textId="77777777" w:rsidR="001C08A5" w:rsidRDefault="00000000">
            <w:pPr>
              <w:jc w:val="center"/>
              <w:rPr>
                <w:b/>
                <w:i/>
                <w:sz w:val="22"/>
                <w:szCs w:val="22"/>
              </w:rPr>
            </w:pPr>
            <w:r>
              <w:rPr>
                <w:b/>
                <w:i/>
                <w:sz w:val="22"/>
                <w:szCs w:val="22"/>
              </w:rPr>
              <w:t xml:space="preserve">EI/REI 90 </w:t>
            </w:r>
          </w:p>
          <w:p w14:paraId="2840A976" w14:textId="77777777" w:rsidR="001C08A5" w:rsidRDefault="001C08A5">
            <w:pPr>
              <w:jc w:val="center"/>
              <w:rPr>
                <w:b/>
                <w:i/>
                <w:sz w:val="22"/>
                <w:szCs w:val="22"/>
              </w:rPr>
            </w:pPr>
          </w:p>
        </w:tc>
        <w:tc>
          <w:tcPr>
            <w:tcW w:w="1828" w:type="dxa"/>
          </w:tcPr>
          <w:p w14:paraId="53B1E28B"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405" w:type="dxa"/>
          </w:tcPr>
          <w:p w14:paraId="6A4CBDB1" w14:textId="77777777" w:rsidR="001C08A5" w:rsidRDefault="00000000">
            <w:pPr>
              <w:jc w:val="center"/>
              <w:rPr>
                <w:b/>
                <w:i/>
                <w:sz w:val="22"/>
                <w:szCs w:val="22"/>
              </w:rPr>
            </w:pPr>
            <w:r>
              <w:rPr>
                <w:b/>
                <w:i/>
                <w:sz w:val="22"/>
                <w:szCs w:val="22"/>
              </w:rPr>
              <w:t>REI 60</w:t>
            </w:r>
          </w:p>
        </w:tc>
        <w:tc>
          <w:tcPr>
            <w:tcW w:w="1786" w:type="dxa"/>
          </w:tcPr>
          <w:p w14:paraId="1D162F48"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696" w:type="dxa"/>
          </w:tcPr>
          <w:p w14:paraId="772099EC" w14:textId="77777777" w:rsidR="001C08A5" w:rsidRDefault="00000000">
            <w:pPr>
              <w:jc w:val="center"/>
              <w:rPr>
                <w:b/>
                <w:i/>
                <w:sz w:val="22"/>
                <w:szCs w:val="22"/>
              </w:rPr>
            </w:pPr>
            <w:r>
              <w:rPr>
                <w:b/>
                <w:bCs/>
                <w:i/>
                <w:sz w:val="22"/>
                <w:szCs w:val="22"/>
              </w:rPr>
              <w:t>E 30 - C5 Sa</w:t>
            </w:r>
          </w:p>
          <w:p w14:paraId="38BDD87D" w14:textId="77777777" w:rsidR="001C08A5" w:rsidRDefault="001C08A5">
            <w:pPr>
              <w:jc w:val="center"/>
              <w:rPr>
                <w:i/>
                <w:strike/>
                <w:sz w:val="22"/>
                <w:szCs w:val="22"/>
              </w:rPr>
            </w:pPr>
          </w:p>
        </w:tc>
      </w:tr>
      <w:tr w:rsidR="001C08A5" w14:paraId="1903F025" w14:textId="77777777">
        <w:tc>
          <w:tcPr>
            <w:tcW w:w="1240" w:type="dxa"/>
          </w:tcPr>
          <w:p w14:paraId="015137A7" w14:textId="77777777" w:rsidR="001C08A5" w:rsidRDefault="00000000">
            <w:pPr>
              <w:pStyle w:val="BodyText"/>
              <w:jc w:val="center"/>
              <w:rPr>
                <w:bCs w:val="0"/>
                <w:sz w:val="22"/>
                <w:szCs w:val="22"/>
              </w:rPr>
            </w:pPr>
            <w:r>
              <w:rPr>
                <w:bCs w:val="0"/>
                <w:sz w:val="22"/>
                <w:szCs w:val="22"/>
              </w:rPr>
              <w:t>III (+)</w:t>
            </w:r>
          </w:p>
        </w:tc>
        <w:tc>
          <w:tcPr>
            <w:tcW w:w="1570" w:type="dxa"/>
          </w:tcPr>
          <w:p w14:paraId="23D0B67F" w14:textId="77777777" w:rsidR="001C08A5" w:rsidRDefault="00000000">
            <w:pPr>
              <w:jc w:val="center"/>
              <w:rPr>
                <w:b/>
                <w:i/>
                <w:sz w:val="22"/>
                <w:szCs w:val="22"/>
              </w:rPr>
            </w:pPr>
            <w:r>
              <w:rPr>
                <w:b/>
                <w:i/>
                <w:sz w:val="22"/>
                <w:szCs w:val="22"/>
              </w:rPr>
              <w:t xml:space="preserve">EI/REI 60 </w:t>
            </w:r>
          </w:p>
          <w:p w14:paraId="18F5DBCA" w14:textId="77777777" w:rsidR="001C08A5" w:rsidRDefault="001C08A5">
            <w:pPr>
              <w:jc w:val="center"/>
              <w:rPr>
                <w:b/>
                <w:i/>
                <w:sz w:val="22"/>
                <w:szCs w:val="22"/>
              </w:rPr>
            </w:pPr>
          </w:p>
        </w:tc>
        <w:tc>
          <w:tcPr>
            <w:tcW w:w="1828" w:type="dxa"/>
          </w:tcPr>
          <w:p w14:paraId="2AFD9576"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405" w:type="dxa"/>
          </w:tcPr>
          <w:p w14:paraId="5D5B8D1F" w14:textId="77777777" w:rsidR="001C08A5" w:rsidRDefault="00000000">
            <w:pPr>
              <w:jc w:val="center"/>
              <w:rPr>
                <w:b/>
                <w:i/>
                <w:sz w:val="22"/>
                <w:szCs w:val="22"/>
              </w:rPr>
            </w:pPr>
            <w:r>
              <w:rPr>
                <w:b/>
                <w:i/>
                <w:sz w:val="22"/>
                <w:szCs w:val="22"/>
              </w:rPr>
              <w:t xml:space="preserve">REI 45 </w:t>
            </w:r>
          </w:p>
        </w:tc>
        <w:tc>
          <w:tcPr>
            <w:tcW w:w="1786" w:type="dxa"/>
          </w:tcPr>
          <w:p w14:paraId="1C41B7C4"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696" w:type="dxa"/>
          </w:tcPr>
          <w:p w14:paraId="20339FBD" w14:textId="77777777" w:rsidR="001C08A5" w:rsidRDefault="00000000">
            <w:pPr>
              <w:jc w:val="center"/>
              <w:rPr>
                <w:b/>
                <w:i/>
                <w:sz w:val="22"/>
                <w:szCs w:val="22"/>
              </w:rPr>
            </w:pPr>
            <w:r>
              <w:rPr>
                <w:b/>
                <w:bCs/>
                <w:i/>
                <w:sz w:val="22"/>
                <w:szCs w:val="22"/>
              </w:rPr>
              <w:t>E 30 - C5 Sa</w:t>
            </w:r>
          </w:p>
          <w:p w14:paraId="7783DEB6" w14:textId="77777777" w:rsidR="001C08A5" w:rsidRDefault="001C08A5">
            <w:pPr>
              <w:jc w:val="center"/>
              <w:rPr>
                <w:i/>
                <w:strike/>
                <w:sz w:val="22"/>
                <w:szCs w:val="22"/>
              </w:rPr>
            </w:pPr>
          </w:p>
        </w:tc>
      </w:tr>
      <w:tr w:rsidR="001C08A5" w14:paraId="35E3078F" w14:textId="77777777">
        <w:tc>
          <w:tcPr>
            <w:tcW w:w="1240" w:type="dxa"/>
          </w:tcPr>
          <w:p w14:paraId="47207104" w14:textId="77777777" w:rsidR="001C08A5" w:rsidRDefault="00000000">
            <w:pPr>
              <w:pStyle w:val="BodyText"/>
              <w:jc w:val="center"/>
              <w:rPr>
                <w:bCs w:val="0"/>
                <w:sz w:val="22"/>
                <w:szCs w:val="22"/>
              </w:rPr>
            </w:pPr>
            <w:r>
              <w:rPr>
                <w:bCs w:val="0"/>
                <w:sz w:val="22"/>
                <w:szCs w:val="22"/>
              </w:rPr>
              <w:t>IV</w:t>
            </w:r>
          </w:p>
        </w:tc>
        <w:tc>
          <w:tcPr>
            <w:tcW w:w="1570" w:type="dxa"/>
          </w:tcPr>
          <w:p w14:paraId="429C7B6C" w14:textId="77777777" w:rsidR="001C08A5" w:rsidRDefault="00000000">
            <w:pPr>
              <w:jc w:val="center"/>
              <w:rPr>
                <w:b/>
                <w:i/>
                <w:sz w:val="22"/>
                <w:szCs w:val="22"/>
              </w:rPr>
            </w:pPr>
            <w:r>
              <w:rPr>
                <w:b/>
                <w:i/>
                <w:sz w:val="22"/>
                <w:szCs w:val="22"/>
              </w:rPr>
              <w:t xml:space="preserve">EI/REI 45 </w:t>
            </w:r>
          </w:p>
          <w:p w14:paraId="0837B754" w14:textId="77777777" w:rsidR="001C08A5" w:rsidRDefault="001C08A5">
            <w:pPr>
              <w:jc w:val="center"/>
              <w:rPr>
                <w:b/>
                <w:i/>
                <w:strike/>
                <w:sz w:val="22"/>
                <w:szCs w:val="22"/>
              </w:rPr>
            </w:pPr>
          </w:p>
        </w:tc>
        <w:tc>
          <w:tcPr>
            <w:tcW w:w="1828" w:type="dxa"/>
          </w:tcPr>
          <w:p w14:paraId="5C80C3DE"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405" w:type="dxa"/>
          </w:tcPr>
          <w:p w14:paraId="52E6F7E2" w14:textId="77777777" w:rsidR="001C08A5" w:rsidRDefault="00000000">
            <w:pPr>
              <w:jc w:val="center"/>
              <w:rPr>
                <w:b/>
                <w:i/>
                <w:sz w:val="22"/>
                <w:szCs w:val="22"/>
              </w:rPr>
            </w:pPr>
            <w:r>
              <w:rPr>
                <w:b/>
                <w:i/>
                <w:sz w:val="22"/>
                <w:szCs w:val="22"/>
              </w:rPr>
              <w:t xml:space="preserve">REI 30 </w:t>
            </w:r>
          </w:p>
        </w:tc>
        <w:tc>
          <w:tcPr>
            <w:tcW w:w="1786" w:type="dxa"/>
          </w:tcPr>
          <w:p w14:paraId="01C089F3"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696" w:type="dxa"/>
          </w:tcPr>
          <w:p w14:paraId="5278D185" w14:textId="77777777" w:rsidR="001C08A5" w:rsidRDefault="00000000">
            <w:pPr>
              <w:jc w:val="center"/>
              <w:rPr>
                <w:b/>
                <w:i/>
                <w:sz w:val="22"/>
                <w:szCs w:val="22"/>
              </w:rPr>
            </w:pPr>
            <w:r>
              <w:rPr>
                <w:b/>
                <w:bCs/>
                <w:i/>
                <w:sz w:val="22"/>
                <w:szCs w:val="22"/>
              </w:rPr>
              <w:t>E 15 - C5 Sa</w:t>
            </w:r>
          </w:p>
          <w:p w14:paraId="000AB589" w14:textId="77777777" w:rsidR="001C08A5" w:rsidRDefault="001C08A5">
            <w:pPr>
              <w:jc w:val="center"/>
              <w:rPr>
                <w:i/>
                <w:sz w:val="22"/>
                <w:szCs w:val="22"/>
              </w:rPr>
            </w:pPr>
          </w:p>
        </w:tc>
      </w:tr>
      <w:tr w:rsidR="001C08A5" w14:paraId="09197773" w14:textId="77777777">
        <w:tc>
          <w:tcPr>
            <w:tcW w:w="1240" w:type="dxa"/>
          </w:tcPr>
          <w:p w14:paraId="61A5DB08" w14:textId="77777777" w:rsidR="001C08A5" w:rsidRDefault="00000000">
            <w:pPr>
              <w:pStyle w:val="BodyText"/>
              <w:jc w:val="center"/>
              <w:rPr>
                <w:bCs w:val="0"/>
                <w:sz w:val="22"/>
                <w:szCs w:val="22"/>
              </w:rPr>
            </w:pPr>
            <w:r>
              <w:rPr>
                <w:bCs w:val="0"/>
                <w:sz w:val="22"/>
                <w:szCs w:val="22"/>
              </w:rPr>
              <w:t>V</w:t>
            </w:r>
          </w:p>
        </w:tc>
        <w:tc>
          <w:tcPr>
            <w:tcW w:w="1570" w:type="dxa"/>
          </w:tcPr>
          <w:p w14:paraId="32D0A078" w14:textId="77777777" w:rsidR="001C08A5" w:rsidRDefault="00000000">
            <w:pPr>
              <w:jc w:val="center"/>
              <w:rPr>
                <w:b/>
                <w:i/>
                <w:sz w:val="22"/>
                <w:szCs w:val="22"/>
              </w:rPr>
            </w:pPr>
            <w:r>
              <w:rPr>
                <w:b/>
                <w:i/>
                <w:sz w:val="22"/>
                <w:szCs w:val="22"/>
              </w:rPr>
              <w:t>EI/REI 30</w:t>
            </w:r>
          </w:p>
          <w:p w14:paraId="08A8D7EA" w14:textId="77777777" w:rsidR="001C08A5" w:rsidRDefault="001C08A5">
            <w:pPr>
              <w:jc w:val="center"/>
              <w:rPr>
                <w:b/>
                <w:i/>
                <w:strike/>
                <w:sz w:val="22"/>
                <w:szCs w:val="22"/>
              </w:rPr>
            </w:pPr>
          </w:p>
        </w:tc>
        <w:tc>
          <w:tcPr>
            <w:tcW w:w="1828" w:type="dxa"/>
          </w:tcPr>
          <w:p w14:paraId="506FE7F3"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405" w:type="dxa"/>
          </w:tcPr>
          <w:p w14:paraId="70223B1A" w14:textId="77777777" w:rsidR="001C08A5" w:rsidRDefault="00000000">
            <w:pPr>
              <w:jc w:val="center"/>
              <w:rPr>
                <w:b/>
                <w:i/>
                <w:sz w:val="22"/>
                <w:szCs w:val="22"/>
              </w:rPr>
            </w:pPr>
            <w:r>
              <w:rPr>
                <w:b/>
                <w:i/>
                <w:sz w:val="22"/>
                <w:szCs w:val="22"/>
              </w:rPr>
              <w:t xml:space="preserve">REI 15 </w:t>
            </w:r>
          </w:p>
        </w:tc>
        <w:tc>
          <w:tcPr>
            <w:tcW w:w="1786" w:type="dxa"/>
          </w:tcPr>
          <w:p w14:paraId="6C424EE0"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696" w:type="dxa"/>
          </w:tcPr>
          <w:p w14:paraId="46D8E016" w14:textId="77777777" w:rsidR="001C08A5" w:rsidRDefault="00000000">
            <w:pPr>
              <w:jc w:val="center"/>
              <w:rPr>
                <w:i/>
                <w:strike/>
                <w:sz w:val="22"/>
                <w:szCs w:val="22"/>
              </w:rPr>
            </w:pPr>
            <w:r>
              <w:rPr>
                <w:b/>
                <w:bCs/>
                <w:i/>
                <w:sz w:val="22"/>
                <w:szCs w:val="22"/>
              </w:rPr>
              <w:t>C5</w:t>
            </w:r>
          </w:p>
        </w:tc>
      </w:tr>
    </w:tbl>
    <w:p w14:paraId="310826E2" w14:textId="77777777" w:rsidR="001C08A5" w:rsidRDefault="00000000">
      <w:pPr>
        <w:jc w:val="both"/>
        <w:rPr>
          <w:i/>
          <w:sz w:val="22"/>
          <w:szCs w:val="22"/>
        </w:rPr>
      </w:pPr>
      <w:r>
        <w:rPr>
          <w:i/>
          <w:sz w:val="22"/>
          <w:szCs w:val="22"/>
        </w:rPr>
        <w:t>Note:</w:t>
      </w:r>
    </w:p>
    <w:p w14:paraId="20C8771B"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458E19D4"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7781BDBE" w14:textId="77777777" w:rsidR="001C08A5" w:rsidRDefault="001C08A5">
      <w:pPr>
        <w:jc w:val="both"/>
        <w:rPr>
          <w:b/>
          <w:sz w:val="24"/>
          <w:szCs w:val="24"/>
        </w:rPr>
      </w:pPr>
    </w:p>
    <w:p w14:paraId="47591929" w14:textId="77777777" w:rsidR="001C08A5" w:rsidRDefault="00000000">
      <w:pPr>
        <w:jc w:val="both"/>
        <w:rPr>
          <w:sz w:val="24"/>
          <w:szCs w:val="24"/>
        </w:rPr>
      </w:pPr>
      <w:r>
        <w:rPr>
          <w:b/>
          <w:sz w:val="24"/>
          <w:szCs w:val="24"/>
        </w:rPr>
        <w:lastRenderedPageBreak/>
        <w:tab/>
        <w:t xml:space="preserve">Art. </w:t>
      </w:r>
      <w:r>
        <w:rPr>
          <w:b/>
          <w:bCs/>
          <w:sz w:val="24"/>
          <w:szCs w:val="24"/>
        </w:rPr>
        <w:t>3.2.9.</w:t>
      </w:r>
      <w:r>
        <w:rPr>
          <w:b/>
          <w:sz w:val="24"/>
          <w:szCs w:val="24"/>
        </w:rPr>
        <w:t xml:space="preserve">4. </w:t>
      </w:r>
      <w:r>
        <w:rPr>
          <w:sz w:val="24"/>
          <w:szCs w:val="24"/>
        </w:rPr>
        <w:t xml:space="preserve">Comportarea la foc a pereţilor, uşilor și planşeelor de separare a căilor de evacuare orizontale (coridoare şi holuri) din clădirile pentru sport supraterane cu înălţimi obişnuite, trebuie să corespundă prevederilor din </w:t>
      </w:r>
      <w:r>
        <w:rPr>
          <w:b/>
          <w:bCs/>
          <w:i/>
          <w:iCs/>
          <w:sz w:val="24"/>
          <w:szCs w:val="24"/>
        </w:rPr>
        <w:fldChar w:fldCharType="begin"/>
      </w:r>
      <w:r>
        <w:rPr>
          <w:b/>
          <w:bCs/>
          <w:i/>
          <w:iCs/>
          <w:sz w:val="24"/>
          <w:szCs w:val="24"/>
        </w:rPr>
        <w:instrText xml:space="preserve"> REF _Ref26448 \h </w:instrText>
      </w:r>
      <w:r>
        <w:rPr>
          <w:b/>
          <w:bCs/>
          <w:i/>
          <w:iCs/>
          <w:sz w:val="24"/>
          <w:szCs w:val="24"/>
        </w:rPr>
      </w:r>
      <w:r>
        <w:rPr>
          <w:b/>
          <w:bCs/>
          <w:i/>
          <w:iCs/>
          <w:sz w:val="24"/>
          <w:szCs w:val="24"/>
        </w:rPr>
        <w:fldChar w:fldCharType="separate"/>
      </w:r>
      <w:r>
        <w:t>Tabelul 83</w:t>
      </w:r>
      <w:r>
        <w:rPr>
          <w:b/>
          <w:bCs/>
          <w:i/>
          <w:iCs/>
          <w:sz w:val="24"/>
          <w:szCs w:val="24"/>
        </w:rPr>
        <w:fldChar w:fldCharType="end"/>
      </w:r>
      <w:r>
        <w:rPr>
          <w:sz w:val="24"/>
          <w:szCs w:val="24"/>
        </w:rPr>
        <w:t>.</w:t>
      </w:r>
    </w:p>
    <w:p w14:paraId="40270C8A" w14:textId="77777777" w:rsidR="001C08A5" w:rsidRDefault="001C08A5">
      <w:pPr>
        <w:jc w:val="both"/>
        <w:rPr>
          <w:sz w:val="24"/>
          <w:szCs w:val="24"/>
        </w:rPr>
      </w:pPr>
    </w:p>
    <w:p w14:paraId="3518F163" w14:textId="77777777" w:rsidR="001C08A5" w:rsidRDefault="00000000">
      <w:pPr>
        <w:pStyle w:val="Captiontabel"/>
      </w:pPr>
      <w:bookmarkStart w:id="3940" w:name="_Ref26448"/>
      <w:bookmarkStart w:id="3941" w:name="_Toc162360133"/>
      <w:bookmarkStart w:id="3942" w:name="_Ref13532"/>
      <w:r>
        <w:t xml:space="preserve">Tabelul </w:t>
      </w:r>
      <w:r>
        <w:fldChar w:fldCharType="begin"/>
      </w:r>
      <w:r>
        <w:instrText xml:space="preserve"> SEQ Tabelul \* ARABIC </w:instrText>
      </w:r>
      <w:r>
        <w:fldChar w:fldCharType="separate"/>
      </w:r>
      <w:r>
        <w:t>83</w:t>
      </w:r>
      <w:r>
        <w:fldChar w:fldCharType="end"/>
      </w:r>
      <w:bookmarkStart w:id="3943" w:name="_Toc14184"/>
      <w:bookmarkStart w:id="3944" w:name="_Toc4414"/>
      <w:bookmarkStart w:id="3945" w:name="_Toc27038"/>
      <w:bookmarkStart w:id="3946" w:name="_Toc27738"/>
      <w:bookmarkStart w:id="3947" w:name="_Toc20113"/>
      <w:bookmarkStart w:id="3948" w:name="_Toc22225"/>
      <w:bookmarkStart w:id="3949" w:name="_Toc18269"/>
      <w:bookmarkStart w:id="3950" w:name="_Toc29183"/>
      <w:bookmarkStart w:id="3951" w:name="_Toc28989"/>
      <w:bookmarkStart w:id="3952" w:name="_Toc21144"/>
      <w:bookmarkStart w:id="3953" w:name="_Toc11002"/>
      <w:bookmarkStart w:id="3954" w:name="_Toc436"/>
      <w:bookmarkStart w:id="3955" w:name="_Toc18547"/>
      <w:bookmarkStart w:id="3956" w:name="_Toc18613"/>
      <w:bookmarkStart w:id="3957" w:name="_Toc27304"/>
      <w:bookmarkStart w:id="3958" w:name="_Toc26135"/>
      <w:bookmarkStart w:id="3959" w:name="_Toc13082"/>
      <w:bookmarkStart w:id="3960" w:name="_Toc16953"/>
      <w:bookmarkStart w:id="3961" w:name="_Toc5613"/>
      <w:bookmarkEnd w:id="3940"/>
      <w:r>
        <w:t>: Comportarea la foc a pereţilor, uşilor și planşeelor de separare a căilor de evacuare orizontale (coridoare şi holuri) din clădirile pentru sport supraterane cu înălţimi obişnuite</w:t>
      </w:r>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p>
    <w:p w14:paraId="18F121FB" w14:textId="77777777" w:rsidR="001C08A5" w:rsidRDefault="00000000">
      <w:pPr>
        <w:jc w:val="both"/>
        <w:rPr>
          <w:b/>
          <w:sz w:val="24"/>
          <w:szCs w:val="24"/>
        </w:rPr>
      </w:pPr>
      <w:r>
        <w:rPr>
          <w:sz w:val="24"/>
          <w:szCs w:val="24"/>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306"/>
        <w:gridCol w:w="1707"/>
        <w:gridCol w:w="1604"/>
        <w:gridCol w:w="1800"/>
        <w:gridCol w:w="1819"/>
      </w:tblGrid>
      <w:tr w:rsidR="001C08A5" w14:paraId="6EA1613F" w14:textId="77777777">
        <w:trPr>
          <w:tblHeader/>
        </w:trPr>
        <w:tc>
          <w:tcPr>
            <w:tcW w:w="1262" w:type="dxa"/>
            <w:vMerge w:val="restart"/>
            <w:shd w:val="clear" w:color="auto" w:fill="BFBFBF"/>
          </w:tcPr>
          <w:p w14:paraId="75B16ACE" w14:textId="77777777" w:rsidR="001C08A5" w:rsidRDefault="001C08A5">
            <w:pPr>
              <w:pStyle w:val="BodyText"/>
              <w:jc w:val="center"/>
              <w:rPr>
                <w:bCs w:val="0"/>
                <w:sz w:val="22"/>
                <w:szCs w:val="22"/>
              </w:rPr>
            </w:pPr>
          </w:p>
          <w:p w14:paraId="325B4BC3" w14:textId="77777777" w:rsidR="001C08A5" w:rsidRDefault="00000000">
            <w:pPr>
              <w:pStyle w:val="BodyText"/>
              <w:jc w:val="center"/>
              <w:rPr>
                <w:bCs w:val="0"/>
                <w:sz w:val="22"/>
                <w:szCs w:val="22"/>
              </w:rPr>
            </w:pPr>
            <w:r>
              <w:rPr>
                <w:bCs w:val="0"/>
                <w:sz w:val="22"/>
                <w:szCs w:val="22"/>
              </w:rPr>
              <w:t>Nivel de stabilitate</w:t>
            </w:r>
          </w:p>
          <w:p w14:paraId="7376331B"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189386A7" w14:textId="77777777" w:rsidR="001C08A5" w:rsidRDefault="00000000">
            <w:pPr>
              <w:jc w:val="center"/>
              <w:rPr>
                <w:b/>
                <w:bCs/>
                <w:i/>
                <w:sz w:val="22"/>
                <w:szCs w:val="22"/>
              </w:rPr>
            </w:pPr>
            <w:r>
              <w:rPr>
                <w:b/>
                <w:bCs/>
                <w:i/>
                <w:sz w:val="22"/>
                <w:szCs w:val="22"/>
              </w:rPr>
              <w:t>Niveluri de comportare la foc admise la coridoare și la holuri</w:t>
            </w:r>
          </w:p>
        </w:tc>
      </w:tr>
      <w:tr w:rsidR="001C08A5" w14:paraId="4144CE17" w14:textId="77777777">
        <w:trPr>
          <w:tblHeader/>
        </w:trPr>
        <w:tc>
          <w:tcPr>
            <w:tcW w:w="1262" w:type="dxa"/>
            <w:vMerge/>
            <w:shd w:val="clear" w:color="auto" w:fill="BFBFBF"/>
          </w:tcPr>
          <w:p w14:paraId="401CB103" w14:textId="77777777" w:rsidR="001C08A5" w:rsidRDefault="001C08A5">
            <w:pPr>
              <w:jc w:val="center"/>
              <w:rPr>
                <w:i/>
                <w:sz w:val="22"/>
                <w:szCs w:val="22"/>
              </w:rPr>
            </w:pPr>
          </w:p>
        </w:tc>
        <w:tc>
          <w:tcPr>
            <w:tcW w:w="3013" w:type="dxa"/>
            <w:gridSpan w:val="2"/>
            <w:shd w:val="clear" w:color="auto" w:fill="BFBFBF"/>
          </w:tcPr>
          <w:p w14:paraId="27BF9523" w14:textId="77777777" w:rsidR="001C08A5" w:rsidRDefault="001C08A5">
            <w:pPr>
              <w:jc w:val="center"/>
              <w:rPr>
                <w:b/>
                <w:bCs/>
                <w:i/>
                <w:sz w:val="22"/>
                <w:szCs w:val="22"/>
              </w:rPr>
            </w:pPr>
          </w:p>
          <w:p w14:paraId="7BC91968" w14:textId="77777777" w:rsidR="001C08A5" w:rsidRDefault="00000000">
            <w:pPr>
              <w:jc w:val="center"/>
              <w:rPr>
                <w:i/>
                <w:sz w:val="22"/>
                <w:szCs w:val="22"/>
              </w:rPr>
            </w:pPr>
            <w:r>
              <w:rPr>
                <w:b/>
                <w:bCs/>
                <w:i/>
                <w:sz w:val="22"/>
                <w:szCs w:val="22"/>
              </w:rPr>
              <w:t>Pereţi</w:t>
            </w:r>
          </w:p>
        </w:tc>
        <w:tc>
          <w:tcPr>
            <w:tcW w:w="3404" w:type="dxa"/>
            <w:gridSpan w:val="2"/>
            <w:shd w:val="clear" w:color="auto" w:fill="BFBFBF"/>
          </w:tcPr>
          <w:p w14:paraId="6CE0A5BC"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819" w:type="dxa"/>
            <w:shd w:val="clear" w:color="auto" w:fill="BFBFBF"/>
          </w:tcPr>
          <w:p w14:paraId="0143205A" w14:textId="77777777" w:rsidR="001C08A5" w:rsidRDefault="00000000">
            <w:pPr>
              <w:jc w:val="center"/>
              <w:rPr>
                <w:b/>
                <w:bCs/>
                <w:i/>
                <w:sz w:val="22"/>
                <w:szCs w:val="22"/>
              </w:rPr>
            </w:pPr>
            <w:r>
              <w:rPr>
                <w:b/>
                <w:bCs/>
                <w:i/>
                <w:sz w:val="22"/>
                <w:szCs w:val="22"/>
              </w:rPr>
              <w:t>Uşi</w:t>
            </w:r>
          </w:p>
          <w:p w14:paraId="073CC456" w14:textId="77777777" w:rsidR="001C08A5" w:rsidRDefault="00000000">
            <w:pPr>
              <w:jc w:val="center"/>
              <w:rPr>
                <w:i/>
                <w:sz w:val="22"/>
                <w:szCs w:val="22"/>
              </w:rPr>
            </w:pPr>
            <w:r>
              <w:rPr>
                <w:bCs/>
                <w:i/>
                <w:sz w:val="22"/>
                <w:szCs w:val="22"/>
              </w:rPr>
              <w:t>(cu excepţia celor către case de scări închise)</w:t>
            </w:r>
          </w:p>
        </w:tc>
      </w:tr>
      <w:tr w:rsidR="001C08A5" w14:paraId="724DB558" w14:textId="77777777">
        <w:tc>
          <w:tcPr>
            <w:tcW w:w="1262" w:type="dxa"/>
          </w:tcPr>
          <w:p w14:paraId="07A32C34" w14:textId="77777777" w:rsidR="001C08A5" w:rsidRDefault="00000000">
            <w:pPr>
              <w:pStyle w:val="BodyText"/>
              <w:jc w:val="center"/>
              <w:rPr>
                <w:bCs w:val="0"/>
                <w:sz w:val="22"/>
                <w:szCs w:val="22"/>
              </w:rPr>
            </w:pPr>
            <w:r>
              <w:rPr>
                <w:bCs w:val="0"/>
                <w:sz w:val="22"/>
                <w:szCs w:val="22"/>
              </w:rPr>
              <w:t>I</w:t>
            </w:r>
          </w:p>
          <w:p w14:paraId="19E3689C" w14:textId="77777777" w:rsidR="001C08A5" w:rsidRDefault="00000000">
            <w:pPr>
              <w:pStyle w:val="BodyText"/>
              <w:jc w:val="center"/>
              <w:rPr>
                <w:bCs w:val="0"/>
                <w:sz w:val="22"/>
                <w:szCs w:val="22"/>
              </w:rPr>
            </w:pPr>
            <w:r>
              <w:rPr>
                <w:sz w:val="22"/>
                <w:szCs w:val="22"/>
              </w:rPr>
              <w:t>h&lt;28m</w:t>
            </w:r>
          </w:p>
        </w:tc>
        <w:tc>
          <w:tcPr>
            <w:tcW w:w="1306" w:type="dxa"/>
          </w:tcPr>
          <w:p w14:paraId="4430F878" w14:textId="77777777" w:rsidR="001C08A5" w:rsidRDefault="00000000">
            <w:pPr>
              <w:jc w:val="center"/>
              <w:rPr>
                <w:b/>
                <w:i/>
                <w:sz w:val="22"/>
                <w:szCs w:val="22"/>
              </w:rPr>
            </w:pPr>
            <w:r>
              <w:rPr>
                <w:b/>
                <w:i/>
                <w:sz w:val="22"/>
                <w:szCs w:val="22"/>
              </w:rPr>
              <w:t xml:space="preserve">EI/REI 90 </w:t>
            </w:r>
          </w:p>
          <w:p w14:paraId="25B8FE98" w14:textId="77777777" w:rsidR="001C08A5" w:rsidRDefault="001C08A5">
            <w:pPr>
              <w:jc w:val="center"/>
              <w:rPr>
                <w:b/>
                <w:i/>
                <w:sz w:val="22"/>
                <w:szCs w:val="22"/>
              </w:rPr>
            </w:pPr>
          </w:p>
        </w:tc>
        <w:tc>
          <w:tcPr>
            <w:tcW w:w="1707" w:type="dxa"/>
          </w:tcPr>
          <w:p w14:paraId="450BCF61"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04" w:type="dxa"/>
            <w:vMerge w:val="restart"/>
            <w:textDirection w:val="lrTbV"/>
          </w:tcPr>
          <w:p w14:paraId="711FA4FC" w14:textId="77777777" w:rsidR="001C08A5" w:rsidRDefault="00000000">
            <w:pPr>
              <w:jc w:val="center"/>
              <w:rPr>
                <w:i/>
                <w:sz w:val="24"/>
                <w:szCs w:val="24"/>
              </w:rPr>
            </w:pPr>
            <w:r>
              <w:rPr>
                <w:b/>
                <w:i/>
                <w:sz w:val="24"/>
                <w:szCs w:val="24"/>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66095533" w14:textId="77777777" w:rsidR="001C08A5" w:rsidRDefault="00000000">
            <w:pPr>
              <w:rPr>
                <w:b/>
                <w:i/>
                <w:sz w:val="22"/>
                <w:szCs w:val="22"/>
              </w:rPr>
            </w:pPr>
            <w:r>
              <w:rPr>
                <w:i/>
                <w:sz w:val="24"/>
                <w:szCs w:val="24"/>
              </w:rPr>
              <w:t xml:space="preserve">Condiţiile minime de </w:t>
            </w:r>
            <w:r>
              <w:rPr>
                <w:i/>
                <w:sz w:val="22"/>
                <w:szCs w:val="22"/>
              </w:rPr>
              <w:t>rezistenţă la foc pe care trebuie să le îndeplinească  PLANȘEELE (</w:t>
            </w:r>
            <w:r>
              <w:rPr>
                <w:b/>
                <w:bCs/>
                <w:i/>
                <w:sz w:val="22"/>
                <w:szCs w:val="22"/>
              </w:rPr>
              <w:t>REI</w:t>
            </w:r>
            <w:r>
              <w:rPr>
                <w:i/>
                <w:sz w:val="22"/>
                <w:szCs w:val="22"/>
              </w:rPr>
              <w:t>) pentru încadrarea  în nivelul stabilit de stabilitate la incendiu.</w:t>
            </w:r>
          </w:p>
        </w:tc>
        <w:tc>
          <w:tcPr>
            <w:tcW w:w="1800" w:type="dxa"/>
          </w:tcPr>
          <w:p w14:paraId="0F1676E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19" w:type="dxa"/>
          </w:tcPr>
          <w:p w14:paraId="6BDC0236" w14:textId="77777777" w:rsidR="001C08A5" w:rsidRDefault="00000000">
            <w:pPr>
              <w:jc w:val="center"/>
              <w:rPr>
                <w:i/>
                <w:sz w:val="22"/>
                <w:szCs w:val="22"/>
              </w:rPr>
            </w:pPr>
            <w:r>
              <w:rPr>
                <w:b/>
                <w:bCs/>
                <w:i/>
                <w:sz w:val="22"/>
                <w:szCs w:val="22"/>
              </w:rPr>
              <w:t xml:space="preserve">E 30 - C5 </w:t>
            </w:r>
            <w:r>
              <w:rPr>
                <w:b/>
                <w:i/>
                <w:sz w:val="22"/>
                <w:szCs w:val="22"/>
              </w:rPr>
              <w:t>S</w:t>
            </w:r>
            <w:r>
              <w:rPr>
                <w:b/>
                <w:bCs/>
                <w:i/>
                <w:sz w:val="22"/>
                <w:szCs w:val="22"/>
                <w:vertAlign w:val="subscript"/>
              </w:rPr>
              <w:t>200</w:t>
            </w:r>
          </w:p>
        </w:tc>
      </w:tr>
      <w:tr w:rsidR="001C08A5" w14:paraId="0387EA24" w14:textId="77777777">
        <w:tc>
          <w:tcPr>
            <w:tcW w:w="1262" w:type="dxa"/>
          </w:tcPr>
          <w:p w14:paraId="2A32E82E" w14:textId="77777777" w:rsidR="001C08A5" w:rsidRDefault="00000000">
            <w:pPr>
              <w:pStyle w:val="BodyText"/>
              <w:jc w:val="center"/>
              <w:rPr>
                <w:bCs w:val="0"/>
                <w:sz w:val="22"/>
                <w:szCs w:val="22"/>
              </w:rPr>
            </w:pPr>
            <w:r>
              <w:rPr>
                <w:bCs w:val="0"/>
                <w:sz w:val="22"/>
                <w:szCs w:val="22"/>
              </w:rPr>
              <w:t>II</w:t>
            </w:r>
          </w:p>
        </w:tc>
        <w:tc>
          <w:tcPr>
            <w:tcW w:w="1306" w:type="dxa"/>
          </w:tcPr>
          <w:p w14:paraId="7E02063F" w14:textId="77777777" w:rsidR="001C08A5" w:rsidRDefault="00000000">
            <w:pPr>
              <w:jc w:val="center"/>
              <w:rPr>
                <w:b/>
                <w:i/>
                <w:sz w:val="22"/>
                <w:szCs w:val="22"/>
              </w:rPr>
            </w:pPr>
            <w:r>
              <w:rPr>
                <w:b/>
                <w:i/>
                <w:sz w:val="22"/>
                <w:szCs w:val="22"/>
              </w:rPr>
              <w:t xml:space="preserve">EI/REI 60 </w:t>
            </w:r>
          </w:p>
          <w:p w14:paraId="2EB6A16A" w14:textId="77777777" w:rsidR="001C08A5" w:rsidRDefault="001C08A5">
            <w:pPr>
              <w:jc w:val="center"/>
              <w:rPr>
                <w:b/>
                <w:i/>
                <w:sz w:val="22"/>
                <w:szCs w:val="22"/>
              </w:rPr>
            </w:pPr>
          </w:p>
        </w:tc>
        <w:tc>
          <w:tcPr>
            <w:tcW w:w="1707" w:type="dxa"/>
          </w:tcPr>
          <w:p w14:paraId="2F5B232B"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604" w:type="dxa"/>
            <w:vMerge/>
          </w:tcPr>
          <w:p w14:paraId="56610349" w14:textId="77777777" w:rsidR="001C08A5" w:rsidRDefault="001C08A5">
            <w:pPr>
              <w:jc w:val="center"/>
              <w:rPr>
                <w:b/>
                <w:i/>
                <w:sz w:val="22"/>
                <w:szCs w:val="22"/>
              </w:rPr>
            </w:pPr>
          </w:p>
        </w:tc>
        <w:tc>
          <w:tcPr>
            <w:tcW w:w="1800" w:type="dxa"/>
          </w:tcPr>
          <w:p w14:paraId="62C7D91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19" w:type="dxa"/>
          </w:tcPr>
          <w:p w14:paraId="27E12652" w14:textId="77777777" w:rsidR="001C08A5" w:rsidRDefault="00000000">
            <w:pPr>
              <w:jc w:val="center"/>
              <w:rPr>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5618CEE5" w14:textId="77777777">
        <w:tc>
          <w:tcPr>
            <w:tcW w:w="1262" w:type="dxa"/>
          </w:tcPr>
          <w:p w14:paraId="102E0C19" w14:textId="77777777" w:rsidR="001C08A5" w:rsidRDefault="00000000">
            <w:pPr>
              <w:pStyle w:val="BodyText"/>
              <w:jc w:val="center"/>
              <w:rPr>
                <w:bCs w:val="0"/>
                <w:sz w:val="22"/>
                <w:szCs w:val="22"/>
              </w:rPr>
            </w:pPr>
            <w:r>
              <w:rPr>
                <w:bCs w:val="0"/>
                <w:sz w:val="22"/>
                <w:szCs w:val="22"/>
              </w:rPr>
              <w:t>II (+)</w:t>
            </w:r>
          </w:p>
        </w:tc>
        <w:tc>
          <w:tcPr>
            <w:tcW w:w="1306" w:type="dxa"/>
          </w:tcPr>
          <w:p w14:paraId="5192C438" w14:textId="77777777" w:rsidR="001C08A5" w:rsidRDefault="00000000">
            <w:pPr>
              <w:jc w:val="center"/>
              <w:rPr>
                <w:b/>
                <w:i/>
                <w:sz w:val="22"/>
                <w:szCs w:val="22"/>
              </w:rPr>
            </w:pPr>
            <w:r>
              <w:rPr>
                <w:b/>
                <w:i/>
                <w:sz w:val="22"/>
                <w:szCs w:val="22"/>
              </w:rPr>
              <w:t>EI/REI 60</w:t>
            </w:r>
          </w:p>
          <w:p w14:paraId="067E6779" w14:textId="77777777" w:rsidR="001C08A5" w:rsidRDefault="001C08A5">
            <w:pPr>
              <w:jc w:val="center"/>
              <w:rPr>
                <w:b/>
                <w:i/>
                <w:sz w:val="22"/>
                <w:szCs w:val="22"/>
              </w:rPr>
            </w:pPr>
          </w:p>
        </w:tc>
        <w:tc>
          <w:tcPr>
            <w:tcW w:w="1707" w:type="dxa"/>
          </w:tcPr>
          <w:p w14:paraId="3A54393E"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604" w:type="dxa"/>
            <w:vMerge/>
          </w:tcPr>
          <w:p w14:paraId="4C24C069" w14:textId="77777777" w:rsidR="001C08A5" w:rsidRDefault="001C08A5">
            <w:pPr>
              <w:jc w:val="center"/>
              <w:rPr>
                <w:b/>
                <w:i/>
                <w:sz w:val="22"/>
                <w:szCs w:val="22"/>
              </w:rPr>
            </w:pPr>
          </w:p>
        </w:tc>
        <w:tc>
          <w:tcPr>
            <w:tcW w:w="1800" w:type="dxa"/>
          </w:tcPr>
          <w:p w14:paraId="38F66186"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819" w:type="dxa"/>
          </w:tcPr>
          <w:p w14:paraId="5F08224D" w14:textId="77777777" w:rsidR="001C08A5" w:rsidRDefault="00000000">
            <w:pPr>
              <w:jc w:val="center"/>
              <w:rPr>
                <w:b/>
                <w:bCs/>
                <w:i/>
                <w:sz w:val="22"/>
                <w:szCs w:val="22"/>
              </w:rPr>
            </w:pPr>
            <w:r>
              <w:rPr>
                <w:b/>
                <w:bCs/>
                <w:i/>
                <w:sz w:val="22"/>
                <w:szCs w:val="22"/>
              </w:rPr>
              <w:t>E15 - C5 S</w:t>
            </w:r>
            <w:r>
              <w:rPr>
                <w:b/>
                <w:bCs/>
                <w:i/>
                <w:sz w:val="22"/>
                <w:szCs w:val="22"/>
                <w:vertAlign w:val="subscript"/>
              </w:rPr>
              <w:t>a</w:t>
            </w:r>
            <w:r>
              <w:rPr>
                <w:b/>
                <w:bCs/>
                <w:i/>
                <w:sz w:val="22"/>
                <w:szCs w:val="22"/>
              </w:rPr>
              <w:t xml:space="preserve"> sau uși pline din lemn sau metal</w:t>
            </w:r>
          </w:p>
        </w:tc>
      </w:tr>
      <w:tr w:rsidR="001C08A5" w14:paraId="33397701" w14:textId="77777777">
        <w:tc>
          <w:tcPr>
            <w:tcW w:w="1262" w:type="dxa"/>
          </w:tcPr>
          <w:p w14:paraId="10C608C0" w14:textId="77777777" w:rsidR="001C08A5" w:rsidRDefault="00000000">
            <w:pPr>
              <w:pStyle w:val="BodyText"/>
              <w:jc w:val="center"/>
              <w:rPr>
                <w:bCs w:val="0"/>
                <w:sz w:val="22"/>
                <w:szCs w:val="22"/>
              </w:rPr>
            </w:pPr>
            <w:r>
              <w:rPr>
                <w:bCs w:val="0"/>
                <w:sz w:val="22"/>
                <w:szCs w:val="22"/>
              </w:rPr>
              <w:t>III</w:t>
            </w:r>
          </w:p>
        </w:tc>
        <w:tc>
          <w:tcPr>
            <w:tcW w:w="1306" w:type="dxa"/>
          </w:tcPr>
          <w:p w14:paraId="184A7443" w14:textId="77777777" w:rsidR="001C08A5" w:rsidRDefault="00000000">
            <w:pPr>
              <w:jc w:val="center"/>
              <w:rPr>
                <w:b/>
                <w:i/>
                <w:sz w:val="22"/>
                <w:szCs w:val="22"/>
              </w:rPr>
            </w:pPr>
            <w:r>
              <w:rPr>
                <w:b/>
                <w:i/>
                <w:sz w:val="22"/>
                <w:szCs w:val="22"/>
              </w:rPr>
              <w:t xml:space="preserve">EI/REI 45 </w:t>
            </w:r>
          </w:p>
          <w:p w14:paraId="7B5ADEE4" w14:textId="77777777" w:rsidR="001C08A5" w:rsidRDefault="001C08A5">
            <w:pPr>
              <w:jc w:val="center"/>
              <w:rPr>
                <w:b/>
                <w:i/>
                <w:sz w:val="22"/>
                <w:szCs w:val="22"/>
              </w:rPr>
            </w:pPr>
          </w:p>
        </w:tc>
        <w:tc>
          <w:tcPr>
            <w:tcW w:w="1707" w:type="dxa"/>
          </w:tcPr>
          <w:p w14:paraId="6825C5A4"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604" w:type="dxa"/>
            <w:vMerge/>
          </w:tcPr>
          <w:p w14:paraId="0C1C0550" w14:textId="77777777" w:rsidR="001C08A5" w:rsidRDefault="001C08A5">
            <w:pPr>
              <w:jc w:val="center"/>
              <w:rPr>
                <w:b/>
                <w:i/>
                <w:sz w:val="22"/>
                <w:szCs w:val="22"/>
              </w:rPr>
            </w:pPr>
          </w:p>
        </w:tc>
        <w:tc>
          <w:tcPr>
            <w:tcW w:w="1800" w:type="dxa"/>
          </w:tcPr>
          <w:p w14:paraId="2A0494A6"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0CC75BD4" w14:textId="77777777" w:rsidR="001C08A5" w:rsidRDefault="001C08A5">
            <w:pPr>
              <w:rPr>
                <w:i/>
                <w:sz w:val="22"/>
                <w:szCs w:val="22"/>
              </w:rPr>
            </w:pPr>
          </w:p>
        </w:tc>
        <w:tc>
          <w:tcPr>
            <w:tcW w:w="1819" w:type="dxa"/>
          </w:tcPr>
          <w:p w14:paraId="571A9E58" w14:textId="77777777" w:rsidR="001C08A5" w:rsidRDefault="00000000">
            <w:pPr>
              <w:jc w:val="center"/>
              <w:rPr>
                <w:i/>
                <w:sz w:val="22"/>
                <w:szCs w:val="22"/>
              </w:rPr>
            </w:pPr>
            <w:r>
              <w:rPr>
                <w:b/>
                <w:bCs/>
                <w:i/>
                <w:sz w:val="22"/>
                <w:szCs w:val="22"/>
              </w:rPr>
              <w:t>C5</w:t>
            </w:r>
          </w:p>
        </w:tc>
      </w:tr>
      <w:tr w:rsidR="001C08A5" w14:paraId="7E1E8276" w14:textId="77777777">
        <w:tc>
          <w:tcPr>
            <w:tcW w:w="1262" w:type="dxa"/>
          </w:tcPr>
          <w:p w14:paraId="3E971D75" w14:textId="77777777" w:rsidR="001C08A5" w:rsidRDefault="00000000">
            <w:pPr>
              <w:pStyle w:val="BodyText"/>
              <w:jc w:val="center"/>
              <w:rPr>
                <w:bCs w:val="0"/>
                <w:sz w:val="22"/>
                <w:szCs w:val="22"/>
              </w:rPr>
            </w:pPr>
            <w:r>
              <w:rPr>
                <w:bCs w:val="0"/>
                <w:sz w:val="22"/>
                <w:szCs w:val="22"/>
              </w:rPr>
              <w:t>III (+)</w:t>
            </w:r>
          </w:p>
        </w:tc>
        <w:tc>
          <w:tcPr>
            <w:tcW w:w="1306" w:type="dxa"/>
          </w:tcPr>
          <w:p w14:paraId="4651DEE8" w14:textId="77777777" w:rsidR="001C08A5" w:rsidRDefault="00000000">
            <w:pPr>
              <w:jc w:val="center"/>
              <w:rPr>
                <w:b/>
                <w:i/>
                <w:sz w:val="22"/>
                <w:szCs w:val="22"/>
              </w:rPr>
            </w:pPr>
            <w:r>
              <w:rPr>
                <w:b/>
                <w:i/>
                <w:sz w:val="22"/>
                <w:szCs w:val="22"/>
              </w:rPr>
              <w:t xml:space="preserve">EI/REI 45 </w:t>
            </w:r>
          </w:p>
          <w:p w14:paraId="4DE1361C" w14:textId="77777777" w:rsidR="001C08A5" w:rsidRDefault="001C08A5">
            <w:pPr>
              <w:jc w:val="center"/>
              <w:rPr>
                <w:b/>
                <w:i/>
                <w:sz w:val="22"/>
                <w:szCs w:val="22"/>
              </w:rPr>
            </w:pPr>
          </w:p>
        </w:tc>
        <w:tc>
          <w:tcPr>
            <w:tcW w:w="1707" w:type="dxa"/>
          </w:tcPr>
          <w:p w14:paraId="53E5A31E"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604" w:type="dxa"/>
            <w:vMerge/>
          </w:tcPr>
          <w:p w14:paraId="2BAF92A9" w14:textId="77777777" w:rsidR="001C08A5" w:rsidRDefault="001C08A5">
            <w:pPr>
              <w:jc w:val="center"/>
              <w:rPr>
                <w:b/>
                <w:i/>
                <w:sz w:val="22"/>
                <w:szCs w:val="22"/>
              </w:rPr>
            </w:pPr>
          </w:p>
        </w:tc>
        <w:tc>
          <w:tcPr>
            <w:tcW w:w="1800" w:type="dxa"/>
          </w:tcPr>
          <w:p w14:paraId="099A324B" w14:textId="77777777" w:rsidR="001C08A5" w:rsidRDefault="00000000">
            <w:pPr>
              <w:jc w:val="center"/>
              <w:rPr>
                <w:i/>
                <w:sz w:val="22"/>
                <w:szCs w:val="22"/>
              </w:rPr>
            </w:pPr>
            <w:r>
              <w:rPr>
                <w:b/>
                <w:i/>
                <w:sz w:val="22"/>
                <w:szCs w:val="22"/>
              </w:rPr>
              <w:t xml:space="preserve"> A1 </w:t>
            </w:r>
            <w:r>
              <w:rPr>
                <w:i/>
                <w:sz w:val="22"/>
                <w:szCs w:val="22"/>
              </w:rPr>
              <w:t>sau</w:t>
            </w:r>
            <w:r>
              <w:rPr>
                <w:b/>
                <w:i/>
                <w:sz w:val="22"/>
                <w:szCs w:val="22"/>
              </w:rPr>
              <w:t xml:space="preserve"> A2-s1d0, </w:t>
            </w:r>
          </w:p>
        </w:tc>
        <w:tc>
          <w:tcPr>
            <w:tcW w:w="1819" w:type="dxa"/>
          </w:tcPr>
          <w:p w14:paraId="7B881300" w14:textId="77777777" w:rsidR="001C08A5" w:rsidRDefault="00000000">
            <w:pPr>
              <w:jc w:val="center"/>
              <w:rPr>
                <w:b/>
                <w:i/>
                <w:sz w:val="22"/>
                <w:szCs w:val="22"/>
              </w:rPr>
            </w:pPr>
            <w:r>
              <w:rPr>
                <w:b/>
                <w:bCs/>
                <w:i/>
                <w:sz w:val="22"/>
                <w:szCs w:val="22"/>
              </w:rPr>
              <w:t>C5</w:t>
            </w:r>
          </w:p>
          <w:p w14:paraId="2E4DEA33" w14:textId="77777777" w:rsidR="001C08A5" w:rsidRDefault="001C08A5">
            <w:pPr>
              <w:jc w:val="center"/>
              <w:rPr>
                <w:b/>
                <w:bCs/>
                <w:i/>
                <w:sz w:val="22"/>
                <w:szCs w:val="22"/>
              </w:rPr>
            </w:pPr>
          </w:p>
        </w:tc>
      </w:tr>
      <w:tr w:rsidR="001C08A5" w14:paraId="55361EFC" w14:textId="77777777">
        <w:tc>
          <w:tcPr>
            <w:tcW w:w="1262" w:type="dxa"/>
          </w:tcPr>
          <w:p w14:paraId="737FE432" w14:textId="77777777" w:rsidR="001C08A5" w:rsidRDefault="00000000">
            <w:pPr>
              <w:pStyle w:val="BodyText"/>
              <w:jc w:val="center"/>
              <w:rPr>
                <w:bCs w:val="0"/>
                <w:sz w:val="22"/>
                <w:szCs w:val="22"/>
              </w:rPr>
            </w:pPr>
            <w:r>
              <w:rPr>
                <w:bCs w:val="0"/>
                <w:sz w:val="22"/>
                <w:szCs w:val="22"/>
              </w:rPr>
              <w:t>IV</w:t>
            </w:r>
          </w:p>
        </w:tc>
        <w:tc>
          <w:tcPr>
            <w:tcW w:w="1306" w:type="dxa"/>
          </w:tcPr>
          <w:p w14:paraId="0C6251C5" w14:textId="77777777" w:rsidR="001C08A5" w:rsidRDefault="00000000">
            <w:pPr>
              <w:jc w:val="center"/>
              <w:rPr>
                <w:b/>
                <w:i/>
                <w:sz w:val="22"/>
                <w:szCs w:val="22"/>
              </w:rPr>
            </w:pPr>
            <w:r>
              <w:rPr>
                <w:b/>
                <w:i/>
                <w:sz w:val="22"/>
                <w:szCs w:val="22"/>
              </w:rPr>
              <w:t xml:space="preserve">EI/REI 30 </w:t>
            </w:r>
          </w:p>
          <w:p w14:paraId="32E7B2EE" w14:textId="77777777" w:rsidR="001C08A5" w:rsidRDefault="001C08A5">
            <w:pPr>
              <w:jc w:val="center"/>
              <w:rPr>
                <w:b/>
                <w:i/>
                <w:sz w:val="22"/>
                <w:szCs w:val="22"/>
              </w:rPr>
            </w:pPr>
          </w:p>
        </w:tc>
        <w:tc>
          <w:tcPr>
            <w:tcW w:w="1707" w:type="dxa"/>
          </w:tcPr>
          <w:p w14:paraId="7DC82F6C"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 B-s1d0</w:t>
            </w:r>
          </w:p>
        </w:tc>
        <w:tc>
          <w:tcPr>
            <w:tcW w:w="1604" w:type="dxa"/>
            <w:vMerge/>
          </w:tcPr>
          <w:p w14:paraId="03D02FB5" w14:textId="77777777" w:rsidR="001C08A5" w:rsidRDefault="001C08A5">
            <w:pPr>
              <w:jc w:val="center"/>
              <w:rPr>
                <w:b/>
                <w:i/>
                <w:sz w:val="22"/>
                <w:szCs w:val="22"/>
              </w:rPr>
            </w:pPr>
          </w:p>
        </w:tc>
        <w:tc>
          <w:tcPr>
            <w:tcW w:w="1800" w:type="dxa"/>
          </w:tcPr>
          <w:p w14:paraId="64C2F4C4"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A2-s1d0,B-s1d0</w:t>
            </w:r>
          </w:p>
        </w:tc>
        <w:tc>
          <w:tcPr>
            <w:tcW w:w="1819" w:type="dxa"/>
          </w:tcPr>
          <w:p w14:paraId="2634DE05" w14:textId="77777777" w:rsidR="001C08A5" w:rsidRDefault="00000000">
            <w:pPr>
              <w:jc w:val="center"/>
              <w:rPr>
                <w:i/>
                <w:sz w:val="22"/>
                <w:szCs w:val="22"/>
              </w:rPr>
            </w:pPr>
            <w:r>
              <w:rPr>
                <w:b/>
                <w:bCs/>
                <w:i/>
                <w:sz w:val="22"/>
                <w:szCs w:val="22"/>
              </w:rPr>
              <w:t>C5</w:t>
            </w:r>
          </w:p>
        </w:tc>
      </w:tr>
      <w:tr w:rsidR="001C08A5" w14:paraId="460F2D3A" w14:textId="77777777">
        <w:tc>
          <w:tcPr>
            <w:tcW w:w="1262" w:type="dxa"/>
          </w:tcPr>
          <w:p w14:paraId="184F9A18" w14:textId="77777777" w:rsidR="001C08A5" w:rsidRDefault="00000000">
            <w:pPr>
              <w:pStyle w:val="BodyText"/>
              <w:jc w:val="center"/>
              <w:rPr>
                <w:bCs w:val="0"/>
                <w:sz w:val="22"/>
                <w:szCs w:val="22"/>
              </w:rPr>
            </w:pPr>
            <w:r>
              <w:rPr>
                <w:bCs w:val="0"/>
                <w:sz w:val="22"/>
                <w:szCs w:val="22"/>
              </w:rPr>
              <w:t>V</w:t>
            </w:r>
          </w:p>
        </w:tc>
        <w:tc>
          <w:tcPr>
            <w:tcW w:w="1306" w:type="dxa"/>
          </w:tcPr>
          <w:p w14:paraId="40D73774" w14:textId="77777777" w:rsidR="001C08A5" w:rsidRDefault="00000000">
            <w:pPr>
              <w:jc w:val="center"/>
              <w:rPr>
                <w:b/>
                <w:i/>
                <w:sz w:val="22"/>
                <w:szCs w:val="22"/>
              </w:rPr>
            </w:pPr>
            <w:r>
              <w:rPr>
                <w:b/>
                <w:i/>
                <w:sz w:val="22"/>
                <w:szCs w:val="22"/>
              </w:rPr>
              <w:t xml:space="preserve">EI/REI 15 </w:t>
            </w:r>
          </w:p>
          <w:p w14:paraId="1B77217A" w14:textId="77777777" w:rsidR="001C08A5" w:rsidRDefault="001C08A5">
            <w:pPr>
              <w:jc w:val="center"/>
              <w:rPr>
                <w:b/>
                <w:i/>
                <w:sz w:val="22"/>
                <w:szCs w:val="22"/>
              </w:rPr>
            </w:pPr>
          </w:p>
        </w:tc>
        <w:tc>
          <w:tcPr>
            <w:tcW w:w="1707" w:type="dxa"/>
          </w:tcPr>
          <w:p w14:paraId="444C11F9"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604" w:type="dxa"/>
            <w:vMerge/>
          </w:tcPr>
          <w:p w14:paraId="355A5054" w14:textId="77777777" w:rsidR="001C08A5" w:rsidRDefault="001C08A5">
            <w:pPr>
              <w:jc w:val="center"/>
              <w:rPr>
                <w:b/>
                <w:i/>
                <w:sz w:val="22"/>
                <w:szCs w:val="22"/>
              </w:rPr>
            </w:pPr>
          </w:p>
        </w:tc>
        <w:tc>
          <w:tcPr>
            <w:tcW w:w="1800" w:type="dxa"/>
          </w:tcPr>
          <w:p w14:paraId="64C87C4E"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C-s1d0</w:t>
            </w:r>
          </w:p>
        </w:tc>
        <w:tc>
          <w:tcPr>
            <w:tcW w:w="1819" w:type="dxa"/>
          </w:tcPr>
          <w:p w14:paraId="7A55BBB6" w14:textId="77777777" w:rsidR="001C08A5" w:rsidRDefault="00000000">
            <w:pPr>
              <w:jc w:val="center"/>
              <w:rPr>
                <w:b/>
                <w:bCs/>
                <w:i/>
                <w:sz w:val="22"/>
                <w:szCs w:val="22"/>
              </w:rPr>
            </w:pPr>
            <w:r>
              <w:rPr>
                <w:b/>
                <w:bCs/>
                <w:i/>
                <w:sz w:val="22"/>
                <w:szCs w:val="22"/>
              </w:rPr>
              <w:t>-</w:t>
            </w:r>
          </w:p>
        </w:tc>
      </w:tr>
    </w:tbl>
    <w:p w14:paraId="4F46EA81" w14:textId="77777777" w:rsidR="001C08A5" w:rsidRDefault="00000000">
      <w:pPr>
        <w:autoSpaceDE w:val="0"/>
        <w:rPr>
          <w:i/>
          <w:sz w:val="22"/>
          <w:szCs w:val="22"/>
        </w:rPr>
      </w:pPr>
      <w:r>
        <w:rPr>
          <w:bCs/>
          <w:i/>
          <w:sz w:val="22"/>
          <w:szCs w:val="22"/>
          <w:u w:val="single"/>
        </w:rPr>
        <w:t>Note</w:t>
      </w:r>
      <w:r>
        <w:rPr>
          <w:i/>
          <w:sz w:val="22"/>
          <w:szCs w:val="22"/>
        </w:rPr>
        <w:t>:</w:t>
      </w:r>
    </w:p>
    <w:p w14:paraId="6E9F27EF" w14:textId="77777777" w:rsidR="001C08A5" w:rsidRDefault="00000000">
      <w:pPr>
        <w:ind w:left="720"/>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6ACBEA31" w14:textId="77777777" w:rsidR="001C08A5" w:rsidRDefault="00000000">
      <w:pPr>
        <w:ind w:left="720"/>
        <w:jc w:val="both"/>
        <w:rPr>
          <w:i/>
          <w:sz w:val="22"/>
          <w:szCs w:val="22"/>
        </w:rPr>
      </w:pPr>
      <w:r>
        <w:rPr>
          <w:i/>
          <w:sz w:val="22"/>
          <w:szCs w:val="22"/>
        </w:rPr>
        <w:t>În cazul pereților vitrați cu profil metalic care separă coridoarele și holurile de încăperile adiacente nu se ia în considerare clasa de reacție la foc.</w:t>
      </w:r>
    </w:p>
    <w:p w14:paraId="2BE44912"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6FD40756"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342A593E" w14:textId="77777777" w:rsidR="001C08A5" w:rsidRDefault="001C08A5">
      <w:pPr>
        <w:jc w:val="both"/>
        <w:rPr>
          <w:b/>
          <w:strike/>
          <w:sz w:val="24"/>
          <w:szCs w:val="24"/>
        </w:rPr>
      </w:pPr>
    </w:p>
    <w:p w14:paraId="57AE61AF" w14:textId="77777777" w:rsidR="001C08A5" w:rsidRDefault="00000000">
      <w:pPr>
        <w:jc w:val="both"/>
        <w:rPr>
          <w:sz w:val="24"/>
          <w:szCs w:val="24"/>
        </w:rPr>
      </w:pPr>
      <w:r>
        <w:rPr>
          <w:b/>
          <w:sz w:val="24"/>
          <w:szCs w:val="24"/>
        </w:rPr>
        <w:tab/>
        <w:t xml:space="preserve">Art. </w:t>
      </w:r>
      <w:r>
        <w:rPr>
          <w:b/>
          <w:bCs/>
          <w:sz w:val="24"/>
          <w:szCs w:val="24"/>
        </w:rPr>
        <w:t>3.2.9.</w:t>
      </w:r>
      <w:r>
        <w:rPr>
          <w:b/>
          <w:sz w:val="24"/>
          <w:szCs w:val="24"/>
        </w:rPr>
        <w:t xml:space="preserve">5. (1) </w:t>
      </w:r>
      <w:r>
        <w:rPr>
          <w:sz w:val="24"/>
          <w:szCs w:val="24"/>
        </w:rPr>
        <w:t xml:space="preserve">Clădirile închise </w:t>
      </w:r>
      <w:r>
        <w:rPr>
          <w:bCs/>
          <w:sz w:val="24"/>
          <w:szCs w:val="24"/>
        </w:rPr>
        <w:t>de sport supraterane cu înălţimi obişnuite</w:t>
      </w:r>
      <w:r>
        <w:rPr>
          <w:sz w:val="24"/>
          <w:szCs w:val="24"/>
        </w:rPr>
        <w:t xml:space="preserve"> și capacitatea mai mare de </w:t>
      </w:r>
      <w:r>
        <w:rPr>
          <w:b/>
          <w:sz w:val="24"/>
          <w:szCs w:val="24"/>
        </w:rPr>
        <w:t>100</w:t>
      </w:r>
      <w:r>
        <w:rPr>
          <w:bCs/>
          <w:sz w:val="24"/>
          <w:szCs w:val="24"/>
        </w:rPr>
        <w:t xml:space="preserve"> de</w:t>
      </w:r>
      <w:r>
        <w:rPr>
          <w:sz w:val="24"/>
          <w:szCs w:val="24"/>
        </w:rPr>
        <w:t xml:space="preserve"> utilizatori, vor avea asigurate minimum două căi de evacuare a acestora.</w:t>
      </w:r>
    </w:p>
    <w:p w14:paraId="57E65F53" w14:textId="77777777" w:rsidR="001C08A5" w:rsidRDefault="00000000">
      <w:pPr>
        <w:numPr>
          <w:ilvl w:val="255"/>
          <w:numId w:val="0"/>
        </w:numPr>
        <w:ind w:firstLine="720"/>
        <w:jc w:val="both"/>
        <w:rPr>
          <w:sz w:val="24"/>
          <w:szCs w:val="24"/>
        </w:rPr>
      </w:pPr>
      <w:r>
        <w:rPr>
          <w:b/>
          <w:sz w:val="24"/>
          <w:szCs w:val="24"/>
        </w:rPr>
        <w:t xml:space="preserve">(2) </w:t>
      </w:r>
      <w:r>
        <w:rPr>
          <w:sz w:val="24"/>
          <w:szCs w:val="24"/>
        </w:rPr>
        <w:t>Scaunele trebuie să fie solidarizate de platforma ori gradena pe care sunt dispuse sau pe pachete de scaune. Băncile, scaunele etc. trebuie să nu depăşească criteriile stabilite pentru evaluarea aprinderii mobilierului tapiţat.</w:t>
      </w:r>
    </w:p>
    <w:p w14:paraId="3BE3CA72" w14:textId="77777777" w:rsidR="001C08A5" w:rsidRDefault="00000000">
      <w:pPr>
        <w:ind w:firstLine="720"/>
        <w:jc w:val="both"/>
        <w:rPr>
          <w:sz w:val="24"/>
          <w:szCs w:val="24"/>
        </w:rPr>
      </w:pPr>
      <w:r>
        <w:rPr>
          <w:b/>
          <w:sz w:val="24"/>
          <w:szCs w:val="24"/>
        </w:rPr>
        <w:t xml:space="preserve">(3) </w:t>
      </w:r>
      <w:r>
        <w:rPr>
          <w:sz w:val="24"/>
          <w:szCs w:val="24"/>
        </w:rPr>
        <w:t xml:space="preserve">Distanţa liberă de circulaţie între rândurile de scaune trebuie să fie de minimum </w:t>
      </w:r>
      <w:r>
        <w:rPr>
          <w:b/>
          <w:sz w:val="24"/>
          <w:szCs w:val="24"/>
        </w:rPr>
        <w:t>35 cm</w:t>
      </w:r>
      <w:r>
        <w:rPr>
          <w:sz w:val="24"/>
          <w:szCs w:val="24"/>
        </w:rPr>
        <w:t>.</w:t>
      </w:r>
    </w:p>
    <w:p w14:paraId="2CDA4258" w14:textId="77777777" w:rsidR="001C08A5" w:rsidRDefault="00000000">
      <w:pPr>
        <w:jc w:val="both"/>
        <w:rPr>
          <w:sz w:val="24"/>
          <w:szCs w:val="24"/>
        </w:rPr>
      </w:pPr>
      <w:r>
        <w:rPr>
          <w:sz w:val="24"/>
          <w:szCs w:val="24"/>
        </w:rPr>
        <w:tab/>
      </w:r>
      <w:r>
        <w:rPr>
          <w:b/>
          <w:sz w:val="24"/>
          <w:szCs w:val="24"/>
        </w:rPr>
        <w:t>(4)</w:t>
      </w:r>
      <w:r>
        <w:rPr>
          <w:sz w:val="24"/>
          <w:szCs w:val="24"/>
        </w:rPr>
        <w:t xml:space="preserve"> Pe căile de evacuare a utilizatorilor se prevăd indicatoare de orientare și se asigură iluminat de siguranţă, potrivit prevederilor reglementărilor tehnice de specialitate.</w:t>
      </w:r>
    </w:p>
    <w:p w14:paraId="4C2FF605" w14:textId="77777777" w:rsidR="001C08A5" w:rsidRDefault="00000000">
      <w:pPr>
        <w:jc w:val="both"/>
        <w:rPr>
          <w:sz w:val="24"/>
          <w:szCs w:val="24"/>
        </w:rPr>
      </w:pPr>
      <w:r>
        <w:rPr>
          <w:sz w:val="24"/>
          <w:szCs w:val="24"/>
        </w:rPr>
        <w:tab/>
      </w:r>
      <w:r>
        <w:rPr>
          <w:sz w:val="24"/>
          <w:szCs w:val="24"/>
        </w:rPr>
        <w:tab/>
      </w:r>
    </w:p>
    <w:p w14:paraId="66FE05AA" w14:textId="77777777" w:rsidR="001C08A5" w:rsidRDefault="00000000">
      <w:pPr>
        <w:pStyle w:val="BodyText"/>
      </w:pPr>
      <w:r>
        <w:tab/>
      </w:r>
      <w:r>
        <w:rPr>
          <w:i w:val="0"/>
          <w:iCs/>
        </w:rPr>
        <w:t xml:space="preserve">Art. </w:t>
      </w:r>
      <w:r>
        <w:rPr>
          <w:bCs w:val="0"/>
          <w:i w:val="0"/>
          <w:iCs/>
        </w:rPr>
        <w:t>3.2.9.</w:t>
      </w:r>
      <w:r>
        <w:rPr>
          <w:i w:val="0"/>
          <w:iCs/>
        </w:rPr>
        <w:t>6.</w:t>
      </w:r>
      <w:r>
        <w:rPr>
          <w:b w:val="0"/>
          <w:bCs w:val="0"/>
          <w:i w:val="0"/>
          <w:iCs/>
        </w:rPr>
        <w:t xml:space="preserve"> Lungimea maximă de evacuare admisă a traseului de parcurs pe căile de evacuare în clădirile de sport (cu excepţia sălilor aglomerate, a clădirilor înalte şi foarte înalte), sunt precizate în </w:t>
      </w:r>
      <w:r>
        <w:rPr>
          <w:b w:val="0"/>
          <w:bCs w:val="0"/>
          <w:i w:val="0"/>
          <w:iCs/>
        </w:rPr>
        <w:fldChar w:fldCharType="begin"/>
      </w:r>
      <w:r>
        <w:rPr>
          <w:b w:val="0"/>
          <w:bCs w:val="0"/>
          <w:i w:val="0"/>
          <w:iCs/>
        </w:rPr>
        <w:instrText xml:space="preserve"> REF _Ref26543 \h </w:instrText>
      </w:r>
      <w:r>
        <w:rPr>
          <w:b w:val="0"/>
          <w:bCs w:val="0"/>
          <w:i w:val="0"/>
          <w:iCs/>
        </w:rPr>
      </w:r>
      <w:r>
        <w:rPr>
          <w:b w:val="0"/>
          <w:bCs w:val="0"/>
          <w:i w:val="0"/>
          <w:iCs/>
        </w:rPr>
        <w:fldChar w:fldCharType="separate"/>
      </w:r>
      <w:r>
        <w:t>Tabelul 84</w:t>
      </w:r>
      <w:r>
        <w:rPr>
          <w:b w:val="0"/>
          <w:bCs w:val="0"/>
          <w:i w:val="0"/>
          <w:iCs/>
        </w:rPr>
        <w:fldChar w:fldCharType="end"/>
      </w:r>
      <w:r>
        <w:t>.</w:t>
      </w:r>
    </w:p>
    <w:p w14:paraId="3A2C4185" w14:textId="77777777" w:rsidR="001C08A5" w:rsidRDefault="001C08A5">
      <w:pPr>
        <w:jc w:val="both"/>
        <w:rPr>
          <w:sz w:val="24"/>
          <w:szCs w:val="24"/>
        </w:rPr>
      </w:pPr>
    </w:p>
    <w:p w14:paraId="4EDA6155" w14:textId="77777777" w:rsidR="001C08A5" w:rsidRDefault="00000000">
      <w:pPr>
        <w:pStyle w:val="Captiontabel"/>
      </w:pPr>
      <w:bookmarkStart w:id="3962" w:name="_Ref26543"/>
      <w:bookmarkStart w:id="3963" w:name="_Toc162360134"/>
      <w:bookmarkStart w:id="3964" w:name="_Ref13698"/>
      <w:r>
        <w:t xml:space="preserve">Tabelul </w:t>
      </w:r>
      <w:r>
        <w:fldChar w:fldCharType="begin"/>
      </w:r>
      <w:r>
        <w:instrText xml:space="preserve"> SEQ Tabelul \* ARABIC </w:instrText>
      </w:r>
      <w:r>
        <w:fldChar w:fldCharType="separate"/>
      </w:r>
      <w:r>
        <w:t>84</w:t>
      </w:r>
      <w:r>
        <w:fldChar w:fldCharType="end"/>
      </w:r>
      <w:bookmarkStart w:id="3965" w:name="_Toc9636"/>
      <w:bookmarkStart w:id="3966" w:name="_Toc21871"/>
      <w:bookmarkStart w:id="3967" w:name="_Toc8888"/>
      <w:bookmarkStart w:id="3968" w:name="_Toc19338"/>
      <w:bookmarkStart w:id="3969" w:name="_Toc9233"/>
      <w:bookmarkStart w:id="3970" w:name="_Toc10111"/>
      <w:bookmarkStart w:id="3971" w:name="_Toc19411"/>
      <w:bookmarkStart w:id="3972" w:name="_Toc8882"/>
      <w:bookmarkStart w:id="3973" w:name="_Toc21015"/>
      <w:bookmarkStart w:id="3974" w:name="_Toc13097"/>
      <w:bookmarkStart w:id="3975" w:name="_Toc10750"/>
      <w:bookmarkStart w:id="3976" w:name="_Toc10334"/>
      <w:bookmarkStart w:id="3977" w:name="_Toc20849"/>
      <w:bookmarkStart w:id="3978" w:name="_Toc9537"/>
      <w:bookmarkStart w:id="3979" w:name="_Toc10022"/>
      <w:bookmarkStart w:id="3980" w:name="_Toc20778"/>
      <w:bookmarkStart w:id="3981" w:name="_Toc8228"/>
      <w:bookmarkStart w:id="3982" w:name="_Toc29335"/>
      <w:bookmarkStart w:id="3983" w:name="_Toc31539"/>
      <w:bookmarkEnd w:id="3962"/>
      <w:r>
        <w:t>: Lungimi de evacuare în clădiri pentru sport supraterane închise, cu înălţimi obişnuite</w:t>
      </w:r>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p>
    <w:p w14:paraId="2AD4E7CD" w14:textId="77777777" w:rsidR="001C08A5" w:rsidRDefault="001C08A5">
      <w:pPr>
        <w:jc w:val="both"/>
        <w:rPr>
          <w:sz w:val="24"/>
          <w:szCs w:val="24"/>
        </w:rPr>
      </w:pPr>
    </w:p>
    <w:tbl>
      <w:tblPr>
        <w:tblW w:w="0" w:type="auto"/>
        <w:tblLook w:val="04A0" w:firstRow="1" w:lastRow="0" w:firstColumn="1" w:lastColumn="0" w:noHBand="0" w:noVBand="1"/>
      </w:tblPr>
      <w:tblGrid>
        <w:gridCol w:w="575"/>
        <w:gridCol w:w="1446"/>
        <w:gridCol w:w="1556"/>
        <w:gridCol w:w="1106"/>
        <w:gridCol w:w="1424"/>
        <w:gridCol w:w="3512"/>
      </w:tblGrid>
      <w:tr w:rsidR="001C08A5" w14:paraId="0D031ED4" w14:textId="77777777">
        <w:tc>
          <w:tcPr>
            <w:tcW w:w="0" w:type="auto"/>
            <w:vMerge w:val="restart"/>
            <w:tcBorders>
              <w:top w:val="single" w:sz="8" w:space="0" w:color="000000"/>
              <w:left w:val="single" w:sz="8" w:space="0" w:color="000000"/>
              <w:bottom w:val="single" w:sz="4" w:space="0" w:color="000000"/>
            </w:tcBorders>
            <w:shd w:val="clear" w:color="auto" w:fill="BFBFBF"/>
          </w:tcPr>
          <w:p w14:paraId="44CD68DB" w14:textId="77777777" w:rsidR="001C08A5" w:rsidRDefault="001C08A5">
            <w:pPr>
              <w:snapToGrid w:val="0"/>
              <w:jc w:val="center"/>
              <w:rPr>
                <w:b/>
                <w:i/>
                <w:iCs/>
                <w:sz w:val="22"/>
                <w:szCs w:val="22"/>
              </w:rPr>
            </w:pPr>
          </w:p>
          <w:p w14:paraId="173C7B0B" w14:textId="77777777" w:rsidR="001C08A5" w:rsidRDefault="001C08A5">
            <w:pPr>
              <w:jc w:val="center"/>
              <w:rPr>
                <w:b/>
                <w:i/>
                <w:iCs/>
                <w:sz w:val="22"/>
                <w:szCs w:val="22"/>
              </w:rPr>
            </w:pPr>
          </w:p>
          <w:p w14:paraId="0649148A" w14:textId="77777777" w:rsidR="001C08A5" w:rsidRDefault="00000000">
            <w:pPr>
              <w:jc w:val="center"/>
              <w:rPr>
                <w:i/>
                <w:iCs/>
                <w:sz w:val="22"/>
                <w:szCs w:val="22"/>
              </w:rPr>
            </w:pPr>
            <w:r>
              <w:rPr>
                <w:b/>
                <w:i/>
                <w:iCs/>
                <w:sz w:val="22"/>
                <w:szCs w:val="22"/>
              </w:rPr>
              <w:lastRenderedPageBreak/>
              <w:t>Nr. crt.</w:t>
            </w:r>
          </w:p>
          <w:p w14:paraId="3CA5A6CF" w14:textId="77777777" w:rsidR="001C08A5" w:rsidRDefault="001C08A5">
            <w:pPr>
              <w:jc w:val="center"/>
              <w:rPr>
                <w:i/>
                <w:iCs/>
                <w:sz w:val="22"/>
                <w:szCs w:val="22"/>
              </w:rPr>
            </w:pPr>
          </w:p>
        </w:tc>
        <w:tc>
          <w:tcPr>
            <w:tcW w:w="0" w:type="auto"/>
            <w:vMerge w:val="restart"/>
            <w:tcBorders>
              <w:top w:val="single" w:sz="8" w:space="0" w:color="000000"/>
              <w:left w:val="single" w:sz="4" w:space="0" w:color="000000"/>
              <w:bottom w:val="single" w:sz="4" w:space="0" w:color="000000"/>
            </w:tcBorders>
            <w:shd w:val="clear" w:color="auto" w:fill="BFBFBF"/>
          </w:tcPr>
          <w:p w14:paraId="39FD2146" w14:textId="77777777" w:rsidR="001C08A5" w:rsidRDefault="001C08A5">
            <w:pPr>
              <w:snapToGrid w:val="0"/>
              <w:jc w:val="center"/>
              <w:rPr>
                <w:b/>
                <w:i/>
                <w:iCs/>
                <w:sz w:val="22"/>
                <w:szCs w:val="22"/>
              </w:rPr>
            </w:pPr>
          </w:p>
          <w:p w14:paraId="3EF25E9C" w14:textId="77777777" w:rsidR="001C08A5" w:rsidRDefault="001C08A5">
            <w:pPr>
              <w:jc w:val="center"/>
              <w:rPr>
                <w:b/>
                <w:i/>
                <w:iCs/>
                <w:sz w:val="22"/>
                <w:szCs w:val="22"/>
              </w:rPr>
            </w:pPr>
          </w:p>
          <w:p w14:paraId="73245AE3" w14:textId="77777777" w:rsidR="001C08A5" w:rsidRDefault="00000000">
            <w:pPr>
              <w:jc w:val="center"/>
              <w:rPr>
                <w:i/>
                <w:iCs/>
                <w:sz w:val="22"/>
                <w:szCs w:val="22"/>
              </w:rPr>
            </w:pPr>
            <w:r>
              <w:rPr>
                <w:b/>
                <w:i/>
                <w:iCs/>
                <w:sz w:val="22"/>
                <w:szCs w:val="22"/>
              </w:rPr>
              <w:lastRenderedPageBreak/>
              <w:t>Clădiri pentru sport</w:t>
            </w:r>
          </w:p>
          <w:p w14:paraId="54BFBCF6" w14:textId="77777777" w:rsidR="001C08A5" w:rsidRDefault="001C08A5">
            <w:pPr>
              <w:jc w:val="center"/>
              <w:rPr>
                <w:b/>
                <w:i/>
                <w:iCs/>
                <w:sz w:val="22"/>
                <w:szCs w:val="22"/>
              </w:rPr>
            </w:pPr>
          </w:p>
        </w:tc>
        <w:tc>
          <w:tcPr>
            <w:tcW w:w="0" w:type="auto"/>
            <w:vMerge w:val="restart"/>
            <w:tcBorders>
              <w:top w:val="single" w:sz="8" w:space="0" w:color="000000"/>
              <w:left w:val="single" w:sz="4" w:space="0" w:color="000000"/>
              <w:bottom w:val="single" w:sz="4" w:space="0" w:color="000000"/>
            </w:tcBorders>
            <w:shd w:val="clear" w:color="auto" w:fill="BFBFBF"/>
          </w:tcPr>
          <w:p w14:paraId="5AC10501" w14:textId="77777777" w:rsidR="001C08A5" w:rsidRDefault="00000000">
            <w:pPr>
              <w:jc w:val="center"/>
              <w:rPr>
                <w:b/>
                <w:i/>
                <w:iCs/>
                <w:sz w:val="22"/>
                <w:szCs w:val="22"/>
              </w:rPr>
            </w:pPr>
            <w:r>
              <w:rPr>
                <w:b/>
                <w:i/>
                <w:iCs/>
                <w:sz w:val="22"/>
                <w:szCs w:val="22"/>
              </w:rPr>
              <w:lastRenderedPageBreak/>
              <w:t xml:space="preserve">Nivel de stabilitate  la </w:t>
            </w:r>
            <w:r>
              <w:rPr>
                <w:b/>
                <w:i/>
                <w:iCs/>
                <w:sz w:val="22"/>
                <w:szCs w:val="22"/>
              </w:rPr>
              <w:lastRenderedPageBreak/>
              <w:t>incendiu asigurat</w:t>
            </w:r>
          </w:p>
        </w:tc>
        <w:tc>
          <w:tcPr>
            <w:tcW w:w="0" w:type="auto"/>
            <w:gridSpan w:val="2"/>
            <w:tcBorders>
              <w:top w:val="single" w:sz="8" w:space="0" w:color="000000"/>
              <w:left w:val="single" w:sz="4" w:space="0" w:color="000000"/>
              <w:bottom w:val="single" w:sz="4" w:space="0" w:color="000000"/>
            </w:tcBorders>
            <w:shd w:val="clear" w:color="auto" w:fill="BFBFBF"/>
          </w:tcPr>
          <w:p w14:paraId="39E9D6D3" w14:textId="77777777" w:rsidR="001C08A5" w:rsidRDefault="00000000">
            <w:pPr>
              <w:jc w:val="center"/>
              <w:rPr>
                <w:b/>
                <w:i/>
                <w:iCs/>
                <w:sz w:val="22"/>
                <w:szCs w:val="22"/>
              </w:rPr>
            </w:pPr>
            <w:r>
              <w:rPr>
                <w:b/>
                <w:i/>
                <w:iCs/>
                <w:sz w:val="22"/>
                <w:szCs w:val="22"/>
              </w:rPr>
              <w:lastRenderedPageBreak/>
              <w:t xml:space="preserve">Lungime maximă de evacuare </w:t>
            </w:r>
          </w:p>
        </w:tc>
        <w:tc>
          <w:tcPr>
            <w:tcW w:w="0" w:type="auto"/>
            <w:vMerge w:val="restart"/>
            <w:tcBorders>
              <w:top w:val="single" w:sz="8" w:space="0" w:color="000000"/>
              <w:left w:val="single" w:sz="4" w:space="0" w:color="000000"/>
              <w:bottom w:val="single" w:sz="4" w:space="0" w:color="000000"/>
              <w:right w:val="single" w:sz="8" w:space="0" w:color="000000"/>
            </w:tcBorders>
            <w:shd w:val="clear" w:color="auto" w:fill="BFBFBF"/>
          </w:tcPr>
          <w:p w14:paraId="5AE31FDD" w14:textId="77777777" w:rsidR="001C08A5" w:rsidRDefault="001C08A5">
            <w:pPr>
              <w:snapToGrid w:val="0"/>
              <w:jc w:val="center"/>
              <w:rPr>
                <w:b/>
                <w:i/>
                <w:iCs/>
                <w:sz w:val="22"/>
                <w:szCs w:val="22"/>
              </w:rPr>
            </w:pPr>
          </w:p>
          <w:p w14:paraId="564A3880" w14:textId="77777777" w:rsidR="001C08A5" w:rsidRDefault="001C08A5">
            <w:pPr>
              <w:jc w:val="center"/>
              <w:rPr>
                <w:b/>
                <w:i/>
                <w:iCs/>
                <w:sz w:val="22"/>
                <w:szCs w:val="22"/>
              </w:rPr>
            </w:pPr>
          </w:p>
          <w:p w14:paraId="786670D2" w14:textId="77777777" w:rsidR="001C08A5" w:rsidRDefault="00000000">
            <w:pPr>
              <w:jc w:val="center"/>
              <w:rPr>
                <w:i/>
                <w:iCs/>
                <w:sz w:val="22"/>
                <w:szCs w:val="22"/>
              </w:rPr>
            </w:pPr>
            <w:r>
              <w:rPr>
                <w:b/>
                <w:i/>
                <w:iCs/>
                <w:sz w:val="22"/>
                <w:szCs w:val="22"/>
              </w:rPr>
              <w:lastRenderedPageBreak/>
              <w:t>Observaţii</w:t>
            </w:r>
          </w:p>
        </w:tc>
      </w:tr>
      <w:tr w:rsidR="001C08A5" w14:paraId="78410F2C" w14:textId="77777777">
        <w:tc>
          <w:tcPr>
            <w:tcW w:w="0" w:type="auto"/>
            <w:vMerge/>
            <w:tcBorders>
              <w:top w:val="single" w:sz="4" w:space="0" w:color="000000"/>
              <w:left w:val="single" w:sz="8" w:space="0" w:color="000000"/>
              <w:bottom w:val="single" w:sz="4" w:space="0" w:color="000000"/>
            </w:tcBorders>
            <w:shd w:val="clear" w:color="auto" w:fill="auto"/>
          </w:tcPr>
          <w:p w14:paraId="4BC26C47"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shd w:val="clear" w:color="auto" w:fill="auto"/>
          </w:tcPr>
          <w:p w14:paraId="7CC0C1A5"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shd w:val="clear" w:color="auto" w:fill="auto"/>
          </w:tcPr>
          <w:p w14:paraId="09D1DFB0"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4" w:space="0" w:color="000000"/>
            </w:tcBorders>
            <w:shd w:val="clear" w:color="auto" w:fill="BFBFBF"/>
          </w:tcPr>
          <w:p w14:paraId="537F2972" w14:textId="77777777" w:rsidR="001C08A5" w:rsidRDefault="00000000">
            <w:pPr>
              <w:jc w:val="center"/>
              <w:rPr>
                <w:b/>
                <w:i/>
                <w:iCs/>
                <w:sz w:val="22"/>
                <w:szCs w:val="22"/>
              </w:rPr>
            </w:pPr>
            <w:r>
              <w:rPr>
                <w:b/>
                <w:i/>
                <w:iCs/>
                <w:sz w:val="22"/>
                <w:szCs w:val="22"/>
              </w:rPr>
              <w:t>în două direcţii diferite</w:t>
            </w:r>
          </w:p>
        </w:tc>
        <w:tc>
          <w:tcPr>
            <w:tcW w:w="0" w:type="auto"/>
            <w:tcBorders>
              <w:top w:val="single" w:sz="4" w:space="0" w:color="000000"/>
              <w:left w:val="single" w:sz="4" w:space="0" w:color="000000"/>
              <w:bottom w:val="single" w:sz="4" w:space="0" w:color="000000"/>
            </w:tcBorders>
            <w:shd w:val="clear" w:color="auto" w:fill="BFBFBF"/>
          </w:tcPr>
          <w:p w14:paraId="5065D155" w14:textId="77777777" w:rsidR="001C08A5" w:rsidRDefault="00000000">
            <w:pPr>
              <w:jc w:val="center"/>
              <w:rPr>
                <w:i/>
                <w:iCs/>
                <w:sz w:val="22"/>
                <w:szCs w:val="22"/>
              </w:rPr>
            </w:pPr>
            <w:r>
              <w:rPr>
                <w:b/>
                <w:i/>
                <w:iCs/>
                <w:sz w:val="22"/>
                <w:szCs w:val="22"/>
              </w:rPr>
              <w:t>într-o direcţie (coridor înfundat)</w:t>
            </w:r>
          </w:p>
        </w:tc>
        <w:tc>
          <w:tcPr>
            <w:tcW w:w="0" w:type="auto"/>
            <w:vMerge/>
            <w:tcBorders>
              <w:top w:val="single" w:sz="4" w:space="0" w:color="000000"/>
              <w:left w:val="single" w:sz="4" w:space="0" w:color="000000"/>
              <w:bottom w:val="single" w:sz="4" w:space="0" w:color="000000"/>
              <w:right w:val="single" w:sz="8" w:space="0" w:color="000000"/>
            </w:tcBorders>
          </w:tcPr>
          <w:p w14:paraId="6D1C7854" w14:textId="77777777" w:rsidR="001C08A5" w:rsidRDefault="001C08A5">
            <w:pPr>
              <w:snapToGrid w:val="0"/>
              <w:rPr>
                <w:i/>
                <w:iCs/>
                <w:sz w:val="22"/>
                <w:szCs w:val="22"/>
              </w:rPr>
            </w:pPr>
          </w:p>
        </w:tc>
      </w:tr>
      <w:tr w:rsidR="001C08A5" w14:paraId="006954BD" w14:textId="77777777">
        <w:tc>
          <w:tcPr>
            <w:tcW w:w="0" w:type="auto"/>
            <w:vMerge/>
            <w:tcBorders>
              <w:top w:val="single" w:sz="4" w:space="0" w:color="000000"/>
              <w:left w:val="single" w:sz="8" w:space="0" w:color="000000"/>
              <w:bottom w:val="single" w:sz="8" w:space="0" w:color="000000"/>
            </w:tcBorders>
            <w:shd w:val="clear" w:color="auto" w:fill="auto"/>
          </w:tcPr>
          <w:p w14:paraId="72EFF11C"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8" w:space="0" w:color="000000"/>
            </w:tcBorders>
            <w:shd w:val="clear" w:color="auto" w:fill="auto"/>
          </w:tcPr>
          <w:p w14:paraId="7A01AF30"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8" w:space="0" w:color="000000"/>
            </w:tcBorders>
            <w:shd w:val="clear" w:color="auto" w:fill="auto"/>
          </w:tcPr>
          <w:p w14:paraId="2DAAB38F"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8" w:space="0" w:color="000000"/>
            </w:tcBorders>
            <w:shd w:val="clear" w:color="auto" w:fill="BFBFBF"/>
          </w:tcPr>
          <w:p w14:paraId="08B736D1" w14:textId="77777777" w:rsidR="001C08A5" w:rsidRDefault="00000000">
            <w:pPr>
              <w:jc w:val="center"/>
              <w:rPr>
                <w:b/>
                <w:i/>
                <w:iCs/>
                <w:sz w:val="22"/>
                <w:szCs w:val="22"/>
              </w:rPr>
            </w:pPr>
            <w:r>
              <w:rPr>
                <w:b/>
                <w:i/>
                <w:iCs/>
                <w:sz w:val="22"/>
                <w:szCs w:val="22"/>
              </w:rPr>
              <w:t>metri</w:t>
            </w:r>
          </w:p>
        </w:tc>
        <w:tc>
          <w:tcPr>
            <w:tcW w:w="0" w:type="auto"/>
            <w:tcBorders>
              <w:top w:val="single" w:sz="4" w:space="0" w:color="000000"/>
              <w:left w:val="single" w:sz="4" w:space="0" w:color="000000"/>
              <w:bottom w:val="single" w:sz="8" w:space="0" w:color="000000"/>
            </w:tcBorders>
            <w:shd w:val="clear" w:color="auto" w:fill="BFBFBF"/>
          </w:tcPr>
          <w:p w14:paraId="77BE9670" w14:textId="77777777" w:rsidR="001C08A5" w:rsidRDefault="00000000">
            <w:pPr>
              <w:jc w:val="center"/>
              <w:rPr>
                <w:i/>
                <w:iCs/>
                <w:sz w:val="22"/>
                <w:szCs w:val="22"/>
              </w:rPr>
            </w:pPr>
            <w:r>
              <w:rPr>
                <w:b/>
                <w:i/>
                <w:iCs/>
                <w:sz w:val="22"/>
                <w:szCs w:val="22"/>
              </w:rPr>
              <w:t>metri</w:t>
            </w:r>
          </w:p>
        </w:tc>
        <w:tc>
          <w:tcPr>
            <w:tcW w:w="0" w:type="auto"/>
            <w:vMerge/>
            <w:tcBorders>
              <w:top w:val="single" w:sz="4" w:space="0" w:color="000000"/>
              <w:left w:val="single" w:sz="4" w:space="0" w:color="000000"/>
              <w:bottom w:val="single" w:sz="8" w:space="0" w:color="000000"/>
              <w:right w:val="single" w:sz="8" w:space="0" w:color="000000"/>
            </w:tcBorders>
          </w:tcPr>
          <w:p w14:paraId="659E2E76" w14:textId="77777777" w:rsidR="001C08A5" w:rsidRDefault="001C08A5">
            <w:pPr>
              <w:snapToGrid w:val="0"/>
              <w:rPr>
                <w:i/>
                <w:iCs/>
                <w:sz w:val="22"/>
                <w:szCs w:val="22"/>
              </w:rPr>
            </w:pPr>
          </w:p>
        </w:tc>
      </w:tr>
      <w:tr w:rsidR="001C08A5" w14:paraId="7C75E2B9" w14:textId="77777777">
        <w:tc>
          <w:tcPr>
            <w:tcW w:w="0" w:type="auto"/>
            <w:vMerge w:val="restart"/>
            <w:tcBorders>
              <w:top w:val="single" w:sz="8" w:space="0" w:color="000000"/>
              <w:left w:val="single" w:sz="4" w:space="0" w:color="000000"/>
              <w:bottom w:val="single" w:sz="4" w:space="0" w:color="000000"/>
            </w:tcBorders>
          </w:tcPr>
          <w:p w14:paraId="63E49167" w14:textId="77777777" w:rsidR="001C08A5" w:rsidRDefault="001C08A5">
            <w:pPr>
              <w:snapToGrid w:val="0"/>
              <w:jc w:val="center"/>
              <w:rPr>
                <w:i/>
                <w:iCs/>
                <w:sz w:val="22"/>
                <w:szCs w:val="22"/>
              </w:rPr>
            </w:pPr>
          </w:p>
          <w:p w14:paraId="52AB05D8" w14:textId="77777777" w:rsidR="001C08A5" w:rsidRDefault="00000000">
            <w:pPr>
              <w:jc w:val="center"/>
              <w:rPr>
                <w:i/>
                <w:iCs/>
                <w:sz w:val="22"/>
                <w:szCs w:val="22"/>
              </w:rPr>
            </w:pPr>
            <w:r>
              <w:rPr>
                <w:i/>
                <w:iCs/>
                <w:sz w:val="22"/>
                <w:szCs w:val="22"/>
              </w:rPr>
              <w:t>1.</w:t>
            </w:r>
          </w:p>
        </w:tc>
        <w:tc>
          <w:tcPr>
            <w:tcW w:w="0" w:type="auto"/>
            <w:vMerge w:val="restart"/>
            <w:tcBorders>
              <w:top w:val="single" w:sz="8" w:space="0" w:color="000000"/>
              <w:left w:val="single" w:sz="4" w:space="0" w:color="000000"/>
              <w:bottom w:val="single" w:sz="4" w:space="0" w:color="000000"/>
            </w:tcBorders>
          </w:tcPr>
          <w:p w14:paraId="060C0724" w14:textId="77777777" w:rsidR="001C08A5" w:rsidRDefault="00000000">
            <w:pPr>
              <w:jc w:val="center"/>
              <w:rPr>
                <w:b/>
                <w:i/>
                <w:iCs/>
                <w:sz w:val="22"/>
                <w:szCs w:val="22"/>
              </w:rPr>
            </w:pPr>
            <w:r>
              <w:rPr>
                <w:i/>
                <w:iCs/>
                <w:sz w:val="22"/>
                <w:szCs w:val="22"/>
              </w:rPr>
              <w:t>Clădiri închise obişnuite pentru sport</w:t>
            </w:r>
          </w:p>
        </w:tc>
        <w:tc>
          <w:tcPr>
            <w:tcW w:w="0" w:type="auto"/>
            <w:tcBorders>
              <w:top w:val="single" w:sz="8" w:space="0" w:color="000000"/>
              <w:left w:val="single" w:sz="4" w:space="0" w:color="000000"/>
              <w:bottom w:val="single" w:sz="4" w:space="0" w:color="000000"/>
            </w:tcBorders>
          </w:tcPr>
          <w:p w14:paraId="167A9120" w14:textId="77777777" w:rsidR="001C08A5" w:rsidRDefault="00000000">
            <w:pPr>
              <w:jc w:val="center"/>
              <w:rPr>
                <w:i/>
                <w:iCs/>
                <w:sz w:val="22"/>
                <w:szCs w:val="22"/>
              </w:rPr>
            </w:pPr>
            <w:r>
              <w:rPr>
                <w:b/>
                <w:i/>
                <w:iCs/>
                <w:sz w:val="22"/>
                <w:szCs w:val="22"/>
              </w:rPr>
              <w:t>I şi II</w:t>
            </w:r>
          </w:p>
        </w:tc>
        <w:tc>
          <w:tcPr>
            <w:tcW w:w="0" w:type="auto"/>
            <w:tcBorders>
              <w:top w:val="single" w:sz="8" w:space="0" w:color="000000"/>
              <w:left w:val="single" w:sz="4" w:space="0" w:color="000000"/>
              <w:bottom w:val="single" w:sz="4" w:space="0" w:color="000000"/>
            </w:tcBorders>
          </w:tcPr>
          <w:p w14:paraId="771E3012" w14:textId="77777777" w:rsidR="001C08A5" w:rsidRDefault="00000000">
            <w:pPr>
              <w:jc w:val="center"/>
              <w:rPr>
                <w:b/>
                <w:bCs/>
                <w:i/>
                <w:iCs/>
                <w:sz w:val="22"/>
                <w:szCs w:val="22"/>
              </w:rPr>
            </w:pPr>
            <w:r>
              <w:rPr>
                <w:b/>
                <w:bCs/>
                <w:i/>
                <w:iCs/>
                <w:sz w:val="22"/>
                <w:szCs w:val="22"/>
              </w:rPr>
              <w:t>100</w:t>
            </w:r>
          </w:p>
        </w:tc>
        <w:tc>
          <w:tcPr>
            <w:tcW w:w="0" w:type="auto"/>
            <w:tcBorders>
              <w:top w:val="single" w:sz="8" w:space="0" w:color="000000"/>
              <w:left w:val="single" w:sz="4" w:space="0" w:color="000000"/>
              <w:bottom w:val="single" w:sz="4" w:space="0" w:color="000000"/>
            </w:tcBorders>
          </w:tcPr>
          <w:p w14:paraId="5C270C43" w14:textId="77777777" w:rsidR="001C08A5" w:rsidRDefault="00000000">
            <w:pPr>
              <w:jc w:val="center"/>
              <w:rPr>
                <w:b/>
                <w:bCs/>
                <w:i/>
                <w:iCs/>
                <w:sz w:val="22"/>
                <w:szCs w:val="22"/>
              </w:rPr>
            </w:pPr>
            <w:r>
              <w:rPr>
                <w:b/>
                <w:bCs/>
                <w:i/>
                <w:iCs/>
                <w:sz w:val="22"/>
                <w:szCs w:val="22"/>
              </w:rPr>
              <w:t>50</w:t>
            </w:r>
          </w:p>
        </w:tc>
        <w:tc>
          <w:tcPr>
            <w:tcW w:w="0" w:type="auto"/>
            <w:vMerge w:val="restart"/>
            <w:tcBorders>
              <w:top w:val="single" w:sz="8" w:space="0" w:color="000000"/>
              <w:left w:val="single" w:sz="4" w:space="0" w:color="000000"/>
              <w:bottom w:val="single" w:sz="4" w:space="0" w:color="000000"/>
              <w:right w:val="single" w:sz="4" w:space="0" w:color="000000"/>
            </w:tcBorders>
          </w:tcPr>
          <w:p w14:paraId="610E4B91" w14:textId="77777777" w:rsidR="001C08A5" w:rsidRDefault="00000000">
            <w:pPr>
              <w:jc w:val="center"/>
              <w:rPr>
                <w:i/>
                <w:iCs/>
                <w:sz w:val="22"/>
                <w:szCs w:val="22"/>
              </w:rPr>
            </w:pPr>
            <w:r>
              <w:rPr>
                <w:i/>
                <w:iCs/>
                <w:sz w:val="22"/>
                <w:szCs w:val="22"/>
              </w:rPr>
              <w:t>Pentru clădirile obişnuite de sport care se încadrează în categoria sălilor aglomerate, se respectă prevederile privind performanțele specifice acestora.</w:t>
            </w:r>
          </w:p>
        </w:tc>
      </w:tr>
      <w:tr w:rsidR="001C08A5" w14:paraId="0DFB0F6D" w14:textId="77777777">
        <w:tc>
          <w:tcPr>
            <w:tcW w:w="0" w:type="auto"/>
            <w:vMerge/>
            <w:tcBorders>
              <w:top w:val="single" w:sz="4" w:space="0" w:color="000000"/>
              <w:left w:val="single" w:sz="4" w:space="0" w:color="000000"/>
              <w:bottom w:val="single" w:sz="4" w:space="0" w:color="000000"/>
            </w:tcBorders>
          </w:tcPr>
          <w:p w14:paraId="5187C65F"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tcPr>
          <w:p w14:paraId="60D20B64"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4" w:space="0" w:color="000000"/>
            </w:tcBorders>
          </w:tcPr>
          <w:p w14:paraId="750BF635" w14:textId="77777777" w:rsidR="001C08A5" w:rsidRDefault="00000000">
            <w:pPr>
              <w:jc w:val="center"/>
              <w:rPr>
                <w:i/>
                <w:iCs/>
                <w:sz w:val="22"/>
                <w:szCs w:val="22"/>
              </w:rPr>
            </w:pPr>
            <w:r>
              <w:rPr>
                <w:b/>
                <w:i/>
                <w:iCs/>
                <w:sz w:val="22"/>
                <w:szCs w:val="22"/>
              </w:rPr>
              <w:t>III</w:t>
            </w:r>
          </w:p>
        </w:tc>
        <w:tc>
          <w:tcPr>
            <w:tcW w:w="0" w:type="auto"/>
            <w:tcBorders>
              <w:top w:val="single" w:sz="4" w:space="0" w:color="000000"/>
              <w:left w:val="single" w:sz="4" w:space="0" w:color="000000"/>
              <w:bottom w:val="single" w:sz="4" w:space="0" w:color="000000"/>
            </w:tcBorders>
          </w:tcPr>
          <w:p w14:paraId="66F14B42" w14:textId="77777777" w:rsidR="001C08A5" w:rsidRDefault="00000000">
            <w:pPr>
              <w:jc w:val="center"/>
              <w:rPr>
                <w:b/>
                <w:bCs/>
                <w:i/>
                <w:iCs/>
                <w:sz w:val="22"/>
                <w:szCs w:val="22"/>
              </w:rPr>
            </w:pPr>
            <w:r>
              <w:rPr>
                <w:b/>
                <w:bCs/>
                <w:i/>
                <w:iCs/>
                <w:sz w:val="22"/>
                <w:szCs w:val="22"/>
              </w:rPr>
              <w:t>75</w:t>
            </w:r>
          </w:p>
        </w:tc>
        <w:tc>
          <w:tcPr>
            <w:tcW w:w="0" w:type="auto"/>
            <w:tcBorders>
              <w:top w:val="single" w:sz="4" w:space="0" w:color="000000"/>
              <w:left w:val="single" w:sz="4" w:space="0" w:color="000000"/>
              <w:bottom w:val="single" w:sz="4" w:space="0" w:color="000000"/>
            </w:tcBorders>
          </w:tcPr>
          <w:p w14:paraId="51E1147E" w14:textId="77777777" w:rsidR="001C08A5" w:rsidRDefault="00000000">
            <w:pPr>
              <w:jc w:val="center"/>
              <w:rPr>
                <w:b/>
                <w:bCs/>
                <w:i/>
                <w:iCs/>
                <w:sz w:val="22"/>
                <w:szCs w:val="22"/>
              </w:rPr>
            </w:pPr>
            <w:r>
              <w:rPr>
                <w:b/>
                <w:bCs/>
                <w:i/>
                <w:iCs/>
                <w:sz w:val="22"/>
                <w:szCs w:val="22"/>
              </w:rPr>
              <w:t>30</w:t>
            </w:r>
          </w:p>
        </w:tc>
        <w:tc>
          <w:tcPr>
            <w:tcW w:w="0" w:type="auto"/>
            <w:vMerge/>
            <w:tcBorders>
              <w:top w:val="single" w:sz="4" w:space="0" w:color="000000"/>
              <w:left w:val="single" w:sz="4" w:space="0" w:color="000000"/>
              <w:bottom w:val="single" w:sz="4" w:space="0" w:color="000000"/>
              <w:right w:val="single" w:sz="4" w:space="0" w:color="000000"/>
            </w:tcBorders>
          </w:tcPr>
          <w:p w14:paraId="42DC06BB" w14:textId="77777777" w:rsidR="001C08A5" w:rsidRDefault="001C08A5">
            <w:pPr>
              <w:snapToGrid w:val="0"/>
              <w:rPr>
                <w:i/>
                <w:iCs/>
                <w:sz w:val="22"/>
                <w:szCs w:val="22"/>
              </w:rPr>
            </w:pPr>
          </w:p>
        </w:tc>
      </w:tr>
      <w:tr w:rsidR="001C08A5" w14:paraId="0BC21C54" w14:textId="77777777">
        <w:tc>
          <w:tcPr>
            <w:tcW w:w="0" w:type="auto"/>
            <w:vMerge/>
            <w:tcBorders>
              <w:top w:val="single" w:sz="4" w:space="0" w:color="000000"/>
              <w:left w:val="single" w:sz="4" w:space="0" w:color="000000"/>
              <w:bottom w:val="single" w:sz="4" w:space="0" w:color="000000"/>
            </w:tcBorders>
          </w:tcPr>
          <w:p w14:paraId="738B73C1"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tcPr>
          <w:p w14:paraId="47E4A4EE"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4" w:space="0" w:color="000000"/>
            </w:tcBorders>
          </w:tcPr>
          <w:p w14:paraId="29981501" w14:textId="77777777" w:rsidR="001C08A5" w:rsidRDefault="00000000">
            <w:pPr>
              <w:jc w:val="center"/>
              <w:rPr>
                <w:i/>
                <w:iCs/>
                <w:sz w:val="22"/>
                <w:szCs w:val="22"/>
              </w:rPr>
            </w:pPr>
            <w:r>
              <w:rPr>
                <w:b/>
                <w:i/>
                <w:iCs/>
                <w:sz w:val="22"/>
                <w:szCs w:val="22"/>
              </w:rPr>
              <w:t>IV</w:t>
            </w:r>
          </w:p>
        </w:tc>
        <w:tc>
          <w:tcPr>
            <w:tcW w:w="0" w:type="auto"/>
            <w:tcBorders>
              <w:top w:val="single" w:sz="4" w:space="0" w:color="000000"/>
              <w:left w:val="single" w:sz="4" w:space="0" w:color="000000"/>
              <w:bottom w:val="single" w:sz="4" w:space="0" w:color="000000"/>
            </w:tcBorders>
          </w:tcPr>
          <w:p w14:paraId="4A6A9956" w14:textId="77777777" w:rsidR="001C08A5" w:rsidRDefault="00000000">
            <w:pPr>
              <w:jc w:val="center"/>
              <w:rPr>
                <w:b/>
                <w:bCs/>
                <w:i/>
                <w:iCs/>
                <w:sz w:val="22"/>
                <w:szCs w:val="22"/>
              </w:rPr>
            </w:pPr>
            <w:r>
              <w:rPr>
                <w:b/>
                <w:bCs/>
                <w:i/>
                <w:iCs/>
                <w:sz w:val="22"/>
                <w:szCs w:val="22"/>
              </w:rPr>
              <w:t>50</w:t>
            </w:r>
          </w:p>
        </w:tc>
        <w:tc>
          <w:tcPr>
            <w:tcW w:w="0" w:type="auto"/>
            <w:tcBorders>
              <w:top w:val="single" w:sz="4" w:space="0" w:color="000000"/>
              <w:left w:val="single" w:sz="4" w:space="0" w:color="000000"/>
              <w:bottom w:val="single" w:sz="4" w:space="0" w:color="000000"/>
            </w:tcBorders>
          </w:tcPr>
          <w:p w14:paraId="76894724" w14:textId="77777777" w:rsidR="001C08A5" w:rsidRDefault="00000000">
            <w:pPr>
              <w:jc w:val="center"/>
              <w:rPr>
                <w:b/>
                <w:bCs/>
                <w:i/>
                <w:iCs/>
                <w:sz w:val="22"/>
                <w:szCs w:val="22"/>
              </w:rPr>
            </w:pPr>
            <w:r>
              <w:rPr>
                <w:b/>
                <w:bCs/>
                <w:i/>
                <w:iCs/>
                <w:sz w:val="22"/>
                <w:szCs w:val="22"/>
              </w:rPr>
              <w:t>25</w:t>
            </w:r>
          </w:p>
        </w:tc>
        <w:tc>
          <w:tcPr>
            <w:tcW w:w="0" w:type="auto"/>
            <w:vMerge/>
            <w:tcBorders>
              <w:top w:val="single" w:sz="4" w:space="0" w:color="000000"/>
              <w:left w:val="single" w:sz="4" w:space="0" w:color="000000"/>
              <w:bottom w:val="single" w:sz="4" w:space="0" w:color="000000"/>
              <w:right w:val="single" w:sz="4" w:space="0" w:color="000000"/>
            </w:tcBorders>
          </w:tcPr>
          <w:p w14:paraId="0B7B1430" w14:textId="77777777" w:rsidR="001C08A5" w:rsidRDefault="001C08A5">
            <w:pPr>
              <w:snapToGrid w:val="0"/>
              <w:rPr>
                <w:i/>
                <w:iCs/>
                <w:sz w:val="22"/>
                <w:szCs w:val="22"/>
              </w:rPr>
            </w:pPr>
          </w:p>
        </w:tc>
      </w:tr>
      <w:tr w:rsidR="001C08A5" w14:paraId="68344F05" w14:textId="77777777">
        <w:tc>
          <w:tcPr>
            <w:tcW w:w="0" w:type="auto"/>
            <w:vMerge/>
            <w:tcBorders>
              <w:top w:val="single" w:sz="4" w:space="0" w:color="000000"/>
              <w:left w:val="single" w:sz="4" w:space="0" w:color="000000"/>
              <w:bottom w:val="single" w:sz="4" w:space="0" w:color="000000"/>
            </w:tcBorders>
          </w:tcPr>
          <w:p w14:paraId="30C58068" w14:textId="77777777" w:rsidR="001C08A5" w:rsidRDefault="001C08A5">
            <w:pPr>
              <w:snapToGrid w:val="0"/>
              <w:jc w:val="center"/>
              <w:rPr>
                <w:i/>
                <w:iCs/>
                <w:sz w:val="22"/>
                <w:szCs w:val="22"/>
              </w:rPr>
            </w:pPr>
          </w:p>
        </w:tc>
        <w:tc>
          <w:tcPr>
            <w:tcW w:w="0" w:type="auto"/>
            <w:vMerge/>
            <w:tcBorders>
              <w:top w:val="single" w:sz="4" w:space="0" w:color="000000"/>
              <w:left w:val="single" w:sz="4" w:space="0" w:color="000000"/>
              <w:bottom w:val="single" w:sz="4" w:space="0" w:color="000000"/>
            </w:tcBorders>
          </w:tcPr>
          <w:p w14:paraId="23DBF0F9" w14:textId="77777777" w:rsidR="001C08A5" w:rsidRDefault="001C08A5">
            <w:pPr>
              <w:snapToGrid w:val="0"/>
              <w:jc w:val="center"/>
              <w:rPr>
                <w:i/>
                <w:iCs/>
                <w:sz w:val="22"/>
                <w:szCs w:val="22"/>
              </w:rPr>
            </w:pPr>
          </w:p>
        </w:tc>
        <w:tc>
          <w:tcPr>
            <w:tcW w:w="0" w:type="auto"/>
            <w:tcBorders>
              <w:top w:val="single" w:sz="4" w:space="0" w:color="000000"/>
              <w:left w:val="single" w:sz="4" w:space="0" w:color="000000"/>
              <w:bottom w:val="single" w:sz="4" w:space="0" w:color="000000"/>
            </w:tcBorders>
          </w:tcPr>
          <w:p w14:paraId="47B8361B" w14:textId="77777777" w:rsidR="001C08A5" w:rsidRDefault="00000000">
            <w:pPr>
              <w:jc w:val="center"/>
              <w:rPr>
                <w:i/>
                <w:iCs/>
                <w:sz w:val="22"/>
                <w:szCs w:val="22"/>
              </w:rPr>
            </w:pPr>
            <w:r>
              <w:rPr>
                <w:b/>
                <w:i/>
                <w:iCs/>
                <w:sz w:val="22"/>
                <w:szCs w:val="22"/>
              </w:rPr>
              <w:t>V</w:t>
            </w:r>
          </w:p>
        </w:tc>
        <w:tc>
          <w:tcPr>
            <w:tcW w:w="0" w:type="auto"/>
            <w:tcBorders>
              <w:top w:val="single" w:sz="4" w:space="0" w:color="000000"/>
              <w:left w:val="single" w:sz="4" w:space="0" w:color="000000"/>
              <w:bottom w:val="single" w:sz="4" w:space="0" w:color="000000"/>
            </w:tcBorders>
          </w:tcPr>
          <w:p w14:paraId="010085C0" w14:textId="77777777" w:rsidR="001C08A5" w:rsidRDefault="00000000">
            <w:pPr>
              <w:jc w:val="center"/>
              <w:rPr>
                <w:b/>
                <w:bCs/>
                <w:i/>
                <w:iCs/>
                <w:sz w:val="22"/>
                <w:szCs w:val="22"/>
              </w:rPr>
            </w:pPr>
            <w:r>
              <w:rPr>
                <w:b/>
                <w:bCs/>
                <w:i/>
                <w:iCs/>
                <w:sz w:val="22"/>
                <w:szCs w:val="22"/>
              </w:rPr>
              <w:t>25</w:t>
            </w:r>
          </w:p>
        </w:tc>
        <w:tc>
          <w:tcPr>
            <w:tcW w:w="0" w:type="auto"/>
            <w:tcBorders>
              <w:top w:val="single" w:sz="4" w:space="0" w:color="000000"/>
              <w:left w:val="single" w:sz="4" w:space="0" w:color="000000"/>
              <w:bottom w:val="single" w:sz="4" w:space="0" w:color="000000"/>
            </w:tcBorders>
          </w:tcPr>
          <w:p w14:paraId="0C17C55C" w14:textId="77777777" w:rsidR="001C08A5" w:rsidRDefault="00000000">
            <w:pPr>
              <w:jc w:val="center"/>
              <w:rPr>
                <w:b/>
                <w:bCs/>
                <w:i/>
                <w:iCs/>
                <w:sz w:val="22"/>
                <w:szCs w:val="22"/>
              </w:rPr>
            </w:pPr>
            <w:r>
              <w:rPr>
                <w:b/>
                <w:bCs/>
                <w:i/>
                <w:iCs/>
                <w:sz w:val="22"/>
                <w:szCs w:val="22"/>
              </w:rPr>
              <w:t>15</w:t>
            </w:r>
          </w:p>
        </w:tc>
        <w:tc>
          <w:tcPr>
            <w:tcW w:w="0" w:type="auto"/>
            <w:vMerge/>
            <w:tcBorders>
              <w:top w:val="single" w:sz="4" w:space="0" w:color="000000"/>
              <w:left w:val="single" w:sz="4" w:space="0" w:color="000000"/>
              <w:bottom w:val="single" w:sz="4" w:space="0" w:color="000000"/>
              <w:right w:val="single" w:sz="4" w:space="0" w:color="000000"/>
            </w:tcBorders>
          </w:tcPr>
          <w:p w14:paraId="06FB0D27" w14:textId="77777777" w:rsidR="001C08A5" w:rsidRDefault="001C08A5">
            <w:pPr>
              <w:snapToGrid w:val="0"/>
              <w:rPr>
                <w:i/>
                <w:iCs/>
                <w:sz w:val="22"/>
                <w:szCs w:val="22"/>
              </w:rPr>
            </w:pPr>
          </w:p>
        </w:tc>
      </w:tr>
    </w:tbl>
    <w:p w14:paraId="39C85DB4" w14:textId="77777777" w:rsidR="001C08A5" w:rsidRDefault="00000000">
      <w:pPr>
        <w:jc w:val="both"/>
        <w:rPr>
          <w:i/>
          <w:sz w:val="22"/>
          <w:szCs w:val="22"/>
        </w:rPr>
      </w:pPr>
      <w:r>
        <w:rPr>
          <w:i/>
          <w:sz w:val="22"/>
          <w:szCs w:val="22"/>
        </w:rPr>
        <w:t xml:space="preserve">Notă: </w:t>
      </w:r>
    </w:p>
    <w:p w14:paraId="56BF8D51" w14:textId="77777777" w:rsidR="001C08A5" w:rsidRDefault="00000000">
      <w:pPr>
        <w:jc w:val="both"/>
        <w:rPr>
          <w:b/>
          <w:i/>
          <w:sz w:val="22"/>
          <w:szCs w:val="22"/>
        </w:rPr>
      </w:pPr>
      <w:r>
        <w:rPr>
          <w:i/>
          <w:sz w:val="22"/>
          <w:szCs w:val="22"/>
        </w:rPr>
        <w:t xml:space="preserve">La construcţiile care nu sunt săli aglomerate, clădiri înalte sau clădiri foarte înalte, dar sunt echipate cu instalaţii de detectare, semnalizare şi alarmare a incendiului cu acoperire totală, instalaţii automate de stingere a incendiilor </w:t>
      </w:r>
      <w:r>
        <w:rPr>
          <w:bCs/>
          <w:i/>
          <w:sz w:val="22"/>
          <w:szCs w:val="22"/>
        </w:rPr>
        <w:t xml:space="preserve">şi sisteme de evacuare a fumului, </w:t>
      </w:r>
      <w:r>
        <w:rPr>
          <w:i/>
          <w:sz w:val="22"/>
          <w:szCs w:val="22"/>
        </w:rPr>
        <w:t xml:space="preserve">lungimile normate de evacuare a utilizatorilor </w:t>
      </w:r>
      <w:r>
        <w:rPr>
          <w:bCs/>
          <w:i/>
          <w:sz w:val="22"/>
          <w:szCs w:val="22"/>
        </w:rPr>
        <w:t>din circulațiile comune orizontale, holuri și coridoare, și case de scări</w:t>
      </w:r>
      <w:r>
        <w:rPr>
          <w:i/>
          <w:sz w:val="22"/>
          <w:szCs w:val="22"/>
        </w:rPr>
        <w:t xml:space="preserve"> se pot majora cu </w:t>
      </w:r>
      <w:r>
        <w:rPr>
          <w:b/>
          <w:bCs/>
          <w:i/>
          <w:sz w:val="22"/>
          <w:szCs w:val="22"/>
        </w:rPr>
        <w:t>25%</w:t>
      </w:r>
      <w:r>
        <w:rPr>
          <w:i/>
          <w:sz w:val="22"/>
          <w:szCs w:val="22"/>
        </w:rPr>
        <w:t>.</w:t>
      </w:r>
    </w:p>
    <w:p w14:paraId="0D9D4ED8" w14:textId="77777777" w:rsidR="001C08A5" w:rsidRDefault="00000000">
      <w:pPr>
        <w:jc w:val="both"/>
        <w:rPr>
          <w:b/>
          <w:sz w:val="24"/>
          <w:szCs w:val="24"/>
        </w:rPr>
      </w:pPr>
      <w:r>
        <w:rPr>
          <w:sz w:val="24"/>
          <w:szCs w:val="24"/>
        </w:rPr>
        <w:tab/>
      </w:r>
      <w:r>
        <w:rPr>
          <w:b/>
          <w:sz w:val="24"/>
          <w:szCs w:val="24"/>
        </w:rPr>
        <w:tab/>
      </w:r>
    </w:p>
    <w:p w14:paraId="66E675F4" w14:textId="77777777" w:rsidR="001C08A5" w:rsidRDefault="00000000">
      <w:pPr>
        <w:jc w:val="both"/>
        <w:rPr>
          <w:sz w:val="24"/>
          <w:szCs w:val="24"/>
        </w:rPr>
      </w:pPr>
      <w:r>
        <w:rPr>
          <w:b/>
          <w:sz w:val="24"/>
          <w:szCs w:val="24"/>
        </w:rPr>
        <w:tab/>
        <w:t xml:space="preserve">Art. </w:t>
      </w:r>
      <w:r>
        <w:rPr>
          <w:b/>
          <w:bCs/>
          <w:sz w:val="24"/>
          <w:szCs w:val="24"/>
        </w:rPr>
        <w:t>3.2.9.</w:t>
      </w:r>
      <w:r>
        <w:rPr>
          <w:b/>
          <w:sz w:val="24"/>
          <w:szCs w:val="24"/>
        </w:rPr>
        <w:t xml:space="preserve">7. </w:t>
      </w:r>
      <w:r>
        <w:rPr>
          <w:sz w:val="24"/>
          <w:szCs w:val="24"/>
        </w:rPr>
        <w:t xml:space="preserve">Clădirile </w:t>
      </w:r>
      <w:r>
        <w:rPr>
          <w:bCs/>
          <w:sz w:val="24"/>
          <w:szCs w:val="24"/>
        </w:rPr>
        <w:t xml:space="preserve">de sport </w:t>
      </w:r>
      <w:r>
        <w:rPr>
          <w:sz w:val="24"/>
          <w:szCs w:val="24"/>
        </w:rPr>
        <w:t xml:space="preserve">supraterane cu înălţimi obişnuite vor avea asigurate căi de acces şi intervenţie a autospecialelor de stingere în caz de incendiu, cel puţin </w:t>
      </w:r>
      <w:r>
        <w:rPr>
          <w:bCs/>
          <w:sz w:val="24"/>
          <w:szCs w:val="24"/>
        </w:rPr>
        <w:t>integral pe două (</w:t>
      </w:r>
      <w:r>
        <w:rPr>
          <w:b/>
          <w:sz w:val="24"/>
          <w:szCs w:val="24"/>
        </w:rPr>
        <w:t>2</w:t>
      </w:r>
      <w:r>
        <w:rPr>
          <w:bCs/>
          <w:sz w:val="24"/>
          <w:szCs w:val="24"/>
        </w:rPr>
        <w:t xml:space="preserve">) laturi alăturate </w:t>
      </w:r>
      <w:r>
        <w:rPr>
          <w:rFonts w:eastAsia="Times-Roman"/>
          <w:sz w:val="24"/>
          <w:szCs w:val="24"/>
        </w:rPr>
        <w:t xml:space="preserve">şi, totodată, cel puţin pe </w:t>
      </w:r>
      <w:r>
        <w:rPr>
          <w:rFonts w:eastAsia="Times-Roman"/>
          <w:b/>
          <w:bCs/>
          <w:sz w:val="24"/>
          <w:szCs w:val="24"/>
        </w:rPr>
        <w:t>50%</w:t>
      </w:r>
      <w:r>
        <w:rPr>
          <w:rFonts w:eastAsia="Times-Roman"/>
          <w:sz w:val="24"/>
          <w:szCs w:val="24"/>
        </w:rPr>
        <w:t xml:space="preserve"> din perimetrul pereților exteriori</w:t>
      </w:r>
    </w:p>
    <w:p w14:paraId="32480867" w14:textId="77777777" w:rsidR="001C08A5" w:rsidRDefault="00000000">
      <w:pPr>
        <w:ind w:firstLine="720"/>
        <w:jc w:val="both"/>
        <w:rPr>
          <w:sz w:val="24"/>
          <w:szCs w:val="24"/>
        </w:rPr>
      </w:pPr>
      <w:r>
        <w:rPr>
          <w:b/>
          <w:sz w:val="24"/>
          <w:szCs w:val="24"/>
        </w:rPr>
        <w:t xml:space="preserve">(2) </w:t>
      </w:r>
      <w:r>
        <w:rPr>
          <w:bCs/>
          <w:sz w:val="24"/>
          <w:szCs w:val="24"/>
        </w:rPr>
        <w:t>În</w:t>
      </w:r>
      <w:r>
        <w:rPr>
          <w:sz w:val="24"/>
          <w:szCs w:val="24"/>
        </w:rPr>
        <w:t xml:space="preserve">conformitate cu capacitatea maximă simultană a clădirii </w:t>
      </w:r>
      <w:r>
        <w:rPr>
          <w:bCs/>
          <w:sz w:val="24"/>
          <w:szCs w:val="24"/>
        </w:rPr>
        <w:t>de sport</w:t>
      </w:r>
      <w:r>
        <w:rPr>
          <w:sz w:val="24"/>
          <w:szCs w:val="24"/>
        </w:rPr>
        <w:t xml:space="preserv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(2) </w:t>
      </w:r>
      <w:r>
        <w:rPr>
          <w:bCs/>
          <w:sz w:val="24"/>
          <w:szCs w:val="24"/>
        </w:rPr>
        <w:t>și</w:t>
      </w:r>
      <w:r>
        <w:rPr>
          <w:b/>
          <w:sz w:val="24"/>
          <w:szCs w:val="24"/>
        </w:rPr>
        <w:t xml:space="preserve"> (3). </w:t>
      </w:r>
    </w:p>
    <w:p w14:paraId="10772D70" w14:textId="77777777" w:rsidR="001C08A5" w:rsidRDefault="00000000">
      <w:pPr>
        <w:pStyle w:val="Heading4"/>
      </w:pPr>
      <w:bookmarkStart w:id="3984" w:name="_Toc16596"/>
      <w:bookmarkStart w:id="3985" w:name="_Toc24693"/>
      <w:bookmarkStart w:id="3986" w:name="_Toc12403"/>
      <w:bookmarkStart w:id="3987" w:name="_Toc9507"/>
      <w:bookmarkStart w:id="3988" w:name="_Toc162355298"/>
      <w:bookmarkStart w:id="3989" w:name="_Toc2703"/>
      <w:bookmarkStart w:id="3990" w:name="_Toc23221"/>
      <w:bookmarkStart w:id="3991" w:name="_Toc25368"/>
      <w:r>
        <w:t>3.2.10. Construcţii civile supraterane, montane sau din Delta Dunării, amplasate izolat</w:t>
      </w:r>
      <w:bookmarkEnd w:id="3984"/>
      <w:bookmarkEnd w:id="3985"/>
      <w:bookmarkEnd w:id="3986"/>
      <w:bookmarkEnd w:id="3987"/>
      <w:bookmarkEnd w:id="3988"/>
      <w:bookmarkEnd w:id="3989"/>
      <w:bookmarkEnd w:id="3990"/>
      <w:bookmarkEnd w:id="3991"/>
    </w:p>
    <w:p w14:paraId="4716E93E" w14:textId="77777777" w:rsidR="001C08A5" w:rsidRDefault="001C08A5">
      <w:pPr>
        <w:jc w:val="both"/>
        <w:rPr>
          <w:sz w:val="24"/>
          <w:szCs w:val="24"/>
        </w:rPr>
      </w:pPr>
    </w:p>
    <w:p w14:paraId="54FEDB45" w14:textId="77777777" w:rsidR="001C08A5" w:rsidRDefault="00000000">
      <w:pPr>
        <w:jc w:val="both"/>
        <w:rPr>
          <w:sz w:val="24"/>
          <w:szCs w:val="24"/>
        </w:rPr>
      </w:pPr>
      <w:r>
        <w:rPr>
          <w:b/>
          <w:sz w:val="24"/>
          <w:szCs w:val="24"/>
        </w:rPr>
        <w:tab/>
        <w:t xml:space="preserve">Art. </w:t>
      </w:r>
      <w:r>
        <w:rPr>
          <w:b/>
          <w:bCs/>
          <w:sz w:val="24"/>
          <w:szCs w:val="24"/>
        </w:rPr>
        <w:t>3.2.10.</w:t>
      </w:r>
      <w:r>
        <w:rPr>
          <w:b/>
          <w:sz w:val="24"/>
          <w:szCs w:val="24"/>
        </w:rPr>
        <w:t xml:space="preserve">1. </w:t>
      </w:r>
      <w:r>
        <w:rPr>
          <w:sz w:val="24"/>
          <w:szCs w:val="24"/>
        </w:rPr>
        <w:t>Construcţiile civile supraterane cu înălţimi obişnuite, montane</w:t>
      </w:r>
      <w:r>
        <w:rPr>
          <w:bCs/>
          <w:sz w:val="24"/>
          <w:szCs w:val="24"/>
        </w:rPr>
        <w:t xml:space="preserve"> sau din Delta Dunării,</w:t>
      </w:r>
      <w:r>
        <w:rPr>
          <w:sz w:val="24"/>
          <w:szCs w:val="24"/>
        </w:rPr>
        <w:t xml:space="preserve"> amplasate izolat, în afara zonelor construite ale localităţilor (cabane, refugii, hoteluri, moteluri, pensiuni, sanatorii etc.), se conformează astfel încât să îndeplinească condiţiile de corelare între destinaţie, nivelul de stabilitate la incendiu asigurat, aria construită (</w:t>
      </w:r>
      <w:r>
        <w:rPr>
          <w:b/>
          <w:sz w:val="24"/>
          <w:szCs w:val="24"/>
        </w:rPr>
        <w:t>Ac</w:t>
      </w:r>
      <w:r>
        <w:rPr>
          <w:sz w:val="24"/>
          <w:szCs w:val="24"/>
        </w:rPr>
        <w:t xml:space="preserve">) şi numărul de niveluri, conform prevederilor din </w:t>
      </w:r>
      <w:r>
        <w:rPr>
          <w:b/>
          <w:sz w:val="24"/>
          <w:szCs w:val="24"/>
        </w:rPr>
        <w:t xml:space="preserve">Art. </w:t>
      </w:r>
      <w:r>
        <w:rPr>
          <w:b/>
          <w:caps/>
          <w:sz w:val="24"/>
          <w:szCs w:val="24"/>
        </w:rPr>
        <w:t>3.1.2.</w:t>
      </w:r>
      <w:r>
        <w:rPr>
          <w:b/>
          <w:sz w:val="24"/>
          <w:szCs w:val="24"/>
        </w:rPr>
        <w:t>6.</w:t>
      </w:r>
      <w:r>
        <w:rPr>
          <w:sz w:val="24"/>
          <w:szCs w:val="24"/>
        </w:rPr>
        <w:t>,</w:t>
      </w:r>
      <w:r>
        <w:rPr>
          <w:b/>
          <w:sz w:val="24"/>
          <w:szCs w:val="24"/>
        </w:rPr>
        <w:t xml:space="preserve"> Art. </w:t>
      </w:r>
      <w:r>
        <w:rPr>
          <w:b/>
          <w:caps/>
          <w:sz w:val="24"/>
          <w:szCs w:val="24"/>
        </w:rPr>
        <w:t>3.1.2.</w:t>
      </w:r>
      <w:r>
        <w:rPr>
          <w:b/>
          <w:sz w:val="24"/>
          <w:szCs w:val="24"/>
        </w:rPr>
        <w:t xml:space="preserve">7. </w:t>
      </w:r>
      <w:r>
        <w:rPr>
          <w:sz w:val="24"/>
          <w:szCs w:val="24"/>
        </w:rPr>
        <w:t xml:space="preserve">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 xml:space="preserve"> și</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sz w:val="24"/>
          <w:szCs w:val="24"/>
        </w:rPr>
        <w:t>.</w:t>
      </w:r>
    </w:p>
    <w:p w14:paraId="502EC78C" w14:textId="77777777" w:rsidR="001C08A5" w:rsidRDefault="001C08A5">
      <w:pPr>
        <w:jc w:val="both"/>
        <w:rPr>
          <w:b/>
          <w:sz w:val="24"/>
          <w:szCs w:val="24"/>
        </w:rPr>
      </w:pPr>
    </w:p>
    <w:p w14:paraId="2DAA2BC3" w14:textId="77777777" w:rsidR="001C08A5" w:rsidRDefault="00000000">
      <w:pPr>
        <w:ind w:firstLine="720"/>
        <w:jc w:val="both"/>
        <w:rPr>
          <w:b/>
          <w:sz w:val="24"/>
          <w:szCs w:val="24"/>
        </w:rPr>
      </w:pPr>
      <w:r>
        <w:rPr>
          <w:b/>
          <w:sz w:val="24"/>
          <w:szCs w:val="24"/>
        </w:rPr>
        <w:t xml:space="preserve">Art. </w:t>
      </w:r>
      <w:r>
        <w:rPr>
          <w:b/>
          <w:bCs/>
          <w:sz w:val="24"/>
          <w:szCs w:val="24"/>
        </w:rPr>
        <w:t>3.2.10.</w:t>
      </w:r>
      <w:r>
        <w:rPr>
          <w:b/>
          <w:sz w:val="24"/>
          <w:szCs w:val="24"/>
        </w:rPr>
        <w:t xml:space="preserve">2. </w:t>
      </w:r>
      <w:r>
        <w:rPr>
          <w:sz w:val="24"/>
          <w:szCs w:val="24"/>
        </w:rPr>
        <w:t xml:space="preserve">La construcţiile civile supraterane cu înălţimi obişnuite montane sau din Delta Dunării, amplasate izolat, se asigură limitarea propagării uşoare a incendiilor la și de la vecinătăţile din incintă prin respectarea distanţelor de siguranţă normate și distanţe de cel puţin </w:t>
      </w:r>
      <w:r>
        <w:rPr>
          <w:b/>
          <w:sz w:val="24"/>
          <w:szCs w:val="24"/>
        </w:rPr>
        <w:t>5 ori</w:t>
      </w:r>
      <w:r>
        <w:rPr>
          <w:sz w:val="24"/>
          <w:szCs w:val="24"/>
        </w:rPr>
        <w:t xml:space="preserve"> înălţimea clădirii celei mai înalte faţă de vecinătăţile (clădiri, instalaţii, masive împădurite, stuf etc.) din afara incintei.</w:t>
      </w:r>
    </w:p>
    <w:p w14:paraId="745DB2E0" w14:textId="77777777" w:rsidR="001C08A5" w:rsidRDefault="001C08A5">
      <w:pPr>
        <w:ind w:firstLine="720"/>
        <w:jc w:val="both"/>
        <w:rPr>
          <w:b/>
          <w:sz w:val="24"/>
          <w:szCs w:val="24"/>
        </w:rPr>
      </w:pPr>
    </w:p>
    <w:p w14:paraId="49A42FD0" w14:textId="77777777" w:rsidR="001C08A5" w:rsidRDefault="00000000">
      <w:pPr>
        <w:ind w:firstLine="720"/>
        <w:jc w:val="both"/>
        <w:rPr>
          <w:sz w:val="24"/>
          <w:szCs w:val="24"/>
        </w:rPr>
      </w:pPr>
      <w:r>
        <w:rPr>
          <w:b/>
          <w:sz w:val="24"/>
          <w:szCs w:val="24"/>
        </w:rPr>
        <w:t xml:space="preserve">Art. </w:t>
      </w:r>
      <w:r>
        <w:rPr>
          <w:b/>
          <w:bCs/>
          <w:sz w:val="24"/>
          <w:szCs w:val="24"/>
        </w:rPr>
        <w:t>3.2.10.</w:t>
      </w:r>
      <w:r>
        <w:rPr>
          <w:b/>
          <w:sz w:val="24"/>
          <w:szCs w:val="24"/>
        </w:rPr>
        <w:t xml:space="preserve">3. (1) </w:t>
      </w:r>
      <w:r>
        <w:rPr>
          <w:sz w:val="24"/>
          <w:szCs w:val="24"/>
        </w:rPr>
        <w:t xml:space="preserve">Spaţiile tehnice anexă ale construcţiilor montane sau din Delta Dunării, amplasate izolat (centrale termice, grupuri electrogene, staţii de pompare etc., inclusiv depozitele de materiale sau substanţe combustibile), se recomandă să fie amplasate independent. </w:t>
      </w:r>
    </w:p>
    <w:p w14:paraId="3ACB22E4" w14:textId="77777777" w:rsidR="001C08A5" w:rsidRDefault="00000000">
      <w:pPr>
        <w:ind w:firstLine="720"/>
        <w:jc w:val="both"/>
        <w:rPr>
          <w:sz w:val="24"/>
          <w:szCs w:val="24"/>
        </w:rPr>
      </w:pPr>
      <w:r>
        <w:rPr>
          <w:b/>
          <w:sz w:val="24"/>
          <w:szCs w:val="24"/>
        </w:rPr>
        <w:t xml:space="preserve">(2) </w:t>
      </w:r>
      <w:r>
        <w:rPr>
          <w:sz w:val="24"/>
          <w:szCs w:val="24"/>
        </w:rPr>
        <w:t>Spaţiile tehnice anexă ale construcţiilor montane sau din Delta Dunării, amplasate izolat se separă corespunzător densităţii sarcinii termice (</w:t>
      </w:r>
      <w:r>
        <w:rPr>
          <w:b/>
          <w:bCs/>
          <w:sz w:val="24"/>
          <w:szCs w:val="24"/>
        </w:rPr>
        <w:t>q</w:t>
      </w:r>
      <w:r>
        <w:rPr>
          <w:sz w:val="24"/>
          <w:szCs w:val="24"/>
        </w:rPr>
        <w:t xml:space="preserve">), potrivit prevederilor din </w:t>
      </w:r>
      <w:r>
        <w:rPr>
          <w:b/>
          <w:sz w:val="24"/>
          <w:szCs w:val="24"/>
        </w:rPr>
        <w:t>Art.</w:t>
      </w:r>
      <w:r>
        <w:rPr>
          <w:b/>
          <w:bCs/>
          <w:sz w:val="24"/>
          <w:szCs w:val="24"/>
        </w:rPr>
        <w:t>2.3.1.2.</w:t>
      </w:r>
      <w:r>
        <w:rPr>
          <w:sz w:val="24"/>
          <w:szCs w:val="24"/>
        </w:rPr>
        <w:t xml:space="preserve"> şi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sz w:val="24"/>
          <w:szCs w:val="24"/>
        </w:rPr>
        <w:t xml:space="preserve"> dar cu pereţi minimum </w:t>
      </w:r>
      <w:r>
        <w:rPr>
          <w:b/>
          <w:sz w:val="24"/>
          <w:szCs w:val="24"/>
        </w:rPr>
        <w:t xml:space="preserve">EI/REI 120 </w:t>
      </w:r>
      <w:r>
        <w:rPr>
          <w:sz w:val="24"/>
          <w:szCs w:val="24"/>
        </w:rPr>
        <w:t xml:space="preserve">şi, după caz, cu planşee minimum </w:t>
      </w:r>
      <w:r>
        <w:rPr>
          <w:b/>
          <w:sz w:val="24"/>
          <w:szCs w:val="24"/>
        </w:rPr>
        <w:t>REI 90</w:t>
      </w:r>
      <w:r>
        <w:rPr>
          <w:sz w:val="24"/>
          <w:szCs w:val="24"/>
        </w:rPr>
        <w:t xml:space="preserve">.   </w:t>
      </w:r>
    </w:p>
    <w:p w14:paraId="1E0666FD" w14:textId="77777777" w:rsidR="001C08A5" w:rsidRDefault="00000000">
      <w:pPr>
        <w:ind w:firstLine="720"/>
        <w:jc w:val="both"/>
        <w:rPr>
          <w:b/>
          <w:dstrike/>
          <w:sz w:val="24"/>
          <w:szCs w:val="24"/>
        </w:rPr>
      </w:pPr>
      <w:r>
        <w:rPr>
          <w:sz w:val="24"/>
          <w:szCs w:val="24"/>
        </w:rPr>
        <w:tab/>
      </w:r>
      <w:r>
        <w:rPr>
          <w:sz w:val="24"/>
          <w:szCs w:val="24"/>
        </w:rPr>
        <w:tab/>
      </w:r>
    </w:p>
    <w:p w14:paraId="76A9A96F" w14:textId="77777777" w:rsidR="001C08A5" w:rsidRDefault="00000000">
      <w:pPr>
        <w:ind w:firstLine="720"/>
        <w:jc w:val="both"/>
        <w:rPr>
          <w:b/>
          <w:sz w:val="24"/>
          <w:szCs w:val="24"/>
        </w:rPr>
      </w:pPr>
      <w:r>
        <w:rPr>
          <w:b/>
          <w:sz w:val="24"/>
          <w:szCs w:val="24"/>
        </w:rPr>
        <w:t xml:space="preserve">Art. </w:t>
      </w:r>
      <w:r>
        <w:rPr>
          <w:b/>
          <w:bCs/>
          <w:sz w:val="24"/>
          <w:szCs w:val="24"/>
        </w:rPr>
        <w:t>3.2.10.</w:t>
      </w:r>
      <w:r>
        <w:rPr>
          <w:b/>
          <w:sz w:val="24"/>
          <w:szCs w:val="24"/>
        </w:rPr>
        <w:t>4.</w:t>
      </w:r>
      <w:r>
        <w:rPr>
          <w:sz w:val="24"/>
          <w:szCs w:val="24"/>
        </w:rPr>
        <w:t xml:space="preserve"> Comportarea la foc a pereţilor, uşilor și planşeelor de separare a caselor de scări închise din clădirile civile supraterane amplasate izolat, trebuie să corespundă prevederilor din  </w:t>
      </w:r>
      <w:r>
        <w:rPr>
          <w:b/>
          <w:bCs/>
          <w:i/>
          <w:iCs/>
          <w:sz w:val="24"/>
          <w:szCs w:val="24"/>
        </w:rPr>
        <w:fldChar w:fldCharType="begin"/>
      </w:r>
      <w:r>
        <w:rPr>
          <w:b/>
          <w:bCs/>
          <w:i/>
          <w:iCs/>
          <w:sz w:val="24"/>
          <w:szCs w:val="24"/>
        </w:rPr>
        <w:instrText xml:space="preserve"> REF _Ref27013 \h </w:instrText>
      </w:r>
      <w:r>
        <w:rPr>
          <w:b/>
          <w:bCs/>
          <w:i/>
          <w:iCs/>
          <w:sz w:val="24"/>
          <w:szCs w:val="24"/>
        </w:rPr>
      </w:r>
      <w:r>
        <w:rPr>
          <w:b/>
          <w:bCs/>
          <w:i/>
          <w:iCs/>
          <w:sz w:val="24"/>
          <w:szCs w:val="24"/>
        </w:rPr>
        <w:fldChar w:fldCharType="separate"/>
      </w:r>
      <w:r>
        <w:t>Tabelul 85</w:t>
      </w:r>
      <w:r>
        <w:rPr>
          <w:b/>
          <w:bCs/>
          <w:i/>
          <w:iCs/>
          <w:sz w:val="24"/>
          <w:szCs w:val="24"/>
        </w:rPr>
        <w:fldChar w:fldCharType="end"/>
      </w:r>
      <w:r>
        <w:rPr>
          <w:sz w:val="24"/>
          <w:szCs w:val="24"/>
        </w:rPr>
        <w:t>.</w:t>
      </w:r>
    </w:p>
    <w:p w14:paraId="65D609FF" w14:textId="77777777" w:rsidR="001C08A5" w:rsidRDefault="001C08A5">
      <w:pPr>
        <w:jc w:val="both"/>
        <w:rPr>
          <w:b/>
          <w:sz w:val="24"/>
          <w:szCs w:val="24"/>
        </w:rPr>
      </w:pPr>
    </w:p>
    <w:p w14:paraId="5F4A7372" w14:textId="77777777" w:rsidR="001C08A5" w:rsidRDefault="00000000">
      <w:pPr>
        <w:pStyle w:val="Captiontabel"/>
      </w:pPr>
      <w:bookmarkStart w:id="3992" w:name="_Ref27013"/>
      <w:bookmarkStart w:id="3993" w:name="_Toc162360135"/>
      <w:r>
        <w:t xml:space="preserve">Tabelul </w:t>
      </w:r>
      <w:r>
        <w:fldChar w:fldCharType="begin"/>
      </w:r>
      <w:r>
        <w:instrText xml:space="preserve"> SEQ Tabelul \* ARABIC </w:instrText>
      </w:r>
      <w:r>
        <w:fldChar w:fldCharType="separate"/>
      </w:r>
      <w:r>
        <w:t>85</w:t>
      </w:r>
      <w:r>
        <w:fldChar w:fldCharType="end"/>
      </w:r>
      <w:bookmarkStart w:id="3994" w:name="_Toc13956"/>
      <w:bookmarkStart w:id="3995" w:name="_Toc23783"/>
      <w:bookmarkStart w:id="3996" w:name="_Toc24592"/>
      <w:bookmarkStart w:id="3997" w:name="_Toc3052"/>
      <w:bookmarkStart w:id="3998" w:name="_Toc8660"/>
      <w:bookmarkStart w:id="3999" w:name="_Toc5007"/>
      <w:bookmarkStart w:id="4000" w:name="_Toc28493"/>
      <w:bookmarkStart w:id="4001" w:name="_Toc18493"/>
      <w:bookmarkStart w:id="4002" w:name="_Toc1100"/>
      <w:bookmarkStart w:id="4003" w:name="_Toc5961"/>
      <w:bookmarkStart w:id="4004" w:name="_Toc18124"/>
      <w:bookmarkStart w:id="4005" w:name="_Toc513"/>
      <w:bookmarkStart w:id="4006" w:name="_Toc5085"/>
      <w:bookmarkStart w:id="4007" w:name="_Toc28125"/>
      <w:bookmarkStart w:id="4008" w:name="_Toc27643"/>
      <w:bookmarkStart w:id="4009" w:name="_Toc9536"/>
      <w:bookmarkStart w:id="4010" w:name="_Toc5240"/>
      <w:bookmarkStart w:id="4011" w:name="_Toc17796"/>
      <w:bookmarkStart w:id="4012" w:name="_Toc26279"/>
      <w:bookmarkEnd w:id="3992"/>
      <w:r>
        <w:t>: Comportare la foc a pereţilor, uşilor și planşeelor de separare a caselor de scări închise din clădirile civile supraterane cu înălţimi obişnuite montane sau din Delta Dunării, amplasate izolat</w:t>
      </w:r>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p>
    <w:p w14:paraId="463BC743" w14:textId="77777777" w:rsidR="001C08A5" w:rsidRDefault="001C08A5">
      <w:pPr>
        <w:jc w:val="both"/>
        <w:rPr>
          <w:b/>
          <w:bCs/>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0"/>
        <w:gridCol w:w="1834"/>
        <w:gridCol w:w="1701"/>
        <w:gridCol w:w="1373"/>
        <w:gridCol w:w="1680"/>
        <w:gridCol w:w="1697"/>
      </w:tblGrid>
      <w:tr w:rsidR="001C08A5" w14:paraId="5EA73986" w14:textId="77777777">
        <w:trPr>
          <w:tblHeader/>
        </w:trPr>
        <w:tc>
          <w:tcPr>
            <w:tcW w:w="1242" w:type="dxa"/>
            <w:vMerge w:val="restart"/>
            <w:shd w:val="clear" w:color="auto" w:fill="BFBFBF"/>
          </w:tcPr>
          <w:p w14:paraId="7E582FED" w14:textId="77777777" w:rsidR="001C08A5" w:rsidRDefault="00000000">
            <w:pPr>
              <w:pStyle w:val="BodyText"/>
              <w:jc w:val="center"/>
              <w:rPr>
                <w:bCs w:val="0"/>
                <w:sz w:val="22"/>
                <w:szCs w:val="22"/>
              </w:rPr>
            </w:pPr>
            <w:r>
              <w:rPr>
                <w:bCs w:val="0"/>
                <w:sz w:val="22"/>
                <w:szCs w:val="22"/>
              </w:rPr>
              <w:lastRenderedPageBreak/>
              <w:t>Nivel de stabilitate</w:t>
            </w:r>
          </w:p>
          <w:p w14:paraId="18338818" w14:textId="77777777" w:rsidR="001C08A5" w:rsidRDefault="00000000">
            <w:pPr>
              <w:jc w:val="center"/>
              <w:rPr>
                <w:i/>
                <w:sz w:val="22"/>
                <w:szCs w:val="22"/>
              </w:rPr>
            </w:pPr>
            <w:r>
              <w:rPr>
                <w:b/>
                <w:bCs/>
                <w:i/>
                <w:sz w:val="22"/>
                <w:szCs w:val="22"/>
              </w:rPr>
              <w:t>la incendiu</w:t>
            </w:r>
          </w:p>
        </w:tc>
        <w:tc>
          <w:tcPr>
            <w:tcW w:w="8329" w:type="dxa"/>
            <w:gridSpan w:val="5"/>
            <w:shd w:val="clear" w:color="auto" w:fill="BFBFBF"/>
          </w:tcPr>
          <w:p w14:paraId="0BF8B0E7"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37EE3A55" w14:textId="77777777">
        <w:trPr>
          <w:tblHeader/>
        </w:trPr>
        <w:tc>
          <w:tcPr>
            <w:tcW w:w="1242" w:type="dxa"/>
            <w:vMerge/>
            <w:shd w:val="clear" w:color="auto" w:fill="BFBFBF"/>
          </w:tcPr>
          <w:p w14:paraId="5056BEF1" w14:textId="77777777" w:rsidR="001C08A5" w:rsidRDefault="001C08A5">
            <w:pPr>
              <w:jc w:val="center"/>
              <w:rPr>
                <w:i/>
                <w:sz w:val="22"/>
                <w:szCs w:val="22"/>
              </w:rPr>
            </w:pPr>
          </w:p>
        </w:tc>
        <w:tc>
          <w:tcPr>
            <w:tcW w:w="3553" w:type="dxa"/>
            <w:gridSpan w:val="2"/>
            <w:shd w:val="clear" w:color="auto" w:fill="BFBFBF"/>
          </w:tcPr>
          <w:p w14:paraId="2AE807A8" w14:textId="77777777" w:rsidR="001C08A5" w:rsidRDefault="00000000">
            <w:pPr>
              <w:jc w:val="center"/>
              <w:rPr>
                <w:i/>
                <w:sz w:val="22"/>
                <w:szCs w:val="22"/>
              </w:rPr>
            </w:pPr>
            <w:r>
              <w:rPr>
                <w:b/>
                <w:bCs/>
                <w:i/>
                <w:sz w:val="22"/>
                <w:szCs w:val="22"/>
              </w:rPr>
              <w:t>Pereţi</w:t>
            </w:r>
          </w:p>
        </w:tc>
        <w:tc>
          <w:tcPr>
            <w:tcW w:w="3069" w:type="dxa"/>
            <w:gridSpan w:val="2"/>
            <w:shd w:val="clear" w:color="auto" w:fill="BFBFBF"/>
          </w:tcPr>
          <w:p w14:paraId="227A8549"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707" w:type="dxa"/>
            <w:shd w:val="clear" w:color="auto" w:fill="BFBFBF"/>
          </w:tcPr>
          <w:p w14:paraId="5157FF69" w14:textId="77777777" w:rsidR="001C08A5" w:rsidRDefault="00000000">
            <w:pPr>
              <w:jc w:val="center"/>
              <w:rPr>
                <w:b/>
                <w:bCs/>
                <w:i/>
                <w:sz w:val="22"/>
                <w:szCs w:val="22"/>
              </w:rPr>
            </w:pPr>
            <w:r>
              <w:rPr>
                <w:b/>
                <w:bCs/>
                <w:i/>
                <w:sz w:val="22"/>
                <w:szCs w:val="22"/>
              </w:rPr>
              <w:t xml:space="preserve">Uşi </w:t>
            </w:r>
          </w:p>
        </w:tc>
      </w:tr>
      <w:tr w:rsidR="001C08A5" w14:paraId="408E2848" w14:textId="77777777">
        <w:tc>
          <w:tcPr>
            <w:tcW w:w="1242" w:type="dxa"/>
          </w:tcPr>
          <w:p w14:paraId="4940AAE4" w14:textId="77777777" w:rsidR="001C08A5" w:rsidRDefault="00000000">
            <w:pPr>
              <w:pStyle w:val="BodyText"/>
              <w:jc w:val="center"/>
              <w:rPr>
                <w:bCs w:val="0"/>
                <w:sz w:val="22"/>
                <w:szCs w:val="22"/>
              </w:rPr>
            </w:pPr>
            <w:r>
              <w:rPr>
                <w:bCs w:val="0"/>
                <w:sz w:val="22"/>
                <w:szCs w:val="22"/>
              </w:rPr>
              <w:t>I</w:t>
            </w:r>
          </w:p>
          <w:p w14:paraId="50E8C8C4" w14:textId="77777777" w:rsidR="001C08A5" w:rsidRDefault="00000000">
            <w:pPr>
              <w:pStyle w:val="BodyText"/>
              <w:jc w:val="center"/>
              <w:rPr>
                <w:bCs w:val="0"/>
                <w:sz w:val="22"/>
                <w:szCs w:val="22"/>
              </w:rPr>
            </w:pPr>
            <w:r>
              <w:rPr>
                <w:sz w:val="22"/>
                <w:szCs w:val="22"/>
              </w:rPr>
              <w:t>h&lt;28m</w:t>
            </w:r>
          </w:p>
        </w:tc>
        <w:tc>
          <w:tcPr>
            <w:tcW w:w="1843" w:type="dxa"/>
          </w:tcPr>
          <w:p w14:paraId="0D6ADC2D" w14:textId="77777777" w:rsidR="001C08A5" w:rsidRDefault="00000000">
            <w:pPr>
              <w:jc w:val="center"/>
              <w:rPr>
                <w:b/>
                <w:i/>
                <w:sz w:val="22"/>
                <w:szCs w:val="22"/>
              </w:rPr>
            </w:pPr>
            <w:r>
              <w:rPr>
                <w:b/>
                <w:i/>
                <w:sz w:val="22"/>
                <w:szCs w:val="22"/>
              </w:rPr>
              <w:t xml:space="preserve">EI/REI 180 </w:t>
            </w:r>
          </w:p>
          <w:p w14:paraId="578D5D13" w14:textId="77777777" w:rsidR="001C08A5" w:rsidRDefault="001C08A5">
            <w:pPr>
              <w:jc w:val="center"/>
              <w:rPr>
                <w:b/>
                <w:i/>
                <w:sz w:val="22"/>
                <w:szCs w:val="22"/>
              </w:rPr>
            </w:pPr>
          </w:p>
        </w:tc>
        <w:tc>
          <w:tcPr>
            <w:tcW w:w="1710" w:type="dxa"/>
          </w:tcPr>
          <w:p w14:paraId="65387A9E"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42C4DBA3" w14:textId="77777777" w:rsidR="001C08A5" w:rsidRDefault="00000000">
            <w:pPr>
              <w:jc w:val="center"/>
              <w:rPr>
                <w:b/>
                <w:i/>
                <w:sz w:val="22"/>
                <w:szCs w:val="22"/>
              </w:rPr>
            </w:pPr>
            <w:r>
              <w:rPr>
                <w:b/>
                <w:i/>
                <w:sz w:val="22"/>
                <w:szCs w:val="22"/>
              </w:rPr>
              <w:t xml:space="preserve">REI 120 </w:t>
            </w:r>
          </w:p>
        </w:tc>
        <w:tc>
          <w:tcPr>
            <w:tcW w:w="1689" w:type="dxa"/>
          </w:tcPr>
          <w:p w14:paraId="152AC6B2"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25156346" w14:textId="77777777" w:rsidR="001C08A5" w:rsidRDefault="00000000">
            <w:pPr>
              <w:jc w:val="center"/>
              <w:rPr>
                <w:i/>
                <w:sz w:val="22"/>
                <w:szCs w:val="22"/>
              </w:rPr>
            </w:pPr>
            <w:r>
              <w:rPr>
                <w:b/>
                <w:bCs/>
                <w:i/>
                <w:sz w:val="22"/>
                <w:szCs w:val="22"/>
              </w:rPr>
              <w:t xml:space="preserve">E 60 - C5 </w:t>
            </w:r>
            <w:r>
              <w:rPr>
                <w:b/>
                <w:i/>
                <w:sz w:val="22"/>
                <w:szCs w:val="22"/>
              </w:rPr>
              <w:t>S</w:t>
            </w:r>
            <w:r>
              <w:rPr>
                <w:b/>
                <w:bCs/>
                <w:i/>
                <w:sz w:val="22"/>
                <w:szCs w:val="22"/>
                <w:vertAlign w:val="subscript"/>
              </w:rPr>
              <w:t>200</w:t>
            </w:r>
          </w:p>
        </w:tc>
      </w:tr>
      <w:tr w:rsidR="001C08A5" w14:paraId="748341F7" w14:textId="77777777">
        <w:tc>
          <w:tcPr>
            <w:tcW w:w="1242" w:type="dxa"/>
          </w:tcPr>
          <w:p w14:paraId="28AC204F" w14:textId="77777777" w:rsidR="001C08A5" w:rsidRDefault="00000000">
            <w:pPr>
              <w:pStyle w:val="BodyText"/>
              <w:jc w:val="center"/>
              <w:rPr>
                <w:bCs w:val="0"/>
                <w:sz w:val="22"/>
                <w:szCs w:val="22"/>
              </w:rPr>
            </w:pPr>
            <w:r>
              <w:rPr>
                <w:bCs w:val="0"/>
                <w:sz w:val="22"/>
                <w:szCs w:val="22"/>
              </w:rPr>
              <w:t>II</w:t>
            </w:r>
          </w:p>
        </w:tc>
        <w:tc>
          <w:tcPr>
            <w:tcW w:w="1843" w:type="dxa"/>
          </w:tcPr>
          <w:p w14:paraId="6E603B7B" w14:textId="77777777" w:rsidR="001C08A5" w:rsidRDefault="00000000">
            <w:pPr>
              <w:jc w:val="center"/>
              <w:rPr>
                <w:b/>
                <w:i/>
                <w:sz w:val="22"/>
                <w:szCs w:val="22"/>
              </w:rPr>
            </w:pPr>
            <w:r>
              <w:rPr>
                <w:b/>
                <w:i/>
                <w:sz w:val="22"/>
                <w:szCs w:val="22"/>
              </w:rPr>
              <w:t>EI/REI 180</w:t>
            </w:r>
          </w:p>
          <w:p w14:paraId="7CD6D424" w14:textId="77777777" w:rsidR="001C08A5" w:rsidRDefault="001C08A5">
            <w:pPr>
              <w:jc w:val="center"/>
              <w:rPr>
                <w:b/>
                <w:i/>
                <w:sz w:val="22"/>
                <w:szCs w:val="22"/>
              </w:rPr>
            </w:pPr>
          </w:p>
        </w:tc>
        <w:tc>
          <w:tcPr>
            <w:tcW w:w="1710" w:type="dxa"/>
          </w:tcPr>
          <w:p w14:paraId="5895700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80" w:type="dxa"/>
          </w:tcPr>
          <w:p w14:paraId="77F77543" w14:textId="77777777" w:rsidR="001C08A5" w:rsidRDefault="00000000">
            <w:pPr>
              <w:jc w:val="center"/>
              <w:rPr>
                <w:b/>
                <w:i/>
                <w:sz w:val="22"/>
                <w:szCs w:val="22"/>
              </w:rPr>
            </w:pPr>
            <w:r>
              <w:rPr>
                <w:b/>
                <w:i/>
                <w:sz w:val="22"/>
                <w:szCs w:val="22"/>
              </w:rPr>
              <w:t>REI 120</w:t>
            </w:r>
          </w:p>
        </w:tc>
        <w:tc>
          <w:tcPr>
            <w:tcW w:w="1689" w:type="dxa"/>
          </w:tcPr>
          <w:p w14:paraId="6B5A786F"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7" w:type="dxa"/>
          </w:tcPr>
          <w:p w14:paraId="08CB2626" w14:textId="77777777" w:rsidR="001C08A5" w:rsidRDefault="00000000">
            <w:pPr>
              <w:jc w:val="center"/>
              <w:rPr>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1124358B" w14:textId="77777777">
        <w:tc>
          <w:tcPr>
            <w:tcW w:w="1242" w:type="dxa"/>
          </w:tcPr>
          <w:p w14:paraId="6A86897A" w14:textId="77777777" w:rsidR="001C08A5" w:rsidRDefault="00000000">
            <w:pPr>
              <w:pStyle w:val="BodyText"/>
              <w:jc w:val="center"/>
              <w:rPr>
                <w:bCs w:val="0"/>
                <w:sz w:val="22"/>
                <w:szCs w:val="22"/>
              </w:rPr>
            </w:pPr>
            <w:r>
              <w:rPr>
                <w:bCs w:val="0"/>
                <w:sz w:val="22"/>
                <w:szCs w:val="22"/>
              </w:rPr>
              <w:t>II (+)</w:t>
            </w:r>
          </w:p>
        </w:tc>
        <w:tc>
          <w:tcPr>
            <w:tcW w:w="1843" w:type="dxa"/>
          </w:tcPr>
          <w:p w14:paraId="46550B20" w14:textId="77777777" w:rsidR="001C08A5" w:rsidRDefault="00000000">
            <w:pPr>
              <w:jc w:val="center"/>
              <w:rPr>
                <w:b/>
                <w:i/>
                <w:sz w:val="22"/>
                <w:szCs w:val="22"/>
              </w:rPr>
            </w:pPr>
            <w:r>
              <w:rPr>
                <w:b/>
                <w:i/>
                <w:sz w:val="22"/>
                <w:szCs w:val="22"/>
              </w:rPr>
              <w:t>EI/REI 120</w:t>
            </w:r>
          </w:p>
          <w:p w14:paraId="4798A37D" w14:textId="77777777" w:rsidR="001C08A5" w:rsidRDefault="001C08A5">
            <w:pPr>
              <w:jc w:val="center"/>
              <w:rPr>
                <w:b/>
                <w:i/>
                <w:sz w:val="22"/>
                <w:szCs w:val="22"/>
              </w:rPr>
            </w:pPr>
          </w:p>
        </w:tc>
        <w:tc>
          <w:tcPr>
            <w:tcW w:w="1710" w:type="dxa"/>
          </w:tcPr>
          <w:p w14:paraId="45C4DC95"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80" w:type="dxa"/>
          </w:tcPr>
          <w:p w14:paraId="2C4F28BB" w14:textId="77777777" w:rsidR="001C08A5" w:rsidRDefault="00000000">
            <w:pPr>
              <w:jc w:val="center"/>
              <w:rPr>
                <w:b/>
                <w:i/>
                <w:sz w:val="22"/>
                <w:szCs w:val="22"/>
              </w:rPr>
            </w:pPr>
            <w:r>
              <w:rPr>
                <w:b/>
                <w:i/>
                <w:sz w:val="22"/>
                <w:szCs w:val="22"/>
              </w:rPr>
              <w:t>REI 90</w:t>
            </w:r>
          </w:p>
        </w:tc>
        <w:tc>
          <w:tcPr>
            <w:tcW w:w="1689" w:type="dxa"/>
          </w:tcPr>
          <w:p w14:paraId="73DA5749"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07" w:type="dxa"/>
          </w:tcPr>
          <w:p w14:paraId="1A53850E" w14:textId="77777777" w:rsidR="001C08A5" w:rsidRDefault="00000000">
            <w:pPr>
              <w:jc w:val="center"/>
              <w:rPr>
                <w:b/>
                <w:bCs/>
                <w:i/>
                <w:sz w:val="22"/>
                <w:szCs w:val="22"/>
              </w:rPr>
            </w:pPr>
            <w:r>
              <w:rPr>
                <w:b/>
                <w:bCs/>
                <w:i/>
                <w:sz w:val="22"/>
                <w:szCs w:val="22"/>
              </w:rPr>
              <w:t xml:space="preserve">E 45 - C5 </w:t>
            </w:r>
            <w:r>
              <w:rPr>
                <w:b/>
                <w:i/>
                <w:sz w:val="22"/>
                <w:szCs w:val="22"/>
              </w:rPr>
              <w:t>S</w:t>
            </w:r>
            <w:r>
              <w:rPr>
                <w:b/>
                <w:bCs/>
                <w:i/>
                <w:sz w:val="22"/>
                <w:szCs w:val="22"/>
                <w:vertAlign w:val="subscript"/>
              </w:rPr>
              <w:t>200</w:t>
            </w:r>
          </w:p>
        </w:tc>
      </w:tr>
      <w:tr w:rsidR="001C08A5" w14:paraId="523DDC1E" w14:textId="77777777">
        <w:tc>
          <w:tcPr>
            <w:tcW w:w="1242" w:type="dxa"/>
          </w:tcPr>
          <w:p w14:paraId="3526C59A" w14:textId="77777777" w:rsidR="001C08A5" w:rsidRDefault="00000000">
            <w:pPr>
              <w:pStyle w:val="BodyText"/>
              <w:jc w:val="center"/>
              <w:rPr>
                <w:bCs w:val="0"/>
                <w:sz w:val="22"/>
                <w:szCs w:val="22"/>
              </w:rPr>
            </w:pPr>
            <w:r>
              <w:rPr>
                <w:bCs w:val="0"/>
                <w:sz w:val="22"/>
                <w:szCs w:val="22"/>
              </w:rPr>
              <w:t>III</w:t>
            </w:r>
          </w:p>
        </w:tc>
        <w:tc>
          <w:tcPr>
            <w:tcW w:w="1843" w:type="dxa"/>
          </w:tcPr>
          <w:p w14:paraId="2B776FF3" w14:textId="77777777" w:rsidR="001C08A5" w:rsidRDefault="00000000">
            <w:pPr>
              <w:jc w:val="center"/>
              <w:rPr>
                <w:b/>
                <w:i/>
                <w:sz w:val="22"/>
                <w:szCs w:val="22"/>
              </w:rPr>
            </w:pPr>
            <w:r>
              <w:rPr>
                <w:b/>
                <w:i/>
                <w:sz w:val="22"/>
                <w:szCs w:val="22"/>
              </w:rPr>
              <w:t xml:space="preserve">EI/REI 90 </w:t>
            </w:r>
          </w:p>
          <w:p w14:paraId="200E904D" w14:textId="77777777" w:rsidR="001C08A5" w:rsidRDefault="001C08A5">
            <w:pPr>
              <w:jc w:val="center"/>
              <w:rPr>
                <w:b/>
                <w:i/>
                <w:sz w:val="22"/>
                <w:szCs w:val="22"/>
              </w:rPr>
            </w:pPr>
          </w:p>
        </w:tc>
        <w:tc>
          <w:tcPr>
            <w:tcW w:w="1710" w:type="dxa"/>
          </w:tcPr>
          <w:p w14:paraId="69C29756"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6934B560" w14:textId="77777777" w:rsidR="001C08A5" w:rsidRDefault="00000000">
            <w:pPr>
              <w:jc w:val="center"/>
              <w:rPr>
                <w:b/>
                <w:i/>
                <w:sz w:val="22"/>
                <w:szCs w:val="22"/>
              </w:rPr>
            </w:pPr>
            <w:r>
              <w:rPr>
                <w:b/>
                <w:i/>
                <w:sz w:val="22"/>
                <w:szCs w:val="22"/>
              </w:rPr>
              <w:t>REI 60</w:t>
            </w:r>
          </w:p>
        </w:tc>
        <w:tc>
          <w:tcPr>
            <w:tcW w:w="1689" w:type="dxa"/>
          </w:tcPr>
          <w:p w14:paraId="261F1CBC"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129E319D" w14:textId="77777777" w:rsidR="001C08A5" w:rsidRDefault="00000000">
            <w:pPr>
              <w:jc w:val="center"/>
              <w:rPr>
                <w:b/>
                <w:i/>
                <w:sz w:val="22"/>
                <w:szCs w:val="22"/>
              </w:rPr>
            </w:pPr>
            <w:r>
              <w:rPr>
                <w:b/>
                <w:bCs/>
                <w:i/>
                <w:sz w:val="22"/>
                <w:szCs w:val="22"/>
              </w:rPr>
              <w:t>E 30 - C5 Sa</w:t>
            </w:r>
          </w:p>
          <w:p w14:paraId="59E21B4A" w14:textId="77777777" w:rsidR="001C08A5" w:rsidRDefault="001C08A5">
            <w:pPr>
              <w:jc w:val="center"/>
              <w:rPr>
                <w:i/>
                <w:strike/>
                <w:sz w:val="22"/>
                <w:szCs w:val="22"/>
              </w:rPr>
            </w:pPr>
          </w:p>
        </w:tc>
      </w:tr>
      <w:tr w:rsidR="001C08A5" w14:paraId="4F358230" w14:textId="77777777">
        <w:tc>
          <w:tcPr>
            <w:tcW w:w="1242" w:type="dxa"/>
          </w:tcPr>
          <w:p w14:paraId="2A325CDE" w14:textId="77777777" w:rsidR="001C08A5" w:rsidRDefault="00000000">
            <w:pPr>
              <w:pStyle w:val="BodyText"/>
              <w:jc w:val="center"/>
              <w:rPr>
                <w:bCs w:val="0"/>
                <w:sz w:val="22"/>
                <w:szCs w:val="22"/>
              </w:rPr>
            </w:pPr>
            <w:r>
              <w:rPr>
                <w:bCs w:val="0"/>
                <w:sz w:val="22"/>
                <w:szCs w:val="22"/>
              </w:rPr>
              <w:t>III (+)</w:t>
            </w:r>
          </w:p>
        </w:tc>
        <w:tc>
          <w:tcPr>
            <w:tcW w:w="1843" w:type="dxa"/>
          </w:tcPr>
          <w:p w14:paraId="69216EB0" w14:textId="77777777" w:rsidR="001C08A5" w:rsidRDefault="00000000">
            <w:pPr>
              <w:jc w:val="center"/>
              <w:rPr>
                <w:b/>
                <w:i/>
                <w:sz w:val="22"/>
                <w:szCs w:val="22"/>
              </w:rPr>
            </w:pPr>
            <w:r>
              <w:rPr>
                <w:b/>
                <w:i/>
                <w:sz w:val="22"/>
                <w:szCs w:val="22"/>
              </w:rPr>
              <w:t xml:space="preserve">EI/REI 60 </w:t>
            </w:r>
          </w:p>
          <w:p w14:paraId="42A03F10" w14:textId="77777777" w:rsidR="001C08A5" w:rsidRDefault="001C08A5">
            <w:pPr>
              <w:jc w:val="center"/>
              <w:rPr>
                <w:b/>
                <w:i/>
                <w:sz w:val="22"/>
                <w:szCs w:val="22"/>
              </w:rPr>
            </w:pPr>
          </w:p>
        </w:tc>
        <w:tc>
          <w:tcPr>
            <w:tcW w:w="1710" w:type="dxa"/>
          </w:tcPr>
          <w:p w14:paraId="18A01C96"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80" w:type="dxa"/>
          </w:tcPr>
          <w:p w14:paraId="51755CD1" w14:textId="77777777" w:rsidR="001C08A5" w:rsidRDefault="00000000">
            <w:pPr>
              <w:jc w:val="center"/>
              <w:rPr>
                <w:b/>
                <w:i/>
                <w:sz w:val="22"/>
                <w:szCs w:val="22"/>
              </w:rPr>
            </w:pPr>
            <w:r>
              <w:rPr>
                <w:b/>
                <w:i/>
                <w:sz w:val="22"/>
                <w:szCs w:val="22"/>
              </w:rPr>
              <w:t xml:space="preserve">REI 45 </w:t>
            </w:r>
          </w:p>
        </w:tc>
        <w:tc>
          <w:tcPr>
            <w:tcW w:w="1689" w:type="dxa"/>
          </w:tcPr>
          <w:p w14:paraId="1E768BDB"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707" w:type="dxa"/>
          </w:tcPr>
          <w:p w14:paraId="44E00070" w14:textId="77777777" w:rsidR="001C08A5" w:rsidRDefault="00000000">
            <w:pPr>
              <w:jc w:val="center"/>
              <w:rPr>
                <w:b/>
                <w:i/>
                <w:sz w:val="22"/>
                <w:szCs w:val="22"/>
              </w:rPr>
            </w:pPr>
            <w:r>
              <w:rPr>
                <w:b/>
                <w:bCs/>
                <w:i/>
                <w:sz w:val="22"/>
                <w:szCs w:val="22"/>
              </w:rPr>
              <w:t>E 30 - C5 Sa</w:t>
            </w:r>
          </w:p>
          <w:p w14:paraId="607DA526" w14:textId="77777777" w:rsidR="001C08A5" w:rsidRDefault="001C08A5">
            <w:pPr>
              <w:jc w:val="center"/>
              <w:rPr>
                <w:i/>
                <w:strike/>
                <w:sz w:val="22"/>
                <w:szCs w:val="22"/>
              </w:rPr>
            </w:pPr>
          </w:p>
        </w:tc>
      </w:tr>
      <w:tr w:rsidR="001C08A5" w14:paraId="0E9E446D" w14:textId="77777777">
        <w:tc>
          <w:tcPr>
            <w:tcW w:w="1242" w:type="dxa"/>
          </w:tcPr>
          <w:p w14:paraId="52D04E0B" w14:textId="77777777" w:rsidR="001C08A5" w:rsidRDefault="00000000">
            <w:pPr>
              <w:pStyle w:val="BodyText"/>
              <w:jc w:val="center"/>
              <w:rPr>
                <w:bCs w:val="0"/>
                <w:sz w:val="22"/>
                <w:szCs w:val="22"/>
              </w:rPr>
            </w:pPr>
            <w:r>
              <w:rPr>
                <w:bCs w:val="0"/>
                <w:sz w:val="22"/>
                <w:szCs w:val="22"/>
              </w:rPr>
              <w:t>IV</w:t>
            </w:r>
          </w:p>
        </w:tc>
        <w:tc>
          <w:tcPr>
            <w:tcW w:w="1843" w:type="dxa"/>
          </w:tcPr>
          <w:p w14:paraId="1C4ED756" w14:textId="77777777" w:rsidR="001C08A5" w:rsidRDefault="00000000">
            <w:pPr>
              <w:jc w:val="center"/>
              <w:rPr>
                <w:b/>
                <w:i/>
                <w:sz w:val="22"/>
                <w:szCs w:val="22"/>
              </w:rPr>
            </w:pPr>
            <w:r>
              <w:rPr>
                <w:b/>
                <w:i/>
                <w:sz w:val="22"/>
                <w:szCs w:val="22"/>
              </w:rPr>
              <w:t xml:space="preserve">EI/REI 45 </w:t>
            </w:r>
          </w:p>
          <w:p w14:paraId="17A7C1D5" w14:textId="77777777" w:rsidR="001C08A5" w:rsidRDefault="001C08A5">
            <w:pPr>
              <w:jc w:val="center"/>
              <w:rPr>
                <w:b/>
                <w:i/>
                <w:strike/>
                <w:sz w:val="22"/>
                <w:szCs w:val="22"/>
              </w:rPr>
            </w:pPr>
          </w:p>
        </w:tc>
        <w:tc>
          <w:tcPr>
            <w:tcW w:w="1710" w:type="dxa"/>
          </w:tcPr>
          <w:p w14:paraId="19C3B5B7"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380" w:type="dxa"/>
          </w:tcPr>
          <w:p w14:paraId="041EDCD7" w14:textId="77777777" w:rsidR="001C08A5" w:rsidRDefault="00000000">
            <w:pPr>
              <w:jc w:val="center"/>
              <w:rPr>
                <w:b/>
                <w:i/>
                <w:sz w:val="22"/>
                <w:szCs w:val="22"/>
              </w:rPr>
            </w:pPr>
            <w:r>
              <w:rPr>
                <w:b/>
                <w:i/>
                <w:sz w:val="22"/>
                <w:szCs w:val="22"/>
              </w:rPr>
              <w:t xml:space="preserve">REI 30 </w:t>
            </w:r>
          </w:p>
        </w:tc>
        <w:tc>
          <w:tcPr>
            <w:tcW w:w="1689" w:type="dxa"/>
          </w:tcPr>
          <w:p w14:paraId="2F0ACFCA" w14:textId="77777777" w:rsidR="001C08A5" w:rsidRDefault="00000000">
            <w:pPr>
              <w:jc w:val="center"/>
              <w:rPr>
                <w:i/>
                <w:sz w:val="22"/>
                <w:szCs w:val="22"/>
              </w:rPr>
            </w:pPr>
            <w:r>
              <w:rPr>
                <w:b/>
                <w:i/>
                <w:sz w:val="22"/>
                <w:szCs w:val="22"/>
              </w:rPr>
              <w:t>A1</w:t>
            </w:r>
            <w:r>
              <w:rPr>
                <w:bCs/>
                <w:i/>
                <w:sz w:val="22"/>
                <w:szCs w:val="22"/>
              </w:rPr>
              <w:t xml:space="preserve">, </w:t>
            </w:r>
            <w:r>
              <w:rPr>
                <w:b/>
                <w:i/>
                <w:sz w:val="22"/>
                <w:szCs w:val="22"/>
              </w:rPr>
              <w:t xml:space="preserve">A2-s1d0 </w:t>
            </w:r>
            <w:r>
              <w:rPr>
                <w:i/>
                <w:sz w:val="22"/>
                <w:szCs w:val="22"/>
              </w:rPr>
              <w:t xml:space="preserve">sau </w:t>
            </w:r>
            <w:r>
              <w:rPr>
                <w:b/>
                <w:i/>
                <w:sz w:val="22"/>
                <w:szCs w:val="22"/>
              </w:rPr>
              <w:t>B-s1d0</w:t>
            </w:r>
          </w:p>
        </w:tc>
        <w:tc>
          <w:tcPr>
            <w:tcW w:w="1707" w:type="dxa"/>
          </w:tcPr>
          <w:p w14:paraId="4CD24E40" w14:textId="77777777" w:rsidR="001C08A5" w:rsidRDefault="00000000">
            <w:pPr>
              <w:jc w:val="center"/>
              <w:rPr>
                <w:b/>
                <w:i/>
                <w:sz w:val="22"/>
                <w:szCs w:val="22"/>
              </w:rPr>
            </w:pPr>
            <w:r>
              <w:rPr>
                <w:b/>
                <w:bCs/>
                <w:i/>
                <w:sz w:val="22"/>
                <w:szCs w:val="22"/>
              </w:rPr>
              <w:t>E 15 - C5</w:t>
            </w:r>
          </w:p>
          <w:p w14:paraId="3B10CD3C" w14:textId="77777777" w:rsidR="001C08A5" w:rsidRDefault="001C08A5">
            <w:pPr>
              <w:jc w:val="center"/>
              <w:rPr>
                <w:i/>
                <w:sz w:val="22"/>
                <w:szCs w:val="22"/>
              </w:rPr>
            </w:pPr>
          </w:p>
        </w:tc>
      </w:tr>
      <w:tr w:rsidR="001C08A5" w14:paraId="7629B1E3" w14:textId="77777777">
        <w:tc>
          <w:tcPr>
            <w:tcW w:w="1242" w:type="dxa"/>
          </w:tcPr>
          <w:p w14:paraId="68B3C3F7" w14:textId="77777777" w:rsidR="001C08A5" w:rsidRDefault="00000000">
            <w:pPr>
              <w:pStyle w:val="BodyText"/>
              <w:jc w:val="center"/>
              <w:rPr>
                <w:bCs w:val="0"/>
                <w:sz w:val="22"/>
                <w:szCs w:val="22"/>
              </w:rPr>
            </w:pPr>
            <w:r>
              <w:rPr>
                <w:bCs w:val="0"/>
                <w:sz w:val="22"/>
                <w:szCs w:val="22"/>
              </w:rPr>
              <w:t>V*</w:t>
            </w:r>
          </w:p>
        </w:tc>
        <w:tc>
          <w:tcPr>
            <w:tcW w:w="1843" w:type="dxa"/>
          </w:tcPr>
          <w:p w14:paraId="5371C7AD" w14:textId="77777777" w:rsidR="001C08A5" w:rsidRDefault="00000000">
            <w:pPr>
              <w:jc w:val="center"/>
              <w:rPr>
                <w:b/>
                <w:i/>
                <w:sz w:val="22"/>
                <w:szCs w:val="22"/>
              </w:rPr>
            </w:pPr>
            <w:r>
              <w:rPr>
                <w:b/>
                <w:i/>
                <w:sz w:val="22"/>
                <w:szCs w:val="22"/>
              </w:rPr>
              <w:t>EI/REI 15*</w:t>
            </w:r>
          </w:p>
          <w:p w14:paraId="4F0615BB" w14:textId="77777777" w:rsidR="001C08A5" w:rsidRDefault="001C08A5">
            <w:pPr>
              <w:jc w:val="center"/>
              <w:rPr>
                <w:b/>
                <w:i/>
                <w:strike/>
                <w:sz w:val="22"/>
                <w:szCs w:val="22"/>
              </w:rPr>
            </w:pPr>
          </w:p>
        </w:tc>
        <w:tc>
          <w:tcPr>
            <w:tcW w:w="1710" w:type="dxa"/>
          </w:tcPr>
          <w:p w14:paraId="377C97A0"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380" w:type="dxa"/>
          </w:tcPr>
          <w:p w14:paraId="41D1B628" w14:textId="77777777" w:rsidR="001C08A5" w:rsidRDefault="00000000">
            <w:pPr>
              <w:jc w:val="center"/>
              <w:rPr>
                <w:b/>
                <w:i/>
                <w:sz w:val="22"/>
                <w:szCs w:val="22"/>
              </w:rPr>
            </w:pPr>
            <w:r>
              <w:rPr>
                <w:b/>
                <w:i/>
                <w:sz w:val="22"/>
                <w:szCs w:val="22"/>
              </w:rPr>
              <w:t>REI 15*</w:t>
            </w:r>
          </w:p>
        </w:tc>
        <w:tc>
          <w:tcPr>
            <w:tcW w:w="1689" w:type="dxa"/>
          </w:tcPr>
          <w:p w14:paraId="2545FEFD" w14:textId="77777777" w:rsidR="001C08A5" w:rsidRDefault="00000000">
            <w:pPr>
              <w:jc w:val="center"/>
              <w:rPr>
                <w:i/>
                <w:sz w:val="22"/>
                <w:szCs w:val="22"/>
              </w:rPr>
            </w:pPr>
            <w:r>
              <w:rPr>
                <w:b/>
                <w:bCs/>
                <w:i/>
                <w:sz w:val="22"/>
                <w:szCs w:val="22"/>
              </w:rPr>
              <w:t>A1</w:t>
            </w:r>
            <w:r>
              <w:rPr>
                <w:bCs/>
                <w:i/>
                <w:sz w:val="22"/>
                <w:szCs w:val="22"/>
              </w:rPr>
              <w:t xml:space="preserve">, </w:t>
            </w:r>
            <w:r>
              <w:rPr>
                <w:b/>
                <w:bCs/>
                <w:i/>
                <w:sz w:val="22"/>
                <w:szCs w:val="22"/>
              </w:rPr>
              <w:t>A2-s1d0</w:t>
            </w:r>
            <w:r>
              <w:rPr>
                <w:bCs/>
                <w:i/>
                <w:sz w:val="22"/>
                <w:szCs w:val="22"/>
              </w:rPr>
              <w:t xml:space="preserve">, </w:t>
            </w:r>
            <w:r>
              <w:rPr>
                <w:b/>
                <w:bCs/>
                <w:i/>
                <w:sz w:val="22"/>
                <w:szCs w:val="22"/>
              </w:rPr>
              <w:t>B-s1d0</w:t>
            </w:r>
            <w:r>
              <w:rPr>
                <w:bCs/>
                <w:i/>
                <w:sz w:val="22"/>
                <w:szCs w:val="22"/>
              </w:rPr>
              <w:t xml:space="preserve">, </w:t>
            </w:r>
            <w:r>
              <w:rPr>
                <w:b/>
                <w:bCs/>
                <w:i/>
                <w:sz w:val="22"/>
                <w:szCs w:val="22"/>
              </w:rPr>
              <w:t xml:space="preserve">C-s1d0 </w:t>
            </w:r>
          </w:p>
        </w:tc>
        <w:tc>
          <w:tcPr>
            <w:tcW w:w="1707" w:type="dxa"/>
          </w:tcPr>
          <w:p w14:paraId="0953FD51" w14:textId="77777777" w:rsidR="001C08A5" w:rsidRDefault="00000000">
            <w:pPr>
              <w:jc w:val="center"/>
              <w:rPr>
                <w:i/>
                <w:strike/>
                <w:sz w:val="22"/>
                <w:szCs w:val="22"/>
              </w:rPr>
            </w:pPr>
            <w:r>
              <w:rPr>
                <w:b/>
                <w:bCs/>
                <w:i/>
                <w:sz w:val="22"/>
                <w:szCs w:val="22"/>
              </w:rPr>
              <w:t>C5*</w:t>
            </w:r>
          </w:p>
        </w:tc>
      </w:tr>
    </w:tbl>
    <w:p w14:paraId="389A4AC6" w14:textId="77777777" w:rsidR="001C08A5" w:rsidRDefault="00000000">
      <w:pPr>
        <w:autoSpaceDE w:val="0"/>
        <w:rPr>
          <w:i/>
          <w:sz w:val="22"/>
          <w:szCs w:val="22"/>
        </w:rPr>
      </w:pPr>
      <w:r>
        <w:rPr>
          <w:bCs/>
          <w:i/>
          <w:sz w:val="22"/>
          <w:szCs w:val="22"/>
          <w:u w:val="single"/>
        </w:rPr>
        <w:t>Notă</w:t>
      </w:r>
      <w:r>
        <w:rPr>
          <w:i/>
          <w:sz w:val="22"/>
          <w:szCs w:val="22"/>
        </w:rPr>
        <w:t xml:space="preserve">: </w:t>
      </w:r>
      <w:r>
        <w:rPr>
          <w:b/>
          <w:i/>
          <w:sz w:val="22"/>
          <w:szCs w:val="22"/>
        </w:rPr>
        <w:t>*</w:t>
      </w:r>
      <w:r>
        <w:rPr>
          <w:i/>
          <w:sz w:val="22"/>
          <w:szCs w:val="22"/>
        </w:rPr>
        <w:t xml:space="preserve"> = cu excepţia clădirilor obişnuite cu un singur nivel suprateran montane sau din Delta Dunării </w:t>
      </w:r>
    </w:p>
    <w:p w14:paraId="12336AC5"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5993BD10"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13C9032E" w14:textId="77777777" w:rsidR="001C08A5" w:rsidRDefault="001C08A5">
      <w:pPr>
        <w:jc w:val="both"/>
        <w:rPr>
          <w:sz w:val="24"/>
          <w:szCs w:val="24"/>
        </w:rPr>
      </w:pPr>
    </w:p>
    <w:p w14:paraId="218BB290" w14:textId="77777777" w:rsidR="001C08A5" w:rsidRDefault="00000000">
      <w:pPr>
        <w:jc w:val="both"/>
        <w:rPr>
          <w:b/>
          <w:sz w:val="24"/>
          <w:szCs w:val="24"/>
        </w:rPr>
      </w:pPr>
      <w:r>
        <w:rPr>
          <w:sz w:val="24"/>
          <w:szCs w:val="24"/>
        </w:rPr>
        <w:tab/>
      </w:r>
      <w:r>
        <w:rPr>
          <w:b/>
          <w:sz w:val="24"/>
          <w:szCs w:val="24"/>
        </w:rPr>
        <w:t xml:space="preserve">Art. </w:t>
      </w:r>
      <w:r>
        <w:rPr>
          <w:b/>
          <w:bCs/>
          <w:sz w:val="24"/>
          <w:szCs w:val="24"/>
        </w:rPr>
        <w:t>3.2.10.</w:t>
      </w:r>
      <w:r>
        <w:rPr>
          <w:b/>
          <w:sz w:val="24"/>
          <w:szCs w:val="24"/>
        </w:rPr>
        <w:t xml:space="preserve">5. </w:t>
      </w:r>
      <w:r>
        <w:rPr>
          <w:sz w:val="24"/>
          <w:szCs w:val="24"/>
        </w:rPr>
        <w:t xml:space="preserve">Comportarea la foc a pereţilor, uşilor și planşeelor de separare a căilor de evacuare orizontale (coridoare şi holuri) din clădirile civile supraterane cu înălţimi obişnuite, montane sau din Delta Dunării, amplasate izolat, trebuie să corespundă prevederilor din </w:t>
      </w:r>
      <w:r>
        <w:rPr>
          <w:b/>
          <w:bCs/>
          <w:i/>
          <w:iCs/>
          <w:sz w:val="24"/>
          <w:szCs w:val="24"/>
        </w:rPr>
        <w:fldChar w:fldCharType="begin"/>
      </w:r>
      <w:r>
        <w:rPr>
          <w:b/>
          <w:bCs/>
          <w:i/>
          <w:iCs/>
          <w:sz w:val="24"/>
          <w:szCs w:val="24"/>
        </w:rPr>
        <w:instrText xml:space="preserve"> REF _Ref27108 \h </w:instrText>
      </w:r>
      <w:r>
        <w:rPr>
          <w:b/>
          <w:bCs/>
          <w:i/>
          <w:iCs/>
          <w:sz w:val="24"/>
          <w:szCs w:val="24"/>
        </w:rPr>
      </w:r>
      <w:r>
        <w:rPr>
          <w:b/>
          <w:bCs/>
          <w:i/>
          <w:iCs/>
          <w:sz w:val="24"/>
          <w:szCs w:val="24"/>
        </w:rPr>
        <w:fldChar w:fldCharType="separate"/>
      </w:r>
      <w:r>
        <w:t>Tabelul 86</w:t>
      </w:r>
      <w:r>
        <w:rPr>
          <w:b/>
          <w:bCs/>
          <w:i/>
          <w:iCs/>
          <w:sz w:val="24"/>
          <w:szCs w:val="24"/>
        </w:rPr>
        <w:fldChar w:fldCharType="end"/>
      </w:r>
      <w:r>
        <w:rPr>
          <w:sz w:val="24"/>
          <w:szCs w:val="24"/>
        </w:rPr>
        <w:t>.</w:t>
      </w:r>
    </w:p>
    <w:p w14:paraId="074DF04B" w14:textId="77777777" w:rsidR="001C08A5" w:rsidRDefault="001C08A5">
      <w:pPr>
        <w:jc w:val="both"/>
        <w:rPr>
          <w:b/>
          <w:sz w:val="24"/>
          <w:szCs w:val="24"/>
        </w:rPr>
      </w:pPr>
    </w:p>
    <w:p w14:paraId="540826A4" w14:textId="77777777" w:rsidR="001C08A5" w:rsidRDefault="00000000">
      <w:pPr>
        <w:pStyle w:val="Captiontabel"/>
      </w:pPr>
      <w:bookmarkStart w:id="4013" w:name="_Ref27108"/>
      <w:bookmarkStart w:id="4014" w:name="_Toc162360136"/>
      <w:r>
        <w:t xml:space="preserve">Tabelul </w:t>
      </w:r>
      <w:r>
        <w:fldChar w:fldCharType="begin"/>
      </w:r>
      <w:r>
        <w:instrText xml:space="preserve"> SEQ Tabelul \* ARABIC </w:instrText>
      </w:r>
      <w:r>
        <w:fldChar w:fldCharType="separate"/>
      </w:r>
      <w:r>
        <w:t>86</w:t>
      </w:r>
      <w:r>
        <w:fldChar w:fldCharType="end"/>
      </w:r>
      <w:bookmarkStart w:id="4015" w:name="_Toc25593"/>
      <w:bookmarkStart w:id="4016" w:name="_Toc24155"/>
      <w:bookmarkStart w:id="4017" w:name="_Toc20834"/>
      <w:bookmarkStart w:id="4018" w:name="_Toc28527"/>
      <w:bookmarkStart w:id="4019" w:name="_Toc4482"/>
      <w:bookmarkStart w:id="4020" w:name="_Toc23927"/>
      <w:bookmarkStart w:id="4021" w:name="_Toc10803"/>
      <w:bookmarkStart w:id="4022" w:name="_Toc28517"/>
      <w:bookmarkStart w:id="4023" w:name="_Toc18450"/>
      <w:bookmarkStart w:id="4024" w:name="_Toc2887"/>
      <w:bookmarkStart w:id="4025" w:name="_Toc3303"/>
      <w:bookmarkStart w:id="4026" w:name="_Toc28704"/>
      <w:bookmarkStart w:id="4027" w:name="_Toc26970"/>
      <w:bookmarkStart w:id="4028" w:name="_Toc15308"/>
      <w:bookmarkStart w:id="4029" w:name="_Toc9653"/>
      <w:bookmarkStart w:id="4030" w:name="_Toc25013"/>
      <w:bookmarkStart w:id="4031" w:name="_Toc19026"/>
      <w:bookmarkStart w:id="4032" w:name="_Toc5725"/>
      <w:bookmarkStart w:id="4033" w:name="_Toc8690"/>
      <w:bookmarkEnd w:id="4013"/>
      <w:r>
        <w:t>: Comportare la foc a pereţilor, uşilor și planşeelor de separare a căilor de evacuare orizontale (coridoare şi holuri) din clădirile civile supraterane cu înălţimi obişnuite montane sau din Delta Dunării, amplasate izolat</w:t>
      </w:r>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p>
    <w:p w14:paraId="57BF40A9"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281"/>
        <w:gridCol w:w="1687"/>
        <w:gridCol w:w="1980"/>
        <w:gridCol w:w="1749"/>
        <w:gridCol w:w="1539"/>
      </w:tblGrid>
      <w:tr w:rsidR="001C08A5" w14:paraId="62BE9641" w14:textId="77777777">
        <w:trPr>
          <w:tblHeader/>
        </w:trPr>
        <w:tc>
          <w:tcPr>
            <w:tcW w:w="1262" w:type="dxa"/>
            <w:vMerge w:val="restart"/>
            <w:shd w:val="clear" w:color="auto" w:fill="BFBFBF"/>
          </w:tcPr>
          <w:p w14:paraId="5F20807D" w14:textId="77777777" w:rsidR="001C08A5" w:rsidRDefault="001C08A5">
            <w:pPr>
              <w:pStyle w:val="BodyText"/>
              <w:jc w:val="center"/>
              <w:rPr>
                <w:bCs w:val="0"/>
                <w:sz w:val="22"/>
                <w:szCs w:val="22"/>
              </w:rPr>
            </w:pPr>
          </w:p>
          <w:p w14:paraId="7CEE273B" w14:textId="77777777" w:rsidR="001C08A5" w:rsidRDefault="00000000">
            <w:pPr>
              <w:pStyle w:val="BodyText"/>
              <w:jc w:val="center"/>
              <w:rPr>
                <w:bCs w:val="0"/>
                <w:sz w:val="22"/>
                <w:szCs w:val="22"/>
              </w:rPr>
            </w:pPr>
            <w:r>
              <w:rPr>
                <w:bCs w:val="0"/>
                <w:sz w:val="22"/>
                <w:szCs w:val="22"/>
              </w:rPr>
              <w:t>Nivel de stabilitate</w:t>
            </w:r>
          </w:p>
          <w:p w14:paraId="5763EAE2"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2F36C209" w14:textId="77777777" w:rsidR="001C08A5" w:rsidRDefault="00000000">
            <w:pPr>
              <w:jc w:val="center"/>
              <w:rPr>
                <w:b/>
                <w:bCs/>
                <w:i/>
                <w:sz w:val="22"/>
                <w:szCs w:val="22"/>
              </w:rPr>
            </w:pPr>
            <w:r>
              <w:rPr>
                <w:b/>
                <w:bCs/>
                <w:i/>
                <w:sz w:val="22"/>
                <w:szCs w:val="22"/>
              </w:rPr>
              <w:t>Niveluri de comportare la foc admise la coridoare si holuri</w:t>
            </w:r>
          </w:p>
        </w:tc>
      </w:tr>
      <w:tr w:rsidR="001C08A5" w14:paraId="6A9F4F5B" w14:textId="77777777">
        <w:trPr>
          <w:tblHeader/>
        </w:trPr>
        <w:tc>
          <w:tcPr>
            <w:tcW w:w="1262" w:type="dxa"/>
            <w:vMerge/>
            <w:shd w:val="clear" w:color="auto" w:fill="BFBFBF"/>
          </w:tcPr>
          <w:p w14:paraId="4497244A" w14:textId="77777777" w:rsidR="001C08A5" w:rsidRDefault="001C08A5">
            <w:pPr>
              <w:jc w:val="center"/>
              <w:rPr>
                <w:i/>
                <w:sz w:val="22"/>
                <w:szCs w:val="22"/>
              </w:rPr>
            </w:pPr>
          </w:p>
        </w:tc>
        <w:tc>
          <w:tcPr>
            <w:tcW w:w="2968" w:type="dxa"/>
            <w:gridSpan w:val="2"/>
            <w:shd w:val="clear" w:color="auto" w:fill="BFBFBF"/>
          </w:tcPr>
          <w:p w14:paraId="7557FB34" w14:textId="77777777" w:rsidR="001C08A5" w:rsidRDefault="001C08A5">
            <w:pPr>
              <w:jc w:val="center"/>
              <w:rPr>
                <w:b/>
                <w:bCs/>
                <w:i/>
                <w:sz w:val="22"/>
                <w:szCs w:val="22"/>
              </w:rPr>
            </w:pPr>
          </w:p>
          <w:p w14:paraId="4B4CEF4E" w14:textId="77777777" w:rsidR="001C08A5" w:rsidRDefault="00000000">
            <w:pPr>
              <w:jc w:val="center"/>
              <w:rPr>
                <w:i/>
                <w:sz w:val="22"/>
                <w:szCs w:val="22"/>
              </w:rPr>
            </w:pPr>
            <w:r>
              <w:rPr>
                <w:b/>
                <w:bCs/>
                <w:i/>
                <w:sz w:val="22"/>
                <w:szCs w:val="22"/>
              </w:rPr>
              <w:t>Pereţi</w:t>
            </w:r>
          </w:p>
        </w:tc>
        <w:tc>
          <w:tcPr>
            <w:tcW w:w="3729" w:type="dxa"/>
            <w:gridSpan w:val="2"/>
            <w:shd w:val="clear" w:color="auto" w:fill="BFBFBF"/>
          </w:tcPr>
          <w:p w14:paraId="61854F16"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și holurile,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5237F155" w14:textId="77777777" w:rsidR="001C08A5" w:rsidRDefault="00000000">
            <w:pPr>
              <w:jc w:val="center"/>
              <w:rPr>
                <w:b/>
                <w:bCs/>
                <w:i/>
                <w:sz w:val="22"/>
                <w:szCs w:val="22"/>
              </w:rPr>
            </w:pPr>
            <w:r>
              <w:rPr>
                <w:b/>
                <w:bCs/>
                <w:i/>
                <w:sz w:val="22"/>
                <w:szCs w:val="22"/>
              </w:rPr>
              <w:t>Uşi</w:t>
            </w:r>
          </w:p>
          <w:p w14:paraId="47322AC3" w14:textId="77777777" w:rsidR="001C08A5" w:rsidRDefault="00000000">
            <w:pPr>
              <w:jc w:val="center"/>
              <w:rPr>
                <w:i/>
                <w:sz w:val="22"/>
                <w:szCs w:val="22"/>
              </w:rPr>
            </w:pPr>
            <w:r>
              <w:rPr>
                <w:bCs/>
                <w:i/>
                <w:sz w:val="22"/>
                <w:szCs w:val="22"/>
              </w:rPr>
              <w:t>(cu excepţia celor către case de scări închise)</w:t>
            </w:r>
          </w:p>
        </w:tc>
      </w:tr>
      <w:tr w:rsidR="001C08A5" w14:paraId="465C606D" w14:textId="77777777">
        <w:tc>
          <w:tcPr>
            <w:tcW w:w="1262" w:type="dxa"/>
          </w:tcPr>
          <w:p w14:paraId="7CB45210" w14:textId="77777777" w:rsidR="001C08A5" w:rsidRDefault="00000000">
            <w:pPr>
              <w:pStyle w:val="BodyText"/>
              <w:jc w:val="center"/>
              <w:rPr>
                <w:bCs w:val="0"/>
                <w:sz w:val="22"/>
                <w:szCs w:val="22"/>
              </w:rPr>
            </w:pPr>
            <w:r>
              <w:rPr>
                <w:bCs w:val="0"/>
                <w:sz w:val="22"/>
                <w:szCs w:val="22"/>
              </w:rPr>
              <w:t>I</w:t>
            </w:r>
          </w:p>
          <w:p w14:paraId="2CBD2141" w14:textId="77777777" w:rsidR="001C08A5" w:rsidRDefault="00000000">
            <w:pPr>
              <w:pStyle w:val="BodyText"/>
              <w:jc w:val="center"/>
              <w:rPr>
                <w:bCs w:val="0"/>
                <w:sz w:val="22"/>
                <w:szCs w:val="22"/>
              </w:rPr>
            </w:pPr>
            <w:r>
              <w:rPr>
                <w:sz w:val="22"/>
                <w:szCs w:val="22"/>
              </w:rPr>
              <w:t>h&lt;28m</w:t>
            </w:r>
          </w:p>
        </w:tc>
        <w:tc>
          <w:tcPr>
            <w:tcW w:w="1281" w:type="dxa"/>
          </w:tcPr>
          <w:p w14:paraId="6EB194C0" w14:textId="77777777" w:rsidR="001C08A5" w:rsidRDefault="00000000">
            <w:pPr>
              <w:jc w:val="center"/>
              <w:rPr>
                <w:b/>
                <w:i/>
                <w:sz w:val="22"/>
                <w:szCs w:val="22"/>
              </w:rPr>
            </w:pPr>
            <w:r>
              <w:rPr>
                <w:b/>
                <w:i/>
                <w:sz w:val="22"/>
                <w:szCs w:val="22"/>
              </w:rPr>
              <w:t xml:space="preserve">EI/REI 90 </w:t>
            </w:r>
          </w:p>
          <w:p w14:paraId="2DA4774C" w14:textId="77777777" w:rsidR="001C08A5" w:rsidRDefault="001C08A5">
            <w:pPr>
              <w:jc w:val="center"/>
              <w:rPr>
                <w:b/>
                <w:i/>
                <w:sz w:val="22"/>
                <w:szCs w:val="22"/>
              </w:rPr>
            </w:pPr>
          </w:p>
        </w:tc>
        <w:tc>
          <w:tcPr>
            <w:tcW w:w="1687" w:type="dxa"/>
          </w:tcPr>
          <w:p w14:paraId="198167AB"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980" w:type="dxa"/>
            <w:vMerge w:val="restart"/>
            <w:textDirection w:val="lrTbV"/>
          </w:tcPr>
          <w:p w14:paraId="1472C26C" w14:textId="77777777" w:rsidR="001C08A5" w:rsidRDefault="00000000">
            <w:pPr>
              <w:jc w:val="center"/>
              <w:rPr>
                <w:i/>
                <w:sz w:val="22"/>
                <w:szCs w:val="22"/>
              </w:rPr>
            </w:pPr>
            <w:r>
              <w:rPr>
                <w:b/>
                <w:i/>
                <w:sz w:val="22"/>
                <w:szCs w:val="22"/>
              </w:rPr>
              <w:t xml:space="preserve">Conform </w:t>
            </w: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b/>
                <w:bCs/>
                <w:i/>
                <w:iCs/>
                <w:sz w:val="24"/>
                <w:szCs w:val="24"/>
              </w:rPr>
              <w:t>, pct. 3</w:t>
            </w:r>
          </w:p>
          <w:p w14:paraId="11995EA9" w14:textId="77777777" w:rsidR="001C08A5" w:rsidRDefault="00000000">
            <w:pPr>
              <w:rPr>
                <w:b/>
                <w:i/>
                <w:sz w:val="22"/>
                <w:szCs w:val="22"/>
              </w:rPr>
            </w:pPr>
            <w:r>
              <w:rPr>
                <w:i/>
                <w:sz w:val="22"/>
                <w:szCs w:val="22"/>
              </w:rPr>
              <w:t>Condiţiile minime de rezistenţă la foc pe care trebuie să le îndeplinească  PLANȘEELE (</w:t>
            </w:r>
            <w:r>
              <w:rPr>
                <w:b/>
                <w:bCs/>
                <w:i/>
                <w:sz w:val="22"/>
                <w:szCs w:val="22"/>
              </w:rPr>
              <w:t>REI</w:t>
            </w:r>
            <w:r>
              <w:rPr>
                <w:i/>
                <w:sz w:val="22"/>
                <w:szCs w:val="22"/>
              </w:rPr>
              <w:t>) pentru încadrarea  în nivelul stabilit de stabilitate la incendiu.</w:t>
            </w:r>
          </w:p>
        </w:tc>
        <w:tc>
          <w:tcPr>
            <w:tcW w:w="1749" w:type="dxa"/>
          </w:tcPr>
          <w:p w14:paraId="43D1406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4DA176EE" w14:textId="77777777" w:rsidR="001C08A5" w:rsidRDefault="00000000">
            <w:pPr>
              <w:jc w:val="center"/>
              <w:rPr>
                <w:i/>
                <w:sz w:val="22"/>
                <w:szCs w:val="22"/>
              </w:rPr>
            </w:pPr>
            <w:r>
              <w:rPr>
                <w:b/>
                <w:bCs/>
                <w:i/>
                <w:sz w:val="22"/>
                <w:szCs w:val="22"/>
              </w:rPr>
              <w:t xml:space="preserve">E 15 - C5 </w:t>
            </w:r>
            <w:r>
              <w:rPr>
                <w:b/>
                <w:i/>
                <w:sz w:val="22"/>
                <w:szCs w:val="22"/>
              </w:rPr>
              <w:t>S</w:t>
            </w:r>
            <w:r>
              <w:rPr>
                <w:b/>
                <w:bCs/>
                <w:i/>
                <w:sz w:val="22"/>
                <w:szCs w:val="22"/>
                <w:vertAlign w:val="subscript"/>
              </w:rPr>
              <w:t>200</w:t>
            </w:r>
          </w:p>
        </w:tc>
      </w:tr>
      <w:tr w:rsidR="001C08A5" w14:paraId="3FC81DE8" w14:textId="77777777">
        <w:tc>
          <w:tcPr>
            <w:tcW w:w="1262" w:type="dxa"/>
          </w:tcPr>
          <w:p w14:paraId="60EC18E0" w14:textId="77777777" w:rsidR="001C08A5" w:rsidRDefault="00000000">
            <w:pPr>
              <w:pStyle w:val="BodyText"/>
              <w:jc w:val="center"/>
              <w:rPr>
                <w:bCs w:val="0"/>
                <w:sz w:val="22"/>
                <w:szCs w:val="22"/>
              </w:rPr>
            </w:pPr>
            <w:r>
              <w:rPr>
                <w:bCs w:val="0"/>
                <w:sz w:val="22"/>
                <w:szCs w:val="22"/>
              </w:rPr>
              <w:t>II</w:t>
            </w:r>
          </w:p>
        </w:tc>
        <w:tc>
          <w:tcPr>
            <w:tcW w:w="1281" w:type="dxa"/>
          </w:tcPr>
          <w:p w14:paraId="5C833D10" w14:textId="77777777" w:rsidR="001C08A5" w:rsidRDefault="00000000">
            <w:pPr>
              <w:jc w:val="center"/>
              <w:rPr>
                <w:b/>
                <w:i/>
                <w:sz w:val="22"/>
                <w:szCs w:val="22"/>
              </w:rPr>
            </w:pPr>
            <w:r>
              <w:rPr>
                <w:b/>
                <w:i/>
                <w:sz w:val="22"/>
                <w:szCs w:val="22"/>
              </w:rPr>
              <w:t xml:space="preserve">EI/REI 60 </w:t>
            </w:r>
          </w:p>
          <w:p w14:paraId="31CA7A09" w14:textId="77777777" w:rsidR="001C08A5" w:rsidRDefault="001C08A5">
            <w:pPr>
              <w:jc w:val="center"/>
              <w:rPr>
                <w:b/>
                <w:i/>
                <w:sz w:val="22"/>
                <w:szCs w:val="22"/>
              </w:rPr>
            </w:pPr>
          </w:p>
        </w:tc>
        <w:tc>
          <w:tcPr>
            <w:tcW w:w="1687" w:type="dxa"/>
          </w:tcPr>
          <w:p w14:paraId="3FB8825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980" w:type="dxa"/>
            <w:vMerge/>
          </w:tcPr>
          <w:p w14:paraId="246CF9A1" w14:textId="77777777" w:rsidR="001C08A5" w:rsidRDefault="001C08A5">
            <w:pPr>
              <w:jc w:val="center"/>
              <w:rPr>
                <w:b/>
                <w:i/>
                <w:sz w:val="22"/>
                <w:szCs w:val="22"/>
              </w:rPr>
            </w:pPr>
          </w:p>
        </w:tc>
        <w:tc>
          <w:tcPr>
            <w:tcW w:w="1749" w:type="dxa"/>
          </w:tcPr>
          <w:p w14:paraId="03B16DE8"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48D21DA5" w14:textId="77777777" w:rsidR="001C08A5" w:rsidRDefault="00000000">
            <w:pPr>
              <w:jc w:val="center"/>
              <w:rPr>
                <w:i/>
                <w:sz w:val="22"/>
                <w:szCs w:val="22"/>
              </w:rPr>
            </w:pPr>
            <w:r>
              <w:rPr>
                <w:b/>
                <w:bCs/>
                <w:i/>
                <w:sz w:val="22"/>
                <w:szCs w:val="22"/>
              </w:rPr>
              <w:t>E 15 - C5 Sa</w:t>
            </w:r>
          </w:p>
        </w:tc>
      </w:tr>
      <w:tr w:rsidR="001C08A5" w14:paraId="10CACC7E" w14:textId="77777777">
        <w:tc>
          <w:tcPr>
            <w:tcW w:w="1262" w:type="dxa"/>
          </w:tcPr>
          <w:p w14:paraId="7B301463" w14:textId="77777777" w:rsidR="001C08A5" w:rsidRDefault="00000000">
            <w:pPr>
              <w:pStyle w:val="BodyText"/>
              <w:jc w:val="center"/>
              <w:rPr>
                <w:bCs w:val="0"/>
                <w:sz w:val="22"/>
                <w:szCs w:val="22"/>
              </w:rPr>
            </w:pPr>
            <w:r>
              <w:rPr>
                <w:bCs w:val="0"/>
                <w:sz w:val="22"/>
                <w:szCs w:val="22"/>
              </w:rPr>
              <w:t>II (+)</w:t>
            </w:r>
          </w:p>
        </w:tc>
        <w:tc>
          <w:tcPr>
            <w:tcW w:w="1281" w:type="dxa"/>
          </w:tcPr>
          <w:p w14:paraId="7E8B0243" w14:textId="77777777" w:rsidR="001C08A5" w:rsidRDefault="00000000">
            <w:pPr>
              <w:jc w:val="center"/>
              <w:rPr>
                <w:b/>
                <w:i/>
                <w:sz w:val="22"/>
                <w:szCs w:val="22"/>
              </w:rPr>
            </w:pPr>
            <w:r>
              <w:rPr>
                <w:b/>
                <w:i/>
                <w:sz w:val="22"/>
                <w:szCs w:val="22"/>
              </w:rPr>
              <w:t>EI/REI 60</w:t>
            </w:r>
          </w:p>
          <w:p w14:paraId="35E2BE8D" w14:textId="77777777" w:rsidR="001C08A5" w:rsidRDefault="001C08A5">
            <w:pPr>
              <w:jc w:val="center"/>
              <w:rPr>
                <w:b/>
                <w:i/>
                <w:sz w:val="22"/>
                <w:szCs w:val="22"/>
              </w:rPr>
            </w:pPr>
          </w:p>
        </w:tc>
        <w:tc>
          <w:tcPr>
            <w:tcW w:w="1687" w:type="dxa"/>
          </w:tcPr>
          <w:p w14:paraId="56B4E496"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980" w:type="dxa"/>
            <w:vMerge/>
          </w:tcPr>
          <w:p w14:paraId="74B245A0" w14:textId="77777777" w:rsidR="001C08A5" w:rsidRDefault="001C08A5">
            <w:pPr>
              <w:jc w:val="center"/>
              <w:rPr>
                <w:b/>
                <w:i/>
                <w:sz w:val="22"/>
                <w:szCs w:val="22"/>
              </w:rPr>
            </w:pPr>
          </w:p>
        </w:tc>
        <w:tc>
          <w:tcPr>
            <w:tcW w:w="1749" w:type="dxa"/>
          </w:tcPr>
          <w:p w14:paraId="762603FB"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39" w:type="dxa"/>
          </w:tcPr>
          <w:p w14:paraId="2B73B3F0" w14:textId="77777777" w:rsidR="001C08A5" w:rsidRDefault="00000000">
            <w:pPr>
              <w:jc w:val="center"/>
              <w:rPr>
                <w:b/>
                <w:bCs/>
                <w:i/>
                <w:sz w:val="22"/>
                <w:szCs w:val="22"/>
              </w:rPr>
            </w:pPr>
            <w:r>
              <w:rPr>
                <w:b/>
                <w:bCs/>
                <w:i/>
                <w:sz w:val="22"/>
                <w:szCs w:val="22"/>
              </w:rPr>
              <w:t>E 15 - C5 Sa</w:t>
            </w:r>
          </w:p>
        </w:tc>
      </w:tr>
      <w:tr w:rsidR="001C08A5" w14:paraId="0A0860C6" w14:textId="77777777">
        <w:tc>
          <w:tcPr>
            <w:tcW w:w="1262" w:type="dxa"/>
          </w:tcPr>
          <w:p w14:paraId="4F13AA21" w14:textId="77777777" w:rsidR="001C08A5" w:rsidRDefault="00000000">
            <w:pPr>
              <w:pStyle w:val="BodyText"/>
              <w:jc w:val="center"/>
              <w:rPr>
                <w:bCs w:val="0"/>
                <w:sz w:val="22"/>
                <w:szCs w:val="22"/>
              </w:rPr>
            </w:pPr>
            <w:r>
              <w:rPr>
                <w:bCs w:val="0"/>
                <w:sz w:val="22"/>
                <w:szCs w:val="22"/>
              </w:rPr>
              <w:t>III</w:t>
            </w:r>
          </w:p>
        </w:tc>
        <w:tc>
          <w:tcPr>
            <w:tcW w:w="1281" w:type="dxa"/>
          </w:tcPr>
          <w:p w14:paraId="4072A235" w14:textId="77777777" w:rsidR="001C08A5" w:rsidRDefault="00000000">
            <w:pPr>
              <w:jc w:val="center"/>
              <w:rPr>
                <w:b/>
                <w:i/>
                <w:sz w:val="22"/>
                <w:szCs w:val="22"/>
              </w:rPr>
            </w:pPr>
            <w:r>
              <w:rPr>
                <w:b/>
                <w:i/>
                <w:sz w:val="22"/>
                <w:szCs w:val="22"/>
              </w:rPr>
              <w:t xml:space="preserve">EI/REI 45 </w:t>
            </w:r>
          </w:p>
          <w:p w14:paraId="08C5AC84" w14:textId="77777777" w:rsidR="001C08A5" w:rsidRDefault="001C08A5">
            <w:pPr>
              <w:jc w:val="center"/>
              <w:rPr>
                <w:b/>
                <w:i/>
                <w:sz w:val="22"/>
                <w:szCs w:val="22"/>
              </w:rPr>
            </w:pPr>
          </w:p>
        </w:tc>
        <w:tc>
          <w:tcPr>
            <w:tcW w:w="1687" w:type="dxa"/>
          </w:tcPr>
          <w:p w14:paraId="2277EE97"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1980" w:type="dxa"/>
            <w:vMerge/>
          </w:tcPr>
          <w:p w14:paraId="6E08D7E4" w14:textId="77777777" w:rsidR="001C08A5" w:rsidRDefault="001C08A5">
            <w:pPr>
              <w:jc w:val="center"/>
              <w:rPr>
                <w:b/>
                <w:i/>
                <w:sz w:val="22"/>
                <w:szCs w:val="22"/>
              </w:rPr>
            </w:pPr>
          </w:p>
        </w:tc>
        <w:tc>
          <w:tcPr>
            <w:tcW w:w="1749" w:type="dxa"/>
          </w:tcPr>
          <w:p w14:paraId="644F3924"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p w14:paraId="4E5008E6" w14:textId="77777777" w:rsidR="001C08A5" w:rsidRDefault="001C08A5">
            <w:pPr>
              <w:rPr>
                <w:i/>
                <w:sz w:val="22"/>
                <w:szCs w:val="22"/>
              </w:rPr>
            </w:pPr>
          </w:p>
        </w:tc>
        <w:tc>
          <w:tcPr>
            <w:tcW w:w="1539" w:type="dxa"/>
          </w:tcPr>
          <w:p w14:paraId="6F722BD4" w14:textId="77777777" w:rsidR="001C08A5" w:rsidRDefault="00000000">
            <w:pPr>
              <w:jc w:val="center"/>
              <w:rPr>
                <w:i/>
                <w:sz w:val="22"/>
                <w:szCs w:val="22"/>
              </w:rPr>
            </w:pPr>
            <w:r>
              <w:rPr>
                <w:b/>
                <w:bCs/>
                <w:i/>
                <w:sz w:val="22"/>
                <w:szCs w:val="22"/>
              </w:rPr>
              <w:t>C5</w:t>
            </w:r>
          </w:p>
        </w:tc>
      </w:tr>
      <w:tr w:rsidR="001C08A5" w14:paraId="6258453C" w14:textId="77777777">
        <w:tc>
          <w:tcPr>
            <w:tcW w:w="1262" w:type="dxa"/>
          </w:tcPr>
          <w:p w14:paraId="7E755009" w14:textId="77777777" w:rsidR="001C08A5" w:rsidRDefault="00000000">
            <w:pPr>
              <w:pStyle w:val="BodyText"/>
              <w:jc w:val="center"/>
              <w:rPr>
                <w:bCs w:val="0"/>
                <w:sz w:val="22"/>
                <w:szCs w:val="22"/>
              </w:rPr>
            </w:pPr>
            <w:r>
              <w:rPr>
                <w:bCs w:val="0"/>
                <w:sz w:val="22"/>
                <w:szCs w:val="22"/>
              </w:rPr>
              <w:t>III (+)</w:t>
            </w:r>
          </w:p>
        </w:tc>
        <w:tc>
          <w:tcPr>
            <w:tcW w:w="1281" w:type="dxa"/>
          </w:tcPr>
          <w:p w14:paraId="758C6DBD" w14:textId="77777777" w:rsidR="001C08A5" w:rsidRDefault="00000000">
            <w:pPr>
              <w:jc w:val="center"/>
              <w:rPr>
                <w:b/>
                <w:i/>
                <w:sz w:val="22"/>
                <w:szCs w:val="22"/>
              </w:rPr>
            </w:pPr>
            <w:r>
              <w:rPr>
                <w:b/>
                <w:i/>
                <w:sz w:val="22"/>
                <w:szCs w:val="22"/>
              </w:rPr>
              <w:t xml:space="preserve">EI/REI 45 </w:t>
            </w:r>
          </w:p>
          <w:p w14:paraId="275AF142" w14:textId="77777777" w:rsidR="001C08A5" w:rsidRDefault="001C08A5">
            <w:pPr>
              <w:jc w:val="center"/>
              <w:rPr>
                <w:b/>
                <w:i/>
                <w:sz w:val="22"/>
                <w:szCs w:val="22"/>
              </w:rPr>
            </w:pPr>
          </w:p>
        </w:tc>
        <w:tc>
          <w:tcPr>
            <w:tcW w:w="1687" w:type="dxa"/>
          </w:tcPr>
          <w:p w14:paraId="66E645B8"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980" w:type="dxa"/>
            <w:vMerge/>
          </w:tcPr>
          <w:p w14:paraId="2B0D8E65" w14:textId="77777777" w:rsidR="001C08A5" w:rsidRDefault="001C08A5">
            <w:pPr>
              <w:jc w:val="center"/>
              <w:rPr>
                <w:b/>
                <w:i/>
                <w:sz w:val="22"/>
                <w:szCs w:val="22"/>
              </w:rPr>
            </w:pPr>
          </w:p>
        </w:tc>
        <w:tc>
          <w:tcPr>
            <w:tcW w:w="1749" w:type="dxa"/>
          </w:tcPr>
          <w:p w14:paraId="421C7768" w14:textId="77777777" w:rsidR="001C08A5" w:rsidRDefault="00000000">
            <w:pPr>
              <w:jc w:val="center"/>
              <w:rPr>
                <w:i/>
                <w:sz w:val="22"/>
                <w:szCs w:val="22"/>
              </w:rPr>
            </w:pPr>
            <w:r>
              <w:rPr>
                <w:b/>
                <w:i/>
                <w:sz w:val="22"/>
                <w:szCs w:val="22"/>
              </w:rPr>
              <w:t xml:space="preserve"> A1 </w:t>
            </w:r>
            <w:r>
              <w:rPr>
                <w:i/>
                <w:sz w:val="22"/>
                <w:szCs w:val="22"/>
              </w:rPr>
              <w:t>sau</w:t>
            </w:r>
            <w:r>
              <w:rPr>
                <w:b/>
                <w:i/>
                <w:sz w:val="22"/>
                <w:szCs w:val="22"/>
              </w:rPr>
              <w:t xml:space="preserve"> A2-s1d0, </w:t>
            </w:r>
          </w:p>
        </w:tc>
        <w:tc>
          <w:tcPr>
            <w:tcW w:w="1539" w:type="dxa"/>
          </w:tcPr>
          <w:p w14:paraId="591DABE5" w14:textId="77777777" w:rsidR="001C08A5" w:rsidRDefault="00000000">
            <w:pPr>
              <w:jc w:val="center"/>
              <w:rPr>
                <w:b/>
                <w:bCs/>
                <w:i/>
                <w:sz w:val="22"/>
                <w:szCs w:val="22"/>
              </w:rPr>
            </w:pPr>
            <w:r>
              <w:rPr>
                <w:b/>
                <w:bCs/>
                <w:i/>
                <w:sz w:val="22"/>
                <w:szCs w:val="22"/>
              </w:rPr>
              <w:t>C5</w:t>
            </w:r>
          </w:p>
        </w:tc>
      </w:tr>
      <w:tr w:rsidR="001C08A5" w14:paraId="7C35B017" w14:textId="77777777">
        <w:trPr>
          <w:trHeight w:val="608"/>
        </w:trPr>
        <w:tc>
          <w:tcPr>
            <w:tcW w:w="1262" w:type="dxa"/>
          </w:tcPr>
          <w:p w14:paraId="6F64EEDA" w14:textId="77777777" w:rsidR="001C08A5" w:rsidRDefault="00000000">
            <w:pPr>
              <w:pStyle w:val="BodyText"/>
              <w:jc w:val="center"/>
              <w:rPr>
                <w:bCs w:val="0"/>
                <w:sz w:val="22"/>
                <w:szCs w:val="22"/>
              </w:rPr>
            </w:pPr>
            <w:r>
              <w:rPr>
                <w:bCs w:val="0"/>
                <w:sz w:val="22"/>
                <w:szCs w:val="22"/>
              </w:rPr>
              <w:t>IV</w:t>
            </w:r>
          </w:p>
        </w:tc>
        <w:tc>
          <w:tcPr>
            <w:tcW w:w="1281" w:type="dxa"/>
          </w:tcPr>
          <w:p w14:paraId="0E2C1C28" w14:textId="77777777" w:rsidR="001C08A5" w:rsidRDefault="00000000">
            <w:pPr>
              <w:jc w:val="center"/>
              <w:rPr>
                <w:b/>
                <w:i/>
                <w:sz w:val="22"/>
                <w:szCs w:val="22"/>
              </w:rPr>
            </w:pPr>
            <w:r>
              <w:rPr>
                <w:b/>
                <w:i/>
                <w:sz w:val="22"/>
                <w:szCs w:val="22"/>
              </w:rPr>
              <w:t xml:space="preserve">EI/REI 30 </w:t>
            </w:r>
          </w:p>
        </w:tc>
        <w:tc>
          <w:tcPr>
            <w:tcW w:w="1687" w:type="dxa"/>
          </w:tcPr>
          <w:p w14:paraId="4D40E0DB"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p w14:paraId="4CFEFF7C" w14:textId="77777777" w:rsidR="001C08A5" w:rsidRDefault="00000000">
            <w:pPr>
              <w:jc w:val="center"/>
              <w:rPr>
                <w:i/>
                <w:sz w:val="22"/>
                <w:szCs w:val="22"/>
              </w:rPr>
            </w:pPr>
            <w:r>
              <w:rPr>
                <w:b/>
                <w:i/>
                <w:sz w:val="22"/>
                <w:szCs w:val="22"/>
              </w:rPr>
              <w:t xml:space="preserve">B-s1d0, </w:t>
            </w:r>
            <w:r>
              <w:rPr>
                <w:b/>
                <w:bCs/>
                <w:i/>
                <w:sz w:val="22"/>
                <w:szCs w:val="22"/>
              </w:rPr>
              <w:t xml:space="preserve">C-s1d0 </w:t>
            </w:r>
          </w:p>
        </w:tc>
        <w:tc>
          <w:tcPr>
            <w:tcW w:w="1980" w:type="dxa"/>
            <w:vMerge/>
          </w:tcPr>
          <w:p w14:paraId="6D9C0E49" w14:textId="77777777" w:rsidR="001C08A5" w:rsidRDefault="001C08A5">
            <w:pPr>
              <w:jc w:val="center"/>
              <w:rPr>
                <w:b/>
                <w:i/>
                <w:sz w:val="22"/>
                <w:szCs w:val="22"/>
              </w:rPr>
            </w:pPr>
          </w:p>
        </w:tc>
        <w:tc>
          <w:tcPr>
            <w:tcW w:w="1749" w:type="dxa"/>
          </w:tcPr>
          <w:p w14:paraId="16DD0959" w14:textId="77777777" w:rsidR="001C08A5" w:rsidRDefault="00000000">
            <w:pPr>
              <w:jc w:val="center"/>
              <w:rPr>
                <w:b/>
                <w:i/>
                <w:sz w:val="22"/>
                <w:szCs w:val="22"/>
              </w:rPr>
            </w:pPr>
            <w:r>
              <w:rPr>
                <w:b/>
                <w:i/>
                <w:sz w:val="22"/>
                <w:szCs w:val="22"/>
              </w:rPr>
              <w:t>A1</w:t>
            </w:r>
            <w:r>
              <w:rPr>
                <w:bCs/>
                <w:i/>
                <w:sz w:val="22"/>
                <w:szCs w:val="22"/>
              </w:rPr>
              <w:t xml:space="preserve">, </w:t>
            </w:r>
            <w:r>
              <w:rPr>
                <w:b/>
                <w:i/>
                <w:sz w:val="22"/>
                <w:szCs w:val="22"/>
              </w:rPr>
              <w:t>A2-s1d0,</w:t>
            </w:r>
          </w:p>
          <w:p w14:paraId="38BC5481" w14:textId="77777777" w:rsidR="001C08A5" w:rsidRDefault="00000000">
            <w:pPr>
              <w:jc w:val="center"/>
              <w:rPr>
                <w:i/>
                <w:sz w:val="22"/>
                <w:szCs w:val="22"/>
              </w:rPr>
            </w:pPr>
            <w:r>
              <w:rPr>
                <w:b/>
                <w:i/>
                <w:sz w:val="22"/>
                <w:szCs w:val="22"/>
              </w:rPr>
              <w:t xml:space="preserve">B-s1d0, </w:t>
            </w:r>
            <w:r>
              <w:rPr>
                <w:b/>
                <w:bCs/>
                <w:i/>
                <w:sz w:val="22"/>
                <w:szCs w:val="22"/>
              </w:rPr>
              <w:t xml:space="preserve">C-s1d0 </w:t>
            </w:r>
          </w:p>
        </w:tc>
        <w:tc>
          <w:tcPr>
            <w:tcW w:w="1539" w:type="dxa"/>
          </w:tcPr>
          <w:p w14:paraId="2C02A30B" w14:textId="77777777" w:rsidR="001C08A5" w:rsidRDefault="00000000">
            <w:pPr>
              <w:jc w:val="center"/>
              <w:rPr>
                <w:i/>
                <w:sz w:val="22"/>
                <w:szCs w:val="22"/>
              </w:rPr>
            </w:pPr>
            <w:r>
              <w:rPr>
                <w:b/>
                <w:bCs/>
                <w:i/>
                <w:sz w:val="22"/>
                <w:szCs w:val="22"/>
              </w:rPr>
              <w:t>C5</w:t>
            </w:r>
          </w:p>
        </w:tc>
      </w:tr>
      <w:tr w:rsidR="001C08A5" w14:paraId="46452815" w14:textId="77777777">
        <w:tc>
          <w:tcPr>
            <w:tcW w:w="1262" w:type="dxa"/>
          </w:tcPr>
          <w:p w14:paraId="32B14D0E" w14:textId="77777777" w:rsidR="001C08A5" w:rsidRDefault="00000000">
            <w:pPr>
              <w:pStyle w:val="BodyText"/>
              <w:jc w:val="center"/>
              <w:rPr>
                <w:bCs w:val="0"/>
                <w:sz w:val="22"/>
                <w:szCs w:val="22"/>
              </w:rPr>
            </w:pPr>
            <w:r>
              <w:rPr>
                <w:bCs w:val="0"/>
                <w:sz w:val="22"/>
                <w:szCs w:val="22"/>
              </w:rPr>
              <w:t>V</w:t>
            </w:r>
            <w:r>
              <w:rPr>
                <w:sz w:val="22"/>
                <w:szCs w:val="22"/>
              </w:rPr>
              <w:t>*</w:t>
            </w:r>
          </w:p>
        </w:tc>
        <w:tc>
          <w:tcPr>
            <w:tcW w:w="1281" w:type="dxa"/>
          </w:tcPr>
          <w:p w14:paraId="56E5DEBD" w14:textId="77777777" w:rsidR="001C08A5" w:rsidRDefault="00000000">
            <w:pPr>
              <w:jc w:val="center"/>
              <w:rPr>
                <w:b/>
                <w:i/>
                <w:sz w:val="22"/>
                <w:szCs w:val="22"/>
              </w:rPr>
            </w:pPr>
            <w:r>
              <w:rPr>
                <w:b/>
                <w:i/>
                <w:sz w:val="22"/>
                <w:szCs w:val="22"/>
              </w:rPr>
              <w:t xml:space="preserve">EI/REI 15* </w:t>
            </w:r>
          </w:p>
          <w:p w14:paraId="4B9ECB88" w14:textId="77777777" w:rsidR="001C08A5" w:rsidRDefault="00000000">
            <w:pPr>
              <w:jc w:val="center"/>
              <w:rPr>
                <w:b/>
                <w:i/>
                <w:sz w:val="22"/>
                <w:szCs w:val="22"/>
              </w:rPr>
            </w:pPr>
            <w:r>
              <w:rPr>
                <w:b/>
                <w:i/>
                <w:sz w:val="22"/>
                <w:szCs w:val="22"/>
              </w:rPr>
              <w:t>(-*)</w:t>
            </w:r>
          </w:p>
          <w:p w14:paraId="25F2F633" w14:textId="77777777" w:rsidR="001C08A5" w:rsidRDefault="001C08A5">
            <w:pPr>
              <w:jc w:val="center"/>
              <w:rPr>
                <w:b/>
                <w:i/>
                <w:sz w:val="22"/>
                <w:szCs w:val="22"/>
              </w:rPr>
            </w:pPr>
          </w:p>
        </w:tc>
        <w:tc>
          <w:tcPr>
            <w:tcW w:w="1687" w:type="dxa"/>
          </w:tcPr>
          <w:p w14:paraId="74DBDB8A" w14:textId="77777777" w:rsidR="001C08A5" w:rsidRDefault="00000000">
            <w:pPr>
              <w:jc w:val="center"/>
              <w:rPr>
                <w:bCs/>
                <w:i/>
                <w:sz w:val="22"/>
                <w:szCs w:val="22"/>
              </w:rPr>
            </w:pPr>
            <w:r>
              <w:rPr>
                <w:b/>
                <w:bCs/>
                <w:i/>
                <w:sz w:val="22"/>
                <w:szCs w:val="22"/>
              </w:rPr>
              <w:t>A1</w:t>
            </w:r>
            <w:r>
              <w:rPr>
                <w:bCs/>
                <w:i/>
                <w:sz w:val="22"/>
                <w:szCs w:val="22"/>
              </w:rPr>
              <w:t xml:space="preserve">, </w:t>
            </w:r>
            <w:r>
              <w:rPr>
                <w:b/>
                <w:bCs/>
                <w:i/>
                <w:sz w:val="22"/>
                <w:szCs w:val="22"/>
              </w:rPr>
              <w:t>A2-s1d0</w:t>
            </w:r>
            <w:r>
              <w:rPr>
                <w:bCs/>
                <w:i/>
                <w:sz w:val="22"/>
                <w:szCs w:val="22"/>
              </w:rPr>
              <w:t>,</w:t>
            </w:r>
          </w:p>
          <w:p w14:paraId="3182353E" w14:textId="77777777" w:rsidR="001C08A5" w:rsidRDefault="00000000">
            <w:pPr>
              <w:jc w:val="center"/>
              <w:rPr>
                <w:bCs/>
                <w:i/>
                <w:sz w:val="22"/>
                <w:szCs w:val="22"/>
              </w:rPr>
            </w:pPr>
            <w:r>
              <w:rPr>
                <w:b/>
                <w:bCs/>
                <w:i/>
                <w:sz w:val="22"/>
                <w:szCs w:val="22"/>
              </w:rPr>
              <w:t>B-s1d0</w:t>
            </w:r>
            <w:r>
              <w:rPr>
                <w:bCs/>
                <w:i/>
                <w:sz w:val="22"/>
                <w:szCs w:val="22"/>
              </w:rPr>
              <w:t xml:space="preserve">, </w:t>
            </w:r>
          </w:p>
          <w:p w14:paraId="6B416BF4" w14:textId="77777777" w:rsidR="001C08A5" w:rsidRDefault="00000000">
            <w:pPr>
              <w:jc w:val="center"/>
              <w:rPr>
                <w:b/>
                <w:bCs/>
                <w:i/>
                <w:sz w:val="22"/>
                <w:szCs w:val="22"/>
              </w:rPr>
            </w:pPr>
            <w:r>
              <w:rPr>
                <w:b/>
                <w:bCs/>
                <w:i/>
                <w:sz w:val="22"/>
                <w:szCs w:val="22"/>
              </w:rPr>
              <w:t>C-s1d0, D-s1d0</w:t>
            </w:r>
          </w:p>
        </w:tc>
        <w:tc>
          <w:tcPr>
            <w:tcW w:w="1980" w:type="dxa"/>
          </w:tcPr>
          <w:p w14:paraId="47D76714" w14:textId="77777777" w:rsidR="001C08A5" w:rsidRDefault="00000000">
            <w:pPr>
              <w:jc w:val="center"/>
              <w:rPr>
                <w:b/>
                <w:i/>
                <w:sz w:val="22"/>
                <w:szCs w:val="22"/>
              </w:rPr>
            </w:pPr>
            <w:r>
              <w:rPr>
                <w:b/>
                <w:i/>
                <w:sz w:val="22"/>
                <w:szCs w:val="22"/>
              </w:rPr>
              <w:t>(*)</w:t>
            </w:r>
          </w:p>
          <w:p w14:paraId="2D9A326C" w14:textId="77777777" w:rsidR="001C08A5" w:rsidRDefault="001C08A5">
            <w:pPr>
              <w:jc w:val="center"/>
              <w:rPr>
                <w:b/>
                <w:i/>
                <w:sz w:val="22"/>
                <w:szCs w:val="22"/>
              </w:rPr>
            </w:pPr>
          </w:p>
        </w:tc>
        <w:tc>
          <w:tcPr>
            <w:tcW w:w="1749" w:type="dxa"/>
          </w:tcPr>
          <w:p w14:paraId="0F8D3001" w14:textId="77777777" w:rsidR="001C08A5" w:rsidRDefault="00000000">
            <w:pPr>
              <w:jc w:val="center"/>
              <w:rPr>
                <w:bCs/>
                <w:i/>
                <w:sz w:val="22"/>
                <w:szCs w:val="22"/>
              </w:rPr>
            </w:pPr>
            <w:r>
              <w:rPr>
                <w:b/>
                <w:bCs/>
                <w:i/>
                <w:sz w:val="22"/>
                <w:szCs w:val="22"/>
              </w:rPr>
              <w:t>A1</w:t>
            </w:r>
            <w:r>
              <w:rPr>
                <w:bCs/>
                <w:i/>
                <w:sz w:val="22"/>
                <w:szCs w:val="22"/>
              </w:rPr>
              <w:t xml:space="preserve">, </w:t>
            </w:r>
            <w:r>
              <w:rPr>
                <w:b/>
                <w:bCs/>
                <w:i/>
                <w:sz w:val="22"/>
                <w:szCs w:val="22"/>
              </w:rPr>
              <w:t>A2-s1d0</w:t>
            </w:r>
            <w:r>
              <w:rPr>
                <w:bCs/>
                <w:i/>
                <w:sz w:val="22"/>
                <w:szCs w:val="22"/>
              </w:rPr>
              <w:t>,</w:t>
            </w:r>
          </w:p>
          <w:p w14:paraId="367756E1" w14:textId="77777777" w:rsidR="001C08A5" w:rsidRDefault="00000000">
            <w:pPr>
              <w:jc w:val="center"/>
              <w:rPr>
                <w:bCs/>
                <w:i/>
                <w:sz w:val="22"/>
                <w:szCs w:val="22"/>
              </w:rPr>
            </w:pPr>
            <w:r>
              <w:rPr>
                <w:b/>
                <w:bCs/>
                <w:i/>
                <w:sz w:val="22"/>
                <w:szCs w:val="22"/>
              </w:rPr>
              <w:t>B-s1d0</w:t>
            </w:r>
            <w:r>
              <w:rPr>
                <w:bCs/>
                <w:i/>
                <w:sz w:val="22"/>
                <w:szCs w:val="22"/>
              </w:rPr>
              <w:t xml:space="preserve">, </w:t>
            </w:r>
          </w:p>
          <w:p w14:paraId="1B4CB847" w14:textId="77777777" w:rsidR="001C08A5" w:rsidRDefault="00000000">
            <w:pPr>
              <w:jc w:val="center"/>
              <w:rPr>
                <w:b/>
                <w:bCs/>
                <w:i/>
                <w:sz w:val="22"/>
                <w:szCs w:val="22"/>
              </w:rPr>
            </w:pPr>
            <w:r>
              <w:rPr>
                <w:b/>
                <w:bCs/>
                <w:i/>
                <w:sz w:val="22"/>
                <w:szCs w:val="22"/>
              </w:rPr>
              <w:t>C-s1d0, D-s1d0</w:t>
            </w:r>
          </w:p>
        </w:tc>
        <w:tc>
          <w:tcPr>
            <w:tcW w:w="1539" w:type="dxa"/>
          </w:tcPr>
          <w:p w14:paraId="69463AA8" w14:textId="77777777" w:rsidR="001C08A5" w:rsidRDefault="00000000">
            <w:pPr>
              <w:jc w:val="center"/>
              <w:rPr>
                <w:b/>
                <w:bCs/>
                <w:i/>
                <w:sz w:val="22"/>
                <w:szCs w:val="22"/>
              </w:rPr>
            </w:pPr>
            <w:r>
              <w:rPr>
                <w:b/>
                <w:bCs/>
                <w:i/>
                <w:sz w:val="22"/>
                <w:szCs w:val="22"/>
              </w:rPr>
              <w:t>C5</w:t>
            </w:r>
            <w:r>
              <w:rPr>
                <w:b/>
                <w:i/>
                <w:sz w:val="22"/>
                <w:szCs w:val="22"/>
              </w:rPr>
              <w:t>*</w:t>
            </w:r>
          </w:p>
        </w:tc>
      </w:tr>
    </w:tbl>
    <w:p w14:paraId="661F7A6E" w14:textId="77777777" w:rsidR="001C08A5" w:rsidRDefault="00000000">
      <w:pPr>
        <w:autoSpaceDE w:val="0"/>
        <w:jc w:val="both"/>
        <w:rPr>
          <w:i/>
          <w:sz w:val="22"/>
          <w:szCs w:val="22"/>
        </w:rPr>
      </w:pPr>
      <w:r>
        <w:rPr>
          <w:bCs/>
          <w:i/>
          <w:sz w:val="22"/>
          <w:szCs w:val="22"/>
        </w:rPr>
        <w:t>Note</w:t>
      </w:r>
      <w:r>
        <w:rPr>
          <w:i/>
          <w:sz w:val="22"/>
          <w:szCs w:val="22"/>
        </w:rPr>
        <w:t>:</w:t>
      </w:r>
    </w:p>
    <w:p w14:paraId="60A8AEC4" w14:textId="77777777" w:rsidR="001C08A5" w:rsidRDefault="00000000">
      <w:pPr>
        <w:numPr>
          <w:ilvl w:val="0"/>
          <w:numId w:val="79"/>
        </w:numPr>
        <w:jc w:val="both"/>
        <w:rPr>
          <w:i/>
          <w:sz w:val="22"/>
          <w:szCs w:val="22"/>
        </w:rPr>
      </w:pPr>
      <w:r>
        <w:rPr>
          <w:b/>
          <w:i/>
          <w:sz w:val="22"/>
          <w:szCs w:val="22"/>
        </w:rPr>
        <w:t>*</w:t>
      </w:r>
      <w:r>
        <w:rPr>
          <w:i/>
          <w:sz w:val="22"/>
          <w:szCs w:val="22"/>
        </w:rPr>
        <w:t xml:space="preserve"> = cu excepţia clădirilor obişnuite cu un singur nivel suprateran montane sau din Delta Dunării (inclusiv construcțiile lacustre)  care contin materiale locale </w:t>
      </w:r>
    </w:p>
    <w:p w14:paraId="4245891E" w14:textId="77777777" w:rsidR="001C08A5" w:rsidRDefault="00000000">
      <w:pPr>
        <w:pStyle w:val="ListParagraph"/>
        <w:ind w:left="0"/>
        <w:jc w:val="both"/>
        <w:rPr>
          <w:rFonts w:eastAsia="Times New Roman"/>
          <w:i/>
          <w:sz w:val="22"/>
          <w:szCs w:val="22"/>
        </w:rPr>
      </w:pPr>
      <w:r>
        <w:rPr>
          <w:i/>
          <w:sz w:val="22"/>
          <w:szCs w:val="22"/>
        </w:rPr>
        <w:lastRenderedPageBreak/>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00AA1DAB" w14:textId="77777777" w:rsidR="001C08A5" w:rsidRDefault="00000000">
      <w:pPr>
        <w:pStyle w:val="ListParagraph"/>
        <w:ind w:left="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1940CD77" w14:textId="77777777" w:rsidR="001C08A5" w:rsidRDefault="00000000">
      <w:pPr>
        <w:ind w:left="720"/>
        <w:jc w:val="both"/>
        <w:rPr>
          <w:i/>
          <w:sz w:val="22"/>
          <w:szCs w:val="22"/>
        </w:rPr>
      </w:pPr>
      <w:r>
        <w:rPr>
          <w:i/>
          <w:sz w:val="22"/>
          <w:szCs w:val="22"/>
          <w:lang w:val="en-GB"/>
        </w:rPr>
        <w:t>;</w:t>
      </w:r>
    </w:p>
    <w:p w14:paraId="66170560" w14:textId="77777777" w:rsidR="001C08A5" w:rsidRDefault="00000000">
      <w:pPr>
        <w:numPr>
          <w:ilvl w:val="0"/>
          <w:numId w:val="79"/>
        </w:numPr>
        <w:jc w:val="both"/>
        <w:rPr>
          <w:i/>
          <w:sz w:val="22"/>
          <w:szCs w:val="22"/>
        </w:rPr>
      </w:pPr>
      <w:r>
        <w:rPr>
          <w:i/>
          <w:sz w:val="22"/>
          <w:szCs w:val="22"/>
        </w:rPr>
        <w:t>În cazul pereților vitrați cu profil metalic care separă coridoarele și holurile de încăperile adiacente nu se ia în considerare clasa de reacție la foc.</w:t>
      </w:r>
    </w:p>
    <w:p w14:paraId="1C363398" w14:textId="77777777" w:rsidR="001C08A5" w:rsidRDefault="00000000">
      <w:pPr>
        <w:numPr>
          <w:ilvl w:val="0"/>
          <w:numId w:val="79"/>
        </w:numPr>
        <w:jc w:val="both"/>
        <w:rPr>
          <w:i/>
          <w:sz w:val="22"/>
          <w:szCs w:val="22"/>
        </w:rPr>
      </w:pPr>
      <w:r>
        <w:rPr>
          <w:i/>
          <w:sz w:val="22"/>
          <w:szCs w:val="22"/>
        </w:rPr>
        <w:t>Pentru construcțiile cu un singur nivel realizate din materiale locale nu este necesară stabilirea performatenlor la foc a elementelor pentru construcții.</w:t>
      </w:r>
    </w:p>
    <w:p w14:paraId="666605D0" w14:textId="77777777" w:rsidR="001C08A5" w:rsidRDefault="001C08A5">
      <w:pPr>
        <w:jc w:val="both"/>
        <w:rPr>
          <w:sz w:val="24"/>
          <w:szCs w:val="24"/>
        </w:rPr>
      </w:pPr>
    </w:p>
    <w:p w14:paraId="72F9F438" w14:textId="77777777" w:rsidR="001C08A5" w:rsidRDefault="00000000">
      <w:pPr>
        <w:jc w:val="both"/>
        <w:rPr>
          <w:strike/>
          <w:sz w:val="24"/>
          <w:szCs w:val="24"/>
        </w:rPr>
      </w:pPr>
      <w:r>
        <w:rPr>
          <w:b/>
          <w:sz w:val="24"/>
          <w:szCs w:val="24"/>
        </w:rPr>
        <w:tab/>
        <w:t xml:space="preserve">Art. </w:t>
      </w:r>
      <w:r>
        <w:rPr>
          <w:b/>
          <w:bCs/>
          <w:sz w:val="24"/>
          <w:szCs w:val="24"/>
        </w:rPr>
        <w:t>3.2.10.</w:t>
      </w:r>
      <w:r>
        <w:rPr>
          <w:b/>
          <w:sz w:val="24"/>
          <w:szCs w:val="24"/>
        </w:rPr>
        <w:t xml:space="preserve">6. </w:t>
      </w:r>
      <w:r>
        <w:rPr>
          <w:sz w:val="24"/>
          <w:szCs w:val="24"/>
        </w:rPr>
        <w:t>Construcţiile vor avea încăperile de cazare separate de alte funcţiuni (restaurante, bucătării, oficii etc.), prin pereţi rezistenţi la foc minimum</w:t>
      </w:r>
      <w:r>
        <w:rPr>
          <w:b/>
          <w:sz w:val="24"/>
          <w:szCs w:val="24"/>
        </w:rPr>
        <w:t xml:space="preserve"> EI/REI 60 </w:t>
      </w:r>
      <w:r>
        <w:rPr>
          <w:sz w:val="24"/>
          <w:szCs w:val="24"/>
        </w:rPr>
        <w:t xml:space="preserve">şi, după caz, planşee rezistente la foc minimum </w:t>
      </w:r>
      <w:r>
        <w:rPr>
          <w:b/>
          <w:sz w:val="24"/>
          <w:szCs w:val="24"/>
        </w:rPr>
        <w:t>REI 60</w:t>
      </w:r>
      <w:r>
        <w:rPr>
          <w:sz w:val="24"/>
          <w:szCs w:val="24"/>
        </w:rPr>
        <w:t>. Pentru sanatorii se respectă şi dispoziţiile specifice clădirilor de sănătate.</w:t>
      </w:r>
    </w:p>
    <w:p w14:paraId="7A1B0B9D" w14:textId="77777777" w:rsidR="001C08A5" w:rsidRDefault="001C08A5">
      <w:pPr>
        <w:jc w:val="both"/>
        <w:rPr>
          <w:sz w:val="24"/>
          <w:szCs w:val="24"/>
        </w:rPr>
      </w:pPr>
    </w:p>
    <w:p w14:paraId="7A998F3A" w14:textId="77777777" w:rsidR="001C08A5" w:rsidRDefault="00000000">
      <w:pPr>
        <w:jc w:val="both"/>
        <w:rPr>
          <w:sz w:val="24"/>
          <w:szCs w:val="24"/>
        </w:rPr>
      </w:pPr>
      <w:r>
        <w:rPr>
          <w:b/>
          <w:sz w:val="24"/>
          <w:szCs w:val="24"/>
        </w:rPr>
        <w:tab/>
        <w:t xml:space="preserve">Art. </w:t>
      </w:r>
      <w:r>
        <w:rPr>
          <w:b/>
          <w:bCs/>
          <w:sz w:val="24"/>
          <w:szCs w:val="24"/>
        </w:rPr>
        <w:t>3.2.10.</w:t>
      </w:r>
      <w:r>
        <w:rPr>
          <w:b/>
          <w:sz w:val="24"/>
          <w:szCs w:val="24"/>
        </w:rPr>
        <w:t xml:space="preserve">7. </w:t>
      </w:r>
      <w:r>
        <w:rPr>
          <w:sz w:val="24"/>
          <w:szCs w:val="24"/>
        </w:rPr>
        <w:t xml:space="preserve">Construcţiile civile supraterane, montane </w:t>
      </w:r>
      <w:r>
        <w:rPr>
          <w:bCs/>
          <w:sz w:val="24"/>
          <w:szCs w:val="24"/>
        </w:rPr>
        <w:t xml:space="preserve">sau din Delta Dunării, </w:t>
      </w:r>
      <w:r>
        <w:rPr>
          <w:sz w:val="24"/>
          <w:szCs w:val="24"/>
        </w:rPr>
        <w:t xml:space="preserve">cu capacitatea maximă simultană de cel mult </w:t>
      </w:r>
      <w:r>
        <w:rPr>
          <w:b/>
          <w:bCs/>
          <w:sz w:val="24"/>
          <w:szCs w:val="24"/>
        </w:rPr>
        <w:t>50</w:t>
      </w:r>
      <w:r>
        <w:rPr>
          <w:sz w:val="24"/>
          <w:szCs w:val="24"/>
        </w:rPr>
        <w:t xml:space="preserve"> de locuri de cazare, pot avea asigurat nivelul </w:t>
      </w:r>
      <w:r>
        <w:rPr>
          <w:b/>
          <w:sz w:val="24"/>
          <w:szCs w:val="24"/>
        </w:rPr>
        <w:t>V</w:t>
      </w:r>
      <w:r>
        <w:rPr>
          <w:sz w:val="24"/>
          <w:szCs w:val="24"/>
        </w:rPr>
        <w:t xml:space="preserve"> de stabilitate la incendiu şi maximum </w:t>
      </w:r>
      <w:r>
        <w:rPr>
          <w:b/>
          <w:bCs/>
          <w:sz w:val="24"/>
          <w:szCs w:val="24"/>
        </w:rPr>
        <w:t>3</w:t>
      </w:r>
      <w:r>
        <w:rPr>
          <w:sz w:val="24"/>
          <w:szCs w:val="24"/>
        </w:rPr>
        <w:t xml:space="preserve"> niveluri supraterane, dacă sunt prevăzute cu instalaţie de detectare, semnalizare și alarmare la incendiu cu acoperire totală și minimun </w:t>
      </w:r>
      <w:r>
        <w:rPr>
          <w:b/>
          <w:bCs/>
          <w:sz w:val="24"/>
          <w:szCs w:val="24"/>
        </w:rPr>
        <w:t>2</w:t>
      </w:r>
      <w:r>
        <w:rPr>
          <w:sz w:val="24"/>
          <w:szCs w:val="24"/>
        </w:rPr>
        <w:t xml:space="preserve"> căi de evacuare distincte și independente</w:t>
      </w:r>
      <w:r>
        <w:rPr>
          <w:iCs/>
          <w:sz w:val="24"/>
          <w:szCs w:val="24"/>
        </w:rPr>
        <w:t xml:space="preserve">, precum și cu conditia respectarii masurilor din paranteze specificate la </w:t>
      </w:r>
      <w:r>
        <w:rPr>
          <w:b/>
          <w:bCs/>
          <w:i/>
          <w:sz w:val="24"/>
          <w:szCs w:val="24"/>
        </w:rPr>
        <w:fldChar w:fldCharType="begin"/>
      </w:r>
      <w:r>
        <w:rPr>
          <w:b/>
          <w:bCs/>
          <w:i/>
          <w:sz w:val="24"/>
          <w:szCs w:val="24"/>
        </w:rPr>
        <w:instrText xml:space="preserve"> REF _Ref4440 \h </w:instrText>
      </w:r>
      <w:r>
        <w:rPr>
          <w:b/>
          <w:bCs/>
          <w:i/>
          <w:sz w:val="24"/>
          <w:szCs w:val="24"/>
        </w:rPr>
      </w:r>
      <w:r>
        <w:rPr>
          <w:b/>
          <w:bCs/>
          <w:i/>
          <w:sz w:val="24"/>
          <w:szCs w:val="24"/>
        </w:rPr>
        <w:fldChar w:fldCharType="separate"/>
      </w:r>
      <w:r>
        <w:t>Tabelul 2: Condiţii minime pentru încadrarea construcţiei sau a compartimentului de incendiu în niveluri de stabilitate la incendiu pentru construcții civile</w:t>
      </w:r>
      <w:r>
        <w:rPr>
          <w:b/>
          <w:bCs/>
          <w:i/>
          <w:sz w:val="24"/>
          <w:szCs w:val="24"/>
        </w:rPr>
        <w:fldChar w:fldCharType="end"/>
      </w:r>
      <w:r>
        <w:rPr>
          <w:iCs/>
          <w:sz w:val="24"/>
          <w:szCs w:val="24"/>
        </w:rPr>
        <w:t xml:space="preserve">, pentru nivelul de stabilitate la incendiu </w:t>
      </w:r>
      <w:r>
        <w:rPr>
          <w:b/>
          <w:iCs/>
          <w:sz w:val="24"/>
          <w:szCs w:val="24"/>
        </w:rPr>
        <w:t xml:space="preserve">V. </w:t>
      </w:r>
      <w:r>
        <w:rPr>
          <w:bCs/>
          <w:iCs/>
          <w:sz w:val="24"/>
          <w:szCs w:val="24"/>
        </w:rPr>
        <w:t xml:space="preserve">Este obligatorie protecția </w:t>
      </w:r>
      <w:r>
        <w:rPr>
          <w:iCs/>
          <w:sz w:val="24"/>
          <w:szCs w:val="24"/>
        </w:rPr>
        <w:t xml:space="preserve">cu dispozitive AFDD conform recomandărilor din SR EN 62606 precum și specificațiilor normativului de profil ”Normativ pentru proiectarea, execuția și exploatarea instalațiilor electrice aferente clădirilor”, indicativ </w:t>
      </w:r>
      <w:r>
        <w:rPr>
          <w:b/>
          <w:bCs/>
          <w:iCs/>
          <w:sz w:val="24"/>
          <w:szCs w:val="24"/>
        </w:rPr>
        <w:t>I7</w:t>
      </w:r>
      <w:r>
        <w:rPr>
          <w:iCs/>
          <w:sz w:val="24"/>
          <w:szCs w:val="24"/>
        </w:rPr>
        <w:t>.</w:t>
      </w:r>
    </w:p>
    <w:p w14:paraId="70189463" w14:textId="77777777" w:rsidR="001C08A5" w:rsidRDefault="001C08A5">
      <w:pPr>
        <w:jc w:val="both"/>
        <w:rPr>
          <w:sz w:val="24"/>
          <w:szCs w:val="24"/>
        </w:rPr>
      </w:pPr>
    </w:p>
    <w:p w14:paraId="7A017E97" w14:textId="77777777" w:rsidR="001C08A5" w:rsidRDefault="00000000">
      <w:pPr>
        <w:jc w:val="both"/>
        <w:rPr>
          <w:sz w:val="24"/>
          <w:szCs w:val="24"/>
        </w:rPr>
      </w:pPr>
      <w:r>
        <w:rPr>
          <w:b/>
          <w:sz w:val="24"/>
          <w:szCs w:val="24"/>
        </w:rPr>
        <w:tab/>
        <w:t xml:space="preserve">Art. </w:t>
      </w:r>
      <w:r>
        <w:rPr>
          <w:b/>
          <w:bCs/>
          <w:sz w:val="24"/>
          <w:szCs w:val="24"/>
        </w:rPr>
        <w:t>3.2.10.</w:t>
      </w:r>
      <w:r>
        <w:rPr>
          <w:b/>
          <w:sz w:val="24"/>
          <w:szCs w:val="24"/>
        </w:rPr>
        <w:t xml:space="preserve">8. </w:t>
      </w:r>
      <w:r>
        <w:rPr>
          <w:sz w:val="24"/>
          <w:szCs w:val="24"/>
        </w:rPr>
        <w:t xml:space="preserve">Căile orizontale de circulaţie funcţională şi evacuare a utilizatorilor în caz de incendiu din clădiri obişnuite montane sau din Delta Dunării, amplasate izolat, cu nivelul de stabilitate la incendiu </w:t>
      </w:r>
      <w:r>
        <w:rPr>
          <w:b/>
          <w:sz w:val="24"/>
          <w:szCs w:val="24"/>
        </w:rPr>
        <w:t>V</w:t>
      </w:r>
      <w:r>
        <w:rPr>
          <w:sz w:val="24"/>
          <w:szCs w:val="24"/>
        </w:rPr>
        <w:t xml:space="preserve"> care au cel puţin două niveluri supraterane se separă de restul construcţiei, prin elemente rezistente la foc minimum </w:t>
      </w:r>
      <w:r>
        <w:rPr>
          <w:b/>
          <w:sz w:val="24"/>
          <w:szCs w:val="24"/>
        </w:rPr>
        <w:t xml:space="preserve">EI/REI 15 </w:t>
      </w:r>
      <w:r>
        <w:rPr>
          <w:sz w:val="24"/>
          <w:szCs w:val="24"/>
        </w:rPr>
        <w:t xml:space="preserve">pentru pereţi şi </w:t>
      </w:r>
      <w:r>
        <w:rPr>
          <w:b/>
          <w:sz w:val="24"/>
          <w:szCs w:val="24"/>
        </w:rPr>
        <w:t>REI 15</w:t>
      </w:r>
      <w:r>
        <w:rPr>
          <w:sz w:val="24"/>
          <w:szCs w:val="24"/>
        </w:rPr>
        <w:t xml:space="preserve"> pentru planşee, iar scările care asigură evacuarea utilizatorilor a mai mult de un nivel se închid în case de scări separate de restul clădirii prin pereţi rezistenţi la foc de minimum </w:t>
      </w:r>
      <w:r>
        <w:rPr>
          <w:b/>
          <w:sz w:val="24"/>
          <w:szCs w:val="24"/>
        </w:rPr>
        <w:t>EI/REI 15.</w:t>
      </w:r>
    </w:p>
    <w:p w14:paraId="266264F6" w14:textId="77777777" w:rsidR="001C08A5" w:rsidRDefault="00000000">
      <w:pPr>
        <w:jc w:val="both"/>
        <w:rPr>
          <w:b/>
          <w:sz w:val="24"/>
          <w:szCs w:val="24"/>
        </w:rPr>
      </w:pPr>
      <w:r>
        <w:rPr>
          <w:b/>
          <w:sz w:val="24"/>
          <w:szCs w:val="24"/>
        </w:rPr>
        <w:tab/>
      </w:r>
    </w:p>
    <w:p w14:paraId="27C7FFD2" w14:textId="77777777" w:rsidR="001C08A5" w:rsidRDefault="00000000">
      <w:pPr>
        <w:pStyle w:val="BodyText"/>
        <w:rPr>
          <w:i w:val="0"/>
          <w:iCs/>
        </w:rPr>
      </w:pPr>
      <w:r>
        <w:rPr>
          <w:i w:val="0"/>
          <w:iCs/>
        </w:rPr>
        <w:tab/>
        <w:t xml:space="preserve">Art. </w:t>
      </w:r>
      <w:r>
        <w:rPr>
          <w:bCs w:val="0"/>
          <w:i w:val="0"/>
          <w:iCs/>
        </w:rPr>
        <w:t>3.2.10.</w:t>
      </w:r>
      <w:r>
        <w:rPr>
          <w:i w:val="0"/>
          <w:iCs/>
        </w:rPr>
        <w:t xml:space="preserve">9. </w:t>
      </w:r>
      <w:r>
        <w:rPr>
          <w:b w:val="0"/>
          <w:bCs w:val="0"/>
          <w:i w:val="0"/>
          <w:iCs/>
        </w:rPr>
        <w:t xml:space="preserve">Lungimea maximă de evacuare admisă a traseului de parcurs pe căile de evacuare în clădirile </w:t>
      </w:r>
      <w:r>
        <w:rPr>
          <w:b w:val="0"/>
          <w:i w:val="0"/>
          <w:iCs/>
        </w:rPr>
        <w:t>civile supraterane cu înălţimi obişnuite, montane sau din Delta Dunării, amplasate izolat</w:t>
      </w:r>
      <w:r>
        <w:rPr>
          <w:b w:val="0"/>
          <w:bCs w:val="0"/>
          <w:i w:val="0"/>
          <w:iCs/>
        </w:rPr>
        <w:t xml:space="preserve"> (cu excepţia sălilor aglomerate, a clădirilor înalte şi foarte înalte), sunt precizate în </w:t>
      </w:r>
      <w:r>
        <w:rPr>
          <w:b w:val="0"/>
          <w:bCs w:val="0"/>
          <w:i w:val="0"/>
          <w:iCs/>
        </w:rPr>
        <w:fldChar w:fldCharType="begin"/>
      </w:r>
      <w:r>
        <w:rPr>
          <w:b w:val="0"/>
          <w:bCs w:val="0"/>
          <w:i w:val="0"/>
          <w:iCs/>
        </w:rPr>
        <w:instrText xml:space="preserve"> REF _Ref27353 \h </w:instrText>
      </w:r>
      <w:r>
        <w:rPr>
          <w:b w:val="0"/>
          <w:bCs w:val="0"/>
          <w:i w:val="0"/>
          <w:iCs/>
        </w:rPr>
      </w:r>
      <w:r>
        <w:rPr>
          <w:b w:val="0"/>
          <w:bCs w:val="0"/>
          <w:i w:val="0"/>
          <w:iCs/>
        </w:rPr>
        <w:fldChar w:fldCharType="separate"/>
      </w:r>
      <w:r>
        <w:t>Tabelul 87</w:t>
      </w:r>
      <w:r>
        <w:rPr>
          <w:b w:val="0"/>
          <w:bCs w:val="0"/>
          <w:i w:val="0"/>
          <w:iCs/>
        </w:rPr>
        <w:fldChar w:fldCharType="end"/>
      </w:r>
      <w:r>
        <w:rPr>
          <w:i w:val="0"/>
          <w:iCs/>
        </w:rPr>
        <w:t>.</w:t>
      </w:r>
    </w:p>
    <w:p w14:paraId="3EADD595" w14:textId="77777777" w:rsidR="001C08A5" w:rsidRDefault="001C08A5">
      <w:pPr>
        <w:jc w:val="both"/>
        <w:rPr>
          <w:b/>
          <w:sz w:val="24"/>
          <w:szCs w:val="24"/>
        </w:rPr>
      </w:pPr>
    </w:p>
    <w:p w14:paraId="2DE79B1C" w14:textId="77777777" w:rsidR="001C08A5" w:rsidRDefault="00000000">
      <w:pPr>
        <w:pStyle w:val="Captiontabel"/>
      </w:pPr>
      <w:bookmarkStart w:id="4034" w:name="_Ref27353"/>
      <w:bookmarkStart w:id="4035" w:name="_Toc162360137"/>
      <w:r>
        <w:t xml:space="preserve">Tabelul </w:t>
      </w:r>
      <w:r>
        <w:fldChar w:fldCharType="begin"/>
      </w:r>
      <w:r>
        <w:instrText xml:space="preserve"> SEQ Tabelul \* ARABIC </w:instrText>
      </w:r>
      <w:r>
        <w:fldChar w:fldCharType="separate"/>
      </w:r>
      <w:r>
        <w:t>87</w:t>
      </w:r>
      <w:r>
        <w:fldChar w:fldCharType="end"/>
      </w:r>
      <w:bookmarkStart w:id="4036" w:name="_Toc26205"/>
      <w:bookmarkStart w:id="4037" w:name="_Toc5987"/>
      <w:bookmarkStart w:id="4038" w:name="_Toc20165"/>
      <w:bookmarkStart w:id="4039" w:name="_Toc8824"/>
      <w:bookmarkStart w:id="4040" w:name="_Toc29151"/>
      <w:bookmarkStart w:id="4041" w:name="_Toc25087"/>
      <w:bookmarkStart w:id="4042" w:name="_Toc13977"/>
      <w:bookmarkStart w:id="4043" w:name="_Toc12644"/>
      <w:bookmarkStart w:id="4044" w:name="_Toc19117"/>
      <w:bookmarkStart w:id="4045" w:name="_Toc2687"/>
      <w:bookmarkStart w:id="4046" w:name="_Toc17661"/>
      <w:bookmarkStart w:id="4047" w:name="_Toc23884"/>
      <w:bookmarkStart w:id="4048" w:name="_Toc12477"/>
      <w:bookmarkStart w:id="4049" w:name="_Toc14144"/>
      <w:bookmarkStart w:id="4050" w:name="_Toc9710"/>
      <w:bookmarkStart w:id="4051" w:name="_Toc21245"/>
      <w:bookmarkStart w:id="4052" w:name="_Toc14860"/>
      <w:bookmarkStart w:id="4053" w:name="_Toc23080"/>
      <w:bookmarkStart w:id="4054" w:name="_Toc22511"/>
      <w:bookmarkEnd w:id="4034"/>
      <w:r>
        <w:t>: Lungimi de evacuare în clădiri civile supraterane cu înălţimi obişnuite  montane sau din Delta Dunării, amplasate izolat</w:t>
      </w:r>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p>
    <w:p w14:paraId="29363CD1" w14:textId="77777777" w:rsidR="001C08A5" w:rsidRDefault="001C08A5">
      <w:pPr>
        <w:jc w:val="both"/>
        <w:rPr>
          <w:sz w:val="24"/>
          <w:szCs w:val="24"/>
        </w:rPr>
      </w:pPr>
    </w:p>
    <w:tbl>
      <w:tblPr>
        <w:tblW w:w="9550" w:type="dxa"/>
        <w:tblInd w:w="176" w:type="dxa"/>
        <w:tblLayout w:type="fixed"/>
        <w:tblLook w:val="04A0" w:firstRow="1" w:lastRow="0" w:firstColumn="1" w:lastColumn="0" w:noHBand="0" w:noVBand="1"/>
      </w:tblPr>
      <w:tblGrid>
        <w:gridCol w:w="630"/>
        <w:gridCol w:w="2320"/>
        <w:gridCol w:w="1609"/>
        <w:gridCol w:w="1636"/>
        <w:gridCol w:w="1964"/>
        <w:gridCol w:w="1391"/>
      </w:tblGrid>
      <w:tr w:rsidR="001C08A5" w14:paraId="0C8E90E5" w14:textId="77777777">
        <w:tc>
          <w:tcPr>
            <w:tcW w:w="630" w:type="dxa"/>
            <w:vMerge w:val="restart"/>
            <w:tcBorders>
              <w:top w:val="single" w:sz="8" w:space="0" w:color="000000"/>
              <w:left w:val="single" w:sz="8" w:space="0" w:color="000000"/>
              <w:bottom w:val="single" w:sz="4" w:space="0" w:color="000000"/>
            </w:tcBorders>
            <w:shd w:val="clear" w:color="auto" w:fill="BFBFBF"/>
          </w:tcPr>
          <w:p w14:paraId="20C7E7E2" w14:textId="77777777" w:rsidR="001C08A5" w:rsidRDefault="001C08A5">
            <w:pPr>
              <w:snapToGrid w:val="0"/>
              <w:jc w:val="center"/>
              <w:rPr>
                <w:b/>
                <w:i/>
                <w:iCs/>
                <w:sz w:val="22"/>
                <w:szCs w:val="22"/>
              </w:rPr>
            </w:pPr>
          </w:p>
          <w:p w14:paraId="3017874B" w14:textId="77777777" w:rsidR="001C08A5" w:rsidRDefault="001C08A5">
            <w:pPr>
              <w:jc w:val="center"/>
              <w:rPr>
                <w:b/>
                <w:i/>
                <w:iCs/>
                <w:sz w:val="22"/>
                <w:szCs w:val="22"/>
              </w:rPr>
            </w:pPr>
          </w:p>
          <w:p w14:paraId="11AE18F2" w14:textId="77777777" w:rsidR="001C08A5" w:rsidRDefault="00000000">
            <w:pPr>
              <w:jc w:val="center"/>
              <w:rPr>
                <w:i/>
                <w:iCs/>
                <w:sz w:val="22"/>
                <w:szCs w:val="22"/>
              </w:rPr>
            </w:pPr>
            <w:r>
              <w:rPr>
                <w:b/>
                <w:i/>
                <w:iCs/>
                <w:sz w:val="22"/>
                <w:szCs w:val="22"/>
              </w:rPr>
              <w:t>Nr. crt.</w:t>
            </w:r>
          </w:p>
          <w:p w14:paraId="5EFFC771" w14:textId="77777777" w:rsidR="001C08A5" w:rsidRDefault="001C08A5">
            <w:pPr>
              <w:jc w:val="center"/>
              <w:rPr>
                <w:i/>
                <w:iCs/>
                <w:sz w:val="22"/>
                <w:szCs w:val="22"/>
              </w:rPr>
            </w:pPr>
          </w:p>
        </w:tc>
        <w:tc>
          <w:tcPr>
            <w:tcW w:w="2320" w:type="dxa"/>
            <w:vMerge w:val="restart"/>
            <w:tcBorders>
              <w:top w:val="single" w:sz="8" w:space="0" w:color="000000"/>
              <w:left w:val="single" w:sz="4" w:space="0" w:color="000000"/>
              <w:bottom w:val="single" w:sz="4" w:space="0" w:color="000000"/>
            </w:tcBorders>
            <w:shd w:val="clear" w:color="auto" w:fill="BFBFBF"/>
          </w:tcPr>
          <w:p w14:paraId="1593177D" w14:textId="77777777" w:rsidR="001C08A5" w:rsidRDefault="001C08A5">
            <w:pPr>
              <w:snapToGrid w:val="0"/>
              <w:jc w:val="center"/>
              <w:rPr>
                <w:b/>
                <w:i/>
                <w:iCs/>
                <w:sz w:val="22"/>
                <w:szCs w:val="22"/>
              </w:rPr>
            </w:pPr>
          </w:p>
          <w:p w14:paraId="46F8DD4B" w14:textId="77777777" w:rsidR="001C08A5" w:rsidRDefault="001C08A5">
            <w:pPr>
              <w:jc w:val="center"/>
              <w:rPr>
                <w:b/>
                <w:i/>
                <w:iCs/>
                <w:sz w:val="22"/>
                <w:szCs w:val="22"/>
              </w:rPr>
            </w:pPr>
          </w:p>
          <w:p w14:paraId="544E59A4" w14:textId="77777777" w:rsidR="001C08A5" w:rsidRDefault="00000000">
            <w:pPr>
              <w:jc w:val="center"/>
              <w:rPr>
                <w:b/>
                <w:i/>
                <w:iCs/>
                <w:sz w:val="22"/>
                <w:szCs w:val="22"/>
              </w:rPr>
            </w:pPr>
            <w:r>
              <w:rPr>
                <w:b/>
                <w:i/>
                <w:iCs/>
                <w:sz w:val="22"/>
                <w:szCs w:val="22"/>
              </w:rPr>
              <w:t>Clădiri administrative</w:t>
            </w:r>
          </w:p>
        </w:tc>
        <w:tc>
          <w:tcPr>
            <w:tcW w:w="1609" w:type="dxa"/>
            <w:vMerge w:val="restart"/>
            <w:tcBorders>
              <w:top w:val="single" w:sz="8" w:space="0" w:color="000000"/>
              <w:left w:val="single" w:sz="4" w:space="0" w:color="000000"/>
              <w:bottom w:val="single" w:sz="4" w:space="0" w:color="000000"/>
            </w:tcBorders>
            <w:shd w:val="clear" w:color="auto" w:fill="BFBFBF"/>
          </w:tcPr>
          <w:p w14:paraId="5CD1C8C9" w14:textId="77777777" w:rsidR="001C08A5" w:rsidRDefault="00000000">
            <w:pPr>
              <w:jc w:val="center"/>
              <w:rPr>
                <w:b/>
                <w:i/>
                <w:iCs/>
                <w:sz w:val="22"/>
                <w:szCs w:val="22"/>
              </w:rPr>
            </w:pPr>
            <w:r>
              <w:rPr>
                <w:b/>
                <w:i/>
                <w:iCs/>
                <w:sz w:val="22"/>
                <w:szCs w:val="22"/>
              </w:rPr>
              <w:t>Nivel de stabilitate  la incendiu asigurat</w:t>
            </w:r>
          </w:p>
        </w:tc>
        <w:tc>
          <w:tcPr>
            <w:tcW w:w="3600" w:type="dxa"/>
            <w:gridSpan w:val="2"/>
            <w:tcBorders>
              <w:top w:val="single" w:sz="8" w:space="0" w:color="000000"/>
              <w:left w:val="single" w:sz="4" w:space="0" w:color="000000"/>
              <w:bottom w:val="single" w:sz="4" w:space="0" w:color="000000"/>
            </w:tcBorders>
            <w:shd w:val="clear" w:color="auto" w:fill="BFBFBF"/>
          </w:tcPr>
          <w:p w14:paraId="7710A98C" w14:textId="77777777" w:rsidR="001C08A5" w:rsidRDefault="00000000">
            <w:pPr>
              <w:jc w:val="center"/>
              <w:rPr>
                <w:b/>
                <w:i/>
                <w:iCs/>
                <w:sz w:val="22"/>
                <w:szCs w:val="22"/>
              </w:rPr>
            </w:pPr>
            <w:r>
              <w:rPr>
                <w:b/>
                <w:i/>
                <w:iCs/>
                <w:sz w:val="22"/>
                <w:szCs w:val="22"/>
              </w:rPr>
              <w:t xml:space="preserve">Lungime maximă de evacuare </w:t>
            </w:r>
          </w:p>
        </w:tc>
        <w:tc>
          <w:tcPr>
            <w:tcW w:w="1391" w:type="dxa"/>
            <w:vMerge w:val="restart"/>
            <w:tcBorders>
              <w:top w:val="single" w:sz="8" w:space="0" w:color="000000"/>
              <w:left w:val="single" w:sz="4" w:space="0" w:color="000000"/>
              <w:bottom w:val="single" w:sz="4" w:space="0" w:color="000000"/>
              <w:right w:val="single" w:sz="8" w:space="0" w:color="000000"/>
            </w:tcBorders>
            <w:shd w:val="clear" w:color="auto" w:fill="BFBFBF"/>
          </w:tcPr>
          <w:p w14:paraId="55455A97" w14:textId="77777777" w:rsidR="001C08A5" w:rsidRDefault="001C08A5">
            <w:pPr>
              <w:snapToGrid w:val="0"/>
              <w:jc w:val="center"/>
              <w:rPr>
                <w:b/>
                <w:i/>
                <w:iCs/>
                <w:sz w:val="22"/>
                <w:szCs w:val="22"/>
              </w:rPr>
            </w:pPr>
          </w:p>
          <w:p w14:paraId="60B14113" w14:textId="77777777" w:rsidR="001C08A5" w:rsidRDefault="001C08A5">
            <w:pPr>
              <w:jc w:val="center"/>
              <w:rPr>
                <w:b/>
                <w:i/>
                <w:iCs/>
                <w:sz w:val="22"/>
                <w:szCs w:val="22"/>
              </w:rPr>
            </w:pPr>
          </w:p>
          <w:p w14:paraId="0B1A572A" w14:textId="77777777" w:rsidR="001C08A5" w:rsidRDefault="00000000">
            <w:pPr>
              <w:jc w:val="center"/>
              <w:rPr>
                <w:i/>
                <w:iCs/>
                <w:sz w:val="22"/>
                <w:szCs w:val="22"/>
              </w:rPr>
            </w:pPr>
            <w:r>
              <w:rPr>
                <w:b/>
                <w:i/>
                <w:iCs/>
                <w:sz w:val="22"/>
                <w:szCs w:val="22"/>
              </w:rPr>
              <w:t>Observaţii</w:t>
            </w:r>
          </w:p>
        </w:tc>
      </w:tr>
      <w:tr w:rsidR="001C08A5" w14:paraId="322082CB" w14:textId="77777777">
        <w:tc>
          <w:tcPr>
            <w:tcW w:w="630" w:type="dxa"/>
            <w:vMerge/>
            <w:tcBorders>
              <w:top w:val="single" w:sz="4" w:space="0" w:color="000000"/>
              <w:left w:val="single" w:sz="8" w:space="0" w:color="000000"/>
              <w:bottom w:val="single" w:sz="4" w:space="0" w:color="000000"/>
            </w:tcBorders>
            <w:shd w:val="clear" w:color="auto" w:fill="auto"/>
          </w:tcPr>
          <w:p w14:paraId="5459623A"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4" w:space="0" w:color="000000"/>
            </w:tcBorders>
            <w:shd w:val="clear" w:color="auto" w:fill="auto"/>
          </w:tcPr>
          <w:p w14:paraId="041A3E64" w14:textId="77777777" w:rsidR="001C08A5" w:rsidRDefault="001C08A5">
            <w:pPr>
              <w:snapToGrid w:val="0"/>
              <w:jc w:val="center"/>
              <w:rPr>
                <w:i/>
                <w:iCs/>
                <w:sz w:val="22"/>
                <w:szCs w:val="22"/>
              </w:rPr>
            </w:pPr>
          </w:p>
        </w:tc>
        <w:tc>
          <w:tcPr>
            <w:tcW w:w="1609" w:type="dxa"/>
            <w:vMerge/>
            <w:tcBorders>
              <w:top w:val="single" w:sz="4" w:space="0" w:color="000000"/>
              <w:left w:val="single" w:sz="4" w:space="0" w:color="000000"/>
              <w:bottom w:val="single" w:sz="4" w:space="0" w:color="000000"/>
            </w:tcBorders>
            <w:shd w:val="clear" w:color="auto" w:fill="auto"/>
          </w:tcPr>
          <w:p w14:paraId="7DD82458" w14:textId="77777777" w:rsidR="001C08A5" w:rsidRDefault="001C08A5">
            <w:pPr>
              <w:snapToGrid w:val="0"/>
              <w:jc w:val="center"/>
              <w:rPr>
                <w:i/>
                <w:iCs/>
                <w:sz w:val="22"/>
                <w:szCs w:val="22"/>
              </w:rPr>
            </w:pPr>
          </w:p>
        </w:tc>
        <w:tc>
          <w:tcPr>
            <w:tcW w:w="1636" w:type="dxa"/>
            <w:tcBorders>
              <w:top w:val="single" w:sz="4" w:space="0" w:color="000000"/>
              <w:left w:val="single" w:sz="4" w:space="0" w:color="000000"/>
              <w:bottom w:val="single" w:sz="4" w:space="0" w:color="000000"/>
            </w:tcBorders>
            <w:shd w:val="clear" w:color="auto" w:fill="BFBFBF"/>
          </w:tcPr>
          <w:p w14:paraId="67F72FA3" w14:textId="77777777" w:rsidR="001C08A5" w:rsidRDefault="00000000">
            <w:pPr>
              <w:jc w:val="center"/>
              <w:rPr>
                <w:b/>
                <w:i/>
                <w:iCs/>
                <w:sz w:val="22"/>
                <w:szCs w:val="22"/>
              </w:rPr>
            </w:pPr>
            <w:r>
              <w:rPr>
                <w:b/>
                <w:i/>
                <w:iCs/>
                <w:sz w:val="22"/>
                <w:szCs w:val="22"/>
              </w:rPr>
              <w:t>în două direcţii diferite</w:t>
            </w:r>
          </w:p>
        </w:tc>
        <w:tc>
          <w:tcPr>
            <w:tcW w:w="1964" w:type="dxa"/>
            <w:tcBorders>
              <w:top w:val="single" w:sz="4" w:space="0" w:color="000000"/>
              <w:left w:val="single" w:sz="4" w:space="0" w:color="000000"/>
              <w:bottom w:val="single" w:sz="4" w:space="0" w:color="000000"/>
            </w:tcBorders>
            <w:shd w:val="clear" w:color="auto" w:fill="BFBFBF"/>
          </w:tcPr>
          <w:p w14:paraId="10EB812B" w14:textId="77777777" w:rsidR="001C08A5" w:rsidRDefault="00000000">
            <w:pPr>
              <w:jc w:val="center"/>
              <w:rPr>
                <w:i/>
                <w:iCs/>
                <w:sz w:val="22"/>
                <w:szCs w:val="22"/>
              </w:rPr>
            </w:pPr>
            <w:r>
              <w:rPr>
                <w:b/>
                <w:i/>
                <w:iCs/>
                <w:sz w:val="22"/>
                <w:szCs w:val="22"/>
              </w:rPr>
              <w:t>într-o direcţie (coridor înfundat)</w:t>
            </w:r>
          </w:p>
        </w:tc>
        <w:tc>
          <w:tcPr>
            <w:tcW w:w="1391" w:type="dxa"/>
            <w:vMerge/>
            <w:tcBorders>
              <w:top w:val="single" w:sz="4" w:space="0" w:color="000000"/>
              <w:left w:val="single" w:sz="4" w:space="0" w:color="000000"/>
              <w:bottom w:val="single" w:sz="4" w:space="0" w:color="000000"/>
              <w:right w:val="single" w:sz="8" w:space="0" w:color="000000"/>
            </w:tcBorders>
          </w:tcPr>
          <w:p w14:paraId="35C71940" w14:textId="77777777" w:rsidR="001C08A5" w:rsidRDefault="001C08A5">
            <w:pPr>
              <w:snapToGrid w:val="0"/>
              <w:rPr>
                <w:i/>
                <w:iCs/>
                <w:sz w:val="22"/>
                <w:szCs w:val="22"/>
              </w:rPr>
            </w:pPr>
          </w:p>
        </w:tc>
      </w:tr>
      <w:tr w:rsidR="001C08A5" w14:paraId="53D04D6B" w14:textId="77777777">
        <w:tc>
          <w:tcPr>
            <w:tcW w:w="630" w:type="dxa"/>
            <w:vMerge/>
            <w:tcBorders>
              <w:top w:val="single" w:sz="4" w:space="0" w:color="000000"/>
              <w:left w:val="single" w:sz="8" w:space="0" w:color="000000"/>
              <w:bottom w:val="single" w:sz="8" w:space="0" w:color="000000"/>
            </w:tcBorders>
            <w:shd w:val="clear" w:color="auto" w:fill="auto"/>
          </w:tcPr>
          <w:p w14:paraId="244677B8"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8" w:space="0" w:color="000000"/>
            </w:tcBorders>
            <w:shd w:val="clear" w:color="auto" w:fill="auto"/>
          </w:tcPr>
          <w:p w14:paraId="3E6B9CBE" w14:textId="77777777" w:rsidR="001C08A5" w:rsidRDefault="001C08A5">
            <w:pPr>
              <w:snapToGrid w:val="0"/>
              <w:jc w:val="center"/>
              <w:rPr>
                <w:i/>
                <w:iCs/>
                <w:sz w:val="22"/>
                <w:szCs w:val="22"/>
              </w:rPr>
            </w:pPr>
          </w:p>
        </w:tc>
        <w:tc>
          <w:tcPr>
            <w:tcW w:w="1609" w:type="dxa"/>
            <w:vMerge/>
            <w:tcBorders>
              <w:top w:val="single" w:sz="4" w:space="0" w:color="000000"/>
              <w:left w:val="single" w:sz="4" w:space="0" w:color="000000"/>
              <w:bottom w:val="single" w:sz="8" w:space="0" w:color="000000"/>
            </w:tcBorders>
            <w:shd w:val="clear" w:color="auto" w:fill="auto"/>
          </w:tcPr>
          <w:p w14:paraId="41690921" w14:textId="77777777" w:rsidR="001C08A5" w:rsidRDefault="001C08A5">
            <w:pPr>
              <w:snapToGrid w:val="0"/>
              <w:jc w:val="center"/>
              <w:rPr>
                <w:i/>
                <w:iCs/>
                <w:sz w:val="22"/>
                <w:szCs w:val="22"/>
              </w:rPr>
            </w:pPr>
          </w:p>
        </w:tc>
        <w:tc>
          <w:tcPr>
            <w:tcW w:w="1636" w:type="dxa"/>
            <w:tcBorders>
              <w:top w:val="single" w:sz="4" w:space="0" w:color="000000"/>
              <w:left w:val="single" w:sz="4" w:space="0" w:color="000000"/>
              <w:bottom w:val="single" w:sz="8" w:space="0" w:color="000000"/>
            </w:tcBorders>
            <w:shd w:val="clear" w:color="auto" w:fill="BFBFBF"/>
          </w:tcPr>
          <w:p w14:paraId="7590043D" w14:textId="77777777" w:rsidR="001C08A5" w:rsidRDefault="00000000">
            <w:pPr>
              <w:jc w:val="center"/>
              <w:rPr>
                <w:b/>
                <w:i/>
                <w:iCs/>
                <w:sz w:val="22"/>
                <w:szCs w:val="22"/>
              </w:rPr>
            </w:pPr>
            <w:r>
              <w:rPr>
                <w:b/>
                <w:i/>
                <w:iCs/>
                <w:sz w:val="22"/>
                <w:szCs w:val="22"/>
              </w:rPr>
              <w:t>metri</w:t>
            </w:r>
          </w:p>
        </w:tc>
        <w:tc>
          <w:tcPr>
            <w:tcW w:w="1964" w:type="dxa"/>
            <w:tcBorders>
              <w:top w:val="single" w:sz="4" w:space="0" w:color="000000"/>
              <w:left w:val="single" w:sz="4" w:space="0" w:color="000000"/>
              <w:bottom w:val="single" w:sz="8" w:space="0" w:color="000000"/>
            </w:tcBorders>
            <w:shd w:val="clear" w:color="auto" w:fill="BFBFBF"/>
          </w:tcPr>
          <w:p w14:paraId="30FF7C6A" w14:textId="77777777" w:rsidR="001C08A5" w:rsidRDefault="00000000">
            <w:pPr>
              <w:jc w:val="center"/>
              <w:rPr>
                <w:i/>
                <w:iCs/>
                <w:sz w:val="22"/>
                <w:szCs w:val="22"/>
              </w:rPr>
            </w:pPr>
            <w:r>
              <w:rPr>
                <w:b/>
                <w:i/>
                <w:iCs/>
                <w:sz w:val="22"/>
                <w:szCs w:val="22"/>
              </w:rPr>
              <w:t>metri</w:t>
            </w:r>
          </w:p>
        </w:tc>
        <w:tc>
          <w:tcPr>
            <w:tcW w:w="1391" w:type="dxa"/>
            <w:vMerge/>
            <w:tcBorders>
              <w:top w:val="single" w:sz="4" w:space="0" w:color="000000"/>
              <w:left w:val="single" w:sz="4" w:space="0" w:color="000000"/>
              <w:bottom w:val="single" w:sz="8" w:space="0" w:color="000000"/>
              <w:right w:val="single" w:sz="8" w:space="0" w:color="000000"/>
            </w:tcBorders>
          </w:tcPr>
          <w:p w14:paraId="5454C9D8" w14:textId="77777777" w:rsidR="001C08A5" w:rsidRDefault="001C08A5">
            <w:pPr>
              <w:snapToGrid w:val="0"/>
              <w:rPr>
                <w:i/>
                <w:iCs/>
                <w:sz w:val="22"/>
                <w:szCs w:val="22"/>
              </w:rPr>
            </w:pPr>
          </w:p>
        </w:tc>
      </w:tr>
      <w:tr w:rsidR="001C08A5" w14:paraId="264EA7FC" w14:textId="77777777">
        <w:tc>
          <w:tcPr>
            <w:tcW w:w="630" w:type="dxa"/>
            <w:vMerge w:val="restart"/>
            <w:tcBorders>
              <w:top w:val="single" w:sz="8" w:space="0" w:color="000000"/>
              <w:left w:val="single" w:sz="4" w:space="0" w:color="000000"/>
              <w:bottom w:val="single" w:sz="4" w:space="0" w:color="000000"/>
            </w:tcBorders>
          </w:tcPr>
          <w:p w14:paraId="7936D590" w14:textId="77777777" w:rsidR="001C08A5" w:rsidRDefault="001C08A5">
            <w:pPr>
              <w:snapToGrid w:val="0"/>
              <w:jc w:val="center"/>
              <w:rPr>
                <w:i/>
                <w:iCs/>
                <w:sz w:val="22"/>
                <w:szCs w:val="22"/>
              </w:rPr>
            </w:pPr>
          </w:p>
          <w:p w14:paraId="47ABF165" w14:textId="77777777" w:rsidR="001C08A5" w:rsidRDefault="00000000">
            <w:pPr>
              <w:jc w:val="center"/>
              <w:rPr>
                <w:i/>
                <w:iCs/>
                <w:sz w:val="22"/>
                <w:szCs w:val="22"/>
              </w:rPr>
            </w:pPr>
            <w:r>
              <w:rPr>
                <w:i/>
                <w:iCs/>
                <w:sz w:val="22"/>
                <w:szCs w:val="22"/>
              </w:rPr>
              <w:t>1.</w:t>
            </w:r>
          </w:p>
        </w:tc>
        <w:tc>
          <w:tcPr>
            <w:tcW w:w="2320" w:type="dxa"/>
            <w:vMerge w:val="restart"/>
            <w:tcBorders>
              <w:top w:val="single" w:sz="8" w:space="0" w:color="000000"/>
              <w:left w:val="single" w:sz="4" w:space="0" w:color="000000"/>
              <w:bottom w:val="single" w:sz="4" w:space="0" w:color="000000"/>
            </w:tcBorders>
          </w:tcPr>
          <w:p w14:paraId="2A5881BD" w14:textId="77777777" w:rsidR="001C08A5" w:rsidRDefault="00000000">
            <w:pPr>
              <w:jc w:val="center"/>
              <w:rPr>
                <w:i/>
                <w:iCs/>
                <w:sz w:val="22"/>
                <w:szCs w:val="22"/>
              </w:rPr>
            </w:pPr>
            <w:r>
              <w:rPr>
                <w:i/>
                <w:iCs/>
                <w:sz w:val="22"/>
                <w:szCs w:val="22"/>
              </w:rPr>
              <w:t xml:space="preserve">Hoteluri, moteluri, cabane, pensiuni, etc., amplasate izolat </w:t>
            </w:r>
          </w:p>
          <w:p w14:paraId="20760588" w14:textId="77777777" w:rsidR="001C08A5" w:rsidRDefault="001C08A5">
            <w:pPr>
              <w:jc w:val="center"/>
              <w:rPr>
                <w:b/>
                <w:i/>
                <w:iCs/>
                <w:sz w:val="22"/>
                <w:szCs w:val="22"/>
              </w:rPr>
            </w:pPr>
          </w:p>
        </w:tc>
        <w:tc>
          <w:tcPr>
            <w:tcW w:w="1609" w:type="dxa"/>
            <w:tcBorders>
              <w:top w:val="single" w:sz="8" w:space="0" w:color="000000"/>
              <w:left w:val="single" w:sz="4" w:space="0" w:color="000000"/>
              <w:bottom w:val="single" w:sz="4" w:space="0" w:color="000000"/>
            </w:tcBorders>
          </w:tcPr>
          <w:p w14:paraId="6ABEEC06" w14:textId="77777777" w:rsidR="001C08A5" w:rsidRDefault="00000000">
            <w:pPr>
              <w:jc w:val="center"/>
              <w:rPr>
                <w:i/>
                <w:iCs/>
                <w:sz w:val="22"/>
                <w:szCs w:val="22"/>
              </w:rPr>
            </w:pPr>
            <w:r>
              <w:rPr>
                <w:b/>
                <w:i/>
                <w:iCs/>
                <w:sz w:val="22"/>
                <w:szCs w:val="22"/>
              </w:rPr>
              <w:t>I şi II</w:t>
            </w:r>
          </w:p>
        </w:tc>
        <w:tc>
          <w:tcPr>
            <w:tcW w:w="1636" w:type="dxa"/>
            <w:tcBorders>
              <w:top w:val="single" w:sz="8" w:space="0" w:color="000000"/>
              <w:left w:val="single" w:sz="4" w:space="0" w:color="000000"/>
              <w:bottom w:val="single" w:sz="4" w:space="0" w:color="000000"/>
            </w:tcBorders>
          </w:tcPr>
          <w:p w14:paraId="3971962B" w14:textId="77777777" w:rsidR="001C08A5" w:rsidRDefault="00000000">
            <w:pPr>
              <w:jc w:val="center"/>
              <w:rPr>
                <w:b/>
                <w:bCs/>
                <w:i/>
                <w:iCs/>
                <w:sz w:val="22"/>
                <w:szCs w:val="22"/>
              </w:rPr>
            </w:pPr>
            <w:r>
              <w:rPr>
                <w:b/>
                <w:bCs/>
                <w:i/>
                <w:iCs/>
                <w:sz w:val="22"/>
                <w:szCs w:val="22"/>
              </w:rPr>
              <w:t>40</w:t>
            </w:r>
          </w:p>
        </w:tc>
        <w:tc>
          <w:tcPr>
            <w:tcW w:w="1964" w:type="dxa"/>
            <w:tcBorders>
              <w:top w:val="single" w:sz="8" w:space="0" w:color="000000"/>
              <w:left w:val="single" w:sz="4" w:space="0" w:color="000000"/>
              <w:bottom w:val="single" w:sz="4" w:space="0" w:color="000000"/>
            </w:tcBorders>
          </w:tcPr>
          <w:p w14:paraId="559AD05A" w14:textId="77777777" w:rsidR="001C08A5" w:rsidRDefault="00000000">
            <w:pPr>
              <w:jc w:val="center"/>
              <w:rPr>
                <w:b/>
                <w:bCs/>
                <w:i/>
                <w:iCs/>
                <w:sz w:val="22"/>
                <w:szCs w:val="22"/>
              </w:rPr>
            </w:pPr>
            <w:r>
              <w:rPr>
                <w:b/>
                <w:bCs/>
                <w:i/>
                <w:iCs/>
                <w:sz w:val="22"/>
                <w:szCs w:val="22"/>
              </w:rPr>
              <w:t>20</w:t>
            </w:r>
          </w:p>
        </w:tc>
        <w:tc>
          <w:tcPr>
            <w:tcW w:w="1391" w:type="dxa"/>
            <w:vMerge w:val="restart"/>
            <w:tcBorders>
              <w:top w:val="single" w:sz="8" w:space="0" w:color="000000"/>
              <w:left w:val="single" w:sz="4" w:space="0" w:color="000000"/>
              <w:bottom w:val="single" w:sz="4" w:space="0" w:color="000000"/>
              <w:right w:val="single" w:sz="4" w:space="0" w:color="000000"/>
            </w:tcBorders>
          </w:tcPr>
          <w:p w14:paraId="2F37F9A4" w14:textId="77777777" w:rsidR="001C08A5" w:rsidRDefault="001C08A5">
            <w:pPr>
              <w:snapToGrid w:val="0"/>
              <w:jc w:val="center"/>
              <w:rPr>
                <w:i/>
                <w:iCs/>
                <w:sz w:val="22"/>
                <w:szCs w:val="22"/>
              </w:rPr>
            </w:pPr>
          </w:p>
          <w:p w14:paraId="1170E677" w14:textId="77777777" w:rsidR="001C08A5" w:rsidRDefault="001C08A5">
            <w:pPr>
              <w:jc w:val="center"/>
              <w:rPr>
                <w:i/>
                <w:iCs/>
                <w:sz w:val="22"/>
                <w:szCs w:val="22"/>
              </w:rPr>
            </w:pPr>
          </w:p>
          <w:p w14:paraId="33462D8F" w14:textId="77777777" w:rsidR="001C08A5" w:rsidRDefault="00000000">
            <w:pPr>
              <w:jc w:val="center"/>
              <w:rPr>
                <w:i/>
                <w:iCs/>
                <w:sz w:val="22"/>
                <w:szCs w:val="22"/>
              </w:rPr>
            </w:pPr>
            <w:r>
              <w:rPr>
                <w:i/>
                <w:iCs/>
                <w:sz w:val="22"/>
                <w:szCs w:val="22"/>
              </w:rPr>
              <w:t>-</w:t>
            </w:r>
          </w:p>
        </w:tc>
      </w:tr>
      <w:tr w:rsidR="001C08A5" w14:paraId="26E84C56" w14:textId="77777777">
        <w:tc>
          <w:tcPr>
            <w:tcW w:w="630" w:type="dxa"/>
            <w:vMerge/>
            <w:tcBorders>
              <w:top w:val="single" w:sz="4" w:space="0" w:color="000000"/>
              <w:left w:val="single" w:sz="4" w:space="0" w:color="000000"/>
              <w:bottom w:val="single" w:sz="4" w:space="0" w:color="000000"/>
            </w:tcBorders>
          </w:tcPr>
          <w:p w14:paraId="328F2AA4"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4" w:space="0" w:color="000000"/>
            </w:tcBorders>
          </w:tcPr>
          <w:p w14:paraId="3963A2FB" w14:textId="77777777" w:rsidR="001C08A5" w:rsidRDefault="001C08A5">
            <w:pPr>
              <w:snapToGrid w:val="0"/>
              <w:jc w:val="center"/>
              <w:rPr>
                <w:i/>
                <w:iCs/>
                <w:sz w:val="22"/>
                <w:szCs w:val="22"/>
              </w:rPr>
            </w:pPr>
          </w:p>
        </w:tc>
        <w:tc>
          <w:tcPr>
            <w:tcW w:w="1609" w:type="dxa"/>
            <w:tcBorders>
              <w:top w:val="single" w:sz="4" w:space="0" w:color="000000"/>
              <w:left w:val="single" w:sz="4" w:space="0" w:color="000000"/>
              <w:bottom w:val="single" w:sz="4" w:space="0" w:color="000000"/>
            </w:tcBorders>
          </w:tcPr>
          <w:p w14:paraId="3E704303" w14:textId="77777777" w:rsidR="001C08A5" w:rsidRDefault="00000000">
            <w:pPr>
              <w:jc w:val="center"/>
              <w:rPr>
                <w:i/>
                <w:iCs/>
                <w:sz w:val="22"/>
                <w:szCs w:val="22"/>
              </w:rPr>
            </w:pPr>
            <w:r>
              <w:rPr>
                <w:b/>
                <w:i/>
                <w:iCs/>
                <w:sz w:val="22"/>
                <w:szCs w:val="22"/>
              </w:rPr>
              <w:t>III</w:t>
            </w:r>
          </w:p>
        </w:tc>
        <w:tc>
          <w:tcPr>
            <w:tcW w:w="1636" w:type="dxa"/>
            <w:tcBorders>
              <w:top w:val="single" w:sz="4" w:space="0" w:color="000000"/>
              <w:left w:val="single" w:sz="4" w:space="0" w:color="000000"/>
              <w:bottom w:val="single" w:sz="4" w:space="0" w:color="000000"/>
            </w:tcBorders>
          </w:tcPr>
          <w:p w14:paraId="73C79D08" w14:textId="77777777" w:rsidR="001C08A5" w:rsidRDefault="00000000">
            <w:pPr>
              <w:jc w:val="center"/>
              <w:rPr>
                <w:b/>
                <w:bCs/>
                <w:i/>
                <w:iCs/>
                <w:sz w:val="22"/>
                <w:szCs w:val="22"/>
              </w:rPr>
            </w:pPr>
            <w:r>
              <w:rPr>
                <w:b/>
                <w:bCs/>
                <w:i/>
                <w:iCs/>
                <w:sz w:val="22"/>
                <w:szCs w:val="22"/>
              </w:rPr>
              <w:t>30</w:t>
            </w:r>
          </w:p>
        </w:tc>
        <w:tc>
          <w:tcPr>
            <w:tcW w:w="1964" w:type="dxa"/>
            <w:tcBorders>
              <w:top w:val="single" w:sz="4" w:space="0" w:color="000000"/>
              <w:left w:val="single" w:sz="4" w:space="0" w:color="000000"/>
              <w:bottom w:val="single" w:sz="4" w:space="0" w:color="000000"/>
            </w:tcBorders>
          </w:tcPr>
          <w:p w14:paraId="4BE03F08" w14:textId="77777777" w:rsidR="001C08A5" w:rsidRDefault="00000000">
            <w:pPr>
              <w:jc w:val="center"/>
              <w:rPr>
                <w:b/>
                <w:bCs/>
                <w:i/>
                <w:iCs/>
                <w:sz w:val="22"/>
                <w:szCs w:val="22"/>
              </w:rPr>
            </w:pPr>
            <w:r>
              <w:rPr>
                <w:b/>
                <w:bCs/>
                <w:i/>
                <w:iCs/>
                <w:sz w:val="22"/>
                <w:szCs w:val="22"/>
              </w:rPr>
              <w:t>16</w:t>
            </w:r>
          </w:p>
        </w:tc>
        <w:tc>
          <w:tcPr>
            <w:tcW w:w="1391" w:type="dxa"/>
            <w:vMerge/>
            <w:tcBorders>
              <w:top w:val="single" w:sz="4" w:space="0" w:color="000000"/>
              <w:left w:val="single" w:sz="4" w:space="0" w:color="000000"/>
              <w:bottom w:val="single" w:sz="4" w:space="0" w:color="000000"/>
              <w:right w:val="single" w:sz="4" w:space="0" w:color="000000"/>
            </w:tcBorders>
          </w:tcPr>
          <w:p w14:paraId="74DEEAF2" w14:textId="77777777" w:rsidR="001C08A5" w:rsidRDefault="001C08A5">
            <w:pPr>
              <w:snapToGrid w:val="0"/>
              <w:rPr>
                <w:i/>
                <w:iCs/>
                <w:sz w:val="22"/>
                <w:szCs w:val="22"/>
              </w:rPr>
            </w:pPr>
          </w:p>
        </w:tc>
      </w:tr>
      <w:tr w:rsidR="001C08A5" w14:paraId="61DFC0CB" w14:textId="77777777">
        <w:tc>
          <w:tcPr>
            <w:tcW w:w="630" w:type="dxa"/>
            <w:vMerge/>
            <w:tcBorders>
              <w:top w:val="single" w:sz="4" w:space="0" w:color="000000"/>
              <w:left w:val="single" w:sz="4" w:space="0" w:color="000000"/>
              <w:bottom w:val="single" w:sz="4" w:space="0" w:color="000000"/>
            </w:tcBorders>
          </w:tcPr>
          <w:p w14:paraId="38C553FD"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4" w:space="0" w:color="000000"/>
            </w:tcBorders>
          </w:tcPr>
          <w:p w14:paraId="0533D519" w14:textId="77777777" w:rsidR="001C08A5" w:rsidRDefault="001C08A5">
            <w:pPr>
              <w:snapToGrid w:val="0"/>
              <w:jc w:val="center"/>
              <w:rPr>
                <w:i/>
                <w:iCs/>
                <w:sz w:val="22"/>
                <w:szCs w:val="22"/>
              </w:rPr>
            </w:pPr>
          </w:p>
        </w:tc>
        <w:tc>
          <w:tcPr>
            <w:tcW w:w="1609" w:type="dxa"/>
            <w:tcBorders>
              <w:top w:val="single" w:sz="4" w:space="0" w:color="000000"/>
              <w:left w:val="single" w:sz="4" w:space="0" w:color="000000"/>
              <w:bottom w:val="single" w:sz="4" w:space="0" w:color="000000"/>
            </w:tcBorders>
          </w:tcPr>
          <w:p w14:paraId="3082DECC" w14:textId="77777777" w:rsidR="001C08A5" w:rsidRDefault="00000000">
            <w:pPr>
              <w:jc w:val="center"/>
              <w:rPr>
                <w:i/>
                <w:iCs/>
                <w:sz w:val="22"/>
                <w:szCs w:val="22"/>
              </w:rPr>
            </w:pPr>
            <w:r>
              <w:rPr>
                <w:b/>
                <w:i/>
                <w:iCs/>
                <w:sz w:val="22"/>
                <w:szCs w:val="22"/>
              </w:rPr>
              <w:t>IV</w:t>
            </w:r>
          </w:p>
        </w:tc>
        <w:tc>
          <w:tcPr>
            <w:tcW w:w="1636" w:type="dxa"/>
            <w:tcBorders>
              <w:top w:val="single" w:sz="4" w:space="0" w:color="000000"/>
              <w:left w:val="single" w:sz="4" w:space="0" w:color="000000"/>
              <w:bottom w:val="single" w:sz="4" w:space="0" w:color="000000"/>
            </w:tcBorders>
          </w:tcPr>
          <w:p w14:paraId="27AA1339" w14:textId="77777777" w:rsidR="001C08A5" w:rsidRDefault="00000000">
            <w:pPr>
              <w:jc w:val="center"/>
              <w:rPr>
                <w:b/>
                <w:bCs/>
                <w:i/>
                <w:iCs/>
                <w:sz w:val="22"/>
                <w:szCs w:val="22"/>
              </w:rPr>
            </w:pPr>
            <w:r>
              <w:rPr>
                <w:b/>
                <w:bCs/>
                <w:i/>
                <w:iCs/>
                <w:sz w:val="22"/>
                <w:szCs w:val="22"/>
              </w:rPr>
              <w:t>15</w:t>
            </w:r>
          </w:p>
        </w:tc>
        <w:tc>
          <w:tcPr>
            <w:tcW w:w="1964" w:type="dxa"/>
            <w:tcBorders>
              <w:top w:val="single" w:sz="4" w:space="0" w:color="000000"/>
              <w:left w:val="single" w:sz="4" w:space="0" w:color="000000"/>
              <w:bottom w:val="single" w:sz="4" w:space="0" w:color="000000"/>
            </w:tcBorders>
          </w:tcPr>
          <w:p w14:paraId="42B046C0" w14:textId="77777777" w:rsidR="001C08A5" w:rsidRDefault="00000000">
            <w:pPr>
              <w:jc w:val="center"/>
              <w:rPr>
                <w:b/>
                <w:bCs/>
                <w:i/>
                <w:iCs/>
                <w:sz w:val="22"/>
                <w:szCs w:val="22"/>
              </w:rPr>
            </w:pPr>
            <w:r>
              <w:rPr>
                <w:b/>
                <w:bCs/>
                <w:i/>
                <w:iCs/>
                <w:sz w:val="22"/>
                <w:szCs w:val="22"/>
              </w:rPr>
              <w:t>10</w:t>
            </w:r>
          </w:p>
        </w:tc>
        <w:tc>
          <w:tcPr>
            <w:tcW w:w="1391" w:type="dxa"/>
            <w:vMerge/>
            <w:tcBorders>
              <w:top w:val="single" w:sz="4" w:space="0" w:color="000000"/>
              <w:left w:val="single" w:sz="4" w:space="0" w:color="000000"/>
              <w:bottom w:val="single" w:sz="4" w:space="0" w:color="000000"/>
              <w:right w:val="single" w:sz="4" w:space="0" w:color="000000"/>
            </w:tcBorders>
          </w:tcPr>
          <w:p w14:paraId="7F9713CE" w14:textId="77777777" w:rsidR="001C08A5" w:rsidRDefault="001C08A5">
            <w:pPr>
              <w:snapToGrid w:val="0"/>
              <w:rPr>
                <w:i/>
                <w:iCs/>
                <w:sz w:val="22"/>
                <w:szCs w:val="22"/>
              </w:rPr>
            </w:pPr>
          </w:p>
        </w:tc>
      </w:tr>
      <w:tr w:rsidR="001C08A5" w14:paraId="0336D9A3" w14:textId="77777777">
        <w:tc>
          <w:tcPr>
            <w:tcW w:w="630" w:type="dxa"/>
            <w:vMerge/>
            <w:tcBorders>
              <w:top w:val="single" w:sz="4" w:space="0" w:color="000000"/>
              <w:left w:val="single" w:sz="4" w:space="0" w:color="000000"/>
              <w:bottom w:val="single" w:sz="4" w:space="0" w:color="000000"/>
            </w:tcBorders>
          </w:tcPr>
          <w:p w14:paraId="5FF4086E" w14:textId="77777777" w:rsidR="001C08A5" w:rsidRDefault="001C08A5">
            <w:pPr>
              <w:snapToGrid w:val="0"/>
              <w:jc w:val="center"/>
              <w:rPr>
                <w:i/>
                <w:iCs/>
                <w:sz w:val="22"/>
                <w:szCs w:val="22"/>
              </w:rPr>
            </w:pPr>
          </w:p>
        </w:tc>
        <w:tc>
          <w:tcPr>
            <w:tcW w:w="2320" w:type="dxa"/>
            <w:vMerge/>
            <w:tcBorders>
              <w:top w:val="single" w:sz="4" w:space="0" w:color="000000"/>
              <w:left w:val="single" w:sz="4" w:space="0" w:color="000000"/>
              <w:bottom w:val="single" w:sz="4" w:space="0" w:color="000000"/>
            </w:tcBorders>
          </w:tcPr>
          <w:p w14:paraId="2FF45840" w14:textId="77777777" w:rsidR="001C08A5" w:rsidRDefault="001C08A5">
            <w:pPr>
              <w:snapToGrid w:val="0"/>
              <w:jc w:val="center"/>
              <w:rPr>
                <w:i/>
                <w:iCs/>
                <w:sz w:val="22"/>
                <w:szCs w:val="22"/>
              </w:rPr>
            </w:pPr>
          </w:p>
        </w:tc>
        <w:tc>
          <w:tcPr>
            <w:tcW w:w="1609" w:type="dxa"/>
            <w:tcBorders>
              <w:top w:val="single" w:sz="4" w:space="0" w:color="000000"/>
              <w:left w:val="single" w:sz="4" w:space="0" w:color="000000"/>
              <w:bottom w:val="single" w:sz="4" w:space="0" w:color="000000"/>
            </w:tcBorders>
          </w:tcPr>
          <w:p w14:paraId="4BEA657E" w14:textId="77777777" w:rsidR="001C08A5" w:rsidRDefault="00000000">
            <w:pPr>
              <w:jc w:val="center"/>
              <w:rPr>
                <w:i/>
                <w:iCs/>
                <w:sz w:val="22"/>
                <w:szCs w:val="22"/>
              </w:rPr>
            </w:pPr>
            <w:r>
              <w:rPr>
                <w:b/>
                <w:i/>
                <w:iCs/>
                <w:sz w:val="22"/>
                <w:szCs w:val="22"/>
              </w:rPr>
              <w:t>V</w:t>
            </w:r>
          </w:p>
        </w:tc>
        <w:tc>
          <w:tcPr>
            <w:tcW w:w="1636" w:type="dxa"/>
            <w:tcBorders>
              <w:top w:val="single" w:sz="4" w:space="0" w:color="000000"/>
              <w:left w:val="single" w:sz="4" w:space="0" w:color="000000"/>
              <w:bottom w:val="single" w:sz="4" w:space="0" w:color="000000"/>
            </w:tcBorders>
          </w:tcPr>
          <w:p w14:paraId="7A446F3B" w14:textId="77777777" w:rsidR="001C08A5" w:rsidRDefault="00000000">
            <w:pPr>
              <w:jc w:val="center"/>
              <w:rPr>
                <w:b/>
                <w:bCs/>
                <w:i/>
                <w:iCs/>
                <w:sz w:val="22"/>
                <w:szCs w:val="22"/>
              </w:rPr>
            </w:pPr>
            <w:r>
              <w:rPr>
                <w:b/>
                <w:bCs/>
                <w:i/>
                <w:iCs/>
                <w:sz w:val="22"/>
                <w:szCs w:val="22"/>
              </w:rPr>
              <w:t>10</w:t>
            </w:r>
          </w:p>
        </w:tc>
        <w:tc>
          <w:tcPr>
            <w:tcW w:w="1964" w:type="dxa"/>
            <w:tcBorders>
              <w:top w:val="single" w:sz="4" w:space="0" w:color="000000"/>
              <w:left w:val="single" w:sz="4" w:space="0" w:color="000000"/>
              <w:bottom w:val="single" w:sz="4" w:space="0" w:color="000000"/>
            </w:tcBorders>
          </w:tcPr>
          <w:p w14:paraId="2E6C302F" w14:textId="77777777" w:rsidR="001C08A5" w:rsidRDefault="00000000">
            <w:pPr>
              <w:jc w:val="center"/>
              <w:rPr>
                <w:b/>
                <w:bCs/>
                <w:i/>
                <w:iCs/>
                <w:sz w:val="22"/>
                <w:szCs w:val="22"/>
              </w:rPr>
            </w:pPr>
            <w:r>
              <w:rPr>
                <w:b/>
                <w:bCs/>
                <w:i/>
                <w:iCs/>
                <w:sz w:val="22"/>
                <w:szCs w:val="22"/>
              </w:rPr>
              <w:t>6</w:t>
            </w:r>
          </w:p>
        </w:tc>
        <w:tc>
          <w:tcPr>
            <w:tcW w:w="1391" w:type="dxa"/>
            <w:vMerge/>
            <w:tcBorders>
              <w:top w:val="single" w:sz="4" w:space="0" w:color="000000"/>
              <w:left w:val="single" w:sz="4" w:space="0" w:color="000000"/>
              <w:bottom w:val="single" w:sz="4" w:space="0" w:color="000000"/>
              <w:right w:val="single" w:sz="4" w:space="0" w:color="000000"/>
            </w:tcBorders>
          </w:tcPr>
          <w:p w14:paraId="07813765" w14:textId="77777777" w:rsidR="001C08A5" w:rsidRDefault="001C08A5">
            <w:pPr>
              <w:snapToGrid w:val="0"/>
              <w:rPr>
                <w:i/>
                <w:iCs/>
                <w:sz w:val="22"/>
                <w:szCs w:val="22"/>
              </w:rPr>
            </w:pPr>
          </w:p>
        </w:tc>
      </w:tr>
    </w:tbl>
    <w:p w14:paraId="6A4801AD" w14:textId="77777777" w:rsidR="001C08A5" w:rsidRDefault="001C08A5">
      <w:pPr>
        <w:jc w:val="both"/>
        <w:rPr>
          <w:b/>
          <w:sz w:val="24"/>
          <w:szCs w:val="24"/>
        </w:rPr>
      </w:pPr>
    </w:p>
    <w:p w14:paraId="67754448" w14:textId="77777777" w:rsidR="001C08A5" w:rsidRDefault="00000000">
      <w:pPr>
        <w:jc w:val="both"/>
        <w:rPr>
          <w:sz w:val="24"/>
          <w:szCs w:val="24"/>
        </w:rPr>
      </w:pPr>
      <w:r>
        <w:rPr>
          <w:b/>
          <w:sz w:val="24"/>
          <w:szCs w:val="24"/>
        </w:rPr>
        <w:tab/>
        <w:t xml:space="preserve">Art. </w:t>
      </w:r>
      <w:r>
        <w:rPr>
          <w:b/>
          <w:bCs/>
          <w:sz w:val="24"/>
          <w:szCs w:val="24"/>
        </w:rPr>
        <w:t>3.2.10.</w:t>
      </w:r>
      <w:r>
        <w:rPr>
          <w:b/>
          <w:sz w:val="24"/>
          <w:szCs w:val="24"/>
        </w:rPr>
        <w:t xml:space="preserve">10. </w:t>
      </w:r>
      <w:r>
        <w:rPr>
          <w:sz w:val="24"/>
          <w:szCs w:val="24"/>
        </w:rPr>
        <w:t xml:space="preserve">Încălzirea locală cu sobe cu acumulare de căldură este admisă în construcţiile cu înălţimi obişnuite montane </w:t>
      </w:r>
      <w:r>
        <w:rPr>
          <w:bCs/>
          <w:sz w:val="24"/>
          <w:szCs w:val="24"/>
        </w:rPr>
        <w:t>sau din Delta Dunării, amplasate izolat</w:t>
      </w:r>
      <w:r>
        <w:rPr>
          <w:sz w:val="24"/>
          <w:szCs w:val="24"/>
        </w:rPr>
        <w:t xml:space="preserve"> care au maximum 3 niveluri supraterane, cu condiţia asigurării măsurilor de protecţie locale. Utilizarea sobelor fără acumulare de căldură nu este admisă.</w:t>
      </w:r>
    </w:p>
    <w:p w14:paraId="18C9675C" w14:textId="77777777" w:rsidR="001C08A5" w:rsidRDefault="00000000">
      <w:pPr>
        <w:jc w:val="both"/>
        <w:rPr>
          <w:b/>
          <w:sz w:val="24"/>
          <w:szCs w:val="24"/>
        </w:rPr>
      </w:pPr>
      <w:r>
        <w:rPr>
          <w:sz w:val="24"/>
          <w:szCs w:val="24"/>
        </w:rPr>
        <w:tab/>
      </w:r>
      <w:r>
        <w:rPr>
          <w:sz w:val="24"/>
          <w:szCs w:val="24"/>
        </w:rPr>
        <w:tab/>
      </w:r>
      <w:r>
        <w:rPr>
          <w:sz w:val="24"/>
          <w:szCs w:val="24"/>
        </w:rPr>
        <w:tab/>
      </w:r>
      <w:r>
        <w:rPr>
          <w:b/>
          <w:sz w:val="24"/>
          <w:szCs w:val="24"/>
        </w:rPr>
        <w:tab/>
      </w:r>
    </w:p>
    <w:p w14:paraId="018EE8CD" w14:textId="77777777" w:rsidR="001C08A5" w:rsidRDefault="00000000">
      <w:pPr>
        <w:jc w:val="both"/>
        <w:rPr>
          <w:sz w:val="24"/>
          <w:szCs w:val="24"/>
        </w:rPr>
      </w:pPr>
      <w:r>
        <w:rPr>
          <w:b/>
          <w:sz w:val="24"/>
          <w:szCs w:val="24"/>
        </w:rPr>
        <w:lastRenderedPageBreak/>
        <w:tab/>
        <w:t xml:space="preserve">Art. </w:t>
      </w:r>
      <w:r>
        <w:rPr>
          <w:b/>
          <w:bCs/>
          <w:sz w:val="24"/>
          <w:szCs w:val="24"/>
        </w:rPr>
        <w:t>3.2.10.</w:t>
      </w:r>
      <w:r>
        <w:rPr>
          <w:b/>
          <w:sz w:val="24"/>
          <w:szCs w:val="24"/>
        </w:rPr>
        <w:t xml:space="preserve">11. </w:t>
      </w:r>
      <w:r>
        <w:rPr>
          <w:sz w:val="24"/>
          <w:szCs w:val="24"/>
        </w:rPr>
        <w:t xml:space="preserve">Construcţiile supraterane cu înălţimi obişnuite montane </w:t>
      </w:r>
      <w:r>
        <w:rPr>
          <w:bCs/>
          <w:sz w:val="24"/>
          <w:szCs w:val="24"/>
        </w:rPr>
        <w:t>sau din Delta Dunării, amplasate izolat,</w:t>
      </w:r>
      <w:r>
        <w:rPr>
          <w:sz w:val="24"/>
          <w:szCs w:val="24"/>
        </w:rPr>
        <w:t xml:space="preserve"> cu capacităţi mai mari de </w:t>
      </w:r>
      <w:r>
        <w:rPr>
          <w:b/>
          <w:bCs/>
          <w:sz w:val="24"/>
          <w:szCs w:val="24"/>
        </w:rPr>
        <w:t>50</w:t>
      </w:r>
      <w:r>
        <w:rPr>
          <w:sz w:val="24"/>
          <w:szCs w:val="24"/>
        </w:rPr>
        <w:t xml:space="preserve"> locuri cazare, vor avea asigurată cale de acces şi intervenţie a autospecialelor de intervenţie în caz de incendiu, respectiv a ambarcaţiunilor de intervenţie, cel puţin pe o latura.</w:t>
      </w:r>
    </w:p>
    <w:p w14:paraId="6285B2AC" w14:textId="77777777" w:rsidR="001C08A5" w:rsidRDefault="00000000">
      <w:pPr>
        <w:pStyle w:val="Heading4"/>
      </w:pPr>
      <w:bookmarkStart w:id="4055" w:name="_Toc18211"/>
      <w:bookmarkStart w:id="4056" w:name="_Toc4850"/>
      <w:bookmarkStart w:id="4057" w:name="_Toc11249"/>
      <w:bookmarkStart w:id="4058" w:name="_Toc28151"/>
      <w:bookmarkStart w:id="4059" w:name="_Toc28624"/>
      <w:bookmarkStart w:id="4060" w:name="_Toc162355299"/>
      <w:bookmarkStart w:id="4061" w:name="_Toc9032"/>
      <w:bookmarkStart w:id="4062" w:name="_Toc12012"/>
      <w:r>
        <w:t>3.2.11. Parcaje pentru autoturisme</w:t>
      </w:r>
      <w:bookmarkEnd w:id="4055"/>
      <w:bookmarkEnd w:id="4056"/>
      <w:bookmarkEnd w:id="4057"/>
      <w:bookmarkEnd w:id="4058"/>
      <w:bookmarkEnd w:id="4059"/>
      <w:bookmarkEnd w:id="4060"/>
      <w:bookmarkEnd w:id="4061"/>
      <w:bookmarkEnd w:id="4062"/>
    </w:p>
    <w:p w14:paraId="3E246526" w14:textId="77777777" w:rsidR="001C08A5" w:rsidRDefault="001C08A5">
      <w:pPr>
        <w:rPr>
          <w:b/>
          <w:sz w:val="24"/>
          <w:szCs w:val="24"/>
        </w:rPr>
      </w:pPr>
    </w:p>
    <w:p w14:paraId="154940FE" w14:textId="77777777" w:rsidR="001C08A5" w:rsidRDefault="00000000">
      <w:pPr>
        <w:jc w:val="both"/>
        <w:rPr>
          <w:sz w:val="24"/>
          <w:szCs w:val="24"/>
        </w:rPr>
      </w:pPr>
      <w:r>
        <w:rPr>
          <w:b/>
          <w:sz w:val="24"/>
          <w:szCs w:val="24"/>
        </w:rPr>
        <w:tab/>
        <w:t xml:space="preserve">Art. </w:t>
      </w:r>
      <w:r>
        <w:rPr>
          <w:b/>
          <w:bCs/>
          <w:sz w:val="24"/>
          <w:szCs w:val="24"/>
        </w:rPr>
        <w:t>3.2.11.</w:t>
      </w:r>
      <w:r>
        <w:rPr>
          <w:b/>
          <w:sz w:val="24"/>
          <w:szCs w:val="24"/>
        </w:rPr>
        <w:t xml:space="preserve">1. (1) </w:t>
      </w:r>
      <w:r>
        <w:rPr>
          <w:sz w:val="24"/>
          <w:szCs w:val="24"/>
        </w:rPr>
        <w:t>Construcţiile parcajelor pentru autoturisme pot fi deschise sau închise și dispuse suprateran sau subteran faţă de nivelul de referinţă.</w:t>
      </w:r>
    </w:p>
    <w:p w14:paraId="364F101D" w14:textId="77777777" w:rsidR="001C08A5" w:rsidRDefault="00000000">
      <w:pPr>
        <w:jc w:val="both"/>
        <w:rPr>
          <w:sz w:val="24"/>
          <w:szCs w:val="24"/>
        </w:rPr>
      </w:pPr>
      <w:r>
        <w:rPr>
          <w:sz w:val="24"/>
          <w:szCs w:val="24"/>
        </w:rPr>
        <w:tab/>
      </w:r>
      <w:r>
        <w:rPr>
          <w:b/>
          <w:sz w:val="24"/>
          <w:szCs w:val="24"/>
        </w:rPr>
        <w:t xml:space="preserve">(2) </w:t>
      </w:r>
      <w:r>
        <w:rPr>
          <w:sz w:val="24"/>
          <w:szCs w:val="24"/>
        </w:rPr>
        <w:t>La proiectarea și realizarea parcajelor supraterane precum și a celor subterane cu maxim</w:t>
      </w:r>
      <w:r>
        <w:rPr>
          <w:b/>
          <w:bCs/>
          <w:sz w:val="24"/>
          <w:szCs w:val="24"/>
        </w:rPr>
        <w:t xml:space="preserve"> 10</w:t>
      </w:r>
      <w:r>
        <w:rPr>
          <w:sz w:val="24"/>
          <w:szCs w:val="24"/>
        </w:rPr>
        <w:t xml:space="preserve"> autoturisme, se respectă prevederile normativului.</w:t>
      </w:r>
    </w:p>
    <w:p w14:paraId="1229F916" w14:textId="77777777" w:rsidR="001C08A5" w:rsidRDefault="00000000">
      <w:pPr>
        <w:jc w:val="both"/>
        <w:rPr>
          <w:sz w:val="24"/>
          <w:szCs w:val="24"/>
        </w:rPr>
      </w:pPr>
      <w:r>
        <w:rPr>
          <w:sz w:val="24"/>
          <w:szCs w:val="24"/>
        </w:rPr>
        <w:tab/>
      </w:r>
      <w:r>
        <w:rPr>
          <w:b/>
          <w:sz w:val="24"/>
          <w:szCs w:val="24"/>
        </w:rPr>
        <w:t xml:space="preserve">(3) </w:t>
      </w:r>
      <w:r>
        <w:rPr>
          <w:sz w:val="24"/>
          <w:szCs w:val="24"/>
        </w:rPr>
        <w:t xml:space="preserve">Parcajele subterane pentru mai mult de </w:t>
      </w:r>
      <w:r>
        <w:rPr>
          <w:b/>
          <w:bCs/>
          <w:sz w:val="24"/>
          <w:szCs w:val="24"/>
        </w:rPr>
        <w:t>10</w:t>
      </w:r>
      <w:r>
        <w:rPr>
          <w:sz w:val="24"/>
          <w:szCs w:val="24"/>
        </w:rPr>
        <w:t xml:space="preserve"> autoturisme vor respecta condiţiile de securitate la incendiu stabilite în „Normativul de securitate la incendiu a parcajelor subterane pentru autoturisme”, indicativ </w:t>
      </w:r>
      <w:r>
        <w:rPr>
          <w:b/>
          <w:bCs/>
          <w:sz w:val="24"/>
          <w:szCs w:val="24"/>
        </w:rPr>
        <w:t>NP 127</w:t>
      </w:r>
      <w:r>
        <w:rPr>
          <w:sz w:val="24"/>
          <w:szCs w:val="24"/>
        </w:rPr>
        <w:t>.</w:t>
      </w:r>
    </w:p>
    <w:p w14:paraId="6F457E95" w14:textId="77777777" w:rsidR="001C08A5" w:rsidRDefault="00000000">
      <w:pPr>
        <w:jc w:val="both"/>
        <w:rPr>
          <w:sz w:val="24"/>
          <w:szCs w:val="24"/>
        </w:rPr>
      </w:pPr>
      <w:r>
        <w:rPr>
          <w:sz w:val="24"/>
          <w:szCs w:val="24"/>
        </w:rPr>
        <w:tab/>
      </w:r>
      <w:r>
        <w:rPr>
          <w:b/>
          <w:bCs/>
          <w:sz w:val="24"/>
          <w:szCs w:val="24"/>
        </w:rPr>
        <w:t>(4)</w:t>
      </w:r>
      <w:r>
        <w:rPr>
          <w:sz w:val="24"/>
          <w:szCs w:val="24"/>
        </w:rPr>
        <w:t xml:space="preserve"> Distanța dintre parcajele exterioare amenajate la nivelul terenului (care nu sunt construcții) și fațada oricărei clădiri supraterane sau ieșiri în suprateran din clădiri subterane trebuie să fie de minimum </w:t>
      </w:r>
      <w:r>
        <w:rPr>
          <w:b/>
          <w:bCs/>
          <w:sz w:val="24"/>
          <w:szCs w:val="24"/>
        </w:rPr>
        <w:t>6 m</w:t>
      </w:r>
      <w:r>
        <w:rPr>
          <w:sz w:val="24"/>
          <w:szCs w:val="24"/>
        </w:rPr>
        <w:t>.</w:t>
      </w:r>
    </w:p>
    <w:p w14:paraId="5815FFCE" w14:textId="77777777" w:rsidR="001C08A5" w:rsidRDefault="00000000">
      <w:pPr>
        <w:ind w:firstLine="720"/>
        <w:jc w:val="both"/>
        <w:rPr>
          <w:sz w:val="24"/>
          <w:szCs w:val="24"/>
        </w:rPr>
      </w:pPr>
      <w:r>
        <w:rPr>
          <w:b/>
          <w:bCs/>
          <w:sz w:val="24"/>
          <w:szCs w:val="24"/>
        </w:rPr>
        <w:t xml:space="preserve">(5) </w:t>
      </w:r>
      <w:r>
        <w:rPr>
          <w:sz w:val="24"/>
          <w:szCs w:val="24"/>
        </w:rPr>
        <w:t>Parcajele supraterane amenajate pe terasele unor clădiri, în portiunile mai joase, se dispun la minim</w:t>
      </w:r>
      <w:r>
        <w:rPr>
          <w:b/>
          <w:bCs/>
          <w:sz w:val="24"/>
          <w:szCs w:val="24"/>
        </w:rPr>
        <w:t xml:space="preserve"> 6 m</w:t>
      </w:r>
      <w:r>
        <w:rPr>
          <w:sz w:val="24"/>
          <w:szCs w:val="24"/>
        </w:rPr>
        <w:t xml:space="preserve"> de fatada constructiei mai înalte.  </w:t>
      </w:r>
    </w:p>
    <w:p w14:paraId="5F036E68" w14:textId="77777777" w:rsidR="001C08A5" w:rsidRDefault="00000000">
      <w:pPr>
        <w:jc w:val="both"/>
        <w:rPr>
          <w:b/>
          <w:sz w:val="24"/>
          <w:szCs w:val="24"/>
        </w:rPr>
      </w:pPr>
      <w:r>
        <w:rPr>
          <w:sz w:val="24"/>
          <w:szCs w:val="24"/>
        </w:rPr>
        <w:tab/>
      </w:r>
      <w:r>
        <w:rPr>
          <w:sz w:val="24"/>
          <w:szCs w:val="24"/>
        </w:rPr>
        <w:tab/>
      </w:r>
    </w:p>
    <w:p w14:paraId="21AF6D31" w14:textId="77777777" w:rsidR="001C08A5" w:rsidRDefault="00000000">
      <w:pPr>
        <w:ind w:firstLine="720"/>
        <w:jc w:val="both"/>
        <w:rPr>
          <w:sz w:val="24"/>
          <w:szCs w:val="24"/>
        </w:rPr>
      </w:pPr>
      <w:r>
        <w:rPr>
          <w:b/>
          <w:sz w:val="24"/>
          <w:szCs w:val="24"/>
        </w:rPr>
        <w:t xml:space="preserve">Art. </w:t>
      </w:r>
      <w:r>
        <w:rPr>
          <w:b/>
          <w:bCs/>
          <w:sz w:val="24"/>
          <w:szCs w:val="24"/>
        </w:rPr>
        <w:t>3.2.11.</w:t>
      </w:r>
      <w:r>
        <w:rPr>
          <w:b/>
          <w:sz w:val="24"/>
          <w:szCs w:val="24"/>
        </w:rPr>
        <w:t xml:space="preserve">2. </w:t>
      </w:r>
      <w:r>
        <w:rPr>
          <w:sz w:val="24"/>
          <w:szCs w:val="24"/>
        </w:rPr>
        <w:t>Parcajele pentru autoturisme (supraterane sau subterane), sunt considerate construcţii civile cu risc mare de incendiu. Celelalte încăperi aferente parcajului, vor avea riscurile de incendiu determinate în funcţie de destinaţie și densitatea sarcinii termice (</w:t>
      </w:r>
      <w:r>
        <w:rPr>
          <w:b/>
          <w:bCs/>
          <w:sz w:val="24"/>
          <w:szCs w:val="24"/>
        </w:rPr>
        <w:t>q</w:t>
      </w:r>
      <w:r>
        <w:rPr>
          <w:sz w:val="24"/>
          <w:szCs w:val="24"/>
        </w:rPr>
        <w:t>), conform prevederilor normativului.</w:t>
      </w:r>
    </w:p>
    <w:p w14:paraId="61FCA95F" w14:textId="77777777" w:rsidR="001C08A5" w:rsidRDefault="00000000">
      <w:pPr>
        <w:jc w:val="both"/>
        <w:rPr>
          <w:b/>
          <w:sz w:val="24"/>
          <w:szCs w:val="24"/>
        </w:rPr>
      </w:pPr>
      <w:r>
        <w:rPr>
          <w:sz w:val="24"/>
          <w:szCs w:val="24"/>
        </w:rPr>
        <w:tab/>
      </w:r>
      <w:r>
        <w:rPr>
          <w:sz w:val="24"/>
          <w:szCs w:val="24"/>
        </w:rPr>
        <w:tab/>
      </w:r>
    </w:p>
    <w:p w14:paraId="34FA80AC" w14:textId="77777777" w:rsidR="001C08A5" w:rsidRDefault="00000000">
      <w:pPr>
        <w:jc w:val="both"/>
        <w:rPr>
          <w:b/>
          <w:sz w:val="24"/>
          <w:szCs w:val="24"/>
        </w:rPr>
      </w:pPr>
      <w:r>
        <w:rPr>
          <w:b/>
          <w:sz w:val="24"/>
          <w:szCs w:val="24"/>
        </w:rPr>
        <w:tab/>
        <w:t xml:space="preserve">Art. </w:t>
      </w:r>
      <w:r>
        <w:rPr>
          <w:b/>
          <w:bCs/>
          <w:sz w:val="24"/>
          <w:szCs w:val="24"/>
        </w:rPr>
        <w:t>3.2.11.</w:t>
      </w:r>
      <w:r>
        <w:rPr>
          <w:b/>
          <w:sz w:val="24"/>
          <w:szCs w:val="24"/>
        </w:rPr>
        <w:t xml:space="preserve">3. (1) </w:t>
      </w:r>
      <w:r>
        <w:rPr>
          <w:sz w:val="24"/>
          <w:szCs w:val="24"/>
        </w:rPr>
        <w:t xml:space="preserve">Amplasarea parcajelor supraterane pentru mai mult de </w:t>
      </w:r>
      <w:r>
        <w:rPr>
          <w:b/>
          <w:bCs/>
          <w:sz w:val="24"/>
          <w:szCs w:val="24"/>
        </w:rPr>
        <w:t>10</w:t>
      </w:r>
      <w:r>
        <w:rPr>
          <w:sz w:val="24"/>
          <w:szCs w:val="24"/>
        </w:rPr>
        <w:t xml:space="preserve"> autoturisme se poate realiza independent sau compartimentat faţă de construcţiile cu altă destinaţie de care se alipesc sau în care se înglobează, astfel:</w:t>
      </w:r>
    </w:p>
    <w:p w14:paraId="09271430" w14:textId="77777777" w:rsidR="001C08A5" w:rsidRDefault="00000000">
      <w:pPr>
        <w:numPr>
          <w:ilvl w:val="0"/>
          <w:numId w:val="80"/>
        </w:numPr>
        <w:ind w:left="1701"/>
        <w:jc w:val="both"/>
        <w:rPr>
          <w:b/>
          <w:sz w:val="24"/>
          <w:szCs w:val="24"/>
        </w:rPr>
      </w:pPr>
      <w:r>
        <w:rPr>
          <w:sz w:val="24"/>
          <w:szCs w:val="24"/>
        </w:rPr>
        <w:t xml:space="preserve">dispuse independent, la distanţele de siguranţă normate faţă de construcţiile sau instalaţiile supraterane sau subterane învecinate, conform prevederilor din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b/>
          <w:sz w:val="24"/>
          <w:szCs w:val="24"/>
        </w:rPr>
        <w:t>;</w:t>
      </w:r>
    </w:p>
    <w:p w14:paraId="3B3E36C7" w14:textId="77777777" w:rsidR="001C08A5" w:rsidRDefault="00000000">
      <w:pPr>
        <w:widowControl w:val="0"/>
        <w:ind w:left="1701"/>
        <w:jc w:val="both"/>
        <w:rPr>
          <w:b/>
          <w:sz w:val="24"/>
          <w:szCs w:val="24"/>
        </w:rPr>
      </w:pPr>
      <w:r>
        <w:rPr>
          <w:b/>
          <w:sz w:val="24"/>
          <w:szCs w:val="24"/>
          <w:lang w:eastAsia="zh-CN"/>
        </w:rPr>
        <w:t>b)</w:t>
      </w:r>
      <w:r>
        <w:rPr>
          <w:sz w:val="24"/>
          <w:szCs w:val="24"/>
          <w:lang w:eastAsia="zh-CN"/>
        </w:rPr>
        <w:t xml:space="preserve"> dispuse independent, la distanţele de siguranţă normate mai mici decât prevederilor </w:t>
      </w:r>
      <w:r>
        <w:rPr>
          <w:sz w:val="24"/>
          <w:szCs w:val="24"/>
        </w:rPr>
        <w:t xml:space="preserve">din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rStyle w:val="BodyTextChar"/>
        </w:rPr>
        <w:t xml:space="preserve"> </w:t>
      </w:r>
      <w:r>
        <w:rPr>
          <w:sz w:val="24"/>
          <w:szCs w:val="24"/>
          <w:lang w:eastAsia="zh-CN"/>
        </w:rPr>
        <w:t xml:space="preserve">faţă de construcţiile sau instalaţiile supraterane sau subterane învecinate, prevăzute cu pereți antifoc de compartimentare spre acestea minimum </w:t>
      </w:r>
      <w:r>
        <w:rPr>
          <w:b/>
          <w:sz w:val="24"/>
          <w:szCs w:val="24"/>
          <w:lang w:eastAsia="zh-CN"/>
        </w:rPr>
        <w:t>EI-M/REI 240</w:t>
      </w:r>
      <w:r>
        <w:rPr>
          <w:sz w:val="24"/>
          <w:szCs w:val="24"/>
          <w:lang w:eastAsia="zh-CN"/>
        </w:rPr>
        <w:t>;</w:t>
      </w:r>
    </w:p>
    <w:p w14:paraId="5CC832C1" w14:textId="77777777" w:rsidR="001C08A5" w:rsidRDefault="00000000">
      <w:pPr>
        <w:ind w:left="1701"/>
        <w:jc w:val="both"/>
        <w:rPr>
          <w:sz w:val="24"/>
          <w:szCs w:val="24"/>
        </w:rPr>
      </w:pPr>
      <w:r>
        <w:rPr>
          <w:b/>
          <w:sz w:val="24"/>
          <w:szCs w:val="24"/>
        </w:rPr>
        <w:t>c)</w:t>
      </w:r>
      <w:r>
        <w:rPr>
          <w:sz w:val="24"/>
          <w:szCs w:val="24"/>
        </w:rPr>
        <w:t xml:space="preserve"> alipite de alte construcţii supraterane, faţă de care se compartimentează cu pereţi </w:t>
      </w:r>
      <w:r>
        <w:rPr>
          <w:bCs/>
          <w:sz w:val="24"/>
          <w:szCs w:val="24"/>
        </w:rPr>
        <w:t xml:space="preserve">antifoc </w:t>
      </w:r>
      <w:r>
        <w:rPr>
          <w:b/>
          <w:sz w:val="24"/>
          <w:szCs w:val="24"/>
        </w:rPr>
        <w:t>EI-M/REI 240</w:t>
      </w:r>
      <w:r>
        <w:rPr>
          <w:sz w:val="24"/>
          <w:szCs w:val="24"/>
        </w:rPr>
        <w:t>;</w:t>
      </w:r>
    </w:p>
    <w:p w14:paraId="074FF460" w14:textId="77777777" w:rsidR="001C08A5" w:rsidRDefault="00000000">
      <w:pPr>
        <w:ind w:left="1701"/>
        <w:jc w:val="both"/>
        <w:rPr>
          <w:sz w:val="24"/>
          <w:szCs w:val="24"/>
        </w:rPr>
      </w:pPr>
      <w:r>
        <w:rPr>
          <w:b/>
          <w:sz w:val="24"/>
          <w:szCs w:val="24"/>
        </w:rPr>
        <w:t>d)</w:t>
      </w:r>
      <w:r>
        <w:rPr>
          <w:sz w:val="24"/>
          <w:szCs w:val="24"/>
        </w:rPr>
        <w:t xml:space="preserve"> înglobate în construcţii supraterane cu altă destinaţie, faţă de care se separă cu pereţi rezistenţi la foc minimum </w:t>
      </w:r>
      <w:r>
        <w:rPr>
          <w:b/>
          <w:sz w:val="24"/>
          <w:szCs w:val="24"/>
        </w:rPr>
        <w:t>EI/REI 240</w:t>
      </w:r>
      <w:r>
        <w:rPr>
          <w:sz w:val="24"/>
          <w:szCs w:val="24"/>
        </w:rPr>
        <w:t xml:space="preserve"> şi planşee </w:t>
      </w:r>
      <w:r>
        <w:rPr>
          <w:b/>
          <w:sz w:val="24"/>
          <w:szCs w:val="24"/>
        </w:rPr>
        <w:t>REI 180</w:t>
      </w:r>
      <w:r>
        <w:rPr>
          <w:sz w:val="24"/>
          <w:szCs w:val="24"/>
        </w:rPr>
        <w:t xml:space="preserve"> atunci când sunt clădiri înalte, foarte înalte sau cu săli aglomerate și respectiv cu pereţi rezistenţi la foc minimum </w:t>
      </w:r>
      <w:r>
        <w:rPr>
          <w:b/>
          <w:sz w:val="24"/>
          <w:szCs w:val="24"/>
        </w:rPr>
        <w:t>EI/REI 180</w:t>
      </w:r>
      <w:r>
        <w:rPr>
          <w:sz w:val="24"/>
          <w:szCs w:val="24"/>
        </w:rPr>
        <w:t xml:space="preserve"> şi planşee </w:t>
      </w:r>
      <w:r>
        <w:rPr>
          <w:b/>
          <w:sz w:val="24"/>
          <w:szCs w:val="24"/>
        </w:rPr>
        <w:t xml:space="preserve">REI 120 </w:t>
      </w:r>
      <w:r>
        <w:rPr>
          <w:sz w:val="24"/>
          <w:szCs w:val="24"/>
        </w:rPr>
        <w:t>atunci când clădirile în care se înglobează sunt cu înălţimi obişnuite.</w:t>
      </w:r>
    </w:p>
    <w:p w14:paraId="215ECDAF" w14:textId="77777777" w:rsidR="001C08A5" w:rsidRDefault="00000000">
      <w:pPr>
        <w:pStyle w:val="BodyText"/>
        <w:ind w:firstLine="720"/>
        <w:rPr>
          <w:bCs w:val="0"/>
          <w:i w:val="0"/>
          <w:iCs/>
          <w:vertAlign w:val="subscript"/>
        </w:rPr>
      </w:pPr>
      <w:r>
        <w:rPr>
          <w:i w:val="0"/>
          <w:iCs/>
        </w:rPr>
        <w:t>(2)</w:t>
      </w:r>
      <w:r>
        <w:rPr>
          <w:b w:val="0"/>
          <w:i w:val="0"/>
          <w:iCs/>
        </w:rPr>
        <w:t xml:space="preserve"> Golurile de comunicare din pereţii de la </w:t>
      </w:r>
      <w:r>
        <w:rPr>
          <w:i w:val="0"/>
          <w:iCs/>
        </w:rPr>
        <w:t>alin.(1)</w:t>
      </w:r>
      <w:r>
        <w:rPr>
          <w:b w:val="0"/>
          <w:i w:val="0"/>
          <w:iCs/>
        </w:rPr>
        <w:t xml:space="preserve"> trebuie să fie prevăzute cu </w:t>
      </w:r>
      <w:r>
        <w:rPr>
          <w:b w:val="0"/>
          <w:bCs w:val="0"/>
          <w:i w:val="0"/>
          <w:iCs/>
          <w:spacing w:val="2"/>
        </w:rPr>
        <w:t xml:space="preserve">încăperi tampon protejate </w:t>
      </w:r>
      <w:r>
        <w:rPr>
          <w:b w:val="0"/>
          <w:bCs w:val="0"/>
          <w:i w:val="0"/>
          <w:iCs/>
        </w:rPr>
        <w:t>ventilate în suprapresiune</w:t>
      </w:r>
      <w:r>
        <w:rPr>
          <w:b w:val="0"/>
          <w:bCs w:val="0"/>
          <w:i w:val="0"/>
          <w:iCs/>
          <w:spacing w:val="2"/>
        </w:rPr>
        <w:t xml:space="preserve">, având pereţi/planşee </w:t>
      </w:r>
      <w:r>
        <w:rPr>
          <w:bCs w:val="0"/>
          <w:i w:val="0"/>
          <w:iCs/>
          <w:spacing w:val="2"/>
        </w:rPr>
        <w:t>EI 120/REI 120</w:t>
      </w:r>
      <w:r>
        <w:rPr>
          <w:b w:val="0"/>
          <w:bCs w:val="0"/>
          <w:i w:val="0"/>
          <w:iCs/>
          <w:spacing w:val="2"/>
        </w:rPr>
        <w:t xml:space="preserve"> și </w:t>
      </w:r>
      <w:r>
        <w:rPr>
          <w:b w:val="0"/>
          <w:i w:val="0"/>
          <w:iCs/>
        </w:rPr>
        <w:t xml:space="preserve">uşi </w:t>
      </w:r>
      <w:r>
        <w:rPr>
          <w:b w:val="0"/>
          <w:bCs w:val="0"/>
          <w:i w:val="0"/>
          <w:iCs/>
        </w:rPr>
        <w:t>rezistente la foc și etanșe la fum</w:t>
      </w:r>
      <w:r>
        <w:rPr>
          <w:i w:val="0"/>
          <w:iCs/>
        </w:rPr>
        <w:t>EI</w:t>
      </w:r>
      <w:r>
        <w:rPr>
          <w:i w:val="0"/>
          <w:iCs/>
          <w:vertAlign w:val="subscript"/>
        </w:rPr>
        <w:t xml:space="preserve">2 </w:t>
      </w:r>
      <w:r>
        <w:rPr>
          <w:i w:val="0"/>
          <w:iCs/>
        </w:rPr>
        <w:t>90-C5 S</w:t>
      </w:r>
      <w:r>
        <w:rPr>
          <w:i w:val="0"/>
          <w:iCs/>
          <w:vertAlign w:val="subscript"/>
        </w:rPr>
        <w:t>200</w:t>
      </w:r>
      <w:r>
        <w:rPr>
          <w:bCs w:val="0"/>
          <w:i w:val="0"/>
          <w:iCs/>
          <w:vertAlign w:val="subscript"/>
        </w:rPr>
        <w:t>.</w:t>
      </w:r>
    </w:p>
    <w:p w14:paraId="4D057F00" w14:textId="77777777" w:rsidR="001C08A5" w:rsidRDefault="00000000">
      <w:pPr>
        <w:pStyle w:val="BodyText"/>
        <w:ind w:firstLine="680"/>
        <w:rPr>
          <w:b w:val="0"/>
          <w:bCs w:val="0"/>
          <w:i w:val="0"/>
          <w:iCs/>
          <w:spacing w:val="2"/>
        </w:rPr>
      </w:pPr>
      <w:r>
        <w:rPr>
          <w:bCs w:val="0"/>
          <w:i w:val="0"/>
          <w:iCs/>
        </w:rPr>
        <w:tab/>
        <w:t xml:space="preserve">(3) </w:t>
      </w:r>
      <w:r>
        <w:rPr>
          <w:b w:val="0"/>
          <w:bCs w:val="0"/>
          <w:i w:val="0"/>
          <w:iCs/>
          <w:spacing w:val="2"/>
        </w:rPr>
        <w:t xml:space="preserve">Comunicarea parcajelor </w:t>
      </w:r>
      <w:r>
        <w:rPr>
          <w:b w:val="0"/>
          <w:bCs w:val="0"/>
          <w:i w:val="0"/>
          <w:iCs/>
        </w:rPr>
        <w:t>supraterane,</w:t>
      </w:r>
      <w:r>
        <w:rPr>
          <w:b w:val="0"/>
          <w:bCs w:val="0"/>
          <w:i w:val="0"/>
          <w:iCs/>
          <w:spacing w:val="2"/>
        </w:rPr>
        <w:t xml:space="preserve"> pentru mai mult de </w:t>
      </w:r>
      <w:r>
        <w:rPr>
          <w:i w:val="0"/>
          <w:iCs/>
          <w:spacing w:val="2"/>
        </w:rPr>
        <w:t>10</w:t>
      </w:r>
      <w:r>
        <w:rPr>
          <w:b w:val="0"/>
          <w:bCs w:val="0"/>
          <w:i w:val="0"/>
          <w:iCs/>
          <w:spacing w:val="2"/>
        </w:rPr>
        <w:t xml:space="preserve"> autoturisme, cu circulaţii interioare verticale sau orizontale, se realizează prin încăperi tampon protejate </w:t>
      </w:r>
      <w:r>
        <w:rPr>
          <w:b w:val="0"/>
          <w:bCs w:val="0"/>
          <w:i w:val="0"/>
          <w:iCs/>
        </w:rPr>
        <w:t xml:space="preserve">ventilate în suprapresiune </w:t>
      </w:r>
      <w:r>
        <w:rPr>
          <w:b w:val="0"/>
          <w:bCs w:val="0"/>
          <w:i w:val="0"/>
          <w:iCs/>
          <w:spacing w:val="2"/>
        </w:rPr>
        <w:t xml:space="preserve">prevăzute cu uşi </w:t>
      </w:r>
      <w:r>
        <w:rPr>
          <w:b w:val="0"/>
          <w:bCs w:val="0"/>
          <w:i w:val="0"/>
          <w:iCs/>
        </w:rPr>
        <w:t>rezistente la foc și etanșe la fum</w:t>
      </w:r>
      <w:r>
        <w:rPr>
          <w:b w:val="0"/>
          <w:bCs w:val="0"/>
          <w:i w:val="0"/>
          <w:iCs/>
          <w:spacing w:val="2"/>
        </w:rPr>
        <w:t xml:space="preserve"> minimum </w:t>
      </w:r>
      <w:r>
        <w:rPr>
          <w:i w:val="0"/>
          <w:iCs/>
        </w:rPr>
        <w:t>EI</w:t>
      </w:r>
      <w:r>
        <w:rPr>
          <w:i w:val="0"/>
          <w:iCs/>
          <w:vertAlign w:val="subscript"/>
        </w:rPr>
        <w:t xml:space="preserve">2 </w:t>
      </w:r>
      <w:r>
        <w:rPr>
          <w:i w:val="0"/>
          <w:iCs/>
        </w:rPr>
        <w:t>60-C5 S</w:t>
      </w:r>
      <w:r>
        <w:rPr>
          <w:i w:val="0"/>
          <w:iCs/>
          <w:vertAlign w:val="subscript"/>
        </w:rPr>
        <w:t>200</w:t>
      </w:r>
      <w:r>
        <w:rPr>
          <w:b w:val="0"/>
          <w:bCs w:val="0"/>
          <w:i w:val="0"/>
          <w:iCs/>
          <w:spacing w:val="2"/>
        </w:rPr>
        <w:t>.</w:t>
      </w:r>
    </w:p>
    <w:p w14:paraId="66E60754" w14:textId="77777777" w:rsidR="001C08A5" w:rsidRDefault="00000000">
      <w:pPr>
        <w:jc w:val="both"/>
        <w:rPr>
          <w:sz w:val="24"/>
          <w:szCs w:val="24"/>
        </w:rPr>
      </w:pPr>
      <w:r>
        <w:rPr>
          <w:sz w:val="24"/>
          <w:szCs w:val="24"/>
        </w:rPr>
        <w:tab/>
      </w:r>
      <w:r>
        <w:rPr>
          <w:b/>
          <w:bCs/>
          <w:sz w:val="24"/>
          <w:szCs w:val="24"/>
        </w:rPr>
        <w:t xml:space="preserve">(4) </w:t>
      </w:r>
      <w:r>
        <w:rPr>
          <w:sz w:val="24"/>
          <w:szCs w:val="24"/>
        </w:rPr>
        <w:t xml:space="preserve">Prin amplasarea și conformarea parcajelor supraterane pentru mai mult de </w:t>
      </w:r>
      <w:r>
        <w:rPr>
          <w:b/>
          <w:bCs/>
          <w:sz w:val="24"/>
          <w:szCs w:val="24"/>
        </w:rPr>
        <w:t>10</w:t>
      </w:r>
      <w:r>
        <w:rPr>
          <w:sz w:val="24"/>
          <w:szCs w:val="24"/>
        </w:rPr>
        <w:t xml:space="preserve"> autoturisme, vor fi asigurate căi de acces şi intervenţie pentru autospecialele de stingere a incendiilor şi de salvare a utilizatorilor. </w:t>
      </w:r>
    </w:p>
    <w:p w14:paraId="21B403AD" w14:textId="77777777" w:rsidR="001C08A5" w:rsidRDefault="00000000">
      <w:pPr>
        <w:ind w:firstLine="720"/>
        <w:jc w:val="both"/>
        <w:rPr>
          <w:sz w:val="24"/>
          <w:szCs w:val="24"/>
        </w:rPr>
      </w:pPr>
      <w:r>
        <w:rPr>
          <w:b/>
          <w:bCs/>
          <w:sz w:val="24"/>
          <w:szCs w:val="24"/>
        </w:rPr>
        <w:t>(5)</w:t>
      </w:r>
      <w:r>
        <w:rPr>
          <w:sz w:val="24"/>
          <w:szCs w:val="24"/>
        </w:rPr>
        <w:t xml:space="preserve"> La parcajele supraterane distanțele de siguranta se majoreaza cu </w:t>
      </w:r>
      <w:r>
        <w:rPr>
          <w:b/>
          <w:bCs/>
          <w:sz w:val="24"/>
          <w:szCs w:val="24"/>
        </w:rPr>
        <w:t>50%</w:t>
      </w:r>
      <w:r>
        <w:rPr>
          <w:sz w:val="24"/>
          <w:szCs w:val="24"/>
        </w:rPr>
        <w:t xml:space="preserve"> față de construcțiile vecine.</w:t>
      </w:r>
    </w:p>
    <w:p w14:paraId="11FDB561" w14:textId="77777777" w:rsidR="001C08A5" w:rsidRDefault="001C08A5">
      <w:pPr>
        <w:jc w:val="both"/>
        <w:rPr>
          <w:sz w:val="24"/>
          <w:szCs w:val="24"/>
        </w:rPr>
      </w:pPr>
    </w:p>
    <w:p w14:paraId="4D240030" w14:textId="77777777" w:rsidR="001C08A5" w:rsidRDefault="00000000">
      <w:pPr>
        <w:ind w:firstLine="720"/>
        <w:jc w:val="both"/>
        <w:rPr>
          <w:sz w:val="24"/>
          <w:szCs w:val="24"/>
        </w:rPr>
      </w:pPr>
      <w:r>
        <w:rPr>
          <w:b/>
          <w:sz w:val="24"/>
          <w:szCs w:val="24"/>
        </w:rPr>
        <w:lastRenderedPageBreak/>
        <w:t xml:space="preserve">Art. </w:t>
      </w:r>
      <w:r>
        <w:rPr>
          <w:b/>
          <w:bCs/>
          <w:sz w:val="24"/>
          <w:szCs w:val="24"/>
        </w:rPr>
        <w:t>3.2.11.</w:t>
      </w:r>
      <w:r>
        <w:rPr>
          <w:b/>
          <w:sz w:val="24"/>
          <w:szCs w:val="24"/>
        </w:rPr>
        <w:t xml:space="preserve">4. (1) </w:t>
      </w:r>
      <w:r>
        <w:rPr>
          <w:sz w:val="24"/>
          <w:szCs w:val="24"/>
        </w:rPr>
        <w:t>Parcajele supraterane pentru autoturisme vor avea nivelul de stabilitate la incendiu astfel asigurat încât să îndeplinească condiţiile de conformare la incendiu, potrivit prevederilor normativului.</w:t>
      </w:r>
    </w:p>
    <w:p w14:paraId="792802E2" w14:textId="77777777" w:rsidR="001C08A5" w:rsidRDefault="00000000">
      <w:pPr>
        <w:ind w:firstLine="720"/>
        <w:jc w:val="both"/>
        <w:rPr>
          <w:b/>
          <w:sz w:val="24"/>
          <w:szCs w:val="24"/>
        </w:rPr>
      </w:pPr>
      <w:r>
        <w:rPr>
          <w:b/>
          <w:sz w:val="24"/>
          <w:szCs w:val="24"/>
        </w:rPr>
        <w:t xml:space="preserve">(2) </w:t>
      </w:r>
      <w:r>
        <w:rPr>
          <w:sz w:val="24"/>
          <w:szCs w:val="24"/>
        </w:rPr>
        <w:t xml:space="preserve">Parcajele supraterane pentru mai mult de </w:t>
      </w:r>
      <w:r>
        <w:rPr>
          <w:b/>
          <w:bCs/>
          <w:sz w:val="24"/>
          <w:szCs w:val="24"/>
        </w:rPr>
        <w:t>10</w:t>
      </w:r>
      <w:r>
        <w:rPr>
          <w:sz w:val="24"/>
          <w:szCs w:val="24"/>
        </w:rPr>
        <w:t xml:space="preserve"> autoturisme, precum și cele subterane de maxim </w:t>
      </w:r>
      <w:r>
        <w:rPr>
          <w:b/>
          <w:bCs/>
          <w:sz w:val="24"/>
          <w:szCs w:val="24"/>
        </w:rPr>
        <w:t>10</w:t>
      </w:r>
      <w:r>
        <w:rPr>
          <w:sz w:val="24"/>
          <w:szCs w:val="24"/>
        </w:rPr>
        <w:t xml:space="preserve"> autoturisme trebuie să corespundă nivelului </w:t>
      </w:r>
      <w:r>
        <w:rPr>
          <w:b/>
          <w:sz w:val="24"/>
          <w:szCs w:val="24"/>
        </w:rPr>
        <w:t>I</w:t>
      </w:r>
      <w:r>
        <w:rPr>
          <w:sz w:val="24"/>
          <w:szCs w:val="24"/>
        </w:rPr>
        <w:t xml:space="preserve"> sau </w:t>
      </w:r>
      <w:r>
        <w:rPr>
          <w:b/>
          <w:sz w:val="24"/>
          <w:szCs w:val="24"/>
        </w:rPr>
        <w:t>II</w:t>
      </w:r>
      <w:r>
        <w:rPr>
          <w:sz w:val="24"/>
          <w:szCs w:val="24"/>
        </w:rPr>
        <w:t xml:space="preserve"> de stabilitate la incendiu</w:t>
      </w:r>
      <w:r>
        <w:rPr>
          <w:b/>
          <w:sz w:val="24"/>
          <w:szCs w:val="24"/>
        </w:rPr>
        <w:t>.</w:t>
      </w:r>
    </w:p>
    <w:p w14:paraId="0F0382F4" w14:textId="77777777" w:rsidR="001C08A5" w:rsidRDefault="00000000">
      <w:pPr>
        <w:pStyle w:val="BodyText"/>
        <w:ind w:firstLine="720"/>
        <w:rPr>
          <w:bCs w:val="0"/>
          <w:i w:val="0"/>
          <w:iCs/>
        </w:rPr>
      </w:pPr>
      <w:r>
        <w:rPr>
          <w:bCs w:val="0"/>
          <w:i w:val="0"/>
          <w:iCs/>
        </w:rPr>
        <w:t xml:space="preserve">(3) </w:t>
      </w:r>
      <w:r>
        <w:rPr>
          <w:b w:val="0"/>
          <w:i w:val="0"/>
          <w:iCs/>
        </w:rPr>
        <w:t xml:space="preserve">Parcajele supraterane pentru mai mult de </w:t>
      </w:r>
      <w:r>
        <w:rPr>
          <w:i w:val="0"/>
          <w:iCs/>
        </w:rPr>
        <w:t>5</w:t>
      </w:r>
      <w:r>
        <w:rPr>
          <w:b w:val="0"/>
          <w:i w:val="0"/>
          <w:iCs/>
        </w:rPr>
        <w:t xml:space="preserve"> autoturisme, dar maxim </w:t>
      </w:r>
      <w:r>
        <w:rPr>
          <w:i w:val="0"/>
          <w:iCs/>
        </w:rPr>
        <w:t xml:space="preserve">10 </w:t>
      </w:r>
      <w:r>
        <w:rPr>
          <w:b w:val="0"/>
          <w:i w:val="0"/>
          <w:iCs/>
        </w:rPr>
        <w:t>autoturisme</w:t>
      </w:r>
      <w:r>
        <w:rPr>
          <w:b w:val="0"/>
          <w:bCs w:val="0"/>
          <w:i w:val="0"/>
          <w:iCs/>
        </w:rPr>
        <w:t xml:space="preserve"> trebuie să fie cel puţin nivelul</w:t>
      </w:r>
      <w:r>
        <w:rPr>
          <w:bCs w:val="0"/>
          <w:i w:val="0"/>
          <w:iCs/>
        </w:rPr>
        <w:t xml:space="preserve"> III</w:t>
      </w:r>
      <w:r>
        <w:rPr>
          <w:b w:val="0"/>
          <w:bCs w:val="0"/>
          <w:i w:val="0"/>
          <w:iCs/>
        </w:rPr>
        <w:t xml:space="preserve"> stabilitate la incendiu</w:t>
      </w:r>
      <w:r>
        <w:rPr>
          <w:bCs w:val="0"/>
          <w:i w:val="0"/>
          <w:iCs/>
        </w:rPr>
        <w:t>.</w:t>
      </w:r>
    </w:p>
    <w:p w14:paraId="14C37F05" w14:textId="77777777" w:rsidR="001C08A5" w:rsidRDefault="00000000">
      <w:pPr>
        <w:pStyle w:val="BodyText"/>
        <w:ind w:firstLine="720"/>
        <w:rPr>
          <w:i w:val="0"/>
          <w:iCs/>
        </w:rPr>
      </w:pPr>
      <w:r>
        <w:rPr>
          <w:bCs w:val="0"/>
          <w:i w:val="0"/>
          <w:iCs/>
        </w:rPr>
        <w:t>(4)</w:t>
      </w:r>
      <w:r>
        <w:rPr>
          <w:b w:val="0"/>
          <w:bCs w:val="0"/>
          <w:i w:val="0"/>
          <w:iCs/>
        </w:rPr>
        <w:t xml:space="preserve"> Parcajele supraterane pentru maximum </w:t>
      </w:r>
      <w:r>
        <w:rPr>
          <w:bCs w:val="0"/>
          <w:i w:val="0"/>
          <w:iCs/>
        </w:rPr>
        <w:t xml:space="preserve">5 </w:t>
      </w:r>
      <w:r>
        <w:rPr>
          <w:b w:val="0"/>
          <w:bCs w:val="0"/>
          <w:i w:val="0"/>
          <w:iCs/>
        </w:rPr>
        <w:t xml:space="preserve">autoturisme, pot fi de nivelul </w:t>
      </w:r>
      <w:r>
        <w:rPr>
          <w:i w:val="0"/>
          <w:iCs/>
        </w:rPr>
        <w:t>IV</w:t>
      </w:r>
      <w:r>
        <w:rPr>
          <w:b w:val="0"/>
          <w:bCs w:val="0"/>
          <w:i w:val="0"/>
          <w:iCs/>
        </w:rPr>
        <w:t xml:space="preserve"> sau </w:t>
      </w:r>
      <w:r>
        <w:rPr>
          <w:i w:val="0"/>
          <w:iCs/>
        </w:rPr>
        <w:t>V</w:t>
      </w:r>
      <w:r>
        <w:rPr>
          <w:b w:val="0"/>
          <w:bCs w:val="0"/>
          <w:i w:val="0"/>
          <w:iCs/>
        </w:rPr>
        <w:t xml:space="preserve"> de stabilitate la incendiu</w:t>
      </w:r>
      <w:r>
        <w:rPr>
          <w:i w:val="0"/>
          <w:iCs/>
        </w:rPr>
        <w:t>.</w:t>
      </w:r>
    </w:p>
    <w:p w14:paraId="2AEC9505" w14:textId="77777777" w:rsidR="001C08A5" w:rsidRDefault="00000000">
      <w:pPr>
        <w:ind w:firstLine="720"/>
        <w:jc w:val="both"/>
        <w:rPr>
          <w:sz w:val="24"/>
          <w:szCs w:val="24"/>
        </w:rPr>
      </w:pPr>
      <w:r>
        <w:rPr>
          <w:b/>
          <w:sz w:val="24"/>
          <w:szCs w:val="24"/>
        </w:rPr>
        <w:t xml:space="preserve">(5) </w:t>
      </w:r>
      <w:r>
        <w:rPr>
          <w:sz w:val="24"/>
          <w:szCs w:val="24"/>
        </w:rPr>
        <w:t xml:space="preserve">Ariile construite </w:t>
      </w:r>
      <w:r>
        <w:rPr>
          <w:b/>
          <w:bCs/>
          <w:sz w:val="24"/>
          <w:szCs w:val="24"/>
        </w:rPr>
        <w:t>(Ac)</w:t>
      </w:r>
      <w:r>
        <w:rPr>
          <w:sz w:val="24"/>
          <w:szCs w:val="24"/>
        </w:rPr>
        <w:t xml:space="preserve"> ale parcajelor supraterane nu sunt limitate la clădirile cu nivelul </w:t>
      </w:r>
      <w:r>
        <w:rPr>
          <w:b/>
          <w:sz w:val="24"/>
          <w:szCs w:val="24"/>
        </w:rPr>
        <w:t>I</w:t>
      </w:r>
      <w:r>
        <w:rPr>
          <w:sz w:val="24"/>
          <w:szCs w:val="24"/>
        </w:rPr>
        <w:t xml:space="preserve"> de stabilitate la incendiu. La parcajele supraterane cu nivelul </w:t>
      </w:r>
      <w:r>
        <w:rPr>
          <w:b/>
          <w:sz w:val="24"/>
          <w:szCs w:val="24"/>
        </w:rPr>
        <w:t>II</w:t>
      </w:r>
      <w:r>
        <w:rPr>
          <w:sz w:val="24"/>
          <w:szCs w:val="24"/>
        </w:rPr>
        <w:t xml:space="preserve"> de stabilitate la incendiu, ariile construite (</w:t>
      </w:r>
      <w:r>
        <w:rPr>
          <w:b/>
          <w:bCs/>
          <w:sz w:val="24"/>
          <w:szCs w:val="24"/>
        </w:rPr>
        <w:t>Ac</w:t>
      </w:r>
      <w:r>
        <w:rPr>
          <w:sz w:val="24"/>
          <w:szCs w:val="24"/>
        </w:rPr>
        <w:t xml:space="preserve">) sunt limitate la </w:t>
      </w:r>
      <w:r>
        <w:rPr>
          <w:b/>
          <w:sz w:val="24"/>
          <w:szCs w:val="24"/>
        </w:rPr>
        <w:t>7.500</w:t>
      </w:r>
      <w:r>
        <w:rPr>
          <w:sz w:val="24"/>
          <w:szCs w:val="24"/>
        </w:rPr>
        <w:t xml:space="preserve"> </w:t>
      </w:r>
      <w:r>
        <w:rPr>
          <w:b/>
          <w:bCs/>
          <w:sz w:val="24"/>
          <w:szCs w:val="24"/>
        </w:rPr>
        <w:t>m²</w:t>
      </w:r>
      <w:r>
        <w:rPr>
          <w:sz w:val="24"/>
          <w:szCs w:val="24"/>
        </w:rPr>
        <w:t xml:space="preserve"> pentru construcţiile cu mai mult de </w:t>
      </w:r>
      <w:r>
        <w:rPr>
          <w:b/>
          <w:bCs/>
          <w:sz w:val="24"/>
          <w:szCs w:val="24"/>
        </w:rPr>
        <w:t>2</w:t>
      </w:r>
      <w:r>
        <w:rPr>
          <w:sz w:val="24"/>
          <w:szCs w:val="24"/>
        </w:rPr>
        <w:t xml:space="preserve"> niveluri, </w:t>
      </w:r>
      <w:r>
        <w:rPr>
          <w:b/>
          <w:sz w:val="24"/>
          <w:szCs w:val="24"/>
        </w:rPr>
        <w:t>15.000</w:t>
      </w:r>
      <w:r>
        <w:rPr>
          <w:sz w:val="24"/>
          <w:szCs w:val="24"/>
        </w:rPr>
        <w:t xml:space="preserve"> </w:t>
      </w:r>
      <w:r>
        <w:rPr>
          <w:b/>
          <w:bCs/>
          <w:sz w:val="24"/>
          <w:szCs w:val="24"/>
        </w:rPr>
        <w:t>m²</w:t>
      </w:r>
      <w:r>
        <w:rPr>
          <w:sz w:val="24"/>
          <w:szCs w:val="24"/>
        </w:rPr>
        <w:t xml:space="preserve"> la construcţiile cu </w:t>
      </w:r>
      <w:r>
        <w:rPr>
          <w:b/>
          <w:bCs/>
          <w:sz w:val="24"/>
          <w:szCs w:val="24"/>
        </w:rPr>
        <w:t>2</w:t>
      </w:r>
      <w:r>
        <w:rPr>
          <w:sz w:val="24"/>
          <w:szCs w:val="24"/>
        </w:rPr>
        <w:t xml:space="preserve"> niveluri şi nelimitate la cele parter.</w:t>
      </w:r>
      <w:r>
        <w:rPr>
          <w:sz w:val="24"/>
          <w:szCs w:val="24"/>
        </w:rPr>
        <w:tab/>
      </w:r>
      <w:r>
        <w:rPr>
          <w:sz w:val="24"/>
          <w:szCs w:val="24"/>
        </w:rPr>
        <w:tab/>
      </w:r>
    </w:p>
    <w:p w14:paraId="511DAF1E" w14:textId="77777777" w:rsidR="001C08A5" w:rsidRDefault="001C08A5">
      <w:pPr>
        <w:ind w:firstLine="708"/>
        <w:jc w:val="both"/>
        <w:rPr>
          <w:sz w:val="24"/>
          <w:szCs w:val="24"/>
        </w:rPr>
      </w:pPr>
    </w:p>
    <w:p w14:paraId="7AD3E49E" w14:textId="77777777" w:rsidR="001C08A5" w:rsidRDefault="00000000">
      <w:pPr>
        <w:ind w:firstLine="708"/>
        <w:jc w:val="both"/>
        <w:rPr>
          <w:sz w:val="24"/>
          <w:szCs w:val="24"/>
        </w:rPr>
      </w:pPr>
      <w:r>
        <w:rPr>
          <w:b/>
          <w:sz w:val="24"/>
          <w:szCs w:val="24"/>
        </w:rPr>
        <w:t xml:space="preserve">Art. </w:t>
      </w:r>
      <w:r>
        <w:rPr>
          <w:b/>
          <w:bCs/>
          <w:sz w:val="24"/>
          <w:szCs w:val="24"/>
        </w:rPr>
        <w:t>3.2.11.</w:t>
      </w:r>
      <w:r>
        <w:rPr>
          <w:b/>
          <w:sz w:val="24"/>
          <w:szCs w:val="24"/>
        </w:rPr>
        <w:t>5. (1)</w:t>
      </w:r>
      <w:r>
        <w:rPr>
          <w:sz w:val="24"/>
          <w:szCs w:val="24"/>
        </w:rPr>
        <w:t xml:space="preserve"> Parcajele supraterane închise se separă în interior, cu pereţi rezistenţi la foc minimum </w:t>
      </w:r>
      <w:r>
        <w:rPr>
          <w:b/>
          <w:sz w:val="24"/>
          <w:szCs w:val="24"/>
        </w:rPr>
        <w:t>EI/REI 60</w:t>
      </w:r>
      <w:r>
        <w:rPr>
          <w:sz w:val="24"/>
          <w:szCs w:val="24"/>
        </w:rPr>
        <w:t xml:space="preserve">, în arii de maximum </w:t>
      </w:r>
      <w:r>
        <w:rPr>
          <w:b/>
          <w:sz w:val="24"/>
          <w:szCs w:val="24"/>
        </w:rPr>
        <w:t>6.000</w:t>
      </w:r>
      <w:r>
        <w:rPr>
          <w:sz w:val="24"/>
          <w:szCs w:val="24"/>
        </w:rPr>
        <w:t xml:space="preserve"> m² atunci când sunt prevăzute cu instalaţii automate de stingere a incendiilor şi de maximum </w:t>
      </w:r>
      <w:r>
        <w:rPr>
          <w:b/>
          <w:sz w:val="24"/>
          <w:szCs w:val="24"/>
        </w:rPr>
        <w:t>3.000</w:t>
      </w:r>
      <w:r>
        <w:rPr>
          <w:sz w:val="24"/>
          <w:szCs w:val="24"/>
        </w:rPr>
        <w:t xml:space="preserve"> m² atunci când nu sunt echipate cu astfel de instalaţii. </w:t>
      </w:r>
    </w:p>
    <w:p w14:paraId="2DF66F9F" w14:textId="77777777" w:rsidR="001C08A5" w:rsidRDefault="00000000">
      <w:pPr>
        <w:ind w:firstLine="720"/>
        <w:jc w:val="both"/>
        <w:rPr>
          <w:sz w:val="24"/>
          <w:szCs w:val="24"/>
        </w:rPr>
      </w:pPr>
      <w:r>
        <w:rPr>
          <w:b/>
          <w:sz w:val="24"/>
          <w:szCs w:val="24"/>
        </w:rPr>
        <w:t>(2)</w:t>
      </w:r>
      <w:r>
        <w:rPr>
          <w:sz w:val="24"/>
          <w:szCs w:val="24"/>
        </w:rPr>
        <w:t xml:space="preserve"> Golurile de circulaţie funcţională şi de evacuare din pereţii de separare menţionaţi la </w:t>
      </w:r>
      <w:r>
        <w:rPr>
          <w:b/>
          <w:sz w:val="24"/>
          <w:szCs w:val="24"/>
        </w:rPr>
        <w:t>alin.(1)</w:t>
      </w:r>
      <w:r>
        <w:rPr>
          <w:sz w:val="24"/>
          <w:szCs w:val="24"/>
        </w:rPr>
        <w:t xml:space="preserve">, se protejază cu elemente de închidere rezistente la foc și etanșe la fum minimum </w:t>
      </w:r>
      <w:r>
        <w:rPr>
          <w:b/>
          <w:spacing w:val="-2"/>
          <w:sz w:val="24"/>
          <w:szCs w:val="24"/>
        </w:rPr>
        <w:t>EI</w:t>
      </w:r>
      <w:r>
        <w:rPr>
          <w:b/>
          <w:spacing w:val="-2"/>
          <w:sz w:val="24"/>
          <w:szCs w:val="24"/>
          <w:vertAlign w:val="subscript"/>
        </w:rPr>
        <w:t xml:space="preserve">1 </w:t>
      </w:r>
      <w:r>
        <w:rPr>
          <w:b/>
          <w:spacing w:val="-2"/>
          <w:sz w:val="24"/>
          <w:szCs w:val="24"/>
        </w:rPr>
        <w:t>60-C5</w:t>
      </w:r>
      <w:r>
        <w:rPr>
          <w:b/>
          <w:sz w:val="24"/>
          <w:szCs w:val="24"/>
        </w:rPr>
        <w:t>S</w:t>
      </w:r>
      <w:r>
        <w:rPr>
          <w:b/>
          <w:bCs/>
          <w:sz w:val="24"/>
          <w:szCs w:val="24"/>
          <w:vertAlign w:val="subscript"/>
        </w:rPr>
        <w:t>200</w:t>
      </w:r>
      <w:r>
        <w:rPr>
          <w:sz w:val="24"/>
          <w:szCs w:val="24"/>
        </w:rPr>
        <w:t>.</w:t>
      </w:r>
    </w:p>
    <w:p w14:paraId="6224E1BB" w14:textId="77777777" w:rsidR="001C08A5" w:rsidRDefault="00000000">
      <w:pPr>
        <w:ind w:firstLine="720"/>
        <w:jc w:val="both"/>
        <w:rPr>
          <w:b/>
          <w:sz w:val="24"/>
          <w:szCs w:val="24"/>
        </w:rPr>
      </w:pPr>
      <w:r>
        <w:rPr>
          <w:b/>
          <w:sz w:val="24"/>
          <w:szCs w:val="24"/>
        </w:rPr>
        <w:t xml:space="preserve">(3) </w:t>
      </w:r>
      <w:r>
        <w:rPr>
          <w:bCs/>
          <w:sz w:val="24"/>
          <w:szCs w:val="24"/>
        </w:rPr>
        <w:t xml:space="preserve">Indiferent de numărul separărilor </w:t>
      </w:r>
      <w:r>
        <w:rPr>
          <w:sz w:val="24"/>
          <w:szCs w:val="24"/>
        </w:rPr>
        <w:t xml:space="preserve">menţionate la </w:t>
      </w:r>
      <w:r>
        <w:rPr>
          <w:b/>
          <w:sz w:val="24"/>
          <w:szCs w:val="24"/>
        </w:rPr>
        <w:t xml:space="preserve">alin. (1) </w:t>
      </w:r>
      <w:r>
        <w:rPr>
          <w:bCs/>
          <w:sz w:val="24"/>
          <w:szCs w:val="24"/>
        </w:rPr>
        <w:t xml:space="preserve">realizate în interiorul parcajului în condițiile </w:t>
      </w:r>
      <w:r>
        <w:rPr>
          <w:b/>
          <w:sz w:val="24"/>
          <w:szCs w:val="24"/>
        </w:rPr>
        <w:t>alin. (1)</w:t>
      </w:r>
      <w:r>
        <w:rPr>
          <w:bCs/>
          <w:sz w:val="24"/>
          <w:szCs w:val="24"/>
        </w:rPr>
        <w:t xml:space="preserve"> și </w:t>
      </w:r>
      <w:r>
        <w:rPr>
          <w:b/>
          <w:sz w:val="24"/>
          <w:szCs w:val="24"/>
        </w:rPr>
        <w:t>(2)</w:t>
      </w:r>
      <w:r>
        <w:rPr>
          <w:bCs/>
          <w:sz w:val="24"/>
          <w:szCs w:val="24"/>
        </w:rPr>
        <w:t>, acestea constituie un singur parcaj.</w:t>
      </w:r>
    </w:p>
    <w:p w14:paraId="3BF49AE6" w14:textId="77777777" w:rsidR="001C08A5" w:rsidRDefault="00000000">
      <w:pPr>
        <w:jc w:val="both"/>
        <w:rPr>
          <w:b/>
          <w:sz w:val="24"/>
          <w:szCs w:val="24"/>
        </w:rPr>
      </w:pPr>
      <w:r>
        <w:rPr>
          <w:b/>
          <w:sz w:val="24"/>
          <w:szCs w:val="24"/>
        </w:rPr>
        <w:tab/>
      </w:r>
    </w:p>
    <w:p w14:paraId="31E74CD6" w14:textId="77777777" w:rsidR="001C08A5" w:rsidRDefault="00000000">
      <w:pPr>
        <w:jc w:val="both"/>
        <w:rPr>
          <w:sz w:val="24"/>
          <w:szCs w:val="24"/>
        </w:rPr>
      </w:pPr>
      <w:r>
        <w:rPr>
          <w:b/>
          <w:sz w:val="24"/>
          <w:szCs w:val="24"/>
        </w:rPr>
        <w:tab/>
        <w:t xml:space="preserve">Art. </w:t>
      </w:r>
      <w:r>
        <w:rPr>
          <w:b/>
          <w:bCs/>
          <w:sz w:val="24"/>
          <w:szCs w:val="24"/>
        </w:rPr>
        <w:t>3.2.11.</w:t>
      </w:r>
      <w:r>
        <w:rPr>
          <w:b/>
          <w:sz w:val="24"/>
          <w:szCs w:val="24"/>
        </w:rPr>
        <w:t xml:space="preserve">6. (1) </w:t>
      </w:r>
      <w:r>
        <w:rPr>
          <w:sz w:val="24"/>
          <w:szCs w:val="24"/>
        </w:rPr>
        <w:t xml:space="preserve">Parcajele pentru maximum </w:t>
      </w:r>
      <w:r>
        <w:rPr>
          <w:b/>
          <w:bCs/>
          <w:sz w:val="24"/>
          <w:szCs w:val="24"/>
        </w:rPr>
        <w:t>10</w:t>
      </w:r>
      <w:r>
        <w:rPr>
          <w:sz w:val="24"/>
          <w:szCs w:val="24"/>
        </w:rPr>
        <w:t xml:space="preserve"> autoturisme,</w:t>
      </w:r>
      <w:r>
        <w:rPr>
          <w:bCs/>
          <w:sz w:val="24"/>
          <w:szCs w:val="24"/>
        </w:rPr>
        <w:t xml:space="preserve"> inclusiv, </w:t>
      </w:r>
      <w:r>
        <w:rPr>
          <w:sz w:val="24"/>
          <w:szCs w:val="24"/>
        </w:rPr>
        <w:t xml:space="preserve">se separă de </w:t>
      </w:r>
      <w:r>
        <w:rPr>
          <w:bCs/>
          <w:sz w:val="24"/>
          <w:szCs w:val="24"/>
        </w:rPr>
        <w:t xml:space="preserve">clădirea în care sunt înglobate sau alipite, precum și față de casele de scări, prin pereţi </w:t>
      </w:r>
      <w:r>
        <w:rPr>
          <w:b/>
          <w:bCs/>
          <w:sz w:val="24"/>
          <w:szCs w:val="24"/>
        </w:rPr>
        <w:t>REI/</w:t>
      </w:r>
      <w:r>
        <w:rPr>
          <w:b/>
          <w:sz w:val="24"/>
          <w:szCs w:val="24"/>
        </w:rPr>
        <w:t xml:space="preserve">EI 120 </w:t>
      </w:r>
      <w:r>
        <w:rPr>
          <w:bCs/>
          <w:sz w:val="24"/>
          <w:szCs w:val="24"/>
        </w:rPr>
        <w:t xml:space="preserve">şi planşee </w:t>
      </w:r>
      <w:r>
        <w:rPr>
          <w:b/>
          <w:sz w:val="24"/>
          <w:szCs w:val="24"/>
        </w:rPr>
        <w:t>REI 120</w:t>
      </w:r>
      <w:r>
        <w:rPr>
          <w:sz w:val="24"/>
          <w:szCs w:val="24"/>
        </w:rPr>
        <w:t xml:space="preserve">. </w:t>
      </w:r>
    </w:p>
    <w:p w14:paraId="117B7B12" w14:textId="77777777" w:rsidR="001C08A5" w:rsidRDefault="00000000">
      <w:pPr>
        <w:pStyle w:val="BodyText"/>
        <w:ind w:firstLine="720"/>
        <w:rPr>
          <w:i w:val="0"/>
          <w:iCs/>
        </w:rPr>
      </w:pPr>
      <w:r>
        <w:rPr>
          <w:i w:val="0"/>
          <w:iCs/>
        </w:rPr>
        <w:t>(2)</w:t>
      </w:r>
      <w:r>
        <w:rPr>
          <w:b w:val="0"/>
          <w:bCs w:val="0"/>
          <w:i w:val="0"/>
          <w:iCs/>
          <w:spacing w:val="2"/>
        </w:rPr>
        <w:t xml:space="preserve">Comunicarea parcajelor închise </w:t>
      </w:r>
      <w:r>
        <w:rPr>
          <w:b w:val="0"/>
          <w:i w:val="0"/>
          <w:iCs/>
        </w:rPr>
        <w:t xml:space="preserve">pentru maximum </w:t>
      </w:r>
      <w:r>
        <w:rPr>
          <w:bCs w:val="0"/>
          <w:i w:val="0"/>
          <w:iCs/>
        </w:rPr>
        <w:t>10</w:t>
      </w:r>
      <w:r>
        <w:rPr>
          <w:b w:val="0"/>
          <w:i w:val="0"/>
          <w:iCs/>
        </w:rPr>
        <w:t xml:space="preserve"> autoturisme</w:t>
      </w:r>
      <w:r>
        <w:rPr>
          <w:b w:val="0"/>
          <w:bCs w:val="0"/>
          <w:i w:val="0"/>
          <w:iCs/>
          <w:spacing w:val="2"/>
        </w:rPr>
        <w:t>,</w:t>
      </w:r>
      <w:r>
        <w:rPr>
          <w:b w:val="0"/>
          <w:bCs w:val="0"/>
          <w:i w:val="0"/>
          <w:iCs/>
        </w:rPr>
        <w:t xml:space="preserve"> inclusiv,</w:t>
      </w:r>
      <w:r>
        <w:rPr>
          <w:b w:val="0"/>
          <w:bCs w:val="0"/>
          <w:i w:val="0"/>
          <w:iCs/>
          <w:spacing w:val="2"/>
        </w:rPr>
        <w:t xml:space="preserve"> cu alte clădiri sau spaţii cu alte destinaţii, precum şi cu circulaţii interioare, verticale sau orizontale, se realizează prin încăperi tampon protejate </w:t>
      </w:r>
      <w:r>
        <w:rPr>
          <w:b w:val="0"/>
          <w:bCs w:val="0"/>
          <w:i w:val="0"/>
          <w:iCs/>
        </w:rPr>
        <w:t>ventilate în suprapresiune</w:t>
      </w:r>
      <w:r>
        <w:rPr>
          <w:b w:val="0"/>
          <w:bCs w:val="0"/>
          <w:i w:val="0"/>
          <w:iCs/>
          <w:spacing w:val="2"/>
        </w:rPr>
        <w:t xml:space="preserve">, </w:t>
      </w:r>
      <w:r>
        <w:rPr>
          <w:b w:val="0"/>
          <w:bCs w:val="0"/>
          <w:i w:val="0"/>
          <w:iCs/>
        </w:rPr>
        <w:t xml:space="preserve">cu pereţi rezistenţi la foc minimum </w:t>
      </w:r>
      <w:r>
        <w:rPr>
          <w:i w:val="0"/>
          <w:iCs/>
        </w:rPr>
        <w:t>EI/REI 120</w:t>
      </w:r>
      <w:r>
        <w:rPr>
          <w:b w:val="0"/>
          <w:bCs w:val="0"/>
          <w:i w:val="0"/>
          <w:iCs/>
        </w:rPr>
        <w:t xml:space="preserve"> și planşee minimum </w:t>
      </w:r>
      <w:r>
        <w:rPr>
          <w:i w:val="0"/>
          <w:iCs/>
        </w:rPr>
        <w:t xml:space="preserve">REI 120 </w:t>
      </w:r>
      <w:r>
        <w:rPr>
          <w:b w:val="0"/>
          <w:bCs w:val="0"/>
          <w:i w:val="0"/>
          <w:iCs/>
          <w:spacing w:val="2"/>
        </w:rPr>
        <w:t xml:space="preserve">prevăzute cu uşi </w:t>
      </w:r>
      <w:r>
        <w:rPr>
          <w:b w:val="0"/>
          <w:bCs w:val="0"/>
          <w:i w:val="0"/>
          <w:iCs/>
        </w:rPr>
        <w:t xml:space="preserve">rezistente la foc și etanșe la fum </w:t>
      </w:r>
      <w:r>
        <w:rPr>
          <w:b w:val="0"/>
          <w:bCs w:val="0"/>
          <w:i w:val="0"/>
          <w:iCs/>
          <w:spacing w:val="2"/>
        </w:rPr>
        <w:t xml:space="preserve">minimum </w:t>
      </w:r>
      <w:r>
        <w:rPr>
          <w:i w:val="0"/>
          <w:iCs/>
        </w:rPr>
        <w:t>EI</w:t>
      </w:r>
      <w:r>
        <w:rPr>
          <w:i w:val="0"/>
          <w:iCs/>
          <w:vertAlign w:val="subscript"/>
        </w:rPr>
        <w:t xml:space="preserve">2 </w:t>
      </w:r>
      <w:r>
        <w:rPr>
          <w:i w:val="0"/>
          <w:iCs/>
        </w:rPr>
        <w:t>60-C5S</w:t>
      </w:r>
      <w:r>
        <w:rPr>
          <w:i w:val="0"/>
          <w:iCs/>
          <w:vertAlign w:val="subscript"/>
        </w:rPr>
        <w:t>200</w:t>
      </w:r>
      <w:r>
        <w:rPr>
          <w:i w:val="0"/>
          <w:iCs/>
        </w:rPr>
        <w:t>.</w:t>
      </w:r>
    </w:p>
    <w:p w14:paraId="492D2666" w14:textId="77777777" w:rsidR="001C08A5" w:rsidRDefault="00000000">
      <w:pPr>
        <w:pStyle w:val="BodyText"/>
        <w:ind w:firstLine="720"/>
        <w:rPr>
          <w:b w:val="0"/>
          <w:i w:val="0"/>
          <w:iCs/>
        </w:rPr>
      </w:pPr>
      <w:r>
        <w:rPr>
          <w:i w:val="0"/>
          <w:iCs/>
        </w:rPr>
        <w:t>(3)</w:t>
      </w:r>
      <w:r>
        <w:rPr>
          <w:b w:val="0"/>
          <w:bCs w:val="0"/>
          <w:i w:val="0"/>
          <w:iCs/>
          <w:spacing w:val="2"/>
        </w:rPr>
        <w:t xml:space="preserve">Comunicarea parcajelor deschise </w:t>
      </w:r>
      <w:r>
        <w:rPr>
          <w:b w:val="0"/>
          <w:i w:val="0"/>
          <w:iCs/>
        </w:rPr>
        <w:t xml:space="preserve">pentru maximum </w:t>
      </w:r>
      <w:r>
        <w:rPr>
          <w:bCs w:val="0"/>
          <w:i w:val="0"/>
          <w:iCs/>
        </w:rPr>
        <w:t>10</w:t>
      </w:r>
      <w:r>
        <w:rPr>
          <w:b w:val="0"/>
          <w:i w:val="0"/>
          <w:iCs/>
        </w:rPr>
        <w:t xml:space="preserve"> autoturisme (inclusiv)</w:t>
      </w:r>
      <w:r>
        <w:rPr>
          <w:b w:val="0"/>
          <w:bCs w:val="0"/>
          <w:i w:val="0"/>
          <w:iCs/>
          <w:spacing w:val="2"/>
        </w:rPr>
        <w:t xml:space="preserve">, cu alte clădiri sau spaţii cu alte destinaţii, precum şi cu circulaţii interioare, verticale sau orizontale, se realizează prin uşi </w:t>
      </w:r>
      <w:r>
        <w:rPr>
          <w:b w:val="0"/>
          <w:bCs w:val="0"/>
          <w:i w:val="0"/>
          <w:iCs/>
        </w:rPr>
        <w:t xml:space="preserve">rezistente la foc și etanșe la fum </w:t>
      </w:r>
      <w:r>
        <w:rPr>
          <w:b w:val="0"/>
          <w:bCs w:val="0"/>
          <w:i w:val="0"/>
          <w:iCs/>
          <w:spacing w:val="2"/>
        </w:rPr>
        <w:t xml:space="preserve">minimum </w:t>
      </w:r>
      <w:r>
        <w:rPr>
          <w:i w:val="0"/>
          <w:iCs/>
        </w:rPr>
        <w:t>EI</w:t>
      </w:r>
      <w:r>
        <w:rPr>
          <w:i w:val="0"/>
          <w:iCs/>
          <w:vertAlign w:val="subscript"/>
        </w:rPr>
        <w:t xml:space="preserve">2 </w:t>
      </w:r>
      <w:r>
        <w:rPr>
          <w:i w:val="0"/>
          <w:iCs/>
        </w:rPr>
        <w:t>90-C5S</w:t>
      </w:r>
      <w:r>
        <w:rPr>
          <w:i w:val="0"/>
          <w:iCs/>
          <w:vertAlign w:val="subscript"/>
        </w:rPr>
        <w:t>200</w:t>
      </w:r>
      <w:r>
        <w:rPr>
          <w:b w:val="0"/>
          <w:i w:val="0"/>
          <w:iCs/>
        </w:rPr>
        <w:t>.</w:t>
      </w:r>
    </w:p>
    <w:p w14:paraId="6426EE1F" w14:textId="77777777" w:rsidR="001C08A5" w:rsidRDefault="00000000">
      <w:pPr>
        <w:pStyle w:val="BodyText"/>
        <w:ind w:firstLine="680"/>
        <w:rPr>
          <w:b w:val="0"/>
          <w:bCs w:val="0"/>
          <w:i w:val="0"/>
          <w:iCs/>
        </w:rPr>
      </w:pPr>
      <w:r>
        <w:rPr>
          <w:b w:val="0"/>
          <w:i w:val="0"/>
          <w:iCs/>
        </w:rPr>
        <w:tab/>
      </w:r>
      <w:r>
        <w:rPr>
          <w:i w:val="0"/>
          <w:iCs/>
        </w:rPr>
        <w:t>(4)</w:t>
      </w:r>
      <w:r>
        <w:rPr>
          <w:b w:val="0"/>
          <w:bCs w:val="0"/>
          <w:i w:val="0"/>
          <w:iCs/>
        </w:rPr>
        <w:t xml:space="preserve">Parcajele supraterane alipite clădirilor de locuit, având capacitatea de maximum </w:t>
      </w:r>
      <w:r>
        <w:rPr>
          <w:bCs w:val="0"/>
          <w:i w:val="0"/>
          <w:iCs/>
        </w:rPr>
        <w:t>5</w:t>
      </w:r>
      <w:r>
        <w:rPr>
          <w:b w:val="0"/>
          <w:bCs w:val="0"/>
          <w:i w:val="0"/>
          <w:iCs/>
        </w:rPr>
        <w:t xml:space="preserve"> autoturisme, se separă prin pereţi </w:t>
      </w:r>
      <w:r>
        <w:rPr>
          <w:bCs w:val="0"/>
          <w:i w:val="0"/>
          <w:iCs/>
        </w:rPr>
        <w:t>REI/</w:t>
      </w:r>
      <w:r>
        <w:rPr>
          <w:i w:val="0"/>
          <w:iCs/>
        </w:rPr>
        <w:t>EI 60</w:t>
      </w:r>
      <w:r>
        <w:rPr>
          <w:b w:val="0"/>
          <w:bCs w:val="0"/>
          <w:i w:val="0"/>
          <w:iCs/>
        </w:rPr>
        <w:t xml:space="preserve"> și planşee minimum </w:t>
      </w:r>
      <w:r>
        <w:rPr>
          <w:i w:val="0"/>
          <w:iCs/>
        </w:rPr>
        <w:t>REI 60.</w:t>
      </w:r>
    </w:p>
    <w:p w14:paraId="4489F7A6" w14:textId="77777777" w:rsidR="001C08A5" w:rsidRDefault="00000000">
      <w:pPr>
        <w:pStyle w:val="BodyText"/>
        <w:ind w:firstLine="680"/>
        <w:rPr>
          <w:b w:val="0"/>
          <w:bCs w:val="0"/>
          <w:i w:val="0"/>
          <w:iCs/>
        </w:rPr>
      </w:pPr>
      <w:r>
        <w:rPr>
          <w:b w:val="0"/>
          <w:i w:val="0"/>
          <w:iCs/>
        </w:rPr>
        <w:tab/>
      </w:r>
      <w:r>
        <w:rPr>
          <w:i w:val="0"/>
          <w:iCs/>
        </w:rPr>
        <w:t>(5)</w:t>
      </w:r>
      <w:r>
        <w:rPr>
          <w:b w:val="0"/>
          <w:bCs w:val="0"/>
          <w:i w:val="0"/>
          <w:iCs/>
        </w:rPr>
        <w:t xml:space="preserve">Comunicarea parcajelor supraterane, alipite clădirilor de locuit, având capacitatea de maximum </w:t>
      </w:r>
      <w:r>
        <w:rPr>
          <w:bCs w:val="0"/>
          <w:i w:val="0"/>
          <w:iCs/>
        </w:rPr>
        <w:t>5</w:t>
      </w:r>
      <w:r>
        <w:rPr>
          <w:b w:val="0"/>
          <w:bCs w:val="0"/>
          <w:i w:val="0"/>
          <w:iCs/>
        </w:rPr>
        <w:t xml:space="preserve"> autoturisme, se realizează prin uşi rezistente la foc și etanșe la fum </w:t>
      </w:r>
      <w:r>
        <w:rPr>
          <w:i w:val="0"/>
          <w:iCs/>
        </w:rPr>
        <w:t>EI</w:t>
      </w:r>
      <w:r>
        <w:rPr>
          <w:i w:val="0"/>
          <w:iCs/>
          <w:vertAlign w:val="subscript"/>
        </w:rPr>
        <w:t xml:space="preserve">2 </w:t>
      </w:r>
      <w:r>
        <w:rPr>
          <w:i w:val="0"/>
          <w:iCs/>
        </w:rPr>
        <w:t>60-C5S</w:t>
      </w:r>
      <w:r>
        <w:rPr>
          <w:i w:val="0"/>
          <w:iCs/>
          <w:vertAlign w:val="subscript"/>
        </w:rPr>
        <w:t>200</w:t>
      </w:r>
      <w:r>
        <w:rPr>
          <w:bCs w:val="0"/>
          <w:i w:val="0"/>
          <w:iCs/>
        </w:rPr>
        <w:t xml:space="preserve">. </w:t>
      </w:r>
    </w:p>
    <w:p w14:paraId="7BEE73B7" w14:textId="77777777" w:rsidR="001C08A5" w:rsidRDefault="001C08A5">
      <w:pPr>
        <w:jc w:val="both"/>
        <w:rPr>
          <w:b/>
          <w:sz w:val="24"/>
          <w:szCs w:val="24"/>
        </w:rPr>
      </w:pPr>
    </w:p>
    <w:p w14:paraId="05DA4093" w14:textId="77777777" w:rsidR="001C08A5" w:rsidRDefault="00000000">
      <w:pPr>
        <w:ind w:firstLine="720"/>
        <w:jc w:val="both"/>
        <w:rPr>
          <w:sz w:val="24"/>
          <w:szCs w:val="24"/>
        </w:rPr>
      </w:pPr>
      <w:r>
        <w:rPr>
          <w:b/>
          <w:sz w:val="24"/>
          <w:szCs w:val="24"/>
        </w:rPr>
        <w:t xml:space="preserve">Art. </w:t>
      </w:r>
      <w:r>
        <w:rPr>
          <w:b/>
          <w:bCs/>
          <w:sz w:val="24"/>
          <w:szCs w:val="24"/>
        </w:rPr>
        <w:t>3.2.11.</w:t>
      </w:r>
      <w:r>
        <w:rPr>
          <w:b/>
          <w:sz w:val="24"/>
          <w:szCs w:val="24"/>
        </w:rPr>
        <w:t xml:space="preserve">7. (1) </w:t>
      </w:r>
      <w:r>
        <w:rPr>
          <w:sz w:val="24"/>
          <w:szCs w:val="24"/>
        </w:rPr>
        <w:t xml:space="preserve">Parcajele pentru mai mult de </w:t>
      </w:r>
      <w:r>
        <w:rPr>
          <w:b/>
          <w:bCs/>
          <w:sz w:val="24"/>
          <w:szCs w:val="24"/>
        </w:rPr>
        <w:t>10</w:t>
      </w:r>
      <w:r>
        <w:rPr>
          <w:sz w:val="24"/>
          <w:szCs w:val="24"/>
        </w:rPr>
        <w:t xml:space="preserve"> autoturisme,se separă de </w:t>
      </w:r>
      <w:r>
        <w:rPr>
          <w:spacing w:val="2"/>
          <w:sz w:val="24"/>
          <w:szCs w:val="24"/>
        </w:rPr>
        <w:t>scările interioare de evacuare închise</w:t>
      </w:r>
      <w:r>
        <w:rPr>
          <w:bCs/>
          <w:sz w:val="24"/>
          <w:szCs w:val="24"/>
        </w:rPr>
        <w:t xml:space="preserve"> prin</w:t>
      </w:r>
      <w:r>
        <w:rPr>
          <w:sz w:val="24"/>
          <w:szCs w:val="24"/>
        </w:rPr>
        <w:t xml:space="preserve"> pereţi rezistenţi la foc minimum </w:t>
      </w:r>
      <w:r>
        <w:rPr>
          <w:b/>
          <w:sz w:val="24"/>
          <w:szCs w:val="24"/>
        </w:rPr>
        <w:t>EI/REI 240</w:t>
      </w:r>
      <w:r>
        <w:rPr>
          <w:sz w:val="24"/>
          <w:szCs w:val="24"/>
        </w:rPr>
        <w:t xml:space="preserve"> şi planşee </w:t>
      </w:r>
      <w:r>
        <w:rPr>
          <w:b/>
          <w:sz w:val="24"/>
          <w:szCs w:val="24"/>
        </w:rPr>
        <w:t>REI 180</w:t>
      </w:r>
      <w:r>
        <w:rPr>
          <w:sz w:val="24"/>
          <w:szCs w:val="24"/>
        </w:rPr>
        <w:t xml:space="preserve"> atunci când sunt înglobate în clădiri înalte, foarte înalte sau cu săli aglomerate și respectiv cu pereţi rezistenţi la foc minimum </w:t>
      </w:r>
      <w:r>
        <w:rPr>
          <w:b/>
          <w:sz w:val="24"/>
          <w:szCs w:val="24"/>
        </w:rPr>
        <w:t>EI/REI 180</w:t>
      </w:r>
      <w:r>
        <w:rPr>
          <w:sz w:val="24"/>
          <w:szCs w:val="24"/>
        </w:rPr>
        <w:t xml:space="preserve"> şi planşee </w:t>
      </w:r>
      <w:r>
        <w:rPr>
          <w:b/>
          <w:sz w:val="24"/>
          <w:szCs w:val="24"/>
        </w:rPr>
        <w:t xml:space="preserve">REI 120 </w:t>
      </w:r>
      <w:r>
        <w:rPr>
          <w:sz w:val="24"/>
          <w:szCs w:val="24"/>
        </w:rPr>
        <w:t>atunci când clădirile în care se înglobează sunt cu înălţimi obişnuite.</w:t>
      </w:r>
    </w:p>
    <w:p w14:paraId="20EBFC14" w14:textId="77777777" w:rsidR="001C08A5" w:rsidRDefault="00000000">
      <w:pPr>
        <w:ind w:firstLine="720"/>
        <w:jc w:val="both"/>
        <w:rPr>
          <w:b/>
          <w:bCs/>
          <w:spacing w:val="2"/>
          <w:sz w:val="24"/>
          <w:szCs w:val="24"/>
        </w:rPr>
      </w:pPr>
      <w:r>
        <w:rPr>
          <w:b/>
          <w:bCs/>
          <w:sz w:val="24"/>
          <w:szCs w:val="24"/>
        </w:rPr>
        <w:t xml:space="preserve">(2) </w:t>
      </w:r>
      <w:r>
        <w:rPr>
          <w:spacing w:val="2"/>
          <w:sz w:val="24"/>
          <w:szCs w:val="24"/>
        </w:rPr>
        <w:t xml:space="preserve">Comunicarea parcajelor </w:t>
      </w:r>
      <w:r>
        <w:rPr>
          <w:sz w:val="24"/>
          <w:szCs w:val="24"/>
        </w:rPr>
        <w:t xml:space="preserve">supraterane închise pentru mai mult de </w:t>
      </w:r>
      <w:r>
        <w:rPr>
          <w:b/>
          <w:bCs/>
          <w:sz w:val="24"/>
          <w:szCs w:val="24"/>
        </w:rPr>
        <w:t>10</w:t>
      </w:r>
      <w:r>
        <w:rPr>
          <w:sz w:val="24"/>
          <w:szCs w:val="24"/>
        </w:rPr>
        <w:t xml:space="preserve"> autoturisme precum și a parcajelor subterane de maxim </w:t>
      </w:r>
      <w:r>
        <w:rPr>
          <w:b/>
          <w:bCs/>
          <w:sz w:val="24"/>
          <w:szCs w:val="24"/>
        </w:rPr>
        <w:t>10</w:t>
      </w:r>
      <w:r>
        <w:rPr>
          <w:sz w:val="24"/>
          <w:szCs w:val="24"/>
        </w:rPr>
        <w:t xml:space="preserve"> autoturisme </w:t>
      </w:r>
      <w:r>
        <w:rPr>
          <w:spacing w:val="2"/>
          <w:sz w:val="24"/>
          <w:szCs w:val="24"/>
        </w:rPr>
        <w:t>cu scările interioare de evacuare închise</w:t>
      </w:r>
      <w:r>
        <w:rPr>
          <w:sz w:val="24"/>
          <w:szCs w:val="24"/>
        </w:rPr>
        <w:t xml:space="preserve">,  </w:t>
      </w:r>
      <w:r>
        <w:rPr>
          <w:spacing w:val="2"/>
          <w:sz w:val="24"/>
          <w:szCs w:val="24"/>
        </w:rPr>
        <w:t xml:space="preserve">se realizează prin încăperi tampon </w:t>
      </w:r>
      <w:r>
        <w:rPr>
          <w:sz w:val="24"/>
          <w:szCs w:val="24"/>
        </w:rPr>
        <w:t xml:space="preserve">ventilate în suprapresiune,cu pereţi rezistenţi la foc minimum </w:t>
      </w:r>
      <w:r>
        <w:rPr>
          <w:b/>
          <w:sz w:val="24"/>
          <w:szCs w:val="24"/>
        </w:rPr>
        <w:t>EI/REI 120</w:t>
      </w:r>
      <w:r>
        <w:rPr>
          <w:spacing w:val="2"/>
          <w:sz w:val="24"/>
          <w:szCs w:val="24"/>
        </w:rPr>
        <w:t xml:space="preserve">, prevăzute cu uşi </w:t>
      </w:r>
      <w:r>
        <w:rPr>
          <w:sz w:val="24"/>
          <w:szCs w:val="24"/>
        </w:rPr>
        <w:t xml:space="preserve">rezistente la foc și etanșe la fum </w:t>
      </w:r>
      <w:r>
        <w:rPr>
          <w:spacing w:val="2"/>
          <w:sz w:val="24"/>
          <w:szCs w:val="24"/>
        </w:rPr>
        <w:t xml:space="preserve">minimum </w:t>
      </w:r>
      <w:r>
        <w:rPr>
          <w:b/>
          <w:bCs/>
          <w:sz w:val="24"/>
          <w:szCs w:val="24"/>
        </w:rPr>
        <w:t>EI</w:t>
      </w:r>
      <w:r>
        <w:rPr>
          <w:b/>
          <w:bCs/>
          <w:sz w:val="24"/>
          <w:szCs w:val="24"/>
          <w:vertAlign w:val="subscript"/>
        </w:rPr>
        <w:t xml:space="preserve">2 </w:t>
      </w:r>
      <w:r>
        <w:rPr>
          <w:b/>
          <w:bCs/>
          <w:sz w:val="24"/>
          <w:szCs w:val="24"/>
        </w:rPr>
        <w:t>60-C5 S</w:t>
      </w:r>
      <w:r>
        <w:rPr>
          <w:b/>
          <w:bCs/>
          <w:sz w:val="24"/>
          <w:szCs w:val="24"/>
          <w:vertAlign w:val="subscript"/>
        </w:rPr>
        <w:t>200</w:t>
      </w:r>
      <w:r>
        <w:rPr>
          <w:b/>
          <w:bCs/>
          <w:spacing w:val="2"/>
          <w:sz w:val="24"/>
          <w:szCs w:val="24"/>
        </w:rPr>
        <w:t xml:space="preserve">. </w:t>
      </w:r>
      <w:r>
        <w:rPr>
          <w:spacing w:val="2"/>
          <w:sz w:val="24"/>
          <w:szCs w:val="24"/>
        </w:rPr>
        <w:t xml:space="preserve">La clădiri înalte comunicarea parcajelor </w:t>
      </w:r>
      <w:r>
        <w:rPr>
          <w:sz w:val="24"/>
          <w:szCs w:val="24"/>
        </w:rPr>
        <w:t xml:space="preserve">supraterane închise cu scările de evacuare </w:t>
      </w:r>
      <w:r>
        <w:rPr>
          <w:spacing w:val="2"/>
          <w:sz w:val="24"/>
          <w:szCs w:val="24"/>
        </w:rPr>
        <w:t xml:space="preserve">se realizează prin încăperi tampon </w:t>
      </w:r>
      <w:r>
        <w:rPr>
          <w:sz w:val="24"/>
          <w:szCs w:val="24"/>
        </w:rPr>
        <w:t xml:space="preserve">ventilate în suprapresiunecu pereţi rezistenţi la foc minimum </w:t>
      </w:r>
      <w:r>
        <w:rPr>
          <w:b/>
          <w:sz w:val="24"/>
          <w:szCs w:val="24"/>
        </w:rPr>
        <w:t>EI/REI 180</w:t>
      </w:r>
      <w:r>
        <w:rPr>
          <w:spacing w:val="2"/>
          <w:sz w:val="24"/>
          <w:szCs w:val="24"/>
        </w:rPr>
        <w:t xml:space="preserve">, prevăzute cu uşi </w:t>
      </w:r>
      <w:r>
        <w:rPr>
          <w:sz w:val="24"/>
          <w:szCs w:val="24"/>
        </w:rPr>
        <w:t xml:space="preserve">rezistente la foc și etanșe la fum </w:t>
      </w:r>
      <w:r>
        <w:rPr>
          <w:spacing w:val="2"/>
          <w:sz w:val="24"/>
          <w:szCs w:val="24"/>
        </w:rPr>
        <w:t xml:space="preserve">minimum </w:t>
      </w:r>
      <w:r>
        <w:rPr>
          <w:b/>
          <w:bCs/>
          <w:sz w:val="24"/>
          <w:szCs w:val="24"/>
        </w:rPr>
        <w:t>EI</w:t>
      </w:r>
      <w:r>
        <w:rPr>
          <w:b/>
          <w:bCs/>
          <w:sz w:val="24"/>
          <w:szCs w:val="24"/>
          <w:vertAlign w:val="subscript"/>
        </w:rPr>
        <w:t xml:space="preserve">2 </w:t>
      </w:r>
      <w:r>
        <w:rPr>
          <w:b/>
          <w:bCs/>
          <w:sz w:val="24"/>
          <w:szCs w:val="24"/>
        </w:rPr>
        <w:t>60-C5 S</w:t>
      </w:r>
      <w:r>
        <w:rPr>
          <w:b/>
          <w:bCs/>
          <w:sz w:val="24"/>
          <w:szCs w:val="24"/>
          <w:vertAlign w:val="subscript"/>
        </w:rPr>
        <w:t>200</w:t>
      </w:r>
      <w:r>
        <w:rPr>
          <w:b/>
          <w:bCs/>
          <w:spacing w:val="2"/>
          <w:sz w:val="24"/>
          <w:szCs w:val="24"/>
        </w:rPr>
        <w:t xml:space="preserve">. </w:t>
      </w:r>
      <w:r>
        <w:rPr>
          <w:spacing w:val="2"/>
          <w:sz w:val="24"/>
          <w:szCs w:val="24"/>
        </w:rPr>
        <w:t xml:space="preserve">La clădiri foarte înalte precum și la clădiri cu săli aglomerate comunicarea parcajelor </w:t>
      </w:r>
      <w:r>
        <w:rPr>
          <w:sz w:val="24"/>
          <w:szCs w:val="24"/>
        </w:rPr>
        <w:t xml:space="preserve">supraterane închise cu scările de evacuare </w:t>
      </w:r>
      <w:r>
        <w:rPr>
          <w:spacing w:val="2"/>
          <w:sz w:val="24"/>
          <w:szCs w:val="24"/>
        </w:rPr>
        <w:t xml:space="preserve">se realizează </w:t>
      </w:r>
      <w:r>
        <w:rPr>
          <w:spacing w:val="2"/>
          <w:sz w:val="24"/>
          <w:szCs w:val="24"/>
        </w:rPr>
        <w:lastRenderedPageBreak/>
        <w:t xml:space="preserve">prin încăperi tampon protejate </w:t>
      </w:r>
      <w:r>
        <w:rPr>
          <w:sz w:val="24"/>
          <w:szCs w:val="24"/>
        </w:rPr>
        <w:t>ventilate în suprapresiune</w:t>
      </w:r>
      <w:r>
        <w:rPr>
          <w:spacing w:val="2"/>
          <w:sz w:val="24"/>
          <w:szCs w:val="24"/>
        </w:rPr>
        <w:t xml:space="preserve">, prevăzute cu uşi </w:t>
      </w:r>
      <w:r>
        <w:rPr>
          <w:sz w:val="24"/>
          <w:szCs w:val="24"/>
        </w:rPr>
        <w:t xml:space="preserve">rezistente la foc și etanșe la fum </w:t>
      </w:r>
      <w:r>
        <w:rPr>
          <w:spacing w:val="2"/>
          <w:sz w:val="24"/>
          <w:szCs w:val="24"/>
        </w:rPr>
        <w:t xml:space="preserve">minimum </w:t>
      </w:r>
      <w:r>
        <w:rPr>
          <w:b/>
          <w:bCs/>
          <w:sz w:val="24"/>
          <w:szCs w:val="24"/>
        </w:rPr>
        <w:t>EI</w:t>
      </w:r>
      <w:r>
        <w:rPr>
          <w:b/>
          <w:bCs/>
          <w:sz w:val="24"/>
          <w:szCs w:val="24"/>
          <w:vertAlign w:val="subscript"/>
        </w:rPr>
        <w:t xml:space="preserve">2 </w:t>
      </w:r>
      <w:r>
        <w:rPr>
          <w:b/>
          <w:bCs/>
          <w:sz w:val="24"/>
          <w:szCs w:val="24"/>
        </w:rPr>
        <w:t>90-C5 S</w:t>
      </w:r>
      <w:r>
        <w:rPr>
          <w:b/>
          <w:bCs/>
          <w:sz w:val="24"/>
          <w:szCs w:val="24"/>
          <w:vertAlign w:val="subscript"/>
        </w:rPr>
        <w:t>200</w:t>
      </w:r>
      <w:r>
        <w:rPr>
          <w:b/>
          <w:bCs/>
          <w:spacing w:val="2"/>
          <w:sz w:val="24"/>
          <w:szCs w:val="24"/>
        </w:rPr>
        <w:t xml:space="preserve">. </w:t>
      </w:r>
    </w:p>
    <w:p w14:paraId="18325958" w14:textId="77777777" w:rsidR="001C08A5" w:rsidRDefault="00000000">
      <w:pPr>
        <w:ind w:firstLine="720"/>
        <w:jc w:val="both"/>
        <w:rPr>
          <w:b/>
          <w:bCs/>
          <w:spacing w:val="2"/>
          <w:sz w:val="24"/>
          <w:szCs w:val="24"/>
        </w:rPr>
      </w:pPr>
      <w:r>
        <w:rPr>
          <w:b/>
          <w:bCs/>
          <w:sz w:val="24"/>
          <w:szCs w:val="24"/>
        </w:rPr>
        <w:t xml:space="preserve">(3) </w:t>
      </w:r>
      <w:r>
        <w:rPr>
          <w:spacing w:val="2"/>
          <w:sz w:val="24"/>
          <w:szCs w:val="24"/>
        </w:rPr>
        <w:t xml:space="preserve">Comunicarea parcajelor </w:t>
      </w:r>
      <w:r>
        <w:rPr>
          <w:sz w:val="24"/>
          <w:szCs w:val="24"/>
        </w:rPr>
        <w:t xml:space="preserve">supraterane deschise pentru mai mult de </w:t>
      </w:r>
      <w:r>
        <w:rPr>
          <w:b/>
          <w:bCs/>
          <w:sz w:val="24"/>
          <w:szCs w:val="24"/>
        </w:rPr>
        <w:t>10</w:t>
      </w:r>
      <w:r>
        <w:rPr>
          <w:sz w:val="24"/>
          <w:szCs w:val="24"/>
        </w:rPr>
        <w:t xml:space="preserve"> autoturisme </w:t>
      </w:r>
      <w:r>
        <w:rPr>
          <w:spacing w:val="2"/>
          <w:sz w:val="24"/>
          <w:szCs w:val="24"/>
        </w:rPr>
        <w:t xml:space="preserve">cu scările interioare de evacuare închisese realizează prin încăperi tampon </w:t>
      </w:r>
      <w:r>
        <w:rPr>
          <w:sz w:val="24"/>
          <w:szCs w:val="24"/>
        </w:rPr>
        <w:t xml:space="preserve">ventilate în suprapresiune cu pereţi rezistenţi la foc minimum </w:t>
      </w:r>
      <w:r>
        <w:rPr>
          <w:b/>
          <w:sz w:val="24"/>
          <w:szCs w:val="24"/>
        </w:rPr>
        <w:t xml:space="preserve">EI/REI 180 </w:t>
      </w:r>
      <w:r>
        <w:rPr>
          <w:spacing w:val="2"/>
          <w:sz w:val="24"/>
          <w:szCs w:val="24"/>
        </w:rPr>
        <w:t xml:space="preserve">protejate, prevăzute cu uşi </w:t>
      </w:r>
      <w:r>
        <w:rPr>
          <w:sz w:val="24"/>
          <w:szCs w:val="24"/>
        </w:rPr>
        <w:t xml:space="preserve">rezistente la foc și etanșe la fum </w:t>
      </w:r>
      <w:r>
        <w:rPr>
          <w:spacing w:val="2"/>
          <w:sz w:val="24"/>
          <w:szCs w:val="24"/>
        </w:rPr>
        <w:t xml:space="preserve">minimum </w:t>
      </w:r>
      <w:r>
        <w:rPr>
          <w:b/>
          <w:bCs/>
          <w:sz w:val="24"/>
          <w:szCs w:val="24"/>
        </w:rPr>
        <w:t>EI</w:t>
      </w:r>
      <w:r>
        <w:rPr>
          <w:b/>
          <w:bCs/>
          <w:sz w:val="24"/>
          <w:szCs w:val="24"/>
          <w:vertAlign w:val="subscript"/>
        </w:rPr>
        <w:t xml:space="preserve">2 </w:t>
      </w:r>
      <w:r>
        <w:rPr>
          <w:b/>
          <w:bCs/>
          <w:sz w:val="24"/>
          <w:szCs w:val="24"/>
        </w:rPr>
        <w:t>90-C5 S</w:t>
      </w:r>
      <w:r>
        <w:rPr>
          <w:b/>
          <w:bCs/>
          <w:sz w:val="24"/>
          <w:szCs w:val="24"/>
          <w:vertAlign w:val="subscript"/>
        </w:rPr>
        <w:t>200</w:t>
      </w:r>
      <w:r>
        <w:rPr>
          <w:b/>
          <w:bCs/>
          <w:spacing w:val="2"/>
          <w:sz w:val="24"/>
          <w:szCs w:val="24"/>
        </w:rPr>
        <w:t xml:space="preserve">. </w:t>
      </w:r>
      <w:r>
        <w:rPr>
          <w:spacing w:val="2"/>
          <w:sz w:val="24"/>
          <w:szCs w:val="24"/>
        </w:rPr>
        <w:t xml:space="preserve">La clădiri înalte sau foarte înalte precum și la cele cu săli aglomerate, parcajele </w:t>
      </w:r>
      <w:r>
        <w:rPr>
          <w:sz w:val="24"/>
          <w:szCs w:val="24"/>
        </w:rPr>
        <w:t xml:space="preserve">supraterane deschise înglobate în aceste clădiri, nu sunt admise. </w:t>
      </w:r>
      <w:r>
        <w:rPr>
          <w:spacing w:val="2"/>
          <w:sz w:val="24"/>
          <w:szCs w:val="24"/>
        </w:rPr>
        <w:t xml:space="preserve">La clădiri înalte sau foarte înalte, parcajele </w:t>
      </w:r>
      <w:r>
        <w:rPr>
          <w:sz w:val="24"/>
          <w:szCs w:val="24"/>
        </w:rPr>
        <w:t>supraterane deschise alipite de aceste clădiri nu sunt admise.</w:t>
      </w:r>
    </w:p>
    <w:p w14:paraId="5E9A42C8" w14:textId="77777777" w:rsidR="001C08A5" w:rsidRDefault="001C08A5">
      <w:pPr>
        <w:jc w:val="both"/>
        <w:rPr>
          <w:rFonts w:eastAsia="ArialMT"/>
          <w:sz w:val="24"/>
          <w:szCs w:val="24"/>
        </w:rPr>
      </w:pPr>
    </w:p>
    <w:p w14:paraId="5F00ED3D" w14:textId="77777777" w:rsidR="001C08A5" w:rsidRDefault="00000000">
      <w:pPr>
        <w:ind w:firstLine="720"/>
        <w:jc w:val="both"/>
        <w:rPr>
          <w:rFonts w:eastAsia="ArialMT"/>
          <w:sz w:val="24"/>
          <w:szCs w:val="24"/>
        </w:rPr>
      </w:pPr>
      <w:r>
        <w:rPr>
          <w:b/>
          <w:sz w:val="24"/>
          <w:szCs w:val="24"/>
        </w:rPr>
        <w:t xml:space="preserve">Art. </w:t>
      </w:r>
      <w:r>
        <w:rPr>
          <w:b/>
          <w:bCs/>
          <w:sz w:val="24"/>
          <w:szCs w:val="24"/>
        </w:rPr>
        <w:t>3.2.11.</w:t>
      </w:r>
      <w:r>
        <w:rPr>
          <w:b/>
          <w:sz w:val="24"/>
          <w:szCs w:val="24"/>
        </w:rPr>
        <w:t xml:space="preserve">8. (1) </w:t>
      </w:r>
      <w:r>
        <w:rPr>
          <w:rFonts w:eastAsia="ArialMT"/>
          <w:sz w:val="24"/>
          <w:szCs w:val="24"/>
        </w:rPr>
        <w:t>Pentru dimensionarea latimii rampelor scărilor de evacuare se ia în considerare numarul de utilizatori de la cel mai aglomerat nivel de parcare.</w:t>
      </w:r>
    </w:p>
    <w:p w14:paraId="419A1D4B" w14:textId="77777777" w:rsidR="001C08A5" w:rsidRDefault="00000000">
      <w:pPr>
        <w:ind w:firstLine="720"/>
        <w:jc w:val="both"/>
        <w:rPr>
          <w:rFonts w:eastAsia="ArialMT"/>
          <w:sz w:val="24"/>
          <w:szCs w:val="24"/>
        </w:rPr>
      </w:pPr>
      <w:r>
        <w:rPr>
          <w:b/>
          <w:bCs/>
          <w:sz w:val="24"/>
          <w:szCs w:val="24"/>
        </w:rPr>
        <w:t xml:space="preserve">(2) </w:t>
      </w:r>
      <w:r>
        <w:rPr>
          <w:sz w:val="24"/>
          <w:szCs w:val="24"/>
        </w:rPr>
        <w:t xml:space="preserve">Ușile </w:t>
      </w:r>
      <w:r>
        <w:rPr>
          <w:rFonts w:eastAsia="ArialMT"/>
          <w:sz w:val="24"/>
          <w:szCs w:val="24"/>
        </w:rPr>
        <w:t>prevazute pe căile de evacuare a utilizatorilor parcajelor vor fi de tip normal, pe balamale sau pivoti.</w:t>
      </w:r>
    </w:p>
    <w:p w14:paraId="5062A1CF" w14:textId="77777777" w:rsidR="001C08A5" w:rsidRDefault="00000000">
      <w:pPr>
        <w:ind w:firstLine="720"/>
        <w:jc w:val="both"/>
        <w:rPr>
          <w:rFonts w:eastAsia="ArialMT"/>
          <w:sz w:val="24"/>
          <w:szCs w:val="24"/>
        </w:rPr>
      </w:pPr>
      <w:r>
        <w:rPr>
          <w:b/>
          <w:bCs/>
          <w:sz w:val="24"/>
          <w:szCs w:val="24"/>
        </w:rPr>
        <w:t xml:space="preserve"> (3) </w:t>
      </w:r>
      <w:r>
        <w:rPr>
          <w:sz w:val="24"/>
          <w:szCs w:val="24"/>
        </w:rPr>
        <w:t xml:space="preserve">Ușile </w:t>
      </w:r>
      <w:r>
        <w:rPr>
          <w:rFonts w:eastAsia="ArialMT"/>
          <w:sz w:val="24"/>
          <w:szCs w:val="24"/>
        </w:rPr>
        <w:t xml:space="preserve">de evacuare de acces la circulațiile verticale sau orizontale de evacuare (cele prevazute la scări, încaperi tampon </w:t>
      </w:r>
      <w:r>
        <w:rPr>
          <w:sz w:val="24"/>
          <w:szCs w:val="24"/>
        </w:rPr>
        <w:t xml:space="preserve">ventilate în suprapresiune </w:t>
      </w:r>
      <w:r>
        <w:rPr>
          <w:rFonts w:eastAsia="ArialMT"/>
          <w:sz w:val="24"/>
          <w:szCs w:val="24"/>
        </w:rPr>
        <w:t>de acces la scări, coridoare, holuri, degajamente protejate, tuneluri) se vor deschide întotdeauna în sensul de evacuare spre exterior.</w:t>
      </w:r>
    </w:p>
    <w:p w14:paraId="72E65AB0" w14:textId="77777777" w:rsidR="001C08A5" w:rsidRDefault="00000000">
      <w:pPr>
        <w:pStyle w:val="BodyText"/>
        <w:ind w:firstLine="720"/>
        <w:rPr>
          <w:b w:val="0"/>
          <w:bCs w:val="0"/>
          <w:i w:val="0"/>
          <w:iCs/>
          <w:spacing w:val="2"/>
        </w:rPr>
      </w:pPr>
      <w:r>
        <w:rPr>
          <w:i w:val="0"/>
          <w:iCs/>
        </w:rPr>
        <w:t xml:space="preserve">(4) </w:t>
      </w:r>
      <w:r>
        <w:rPr>
          <w:rFonts w:eastAsia="ArialMT"/>
          <w:b w:val="0"/>
          <w:bCs w:val="0"/>
          <w:i w:val="0"/>
          <w:iCs/>
        </w:rPr>
        <w:t>În și dedesuptul caselor de scări de evacuare a utilizatorilor parcajelor nu sunt admise amenajari pentru alte activitati.</w:t>
      </w:r>
    </w:p>
    <w:p w14:paraId="0A31FFA3" w14:textId="77777777" w:rsidR="001C08A5" w:rsidRDefault="00000000">
      <w:pPr>
        <w:ind w:firstLine="720"/>
        <w:jc w:val="both"/>
        <w:rPr>
          <w:rFonts w:eastAsia="ArialMT"/>
          <w:sz w:val="24"/>
          <w:szCs w:val="24"/>
        </w:rPr>
      </w:pPr>
      <w:r>
        <w:rPr>
          <w:b/>
          <w:bCs/>
          <w:sz w:val="24"/>
          <w:szCs w:val="24"/>
        </w:rPr>
        <w:t xml:space="preserve">(5) </w:t>
      </w:r>
      <w:r>
        <w:rPr>
          <w:rFonts w:eastAsia="ArialMT"/>
          <w:sz w:val="24"/>
          <w:szCs w:val="24"/>
        </w:rPr>
        <w:t xml:space="preserve">Rampele scărilor închise aferente portiunilor subterane se separa de rampele scărilor porțiunilor supraterane în care este înglobat parcajul cu pereti rezistenti la foc </w:t>
      </w:r>
      <w:r>
        <w:rPr>
          <w:rFonts w:eastAsia="ArialMT"/>
          <w:b/>
          <w:bCs/>
          <w:sz w:val="24"/>
          <w:szCs w:val="24"/>
        </w:rPr>
        <w:t>El/REI 180</w:t>
      </w:r>
      <w:r>
        <w:rPr>
          <w:rFonts w:eastAsia="ArialMT"/>
          <w:sz w:val="24"/>
          <w:szCs w:val="24"/>
        </w:rPr>
        <w:t xml:space="preserve"> la parcajele din clădiri supraterane înalte, foarte înalte sau cu săli aglomerate și </w:t>
      </w:r>
      <w:r>
        <w:rPr>
          <w:rFonts w:eastAsia="ArialMT"/>
          <w:b/>
          <w:bCs/>
          <w:sz w:val="24"/>
          <w:szCs w:val="24"/>
        </w:rPr>
        <w:t>El/REI 120</w:t>
      </w:r>
      <w:r>
        <w:rPr>
          <w:rFonts w:eastAsia="ArialMT"/>
          <w:sz w:val="24"/>
          <w:szCs w:val="24"/>
        </w:rPr>
        <w:t xml:space="preserve"> la parcajele din clădiri supraterane care nu se încadrează la cele anterioare. În peretele de separare a rampelor subterane de cele supraterane se poate asigura circulația functionala a utilizatorilor printr-un gol dispus la nivelul parterului sau al palierului intermediar dintre parter și primul nivel subteran de parcare, protejat cu ușă rezistentă la foc </w:t>
      </w:r>
      <w:r>
        <w:rPr>
          <w:rFonts w:eastAsia="ArialMT"/>
          <w:b/>
          <w:bCs/>
          <w:sz w:val="24"/>
          <w:szCs w:val="24"/>
        </w:rPr>
        <w:t>El 90-C.</w:t>
      </w:r>
      <w:r>
        <w:rPr>
          <w:rFonts w:eastAsia="ArialMT"/>
          <w:sz w:val="24"/>
          <w:szCs w:val="24"/>
        </w:rPr>
        <w:t xml:space="preserve"> Se recomandă asigurarea ieșirii din casele de scări de evacuare ale porțiunii subterane a parcajului direct în exterior la nivelul terenului sau al unor suprafete carosabile, separat de iesirile porțiunii supraterane a parcajului. </w:t>
      </w:r>
    </w:p>
    <w:p w14:paraId="3B28C0B2" w14:textId="77777777" w:rsidR="001C08A5" w:rsidRDefault="00000000">
      <w:pPr>
        <w:ind w:firstLine="720"/>
        <w:jc w:val="both"/>
        <w:rPr>
          <w:rFonts w:eastAsia="ArialMT"/>
          <w:sz w:val="24"/>
          <w:szCs w:val="24"/>
        </w:rPr>
      </w:pPr>
      <w:r>
        <w:rPr>
          <w:b/>
          <w:bCs/>
          <w:sz w:val="24"/>
          <w:szCs w:val="24"/>
        </w:rPr>
        <w:t xml:space="preserve">(6) </w:t>
      </w:r>
      <w:r>
        <w:rPr>
          <w:rFonts w:eastAsia="ArialMT"/>
          <w:sz w:val="24"/>
          <w:szCs w:val="24"/>
        </w:rPr>
        <w:t>Este interzis sa se prevada una sau doua trepte izolate pe circulațiile de evacuare spre scări sau ieșiri în exterior.</w:t>
      </w:r>
    </w:p>
    <w:p w14:paraId="25753426" w14:textId="77777777" w:rsidR="001C08A5" w:rsidRDefault="00000000">
      <w:pPr>
        <w:ind w:firstLine="720"/>
        <w:jc w:val="both"/>
        <w:rPr>
          <w:rFonts w:eastAsia="ArialMT"/>
          <w:sz w:val="24"/>
          <w:szCs w:val="24"/>
        </w:rPr>
      </w:pPr>
      <w:r>
        <w:rPr>
          <w:b/>
          <w:bCs/>
          <w:sz w:val="24"/>
          <w:szCs w:val="24"/>
        </w:rPr>
        <w:t xml:space="preserve">(7) </w:t>
      </w:r>
      <w:r>
        <w:rPr>
          <w:rFonts w:eastAsia="ArialMT"/>
          <w:sz w:val="24"/>
          <w:szCs w:val="24"/>
        </w:rPr>
        <w:t>Scările de evacuare din porțiunile subterane închise se prevăd cu sistem independent de evacuare a fumului în caz de incendiu.</w:t>
      </w:r>
    </w:p>
    <w:p w14:paraId="1C5E5439" w14:textId="77777777" w:rsidR="001C08A5" w:rsidRDefault="001C08A5">
      <w:pPr>
        <w:jc w:val="both"/>
        <w:rPr>
          <w:sz w:val="24"/>
          <w:szCs w:val="24"/>
        </w:rPr>
      </w:pPr>
    </w:p>
    <w:p w14:paraId="69D1CDF2" w14:textId="77777777" w:rsidR="001C08A5" w:rsidRDefault="00000000">
      <w:pPr>
        <w:jc w:val="both"/>
        <w:rPr>
          <w:b/>
          <w:sz w:val="24"/>
          <w:szCs w:val="24"/>
        </w:rPr>
      </w:pPr>
      <w:r>
        <w:rPr>
          <w:b/>
          <w:sz w:val="24"/>
          <w:szCs w:val="24"/>
        </w:rPr>
        <w:tab/>
        <w:t xml:space="preserve">Art. </w:t>
      </w:r>
      <w:r>
        <w:rPr>
          <w:b/>
          <w:bCs/>
          <w:sz w:val="24"/>
          <w:szCs w:val="24"/>
        </w:rPr>
        <w:t>3.2.11.</w:t>
      </w:r>
      <w:r>
        <w:rPr>
          <w:b/>
          <w:sz w:val="24"/>
          <w:szCs w:val="24"/>
        </w:rPr>
        <w:t xml:space="preserve">9. </w:t>
      </w:r>
      <w:r>
        <w:rPr>
          <w:sz w:val="24"/>
          <w:szCs w:val="24"/>
        </w:rPr>
        <w:t xml:space="preserve">La stabilirea locurilor de parcare a autoturismelor în parcajele supraterane și subterane pentru maxim </w:t>
      </w:r>
      <w:r>
        <w:rPr>
          <w:b/>
          <w:bCs/>
          <w:sz w:val="24"/>
          <w:szCs w:val="24"/>
        </w:rPr>
        <w:t>10</w:t>
      </w:r>
      <w:r>
        <w:rPr>
          <w:sz w:val="24"/>
          <w:szCs w:val="24"/>
        </w:rPr>
        <w:t xml:space="preserve"> autoturisme, se au în vedere următoarele :</w:t>
      </w:r>
    </w:p>
    <w:p w14:paraId="30D6A271" w14:textId="77777777" w:rsidR="001C08A5" w:rsidRDefault="00000000">
      <w:pPr>
        <w:ind w:left="1418"/>
        <w:jc w:val="both"/>
        <w:rPr>
          <w:b/>
          <w:sz w:val="24"/>
          <w:szCs w:val="24"/>
        </w:rPr>
      </w:pPr>
      <w:r>
        <w:rPr>
          <w:b/>
          <w:sz w:val="24"/>
          <w:szCs w:val="24"/>
        </w:rPr>
        <w:tab/>
        <w:t>a)</w:t>
      </w:r>
      <w:r>
        <w:rPr>
          <w:sz w:val="24"/>
          <w:szCs w:val="24"/>
        </w:rPr>
        <w:t xml:space="preserve"> parcarea autoturismelor se va asigura numai în spaţiile destinate şi marcate pentru aceasta, fără a stânjeni circulaţia funcţională şi intervenţia în caz de incendiu;</w:t>
      </w:r>
    </w:p>
    <w:p w14:paraId="3522A79C" w14:textId="77777777" w:rsidR="001C08A5" w:rsidRDefault="00000000">
      <w:pPr>
        <w:ind w:left="1418"/>
        <w:jc w:val="both"/>
        <w:rPr>
          <w:b/>
          <w:sz w:val="24"/>
          <w:szCs w:val="24"/>
        </w:rPr>
      </w:pPr>
      <w:r>
        <w:rPr>
          <w:b/>
          <w:sz w:val="24"/>
          <w:szCs w:val="24"/>
        </w:rPr>
        <w:tab/>
        <w:t>b)</w:t>
      </w:r>
      <w:r>
        <w:rPr>
          <w:sz w:val="24"/>
          <w:szCs w:val="24"/>
        </w:rPr>
        <w:t xml:space="preserve"> staţionarea a trei motociclete, scutere sau ATV -uri, se consideră echivalentul unui loc de parcare pentru autoturism; </w:t>
      </w:r>
    </w:p>
    <w:p w14:paraId="0D84EE5B" w14:textId="77777777" w:rsidR="001C08A5" w:rsidRDefault="00000000">
      <w:pPr>
        <w:ind w:left="1418"/>
        <w:jc w:val="both"/>
        <w:rPr>
          <w:b/>
          <w:sz w:val="24"/>
          <w:szCs w:val="24"/>
        </w:rPr>
      </w:pPr>
      <w:r>
        <w:rPr>
          <w:b/>
          <w:sz w:val="24"/>
          <w:szCs w:val="24"/>
        </w:rPr>
        <w:t>c)</w:t>
      </w:r>
      <w:r>
        <w:rPr>
          <w:sz w:val="24"/>
          <w:szCs w:val="24"/>
        </w:rPr>
        <w:t xml:space="preserve"> respectarea prevederilor normativului şi a reglementărilor tehnice specifice, considerând parcajul un tot unitar, indiferent de numărul compartimentelor şi nivelurilor acestuia;</w:t>
      </w:r>
    </w:p>
    <w:p w14:paraId="3FB8D500" w14:textId="77777777" w:rsidR="001C08A5" w:rsidRDefault="00000000">
      <w:pPr>
        <w:ind w:left="1418"/>
        <w:jc w:val="both"/>
        <w:rPr>
          <w:b/>
          <w:sz w:val="24"/>
          <w:szCs w:val="24"/>
        </w:rPr>
      </w:pPr>
      <w:r>
        <w:rPr>
          <w:b/>
          <w:sz w:val="24"/>
          <w:szCs w:val="24"/>
        </w:rPr>
        <w:tab/>
        <w:t>d)</w:t>
      </w:r>
      <w:r>
        <w:rPr>
          <w:sz w:val="24"/>
          <w:szCs w:val="24"/>
        </w:rPr>
        <w:t xml:space="preserve">  locurile de parcare situate în afara parcajului suprateran, nu se iau în calcul la stabilirea capacităţii de primire a parcajului.</w:t>
      </w:r>
    </w:p>
    <w:p w14:paraId="30D046D4" w14:textId="77777777" w:rsidR="001C08A5" w:rsidRDefault="001C08A5">
      <w:pPr>
        <w:rPr>
          <w:b/>
          <w:sz w:val="24"/>
          <w:szCs w:val="24"/>
        </w:rPr>
      </w:pPr>
    </w:p>
    <w:p w14:paraId="413A0716" w14:textId="77777777" w:rsidR="001C08A5" w:rsidRDefault="00000000">
      <w:pPr>
        <w:jc w:val="both"/>
        <w:rPr>
          <w:sz w:val="24"/>
          <w:szCs w:val="24"/>
        </w:rPr>
      </w:pPr>
      <w:r>
        <w:rPr>
          <w:b/>
          <w:sz w:val="24"/>
          <w:szCs w:val="24"/>
        </w:rPr>
        <w:tab/>
        <w:t xml:space="preserve">Art. </w:t>
      </w:r>
      <w:r>
        <w:rPr>
          <w:b/>
          <w:bCs/>
          <w:sz w:val="24"/>
          <w:szCs w:val="24"/>
        </w:rPr>
        <w:t>3.2.11.</w:t>
      </w:r>
      <w:r>
        <w:rPr>
          <w:b/>
          <w:sz w:val="24"/>
          <w:szCs w:val="24"/>
        </w:rPr>
        <w:t>10. (1)</w:t>
      </w:r>
      <w:r>
        <w:rPr>
          <w:sz w:val="24"/>
          <w:szCs w:val="24"/>
        </w:rPr>
        <w:t xml:space="preserve"> Numărul căilor de acces pentru autoturisme în parcajele supraterane se stabileşte în funcţie de tipul parcajului, respectiv:</w:t>
      </w:r>
    </w:p>
    <w:p w14:paraId="6A2EA930" w14:textId="77777777" w:rsidR="001C08A5" w:rsidRDefault="00000000">
      <w:pPr>
        <w:ind w:left="720" w:firstLine="720"/>
        <w:jc w:val="both"/>
        <w:rPr>
          <w:b/>
          <w:sz w:val="24"/>
          <w:szCs w:val="24"/>
        </w:rPr>
      </w:pPr>
      <w:r>
        <w:rPr>
          <w:b/>
          <w:sz w:val="24"/>
          <w:szCs w:val="24"/>
        </w:rPr>
        <w:t>a)</w:t>
      </w:r>
      <w:r>
        <w:rPr>
          <w:sz w:val="24"/>
          <w:szCs w:val="24"/>
        </w:rPr>
        <w:t xml:space="preserve">  Parcaj tip </w:t>
      </w:r>
      <w:r>
        <w:rPr>
          <w:b/>
          <w:sz w:val="24"/>
          <w:szCs w:val="24"/>
        </w:rPr>
        <w:t>P1</w:t>
      </w:r>
      <w:r>
        <w:rPr>
          <w:sz w:val="24"/>
          <w:szCs w:val="24"/>
        </w:rPr>
        <w:t xml:space="preserve"> : de la </w:t>
      </w:r>
      <w:r>
        <w:rPr>
          <w:b/>
          <w:bCs/>
          <w:sz w:val="24"/>
          <w:szCs w:val="24"/>
        </w:rPr>
        <w:t>11</w:t>
      </w:r>
      <w:r>
        <w:rPr>
          <w:sz w:val="24"/>
          <w:szCs w:val="24"/>
        </w:rPr>
        <w:t xml:space="preserve"> la </w:t>
      </w:r>
      <w:r>
        <w:rPr>
          <w:b/>
          <w:bCs/>
          <w:sz w:val="24"/>
          <w:szCs w:val="24"/>
        </w:rPr>
        <w:t>100</w:t>
      </w:r>
      <w:r>
        <w:rPr>
          <w:sz w:val="24"/>
          <w:szCs w:val="24"/>
        </w:rPr>
        <w:t xml:space="preserve"> de autoturisme ;</w:t>
      </w:r>
    </w:p>
    <w:p w14:paraId="1B1D7A3F" w14:textId="77777777" w:rsidR="001C08A5" w:rsidRDefault="00000000">
      <w:pPr>
        <w:ind w:left="720" w:firstLine="720"/>
        <w:jc w:val="both"/>
        <w:rPr>
          <w:b/>
          <w:sz w:val="24"/>
          <w:szCs w:val="24"/>
        </w:rPr>
      </w:pPr>
      <w:r>
        <w:rPr>
          <w:b/>
          <w:sz w:val="24"/>
          <w:szCs w:val="24"/>
        </w:rPr>
        <w:t>b)</w:t>
      </w:r>
      <w:r>
        <w:rPr>
          <w:sz w:val="24"/>
          <w:szCs w:val="24"/>
        </w:rPr>
        <w:t xml:space="preserve">  Parcaj tip</w:t>
      </w:r>
      <w:r>
        <w:rPr>
          <w:b/>
          <w:sz w:val="24"/>
          <w:szCs w:val="24"/>
        </w:rPr>
        <w:t xml:space="preserve"> P2 </w:t>
      </w:r>
      <w:r>
        <w:rPr>
          <w:sz w:val="24"/>
          <w:szCs w:val="24"/>
        </w:rPr>
        <w:t xml:space="preserve">: între </w:t>
      </w:r>
      <w:r>
        <w:rPr>
          <w:b/>
          <w:bCs/>
          <w:sz w:val="24"/>
          <w:szCs w:val="24"/>
        </w:rPr>
        <w:t>101</w:t>
      </w:r>
      <w:r>
        <w:rPr>
          <w:sz w:val="24"/>
          <w:szCs w:val="24"/>
        </w:rPr>
        <w:t xml:space="preserve"> şi </w:t>
      </w:r>
      <w:r>
        <w:rPr>
          <w:b/>
          <w:bCs/>
          <w:sz w:val="24"/>
          <w:szCs w:val="24"/>
        </w:rPr>
        <w:t>300</w:t>
      </w:r>
      <w:r>
        <w:rPr>
          <w:sz w:val="24"/>
          <w:szCs w:val="24"/>
        </w:rPr>
        <w:t xml:space="preserve"> de autoturisme ;</w:t>
      </w:r>
    </w:p>
    <w:p w14:paraId="54E77443" w14:textId="77777777" w:rsidR="001C08A5" w:rsidRDefault="00000000">
      <w:pPr>
        <w:ind w:left="720" w:firstLine="720"/>
        <w:jc w:val="both"/>
        <w:rPr>
          <w:b/>
          <w:sz w:val="24"/>
          <w:szCs w:val="24"/>
        </w:rPr>
      </w:pPr>
      <w:r>
        <w:rPr>
          <w:b/>
          <w:sz w:val="24"/>
          <w:szCs w:val="24"/>
        </w:rPr>
        <w:t>c)</w:t>
      </w:r>
      <w:r>
        <w:rPr>
          <w:sz w:val="24"/>
          <w:szCs w:val="24"/>
        </w:rPr>
        <w:t xml:space="preserve">  Parcaj tip</w:t>
      </w:r>
      <w:r>
        <w:rPr>
          <w:b/>
          <w:sz w:val="24"/>
          <w:szCs w:val="24"/>
        </w:rPr>
        <w:t xml:space="preserve"> P3 </w:t>
      </w:r>
      <w:r>
        <w:rPr>
          <w:sz w:val="24"/>
          <w:szCs w:val="24"/>
        </w:rPr>
        <w:t xml:space="preserve">: între </w:t>
      </w:r>
      <w:r>
        <w:rPr>
          <w:b/>
          <w:bCs/>
          <w:sz w:val="24"/>
          <w:szCs w:val="24"/>
        </w:rPr>
        <w:t>301</w:t>
      </w:r>
      <w:r>
        <w:rPr>
          <w:sz w:val="24"/>
          <w:szCs w:val="24"/>
        </w:rPr>
        <w:t xml:space="preserve"> şi </w:t>
      </w:r>
      <w:r>
        <w:rPr>
          <w:b/>
          <w:bCs/>
          <w:sz w:val="24"/>
          <w:szCs w:val="24"/>
        </w:rPr>
        <w:t>1000</w:t>
      </w:r>
      <w:r>
        <w:rPr>
          <w:sz w:val="24"/>
          <w:szCs w:val="24"/>
        </w:rPr>
        <w:t xml:space="preserve"> de autoturisme ;</w:t>
      </w:r>
    </w:p>
    <w:p w14:paraId="4E642314" w14:textId="77777777" w:rsidR="001C08A5" w:rsidRDefault="00000000">
      <w:pPr>
        <w:ind w:left="720" w:firstLine="720"/>
        <w:jc w:val="both"/>
        <w:rPr>
          <w:b/>
          <w:sz w:val="24"/>
          <w:szCs w:val="24"/>
        </w:rPr>
      </w:pPr>
      <w:r>
        <w:rPr>
          <w:b/>
          <w:sz w:val="24"/>
          <w:szCs w:val="24"/>
        </w:rPr>
        <w:t>d)</w:t>
      </w:r>
      <w:r>
        <w:rPr>
          <w:sz w:val="24"/>
          <w:szCs w:val="24"/>
        </w:rPr>
        <w:t xml:space="preserve">  Parcaj tip</w:t>
      </w:r>
      <w:r>
        <w:rPr>
          <w:b/>
          <w:sz w:val="24"/>
          <w:szCs w:val="24"/>
        </w:rPr>
        <w:t xml:space="preserve"> P4 </w:t>
      </w:r>
      <w:r>
        <w:rPr>
          <w:sz w:val="24"/>
          <w:szCs w:val="24"/>
        </w:rPr>
        <w:t xml:space="preserve">: peste </w:t>
      </w:r>
      <w:r>
        <w:rPr>
          <w:b/>
          <w:bCs/>
          <w:sz w:val="24"/>
          <w:szCs w:val="24"/>
        </w:rPr>
        <w:t>1000</w:t>
      </w:r>
      <w:r>
        <w:rPr>
          <w:sz w:val="24"/>
          <w:szCs w:val="24"/>
        </w:rPr>
        <w:t xml:space="preserve"> autoturisme.</w:t>
      </w:r>
    </w:p>
    <w:p w14:paraId="72A28FF4" w14:textId="77777777" w:rsidR="001C08A5" w:rsidRDefault="00000000">
      <w:pPr>
        <w:ind w:firstLine="720"/>
        <w:jc w:val="both"/>
        <w:rPr>
          <w:sz w:val="24"/>
          <w:szCs w:val="24"/>
        </w:rPr>
      </w:pPr>
      <w:r>
        <w:rPr>
          <w:b/>
          <w:sz w:val="24"/>
          <w:szCs w:val="24"/>
        </w:rPr>
        <w:t xml:space="preserve">(2) </w:t>
      </w:r>
      <w:r>
        <w:rPr>
          <w:sz w:val="24"/>
          <w:szCs w:val="24"/>
        </w:rPr>
        <w:t xml:space="preserve">La parcajele supraterane tip </w:t>
      </w:r>
      <w:r>
        <w:rPr>
          <w:b/>
          <w:sz w:val="24"/>
          <w:szCs w:val="24"/>
        </w:rPr>
        <w:t>P1</w:t>
      </w:r>
      <w:r>
        <w:rPr>
          <w:sz w:val="24"/>
          <w:szCs w:val="24"/>
        </w:rPr>
        <w:t xml:space="preserve"> sau </w:t>
      </w:r>
      <w:r>
        <w:rPr>
          <w:b/>
          <w:sz w:val="24"/>
          <w:szCs w:val="24"/>
        </w:rPr>
        <w:t>P2</w:t>
      </w:r>
      <w:r>
        <w:rPr>
          <w:sz w:val="24"/>
          <w:szCs w:val="24"/>
        </w:rPr>
        <w:t xml:space="preserve"> se asigură minimum o cale de acces cu două fire de circulaţie, iar parcajele tip </w:t>
      </w:r>
      <w:r>
        <w:rPr>
          <w:b/>
          <w:sz w:val="24"/>
          <w:szCs w:val="24"/>
        </w:rPr>
        <w:t>P1</w:t>
      </w:r>
      <w:r>
        <w:rPr>
          <w:sz w:val="24"/>
          <w:szCs w:val="24"/>
        </w:rPr>
        <w:t xml:space="preserve"> pentru maximum 30 de autoturisme pot fi prevăzute numai cu o platformă elevatoare (ascensor) de acces. </w:t>
      </w:r>
    </w:p>
    <w:p w14:paraId="61796DBD" w14:textId="77777777" w:rsidR="001C08A5" w:rsidRDefault="00000000">
      <w:pPr>
        <w:ind w:firstLine="720"/>
        <w:jc w:val="both"/>
        <w:rPr>
          <w:sz w:val="24"/>
          <w:szCs w:val="24"/>
        </w:rPr>
      </w:pPr>
      <w:r>
        <w:rPr>
          <w:b/>
          <w:sz w:val="24"/>
          <w:szCs w:val="24"/>
        </w:rPr>
        <w:lastRenderedPageBreak/>
        <w:t>(3)</w:t>
      </w:r>
      <w:r>
        <w:rPr>
          <w:sz w:val="24"/>
          <w:szCs w:val="24"/>
        </w:rPr>
        <w:t xml:space="preserve"> La parcajele supraterane tip </w:t>
      </w:r>
      <w:r>
        <w:rPr>
          <w:b/>
          <w:sz w:val="24"/>
          <w:szCs w:val="24"/>
        </w:rPr>
        <w:t>P3</w:t>
      </w:r>
      <w:r>
        <w:rPr>
          <w:sz w:val="24"/>
          <w:szCs w:val="24"/>
        </w:rPr>
        <w:t xml:space="preserve"> sau </w:t>
      </w:r>
      <w:r>
        <w:rPr>
          <w:b/>
          <w:sz w:val="24"/>
          <w:szCs w:val="24"/>
        </w:rPr>
        <w:t xml:space="preserve">P4 </w:t>
      </w:r>
      <w:r>
        <w:rPr>
          <w:sz w:val="24"/>
          <w:szCs w:val="24"/>
        </w:rPr>
        <w:t>se asigură minimum două căi de acces, fiecare cu câte două fire de circulaţie.</w:t>
      </w:r>
    </w:p>
    <w:p w14:paraId="0A73CD4C" w14:textId="77777777" w:rsidR="001C08A5" w:rsidRDefault="00000000">
      <w:pPr>
        <w:ind w:firstLine="720"/>
        <w:jc w:val="both"/>
        <w:rPr>
          <w:sz w:val="24"/>
          <w:szCs w:val="24"/>
        </w:rPr>
      </w:pPr>
      <w:r>
        <w:rPr>
          <w:b/>
          <w:sz w:val="24"/>
          <w:szCs w:val="24"/>
        </w:rPr>
        <w:t xml:space="preserve">(4) </w:t>
      </w:r>
      <w:r>
        <w:rPr>
          <w:sz w:val="24"/>
          <w:szCs w:val="24"/>
        </w:rPr>
        <w:t xml:space="preserve">În interiorul parcajelor supraterane închise este admisă prevederea anexelor funcţionale parcajului, precum și a unor zone pentru activităţile conexe autorizate, similar precizărilor din « Normativul de securitate la incendiu a parcajelor subterane pentru autoturisme », indicativ </w:t>
      </w:r>
      <w:r>
        <w:rPr>
          <w:b/>
          <w:bCs/>
          <w:sz w:val="24"/>
          <w:szCs w:val="24"/>
        </w:rPr>
        <w:t>NP 127</w:t>
      </w:r>
      <w:r>
        <w:rPr>
          <w:sz w:val="24"/>
          <w:szCs w:val="24"/>
        </w:rPr>
        <w:t>.</w:t>
      </w:r>
    </w:p>
    <w:p w14:paraId="179783BA" w14:textId="77777777" w:rsidR="001C08A5" w:rsidRDefault="00000000">
      <w:pPr>
        <w:ind w:firstLine="720"/>
        <w:jc w:val="both"/>
        <w:rPr>
          <w:b/>
          <w:sz w:val="24"/>
          <w:szCs w:val="24"/>
        </w:rPr>
      </w:pPr>
      <w:r>
        <w:rPr>
          <w:b/>
          <w:sz w:val="24"/>
          <w:szCs w:val="24"/>
        </w:rPr>
        <w:t>(5)</w:t>
      </w:r>
      <w:r>
        <w:rPr>
          <w:sz w:val="24"/>
          <w:szCs w:val="24"/>
        </w:rPr>
        <w:t xml:space="preserve"> Locurile de parcare a autoturismelor în parcaj se marchează și numerotează vizibil pe pardoseală, semnalizându-se cu indicatoare de orientare.</w:t>
      </w:r>
    </w:p>
    <w:p w14:paraId="2AA52301" w14:textId="77777777" w:rsidR="001C08A5" w:rsidRDefault="001C08A5">
      <w:pPr>
        <w:jc w:val="both"/>
        <w:rPr>
          <w:b/>
          <w:sz w:val="24"/>
          <w:szCs w:val="24"/>
        </w:rPr>
      </w:pPr>
    </w:p>
    <w:p w14:paraId="1C3CAC31" w14:textId="77777777" w:rsidR="001C08A5" w:rsidRDefault="00000000">
      <w:pPr>
        <w:jc w:val="both"/>
        <w:rPr>
          <w:sz w:val="24"/>
          <w:szCs w:val="24"/>
        </w:rPr>
      </w:pPr>
      <w:r>
        <w:rPr>
          <w:b/>
          <w:sz w:val="24"/>
          <w:szCs w:val="24"/>
        </w:rPr>
        <w:tab/>
        <w:t xml:space="preserve">Art. </w:t>
      </w:r>
      <w:r>
        <w:rPr>
          <w:b/>
          <w:bCs/>
          <w:sz w:val="24"/>
          <w:szCs w:val="24"/>
        </w:rPr>
        <w:t>3.2.11.</w:t>
      </w:r>
      <w:r>
        <w:rPr>
          <w:b/>
          <w:sz w:val="24"/>
          <w:szCs w:val="24"/>
        </w:rPr>
        <w:t>11. (1)</w:t>
      </w:r>
      <w:r>
        <w:rPr>
          <w:sz w:val="24"/>
          <w:szCs w:val="24"/>
        </w:rPr>
        <w:t xml:space="preserve"> Rampele de acces şi de circulaţie a autoturismelor în parcajele supraterane trebuie să fie libere pe înălţimea de minimum </w:t>
      </w:r>
      <w:r>
        <w:rPr>
          <w:b/>
          <w:sz w:val="24"/>
          <w:szCs w:val="24"/>
        </w:rPr>
        <w:t>2,15</w:t>
      </w:r>
      <w:r>
        <w:rPr>
          <w:sz w:val="24"/>
          <w:szCs w:val="24"/>
        </w:rPr>
        <w:t xml:space="preserve"> m (măsurată perpendicular pe rampă). </w:t>
      </w:r>
    </w:p>
    <w:p w14:paraId="5EA68A92" w14:textId="77777777" w:rsidR="001C08A5" w:rsidRDefault="00000000">
      <w:pPr>
        <w:ind w:firstLine="390"/>
        <w:jc w:val="both"/>
        <w:rPr>
          <w:sz w:val="24"/>
          <w:szCs w:val="24"/>
        </w:rPr>
      </w:pPr>
      <w:r>
        <w:rPr>
          <w:sz w:val="24"/>
          <w:szCs w:val="24"/>
        </w:rPr>
        <w:tab/>
      </w:r>
      <w:r>
        <w:rPr>
          <w:b/>
          <w:sz w:val="24"/>
          <w:szCs w:val="24"/>
        </w:rPr>
        <w:t>(2)</w:t>
      </w:r>
      <w:r>
        <w:rPr>
          <w:sz w:val="24"/>
          <w:szCs w:val="24"/>
        </w:rPr>
        <w:t xml:space="preserve"> Înălţimea maximă a autoturismelor care pot intra în parcaj se precizează în exterior, la fiecare rampă de acces în parcaj.</w:t>
      </w:r>
    </w:p>
    <w:p w14:paraId="361EFAC7" w14:textId="77777777" w:rsidR="001C08A5" w:rsidRDefault="001C08A5">
      <w:pPr>
        <w:jc w:val="both"/>
        <w:rPr>
          <w:sz w:val="24"/>
          <w:szCs w:val="24"/>
        </w:rPr>
      </w:pPr>
    </w:p>
    <w:p w14:paraId="5D8761CF" w14:textId="77777777" w:rsidR="001C08A5" w:rsidRDefault="00000000">
      <w:pPr>
        <w:jc w:val="both"/>
        <w:rPr>
          <w:sz w:val="24"/>
          <w:szCs w:val="24"/>
        </w:rPr>
      </w:pPr>
      <w:r>
        <w:rPr>
          <w:b/>
          <w:sz w:val="24"/>
          <w:szCs w:val="24"/>
        </w:rPr>
        <w:tab/>
        <w:t xml:space="preserve">Art. </w:t>
      </w:r>
      <w:r>
        <w:rPr>
          <w:b/>
          <w:bCs/>
          <w:sz w:val="24"/>
          <w:szCs w:val="24"/>
        </w:rPr>
        <w:t>3.2.11.</w:t>
      </w:r>
      <w:r>
        <w:rPr>
          <w:b/>
          <w:sz w:val="24"/>
          <w:szCs w:val="24"/>
        </w:rPr>
        <w:t xml:space="preserve">12. </w:t>
      </w:r>
      <w:r>
        <w:rPr>
          <w:sz w:val="24"/>
          <w:szCs w:val="24"/>
        </w:rPr>
        <w:t xml:space="preserve">Parcajele pentru autoturisme vor avea asigurate posibilităţi de evacuare a utilizatorilor în caz de incendiu, cu distante normate stabilite în </w:t>
      </w:r>
      <w:r>
        <w:rPr>
          <w:b/>
          <w:bCs/>
          <w:i/>
          <w:iCs/>
          <w:sz w:val="24"/>
          <w:szCs w:val="24"/>
        </w:rPr>
        <w:fldChar w:fldCharType="begin"/>
      </w:r>
      <w:r>
        <w:rPr>
          <w:b/>
          <w:bCs/>
          <w:i/>
          <w:iCs/>
          <w:sz w:val="24"/>
          <w:szCs w:val="24"/>
        </w:rPr>
        <w:instrText xml:space="preserve"> REF _Ref27748 \h </w:instrText>
      </w:r>
      <w:r>
        <w:rPr>
          <w:b/>
          <w:bCs/>
          <w:i/>
          <w:iCs/>
          <w:sz w:val="24"/>
          <w:szCs w:val="24"/>
        </w:rPr>
      </w:r>
      <w:r>
        <w:rPr>
          <w:b/>
          <w:bCs/>
          <w:i/>
          <w:iCs/>
          <w:sz w:val="24"/>
          <w:szCs w:val="24"/>
        </w:rPr>
        <w:fldChar w:fldCharType="separate"/>
      </w:r>
      <w:r>
        <w:t>Tabelul 88</w:t>
      </w:r>
      <w:r>
        <w:rPr>
          <w:b/>
          <w:bCs/>
          <w:i/>
          <w:iCs/>
          <w:sz w:val="24"/>
          <w:szCs w:val="24"/>
        </w:rPr>
        <w:fldChar w:fldCharType="end"/>
      </w:r>
      <w:r>
        <w:rPr>
          <w:sz w:val="24"/>
          <w:szCs w:val="24"/>
        </w:rPr>
        <w:t>.</w:t>
      </w:r>
      <w:r>
        <w:rPr>
          <w:sz w:val="24"/>
          <w:szCs w:val="24"/>
        </w:rPr>
        <w:tab/>
      </w:r>
    </w:p>
    <w:p w14:paraId="2DC020E9" w14:textId="77777777" w:rsidR="001C08A5" w:rsidRDefault="001C08A5">
      <w:pPr>
        <w:jc w:val="both"/>
        <w:rPr>
          <w:sz w:val="24"/>
          <w:szCs w:val="24"/>
        </w:rPr>
      </w:pPr>
    </w:p>
    <w:p w14:paraId="3EBB54E6" w14:textId="77777777" w:rsidR="001C08A5" w:rsidRDefault="00000000">
      <w:pPr>
        <w:pStyle w:val="Captiontabel"/>
      </w:pPr>
      <w:bookmarkStart w:id="4063" w:name="_Ref27748"/>
      <w:bookmarkStart w:id="4064" w:name="_Toc162360138"/>
      <w:r>
        <w:t xml:space="preserve">Tabelul </w:t>
      </w:r>
      <w:r>
        <w:fldChar w:fldCharType="begin"/>
      </w:r>
      <w:r>
        <w:instrText xml:space="preserve"> SEQ Tabelul \* ARABIC </w:instrText>
      </w:r>
      <w:r>
        <w:fldChar w:fldCharType="separate"/>
      </w:r>
      <w:r>
        <w:t>88</w:t>
      </w:r>
      <w:r>
        <w:fldChar w:fldCharType="end"/>
      </w:r>
      <w:bookmarkStart w:id="4065" w:name="_Toc1332"/>
      <w:bookmarkStart w:id="4066" w:name="_Toc32707"/>
      <w:bookmarkStart w:id="4067" w:name="_Toc2301"/>
      <w:bookmarkStart w:id="4068" w:name="_Toc3423"/>
      <w:bookmarkStart w:id="4069" w:name="_Toc15051"/>
      <w:bookmarkStart w:id="4070" w:name="_Toc17924"/>
      <w:bookmarkStart w:id="4071" w:name="_Toc10926"/>
      <w:bookmarkStart w:id="4072" w:name="_Toc1949"/>
      <w:bookmarkStart w:id="4073" w:name="_Toc24258"/>
      <w:bookmarkStart w:id="4074" w:name="_Toc11110"/>
      <w:bookmarkStart w:id="4075" w:name="_Toc22314"/>
      <w:bookmarkStart w:id="4076" w:name="_Toc29755"/>
      <w:bookmarkStart w:id="4077" w:name="_Toc31535"/>
      <w:bookmarkStart w:id="4078" w:name="_Toc19594"/>
      <w:bookmarkStart w:id="4079" w:name="_Toc28111"/>
      <w:bookmarkStart w:id="4080" w:name="_Toc4704"/>
      <w:bookmarkStart w:id="4081" w:name="_Toc24779"/>
      <w:bookmarkStart w:id="4082" w:name="_Toc25876"/>
      <w:bookmarkStart w:id="4083" w:name="_Toc27626"/>
      <w:bookmarkEnd w:id="4063"/>
      <w:r>
        <w:t>: Lungimi de evacuare în parcaje pentru autoturisme</w:t>
      </w:r>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p>
    <w:p w14:paraId="33B4D59F" w14:textId="77777777" w:rsidR="001C08A5" w:rsidRDefault="001C08A5">
      <w:pPr>
        <w:jc w:val="both"/>
        <w:rPr>
          <w:i/>
          <w:strike/>
          <w:sz w:val="24"/>
          <w:szCs w:val="24"/>
        </w:rPr>
      </w:pPr>
    </w:p>
    <w:tbl>
      <w:tblPr>
        <w:tblW w:w="9571" w:type="dxa"/>
        <w:tblInd w:w="176" w:type="dxa"/>
        <w:tblLayout w:type="fixed"/>
        <w:tblLook w:val="04A0" w:firstRow="1" w:lastRow="0" w:firstColumn="1" w:lastColumn="0" w:noHBand="0" w:noVBand="1"/>
      </w:tblPr>
      <w:tblGrid>
        <w:gridCol w:w="720"/>
        <w:gridCol w:w="1710"/>
        <w:gridCol w:w="1350"/>
        <w:gridCol w:w="1800"/>
        <w:gridCol w:w="2139"/>
        <w:gridCol w:w="1852"/>
      </w:tblGrid>
      <w:tr w:rsidR="001C08A5" w14:paraId="2577DD53" w14:textId="77777777">
        <w:tc>
          <w:tcPr>
            <w:tcW w:w="720" w:type="dxa"/>
            <w:vMerge w:val="restart"/>
            <w:tcBorders>
              <w:top w:val="single" w:sz="8" w:space="0" w:color="000000"/>
              <w:left w:val="single" w:sz="8" w:space="0" w:color="000000"/>
              <w:bottom w:val="single" w:sz="4" w:space="0" w:color="000000"/>
            </w:tcBorders>
            <w:shd w:val="clear" w:color="auto" w:fill="BFBFBF"/>
          </w:tcPr>
          <w:p w14:paraId="3B73F4FA" w14:textId="77777777" w:rsidR="001C08A5" w:rsidRDefault="001C08A5">
            <w:pPr>
              <w:jc w:val="both"/>
              <w:rPr>
                <w:b/>
                <w:i/>
                <w:iCs/>
                <w:sz w:val="22"/>
                <w:szCs w:val="22"/>
              </w:rPr>
            </w:pPr>
          </w:p>
          <w:p w14:paraId="6A89E7D8" w14:textId="77777777" w:rsidR="001C08A5" w:rsidRDefault="00000000">
            <w:pPr>
              <w:jc w:val="center"/>
              <w:rPr>
                <w:i/>
                <w:iCs/>
                <w:sz w:val="22"/>
                <w:szCs w:val="22"/>
              </w:rPr>
            </w:pPr>
            <w:r>
              <w:rPr>
                <w:b/>
                <w:i/>
                <w:iCs/>
                <w:sz w:val="22"/>
                <w:szCs w:val="22"/>
              </w:rPr>
              <w:t>Nr. crt.</w:t>
            </w:r>
          </w:p>
          <w:p w14:paraId="47903F2E" w14:textId="77777777" w:rsidR="001C08A5" w:rsidRDefault="001C08A5">
            <w:pPr>
              <w:jc w:val="center"/>
              <w:rPr>
                <w:i/>
                <w:iCs/>
                <w:sz w:val="22"/>
                <w:szCs w:val="22"/>
              </w:rPr>
            </w:pPr>
          </w:p>
        </w:tc>
        <w:tc>
          <w:tcPr>
            <w:tcW w:w="1710" w:type="dxa"/>
            <w:vMerge w:val="restart"/>
            <w:tcBorders>
              <w:top w:val="single" w:sz="8" w:space="0" w:color="000000"/>
              <w:left w:val="single" w:sz="4" w:space="0" w:color="000000"/>
              <w:bottom w:val="single" w:sz="4" w:space="0" w:color="000000"/>
            </w:tcBorders>
            <w:shd w:val="clear" w:color="auto" w:fill="BFBFBF"/>
          </w:tcPr>
          <w:p w14:paraId="03D4AF44" w14:textId="77777777" w:rsidR="001C08A5" w:rsidRDefault="001C08A5">
            <w:pPr>
              <w:jc w:val="both"/>
              <w:rPr>
                <w:b/>
                <w:i/>
                <w:iCs/>
                <w:sz w:val="22"/>
                <w:szCs w:val="22"/>
              </w:rPr>
            </w:pPr>
          </w:p>
          <w:p w14:paraId="1154783B" w14:textId="77777777" w:rsidR="001C08A5" w:rsidRDefault="00000000">
            <w:pPr>
              <w:jc w:val="center"/>
              <w:rPr>
                <w:b/>
                <w:i/>
                <w:iCs/>
                <w:sz w:val="22"/>
                <w:szCs w:val="22"/>
              </w:rPr>
            </w:pPr>
            <w:r>
              <w:rPr>
                <w:b/>
                <w:i/>
                <w:iCs/>
                <w:sz w:val="22"/>
                <w:szCs w:val="22"/>
              </w:rPr>
              <w:t>Construcţie</w:t>
            </w:r>
          </w:p>
          <w:p w14:paraId="70952F92" w14:textId="77777777" w:rsidR="001C08A5" w:rsidRDefault="00000000">
            <w:pPr>
              <w:jc w:val="center"/>
              <w:rPr>
                <w:b/>
                <w:i/>
                <w:iCs/>
                <w:sz w:val="22"/>
                <w:szCs w:val="22"/>
              </w:rPr>
            </w:pPr>
            <w:r>
              <w:rPr>
                <w:b/>
                <w:i/>
                <w:iCs/>
                <w:sz w:val="22"/>
                <w:szCs w:val="22"/>
              </w:rPr>
              <w:t xml:space="preserve"> (clădire) </w:t>
            </w:r>
          </w:p>
          <w:p w14:paraId="264EE076" w14:textId="77777777" w:rsidR="001C08A5" w:rsidRDefault="00000000">
            <w:pPr>
              <w:jc w:val="center"/>
              <w:rPr>
                <w:b/>
                <w:i/>
                <w:iCs/>
                <w:sz w:val="22"/>
                <w:szCs w:val="22"/>
              </w:rPr>
            </w:pPr>
            <w:r>
              <w:rPr>
                <w:b/>
                <w:i/>
                <w:iCs/>
                <w:sz w:val="22"/>
                <w:szCs w:val="22"/>
              </w:rPr>
              <w:t>civilă</w:t>
            </w:r>
          </w:p>
        </w:tc>
        <w:tc>
          <w:tcPr>
            <w:tcW w:w="1350" w:type="dxa"/>
            <w:vMerge w:val="restart"/>
            <w:tcBorders>
              <w:top w:val="single" w:sz="8" w:space="0" w:color="000000"/>
              <w:left w:val="single" w:sz="4" w:space="0" w:color="000000"/>
              <w:bottom w:val="single" w:sz="4" w:space="0" w:color="000000"/>
            </w:tcBorders>
            <w:shd w:val="clear" w:color="auto" w:fill="BFBFBF"/>
          </w:tcPr>
          <w:p w14:paraId="3B05E26A" w14:textId="77777777" w:rsidR="001C08A5" w:rsidRDefault="00000000">
            <w:pPr>
              <w:jc w:val="center"/>
              <w:rPr>
                <w:b/>
                <w:i/>
                <w:iCs/>
                <w:sz w:val="22"/>
                <w:szCs w:val="22"/>
              </w:rPr>
            </w:pPr>
            <w:r>
              <w:rPr>
                <w:b/>
                <w:i/>
                <w:iCs/>
                <w:sz w:val="22"/>
                <w:szCs w:val="22"/>
              </w:rPr>
              <w:t>Nivel de stabilitate  la incendiu asigurat</w:t>
            </w:r>
          </w:p>
        </w:tc>
        <w:tc>
          <w:tcPr>
            <w:tcW w:w="3939" w:type="dxa"/>
            <w:gridSpan w:val="2"/>
            <w:tcBorders>
              <w:top w:val="single" w:sz="8" w:space="0" w:color="000000"/>
              <w:left w:val="single" w:sz="4" w:space="0" w:color="000000"/>
              <w:bottom w:val="single" w:sz="4" w:space="0" w:color="000000"/>
            </w:tcBorders>
            <w:shd w:val="clear" w:color="auto" w:fill="BFBFBF"/>
          </w:tcPr>
          <w:p w14:paraId="6BCBC449" w14:textId="77777777" w:rsidR="001C08A5" w:rsidRDefault="00000000">
            <w:pPr>
              <w:jc w:val="center"/>
              <w:rPr>
                <w:b/>
                <w:i/>
                <w:iCs/>
                <w:sz w:val="22"/>
                <w:szCs w:val="22"/>
              </w:rPr>
            </w:pPr>
            <w:r>
              <w:rPr>
                <w:b/>
                <w:i/>
                <w:iCs/>
                <w:sz w:val="22"/>
                <w:szCs w:val="22"/>
              </w:rPr>
              <w:t xml:space="preserve">Lungime maximă de evacuare </w:t>
            </w:r>
          </w:p>
        </w:tc>
        <w:tc>
          <w:tcPr>
            <w:tcW w:w="1852" w:type="dxa"/>
            <w:vMerge w:val="restart"/>
            <w:tcBorders>
              <w:top w:val="single" w:sz="8" w:space="0" w:color="000000"/>
              <w:left w:val="single" w:sz="4" w:space="0" w:color="000000"/>
              <w:bottom w:val="single" w:sz="4" w:space="0" w:color="000000"/>
              <w:right w:val="single" w:sz="8" w:space="0" w:color="000000"/>
            </w:tcBorders>
            <w:shd w:val="clear" w:color="auto" w:fill="BFBFBF"/>
          </w:tcPr>
          <w:p w14:paraId="0336252D" w14:textId="77777777" w:rsidR="001C08A5" w:rsidRDefault="001C08A5">
            <w:pPr>
              <w:snapToGrid w:val="0"/>
              <w:jc w:val="center"/>
              <w:rPr>
                <w:b/>
                <w:i/>
                <w:iCs/>
                <w:sz w:val="22"/>
                <w:szCs w:val="22"/>
              </w:rPr>
            </w:pPr>
          </w:p>
          <w:p w14:paraId="4F3CDE2D" w14:textId="77777777" w:rsidR="001C08A5" w:rsidRDefault="001C08A5">
            <w:pPr>
              <w:jc w:val="center"/>
              <w:rPr>
                <w:b/>
                <w:i/>
                <w:iCs/>
                <w:sz w:val="22"/>
                <w:szCs w:val="22"/>
              </w:rPr>
            </w:pPr>
          </w:p>
          <w:p w14:paraId="6D245258" w14:textId="77777777" w:rsidR="001C08A5" w:rsidRDefault="00000000">
            <w:pPr>
              <w:jc w:val="center"/>
              <w:rPr>
                <w:i/>
                <w:iCs/>
                <w:sz w:val="22"/>
                <w:szCs w:val="22"/>
              </w:rPr>
            </w:pPr>
            <w:r>
              <w:rPr>
                <w:b/>
                <w:i/>
                <w:iCs/>
                <w:sz w:val="22"/>
                <w:szCs w:val="22"/>
              </w:rPr>
              <w:t>Observaţii</w:t>
            </w:r>
          </w:p>
        </w:tc>
      </w:tr>
      <w:tr w:rsidR="001C08A5" w14:paraId="0B5C5013" w14:textId="77777777">
        <w:tc>
          <w:tcPr>
            <w:tcW w:w="720" w:type="dxa"/>
            <w:vMerge/>
            <w:tcBorders>
              <w:top w:val="single" w:sz="4" w:space="0" w:color="000000"/>
              <w:left w:val="single" w:sz="8" w:space="0" w:color="000000"/>
              <w:bottom w:val="single" w:sz="4" w:space="0" w:color="000000"/>
            </w:tcBorders>
            <w:shd w:val="clear" w:color="auto" w:fill="auto"/>
          </w:tcPr>
          <w:p w14:paraId="02728D9A" w14:textId="77777777" w:rsidR="001C08A5" w:rsidRDefault="001C08A5">
            <w:pPr>
              <w:snapToGrid w:val="0"/>
              <w:jc w:val="center"/>
              <w:rPr>
                <w:i/>
                <w:iCs/>
                <w:sz w:val="22"/>
                <w:szCs w:val="22"/>
              </w:rPr>
            </w:pPr>
          </w:p>
        </w:tc>
        <w:tc>
          <w:tcPr>
            <w:tcW w:w="1710" w:type="dxa"/>
            <w:vMerge/>
            <w:tcBorders>
              <w:top w:val="single" w:sz="4" w:space="0" w:color="000000"/>
              <w:left w:val="single" w:sz="4" w:space="0" w:color="000000"/>
              <w:bottom w:val="single" w:sz="4" w:space="0" w:color="000000"/>
            </w:tcBorders>
            <w:shd w:val="clear" w:color="auto" w:fill="auto"/>
          </w:tcPr>
          <w:p w14:paraId="7FAEF541" w14:textId="77777777" w:rsidR="001C08A5" w:rsidRDefault="001C08A5">
            <w:pPr>
              <w:snapToGrid w:val="0"/>
              <w:jc w:val="center"/>
              <w:rPr>
                <w:i/>
                <w:iCs/>
                <w:sz w:val="22"/>
                <w:szCs w:val="22"/>
              </w:rPr>
            </w:pPr>
          </w:p>
        </w:tc>
        <w:tc>
          <w:tcPr>
            <w:tcW w:w="1350" w:type="dxa"/>
            <w:vMerge/>
            <w:tcBorders>
              <w:top w:val="single" w:sz="4" w:space="0" w:color="000000"/>
              <w:left w:val="single" w:sz="4" w:space="0" w:color="000000"/>
              <w:bottom w:val="single" w:sz="4" w:space="0" w:color="000000"/>
            </w:tcBorders>
            <w:shd w:val="clear" w:color="auto" w:fill="auto"/>
          </w:tcPr>
          <w:p w14:paraId="7603B42D" w14:textId="77777777" w:rsidR="001C08A5" w:rsidRDefault="001C08A5">
            <w:pPr>
              <w:snapToGrid w:val="0"/>
              <w:jc w:val="center"/>
              <w:rPr>
                <w:i/>
                <w:iCs/>
                <w:sz w:val="22"/>
                <w:szCs w:val="22"/>
              </w:rPr>
            </w:pPr>
          </w:p>
        </w:tc>
        <w:tc>
          <w:tcPr>
            <w:tcW w:w="1800" w:type="dxa"/>
            <w:tcBorders>
              <w:top w:val="single" w:sz="4" w:space="0" w:color="000000"/>
              <w:left w:val="single" w:sz="4" w:space="0" w:color="000000"/>
              <w:bottom w:val="single" w:sz="4" w:space="0" w:color="000000"/>
            </w:tcBorders>
            <w:shd w:val="clear" w:color="auto" w:fill="BFBFBF"/>
          </w:tcPr>
          <w:p w14:paraId="072412F8" w14:textId="77777777" w:rsidR="001C08A5" w:rsidRDefault="00000000">
            <w:pPr>
              <w:jc w:val="center"/>
              <w:rPr>
                <w:b/>
                <w:i/>
                <w:iCs/>
                <w:sz w:val="22"/>
                <w:szCs w:val="22"/>
              </w:rPr>
            </w:pPr>
            <w:r>
              <w:rPr>
                <w:b/>
                <w:i/>
                <w:iCs/>
                <w:sz w:val="22"/>
                <w:szCs w:val="22"/>
              </w:rPr>
              <w:t>în două direcţii diferite</w:t>
            </w:r>
          </w:p>
        </w:tc>
        <w:tc>
          <w:tcPr>
            <w:tcW w:w="2139" w:type="dxa"/>
            <w:tcBorders>
              <w:top w:val="single" w:sz="4" w:space="0" w:color="000000"/>
              <w:left w:val="single" w:sz="4" w:space="0" w:color="000000"/>
              <w:bottom w:val="single" w:sz="4" w:space="0" w:color="000000"/>
            </w:tcBorders>
            <w:shd w:val="clear" w:color="auto" w:fill="BFBFBF"/>
          </w:tcPr>
          <w:p w14:paraId="0DF867DF" w14:textId="77777777" w:rsidR="001C08A5" w:rsidRDefault="00000000">
            <w:pPr>
              <w:jc w:val="center"/>
              <w:rPr>
                <w:i/>
                <w:iCs/>
                <w:sz w:val="22"/>
                <w:szCs w:val="22"/>
              </w:rPr>
            </w:pPr>
            <w:r>
              <w:rPr>
                <w:b/>
                <w:i/>
                <w:iCs/>
                <w:sz w:val="22"/>
                <w:szCs w:val="22"/>
              </w:rPr>
              <w:t>într-o direcţie (coridor înfundat)</w:t>
            </w:r>
          </w:p>
        </w:tc>
        <w:tc>
          <w:tcPr>
            <w:tcW w:w="1852" w:type="dxa"/>
            <w:vMerge/>
            <w:tcBorders>
              <w:top w:val="single" w:sz="4" w:space="0" w:color="000000"/>
              <w:left w:val="single" w:sz="4" w:space="0" w:color="000000"/>
              <w:bottom w:val="single" w:sz="4" w:space="0" w:color="000000"/>
              <w:right w:val="single" w:sz="8" w:space="0" w:color="000000"/>
            </w:tcBorders>
          </w:tcPr>
          <w:p w14:paraId="0DB59D32" w14:textId="77777777" w:rsidR="001C08A5" w:rsidRDefault="001C08A5">
            <w:pPr>
              <w:snapToGrid w:val="0"/>
              <w:rPr>
                <w:i/>
                <w:iCs/>
                <w:sz w:val="22"/>
                <w:szCs w:val="22"/>
              </w:rPr>
            </w:pPr>
          </w:p>
        </w:tc>
      </w:tr>
      <w:tr w:rsidR="001C08A5" w14:paraId="3A0FB041" w14:textId="77777777">
        <w:tc>
          <w:tcPr>
            <w:tcW w:w="720" w:type="dxa"/>
            <w:vMerge/>
            <w:tcBorders>
              <w:top w:val="single" w:sz="4" w:space="0" w:color="000000"/>
              <w:left w:val="single" w:sz="8" w:space="0" w:color="000000"/>
              <w:bottom w:val="single" w:sz="8" w:space="0" w:color="000000"/>
            </w:tcBorders>
            <w:shd w:val="clear" w:color="auto" w:fill="auto"/>
          </w:tcPr>
          <w:p w14:paraId="6F789243" w14:textId="77777777" w:rsidR="001C08A5" w:rsidRDefault="001C08A5">
            <w:pPr>
              <w:snapToGrid w:val="0"/>
              <w:jc w:val="center"/>
              <w:rPr>
                <w:i/>
                <w:iCs/>
                <w:sz w:val="22"/>
                <w:szCs w:val="22"/>
              </w:rPr>
            </w:pPr>
          </w:p>
        </w:tc>
        <w:tc>
          <w:tcPr>
            <w:tcW w:w="1710" w:type="dxa"/>
            <w:vMerge/>
            <w:tcBorders>
              <w:top w:val="single" w:sz="4" w:space="0" w:color="000000"/>
              <w:left w:val="single" w:sz="4" w:space="0" w:color="000000"/>
              <w:bottom w:val="single" w:sz="8" w:space="0" w:color="000000"/>
            </w:tcBorders>
            <w:shd w:val="clear" w:color="auto" w:fill="auto"/>
          </w:tcPr>
          <w:p w14:paraId="7F8FF85E" w14:textId="77777777" w:rsidR="001C08A5" w:rsidRDefault="001C08A5">
            <w:pPr>
              <w:snapToGrid w:val="0"/>
              <w:jc w:val="center"/>
              <w:rPr>
                <w:i/>
                <w:iCs/>
                <w:sz w:val="22"/>
                <w:szCs w:val="22"/>
              </w:rPr>
            </w:pPr>
          </w:p>
        </w:tc>
        <w:tc>
          <w:tcPr>
            <w:tcW w:w="1350" w:type="dxa"/>
            <w:vMerge/>
            <w:tcBorders>
              <w:top w:val="single" w:sz="4" w:space="0" w:color="000000"/>
              <w:left w:val="single" w:sz="4" w:space="0" w:color="000000"/>
              <w:bottom w:val="single" w:sz="8" w:space="0" w:color="000000"/>
            </w:tcBorders>
            <w:shd w:val="clear" w:color="auto" w:fill="auto"/>
          </w:tcPr>
          <w:p w14:paraId="51381ADE" w14:textId="77777777" w:rsidR="001C08A5" w:rsidRDefault="001C08A5">
            <w:pPr>
              <w:snapToGrid w:val="0"/>
              <w:jc w:val="center"/>
              <w:rPr>
                <w:i/>
                <w:iCs/>
                <w:sz w:val="22"/>
                <w:szCs w:val="22"/>
              </w:rPr>
            </w:pPr>
          </w:p>
        </w:tc>
        <w:tc>
          <w:tcPr>
            <w:tcW w:w="1800" w:type="dxa"/>
            <w:tcBorders>
              <w:top w:val="single" w:sz="4" w:space="0" w:color="000000"/>
              <w:left w:val="single" w:sz="4" w:space="0" w:color="000000"/>
              <w:bottom w:val="single" w:sz="8" w:space="0" w:color="000000"/>
            </w:tcBorders>
            <w:shd w:val="clear" w:color="auto" w:fill="BFBFBF"/>
          </w:tcPr>
          <w:p w14:paraId="706BA610" w14:textId="77777777" w:rsidR="001C08A5" w:rsidRDefault="00000000">
            <w:pPr>
              <w:jc w:val="center"/>
              <w:rPr>
                <w:b/>
                <w:i/>
                <w:iCs/>
                <w:sz w:val="22"/>
                <w:szCs w:val="22"/>
              </w:rPr>
            </w:pPr>
            <w:r>
              <w:rPr>
                <w:b/>
                <w:i/>
                <w:iCs/>
                <w:sz w:val="22"/>
                <w:szCs w:val="22"/>
              </w:rPr>
              <w:t>metri</w:t>
            </w:r>
          </w:p>
        </w:tc>
        <w:tc>
          <w:tcPr>
            <w:tcW w:w="2139" w:type="dxa"/>
            <w:tcBorders>
              <w:top w:val="single" w:sz="4" w:space="0" w:color="000000"/>
              <w:left w:val="single" w:sz="4" w:space="0" w:color="000000"/>
              <w:bottom w:val="single" w:sz="8" w:space="0" w:color="000000"/>
            </w:tcBorders>
            <w:shd w:val="clear" w:color="auto" w:fill="BFBFBF"/>
          </w:tcPr>
          <w:p w14:paraId="6CCEB7D5" w14:textId="77777777" w:rsidR="001C08A5" w:rsidRDefault="00000000">
            <w:pPr>
              <w:jc w:val="center"/>
              <w:rPr>
                <w:i/>
                <w:iCs/>
                <w:sz w:val="22"/>
                <w:szCs w:val="22"/>
              </w:rPr>
            </w:pPr>
            <w:r>
              <w:rPr>
                <w:b/>
                <w:i/>
                <w:iCs/>
                <w:sz w:val="22"/>
                <w:szCs w:val="22"/>
              </w:rPr>
              <w:t>metri</w:t>
            </w:r>
          </w:p>
        </w:tc>
        <w:tc>
          <w:tcPr>
            <w:tcW w:w="1852" w:type="dxa"/>
            <w:vMerge/>
            <w:tcBorders>
              <w:top w:val="single" w:sz="4" w:space="0" w:color="000000"/>
              <w:left w:val="single" w:sz="4" w:space="0" w:color="000000"/>
              <w:bottom w:val="single" w:sz="8" w:space="0" w:color="000000"/>
              <w:right w:val="single" w:sz="8" w:space="0" w:color="000000"/>
            </w:tcBorders>
          </w:tcPr>
          <w:p w14:paraId="516F68AE" w14:textId="77777777" w:rsidR="001C08A5" w:rsidRDefault="001C08A5">
            <w:pPr>
              <w:snapToGrid w:val="0"/>
              <w:rPr>
                <w:i/>
                <w:iCs/>
                <w:sz w:val="22"/>
                <w:szCs w:val="22"/>
              </w:rPr>
            </w:pPr>
          </w:p>
        </w:tc>
      </w:tr>
      <w:tr w:rsidR="001C08A5" w14:paraId="3E4FE073" w14:textId="77777777">
        <w:tc>
          <w:tcPr>
            <w:tcW w:w="720" w:type="dxa"/>
            <w:vMerge w:val="restart"/>
            <w:tcBorders>
              <w:top w:val="single" w:sz="8" w:space="0" w:color="000000"/>
              <w:left w:val="single" w:sz="4" w:space="0" w:color="000000"/>
              <w:bottom w:val="single" w:sz="4" w:space="0" w:color="000000"/>
            </w:tcBorders>
          </w:tcPr>
          <w:p w14:paraId="06E98DAD" w14:textId="77777777" w:rsidR="001C08A5" w:rsidRDefault="001C08A5">
            <w:pPr>
              <w:snapToGrid w:val="0"/>
              <w:jc w:val="center"/>
              <w:rPr>
                <w:i/>
                <w:iCs/>
                <w:sz w:val="22"/>
                <w:szCs w:val="22"/>
              </w:rPr>
            </w:pPr>
          </w:p>
          <w:p w14:paraId="48ECD414" w14:textId="77777777" w:rsidR="001C08A5" w:rsidRDefault="001C08A5">
            <w:pPr>
              <w:jc w:val="center"/>
              <w:rPr>
                <w:i/>
                <w:iCs/>
                <w:sz w:val="22"/>
                <w:szCs w:val="22"/>
              </w:rPr>
            </w:pPr>
          </w:p>
          <w:p w14:paraId="4090DFE1" w14:textId="77777777" w:rsidR="001C08A5" w:rsidRDefault="00000000">
            <w:pPr>
              <w:jc w:val="center"/>
              <w:rPr>
                <w:i/>
                <w:iCs/>
                <w:sz w:val="22"/>
                <w:szCs w:val="22"/>
              </w:rPr>
            </w:pPr>
            <w:r>
              <w:rPr>
                <w:i/>
                <w:iCs/>
                <w:sz w:val="22"/>
                <w:szCs w:val="22"/>
              </w:rPr>
              <w:t>1.</w:t>
            </w:r>
          </w:p>
        </w:tc>
        <w:tc>
          <w:tcPr>
            <w:tcW w:w="1710" w:type="dxa"/>
            <w:vMerge w:val="restart"/>
            <w:tcBorders>
              <w:top w:val="single" w:sz="8" w:space="0" w:color="000000"/>
              <w:left w:val="single" w:sz="4" w:space="0" w:color="000000"/>
              <w:bottom w:val="single" w:sz="4" w:space="0" w:color="000000"/>
            </w:tcBorders>
          </w:tcPr>
          <w:p w14:paraId="10E981B3" w14:textId="77777777" w:rsidR="001C08A5" w:rsidRDefault="001C08A5">
            <w:pPr>
              <w:jc w:val="center"/>
              <w:rPr>
                <w:i/>
                <w:iCs/>
                <w:sz w:val="22"/>
                <w:szCs w:val="22"/>
              </w:rPr>
            </w:pPr>
          </w:p>
          <w:p w14:paraId="69216407" w14:textId="77777777" w:rsidR="001C08A5" w:rsidRDefault="00000000">
            <w:pPr>
              <w:jc w:val="center"/>
              <w:rPr>
                <w:i/>
                <w:iCs/>
                <w:sz w:val="22"/>
                <w:szCs w:val="22"/>
              </w:rPr>
            </w:pPr>
            <w:r>
              <w:rPr>
                <w:i/>
                <w:iCs/>
                <w:sz w:val="22"/>
                <w:szCs w:val="22"/>
              </w:rPr>
              <w:t>Parcaj pentru</w:t>
            </w:r>
          </w:p>
          <w:p w14:paraId="41073CA1" w14:textId="77777777" w:rsidR="001C08A5" w:rsidRDefault="00000000">
            <w:pPr>
              <w:jc w:val="center"/>
              <w:rPr>
                <w:i/>
                <w:iCs/>
                <w:sz w:val="22"/>
                <w:szCs w:val="22"/>
              </w:rPr>
            </w:pPr>
            <w:r>
              <w:rPr>
                <w:i/>
                <w:iCs/>
                <w:sz w:val="22"/>
                <w:szCs w:val="22"/>
              </w:rPr>
              <w:t>autoturisme</w:t>
            </w:r>
          </w:p>
          <w:p w14:paraId="4DADCF65" w14:textId="77777777" w:rsidR="001C08A5" w:rsidRDefault="001C08A5">
            <w:pPr>
              <w:jc w:val="center"/>
              <w:rPr>
                <w:b/>
                <w:i/>
                <w:iCs/>
                <w:sz w:val="22"/>
                <w:szCs w:val="22"/>
              </w:rPr>
            </w:pPr>
          </w:p>
        </w:tc>
        <w:tc>
          <w:tcPr>
            <w:tcW w:w="1350" w:type="dxa"/>
            <w:tcBorders>
              <w:top w:val="single" w:sz="8" w:space="0" w:color="000000"/>
              <w:left w:val="single" w:sz="4" w:space="0" w:color="000000"/>
              <w:bottom w:val="single" w:sz="4" w:space="0" w:color="000000"/>
            </w:tcBorders>
          </w:tcPr>
          <w:p w14:paraId="1FFA268B" w14:textId="77777777" w:rsidR="001C08A5" w:rsidRDefault="00000000">
            <w:pPr>
              <w:spacing w:line="360" w:lineRule="auto"/>
              <w:jc w:val="center"/>
              <w:rPr>
                <w:i/>
                <w:iCs/>
                <w:sz w:val="22"/>
                <w:szCs w:val="22"/>
              </w:rPr>
            </w:pPr>
            <w:r>
              <w:rPr>
                <w:b/>
                <w:i/>
                <w:iCs/>
                <w:sz w:val="22"/>
                <w:szCs w:val="22"/>
              </w:rPr>
              <w:t>I şi II</w:t>
            </w:r>
          </w:p>
        </w:tc>
        <w:tc>
          <w:tcPr>
            <w:tcW w:w="1800" w:type="dxa"/>
            <w:tcBorders>
              <w:top w:val="single" w:sz="8" w:space="0" w:color="000000"/>
              <w:left w:val="single" w:sz="4" w:space="0" w:color="000000"/>
              <w:bottom w:val="single" w:sz="4" w:space="0" w:color="000000"/>
            </w:tcBorders>
          </w:tcPr>
          <w:p w14:paraId="5AA55599" w14:textId="77777777" w:rsidR="001C08A5" w:rsidRDefault="00000000">
            <w:pPr>
              <w:spacing w:line="360" w:lineRule="auto"/>
              <w:jc w:val="center"/>
              <w:rPr>
                <w:b/>
                <w:bCs/>
                <w:i/>
                <w:iCs/>
                <w:sz w:val="22"/>
                <w:szCs w:val="22"/>
              </w:rPr>
            </w:pPr>
            <w:r>
              <w:rPr>
                <w:b/>
                <w:bCs/>
                <w:i/>
                <w:iCs/>
                <w:sz w:val="22"/>
                <w:szCs w:val="22"/>
              </w:rPr>
              <w:t>40 (50)</w:t>
            </w:r>
          </w:p>
        </w:tc>
        <w:tc>
          <w:tcPr>
            <w:tcW w:w="2139" w:type="dxa"/>
            <w:tcBorders>
              <w:top w:val="single" w:sz="8" w:space="0" w:color="000000"/>
              <w:left w:val="single" w:sz="4" w:space="0" w:color="000000"/>
              <w:bottom w:val="single" w:sz="4" w:space="0" w:color="000000"/>
            </w:tcBorders>
          </w:tcPr>
          <w:p w14:paraId="13D1A3C7" w14:textId="77777777" w:rsidR="001C08A5" w:rsidRDefault="00000000">
            <w:pPr>
              <w:spacing w:line="360" w:lineRule="auto"/>
              <w:jc w:val="center"/>
              <w:rPr>
                <w:b/>
                <w:bCs/>
                <w:i/>
                <w:iCs/>
                <w:sz w:val="22"/>
                <w:szCs w:val="22"/>
              </w:rPr>
            </w:pPr>
            <w:r>
              <w:rPr>
                <w:b/>
                <w:bCs/>
                <w:i/>
                <w:iCs/>
                <w:sz w:val="22"/>
                <w:szCs w:val="22"/>
              </w:rPr>
              <w:t>25 (30)</w:t>
            </w:r>
          </w:p>
        </w:tc>
        <w:tc>
          <w:tcPr>
            <w:tcW w:w="1852" w:type="dxa"/>
            <w:vMerge w:val="restart"/>
            <w:tcBorders>
              <w:top w:val="single" w:sz="8" w:space="0" w:color="000000"/>
              <w:left w:val="single" w:sz="4" w:space="0" w:color="000000"/>
              <w:bottom w:val="single" w:sz="4" w:space="0" w:color="000000"/>
              <w:right w:val="single" w:sz="4" w:space="0" w:color="000000"/>
            </w:tcBorders>
          </w:tcPr>
          <w:p w14:paraId="6C84D0EC" w14:textId="77777777" w:rsidR="001C08A5" w:rsidRDefault="00000000">
            <w:pPr>
              <w:jc w:val="center"/>
              <w:rPr>
                <w:i/>
                <w:iCs/>
                <w:sz w:val="22"/>
                <w:szCs w:val="22"/>
              </w:rPr>
            </w:pPr>
            <w:r>
              <w:rPr>
                <w:i/>
                <w:iCs/>
                <w:sz w:val="22"/>
                <w:szCs w:val="22"/>
              </w:rPr>
              <w:t>-</w:t>
            </w:r>
          </w:p>
        </w:tc>
      </w:tr>
      <w:tr w:rsidR="001C08A5" w14:paraId="2E8DA62F" w14:textId="77777777">
        <w:trPr>
          <w:trHeight w:val="234"/>
        </w:trPr>
        <w:tc>
          <w:tcPr>
            <w:tcW w:w="720" w:type="dxa"/>
            <w:vMerge/>
            <w:tcBorders>
              <w:top w:val="single" w:sz="4" w:space="0" w:color="000000"/>
              <w:left w:val="single" w:sz="4" w:space="0" w:color="000000"/>
              <w:bottom w:val="single" w:sz="4" w:space="0" w:color="000000"/>
            </w:tcBorders>
          </w:tcPr>
          <w:p w14:paraId="19627937" w14:textId="77777777" w:rsidR="001C08A5" w:rsidRDefault="001C08A5">
            <w:pPr>
              <w:snapToGrid w:val="0"/>
              <w:jc w:val="center"/>
              <w:rPr>
                <w:i/>
                <w:iCs/>
                <w:sz w:val="22"/>
                <w:szCs w:val="22"/>
              </w:rPr>
            </w:pPr>
          </w:p>
        </w:tc>
        <w:tc>
          <w:tcPr>
            <w:tcW w:w="1710" w:type="dxa"/>
            <w:vMerge/>
            <w:tcBorders>
              <w:top w:val="single" w:sz="4" w:space="0" w:color="000000"/>
              <w:left w:val="single" w:sz="4" w:space="0" w:color="000000"/>
              <w:bottom w:val="single" w:sz="4" w:space="0" w:color="000000"/>
            </w:tcBorders>
          </w:tcPr>
          <w:p w14:paraId="71D0F9DC"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790E66AD" w14:textId="77777777" w:rsidR="001C08A5" w:rsidRDefault="00000000">
            <w:pPr>
              <w:spacing w:line="360" w:lineRule="auto"/>
              <w:jc w:val="center"/>
              <w:rPr>
                <w:i/>
                <w:iCs/>
                <w:sz w:val="22"/>
                <w:szCs w:val="22"/>
              </w:rPr>
            </w:pPr>
            <w:r>
              <w:rPr>
                <w:b/>
                <w:i/>
                <w:iCs/>
                <w:sz w:val="22"/>
                <w:szCs w:val="22"/>
              </w:rPr>
              <w:t>III</w:t>
            </w:r>
          </w:p>
        </w:tc>
        <w:tc>
          <w:tcPr>
            <w:tcW w:w="1800" w:type="dxa"/>
            <w:tcBorders>
              <w:top w:val="single" w:sz="4" w:space="0" w:color="000000"/>
              <w:left w:val="single" w:sz="4" w:space="0" w:color="000000"/>
              <w:bottom w:val="single" w:sz="4" w:space="0" w:color="000000"/>
            </w:tcBorders>
          </w:tcPr>
          <w:p w14:paraId="3886017F" w14:textId="77777777" w:rsidR="001C08A5" w:rsidRDefault="00000000">
            <w:pPr>
              <w:spacing w:line="360" w:lineRule="auto"/>
              <w:jc w:val="center"/>
              <w:rPr>
                <w:b/>
                <w:bCs/>
                <w:i/>
                <w:iCs/>
                <w:sz w:val="22"/>
                <w:szCs w:val="22"/>
              </w:rPr>
            </w:pPr>
            <w:r>
              <w:rPr>
                <w:b/>
                <w:bCs/>
                <w:i/>
                <w:iCs/>
                <w:sz w:val="22"/>
                <w:szCs w:val="22"/>
              </w:rPr>
              <w:t>30</w:t>
            </w:r>
          </w:p>
        </w:tc>
        <w:tc>
          <w:tcPr>
            <w:tcW w:w="2139" w:type="dxa"/>
            <w:tcBorders>
              <w:top w:val="single" w:sz="4" w:space="0" w:color="000000"/>
              <w:left w:val="single" w:sz="4" w:space="0" w:color="000000"/>
              <w:bottom w:val="single" w:sz="4" w:space="0" w:color="000000"/>
            </w:tcBorders>
          </w:tcPr>
          <w:p w14:paraId="07F4285A" w14:textId="77777777" w:rsidR="001C08A5" w:rsidRDefault="00000000">
            <w:pPr>
              <w:spacing w:line="360" w:lineRule="auto"/>
              <w:jc w:val="center"/>
              <w:rPr>
                <w:b/>
                <w:bCs/>
                <w:i/>
                <w:iCs/>
                <w:sz w:val="22"/>
                <w:szCs w:val="22"/>
              </w:rPr>
            </w:pPr>
            <w:r>
              <w:rPr>
                <w:b/>
                <w:bCs/>
                <w:i/>
                <w:iCs/>
                <w:sz w:val="22"/>
                <w:szCs w:val="22"/>
              </w:rPr>
              <w:t>20</w:t>
            </w:r>
          </w:p>
        </w:tc>
        <w:tc>
          <w:tcPr>
            <w:tcW w:w="1852" w:type="dxa"/>
            <w:vMerge/>
            <w:tcBorders>
              <w:top w:val="single" w:sz="4" w:space="0" w:color="000000"/>
              <w:left w:val="single" w:sz="4" w:space="0" w:color="000000"/>
              <w:bottom w:val="single" w:sz="4" w:space="0" w:color="000000"/>
              <w:right w:val="single" w:sz="4" w:space="0" w:color="000000"/>
            </w:tcBorders>
          </w:tcPr>
          <w:p w14:paraId="3CBCB58D" w14:textId="77777777" w:rsidR="001C08A5" w:rsidRDefault="001C08A5">
            <w:pPr>
              <w:snapToGrid w:val="0"/>
              <w:rPr>
                <w:i/>
                <w:iCs/>
                <w:sz w:val="22"/>
                <w:szCs w:val="22"/>
              </w:rPr>
            </w:pPr>
          </w:p>
        </w:tc>
      </w:tr>
      <w:tr w:rsidR="001C08A5" w14:paraId="50FEB710" w14:textId="77777777">
        <w:trPr>
          <w:trHeight w:val="276"/>
        </w:trPr>
        <w:tc>
          <w:tcPr>
            <w:tcW w:w="720" w:type="dxa"/>
            <w:vMerge/>
            <w:tcBorders>
              <w:top w:val="single" w:sz="4" w:space="0" w:color="000000"/>
              <w:left w:val="single" w:sz="4" w:space="0" w:color="000000"/>
              <w:bottom w:val="single" w:sz="4" w:space="0" w:color="000000"/>
            </w:tcBorders>
          </w:tcPr>
          <w:p w14:paraId="0B2D2940" w14:textId="77777777" w:rsidR="001C08A5" w:rsidRDefault="001C08A5">
            <w:pPr>
              <w:snapToGrid w:val="0"/>
              <w:jc w:val="center"/>
              <w:rPr>
                <w:i/>
                <w:iCs/>
                <w:sz w:val="22"/>
                <w:szCs w:val="22"/>
              </w:rPr>
            </w:pPr>
          </w:p>
        </w:tc>
        <w:tc>
          <w:tcPr>
            <w:tcW w:w="1710" w:type="dxa"/>
            <w:vMerge/>
            <w:tcBorders>
              <w:top w:val="single" w:sz="4" w:space="0" w:color="000000"/>
              <w:left w:val="single" w:sz="4" w:space="0" w:color="000000"/>
              <w:bottom w:val="single" w:sz="4" w:space="0" w:color="000000"/>
            </w:tcBorders>
          </w:tcPr>
          <w:p w14:paraId="5E943D5C" w14:textId="77777777" w:rsidR="001C08A5" w:rsidRDefault="001C08A5">
            <w:pPr>
              <w:snapToGrid w:val="0"/>
              <w:jc w:val="center"/>
              <w:rPr>
                <w:i/>
                <w:iCs/>
                <w:sz w:val="22"/>
                <w:szCs w:val="22"/>
              </w:rPr>
            </w:pPr>
          </w:p>
        </w:tc>
        <w:tc>
          <w:tcPr>
            <w:tcW w:w="1350" w:type="dxa"/>
            <w:tcBorders>
              <w:top w:val="single" w:sz="4" w:space="0" w:color="000000"/>
              <w:left w:val="single" w:sz="4" w:space="0" w:color="000000"/>
              <w:bottom w:val="single" w:sz="4" w:space="0" w:color="000000"/>
            </w:tcBorders>
          </w:tcPr>
          <w:p w14:paraId="7802ECB4" w14:textId="77777777" w:rsidR="001C08A5" w:rsidRDefault="00000000">
            <w:pPr>
              <w:spacing w:line="360" w:lineRule="auto"/>
              <w:jc w:val="center"/>
              <w:rPr>
                <w:i/>
                <w:iCs/>
                <w:sz w:val="22"/>
                <w:szCs w:val="22"/>
              </w:rPr>
            </w:pPr>
            <w:r>
              <w:rPr>
                <w:b/>
                <w:i/>
                <w:iCs/>
                <w:sz w:val="22"/>
                <w:szCs w:val="22"/>
              </w:rPr>
              <w:t>IV și V</w:t>
            </w:r>
          </w:p>
        </w:tc>
        <w:tc>
          <w:tcPr>
            <w:tcW w:w="1800" w:type="dxa"/>
            <w:tcBorders>
              <w:top w:val="single" w:sz="4" w:space="0" w:color="000000"/>
              <w:left w:val="single" w:sz="4" w:space="0" w:color="000000"/>
              <w:bottom w:val="single" w:sz="4" w:space="0" w:color="000000"/>
            </w:tcBorders>
          </w:tcPr>
          <w:p w14:paraId="233FA004" w14:textId="77777777" w:rsidR="001C08A5" w:rsidRDefault="00000000">
            <w:pPr>
              <w:spacing w:line="360" w:lineRule="auto"/>
              <w:jc w:val="center"/>
              <w:rPr>
                <w:b/>
                <w:bCs/>
                <w:i/>
                <w:iCs/>
                <w:sz w:val="22"/>
                <w:szCs w:val="22"/>
              </w:rPr>
            </w:pPr>
            <w:r>
              <w:rPr>
                <w:b/>
                <w:bCs/>
                <w:i/>
                <w:iCs/>
                <w:sz w:val="22"/>
                <w:szCs w:val="22"/>
              </w:rPr>
              <w:t>16</w:t>
            </w:r>
          </w:p>
        </w:tc>
        <w:tc>
          <w:tcPr>
            <w:tcW w:w="2139" w:type="dxa"/>
            <w:tcBorders>
              <w:top w:val="single" w:sz="4" w:space="0" w:color="000000"/>
              <w:left w:val="single" w:sz="4" w:space="0" w:color="000000"/>
              <w:bottom w:val="single" w:sz="4" w:space="0" w:color="000000"/>
            </w:tcBorders>
          </w:tcPr>
          <w:p w14:paraId="5AEA7F36" w14:textId="77777777" w:rsidR="001C08A5" w:rsidRDefault="00000000">
            <w:pPr>
              <w:spacing w:line="360" w:lineRule="auto"/>
              <w:jc w:val="center"/>
              <w:rPr>
                <w:b/>
                <w:bCs/>
                <w:i/>
                <w:iCs/>
                <w:sz w:val="22"/>
                <w:szCs w:val="22"/>
              </w:rPr>
            </w:pPr>
            <w:r>
              <w:rPr>
                <w:b/>
                <w:bCs/>
                <w:i/>
                <w:iCs/>
                <w:sz w:val="22"/>
                <w:szCs w:val="22"/>
              </w:rPr>
              <w:t>12</w:t>
            </w:r>
          </w:p>
        </w:tc>
        <w:tc>
          <w:tcPr>
            <w:tcW w:w="1852" w:type="dxa"/>
            <w:vMerge/>
            <w:tcBorders>
              <w:top w:val="single" w:sz="4" w:space="0" w:color="000000"/>
              <w:left w:val="single" w:sz="4" w:space="0" w:color="000000"/>
              <w:bottom w:val="single" w:sz="4" w:space="0" w:color="000000"/>
              <w:right w:val="single" w:sz="4" w:space="0" w:color="000000"/>
            </w:tcBorders>
          </w:tcPr>
          <w:p w14:paraId="711F1893" w14:textId="77777777" w:rsidR="001C08A5" w:rsidRDefault="001C08A5">
            <w:pPr>
              <w:snapToGrid w:val="0"/>
              <w:rPr>
                <w:i/>
                <w:iCs/>
                <w:sz w:val="22"/>
                <w:szCs w:val="22"/>
              </w:rPr>
            </w:pPr>
          </w:p>
        </w:tc>
      </w:tr>
    </w:tbl>
    <w:p w14:paraId="56C1BDCC" w14:textId="77777777" w:rsidR="001C08A5" w:rsidRDefault="00000000">
      <w:pPr>
        <w:jc w:val="both"/>
        <w:rPr>
          <w:bCs/>
          <w:i/>
          <w:iCs/>
          <w:sz w:val="22"/>
          <w:szCs w:val="22"/>
        </w:rPr>
      </w:pPr>
      <w:r>
        <w:rPr>
          <w:bCs/>
          <w:i/>
          <w:iCs/>
          <w:sz w:val="22"/>
          <w:szCs w:val="22"/>
        </w:rPr>
        <w:t>Note:</w:t>
      </w:r>
    </w:p>
    <w:p w14:paraId="619B24E8" w14:textId="77777777" w:rsidR="001C08A5" w:rsidRDefault="00000000">
      <w:pPr>
        <w:pStyle w:val="ListParagraph"/>
        <w:numPr>
          <w:ilvl w:val="0"/>
          <w:numId w:val="81"/>
        </w:numPr>
        <w:jc w:val="both"/>
        <w:rPr>
          <w:rFonts w:eastAsia="ArialMT"/>
          <w:bCs/>
          <w:i/>
          <w:iCs/>
          <w:sz w:val="22"/>
          <w:szCs w:val="22"/>
        </w:rPr>
      </w:pPr>
      <w:r>
        <w:rPr>
          <w:rFonts w:eastAsia="ArialMT"/>
          <w:bCs/>
          <w:i/>
          <w:iCs/>
          <w:sz w:val="22"/>
          <w:szCs w:val="22"/>
        </w:rPr>
        <w:t xml:space="preserve">Un coridor înfundat cu lungimea mai mica decât lungimea maximă de evacuare într-o direcţie (coridor înfundat), masurată de la o cale de evacuare cu acces la doua scări, încăperi tampon ventilate în suprapresiune sau ieșiri în exterior amplasate în directii diferite, este considerat cale de evacuare admisă dacă distanța totală până la o scară, încăpere tampon ventilată în suprapresiune sau iesire în exterior nu depășeste lungimea maximă de evacuare în două direcţii </w:t>
      </w:r>
      <w:r>
        <w:rPr>
          <w:i/>
          <w:iCs/>
          <w:sz w:val="20"/>
          <w:szCs w:val="20"/>
          <w:lang w:eastAsia="zh-CN"/>
        </w:rPr>
        <w:t>iar distanța de parcurs în aceeași direcție nu depășește lungimea de coridor înfundat</w:t>
      </w:r>
      <w:r>
        <w:rPr>
          <w:rFonts w:eastAsia="ArialMT"/>
          <w:bCs/>
          <w:i/>
          <w:iCs/>
          <w:sz w:val="22"/>
          <w:szCs w:val="22"/>
        </w:rPr>
        <w:t>.</w:t>
      </w:r>
    </w:p>
    <w:p w14:paraId="17E3C468" w14:textId="77777777" w:rsidR="001C08A5" w:rsidRDefault="00000000">
      <w:pPr>
        <w:pStyle w:val="ListParagraph"/>
        <w:numPr>
          <w:ilvl w:val="0"/>
          <w:numId w:val="81"/>
        </w:numPr>
        <w:jc w:val="both"/>
        <w:rPr>
          <w:rFonts w:eastAsia="ArialMT"/>
          <w:bCs/>
          <w:i/>
          <w:iCs/>
          <w:sz w:val="22"/>
          <w:szCs w:val="22"/>
        </w:rPr>
      </w:pPr>
      <w:r>
        <w:rPr>
          <w:rFonts w:eastAsia="ArialMT"/>
          <w:bCs/>
          <w:i/>
          <w:iCs/>
          <w:sz w:val="22"/>
          <w:szCs w:val="22"/>
        </w:rPr>
        <w:t>Scările nu se pot prevedea cu mai multe încaperi-tampon succesive, în scopul înscrierii în distanța normată a caii de evacuare.</w:t>
      </w:r>
    </w:p>
    <w:p w14:paraId="17F28161" w14:textId="77777777" w:rsidR="001C08A5" w:rsidRDefault="00000000">
      <w:pPr>
        <w:pStyle w:val="ListParagraph"/>
        <w:numPr>
          <w:ilvl w:val="0"/>
          <w:numId w:val="81"/>
        </w:numPr>
        <w:jc w:val="both"/>
        <w:rPr>
          <w:rFonts w:eastAsia="ArialMT"/>
          <w:bCs/>
          <w:i/>
          <w:iCs/>
          <w:sz w:val="22"/>
          <w:szCs w:val="22"/>
        </w:rPr>
      </w:pPr>
      <w:r>
        <w:rPr>
          <w:rFonts w:eastAsia="ArialMT"/>
          <w:bCs/>
          <w:i/>
          <w:iCs/>
          <w:sz w:val="22"/>
          <w:szCs w:val="22"/>
        </w:rPr>
        <w:t>Valorile din paranteze se aplică parcajelor puternic ventilate.</w:t>
      </w:r>
    </w:p>
    <w:p w14:paraId="4D5A3789" w14:textId="77777777" w:rsidR="001C08A5" w:rsidRDefault="001C08A5">
      <w:pPr>
        <w:jc w:val="both"/>
        <w:rPr>
          <w:rFonts w:eastAsia="ArialMT"/>
          <w:sz w:val="24"/>
          <w:szCs w:val="24"/>
        </w:rPr>
      </w:pPr>
    </w:p>
    <w:p w14:paraId="19115FAF" w14:textId="77777777" w:rsidR="001C08A5" w:rsidRDefault="00000000">
      <w:pPr>
        <w:jc w:val="both"/>
        <w:rPr>
          <w:sz w:val="24"/>
          <w:szCs w:val="24"/>
        </w:rPr>
      </w:pPr>
      <w:r>
        <w:rPr>
          <w:sz w:val="24"/>
          <w:szCs w:val="24"/>
        </w:rPr>
        <w:tab/>
      </w:r>
      <w:r>
        <w:rPr>
          <w:b/>
          <w:sz w:val="24"/>
          <w:szCs w:val="24"/>
        </w:rPr>
        <w:t xml:space="preserve">Art. </w:t>
      </w:r>
      <w:r>
        <w:rPr>
          <w:b/>
          <w:bCs/>
          <w:sz w:val="24"/>
          <w:szCs w:val="24"/>
        </w:rPr>
        <w:t>3.2.11.</w:t>
      </w:r>
      <w:r>
        <w:rPr>
          <w:b/>
          <w:sz w:val="24"/>
          <w:szCs w:val="24"/>
        </w:rPr>
        <w:t>13. (1)</w:t>
      </w:r>
      <w:r>
        <w:rPr>
          <w:sz w:val="24"/>
          <w:szCs w:val="24"/>
        </w:rPr>
        <w:t xml:space="preserve"> Asigurarea evacuării utilizatorilor parcajelor subterane se realizează conform prevederilor normativului specific, indicativ </w:t>
      </w:r>
      <w:r>
        <w:rPr>
          <w:b/>
          <w:sz w:val="24"/>
          <w:szCs w:val="24"/>
        </w:rPr>
        <w:t>NP 127</w:t>
      </w:r>
      <w:r>
        <w:rPr>
          <w:sz w:val="24"/>
          <w:szCs w:val="24"/>
        </w:rPr>
        <w:t>.</w:t>
      </w:r>
    </w:p>
    <w:p w14:paraId="4A90790B" w14:textId="77777777" w:rsidR="001C08A5" w:rsidRDefault="00000000">
      <w:pPr>
        <w:ind w:firstLine="720"/>
        <w:jc w:val="both"/>
        <w:rPr>
          <w:sz w:val="24"/>
          <w:szCs w:val="24"/>
        </w:rPr>
      </w:pPr>
      <w:r>
        <w:rPr>
          <w:b/>
          <w:sz w:val="24"/>
          <w:szCs w:val="24"/>
        </w:rPr>
        <w:t>(2)</w:t>
      </w:r>
      <w:r>
        <w:rPr>
          <w:sz w:val="24"/>
          <w:szCs w:val="24"/>
        </w:rPr>
        <w:t xml:space="preserve"> Numărul de utilizatori aflaţi simultan în parcajul suprateran și pe fiecare nivel de parcare, se precizează în documentaţia tehnică de proiectare. </w:t>
      </w:r>
    </w:p>
    <w:p w14:paraId="238064E1" w14:textId="77777777" w:rsidR="001C08A5" w:rsidRDefault="00000000">
      <w:pPr>
        <w:ind w:firstLine="720"/>
        <w:jc w:val="both"/>
        <w:rPr>
          <w:sz w:val="24"/>
          <w:szCs w:val="24"/>
        </w:rPr>
      </w:pPr>
      <w:r>
        <w:rPr>
          <w:b/>
          <w:bCs/>
          <w:sz w:val="24"/>
          <w:szCs w:val="24"/>
        </w:rPr>
        <w:t>(3)</w:t>
      </w:r>
      <w:r>
        <w:rPr>
          <w:sz w:val="24"/>
          <w:szCs w:val="24"/>
        </w:rPr>
        <w:t xml:space="preserve"> Pentru determinarea numărului de utilizatori se consideră o simultaneitate de </w:t>
      </w:r>
      <w:r>
        <w:rPr>
          <w:b/>
          <w:bCs/>
          <w:sz w:val="24"/>
          <w:szCs w:val="24"/>
        </w:rPr>
        <w:t>15%</w:t>
      </w:r>
      <w:r>
        <w:rPr>
          <w:sz w:val="24"/>
          <w:szCs w:val="24"/>
        </w:rPr>
        <w:t xml:space="preserve"> din numărul locurilor de parcare și două persoane în fiecare autoturism.</w:t>
      </w:r>
      <w:r>
        <w:rPr>
          <w:sz w:val="24"/>
          <w:szCs w:val="24"/>
        </w:rPr>
        <w:tab/>
      </w:r>
    </w:p>
    <w:p w14:paraId="0FAAC2F7" w14:textId="77777777" w:rsidR="001C08A5" w:rsidRDefault="001C08A5">
      <w:pPr>
        <w:jc w:val="both"/>
        <w:rPr>
          <w:sz w:val="24"/>
          <w:szCs w:val="24"/>
        </w:rPr>
      </w:pPr>
    </w:p>
    <w:p w14:paraId="25062C30" w14:textId="77777777" w:rsidR="001C08A5" w:rsidRDefault="00000000">
      <w:pPr>
        <w:jc w:val="both"/>
        <w:rPr>
          <w:sz w:val="24"/>
          <w:szCs w:val="24"/>
        </w:rPr>
      </w:pPr>
      <w:r>
        <w:rPr>
          <w:b/>
          <w:sz w:val="24"/>
          <w:szCs w:val="24"/>
        </w:rPr>
        <w:tab/>
        <w:t xml:space="preserve">Art. </w:t>
      </w:r>
      <w:r>
        <w:rPr>
          <w:b/>
          <w:bCs/>
          <w:sz w:val="24"/>
          <w:szCs w:val="24"/>
        </w:rPr>
        <w:t>3.2.11.</w:t>
      </w:r>
      <w:r>
        <w:rPr>
          <w:b/>
          <w:sz w:val="24"/>
          <w:szCs w:val="24"/>
        </w:rPr>
        <w:t xml:space="preserve">14. (1) </w:t>
      </w:r>
      <w:r>
        <w:rPr>
          <w:sz w:val="24"/>
          <w:szCs w:val="24"/>
        </w:rPr>
        <w:t xml:space="preserve">Scările de evacuare a utilizatorilor parcajului suprateran sau a celui subteran pentru maximum </w:t>
      </w:r>
      <w:r>
        <w:rPr>
          <w:b/>
          <w:sz w:val="24"/>
          <w:szCs w:val="24"/>
        </w:rPr>
        <w:t>10</w:t>
      </w:r>
      <w:r>
        <w:rPr>
          <w:sz w:val="24"/>
          <w:szCs w:val="24"/>
        </w:rPr>
        <w:t xml:space="preserve"> autoturisme pot fi prevăzute în interiorul construcţiei (scări închise în case de scări), sau în exteriorul acesteia (scări deschise), alcătuite şi protejate conform prevederilor normativului.</w:t>
      </w:r>
    </w:p>
    <w:p w14:paraId="78D9F896" w14:textId="77777777" w:rsidR="001C08A5" w:rsidRDefault="00000000">
      <w:pPr>
        <w:ind w:firstLine="720"/>
        <w:jc w:val="both"/>
        <w:rPr>
          <w:b/>
          <w:sz w:val="24"/>
          <w:szCs w:val="24"/>
        </w:rPr>
      </w:pPr>
      <w:r>
        <w:rPr>
          <w:b/>
          <w:sz w:val="24"/>
          <w:szCs w:val="24"/>
        </w:rPr>
        <w:t>(2)</w:t>
      </w:r>
      <w:r>
        <w:rPr>
          <w:sz w:val="24"/>
          <w:szCs w:val="24"/>
        </w:rPr>
        <w:t xml:space="preserve"> Golurile de acces la casele de scări închise din parcaj se protejează cu încăperi tampon protejate ventilate în suprapresiune având uşi </w:t>
      </w:r>
      <w:r>
        <w:rPr>
          <w:b/>
          <w:sz w:val="24"/>
          <w:szCs w:val="24"/>
        </w:rPr>
        <w:t>EI</w:t>
      </w:r>
      <w:r>
        <w:rPr>
          <w:b/>
          <w:sz w:val="24"/>
          <w:szCs w:val="24"/>
          <w:vertAlign w:val="subscript"/>
        </w:rPr>
        <w:t>2</w:t>
      </w:r>
      <w:r>
        <w:rPr>
          <w:b/>
          <w:sz w:val="24"/>
          <w:szCs w:val="24"/>
        </w:rPr>
        <w:t xml:space="preserve"> 60-C5 Sm, </w:t>
      </w:r>
      <w:r>
        <w:rPr>
          <w:sz w:val="24"/>
          <w:szCs w:val="24"/>
        </w:rPr>
        <w:t>dacă normativul nu stabilește condiții mai severe.</w:t>
      </w:r>
    </w:p>
    <w:p w14:paraId="5D2299D0" w14:textId="77777777" w:rsidR="001C08A5" w:rsidRDefault="00000000">
      <w:pPr>
        <w:autoSpaceDE w:val="0"/>
        <w:autoSpaceDN w:val="0"/>
        <w:adjustRightInd w:val="0"/>
        <w:ind w:firstLine="680"/>
        <w:jc w:val="both"/>
        <w:rPr>
          <w:sz w:val="24"/>
          <w:szCs w:val="24"/>
          <w:lang w:eastAsia="ro-RO"/>
        </w:rPr>
      </w:pPr>
      <w:r>
        <w:rPr>
          <w:b/>
          <w:sz w:val="24"/>
          <w:szCs w:val="24"/>
        </w:rPr>
        <w:tab/>
        <w:t>(3)</w:t>
      </w:r>
      <w:r>
        <w:rPr>
          <w:sz w:val="24"/>
          <w:szCs w:val="24"/>
          <w:lang w:eastAsia="ro-RO"/>
        </w:rPr>
        <w:t xml:space="preserve">Scările de evacuare exterioare parcajului se amplasează astfel încât să fie protejate de eventuale flăcări din parcaj (în dreptul unor pereţi plini </w:t>
      </w:r>
      <w:r>
        <w:rPr>
          <w:b/>
          <w:sz w:val="24"/>
          <w:szCs w:val="24"/>
          <w:lang w:eastAsia="ro-RO"/>
        </w:rPr>
        <w:t>EI 30</w:t>
      </w:r>
      <w:r>
        <w:rPr>
          <w:sz w:val="24"/>
          <w:szCs w:val="24"/>
          <w:lang w:eastAsia="ro-RO"/>
        </w:rPr>
        <w:t xml:space="preserve"> care să depăşească scara cu cel puţin </w:t>
      </w:r>
      <w:r>
        <w:rPr>
          <w:b/>
          <w:sz w:val="24"/>
          <w:szCs w:val="24"/>
          <w:lang w:eastAsia="ro-RO"/>
        </w:rPr>
        <w:t>3,00 m</w:t>
      </w:r>
      <w:r>
        <w:rPr>
          <w:sz w:val="24"/>
          <w:szCs w:val="24"/>
          <w:lang w:eastAsia="ro-RO"/>
        </w:rPr>
        <w:t xml:space="preserve">) sau la distanţă de minimum </w:t>
      </w:r>
      <w:r>
        <w:rPr>
          <w:b/>
          <w:sz w:val="24"/>
          <w:szCs w:val="24"/>
          <w:lang w:eastAsia="ro-RO"/>
        </w:rPr>
        <w:t>3,00 m</w:t>
      </w:r>
      <w:r>
        <w:rPr>
          <w:sz w:val="24"/>
          <w:szCs w:val="24"/>
          <w:lang w:eastAsia="ro-RO"/>
        </w:rPr>
        <w:t xml:space="preserve"> faţă de peretele exterior al parcajului.</w:t>
      </w:r>
    </w:p>
    <w:p w14:paraId="13739C34" w14:textId="77777777" w:rsidR="001C08A5" w:rsidRDefault="00000000">
      <w:pPr>
        <w:autoSpaceDE w:val="0"/>
        <w:autoSpaceDN w:val="0"/>
        <w:adjustRightInd w:val="0"/>
        <w:ind w:firstLine="680"/>
        <w:jc w:val="both"/>
        <w:rPr>
          <w:sz w:val="24"/>
          <w:szCs w:val="24"/>
          <w:lang w:eastAsia="ro-RO"/>
        </w:rPr>
      </w:pPr>
      <w:r>
        <w:rPr>
          <w:b/>
          <w:bCs/>
          <w:spacing w:val="2"/>
          <w:sz w:val="24"/>
          <w:szCs w:val="24"/>
        </w:rPr>
        <w:lastRenderedPageBreak/>
        <w:tab/>
        <w:t>(4)</w:t>
      </w:r>
      <w:r>
        <w:rPr>
          <w:sz w:val="24"/>
          <w:szCs w:val="24"/>
          <w:lang w:eastAsia="ro-RO"/>
        </w:rPr>
        <w:t xml:space="preserve"> Accesul din parcaje la scările de evacuare exterioare deschise se realizează prin uşă rezistentă la foc minimum </w:t>
      </w:r>
      <w:r>
        <w:rPr>
          <w:b/>
          <w:sz w:val="24"/>
          <w:szCs w:val="24"/>
        </w:rPr>
        <w:t>EI</w:t>
      </w:r>
      <w:r>
        <w:rPr>
          <w:b/>
          <w:sz w:val="24"/>
          <w:szCs w:val="24"/>
          <w:vertAlign w:val="subscript"/>
        </w:rPr>
        <w:t xml:space="preserve">2 </w:t>
      </w:r>
      <w:r>
        <w:rPr>
          <w:b/>
          <w:sz w:val="24"/>
          <w:szCs w:val="24"/>
        </w:rPr>
        <w:t xml:space="preserve">30-C5, </w:t>
      </w:r>
      <w:r>
        <w:rPr>
          <w:sz w:val="24"/>
          <w:szCs w:val="24"/>
        </w:rPr>
        <w:t>dacă normativul nu stabilește condiții mai severe</w:t>
      </w:r>
      <w:r>
        <w:rPr>
          <w:sz w:val="24"/>
          <w:szCs w:val="24"/>
          <w:lang w:eastAsia="ro-RO"/>
        </w:rPr>
        <w:t>.</w:t>
      </w:r>
    </w:p>
    <w:p w14:paraId="553C2FFC" w14:textId="77777777" w:rsidR="001C08A5" w:rsidRDefault="001C08A5">
      <w:pPr>
        <w:ind w:firstLine="2268"/>
        <w:jc w:val="both"/>
        <w:rPr>
          <w:sz w:val="24"/>
          <w:szCs w:val="24"/>
        </w:rPr>
      </w:pPr>
    </w:p>
    <w:p w14:paraId="0109C020" w14:textId="77777777" w:rsidR="001C08A5" w:rsidRDefault="00000000">
      <w:pPr>
        <w:ind w:firstLine="680"/>
        <w:jc w:val="both"/>
        <w:rPr>
          <w:b/>
          <w:sz w:val="24"/>
          <w:szCs w:val="24"/>
        </w:rPr>
      </w:pPr>
      <w:r>
        <w:rPr>
          <w:sz w:val="24"/>
          <w:szCs w:val="24"/>
        </w:rPr>
        <w:tab/>
      </w:r>
      <w:r>
        <w:rPr>
          <w:b/>
          <w:sz w:val="24"/>
          <w:szCs w:val="24"/>
        </w:rPr>
        <w:t xml:space="preserve">Art. </w:t>
      </w:r>
      <w:r>
        <w:rPr>
          <w:b/>
          <w:bCs/>
          <w:sz w:val="24"/>
          <w:szCs w:val="24"/>
        </w:rPr>
        <w:t>3.2.11.</w:t>
      </w:r>
      <w:r>
        <w:rPr>
          <w:b/>
          <w:sz w:val="24"/>
          <w:szCs w:val="24"/>
        </w:rPr>
        <w:t xml:space="preserve">15. (1) </w:t>
      </w:r>
      <w:r>
        <w:rPr>
          <w:sz w:val="24"/>
          <w:szCs w:val="24"/>
        </w:rPr>
        <w:t xml:space="preserve">Spaţiile din parcajele supraterane destinate activităţilor conexe menţionate în Normativul de securitate la incendiu a parcajelor subterane pentru autoturisme, indicativ </w:t>
      </w:r>
      <w:r>
        <w:rPr>
          <w:b/>
          <w:sz w:val="24"/>
          <w:szCs w:val="24"/>
        </w:rPr>
        <w:t>NP 127</w:t>
      </w:r>
      <w:r>
        <w:rPr>
          <w:sz w:val="24"/>
          <w:szCs w:val="24"/>
        </w:rPr>
        <w:t xml:space="preserve">, se tratează în mod corespunzător, </w:t>
      </w:r>
      <w:r>
        <w:rPr>
          <w:b/>
          <w:sz w:val="24"/>
          <w:szCs w:val="24"/>
        </w:rPr>
        <w:t>.</w:t>
      </w:r>
    </w:p>
    <w:p w14:paraId="6E1C3C7A" w14:textId="77777777" w:rsidR="001C08A5" w:rsidRDefault="00000000">
      <w:pPr>
        <w:pStyle w:val="BodyText"/>
        <w:ind w:firstLine="680"/>
        <w:rPr>
          <w:bCs w:val="0"/>
          <w:i w:val="0"/>
          <w:iCs/>
        </w:rPr>
      </w:pPr>
      <w:r>
        <w:rPr>
          <w:i w:val="0"/>
          <w:iCs/>
        </w:rPr>
        <w:tab/>
        <w:t xml:space="preserve">(2) </w:t>
      </w:r>
      <w:r>
        <w:rPr>
          <w:b w:val="0"/>
          <w:i w:val="0"/>
          <w:iCs/>
        </w:rPr>
        <w:t xml:space="preserve">Încăperile destinate instalaţiilor utilitare se separă de parcaje prin pereţi </w:t>
      </w:r>
      <w:r>
        <w:rPr>
          <w:i w:val="0"/>
          <w:iCs/>
        </w:rPr>
        <w:t>REI/EI 180</w:t>
      </w:r>
      <w:r>
        <w:rPr>
          <w:b w:val="0"/>
          <w:i w:val="0"/>
          <w:iCs/>
        </w:rPr>
        <w:t xml:space="preserve"> şi planşee </w:t>
      </w:r>
      <w:r>
        <w:rPr>
          <w:i w:val="0"/>
          <w:iCs/>
        </w:rPr>
        <w:t>REI 120</w:t>
      </w:r>
      <w:r>
        <w:rPr>
          <w:b w:val="0"/>
          <w:i w:val="0"/>
          <w:iCs/>
        </w:rPr>
        <w:t xml:space="preserve">, iargolurile de comunicare se protejează cu uşi </w:t>
      </w:r>
      <w:r>
        <w:rPr>
          <w:b w:val="0"/>
          <w:bCs w:val="0"/>
          <w:i w:val="0"/>
          <w:iCs/>
        </w:rPr>
        <w:t>rezistente la foc și etanșe la fum</w:t>
      </w:r>
      <w:r>
        <w:rPr>
          <w:bCs w:val="0"/>
          <w:i w:val="0"/>
          <w:iCs/>
          <w:lang w:eastAsia="en-US"/>
        </w:rPr>
        <w:t>EI</w:t>
      </w:r>
      <w:r>
        <w:rPr>
          <w:bCs w:val="0"/>
          <w:i w:val="0"/>
          <w:iCs/>
          <w:vertAlign w:val="subscript"/>
          <w:lang w:eastAsia="en-US"/>
        </w:rPr>
        <w:t>2</w:t>
      </w:r>
      <w:r>
        <w:rPr>
          <w:bCs w:val="0"/>
          <w:i w:val="0"/>
          <w:iCs/>
          <w:lang w:eastAsia="en-US"/>
        </w:rPr>
        <w:t xml:space="preserve"> 90-C5</w:t>
      </w:r>
      <w:r>
        <w:rPr>
          <w:i w:val="0"/>
          <w:iCs/>
        </w:rPr>
        <w:t>S</w:t>
      </w:r>
      <w:r>
        <w:rPr>
          <w:i w:val="0"/>
          <w:iCs/>
          <w:vertAlign w:val="subscript"/>
        </w:rPr>
        <w:t>200</w:t>
      </w:r>
      <w:r>
        <w:rPr>
          <w:b w:val="0"/>
          <w:bCs w:val="0"/>
          <w:i w:val="0"/>
          <w:iCs/>
          <w:lang w:eastAsia="en-US"/>
        </w:rPr>
        <w:t>.</w:t>
      </w:r>
    </w:p>
    <w:p w14:paraId="4C48FEA5" w14:textId="77777777" w:rsidR="001C08A5" w:rsidRDefault="00000000">
      <w:pPr>
        <w:pStyle w:val="BodyText"/>
        <w:ind w:firstLine="680"/>
        <w:rPr>
          <w:b w:val="0"/>
          <w:i w:val="0"/>
          <w:iCs/>
        </w:rPr>
      </w:pPr>
      <w:r>
        <w:rPr>
          <w:bCs w:val="0"/>
          <w:i w:val="0"/>
          <w:iCs/>
        </w:rPr>
        <w:tab/>
        <w:t>(3)</w:t>
      </w:r>
      <w:r>
        <w:rPr>
          <w:b w:val="0"/>
          <w:i w:val="0"/>
          <w:iCs/>
        </w:rPr>
        <w:t xml:space="preserve"> Camerele pentru gunoi şi anexele gospodăreşti (boxe ale locatarilor), se compartimentează faţă de parcaj cu pereţi rezistenţi la foc </w:t>
      </w:r>
      <w:r>
        <w:rPr>
          <w:bCs w:val="0"/>
          <w:i w:val="0"/>
          <w:iCs/>
        </w:rPr>
        <w:t>EI 120</w:t>
      </w:r>
      <w:r>
        <w:rPr>
          <w:b w:val="0"/>
          <w:i w:val="0"/>
          <w:iCs/>
        </w:rPr>
        <w:t xml:space="preserve">, iar golurile de comunicare se protejează cu uşi rezistente la foc și etanșe la fum </w:t>
      </w:r>
      <w:r>
        <w:rPr>
          <w:bCs w:val="0"/>
          <w:i w:val="0"/>
          <w:iCs/>
          <w:lang w:eastAsia="en-US"/>
        </w:rPr>
        <w:t>EI</w:t>
      </w:r>
      <w:r>
        <w:rPr>
          <w:bCs w:val="0"/>
          <w:i w:val="0"/>
          <w:iCs/>
          <w:vertAlign w:val="subscript"/>
          <w:lang w:eastAsia="en-US"/>
        </w:rPr>
        <w:t>2</w:t>
      </w:r>
      <w:r>
        <w:rPr>
          <w:bCs w:val="0"/>
          <w:i w:val="0"/>
          <w:iCs/>
          <w:lang w:eastAsia="en-US"/>
        </w:rPr>
        <w:t xml:space="preserve"> 90-C5</w:t>
      </w:r>
      <w:r>
        <w:rPr>
          <w:bCs w:val="0"/>
          <w:i w:val="0"/>
          <w:iCs/>
        </w:rPr>
        <w:t>S</w:t>
      </w:r>
      <w:r>
        <w:rPr>
          <w:bCs w:val="0"/>
          <w:i w:val="0"/>
          <w:iCs/>
          <w:vertAlign w:val="subscript"/>
        </w:rPr>
        <w:t>200</w:t>
      </w:r>
      <w:r>
        <w:rPr>
          <w:b w:val="0"/>
          <w:i w:val="0"/>
          <w:iCs/>
          <w:lang w:eastAsia="en-US"/>
        </w:rPr>
        <w:t>.</w:t>
      </w:r>
    </w:p>
    <w:p w14:paraId="275DDBBB" w14:textId="77777777" w:rsidR="001C08A5" w:rsidRDefault="00000000">
      <w:pPr>
        <w:ind w:firstLine="708"/>
        <w:jc w:val="both"/>
        <w:rPr>
          <w:sz w:val="24"/>
          <w:szCs w:val="24"/>
        </w:rPr>
      </w:pPr>
      <w:r>
        <w:rPr>
          <w:b/>
          <w:sz w:val="24"/>
          <w:szCs w:val="24"/>
        </w:rPr>
        <w:tab/>
        <w:t>(4)</w:t>
      </w:r>
      <w:r>
        <w:rPr>
          <w:sz w:val="24"/>
          <w:szCs w:val="24"/>
        </w:rPr>
        <w:t xml:space="preserve"> Spaţiile de supraveghere, camerele de plată şi birourile de exploatare ale parcajului, se realizează cu structuri din profile având clasa de reacţie la foc </w:t>
      </w:r>
      <w:r>
        <w:rPr>
          <w:b/>
          <w:sz w:val="24"/>
          <w:szCs w:val="24"/>
        </w:rPr>
        <w:t>A1</w:t>
      </w:r>
      <w:r>
        <w:rPr>
          <w:sz w:val="24"/>
          <w:szCs w:val="24"/>
        </w:rPr>
        <w:t xml:space="preserve"> sau</w:t>
      </w:r>
      <w:r>
        <w:rPr>
          <w:b/>
          <w:sz w:val="24"/>
          <w:szCs w:val="24"/>
        </w:rPr>
        <w:t xml:space="preserve"> A2-s1d0</w:t>
      </w:r>
      <w:r>
        <w:rPr>
          <w:sz w:val="24"/>
          <w:szCs w:val="24"/>
        </w:rPr>
        <w:t xml:space="preserve"> și panouri de umplere din elemente de vitraj </w:t>
      </w:r>
      <w:r>
        <w:rPr>
          <w:iCs/>
          <w:sz w:val="24"/>
          <w:szCs w:val="24"/>
        </w:rPr>
        <w:t>(din sticlă)</w:t>
      </w:r>
      <w:r>
        <w:rPr>
          <w:sz w:val="24"/>
          <w:szCs w:val="24"/>
        </w:rPr>
        <w:t xml:space="preserve"> simplu sau izolant ori din produse clasa de reacţie la foc  </w:t>
      </w:r>
      <w:r>
        <w:rPr>
          <w:b/>
          <w:sz w:val="24"/>
          <w:szCs w:val="24"/>
        </w:rPr>
        <w:t xml:space="preserve">A1 </w:t>
      </w:r>
      <w:r>
        <w:rPr>
          <w:sz w:val="24"/>
          <w:szCs w:val="24"/>
        </w:rPr>
        <w:t xml:space="preserve">sau </w:t>
      </w:r>
      <w:r>
        <w:rPr>
          <w:b/>
          <w:sz w:val="24"/>
          <w:szCs w:val="24"/>
        </w:rPr>
        <w:t>A2-s1d0</w:t>
      </w:r>
      <w:r>
        <w:rPr>
          <w:sz w:val="24"/>
          <w:szCs w:val="24"/>
        </w:rPr>
        <w:t>.</w:t>
      </w:r>
    </w:p>
    <w:p w14:paraId="56C35BF7" w14:textId="77777777" w:rsidR="001C08A5" w:rsidRDefault="00000000">
      <w:pPr>
        <w:pStyle w:val="BodyText25"/>
        <w:tabs>
          <w:tab w:val="clear" w:pos="567"/>
        </w:tabs>
        <w:overflowPunct/>
        <w:ind w:firstLine="680"/>
        <w:textAlignment w:val="auto"/>
        <w:rPr>
          <w:rFonts w:ascii="Times New Roman" w:eastAsia="Times New Roman" w:hAnsi="Times New Roman" w:cs="Times New Roman"/>
        </w:rPr>
      </w:pPr>
      <w:r>
        <w:rPr>
          <w:rFonts w:ascii="Times New Roman" w:eastAsia="Times New Roman" w:hAnsi="Times New Roman" w:cs="Times New Roman"/>
          <w:b/>
        </w:rPr>
        <w:tab/>
        <w:t>(5)</w:t>
      </w:r>
      <w:r>
        <w:rPr>
          <w:rFonts w:ascii="Times New Roman" w:eastAsia="Times New Roman" w:hAnsi="Times New Roman" w:cs="Times New Roman"/>
        </w:rPr>
        <w:t xml:space="preserve"> Pereţii puţului ascensoarelor de persoane sau marfă din parcajele supraterane cu peste </w:t>
      </w:r>
      <w:r>
        <w:rPr>
          <w:rFonts w:ascii="Times New Roman" w:eastAsia="Times New Roman" w:hAnsi="Times New Roman" w:cs="Times New Roman"/>
          <w:b/>
        </w:rPr>
        <w:t>10</w:t>
      </w:r>
      <w:r>
        <w:rPr>
          <w:rFonts w:ascii="Times New Roman" w:eastAsia="Times New Roman" w:hAnsi="Times New Roman" w:cs="Times New Roman"/>
        </w:rPr>
        <w:t xml:space="preserve"> autoturisme, trebuie să fie </w:t>
      </w:r>
      <w:r>
        <w:rPr>
          <w:rFonts w:ascii="Times New Roman" w:eastAsia="Times New Roman" w:hAnsi="Times New Roman" w:cs="Times New Roman"/>
          <w:b/>
        </w:rPr>
        <w:t>A1</w:t>
      </w:r>
      <w:r>
        <w:rPr>
          <w:rFonts w:ascii="Times New Roman" w:eastAsia="Times New Roman" w:hAnsi="Times New Roman" w:cs="Times New Roman"/>
        </w:rPr>
        <w:t xml:space="preserve"> sau </w:t>
      </w:r>
      <w:r>
        <w:rPr>
          <w:rFonts w:ascii="Times New Roman" w:eastAsia="Times New Roman" w:hAnsi="Times New Roman" w:cs="Times New Roman"/>
          <w:b/>
        </w:rPr>
        <w:t>A2-s1d0</w:t>
      </w:r>
      <w:r>
        <w:rPr>
          <w:rFonts w:ascii="Times New Roman" w:eastAsia="Times New Roman" w:hAnsi="Times New Roman" w:cs="Times New Roman"/>
        </w:rPr>
        <w:t xml:space="preserve">, rezistenţi la foc minimum </w:t>
      </w:r>
      <w:r>
        <w:rPr>
          <w:rFonts w:ascii="Times New Roman" w:eastAsia="Times New Roman" w:hAnsi="Times New Roman" w:cs="Times New Roman"/>
          <w:b/>
        </w:rPr>
        <w:t>REI/EI 180</w:t>
      </w:r>
      <w:r>
        <w:rPr>
          <w:rFonts w:ascii="Times New Roman" w:eastAsia="Times New Roman" w:hAnsi="Times New Roman" w:cs="Times New Roman"/>
        </w:rPr>
        <w:t>, iar golurile de acces din aceștiase</w:t>
      </w:r>
      <w:r>
        <w:rPr>
          <w:rFonts w:ascii="Times New Roman" w:hAnsi="Times New Roman" w:cs="Times New Roman"/>
        </w:rPr>
        <w:t xml:space="preserve">protejează cu încăperi tampon protejate ventilate în suprapresiune având uşi rezistente la foc și etanșe la fum </w:t>
      </w:r>
      <w:r>
        <w:rPr>
          <w:rFonts w:ascii="Times New Roman" w:hAnsi="Times New Roman" w:cs="Times New Roman"/>
          <w:b/>
        </w:rPr>
        <w:t>EI</w:t>
      </w:r>
      <w:r>
        <w:rPr>
          <w:rFonts w:ascii="Times New Roman" w:hAnsi="Times New Roman" w:cs="Times New Roman"/>
          <w:b/>
          <w:vertAlign w:val="subscript"/>
        </w:rPr>
        <w:t>2</w:t>
      </w:r>
      <w:r>
        <w:rPr>
          <w:rFonts w:ascii="Times New Roman" w:hAnsi="Times New Roman" w:cs="Times New Roman"/>
          <w:b/>
        </w:rPr>
        <w:t xml:space="preserve"> 60-C5S</w:t>
      </w:r>
      <w:r>
        <w:rPr>
          <w:rFonts w:ascii="Times New Roman" w:hAnsi="Times New Roman" w:cs="Times New Roman"/>
          <w:b/>
          <w:bCs/>
          <w:vertAlign w:val="subscript"/>
        </w:rPr>
        <w:t>200</w:t>
      </w:r>
      <w:r>
        <w:rPr>
          <w:rFonts w:ascii="Times New Roman" w:hAnsi="Times New Roman" w:cs="Times New Roman"/>
          <w:b/>
        </w:rPr>
        <w:t xml:space="preserve">, </w:t>
      </w:r>
      <w:r>
        <w:rPr>
          <w:rFonts w:ascii="Times New Roman" w:hAnsi="Times New Roman" w:cs="Times New Roman"/>
        </w:rPr>
        <w:t>dacă normativul nu stabilește condiții mai severe</w:t>
      </w:r>
      <w:r>
        <w:rPr>
          <w:rFonts w:ascii="Times New Roman" w:hAnsi="Times New Roman" w:cs="Times New Roman"/>
          <w:b/>
          <w:bCs/>
          <w:spacing w:val="2"/>
        </w:rPr>
        <w:t>.</w:t>
      </w:r>
    </w:p>
    <w:p w14:paraId="1FABF411" w14:textId="77777777" w:rsidR="001C08A5" w:rsidRDefault="00000000">
      <w:pPr>
        <w:pStyle w:val="BodyText25"/>
        <w:tabs>
          <w:tab w:val="clear" w:pos="567"/>
        </w:tabs>
        <w:overflowPunct/>
        <w:ind w:firstLine="680"/>
        <w:textAlignment w:val="auto"/>
        <w:rPr>
          <w:rFonts w:ascii="Times New Roman" w:hAnsi="Times New Roman" w:cs="Times New Roman"/>
          <w:b/>
          <w:bCs/>
          <w:spacing w:val="2"/>
        </w:rPr>
      </w:pPr>
      <w:r>
        <w:rPr>
          <w:rFonts w:ascii="Times New Roman" w:eastAsia="Times New Roman" w:hAnsi="Times New Roman" w:cs="Times New Roman"/>
          <w:b/>
        </w:rPr>
        <w:tab/>
        <w:t>(6)</w:t>
      </w:r>
      <w:r>
        <w:rPr>
          <w:rFonts w:ascii="Times New Roman" w:eastAsia="Times New Roman" w:hAnsi="Times New Roman" w:cs="Times New Roman"/>
        </w:rPr>
        <w:t xml:space="preserve"> Pereţii puţului ascensoarelor de persoane sau marfă şi pereţii caselor de scări închise din parcajele cu mai mult de </w:t>
      </w:r>
      <w:r>
        <w:rPr>
          <w:rFonts w:ascii="Times New Roman" w:eastAsia="Times New Roman" w:hAnsi="Times New Roman" w:cs="Times New Roman"/>
          <w:b/>
        </w:rPr>
        <w:t>2</w:t>
      </w:r>
      <w:r>
        <w:rPr>
          <w:rFonts w:ascii="Times New Roman" w:eastAsia="Times New Roman" w:hAnsi="Times New Roman" w:cs="Times New Roman"/>
        </w:rPr>
        <w:t xml:space="preserve"> autoturisme și maxim</w:t>
      </w:r>
      <w:r>
        <w:rPr>
          <w:rFonts w:ascii="Times New Roman" w:eastAsia="Times New Roman" w:hAnsi="Times New Roman" w:cs="Times New Roman"/>
          <w:b/>
        </w:rPr>
        <w:t xml:space="preserve"> 10</w:t>
      </w:r>
      <w:r>
        <w:rPr>
          <w:rFonts w:ascii="Times New Roman" w:eastAsia="Times New Roman" w:hAnsi="Times New Roman" w:cs="Times New Roman"/>
        </w:rPr>
        <w:t xml:space="preserve"> autoturisme, inclusiv, trebuie să fie </w:t>
      </w:r>
      <w:r>
        <w:rPr>
          <w:rFonts w:ascii="Times New Roman" w:eastAsia="Times New Roman" w:hAnsi="Times New Roman" w:cs="Times New Roman"/>
          <w:b/>
        </w:rPr>
        <w:t>A1</w:t>
      </w:r>
      <w:r>
        <w:rPr>
          <w:rFonts w:ascii="Times New Roman" w:eastAsia="Times New Roman" w:hAnsi="Times New Roman" w:cs="Times New Roman"/>
        </w:rPr>
        <w:t xml:space="preserve"> sau </w:t>
      </w:r>
      <w:r>
        <w:rPr>
          <w:rFonts w:ascii="Times New Roman" w:eastAsia="Times New Roman" w:hAnsi="Times New Roman" w:cs="Times New Roman"/>
          <w:b/>
        </w:rPr>
        <w:t>A2-s1d0</w:t>
      </w:r>
      <w:r>
        <w:rPr>
          <w:rFonts w:ascii="Times New Roman" w:eastAsia="Times New Roman" w:hAnsi="Times New Roman" w:cs="Times New Roman"/>
        </w:rPr>
        <w:t xml:space="preserve">, rezistenţi la foc minimum </w:t>
      </w:r>
      <w:r>
        <w:rPr>
          <w:rFonts w:ascii="Times New Roman" w:eastAsia="Times New Roman" w:hAnsi="Times New Roman" w:cs="Times New Roman"/>
          <w:b/>
        </w:rPr>
        <w:t>REI/EI 120,</w:t>
      </w:r>
      <w:r>
        <w:rPr>
          <w:rFonts w:ascii="Times New Roman" w:eastAsia="Times New Roman" w:hAnsi="Times New Roman" w:cs="Times New Roman"/>
        </w:rPr>
        <w:t xml:space="preserve"> iar golurile de acces din aceștiase</w:t>
      </w:r>
      <w:r>
        <w:rPr>
          <w:rFonts w:ascii="Times New Roman" w:hAnsi="Times New Roman" w:cs="Times New Roman"/>
        </w:rPr>
        <w:t xml:space="preserve">protejează cu încăperi tampon protejate ventilate în suprapresiune având uşi rezistente la foc și etanșe la fum </w:t>
      </w:r>
      <w:r>
        <w:rPr>
          <w:rFonts w:ascii="Times New Roman" w:hAnsi="Times New Roman" w:cs="Times New Roman"/>
          <w:b/>
        </w:rPr>
        <w:t>EI</w:t>
      </w:r>
      <w:r>
        <w:rPr>
          <w:rFonts w:ascii="Times New Roman" w:hAnsi="Times New Roman" w:cs="Times New Roman"/>
          <w:b/>
          <w:vertAlign w:val="subscript"/>
        </w:rPr>
        <w:t>2</w:t>
      </w:r>
      <w:r>
        <w:rPr>
          <w:rFonts w:ascii="Times New Roman" w:hAnsi="Times New Roman" w:cs="Times New Roman"/>
          <w:b/>
        </w:rPr>
        <w:t xml:space="preserve"> 60-C5S</w:t>
      </w:r>
      <w:r>
        <w:rPr>
          <w:rFonts w:ascii="Times New Roman" w:hAnsi="Times New Roman" w:cs="Times New Roman"/>
          <w:b/>
          <w:bCs/>
          <w:vertAlign w:val="subscript"/>
        </w:rPr>
        <w:t>200</w:t>
      </w:r>
      <w:r>
        <w:rPr>
          <w:rFonts w:ascii="Times New Roman" w:hAnsi="Times New Roman" w:cs="Times New Roman"/>
          <w:b/>
        </w:rPr>
        <w:t xml:space="preserve">, </w:t>
      </w:r>
      <w:r>
        <w:rPr>
          <w:rFonts w:ascii="Times New Roman" w:hAnsi="Times New Roman" w:cs="Times New Roman"/>
        </w:rPr>
        <w:t>dacă normativul nu stabilește condiții mai severe</w:t>
      </w:r>
      <w:r>
        <w:rPr>
          <w:rFonts w:ascii="Times New Roman" w:hAnsi="Times New Roman" w:cs="Times New Roman"/>
          <w:b/>
          <w:bCs/>
          <w:spacing w:val="2"/>
        </w:rPr>
        <w:t>.</w:t>
      </w:r>
    </w:p>
    <w:p w14:paraId="22BEE1C8" w14:textId="77777777" w:rsidR="001C08A5" w:rsidRDefault="001C08A5">
      <w:pPr>
        <w:jc w:val="both"/>
        <w:rPr>
          <w:sz w:val="24"/>
          <w:szCs w:val="24"/>
        </w:rPr>
      </w:pPr>
    </w:p>
    <w:p w14:paraId="0FE87294" w14:textId="77777777" w:rsidR="001C08A5" w:rsidRDefault="00000000">
      <w:pPr>
        <w:jc w:val="both"/>
        <w:rPr>
          <w:b/>
          <w:sz w:val="24"/>
          <w:szCs w:val="24"/>
        </w:rPr>
      </w:pPr>
      <w:r>
        <w:rPr>
          <w:sz w:val="24"/>
          <w:szCs w:val="24"/>
        </w:rPr>
        <w:tab/>
      </w:r>
      <w:r>
        <w:rPr>
          <w:b/>
          <w:sz w:val="24"/>
          <w:szCs w:val="24"/>
        </w:rPr>
        <w:t xml:space="preserve">Art. </w:t>
      </w:r>
      <w:r>
        <w:rPr>
          <w:b/>
          <w:bCs/>
          <w:sz w:val="24"/>
          <w:szCs w:val="24"/>
        </w:rPr>
        <w:t>3.2.11.</w:t>
      </w:r>
      <w:r>
        <w:rPr>
          <w:b/>
          <w:sz w:val="24"/>
          <w:szCs w:val="24"/>
        </w:rPr>
        <w:t>16. (1)</w:t>
      </w:r>
      <w:r>
        <w:rPr>
          <w:sz w:val="24"/>
          <w:szCs w:val="24"/>
        </w:rPr>
        <w:t xml:space="preserve"> Pentru limitarea propagării uşoare a incendiilor între nivelurile de parcare supraterane închise</w:t>
      </w:r>
      <w:r>
        <w:rPr>
          <w:b/>
          <w:sz w:val="24"/>
          <w:szCs w:val="24"/>
        </w:rPr>
        <w:t xml:space="preserve"> și </w:t>
      </w:r>
      <w:r>
        <w:rPr>
          <w:bCs/>
          <w:sz w:val="24"/>
          <w:szCs w:val="24"/>
        </w:rPr>
        <w:t xml:space="preserve">a celor subterane închise cu maximum </w:t>
      </w:r>
      <w:r>
        <w:rPr>
          <w:b/>
          <w:sz w:val="24"/>
          <w:szCs w:val="24"/>
        </w:rPr>
        <w:t>10</w:t>
      </w:r>
      <w:r>
        <w:rPr>
          <w:bCs/>
          <w:sz w:val="24"/>
          <w:szCs w:val="24"/>
        </w:rPr>
        <w:t xml:space="preserve"> autoturisme</w:t>
      </w:r>
      <w:r>
        <w:rPr>
          <w:b/>
          <w:sz w:val="24"/>
          <w:szCs w:val="24"/>
        </w:rPr>
        <w:t xml:space="preserve">, </w:t>
      </w:r>
      <w:r>
        <w:rPr>
          <w:sz w:val="24"/>
          <w:szCs w:val="24"/>
        </w:rPr>
        <w:t>rampele interioare pentru circulaţia autoturismelor trebuie să îndeplinească următoarele condiţii:</w:t>
      </w:r>
    </w:p>
    <w:p w14:paraId="63803EBA" w14:textId="77777777" w:rsidR="001C08A5" w:rsidRDefault="00000000">
      <w:pPr>
        <w:ind w:left="720" w:firstLine="720"/>
        <w:jc w:val="both"/>
        <w:rPr>
          <w:b/>
          <w:sz w:val="24"/>
          <w:szCs w:val="24"/>
        </w:rPr>
      </w:pPr>
      <w:r>
        <w:rPr>
          <w:b/>
          <w:sz w:val="24"/>
          <w:szCs w:val="24"/>
        </w:rPr>
        <w:t xml:space="preserve">a) </w:t>
      </w:r>
      <w:r>
        <w:rPr>
          <w:sz w:val="24"/>
          <w:szCs w:val="24"/>
        </w:rPr>
        <w:t xml:space="preserve">să fie delimitate cu pereţi laterali minimum </w:t>
      </w:r>
      <w:r>
        <w:rPr>
          <w:b/>
          <w:sz w:val="24"/>
          <w:szCs w:val="24"/>
        </w:rPr>
        <w:t xml:space="preserve">EI 60 </w:t>
      </w:r>
      <w:r>
        <w:rPr>
          <w:sz w:val="24"/>
          <w:szCs w:val="24"/>
        </w:rPr>
        <w:t xml:space="preserve">sau atunci când nu se prevăd pereţi laterali  să se protejeze golurile respective cu perdele de sprinklere deschise, dacă parcajul este echipat cu instalaţii  de stingere a incendiilor tip sprinkler, şi diafragme </w:t>
      </w:r>
      <w:r>
        <w:rPr>
          <w:b/>
          <w:sz w:val="24"/>
          <w:szCs w:val="24"/>
          <w:lang w:val="en-US"/>
        </w:rPr>
        <w:t>EI 15</w:t>
      </w:r>
      <w:r>
        <w:rPr>
          <w:sz w:val="24"/>
          <w:szCs w:val="24"/>
        </w:rPr>
        <w:t xml:space="preserve">de mimimum </w:t>
      </w:r>
      <w:r>
        <w:rPr>
          <w:b/>
          <w:sz w:val="24"/>
          <w:szCs w:val="24"/>
        </w:rPr>
        <w:t>50 cm</w:t>
      </w:r>
      <w:r>
        <w:rPr>
          <w:sz w:val="24"/>
          <w:szCs w:val="24"/>
        </w:rPr>
        <w:t xml:space="preserve"> înălţime dispuse sub planşeele dintre nivelurile de parcare;</w:t>
      </w:r>
    </w:p>
    <w:p w14:paraId="49F350CB" w14:textId="77777777" w:rsidR="001C08A5" w:rsidRDefault="00000000">
      <w:pPr>
        <w:ind w:left="720" w:firstLine="720"/>
        <w:jc w:val="both"/>
        <w:rPr>
          <w:sz w:val="24"/>
          <w:szCs w:val="24"/>
        </w:rPr>
      </w:pPr>
      <w:r>
        <w:rPr>
          <w:b/>
          <w:sz w:val="24"/>
          <w:szCs w:val="24"/>
        </w:rPr>
        <w:t>b)</w:t>
      </w:r>
      <w:r>
        <w:rPr>
          <w:sz w:val="24"/>
          <w:szCs w:val="24"/>
        </w:rPr>
        <w:t xml:space="preserve"> golurile de acces ale autoturismelor pe rampele interioare, la fiecare nivel de parcare se protejază cu perdele de sprinklere deschise, fără a fi obligatorie prevederea diafragmelor, în toate cazurile în care parcajul este echipat cu instalaţii  de stingere a incendiilor tip sprinkler.</w:t>
      </w:r>
    </w:p>
    <w:p w14:paraId="166F52D1" w14:textId="77777777" w:rsidR="001C08A5" w:rsidRDefault="00000000">
      <w:pPr>
        <w:ind w:firstLine="720"/>
        <w:jc w:val="both"/>
        <w:rPr>
          <w:sz w:val="24"/>
          <w:szCs w:val="24"/>
        </w:rPr>
      </w:pPr>
      <w:r>
        <w:rPr>
          <w:b/>
          <w:sz w:val="24"/>
          <w:szCs w:val="24"/>
        </w:rPr>
        <w:t xml:space="preserve">(2) </w:t>
      </w:r>
      <w:r>
        <w:rPr>
          <w:sz w:val="24"/>
          <w:szCs w:val="24"/>
        </w:rPr>
        <w:t>Perdelele de sprinklere deschise, se dimensionează și realizează conform prevederilor reglementărilor tehnice de specialitate, asigurându-se:</w:t>
      </w:r>
    </w:p>
    <w:p w14:paraId="47C8D1F3" w14:textId="77777777" w:rsidR="001C08A5" w:rsidRDefault="00000000">
      <w:pPr>
        <w:ind w:firstLine="705"/>
        <w:jc w:val="both"/>
        <w:rPr>
          <w:sz w:val="24"/>
          <w:szCs w:val="24"/>
        </w:rPr>
      </w:pPr>
      <w:r>
        <w:rPr>
          <w:b/>
          <w:bCs/>
          <w:sz w:val="24"/>
          <w:szCs w:val="24"/>
        </w:rPr>
        <w:tab/>
      </w:r>
      <w:r>
        <w:rPr>
          <w:b/>
          <w:bCs/>
          <w:sz w:val="24"/>
          <w:szCs w:val="24"/>
        </w:rPr>
        <w:tab/>
        <w:t>a)</w:t>
      </w:r>
      <w:r>
        <w:rPr>
          <w:sz w:val="24"/>
          <w:szCs w:val="24"/>
        </w:rPr>
        <w:t xml:space="preserve"> intensitatea de stropire normată;</w:t>
      </w:r>
    </w:p>
    <w:p w14:paraId="7E2B2FB0" w14:textId="77777777" w:rsidR="001C08A5" w:rsidRDefault="00000000">
      <w:pPr>
        <w:ind w:firstLine="720"/>
        <w:jc w:val="both"/>
        <w:rPr>
          <w:sz w:val="24"/>
          <w:szCs w:val="24"/>
        </w:rPr>
      </w:pPr>
      <w:r>
        <w:rPr>
          <w:b/>
          <w:bCs/>
          <w:sz w:val="24"/>
          <w:szCs w:val="24"/>
        </w:rPr>
        <w:tab/>
        <w:t>b)</w:t>
      </w:r>
      <w:r>
        <w:rPr>
          <w:sz w:val="24"/>
          <w:szCs w:val="24"/>
        </w:rPr>
        <w:t xml:space="preserve"> timpul teoretic de funcţionare de </w:t>
      </w:r>
      <w:r>
        <w:rPr>
          <w:b/>
          <w:sz w:val="24"/>
          <w:szCs w:val="24"/>
        </w:rPr>
        <w:t>60 minute</w:t>
      </w:r>
      <w:r>
        <w:rPr>
          <w:sz w:val="24"/>
          <w:szCs w:val="24"/>
        </w:rPr>
        <w:t>.</w:t>
      </w:r>
    </w:p>
    <w:p w14:paraId="59D18007" w14:textId="77777777" w:rsidR="001C08A5" w:rsidRDefault="001C08A5">
      <w:pPr>
        <w:jc w:val="both"/>
        <w:rPr>
          <w:b/>
          <w:sz w:val="24"/>
          <w:szCs w:val="24"/>
        </w:rPr>
      </w:pPr>
    </w:p>
    <w:p w14:paraId="55296794" w14:textId="77777777" w:rsidR="001C08A5" w:rsidRDefault="00000000">
      <w:pPr>
        <w:jc w:val="both"/>
        <w:rPr>
          <w:rFonts w:eastAsia="ArialMT"/>
          <w:sz w:val="24"/>
          <w:szCs w:val="24"/>
        </w:rPr>
      </w:pPr>
      <w:r>
        <w:rPr>
          <w:sz w:val="24"/>
          <w:szCs w:val="24"/>
        </w:rPr>
        <w:tab/>
      </w:r>
      <w:r>
        <w:rPr>
          <w:b/>
          <w:sz w:val="24"/>
          <w:szCs w:val="24"/>
        </w:rPr>
        <w:t xml:space="preserve">Art. </w:t>
      </w:r>
      <w:r>
        <w:rPr>
          <w:b/>
          <w:bCs/>
          <w:sz w:val="24"/>
          <w:szCs w:val="24"/>
        </w:rPr>
        <w:t>3.2.11.</w:t>
      </w:r>
      <w:r>
        <w:rPr>
          <w:b/>
          <w:sz w:val="24"/>
          <w:szCs w:val="24"/>
        </w:rPr>
        <w:t xml:space="preserve">17. </w:t>
      </w:r>
      <w:r>
        <w:rPr>
          <w:rFonts w:eastAsia="ArialMT"/>
          <w:b/>
          <w:bCs/>
          <w:sz w:val="24"/>
          <w:szCs w:val="24"/>
        </w:rPr>
        <w:t>(1)</w:t>
      </w:r>
      <w:r>
        <w:rPr>
          <w:rFonts w:eastAsia="ArialMT"/>
          <w:sz w:val="24"/>
          <w:szCs w:val="24"/>
        </w:rPr>
        <w:t xml:space="preserve"> Porțiunile de parcaj suprateran prevăzute numai pentru circulația autoturismelor și care constituie tuneluri închise de circulație a acestora cu lungimea mai mare de </w:t>
      </w:r>
      <w:r>
        <w:rPr>
          <w:rFonts w:eastAsia="ArialMT"/>
          <w:b/>
          <w:bCs/>
          <w:sz w:val="24"/>
          <w:szCs w:val="24"/>
        </w:rPr>
        <w:t>50,00 m</w:t>
      </w:r>
      <w:r>
        <w:rPr>
          <w:rFonts w:eastAsia="ArialMT"/>
          <w:sz w:val="24"/>
          <w:szCs w:val="24"/>
        </w:rPr>
        <w:t xml:space="preserve"> vor respecta următoarele:</w:t>
      </w:r>
    </w:p>
    <w:p w14:paraId="30778D35" w14:textId="77777777" w:rsidR="001C08A5" w:rsidRDefault="00000000">
      <w:pPr>
        <w:ind w:left="720" w:firstLine="720"/>
        <w:jc w:val="both"/>
        <w:rPr>
          <w:rFonts w:eastAsia="ArialMT"/>
          <w:sz w:val="24"/>
          <w:szCs w:val="24"/>
        </w:rPr>
      </w:pPr>
      <w:r>
        <w:rPr>
          <w:rFonts w:eastAsia="ArialMT"/>
          <w:b/>
          <w:bCs/>
          <w:sz w:val="24"/>
          <w:szCs w:val="24"/>
        </w:rPr>
        <w:t>a)</w:t>
      </w:r>
      <w:r>
        <w:rPr>
          <w:rFonts w:eastAsia="ArialMT"/>
          <w:sz w:val="24"/>
          <w:szCs w:val="24"/>
        </w:rPr>
        <w:t xml:space="preserve"> lățimea tunelului va fi astfel dimensionată încât să permită ocupanților să iasă din autoturisme;</w:t>
      </w:r>
    </w:p>
    <w:p w14:paraId="7570E811" w14:textId="77777777" w:rsidR="001C08A5" w:rsidRDefault="00000000">
      <w:pPr>
        <w:ind w:left="720" w:firstLine="720"/>
        <w:jc w:val="both"/>
        <w:rPr>
          <w:rFonts w:eastAsia="ArialMT"/>
          <w:sz w:val="24"/>
          <w:szCs w:val="24"/>
        </w:rPr>
      </w:pPr>
      <w:r>
        <w:rPr>
          <w:rFonts w:eastAsia="ArialMT"/>
          <w:b/>
          <w:bCs/>
          <w:sz w:val="24"/>
          <w:szCs w:val="24"/>
        </w:rPr>
        <w:t>b)</w:t>
      </w:r>
      <w:r>
        <w:rPr>
          <w:rFonts w:eastAsia="ArialMT"/>
          <w:sz w:val="24"/>
          <w:szCs w:val="24"/>
        </w:rPr>
        <w:t xml:space="preserve"> distanța maximă până la o ieșire de evacuare a utilizatorilor nu trebuie să depășească </w:t>
      </w:r>
      <w:r>
        <w:rPr>
          <w:rFonts w:eastAsia="ArialMT"/>
          <w:b/>
          <w:bCs/>
          <w:sz w:val="24"/>
          <w:szCs w:val="24"/>
        </w:rPr>
        <w:t>40,00 m</w:t>
      </w:r>
      <w:r>
        <w:rPr>
          <w:rFonts w:eastAsia="ArialMT"/>
          <w:sz w:val="24"/>
          <w:szCs w:val="24"/>
        </w:rPr>
        <w:t>;</w:t>
      </w:r>
    </w:p>
    <w:p w14:paraId="0783CEC3" w14:textId="77777777" w:rsidR="001C08A5" w:rsidRDefault="00000000">
      <w:pPr>
        <w:ind w:left="720" w:firstLine="720"/>
        <w:jc w:val="both"/>
        <w:rPr>
          <w:rFonts w:eastAsia="ArialMT"/>
          <w:sz w:val="24"/>
          <w:szCs w:val="24"/>
        </w:rPr>
      </w:pPr>
      <w:r>
        <w:rPr>
          <w:rFonts w:eastAsia="ArialMT"/>
          <w:b/>
          <w:bCs/>
          <w:sz w:val="24"/>
          <w:szCs w:val="24"/>
        </w:rPr>
        <w:t>c)</w:t>
      </w:r>
      <w:r>
        <w:rPr>
          <w:rFonts w:eastAsia="ArialMT"/>
          <w:sz w:val="24"/>
          <w:szCs w:val="24"/>
        </w:rPr>
        <w:t xml:space="preserve"> atunci când parcajul este echipat cu sistem de evacuare a fumului prin </w:t>
      </w:r>
      <w:r>
        <w:rPr>
          <w:sz w:val="24"/>
          <w:szCs w:val="24"/>
        </w:rPr>
        <w:t>ventilare mecanică</w:t>
      </w:r>
      <w:r>
        <w:rPr>
          <w:rFonts w:eastAsia="ArialMT"/>
          <w:sz w:val="24"/>
          <w:szCs w:val="24"/>
        </w:rPr>
        <w:t xml:space="preserve">, se va asigura evacuarea unui volum de </w:t>
      </w:r>
      <w:r>
        <w:rPr>
          <w:rFonts w:eastAsia="ArialMT"/>
          <w:b/>
          <w:bCs/>
          <w:sz w:val="24"/>
          <w:szCs w:val="24"/>
        </w:rPr>
        <w:t>900 m</w:t>
      </w:r>
      <w:r>
        <w:rPr>
          <w:rFonts w:eastAsia="ArialMT"/>
          <w:b/>
          <w:bCs/>
          <w:sz w:val="24"/>
          <w:szCs w:val="24"/>
          <w:vertAlign w:val="superscript"/>
        </w:rPr>
        <w:t>3</w:t>
      </w:r>
      <w:r>
        <w:rPr>
          <w:rFonts w:eastAsia="ArialMT"/>
          <w:sz w:val="24"/>
          <w:szCs w:val="24"/>
        </w:rPr>
        <w:t xml:space="preserve">/oră pe fracțiuni (tronsoane) de </w:t>
      </w:r>
      <w:r>
        <w:rPr>
          <w:rFonts w:eastAsia="ArialMT"/>
          <w:b/>
          <w:bCs/>
          <w:sz w:val="24"/>
          <w:szCs w:val="24"/>
        </w:rPr>
        <w:t>5,00 m</w:t>
      </w:r>
      <w:r>
        <w:rPr>
          <w:rFonts w:eastAsia="ArialMT"/>
          <w:sz w:val="24"/>
          <w:szCs w:val="24"/>
        </w:rPr>
        <w:t xml:space="preserve"> din lungimea tunelului, valoare ce se poate reduce la </w:t>
      </w:r>
      <w:r>
        <w:rPr>
          <w:rFonts w:eastAsia="ArialMT"/>
          <w:b/>
          <w:bCs/>
          <w:sz w:val="24"/>
          <w:szCs w:val="24"/>
        </w:rPr>
        <w:t>600 m</w:t>
      </w:r>
      <w:r>
        <w:rPr>
          <w:rFonts w:eastAsia="ArialMT"/>
          <w:b/>
          <w:bCs/>
          <w:sz w:val="24"/>
          <w:szCs w:val="24"/>
          <w:vertAlign w:val="superscript"/>
        </w:rPr>
        <w:t>3</w:t>
      </w:r>
      <w:r>
        <w:rPr>
          <w:rFonts w:eastAsia="ArialMT"/>
          <w:sz w:val="24"/>
          <w:szCs w:val="24"/>
        </w:rPr>
        <w:t xml:space="preserve">/oră pe fracțiuni de </w:t>
      </w:r>
      <w:r>
        <w:rPr>
          <w:rFonts w:eastAsia="ArialMT"/>
          <w:b/>
          <w:bCs/>
          <w:sz w:val="24"/>
          <w:szCs w:val="24"/>
        </w:rPr>
        <w:t>5,00 m</w:t>
      </w:r>
      <w:r>
        <w:rPr>
          <w:rFonts w:eastAsia="ArialMT"/>
          <w:sz w:val="24"/>
          <w:szCs w:val="24"/>
        </w:rPr>
        <w:t xml:space="preserve"> din lungimea tunelului, dacă parcajul este echipat cu instalație automată de stingere a incendiilor tip sprinkler;</w:t>
      </w:r>
    </w:p>
    <w:p w14:paraId="669FC89C" w14:textId="77777777" w:rsidR="001C08A5" w:rsidRDefault="00000000">
      <w:pPr>
        <w:ind w:left="720" w:firstLine="720"/>
        <w:jc w:val="both"/>
        <w:rPr>
          <w:rFonts w:eastAsia="ArialMT"/>
          <w:sz w:val="24"/>
          <w:szCs w:val="24"/>
        </w:rPr>
      </w:pPr>
      <w:r>
        <w:rPr>
          <w:rFonts w:eastAsia="ArialMT"/>
          <w:b/>
          <w:bCs/>
          <w:sz w:val="24"/>
          <w:szCs w:val="24"/>
        </w:rPr>
        <w:lastRenderedPageBreak/>
        <w:t>d)</w:t>
      </w:r>
      <w:r>
        <w:rPr>
          <w:rFonts w:eastAsia="ArialMT"/>
          <w:sz w:val="24"/>
          <w:szCs w:val="24"/>
        </w:rPr>
        <w:t xml:space="preserve"> să fie prevăzut iluminat de siguranță;</w:t>
      </w:r>
    </w:p>
    <w:p w14:paraId="1ADFE43D" w14:textId="77777777" w:rsidR="001C08A5" w:rsidRDefault="00000000">
      <w:pPr>
        <w:ind w:left="720" w:firstLine="720"/>
        <w:jc w:val="both"/>
        <w:rPr>
          <w:rFonts w:eastAsia="ArialMT"/>
          <w:sz w:val="24"/>
          <w:szCs w:val="24"/>
        </w:rPr>
      </w:pPr>
      <w:r>
        <w:rPr>
          <w:rFonts w:eastAsia="ArialMT"/>
          <w:b/>
          <w:bCs/>
          <w:sz w:val="24"/>
          <w:szCs w:val="24"/>
        </w:rPr>
        <w:t>e)</w:t>
      </w:r>
      <w:r>
        <w:rPr>
          <w:rFonts w:eastAsia="ArialMT"/>
          <w:sz w:val="24"/>
          <w:szCs w:val="24"/>
        </w:rPr>
        <w:t xml:space="preserve"> în cazul în care parcajul este echipat cu instalații automate de semnalizare și de stingere a incendiilor tip sprinkler, acestea vor proteja și tot tunelul prevăzut pentru circulația autoturismelor.</w:t>
      </w:r>
    </w:p>
    <w:p w14:paraId="1A43AA4A" w14:textId="77777777" w:rsidR="001C08A5" w:rsidRDefault="00000000">
      <w:pPr>
        <w:ind w:firstLine="720"/>
        <w:jc w:val="both"/>
        <w:rPr>
          <w:rFonts w:eastAsia="ArialMT"/>
          <w:sz w:val="24"/>
          <w:szCs w:val="24"/>
        </w:rPr>
      </w:pPr>
      <w:r>
        <w:rPr>
          <w:rFonts w:eastAsia="ArialMT"/>
          <w:b/>
          <w:bCs/>
          <w:sz w:val="24"/>
          <w:szCs w:val="24"/>
        </w:rPr>
        <w:t>(2)</w:t>
      </w:r>
      <w:r>
        <w:rPr>
          <w:rFonts w:eastAsia="ArialMT"/>
          <w:sz w:val="24"/>
          <w:szCs w:val="24"/>
        </w:rPr>
        <w:t xml:space="preserve"> Evacuarea fumului se poate realiza prin instalații proprii sau cu instalațiile de evacuare aferente parcajului, cu condiția să se ia în calculul acestora și debitul respectiv.</w:t>
      </w:r>
    </w:p>
    <w:p w14:paraId="30E8A037" w14:textId="77777777" w:rsidR="001C08A5" w:rsidRDefault="001C08A5">
      <w:pPr>
        <w:jc w:val="both"/>
        <w:rPr>
          <w:rFonts w:eastAsia="ArialMT"/>
          <w:sz w:val="24"/>
          <w:szCs w:val="24"/>
        </w:rPr>
      </w:pPr>
    </w:p>
    <w:p w14:paraId="675734D2" w14:textId="77777777" w:rsidR="001C08A5" w:rsidRDefault="00000000">
      <w:pPr>
        <w:ind w:firstLine="720"/>
        <w:jc w:val="both"/>
        <w:rPr>
          <w:sz w:val="24"/>
          <w:szCs w:val="24"/>
        </w:rPr>
      </w:pPr>
      <w:r>
        <w:rPr>
          <w:b/>
          <w:sz w:val="24"/>
          <w:szCs w:val="24"/>
        </w:rPr>
        <w:t xml:space="preserve">Art. </w:t>
      </w:r>
      <w:r>
        <w:rPr>
          <w:b/>
          <w:bCs/>
          <w:sz w:val="24"/>
          <w:szCs w:val="24"/>
        </w:rPr>
        <w:t>3.2.11.</w:t>
      </w:r>
      <w:r>
        <w:rPr>
          <w:b/>
          <w:sz w:val="24"/>
          <w:szCs w:val="24"/>
        </w:rPr>
        <w:t xml:space="preserve">18. </w:t>
      </w:r>
      <w:r>
        <w:rPr>
          <w:b/>
          <w:sz w:val="24"/>
          <w:szCs w:val="24"/>
          <w:lang w:eastAsia="ro-RO"/>
        </w:rPr>
        <w:t>(</w:t>
      </w:r>
      <w:r>
        <w:rPr>
          <w:b/>
          <w:sz w:val="24"/>
          <w:szCs w:val="24"/>
          <w:lang w:val="en-US" w:eastAsia="ro-RO"/>
        </w:rPr>
        <w:t>1</w:t>
      </w:r>
      <w:r>
        <w:rPr>
          <w:b/>
          <w:sz w:val="24"/>
          <w:szCs w:val="24"/>
          <w:lang w:eastAsia="ro-RO"/>
        </w:rPr>
        <w:t>)</w:t>
      </w:r>
      <w:r>
        <w:rPr>
          <w:sz w:val="24"/>
          <w:szCs w:val="24"/>
          <w:lang w:eastAsia="ro-RO"/>
        </w:rPr>
        <w:t xml:space="preserve"> Platformele elevatoare şi ascensoarele pentru autoturisme se proiectează şi se realizează conform prevederilor reglementărilor tehnice specifice, respectându-se şi următoarele:</w:t>
      </w:r>
    </w:p>
    <w:p w14:paraId="17924A23" w14:textId="77777777" w:rsidR="001C08A5" w:rsidRDefault="00000000">
      <w:pPr>
        <w:autoSpaceDE w:val="0"/>
        <w:autoSpaceDN w:val="0"/>
        <w:adjustRightInd w:val="0"/>
        <w:ind w:left="720" w:firstLine="720"/>
        <w:jc w:val="both"/>
        <w:rPr>
          <w:b/>
          <w:sz w:val="24"/>
          <w:szCs w:val="24"/>
          <w:lang w:eastAsia="ro-RO"/>
        </w:rPr>
      </w:pPr>
      <w:r>
        <w:rPr>
          <w:b/>
          <w:sz w:val="24"/>
          <w:szCs w:val="24"/>
          <w:lang w:eastAsia="ro-RO"/>
        </w:rPr>
        <w:t>a)</w:t>
      </w:r>
      <w:r>
        <w:rPr>
          <w:sz w:val="24"/>
          <w:szCs w:val="24"/>
          <w:lang w:eastAsia="ro-RO"/>
        </w:rPr>
        <w:t xml:space="preserve"> se montează în puţuri separate de restul clădirii cu pereţi rezistenţi la foc minimum </w:t>
      </w:r>
      <w:r>
        <w:rPr>
          <w:b/>
          <w:sz w:val="24"/>
          <w:szCs w:val="24"/>
          <w:lang w:eastAsia="ro-RO"/>
        </w:rPr>
        <w:t>EI 120;</w:t>
      </w:r>
    </w:p>
    <w:p w14:paraId="6232DF21" w14:textId="77777777" w:rsidR="001C08A5" w:rsidRDefault="00000000">
      <w:pPr>
        <w:autoSpaceDE w:val="0"/>
        <w:autoSpaceDN w:val="0"/>
        <w:adjustRightInd w:val="0"/>
        <w:ind w:left="720" w:firstLine="720"/>
        <w:jc w:val="both"/>
        <w:rPr>
          <w:b/>
          <w:sz w:val="24"/>
          <w:szCs w:val="24"/>
          <w:lang w:eastAsia="ro-RO"/>
        </w:rPr>
      </w:pPr>
      <w:r>
        <w:rPr>
          <w:b/>
          <w:sz w:val="24"/>
          <w:szCs w:val="24"/>
          <w:lang w:eastAsia="ro-RO"/>
        </w:rPr>
        <w:t>b)</w:t>
      </w:r>
      <w:r>
        <w:rPr>
          <w:sz w:val="24"/>
          <w:szCs w:val="24"/>
          <w:lang w:eastAsia="ro-RO"/>
        </w:rPr>
        <w:t xml:space="preserve"> ușile de </w:t>
      </w:r>
      <w:r>
        <w:rPr>
          <w:sz w:val="24"/>
          <w:szCs w:val="24"/>
          <w:lang w:val="en-US" w:eastAsia="ro-RO"/>
        </w:rPr>
        <w:t>stație</w:t>
      </w:r>
      <w:r>
        <w:rPr>
          <w:sz w:val="24"/>
          <w:szCs w:val="24"/>
          <w:lang w:eastAsia="ro-RO"/>
        </w:rPr>
        <w:t xml:space="preserve"> vor fi rezistente la foc </w:t>
      </w:r>
      <w:r>
        <w:rPr>
          <w:b/>
          <w:sz w:val="24"/>
          <w:szCs w:val="24"/>
          <w:lang w:eastAsia="ro-RO"/>
        </w:rPr>
        <w:t>EI 90</w:t>
      </w:r>
      <w:r>
        <w:rPr>
          <w:b/>
          <w:sz w:val="24"/>
          <w:szCs w:val="24"/>
          <w:lang w:val="en-US" w:eastAsia="ro-RO"/>
        </w:rPr>
        <w:t xml:space="preserve"> </w:t>
      </w:r>
      <w:r>
        <w:rPr>
          <w:bCs/>
          <w:sz w:val="24"/>
          <w:szCs w:val="24"/>
          <w:lang w:val="en-US" w:eastAsia="ro-RO"/>
        </w:rPr>
        <w:t>(</w:t>
      </w:r>
      <w:r>
        <w:rPr>
          <w:rFonts w:ascii="TimesNewRomanPSMT-Identity-H" w:eastAsia="TimesNewRomanPSMT-Identity-H" w:hAnsi="TimesNewRomanPSMT-Identity-H"/>
          <w:sz w:val="23"/>
          <w:szCs w:val="24"/>
        </w:rPr>
        <w:t xml:space="preserve">sau prin prin realizarea unor paliere de acces la acestea separate de parcaj prin uși </w:t>
      </w:r>
      <w:r>
        <w:rPr>
          <w:b/>
          <w:bCs/>
          <w:iCs/>
          <w:sz w:val="24"/>
          <w:szCs w:val="24"/>
          <w:lang w:eastAsia="en-US"/>
        </w:rPr>
        <w:t>EI</w:t>
      </w:r>
      <w:r>
        <w:rPr>
          <w:b/>
          <w:bCs/>
          <w:iCs/>
          <w:sz w:val="24"/>
          <w:szCs w:val="24"/>
          <w:vertAlign w:val="subscript"/>
          <w:lang w:eastAsia="en-US"/>
        </w:rPr>
        <w:t>2</w:t>
      </w:r>
      <w:r>
        <w:rPr>
          <w:b/>
          <w:bCs/>
          <w:iCs/>
          <w:sz w:val="24"/>
          <w:szCs w:val="24"/>
          <w:lang w:eastAsia="en-US"/>
        </w:rPr>
        <w:t xml:space="preserve"> 90-C5</w:t>
      </w:r>
      <w:r>
        <w:rPr>
          <w:b/>
          <w:bCs/>
          <w:iCs/>
          <w:sz w:val="24"/>
          <w:szCs w:val="24"/>
        </w:rPr>
        <w:t>S</w:t>
      </w:r>
      <w:r>
        <w:rPr>
          <w:b/>
          <w:bCs/>
          <w:iCs/>
          <w:sz w:val="24"/>
          <w:szCs w:val="24"/>
          <w:vertAlign w:val="subscript"/>
        </w:rPr>
        <w:t>200</w:t>
      </w:r>
      <w:r>
        <w:rPr>
          <w:iCs/>
          <w:sz w:val="24"/>
          <w:szCs w:val="24"/>
        </w:rPr>
        <w:t>)</w:t>
      </w:r>
      <w:r>
        <w:rPr>
          <w:b/>
          <w:sz w:val="24"/>
          <w:szCs w:val="24"/>
          <w:lang w:eastAsia="ro-RO"/>
        </w:rPr>
        <w:t>;</w:t>
      </w:r>
    </w:p>
    <w:p w14:paraId="54A6DA97" w14:textId="77777777" w:rsidR="001C08A5" w:rsidRDefault="00000000">
      <w:pPr>
        <w:autoSpaceDE w:val="0"/>
        <w:autoSpaceDN w:val="0"/>
        <w:adjustRightInd w:val="0"/>
        <w:ind w:left="720" w:firstLine="720"/>
        <w:jc w:val="both"/>
        <w:rPr>
          <w:sz w:val="24"/>
          <w:szCs w:val="24"/>
          <w:lang w:eastAsia="ro-RO"/>
        </w:rPr>
      </w:pPr>
      <w:r>
        <w:rPr>
          <w:b/>
          <w:sz w:val="24"/>
          <w:szCs w:val="24"/>
          <w:lang w:eastAsia="ro-RO"/>
        </w:rPr>
        <w:t>c)</w:t>
      </w:r>
      <w:r>
        <w:rPr>
          <w:sz w:val="24"/>
          <w:szCs w:val="24"/>
          <w:lang w:eastAsia="ro-RO"/>
        </w:rPr>
        <w:t xml:space="preserve"> ușile de </w:t>
      </w:r>
      <w:r>
        <w:rPr>
          <w:sz w:val="24"/>
          <w:szCs w:val="24"/>
          <w:lang w:val="en-US" w:eastAsia="ro-RO"/>
        </w:rPr>
        <w:t xml:space="preserve">stație sau de </w:t>
      </w:r>
      <w:r>
        <w:rPr>
          <w:sz w:val="24"/>
          <w:szCs w:val="24"/>
          <w:lang w:eastAsia="ro-RO"/>
        </w:rPr>
        <w:t xml:space="preserve">palier se prevăd cu prag de </w:t>
      </w:r>
      <w:r>
        <w:rPr>
          <w:b/>
          <w:sz w:val="24"/>
          <w:szCs w:val="24"/>
          <w:lang w:eastAsia="ro-RO"/>
        </w:rPr>
        <w:t>2,5 cm</w:t>
      </w:r>
      <w:r>
        <w:rPr>
          <w:sz w:val="24"/>
          <w:szCs w:val="24"/>
          <w:lang w:eastAsia="ro-RO"/>
        </w:rPr>
        <w:t xml:space="preserve"> sau pardoseala va avea pantă astfel realizată încât să se evite scurgerea lichidelor în puţul platformei elevatoare sau al ascensorului;</w:t>
      </w:r>
    </w:p>
    <w:p w14:paraId="201CB863" w14:textId="77777777" w:rsidR="001C08A5" w:rsidRDefault="00000000">
      <w:pPr>
        <w:autoSpaceDE w:val="0"/>
        <w:autoSpaceDN w:val="0"/>
        <w:adjustRightInd w:val="0"/>
        <w:ind w:left="720" w:firstLine="720"/>
        <w:jc w:val="both"/>
        <w:rPr>
          <w:sz w:val="24"/>
          <w:szCs w:val="24"/>
          <w:lang w:eastAsia="ro-RO"/>
        </w:rPr>
      </w:pPr>
      <w:r>
        <w:rPr>
          <w:b/>
          <w:sz w:val="24"/>
          <w:szCs w:val="24"/>
          <w:lang w:eastAsia="ro-RO"/>
        </w:rPr>
        <w:t>d)</w:t>
      </w:r>
      <w:r>
        <w:rPr>
          <w:sz w:val="24"/>
          <w:szCs w:val="24"/>
          <w:lang w:eastAsia="ro-RO"/>
        </w:rPr>
        <w:t xml:space="preserve"> acţionarea instalaţiei de semnalizare a incendiilor din parcaj va comanda automat aducerea platformei elevatoare sau a ascensorului la nivelul de referinţă.</w:t>
      </w:r>
    </w:p>
    <w:p w14:paraId="08DA662A" w14:textId="77777777" w:rsidR="001C08A5" w:rsidRDefault="00000000">
      <w:pPr>
        <w:autoSpaceDE w:val="0"/>
        <w:autoSpaceDN w:val="0"/>
        <w:adjustRightInd w:val="0"/>
        <w:ind w:left="720" w:firstLine="720"/>
        <w:jc w:val="both"/>
        <w:rPr>
          <w:sz w:val="24"/>
          <w:szCs w:val="24"/>
          <w:lang w:val="en-US" w:eastAsia="ro-RO"/>
        </w:rPr>
      </w:pPr>
      <w:r>
        <w:rPr>
          <w:b/>
          <w:sz w:val="24"/>
          <w:szCs w:val="24"/>
          <w:lang w:eastAsia="ro-RO"/>
        </w:rPr>
        <w:t>e)</w:t>
      </w:r>
      <w:r>
        <w:rPr>
          <w:sz w:val="24"/>
          <w:szCs w:val="24"/>
          <w:lang w:eastAsia="ro-RO"/>
        </w:rPr>
        <w:t xml:space="preserve"> se prevăd inscripţionări referitoare la obligativitatea opririi motorului după poziţionarea autoturismului pe platforma elevatoare sau în ascensor</w:t>
      </w:r>
      <w:r>
        <w:rPr>
          <w:sz w:val="24"/>
          <w:szCs w:val="24"/>
          <w:lang w:val="en-US" w:eastAsia="ro-RO"/>
        </w:rPr>
        <w:t>;</w:t>
      </w:r>
      <w:r>
        <w:rPr>
          <w:rFonts w:eastAsia="ArialMT"/>
          <w:sz w:val="24"/>
          <w:szCs w:val="24"/>
        </w:rPr>
        <w:t xml:space="preserve">la parcajele supraterane de tipul </w:t>
      </w:r>
      <w:r>
        <w:rPr>
          <w:rFonts w:eastAsia="ArialMT"/>
          <w:b/>
          <w:bCs/>
          <w:sz w:val="24"/>
          <w:szCs w:val="24"/>
        </w:rPr>
        <w:t>P1, P2, P3</w:t>
      </w:r>
      <w:r>
        <w:rPr>
          <w:rFonts w:eastAsia="ArialMT"/>
          <w:sz w:val="24"/>
          <w:szCs w:val="24"/>
        </w:rPr>
        <w:t xml:space="preserve"> și </w:t>
      </w:r>
      <w:r>
        <w:rPr>
          <w:rFonts w:eastAsia="ArialMT"/>
          <w:b/>
          <w:bCs/>
          <w:sz w:val="24"/>
          <w:szCs w:val="24"/>
        </w:rPr>
        <w:t>P4</w:t>
      </w:r>
      <w:r>
        <w:rPr>
          <w:rFonts w:eastAsia="ArialMT"/>
          <w:sz w:val="24"/>
          <w:szCs w:val="24"/>
        </w:rPr>
        <w:t>, este obligatorie echiparea cu perdele de sprinklere deschise pentru protecția golurilor de acces la puțurile platformelor elevatoare.</w:t>
      </w:r>
    </w:p>
    <w:p w14:paraId="3D8E1593" w14:textId="77777777" w:rsidR="001C08A5" w:rsidRDefault="00000000">
      <w:pPr>
        <w:ind w:firstLine="720"/>
        <w:jc w:val="both"/>
        <w:rPr>
          <w:rFonts w:eastAsia="ArialMT"/>
          <w:sz w:val="24"/>
          <w:szCs w:val="24"/>
        </w:rPr>
      </w:pPr>
      <w:r>
        <w:rPr>
          <w:rFonts w:eastAsia="ArialMT"/>
          <w:b/>
          <w:bCs/>
          <w:sz w:val="24"/>
          <w:szCs w:val="24"/>
        </w:rPr>
        <w:t>(2)</w:t>
      </w:r>
      <w:r>
        <w:rPr>
          <w:rFonts w:eastAsia="ArialMT"/>
          <w:sz w:val="24"/>
          <w:szCs w:val="24"/>
        </w:rPr>
        <w:t xml:space="preserve"> Se prevăd inscripționări referitoare la obligativitatea opririi motorului după poziționarea autoturismului pe platforma elevatoare sau în ascensor.</w:t>
      </w:r>
    </w:p>
    <w:p w14:paraId="0EDE8AB6" w14:textId="77777777" w:rsidR="001C08A5" w:rsidRDefault="00000000">
      <w:pPr>
        <w:ind w:firstLine="720"/>
        <w:jc w:val="both"/>
        <w:rPr>
          <w:rFonts w:eastAsia="ArialMT"/>
          <w:sz w:val="24"/>
          <w:szCs w:val="24"/>
        </w:rPr>
      </w:pPr>
      <w:r>
        <w:rPr>
          <w:rFonts w:eastAsia="ArialMT"/>
          <w:b/>
          <w:bCs/>
          <w:sz w:val="24"/>
          <w:szCs w:val="24"/>
        </w:rPr>
        <w:t>(3)</w:t>
      </w:r>
      <w:r>
        <w:rPr>
          <w:rFonts w:eastAsia="ArialMT"/>
          <w:sz w:val="24"/>
          <w:szCs w:val="24"/>
        </w:rPr>
        <w:t xml:space="preserve"> Platformele elevatoare și ascensoarele pentru autoturisme se echipează cu dispozitive care în caz de incendiu să le aducă automat la nivelul de referință.</w:t>
      </w:r>
    </w:p>
    <w:p w14:paraId="0A7C2796" w14:textId="77777777" w:rsidR="001C08A5" w:rsidRDefault="001C08A5">
      <w:pPr>
        <w:jc w:val="both"/>
        <w:rPr>
          <w:rFonts w:eastAsia="ArialMT"/>
          <w:sz w:val="24"/>
          <w:szCs w:val="24"/>
        </w:rPr>
      </w:pPr>
    </w:p>
    <w:p w14:paraId="58075333" w14:textId="77777777" w:rsidR="001C08A5" w:rsidRDefault="00000000">
      <w:pPr>
        <w:jc w:val="both"/>
        <w:rPr>
          <w:rFonts w:eastAsia="ArialMT"/>
          <w:sz w:val="24"/>
          <w:szCs w:val="24"/>
        </w:rPr>
      </w:pPr>
      <w:r>
        <w:rPr>
          <w:sz w:val="24"/>
          <w:szCs w:val="24"/>
        </w:rPr>
        <w:tab/>
      </w:r>
      <w:r>
        <w:rPr>
          <w:b/>
          <w:sz w:val="24"/>
          <w:szCs w:val="24"/>
        </w:rPr>
        <w:t xml:space="preserve">Art. </w:t>
      </w:r>
      <w:r>
        <w:rPr>
          <w:b/>
          <w:bCs/>
          <w:sz w:val="24"/>
          <w:szCs w:val="24"/>
        </w:rPr>
        <w:t>3.2.11.</w:t>
      </w:r>
      <w:r>
        <w:rPr>
          <w:b/>
          <w:sz w:val="24"/>
          <w:szCs w:val="24"/>
        </w:rPr>
        <w:t xml:space="preserve">19. </w:t>
      </w:r>
      <w:r>
        <w:rPr>
          <w:rFonts w:eastAsia="ArialMT"/>
          <w:sz w:val="24"/>
          <w:szCs w:val="24"/>
        </w:rPr>
        <w:t xml:space="preserve">La parcajele supraterane </w:t>
      </w:r>
      <w:r>
        <w:rPr>
          <w:rFonts w:eastAsia="TimesNewRomanPSMT"/>
          <w:sz w:val="24"/>
          <w:szCs w:val="24"/>
        </w:rPr>
        <w:t xml:space="preserve">accesibile </w:t>
      </w:r>
      <w:r>
        <w:rPr>
          <w:rFonts w:eastAsia="TimesNewRomanPSMT"/>
          <w:b/>
          <w:bCs/>
          <w:sz w:val="24"/>
          <w:szCs w:val="24"/>
        </w:rPr>
        <w:t>numai personalului special angajat</w:t>
      </w:r>
      <w:r>
        <w:rPr>
          <w:rFonts w:eastAsia="TimesNewRomanPSMT"/>
          <w:sz w:val="24"/>
          <w:szCs w:val="24"/>
        </w:rPr>
        <w:t xml:space="preserve"> pentru efectuarea parcării (în care publicul nu are acces </w:t>
      </w:r>
      <w:r>
        <w:rPr>
          <w:rFonts w:eastAsia="ArialMT"/>
          <w:sz w:val="24"/>
          <w:szCs w:val="24"/>
        </w:rPr>
        <w:t>în cazul cărora dispunerea autoturismelor pe locurile de parcare se asigură cu ascensoare sau platforme elevatoare de acces la nivelurile supraterane de parcare se asigură următoarele:</w:t>
      </w:r>
    </w:p>
    <w:p w14:paraId="2C0F9DBA" w14:textId="77777777" w:rsidR="001C08A5" w:rsidRDefault="00000000">
      <w:pPr>
        <w:numPr>
          <w:ilvl w:val="0"/>
          <w:numId w:val="82"/>
        </w:numPr>
        <w:tabs>
          <w:tab w:val="clear" w:pos="1265"/>
          <w:tab w:val="left" w:pos="425"/>
        </w:tabs>
        <w:jc w:val="both"/>
        <w:rPr>
          <w:rFonts w:eastAsia="ArialMT"/>
          <w:sz w:val="24"/>
          <w:szCs w:val="24"/>
        </w:rPr>
      </w:pPr>
      <w:r>
        <w:rPr>
          <w:rFonts w:eastAsia="ArialMT"/>
          <w:sz w:val="24"/>
          <w:szCs w:val="24"/>
        </w:rPr>
        <w:t>platformele elevatoare și ascensoarele pentru accesul autoturismelor în parcajele supraterane se amplasează, se dimensionează și se realizează potrivit prevederilor reglementărilor tehnice specifice și ale prezentului normativ.</w:t>
      </w:r>
    </w:p>
    <w:p w14:paraId="6E22A602" w14:textId="77777777" w:rsidR="001C08A5" w:rsidRDefault="00000000">
      <w:pPr>
        <w:numPr>
          <w:ilvl w:val="0"/>
          <w:numId w:val="82"/>
        </w:numPr>
        <w:tabs>
          <w:tab w:val="clear" w:pos="1265"/>
          <w:tab w:val="left" w:pos="425"/>
        </w:tabs>
        <w:jc w:val="both"/>
        <w:rPr>
          <w:rFonts w:eastAsia="ArialMT"/>
          <w:sz w:val="24"/>
          <w:szCs w:val="24"/>
        </w:rPr>
      </w:pPr>
      <w:r>
        <w:rPr>
          <w:rFonts w:eastAsia="ArialMT"/>
          <w:sz w:val="24"/>
          <w:szCs w:val="24"/>
        </w:rPr>
        <w:t>platformele elevatoare și ascensoarele pentru autoturisme se echipează cu dispozitive care în caz de incendiu să le aducă automat la nivelul de referință.</w:t>
      </w:r>
    </w:p>
    <w:p w14:paraId="424798D5" w14:textId="77777777" w:rsidR="001C08A5" w:rsidRDefault="00000000">
      <w:pPr>
        <w:numPr>
          <w:ilvl w:val="0"/>
          <w:numId w:val="82"/>
        </w:numPr>
        <w:tabs>
          <w:tab w:val="clear" w:pos="1265"/>
          <w:tab w:val="left" w:pos="425"/>
        </w:tabs>
        <w:jc w:val="both"/>
        <w:rPr>
          <w:rFonts w:eastAsia="ArialMT"/>
          <w:sz w:val="24"/>
          <w:szCs w:val="24"/>
        </w:rPr>
      </w:pPr>
      <w:r>
        <w:rPr>
          <w:rFonts w:eastAsia="ArialMT"/>
          <w:sz w:val="24"/>
          <w:szCs w:val="24"/>
        </w:rPr>
        <w:t>este obligatorie alimentarea din două surse de alimentare electrice sau cu motor termic ori combinate, de bază și de rezervă, a platformlore elevatoare și a ascensoarelor pentru autoturisme</w:t>
      </w:r>
    </w:p>
    <w:p w14:paraId="4FBEF1D4" w14:textId="77777777" w:rsidR="001C08A5" w:rsidRDefault="00000000">
      <w:pPr>
        <w:numPr>
          <w:ilvl w:val="0"/>
          <w:numId w:val="82"/>
        </w:numPr>
        <w:tabs>
          <w:tab w:val="clear" w:pos="1265"/>
          <w:tab w:val="left" w:pos="425"/>
        </w:tabs>
        <w:jc w:val="both"/>
        <w:rPr>
          <w:rFonts w:eastAsia="ArialMT"/>
          <w:sz w:val="24"/>
          <w:szCs w:val="24"/>
        </w:rPr>
      </w:pPr>
      <w:r>
        <w:rPr>
          <w:rFonts w:eastAsia="ArialMT"/>
          <w:sz w:val="24"/>
          <w:szCs w:val="24"/>
        </w:rPr>
        <w:t xml:space="preserve">platformele elevatoare și ascensoarele pentru accesul autoturismelor se montează în puțuri separate de restul clădirii cu pereți rezistenți la foc </w:t>
      </w:r>
      <w:r>
        <w:rPr>
          <w:rFonts w:eastAsia="ArialMT"/>
          <w:b/>
          <w:bCs/>
          <w:sz w:val="24"/>
          <w:szCs w:val="24"/>
        </w:rPr>
        <w:t>EI 120</w:t>
      </w:r>
      <w:r>
        <w:rPr>
          <w:rFonts w:eastAsia="ArialMT"/>
          <w:sz w:val="24"/>
          <w:szCs w:val="24"/>
        </w:rPr>
        <w:t xml:space="preserve"> și ușile </w:t>
      </w:r>
      <w:r>
        <w:rPr>
          <w:sz w:val="24"/>
          <w:szCs w:val="24"/>
          <w:lang w:eastAsia="ro-RO"/>
        </w:rPr>
        <w:t xml:space="preserve">de </w:t>
      </w:r>
      <w:r>
        <w:rPr>
          <w:sz w:val="24"/>
          <w:szCs w:val="24"/>
          <w:lang w:val="en-US" w:eastAsia="ro-RO"/>
        </w:rPr>
        <w:t>stație</w:t>
      </w:r>
      <w:r>
        <w:rPr>
          <w:sz w:val="24"/>
          <w:szCs w:val="24"/>
          <w:lang w:eastAsia="ro-RO"/>
        </w:rPr>
        <w:t xml:space="preserve"> vor fi rezistente la foc </w:t>
      </w:r>
      <w:r>
        <w:rPr>
          <w:b/>
          <w:sz w:val="24"/>
          <w:szCs w:val="24"/>
          <w:lang w:eastAsia="ro-RO"/>
        </w:rPr>
        <w:t xml:space="preserve">EI </w:t>
      </w:r>
      <w:r>
        <w:rPr>
          <w:b/>
          <w:sz w:val="24"/>
          <w:szCs w:val="24"/>
          <w:lang w:val="en-US" w:eastAsia="ro-RO"/>
        </w:rPr>
        <w:t>6</w:t>
      </w:r>
      <w:r>
        <w:rPr>
          <w:b/>
          <w:sz w:val="24"/>
          <w:szCs w:val="24"/>
          <w:lang w:eastAsia="ro-RO"/>
        </w:rPr>
        <w:t>0</w:t>
      </w:r>
      <w:r>
        <w:rPr>
          <w:b/>
          <w:sz w:val="24"/>
          <w:szCs w:val="24"/>
          <w:lang w:val="en-US" w:eastAsia="ro-RO"/>
        </w:rPr>
        <w:t xml:space="preserve"> </w:t>
      </w:r>
      <w:r>
        <w:rPr>
          <w:bCs/>
          <w:sz w:val="24"/>
          <w:szCs w:val="24"/>
          <w:lang w:val="en-US" w:eastAsia="ro-RO"/>
        </w:rPr>
        <w:t>(</w:t>
      </w:r>
      <w:r>
        <w:rPr>
          <w:rFonts w:ascii="TimesNewRomanPSMT-Identity-H" w:eastAsia="TimesNewRomanPSMT-Identity-H" w:hAnsi="TimesNewRomanPSMT-Identity-H"/>
          <w:sz w:val="23"/>
          <w:szCs w:val="24"/>
        </w:rPr>
        <w:t xml:space="preserve">sau prin prin realizarea unor paliere de acces la acestea separate de parcaj prin uși </w:t>
      </w:r>
      <w:r>
        <w:rPr>
          <w:b/>
          <w:bCs/>
          <w:iCs/>
          <w:sz w:val="24"/>
          <w:szCs w:val="24"/>
          <w:lang w:eastAsia="en-US"/>
        </w:rPr>
        <w:t>EI</w:t>
      </w:r>
      <w:r>
        <w:rPr>
          <w:b/>
          <w:bCs/>
          <w:iCs/>
          <w:sz w:val="24"/>
          <w:szCs w:val="24"/>
          <w:vertAlign w:val="subscript"/>
          <w:lang w:eastAsia="en-US"/>
        </w:rPr>
        <w:t>2</w:t>
      </w:r>
      <w:r>
        <w:rPr>
          <w:b/>
          <w:bCs/>
          <w:iCs/>
          <w:sz w:val="24"/>
          <w:szCs w:val="24"/>
          <w:lang w:eastAsia="en-US"/>
        </w:rPr>
        <w:t xml:space="preserve"> 60-C5</w:t>
      </w:r>
      <w:r>
        <w:rPr>
          <w:b/>
          <w:bCs/>
          <w:iCs/>
          <w:sz w:val="24"/>
          <w:szCs w:val="24"/>
        </w:rPr>
        <w:t>S</w:t>
      </w:r>
      <w:r>
        <w:rPr>
          <w:b/>
          <w:bCs/>
          <w:iCs/>
          <w:sz w:val="24"/>
          <w:szCs w:val="24"/>
          <w:vertAlign w:val="subscript"/>
        </w:rPr>
        <w:t>200</w:t>
      </w:r>
      <w:r>
        <w:rPr>
          <w:iCs/>
          <w:sz w:val="24"/>
          <w:szCs w:val="24"/>
        </w:rPr>
        <w:t>)</w:t>
      </w:r>
    </w:p>
    <w:p w14:paraId="6B5032AC" w14:textId="77777777" w:rsidR="001C08A5" w:rsidRDefault="00000000">
      <w:pPr>
        <w:numPr>
          <w:ilvl w:val="0"/>
          <w:numId w:val="82"/>
        </w:numPr>
        <w:tabs>
          <w:tab w:val="clear" w:pos="1265"/>
          <w:tab w:val="left" w:pos="425"/>
        </w:tabs>
        <w:jc w:val="both"/>
        <w:rPr>
          <w:rFonts w:eastAsia="ArialMT"/>
          <w:sz w:val="24"/>
          <w:szCs w:val="24"/>
        </w:rPr>
      </w:pPr>
      <w:r>
        <w:rPr>
          <w:rFonts w:eastAsia="ArialMT"/>
          <w:sz w:val="24"/>
          <w:szCs w:val="24"/>
        </w:rPr>
        <w:t>ușile de stație sau de palier se prevăd cu prag de</w:t>
      </w:r>
      <w:r>
        <w:rPr>
          <w:rFonts w:eastAsia="ArialMT"/>
          <w:b/>
          <w:bCs/>
          <w:sz w:val="24"/>
          <w:szCs w:val="24"/>
        </w:rPr>
        <w:t xml:space="preserve"> 2,5</w:t>
      </w:r>
      <w:r>
        <w:rPr>
          <w:rFonts w:eastAsia="ArialMT"/>
          <w:sz w:val="24"/>
          <w:szCs w:val="24"/>
        </w:rPr>
        <w:t xml:space="preserve"> </w:t>
      </w:r>
      <w:r>
        <w:rPr>
          <w:rFonts w:eastAsia="ArialMT"/>
          <w:b/>
          <w:bCs/>
          <w:sz w:val="24"/>
          <w:szCs w:val="24"/>
        </w:rPr>
        <w:t>cm</w:t>
      </w:r>
      <w:r>
        <w:rPr>
          <w:rFonts w:eastAsia="ArialMT"/>
          <w:sz w:val="24"/>
          <w:szCs w:val="24"/>
        </w:rPr>
        <w:t xml:space="preserve"> sau pardoseala va avea pantă astfel realizată încât să se evite scurgerea lichidelor în puțul platformei elevatoare sau al ascensorului;</w:t>
      </w:r>
    </w:p>
    <w:p w14:paraId="7EB4D675" w14:textId="77777777" w:rsidR="001C08A5" w:rsidRDefault="00000000">
      <w:pPr>
        <w:numPr>
          <w:ilvl w:val="0"/>
          <w:numId w:val="82"/>
        </w:numPr>
        <w:tabs>
          <w:tab w:val="clear" w:pos="1265"/>
          <w:tab w:val="left" w:pos="425"/>
        </w:tabs>
        <w:jc w:val="both"/>
        <w:rPr>
          <w:rFonts w:eastAsia="ArialMT"/>
          <w:sz w:val="24"/>
          <w:szCs w:val="24"/>
        </w:rPr>
      </w:pPr>
      <w:r>
        <w:rPr>
          <w:rFonts w:eastAsia="ArialMT"/>
          <w:sz w:val="24"/>
          <w:szCs w:val="24"/>
        </w:rPr>
        <w:t>acționarea instalației de semnalizare a incendiilor din parcaj va comanda automat aducerea platformei elevatoare sau a ascensorului la nivelul de referință.</w:t>
      </w:r>
    </w:p>
    <w:p w14:paraId="7A944EF2" w14:textId="77777777" w:rsidR="001C08A5" w:rsidRDefault="00000000">
      <w:pPr>
        <w:numPr>
          <w:ilvl w:val="0"/>
          <w:numId w:val="82"/>
        </w:numPr>
        <w:tabs>
          <w:tab w:val="clear" w:pos="1265"/>
          <w:tab w:val="left" w:pos="425"/>
        </w:tabs>
        <w:jc w:val="both"/>
        <w:rPr>
          <w:rFonts w:eastAsia="ArialMT"/>
          <w:sz w:val="24"/>
          <w:szCs w:val="24"/>
        </w:rPr>
      </w:pPr>
      <w:r>
        <w:rPr>
          <w:rFonts w:eastAsia="ArialMT"/>
          <w:sz w:val="24"/>
          <w:szCs w:val="24"/>
        </w:rPr>
        <w:t xml:space="preserve">se prevăd scări pentru intervenție și salvare, minimum una la </w:t>
      </w:r>
      <w:r>
        <w:rPr>
          <w:rFonts w:eastAsia="ArialMT"/>
          <w:b/>
          <w:bCs/>
          <w:sz w:val="24"/>
          <w:szCs w:val="24"/>
        </w:rPr>
        <w:t xml:space="preserve">500,00 </w:t>
      </w:r>
      <w:r>
        <w:rPr>
          <w:b/>
          <w:sz w:val="24"/>
          <w:szCs w:val="24"/>
        </w:rPr>
        <w:t>m²</w:t>
      </w:r>
      <w:r>
        <w:rPr>
          <w:rFonts w:eastAsia="ArialMT"/>
          <w:sz w:val="24"/>
          <w:szCs w:val="24"/>
        </w:rPr>
        <w:t xml:space="preserve"> de parcaj, indiferent de lungimea de evacuare asigurată;</w:t>
      </w:r>
    </w:p>
    <w:p w14:paraId="26A59147" w14:textId="77777777" w:rsidR="001C08A5" w:rsidRDefault="00000000">
      <w:pPr>
        <w:numPr>
          <w:ilvl w:val="0"/>
          <w:numId w:val="82"/>
        </w:numPr>
        <w:tabs>
          <w:tab w:val="clear" w:pos="1265"/>
          <w:tab w:val="left" w:pos="425"/>
        </w:tabs>
        <w:jc w:val="both"/>
        <w:rPr>
          <w:rFonts w:eastAsia="ArialMT"/>
          <w:sz w:val="24"/>
          <w:szCs w:val="24"/>
        </w:rPr>
      </w:pPr>
      <w:r>
        <w:rPr>
          <w:rFonts w:eastAsia="ArialMT"/>
          <w:sz w:val="24"/>
          <w:szCs w:val="24"/>
        </w:rPr>
        <w:t xml:space="preserve">la parcajele supraterane de tipul </w:t>
      </w:r>
      <w:r>
        <w:rPr>
          <w:rFonts w:eastAsia="ArialMT"/>
          <w:b/>
          <w:bCs/>
          <w:sz w:val="24"/>
          <w:szCs w:val="24"/>
        </w:rPr>
        <w:t xml:space="preserve">P1, P2, P3 </w:t>
      </w:r>
      <w:r>
        <w:rPr>
          <w:rFonts w:eastAsia="ArialMT"/>
          <w:sz w:val="24"/>
          <w:szCs w:val="24"/>
        </w:rPr>
        <w:t>și</w:t>
      </w:r>
      <w:r>
        <w:rPr>
          <w:rFonts w:eastAsia="ArialMT"/>
          <w:b/>
          <w:bCs/>
          <w:sz w:val="24"/>
          <w:szCs w:val="24"/>
        </w:rPr>
        <w:t xml:space="preserve"> P4</w:t>
      </w:r>
      <w:r>
        <w:rPr>
          <w:rFonts w:eastAsia="ArialMT"/>
          <w:sz w:val="24"/>
          <w:szCs w:val="24"/>
        </w:rPr>
        <w:t>, este obligatorie echiparea cu perdele de sprinklere deschise pentru protecția golurilor de acces la puțurile platformelor elevatoare, dacă în parcaj este prevăzută instalație automată de stingere cu sprinklere.</w:t>
      </w:r>
    </w:p>
    <w:p w14:paraId="38C311E8" w14:textId="77777777" w:rsidR="001C08A5" w:rsidRDefault="001C08A5">
      <w:pPr>
        <w:jc w:val="both"/>
        <w:rPr>
          <w:rFonts w:eastAsia="ArialMT"/>
          <w:sz w:val="24"/>
          <w:szCs w:val="24"/>
        </w:rPr>
      </w:pPr>
    </w:p>
    <w:p w14:paraId="2E92C534" w14:textId="77777777" w:rsidR="001C08A5" w:rsidRDefault="00000000">
      <w:pPr>
        <w:jc w:val="both"/>
        <w:rPr>
          <w:rFonts w:eastAsia="ArialMT"/>
          <w:sz w:val="24"/>
          <w:szCs w:val="24"/>
        </w:rPr>
      </w:pPr>
      <w:r>
        <w:rPr>
          <w:sz w:val="24"/>
          <w:szCs w:val="24"/>
        </w:rPr>
        <w:tab/>
      </w:r>
      <w:r>
        <w:rPr>
          <w:b/>
          <w:sz w:val="24"/>
          <w:szCs w:val="24"/>
        </w:rPr>
        <w:t xml:space="preserve">Art. </w:t>
      </w:r>
      <w:r>
        <w:rPr>
          <w:b/>
          <w:bCs/>
          <w:sz w:val="24"/>
          <w:szCs w:val="24"/>
        </w:rPr>
        <w:t>3.2.11.</w:t>
      </w:r>
      <w:r>
        <w:rPr>
          <w:b/>
          <w:sz w:val="24"/>
          <w:szCs w:val="24"/>
        </w:rPr>
        <w:t xml:space="preserve">20. </w:t>
      </w:r>
      <w:r>
        <w:rPr>
          <w:rFonts w:eastAsia="ArialMT"/>
          <w:sz w:val="24"/>
          <w:szCs w:val="24"/>
        </w:rPr>
        <w:t xml:space="preserve">La parcajele supraterane </w:t>
      </w:r>
      <w:r>
        <w:rPr>
          <w:rFonts w:eastAsia="TimesNewRomanPSMT"/>
          <w:b/>
          <w:bCs/>
          <w:sz w:val="24"/>
          <w:szCs w:val="24"/>
        </w:rPr>
        <w:t>în care publicul și personalul angajat nu are acces</w:t>
      </w:r>
      <w:r>
        <w:rPr>
          <w:rFonts w:eastAsia="TimesNewRomanPSMT"/>
          <w:sz w:val="24"/>
          <w:szCs w:val="24"/>
        </w:rPr>
        <w:t xml:space="preserve">, </w:t>
      </w:r>
      <w:r>
        <w:rPr>
          <w:rFonts w:eastAsia="ArialMT"/>
          <w:sz w:val="24"/>
          <w:szCs w:val="24"/>
        </w:rPr>
        <w:t xml:space="preserve">în cazul cărora dispunerea autoturismelor pe locurile de parcare se asigură cu sisteme de distribuție automatizate, altele decât ascensoarele sau platformele elevatoare de acces la nivelurile supraterane de parcare, se asigură următoarele: </w:t>
      </w:r>
    </w:p>
    <w:p w14:paraId="4FA42026" w14:textId="77777777" w:rsidR="001C08A5" w:rsidRDefault="00000000">
      <w:pPr>
        <w:pStyle w:val="ListParagraph"/>
        <w:numPr>
          <w:ilvl w:val="7"/>
          <w:numId w:val="33"/>
        </w:numPr>
        <w:tabs>
          <w:tab w:val="clear" w:pos="3360"/>
          <w:tab w:val="left" w:pos="1260"/>
        </w:tabs>
        <w:ind w:left="1260" w:hanging="270"/>
        <w:jc w:val="both"/>
        <w:rPr>
          <w:rFonts w:eastAsia="ArialMT"/>
        </w:rPr>
      </w:pPr>
      <w:r>
        <w:rPr>
          <w:bCs/>
        </w:rPr>
        <w:t xml:space="preserve">pentru parcajele supraterane deschise pentru autoturisme se respectă prevederile </w:t>
      </w:r>
      <w:r>
        <w:rPr>
          <w:b/>
        </w:rPr>
        <w:t xml:space="preserve">Art. </w:t>
      </w:r>
      <w:r>
        <w:rPr>
          <w:b/>
          <w:bCs/>
        </w:rPr>
        <w:t>2.1.3.</w:t>
      </w:r>
      <w:r>
        <w:rPr>
          <w:b/>
        </w:rPr>
        <w:t>5. (1)</w:t>
      </w:r>
      <w:r>
        <w:rPr>
          <w:bCs/>
        </w:rPr>
        <w:t xml:space="preserve"> </w:t>
      </w:r>
      <w:r>
        <w:rPr>
          <w:b/>
        </w:rPr>
        <w:t>alin. a)</w:t>
      </w:r>
      <w:r>
        <w:rPr>
          <w:bCs/>
        </w:rPr>
        <w:t xml:space="preserve">; </w:t>
      </w:r>
      <w:r>
        <w:t xml:space="preserve">parcajele supraterane deschise pentru autoturisme, cu aria construită (Ac) mai mare de </w:t>
      </w:r>
      <w:r>
        <w:rPr>
          <w:b/>
          <w:bCs/>
        </w:rPr>
        <w:t>3.000 m²</w:t>
      </w:r>
      <w:r>
        <w:t xml:space="preserve"> şi mai mult de </w:t>
      </w:r>
      <w:r>
        <w:rPr>
          <w:b/>
          <w:bCs/>
        </w:rPr>
        <w:t>3</w:t>
      </w:r>
      <w:r>
        <w:t xml:space="preserve"> niveluri supraterane </w:t>
      </w:r>
      <w:r>
        <w:rPr>
          <w:bCs/>
        </w:rPr>
        <w:t xml:space="preserve">se vor conforma pentru nivelul </w:t>
      </w:r>
      <w:r>
        <w:rPr>
          <w:b/>
        </w:rPr>
        <w:t>I</w:t>
      </w:r>
      <w:r>
        <w:rPr>
          <w:bCs/>
        </w:rPr>
        <w:t xml:space="preserve"> sau </w:t>
      </w:r>
      <w:r>
        <w:rPr>
          <w:b/>
        </w:rPr>
        <w:t xml:space="preserve">II </w:t>
      </w:r>
      <w:r>
        <w:rPr>
          <w:bCs/>
        </w:rPr>
        <w:t xml:space="preserve">de securitate la incendiu în acord cu </w:t>
      </w:r>
      <w:r>
        <w:rPr>
          <w:b/>
          <w:i/>
          <w:iCs/>
        </w:rPr>
        <w:t>Tabelul 2</w:t>
      </w:r>
      <w:r>
        <w:t>;</w:t>
      </w:r>
    </w:p>
    <w:p w14:paraId="66723DD9" w14:textId="77777777" w:rsidR="001C08A5" w:rsidRDefault="00000000">
      <w:pPr>
        <w:pStyle w:val="ListParagraph"/>
        <w:numPr>
          <w:ilvl w:val="7"/>
          <w:numId w:val="33"/>
        </w:numPr>
        <w:tabs>
          <w:tab w:val="clear" w:pos="3360"/>
          <w:tab w:val="left" w:pos="1260"/>
        </w:tabs>
        <w:ind w:left="1260" w:hanging="270"/>
        <w:jc w:val="both"/>
        <w:rPr>
          <w:rFonts w:eastAsia="ArialMT"/>
        </w:rPr>
      </w:pPr>
      <w:r>
        <w:rPr>
          <w:bCs/>
        </w:rPr>
        <w:t xml:space="preserve">parcajele supraterane închise pentru autoturisme se vor conforma pentru nivelul </w:t>
      </w:r>
      <w:r>
        <w:rPr>
          <w:b/>
        </w:rPr>
        <w:t>I</w:t>
      </w:r>
      <w:r>
        <w:rPr>
          <w:bCs/>
        </w:rPr>
        <w:t xml:space="preserve"> sau </w:t>
      </w:r>
      <w:r>
        <w:rPr>
          <w:b/>
        </w:rPr>
        <w:t xml:space="preserve">II </w:t>
      </w:r>
      <w:r>
        <w:rPr>
          <w:bCs/>
        </w:rPr>
        <w:t xml:space="preserve">de securitate la incendiu  în acord cu </w:t>
      </w:r>
      <w:r>
        <w:rPr>
          <w:b/>
          <w:i/>
          <w:iCs/>
        </w:rPr>
        <w:t>Tabelul 2</w:t>
      </w:r>
      <w:r>
        <w:rPr>
          <w:bCs/>
        </w:rPr>
        <w:t>;</w:t>
      </w:r>
    </w:p>
    <w:p w14:paraId="47BBAB30" w14:textId="77777777" w:rsidR="001C08A5" w:rsidRDefault="00000000">
      <w:pPr>
        <w:pStyle w:val="ListParagraph"/>
        <w:numPr>
          <w:ilvl w:val="7"/>
          <w:numId w:val="33"/>
        </w:numPr>
        <w:tabs>
          <w:tab w:val="clear" w:pos="3360"/>
          <w:tab w:val="left" w:pos="1260"/>
        </w:tabs>
        <w:ind w:left="1260" w:hanging="270"/>
        <w:jc w:val="both"/>
        <w:rPr>
          <w:rFonts w:eastAsia="ArialMT"/>
        </w:rPr>
      </w:pPr>
      <w:r>
        <w:rPr>
          <w:rFonts w:eastAsia="ArialMT"/>
        </w:rPr>
        <w:t xml:space="preserve">se prevăd scări pentru intervenție și salvare, minimum una la </w:t>
      </w:r>
      <w:r>
        <w:rPr>
          <w:rFonts w:eastAsia="ArialMT"/>
          <w:b/>
          <w:bCs/>
        </w:rPr>
        <w:t>3.000,00</w:t>
      </w:r>
      <w:r>
        <w:rPr>
          <w:rFonts w:eastAsia="ArialMT"/>
        </w:rPr>
        <w:t xml:space="preserve"> </w:t>
      </w:r>
      <w:r>
        <w:rPr>
          <w:rFonts w:eastAsia="ArialMT"/>
          <w:b/>
          <w:bCs/>
        </w:rPr>
        <w:t>m</w:t>
      </w:r>
      <w:r>
        <w:rPr>
          <w:rFonts w:eastAsia="ArialMT"/>
        </w:rPr>
        <w:t xml:space="preserve"> de parcaj, </w:t>
      </w:r>
      <w:r>
        <w:rPr>
          <w:bCs/>
        </w:rPr>
        <w:t>indiferent de lungimea de evacuare asigurată.</w:t>
      </w:r>
    </w:p>
    <w:p w14:paraId="05A325DC" w14:textId="77777777" w:rsidR="001C08A5" w:rsidRDefault="001C08A5">
      <w:pPr>
        <w:jc w:val="both"/>
        <w:rPr>
          <w:b/>
          <w:sz w:val="24"/>
          <w:szCs w:val="24"/>
        </w:rPr>
      </w:pPr>
    </w:p>
    <w:p w14:paraId="5EF01F18" w14:textId="77777777" w:rsidR="001C08A5" w:rsidRDefault="00000000">
      <w:pPr>
        <w:jc w:val="both"/>
        <w:rPr>
          <w:b/>
          <w:sz w:val="24"/>
          <w:szCs w:val="24"/>
        </w:rPr>
      </w:pPr>
      <w:r>
        <w:rPr>
          <w:b/>
          <w:sz w:val="24"/>
          <w:szCs w:val="24"/>
        </w:rPr>
        <w:tab/>
        <w:t xml:space="preserve">Art. </w:t>
      </w:r>
      <w:r>
        <w:rPr>
          <w:b/>
          <w:bCs/>
          <w:sz w:val="24"/>
          <w:szCs w:val="24"/>
        </w:rPr>
        <w:t>3.2.11.</w:t>
      </w:r>
      <w:r>
        <w:rPr>
          <w:b/>
          <w:sz w:val="24"/>
          <w:szCs w:val="24"/>
        </w:rPr>
        <w:t>21. (1)</w:t>
      </w:r>
      <w:r>
        <w:rPr>
          <w:sz w:val="24"/>
          <w:szCs w:val="24"/>
        </w:rPr>
        <w:t xml:space="preserve"> La parcajele supraterane închise pentru mai mult de </w:t>
      </w:r>
      <w:r>
        <w:rPr>
          <w:b/>
          <w:bCs/>
          <w:sz w:val="24"/>
          <w:szCs w:val="24"/>
        </w:rPr>
        <w:t>10</w:t>
      </w:r>
      <w:r>
        <w:rPr>
          <w:sz w:val="24"/>
          <w:szCs w:val="24"/>
        </w:rPr>
        <w:t xml:space="preserve"> autoturisme evacuarea fumului fumului şi a gazelor fierbinţi în caz de incendiu se realizează potrivit prevederilor Normativului de securitate la incendiu a parcajelor subterane pentru autoturisme, indicativ </w:t>
      </w:r>
      <w:r>
        <w:rPr>
          <w:b/>
          <w:sz w:val="24"/>
          <w:szCs w:val="24"/>
        </w:rPr>
        <w:t>NP 127.</w:t>
      </w:r>
    </w:p>
    <w:p w14:paraId="3CE5C212" w14:textId="77777777" w:rsidR="001C08A5" w:rsidRDefault="00000000">
      <w:pPr>
        <w:pStyle w:val="BodyText"/>
        <w:rPr>
          <w:b w:val="0"/>
          <w:bCs w:val="0"/>
          <w:i w:val="0"/>
          <w:iCs/>
        </w:rPr>
      </w:pPr>
      <w:r>
        <w:rPr>
          <w:b w:val="0"/>
          <w:i w:val="0"/>
          <w:iCs/>
        </w:rPr>
        <w:tab/>
      </w:r>
      <w:r>
        <w:rPr>
          <w:i w:val="0"/>
          <w:iCs/>
        </w:rPr>
        <w:t xml:space="preserve">(2) </w:t>
      </w:r>
      <w:r>
        <w:rPr>
          <w:b w:val="0"/>
          <w:bCs w:val="0"/>
          <w:i w:val="0"/>
          <w:iCs/>
        </w:rPr>
        <w:t xml:space="preserve">Parcajele închise pentru autoturisme, cu capacitatea mai mare de </w:t>
      </w:r>
      <w:r>
        <w:rPr>
          <w:bCs w:val="0"/>
          <w:i w:val="0"/>
          <w:iCs/>
        </w:rPr>
        <w:t>5</w:t>
      </w:r>
      <w:r>
        <w:rPr>
          <w:b w:val="0"/>
          <w:bCs w:val="0"/>
          <w:i w:val="0"/>
          <w:iCs/>
        </w:rPr>
        <w:t xml:space="preserve"> locuri de parcare, dar maxim </w:t>
      </w:r>
      <w:r>
        <w:rPr>
          <w:bCs w:val="0"/>
          <w:i w:val="0"/>
          <w:iCs/>
        </w:rPr>
        <w:t>10</w:t>
      </w:r>
      <w:r>
        <w:rPr>
          <w:b w:val="0"/>
          <w:bCs w:val="0"/>
          <w:i w:val="0"/>
          <w:iCs/>
        </w:rPr>
        <w:t xml:space="preserve"> locuri trebuie să aibă realizată evacuarea fumului şi a gazelor fierbinţi produse în caz de incendiu </w:t>
      </w:r>
      <w:r>
        <w:rPr>
          <w:b w:val="0"/>
          <w:i w:val="0"/>
          <w:iCs/>
        </w:rPr>
        <w:t xml:space="preserve">prin tiraj natural-organizat, asigurând o arie aerodinamică liberă de </w:t>
      </w:r>
      <w:r>
        <w:rPr>
          <w:i w:val="0"/>
          <w:iCs/>
        </w:rPr>
        <w:t>1%</w:t>
      </w:r>
      <w:r>
        <w:rPr>
          <w:b w:val="0"/>
          <w:i w:val="0"/>
          <w:iCs/>
        </w:rPr>
        <w:t xml:space="preserve"> din suprafaţa utilă a parcajului, sau prin </w:t>
      </w:r>
      <w:r>
        <w:rPr>
          <w:b w:val="0"/>
          <w:bCs w:val="0"/>
          <w:i w:val="0"/>
          <w:iCs/>
        </w:rPr>
        <w:t>ventilare mecanică.</w:t>
      </w:r>
    </w:p>
    <w:p w14:paraId="55530B06" w14:textId="77777777" w:rsidR="001C08A5" w:rsidRDefault="00000000">
      <w:pPr>
        <w:pStyle w:val="BodyText"/>
        <w:rPr>
          <w:b w:val="0"/>
          <w:bCs w:val="0"/>
          <w:i w:val="0"/>
          <w:iCs/>
        </w:rPr>
      </w:pPr>
      <w:r>
        <w:rPr>
          <w:b w:val="0"/>
          <w:bCs w:val="0"/>
          <w:i w:val="0"/>
          <w:iCs/>
        </w:rPr>
        <w:tab/>
      </w:r>
      <w:r>
        <w:rPr>
          <w:bCs w:val="0"/>
          <w:i w:val="0"/>
          <w:iCs/>
        </w:rPr>
        <w:t>(3)</w:t>
      </w:r>
      <w:r>
        <w:rPr>
          <w:b w:val="0"/>
          <w:bCs w:val="0"/>
          <w:i w:val="0"/>
          <w:iCs/>
        </w:rPr>
        <w:t xml:space="preserve"> La parcajele deschise supraterane golurile de evacuare a fumului şi a gazelor fierbinţi  dispuse în pereții exteriori se iau în considerare numai pentru adâncimea de maximum </w:t>
      </w:r>
      <w:r>
        <w:rPr>
          <w:bCs w:val="0"/>
          <w:i w:val="0"/>
          <w:iCs/>
        </w:rPr>
        <w:t>30 m</w:t>
      </w:r>
      <w:r>
        <w:rPr>
          <w:b w:val="0"/>
          <w:bCs w:val="0"/>
          <w:i w:val="0"/>
          <w:iCs/>
        </w:rPr>
        <w:t xml:space="preserve">, situație în care se consideră că au asigurate condițiile pentru evacuarea fumului și gazelor fierbinți. Dacă golurile de evacuare a fumului dispuse în pereții exteriori nu îndeplinesc cerința menționată mai sus atunci este necesară evacuarea fumului și gazelor fierbinți din parcajele deschise supraterane potrivit prevederilor normativului </w:t>
      </w:r>
      <w:r>
        <w:rPr>
          <w:i w:val="0"/>
          <w:iCs/>
        </w:rPr>
        <w:t>NP 127.</w:t>
      </w:r>
    </w:p>
    <w:p w14:paraId="6DDAC0E4" w14:textId="77777777" w:rsidR="001C08A5" w:rsidRDefault="001C08A5">
      <w:pPr>
        <w:ind w:firstLine="708"/>
        <w:jc w:val="both"/>
        <w:rPr>
          <w:b/>
          <w:sz w:val="24"/>
          <w:szCs w:val="24"/>
        </w:rPr>
      </w:pPr>
    </w:p>
    <w:p w14:paraId="7C26D140" w14:textId="77777777" w:rsidR="001C08A5" w:rsidRDefault="00000000">
      <w:pPr>
        <w:ind w:firstLine="708"/>
        <w:jc w:val="both"/>
        <w:rPr>
          <w:b/>
          <w:sz w:val="24"/>
          <w:szCs w:val="24"/>
        </w:rPr>
      </w:pPr>
      <w:r>
        <w:rPr>
          <w:b/>
          <w:sz w:val="24"/>
          <w:szCs w:val="24"/>
        </w:rPr>
        <w:t xml:space="preserve">Art. </w:t>
      </w:r>
      <w:r>
        <w:rPr>
          <w:b/>
          <w:bCs/>
          <w:sz w:val="24"/>
          <w:szCs w:val="24"/>
        </w:rPr>
        <w:t>3.2.11.</w:t>
      </w:r>
      <w:r>
        <w:rPr>
          <w:b/>
          <w:sz w:val="24"/>
          <w:szCs w:val="24"/>
        </w:rPr>
        <w:t xml:space="preserve">22. </w:t>
      </w:r>
      <w:r>
        <w:rPr>
          <w:sz w:val="24"/>
          <w:szCs w:val="24"/>
        </w:rPr>
        <w:t xml:space="preserve">La parcajele supraterane cu mai mult de </w:t>
      </w:r>
      <w:r>
        <w:rPr>
          <w:b/>
          <w:bCs/>
          <w:sz w:val="24"/>
          <w:szCs w:val="24"/>
        </w:rPr>
        <w:t>8</w:t>
      </w:r>
      <w:r>
        <w:rPr>
          <w:sz w:val="24"/>
          <w:szCs w:val="24"/>
        </w:rPr>
        <w:t xml:space="preserve"> niveluri se asigură cel puţin cu un ascensor de intervenţie în caz de incendiu (de pompieri) pentru fiecare dintre </w:t>
      </w:r>
      <w:r>
        <w:rPr>
          <w:bCs/>
          <w:sz w:val="24"/>
          <w:szCs w:val="24"/>
        </w:rPr>
        <w:t>separările</w:t>
      </w:r>
      <w:r>
        <w:rPr>
          <w:sz w:val="24"/>
          <w:szCs w:val="24"/>
        </w:rPr>
        <w:t xml:space="preserve"> menţionate la </w:t>
      </w:r>
      <w:r>
        <w:rPr>
          <w:b/>
          <w:sz w:val="24"/>
          <w:szCs w:val="24"/>
        </w:rPr>
        <w:t xml:space="preserve">Art. </w:t>
      </w:r>
      <w:r>
        <w:rPr>
          <w:b/>
          <w:bCs/>
          <w:sz w:val="24"/>
          <w:szCs w:val="24"/>
        </w:rPr>
        <w:t>3.2.11.</w:t>
      </w:r>
      <w:r>
        <w:rPr>
          <w:b/>
          <w:sz w:val="24"/>
          <w:szCs w:val="24"/>
        </w:rPr>
        <w:t>5.alin.(1)</w:t>
      </w:r>
      <w:r>
        <w:rPr>
          <w:sz w:val="24"/>
          <w:szCs w:val="24"/>
        </w:rPr>
        <w:t>, uşor accesibil de la nivelul terenului, compartimentat și prevăzut cu apel prioritar pentru pompieri.</w:t>
      </w:r>
    </w:p>
    <w:p w14:paraId="78369023" w14:textId="77777777" w:rsidR="001C08A5" w:rsidRDefault="00000000">
      <w:pPr>
        <w:ind w:firstLine="708"/>
        <w:jc w:val="both"/>
        <w:rPr>
          <w:b/>
          <w:sz w:val="24"/>
          <w:szCs w:val="24"/>
        </w:rPr>
      </w:pPr>
      <w:r>
        <w:rPr>
          <w:b/>
          <w:sz w:val="24"/>
          <w:szCs w:val="24"/>
        </w:rPr>
        <w:tab/>
      </w:r>
    </w:p>
    <w:p w14:paraId="604493B6" w14:textId="77777777" w:rsidR="001C08A5" w:rsidRDefault="00000000">
      <w:pPr>
        <w:jc w:val="both"/>
        <w:rPr>
          <w:sz w:val="24"/>
          <w:szCs w:val="24"/>
        </w:rPr>
      </w:pPr>
      <w:r>
        <w:rPr>
          <w:b/>
          <w:sz w:val="24"/>
          <w:szCs w:val="24"/>
        </w:rPr>
        <w:tab/>
        <w:t xml:space="preserve">Art. </w:t>
      </w:r>
      <w:r>
        <w:rPr>
          <w:b/>
          <w:bCs/>
          <w:sz w:val="24"/>
          <w:szCs w:val="24"/>
        </w:rPr>
        <w:t>3.2.11.</w:t>
      </w:r>
      <w:r>
        <w:rPr>
          <w:b/>
          <w:sz w:val="24"/>
          <w:szCs w:val="24"/>
        </w:rPr>
        <w:t xml:space="preserve">23. (1) </w:t>
      </w:r>
      <w:r>
        <w:rPr>
          <w:sz w:val="24"/>
          <w:szCs w:val="24"/>
        </w:rPr>
        <w:t>Pentru intervenţie în caz de incendiu, la parcajele supraterane închise sau deschise, se asigură cel puţin o cale de acces carosabilă corespunzătoare traficului greu, care să permită circulaţia şi intervenţia autospecialelor de stingere a incendiilor.</w:t>
      </w:r>
    </w:p>
    <w:p w14:paraId="41E396D7" w14:textId="77777777" w:rsidR="001C08A5" w:rsidRDefault="001C08A5">
      <w:pPr>
        <w:jc w:val="both"/>
        <w:rPr>
          <w:sz w:val="24"/>
          <w:szCs w:val="24"/>
        </w:rPr>
      </w:pPr>
    </w:p>
    <w:p w14:paraId="531E9B42" w14:textId="77777777" w:rsidR="001C08A5" w:rsidRDefault="00000000">
      <w:pPr>
        <w:pStyle w:val="BodyText"/>
        <w:rPr>
          <w:b w:val="0"/>
          <w:bCs w:val="0"/>
          <w:i w:val="0"/>
          <w:iCs/>
        </w:rPr>
      </w:pPr>
      <w:r>
        <w:rPr>
          <w:i w:val="0"/>
          <w:iCs/>
        </w:rPr>
        <w:tab/>
        <w:t xml:space="preserve">Art. </w:t>
      </w:r>
      <w:r>
        <w:rPr>
          <w:bCs w:val="0"/>
          <w:i w:val="0"/>
          <w:iCs/>
        </w:rPr>
        <w:t>3.2.11.</w:t>
      </w:r>
      <w:r>
        <w:rPr>
          <w:i w:val="0"/>
          <w:iCs/>
        </w:rPr>
        <w:t>24.</w:t>
      </w:r>
      <w:r>
        <w:rPr>
          <w:bCs w:val="0"/>
          <w:i w:val="0"/>
          <w:iCs/>
        </w:rPr>
        <w:t xml:space="preserve"> (1)</w:t>
      </w:r>
      <w:r>
        <w:rPr>
          <w:b w:val="0"/>
          <w:bCs w:val="0"/>
          <w:i w:val="0"/>
          <w:iCs/>
        </w:rPr>
        <w:t xml:space="preserve"> Parcajele se echipează cu instalaţii de protecţie împotriva incendiilor potrivit prevederilor reglementărilor tehnice specifice şi ale prezentului normativ.</w:t>
      </w:r>
    </w:p>
    <w:p w14:paraId="5837150E" w14:textId="77777777" w:rsidR="001C08A5" w:rsidRDefault="00000000">
      <w:pPr>
        <w:ind w:firstLine="708"/>
        <w:jc w:val="both"/>
        <w:rPr>
          <w:sz w:val="24"/>
          <w:szCs w:val="24"/>
        </w:rPr>
      </w:pPr>
      <w:r>
        <w:rPr>
          <w:b/>
          <w:bCs/>
          <w:sz w:val="24"/>
          <w:szCs w:val="24"/>
        </w:rPr>
        <w:tab/>
        <w:t>(2)</w:t>
      </w:r>
      <w:r>
        <w:rPr>
          <w:sz w:val="24"/>
          <w:szCs w:val="24"/>
        </w:rPr>
        <w:t xml:space="preserve"> Parcajele cu mai mult de </w:t>
      </w:r>
      <w:r>
        <w:rPr>
          <w:b/>
          <w:bCs/>
          <w:sz w:val="24"/>
          <w:szCs w:val="24"/>
        </w:rPr>
        <w:t>10</w:t>
      </w:r>
      <w:r>
        <w:rPr>
          <w:sz w:val="24"/>
          <w:szCs w:val="24"/>
        </w:rPr>
        <w:t xml:space="preserve"> autoturisme se prevăd cu iluminat de siguranță pentru evacuare, alcătuit şi realizat potrivit prevederilor reglementărilor tehnice de specialitate aplicabile și prezentului normativ.</w:t>
      </w:r>
    </w:p>
    <w:p w14:paraId="542FB15F" w14:textId="77777777" w:rsidR="001C08A5" w:rsidRDefault="00000000">
      <w:pPr>
        <w:jc w:val="both"/>
        <w:rPr>
          <w:sz w:val="24"/>
          <w:szCs w:val="24"/>
        </w:rPr>
      </w:pPr>
      <w:r>
        <w:rPr>
          <w:b/>
          <w:bCs/>
          <w:sz w:val="24"/>
          <w:szCs w:val="24"/>
        </w:rPr>
        <w:tab/>
        <w:t xml:space="preserve">(3) </w:t>
      </w:r>
      <w:r>
        <w:rPr>
          <w:rFonts w:eastAsia="ArialMT"/>
          <w:sz w:val="24"/>
          <w:szCs w:val="24"/>
        </w:rPr>
        <w:t>Circulațiile carosabile din parcajele supraterane, inclusiv rampele auto, se prevăd cu instalație de iluminat de siguranță, alimentată și realizată corespunzător prevederilor reglementărilor tehnice de specialitate aplicabile, astfel încât să asigure nivelul minim de iluminare necesar circulației în condiții de securitate. Corpurile de iluminat de siguranță se montează atât la partea superioară, cât și la partea inferioară a spațiilor de circulație, după caz, în pardoseală. În spațiile utilitare aferente parcajului supraterane, iluminatul de siguranță se realizează conform prevederilor reglementărilor tehnice de specialitate aplicabile.</w:t>
      </w:r>
    </w:p>
    <w:p w14:paraId="44B469F2" w14:textId="77777777" w:rsidR="001C08A5" w:rsidRDefault="00000000">
      <w:pPr>
        <w:ind w:firstLine="708"/>
        <w:jc w:val="both"/>
        <w:rPr>
          <w:sz w:val="24"/>
          <w:szCs w:val="24"/>
        </w:rPr>
      </w:pPr>
      <w:r>
        <w:rPr>
          <w:b/>
          <w:sz w:val="24"/>
          <w:szCs w:val="24"/>
        </w:rPr>
        <w:tab/>
        <w:t>(4)</w:t>
      </w:r>
      <w:r>
        <w:rPr>
          <w:sz w:val="24"/>
          <w:szCs w:val="24"/>
        </w:rPr>
        <w:t xml:space="preserve"> Iluminatul de siguranță pentru evacuarea </w:t>
      </w:r>
      <w:r>
        <w:rPr>
          <w:sz w:val="24"/>
          <w:szCs w:val="24"/>
          <w:lang w:val="en-US"/>
        </w:rPr>
        <w:t>utilizatorilor</w:t>
      </w:r>
      <w:r>
        <w:rPr>
          <w:sz w:val="24"/>
          <w:szCs w:val="24"/>
        </w:rPr>
        <w:t xml:space="preserve">din clădire va fi constituit din puncte luminoase dispuse la partea superioară şi inferioară a căilor de evacuare, cu funcţionare timp de minimum </w:t>
      </w:r>
      <w:r>
        <w:rPr>
          <w:b/>
          <w:sz w:val="24"/>
          <w:szCs w:val="24"/>
        </w:rPr>
        <w:t xml:space="preserve">60 de minute </w:t>
      </w:r>
      <w:r>
        <w:rPr>
          <w:bCs/>
          <w:sz w:val="24"/>
          <w:szCs w:val="24"/>
        </w:rPr>
        <w:t xml:space="preserve">pentru parcaje supraterane deschise și </w:t>
      </w:r>
      <w:r>
        <w:rPr>
          <w:b/>
          <w:sz w:val="24"/>
          <w:szCs w:val="24"/>
        </w:rPr>
        <w:t xml:space="preserve">180 de minute </w:t>
      </w:r>
      <w:r>
        <w:rPr>
          <w:bCs/>
          <w:sz w:val="24"/>
          <w:szCs w:val="24"/>
        </w:rPr>
        <w:t>pentru parcaje supraterane închise</w:t>
      </w:r>
      <w:r>
        <w:rPr>
          <w:sz w:val="24"/>
          <w:szCs w:val="24"/>
        </w:rPr>
        <w:t>.Î</w:t>
      </w:r>
      <w:r>
        <w:rPr>
          <w:rFonts w:eastAsia="ArialMT"/>
          <w:sz w:val="24"/>
          <w:szCs w:val="24"/>
        </w:rPr>
        <w:t xml:space="preserve">n situația amplasării </w:t>
      </w:r>
      <w:r>
        <w:rPr>
          <w:bCs/>
          <w:sz w:val="24"/>
          <w:szCs w:val="24"/>
        </w:rPr>
        <w:t>parcajelor supraterane deschise</w:t>
      </w:r>
      <w:r>
        <w:rPr>
          <w:rFonts w:eastAsia="ArialMT"/>
          <w:sz w:val="24"/>
          <w:szCs w:val="24"/>
        </w:rPr>
        <w:t xml:space="preserve"> în cl</w:t>
      </w:r>
      <w:r>
        <w:rPr>
          <w:rFonts w:eastAsia="ArialMT" w:hint="cs"/>
          <w:sz w:val="24"/>
          <w:szCs w:val="24"/>
        </w:rPr>
        <w:t>ă</w:t>
      </w:r>
      <w:r>
        <w:rPr>
          <w:rFonts w:eastAsia="ArialMT"/>
          <w:sz w:val="24"/>
          <w:szCs w:val="24"/>
        </w:rPr>
        <w:t xml:space="preserve">diri </w:t>
      </w:r>
      <w:r>
        <w:rPr>
          <w:rFonts w:eastAsia="ArialMT" w:hint="cs"/>
          <w:sz w:val="24"/>
          <w:szCs w:val="24"/>
        </w:rPr>
        <w:t>î</w:t>
      </w:r>
      <w:r>
        <w:rPr>
          <w:rFonts w:eastAsia="ArialMT"/>
          <w:sz w:val="24"/>
          <w:szCs w:val="24"/>
        </w:rPr>
        <w:t xml:space="preserve">nalte, foarte </w:t>
      </w:r>
      <w:r>
        <w:rPr>
          <w:rFonts w:eastAsia="ArialMT" w:hint="cs"/>
          <w:sz w:val="24"/>
          <w:szCs w:val="24"/>
        </w:rPr>
        <w:lastRenderedPageBreak/>
        <w:t>î</w:t>
      </w:r>
      <w:r>
        <w:rPr>
          <w:rFonts w:eastAsia="ArialMT"/>
          <w:sz w:val="24"/>
          <w:szCs w:val="24"/>
        </w:rPr>
        <w:t>nalte, sau cu cu s</w:t>
      </w:r>
      <w:r>
        <w:rPr>
          <w:rFonts w:eastAsia="ArialMT" w:hint="cs"/>
          <w:sz w:val="24"/>
          <w:szCs w:val="24"/>
        </w:rPr>
        <w:t>ă</w:t>
      </w:r>
      <w:r>
        <w:rPr>
          <w:rFonts w:eastAsia="ArialMT"/>
          <w:sz w:val="24"/>
          <w:szCs w:val="24"/>
        </w:rPr>
        <w:t>li aglomerate din categoria S1 și S2, sau în cadrul următoarelor functiuni: spații comerciale, cult, cultur</w:t>
      </w:r>
      <w:r>
        <w:rPr>
          <w:rFonts w:eastAsia="ArialMT" w:hint="cs"/>
          <w:sz w:val="24"/>
          <w:szCs w:val="24"/>
        </w:rPr>
        <w:t>ă</w:t>
      </w:r>
      <w:r>
        <w:rPr>
          <w:rFonts w:eastAsia="ArialMT"/>
          <w:sz w:val="24"/>
          <w:szCs w:val="24"/>
        </w:rPr>
        <w:t>, primire turistic</w:t>
      </w:r>
      <w:r>
        <w:rPr>
          <w:rFonts w:eastAsia="ArialMT" w:hint="cs"/>
          <w:sz w:val="24"/>
          <w:szCs w:val="24"/>
        </w:rPr>
        <w:t>ă</w:t>
      </w:r>
      <w:r>
        <w:rPr>
          <w:rFonts w:eastAsia="ArialMT"/>
          <w:sz w:val="24"/>
          <w:szCs w:val="24"/>
        </w:rPr>
        <w:t xml:space="preserve">, </w:t>
      </w:r>
      <w:r>
        <w:rPr>
          <w:rFonts w:eastAsia="ArialMT" w:hint="cs"/>
          <w:sz w:val="24"/>
          <w:szCs w:val="24"/>
        </w:rPr>
        <w:t>î</w:t>
      </w:r>
      <w:r>
        <w:rPr>
          <w:rFonts w:eastAsia="ArialMT"/>
          <w:sz w:val="24"/>
          <w:szCs w:val="24"/>
        </w:rPr>
        <w:t>nv</w:t>
      </w:r>
      <w:r>
        <w:rPr>
          <w:rFonts w:eastAsia="ArialMT" w:hint="cs"/>
          <w:sz w:val="24"/>
          <w:szCs w:val="24"/>
        </w:rPr>
        <w:t>ă</w:t>
      </w:r>
      <w:r>
        <w:rPr>
          <w:rFonts w:eastAsia="ArialMT"/>
          <w:sz w:val="24"/>
          <w:szCs w:val="24"/>
        </w:rPr>
        <w:t>ț</w:t>
      </w:r>
      <w:r>
        <w:rPr>
          <w:rFonts w:eastAsia="ArialMT" w:hint="cs"/>
          <w:sz w:val="24"/>
          <w:szCs w:val="24"/>
        </w:rPr>
        <w:t>ă</w:t>
      </w:r>
      <w:r>
        <w:rPr>
          <w:rFonts w:eastAsia="ArialMT"/>
          <w:sz w:val="24"/>
          <w:szCs w:val="24"/>
        </w:rPr>
        <w:t>m</w:t>
      </w:r>
      <w:r>
        <w:rPr>
          <w:rFonts w:eastAsia="ArialMT" w:hint="cs"/>
          <w:sz w:val="24"/>
          <w:szCs w:val="24"/>
        </w:rPr>
        <w:t>â</w:t>
      </w:r>
      <w:r>
        <w:rPr>
          <w:rFonts w:eastAsia="ArialMT"/>
          <w:sz w:val="24"/>
          <w:szCs w:val="24"/>
        </w:rPr>
        <w:t>nt, g</w:t>
      </w:r>
      <w:r>
        <w:rPr>
          <w:rFonts w:eastAsia="ArialMT" w:hint="cs"/>
          <w:sz w:val="24"/>
          <w:szCs w:val="24"/>
        </w:rPr>
        <w:t>ă</w:t>
      </w:r>
      <w:r>
        <w:rPr>
          <w:rFonts w:eastAsia="ArialMT"/>
          <w:sz w:val="24"/>
          <w:szCs w:val="24"/>
        </w:rPr>
        <w:t>ri și aerog</w:t>
      </w:r>
      <w:r>
        <w:rPr>
          <w:rFonts w:eastAsia="ArialMT" w:hint="cs"/>
          <w:sz w:val="24"/>
          <w:szCs w:val="24"/>
        </w:rPr>
        <w:t>ă</w:t>
      </w:r>
      <w:r>
        <w:rPr>
          <w:rFonts w:eastAsia="ArialMT"/>
          <w:sz w:val="24"/>
          <w:szCs w:val="24"/>
        </w:rPr>
        <w:t>ri, centre de asistenț</w:t>
      </w:r>
      <w:r>
        <w:rPr>
          <w:rFonts w:eastAsia="ArialMT" w:hint="cs"/>
          <w:sz w:val="24"/>
          <w:szCs w:val="24"/>
        </w:rPr>
        <w:t>ă</w:t>
      </w:r>
      <w:r>
        <w:rPr>
          <w:rFonts w:eastAsia="ArialMT"/>
          <w:sz w:val="24"/>
          <w:szCs w:val="24"/>
        </w:rPr>
        <w:t xml:space="preserve"> social</w:t>
      </w:r>
      <w:r>
        <w:rPr>
          <w:rFonts w:eastAsia="ArialMT" w:hint="cs"/>
          <w:sz w:val="24"/>
          <w:szCs w:val="24"/>
        </w:rPr>
        <w:t>ă</w:t>
      </w:r>
      <w:r>
        <w:rPr>
          <w:rFonts w:eastAsia="ArialMT"/>
          <w:sz w:val="24"/>
          <w:szCs w:val="24"/>
        </w:rPr>
        <w:t>, s</w:t>
      </w:r>
      <w:r>
        <w:rPr>
          <w:rFonts w:eastAsia="ArialMT" w:hint="cs"/>
          <w:sz w:val="24"/>
          <w:szCs w:val="24"/>
        </w:rPr>
        <w:t>ă</w:t>
      </w:r>
      <w:r>
        <w:rPr>
          <w:rFonts w:eastAsia="ArialMT"/>
          <w:sz w:val="24"/>
          <w:szCs w:val="24"/>
        </w:rPr>
        <w:t>n</w:t>
      </w:r>
      <w:r>
        <w:rPr>
          <w:rFonts w:eastAsia="ArialMT" w:hint="cs"/>
          <w:sz w:val="24"/>
          <w:szCs w:val="24"/>
        </w:rPr>
        <w:t>ă</w:t>
      </w:r>
      <w:r>
        <w:rPr>
          <w:rFonts w:eastAsia="ArialMT"/>
          <w:sz w:val="24"/>
          <w:szCs w:val="24"/>
        </w:rPr>
        <w:t>tate cu spitalizare</w:t>
      </w:r>
      <w:r>
        <w:rPr>
          <w:sz w:val="24"/>
          <w:szCs w:val="24"/>
        </w:rPr>
        <w:t xml:space="preserve">, iluminatul de siguranță pentru evacuarea utilizatorilor va avea timpul de funcţionare  de minimum </w:t>
      </w:r>
      <w:r>
        <w:rPr>
          <w:b/>
          <w:bCs/>
          <w:sz w:val="24"/>
          <w:szCs w:val="24"/>
        </w:rPr>
        <w:t>18</w:t>
      </w:r>
      <w:r>
        <w:rPr>
          <w:b/>
          <w:sz w:val="24"/>
          <w:szCs w:val="24"/>
        </w:rPr>
        <w:t>0 de minute</w:t>
      </w:r>
      <w:r>
        <w:rPr>
          <w:sz w:val="24"/>
          <w:szCs w:val="24"/>
        </w:rPr>
        <w:t>.</w:t>
      </w:r>
    </w:p>
    <w:p w14:paraId="585139FC" w14:textId="77777777" w:rsidR="001C08A5" w:rsidRDefault="00000000">
      <w:pPr>
        <w:ind w:firstLine="708"/>
        <w:jc w:val="both"/>
        <w:rPr>
          <w:sz w:val="24"/>
          <w:szCs w:val="24"/>
        </w:rPr>
      </w:pPr>
      <w:r>
        <w:rPr>
          <w:b/>
          <w:sz w:val="24"/>
          <w:szCs w:val="24"/>
        </w:rPr>
        <w:tab/>
        <w:t>(5)</w:t>
      </w:r>
      <w:r>
        <w:rPr>
          <w:sz w:val="24"/>
          <w:szCs w:val="24"/>
        </w:rPr>
        <w:t xml:space="preserve"> Se recomandă ca punctele luminoase dispuse la partea superioară, precum şi cele dispuse la partea inferioară să se monteze la maximum </w:t>
      </w:r>
      <w:r>
        <w:rPr>
          <w:b/>
          <w:sz w:val="24"/>
          <w:szCs w:val="24"/>
        </w:rPr>
        <w:t>15,00 m</w:t>
      </w:r>
      <w:r>
        <w:rPr>
          <w:sz w:val="24"/>
          <w:szCs w:val="24"/>
        </w:rPr>
        <w:t xml:space="preserve"> distanţă între ele, pentru fiecare în parte. </w:t>
      </w:r>
      <w:r>
        <w:rPr>
          <w:bCs/>
          <w:sz w:val="24"/>
          <w:szCs w:val="24"/>
        </w:rPr>
        <w:t xml:space="preserve">De-a lungul căilor de evacuare, este obligatoriu ca distanța dintre corpurile de iluminat pentru evacuare trebuie să respecte distanțele de vizibilitate prevăzute de </w:t>
      </w:r>
      <w:r>
        <w:rPr>
          <w:b/>
          <w:sz w:val="24"/>
          <w:szCs w:val="24"/>
        </w:rPr>
        <w:t>SR EN 1838</w:t>
      </w:r>
      <w:r>
        <w:rPr>
          <w:bCs/>
          <w:sz w:val="24"/>
          <w:szCs w:val="24"/>
        </w:rPr>
        <w:t>.</w:t>
      </w:r>
    </w:p>
    <w:p w14:paraId="3F2A66EB" w14:textId="77777777" w:rsidR="001C08A5" w:rsidRDefault="00000000">
      <w:pPr>
        <w:ind w:firstLine="708"/>
        <w:jc w:val="both"/>
        <w:rPr>
          <w:b/>
          <w:sz w:val="24"/>
          <w:szCs w:val="24"/>
        </w:rPr>
      </w:pPr>
      <w:r>
        <w:rPr>
          <w:b/>
          <w:sz w:val="24"/>
          <w:szCs w:val="24"/>
        </w:rPr>
        <w:tab/>
        <w:t>(6)</w:t>
      </w:r>
      <w:r>
        <w:rPr>
          <w:sz w:val="24"/>
          <w:szCs w:val="24"/>
        </w:rPr>
        <w:t xml:space="preserve"> Fiecare punct luminos se recomandă să aibe un flux luminos de minimum </w:t>
      </w:r>
      <w:r>
        <w:rPr>
          <w:b/>
          <w:sz w:val="24"/>
          <w:szCs w:val="24"/>
        </w:rPr>
        <w:t>45 lumeni</w:t>
      </w:r>
      <w:r>
        <w:rPr>
          <w:sz w:val="24"/>
          <w:szCs w:val="24"/>
        </w:rPr>
        <w:t xml:space="preserve"> pe o perioadă de </w:t>
      </w:r>
      <w:r>
        <w:rPr>
          <w:b/>
          <w:sz w:val="24"/>
          <w:szCs w:val="24"/>
        </w:rPr>
        <w:t>60 de minute (</w:t>
      </w:r>
      <w:r>
        <w:rPr>
          <w:bCs/>
          <w:sz w:val="24"/>
          <w:szCs w:val="24"/>
        </w:rPr>
        <w:t>sau</w:t>
      </w:r>
      <w:r>
        <w:rPr>
          <w:b/>
          <w:sz w:val="24"/>
          <w:szCs w:val="24"/>
        </w:rPr>
        <w:t xml:space="preserve"> 180 de minute</w:t>
      </w:r>
      <w:r>
        <w:rPr>
          <w:bCs/>
          <w:sz w:val="24"/>
          <w:szCs w:val="24"/>
        </w:rPr>
        <w:t xml:space="preserve"> în cazul parcajelor supraterane închise</w:t>
      </w:r>
      <w:r>
        <w:rPr>
          <w:b/>
          <w:sz w:val="24"/>
          <w:szCs w:val="24"/>
        </w:rPr>
        <w:t>)</w:t>
      </w:r>
      <w:r>
        <w:rPr>
          <w:bCs/>
          <w:sz w:val="24"/>
          <w:szCs w:val="24"/>
        </w:rPr>
        <w:t xml:space="preserve"> și obligatoriu minimum</w:t>
      </w:r>
      <w:r>
        <w:rPr>
          <w:b/>
          <w:sz w:val="24"/>
          <w:szCs w:val="24"/>
        </w:rPr>
        <w:t xml:space="preserve"> 1 lx</w:t>
      </w:r>
      <w:r>
        <w:rPr>
          <w:bCs/>
          <w:sz w:val="24"/>
          <w:szCs w:val="24"/>
        </w:rPr>
        <w:t xml:space="preserve"> în orice punct al căilor de evacuare la nivelul pardoselii.</w:t>
      </w:r>
      <w:r>
        <w:rPr>
          <w:b/>
          <w:sz w:val="24"/>
          <w:szCs w:val="24"/>
        </w:rPr>
        <w:tab/>
      </w:r>
    </w:p>
    <w:p w14:paraId="58BB0E33" w14:textId="77777777" w:rsidR="001C08A5" w:rsidRDefault="00000000">
      <w:pPr>
        <w:ind w:firstLine="708"/>
        <w:jc w:val="both"/>
        <w:rPr>
          <w:sz w:val="24"/>
          <w:szCs w:val="24"/>
        </w:rPr>
      </w:pPr>
      <w:r>
        <w:rPr>
          <w:b/>
          <w:sz w:val="24"/>
          <w:szCs w:val="24"/>
        </w:rPr>
        <w:t>(7)</w:t>
      </w:r>
      <w:r>
        <w:rPr>
          <w:sz w:val="24"/>
          <w:szCs w:val="24"/>
        </w:rPr>
        <w:t xml:space="preserve"> Punctele luminoase dispuse la partea inferioară pot fi încastrate în pardoseală, cu condiţia respectării rezistenţei mecanice necesare sau amplasate în apropierea pardoselii .</w:t>
      </w:r>
    </w:p>
    <w:p w14:paraId="1B1CA9A6" w14:textId="77777777" w:rsidR="001C08A5" w:rsidRDefault="00000000">
      <w:pPr>
        <w:ind w:firstLine="708"/>
        <w:jc w:val="both"/>
        <w:rPr>
          <w:sz w:val="24"/>
          <w:szCs w:val="24"/>
        </w:rPr>
      </w:pPr>
      <w:r>
        <w:rPr>
          <w:b/>
          <w:bCs/>
          <w:sz w:val="24"/>
          <w:szCs w:val="24"/>
        </w:rPr>
        <w:tab/>
        <w:t>(8)</w:t>
      </w:r>
      <w:r>
        <w:rPr>
          <w:sz w:val="24"/>
          <w:szCs w:val="24"/>
        </w:rPr>
        <w:t xml:space="preserve"> Punctele luminoase dispuse la partea inferioară care nu se încastrează în pardoseală se dispun la cel mult </w:t>
      </w:r>
      <w:r>
        <w:rPr>
          <w:b/>
          <w:sz w:val="24"/>
          <w:szCs w:val="24"/>
        </w:rPr>
        <w:t xml:space="preserve">0,50 m </w:t>
      </w:r>
      <w:r>
        <w:rPr>
          <w:sz w:val="24"/>
          <w:szCs w:val="24"/>
        </w:rPr>
        <w:t>deasupra pardoselii, cu condiția realizării protecției mecanice a corpurilor de iluminat.</w:t>
      </w:r>
    </w:p>
    <w:p w14:paraId="35A50718" w14:textId="77777777" w:rsidR="001C08A5" w:rsidRDefault="001C08A5">
      <w:pPr>
        <w:jc w:val="both"/>
        <w:rPr>
          <w:sz w:val="24"/>
          <w:szCs w:val="24"/>
        </w:rPr>
      </w:pPr>
    </w:p>
    <w:p w14:paraId="170DE9A1" w14:textId="77777777" w:rsidR="001C08A5" w:rsidRDefault="00000000">
      <w:pPr>
        <w:ind w:firstLine="720"/>
        <w:jc w:val="both"/>
        <w:rPr>
          <w:rFonts w:eastAsia="ArialMT"/>
          <w:sz w:val="24"/>
          <w:szCs w:val="24"/>
        </w:rPr>
      </w:pPr>
      <w:r>
        <w:rPr>
          <w:b/>
          <w:bCs/>
          <w:iCs/>
          <w:sz w:val="24"/>
          <w:szCs w:val="24"/>
        </w:rPr>
        <w:t>Art. 3.2.11.25.</w:t>
      </w:r>
      <w:r>
        <w:rPr>
          <w:rFonts w:eastAsia="ArialMT"/>
          <w:sz w:val="24"/>
          <w:szCs w:val="24"/>
        </w:rPr>
        <w:t xml:space="preserve"> La parcajele supraterane pentru autoturisme este obligatorie alimentarea din două surse de alimentare de bază și de rezervă (conform prevederi din normativ </w:t>
      </w:r>
      <w:r>
        <w:rPr>
          <w:rFonts w:eastAsia="ArialMT"/>
          <w:b/>
          <w:bCs/>
          <w:sz w:val="24"/>
          <w:szCs w:val="24"/>
        </w:rPr>
        <w:t>I7</w:t>
      </w:r>
      <w:r>
        <w:rPr>
          <w:rFonts w:eastAsia="ArialMT"/>
          <w:sz w:val="24"/>
          <w:szCs w:val="24"/>
        </w:rPr>
        <w:t>), a următorilor consumatori vitali:</w:t>
      </w:r>
    </w:p>
    <w:p w14:paraId="0BC88B06" w14:textId="77777777" w:rsidR="001C08A5" w:rsidRDefault="00000000">
      <w:pPr>
        <w:ind w:left="720" w:firstLine="720"/>
        <w:jc w:val="both"/>
        <w:rPr>
          <w:rFonts w:eastAsia="ArialMT"/>
          <w:sz w:val="24"/>
          <w:szCs w:val="24"/>
        </w:rPr>
      </w:pPr>
      <w:r>
        <w:rPr>
          <w:rFonts w:eastAsia="ArialMT"/>
          <w:b/>
          <w:bCs/>
          <w:sz w:val="24"/>
          <w:szCs w:val="24"/>
        </w:rPr>
        <w:t>a)</w:t>
      </w:r>
      <w:r>
        <w:rPr>
          <w:rFonts w:eastAsia="ArialMT"/>
          <w:sz w:val="24"/>
          <w:szCs w:val="24"/>
        </w:rPr>
        <w:t xml:space="preserve"> instalații de detectare și semnalizare a incendiilor;</w:t>
      </w:r>
    </w:p>
    <w:p w14:paraId="278A2E3D" w14:textId="77777777" w:rsidR="001C08A5" w:rsidRDefault="00000000">
      <w:pPr>
        <w:ind w:left="720" w:firstLine="720"/>
        <w:jc w:val="both"/>
        <w:rPr>
          <w:rFonts w:eastAsia="ArialMT"/>
          <w:sz w:val="24"/>
          <w:szCs w:val="24"/>
        </w:rPr>
      </w:pPr>
      <w:r>
        <w:rPr>
          <w:rFonts w:eastAsia="ArialMT"/>
          <w:b/>
          <w:bCs/>
          <w:sz w:val="24"/>
          <w:szCs w:val="24"/>
        </w:rPr>
        <w:t>b)</w:t>
      </w:r>
      <w:r>
        <w:rPr>
          <w:rFonts w:eastAsia="ArialMT"/>
          <w:sz w:val="24"/>
          <w:szCs w:val="24"/>
        </w:rPr>
        <w:t xml:space="preserve"> instalații de stingere a incendiilor cu apă;</w:t>
      </w:r>
    </w:p>
    <w:p w14:paraId="7B1C9174" w14:textId="77777777" w:rsidR="001C08A5" w:rsidRDefault="00000000">
      <w:pPr>
        <w:ind w:left="720" w:firstLine="720"/>
        <w:jc w:val="both"/>
        <w:rPr>
          <w:rFonts w:eastAsia="ArialMT"/>
          <w:sz w:val="24"/>
          <w:szCs w:val="24"/>
        </w:rPr>
      </w:pPr>
      <w:r>
        <w:rPr>
          <w:rFonts w:eastAsia="ArialMT"/>
          <w:b/>
          <w:bCs/>
          <w:sz w:val="24"/>
          <w:szCs w:val="24"/>
        </w:rPr>
        <w:t>c)</w:t>
      </w:r>
      <w:r>
        <w:rPr>
          <w:rFonts w:eastAsia="ArialMT"/>
          <w:sz w:val="24"/>
          <w:szCs w:val="24"/>
        </w:rPr>
        <w:t xml:space="preserve"> instalații de evacuare a fumului prin </w:t>
      </w:r>
      <w:r>
        <w:rPr>
          <w:sz w:val="24"/>
          <w:szCs w:val="24"/>
        </w:rPr>
        <w:t>ventilare mecanică</w:t>
      </w:r>
      <w:r>
        <w:rPr>
          <w:rFonts w:eastAsia="ArialMT"/>
          <w:sz w:val="24"/>
          <w:szCs w:val="24"/>
        </w:rPr>
        <w:t>;</w:t>
      </w:r>
    </w:p>
    <w:p w14:paraId="1205114B" w14:textId="77777777" w:rsidR="001C08A5" w:rsidRDefault="00000000">
      <w:pPr>
        <w:ind w:left="720" w:firstLine="720"/>
        <w:jc w:val="both"/>
        <w:rPr>
          <w:rFonts w:eastAsia="ArialMT"/>
          <w:sz w:val="24"/>
          <w:szCs w:val="24"/>
        </w:rPr>
      </w:pPr>
      <w:r>
        <w:rPr>
          <w:rFonts w:eastAsia="ArialMT"/>
          <w:b/>
          <w:bCs/>
          <w:sz w:val="24"/>
          <w:szCs w:val="24"/>
        </w:rPr>
        <w:t>d)</w:t>
      </w:r>
      <w:r>
        <w:rPr>
          <w:rFonts w:eastAsia="ArialMT"/>
          <w:sz w:val="24"/>
          <w:szCs w:val="24"/>
        </w:rPr>
        <w:t xml:space="preserve"> mijloace destinate alertării utilizatorilor;</w:t>
      </w:r>
    </w:p>
    <w:p w14:paraId="6775315A" w14:textId="77777777" w:rsidR="001C08A5" w:rsidRDefault="00000000">
      <w:pPr>
        <w:ind w:left="720" w:firstLine="720"/>
        <w:jc w:val="both"/>
        <w:rPr>
          <w:rFonts w:eastAsia="ArialMT"/>
          <w:sz w:val="24"/>
          <w:szCs w:val="24"/>
        </w:rPr>
      </w:pPr>
      <w:r>
        <w:rPr>
          <w:rFonts w:eastAsia="ArialMT"/>
          <w:b/>
          <w:bCs/>
          <w:sz w:val="24"/>
          <w:szCs w:val="24"/>
        </w:rPr>
        <w:t>e)</w:t>
      </w:r>
      <w:r>
        <w:rPr>
          <w:rFonts w:eastAsia="ArialMT"/>
          <w:sz w:val="24"/>
          <w:szCs w:val="24"/>
        </w:rPr>
        <w:t xml:space="preserve"> ascensoare pentru persoane cu dizabilități;</w:t>
      </w:r>
    </w:p>
    <w:p w14:paraId="15F33200" w14:textId="77777777" w:rsidR="001C08A5" w:rsidRDefault="00000000">
      <w:pPr>
        <w:ind w:left="720" w:firstLine="720"/>
        <w:jc w:val="both"/>
        <w:rPr>
          <w:rFonts w:eastAsia="ArialMT"/>
          <w:sz w:val="24"/>
          <w:szCs w:val="24"/>
        </w:rPr>
      </w:pPr>
      <w:r>
        <w:rPr>
          <w:rFonts w:eastAsia="ArialMT"/>
          <w:b/>
          <w:bCs/>
          <w:sz w:val="24"/>
          <w:szCs w:val="24"/>
        </w:rPr>
        <w:t>f)</w:t>
      </w:r>
      <w:r>
        <w:rPr>
          <w:rFonts w:eastAsia="ArialMT"/>
          <w:sz w:val="24"/>
          <w:szCs w:val="24"/>
        </w:rPr>
        <w:t xml:space="preserve"> ascensoare de pompieri (intervenție în caz de incendiu), atunci când acestea sunt obligatorii;</w:t>
      </w:r>
    </w:p>
    <w:p w14:paraId="2DD1D77C" w14:textId="77777777" w:rsidR="001C08A5" w:rsidRDefault="00000000">
      <w:pPr>
        <w:ind w:left="720" w:firstLine="720"/>
        <w:jc w:val="both"/>
        <w:rPr>
          <w:rFonts w:eastAsia="ArialMT"/>
          <w:sz w:val="24"/>
          <w:szCs w:val="24"/>
        </w:rPr>
      </w:pPr>
      <w:r>
        <w:rPr>
          <w:rFonts w:eastAsia="ArialMT"/>
          <w:b/>
          <w:bCs/>
          <w:sz w:val="24"/>
          <w:szCs w:val="24"/>
        </w:rPr>
        <w:t>g)</w:t>
      </w:r>
      <w:r>
        <w:rPr>
          <w:rFonts w:eastAsia="ArialMT"/>
          <w:sz w:val="24"/>
          <w:szCs w:val="24"/>
        </w:rPr>
        <w:t xml:space="preserve"> platforme elevatoare și ascensoare pentru autoturisme;</w:t>
      </w:r>
    </w:p>
    <w:p w14:paraId="66446D56" w14:textId="77777777" w:rsidR="001C08A5" w:rsidRDefault="00000000">
      <w:pPr>
        <w:ind w:left="720" w:firstLine="720"/>
        <w:jc w:val="both"/>
        <w:rPr>
          <w:rFonts w:eastAsia="ArialMT"/>
          <w:sz w:val="24"/>
          <w:szCs w:val="24"/>
        </w:rPr>
      </w:pPr>
      <w:r>
        <w:rPr>
          <w:rFonts w:eastAsia="ArialMT"/>
          <w:b/>
          <w:bCs/>
          <w:sz w:val="24"/>
          <w:szCs w:val="24"/>
        </w:rPr>
        <w:t>h)</w:t>
      </w:r>
      <w:r>
        <w:rPr>
          <w:rFonts w:eastAsia="ArialMT"/>
          <w:sz w:val="24"/>
          <w:szCs w:val="24"/>
        </w:rPr>
        <w:t xml:space="preserve"> cortine rezistente la foc.</w:t>
      </w:r>
    </w:p>
    <w:p w14:paraId="6A236C68" w14:textId="77777777" w:rsidR="001C08A5" w:rsidRDefault="001C08A5">
      <w:pPr>
        <w:jc w:val="both"/>
        <w:rPr>
          <w:sz w:val="24"/>
          <w:szCs w:val="24"/>
        </w:rPr>
      </w:pPr>
    </w:p>
    <w:p w14:paraId="6C02CEC2" w14:textId="77777777" w:rsidR="001C08A5" w:rsidRDefault="00000000">
      <w:pPr>
        <w:jc w:val="both"/>
        <w:rPr>
          <w:sz w:val="24"/>
          <w:szCs w:val="24"/>
        </w:rPr>
      </w:pPr>
      <w:r>
        <w:rPr>
          <w:sz w:val="24"/>
          <w:szCs w:val="24"/>
        </w:rPr>
        <w:tab/>
      </w:r>
      <w:r>
        <w:rPr>
          <w:b/>
          <w:sz w:val="24"/>
          <w:szCs w:val="24"/>
        </w:rPr>
        <w:t xml:space="preserve">Art. </w:t>
      </w:r>
      <w:r>
        <w:rPr>
          <w:b/>
          <w:bCs/>
          <w:sz w:val="24"/>
          <w:szCs w:val="24"/>
        </w:rPr>
        <w:t>3.2.11.</w:t>
      </w:r>
      <w:r>
        <w:rPr>
          <w:b/>
          <w:sz w:val="24"/>
          <w:szCs w:val="24"/>
        </w:rPr>
        <w:t xml:space="preserve">26. </w:t>
      </w:r>
      <w:r>
        <w:rPr>
          <w:sz w:val="24"/>
          <w:szCs w:val="24"/>
        </w:rPr>
        <w:t>Parcajele supraterane închise pentru autoturisme vor avea constituite și organizate servicii pentru situaţii de urgenţă, conform reglementării specifice</w:t>
      </w:r>
    </w:p>
    <w:p w14:paraId="42C2E7C8" w14:textId="77777777" w:rsidR="001C08A5" w:rsidRDefault="001C08A5">
      <w:pPr>
        <w:ind w:firstLine="720"/>
        <w:jc w:val="both"/>
        <w:rPr>
          <w:sz w:val="24"/>
          <w:szCs w:val="24"/>
        </w:rPr>
      </w:pPr>
    </w:p>
    <w:p w14:paraId="4A42AE82" w14:textId="77777777" w:rsidR="001C08A5" w:rsidRDefault="00000000">
      <w:pPr>
        <w:ind w:firstLine="720"/>
        <w:jc w:val="both"/>
        <w:rPr>
          <w:sz w:val="24"/>
          <w:szCs w:val="24"/>
        </w:rPr>
      </w:pPr>
      <w:r>
        <w:rPr>
          <w:b/>
          <w:sz w:val="24"/>
          <w:szCs w:val="24"/>
        </w:rPr>
        <w:t xml:space="preserve">Art. </w:t>
      </w:r>
      <w:r>
        <w:rPr>
          <w:b/>
          <w:bCs/>
          <w:sz w:val="24"/>
          <w:szCs w:val="24"/>
        </w:rPr>
        <w:t>3.2.11.</w:t>
      </w:r>
      <w:r>
        <w:rPr>
          <w:b/>
          <w:sz w:val="24"/>
          <w:szCs w:val="24"/>
        </w:rPr>
        <w:t xml:space="preserve">27. (1) </w:t>
      </w:r>
      <w:r>
        <w:rPr>
          <w:bCs/>
          <w:sz w:val="24"/>
          <w:szCs w:val="24"/>
        </w:rPr>
        <w:t xml:space="preserve">La </w:t>
      </w:r>
      <w:r>
        <w:rPr>
          <w:sz w:val="24"/>
          <w:szCs w:val="24"/>
        </w:rPr>
        <w:t xml:space="preserve">parcajele supraterane pentru mai mult de </w:t>
      </w:r>
      <w:r>
        <w:rPr>
          <w:b/>
          <w:bCs/>
          <w:sz w:val="24"/>
          <w:szCs w:val="24"/>
        </w:rPr>
        <w:t>10</w:t>
      </w:r>
      <w:r>
        <w:rPr>
          <w:sz w:val="24"/>
          <w:szCs w:val="24"/>
        </w:rPr>
        <w:t xml:space="preserve"> autoturisme, vor fi asigurate căi de acces şi intervenţie pentru autospecialele de stingere a incendiilor şi de salvare a utilizatorilor. </w:t>
      </w:r>
    </w:p>
    <w:p w14:paraId="7B2D9CAC" w14:textId="77777777" w:rsidR="001C08A5" w:rsidRDefault="00000000">
      <w:pPr>
        <w:ind w:firstLine="720"/>
        <w:jc w:val="both"/>
        <w:rPr>
          <w:sz w:val="24"/>
          <w:szCs w:val="24"/>
        </w:rPr>
      </w:pPr>
      <w:r>
        <w:rPr>
          <w:b/>
          <w:sz w:val="24"/>
          <w:szCs w:val="24"/>
        </w:rPr>
        <w:t>(2)</w:t>
      </w:r>
      <w:r>
        <w:rPr>
          <w:sz w:val="24"/>
          <w:szCs w:val="24"/>
        </w:rPr>
        <w:t xml:space="preserve"> Accesul pentru intervenție în caz de incendiu trebuie asigurat pe cel puțin un drum carosabil care să permită circulația autospecialelor de intervenție. </w:t>
      </w:r>
    </w:p>
    <w:p w14:paraId="1FE05E75" w14:textId="77777777" w:rsidR="001C08A5" w:rsidRDefault="00000000">
      <w:pPr>
        <w:ind w:firstLine="720"/>
        <w:jc w:val="both"/>
        <w:rPr>
          <w:sz w:val="24"/>
          <w:szCs w:val="24"/>
        </w:rPr>
      </w:pPr>
      <w:r>
        <w:rPr>
          <w:b/>
          <w:sz w:val="24"/>
          <w:szCs w:val="24"/>
        </w:rPr>
        <w:t>(3)</w:t>
      </w:r>
      <w:r>
        <w:rPr>
          <w:sz w:val="24"/>
          <w:szCs w:val="24"/>
        </w:rPr>
        <w:t xml:space="preserve"> Căile de acces și circulațiile interioare funcționale ale parcajelor vor fi menținute permanent în stare de utilizare, astfel încât în caz de necesitate să poată fi utilizate de către serviciile de intervenție pentru situații de urgență.</w:t>
      </w:r>
    </w:p>
    <w:p w14:paraId="7D947E99" w14:textId="77777777" w:rsidR="001C08A5" w:rsidRDefault="00000000">
      <w:pPr>
        <w:ind w:firstLine="720"/>
        <w:jc w:val="both"/>
        <w:rPr>
          <w:sz w:val="24"/>
          <w:szCs w:val="24"/>
        </w:rPr>
      </w:pPr>
      <w:r>
        <w:rPr>
          <w:b/>
          <w:sz w:val="24"/>
          <w:szCs w:val="24"/>
        </w:rPr>
        <w:t>(4)</w:t>
      </w:r>
      <w:r>
        <w:rPr>
          <w:sz w:val="24"/>
          <w:szCs w:val="24"/>
        </w:rPr>
        <w:t xml:space="preserve"> Parcajele supraterane trebuie să permită accesul autospecialelor serviciilor pentru situații de urgență astfel: </w:t>
      </w:r>
    </w:p>
    <w:p w14:paraId="44C9BA74" w14:textId="77777777" w:rsidR="001C08A5" w:rsidRDefault="00000000">
      <w:pPr>
        <w:ind w:left="1440" w:firstLine="720"/>
        <w:jc w:val="both"/>
        <w:rPr>
          <w:sz w:val="24"/>
          <w:szCs w:val="24"/>
        </w:rPr>
      </w:pPr>
      <w:r>
        <w:rPr>
          <w:sz w:val="24"/>
          <w:szCs w:val="24"/>
        </w:rPr>
        <w:t xml:space="preserve">- parcajele supraterane tip </w:t>
      </w:r>
      <w:r>
        <w:rPr>
          <w:b/>
          <w:bCs/>
          <w:sz w:val="24"/>
          <w:szCs w:val="24"/>
        </w:rPr>
        <w:t>P1</w:t>
      </w:r>
      <w:r>
        <w:rPr>
          <w:sz w:val="24"/>
          <w:szCs w:val="24"/>
        </w:rPr>
        <w:t xml:space="preserve">: o fațadă accesibilă deservită de minimum o cale de circulație, astfel încât sa să permită accesul autospecialelor serviciilor pentru situații de urgență pe minimum </w:t>
      </w:r>
      <w:r>
        <w:rPr>
          <w:b/>
          <w:bCs/>
          <w:sz w:val="24"/>
          <w:szCs w:val="24"/>
        </w:rPr>
        <w:t>25%</w:t>
      </w:r>
      <w:r>
        <w:rPr>
          <w:sz w:val="24"/>
          <w:szCs w:val="24"/>
        </w:rPr>
        <w:t xml:space="preserve"> din perimetrul pereților exteriori</w:t>
      </w:r>
    </w:p>
    <w:p w14:paraId="0A02CC2F" w14:textId="77777777" w:rsidR="001C08A5" w:rsidRDefault="00000000">
      <w:pPr>
        <w:ind w:left="1440" w:firstLine="720"/>
        <w:jc w:val="both"/>
        <w:rPr>
          <w:sz w:val="24"/>
          <w:szCs w:val="24"/>
        </w:rPr>
      </w:pPr>
      <w:r>
        <w:rPr>
          <w:sz w:val="24"/>
          <w:szCs w:val="24"/>
        </w:rPr>
        <w:t xml:space="preserve">- parcajele supraterane tip </w:t>
      </w:r>
      <w:r>
        <w:rPr>
          <w:b/>
          <w:bCs/>
          <w:sz w:val="24"/>
          <w:szCs w:val="24"/>
        </w:rPr>
        <w:t>P2</w:t>
      </w:r>
      <w:r>
        <w:rPr>
          <w:sz w:val="24"/>
          <w:szCs w:val="24"/>
        </w:rPr>
        <w:t xml:space="preserve">: o fațadă accesibilă deservită integral de o cale de circulație și o a doua accesibilă parțial din latura deservită, astfel încât sa să permită accesul autospecialelor serviciilor pentru situații de urgență pe minimum </w:t>
      </w:r>
      <w:r>
        <w:rPr>
          <w:b/>
          <w:bCs/>
          <w:sz w:val="24"/>
          <w:szCs w:val="24"/>
        </w:rPr>
        <w:t>35%</w:t>
      </w:r>
      <w:r>
        <w:rPr>
          <w:sz w:val="24"/>
          <w:szCs w:val="24"/>
        </w:rPr>
        <w:t xml:space="preserve"> din perimetrul pereților exteriori</w:t>
      </w:r>
    </w:p>
    <w:p w14:paraId="285FEAF6" w14:textId="77777777" w:rsidR="001C08A5" w:rsidRDefault="00000000">
      <w:pPr>
        <w:ind w:left="1440" w:firstLine="720"/>
        <w:jc w:val="both"/>
        <w:rPr>
          <w:sz w:val="24"/>
          <w:szCs w:val="24"/>
        </w:rPr>
      </w:pPr>
      <w:r>
        <w:rPr>
          <w:sz w:val="24"/>
          <w:szCs w:val="24"/>
        </w:rPr>
        <w:t xml:space="preserve">- parcajele supraterane tip </w:t>
      </w:r>
      <w:r>
        <w:rPr>
          <w:b/>
          <w:bCs/>
          <w:sz w:val="24"/>
          <w:szCs w:val="24"/>
        </w:rPr>
        <w:t>P3</w:t>
      </w:r>
      <w:r>
        <w:rPr>
          <w:sz w:val="24"/>
          <w:szCs w:val="24"/>
        </w:rPr>
        <w:t xml:space="preserve">: minimum două fațade accesibile deservite de căi de circulație în totalitate, astfel încât să permită accesul autospecialelor serviciilor pentru situații de urgență pe minimum </w:t>
      </w:r>
      <w:r>
        <w:rPr>
          <w:b/>
          <w:bCs/>
          <w:sz w:val="24"/>
          <w:szCs w:val="24"/>
        </w:rPr>
        <w:t>50%</w:t>
      </w:r>
      <w:r>
        <w:rPr>
          <w:sz w:val="24"/>
          <w:szCs w:val="24"/>
        </w:rPr>
        <w:t xml:space="preserve"> din perimetrul pereților exteriori</w:t>
      </w:r>
    </w:p>
    <w:p w14:paraId="02C5A894" w14:textId="77777777" w:rsidR="001C08A5" w:rsidRDefault="00000000">
      <w:pPr>
        <w:ind w:left="1440" w:firstLine="720"/>
        <w:jc w:val="both"/>
        <w:rPr>
          <w:sz w:val="24"/>
          <w:szCs w:val="24"/>
        </w:rPr>
      </w:pPr>
      <w:r>
        <w:rPr>
          <w:sz w:val="24"/>
          <w:szCs w:val="24"/>
        </w:rPr>
        <w:lastRenderedPageBreak/>
        <w:t xml:space="preserve">- parcajele supraterane tip </w:t>
      </w:r>
      <w:r>
        <w:rPr>
          <w:b/>
          <w:bCs/>
          <w:sz w:val="24"/>
          <w:szCs w:val="24"/>
        </w:rPr>
        <w:t>P4</w:t>
      </w:r>
      <w:r>
        <w:rPr>
          <w:sz w:val="24"/>
          <w:szCs w:val="24"/>
        </w:rPr>
        <w:t xml:space="preserve">: trei fațade accesibile, judicios repartizate și deservite de căi de circulație, astfel încât să permită accesul autospecialelor serviciilor pentru situații de urgență pe minimum </w:t>
      </w:r>
      <w:r>
        <w:rPr>
          <w:b/>
          <w:bCs/>
          <w:sz w:val="24"/>
          <w:szCs w:val="24"/>
        </w:rPr>
        <w:t>70%</w:t>
      </w:r>
      <w:r>
        <w:rPr>
          <w:sz w:val="24"/>
          <w:szCs w:val="24"/>
        </w:rPr>
        <w:t xml:space="preserve"> din perimetrul pereților exteriori</w:t>
      </w:r>
    </w:p>
    <w:p w14:paraId="73E0D4A2" w14:textId="77777777" w:rsidR="001C08A5" w:rsidRDefault="001C08A5">
      <w:pPr>
        <w:jc w:val="both"/>
        <w:rPr>
          <w:sz w:val="24"/>
          <w:szCs w:val="24"/>
        </w:rPr>
      </w:pPr>
    </w:p>
    <w:p w14:paraId="134A44C4" w14:textId="77777777" w:rsidR="001C08A5" w:rsidRDefault="00000000">
      <w:pPr>
        <w:jc w:val="both"/>
        <w:rPr>
          <w:b/>
          <w:bCs/>
          <w:sz w:val="24"/>
          <w:szCs w:val="24"/>
        </w:rPr>
      </w:pPr>
      <w:r>
        <w:rPr>
          <w:b/>
          <w:sz w:val="24"/>
          <w:szCs w:val="24"/>
        </w:rPr>
        <w:tab/>
        <w:t xml:space="preserve">Art. </w:t>
      </w:r>
      <w:r>
        <w:rPr>
          <w:b/>
          <w:bCs/>
          <w:sz w:val="24"/>
          <w:szCs w:val="24"/>
        </w:rPr>
        <w:t>3.2.11.</w:t>
      </w:r>
      <w:r>
        <w:rPr>
          <w:b/>
          <w:sz w:val="24"/>
          <w:szCs w:val="24"/>
        </w:rPr>
        <w:t xml:space="preserve">28. </w:t>
      </w:r>
      <w:r>
        <w:rPr>
          <w:sz w:val="24"/>
          <w:szCs w:val="24"/>
        </w:rPr>
        <w:t xml:space="preserve">În parcajele pentru autoturisme se asigură minimum un stingător portativ cu performanţa de stingere </w:t>
      </w:r>
      <w:r>
        <w:rPr>
          <w:b/>
          <w:sz w:val="24"/>
          <w:szCs w:val="24"/>
        </w:rPr>
        <w:t>21A</w:t>
      </w:r>
      <w:r>
        <w:rPr>
          <w:sz w:val="24"/>
          <w:szCs w:val="24"/>
        </w:rPr>
        <w:t xml:space="preserve"> și </w:t>
      </w:r>
      <w:r>
        <w:rPr>
          <w:b/>
          <w:sz w:val="24"/>
          <w:szCs w:val="24"/>
        </w:rPr>
        <w:t>113B</w:t>
      </w:r>
      <w:r>
        <w:rPr>
          <w:sz w:val="24"/>
          <w:szCs w:val="24"/>
        </w:rPr>
        <w:t xml:space="preserve"> la fiecare </w:t>
      </w:r>
      <w:r>
        <w:rPr>
          <w:b/>
          <w:bCs/>
          <w:sz w:val="24"/>
          <w:szCs w:val="24"/>
        </w:rPr>
        <w:t>10</w:t>
      </w:r>
      <w:r>
        <w:rPr>
          <w:sz w:val="24"/>
          <w:szCs w:val="24"/>
        </w:rPr>
        <w:t xml:space="preserve"> locuri de parcare, precum și un stingător transportabil cu performanţă de stingere pentru focar tip A şi B de minimum </w:t>
      </w:r>
      <w:r>
        <w:rPr>
          <w:b/>
          <w:bCs/>
          <w:sz w:val="24"/>
          <w:szCs w:val="24"/>
        </w:rPr>
        <w:t>50</w:t>
      </w:r>
      <w:r>
        <w:rPr>
          <w:sz w:val="24"/>
          <w:szCs w:val="24"/>
        </w:rPr>
        <w:t xml:space="preserve"> kg la fiecare </w:t>
      </w:r>
      <w:r>
        <w:rPr>
          <w:b/>
          <w:sz w:val="24"/>
          <w:szCs w:val="24"/>
        </w:rPr>
        <w:t>500</w:t>
      </w:r>
      <w:r>
        <w:rPr>
          <w:sz w:val="24"/>
          <w:szCs w:val="24"/>
        </w:rPr>
        <w:t xml:space="preserve"> m</w:t>
      </w:r>
      <w:r>
        <w:rPr>
          <w:sz w:val="24"/>
          <w:szCs w:val="24"/>
          <w:vertAlign w:val="superscript"/>
        </w:rPr>
        <w:t>2</w:t>
      </w:r>
      <w:r>
        <w:rPr>
          <w:sz w:val="24"/>
          <w:szCs w:val="24"/>
        </w:rPr>
        <w:t>.</w:t>
      </w:r>
    </w:p>
    <w:p w14:paraId="233CCBA0" w14:textId="77777777" w:rsidR="001C08A5" w:rsidRDefault="00000000">
      <w:pPr>
        <w:pStyle w:val="Heading3"/>
      </w:pPr>
      <w:bookmarkStart w:id="4084" w:name="_Toc6849"/>
      <w:bookmarkStart w:id="4085" w:name="_Toc3346"/>
      <w:bookmarkStart w:id="4086" w:name="_Toc162355300"/>
      <w:bookmarkStart w:id="4087" w:name="_Toc32079"/>
      <w:bookmarkStart w:id="4088" w:name="_Toc14611"/>
      <w:bookmarkStart w:id="4089" w:name="_Toc29328"/>
      <w:bookmarkStart w:id="4090" w:name="_Toc22470"/>
      <w:bookmarkStart w:id="4091" w:name="_Toc17989"/>
      <w:bookmarkStart w:id="4092" w:name="_Toc10994"/>
      <w:bookmarkStart w:id="4093" w:name="_Toc2217"/>
      <w:r>
        <w:t>SECŢIUNEA III</w:t>
      </w:r>
      <w:bookmarkEnd w:id="4084"/>
      <w:bookmarkEnd w:id="4085"/>
      <w:bookmarkEnd w:id="4086"/>
      <w:bookmarkEnd w:id="4087"/>
      <w:bookmarkEnd w:id="4088"/>
      <w:bookmarkEnd w:id="4089"/>
      <w:bookmarkEnd w:id="4090"/>
      <w:bookmarkEnd w:id="4091"/>
      <w:bookmarkEnd w:id="4092"/>
      <w:bookmarkEnd w:id="4093"/>
    </w:p>
    <w:p w14:paraId="6E5C8A58" w14:textId="77777777" w:rsidR="001C08A5" w:rsidRDefault="00000000">
      <w:pPr>
        <w:pStyle w:val="Heading3"/>
        <w:rPr>
          <w:rFonts w:cs="Times New Roman"/>
          <w:sz w:val="24"/>
          <w:szCs w:val="24"/>
        </w:rPr>
      </w:pPr>
      <w:bookmarkStart w:id="4094" w:name="_Toc162355301"/>
      <w:bookmarkStart w:id="4095" w:name="_Toc8559"/>
      <w:bookmarkStart w:id="4096" w:name="_Toc15467"/>
      <w:bookmarkStart w:id="4097" w:name="_Toc21065"/>
      <w:bookmarkStart w:id="4098" w:name="_Toc290"/>
      <w:bookmarkStart w:id="4099" w:name="_Toc17939"/>
      <w:bookmarkStart w:id="4100" w:name="_Toc23743"/>
      <w:bookmarkStart w:id="4101" w:name="_Toc23852"/>
      <w:bookmarkStart w:id="4102" w:name="_Toc2451"/>
      <w:bookmarkStart w:id="4103" w:name="_Toc25058"/>
      <w:r>
        <w:t>3.3. Construcţii  şi  Amenajări  în  aer  liber  cu  destinaţii  civile</w:t>
      </w:r>
      <w:bookmarkEnd w:id="4094"/>
      <w:bookmarkEnd w:id="4095"/>
      <w:bookmarkEnd w:id="4096"/>
      <w:bookmarkEnd w:id="4097"/>
      <w:bookmarkEnd w:id="4098"/>
      <w:bookmarkEnd w:id="4099"/>
      <w:bookmarkEnd w:id="4100"/>
      <w:bookmarkEnd w:id="4101"/>
      <w:bookmarkEnd w:id="4102"/>
      <w:bookmarkEnd w:id="4103"/>
    </w:p>
    <w:p w14:paraId="6F344E46" w14:textId="77777777" w:rsidR="001C08A5" w:rsidRDefault="00000000">
      <w:pPr>
        <w:pStyle w:val="Heading4"/>
      </w:pPr>
      <w:bookmarkStart w:id="4104" w:name="_Toc29191"/>
      <w:bookmarkStart w:id="4105" w:name="_Toc14021"/>
      <w:bookmarkStart w:id="4106" w:name="_Toc28102"/>
      <w:bookmarkStart w:id="4107" w:name="_Toc162355302"/>
      <w:bookmarkStart w:id="4108" w:name="_Toc29455"/>
      <w:bookmarkStart w:id="4109" w:name="_Toc6073"/>
      <w:bookmarkStart w:id="4110" w:name="_Toc17219"/>
      <w:bookmarkStart w:id="4111" w:name="_Toc23929"/>
      <w:r>
        <w:t>3.3.1. Dispoziţii generale</w:t>
      </w:r>
      <w:bookmarkEnd w:id="4104"/>
      <w:bookmarkEnd w:id="4105"/>
      <w:bookmarkEnd w:id="4106"/>
      <w:bookmarkEnd w:id="4107"/>
      <w:bookmarkEnd w:id="4108"/>
      <w:bookmarkEnd w:id="4109"/>
      <w:bookmarkEnd w:id="4110"/>
      <w:bookmarkEnd w:id="4111"/>
    </w:p>
    <w:p w14:paraId="44ABBA75" w14:textId="77777777" w:rsidR="001C08A5" w:rsidRDefault="001C08A5">
      <w:pPr>
        <w:rPr>
          <w:b/>
          <w:sz w:val="24"/>
          <w:szCs w:val="24"/>
        </w:rPr>
      </w:pPr>
    </w:p>
    <w:p w14:paraId="0B1CEB0E" w14:textId="77777777" w:rsidR="001C08A5" w:rsidRDefault="00000000">
      <w:pPr>
        <w:ind w:firstLine="708"/>
        <w:jc w:val="both"/>
        <w:rPr>
          <w:sz w:val="24"/>
          <w:szCs w:val="24"/>
        </w:rPr>
      </w:pPr>
      <w:r>
        <w:rPr>
          <w:b/>
          <w:sz w:val="24"/>
          <w:szCs w:val="24"/>
        </w:rPr>
        <w:t xml:space="preserve">Art. 3.3.1.1. </w:t>
      </w:r>
      <w:r>
        <w:rPr>
          <w:sz w:val="24"/>
          <w:szCs w:val="24"/>
        </w:rPr>
        <w:t>La amenajările în aer liber cu destinaţii civile, cum sunt cele pentru întruniri, concerte, cinematografe, spectacole, competiţii sportive etc., se asigură respectarea măsurilor de securitate la incendiu prevăzute în normativ şi în reglementările specifice acestora.</w:t>
      </w:r>
    </w:p>
    <w:p w14:paraId="6F7235AD" w14:textId="77777777" w:rsidR="001C08A5" w:rsidRDefault="001C08A5">
      <w:pPr>
        <w:ind w:firstLine="708"/>
        <w:jc w:val="both"/>
        <w:rPr>
          <w:sz w:val="24"/>
          <w:szCs w:val="24"/>
        </w:rPr>
      </w:pPr>
    </w:p>
    <w:p w14:paraId="0B821387" w14:textId="77777777" w:rsidR="001C08A5" w:rsidRDefault="00000000">
      <w:pPr>
        <w:ind w:firstLine="708"/>
        <w:jc w:val="both"/>
        <w:rPr>
          <w:b/>
          <w:sz w:val="24"/>
          <w:szCs w:val="24"/>
        </w:rPr>
      </w:pPr>
      <w:r>
        <w:rPr>
          <w:b/>
          <w:sz w:val="24"/>
          <w:szCs w:val="24"/>
        </w:rPr>
        <w:t xml:space="preserve">Art. 3.3.1.2. </w:t>
      </w:r>
      <w:r>
        <w:rPr>
          <w:sz w:val="24"/>
          <w:szCs w:val="24"/>
        </w:rPr>
        <w:t xml:space="preserve">Amenajările în aer liber se dotează cu mijloace de primă intervenţie, asigurându-se câte un stingător portativ cu performanţa minimă de stingere </w:t>
      </w:r>
      <w:r>
        <w:rPr>
          <w:b/>
          <w:sz w:val="24"/>
          <w:szCs w:val="24"/>
        </w:rPr>
        <w:t>21A</w:t>
      </w:r>
      <w:r>
        <w:rPr>
          <w:sz w:val="24"/>
          <w:szCs w:val="24"/>
        </w:rPr>
        <w:t xml:space="preserve"> şi </w:t>
      </w:r>
      <w:r>
        <w:rPr>
          <w:b/>
          <w:sz w:val="24"/>
          <w:szCs w:val="24"/>
        </w:rPr>
        <w:t xml:space="preserve">113B </w:t>
      </w:r>
      <w:r>
        <w:rPr>
          <w:sz w:val="24"/>
          <w:szCs w:val="24"/>
        </w:rPr>
        <w:t xml:space="preserve">la fiecare </w:t>
      </w:r>
      <w:r>
        <w:rPr>
          <w:b/>
          <w:sz w:val="24"/>
          <w:szCs w:val="24"/>
        </w:rPr>
        <w:t xml:space="preserve">250 </w:t>
      </w:r>
      <w:r>
        <w:rPr>
          <w:sz w:val="24"/>
          <w:szCs w:val="24"/>
        </w:rPr>
        <w:t>m</w:t>
      </w:r>
      <w:r>
        <w:rPr>
          <w:sz w:val="24"/>
          <w:szCs w:val="24"/>
          <w:vertAlign w:val="superscript"/>
        </w:rPr>
        <w:t>2</w:t>
      </w:r>
      <w:r>
        <w:rPr>
          <w:sz w:val="24"/>
          <w:szCs w:val="24"/>
        </w:rPr>
        <w:t xml:space="preserve"> şi un stingător transportabil cu performanţe de stingere pentru focare tip A şi B cu încărcătura nominală de </w:t>
      </w:r>
      <w:r>
        <w:rPr>
          <w:b/>
          <w:sz w:val="24"/>
          <w:szCs w:val="24"/>
        </w:rPr>
        <w:t xml:space="preserve">50 </w:t>
      </w:r>
      <w:r>
        <w:rPr>
          <w:sz w:val="24"/>
          <w:szCs w:val="24"/>
        </w:rPr>
        <w:t xml:space="preserve">kg la maximum </w:t>
      </w:r>
      <w:r>
        <w:rPr>
          <w:b/>
          <w:sz w:val="24"/>
          <w:szCs w:val="24"/>
        </w:rPr>
        <w:t xml:space="preserve">1.000 </w:t>
      </w:r>
      <w:r>
        <w:rPr>
          <w:sz w:val="24"/>
          <w:szCs w:val="24"/>
        </w:rPr>
        <w:t>m</w:t>
      </w:r>
      <w:r>
        <w:rPr>
          <w:sz w:val="24"/>
          <w:szCs w:val="24"/>
          <w:vertAlign w:val="superscript"/>
        </w:rPr>
        <w:t>2</w:t>
      </w:r>
      <w:r>
        <w:rPr>
          <w:sz w:val="24"/>
          <w:szCs w:val="24"/>
        </w:rPr>
        <w:t>.</w:t>
      </w:r>
    </w:p>
    <w:p w14:paraId="1833E841" w14:textId="77777777" w:rsidR="001C08A5" w:rsidRDefault="00000000">
      <w:pPr>
        <w:pStyle w:val="Heading4"/>
      </w:pPr>
      <w:bookmarkStart w:id="4112" w:name="_Toc25592"/>
      <w:bookmarkStart w:id="4113" w:name="_Toc31050"/>
      <w:bookmarkStart w:id="4114" w:name="_Toc22140"/>
      <w:bookmarkStart w:id="4115" w:name="_Toc162355303"/>
      <w:bookmarkStart w:id="4116" w:name="_Toc17319"/>
      <w:bookmarkStart w:id="4117" w:name="_Toc6398"/>
      <w:bookmarkStart w:id="4118" w:name="_Toc4630"/>
      <w:bookmarkStart w:id="4119" w:name="_Toc28747"/>
      <w:r>
        <w:t>3.3.2. Stadioane, arene sportive</w:t>
      </w:r>
      <w:bookmarkEnd w:id="4112"/>
      <w:bookmarkEnd w:id="4113"/>
      <w:bookmarkEnd w:id="4114"/>
      <w:bookmarkEnd w:id="4115"/>
      <w:bookmarkEnd w:id="4116"/>
      <w:bookmarkEnd w:id="4117"/>
      <w:bookmarkEnd w:id="4118"/>
      <w:bookmarkEnd w:id="4119"/>
    </w:p>
    <w:p w14:paraId="1A61C0A9" w14:textId="77777777" w:rsidR="001C08A5" w:rsidRDefault="001C08A5">
      <w:pPr>
        <w:jc w:val="both"/>
        <w:rPr>
          <w:b/>
          <w:sz w:val="24"/>
          <w:szCs w:val="24"/>
        </w:rPr>
      </w:pPr>
    </w:p>
    <w:p w14:paraId="3328CBF7" w14:textId="77777777" w:rsidR="001C08A5" w:rsidRDefault="00000000">
      <w:pPr>
        <w:ind w:firstLine="708"/>
        <w:jc w:val="both"/>
        <w:rPr>
          <w:sz w:val="24"/>
          <w:szCs w:val="24"/>
        </w:rPr>
      </w:pPr>
      <w:r>
        <w:rPr>
          <w:b/>
          <w:sz w:val="24"/>
          <w:szCs w:val="24"/>
        </w:rPr>
        <w:t xml:space="preserve">Art. 3.3.2.1. </w:t>
      </w:r>
      <w:r>
        <w:rPr>
          <w:sz w:val="24"/>
          <w:szCs w:val="24"/>
        </w:rPr>
        <w:t>Amenajările sportive în aer liber de tip stadion sau arenă sportivă cu locuri pe scaune, vor respecta măsurile de securitate la incendiu prevăzute în normativ şi reglementările specifice acestora.</w:t>
      </w:r>
    </w:p>
    <w:p w14:paraId="3F25A1E4" w14:textId="77777777" w:rsidR="001C08A5" w:rsidRDefault="00000000">
      <w:pPr>
        <w:jc w:val="both"/>
        <w:rPr>
          <w:sz w:val="24"/>
          <w:szCs w:val="24"/>
        </w:rPr>
      </w:pPr>
      <w:r>
        <w:rPr>
          <w:sz w:val="24"/>
          <w:szCs w:val="24"/>
        </w:rPr>
        <w:tab/>
      </w:r>
      <w:r>
        <w:rPr>
          <w:sz w:val="24"/>
          <w:szCs w:val="24"/>
        </w:rPr>
        <w:tab/>
      </w:r>
    </w:p>
    <w:p w14:paraId="21C07588" w14:textId="77777777" w:rsidR="001C08A5" w:rsidRDefault="00000000">
      <w:pPr>
        <w:jc w:val="both"/>
        <w:rPr>
          <w:sz w:val="24"/>
          <w:szCs w:val="24"/>
        </w:rPr>
      </w:pPr>
      <w:r>
        <w:rPr>
          <w:sz w:val="24"/>
          <w:szCs w:val="24"/>
        </w:rPr>
        <w:tab/>
      </w:r>
      <w:r>
        <w:rPr>
          <w:b/>
          <w:sz w:val="24"/>
          <w:szCs w:val="24"/>
        </w:rPr>
        <w:t xml:space="preserve">Art. 3.3.2.2. </w:t>
      </w:r>
      <w:r>
        <w:rPr>
          <w:sz w:val="24"/>
          <w:szCs w:val="24"/>
        </w:rPr>
        <w:t xml:space="preserve">Tribunele și spaţiile aferente amenajărilor sportive în aer liber, vor avea precizate riscurile de incendiu, conform prevederilor </w:t>
      </w:r>
      <w:r>
        <w:rPr>
          <w:b/>
          <w:sz w:val="24"/>
          <w:szCs w:val="24"/>
        </w:rPr>
        <w:t>Art. 2.1.2.2.</w:t>
      </w:r>
    </w:p>
    <w:p w14:paraId="6F69A3BE" w14:textId="77777777" w:rsidR="001C08A5" w:rsidRDefault="001C08A5">
      <w:pPr>
        <w:jc w:val="both"/>
        <w:rPr>
          <w:sz w:val="24"/>
          <w:szCs w:val="24"/>
        </w:rPr>
      </w:pPr>
    </w:p>
    <w:p w14:paraId="42BB98D9" w14:textId="77777777" w:rsidR="001C08A5" w:rsidRDefault="00000000">
      <w:pPr>
        <w:ind w:firstLine="708"/>
        <w:jc w:val="both"/>
        <w:rPr>
          <w:sz w:val="24"/>
          <w:szCs w:val="24"/>
        </w:rPr>
      </w:pPr>
      <w:r>
        <w:rPr>
          <w:b/>
          <w:sz w:val="24"/>
          <w:szCs w:val="24"/>
        </w:rPr>
        <w:t xml:space="preserve">Art. 3.3.2.3. (1) </w:t>
      </w:r>
      <w:r>
        <w:rPr>
          <w:sz w:val="24"/>
          <w:szCs w:val="24"/>
        </w:rPr>
        <w:t xml:space="preserve">Nivelul de stabilitate la incendiu al amenajărilor sportive se determină și precizează conform prevederilor din </w:t>
      </w:r>
      <w:r>
        <w:rPr>
          <w:b/>
          <w:sz w:val="24"/>
          <w:szCs w:val="24"/>
        </w:rPr>
        <w:t xml:space="preserve">Art. </w:t>
      </w:r>
      <w:r>
        <w:rPr>
          <w:b/>
          <w:bCs/>
          <w:sz w:val="24"/>
          <w:szCs w:val="24"/>
        </w:rPr>
        <w:t>2.1.3.</w:t>
      </w:r>
      <w:r>
        <w:rPr>
          <w:b/>
          <w:sz w:val="24"/>
          <w:szCs w:val="24"/>
        </w:rPr>
        <w:t>2.</w:t>
      </w:r>
      <w:r>
        <w:rPr>
          <w:sz w:val="24"/>
          <w:szCs w:val="24"/>
        </w:rPr>
        <w:t xml:space="preserve"> şi </w:t>
      </w:r>
      <w:r>
        <w:rPr>
          <w:rStyle w:val="BodyTextChar"/>
          <w:iCs/>
        </w:rPr>
        <w:fldChar w:fldCharType="begin"/>
      </w:r>
      <w:r>
        <w:rPr>
          <w:rStyle w:val="BodyTextChar"/>
          <w:iCs/>
        </w:rPr>
        <w:instrText xml:space="preserve"> REF _Ref26473 \h </w:instrText>
      </w:r>
      <w:r>
        <w:rPr>
          <w:rStyle w:val="BodyTextChar"/>
          <w:iCs/>
        </w:rPr>
      </w:r>
      <w:r>
        <w:rPr>
          <w:rStyle w:val="BodyTextChar"/>
          <w:iCs/>
        </w:rPr>
        <w:fldChar w:fldCharType="separate"/>
      </w:r>
      <w:r>
        <w:t>Tabelul 2</w:t>
      </w:r>
      <w:r>
        <w:rPr>
          <w:rStyle w:val="BodyTextChar"/>
          <w:iCs/>
        </w:rPr>
        <w:fldChar w:fldCharType="end"/>
      </w:r>
      <w:r>
        <w:rPr>
          <w:sz w:val="24"/>
          <w:szCs w:val="24"/>
        </w:rPr>
        <w:t xml:space="preserve"> din normativ. </w:t>
      </w:r>
    </w:p>
    <w:p w14:paraId="31E39B2B" w14:textId="77777777" w:rsidR="001C08A5" w:rsidRDefault="00000000">
      <w:pPr>
        <w:ind w:firstLine="720"/>
        <w:jc w:val="both"/>
        <w:rPr>
          <w:sz w:val="24"/>
          <w:szCs w:val="24"/>
        </w:rPr>
      </w:pPr>
      <w:r>
        <w:rPr>
          <w:b/>
          <w:bCs/>
          <w:sz w:val="24"/>
          <w:szCs w:val="24"/>
        </w:rPr>
        <w:t xml:space="preserve">(2) </w:t>
      </w:r>
      <w:r>
        <w:rPr>
          <w:sz w:val="24"/>
          <w:szCs w:val="24"/>
        </w:rPr>
        <w:t xml:space="preserve">Se recomandă asigurarea nivelului de stabilitate la incendiu </w:t>
      </w:r>
      <w:r>
        <w:rPr>
          <w:b/>
          <w:bCs/>
          <w:sz w:val="24"/>
          <w:szCs w:val="24"/>
        </w:rPr>
        <w:t>I</w:t>
      </w:r>
      <w:r>
        <w:rPr>
          <w:sz w:val="24"/>
          <w:szCs w:val="24"/>
        </w:rPr>
        <w:t xml:space="preserve"> sau </w:t>
      </w:r>
      <w:r>
        <w:rPr>
          <w:b/>
          <w:bCs/>
          <w:sz w:val="24"/>
          <w:szCs w:val="24"/>
        </w:rPr>
        <w:t>II</w:t>
      </w:r>
      <w:r>
        <w:rPr>
          <w:sz w:val="24"/>
          <w:szCs w:val="24"/>
        </w:rPr>
        <w:t xml:space="preserve"> al construcţiei.</w:t>
      </w:r>
    </w:p>
    <w:p w14:paraId="03C48E67" w14:textId="77777777" w:rsidR="001C08A5" w:rsidRDefault="00000000">
      <w:pPr>
        <w:ind w:firstLine="720"/>
        <w:jc w:val="both"/>
        <w:rPr>
          <w:b/>
          <w:sz w:val="24"/>
          <w:szCs w:val="24"/>
        </w:rPr>
      </w:pPr>
      <w:r>
        <w:rPr>
          <w:b/>
          <w:bCs/>
          <w:sz w:val="24"/>
          <w:szCs w:val="24"/>
        </w:rPr>
        <w:t>(3)</w:t>
      </w:r>
      <w:r>
        <w:rPr>
          <w:sz w:val="24"/>
          <w:szCs w:val="24"/>
        </w:rPr>
        <w:t xml:space="preserve"> Zonele destinate publicului utilizator vor avea structuri de rezistenţă de minimum </w:t>
      </w:r>
      <w:r>
        <w:rPr>
          <w:b/>
          <w:sz w:val="24"/>
          <w:szCs w:val="24"/>
        </w:rPr>
        <w:t>R 15</w:t>
      </w:r>
      <w:r>
        <w:rPr>
          <w:sz w:val="24"/>
          <w:szCs w:val="24"/>
        </w:rPr>
        <w:t xml:space="preserve"> şi vor fi realizate din materiale clasa de reacţie la foc </w:t>
      </w:r>
      <w:r>
        <w:rPr>
          <w:b/>
          <w:sz w:val="24"/>
          <w:szCs w:val="24"/>
        </w:rPr>
        <w:t>A1 sau A2-s1, d0</w:t>
      </w:r>
      <w:r>
        <w:rPr>
          <w:sz w:val="24"/>
          <w:szCs w:val="24"/>
        </w:rPr>
        <w:t>. Gradenele (podinele) vor fi realizate din materiale clasa de reacţie la foc</w:t>
      </w:r>
      <w:r>
        <w:rPr>
          <w:b/>
          <w:sz w:val="24"/>
          <w:szCs w:val="24"/>
        </w:rPr>
        <w:t xml:space="preserve"> A1 sau A2-s1,d0.</w:t>
      </w:r>
    </w:p>
    <w:p w14:paraId="2697A75D" w14:textId="77777777" w:rsidR="001C08A5" w:rsidRDefault="001C08A5">
      <w:pPr>
        <w:jc w:val="both"/>
        <w:rPr>
          <w:b/>
          <w:sz w:val="24"/>
          <w:szCs w:val="24"/>
        </w:rPr>
      </w:pPr>
    </w:p>
    <w:p w14:paraId="22FC5921" w14:textId="77777777" w:rsidR="001C08A5" w:rsidRDefault="00000000">
      <w:pPr>
        <w:ind w:firstLine="708"/>
        <w:jc w:val="both"/>
        <w:rPr>
          <w:b/>
          <w:bCs/>
          <w:sz w:val="24"/>
          <w:szCs w:val="24"/>
        </w:rPr>
      </w:pPr>
      <w:r>
        <w:rPr>
          <w:b/>
          <w:sz w:val="24"/>
          <w:szCs w:val="24"/>
        </w:rPr>
        <w:t xml:space="preserve">Art. 3.3.2.4. (1) </w:t>
      </w:r>
      <w:r>
        <w:rPr>
          <w:sz w:val="24"/>
          <w:szCs w:val="24"/>
        </w:rPr>
        <w:t xml:space="preserve">Amenajările sportive în aer liber se amplasează astfel încât să nu permită propagarea incendiilor la vecinătăţi pe perioada de timp normată sau în cazul prăbuşirii să afecteze obiecte învecinate, respectându-se distanţele minime de siguranţă normate. </w:t>
      </w:r>
    </w:p>
    <w:p w14:paraId="45F3FF42" w14:textId="77777777" w:rsidR="001C08A5" w:rsidRDefault="00000000">
      <w:pPr>
        <w:ind w:firstLine="720"/>
        <w:jc w:val="both"/>
        <w:rPr>
          <w:sz w:val="24"/>
          <w:szCs w:val="24"/>
        </w:rPr>
      </w:pPr>
      <w:r>
        <w:rPr>
          <w:b/>
          <w:bCs/>
          <w:sz w:val="24"/>
          <w:szCs w:val="24"/>
        </w:rPr>
        <w:t>(2)</w:t>
      </w:r>
      <w:r>
        <w:rPr>
          <w:sz w:val="24"/>
          <w:szCs w:val="24"/>
        </w:rPr>
        <w:t xml:space="preserve"> La amenajările sportive în aer liber cu capacităţi simultane mai mari de </w:t>
      </w:r>
      <w:r>
        <w:rPr>
          <w:b/>
          <w:bCs/>
          <w:sz w:val="24"/>
          <w:szCs w:val="24"/>
        </w:rPr>
        <w:t>400</w:t>
      </w:r>
      <w:r>
        <w:rPr>
          <w:sz w:val="24"/>
          <w:szCs w:val="24"/>
        </w:rPr>
        <w:t xml:space="preserve"> utilizatori, vor fi majorate distanţele de siguranţă normate cu </w:t>
      </w:r>
      <w:r>
        <w:rPr>
          <w:b/>
          <w:bCs/>
          <w:sz w:val="24"/>
          <w:szCs w:val="24"/>
        </w:rPr>
        <w:t>100%</w:t>
      </w:r>
      <w:r>
        <w:rPr>
          <w:sz w:val="24"/>
          <w:szCs w:val="24"/>
        </w:rPr>
        <w:t>, iar produsele de construcţii utilizate vor asigura limitarea degajărilor de fum, gaze fierbinţi sau alte produse nocive și  a propagării flăcărilor și a fumului.</w:t>
      </w:r>
    </w:p>
    <w:p w14:paraId="3C9470A0" w14:textId="77777777" w:rsidR="001C08A5" w:rsidRDefault="001C08A5">
      <w:pPr>
        <w:jc w:val="both"/>
        <w:rPr>
          <w:sz w:val="24"/>
          <w:szCs w:val="24"/>
        </w:rPr>
      </w:pPr>
    </w:p>
    <w:p w14:paraId="25B18850" w14:textId="77777777" w:rsidR="001C08A5" w:rsidRDefault="00000000">
      <w:pPr>
        <w:ind w:firstLine="708"/>
        <w:jc w:val="both"/>
        <w:rPr>
          <w:sz w:val="24"/>
          <w:szCs w:val="24"/>
        </w:rPr>
      </w:pPr>
      <w:r>
        <w:rPr>
          <w:b/>
          <w:sz w:val="24"/>
          <w:szCs w:val="24"/>
        </w:rPr>
        <w:t>Art. 3.3.2.5.</w:t>
      </w:r>
      <w:r>
        <w:rPr>
          <w:sz w:val="24"/>
          <w:szCs w:val="24"/>
        </w:rPr>
        <w:t xml:space="preserve"> Prin conformarea amenajărilor sportive în aer liber cu funcţiuni de stadioane sau arene sportive, spaţiile pentru publicul utilizator vor fi dispuse la distanţe de minimum </w:t>
      </w:r>
      <w:r>
        <w:rPr>
          <w:b/>
          <w:sz w:val="24"/>
          <w:szCs w:val="24"/>
        </w:rPr>
        <w:t>1,20</w:t>
      </w:r>
      <w:r>
        <w:rPr>
          <w:sz w:val="24"/>
          <w:szCs w:val="24"/>
        </w:rPr>
        <w:t xml:space="preserve"> m faţă de terenul de joc, iar direcţiile de evacuare a utilizatorilor pe circulaţiile comune vor fi prevăzute spre zone opuse terenului de joc. </w:t>
      </w:r>
    </w:p>
    <w:p w14:paraId="26C724E7" w14:textId="77777777" w:rsidR="001C08A5" w:rsidRDefault="001C08A5">
      <w:pPr>
        <w:ind w:firstLine="708"/>
        <w:jc w:val="both"/>
        <w:rPr>
          <w:sz w:val="24"/>
          <w:szCs w:val="24"/>
        </w:rPr>
      </w:pPr>
    </w:p>
    <w:p w14:paraId="40DF8277" w14:textId="77777777" w:rsidR="001C08A5" w:rsidRDefault="00000000">
      <w:pPr>
        <w:ind w:firstLine="708"/>
        <w:jc w:val="both"/>
        <w:rPr>
          <w:sz w:val="24"/>
          <w:szCs w:val="24"/>
        </w:rPr>
      </w:pPr>
      <w:r>
        <w:rPr>
          <w:b/>
          <w:sz w:val="24"/>
          <w:szCs w:val="24"/>
        </w:rPr>
        <w:lastRenderedPageBreak/>
        <w:t>Art. 3.3.2.6.</w:t>
      </w:r>
      <w:r>
        <w:rPr>
          <w:sz w:val="24"/>
          <w:szCs w:val="24"/>
        </w:rPr>
        <w:t xml:space="preserve"> Amenajările sportive în aer liber pentru mai mult de </w:t>
      </w:r>
      <w:r>
        <w:rPr>
          <w:b/>
          <w:bCs/>
          <w:sz w:val="24"/>
          <w:szCs w:val="24"/>
        </w:rPr>
        <w:t>200</w:t>
      </w:r>
      <w:r>
        <w:rPr>
          <w:sz w:val="24"/>
          <w:szCs w:val="24"/>
        </w:rPr>
        <w:t xml:space="preserve"> utilizatori vor avea asigurate minimum</w:t>
      </w:r>
      <w:r>
        <w:rPr>
          <w:b/>
          <w:bCs/>
          <w:sz w:val="24"/>
          <w:szCs w:val="24"/>
        </w:rPr>
        <w:t xml:space="preserve"> 2</w:t>
      </w:r>
      <w:r>
        <w:rPr>
          <w:sz w:val="24"/>
          <w:szCs w:val="24"/>
        </w:rPr>
        <w:t xml:space="preserve"> căi de evacuare, corespunzător dispuse şi dimensionate, prin care aceştia să ajungă la nivelul terenului înconjurător sau al circulaţiilor carosabile adiacente, pe distantele normate.</w:t>
      </w:r>
    </w:p>
    <w:p w14:paraId="599CF32F" w14:textId="77777777" w:rsidR="001C08A5" w:rsidRDefault="001C08A5">
      <w:pPr>
        <w:jc w:val="both"/>
        <w:rPr>
          <w:sz w:val="24"/>
          <w:szCs w:val="24"/>
        </w:rPr>
      </w:pPr>
    </w:p>
    <w:p w14:paraId="752A37C0" w14:textId="77777777" w:rsidR="001C08A5" w:rsidRDefault="00000000">
      <w:pPr>
        <w:ind w:firstLine="708"/>
        <w:jc w:val="both"/>
        <w:rPr>
          <w:sz w:val="24"/>
          <w:szCs w:val="24"/>
        </w:rPr>
      </w:pPr>
      <w:r>
        <w:rPr>
          <w:b/>
          <w:sz w:val="24"/>
          <w:szCs w:val="24"/>
        </w:rPr>
        <w:t>Art. 3.3.2.7.</w:t>
      </w:r>
      <w:r>
        <w:rPr>
          <w:sz w:val="24"/>
          <w:szCs w:val="24"/>
        </w:rPr>
        <w:t xml:space="preserve"> Numărul intrărilor în tribune este determinat de numărul spectatorilor şi cel al căilor de evacuare, precum și de necesarul de controlori. În cazul în care accesul și evacuarea tribunelor se face prin intermediul vomitoriilor, în scopul de a nu genera busculade în cazul evacuării de urgenţă, se recomandă dimensionarea acestora cu un procent de </w:t>
      </w:r>
      <w:r>
        <w:rPr>
          <w:b/>
          <w:bCs/>
          <w:sz w:val="24"/>
          <w:szCs w:val="24"/>
        </w:rPr>
        <w:t>50 %</w:t>
      </w:r>
      <w:r>
        <w:rPr>
          <w:sz w:val="24"/>
          <w:szCs w:val="24"/>
        </w:rPr>
        <w:t xml:space="preserve"> în plus faţă de calculul normat de evacuare.</w:t>
      </w:r>
    </w:p>
    <w:p w14:paraId="6FA9AD3E" w14:textId="77777777" w:rsidR="001C08A5" w:rsidRDefault="001C08A5">
      <w:pPr>
        <w:jc w:val="both"/>
        <w:rPr>
          <w:sz w:val="24"/>
          <w:szCs w:val="24"/>
        </w:rPr>
      </w:pPr>
    </w:p>
    <w:p w14:paraId="5B682453" w14:textId="77777777" w:rsidR="001C08A5" w:rsidRDefault="00000000">
      <w:pPr>
        <w:ind w:firstLine="708"/>
        <w:jc w:val="both"/>
        <w:rPr>
          <w:sz w:val="24"/>
          <w:szCs w:val="24"/>
        </w:rPr>
      </w:pPr>
      <w:r>
        <w:rPr>
          <w:b/>
          <w:sz w:val="24"/>
          <w:szCs w:val="24"/>
        </w:rPr>
        <w:t>Art. 3.3.2.8.</w:t>
      </w:r>
      <w:r>
        <w:rPr>
          <w:sz w:val="24"/>
          <w:szCs w:val="24"/>
        </w:rPr>
        <w:t xml:space="preserve"> Căile de acces şi de evacuare a utilizatorilor vor fi constituite din circulaţiile funcţionale, dimensionate corespunzător, marcate vizibil şi libere de orice obstacol, astfel încât evacuarea utilizatorilor să se poată face în condiţii de siguranţă. Căi speciale de evacuare (de urgenţă), pot fi prevăzute numai atunci când cele de circulaţie funcţională nu satisfac condiţiile de evacuare normate.</w:t>
      </w:r>
    </w:p>
    <w:p w14:paraId="45466748" w14:textId="77777777" w:rsidR="001C08A5" w:rsidRDefault="001C08A5">
      <w:pPr>
        <w:ind w:firstLine="708"/>
        <w:jc w:val="both"/>
        <w:rPr>
          <w:sz w:val="24"/>
          <w:szCs w:val="24"/>
        </w:rPr>
      </w:pPr>
    </w:p>
    <w:p w14:paraId="38F51AE9" w14:textId="77777777" w:rsidR="001C08A5" w:rsidRDefault="00000000">
      <w:pPr>
        <w:ind w:firstLine="720"/>
        <w:jc w:val="both"/>
        <w:rPr>
          <w:rFonts w:eastAsia="TimesNewRomanPSMT"/>
          <w:sz w:val="24"/>
          <w:szCs w:val="24"/>
        </w:rPr>
      </w:pPr>
      <w:r>
        <w:rPr>
          <w:b/>
          <w:sz w:val="24"/>
          <w:szCs w:val="24"/>
        </w:rPr>
        <w:t>Art. 3.3.2.9.</w:t>
      </w:r>
      <w:r>
        <w:rPr>
          <w:rFonts w:eastAsia="TimesNewRomanPSMT"/>
          <w:sz w:val="24"/>
          <w:szCs w:val="24"/>
        </w:rPr>
        <w:t>Distanţa maximă de parcurs dintre un loc în tribună şi ieşirea cea mai apropiată (</w:t>
      </w:r>
      <w:r>
        <w:rPr>
          <w:sz w:val="24"/>
          <w:szCs w:val="24"/>
        </w:rPr>
        <w:t>evacuarea tribunei reprezentând părăsirea locurilor din tribună a tuturor spectatorilor şi trecerea acestora de „punctele de acces în tribun</w:t>
      </w:r>
      <w:r>
        <w:rPr>
          <w:rFonts w:eastAsia="TimesNewRomanPSMT"/>
          <w:sz w:val="24"/>
          <w:szCs w:val="24"/>
        </w:rPr>
        <w:t xml:space="preserve">ă" spre incinta exterioară tribunei) trebuie să fie de </w:t>
      </w:r>
      <w:r>
        <w:rPr>
          <w:rFonts w:eastAsia="TimesNewRomanPSMT"/>
          <w:b/>
          <w:bCs/>
          <w:sz w:val="24"/>
          <w:szCs w:val="24"/>
        </w:rPr>
        <w:t>45,00</w:t>
      </w:r>
      <w:r>
        <w:rPr>
          <w:rFonts w:eastAsia="TimesNewRomanPSMT"/>
          <w:sz w:val="24"/>
          <w:szCs w:val="24"/>
        </w:rPr>
        <w:t xml:space="preserve"> m (pentru nivelul de stabilitate la incendiu </w:t>
      </w:r>
      <w:r>
        <w:rPr>
          <w:rFonts w:eastAsia="TimesNewRomanPSMT"/>
          <w:b/>
          <w:bCs/>
          <w:sz w:val="24"/>
          <w:szCs w:val="24"/>
        </w:rPr>
        <w:t>I</w:t>
      </w:r>
      <w:r>
        <w:rPr>
          <w:rFonts w:eastAsia="TimesNewRomanPSMT"/>
          <w:sz w:val="24"/>
          <w:szCs w:val="24"/>
        </w:rPr>
        <w:t xml:space="preserve"> sau </w:t>
      </w:r>
      <w:r>
        <w:rPr>
          <w:rFonts w:eastAsia="TimesNewRomanPSMT"/>
          <w:b/>
          <w:bCs/>
          <w:sz w:val="24"/>
          <w:szCs w:val="24"/>
        </w:rPr>
        <w:t xml:space="preserve">II, </w:t>
      </w:r>
      <w:r>
        <w:rPr>
          <w:rFonts w:eastAsia="TimesNewRomanPSMT"/>
          <w:sz w:val="24"/>
          <w:szCs w:val="24"/>
        </w:rPr>
        <w:t>pentru  alte încadrări în nivel de stabilitate se vor utiliza valorile prevăzute în normativul specific), astfel:</w:t>
      </w:r>
    </w:p>
    <w:p w14:paraId="2E1629BF" w14:textId="77777777" w:rsidR="001C08A5" w:rsidRDefault="00000000">
      <w:pPr>
        <w:ind w:left="1440" w:firstLine="720"/>
        <w:jc w:val="both"/>
        <w:rPr>
          <w:rFonts w:eastAsia="TimesNewRomanPSMT"/>
          <w:sz w:val="24"/>
          <w:szCs w:val="24"/>
        </w:rPr>
      </w:pPr>
      <w:r>
        <w:rPr>
          <w:rFonts w:eastAsia="TimesNewRomanPSMT"/>
          <w:sz w:val="24"/>
          <w:szCs w:val="24"/>
        </w:rPr>
        <w:t>- pentru locuri în picioare sau pe bănci această distanţă este linia ce uneşte locul respectiv cu cea mai apropiată ieşire;</w:t>
      </w:r>
    </w:p>
    <w:p w14:paraId="234C5AB5" w14:textId="77777777" w:rsidR="001C08A5" w:rsidRDefault="00000000">
      <w:pPr>
        <w:ind w:left="1440" w:firstLine="720"/>
        <w:jc w:val="both"/>
        <w:rPr>
          <w:rFonts w:eastAsia="TimesNewRomanPSMT"/>
          <w:sz w:val="24"/>
          <w:szCs w:val="24"/>
        </w:rPr>
      </w:pPr>
      <w:r>
        <w:rPr>
          <w:rFonts w:eastAsia="TimesNewRomanPSMT"/>
          <w:sz w:val="24"/>
          <w:szCs w:val="24"/>
        </w:rPr>
        <w:t>- pentru locuri pe scaune, această distanţă reprezintă suma dintre lungimea randului şi aceea a căii laterale de parcurs de la locul respectiv la cea mai apropiată ieşire.</w:t>
      </w:r>
    </w:p>
    <w:p w14:paraId="43408ED2" w14:textId="77777777" w:rsidR="001C08A5" w:rsidRDefault="001C08A5">
      <w:pPr>
        <w:ind w:firstLine="708"/>
        <w:jc w:val="both"/>
        <w:rPr>
          <w:b/>
          <w:sz w:val="24"/>
          <w:szCs w:val="24"/>
        </w:rPr>
      </w:pPr>
    </w:p>
    <w:p w14:paraId="1EB3E98E" w14:textId="77777777" w:rsidR="001C08A5" w:rsidRDefault="00000000">
      <w:pPr>
        <w:ind w:firstLine="720"/>
        <w:jc w:val="both"/>
        <w:rPr>
          <w:rFonts w:eastAsia="TimesNewRomanPSMT"/>
          <w:sz w:val="24"/>
          <w:szCs w:val="24"/>
        </w:rPr>
      </w:pPr>
      <w:r>
        <w:rPr>
          <w:b/>
          <w:sz w:val="24"/>
          <w:szCs w:val="24"/>
        </w:rPr>
        <w:t xml:space="preserve">Art. 3.3.2.10. (1) </w:t>
      </w:r>
      <w:r>
        <w:rPr>
          <w:rFonts w:eastAsia="TimesNewRomanPSMT"/>
          <w:sz w:val="24"/>
          <w:szCs w:val="24"/>
        </w:rPr>
        <w:t>Dimensionarea căilor de acces și evacuare în tribune va respecta următoarele:</w:t>
      </w:r>
    </w:p>
    <w:p w14:paraId="7713A933" w14:textId="77777777" w:rsidR="001C08A5" w:rsidRDefault="00000000">
      <w:pPr>
        <w:ind w:left="1440" w:firstLine="720"/>
        <w:jc w:val="both"/>
        <w:rPr>
          <w:rFonts w:eastAsia="TimesNewRomanPSMT"/>
          <w:sz w:val="24"/>
          <w:szCs w:val="24"/>
        </w:rPr>
      </w:pPr>
      <w:r>
        <w:rPr>
          <w:rFonts w:eastAsia="TimesNewRomanPSMT"/>
          <w:sz w:val="24"/>
          <w:szCs w:val="24"/>
        </w:rPr>
        <w:t xml:space="preserve">- căile de acces din jurul subsectoarelor nu vor fi mai mici de </w:t>
      </w:r>
      <w:r>
        <w:rPr>
          <w:rFonts w:eastAsia="TimesNewRomanPSMT"/>
          <w:b/>
          <w:bCs/>
          <w:sz w:val="24"/>
          <w:szCs w:val="24"/>
        </w:rPr>
        <w:t>1,20 m</w:t>
      </w:r>
      <w:r>
        <w:rPr>
          <w:rFonts w:eastAsia="TimesNewRomanPSMT"/>
          <w:sz w:val="24"/>
          <w:szCs w:val="24"/>
        </w:rPr>
        <w:t>.</w:t>
      </w:r>
    </w:p>
    <w:p w14:paraId="484F07B5" w14:textId="77777777" w:rsidR="001C08A5" w:rsidRDefault="00000000">
      <w:pPr>
        <w:ind w:left="1440" w:firstLine="720"/>
        <w:jc w:val="both"/>
        <w:rPr>
          <w:rFonts w:eastAsia="TimesNewRomanPSMT"/>
          <w:sz w:val="24"/>
          <w:szCs w:val="24"/>
        </w:rPr>
      </w:pPr>
      <w:r>
        <w:rPr>
          <w:rFonts w:eastAsia="TimesNewRomanPSMT"/>
          <w:sz w:val="24"/>
          <w:szCs w:val="24"/>
        </w:rPr>
        <w:t xml:space="preserve">- se consideră lăţimea minimă de trecere </w:t>
      </w:r>
      <w:r>
        <w:rPr>
          <w:rFonts w:eastAsia="TimesNewRomanPSMT"/>
          <w:b/>
          <w:bCs/>
          <w:sz w:val="24"/>
          <w:szCs w:val="24"/>
        </w:rPr>
        <w:t>1,20 m</w:t>
      </w:r>
      <w:r>
        <w:rPr>
          <w:rFonts w:eastAsia="TimesNewRomanPSMT"/>
          <w:sz w:val="24"/>
          <w:szCs w:val="24"/>
        </w:rPr>
        <w:t xml:space="preserve"> (adică acea lăţime care asigură evacuarea unui număr de </w:t>
      </w:r>
      <w:r>
        <w:rPr>
          <w:rFonts w:eastAsia="TimesNewRomanPSMT"/>
          <w:b/>
          <w:bCs/>
          <w:sz w:val="24"/>
          <w:szCs w:val="24"/>
        </w:rPr>
        <w:t>100</w:t>
      </w:r>
      <w:r>
        <w:rPr>
          <w:rFonts w:eastAsia="TimesNewRomanPSMT"/>
          <w:sz w:val="24"/>
          <w:szCs w:val="24"/>
        </w:rPr>
        <w:t xml:space="preserve"> de persoane intr-un minut in condiţii rezonabile, fie aceasta un Modul de ieşire - M.I.). Două persoane pot trece simultan printr-un modul de ieşire.- timpul maxim planificat de ieşire în caz de urgenţă de </w:t>
      </w:r>
      <w:r>
        <w:rPr>
          <w:rFonts w:eastAsia="TimesNewRomanPSMT"/>
          <w:b/>
          <w:bCs/>
          <w:sz w:val="24"/>
          <w:szCs w:val="24"/>
        </w:rPr>
        <w:t>270</w:t>
      </w:r>
      <w:r>
        <w:rPr>
          <w:rFonts w:eastAsia="TimesNewRomanPSMT"/>
          <w:sz w:val="24"/>
          <w:szCs w:val="24"/>
        </w:rPr>
        <w:t xml:space="preserve"> secunde (</w:t>
      </w:r>
      <w:r>
        <w:rPr>
          <w:sz w:val="24"/>
          <w:szCs w:val="24"/>
        </w:rPr>
        <w:t xml:space="preserve">raportat la o viteză medie de </w:t>
      </w:r>
      <w:r>
        <w:rPr>
          <w:b/>
          <w:bCs/>
          <w:sz w:val="24"/>
          <w:szCs w:val="24"/>
        </w:rPr>
        <w:t>0,35</w:t>
      </w:r>
      <w:r>
        <w:rPr>
          <w:sz w:val="24"/>
          <w:szCs w:val="24"/>
        </w:rPr>
        <w:t xml:space="preserve"> m/sec,</w:t>
      </w:r>
      <w:r>
        <w:rPr>
          <w:rFonts w:eastAsia="TimesNewRomanPSMT"/>
          <w:sz w:val="24"/>
          <w:szCs w:val="24"/>
        </w:rPr>
        <w:t xml:space="preserve">evacuarea tribunei  reprezentând părăsirea locurilor din tribună a tuturor spectatorilor şi trecerea acestora de „punctele de acces în tribună" spre incinta exterioară tribunei). Acest timp este inclus în timpul mediu admis de evacuare a stadionului (reprezentând trecerea de incinta exterioară a tuturor spectatorilor), care este de </w:t>
      </w:r>
      <w:r>
        <w:rPr>
          <w:rFonts w:eastAsia="TimesNewRomanPSMT"/>
          <w:b/>
          <w:bCs/>
          <w:sz w:val="24"/>
          <w:szCs w:val="24"/>
        </w:rPr>
        <w:t xml:space="preserve">8 </w:t>
      </w:r>
      <w:r>
        <w:rPr>
          <w:rFonts w:eastAsia="TimesNewRomanPSMT"/>
          <w:sz w:val="24"/>
          <w:szCs w:val="24"/>
        </w:rPr>
        <w:t>-</w:t>
      </w:r>
      <w:r>
        <w:rPr>
          <w:rFonts w:eastAsia="TimesNewRomanPSMT"/>
          <w:b/>
          <w:bCs/>
          <w:sz w:val="24"/>
          <w:szCs w:val="24"/>
        </w:rPr>
        <w:t xml:space="preserve"> 10</w:t>
      </w:r>
      <w:r>
        <w:rPr>
          <w:rFonts w:eastAsia="TimesNewRomanPSMT"/>
          <w:sz w:val="24"/>
          <w:szCs w:val="24"/>
        </w:rPr>
        <w:t xml:space="preserve"> minute.</w:t>
      </w:r>
    </w:p>
    <w:p w14:paraId="1AE7801A" w14:textId="77777777" w:rsidR="001C08A5" w:rsidRDefault="00000000">
      <w:pPr>
        <w:ind w:firstLine="720"/>
        <w:jc w:val="both"/>
        <w:rPr>
          <w:sz w:val="24"/>
          <w:szCs w:val="24"/>
        </w:rPr>
      </w:pPr>
      <w:r>
        <w:rPr>
          <w:b/>
          <w:sz w:val="24"/>
          <w:szCs w:val="24"/>
        </w:rPr>
        <w:t>(2)</w:t>
      </w:r>
      <w:r>
        <w:rPr>
          <w:sz w:val="24"/>
          <w:szCs w:val="24"/>
        </w:rPr>
        <w:t xml:space="preserve"> Calculul fluxului de evacuare al unei ieşiri se face împărţind lăţimea sa la lăţimea modulului de ieşire, şi apoi înmulţind cu numărul de spectatori rezultaţi din timpul maxim de evacuare a tribunei (</w:t>
      </w:r>
      <w:r>
        <w:rPr>
          <w:b/>
          <w:bCs/>
          <w:sz w:val="24"/>
          <w:szCs w:val="24"/>
        </w:rPr>
        <w:t>450</w:t>
      </w:r>
      <w:r>
        <w:rPr>
          <w:sz w:val="24"/>
          <w:szCs w:val="24"/>
        </w:rPr>
        <w:t xml:space="preserve"> de spectatori în cazul timpului de </w:t>
      </w:r>
      <w:r>
        <w:rPr>
          <w:b/>
          <w:bCs/>
          <w:sz w:val="24"/>
          <w:szCs w:val="24"/>
        </w:rPr>
        <w:t>270</w:t>
      </w:r>
      <w:r>
        <w:rPr>
          <w:sz w:val="24"/>
          <w:szCs w:val="24"/>
        </w:rPr>
        <w:t xml:space="preserve"> secunde, raportat la o viteză medie de </w:t>
      </w:r>
      <w:r>
        <w:rPr>
          <w:b/>
          <w:bCs/>
          <w:sz w:val="24"/>
          <w:szCs w:val="24"/>
        </w:rPr>
        <w:t xml:space="preserve">0,35 </w:t>
      </w:r>
      <w:r>
        <w:rPr>
          <w:sz w:val="24"/>
          <w:szCs w:val="24"/>
        </w:rPr>
        <w:t>m/s), în mod normal suma capacităţilor individuale ale ieşirilor ar trebui să fie o măsură a capacităţii zonei destinate spectatorilor stadionului (tribuna).</w:t>
      </w:r>
    </w:p>
    <w:p w14:paraId="3E2A14A7" w14:textId="77777777" w:rsidR="001C08A5" w:rsidRDefault="001C08A5">
      <w:pPr>
        <w:ind w:firstLine="708"/>
        <w:jc w:val="both"/>
        <w:rPr>
          <w:b/>
          <w:sz w:val="24"/>
          <w:szCs w:val="24"/>
        </w:rPr>
      </w:pPr>
    </w:p>
    <w:p w14:paraId="6F670EC6" w14:textId="77777777" w:rsidR="001C08A5" w:rsidRDefault="00000000">
      <w:pPr>
        <w:ind w:firstLine="708"/>
        <w:jc w:val="both"/>
        <w:rPr>
          <w:rFonts w:eastAsia="TimesNewRomanPSMT"/>
          <w:sz w:val="24"/>
          <w:szCs w:val="24"/>
        </w:rPr>
      </w:pPr>
      <w:r>
        <w:rPr>
          <w:b/>
          <w:sz w:val="24"/>
          <w:szCs w:val="24"/>
        </w:rPr>
        <w:t>Art. 3.3.2.11. (1)</w:t>
      </w:r>
      <w:r>
        <w:rPr>
          <w:sz w:val="24"/>
          <w:szCs w:val="24"/>
        </w:rPr>
        <w:t xml:space="preserve"> Lăţimea căilor de circulaţie funcţională şi de evacuare a utilizatorilor din tribune se stabileşte conform prevederilor prezentului normativ şi al reglementărilor specifice, în funcţie de modul de dispunere al locurilor și al numărului de utilizatori ce trebuie evacuat, dar minimum </w:t>
      </w:r>
      <w:r>
        <w:rPr>
          <w:b/>
          <w:sz w:val="24"/>
          <w:szCs w:val="24"/>
        </w:rPr>
        <w:t>1,20</w:t>
      </w:r>
      <w:r>
        <w:rPr>
          <w:sz w:val="24"/>
          <w:szCs w:val="24"/>
        </w:rPr>
        <w:t xml:space="preserve"> </w:t>
      </w:r>
      <w:r>
        <w:rPr>
          <w:b/>
          <w:bCs/>
          <w:sz w:val="24"/>
          <w:szCs w:val="24"/>
        </w:rPr>
        <w:t>m</w:t>
      </w:r>
      <w:r>
        <w:rPr>
          <w:sz w:val="24"/>
          <w:szCs w:val="24"/>
        </w:rPr>
        <w:t xml:space="preserve"> pentru evacuare a maximum</w:t>
      </w:r>
      <w:r>
        <w:rPr>
          <w:b/>
          <w:bCs/>
          <w:sz w:val="24"/>
          <w:szCs w:val="24"/>
        </w:rPr>
        <w:t xml:space="preserve"> 200</w:t>
      </w:r>
      <w:r>
        <w:rPr>
          <w:sz w:val="24"/>
          <w:szCs w:val="24"/>
        </w:rPr>
        <w:t xml:space="preserve"> utilizatori şi minimum </w:t>
      </w:r>
      <w:r>
        <w:rPr>
          <w:b/>
          <w:sz w:val="24"/>
          <w:szCs w:val="24"/>
        </w:rPr>
        <w:t>1,60</w:t>
      </w:r>
      <w:r>
        <w:rPr>
          <w:sz w:val="24"/>
          <w:szCs w:val="24"/>
        </w:rPr>
        <w:t xml:space="preserve"> </w:t>
      </w:r>
      <w:r>
        <w:rPr>
          <w:b/>
          <w:bCs/>
          <w:sz w:val="24"/>
          <w:szCs w:val="24"/>
        </w:rPr>
        <w:t>m</w:t>
      </w:r>
      <w:r>
        <w:rPr>
          <w:sz w:val="24"/>
          <w:szCs w:val="24"/>
        </w:rPr>
        <w:t xml:space="preserve"> pentru mai mult de </w:t>
      </w:r>
      <w:r>
        <w:rPr>
          <w:b/>
          <w:bCs/>
          <w:sz w:val="24"/>
          <w:szCs w:val="24"/>
        </w:rPr>
        <w:t>200</w:t>
      </w:r>
      <w:r>
        <w:rPr>
          <w:sz w:val="24"/>
          <w:szCs w:val="24"/>
        </w:rPr>
        <w:t xml:space="preserve"> utilizatori. </w:t>
      </w:r>
    </w:p>
    <w:p w14:paraId="5FAEC667" w14:textId="77777777" w:rsidR="001C08A5" w:rsidRDefault="00000000">
      <w:pPr>
        <w:ind w:firstLine="720"/>
        <w:jc w:val="both"/>
        <w:rPr>
          <w:sz w:val="24"/>
          <w:szCs w:val="24"/>
        </w:rPr>
      </w:pPr>
      <w:r>
        <w:rPr>
          <w:b/>
          <w:bCs/>
          <w:sz w:val="24"/>
          <w:szCs w:val="24"/>
        </w:rPr>
        <w:t>(</w:t>
      </w:r>
      <w:r>
        <w:rPr>
          <w:b/>
          <w:bCs/>
          <w:sz w:val="24"/>
          <w:szCs w:val="24"/>
          <w:lang w:val="en-US"/>
        </w:rPr>
        <w:t>2</w:t>
      </w:r>
      <w:r>
        <w:rPr>
          <w:b/>
          <w:bCs/>
          <w:sz w:val="24"/>
          <w:szCs w:val="24"/>
        </w:rPr>
        <w:t>)</w:t>
      </w:r>
      <w:r>
        <w:rPr>
          <w:sz w:val="24"/>
          <w:szCs w:val="24"/>
        </w:rPr>
        <w:t xml:space="preserve"> Lăţimea rampelor scărilor de evacuare se determină după numărul de unităţi de trecere (fluxuri) de evacuare ce provin de la nivelul cel mai aglomerat.</w:t>
      </w:r>
    </w:p>
    <w:p w14:paraId="4EFE3CA7" w14:textId="77777777" w:rsidR="001C08A5" w:rsidRDefault="00000000">
      <w:pPr>
        <w:ind w:firstLine="708"/>
        <w:jc w:val="both"/>
        <w:rPr>
          <w:rFonts w:eastAsia="TimesNewRomanPSMT"/>
          <w:sz w:val="24"/>
          <w:szCs w:val="24"/>
        </w:rPr>
      </w:pPr>
      <w:r>
        <w:rPr>
          <w:b/>
          <w:sz w:val="24"/>
          <w:szCs w:val="24"/>
        </w:rPr>
        <w:lastRenderedPageBreak/>
        <w:t xml:space="preserve">(3) </w:t>
      </w:r>
      <w:r>
        <w:rPr>
          <w:rFonts w:eastAsia="TimesNewRomanPSMT"/>
          <w:sz w:val="24"/>
          <w:szCs w:val="24"/>
        </w:rPr>
        <w:t>Lăţimea scărilor de evacuare va fi de min.</w:t>
      </w:r>
      <w:r>
        <w:rPr>
          <w:rFonts w:eastAsia="TimesNewRomanPSMT"/>
          <w:b/>
          <w:bCs/>
          <w:sz w:val="24"/>
          <w:szCs w:val="24"/>
        </w:rPr>
        <w:t xml:space="preserve"> 1,20</w:t>
      </w:r>
      <w:r>
        <w:rPr>
          <w:rFonts w:eastAsia="TimesNewRomanPSMT"/>
          <w:sz w:val="24"/>
          <w:szCs w:val="24"/>
        </w:rPr>
        <w:t xml:space="preserve"> </w:t>
      </w:r>
      <w:r>
        <w:rPr>
          <w:rFonts w:eastAsia="TimesNewRomanPSMT"/>
          <w:b/>
          <w:bCs/>
          <w:sz w:val="24"/>
          <w:szCs w:val="24"/>
        </w:rPr>
        <w:t>m</w:t>
      </w:r>
      <w:r>
        <w:rPr>
          <w:rFonts w:eastAsia="TimesNewRomanPSMT"/>
          <w:sz w:val="24"/>
          <w:szCs w:val="24"/>
        </w:rPr>
        <w:t xml:space="preserve"> pentru max. </w:t>
      </w:r>
      <w:r>
        <w:rPr>
          <w:rFonts w:eastAsia="TimesNewRomanPSMT"/>
          <w:b/>
          <w:bCs/>
          <w:sz w:val="24"/>
          <w:szCs w:val="24"/>
        </w:rPr>
        <w:t>200</w:t>
      </w:r>
      <w:r>
        <w:rPr>
          <w:rFonts w:eastAsia="TimesNewRomanPSMT"/>
          <w:sz w:val="24"/>
          <w:szCs w:val="24"/>
        </w:rPr>
        <w:t xml:space="preserve"> persoane şi de min. </w:t>
      </w:r>
      <w:r>
        <w:rPr>
          <w:rFonts w:eastAsia="TimesNewRomanPSMT"/>
          <w:b/>
          <w:bCs/>
          <w:sz w:val="24"/>
          <w:szCs w:val="24"/>
        </w:rPr>
        <w:t>1,40</w:t>
      </w:r>
      <w:r>
        <w:rPr>
          <w:rFonts w:eastAsia="TimesNewRomanPSMT"/>
          <w:sz w:val="24"/>
          <w:szCs w:val="24"/>
        </w:rPr>
        <w:t xml:space="preserve"> m pentru mai mult de </w:t>
      </w:r>
      <w:r>
        <w:rPr>
          <w:rFonts w:eastAsia="TimesNewRomanPSMT"/>
          <w:b/>
          <w:bCs/>
          <w:sz w:val="24"/>
          <w:szCs w:val="24"/>
        </w:rPr>
        <w:t>200</w:t>
      </w:r>
      <w:r>
        <w:rPr>
          <w:rFonts w:eastAsia="TimesNewRomanPSMT"/>
          <w:sz w:val="24"/>
          <w:szCs w:val="24"/>
        </w:rPr>
        <w:t xml:space="preserve"> persoane. </w:t>
      </w:r>
    </w:p>
    <w:p w14:paraId="0A69A757" w14:textId="77777777" w:rsidR="001C08A5" w:rsidRDefault="00000000">
      <w:pPr>
        <w:ind w:firstLine="708"/>
        <w:jc w:val="both"/>
        <w:rPr>
          <w:sz w:val="24"/>
          <w:szCs w:val="24"/>
        </w:rPr>
      </w:pPr>
      <w:r>
        <w:rPr>
          <w:b/>
          <w:bCs/>
          <w:sz w:val="24"/>
          <w:szCs w:val="24"/>
        </w:rPr>
        <w:t>(</w:t>
      </w:r>
      <w:r>
        <w:rPr>
          <w:b/>
          <w:bCs/>
          <w:sz w:val="24"/>
          <w:szCs w:val="24"/>
          <w:lang w:val="en-US"/>
        </w:rPr>
        <w:t>4</w:t>
      </w:r>
      <w:r>
        <w:rPr>
          <w:b/>
          <w:bCs/>
          <w:sz w:val="24"/>
          <w:szCs w:val="24"/>
        </w:rPr>
        <w:t>)</w:t>
      </w:r>
      <w:r>
        <w:rPr>
          <w:sz w:val="24"/>
          <w:szCs w:val="24"/>
        </w:rPr>
        <w:t xml:space="preserve">   Scările de evacuare a stadioanelor și arenelor sportive în aer liber pot fi deschise.</w:t>
      </w:r>
    </w:p>
    <w:p w14:paraId="124571D3" w14:textId="77777777" w:rsidR="001C08A5" w:rsidRDefault="00000000">
      <w:pPr>
        <w:ind w:firstLine="720"/>
        <w:jc w:val="both"/>
        <w:rPr>
          <w:sz w:val="24"/>
          <w:szCs w:val="24"/>
        </w:rPr>
      </w:pPr>
      <w:r>
        <w:rPr>
          <w:b/>
          <w:bCs/>
          <w:sz w:val="24"/>
          <w:szCs w:val="24"/>
        </w:rPr>
        <w:t>(</w:t>
      </w:r>
      <w:r>
        <w:rPr>
          <w:b/>
          <w:bCs/>
          <w:sz w:val="24"/>
          <w:szCs w:val="24"/>
          <w:lang w:val="en-US"/>
        </w:rPr>
        <w:t>5</w:t>
      </w:r>
      <w:r>
        <w:rPr>
          <w:b/>
          <w:bCs/>
          <w:sz w:val="24"/>
          <w:szCs w:val="24"/>
        </w:rPr>
        <w:t>)</w:t>
      </w:r>
      <w:r>
        <w:rPr>
          <w:sz w:val="24"/>
          <w:szCs w:val="24"/>
        </w:rPr>
        <w:t xml:space="preserve"> Lăţimea circulaţiilor dintre sectoare (paralele și perpendiculare pe gradene), va fi de minimum </w:t>
      </w:r>
      <w:r>
        <w:rPr>
          <w:b/>
          <w:sz w:val="24"/>
          <w:szCs w:val="24"/>
        </w:rPr>
        <w:t>1,20</w:t>
      </w:r>
      <w:r>
        <w:rPr>
          <w:sz w:val="24"/>
          <w:szCs w:val="24"/>
        </w:rPr>
        <w:t xml:space="preserve"> m.</w:t>
      </w:r>
    </w:p>
    <w:p w14:paraId="0D2C6E7E" w14:textId="77777777" w:rsidR="001C08A5" w:rsidRDefault="00000000">
      <w:pPr>
        <w:ind w:firstLine="720"/>
        <w:jc w:val="both"/>
        <w:rPr>
          <w:sz w:val="24"/>
          <w:szCs w:val="24"/>
        </w:rPr>
      </w:pPr>
      <w:r>
        <w:rPr>
          <w:b/>
          <w:bCs/>
          <w:sz w:val="24"/>
          <w:szCs w:val="24"/>
        </w:rPr>
        <w:t>(</w:t>
      </w:r>
      <w:r>
        <w:rPr>
          <w:b/>
          <w:bCs/>
          <w:sz w:val="24"/>
          <w:szCs w:val="24"/>
          <w:lang w:val="en-US"/>
        </w:rPr>
        <w:t>6</w:t>
      </w:r>
      <w:r>
        <w:rPr>
          <w:b/>
          <w:bCs/>
          <w:sz w:val="24"/>
          <w:szCs w:val="24"/>
        </w:rPr>
        <w:t>)</w:t>
      </w:r>
      <w:r>
        <w:rPr>
          <w:sz w:val="24"/>
          <w:szCs w:val="24"/>
        </w:rPr>
        <w:t xml:space="preserve"> Pentru accesul, circulaţia şi evacuarea utilizatorilor de pe gradene, treptele vor avea lăţimi egale.</w:t>
      </w:r>
    </w:p>
    <w:p w14:paraId="7C978C25" w14:textId="77777777" w:rsidR="001C08A5" w:rsidRDefault="00000000">
      <w:pPr>
        <w:ind w:firstLine="720"/>
        <w:jc w:val="both"/>
        <w:rPr>
          <w:sz w:val="24"/>
          <w:szCs w:val="24"/>
        </w:rPr>
      </w:pPr>
      <w:r>
        <w:rPr>
          <w:b/>
          <w:bCs/>
          <w:sz w:val="24"/>
          <w:szCs w:val="24"/>
        </w:rPr>
        <w:t>(</w:t>
      </w:r>
      <w:r>
        <w:rPr>
          <w:b/>
          <w:bCs/>
          <w:sz w:val="24"/>
          <w:szCs w:val="24"/>
          <w:lang w:val="en-US"/>
        </w:rPr>
        <w:t>7</w:t>
      </w:r>
      <w:r>
        <w:rPr>
          <w:b/>
          <w:bCs/>
          <w:sz w:val="24"/>
          <w:szCs w:val="24"/>
        </w:rPr>
        <w:t>)</w:t>
      </w:r>
      <w:r>
        <w:rPr>
          <w:sz w:val="24"/>
          <w:szCs w:val="24"/>
        </w:rPr>
        <w:t xml:space="preserve"> Circulaţiile perpendiculare pentru mai mult de </w:t>
      </w:r>
      <w:r>
        <w:rPr>
          <w:b/>
          <w:bCs/>
          <w:sz w:val="24"/>
          <w:szCs w:val="24"/>
        </w:rPr>
        <w:t>15</w:t>
      </w:r>
      <w:r>
        <w:rPr>
          <w:sz w:val="24"/>
          <w:szCs w:val="24"/>
        </w:rPr>
        <w:t xml:space="preserve"> gradene care au pantă (unghi de înclinare față de orizontală) mai mare de</w:t>
      </w:r>
      <w:r>
        <w:rPr>
          <w:b/>
          <w:bCs/>
          <w:sz w:val="24"/>
          <w:szCs w:val="24"/>
        </w:rPr>
        <w:t xml:space="preserve"> 25º</w:t>
      </w:r>
      <w:r>
        <w:rPr>
          <w:sz w:val="24"/>
          <w:szCs w:val="24"/>
        </w:rPr>
        <w:t xml:space="preserve">, se prevăd cu puncte de sprijin pentru utilizatori. </w:t>
      </w:r>
    </w:p>
    <w:p w14:paraId="5CE8665E" w14:textId="77777777" w:rsidR="001C08A5" w:rsidRDefault="001C08A5">
      <w:pPr>
        <w:ind w:firstLine="720"/>
        <w:jc w:val="both"/>
        <w:rPr>
          <w:b/>
          <w:bCs/>
          <w:sz w:val="24"/>
          <w:szCs w:val="24"/>
        </w:rPr>
      </w:pPr>
    </w:p>
    <w:p w14:paraId="5AAC18F6" w14:textId="77777777" w:rsidR="001C08A5" w:rsidRDefault="00000000">
      <w:pPr>
        <w:ind w:firstLine="708"/>
        <w:jc w:val="both"/>
        <w:rPr>
          <w:sz w:val="24"/>
          <w:szCs w:val="24"/>
        </w:rPr>
      </w:pPr>
      <w:r>
        <w:rPr>
          <w:b/>
          <w:sz w:val="24"/>
          <w:szCs w:val="24"/>
        </w:rPr>
        <w:t xml:space="preserve">Art. 3.3.2.12. </w:t>
      </w:r>
      <w:r>
        <w:rPr>
          <w:sz w:val="24"/>
          <w:szCs w:val="24"/>
        </w:rPr>
        <w:t xml:space="preserve">La stadioanele deschise și arenele sportive în aer liber, numărul maxim de locuri admise pe un rând de scaune, este normat în funcţie de nivelul de stabilitate la incendiu asigurat și de modul în care se face evacuarea utilizatorilor din rând, potrivit prevederilor din </w:t>
      </w:r>
      <w:r>
        <w:rPr>
          <w:b/>
          <w:bCs/>
          <w:i/>
          <w:iCs/>
          <w:sz w:val="24"/>
          <w:szCs w:val="24"/>
        </w:rPr>
        <w:fldChar w:fldCharType="begin"/>
      </w:r>
      <w:r>
        <w:rPr>
          <w:b/>
          <w:bCs/>
          <w:i/>
          <w:iCs/>
          <w:sz w:val="24"/>
          <w:szCs w:val="24"/>
        </w:rPr>
        <w:instrText xml:space="preserve"> REF _Ref21291 \h </w:instrText>
      </w:r>
      <w:r>
        <w:rPr>
          <w:b/>
          <w:bCs/>
          <w:i/>
          <w:iCs/>
          <w:sz w:val="24"/>
          <w:szCs w:val="24"/>
        </w:rPr>
      </w:r>
      <w:r>
        <w:rPr>
          <w:b/>
          <w:bCs/>
          <w:i/>
          <w:iCs/>
          <w:sz w:val="24"/>
          <w:szCs w:val="24"/>
        </w:rPr>
        <w:fldChar w:fldCharType="separate"/>
      </w:r>
      <w:r>
        <w:t>Tabelul 89</w:t>
      </w:r>
      <w:r>
        <w:rPr>
          <w:b/>
          <w:bCs/>
          <w:i/>
          <w:iCs/>
          <w:sz w:val="24"/>
          <w:szCs w:val="24"/>
        </w:rPr>
        <w:fldChar w:fldCharType="end"/>
      </w:r>
      <w:r>
        <w:rPr>
          <w:b/>
          <w:sz w:val="24"/>
          <w:szCs w:val="24"/>
        </w:rPr>
        <w:t>.</w:t>
      </w:r>
    </w:p>
    <w:p w14:paraId="17467607" w14:textId="77777777" w:rsidR="001C08A5" w:rsidRDefault="001C08A5">
      <w:pPr>
        <w:ind w:firstLine="708"/>
        <w:jc w:val="both"/>
        <w:rPr>
          <w:sz w:val="24"/>
          <w:szCs w:val="24"/>
        </w:rPr>
      </w:pPr>
    </w:p>
    <w:p w14:paraId="052AAA29" w14:textId="77777777" w:rsidR="001C08A5" w:rsidRDefault="00000000">
      <w:pPr>
        <w:pStyle w:val="Captiontabel"/>
      </w:pPr>
      <w:bookmarkStart w:id="4120" w:name="_Ref21291"/>
      <w:bookmarkStart w:id="4121" w:name="_Toc162360139"/>
      <w:r>
        <w:t xml:space="preserve">Tabelul </w:t>
      </w:r>
      <w:r>
        <w:fldChar w:fldCharType="begin"/>
      </w:r>
      <w:r>
        <w:instrText xml:space="preserve"> SEQ Tabelul \* ARABIC </w:instrText>
      </w:r>
      <w:r>
        <w:fldChar w:fldCharType="separate"/>
      </w:r>
      <w:r>
        <w:t>89</w:t>
      </w:r>
      <w:r>
        <w:fldChar w:fldCharType="end"/>
      </w:r>
      <w:bookmarkStart w:id="4122" w:name="_Toc24117"/>
      <w:bookmarkStart w:id="4123" w:name="_Toc29726"/>
      <w:bookmarkStart w:id="4124" w:name="_Toc614"/>
      <w:bookmarkStart w:id="4125" w:name="_Toc7900"/>
      <w:bookmarkStart w:id="4126" w:name="_Toc22973"/>
      <w:bookmarkStart w:id="4127" w:name="_Toc19556"/>
      <w:bookmarkStart w:id="4128" w:name="_Toc12993"/>
      <w:bookmarkStart w:id="4129" w:name="_Toc16406"/>
      <w:bookmarkStart w:id="4130" w:name="_Toc28209"/>
      <w:bookmarkStart w:id="4131" w:name="_Toc771"/>
      <w:bookmarkStart w:id="4132" w:name="_Toc15753"/>
      <w:bookmarkStart w:id="4133" w:name="_Toc24677"/>
      <w:bookmarkEnd w:id="4120"/>
      <w:r>
        <w:t>: Număr maxim de locuri admise pe un rând de scaune</w:t>
      </w:r>
      <w:bookmarkEnd w:id="4121"/>
      <w:r>
        <w:t xml:space="preserve"> </w:t>
      </w:r>
      <w:bookmarkEnd w:id="4122"/>
      <w:bookmarkEnd w:id="4123"/>
      <w:bookmarkEnd w:id="4124"/>
      <w:bookmarkEnd w:id="4125"/>
      <w:bookmarkEnd w:id="4126"/>
      <w:bookmarkEnd w:id="4127"/>
      <w:bookmarkEnd w:id="4128"/>
      <w:bookmarkEnd w:id="4129"/>
      <w:bookmarkEnd w:id="4130"/>
      <w:bookmarkEnd w:id="4131"/>
      <w:bookmarkEnd w:id="4132"/>
      <w:bookmarkEnd w:id="4133"/>
    </w:p>
    <w:p w14:paraId="50CEA289" w14:textId="77777777" w:rsidR="001C08A5" w:rsidRDefault="001C08A5">
      <w:pPr>
        <w:jc w:val="both"/>
        <w:rPr>
          <w:b/>
          <w:sz w:val="24"/>
          <w:szCs w:val="24"/>
        </w:rPr>
      </w:pPr>
    </w:p>
    <w:tbl>
      <w:tblPr>
        <w:tblW w:w="0" w:type="auto"/>
        <w:jc w:val="center"/>
        <w:tblLayout w:type="fixed"/>
        <w:tblLook w:val="04A0" w:firstRow="1" w:lastRow="0" w:firstColumn="1" w:lastColumn="0" w:noHBand="0" w:noVBand="1"/>
      </w:tblPr>
      <w:tblGrid>
        <w:gridCol w:w="3363"/>
        <w:gridCol w:w="1710"/>
        <w:gridCol w:w="1908"/>
        <w:gridCol w:w="1956"/>
      </w:tblGrid>
      <w:tr w:rsidR="001C08A5" w14:paraId="6A9B9D8E" w14:textId="77777777">
        <w:trPr>
          <w:cantSplit/>
          <w:jc w:val="center"/>
        </w:trPr>
        <w:tc>
          <w:tcPr>
            <w:tcW w:w="3363" w:type="dxa"/>
            <w:vMerge w:val="restart"/>
            <w:tcBorders>
              <w:top w:val="single" w:sz="8" w:space="0" w:color="000000"/>
              <w:left w:val="single" w:sz="8" w:space="0" w:color="000000"/>
            </w:tcBorders>
            <w:shd w:val="clear" w:color="auto" w:fill="D9D9D9"/>
          </w:tcPr>
          <w:p w14:paraId="223E5217" w14:textId="77777777" w:rsidR="001C08A5" w:rsidRDefault="00000000">
            <w:pPr>
              <w:jc w:val="center"/>
              <w:rPr>
                <w:b/>
                <w:i/>
                <w:iCs/>
                <w:sz w:val="22"/>
                <w:szCs w:val="22"/>
              </w:rPr>
            </w:pPr>
            <w:r>
              <w:rPr>
                <w:b/>
                <w:i/>
                <w:iCs/>
                <w:sz w:val="22"/>
                <w:szCs w:val="22"/>
              </w:rPr>
              <w:t>Modul de evacuare al utilizatorilor aflaţi pe un rând de scaune</w:t>
            </w:r>
          </w:p>
        </w:tc>
        <w:tc>
          <w:tcPr>
            <w:tcW w:w="5574" w:type="dxa"/>
            <w:gridSpan w:val="3"/>
            <w:tcBorders>
              <w:top w:val="single" w:sz="8" w:space="0" w:color="000000"/>
              <w:left w:val="single" w:sz="4" w:space="0" w:color="000000"/>
              <w:bottom w:val="single" w:sz="4" w:space="0" w:color="000000"/>
              <w:right w:val="single" w:sz="8" w:space="0" w:color="000000"/>
            </w:tcBorders>
            <w:shd w:val="clear" w:color="auto" w:fill="D9D9D9"/>
          </w:tcPr>
          <w:p w14:paraId="4BDFFA8C" w14:textId="77777777" w:rsidR="001C08A5" w:rsidRDefault="00000000">
            <w:pPr>
              <w:jc w:val="center"/>
              <w:rPr>
                <w:b/>
                <w:i/>
                <w:iCs/>
                <w:sz w:val="22"/>
                <w:szCs w:val="22"/>
              </w:rPr>
            </w:pPr>
            <w:r>
              <w:rPr>
                <w:b/>
                <w:i/>
                <w:iCs/>
                <w:sz w:val="22"/>
                <w:szCs w:val="22"/>
              </w:rPr>
              <w:t>Nivelul de stabilitate la incendiu al clădirii</w:t>
            </w:r>
          </w:p>
        </w:tc>
      </w:tr>
      <w:tr w:rsidR="001C08A5" w14:paraId="0C154407" w14:textId="77777777">
        <w:trPr>
          <w:cantSplit/>
          <w:jc w:val="center"/>
        </w:trPr>
        <w:tc>
          <w:tcPr>
            <w:tcW w:w="3363" w:type="dxa"/>
            <w:vMerge/>
            <w:tcBorders>
              <w:left w:val="single" w:sz="8" w:space="0" w:color="000000"/>
            </w:tcBorders>
            <w:shd w:val="clear" w:color="auto" w:fill="auto"/>
          </w:tcPr>
          <w:p w14:paraId="6EF84279" w14:textId="77777777" w:rsidR="001C08A5" w:rsidRDefault="001C08A5">
            <w:pPr>
              <w:snapToGrid w:val="0"/>
              <w:jc w:val="center"/>
              <w:rPr>
                <w:b/>
                <w:i/>
                <w:iCs/>
                <w:sz w:val="22"/>
                <w:szCs w:val="22"/>
              </w:rPr>
            </w:pPr>
          </w:p>
        </w:tc>
        <w:tc>
          <w:tcPr>
            <w:tcW w:w="1710" w:type="dxa"/>
            <w:tcBorders>
              <w:top w:val="single" w:sz="4" w:space="0" w:color="000000"/>
              <w:left w:val="single" w:sz="4" w:space="0" w:color="000000"/>
              <w:bottom w:val="single" w:sz="4" w:space="0" w:color="000000"/>
            </w:tcBorders>
            <w:shd w:val="clear" w:color="auto" w:fill="D9D9D9"/>
          </w:tcPr>
          <w:p w14:paraId="451B1FC2" w14:textId="77777777" w:rsidR="001C08A5" w:rsidRDefault="00000000">
            <w:pPr>
              <w:jc w:val="center"/>
              <w:rPr>
                <w:b/>
                <w:i/>
                <w:iCs/>
                <w:sz w:val="22"/>
                <w:szCs w:val="22"/>
              </w:rPr>
            </w:pPr>
            <w:r>
              <w:rPr>
                <w:b/>
                <w:i/>
                <w:iCs/>
                <w:sz w:val="22"/>
                <w:szCs w:val="22"/>
              </w:rPr>
              <w:t xml:space="preserve">I </w:t>
            </w:r>
            <w:r>
              <w:rPr>
                <w:i/>
                <w:iCs/>
                <w:sz w:val="22"/>
                <w:szCs w:val="22"/>
              </w:rPr>
              <w:t>şi</w:t>
            </w:r>
            <w:r>
              <w:rPr>
                <w:b/>
                <w:i/>
                <w:iCs/>
                <w:sz w:val="22"/>
                <w:szCs w:val="22"/>
              </w:rPr>
              <w:t xml:space="preserve"> II</w:t>
            </w:r>
          </w:p>
        </w:tc>
        <w:tc>
          <w:tcPr>
            <w:tcW w:w="1908" w:type="dxa"/>
            <w:tcBorders>
              <w:top w:val="single" w:sz="4" w:space="0" w:color="000000"/>
              <w:left w:val="single" w:sz="4" w:space="0" w:color="000000"/>
              <w:bottom w:val="single" w:sz="4" w:space="0" w:color="000000"/>
            </w:tcBorders>
            <w:shd w:val="clear" w:color="auto" w:fill="D9D9D9"/>
          </w:tcPr>
          <w:p w14:paraId="3C9E1C6F" w14:textId="77777777" w:rsidR="001C08A5" w:rsidRDefault="00000000">
            <w:pPr>
              <w:jc w:val="center"/>
              <w:rPr>
                <w:b/>
                <w:i/>
                <w:iCs/>
                <w:sz w:val="22"/>
                <w:szCs w:val="22"/>
              </w:rPr>
            </w:pPr>
            <w:r>
              <w:rPr>
                <w:b/>
                <w:i/>
                <w:iCs/>
                <w:sz w:val="22"/>
                <w:szCs w:val="22"/>
              </w:rPr>
              <w:t>III</w:t>
            </w:r>
          </w:p>
        </w:tc>
        <w:tc>
          <w:tcPr>
            <w:tcW w:w="1956" w:type="dxa"/>
            <w:tcBorders>
              <w:top w:val="single" w:sz="4" w:space="0" w:color="000000"/>
              <w:left w:val="single" w:sz="4" w:space="0" w:color="000000"/>
              <w:bottom w:val="single" w:sz="4" w:space="0" w:color="000000"/>
              <w:right w:val="single" w:sz="8" w:space="0" w:color="000000"/>
            </w:tcBorders>
            <w:shd w:val="clear" w:color="auto" w:fill="D9D9D9"/>
          </w:tcPr>
          <w:p w14:paraId="18B5A8B1" w14:textId="77777777" w:rsidR="001C08A5" w:rsidRDefault="00000000">
            <w:pPr>
              <w:jc w:val="center"/>
              <w:rPr>
                <w:b/>
                <w:i/>
                <w:iCs/>
                <w:sz w:val="22"/>
                <w:szCs w:val="22"/>
              </w:rPr>
            </w:pPr>
            <w:r>
              <w:rPr>
                <w:b/>
                <w:i/>
                <w:iCs/>
                <w:sz w:val="22"/>
                <w:szCs w:val="22"/>
              </w:rPr>
              <w:t xml:space="preserve">IV </w:t>
            </w:r>
            <w:r>
              <w:rPr>
                <w:i/>
                <w:iCs/>
                <w:sz w:val="22"/>
                <w:szCs w:val="22"/>
              </w:rPr>
              <w:t>şi</w:t>
            </w:r>
            <w:r>
              <w:rPr>
                <w:b/>
                <w:i/>
                <w:iCs/>
                <w:sz w:val="22"/>
                <w:szCs w:val="22"/>
              </w:rPr>
              <w:t xml:space="preserve"> V</w:t>
            </w:r>
          </w:p>
        </w:tc>
      </w:tr>
      <w:tr w:rsidR="001C08A5" w14:paraId="1BF16293" w14:textId="77777777">
        <w:trPr>
          <w:cantSplit/>
          <w:trHeight w:val="295"/>
          <w:jc w:val="center"/>
        </w:trPr>
        <w:tc>
          <w:tcPr>
            <w:tcW w:w="3363" w:type="dxa"/>
            <w:vMerge/>
            <w:tcBorders>
              <w:left w:val="single" w:sz="8" w:space="0" w:color="000000"/>
              <w:bottom w:val="single" w:sz="8" w:space="0" w:color="000000"/>
            </w:tcBorders>
            <w:shd w:val="clear" w:color="auto" w:fill="auto"/>
          </w:tcPr>
          <w:p w14:paraId="26DF7D16" w14:textId="77777777" w:rsidR="001C08A5" w:rsidRDefault="001C08A5">
            <w:pPr>
              <w:snapToGrid w:val="0"/>
              <w:jc w:val="center"/>
              <w:rPr>
                <w:b/>
                <w:i/>
                <w:iCs/>
                <w:sz w:val="22"/>
                <w:szCs w:val="22"/>
              </w:rPr>
            </w:pPr>
          </w:p>
        </w:tc>
        <w:tc>
          <w:tcPr>
            <w:tcW w:w="5574" w:type="dxa"/>
            <w:gridSpan w:val="3"/>
            <w:tcBorders>
              <w:top w:val="single" w:sz="4" w:space="0" w:color="000000"/>
              <w:left w:val="single" w:sz="4" w:space="0" w:color="000000"/>
              <w:bottom w:val="single" w:sz="8" w:space="0" w:color="000000"/>
              <w:right w:val="single" w:sz="8" w:space="0" w:color="000000"/>
            </w:tcBorders>
            <w:shd w:val="clear" w:color="auto" w:fill="D9D9D9"/>
          </w:tcPr>
          <w:p w14:paraId="66CE85D6" w14:textId="77777777" w:rsidR="001C08A5" w:rsidRDefault="00000000">
            <w:pPr>
              <w:jc w:val="center"/>
              <w:rPr>
                <w:i/>
                <w:iCs/>
                <w:sz w:val="22"/>
                <w:szCs w:val="22"/>
              </w:rPr>
            </w:pPr>
            <w:r>
              <w:rPr>
                <w:b/>
                <w:i/>
                <w:iCs/>
                <w:sz w:val="22"/>
                <w:szCs w:val="22"/>
              </w:rPr>
              <w:t>Numărul de locuri dispuse pe un rând</w:t>
            </w:r>
          </w:p>
        </w:tc>
      </w:tr>
      <w:tr w:rsidR="001C08A5" w14:paraId="48FAF883" w14:textId="77777777">
        <w:trPr>
          <w:jc w:val="center"/>
        </w:trPr>
        <w:tc>
          <w:tcPr>
            <w:tcW w:w="3363" w:type="dxa"/>
            <w:tcBorders>
              <w:top w:val="single" w:sz="8" w:space="0" w:color="000000"/>
              <w:left w:val="single" w:sz="8" w:space="0" w:color="000000"/>
              <w:bottom w:val="single" w:sz="4" w:space="0" w:color="000000"/>
            </w:tcBorders>
          </w:tcPr>
          <w:p w14:paraId="165F503C" w14:textId="77777777" w:rsidR="001C08A5" w:rsidRDefault="00000000">
            <w:pPr>
              <w:jc w:val="center"/>
              <w:rPr>
                <w:b/>
                <w:i/>
                <w:iCs/>
                <w:sz w:val="22"/>
                <w:szCs w:val="22"/>
              </w:rPr>
            </w:pPr>
            <w:r>
              <w:rPr>
                <w:i/>
                <w:iCs/>
                <w:sz w:val="22"/>
                <w:szCs w:val="22"/>
              </w:rPr>
              <w:t>Pe la un capăt al rândului</w:t>
            </w:r>
          </w:p>
        </w:tc>
        <w:tc>
          <w:tcPr>
            <w:tcW w:w="1710" w:type="dxa"/>
            <w:tcBorders>
              <w:top w:val="single" w:sz="8" w:space="0" w:color="000000"/>
              <w:left w:val="single" w:sz="4" w:space="0" w:color="000000"/>
              <w:bottom w:val="single" w:sz="4" w:space="0" w:color="000000"/>
            </w:tcBorders>
          </w:tcPr>
          <w:p w14:paraId="6195D56D" w14:textId="77777777" w:rsidR="001C08A5" w:rsidRDefault="00000000">
            <w:pPr>
              <w:jc w:val="center"/>
              <w:rPr>
                <w:b/>
                <w:i/>
                <w:iCs/>
                <w:sz w:val="22"/>
                <w:szCs w:val="22"/>
              </w:rPr>
            </w:pPr>
            <w:r>
              <w:rPr>
                <w:b/>
                <w:i/>
                <w:iCs/>
                <w:sz w:val="22"/>
                <w:szCs w:val="22"/>
              </w:rPr>
              <w:t>25</w:t>
            </w:r>
          </w:p>
        </w:tc>
        <w:tc>
          <w:tcPr>
            <w:tcW w:w="1908" w:type="dxa"/>
            <w:tcBorders>
              <w:top w:val="single" w:sz="8" w:space="0" w:color="000000"/>
              <w:left w:val="single" w:sz="4" w:space="0" w:color="000000"/>
              <w:bottom w:val="single" w:sz="4" w:space="0" w:color="000000"/>
            </w:tcBorders>
          </w:tcPr>
          <w:p w14:paraId="4C29A950" w14:textId="77777777" w:rsidR="001C08A5" w:rsidRDefault="00000000">
            <w:pPr>
              <w:jc w:val="center"/>
              <w:rPr>
                <w:b/>
                <w:i/>
                <w:iCs/>
                <w:sz w:val="22"/>
                <w:szCs w:val="22"/>
              </w:rPr>
            </w:pPr>
            <w:r>
              <w:rPr>
                <w:b/>
                <w:i/>
                <w:iCs/>
                <w:sz w:val="22"/>
                <w:szCs w:val="22"/>
              </w:rPr>
              <w:t>15</w:t>
            </w:r>
          </w:p>
        </w:tc>
        <w:tc>
          <w:tcPr>
            <w:tcW w:w="1956" w:type="dxa"/>
            <w:tcBorders>
              <w:top w:val="single" w:sz="8" w:space="0" w:color="000000"/>
              <w:left w:val="single" w:sz="4" w:space="0" w:color="000000"/>
              <w:bottom w:val="single" w:sz="4" w:space="0" w:color="000000"/>
              <w:right w:val="single" w:sz="8" w:space="0" w:color="000000"/>
            </w:tcBorders>
          </w:tcPr>
          <w:p w14:paraId="75513F6C" w14:textId="77777777" w:rsidR="001C08A5" w:rsidRDefault="00000000">
            <w:pPr>
              <w:jc w:val="center"/>
              <w:rPr>
                <w:i/>
                <w:iCs/>
                <w:sz w:val="22"/>
                <w:szCs w:val="22"/>
              </w:rPr>
            </w:pPr>
            <w:r>
              <w:rPr>
                <w:b/>
                <w:i/>
                <w:iCs/>
                <w:sz w:val="22"/>
                <w:szCs w:val="22"/>
              </w:rPr>
              <w:t>10*</w:t>
            </w:r>
          </w:p>
        </w:tc>
      </w:tr>
      <w:tr w:rsidR="001C08A5" w14:paraId="73E0B06E" w14:textId="77777777">
        <w:trPr>
          <w:jc w:val="center"/>
        </w:trPr>
        <w:tc>
          <w:tcPr>
            <w:tcW w:w="3363" w:type="dxa"/>
            <w:tcBorders>
              <w:top w:val="single" w:sz="4" w:space="0" w:color="000000"/>
              <w:left w:val="single" w:sz="8" w:space="0" w:color="000000"/>
              <w:bottom w:val="single" w:sz="8" w:space="0" w:color="000000"/>
            </w:tcBorders>
          </w:tcPr>
          <w:p w14:paraId="5F1C912E" w14:textId="77777777" w:rsidR="001C08A5" w:rsidRDefault="00000000">
            <w:pPr>
              <w:jc w:val="center"/>
              <w:rPr>
                <w:b/>
                <w:i/>
                <w:iCs/>
                <w:sz w:val="22"/>
                <w:szCs w:val="22"/>
              </w:rPr>
            </w:pPr>
            <w:r>
              <w:rPr>
                <w:i/>
                <w:iCs/>
                <w:sz w:val="22"/>
                <w:szCs w:val="22"/>
              </w:rPr>
              <w:t>Pe la ambele capete ale rândului</w:t>
            </w:r>
          </w:p>
        </w:tc>
        <w:tc>
          <w:tcPr>
            <w:tcW w:w="1710" w:type="dxa"/>
            <w:tcBorders>
              <w:top w:val="single" w:sz="4" w:space="0" w:color="000000"/>
              <w:left w:val="single" w:sz="4" w:space="0" w:color="000000"/>
              <w:bottom w:val="single" w:sz="8" w:space="0" w:color="000000"/>
            </w:tcBorders>
          </w:tcPr>
          <w:p w14:paraId="65FA7883" w14:textId="77777777" w:rsidR="001C08A5" w:rsidRDefault="00000000">
            <w:pPr>
              <w:jc w:val="center"/>
              <w:rPr>
                <w:b/>
                <w:i/>
                <w:iCs/>
                <w:sz w:val="22"/>
                <w:szCs w:val="22"/>
              </w:rPr>
            </w:pPr>
            <w:r>
              <w:rPr>
                <w:b/>
                <w:i/>
                <w:iCs/>
                <w:sz w:val="22"/>
                <w:szCs w:val="22"/>
              </w:rPr>
              <w:t>50</w:t>
            </w:r>
          </w:p>
        </w:tc>
        <w:tc>
          <w:tcPr>
            <w:tcW w:w="1908" w:type="dxa"/>
            <w:tcBorders>
              <w:top w:val="single" w:sz="4" w:space="0" w:color="000000"/>
              <w:left w:val="single" w:sz="4" w:space="0" w:color="000000"/>
              <w:bottom w:val="single" w:sz="8" w:space="0" w:color="000000"/>
            </w:tcBorders>
          </w:tcPr>
          <w:p w14:paraId="54EE1B85" w14:textId="77777777" w:rsidR="001C08A5" w:rsidRDefault="00000000">
            <w:pPr>
              <w:jc w:val="center"/>
              <w:rPr>
                <w:b/>
                <w:i/>
                <w:iCs/>
                <w:sz w:val="22"/>
                <w:szCs w:val="22"/>
              </w:rPr>
            </w:pPr>
            <w:r>
              <w:rPr>
                <w:b/>
                <w:i/>
                <w:iCs/>
                <w:sz w:val="22"/>
                <w:szCs w:val="22"/>
              </w:rPr>
              <w:t>25</w:t>
            </w:r>
          </w:p>
        </w:tc>
        <w:tc>
          <w:tcPr>
            <w:tcW w:w="1956" w:type="dxa"/>
            <w:tcBorders>
              <w:top w:val="single" w:sz="4" w:space="0" w:color="000000"/>
              <w:left w:val="single" w:sz="4" w:space="0" w:color="000000"/>
              <w:bottom w:val="single" w:sz="8" w:space="0" w:color="000000"/>
              <w:right w:val="single" w:sz="8" w:space="0" w:color="000000"/>
            </w:tcBorders>
          </w:tcPr>
          <w:p w14:paraId="4DA2A6AA" w14:textId="77777777" w:rsidR="001C08A5" w:rsidRDefault="00000000">
            <w:pPr>
              <w:jc w:val="center"/>
              <w:rPr>
                <w:b/>
                <w:i/>
                <w:iCs/>
                <w:sz w:val="22"/>
                <w:szCs w:val="22"/>
              </w:rPr>
            </w:pPr>
            <w:r>
              <w:rPr>
                <w:b/>
                <w:i/>
                <w:iCs/>
                <w:sz w:val="22"/>
                <w:szCs w:val="22"/>
              </w:rPr>
              <w:t>20</w:t>
            </w:r>
          </w:p>
        </w:tc>
      </w:tr>
    </w:tbl>
    <w:p w14:paraId="0DDD62A7" w14:textId="77777777" w:rsidR="001C08A5" w:rsidRDefault="00000000">
      <w:pPr>
        <w:autoSpaceDE w:val="0"/>
        <w:rPr>
          <w:i/>
          <w:sz w:val="22"/>
          <w:szCs w:val="22"/>
        </w:rPr>
      </w:pPr>
      <w:r>
        <w:rPr>
          <w:bCs/>
          <w:i/>
          <w:sz w:val="22"/>
          <w:szCs w:val="22"/>
          <w:u w:val="single"/>
        </w:rPr>
        <w:t>Notă</w:t>
      </w:r>
      <w:r>
        <w:rPr>
          <w:i/>
          <w:sz w:val="22"/>
          <w:szCs w:val="22"/>
        </w:rPr>
        <w:t>:</w:t>
      </w:r>
    </w:p>
    <w:p w14:paraId="011E495C" w14:textId="77777777" w:rsidR="001C08A5" w:rsidRDefault="00000000">
      <w:pPr>
        <w:jc w:val="both"/>
        <w:rPr>
          <w:i/>
          <w:sz w:val="22"/>
          <w:szCs w:val="22"/>
        </w:rPr>
      </w:pPr>
      <w:r>
        <w:rPr>
          <w:b/>
          <w:i/>
          <w:sz w:val="22"/>
          <w:szCs w:val="22"/>
        </w:rPr>
        <w:t>*</w:t>
      </w:r>
      <w:r>
        <w:rPr>
          <w:i/>
          <w:sz w:val="22"/>
          <w:szCs w:val="22"/>
        </w:rPr>
        <w:t xml:space="preserve"> = la stadioanele, arenele şi amenajările deschise cu nivelul de stabilitate la incendiu </w:t>
      </w:r>
      <w:r>
        <w:rPr>
          <w:b/>
          <w:i/>
          <w:sz w:val="22"/>
          <w:szCs w:val="22"/>
        </w:rPr>
        <w:t>IV</w:t>
      </w:r>
      <w:r>
        <w:rPr>
          <w:i/>
          <w:sz w:val="22"/>
          <w:szCs w:val="22"/>
        </w:rPr>
        <w:t xml:space="preserve"> sau </w:t>
      </w:r>
      <w:r>
        <w:rPr>
          <w:b/>
          <w:i/>
          <w:sz w:val="22"/>
          <w:szCs w:val="22"/>
        </w:rPr>
        <w:t>V,</w:t>
      </w:r>
      <w:r>
        <w:rPr>
          <w:i/>
          <w:sz w:val="22"/>
          <w:szCs w:val="22"/>
        </w:rPr>
        <w:t xml:space="preserve"> se asigură obligatoriu evacuarea rândurilor de scaune la ambele capete.</w:t>
      </w:r>
    </w:p>
    <w:p w14:paraId="01F0F3BE" w14:textId="77777777" w:rsidR="001C08A5" w:rsidRDefault="001C08A5">
      <w:pPr>
        <w:ind w:firstLine="720"/>
        <w:jc w:val="both"/>
        <w:rPr>
          <w:b/>
          <w:bCs/>
          <w:sz w:val="24"/>
          <w:szCs w:val="24"/>
        </w:rPr>
      </w:pPr>
    </w:p>
    <w:p w14:paraId="13C35EAC" w14:textId="77777777" w:rsidR="001C08A5" w:rsidRDefault="00000000">
      <w:pPr>
        <w:ind w:firstLine="720"/>
        <w:jc w:val="both"/>
        <w:rPr>
          <w:sz w:val="24"/>
          <w:szCs w:val="24"/>
        </w:rPr>
      </w:pPr>
      <w:r>
        <w:rPr>
          <w:b/>
          <w:sz w:val="24"/>
          <w:szCs w:val="24"/>
        </w:rPr>
        <w:t>Art. 3.3.2.13.</w:t>
      </w:r>
      <w:r>
        <w:rPr>
          <w:rFonts w:eastAsia="TimesNewRoman"/>
          <w:b/>
          <w:bCs/>
          <w:sz w:val="24"/>
          <w:szCs w:val="24"/>
          <w:lang w:eastAsia="hi-IN" w:bidi="hi-IN"/>
        </w:rPr>
        <w:t>(</w:t>
      </w:r>
      <w:r>
        <w:rPr>
          <w:rFonts w:eastAsia="TimesNewRoman"/>
          <w:b/>
          <w:bCs/>
          <w:sz w:val="24"/>
          <w:szCs w:val="24"/>
          <w:lang w:val="en-US" w:eastAsia="hi-IN" w:bidi="hi-IN"/>
        </w:rPr>
        <w:t>1</w:t>
      </w:r>
      <w:r>
        <w:rPr>
          <w:rFonts w:eastAsia="TimesNewRoman"/>
          <w:b/>
          <w:bCs/>
          <w:sz w:val="24"/>
          <w:szCs w:val="24"/>
          <w:lang w:eastAsia="hi-IN" w:bidi="hi-IN"/>
        </w:rPr>
        <w:t xml:space="preserve">) </w:t>
      </w:r>
      <w:r>
        <w:rPr>
          <w:sz w:val="24"/>
          <w:szCs w:val="24"/>
        </w:rPr>
        <w:t>Distanţa liberă de circulaţie între rândurile de scaune va fi de minimum</w:t>
      </w:r>
      <w:r>
        <w:rPr>
          <w:b/>
          <w:bCs/>
          <w:sz w:val="24"/>
          <w:szCs w:val="24"/>
        </w:rPr>
        <w:t xml:space="preserve"> 35 cm.</w:t>
      </w:r>
    </w:p>
    <w:p w14:paraId="4913B6A0" w14:textId="77777777" w:rsidR="001C08A5" w:rsidRDefault="00000000">
      <w:pPr>
        <w:autoSpaceDE w:val="0"/>
        <w:ind w:firstLine="720"/>
        <w:jc w:val="both"/>
        <w:rPr>
          <w:b/>
          <w:sz w:val="24"/>
          <w:szCs w:val="24"/>
        </w:rPr>
      </w:pPr>
      <w:r>
        <w:rPr>
          <w:b/>
          <w:bCs/>
          <w:sz w:val="24"/>
          <w:szCs w:val="24"/>
        </w:rPr>
        <w:t>(2)</w:t>
      </w:r>
      <w:r>
        <w:rPr>
          <w:sz w:val="24"/>
          <w:szCs w:val="24"/>
        </w:rPr>
        <w:t xml:space="preserve"> În cazul prevederii unor bariere de dirijare a circulaţiei, acestea vor fi astfel realizate şi amplasate încât să nu împiedice circulaţia și evacuarea în siguranţă a utilizatorilor în caz de incendiu.</w:t>
      </w:r>
    </w:p>
    <w:p w14:paraId="1451E3EB" w14:textId="77777777" w:rsidR="001C08A5" w:rsidRDefault="001C08A5">
      <w:pPr>
        <w:jc w:val="both"/>
        <w:rPr>
          <w:sz w:val="24"/>
          <w:szCs w:val="24"/>
        </w:rPr>
      </w:pPr>
    </w:p>
    <w:p w14:paraId="24A16A9E" w14:textId="77777777" w:rsidR="001C08A5" w:rsidRDefault="00000000">
      <w:pPr>
        <w:ind w:firstLine="720"/>
        <w:jc w:val="both"/>
        <w:rPr>
          <w:rFonts w:eastAsia="TimesNewRomanPSMT"/>
          <w:sz w:val="24"/>
          <w:szCs w:val="24"/>
        </w:rPr>
      </w:pPr>
      <w:r>
        <w:rPr>
          <w:b/>
          <w:sz w:val="24"/>
          <w:szCs w:val="24"/>
        </w:rPr>
        <w:t>Art. 3.3.2.1</w:t>
      </w:r>
      <w:r>
        <w:rPr>
          <w:b/>
          <w:sz w:val="24"/>
          <w:szCs w:val="24"/>
          <w:lang w:val="en-US"/>
        </w:rPr>
        <w:t>4</w:t>
      </w:r>
      <w:r>
        <w:rPr>
          <w:b/>
          <w:sz w:val="24"/>
          <w:szCs w:val="24"/>
        </w:rPr>
        <w:t xml:space="preserve">. (1) </w:t>
      </w:r>
      <w:r>
        <w:rPr>
          <w:rFonts w:eastAsia="TimesNewRomanPSMT"/>
          <w:sz w:val="24"/>
          <w:szCs w:val="24"/>
        </w:rPr>
        <w:t xml:space="preserve">La </w:t>
      </w:r>
      <w:r>
        <w:rPr>
          <w:sz w:val="24"/>
          <w:szCs w:val="24"/>
        </w:rPr>
        <w:t>amenajările sportive în aer liber s</w:t>
      </w:r>
      <w:r>
        <w:rPr>
          <w:rFonts w:eastAsia="TimesNewRomanPSMT"/>
          <w:sz w:val="24"/>
          <w:szCs w:val="24"/>
        </w:rPr>
        <w:t>e va prevedea un sistem de semnalizare corespunzător, pentru a se asigura o evacuare în condiţii de siguranţă, evitandu-se deruta şi panica.</w:t>
      </w:r>
    </w:p>
    <w:p w14:paraId="5F83E45F" w14:textId="77777777" w:rsidR="001C08A5" w:rsidRDefault="00000000">
      <w:pPr>
        <w:ind w:firstLine="708"/>
        <w:jc w:val="both"/>
        <w:rPr>
          <w:sz w:val="24"/>
          <w:szCs w:val="24"/>
        </w:rPr>
      </w:pPr>
      <w:r>
        <w:rPr>
          <w:b/>
          <w:sz w:val="24"/>
          <w:szCs w:val="24"/>
        </w:rPr>
        <w:t xml:space="preserve">(2) </w:t>
      </w:r>
      <w:r>
        <w:rPr>
          <w:sz w:val="24"/>
          <w:szCs w:val="24"/>
        </w:rPr>
        <w:t xml:space="preserve">Amenajările sportive în aer liber se prevăd cu indicatoare de orientare și se echipează cu instalaţii electrice pentru iluminat de siguranţă (pentru evacuare, împotriva panicii, pentru circulaţie, pentru iluminatul hidranţilor interiori şi a staţiilor de pompe pentru stingerea incendiului etc.). Tipul şi alimentarea cu energie electrică a iluminatului de siguranţă se asigură conform prevederilor „Normativului pentru proiectarea, execuţia şi exploatarea instalaţiilor electrice aferente clădirilor, indicativ </w:t>
      </w:r>
      <w:r>
        <w:rPr>
          <w:b/>
          <w:sz w:val="24"/>
          <w:szCs w:val="24"/>
        </w:rPr>
        <w:t>I 7</w:t>
      </w:r>
      <w:r>
        <w:rPr>
          <w:sz w:val="24"/>
          <w:szCs w:val="24"/>
        </w:rPr>
        <w:t xml:space="preserve">.”. </w:t>
      </w:r>
    </w:p>
    <w:p w14:paraId="61DCFA75" w14:textId="77777777" w:rsidR="001C08A5" w:rsidRDefault="001C08A5">
      <w:pPr>
        <w:ind w:firstLine="708"/>
        <w:jc w:val="both"/>
        <w:rPr>
          <w:b/>
          <w:sz w:val="24"/>
          <w:szCs w:val="24"/>
        </w:rPr>
      </w:pPr>
    </w:p>
    <w:p w14:paraId="7581548F" w14:textId="77777777" w:rsidR="001C08A5" w:rsidRDefault="00000000">
      <w:pPr>
        <w:ind w:firstLine="708"/>
        <w:jc w:val="both"/>
        <w:rPr>
          <w:bCs/>
          <w:sz w:val="24"/>
          <w:szCs w:val="24"/>
        </w:rPr>
      </w:pPr>
      <w:r>
        <w:rPr>
          <w:b/>
          <w:sz w:val="24"/>
          <w:szCs w:val="24"/>
        </w:rPr>
        <w:t>Art. 3.3.2.1</w:t>
      </w:r>
      <w:r>
        <w:rPr>
          <w:b/>
          <w:sz w:val="24"/>
          <w:szCs w:val="24"/>
          <w:lang w:val="en-US"/>
        </w:rPr>
        <w:t>5</w:t>
      </w:r>
      <w:r>
        <w:rPr>
          <w:b/>
          <w:sz w:val="24"/>
          <w:szCs w:val="24"/>
        </w:rPr>
        <w:t xml:space="preserve">. </w:t>
      </w:r>
      <w:r>
        <w:rPr>
          <w:sz w:val="24"/>
          <w:szCs w:val="24"/>
        </w:rPr>
        <w:t xml:space="preserve">Amenajările sportive în aer liber vor avea asigurate posibilităţi de acces şi intervenţie a autospecialelor de stingere în caz de incendiu, cel puţin pe </w:t>
      </w:r>
      <w:r>
        <w:rPr>
          <w:b/>
          <w:bCs/>
          <w:sz w:val="24"/>
          <w:szCs w:val="24"/>
        </w:rPr>
        <w:t>2</w:t>
      </w:r>
      <w:r>
        <w:rPr>
          <w:sz w:val="24"/>
          <w:szCs w:val="24"/>
        </w:rPr>
        <w:t xml:space="preserve">  fațade accesibile deservite de căi de circulație în totalitate, astfel încât să permită accesul autospecialelor serviciilor pentru situații de urgență pe minimum </w:t>
      </w:r>
      <w:r>
        <w:rPr>
          <w:b/>
          <w:bCs/>
          <w:sz w:val="24"/>
          <w:szCs w:val="24"/>
        </w:rPr>
        <w:t>50%</w:t>
      </w:r>
      <w:r>
        <w:rPr>
          <w:sz w:val="24"/>
          <w:szCs w:val="24"/>
        </w:rPr>
        <w:t xml:space="preserve"> din perimetrul pereților exteriori. </w:t>
      </w:r>
    </w:p>
    <w:p w14:paraId="7D95EE07" w14:textId="77777777" w:rsidR="001C08A5" w:rsidRDefault="001C08A5">
      <w:pPr>
        <w:jc w:val="both"/>
        <w:rPr>
          <w:bCs/>
          <w:sz w:val="24"/>
          <w:szCs w:val="24"/>
        </w:rPr>
      </w:pPr>
    </w:p>
    <w:p w14:paraId="7BD97AF3" w14:textId="77777777" w:rsidR="001C08A5" w:rsidRDefault="00000000">
      <w:pPr>
        <w:jc w:val="both"/>
        <w:rPr>
          <w:b/>
          <w:sz w:val="24"/>
          <w:szCs w:val="24"/>
        </w:rPr>
      </w:pPr>
      <w:r>
        <w:rPr>
          <w:b/>
          <w:sz w:val="24"/>
          <w:szCs w:val="24"/>
        </w:rPr>
        <w:t xml:space="preserve">3.3.3. Amenajări pentru </w:t>
      </w:r>
      <w:r>
        <w:rPr>
          <w:b/>
          <w:bCs/>
          <w:sz w:val="24"/>
          <w:szCs w:val="24"/>
        </w:rPr>
        <w:t>spectacole în aer liber și corturi</w:t>
      </w:r>
    </w:p>
    <w:p w14:paraId="614EB895" w14:textId="77777777" w:rsidR="001C08A5" w:rsidRDefault="001C08A5">
      <w:pPr>
        <w:jc w:val="both"/>
        <w:rPr>
          <w:b/>
          <w:sz w:val="24"/>
          <w:szCs w:val="24"/>
        </w:rPr>
      </w:pPr>
    </w:p>
    <w:p w14:paraId="240C1328" w14:textId="77777777" w:rsidR="001C08A5" w:rsidRDefault="00000000">
      <w:pPr>
        <w:jc w:val="both"/>
        <w:rPr>
          <w:sz w:val="24"/>
          <w:szCs w:val="24"/>
        </w:rPr>
      </w:pPr>
      <w:r>
        <w:rPr>
          <w:b/>
          <w:sz w:val="24"/>
          <w:szCs w:val="24"/>
        </w:rPr>
        <w:tab/>
        <w:t>Art. 3.3.3.1. (1)</w:t>
      </w:r>
      <w:r>
        <w:rPr>
          <w:sz w:val="24"/>
          <w:szCs w:val="24"/>
        </w:rPr>
        <w:t xml:space="preserve"> Amenajările neacoperite pentru spectacole în aer liber sunt considerate cu nivelul de stabilitate </w:t>
      </w:r>
      <w:r>
        <w:rPr>
          <w:b/>
          <w:bCs/>
          <w:sz w:val="24"/>
          <w:szCs w:val="24"/>
        </w:rPr>
        <w:t>IV</w:t>
      </w:r>
      <w:r>
        <w:rPr>
          <w:sz w:val="24"/>
          <w:szCs w:val="24"/>
        </w:rPr>
        <w:t xml:space="preserve"> sau </w:t>
      </w:r>
      <w:r>
        <w:rPr>
          <w:b/>
          <w:bCs/>
          <w:sz w:val="24"/>
          <w:szCs w:val="24"/>
        </w:rPr>
        <w:t>V</w:t>
      </w:r>
      <w:r>
        <w:rPr>
          <w:sz w:val="24"/>
          <w:szCs w:val="24"/>
        </w:rPr>
        <w:t xml:space="preserve"> si se amplasează faţă de construcţiile învecinate la distanţele de siguranţă normate potrivit </w:t>
      </w:r>
      <w:r>
        <w:rPr>
          <w:b/>
          <w:bCs/>
          <w:i/>
          <w:iCs/>
          <w:sz w:val="24"/>
          <w:szCs w:val="24"/>
        </w:rPr>
        <w:fldChar w:fldCharType="begin"/>
      </w:r>
      <w:r>
        <w:rPr>
          <w:b/>
          <w:bCs/>
          <w:i/>
          <w:iCs/>
          <w:sz w:val="24"/>
          <w:szCs w:val="24"/>
        </w:rPr>
        <w:instrText xml:space="preserve"> REF _Ref29888 \h </w:instrText>
      </w:r>
      <w:r>
        <w:rPr>
          <w:b/>
          <w:bCs/>
          <w:i/>
          <w:iCs/>
          <w:sz w:val="24"/>
          <w:szCs w:val="24"/>
        </w:rPr>
      </w:r>
      <w:r>
        <w:rPr>
          <w:b/>
          <w:bCs/>
          <w:i/>
          <w:iCs/>
          <w:sz w:val="24"/>
          <w:szCs w:val="24"/>
        </w:rPr>
        <w:fldChar w:fldCharType="separate"/>
      </w:r>
      <w:r>
        <w:t>Tabelul 4</w:t>
      </w:r>
      <w:r>
        <w:rPr>
          <w:b/>
          <w:bCs/>
          <w:i/>
          <w:iCs/>
          <w:sz w:val="24"/>
          <w:szCs w:val="24"/>
        </w:rPr>
        <w:fldChar w:fldCharType="end"/>
      </w:r>
      <w:r>
        <w:rPr>
          <w:sz w:val="24"/>
          <w:szCs w:val="24"/>
        </w:rPr>
        <w:t xml:space="preserve">, măsurate de la limita amenajării. Pentru amenajările în aer liber cu capacităţi simultane mai mari de </w:t>
      </w:r>
      <w:r>
        <w:rPr>
          <w:b/>
          <w:bCs/>
          <w:sz w:val="24"/>
          <w:szCs w:val="24"/>
        </w:rPr>
        <w:t>400</w:t>
      </w:r>
      <w:r>
        <w:rPr>
          <w:sz w:val="24"/>
          <w:szCs w:val="24"/>
        </w:rPr>
        <w:t xml:space="preserve"> utilizatori, se majorează distanţa de siguranţă cu </w:t>
      </w:r>
      <w:r>
        <w:rPr>
          <w:b/>
          <w:bCs/>
          <w:sz w:val="24"/>
          <w:szCs w:val="24"/>
        </w:rPr>
        <w:t>100%</w:t>
      </w:r>
      <w:r>
        <w:rPr>
          <w:sz w:val="24"/>
          <w:szCs w:val="24"/>
        </w:rPr>
        <w:t>.</w:t>
      </w:r>
    </w:p>
    <w:p w14:paraId="7E47B600"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Prin conformarea amenajărilor, spaţiile pentru publicul utilizator vor fi dispuse la distanţe de minimum </w:t>
      </w:r>
      <w:r>
        <w:rPr>
          <w:b/>
          <w:sz w:val="24"/>
          <w:szCs w:val="24"/>
        </w:rPr>
        <w:t>3</w:t>
      </w:r>
      <w:r>
        <w:rPr>
          <w:sz w:val="24"/>
          <w:szCs w:val="24"/>
        </w:rPr>
        <w:t xml:space="preserve"> m faţă de scene şi podiumuri de joc, iar direcţiile de evacuare a utilizatorilor pe circulaţiile comune vor fi asigurate spre zone opuse scenei sau podiumului de joc.</w:t>
      </w:r>
    </w:p>
    <w:p w14:paraId="201E215A" w14:textId="77777777" w:rsidR="001C08A5" w:rsidRDefault="00000000">
      <w:pPr>
        <w:jc w:val="both"/>
        <w:rPr>
          <w:b/>
          <w:bCs/>
          <w:sz w:val="24"/>
          <w:szCs w:val="24"/>
        </w:rPr>
      </w:pPr>
      <w:r>
        <w:rPr>
          <w:sz w:val="24"/>
          <w:szCs w:val="24"/>
        </w:rPr>
        <w:lastRenderedPageBreak/>
        <w:tab/>
      </w:r>
      <w:r>
        <w:rPr>
          <w:b/>
          <w:sz w:val="24"/>
          <w:szCs w:val="24"/>
        </w:rPr>
        <w:t xml:space="preserve">(3) </w:t>
      </w:r>
      <w:r>
        <w:rPr>
          <w:bCs/>
          <w:sz w:val="24"/>
          <w:szCs w:val="24"/>
        </w:rPr>
        <w:t>Gradenele pentru spectatori</w:t>
      </w:r>
      <w:r>
        <w:rPr>
          <w:sz w:val="24"/>
          <w:szCs w:val="24"/>
        </w:rPr>
        <w:t xml:space="preserve"> vor avea structuri de rezistenţă incombustibile de minimum </w:t>
      </w:r>
      <w:r>
        <w:rPr>
          <w:b/>
          <w:sz w:val="24"/>
          <w:szCs w:val="24"/>
        </w:rPr>
        <w:t>R 15</w:t>
      </w:r>
      <w:r>
        <w:rPr>
          <w:sz w:val="24"/>
          <w:szCs w:val="24"/>
        </w:rPr>
        <w:t xml:space="preserve">, şi platforme (podine) realizate din materiale clasa </w:t>
      </w:r>
      <w:r>
        <w:rPr>
          <w:b/>
          <w:sz w:val="24"/>
          <w:szCs w:val="24"/>
        </w:rPr>
        <w:t>A1</w:t>
      </w:r>
      <w:r>
        <w:rPr>
          <w:sz w:val="24"/>
          <w:szCs w:val="24"/>
        </w:rPr>
        <w:t xml:space="preserve"> sau </w:t>
      </w:r>
      <w:r>
        <w:rPr>
          <w:b/>
          <w:sz w:val="24"/>
          <w:szCs w:val="24"/>
        </w:rPr>
        <w:t>A2-s1,d0</w:t>
      </w:r>
      <w:r>
        <w:rPr>
          <w:sz w:val="24"/>
          <w:szCs w:val="24"/>
        </w:rPr>
        <w:t xml:space="preserve"> de reacție la foc.</w:t>
      </w:r>
    </w:p>
    <w:p w14:paraId="3EF23D35" w14:textId="77777777" w:rsidR="001C08A5" w:rsidRDefault="00000000">
      <w:pPr>
        <w:ind w:firstLine="720"/>
        <w:jc w:val="both"/>
        <w:rPr>
          <w:sz w:val="24"/>
          <w:szCs w:val="24"/>
        </w:rPr>
      </w:pPr>
      <w:r>
        <w:rPr>
          <w:b/>
          <w:sz w:val="24"/>
          <w:szCs w:val="24"/>
        </w:rPr>
        <w:t xml:space="preserve">(4) </w:t>
      </w:r>
      <w:r>
        <w:rPr>
          <w:sz w:val="24"/>
          <w:szCs w:val="24"/>
        </w:rPr>
        <w:t>Elementele de structur</w:t>
      </w:r>
      <w:r>
        <w:rPr>
          <w:rFonts w:hint="cs"/>
          <w:sz w:val="24"/>
          <w:szCs w:val="24"/>
        </w:rPr>
        <w:t>ă</w:t>
      </w:r>
      <w:r>
        <w:rPr>
          <w:sz w:val="24"/>
          <w:szCs w:val="24"/>
        </w:rPr>
        <w:t xml:space="preserve"> ale standurilor, tribunelor, podiumurilor etc. serealizeaz</w:t>
      </w:r>
      <w:r>
        <w:rPr>
          <w:rFonts w:hint="cs"/>
          <w:sz w:val="24"/>
          <w:szCs w:val="24"/>
        </w:rPr>
        <w:t>ă</w:t>
      </w:r>
      <w:r>
        <w:rPr>
          <w:sz w:val="24"/>
          <w:szCs w:val="24"/>
        </w:rPr>
        <w:t xml:space="preserve"> din materiale cu clasele de reac</w:t>
      </w:r>
      <w:r>
        <w:rPr>
          <w:rFonts w:hint="cs"/>
          <w:sz w:val="24"/>
          <w:szCs w:val="24"/>
        </w:rPr>
        <w:t>ţ</w:t>
      </w:r>
      <w:r>
        <w:rPr>
          <w:sz w:val="24"/>
          <w:szCs w:val="24"/>
        </w:rPr>
        <w:t xml:space="preserve">ie la foc minim </w:t>
      </w:r>
      <w:r>
        <w:rPr>
          <w:b/>
          <w:bCs/>
          <w:sz w:val="24"/>
          <w:szCs w:val="24"/>
        </w:rPr>
        <w:t>A2 d0</w:t>
      </w:r>
      <w:r>
        <w:rPr>
          <w:sz w:val="24"/>
          <w:szCs w:val="24"/>
        </w:rPr>
        <w:t xml:space="preserve"> sau </w:t>
      </w:r>
      <w:r>
        <w:rPr>
          <w:b/>
          <w:bCs/>
          <w:sz w:val="24"/>
          <w:szCs w:val="24"/>
        </w:rPr>
        <w:t>d1</w:t>
      </w:r>
      <w:r>
        <w:rPr>
          <w:sz w:val="24"/>
          <w:szCs w:val="24"/>
        </w:rPr>
        <w:t>.</w:t>
      </w:r>
    </w:p>
    <w:p w14:paraId="6E22E6FA" w14:textId="77777777" w:rsidR="001C08A5" w:rsidRDefault="00000000">
      <w:pPr>
        <w:ind w:firstLine="720"/>
        <w:jc w:val="both"/>
        <w:rPr>
          <w:sz w:val="24"/>
          <w:szCs w:val="24"/>
        </w:rPr>
      </w:pPr>
      <w:r>
        <w:rPr>
          <w:b/>
          <w:sz w:val="24"/>
          <w:szCs w:val="24"/>
        </w:rPr>
        <w:t xml:space="preserve">(5) </w:t>
      </w:r>
      <w:r>
        <w:rPr>
          <w:sz w:val="24"/>
          <w:szCs w:val="24"/>
        </w:rPr>
        <w:t>Folosirea decora</w:t>
      </w:r>
      <w:r>
        <w:rPr>
          <w:rFonts w:hint="cs"/>
          <w:sz w:val="24"/>
          <w:szCs w:val="24"/>
        </w:rPr>
        <w:t>ţ</w:t>
      </w:r>
      <w:r>
        <w:rPr>
          <w:sz w:val="24"/>
          <w:szCs w:val="24"/>
        </w:rPr>
        <w:t>iunilor florale din materiale sintetice trebuie limitat</w:t>
      </w:r>
      <w:r>
        <w:rPr>
          <w:rFonts w:hint="cs"/>
          <w:sz w:val="24"/>
          <w:szCs w:val="24"/>
        </w:rPr>
        <w:t>ă</w:t>
      </w:r>
      <w:r>
        <w:rPr>
          <w:sz w:val="24"/>
          <w:szCs w:val="24"/>
        </w:rPr>
        <w:t>; în cazcontrar, acestea trebuie realizate cel pu</w:t>
      </w:r>
      <w:r>
        <w:rPr>
          <w:rFonts w:hint="cs"/>
          <w:sz w:val="24"/>
          <w:szCs w:val="24"/>
        </w:rPr>
        <w:t>ţ</w:t>
      </w:r>
      <w:r>
        <w:rPr>
          <w:sz w:val="24"/>
          <w:szCs w:val="24"/>
        </w:rPr>
        <w:t>in din materiale cu clasele de reac</w:t>
      </w:r>
      <w:r>
        <w:rPr>
          <w:rFonts w:hint="cs"/>
          <w:sz w:val="24"/>
          <w:szCs w:val="24"/>
        </w:rPr>
        <w:t>ţ</w:t>
      </w:r>
      <w:r>
        <w:rPr>
          <w:sz w:val="24"/>
          <w:szCs w:val="24"/>
        </w:rPr>
        <w:t xml:space="preserve">ie la focminim </w:t>
      </w:r>
      <w:r>
        <w:rPr>
          <w:b/>
          <w:bCs/>
          <w:sz w:val="24"/>
          <w:szCs w:val="24"/>
        </w:rPr>
        <w:t>Cs1</w:t>
      </w:r>
      <w:r>
        <w:rPr>
          <w:rFonts w:ascii="Arial" w:hAnsi="Arial" w:cs="Arial"/>
          <w:b/>
          <w:bCs/>
          <w:sz w:val="24"/>
          <w:szCs w:val="24"/>
        </w:rPr>
        <w:t>÷</w:t>
      </w:r>
      <w:r>
        <w:rPr>
          <w:b/>
          <w:bCs/>
          <w:sz w:val="24"/>
          <w:szCs w:val="24"/>
        </w:rPr>
        <w:t>s3,d0</w:t>
      </w:r>
      <w:r>
        <w:rPr>
          <w:sz w:val="24"/>
          <w:szCs w:val="24"/>
        </w:rPr>
        <w:t xml:space="preserve"> sau </w:t>
      </w:r>
      <w:r>
        <w:rPr>
          <w:b/>
          <w:bCs/>
          <w:sz w:val="24"/>
          <w:szCs w:val="24"/>
        </w:rPr>
        <w:t>d1</w:t>
      </w:r>
      <w:r>
        <w:rPr>
          <w:sz w:val="24"/>
          <w:szCs w:val="24"/>
        </w:rPr>
        <w:t>.</w:t>
      </w:r>
    </w:p>
    <w:p w14:paraId="4C040506" w14:textId="77777777" w:rsidR="001C08A5" w:rsidRDefault="00000000">
      <w:pPr>
        <w:jc w:val="both"/>
        <w:rPr>
          <w:rFonts w:eastAsia="Times New Roman"/>
          <w:sz w:val="24"/>
          <w:szCs w:val="24"/>
        </w:rPr>
      </w:pPr>
      <w:r>
        <w:rPr>
          <w:b/>
          <w:sz w:val="24"/>
          <w:szCs w:val="24"/>
        </w:rPr>
        <w:tab/>
      </w:r>
      <w:r>
        <w:rPr>
          <w:rFonts w:eastAsia="Times New Roman"/>
          <w:b/>
          <w:bCs/>
          <w:sz w:val="24"/>
          <w:szCs w:val="24"/>
        </w:rPr>
        <w:t>(6)</w:t>
      </w:r>
      <w:r>
        <w:rPr>
          <w:rFonts w:eastAsia="Times New Roman"/>
          <w:sz w:val="24"/>
          <w:szCs w:val="24"/>
        </w:rPr>
        <w:t xml:space="preserve"> Se interzice delimitarea spa</w:t>
      </w:r>
      <w:r>
        <w:rPr>
          <w:rFonts w:eastAsia="TimesNewRoman"/>
          <w:sz w:val="24"/>
          <w:szCs w:val="24"/>
        </w:rPr>
        <w:t>ţ</w:t>
      </w:r>
      <w:r>
        <w:rPr>
          <w:rFonts w:eastAsia="Times New Roman"/>
          <w:sz w:val="24"/>
          <w:szCs w:val="24"/>
        </w:rPr>
        <w:t>iilor de-a lungul traseelor c</w:t>
      </w:r>
      <w:r>
        <w:rPr>
          <w:rFonts w:eastAsia="TimesNewRoman"/>
          <w:sz w:val="24"/>
          <w:szCs w:val="24"/>
        </w:rPr>
        <w:t>ă</w:t>
      </w:r>
      <w:r>
        <w:rPr>
          <w:rFonts w:eastAsia="Times New Roman"/>
          <w:sz w:val="24"/>
          <w:szCs w:val="24"/>
        </w:rPr>
        <w:t>ilor de evacuare cu lan</w:t>
      </w:r>
      <w:r>
        <w:rPr>
          <w:rFonts w:eastAsia="TimesNewRoman"/>
          <w:sz w:val="24"/>
          <w:szCs w:val="24"/>
        </w:rPr>
        <w:t>ţ</w:t>
      </w:r>
      <w:r>
        <w:rPr>
          <w:rFonts w:eastAsia="Times New Roman"/>
          <w:sz w:val="24"/>
          <w:szCs w:val="24"/>
        </w:rPr>
        <w:t>uri, sfori etc. la o în</w:t>
      </w:r>
      <w:r>
        <w:rPr>
          <w:rFonts w:eastAsia="TimesNewRoman"/>
          <w:sz w:val="24"/>
          <w:szCs w:val="24"/>
        </w:rPr>
        <w:t>ă</w:t>
      </w:r>
      <w:r>
        <w:rPr>
          <w:rFonts w:eastAsia="Times New Roman"/>
          <w:sz w:val="24"/>
          <w:szCs w:val="24"/>
        </w:rPr>
        <w:t>l</w:t>
      </w:r>
      <w:r>
        <w:rPr>
          <w:rFonts w:eastAsia="TimesNewRoman"/>
          <w:sz w:val="24"/>
          <w:szCs w:val="24"/>
        </w:rPr>
        <w:t>ţ</w:t>
      </w:r>
      <w:r>
        <w:rPr>
          <w:rFonts w:eastAsia="Times New Roman"/>
          <w:sz w:val="24"/>
          <w:szCs w:val="24"/>
        </w:rPr>
        <w:t>ime mai mic</w:t>
      </w:r>
      <w:r>
        <w:rPr>
          <w:rFonts w:eastAsia="TimesNewRoman"/>
          <w:sz w:val="24"/>
          <w:szCs w:val="24"/>
        </w:rPr>
        <w:t xml:space="preserve">ă </w:t>
      </w:r>
      <w:r>
        <w:rPr>
          <w:rFonts w:eastAsia="Times New Roman"/>
          <w:sz w:val="24"/>
          <w:szCs w:val="24"/>
        </w:rPr>
        <w:t xml:space="preserve">de </w:t>
      </w:r>
      <w:r>
        <w:rPr>
          <w:rFonts w:eastAsia="Times New Roman"/>
          <w:b/>
          <w:bCs/>
          <w:sz w:val="24"/>
          <w:szCs w:val="24"/>
        </w:rPr>
        <w:t>1 m</w:t>
      </w:r>
      <w:r>
        <w:rPr>
          <w:rFonts w:eastAsia="Times New Roman"/>
          <w:sz w:val="24"/>
          <w:szCs w:val="24"/>
        </w:rPr>
        <w:t>. Pe mijloacele de delimitare a spa</w:t>
      </w:r>
      <w:r>
        <w:rPr>
          <w:rFonts w:eastAsia="TimesNewRoman"/>
          <w:sz w:val="24"/>
          <w:szCs w:val="24"/>
        </w:rPr>
        <w:t>ţ</w:t>
      </w:r>
      <w:r>
        <w:rPr>
          <w:rFonts w:eastAsia="Times New Roman"/>
          <w:sz w:val="24"/>
          <w:szCs w:val="24"/>
        </w:rPr>
        <w:t>iilor se prev</w:t>
      </w:r>
      <w:r>
        <w:rPr>
          <w:rFonts w:eastAsia="TimesNewRoman"/>
          <w:sz w:val="24"/>
          <w:szCs w:val="24"/>
        </w:rPr>
        <w:t>ă</w:t>
      </w:r>
      <w:r>
        <w:rPr>
          <w:rFonts w:eastAsia="Times New Roman"/>
          <w:sz w:val="24"/>
          <w:szCs w:val="24"/>
        </w:rPr>
        <w:t>d obiecte de marcare, semnalizare - stegule</w:t>
      </w:r>
      <w:r>
        <w:rPr>
          <w:rFonts w:eastAsia="TimesNewRoman"/>
          <w:sz w:val="24"/>
          <w:szCs w:val="24"/>
        </w:rPr>
        <w:t>ţ</w:t>
      </w:r>
      <w:r>
        <w:rPr>
          <w:rFonts w:eastAsia="Times New Roman"/>
          <w:sz w:val="24"/>
          <w:szCs w:val="24"/>
        </w:rPr>
        <w:t>e, panglici, fanioane etc.</w:t>
      </w:r>
    </w:p>
    <w:p w14:paraId="514188ED" w14:textId="77777777" w:rsidR="001C08A5" w:rsidRDefault="001C08A5">
      <w:pPr>
        <w:jc w:val="both"/>
        <w:rPr>
          <w:b/>
          <w:sz w:val="24"/>
          <w:szCs w:val="24"/>
        </w:rPr>
      </w:pPr>
    </w:p>
    <w:p w14:paraId="5A2ECC74" w14:textId="77777777" w:rsidR="001C08A5" w:rsidRDefault="00000000">
      <w:pPr>
        <w:ind w:firstLine="720"/>
        <w:jc w:val="both"/>
        <w:rPr>
          <w:sz w:val="24"/>
          <w:szCs w:val="24"/>
        </w:rPr>
      </w:pPr>
      <w:r>
        <w:rPr>
          <w:b/>
          <w:sz w:val="24"/>
          <w:szCs w:val="24"/>
        </w:rPr>
        <w:t>Art. 3.3.3.2. (1)</w:t>
      </w:r>
      <w:r>
        <w:rPr>
          <w:sz w:val="24"/>
          <w:szCs w:val="24"/>
        </w:rPr>
        <w:t xml:space="preserve"> Amenajările neacoperite în aer liber pentru mai mult de </w:t>
      </w:r>
      <w:r>
        <w:rPr>
          <w:b/>
          <w:bCs/>
          <w:sz w:val="24"/>
          <w:szCs w:val="24"/>
        </w:rPr>
        <w:t>200</w:t>
      </w:r>
      <w:r>
        <w:rPr>
          <w:sz w:val="24"/>
          <w:szCs w:val="24"/>
        </w:rPr>
        <w:t xml:space="preserve"> utilizatori vor avea asigurate minimum </w:t>
      </w:r>
      <w:r>
        <w:rPr>
          <w:b/>
          <w:bCs/>
          <w:sz w:val="24"/>
          <w:szCs w:val="24"/>
        </w:rPr>
        <w:t>2</w:t>
      </w:r>
      <w:r>
        <w:rPr>
          <w:sz w:val="24"/>
          <w:szCs w:val="24"/>
        </w:rPr>
        <w:t xml:space="preserve"> căi de evacuare, corespunzător dispuse, alcătuite și dimensionate, prin care aceştia să poată ajunge la nivelul terenului înconjurător sau al circulaţiilor carosabile adiacente.</w:t>
      </w:r>
    </w:p>
    <w:p w14:paraId="50666E9B"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Lungimea maximă de evacuare admisă a traseului de parcurs pe căile de evacuare de la cel mai îndepărtat loc până la un acces la nivelul terenului sau până la o circulaţie carosabilă, va fi de maximum </w:t>
      </w:r>
      <w:r>
        <w:rPr>
          <w:b/>
          <w:bCs/>
          <w:sz w:val="24"/>
          <w:szCs w:val="24"/>
        </w:rPr>
        <w:t>200 m</w:t>
      </w:r>
      <w:r>
        <w:rPr>
          <w:sz w:val="24"/>
          <w:szCs w:val="24"/>
        </w:rPr>
        <w:t xml:space="preserve"> atunci când evacuarea se asigură în două direcţii şi maximum</w:t>
      </w:r>
      <w:r>
        <w:rPr>
          <w:b/>
          <w:bCs/>
          <w:sz w:val="24"/>
          <w:szCs w:val="24"/>
        </w:rPr>
        <w:t xml:space="preserve"> 100 m</w:t>
      </w:r>
      <w:r>
        <w:rPr>
          <w:sz w:val="24"/>
          <w:szCs w:val="24"/>
        </w:rPr>
        <w:t xml:space="preserve"> atunci când evacuarea se asigură într-o direcţie.</w:t>
      </w:r>
    </w:p>
    <w:p w14:paraId="04AE22CE" w14:textId="77777777" w:rsidR="001C08A5" w:rsidRDefault="00000000">
      <w:pPr>
        <w:jc w:val="both"/>
        <w:rPr>
          <w:sz w:val="24"/>
          <w:szCs w:val="24"/>
        </w:rPr>
      </w:pPr>
      <w:r>
        <w:rPr>
          <w:sz w:val="24"/>
          <w:szCs w:val="24"/>
        </w:rPr>
        <w:tab/>
      </w:r>
      <w:r>
        <w:rPr>
          <w:b/>
          <w:sz w:val="24"/>
          <w:szCs w:val="24"/>
        </w:rPr>
        <w:t xml:space="preserve">(3) </w:t>
      </w:r>
      <w:r>
        <w:rPr>
          <w:sz w:val="24"/>
          <w:szCs w:val="24"/>
        </w:rPr>
        <w:t>Lăţimile circulaţiilor de evacuare se determină prin calcul, conform prevederilor normativului.</w:t>
      </w:r>
    </w:p>
    <w:p w14:paraId="2779DAEE" w14:textId="77777777" w:rsidR="001C08A5" w:rsidRDefault="00000000">
      <w:pPr>
        <w:ind w:firstLine="720"/>
        <w:jc w:val="both"/>
        <w:rPr>
          <w:sz w:val="24"/>
          <w:szCs w:val="24"/>
        </w:rPr>
      </w:pPr>
      <w:r>
        <w:rPr>
          <w:sz w:val="24"/>
          <w:szCs w:val="24"/>
        </w:rPr>
        <w:tab/>
      </w:r>
    </w:p>
    <w:p w14:paraId="08D0A8BE" w14:textId="77777777" w:rsidR="001C08A5" w:rsidRDefault="00000000">
      <w:pPr>
        <w:ind w:firstLine="720"/>
        <w:jc w:val="both"/>
        <w:rPr>
          <w:rFonts w:eastAsia="Times New Roman"/>
          <w:sz w:val="24"/>
          <w:szCs w:val="24"/>
        </w:rPr>
      </w:pPr>
      <w:r>
        <w:rPr>
          <w:b/>
          <w:sz w:val="24"/>
          <w:szCs w:val="24"/>
        </w:rPr>
        <w:t xml:space="preserve">Art. 3.3.3.3. </w:t>
      </w:r>
      <w:r>
        <w:rPr>
          <w:rFonts w:eastAsia="Times New Roman"/>
          <w:b/>
          <w:bCs/>
          <w:sz w:val="24"/>
          <w:szCs w:val="24"/>
        </w:rPr>
        <w:t xml:space="preserve">(1) </w:t>
      </w:r>
      <w:r>
        <w:rPr>
          <w:rFonts w:eastAsia="Times New Roman"/>
          <w:sz w:val="24"/>
          <w:szCs w:val="24"/>
        </w:rPr>
        <w:t>Amenaj</w:t>
      </w:r>
      <w:r>
        <w:rPr>
          <w:rFonts w:eastAsia="TimesNewRoman"/>
          <w:sz w:val="24"/>
          <w:szCs w:val="24"/>
        </w:rPr>
        <w:t>ă</w:t>
      </w:r>
      <w:r>
        <w:rPr>
          <w:rFonts w:eastAsia="Times New Roman"/>
          <w:sz w:val="24"/>
          <w:szCs w:val="24"/>
        </w:rPr>
        <w:t>rile în aer liber se realizeaz</w:t>
      </w:r>
      <w:r>
        <w:rPr>
          <w:rFonts w:eastAsia="TimesNewRoman"/>
          <w:sz w:val="24"/>
          <w:szCs w:val="24"/>
        </w:rPr>
        <w:t xml:space="preserve">ă </w:t>
      </w:r>
      <w:r>
        <w:rPr>
          <w:rFonts w:eastAsia="Times New Roman"/>
          <w:sz w:val="24"/>
          <w:szCs w:val="24"/>
        </w:rPr>
        <w:t>în perimetrele delimitate ca spa</w:t>
      </w:r>
      <w:r>
        <w:rPr>
          <w:rFonts w:eastAsia="TimesNewRoman"/>
          <w:sz w:val="24"/>
          <w:szCs w:val="24"/>
        </w:rPr>
        <w:t>ţ</w:t>
      </w:r>
      <w:r>
        <w:rPr>
          <w:rFonts w:eastAsia="Times New Roman"/>
          <w:sz w:val="24"/>
          <w:szCs w:val="24"/>
        </w:rPr>
        <w:t>ii stabilite de prim</w:t>
      </w:r>
      <w:r>
        <w:rPr>
          <w:rFonts w:eastAsia="TimesNewRoman"/>
          <w:sz w:val="24"/>
          <w:szCs w:val="24"/>
        </w:rPr>
        <w:t>ă</w:t>
      </w:r>
      <w:r>
        <w:rPr>
          <w:rFonts w:eastAsia="Times New Roman"/>
          <w:sz w:val="24"/>
          <w:szCs w:val="24"/>
        </w:rPr>
        <w:t>rii cu acordul inspectoratelor pentru situa</w:t>
      </w:r>
      <w:r>
        <w:rPr>
          <w:rFonts w:eastAsia="TimesNewRoman"/>
          <w:sz w:val="24"/>
          <w:szCs w:val="24"/>
        </w:rPr>
        <w:t>ţ</w:t>
      </w:r>
      <w:r>
        <w:rPr>
          <w:rFonts w:eastAsia="Times New Roman"/>
          <w:sz w:val="24"/>
          <w:szCs w:val="24"/>
        </w:rPr>
        <w:t>ii de urgen</w:t>
      </w:r>
      <w:r>
        <w:rPr>
          <w:rFonts w:eastAsia="TimesNewRoman"/>
          <w:sz w:val="24"/>
          <w:szCs w:val="24"/>
        </w:rPr>
        <w:t>ţă ş</w:t>
      </w:r>
      <w:r>
        <w:rPr>
          <w:rFonts w:eastAsia="Times New Roman"/>
          <w:sz w:val="24"/>
          <w:szCs w:val="24"/>
        </w:rPr>
        <w:t>i, dup</w:t>
      </w:r>
      <w:r>
        <w:rPr>
          <w:rFonts w:eastAsia="TimesNewRoman"/>
          <w:sz w:val="24"/>
          <w:szCs w:val="24"/>
        </w:rPr>
        <w:t xml:space="preserve">ă </w:t>
      </w:r>
      <w:r>
        <w:rPr>
          <w:rFonts w:eastAsia="Times New Roman"/>
          <w:sz w:val="24"/>
          <w:szCs w:val="24"/>
        </w:rPr>
        <w:t>caz, al celorlalte autorit</w:t>
      </w:r>
      <w:r>
        <w:rPr>
          <w:rFonts w:eastAsia="TimesNewRoman"/>
          <w:sz w:val="24"/>
          <w:szCs w:val="24"/>
        </w:rPr>
        <w:t>ăţ</w:t>
      </w:r>
      <w:r>
        <w:rPr>
          <w:rFonts w:eastAsia="Times New Roman"/>
          <w:sz w:val="24"/>
          <w:szCs w:val="24"/>
        </w:rPr>
        <w:t>i, conform legii.</w:t>
      </w:r>
    </w:p>
    <w:p w14:paraId="47E6310D" w14:textId="77777777" w:rsidR="001C08A5" w:rsidRDefault="00000000">
      <w:pPr>
        <w:ind w:firstLine="720"/>
        <w:jc w:val="both"/>
        <w:rPr>
          <w:rFonts w:eastAsia="Times New Roman"/>
          <w:sz w:val="24"/>
          <w:szCs w:val="24"/>
        </w:rPr>
      </w:pPr>
      <w:r>
        <w:rPr>
          <w:rFonts w:eastAsia="Times New Roman"/>
          <w:b/>
          <w:bCs/>
          <w:sz w:val="24"/>
          <w:szCs w:val="24"/>
        </w:rPr>
        <w:t xml:space="preserve">(2) </w:t>
      </w:r>
      <w:r>
        <w:rPr>
          <w:rFonts w:eastAsia="Times New Roman"/>
          <w:sz w:val="24"/>
          <w:szCs w:val="24"/>
        </w:rPr>
        <w:t>În cadrul tuturor amenaj</w:t>
      </w:r>
      <w:r>
        <w:rPr>
          <w:rFonts w:eastAsia="TimesNewRoman"/>
          <w:sz w:val="24"/>
          <w:szCs w:val="24"/>
        </w:rPr>
        <w:t>ă</w:t>
      </w:r>
      <w:r>
        <w:rPr>
          <w:rFonts w:eastAsia="Times New Roman"/>
          <w:sz w:val="24"/>
          <w:szCs w:val="24"/>
        </w:rPr>
        <w:t>rilor temporare în spa</w:t>
      </w:r>
      <w:r>
        <w:rPr>
          <w:rFonts w:eastAsia="TimesNewRoman"/>
          <w:sz w:val="24"/>
          <w:szCs w:val="24"/>
        </w:rPr>
        <w:t>ţ</w:t>
      </w:r>
      <w:r>
        <w:rPr>
          <w:rFonts w:eastAsia="Times New Roman"/>
          <w:sz w:val="24"/>
          <w:szCs w:val="24"/>
        </w:rPr>
        <w:t>ii deschise, la montarea utilit</w:t>
      </w:r>
      <w:r>
        <w:rPr>
          <w:rFonts w:eastAsia="TimesNewRoman"/>
          <w:sz w:val="24"/>
          <w:szCs w:val="24"/>
        </w:rPr>
        <w:t>ăţ</w:t>
      </w:r>
      <w:r>
        <w:rPr>
          <w:rFonts w:eastAsia="Times New Roman"/>
          <w:sz w:val="24"/>
          <w:szCs w:val="24"/>
        </w:rPr>
        <w:t>ilor cum ar fi energie electric</w:t>
      </w:r>
      <w:r>
        <w:rPr>
          <w:rFonts w:eastAsia="TimesNewRoman"/>
          <w:sz w:val="24"/>
          <w:szCs w:val="24"/>
        </w:rPr>
        <w:t>ă</w:t>
      </w:r>
      <w:r>
        <w:rPr>
          <w:rFonts w:eastAsia="Times New Roman"/>
          <w:sz w:val="24"/>
          <w:szCs w:val="24"/>
        </w:rPr>
        <w:t>, ap</w:t>
      </w:r>
      <w:r>
        <w:rPr>
          <w:rFonts w:eastAsia="TimesNewRoman"/>
          <w:sz w:val="24"/>
          <w:szCs w:val="24"/>
        </w:rPr>
        <w:t>ă</w:t>
      </w:r>
      <w:r>
        <w:rPr>
          <w:rFonts w:eastAsia="Times New Roman"/>
          <w:sz w:val="24"/>
          <w:szCs w:val="24"/>
        </w:rPr>
        <w:t>, gaze, traseul aerian trebuie realizat la o în</w:t>
      </w:r>
      <w:r>
        <w:rPr>
          <w:rFonts w:eastAsia="TimesNewRoman"/>
          <w:sz w:val="24"/>
          <w:szCs w:val="24"/>
        </w:rPr>
        <w:t>ă</w:t>
      </w:r>
      <w:r>
        <w:rPr>
          <w:rFonts w:eastAsia="Times New Roman"/>
          <w:sz w:val="24"/>
          <w:szCs w:val="24"/>
        </w:rPr>
        <w:t>l</w:t>
      </w:r>
      <w:r>
        <w:rPr>
          <w:rFonts w:eastAsia="TimesNewRoman"/>
          <w:sz w:val="24"/>
          <w:szCs w:val="24"/>
        </w:rPr>
        <w:t>ţ</w:t>
      </w:r>
      <w:r>
        <w:rPr>
          <w:rFonts w:eastAsia="Times New Roman"/>
          <w:sz w:val="24"/>
          <w:szCs w:val="24"/>
        </w:rPr>
        <w:t>ime de cel pu</w:t>
      </w:r>
      <w:r>
        <w:rPr>
          <w:rFonts w:eastAsia="TimesNewRoman"/>
          <w:sz w:val="24"/>
          <w:szCs w:val="24"/>
        </w:rPr>
        <w:t>ţ</w:t>
      </w:r>
      <w:r>
        <w:rPr>
          <w:rFonts w:eastAsia="Times New Roman"/>
          <w:sz w:val="24"/>
          <w:szCs w:val="24"/>
        </w:rPr>
        <w:t xml:space="preserve">in </w:t>
      </w:r>
      <w:r>
        <w:rPr>
          <w:rFonts w:eastAsia="Times New Roman"/>
          <w:b/>
          <w:bCs/>
          <w:sz w:val="24"/>
          <w:szCs w:val="24"/>
        </w:rPr>
        <w:t>3,5</w:t>
      </w:r>
      <w:r>
        <w:rPr>
          <w:rFonts w:eastAsia="Times New Roman"/>
          <w:sz w:val="24"/>
          <w:szCs w:val="24"/>
        </w:rPr>
        <w:t xml:space="preserve"> metri, astfel încât accesul mijloacelor de interven</w:t>
      </w:r>
      <w:r>
        <w:rPr>
          <w:rFonts w:eastAsia="TimesNewRoman"/>
          <w:sz w:val="24"/>
          <w:szCs w:val="24"/>
        </w:rPr>
        <w:t>ţ</w:t>
      </w:r>
      <w:r>
        <w:rPr>
          <w:rFonts w:eastAsia="Times New Roman"/>
          <w:sz w:val="24"/>
          <w:szCs w:val="24"/>
        </w:rPr>
        <w:t>ie s</w:t>
      </w:r>
      <w:r>
        <w:rPr>
          <w:rFonts w:eastAsia="TimesNewRoman"/>
          <w:sz w:val="24"/>
          <w:szCs w:val="24"/>
        </w:rPr>
        <w:t xml:space="preserve">ă </w:t>
      </w:r>
      <w:r>
        <w:rPr>
          <w:rFonts w:eastAsia="Times New Roman"/>
          <w:sz w:val="24"/>
          <w:szCs w:val="24"/>
        </w:rPr>
        <w:t>nu fie incomodat.</w:t>
      </w:r>
    </w:p>
    <w:p w14:paraId="64F4AA1E" w14:textId="77777777" w:rsidR="001C08A5" w:rsidRDefault="00000000">
      <w:pPr>
        <w:ind w:firstLine="720"/>
        <w:jc w:val="both"/>
        <w:rPr>
          <w:sz w:val="24"/>
          <w:szCs w:val="24"/>
        </w:rPr>
      </w:pPr>
      <w:r>
        <w:rPr>
          <w:rFonts w:eastAsia="Times New Roman"/>
          <w:b/>
          <w:bCs/>
          <w:sz w:val="24"/>
          <w:szCs w:val="24"/>
        </w:rPr>
        <w:t xml:space="preserve">(3) </w:t>
      </w:r>
      <w:r>
        <w:rPr>
          <w:rFonts w:eastAsia="Times New Roman"/>
          <w:sz w:val="24"/>
          <w:szCs w:val="24"/>
        </w:rPr>
        <w:t>Spa</w:t>
      </w:r>
      <w:r>
        <w:rPr>
          <w:rFonts w:eastAsia="TimesNewRoman"/>
          <w:sz w:val="24"/>
          <w:szCs w:val="24"/>
        </w:rPr>
        <w:t>ţ</w:t>
      </w:r>
      <w:r>
        <w:rPr>
          <w:rFonts w:eastAsia="Times New Roman"/>
          <w:sz w:val="24"/>
          <w:szCs w:val="24"/>
        </w:rPr>
        <w:t>iile cu destina</w:t>
      </w:r>
      <w:r>
        <w:rPr>
          <w:rFonts w:eastAsia="TimesNewRoman"/>
          <w:sz w:val="24"/>
          <w:szCs w:val="24"/>
        </w:rPr>
        <w:t>ţ</w:t>
      </w:r>
      <w:r>
        <w:rPr>
          <w:rFonts w:eastAsia="Times New Roman"/>
          <w:sz w:val="24"/>
          <w:szCs w:val="24"/>
        </w:rPr>
        <w:t>ie de parcare trebuie organizate la o distan</w:t>
      </w:r>
      <w:r>
        <w:rPr>
          <w:rFonts w:eastAsia="TimesNewRoman"/>
          <w:sz w:val="24"/>
          <w:szCs w:val="24"/>
        </w:rPr>
        <w:t xml:space="preserve">ţă </w:t>
      </w:r>
      <w:r>
        <w:rPr>
          <w:rFonts w:eastAsia="Times New Roman"/>
          <w:sz w:val="24"/>
          <w:szCs w:val="24"/>
        </w:rPr>
        <w:t>de siguran</w:t>
      </w:r>
      <w:r>
        <w:rPr>
          <w:rFonts w:eastAsia="TimesNewRoman"/>
          <w:sz w:val="24"/>
          <w:szCs w:val="24"/>
        </w:rPr>
        <w:t xml:space="preserve">ţă </w:t>
      </w:r>
      <w:r>
        <w:rPr>
          <w:rFonts w:eastAsia="Times New Roman"/>
          <w:sz w:val="24"/>
          <w:szCs w:val="24"/>
        </w:rPr>
        <w:t>fa</w:t>
      </w:r>
      <w:r>
        <w:rPr>
          <w:rFonts w:eastAsia="TimesNewRoman"/>
          <w:sz w:val="24"/>
          <w:szCs w:val="24"/>
        </w:rPr>
        <w:t xml:space="preserve">ţă </w:t>
      </w:r>
      <w:r>
        <w:rPr>
          <w:rFonts w:eastAsia="Times New Roman"/>
          <w:sz w:val="24"/>
          <w:szCs w:val="24"/>
        </w:rPr>
        <w:t>de amenajare.</w:t>
      </w:r>
    </w:p>
    <w:p w14:paraId="192F3E68" w14:textId="77777777" w:rsidR="001C08A5" w:rsidRDefault="001C08A5">
      <w:pPr>
        <w:jc w:val="both"/>
        <w:rPr>
          <w:sz w:val="24"/>
          <w:szCs w:val="24"/>
        </w:rPr>
      </w:pPr>
    </w:p>
    <w:p w14:paraId="4479D8C6" w14:textId="77777777" w:rsidR="001C08A5" w:rsidRDefault="00000000">
      <w:pPr>
        <w:jc w:val="both"/>
        <w:rPr>
          <w:sz w:val="24"/>
          <w:szCs w:val="24"/>
        </w:rPr>
      </w:pPr>
      <w:r>
        <w:rPr>
          <w:b/>
          <w:sz w:val="24"/>
          <w:szCs w:val="24"/>
        </w:rPr>
        <w:tab/>
        <w:t xml:space="preserve">Art. 3.3.3.4. (1) </w:t>
      </w:r>
      <w:r>
        <w:rPr>
          <w:sz w:val="24"/>
          <w:szCs w:val="24"/>
        </w:rPr>
        <w:t>Corturile cu regim de înălţime parter vor îndeplini condițiile normativului specific.</w:t>
      </w:r>
    </w:p>
    <w:p w14:paraId="117DF83A" w14:textId="77777777" w:rsidR="001C08A5" w:rsidRDefault="00000000">
      <w:pPr>
        <w:ind w:firstLine="720"/>
        <w:jc w:val="both"/>
        <w:rPr>
          <w:sz w:val="24"/>
          <w:szCs w:val="24"/>
        </w:rPr>
      </w:pPr>
      <w:r>
        <w:rPr>
          <w:b/>
          <w:bCs/>
          <w:sz w:val="24"/>
          <w:szCs w:val="24"/>
        </w:rPr>
        <w:t>(2)</w:t>
      </w:r>
      <w:r>
        <w:rPr>
          <w:sz w:val="24"/>
          <w:szCs w:val="24"/>
        </w:rPr>
        <w:t xml:space="preserve"> Corturile în care se amenajează un nivel (etaj) alte niveluri de călcare, cu excepția supantelor și gradenelor prevăzute în normativul de profil, trebuie să îndeplinească următoarele condiții:</w:t>
      </w:r>
    </w:p>
    <w:p w14:paraId="28A889CF" w14:textId="77777777" w:rsidR="001C08A5" w:rsidRDefault="00000000">
      <w:pPr>
        <w:ind w:left="720" w:firstLine="720"/>
        <w:jc w:val="both"/>
        <w:rPr>
          <w:sz w:val="24"/>
          <w:szCs w:val="24"/>
        </w:rPr>
      </w:pPr>
      <w:r>
        <w:rPr>
          <w:sz w:val="24"/>
          <w:szCs w:val="24"/>
        </w:rPr>
        <w:t xml:space="preserve">- pentru a fi considerat cort, membrana trebuie să constituie minim </w:t>
      </w:r>
      <w:r>
        <w:rPr>
          <w:b/>
          <w:bCs/>
          <w:sz w:val="24"/>
          <w:szCs w:val="24"/>
        </w:rPr>
        <w:t>75%</w:t>
      </w:r>
      <w:r>
        <w:rPr>
          <w:sz w:val="24"/>
          <w:szCs w:val="24"/>
        </w:rPr>
        <w:t xml:space="preserve"> din anvelopa clădirii; </w:t>
      </w:r>
    </w:p>
    <w:p w14:paraId="64BBA1A3" w14:textId="77777777" w:rsidR="001C08A5" w:rsidRDefault="00000000">
      <w:pPr>
        <w:ind w:left="720" w:firstLine="720"/>
        <w:jc w:val="both"/>
        <w:rPr>
          <w:sz w:val="24"/>
          <w:szCs w:val="24"/>
        </w:rPr>
      </w:pPr>
      <w:r>
        <w:rPr>
          <w:sz w:val="24"/>
          <w:szCs w:val="24"/>
        </w:rPr>
        <w:t xml:space="preserve">- pot fi amenajate doar pentru următoarele funcțiuni: </w:t>
      </w:r>
    </w:p>
    <w:p w14:paraId="0D34E972" w14:textId="77777777" w:rsidR="001C08A5" w:rsidRDefault="00000000">
      <w:pPr>
        <w:spacing w:after="61"/>
        <w:ind w:left="2160" w:firstLine="720"/>
        <w:jc w:val="both"/>
        <w:rPr>
          <w:sz w:val="24"/>
          <w:szCs w:val="24"/>
        </w:rPr>
      </w:pPr>
      <w:r>
        <w:rPr>
          <w:sz w:val="24"/>
          <w:szCs w:val="24"/>
        </w:rPr>
        <w:t xml:space="preserve">a) civile: alimentație publică, evenimente, târguri, circuri, activități sportive sauexpoziții; </w:t>
      </w:r>
    </w:p>
    <w:p w14:paraId="41EC7E39" w14:textId="77777777" w:rsidR="001C08A5" w:rsidRDefault="00000000">
      <w:pPr>
        <w:ind w:left="2160" w:firstLine="720"/>
        <w:jc w:val="both"/>
        <w:rPr>
          <w:sz w:val="24"/>
          <w:szCs w:val="24"/>
        </w:rPr>
      </w:pPr>
      <w:r>
        <w:rPr>
          <w:sz w:val="24"/>
          <w:szCs w:val="24"/>
        </w:rPr>
        <w:t xml:space="preserve">b) de producție și/sau depozitare. </w:t>
      </w:r>
    </w:p>
    <w:p w14:paraId="28B3394F" w14:textId="77777777" w:rsidR="001C08A5" w:rsidRDefault="00000000">
      <w:pPr>
        <w:ind w:left="720" w:firstLine="720"/>
        <w:jc w:val="both"/>
        <w:rPr>
          <w:bCs/>
          <w:sz w:val="24"/>
          <w:szCs w:val="24"/>
        </w:rPr>
      </w:pPr>
      <w:r>
        <w:rPr>
          <w:sz w:val="24"/>
          <w:szCs w:val="24"/>
        </w:rPr>
        <w:t xml:space="preserve">- să fie prevăzute cu structură de rezistenţă minimum </w:t>
      </w:r>
      <w:r>
        <w:rPr>
          <w:b/>
          <w:sz w:val="24"/>
          <w:szCs w:val="24"/>
        </w:rPr>
        <w:t xml:space="preserve">R30 </w:t>
      </w:r>
      <w:r>
        <w:rPr>
          <w:bCs/>
          <w:sz w:val="24"/>
          <w:szCs w:val="24"/>
        </w:rPr>
        <w:t>(inclusiv cea a nivelului)</w:t>
      </w:r>
      <w:r>
        <w:rPr>
          <w:b/>
          <w:sz w:val="24"/>
          <w:szCs w:val="24"/>
        </w:rPr>
        <w:t xml:space="preserve"> și </w:t>
      </w:r>
      <w:r>
        <w:rPr>
          <w:sz w:val="24"/>
          <w:szCs w:val="24"/>
        </w:rPr>
        <w:t xml:space="preserve">suprafaţă maximă de </w:t>
      </w:r>
      <w:r>
        <w:rPr>
          <w:b/>
          <w:sz w:val="24"/>
          <w:szCs w:val="24"/>
        </w:rPr>
        <w:t>1500 m</w:t>
      </w:r>
      <w:r>
        <w:rPr>
          <w:b/>
          <w:sz w:val="24"/>
          <w:szCs w:val="24"/>
          <w:vertAlign w:val="superscript"/>
        </w:rPr>
        <w:t>2</w:t>
      </w:r>
      <w:r>
        <w:rPr>
          <w:bCs/>
          <w:sz w:val="24"/>
          <w:szCs w:val="24"/>
        </w:rPr>
        <w:t>;</w:t>
      </w:r>
    </w:p>
    <w:p w14:paraId="7EAA550D" w14:textId="77777777" w:rsidR="001C08A5" w:rsidRDefault="00000000">
      <w:pPr>
        <w:ind w:left="720" w:firstLine="720"/>
        <w:jc w:val="both"/>
        <w:rPr>
          <w:sz w:val="24"/>
          <w:szCs w:val="24"/>
        </w:rPr>
      </w:pPr>
      <w:r>
        <w:rPr>
          <w:bCs/>
          <w:sz w:val="24"/>
          <w:szCs w:val="24"/>
        </w:rPr>
        <w:t xml:space="preserve">- </w:t>
      </w:r>
      <w:r>
        <w:rPr>
          <w:sz w:val="24"/>
          <w:szCs w:val="24"/>
        </w:rPr>
        <w:t xml:space="preserve">se amplasează la o distanță egală sau mai mare de </w:t>
      </w:r>
      <w:r>
        <w:rPr>
          <w:b/>
          <w:bCs/>
          <w:sz w:val="24"/>
          <w:szCs w:val="24"/>
        </w:rPr>
        <w:t>1,5 H LEA</w:t>
      </w:r>
      <w:r>
        <w:rPr>
          <w:sz w:val="24"/>
          <w:szCs w:val="24"/>
        </w:rPr>
        <w:t xml:space="preserve"> de liniile electrice aeriene cu tensiunea nominală egală sau mai mare de </w:t>
      </w:r>
      <w:r>
        <w:rPr>
          <w:b/>
          <w:bCs/>
          <w:sz w:val="24"/>
          <w:szCs w:val="24"/>
        </w:rPr>
        <w:t>1,1 kV</w:t>
      </w:r>
      <w:r>
        <w:rPr>
          <w:sz w:val="24"/>
          <w:szCs w:val="24"/>
        </w:rPr>
        <w:t>.</w:t>
      </w:r>
    </w:p>
    <w:p w14:paraId="678DCD41" w14:textId="77777777" w:rsidR="001C08A5" w:rsidRDefault="00000000">
      <w:pPr>
        <w:ind w:left="720" w:firstLine="720"/>
        <w:jc w:val="both"/>
        <w:rPr>
          <w:sz w:val="24"/>
          <w:szCs w:val="24"/>
        </w:rPr>
      </w:pPr>
      <w:r>
        <w:rPr>
          <w:sz w:val="24"/>
          <w:szCs w:val="24"/>
        </w:rPr>
        <w:t xml:space="preserve">- membrana de cort trebuie să asigure clasa de reacţie la foc </w:t>
      </w:r>
      <w:r>
        <w:rPr>
          <w:b/>
          <w:sz w:val="24"/>
          <w:szCs w:val="24"/>
        </w:rPr>
        <w:t>minimum B-s2d0</w:t>
      </w:r>
      <w:r>
        <w:rPr>
          <w:bCs/>
          <w:sz w:val="24"/>
          <w:szCs w:val="24"/>
        </w:rPr>
        <w:t>;</w:t>
      </w:r>
    </w:p>
    <w:p w14:paraId="4608286E" w14:textId="77777777" w:rsidR="001C08A5" w:rsidRDefault="00000000">
      <w:pPr>
        <w:ind w:left="720" w:firstLine="720"/>
        <w:jc w:val="both"/>
        <w:rPr>
          <w:b/>
          <w:sz w:val="24"/>
          <w:szCs w:val="24"/>
        </w:rPr>
      </w:pPr>
      <w:r>
        <w:rPr>
          <w:sz w:val="24"/>
          <w:szCs w:val="24"/>
        </w:rPr>
        <w:t xml:space="preserve">- cablurile de ancorare a structurii trebuie realizate din materiale încadrate în clasa de reacţie la foc </w:t>
      </w:r>
      <w:r>
        <w:rPr>
          <w:b/>
          <w:sz w:val="24"/>
          <w:szCs w:val="24"/>
        </w:rPr>
        <w:t xml:space="preserve">A1 </w:t>
      </w:r>
      <w:r>
        <w:rPr>
          <w:sz w:val="24"/>
          <w:szCs w:val="24"/>
        </w:rPr>
        <w:t xml:space="preserve">sau </w:t>
      </w:r>
      <w:r>
        <w:rPr>
          <w:b/>
          <w:sz w:val="24"/>
          <w:szCs w:val="24"/>
        </w:rPr>
        <w:t>A2-s1d0</w:t>
      </w:r>
    </w:p>
    <w:p w14:paraId="4203DA6E" w14:textId="77777777" w:rsidR="001C08A5" w:rsidRDefault="00000000">
      <w:pPr>
        <w:ind w:left="720" w:firstLine="720"/>
        <w:jc w:val="both"/>
        <w:rPr>
          <w:b/>
          <w:sz w:val="24"/>
          <w:szCs w:val="24"/>
        </w:rPr>
      </w:pPr>
      <w:r>
        <w:rPr>
          <w:b/>
          <w:sz w:val="24"/>
          <w:szCs w:val="24"/>
        </w:rPr>
        <w:t xml:space="preserve">- </w:t>
      </w:r>
      <w:r>
        <w:rPr>
          <w:sz w:val="24"/>
          <w:szCs w:val="24"/>
        </w:rPr>
        <w:t>trebuie prevăzute cu minimum două căi de evacuare;</w:t>
      </w:r>
    </w:p>
    <w:p w14:paraId="28DF78F7" w14:textId="77777777" w:rsidR="001C08A5" w:rsidRDefault="00000000">
      <w:pPr>
        <w:ind w:left="720" w:firstLine="720"/>
        <w:jc w:val="both"/>
        <w:rPr>
          <w:sz w:val="24"/>
          <w:szCs w:val="24"/>
        </w:rPr>
      </w:pPr>
      <w:r>
        <w:rPr>
          <w:sz w:val="24"/>
          <w:szCs w:val="24"/>
        </w:rPr>
        <w:t xml:space="preserve">- corturile se  consideră construcţii </w:t>
      </w:r>
      <w:r>
        <w:rPr>
          <w:bCs/>
          <w:sz w:val="24"/>
          <w:szCs w:val="24"/>
        </w:rPr>
        <w:t xml:space="preserve">nivelul </w:t>
      </w:r>
      <w:r>
        <w:rPr>
          <w:b/>
          <w:sz w:val="24"/>
          <w:szCs w:val="24"/>
        </w:rPr>
        <w:t xml:space="preserve">II </w:t>
      </w:r>
      <w:r>
        <w:rPr>
          <w:bCs/>
          <w:sz w:val="24"/>
          <w:szCs w:val="24"/>
        </w:rPr>
        <w:t>de stabilitate la incendiu cu structura metalică parțial protejată</w:t>
      </w:r>
      <w:r>
        <w:rPr>
          <w:sz w:val="24"/>
          <w:szCs w:val="24"/>
        </w:rPr>
        <w:t xml:space="preserve">, iar lungimea căilor de evacuare măsurată din orice punct din interiorul cortului până la cea mai apropiată ieșire în exterior, luând în considerare elementele de mobilier sau orice alt obstacol întâlnit pe căile de evacuare trebuie să respecte prevederile </w:t>
      </w:r>
      <w:r>
        <w:rPr>
          <w:sz w:val="24"/>
          <w:szCs w:val="24"/>
        </w:rPr>
        <w:lastRenderedPageBreak/>
        <w:t>privind performanțele specifice fiecărei destinaţii, fără a fi obligatorie rigidizarea meselor şi scaunelor de pardoseală ori între ele, astfel:</w:t>
      </w:r>
    </w:p>
    <w:p w14:paraId="20306EC1" w14:textId="77777777" w:rsidR="001C08A5" w:rsidRDefault="00000000">
      <w:pPr>
        <w:spacing w:after="61"/>
        <w:ind w:left="720" w:firstLine="720"/>
        <w:jc w:val="both"/>
        <w:rPr>
          <w:sz w:val="24"/>
          <w:szCs w:val="24"/>
        </w:rPr>
      </w:pPr>
      <w:r>
        <w:rPr>
          <w:sz w:val="24"/>
          <w:szCs w:val="24"/>
        </w:rPr>
        <w:t xml:space="preserve">a) la cele cu funcțiuni civile: alimentație publică,  târguri, circuri, activități sportive, evenimente,expoziții; maximum </w:t>
      </w:r>
      <w:r>
        <w:rPr>
          <w:b/>
          <w:bCs/>
          <w:sz w:val="24"/>
          <w:szCs w:val="24"/>
        </w:rPr>
        <w:t>20</w:t>
      </w:r>
      <w:r>
        <w:rPr>
          <w:sz w:val="24"/>
          <w:szCs w:val="24"/>
        </w:rPr>
        <w:t xml:space="preserve"> m intr-o direcție și maximum </w:t>
      </w:r>
      <w:r>
        <w:rPr>
          <w:b/>
          <w:bCs/>
          <w:sz w:val="24"/>
          <w:szCs w:val="24"/>
        </w:rPr>
        <w:t>40</w:t>
      </w:r>
      <w:r>
        <w:rPr>
          <w:sz w:val="24"/>
          <w:szCs w:val="24"/>
        </w:rPr>
        <w:t xml:space="preserve"> m în două direcții</w:t>
      </w:r>
    </w:p>
    <w:p w14:paraId="7D159F7A" w14:textId="77777777" w:rsidR="001C08A5" w:rsidRDefault="00000000">
      <w:pPr>
        <w:spacing w:after="61"/>
        <w:ind w:left="720" w:firstLine="720"/>
        <w:jc w:val="both"/>
        <w:rPr>
          <w:sz w:val="24"/>
          <w:szCs w:val="24"/>
        </w:rPr>
      </w:pPr>
      <w:r>
        <w:rPr>
          <w:sz w:val="24"/>
          <w:szCs w:val="24"/>
        </w:rPr>
        <w:t>b) de producție și/sau depozitare.</w:t>
      </w:r>
    </w:p>
    <w:p w14:paraId="41940275" w14:textId="77777777" w:rsidR="001C08A5" w:rsidRDefault="00000000">
      <w:pPr>
        <w:ind w:left="2160" w:firstLine="720"/>
        <w:jc w:val="both"/>
        <w:rPr>
          <w:sz w:val="24"/>
          <w:szCs w:val="24"/>
        </w:rPr>
      </w:pPr>
      <w:r>
        <w:rPr>
          <w:sz w:val="24"/>
          <w:szCs w:val="24"/>
        </w:rPr>
        <w:t xml:space="preserve">cu risc mic sau mijlociu - maximum </w:t>
      </w:r>
      <w:r>
        <w:rPr>
          <w:b/>
          <w:bCs/>
          <w:sz w:val="24"/>
          <w:szCs w:val="24"/>
        </w:rPr>
        <w:t>20</w:t>
      </w:r>
      <w:r>
        <w:rPr>
          <w:sz w:val="24"/>
          <w:szCs w:val="24"/>
        </w:rPr>
        <w:t xml:space="preserve"> m intr-o direcție și maximum 40 m în două direcții</w:t>
      </w:r>
    </w:p>
    <w:p w14:paraId="662F1526" w14:textId="77777777" w:rsidR="001C08A5" w:rsidRDefault="00000000">
      <w:pPr>
        <w:ind w:left="2160" w:firstLine="720"/>
        <w:jc w:val="both"/>
        <w:rPr>
          <w:sz w:val="24"/>
          <w:szCs w:val="24"/>
        </w:rPr>
      </w:pPr>
      <w:r>
        <w:rPr>
          <w:sz w:val="24"/>
          <w:szCs w:val="24"/>
        </w:rPr>
        <w:t xml:space="preserve">cu risc mare - maximum </w:t>
      </w:r>
      <w:r>
        <w:rPr>
          <w:b/>
          <w:bCs/>
          <w:sz w:val="24"/>
          <w:szCs w:val="24"/>
        </w:rPr>
        <w:t>20</w:t>
      </w:r>
      <w:r>
        <w:rPr>
          <w:sz w:val="24"/>
          <w:szCs w:val="24"/>
        </w:rPr>
        <w:t xml:space="preserve"> m intr-o direcție și maximum </w:t>
      </w:r>
      <w:r>
        <w:rPr>
          <w:b/>
          <w:bCs/>
          <w:sz w:val="24"/>
          <w:szCs w:val="24"/>
        </w:rPr>
        <w:t>35</w:t>
      </w:r>
      <w:r>
        <w:rPr>
          <w:sz w:val="24"/>
          <w:szCs w:val="24"/>
        </w:rPr>
        <w:t xml:space="preserve"> m în două direcții la parter și maximum </w:t>
      </w:r>
      <w:r>
        <w:rPr>
          <w:b/>
          <w:bCs/>
          <w:sz w:val="24"/>
          <w:szCs w:val="24"/>
        </w:rPr>
        <w:t>25</w:t>
      </w:r>
      <w:r>
        <w:rPr>
          <w:sz w:val="24"/>
          <w:szCs w:val="24"/>
        </w:rPr>
        <w:t xml:space="preserve"> m în două direcții la etaj.</w:t>
      </w:r>
    </w:p>
    <w:p w14:paraId="374B3A0F" w14:textId="77777777" w:rsidR="001C08A5" w:rsidRDefault="00000000">
      <w:pPr>
        <w:ind w:left="2160" w:firstLine="720"/>
        <w:jc w:val="both"/>
        <w:rPr>
          <w:sz w:val="24"/>
          <w:szCs w:val="24"/>
        </w:rPr>
      </w:pPr>
      <w:r>
        <w:rPr>
          <w:sz w:val="24"/>
          <w:szCs w:val="24"/>
        </w:rPr>
        <w:t xml:space="preserve">cu risc foarte mare - maximum </w:t>
      </w:r>
      <w:r>
        <w:rPr>
          <w:b/>
          <w:bCs/>
          <w:sz w:val="24"/>
          <w:szCs w:val="24"/>
        </w:rPr>
        <w:t>20</w:t>
      </w:r>
      <w:r>
        <w:rPr>
          <w:sz w:val="24"/>
          <w:szCs w:val="24"/>
        </w:rPr>
        <w:t xml:space="preserve"> m intr-o direcție și maximum </w:t>
      </w:r>
      <w:r>
        <w:rPr>
          <w:b/>
          <w:bCs/>
          <w:sz w:val="24"/>
          <w:szCs w:val="24"/>
        </w:rPr>
        <w:t>30</w:t>
      </w:r>
      <w:r>
        <w:rPr>
          <w:sz w:val="24"/>
          <w:szCs w:val="24"/>
        </w:rPr>
        <w:t xml:space="preserve"> m în două direcții la parter și maximum </w:t>
      </w:r>
      <w:r>
        <w:rPr>
          <w:b/>
          <w:bCs/>
          <w:sz w:val="24"/>
          <w:szCs w:val="24"/>
        </w:rPr>
        <w:t>25</w:t>
      </w:r>
      <w:r>
        <w:rPr>
          <w:sz w:val="24"/>
          <w:szCs w:val="24"/>
        </w:rPr>
        <w:t xml:space="preserve"> m în două direcții la etaj.</w:t>
      </w:r>
    </w:p>
    <w:p w14:paraId="5BFF1076" w14:textId="77777777" w:rsidR="001C08A5" w:rsidRDefault="00000000">
      <w:pPr>
        <w:ind w:left="720" w:firstLine="720"/>
        <w:jc w:val="both"/>
        <w:rPr>
          <w:sz w:val="24"/>
          <w:szCs w:val="24"/>
          <w:lang w:val="en-US"/>
        </w:rPr>
      </w:pPr>
      <w:r>
        <w:rPr>
          <w:b/>
          <w:sz w:val="24"/>
          <w:szCs w:val="24"/>
        </w:rPr>
        <w:t>-</w:t>
      </w:r>
      <w:r>
        <w:rPr>
          <w:bCs/>
          <w:sz w:val="24"/>
          <w:szCs w:val="24"/>
        </w:rPr>
        <w:t xml:space="preserve"> lățimea liberă minimă a oricărei ieșiri spre exterior, în funcție de numărul maxim de utilizatori, trebuie să fie conform normativului de profil iar înălţimea liberă minimă trebuie să fie de minimum </w:t>
      </w:r>
      <w:r>
        <w:rPr>
          <w:b/>
          <w:sz w:val="24"/>
          <w:szCs w:val="24"/>
        </w:rPr>
        <w:t>2,10</w:t>
      </w:r>
      <w:r>
        <w:rPr>
          <w:bCs/>
          <w:sz w:val="24"/>
          <w:szCs w:val="24"/>
        </w:rPr>
        <w:t xml:space="preserve"> m;</w:t>
      </w:r>
    </w:p>
    <w:p w14:paraId="632775DA" w14:textId="77777777" w:rsidR="001C08A5" w:rsidRDefault="00000000">
      <w:pPr>
        <w:ind w:left="720" w:firstLine="720"/>
        <w:jc w:val="both"/>
        <w:rPr>
          <w:sz w:val="24"/>
          <w:szCs w:val="24"/>
        </w:rPr>
      </w:pPr>
      <w:r>
        <w:rPr>
          <w:sz w:val="24"/>
          <w:szCs w:val="24"/>
          <w:lang w:val="en-US"/>
        </w:rPr>
        <w:t>- se respectă</w:t>
      </w:r>
      <w:r>
        <w:rPr>
          <w:sz w:val="24"/>
          <w:szCs w:val="24"/>
        </w:rPr>
        <w:t xml:space="preserve"> </w:t>
      </w:r>
      <w:r>
        <w:rPr>
          <w:sz w:val="24"/>
          <w:szCs w:val="24"/>
          <w:lang w:val="en-US"/>
        </w:rPr>
        <w:t>celelalte</w:t>
      </w:r>
      <w:r>
        <w:rPr>
          <w:sz w:val="24"/>
          <w:szCs w:val="24"/>
        </w:rPr>
        <w:t xml:space="preserve"> </w:t>
      </w:r>
      <w:r>
        <w:rPr>
          <w:sz w:val="24"/>
          <w:szCs w:val="24"/>
          <w:lang w:val="en-US"/>
        </w:rPr>
        <w:t>prevederi din normativul de profil</w:t>
      </w:r>
      <w:r>
        <w:rPr>
          <w:sz w:val="24"/>
          <w:szCs w:val="24"/>
        </w:rPr>
        <w:t xml:space="preserve"> </w:t>
      </w:r>
      <w:r>
        <w:rPr>
          <w:sz w:val="24"/>
          <w:szCs w:val="24"/>
          <w:lang w:val="en-US"/>
        </w:rPr>
        <w:t>referitoare la amplasare (structuri</w:t>
      </w:r>
      <w:r>
        <w:rPr>
          <w:sz w:val="24"/>
          <w:szCs w:val="24"/>
        </w:rPr>
        <w:t xml:space="preserve"> </w:t>
      </w:r>
      <w:r>
        <w:rPr>
          <w:sz w:val="24"/>
          <w:szCs w:val="24"/>
          <w:lang w:val="en-US"/>
        </w:rPr>
        <w:t>anexe/ spaţii</w:t>
      </w:r>
      <w:r>
        <w:rPr>
          <w:sz w:val="24"/>
          <w:szCs w:val="24"/>
        </w:rPr>
        <w:t xml:space="preserve"> </w:t>
      </w:r>
      <w:r>
        <w:rPr>
          <w:sz w:val="24"/>
          <w:szCs w:val="24"/>
          <w:lang w:val="en-US"/>
        </w:rPr>
        <w:t>pentru</w:t>
      </w:r>
      <w:r>
        <w:rPr>
          <w:sz w:val="24"/>
          <w:szCs w:val="24"/>
        </w:rPr>
        <w:t xml:space="preserve"> </w:t>
      </w:r>
      <w:r>
        <w:rPr>
          <w:sz w:val="24"/>
          <w:szCs w:val="24"/>
          <w:lang w:val="en-US"/>
        </w:rPr>
        <w:t>prepararea/</w:t>
      </w:r>
      <w:r>
        <w:rPr>
          <w:sz w:val="24"/>
          <w:szCs w:val="24"/>
        </w:rPr>
        <w:t xml:space="preserve"> </w:t>
      </w:r>
      <w:r>
        <w:rPr>
          <w:sz w:val="24"/>
          <w:szCs w:val="24"/>
          <w:lang w:val="en-US"/>
        </w:rPr>
        <w:t>încălzirea</w:t>
      </w:r>
      <w:r>
        <w:rPr>
          <w:sz w:val="24"/>
          <w:szCs w:val="24"/>
        </w:rPr>
        <w:t xml:space="preserve"> </w:t>
      </w:r>
      <w:r>
        <w:rPr>
          <w:sz w:val="24"/>
          <w:szCs w:val="24"/>
          <w:lang w:val="en-US"/>
        </w:rPr>
        <w:t>hranei, precum și</w:t>
      </w:r>
      <w:r>
        <w:rPr>
          <w:sz w:val="24"/>
          <w:szCs w:val="24"/>
        </w:rPr>
        <w:t xml:space="preserve"> </w:t>
      </w:r>
      <w:r>
        <w:rPr>
          <w:sz w:val="24"/>
          <w:szCs w:val="24"/>
          <w:lang w:val="en-US"/>
        </w:rPr>
        <w:t>cele</w:t>
      </w:r>
      <w:r>
        <w:rPr>
          <w:sz w:val="24"/>
          <w:szCs w:val="24"/>
        </w:rPr>
        <w:t xml:space="preserve"> </w:t>
      </w:r>
      <w:r>
        <w:rPr>
          <w:sz w:val="24"/>
          <w:szCs w:val="24"/>
          <w:lang w:val="en-US"/>
        </w:rPr>
        <w:t>în care se utilizează</w:t>
      </w:r>
      <w:r>
        <w:rPr>
          <w:sz w:val="24"/>
          <w:szCs w:val="24"/>
        </w:rPr>
        <w:t xml:space="preserve"> </w:t>
      </w:r>
      <w:r>
        <w:rPr>
          <w:sz w:val="24"/>
          <w:szCs w:val="24"/>
          <w:lang w:val="en-US"/>
        </w:rPr>
        <w:t>foc</w:t>
      </w:r>
      <w:r>
        <w:rPr>
          <w:sz w:val="24"/>
          <w:szCs w:val="24"/>
        </w:rPr>
        <w:t xml:space="preserve"> </w:t>
      </w:r>
      <w:r>
        <w:rPr>
          <w:sz w:val="24"/>
          <w:szCs w:val="24"/>
          <w:lang w:val="en-US"/>
        </w:rPr>
        <w:t>deschis), căi de evacuare, decorațiuni</w:t>
      </w:r>
      <w:r>
        <w:rPr>
          <w:sz w:val="24"/>
          <w:szCs w:val="24"/>
        </w:rPr>
        <w:t xml:space="preserve"> </w:t>
      </w:r>
      <w:r>
        <w:rPr>
          <w:sz w:val="24"/>
          <w:szCs w:val="24"/>
          <w:lang w:val="en-US"/>
        </w:rPr>
        <w:t>și</w:t>
      </w:r>
      <w:r>
        <w:rPr>
          <w:sz w:val="24"/>
          <w:szCs w:val="24"/>
        </w:rPr>
        <w:t xml:space="preserve"> </w:t>
      </w:r>
      <w:r>
        <w:rPr>
          <w:sz w:val="24"/>
          <w:szCs w:val="24"/>
          <w:lang w:val="en-US"/>
        </w:rPr>
        <w:t>finisaje, echipare, instalații</w:t>
      </w:r>
      <w:r>
        <w:rPr>
          <w:sz w:val="24"/>
          <w:szCs w:val="24"/>
        </w:rPr>
        <w:t xml:space="preserve"> </w:t>
      </w:r>
      <w:r>
        <w:rPr>
          <w:sz w:val="24"/>
          <w:szCs w:val="24"/>
          <w:lang w:val="en-US"/>
        </w:rPr>
        <w:t>utilitare, condiții de exploatare care nu contravin</w:t>
      </w:r>
      <w:r>
        <w:rPr>
          <w:sz w:val="24"/>
          <w:szCs w:val="24"/>
        </w:rPr>
        <w:t xml:space="preserve"> </w:t>
      </w:r>
      <w:r>
        <w:rPr>
          <w:sz w:val="24"/>
          <w:szCs w:val="24"/>
          <w:lang w:val="en-US"/>
        </w:rPr>
        <w:t>celor de mai sus.</w:t>
      </w:r>
    </w:p>
    <w:p w14:paraId="7BE1171D" w14:textId="77777777" w:rsidR="001C08A5" w:rsidRDefault="001C08A5">
      <w:pPr>
        <w:jc w:val="both"/>
        <w:rPr>
          <w:rFonts w:eastAsia="Times New Roman"/>
          <w:sz w:val="24"/>
          <w:szCs w:val="24"/>
        </w:rPr>
      </w:pPr>
    </w:p>
    <w:p w14:paraId="0540BB76" w14:textId="77777777" w:rsidR="001C08A5" w:rsidRDefault="00000000">
      <w:pPr>
        <w:ind w:firstLine="720"/>
        <w:jc w:val="both"/>
        <w:rPr>
          <w:bCs/>
          <w:sz w:val="24"/>
          <w:szCs w:val="24"/>
        </w:rPr>
      </w:pPr>
      <w:r>
        <w:rPr>
          <w:b/>
          <w:sz w:val="24"/>
          <w:szCs w:val="24"/>
        </w:rPr>
        <w:t xml:space="preserve">Art. 3.3.3.5. (1) </w:t>
      </w:r>
      <w:r>
        <w:rPr>
          <w:bCs/>
          <w:sz w:val="24"/>
          <w:szCs w:val="24"/>
        </w:rPr>
        <w:t>La amenajările temporare în structuri gonflabile (</w:t>
      </w:r>
      <w:r>
        <w:rPr>
          <w:rFonts w:eastAsia="Times New Roman"/>
          <w:sz w:val="24"/>
          <w:szCs w:val="24"/>
        </w:rPr>
        <w:t>structuri ale c</w:t>
      </w:r>
      <w:r>
        <w:rPr>
          <w:rFonts w:eastAsia="TimesNewRoman"/>
          <w:sz w:val="24"/>
          <w:szCs w:val="24"/>
        </w:rPr>
        <w:t>ă</w:t>
      </w:r>
      <w:r>
        <w:rPr>
          <w:rFonts w:eastAsia="Times New Roman"/>
          <w:sz w:val="24"/>
          <w:szCs w:val="24"/>
        </w:rPr>
        <w:t>ror pere</w:t>
      </w:r>
      <w:r>
        <w:rPr>
          <w:rFonts w:eastAsia="TimesNewRoman"/>
          <w:sz w:val="24"/>
          <w:szCs w:val="24"/>
        </w:rPr>
        <w:t>ţ</w:t>
      </w:r>
      <w:r>
        <w:rPr>
          <w:rFonts w:eastAsia="Times New Roman"/>
          <w:sz w:val="24"/>
          <w:szCs w:val="24"/>
        </w:rPr>
        <w:t>i sau învelitoare sunt sus</w:t>
      </w:r>
      <w:r>
        <w:rPr>
          <w:rFonts w:eastAsia="TimesNewRoman"/>
          <w:sz w:val="24"/>
          <w:szCs w:val="24"/>
        </w:rPr>
        <w:t>ţ</w:t>
      </w:r>
      <w:r>
        <w:rPr>
          <w:rFonts w:eastAsia="Times New Roman"/>
          <w:sz w:val="24"/>
          <w:szCs w:val="24"/>
        </w:rPr>
        <w:t>inute de aer introdus sub presiune direct sau prin intermediul arm</w:t>
      </w:r>
      <w:r>
        <w:rPr>
          <w:rFonts w:eastAsia="TimesNewRoman"/>
          <w:sz w:val="24"/>
          <w:szCs w:val="24"/>
        </w:rPr>
        <w:t>ă</w:t>
      </w:r>
      <w:r>
        <w:rPr>
          <w:rFonts w:eastAsia="Times New Roman"/>
          <w:sz w:val="24"/>
          <w:szCs w:val="24"/>
        </w:rPr>
        <w:t>turilor gonflabile</w:t>
      </w:r>
      <w:r>
        <w:rPr>
          <w:bCs/>
          <w:sz w:val="24"/>
          <w:szCs w:val="24"/>
        </w:rPr>
        <w:t>) se au în vedere următoarele:</w:t>
      </w:r>
    </w:p>
    <w:p w14:paraId="1F643E2A" w14:textId="77777777" w:rsidR="001C08A5" w:rsidRDefault="00000000">
      <w:pPr>
        <w:ind w:left="720" w:firstLine="720"/>
        <w:jc w:val="both"/>
        <w:rPr>
          <w:rFonts w:eastAsia="Times New Roman"/>
          <w:sz w:val="24"/>
          <w:szCs w:val="24"/>
        </w:rPr>
      </w:pPr>
      <w:r>
        <w:rPr>
          <w:rFonts w:eastAsia="Times New Roman"/>
          <w:sz w:val="24"/>
          <w:szCs w:val="24"/>
        </w:rPr>
        <w:t>- amenaj</w:t>
      </w:r>
      <w:r>
        <w:rPr>
          <w:rFonts w:eastAsia="TimesNewRoman"/>
          <w:sz w:val="24"/>
          <w:szCs w:val="24"/>
        </w:rPr>
        <w:t>ă</w:t>
      </w:r>
      <w:r>
        <w:rPr>
          <w:rFonts w:eastAsia="Times New Roman"/>
          <w:sz w:val="24"/>
          <w:szCs w:val="24"/>
        </w:rPr>
        <w:t xml:space="preserve">rile temporare în structuri gonflabile, pentru mai mult de </w:t>
      </w:r>
      <w:r>
        <w:rPr>
          <w:rFonts w:eastAsia="Times New Roman"/>
          <w:b/>
          <w:bCs/>
          <w:sz w:val="24"/>
          <w:szCs w:val="24"/>
        </w:rPr>
        <w:t>30</w:t>
      </w:r>
      <w:r>
        <w:rPr>
          <w:rFonts w:eastAsia="Times New Roman"/>
          <w:sz w:val="24"/>
          <w:szCs w:val="24"/>
        </w:rPr>
        <w:t xml:space="preserve"> de utilizatori, se realizeaz</w:t>
      </w:r>
      <w:r>
        <w:rPr>
          <w:rFonts w:eastAsia="TimesNewRoman"/>
          <w:sz w:val="24"/>
          <w:szCs w:val="24"/>
        </w:rPr>
        <w:t xml:space="preserve">ă </w:t>
      </w:r>
      <w:r>
        <w:rPr>
          <w:rFonts w:eastAsia="Times New Roman"/>
          <w:sz w:val="24"/>
          <w:szCs w:val="24"/>
        </w:rPr>
        <w:t>numai în aer liber;</w:t>
      </w:r>
    </w:p>
    <w:p w14:paraId="63B18FBF" w14:textId="77777777" w:rsidR="001C08A5" w:rsidRDefault="00000000">
      <w:pPr>
        <w:ind w:left="720" w:firstLine="720"/>
        <w:jc w:val="both"/>
        <w:rPr>
          <w:rFonts w:eastAsia="Times New Roman"/>
          <w:sz w:val="24"/>
          <w:szCs w:val="24"/>
        </w:rPr>
      </w:pPr>
      <w:r>
        <w:rPr>
          <w:rFonts w:eastAsia="Times New Roman"/>
          <w:sz w:val="24"/>
          <w:szCs w:val="24"/>
        </w:rPr>
        <w:t>- în structurile destinate amenaj</w:t>
      </w:r>
      <w:r>
        <w:rPr>
          <w:rFonts w:eastAsia="TimesNewRoman"/>
          <w:sz w:val="24"/>
          <w:szCs w:val="24"/>
        </w:rPr>
        <w:t>ă</w:t>
      </w:r>
      <w:r>
        <w:rPr>
          <w:rFonts w:eastAsia="Times New Roman"/>
          <w:sz w:val="24"/>
          <w:szCs w:val="24"/>
        </w:rPr>
        <w:t>rilor temporare în aer liber nu trebuie s</w:t>
      </w:r>
      <w:r>
        <w:rPr>
          <w:rFonts w:eastAsia="TimesNewRoman"/>
          <w:sz w:val="24"/>
          <w:szCs w:val="24"/>
        </w:rPr>
        <w:t xml:space="preserve">ă </w:t>
      </w:r>
      <w:r>
        <w:rPr>
          <w:rFonts w:eastAsia="Times New Roman"/>
          <w:sz w:val="24"/>
          <w:szCs w:val="24"/>
        </w:rPr>
        <w:t>se realizeze spa</w:t>
      </w:r>
      <w:r>
        <w:rPr>
          <w:rFonts w:eastAsia="TimesNewRoman"/>
          <w:sz w:val="24"/>
          <w:szCs w:val="24"/>
        </w:rPr>
        <w:t>ţ</w:t>
      </w:r>
      <w:r>
        <w:rPr>
          <w:rFonts w:eastAsia="Times New Roman"/>
          <w:sz w:val="24"/>
          <w:szCs w:val="24"/>
        </w:rPr>
        <w:t xml:space="preserve">ii </w:t>
      </w:r>
      <w:r>
        <w:rPr>
          <w:rFonts w:eastAsia="TimesNewRoman"/>
          <w:sz w:val="24"/>
          <w:szCs w:val="24"/>
        </w:rPr>
        <w:t>ş</w:t>
      </w:r>
      <w:r>
        <w:rPr>
          <w:rFonts w:eastAsia="Times New Roman"/>
          <w:sz w:val="24"/>
          <w:szCs w:val="24"/>
        </w:rPr>
        <w:t>i instala</w:t>
      </w:r>
      <w:r>
        <w:rPr>
          <w:rFonts w:eastAsia="TimesNewRoman"/>
          <w:sz w:val="24"/>
          <w:szCs w:val="24"/>
        </w:rPr>
        <w:t>ţ</w:t>
      </w:r>
      <w:r>
        <w:rPr>
          <w:rFonts w:eastAsia="Times New Roman"/>
          <w:sz w:val="24"/>
          <w:szCs w:val="24"/>
        </w:rPr>
        <w:t>ii pentru: scene cu decoruri sau podea din materiale combustibile și/ sau biblioteci;</w:t>
      </w:r>
    </w:p>
    <w:p w14:paraId="2DE47EF6" w14:textId="77777777" w:rsidR="001C08A5" w:rsidRDefault="00000000">
      <w:pPr>
        <w:ind w:left="720" w:firstLine="720"/>
        <w:jc w:val="both"/>
        <w:rPr>
          <w:rFonts w:eastAsia="Times New Roman"/>
          <w:sz w:val="24"/>
          <w:szCs w:val="24"/>
        </w:rPr>
      </w:pPr>
      <w:r>
        <w:rPr>
          <w:rFonts w:eastAsia="Times New Roman"/>
          <w:sz w:val="24"/>
          <w:szCs w:val="24"/>
        </w:rPr>
        <w:t>- structurile trebuie amplasate pe suprafe</w:t>
      </w:r>
      <w:r>
        <w:rPr>
          <w:rFonts w:eastAsia="TimesNewRoman"/>
          <w:sz w:val="24"/>
          <w:szCs w:val="24"/>
        </w:rPr>
        <w:t>ţ</w:t>
      </w:r>
      <w:r>
        <w:rPr>
          <w:rFonts w:eastAsia="Times New Roman"/>
          <w:sz w:val="24"/>
          <w:szCs w:val="24"/>
        </w:rPr>
        <w:t>e care nu prezint</w:t>
      </w:r>
      <w:r>
        <w:rPr>
          <w:rFonts w:eastAsia="TimesNewRoman"/>
          <w:sz w:val="24"/>
          <w:szCs w:val="24"/>
        </w:rPr>
        <w:t xml:space="preserve">ă </w:t>
      </w:r>
      <w:r>
        <w:rPr>
          <w:rFonts w:eastAsia="Times New Roman"/>
          <w:sz w:val="24"/>
          <w:szCs w:val="24"/>
        </w:rPr>
        <w:t>risc de incendiu;</w:t>
      </w:r>
    </w:p>
    <w:p w14:paraId="31E75E69" w14:textId="77777777" w:rsidR="001C08A5" w:rsidRDefault="00000000">
      <w:pPr>
        <w:ind w:left="720" w:firstLine="720"/>
        <w:jc w:val="both"/>
        <w:rPr>
          <w:rFonts w:eastAsia="Times New Roman"/>
          <w:sz w:val="24"/>
          <w:szCs w:val="24"/>
        </w:rPr>
      </w:pPr>
      <w:r>
        <w:rPr>
          <w:rFonts w:eastAsia="Times New Roman"/>
          <w:sz w:val="24"/>
          <w:szCs w:val="24"/>
        </w:rPr>
        <w:t>- în cazul în care structurile din cadrul amenaj</w:t>
      </w:r>
      <w:r>
        <w:rPr>
          <w:rFonts w:eastAsia="TimesNewRoman"/>
          <w:sz w:val="24"/>
          <w:szCs w:val="24"/>
        </w:rPr>
        <w:t>ă</w:t>
      </w:r>
      <w:r>
        <w:rPr>
          <w:rFonts w:eastAsia="Times New Roman"/>
          <w:sz w:val="24"/>
          <w:szCs w:val="24"/>
        </w:rPr>
        <w:t>rilor temporare ad</w:t>
      </w:r>
      <w:r>
        <w:rPr>
          <w:rFonts w:eastAsia="TimesNewRoman"/>
          <w:sz w:val="24"/>
          <w:szCs w:val="24"/>
        </w:rPr>
        <w:t>ă</w:t>
      </w:r>
      <w:r>
        <w:rPr>
          <w:rFonts w:eastAsia="Times New Roman"/>
          <w:sz w:val="24"/>
          <w:szCs w:val="24"/>
        </w:rPr>
        <w:t xml:space="preserve">postesc peste </w:t>
      </w:r>
      <w:r>
        <w:rPr>
          <w:rFonts w:eastAsia="Times New Roman"/>
          <w:b/>
          <w:bCs/>
          <w:sz w:val="24"/>
          <w:szCs w:val="24"/>
        </w:rPr>
        <w:t>300</w:t>
      </w:r>
      <w:r>
        <w:rPr>
          <w:rFonts w:eastAsia="Times New Roman"/>
          <w:sz w:val="24"/>
          <w:szCs w:val="24"/>
        </w:rPr>
        <w:t xml:space="preserve"> de persoane, ele trebuie s</w:t>
      </w:r>
      <w:r>
        <w:rPr>
          <w:rFonts w:eastAsia="TimesNewRoman"/>
          <w:sz w:val="24"/>
          <w:szCs w:val="24"/>
        </w:rPr>
        <w:t xml:space="preserve">ă </w:t>
      </w:r>
      <w:r>
        <w:rPr>
          <w:rFonts w:eastAsia="Times New Roman"/>
          <w:sz w:val="24"/>
          <w:szCs w:val="24"/>
        </w:rPr>
        <w:t>se g</w:t>
      </w:r>
      <w:r>
        <w:rPr>
          <w:rFonts w:eastAsia="TimesNewRoman"/>
          <w:sz w:val="24"/>
          <w:szCs w:val="24"/>
        </w:rPr>
        <w:t>ă</w:t>
      </w:r>
      <w:r>
        <w:rPr>
          <w:rFonts w:eastAsia="Times New Roman"/>
          <w:sz w:val="24"/>
          <w:szCs w:val="24"/>
        </w:rPr>
        <w:t>seasc</w:t>
      </w:r>
      <w:r>
        <w:rPr>
          <w:rFonts w:eastAsia="TimesNewRoman"/>
          <w:sz w:val="24"/>
          <w:szCs w:val="24"/>
        </w:rPr>
        <w:t xml:space="preserve">ă </w:t>
      </w:r>
      <w:r>
        <w:rPr>
          <w:rFonts w:eastAsia="Times New Roman"/>
          <w:sz w:val="24"/>
          <w:szCs w:val="24"/>
        </w:rPr>
        <w:t>în apropierea unei surse de ap</w:t>
      </w:r>
      <w:r>
        <w:rPr>
          <w:rFonts w:eastAsia="TimesNewRoman"/>
          <w:sz w:val="24"/>
          <w:szCs w:val="24"/>
        </w:rPr>
        <w:t xml:space="preserve">ă </w:t>
      </w:r>
      <w:r>
        <w:rPr>
          <w:rFonts w:eastAsia="Times New Roman"/>
          <w:sz w:val="24"/>
          <w:szCs w:val="24"/>
        </w:rPr>
        <w:t>care s</w:t>
      </w:r>
      <w:r>
        <w:rPr>
          <w:rFonts w:eastAsia="TimesNewRoman"/>
          <w:sz w:val="24"/>
          <w:szCs w:val="24"/>
        </w:rPr>
        <w:t xml:space="preserve">ă </w:t>
      </w:r>
      <w:r>
        <w:rPr>
          <w:rFonts w:eastAsia="Times New Roman"/>
          <w:sz w:val="24"/>
          <w:szCs w:val="24"/>
        </w:rPr>
        <w:t>asigure un debit de cel pu</w:t>
      </w:r>
      <w:r>
        <w:rPr>
          <w:rFonts w:eastAsia="TimesNewRoman"/>
          <w:sz w:val="24"/>
          <w:szCs w:val="24"/>
        </w:rPr>
        <w:t>ţ</w:t>
      </w:r>
      <w:r>
        <w:rPr>
          <w:rFonts w:eastAsia="Times New Roman"/>
          <w:sz w:val="24"/>
          <w:szCs w:val="24"/>
        </w:rPr>
        <w:t xml:space="preserve">in </w:t>
      </w:r>
      <w:r>
        <w:rPr>
          <w:rFonts w:eastAsia="Times New Roman"/>
          <w:b/>
          <w:bCs/>
          <w:sz w:val="24"/>
          <w:szCs w:val="24"/>
        </w:rPr>
        <w:t>18</w:t>
      </w:r>
      <w:r>
        <w:rPr>
          <w:rFonts w:eastAsia="Times New Roman"/>
          <w:sz w:val="24"/>
          <w:szCs w:val="24"/>
        </w:rPr>
        <w:t xml:space="preserve"> mc/or</w:t>
      </w:r>
      <w:r>
        <w:rPr>
          <w:rFonts w:eastAsia="TimesNewRoman"/>
          <w:sz w:val="24"/>
          <w:szCs w:val="24"/>
        </w:rPr>
        <w:t>ă ş</w:t>
      </w:r>
      <w:r>
        <w:rPr>
          <w:rFonts w:eastAsia="Times New Roman"/>
          <w:sz w:val="24"/>
          <w:szCs w:val="24"/>
        </w:rPr>
        <w:t>i la o distan</w:t>
      </w:r>
      <w:r>
        <w:rPr>
          <w:rFonts w:eastAsia="TimesNewRoman"/>
          <w:sz w:val="24"/>
          <w:szCs w:val="24"/>
        </w:rPr>
        <w:t xml:space="preserve">ţă </w:t>
      </w:r>
      <w:r>
        <w:rPr>
          <w:rFonts w:eastAsia="Times New Roman"/>
          <w:sz w:val="24"/>
          <w:szCs w:val="24"/>
        </w:rPr>
        <w:t xml:space="preserve">de cel mult </w:t>
      </w:r>
      <w:r>
        <w:rPr>
          <w:rFonts w:eastAsia="Times New Roman"/>
          <w:b/>
          <w:bCs/>
          <w:sz w:val="24"/>
          <w:szCs w:val="24"/>
        </w:rPr>
        <w:t>200</w:t>
      </w:r>
      <w:r>
        <w:rPr>
          <w:rFonts w:eastAsia="Times New Roman"/>
          <w:sz w:val="24"/>
          <w:szCs w:val="24"/>
        </w:rPr>
        <w:t xml:space="preserve"> metri; debitul de ap</w:t>
      </w:r>
      <w:r>
        <w:rPr>
          <w:rFonts w:eastAsia="TimesNewRoman"/>
          <w:sz w:val="24"/>
          <w:szCs w:val="24"/>
        </w:rPr>
        <w:t xml:space="preserve">ă </w:t>
      </w:r>
      <w:r>
        <w:rPr>
          <w:rFonts w:eastAsia="Times New Roman"/>
          <w:sz w:val="24"/>
          <w:szCs w:val="24"/>
        </w:rPr>
        <w:t>trebuie asigurat cel pu</w:t>
      </w:r>
      <w:r>
        <w:rPr>
          <w:rFonts w:eastAsia="TimesNewRoman"/>
          <w:sz w:val="24"/>
          <w:szCs w:val="24"/>
        </w:rPr>
        <w:t>ţ</w:t>
      </w:r>
      <w:r>
        <w:rPr>
          <w:rFonts w:eastAsia="Times New Roman"/>
          <w:sz w:val="24"/>
          <w:szCs w:val="24"/>
        </w:rPr>
        <w:t>in o or</w:t>
      </w:r>
      <w:r>
        <w:rPr>
          <w:rFonts w:eastAsia="TimesNewRoman"/>
          <w:sz w:val="24"/>
          <w:szCs w:val="24"/>
        </w:rPr>
        <w:t>ă; î</w:t>
      </w:r>
      <w:r>
        <w:rPr>
          <w:rFonts w:eastAsia="Times New Roman"/>
          <w:sz w:val="24"/>
          <w:szCs w:val="24"/>
        </w:rPr>
        <w:t>n situa</w:t>
      </w:r>
      <w:r>
        <w:rPr>
          <w:rFonts w:eastAsia="TimesNewRoman"/>
          <w:sz w:val="24"/>
          <w:szCs w:val="24"/>
        </w:rPr>
        <w:t>ţ</w:t>
      </w:r>
      <w:r>
        <w:rPr>
          <w:rFonts w:eastAsia="Times New Roman"/>
          <w:sz w:val="24"/>
          <w:szCs w:val="24"/>
        </w:rPr>
        <w:t>ia în care condi</w:t>
      </w:r>
      <w:r>
        <w:rPr>
          <w:rFonts w:eastAsia="TimesNewRoman"/>
          <w:sz w:val="24"/>
          <w:szCs w:val="24"/>
        </w:rPr>
        <w:t>ţ</w:t>
      </w:r>
      <w:r>
        <w:rPr>
          <w:rFonts w:eastAsia="Times New Roman"/>
          <w:sz w:val="24"/>
          <w:szCs w:val="24"/>
        </w:rPr>
        <w:t>iile anterioare nu pot fi îndeplinite, organizatorul are obliga</w:t>
      </w:r>
      <w:r>
        <w:rPr>
          <w:rFonts w:eastAsia="TimesNewRoman"/>
          <w:sz w:val="24"/>
          <w:szCs w:val="24"/>
        </w:rPr>
        <w:t>ţ</w:t>
      </w:r>
      <w:r>
        <w:rPr>
          <w:rFonts w:eastAsia="Times New Roman"/>
          <w:sz w:val="24"/>
          <w:szCs w:val="24"/>
        </w:rPr>
        <w:t>ia de a-</w:t>
      </w:r>
      <w:r>
        <w:rPr>
          <w:rFonts w:eastAsia="TimesNewRoman"/>
          <w:sz w:val="24"/>
          <w:szCs w:val="24"/>
        </w:rPr>
        <w:t>ş</w:t>
      </w:r>
      <w:r>
        <w:rPr>
          <w:rFonts w:eastAsia="Times New Roman"/>
          <w:sz w:val="24"/>
          <w:szCs w:val="24"/>
        </w:rPr>
        <w:t>i asigura o capacitate echivalent</w:t>
      </w:r>
      <w:r>
        <w:rPr>
          <w:rFonts w:eastAsia="TimesNewRoman"/>
          <w:sz w:val="24"/>
          <w:szCs w:val="24"/>
        </w:rPr>
        <w:t>ă</w:t>
      </w:r>
      <w:r>
        <w:rPr>
          <w:rFonts w:eastAsia="Times New Roman"/>
          <w:sz w:val="24"/>
          <w:szCs w:val="24"/>
        </w:rPr>
        <w:t>, cu ajutorul unor mijloace de interven</w:t>
      </w:r>
      <w:r>
        <w:rPr>
          <w:rFonts w:eastAsia="TimesNewRoman"/>
          <w:sz w:val="24"/>
          <w:szCs w:val="24"/>
        </w:rPr>
        <w:t>ţ</w:t>
      </w:r>
      <w:r>
        <w:rPr>
          <w:rFonts w:eastAsia="Times New Roman"/>
          <w:sz w:val="24"/>
          <w:szCs w:val="24"/>
        </w:rPr>
        <w:t>ie adecvate;</w:t>
      </w:r>
    </w:p>
    <w:p w14:paraId="141DC115" w14:textId="77777777" w:rsidR="001C08A5" w:rsidRDefault="00000000">
      <w:pPr>
        <w:ind w:left="720" w:firstLine="720"/>
        <w:jc w:val="both"/>
        <w:rPr>
          <w:rFonts w:eastAsia="Times New Roman"/>
          <w:sz w:val="24"/>
          <w:szCs w:val="24"/>
        </w:rPr>
      </w:pPr>
      <w:r>
        <w:rPr>
          <w:rFonts w:eastAsia="Times New Roman"/>
          <w:sz w:val="24"/>
          <w:szCs w:val="24"/>
        </w:rPr>
        <w:t>- în jurul structurilor din cadrul amenaj</w:t>
      </w:r>
      <w:r>
        <w:rPr>
          <w:rFonts w:eastAsia="TimesNewRoman"/>
          <w:sz w:val="24"/>
          <w:szCs w:val="24"/>
        </w:rPr>
        <w:t>ă</w:t>
      </w:r>
      <w:r>
        <w:rPr>
          <w:rFonts w:eastAsia="Times New Roman"/>
          <w:sz w:val="24"/>
          <w:szCs w:val="24"/>
        </w:rPr>
        <w:t>rilor temporare se asigur</w:t>
      </w:r>
      <w:r>
        <w:rPr>
          <w:rFonts w:eastAsia="TimesNewRoman"/>
          <w:sz w:val="24"/>
          <w:szCs w:val="24"/>
        </w:rPr>
        <w:t xml:space="preserve">ă </w:t>
      </w:r>
      <w:r>
        <w:rPr>
          <w:rFonts w:eastAsia="Times New Roman"/>
          <w:sz w:val="24"/>
          <w:szCs w:val="24"/>
        </w:rPr>
        <w:t>un perimetru de siguran</w:t>
      </w:r>
      <w:r>
        <w:rPr>
          <w:rFonts w:eastAsia="TimesNewRoman"/>
          <w:sz w:val="24"/>
          <w:szCs w:val="24"/>
        </w:rPr>
        <w:t xml:space="preserve">ţă </w:t>
      </w:r>
      <w:r>
        <w:rPr>
          <w:rFonts w:eastAsia="Times New Roman"/>
          <w:sz w:val="24"/>
          <w:szCs w:val="24"/>
        </w:rPr>
        <w:t>cu o l</w:t>
      </w:r>
      <w:r>
        <w:rPr>
          <w:rFonts w:eastAsia="TimesNewRoman"/>
          <w:sz w:val="24"/>
          <w:szCs w:val="24"/>
        </w:rPr>
        <w:t>ăţ</w:t>
      </w:r>
      <w:r>
        <w:rPr>
          <w:rFonts w:eastAsia="Times New Roman"/>
          <w:sz w:val="24"/>
          <w:szCs w:val="24"/>
        </w:rPr>
        <w:t>ime de minimum 1 metru, marcat cu cordi</w:t>
      </w:r>
      <w:r>
        <w:rPr>
          <w:rFonts w:eastAsia="TimesNewRoman"/>
          <w:sz w:val="24"/>
          <w:szCs w:val="24"/>
        </w:rPr>
        <w:t>ţ</w:t>
      </w:r>
      <w:r>
        <w:rPr>
          <w:rFonts w:eastAsia="Times New Roman"/>
          <w:sz w:val="24"/>
          <w:szCs w:val="24"/>
        </w:rPr>
        <w:t>e, benzi, bariere; zona se semnalizeaz</w:t>
      </w:r>
      <w:r>
        <w:rPr>
          <w:rFonts w:eastAsia="TimesNewRoman"/>
          <w:sz w:val="24"/>
          <w:szCs w:val="24"/>
        </w:rPr>
        <w:t>ă ş</w:t>
      </w:r>
      <w:r>
        <w:rPr>
          <w:rFonts w:eastAsia="Times New Roman"/>
          <w:sz w:val="24"/>
          <w:szCs w:val="24"/>
        </w:rPr>
        <w:t>i marcheaz</w:t>
      </w:r>
      <w:r>
        <w:rPr>
          <w:rFonts w:eastAsia="TimesNewRoman"/>
          <w:sz w:val="24"/>
          <w:szCs w:val="24"/>
        </w:rPr>
        <w:t xml:space="preserve">ă </w:t>
      </w:r>
      <w:r>
        <w:rPr>
          <w:rFonts w:eastAsia="Times New Roman"/>
          <w:sz w:val="24"/>
          <w:szCs w:val="24"/>
        </w:rPr>
        <w:t>corespunz</w:t>
      </w:r>
      <w:r>
        <w:rPr>
          <w:rFonts w:eastAsia="TimesNewRoman"/>
          <w:sz w:val="24"/>
          <w:szCs w:val="24"/>
        </w:rPr>
        <w:t>ă</w:t>
      </w:r>
      <w:r>
        <w:rPr>
          <w:rFonts w:eastAsia="Times New Roman"/>
          <w:sz w:val="24"/>
          <w:szCs w:val="24"/>
        </w:rPr>
        <w:t xml:space="preserve">tor; accesul se interzice </w:t>
      </w:r>
      <w:r>
        <w:rPr>
          <w:rFonts w:eastAsia="TimesNewRoman"/>
          <w:sz w:val="24"/>
          <w:szCs w:val="24"/>
        </w:rPr>
        <w:t>ş</w:t>
      </w:r>
      <w:r>
        <w:rPr>
          <w:rFonts w:eastAsia="Times New Roman"/>
          <w:sz w:val="24"/>
          <w:szCs w:val="24"/>
        </w:rPr>
        <w:t xml:space="preserve">i în zonele de ancorare a structurilor </w:t>
      </w:r>
      <w:r>
        <w:rPr>
          <w:rFonts w:eastAsia="TimesNewRoman"/>
          <w:sz w:val="24"/>
          <w:szCs w:val="24"/>
        </w:rPr>
        <w:t>ş</w:t>
      </w:r>
      <w:r>
        <w:rPr>
          <w:rFonts w:eastAsia="Times New Roman"/>
          <w:sz w:val="24"/>
          <w:szCs w:val="24"/>
        </w:rPr>
        <w:t>i în zona ventilatoarelor;</w:t>
      </w:r>
    </w:p>
    <w:p w14:paraId="5484FB6C" w14:textId="77777777" w:rsidR="001C08A5" w:rsidRDefault="00000000">
      <w:pPr>
        <w:ind w:left="720" w:firstLine="720"/>
        <w:jc w:val="both"/>
        <w:rPr>
          <w:rFonts w:eastAsia="Times New Roman"/>
          <w:sz w:val="24"/>
          <w:szCs w:val="24"/>
        </w:rPr>
      </w:pPr>
      <w:r>
        <w:rPr>
          <w:rFonts w:eastAsia="Times New Roman"/>
          <w:sz w:val="24"/>
          <w:szCs w:val="24"/>
        </w:rPr>
        <w:t>- se evit</w:t>
      </w:r>
      <w:r>
        <w:rPr>
          <w:rFonts w:eastAsia="TimesNewRoman"/>
          <w:sz w:val="24"/>
          <w:szCs w:val="24"/>
        </w:rPr>
        <w:t xml:space="preserve">ă </w:t>
      </w:r>
      <w:r>
        <w:rPr>
          <w:rFonts w:eastAsia="Times New Roman"/>
          <w:sz w:val="24"/>
          <w:szCs w:val="24"/>
        </w:rPr>
        <w:t>pe cât posibil amplasarea în pant</w:t>
      </w:r>
      <w:r>
        <w:rPr>
          <w:rFonts w:eastAsia="TimesNewRoman"/>
          <w:sz w:val="24"/>
          <w:szCs w:val="24"/>
        </w:rPr>
        <w:t xml:space="preserve">ă </w:t>
      </w:r>
      <w:r>
        <w:rPr>
          <w:rFonts w:eastAsia="Times New Roman"/>
          <w:sz w:val="24"/>
          <w:szCs w:val="24"/>
        </w:rPr>
        <w:t>a structurilor din cadrul amenaj</w:t>
      </w:r>
      <w:r>
        <w:rPr>
          <w:rFonts w:eastAsia="TimesNewRoman"/>
          <w:sz w:val="24"/>
          <w:szCs w:val="24"/>
        </w:rPr>
        <w:t>ă</w:t>
      </w:r>
      <w:r>
        <w:rPr>
          <w:rFonts w:eastAsia="Times New Roman"/>
          <w:sz w:val="24"/>
          <w:szCs w:val="24"/>
        </w:rPr>
        <w:t>rilor temporare.</w:t>
      </w:r>
    </w:p>
    <w:p w14:paraId="0CAE524D" w14:textId="77777777" w:rsidR="001C08A5" w:rsidRDefault="00000000">
      <w:pPr>
        <w:ind w:left="720" w:firstLine="720"/>
        <w:jc w:val="both"/>
        <w:rPr>
          <w:rFonts w:eastAsia="Times New Roman"/>
          <w:sz w:val="24"/>
          <w:szCs w:val="24"/>
        </w:rPr>
      </w:pPr>
      <w:r>
        <w:rPr>
          <w:rFonts w:eastAsia="Times New Roman"/>
          <w:sz w:val="24"/>
          <w:szCs w:val="24"/>
        </w:rPr>
        <w:t>- distan</w:t>
      </w:r>
      <w:r>
        <w:rPr>
          <w:rFonts w:eastAsia="TimesNewRoman"/>
          <w:sz w:val="24"/>
          <w:szCs w:val="24"/>
        </w:rPr>
        <w:t>ţ</w:t>
      </w:r>
      <w:r>
        <w:rPr>
          <w:rFonts w:eastAsia="Times New Roman"/>
          <w:sz w:val="24"/>
          <w:szCs w:val="24"/>
        </w:rPr>
        <w:t>a dintre structurile din cadrul aceleia</w:t>
      </w:r>
      <w:r>
        <w:rPr>
          <w:rFonts w:eastAsia="TimesNewRoman"/>
          <w:sz w:val="24"/>
          <w:szCs w:val="24"/>
        </w:rPr>
        <w:t>ş</w:t>
      </w:r>
      <w:r>
        <w:rPr>
          <w:rFonts w:eastAsia="Times New Roman"/>
          <w:sz w:val="24"/>
          <w:szCs w:val="24"/>
        </w:rPr>
        <w:t>i amenaj</w:t>
      </w:r>
      <w:r>
        <w:rPr>
          <w:rFonts w:eastAsia="TimesNewRoman"/>
          <w:sz w:val="24"/>
          <w:szCs w:val="24"/>
        </w:rPr>
        <w:t>ă</w:t>
      </w:r>
      <w:r>
        <w:rPr>
          <w:rFonts w:eastAsia="Times New Roman"/>
          <w:sz w:val="24"/>
          <w:szCs w:val="24"/>
        </w:rPr>
        <w:t>ri trebuie s</w:t>
      </w:r>
      <w:r>
        <w:rPr>
          <w:rFonts w:eastAsia="TimesNewRoman"/>
          <w:sz w:val="24"/>
          <w:szCs w:val="24"/>
        </w:rPr>
        <w:t xml:space="preserve">ă </w:t>
      </w:r>
      <w:r>
        <w:rPr>
          <w:rFonts w:eastAsia="Times New Roman"/>
          <w:sz w:val="24"/>
          <w:szCs w:val="24"/>
        </w:rPr>
        <w:t>fie de cel pu</w:t>
      </w:r>
      <w:r>
        <w:rPr>
          <w:rFonts w:eastAsia="TimesNewRoman"/>
          <w:sz w:val="24"/>
          <w:szCs w:val="24"/>
        </w:rPr>
        <w:t>ţ</w:t>
      </w:r>
      <w:r>
        <w:rPr>
          <w:rFonts w:eastAsia="Times New Roman"/>
          <w:sz w:val="24"/>
          <w:szCs w:val="24"/>
        </w:rPr>
        <w:t xml:space="preserve">in: </w:t>
      </w:r>
      <w:r>
        <w:rPr>
          <w:rFonts w:eastAsia="Times New Roman"/>
          <w:b/>
          <w:bCs/>
          <w:sz w:val="24"/>
          <w:szCs w:val="24"/>
        </w:rPr>
        <w:t xml:space="preserve">4 </w:t>
      </w:r>
      <w:r>
        <w:rPr>
          <w:rFonts w:eastAsia="Times New Roman"/>
          <w:sz w:val="24"/>
          <w:szCs w:val="24"/>
        </w:rPr>
        <w:t>metri, dac</w:t>
      </w:r>
      <w:r>
        <w:rPr>
          <w:rFonts w:eastAsia="TimesNewRoman"/>
          <w:sz w:val="24"/>
          <w:szCs w:val="24"/>
        </w:rPr>
        <w:t xml:space="preserve">ă </w:t>
      </w:r>
      <w:r>
        <w:rPr>
          <w:rFonts w:eastAsia="Times New Roman"/>
          <w:sz w:val="24"/>
          <w:szCs w:val="24"/>
        </w:rPr>
        <w:t>cele dou</w:t>
      </w:r>
      <w:r>
        <w:rPr>
          <w:rFonts w:eastAsia="TimesNewRoman"/>
          <w:sz w:val="24"/>
          <w:szCs w:val="24"/>
        </w:rPr>
        <w:t xml:space="preserve">ă </w:t>
      </w:r>
      <w:r>
        <w:rPr>
          <w:rFonts w:eastAsia="Times New Roman"/>
          <w:sz w:val="24"/>
          <w:szCs w:val="24"/>
        </w:rPr>
        <w:t>structuri prezint</w:t>
      </w:r>
      <w:r>
        <w:rPr>
          <w:rFonts w:eastAsia="TimesNewRoman"/>
          <w:sz w:val="24"/>
          <w:szCs w:val="24"/>
        </w:rPr>
        <w:t xml:space="preserve">ă </w:t>
      </w:r>
      <w:r>
        <w:rPr>
          <w:rFonts w:eastAsia="Times New Roman"/>
          <w:sz w:val="24"/>
          <w:szCs w:val="24"/>
        </w:rPr>
        <w:t>acela</w:t>
      </w:r>
      <w:r>
        <w:rPr>
          <w:rFonts w:eastAsia="TimesNewRoman"/>
          <w:sz w:val="24"/>
          <w:szCs w:val="24"/>
        </w:rPr>
        <w:t>ş</w:t>
      </w:r>
      <w:r>
        <w:rPr>
          <w:rFonts w:eastAsia="Times New Roman"/>
          <w:sz w:val="24"/>
          <w:szCs w:val="24"/>
        </w:rPr>
        <w:t xml:space="preserve">i tip de risc de incendiu sau </w:t>
      </w:r>
      <w:r>
        <w:rPr>
          <w:rFonts w:eastAsia="Times New Roman"/>
          <w:b/>
          <w:bCs/>
          <w:sz w:val="24"/>
          <w:szCs w:val="24"/>
        </w:rPr>
        <w:t>8</w:t>
      </w:r>
      <w:r>
        <w:rPr>
          <w:rFonts w:eastAsia="Times New Roman"/>
          <w:sz w:val="24"/>
          <w:szCs w:val="24"/>
        </w:rPr>
        <w:t xml:space="preserve"> metri, dac</w:t>
      </w:r>
      <w:r>
        <w:rPr>
          <w:rFonts w:eastAsia="TimesNewRoman"/>
          <w:sz w:val="24"/>
          <w:szCs w:val="24"/>
        </w:rPr>
        <w:t xml:space="preserve">ă </w:t>
      </w:r>
      <w:r>
        <w:rPr>
          <w:rFonts w:eastAsia="Times New Roman"/>
          <w:sz w:val="24"/>
          <w:szCs w:val="24"/>
        </w:rPr>
        <w:t>cele dou</w:t>
      </w:r>
      <w:r>
        <w:rPr>
          <w:rFonts w:eastAsia="TimesNewRoman"/>
          <w:sz w:val="24"/>
          <w:szCs w:val="24"/>
        </w:rPr>
        <w:t xml:space="preserve">ă </w:t>
      </w:r>
      <w:r>
        <w:rPr>
          <w:rFonts w:eastAsia="Times New Roman"/>
          <w:sz w:val="24"/>
          <w:szCs w:val="24"/>
        </w:rPr>
        <w:t>structuri prezint</w:t>
      </w:r>
      <w:r>
        <w:rPr>
          <w:rFonts w:eastAsia="TimesNewRoman"/>
          <w:sz w:val="24"/>
          <w:szCs w:val="24"/>
        </w:rPr>
        <w:t xml:space="preserve">ă </w:t>
      </w:r>
      <w:r>
        <w:rPr>
          <w:rFonts w:eastAsia="Times New Roman"/>
          <w:sz w:val="24"/>
          <w:szCs w:val="24"/>
        </w:rPr>
        <w:t>riscuri diferite de incendiu (distan</w:t>
      </w:r>
      <w:r>
        <w:rPr>
          <w:rFonts w:eastAsia="TimesNewRoman"/>
          <w:sz w:val="24"/>
          <w:szCs w:val="24"/>
        </w:rPr>
        <w:t>ţ</w:t>
      </w:r>
      <w:r>
        <w:rPr>
          <w:rFonts w:eastAsia="Times New Roman"/>
          <w:sz w:val="24"/>
          <w:szCs w:val="24"/>
        </w:rPr>
        <w:t>ele se m</w:t>
      </w:r>
      <w:r>
        <w:rPr>
          <w:rFonts w:eastAsia="TimesNewRoman"/>
          <w:sz w:val="24"/>
          <w:szCs w:val="24"/>
        </w:rPr>
        <w:t>ă</w:t>
      </w:r>
      <w:r>
        <w:rPr>
          <w:rFonts w:eastAsia="Times New Roman"/>
          <w:sz w:val="24"/>
          <w:szCs w:val="24"/>
        </w:rPr>
        <w:t>soar</w:t>
      </w:r>
      <w:r>
        <w:rPr>
          <w:rFonts w:eastAsia="TimesNewRoman"/>
          <w:sz w:val="24"/>
          <w:szCs w:val="24"/>
        </w:rPr>
        <w:t xml:space="preserve">ă </w:t>
      </w:r>
      <w:r>
        <w:rPr>
          <w:rFonts w:eastAsia="Times New Roman"/>
          <w:sz w:val="24"/>
          <w:szCs w:val="24"/>
        </w:rPr>
        <w:t>pe orizontal</w:t>
      </w:r>
      <w:r>
        <w:rPr>
          <w:rFonts w:eastAsia="TimesNewRoman"/>
          <w:sz w:val="24"/>
          <w:szCs w:val="24"/>
        </w:rPr>
        <w:t xml:space="preserve">ă </w:t>
      </w:r>
      <w:r>
        <w:rPr>
          <w:rFonts w:eastAsia="Times New Roman"/>
          <w:sz w:val="24"/>
          <w:szCs w:val="24"/>
        </w:rPr>
        <w:t>de la piciorul structurilor); pentru fiecare structur</w:t>
      </w:r>
      <w:r>
        <w:rPr>
          <w:rFonts w:eastAsia="TimesNewRoman"/>
          <w:sz w:val="24"/>
          <w:szCs w:val="24"/>
        </w:rPr>
        <w:t xml:space="preserve">ă </w:t>
      </w:r>
      <w:r>
        <w:rPr>
          <w:rFonts w:eastAsia="Times New Roman"/>
          <w:sz w:val="24"/>
          <w:szCs w:val="24"/>
        </w:rPr>
        <w:t>se asigur</w:t>
      </w:r>
      <w:r>
        <w:rPr>
          <w:rFonts w:eastAsia="TimesNewRoman"/>
          <w:sz w:val="24"/>
          <w:szCs w:val="24"/>
        </w:rPr>
        <w:t xml:space="preserve">ă </w:t>
      </w:r>
      <w:r>
        <w:rPr>
          <w:rFonts w:eastAsia="Times New Roman"/>
          <w:sz w:val="24"/>
          <w:szCs w:val="24"/>
        </w:rPr>
        <w:t>dou</w:t>
      </w:r>
      <w:r>
        <w:rPr>
          <w:rFonts w:eastAsia="TimesNewRoman"/>
          <w:sz w:val="24"/>
          <w:szCs w:val="24"/>
        </w:rPr>
        <w:t xml:space="preserve">ă </w:t>
      </w:r>
      <w:r>
        <w:rPr>
          <w:rFonts w:eastAsia="Times New Roman"/>
          <w:sz w:val="24"/>
          <w:szCs w:val="24"/>
        </w:rPr>
        <w:t>c</w:t>
      </w:r>
      <w:r>
        <w:rPr>
          <w:rFonts w:eastAsia="TimesNewRoman"/>
          <w:sz w:val="24"/>
          <w:szCs w:val="24"/>
        </w:rPr>
        <w:t>ă</w:t>
      </w:r>
      <w:r>
        <w:rPr>
          <w:rFonts w:eastAsia="Times New Roman"/>
          <w:sz w:val="24"/>
          <w:szCs w:val="24"/>
        </w:rPr>
        <w:t>i de acces, de preferat pe laturi opuse; sta</w:t>
      </w:r>
      <w:r>
        <w:rPr>
          <w:rFonts w:eastAsia="TimesNewRoman"/>
          <w:sz w:val="24"/>
          <w:szCs w:val="24"/>
        </w:rPr>
        <w:t>ţ</w:t>
      </w:r>
      <w:r>
        <w:rPr>
          <w:rFonts w:eastAsia="Times New Roman"/>
          <w:sz w:val="24"/>
          <w:szCs w:val="24"/>
        </w:rPr>
        <w:t>ionarea vehiculelor pe aceste c</w:t>
      </w:r>
      <w:r>
        <w:rPr>
          <w:rFonts w:eastAsia="TimesNewRoman"/>
          <w:sz w:val="24"/>
          <w:szCs w:val="24"/>
        </w:rPr>
        <w:t>ă</w:t>
      </w:r>
      <w:r>
        <w:rPr>
          <w:rFonts w:eastAsia="Times New Roman"/>
          <w:sz w:val="24"/>
          <w:szCs w:val="24"/>
        </w:rPr>
        <w:t>i este interzis</w:t>
      </w:r>
      <w:r>
        <w:rPr>
          <w:rFonts w:eastAsia="TimesNewRoman"/>
          <w:sz w:val="24"/>
          <w:szCs w:val="24"/>
        </w:rPr>
        <w:t>ă</w:t>
      </w:r>
      <w:r>
        <w:rPr>
          <w:rFonts w:eastAsia="Times New Roman"/>
          <w:sz w:val="24"/>
          <w:szCs w:val="24"/>
        </w:rPr>
        <w:t>;</w:t>
      </w:r>
    </w:p>
    <w:p w14:paraId="16981550" w14:textId="77777777" w:rsidR="001C08A5" w:rsidRDefault="00000000">
      <w:pPr>
        <w:ind w:left="720" w:firstLine="720"/>
        <w:jc w:val="both"/>
        <w:rPr>
          <w:rFonts w:eastAsia="Times New Roman"/>
          <w:sz w:val="24"/>
          <w:szCs w:val="24"/>
        </w:rPr>
      </w:pPr>
      <w:r>
        <w:rPr>
          <w:rFonts w:eastAsia="Times New Roman"/>
          <w:sz w:val="24"/>
          <w:szCs w:val="24"/>
        </w:rPr>
        <w:t>-urm</w:t>
      </w:r>
      <w:r>
        <w:rPr>
          <w:rFonts w:eastAsia="TimesNewRoman"/>
          <w:sz w:val="24"/>
          <w:szCs w:val="24"/>
        </w:rPr>
        <w:t>ă</w:t>
      </w:r>
      <w:r>
        <w:rPr>
          <w:rFonts w:eastAsia="Times New Roman"/>
          <w:sz w:val="24"/>
          <w:szCs w:val="24"/>
        </w:rPr>
        <w:t>toarele aparate sunt interzise în interiorul structurilor gonflabile: aparate cu flac</w:t>
      </w:r>
      <w:r>
        <w:rPr>
          <w:rFonts w:eastAsia="TimesNewRoman"/>
          <w:sz w:val="24"/>
          <w:szCs w:val="24"/>
        </w:rPr>
        <w:t>ă</w:t>
      </w:r>
      <w:r>
        <w:rPr>
          <w:rFonts w:eastAsia="Times New Roman"/>
          <w:sz w:val="24"/>
          <w:szCs w:val="24"/>
        </w:rPr>
        <w:t>r</w:t>
      </w:r>
      <w:r>
        <w:rPr>
          <w:rFonts w:eastAsia="TimesNewRoman"/>
          <w:sz w:val="24"/>
          <w:szCs w:val="24"/>
        </w:rPr>
        <w:t xml:space="preserve">ă </w:t>
      </w:r>
      <w:r>
        <w:rPr>
          <w:rFonts w:eastAsia="Times New Roman"/>
          <w:sz w:val="24"/>
          <w:szCs w:val="24"/>
        </w:rPr>
        <w:t>deschis</w:t>
      </w:r>
      <w:r>
        <w:rPr>
          <w:rFonts w:eastAsia="TimesNewRoman"/>
          <w:sz w:val="24"/>
          <w:szCs w:val="24"/>
        </w:rPr>
        <w:t>ă</w:t>
      </w:r>
      <w:r>
        <w:rPr>
          <w:rFonts w:eastAsia="Times New Roman"/>
          <w:sz w:val="24"/>
          <w:szCs w:val="24"/>
        </w:rPr>
        <w:t>, elemente incandescente sau susceptibile s</w:t>
      </w:r>
      <w:r>
        <w:rPr>
          <w:rFonts w:eastAsia="TimesNewRoman"/>
          <w:sz w:val="24"/>
          <w:szCs w:val="24"/>
        </w:rPr>
        <w:t xml:space="preserve">ă </w:t>
      </w:r>
      <w:r>
        <w:rPr>
          <w:rFonts w:eastAsia="Times New Roman"/>
          <w:sz w:val="24"/>
          <w:szCs w:val="24"/>
        </w:rPr>
        <w:t>degaje elemente incandescente, aparate care func</w:t>
      </w:r>
      <w:r>
        <w:rPr>
          <w:rFonts w:eastAsia="TimesNewRoman"/>
          <w:sz w:val="24"/>
          <w:szCs w:val="24"/>
        </w:rPr>
        <w:t>ţ</w:t>
      </w:r>
      <w:r>
        <w:rPr>
          <w:rFonts w:eastAsia="Times New Roman"/>
          <w:sz w:val="24"/>
          <w:szCs w:val="24"/>
        </w:rPr>
        <w:t>ioneaz</w:t>
      </w:r>
      <w:r>
        <w:rPr>
          <w:rFonts w:eastAsia="TimesNewRoman"/>
          <w:sz w:val="24"/>
          <w:szCs w:val="24"/>
        </w:rPr>
        <w:t xml:space="preserve">ă </w:t>
      </w:r>
      <w:r>
        <w:rPr>
          <w:rFonts w:eastAsia="Times New Roman"/>
          <w:sz w:val="24"/>
          <w:szCs w:val="24"/>
        </w:rPr>
        <w:t>cu gaze combustibile și generatoare de aer cald în schimb direct.</w:t>
      </w:r>
    </w:p>
    <w:p w14:paraId="63766086" w14:textId="77777777" w:rsidR="001C08A5" w:rsidRDefault="00000000">
      <w:pPr>
        <w:ind w:left="720" w:firstLine="720"/>
        <w:jc w:val="both"/>
        <w:rPr>
          <w:sz w:val="24"/>
          <w:szCs w:val="24"/>
        </w:rPr>
      </w:pPr>
      <w:r>
        <w:rPr>
          <w:sz w:val="24"/>
          <w:szCs w:val="24"/>
          <w:lang w:val="en-US"/>
        </w:rPr>
        <w:t>- se respectă</w:t>
      </w:r>
      <w:r>
        <w:rPr>
          <w:sz w:val="24"/>
          <w:szCs w:val="24"/>
        </w:rPr>
        <w:t xml:space="preserve"> </w:t>
      </w:r>
      <w:r>
        <w:rPr>
          <w:sz w:val="24"/>
          <w:szCs w:val="24"/>
          <w:lang w:val="en-US"/>
        </w:rPr>
        <w:t>celelalte</w:t>
      </w:r>
      <w:r>
        <w:rPr>
          <w:sz w:val="24"/>
          <w:szCs w:val="24"/>
        </w:rPr>
        <w:t xml:space="preserve"> </w:t>
      </w:r>
      <w:r>
        <w:rPr>
          <w:sz w:val="24"/>
          <w:szCs w:val="24"/>
          <w:lang w:val="en-US"/>
        </w:rPr>
        <w:t>prevederi din normativul de profil</w:t>
      </w:r>
      <w:r>
        <w:rPr>
          <w:sz w:val="24"/>
          <w:szCs w:val="24"/>
        </w:rPr>
        <w:t xml:space="preserve"> </w:t>
      </w:r>
      <w:r>
        <w:rPr>
          <w:sz w:val="24"/>
          <w:szCs w:val="24"/>
          <w:lang w:val="en-US"/>
        </w:rPr>
        <w:t>referitoare la amplasare (structuri</w:t>
      </w:r>
      <w:r>
        <w:rPr>
          <w:sz w:val="24"/>
          <w:szCs w:val="24"/>
        </w:rPr>
        <w:t xml:space="preserve"> </w:t>
      </w:r>
      <w:r>
        <w:rPr>
          <w:sz w:val="24"/>
          <w:szCs w:val="24"/>
          <w:lang w:val="en-US"/>
        </w:rPr>
        <w:t>anexe/ spaţii</w:t>
      </w:r>
      <w:r>
        <w:rPr>
          <w:sz w:val="24"/>
          <w:szCs w:val="24"/>
        </w:rPr>
        <w:t xml:space="preserve"> </w:t>
      </w:r>
      <w:r>
        <w:rPr>
          <w:sz w:val="24"/>
          <w:szCs w:val="24"/>
          <w:lang w:val="en-US"/>
        </w:rPr>
        <w:t>pentru</w:t>
      </w:r>
      <w:r>
        <w:rPr>
          <w:sz w:val="24"/>
          <w:szCs w:val="24"/>
        </w:rPr>
        <w:t xml:space="preserve"> </w:t>
      </w:r>
      <w:r>
        <w:rPr>
          <w:sz w:val="24"/>
          <w:szCs w:val="24"/>
          <w:lang w:val="en-US"/>
        </w:rPr>
        <w:t>prepararea/</w:t>
      </w:r>
      <w:r>
        <w:rPr>
          <w:sz w:val="24"/>
          <w:szCs w:val="24"/>
        </w:rPr>
        <w:t xml:space="preserve"> </w:t>
      </w:r>
      <w:r>
        <w:rPr>
          <w:sz w:val="24"/>
          <w:szCs w:val="24"/>
          <w:lang w:val="en-US"/>
        </w:rPr>
        <w:t>încălzirea</w:t>
      </w:r>
      <w:r>
        <w:rPr>
          <w:sz w:val="24"/>
          <w:szCs w:val="24"/>
        </w:rPr>
        <w:t xml:space="preserve"> </w:t>
      </w:r>
      <w:r>
        <w:rPr>
          <w:sz w:val="24"/>
          <w:szCs w:val="24"/>
          <w:lang w:val="en-US"/>
        </w:rPr>
        <w:t>hranei, precum și</w:t>
      </w:r>
      <w:r>
        <w:rPr>
          <w:sz w:val="24"/>
          <w:szCs w:val="24"/>
        </w:rPr>
        <w:t xml:space="preserve"> </w:t>
      </w:r>
      <w:r>
        <w:rPr>
          <w:sz w:val="24"/>
          <w:szCs w:val="24"/>
          <w:lang w:val="en-US"/>
        </w:rPr>
        <w:t>cele</w:t>
      </w:r>
      <w:r>
        <w:rPr>
          <w:sz w:val="24"/>
          <w:szCs w:val="24"/>
        </w:rPr>
        <w:t xml:space="preserve"> </w:t>
      </w:r>
      <w:r>
        <w:rPr>
          <w:sz w:val="24"/>
          <w:szCs w:val="24"/>
          <w:lang w:val="en-US"/>
        </w:rPr>
        <w:t>în care se utilizează</w:t>
      </w:r>
      <w:r>
        <w:rPr>
          <w:sz w:val="24"/>
          <w:szCs w:val="24"/>
        </w:rPr>
        <w:t xml:space="preserve"> </w:t>
      </w:r>
      <w:r>
        <w:rPr>
          <w:sz w:val="24"/>
          <w:szCs w:val="24"/>
          <w:lang w:val="en-US"/>
        </w:rPr>
        <w:t>foc</w:t>
      </w:r>
      <w:r>
        <w:rPr>
          <w:sz w:val="24"/>
          <w:szCs w:val="24"/>
        </w:rPr>
        <w:t xml:space="preserve"> </w:t>
      </w:r>
      <w:r>
        <w:rPr>
          <w:sz w:val="24"/>
          <w:szCs w:val="24"/>
          <w:lang w:val="en-US"/>
        </w:rPr>
        <w:t>deschis), căi de evacuare, decorațiuni</w:t>
      </w:r>
      <w:r>
        <w:rPr>
          <w:sz w:val="24"/>
          <w:szCs w:val="24"/>
        </w:rPr>
        <w:t xml:space="preserve"> </w:t>
      </w:r>
      <w:r>
        <w:rPr>
          <w:sz w:val="24"/>
          <w:szCs w:val="24"/>
          <w:lang w:val="en-US"/>
        </w:rPr>
        <w:t>și</w:t>
      </w:r>
      <w:r>
        <w:rPr>
          <w:sz w:val="24"/>
          <w:szCs w:val="24"/>
        </w:rPr>
        <w:t xml:space="preserve"> </w:t>
      </w:r>
      <w:r>
        <w:rPr>
          <w:sz w:val="24"/>
          <w:szCs w:val="24"/>
          <w:lang w:val="en-US"/>
        </w:rPr>
        <w:t>finisaje, echipare, instalații</w:t>
      </w:r>
      <w:r>
        <w:rPr>
          <w:sz w:val="24"/>
          <w:szCs w:val="24"/>
        </w:rPr>
        <w:t xml:space="preserve"> </w:t>
      </w:r>
      <w:r>
        <w:rPr>
          <w:sz w:val="24"/>
          <w:szCs w:val="24"/>
          <w:lang w:val="en-US"/>
        </w:rPr>
        <w:t>utilitare, condiții de exploatare care nu contravin</w:t>
      </w:r>
      <w:r>
        <w:rPr>
          <w:sz w:val="24"/>
          <w:szCs w:val="24"/>
        </w:rPr>
        <w:t xml:space="preserve"> </w:t>
      </w:r>
      <w:r>
        <w:rPr>
          <w:sz w:val="24"/>
          <w:szCs w:val="24"/>
          <w:lang w:val="en-US"/>
        </w:rPr>
        <w:t>celor de mai sus.</w:t>
      </w:r>
    </w:p>
    <w:p w14:paraId="4F61D2F0" w14:textId="77777777" w:rsidR="001C08A5" w:rsidRDefault="001C08A5">
      <w:pPr>
        <w:jc w:val="both"/>
        <w:rPr>
          <w:bCs/>
          <w:sz w:val="24"/>
          <w:szCs w:val="24"/>
        </w:rPr>
      </w:pPr>
    </w:p>
    <w:p w14:paraId="76E62E5B" w14:textId="77777777" w:rsidR="001C08A5" w:rsidRDefault="00000000">
      <w:pPr>
        <w:ind w:firstLine="720"/>
        <w:jc w:val="both"/>
        <w:rPr>
          <w:rFonts w:eastAsia="Times New Roman"/>
          <w:sz w:val="24"/>
          <w:szCs w:val="24"/>
        </w:rPr>
      </w:pPr>
      <w:r>
        <w:rPr>
          <w:b/>
          <w:sz w:val="24"/>
          <w:szCs w:val="24"/>
        </w:rPr>
        <w:lastRenderedPageBreak/>
        <w:t xml:space="preserve">Art. 3.3.3.6. (1) </w:t>
      </w:r>
      <w:r>
        <w:rPr>
          <w:rFonts w:eastAsia="Times New Roman"/>
          <w:sz w:val="24"/>
          <w:szCs w:val="24"/>
        </w:rPr>
        <w:t>În cadrul oric</w:t>
      </w:r>
      <w:r>
        <w:rPr>
          <w:rFonts w:eastAsia="TimesNewRoman"/>
          <w:sz w:val="24"/>
          <w:szCs w:val="24"/>
        </w:rPr>
        <w:t>ă</w:t>
      </w:r>
      <w:r>
        <w:rPr>
          <w:rFonts w:eastAsia="Times New Roman"/>
          <w:sz w:val="24"/>
          <w:szCs w:val="24"/>
        </w:rPr>
        <w:t>rui mod de amenajare, indiferent de tipul evenimentului organizat, trebuie s</w:t>
      </w:r>
      <w:r>
        <w:rPr>
          <w:rFonts w:eastAsia="TimesNewRoman"/>
          <w:sz w:val="24"/>
          <w:szCs w:val="24"/>
        </w:rPr>
        <w:t xml:space="preserve">ă </w:t>
      </w:r>
      <w:r>
        <w:rPr>
          <w:rFonts w:eastAsia="Times New Roman"/>
          <w:sz w:val="24"/>
          <w:szCs w:val="24"/>
        </w:rPr>
        <w:t xml:space="preserve">fie asigurate marcarea </w:t>
      </w:r>
      <w:r>
        <w:rPr>
          <w:rFonts w:eastAsia="TimesNewRoman"/>
          <w:sz w:val="24"/>
          <w:szCs w:val="24"/>
        </w:rPr>
        <w:t>ş</w:t>
      </w:r>
      <w:r>
        <w:rPr>
          <w:rFonts w:eastAsia="Times New Roman"/>
          <w:sz w:val="24"/>
          <w:szCs w:val="24"/>
        </w:rPr>
        <w:t>i semnalizarea:</w:t>
      </w:r>
    </w:p>
    <w:p w14:paraId="778D4BD8" w14:textId="77777777" w:rsidR="001C08A5" w:rsidRDefault="00000000">
      <w:pPr>
        <w:ind w:left="720" w:firstLine="720"/>
        <w:jc w:val="both"/>
        <w:rPr>
          <w:rFonts w:eastAsia="Times New Roman"/>
          <w:sz w:val="24"/>
          <w:szCs w:val="24"/>
        </w:rPr>
      </w:pPr>
      <w:r>
        <w:rPr>
          <w:rFonts w:eastAsia="Times New Roman"/>
          <w:sz w:val="24"/>
          <w:szCs w:val="24"/>
        </w:rPr>
        <w:t>a) c</w:t>
      </w:r>
      <w:r>
        <w:rPr>
          <w:rFonts w:eastAsia="TimesNewRoman"/>
          <w:sz w:val="24"/>
          <w:szCs w:val="24"/>
        </w:rPr>
        <w:t>ă</w:t>
      </w:r>
      <w:r>
        <w:rPr>
          <w:rFonts w:eastAsia="Times New Roman"/>
          <w:sz w:val="24"/>
          <w:szCs w:val="24"/>
        </w:rPr>
        <w:t xml:space="preserve">ilor de acces, evacuare </w:t>
      </w:r>
      <w:r>
        <w:rPr>
          <w:rFonts w:eastAsia="TimesNewRoman"/>
          <w:sz w:val="24"/>
          <w:szCs w:val="24"/>
        </w:rPr>
        <w:t>ş</w:t>
      </w:r>
      <w:r>
        <w:rPr>
          <w:rFonts w:eastAsia="Times New Roman"/>
          <w:sz w:val="24"/>
          <w:szCs w:val="24"/>
        </w:rPr>
        <w:t>i interven</w:t>
      </w:r>
      <w:r>
        <w:rPr>
          <w:rFonts w:eastAsia="TimesNewRoman"/>
          <w:sz w:val="24"/>
          <w:szCs w:val="24"/>
        </w:rPr>
        <w:t>ţ</w:t>
      </w:r>
      <w:r>
        <w:rPr>
          <w:rFonts w:eastAsia="Times New Roman"/>
          <w:sz w:val="24"/>
          <w:szCs w:val="24"/>
        </w:rPr>
        <w:t>ie;</w:t>
      </w:r>
    </w:p>
    <w:p w14:paraId="02A3A82A" w14:textId="77777777" w:rsidR="001C08A5" w:rsidRDefault="00000000">
      <w:pPr>
        <w:ind w:left="720" w:firstLine="720"/>
        <w:jc w:val="both"/>
        <w:rPr>
          <w:rFonts w:eastAsia="Times New Roman"/>
          <w:sz w:val="24"/>
          <w:szCs w:val="24"/>
        </w:rPr>
      </w:pPr>
      <w:r>
        <w:rPr>
          <w:rFonts w:eastAsia="Times New Roman"/>
          <w:sz w:val="24"/>
          <w:szCs w:val="24"/>
        </w:rPr>
        <w:t>b) locurilor pentru fumat;</w:t>
      </w:r>
    </w:p>
    <w:p w14:paraId="5B770F20" w14:textId="77777777" w:rsidR="001C08A5" w:rsidRDefault="00000000">
      <w:pPr>
        <w:ind w:left="720" w:firstLine="720"/>
        <w:jc w:val="both"/>
        <w:rPr>
          <w:rFonts w:eastAsia="Times New Roman"/>
          <w:sz w:val="24"/>
          <w:szCs w:val="24"/>
        </w:rPr>
      </w:pPr>
      <w:r>
        <w:rPr>
          <w:rFonts w:eastAsia="Times New Roman"/>
          <w:sz w:val="24"/>
          <w:szCs w:val="24"/>
        </w:rPr>
        <w:t>c) locurilor de adunare;</w:t>
      </w:r>
    </w:p>
    <w:p w14:paraId="018C1D7E" w14:textId="77777777" w:rsidR="001C08A5" w:rsidRDefault="00000000">
      <w:pPr>
        <w:ind w:left="720" w:firstLine="720"/>
        <w:jc w:val="both"/>
        <w:rPr>
          <w:rFonts w:eastAsia="Times New Roman"/>
          <w:sz w:val="24"/>
          <w:szCs w:val="24"/>
        </w:rPr>
      </w:pPr>
      <w:r>
        <w:rPr>
          <w:rFonts w:eastAsia="Times New Roman"/>
          <w:sz w:val="24"/>
          <w:szCs w:val="24"/>
        </w:rPr>
        <w:t>d) locurilor de parcare;</w:t>
      </w:r>
    </w:p>
    <w:p w14:paraId="77540D3D" w14:textId="77777777" w:rsidR="001C08A5" w:rsidRDefault="00000000">
      <w:pPr>
        <w:ind w:left="720" w:firstLine="720"/>
        <w:jc w:val="both"/>
        <w:rPr>
          <w:rFonts w:eastAsia="Times New Roman"/>
          <w:sz w:val="24"/>
          <w:szCs w:val="24"/>
        </w:rPr>
      </w:pPr>
      <w:r>
        <w:rPr>
          <w:rFonts w:eastAsia="Times New Roman"/>
          <w:sz w:val="24"/>
          <w:szCs w:val="24"/>
        </w:rPr>
        <w:t>e) mijloacelor ini</w:t>
      </w:r>
      <w:r>
        <w:rPr>
          <w:rFonts w:eastAsia="TimesNewRoman"/>
          <w:sz w:val="24"/>
          <w:szCs w:val="24"/>
        </w:rPr>
        <w:t>ţ</w:t>
      </w:r>
      <w:r>
        <w:rPr>
          <w:rFonts w:eastAsia="Times New Roman"/>
          <w:sz w:val="24"/>
          <w:szCs w:val="24"/>
        </w:rPr>
        <w:t>iale de interven</w:t>
      </w:r>
      <w:r>
        <w:rPr>
          <w:rFonts w:eastAsia="TimesNewRoman"/>
          <w:sz w:val="24"/>
          <w:szCs w:val="24"/>
        </w:rPr>
        <w:t>ţ</w:t>
      </w:r>
      <w:r>
        <w:rPr>
          <w:rFonts w:eastAsia="Times New Roman"/>
          <w:sz w:val="24"/>
          <w:szCs w:val="24"/>
        </w:rPr>
        <w:t>ie.</w:t>
      </w:r>
    </w:p>
    <w:p w14:paraId="6E8CCC47" w14:textId="77777777" w:rsidR="001C08A5" w:rsidRDefault="00000000">
      <w:pPr>
        <w:ind w:firstLine="720"/>
        <w:jc w:val="both"/>
        <w:rPr>
          <w:sz w:val="24"/>
          <w:szCs w:val="24"/>
        </w:rPr>
      </w:pPr>
      <w:r>
        <w:rPr>
          <w:b/>
          <w:sz w:val="24"/>
          <w:szCs w:val="24"/>
        </w:rPr>
        <w:t xml:space="preserve">(2) </w:t>
      </w:r>
      <w:r>
        <w:rPr>
          <w:sz w:val="24"/>
          <w:szCs w:val="24"/>
        </w:rPr>
        <w:t>Pe căile de evacuare se prevăd indicatoare de orientare și se asigură iluminat de siguranţă potrivit reglementărilor tehnice de specialitate.</w:t>
      </w:r>
    </w:p>
    <w:p w14:paraId="2A85B38F" w14:textId="77777777" w:rsidR="001C08A5" w:rsidRDefault="001C08A5">
      <w:pPr>
        <w:ind w:firstLine="720"/>
        <w:jc w:val="both"/>
        <w:rPr>
          <w:b/>
          <w:sz w:val="24"/>
          <w:szCs w:val="24"/>
        </w:rPr>
      </w:pPr>
    </w:p>
    <w:p w14:paraId="664640D9" w14:textId="77777777" w:rsidR="001C08A5" w:rsidRDefault="00000000">
      <w:pPr>
        <w:ind w:firstLine="720"/>
        <w:jc w:val="both"/>
        <w:rPr>
          <w:rFonts w:eastAsia="Times New Roman"/>
          <w:sz w:val="24"/>
          <w:szCs w:val="24"/>
        </w:rPr>
      </w:pPr>
      <w:r>
        <w:rPr>
          <w:b/>
          <w:sz w:val="24"/>
          <w:szCs w:val="24"/>
        </w:rPr>
        <w:t xml:space="preserve">Art. 3.3.3.7. (1) </w:t>
      </w:r>
      <w:r>
        <w:rPr>
          <w:rFonts w:eastAsia="Times New Roman"/>
          <w:sz w:val="24"/>
          <w:szCs w:val="24"/>
        </w:rPr>
        <w:t>Prima interven</w:t>
      </w:r>
      <w:r>
        <w:rPr>
          <w:rFonts w:eastAsia="TimesNewRoman"/>
          <w:sz w:val="24"/>
          <w:szCs w:val="24"/>
        </w:rPr>
        <w:t>ţ</w:t>
      </w:r>
      <w:r>
        <w:rPr>
          <w:rFonts w:eastAsia="Times New Roman"/>
          <w:sz w:val="24"/>
          <w:szCs w:val="24"/>
        </w:rPr>
        <w:t>ie este asigurat</w:t>
      </w:r>
      <w:r>
        <w:rPr>
          <w:rFonts w:eastAsia="TimesNewRoman"/>
          <w:sz w:val="24"/>
          <w:szCs w:val="24"/>
        </w:rPr>
        <w:t xml:space="preserve">ă </w:t>
      </w:r>
      <w:r>
        <w:rPr>
          <w:rFonts w:eastAsia="Times New Roman"/>
          <w:sz w:val="24"/>
          <w:szCs w:val="24"/>
        </w:rPr>
        <w:t>cu sting</w:t>
      </w:r>
      <w:r>
        <w:rPr>
          <w:rFonts w:eastAsia="TimesNewRoman"/>
          <w:sz w:val="24"/>
          <w:szCs w:val="24"/>
        </w:rPr>
        <w:t>ă</w:t>
      </w:r>
      <w:r>
        <w:rPr>
          <w:rFonts w:eastAsia="Times New Roman"/>
          <w:sz w:val="24"/>
          <w:szCs w:val="24"/>
        </w:rPr>
        <w:t>toare portative adecvate riscului de incendiu local, care se amplaseaz</w:t>
      </w:r>
      <w:r>
        <w:rPr>
          <w:rFonts w:eastAsia="TimesNewRoman"/>
          <w:sz w:val="24"/>
          <w:szCs w:val="24"/>
        </w:rPr>
        <w:t xml:space="preserve">ă </w:t>
      </w:r>
      <w:r>
        <w:rPr>
          <w:rFonts w:eastAsia="Times New Roman"/>
          <w:sz w:val="24"/>
          <w:szCs w:val="24"/>
        </w:rPr>
        <w:t>vizibil, u</w:t>
      </w:r>
      <w:r>
        <w:rPr>
          <w:rFonts w:eastAsia="TimesNewRoman"/>
          <w:sz w:val="24"/>
          <w:szCs w:val="24"/>
        </w:rPr>
        <w:t>ş</w:t>
      </w:r>
      <w:r>
        <w:rPr>
          <w:rFonts w:eastAsia="Times New Roman"/>
          <w:sz w:val="24"/>
          <w:szCs w:val="24"/>
        </w:rPr>
        <w:t>or accesibil, de regul</w:t>
      </w:r>
      <w:r>
        <w:rPr>
          <w:rFonts w:eastAsia="TimesNewRoman"/>
          <w:sz w:val="24"/>
          <w:szCs w:val="24"/>
        </w:rPr>
        <w:t xml:space="preserve">ă </w:t>
      </w:r>
      <w:r>
        <w:rPr>
          <w:rFonts w:eastAsia="Times New Roman"/>
          <w:sz w:val="24"/>
          <w:szCs w:val="24"/>
        </w:rPr>
        <w:t>în apropierea c</w:t>
      </w:r>
      <w:r>
        <w:rPr>
          <w:rFonts w:eastAsia="TimesNewRoman"/>
          <w:sz w:val="24"/>
          <w:szCs w:val="24"/>
        </w:rPr>
        <w:t>ă</w:t>
      </w:r>
      <w:r>
        <w:rPr>
          <w:rFonts w:eastAsia="Times New Roman"/>
          <w:sz w:val="24"/>
          <w:szCs w:val="24"/>
        </w:rPr>
        <w:t xml:space="preserve">ilor de acces/evacuare. </w:t>
      </w:r>
    </w:p>
    <w:p w14:paraId="3032C51C" w14:textId="77777777" w:rsidR="001C08A5" w:rsidRDefault="00000000">
      <w:pPr>
        <w:ind w:firstLine="720"/>
        <w:jc w:val="both"/>
        <w:rPr>
          <w:rFonts w:eastAsia="Times New Roman"/>
          <w:sz w:val="24"/>
          <w:szCs w:val="24"/>
        </w:rPr>
      </w:pPr>
      <w:r>
        <w:rPr>
          <w:b/>
          <w:sz w:val="24"/>
          <w:szCs w:val="24"/>
        </w:rPr>
        <w:t xml:space="preserve">(2) </w:t>
      </w:r>
      <w:r>
        <w:rPr>
          <w:rFonts w:eastAsia="Times New Roman"/>
          <w:sz w:val="24"/>
          <w:szCs w:val="24"/>
        </w:rPr>
        <w:t>Dotarea minim</w:t>
      </w:r>
      <w:r>
        <w:rPr>
          <w:rFonts w:eastAsia="TimesNewRoman"/>
          <w:sz w:val="24"/>
          <w:szCs w:val="24"/>
        </w:rPr>
        <w:t xml:space="preserve">ă </w:t>
      </w:r>
      <w:r>
        <w:rPr>
          <w:rFonts w:eastAsia="Times New Roman"/>
          <w:sz w:val="24"/>
          <w:szCs w:val="24"/>
        </w:rPr>
        <w:t>cu mijloace tehnice de ap</w:t>
      </w:r>
      <w:r>
        <w:rPr>
          <w:rFonts w:eastAsia="TimesNewRoman"/>
          <w:sz w:val="24"/>
          <w:szCs w:val="24"/>
        </w:rPr>
        <w:t>ă</w:t>
      </w:r>
      <w:r>
        <w:rPr>
          <w:rFonts w:eastAsia="Times New Roman"/>
          <w:sz w:val="24"/>
          <w:szCs w:val="24"/>
        </w:rPr>
        <w:t>rare împotriva incendiilor pentru amenaj</w:t>
      </w:r>
      <w:r>
        <w:rPr>
          <w:rFonts w:eastAsia="TimesNewRoman"/>
          <w:sz w:val="24"/>
          <w:szCs w:val="24"/>
        </w:rPr>
        <w:t>ă</w:t>
      </w:r>
      <w:r>
        <w:rPr>
          <w:rFonts w:eastAsia="Times New Roman"/>
          <w:sz w:val="24"/>
          <w:szCs w:val="24"/>
        </w:rPr>
        <w:t>ri temporare în spa</w:t>
      </w:r>
      <w:r>
        <w:rPr>
          <w:rFonts w:eastAsia="TimesNewRoman"/>
          <w:sz w:val="24"/>
          <w:szCs w:val="24"/>
        </w:rPr>
        <w:t>ţ</w:t>
      </w:r>
      <w:r>
        <w:rPr>
          <w:rFonts w:eastAsia="Times New Roman"/>
          <w:sz w:val="24"/>
          <w:szCs w:val="24"/>
        </w:rPr>
        <w:t>ii închise:</w:t>
      </w:r>
    </w:p>
    <w:p w14:paraId="26C09BD0" w14:textId="77777777" w:rsidR="001C08A5" w:rsidRDefault="00000000">
      <w:pPr>
        <w:ind w:left="720" w:firstLine="720"/>
        <w:jc w:val="both"/>
        <w:rPr>
          <w:rFonts w:eastAsia="Times New Roman"/>
          <w:sz w:val="24"/>
          <w:szCs w:val="24"/>
        </w:rPr>
      </w:pPr>
      <w:r>
        <w:rPr>
          <w:rFonts w:eastAsia="Times New Roman"/>
          <w:sz w:val="24"/>
          <w:szCs w:val="24"/>
        </w:rPr>
        <w:t>- un sting</w:t>
      </w:r>
      <w:r>
        <w:rPr>
          <w:rFonts w:eastAsia="CourierNew"/>
          <w:sz w:val="24"/>
          <w:szCs w:val="24"/>
        </w:rPr>
        <w:t>ă</w:t>
      </w:r>
      <w:r>
        <w:rPr>
          <w:rFonts w:eastAsia="Times New Roman"/>
          <w:sz w:val="24"/>
          <w:szCs w:val="24"/>
        </w:rPr>
        <w:t xml:space="preserve">tor portativ la fiecare </w:t>
      </w:r>
      <w:r>
        <w:rPr>
          <w:rFonts w:eastAsia="Times New Roman"/>
          <w:b/>
          <w:bCs/>
          <w:sz w:val="24"/>
          <w:szCs w:val="24"/>
        </w:rPr>
        <w:t xml:space="preserve">200 </w:t>
      </w:r>
      <w:r>
        <w:rPr>
          <w:b/>
          <w:bCs/>
          <w:sz w:val="24"/>
          <w:szCs w:val="24"/>
          <w:lang w:eastAsia="zh-CN"/>
        </w:rPr>
        <w:t>m</w:t>
      </w:r>
      <w:r>
        <w:rPr>
          <w:b/>
          <w:bCs/>
          <w:sz w:val="24"/>
          <w:szCs w:val="24"/>
          <w:vertAlign w:val="superscript"/>
          <w:lang w:eastAsia="zh-CN"/>
        </w:rPr>
        <w:t>2</w:t>
      </w:r>
      <w:r>
        <w:rPr>
          <w:rFonts w:eastAsia="Times New Roman"/>
          <w:sz w:val="24"/>
          <w:szCs w:val="24"/>
        </w:rPr>
        <w:t>, dar nu mai pu</w:t>
      </w:r>
      <w:r>
        <w:rPr>
          <w:rFonts w:eastAsia="CourierNew"/>
          <w:sz w:val="24"/>
          <w:szCs w:val="24"/>
        </w:rPr>
        <w:t>ţ</w:t>
      </w:r>
      <w:r>
        <w:rPr>
          <w:rFonts w:eastAsia="Times New Roman"/>
          <w:sz w:val="24"/>
          <w:szCs w:val="24"/>
        </w:rPr>
        <w:t>in de dou</w:t>
      </w:r>
      <w:r>
        <w:rPr>
          <w:rFonts w:eastAsia="CourierNew"/>
          <w:sz w:val="24"/>
          <w:szCs w:val="24"/>
        </w:rPr>
        <w:t xml:space="preserve">ă </w:t>
      </w:r>
      <w:r>
        <w:rPr>
          <w:rFonts w:eastAsia="Times New Roman"/>
          <w:sz w:val="24"/>
          <w:szCs w:val="24"/>
        </w:rPr>
        <w:t>pe nivel (distan</w:t>
      </w:r>
      <w:r>
        <w:rPr>
          <w:rFonts w:eastAsia="TimesNewRoman"/>
          <w:sz w:val="24"/>
          <w:szCs w:val="24"/>
        </w:rPr>
        <w:t>ţ</w:t>
      </w:r>
      <w:r>
        <w:rPr>
          <w:rFonts w:eastAsia="Times New Roman"/>
          <w:sz w:val="24"/>
          <w:szCs w:val="24"/>
        </w:rPr>
        <w:t>a maxim</w:t>
      </w:r>
      <w:r>
        <w:rPr>
          <w:rFonts w:eastAsia="TimesNewRoman"/>
          <w:sz w:val="24"/>
          <w:szCs w:val="24"/>
        </w:rPr>
        <w:t xml:space="preserve">ă </w:t>
      </w:r>
      <w:r>
        <w:rPr>
          <w:rFonts w:eastAsia="Times New Roman"/>
          <w:sz w:val="24"/>
          <w:szCs w:val="24"/>
        </w:rPr>
        <w:t>parcurs</w:t>
      </w:r>
      <w:r>
        <w:rPr>
          <w:rFonts w:eastAsia="TimesNewRoman"/>
          <w:sz w:val="24"/>
          <w:szCs w:val="24"/>
        </w:rPr>
        <w:t xml:space="preserve">ă </w:t>
      </w:r>
      <w:r>
        <w:rPr>
          <w:rFonts w:eastAsia="Times New Roman"/>
          <w:sz w:val="24"/>
          <w:szCs w:val="24"/>
        </w:rPr>
        <w:t>pentru a ajunge la un sting</w:t>
      </w:r>
      <w:r>
        <w:rPr>
          <w:rFonts w:eastAsia="TimesNewRoman"/>
          <w:sz w:val="24"/>
          <w:szCs w:val="24"/>
        </w:rPr>
        <w:t>ă</w:t>
      </w:r>
      <w:r>
        <w:rPr>
          <w:rFonts w:eastAsia="Times New Roman"/>
          <w:sz w:val="24"/>
          <w:szCs w:val="24"/>
        </w:rPr>
        <w:t>tor trebuie s</w:t>
      </w:r>
      <w:r>
        <w:rPr>
          <w:rFonts w:eastAsia="TimesNewRoman"/>
          <w:sz w:val="24"/>
          <w:szCs w:val="24"/>
        </w:rPr>
        <w:t xml:space="preserve">ă </w:t>
      </w:r>
      <w:r>
        <w:rPr>
          <w:rFonts w:eastAsia="Times New Roman"/>
          <w:sz w:val="24"/>
          <w:szCs w:val="24"/>
        </w:rPr>
        <w:t>nu dep</w:t>
      </w:r>
      <w:r>
        <w:rPr>
          <w:rFonts w:eastAsia="TimesNewRoman"/>
          <w:sz w:val="24"/>
          <w:szCs w:val="24"/>
        </w:rPr>
        <w:t>ăş</w:t>
      </w:r>
      <w:r>
        <w:rPr>
          <w:rFonts w:eastAsia="Times New Roman"/>
          <w:sz w:val="24"/>
          <w:szCs w:val="24"/>
        </w:rPr>
        <w:t>easc</w:t>
      </w:r>
      <w:r>
        <w:rPr>
          <w:rFonts w:eastAsia="TimesNewRoman"/>
          <w:sz w:val="24"/>
          <w:szCs w:val="24"/>
        </w:rPr>
        <w:t xml:space="preserve">ă </w:t>
      </w:r>
      <w:r>
        <w:rPr>
          <w:rFonts w:eastAsia="Times New Roman"/>
          <w:b/>
          <w:bCs/>
          <w:sz w:val="24"/>
          <w:szCs w:val="24"/>
        </w:rPr>
        <w:t>15</w:t>
      </w:r>
      <w:r>
        <w:rPr>
          <w:rFonts w:eastAsia="Times New Roman"/>
          <w:sz w:val="24"/>
          <w:szCs w:val="24"/>
        </w:rPr>
        <w:t xml:space="preserve"> metri.) </w:t>
      </w:r>
    </w:p>
    <w:p w14:paraId="46264FD5" w14:textId="77777777" w:rsidR="001C08A5" w:rsidRDefault="00000000">
      <w:pPr>
        <w:ind w:left="720" w:firstLine="720"/>
        <w:jc w:val="both"/>
        <w:rPr>
          <w:rFonts w:eastAsia="Times New Roman"/>
          <w:sz w:val="24"/>
          <w:szCs w:val="24"/>
        </w:rPr>
      </w:pPr>
      <w:r>
        <w:rPr>
          <w:rFonts w:eastAsia="Times New Roman"/>
          <w:sz w:val="24"/>
          <w:szCs w:val="24"/>
        </w:rPr>
        <w:t>- un sting</w:t>
      </w:r>
      <w:r>
        <w:rPr>
          <w:rFonts w:eastAsia="CourierNew"/>
          <w:sz w:val="24"/>
          <w:szCs w:val="24"/>
        </w:rPr>
        <w:t>ă</w:t>
      </w:r>
      <w:r>
        <w:rPr>
          <w:rFonts w:eastAsia="Times New Roman"/>
          <w:sz w:val="24"/>
          <w:szCs w:val="24"/>
        </w:rPr>
        <w:t>tor portativ pentru acoperirea fiec</w:t>
      </w:r>
      <w:r>
        <w:rPr>
          <w:rFonts w:eastAsia="CourierNew"/>
          <w:sz w:val="24"/>
          <w:szCs w:val="24"/>
        </w:rPr>
        <w:t>ă</w:t>
      </w:r>
      <w:r>
        <w:rPr>
          <w:rFonts w:eastAsia="Times New Roman"/>
          <w:sz w:val="24"/>
          <w:szCs w:val="24"/>
        </w:rPr>
        <w:t>rui pericol localizat (sau grupuri de pericole de aceea</w:t>
      </w:r>
      <w:r>
        <w:rPr>
          <w:rFonts w:eastAsia="CourierNew"/>
          <w:sz w:val="24"/>
          <w:szCs w:val="24"/>
        </w:rPr>
        <w:t>ş</w:t>
      </w:r>
      <w:r>
        <w:rPr>
          <w:rFonts w:eastAsia="Times New Roman"/>
          <w:sz w:val="24"/>
          <w:szCs w:val="24"/>
        </w:rPr>
        <w:t>i natur</w:t>
      </w:r>
      <w:r>
        <w:rPr>
          <w:rFonts w:eastAsia="CourierNew"/>
          <w:sz w:val="24"/>
          <w:szCs w:val="24"/>
        </w:rPr>
        <w:t>ă</w:t>
      </w:r>
      <w:r>
        <w:rPr>
          <w:rFonts w:eastAsia="Times New Roman"/>
          <w:sz w:val="24"/>
          <w:szCs w:val="24"/>
        </w:rPr>
        <w:t>):</w:t>
      </w:r>
    </w:p>
    <w:p w14:paraId="46D16CFB" w14:textId="77777777" w:rsidR="001C08A5" w:rsidRDefault="00000000">
      <w:pPr>
        <w:ind w:left="2160" w:firstLine="720"/>
        <w:jc w:val="both"/>
        <w:rPr>
          <w:sz w:val="24"/>
          <w:szCs w:val="24"/>
        </w:rPr>
      </w:pPr>
      <w:r>
        <w:rPr>
          <w:sz w:val="24"/>
          <w:szCs w:val="24"/>
        </w:rPr>
        <w:t>a) pentru echipamente electrice (tablouri electrice, echipamente electronice ori informatice etc.) - un sting</w:t>
      </w:r>
      <w:r>
        <w:rPr>
          <w:rFonts w:eastAsia="CourierNew"/>
          <w:sz w:val="24"/>
          <w:szCs w:val="24"/>
        </w:rPr>
        <w:t>ă</w:t>
      </w:r>
      <w:r>
        <w:rPr>
          <w:sz w:val="24"/>
          <w:szCs w:val="24"/>
        </w:rPr>
        <w:t xml:space="preserve">tor cu </w:t>
      </w:r>
      <w:r>
        <w:rPr>
          <w:b/>
          <w:bCs/>
          <w:sz w:val="24"/>
          <w:szCs w:val="24"/>
        </w:rPr>
        <w:t>CO</w:t>
      </w:r>
      <w:r>
        <w:rPr>
          <w:b/>
          <w:bCs/>
          <w:sz w:val="24"/>
          <w:szCs w:val="24"/>
          <w:vertAlign w:val="subscript"/>
        </w:rPr>
        <w:t>2</w:t>
      </w:r>
      <w:r>
        <w:rPr>
          <w:sz w:val="24"/>
          <w:szCs w:val="24"/>
        </w:rPr>
        <w:t xml:space="preserve">, pentru focar minim </w:t>
      </w:r>
      <w:r>
        <w:rPr>
          <w:b/>
          <w:bCs/>
          <w:sz w:val="24"/>
          <w:szCs w:val="24"/>
        </w:rPr>
        <w:t>55B</w:t>
      </w:r>
      <w:r>
        <w:rPr>
          <w:sz w:val="24"/>
          <w:szCs w:val="24"/>
        </w:rPr>
        <w:t>;</w:t>
      </w:r>
    </w:p>
    <w:p w14:paraId="6B4EA16A" w14:textId="77777777" w:rsidR="001C08A5" w:rsidRDefault="00000000">
      <w:pPr>
        <w:ind w:left="2160" w:firstLine="720"/>
        <w:jc w:val="both"/>
        <w:rPr>
          <w:sz w:val="24"/>
          <w:szCs w:val="24"/>
        </w:rPr>
      </w:pPr>
      <w:r>
        <w:rPr>
          <w:sz w:val="24"/>
          <w:szCs w:val="24"/>
        </w:rPr>
        <w:t xml:space="preserve"> b) pentru înc</w:t>
      </w:r>
      <w:r>
        <w:rPr>
          <w:rFonts w:eastAsia="CourierNew"/>
          <w:sz w:val="24"/>
          <w:szCs w:val="24"/>
        </w:rPr>
        <w:t>ă</w:t>
      </w:r>
      <w:r>
        <w:rPr>
          <w:sz w:val="24"/>
          <w:szCs w:val="24"/>
        </w:rPr>
        <w:t>peri în care se depoziteaz</w:t>
      </w:r>
      <w:r>
        <w:rPr>
          <w:rFonts w:eastAsia="CourierNew"/>
          <w:sz w:val="24"/>
          <w:szCs w:val="24"/>
        </w:rPr>
        <w:t xml:space="preserve">ă </w:t>
      </w:r>
      <w:r>
        <w:rPr>
          <w:sz w:val="24"/>
          <w:szCs w:val="24"/>
        </w:rPr>
        <w:t>lacuri, vopsele, polistiren, gr</w:t>
      </w:r>
      <w:r>
        <w:rPr>
          <w:rFonts w:eastAsia="CourierNew"/>
          <w:sz w:val="24"/>
          <w:szCs w:val="24"/>
        </w:rPr>
        <w:t>ă</w:t>
      </w:r>
      <w:r>
        <w:rPr>
          <w:sz w:val="24"/>
          <w:szCs w:val="24"/>
        </w:rPr>
        <w:t xml:space="preserve">simi </w:t>
      </w:r>
      <w:r>
        <w:rPr>
          <w:rFonts w:eastAsia="CourierNew"/>
          <w:sz w:val="24"/>
          <w:szCs w:val="24"/>
        </w:rPr>
        <w:t>ş</w:t>
      </w:r>
      <w:r>
        <w:rPr>
          <w:sz w:val="24"/>
          <w:szCs w:val="24"/>
        </w:rPr>
        <w:t>i uleiuri - un sting</w:t>
      </w:r>
      <w:r>
        <w:rPr>
          <w:rFonts w:eastAsia="CourierNew"/>
          <w:sz w:val="24"/>
          <w:szCs w:val="24"/>
        </w:rPr>
        <w:t>ă</w:t>
      </w:r>
      <w:r>
        <w:rPr>
          <w:sz w:val="24"/>
          <w:szCs w:val="24"/>
        </w:rPr>
        <w:t xml:space="preserve">tor cu pulbere, pentru focar minim </w:t>
      </w:r>
      <w:r>
        <w:rPr>
          <w:b/>
          <w:bCs/>
          <w:sz w:val="24"/>
          <w:szCs w:val="24"/>
        </w:rPr>
        <w:t>21A, 113B</w:t>
      </w:r>
      <w:r>
        <w:rPr>
          <w:sz w:val="24"/>
          <w:szCs w:val="24"/>
        </w:rPr>
        <w:t>;</w:t>
      </w:r>
    </w:p>
    <w:p w14:paraId="42933D3E" w14:textId="77777777" w:rsidR="001C08A5" w:rsidRDefault="00000000">
      <w:pPr>
        <w:ind w:left="2160" w:firstLine="720"/>
        <w:jc w:val="both"/>
        <w:rPr>
          <w:sz w:val="24"/>
          <w:szCs w:val="24"/>
        </w:rPr>
      </w:pPr>
      <w:r>
        <w:rPr>
          <w:sz w:val="24"/>
          <w:szCs w:val="24"/>
        </w:rPr>
        <w:t>c) depozite cu o în</w:t>
      </w:r>
      <w:r>
        <w:rPr>
          <w:rFonts w:eastAsia="CourierNew"/>
          <w:sz w:val="24"/>
          <w:szCs w:val="24"/>
        </w:rPr>
        <w:t>ă</w:t>
      </w:r>
      <w:r>
        <w:rPr>
          <w:sz w:val="24"/>
          <w:szCs w:val="24"/>
        </w:rPr>
        <w:t>l</w:t>
      </w:r>
      <w:r>
        <w:rPr>
          <w:rFonts w:eastAsia="CourierNew"/>
          <w:sz w:val="24"/>
          <w:szCs w:val="24"/>
        </w:rPr>
        <w:t>ţ</w:t>
      </w:r>
      <w:r>
        <w:rPr>
          <w:sz w:val="24"/>
          <w:szCs w:val="24"/>
        </w:rPr>
        <w:t xml:space="preserve">ime mai mare de </w:t>
      </w:r>
      <w:r>
        <w:rPr>
          <w:b/>
          <w:bCs/>
          <w:sz w:val="24"/>
          <w:szCs w:val="24"/>
        </w:rPr>
        <w:t>3 m</w:t>
      </w:r>
      <w:r>
        <w:rPr>
          <w:sz w:val="24"/>
          <w:szCs w:val="24"/>
        </w:rPr>
        <w:t xml:space="preserve"> sau pentru depozitarea de pale</w:t>
      </w:r>
      <w:r>
        <w:rPr>
          <w:rFonts w:eastAsia="CourierNew"/>
          <w:sz w:val="24"/>
          <w:szCs w:val="24"/>
        </w:rPr>
        <w:t>ţ</w:t>
      </w:r>
      <w:r>
        <w:rPr>
          <w:sz w:val="24"/>
          <w:szCs w:val="24"/>
        </w:rPr>
        <w:t>i, cartoane, mase plastice, de</w:t>
      </w:r>
      <w:r>
        <w:rPr>
          <w:rFonts w:eastAsia="CourierNew"/>
          <w:sz w:val="24"/>
          <w:szCs w:val="24"/>
        </w:rPr>
        <w:t>ş</w:t>
      </w:r>
      <w:r>
        <w:rPr>
          <w:sz w:val="24"/>
          <w:szCs w:val="24"/>
        </w:rPr>
        <w:t>euri, bene cu gunoi - un sting</w:t>
      </w:r>
      <w:r>
        <w:rPr>
          <w:rFonts w:eastAsia="CourierNew"/>
          <w:sz w:val="24"/>
          <w:szCs w:val="24"/>
        </w:rPr>
        <w:t>ă</w:t>
      </w:r>
      <w:r>
        <w:rPr>
          <w:sz w:val="24"/>
          <w:szCs w:val="24"/>
        </w:rPr>
        <w:t>tor cu ap</w:t>
      </w:r>
      <w:r>
        <w:rPr>
          <w:rFonts w:eastAsia="CourierNew"/>
          <w:sz w:val="24"/>
          <w:szCs w:val="24"/>
        </w:rPr>
        <w:t xml:space="preserve">ă </w:t>
      </w:r>
      <w:r>
        <w:rPr>
          <w:sz w:val="24"/>
          <w:szCs w:val="24"/>
        </w:rPr>
        <w:t>pulverizat</w:t>
      </w:r>
      <w:r>
        <w:rPr>
          <w:rFonts w:eastAsia="CourierNew"/>
          <w:sz w:val="24"/>
          <w:szCs w:val="24"/>
        </w:rPr>
        <w:t>ă</w:t>
      </w:r>
      <w:r>
        <w:rPr>
          <w:sz w:val="24"/>
          <w:szCs w:val="24"/>
        </w:rPr>
        <w:t xml:space="preserve">, pentru focar minim </w:t>
      </w:r>
      <w:r>
        <w:rPr>
          <w:b/>
          <w:bCs/>
          <w:sz w:val="24"/>
          <w:szCs w:val="24"/>
        </w:rPr>
        <w:t>21A, 113B</w:t>
      </w:r>
      <w:r>
        <w:rPr>
          <w:sz w:val="24"/>
          <w:szCs w:val="24"/>
        </w:rPr>
        <w:t>;</w:t>
      </w:r>
    </w:p>
    <w:p w14:paraId="25A1565B" w14:textId="77777777" w:rsidR="001C08A5" w:rsidRDefault="00000000">
      <w:pPr>
        <w:ind w:left="720" w:firstLine="720"/>
        <w:jc w:val="both"/>
        <w:rPr>
          <w:sz w:val="24"/>
          <w:szCs w:val="24"/>
        </w:rPr>
      </w:pPr>
      <w:r>
        <w:rPr>
          <w:sz w:val="24"/>
          <w:szCs w:val="24"/>
        </w:rPr>
        <w:t>- în buc</w:t>
      </w:r>
      <w:r>
        <w:rPr>
          <w:rFonts w:eastAsia="CourierNew"/>
          <w:sz w:val="24"/>
          <w:szCs w:val="24"/>
        </w:rPr>
        <w:t>ă</w:t>
      </w:r>
      <w:r>
        <w:rPr>
          <w:sz w:val="24"/>
          <w:szCs w:val="24"/>
        </w:rPr>
        <w:t>t</w:t>
      </w:r>
      <w:r>
        <w:rPr>
          <w:rFonts w:eastAsia="CourierNew"/>
          <w:sz w:val="24"/>
          <w:szCs w:val="24"/>
        </w:rPr>
        <w:t>ă</w:t>
      </w:r>
      <w:r>
        <w:rPr>
          <w:sz w:val="24"/>
          <w:szCs w:val="24"/>
        </w:rPr>
        <w:t>rii se recomand</w:t>
      </w:r>
      <w:r>
        <w:rPr>
          <w:rFonts w:eastAsia="CourierNew"/>
          <w:sz w:val="24"/>
          <w:szCs w:val="24"/>
        </w:rPr>
        <w:t xml:space="preserve">ă </w:t>
      </w:r>
      <w:r>
        <w:rPr>
          <w:sz w:val="24"/>
          <w:szCs w:val="24"/>
        </w:rPr>
        <w:t>ca fiecare aparat de g</w:t>
      </w:r>
      <w:r>
        <w:rPr>
          <w:rFonts w:eastAsia="CourierNew"/>
          <w:sz w:val="24"/>
          <w:szCs w:val="24"/>
        </w:rPr>
        <w:t>ă</w:t>
      </w:r>
      <w:r>
        <w:rPr>
          <w:sz w:val="24"/>
          <w:szCs w:val="24"/>
        </w:rPr>
        <w:t>tit s</w:t>
      </w:r>
      <w:r>
        <w:rPr>
          <w:rFonts w:eastAsia="CourierNew"/>
          <w:sz w:val="24"/>
          <w:szCs w:val="24"/>
        </w:rPr>
        <w:t xml:space="preserve">ă </w:t>
      </w:r>
      <w:r>
        <w:rPr>
          <w:sz w:val="24"/>
          <w:szCs w:val="24"/>
        </w:rPr>
        <w:t>fie echipat cu p</w:t>
      </w:r>
      <w:r>
        <w:rPr>
          <w:rFonts w:eastAsia="CourierNew"/>
          <w:sz w:val="24"/>
          <w:szCs w:val="24"/>
        </w:rPr>
        <w:t>ă</w:t>
      </w:r>
      <w:r>
        <w:rPr>
          <w:sz w:val="24"/>
          <w:szCs w:val="24"/>
        </w:rPr>
        <w:t>tur</w:t>
      </w:r>
      <w:r>
        <w:rPr>
          <w:rFonts w:eastAsia="CourierNew"/>
          <w:sz w:val="24"/>
          <w:szCs w:val="24"/>
        </w:rPr>
        <w:t xml:space="preserve">ă </w:t>
      </w:r>
      <w:r>
        <w:rPr>
          <w:sz w:val="24"/>
          <w:szCs w:val="24"/>
        </w:rPr>
        <w:t>antifoc.</w:t>
      </w:r>
    </w:p>
    <w:p w14:paraId="397AAAF0" w14:textId="77777777" w:rsidR="001C08A5" w:rsidRDefault="00000000">
      <w:pPr>
        <w:ind w:left="720" w:firstLine="720"/>
        <w:jc w:val="both"/>
        <w:rPr>
          <w:sz w:val="24"/>
          <w:szCs w:val="24"/>
        </w:rPr>
      </w:pPr>
      <w:r>
        <w:rPr>
          <w:sz w:val="24"/>
          <w:szCs w:val="24"/>
        </w:rPr>
        <w:t>- în sting</w:t>
      </w:r>
      <w:r>
        <w:rPr>
          <w:rFonts w:eastAsia="CourierNew"/>
          <w:sz w:val="24"/>
          <w:szCs w:val="24"/>
        </w:rPr>
        <w:t>ă</w:t>
      </w:r>
      <w:r>
        <w:rPr>
          <w:sz w:val="24"/>
          <w:szCs w:val="24"/>
        </w:rPr>
        <w:t xml:space="preserve">tor mobil de minimum </w:t>
      </w:r>
      <w:r>
        <w:rPr>
          <w:b/>
          <w:bCs/>
          <w:sz w:val="24"/>
          <w:szCs w:val="24"/>
        </w:rPr>
        <w:t>50 de kg/l</w:t>
      </w:r>
      <w:r>
        <w:rPr>
          <w:sz w:val="24"/>
          <w:szCs w:val="24"/>
        </w:rPr>
        <w:t xml:space="preserve"> pentru fiecare structur</w:t>
      </w:r>
      <w:r>
        <w:rPr>
          <w:rFonts w:eastAsia="CourierNew"/>
          <w:sz w:val="24"/>
          <w:szCs w:val="24"/>
        </w:rPr>
        <w:t xml:space="preserve">ă </w:t>
      </w:r>
      <w:r>
        <w:rPr>
          <w:sz w:val="24"/>
          <w:szCs w:val="24"/>
        </w:rPr>
        <w:t>din cadrul amenaj</w:t>
      </w:r>
      <w:r>
        <w:rPr>
          <w:rFonts w:eastAsia="CourierNew"/>
          <w:sz w:val="24"/>
          <w:szCs w:val="24"/>
        </w:rPr>
        <w:t>ă</w:t>
      </w:r>
      <w:r>
        <w:rPr>
          <w:sz w:val="24"/>
          <w:szCs w:val="24"/>
        </w:rPr>
        <w:t>rilor temporare, cu suprafa</w:t>
      </w:r>
      <w:r>
        <w:rPr>
          <w:rFonts w:eastAsia="CourierNew"/>
          <w:sz w:val="24"/>
          <w:szCs w:val="24"/>
        </w:rPr>
        <w:t>ţ</w:t>
      </w:r>
      <w:r>
        <w:rPr>
          <w:sz w:val="24"/>
          <w:szCs w:val="24"/>
        </w:rPr>
        <w:t xml:space="preserve">a mai mare de </w:t>
      </w:r>
      <w:r>
        <w:rPr>
          <w:b/>
          <w:bCs/>
          <w:sz w:val="24"/>
          <w:szCs w:val="24"/>
        </w:rPr>
        <w:t xml:space="preserve">500 </w:t>
      </w:r>
      <w:r>
        <w:rPr>
          <w:b/>
          <w:bCs/>
          <w:sz w:val="24"/>
          <w:szCs w:val="24"/>
          <w:lang w:eastAsia="zh-CN"/>
        </w:rPr>
        <w:t>m</w:t>
      </w:r>
      <w:r>
        <w:rPr>
          <w:b/>
          <w:bCs/>
          <w:sz w:val="24"/>
          <w:szCs w:val="24"/>
          <w:vertAlign w:val="superscript"/>
          <w:lang w:eastAsia="zh-CN"/>
        </w:rPr>
        <w:t>2</w:t>
      </w:r>
      <w:r>
        <w:rPr>
          <w:b/>
          <w:bCs/>
          <w:sz w:val="24"/>
          <w:szCs w:val="24"/>
        </w:rPr>
        <w:t>.</w:t>
      </w:r>
    </w:p>
    <w:p w14:paraId="31FC96C6" w14:textId="77777777" w:rsidR="001C08A5" w:rsidRDefault="00000000">
      <w:pPr>
        <w:ind w:firstLine="720"/>
        <w:jc w:val="both"/>
        <w:rPr>
          <w:rFonts w:eastAsia="Times New Roman"/>
          <w:sz w:val="24"/>
          <w:szCs w:val="24"/>
        </w:rPr>
      </w:pPr>
      <w:r>
        <w:rPr>
          <w:b/>
          <w:sz w:val="24"/>
          <w:szCs w:val="24"/>
        </w:rPr>
        <w:t xml:space="preserve">(3) </w:t>
      </w:r>
      <w:r>
        <w:rPr>
          <w:rFonts w:eastAsia="Times New Roman"/>
          <w:sz w:val="24"/>
          <w:szCs w:val="24"/>
        </w:rPr>
        <w:t>Dotarea minim</w:t>
      </w:r>
      <w:r>
        <w:rPr>
          <w:rFonts w:eastAsia="TimesNewRoman"/>
          <w:sz w:val="24"/>
          <w:szCs w:val="24"/>
        </w:rPr>
        <w:t xml:space="preserve">ă </w:t>
      </w:r>
      <w:r>
        <w:rPr>
          <w:rFonts w:eastAsia="Times New Roman"/>
          <w:sz w:val="24"/>
          <w:szCs w:val="24"/>
        </w:rPr>
        <w:t>cu mijloace tehnice de ap</w:t>
      </w:r>
      <w:r>
        <w:rPr>
          <w:rFonts w:eastAsia="TimesNewRoman"/>
          <w:sz w:val="24"/>
          <w:szCs w:val="24"/>
        </w:rPr>
        <w:t>ă</w:t>
      </w:r>
      <w:r>
        <w:rPr>
          <w:rFonts w:eastAsia="Times New Roman"/>
          <w:sz w:val="24"/>
          <w:szCs w:val="24"/>
        </w:rPr>
        <w:t>rare împotriva incendiilor pentru amenaj</w:t>
      </w:r>
      <w:r>
        <w:rPr>
          <w:rFonts w:eastAsia="TimesNewRoman"/>
          <w:sz w:val="24"/>
          <w:szCs w:val="24"/>
        </w:rPr>
        <w:t>ă</w:t>
      </w:r>
      <w:r>
        <w:rPr>
          <w:rFonts w:eastAsia="Times New Roman"/>
          <w:sz w:val="24"/>
          <w:szCs w:val="24"/>
        </w:rPr>
        <w:t>ri temporare în aer liber:</w:t>
      </w:r>
    </w:p>
    <w:p w14:paraId="4230FEC0" w14:textId="77777777" w:rsidR="001C08A5" w:rsidRDefault="00000000">
      <w:pPr>
        <w:ind w:left="720" w:firstLine="720"/>
        <w:jc w:val="both"/>
        <w:rPr>
          <w:sz w:val="24"/>
          <w:szCs w:val="24"/>
        </w:rPr>
      </w:pPr>
      <w:r>
        <w:rPr>
          <w:sz w:val="24"/>
          <w:szCs w:val="24"/>
        </w:rPr>
        <w:t>- un sting</w:t>
      </w:r>
      <w:r>
        <w:rPr>
          <w:rFonts w:eastAsia="CourierNew"/>
          <w:sz w:val="24"/>
          <w:szCs w:val="24"/>
        </w:rPr>
        <w:t>ă</w:t>
      </w:r>
      <w:r>
        <w:rPr>
          <w:sz w:val="24"/>
          <w:szCs w:val="24"/>
        </w:rPr>
        <w:t>tor portativ cu pulbere la fiecare instala</w:t>
      </w:r>
      <w:r>
        <w:rPr>
          <w:rFonts w:eastAsia="CourierNew"/>
          <w:sz w:val="24"/>
          <w:szCs w:val="24"/>
        </w:rPr>
        <w:t>ţ</w:t>
      </w:r>
      <w:r>
        <w:rPr>
          <w:sz w:val="24"/>
          <w:szCs w:val="24"/>
        </w:rPr>
        <w:t>ie sau utilaj de agrement;</w:t>
      </w:r>
    </w:p>
    <w:p w14:paraId="6CA9D6E7" w14:textId="77777777" w:rsidR="001C08A5" w:rsidRDefault="00000000">
      <w:pPr>
        <w:ind w:left="720" w:firstLine="720"/>
        <w:jc w:val="both"/>
        <w:rPr>
          <w:sz w:val="24"/>
          <w:szCs w:val="24"/>
        </w:rPr>
      </w:pPr>
      <w:r>
        <w:rPr>
          <w:sz w:val="24"/>
          <w:szCs w:val="24"/>
        </w:rPr>
        <w:t>- un sting</w:t>
      </w:r>
      <w:r>
        <w:rPr>
          <w:rFonts w:eastAsia="CourierNew"/>
          <w:sz w:val="24"/>
          <w:szCs w:val="24"/>
        </w:rPr>
        <w:t>ă</w:t>
      </w:r>
      <w:r>
        <w:rPr>
          <w:sz w:val="24"/>
          <w:szCs w:val="24"/>
        </w:rPr>
        <w:t>tor portativ pentru echipamente electrice (tablouri electrice, echipamente electronice ori informatice etc.) - un sting</w:t>
      </w:r>
      <w:r>
        <w:rPr>
          <w:rFonts w:eastAsia="CourierNew"/>
          <w:sz w:val="24"/>
          <w:szCs w:val="24"/>
        </w:rPr>
        <w:t>ă</w:t>
      </w:r>
      <w:r>
        <w:rPr>
          <w:sz w:val="24"/>
          <w:szCs w:val="24"/>
        </w:rPr>
        <w:t xml:space="preserve">tor cu </w:t>
      </w:r>
      <w:r>
        <w:rPr>
          <w:b/>
          <w:bCs/>
          <w:sz w:val="24"/>
          <w:szCs w:val="24"/>
        </w:rPr>
        <w:t>CO</w:t>
      </w:r>
      <w:r>
        <w:rPr>
          <w:b/>
          <w:bCs/>
          <w:sz w:val="24"/>
          <w:szCs w:val="24"/>
          <w:vertAlign w:val="subscript"/>
        </w:rPr>
        <w:t>2</w:t>
      </w:r>
      <w:r>
        <w:rPr>
          <w:sz w:val="24"/>
          <w:szCs w:val="24"/>
        </w:rPr>
        <w:t xml:space="preserve">, pentru focar minim </w:t>
      </w:r>
      <w:r>
        <w:rPr>
          <w:b/>
          <w:bCs/>
          <w:sz w:val="24"/>
          <w:szCs w:val="24"/>
        </w:rPr>
        <w:t>55B</w:t>
      </w:r>
      <w:r>
        <w:rPr>
          <w:sz w:val="24"/>
          <w:szCs w:val="24"/>
        </w:rPr>
        <w:t>;</w:t>
      </w:r>
    </w:p>
    <w:p w14:paraId="4AA63CE0" w14:textId="77777777" w:rsidR="001C08A5" w:rsidRDefault="00000000">
      <w:pPr>
        <w:ind w:left="720" w:firstLine="720"/>
        <w:jc w:val="both"/>
        <w:rPr>
          <w:sz w:val="24"/>
          <w:szCs w:val="24"/>
        </w:rPr>
      </w:pPr>
      <w:r>
        <w:rPr>
          <w:sz w:val="24"/>
          <w:szCs w:val="24"/>
        </w:rPr>
        <w:t>- în buc</w:t>
      </w:r>
      <w:r>
        <w:rPr>
          <w:rFonts w:eastAsia="CourierNew"/>
          <w:sz w:val="24"/>
          <w:szCs w:val="24"/>
        </w:rPr>
        <w:t>ă</w:t>
      </w:r>
      <w:r>
        <w:rPr>
          <w:sz w:val="24"/>
          <w:szCs w:val="24"/>
        </w:rPr>
        <w:t>t</w:t>
      </w:r>
      <w:r>
        <w:rPr>
          <w:rFonts w:eastAsia="CourierNew"/>
          <w:sz w:val="24"/>
          <w:szCs w:val="24"/>
        </w:rPr>
        <w:t>ă</w:t>
      </w:r>
      <w:r>
        <w:rPr>
          <w:sz w:val="24"/>
          <w:szCs w:val="24"/>
        </w:rPr>
        <w:t>rii se recomand</w:t>
      </w:r>
      <w:r>
        <w:rPr>
          <w:rFonts w:eastAsia="CourierNew"/>
          <w:sz w:val="24"/>
          <w:szCs w:val="24"/>
        </w:rPr>
        <w:t xml:space="preserve">ă </w:t>
      </w:r>
      <w:r>
        <w:rPr>
          <w:sz w:val="24"/>
          <w:szCs w:val="24"/>
        </w:rPr>
        <w:t>ca fiecare aparat de g</w:t>
      </w:r>
      <w:r>
        <w:rPr>
          <w:rFonts w:eastAsia="CourierNew"/>
          <w:sz w:val="24"/>
          <w:szCs w:val="24"/>
        </w:rPr>
        <w:t>ă</w:t>
      </w:r>
      <w:r>
        <w:rPr>
          <w:sz w:val="24"/>
          <w:szCs w:val="24"/>
        </w:rPr>
        <w:t>tit s</w:t>
      </w:r>
      <w:r>
        <w:rPr>
          <w:rFonts w:eastAsia="CourierNew"/>
          <w:sz w:val="24"/>
          <w:szCs w:val="24"/>
        </w:rPr>
        <w:t xml:space="preserve">ă </w:t>
      </w:r>
      <w:r>
        <w:rPr>
          <w:sz w:val="24"/>
          <w:szCs w:val="24"/>
        </w:rPr>
        <w:t>fie echipat cu p</w:t>
      </w:r>
      <w:r>
        <w:rPr>
          <w:rFonts w:eastAsia="CourierNew"/>
          <w:sz w:val="24"/>
          <w:szCs w:val="24"/>
        </w:rPr>
        <w:t>ă</w:t>
      </w:r>
      <w:r>
        <w:rPr>
          <w:sz w:val="24"/>
          <w:szCs w:val="24"/>
        </w:rPr>
        <w:t>tur</w:t>
      </w:r>
      <w:r>
        <w:rPr>
          <w:rFonts w:eastAsia="CourierNew"/>
          <w:sz w:val="24"/>
          <w:szCs w:val="24"/>
        </w:rPr>
        <w:t xml:space="preserve">ă </w:t>
      </w:r>
      <w:r>
        <w:rPr>
          <w:sz w:val="24"/>
          <w:szCs w:val="24"/>
        </w:rPr>
        <w:t xml:space="preserve">antifoc; </w:t>
      </w:r>
    </w:p>
    <w:p w14:paraId="667A3903" w14:textId="77777777" w:rsidR="001C08A5" w:rsidRDefault="00000000">
      <w:pPr>
        <w:ind w:left="720" w:firstLine="720"/>
        <w:jc w:val="both"/>
        <w:rPr>
          <w:sz w:val="24"/>
          <w:szCs w:val="24"/>
        </w:rPr>
      </w:pPr>
      <w:r>
        <w:rPr>
          <w:sz w:val="24"/>
          <w:szCs w:val="24"/>
        </w:rPr>
        <w:t>- un sting</w:t>
      </w:r>
      <w:r>
        <w:rPr>
          <w:rFonts w:eastAsia="CourierNew"/>
          <w:sz w:val="24"/>
          <w:szCs w:val="24"/>
        </w:rPr>
        <w:t>ă</w:t>
      </w:r>
      <w:r>
        <w:rPr>
          <w:sz w:val="24"/>
          <w:szCs w:val="24"/>
        </w:rPr>
        <w:t xml:space="preserve">tor mobil de minimum </w:t>
      </w:r>
      <w:r>
        <w:rPr>
          <w:b/>
          <w:bCs/>
          <w:sz w:val="24"/>
          <w:szCs w:val="24"/>
        </w:rPr>
        <w:t>50 de kg/l</w:t>
      </w:r>
      <w:r>
        <w:rPr>
          <w:sz w:val="24"/>
          <w:szCs w:val="24"/>
        </w:rPr>
        <w:t xml:space="preserve"> pentru fiecare structur</w:t>
      </w:r>
      <w:r>
        <w:rPr>
          <w:rFonts w:eastAsia="CourierNew"/>
          <w:sz w:val="24"/>
          <w:szCs w:val="24"/>
        </w:rPr>
        <w:t xml:space="preserve">ă </w:t>
      </w:r>
      <w:r>
        <w:rPr>
          <w:sz w:val="24"/>
          <w:szCs w:val="24"/>
        </w:rPr>
        <w:t>din cadrul amenaj</w:t>
      </w:r>
      <w:r>
        <w:rPr>
          <w:rFonts w:eastAsia="CourierNew"/>
          <w:sz w:val="24"/>
          <w:szCs w:val="24"/>
        </w:rPr>
        <w:t>ă</w:t>
      </w:r>
      <w:r>
        <w:rPr>
          <w:sz w:val="24"/>
          <w:szCs w:val="24"/>
        </w:rPr>
        <w:t>rilor temporare, cu suprafa</w:t>
      </w:r>
      <w:r>
        <w:rPr>
          <w:rFonts w:eastAsia="CourierNew"/>
          <w:sz w:val="24"/>
          <w:szCs w:val="24"/>
        </w:rPr>
        <w:t>ţ</w:t>
      </w:r>
      <w:r>
        <w:rPr>
          <w:sz w:val="24"/>
          <w:szCs w:val="24"/>
        </w:rPr>
        <w:t xml:space="preserve">a mai mare de </w:t>
      </w:r>
      <w:r>
        <w:rPr>
          <w:b/>
          <w:bCs/>
          <w:sz w:val="24"/>
          <w:szCs w:val="24"/>
        </w:rPr>
        <w:t xml:space="preserve">500 </w:t>
      </w:r>
      <w:r>
        <w:rPr>
          <w:b/>
          <w:bCs/>
          <w:sz w:val="24"/>
          <w:szCs w:val="24"/>
          <w:lang w:eastAsia="zh-CN"/>
        </w:rPr>
        <w:t>m</w:t>
      </w:r>
      <w:r>
        <w:rPr>
          <w:b/>
          <w:bCs/>
          <w:sz w:val="24"/>
          <w:szCs w:val="24"/>
          <w:vertAlign w:val="superscript"/>
          <w:lang w:eastAsia="zh-CN"/>
        </w:rPr>
        <w:t>2</w:t>
      </w:r>
      <w:r>
        <w:rPr>
          <w:sz w:val="24"/>
          <w:szCs w:val="24"/>
        </w:rPr>
        <w:t>;</w:t>
      </w:r>
    </w:p>
    <w:p w14:paraId="79EA078C" w14:textId="77777777" w:rsidR="001C08A5" w:rsidRDefault="00000000">
      <w:pPr>
        <w:ind w:left="720" w:firstLine="720"/>
        <w:jc w:val="both"/>
        <w:rPr>
          <w:sz w:val="24"/>
          <w:szCs w:val="24"/>
        </w:rPr>
      </w:pPr>
      <w:r>
        <w:rPr>
          <w:sz w:val="24"/>
          <w:szCs w:val="24"/>
        </w:rPr>
        <w:t>- dou</w:t>
      </w:r>
      <w:r>
        <w:rPr>
          <w:rFonts w:eastAsia="CourierNew"/>
          <w:sz w:val="24"/>
          <w:szCs w:val="24"/>
        </w:rPr>
        <w:t xml:space="preserve">ă </w:t>
      </w:r>
      <w:r>
        <w:rPr>
          <w:sz w:val="24"/>
          <w:szCs w:val="24"/>
        </w:rPr>
        <w:t>sting</w:t>
      </w:r>
      <w:r>
        <w:rPr>
          <w:rFonts w:eastAsia="CourierNew"/>
          <w:sz w:val="24"/>
          <w:szCs w:val="24"/>
        </w:rPr>
        <w:t>ă</w:t>
      </w:r>
      <w:r>
        <w:rPr>
          <w:sz w:val="24"/>
          <w:szCs w:val="24"/>
        </w:rPr>
        <w:t>toare portative pentru fiecare scen</w:t>
      </w:r>
      <w:r>
        <w:rPr>
          <w:rFonts w:eastAsia="CourierNew"/>
          <w:sz w:val="24"/>
          <w:szCs w:val="24"/>
        </w:rPr>
        <w:t xml:space="preserve">ă </w:t>
      </w:r>
      <w:r>
        <w:rPr>
          <w:sz w:val="24"/>
          <w:szCs w:val="24"/>
        </w:rPr>
        <w:t>amenajat</w:t>
      </w:r>
      <w:r>
        <w:rPr>
          <w:rFonts w:eastAsia="CourierNew"/>
          <w:sz w:val="24"/>
          <w:szCs w:val="24"/>
        </w:rPr>
        <w:t>ă</w:t>
      </w:r>
      <w:r>
        <w:rPr>
          <w:sz w:val="24"/>
          <w:szCs w:val="24"/>
        </w:rPr>
        <w:t xml:space="preserve">, fiecare pentru focar minim </w:t>
      </w:r>
      <w:r>
        <w:rPr>
          <w:b/>
          <w:bCs/>
          <w:sz w:val="24"/>
          <w:szCs w:val="24"/>
        </w:rPr>
        <w:t>34A, 144B</w:t>
      </w:r>
      <w:r>
        <w:rPr>
          <w:sz w:val="24"/>
          <w:szCs w:val="24"/>
        </w:rPr>
        <w:t>.</w:t>
      </w:r>
    </w:p>
    <w:p w14:paraId="22306F6F" w14:textId="77777777" w:rsidR="001C08A5" w:rsidRDefault="001C08A5">
      <w:pPr>
        <w:ind w:left="720" w:firstLine="720"/>
        <w:jc w:val="both"/>
        <w:rPr>
          <w:sz w:val="24"/>
          <w:szCs w:val="24"/>
        </w:rPr>
      </w:pPr>
    </w:p>
    <w:p w14:paraId="372FCC9E" w14:textId="77777777" w:rsidR="001C08A5" w:rsidRDefault="00000000">
      <w:pPr>
        <w:ind w:firstLine="720"/>
        <w:jc w:val="both"/>
        <w:rPr>
          <w:sz w:val="24"/>
          <w:szCs w:val="24"/>
        </w:rPr>
      </w:pPr>
      <w:r>
        <w:rPr>
          <w:b/>
          <w:sz w:val="24"/>
          <w:szCs w:val="24"/>
        </w:rPr>
        <w:t xml:space="preserve">Art. 3.3.3.8. </w:t>
      </w:r>
      <w:r>
        <w:rPr>
          <w:sz w:val="24"/>
          <w:szCs w:val="24"/>
        </w:rPr>
        <w:t xml:space="preserve">Amenajările neacoperite în aer liber vor avea asigurate condiţii de acces şi intervenţie a autospecialelor de stingere în caz de incendiu, cel puţin pe </w:t>
      </w:r>
      <w:r>
        <w:rPr>
          <w:b/>
          <w:bCs/>
          <w:sz w:val="24"/>
          <w:szCs w:val="24"/>
        </w:rPr>
        <w:t>2</w:t>
      </w:r>
      <w:r>
        <w:rPr>
          <w:sz w:val="24"/>
          <w:szCs w:val="24"/>
        </w:rPr>
        <w:t xml:space="preserve"> laturi.  </w:t>
      </w:r>
    </w:p>
    <w:p w14:paraId="3FC99454" w14:textId="77777777" w:rsidR="001C08A5" w:rsidRDefault="00000000">
      <w:pPr>
        <w:pStyle w:val="Heading4"/>
      </w:pPr>
      <w:bookmarkStart w:id="4134" w:name="_Toc6674"/>
      <w:bookmarkStart w:id="4135" w:name="_Toc9883"/>
      <w:bookmarkStart w:id="4136" w:name="_Toc23505"/>
      <w:bookmarkStart w:id="4137" w:name="_Toc26982"/>
      <w:bookmarkStart w:id="4138" w:name="_Toc28224"/>
      <w:bookmarkStart w:id="4139" w:name="_Toc162355304"/>
      <w:bookmarkStart w:id="4140" w:name="_Toc30686"/>
      <w:bookmarkStart w:id="4141" w:name="_Toc21536"/>
      <w:r>
        <w:t>3.3.4. Campinguri</w:t>
      </w:r>
      <w:bookmarkEnd w:id="4134"/>
      <w:bookmarkEnd w:id="4135"/>
      <w:bookmarkEnd w:id="4136"/>
      <w:bookmarkEnd w:id="4137"/>
      <w:bookmarkEnd w:id="4138"/>
      <w:bookmarkEnd w:id="4139"/>
      <w:bookmarkEnd w:id="4140"/>
      <w:bookmarkEnd w:id="4141"/>
    </w:p>
    <w:p w14:paraId="334C2692" w14:textId="77777777" w:rsidR="001C08A5" w:rsidRDefault="001C08A5">
      <w:pPr>
        <w:jc w:val="both"/>
        <w:rPr>
          <w:sz w:val="24"/>
          <w:szCs w:val="24"/>
        </w:rPr>
      </w:pPr>
    </w:p>
    <w:p w14:paraId="0B707088" w14:textId="77777777" w:rsidR="001C08A5" w:rsidRDefault="00000000">
      <w:pPr>
        <w:jc w:val="both"/>
        <w:rPr>
          <w:sz w:val="24"/>
          <w:szCs w:val="24"/>
        </w:rPr>
      </w:pPr>
      <w:r>
        <w:rPr>
          <w:b/>
          <w:sz w:val="24"/>
          <w:szCs w:val="24"/>
        </w:rPr>
        <w:tab/>
        <w:t xml:space="preserve">Art. 3.3.4.1. </w:t>
      </w:r>
      <w:r>
        <w:rPr>
          <w:sz w:val="24"/>
          <w:szCs w:val="24"/>
        </w:rPr>
        <w:t>Campingurile (amenajările pentru amplasarea corturilor, rulotelor, căsuţelor provizorii etc.), cu sau fără construcţii utilitare, vor respecta prevederilor normativului şi ale reglementărilor specifice.</w:t>
      </w:r>
    </w:p>
    <w:p w14:paraId="7399BB70" w14:textId="77777777" w:rsidR="001C08A5" w:rsidRDefault="001C08A5">
      <w:pPr>
        <w:jc w:val="both"/>
        <w:rPr>
          <w:sz w:val="24"/>
          <w:szCs w:val="24"/>
        </w:rPr>
      </w:pPr>
    </w:p>
    <w:p w14:paraId="6BB8B411" w14:textId="77777777" w:rsidR="001C08A5" w:rsidRDefault="00000000">
      <w:pPr>
        <w:jc w:val="both"/>
        <w:rPr>
          <w:sz w:val="24"/>
          <w:szCs w:val="24"/>
        </w:rPr>
      </w:pPr>
      <w:r>
        <w:rPr>
          <w:b/>
          <w:sz w:val="24"/>
          <w:szCs w:val="24"/>
        </w:rPr>
        <w:tab/>
        <w:t xml:space="preserve">Art. 3.3.4.2. </w:t>
      </w:r>
      <w:r>
        <w:rPr>
          <w:sz w:val="24"/>
          <w:szCs w:val="24"/>
        </w:rPr>
        <w:t>Construcţiile utilitare și anexe ale campingurilor (comerţ, cluburi, discoteci, restaurante, agrement, grupuri sociale, centrale şi spaţii tehnice etc.), vor respecta prevederile privind performanțele specifice prevăzute în normativ şi în reglementările tehnice de specialitate.</w:t>
      </w:r>
    </w:p>
    <w:p w14:paraId="27E0DE19" w14:textId="77777777" w:rsidR="001C08A5" w:rsidRDefault="00000000">
      <w:pPr>
        <w:jc w:val="both"/>
        <w:rPr>
          <w:b/>
          <w:sz w:val="24"/>
          <w:szCs w:val="24"/>
        </w:rPr>
      </w:pPr>
      <w:r>
        <w:rPr>
          <w:sz w:val="24"/>
          <w:szCs w:val="24"/>
        </w:rPr>
        <w:tab/>
      </w:r>
    </w:p>
    <w:p w14:paraId="78B52A8A" w14:textId="77777777" w:rsidR="001C08A5" w:rsidRDefault="00000000">
      <w:pPr>
        <w:jc w:val="both"/>
        <w:rPr>
          <w:sz w:val="24"/>
          <w:szCs w:val="24"/>
        </w:rPr>
      </w:pPr>
      <w:r>
        <w:rPr>
          <w:b/>
          <w:sz w:val="24"/>
          <w:szCs w:val="24"/>
        </w:rPr>
        <w:lastRenderedPageBreak/>
        <w:tab/>
        <w:t xml:space="preserve">Art. 3.3.4.3. </w:t>
      </w:r>
      <w:r>
        <w:rPr>
          <w:sz w:val="24"/>
          <w:szCs w:val="24"/>
        </w:rPr>
        <w:t xml:space="preserve">Campingurile se recomanda sa fie amplasate la distanţe de minimum </w:t>
      </w:r>
      <w:r>
        <w:rPr>
          <w:b/>
          <w:sz w:val="24"/>
          <w:szCs w:val="24"/>
        </w:rPr>
        <w:t>50</w:t>
      </w:r>
      <w:r>
        <w:rPr>
          <w:sz w:val="24"/>
          <w:szCs w:val="24"/>
        </w:rPr>
        <w:t xml:space="preserve"> m faţă de construcţii învecinate,  inclusiv faţă de drumuri internaţionale sau naţionale şi la minimum </w:t>
      </w:r>
      <w:r>
        <w:rPr>
          <w:b/>
          <w:sz w:val="24"/>
          <w:szCs w:val="24"/>
        </w:rPr>
        <w:t>100</w:t>
      </w:r>
      <w:r>
        <w:rPr>
          <w:sz w:val="24"/>
          <w:szCs w:val="24"/>
        </w:rPr>
        <w:t xml:space="preserve"> m faţă de linii curente de cale ferată.</w:t>
      </w:r>
    </w:p>
    <w:p w14:paraId="592DD895" w14:textId="77777777" w:rsidR="001C08A5" w:rsidRDefault="001C08A5">
      <w:pPr>
        <w:jc w:val="both"/>
        <w:rPr>
          <w:sz w:val="24"/>
          <w:szCs w:val="24"/>
        </w:rPr>
      </w:pPr>
    </w:p>
    <w:p w14:paraId="4EDAAE0F" w14:textId="77777777" w:rsidR="001C08A5" w:rsidRDefault="00000000">
      <w:pPr>
        <w:jc w:val="both"/>
        <w:rPr>
          <w:sz w:val="24"/>
          <w:szCs w:val="24"/>
        </w:rPr>
      </w:pPr>
      <w:r>
        <w:rPr>
          <w:b/>
          <w:sz w:val="24"/>
          <w:szCs w:val="24"/>
        </w:rPr>
        <w:tab/>
        <w:t xml:space="preserve">Art. 3.3.4.4. (1) </w:t>
      </w:r>
      <w:r>
        <w:rPr>
          <w:sz w:val="24"/>
          <w:szCs w:val="24"/>
        </w:rPr>
        <w:t xml:space="preserve">Prin organizarea incintelor campingurilor se va asigura realizarea unor platforme de campare cu aria de maximum </w:t>
      </w:r>
      <w:r>
        <w:rPr>
          <w:b/>
          <w:sz w:val="24"/>
          <w:szCs w:val="24"/>
        </w:rPr>
        <w:t>1.000</w:t>
      </w:r>
      <w:r>
        <w:rPr>
          <w:sz w:val="24"/>
          <w:szCs w:val="24"/>
        </w:rPr>
        <w:t xml:space="preserve"> m</w:t>
      </w:r>
      <w:r>
        <w:rPr>
          <w:sz w:val="24"/>
          <w:szCs w:val="24"/>
          <w:vertAlign w:val="superscript"/>
        </w:rPr>
        <w:t>2</w:t>
      </w:r>
      <w:r>
        <w:rPr>
          <w:sz w:val="24"/>
          <w:szCs w:val="24"/>
        </w:rPr>
        <w:t>, delimitate de circulaţii carosabile marcate corespunzător, care să permită intervenţia utilajelor de stingere a incendiilor.</w:t>
      </w:r>
    </w:p>
    <w:p w14:paraId="36545ECD" w14:textId="77777777" w:rsidR="001C08A5" w:rsidRDefault="00000000">
      <w:pPr>
        <w:ind w:firstLine="720"/>
        <w:jc w:val="both"/>
        <w:rPr>
          <w:sz w:val="24"/>
          <w:szCs w:val="24"/>
        </w:rPr>
      </w:pPr>
      <w:r>
        <w:rPr>
          <w:b/>
          <w:sz w:val="24"/>
          <w:szCs w:val="24"/>
        </w:rPr>
        <w:t xml:space="preserve">(2) </w:t>
      </w:r>
      <w:r>
        <w:rPr>
          <w:sz w:val="24"/>
          <w:szCs w:val="24"/>
        </w:rPr>
        <w:t xml:space="preserve">Pentru limitarea propagării incendiilor între platformele de campare (fiecare având maximum </w:t>
      </w:r>
      <w:r>
        <w:rPr>
          <w:b/>
          <w:bCs/>
          <w:sz w:val="24"/>
          <w:szCs w:val="24"/>
        </w:rPr>
        <w:t>1000 m</w:t>
      </w:r>
      <w:r>
        <w:rPr>
          <w:b/>
          <w:bCs/>
          <w:sz w:val="24"/>
          <w:szCs w:val="24"/>
          <w:vertAlign w:val="superscript"/>
        </w:rPr>
        <w:t>2</w:t>
      </w:r>
      <w:r>
        <w:rPr>
          <w:sz w:val="24"/>
          <w:szCs w:val="24"/>
        </w:rPr>
        <w:t xml:space="preserve">), se asigură cel puţin distanţa de siguranţă  normată între construcţii cu nivelul </w:t>
      </w:r>
      <w:r>
        <w:rPr>
          <w:b/>
          <w:sz w:val="24"/>
          <w:szCs w:val="24"/>
        </w:rPr>
        <w:t>V</w:t>
      </w:r>
      <w:r>
        <w:rPr>
          <w:sz w:val="24"/>
          <w:szCs w:val="24"/>
        </w:rPr>
        <w:t xml:space="preserve"> de stabilitate la incendiu.</w:t>
      </w:r>
    </w:p>
    <w:p w14:paraId="5DC5A0C8" w14:textId="77777777" w:rsidR="001C08A5" w:rsidRDefault="001C08A5">
      <w:pPr>
        <w:jc w:val="both"/>
        <w:rPr>
          <w:sz w:val="24"/>
          <w:szCs w:val="24"/>
        </w:rPr>
      </w:pPr>
    </w:p>
    <w:p w14:paraId="01B60F59" w14:textId="77777777" w:rsidR="001C08A5" w:rsidRDefault="00000000">
      <w:pPr>
        <w:jc w:val="both"/>
        <w:rPr>
          <w:sz w:val="24"/>
          <w:szCs w:val="24"/>
        </w:rPr>
      </w:pPr>
      <w:r>
        <w:rPr>
          <w:b/>
          <w:sz w:val="24"/>
          <w:szCs w:val="24"/>
        </w:rPr>
        <w:tab/>
        <w:t xml:space="preserve">Art. 3.3.4.5. </w:t>
      </w:r>
      <w:r>
        <w:rPr>
          <w:bCs/>
          <w:sz w:val="24"/>
          <w:szCs w:val="24"/>
        </w:rPr>
        <w:t>Se recomandă ca la campingurile</w:t>
      </w:r>
      <w:r>
        <w:rPr>
          <w:sz w:val="24"/>
          <w:szCs w:val="24"/>
        </w:rPr>
        <w:t xml:space="preserve"> cu aria totală mai mare de </w:t>
      </w:r>
      <w:r>
        <w:rPr>
          <w:b/>
          <w:sz w:val="24"/>
          <w:szCs w:val="24"/>
        </w:rPr>
        <w:t>3.000</w:t>
      </w:r>
      <w:r>
        <w:rPr>
          <w:sz w:val="24"/>
          <w:szCs w:val="24"/>
        </w:rPr>
        <w:t xml:space="preserve"> </w:t>
      </w:r>
      <w:r>
        <w:rPr>
          <w:b/>
          <w:bCs/>
          <w:sz w:val="24"/>
          <w:szCs w:val="24"/>
        </w:rPr>
        <w:t>m</w:t>
      </w:r>
      <w:r>
        <w:rPr>
          <w:b/>
          <w:bCs/>
          <w:sz w:val="24"/>
          <w:szCs w:val="24"/>
          <w:vertAlign w:val="superscript"/>
        </w:rPr>
        <w:t>2</w:t>
      </w:r>
      <w:r>
        <w:rPr>
          <w:sz w:val="24"/>
          <w:szCs w:val="24"/>
          <w:vertAlign w:val="superscript"/>
        </w:rPr>
        <w:t xml:space="preserve"> </w:t>
      </w:r>
      <w:r>
        <w:rPr>
          <w:sz w:val="24"/>
          <w:szCs w:val="24"/>
        </w:rPr>
        <w:t>să se prevădă cu mijloace de alarmare a utilizatorilor și cu posibilităţi de alertare a unităţilor de intervenţie în caz de incendiu.</w:t>
      </w:r>
    </w:p>
    <w:p w14:paraId="40777205" w14:textId="77777777" w:rsidR="001C08A5" w:rsidRDefault="00000000">
      <w:pPr>
        <w:jc w:val="both"/>
        <w:rPr>
          <w:sz w:val="24"/>
          <w:szCs w:val="24"/>
        </w:rPr>
      </w:pPr>
      <w:r>
        <w:rPr>
          <w:b/>
          <w:sz w:val="24"/>
          <w:szCs w:val="24"/>
        </w:rPr>
        <w:tab/>
        <w:t xml:space="preserve">Art. 3.3.4.6. (1) </w:t>
      </w:r>
      <w:r>
        <w:rPr>
          <w:bCs/>
          <w:sz w:val="24"/>
          <w:szCs w:val="24"/>
        </w:rPr>
        <w:t>Se recomandă</w:t>
      </w:r>
      <w:r>
        <w:rPr>
          <w:sz w:val="24"/>
          <w:szCs w:val="24"/>
        </w:rPr>
        <w:t xml:space="preserve"> ca la campingurile cu aria de </w:t>
      </w:r>
      <w:r>
        <w:rPr>
          <w:b/>
          <w:sz w:val="24"/>
          <w:szCs w:val="24"/>
        </w:rPr>
        <w:t>5.000</w:t>
      </w:r>
      <w:r>
        <w:rPr>
          <w:sz w:val="24"/>
          <w:szCs w:val="24"/>
        </w:rPr>
        <w:t xml:space="preserve"> </w:t>
      </w:r>
      <w:r>
        <w:rPr>
          <w:b/>
          <w:bCs/>
          <w:sz w:val="24"/>
          <w:szCs w:val="24"/>
        </w:rPr>
        <w:t>m</w:t>
      </w:r>
      <w:r>
        <w:rPr>
          <w:b/>
          <w:bCs/>
          <w:sz w:val="24"/>
          <w:szCs w:val="24"/>
          <w:vertAlign w:val="superscript"/>
        </w:rPr>
        <w:t>2</w:t>
      </w:r>
      <w:r>
        <w:rPr>
          <w:sz w:val="24"/>
          <w:szCs w:val="24"/>
        </w:rPr>
        <w:t xml:space="preserve"> şi mai mult, se asigură instalaţii de stingere a incendiilor cu reţele de hidranţi exteriori de incendiu sau se asigură bazine de apă și pompe mobile sau fixe de stingere. Debitul de stingere a incendiului va fi de minimum </w:t>
      </w:r>
      <w:r>
        <w:rPr>
          <w:b/>
          <w:sz w:val="24"/>
          <w:szCs w:val="24"/>
        </w:rPr>
        <w:t>5 l/s</w:t>
      </w:r>
      <w:r>
        <w:rPr>
          <w:sz w:val="24"/>
          <w:szCs w:val="24"/>
        </w:rPr>
        <w:t>, pentru o perioadă de funcţionare de</w:t>
      </w:r>
      <w:r>
        <w:rPr>
          <w:b/>
          <w:bCs/>
          <w:sz w:val="24"/>
          <w:szCs w:val="24"/>
        </w:rPr>
        <w:t xml:space="preserve"> 60</w:t>
      </w:r>
      <w:r>
        <w:rPr>
          <w:sz w:val="24"/>
          <w:szCs w:val="24"/>
        </w:rPr>
        <w:t xml:space="preserve"> de minute.</w:t>
      </w:r>
    </w:p>
    <w:p w14:paraId="415DF57F" w14:textId="77777777" w:rsidR="001C08A5" w:rsidRDefault="00000000">
      <w:pPr>
        <w:jc w:val="both"/>
        <w:rPr>
          <w:b/>
          <w:sz w:val="24"/>
          <w:szCs w:val="24"/>
        </w:rPr>
      </w:pPr>
      <w:r>
        <w:rPr>
          <w:sz w:val="24"/>
          <w:szCs w:val="24"/>
        </w:rPr>
        <w:tab/>
      </w:r>
      <w:r>
        <w:rPr>
          <w:b/>
          <w:sz w:val="24"/>
          <w:szCs w:val="24"/>
        </w:rPr>
        <w:t xml:space="preserve">(2) </w:t>
      </w:r>
      <w:r>
        <w:rPr>
          <w:sz w:val="24"/>
          <w:szCs w:val="24"/>
        </w:rPr>
        <w:t>Campingurile și construcţiile utilitare acestora, se echipează și dotează cu mijloace tehnice de apărare împotriva incendiilor, conform prevederilor  normativului şi ale reglementărilor tehnice de specialitate.</w:t>
      </w:r>
    </w:p>
    <w:p w14:paraId="4C9FE526" w14:textId="77777777" w:rsidR="001C08A5" w:rsidRDefault="00000000">
      <w:pPr>
        <w:jc w:val="both"/>
        <w:rPr>
          <w:b/>
          <w:sz w:val="24"/>
          <w:szCs w:val="24"/>
        </w:rPr>
      </w:pPr>
      <w:r>
        <w:rPr>
          <w:b/>
          <w:sz w:val="24"/>
          <w:szCs w:val="24"/>
        </w:rPr>
        <w:tab/>
      </w:r>
      <w:r>
        <w:rPr>
          <w:sz w:val="24"/>
          <w:szCs w:val="24"/>
        </w:rPr>
        <w:tab/>
      </w:r>
      <w:r>
        <w:rPr>
          <w:sz w:val="24"/>
          <w:szCs w:val="24"/>
        </w:rPr>
        <w:tab/>
      </w:r>
    </w:p>
    <w:p w14:paraId="2D26BEBE" w14:textId="77777777" w:rsidR="001C08A5" w:rsidRDefault="00000000">
      <w:pPr>
        <w:jc w:val="both"/>
        <w:rPr>
          <w:sz w:val="24"/>
          <w:szCs w:val="24"/>
        </w:rPr>
      </w:pPr>
      <w:r>
        <w:rPr>
          <w:b/>
          <w:sz w:val="24"/>
          <w:szCs w:val="24"/>
        </w:rPr>
        <w:tab/>
        <w:t xml:space="preserve">Art. 3.3.4.7. </w:t>
      </w:r>
      <w:r>
        <w:rPr>
          <w:sz w:val="24"/>
          <w:szCs w:val="24"/>
        </w:rPr>
        <w:t>Campingurile vor avea asigurate posibilităţi de acces şi intervenţie a autospecialelor de stingere în caz de incendiu, cel puţin pe o latură.</w:t>
      </w:r>
    </w:p>
    <w:p w14:paraId="427053FE" w14:textId="77777777" w:rsidR="001C08A5" w:rsidRDefault="001C08A5">
      <w:pPr>
        <w:jc w:val="both"/>
        <w:rPr>
          <w:sz w:val="24"/>
          <w:szCs w:val="24"/>
        </w:rPr>
      </w:pPr>
    </w:p>
    <w:p w14:paraId="6A53105C" w14:textId="77777777" w:rsidR="001C08A5" w:rsidRDefault="00000000">
      <w:pPr>
        <w:jc w:val="both"/>
        <w:rPr>
          <w:sz w:val="24"/>
          <w:szCs w:val="24"/>
        </w:rPr>
      </w:pPr>
      <w:r>
        <w:rPr>
          <w:b/>
          <w:sz w:val="24"/>
          <w:szCs w:val="24"/>
        </w:rPr>
        <w:tab/>
        <w:t xml:space="preserve">Art. 3.3.4.8. </w:t>
      </w:r>
      <w:r>
        <w:rPr>
          <w:sz w:val="24"/>
          <w:szCs w:val="24"/>
        </w:rPr>
        <w:t>La campinguri se constituie și organizează servicii pentru situaţii de urgenţă potrivit reglementărilor specifice.</w:t>
      </w:r>
    </w:p>
    <w:p w14:paraId="0FA79881" w14:textId="77777777" w:rsidR="001C08A5" w:rsidRDefault="001C08A5">
      <w:pPr>
        <w:rPr>
          <w:sz w:val="24"/>
          <w:szCs w:val="24"/>
        </w:rPr>
      </w:pPr>
    </w:p>
    <w:p w14:paraId="2B9242BD" w14:textId="77777777" w:rsidR="001C08A5" w:rsidRDefault="001C08A5">
      <w:pPr>
        <w:rPr>
          <w:sz w:val="24"/>
          <w:szCs w:val="24"/>
        </w:rPr>
      </w:pPr>
    </w:p>
    <w:p w14:paraId="25171724" w14:textId="77777777" w:rsidR="001C08A5" w:rsidRDefault="00000000">
      <w:pPr>
        <w:pStyle w:val="Heading1"/>
      </w:pPr>
      <w:bookmarkStart w:id="4142" w:name="_Toc162355305"/>
      <w:bookmarkStart w:id="4143" w:name="_Toc11539"/>
      <w:bookmarkStart w:id="4144" w:name="_Toc32437"/>
      <w:bookmarkStart w:id="4145" w:name="_Toc26396"/>
      <w:bookmarkStart w:id="4146" w:name="_Toc24303"/>
      <w:bookmarkStart w:id="4147" w:name="_Toc8438"/>
      <w:bookmarkStart w:id="4148" w:name="_Toc29818"/>
      <w:bookmarkStart w:id="4149" w:name="_Toc23799"/>
      <w:bookmarkStart w:id="4150" w:name="_Toc18663"/>
      <w:bookmarkStart w:id="4151" w:name="_Toc12347"/>
      <w:r>
        <w:t>CAPITOLUL 4</w:t>
      </w:r>
      <w:bookmarkEnd w:id="4142"/>
      <w:bookmarkEnd w:id="4143"/>
      <w:bookmarkEnd w:id="4144"/>
      <w:bookmarkEnd w:id="4145"/>
      <w:bookmarkEnd w:id="4146"/>
      <w:bookmarkEnd w:id="4147"/>
      <w:bookmarkEnd w:id="4148"/>
      <w:bookmarkEnd w:id="4149"/>
      <w:bookmarkEnd w:id="4150"/>
      <w:bookmarkEnd w:id="4151"/>
    </w:p>
    <w:p w14:paraId="01DF88B0" w14:textId="77777777" w:rsidR="001C08A5" w:rsidRDefault="00000000">
      <w:pPr>
        <w:pStyle w:val="Heading2"/>
        <w:rPr>
          <w:rFonts w:cs="Times New Roman"/>
          <w:sz w:val="24"/>
          <w:szCs w:val="24"/>
        </w:rPr>
      </w:pPr>
      <w:bookmarkStart w:id="4152" w:name="_Toc15045"/>
      <w:bookmarkStart w:id="4153" w:name="_Toc18681"/>
      <w:bookmarkStart w:id="4154" w:name="_Toc29968"/>
      <w:bookmarkStart w:id="4155" w:name="_Toc162355306"/>
      <w:bookmarkStart w:id="4156" w:name="_Toc2512"/>
      <w:bookmarkStart w:id="4157" w:name="_Toc27832"/>
      <w:bookmarkStart w:id="4158" w:name="_Toc18101"/>
      <w:bookmarkStart w:id="4159" w:name="_Toc1172"/>
      <w:bookmarkStart w:id="4160" w:name="_Toc29434"/>
      <w:bookmarkStart w:id="4161" w:name="_Toc8810"/>
      <w:r>
        <w:t>4. PERFORMANŢE  SPECIFICE  CLĂDIRILOR  CIVILE  SUPRATERANE ÎNALTE,  FOARTE  ÎNALTE  SAU  CU  SĂLI  AGLOMERATE</w:t>
      </w:r>
      <w:bookmarkEnd w:id="4152"/>
      <w:bookmarkEnd w:id="4153"/>
      <w:bookmarkEnd w:id="4154"/>
      <w:bookmarkEnd w:id="4155"/>
      <w:bookmarkEnd w:id="4156"/>
      <w:bookmarkEnd w:id="4157"/>
      <w:bookmarkEnd w:id="4158"/>
      <w:bookmarkEnd w:id="4159"/>
      <w:bookmarkEnd w:id="4160"/>
      <w:bookmarkEnd w:id="4161"/>
    </w:p>
    <w:p w14:paraId="778B7BC9" w14:textId="77777777" w:rsidR="001C08A5" w:rsidRDefault="00000000">
      <w:pPr>
        <w:pStyle w:val="Heading3"/>
      </w:pPr>
      <w:bookmarkStart w:id="4162" w:name="_Toc18274"/>
      <w:bookmarkStart w:id="4163" w:name="_Toc7597"/>
      <w:bookmarkStart w:id="4164" w:name="_Toc18159"/>
      <w:bookmarkStart w:id="4165" w:name="_Toc162355307"/>
      <w:bookmarkStart w:id="4166" w:name="_Toc31511"/>
      <w:bookmarkStart w:id="4167" w:name="_Toc16411"/>
      <w:bookmarkStart w:id="4168" w:name="_Toc3232"/>
      <w:bookmarkStart w:id="4169" w:name="_Toc19929"/>
      <w:bookmarkStart w:id="4170" w:name="_Toc10979"/>
      <w:bookmarkStart w:id="4171" w:name="_Toc13626"/>
      <w:r>
        <w:t>SECŢIUNEA I</w:t>
      </w:r>
      <w:bookmarkEnd w:id="4162"/>
      <w:bookmarkEnd w:id="4163"/>
      <w:bookmarkEnd w:id="4164"/>
      <w:bookmarkEnd w:id="4165"/>
      <w:bookmarkEnd w:id="4166"/>
      <w:bookmarkEnd w:id="4167"/>
      <w:bookmarkEnd w:id="4168"/>
      <w:bookmarkEnd w:id="4169"/>
      <w:bookmarkEnd w:id="4170"/>
      <w:bookmarkEnd w:id="4171"/>
    </w:p>
    <w:p w14:paraId="3D18C289" w14:textId="77777777" w:rsidR="001C08A5" w:rsidRDefault="00000000">
      <w:pPr>
        <w:pStyle w:val="Heading3"/>
        <w:rPr>
          <w:rFonts w:cs="Times New Roman"/>
          <w:caps/>
          <w:sz w:val="24"/>
          <w:szCs w:val="24"/>
        </w:rPr>
      </w:pPr>
      <w:bookmarkStart w:id="4172" w:name="_Toc21521"/>
      <w:bookmarkStart w:id="4173" w:name="_Toc17642"/>
      <w:bookmarkStart w:id="4174" w:name="_Toc20071"/>
      <w:bookmarkStart w:id="4175" w:name="_Toc162355308"/>
      <w:bookmarkStart w:id="4176" w:name="_Toc15824"/>
      <w:bookmarkStart w:id="4177" w:name="_Toc6599"/>
      <w:bookmarkStart w:id="4178" w:name="_Toc14236"/>
      <w:bookmarkStart w:id="4179" w:name="_Toc27536"/>
      <w:bookmarkStart w:id="4180" w:name="_Toc1213"/>
      <w:bookmarkStart w:id="4181" w:name="_Toc12086"/>
      <w:r>
        <w:t>4.1. Clădiri  civile  supraterane  înalte</w:t>
      </w:r>
      <w:bookmarkEnd w:id="4172"/>
      <w:bookmarkEnd w:id="4173"/>
      <w:bookmarkEnd w:id="4174"/>
      <w:bookmarkEnd w:id="4175"/>
      <w:bookmarkEnd w:id="4176"/>
      <w:bookmarkEnd w:id="4177"/>
      <w:bookmarkEnd w:id="4178"/>
      <w:bookmarkEnd w:id="4179"/>
      <w:bookmarkEnd w:id="4180"/>
      <w:bookmarkEnd w:id="4181"/>
    </w:p>
    <w:p w14:paraId="79EBDD8E" w14:textId="77777777" w:rsidR="001C08A5" w:rsidRDefault="00000000">
      <w:pPr>
        <w:pStyle w:val="Heading4"/>
      </w:pPr>
      <w:bookmarkStart w:id="4182" w:name="_Toc25950"/>
      <w:bookmarkStart w:id="4183" w:name="_Toc31015"/>
      <w:bookmarkStart w:id="4184" w:name="_Toc19635"/>
      <w:bookmarkStart w:id="4185" w:name="_Toc8814"/>
      <w:bookmarkStart w:id="4186" w:name="_Toc162355309"/>
      <w:bookmarkStart w:id="4187" w:name="_Toc10320"/>
      <w:bookmarkStart w:id="4188" w:name="_Toc6378"/>
      <w:bookmarkStart w:id="4189" w:name="_Toc7563"/>
      <w:r>
        <w:t>4.1.1. CONDIŢII GENERALE DE PERFORMANŢĂ A CONSTRUCŢIILOR (RISC DE INCENDIU, NIVEL DE STABILITATE LA INCENDIU)</w:t>
      </w:r>
      <w:bookmarkEnd w:id="4182"/>
      <w:bookmarkEnd w:id="4183"/>
      <w:bookmarkEnd w:id="4184"/>
      <w:bookmarkEnd w:id="4185"/>
      <w:bookmarkEnd w:id="4186"/>
      <w:bookmarkEnd w:id="4187"/>
      <w:bookmarkEnd w:id="4188"/>
      <w:bookmarkEnd w:id="4189"/>
    </w:p>
    <w:p w14:paraId="689F7DFB" w14:textId="77777777" w:rsidR="001C08A5" w:rsidRDefault="001C08A5">
      <w:pPr>
        <w:jc w:val="both"/>
        <w:rPr>
          <w:b/>
          <w:sz w:val="24"/>
          <w:szCs w:val="24"/>
        </w:rPr>
      </w:pPr>
    </w:p>
    <w:p w14:paraId="49B0E784" w14:textId="77777777" w:rsidR="001C08A5" w:rsidRDefault="00000000">
      <w:pPr>
        <w:jc w:val="both"/>
        <w:rPr>
          <w:sz w:val="24"/>
          <w:szCs w:val="24"/>
        </w:rPr>
      </w:pPr>
      <w:r>
        <w:rPr>
          <w:b/>
          <w:sz w:val="24"/>
          <w:szCs w:val="24"/>
        </w:rPr>
        <w:tab/>
        <w:t xml:space="preserve">Art. </w:t>
      </w:r>
      <w:r>
        <w:rPr>
          <w:b/>
          <w:caps/>
          <w:sz w:val="24"/>
          <w:szCs w:val="24"/>
        </w:rPr>
        <w:t>4.1.1.</w:t>
      </w:r>
      <w:r>
        <w:rPr>
          <w:b/>
          <w:sz w:val="24"/>
          <w:szCs w:val="24"/>
        </w:rPr>
        <w:t>1. (1)</w:t>
      </w:r>
      <w:r>
        <w:rPr>
          <w:sz w:val="24"/>
          <w:szCs w:val="24"/>
        </w:rPr>
        <w:t xml:space="preserve"> Clădirile civile supraterane înalte, inclusiv porţiunile acestora cu înălţimi mai mici, </w:t>
      </w:r>
      <w:r>
        <w:rPr>
          <w:rFonts w:eastAsia="Times-Roman"/>
          <w:sz w:val="24"/>
          <w:szCs w:val="24"/>
        </w:rPr>
        <w:t xml:space="preserve">decât limita care determină încadrarea în tip de clădiri înalte </w:t>
      </w:r>
      <w:r>
        <w:rPr>
          <w:sz w:val="24"/>
          <w:szCs w:val="24"/>
        </w:rPr>
        <w:t xml:space="preserve">vor avea asigurat nivelul </w:t>
      </w:r>
      <w:r>
        <w:rPr>
          <w:b/>
          <w:sz w:val="24"/>
          <w:szCs w:val="24"/>
        </w:rPr>
        <w:t>I</w:t>
      </w:r>
      <w:r>
        <w:rPr>
          <w:sz w:val="24"/>
          <w:szCs w:val="24"/>
        </w:rPr>
        <w:t xml:space="preserve"> de stabilitate la incendiu. </w:t>
      </w:r>
    </w:p>
    <w:p w14:paraId="22AE8AEC" w14:textId="77777777" w:rsidR="001C08A5" w:rsidRDefault="00000000">
      <w:pPr>
        <w:jc w:val="both"/>
        <w:rPr>
          <w:sz w:val="24"/>
          <w:szCs w:val="24"/>
        </w:rPr>
      </w:pPr>
      <w:r>
        <w:rPr>
          <w:sz w:val="24"/>
          <w:szCs w:val="24"/>
        </w:rPr>
        <w:tab/>
      </w:r>
      <w:r>
        <w:rPr>
          <w:b/>
          <w:sz w:val="24"/>
          <w:szCs w:val="24"/>
        </w:rPr>
        <w:t>(2)</w:t>
      </w:r>
      <w:r>
        <w:rPr>
          <w:sz w:val="24"/>
          <w:szCs w:val="24"/>
        </w:rPr>
        <w:t xml:space="preserve"> Nivelul de stabilitate la incendiu al clădirii se determină conform prevederilor din </w:t>
      </w:r>
      <w:r>
        <w:rPr>
          <w:b/>
          <w:sz w:val="24"/>
          <w:szCs w:val="24"/>
        </w:rPr>
        <w:t xml:space="preserve">Art. </w:t>
      </w:r>
      <w:r>
        <w:rPr>
          <w:b/>
          <w:bCs/>
          <w:sz w:val="24"/>
          <w:szCs w:val="24"/>
        </w:rPr>
        <w:t>2.1.3.</w:t>
      </w:r>
      <w:r>
        <w:rPr>
          <w:b/>
          <w:sz w:val="24"/>
          <w:szCs w:val="24"/>
        </w:rPr>
        <w:t xml:space="preserve">2. </w:t>
      </w:r>
      <w:r>
        <w:rPr>
          <w:sz w:val="24"/>
          <w:szCs w:val="24"/>
        </w:rPr>
        <w:t xml:space="preserve">şi </w:t>
      </w:r>
      <w:r>
        <w:rPr>
          <w:rStyle w:val="BodyTextChar"/>
          <w:iCs/>
        </w:rPr>
        <w:fldChar w:fldCharType="begin"/>
      </w:r>
      <w:r>
        <w:rPr>
          <w:rStyle w:val="BodyTextChar"/>
          <w:iCs/>
        </w:rPr>
        <w:instrText xml:space="preserve"> REF _Ref26473 \h </w:instrText>
      </w:r>
      <w:r>
        <w:rPr>
          <w:rStyle w:val="BodyTextChar"/>
          <w:iCs/>
        </w:rPr>
      </w:r>
      <w:r>
        <w:rPr>
          <w:rStyle w:val="BodyTextChar"/>
          <w:iCs/>
        </w:rPr>
        <w:fldChar w:fldCharType="separate"/>
      </w:r>
      <w:r>
        <w:t>Tabelul 2</w:t>
      </w:r>
      <w:r>
        <w:rPr>
          <w:rStyle w:val="BodyTextChar"/>
          <w:iCs/>
        </w:rPr>
        <w:fldChar w:fldCharType="end"/>
      </w:r>
      <w:r>
        <w:rPr>
          <w:sz w:val="24"/>
          <w:szCs w:val="24"/>
        </w:rPr>
        <w:t>.</w:t>
      </w:r>
    </w:p>
    <w:p w14:paraId="1D143CA7" w14:textId="77777777" w:rsidR="001C08A5" w:rsidRDefault="00000000">
      <w:pPr>
        <w:pStyle w:val="Heading4"/>
      </w:pPr>
      <w:bookmarkStart w:id="4190" w:name="_Toc30108"/>
      <w:bookmarkStart w:id="4191" w:name="_Toc5599"/>
      <w:bookmarkStart w:id="4192" w:name="_Toc16530"/>
      <w:bookmarkStart w:id="4193" w:name="_Toc2297"/>
      <w:bookmarkStart w:id="4194" w:name="_Toc15102"/>
      <w:bookmarkStart w:id="4195" w:name="_Toc162355310"/>
      <w:bookmarkStart w:id="4196" w:name="_Toc7217"/>
      <w:bookmarkStart w:id="4197" w:name="_Toc32347"/>
      <w:r>
        <w:t>4.1.2. AMPLASAREA ŞI CONFORMAREA CONSTRUCŢIILOR</w:t>
      </w:r>
      <w:bookmarkEnd w:id="4190"/>
      <w:bookmarkEnd w:id="4191"/>
      <w:bookmarkEnd w:id="4192"/>
      <w:bookmarkEnd w:id="4193"/>
      <w:bookmarkEnd w:id="4194"/>
      <w:bookmarkEnd w:id="4195"/>
      <w:bookmarkEnd w:id="4196"/>
      <w:bookmarkEnd w:id="4197"/>
    </w:p>
    <w:p w14:paraId="2C679FFF" w14:textId="77777777" w:rsidR="001C08A5" w:rsidRDefault="001C08A5">
      <w:pPr>
        <w:jc w:val="both"/>
        <w:rPr>
          <w:sz w:val="24"/>
          <w:szCs w:val="24"/>
        </w:rPr>
      </w:pPr>
    </w:p>
    <w:p w14:paraId="1E71BE80" w14:textId="77777777" w:rsidR="001C08A5" w:rsidRDefault="00000000">
      <w:pPr>
        <w:jc w:val="both"/>
        <w:rPr>
          <w:sz w:val="24"/>
          <w:szCs w:val="24"/>
        </w:rPr>
      </w:pPr>
      <w:r>
        <w:rPr>
          <w:b/>
          <w:sz w:val="24"/>
          <w:szCs w:val="24"/>
        </w:rPr>
        <w:lastRenderedPageBreak/>
        <w:tab/>
        <w:t>Art. 4.1.2.1. (1)</w:t>
      </w:r>
      <w:r>
        <w:rPr>
          <w:sz w:val="24"/>
          <w:szCs w:val="24"/>
        </w:rPr>
        <w:t xml:space="preserve"> Comasarea între ele sau cu alte construcţii civile înalte în cadrul aceluiași compartiment de incendiu este interzisă.</w:t>
      </w:r>
    </w:p>
    <w:p w14:paraId="0CA5E535" w14:textId="77777777" w:rsidR="001C08A5" w:rsidRDefault="00000000">
      <w:pPr>
        <w:jc w:val="both"/>
        <w:rPr>
          <w:rStyle w:val="CommentReference"/>
        </w:rPr>
      </w:pPr>
      <w:r>
        <w:rPr>
          <w:sz w:val="24"/>
          <w:szCs w:val="24"/>
        </w:rPr>
        <w:tab/>
      </w:r>
      <w:r>
        <w:rPr>
          <w:b/>
          <w:sz w:val="24"/>
          <w:szCs w:val="24"/>
        </w:rPr>
        <w:t>(2)</w:t>
      </w:r>
      <w:r>
        <w:rPr>
          <w:sz w:val="24"/>
          <w:szCs w:val="24"/>
        </w:rPr>
        <w:t xml:space="preserve"> Distanţele minime de</w:t>
      </w:r>
      <w:r>
        <w:rPr>
          <w:bCs/>
          <w:spacing w:val="-2"/>
          <w:sz w:val="24"/>
          <w:szCs w:val="24"/>
        </w:rPr>
        <w:t xml:space="preserve"> siguranţă </w:t>
      </w:r>
      <w:r>
        <w:rPr>
          <w:sz w:val="24"/>
          <w:szCs w:val="24"/>
        </w:rPr>
        <w:t xml:space="preserve">la incendiu ce trebuie asigurate între clădiri civile supraterane înalte şi alte construcţii, sunt stabilite conform normativului, în </w:t>
      </w:r>
      <w:r>
        <w:rPr>
          <w:b/>
          <w:sz w:val="24"/>
          <w:szCs w:val="24"/>
        </w:rPr>
        <w:t xml:space="preserve">Art. </w:t>
      </w:r>
      <w:r>
        <w:rPr>
          <w:b/>
          <w:bCs/>
          <w:sz w:val="24"/>
          <w:szCs w:val="24"/>
        </w:rPr>
        <w:t>2.2.1.2</w:t>
      </w:r>
      <w:r>
        <w:rPr>
          <w:b/>
          <w:sz w:val="24"/>
          <w:szCs w:val="24"/>
        </w:rPr>
        <w:t>.</w:t>
      </w:r>
      <w:r>
        <w:rPr>
          <w:sz w:val="24"/>
          <w:szCs w:val="24"/>
        </w:rPr>
        <w:t xml:space="preserve"> şi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b/>
          <w:sz w:val="24"/>
          <w:szCs w:val="24"/>
        </w:rPr>
        <w:t>.</w:t>
      </w:r>
    </w:p>
    <w:p w14:paraId="5356D847" w14:textId="77777777" w:rsidR="001C08A5" w:rsidRDefault="00000000">
      <w:pPr>
        <w:ind w:firstLine="720"/>
        <w:jc w:val="both"/>
        <w:rPr>
          <w:sz w:val="24"/>
          <w:szCs w:val="24"/>
        </w:rPr>
      </w:pPr>
      <w:r>
        <w:rPr>
          <w:b/>
          <w:sz w:val="24"/>
          <w:szCs w:val="24"/>
        </w:rPr>
        <w:t>(3)</w:t>
      </w:r>
      <w:r>
        <w:rPr>
          <w:sz w:val="24"/>
          <w:szCs w:val="24"/>
        </w:rPr>
        <w:t xml:space="preserve"> Clădirile civile supraterane înalte se pot compartimenta pe toată înălţimea lor cu pereţi antifoc în limita ariei construite (</w:t>
      </w:r>
      <w:r>
        <w:rPr>
          <w:b/>
          <w:sz w:val="24"/>
          <w:szCs w:val="24"/>
        </w:rPr>
        <w:t>Ac</w:t>
      </w:r>
      <w:r>
        <w:rPr>
          <w:sz w:val="24"/>
          <w:szCs w:val="24"/>
        </w:rPr>
        <w:t xml:space="preserve">) de maximum </w:t>
      </w:r>
      <w:r>
        <w:rPr>
          <w:b/>
          <w:sz w:val="24"/>
          <w:szCs w:val="24"/>
        </w:rPr>
        <w:t xml:space="preserve">3.500 </w:t>
      </w:r>
      <w:r>
        <w:rPr>
          <w:sz w:val="24"/>
          <w:szCs w:val="24"/>
        </w:rPr>
        <w:t>m² în oricâte compartimente de incendiu. În cadrul unui compartiment de incendiu al clădirii înalte cu aria construită (</w:t>
      </w:r>
      <w:r>
        <w:rPr>
          <w:b/>
          <w:sz w:val="24"/>
          <w:szCs w:val="24"/>
        </w:rPr>
        <w:t>Ac</w:t>
      </w:r>
      <w:r>
        <w:rPr>
          <w:sz w:val="24"/>
          <w:szCs w:val="24"/>
        </w:rPr>
        <w:t xml:space="preserve">) de maximum </w:t>
      </w:r>
      <w:r>
        <w:rPr>
          <w:b/>
          <w:sz w:val="24"/>
          <w:szCs w:val="24"/>
        </w:rPr>
        <w:t xml:space="preserve">3.500 </w:t>
      </w:r>
      <w:r>
        <w:rPr>
          <w:sz w:val="24"/>
          <w:szCs w:val="24"/>
        </w:rPr>
        <w:t xml:space="preserve">m² se pot prevedea maximum trei porţiuni volumetrice ale acestora (conform </w:t>
      </w:r>
      <w:r>
        <w:rPr>
          <w:b/>
          <w:bCs/>
          <w:i/>
          <w:iCs/>
          <w:sz w:val="24"/>
          <w:szCs w:val="24"/>
        </w:rPr>
        <w:fldChar w:fldCharType="begin"/>
      </w:r>
      <w:r>
        <w:rPr>
          <w:b/>
          <w:bCs/>
          <w:i/>
          <w:iCs/>
          <w:sz w:val="24"/>
          <w:szCs w:val="24"/>
        </w:rPr>
        <w:instrText xml:space="preserve"> REF _Ref21454 \h </w:instrText>
      </w:r>
      <w:r>
        <w:rPr>
          <w:b/>
          <w:bCs/>
          <w:i/>
          <w:iCs/>
          <w:sz w:val="24"/>
          <w:szCs w:val="24"/>
        </w:rPr>
      </w:r>
      <w:r>
        <w:rPr>
          <w:b/>
          <w:bCs/>
          <w:i/>
          <w:iCs/>
          <w:sz w:val="24"/>
          <w:szCs w:val="24"/>
        </w:rPr>
        <w:fldChar w:fldCharType="separate"/>
      </w:r>
      <w:r>
        <w:t>Figura 69</w:t>
      </w:r>
      <w:r>
        <w:rPr>
          <w:b/>
          <w:bCs/>
          <w:i/>
          <w:iCs/>
          <w:sz w:val="24"/>
          <w:szCs w:val="24"/>
        </w:rPr>
        <w:fldChar w:fldCharType="end"/>
      </w:r>
      <w:r>
        <w:rPr>
          <w:sz w:val="24"/>
          <w:szCs w:val="24"/>
        </w:rPr>
        <w:t>), cu aria totală desfăşurată (</w:t>
      </w:r>
      <w:r>
        <w:rPr>
          <w:b/>
          <w:sz w:val="24"/>
          <w:szCs w:val="24"/>
        </w:rPr>
        <w:t>Ad</w:t>
      </w:r>
      <w:r>
        <w:rPr>
          <w:sz w:val="24"/>
          <w:szCs w:val="24"/>
        </w:rPr>
        <w:t xml:space="preserve">) a fiecărei porţiuni volumetrice de maximum </w:t>
      </w:r>
      <w:r>
        <w:rPr>
          <w:b/>
          <w:sz w:val="24"/>
          <w:szCs w:val="24"/>
        </w:rPr>
        <w:t>3.500 m²</w:t>
      </w:r>
      <w:r>
        <w:rPr>
          <w:sz w:val="24"/>
          <w:szCs w:val="24"/>
        </w:rPr>
        <w:t xml:space="preserve"> (fără posibilitatea de majorare), porţiuni constituite din unul până la trei niveluri construite succesive delimitate de planşee antifoc și după caz, pereţi antifoc de compartimentul de incendiu în care sunt inserate. </w:t>
      </w:r>
    </w:p>
    <w:p w14:paraId="45B3F435" w14:textId="77777777" w:rsidR="001C08A5" w:rsidRDefault="00000000">
      <w:pPr>
        <w:ind w:firstLine="720"/>
        <w:jc w:val="both"/>
        <w:rPr>
          <w:sz w:val="24"/>
          <w:szCs w:val="24"/>
        </w:rPr>
      </w:pPr>
      <w:r>
        <w:rPr>
          <w:b/>
          <w:bCs/>
          <w:sz w:val="24"/>
          <w:szCs w:val="24"/>
        </w:rPr>
        <w:t>(4)</w:t>
      </w:r>
      <w:r>
        <w:rPr>
          <w:sz w:val="24"/>
          <w:szCs w:val="24"/>
        </w:rPr>
        <w:t xml:space="preserve"> În cadrul unui compartiment de incendiu neechipat cu instalație automată de stingere a incendiilor cu apă tip sprinkler, cu aria construită (</w:t>
      </w:r>
      <w:r>
        <w:rPr>
          <w:b/>
          <w:sz w:val="24"/>
          <w:szCs w:val="24"/>
        </w:rPr>
        <w:t>Ac</w:t>
      </w:r>
      <w:r>
        <w:rPr>
          <w:sz w:val="24"/>
          <w:szCs w:val="24"/>
        </w:rPr>
        <w:t xml:space="preserve">) de maximum </w:t>
      </w:r>
      <w:r>
        <w:rPr>
          <w:b/>
          <w:sz w:val="24"/>
          <w:szCs w:val="24"/>
        </w:rPr>
        <w:t xml:space="preserve">3.500 </w:t>
      </w:r>
      <w:r>
        <w:rPr>
          <w:sz w:val="24"/>
          <w:szCs w:val="24"/>
        </w:rPr>
        <w:t xml:space="preserve">m² se poate prevedea o singură porţiune volumetrică a acestuia (conform </w:t>
      </w:r>
      <w:r>
        <w:rPr>
          <w:b/>
          <w:bCs/>
          <w:i/>
          <w:iCs/>
          <w:sz w:val="24"/>
          <w:szCs w:val="24"/>
        </w:rPr>
        <w:fldChar w:fldCharType="begin"/>
      </w:r>
      <w:r>
        <w:rPr>
          <w:b/>
          <w:bCs/>
          <w:i/>
          <w:iCs/>
          <w:sz w:val="24"/>
          <w:szCs w:val="24"/>
        </w:rPr>
        <w:instrText xml:space="preserve"> REF _Ref5727 \h </w:instrText>
      </w:r>
      <w:r>
        <w:rPr>
          <w:b/>
          <w:bCs/>
          <w:i/>
          <w:iCs/>
          <w:sz w:val="24"/>
          <w:szCs w:val="24"/>
        </w:rPr>
      </w:r>
      <w:r>
        <w:rPr>
          <w:b/>
          <w:bCs/>
          <w:i/>
          <w:iCs/>
          <w:sz w:val="24"/>
          <w:szCs w:val="24"/>
        </w:rPr>
        <w:fldChar w:fldCharType="separate"/>
      </w:r>
      <w:r>
        <w:t>Figura 8</w:t>
      </w:r>
      <w:r>
        <w:rPr>
          <w:b/>
          <w:bCs/>
          <w:i/>
          <w:iCs/>
          <w:sz w:val="24"/>
          <w:szCs w:val="24"/>
        </w:rPr>
        <w:fldChar w:fldCharType="end"/>
      </w:r>
      <w:r>
        <w:rPr>
          <w:sz w:val="24"/>
          <w:szCs w:val="24"/>
        </w:rPr>
        <w:t xml:space="preserve"> Varianta b)), cu aria totală desfăşurată (</w:t>
      </w:r>
      <w:r>
        <w:rPr>
          <w:b/>
          <w:sz w:val="24"/>
          <w:szCs w:val="24"/>
        </w:rPr>
        <w:t>Ad</w:t>
      </w:r>
      <w:r>
        <w:rPr>
          <w:sz w:val="24"/>
          <w:szCs w:val="24"/>
        </w:rPr>
        <w:t xml:space="preserve">) de maximum </w:t>
      </w:r>
      <w:r>
        <w:rPr>
          <w:b/>
          <w:sz w:val="24"/>
          <w:szCs w:val="24"/>
        </w:rPr>
        <w:t>3.500 m²</w:t>
      </w:r>
      <w:r>
        <w:rPr>
          <w:sz w:val="24"/>
          <w:szCs w:val="24"/>
        </w:rPr>
        <w:t xml:space="preserve"> (fără posibilitatea de majorare), porţiune constituită din unul până la trei niveluri construite succesive delimitate de planşee antifoc și după caz, pereţi antifoc în condițiile în care toate compartimentele sunt echipate cu instalaţie de detectare, semnalizare şi alarmare a incendiului cu acoperire totală și nu sunt echipate cu instalație automată de stingere a incendiilor cu apă, tip sprinkler. În condițiile în care compartimentele </w:t>
      </w:r>
      <w:r>
        <w:rPr>
          <w:b/>
          <w:bCs/>
          <w:sz w:val="24"/>
          <w:szCs w:val="24"/>
        </w:rPr>
        <w:t>nu</w:t>
      </w:r>
      <w:r>
        <w:rPr>
          <w:sz w:val="24"/>
          <w:szCs w:val="24"/>
        </w:rPr>
        <w:t xml:space="preserve"> sunt echipate cu instalație automată de stingere a incendiilor cu apă tip sprinkler și instalaţie de detectare, semnalizare şi alarmare a incendiului cu acoperire totală, în cadrul unui compartiment de incendiu cu aria construită (</w:t>
      </w:r>
      <w:r>
        <w:rPr>
          <w:b/>
          <w:sz w:val="24"/>
          <w:szCs w:val="24"/>
        </w:rPr>
        <w:t>Ac</w:t>
      </w:r>
      <w:r>
        <w:rPr>
          <w:sz w:val="24"/>
          <w:szCs w:val="24"/>
        </w:rPr>
        <w:t xml:space="preserve">) de maximum </w:t>
      </w:r>
      <w:r>
        <w:rPr>
          <w:b/>
          <w:sz w:val="24"/>
          <w:szCs w:val="24"/>
        </w:rPr>
        <w:t xml:space="preserve">3.500 </w:t>
      </w:r>
      <w:r>
        <w:rPr>
          <w:sz w:val="24"/>
          <w:szCs w:val="24"/>
        </w:rPr>
        <w:t xml:space="preserve">m² se poate prevedea o singură porţiune volumetrică a acestuia (conform </w:t>
      </w:r>
      <w:r>
        <w:rPr>
          <w:b/>
          <w:bCs/>
          <w:i/>
          <w:iCs/>
          <w:sz w:val="24"/>
          <w:szCs w:val="24"/>
        </w:rPr>
        <w:fldChar w:fldCharType="begin"/>
      </w:r>
      <w:r>
        <w:rPr>
          <w:b/>
          <w:bCs/>
          <w:i/>
          <w:iCs/>
          <w:sz w:val="24"/>
          <w:szCs w:val="24"/>
        </w:rPr>
        <w:instrText xml:space="preserve"> REF _Ref5727 \h </w:instrText>
      </w:r>
      <w:r>
        <w:rPr>
          <w:b/>
          <w:bCs/>
          <w:i/>
          <w:iCs/>
          <w:sz w:val="24"/>
          <w:szCs w:val="24"/>
        </w:rPr>
      </w:r>
      <w:r>
        <w:rPr>
          <w:b/>
          <w:bCs/>
          <w:i/>
          <w:iCs/>
          <w:sz w:val="24"/>
          <w:szCs w:val="24"/>
        </w:rPr>
        <w:fldChar w:fldCharType="separate"/>
      </w:r>
      <w:r>
        <w:t>Figura 8</w:t>
      </w:r>
      <w:r>
        <w:rPr>
          <w:b/>
          <w:bCs/>
          <w:i/>
          <w:iCs/>
          <w:sz w:val="24"/>
          <w:szCs w:val="24"/>
        </w:rPr>
        <w:fldChar w:fldCharType="end"/>
      </w:r>
      <w:r>
        <w:rPr>
          <w:sz w:val="24"/>
          <w:szCs w:val="24"/>
        </w:rPr>
        <w:t xml:space="preserve"> Varianta a)), cu aria totală desfăşurată (</w:t>
      </w:r>
      <w:r>
        <w:rPr>
          <w:b/>
          <w:sz w:val="24"/>
          <w:szCs w:val="24"/>
        </w:rPr>
        <w:t>Ad</w:t>
      </w:r>
      <w:r>
        <w:rPr>
          <w:sz w:val="24"/>
          <w:szCs w:val="24"/>
        </w:rPr>
        <w:t xml:space="preserve">) de maximum </w:t>
      </w:r>
      <w:r>
        <w:rPr>
          <w:b/>
          <w:sz w:val="24"/>
          <w:szCs w:val="24"/>
        </w:rPr>
        <w:t>2.500 m²</w:t>
      </w:r>
      <w:r>
        <w:rPr>
          <w:sz w:val="24"/>
          <w:szCs w:val="24"/>
        </w:rPr>
        <w:t xml:space="preserve"> (fără posibilitatea de majorare), porţiune constituită din unul până la trei niveluri construite succesive delimitate de planşee antifoc și după caz, pereţi antifoc.</w:t>
      </w:r>
    </w:p>
    <w:tbl>
      <w:tblPr>
        <w:tblW w:w="0" w:type="auto"/>
        <w:tblLook w:val="04A0" w:firstRow="1" w:lastRow="0" w:firstColumn="1" w:lastColumn="0" w:noHBand="0" w:noVBand="1"/>
      </w:tblPr>
      <w:tblGrid>
        <w:gridCol w:w="4917"/>
        <w:gridCol w:w="4722"/>
      </w:tblGrid>
      <w:tr w:rsidR="001C08A5" w14:paraId="6041CC64" w14:textId="77777777">
        <w:tc>
          <w:tcPr>
            <w:tcW w:w="4927" w:type="dxa"/>
          </w:tcPr>
          <w:p w14:paraId="23AC7BFC" w14:textId="77777777" w:rsidR="001C08A5" w:rsidRDefault="00000000">
            <w:pPr>
              <w:widowControl w:val="0"/>
              <w:tabs>
                <w:tab w:val="left" w:pos="845"/>
              </w:tabs>
              <w:jc w:val="center"/>
            </w:pPr>
            <w:r>
              <w:rPr>
                <w:noProof/>
                <w:lang w:eastAsia="ro-RO"/>
              </w:rPr>
              <w:drawing>
                <wp:inline distT="0" distB="0" distL="114300" distR="114300" wp14:anchorId="37ED4892" wp14:editId="2505CCC7">
                  <wp:extent cx="2905125" cy="3314700"/>
                  <wp:effectExtent l="0" t="0" r="0" b="0"/>
                  <wp:docPr id="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0"/>
                          <pic:cNvPicPr>
                            <a:picLocks noChangeAspect="1"/>
                          </pic:cNvPicPr>
                        </pic:nvPicPr>
                        <pic:blipFill>
                          <a:blip r:embed="rId61"/>
                          <a:srcRect l="53562" t="2594" r="7999" b="16325"/>
                          <a:stretch>
                            <a:fillRect/>
                          </a:stretch>
                        </pic:blipFill>
                        <pic:spPr>
                          <a:xfrm>
                            <a:off x="0" y="0"/>
                            <a:ext cx="2905125" cy="3314700"/>
                          </a:xfrm>
                          <a:prstGeom prst="rect">
                            <a:avLst/>
                          </a:prstGeom>
                          <a:noFill/>
                          <a:ln>
                            <a:noFill/>
                          </a:ln>
                        </pic:spPr>
                      </pic:pic>
                    </a:graphicData>
                  </a:graphic>
                </wp:inline>
              </w:drawing>
            </w:r>
          </w:p>
        </w:tc>
        <w:tc>
          <w:tcPr>
            <w:tcW w:w="4928" w:type="dxa"/>
          </w:tcPr>
          <w:p w14:paraId="2B1D2726"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1873A3EA" w14:textId="77777777" w:rsidR="001C08A5" w:rsidRDefault="00000000">
            <w:pPr>
              <w:widowControl w:val="0"/>
              <w:tabs>
                <w:tab w:val="left" w:pos="845"/>
              </w:tabs>
              <w:rPr>
                <w:i/>
                <w:iCs/>
                <w:sz w:val="22"/>
                <w:szCs w:val="22"/>
              </w:rPr>
            </w:pPr>
            <w:r>
              <w:rPr>
                <w:b/>
                <w:bCs/>
                <w:i/>
                <w:iCs/>
                <w:sz w:val="22"/>
                <w:szCs w:val="22"/>
              </w:rPr>
              <w:t xml:space="preserve">C1, C2, C3, C4 - compartimente de incendiu </w:t>
            </w:r>
            <w:r>
              <w:rPr>
                <w:i/>
                <w:iCs/>
                <w:sz w:val="22"/>
                <w:szCs w:val="22"/>
              </w:rPr>
              <w:t>distincte, nivel I de stabilitate la incendiu</w:t>
            </w:r>
          </w:p>
          <w:p w14:paraId="276409F2" w14:textId="77777777" w:rsidR="001C08A5" w:rsidRDefault="00000000">
            <w:pPr>
              <w:widowControl w:val="0"/>
              <w:tabs>
                <w:tab w:val="left" w:pos="845"/>
              </w:tabs>
              <w:rPr>
                <w:i/>
                <w:iCs/>
                <w:sz w:val="22"/>
                <w:szCs w:val="22"/>
              </w:rPr>
            </w:pPr>
            <w:r>
              <w:rPr>
                <w:i/>
                <w:iCs/>
                <w:sz w:val="22"/>
                <w:szCs w:val="22"/>
              </w:rPr>
              <w:t>Arii compartimente de incendiu:</w:t>
            </w:r>
          </w:p>
          <w:p w14:paraId="43DE5CC2" w14:textId="77777777" w:rsidR="001C08A5" w:rsidRDefault="00000000">
            <w:pPr>
              <w:widowControl w:val="0"/>
              <w:tabs>
                <w:tab w:val="left" w:pos="845"/>
              </w:tabs>
              <w:ind w:firstLine="720"/>
              <w:rPr>
                <w:i/>
                <w:iCs/>
                <w:sz w:val="22"/>
                <w:szCs w:val="22"/>
              </w:rPr>
            </w:pPr>
            <w:r>
              <w:rPr>
                <w:i/>
                <w:iCs/>
                <w:sz w:val="22"/>
                <w:szCs w:val="22"/>
              </w:rPr>
              <w:t xml:space="preserve">Compartiment C1*  (clădire înaltă, cu orice funcțiune, cu excepția celei de locuit) - Arie construită </w:t>
            </w:r>
            <w:r>
              <w:rPr>
                <w:rFonts w:hint="eastAsia"/>
                <w:i/>
                <w:iCs/>
                <w:sz w:val="22"/>
                <w:szCs w:val="22"/>
              </w:rPr>
              <w:t>≤</w:t>
            </w:r>
            <w:r>
              <w:rPr>
                <w:i/>
                <w:iCs/>
                <w:sz w:val="22"/>
                <w:szCs w:val="22"/>
              </w:rPr>
              <w:t xml:space="preserve"> 3.500 m</w:t>
            </w:r>
            <w:r>
              <w:rPr>
                <w:i/>
                <w:iCs/>
                <w:sz w:val="22"/>
                <w:szCs w:val="22"/>
                <w:vertAlign w:val="superscript"/>
              </w:rPr>
              <w:t>2</w:t>
            </w:r>
          </w:p>
          <w:p w14:paraId="44996222" w14:textId="77777777" w:rsidR="001C08A5" w:rsidRDefault="00000000">
            <w:pPr>
              <w:widowControl w:val="0"/>
              <w:tabs>
                <w:tab w:val="left" w:pos="845"/>
              </w:tabs>
              <w:ind w:firstLine="720"/>
              <w:rPr>
                <w:i/>
                <w:iCs/>
                <w:sz w:val="22"/>
                <w:szCs w:val="22"/>
              </w:rPr>
            </w:pPr>
            <w:r>
              <w:rPr>
                <w:i/>
                <w:iCs/>
                <w:sz w:val="22"/>
                <w:szCs w:val="22"/>
              </w:rPr>
              <w:t xml:space="preserve">Compartiment C2  (compartiment volumetric în clădire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4B567C28" w14:textId="77777777" w:rsidR="001C08A5" w:rsidRDefault="00000000">
            <w:pPr>
              <w:widowControl w:val="0"/>
              <w:tabs>
                <w:tab w:val="left" w:pos="845"/>
              </w:tabs>
              <w:ind w:firstLine="720"/>
              <w:rPr>
                <w:i/>
                <w:iCs/>
                <w:sz w:val="22"/>
                <w:szCs w:val="22"/>
              </w:rPr>
            </w:pPr>
            <w:r>
              <w:rPr>
                <w:i/>
                <w:iCs/>
                <w:sz w:val="22"/>
                <w:szCs w:val="22"/>
              </w:rPr>
              <w:t xml:space="preserve">Compartiment C3 (compartiment volumetric în clădire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4FE5E126" w14:textId="77777777" w:rsidR="001C08A5" w:rsidRDefault="00000000">
            <w:pPr>
              <w:widowControl w:val="0"/>
              <w:tabs>
                <w:tab w:val="left" w:pos="845"/>
              </w:tabs>
              <w:ind w:firstLine="720"/>
              <w:rPr>
                <w:i/>
                <w:iCs/>
                <w:sz w:val="22"/>
                <w:szCs w:val="22"/>
              </w:rPr>
            </w:pPr>
            <w:r>
              <w:rPr>
                <w:i/>
                <w:iCs/>
                <w:sz w:val="22"/>
                <w:szCs w:val="22"/>
              </w:rPr>
              <w:t xml:space="preserve">Compartiment C4 (compartiment volumetric în clădire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40FB47BF" w14:textId="77777777" w:rsidR="001C08A5" w:rsidRDefault="001C08A5">
            <w:pPr>
              <w:widowControl w:val="0"/>
              <w:tabs>
                <w:tab w:val="left" w:pos="845"/>
              </w:tabs>
              <w:jc w:val="center"/>
              <w:rPr>
                <w:i/>
                <w:iCs/>
                <w:sz w:val="22"/>
                <w:szCs w:val="22"/>
              </w:rPr>
            </w:pPr>
          </w:p>
          <w:p w14:paraId="02FC352B" w14:textId="77777777" w:rsidR="001C08A5" w:rsidRDefault="00000000">
            <w:pPr>
              <w:widowControl w:val="0"/>
              <w:tabs>
                <w:tab w:val="left" w:pos="845"/>
              </w:tabs>
              <w:jc w:val="both"/>
              <w:rPr>
                <w:i/>
                <w:iCs/>
                <w:sz w:val="22"/>
                <w:szCs w:val="22"/>
              </w:rPr>
            </w:pPr>
            <w:r>
              <w:rPr>
                <w:i/>
                <w:iCs/>
                <w:sz w:val="22"/>
                <w:szCs w:val="22"/>
              </w:rPr>
              <w:t xml:space="preserve">Notă*: Atunci când Compartimentul C1 este echipat suplimentar cu instalație automata de stingere a incendiilor cu apă, tip sprinkler, </w:t>
            </w:r>
          </w:p>
          <w:p w14:paraId="209070BD" w14:textId="77777777" w:rsidR="001C08A5" w:rsidRDefault="00000000">
            <w:pPr>
              <w:widowControl w:val="0"/>
              <w:tabs>
                <w:tab w:val="left" w:pos="845"/>
              </w:tabs>
              <w:jc w:val="both"/>
              <w:rPr>
                <w:lang w:eastAsia="ro-RO"/>
              </w:rPr>
            </w:pPr>
            <w:r>
              <w:rPr>
                <w:i/>
                <w:iCs/>
                <w:sz w:val="22"/>
                <w:szCs w:val="22"/>
              </w:rPr>
              <w:t xml:space="preserve">Aria construită a acestuia este </w:t>
            </w:r>
            <w:r>
              <w:rPr>
                <w:rFonts w:hint="eastAsia"/>
                <w:i/>
                <w:iCs/>
                <w:sz w:val="22"/>
                <w:szCs w:val="22"/>
              </w:rPr>
              <w:t>≤</w:t>
            </w:r>
            <w:r>
              <w:rPr>
                <w:i/>
                <w:iCs/>
                <w:sz w:val="22"/>
                <w:szCs w:val="22"/>
              </w:rPr>
              <w:t xml:space="preserve"> 5.250 m</w:t>
            </w:r>
            <w:r>
              <w:rPr>
                <w:i/>
                <w:iCs/>
                <w:sz w:val="22"/>
                <w:szCs w:val="22"/>
                <w:vertAlign w:val="superscript"/>
              </w:rPr>
              <w:t>2</w:t>
            </w:r>
          </w:p>
        </w:tc>
      </w:tr>
    </w:tbl>
    <w:p w14:paraId="574AFEFB" w14:textId="77777777" w:rsidR="001C08A5" w:rsidRDefault="00000000">
      <w:pPr>
        <w:pStyle w:val="Caption"/>
        <w:jc w:val="center"/>
        <w:rPr>
          <w:bCs/>
        </w:rPr>
      </w:pPr>
      <w:bookmarkStart w:id="4198" w:name="_Ref21454"/>
      <w:bookmarkStart w:id="4199" w:name="_Toc162360293"/>
      <w:r>
        <w:t xml:space="preserve">Figura </w:t>
      </w:r>
      <w:r>
        <w:fldChar w:fldCharType="begin"/>
      </w:r>
      <w:r>
        <w:instrText xml:space="preserve"> SEQ Figura \* ARABIC </w:instrText>
      </w:r>
      <w:r>
        <w:fldChar w:fldCharType="separate"/>
      </w:r>
      <w:r>
        <w:t>69</w:t>
      </w:r>
      <w:r>
        <w:fldChar w:fldCharType="end"/>
      </w:r>
      <w:bookmarkStart w:id="4200" w:name="_Toc29571"/>
      <w:bookmarkStart w:id="4201" w:name="_Toc17080"/>
      <w:bookmarkStart w:id="4202" w:name="_Toc29441"/>
      <w:bookmarkStart w:id="4203" w:name="_Toc23360"/>
      <w:bookmarkStart w:id="4204" w:name="_Toc4755"/>
      <w:bookmarkStart w:id="4205" w:name="_Toc12327"/>
      <w:bookmarkStart w:id="4206" w:name="_Toc19182"/>
      <w:bookmarkStart w:id="4207" w:name="_Toc16497"/>
      <w:bookmarkStart w:id="4208" w:name="_Toc21526"/>
      <w:bookmarkStart w:id="4209" w:name="_Toc10801"/>
      <w:bookmarkStart w:id="4210" w:name="_Toc4628"/>
      <w:bookmarkEnd w:id="4198"/>
      <w:r>
        <w:t xml:space="preserve"> - </w:t>
      </w:r>
      <w:r>
        <w:rPr>
          <w:bCs/>
        </w:rPr>
        <w:t>Compartimentare antifoc și arii compartimente de incendiu la clădirile şi compartimentele de incendiu supraterane civile înalte</w:t>
      </w:r>
      <w:bookmarkEnd w:id="4199"/>
      <w:r>
        <w:rPr>
          <w:bCs/>
        </w:rPr>
        <w:t xml:space="preserve"> </w:t>
      </w:r>
      <w:bookmarkEnd w:id="4200"/>
      <w:bookmarkEnd w:id="4201"/>
      <w:bookmarkEnd w:id="4202"/>
      <w:bookmarkEnd w:id="4203"/>
      <w:bookmarkEnd w:id="4204"/>
      <w:bookmarkEnd w:id="4205"/>
      <w:bookmarkEnd w:id="4206"/>
      <w:bookmarkEnd w:id="4207"/>
      <w:bookmarkEnd w:id="4208"/>
      <w:bookmarkEnd w:id="4209"/>
      <w:bookmarkEnd w:id="4210"/>
    </w:p>
    <w:p w14:paraId="7324B72D" w14:textId="77777777" w:rsidR="001C08A5" w:rsidRDefault="001C08A5">
      <w:pPr>
        <w:ind w:firstLine="720"/>
        <w:jc w:val="both"/>
        <w:rPr>
          <w:sz w:val="24"/>
          <w:szCs w:val="24"/>
        </w:rPr>
      </w:pPr>
    </w:p>
    <w:p w14:paraId="62942AF0" w14:textId="77777777" w:rsidR="001C08A5" w:rsidRDefault="00000000">
      <w:pPr>
        <w:jc w:val="both"/>
        <w:rPr>
          <w:sz w:val="24"/>
          <w:szCs w:val="24"/>
        </w:rPr>
      </w:pPr>
      <w:r>
        <w:rPr>
          <w:b/>
          <w:sz w:val="24"/>
          <w:szCs w:val="24"/>
        </w:rPr>
        <w:tab/>
        <w:t xml:space="preserve">(4) </w:t>
      </w:r>
      <w:r>
        <w:rPr>
          <w:sz w:val="24"/>
          <w:szCs w:val="24"/>
        </w:rPr>
        <w:t xml:space="preserve">Ariile construite aferente clădirilor sau compartimentelor de incendiu pe toată înălţimea lor normate la </w:t>
      </w:r>
      <w:r>
        <w:rPr>
          <w:b/>
          <w:sz w:val="24"/>
          <w:szCs w:val="24"/>
        </w:rPr>
        <w:t>3.500</w:t>
      </w:r>
      <w:r>
        <w:rPr>
          <w:sz w:val="24"/>
          <w:szCs w:val="24"/>
        </w:rPr>
        <w:t xml:space="preserve"> m²,pot fi majorate cu </w:t>
      </w:r>
      <w:r>
        <w:rPr>
          <w:b/>
          <w:sz w:val="24"/>
          <w:szCs w:val="24"/>
        </w:rPr>
        <w:t>50%</w:t>
      </w:r>
      <w:r>
        <w:rPr>
          <w:sz w:val="24"/>
          <w:szCs w:val="24"/>
        </w:rPr>
        <w:t xml:space="preserve"> atunci când sunt echipate cu instalații de stingere a incendiilor cu apă, tip sprinkler suplimentar față de prevederile normativului de profil.</w:t>
      </w:r>
    </w:p>
    <w:p w14:paraId="6940211C" w14:textId="77777777" w:rsidR="001C08A5" w:rsidRDefault="001C08A5">
      <w:pPr>
        <w:jc w:val="center"/>
        <w:rPr>
          <w:b/>
          <w:sz w:val="24"/>
          <w:szCs w:val="24"/>
        </w:rPr>
      </w:pPr>
    </w:p>
    <w:p w14:paraId="5C432CE6" w14:textId="77777777" w:rsidR="001C08A5" w:rsidRDefault="00000000">
      <w:pPr>
        <w:jc w:val="both"/>
        <w:rPr>
          <w:sz w:val="24"/>
          <w:szCs w:val="24"/>
        </w:rPr>
      </w:pPr>
      <w:r>
        <w:rPr>
          <w:b/>
          <w:sz w:val="24"/>
          <w:szCs w:val="24"/>
        </w:rPr>
        <w:lastRenderedPageBreak/>
        <w:tab/>
        <w:t>Art. 4.1.2.2. (1)</w:t>
      </w:r>
      <w:r>
        <w:rPr>
          <w:sz w:val="24"/>
          <w:szCs w:val="24"/>
        </w:rPr>
        <w:t xml:space="preserve"> Pereţii antifoc care separă compartimente de incendiu vor fi </w:t>
      </w:r>
      <w:r>
        <w:rPr>
          <w:b/>
          <w:sz w:val="24"/>
          <w:szCs w:val="24"/>
        </w:rPr>
        <w:t xml:space="preserve">EI-M 180/REI 180 </w:t>
      </w:r>
      <w:r>
        <w:rPr>
          <w:sz w:val="24"/>
          <w:szCs w:val="24"/>
        </w:rPr>
        <w:t xml:space="preserve">clasa de reacţie la foc </w:t>
      </w:r>
      <w:r>
        <w:rPr>
          <w:b/>
          <w:bCs/>
          <w:sz w:val="24"/>
          <w:szCs w:val="24"/>
        </w:rPr>
        <w:t>A1</w:t>
      </w:r>
      <w:r>
        <w:rPr>
          <w:sz w:val="24"/>
          <w:szCs w:val="24"/>
        </w:rPr>
        <w:t xml:space="preserve">, </w:t>
      </w:r>
      <w:r>
        <w:rPr>
          <w:b/>
          <w:bCs/>
          <w:sz w:val="24"/>
          <w:szCs w:val="24"/>
        </w:rPr>
        <w:t xml:space="preserve">A2-s1d0 </w:t>
      </w:r>
      <w:r>
        <w:rPr>
          <w:sz w:val="24"/>
          <w:szCs w:val="24"/>
        </w:rPr>
        <w:t xml:space="preserve">şi după caz, planşeele care separă compartimente de incendiu vor fi </w:t>
      </w:r>
      <w:r>
        <w:rPr>
          <w:b/>
          <w:sz w:val="24"/>
          <w:szCs w:val="24"/>
        </w:rPr>
        <w:t>REI</w:t>
      </w:r>
      <w:r>
        <w:rPr>
          <w:sz w:val="24"/>
          <w:szCs w:val="24"/>
        </w:rPr>
        <w:t xml:space="preserve">, clasa de reacţie la foc </w:t>
      </w:r>
      <w:r>
        <w:rPr>
          <w:b/>
          <w:bCs/>
          <w:sz w:val="24"/>
          <w:szCs w:val="24"/>
        </w:rPr>
        <w:t>A1</w:t>
      </w:r>
      <w:r>
        <w:rPr>
          <w:sz w:val="24"/>
          <w:szCs w:val="24"/>
        </w:rPr>
        <w:t xml:space="preserve">, </w:t>
      </w:r>
      <w:r>
        <w:rPr>
          <w:b/>
          <w:bCs/>
          <w:sz w:val="24"/>
          <w:szCs w:val="24"/>
        </w:rPr>
        <w:t>A2-s1d0</w:t>
      </w:r>
      <w:r>
        <w:rPr>
          <w:sz w:val="24"/>
          <w:szCs w:val="24"/>
        </w:rPr>
        <w:t>, cu rezistenţa la foc stabilită în funcţie de densitatea sarcinii termice (</w:t>
      </w:r>
      <w:r>
        <w:rPr>
          <w:b/>
          <w:sz w:val="24"/>
          <w:szCs w:val="24"/>
        </w:rPr>
        <w:t>q</w:t>
      </w:r>
      <w:r>
        <w:rPr>
          <w:sz w:val="24"/>
          <w:szCs w:val="24"/>
        </w:rPr>
        <w:t xml:space="preserve">) din încăperile adiacente potrivit prevederilor din </w:t>
      </w:r>
      <w:r>
        <w:rPr>
          <w:b/>
          <w:sz w:val="24"/>
          <w:szCs w:val="24"/>
        </w:rPr>
        <w:t xml:space="preserve">Art. </w:t>
      </w:r>
      <w:r>
        <w:rPr>
          <w:b/>
          <w:bCs/>
          <w:sz w:val="24"/>
          <w:szCs w:val="24"/>
        </w:rPr>
        <w:t>2.3.1.2.</w:t>
      </w:r>
      <w:r>
        <w:rPr>
          <w:sz w:val="24"/>
          <w:szCs w:val="24"/>
        </w:rPr>
        <w:t xml:space="preserve"> şi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sz w:val="24"/>
          <w:szCs w:val="24"/>
        </w:rPr>
        <w:t xml:space="preserve"> dar minimum </w:t>
      </w:r>
      <w:r>
        <w:rPr>
          <w:b/>
          <w:sz w:val="24"/>
          <w:szCs w:val="24"/>
        </w:rPr>
        <w:t xml:space="preserve">120 </w:t>
      </w:r>
      <w:r>
        <w:rPr>
          <w:sz w:val="24"/>
          <w:szCs w:val="24"/>
        </w:rPr>
        <w:t>de minute (</w:t>
      </w:r>
      <w:r>
        <w:rPr>
          <w:b/>
          <w:bCs/>
          <w:sz w:val="24"/>
          <w:szCs w:val="24"/>
        </w:rPr>
        <w:t>REI 120</w:t>
      </w:r>
      <w:r>
        <w:rPr>
          <w:sz w:val="24"/>
          <w:szCs w:val="24"/>
        </w:rPr>
        <w:t>).</w:t>
      </w:r>
    </w:p>
    <w:p w14:paraId="181E6BD1" w14:textId="77777777" w:rsidR="001C08A5" w:rsidRDefault="00000000">
      <w:pPr>
        <w:ind w:firstLine="720"/>
        <w:jc w:val="both"/>
        <w:rPr>
          <w:b/>
          <w:sz w:val="24"/>
          <w:szCs w:val="24"/>
          <w:vertAlign w:val="subscript"/>
        </w:rPr>
      </w:pPr>
      <w:r>
        <w:rPr>
          <w:b/>
          <w:sz w:val="24"/>
          <w:szCs w:val="24"/>
        </w:rPr>
        <w:t>(2)</w:t>
      </w:r>
      <w:r>
        <w:rPr>
          <w:sz w:val="24"/>
          <w:szCs w:val="24"/>
        </w:rPr>
        <w:t xml:space="preserve"> Comunicarea funcţională se poate asigura prin goluri practicate în pereţii rezistenţi la foc </w:t>
      </w:r>
      <w:r>
        <w:rPr>
          <w:b/>
          <w:sz w:val="24"/>
          <w:szCs w:val="24"/>
        </w:rPr>
        <w:t xml:space="preserve">EI-M 180/REI 180 </w:t>
      </w:r>
      <w:r>
        <w:rPr>
          <w:sz w:val="24"/>
          <w:szCs w:val="24"/>
        </w:rPr>
        <w:t xml:space="preserve">de separare a compartimentelor de incendiu (pereţi antifoc), prin încăperi tampon protejate, ventilate în suprapresiune şi echipate cu uşi rezistente la foc și etanșe la fum minimum </w:t>
      </w:r>
      <w:r>
        <w:rPr>
          <w:b/>
          <w:sz w:val="24"/>
          <w:szCs w:val="24"/>
        </w:rPr>
        <w:t>EI</w:t>
      </w:r>
      <w:r>
        <w:rPr>
          <w:b/>
          <w:sz w:val="24"/>
          <w:szCs w:val="24"/>
          <w:vertAlign w:val="subscript"/>
        </w:rPr>
        <w:t>1</w:t>
      </w:r>
      <w:r>
        <w:rPr>
          <w:b/>
          <w:sz w:val="24"/>
          <w:szCs w:val="24"/>
        </w:rPr>
        <w:t xml:space="preserve"> 60-C5S</w:t>
      </w:r>
      <w:r>
        <w:rPr>
          <w:b/>
          <w:bCs/>
          <w:sz w:val="24"/>
          <w:szCs w:val="24"/>
          <w:vertAlign w:val="subscript"/>
        </w:rPr>
        <w:t>200</w:t>
      </w:r>
      <w:r>
        <w:rPr>
          <w:b/>
          <w:sz w:val="24"/>
          <w:szCs w:val="24"/>
          <w:vertAlign w:val="subscript"/>
        </w:rPr>
        <w:t xml:space="preserve">. </w:t>
      </w:r>
    </w:p>
    <w:p w14:paraId="621AF8DB" w14:textId="77777777" w:rsidR="001C08A5" w:rsidRDefault="00000000">
      <w:pPr>
        <w:pStyle w:val="Heading4"/>
      </w:pPr>
      <w:bookmarkStart w:id="4211" w:name="_Toc23869"/>
      <w:bookmarkStart w:id="4212" w:name="_Toc26331"/>
      <w:bookmarkStart w:id="4213" w:name="_Toc17519"/>
      <w:bookmarkStart w:id="4214" w:name="_Toc162355311"/>
      <w:bookmarkStart w:id="4215" w:name="_Toc15519"/>
      <w:bookmarkStart w:id="4216" w:name="_Toc16212"/>
      <w:bookmarkStart w:id="4217" w:name="_Toc17900"/>
      <w:bookmarkStart w:id="4218" w:name="_Toc20364"/>
      <w:r>
        <w:t>4.1.3. LIMITAREA PROPAGĂRII INCENDIILOR</w:t>
      </w:r>
      <w:bookmarkEnd w:id="4211"/>
      <w:bookmarkEnd w:id="4212"/>
      <w:bookmarkEnd w:id="4213"/>
      <w:bookmarkEnd w:id="4214"/>
      <w:bookmarkEnd w:id="4215"/>
      <w:bookmarkEnd w:id="4216"/>
      <w:bookmarkEnd w:id="4217"/>
      <w:bookmarkEnd w:id="4218"/>
    </w:p>
    <w:p w14:paraId="3FC9D1C9" w14:textId="77777777" w:rsidR="001C08A5" w:rsidRDefault="001C08A5">
      <w:pPr>
        <w:jc w:val="both"/>
        <w:rPr>
          <w:b/>
          <w:sz w:val="24"/>
          <w:szCs w:val="24"/>
        </w:rPr>
      </w:pPr>
    </w:p>
    <w:p w14:paraId="3C81D8E6" w14:textId="77777777" w:rsidR="001C08A5" w:rsidRDefault="00000000">
      <w:pPr>
        <w:jc w:val="both"/>
        <w:rPr>
          <w:sz w:val="24"/>
          <w:szCs w:val="24"/>
        </w:rPr>
      </w:pPr>
      <w:r>
        <w:rPr>
          <w:b/>
          <w:sz w:val="24"/>
          <w:szCs w:val="24"/>
        </w:rPr>
        <w:tab/>
        <w:t xml:space="preserve">Art. 4.1.3.1. </w:t>
      </w:r>
      <w:r>
        <w:rPr>
          <w:sz w:val="24"/>
          <w:szCs w:val="24"/>
        </w:rPr>
        <w:t xml:space="preserve">În clădirile civile înalte nu se recomandă amplasarea încăperilor cu riscuri </w:t>
      </w:r>
      <w:r>
        <w:rPr>
          <w:bCs/>
          <w:sz w:val="24"/>
          <w:szCs w:val="24"/>
        </w:rPr>
        <w:t>mari</w:t>
      </w:r>
      <w:r>
        <w:rPr>
          <w:sz w:val="24"/>
          <w:szCs w:val="24"/>
        </w:rPr>
        <w:t xml:space="preserve"> de incendiu, iar atunci când acestea sunt justificate funcţional, se dispun în zone distincte şi numai cu prevederea măsurilor de protecţie corespunzătoare, respectiv compartimentare faţă de restul clădirii cu elemente verticale şi orizontale rezistente la foc alcătuite şi dimensionate corespunzător riscului de incendiu şi densităţii sarcinii termice (</w:t>
      </w:r>
      <w:r>
        <w:rPr>
          <w:b/>
          <w:sz w:val="24"/>
          <w:szCs w:val="24"/>
        </w:rPr>
        <w:t>q</w:t>
      </w:r>
      <w:r>
        <w:rPr>
          <w:sz w:val="24"/>
          <w:szCs w:val="24"/>
        </w:rPr>
        <w:t>), echipate cu instalaţii automate de semnalizare și de stingere a incendiilor etc.</w:t>
      </w:r>
    </w:p>
    <w:p w14:paraId="5C6AB0F7" w14:textId="77777777" w:rsidR="001C08A5" w:rsidRDefault="00000000">
      <w:pPr>
        <w:jc w:val="both"/>
        <w:rPr>
          <w:sz w:val="24"/>
          <w:szCs w:val="24"/>
        </w:rPr>
      </w:pPr>
      <w:r>
        <w:rPr>
          <w:sz w:val="24"/>
          <w:szCs w:val="24"/>
        </w:rPr>
        <w:tab/>
      </w:r>
      <w:r>
        <w:rPr>
          <w:sz w:val="24"/>
          <w:szCs w:val="24"/>
        </w:rPr>
        <w:tab/>
      </w:r>
      <w:r>
        <w:rPr>
          <w:sz w:val="24"/>
          <w:szCs w:val="24"/>
        </w:rPr>
        <w:tab/>
      </w:r>
    </w:p>
    <w:p w14:paraId="0413E387" w14:textId="77777777" w:rsidR="001C08A5" w:rsidRDefault="00000000">
      <w:pPr>
        <w:jc w:val="both"/>
        <w:rPr>
          <w:b/>
          <w:sz w:val="24"/>
          <w:szCs w:val="24"/>
        </w:rPr>
      </w:pPr>
      <w:r>
        <w:rPr>
          <w:b/>
          <w:sz w:val="24"/>
          <w:szCs w:val="24"/>
        </w:rPr>
        <w:tab/>
        <w:t xml:space="preserve">Art. 4.1.3.2. </w:t>
      </w:r>
      <w:r>
        <w:rPr>
          <w:sz w:val="24"/>
          <w:szCs w:val="24"/>
        </w:rPr>
        <w:t xml:space="preserve">Încăperile cu riscuri foarte mari de incendiu nu sunt admise în clădirile supraterane înalte, cu exceptia celor separate conform </w:t>
      </w:r>
      <w:r>
        <w:rPr>
          <w:b/>
          <w:sz w:val="24"/>
          <w:szCs w:val="24"/>
        </w:rPr>
        <w:t xml:space="preserve">Art. 4.1.4.8. </w:t>
      </w:r>
      <w:r>
        <w:rPr>
          <w:bCs/>
          <w:sz w:val="24"/>
          <w:szCs w:val="24"/>
        </w:rPr>
        <w:t xml:space="preserve">și </w:t>
      </w:r>
      <w:r>
        <w:rPr>
          <w:b/>
          <w:bCs/>
          <w:i/>
          <w:iCs/>
          <w:sz w:val="24"/>
          <w:szCs w:val="24"/>
        </w:rPr>
        <w:fldChar w:fldCharType="begin"/>
      </w:r>
      <w:r>
        <w:rPr>
          <w:b/>
          <w:bCs/>
          <w:i/>
          <w:iCs/>
          <w:sz w:val="24"/>
          <w:szCs w:val="24"/>
        </w:rPr>
        <w:instrText xml:space="preserve"> REF _Ref31631 \h </w:instrText>
      </w:r>
      <w:r>
        <w:rPr>
          <w:b/>
          <w:bCs/>
          <w:i/>
          <w:iCs/>
          <w:sz w:val="24"/>
          <w:szCs w:val="24"/>
        </w:rPr>
      </w:r>
      <w:r>
        <w:rPr>
          <w:b/>
          <w:bCs/>
          <w:i/>
          <w:iCs/>
          <w:sz w:val="24"/>
          <w:szCs w:val="24"/>
        </w:rPr>
        <w:fldChar w:fldCharType="separate"/>
      </w:r>
      <w:r>
        <w:t>Tabelul 90</w:t>
      </w:r>
      <w:r>
        <w:rPr>
          <w:b/>
          <w:bCs/>
          <w:i/>
          <w:iCs/>
          <w:sz w:val="24"/>
          <w:szCs w:val="24"/>
        </w:rPr>
        <w:fldChar w:fldCharType="end"/>
      </w:r>
      <w:r>
        <w:rPr>
          <w:b/>
          <w:sz w:val="24"/>
          <w:szCs w:val="24"/>
        </w:rPr>
        <w:t>.</w:t>
      </w:r>
    </w:p>
    <w:p w14:paraId="0A0C65D2" w14:textId="77777777" w:rsidR="001C08A5" w:rsidRDefault="001C08A5">
      <w:pPr>
        <w:jc w:val="both"/>
        <w:rPr>
          <w:b/>
          <w:sz w:val="24"/>
          <w:szCs w:val="24"/>
        </w:rPr>
      </w:pPr>
    </w:p>
    <w:p w14:paraId="18AAF079" w14:textId="77777777" w:rsidR="001C08A5" w:rsidRDefault="00000000">
      <w:pPr>
        <w:tabs>
          <w:tab w:val="left" w:pos="1843"/>
          <w:tab w:val="left" w:pos="6663"/>
        </w:tabs>
        <w:ind w:firstLine="720"/>
        <w:jc w:val="both"/>
        <w:rPr>
          <w:sz w:val="24"/>
          <w:szCs w:val="24"/>
        </w:rPr>
      </w:pPr>
      <w:r>
        <w:rPr>
          <w:b/>
          <w:sz w:val="24"/>
          <w:szCs w:val="24"/>
        </w:rPr>
        <w:t xml:space="preserve">Art. 4.1.3.3. (1) </w:t>
      </w:r>
      <w:r>
        <w:rPr>
          <w:sz w:val="24"/>
          <w:szCs w:val="24"/>
        </w:rPr>
        <w:t xml:space="preserve">În cadrul construcţiilor civile supraterane înalte, se asigură separarea încăperilor de restul construcţiei potrivit prevederilor privind performanțele comune precum și a celor  specifice precizate în acest capitol, iar atunci când norma nu dispune, prin pereţi neportanți despărţitori interiori cu rol de limitare a propagării focului și/ sau prin pereți de sectorizare potrivit prevederilor din </w:t>
      </w:r>
      <w:r>
        <w:rPr>
          <w:b/>
          <w:sz w:val="24"/>
          <w:szCs w:val="24"/>
        </w:rPr>
        <w:t xml:space="preserve">Art. </w:t>
      </w:r>
      <w:r>
        <w:rPr>
          <w:b/>
          <w:bCs/>
          <w:sz w:val="24"/>
          <w:szCs w:val="24"/>
        </w:rPr>
        <w:t>2.1.3.</w:t>
      </w:r>
      <w:r>
        <w:rPr>
          <w:b/>
          <w:sz w:val="24"/>
          <w:szCs w:val="24"/>
        </w:rPr>
        <w:t>2.</w:t>
      </w:r>
      <w:r>
        <w:rPr>
          <w:sz w:val="24"/>
          <w:szCs w:val="24"/>
        </w:rPr>
        <w:t xml:space="preserve"> şi </w:t>
      </w:r>
      <w:r>
        <w:rPr>
          <w:rStyle w:val="BodyTextChar"/>
          <w:iCs/>
        </w:rPr>
        <w:fldChar w:fldCharType="begin"/>
      </w:r>
      <w:r>
        <w:rPr>
          <w:rStyle w:val="BodyTextChar"/>
          <w:iCs/>
        </w:rPr>
        <w:instrText xml:space="preserve"> REF _Ref26473 \h </w:instrText>
      </w:r>
      <w:r>
        <w:rPr>
          <w:rStyle w:val="BodyTextChar"/>
          <w:iCs/>
        </w:rPr>
      </w:r>
      <w:r>
        <w:rPr>
          <w:rStyle w:val="BodyTextChar"/>
          <w:iCs/>
        </w:rPr>
        <w:fldChar w:fldCharType="separate"/>
      </w:r>
      <w:r>
        <w:t>Tabelul 2</w:t>
      </w:r>
      <w:r>
        <w:rPr>
          <w:rStyle w:val="BodyTextChar"/>
          <w:iCs/>
        </w:rPr>
        <w:fldChar w:fldCharType="end"/>
      </w:r>
      <w:r>
        <w:rPr>
          <w:b/>
          <w:bCs/>
          <w:sz w:val="24"/>
          <w:szCs w:val="24"/>
        </w:rPr>
        <w:t xml:space="preserve">, </w:t>
      </w:r>
      <w:r>
        <w:rPr>
          <w:sz w:val="24"/>
          <w:szCs w:val="24"/>
        </w:rPr>
        <w:t>în funcție de regimul de înălțime al acestora.</w:t>
      </w:r>
    </w:p>
    <w:p w14:paraId="70D81ADC" w14:textId="77777777" w:rsidR="001C08A5" w:rsidRDefault="001C08A5">
      <w:pPr>
        <w:tabs>
          <w:tab w:val="left" w:pos="1843"/>
          <w:tab w:val="left" w:pos="6663"/>
        </w:tabs>
        <w:ind w:firstLine="720"/>
        <w:jc w:val="both"/>
        <w:rPr>
          <w:sz w:val="24"/>
          <w:szCs w:val="24"/>
        </w:rPr>
      </w:pPr>
    </w:p>
    <w:p w14:paraId="2D8B6003" w14:textId="77777777" w:rsidR="001C08A5" w:rsidRDefault="00000000">
      <w:pPr>
        <w:pStyle w:val="BodyText"/>
        <w:ind w:firstLine="720"/>
        <w:rPr>
          <w:b w:val="0"/>
          <w:bCs w:val="0"/>
          <w:i w:val="0"/>
          <w:iCs/>
        </w:rPr>
      </w:pPr>
      <w:r>
        <w:rPr>
          <w:i w:val="0"/>
          <w:iCs/>
        </w:rPr>
        <w:t xml:space="preserve">Art. 4.1.3.4. (1) </w:t>
      </w:r>
      <w:r>
        <w:rPr>
          <w:b w:val="0"/>
          <w:bCs w:val="0"/>
          <w:i w:val="0"/>
          <w:iCs/>
        </w:rPr>
        <w:t>La s</w:t>
      </w:r>
      <w:r>
        <w:rPr>
          <w:rFonts w:eastAsia="Times-Roman"/>
          <w:b w:val="0"/>
          <w:bCs w:val="0"/>
          <w:i w:val="0"/>
          <w:iCs/>
        </w:rPr>
        <w:t>epararea grupărilor de încăperi de birouri deschise</w:t>
      </w:r>
      <w:r>
        <w:rPr>
          <w:b w:val="0"/>
          <w:bCs w:val="0"/>
          <w:i w:val="0"/>
          <w:iCs/>
        </w:rPr>
        <w:t xml:space="preserve"> tip open-space </w:t>
      </w:r>
      <w:r>
        <w:rPr>
          <w:rFonts w:eastAsia="Times-Roman"/>
          <w:b w:val="0"/>
          <w:bCs w:val="0"/>
          <w:i w:val="0"/>
          <w:iCs/>
        </w:rPr>
        <w:t xml:space="preserve">faţă de alte încăperi, </w:t>
      </w:r>
      <w:r>
        <w:rPr>
          <w:b w:val="0"/>
          <w:bCs w:val="0"/>
          <w:i w:val="0"/>
          <w:iCs/>
        </w:rPr>
        <w:t xml:space="preserve">cu suprafaţa </w:t>
      </w:r>
      <w:r>
        <w:rPr>
          <w:b w:val="0"/>
          <w:bCs w:val="0"/>
          <w:i w:val="0"/>
          <w:iCs/>
          <w:lang w:eastAsia="zh-CN"/>
        </w:rPr>
        <w:t xml:space="preserve">normată conform </w:t>
      </w:r>
      <w:r>
        <w:rPr>
          <w:i w:val="0"/>
          <w:iCs/>
          <w:lang w:eastAsia="zh-CN"/>
        </w:rPr>
        <w:t>Alin. 2</w:t>
      </w:r>
      <w:r>
        <w:rPr>
          <w:b w:val="0"/>
          <w:bCs w:val="0"/>
          <w:i w:val="0"/>
          <w:iCs/>
        </w:rPr>
        <w:t xml:space="preserve">, cu risc mic de incendiu și aceeași destinație (proprie sau complementara / birouri și circulații funcționale delimitate cu parapete, panouri sau pereţii interiori despărţitori funcţionali clasa de reacţie la foc </w:t>
      </w:r>
      <w:r>
        <w:rPr>
          <w:i w:val="0"/>
          <w:iCs/>
        </w:rPr>
        <w:t>A1, A2-s1,d0</w:t>
      </w:r>
      <w:r>
        <w:rPr>
          <w:b w:val="0"/>
          <w:bCs w:val="0"/>
          <w:i w:val="0"/>
          <w:iCs/>
        </w:rPr>
        <w:t xml:space="preserve">), se prevăd minimum pereţi despărţitori de sectorizare cu rol de limitare a propagării focului față de spațiile adiacente (cu excepția celor catre căile de evacuare care respecta prevederile specifice și a celor catre încăperi cu risc mai mare generat de densitatea sarcinii termice din încaperi adiacente), care trebuie să fie clasa de reacţie la foc </w:t>
      </w:r>
      <w:r>
        <w:rPr>
          <w:i w:val="0"/>
          <w:iCs/>
        </w:rPr>
        <w:t xml:space="preserve">A1, A2-s1,d0 </w:t>
      </w:r>
      <w:r>
        <w:rPr>
          <w:b w:val="0"/>
          <w:bCs w:val="0"/>
          <w:i w:val="0"/>
          <w:iCs/>
        </w:rPr>
        <w:t xml:space="preserve">minimum </w:t>
      </w:r>
      <w:r>
        <w:rPr>
          <w:i w:val="0"/>
          <w:iCs/>
        </w:rPr>
        <w:t xml:space="preserve">EI/REI 120 </w:t>
      </w:r>
      <w:r>
        <w:rPr>
          <w:b w:val="0"/>
          <w:bCs w:val="0"/>
          <w:i w:val="0"/>
          <w:iCs/>
        </w:rPr>
        <w:t>prevăzuți cu uși rezistente la foc și etanșe la fum</w:t>
      </w:r>
      <w:r>
        <w:rPr>
          <w:i w:val="0"/>
          <w:iCs/>
        </w:rPr>
        <w:t xml:space="preserve"> EI</w:t>
      </w:r>
      <w:r>
        <w:rPr>
          <w:i w:val="0"/>
          <w:iCs/>
          <w:vertAlign w:val="subscript"/>
        </w:rPr>
        <w:t>2</w:t>
      </w:r>
      <w:r>
        <w:rPr>
          <w:i w:val="0"/>
          <w:iCs/>
        </w:rPr>
        <w:t xml:space="preserve"> 60-C5S</w:t>
      </w:r>
      <w:r>
        <w:rPr>
          <w:i w:val="0"/>
          <w:iCs/>
          <w:vertAlign w:val="subscript"/>
        </w:rPr>
        <w:t xml:space="preserve">200 . </w:t>
      </w:r>
    </w:p>
    <w:p w14:paraId="56EF10C1" w14:textId="77777777" w:rsidR="001C08A5" w:rsidRDefault="00000000">
      <w:pPr>
        <w:ind w:firstLine="720"/>
        <w:jc w:val="both"/>
        <w:rPr>
          <w:sz w:val="24"/>
          <w:szCs w:val="24"/>
          <w:lang w:eastAsia="zh-CN"/>
        </w:rPr>
      </w:pPr>
      <w:r>
        <w:rPr>
          <w:b/>
          <w:bCs/>
          <w:sz w:val="24"/>
          <w:szCs w:val="24"/>
        </w:rPr>
        <w:t xml:space="preserve">(2) </w:t>
      </w:r>
      <w:r>
        <w:rPr>
          <w:sz w:val="24"/>
          <w:szCs w:val="24"/>
        </w:rPr>
        <w:t xml:space="preserve">Grupările de încăperi </w:t>
      </w:r>
      <w:r>
        <w:rPr>
          <w:rFonts w:eastAsia="Times-Roman"/>
          <w:sz w:val="24"/>
          <w:szCs w:val="24"/>
        </w:rPr>
        <w:t xml:space="preserve">de birouri deschise tip open-space </w:t>
      </w:r>
      <w:r>
        <w:rPr>
          <w:sz w:val="24"/>
          <w:szCs w:val="24"/>
        </w:rPr>
        <w:t xml:space="preserve">delimitate în interiorul grupării prin panouri opace sau vitrate, fixe sau mobile (clasa de reacţie la foc </w:t>
      </w:r>
      <w:r>
        <w:rPr>
          <w:b/>
          <w:bCs/>
          <w:sz w:val="24"/>
          <w:szCs w:val="24"/>
        </w:rPr>
        <w:t>A1, A2-s1,d0</w:t>
      </w:r>
      <w:r>
        <w:rPr>
          <w:sz w:val="24"/>
          <w:szCs w:val="24"/>
        </w:rPr>
        <w:t xml:space="preserve">, </w:t>
      </w:r>
      <w:r>
        <w:rPr>
          <w:iCs/>
          <w:sz w:val="24"/>
          <w:szCs w:val="24"/>
        </w:rPr>
        <w:t>cu excepția componentelor nesubstanțiale, a elementelor de vitraj (din sticlă) simplu sau izolant și a garniturilor de vitrare</w:t>
      </w:r>
      <w:r>
        <w:rPr>
          <w:sz w:val="24"/>
          <w:szCs w:val="24"/>
        </w:rPr>
        <w:t xml:space="preserve">) folosite ca separări funcționale și/sau izolante fonic sau pereţi interiori despărţitori funcţionali (clasa de reacţie la foc </w:t>
      </w:r>
      <w:r>
        <w:rPr>
          <w:b/>
          <w:bCs/>
          <w:sz w:val="24"/>
          <w:szCs w:val="24"/>
        </w:rPr>
        <w:t>A1, A2-s1,d0</w:t>
      </w:r>
      <w:r>
        <w:rPr>
          <w:sz w:val="24"/>
          <w:szCs w:val="24"/>
        </w:rPr>
        <w:t xml:space="preserve">) se admit cu arie construită nelimitată în cadrul </w:t>
      </w:r>
      <w:r>
        <w:rPr>
          <w:sz w:val="24"/>
          <w:szCs w:val="24"/>
          <w:lang w:eastAsia="zh-CN"/>
        </w:rPr>
        <w:t>construcțiilor administrative</w:t>
      </w:r>
      <w:r>
        <w:rPr>
          <w:sz w:val="24"/>
          <w:szCs w:val="24"/>
        </w:rPr>
        <w:t xml:space="preserve"> din clădiri înalte, </w:t>
      </w:r>
      <w:r>
        <w:rPr>
          <w:sz w:val="24"/>
          <w:szCs w:val="24"/>
          <w:lang w:eastAsia="zh-CN"/>
        </w:rPr>
        <w:t xml:space="preserve">cu condiția ca aria construită a </w:t>
      </w:r>
      <w:r>
        <w:rPr>
          <w:sz w:val="24"/>
          <w:szCs w:val="24"/>
        </w:rPr>
        <w:t xml:space="preserve">grupărilor de încăperi </w:t>
      </w:r>
      <w:r>
        <w:rPr>
          <w:rFonts w:eastAsia="Times-Roman"/>
          <w:sz w:val="24"/>
          <w:szCs w:val="24"/>
        </w:rPr>
        <w:t>de birouri deschise</w:t>
      </w:r>
      <w:r>
        <w:rPr>
          <w:sz w:val="24"/>
          <w:szCs w:val="24"/>
          <w:lang w:eastAsia="zh-CN"/>
        </w:rPr>
        <w:t xml:space="preserve"> sa fie de maximum </w:t>
      </w:r>
      <w:r>
        <w:rPr>
          <w:b/>
          <w:bCs/>
          <w:sz w:val="24"/>
          <w:szCs w:val="24"/>
          <w:lang w:eastAsia="zh-CN"/>
        </w:rPr>
        <w:t>75%</w:t>
      </w:r>
      <w:r>
        <w:rPr>
          <w:sz w:val="24"/>
          <w:szCs w:val="24"/>
          <w:lang w:eastAsia="zh-CN"/>
        </w:rPr>
        <w:t xml:space="preserve"> din cea a ariei construite a nivelului compartimentului respectiv pentru construcții administrative de tip înalt.</w:t>
      </w:r>
    </w:p>
    <w:p w14:paraId="2C62A8C3" w14:textId="77777777" w:rsidR="001C08A5" w:rsidRDefault="00000000">
      <w:pPr>
        <w:ind w:firstLine="720"/>
        <w:jc w:val="both"/>
        <w:rPr>
          <w:sz w:val="24"/>
          <w:szCs w:val="24"/>
        </w:rPr>
      </w:pPr>
      <w:r>
        <w:rPr>
          <w:b/>
          <w:bCs/>
          <w:sz w:val="24"/>
          <w:szCs w:val="24"/>
        </w:rPr>
        <w:t xml:space="preserve">(3) </w:t>
      </w:r>
      <w:r>
        <w:rPr>
          <w:bCs/>
          <w:sz w:val="24"/>
          <w:szCs w:val="24"/>
        </w:rPr>
        <w:t>G</w:t>
      </w:r>
      <w:r>
        <w:rPr>
          <w:sz w:val="24"/>
          <w:szCs w:val="24"/>
        </w:rPr>
        <w:t xml:space="preserve">rupările de încăperi de birouri deschise </w:t>
      </w:r>
      <w:r>
        <w:rPr>
          <w:rFonts w:eastAsia="Times-Roman"/>
          <w:sz w:val="24"/>
          <w:szCs w:val="24"/>
        </w:rPr>
        <w:t xml:space="preserve">tip open-space </w:t>
      </w:r>
      <w:r>
        <w:rPr>
          <w:sz w:val="24"/>
          <w:szCs w:val="24"/>
        </w:rPr>
        <w:t xml:space="preserve">prevăzute la alineatele precedente vor avea asigurate minimum două căi de evacuare, distincte şi independente, astfel dispuse şi alcătuite încât să poată fi uşor accesibile utilizatorilor </w:t>
      </w:r>
      <w:r>
        <w:rPr>
          <w:sz w:val="24"/>
          <w:szCs w:val="24"/>
          <w:lang w:eastAsia="zh-CN"/>
        </w:rPr>
        <w:t xml:space="preserve">pentru construcțiile administrative înalte încadrate în nivelul </w:t>
      </w:r>
      <w:r>
        <w:rPr>
          <w:b/>
          <w:bCs/>
          <w:sz w:val="24"/>
          <w:szCs w:val="24"/>
          <w:lang w:eastAsia="zh-CN"/>
        </w:rPr>
        <w:t>I</w:t>
      </w:r>
      <w:r>
        <w:rPr>
          <w:sz w:val="24"/>
          <w:szCs w:val="24"/>
          <w:lang w:eastAsia="zh-CN"/>
        </w:rPr>
        <w:t xml:space="preserve"> de securitate la incendiu </w:t>
      </w:r>
      <w:r>
        <w:rPr>
          <w:sz w:val="24"/>
          <w:szCs w:val="24"/>
        </w:rPr>
        <w:t xml:space="preserve">cu funcțiune administrativă (birouri). Căile de evacuare a utilizatorilor vor respecta condiţiile de alcătuire prevăzute în normativ şi lungimile de evacuare normate. </w:t>
      </w:r>
    </w:p>
    <w:p w14:paraId="5FF102DA" w14:textId="77777777" w:rsidR="001C08A5" w:rsidRDefault="00000000">
      <w:pPr>
        <w:ind w:firstLine="720"/>
        <w:jc w:val="both"/>
        <w:rPr>
          <w:sz w:val="24"/>
          <w:szCs w:val="24"/>
        </w:rPr>
      </w:pPr>
      <w:r>
        <w:rPr>
          <w:b/>
          <w:bCs/>
          <w:sz w:val="24"/>
          <w:szCs w:val="24"/>
        </w:rPr>
        <w:t xml:space="preserve">(4) </w:t>
      </w:r>
      <w:r>
        <w:rPr>
          <w:bCs/>
          <w:sz w:val="24"/>
          <w:szCs w:val="24"/>
        </w:rPr>
        <w:t>G</w:t>
      </w:r>
      <w:r>
        <w:rPr>
          <w:sz w:val="24"/>
          <w:szCs w:val="24"/>
        </w:rPr>
        <w:t xml:space="preserve">rupările de încăperi de birouri deschise  tip open space vor respecta și cerințele prevăzute la </w:t>
      </w:r>
      <w:r>
        <w:rPr>
          <w:b/>
          <w:sz w:val="24"/>
          <w:szCs w:val="24"/>
        </w:rPr>
        <w:t xml:space="preserve">Art. 2.4.3.2. </w:t>
      </w:r>
      <w:r>
        <w:rPr>
          <w:bCs/>
          <w:sz w:val="24"/>
          <w:szCs w:val="24"/>
        </w:rPr>
        <w:t>alin.</w:t>
      </w:r>
      <w:r>
        <w:rPr>
          <w:b/>
          <w:sz w:val="24"/>
          <w:szCs w:val="24"/>
        </w:rPr>
        <w:t xml:space="preserve"> (4) și </w:t>
      </w:r>
      <w:r>
        <w:rPr>
          <w:bCs/>
          <w:sz w:val="24"/>
          <w:szCs w:val="24"/>
        </w:rPr>
        <w:t>la</w:t>
      </w:r>
      <w:r>
        <w:rPr>
          <w:b/>
          <w:sz w:val="24"/>
          <w:szCs w:val="24"/>
        </w:rPr>
        <w:t xml:space="preserve"> Art. 2.5.14.1.</w:t>
      </w:r>
    </w:p>
    <w:p w14:paraId="3C074002" w14:textId="77777777" w:rsidR="001C08A5" w:rsidRDefault="001C08A5">
      <w:pPr>
        <w:jc w:val="both"/>
        <w:rPr>
          <w:b/>
          <w:sz w:val="24"/>
          <w:szCs w:val="24"/>
        </w:rPr>
      </w:pPr>
    </w:p>
    <w:p w14:paraId="7D2F6C42" w14:textId="77777777" w:rsidR="001C08A5" w:rsidRDefault="00000000">
      <w:pPr>
        <w:ind w:firstLine="720"/>
        <w:jc w:val="both"/>
        <w:rPr>
          <w:sz w:val="24"/>
          <w:szCs w:val="24"/>
        </w:rPr>
      </w:pPr>
      <w:r>
        <w:rPr>
          <w:b/>
          <w:sz w:val="24"/>
          <w:szCs w:val="24"/>
        </w:rPr>
        <w:t xml:space="preserve">Art. 4.1.3.5. (1)  </w:t>
      </w:r>
      <w:r>
        <w:rPr>
          <w:sz w:val="24"/>
          <w:szCs w:val="24"/>
        </w:rPr>
        <w:t xml:space="preserve">Spaţiile de vânzare cu densitatea sarcinii termice </w:t>
      </w:r>
      <w:r>
        <w:rPr>
          <w:b/>
          <w:bCs/>
          <w:sz w:val="24"/>
          <w:szCs w:val="24"/>
        </w:rPr>
        <w:t>q</w:t>
      </w:r>
      <w:r>
        <w:rPr>
          <w:sz w:val="24"/>
          <w:szCs w:val="24"/>
        </w:rPr>
        <w:t xml:space="preserve"> mai mică de</w:t>
      </w:r>
      <w:r>
        <w:rPr>
          <w:b/>
          <w:sz w:val="24"/>
          <w:szCs w:val="24"/>
          <w:lang w:eastAsia="ro-RO"/>
        </w:rPr>
        <w:t xml:space="preserve"> 840 MJ/m</w:t>
      </w:r>
      <w:r>
        <w:rPr>
          <w:b/>
          <w:sz w:val="24"/>
          <w:szCs w:val="24"/>
          <w:vertAlign w:val="superscript"/>
          <w:lang w:eastAsia="ro-RO"/>
        </w:rPr>
        <w:t>2</w:t>
      </w:r>
      <w:r>
        <w:rPr>
          <w:sz w:val="24"/>
          <w:szCs w:val="24"/>
        </w:rPr>
        <w:t xml:space="preserve"> se separă de încăperile anexă care nu sunt accesibile cumpărătorilor (anexe sociale sau funcţionale, birouri etc.), prin pereţi rezistenţi la foc minimum </w:t>
      </w:r>
      <w:r>
        <w:rPr>
          <w:b/>
          <w:sz w:val="24"/>
          <w:szCs w:val="24"/>
        </w:rPr>
        <w:t>EI/REI 120</w:t>
      </w:r>
      <w:r>
        <w:rPr>
          <w:sz w:val="24"/>
          <w:szCs w:val="24"/>
        </w:rPr>
        <w:t xml:space="preserve"> şi, după caz, cu planşee rezistente la foc </w:t>
      </w:r>
      <w:r>
        <w:rPr>
          <w:b/>
          <w:sz w:val="24"/>
          <w:szCs w:val="24"/>
        </w:rPr>
        <w:t>REI 120</w:t>
      </w:r>
      <w:r>
        <w:rPr>
          <w:sz w:val="24"/>
          <w:szCs w:val="24"/>
        </w:rPr>
        <w:t xml:space="preserve">, iar golurile de circulaţie funcţională şi de evacuare din aceşti pereţi se protejază cu elemente de închidere rezistente la foc și etanșe la fum minimum </w:t>
      </w:r>
      <w:r>
        <w:rPr>
          <w:b/>
          <w:bCs/>
          <w:sz w:val="24"/>
          <w:szCs w:val="24"/>
        </w:rPr>
        <w:t>EI</w:t>
      </w:r>
      <w:r>
        <w:rPr>
          <w:b/>
          <w:bCs/>
          <w:sz w:val="24"/>
          <w:szCs w:val="24"/>
          <w:vertAlign w:val="subscript"/>
        </w:rPr>
        <w:t>2</w:t>
      </w:r>
      <w:r>
        <w:rPr>
          <w:b/>
          <w:bCs/>
          <w:sz w:val="24"/>
          <w:szCs w:val="24"/>
        </w:rPr>
        <w:t>60-C5S</w:t>
      </w:r>
      <w:r>
        <w:rPr>
          <w:b/>
          <w:bCs/>
          <w:sz w:val="24"/>
          <w:szCs w:val="24"/>
          <w:vertAlign w:val="subscript"/>
        </w:rPr>
        <w:t>200</w:t>
      </w:r>
      <w:r>
        <w:rPr>
          <w:sz w:val="24"/>
          <w:szCs w:val="24"/>
        </w:rPr>
        <w:t>. Încăperile anexă care nu sunt accesibile cumpărătorilor precum și spațiile de vanzare, se separă în același fel între ele. Nu este admisă constituirea de grupări de spații deschise tip open space formate din grupări de spații cu risc mare, mijlociu sau mic de incendiu cu funcțiune comercială în clădiri înalte.</w:t>
      </w:r>
    </w:p>
    <w:p w14:paraId="1F591085" w14:textId="77777777" w:rsidR="001C08A5" w:rsidRDefault="00000000">
      <w:pPr>
        <w:ind w:firstLine="720"/>
        <w:jc w:val="both"/>
        <w:rPr>
          <w:bCs/>
          <w:sz w:val="24"/>
          <w:szCs w:val="24"/>
          <w:lang w:eastAsia="ro-RO"/>
        </w:rPr>
      </w:pPr>
      <w:r>
        <w:rPr>
          <w:b/>
          <w:sz w:val="24"/>
          <w:szCs w:val="24"/>
        </w:rPr>
        <w:t xml:space="preserve">(2) </w:t>
      </w:r>
      <w:r>
        <w:rPr>
          <w:sz w:val="24"/>
          <w:szCs w:val="24"/>
        </w:rPr>
        <w:t xml:space="preserve">Spaţiile de vânzare cu densitatea sarcinii termice </w:t>
      </w:r>
      <w:r>
        <w:rPr>
          <w:b/>
          <w:bCs/>
          <w:sz w:val="24"/>
          <w:szCs w:val="24"/>
        </w:rPr>
        <w:t xml:space="preserve">q </w:t>
      </w:r>
      <w:r>
        <w:rPr>
          <w:sz w:val="24"/>
          <w:szCs w:val="24"/>
        </w:rPr>
        <w:t xml:space="preserve">mai mare sau egala de </w:t>
      </w:r>
      <w:r>
        <w:rPr>
          <w:b/>
          <w:sz w:val="24"/>
          <w:szCs w:val="24"/>
          <w:lang w:eastAsia="ro-RO"/>
        </w:rPr>
        <w:t>840 MJ/m</w:t>
      </w:r>
      <w:r>
        <w:rPr>
          <w:b/>
          <w:sz w:val="24"/>
          <w:szCs w:val="24"/>
          <w:vertAlign w:val="superscript"/>
          <w:lang w:eastAsia="ro-RO"/>
        </w:rPr>
        <w:t>2</w:t>
      </w:r>
      <w:r>
        <w:rPr>
          <w:bCs/>
          <w:sz w:val="24"/>
          <w:szCs w:val="24"/>
          <w:lang w:eastAsia="ro-RO"/>
        </w:rPr>
        <w:t xml:space="preserve"> (cu risc mare sau foarte mare de incendiu) sunt admise doar dacă sunt separate conform </w:t>
      </w:r>
      <w:r>
        <w:rPr>
          <w:b/>
          <w:bCs/>
          <w:i/>
          <w:iCs/>
          <w:sz w:val="24"/>
          <w:szCs w:val="24"/>
          <w:lang w:eastAsia="ro-RO"/>
        </w:rPr>
        <w:fldChar w:fldCharType="begin"/>
      </w:r>
      <w:r>
        <w:rPr>
          <w:b/>
          <w:bCs/>
          <w:i/>
          <w:iCs/>
          <w:sz w:val="24"/>
          <w:szCs w:val="24"/>
          <w:lang w:eastAsia="ro-RO"/>
        </w:rPr>
        <w:instrText xml:space="preserve"> REF _Ref31631 \h </w:instrText>
      </w:r>
      <w:r>
        <w:rPr>
          <w:b/>
          <w:bCs/>
          <w:i/>
          <w:iCs/>
          <w:sz w:val="24"/>
          <w:szCs w:val="24"/>
          <w:lang w:eastAsia="ro-RO"/>
        </w:rPr>
      </w:r>
      <w:r>
        <w:rPr>
          <w:b/>
          <w:bCs/>
          <w:i/>
          <w:iCs/>
          <w:sz w:val="24"/>
          <w:szCs w:val="24"/>
          <w:lang w:eastAsia="ro-RO"/>
        </w:rPr>
        <w:fldChar w:fldCharType="separate"/>
      </w:r>
      <w:r>
        <w:t>Tabelul 90</w:t>
      </w:r>
      <w:r>
        <w:rPr>
          <w:b/>
          <w:bCs/>
          <w:i/>
          <w:iCs/>
          <w:sz w:val="24"/>
          <w:szCs w:val="24"/>
          <w:lang w:eastAsia="ro-RO"/>
        </w:rPr>
        <w:fldChar w:fldCharType="end"/>
      </w:r>
      <w:r>
        <w:rPr>
          <w:rStyle w:val="BodyTextChar"/>
          <w:lang w:val="en-US" w:eastAsia="ro-RO"/>
        </w:rPr>
        <w:t xml:space="preserve"> </w:t>
      </w:r>
      <w:r>
        <w:rPr>
          <w:bCs/>
          <w:sz w:val="24"/>
          <w:szCs w:val="24"/>
          <w:lang w:eastAsia="ro-RO"/>
        </w:rPr>
        <w:t xml:space="preserve">(de delimitare cu pereți, planșee și uși sau încăperi tampon </w:t>
      </w:r>
      <w:r>
        <w:rPr>
          <w:sz w:val="24"/>
          <w:szCs w:val="24"/>
        </w:rPr>
        <w:t>ventilate în suprapresiune</w:t>
      </w:r>
      <w:r>
        <w:rPr>
          <w:bCs/>
          <w:sz w:val="24"/>
          <w:szCs w:val="24"/>
          <w:lang w:eastAsia="ro-RO"/>
        </w:rPr>
        <w:t xml:space="preserve">, neadmițându-se excepții). </w:t>
      </w:r>
      <w:r>
        <w:rPr>
          <w:sz w:val="24"/>
          <w:szCs w:val="24"/>
        </w:rPr>
        <w:t xml:space="preserve">Spaţiile de vânzare cu densitatea sarcinii termice peste </w:t>
      </w:r>
      <w:r>
        <w:rPr>
          <w:b/>
          <w:sz w:val="24"/>
          <w:szCs w:val="24"/>
          <w:lang w:eastAsia="ro-RO"/>
        </w:rPr>
        <w:t>2940 MJ/m</w:t>
      </w:r>
      <w:r>
        <w:rPr>
          <w:b/>
          <w:sz w:val="24"/>
          <w:szCs w:val="24"/>
          <w:vertAlign w:val="superscript"/>
          <w:lang w:eastAsia="ro-RO"/>
        </w:rPr>
        <w:t xml:space="preserve">2 </w:t>
      </w:r>
      <w:r>
        <w:rPr>
          <w:bCs/>
          <w:sz w:val="24"/>
          <w:szCs w:val="24"/>
          <w:lang w:eastAsia="ro-RO"/>
        </w:rPr>
        <w:t>nu sunt admise.</w:t>
      </w:r>
    </w:p>
    <w:p w14:paraId="36DB9190" w14:textId="77777777" w:rsidR="001C08A5" w:rsidRDefault="00000000">
      <w:pPr>
        <w:ind w:firstLine="720"/>
        <w:jc w:val="both"/>
        <w:rPr>
          <w:rFonts w:eastAsia="Arial"/>
          <w:bCs/>
          <w:sz w:val="24"/>
          <w:szCs w:val="24"/>
        </w:rPr>
      </w:pPr>
      <w:r>
        <w:rPr>
          <w:b/>
          <w:sz w:val="24"/>
          <w:szCs w:val="24"/>
        </w:rPr>
        <w:t xml:space="preserve">(3) </w:t>
      </w:r>
      <w:r>
        <w:rPr>
          <w:sz w:val="24"/>
          <w:szCs w:val="24"/>
        </w:rPr>
        <w:t xml:space="preserve">La spaţiile de vânzare cu densitatea sarcinii termice </w:t>
      </w:r>
      <w:r>
        <w:rPr>
          <w:b/>
          <w:bCs/>
          <w:sz w:val="24"/>
          <w:szCs w:val="24"/>
        </w:rPr>
        <w:t>q</w:t>
      </w:r>
      <w:r>
        <w:rPr>
          <w:sz w:val="24"/>
          <w:szCs w:val="24"/>
        </w:rPr>
        <w:t xml:space="preserve"> mai mică de</w:t>
      </w:r>
      <w:r>
        <w:rPr>
          <w:b/>
          <w:sz w:val="24"/>
          <w:szCs w:val="24"/>
          <w:lang w:eastAsia="ro-RO"/>
        </w:rPr>
        <w:t xml:space="preserve"> 840 MJ/m</w:t>
      </w:r>
      <w:r>
        <w:rPr>
          <w:b/>
          <w:sz w:val="24"/>
          <w:szCs w:val="24"/>
          <w:vertAlign w:val="superscript"/>
          <w:lang w:eastAsia="ro-RO"/>
        </w:rPr>
        <w:t xml:space="preserve">2 </w:t>
      </w:r>
      <w:r>
        <w:rPr>
          <w:sz w:val="24"/>
          <w:szCs w:val="24"/>
        </w:rPr>
        <w:t>din clădiri înalte</w:t>
      </w:r>
      <w:r>
        <w:rPr>
          <w:bCs/>
          <w:sz w:val="24"/>
          <w:szCs w:val="24"/>
        </w:rPr>
        <w:t xml:space="preserve">se admite înlocuirea pereţilor rezistenţi la foc dintre </w:t>
      </w:r>
      <w:r>
        <w:rPr>
          <w:sz w:val="24"/>
          <w:szCs w:val="24"/>
        </w:rPr>
        <w:t xml:space="preserve">spaţiile de vânzare către circulații comune orizontale (coridoare și holuri) prevăzute cu sisteme mecanice independente de evacuare a fumului și a gazelor fierbinți, </w:t>
      </w:r>
      <w:r>
        <w:rPr>
          <w:bCs/>
          <w:sz w:val="24"/>
          <w:szCs w:val="24"/>
        </w:rPr>
        <w:t xml:space="preserve"> cu ecrane continui </w:t>
      </w:r>
      <w:r>
        <w:rPr>
          <w:b/>
          <w:sz w:val="24"/>
          <w:szCs w:val="24"/>
        </w:rPr>
        <w:t xml:space="preserve">DH 90 </w:t>
      </w:r>
      <w:r>
        <w:rPr>
          <w:sz w:val="24"/>
          <w:szCs w:val="24"/>
        </w:rPr>
        <w:t>amplasate la marginea elementelor de rezistenţă către circulații comune orizontale,</w:t>
      </w:r>
      <w:r>
        <w:rPr>
          <w:bCs/>
          <w:sz w:val="24"/>
          <w:szCs w:val="24"/>
        </w:rPr>
        <w:t xml:space="preserve"> având înălţimea egală cu aceea a rezervorului de fum, dar minimum </w:t>
      </w:r>
      <w:r>
        <w:rPr>
          <w:b/>
          <w:bCs/>
          <w:sz w:val="24"/>
          <w:szCs w:val="24"/>
        </w:rPr>
        <w:t>1</w:t>
      </w:r>
      <w:r>
        <w:rPr>
          <w:bCs/>
          <w:sz w:val="24"/>
          <w:szCs w:val="24"/>
        </w:rPr>
        <w:t xml:space="preserve"> m (</w:t>
      </w:r>
      <w:r>
        <w:rPr>
          <w:sz w:val="24"/>
          <w:szCs w:val="24"/>
        </w:rPr>
        <w:t xml:space="preserve">fumul din </w:t>
      </w:r>
      <w:r>
        <w:rPr>
          <w:rFonts w:eastAsia="Arial"/>
          <w:bCs/>
          <w:sz w:val="24"/>
          <w:szCs w:val="24"/>
        </w:rPr>
        <w:t>rezervorului de fum trebuie</w:t>
      </w:r>
      <w:r>
        <w:rPr>
          <w:sz w:val="24"/>
          <w:szCs w:val="24"/>
        </w:rPr>
        <w:t xml:space="preserve"> să nu se extindă la zonele de fum învecinate din circulații</w:t>
      </w:r>
      <w:r>
        <w:rPr>
          <w:bCs/>
          <w:sz w:val="24"/>
          <w:szCs w:val="24"/>
        </w:rPr>
        <w:t>).</w:t>
      </w:r>
    </w:p>
    <w:p w14:paraId="206C1396" w14:textId="77777777" w:rsidR="001C08A5" w:rsidRDefault="00000000">
      <w:pPr>
        <w:ind w:firstLine="567"/>
        <w:jc w:val="both"/>
        <w:rPr>
          <w:sz w:val="24"/>
          <w:szCs w:val="24"/>
        </w:rPr>
      </w:pPr>
      <w:r>
        <w:rPr>
          <w:b/>
          <w:sz w:val="24"/>
          <w:szCs w:val="24"/>
        </w:rPr>
        <w:t xml:space="preserve">(5) </w:t>
      </w:r>
      <w:r>
        <w:rPr>
          <w:bCs/>
          <w:sz w:val="24"/>
          <w:szCs w:val="24"/>
        </w:rPr>
        <w:t xml:space="preserve">Pereţii rezistenţi la foc dintre </w:t>
      </w:r>
      <w:r>
        <w:rPr>
          <w:sz w:val="24"/>
          <w:szCs w:val="24"/>
        </w:rPr>
        <w:t xml:space="preserve">spaţiile de vânzare cu risc mare și foarte mare de incendiu și circulațiile comune verticale de evacuare (coridoare și holuri) din construcţiile civile de comerț supraterane înalte trebuie să respecte </w:t>
      </w:r>
      <w:r>
        <w:rPr>
          <w:b/>
          <w:bCs/>
          <w:i/>
          <w:iCs/>
          <w:sz w:val="24"/>
          <w:szCs w:val="24"/>
        </w:rPr>
        <w:fldChar w:fldCharType="begin"/>
      </w:r>
      <w:r>
        <w:rPr>
          <w:b/>
          <w:bCs/>
          <w:i/>
          <w:iCs/>
          <w:sz w:val="24"/>
          <w:szCs w:val="24"/>
        </w:rPr>
        <w:instrText xml:space="preserve"> REF _Ref31631 \h </w:instrText>
      </w:r>
      <w:r>
        <w:rPr>
          <w:b/>
          <w:bCs/>
          <w:i/>
          <w:iCs/>
          <w:sz w:val="24"/>
          <w:szCs w:val="24"/>
        </w:rPr>
      </w:r>
      <w:r>
        <w:rPr>
          <w:b/>
          <w:bCs/>
          <w:i/>
          <w:iCs/>
          <w:sz w:val="24"/>
          <w:szCs w:val="24"/>
        </w:rPr>
        <w:fldChar w:fldCharType="separate"/>
      </w:r>
      <w:r>
        <w:t>Tabelul 90</w:t>
      </w:r>
      <w:r>
        <w:rPr>
          <w:b/>
          <w:bCs/>
          <w:i/>
          <w:iCs/>
          <w:sz w:val="24"/>
          <w:szCs w:val="24"/>
        </w:rPr>
        <w:fldChar w:fldCharType="end"/>
      </w:r>
      <w:r>
        <w:rPr>
          <w:b/>
          <w:bCs/>
          <w:sz w:val="24"/>
          <w:szCs w:val="24"/>
        </w:rPr>
        <w:t>,</w:t>
      </w:r>
      <w:r>
        <w:rPr>
          <w:sz w:val="24"/>
          <w:szCs w:val="24"/>
        </w:rPr>
        <w:t xml:space="preserve"> dar minimum </w:t>
      </w:r>
      <w:r>
        <w:rPr>
          <w:b/>
          <w:sz w:val="24"/>
          <w:szCs w:val="24"/>
        </w:rPr>
        <w:t>EI/REI 180</w:t>
      </w:r>
      <w:r>
        <w:rPr>
          <w:sz w:val="24"/>
          <w:szCs w:val="24"/>
        </w:rPr>
        <w:t xml:space="preserve"> şi, după caz, cu planşee rezistente la foc minimum </w:t>
      </w:r>
      <w:r>
        <w:rPr>
          <w:b/>
          <w:sz w:val="24"/>
          <w:szCs w:val="24"/>
        </w:rPr>
        <w:t>REI 120</w:t>
      </w:r>
      <w:r>
        <w:rPr>
          <w:sz w:val="24"/>
          <w:szCs w:val="24"/>
        </w:rPr>
        <w:t xml:space="preserve">, iar golurile de circulaţie funcţională şi de evacuare din aceşti pereţi se protejază cu elemente de închidere rezistente la foc și etanșe la fum minimum </w:t>
      </w:r>
      <w:r>
        <w:rPr>
          <w:b/>
          <w:bCs/>
          <w:sz w:val="24"/>
          <w:szCs w:val="24"/>
        </w:rPr>
        <w:t>EI</w:t>
      </w:r>
      <w:r>
        <w:rPr>
          <w:b/>
          <w:bCs/>
          <w:sz w:val="24"/>
          <w:szCs w:val="24"/>
          <w:vertAlign w:val="subscript"/>
        </w:rPr>
        <w:t>2</w:t>
      </w:r>
      <w:r>
        <w:rPr>
          <w:b/>
          <w:bCs/>
          <w:sz w:val="24"/>
          <w:szCs w:val="24"/>
        </w:rPr>
        <w:t>90-C5S</w:t>
      </w:r>
      <w:r>
        <w:rPr>
          <w:b/>
          <w:bCs/>
          <w:sz w:val="24"/>
          <w:szCs w:val="24"/>
          <w:vertAlign w:val="subscript"/>
        </w:rPr>
        <w:t>200</w:t>
      </w:r>
      <w:r>
        <w:rPr>
          <w:sz w:val="24"/>
          <w:szCs w:val="24"/>
        </w:rPr>
        <w:t>.</w:t>
      </w:r>
    </w:p>
    <w:p w14:paraId="6D3825E6" w14:textId="77777777" w:rsidR="001C08A5" w:rsidRDefault="001C08A5">
      <w:pPr>
        <w:ind w:firstLine="720"/>
        <w:jc w:val="both"/>
        <w:rPr>
          <w:sz w:val="24"/>
          <w:szCs w:val="24"/>
        </w:rPr>
      </w:pPr>
    </w:p>
    <w:p w14:paraId="1E12E28A" w14:textId="77777777" w:rsidR="001C08A5" w:rsidRDefault="00000000">
      <w:pPr>
        <w:pStyle w:val="BodyText"/>
        <w:ind w:firstLine="720"/>
        <w:rPr>
          <w:b w:val="0"/>
          <w:bCs w:val="0"/>
          <w:i w:val="0"/>
          <w:iCs/>
        </w:rPr>
      </w:pPr>
      <w:r>
        <w:rPr>
          <w:i w:val="0"/>
          <w:iCs/>
        </w:rPr>
        <w:t>Art. 4.1.3.6. (1)</w:t>
      </w:r>
      <w:r>
        <w:rPr>
          <w:b w:val="0"/>
          <w:bCs w:val="0"/>
          <w:i w:val="0"/>
          <w:iCs/>
        </w:rPr>
        <w:t xml:space="preserve"> La s</w:t>
      </w:r>
      <w:r>
        <w:rPr>
          <w:rFonts w:eastAsia="Times-Roman"/>
          <w:b w:val="0"/>
          <w:bCs w:val="0"/>
          <w:i w:val="0"/>
          <w:iCs/>
        </w:rPr>
        <w:t>epararea grupărilor de încăperi deschise</w:t>
      </w:r>
      <w:r>
        <w:rPr>
          <w:b w:val="0"/>
          <w:bCs w:val="0"/>
          <w:i w:val="0"/>
          <w:iCs/>
        </w:rPr>
        <w:t xml:space="preserve"> tip open space  </w:t>
      </w:r>
      <w:r>
        <w:rPr>
          <w:b w:val="0"/>
          <w:bCs w:val="0"/>
          <w:i w:val="0"/>
          <w:iCs/>
          <w:shd w:val="clear" w:color="auto" w:fill="FFFFFF"/>
          <w:lang w:eastAsia="zh-CN"/>
        </w:rPr>
        <w:t xml:space="preserve">care nu sunt </w:t>
      </w:r>
      <w:r>
        <w:rPr>
          <w:b w:val="0"/>
          <w:bCs w:val="0"/>
          <w:i w:val="0"/>
          <w:iCs/>
        </w:rPr>
        <w:t>utilizate de persoane care nu se pot evacua singure (definite conform terminologie)(cu excepția s</w:t>
      </w:r>
      <w:r>
        <w:rPr>
          <w:b w:val="0"/>
          <w:bCs w:val="0"/>
          <w:i w:val="0"/>
          <w:iCs/>
          <w:shd w:val="clear" w:color="auto" w:fill="FFFFFF"/>
          <w:lang w:eastAsia="zh-CN"/>
        </w:rPr>
        <w:t>pațiiloradministrative precum și vestiarele personalului, incluse în funcțiunea de sănătate)</w:t>
      </w:r>
      <w:r>
        <w:rPr>
          <w:rFonts w:eastAsia="Times-Roman"/>
          <w:b w:val="0"/>
          <w:bCs w:val="0"/>
          <w:i w:val="0"/>
          <w:iCs/>
        </w:rPr>
        <w:t>faţă de alte încăperi,</w:t>
      </w:r>
      <w:r>
        <w:rPr>
          <w:b w:val="0"/>
          <w:bCs w:val="0"/>
          <w:i w:val="0"/>
          <w:iCs/>
        </w:rPr>
        <w:t xml:space="preserve"> cu suprafaţa maximă normată, cu risc mic de incendiu și aceeași destinație (proprie sau complementara / spații și circulații funcționale delimitate cu parapete, panouri sau pereţii interiori despărţitori funcţional clasa de reacţie la foc </w:t>
      </w:r>
      <w:r>
        <w:rPr>
          <w:i w:val="0"/>
          <w:iCs/>
        </w:rPr>
        <w:t>A1, A2-s1,d0</w:t>
      </w:r>
      <w:r>
        <w:rPr>
          <w:b w:val="0"/>
          <w:bCs w:val="0"/>
          <w:i w:val="0"/>
          <w:iCs/>
        </w:rPr>
        <w:t xml:space="preserve">), se prevăd minimum pereţi despărţitori de sectorizare cu rol de limitare a propagării focului față de spațiile adiacente (cu excepția celor catre căile de evacuare care respecta prevederile specifice și a celor catre încăperi cu risc mai mare generat de densitatea sarcinii termice din încaperi adiacente), care trebuie să fie clasa de reacţie la foc </w:t>
      </w:r>
      <w:r>
        <w:rPr>
          <w:i w:val="0"/>
          <w:iCs/>
        </w:rPr>
        <w:t xml:space="preserve">A1, A2-s1,d0 </w:t>
      </w:r>
      <w:r>
        <w:rPr>
          <w:b w:val="0"/>
          <w:bCs w:val="0"/>
          <w:i w:val="0"/>
          <w:iCs/>
        </w:rPr>
        <w:t xml:space="preserve">minimum </w:t>
      </w:r>
      <w:r>
        <w:rPr>
          <w:i w:val="0"/>
          <w:iCs/>
        </w:rPr>
        <w:t xml:space="preserve">EI/REI 120 </w:t>
      </w:r>
      <w:r>
        <w:rPr>
          <w:b w:val="0"/>
          <w:bCs w:val="0"/>
          <w:i w:val="0"/>
          <w:iCs/>
        </w:rPr>
        <w:t>prevăzuți cu uși rezistente la foc și etanșe la fum</w:t>
      </w:r>
      <w:r>
        <w:rPr>
          <w:i w:val="0"/>
          <w:iCs/>
        </w:rPr>
        <w:t xml:space="preserve"> EI</w:t>
      </w:r>
      <w:r>
        <w:rPr>
          <w:i w:val="0"/>
          <w:iCs/>
          <w:vertAlign w:val="subscript"/>
        </w:rPr>
        <w:t>2</w:t>
      </w:r>
      <w:r>
        <w:rPr>
          <w:i w:val="0"/>
          <w:iCs/>
        </w:rPr>
        <w:t xml:space="preserve"> 60-C5S</w:t>
      </w:r>
      <w:r>
        <w:rPr>
          <w:i w:val="0"/>
          <w:iCs/>
          <w:vertAlign w:val="subscript"/>
        </w:rPr>
        <w:t xml:space="preserve">200 </w:t>
      </w:r>
      <w:r>
        <w:rPr>
          <w:b w:val="0"/>
          <w:i w:val="0"/>
          <w:iCs/>
        </w:rPr>
        <w:t>în construcţiile civile supraterane înalte.</w:t>
      </w:r>
    </w:p>
    <w:p w14:paraId="558996E2" w14:textId="77777777" w:rsidR="001C08A5" w:rsidRDefault="00000000">
      <w:pPr>
        <w:ind w:firstLine="720"/>
        <w:jc w:val="both"/>
        <w:rPr>
          <w:strike/>
          <w:sz w:val="24"/>
          <w:szCs w:val="24"/>
          <w:lang w:eastAsia="zh-CN"/>
        </w:rPr>
      </w:pPr>
      <w:r>
        <w:rPr>
          <w:b/>
          <w:bCs/>
          <w:sz w:val="24"/>
          <w:szCs w:val="24"/>
        </w:rPr>
        <w:t xml:space="preserve">(2) </w:t>
      </w:r>
      <w:r>
        <w:rPr>
          <w:sz w:val="24"/>
          <w:szCs w:val="24"/>
        </w:rPr>
        <w:t xml:space="preserve">Grupările de încăperi cu risc mic de incendiu și aceeași destinație, incluzand și destinatii colaterale, inclusiv cele de comunicari functionale orizontale (precum vestiare + grupuri sanitare; birouri + sas acces) precum și cele specifice funcțiunii de sănătate (camera RMN + camera de comanda + sas acces; cameră computer tomograf + camera de comanda + sas acces, etc.) compartimentate între ele cu panouri opace sau vitrate, fixe sau mobile folosite ca separări funcționale și/sau izolante fonic sau pereţi interiori despărţitori funcţionali se admit  în cadrul </w:t>
      </w:r>
      <w:r>
        <w:rPr>
          <w:sz w:val="24"/>
          <w:szCs w:val="24"/>
          <w:lang w:eastAsia="zh-CN"/>
        </w:rPr>
        <w:t xml:space="preserve">construcțiilor de sănătate in limita a maximum </w:t>
      </w:r>
      <w:r>
        <w:rPr>
          <w:b/>
          <w:bCs/>
          <w:sz w:val="24"/>
          <w:szCs w:val="24"/>
          <w:lang w:eastAsia="zh-CN"/>
        </w:rPr>
        <w:t>600 m</w:t>
      </w:r>
      <w:r>
        <w:rPr>
          <w:b/>
          <w:bCs/>
          <w:sz w:val="24"/>
          <w:szCs w:val="24"/>
          <w:vertAlign w:val="superscript"/>
          <w:lang w:eastAsia="zh-CN"/>
        </w:rPr>
        <w:t>2</w:t>
      </w:r>
      <w:r>
        <w:rPr>
          <w:sz w:val="24"/>
          <w:szCs w:val="24"/>
          <w:lang w:eastAsia="zh-CN"/>
        </w:rPr>
        <w:t xml:space="preserve">, cu condiția ca aria construită a încăperilor de tip open space sa fie de maximum </w:t>
      </w:r>
      <w:r>
        <w:rPr>
          <w:b/>
          <w:bCs/>
          <w:sz w:val="24"/>
          <w:szCs w:val="24"/>
          <w:lang w:eastAsia="zh-CN"/>
        </w:rPr>
        <w:t>50%</w:t>
      </w:r>
      <w:r>
        <w:rPr>
          <w:sz w:val="24"/>
          <w:szCs w:val="24"/>
          <w:lang w:eastAsia="zh-CN"/>
        </w:rPr>
        <w:t xml:space="preserve"> din cea a ariei construite a nivelului clădirii/ compartimentului de incendiu respectiv;</w:t>
      </w:r>
    </w:p>
    <w:p w14:paraId="1A6E3246" w14:textId="77777777" w:rsidR="001C08A5" w:rsidRDefault="00000000">
      <w:pPr>
        <w:ind w:firstLine="720"/>
        <w:jc w:val="both"/>
        <w:rPr>
          <w:sz w:val="24"/>
          <w:szCs w:val="24"/>
          <w:shd w:val="clear" w:color="auto" w:fill="FFFFFF"/>
          <w:lang w:eastAsia="zh-CN"/>
        </w:rPr>
      </w:pPr>
      <w:r>
        <w:rPr>
          <w:b/>
          <w:bCs/>
          <w:sz w:val="24"/>
          <w:szCs w:val="24"/>
        </w:rPr>
        <w:t xml:space="preserve">(3) </w:t>
      </w:r>
      <w:r>
        <w:rPr>
          <w:sz w:val="24"/>
          <w:szCs w:val="24"/>
        </w:rPr>
        <w:t xml:space="preserve">Pereţi despărţitori prevăzuți între grupările de încăperi menţionate la </w:t>
      </w:r>
      <w:r>
        <w:rPr>
          <w:b/>
          <w:sz w:val="24"/>
          <w:szCs w:val="24"/>
        </w:rPr>
        <w:t>alin. 2</w:t>
      </w:r>
      <w:r>
        <w:rPr>
          <w:sz w:val="24"/>
          <w:szCs w:val="24"/>
        </w:rPr>
        <w:t xml:space="preserve"> precum și între acestea și alte spaţii ale clădirii (dispuși la limita față de circulațiile comune de evacuare - coridoare, degajamente protejate, incaperi tampon ventilate în suprapresiune, scări închise, etc. precum și față de spații cu risc diferit de incendiu - conform densităţilor sarcinilor termice (q) din spaţiile adiacente şi/sau densităţilor sarcinilor termice (q) cele mai mari din spaţiile pe care le despart și/ sau cele cu risc diferit de incendiu provenit din funcțiune), vor avea clasa de reacție la foc </w:t>
      </w:r>
      <w:r>
        <w:rPr>
          <w:b/>
          <w:bCs/>
          <w:sz w:val="24"/>
          <w:szCs w:val="24"/>
        </w:rPr>
        <w:t xml:space="preserve">A1 </w:t>
      </w:r>
      <w:r>
        <w:rPr>
          <w:sz w:val="24"/>
          <w:szCs w:val="24"/>
        </w:rPr>
        <w:t>sau</w:t>
      </w:r>
      <w:r>
        <w:rPr>
          <w:b/>
          <w:bCs/>
          <w:sz w:val="24"/>
          <w:szCs w:val="24"/>
        </w:rPr>
        <w:t xml:space="preserve"> A2s1d0</w:t>
      </w:r>
      <w:r>
        <w:rPr>
          <w:sz w:val="24"/>
          <w:szCs w:val="24"/>
        </w:rPr>
        <w:t xml:space="preserve"> și încadrarea privind rezistența la foc minimum a </w:t>
      </w:r>
      <w:r>
        <w:rPr>
          <w:sz w:val="24"/>
          <w:szCs w:val="24"/>
          <w:shd w:val="clear" w:color="auto" w:fill="FFFFFF"/>
          <w:lang w:eastAsia="zh-CN"/>
        </w:rPr>
        <w:t xml:space="preserve">pereţilor </w:t>
      </w:r>
      <w:hyperlink r:id="rId197" w:history="1">
        <w:r>
          <w:rPr>
            <w:sz w:val="24"/>
            <w:szCs w:val="24"/>
            <w:shd w:val="clear" w:color="auto" w:fill="FFFFFF"/>
            <w:lang w:eastAsia="zh-CN"/>
          </w:rPr>
          <w:t>de</w:t>
        </w:r>
      </w:hyperlink>
      <w:r>
        <w:rPr>
          <w:sz w:val="24"/>
          <w:szCs w:val="24"/>
          <w:shd w:val="clear" w:color="auto" w:fill="FFFFFF"/>
          <w:lang w:eastAsia="zh-CN"/>
        </w:rPr>
        <w:t xml:space="preserve"> sectorizare cu rol de limitare a propagării focului (de protecție contra incendiilor care limitează propagarea în interiorul </w:t>
      </w:r>
      <w:r>
        <w:rPr>
          <w:sz w:val="24"/>
          <w:szCs w:val="24"/>
          <w:shd w:val="clear" w:color="auto" w:fill="FFFFFF"/>
          <w:lang w:eastAsia="zh-CN"/>
        </w:rPr>
        <w:lastRenderedPageBreak/>
        <w:t xml:space="preserve">compartimentelor de incendiu </w:t>
      </w:r>
      <w:r>
        <w:rPr>
          <w:b/>
          <w:bCs/>
          <w:sz w:val="24"/>
          <w:szCs w:val="24"/>
          <w:shd w:val="clear" w:color="auto" w:fill="FFFFFF"/>
          <w:lang w:eastAsia="zh-CN"/>
        </w:rPr>
        <w:t>(REI/EI)</w:t>
      </w:r>
      <w:r>
        <w:rPr>
          <w:sz w:val="24"/>
          <w:szCs w:val="24"/>
          <w:shd w:val="clear" w:color="auto" w:fill="FFFFFF"/>
          <w:lang w:eastAsia="zh-CN"/>
        </w:rPr>
        <w:t xml:space="preserve">, conform încadrării construcţiei/ compartimentului de incendiu în nivelul de stabilitate la incendiu </w:t>
      </w:r>
      <w:r>
        <w:rPr>
          <w:b/>
          <w:bCs/>
          <w:sz w:val="24"/>
          <w:szCs w:val="24"/>
          <w:shd w:val="clear" w:color="auto" w:fill="FFFFFF"/>
          <w:lang w:eastAsia="zh-CN"/>
        </w:rPr>
        <w:t>I</w:t>
      </w:r>
      <w:r>
        <w:rPr>
          <w:sz w:val="24"/>
          <w:szCs w:val="24"/>
          <w:shd w:val="clear" w:color="auto" w:fill="FFFFFF"/>
          <w:lang w:eastAsia="zh-CN"/>
        </w:rPr>
        <w:t xml:space="preserve"> precizate în </w:t>
      </w:r>
      <w:r>
        <w:rPr>
          <w:rStyle w:val="BodyTextChar"/>
          <w:iCs/>
          <w:lang w:eastAsia="zh-CN"/>
        </w:rPr>
        <w:fldChar w:fldCharType="begin"/>
      </w:r>
      <w:r>
        <w:rPr>
          <w:rStyle w:val="BodyTextChar"/>
          <w:iCs/>
          <w:lang w:eastAsia="zh-CN"/>
        </w:rPr>
        <w:instrText xml:space="preserve"> REF _Ref26473 \h </w:instrText>
      </w:r>
      <w:r>
        <w:rPr>
          <w:rStyle w:val="BodyTextChar"/>
          <w:iCs/>
          <w:lang w:eastAsia="zh-CN"/>
        </w:rPr>
      </w:r>
      <w:r>
        <w:rPr>
          <w:rStyle w:val="BodyTextChar"/>
          <w:iCs/>
          <w:lang w:eastAsia="zh-CN"/>
        </w:rPr>
        <w:fldChar w:fldCharType="separate"/>
      </w:r>
      <w:r>
        <w:t>Tabelul 2</w:t>
      </w:r>
      <w:r>
        <w:rPr>
          <w:rStyle w:val="BodyTextChar"/>
          <w:iCs/>
          <w:lang w:eastAsia="zh-CN"/>
        </w:rPr>
        <w:fldChar w:fldCharType="end"/>
      </w:r>
      <w:r>
        <w:rPr>
          <w:rStyle w:val="BodyTextChar"/>
        </w:rPr>
        <w:t xml:space="preserve"> nr. crt. 5 </w:t>
      </w:r>
      <w:r>
        <w:rPr>
          <w:sz w:val="24"/>
          <w:szCs w:val="24"/>
        </w:rPr>
        <w:t>(</w:t>
      </w:r>
      <w:r>
        <w:rPr>
          <w:sz w:val="24"/>
          <w:szCs w:val="24"/>
          <w:lang w:eastAsia="zh-CN"/>
        </w:rPr>
        <w:t>dacă densitatea sarcinii termice din spațiile adiacente nu genereaza performanțe mai mari</w:t>
      </w:r>
      <w:r>
        <w:rPr>
          <w:sz w:val="24"/>
          <w:szCs w:val="24"/>
        </w:rPr>
        <w:t>)</w:t>
      </w:r>
      <w:r>
        <w:rPr>
          <w:sz w:val="24"/>
          <w:szCs w:val="24"/>
          <w:shd w:val="clear" w:color="auto" w:fill="FFFFFF"/>
          <w:lang w:eastAsia="zh-CN"/>
        </w:rPr>
        <w:t>.</w:t>
      </w:r>
    </w:p>
    <w:p w14:paraId="108B5690" w14:textId="77777777" w:rsidR="001C08A5" w:rsidRDefault="00000000">
      <w:pPr>
        <w:ind w:firstLine="720"/>
        <w:jc w:val="both"/>
        <w:rPr>
          <w:sz w:val="24"/>
          <w:szCs w:val="24"/>
          <w:shd w:val="clear" w:color="auto" w:fill="FFFFFF"/>
          <w:lang w:eastAsia="zh-CN"/>
        </w:rPr>
      </w:pPr>
      <w:r>
        <w:rPr>
          <w:b/>
          <w:bCs/>
          <w:sz w:val="24"/>
          <w:szCs w:val="24"/>
        </w:rPr>
        <w:t xml:space="preserve">(4) </w:t>
      </w:r>
      <w:r>
        <w:rPr>
          <w:sz w:val="24"/>
          <w:szCs w:val="24"/>
        </w:rPr>
        <w:t>Spațiile de același tip utilizate de persoane care nu se pot evacua singure situate în clădiri de sănătate înalte [</w:t>
      </w:r>
      <w:r>
        <w:rPr>
          <w:sz w:val="24"/>
          <w:szCs w:val="24"/>
          <w:shd w:val="clear" w:color="auto" w:fill="FFFFFF"/>
          <w:lang w:eastAsia="zh-CN"/>
        </w:rPr>
        <w:t xml:space="preserve">clădiri de spitale sau cu caracter spitalicesc - </w:t>
      </w:r>
      <w:r>
        <w:rPr>
          <w:sz w:val="24"/>
          <w:szCs w:val="24"/>
        </w:rPr>
        <w:t>spitale, maternitati, policlinici, staţionare medicale, dispensare, centre medicale și de sănătate multifuncționale, clinici și unități medicale ambulatorii similare policlinicilor, centre medicale de diagnostic și tratament, aziluri sau cămine pentru bătrâni și persoane cu dizabilități, ospicii pentru alienaţi mintal, sanatorii, etc.</w:t>
      </w:r>
      <w:r>
        <w:rPr>
          <w:sz w:val="24"/>
          <w:szCs w:val="24"/>
          <w:shd w:val="clear" w:color="auto" w:fill="FFFFFF"/>
          <w:lang w:eastAsia="zh-CN"/>
        </w:rPr>
        <w:t xml:space="preserve">)] constituite în </w:t>
      </w:r>
      <w:r>
        <w:rPr>
          <w:sz w:val="24"/>
          <w:szCs w:val="24"/>
        </w:rPr>
        <w:t xml:space="preserve">grupări de încăperi deschise, </w:t>
      </w:r>
      <w:r>
        <w:rPr>
          <w:sz w:val="24"/>
          <w:szCs w:val="24"/>
          <w:shd w:val="clear" w:color="auto" w:fill="FFFFFF"/>
          <w:lang w:eastAsia="zh-CN"/>
        </w:rPr>
        <w:t xml:space="preserve">nu sunt admise, cu excepțiile precizate. Spațiile cu risc mic cu aceeași destinație incluse în funcțiunea de sănătate care nu sunt </w:t>
      </w:r>
      <w:r>
        <w:rPr>
          <w:sz w:val="24"/>
          <w:szCs w:val="24"/>
        </w:rPr>
        <w:t xml:space="preserve">utilizate de persoane care nu se pot evacua singure, </w:t>
      </w:r>
      <w:r>
        <w:rPr>
          <w:sz w:val="24"/>
          <w:szCs w:val="24"/>
          <w:shd w:val="clear" w:color="auto" w:fill="FFFFFF"/>
          <w:lang w:eastAsia="zh-CN"/>
        </w:rPr>
        <w:t>se pot constitui în grupări de tip open space.</w:t>
      </w:r>
    </w:p>
    <w:p w14:paraId="4C848F74" w14:textId="77777777" w:rsidR="001C08A5" w:rsidRDefault="00000000">
      <w:pPr>
        <w:ind w:firstLine="720"/>
        <w:jc w:val="both"/>
        <w:rPr>
          <w:sz w:val="24"/>
          <w:szCs w:val="24"/>
          <w:shd w:val="clear" w:color="auto" w:fill="FFFFFF"/>
          <w:lang w:eastAsia="zh-CN"/>
        </w:rPr>
      </w:pPr>
      <w:r>
        <w:rPr>
          <w:b/>
          <w:bCs/>
          <w:sz w:val="24"/>
          <w:szCs w:val="24"/>
        </w:rPr>
        <w:t xml:space="preserve">(5) </w:t>
      </w:r>
      <w:r>
        <w:rPr>
          <w:sz w:val="24"/>
          <w:szCs w:val="24"/>
          <w:shd w:val="clear" w:color="auto" w:fill="FFFFFF"/>
          <w:lang w:eastAsia="zh-CN"/>
        </w:rPr>
        <w:t>Încăperile de dormit sau spitalizare (saloane, rezerve, cabinete medicale, etc.), cu excepția celor care necesită supraveghere permanentă (ATI, etc.) nu se pot constitui în grupări de tip open space, acestea trebuind sa fie delimitate între ele prin minimum</w:t>
      </w:r>
      <w:r>
        <w:rPr>
          <w:sz w:val="24"/>
          <w:szCs w:val="24"/>
        </w:rPr>
        <w:t xml:space="preserve"> (</w:t>
      </w:r>
      <w:r>
        <w:rPr>
          <w:sz w:val="24"/>
          <w:szCs w:val="24"/>
          <w:lang w:eastAsia="zh-CN"/>
        </w:rPr>
        <w:t>dacă funcțiunea sau densitatea sarcinii termice din spațiile adiacente nu genereaza performanțe mai mari</w:t>
      </w:r>
      <w:r>
        <w:rPr>
          <w:sz w:val="24"/>
          <w:szCs w:val="24"/>
        </w:rPr>
        <w:t xml:space="preserve">) </w:t>
      </w:r>
      <w:r>
        <w:rPr>
          <w:sz w:val="24"/>
          <w:szCs w:val="24"/>
          <w:shd w:val="clear" w:color="auto" w:fill="FFFFFF"/>
          <w:lang w:eastAsia="zh-CN"/>
        </w:rPr>
        <w:t xml:space="preserve">pereti neportanţi despărţitori interiori cu rol de limitare a propagării focului </w:t>
      </w:r>
      <w:r>
        <w:rPr>
          <w:b/>
          <w:bCs/>
          <w:sz w:val="24"/>
          <w:szCs w:val="24"/>
        </w:rPr>
        <w:t>EI/REI 60</w:t>
      </w:r>
      <w:r>
        <w:rPr>
          <w:sz w:val="24"/>
          <w:szCs w:val="24"/>
          <w:shd w:val="clear" w:color="auto" w:fill="FFFFFF"/>
          <w:lang w:eastAsia="zh-CN"/>
        </w:rPr>
        <w:t xml:space="preserve"> conform încadrării construcţiei/compartimentului de incendiu în nivelul </w:t>
      </w:r>
      <w:r>
        <w:rPr>
          <w:b/>
          <w:bCs/>
          <w:sz w:val="24"/>
          <w:szCs w:val="24"/>
          <w:shd w:val="clear" w:color="auto" w:fill="FFFFFF"/>
          <w:lang w:eastAsia="zh-CN"/>
        </w:rPr>
        <w:t>I</w:t>
      </w:r>
      <w:r>
        <w:rPr>
          <w:sz w:val="24"/>
          <w:szCs w:val="24"/>
          <w:shd w:val="clear" w:color="auto" w:fill="FFFFFF"/>
          <w:lang w:eastAsia="zh-CN"/>
        </w:rPr>
        <w:t xml:space="preserve"> de stabilitate. </w:t>
      </w:r>
    </w:p>
    <w:p w14:paraId="14803760" w14:textId="77777777" w:rsidR="001C08A5" w:rsidRDefault="00000000">
      <w:pPr>
        <w:ind w:firstLine="720"/>
        <w:jc w:val="both"/>
        <w:rPr>
          <w:sz w:val="24"/>
          <w:szCs w:val="24"/>
          <w:shd w:val="clear" w:color="auto" w:fill="FFFFFF"/>
          <w:lang w:eastAsia="zh-CN"/>
        </w:rPr>
      </w:pPr>
      <w:r>
        <w:rPr>
          <w:b/>
          <w:bCs/>
          <w:sz w:val="24"/>
          <w:szCs w:val="24"/>
        </w:rPr>
        <w:t xml:space="preserve">(6) </w:t>
      </w:r>
      <w:r>
        <w:rPr>
          <w:sz w:val="24"/>
          <w:szCs w:val="24"/>
          <w:shd w:val="clear" w:color="auto" w:fill="FFFFFF"/>
          <w:lang w:eastAsia="zh-CN"/>
        </w:rPr>
        <w:t xml:space="preserve">Camerele de operații împreună cu </w:t>
      </w:r>
      <w:r>
        <w:rPr>
          <w:sz w:val="24"/>
          <w:szCs w:val="24"/>
        </w:rPr>
        <w:t xml:space="preserve">destinatiile colaterale ale acestora (spălătoare, depozite de mână de instrumentar medical specific, etc.) precum și </w:t>
      </w:r>
      <w:r>
        <w:rPr>
          <w:sz w:val="24"/>
          <w:szCs w:val="24"/>
          <w:shd w:val="clear" w:color="auto" w:fill="FFFFFF"/>
          <w:lang w:eastAsia="zh-CN"/>
        </w:rPr>
        <w:t xml:space="preserve">spațiile care necesită supraveghere permanentă (ATI) și recomandabil la (UPU, etc.) </w:t>
      </w:r>
      <w:r>
        <w:rPr>
          <w:sz w:val="24"/>
          <w:szCs w:val="24"/>
        </w:rPr>
        <w:t xml:space="preserve">se pot </w:t>
      </w:r>
      <w:r>
        <w:rPr>
          <w:sz w:val="24"/>
          <w:szCs w:val="24"/>
          <w:shd w:val="clear" w:color="auto" w:fill="FFFFFF"/>
          <w:lang w:eastAsia="zh-CN"/>
        </w:rPr>
        <w:t xml:space="preserve">constitui fiecare în grupare de tip spațiu open space. Acestea necesită prevederea de asemenea de uși (culisante) rezistente la foc </w:t>
      </w:r>
      <w:r>
        <w:rPr>
          <w:b/>
          <w:bCs/>
          <w:iCs/>
          <w:sz w:val="24"/>
          <w:szCs w:val="24"/>
        </w:rPr>
        <w:t>EI</w:t>
      </w:r>
      <w:r>
        <w:rPr>
          <w:b/>
          <w:bCs/>
          <w:iCs/>
          <w:sz w:val="24"/>
          <w:szCs w:val="24"/>
          <w:vertAlign w:val="subscript"/>
        </w:rPr>
        <w:t>2</w:t>
      </w:r>
      <w:r>
        <w:rPr>
          <w:b/>
          <w:bCs/>
          <w:iCs/>
          <w:sz w:val="24"/>
          <w:szCs w:val="24"/>
        </w:rPr>
        <w:t xml:space="preserve"> 60-C5S</w:t>
      </w:r>
      <w:r>
        <w:rPr>
          <w:b/>
          <w:bCs/>
          <w:iCs/>
          <w:sz w:val="24"/>
          <w:szCs w:val="24"/>
          <w:vertAlign w:val="subscript"/>
        </w:rPr>
        <w:t>200.</w:t>
      </w:r>
    </w:p>
    <w:p w14:paraId="15D91660" w14:textId="77777777" w:rsidR="001C08A5" w:rsidRDefault="00000000">
      <w:pPr>
        <w:ind w:firstLine="720"/>
        <w:jc w:val="both"/>
        <w:rPr>
          <w:b/>
          <w:sz w:val="24"/>
          <w:szCs w:val="24"/>
        </w:rPr>
      </w:pPr>
      <w:r>
        <w:rPr>
          <w:b/>
          <w:bCs/>
          <w:sz w:val="24"/>
          <w:szCs w:val="24"/>
        </w:rPr>
        <w:t xml:space="preserve">(7) </w:t>
      </w:r>
      <w:r>
        <w:rPr>
          <w:bCs/>
          <w:sz w:val="24"/>
          <w:szCs w:val="24"/>
        </w:rPr>
        <w:t>G</w:t>
      </w:r>
      <w:r>
        <w:rPr>
          <w:sz w:val="24"/>
          <w:szCs w:val="24"/>
        </w:rPr>
        <w:t>rupările de încăperi deschise prevăzute la alineatele precedente vor avea asigurate minimum două căi de evacuare, distincte şi independente, astfel dispuse şi alcătuite încât să poată fi uşor accesibile utilizatorilor. Căile de evacuare a utilizatorilor vor respecta condiţiile de alcătuire prevăzute în normativ şi lungimile de evacuare normate.</w:t>
      </w:r>
    </w:p>
    <w:p w14:paraId="443C12B4" w14:textId="77777777" w:rsidR="001C08A5" w:rsidRDefault="00000000">
      <w:pPr>
        <w:pStyle w:val="Heading4"/>
      </w:pPr>
      <w:bookmarkStart w:id="4219" w:name="_Toc13653"/>
      <w:bookmarkStart w:id="4220" w:name="_Toc6691"/>
      <w:bookmarkStart w:id="4221" w:name="_Toc31225"/>
      <w:bookmarkStart w:id="4222" w:name="_Toc162355312"/>
      <w:bookmarkStart w:id="4223" w:name="_Toc11835"/>
      <w:bookmarkStart w:id="4224" w:name="_Toc14724"/>
      <w:bookmarkStart w:id="4225" w:name="_Toc9756"/>
      <w:bookmarkStart w:id="4226" w:name="_Toc25659"/>
      <w:r>
        <w:t>4.1.4. ALCĂTUIRI CONSTRUCTIVE ALE ELEMENTELOR DE CONSTRUCŢIE</w:t>
      </w:r>
      <w:bookmarkEnd w:id="4219"/>
      <w:bookmarkEnd w:id="4220"/>
      <w:bookmarkEnd w:id="4221"/>
      <w:bookmarkEnd w:id="4222"/>
      <w:bookmarkEnd w:id="4223"/>
      <w:bookmarkEnd w:id="4224"/>
      <w:bookmarkEnd w:id="4225"/>
      <w:bookmarkEnd w:id="4226"/>
    </w:p>
    <w:p w14:paraId="4FA65536" w14:textId="77777777" w:rsidR="001C08A5" w:rsidRDefault="001C08A5">
      <w:pPr>
        <w:jc w:val="both"/>
        <w:rPr>
          <w:sz w:val="24"/>
          <w:szCs w:val="24"/>
        </w:rPr>
      </w:pPr>
    </w:p>
    <w:p w14:paraId="3B1FDFF2" w14:textId="77777777" w:rsidR="001C08A5" w:rsidRDefault="00000000">
      <w:pPr>
        <w:jc w:val="both"/>
        <w:rPr>
          <w:sz w:val="24"/>
          <w:szCs w:val="24"/>
        </w:rPr>
      </w:pPr>
      <w:r>
        <w:rPr>
          <w:b/>
          <w:sz w:val="24"/>
          <w:szCs w:val="24"/>
        </w:rPr>
        <w:tab/>
        <w:t xml:space="preserve">Art.  4.1.4.1. (1) </w:t>
      </w:r>
      <w:r>
        <w:rPr>
          <w:sz w:val="24"/>
          <w:szCs w:val="24"/>
        </w:rPr>
        <w:t>În clădirile înalte, pereţii, planşeele și acoperişurile se realizează din produse pentru construcții având clasa de reacţie la foc</w:t>
      </w:r>
      <w:r>
        <w:rPr>
          <w:b/>
          <w:sz w:val="24"/>
          <w:szCs w:val="24"/>
        </w:rPr>
        <w:t xml:space="preserve"> A1 </w:t>
      </w:r>
      <w:r>
        <w:rPr>
          <w:sz w:val="24"/>
          <w:szCs w:val="24"/>
        </w:rPr>
        <w:t>sau</w:t>
      </w:r>
      <w:r>
        <w:rPr>
          <w:b/>
          <w:sz w:val="24"/>
          <w:szCs w:val="24"/>
        </w:rPr>
        <w:t xml:space="preserve"> A2-s1d0</w:t>
      </w:r>
      <w:r>
        <w:rPr>
          <w:sz w:val="24"/>
          <w:szCs w:val="24"/>
        </w:rPr>
        <w:t>.</w:t>
      </w:r>
    </w:p>
    <w:p w14:paraId="50DF0CE5" w14:textId="77777777" w:rsidR="001C08A5" w:rsidRDefault="00000000">
      <w:pPr>
        <w:jc w:val="both"/>
        <w:rPr>
          <w:b/>
          <w:sz w:val="24"/>
          <w:szCs w:val="24"/>
        </w:rPr>
      </w:pPr>
      <w:r>
        <w:rPr>
          <w:b/>
          <w:sz w:val="24"/>
          <w:szCs w:val="24"/>
        </w:rPr>
        <w:tab/>
        <w:t xml:space="preserve">(2) </w:t>
      </w:r>
      <w:r>
        <w:rPr>
          <w:sz w:val="24"/>
          <w:szCs w:val="24"/>
        </w:rPr>
        <w:t>Produsele de construcţii utilizate pentru finisajul exterior, inclusiv cele de izolare termică sau de placare a închiderilor perimetrale (pereţi exteriori de orice fel, cu excepția pereților cortină și a panourilor de tâmplărie din profile metalice</w:t>
      </w:r>
      <w:r>
        <w:rPr>
          <w:i/>
          <w:iCs/>
          <w:sz w:val="24"/>
          <w:szCs w:val="24"/>
        </w:rPr>
        <w:t>)</w:t>
      </w:r>
      <w:r>
        <w:rPr>
          <w:sz w:val="24"/>
          <w:szCs w:val="24"/>
        </w:rPr>
        <w:t>, trebuie să fie clasa de reacţie la foc</w:t>
      </w:r>
      <w:r>
        <w:rPr>
          <w:b/>
          <w:sz w:val="24"/>
          <w:szCs w:val="24"/>
        </w:rPr>
        <w:t xml:space="preserve"> A1 sau A2-s1d0.</w:t>
      </w:r>
    </w:p>
    <w:p w14:paraId="17FEA00F" w14:textId="77777777" w:rsidR="001C08A5" w:rsidRDefault="00000000">
      <w:pPr>
        <w:jc w:val="both"/>
        <w:rPr>
          <w:sz w:val="24"/>
          <w:szCs w:val="24"/>
        </w:rPr>
      </w:pPr>
      <w:r>
        <w:rPr>
          <w:sz w:val="24"/>
          <w:szCs w:val="24"/>
        </w:rPr>
        <w:tab/>
      </w:r>
      <w:r>
        <w:rPr>
          <w:b/>
          <w:sz w:val="24"/>
          <w:szCs w:val="24"/>
        </w:rPr>
        <w:t xml:space="preserve">(3) </w:t>
      </w:r>
      <w:r>
        <w:rPr>
          <w:sz w:val="24"/>
          <w:szCs w:val="24"/>
        </w:rPr>
        <w:t xml:space="preserve">Acoperişurile, inclusiv cele tip terasă se realizează din materiale clasa de reacţie la foc </w:t>
      </w:r>
      <w:r>
        <w:rPr>
          <w:b/>
          <w:sz w:val="24"/>
          <w:szCs w:val="24"/>
        </w:rPr>
        <w:t>A1</w:t>
      </w:r>
      <w:r>
        <w:rPr>
          <w:sz w:val="24"/>
          <w:szCs w:val="24"/>
        </w:rPr>
        <w:t xml:space="preserve"> sau </w:t>
      </w:r>
      <w:r>
        <w:rPr>
          <w:b/>
          <w:sz w:val="24"/>
          <w:szCs w:val="24"/>
        </w:rPr>
        <w:t>A2-s1d0</w:t>
      </w:r>
      <w:r>
        <w:rPr>
          <w:sz w:val="24"/>
          <w:szCs w:val="24"/>
        </w:rPr>
        <w:t xml:space="preserve"> (termoizolaţie montată pe suport </w:t>
      </w:r>
      <w:r>
        <w:rPr>
          <w:b/>
          <w:sz w:val="24"/>
          <w:szCs w:val="24"/>
        </w:rPr>
        <w:t xml:space="preserve">A1 </w:t>
      </w:r>
      <w:r>
        <w:rPr>
          <w:bCs/>
          <w:sz w:val="24"/>
          <w:szCs w:val="24"/>
        </w:rPr>
        <w:t xml:space="preserve">sau </w:t>
      </w:r>
      <w:r>
        <w:rPr>
          <w:b/>
          <w:sz w:val="24"/>
          <w:szCs w:val="24"/>
        </w:rPr>
        <w:t>A2-s1d0</w:t>
      </w:r>
      <w:r>
        <w:rPr>
          <w:sz w:val="24"/>
          <w:szCs w:val="24"/>
        </w:rPr>
        <w:t xml:space="preserve">), cu excepţia hidroizolaţiei respectiv a învelitorii, care pot fi din clasa de reacţie la foc minimum </w:t>
      </w:r>
      <w:r>
        <w:rPr>
          <w:b/>
          <w:sz w:val="24"/>
          <w:szCs w:val="24"/>
        </w:rPr>
        <w:t>C-s1d0</w:t>
      </w:r>
      <w:r>
        <w:rPr>
          <w:sz w:val="24"/>
          <w:szCs w:val="24"/>
        </w:rPr>
        <w:t xml:space="preserve">. </w:t>
      </w:r>
    </w:p>
    <w:p w14:paraId="1E4F2463" w14:textId="77777777" w:rsidR="001C08A5" w:rsidRDefault="00000000">
      <w:pPr>
        <w:ind w:firstLine="720"/>
        <w:jc w:val="both"/>
        <w:rPr>
          <w:sz w:val="24"/>
          <w:szCs w:val="24"/>
        </w:rPr>
      </w:pPr>
      <w:r>
        <w:rPr>
          <w:b/>
          <w:sz w:val="24"/>
          <w:szCs w:val="24"/>
        </w:rPr>
        <w:t>(4)</w:t>
      </w:r>
      <w:r>
        <w:rPr>
          <w:sz w:val="24"/>
          <w:szCs w:val="24"/>
        </w:rPr>
        <w:t xml:space="preserve"> Densitatea sarcinii termice totale (q) rezultată din materiale și elemente de construcţie, finisaje, mobilier şi alte materiale adăpostite în încăperi, se recomandă să nu depăşească </w:t>
      </w:r>
      <w:r>
        <w:rPr>
          <w:b/>
          <w:sz w:val="24"/>
          <w:szCs w:val="24"/>
        </w:rPr>
        <w:t xml:space="preserve">840 </w:t>
      </w:r>
      <w:r>
        <w:rPr>
          <w:b/>
          <w:bCs/>
          <w:sz w:val="24"/>
          <w:szCs w:val="24"/>
        </w:rPr>
        <w:t>MJ/m</w:t>
      </w:r>
      <w:r>
        <w:rPr>
          <w:b/>
          <w:bCs/>
          <w:sz w:val="24"/>
          <w:szCs w:val="24"/>
          <w:vertAlign w:val="superscript"/>
        </w:rPr>
        <w:t>2</w:t>
      </w:r>
      <w:r>
        <w:rPr>
          <w:sz w:val="24"/>
          <w:szCs w:val="24"/>
        </w:rPr>
        <w:t xml:space="preserve">. </w:t>
      </w:r>
    </w:p>
    <w:p w14:paraId="5D33A1A3" w14:textId="77777777" w:rsidR="001C08A5" w:rsidRDefault="001C08A5">
      <w:pPr>
        <w:jc w:val="both"/>
        <w:rPr>
          <w:b/>
          <w:strike/>
          <w:sz w:val="24"/>
          <w:szCs w:val="24"/>
        </w:rPr>
      </w:pPr>
    </w:p>
    <w:p w14:paraId="20CCC27C" w14:textId="77777777" w:rsidR="001C08A5" w:rsidRDefault="00000000">
      <w:pPr>
        <w:jc w:val="both"/>
        <w:rPr>
          <w:b/>
          <w:sz w:val="24"/>
          <w:szCs w:val="24"/>
        </w:rPr>
      </w:pPr>
      <w:r>
        <w:rPr>
          <w:b/>
          <w:sz w:val="24"/>
          <w:szCs w:val="24"/>
        </w:rPr>
        <w:tab/>
        <w:t xml:space="preserve">Art. 4.1.4.2. (1) </w:t>
      </w:r>
      <w:r>
        <w:rPr>
          <w:sz w:val="24"/>
          <w:szCs w:val="24"/>
        </w:rPr>
        <w:t xml:space="preserve">Închiderile perimetrale ale clădirilor înalte vor fi astfel proiectate și realizate încât să asigure limitarea propagării focului de la un nivel la altul, potrivit prevederilor </w:t>
      </w:r>
      <w:r>
        <w:rPr>
          <w:b/>
          <w:sz w:val="24"/>
          <w:szCs w:val="24"/>
        </w:rPr>
        <w:t xml:space="preserve">Art. 2.3.6.1.2. </w:t>
      </w:r>
      <w:r>
        <w:rPr>
          <w:bCs/>
          <w:sz w:val="24"/>
          <w:szCs w:val="24"/>
        </w:rPr>
        <w:t xml:space="preserve">și </w:t>
      </w:r>
      <w:r>
        <w:rPr>
          <w:b/>
          <w:sz w:val="24"/>
          <w:szCs w:val="24"/>
        </w:rPr>
        <w:t xml:space="preserve">Art. 2.3.6.1.3. </w:t>
      </w:r>
      <w:r>
        <w:rPr>
          <w:bCs/>
          <w:sz w:val="24"/>
          <w:szCs w:val="24"/>
        </w:rPr>
        <w:t>p</w:t>
      </w:r>
      <w:r>
        <w:rPr>
          <w:sz w:val="24"/>
          <w:szCs w:val="24"/>
        </w:rPr>
        <w:t xml:space="preserve">entru întârzierea propagării incendiilor între nivelurile construcţiei prin exteriorul închiderii perimetrale (pe faţade), iar pentru întârzierea propagării incendiilor prin interiorul construcţiei, spaţiile libere dintre planşee și peretele cortină se etanşează cu sisteme având aceeași rezistenta la foc  conform prevederilor generale, dar minimum </w:t>
      </w:r>
      <w:r>
        <w:rPr>
          <w:b/>
          <w:sz w:val="24"/>
          <w:szCs w:val="24"/>
        </w:rPr>
        <w:t>EI 90</w:t>
      </w:r>
      <w:r>
        <w:rPr>
          <w:sz w:val="24"/>
          <w:szCs w:val="24"/>
        </w:rPr>
        <w:t>.</w:t>
      </w:r>
    </w:p>
    <w:p w14:paraId="6A4DC179" w14:textId="77777777" w:rsidR="001C08A5" w:rsidRDefault="00000000">
      <w:pPr>
        <w:ind w:firstLine="13"/>
        <w:jc w:val="both"/>
        <w:rPr>
          <w:rFonts w:eastAsia="TimesNewRomanPSMT-Identity-H"/>
          <w:sz w:val="24"/>
          <w:szCs w:val="24"/>
        </w:rPr>
      </w:pPr>
      <w:r>
        <w:rPr>
          <w:rFonts w:eastAsia="TimesNewRomanPSMT-Identity-H"/>
          <w:sz w:val="24"/>
          <w:szCs w:val="24"/>
        </w:rPr>
        <w:tab/>
      </w:r>
      <w:r>
        <w:rPr>
          <w:rFonts w:eastAsia="TimesNewRomanPSMT-Identity-H"/>
          <w:b/>
          <w:sz w:val="24"/>
          <w:szCs w:val="24"/>
        </w:rPr>
        <w:t xml:space="preserve">(2) </w:t>
      </w:r>
      <w:r>
        <w:rPr>
          <w:rFonts w:eastAsia="TimesNewRomanPSMT-Identity-H"/>
          <w:sz w:val="24"/>
          <w:szCs w:val="24"/>
        </w:rPr>
        <w:t xml:space="preserve">Pentru limitarea propagării focului de la un nivel la altul, prin exteriorul construcţiei (pe faţadă), pereţii cortină utilizaţi la clădirile înalte trebuie să îndeplinească cerinţele subcapitolului </w:t>
      </w:r>
      <w:r>
        <w:rPr>
          <w:rFonts w:eastAsia="TimesNewRomanPSMT-Identity-H"/>
          <w:b/>
          <w:sz w:val="24"/>
          <w:szCs w:val="24"/>
        </w:rPr>
        <w:t xml:space="preserve">2.4.7.1.1. </w:t>
      </w:r>
      <w:r>
        <w:rPr>
          <w:rFonts w:eastAsia="TimesNewRomanPSMT-Identity-H"/>
          <w:bCs/>
          <w:sz w:val="24"/>
          <w:szCs w:val="24"/>
        </w:rPr>
        <w:t>referitoare la clădiri înalte.</w:t>
      </w:r>
    </w:p>
    <w:p w14:paraId="4404222A" w14:textId="77777777" w:rsidR="001C08A5" w:rsidRDefault="00000000">
      <w:pPr>
        <w:jc w:val="both"/>
        <w:rPr>
          <w:sz w:val="24"/>
          <w:szCs w:val="24"/>
        </w:rPr>
      </w:pPr>
      <w:r>
        <w:rPr>
          <w:sz w:val="24"/>
          <w:szCs w:val="24"/>
        </w:rPr>
        <w:tab/>
      </w:r>
      <w:r>
        <w:rPr>
          <w:b/>
          <w:sz w:val="24"/>
          <w:szCs w:val="24"/>
        </w:rPr>
        <w:t xml:space="preserve">(3) </w:t>
      </w:r>
      <w:r>
        <w:rPr>
          <w:sz w:val="24"/>
          <w:szCs w:val="24"/>
        </w:rPr>
        <w:t xml:space="preserve">La clădirile înalte, </w:t>
      </w:r>
      <w:r>
        <w:rPr>
          <w:iCs/>
          <w:sz w:val="24"/>
          <w:szCs w:val="24"/>
        </w:rPr>
        <w:t xml:space="preserve">cel puțin </w:t>
      </w:r>
      <w:r>
        <w:rPr>
          <w:sz w:val="24"/>
          <w:szCs w:val="24"/>
        </w:rPr>
        <w:t xml:space="preserve">până la înălţimea de </w:t>
      </w:r>
      <w:r>
        <w:rPr>
          <w:b/>
          <w:sz w:val="24"/>
          <w:szCs w:val="24"/>
        </w:rPr>
        <w:t>28</w:t>
      </w:r>
      <w:r>
        <w:rPr>
          <w:sz w:val="24"/>
          <w:szCs w:val="24"/>
        </w:rPr>
        <w:t xml:space="preserve"> </w:t>
      </w:r>
      <w:r>
        <w:rPr>
          <w:b/>
          <w:bCs/>
          <w:sz w:val="24"/>
          <w:szCs w:val="24"/>
        </w:rPr>
        <w:t>m</w:t>
      </w:r>
      <w:r>
        <w:rPr>
          <w:sz w:val="24"/>
          <w:szCs w:val="24"/>
        </w:rPr>
        <w:t xml:space="preserve"> faţă de terenul înconjurător sau de carosabil, în exteriorul pereţilor cortină se marchează distinct locurile pe unde pot pătrunde în clădire formaţiile de intervenţie în caz de incendiu.</w:t>
      </w:r>
    </w:p>
    <w:p w14:paraId="6D9F6B9D" w14:textId="77777777" w:rsidR="001C08A5" w:rsidRDefault="001C08A5">
      <w:pPr>
        <w:jc w:val="both"/>
        <w:rPr>
          <w:b/>
          <w:strike/>
          <w:sz w:val="24"/>
          <w:szCs w:val="24"/>
        </w:rPr>
      </w:pPr>
    </w:p>
    <w:p w14:paraId="17F05562" w14:textId="77777777" w:rsidR="001C08A5" w:rsidRDefault="00000000">
      <w:pPr>
        <w:jc w:val="both"/>
        <w:rPr>
          <w:sz w:val="24"/>
          <w:szCs w:val="24"/>
        </w:rPr>
      </w:pPr>
      <w:r>
        <w:rPr>
          <w:b/>
          <w:sz w:val="24"/>
          <w:szCs w:val="24"/>
        </w:rPr>
        <w:lastRenderedPageBreak/>
        <w:tab/>
        <w:t xml:space="preserve">Art. 4.1.4.3. (1) </w:t>
      </w:r>
      <w:r>
        <w:rPr>
          <w:sz w:val="24"/>
          <w:szCs w:val="24"/>
        </w:rPr>
        <w:t xml:space="preserve">Plafoanele cu suprafața continuă sau discontinuă / modulară, de tip perforat, lamelar, fagure sau grătar (atât cele pline, cât și cele care nu sunt pline) din clădirile înalte se realizează din materiale încadrate în clasa de reacţie la foc </w:t>
      </w:r>
      <w:r>
        <w:rPr>
          <w:b/>
          <w:sz w:val="24"/>
          <w:szCs w:val="24"/>
        </w:rPr>
        <w:t>A1</w:t>
      </w:r>
      <w:r>
        <w:rPr>
          <w:sz w:val="24"/>
          <w:szCs w:val="24"/>
        </w:rPr>
        <w:t xml:space="preserve"> sau </w:t>
      </w:r>
      <w:r>
        <w:rPr>
          <w:b/>
          <w:sz w:val="24"/>
          <w:szCs w:val="24"/>
        </w:rPr>
        <w:t xml:space="preserve">A2-s1d0. </w:t>
      </w:r>
      <w:r>
        <w:rPr>
          <w:bCs/>
          <w:sz w:val="24"/>
          <w:szCs w:val="24"/>
        </w:rPr>
        <w:t xml:space="preserve">În plus </w:t>
      </w:r>
      <w:r>
        <w:rPr>
          <w:sz w:val="24"/>
          <w:szCs w:val="24"/>
        </w:rPr>
        <w:t>plafoanele (autoportante sau suspendate) pline (cu suprafata continuă) vor fi rezistente la foc</w:t>
      </w:r>
      <w:r>
        <w:rPr>
          <w:b/>
          <w:sz w:val="24"/>
          <w:szCs w:val="24"/>
        </w:rPr>
        <w:t xml:space="preserve"> EI 30 (a</w:t>
      </w:r>
      <w:r>
        <w:rPr>
          <w:rFonts w:hint="eastAsia"/>
          <w:sz w:val="24"/>
          <w:szCs w:val="24"/>
        </w:rPr>
        <w:t>←</w:t>
      </w:r>
      <w:r>
        <w:rPr>
          <w:b/>
          <w:sz w:val="24"/>
          <w:szCs w:val="24"/>
        </w:rPr>
        <w:t xml:space="preserve">b). </w:t>
      </w:r>
      <w:r>
        <w:rPr>
          <w:sz w:val="24"/>
          <w:szCs w:val="24"/>
          <w:lang w:val="ro"/>
        </w:rPr>
        <w:t>Plafoanele cu suprafața discontinuă / modulară, de tip perforat, lamelar, fagure sau grătar vor avea elementele și ansamblurile de suspendare rezistente la foc </w:t>
      </w:r>
      <w:r>
        <w:rPr>
          <w:b/>
          <w:bCs/>
          <w:sz w:val="24"/>
          <w:szCs w:val="24"/>
          <w:lang w:val="ro"/>
        </w:rPr>
        <w:t>R</w:t>
      </w:r>
      <w:r>
        <w:rPr>
          <w:b/>
          <w:bCs/>
          <w:sz w:val="24"/>
          <w:szCs w:val="24"/>
        </w:rPr>
        <w:t xml:space="preserve"> </w:t>
      </w:r>
      <w:r>
        <w:rPr>
          <w:b/>
          <w:bCs/>
          <w:sz w:val="24"/>
          <w:szCs w:val="24"/>
          <w:lang w:val="ro"/>
        </w:rPr>
        <w:t>30</w:t>
      </w:r>
      <w:r>
        <w:rPr>
          <w:sz w:val="24"/>
          <w:szCs w:val="24"/>
          <w:lang w:val="ro"/>
        </w:rPr>
        <w:t>.</w:t>
      </w:r>
    </w:p>
    <w:p w14:paraId="7A084114" w14:textId="77777777" w:rsidR="001C08A5" w:rsidRDefault="00000000">
      <w:pPr>
        <w:widowControl w:val="0"/>
        <w:ind w:firstLine="720"/>
        <w:jc w:val="both"/>
        <w:rPr>
          <w:b/>
          <w:bCs/>
          <w:sz w:val="24"/>
          <w:szCs w:val="24"/>
        </w:rPr>
      </w:pPr>
      <w:r>
        <w:rPr>
          <w:b/>
          <w:sz w:val="24"/>
          <w:szCs w:val="24"/>
        </w:rPr>
        <w:t xml:space="preserve">(2) </w:t>
      </w:r>
      <w:r>
        <w:rPr>
          <w:bCs/>
          <w:sz w:val="24"/>
          <w:szCs w:val="24"/>
        </w:rPr>
        <w:t xml:space="preserve">În cazul </w:t>
      </w:r>
      <w:r>
        <w:rPr>
          <w:sz w:val="24"/>
          <w:szCs w:val="24"/>
        </w:rPr>
        <w:t xml:space="preserve">plafoanelor pline (cu suprafața continuă închisă) suspendate, continuitatea spaţiului dintre plafonul suspendat și planşeul de rezistenţă va fi întrerupt cu diafragme continue minimum </w:t>
      </w:r>
      <w:r>
        <w:rPr>
          <w:b/>
          <w:sz w:val="24"/>
          <w:szCs w:val="24"/>
        </w:rPr>
        <w:t>DH 30</w:t>
      </w:r>
      <w:r>
        <w:rPr>
          <w:sz w:val="24"/>
          <w:szCs w:val="24"/>
        </w:rPr>
        <w:t xml:space="preserve">, dispuse la maximum </w:t>
      </w:r>
      <w:r>
        <w:rPr>
          <w:b/>
          <w:sz w:val="24"/>
          <w:szCs w:val="24"/>
        </w:rPr>
        <w:t>30</w:t>
      </w:r>
      <w:r>
        <w:rPr>
          <w:sz w:val="24"/>
          <w:szCs w:val="24"/>
        </w:rPr>
        <w:t xml:space="preserve"> m pe două direcţii perpendiculare, atunci când spațiul dintre plafonul suspendat și planşeul de rezistenţă </w:t>
      </w:r>
      <w:r>
        <w:rPr>
          <w:b/>
          <w:bCs/>
          <w:sz w:val="24"/>
          <w:szCs w:val="24"/>
        </w:rPr>
        <w:t>nu este echipat</w:t>
      </w:r>
      <w:r>
        <w:rPr>
          <w:sz w:val="24"/>
          <w:szCs w:val="24"/>
        </w:rPr>
        <w:t xml:space="preserve"> cu instalație automată de stingere cu sprinklere. </w:t>
      </w:r>
      <w:r>
        <w:rPr>
          <w:bCs/>
          <w:sz w:val="24"/>
          <w:szCs w:val="24"/>
        </w:rPr>
        <w:t xml:space="preserve">În acest caz </w:t>
      </w:r>
      <w:r>
        <w:rPr>
          <w:sz w:val="24"/>
          <w:szCs w:val="24"/>
        </w:rPr>
        <w:t>plafoanele (autoportante sau suspendate) pline (cu suprafata continuă) vor fi rezistente la foc</w:t>
      </w:r>
      <w:r>
        <w:rPr>
          <w:b/>
          <w:sz w:val="24"/>
          <w:szCs w:val="24"/>
        </w:rPr>
        <w:t xml:space="preserve"> EI 30 (a↔b),</w:t>
      </w:r>
      <w:r>
        <w:rPr>
          <w:bCs/>
          <w:sz w:val="24"/>
          <w:szCs w:val="24"/>
        </w:rPr>
        <w:t xml:space="preserve"> conform</w:t>
      </w:r>
      <w:r>
        <w:rPr>
          <w:b/>
          <w:sz w:val="24"/>
          <w:szCs w:val="24"/>
        </w:rPr>
        <w:t xml:space="preserve"> </w:t>
      </w:r>
      <w:r>
        <w:rPr>
          <w:b/>
          <w:bCs/>
          <w:i/>
          <w:iCs/>
          <w:sz w:val="24"/>
          <w:szCs w:val="24"/>
        </w:rPr>
        <w:fldChar w:fldCharType="begin"/>
      </w:r>
      <w:r>
        <w:rPr>
          <w:b/>
          <w:bCs/>
          <w:i/>
          <w:iCs/>
          <w:sz w:val="24"/>
          <w:szCs w:val="24"/>
        </w:rPr>
        <w:instrText xml:space="preserve"> REF _Ref25105 \h </w:instrText>
      </w:r>
      <w:r>
        <w:rPr>
          <w:b/>
          <w:bCs/>
          <w:i/>
          <w:iCs/>
          <w:sz w:val="24"/>
          <w:szCs w:val="24"/>
        </w:rPr>
      </w:r>
      <w:r>
        <w:rPr>
          <w:b/>
          <w:bCs/>
          <w:i/>
          <w:iCs/>
          <w:sz w:val="24"/>
          <w:szCs w:val="24"/>
        </w:rPr>
        <w:fldChar w:fldCharType="separate"/>
      </w:r>
      <w:r>
        <w:t>Figura 70</w:t>
      </w:r>
      <w:r>
        <w:rPr>
          <w:b/>
          <w:bCs/>
          <w:i/>
          <w:iCs/>
          <w:sz w:val="24"/>
          <w:szCs w:val="24"/>
        </w:rPr>
        <w:fldChar w:fldCharType="end"/>
      </w:r>
      <w:r>
        <w:rPr>
          <w:b/>
          <w:sz w:val="24"/>
          <w:szCs w:val="24"/>
        </w:rPr>
        <w:t>.</w:t>
      </w:r>
      <w:r>
        <w:rPr>
          <w:sz w:val="24"/>
          <w:szCs w:val="24"/>
        </w:rPr>
        <w:t xml:space="preserve"> În toate cazurile se vor avea în vedere prevederile </w:t>
      </w:r>
      <w:r>
        <w:rPr>
          <w:b/>
          <w:bCs/>
          <w:sz w:val="24"/>
          <w:szCs w:val="24"/>
        </w:rPr>
        <w:t>Art. 8.1.2.</w:t>
      </w:r>
    </w:p>
    <w:p w14:paraId="29B58A1D" w14:textId="77777777" w:rsidR="001C08A5" w:rsidRDefault="00000000">
      <w:pPr>
        <w:pStyle w:val="Default"/>
        <w:jc w:val="center"/>
        <w:rPr>
          <w:rFonts w:ascii="Times New Roman" w:hAnsi="Times New Roman" w:cs="Times New Roman"/>
          <w:color w:val="auto"/>
          <w:lang w:val="ro-RO" w:eastAsia="ro-RO"/>
        </w:rPr>
      </w:pPr>
      <w:r>
        <w:rPr>
          <w:rFonts w:ascii="Times New Roman" w:hAnsi="Times New Roman" w:cs="Times New Roman"/>
          <w:noProof/>
          <w:color w:val="auto"/>
          <w:lang w:val="ro-RO" w:eastAsia="ro-RO"/>
        </w:rPr>
        <w:drawing>
          <wp:inline distT="0" distB="0" distL="114300" distR="114300" wp14:anchorId="6A8DA98F" wp14:editId="57AEC6CA">
            <wp:extent cx="3890645" cy="2373630"/>
            <wp:effectExtent l="0" t="0" r="14605" b="762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5"/>
                    <pic:cNvPicPr>
                      <a:picLocks noChangeAspect="1"/>
                    </pic:cNvPicPr>
                  </pic:nvPicPr>
                  <pic:blipFill>
                    <a:blip r:embed="rId198"/>
                    <a:srcRect l="13872" t="3194" r="34584" b="53066"/>
                    <a:stretch>
                      <a:fillRect/>
                    </a:stretch>
                  </pic:blipFill>
                  <pic:spPr>
                    <a:xfrm>
                      <a:off x="0" y="0"/>
                      <a:ext cx="3890645" cy="2373630"/>
                    </a:xfrm>
                    <a:prstGeom prst="rect">
                      <a:avLst/>
                    </a:prstGeom>
                    <a:noFill/>
                    <a:ln>
                      <a:noFill/>
                    </a:ln>
                  </pic:spPr>
                </pic:pic>
              </a:graphicData>
            </a:graphic>
          </wp:inline>
        </w:drawing>
      </w:r>
    </w:p>
    <w:p w14:paraId="3480391A" w14:textId="77777777" w:rsidR="001C08A5" w:rsidRDefault="00000000">
      <w:pPr>
        <w:pStyle w:val="Default"/>
        <w:jc w:val="center"/>
        <w:rPr>
          <w:rFonts w:ascii="Times New Roman" w:hAnsi="Times New Roman" w:cs="Times New Roman"/>
          <w:b/>
          <w:bCs/>
          <w:i/>
          <w:iCs/>
          <w:color w:val="auto"/>
          <w:sz w:val="22"/>
          <w:szCs w:val="22"/>
          <w:lang w:val="ro-RO" w:eastAsia="ro-RO"/>
        </w:rPr>
      </w:pPr>
      <w:r>
        <w:rPr>
          <w:rFonts w:ascii="Times New Roman" w:hAnsi="Times New Roman" w:cs="Times New Roman"/>
          <w:b/>
          <w:bCs/>
          <w:i/>
          <w:iCs/>
          <w:color w:val="auto"/>
          <w:sz w:val="22"/>
          <w:szCs w:val="22"/>
          <w:lang w:eastAsia="ro-RO"/>
        </w:rPr>
        <w:t>Varianta a)</w:t>
      </w:r>
      <w:r>
        <w:rPr>
          <w:rFonts w:ascii="Times New Roman" w:hAnsi="Times New Roman" w:cs="Times New Roman"/>
          <w:b/>
          <w:bCs/>
          <w:i/>
          <w:iCs/>
          <w:color w:val="auto"/>
          <w:sz w:val="22"/>
          <w:szCs w:val="22"/>
        </w:rPr>
        <w:t xml:space="preserve"> întrerup</w:t>
      </w:r>
      <w:r>
        <w:rPr>
          <w:rFonts w:ascii="Times New Roman" w:hAnsi="Times New Roman" w:cs="Times New Roman"/>
          <w:b/>
          <w:bCs/>
          <w:i/>
          <w:iCs/>
          <w:color w:val="auto"/>
          <w:sz w:val="22"/>
          <w:szCs w:val="22"/>
          <w:lang w:val="ro-RO"/>
        </w:rPr>
        <w:t>ere</w:t>
      </w:r>
      <w:r>
        <w:rPr>
          <w:rFonts w:ascii="Times New Roman" w:hAnsi="Times New Roman" w:cs="Times New Roman"/>
          <w:b/>
          <w:bCs/>
          <w:i/>
          <w:iCs/>
          <w:color w:val="auto"/>
          <w:sz w:val="22"/>
          <w:szCs w:val="22"/>
        </w:rPr>
        <w:t xml:space="preserve"> cu diafragme</w:t>
      </w:r>
      <w:r>
        <w:rPr>
          <w:rFonts w:ascii="Times New Roman" w:hAnsi="Times New Roman" w:cs="Times New Roman"/>
          <w:b/>
          <w:bCs/>
          <w:i/>
          <w:iCs/>
          <w:color w:val="auto"/>
          <w:sz w:val="22"/>
          <w:szCs w:val="22"/>
          <w:lang w:val="ro-RO"/>
        </w:rPr>
        <w:t xml:space="preserve"> continue DH 30, min 50 cm care nu depășesc cota plafonului suspendat (variantă cu traforuri)</w:t>
      </w:r>
    </w:p>
    <w:p w14:paraId="361B679F" w14:textId="77777777" w:rsidR="001C08A5" w:rsidRDefault="00000000">
      <w:pPr>
        <w:pStyle w:val="Default"/>
        <w:jc w:val="center"/>
        <w:rPr>
          <w:rFonts w:ascii="Times New Roman" w:hAnsi="Times New Roman" w:cs="Times New Roman"/>
          <w:color w:val="auto"/>
        </w:rPr>
      </w:pPr>
      <w:r>
        <w:rPr>
          <w:rFonts w:ascii="Times New Roman" w:hAnsi="Times New Roman" w:cs="Times New Roman"/>
          <w:noProof/>
          <w:color w:val="auto"/>
          <w:lang w:val="ro-RO" w:eastAsia="ro-RO"/>
        </w:rPr>
        <w:drawing>
          <wp:inline distT="0" distB="0" distL="114300" distR="114300" wp14:anchorId="670D062D" wp14:editId="79B2E188">
            <wp:extent cx="3545840" cy="2194560"/>
            <wp:effectExtent l="0" t="0" r="16510" b="1524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
                    <pic:cNvPicPr>
                      <a:picLocks noChangeAspect="1"/>
                    </pic:cNvPicPr>
                  </pic:nvPicPr>
                  <pic:blipFill>
                    <a:blip r:embed="rId198"/>
                    <a:srcRect l="13872" t="49403" r="39152" b="10157"/>
                    <a:stretch>
                      <a:fillRect/>
                    </a:stretch>
                  </pic:blipFill>
                  <pic:spPr>
                    <a:xfrm>
                      <a:off x="0" y="0"/>
                      <a:ext cx="3545840" cy="2194560"/>
                    </a:xfrm>
                    <a:prstGeom prst="rect">
                      <a:avLst/>
                    </a:prstGeom>
                    <a:noFill/>
                    <a:ln>
                      <a:noFill/>
                    </a:ln>
                  </pic:spPr>
                </pic:pic>
              </a:graphicData>
            </a:graphic>
          </wp:inline>
        </w:drawing>
      </w:r>
    </w:p>
    <w:p w14:paraId="54631C0C" w14:textId="77777777" w:rsidR="001C08A5" w:rsidRDefault="00000000">
      <w:pPr>
        <w:widowControl w:val="0"/>
        <w:jc w:val="center"/>
        <w:rPr>
          <w:b/>
          <w:bCs/>
          <w:i/>
          <w:iCs/>
          <w:sz w:val="22"/>
          <w:szCs w:val="22"/>
        </w:rPr>
      </w:pPr>
      <w:r>
        <w:rPr>
          <w:b/>
          <w:bCs/>
          <w:i/>
          <w:iCs/>
          <w:sz w:val="22"/>
          <w:szCs w:val="22"/>
          <w:lang w:val="en-US" w:eastAsia="ro-RO"/>
        </w:rPr>
        <w:t>Varianta b)</w:t>
      </w:r>
      <w:r>
        <w:rPr>
          <w:b/>
          <w:bCs/>
          <w:i/>
          <w:iCs/>
          <w:sz w:val="22"/>
          <w:szCs w:val="22"/>
        </w:rPr>
        <w:t xml:space="preserve"> întrerupere cu diafragme continue DH 30 care depășesc cota plafonului suspendat cu min 50 </w:t>
      </w:r>
      <w:proofErr w:type="gramStart"/>
      <w:r>
        <w:rPr>
          <w:b/>
          <w:bCs/>
          <w:i/>
          <w:iCs/>
          <w:sz w:val="22"/>
          <w:szCs w:val="22"/>
        </w:rPr>
        <w:t>cm  (</w:t>
      </w:r>
      <w:proofErr w:type="gramEnd"/>
      <w:r>
        <w:rPr>
          <w:b/>
          <w:bCs/>
          <w:i/>
          <w:iCs/>
          <w:sz w:val="22"/>
          <w:szCs w:val="22"/>
        </w:rPr>
        <w:t>variantă fără traforuri)</w:t>
      </w:r>
    </w:p>
    <w:p w14:paraId="7937D7AA" w14:textId="77777777" w:rsidR="001C08A5" w:rsidRDefault="00000000">
      <w:pPr>
        <w:pStyle w:val="Caption"/>
        <w:widowControl w:val="0"/>
        <w:jc w:val="center"/>
        <w:rPr>
          <w:rFonts w:cs="Times New Roman"/>
          <w:bCs/>
        </w:rPr>
      </w:pPr>
      <w:bookmarkStart w:id="4227" w:name="_Ref25105"/>
      <w:bookmarkStart w:id="4228" w:name="_Ref15398"/>
      <w:bookmarkStart w:id="4229" w:name="_Toc162360294"/>
      <w:r>
        <w:t xml:space="preserve">Figura </w:t>
      </w:r>
      <w:r>
        <w:fldChar w:fldCharType="begin"/>
      </w:r>
      <w:r>
        <w:instrText xml:space="preserve"> SEQ Figura \* ARABIC </w:instrText>
      </w:r>
      <w:r>
        <w:fldChar w:fldCharType="separate"/>
      </w:r>
      <w:r>
        <w:t>70</w:t>
      </w:r>
      <w:r>
        <w:fldChar w:fldCharType="end"/>
      </w:r>
      <w:bookmarkStart w:id="4230" w:name="_Toc27700"/>
      <w:bookmarkStart w:id="4231" w:name="_Toc1937"/>
      <w:bookmarkStart w:id="4232" w:name="_Toc15938"/>
      <w:bookmarkStart w:id="4233" w:name="_Toc5164"/>
      <w:bookmarkStart w:id="4234" w:name="_Toc22465"/>
      <w:bookmarkStart w:id="4235" w:name="_Toc31340"/>
      <w:bookmarkStart w:id="4236" w:name="_Toc3190"/>
      <w:bookmarkStart w:id="4237" w:name="_Toc29149"/>
      <w:bookmarkStart w:id="4238" w:name="_Toc15581"/>
      <w:bookmarkStart w:id="4239" w:name="_Toc16498"/>
      <w:bookmarkStart w:id="4240" w:name="_Toc13886"/>
      <w:bookmarkEnd w:id="4227"/>
      <w:r>
        <w:t xml:space="preserve"> - </w:t>
      </w:r>
      <w:r>
        <w:rPr>
          <w:rFonts w:cs="Times New Roman"/>
          <w:bCs/>
        </w:rPr>
        <w:t xml:space="preserve">Întrerupere cu diafragme </w:t>
      </w:r>
      <w:bookmarkEnd w:id="4228"/>
      <w:r>
        <w:rPr>
          <w:rFonts w:cs="Times New Roman"/>
          <w:bCs/>
        </w:rPr>
        <w:t xml:space="preserve">a </w:t>
      </w:r>
      <w:r>
        <w:t xml:space="preserve">plafoanelor cu suprafața continuă sau discontinuă / modulară </w:t>
      </w:r>
      <w:r>
        <w:rPr>
          <w:rFonts w:cs="Times New Roman"/>
          <w:bCs/>
        </w:rPr>
        <w:t>la clădiri înalte (atunci când spațiul dintre plafonul suspendat și planşeul de rezistenţă nu este echipat cu instalație automată de stingere cu sprinklere conform SR EN 12845)</w:t>
      </w:r>
      <w:bookmarkEnd w:id="4229"/>
      <w:bookmarkEnd w:id="4230"/>
      <w:bookmarkEnd w:id="4231"/>
      <w:bookmarkEnd w:id="4232"/>
      <w:bookmarkEnd w:id="4233"/>
      <w:bookmarkEnd w:id="4234"/>
      <w:bookmarkEnd w:id="4235"/>
      <w:bookmarkEnd w:id="4236"/>
      <w:bookmarkEnd w:id="4237"/>
      <w:bookmarkEnd w:id="4238"/>
      <w:bookmarkEnd w:id="4239"/>
      <w:bookmarkEnd w:id="4240"/>
    </w:p>
    <w:p w14:paraId="6E5996C2" w14:textId="77777777" w:rsidR="001C08A5" w:rsidRDefault="001C08A5">
      <w:pPr>
        <w:pStyle w:val="BodyText"/>
        <w:rPr>
          <w:sz w:val="20"/>
          <w:szCs w:val="20"/>
        </w:rPr>
      </w:pPr>
    </w:p>
    <w:p w14:paraId="7DF97002" w14:textId="77777777" w:rsidR="001C08A5" w:rsidRDefault="00000000">
      <w:pPr>
        <w:widowControl w:val="0"/>
        <w:ind w:firstLine="720"/>
        <w:jc w:val="both"/>
        <w:rPr>
          <w:b/>
          <w:bCs/>
          <w:sz w:val="24"/>
          <w:szCs w:val="24"/>
        </w:rPr>
      </w:pPr>
      <w:r>
        <w:rPr>
          <w:b/>
          <w:sz w:val="24"/>
          <w:szCs w:val="24"/>
        </w:rPr>
        <w:t xml:space="preserve">(3) </w:t>
      </w:r>
      <w:r>
        <w:rPr>
          <w:bCs/>
          <w:sz w:val="24"/>
          <w:szCs w:val="24"/>
        </w:rPr>
        <w:t xml:space="preserve">În cazul </w:t>
      </w:r>
      <w:r>
        <w:rPr>
          <w:sz w:val="24"/>
          <w:szCs w:val="24"/>
        </w:rPr>
        <w:t xml:space="preserve">plafoanelor pline (cu suprafața continuă închisă) suspendate, continuitatea spaţiului dintre plafonul suspendat și planşeul de rezistenţă nu va fi întrerupt cu diafragme continue atunci când spațiul dintre plafonul suspendat și planşeul de rezistenţă </w:t>
      </w:r>
      <w:r>
        <w:rPr>
          <w:b/>
          <w:bCs/>
          <w:sz w:val="24"/>
          <w:szCs w:val="24"/>
        </w:rPr>
        <w:t>este echipat</w:t>
      </w:r>
      <w:r>
        <w:rPr>
          <w:sz w:val="24"/>
          <w:szCs w:val="24"/>
        </w:rPr>
        <w:t xml:space="preserve"> cu instalație automată de stingere cu sprinklere. </w:t>
      </w:r>
      <w:r>
        <w:rPr>
          <w:bCs/>
          <w:sz w:val="24"/>
          <w:szCs w:val="24"/>
        </w:rPr>
        <w:t xml:space="preserve">În acest caz </w:t>
      </w:r>
      <w:r>
        <w:rPr>
          <w:sz w:val="24"/>
          <w:szCs w:val="24"/>
        </w:rPr>
        <w:t>plafoanele (autoportante sau suspendate) pline (cu suprafața continuă) vor fi rezistente la foc</w:t>
      </w:r>
      <w:r>
        <w:rPr>
          <w:b/>
          <w:sz w:val="24"/>
          <w:szCs w:val="24"/>
        </w:rPr>
        <w:t xml:space="preserve"> EI 30 (a</w:t>
      </w:r>
      <w:r>
        <w:rPr>
          <w:rFonts w:hint="eastAsia"/>
          <w:sz w:val="24"/>
          <w:szCs w:val="24"/>
        </w:rPr>
        <w:t>←</w:t>
      </w:r>
      <w:r>
        <w:rPr>
          <w:b/>
          <w:sz w:val="24"/>
          <w:szCs w:val="24"/>
        </w:rPr>
        <w:t xml:space="preserve">b), </w:t>
      </w:r>
      <w:r>
        <w:rPr>
          <w:bCs/>
          <w:sz w:val="24"/>
          <w:szCs w:val="24"/>
        </w:rPr>
        <w:t>conform</w:t>
      </w:r>
      <w:r>
        <w:rPr>
          <w:b/>
          <w:sz w:val="24"/>
          <w:szCs w:val="24"/>
        </w:rPr>
        <w:t xml:space="preserve"> </w:t>
      </w:r>
      <w:r>
        <w:rPr>
          <w:b/>
          <w:bCs/>
          <w:i/>
          <w:iCs/>
          <w:sz w:val="24"/>
          <w:szCs w:val="24"/>
        </w:rPr>
        <w:fldChar w:fldCharType="begin"/>
      </w:r>
      <w:r>
        <w:rPr>
          <w:b/>
          <w:bCs/>
          <w:i/>
          <w:iCs/>
          <w:sz w:val="24"/>
          <w:szCs w:val="24"/>
        </w:rPr>
        <w:instrText xml:space="preserve"> REF _Ref25262 \h </w:instrText>
      </w:r>
      <w:r>
        <w:rPr>
          <w:b/>
          <w:bCs/>
          <w:i/>
          <w:iCs/>
          <w:sz w:val="24"/>
          <w:szCs w:val="24"/>
        </w:rPr>
      </w:r>
      <w:r>
        <w:rPr>
          <w:b/>
          <w:bCs/>
          <w:i/>
          <w:iCs/>
          <w:sz w:val="24"/>
          <w:szCs w:val="24"/>
        </w:rPr>
        <w:fldChar w:fldCharType="separate"/>
      </w:r>
      <w:r>
        <w:t>Figura 71</w:t>
      </w:r>
      <w:r>
        <w:rPr>
          <w:b/>
          <w:bCs/>
          <w:i/>
          <w:iCs/>
          <w:sz w:val="24"/>
          <w:szCs w:val="24"/>
        </w:rPr>
        <w:fldChar w:fldCharType="end"/>
      </w:r>
      <w:r>
        <w:rPr>
          <w:b/>
          <w:sz w:val="24"/>
          <w:szCs w:val="24"/>
        </w:rPr>
        <w:t>.</w:t>
      </w:r>
      <w:r>
        <w:rPr>
          <w:sz w:val="24"/>
          <w:szCs w:val="24"/>
        </w:rPr>
        <w:t xml:space="preserve"> În toate cazurile se vor avea în vedere prevederile </w:t>
      </w:r>
      <w:r>
        <w:rPr>
          <w:b/>
          <w:bCs/>
          <w:sz w:val="24"/>
          <w:szCs w:val="24"/>
        </w:rPr>
        <w:t>Art. 8.1.2.</w:t>
      </w:r>
    </w:p>
    <w:p w14:paraId="654AED58" w14:textId="77777777" w:rsidR="001C08A5" w:rsidRDefault="00000000">
      <w:pPr>
        <w:widowControl w:val="0"/>
        <w:ind w:firstLine="720"/>
        <w:jc w:val="center"/>
        <w:rPr>
          <w:lang w:eastAsia="ro-RO"/>
        </w:rPr>
      </w:pPr>
      <w:r>
        <w:rPr>
          <w:noProof/>
          <w:lang w:eastAsia="ro-RO"/>
        </w:rPr>
        <w:lastRenderedPageBreak/>
        <w:drawing>
          <wp:inline distT="0" distB="0" distL="114300" distR="114300" wp14:anchorId="5E8321E7" wp14:editId="67B892BA">
            <wp:extent cx="3172460" cy="2185035"/>
            <wp:effectExtent l="0" t="0" r="0" b="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
                    <pic:cNvPicPr>
                      <a:picLocks noChangeAspect="1"/>
                    </pic:cNvPicPr>
                  </pic:nvPicPr>
                  <pic:blipFill>
                    <a:blip r:embed="rId199"/>
                    <a:srcRect l="13780" t="16768" r="44191" b="42967"/>
                    <a:stretch>
                      <a:fillRect/>
                    </a:stretch>
                  </pic:blipFill>
                  <pic:spPr>
                    <a:xfrm>
                      <a:off x="0" y="0"/>
                      <a:ext cx="3172460" cy="2185035"/>
                    </a:xfrm>
                    <a:prstGeom prst="rect">
                      <a:avLst/>
                    </a:prstGeom>
                    <a:noFill/>
                    <a:ln>
                      <a:noFill/>
                    </a:ln>
                  </pic:spPr>
                </pic:pic>
              </a:graphicData>
            </a:graphic>
          </wp:inline>
        </w:drawing>
      </w:r>
    </w:p>
    <w:p w14:paraId="0680231C" w14:textId="77777777" w:rsidR="001C08A5" w:rsidRDefault="00000000">
      <w:pPr>
        <w:pStyle w:val="Caption"/>
        <w:widowControl w:val="0"/>
        <w:jc w:val="center"/>
        <w:rPr>
          <w:rFonts w:cs="Times New Roman"/>
          <w:bCs/>
        </w:rPr>
      </w:pPr>
      <w:bookmarkStart w:id="4241" w:name="_Ref25262"/>
      <w:bookmarkStart w:id="4242" w:name="_Toc162360295"/>
      <w:r>
        <w:t xml:space="preserve">Figura </w:t>
      </w:r>
      <w:r>
        <w:fldChar w:fldCharType="begin"/>
      </w:r>
      <w:r>
        <w:instrText xml:space="preserve"> SEQ Figura \* ARABIC </w:instrText>
      </w:r>
      <w:r>
        <w:fldChar w:fldCharType="separate"/>
      </w:r>
      <w:r>
        <w:t>71</w:t>
      </w:r>
      <w:r>
        <w:fldChar w:fldCharType="end"/>
      </w:r>
      <w:bookmarkStart w:id="4243" w:name="_Toc26453"/>
      <w:bookmarkStart w:id="4244" w:name="_Toc24336"/>
      <w:bookmarkStart w:id="4245" w:name="_Toc24018"/>
      <w:bookmarkStart w:id="4246" w:name="_Toc24229"/>
      <w:bookmarkStart w:id="4247" w:name="_Toc8300"/>
      <w:bookmarkStart w:id="4248" w:name="_Toc7245"/>
      <w:bookmarkStart w:id="4249" w:name="_Toc26716"/>
      <w:bookmarkStart w:id="4250" w:name="_Toc4544"/>
      <w:bookmarkStart w:id="4251" w:name="_Toc15097"/>
      <w:bookmarkStart w:id="4252" w:name="_Toc15935"/>
      <w:bookmarkStart w:id="4253" w:name="_Toc3593"/>
      <w:bookmarkEnd w:id="4241"/>
      <w:r>
        <w:t xml:space="preserve"> - </w:t>
      </w:r>
      <w:bookmarkEnd w:id="4243"/>
      <w:r>
        <w:t>P</w:t>
      </w:r>
      <w:r>
        <w:rPr>
          <w:rFonts w:cs="Times New Roman"/>
          <w:bCs/>
        </w:rPr>
        <w:t>lafoane cu suprafața continuă sau discontinuă / modulară la clădiri înalte la care nu este necesară întreruperea cu diafragme (atunci când spațiul dintre plafonul suspendat și planşeul de rezistenţă este echipat cu instalație automată de stingere cu sprinklere conform SR EN 12845)</w:t>
      </w:r>
      <w:bookmarkEnd w:id="4242"/>
      <w:bookmarkEnd w:id="4244"/>
      <w:bookmarkEnd w:id="4245"/>
      <w:bookmarkEnd w:id="4246"/>
      <w:bookmarkEnd w:id="4247"/>
      <w:bookmarkEnd w:id="4248"/>
      <w:bookmarkEnd w:id="4249"/>
      <w:bookmarkEnd w:id="4250"/>
      <w:bookmarkEnd w:id="4251"/>
      <w:bookmarkEnd w:id="4252"/>
      <w:bookmarkEnd w:id="4253"/>
    </w:p>
    <w:p w14:paraId="7CCFB05A" w14:textId="77777777" w:rsidR="001C08A5" w:rsidRDefault="001C08A5">
      <w:pPr>
        <w:widowControl w:val="0"/>
        <w:ind w:firstLine="720"/>
        <w:jc w:val="both"/>
        <w:rPr>
          <w:b/>
          <w:bCs/>
          <w:i/>
          <w:iCs/>
          <w:sz w:val="24"/>
          <w:szCs w:val="24"/>
          <w:lang w:eastAsia="ro-RO"/>
        </w:rPr>
      </w:pPr>
    </w:p>
    <w:p w14:paraId="46AD5BF7" w14:textId="77777777" w:rsidR="001C08A5" w:rsidRDefault="00000000">
      <w:pPr>
        <w:ind w:firstLine="720"/>
        <w:jc w:val="both"/>
        <w:rPr>
          <w:sz w:val="24"/>
          <w:szCs w:val="24"/>
        </w:rPr>
      </w:pPr>
      <w:r>
        <w:rPr>
          <w:b/>
          <w:sz w:val="24"/>
          <w:szCs w:val="24"/>
        </w:rPr>
        <w:t xml:space="preserve">Art. 4.1.4.4. (1) </w:t>
      </w:r>
      <w:r>
        <w:rPr>
          <w:sz w:val="24"/>
          <w:szCs w:val="24"/>
        </w:rPr>
        <w:t xml:space="preserve">Finisajele interioare ale pereţilor, plafoanelor și pardoselilor încăperilor (cu exceptia căilor comune de circulaţie funcţională şi evacuare a utilizatorilor) din cadrul clădirilor înalte trebuie să fie clasa de reacţie la foc </w:t>
      </w:r>
      <w:r>
        <w:rPr>
          <w:bCs/>
          <w:sz w:val="24"/>
          <w:szCs w:val="24"/>
        </w:rPr>
        <w:t xml:space="preserve">minimum </w:t>
      </w:r>
      <w:r>
        <w:rPr>
          <w:b/>
          <w:sz w:val="24"/>
          <w:szCs w:val="24"/>
        </w:rPr>
        <w:t>B-s1d0</w:t>
      </w:r>
      <w:r>
        <w:rPr>
          <w:sz w:val="24"/>
          <w:szCs w:val="24"/>
        </w:rPr>
        <w:t xml:space="preserve">, respectiv </w:t>
      </w:r>
      <w:r>
        <w:rPr>
          <w:bCs/>
          <w:sz w:val="24"/>
          <w:szCs w:val="24"/>
        </w:rPr>
        <w:t xml:space="preserve">minimum </w:t>
      </w:r>
      <w:r>
        <w:rPr>
          <w:b/>
          <w:sz w:val="24"/>
          <w:szCs w:val="24"/>
        </w:rPr>
        <w:t>B</w:t>
      </w:r>
      <w:r>
        <w:rPr>
          <w:b/>
          <w:bCs/>
          <w:sz w:val="24"/>
          <w:szCs w:val="24"/>
          <w:vertAlign w:val="subscript"/>
        </w:rPr>
        <w:t>FL</w:t>
      </w:r>
      <w:r>
        <w:rPr>
          <w:b/>
          <w:bCs/>
          <w:sz w:val="24"/>
          <w:szCs w:val="24"/>
        </w:rPr>
        <w:t>-s1.</w:t>
      </w:r>
    </w:p>
    <w:p w14:paraId="03ADE288" w14:textId="77777777" w:rsidR="001C08A5" w:rsidRDefault="00000000">
      <w:pPr>
        <w:numPr>
          <w:ilvl w:val="0"/>
          <w:numId w:val="83"/>
        </w:numPr>
        <w:ind w:firstLine="720"/>
        <w:jc w:val="both"/>
        <w:rPr>
          <w:b/>
          <w:sz w:val="24"/>
          <w:szCs w:val="24"/>
        </w:rPr>
      </w:pPr>
      <w:r>
        <w:rPr>
          <w:sz w:val="24"/>
          <w:szCs w:val="24"/>
        </w:rPr>
        <w:t xml:space="preserve">În încăperile și spațiile (de lucru - pentru funcțiunea administrativă) deschise tip open-space, se admit și finisaje clasa de reactie la foc minimum </w:t>
      </w:r>
      <w:r>
        <w:rPr>
          <w:b/>
          <w:sz w:val="24"/>
          <w:szCs w:val="24"/>
        </w:rPr>
        <w:t>B-s2d0</w:t>
      </w:r>
      <w:r>
        <w:rPr>
          <w:sz w:val="24"/>
          <w:szCs w:val="24"/>
        </w:rPr>
        <w:t xml:space="preserve"> din folii cu grosimea de maxim </w:t>
      </w:r>
      <w:r>
        <w:rPr>
          <w:b/>
          <w:bCs/>
          <w:sz w:val="24"/>
          <w:szCs w:val="24"/>
        </w:rPr>
        <w:t>0,5 cm</w:t>
      </w:r>
      <w:r>
        <w:rPr>
          <w:sz w:val="24"/>
          <w:szCs w:val="24"/>
        </w:rPr>
        <w:t xml:space="preserve"> care se lipesc pe suport </w:t>
      </w:r>
      <w:r>
        <w:rPr>
          <w:b/>
          <w:sz w:val="24"/>
          <w:szCs w:val="24"/>
        </w:rPr>
        <w:t>A1</w:t>
      </w:r>
      <w:r>
        <w:rPr>
          <w:sz w:val="24"/>
          <w:szCs w:val="24"/>
        </w:rPr>
        <w:t xml:space="preserve"> sau </w:t>
      </w:r>
      <w:r>
        <w:rPr>
          <w:b/>
          <w:sz w:val="24"/>
          <w:szCs w:val="24"/>
        </w:rPr>
        <w:t xml:space="preserve">A2-s1d0 și </w:t>
      </w:r>
      <w:r>
        <w:rPr>
          <w:sz w:val="24"/>
          <w:szCs w:val="24"/>
        </w:rPr>
        <w:t xml:space="preserve">mochete minimum </w:t>
      </w:r>
      <w:r>
        <w:rPr>
          <w:b/>
          <w:sz w:val="24"/>
          <w:szCs w:val="24"/>
        </w:rPr>
        <w:t>B</w:t>
      </w:r>
      <w:r>
        <w:rPr>
          <w:b/>
          <w:sz w:val="24"/>
          <w:szCs w:val="24"/>
          <w:vertAlign w:val="subscript"/>
        </w:rPr>
        <w:t>FL</w:t>
      </w:r>
      <w:r>
        <w:rPr>
          <w:b/>
          <w:sz w:val="24"/>
          <w:szCs w:val="24"/>
        </w:rPr>
        <w:t>-s1,</w:t>
      </w:r>
      <w:r>
        <w:rPr>
          <w:sz w:val="24"/>
          <w:szCs w:val="24"/>
        </w:rPr>
        <w:t xml:space="preserve"> cu grosimea de maxim </w:t>
      </w:r>
      <w:r>
        <w:rPr>
          <w:b/>
          <w:bCs/>
          <w:sz w:val="24"/>
          <w:szCs w:val="24"/>
        </w:rPr>
        <w:t>2 cm</w:t>
      </w:r>
      <w:r>
        <w:rPr>
          <w:sz w:val="24"/>
          <w:szCs w:val="24"/>
        </w:rPr>
        <w:t xml:space="preserve">, montate direct sau pe un strat fonoizolator la zgomot de impact/ strat vibroamortizant </w:t>
      </w:r>
      <w:r>
        <w:rPr>
          <w:b/>
          <w:sz w:val="24"/>
          <w:szCs w:val="24"/>
        </w:rPr>
        <w:t>A1</w:t>
      </w:r>
      <w:r>
        <w:rPr>
          <w:sz w:val="24"/>
          <w:szCs w:val="24"/>
        </w:rPr>
        <w:t xml:space="preserve"> sau </w:t>
      </w:r>
      <w:r>
        <w:rPr>
          <w:b/>
          <w:sz w:val="24"/>
          <w:szCs w:val="24"/>
        </w:rPr>
        <w:t>A2-s1d0</w:t>
      </w:r>
      <w:r>
        <w:rPr>
          <w:sz w:val="24"/>
          <w:szCs w:val="24"/>
        </w:rPr>
        <w:t xml:space="preserve">, care se lipesc sau se așează liber pe suport </w:t>
      </w:r>
      <w:r>
        <w:rPr>
          <w:b/>
          <w:sz w:val="24"/>
          <w:szCs w:val="24"/>
        </w:rPr>
        <w:t>A1</w:t>
      </w:r>
      <w:r>
        <w:rPr>
          <w:sz w:val="24"/>
          <w:szCs w:val="24"/>
        </w:rPr>
        <w:t xml:space="preserve"> sau </w:t>
      </w:r>
      <w:r>
        <w:rPr>
          <w:b/>
          <w:sz w:val="24"/>
          <w:szCs w:val="24"/>
        </w:rPr>
        <w:t xml:space="preserve">A2-s1d0, </w:t>
      </w:r>
      <w:r>
        <w:rPr>
          <w:bCs/>
          <w:sz w:val="24"/>
          <w:szCs w:val="24"/>
        </w:rPr>
        <w:t>atunci când încăperile de</w:t>
      </w:r>
      <w:r>
        <w:rPr>
          <w:sz w:val="24"/>
          <w:szCs w:val="24"/>
        </w:rPr>
        <w:t xml:space="preserve"> tip open-space</w:t>
      </w:r>
      <w:r>
        <w:rPr>
          <w:bCs/>
          <w:sz w:val="24"/>
          <w:szCs w:val="24"/>
        </w:rPr>
        <w:t xml:space="preserve"> sunt delimitate de coridoare de evacuare prevăzute cu pereți rezistenți la foc spre încăperi tampon  </w:t>
      </w:r>
      <w:r>
        <w:rPr>
          <w:sz w:val="24"/>
          <w:szCs w:val="24"/>
        </w:rPr>
        <w:t xml:space="preserve">ventilate în suprapresiune </w:t>
      </w:r>
      <w:r>
        <w:rPr>
          <w:bCs/>
          <w:sz w:val="24"/>
          <w:szCs w:val="24"/>
        </w:rPr>
        <w:t>la scările de evacuare</w:t>
      </w:r>
      <w:r>
        <w:rPr>
          <w:b/>
          <w:sz w:val="24"/>
          <w:szCs w:val="24"/>
        </w:rPr>
        <w:t xml:space="preserve">. </w:t>
      </w:r>
    </w:p>
    <w:p w14:paraId="40D8400A" w14:textId="77777777" w:rsidR="001C08A5" w:rsidRDefault="00000000">
      <w:pPr>
        <w:numPr>
          <w:ilvl w:val="0"/>
          <w:numId w:val="83"/>
        </w:numPr>
        <w:ind w:firstLine="720"/>
        <w:jc w:val="both"/>
        <w:rPr>
          <w:b/>
          <w:sz w:val="24"/>
          <w:szCs w:val="24"/>
        </w:rPr>
      </w:pPr>
      <w:r>
        <w:rPr>
          <w:bCs/>
          <w:sz w:val="24"/>
          <w:szCs w:val="24"/>
        </w:rPr>
        <w:t>Î</w:t>
      </w:r>
      <w:r>
        <w:rPr>
          <w:sz w:val="24"/>
          <w:szCs w:val="24"/>
        </w:rPr>
        <w:t xml:space="preserve">n incaperile și spațiile (de lucru - pentru funcțiunea administrativă) deschise tip open-space, se admit și finisaje clasa de reactie la foc minimum </w:t>
      </w:r>
      <w:r>
        <w:rPr>
          <w:b/>
          <w:sz w:val="24"/>
          <w:szCs w:val="24"/>
        </w:rPr>
        <w:t>B-s1d0</w:t>
      </w:r>
      <w:r>
        <w:rPr>
          <w:sz w:val="24"/>
          <w:szCs w:val="24"/>
        </w:rPr>
        <w:t xml:space="preserve"> din folii cu grosimea de maxim </w:t>
      </w:r>
      <w:r>
        <w:rPr>
          <w:b/>
          <w:bCs/>
          <w:sz w:val="24"/>
          <w:szCs w:val="24"/>
        </w:rPr>
        <w:t>0,5 cm</w:t>
      </w:r>
      <w:r>
        <w:rPr>
          <w:sz w:val="24"/>
          <w:szCs w:val="24"/>
        </w:rPr>
        <w:t xml:space="preserve"> care se lipesc pe suport </w:t>
      </w:r>
      <w:r>
        <w:rPr>
          <w:b/>
          <w:sz w:val="24"/>
          <w:szCs w:val="24"/>
        </w:rPr>
        <w:t>A1</w:t>
      </w:r>
      <w:r>
        <w:rPr>
          <w:sz w:val="24"/>
          <w:szCs w:val="24"/>
        </w:rPr>
        <w:t xml:space="preserve"> sau </w:t>
      </w:r>
      <w:r>
        <w:rPr>
          <w:b/>
          <w:sz w:val="24"/>
          <w:szCs w:val="24"/>
        </w:rPr>
        <w:t xml:space="preserve">A2-s1d0 și </w:t>
      </w:r>
      <w:r>
        <w:rPr>
          <w:sz w:val="24"/>
          <w:szCs w:val="24"/>
        </w:rPr>
        <w:t xml:space="preserve">mochete minimum </w:t>
      </w:r>
      <w:r>
        <w:rPr>
          <w:b/>
          <w:sz w:val="24"/>
          <w:szCs w:val="24"/>
        </w:rPr>
        <w:t>B</w:t>
      </w:r>
      <w:r>
        <w:rPr>
          <w:b/>
          <w:sz w:val="24"/>
          <w:szCs w:val="24"/>
          <w:vertAlign w:val="subscript"/>
        </w:rPr>
        <w:t>FL</w:t>
      </w:r>
      <w:r>
        <w:rPr>
          <w:b/>
          <w:sz w:val="24"/>
          <w:szCs w:val="24"/>
        </w:rPr>
        <w:t>-s1,</w:t>
      </w:r>
      <w:r>
        <w:rPr>
          <w:sz w:val="24"/>
          <w:szCs w:val="24"/>
        </w:rPr>
        <w:t xml:space="preserve"> cu grosimea de maximum </w:t>
      </w:r>
      <w:r>
        <w:rPr>
          <w:b/>
          <w:bCs/>
          <w:sz w:val="24"/>
          <w:szCs w:val="24"/>
        </w:rPr>
        <w:t>2 cm</w:t>
      </w:r>
      <w:r>
        <w:rPr>
          <w:sz w:val="24"/>
          <w:szCs w:val="24"/>
        </w:rPr>
        <w:t xml:space="preserve">, montate direct sau pe un strat fonoizolator la zgomot de impact/ strat vibroamortizant </w:t>
      </w:r>
      <w:r>
        <w:rPr>
          <w:b/>
          <w:sz w:val="24"/>
          <w:szCs w:val="24"/>
        </w:rPr>
        <w:t>A1</w:t>
      </w:r>
      <w:r>
        <w:rPr>
          <w:sz w:val="24"/>
          <w:szCs w:val="24"/>
        </w:rPr>
        <w:t xml:space="preserve"> sau </w:t>
      </w:r>
      <w:r>
        <w:rPr>
          <w:b/>
          <w:sz w:val="24"/>
          <w:szCs w:val="24"/>
        </w:rPr>
        <w:t>A2-s1d0</w:t>
      </w:r>
      <w:r>
        <w:rPr>
          <w:sz w:val="24"/>
          <w:szCs w:val="24"/>
        </w:rPr>
        <w:t xml:space="preserve">, care se lipesc pe suport </w:t>
      </w:r>
      <w:r>
        <w:rPr>
          <w:b/>
          <w:sz w:val="24"/>
          <w:szCs w:val="24"/>
        </w:rPr>
        <w:t>A1</w:t>
      </w:r>
      <w:r>
        <w:rPr>
          <w:sz w:val="24"/>
          <w:szCs w:val="24"/>
        </w:rPr>
        <w:t xml:space="preserve"> sau </w:t>
      </w:r>
      <w:r>
        <w:rPr>
          <w:b/>
          <w:sz w:val="24"/>
          <w:szCs w:val="24"/>
        </w:rPr>
        <w:t xml:space="preserve">A2-s1d0 </w:t>
      </w:r>
      <w:r>
        <w:rPr>
          <w:bCs/>
          <w:sz w:val="24"/>
          <w:szCs w:val="24"/>
        </w:rPr>
        <w:t xml:space="preserve">atunci cand </w:t>
      </w:r>
      <w:r>
        <w:rPr>
          <w:sz w:val="24"/>
          <w:szCs w:val="24"/>
        </w:rPr>
        <w:t>incaperile (de lucru - pentru funcțiunea administrativă) deschise tip open-space</w:t>
      </w:r>
      <w:r>
        <w:rPr>
          <w:bCs/>
          <w:sz w:val="24"/>
          <w:szCs w:val="24"/>
        </w:rPr>
        <w:t xml:space="preserve"> sunt cu acces direct spre încăperi tampon protejate </w:t>
      </w:r>
      <w:r>
        <w:rPr>
          <w:sz w:val="24"/>
          <w:szCs w:val="24"/>
        </w:rPr>
        <w:t>ventilate în suprapresiune</w:t>
      </w:r>
      <w:r>
        <w:rPr>
          <w:bCs/>
          <w:sz w:val="24"/>
          <w:szCs w:val="24"/>
        </w:rPr>
        <w:t xml:space="preserve"> la scările de evacuare</w:t>
      </w:r>
      <w:r>
        <w:rPr>
          <w:b/>
          <w:sz w:val="24"/>
          <w:szCs w:val="24"/>
        </w:rPr>
        <w:t xml:space="preserve">. </w:t>
      </w:r>
    </w:p>
    <w:p w14:paraId="431DA828" w14:textId="77777777" w:rsidR="001C08A5" w:rsidRDefault="00000000">
      <w:pPr>
        <w:pStyle w:val="BodyText"/>
        <w:rPr>
          <w:i w:val="0"/>
          <w:iCs/>
        </w:rPr>
      </w:pPr>
      <w:r>
        <w:rPr>
          <w:i w:val="0"/>
          <w:iCs/>
        </w:rPr>
        <w:tab/>
        <w:t xml:space="preserve">(4) </w:t>
      </w:r>
      <w:r>
        <w:rPr>
          <w:b w:val="0"/>
          <w:i w:val="0"/>
          <w:iCs/>
        </w:rPr>
        <w:t xml:space="preserve">Pardoselile supraînălţate utilizate în încăperi se realizeaza conform </w:t>
      </w:r>
      <w:r>
        <w:rPr>
          <w:i w:val="0"/>
          <w:iCs/>
        </w:rPr>
        <w:t xml:space="preserve">Art. 2.4.5.4.. </w:t>
      </w:r>
    </w:p>
    <w:p w14:paraId="63C8EF47" w14:textId="77777777" w:rsidR="001C08A5" w:rsidRDefault="00000000">
      <w:pPr>
        <w:pStyle w:val="BodyText"/>
        <w:rPr>
          <w:b w:val="0"/>
          <w:i w:val="0"/>
          <w:iCs/>
        </w:rPr>
      </w:pPr>
      <w:r>
        <w:rPr>
          <w:i w:val="0"/>
          <w:iCs/>
        </w:rPr>
        <w:tab/>
        <w:t>(5)</w:t>
      </w:r>
      <w:r>
        <w:rPr>
          <w:b w:val="0"/>
          <w:i w:val="0"/>
          <w:iCs/>
        </w:rPr>
        <w:t xml:space="preserve"> Tratamentele şi izolaţiile termice și fonice interioare utilizate în încăperi trebuie să fie clasa de reacție la foc </w:t>
      </w:r>
      <w:r>
        <w:rPr>
          <w:i w:val="0"/>
          <w:iCs/>
        </w:rPr>
        <w:t xml:space="preserve">A1 </w:t>
      </w:r>
      <w:r>
        <w:rPr>
          <w:b w:val="0"/>
          <w:i w:val="0"/>
          <w:iCs/>
        </w:rPr>
        <w:t>sau</w:t>
      </w:r>
      <w:r>
        <w:rPr>
          <w:i w:val="0"/>
          <w:iCs/>
        </w:rPr>
        <w:t xml:space="preserve"> A2-s1d0</w:t>
      </w:r>
      <w:r>
        <w:rPr>
          <w:b w:val="0"/>
          <w:i w:val="0"/>
          <w:iCs/>
        </w:rPr>
        <w:t xml:space="preserve">, respectiv </w:t>
      </w:r>
      <w:r>
        <w:rPr>
          <w:i w:val="0"/>
          <w:iCs/>
        </w:rPr>
        <w:t>A1</w:t>
      </w:r>
      <w:r>
        <w:rPr>
          <w:i w:val="0"/>
          <w:iCs/>
          <w:vertAlign w:val="subscript"/>
        </w:rPr>
        <w:t>FL</w:t>
      </w:r>
      <w:r>
        <w:rPr>
          <w:b w:val="0"/>
          <w:i w:val="0"/>
          <w:iCs/>
        </w:rPr>
        <w:t>sau</w:t>
      </w:r>
      <w:r>
        <w:rPr>
          <w:i w:val="0"/>
          <w:iCs/>
        </w:rPr>
        <w:t xml:space="preserve"> A2</w:t>
      </w:r>
      <w:r>
        <w:rPr>
          <w:i w:val="0"/>
          <w:iCs/>
          <w:vertAlign w:val="subscript"/>
        </w:rPr>
        <w:t>FL</w:t>
      </w:r>
      <w:r>
        <w:rPr>
          <w:i w:val="0"/>
          <w:iCs/>
        </w:rPr>
        <w:t>-s1</w:t>
      </w:r>
      <w:r>
        <w:rPr>
          <w:b w:val="0"/>
          <w:i w:val="0"/>
          <w:iCs/>
        </w:rPr>
        <w:t>.</w:t>
      </w:r>
    </w:p>
    <w:p w14:paraId="2E907473" w14:textId="77777777" w:rsidR="001C08A5" w:rsidRDefault="001C08A5">
      <w:pPr>
        <w:jc w:val="both"/>
        <w:rPr>
          <w:sz w:val="24"/>
          <w:szCs w:val="24"/>
        </w:rPr>
      </w:pPr>
    </w:p>
    <w:p w14:paraId="76D02AB4" w14:textId="77777777" w:rsidR="001C08A5" w:rsidRDefault="00000000">
      <w:pPr>
        <w:ind w:firstLine="720"/>
        <w:jc w:val="both"/>
        <w:rPr>
          <w:sz w:val="24"/>
          <w:szCs w:val="24"/>
        </w:rPr>
      </w:pPr>
      <w:r>
        <w:rPr>
          <w:b/>
          <w:sz w:val="24"/>
          <w:szCs w:val="24"/>
        </w:rPr>
        <w:t>Art. 4.1.4.5. (1)</w:t>
      </w:r>
      <w:r>
        <w:rPr>
          <w:sz w:val="24"/>
          <w:szCs w:val="24"/>
        </w:rPr>
        <w:t xml:space="preserve"> Ghenele verticale pentru instalaţii se separă de restul clădirii înalte prin pereţi </w:t>
      </w:r>
      <w:r>
        <w:rPr>
          <w:rFonts w:eastAsia="TimesNewRomanPSMT-Identity-H"/>
          <w:iCs/>
          <w:sz w:val="24"/>
          <w:szCs w:val="24"/>
        </w:rPr>
        <w:t xml:space="preserve">clasa de reacție la foc </w:t>
      </w:r>
      <w:r>
        <w:rPr>
          <w:b/>
          <w:bCs/>
          <w:iCs/>
          <w:sz w:val="24"/>
          <w:szCs w:val="24"/>
          <w:lang w:val="en-GB"/>
        </w:rPr>
        <w:t>A1, A2s1d0</w:t>
      </w:r>
      <w:r>
        <w:rPr>
          <w:rFonts w:eastAsia="Calibri"/>
          <w:iCs/>
          <w:sz w:val="24"/>
          <w:szCs w:val="24"/>
          <w:shd w:val="clear" w:color="auto" w:fill="FFFFFF"/>
        </w:rPr>
        <w:t xml:space="preserve"> cu rezistența la foc minimum </w:t>
      </w:r>
      <w:r>
        <w:rPr>
          <w:b/>
          <w:sz w:val="24"/>
          <w:szCs w:val="24"/>
        </w:rPr>
        <w:t>EI/REI 45</w:t>
      </w:r>
      <w:r>
        <w:rPr>
          <w:sz w:val="24"/>
          <w:szCs w:val="24"/>
        </w:rPr>
        <w:t xml:space="preserve">. </w:t>
      </w:r>
      <w:r>
        <w:rPr>
          <w:rFonts w:eastAsia="Calibri"/>
          <w:iCs/>
          <w:sz w:val="24"/>
          <w:szCs w:val="24"/>
          <w:shd w:val="clear" w:color="auto" w:fill="FFFFFF"/>
        </w:rPr>
        <w:t xml:space="preserve">Trapele și ușile de vizitare practicate în pereții ghenelor verticale trebuie să fie realizate din materiale </w:t>
      </w:r>
      <w:r>
        <w:rPr>
          <w:b/>
          <w:bCs/>
          <w:iCs/>
          <w:sz w:val="24"/>
          <w:szCs w:val="24"/>
          <w:lang w:val="en-GB"/>
        </w:rPr>
        <w:t>A1, A2s1d0</w:t>
      </w:r>
      <w:r>
        <w:rPr>
          <w:rFonts w:eastAsia="Calibri"/>
          <w:iCs/>
          <w:sz w:val="24"/>
          <w:szCs w:val="24"/>
          <w:shd w:val="clear" w:color="auto" w:fill="FFFFFF"/>
        </w:rPr>
        <w:t xml:space="preserve"> cu rezistența la foc minimum </w:t>
      </w:r>
      <w:r>
        <w:rPr>
          <w:rFonts w:eastAsia="Calibri"/>
          <w:b/>
          <w:bCs/>
          <w:iCs/>
          <w:sz w:val="24"/>
          <w:szCs w:val="24"/>
          <w:shd w:val="clear" w:color="auto" w:fill="FFFFFF"/>
        </w:rPr>
        <w:t>EI 30</w:t>
      </w:r>
      <w:r>
        <w:rPr>
          <w:rFonts w:eastAsia="Calibri"/>
          <w:iCs/>
          <w:sz w:val="24"/>
          <w:szCs w:val="24"/>
          <w:shd w:val="clear" w:color="auto" w:fill="FFFFFF"/>
        </w:rPr>
        <w:t xml:space="preserve"> și nu </w:t>
      </w:r>
      <w:r>
        <w:rPr>
          <w:sz w:val="24"/>
          <w:szCs w:val="24"/>
        </w:rPr>
        <w:t>vor fi amplasate în case de scări de evacuare. În acest caz ghenele verticale pentru instalaţii se etanşază în jurul și în interiorul (acolo unde este justificat tehnic) conductelor şi în jurul cablurilor la trecerea prin planşee, cu materiale incombustibile având aceeaşi rezistenţă la foc cu cea a elementului străpuns.</w:t>
      </w:r>
    </w:p>
    <w:p w14:paraId="2B032DCF" w14:textId="77777777" w:rsidR="001C08A5" w:rsidRDefault="00000000">
      <w:pPr>
        <w:numPr>
          <w:ilvl w:val="0"/>
          <w:numId w:val="84"/>
        </w:numPr>
        <w:ind w:firstLine="720"/>
        <w:jc w:val="both"/>
        <w:rPr>
          <w:sz w:val="24"/>
          <w:szCs w:val="24"/>
        </w:rPr>
      </w:pPr>
      <w:r>
        <w:rPr>
          <w:sz w:val="24"/>
          <w:szCs w:val="24"/>
        </w:rPr>
        <w:t xml:space="preserve">Atunci când etanşarea conductelor şi a cablurilor din ghenele verticale pentru instalaţii în dreptul planşeelor nu este posibilă sau justificată tehnic, pereţii ghenelor vor fi </w:t>
      </w:r>
      <w:r>
        <w:rPr>
          <w:rFonts w:eastAsia="TimesNewRomanPSMT-Identity-H"/>
          <w:iCs/>
          <w:sz w:val="24"/>
          <w:szCs w:val="24"/>
        </w:rPr>
        <w:t xml:space="preserve">clasa de reacție la foc </w:t>
      </w:r>
      <w:r>
        <w:rPr>
          <w:b/>
          <w:bCs/>
          <w:iCs/>
          <w:sz w:val="24"/>
          <w:szCs w:val="24"/>
          <w:lang w:val="en-GB"/>
        </w:rPr>
        <w:t>A1, A2s1d0</w:t>
      </w:r>
      <w:r>
        <w:rPr>
          <w:rFonts w:eastAsia="Calibri"/>
          <w:iCs/>
          <w:sz w:val="24"/>
          <w:szCs w:val="24"/>
          <w:shd w:val="clear" w:color="auto" w:fill="FFFFFF"/>
        </w:rPr>
        <w:t xml:space="preserve"> cu rezistența la foc minimum </w:t>
      </w:r>
      <w:r>
        <w:rPr>
          <w:b/>
          <w:sz w:val="24"/>
          <w:szCs w:val="24"/>
        </w:rPr>
        <w:t>EI/REI 90</w:t>
      </w:r>
      <w:r>
        <w:rPr>
          <w:sz w:val="24"/>
          <w:szCs w:val="24"/>
        </w:rPr>
        <w:t xml:space="preserve"> iar ușile sau trapele de vizitare ale acestora vor fi </w:t>
      </w:r>
      <w:r>
        <w:rPr>
          <w:rFonts w:eastAsia="Calibri"/>
          <w:iCs/>
          <w:sz w:val="24"/>
          <w:szCs w:val="24"/>
          <w:shd w:val="clear" w:color="auto" w:fill="FFFFFF"/>
        </w:rPr>
        <w:t xml:space="preserve"> realizate din materiale </w:t>
      </w:r>
      <w:r>
        <w:rPr>
          <w:b/>
          <w:bCs/>
          <w:iCs/>
          <w:sz w:val="24"/>
          <w:szCs w:val="24"/>
          <w:lang w:val="en-GB"/>
        </w:rPr>
        <w:t>A1, A2s1d0</w:t>
      </w:r>
      <w:r>
        <w:rPr>
          <w:rFonts w:eastAsia="Calibri"/>
          <w:iCs/>
          <w:sz w:val="24"/>
          <w:szCs w:val="24"/>
          <w:shd w:val="clear" w:color="auto" w:fill="FFFFFF"/>
        </w:rPr>
        <w:t xml:space="preserve"> cu rezistența la foc minimum </w:t>
      </w:r>
      <w:r>
        <w:rPr>
          <w:rFonts w:eastAsia="Calibri"/>
          <w:b/>
          <w:bCs/>
          <w:iCs/>
          <w:sz w:val="24"/>
          <w:szCs w:val="24"/>
          <w:shd w:val="clear" w:color="auto" w:fill="FFFFFF"/>
        </w:rPr>
        <w:t>EI 60</w:t>
      </w:r>
      <w:r>
        <w:rPr>
          <w:rFonts w:eastAsia="Calibri"/>
          <w:iCs/>
          <w:sz w:val="24"/>
          <w:szCs w:val="24"/>
          <w:shd w:val="clear" w:color="auto" w:fill="FFFFFF"/>
        </w:rPr>
        <w:t xml:space="preserve"> și nu </w:t>
      </w:r>
      <w:r>
        <w:rPr>
          <w:sz w:val="24"/>
          <w:szCs w:val="24"/>
        </w:rPr>
        <w:t>vor fi amplasate în case de scări de evacuare.</w:t>
      </w:r>
    </w:p>
    <w:p w14:paraId="34011FC3" w14:textId="77777777" w:rsidR="001C08A5" w:rsidRDefault="001C08A5">
      <w:pPr>
        <w:ind w:firstLine="720"/>
        <w:jc w:val="both"/>
        <w:rPr>
          <w:sz w:val="24"/>
          <w:szCs w:val="24"/>
        </w:rPr>
      </w:pPr>
    </w:p>
    <w:p w14:paraId="2A2C5335" w14:textId="77777777" w:rsidR="001C08A5" w:rsidRDefault="00000000">
      <w:pPr>
        <w:numPr>
          <w:ilvl w:val="255"/>
          <w:numId w:val="0"/>
        </w:numPr>
        <w:jc w:val="both"/>
        <w:rPr>
          <w:b/>
          <w:sz w:val="24"/>
          <w:szCs w:val="24"/>
        </w:rPr>
      </w:pPr>
      <w:r>
        <w:rPr>
          <w:b/>
          <w:sz w:val="24"/>
          <w:szCs w:val="24"/>
        </w:rPr>
        <w:lastRenderedPageBreak/>
        <w:tab/>
        <w:t xml:space="preserve">Art. 4.1.4.6. </w:t>
      </w:r>
      <w:r>
        <w:rPr>
          <w:rFonts w:eastAsia="Calibri"/>
          <w:iCs/>
          <w:sz w:val="24"/>
          <w:szCs w:val="24"/>
          <w:shd w:val="clear" w:color="auto" w:fill="FFFFFF"/>
        </w:rPr>
        <w:t xml:space="preserve">Ghenele verticale se separă la trecerea prin planșee care delimitează compartimente de incendiu cu elemente și materiale </w:t>
      </w:r>
      <w:r>
        <w:rPr>
          <w:rFonts w:eastAsia="TimesNewRomanPSMT-Identity-H"/>
          <w:iCs/>
          <w:sz w:val="24"/>
          <w:szCs w:val="24"/>
        </w:rPr>
        <w:t xml:space="preserve">clasa de reacție la foc </w:t>
      </w:r>
      <w:r>
        <w:rPr>
          <w:b/>
          <w:bCs/>
          <w:iCs/>
          <w:sz w:val="24"/>
          <w:szCs w:val="24"/>
          <w:lang w:val="en-GB"/>
        </w:rPr>
        <w:t>A1, A2s1d0</w:t>
      </w:r>
      <w:r>
        <w:rPr>
          <w:rFonts w:eastAsia="Calibri"/>
          <w:iCs/>
          <w:sz w:val="24"/>
          <w:szCs w:val="24"/>
          <w:shd w:val="clear" w:color="auto" w:fill="FFFFFF"/>
        </w:rPr>
        <w:t xml:space="preserve"> care vor asigura aceeași rezistență la foc cu a planșeului străpuns, iar atunci când separarea nu este posibilă sau justificată tehnic, pereții ghenelor vor fi din materiale </w:t>
      </w:r>
      <w:r>
        <w:rPr>
          <w:b/>
          <w:bCs/>
          <w:iCs/>
          <w:sz w:val="24"/>
          <w:szCs w:val="24"/>
          <w:lang w:val="en-GB"/>
        </w:rPr>
        <w:t>A1, A2s1d0</w:t>
      </w:r>
      <w:r>
        <w:rPr>
          <w:b/>
          <w:bCs/>
          <w:iCs/>
          <w:sz w:val="24"/>
          <w:szCs w:val="24"/>
        </w:rPr>
        <w:t xml:space="preserve"> </w:t>
      </w:r>
      <w:r>
        <w:rPr>
          <w:rFonts w:eastAsia="Calibri"/>
          <w:iCs/>
          <w:sz w:val="24"/>
          <w:szCs w:val="24"/>
          <w:shd w:val="clear" w:color="auto" w:fill="FFFFFF"/>
        </w:rPr>
        <w:t xml:space="preserve">minimum </w:t>
      </w:r>
      <w:r>
        <w:rPr>
          <w:rFonts w:eastAsia="Calibri"/>
          <w:b/>
          <w:bCs/>
          <w:iCs/>
          <w:sz w:val="24"/>
          <w:szCs w:val="24"/>
          <w:shd w:val="clear" w:color="auto" w:fill="FFFFFF"/>
        </w:rPr>
        <w:t>EI/REI180</w:t>
      </w:r>
      <w:r>
        <w:rPr>
          <w:rFonts w:eastAsia="Calibri"/>
          <w:iCs/>
          <w:sz w:val="24"/>
          <w:szCs w:val="24"/>
          <w:shd w:val="clear" w:color="auto" w:fill="FFFFFF"/>
        </w:rPr>
        <w:t xml:space="preserve"> și ușile (trapele) lor de vizitare vor fi din materiale </w:t>
      </w:r>
      <w:r>
        <w:rPr>
          <w:b/>
          <w:bCs/>
          <w:iCs/>
          <w:sz w:val="24"/>
          <w:szCs w:val="24"/>
          <w:lang w:val="en-GB"/>
        </w:rPr>
        <w:t>A1, A2s1d0</w:t>
      </w:r>
      <w:r>
        <w:rPr>
          <w:b/>
          <w:bCs/>
          <w:iCs/>
          <w:sz w:val="24"/>
          <w:szCs w:val="24"/>
        </w:rPr>
        <w:t xml:space="preserve"> </w:t>
      </w:r>
      <w:r>
        <w:rPr>
          <w:rFonts w:eastAsia="Calibri"/>
          <w:iCs/>
          <w:sz w:val="24"/>
          <w:szCs w:val="24"/>
          <w:shd w:val="clear" w:color="auto" w:fill="FFFFFF"/>
        </w:rPr>
        <w:t xml:space="preserve">minimum </w:t>
      </w:r>
      <w:r>
        <w:rPr>
          <w:rFonts w:eastAsia="Calibri"/>
          <w:b/>
          <w:bCs/>
          <w:iCs/>
          <w:sz w:val="24"/>
          <w:szCs w:val="24"/>
          <w:shd w:val="clear" w:color="auto" w:fill="FFFFFF"/>
        </w:rPr>
        <w:t>EI90.</w:t>
      </w:r>
    </w:p>
    <w:p w14:paraId="0180EA28" w14:textId="77777777" w:rsidR="001C08A5" w:rsidRDefault="001C08A5">
      <w:pPr>
        <w:ind w:firstLine="720"/>
        <w:jc w:val="both"/>
        <w:rPr>
          <w:b/>
          <w:sz w:val="24"/>
          <w:szCs w:val="24"/>
        </w:rPr>
      </w:pPr>
    </w:p>
    <w:p w14:paraId="49A3A219" w14:textId="77777777" w:rsidR="001C08A5" w:rsidRDefault="00000000">
      <w:pPr>
        <w:ind w:firstLine="720"/>
        <w:jc w:val="both"/>
        <w:rPr>
          <w:sz w:val="24"/>
          <w:szCs w:val="24"/>
        </w:rPr>
      </w:pPr>
      <w:r>
        <w:rPr>
          <w:b/>
          <w:sz w:val="24"/>
          <w:szCs w:val="24"/>
        </w:rPr>
        <w:t xml:space="preserve">Art. 4.1.4.7. </w:t>
      </w:r>
      <w:r>
        <w:rPr>
          <w:sz w:val="24"/>
          <w:szCs w:val="24"/>
        </w:rPr>
        <w:t xml:space="preserve">În clădirile de locuit colective înalte, pereţii şi planşeele de separare a apartamentelor de locuit faţă de căile comune de circulaţie funcţională și evacuare a utilizatorilor vor respecta prevederile din </w:t>
      </w:r>
      <w:r>
        <w:rPr>
          <w:b/>
          <w:sz w:val="24"/>
          <w:szCs w:val="24"/>
        </w:rPr>
        <w:t>Art. 4.1.5.2.</w:t>
      </w:r>
      <w:r>
        <w:rPr>
          <w:sz w:val="24"/>
          <w:szCs w:val="24"/>
        </w:rPr>
        <w:t xml:space="preserve"> şi </w:t>
      </w:r>
      <w:r>
        <w:rPr>
          <w:b/>
          <w:sz w:val="24"/>
          <w:szCs w:val="24"/>
        </w:rPr>
        <w:t>Art. 4.1.5.3.</w:t>
      </w:r>
      <w:r>
        <w:rPr>
          <w:sz w:val="24"/>
          <w:szCs w:val="24"/>
        </w:rPr>
        <w:t xml:space="preserve"> şi din </w:t>
      </w:r>
      <w:r>
        <w:rPr>
          <w:b/>
          <w:bCs/>
          <w:i/>
          <w:iCs/>
          <w:sz w:val="24"/>
          <w:szCs w:val="24"/>
        </w:rPr>
        <w:fldChar w:fldCharType="begin"/>
      </w:r>
      <w:r>
        <w:rPr>
          <w:b/>
          <w:bCs/>
          <w:i/>
          <w:iCs/>
          <w:sz w:val="24"/>
          <w:szCs w:val="24"/>
        </w:rPr>
        <w:instrText xml:space="preserve"> REF _Ref11549 \h </w:instrText>
      </w:r>
      <w:r>
        <w:rPr>
          <w:b/>
          <w:bCs/>
          <w:i/>
          <w:iCs/>
          <w:sz w:val="24"/>
          <w:szCs w:val="24"/>
        </w:rPr>
      </w:r>
      <w:r>
        <w:rPr>
          <w:b/>
          <w:bCs/>
          <w:i/>
          <w:iCs/>
          <w:sz w:val="24"/>
          <w:szCs w:val="24"/>
        </w:rPr>
        <w:fldChar w:fldCharType="separate"/>
      </w:r>
      <w:r>
        <w:t>Tabelul 91</w:t>
      </w:r>
      <w:r>
        <w:rPr>
          <w:b/>
          <w:bCs/>
          <w:i/>
          <w:iCs/>
          <w:sz w:val="24"/>
          <w:szCs w:val="24"/>
        </w:rPr>
        <w:fldChar w:fldCharType="end"/>
      </w:r>
      <w:r>
        <w:rPr>
          <w:sz w:val="24"/>
          <w:szCs w:val="24"/>
        </w:rPr>
        <w:t xml:space="preserve"> și </w:t>
      </w:r>
      <w:r>
        <w:rPr>
          <w:b/>
          <w:bCs/>
          <w:i/>
          <w:iCs/>
          <w:sz w:val="24"/>
          <w:szCs w:val="24"/>
        </w:rPr>
        <w:fldChar w:fldCharType="begin"/>
      </w:r>
      <w:r>
        <w:rPr>
          <w:b/>
          <w:bCs/>
          <w:i/>
          <w:iCs/>
          <w:sz w:val="24"/>
          <w:szCs w:val="24"/>
        </w:rPr>
        <w:instrText xml:space="preserve"> REF _Ref15001 \h </w:instrText>
      </w:r>
      <w:r>
        <w:rPr>
          <w:b/>
          <w:bCs/>
          <w:i/>
          <w:iCs/>
          <w:sz w:val="24"/>
          <w:szCs w:val="24"/>
        </w:rPr>
      </w:r>
      <w:r>
        <w:rPr>
          <w:b/>
          <w:bCs/>
          <w:i/>
          <w:iCs/>
          <w:sz w:val="24"/>
          <w:szCs w:val="24"/>
        </w:rPr>
        <w:fldChar w:fldCharType="separate"/>
      </w:r>
      <w:r>
        <w:t>Tabelul 92</w:t>
      </w:r>
      <w:r>
        <w:rPr>
          <w:b/>
          <w:bCs/>
          <w:i/>
          <w:iCs/>
          <w:sz w:val="24"/>
          <w:szCs w:val="24"/>
        </w:rPr>
        <w:fldChar w:fldCharType="end"/>
      </w:r>
      <w:r>
        <w:rPr>
          <w:sz w:val="24"/>
          <w:szCs w:val="24"/>
        </w:rPr>
        <w:t xml:space="preserve"> specifice din normativ.</w:t>
      </w:r>
    </w:p>
    <w:p w14:paraId="258E814F" w14:textId="77777777" w:rsidR="001C08A5" w:rsidRDefault="001C08A5">
      <w:pPr>
        <w:jc w:val="both"/>
        <w:rPr>
          <w:b/>
          <w:strike/>
          <w:sz w:val="24"/>
          <w:szCs w:val="24"/>
        </w:rPr>
      </w:pPr>
    </w:p>
    <w:p w14:paraId="67038C0A" w14:textId="77777777" w:rsidR="001C08A5" w:rsidRDefault="00000000">
      <w:pPr>
        <w:jc w:val="both"/>
        <w:rPr>
          <w:b/>
          <w:strike/>
          <w:sz w:val="24"/>
          <w:szCs w:val="24"/>
        </w:rPr>
      </w:pPr>
      <w:r>
        <w:rPr>
          <w:b/>
          <w:sz w:val="24"/>
          <w:szCs w:val="24"/>
        </w:rPr>
        <w:tab/>
        <w:t xml:space="preserve">Art. 4.1.4.8. (1) </w:t>
      </w:r>
      <w:r>
        <w:rPr>
          <w:sz w:val="24"/>
          <w:szCs w:val="24"/>
        </w:rPr>
        <w:t xml:space="preserve">Încăperile de depozitare cu densitatea sarcinii termice peste </w:t>
      </w:r>
      <w:r>
        <w:rPr>
          <w:b/>
          <w:sz w:val="24"/>
          <w:szCs w:val="24"/>
        </w:rPr>
        <w:t>420</w:t>
      </w:r>
      <w:r>
        <w:rPr>
          <w:sz w:val="24"/>
          <w:szCs w:val="24"/>
        </w:rPr>
        <w:t xml:space="preserve"> MJ/m² se separă de restul clădirii înalte cu pereţi rezistenţi la foc și planşee rezistente la foc</w:t>
      </w:r>
      <w:r>
        <w:rPr>
          <w:b/>
          <w:sz w:val="24"/>
          <w:szCs w:val="24"/>
        </w:rPr>
        <w:t xml:space="preserve">, </w:t>
      </w:r>
      <w:r>
        <w:rPr>
          <w:sz w:val="24"/>
          <w:szCs w:val="24"/>
        </w:rPr>
        <w:t>clasa de reacţie la foc</w:t>
      </w:r>
      <w:r>
        <w:rPr>
          <w:b/>
          <w:sz w:val="24"/>
          <w:szCs w:val="24"/>
        </w:rPr>
        <w:t xml:space="preserve"> A1 sau A2-s1d0, </w:t>
      </w:r>
      <w:r>
        <w:rPr>
          <w:sz w:val="24"/>
          <w:szCs w:val="24"/>
        </w:rPr>
        <w:t xml:space="preserve">respectiv goluri funcţionale conform precizărilor din </w:t>
      </w:r>
      <w:r>
        <w:rPr>
          <w:b/>
          <w:bCs/>
          <w:i/>
          <w:iCs/>
          <w:sz w:val="24"/>
          <w:szCs w:val="24"/>
        </w:rPr>
        <w:fldChar w:fldCharType="begin"/>
      </w:r>
      <w:r>
        <w:rPr>
          <w:b/>
          <w:bCs/>
          <w:i/>
          <w:iCs/>
          <w:sz w:val="24"/>
          <w:szCs w:val="24"/>
        </w:rPr>
        <w:instrText xml:space="preserve"> REF _Ref31631 \h </w:instrText>
      </w:r>
      <w:r>
        <w:rPr>
          <w:b/>
          <w:bCs/>
          <w:i/>
          <w:iCs/>
          <w:sz w:val="24"/>
          <w:szCs w:val="24"/>
        </w:rPr>
      </w:r>
      <w:r>
        <w:rPr>
          <w:b/>
          <w:bCs/>
          <w:i/>
          <w:iCs/>
          <w:sz w:val="24"/>
          <w:szCs w:val="24"/>
        </w:rPr>
        <w:fldChar w:fldCharType="separate"/>
      </w:r>
      <w:r>
        <w:t>Tabelul 90</w:t>
      </w:r>
      <w:r>
        <w:rPr>
          <w:b/>
          <w:bCs/>
          <w:i/>
          <w:iCs/>
          <w:sz w:val="24"/>
          <w:szCs w:val="24"/>
        </w:rPr>
        <w:fldChar w:fldCharType="end"/>
      </w:r>
      <w:r>
        <w:rPr>
          <w:sz w:val="24"/>
          <w:szCs w:val="24"/>
        </w:rPr>
        <w:t>. Cele cu risc mare sau foarte mare de incendiu se prevăd cu sisteme de evacuare a fumului şi gazelor fierbinţi prin tiraj natural-organizat sau prin ventilare mecanică, potrivit prevederilor normativului şi ale reglementărilor tehnice specifice.</w:t>
      </w:r>
    </w:p>
    <w:p w14:paraId="0E203B65" w14:textId="77777777" w:rsidR="001C08A5" w:rsidRDefault="001C08A5">
      <w:pPr>
        <w:jc w:val="both"/>
        <w:rPr>
          <w:b/>
          <w:sz w:val="24"/>
          <w:szCs w:val="24"/>
        </w:rPr>
      </w:pPr>
    </w:p>
    <w:p w14:paraId="05934A6B" w14:textId="77777777" w:rsidR="001C08A5" w:rsidRDefault="00000000">
      <w:pPr>
        <w:pStyle w:val="Captiontabel"/>
      </w:pPr>
      <w:bookmarkStart w:id="4254" w:name="_Ref31631"/>
      <w:bookmarkStart w:id="4255" w:name="_Toc162360140"/>
      <w:r>
        <w:t xml:space="preserve">Tabelul </w:t>
      </w:r>
      <w:r>
        <w:fldChar w:fldCharType="begin"/>
      </w:r>
      <w:r>
        <w:instrText xml:space="preserve"> SEQ Tabelul \* ARABIC </w:instrText>
      </w:r>
      <w:r>
        <w:fldChar w:fldCharType="separate"/>
      </w:r>
      <w:r>
        <w:t>90</w:t>
      </w:r>
      <w:r>
        <w:fldChar w:fldCharType="end"/>
      </w:r>
      <w:bookmarkStart w:id="4256" w:name="_Toc7287"/>
      <w:bookmarkStart w:id="4257" w:name="_Toc25398"/>
      <w:bookmarkStart w:id="4258" w:name="_Toc29372"/>
      <w:bookmarkStart w:id="4259" w:name="_Toc24787"/>
      <w:bookmarkStart w:id="4260" w:name="_Toc1333"/>
      <w:bookmarkStart w:id="4261" w:name="_Toc17781"/>
      <w:bookmarkStart w:id="4262" w:name="_Toc25312"/>
      <w:bookmarkStart w:id="4263" w:name="_Toc23409"/>
      <w:bookmarkStart w:id="4264" w:name="_Toc29899"/>
      <w:bookmarkStart w:id="4265" w:name="_Toc7297"/>
      <w:bookmarkStart w:id="4266" w:name="_Toc2206"/>
      <w:bookmarkStart w:id="4267" w:name="_Toc16299"/>
      <w:bookmarkStart w:id="4268" w:name="_Toc17271"/>
      <w:bookmarkStart w:id="4269" w:name="_Toc190"/>
      <w:bookmarkStart w:id="4270" w:name="_Toc11041"/>
      <w:bookmarkStart w:id="4271" w:name="_Toc1075"/>
      <w:bookmarkStart w:id="4272" w:name="_Toc30153"/>
      <w:bookmarkStart w:id="4273" w:name="_Toc15283"/>
      <w:bookmarkStart w:id="4274" w:name="_Toc18893"/>
      <w:bookmarkEnd w:id="4254"/>
      <w:r>
        <w:t xml:space="preserve">: Condiţii minime de separare a încăperilor de depozitare cu densitatea sarcinii termice ≥ </w:t>
      </w:r>
      <w:r>
        <w:rPr>
          <w:lang w:eastAsia="ro-RO"/>
        </w:rPr>
        <w:t>420 MJ/m</w:t>
      </w:r>
      <w:r>
        <w:rPr>
          <w:vertAlign w:val="superscript"/>
          <w:lang w:eastAsia="ro-RO"/>
        </w:rPr>
        <w:t>2</w:t>
      </w:r>
      <w:r>
        <w:rPr>
          <w:lang w:eastAsia="ro-RO"/>
        </w:rPr>
        <w:t xml:space="preserve"> </w:t>
      </w:r>
      <w:r>
        <w:t>din clădirile civile supraterane înalte</w:t>
      </w:r>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p>
    <w:tbl>
      <w:tblPr>
        <w:tblpPr w:leftFromText="180" w:rightFromText="180" w:vertAnchor="text" w:horzAnchor="page" w:tblpX="1685" w:tblpY="443"/>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5"/>
        <w:gridCol w:w="2058"/>
        <w:gridCol w:w="2125"/>
        <w:gridCol w:w="2125"/>
        <w:gridCol w:w="2126"/>
      </w:tblGrid>
      <w:tr w:rsidR="001C08A5" w14:paraId="6D661BB5" w14:textId="77777777">
        <w:trPr>
          <w:tblHeader/>
        </w:trPr>
        <w:tc>
          <w:tcPr>
            <w:tcW w:w="1195" w:type="dxa"/>
            <w:shd w:val="clear" w:color="auto" w:fill="BFBFBF"/>
          </w:tcPr>
          <w:p w14:paraId="7E9A8B3D" w14:textId="77777777" w:rsidR="001C08A5" w:rsidRDefault="001C08A5">
            <w:pPr>
              <w:jc w:val="both"/>
              <w:rPr>
                <w:b/>
                <w:i/>
                <w:iCs/>
                <w:strike/>
                <w:sz w:val="22"/>
                <w:szCs w:val="22"/>
              </w:rPr>
            </w:pPr>
          </w:p>
        </w:tc>
        <w:tc>
          <w:tcPr>
            <w:tcW w:w="8438" w:type="dxa"/>
            <w:gridSpan w:val="4"/>
            <w:shd w:val="clear" w:color="auto" w:fill="BFBFBF"/>
          </w:tcPr>
          <w:p w14:paraId="09DC8EFC" w14:textId="77777777" w:rsidR="001C08A5" w:rsidRDefault="00000000">
            <w:pPr>
              <w:rPr>
                <w:b/>
                <w:i/>
                <w:iCs/>
                <w:sz w:val="22"/>
                <w:szCs w:val="22"/>
                <w:lang w:eastAsia="ro-RO"/>
              </w:rPr>
            </w:pPr>
            <w:r>
              <w:rPr>
                <w:b/>
                <w:i/>
                <w:iCs/>
                <w:sz w:val="22"/>
                <w:szCs w:val="22"/>
              </w:rPr>
              <w:t xml:space="preserve">ÎNCĂPERI DE DEPOZITARE </w:t>
            </w:r>
          </w:p>
        </w:tc>
      </w:tr>
      <w:tr w:rsidR="001C08A5" w14:paraId="3DBD5434" w14:textId="77777777">
        <w:trPr>
          <w:tblHeader/>
        </w:trPr>
        <w:tc>
          <w:tcPr>
            <w:tcW w:w="1195" w:type="dxa"/>
            <w:shd w:val="clear" w:color="auto" w:fill="BFBFBF"/>
          </w:tcPr>
          <w:p w14:paraId="0141D782" w14:textId="77777777" w:rsidR="001C08A5" w:rsidRDefault="001C08A5">
            <w:pPr>
              <w:jc w:val="both"/>
              <w:rPr>
                <w:b/>
                <w:i/>
                <w:iCs/>
                <w:strike/>
                <w:sz w:val="22"/>
                <w:szCs w:val="22"/>
              </w:rPr>
            </w:pPr>
          </w:p>
        </w:tc>
        <w:tc>
          <w:tcPr>
            <w:tcW w:w="8438" w:type="dxa"/>
            <w:gridSpan w:val="4"/>
            <w:shd w:val="clear" w:color="auto" w:fill="BFBFBF"/>
          </w:tcPr>
          <w:p w14:paraId="55F5474E" w14:textId="77777777" w:rsidR="001C08A5" w:rsidRDefault="001C08A5">
            <w:pPr>
              <w:jc w:val="center"/>
              <w:rPr>
                <w:b/>
                <w:i/>
                <w:iCs/>
                <w:sz w:val="22"/>
                <w:szCs w:val="22"/>
                <w:lang w:eastAsia="ro-RO"/>
              </w:rPr>
            </w:pPr>
          </w:p>
        </w:tc>
      </w:tr>
      <w:tr w:rsidR="001C08A5" w14:paraId="2AB62D57" w14:textId="77777777">
        <w:trPr>
          <w:tblHeader/>
        </w:trPr>
        <w:tc>
          <w:tcPr>
            <w:tcW w:w="1195" w:type="dxa"/>
            <w:shd w:val="clear" w:color="auto" w:fill="BFBFBF"/>
          </w:tcPr>
          <w:p w14:paraId="23541E2B" w14:textId="77777777" w:rsidR="001C08A5" w:rsidRDefault="001C08A5">
            <w:pPr>
              <w:jc w:val="both"/>
              <w:rPr>
                <w:b/>
                <w:i/>
                <w:iCs/>
                <w:strike/>
                <w:sz w:val="22"/>
                <w:szCs w:val="22"/>
              </w:rPr>
            </w:pPr>
          </w:p>
        </w:tc>
        <w:tc>
          <w:tcPr>
            <w:tcW w:w="2059" w:type="dxa"/>
            <w:shd w:val="clear" w:color="auto" w:fill="BFBFBF"/>
          </w:tcPr>
          <w:p w14:paraId="6D1611D7" w14:textId="77777777" w:rsidR="001C08A5" w:rsidRDefault="00000000">
            <w:pPr>
              <w:jc w:val="both"/>
              <w:rPr>
                <w:b/>
                <w:i/>
                <w:iCs/>
                <w:sz w:val="22"/>
                <w:szCs w:val="22"/>
                <w:lang w:eastAsia="ro-RO"/>
              </w:rPr>
            </w:pPr>
            <w:r>
              <w:rPr>
                <w:b/>
                <w:i/>
                <w:iCs/>
                <w:sz w:val="22"/>
                <w:szCs w:val="22"/>
              </w:rPr>
              <w:t>RISC MIJLOCIU</w:t>
            </w:r>
          </w:p>
        </w:tc>
        <w:tc>
          <w:tcPr>
            <w:tcW w:w="2126" w:type="dxa"/>
            <w:shd w:val="clear" w:color="auto" w:fill="BFBFBF"/>
          </w:tcPr>
          <w:p w14:paraId="02B7441E" w14:textId="77777777" w:rsidR="001C08A5" w:rsidRDefault="00000000">
            <w:pPr>
              <w:jc w:val="both"/>
              <w:rPr>
                <w:b/>
                <w:i/>
                <w:iCs/>
                <w:sz w:val="22"/>
                <w:szCs w:val="22"/>
                <w:lang w:eastAsia="ro-RO"/>
              </w:rPr>
            </w:pPr>
            <w:r>
              <w:rPr>
                <w:b/>
                <w:i/>
                <w:iCs/>
                <w:sz w:val="22"/>
                <w:szCs w:val="22"/>
              </w:rPr>
              <w:t>RISC MARE</w:t>
            </w:r>
          </w:p>
        </w:tc>
        <w:tc>
          <w:tcPr>
            <w:tcW w:w="4253" w:type="dxa"/>
            <w:gridSpan w:val="2"/>
            <w:shd w:val="clear" w:color="auto" w:fill="BFBFBF"/>
          </w:tcPr>
          <w:p w14:paraId="4BBCF2A9" w14:textId="77777777" w:rsidR="001C08A5" w:rsidRDefault="00000000">
            <w:pPr>
              <w:jc w:val="both"/>
              <w:rPr>
                <w:b/>
                <w:i/>
                <w:iCs/>
                <w:sz w:val="22"/>
                <w:szCs w:val="22"/>
                <w:lang w:eastAsia="ro-RO"/>
              </w:rPr>
            </w:pPr>
            <w:r>
              <w:rPr>
                <w:b/>
                <w:i/>
                <w:iCs/>
                <w:sz w:val="22"/>
                <w:szCs w:val="22"/>
              </w:rPr>
              <w:t>RISC FOARTE MARE</w:t>
            </w:r>
          </w:p>
        </w:tc>
      </w:tr>
      <w:tr w:rsidR="001C08A5" w14:paraId="543696E4" w14:textId="77777777">
        <w:trPr>
          <w:tblHeader/>
        </w:trPr>
        <w:tc>
          <w:tcPr>
            <w:tcW w:w="1195" w:type="dxa"/>
            <w:shd w:val="clear" w:color="auto" w:fill="BFBFBF"/>
          </w:tcPr>
          <w:p w14:paraId="29F63B52" w14:textId="77777777" w:rsidR="001C08A5" w:rsidRDefault="001C08A5">
            <w:pPr>
              <w:jc w:val="both"/>
              <w:rPr>
                <w:b/>
                <w:i/>
                <w:iCs/>
                <w:strike/>
                <w:sz w:val="22"/>
                <w:szCs w:val="22"/>
              </w:rPr>
            </w:pPr>
          </w:p>
        </w:tc>
        <w:tc>
          <w:tcPr>
            <w:tcW w:w="2059" w:type="dxa"/>
            <w:shd w:val="clear" w:color="auto" w:fill="BFBFBF"/>
          </w:tcPr>
          <w:p w14:paraId="664E9506" w14:textId="77777777" w:rsidR="001C08A5" w:rsidRDefault="00000000">
            <w:pPr>
              <w:rPr>
                <w:b/>
                <w:i/>
                <w:iCs/>
                <w:sz w:val="22"/>
                <w:szCs w:val="22"/>
                <w:lang w:eastAsia="ro-RO"/>
              </w:rPr>
            </w:pPr>
            <w:r>
              <w:rPr>
                <w:b/>
                <w:i/>
                <w:iCs/>
                <w:sz w:val="22"/>
                <w:szCs w:val="22"/>
                <w:lang w:eastAsia="ro-RO"/>
              </w:rPr>
              <w:t>420 MJ/m</w:t>
            </w:r>
            <w:r>
              <w:rPr>
                <w:b/>
                <w:i/>
                <w:iCs/>
                <w:sz w:val="22"/>
                <w:szCs w:val="22"/>
                <w:vertAlign w:val="superscript"/>
                <w:lang w:eastAsia="ro-RO"/>
              </w:rPr>
              <w:t>2</w:t>
            </w:r>
            <w:r>
              <w:rPr>
                <w:b/>
                <w:i/>
                <w:iCs/>
                <w:sz w:val="22"/>
                <w:szCs w:val="22"/>
                <w:lang w:eastAsia="ro-RO"/>
              </w:rPr>
              <w:t>≤ q&lt;840MJ/m</w:t>
            </w:r>
            <w:r>
              <w:rPr>
                <w:b/>
                <w:i/>
                <w:iCs/>
                <w:sz w:val="22"/>
                <w:szCs w:val="22"/>
                <w:vertAlign w:val="superscript"/>
                <w:lang w:eastAsia="ro-RO"/>
              </w:rPr>
              <w:t>2</w:t>
            </w:r>
          </w:p>
        </w:tc>
        <w:tc>
          <w:tcPr>
            <w:tcW w:w="2126" w:type="dxa"/>
            <w:shd w:val="clear" w:color="auto" w:fill="BFBFBF"/>
          </w:tcPr>
          <w:p w14:paraId="6FB7F805" w14:textId="77777777" w:rsidR="001C08A5" w:rsidRDefault="00000000">
            <w:pPr>
              <w:rPr>
                <w:b/>
                <w:i/>
                <w:iCs/>
                <w:sz w:val="22"/>
                <w:szCs w:val="22"/>
                <w:lang w:eastAsia="ro-RO"/>
              </w:rPr>
            </w:pPr>
            <w:r>
              <w:rPr>
                <w:b/>
                <w:i/>
                <w:iCs/>
                <w:sz w:val="22"/>
                <w:szCs w:val="22"/>
                <w:lang w:eastAsia="ro-RO"/>
              </w:rPr>
              <w:t>840 MJ/m</w:t>
            </w:r>
            <w:r>
              <w:rPr>
                <w:b/>
                <w:i/>
                <w:iCs/>
                <w:sz w:val="22"/>
                <w:szCs w:val="22"/>
                <w:vertAlign w:val="superscript"/>
                <w:lang w:eastAsia="ro-RO"/>
              </w:rPr>
              <w:t>2</w:t>
            </w:r>
            <w:r>
              <w:rPr>
                <w:b/>
                <w:i/>
                <w:iCs/>
                <w:sz w:val="22"/>
                <w:szCs w:val="22"/>
                <w:lang w:eastAsia="ro-RO"/>
              </w:rPr>
              <w:t>≤q&lt; 1680 MJ/m</w:t>
            </w:r>
            <w:r>
              <w:rPr>
                <w:b/>
                <w:i/>
                <w:iCs/>
                <w:sz w:val="22"/>
                <w:szCs w:val="22"/>
                <w:vertAlign w:val="superscript"/>
                <w:lang w:eastAsia="ro-RO"/>
              </w:rPr>
              <w:t>2</w:t>
            </w:r>
          </w:p>
        </w:tc>
        <w:tc>
          <w:tcPr>
            <w:tcW w:w="2126" w:type="dxa"/>
            <w:shd w:val="clear" w:color="auto" w:fill="BFBFBF"/>
          </w:tcPr>
          <w:p w14:paraId="7FB2C6C8" w14:textId="77777777" w:rsidR="001C08A5" w:rsidRDefault="00000000">
            <w:pPr>
              <w:rPr>
                <w:b/>
                <w:i/>
                <w:iCs/>
                <w:sz w:val="22"/>
                <w:szCs w:val="22"/>
                <w:lang w:eastAsia="ro-RO"/>
              </w:rPr>
            </w:pPr>
            <w:r>
              <w:rPr>
                <w:b/>
                <w:i/>
                <w:iCs/>
                <w:sz w:val="22"/>
                <w:szCs w:val="22"/>
                <w:lang w:eastAsia="ro-RO"/>
              </w:rPr>
              <w:t>1680 MJ/m</w:t>
            </w:r>
            <w:r>
              <w:rPr>
                <w:b/>
                <w:i/>
                <w:iCs/>
                <w:sz w:val="22"/>
                <w:szCs w:val="22"/>
                <w:vertAlign w:val="superscript"/>
                <w:lang w:eastAsia="ro-RO"/>
              </w:rPr>
              <w:t>2</w:t>
            </w:r>
            <w:r>
              <w:rPr>
                <w:b/>
                <w:i/>
                <w:iCs/>
                <w:sz w:val="22"/>
                <w:szCs w:val="22"/>
                <w:lang w:eastAsia="ro-RO"/>
              </w:rPr>
              <w:t>≤q&lt; 2940 MJ/m</w:t>
            </w:r>
            <w:r>
              <w:rPr>
                <w:b/>
                <w:i/>
                <w:iCs/>
                <w:sz w:val="22"/>
                <w:szCs w:val="22"/>
                <w:vertAlign w:val="superscript"/>
                <w:lang w:eastAsia="ro-RO"/>
              </w:rPr>
              <w:t>2</w:t>
            </w:r>
          </w:p>
        </w:tc>
        <w:tc>
          <w:tcPr>
            <w:tcW w:w="2127" w:type="dxa"/>
            <w:shd w:val="clear" w:color="auto" w:fill="BFBFBF"/>
          </w:tcPr>
          <w:p w14:paraId="0880E750" w14:textId="77777777" w:rsidR="001C08A5" w:rsidRDefault="00000000">
            <w:pPr>
              <w:rPr>
                <w:b/>
                <w:i/>
                <w:iCs/>
                <w:sz w:val="22"/>
                <w:szCs w:val="22"/>
                <w:lang w:eastAsia="ro-RO"/>
              </w:rPr>
            </w:pPr>
            <w:r>
              <w:rPr>
                <w:b/>
                <w:i/>
                <w:iCs/>
                <w:sz w:val="22"/>
                <w:szCs w:val="22"/>
                <w:lang w:eastAsia="ro-RO"/>
              </w:rPr>
              <w:t>≥2940 MJ/m</w:t>
            </w:r>
            <w:r>
              <w:rPr>
                <w:b/>
                <w:i/>
                <w:iCs/>
                <w:sz w:val="22"/>
                <w:szCs w:val="22"/>
                <w:vertAlign w:val="superscript"/>
                <w:lang w:eastAsia="ro-RO"/>
              </w:rPr>
              <w:t>2</w:t>
            </w:r>
          </w:p>
        </w:tc>
      </w:tr>
      <w:tr w:rsidR="001C08A5" w14:paraId="0304A8BA" w14:textId="77777777">
        <w:trPr>
          <w:tblHeader/>
        </w:trPr>
        <w:tc>
          <w:tcPr>
            <w:tcW w:w="1195" w:type="dxa"/>
            <w:shd w:val="clear" w:color="auto" w:fill="BFBFBF"/>
          </w:tcPr>
          <w:p w14:paraId="4D4796D3" w14:textId="77777777" w:rsidR="001C08A5" w:rsidRDefault="001C08A5">
            <w:pPr>
              <w:jc w:val="both"/>
              <w:rPr>
                <w:b/>
                <w:i/>
                <w:iCs/>
                <w:strike/>
                <w:sz w:val="22"/>
                <w:szCs w:val="22"/>
              </w:rPr>
            </w:pPr>
          </w:p>
        </w:tc>
        <w:tc>
          <w:tcPr>
            <w:tcW w:w="8438" w:type="dxa"/>
            <w:gridSpan w:val="4"/>
            <w:shd w:val="clear" w:color="auto" w:fill="BFBFBF"/>
          </w:tcPr>
          <w:p w14:paraId="4E71E901" w14:textId="77777777" w:rsidR="001C08A5" w:rsidRDefault="00000000">
            <w:pPr>
              <w:jc w:val="center"/>
              <w:rPr>
                <w:b/>
                <w:i/>
                <w:iCs/>
                <w:sz w:val="22"/>
                <w:szCs w:val="22"/>
                <w:lang w:eastAsia="ro-RO"/>
              </w:rPr>
            </w:pPr>
            <w:r>
              <w:rPr>
                <w:b/>
                <w:i/>
                <w:iCs/>
                <w:sz w:val="22"/>
                <w:szCs w:val="22"/>
              </w:rPr>
              <w:t>≤ 36 mp</w:t>
            </w:r>
          </w:p>
        </w:tc>
      </w:tr>
      <w:tr w:rsidR="001C08A5" w14:paraId="0ED8DFD6" w14:textId="77777777">
        <w:tc>
          <w:tcPr>
            <w:tcW w:w="1195" w:type="dxa"/>
          </w:tcPr>
          <w:p w14:paraId="64C9A77B" w14:textId="77777777" w:rsidR="001C08A5" w:rsidRDefault="00000000">
            <w:pPr>
              <w:rPr>
                <w:b/>
                <w:i/>
                <w:iCs/>
                <w:sz w:val="22"/>
                <w:szCs w:val="22"/>
              </w:rPr>
            </w:pPr>
            <w:r>
              <w:rPr>
                <w:b/>
                <w:i/>
                <w:iCs/>
                <w:sz w:val="22"/>
                <w:szCs w:val="22"/>
              </w:rPr>
              <w:t>Pereţi</w:t>
            </w:r>
          </w:p>
        </w:tc>
        <w:tc>
          <w:tcPr>
            <w:tcW w:w="2059" w:type="dxa"/>
          </w:tcPr>
          <w:p w14:paraId="272B1791" w14:textId="77777777" w:rsidR="001C08A5" w:rsidRDefault="00000000">
            <w:pPr>
              <w:pStyle w:val="NoSpacing"/>
              <w:suppressAutoHyphens/>
              <w:rPr>
                <w:rFonts w:ascii="Times New Roman" w:hAnsi="Times New Roman"/>
                <w:b/>
                <w:bCs/>
                <w:i/>
                <w:iCs/>
              </w:rPr>
            </w:pPr>
            <w:r>
              <w:rPr>
                <w:rFonts w:ascii="Times New Roman" w:hAnsi="Times New Roman"/>
                <w:b/>
                <w:i/>
                <w:iCs/>
              </w:rPr>
              <w:t>EI/REI 120</w:t>
            </w:r>
          </w:p>
        </w:tc>
        <w:tc>
          <w:tcPr>
            <w:tcW w:w="2126" w:type="dxa"/>
          </w:tcPr>
          <w:p w14:paraId="3B33E626" w14:textId="77777777" w:rsidR="001C08A5" w:rsidRDefault="00000000">
            <w:pPr>
              <w:pStyle w:val="NoSpacing"/>
              <w:suppressAutoHyphens/>
              <w:rPr>
                <w:rFonts w:ascii="Times New Roman" w:hAnsi="Times New Roman"/>
                <w:b/>
                <w:bCs/>
                <w:i/>
                <w:iCs/>
              </w:rPr>
            </w:pPr>
            <w:r>
              <w:rPr>
                <w:rFonts w:ascii="Times New Roman" w:hAnsi="Times New Roman"/>
                <w:b/>
                <w:i/>
                <w:iCs/>
              </w:rPr>
              <w:t>EI/REI 180</w:t>
            </w:r>
          </w:p>
        </w:tc>
        <w:tc>
          <w:tcPr>
            <w:tcW w:w="2126" w:type="dxa"/>
          </w:tcPr>
          <w:p w14:paraId="51111CCA" w14:textId="77777777" w:rsidR="001C08A5" w:rsidRDefault="00000000">
            <w:pPr>
              <w:pStyle w:val="NoSpacing"/>
              <w:suppressAutoHyphens/>
              <w:rPr>
                <w:rFonts w:ascii="Times New Roman" w:hAnsi="Times New Roman"/>
                <w:b/>
                <w:bCs/>
                <w:i/>
                <w:iCs/>
              </w:rPr>
            </w:pPr>
            <w:r>
              <w:rPr>
                <w:rFonts w:ascii="Times New Roman" w:hAnsi="Times New Roman"/>
                <w:b/>
                <w:i/>
                <w:iCs/>
              </w:rPr>
              <w:t xml:space="preserve">EI/REI 180 </w:t>
            </w:r>
          </w:p>
        </w:tc>
        <w:tc>
          <w:tcPr>
            <w:tcW w:w="2127" w:type="dxa"/>
            <w:vMerge w:val="restart"/>
          </w:tcPr>
          <w:p w14:paraId="188A5B2F" w14:textId="77777777" w:rsidR="001C08A5" w:rsidRDefault="00000000">
            <w:pPr>
              <w:pStyle w:val="NoSpacing"/>
              <w:suppressAutoHyphens/>
              <w:rPr>
                <w:rFonts w:ascii="Times New Roman" w:hAnsi="Times New Roman"/>
                <w:b/>
                <w:bCs/>
                <w:i/>
                <w:iCs/>
              </w:rPr>
            </w:pPr>
            <w:r>
              <w:rPr>
                <w:rFonts w:ascii="Times New Roman" w:hAnsi="Times New Roman"/>
                <w:b/>
                <w:i/>
                <w:iCs/>
              </w:rPr>
              <w:t>Nu se admit</w:t>
            </w:r>
          </w:p>
        </w:tc>
      </w:tr>
      <w:tr w:rsidR="001C08A5" w14:paraId="3C09D0DA" w14:textId="77777777">
        <w:tc>
          <w:tcPr>
            <w:tcW w:w="1195" w:type="dxa"/>
          </w:tcPr>
          <w:p w14:paraId="310FCC57" w14:textId="77777777" w:rsidR="001C08A5" w:rsidRDefault="00000000">
            <w:pPr>
              <w:rPr>
                <w:b/>
                <w:i/>
                <w:iCs/>
                <w:sz w:val="22"/>
                <w:szCs w:val="22"/>
              </w:rPr>
            </w:pPr>
            <w:r>
              <w:rPr>
                <w:b/>
                <w:i/>
                <w:iCs/>
                <w:sz w:val="22"/>
                <w:szCs w:val="22"/>
              </w:rPr>
              <w:t>Planşee</w:t>
            </w:r>
          </w:p>
        </w:tc>
        <w:tc>
          <w:tcPr>
            <w:tcW w:w="2059" w:type="dxa"/>
          </w:tcPr>
          <w:p w14:paraId="461EF6E7" w14:textId="77777777" w:rsidR="001C08A5" w:rsidRDefault="00000000">
            <w:pPr>
              <w:pStyle w:val="NoSpacing"/>
              <w:suppressAutoHyphens/>
              <w:rPr>
                <w:rFonts w:ascii="Times New Roman" w:hAnsi="Times New Roman"/>
                <w:b/>
                <w:bCs/>
                <w:i/>
                <w:iCs/>
              </w:rPr>
            </w:pPr>
            <w:r>
              <w:rPr>
                <w:rFonts w:ascii="Times New Roman" w:hAnsi="Times New Roman"/>
                <w:b/>
                <w:i/>
                <w:iCs/>
              </w:rPr>
              <w:t>REI 120</w:t>
            </w:r>
          </w:p>
        </w:tc>
        <w:tc>
          <w:tcPr>
            <w:tcW w:w="2126" w:type="dxa"/>
          </w:tcPr>
          <w:p w14:paraId="2CF2D8D5" w14:textId="77777777" w:rsidR="001C08A5" w:rsidRDefault="00000000">
            <w:pPr>
              <w:pStyle w:val="NoSpacing"/>
              <w:suppressAutoHyphens/>
              <w:rPr>
                <w:rFonts w:ascii="Times New Roman" w:hAnsi="Times New Roman"/>
                <w:b/>
                <w:bCs/>
                <w:i/>
                <w:iCs/>
              </w:rPr>
            </w:pPr>
            <w:r>
              <w:rPr>
                <w:rFonts w:ascii="Times New Roman" w:hAnsi="Times New Roman"/>
                <w:b/>
                <w:i/>
                <w:iCs/>
              </w:rPr>
              <w:t>REI 120</w:t>
            </w:r>
          </w:p>
        </w:tc>
        <w:tc>
          <w:tcPr>
            <w:tcW w:w="2126" w:type="dxa"/>
          </w:tcPr>
          <w:p w14:paraId="7B751FD8" w14:textId="77777777" w:rsidR="001C08A5" w:rsidRDefault="00000000">
            <w:pPr>
              <w:pStyle w:val="NoSpacing"/>
              <w:suppressAutoHyphens/>
              <w:rPr>
                <w:rFonts w:ascii="Times New Roman" w:hAnsi="Times New Roman"/>
                <w:b/>
                <w:bCs/>
                <w:i/>
                <w:iCs/>
              </w:rPr>
            </w:pPr>
            <w:r>
              <w:rPr>
                <w:rFonts w:ascii="Times New Roman" w:hAnsi="Times New Roman"/>
                <w:b/>
                <w:i/>
                <w:iCs/>
              </w:rPr>
              <w:t>REI 180</w:t>
            </w:r>
          </w:p>
        </w:tc>
        <w:tc>
          <w:tcPr>
            <w:tcW w:w="2127" w:type="dxa"/>
            <w:vMerge/>
          </w:tcPr>
          <w:p w14:paraId="575391B6" w14:textId="77777777" w:rsidR="001C08A5" w:rsidRDefault="001C08A5">
            <w:pPr>
              <w:pStyle w:val="NoSpacing"/>
              <w:suppressAutoHyphens/>
              <w:rPr>
                <w:rFonts w:ascii="Times New Roman" w:hAnsi="Times New Roman"/>
                <w:b/>
                <w:bCs/>
                <w:i/>
                <w:iCs/>
              </w:rPr>
            </w:pPr>
          </w:p>
        </w:tc>
      </w:tr>
      <w:tr w:rsidR="001C08A5" w14:paraId="36CF245B" w14:textId="77777777">
        <w:tc>
          <w:tcPr>
            <w:tcW w:w="1195" w:type="dxa"/>
          </w:tcPr>
          <w:p w14:paraId="5F9E1DF3" w14:textId="77777777" w:rsidR="001C08A5" w:rsidRDefault="00000000">
            <w:pPr>
              <w:rPr>
                <w:b/>
                <w:i/>
                <w:iCs/>
                <w:sz w:val="22"/>
                <w:szCs w:val="22"/>
              </w:rPr>
            </w:pPr>
            <w:r>
              <w:rPr>
                <w:b/>
                <w:i/>
                <w:iCs/>
                <w:sz w:val="22"/>
                <w:szCs w:val="22"/>
              </w:rPr>
              <w:t xml:space="preserve">Uşi </w:t>
            </w:r>
            <w:r>
              <w:rPr>
                <w:i/>
                <w:iCs/>
                <w:sz w:val="22"/>
                <w:szCs w:val="22"/>
              </w:rPr>
              <w:t>rezistente la foc și etanșe la fum</w:t>
            </w:r>
          </w:p>
        </w:tc>
        <w:tc>
          <w:tcPr>
            <w:tcW w:w="2059" w:type="dxa"/>
          </w:tcPr>
          <w:p w14:paraId="4FEFDC8D" w14:textId="77777777" w:rsidR="001C08A5" w:rsidRDefault="00000000">
            <w:pPr>
              <w:pStyle w:val="NoSpacing"/>
              <w:suppressAutoHyphens/>
              <w:rPr>
                <w:rFonts w:ascii="Times New Roman" w:hAnsi="Times New Roman"/>
                <w:b/>
                <w:bCs/>
                <w:i/>
                <w:iCs/>
              </w:rPr>
            </w:pPr>
            <w:r>
              <w:rPr>
                <w:rFonts w:ascii="Times New Roman" w:hAnsi="Times New Roman"/>
                <w:i/>
                <w:iCs/>
              </w:rPr>
              <w:t xml:space="preserve">încăperi tampon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p>
        </w:tc>
        <w:tc>
          <w:tcPr>
            <w:tcW w:w="2126" w:type="dxa"/>
          </w:tcPr>
          <w:p w14:paraId="3FECEEEE" w14:textId="77777777" w:rsidR="001C08A5" w:rsidRDefault="00000000">
            <w:pPr>
              <w:pStyle w:val="NoSpacing"/>
              <w:suppressAutoHyphens/>
              <w:rPr>
                <w:rFonts w:ascii="Times New Roman" w:hAnsi="Times New Roman"/>
                <w:b/>
                <w:bCs/>
                <w:i/>
                <w:iCs/>
              </w:rPr>
            </w:pPr>
            <w:r>
              <w:rPr>
                <w:rFonts w:ascii="Times New Roman" w:hAnsi="Times New Roman"/>
                <w:i/>
                <w:iCs/>
              </w:rPr>
              <w:t xml:space="preserve">încăperi tampon protejate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tc>
        <w:tc>
          <w:tcPr>
            <w:tcW w:w="2126" w:type="dxa"/>
          </w:tcPr>
          <w:p w14:paraId="7F96F4E7" w14:textId="77777777" w:rsidR="001C08A5" w:rsidRDefault="00000000">
            <w:pPr>
              <w:pStyle w:val="NoSpacing"/>
              <w:suppressAutoHyphens/>
              <w:rPr>
                <w:rFonts w:ascii="Times New Roman" w:hAnsi="Times New Roman"/>
                <w:b/>
                <w:bCs/>
                <w:i/>
                <w:iCs/>
              </w:rPr>
            </w:pPr>
            <w:r>
              <w:rPr>
                <w:rFonts w:ascii="Times New Roman" w:hAnsi="Times New Roman"/>
                <w:i/>
                <w:iCs/>
              </w:rPr>
              <w:t xml:space="preserve">încăperi tampon protejate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200</w:t>
            </w:r>
          </w:p>
        </w:tc>
        <w:tc>
          <w:tcPr>
            <w:tcW w:w="2127" w:type="dxa"/>
            <w:vMerge/>
          </w:tcPr>
          <w:p w14:paraId="5D3E36F4" w14:textId="77777777" w:rsidR="001C08A5" w:rsidRDefault="001C08A5">
            <w:pPr>
              <w:pStyle w:val="NoSpacing"/>
              <w:suppressAutoHyphens/>
              <w:rPr>
                <w:rFonts w:ascii="Times New Roman" w:hAnsi="Times New Roman"/>
                <w:b/>
                <w:bCs/>
                <w:i/>
                <w:iCs/>
              </w:rPr>
            </w:pPr>
          </w:p>
        </w:tc>
      </w:tr>
      <w:tr w:rsidR="001C08A5" w14:paraId="331E096F" w14:textId="77777777">
        <w:tc>
          <w:tcPr>
            <w:tcW w:w="1195" w:type="dxa"/>
            <w:shd w:val="clear" w:color="auto" w:fill="auto"/>
          </w:tcPr>
          <w:p w14:paraId="43B2783F" w14:textId="77777777" w:rsidR="001C08A5" w:rsidRDefault="001C08A5">
            <w:pPr>
              <w:rPr>
                <w:b/>
                <w:i/>
                <w:iCs/>
                <w:sz w:val="22"/>
                <w:szCs w:val="22"/>
              </w:rPr>
            </w:pPr>
          </w:p>
        </w:tc>
        <w:tc>
          <w:tcPr>
            <w:tcW w:w="8438" w:type="dxa"/>
            <w:gridSpan w:val="4"/>
            <w:shd w:val="clear" w:color="auto" w:fill="BEBEBE"/>
          </w:tcPr>
          <w:p w14:paraId="30BBE3C7" w14:textId="77777777" w:rsidR="001C08A5" w:rsidRDefault="00000000">
            <w:pPr>
              <w:pStyle w:val="NoSpacing"/>
              <w:suppressAutoHyphens/>
              <w:jc w:val="center"/>
              <w:rPr>
                <w:rFonts w:ascii="Times New Roman" w:hAnsi="Times New Roman"/>
                <w:b/>
                <w:bCs/>
                <w:i/>
                <w:iCs/>
              </w:rPr>
            </w:pPr>
            <w:r>
              <w:rPr>
                <w:rFonts w:ascii="Times New Roman" w:hAnsi="Times New Roman"/>
                <w:b/>
                <w:i/>
                <w:iCs/>
                <w:shd w:val="clear" w:color="auto" w:fill="BEBEBE"/>
              </w:rPr>
              <w:t>&gt; 36 mp</w:t>
            </w:r>
          </w:p>
        </w:tc>
      </w:tr>
      <w:tr w:rsidR="001C08A5" w14:paraId="162CB898" w14:textId="77777777">
        <w:tc>
          <w:tcPr>
            <w:tcW w:w="1195" w:type="dxa"/>
          </w:tcPr>
          <w:p w14:paraId="225CAD62" w14:textId="77777777" w:rsidR="001C08A5" w:rsidRDefault="00000000">
            <w:pPr>
              <w:rPr>
                <w:b/>
                <w:i/>
                <w:iCs/>
                <w:sz w:val="22"/>
                <w:szCs w:val="22"/>
              </w:rPr>
            </w:pPr>
            <w:r>
              <w:rPr>
                <w:b/>
                <w:i/>
                <w:iCs/>
                <w:sz w:val="22"/>
                <w:szCs w:val="22"/>
              </w:rPr>
              <w:t>Pereţi</w:t>
            </w:r>
          </w:p>
        </w:tc>
        <w:tc>
          <w:tcPr>
            <w:tcW w:w="2059" w:type="dxa"/>
          </w:tcPr>
          <w:p w14:paraId="58745C12" w14:textId="77777777" w:rsidR="001C08A5" w:rsidRDefault="00000000">
            <w:pPr>
              <w:pStyle w:val="NoSpacing"/>
              <w:suppressAutoHyphens/>
              <w:rPr>
                <w:rFonts w:ascii="Times New Roman" w:hAnsi="Times New Roman"/>
                <w:b/>
                <w:bCs/>
                <w:i/>
                <w:iCs/>
              </w:rPr>
            </w:pPr>
            <w:r>
              <w:rPr>
                <w:rFonts w:ascii="Times New Roman" w:hAnsi="Times New Roman"/>
                <w:b/>
                <w:i/>
                <w:iCs/>
              </w:rPr>
              <w:t xml:space="preserve">EI/REI 180 </w:t>
            </w:r>
          </w:p>
        </w:tc>
        <w:tc>
          <w:tcPr>
            <w:tcW w:w="2126" w:type="dxa"/>
          </w:tcPr>
          <w:p w14:paraId="02FD05B8" w14:textId="77777777" w:rsidR="001C08A5" w:rsidRDefault="00000000">
            <w:pPr>
              <w:pStyle w:val="NoSpacing"/>
              <w:suppressAutoHyphens/>
              <w:rPr>
                <w:rFonts w:ascii="Times New Roman" w:hAnsi="Times New Roman"/>
                <w:b/>
                <w:bCs/>
                <w:i/>
                <w:iCs/>
                <w:strike/>
              </w:rPr>
            </w:pPr>
            <w:r>
              <w:rPr>
                <w:rFonts w:ascii="Times New Roman" w:hAnsi="Times New Roman"/>
                <w:b/>
                <w:i/>
                <w:iCs/>
              </w:rPr>
              <w:t xml:space="preserve">EI/REI 180 </w:t>
            </w:r>
          </w:p>
        </w:tc>
        <w:tc>
          <w:tcPr>
            <w:tcW w:w="2126" w:type="dxa"/>
          </w:tcPr>
          <w:p w14:paraId="3FD11BE4" w14:textId="77777777" w:rsidR="001C08A5" w:rsidRDefault="00000000">
            <w:pPr>
              <w:pStyle w:val="NoSpacing"/>
              <w:suppressAutoHyphens/>
              <w:rPr>
                <w:rFonts w:ascii="Times New Roman" w:hAnsi="Times New Roman"/>
                <w:b/>
                <w:bCs/>
                <w:i/>
                <w:iCs/>
                <w:strike/>
              </w:rPr>
            </w:pPr>
            <w:r>
              <w:rPr>
                <w:rFonts w:ascii="Times New Roman" w:hAnsi="Times New Roman"/>
                <w:b/>
                <w:i/>
                <w:iCs/>
              </w:rPr>
              <w:t xml:space="preserve">EI/REI 240 </w:t>
            </w:r>
          </w:p>
        </w:tc>
        <w:tc>
          <w:tcPr>
            <w:tcW w:w="2127" w:type="dxa"/>
            <w:vMerge w:val="restart"/>
          </w:tcPr>
          <w:p w14:paraId="5427CE93" w14:textId="77777777" w:rsidR="001C08A5" w:rsidRDefault="00000000">
            <w:pPr>
              <w:rPr>
                <w:b/>
                <w:bCs/>
                <w:i/>
                <w:iCs/>
                <w:sz w:val="22"/>
                <w:szCs w:val="22"/>
              </w:rPr>
            </w:pPr>
            <w:r>
              <w:rPr>
                <w:b/>
                <w:i/>
                <w:iCs/>
                <w:sz w:val="22"/>
                <w:szCs w:val="22"/>
              </w:rPr>
              <w:t>Nu se admit</w:t>
            </w:r>
          </w:p>
        </w:tc>
      </w:tr>
      <w:tr w:rsidR="001C08A5" w14:paraId="4A4BA3DD" w14:textId="77777777">
        <w:tc>
          <w:tcPr>
            <w:tcW w:w="1195" w:type="dxa"/>
          </w:tcPr>
          <w:p w14:paraId="4CB254DE" w14:textId="77777777" w:rsidR="001C08A5" w:rsidRDefault="00000000">
            <w:pPr>
              <w:rPr>
                <w:b/>
                <w:i/>
                <w:iCs/>
                <w:sz w:val="22"/>
                <w:szCs w:val="22"/>
              </w:rPr>
            </w:pPr>
            <w:r>
              <w:rPr>
                <w:b/>
                <w:i/>
                <w:iCs/>
                <w:sz w:val="22"/>
                <w:szCs w:val="22"/>
              </w:rPr>
              <w:t>Planşee</w:t>
            </w:r>
          </w:p>
        </w:tc>
        <w:tc>
          <w:tcPr>
            <w:tcW w:w="2059" w:type="dxa"/>
          </w:tcPr>
          <w:p w14:paraId="706EA495" w14:textId="77777777" w:rsidR="001C08A5" w:rsidRDefault="00000000">
            <w:pPr>
              <w:pStyle w:val="NoSpacing"/>
              <w:suppressAutoHyphens/>
              <w:rPr>
                <w:rFonts w:ascii="Times New Roman" w:hAnsi="Times New Roman"/>
                <w:b/>
                <w:bCs/>
                <w:i/>
                <w:iCs/>
              </w:rPr>
            </w:pPr>
            <w:r>
              <w:rPr>
                <w:rFonts w:ascii="Times New Roman" w:hAnsi="Times New Roman"/>
                <w:b/>
                <w:i/>
                <w:iCs/>
              </w:rPr>
              <w:t>REI 120</w:t>
            </w:r>
          </w:p>
        </w:tc>
        <w:tc>
          <w:tcPr>
            <w:tcW w:w="2126" w:type="dxa"/>
          </w:tcPr>
          <w:p w14:paraId="5FACE376" w14:textId="77777777" w:rsidR="001C08A5" w:rsidRDefault="00000000">
            <w:pPr>
              <w:pStyle w:val="NoSpacing"/>
              <w:suppressAutoHyphens/>
              <w:rPr>
                <w:rFonts w:ascii="Times New Roman" w:hAnsi="Times New Roman"/>
                <w:b/>
                <w:bCs/>
                <w:i/>
                <w:iCs/>
                <w:strike/>
              </w:rPr>
            </w:pPr>
            <w:r>
              <w:rPr>
                <w:rFonts w:ascii="Times New Roman" w:hAnsi="Times New Roman"/>
                <w:b/>
                <w:i/>
                <w:iCs/>
              </w:rPr>
              <w:t>REI 180</w:t>
            </w:r>
          </w:p>
        </w:tc>
        <w:tc>
          <w:tcPr>
            <w:tcW w:w="2126" w:type="dxa"/>
          </w:tcPr>
          <w:p w14:paraId="069EFF1C" w14:textId="77777777" w:rsidR="001C08A5" w:rsidRDefault="00000000">
            <w:pPr>
              <w:pStyle w:val="NoSpacing"/>
              <w:suppressAutoHyphens/>
              <w:rPr>
                <w:rFonts w:ascii="Times New Roman" w:hAnsi="Times New Roman"/>
                <w:b/>
                <w:bCs/>
                <w:i/>
                <w:iCs/>
                <w:strike/>
              </w:rPr>
            </w:pPr>
            <w:r>
              <w:rPr>
                <w:rFonts w:ascii="Times New Roman" w:hAnsi="Times New Roman"/>
                <w:b/>
                <w:i/>
                <w:iCs/>
              </w:rPr>
              <w:t>REI 180</w:t>
            </w:r>
          </w:p>
        </w:tc>
        <w:tc>
          <w:tcPr>
            <w:tcW w:w="2127" w:type="dxa"/>
            <w:vMerge/>
          </w:tcPr>
          <w:p w14:paraId="1CAD9576" w14:textId="77777777" w:rsidR="001C08A5" w:rsidRDefault="001C08A5">
            <w:pPr>
              <w:rPr>
                <w:b/>
                <w:bCs/>
                <w:i/>
                <w:iCs/>
                <w:sz w:val="22"/>
                <w:szCs w:val="22"/>
              </w:rPr>
            </w:pPr>
          </w:p>
        </w:tc>
      </w:tr>
      <w:tr w:rsidR="001C08A5" w14:paraId="4DD01EE0" w14:textId="77777777">
        <w:tc>
          <w:tcPr>
            <w:tcW w:w="1195" w:type="dxa"/>
          </w:tcPr>
          <w:p w14:paraId="52DA2083" w14:textId="77777777" w:rsidR="001C08A5" w:rsidRDefault="00000000">
            <w:pPr>
              <w:rPr>
                <w:b/>
                <w:i/>
                <w:iCs/>
                <w:sz w:val="22"/>
                <w:szCs w:val="22"/>
              </w:rPr>
            </w:pPr>
            <w:r>
              <w:rPr>
                <w:b/>
                <w:i/>
                <w:iCs/>
                <w:sz w:val="22"/>
                <w:szCs w:val="22"/>
              </w:rPr>
              <w:t xml:space="preserve">Uşi </w:t>
            </w:r>
            <w:r>
              <w:rPr>
                <w:i/>
                <w:iCs/>
                <w:sz w:val="22"/>
                <w:szCs w:val="22"/>
              </w:rPr>
              <w:t>rezistente la foc și etanșe la fum</w:t>
            </w:r>
          </w:p>
        </w:tc>
        <w:tc>
          <w:tcPr>
            <w:tcW w:w="2059" w:type="dxa"/>
          </w:tcPr>
          <w:p w14:paraId="151E2985" w14:textId="77777777" w:rsidR="001C08A5" w:rsidRDefault="00000000">
            <w:pPr>
              <w:pStyle w:val="NoSpacing"/>
              <w:suppressAutoHyphens/>
              <w:rPr>
                <w:rFonts w:ascii="Times New Roman" w:hAnsi="Times New Roman"/>
                <w:b/>
                <w:bCs/>
                <w:i/>
                <w:iCs/>
              </w:rPr>
            </w:pPr>
            <w:r>
              <w:rPr>
                <w:rFonts w:ascii="Times New Roman" w:hAnsi="Times New Roman"/>
                <w:i/>
                <w:iCs/>
              </w:rPr>
              <w:t xml:space="preserve">încăperi tampon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tc>
        <w:tc>
          <w:tcPr>
            <w:tcW w:w="2126" w:type="dxa"/>
          </w:tcPr>
          <w:p w14:paraId="412B8452" w14:textId="77777777" w:rsidR="001C08A5" w:rsidRDefault="00000000">
            <w:pPr>
              <w:pStyle w:val="NoSpacing"/>
              <w:suppressAutoHyphens/>
              <w:rPr>
                <w:rFonts w:ascii="Times New Roman" w:hAnsi="Times New Roman"/>
                <w:b/>
                <w:bCs/>
                <w:i/>
                <w:iCs/>
                <w:strike/>
              </w:rPr>
            </w:pPr>
            <w:r>
              <w:rPr>
                <w:rFonts w:ascii="Times New Roman" w:hAnsi="Times New Roman"/>
                <w:i/>
                <w:iCs/>
              </w:rPr>
              <w:t xml:space="preserve">încăperi tampon protejate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200</w:t>
            </w:r>
          </w:p>
        </w:tc>
        <w:tc>
          <w:tcPr>
            <w:tcW w:w="2126" w:type="dxa"/>
          </w:tcPr>
          <w:p w14:paraId="3D800FB0" w14:textId="77777777" w:rsidR="001C08A5" w:rsidRDefault="00000000">
            <w:pPr>
              <w:pStyle w:val="NoSpacing"/>
              <w:suppressAutoHyphens/>
              <w:rPr>
                <w:rFonts w:ascii="Times New Roman" w:hAnsi="Times New Roman"/>
                <w:b/>
                <w:bCs/>
                <w:i/>
                <w:iCs/>
                <w:strike/>
              </w:rPr>
            </w:pPr>
            <w:r>
              <w:rPr>
                <w:rFonts w:ascii="Times New Roman" w:hAnsi="Times New Roman"/>
                <w:i/>
                <w:iCs/>
              </w:rPr>
              <w:t xml:space="preserve">încăperi tampon protejate </w:t>
            </w: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200</w:t>
            </w:r>
          </w:p>
        </w:tc>
        <w:tc>
          <w:tcPr>
            <w:tcW w:w="2127" w:type="dxa"/>
            <w:vMerge/>
          </w:tcPr>
          <w:p w14:paraId="74E69ADE" w14:textId="77777777" w:rsidR="001C08A5" w:rsidRDefault="001C08A5">
            <w:pPr>
              <w:rPr>
                <w:b/>
                <w:bCs/>
                <w:i/>
                <w:iCs/>
                <w:sz w:val="22"/>
                <w:szCs w:val="22"/>
              </w:rPr>
            </w:pPr>
          </w:p>
        </w:tc>
      </w:tr>
      <w:tr w:rsidR="001C08A5" w14:paraId="7EBADC53" w14:textId="77777777">
        <w:tc>
          <w:tcPr>
            <w:tcW w:w="1195" w:type="dxa"/>
          </w:tcPr>
          <w:p w14:paraId="443D4454" w14:textId="77777777" w:rsidR="001C08A5" w:rsidRDefault="00000000">
            <w:pPr>
              <w:rPr>
                <w:b/>
                <w:i/>
                <w:iCs/>
                <w:sz w:val="22"/>
                <w:szCs w:val="22"/>
              </w:rPr>
            </w:pPr>
            <w:r>
              <w:rPr>
                <w:b/>
                <w:i/>
                <w:iCs/>
                <w:sz w:val="22"/>
                <w:szCs w:val="22"/>
              </w:rPr>
              <w:t>Observații</w:t>
            </w:r>
          </w:p>
        </w:tc>
        <w:tc>
          <w:tcPr>
            <w:tcW w:w="8438" w:type="dxa"/>
            <w:gridSpan w:val="4"/>
          </w:tcPr>
          <w:p w14:paraId="7D7312E5" w14:textId="77777777" w:rsidR="001C08A5" w:rsidRDefault="00000000">
            <w:pPr>
              <w:ind w:firstLine="720"/>
              <w:jc w:val="both"/>
              <w:rPr>
                <w:i/>
                <w:iCs/>
              </w:rPr>
            </w:pPr>
            <w:r>
              <w:rPr>
                <w:i/>
                <w:iCs/>
                <w:sz w:val="22"/>
                <w:szCs w:val="22"/>
              </w:rPr>
              <w:t xml:space="preserve">Incaperile cu risc foarte mare de incendiu (cu exceptia celor cu pericol/ risc de  explozie volumetrica), cu densitatea sarcinii termice </w:t>
            </w:r>
            <w:r>
              <w:rPr>
                <w:b/>
                <w:bCs/>
                <w:i/>
                <w:iCs/>
                <w:sz w:val="22"/>
                <w:szCs w:val="22"/>
                <w:lang w:eastAsia="ro-RO"/>
              </w:rPr>
              <w:t>1680 MJ/m</w:t>
            </w:r>
            <w:r>
              <w:rPr>
                <w:b/>
                <w:bCs/>
                <w:i/>
                <w:iCs/>
                <w:sz w:val="22"/>
                <w:szCs w:val="22"/>
                <w:vertAlign w:val="superscript"/>
                <w:lang w:eastAsia="ro-RO"/>
              </w:rPr>
              <w:t>2</w:t>
            </w:r>
            <w:r>
              <w:rPr>
                <w:b/>
                <w:bCs/>
                <w:i/>
                <w:iCs/>
                <w:sz w:val="22"/>
                <w:szCs w:val="22"/>
                <w:lang w:eastAsia="ro-RO"/>
              </w:rPr>
              <w:t>≤q&lt; 2940 MJ/m</w:t>
            </w:r>
            <w:r>
              <w:rPr>
                <w:b/>
                <w:bCs/>
                <w:i/>
                <w:iCs/>
                <w:sz w:val="22"/>
                <w:szCs w:val="22"/>
                <w:vertAlign w:val="superscript"/>
                <w:lang w:eastAsia="ro-RO"/>
              </w:rPr>
              <w:t>2</w:t>
            </w:r>
            <w:r>
              <w:rPr>
                <w:i/>
                <w:iCs/>
                <w:sz w:val="22"/>
                <w:szCs w:val="22"/>
                <w:lang w:eastAsia="ro-RO"/>
              </w:rPr>
              <w:t>,cu suprafata</w:t>
            </w:r>
            <w:r>
              <w:rPr>
                <w:b/>
                <w:bCs/>
                <w:i/>
                <w:iCs/>
                <w:sz w:val="22"/>
                <w:szCs w:val="22"/>
              </w:rPr>
              <w:t>≤ 36 m²</w:t>
            </w:r>
            <w:r>
              <w:rPr>
                <w:i/>
                <w:iCs/>
                <w:sz w:val="22"/>
                <w:szCs w:val="22"/>
              </w:rPr>
              <w:t xml:space="preserve"> se admit doar în compartiment separat al clădirii înalte, alaturat, cu regim obișnuit de înălțime sau doar în jumatatea inferioara a clădirii înalte</w:t>
            </w:r>
          </w:p>
          <w:p w14:paraId="42A8C6DD" w14:textId="77777777" w:rsidR="001C08A5" w:rsidRDefault="00000000">
            <w:pPr>
              <w:ind w:firstLine="720"/>
              <w:jc w:val="both"/>
              <w:rPr>
                <w:i/>
                <w:iCs/>
              </w:rPr>
            </w:pPr>
            <w:r>
              <w:rPr>
                <w:i/>
                <w:iCs/>
                <w:sz w:val="22"/>
                <w:szCs w:val="22"/>
              </w:rPr>
              <w:t xml:space="preserve">Incaperile cu risc foarte mare de incendiu (cu exceptia celor cu pericol/ risc de explozie volumetrica), cu densitatea sarcinii termice </w:t>
            </w:r>
            <w:r>
              <w:rPr>
                <w:b/>
                <w:bCs/>
                <w:i/>
                <w:iCs/>
                <w:sz w:val="22"/>
                <w:szCs w:val="22"/>
                <w:lang w:eastAsia="ro-RO"/>
              </w:rPr>
              <w:t>1680 MJ/m</w:t>
            </w:r>
            <w:r>
              <w:rPr>
                <w:b/>
                <w:bCs/>
                <w:i/>
                <w:iCs/>
                <w:sz w:val="22"/>
                <w:szCs w:val="22"/>
                <w:vertAlign w:val="superscript"/>
                <w:lang w:eastAsia="ro-RO"/>
              </w:rPr>
              <w:t>2</w:t>
            </w:r>
            <w:r>
              <w:rPr>
                <w:b/>
                <w:bCs/>
                <w:i/>
                <w:iCs/>
                <w:sz w:val="22"/>
                <w:szCs w:val="22"/>
                <w:vertAlign w:val="superscript"/>
                <w:lang w:val="en-US" w:eastAsia="ro-RO"/>
              </w:rPr>
              <w:t xml:space="preserve"> </w:t>
            </w:r>
            <w:r>
              <w:rPr>
                <w:b/>
                <w:bCs/>
                <w:i/>
                <w:iCs/>
                <w:sz w:val="22"/>
                <w:szCs w:val="22"/>
                <w:lang w:eastAsia="ro-RO"/>
              </w:rPr>
              <w:t>≤q&lt; 2940 MJ/m</w:t>
            </w:r>
            <w:r>
              <w:rPr>
                <w:b/>
                <w:bCs/>
                <w:i/>
                <w:iCs/>
                <w:sz w:val="22"/>
                <w:szCs w:val="22"/>
                <w:vertAlign w:val="superscript"/>
                <w:lang w:eastAsia="ro-RO"/>
              </w:rPr>
              <w:t>2</w:t>
            </w:r>
            <w:r>
              <w:rPr>
                <w:i/>
                <w:iCs/>
                <w:sz w:val="22"/>
                <w:szCs w:val="22"/>
                <w:lang w:eastAsia="ro-RO"/>
              </w:rPr>
              <w:t>,cu suprafata</w:t>
            </w:r>
            <w:r>
              <w:rPr>
                <w:b/>
                <w:bCs/>
                <w:i/>
                <w:iCs/>
                <w:sz w:val="22"/>
                <w:szCs w:val="22"/>
              </w:rPr>
              <w:t>&gt; 36 m²</w:t>
            </w:r>
            <w:r>
              <w:rPr>
                <w:i/>
                <w:iCs/>
                <w:sz w:val="22"/>
                <w:szCs w:val="22"/>
              </w:rPr>
              <w:t xml:space="preserve"> se admit doar în compartiment separat al clădirii înalte, alaturat, cu regim obișnuit de înălțime sau intr-o arie de maximum </w:t>
            </w:r>
            <w:r>
              <w:rPr>
                <w:b/>
                <w:bCs/>
                <w:i/>
                <w:iCs/>
                <w:sz w:val="22"/>
                <w:szCs w:val="22"/>
              </w:rPr>
              <w:t>400 mp</w:t>
            </w:r>
            <w:r>
              <w:rPr>
                <w:i/>
                <w:iCs/>
                <w:sz w:val="22"/>
                <w:szCs w:val="22"/>
              </w:rPr>
              <w:t>, doar în jumatatea inferioara a clădirii înalte.</w:t>
            </w:r>
          </w:p>
          <w:p w14:paraId="5FE1E6DF" w14:textId="77777777" w:rsidR="001C08A5" w:rsidRDefault="00000000">
            <w:pPr>
              <w:ind w:firstLine="720"/>
              <w:jc w:val="both"/>
              <w:rPr>
                <w:i/>
                <w:iCs/>
              </w:rPr>
            </w:pPr>
            <w:r>
              <w:rPr>
                <w:i/>
                <w:iCs/>
                <w:sz w:val="22"/>
                <w:szCs w:val="22"/>
              </w:rPr>
              <w:t xml:space="preserve">Incaperile cu pericol/ risc de  explozie volumetrica nu se admit în compartimentele clădirii înalte, cu excepția celor permise prin alte reglementari specifice. La activităţile permise cu risc de explozie volumetrică dispuse tehnic sau funcţional la toate nivelurile constructiei (inclusiv pe terasa ultimului nivel al construcţiei civile înalte), este obligatorie </w:t>
            </w:r>
            <w:r>
              <w:rPr>
                <w:i/>
                <w:iCs/>
                <w:sz w:val="22"/>
                <w:szCs w:val="22"/>
              </w:rPr>
              <w:lastRenderedPageBreak/>
              <w:t>asigurarea măsurilor corespunzătoare de compartimentare catre alte spatii și functiuni cu elemente rezistente la foc şi explozie volumetrică, potrivit prevederilor normativului şi ale reglementărilor tehnice aplicabile (de exemplu centrale termice amplasate pe clădiri). În construcţiile civile înalte nu este admisă manipularea, prelucrarea sau depozitarea materialelor și substanţelor cu risc de explozie volumetrică, precum și amplasarea atelierelor în care se utilizează astfel de materiale, cu excepţia celor stabilite prin reglementări specifice (laboratoare, farmacii, spitale, etc.).</w:t>
            </w:r>
          </w:p>
          <w:p w14:paraId="7862EA00" w14:textId="77777777" w:rsidR="001C08A5" w:rsidRDefault="00000000">
            <w:pPr>
              <w:ind w:firstLine="720"/>
              <w:jc w:val="both"/>
              <w:rPr>
                <w:b/>
                <w:bCs/>
                <w:i/>
                <w:iCs/>
                <w:vertAlign w:val="subscript"/>
              </w:rPr>
            </w:pPr>
            <w:r>
              <w:rPr>
                <w:i/>
                <w:iCs/>
                <w:sz w:val="22"/>
                <w:szCs w:val="22"/>
              </w:rPr>
              <w:t xml:space="preserve">Încăperile cu destinație de depozitare cu densitatea sarcinii termice mai mare de </w:t>
            </w:r>
            <w:r>
              <w:rPr>
                <w:b/>
                <w:bCs/>
                <w:i/>
                <w:iCs/>
                <w:sz w:val="22"/>
                <w:szCs w:val="22"/>
              </w:rPr>
              <w:t>210 MJ/m²</w:t>
            </w:r>
            <w:r>
              <w:rPr>
                <w:i/>
                <w:iCs/>
                <w:sz w:val="22"/>
                <w:szCs w:val="22"/>
              </w:rPr>
              <w:t xml:space="preserve"> și mai mică de</w:t>
            </w:r>
            <w:r>
              <w:rPr>
                <w:b/>
                <w:bCs/>
                <w:i/>
                <w:iCs/>
                <w:sz w:val="22"/>
                <w:szCs w:val="22"/>
              </w:rPr>
              <w:t xml:space="preserve"> 420 MJ/m²</w:t>
            </w:r>
            <w:r>
              <w:rPr>
                <w:i/>
                <w:iCs/>
                <w:sz w:val="22"/>
                <w:szCs w:val="22"/>
              </w:rPr>
              <w:t xml:space="preserve"> vor avea pereții </w:t>
            </w:r>
            <w:r>
              <w:rPr>
                <w:b/>
                <w:i/>
                <w:iCs/>
                <w:sz w:val="22"/>
                <w:szCs w:val="22"/>
              </w:rPr>
              <w:t xml:space="preserve">EI/REI 60 </w:t>
            </w:r>
            <w:r>
              <w:rPr>
                <w:bCs/>
                <w:i/>
                <w:iCs/>
                <w:sz w:val="22"/>
                <w:szCs w:val="22"/>
              </w:rPr>
              <w:t>și ușile din acestea vor fi</w:t>
            </w:r>
            <w:r>
              <w:rPr>
                <w:b/>
                <w:bCs/>
                <w:i/>
                <w:iCs/>
                <w:sz w:val="22"/>
                <w:szCs w:val="22"/>
              </w:rPr>
              <w:t>EI</w:t>
            </w:r>
            <w:r>
              <w:rPr>
                <w:b/>
                <w:bCs/>
                <w:i/>
                <w:iCs/>
                <w:sz w:val="22"/>
                <w:szCs w:val="22"/>
                <w:vertAlign w:val="subscript"/>
              </w:rPr>
              <w:t>2</w:t>
            </w:r>
            <w:r>
              <w:rPr>
                <w:b/>
                <w:bCs/>
                <w:i/>
                <w:iCs/>
                <w:sz w:val="22"/>
                <w:szCs w:val="22"/>
              </w:rPr>
              <w:t>30-C3</w:t>
            </w:r>
            <w:r>
              <w:rPr>
                <w:b/>
                <w:i/>
                <w:iCs/>
                <w:sz w:val="22"/>
                <w:szCs w:val="22"/>
              </w:rPr>
              <w:t>S</w:t>
            </w:r>
            <w:r>
              <w:rPr>
                <w:b/>
                <w:bCs/>
                <w:i/>
                <w:iCs/>
                <w:sz w:val="22"/>
                <w:szCs w:val="22"/>
                <w:vertAlign w:val="subscript"/>
              </w:rPr>
              <w:t>200.</w:t>
            </w:r>
          </w:p>
          <w:p w14:paraId="05B7FEE9" w14:textId="77777777" w:rsidR="001C08A5" w:rsidRDefault="00000000">
            <w:pPr>
              <w:ind w:firstLine="720"/>
              <w:jc w:val="both"/>
              <w:rPr>
                <w:b/>
                <w:bCs/>
                <w:i/>
                <w:iCs/>
                <w:vertAlign w:val="subscript"/>
              </w:rPr>
            </w:pPr>
            <w:r>
              <w:rPr>
                <w:i/>
                <w:iCs/>
                <w:sz w:val="22"/>
                <w:szCs w:val="22"/>
              </w:rPr>
              <w:t xml:space="preserve">Încăperile de depozitare cu aria utilă mai mare de </w:t>
            </w:r>
            <w:r>
              <w:rPr>
                <w:b/>
                <w:bCs/>
                <w:i/>
                <w:iCs/>
                <w:sz w:val="22"/>
                <w:szCs w:val="22"/>
              </w:rPr>
              <w:t>36 m²</w:t>
            </w:r>
            <w:r>
              <w:rPr>
                <w:i/>
                <w:iCs/>
                <w:sz w:val="22"/>
                <w:szCs w:val="22"/>
              </w:rPr>
              <w:t xml:space="preserve"> şi sarcina termica mai mare de </w:t>
            </w:r>
            <w:r>
              <w:rPr>
                <w:b/>
                <w:bCs/>
                <w:i/>
                <w:iCs/>
                <w:sz w:val="22"/>
                <w:szCs w:val="22"/>
              </w:rPr>
              <w:t>105MJ/m²</w:t>
            </w:r>
            <w:r>
              <w:rPr>
                <w:i/>
                <w:iCs/>
                <w:sz w:val="22"/>
                <w:szCs w:val="22"/>
              </w:rPr>
              <w:t xml:space="preserve"> 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i/>
                <w:iCs/>
                <w:sz w:val="22"/>
                <w:szCs w:val="22"/>
              </w:rPr>
              <w:t>1%</w:t>
            </w:r>
            <w:r>
              <w:rPr>
                <w:i/>
                <w:iCs/>
                <w:sz w:val="22"/>
                <w:szCs w:val="22"/>
              </w:rPr>
              <w:t xml:space="preserve"> din </w:t>
            </w:r>
            <w:r>
              <w:rPr>
                <w:i/>
                <w:iCs/>
                <w:sz w:val="22"/>
                <w:szCs w:val="22"/>
                <w:lang w:eastAsia="ro-RO"/>
              </w:rPr>
              <w:t>suprafaţă pardoselii</w:t>
            </w:r>
            <w:r>
              <w:rPr>
                <w:i/>
                <w:iCs/>
                <w:sz w:val="22"/>
                <w:szCs w:val="22"/>
              </w:rPr>
              <w:t>. Atunci când evacuarea fumului se asigură prin ventilare mecanică, se respectă prevederile normativului şi/ sau ale reglementărilor tehnice de specialitate.</w:t>
            </w:r>
          </w:p>
        </w:tc>
      </w:tr>
    </w:tbl>
    <w:p w14:paraId="61A35862" w14:textId="77777777" w:rsidR="001C08A5" w:rsidRDefault="001C08A5">
      <w:pPr>
        <w:jc w:val="both"/>
        <w:rPr>
          <w:b/>
          <w:sz w:val="24"/>
          <w:szCs w:val="24"/>
        </w:rPr>
      </w:pPr>
    </w:p>
    <w:p w14:paraId="528287BC" w14:textId="77777777" w:rsidR="001C08A5" w:rsidRDefault="00000000">
      <w:pPr>
        <w:ind w:firstLine="720"/>
        <w:jc w:val="both"/>
        <w:rPr>
          <w:sz w:val="24"/>
          <w:szCs w:val="24"/>
        </w:rPr>
      </w:pPr>
      <w:r>
        <w:rPr>
          <w:b/>
          <w:sz w:val="24"/>
          <w:szCs w:val="24"/>
        </w:rPr>
        <w:t>Art. 4.1.4.9. (1)</w:t>
      </w:r>
      <w:r>
        <w:rPr>
          <w:sz w:val="24"/>
          <w:szCs w:val="24"/>
        </w:rPr>
        <w:t xml:space="preserve"> Elementele de compartimentare dintre spaţiile de parcare a autoturismelor şi clădirile înalte de care se alipesc sau în care se înglobează, trebuie să fie clasa de reacţie la foc </w:t>
      </w:r>
      <w:r>
        <w:rPr>
          <w:b/>
          <w:bCs/>
          <w:sz w:val="24"/>
          <w:szCs w:val="24"/>
        </w:rPr>
        <w:t xml:space="preserve">A1 </w:t>
      </w:r>
      <w:r>
        <w:rPr>
          <w:sz w:val="24"/>
          <w:szCs w:val="24"/>
        </w:rPr>
        <w:t xml:space="preserve">sau </w:t>
      </w:r>
      <w:r>
        <w:rPr>
          <w:b/>
          <w:bCs/>
          <w:sz w:val="24"/>
          <w:szCs w:val="24"/>
        </w:rPr>
        <w:t>A2-s1d0</w:t>
      </w:r>
      <w:r>
        <w:rPr>
          <w:sz w:val="24"/>
          <w:szCs w:val="24"/>
        </w:rPr>
        <w:t xml:space="preserve">, rezistente la foc minimum </w:t>
      </w:r>
      <w:r>
        <w:rPr>
          <w:b/>
          <w:sz w:val="24"/>
          <w:szCs w:val="24"/>
        </w:rPr>
        <w:t>EI/REI 240</w:t>
      </w:r>
      <w:r>
        <w:rPr>
          <w:sz w:val="24"/>
          <w:szCs w:val="24"/>
        </w:rPr>
        <w:t xml:space="preserve"> pentru pereţi şi minimum</w:t>
      </w:r>
      <w:r>
        <w:rPr>
          <w:b/>
          <w:sz w:val="24"/>
          <w:szCs w:val="24"/>
        </w:rPr>
        <w:t xml:space="preserve"> REI 180</w:t>
      </w:r>
      <w:r>
        <w:rPr>
          <w:sz w:val="24"/>
          <w:szCs w:val="24"/>
        </w:rPr>
        <w:t xml:space="preserve"> pentru planşee. </w:t>
      </w:r>
    </w:p>
    <w:p w14:paraId="749E12DB" w14:textId="77777777" w:rsidR="001C08A5" w:rsidRDefault="00000000">
      <w:pPr>
        <w:ind w:firstLine="720"/>
        <w:jc w:val="both"/>
        <w:rPr>
          <w:sz w:val="24"/>
          <w:szCs w:val="24"/>
        </w:rPr>
      </w:pPr>
      <w:r>
        <w:rPr>
          <w:b/>
          <w:sz w:val="24"/>
          <w:szCs w:val="24"/>
        </w:rPr>
        <w:t>(2)</w:t>
      </w:r>
      <w:r>
        <w:rPr>
          <w:sz w:val="24"/>
          <w:szCs w:val="24"/>
        </w:rPr>
        <w:t xml:space="preserve"> În aceşti pereţi de compartimentare se admite practicarea golurilor de comunicare funcţională, dacă sunt protejate cu încăperi tampon protejate ventilate în suprapresiune, echipate cu uşi rezistente la foc și etanșe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 xml:space="preserve"> și prevăzute cu suprapresiune sau cu sisteme de evacuare a fumului şi gazelor fierbinţi în caz de incendiu. </w:t>
      </w:r>
    </w:p>
    <w:p w14:paraId="6F465A69" w14:textId="77777777" w:rsidR="001C08A5" w:rsidRDefault="001C08A5">
      <w:pPr>
        <w:jc w:val="both"/>
        <w:rPr>
          <w:sz w:val="24"/>
          <w:szCs w:val="24"/>
        </w:rPr>
      </w:pPr>
    </w:p>
    <w:p w14:paraId="79075BE9" w14:textId="77777777" w:rsidR="001C08A5" w:rsidRDefault="00000000">
      <w:pPr>
        <w:jc w:val="both"/>
        <w:rPr>
          <w:sz w:val="24"/>
          <w:szCs w:val="24"/>
        </w:rPr>
      </w:pPr>
      <w:r>
        <w:rPr>
          <w:b/>
          <w:sz w:val="24"/>
          <w:szCs w:val="24"/>
        </w:rPr>
        <w:tab/>
        <w:t>Art. 4.1.4.10. (1)</w:t>
      </w:r>
      <w:r>
        <w:rPr>
          <w:sz w:val="24"/>
          <w:szCs w:val="24"/>
        </w:rPr>
        <w:t xml:space="preserve"> Ascensoarele </w:t>
      </w:r>
      <w:r>
        <w:rPr>
          <w:iCs/>
          <w:sz w:val="24"/>
          <w:szCs w:val="24"/>
        </w:rPr>
        <w:t>prevăzute pentru circulația funcțională a persoanelor</w:t>
      </w:r>
      <w:r>
        <w:rPr>
          <w:sz w:val="24"/>
          <w:szCs w:val="24"/>
        </w:rPr>
        <w:t xml:space="preserve">, de marfă, </w:t>
      </w:r>
      <w:r>
        <w:rPr>
          <w:bCs/>
          <w:sz w:val="24"/>
          <w:szCs w:val="24"/>
        </w:rPr>
        <w:t>tip monte-charge și alte sisteme de transport materiale pe verticală</w:t>
      </w:r>
      <w:r>
        <w:rPr>
          <w:sz w:val="24"/>
          <w:szCs w:val="24"/>
        </w:rPr>
        <w:t xml:space="preserve"> din clădirile înalte vor fi realizate conform legislaţiei specifice și vor avea puţuri de ascensoare proprii, separate de restul construcţiei prin pereţi rezistenţi la foc minimum </w:t>
      </w:r>
      <w:r>
        <w:rPr>
          <w:b/>
          <w:sz w:val="24"/>
          <w:szCs w:val="24"/>
        </w:rPr>
        <w:t xml:space="preserve">EI/REI 120, </w:t>
      </w:r>
      <w:r>
        <w:rPr>
          <w:sz w:val="24"/>
          <w:szCs w:val="24"/>
        </w:rPr>
        <w:t xml:space="preserve">pentru ascensoarele </w:t>
      </w:r>
      <w:r>
        <w:rPr>
          <w:iCs/>
          <w:sz w:val="24"/>
          <w:szCs w:val="24"/>
        </w:rPr>
        <w:t>prevăzute pentru circulația funcțională a persoanelor</w:t>
      </w:r>
      <w:r>
        <w:rPr>
          <w:b/>
          <w:sz w:val="24"/>
          <w:szCs w:val="24"/>
        </w:rPr>
        <w:t xml:space="preserve">, </w:t>
      </w:r>
      <w:r>
        <w:rPr>
          <w:sz w:val="24"/>
          <w:szCs w:val="24"/>
        </w:rPr>
        <w:t>respectiv</w:t>
      </w:r>
      <w:r>
        <w:rPr>
          <w:b/>
          <w:sz w:val="24"/>
          <w:szCs w:val="24"/>
        </w:rPr>
        <w:t xml:space="preserve"> EI/REI 180 </w:t>
      </w:r>
      <w:r>
        <w:rPr>
          <w:sz w:val="24"/>
          <w:szCs w:val="24"/>
        </w:rPr>
        <w:t xml:space="preserve">pentru celelalte tipuri de ascensoare ori sistemeşi, după caz, planşee rezistente la foc minimum </w:t>
      </w:r>
      <w:r>
        <w:rPr>
          <w:b/>
          <w:sz w:val="24"/>
          <w:szCs w:val="24"/>
        </w:rPr>
        <w:t>REI 120</w:t>
      </w:r>
      <w:r>
        <w:rPr>
          <w:sz w:val="24"/>
          <w:szCs w:val="24"/>
        </w:rPr>
        <w:t xml:space="preserve">, </w:t>
      </w:r>
      <w:r>
        <w:rPr>
          <w:bCs/>
          <w:sz w:val="24"/>
          <w:szCs w:val="24"/>
        </w:rPr>
        <w:t xml:space="preserve">clasa de reacţie la foc </w:t>
      </w:r>
      <w:r>
        <w:rPr>
          <w:b/>
          <w:sz w:val="24"/>
          <w:szCs w:val="24"/>
        </w:rPr>
        <w:t xml:space="preserve">A1 </w:t>
      </w:r>
      <w:r>
        <w:rPr>
          <w:sz w:val="24"/>
          <w:szCs w:val="24"/>
        </w:rPr>
        <w:t xml:space="preserve">sau </w:t>
      </w:r>
      <w:r>
        <w:rPr>
          <w:b/>
          <w:sz w:val="24"/>
          <w:szCs w:val="24"/>
        </w:rPr>
        <w:t>A2-s1d0</w:t>
      </w:r>
      <w:r>
        <w:rPr>
          <w:bCs/>
          <w:sz w:val="24"/>
          <w:szCs w:val="24"/>
        </w:rPr>
        <w:t xml:space="preserve">. </w:t>
      </w:r>
      <w:r>
        <w:rPr>
          <w:sz w:val="24"/>
          <w:szCs w:val="24"/>
        </w:rPr>
        <w:t>În pereţii puţurilor de ascensoare sunt admise numai golurile funcţionale de acces din nivelurile clădirii (uşi de palier).</w:t>
      </w:r>
    </w:p>
    <w:p w14:paraId="2A5DFDE5" w14:textId="77777777" w:rsidR="001C08A5" w:rsidRDefault="00000000">
      <w:pPr>
        <w:ind w:firstLine="720"/>
        <w:jc w:val="both"/>
        <w:rPr>
          <w:sz w:val="24"/>
          <w:szCs w:val="24"/>
        </w:rPr>
      </w:pPr>
      <w:r>
        <w:rPr>
          <w:b/>
          <w:sz w:val="24"/>
          <w:szCs w:val="24"/>
        </w:rPr>
        <w:t>(2)</w:t>
      </w:r>
      <w:r>
        <w:rPr>
          <w:sz w:val="24"/>
          <w:szCs w:val="24"/>
        </w:rPr>
        <w:t xml:space="preserve"> Într-un puţ se pot amplasa maximum trei cabine de ascensor </w:t>
      </w:r>
      <w:r>
        <w:rPr>
          <w:iCs/>
          <w:sz w:val="24"/>
          <w:szCs w:val="24"/>
        </w:rPr>
        <w:t>prevăzute pentru circulația funcțională a persoanelor</w:t>
      </w:r>
      <w:r>
        <w:rPr>
          <w:sz w:val="24"/>
          <w:szCs w:val="24"/>
        </w:rPr>
        <w:t>.</w:t>
      </w:r>
    </w:p>
    <w:p w14:paraId="72E20498" w14:textId="77777777" w:rsidR="001C08A5" w:rsidRDefault="001C08A5">
      <w:pPr>
        <w:ind w:firstLine="720"/>
        <w:jc w:val="both"/>
        <w:rPr>
          <w:sz w:val="24"/>
          <w:szCs w:val="24"/>
        </w:rPr>
      </w:pPr>
    </w:p>
    <w:p w14:paraId="63D72338" w14:textId="77777777" w:rsidR="001C08A5" w:rsidRDefault="00000000">
      <w:pPr>
        <w:ind w:firstLine="720"/>
        <w:jc w:val="both"/>
        <w:rPr>
          <w:b/>
          <w:sz w:val="24"/>
          <w:szCs w:val="24"/>
        </w:rPr>
      </w:pPr>
      <w:r>
        <w:rPr>
          <w:b/>
          <w:sz w:val="24"/>
          <w:szCs w:val="24"/>
        </w:rPr>
        <w:t xml:space="preserve">Art. 4.1.4.11. (1) </w:t>
      </w:r>
      <w:r>
        <w:rPr>
          <w:sz w:val="24"/>
          <w:szCs w:val="24"/>
        </w:rPr>
        <w:t xml:space="preserve">La nivelurile supraterane ale clădirii înalte, accesul la ascensoarele </w:t>
      </w:r>
      <w:r>
        <w:rPr>
          <w:iCs/>
          <w:sz w:val="24"/>
          <w:szCs w:val="24"/>
        </w:rPr>
        <w:t>prevăzute pentru circulația funcțională a persoanelor</w:t>
      </w:r>
      <w:r>
        <w:rPr>
          <w:sz w:val="24"/>
          <w:szCs w:val="24"/>
        </w:rPr>
        <w:t xml:space="preserve"> se asigură prin uşi de palier (ale ascensoarelor) rezistente la foc </w:t>
      </w:r>
      <w:r>
        <w:rPr>
          <w:b/>
          <w:sz w:val="24"/>
          <w:szCs w:val="24"/>
        </w:rPr>
        <w:t>EI 90</w:t>
      </w:r>
      <w:r>
        <w:rPr>
          <w:bCs/>
          <w:sz w:val="24"/>
          <w:szCs w:val="24"/>
        </w:rPr>
        <w:t>;</w:t>
      </w:r>
    </w:p>
    <w:p w14:paraId="4F6EF9AE" w14:textId="77777777" w:rsidR="001C08A5" w:rsidRDefault="00000000">
      <w:pPr>
        <w:widowControl w:val="0"/>
        <w:ind w:firstLine="720"/>
        <w:jc w:val="both"/>
        <w:rPr>
          <w:b/>
          <w:sz w:val="24"/>
          <w:szCs w:val="24"/>
        </w:rPr>
      </w:pPr>
      <w:r>
        <w:rPr>
          <w:b/>
          <w:sz w:val="24"/>
          <w:szCs w:val="24"/>
        </w:rPr>
        <w:t xml:space="preserve">(2) </w:t>
      </w:r>
      <w:r>
        <w:rPr>
          <w:sz w:val="24"/>
          <w:szCs w:val="24"/>
        </w:rPr>
        <w:t xml:space="preserve">La nivelurile subterane ale clădirii înalte, accesul la ascensoarele </w:t>
      </w:r>
      <w:r>
        <w:rPr>
          <w:iCs/>
          <w:sz w:val="24"/>
          <w:szCs w:val="24"/>
        </w:rPr>
        <w:t>prevăzute pentru circulația funcțională a persoanelor</w:t>
      </w:r>
      <w:r>
        <w:rPr>
          <w:sz w:val="24"/>
          <w:szCs w:val="24"/>
        </w:rPr>
        <w:t xml:space="preserve"> se asigură prin realizarea unor încăperi tampon ventilate în suprapresiune, prevăzute cu uşi etanșe la foc și la fum </w:t>
      </w:r>
      <w:r>
        <w:rPr>
          <w:b/>
          <w:sz w:val="24"/>
          <w:szCs w:val="24"/>
        </w:rPr>
        <w:t>E30-C5S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 xml:space="preserve">EI90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90.</w:t>
      </w:r>
    </w:p>
    <w:p w14:paraId="6F6D55FC" w14:textId="77777777" w:rsidR="001C08A5" w:rsidRDefault="00000000">
      <w:pPr>
        <w:ind w:firstLine="720"/>
        <w:jc w:val="both"/>
        <w:rPr>
          <w:bCs/>
          <w:sz w:val="24"/>
          <w:szCs w:val="24"/>
        </w:rPr>
      </w:pPr>
      <w:r>
        <w:rPr>
          <w:b/>
          <w:sz w:val="24"/>
          <w:szCs w:val="24"/>
        </w:rPr>
        <w:lastRenderedPageBreak/>
        <w:t xml:space="preserve">(3) </w:t>
      </w:r>
      <w:r>
        <w:rPr>
          <w:bCs/>
          <w:sz w:val="24"/>
          <w:szCs w:val="24"/>
        </w:rPr>
        <w:t>Fac excepţie subsolurile cu risc mic de incendiu, care se separă la fel cu nivelurile supraterane.</w:t>
      </w:r>
    </w:p>
    <w:p w14:paraId="50889337" w14:textId="77777777" w:rsidR="001C08A5" w:rsidRDefault="001C08A5">
      <w:pPr>
        <w:widowControl w:val="0"/>
        <w:jc w:val="both"/>
        <w:rPr>
          <w:b/>
          <w:sz w:val="24"/>
          <w:szCs w:val="24"/>
        </w:rPr>
      </w:pPr>
    </w:p>
    <w:p w14:paraId="228489C3" w14:textId="77777777" w:rsidR="001C08A5" w:rsidRDefault="00000000">
      <w:pPr>
        <w:ind w:firstLine="720"/>
        <w:jc w:val="both"/>
        <w:rPr>
          <w:b/>
          <w:sz w:val="24"/>
          <w:szCs w:val="24"/>
        </w:rPr>
      </w:pPr>
      <w:r>
        <w:rPr>
          <w:b/>
          <w:sz w:val="24"/>
          <w:szCs w:val="24"/>
        </w:rPr>
        <w:t xml:space="preserve">Art. 4.1.4.12. (1) </w:t>
      </w:r>
      <w:r>
        <w:rPr>
          <w:sz w:val="24"/>
          <w:szCs w:val="24"/>
        </w:rPr>
        <w:t xml:space="preserve">La nivelurile supraterane ale clădirii înalte, accesul la ascensoarele de marfă, tip monte-charge și la alte sisteme de transport materiale pe verticală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EI90</w:t>
      </w:r>
      <w:r>
        <w:rPr>
          <w:sz w:val="24"/>
          <w:szCs w:val="24"/>
        </w:rPr>
        <w:t xml:space="preserve"> la ușile de palier ale ascensoarelor; </w:t>
      </w:r>
      <w:r>
        <w:rPr>
          <w:bCs/>
          <w:sz w:val="24"/>
          <w:szCs w:val="24"/>
        </w:rPr>
        <w:t xml:space="preserve">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90.</w:t>
      </w:r>
    </w:p>
    <w:p w14:paraId="51A5BD14" w14:textId="77777777" w:rsidR="001C08A5" w:rsidRDefault="00000000">
      <w:pPr>
        <w:widowControl w:val="0"/>
        <w:ind w:firstLine="720"/>
        <w:jc w:val="both"/>
        <w:rPr>
          <w:b/>
          <w:sz w:val="24"/>
          <w:szCs w:val="24"/>
        </w:rPr>
      </w:pPr>
      <w:r>
        <w:rPr>
          <w:b/>
          <w:sz w:val="24"/>
          <w:szCs w:val="24"/>
        </w:rPr>
        <w:t xml:space="preserve">(2) </w:t>
      </w:r>
      <w:r>
        <w:rPr>
          <w:sz w:val="24"/>
          <w:szCs w:val="24"/>
        </w:rPr>
        <w:t xml:space="preserve">La nivelurile subterane ale clădirii înalte, accesul la ascensoarele ascensoarele de marfă, tip monte-charge și la alte sisteme de transport materiale pe verticală se asigură prin realizarea unor încăperi tampon ventilate în suprapresiune, prevăzute cu uşi etanșe la foc și la fum </w:t>
      </w:r>
      <w:r>
        <w:rPr>
          <w:b/>
          <w:sz w:val="24"/>
          <w:szCs w:val="24"/>
        </w:rPr>
        <w:t>E90-C5S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 xml:space="preserve">EI90 </w:t>
      </w:r>
      <w:r>
        <w:rPr>
          <w:sz w:val="24"/>
          <w:szCs w:val="24"/>
        </w:rPr>
        <w:t xml:space="preserve">la ușile ascensoarelor; </w:t>
      </w:r>
      <w:r>
        <w:rPr>
          <w:bCs/>
          <w:sz w:val="24"/>
          <w:szCs w:val="24"/>
        </w:rPr>
        <w:t xml:space="preserve">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90.</w:t>
      </w:r>
    </w:p>
    <w:p w14:paraId="5E538DCB" w14:textId="77777777" w:rsidR="001C08A5" w:rsidRDefault="00000000">
      <w:pPr>
        <w:widowControl w:val="0"/>
        <w:ind w:firstLine="720"/>
        <w:jc w:val="both"/>
        <w:rPr>
          <w:sz w:val="24"/>
          <w:szCs w:val="24"/>
        </w:rPr>
      </w:pPr>
      <w:r>
        <w:rPr>
          <w:b/>
          <w:bCs/>
          <w:iCs/>
          <w:sz w:val="24"/>
          <w:szCs w:val="24"/>
        </w:rPr>
        <w:t xml:space="preserve">(3) </w:t>
      </w:r>
      <w:r>
        <w:rPr>
          <w:sz w:val="24"/>
          <w:szCs w:val="24"/>
        </w:rPr>
        <w:t>Dacă cel puțin o stație debușează într-un spațiu care necesită uși cu caracteristici de performanță privind rezistența la foc mai mari (generate de funcțiune sau densitate de sarcină termică), golurile de acces la ascensoare se vor conforma (cel puțin pe nivelul respectiv, în funcție de situație) cu uși și pereți la încăperea tampon, în acord cu acele condiții.</w:t>
      </w:r>
    </w:p>
    <w:p w14:paraId="4673834E" w14:textId="77777777" w:rsidR="001C08A5" w:rsidRDefault="00000000">
      <w:pPr>
        <w:ind w:firstLine="720"/>
        <w:jc w:val="both"/>
        <w:rPr>
          <w:sz w:val="24"/>
          <w:szCs w:val="24"/>
        </w:rPr>
      </w:pPr>
      <w:r>
        <w:rPr>
          <w:b/>
          <w:sz w:val="24"/>
          <w:szCs w:val="24"/>
        </w:rPr>
        <w:t>(4)</w:t>
      </w:r>
      <w:r>
        <w:rPr>
          <w:sz w:val="24"/>
          <w:szCs w:val="24"/>
        </w:rPr>
        <w:t xml:space="preserve"> Se recomandă ca puţurile ascesoarelor aferente subsolurilor clădirilor înalte să fie separate de ascensoarele nivelurilor supraterane. </w:t>
      </w:r>
    </w:p>
    <w:p w14:paraId="58812A04" w14:textId="77777777" w:rsidR="001C08A5" w:rsidRDefault="001C08A5">
      <w:pPr>
        <w:ind w:firstLine="720"/>
        <w:jc w:val="both"/>
        <w:rPr>
          <w:sz w:val="24"/>
          <w:szCs w:val="24"/>
        </w:rPr>
      </w:pPr>
    </w:p>
    <w:p w14:paraId="6E35BDC2" w14:textId="77777777" w:rsidR="001C08A5" w:rsidRDefault="00000000">
      <w:pPr>
        <w:ind w:firstLine="720"/>
        <w:jc w:val="both"/>
        <w:rPr>
          <w:sz w:val="24"/>
          <w:szCs w:val="24"/>
        </w:rPr>
      </w:pPr>
      <w:r>
        <w:rPr>
          <w:b/>
          <w:sz w:val="24"/>
          <w:szCs w:val="24"/>
        </w:rPr>
        <w:t xml:space="preserve">Art. 4.1.4.13. (1) </w:t>
      </w:r>
      <w:r>
        <w:rPr>
          <w:sz w:val="24"/>
          <w:szCs w:val="24"/>
        </w:rPr>
        <w:t xml:space="preserve">În clădiri civile înalte, ascensoarele </w:t>
      </w:r>
      <w:r>
        <w:rPr>
          <w:iCs/>
          <w:sz w:val="24"/>
          <w:szCs w:val="24"/>
        </w:rPr>
        <w:t>prevăzute pentru circulația funcțională a persoanelor</w:t>
      </w:r>
      <w:r>
        <w:rPr>
          <w:sz w:val="24"/>
          <w:szCs w:val="24"/>
        </w:rPr>
        <w:t xml:space="preserve"> cu căruciorul sau a persoanelor cu dizabilităţi care pot fi utilizate şi pentru evacuarea asistată a acestora în caz de incendiu, atunci când respectă simultan următoarele condiţii:</w:t>
      </w:r>
    </w:p>
    <w:p w14:paraId="1EBDA14E" w14:textId="77777777" w:rsidR="001C08A5" w:rsidRDefault="00000000">
      <w:pPr>
        <w:ind w:left="2835"/>
        <w:jc w:val="both"/>
        <w:rPr>
          <w:sz w:val="24"/>
          <w:szCs w:val="24"/>
        </w:rPr>
      </w:pPr>
      <w:r>
        <w:rPr>
          <w:b/>
          <w:sz w:val="24"/>
          <w:szCs w:val="24"/>
        </w:rPr>
        <w:t xml:space="preserve">a) </w:t>
      </w:r>
      <w:r>
        <w:rPr>
          <w:sz w:val="24"/>
          <w:szCs w:val="24"/>
        </w:rPr>
        <w:t xml:space="preserve">sunt prevăzute cu puţ propriu, echipat cu instalaţie în suprapresiune, separat de restul construcţiei cu pereţi </w:t>
      </w:r>
      <w:r>
        <w:rPr>
          <w:bCs/>
          <w:sz w:val="24"/>
          <w:szCs w:val="24"/>
        </w:rPr>
        <w:t xml:space="preserve">clasa de reacţie la foc </w:t>
      </w:r>
      <w:r>
        <w:rPr>
          <w:b/>
          <w:sz w:val="24"/>
          <w:szCs w:val="24"/>
        </w:rPr>
        <w:t>A1</w:t>
      </w:r>
      <w:r>
        <w:rPr>
          <w:bCs/>
          <w:sz w:val="24"/>
          <w:szCs w:val="24"/>
        </w:rPr>
        <w:t xml:space="preserve"> sau </w:t>
      </w:r>
      <w:r>
        <w:rPr>
          <w:b/>
          <w:sz w:val="24"/>
          <w:szCs w:val="24"/>
        </w:rPr>
        <w:t xml:space="preserve">A2-s1d0 </w:t>
      </w:r>
      <w:r>
        <w:rPr>
          <w:sz w:val="24"/>
          <w:szCs w:val="24"/>
        </w:rPr>
        <w:t xml:space="preserve">rezistenţi la foc minimum </w:t>
      </w:r>
      <w:r>
        <w:rPr>
          <w:b/>
          <w:sz w:val="24"/>
          <w:szCs w:val="24"/>
        </w:rPr>
        <w:t>EI/REI 120</w:t>
      </w:r>
      <w:r>
        <w:rPr>
          <w:bCs/>
          <w:sz w:val="24"/>
          <w:szCs w:val="24"/>
        </w:rPr>
        <w:t xml:space="preserve"> și </w:t>
      </w:r>
      <w:r>
        <w:rPr>
          <w:sz w:val="24"/>
          <w:szCs w:val="24"/>
        </w:rPr>
        <w:t xml:space="preserve">planşee </w:t>
      </w:r>
      <w:r>
        <w:rPr>
          <w:bCs/>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rezistente la foc minimum </w:t>
      </w:r>
      <w:r>
        <w:rPr>
          <w:b/>
          <w:bCs/>
          <w:sz w:val="24"/>
          <w:szCs w:val="24"/>
        </w:rPr>
        <w:t>REI 90</w:t>
      </w:r>
      <w:r>
        <w:rPr>
          <w:sz w:val="24"/>
          <w:szCs w:val="24"/>
        </w:rPr>
        <w:t xml:space="preserve">; </w:t>
      </w:r>
    </w:p>
    <w:p w14:paraId="6BE2017A" w14:textId="77777777" w:rsidR="001C08A5" w:rsidRDefault="00000000">
      <w:pPr>
        <w:ind w:left="2835"/>
        <w:jc w:val="both"/>
        <w:rPr>
          <w:sz w:val="24"/>
          <w:szCs w:val="24"/>
        </w:rPr>
      </w:pPr>
      <w:r>
        <w:rPr>
          <w:b/>
          <w:sz w:val="24"/>
          <w:szCs w:val="24"/>
        </w:rPr>
        <w:t xml:space="preserve">b) </w:t>
      </w:r>
      <w:r>
        <w:rPr>
          <w:sz w:val="24"/>
          <w:szCs w:val="24"/>
        </w:rPr>
        <w:t xml:space="preserve">au asigurată funcţionarea timp de minimum </w:t>
      </w:r>
      <w:r>
        <w:rPr>
          <w:b/>
          <w:sz w:val="24"/>
          <w:szCs w:val="24"/>
        </w:rPr>
        <w:t xml:space="preserve">90 </w:t>
      </w:r>
      <w:r>
        <w:rPr>
          <w:sz w:val="24"/>
          <w:szCs w:val="24"/>
        </w:rPr>
        <w:t xml:space="preserve">minute de la izbucnirea incendiului; </w:t>
      </w:r>
    </w:p>
    <w:p w14:paraId="585FA4D9" w14:textId="77777777" w:rsidR="001C08A5" w:rsidRDefault="00000000">
      <w:pPr>
        <w:ind w:left="2835"/>
        <w:jc w:val="both"/>
        <w:rPr>
          <w:sz w:val="24"/>
          <w:szCs w:val="24"/>
        </w:rPr>
      </w:pPr>
      <w:r>
        <w:rPr>
          <w:b/>
          <w:sz w:val="24"/>
          <w:szCs w:val="24"/>
        </w:rPr>
        <w:t>c)</w:t>
      </w:r>
      <w:r>
        <w:rPr>
          <w:sz w:val="24"/>
          <w:szCs w:val="24"/>
        </w:rPr>
        <w:t xml:space="preserve"> respectă prevederile </w:t>
      </w:r>
      <w:r>
        <w:rPr>
          <w:b/>
          <w:sz w:val="24"/>
          <w:szCs w:val="24"/>
        </w:rPr>
        <w:t>Art. 3.1.4.4. alin. (3), lit. (c), (d), (e), (f) și (g)</w:t>
      </w:r>
      <w:r>
        <w:rPr>
          <w:sz w:val="24"/>
          <w:szCs w:val="24"/>
        </w:rPr>
        <w:t>.</w:t>
      </w:r>
    </w:p>
    <w:p w14:paraId="6843F8AA" w14:textId="77777777" w:rsidR="001C08A5" w:rsidRDefault="00000000">
      <w:pPr>
        <w:ind w:firstLine="720"/>
        <w:jc w:val="both"/>
        <w:rPr>
          <w:b/>
          <w:sz w:val="24"/>
          <w:szCs w:val="24"/>
        </w:rPr>
      </w:pPr>
      <w:r>
        <w:rPr>
          <w:b/>
          <w:sz w:val="24"/>
          <w:szCs w:val="24"/>
        </w:rPr>
        <w:t xml:space="preserve">(2) </w:t>
      </w:r>
      <w:r>
        <w:rPr>
          <w:sz w:val="24"/>
          <w:szCs w:val="24"/>
        </w:rPr>
        <w:t xml:space="preserve">La nivelurile supraterane ale clădirii înalte, accesul la ascensoarele </w:t>
      </w:r>
      <w:r>
        <w:rPr>
          <w:iCs/>
          <w:sz w:val="24"/>
          <w:szCs w:val="24"/>
        </w:rPr>
        <w:t xml:space="preserve">prevăzute pentru circulația funcțională a persoanelor </w:t>
      </w:r>
      <w:r>
        <w:rPr>
          <w:sz w:val="24"/>
          <w:szCs w:val="24"/>
        </w:rPr>
        <w:t xml:space="preserve">cu căruciorul sau a persoanelor cu dizabilităţi care pot fi utilizate şi pentru evacuarea asistată a acestora în caz de incendiu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30-C5S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 xml:space="preserve">EI90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90.</w:t>
      </w:r>
    </w:p>
    <w:p w14:paraId="12A777D0" w14:textId="77777777" w:rsidR="001C08A5" w:rsidRDefault="00000000">
      <w:pPr>
        <w:widowControl w:val="0"/>
        <w:ind w:firstLine="720"/>
        <w:jc w:val="both"/>
        <w:rPr>
          <w:b/>
          <w:sz w:val="24"/>
          <w:szCs w:val="24"/>
        </w:rPr>
      </w:pPr>
      <w:r>
        <w:rPr>
          <w:b/>
          <w:sz w:val="24"/>
          <w:szCs w:val="24"/>
        </w:rPr>
        <w:t xml:space="preserve">(3) </w:t>
      </w:r>
      <w:r>
        <w:rPr>
          <w:sz w:val="24"/>
          <w:szCs w:val="24"/>
        </w:rPr>
        <w:t xml:space="preserve">La nivelurile subterane ale clădirii înalte, accesul la ascensoarele </w:t>
      </w:r>
      <w:r>
        <w:rPr>
          <w:iCs/>
          <w:sz w:val="24"/>
          <w:szCs w:val="24"/>
        </w:rPr>
        <w:t>prevăzute pentru circulația funcțională a persoanelor</w:t>
      </w:r>
      <w:r>
        <w:rPr>
          <w:sz w:val="24"/>
          <w:szCs w:val="24"/>
        </w:rPr>
        <w:t xml:space="preserve">cu căruciorul sau a persoanelor cu dizabilităţi care pot fi utilizate şi pentru evacuarea asistată a acestora în caz de incendiu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200</w:t>
      </w:r>
      <w:r>
        <w:rPr>
          <w:sz w:val="24"/>
          <w:szCs w:val="24"/>
        </w:rPr>
        <w:t xml:space="preserve">către circulaţiile comune orizontale și uși rezistente la foc </w:t>
      </w:r>
      <w:r>
        <w:rPr>
          <w:b/>
          <w:bCs/>
          <w:sz w:val="24"/>
          <w:szCs w:val="24"/>
        </w:rPr>
        <w:t xml:space="preserve">EI90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90.</w:t>
      </w:r>
    </w:p>
    <w:p w14:paraId="3DAC292D" w14:textId="77777777" w:rsidR="001C08A5" w:rsidRDefault="00000000">
      <w:pPr>
        <w:ind w:firstLine="720"/>
        <w:jc w:val="both"/>
        <w:rPr>
          <w:b/>
          <w:sz w:val="24"/>
          <w:szCs w:val="24"/>
        </w:rPr>
      </w:pPr>
      <w:r>
        <w:rPr>
          <w:rFonts w:eastAsia="Arial"/>
          <w:b/>
          <w:bCs/>
          <w:sz w:val="24"/>
          <w:szCs w:val="24"/>
        </w:rPr>
        <w:t>(4)</w:t>
      </w:r>
      <w:r>
        <w:rPr>
          <w:rFonts w:eastAsia="Arial"/>
          <w:sz w:val="24"/>
          <w:szCs w:val="24"/>
        </w:rPr>
        <w:t xml:space="preserve"> Dacă </w:t>
      </w:r>
      <w:r>
        <w:rPr>
          <w:iCs/>
          <w:sz w:val="24"/>
          <w:szCs w:val="24"/>
        </w:rPr>
        <w:t>ascensoarele</w:t>
      </w:r>
      <w:r>
        <w:rPr>
          <w:sz w:val="24"/>
          <w:szCs w:val="24"/>
        </w:rPr>
        <w:t xml:space="preserve"> care pot fi utilizate şi pentru evacuarea asistată a persoanelor cu căruciorul sau a persoanelor cu dizabilităţi</w:t>
      </w:r>
      <w:r>
        <w:rPr>
          <w:rFonts w:eastAsia="Arial"/>
          <w:sz w:val="24"/>
          <w:szCs w:val="24"/>
        </w:rPr>
        <w:t xml:space="preserve"> au cabina cu două accese, toate </w:t>
      </w:r>
      <w:r>
        <w:rPr>
          <w:iCs/>
          <w:sz w:val="24"/>
          <w:szCs w:val="24"/>
        </w:rPr>
        <w:t>golurile de acces</w:t>
      </w:r>
      <w:r>
        <w:rPr>
          <w:rFonts w:eastAsia="Arial"/>
          <w:sz w:val="24"/>
          <w:szCs w:val="24"/>
        </w:rPr>
        <w:t xml:space="preserve"> prevăzute trebuie să îndeplinească condițiile de la </w:t>
      </w:r>
      <w:r>
        <w:rPr>
          <w:rFonts w:eastAsia="Arial"/>
          <w:b/>
          <w:bCs/>
          <w:sz w:val="24"/>
          <w:szCs w:val="24"/>
        </w:rPr>
        <w:t xml:space="preserve">alin. (2) </w:t>
      </w:r>
      <w:r>
        <w:rPr>
          <w:rFonts w:eastAsia="Arial"/>
          <w:sz w:val="24"/>
          <w:szCs w:val="24"/>
        </w:rPr>
        <w:t xml:space="preserve">și </w:t>
      </w:r>
      <w:r>
        <w:rPr>
          <w:rFonts w:eastAsia="Arial"/>
          <w:b/>
          <w:bCs/>
          <w:sz w:val="24"/>
          <w:szCs w:val="24"/>
        </w:rPr>
        <w:t>alin. (3)</w:t>
      </w:r>
      <w:r>
        <w:rPr>
          <w:b/>
          <w:sz w:val="24"/>
          <w:szCs w:val="24"/>
        </w:rPr>
        <w:t>.</w:t>
      </w:r>
    </w:p>
    <w:p w14:paraId="10B4692F" w14:textId="77777777" w:rsidR="001C08A5" w:rsidRDefault="00000000">
      <w:pPr>
        <w:ind w:firstLine="720"/>
        <w:jc w:val="both"/>
        <w:rPr>
          <w:b/>
          <w:sz w:val="24"/>
          <w:szCs w:val="24"/>
        </w:rPr>
      </w:pPr>
      <w:r>
        <w:rPr>
          <w:b/>
          <w:sz w:val="24"/>
          <w:szCs w:val="24"/>
        </w:rPr>
        <w:t xml:space="preserve">(5) </w:t>
      </w:r>
      <w:r>
        <w:rPr>
          <w:sz w:val="24"/>
          <w:szCs w:val="24"/>
        </w:rPr>
        <w:t>Ascensoarele prevăzute pentru transportul persoanelor cu căruciorul sau a persoanelor cu dizabilităţi care pot fi utilizate şi pentru evacuarea asistată a acestora în caz de incendiu din clădirile civile înalte vor avea comenzile în coridoare sau în degajamente protejate.</w:t>
      </w:r>
    </w:p>
    <w:p w14:paraId="7433EEA3" w14:textId="77777777" w:rsidR="001C08A5" w:rsidRDefault="00000000">
      <w:pPr>
        <w:ind w:firstLine="720"/>
        <w:jc w:val="both"/>
        <w:rPr>
          <w:sz w:val="24"/>
          <w:szCs w:val="24"/>
        </w:rPr>
      </w:pPr>
      <w:r>
        <w:rPr>
          <w:b/>
          <w:sz w:val="24"/>
          <w:szCs w:val="24"/>
        </w:rPr>
        <w:lastRenderedPageBreak/>
        <w:t xml:space="preserve">(6) </w:t>
      </w:r>
      <w:r>
        <w:rPr>
          <w:bCs/>
          <w:sz w:val="24"/>
          <w:szCs w:val="24"/>
        </w:rPr>
        <w:t xml:space="preserve">Atunci când golurile de </w:t>
      </w:r>
      <w:r>
        <w:rPr>
          <w:sz w:val="24"/>
          <w:szCs w:val="24"/>
        </w:rPr>
        <w:t xml:space="preserve">acces la ascensoarele </w:t>
      </w:r>
      <w:r>
        <w:rPr>
          <w:iCs/>
          <w:sz w:val="24"/>
          <w:szCs w:val="24"/>
        </w:rPr>
        <w:t>prevăzute pentru circulația funcțională a persoanelor</w:t>
      </w:r>
      <w:r>
        <w:rPr>
          <w:sz w:val="24"/>
          <w:szCs w:val="24"/>
        </w:rPr>
        <w:t xml:space="preserve"> precum și la ascensoarele prevăzute pentru transportul bolnavilor cu targa ori căruciorul sau a persoanelor cu dizabilităţi care pot fi utilizate şi pentru evacuarea asistată a acestora în caz de incendiu la nivelurile supraterane ale clădirilor înalte debușează într-o încăpere tampon ventilată în suprapresiune comună, toate ușile de la ascensoare vor fi minimum </w:t>
      </w:r>
      <w:r>
        <w:rPr>
          <w:b/>
          <w:bCs/>
          <w:sz w:val="24"/>
          <w:szCs w:val="24"/>
        </w:rPr>
        <w:t xml:space="preserve">EI90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30-C5S</w:t>
      </w:r>
      <w:r>
        <w:rPr>
          <w:b/>
          <w:bCs/>
          <w:sz w:val="24"/>
          <w:szCs w:val="24"/>
          <w:vertAlign w:val="subscript"/>
        </w:rPr>
        <w:t xml:space="preserve">200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90</w:t>
      </w:r>
      <w:r>
        <w:rPr>
          <w:sz w:val="24"/>
          <w:szCs w:val="24"/>
        </w:rPr>
        <w:t xml:space="preserve">. Atunci când debușează la nivelurile subterane ale clădirilor înalte  într-o încăpere tampon ventilată în suprapresiune comună, toate ușile de la ascensoare vor fi minimum </w:t>
      </w:r>
      <w:r>
        <w:rPr>
          <w:b/>
          <w:bCs/>
          <w:sz w:val="24"/>
          <w:szCs w:val="24"/>
        </w:rPr>
        <w:t xml:space="preserve">EI90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90</w:t>
      </w:r>
      <w:r>
        <w:rPr>
          <w:sz w:val="24"/>
          <w:szCs w:val="24"/>
        </w:rPr>
        <w:t>.</w:t>
      </w:r>
    </w:p>
    <w:p w14:paraId="0756D6C2" w14:textId="77777777" w:rsidR="001C08A5" w:rsidRDefault="00000000">
      <w:pPr>
        <w:ind w:firstLine="720"/>
        <w:jc w:val="both"/>
        <w:rPr>
          <w:b/>
          <w:bCs/>
          <w:i/>
          <w:iCs/>
          <w:sz w:val="24"/>
          <w:szCs w:val="24"/>
        </w:rPr>
      </w:pPr>
      <w:r>
        <w:rPr>
          <w:b/>
          <w:sz w:val="24"/>
          <w:szCs w:val="24"/>
        </w:rPr>
        <w:t xml:space="preserve">(7) </w:t>
      </w:r>
      <w:r>
        <w:rPr>
          <w:bCs/>
          <w:sz w:val="24"/>
          <w:szCs w:val="24"/>
        </w:rPr>
        <w:t xml:space="preserve">Atunci când golurile de </w:t>
      </w:r>
      <w:r>
        <w:rPr>
          <w:sz w:val="24"/>
          <w:szCs w:val="24"/>
        </w:rPr>
        <w:t xml:space="preserve">acces la </w:t>
      </w:r>
      <w:r>
        <w:rPr>
          <w:iCs/>
          <w:sz w:val="24"/>
          <w:szCs w:val="24"/>
        </w:rPr>
        <w:t xml:space="preserve">ascensoarele prevăzute pentru circulația funcțională a persoanelor, la </w:t>
      </w:r>
      <w:r>
        <w:rPr>
          <w:sz w:val="24"/>
          <w:szCs w:val="24"/>
        </w:rPr>
        <w:t xml:space="preserve">scările de evacuare a persoanelor și la ascensoarele prevăzute pentru transportul persoanelor cu căruciorul sau a persoanelor cu dizabilităţi care pot fi utilizate şi pentru evacuarea asistată a acestora în caz de incendiu la nivelurile supraterane ale clădirilor înalte debușează într-o încăpere tampon ventilată în suprapresiune comună, toate ușile de la ascensoare vor fi minimum </w:t>
      </w:r>
      <w:r>
        <w:rPr>
          <w:b/>
          <w:bCs/>
          <w:sz w:val="24"/>
          <w:szCs w:val="24"/>
        </w:rPr>
        <w:t xml:space="preserve">EI90, </w:t>
      </w:r>
      <w:r>
        <w:rPr>
          <w:sz w:val="24"/>
          <w:szCs w:val="24"/>
        </w:rPr>
        <w:t xml:space="preserve">ușa de la casa scării va fi minimum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30-C5S</w:t>
      </w:r>
      <w:r>
        <w:rPr>
          <w:b/>
          <w:bCs/>
          <w:sz w:val="24"/>
          <w:szCs w:val="24"/>
          <w:vertAlign w:val="subscript"/>
        </w:rPr>
        <w:t xml:space="preserve">200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90</w:t>
      </w:r>
      <w:r>
        <w:rPr>
          <w:sz w:val="24"/>
          <w:szCs w:val="24"/>
        </w:rPr>
        <w:t xml:space="preserve">. Atunci când debușează la nivelurile subterane ale clădirilor înalte  într-o încăpere tampon ventilată în suprapresiune comună,  toate ușile de la ascensoare vor fi minimum </w:t>
      </w:r>
      <w:r>
        <w:rPr>
          <w:b/>
          <w:bCs/>
          <w:sz w:val="24"/>
          <w:szCs w:val="24"/>
        </w:rPr>
        <w:t xml:space="preserve">EI90, </w:t>
      </w:r>
      <w:r>
        <w:rPr>
          <w:sz w:val="24"/>
          <w:szCs w:val="24"/>
        </w:rPr>
        <w:t xml:space="preserve">ușa de la casa scării va fi minimum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90</w:t>
      </w:r>
      <w:r>
        <w:rPr>
          <w:sz w:val="24"/>
          <w:szCs w:val="24"/>
        </w:rPr>
        <w:t>.</w:t>
      </w:r>
    </w:p>
    <w:p w14:paraId="2979878D" w14:textId="77777777" w:rsidR="001C08A5" w:rsidRDefault="00000000">
      <w:pPr>
        <w:ind w:firstLine="720"/>
        <w:jc w:val="both"/>
        <w:rPr>
          <w:sz w:val="24"/>
          <w:szCs w:val="24"/>
        </w:rPr>
      </w:pPr>
      <w:r>
        <w:rPr>
          <w:b/>
          <w:sz w:val="24"/>
          <w:szCs w:val="24"/>
        </w:rPr>
        <w:t xml:space="preserve">(8) </w:t>
      </w:r>
      <w:r>
        <w:rPr>
          <w:bCs/>
          <w:sz w:val="24"/>
          <w:szCs w:val="24"/>
        </w:rPr>
        <w:t xml:space="preserve">Atunci când funcțiunile clădirilor înalte implică </w:t>
      </w:r>
      <w:r>
        <w:rPr>
          <w:sz w:val="24"/>
          <w:szCs w:val="24"/>
        </w:rPr>
        <w:t>transportul bolnavilor cu patul cu rotile  sau cu targa, ascensoarele prevăzute pentru transportul bolnavilor cu patul cu rotile  sau cu targa ori căruciorul sau a persoanelor cu dizabilităţi care pot fi utilizate şi pentru evacuarea asistată a acestora în caz de incendiu vor respecta prevederile alineatelor precedente (</w:t>
      </w:r>
      <w:r>
        <w:rPr>
          <w:b/>
          <w:bCs/>
          <w:sz w:val="24"/>
          <w:szCs w:val="24"/>
        </w:rPr>
        <w:t xml:space="preserve">alin. 1 </w:t>
      </w:r>
      <w:r>
        <w:rPr>
          <w:rFonts w:ascii="Arial" w:hAnsi="Arial" w:cs="Arial"/>
          <w:b/>
          <w:bCs/>
          <w:sz w:val="24"/>
          <w:szCs w:val="24"/>
        </w:rPr>
        <w:t xml:space="preserve">÷ </w:t>
      </w:r>
      <w:r>
        <w:rPr>
          <w:b/>
          <w:bCs/>
          <w:sz w:val="24"/>
          <w:szCs w:val="24"/>
        </w:rPr>
        <w:t>alin. 7</w:t>
      </w:r>
      <w:r>
        <w:rPr>
          <w:sz w:val="24"/>
          <w:szCs w:val="24"/>
        </w:rPr>
        <w:t>).</w:t>
      </w:r>
    </w:p>
    <w:p w14:paraId="3651F31B" w14:textId="77777777" w:rsidR="001C08A5" w:rsidRDefault="00000000">
      <w:pPr>
        <w:ind w:firstLine="720"/>
        <w:jc w:val="both"/>
        <w:rPr>
          <w:sz w:val="24"/>
          <w:szCs w:val="24"/>
        </w:rPr>
      </w:pPr>
      <w:r>
        <w:rPr>
          <w:b/>
          <w:sz w:val="24"/>
          <w:szCs w:val="24"/>
        </w:rPr>
        <w:t xml:space="preserve">(9) </w:t>
      </w:r>
      <w:r>
        <w:rPr>
          <w:sz w:val="24"/>
          <w:szCs w:val="24"/>
        </w:rPr>
        <w:t>Ascensoarele prevăzute pentru transportul persoanelor cu căruciorul sau bolnavilor cu patul cu rotile, cu targa ori a persoanelor cu dizabilităţi care pot fi utilizate şi pentru evacuarea asistată a acestora în caz de incendiu vor avea comenzile în coridoare protejate sau în degajamentele protejate.</w:t>
      </w:r>
    </w:p>
    <w:p w14:paraId="00E82635" w14:textId="77777777" w:rsidR="001C08A5" w:rsidRDefault="001C08A5">
      <w:pPr>
        <w:jc w:val="both"/>
        <w:rPr>
          <w:sz w:val="24"/>
          <w:szCs w:val="24"/>
        </w:rPr>
      </w:pPr>
    </w:p>
    <w:p w14:paraId="650E7919" w14:textId="77777777" w:rsidR="001C08A5" w:rsidRDefault="00000000">
      <w:pPr>
        <w:ind w:firstLine="720"/>
        <w:jc w:val="both"/>
        <w:rPr>
          <w:sz w:val="24"/>
          <w:szCs w:val="24"/>
        </w:rPr>
      </w:pPr>
      <w:r>
        <w:rPr>
          <w:b/>
          <w:sz w:val="24"/>
          <w:szCs w:val="24"/>
        </w:rPr>
        <w:t xml:space="preserve">Art. 4.1.4.14. </w:t>
      </w:r>
      <w:r>
        <w:rPr>
          <w:sz w:val="24"/>
          <w:szCs w:val="24"/>
        </w:rPr>
        <w:t xml:space="preserve">În cazul defectării sau opririi, ascensoarele de intervenție din clădirile supraterane înalte trebuie sa fie echipate cu un acces prin care pompierii blocati sa se poata salva singuri sau cu ajutorul altora (de exemplu trapa de salvare care trebuie prevăzută în acoperișul cabinei să fie echipată cu scară portabila). În caz de incendiu toate cabinele trebuie să fie aduse automat la parter și să ramană oprite până la anularea comenzii de incendiu din clădire. Fac excepție ascensoarele pentru intervenție precum și cele pentru evacauare persoanelor cu căruciorul sau bolnavilor cu patul cu rotile, cu targa ori a persoanelor cu dizabilităţi care vor funcționa în timpul incendiului (corespunzător timpului pentru care sunt echipate), prin alimentare de rezervă.  </w:t>
      </w:r>
    </w:p>
    <w:p w14:paraId="7748969C" w14:textId="77777777" w:rsidR="001C08A5" w:rsidRDefault="001C08A5">
      <w:pPr>
        <w:jc w:val="both"/>
        <w:rPr>
          <w:sz w:val="24"/>
          <w:szCs w:val="24"/>
        </w:rPr>
      </w:pPr>
    </w:p>
    <w:p w14:paraId="36C6E4DF" w14:textId="77777777" w:rsidR="001C08A5" w:rsidRDefault="00000000">
      <w:pPr>
        <w:jc w:val="both"/>
        <w:rPr>
          <w:sz w:val="24"/>
          <w:szCs w:val="24"/>
        </w:rPr>
      </w:pPr>
      <w:r>
        <w:rPr>
          <w:b/>
          <w:sz w:val="24"/>
          <w:szCs w:val="24"/>
        </w:rPr>
        <w:tab/>
        <w:t>Art. 4.1.4.15. (1)</w:t>
      </w:r>
      <w:r>
        <w:rPr>
          <w:sz w:val="24"/>
          <w:szCs w:val="24"/>
        </w:rPr>
        <w:t xml:space="preserve"> La clădirile înalte este obligatorie prevederea cel puţin a unui ascensor de intervenţie în caz de incendiu (de pompieri), cu acces facil de la nivelul intrării în clădire, realizat corespunzător cerinţelor asigurării operaţiunilor de intervenţie în caz de incendiu şi prevăzut cu apel prioritar pentru pompieri.</w:t>
      </w:r>
    </w:p>
    <w:p w14:paraId="0746FEC8" w14:textId="77777777" w:rsidR="001C08A5" w:rsidRDefault="00000000">
      <w:pPr>
        <w:ind w:firstLine="720"/>
        <w:jc w:val="both"/>
        <w:rPr>
          <w:bCs/>
          <w:sz w:val="24"/>
          <w:szCs w:val="24"/>
        </w:rPr>
      </w:pPr>
      <w:r>
        <w:rPr>
          <w:b/>
          <w:sz w:val="24"/>
          <w:szCs w:val="24"/>
        </w:rPr>
        <w:t>(2)</w:t>
      </w:r>
      <w:r>
        <w:rPr>
          <w:sz w:val="24"/>
          <w:szCs w:val="24"/>
        </w:rPr>
        <w:t xml:space="preserve"> Ascensorul pentru intervenţie în caz de incendiu se prevede cu puţ propriu, separat atât de restul clădirii cât şi de exterior, cu pereţi rezistenţi la foc </w:t>
      </w:r>
      <w:r>
        <w:rPr>
          <w:b/>
          <w:sz w:val="24"/>
          <w:szCs w:val="24"/>
        </w:rPr>
        <w:t>REI/EI 120</w:t>
      </w:r>
      <w:r>
        <w:rPr>
          <w:sz w:val="24"/>
          <w:szCs w:val="24"/>
        </w:rPr>
        <w:t xml:space="preserve"> şi, după caz, planşee rezistente la foc minimum </w:t>
      </w:r>
      <w:r>
        <w:rPr>
          <w:b/>
          <w:sz w:val="24"/>
          <w:szCs w:val="24"/>
        </w:rPr>
        <w:t>REI 120</w:t>
      </w:r>
      <w:r>
        <w:rPr>
          <w:bCs/>
          <w:sz w:val="24"/>
          <w:szCs w:val="24"/>
        </w:rPr>
        <w:t xml:space="preserve">, </w:t>
      </w:r>
      <w:r>
        <w:rPr>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și goluri de acces protejate cu încăperi tampon de acces  prevăzute cu ventilare în suprapresiune şi uşi rezistente la foc și etanșe la fum.</w:t>
      </w:r>
    </w:p>
    <w:p w14:paraId="49A8E1DF" w14:textId="77777777" w:rsidR="001C08A5" w:rsidRDefault="00000000">
      <w:pPr>
        <w:widowControl w:val="0"/>
        <w:ind w:firstLine="720"/>
        <w:jc w:val="both"/>
        <w:rPr>
          <w:b/>
          <w:sz w:val="24"/>
          <w:szCs w:val="24"/>
        </w:rPr>
      </w:pPr>
      <w:r>
        <w:rPr>
          <w:b/>
          <w:sz w:val="24"/>
          <w:szCs w:val="24"/>
        </w:rPr>
        <w:t xml:space="preserve">(3) </w:t>
      </w:r>
      <w:r>
        <w:rPr>
          <w:sz w:val="24"/>
          <w:szCs w:val="24"/>
        </w:rPr>
        <w:t xml:space="preserve">Accesul la ascensoarele de intervenție la nivelurile supraterane ale clădirilor înalte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EI</w:t>
      </w:r>
      <w:r>
        <w:rPr>
          <w:b/>
          <w:bCs/>
          <w:sz w:val="24"/>
          <w:szCs w:val="24"/>
          <w:lang w:val="en-US"/>
        </w:rPr>
        <w:t>12</w:t>
      </w:r>
      <w:r>
        <w:rPr>
          <w:b/>
          <w:bCs/>
          <w:sz w:val="24"/>
          <w:szCs w:val="24"/>
        </w:rPr>
        <w:t xml:space="preserve">0 </w:t>
      </w:r>
      <w:r>
        <w:rPr>
          <w:sz w:val="24"/>
          <w:szCs w:val="24"/>
        </w:rPr>
        <w:t>la ușile ascensoarelor și</w:t>
      </w:r>
      <w:r>
        <w:rPr>
          <w:bCs/>
          <w:sz w:val="24"/>
          <w:szCs w:val="24"/>
        </w:rPr>
        <w:t xml:space="preserve"> încăperea tampon ventilată în suprapresiune trebuie să fie prevăzută cu pereți </w:t>
      </w:r>
      <w:r>
        <w:rPr>
          <w:bCs/>
          <w:sz w:val="24"/>
          <w:szCs w:val="24"/>
        </w:rPr>
        <w:lastRenderedPageBreak/>
        <w:t xml:space="preserve">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 xml:space="preserve">EI/REI </w:t>
      </w:r>
      <w:r>
        <w:rPr>
          <w:b/>
          <w:sz w:val="24"/>
          <w:szCs w:val="24"/>
          <w:lang w:val="en-US"/>
        </w:rPr>
        <w:t>12</w:t>
      </w:r>
      <w:r>
        <w:rPr>
          <w:b/>
          <w:sz w:val="24"/>
          <w:szCs w:val="24"/>
        </w:rPr>
        <w:t xml:space="preserve">0. </w:t>
      </w:r>
      <w:r>
        <w:rPr>
          <w:sz w:val="24"/>
          <w:szCs w:val="24"/>
        </w:rPr>
        <w:t xml:space="preserve">Accesul la ascensoarele de intervenție la nivelurile subterane ale clădirilor civile înalte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EI</w:t>
      </w:r>
      <w:r>
        <w:rPr>
          <w:b/>
          <w:bCs/>
          <w:sz w:val="24"/>
          <w:szCs w:val="24"/>
          <w:lang w:val="en-US"/>
        </w:rPr>
        <w:t>12</w:t>
      </w:r>
      <w:r>
        <w:rPr>
          <w:b/>
          <w:bCs/>
          <w:sz w:val="24"/>
          <w:szCs w:val="24"/>
        </w:rPr>
        <w:t xml:space="preserve">0 </w:t>
      </w:r>
      <w:r>
        <w:rPr>
          <w:sz w:val="24"/>
          <w:szCs w:val="24"/>
        </w:rPr>
        <w:t>la ușile ascensoarelor și</w:t>
      </w:r>
      <w:r>
        <w:rPr>
          <w:bCs/>
          <w:sz w:val="24"/>
          <w:szCs w:val="24"/>
        </w:rPr>
        <w:t xml:space="preserve">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 xml:space="preserve">EI/REI </w:t>
      </w:r>
      <w:r>
        <w:rPr>
          <w:b/>
          <w:sz w:val="24"/>
          <w:szCs w:val="24"/>
          <w:lang w:val="en-US"/>
        </w:rPr>
        <w:t>12</w:t>
      </w:r>
      <w:r>
        <w:rPr>
          <w:b/>
          <w:sz w:val="24"/>
          <w:szCs w:val="24"/>
        </w:rPr>
        <w:t>0.</w:t>
      </w:r>
    </w:p>
    <w:p w14:paraId="6EEE1016" w14:textId="77777777" w:rsidR="001C08A5" w:rsidRDefault="00000000">
      <w:pPr>
        <w:widowControl w:val="0"/>
        <w:ind w:firstLine="720"/>
        <w:jc w:val="both"/>
        <w:rPr>
          <w:sz w:val="24"/>
          <w:szCs w:val="24"/>
        </w:rPr>
      </w:pPr>
      <w:r>
        <w:rPr>
          <w:b/>
          <w:sz w:val="24"/>
          <w:szCs w:val="24"/>
        </w:rPr>
        <w:t xml:space="preserve">(4) </w:t>
      </w:r>
      <w:r>
        <w:rPr>
          <w:sz w:val="24"/>
          <w:szCs w:val="24"/>
        </w:rPr>
        <w:t xml:space="preserve">Ascensorul pentru intervenţie în caz de incendiu va respecta obligatoriu prevederile </w:t>
      </w:r>
      <w:r>
        <w:rPr>
          <w:b/>
          <w:sz w:val="24"/>
          <w:szCs w:val="24"/>
        </w:rPr>
        <w:t xml:space="preserve">Art. 3.1.4.8. </w:t>
      </w:r>
      <w:r>
        <w:rPr>
          <w:b/>
          <w:bCs/>
          <w:sz w:val="24"/>
          <w:szCs w:val="24"/>
        </w:rPr>
        <w:t xml:space="preserve">alin. 3 </w:t>
      </w:r>
      <w:r>
        <w:rPr>
          <w:rFonts w:ascii="Arial" w:hAnsi="Arial" w:cs="Arial"/>
          <w:b/>
          <w:bCs/>
          <w:sz w:val="24"/>
          <w:szCs w:val="24"/>
        </w:rPr>
        <w:t xml:space="preserve">÷ </w:t>
      </w:r>
      <w:r>
        <w:rPr>
          <w:b/>
          <w:bCs/>
          <w:sz w:val="24"/>
          <w:szCs w:val="24"/>
        </w:rPr>
        <w:t xml:space="preserve">alin. 8 </w:t>
      </w:r>
      <w:r>
        <w:rPr>
          <w:sz w:val="24"/>
          <w:szCs w:val="24"/>
        </w:rPr>
        <w:t xml:space="preserve">și prevederile </w:t>
      </w:r>
      <w:r>
        <w:rPr>
          <w:b/>
          <w:sz w:val="24"/>
          <w:szCs w:val="24"/>
        </w:rPr>
        <w:t xml:space="preserve">Art. 3.1.4.8. </w:t>
      </w:r>
      <w:r>
        <w:rPr>
          <w:b/>
          <w:bCs/>
          <w:sz w:val="24"/>
          <w:szCs w:val="24"/>
        </w:rPr>
        <w:t xml:space="preserve">alin. 11 </w:t>
      </w:r>
      <w:r>
        <w:rPr>
          <w:rFonts w:ascii="Arial" w:hAnsi="Arial" w:cs="Arial"/>
          <w:b/>
          <w:bCs/>
          <w:sz w:val="24"/>
          <w:szCs w:val="24"/>
        </w:rPr>
        <w:t xml:space="preserve">÷ </w:t>
      </w:r>
      <w:r>
        <w:rPr>
          <w:b/>
          <w:bCs/>
          <w:sz w:val="24"/>
          <w:szCs w:val="24"/>
        </w:rPr>
        <w:t>alin. 14</w:t>
      </w:r>
      <w:r>
        <w:rPr>
          <w:sz w:val="24"/>
          <w:szCs w:val="24"/>
        </w:rPr>
        <w:t>.</w:t>
      </w:r>
    </w:p>
    <w:p w14:paraId="3DEC014C" w14:textId="77777777" w:rsidR="001C08A5" w:rsidRDefault="00000000">
      <w:pPr>
        <w:ind w:firstLine="720"/>
        <w:jc w:val="both"/>
        <w:rPr>
          <w:bCs/>
          <w:sz w:val="24"/>
          <w:szCs w:val="24"/>
        </w:rPr>
      </w:pPr>
      <w:r>
        <w:rPr>
          <w:b/>
          <w:sz w:val="24"/>
          <w:szCs w:val="24"/>
        </w:rPr>
        <w:t xml:space="preserve">(5) </w:t>
      </w:r>
      <w:r>
        <w:rPr>
          <w:rFonts w:eastAsia="Arial"/>
          <w:sz w:val="24"/>
          <w:szCs w:val="24"/>
        </w:rPr>
        <w:t xml:space="preserve">Ascensorul de </w:t>
      </w:r>
      <w:r>
        <w:rPr>
          <w:sz w:val="24"/>
          <w:szCs w:val="24"/>
        </w:rPr>
        <w:t xml:space="preserve">intervenţie în caz de incendiu trebuie să fie poziționat în cadrul construcțiilor astfel încât să fie prevazut cu acces spre exterior direct din afară sau prin spații ferite de fum cu lungimea maximă echivalentă cu cea a dimensiunilor de coridor înfundat a clădirii înalte. </w:t>
      </w:r>
    </w:p>
    <w:p w14:paraId="21FA8A44" w14:textId="77777777" w:rsidR="001C08A5" w:rsidRDefault="00000000">
      <w:pPr>
        <w:jc w:val="both"/>
        <w:rPr>
          <w:sz w:val="24"/>
          <w:szCs w:val="24"/>
        </w:rPr>
      </w:pPr>
      <w:r>
        <w:rPr>
          <w:b/>
          <w:sz w:val="24"/>
          <w:szCs w:val="24"/>
        </w:rPr>
        <w:tab/>
        <w:t xml:space="preserve">(6) </w:t>
      </w:r>
      <w:r>
        <w:rPr>
          <w:sz w:val="24"/>
          <w:szCs w:val="24"/>
        </w:rPr>
        <w:t xml:space="preserve">Ascensorul pentru intervenţie se prevede cu apel prioritar pentru pompieri şi va asigura accesul pentru intervenţie în caz de incendiu la nivelurile supraterane și subterane ale clădirii. </w:t>
      </w:r>
      <w:r>
        <w:rPr>
          <w:rFonts w:eastAsia="Arial,Bold"/>
          <w:sz w:val="24"/>
          <w:szCs w:val="24"/>
        </w:rPr>
        <w:t xml:space="preserve">La </w:t>
      </w:r>
      <w:r>
        <w:rPr>
          <w:rStyle w:val="ln2talineat"/>
          <w:sz w:val="24"/>
          <w:szCs w:val="24"/>
        </w:rPr>
        <w:t xml:space="preserve">parcajele subterane cu mai mult de </w:t>
      </w:r>
      <w:r>
        <w:rPr>
          <w:rStyle w:val="ln2talineat"/>
          <w:b/>
          <w:sz w:val="24"/>
          <w:szCs w:val="24"/>
        </w:rPr>
        <w:t xml:space="preserve">4 </w:t>
      </w:r>
      <w:r>
        <w:rPr>
          <w:rStyle w:val="ln2talineat"/>
          <w:sz w:val="24"/>
          <w:szCs w:val="24"/>
        </w:rPr>
        <w:t>niveluri înglobate în clădiri înalte, ascensoarele pentru pompieri aferente parcajelor trebuie să fie diferite faţă de ascensoarele pentru pompieri ale nivelurilor supraterane.</w:t>
      </w:r>
    </w:p>
    <w:p w14:paraId="23971B63" w14:textId="77777777" w:rsidR="001C08A5" w:rsidRDefault="00000000">
      <w:pPr>
        <w:jc w:val="both"/>
        <w:rPr>
          <w:sz w:val="24"/>
          <w:szCs w:val="24"/>
        </w:rPr>
      </w:pPr>
      <w:r>
        <w:rPr>
          <w:sz w:val="24"/>
          <w:szCs w:val="24"/>
        </w:rPr>
        <w:tab/>
      </w:r>
      <w:r>
        <w:rPr>
          <w:b/>
          <w:sz w:val="24"/>
          <w:szCs w:val="24"/>
        </w:rPr>
        <w:t>(7)</w:t>
      </w:r>
      <w:r>
        <w:rPr>
          <w:sz w:val="24"/>
          <w:szCs w:val="24"/>
        </w:rPr>
        <w:t xml:space="preserve"> Ascensorul pentru intervenţie se realizează potrivit prevederilor reglementărilor tehnice specifice şi va avea asigurată funcţionarea timp de </w:t>
      </w:r>
      <w:r>
        <w:rPr>
          <w:b/>
          <w:sz w:val="24"/>
          <w:szCs w:val="24"/>
        </w:rPr>
        <w:t>120</w:t>
      </w:r>
      <w:r>
        <w:rPr>
          <w:sz w:val="24"/>
          <w:szCs w:val="24"/>
        </w:rPr>
        <w:t xml:space="preserve"> de minute de la izbucnirea incendiului.</w:t>
      </w:r>
    </w:p>
    <w:p w14:paraId="77025FC8" w14:textId="77777777" w:rsidR="001C08A5" w:rsidRDefault="00000000">
      <w:pPr>
        <w:ind w:firstLine="720"/>
        <w:jc w:val="both"/>
        <w:rPr>
          <w:sz w:val="24"/>
          <w:szCs w:val="24"/>
        </w:rPr>
      </w:pPr>
      <w:r>
        <w:rPr>
          <w:b/>
          <w:bCs/>
          <w:sz w:val="24"/>
          <w:szCs w:val="24"/>
        </w:rPr>
        <w:t xml:space="preserve">(8) </w:t>
      </w:r>
      <w:r>
        <w:rPr>
          <w:sz w:val="24"/>
          <w:szCs w:val="24"/>
        </w:rPr>
        <w:t xml:space="preserve">Atunci când accesul pompierilor se face prin aceeași scară de evacuare (a persoanelor) la calculul fluxurilor de evacuare al persoanelor se consideră un flux de evacuare în minus pentru evacuarea acestora. Este obligatoriu ca lațimea liberă a rampelor și podestelor scării (măsurată conform prevederi normate) utilizabilă pentru un flux de evacuare persoane precum și acces pompieri să fie în acest caz de minimum </w:t>
      </w:r>
      <w:r>
        <w:rPr>
          <w:b/>
          <w:bCs/>
          <w:sz w:val="24"/>
          <w:szCs w:val="24"/>
        </w:rPr>
        <w:t>1,20 m</w:t>
      </w:r>
      <w:r>
        <w:rPr>
          <w:sz w:val="24"/>
          <w:szCs w:val="24"/>
        </w:rPr>
        <w:t>.</w:t>
      </w:r>
    </w:p>
    <w:p w14:paraId="31216C0D" w14:textId="77777777" w:rsidR="001C08A5" w:rsidRDefault="00000000">
      <w:pPr>
        <w:pStyle w:val="Heading4"/>
      </w:pPr>
      <w:bookmarkStart w:id="4275" w:name="_Toc22402"/>
      <w:bookmarkStart w:id="4276" w:name="_Toc26420"/>
      <w:bookmarkStart w:id="4277" w:name="_Toc6127"/>
      <w:bookmarkStart w:id="4278" w:name="_Toc8698"/>
      <w:bookmarkStart w:id="4279" w:name="_Toc15544"/>
      <w:bookmarkStart w:id="4280" w:name="_Toc21010"/>
      <w:bookmarkStart w:id="4281" w:name="_Toc162355313"/>
      <w:bookmarkStart w:id="4282" w:name="_Toc21"/>
      <w:r>
        <w:t>4.1.5. CĂI DE EVACUARE A UTILIZATORILOR ÎN CAZ DE INCENDIU</w:t>
      </w:r>
      <w:bookmarkEnd w:id="4275"/>
      <w:bookmarkEnd w:id="4276"/>
      <w:bookmarkEnd w:id="4277"/>
      <w:bookmarkEnd w:id="4278"/>
      <w:bookmarkEnd w:id="4279"/>
      <w:bookmarkEnd w:id="4280"/>
      <w:bookmarkEnd w:id="4281"/>
      <w:bookmarkEnd w:id="4282"/>
    </w:p>
    <w:p w14:paraId="6A3AF3E1" w14:textId="77777777" w:rsidR="001C08A5" w:rsidRDefault="001C08A5">
      <w:pPr>
        <w:jc w:val="both"/>
        <w:rPr>
          <w:sz w:val="24"/>
          <w:szCs w:val="24"/>
        </w:rPr>
      </w:pPr>
    </w:p>
    <w:p w14:paraId="72AAF1AD" w14:textId="77777777" w:rsidR="001C08A5" w:rsidRDefault="00000000">
      <w:pPr>
        <w:jc w:val="both"/>
        <w:rPr>
          <w:sz w:val="24"/>
          <w:szCs w:val="24"/>
        </w:rPr>
      </w:pPr>
      <w:r>
        <w:rPr>
          <w:b/>
          <w:sz w:val="24"/>
          <w:szCs w:val="24"/>
        </w:rPr>
        <w:tab/>
        <w:t>Art. 4.1.5.1. (1)</w:t>
      </w:r>
      <w:r>
        <w:rPr>
          <w:sz w:val="24"/>
          <w:szCs w:val="24"/>
        </w:rPr>
        <w:t xml:space="preserve"> În clădirile înalte este obligatorie asigurarea a minimum două căi de evacuare a utilizatorilor, distincte şi independente.</w:t>
      </w:r>
    </w:p>
    <w:p w14:paraId="23066C1E" w14:textId="77777777" w:rsidR="001C08A5" w:rsidRDefault="00000000">
      <w:pPr>
        <w:jc w:val="both"/>
        <w:rPr>
          <w:sz w:val="24"/>
          <w:szCs w:val="24"/>
        </w:rPr>
      </w:pPr>
      <w:r>
        <w:rPr>
          <w:sz w:val="24"/>
          <w:szCs w:val="24"/>
        </w:rPr>
        <w:tab/>
      </w:r>
      <w:r>
        <w:rPr>
          <w:b/>
          <w:sz w:val="24"/>
          <w:szCs w:val="24"/>
        </w:rPr>
        <w:t>(2)</w:t>
      </w:r>
      <w:r>
        <w:rPr>
          <w:sz w:val="24"/>
          <w:szCs w:val="24"/>
        </w:rPr>
        <w:t xml:space="preserve"> Căile de evacuare a utilizatorilor vor respecta condiţiile de alcătuire prevăzute în normativ şi lungimile de evacuare normate.</w:t>
      </w:r>
    </w:p>
    <w:p w14:paraId="486E6E86" w14:textId="77777777" w:rsidR="001C08A5" w:rsidRDefault="001C08A5">
      <w:pPr>
        <w:jc w:val="both"/>
        <w:rPr>
          <w:sz w:val="24"/>
          <w:szCs w:val="24"/>
        </w:rPr>
      </w:pPr>
    </w:p>
    <w:p w14:paraId="4F92EA4A" w14:textId="77777777" w:rsidR="001C08A5" w:rsidRDefault="00000000">
      <w:pPr>
        <w:jc w:val="both"/>
        <w:rPr>
          <w:sz w:val="24"/>
          <w:szCs w:val="24"/>
        </w:rPr>
      </w:pPr>
      <w:r>
        <w:rPr>
          <w:b/>
          <w:sz w:val="24"/>
          <w:szCs w:val="24"/>
        </w:rPr>
        <w:tab/>
        <w:t xml:space="preserve">Art. 4.1.5.2. </w:t>
      </w:r>
      <w:r>
        <w:rPr>
          <w:sz w:val="24"/>
          <w:szCs w:val="24"/>
        </w:rPr>
        <w:t xml:space="preserve">Comportarea la foc a pereţilor, uşilor și planşeelor de separare a caselor de scări închise din clădirile civile supraterane înalte, trebuie să corespundă prevederilor din </w:t>
      </w:r>
      <w:r>
        <w:rPr>
          <w:b/>
          <w:bCs/>
          <w:i/>
          <w:iCs/>
          <w:sz w:val="24"/>
          <w:szCs w:val="24"/>
        </w:rPr>
        <w:fldChar w:fldCharType="begin"/>
      </w:r>
      <w:r>
        <w:rPr>
          <w:b/>
          <w:bCs/>
          <w:i/>
          <w:iCs/>
          <w:sz w:val="24"/>
          <w:szCs w:val="24"/>
        </w:rPr>
        <w:instrText xml:space="preserve"> REF _Ref11549 \h </w:instrText>
      </w:r>
      <w:r>
        <w:rPr>
          <w:b/>
          <w:bCs/>
          <w:i/>
          <w:iCs/>
          <w:sz w:val="24"/>
          <w:szCs w:val="24"/>
        </w:rPr>
      </w:r>
      <w:r>
        <w:rPr>
          <w:b/>
          <w:bCs/>
          <w:i/>
          <w:iCs/>
          <w:sz w:val="24"/>
          <w:szCs w:val="24"/>
        </w:rPr>
        <w:fldChar w:fldCharType="separate"/>
      </w:r>
      <w:r>
        <w:t>Tabelul 91</w:t>
      </w:r>
      <w:r>
        <w:rPr>
          <w:b/>
          <w:bCs/>
          <w:i/>
          <w:iCs/>
          <w:sz w:val="24"/>
          <w:szCs w:val="24"/>
        </w:rPr>
        <w:fldChar w:fldCharType="end"/>
      </w:r>
      <w:r>
        <w:rPr>
          <w:sz w:val="24"/>
          <w:szCs w:val="24"/>
        </w:rPr>
        <w:t>.</w:t>
      </w:r>
    </w:p>
    <w:p w14:paraId="5232EA08" w14:textId="77777777" w:rsidR="001C08A5" w:rsidRDefault="001C08A5">
      <w:pPr>
        <w:jc w:val="both"/>
        <w:rPr>
          <w:sz w:val="24"/>
          <w:szCs w:val="24"/>
        </w:rPr>
      </w:pPr>
    </w:p>
    <w:p w14:paraId="064903E2" w14:textId="77777777" w:rsidR="001C08A5" w:rsidRDefault="00000000">
      <w:pPr>
        <w:pStyle w:val="Captiontabel"/>
      </w:pPr>
      <w:bookmarkStart w:id="4283" w:name="_Ref11549"/>
      <w:bookmarkStart w:id="4284" w:name="_Toc162360141"/>
      <w:r>
        <w:t xml:space="preserve">Tabelul </w:t>
      </w:r>
      <w:r>
        <w:fldChar w:fldCharType="begin"/>
      </w:r>
      <w:r>
        <w:instrText xml:space="preserve"> SEQ Tabelul \* ARABIC </w:instrText>
      </w:r>
      <w:r>
        <w:fldChar w:fldCharType="separate"/>
      </w:r>
      <w:r>
        <w:t>91</w:t>
      </w:r>
      <w:r>
        <w:fldChar w:fldCharType="end"/>
      </w:r>
      <w:bookmarkStart w:id="4285" w:name="_Toc30945"/>
      <w:bookmarkStart w:id="4286" w:name="_Toc28404"/>
      <w:bookmarkStart w:id="4287" w:name="_Toc13932"/>
      <w:bookmarkStart w:id="4288" w:name="_Toc1258"/>
      <w:bookmarkStart w:id="4289" w:name="_Toc10640"/>
      <w:bookmarkStart w:id="4290" w:name="_Toc27724"/>
      <w:bookmarkStart w:id="4291" w:name="_Toc27058"/>
      <w:bookmarkStart w:id="4292" w:name="_Toc9022"/>
      <w:bookmarkStart w:id="4293" w:name="_Toc19817"/>
      <w:bookmarkStart w:id="4294" w:name="_Toc11690"/>
      <w:bookmarkStart w:id="4295" w:name="_Toc14758"/>
      <w:bookmarkStart w:id="4296" w:name="_Toc25339"/>
      <w:bookmarkStart w:id="4297" w:name="_Toc16244"/>
      <w:bookmarkStart w:id="4298" w:name="_Toc15595"/>
      <w:bookmarkStart w:id="4299" w:name="_Toc22011"/>
      <w:bookmarkStart w:id="4300" w:name="_Toc28845"/>
      <w:bookmarkStart w:id="4301" w:name="_Toc32082"/>
      <w:bookmarkStart w:id="4302" w:name="_Toc25367"/>
      <w:bookmarkStart w:id="4303" w:name="_Toc17055"/>
      <w:bookmarkEnd w:id="4283"/>
      <w:r>
        <w:t>: Comportare la foc a pereţilor, uşilor și planşeelor de separare a caselor de scări închise din clădirile civile supraterane înalte</w:t>
      </w:r>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p>
    <w:p w14:paraId="3A26B9D0"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0"/>
        <w:gridCol w:w="1440"/>
        <w:gridCol w:w="1293"/>
        <w:gridCol w:w="1475"/>
        <w:gridCol w:w="1888"/>
        <w:gridCol w:w="2142"/>
      </w:tblGrid>
      <w:tr w:rsidR="001C08A5" w14:paraId="58BBDA44" w14:textId="77777777">
        <w:trPr>
          <w:tblHeader/>
        </w:trPr>
        <w:tc>
          <w:tcPr>
            <w:tcW w:w="1260" w:type="dxa"/>
            <w:vMerge w:val="restart"/>
            <w:shd w:val="clear" w:color="auto" w:fill="BFBFBF"/>
          </w:tcPr>
          <w:p w14:paraId="7AB329B0" w14:textId="77777777" w:rsidR="001C08A5" w:rsidRDefault="00000000">
            <w:pPr>
              <w:jc w:val="center"/>
              <w:rPr>
                <w:b/>
                <w:i/>
                <w:iCs/>
                <w:sz w:val="22"/>
                <w:szCs w:val="22"/>
              </w:rPr>
            </w:pPr>
            <w:r>
              <w:rPr>
                <w:b/>
                <w:i/>
                <w:iCs/>
                <w:sz w:val="22"/>
                <w:szCs w:val="22"/>
              </w:rPr>
              <w:t>Nivel de stabilitate</w:t>
            </w:r>
          </w:p>
          <w:p w14:paraId="46534FEE" w14:textId="77777777" w:rsidR="001C08A5" w:rsidRDefault="00000000">
            <w:pPr>
              <w:jc w:val="center"/>
              <w:rPr>
                <w:i/>
                <w:iCs/>
                <w:sz w:val="22"/>
                <w:szCs w:val="22"/>
              </w:rPr>
            </w:pPr>
            <w:r>
              <w:rPr>
                <w:b/>
                <w:bCs/>
                <w:i/>
                <w:iCs/>
                <w:sz w:val="22"/>
                <w:szCs w:val="22"/>
              </w:rPr>
              <w:t>la incendiu</w:t>
            </w:r>
          </w:p>
        </w:tc>
        <w:tc>
          <w:tcPr>
            <w:tcW w:w="8238" w:type="dxa"/>
            <w:gridSpan w:val="5"/>
            <w:shd w:val="clear" w:color="auto" w:fill="BFBFBF"/>
          </w:tcPr>
          <w:p w14:paraId="052E3535" w14:textId="77777777" w:rsidR="001C08A5" w:rsidRDefault="00000000">
            <w:pPr>
              <w:jc w:val="center"/>
              <w:rPr>
                <w:b/>
                <w:bCs/>
                <w:i/>
                <w:iCs/>
                <w:sz w:val="22"/>
                <w:szCs w:val="22"/>
              </w:rPr>
            </w:pPr>
            <w:r>
              <w:rPr>
                <w:b/>
                <w:bCs/>
                <w:i/>
                <w:iCs/>
                <w:sz w:val="22"/>
                <w:szCs w:val="22"/>
              </w:rPr>
              <w:t>Niveluri de comportare la foc admise la case de scări închise</w:t>
            </w:r>
          </w:p>
        </w:tc>
      </w:tr>
      <w:tr w:rsidR="001C08A5" w14:paraId="5B00FA71" w14:textId="77777777">
        <w:trPr>
          <w:tblHeader/>
        </w:trPr>
        <w:tc>
          <w:tcPr>
            <w:tcW w:w="1260" w:type="dxa"/>
            <w:vMerge/>
            <w:shd w:val="clear" w:color="auto" w:fill="BFBFBF"/>
          </w:tcPr>
          <w:p w14:paraId="39B13C65" w14:textId="77777777" w:rsidR="001C08A5" w:rsidRDefault="001C08A5">
            <w:pPr>
              <w:jc w:val="center"/>
              <w:rPr>
                <w:i/>
                <w:iCs/>
                <w:sz w:val="22"/>
                <w:szCs w:val="22"/>
              </w:rPr>
            </w:pPr>
          </w:p>
        </w:tc>
        <w:tc>
          <w:tcPr>
            <w:tcW w:w="2733" w:type="dxa"/>
            <w:gridSpan w:val="2"/>
            <w:shd w:val="clear" w:color="auto" w:fill="BFBFBF"/>
          </w:tcPr>
          <w:p w14:paraId="5F66B26D" w14:textId="77777777" w:rsidR="001C08A5" w:rsidRDefault="00000000">
            <w:pPr>
              <w:jc w:val="center"/>
              <w:rPr>
                <w:i/>
                <w:iCs/>
                <w:sz w:val="22"/>
                <w:szCs w:val="22"/>
              </w:rPr>
            </w:pPr>
            <w:r>
              <w:rPr>
                <w:b/>
                <w:bCs/>
                <w:i/>
                <w:iCs/>
                <w:sz w:val="22"/>
                <w:szCs w:val="22"/>
              </w:rPr>
              <w:t>Pereţi</w:t>
            </w:r>
          </w:p>
        </w:tc>
        <w:tc>
          <w:tcPr>
            <w:tcW w:w="3363" w:type="dxa"/>
            <w:gridSpan w:val="2"/>
            <w:shd w:val="clear" w:color="auto" w:fill="BFBFBF"/>
          </w:tcPr>
          <w:p w14:paraId="01D7E13C" w14:textId="77777777" w:rsidR="001C08A5" w:rsidRDefault="00000000">
            <w:pPr>
              <w:jc w:val="center"/>
              <w:rPr>
                <w:i/>
                <w:iCs/>
                <w:sz w:val="22"/>
                <w:szCs w:val="22"/>
              </w:rPr>
            </w:pPr>
            <w:r>
              <w:rPr>
                <w:b/>
                <w:bCs/>
                <w:i/>
                <w:iCs/>
                <w:sz w:val="22"/>
                <w:szCs w:val="22"/>
              </w:rPr>
              <w:t xml:space="preserve">Planşee </w:t>
            </w:r>
            <w:r>
              <w:rPr>
                <w:bCs/>
                <w:i/>
                <w:iCs/>
                <w:sz w:val="22"/>
                <w:szCs w:val="22"/>
              </w:rPr>
              <w:t>(</w:t>
            </w:r>
            <w:r>
              <w:rPr>
                <w:i/>
                <w:iCs/>
                <w:sz w:val="22"/>
                <w:szCs w:val="22"/>
              </w:rPr>
              <w:t xml:space="preserve">care separă faţă de restul construcţiei </w:t>
            </w:r>
            <w:r>
              <w:rPr>
                <w:bCs/>
                <w:i/>
                <w:iCs/>
                <w:sz w:val="22"/>
                <w:szCs w:val="22"/>
              </w:rPr>
              <w:t>casele de scări închise)</w:t>
            </w:r>
          </w:p>
        </w:tc>
        <w:tc>
          <w:tcPr>
            <w:tcW w:w="2142" w:type="dxa"/>
            <w:shd w:val="clear" w:color="auto" w:fill="BFBFBF"/>
          </w:tcPr>
          <w:p w14:paraId="51E861E9" w14:textId="77777777" w:rsidR="001C08A5" w:rsidRDefault="00000000">
            <w:pPr>
              <w:jc w:val="center"/>
              <w:rPr>
                <w:b/>
                <w:bCs/>
                <w:i/>
                <w:iCs/>
                <w:sz w:val="22"/>
                <w:szCs w:val="22"/>
              </w:rPr>
            </w:pPr>
            <w:r>
              <w:rPr>
                <w:b/>
                <w:bCs/>
                <w:i/>
                <w:iCs/>
                <w:sz w:val="22"/>
                <w:szCs w:val="22"/>
              </w:rPr>
              <w:t>Uşi</w:t>
            </w:r>
          </w:p>
        </w:tc>
      </w:tr>
      <w:tr w:rsidR="001C08A5" w14:paraId="449B8139" w14:textId="77777777">
        <w:tc>
          <w:tcPr>
            <w:tcW w:w="1260" w:type="dxa"/>
          </w:tcPr>
          <w:p w14:paraId="4F94A6E1" w14:textId="77777777" w:rsidR="001C08A5" w:rsidRDefault="00000000">
            <w:pPr>
              <w:jc w:val="center"/>
              <w:rPr>
                <w:b/>
                <w:i/>
                <w:iCs/>
                <w:sz w:val="22"/>
                <w:szCs w:val="22"/>
              </w:rPr>
            </w:pPr>
            <w:r>
              <w:rPr>
                <w:b/>
                <w:i/>
                <w:iCs/>
                <w:sz w:val="22"/>
                <w:szCs w:val="22"/>
              </w:rPr>
              <w:t>I</w:t>
            </w:r>
          </w:p>
        </w:tc>
        <w:tc>
          <w:tcPr>
            <w:tcW w:w="1440" w:type="dxa"/>
          </w:tcPr>
          <w:p w14:paraId="14D2D9D0" w14:textId="77777777" w:rsidR="001C08A5" w:rsidRDefault="00000000">
            <w:pPr>
              <w:jc w:val="center"/>
              <w:rPr>
                <w:b/>
                <w:i/>
                <w:iCs/>
                <w:sz w:val="22"/>
                <w:szCs w:val="22"/>
              </w:rPr>
            </w:pPr>
            <w:r>
              <w:rPr>
                <w:b/>
                <w:i/>
                <w:iCs/>
                <w:sz w:val="22"/>
                <w:szCs w:val="22"/>
              </w:rPr>
              <w:t xml:space="preserve">EI/REI 180 </w:t>
            </w:r>
          </w:p>
        </w:tc>
        <w:tc>
          <w:tcPr>
            <w:tcW w:w="1293" w:type="dxa"/>
          </w:tcPr>
          <w:p w14:paraId="77FAAC64" w14:textId="77777777" w:rsidR="001C08A5" w:rsidRDefault="00000000">
            <w:pPr>
              <w:jc w:val="center"/>
              <w:rPr>
                <w:i/>
                <w:iCs/>
                <w:sz w:val="22"/>
                <w:szCs w:val="22"/>
              </w:rPr>
            </w:pPr>
            <w:r>
              <w:rPr>
                <w:b/>
                <w:i/>
                <w:iCs/>
                <w:sz w:val="22"/>
                <w:szCs w:val="22"/>
              </w:rPr>
              <w:t>A1</w:t>
            </w:r>
            <w:r>
              <w:rPr>
                <w:bCs/>
                <w:i/>
                <w:iCs/>
                <w:sz w:val="22"/>
                <w:szCs w:val="22"/>
              </w:rPr>
              <w:t xml:space="preserve"> sau </w:t>
            </w:r>
            <w:r>
              <w:rPr>
                <w:b/>
                <w:i/>
                <w:iCs/>
                <w:sz w:val="22"/>
                <w:szCs w:val="22"/>
              </w:rPr>
              <w:t>A2-s1d0</w:t>
            </w:r>
          </w:p>
        </w:tc>
        <w:tc>
          <w:tcPr>
            <w:tcW w:w="1475" w:type="dxa"/>
          </w:tcPr>
          <w:p w14:paraId="66B4827E" w14:textId="77777777" w:rsidR="001C08A5" w:rsidRDefault="00000000">
            <w:pPr>
              <w:jc w:val="center"/>
              <w:rPr>
                <w:b/>
                <w:i/>
                <w:iCs/>
                <w:sz w:val="22"/>
                <w:szCs w:val="22"/>
              </w:rPr>
            </w:pPr>
            <w:r>
              <w:rPr>
                <w:b/>
                <w:i/>
                <w:iCs/>
                <w:sz w:val="22"/>
                <w:szCs w:val="22"/>
              </w:rPr>
              <w:t xml:space="preserve">REI 120 </w:t>
            </w:r>
          </w:p>
        </w:tc>
        <w:tc>
          <w:tcPr>
            <w:tcW w:w="1888" w:type="dxa"/>
          </w:tcPr>
          <w:p w14:paraId="35FF19E1" w14:textId="77777777" w:rsidR="001C08A5" w:rsidRDefault="00000000">
            <w:pPr>
              <w:jc w:val="center"/>
              <w:rPr>
                <w:i/>
                <w:iCs/>
                <w:sz w:val="22"/>
                <w:szCs w:val="22"/>
              </w:rPr>
            </w:pPr>
            <w:r>
              <w:rPr>
                <w:b/>
                <w:i/>
                <w:iCs/>
                <w:sz w:val="22"/>
                <w:szCs w:val="22"/>
              </w:rPr>
              <w:t>A1</w:t>
            </w:r>
            <w:r>
              <w:rPr>
                <w:bCs/>
                <w:i/>
                <w:iCs/>
                <w:sz w:val="22"/>
                <w:szCs w:val="22"/>
              </w:rPr>
              <w:t xml:space="preserve"> sau </w:t>
            </w:r>
            <w:r>
              <w:rPr>
                <w:b/>
                <w:i/>
                <w:iCs/>
                <w:sz w:val="22"/>
                <w:szCs w:val="22"/>
              </w:rPr>
              <w:t>A2-s1d0</w:t>
            </w:r>
          </w:p>
        </w:tc>
        <w:tc>
          <w:tcPr>
            <w:tcW w:w="2142" w:type="dxa"/>
          </w:tcPr>
          <w:p w14:paraId="16909B1E" w14:textId="77777777" w:rsidR="001C08A5" w:rsidRDefault="00000000">
            <w:pPr>
              <w:jc w:val="center"/>
              <w:rPr>
                <w:i/>
                <w:iCs/>
                <w:sz w:val="22"/>
                <w:szCs w:val="22"/>
              </w:rPr>
            </w:pPr>
            <w:r>
              <w:rPr>
                <w:b/>
                <w:bCs/>
                <w:i/>
                <w:iCs/>
                <w:sz w:val="22"/>
                <w:szCs w:val="22"/>
              </w:rPr>
              <w:t>2xEI</w:t>
            </w:r>
            <w:r>
              <w:rPr>
                <w:b/>
                <w:bCs/>
                <w:i/>
                <w:iCs/>
                <w:sz w:val="22"/>
                <w:szCs w:val="22"/>
                <w:vertAlign w:val="subscript"/>
              </w:rPr>
              <w:t>2</w:t>
            </w:r>
            <w:r>
              <w:rPr>
                <w:b/>
                <w:bCs/>
                <w:i/>
                <w:iCs/>
                <w:sz w:val="22"/>
                <w:szCs w:val="22"/>
              </w:rPr>
              <w:t>60-C5</w:t>
            </w:r>
            <w:r>
              <w:rPr>
                <w:b/>
                <w:i/>
                <w:iCs/>
                <w:sz w:val="22"/>
                <w:szCs w:val="22"/>
              </w:rPr>
              <w:t>S</w:t>
            </w:r>
            <w:r>
              <w:rPr>
                <w:b/>
                <w:bCs/>
                <w:i/>
                <w:iCs/>
                <w:sz w:val="22"/>
                <w:szCs w:val="22"/>
                <w:vertAlign w:val="subscript"/>
              </w:rPr>
              <w:t xml:space="preserve">200 </w:t>
            </w:r>
            <w:r>
              <w:rPr>
                <w:i/>
                <w:iCs/>
                <w:sz w:val="22"/>
                <w:szCs w:val="22"/>
              </w:rPr>
              <w:t>la încăperi tampon protejate</w:t>
            </w:r>
          </w:p>
        </w:tc>
      </w:tr>
    </w:tbl>
    <w:p w14:paraId="1CB951CF" w14:textId="77777777" w:rsidR="001C08A5" w:rsidRDefault="00000000">
      <w:pPr>
        <w:jc w:val="both"/>
        <w:rPr>
          <w:b/>
          <w:bCs/>
          <w:i/>
          <w:iCs/>
          <w:sz w:val="22"/>
          <w:szCs w:val="22"/>
        </w:rPr>
      </w:pPr>
      <w:r>
        <w:rPr>
          <w:i/>
          <w:iCs/>
          <w:sz w:val="22"/>
          <w:szCs w:val="22"/>
        </w:rPr>
        <w:t xml:space="preserve">Notă: Holurile de lift ale clădirilor publice pot să comunice liber cu spaţiile publice de pe nivel dacă performanța la foc a ușilor liftului este </w:t>
      </w:r>
      <w:r>
        <w:rPr>
          <w:b/>
          <w:bCs/>
          <w:i/>
          <w:iCs/>
          <w:sz w:val="22"/>
          <w:szCs w:val="22"/>
        </w:rPr>
        <w:t>EI120</w:t>
      </w:r>
    </w:p>
    <w:p w14:paraId="0C842D79" w14:textId="77777777" w:rsidR="001C08A5" w:rsidRDefault="001C08A5">
      <w:pPr>
        <w:jc w:val="both"/>
        <w:rPr>
          <w:b/>
          <w:bCs/>
          <w:i/>
          <w:iCs/>
          <w:sz w:val="24"/>
          <w:szCs w:val="24"/>
        </w:rPr>
      </w:pPr>
    </w:p>
    <w:p w14:paraId="45D12212" w14:textId="77777777" w:rsidR="001C08A5" w:rsidRDefault="00000000">
      <w:pPr>
        <w:jc w:val="both"/>
        <w:rPr>
          <w:b/>
          <w:sz w:val="24"/>
          <w:szCs w:val="24"/>
        </w:rPr>
      </w:pPr>
      <w:r>
        <w:rPr>
          <w:b/>
          <w:sz w:val="24"/>
          <w:szCs w:val="24"/>
        </w:rPr>
        <w:tab/>
        <w:t xml:space="preserve">Art. 4.1.5.3. </w:t>
      </w:r>
      <w:r>
        <w:rPr>
          <w:sz w:val="24"/>
          <w:szCs w:val="24"/>
        </w:rPr>
        <w:t xml:space="preserve">Comportarea la foc a pereţilor, uşilor și planşeelor de separare a căilor de evacuare orizontale (coridoare şi holuri) din clădirile civile supraterane înalte, trebuie să corespundă prevederilor din </w:t>
      </w:r>
      <w:r>
        <w:rPr>
          <w:b/>
          <w:bCs/>
          <w:i/>
          <w:iCs/>
          <w:sz w:val="24"/>
          <w:szCs w:val="24"/>
        </w:rPr>
        <w:fldChar w:fldCharType="begin"/>
      </w:r>
      <w:r>
        <w:rPr>
          <w:b/>
          <w:bCs/>
          <w:i/>
          <w:iCs/>
          <w:sz w:val="24"/>
          <w:szCs w:val="24"/>
        </w:rPr>
        <w:instrText xml:space="preserve"> REF _Ref15001 \h </w:instrText>
      </w:r>
      <w:r>
        <w:rPr>
          <w:b/>
          <w:bCs/>
          <w:i/>
          <w:iCs/>
          <w:sz w:val="24"/>
          <w:szCs w:val="24"/>
        </w:rPr>
      </w:r>
      <w:r>
        <w:rPr>
          <w:b/>
          <w:bCs/>
          <w:i/>
          <w:iCs/>
          <w:sz w:val="24"/>
          <w:szCs w:val="24"/>
        </w:rPr>
        <w:fldChar w:fldCharType="separate"/>
      </w:r>
      <w:r>
        <w:t>Tabelul 92</w:t>
      </w:r>
      <w:r>
        <w:rPr>
          <w:b/>
          <w:bCs/>
          <w:i/>
          <w:iCs/>
          <w:sz w:val="24"/>
          <w:szCs w:val="24"/>
        </w:rPr>
        <w:fldChar w:fldCharType="end"/>
      </w:r>
      <w:r>
        <w:rPr>
          <w:b/>
          <w:sz w:val="24"/>
          <w:szCs w:val="24"/>
        </w:rPr>
        <w:t>.</w:t>
      </w:r>
    </w:p>
    <w:p w14:paraId="0314DF57" w14:textId="77777777" w:rsidR="001C08A5" w:rsidRDefault="001C08A5">
      <w:pPr>
        <w:jc w:val="both"/>
        <w:rPr>
          <w:b/>
          <w:sz w:val="24"/>
          <w:szCs w:val="24"/>
        </w:rPr>
      </w:pPr>
    </w:p>
    <w:p w14:paraId="52C8B511" w14:textId="77777777" w:rsidR="001C08A5" w:rsidRDefault="00000000">
      <w:pPr>
        <w:pStyle w:val="Captiontabel"/>
      </w:pPr>
      <w:bookmarkStart w:id="4304" w:name="_Ref15001"/>
      <w:bookmarkStart w:id="4305" w:name="_Toc162360142"/>
      <w:r>
        <w:t xml:space="preserve">Tabelul </w:t>
      </w:r>
      <w:r>
        <w:fldChar w:fldCharType="begin"/>
      </w:r>
      <w:r>
        <w:instrText xml:space="preserve"> SEQ Tabelul \* ARABIC </w:instrText>
      </w:r>
      <w:r>
        <w:fldChar w:fldCharType="separate"/>
      </w:r>
      <w:r>
        <w:t>92</w:t>
      </w:r>
      <w:r>
        <w:fldChar w:fldCharType="end"/>
      </w:r>
      <w:bookmarkStart w:id="4306" w:name="_Toc14045"/>
      <w:bookmarkStart w:id="4307" w:name="_Toc19370"/>
      <w:bookmarkStart w:id="4308" w:name="_Toc29493"/>
      <w:bookmarkStart w:id="4309" w:name="_Toc18304"/>
      <w:bookmarkStart w:id="4310" w:name="_Toc19937"/>
      <w:bookmarkStart w:id="4311" w:name="_Toc21340"/>
      <w:bookmarkStart w:id="4312" w:name="_Toc30387"/>
      <w:bookmarkStart w:id="4313" w:name="_Toc18355"/>
      <w:bookmarkStart w:id="4314" w:name="_Toc22491"/>
      <w:bookmarkStart w:id="4315" w:name="_Toc30083"/>
      <w:bookmarkStart w:id="4316" w:name="_Toc3433"/>
      <w:bookmarkStart w:id="4317" w:name="_Toc11944"/>
      <w:bookmarkStart w:id="4318" w:name="_Toc3167"/>
      <w:bookmarkStart w:id="4319" w:name="_Toc8525"/>
      <w:bookmarkStart w:id="4320" w:name="_Toc268"/>
      <w:bookmarkStart w:id="4321" w:name="_Toc17208"/>
      <w:bookmarkStart w:id="4322" w:name="_Toc27511"/>
      <w:bookmarkStart w:id="4323" w:name="_Toc27852"/>
      <w:bookmarkStart w:id="4324" w:name="_Toc31855"/>
      <w:bookmarkEnd w:id="4304"/>
      <w:r>
        <w:t>: Comportare la foc a pereţilor, uşilor și planşeelor de separare a căilor de evacuare orizontale (coridoare şi holuri) din clădirile civile supraterane înalte</w:t>
      </w:r>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p>
    <w:p w14:paraId="78D72A50" w14:textId="77777777" w:rsidR="001C08A5" w:rsidRDefault="00000000">
      <w:pPr>
        <w:jc w:val="both"/>
        <w:rPr>
          <w:b/>
          <w:sz w:val="24"/>
          <w:szCs w:val="24"/>
        </w:rPr>
      </w:pPr>
      <w:r>
        <w:rPr>
          <w:sz w:val="24"/>
          <w:szCs w:val="24"/>
        </w:rPr>
        <w:tab/>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63"/>
        <w:gridCol w:w="1527"/>
        <w:gridCol w:w="1084"/>
        <w:gridCol w:w="1976"/>
        <w:gridCol w:w="1980"/>
        <w:gridCol w:w="1668"/>
      </w:tblGrid>
      <w:tr w:rsidR="001C08A5" w14:paraId="21A04136" w14:textId="77777777">
        <w:tc>
          <w:tcPr>
            <w:tcW w:w="1263" w:type="dxa"/>
            <w:vMerge w:val="restart"/>
            <w:shd w:val="clear" w:color="auto" w:fill="BFBFBF"/>
          </w:tcPr>
          <w:p w14:paraId="717F276F" w14:textId="77777777" w:rsidR="001C08A5" w:rsidRDefault="00000000">
            <w:pPr>
              <w:jc w:val="center"/>
              <w:rPr>
                <w:b/>
                <w:i/>
                <w:iCs/>
                <w:sz w:val="22"/>
                <w:szCs w:val="22"/>
              </w:rPr>
            </w:pPr>
            <w:r>
              <w:rPr>
                <w:b/>
                <w:i/>
                <w:iCs/>
                <w:sz w:val="22"/>
                <w:szCs w:val="22"/>
              </w:rPr>
              <w:lastRenderedPageBreak/>
              <w:t>Nivel de stabilitate</w:t>
            </w:r>
          </w:p>
          <w:p w14:paraId="3618CE94" w14:textId="77777777" w:rsidR="001C08A5" w:rsidRDefault="00000000">
            <w:pPr>
              <w:jc w:val="center"/>
              <w:rPr>
                <w:i/>
                <w:iCs/>
                <w:sz w:val="22"/>
                <w:szCs w:val="22"/>
              </w:rPr>
            </w:pPr>
            <w:r>
              <w:rPr>
                <w:b/>
                <w:bCs/>
                <w:i/>
                <w:iCs/>
                <w:sz w:val="22"/>
                <w:szCs w:val="22"/>
              </w:rPr>
              <w:t>la incendiu</w:t>
            </w:r>
          </w:p>
        </w:tc>
        <w:tc>
          <w:tcPr>
            <w:tcW w:w="8235" w:type="dxa"/>
            <w:gridSpan w:val="5"/>
            <w:shd w:val="clear" w:color="auto" w:fill="BFBFBF"/>
          </w:tcPr>
          <w:p w14:paraId="70B9C3FA" w14:textId="77777777" w:rsidR="001C08A5" w:rsidRDefault="00000000">
            <w:pPr>
              <w:jc w:val="center"/>
              <w:rPr>
                <w:b/>
                <w:bCs/>
                <w:i/>
                <w:iCs/>
                <w:sz w:val="22"/>
                <w:szCs w:val="22"/>
              </w:rPr>
            </w:pPr>
            <w:r>
              <w:rPr>
                <w:b/>
                <w:bCs/>
                <w:i/>
                <w:iCs/>
                <w:sz w:val="22"/>
                <w:szCs w:val="22"/>
              </w:rPr>
              <w:t>Niveluri de comportare la foc admise la coridoare și la holuri</w:t>
            </w:r>
          </w:p>
        </w:tc>
      </w:tr>
      <w:tr w:rsidR="001C08A5" w14:paraId="4E212C7E" w14:textId="77777777">
        <w:trPr>
          <w:trHeight w:val="793"/>
        </w:trPr>
        <w:tc>
          <w:tcPr>
            <w:tcW w:w="1263" w:type="dxa"/>
            <w:vMerge/>
            <w:shd w:val="clear" w:color="auto" w:fill="BFBFBF"/>
          </w:tcPr>
          <w:p w14:paraId="1BF283F8" w14:textId="77777777" w:rsidR="001C08A5" w:rsidRDefault="001C08A5">
            <w:pPr>
              <w:jc w:val="center"/>
              <w:rPr>
                <w:i/>
                <w:iCs/>
                <w:sz w:val="22"/>
                <w:szCs w:val="22"/>
              </w:rPr>
            </w:pPr>
          </w:p>
        </w:tc>
        <w:tc>
          <w:tcPr>
            <w:tcW w:w="2611" w:type="dxa"/>
            <w:gridSpan w:val="2"/>
            <w:shd w:val="clear" w:color="auto" w:fill="BFBFBF"/>
          </w:tcPr>
          <w:p w14:paraId="41BD8248" w14:textId="77777777" w:rsidR="001C08A5" w:rsidRDefault="00000000">
            <w:pPr>
              <w:jc w:val="center"/>
              <w:rPr>
                <w:i/>
                <w:iCs/>
                <w:sz w:val="22"/>
                <w:szCs w:val="22"/>
              </w:rPr>
            </w:pPr>
            <w:r>
              <w:rPr>
                <w:b/>
                <w:bCs/>
                <w:i/>
                <w:iCs/>
                <w:sz w:val="22"/>
                <w:szCs w:val="22"/>
              </w:rPr>
              <w:t>Pereţi</w:t>
            </w:r>
          </w:p>
        </w:tc>
        <w:tc>
          <w:tcPr>
            <w:tcW w:w="3956" w:type="dxa"/>
            <w:gridSpan w:val="2"/>
            <w:shd w:val="clear" w:color="auto" w:fill="BFBFBF"/>
          </w:tcPr>
          <w:p w14:paraId="1E3BDF0C" w14:textId="77777777" w:rsidR="001C08A5" w:rsidRDefault="00000000">
            <w:pPr>
              <w:jc w:val="center"/>
              <w:rPr>
                <w:i/>
                <w:iCs/>
                <w:sz w:val="22"/>
                <w:szCs w:val="22"/>
              </w:rPr>
            </w:pPr>
            <w:r>
              <w:rPr>
                <w:b/>
                <w:bCs/>
                <w:i/>
                <w:iCs/>
                <w:sz w:val="22"/>
                <w:szCs w:val="22"/>
              </w:rPr>
              <w:t xml:space="preserve">Planşee </w:t>
            </w:r>
            <w:r>
              <w:rPr>
                <w:bCs/>
                <w:i/>
                <w:iCs/>
                <w:sz w:val="22"/>
                <w:szCs w:val="22"/>
              </w:rPr>
              <w:t>(</w:t>
            </w:r>
            <w:r>
              <w:rPr>
                <w:i/>
                <w:iCs/>
                <w:sz w:val="22"/>
                <w:szCs w:val="22"/>
              </w:rPr>
              <w:t xml:space="preserve">care separă faţă de restul construcţiei </w:t>
            </w:r>
            <w:r>
              <w:rPr>
                <w:bCs/>
                <w:i/>
                <w:iCs/>
                <w:sz w:val="22"/>
                <w:szCs w:val="22"/>
              </w:rPr>
              <w:t xml:space="preserve">coridoarele și holurile, inclusiv </w:t>
            </w:r>
            <w:r>
              <w:rPr>
                <w:i/>
                <w:iCs/>
                <w:sz w:val="22"/>
                <w:szCs w:val="22"/>
              </w:rPr>
              <w:t>căile lor de ieşire în exterior la nivelul terenului sau al carosabilului adiacent</w:t>
            </w:r>
            <w:r>
              <w:rPr>
                <w:bCs/>
                <w:i/>
                <w:iCs/>
                <w:sz w:val="22"/>
                <w:szCs w:val="22"/>
              </w:rPr>
              <w:t>)</w:t>
            </w:r>
          </w:p>
        </w:tc>
        <w:tc>
          <w:tcPr>
            <w:tcW w:w="1668" w:type="dxa"/>
            <w:shd w:val="clear" w:color="auto" w:fill="BFBFBF"/>
          </w:tcPr>
          <w:p w14:paraId="79E88F7F" w14:textId="77777777" w:rsidR="001C08A5" w:rsidRDefault="00000000">
            <w:pPr>
              <w:jc w:val="center"/>
              <w:rPr>
                <w:b/>
                <w:bCs/>
                <w:i/>
                <w:iCs/>
                <w:sz w:val="22"/>
                <w:szCs w:val="22"/>
              </w:rPr>
            </w:pPr>
            <w:r>
              <w:rPr>
                <w:b/>
                <w:bCs/>
                <w:i/>
                <w:iCs/>
                <w:sz w:val="22"/>
                <w:szCs w:val="22"/>
              </w:rPr>
              <w:t>Uşi</w:t>
            </w:r>
          </w:p>
          <w:p w14:paraId="69D5E78E" w14:textId="77777777" w:rsidR="001C08A5" w:rsidRDefault="00000000">
            <w:pPr>
              <w:jc w:val="center"/>
              <w:rPr>
                <w:i/>
                <w:iCs/>
                <w:sz w:val="22"/>
                <w:szCs w:val="22"/>
              </w:rPr>
            </w:pPr>
            <w:r>
              <w:rPr>
                <w:bCs/>
                <w:i/>
                <w:iCs/>
                <w:sz w:val="22"/>
                <w:szCs w:val="22"/>
              </w:rPr>
              <w:t>(cu exceptia celor catre case de scări închise)</w:t>
            </w:r>
          </w:p>
        </w:tc>
      </w:tr>
      <w:tr w:rsidR="001C08A5" w14:paraId="1F30F070" w14:textId="77777777">
        <w:tc>
          <w:tcPr>
            <w:tcW w:w="1263" w:type="dxa"/>
          </w:tcPr>
          <w:p w14:paraId="69B4CBEA" w14:textId="77777777" w:rsidR="001C08A5" w:rsidRDefault="00000000">
            <w:pPr>
              <w:jc w:val="center"/>
              <w:rPr>
                <w:b/>
                <w:i/>
                <w:iCs/>
                <w:sz w:val="22"/>
                <w:szCs w:val="22"/>
              </w:rPr>
            </w:pPr>
            <w:r>
              <w:rPr>
                <w:b/>
                <w:i/>
                <w:iCs/>
                <w:sz w:val="22"/>
                <w:szCs w:val="22"/>
              </w:rPr>
              <w:t>I</w:t>
            </w:r>
          </w:p>
        </w:tc>
        <w:tc>
          <w:tcPr>
            <w:tcW w:w="1527" w:type="dxa"/>
          </w:tcPr>
          <w:p w14:paraId="57FFD0A9" w14:textId="77777777" w:rsidR="001C08A5" w:rsidRDefault="00000000">
            <w:pPr>
              <w:jc w:val="center"/>
              <w:rPr>
                <w:b/>
                <w:i/>
                <w:iCs/>
                <w:sz w:val="22"/>
                <w:szCs w:val="22"/>
              </w:rPr>
            </w:pPr>
            <w:r>
              <w:rPr>
                <w:b/>
                <w:i/>
                <w:iCs/>
                <w:sz w:val="22"/>
                <w:szCs w:val="22"/>
              </w:rPr>
              <w:t>EI/REI 90</w:t>
            </w:r>
          </w:p>
        </w:tc>
        <w:tc>
          <w:tcPr>
            <w:tcW w:w="1084" w:type="dxa"/>
          </w:tcPr>
          <w:p w14:paraId="0BF4B884" w14:textId="77777777" w:rsidR="001C08A5" w:rsidRDefault="00000000">
            <w:pPr>
              <w:jc w:val="center"/>
              <w:rPr>
                <w:i/>
                <w:iCs/>
                <w:sz w:val="22"/>
                <w:szCs w:val="22"/>
              </w:rPr>
            </w:pPr>
            <w:r>
              <w:rPr>
                <w:b/>
                <w:i/>
                <w:iCs/>
                <w:sz w:val="22"/>
                <w:szCs w:val="22"/>
              </w:rPr>
              <w:t>A1</w:t>
            </w:r>
            <w:r>
              <w:rPr>
                <w:bCs/>
                <w:i/>
                <w:iCs/>
                <w:sz w:val="22"/>
                <w:szCs w:val="22"/>
              </w:rPr>
              <w:t xml:space="preserve"> sau </w:t>
            </w:r>
            <w:r>
              <w:rPr>
                <w:b/>
                <w:i/>
                <w:iCs/>
                <w:sz w:val="22"/>
                <w:szCs w:val="22"/>
              </w:rPr>
              <w:t>A2-s1d0</w:t>
            </w:r>
          </w:p>
        </w:tc>
        <w:tc>
          <w:tcPr>
            <w:tcW w:w="1976" w:type="dxa"/>
          </w:tcPr>
          <w:p w14:paraId="4657609E" w14:textId="77777777" w:rsidR="001C08A5" w:rsidRDefault="00000000">
            <w:pPr>
              <w:jc w:val="center"/>
              <w:rPr>
                <w:b/>
                <w:i/>
                <w:iCs/>
                <w:sz w:val="22"/>
                <w:szCs w:val="22"/>
              </w:rPr>
            </w:pPr>
            <w:r>
              <w:rPr>
                <w:b/>
                <w:i/>
                <w:iCs/>
                <w:sz w:val="22"/>
                <w:szCs w:val="22"/>
              </w:rPr>
              <w:t xml:space="preserve">REI 120 </w:t>
            </w:r>
          </w:p>
        </w:tc>
        <w:tc>
          <w:tcPr>
            <w:tcW w:w="1980" w:type="dxa"/>
          </w:tcPr>
          <w:p w14:paraId="21225DE0" w14:textId="77777777" w:rsidR="001C08A5" w:rsidRDefault="00000000">
            <w:pPr>
              <w:jc w:val="center"/>
              <w:rPr>
                <w:i/>
                <w:iCs/>
                <w:sz w:val="22"/>
                <w:szCs w:val="22"/>
              </w:rPr>
            </w:pPr>
            <w:r>
              <w:rPr>
                <w:b/>
                <w:i/>
                <w:iCs/>
                <w:sz w:val="22"/>
                <w:szCs w:val="22"/>
              </w:rPr>
              <w:t>A1</w:t>
            </w:r>
            <w:r>
              <w:rPr>
                <w:bCs/>
                <w:i/>
                <w:iCs/>
                <w:sz w:val="22"/>
                <w:szCs w:val="22"/>
              </w:rPr>
              <w:t xml:space="preserve"> sau </w:t>
            </w:r>
            <w:r>
              <w:rPr>
                <w:b/>
                <w:i/>
                <w:iCs/>
                <w:sz w:val="22"/>
                <w:szCs w:val="22"/>
              </w:rPr>
              <w:t>A2-s1d0</w:t>
            </w:r>
          </w:p>
        </w:tc>
        <w:tc>
          <w:tcPr>
            <w:tcW w:w="1668" w:type="dxa"/>
          </w:tcPr>
          <w:p w14:paraId="3E781100" w14:textId="77777777" w:rsidR="001C08A5" w:rsidRDefault="00000000">
            <w:pPr>
              <w:jc w:val="center"/>
              <w:rPr>
                <w:b/>
                <w:bCs/>
                <w:i/>
                <w:iCs/>
                <w:sz w:val="22"/>
                <w:szCs w:val="22"/>
              </w:rPr>
            </w:pPr>
            <w:r>
              <w:rPr>
                <w:b/>
                <w:bCs/>
                <w:i/>
                <w:iCs/>
                <w:sz w:val="22"/>
                <w:szCs w:val="22"/>
              </w:rPr>
              <w:t>EI</w:t>
            </w:r>
            <w:r>
              <w:rPr>
                <w:b/>
                <w:bCs/>
                <w:i/>
                <w:iCs/>
                <w:sz w:val="22"/>
                <w:szCs w:val="22"/>
                <w:vertAlign w:val="subscript"/>
              </w:rPr>
              <w:t>2</w:t>
            </w:r>
            <w:r>
              <w:rPr>
                <w:b/>
                <w:bCs/>
                <w:i/>
                <w:iCs/>
                <w:sz w:val="22"/>
                <w:szCs w:val="22"/>
              </w:rPr>
              <w:t xml:space="preserve"> 30 - C5</w:t>
            </w:r>
            <w:r>
              <w:rPr>
                <w:b/>
                <w:i/>
                <w:iCs/>
                <w:sz w:val="22"/>
                <w:szCs w:val="22"/>
              </w:rPr>
              <w:t>S</w:t>
            </w:r>
            <w:r>
              <w:rPr>
                <w:b/>
                <w:bCs/>
                <w:i/>
                <w:iCs/>
                <w:sz w:val="22"/>
                <w:szCs w:val="22"/>
                <w:vertAlign w:val="subscript"/>
              </w:rPr>
              <w:t>200</w:t>
            </w:r>
          </w:p>
        </w:tc>
      </w:tr>
    </w:tbl>
    <w:p w14:paraId="3384BE72" w14:textId="77777777" w:rsidR="001C08A5" w:rsidRDefault="00000000">
      <w:pPr>
        <w:jc w:val="both"/>
        <w:rPr>
          <w:iCs/>
          <w:sz w:val="24"/>
          <w:szCs w:val="24"/>
          <w:u w:val="single"/>
        </w:rPr>
      </w:pPr>
      <w:r>
        <w:rPr>
          <w:iCs/>
          <w:sz w:val="24"/>
          <w:szCs w:val="24"/>
          <w:u w:val="single"/>
        </w:rPr>
        <w:t>Notă:</w:t>
      </w:r>
    </w:p>
    <w:p w14:paraId="068AF961" w14:textId="77777777" w:rsidR="001C08A5" w:rsidRDefault="00000000">
      <w:pPr>
        <w:ind w:left="720"/>
        <w:jc w:val="both"/>
        <w:rPr>
          <w:b/>
          <w:iCs/>
          <w:sz w:val="24"/>
          <w:szCs w:val="24"/>
        </w:rPr>
      </w:pPr>
      <w:r>
        <w:rPr>
          <w:iCs/>
          <w:sz w:val="24"/>
          <w:szCs w:val="24"/>
        </w:rPr>
        <w:t>În cazul pereților vitrați cu profil metalic care separă coridoarele și holurile de încăperile adiacente nu se ia în considerare clasa de reacție la foc.</w:t>
      </w:r>
    </w:p>
    <w:p w14:paraId="1C8DA92D" w14:textId="77777777" w:rsidR="001C08A5" w:rsidRDefault="001C08A5">
      <w:pPr>
        <w:jc w:val="both"/>
        <w:rPr>
          <w:b/>
          <w:sz w:val="24"/>
          <w:szCs w:val="24"/>
        </w:rPr>
      </w:pPr>
    </w:p>
    <w:p w14:paraId="019FD9E6" w14:textId="77777777" w:rsidR="001C08A5" w:rsidRDefault="00000000">
      <w:pPr>
        <w:jc w:val="both"/>
        <w:rPr>
          <w:sz w:val="24"/>
          <w:szCs w:val="24"/>
        </w:rPr>
      </w:pPr>
      <w:r>
        <w:rPr>
          <w:b/>
          <w:sz w:val="24"/>
          <w:szCs w:val="24"/>
        </w:rPr>
        <w:tab/>
        <w:t>Art. 4.1.5.4. (1)</w:t>
      </w:r>
      <w:r>
        <w:rPr>
          <w:sz w:val="24"/>
          <w:szCs w:val="24"/>
        </w:rPr>
        <w:t xml:space="preserve"> La toate nivelurile clădirii supraterane înalte, fiecare dintre scările de evacuare a utilizatorilor trebuie să fie accesibilă prin încăpere tampon protejată ventilată în suprapresiune, pe trasee independente și direcţii diferite,  precum și prin lungimi de evacuare normate.</w:t>
      </w:r>
    </w:p>
    <w:p w14:paraId="6C770905" w14:textId="77777777" w:rsidR="001C08A5" w:rsidRDefault="00000000">
      <w:pPr>
        <w:ind w:firstLine="720"/>
        <w:jc w:val="both"/>
        <w:rPr>
          <w:sz w:val="24"/>
          <w:szCs w:val="24"/>
        </w:rPr>
      </w:pPr>
      <w:r>
        <w:rPr>
          <w:b/>
          <w:sz w:val="24"/>
          <w:szCs w:val="24"/>
        </w:rPr>
        <w:t>(2)</w:t>
      </w:r>
      <w:r>
        <w:rPr>
          <w:sz w:val="24"/>
          <w:szCs w:val="24"/>
        </w:rPr>
        <w:t xml:space="preserve"> Cel puţin una dintre scările de evacuare ale clădirii înalte va avea acces pe acoperişul tip terasă. </w:t>
      </w:r>
    </w:p>
    <w:p w14:paraId="2DA1F510" w14:textId="77777777" w:rsidR="001C08A5" w:rsidRDefault="00000000">
      <w:pPr>
        <w:ind w:firstLine="720"/>
        <w:jc w:val="both"/>
        <w:rPr>
          <w:b/>
          <w:sz w:val="24"/>
          <w:szCs w:val="24"/>
        </w:rPr>
      </w:pPr>
      <w:r>
        <w:rPr>
          <w:caps/>
          <w:sz w:val="24"/>
          <w:szCs w:val="24"/>
        </w:rPr>
        <w:tab/>
      </w:r>
    </w:p>
    <w:p w14:paraId="39432993" w14:textId="77777777" w:rsidR="001C08A5" w:rsidRDefault="00000000">
      <w:pPr>
        <w:ind w:firstLine="708"/>
        <w:jc w:val="both"/>
        <w:rPr>
          <w:sz w:val="24"/>
          <w:szCs w:val="24"/>
        </w:rPr>
      </w:pPr>
      <w:r>
        <w:rPr>
          <w:b/>
          <w:sz w:val="24"/>
          <w:szCs w:val="24"/>
        </w:rPr>
        <w:t xml:space="preserve">Art. 4.1.5.5. </w:t>
      </w:r>
      <w:r>
        <w:rPr>
          <w:caps/>
          <w:sz w:val="24"/>
          <w:szCs w:val="24"/>
        </w:rPr>
        <w:t>L</w:t>
      </w:r>
      <w:r>
        <w:rPr>
          <w:sz w:val="24"/>
          <w:szCs w:val="24"/>
        </w:rPr>
        <w:t xml:space="preserve">a utilizarea scărilor rulante se respectă prevederile </w:t>
      </w:r>
      <w:r>
        <w:rPr>
          <w:b/>
          <w:sz w:val="24"/>
          <w:szCs w:val="24"/>
        </w:rPr>
        <w:t xml:space="preserve">Art. 2.5.6.3.3. </w:t>
      </w:r>
      <w:r>
        <w:rPr>
          <w:sz w:val="24"/>
          <w:szCs w:val="24"/>
        </w:rPr>
        <w:t>din normativ.</w:t>
      </w:r>
    </w:p>
    <w:p w14:paraId="609EC02C" w14:textId="77777777" w:rsidR="001C08A5" w:rsidRDefault="001C08A5">
      <w:pPr>
        <w:jc w:val="both"/>
        <w:rPr>
          <w:sz w:val="24"/>
          <w:szCs w:val="24"/>
        </w:rPr>
      </w:pPr>
    </w:p>
    <w:p w14:paraId="453F34AC" w14:textId="77777777" w:rsidR="001C08A5" w:rsidRDefault="00000000">
      <w:pPr>
        <w:jc w:val="both"/>
        <w:rPr>
          <w:sz w:val="24"/>
          <w:szCs w:val="24"/>
        </w:rPr>
      </w:pPr>
      <w:r>
        <w:rPr>
          <w:b/>
          <w:sz w:val="24"/>
          <w:szCs w:val="24"/>
        </w:rPr>
        <w:tab/>
        <w:t xml:space="preserve">Art. 4.1.5.6. (1) </w:t>
      </w:r>
      <w:r>
        <w:rPr>
          <w:bCs/>
          <w:sz w:val="24"/>
          <w:szCs w:val="24"/>
        </w:rPr>
        <w:t>Căile de evacuare a utilizatorilor</w:t>
      </w:r>
      <w:r>
        <w:rPr>
          <w:sz w:val="24"/>
          <w:szCs w:val="24"/>
        </w:rPr>
        <w:t xml:space="preserve"> clădirilor supraterane înalte vor respecta lungimile de evacuare precizate în </w:t>
      </w:r>
      <w:r>
        <w:rPr>
          <w:b/>
          <w:bCs/>
          <w:i/>
          <w:iCs/>
          <w:sz w:val="24"/>
          <w:szCs w:val="24"/>
        </w:rPr>
        <w:fldChar w:fldCharType="begin"/>
      </w:r>
      <w:r>
        <w:rPr>
          <w:b/>
          <w:bCs/>
          <w:i/>
          <w:iCs/>
          <w:sz w:val="24"/>
          <w:szCs w:val="24"/>
        </w:rPr>
        <w:instrText xml:space="preserve"> REF _Ref12764 \h </w:instrText>
      </w:r>
      <w:r>
        <w:rPr>
          <w:b/>
          <w:bCs/>
          <w:i/>
          <w:iCs/>
          <w:sz w:val="24"/>
          <w:szCs w:val="24"/>
        </w:rPr>
      </w:r>
      <w:r>
        <w:rPr>
          <w:b/>
          <w:bCs/>
          <w:i/>
          <w:iCs/>
          <w:sz w:val="24"/>
          <w:szCs w:val="24"/>
        </w:rPr>
        <w:fldChar w:fldCharType="separate"/>
      </w:r>
      <w:r>
        <w:t>Tabelul 93</w:t>
      </w:r>
      <w:r>
        <w:rPr>
          <w:b/>
          <w:bCs/>
          <w:i/>
          <w:iCs/>
          <w:sz w:val="24"/>
          <w:szCs w:val="24"/>
        </w:rPr>
        <w:fldChar w:fldCharType="end"/>
      </w:r>
      <w:r>
        <w:rPr>
          <w:sz w:val="24"/>
          <w:szCs w:val="24"/>
        </w:rPr>
        <w:t xml:space="preserve">. </w:t>
      </w:r>
    </w:p>
    <w:p w14:paraId="24D47869" w14:textId="77777777" w:rsidR="001C08A5" w:rsidRDefault="00000000">
      <w:pPr>
        <w:ind w:firstLine="720"/>
        <w:jc w:val="both"/>
        <w:rPr>
          <w:sz w:val="24"/>
          <w:szCs w:val="24"/>
        </w:rPr>
      </w:pPr>
      <w:r>
        <w:rPr>
          <w:b/>
          <w:sz w:val="24"/>
          <w:szCs w:val="24"/>
        </w:rPr>
        <w:t xml:space="preserve">(2) </w:t>
      </w:r>
      <w:r>
        <w:rPr>
          <w:sz w:val="24"/>
          <w:szCs w:val="24"/>
        </w:rPr>
        <w:t>Lungimile de evacuare maximum admise se determină pentru traseul de evacuare parcurs de la uşa încăperii până la cea mai apropiată uşă de intrare în încăperea tampon protejată ventilată în suprapresiune a scării închise de evacuare.</w:t>
      </w:r>
    </w:p>
    <w:p w14:paraId="061C2A64" w14:textId="77777777" w:rsidR="001C08A5" w:rsidRDefault="00000000">
      <w:pPr>
        <w:ind w:firstLine="720"/>
        <w:jc w:val="both"/>
        <w:rPr>
          <w:sz w:val="24"/>
          <w:szCs w:val="24"/>
        </w:rPr>
      </w:pPr>
      <w:r>
        <w:rPr>
          <w:b/>
          <w:sz w:val="24"/>
          <w:szCs w:val="24"/>
        </w:rPr>
        <w:t xml:space="preserve">(3) </w:t>
      </w:r>
      <w:r>
        <w:rPr>
          <w:rFonts w:eastAsia="Times-Roman"/>
          <w:sz w:val="24"/>
          <w:szCs w:val="24"/>
        </w:rPr>
        <w:t>Dacă distanţa parcursă în interiorul încăperii până la uşa prevazuta în peretele rezistent la foc (de delimitare a coridorului față de încăpere) este mai mică decât lungimea maximă de evacuare admisă pentru evacuarea într-o singură direcţie, atunci lungimea celor două căi de evacuare distincte şi independente necesare se măsoară de la uşa încăperii, şi este necesar ca traseul de evacuare parcurs de la uşa încăperii până la cea mai apropiată uşă de intrare în încăperea tampon a celei mai apropiate scări închise de evacuare să fie mai mică decât lungimea maximă de evacuare admisă pentru evacuarea în două direcţii.</w:t>
      </w:r>
    </w:p>
    <w:p w14:paraId="0192F46E" w14:textId="77777777" w:rsidR="001C08A5" w:rsidRDefault="00000000">
      <w:pPr>
        <w:pStyle w:val="BodyText"/>
        <w:ind w:firstLine="720"/>
      </w:pPr>
      <w:r>
        <w:rPr>
          <w:rFonts w:eastAsia="Times-Roman"/>
          <w:i w:val="0"/>
        </w:rPr>
        <w:t>(4)</w:t>
      </w:r>
      <w:r>
        <w:rPr>
          <w:rFonts w:eastAsia="Times-Roman"/>
          <w:b w:val="0"/>
          <w:bCs w:val="0"/>
          <w:i w:val="0"/>
        </w:rPr>
        <w:t xml:space="preserve"> Dacă distanţa parcursă în interiorul încăperii până la uşa prevazuta în peretele rezistent la foc (de delimitare a coridorului față de încăpere) este mai mare decât lungimea maximă de evacuare admisă pentru evacuarea într-o singură direcţie, atunci sunt necesare două căi de evacuare în interiorul încaperii, iar lungimea celor două căi de evacuare distincte şi independente necesare se măsoară de la cel mai dezavantajos punct din interiorul încăperii respective, fiind necesar ca traseul de evacuare parcurs din acest punct până la cea mai apropiată uşă de intrare în încăperea tampon a celei mai apropiate scări închise de evacuare să fie mai mică decât lungimea maximă de evacuare admisă pentru evacuarea în două direcţii.</w:t>
      </w:r>
    </w:p>
    <w:p w14:paraId="7DB7D8FA" w14:textId="77777777" w:rsidR="001C08A5" w:rsidRDefault="001C08A5">
      <w:pPr>
        <w:jc w:val="both"/>
        <w:rPr>
          <w:sz w:val="24"/>
          <w:szCs w:val="24"/>
        </w:rPr>
      </w:pPr>
    </w:p>
    <w:p w14:paraId="110BF7CB" w14:textId="77777777" w:rsidR="001C08A5" w:rsidRDefault="00000000">
      <w:pPr>
        <w:pStyle w:val="Captiontabel"/>
      </w:pPr>
      <w:bookmarkStart w:id="4325" w:name="_Ref12764"/>
      <w:bookmarkStart w:id="4326" w:name="_Toc162360143"/>
      <w:r>
        <w:t xml:space="preserve">Tabelul </w:t>
      </w:r>
      <w:r>
        <w:fldChar w:fldCharType="begin"/>
      </w:r>
      <w:r>
        <w:instrText xml:space="preserve"> SEQ Tabelul \* ARABIC </w:instrText>
      </w:r>
      <w:r>
        <w:fldChar w:fldCharType="separate"/>
      </w:r>
      <w:r>
        <w:t>93</w:t>
      </w:r>
      <w:r>
        <w:fldChar w:fldCharType="end"/>
      </w:r>
      <w:bookmarkStart w:id="4327" w:name="_Toc2114"/>
      <w:bookmarkStart w:id="4328" w:name="_Toc1847"/>
      <w:bookmarkStart w:id="4329" w:name="_Toc31706"/>
      <w:bookmarkStart w:id="4330" w:name="_Toc12134"/>
      <w:bookmarkStart w:id="4331" w:name="_Toc24031"/>
      <w:bookmarkStart w:id="4332" w:name="_Toc29178"/>
      <w:bookmarkStart w:id="4333" w:name="_Toc1468"/>
      <w:bookmarkStart w:id="4334" w:name="_Toc11330"/>
      <w:bookmarkStart w:id="4335" w:name="_Toc3539"/>
      <w:bookmarkStart w:id="4336" w:name="_Toc15086"/>
      <w:bookmarkStart w:id="4337" w:name="_Toc1280"/>
      <w:bookmarkStart w:id="4338" w:name="_Toc5450"/>
      <w:bookmarkStart w:id="4339" w:name="_Toc26859"/>
      <w:bookmarkStart w:id="4340" w:name="_Toc20481"/>
      <w:bookmarkStart w:id="4341" w:name="_Toc22078"/>
      <w:bookmarkStart w:id="4342" w:name="_Toc1268"/>
      <w:bookmarkStart w:id="4343" w:name="_Toc10540"/>
      <w:bookmarkStart w:id="4344" w:name="_Toc29"/>
      <w:bookmarkStart w:id="4345" w:name="_Toc5655"/>
      <w:bookmarkEnd w:id="4325"/>
      <w:r>
        <w:t>: Lungimi de evacuare în clădiri supraterane înalte</w:t>
      </w:r>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p>
    <w:p w14:paraId="132DE743" w14:textId="77777777" w:rsidR="001C08A5" w:rsidRDefault="001C08A5">
      <w:pPr>
        <w:jc w:val="both"/>
        <w:rPr>
          <w:sz w:val="24"/>
          <w:szCs w:val="24"/>
        </w:rPr>
      </w:pPr>
    </w:p>
    <w:tbl>
      <w:tblPr>
        <w:tblW w:w="0" w:type="auto"/>
        <w:tblInd w:w="108" w:type="dxa"/>
        <w:tblLayout w:type="fixed"/>
        <w:tblLook w:val="04A0" w:firstRow="1" w:lastRow="0" w:firstColumn="1" w:lastColumn="0" w:noHBand="0" w:noVBand="1"/>
      </w:tblPr>
      <w:tblGrid>
        <w:gridCol w:w="3360"/>
        <w:gridCol w:w="3080"/>
        <w:gridCol w:w="3229"/>
        <w:gridCol w:w="15"/>
      </w:tblGrid>
      <w:tr w:rsidR="001C08A5" w14:paraId="4C50517F" w14:textId="77777777">
        <w:trPr>
          <w:cantSplit/>
          <w:trHeight w:val="192"/>
        </w:trPr>
        <w:tc>
          <w:tcPr>
            <w:tcW w:w="3360" w:type="dxa"/>
            <w:vMerge w:val="restart"/>
            <w:tcBorders>
              <w:top w:val="single" w:sz="8" w:space="0" w:color="000000"/>
              <w:left w:val="single" w:sz="8" w:space="0" w:color="000000"/>
              <w:bottom w:val="single" w:sz="8" w:space="0" w:color="000000"/>
            </w:tcBorders>
            <w:shd w:val="clear" w:color="auto" w:fill="BFBFBF"/>
          </w:tcPr>
          <w:p w14:paraId="630DB7E0" w14:textId="77777777" w:rsidR="001C08A5" w:rsidRDefault="001C08A5">
            <w:pPr>
              <w:snapToGrid w:val="0"/>
              <w:jc w:val="both"/>
              <w:rPr>
                <w:b/>
                <w:i/>
                <w:iCs/>
                <w:sz w:val="22"/>
                <w:szCs w:val="22"/>
              </w:rPr>
            </w:pPr>
          </w:p>
          <w:p w14:paraId="2053F19B" w14:textId="77777777" w:rsidR="001C08A5" w:rsidRDefault="001C08A5">
            <w:pPr>
              <w:jc w:val="both"/>
              <w:rPr>
                <w:b/>
                <w:i/>
                <w:iCs/>
                <w:sz w:val="22"/>
                <w:szCs w:val="22"/>
              </w:rPr>
            </w:pPr>
          </w:p>
          <w:p w14:paraId="4F6889FF" w14:textId="77777777" w:rsidR="001C08A5" w:rsidRDefault="00000000">
            <w:pPr>
              <w:jc w:val="center"/>
              <w:rPr>
                <w:b/>
                <w:i/>
                <w:iCs/>
                <w:sz w:val="22"/>
                <w:szCs w:val="22"/>
              </w:rPr>
            </w:pPr>
            <w:r>
              <w:rPr>
                <w:b/>
                <w:i/>
                <w:iCs/>
                <w:sz w:val="22"/>
                <w:szCs w:val="22"/>
              </w:rPr>
              <w:t xml:space="preserve">Destinaţia clădirii înalte </w:t>
            </w:r>
          </w:p>
        </w:tc>
        <w:tc>
          <w:tcPr>
            <w:tcW w:w="6324" w:type="dxa"/>
            <w:gridSpan w:val="3"/>
            <w:tcBorders>
              <w:top w:val="single" w:sz="8" w:space="0" w:color="000000"/>
              <w:left w:val="single" w:sz="4" w:space="0" w:color="000000"/>
              <w:bottom w:val="single" w:sz="4" w:space="0" w:color="000000"/>
              <w:right w:val="single" w:sz="8" w:space="0" w:color="000000"/>
            </w:tcBorders>
            <w:shd w:val="clear" w:color="auto" w:fill="BFBFBF"/>
          </w:tcPr>
          <w:p w14:paraId="7882C86F" w14:textId="77777777" w:rsidR="001C08A5" w:rsidRDefault="00000000">
            <w:pPr>
              <w:jc w:val="center"/>
              <w:rPr>
                <w:b/>
                <w:i/>
                <w:iCs/>
                <w:sz w:val="22"/>
                <w:szCs w:val="22"/>
              </w:rPr>
            </w:pPr>
            <w:r>
              <w:rPr>
                <w:b/>
                <w:i/>
                <w:iCs/>
                <w:sz w:val="22"/>
                <w:szCs w:val="22"/>
              </w:rPr>
              <w:t>Lungime maximă de evacuare</w:t>
            </w:r>
          </w:p>
        </w:tc>
      </w:tr>
      <w:tr w:rsidR="001C08A5" w14:paraId="60ABB53A" w14:textId="77777777">
        <w:trPr>
          <w:cantSplit/>
        </w:trPr>
        <w:tc>
          <w:tcPr>
            <w:tcW w:w="3360" w:type="dxa"/>
            <w:vMerge/>
            <w:tcBorders>
              <w:left w:val="single" w:sz="8" w:space="0" w:color="000000"/>
              <w:bottom w:val="single" w:sz="8" w:space="0" w:color="000000"/>
            </w:tcBorders>
            <w:shd w:val="clear" w:color="auto" w:fill="BFBFBF"/>
          </w:tcPr>
          <w:p w14:paraId="405342B0" w14:textId="77777777" w:rsidR="001C08A5" w:rsidRDefault="001C08A5">
            <w:pPr>
              <w:snapToGrid w:val="0"/>
              <w:jc w:val="both"/>
              <w:rPr>
                <w:b/>
                <w:i/>
                <w:iCs/>
                <w:sz w:val="22"/>
                <w:szCs w:val="22"/>
              </w:rPr>
            </w:pPr>
          </w:p>
        </w:tc>
        <w:tc>
          <w:tcPr>
            <w:tcW w:w="3080" w:type="dxa"/>
            <w:tcBorders>
              <w:top w:val="single" w:sz="4" w:space="0" w:color="000000"/>
              <w:left w:val="single" w:sz="4" w:space="0" w:color="000000"/>
              <w:bottom w:val="single" w:sz="4" w:space="0" w:color="000000"/>
            </w:tcBorders>
            <w:shd w:val="clear" w:color="auto" w:fill="BFBFBF"/>
          </w:tcPr>
          <w:p w14:paraId="553233B3" w14:textId="77777777" w:rsidR="001C08A5" w:rsidRDefault="00000000">
            <w:pPr>
              <w:jc w:val="center"/>
              <w:rPr>
                <w:b/>
                <w:i/>
                <w:iCs/>
                <w:sz w:val="22"/>
                <w:szCs w:val="22"/>
              </w:rPr>
            </w:pPr>
            <w:r>
              <w:rPr>
                <w:b/>
                <w:i/>
                <w:iCs/>
                <w:sz w:val="22"/>
                <w:szCs w:val="22"/>
              </w:rPr>
              <w:t>în două direcţii diferite</w:t>
            </w:r>
          </w:p>
        </w:tc>
        <w:tc>
          <w:tcPr>
            <w:tcW w:w="3244" w:type="dxa"/>
            <w:gridSpan w:val="2"/>
            <w:tcBorders>
              <w:top w:val="single" w:sz="4" w:space="0" w:color="000000"/>
              <w:left w:val="single" w:sz="4" w:space="0" w:color="000000"/>
              <w:bottom w:val="single" w:sz="4" w:space="0" w:color="000000"/>
              <w:right w:val="single" w:sz="8" w:space="0" w:color="000000"/>
            </w:tcBorders>
            <w:shd w:val="clear" w:color="auto" w:fill="BFBFBF"/>
          </w:tcPr>
          <w:p w14:paraId="01F64B19" w14:textId="77777777" w:rsidR="001C08A5" w:rsidRDefault="00000000">
            <w:pPr>
              <w:jc w:val="center"/>
              <w:rPr>
                <w:i/>
                <w:iCs/>
                <w:sz w:val="22"/>
                <w:szCs w:val="22"/>
              </w:rPr>
            </w:pPr>
            <w:r>
              <w:rPr>
                <w:b/>
                <w:i/>
                <w:iCs/>
                <w:sz w:val="22"/>
                <w:szCs w:val="22"/>
              </w:rPr>
              <w:t>într-o singură direcţie (coridor înfundat)</w:t>
            </w:r>
          </w:p>
        </w:tc>
      </w:tr>
      <w:tr w:rsidR="001C08A5" w14:paraId="058B02F6" w14:textId="77777777">
        <w:trPr>
          <w:cantSplit/>
        </w:trPr>
        <w:tc>
          <w:tcPr>
            <w:tcW w:w="3360" w:type="dxa"/>
            <w:vMerge/>
            <w:tcBorders>
              <w:top w:val="single" w:sz="8" w:space="0" w:color="000000"/>
              <w:left w:val="single" w:sz="8" w:space="0" w:color="000000"/>
              <w:bottom w:val="single" w:sz="8" w:space="0" w:color="000000"/>
            </w:tcBorders>
            <w:shd w:val="clear" w:color="auto" w:fill="BFBFBF"/>
          </w:tcPr>
          <w:p w14:paraId="3654664A" w14:textId="77777777" w:rsidR="001C08A5" w:rsidRDefault="001C08A5">
            <w:pPr>
              <w:snapToGrid w:val="0"/>
              <w:jc w:val="both"/>
              <w:rPr>
                <w:i/>
                <w:iCs/>
                <w:sz w:val="22"/>
                <w:szCs w:val="22"/>
              </w:rPr>
            </w:pPr>
          </w:p>
        </w:tc>
        <w:tc>
          <w:tcPr>
            <w:tcW w:w="3080" w:type="dxa"/>
            <w:tcBorders>
              <w:top w:val="single" w:sz="4" w:space="0" w:color="000000"/>
              <w:left w:val="single" w:sz="4" w:space="0" w:color="000000"/>
              <w:bottom w:val="single" w:sz="8" w:space="0" w:color="000000"/>
            </w:tcBorders>
            <w:shd w:val="clear" w:color="auto" w:fill="BFBFBF"/>
          </w:tcPr>
          <w:p w14:paraId="5EE4E4CC" w14:textId="77777777" w:rsidR="001C08A5" w:rsidRDefault="00000000">
            <w:pPr>
              <w:jc w:val="center"/>
              <w:rPr>
                <w:b/>
                <w:i/>
                <w:iCs/>
                <w:sz w:val="22"/>
                <w:szCs w:val="22"/>
              </w:rPr>
            </w:pPr>
            <w:r>
              <w:rPr>
                <w:b/>
                <w:i/>
                <w:iCs/>
                <w:sz w:val="22"/>
                <w:szCs w:val="22"/>
              </w:rPr>
              <w:t>m</w:t>
            </w:r>
          </w:p>
        </w:tc>
        <w:tc>
          <w:tcPr>
            <w:tcW w:w="3244" w:type="dxa"/>
            <w:gridSpan w:val="2"/>
            <w:tcBorders>
              <w:top w:val="single" w:sz="4" w:space="0" w:color="000000"/>
              <w:left w:val="single" w:sz="4" w:space="0" w:color="000000"/>
              <w:bottom w:val="single" w:sz="8" w:space="0" w:color="000000"/>
              <w:right w:val="single" w:sz="8" w:space="0" w:color="000000"/>
            </w:tcBorders>
            <w:shd w:val="clear" w:color="auto" w:fill="BFBFBF"/>
          </w:tcPr>
          <w:p w14:paraId="0E2A3DA1" w14:textId="77777777" w:rsidR="001C08A5" w:rsidRDefault="00000000">
            <w:pPr>
              <w:jc w:val="center"/>
              <w:rPr>
                <w:b/>
                <w:i/>
                <w:iCs/>
                <w:sz w:val="22"/>
                <w:szCs w:val="22"/>
              </w:rPr>
            </w:pPr>
            <w:r>
              <w:rPr>
                <w:b/>
                <w:i/>
                <w:iCs/>
                <w:sz w:val="22"/>
                <w:szCs w:val="22"/>
              </w:rPr>
              <w:t>m</w:t>
            </w:r>
          </w:p>
        </w:tc>
      </w:tr>
      <w:tr w:rsidR="001C08A5" w14:paraId="5ABD78B9" w14:textId="77777777">
        <w:trPr>
          <w:gridAfter w:val="1"/>
          <w:wAfter w:w="15" w:type="dxa"/>
          <w:trHeight w:val="492"/>
        </w:trPr>
        <w:tc>
          <w:tcPr>
            <w:tcW w:w="3360" w:type="dxa"/>
            <w:tcBorders>
              <w:top w:val="single" w:sz="8" w:space="0" w:color="000000"/>
              <w:left w:val="single" w:sz="8" w:space="0" w:color="000000"/>
              <w:bottom w:val="single" w:sz="8" w:space="0" w:color="000000"/>
            </w:tcBorders>
          </w:tcPr>
          <w:p w14:paraId="40FD570E" w14:textId="77777777" w:rsidR="001C08A5" w:rsidRDefault="00000000">
            <w:pPr>
              <w:jc w:val="center"/>
              <w:rPr>
                <w:b/>
                <w:i/>
                <w:iCs/>
                <w:sz w:val="22"/>
                <w:szCs w:val="22"/>
              </w:rPr>
            </w:pPr>
            <w:r>
              <w:rPr>
                <w:b/>
                <w:i/>
                <w:iCs/>
                <w:sz w:val="22"/>
                <w:szCs w:val="22"/>
              </w:rPr>
              <w:t>Administrativă,  învăţământ, turism, sănătate, comerţ, cult,  locuinţe colective etc.</w:t>
            </w:r>
          </w:p>
        </w:tc>
        <w:tc>
          <w:tcPr>
            <w:tcW w:w="3080" w:type="dxa"/>
            <w:tcBorders>
              <w:top w:val="single" w:sz="8" w:space="0" w:color="000000"/>
              <w:left w:val="single" w:sz="4" w:space="0" w:color="000000"/>
              <w:bottom w:val="single" w:sz="8" w:space="0" w:color="000000"/>
            </w:tcBorders>
          </w:tcPr>
          <w:p w14:paraId="52019D0F" w14:textId="77777777" w:rsidR="001C08A5" w:rsidRDefault="001C08A5">
            <w:pPr>
              <w:snapToGrid w:val="0"/>
              <w:jc w:val="both"/>
              <w:rPr>
                <w:b/>
                <w:i/>
                <w:iCs/>
                <w:sz w:val="22"/>
                <w:szCs w:val="22"/>
              </w:rPr>
            </w:pPr>
          </w:p>
          <w:p w14:paraId="22F334A6" w14:textId="77777777" w:rsidR="001C08A5" w:rsidRDefault="00000000">
            <w:pPr>
              <w:jc w:val="center"/>
              <w:rPr>
                <w:b/>
                <w:i/>
                <w:iCs/>
                <w:sz w:val="22"/>
                <w:szCs w:val="22"/>
              </w:rPr>
            </w:pPr>
            <w:r>
              <w:rPr>
                <w:b/>
                <w:i/>
                <w:iCs/>
                <w:sz w:val="22"/>
                <w:szCs w:val="22"/>
              </w:rPr>
              <w:t>35</w:t>
            </w:r>
          </w:p>
        </w:tc>
        <w:tc>
          <w:tcPr>
            <w:tcW w:w="3229" w:type="dxa"/>
            <w:tcBorders>
              <w:top w:val="single" w:sz="8" w:space="0" w:color="000000"/>
              <w:left w:val="single" w:sz="4" w:space="0" w:color="000000"/>
              <w:bottom w:val="single" w:sz="8" w:space="0" w:color="000000"/>
              <w:right w:val="single" w:sz="8" w:space="0" w:color="000000"/>
            </w:tcBorders>
          </w:tcPr>
          <w:p w14:paraId="673782DE" w14:textId="77777777" w:rsidR="001C08A5" w:rsidRDefault="001C08A5">
            <w:pPr>
              <w:jc w:val="both"/>
              <w:rPr>
                <w:b/>
                <w:i/>
                <w:iCs/>
                <w:sz w:val="22"/>
                <w:szCs w:val="22"/>
              </w:rPr>
            </w:pPr>
          </w:p>
          <w:p w14:paraId="57A47230" w14:textId="77777777" w:rsidR="001C08A5" w:rsidRDefault="00000000">
            <w:pPr>
              <w:jc w:val="center"/>
              <w:rPr>
                <w:b/>
                <w:i/>
                <w:iCs/>
                <w:sz w:val="22"/>
                <w:szCs w:val="22"/>
              </w:rPr>
            </w:pPr>
            <w:r>
              <w:rPr>
                <w:b/>
                <w:i/>
                <w:iCs/>
                <w:sz w:val="22"/>
                <w:szCs w:val="22"/>
              </w:rPr>
              <w:t>20</w:t>
            </w:r>
          </w:p>
        </w:tc>
      </w:tr>
    </w:tbl>
    <w:p w14:paraId="31CD3084" w14:textId="77777777" w:rsidR="001C08A5" w:rsidRDefault="00000000">
      <w:pPr>
        <w:jc w:val="both"/>
        <w:rPr>
          <w:b/>
          <w:i/>
          <w:sz w:val="22"/>
          <w:szCs w:val="22"/>
        </w:rPr>
      </w:pPr>
      <w:r>
        <w:rPr>
          <w:i/>
          <w:sz w:val="22"/>
          <w:szCs w:val="22"/>
          <w:u w:val="single"/>
        </w:rPr>
        <w:t>Note</w:t>
      </w:r>
      <w:r>
        <w:rPr>
          <w:i/>
          <w:sz w:val="22"/>
          <w:szCs w:val="22"/>
        </w:rPr>
        <w:t xml:space="preserve">: </w:t>
      </w:r>
    </w:p>
    <w:p w14:paraId="27CB1398" w14:textId="77777777" w:rsidR="001C08A5" w:rsidRDefault="00000000">
      <w:pPr>
        <w:jc w:val="both"/>
        <w:rPr>
          <w:b/>
          <w:i/>
          <w:sz w:val="22"/>
          <w:szCs w:val="22"/>
        </w:rPr>
      </w:pPr>
      <w:r>
        <w:rPr>
          <w:b/>
          <w:i/>
          <w:sz w:val="22"/>
          <w:szCs w:val="22"/>
        </w:rPr>
        <w:t>a)</w:t>
      </w:r>
      <w:r>
        <w:rPr>
          <w:i/>
          <w:sz w:val="22"/>
          <w:szCs w:val="22"/>
        </w:rPr>
        <w:t xml:space="preserve"> Lungimea de evacuare într-o direcţie (coridor înfundat), se referă și la interiorul încăperilor şi respectiv a apartamentelor de locuit.</w:t>
      </w:r>
    </w:p>
    <w:p w14:paraId="34BB6751" w14:textId="77777777" w:rsidR="001C08A5" w:rsidRDefault="00000000">
      <w:pPr>
        <w:jc w:val="both"/>
        <w:rPr>
          <w:i/>
          <w:sz w:val="22"/>
          <w:szCs w:val="22"/>
        </w:rPr>
      </w:pPr>
      <w:r>
        <w:rPr>
          <w:b/>
          <w:i/>
          <w:sz w:val="22"/>
          <w:szCs w:val="22"/>
        </w:rPr>
        <w:lastRenderedPageBreak/>
        <w:t>b)</w:t>
      </w:r>
      <w:r>
        <w:rPr>
          <w:i/>
          <w:sz w:val="22"/>
          <w:szCs w:val="22"/>
        </w:rPr>
        <w:t xml:space="preserve"> Pentru sălile aglomerate din clădirile înalte se respectă prevederile privind performanțele specifice clădirilor înalte, fiind admisă utilizarea scărilor construcţiei pentru evacuarea utilizatorilor, dacă îndeplinesc şi condiţiile de alcătuire și dimensionare pentru săli aglomerate.</w:t>
      </w:r>
    </w:p>
    <w:p w14:paraId="147751A4" w14:textId="77777777" w:rsidR="001C08A5" w:rsidRDefault="00000000">
      <w:pPr>
        <w:jc w:val="both"/>
        <w:rPr>
          <w:i/>
          <w:sz w:val="22"/>
          <w:szCs w:val="22"/>
        </w:rPr>
      </w:pPr>
      <w:r>
        <w:rPr>
          <w:b/>
          <w:bCs/>
          <w:i/>
          <w:sz w:val="22"/>
          <w:szCs w:val="22"/>
        </w:rPr>
        <w:t>c)</w:t>
      </w:r>
      <w:r>
        <w:rPr>
          <w:i/>
          <w:sz w:val="22"/>
          <w:szCs w:val="22"/>
        </w:rPr>
        <w:t xml:space="preserve"> Sălile aglomerate din clădirile înalte situate în portiunile de clădiri înalte pana la cota + 28 m inclusiv, respectă prevederile privind performanțele specifice clădirilor înalte, fiind admisă utilizarea scărilor construcţiei înalte pentru evacuarea utilizatorilor, dacă îndeplinesc şi condiţiile de alcătuire și dimensionare pentru săli aglomerate. Sălile aglomerate din cadrul clădirilor înalte dispuse în compartimente de incendiu separate funcțional și constructiv față de restul clădirii înalte, situate la orice cotă în cadrul volumului clădirilor înalte, care dispun de scări proprii (dacă îndeplinesc şi condiţiile de alcătuire și dimensionare a scărilor pentru săli aglomerate) pentru evacuarea tuturor utilizatorilor sălilor aglomerate, nu generează îndeplinirea condiţiilor de alcătuire şi dimensionare pentru săli aglomerate a celorlalte scări de evacuare ale clădirii înalte.</w:t>
      </w:r>
    </w:p>
    <w:p w14:paraId="4083B16F" w14:textId="77777777" w:rsidR="001C08A5" w:rsidRDefault="001C08A5">
      <w:pPr>
        <w:jc w:val="both"/>
        <w:rPr>
          <w:sz w:val="24"/>
          <w:szCs w:val="24"/>
        </w:rPr>
      </w:pPr>
    </w:p>
    <w:p w14:paraId="173AB349" w14:textId="77777777" w:rsidR="001C08A5" w:rsidRDefault="00000000">
      <w:pPr>
        <w:jc w:val="both"/>
        <w:rPr>
          <w:sz w:val="24"/>
          <w:szCs w:val="24"/>
        </w:rPr>
      </w:pPr>
      <w:r>
        <w:rPr>
          <w:b/>
          <w:sz w:val="24"/>
          <w:szCs w:val="24"/>
        </w:rPr>
        <w:tab/>
        <w:t xml:space="preserve">Art. 4.1.5.7. </w:t>
      </w:r>
      <w:r>
        <w:rPr>
          <w:sz w:val="24"/>
          <w:szCs w:val="24"/>
        </w:rPr>
        <w:t xml:space="preserve">Numărul normat de utilizatori pe unitatea de trecere (flux) de evacuare </w:t>
      </w:r>
      <w:r>
        <w:rPr>
          <w:b/>
          <w:sz w:val="24"/>
          <w:szCs w:val="24"/>
        </w:rPr>
        <w:t>(</w:t>
      </w:r>
      <w:r>
        <w:rPr>
          <w:b/>
          <w:bCs/>
          <w:sz w:val="24"/>
          <w:szCs w:val="24"/>
        </w:rPr>
        <w:t>U</w:t>
      </w:r>
      <w:r>
        <w:rPr>
          <w:b/>
          <w:bCs/>
          <w:sz w:val="24"/>
          <w:szCs w:val="24"/>
          <w:vertAlign w:val="subscript"/>
        </w:rPr>
        <w:t>f</w:t>
      </w:r>
      <w:r>
        <w:rPr>
          <w:b/>
          <w:sz w:val="24"/>
          <w:szCs w:val="24"/>
        </w:rPr>
        <w:t>)</w:t>
      </w:r>
      <w:r>
        <w:rPr>
          <w:sz w:val="24"/>
          <w:szCs w:val="24"/>
        </w:rPr>
        <w:t xml:space="preserve"> din clădirile supraterane înalte, este de </w:t>
      </w:r>
      <w:r>
        <w:rPr>
          <w:b/>
          <w:bCs/>
          <w:sz w:val="24"/>
          <w:szCs w:val="24"/>
        </w:rPr>
        <w:t>70 utilizatori</w:t>
      </w:r>
      <w:r>
        <w:rPr>
          <w:sz w:val="24"/>
          <w:szCs w:val="24"/>
        </w:rPr>
        <w:t xml:space="preserve">. Numărul normat de utilizatori pe unitatea de trecere (flux) de evacuare </w:t>
      </w:r>
      <w:r>
        <w:rPr>
          <w:b/>
          <w:sz w:val="24"/>
          <w:szCs w:val="24"/>
        </w:rPr>
        <w:t>(</w:t>
      </w:r>
      <w:r>
        <w:rPr>
          <w:b/>
          <w:bCs/>
          <w:sz w:val="24"/>
          <w:szCs w:val="24"/>
        </w:rPr>
        <w:t>U</w:t>
      </w:r>
      <w:r>
        <w:rPr>
          <w:b/>
          <w:bCs/>
          <w:sz w:val="24"/>
          <w:szCs w:val="24"/>
          <w:vertAlign w:val="subscript"/>
        </w:rPr>
        <w:t>f</w:t>
      </w:r>
      <w:r>
        <w:rPr>
          <w:b/>
          <w:sz w:val="24"/>
          <w:szCs w:val="24"/>
        </w:rPr>
        <w:t>)</w:t>
      </w:r>
      <w:r>
        <w:rPr>
          <w:sz w:val="24"/>
          <w:szCs w:val="24"/>
        </w:rPr>
        <w:t xml:space="preserve"> din clădirile supraterane înalte destinate persoanelor care nu se pot evacua singure (definite conform terminologie) este de </w:t>
      </w:r>
      <w:r>
        <w:rPr>
          <w:b/>
          <w:bCs/>
          <w:sz w:val="24"/>
          <w:szCs w:val="24"/>
        </w:rPr>
        <w:t>50 utilizatori.</w:t>
      </w:r>
    </w:p>
    <w:p w14:paraId="41FCC7B1" w14:textId="77777777" w:rsidR="001C08A5" w:rsidRDefault="001C08A5">
      <w:pPr>
        <w:jc w:val="both"/>
        <w:rPr>
          <w:sz w:val="24"/>
          <w:szCs w:val="24"/>
        </w:rPr>
      </w:pPr>
    </w:p>
    <w:p w14:paraId="1985B8C8" w14:textId="77777777" w:rsidR="001C08A5" w:rsidRDefault="00000000">
      <w:pPr>
        <w:jc w:val="both"/>
        <w:rPr>
          <w:sz w:val="24"/>
          <w:szCs w:val="24"/>
        </w:rPr>
      </w:pPr>
      <w:r>
        <w:rPr>
          <w:b/>
          <w:sz w:val="24"/>
          <w:szCs w:val="24"/>
        </w:rPr>
        <w:tab/>
        <w:t xml:space="preserve">Art. 4.1.5.8. (1) </w:t>
      </w:r>
      <w:r>
        <w:rPr>
          <w:sz w:val="24"/>
          <w:szCs w:val="24"/>
        </w:rPr>
        <w:t>La nivelurile supraterane ale clădirii înalte, accesul la scările de evacuare închise este admis numai prin încăperi tampon protejate ventilate în suprapresiune, conform prevederilor normativului.</w:t>
      </w:r>
    </w:p>
    <w:p w14:paraId="3A0E7E37" w14:textId="77777777" w:rsidR="001C08A5" w:rsidRDefault="00000000">
      <w:pPr>
        <w:jc w:val="both"/>
        <w:rPr>
          <w:sz w:val="24"/>
          <w:szCs w:val="24"/>
        </w:rPr>
      </w:pPr>
      <w:r>
        <w:rPr>
          <w:sz w:val="24"/>
          <w:szCs w:val="24"/>
        </w:rPr>
        <w:tab/>
      </w:r>
      <w:r>
        <w:rPr>
          <w:b/>
          <w:sz w:val="24"/>
          <w:szCs w:val="24"/>
        </w:rPr>
        <w:t>(2)</w:t>
      </w:r>
      <w:r>
        <w:rPr>
          <w:sz w:val="24"/>
          <w:szCs w:val="24"/>
        </w:rPr>
        <w:t xml:space="preserve"> Încăperile tampon protejate ventilate în suprapresiune vor avea pereţi rezistenţi la foc minimum</w:t>
      </w:r>
      <w:r>
        <w:rPr>
          <w:b/>
          <w:sz w:val="24"/>
          <w:szCs w:val="24"/>
        </w:rPr>
        <w:t xml:space="preserve"> EI/REI 60 și </w:t>
      </w:r>
      <w:r>
        <w:rPr>
          <w:sz w:val="24"/>
          <w:szCs w:val="24"/>
        </w:rPr>
        <w:t xml:space="preserve">planşee </w:t>
      </w:r>
      <w:r>
        <w:rPr>
          <w:b/>
          <w:sz w:val="24"/>
          <w:szCs w:val="24"/>
        </w:rPr>
        <w:t>REI 60</w:t>
      </w:r>
      <w:r>
        <w:rPr>
          <w:sz w:val="24"/>
          <w:szCs w:val="24"/>
        </w:rPr>
        <w:t xml:space="preserve">, clasa de reacţie la foc </w:t>
      </w:r>
      <w:r>
        <w:rPr>
          <w:b/>
          <w:sz w:val="24"/>
          <w:szCs w:val="24"/>
        </w:rPr>
        <w:t>A1</w:t>
      </w:r>
      <w:r>
        <w:rPr>
          <w:bCs/>
          <w:sz w:val="24"/>
          <w:szCs w:val="24"/>
        </w:rPr>
        <w:t xml:space="preserve"> sau </w:t>
      </w:r>
      <w:r>
        <w:rPr>
          <w:b/>
          <w:sz w:val="24"/>
          <w:szCs w:val="24"/>
        </w:rPr>
        <w:t>A2-s1d0</w:t>
      </w:r>
      <w:r>
        <w:rPr>
          <w:bCs/>
          <w:sz w:val="24"/>
          <w:szCs w:val="24"/>
        </w:rPr>
        <w:t xml:space="preserve"> iar</w:t>
      </w:r>
      <w:r>
        <w:rPr>
          <w:sz w:val="24"/>
          <w:szCs w:val="24"/>
        </w:rPr>
        <w:t xml:space="preserve"> golurile de circulaţie protejate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200</w:t>
      </w:r>
      <w:r>
        <w:rPr>
          <w:b/>
          <w:sz w:val="24"/>
          <w:szCs w:val="24"/>
        </w:rPr>
        <w:t xml:space="preserve">. </w:t>
      </w:r>
    </w:p>
    <w:p w14:paraId="590CC83D" w14:textId="77777777" w:rsidR="001C08A5" w:rsidRDefault="00000000">
      <w:pPr>
        <w:ind w:firstLine="360"/>
        <w:jc w:val="both"/>
        <w:rPr>
          <w:sz w:val="24"/>
          <w:szCs w:val="24"/>
        </w:rPr>
      </w:pPr>
      <w:r>
        <w:rPr>
          <w:sz w:val="24"/>
          <w:szCs w:val="24"/>
        </w:rPr>
        <w:tab/>
      </w:r>
      <w:r>
        <w:rPr>
          <w:b/>
          <w:sz w:val="24"/>
          <w:szCs w:val="24"/>
        </w:rPr>
        <w:t>(3)</w:t>
      </w:r>
      <w:r>
        <w:rPr>
          <w:sz w:val="24"/>
          <w:szCs w:val="24"/>
        </w:rPr>
        <w:t xml:space="preserve"> Ușile încăperilor tampon de acces la casele de scări de evacuare, se prevăd cu bare antipanică si se vor deschide in sensul evacuarii indiferent de numarul persoanelor.</w:t>
      </w:r>
    </w:p>
    <w:p w14:paraId="5A6AB835" w14:textId="77777777" w:rsidR="001C08A5" w:rsidRDefault="00000000">
      <w:pPr>
        <w:ind w:firstLine="720"/>
        <w:jc w:val="both"/>
        <w:rPr>
          <w:sz w:val="24"/>
          <w:szCs w:val="24"/>
        </w:rPr>
      </w:pPr>
      <w:r>
        <w:rPr>
          <w:b/>
          <w:bCs/>
          <w:sz w:val="24"/>
          <w:szCs w:val="24"/>
        </w:rPr>
        <w:t>(4)</w:t>
      </w:r>
      <w:r>
        <w:rPr>
          <w:sz w:val="24"/>
          <w:szCs w:val="24"/>
        </w:rPr>
        <w:t xml:space="preserve"> Ușile de evacuare ce debușează în exteriorul construcției precum și oricare alte uși aflate pe traseul circulațiilor comune de evacuare  se prevăd cu bare antipanică.</w:t>
      </w:r>
    </w:p>
    <w:p w14:paraId="4B29A03F" w14:textId="77777777" w:rsidR="001C08A5" w:rsidRDefault="001C08A5">
      <w:pPr>
        <w:jc w:val="both"/>
        <w:rPr>
          <w:sz w:val="24"/>
          <w:szCs w:val="24"/>
        </w:rPr>
      </w:pPr>
    </w:p>
    <w:p w14:paraId="16F5664F" w14:textId="77777777" w:rsidR="001C08A5" w:rsidRDefault="00000000">
      <w:pPr>
        <w:jc w:val="both"/>
        <w:rPr>
          <w:sz w:val="24"/>
          <w:szCs w:val="24"/>
        </w:rPr>
      </w:pPr>
      <w:r>
        <w:rPr>
          <w:b/>
          <w:sz w:val="24"/>
          <w:szCs w:val="24"/>
        </w:rPr>
        <w:tab/>
        <w:t>Art. 4.1.5.9. (1)</w:t>
      </w:r>
      <w:r>
        <w:rPr>
          <w:sz w:val="24"/>
          <w:szCs w:val="24"/>
        </w:rPr>
        <w:t xml:space="preserve"> La nivelurile subterane ale clădirilor înalte, accesul utilizatorilor la scările închise de evacuare se asigură numai prin încăperi tampon protejate ventilate în suprapresiune, realizate cu pereţi rezistenţi la foc minimum </w:t>
      </w:r>
      <w:r>
        <w:rPr>
          <w:b/>
          <w:sz w:val="24"/>
          <w:szCs w:val="24"/>
        </w:rPr>
        <w:t>EI/REI 90</w:t>
      </w:r>
      <w:r>
        <w:rPr>
          <w:sz w:val="24"/>
          <w:szCs w:val="24"/>
        </w:rPr>
        <w:t xml:space="preserve">, planşee </w:t>
      </w:r>
      <w:r>
        <w:rPr>
          <w:b/>
          <w:sz w:val="24"/>
          <w:szCs w:val="24"/>
        </w:rPr>
        <w:t>REI 90</w:t>
      </w:r>
      <w:r>
        <w:rPr>
          <w:bCs/>
          <w:sz w:val="24"/>
          <w:szCs w:val="24"/>
        </w:rPr>
        <w:t xml:space="preserve">, clasa de reacţie la foc </w:t>
      </w:r>
      <w:r>
        <w:rPr>
          <w:b/>
          <w:sz w:val="24"/>
          <w:szCs w:val="24"/>
        </w:rPr>
        <w:t>A1</w:t>
      </w:r>
      <w:r>
        <w:rPr>
          <w:bCs/>
          <w:sz w:val="24"/>
          <w:szCs w:val="24"/>
        </w:rPr>
        <w:t xml:space="preserve"> sau </w:t>
      </w:r>
      <w:r>
        <w:rPr>
          <w:b/>
          <w:sz w:val="24"/>
          <w:szCs w:val="24"/>
        </w:rPr>
        <w:t>A2-s1d0</w:t>
      </w:r>
      <w:r>
        <w:rPr>
          <w:bCs/>
          <w:sz w:val="24"/>
          <w:szCs w:val="24"/>
        </w:rPr>
        <w:t xml:space="preserve"> și </w:t>
      </w:r>
      <w:r>
        <w:rPr>
          <w:sz w:val="24"/>
          <w:szCs w:val="24"/>
        </w:rPr>
        <w:t xml:space="preserve">uşi rezistente la foc și etanșe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 xml:space="preserve">. </w:t>
      </w:r>
    </w:p>
    <w:p w14:paraId="5F629ADF" w14:textId="77777777" w:rsidR="001C08A5" w:rsidRDefault="00000000">
      <w:pPr>
        <w:ind w:firstLine="720"/>
        <w:jc w:val="both"/>
        <w:rPr>
          <w:sz w:val="24"/>
          <w:szCs w:val="24"/>
        </w:rPr>
      </w:pPr>
      <w:r>
        <w:rPr>
          <w:b/>
          <w:sz w:val="24"/>
          <w:szCs w:val="24"/>
        </w:rPr>
        <w:t xml:space="preserve">(2) </w:t>
      </w:r>
      <w:r>
        <w:rPr>
          <w:bCs/>
          <w:sz w:val="24"/>
          <w:szCs w:val="24"/>
        </w:rPr>
        <w:t xml:space="preserve">Ușile </w:t>
      </w:r>
      <w:r>
        <w:rPr>
          <w:sz w:val="24"/>
          <w:szCs w:val="24"/>
        </w:rPr>
        <w:t>încăperilor tampon se prevăd cu bare antipanică și se vor deschide în sensul evacuării indiferent de numarul persoanelor.</w:t>
      </w:r>
    </w:p>
    <w:p w14:paraId="64DC435D" w14:textId="77777777" w:rsidR="001C08A5" w:rsidRDefault="00000000">
      <w:pPr>
        <w:ind w:firstLine="720"/>
        <w:jc w:val="both"/>
        <w:rPr>
          <w:sz w:val="24"/>
          <w:szCs w:val="24"/>
        </w:rPr>
      </w:pPr>
      <w:r>
        <w:rPr>
          <w:b/>
          <w:sz w:val="24"/>
          <w:szCs w:val="24"/>
        </w:rPr>
        <w:t>(3)</w:t>
      </w:r>
      <w:r>
        <w:rPr>
          <w:sz w:val="24"/>
          <w:szCs w:val="24"/>
        </w:rPr>
        <w:t xml:space="preserve"> Ușile de evacuare ce debușează în exteriorul construcției precum și oricare alte uși aflate pe traseul circulațiilor comune de evacuare se prevăd cu bare antipanică.</w:t>
      </w:r>
    </w:p>
    <w:p w14:paraId="71112544" w14:textId="77777777" w:rsidR="001C08A5" w:rsidRDefault="001C08A5">
      <w:pPr>
        <w:jc w:val="both"/>
        <w:rPr>
          <w:sz w:val="24"/>
          <w:szCs w:val="24"/>
        </w:rPr>
      </w:pPr>
    </w:p>
    <w:p w14:paraId="39CFA3C8" w14:textId="77777777" w:rsidR="001C08A5" w:rsidRDefault="00000000">
      <w:pPr>
        <w:jc w:val="both"/>
        <w:rPr>
          <w:b/>
          <w:sz w:val="24"/>
          <w:szCs w:val="24"/>
        </w:rPr>
      </w:pPr>
      <w:r>
        <w:rPr>
          <w:b/>
          <w:sz w:val="24"/>
          <w:szCs w:val="24"/>
        </w:rPr>
        <w:tab/>
        <w:t>Art. 4.1.5.10. (1)</w:t>
      </w:r>
      <w:r>
        <w:rPr>
          <w:sz w:val="24"/>
          <w:szCs w:val="24"/>
        </w:rPr>
        <w:t xml:space="preserve"> Rampele scărilor închise aferente nivelurilor subterane ale clădirilor înalte se separă de rampele scărilor nivelurilor supraterane prin pereţi rezistenţi la foc minimum </w:t>
      </w:r>
      <w:r>
        <w:rPr>
          <w:b/>
          <w:sz w:val="24"/>
          <w:szCs w:val="24"/>
        </w:rPr>
        <w:t xml:space="preserve">EI/REI 120 </w:t>
      </w:r>
      <w:r>
        <w:rPr>
          <w:sz w:val="24"/>
          <w:szCs w:val="24"/>
        </w:rPr>
        <w:t xml:space="preserve">şi planşee </w:t>
      </w:r>
      <w:r>
        <w:rPr>
          <w:b/>
          <w:sz w:val="24"/>
          <w:szCs w:val="24"/>
        </w:rPr>
        <w:t>REI 120</w:t>
      </w:r>
      <w:r>
        <w:rPr>
          <w:bCs/>
          <w:sz w:val="24"/>
          <w:szCs w:val="24"/>
        </w:rPr>
        <w:t xml:space="preserve">, clasa de reacţie la foc </w:t>
      </w:r>
      <w:r>
        <w:rPr>
          <w:b/>
          <w:sz w:val="24"/>
          <w:szCs w:val="24"/>
        </w:rPr>
        <w:t>A1</w:t>
      </w:r>
      <w:r>
        <w:rPr>
          <w:bCs/>
          <w:sz w:val="24"/>
          <w:szCs w:val="24"/>
        </w:rPr>
        <w:t xml:space="preserve"> sau </w:t>
      </w:r>
      <w:r>
        <w:rPr>
          <w:b/>
          <w:sz w:val="24"/>
          <w:szCs w:val="24"/>
        </w:rPr>
        <w:t>A2-s1d0</w:t>
      </w:r>
      <w:r>
        <w:rPr>
          <w:sz w:val="24"/>
          <w:szCs w:val="24"/>
        </w:rPr>
        <w:t>.</w:t>
      </w:r>
    </w:p>
    <w:p w14:paraId="6DCAEFB8" w14:textId="77777777" w:rsidR="001C08A5" w:rsidRDefault="00000000">
      <w:pPr>
        <w:ind w:firstLine="720"/>
        <w:jc w:val="both"/>
        <w:rPr>
          <w:sz w:val="24"/>
          <w:szCs w:val="24"/>
        </w:rPr>
      </w:pPr>
      <w:r>
        <w:rPr>
          <w:b/>
          <w:sz w:val="24"/>
          <w:szCs w:val="24"/>
        </w:rPr>
        <w:t>(2)</w:t>
      </w:r>
      <w:r>
        <w:rPr>
          <w:sz w:val="24"/>
          <w:szCs w:val="24"/>
        </w:rPr>
        <w:t xml:space="preserve"> Comunicarea funcţională între rampele scărilor subterane şi rampele scărilor supraterane se poate asigura printr-o uşă rezistentă la foc și etanșă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 xml:space="preserve">, dispusă la parter sau palierul intermediar dintre parter și primul nivel al subsolului, </w:t>
      </w:r>
      <w:r>
        <w:rPr>
          <w:bCs/>
          <w:spacing w:val="-2"/>
          <w:sz w:val="24"/>
          <w:szCs w:val="24"/>
        </w:rPr>
        <w:t>cu deschidere în sensul de evacuare.</w:t>
      </w:r>
    </w:p>
    <w:p w14:paraId="1D5B4B4D" w14:textId="77777777" w:rsidR="001C08A5" w:rsidRDefault="00000000">
      <w:pPr>
        <w:ind w:firstLine="720"/>
        <w:jc w:val="both"/>
        <w:rPr>
          <w:sz w:val="24"/>
          <w:szCs w:val="24"/>
        </w:rPr>
      </w:pPr>
      <w:r>
        <w:rPr>
          <w:b/>
          <w:bCs/>
          <w:sz w:val="24"/>
          <w:szCs w:val="24"/>
        </w:rPr>
        <w:t>(3)</w:t>
      </w:r>
      <w:r>
        <w:rPr>
          <w:sz w:val="24"/>
          <w:szCs w:val="24"/>
        </w:rPr>
        <w:t xml:space="preserve"> Dacă nu există comunicare între rampa subterană şi cea supraterană, golul de ieşire în holul de la parter al rampei subterane se protejază cu uşă rezistentă la foc și etanșă la fum minimum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 xml:space="preserve">, </w:t>
      </w:r>
      <w:r>
        <w:rPr>
          <w:bCs/>
          <w:spacing w:val="-2"/>
          <w:sz w:val="24"/>
          <w:szCs w:val="24"/>
        </w:rPr>
        <w:t>cu deschidere în sensul de evacuare.</w:t>
      </w:r>
    </w:p>
    <w:p w14:paraId="52647A59" w14:textId="77777777" w:rsidR="001C08A5" w:rsidRDefault="001C08A5">
      <w:pPr>
        <w:jc w:val="both"/>
        <w:rPr>
          <w:b/>
          <w:sz w:val="24"/>
          <w:szCs w:val="24"/>
        </w:rPr>
      </w:pPr>
    </w:p>
    <w:p w14:paraId="73B69D11" w14:textId="77777777" w:rsidR="001C08A5" w:rsidRDefault="00000000">
      <w:pPr>
        <w:ind w:firstLine="720"/>
        <w:jc w:val="both"/>
        <w:rPr>
          <w:sz w:val="24"/>
          <w:szCs w:val="24"/>
        </w:rPr>
      </w:pPr>
      <w:r>
        <w:rPr>
          <w:b/>
          <w:sz w:val="24"/>
          <w:szCs w:val="24"/>
        </w:rPr>
        <w:t xml:space="preserve">Art. 4.1.5.11. (1) </w:t>
      </w:r>
      <w:r>
        <w:rPr>
          <w:sz w:val="24"/>
          <w:szCs w:val="24"/>
        </w:rPr>
        <w:t xml:space="preserve">Finisajele interioare ale pereţilor, plafoanelor și pardoselilor căilor comune de circulaţie funcţională şi evacuare a utilizatorilor clădirilor înalte trebuie să fie clasa de reacţie la foc </w:t>
      </w:r>
      <w:r>
        <w:rPr>
          <w:b/>
          <w:sz w:val="24"/>
          <w:szCs w:val="24"/>
        </w:rPr>
        <w:t>A1</w:t>
      </w:r>
      <w:r>
        <w:rPr>
          <w:sz w:val="24"/>
          <w:szCs w:val="24"/>
        </w:rPr>
        <w:t xml:space="preserve"> sau </w:t>
      </w:r>
      <w:r>
        <w:rPr>
          <w:b/>
          <w:sz w:val="24"/>
          <w:szCs w:val="24"/>
        </w:rPr>
        <w:t>A2-s1d0</w:t>
      </w:r>
      <w:r>
        <w:rPr>
          <w:sz w:val="24"/>
          <w:szCs w:val="24"/>
        </w:rPr>
        <w:t xml:space="preserve">, respectiv </w:t>
      </w:r>
      <w:r>
        <w:rPr>
          <w:b/>
          <w:sz w:val="24"/>
          <w:szCs w:val="24"/>
        </w:rPr>
        <w:t>A1</w:t>
      </w:r>
      <w:r>
        <w:rPr>
          <w:b/>
          <w:bCs/>
          <w:sz w:val="24"/>
          <w:szCs w:val="24"/>
          <w:vertAlign w:val="subscript"/>
        </w:rPr>
        <w:t>FL</w:t>
      </w:r>
      <w:r>
        <w:rPr>
          <w:bCs/>
          <w:sz w:val="24"/>
          <w:szCs w:val="24"/>
        </w:rPr>
        <w:t xml:space="preserve">sau </w:t>
      </w:r>
      <w:r>
        <w:rPr>
          <w:b/>
          <w:bCs/>
          <w:sz w:val="24"/>
          <w:szCs w:val="24"/>
        </w:rPr>
        <w:t>A2</w:t>
      </w:r>
      <w:r>
        <w:rPr>
          <w:b/>
          <w:bCs/>
          <w:sz w:val="24"/>
          <w:szCs w:val="24"/>
          <w:vertAlign w:val="subscript"/>
        </w:rPr>
        <w:t>FL</w:t>
      </w:r>
      <w:r>
        <w:rPr>
          <w:b/>
          <w:bCs/>
          <w:sz w:val="24"/>
          <w:szCs w:val="24"/>
        </w:rPr>
        <w:t>-s1.</w:t>
      </w:r>
    </w:p>
    <w:p w14:paraId="3FB4953B" w14:textId="77777777" w:rsidR="001C08A5" w:rsidRDefault="00000000">
      <w:pPr>
        <w:ind w:firstLine="720"/>
        <w:jc w:val="both"/>
        <w:rPr>
          <w:sz w:val="24"/>
          <w:szCs w:val="24"/>
        </w:rPr>
      </w:pPr>
      <w:r>
        <w:rPr>
          <w:b/>
          <w:bCs/>
          <w:sz w:val="24"/>
          <w:szCs w:val="24"/>
        </w:rPr>
        <w:t xml:space="preserve">(2) </w:t>
      </w:r>
      <w:r>
        <w:rPr>
          <w:sz w:val="24"/>
          <w:szCs w:val="24"/>
        </w:rPr>
        <w:t xml:space="preserve">Pe căile comune de circulaţie orizontala functionala și de evacuare  a utilizatorilor (coridoare, holuri) se admit și finisaje clasa de reactie la foc minimum </w:t>
      </w:r>
      <w:r>
        <w:rPr>
          <w:b/>
          <w:sz w:val="24"/>
          <w:szCs w:val="24"/>
        </w:rPr>
        <w:t>B-s1d0</w:t>
      </w:r>
      <w:r>
        <w:rPr>
          <w:sz w:val="24"/>
          <w:szCs w:val="24"/>
        </w:rPr>
        <w:t xml:space="preserve"> din folii cu grosimea de maxim </w:t>
      </w:r>
      <w:r>
        <w:rPr>
          <w:b/>
          <w:bCs/>
          <w:sz w:val="24"/>
          <w:szCs w:val="24"/>
        </w:rPr>
        <w:t>0,5 cm</w:t>
      </w:r>
      <w:r>
        <w:rPr>
          <w:sz w:val="24"/>
          <w:szCs w:val="24"/>
        </w:rPr>
        <w:t xml:space="preserve"> care se lipesc pe suport </w:t>
      </w:r>
      <w:r>
        <w:rPr>
          <w:b/>
          <w:sz w:val="24"/>
          <w:szCs w:val="24"/>
        </w:rPr>
        <w:t>A1</w:t>
      </w:r>
      <w:r>
        <w:rPr>
          <w:sz w:val="24"/>
          <w:szCs w:val="24"/>
        </w:rPr>
        <w:t xml:space="preserve"> sau </w:t>
      </w:r>
      <w:r>
        <w:rPr>
          <w:b/>
          <w:sz w:val="24"/>
          <w:szCs w:val="24"/>
        </w:rPr>
        <w:t xml:space="preserve">A2-s1d0 și </w:t>
      </w:r>
      <w:r>
        <w:rPr>
          <w:sz w:val="24"/>
          <w:szCs w:val="24"/>
        </w:rPr>
        <w:t xml:space="preserve">mochete, minimum </w:t>
      </w:r>
      <w:r>
        <w:rPr>
          <w:b/>
          <w:sz w:val="24"/>
          <w:szCs w:val="24"/>
        </w:rPr>
        <w:t>B</w:t>
      </w:r>
      <w:r>
        <w:rPr>
          <w:b/>
          <w:sz w:val="24"/>
          <w:szCs w:val="24"/>
          <w:vertAlign w:val="subscript"/>
        </w:rPr>
        <w:t>FL</w:t>
      </w:r>
      <w:r>
        <w:rPr>
          <w:b/>
          <w:sz w:val="24"/>
          <w:szCs w:val="24"/>
        </w:rPr>
        <w:t>-s1,</w:t>
      </w:r>
      <w:r>
        <w:rPr>
          <w:sz w:val="24"/>
          <w:szCs w:val="24"/>
        </w:rPr>
        <w:t xml:space="preserve"> cu grosimea </w:t>
      </w:r>
      <w:r>
        <w:rPr>
          <w:sz w:val="24"/>
          <w:szCs w:val="24"/>
        </w:rPr>
        <w:lastRenderedPageBreak/>
        <w:t xml:space="preserve">de maxim </w:t>
      </w:r>
      <w:r>
        <w:rPr>
          <w:b/>
          <w:bCs/>
          <w:sz w:val="24"/>
          <w:szCs w:val="24"/>
        </w:rPr>
        <w:t>2 cm</w:t>
      </w:r>
      <w:r>
        <w:rPr>
          <w:sz w:val="24"/>
          <w:szCs w:val="24"/>
        </w:rPr>
        <w:t xml:space="preserve">, montate direct sau pe un strat fonoizolator la zgomot de impact/ strat vibroamortizant, care se lipesc sau se aşează liber pe suport </w:t>
      </w:r>
      <w:r>
        <w:rPr>
          <w:b/>
          <w:sz w:val="24"/>
          <w:szCs w:val="24"/>
        </w:rPr>
        <w:t>A1</w:t>
      </w:r>
      <w:r>
        <w:rPr>
          <w:sz w:val="24"/>
          <w:szCs w:val="24"/>
        </w:rPr>
        <w:t xml:space="preserve"> sau </w:t>
      </w:r>
      <w:r>
        <w:rPr>
          <w:b/>
          <w:sz w:val="24"/>
          <w:szCs w:val="24"/>
        </w:rPr>
        <w:t xml:space="preserve">A2-s1d0. </w:t>
      </w:r>
    </w:p>
    <w:p w14:paraId="0DCDBC3F" w14:textId="77777777" w:rsidR="001C08A5" w:rsidRDefault="00000000">
      <w:pPr>
        <w:pStyle w:val="BodyText"/>
        <w:rPr>
          <w:i w:val="0"/>
          <w:iCs/>
        </w:rPr>
      </w:pPr>
      <w:r>
        <w:tab/>
      </w:r>
      <w:r>
        <w:rPr>
          <w:i w:val="0"/>
          <w:iCs/>
        </w:rPr>
        <w:t xml:space="preserve">(3) </w:t>
      </w:r>
      <w:r>
        <w:rPr>
          <w:b w:val="0"/>
          <w:i w:val="0"/>
          <w:iCs/>
        </w:rPr>
        <w:t xml:space="preserve">Pardoselile supraînălţate se realizeaza conform </w:t>
      </w:r>
      <w:r>
        <w:rPr>
          <w:i w:val="0"/>
          <w:iCs/>
        </w:rPr>
        <w:t>Art. 2.4.5.4.</w:t>
      </w:r>
    </w:p>
    <w:p w14:paraId="28BB7F20" w14:textId="77777777" w:rsidR="001C08A5" w:rsidRDefault="00000000">
      <w:pPr>
        <w:pStyle w:val="BodyText"/>
        <w:rPr>
          <w:b w:val="0"/>
          <w:i w:val="0"/>
          <w:iCs/>
        </w:rPr>
      </w:pPr>
      <w:r>
        <w:rPr>
          <w:i w:val="0"/>
          <w:iCs/>
        </w:rPr>
        <w:tab/>
        <w:t>(4)</w:t>
      </w:r>
      <w:r>
        <w:rPr>
          <w:b w:val="0"/>
          <w:i w:val="0"/>
          <w:iCs/>
        </w:rPr>
        <w:t xml:space="preserve"> Tratamentele şi izolaţiile termice și fonice interioare utilizate pe căile comune de circulaţie trebuie să fie clasa de reacție la foc </w:t>
      </w:r>
      <w:r>
        <w:rPr>
          <w:i w:val="0"/>
          <w:iCs/>
        </w:rPr>
        <w:t xml:space="preserve">A1 </w:t>
      </w:r>
      <w:r>
        <w:rPr>
          <w:b w:val="0"/>
          <w:i w:val="0"/>
          <w:iCs/>
        </w:rPr>
        <w:t>sau</w:t>
      </w:r>
      <w:r>
        <w:rPr>
          <w:i w:val="0"/>
          <w:iCs/>
        </w:rPr>
        <w:t xml:space="preserve"> A2-s1d0</w:t>
      </w:r>
      <w:r>
        <w:rPr>
          <w:b w:val="0"/>
          <w:i w:val="0"/>
          <w:iCs/>
        </w:rPr>
        <w:t xml:space="preserve">, respectiv </w:t>
      </w:r>
      <w:r>
        <w:rPr>
          <w:i w:val="0"/>
          <w:iCs/>
        </w:rPr>
        <w:t>A1</w:t>
      </w:r>
      <w:r>
        <w:rPr>
          <w:i w:val="0"/>
          <w:iCs/>
          <w:vertAlign w:val="subscript"/>
        </w:rPr>
        <w:t>FL</w:t>
      </w:r>
      <w:r>
        <w:rPr>
          <w:b w:val="0"/>
          <w:i w:val="0"/>
          <w:iCs/>
        </w:rPr>
        <w:t>sau</w:t>
      </w:r>
      <w:r>
        <w:rPr>
          <w:i w:val="0"/>
          <w:iCs/>
        </w:rPr>
        <w:t xml:space="preserve"> A2</w:t>
      </w:r>
      <w:r>
        <w:rPr>
          <w:i w:val="0"/>
          <w:iCs/>
          <w:vertAlign w:val="subscript"/>
        </w:rPr>
        <w:t>FL</w:t>
      </w:r>
      <w:r>
        <w:rPr>
          <w:i w:val="0"/>
          <w:iCs/>
        </w:rPr>
        <w:t>-s1</w:t>
      </w:r>
      <w:r>
        <w:rPr>
          <w:b w:val="0"/>
          <w:i w:val="0"/>
          <w:iCs/>
        </w:rPr>
        <w:t>.</w:t>
      </w:r>
    </w:p>
    <w:p w14:paraId="3C08B7FB" w14:textId="77777777" w:rsidR="001C08A5" w:rsidRDefault="001C08A5">
      <w:pPr>
        <w:jc w:val="both"/>
        <w:rPr>
          <w:sz w:val="24"/>
          <w:szCs w:val="24"/>
        </w:rPr>
      </w:pPr>
    </w:p>
    <w:p w14:paraId="3586EB5B" w14:textId="77777777" w:rsidR="001C08A5" w:rsidRDefault="00000000">
      <w:pPr>
        <w:ind w:firstLine="720"/>
        <w:jc w:val="both"/>
        <w:rPr>
          <w:rStyle w:val="CommentReference"/>
        </w:rPr>
      </w:pPr>
      <w:r>
        <w:rPr>
          <w:b/>
          <w:sz w:val="24"/>
          <w:szCs w:val="24"/>
        </w:rPr>
        <w:t xml:space="preserve">Art. 4.1.5.12. (1) </w:t>
      </w:r>
      <w:r>
        <w:rPr>
          <w:sz w:val="24"/>
          <w:szCs w:val="24"/>
        </w:rPr>
        <w:t xml:space="preserve">Circulaţiile comune orizontale (coridoare, holuri) care nu au ferestre directe în exterior prin care să se evacueze fumul (amplasate în fațade, la mai puțin de </w:t>
      </w:r>
      <w:r>
        <w:rPr>
          <w:b/>
          <w:bCs/>
          <w:sz w:val="24"/>
          <w:szCs w:val="24"/>
        </w:rPr>
        <w:t>30</w:t>
      </w:r>
      <w:r>
        <w:rPr>
          <w:sz w:val="24"/>
          <w:szCs w:val="24"/>
        </w:rPr>
        <w:t xml:space="preserve"> m față de orice punct din acestea), se prevăd cu sisteme de evacuare a fumului şi gazelor fierbinţi în caz de incendiu cu tiraj natural-organizat sau prin ventilare mecanică ori </w:t>
      </w:r>
      <w:r>
        <w:rPr>
          <w:sz w:val="24"/>
          <w:szCs w:val="24"/>
          <w:lang w:eastAsia="zh-CN"/>
        </w:rPr>
        <w:t xml:space="preserve">sau </w:t>
      </w:r>
      <w:r>
        <w:rPr>
          <w:rStyle w:val="Strong"/>
          <w:rFonts w:eastAsia="sans-serif"/>
          <w:b w:val="0"/>
          <w:bCs w:val="0"/>
          <w:sz w:val="24"/>
          <w:szCs w:val="24"/>
          <w:shd w:val="clear" w:color="auto" w:fill="FFFFFF"/>
        </w:rPr>
        <w:t>se prevad cu sisteme cu presiune diferențială SPD</w:t>
      </w:r>
      <w:r>
        <w:rPr>
          <w:sz w:val="24"/>
          <w:szCs w:val="24"/>
        </w:rPr>
        <w:t>, conform prevederilor normativului şi reglementărilor tehnice de specialitate.</w:t>
      </w:r>
    </w:p>
    <w:p w14:paraId="13FFCD5D" w14:textId="77777777" w:rsidR="001C08A5" w:rsidRDefault="00000000">
      <w:pPr>
        <w:jc w:val="both"/>
        <w:rPr>
          <w:sz w:val="24"/>
          <w:szCs w:val="24"/>
        </w:rPr>
      </w:pPr>
      <w:r>
        <w:rPr>
          <w:sz w:val="24"/>
          <w:szCs w:val="24"/>
        </w:rPr>
        <w:tab/>
      </w:r>
      <w:r>
        <w:rPr>
          <w:b/>
          <w:bCs/>
          <w:sz w:val="24"/>
          <w:szCs w:val="24"/>
        </w:rPr>
        <w:t>(2)</w:t>
      </w:r>
      <w:r>
        <w:rPr>
          <w:sz w:val="24"/>
          <w:szCs w:val="24"/>
        </w:rPr>
        <w:t xml:space="preserve"> Evacuarea fumului şi gazelor fierbinţi în caz de incendiu din casele de scări supraterane închise precum și din încăperile tampon ale acestora se asigură prin tiraj natural organizat sau acestea se pun în suprapresiune. Evacuarea fumului şi a gazelor fierbinţi în caz de incendiu din casele de scări subterane închise și la încăperile tampon ale acestora se asigură numai prin tiraj natural organizat, sau acestea se pun în suprapresiune.</w:t>
      </w:r>
    </w:p>
    <w:p w14:paraId="57763151" w14:textId="77777777" w:rsidR="001C08A5" w:rsidRDefault="00000000">
      <w:pPr>
        <w:ind w:firstLine="720"/>
        <w:jc w:val="both"/>
        <w:rPr>
          <w:sz w:val="24"/>
          <w:szCs w:val="24"/>
        </w:rPr>
      </w:pPr>
      <w:r>
        <w:rPr>
          <w:b/>
          <w:sz w:val="24"/>
          <w:szCs w:val="24"/>
        </w:rPr>
        <w:t>(3)</w:t>
      </w:r>
      <w:r>
        <w:rPr>
          <w:sz w:val="24"/>
          <w:szCs w:val="24"/>
        </w:rPr>
        <w:t xml:space="preserve"> Evacuarea  fumului şi gazelor fierbinţi în caz de incendiu din casele de scări închise şi din circulaţiile comune orizontale subterane, se asigură separat de cele ale nivelurilor supraterane.</w:t>
      </w:r>
    </w:p>
    <w:p w14:paraId="6C4EC3AB" w14:textId="77777777" w:rsidR="001C08A5" w:rsidRDefault="00000000">
      <w:pPr>
        <w:pStyle w:val="Heading4"/>
      </w:pPr>
      <w:bookmarkStart w:id="4346" w:name="_Toc9610"/>
      <w:bookmarkStart w:id="4347" w:name="_Toc17427"/>
      <w:bookmarkStart w:id="4348" w:name="_Toc11729"/>
      <w:bookmarkStart w:id="4349" w:name="_Toc7535"/>
      <w:bookmarkStart w:id="4350" w:name="_Toc162355314"/>
      <w:bookmarkStart w:id="4351" w:name="_Toc27128"/>
      <w:bookmarkStart w:id="4352" w:name="_Toc21230"/>
      <w:bookmarkStart w:id="4353" w:name="_Toc3715"/>
      <w:r>
        <w:t>4.1.6. CONDIŢII DE ACCES, INTERVENŢIE și SALVARE ÎN CAZ DE INCENDIU</w:t>
      </w:r>
      <w:bookmarkEnd w:id="4346"/>
      <w:bookmarkEnd w:id="4347"/>
      <w:bookmarkEnd w:id="4348"/>
      <w:bookmarkEnd w:id="4349"/>
      <w:bookmarkEnd w:id="4350"/>
      <w:bookmarkEnd w:id="4351"/>
      <w:bookmarkEnd w:id="4352"/>
      <w:bookmarkEnd w:id="4353"/>
    </w:p>
    <w:p w14:paraId="24B56FC2" w14:textId="77777777" w:rsidR="001C08A5" w:rsidRDefault="001C08A5">
      <w:pPr>
        <w:jc w:val="both"/>
        <w:rPr>
          <w:b/>
          <w:sz w:val="24"/>
          <w:szCs w:val="24"/>
        </w:rPr>
      </w:pPr>
    </w:p>
    <w:p w14:paraId="5F8D2A09" w14:textId="77777777" w:rsidR="001C08A5" w:rsidRDefault="00000000">
      <w:pPr>
        <w:ind w:firstLine="567"/>
        <w:jc w:val="both"/>
        <w:rPr>
          <w:sz w:val="24"/>
          <w:szCs w:val="24"/>
        </w:rPr>
      </w:pPr>
      <w:r>
        <w:rPr>
          <w:b/>
          <w:sz w:val="24"/>
          <w:szCs w:val="24"/>
        </w:rPr>
        <w:tab/>
        <w:t>Art. 4.1.6.1.</w:t>
      </w:r>
      <w:r>
        <w:rPr>
          <w:sz w:val="24"/>
          <w:szCs w:val="24"/>
        </w:rPr>
        <w:t xml:space="preserve"> </w:t>
      </w:r>
      <w:r>
        <w:rPr>
          <w:b/>
          <w:sz w:val="24"/>
          <w:szCs w:val="24"/>
        </w:rPr>
        <w:t xml:space="preserve">(1) </w:t>
      </w:r>
      <w:r>
        <w:rPr>
          <w:sz w:val="24"/>
          <w:szCs w:val="24"/>
        </w:rPr>
        <w:t xml:space="preserve">La clădirile înalte se asigură căi de acces şi de intervenţie pentru autospecialele de intervenţie în caz de incendiu, cel puţin </w:t>
      </w:r>
      <w:r>
        <w:rPr>
          <w:bCs/>
          <w:sz w:val="24"/>
          <w:szCs w:val="24"/>
        </w:rPr>
        <w:t xml:space="preserve">integral pe două (2) laturi alăturate </w:t>
      </w:r>
      <w:r>
        <w:rPr>
          <w:rFonts w:eastAsia="Times-Roman"/>
          <w:sz w:val="24"/>
          <w:szCs w:val="24"/>
        </w:rPr>
        <w:t xml:space="preserve">şi, totodată, cel puţin pe </w:t>
      </w:r>
      <w:r>
        <w:rPr>
          <w:rFonts w:eastAsia="Times-Roman"/>
          <w:b/>
          <w:bCs/>
          <w:sz w:val="24"/>
          <w:szCs w:val="24"/>
        </w:rPr>
        <w:t>50%</w:t>
      </w:r>
      <w:r>
        <w:rPr>
          <w:rFonts w:eastAsia="Times-Roman"/>
          <w:sz w:val="24"/>
          <w:szCs w:val="24"/>
        </w:rPr>
        <w:t xml:space="preserve"> din perimetrul pereților exteriori</w:t>
      </w:r>
      <w:r>
        <w:rPr>
          <w:sz w:val="24"/>
          <w:szCs w:val="24"/>
        </w:rPr>
        <w:t>.</w:t>
      </w:r>
    </w:p>
    <w:p w14:paraId="45927CD3" w14:textId="77777777" w:rsidR="001C08A5" w:rsidRDefault="00000000">
      <w:pPr>
        <w:ind w:firstLine="720"/>
        <w:jc w:val="both"/>
        <w:rPr>
          <w:rStyle w:val="CommentReference"/>
        </w:rPr>
      </w:pPr>
      <w:r>
        <w:rPr>
          <w:b/>
          <w:sz w:val="24"/>
          <w:szCs w:val="24"/>
        </w:rPr>
        <w:t xml:space="preserve">(2) </w:t>
      </w:r>
      <w:r>
        <w:rPr>
          <w:bCs/>
          <w:sz w:val="24"/>
          <w:szCs w:val="24"/>
        </w:rPr>
        <w:t xml:space="preserve">În </w:t>
      </w:r>
      <w:r>
        <w:rPr>
          <w:sz w:val="24"/>
          <w:szCs w:val="24"/>
        </w:rPr>
        <w:t xml:space="preserve">conformitate cu capacitatea maximă simultană a clădirii înalte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(2) </w:t>
      </w:r>
      <w:r>
        <w:rPr>
          <w:bCs/>
          <w:sz w:val="24"/>
          <w:szCs w:val="24"/>
        </w:rPr>
        <w:t>și</w:t>
      </w:r>
      <w:r>
        <w:rPr>
          <w:b/>
          <w:sz w:val="24"/>
          <w:szCs w:val="24"/>
        </w:rPr>
        <w:t xml:space="preserve"> (3). </w:t>
      </w:r>
      <w:r>
        <w:rPr>
          <w:bCs/>
          <w:sz w:val="24"/>
          <w:szCs w:val="24"/>
        </w:rPr>
        <w:t xml:space="preserve">Pentru o capacitate maxim simultană mai mare de </w:t>
      </w:r>
      <w:r>
        <w:rPr>
          <w:b/>
          <w:sz w:val="24"/>
          <w:szCs w:val="24"/>
        </w:rPr>
        <w:t>3500</w:t>
      </w:r>
      <w:r>
        <w:rPr>
          <w:bCs/>
          <w:sz w:val="24"/>
          <w:szCs w:val="24"/>
        </w:rPr>
        <w:t xml:space="preserve"> de persoane nu se ia în calcul  </w:t>
      </w:r>
      <w:r>
        <w:rPr>
          <w:b/>
          <w:sz w:val="24"/>
          <w:szCs w:val="24"/>
        </w:rPr>
        <w:t xml:space="preserve">Art. </w:t>
      </w:r>
      <w:r>
        <w:rPr>
          <w:b/>
          <w:caps/>
          <w:sz w:val="24"/>
          <w:szCs w:val="24"/>
        </w:rPr>
        <w:t>2.6.</w:t>
      </w:r>
      <w:r>
        <w:rPr>
          <w:b/>
          <w:sz w:val="24"/>
          <w:szCs w:val="24"/>
        </w:rPr>
        <w:t xml:space="preserve">5. </w:t>
      </w:r>
      <w:r>
        <w:rPr>
          <w:bCs/>
          <w:sz w:val="24"/>
          <w:szCs w:val="24"/>
        </w:rPr>
        <w:t>alin.</w:t>
      </w:r>
      <w:r>
        <w:rPr>
          <w:b/>
          <w:sz w:val="24"/>
          <w:szCs w:val="24"/>
        </w:rPr>
        <w:t xml:space="preserve"> (3).</w:t>
      </w:r>
    </w:p>
    <w:p w14:paraId="1FCB9787" w14:textId="77777777" w:rsidR="001C08A5" w:rsidRDefault="00000000">
      <w:pPr>
        <w:pStyle w:val="Heading4"/>
      </w:pPr>
      <w:bookmarkStart w:id="4354" w:name="_Toc25858"/>
      <w:bookmarkStart w:id="4355" w:name="_Toc162355315"/>
      <w:bookmarkStart w:id="4356" w:name="_Toc9430"/>
      <w:bookmarkStart w:id="4357" w:name="_Toc30309"/>
      <w:bookmarkStart w:id="4358" w:name="_Toc10945"/>
      <w:bookmarkStart w:id="4359" w:name="_Toc10601"/>
      <w:bookmarkStart w:id="4360" w:name="_Toc16397"/>
      <w:bookmarkStart w:id="4361" w:name="_Toc18298"/>
      <w:r>
        <w:t>4.1.7. ECHIPAREA CONSTRUCŢIILOR CU INSTALAŢII ŞI MIJLOACE DE STINGERE A INCENDIILOR</w:t>
      </w:r>
      <w:bookmarkEnd w:id="4354"/>
      <w:bookmarkEnd w:id="4355"/>
      <w:bookmarkEnd w:id="4356"/>
      <w:bookmarkEnd w:id="4357"/>
      <w:bookmarkEnd w:id="4358"/>
      <w:bookmarkEnd w:id="4359"/>
      <w:bookmarkEnd w:id="4360"/>
      <w:bookmarkEnd w:id="4361"/>
    </w:p>
    <w:p w14:paraId="6080C698" w14:textId="77777777" w:rsidR="001C08A5" w:rsidRDefault="001C08A5">
      <w:pPr>
        <w:jc w:val="both"/>
        <w:rPr>
          <w:b/>
          <w:sz w:val="24"/>
          <w:szCs w:val="24"/>
        </w:rPr>
      </w:pPr>
    </w:p>
    <w:p w14:paraId="474FAA08" w14:textId="77777777" w:rsidR="001C08A5" w:rsidRDefault="00000000">
      <w:pPr>
        <w:jc w:val="both"/>
        <w:rPr>
          <w:sz w:val="24"/>
          <w:szCs w:val="24"/>
        </w:rPr>
      </w:pPr>
      <w:r>
        <w:rPr>
          <w:b/>
          <w:sz w:val="24"/>
          <w:szCs w:val="24"/>
        </w:rPr>
        <w:tab/>
        <w:t>Art. 4.1.7.1. (1)</w:t>
      </w:r>
      <w:r>
        <w:rPr>
          <w:sz w:val="24"/>
          <w:szCs w:val="24"/>
        </w:rPr>
        <w:t xml:space="preserve"> Clădirile înalte se echipează cu instalaţii şi mijloace de stingere a incendiilor, precum și cu instalaţii de detectare, semnalizare şi alarmare a incendiului, conform prevederilor reglementărilor tehnice de specialitate.</w:t>
      </w:r>
    </w:p>
    <w:p w14:paraId="563AD590" w14:textId="77777777" w:rsidR="001C08A5" w:rsidRDefault="00000000">
      <w:pPr>
        <w:ind w:firstLine="720"/>
        <w:jc w:val="both"/>
        <w:rPr>
          <w:sz w:val="24"/>
          <w:szCs w:val="24"/>
        </w:rPr>
      </w:pPr>
      <w:r>
        <w:rPr>
          <w:b/>
          <w:sz w:val="24"/>
          <w:szCs w:val="24"/>
        </w:rPr>
        <w:t xml:space="preserve">(2) </w:t>
      </w:r>
      <w:r>
        <w:rPr>
          <w:sz w:val="24"/>
          <w:szCs w:val="24"/>
        </w:rPr>
        <w:t xml:space="preserve">Clădirile înalte se dotează cu stingătoare, asigurând un stingător portativ cu performanţa de stingere minimă </w:t>
      </w:r>
      <w:r>
        <w:rPr>
          <w:b/>
          <w:sz w:val="24"/>
          <w:szCs w:val="24"/>
        </w:rPr>
        <w:t xml:space="preserve">21A </w:t>
      </w:r>
      <w:r>
        <w:rPr>
          <w:sz w:val="24"/>
          <w:szCs w:val="24"/>
        </w:rPr>
        <w:t xml:space="preserve">şi </w:t>
      </w:r>
      <w:r>
        <w:rPr>
          <w:b/>
          <w:sz w:val="24"/>
          <w:szCs w:val="24"/>
        </w:rPr>
        <w:t xml:space="preserve">113B </w:t>
      </w:r>
      <w:r>
        <w:rPr>
          <w:sz w:val="24"/>
          <w:szCs w:val="24"/>
        </w:rPr>
        <w:t xml:space="preserve">pentru o arie desfăşurată de maximum </w:t>
      </w:r>
      <w:r>
        <w:rPr>
          <w:b/>
          <w:sz w:val="24"/>
          <w:szCs w:val="24"/>
        </w:rPr>
        <w:t xml:space="preserve">250 </w:t>
      </w:r>
      <w:r>
        <w:rPr>
          <w:bCs/>
          <w:sz w:val="24"/>
          <w:szCs w:val="24"/>
        </w:rPr>
        <w:t>m</w:t>
      </w:r>
      <w:r>
        <w:rPr>
          <w:bCs/>
          <w:sz w:val="24"/>
          <w:szCs w:val="24"/>
          <w:vertAlign w:val="superscript"/>
        </w:rPr>
        <w:t>2</w:t>
      </w:r>
      <w:r>
        <w:rPr>
          <w:sz w:val="24"/>
          <w:szCs w:val="24"/>
        </w:rPr>
        <w:t>, dar minimum două stingătoare pe fiecare nivel al clădirii.</w:t>
      </w:r>
    </w:p>
    <w:p w14:paraId="2A1FDB4B" w14:textId="77777777" w:rsidR="001C08A5" w:rsidRDefault="00000000">
      <w:pPr>
        <w:jc w:val="both"/>
        <w:rPr>
          <w:sz w:val="24"/>
          <w:szCs w:val="24"/>
        </w:rPr>
      </w:pPr>
      <w:r>
        <w:rPr>
          <w:b/>
          <w:sz w:val="24"/>
          <w:szCs w:val="24"/>
        </w:rPr>
        <w:tab/>
      </w:r>
    </w:p>
    <w:p w14:paraId="232C87E4" w14:textId="77777777" w:rsidR="001C08A5" w:rsidRDefault="00000000">
      <w:pPr>
        <w:pStyle w:val="Heading3"/>
      </w:pPr>
      <w:bookmarkStart w:id="4362" w:name="_Toc11790"/>
      <w:bookmarkStart w:id="4363" w:name="_Toc162355316"/>
      <w:bookmarkStart w:id="4364" w:name="_Toc1140"/>
      <w:bookmarkStart w:id="4365" w:name="_Toc27504"/>
      <w:bookmarkStart w:id="4366" w:name="_Toc1607"/>
      <w:bookmarkStart w:id="4367" w:name="_Toc5903"/>
      <w:bookmarkStart w:id="4368" w:name="_Toc18876"/>
      <w:bookmarkStart w:id="4369" w:name="_Toc1871"/>
      <w:bookmarkStart w:id="4370" w:name="_Toc5175"/>
      <w:bookmarkStart w:id="4371" w:name="_Toc25042"/>
      <w:r>
        <w:t>SECŢIUNEA II</w:t>
      </w:r>
      <w:bookmarkEnd w:id="4362"/>
      <w:bookmarkEnd w:id="4363"/>
      <w:bookmarkEnd w:id="4364"/>
      <w:bookmarkEnd w:id="4365"/>
      <w:bookmarkEnd w:id="4366"/>
      <w:bookmarkEnd w:id="4367"/>
      <w:bookmarkEnd w:id="4368"/>
      <w:bookmarkEnd w:id="4369"/>
      <w:bookmarkEnd w:id="4370"/>
      <w:bookmarkEnd w:id="4371"/>
    </w:p>
    <w:p w14:paraId="7E65FFC7" w14:textId="77777777" w:rsidR="001C08A5" w:rsidRDefault="00000000">
      <w:pPr>
        <w:pStyle w:val="Heading3"/>
        <w:rPr>
          <w:rFonts w:cs="Times New Roman"/>
          <w:sz w:val="24"/>
          <w:szCs w:val="24"/>
        </w:rPr>
      </w:pPr>
      <w:bookmarkStart w:id="4372" w:name="_Toc3113"/>
      <w:bookmarkStart w:id="4373" w:name="_Toc16492"/>
      <w:bookmarkStart w:id="4374" w:name="_Toc29106"/>
      <w:bookmarkStart w:id="4375" w:name="_Toc9327"/>
      <w:bookmarkStart w:id="4376" w:name="_Toc162355317"/>
      <w:bookmarkStart w:id="4377" w:name="_Toc21703"/>
      <w:bookmarkStart w:id="4378" w:name="_Toc9220"/>
      <w:bookmarkStart w:id="4379" w:name="_Toc16595"/>
      <w:bookmarkStart w:id="4380" w:name="_Toc5720"/>
      <w:bookmarkStart w:id="4381" w:name="_Toc27702"/>
      <w:r>
        <w:t>4.2. Clădiri civile supraterane foarte înalte</w:t>
      </w:r>
      <w:bookmarkEnd w:id="4372"/>
      <w:bookmarkEnd w:id="4373"/>
      <w:bookmarkEnd w:id="4374"/>
      <w:bookmarkEnd w:id="4375"/>
      <w:bookmarkEnd w:id="4376"/>
      <w:bookmarkEnd w:id="4377"/>
      <w:bookmarkEnd w:id="4378"/>
      <w:bookmarkEnd w:id="4379"/>
      <w:bookmarkEnd w:id="4380"/>
      <w:bookmarkEnd w:id="4381"/>
    </w:p>
    <w:p w14:paraId="2A128036" w14:textId="77777777" w:rsidR="001C08A5" w:rsidRDefault="00000000">
      <w:pPr>
        <w:pStyle w:val="Heading4"/>
      </w:pPr>
      <w:bookmarkStart w:id="4382" w:name="_Toc11469"/>
      <w:bookmarkStart w:id="4383" w:name="_Toc5491"/>
      <w:bookmarkStart w:id="4384" w:name="_Toc31412"/>
      <w:bookmarkStart w:id="4385" w:name="_Toc13899"/>
      <w:bookmarkStart w:id="4386" w:name="_Toc9157"/>
      <w:bookmarkStart w:id="4387" w:name="_Toc162355318"/>
      <w:bookmarkStart w:id="4388" w:name="_Toc7856"/>
      <w:bookmarkStart w:id="4389" w:name="_Toc17506"/>
      <w:r>
        <w:t>4.2.1. CONDIŢII COMUNE DE PERFORMANŢĂ A CONSTRUCŢIILOR (RISC DE INCENDIU,  NIVEL DE STABILITATE LA INCENDIU AL CONSTRUCŢIEI)</w:t>
      </w:r>
      <w:bookmarkEnd w:id="4382"/>
      <w:bookmarkEnd w:id="4383"/>
      <w:bookmarkEnd w:id="4384"/>
      <w:bookmarkEnd w:id="4385"/>
      <w:bookmarkEnd w:id="4386"/>
      <w:bookmarkEnd w:id="4387"/>
      <w:bookmarkEnd w:id="4388"/>
      <w:bookmarkEnd w:id="4389"/>
    </w:p>
    <w:p w14:paraId="22CD6878" w14:textId="77777777" w:rsidR="001C08A5" w:rsidRDefault="001C08A5">
      <w:pPr>
        <w:jc w:val="both"/>
        <w:rPr>
          <w:b/>
          <w:sz w:val="24"/>
          <w:szCs w:val="24"/>
        </w:rPr>
      </w:pPr>
    </w:p>
    <w:p w14:paraId="3D2D76B2" w14:textId="77777777" w:rsidR="001C08A5" w:rsidRDefault="00000000">
      <w:pPr>
        <w:jc w:val="both"/>
        <w:rPr>
          <w:sz w:val="24"/>
          <w:szCs w:val="24"/>
        </w:rPr>
      </w:pPr>
      <w:r>
        <w:rPr>
          <w:b/>
          <w:sz w:val="24"/>
          <w:szCs w:val="24"/>
        </w:rPr>
        <w:tab/>
        <w:t xml:space="preserve">Art. </w:t>
      </w:r>
      <w:r>
        <w:rPr>
          <w:b/>
          <w:caps/>
          <w:sz w:val="24"/>
          <w:szCs w:val="24"/>
        </w:rPr>
        <w:t>4.2.1.</w:t>
      </w:r>
      <w:r>
        <w:rPr>
          <w:b/>
          <w:sz w:val="24"/>
          <w:szCs w:val="24"/>
        </w:rPr>
        <w:t>1. (1)</w:t>
      </w:r>
      <w:r>
        <w:rPr>
          <w:sz w:val="24"/>
          <w:szCs w:val="24"/>
        </w:rPr>
        <w:t xml:space="preserve"> Clădirile civile supraterane foarte înalte, inclusiv porţiunile acestora cu înălţimi mai mici </w:t>
      </w:r>
      <w:r>
        <w:rPr>
          <w:rFonts w:eastAsia="Times-Roman"/>
          <w:sz w:val="24"/>
          <w:szCs w:val="24"/>
        </w:rPr>
        <w:t>decât limita care determină încadrarea în tip de clădiri foarte înalte</w:t>
      </w:r>
      <w:r>
        <w:rPr>
          <w:sz w:val="24"/>
          <w:szCs w:val="24"/>
        </w:rPr>
        <w:t xml:space="preserve"> vor avea asigurat nivelul </w:t>
      </w:r>
      <w:r>
        <w:rPr>
          <w:b/>
          <w:sz w:val="24"/>
          <w:szCs w:val="24"/>
        </w:rPr>
        <w:t>I</w:t>
      </w:r>
      <w:r>
        <w:rPr>
          <w:sz w:val="24"/>
          <w:szCs w:val="24"/>
        </w:rPr>
        <w:t xml:space="preserve"> de stabilitate la incendiu. </w:t>
      </w:r>
    </w:p>
    <w:p w14:paraId="142F5FDC" w14:textId="77777777" w:rsidR="001C08A5" w:rsidRDefault="00000000">
      <w:pPr>
        <w:ind w:firstLine="720"/>
        <w:jc w:val="both"/>
        <w:rPr>
          <w:sz w:val="24"/>
          <w:szCs w:val="24"/>
        </w:rPr>
      </w:pPr>
      <w:r>
        <w:rPr>
          <w:b/>
          <w:sz w:val="24"/>
          <w:szCs w:val="24"/>
        </w:rPr>
        <w:lastRenderedPageBreak/>
        <w:t>(2)</w:t>
      </w:r>
      <w:r>
        <w:rPr>
          <w:sz w:val="24"/>
          <w:szCs w:val="24"/>
        </w:rPr>
        <w:t xml:space="preserve"> Nivelul de stabilitate la incendiu al clădirilor foarte înalte se determină conform prevederilor din </w:t>
      </w:r>
      <w:r>
        <w:rPr>
          <w:b/>
          <w:sz w:val="24"/>
          <w:szCs w:val="24"/>
        </w:rPr>
        <w:t xml:space="preserve">Art. </w:t>
      </w:r>
      <w:r>
        <w:rPr>
          <w:b/>
          <w:bCs/>
          <w:sz w:val="24"/>
          <w:szCs w:val="24"/>
        </w:rPr>
        <w:t>2.1.3.</w:t>
      </w:r>
      <w:r>
        <w:rPr>
          <w:b/>
          <w:sz w:val="24"/>
          <w:szCs w:val="24"/>
        </w:rPr>
        <w:t>2.</w:t>
      </w:r>
      <w:r>
        <w:rPr>
          <w:sz w:val="24"/>
          <w:szCs w:val="24"/>
        </w:rPr>
        <w:t xml:space="preserve"> şi </w:t>
      </w:r>
      <w:r>
        <w:rPr>
          <w:rStyle w:val="BodyTextChar"/>
          <w:iCs/>
        </w:rPr>
        <w:fldChar w:fldCharType="begin"/>
      </w:r>
      <w:r>
        <w:rPr>
          <w:rStyle w:val="BodyTextChar"/>
          <w:iCs/>
        </w:rPr>
        <w:instrText xml:space="preserve"> REF _Ref26473 \h </w:instrText>
      </w:r>
      <w:r>
        <w:rPr>
          <w:rStyle w:val="BodyTextChar"/>
          <w:iCs/>
        </w:rPr>
      </w:r>
      <w:r>
        <w:rPr>
          <w:rStyle w:val="BodyTextChar"/>
          <w:iCs/>
        </w:rPr>
        <w:fldChar w:fldCharType="separate"/>
      </w:r>
      <w:r>
        <w:t>Tabelul 2</w:t>
      </w:r>
      <w:r>
        <w:rPr>
          <w:rStyle w:val="BodyTextChar"/>
          <w:iCs/>
        </w:rPr>
        <w:fldChar w:fldCharType="end"/>
      </w:r>
      <w:r>
        <w:rPr>
          <w:sz w:val="24"/>
          <w:szCs w:val="24"/>
        </w:rPr>
        <w:t>.</w:t>
      </w:r>
    </w:p>
    <w:p w14:paraId="787D428D" w14:textId="77777777" w:rsidR="001C08A5" w:rsidRDefault="00000000">
      <w:pPr>
        <w:pStyle w:val="Heading4"/>
      </w:pPr>
      <w:bookmarkStart w:id="4390" w:name="_Toc17828"/>
      <w:bookmarkStart w:id="4391" w:name="_Toc31212"/>
      <w:bookmarkStart w:id="4392" w:name="_Toc20985"/>
      <w:bookmarkStart w:id="4393" w:name="_Toc16082"/>
      <w:bookmarkStart w:id="4394" w:name="_Toc162355319"/>
      <w:bookmarkStart w:id="4395" w:name="_Toc12790"/>
      <w:bookmarkStart w:id="4396" w:name="_Toc29567"/>
      <w:bookmarkStart w:id="4397" w:name="_Toc24886"/>
      <w:r>
        <w:t>4.2.2. AMPLASAREA ŞI CONFORMAREA CONSTRUCŢIILOR</w:t>
      </w:r>
      <w:bookmarkEnd w:id="4390"/>
      <w:bookmarkEnd w:id="4391"/>
      <w:bookmarkEnd w:id="4392"/>
      <w:bookmarkEnd w:id="4393"/>
      <w:bookmarkEnd w:id="4394"/>
      <w:bookmarkEnd w:id="4395"/>
      <w:bookmarkEnd w:id="4396"/>
      <w:bookmarkEnd w:id="4397"/>
    </w:p>
    <w:p w14:paraId="786F0DEF" w14:textId="77777777" w:rsidR="001C08A5" w:rsidRDefault="001C08A5">
      <w:pPr>
        <w:jc w:val="both"/>
        <w:rPr>
          <w:sz w:val="24"/>
          <w:szCs w:val="24"/>
        </w:rPr>
      </w:pPr>
    </w:p>
    <w:p w14:paraId="57768D9F" w14:textId="77777777" w:rsidR="001C08A5" w:rsidRDefault="00000000">
      <w:pPr>
        <w:jc w:val="both"/>
        <w:rPr>
          <w:sz w:val="24"/>
          <w:szCs w:val="24"/>
        </w:rPr>
      </w:pPr>
      <w:r>
        <w:rPr>
          <w:b/>
          <w:sz w:val="24"/>
          <w:szCs w:val="24"/>
        </w:rPr>
        <w:tab/>
        <w:t>Art. 4.2.2.1. (1)</w:t>
      </w:r>
      <w:r>
        <w:rPr>
          <w:sz w:val="24"/>
          <w:szCs w:val="24"/>
        </w:rPr>
        <w:t xml:space="preserve"> Comasarea între ele sau cu alte construcţii civile foarte înalte în cadrul aceluiași compartiment de incendiu este interzisă.</w:t>
      </w:r>
    </w:p>
    <w:p w14:paraId="7A23FA14" w14:textId="77777777" w:rsidR="001C08A5" w:rsidRDefault="00000000">
      <w:pPr>
        <w:jc w:val="both"/>
        <w:rPr>
          <w:sz w:val="24"/>
          <w:szCs w:val="24"/>
        </w:rPr>
      </w:pPr>
      <w:r>
        <w:rPr>
          <w:sz w:val="24"/>
          <w:szCs w:val="24"/>
        </w:rPr>
        <w:tab/>
      </w:r>
      <w:r>
        <w:rPr>
          <w:b/>
          <w:sz w:val="24"/>
          <w:szCs w:val="24"/>
        </w:rPr>
        <w:t>(2)</w:t>
      </w:r>
      <w:r>
        <w:rPr>
          <w:sz w:val="24"/>
          <w:szCs w:val="24"/>
        </w:rPr>
        <w:t xml:space="preserve"> Distanţele minime de </w:t>
      </w:r>
      <w:r>
        <w:rPr>
          <w:bCs/>
          <w:spacing w:val="-2"/>
          <w:sz w:val="24"/>
          <w:szCs w:val="24"/>
        </w:rPr>
        <w:t>siguranţă</w:t>
      </w:r>
      <w:r>
        <w:rPr>
          <w:sz w:val="24"/>
          <w:szCs w:val="24"/>
        </w:rPr>
        <w:t xml:space="preserve"> la incendiu ce trebuie asigurate între clădiri civile supraterane foarte înalte și alte construcţii, sunt stabilite conform normativului, în </w:t>
      </w:r>
      <w:r>
        <w:rPr>
          <w:b/>
          <w:sz w:val="24"/>
          <w:szCs w:val="24"/>
        </w:rPr>
        <w:t xml:space="preserve">Art. </w:t>
      </w:r>
      <w:r>
        <w:rPr>
          <w:b/>
          <w:bCs/>
          <w:sz w:val="24"/>
          <w:szCs w:val="24"/>
        </w:rPr>
        <w:t>2.2.1.2</w:t>
      </w:r>
      <w:r>
        <w:rPr>
          <w:b/>
          <w:sz w:val="24"/>
          <w:szCs w:val="24"/>
        </w:rPr>
        <w:t>.</w:t>
      </w:r>
      <w:r>
        <w:rPr>
          <w:sz w:val="24"/>
          <w:szCs w:val="24"/>
        </w:rPr>
        <w:t xml:space="preserve"> şi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sz w:val="24"/>
          <w:szCs w:val="24"/>
        </w:rPr>
        <w:t>.</w:t>
      </w:r>
    </w:p>
    <w:p w14:paraId="513DD1FE" w14:textId="77777777" w:rsidR="001C08A5" w:rsidRDefault="00000000">
      <w:pPr>
        <w:ind w:firstLine="720"/>
        <w:jc w:val="both"/>
        <w:rPr>
          <w:sz w:val="24"/>
          <w:szCs w:val="24"/>
        </w:rPr>
      </w:pPr>
      <w:r>
        <w:rPr>
          <w:b/>
          <w:sz w:val="24"/>
          <w:szCs w:val="24"/>
        </w:rPr>
        <w:t>(3)</w:t>
      </w:r>
      <w:r>
        <w:rPr>
          <w:sz w:val="24"/>
          <w:szCs w:val="24"/>
        </w:rPr>
        <w:t xml:space="preserve"> Clădirile civile supraterane foarte înalte se pot compartimenta pe toată înălţimea lor cu pereţi antifoc în limita ariei construite (</w:t>
      </w:r>
      <w:r>
        <w:rPr>
          <w:b/>
          <w:sz w:val="24"/>
          <w:szCs w:val="24"/>
        </w:rPr>
        <w:t>Ac</w:t>
      </w:r>
      <w:r>
        <w:rPr>
          <w:sz w:val="24"/>
          <w:szCs w:val="24"/>
        </w:rPr>
        <w:t xml:space="preserve">) de maximum </w:t>
      </w:r>
      <w:r>
        <w:rPr>
          <w:b/>
          <w:sz w:val="24"/>
          <w:szCs w:val="24"/>
        </w:rPr>
        <w:t xml:space="preserve">3.500 </w:t>
      </w:r>
      <w:r>
        <w:rPr>
          <w:b/>
          <w:bCs/>
          <w:sz w:val="24"/>
          <w:szCs w:val="24"/>
        </w:rPr>
        <w:t>m²</w:t>
      </w:r>
      <w:r>
        <w:rPr>
          <w:sz w:val="24"/>
          <w:szCs w:val="24"/>
        </w:rPr>
        <w:t xml:space="preserve"> în oricâte compartimente de incendiu. În cadrul unui compartiment de incendiu al clădirii foarte înalte cu aria construită (</w:t>
      </w:r>
      <w:r>
        <w:rPr>
          <w:b/>
          <w:sz w:val="24"/>
          <w:szCs w:val="24"/>
        </w:rPr>
        <w:t>Ac</w:t>
      </w:r>
      <w:r>
        <w:rPr>
          <w:sz w:val="24"/>
          <w:szCs w:val="24"/>
        </w:rPr>
        <w:t xml:space="preserve">) de maximum </w:t>
      </w:r>
      <w:r>
        <w:rPr>
          <w:b/>
          <w:sz w:val="24"/>
          <w:szCs w:val="24"/>
        </w:rPr>
        <w:t xml:space="preserve">3.500 </w:t>
      </w:r>
      <w:r>
        <w:rPr>
          <w:b/>
          <w:bCs/>
          <w:sz w:val="24"/>
          <w:szCs w:val="24"/>
        </w:rPr>
        <w:t>m²</w:t>
      </w:r>
      <w:r>
        <w:rPr>
          <w:sz w:val="24"/>
          <w:szCs w:val="24"/>
        </w:rPr>
        <w:t xml:space="preserve"> se pot prevedea maximum trei porţiuni volumetrice a acestuia (conform </w:t>
      </w:r>
      <w:r>
        <w:rPr>
          <w:b/>
          <w:bCs/>
          <w:i/>
          <w:iCs/>
          <w:sz w:val="24"/>
          <w:szCs w:val="24"/>
        </w:rPr>
        <w:fldChar w:fldCharType="begin"/>
      </w:r>
      <w:r>
        <w:rPr>
          <w:b/>
          <w:bCs/>
          <w:i/>
          <w:iCs/>
          <w:sz w:val="24"/>
          <w:szCs w:val="24"/>
        </w:rPr>
        <w:instrText xml:space="preserve"> REF _Ref5734 \h </w:instrText>
      </w:r>
      <w:r>
        <w:rPr>
          <w:b/>
          <w:bCs/>
          <w:i/>
          <w:iCs/>
          <w:sz w:val="24"/>
          <w:szCs w:val="24"/>
        </w:rPr>
      </w:r>
      <w:r>
        <w:rPr>
          <w:b/>
          <w:bCs/>
          <w:i/>
          <w:iCs/>
          <w:sz w:val="24"/>
          <w:szCs w:val="24"/>
        </w:rPr>
        <w:fldChar w:fldCharType="separate"/>
      </w:r>
      <w:r>
        <w:t>Figura 9</w:t>
      </w:r>
      <w:r>
        <w:rPr>
          <w:b/>
          <w:bCs/>
          <w:i/>
          <w:iCs/>
          <w:sz w:val="24"/>
          <w:szCs w:val="24"/>
        </w:rPr>
        <w:fldChar w:fldCharType="end"/>
      </w:r>
      <w:r>
        <w:rPr>
          <w:sz w:val="24"/>
          <w:szCs w:val="24"/>
        </w:rPr>
        <w:t>, varianta a), cu aria totală desfăşurată (</w:t>
      </w:r>
      <w:r>
        <w:rPr>
          <w:b/>
          <w:sz w:val="24"/>
          <w:szCs w:val="24"/>
        </w:rPr>
        <w:t>Ad</w:t>
      </w:r>
      <w:r>
        <w:rPr>
          <w:sz w:val="24"/>
          <w:szCs w:val="24"/>
        </w:rPr>
        <w:t xml:space="preserve">) a fiecărei porţiuni volumetrice de maximum </w:t>
      </w:r>
      <w:r>
        <w:rPr>
          <w:b/>
          <w:sz w:val="24"/>
          <w:szCs w:val="24"/>
        </w:rPr>
        <w:t>3.500 m²</w:t>
      </w:r>
      <w:r>
        <w:rPr>
          <w:sz w:val="24"/>
          <w:szCs w:val="24"/>
        </w:rPr>
        <w:t xml:space="preserve"> (fără posibilitatea de majorare), porţiuni constituite din unul până la trei niveluri construite succesive delimitate de planşee antifoc și după caz, pereţi antifoc de compartimentul de incendiu în care sunt inserate. </w:t>
      </w:r>
    </w:p>
    <w:p w14:paraId="4BADD983" w14:textId="77777777" w:rsidR="001C08A5" w:rsidRDefault="00000000">
      <w:pPr>
        <w:ind w:firstLine="720"/>
        <w:jc w:val="both"/>
        <w:rPr>
          <w:sz w:val="24"/>
          <w:szCs w:val="24"/>
        </w:rPr>
      </w:pPr>
      <w:r>
        <w:rPr>
          <w:b/>
          <w:bCs/>
          <w:sz w:val="24"/>
          <w:szCs w:val="24"/>
        </w:rPr>
        <w:t>(4)</w:t>
      </w:r>
      <w:r>
        <w:rPr>
          <w:sz w:val="24"/>
          <w:szCs w:val="24"/>
        </w:rPr>
        <w:t xml:space="preserve"> În condițiile în care compartimentele </w:t>
      </w:r>
      <w:r>
        <w:rPr>
          <w:b/>
          <w:bCs/>
          <w:sz w:val="24"/>
          <w:szCs w:val="24"/>
        </w:rPr>
        <w:t>nu</w:t>
      </w:r>
      <w:r>
        <w:rPr>
          <w:sz w:val="24"/>
          <w:szCs w:val="24"/>
        </w:rPr>
        <w:t xml:space="preserve"> sunt echipate cu instalație automată de stingere a incendiilor cu apă tip sprinkler dar sunt echipate cu instalaţie de detectare, semnalizare şi alarmare a incendiului cu acoperire totală, în cadrul unui compartiment de incendiu cu aria construită (</w:t>
      </w:r>
      <w:r>
        <w:rPr>
          <w:b/>
          <w:sz w:val="24"/>
          <w:szCs w:val="24"/>
        </w:rPr>
        <w:t>Ac</w:t>
      </w:r>
      <w:r>
        <w:rPr>
          <w:sz w:val="24"/>
          <w:szCs w:val="24"/>
        </w:rPr>
        <w:t xml:space="preserve">) de maximum </w:t>
      </w:r>
      <w:r>
        <w:rPr>
          <w:b/>
          <w:sz w:val="24"/>
          <w:szCs w:val="24"/>
        </w:rPr>
        <w:t xml:space="preserve">3.500 </w:t>
      </w:r>
      <w:r>
        <w:rPr>
          <w:b/>
          <w:bCs/>
          <w:sz w:val="24"/>
          <w:szCs w:val="24"/>
        </w:rPr>
        <w:t>m²</w:t>
      </w:r>
      <w:r>
        <w:rPr>
          <w:sz w:val="24"/>
          <w:szCs w:val="24"/>
        </w:rPr>
        <w:t xml:space="preserve"> se poate prevedea o singură porţiune volumetrică a acestuia (conform </w:t>
      </w:r>
      <w:r>
        <w:rPr>
          <w:b/>
          <w:bCs/>
          <w:i/>
          <w:iCs/>
          <w:sz w:val="24"/>
          <w:szCs w:val="24"/>
        </w:rPr>
        <w:fldChar w:fldCharType="begin"/>
      </w:r>
      <w:r>
        <w:rPr>
          <w:b/>
          <w:bCs/>
          <w:i/>
          <w:iCs/>
          <w:sz w:val="24"/>
          <w:szCs w:val="24"/>
        </w:rPr>
        <w:instrText xml:space="preserve"> REF _Ref5727 \h </w:instrText>
      </w:r>
      <w:r>
        <w:rPr>
          <w:b/>
          <w:bCs/>
          <w:i/>
          <w:iCs/>
          <w:sz w:val="24"/>
          <w:szCs w:val="24"/>
        </w:rPr>
      </w:r>
      <w:r>
        <w:rPr>
          <w:b/>
          <w:bCs/>
          <w:i/>
          <w:iCs/>
          <w:sz w:val="24"/>
          <w:szCs w:val="24"/>
        </w:rPr>
        <w:fldChar w:fldCharType="separate"/>
      </w:r>
      <w:r>
        <w:t>Figura 8</w:t>
      </w:r>
      <w:r>
        <w:rPr>
          <w:b/>
          <w:bCs/>
          <w:i/>
          <w:iCs/>
          <w:sz w:val="24"/>
          <w:szCs w:val="24"/>
        </w:rPr>
        <w:fldChar w:fldCharType="end"/>
      </w:r>
      <w:r>
        <w:rPr>
          <w:sz w:val="24"/>
          <w:szCs w:val="24"/>
        </w:rPr>
        <w:t xml:space="preserve"> Varianta a)), cu aria totală desfăşurată (</w:t>
      </w:r>
      <w:r>
        <w:rPr>
          <w:b/>
          <w:sz w:val="24"/>
          <w:szCs w:val="24"/>
        </w:rPr>
        <w:t>Ad</w:t>
      </w:r>
      <w:r>
        <w:rPr>
          <w:sz w:val="24"/>
          <w:szCs w:val="24"/>
        </w:rPr>
        <w:t xml:space="preserve">) de maximum </w:t>
      </w:r>
      <w:r>
        <w:rPr>
          <w:b/>
          <w:sz w:val="24"/>
          <w:szCs w:val="24"/>
        </w:rPr>
        <w:t>2.500 m²</w:t>
      </w:r>
      <w:r>
        <w:rPr>
          <w:sz w:val="24"/>
          <w:szCs w:val="24"/>
        </w:rPr>
        <w:t xml:space="preserve"> (fără posibilitatea de majorare), porţiune constituită din unul până la trei niveluri construite succesive delimitate de planşee antifoc și după caz, pereţi antifoc.</w:t>
      </w:r>
    </w:p>
    <w:tbl>
      <w:tblPr>
        <w:tblW w:w="0" w:type="auto"/>
        <w:tblLook w:val="04A0" w:firstRow="1" w:lastRow="0" w:firstColumn="1" w:lastColumn="0" w:noHBand="0" w:noVBand="1"/>
      </w:tblPr>
      <w:tblGrid>
        <w:gridCol w:w="4916"/>
        <w:gridCol w:w="4723"/>
      </w:tblGrid>
      <w:tr w:rsidR="001C08A5" w14:paraId="52BC5F35" w14:textId="77777777">
        <w:tc>
          <w:tcPr>
            <w:tcW w:w="4927" w:type="dxa"/>
          </w:tcPr>
          <w:p w14:paraId="677E4111" w14:textId="77777777" w:rsidR="001C08A5" w:rsidRDefault="00000000">
            <w:pPr>
              <w:widowControl w:val="0"/>
              <w:tabs>
                <w:tab w:val="left" w:pos="845"/>
              </w:tabs>
              <w:jc w:val="center"/>
              <w:rPr>
                <w:sz w:val="24"/>
                <w:szCs w:val="24"/>
              </w:rPr>
            </w:pPr>
            <w:r>
              <w:rPr>
                <w:noProof/>
                <w:sz w:val="24"/>
                <w:szCs w:val="24"/>
                <w:lang w:eastAsia="ro-RO"/>
              </w:rPr>
              <w:drawing>
                <wp:inline distT="0" distB="0" distL="114300" distR="114300" wp14:anchorId="2EE1D46B" wp14:editId="289EE776">
                  <wp:extent cx="2903220" cy="3479800"/>
                  <wp:effectExtent l="0" t="0" r="0" b="0"/>
                  <wp:docPr id="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2"/>
                          <pic:cNvPicPr>
                            <a:picLocks noChangeAspect="1"/>
                          </pic:cNvPicPr>
                        </pic:nvPicPr>
                        <pic:blipFill>
                          <a:blip r:embed="rId63"/>
                          <a:srcRect l="53638" t="1665" r="7949" b="15380"/>
                          <a:stretch>
                            <a:fillRect/>
                          </a:stretch>
                        </pic:blipFill>
                        <pic:spPr>
                          <a:xfrm>
                            <a:off x="0" y="0"/>
                            <a:ext cx="2903220" cy="3479800"/>
                          </a:xfrm>
                          <a:prstGeom prst="rect">
                            <a:avLst/>
                          </a:prstGeom>
                          <a:noFill/>
                          <a:ln>
                            <a:noFill/>
                          </a:ln>
                        </pic:spPr>
                      </pic:pic>
                    </a:graphicData>
                  </a:graphic>
                </wp:inline>
              </w:drawing>
            </w:r>
          </w:p>
        </w:tc>
        <w:tc>
          <w:tcPr>
            <w:tcW w:w="4928" w:type="dxa"/>
          </w:tcPr>
          <w:p w14:paraId="71931824" w14:textId="77777777" w:rsidR="001C08A5" w:rsidRDefault="00000000">
            <w:pPr>
              <w:widowControl w:val="0"/>
              <w:tabs>
                <w:tab w:val="left" w:pos="845"/>
              </w:tabs>
              <w:rPr>
                <w:b/>
                <w:bCs/>
                <w:i/>
                <w:iCs/>
                <w:sz w:val="22"/>
                <w:szCs w:val="22"/>
                <w:u w:val="single"/>
              </w:rPr>
            </w:pPr>
            <w:r>
              <w:rPr>
                <w:b/>
                <w:bCs/>
                <w:i/>
                <w:iCs/>
                <w:sz w:val="22"/>
                <w:szCs w:val="22"/>
                <w:u w:val="single"/>
              </w:rPr>
              <w:t>Legendă:</w:t>
            </w:r>
          </w:p>
          <w:p w14:paraId="33121DA8" w14:textId="77777777" w:rsidR="001C08A5" w:rsidRDefault="00000000">
            <w:pPr>
              <w:widowControl w:val="0"/>
              <w:tabs>
                <w:tab w:val="left" w:pos="845"/>
              </w:tabs>
              <w:rPr>
                <w:b/>
                <w:bCs/>
                <w:i/>
                <w:iCs/>
                <w:sz w:val="22"/>
                <w:szCs w:val="22"/>
              </w:rPr>
            </w:pPr>
            <w:r>
              <w:rPr>
                <w:b/>
                <w:bCs/>
                <w:i/>
                <w:iCs/>
                <w:sz w:val="22"/>
                <w:szCs w:val="22"/>
              </w:rPr>
              <w:t>C1, C2, C3, C4 - compartimente de incendiu distincte, nivel I de stabilitate la incendiu</w:t>
            </w:r>
          </w:p>
          <w:p w14:paraId="5908842E" w14:textId="77777777" w:rsidR="001C08A5" w:rsidRDefault="00000000">
            <w:pPr>
              <w:widowControl w:val="0"/>
              <w:tabs>
                <w:tab w:val="left" w:pos="845"/>
              </w:tabs>
              <w:rPr>
                <w:i/>
                <w:iCs/>
                <w:sz w:val="22"/>
                <w:szCs w:val="22"/>
              </w:rPr>
            </w:pPr>
            <w:r>
              <w:rPr>
                <w:i/>
                <w:iCs/>
                <w:sz w:val="22"/>
                <w:szCs w:val="22"/>
              </w:rPr>
              <w:t>Arii compartimente de incendiu:</w:t>
            </w:r>
          </w:p>
          <w:p w14:paraId="36C3C3DC" w14:textId="77777777" w:rsidR="001C08A5" w:rsidRDefault="00000000">
            <w:pPr>
              <w:widowControl w:val="0"/>
              <w:tabs>
                <w:tab w:val="left" w:pos="845"/>
              </w:tabs>
              <w:ind w:firstLine="720"/>
              <w:rPr>
                <w:i/>
                <w:iCs/>
                <w:sz w:val="22"/>
                <w:szCs w:val="22"/>
                <w:vertAlign w:val="superscript"/>
              </w:rPr>
            </w:pPr>
            <w:r>
              <w:rPr>
                <w:i/>
                <w:iCs/>
                <w:sz w:val="22"/>
                <w:szCs w:val="22"/>
              </w:rPr>
              <w:t xml:space="preserve">Compartiment C1*  (clădire foarte înaltă, cu orice funcțiune, cu excepția celei de locuit) - Arie construită </w:t>
            </w:r>
            <w:r>
              <w:rPr>
                <w:rFonts w:hint="eastAsia"/>
                <w:i/>
                <w:iCs/>
                <w:sz w:val="22"/>
                <w:szCs w:val="22"/>
              </w:rPr>
              <w:t>≤</w:t>
            </w:r>
            <w:r>
              <w:rPr>
                <w:i/>
                <w:iCs/>
                <w:sz w:val="22"/>
                <w:szCs w:val="22"/>
              </w:rPr>
              <w:t xml:space="preserve"> 3.500 m</w:t>
            </w:r>
            <w:r>
              <w:rPr>
                <w:i/>
                <w:iCs/>
                <w:sz w:val="22"/>
                <w:szCs w:val="22"/>
                <w:vertAlign w:val="superscript"/>
              </w:rPr>
              <w:t>2</w:t>
            </w:r>
          </w:p>
          <w:p w14:paraId="0F3D9F06" w14:textId="77777777" w:rsidR="001C08A5" w:rsidRDefault="00000000">
            <w:pPr>
              <w:widowControl w:val="0"/>
              <w:tabs>
                <w:tab w:val="left" w:pos="845"/>
              </w:tabs>
              <w:ind w:firstLine="720"/>
              <w:rPr>
                <w:i/>
                <w:iCs/>
                <w:sz w:val="22"/>
                <w:szCs w:val="22"/>
              </w:rPr>
            </w:pPr>
            <w:r>
              <w:rPr>
                <w:i/>
                <w:iCs/>
                <w:sz w:val="22"/>
                <w:szCs w:val="22"/>
              </w:rPr>
              <w:t xml:space="preserve">Compartiment C2  (compartiment volumetric în clădire foarte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4A0A6353" w14:textId="77777777" w:rsidR="001C08A5" w:rsidRDefault="00000000">
            <w:pPr>
              <w:widowControl w:val="0"/>
              <w:tabs>
                <w:tab w:val="left" w:pos="845"/>
              </w:tabs>
              <w:ind w:firstLine="720"/>
              <w:rPr>
                <w:sz w:val="22"/>
                <w:szCs w:val="22"/>
                <w:vertAlign w:val="superscript"/>
              </w:rPr>
            </w:pPr>
            <w:r>
              <w:rPr>
                <w:i/>
                <w:iCs/>
                <w:sz w:val="22"/>
                <w:szCs w:val="22"/>
              </w:rPr>
              <w:t xml:space="preserve">Compartiment C3 (compartiment volumetric în clădire foarte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0B913F32" w14:textId="77777777" w:rsidR="001C08A5" w:rsidRDefault="00000000">
            <w:pPr>
              <w:widowControl w:val="0"/>
              <w:tabs>
                <w:tab w:val="left" w:pos="845"/>
              </w:tabs>
              <w:ind w:firstLine="720"/>
              <w:rPr>
                <w:sz w:val="22"/>
                <w:szCs w:val="22"/>
                <w:vertAlign w:val="superscript"/>
              </w:rPr>
            </w:pPr>
            <w:r>
              <w:rPr>
                <w:i/>
                <w:iCs/>
                <w:sz w:val="22"/>
                <w:szCs w:val="22"/>
              </w:rPr>
              <w:t xml:space="preserve">Compartiment C4 (compartiment volumetric în clădire foarte înaltă) - Arie desfășurată </w:t>
            </w:r>
            <w:r>
              <w:rPr>
                <w:rFonts w:hint="eastAsia"/>
                <w:i/>
                <w:iCs/>
                <w:sz w:val="22"/>
                <w:szCs w:val="22"/>
              </w:rPr>
              <w:t>≤</w:t>
            </w:r>
            <w:r>
              <w:rPr>
                <w:i/>
                <w:iCs/>
                <w:sz w:val="22"/>
                <w:szCs w:val="22"/>
              </w:rPr>
              <w:t xml:space="preserve"> 3.500 m</w:t>
            </w:r>
            <w:r>
              <w:rPr>
                <w:i/>
                <w:iCs/>
                <w:sz w:val="22"/>
                <w:szCs w:val="22"/>
                <w:vertAlign w:val="superscript"/>
              </w:rPr>
              <w:t>2</w:t>
            </w:r>
          </w:p>
          <w:p w14:paraId="5E32250C" w14:textId="77777777" w:rsidR="001C08A5" w:rsidRDefault="001C08A5">
            <w:pPr>
              <w:widowControl w:val="0"/>
              <w:tabs>
                <w:tab w:val="left" w:pos="845"/>
              </w:tabs>
              <w:jc w:val="center"/>
              <w:rPr>
                <w:sz w:val="22"/>
                <w:szCs w:val="22"/>
                <w:lang w:eastAsia="ro-RO"/>
              </w:rPr>
            </w:pPr>
          </w:p>
          <w:p w14:paraId="44C42CED" w14:textId="77777777" w:rsidR="001C08A5" w:rsidRDefault="00000000">
            <w:pPr>
              <w:widowControl w:val="0"/>
              <w:tabs>
                <w:tab w:val="left" w:pos="845"/>
              </w:tabs>
              <w:jc w:val="both"/>
              <w:rPr>
                <w:i/>
                <w:iCs/>
                <w:sz w:val="22"/>
                <w:szCs w:val="22"/>
              </w:rPr>
            </w:pPr>
            <w:r>
              <w:rPr>
                <w:i/>
                <w:iCs/>
                <w:sz w:val="22"/>
                <w:szCs w:val="22"/>
                <w:lang w:val="en-US" w:eastAsia="ro-RO"/>
              </w:rPr>
              <w:t xml:space="preserve">Notă*: Atunci când Compartimentul C1 este </w:t>
            </w:r>
            <w:r>
              <w:rPr>
                <w:i/>
                <w:iCs/>
                <w:sz w:val="22"/>
                <w:szCs w:val="22"/>
              </w:rPr>
              <w:t xml:space="preserve">echipat suplimentar cu instalație automată de stingere </w:t>
            </w:r>
            <w:proofErr w:type="gramStart"/>
            <w:r>
              <w:rPr>
                <w:i/>
                <w:iCs/>
                <w:sz w:val="22"/>
                <w:szCs w:val="22"/>
              </w:rPr>
              <w:t>a</w:t>
            </w:r>
            <w:proofErr w:type="gramEnd"/>
            <w:r>
              <w:rPr>
                <w:i/>
                <w:iCs/>
                <w:sz w:val="22"/>
                <w:szCs w:val="22"/>
              </w:rPr>
              <w:t xml:space="preserve"> incendiilor cu apă, tip sprinkler</w:t>
            </w:r>
          </w:p>
          <w:p w14:paraId="34FC6BB2" w14:textId="77777777" w:rsidR="001C08A5" w:rsidRDefault="00000000">
            <w:pPr>
              <w:widowControl w:val="0"/>
              <w:tabs>
                <w:tab w:val="left" w:pos="845"/>
              </w:tabs>
              <w:jc w:val="both"/>
              <w:rPr>
                <w:sz w:val="24"/>
                <w:szCs w:val="24"/>
                <w:lang w:eastAsia="ro-RO"/>
              </w:rPr>
            </w:pPr>
            <w:r>
              <w:rPr>
                <w:i/>
                <w:iCs/>
                <w:sz w:val="22"/>
                <w:szCs w:val="22"/>
              </w:rPr>
              <w:t xml:space="preserve"> Aria construită a acestuia poate fi </w:t>
            </w:r>
            <w:r>
              <w:rPr>
                <w:rFonts w:hint="eastAsia"/>
                <w:i/>
                <w:iCs/>
                <w:sz w:val="22"/>
                <w:szCs w:val="22"/>
              </w:rPr>
              <w:t>≤</w:t>
            </w:r>
            <w:r>
              <w:rPr>
                <w:i/>
                <w:iCs/>
                <w:sz w:val="22"/>
                <w:szCs w:val="22"/>
              </w:rPr>
              <w:t xml:space="preserve"> 4.350 m</w:t>
            </w:r>
            <w:r>
              <w:rPr>
                <w:i/>
                <w:iCs/>
                <w:sz w:val="22"/>
                <w:szCs w:val="22"/>
                <w:vertAlign w:val="superscript"/>
              </w:rPr>
              <w:t>2</w:t>
            </w:r>
          </w:p>
        </w:tc>
      </w:tr>
    </w:tbl>
    <w:p w14:paraId="1F9D6267" w14:textId="77777777" w:rsidR="001C08A5" w:rsidRDefault="00000000">
      <w:pPr>
        <w:pStyle w:val="Caption"/>
        <w:jc w:val="center"/>
        <w:rPr>
          <w:bCs/>
        </w:rPr>
      </w:pPr>
      <w:bookmarkStart w:id="4398" w:name="_Ref25638"/>
      <w:bookmarkStart w:id="4399" w:name="_Toc162360296"/>
      <w:r>
        <w:t xml:space="preserve">Figura </w:t>
      </w:r>
      <w:r>
        <w:fldChar w:fldCharType="begin"/>
      </w:r>
      <w:r>
        <w:instrText xml:space="preserve"> SEQ Figura \* ARABIC </w:instrText>
      </w:r>
      <w:r>
        <w:fldChar w:fldCharType="separate"/>
      </w:r>
      <w:r>
        <w:t>72</w:t>
      </w:r>
      <w:r>
        <w:fldChar w:fldCharType="end"/>
      </w:r>
      <w:bookmarkStart w:id="4400" w:name="_Toc5263"/>
      <w:bookmarkStart w:id="4401" w:name="_Toc24178"/>
      <w:bookmarkStart w:id="4402" w:name="_Toc5406"/>
      <w:bookmarkStart w:id="4403" w:name="_Toc11428"/>
      <w:bookmarkStart w:id="4404" w:name="_Toc18905"/>
      <w:bookmarkStart w:id="4405" w:name="_Toc16143"/>
      <w:bookmarkStart w:id="4406" w:name="_Toc27631"/>
      <w:bookmarkStart w:id="4407" w:name="_Toc21071"/>
      <w:bookmarkStart w:id="4408" w:name="_Toc18826"/>
      <w:bookmarkStart w:id="4409" w:name="_Toc20790"/>
      <w:bookmarkStart w:id="4410" w:name="_Toc9302"/>
      <w:bookmarkEnd w:id="4398"/>
      <w:r>
        <w:t xml:space="preserve"> - </w:t>
      </w:r>
      <w:r>
        <w:rPr>
          <w:bCs/>
        </w:rPr>
        <w:t>Compartimentare antifoc și arii compartimente de incendiu la clădirile şi compartimentele de incendiu supraterane civile foarte înalte</w:t>
      </w:r>
      <w:bookmarkEnd w:id="4399"/>
      <w:bookmarkEnd w:id="4400"/>
      <w:bookmarkEnd w:id="4401"/>
      <w:bookmarkEnd w:id="4402"/>
      <w:bookmarkEnd w:id="4403"/>
      <w:bookmarkEnd w:id="4404"/>
      <w:bookmarkEnd w:id="4405"/>
      <w:bookmarkEnd w:id="4406"/>
      <w:bookmarkEnd w:id="4407"/>
      <w:bookmarkEnd w:id="4408"/>
      <w:bookmarkEnd w:id="4409"/>
      <w:bookmarkEnd w:id="4410"/>
    </w:p>
    <w:p w14:paraId="73D4BD57" w14:textId="77777777" w:rsidR="001C08A5" w:rsidRDefault="001C08A5">
      <w:pPr>
        <w:jc w:val="both"/>
        <w:rPr>
          <w:sz w:val="24"/>
          <w:szCs w:val="24"/>
        </w:rPr>
      </w:pPr>
    </w:p>
    <w:p w14:paraId="4370AE16" w14:textId="77777777" w:rsidR="001C08A5" w:rsidRDefault="00000000">
      <w:pPr>
        <w:ind w:firstLine="720"/>
        <w:jc w:val="both"/>
        <w:rPr>
          <w:sz w:val="24"/>
          <w:szCs w:val="24"/>
        </w:rPr>
      </w:pPr>
      <w:r>
        <w:rPr>
          <w:b/>
          <w:sz w:val="24"/>
          <w:szCs w:val="24"/>
        </w:rPr>
        <w:t xml:space="preserve">(4) </w:t>
      </w:r>
      <w:r>
        <w:rPr>
          <w:sz w:val="24"/>
          <w:szCs w:val="24"/>
        </w:rPr>
        <w:t xml:space="preserve">Ariile construite aferente clădirilor și compartimentelor de incendiu pe toată înălţimea lor normate la </w:t>
      </w:r>
      <w:r>
        <w:rPr>
          <w:b/>
          <w:sz w:val="24"/>
          <w:szCs w:val="24"/>
        </w:rPr>
        <w:t xml:space="preserve">3.500 </w:t>
      </w:r>
      <w:r>
        <w:rPr>
          <w:b/>
          <w:bCs/>
          <w:sz w:val="24"/>
          <w:szCs w:val="24"/>
        </w:rPr>
        <w:t>m²</w:t>
      </w:r>
      <w:r>
        <w:rPr>
          <w:sz w:val="24"/>
          <w:szCs w:val="24"/>
        </w:rPr>
        <w:t xml:space="preserve">, pot fi majorate cu </w:t>
      </w:r>
      <w:r>
        <w:rPr>
          <w:b/>
          <w:sz w:val="24"/>
          <w:szCs w:val="24"/>
        </w:rPr>
        <w:t xml:space="preserve">25% </w:t>
      </w:r>
      <w:r>
        <w:rPr>
          <w:sz w:val="24"/>
          <w:szCs w:val="24"/>
        </w:rPr>
        <w:t>atunci când sunt echipate cu instalații de stingere a incendiilor cu apă, tip sprinkler suplimentar față de prevederile normativului de profil.</w:t>
      </w:r>
    </w:p>
    <w:p w14:paraId="54D36905" w14:textId="77777777" w:rsidR="001C08A5" w:rsidRDefault="001C08A5">
      <w:pPr>
        <w:ind w:firstLine="720"/>
        <w:jc w:val="both"/>
        <w:rPr>
          <w:sz w:val="24"/>
          <w:szCs w:val="24"/>
        </w:rPr>
      </w:pPr>
    </w:p>
    <w:p w14:paraId="4D70B54A" w14:textId="77777777" w:rsidR="001C08A5" w:rsidRDefault="00000000">
      <w:pPr>
        <w:jc w:val="both"/>
        <w:rPr>
          <w:sz w:val="24"/>
          <w:szCs w:val="24"/>
        </w:rPr>
      </w:pPr>
      <w:r>
        <w:rPr>
          <w:b/>
          <w:sz w:val="24"/>
          <w:szCs w:val="24"/>
        </w:rPr>
        <w:lastRenderedPageBreak/>
        <w:tab/>
        <w:t>Art. 4.2.2.2. (1)</w:t>
      </w:r>
      <w:r>
        <w:rPr>
          <w:sz w:val="24"/>
          <w:szCs w:val="24"/>
        </w:rPr>
        <w:t xml:space="preserve"> Pereţii antifoc care separă compartimente de incendiu vor fi </w:t>
      </w:r>
      <w:r>
        <w:rPr>
          <w:b/>
          <w:sz w:val="24"/>
          <w:szCs w:val="24"/>
        </w:rPr>
        <w:t>EI-M 180/REI 180</w:t>
      </w:r>
      <w:r>
        <w:rPr>
          <w:sz w:val="24"/>
          <w:szCs w:val="24"/>
        </w:rPr>
        <w:t xml:space="preserve"> clasa de reacţie la foc </w:t>
      </w:r>
      <w:r>
        <w:rPr>
          <w:b/>
          <w:bCs/>
          <w:sz w:val="24"/>
          <w:szCs w:val="24"/>
        </w:rPr>
        <w:t xml:space="preserve">A1 </w:t>
      </w:r>
      <w:r>
        <w:rPr>
          <w:sz w:val="24"/>
          <w:szCs w:val="24"/>
        </w:rPr>
        <w:t xml:space="preserve">şi, după caz, planşeele care separă compartimente de incendiu vor fi </w:t>
      </w:r>
      <w:r>
        <w:rPr>
          <w:b/>
          <w:sz w:val="24"/>
          <w:szCs w:val="24"/>
        </w:rPr>
        <w:t>REI</w:t>
      </w:r>
      <w:r>
        <w:rPr>
          <w:sz w:val="24"/>
          <w:szCs w:val="24"/>
        </w:rPr>
        <w:t>, cu rezistenţa la foc stabilită în funcţie de densitatea sarcinii termice (</w:t>
      </w:r>
      <w:r>
        <w:rPr>
          <w:b/>
          <w:sz w:val="24"/>
          <w:szCs w:val="24"/>
        </w:rPr>
        <w:t>q</w:t>
      </w:r>
      <w:r>
        <w:rPr>
          <w:sz w:val="24"/>
          <w:szCs w:val="24"/>
        </w:rPr>
        <w:t xml:space="preserve">) din încăperile adiacente potrivit prevederilor din </w:t>
      </w:r>
      <w:r>
        <w:rPr>
          <w:b/>
          <w:sz w:val="24"/>
          <w:szCs w:val="24"/>
        </w:rPr>
        <w:t>Art.</w:t>
      </w:r>
      <w:r>
        <w:rPr>
          <w:b/>
          <w:bCs/>
          <w:sz w:val="24"/>
          <w:szCs w:val="24"/>
        </w:rPr>
        <w:t>2.3.1.2.</w:t>
      </w:r>
      <w:r>
        <w:rPr>
          <w:sz w:val="24"/>
          <w:szCs w:val="24"/>
        </w:rPr>
        <w:t xml:space="preserve"> şi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sz w:val="24"/>
          <w:szCs w:val="24"/>
        </w:rPr>
        <w:t xml:space="preserve"> dar minimum </w:t>
      </w:r>
      <w:r>
        <w:rPr>
          <w:b/>
          <w:sz w:val="24"/>
          <w:szCs w:val="24"/>
        </w:rPr>
        <w:t xml:space="preserve">180 </w:t>
      </w:r>
      <w:r>
        <w:rPr>
          <w:sz w:val="24"/>
          <w:szCs w:val="24"/>
        </w:rPr>
        <w:t>minute (</w:t>
      </w:r>
      <w:r>
        <w:rPr>
          <w:b/>
          <w:bCs/>
          <w:sz w:val="24"/>
          <w:szCs w:val="24"/>
        </w:rPr>
        <w:t>REI 180</w:t>
      </w:r>
      <w:r>
        <w:rPr>
          <w:sz w:val="24"/>
          <w:szCs w:val="24"/>
        </w:rPr>
        <w:t>).</w:t>
      </w:r>
    </w:p>
    <w:p w14:paraId="77E7B4DE" w14:textId="77777777" w:rsidR="001C08A5" w:rsidRDefault="00000000">
      <w:pPr>
        <w:ind w:firstLine="720"/>
        <w:jc w:val="both"/>
        <w:rPr>
          <w:sz w:val="24"/>
          <w:szCs w:val="24"/>
        </w:rPr>
      </w:pPr>
      <w:r>
        <w:rPr>
          <w:b/>
          <w:sz w:val="24"/>
          <w:szCs w:val="24"/>
        </w:rPr>
        <w:t>(2)</w:t>
      </w:r>
      <w:r>
        <w:rPr>
          <w:sz w:val="24"/>
          <w:szCs w:val="24"/>
        </w:rPr>
        <w:t xml:space="preserve"> Comunicarea funcţională se poate asigura prin goluri practicate în pereţii rezistenţi la foc </w:t>
      </w:r>
      <w:r>
        <w:rPr>
          <w:b/>
          <w:sz w:val="24"/>
          <w:szCs w:val="24"/>
        </w:rPr>
        <w:t xml:space="preserve">EI-M 180/REI 180 </w:t>
      </w:r>
      <w:r>
        <w:rPr>
          <w:sz w:val="24"/>
          <w:szCs w:val="24"/>
        </w:rPr>
        <w:t xml:space="preserve">de separare a compartimentelor de incendiu (pereţi antifoc), prin încăperi tampon protejate, ventilate în suprapresiune şi echipate cu uşi rezistente la foc și etanșe la fum minimum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w:t>
      </w:r>
    </w:p>
    <w:p w14:paraId="0F129273" w14:textId="77777777" w:rsidR="001C08A5" w:rsidRDefault="00000000">
      <w:pPr>
        <w:pStyle w:val="Heading4"/>
      </w:pPr>
      <w:bookmarkStart w:id="4411" w:name="_Toc162355320"/>
      <w:bookmarkStart w:id="4412" w:name="_Toc26603"/>
      <w:bookmarkStart w:id="4413" w:name="_Toc27694"/>
      <w:bookmarkStart w:id="4414" w:name="_Toc19369"/>
      <w:bookmarkStart w:id="4415" w:name="_Toc14704"/>
      <w:bookmarkStart w:id="4416" w:name="_Toc30645"/>
      <w:bookmarkStart w:id="4417" w:name="_Toc30693"/>
      <w:bookmarkStart w:id="4418" w:name="_Toc32615"/>
      <w:r>
        <w:t>4.2.3. LIMITAREA PROPAGĂRII INCENDIILOR</w:t>
      </w:r>
      <w:bookmarkEnd w:id="4411"/>
      <w:bookmarkEnd w:id="4412"/>
      <w:bookmarkEnd w:id="4413"/>
      <w:bookmarkEnd w:id="4414"/>
      <w:bookmarkEnd w:id="4415"/>
      <w:bookmarkEnd w:id="4416"/>
      <w:bookmarkEnd w:id="4417"/>
      <w:bookmarkEnd w:id="4418"/>
    </w:p>
    <w:p w14:paraId="56890B89" w14:textId="77777777" w:rsidR="001C08A5" w:rsidRDefault="00000000">
      <w:pPr>
        <w:ind w:firstLine="720"/>
        <w:jc w:val="both"/>
        <w:rPr>
          <w:b/>
          <w:sz w:val="24"/>
          <w:szCs w:val="24"/>
        </w:rPr>
      </w:pPr>
      <w:r>
        <w:rPr>
          <w:sz w:val="24"/>
          <w:szCs w:val="24"/>
        </w:rPr>
        <w:tab/>
      </w:r>
    </w:p>
    <w:p w14:paraId="628C64BA" w14:textId="77777777" w:rsidR="001C08A5" w:rsidRDefault="00000000">
      <w:pPr>
        <w:jc w:val="both"/>
        <w:rPr>
          <w:sz w:val="24"/>
          <w:szCs w:val="24"/>
        </w:rPr>
      </w:pPr>
      <w:r>
        <w:rPr>
          <w:b/>
          <w:sz w:val="24"/>
          <w:szCs w:val="24"/>
        </w:rPr>
        <w:tab/>
        <w:t>Art. 4.2.3.1.</w:t>
      </w:r>
      <w:r>
        <w:rPr>
          <w:sz w:val="24"/>
          <w:szCs w:val="24"/>
        </w:rPr>
        <w:t xml:space="preserve"> În clădirile civile foarte înalte nu se recomandă amplasarea încăperilor cu riscuri mari de incendiu, iar atunci când acestea sunt justificate tehnic, se dispun în zone distincte şi numai cu asigurarea măsurilor de protecţie corespunzătoare (compartimentare faţă de restul clădirii cu elemente verticale şi orizontale rezistente la foc, alcătuite și dimensionate corespunzător riscului de incendiu şi a densităţii sarcinii termice (q), echipare cu instalaţii automate de semnalizare și de stingere a incendiilor etc.).</w:t>
      </w:r>
    </w:p>
    <w:p w14:paraId="3F012B3B" w14:textId="77777777" w:rsidR="001C08A5" w:rsidRDefault="00000000">
      <w:pPr>
        <w:jc w:val="both"/>
        <w:rPr>
          <w:sz w:val="24"/>
          <w:szCs w:val="24"/>
        </w:rPr>
      </w:pPr>
      <w:r>
        <w:rPr>
          <w:sz w:val="24"/>
          <w:szCs w:val="24"/>
        </w:rPr>
        <w:tab/>
      </w:r>
      <w:r>
        <w:rPr>
          <w:sz w:val="24"/>
          <w:szCs w:val="24"/>
        </w:rPr>
        <w:tab/>
      </w:r>
    </w:p>
    <w:p w14:paraId="2AE45359" w14:textId="77777777" w:rsidR="001C08A5" w:rsidRDefault="00000000">
      <w:pPr>
        <w:jc w:val="both"/>
        <w:rPr>
          <w:sz w:val="24"/>
          <w:szCs w:val="24"/>
        </w:rPr>
      </w:pPr>
      <w:r>
        <w:rPr>
          <w:b/>
          <w:sz w:val="24"/>
          <w:szCs w:val="24"/>
        </w:rPr>
        <w:tab/>
        <w:t xml:space="preserve">Art. 4.2.3.2. </w:t>
      </w:r>
      <w:r>
        <w:rPr>
          <w:sz w:val="24"/>
          <w:szCs w:val="24"/>
        </w:rPr>
        <w:t xml:space="preserve">Încăperile cu riscuri foarte mari de incendiu nu sunt admise în clădirile civile supraterane foarte înalte. Încăperile cu riscuri mari de incendiu nu sunt admise în clădirile civile supraterane foarte înalte, cu exceptia celor prevazute la </w:t>
      </w:r>
      <w:r>
        <w:rPr>
          <w:b/>
          <w:sz w:val="24"/>
          <w:szCs w:val="24"/>
        </w:rPr>
        <w:t xml:space="preserve">Art. 4.12.4.8. </w:t>
      </w:r>
      <w:r>
        <w:rPr>
          <w:bCs/>
          <w:sz w:val="24"/>
          <w:szCs w:val="24"/>
        </w:rPr>
        <w:t xml:space="preserve">și </w:t>
      </w:r>
      <w:r>
        <w:rPr>
          <w:b/>
          <w:bCs/>
          <w:i/>
          <w:iCs/>
          <w:sz w:val="24"/>
          <w:szCs w:val="24"/>
        </w:rPr>
        <w:fldChar w:fldCharType="begin"/>
      </w:r>
      <w:r>
        <w:rPr>
          <w:b/>
          <w:bCs/>
          <w:i/>
          <w:iCs/>
          <w:sz w:val="24"/>
          <w:szCs w:val="24"/>
        </w:rPr>
        <w:instrText xml:space="preserve"> REF _Ref13306 \h </w:instrText>
      </w:r>
      <w:r>
        <w:rPr>
          <w:b/>
          <w:bCs/>
          <w:i/>
          <w:iCs/>
          <w:sz w:val="24"/>
          <w:szCs w:val="24"/>
        </w:rPr>
      </w:r>
      <w:r>
        <w:rPr>
          <w:b/>
          <w:bCs/>
          <w:i/>
          <w:iCs/>
          <w:sz w:val="24"/>
          <w:szCs w:val="24"/>
        </w:rPr>
        <w:fldChar w:fldCharType="separate"/>
      </w:r>
      <w:r>
        <w:t>Tabelul 94</w:t>
      </w:r>
      <w:r>
        <w:rPr>
          <w:b/>
          <w:bCs/>
          <w:i/>
          <w:iCs/>
          <w:sz w:val="24"/>
          <w:szCs w:val="24"/>
        </w:rPr>
        <w:fldChar w:fldCharType="end"/>
      </w:r>
      <w:r>
        <w:rPr>
          <w:b/>
          <w:sz w:val="24"/>
          <w:szCs w:val="24"/>
        </w:rPr>
        <w:t>.</w:t>
      </w:r>
    </w:p>
    <w:p w14:paraId="145E39CD" w14:textId="77777777" w:rsidR="001C08A5" w:rsidRDefault="001C08A5">
      <w:pPr>
        <w:jc w:val="both"/>
        <w:rPr>
          <w:sz w:val="24"/>
          <w:szCs w:val="24"/>
        </w:rPr>
      </w:pPr>
    </w:p>
    <w:p w14:paraId="7DDC3759" w14:textId="77777777" w:rsidR="001C08A5" w:rsidRDefault="00000000">
      <w:pPr>
        <w:tabs>
          <w:tab w:val="left" w:pos="1843"/>
          <w:tab w:val="left" w:pos="6663"/>
        </w:tabs>
        <w:ind w:firstLine="720"/>
        <w:jc w:val="both"/>
        <w:rPr>
          <w:sz w:val="24"/>
          <w:szCs w:val="24"/>
        </w:rPr>
      </w:pPr>
      <w:r>
        <w:rPr>
          <w:b/>
          <w:sz w:val="24"/>
          <w:szCs w:val="24"/>
        </w:rPr>
        <w:t xml:space="preserve">Art. 4.2.3.3. (1) </w:t>
      </w:r>
      <w:r>
        <w:rPr>
          <w:sz w:val="24"/>
          <w:szCs w:val="24"/>
        </w:rPr>
        <w:t xml:space="preserve">În cadrul construcţiilor civile  supraterane foarte înalte, se asigură separarea încăperilor de restul construcţiei potrivit prevederilor privind performanțele comune precum și a celor specifice precizate în acest capitol, iar atunci când norma nu dispune, prin pereţi neportanți despărţitori interiori cu rol de limitare a propagării focului  și/ sau prin pereți de sectorizare potrivit prevederilor din </w:t>
      </w:r>
      <w:r>
        <w:rPr>
          <w:b/>
          <w:sz w:val="24"/>
          <w:szCs w:val="24"/>
        </w:rPr>
        <w:t>Art.</w:t>
      </w:r>
      <w:r>
        <w:rPr>
          <w:b/>
          <w:bCs/>
          <w:sz w:val="24"/>
          <w:szCs w:val="24"/>
        </w:rPr>
        <w:t>2.1.3.</w:t>
      </w:r>
      <w:r>
        <w:rPr>
          <w:b/>
          <w:sz w:val="24"/>
          <w:szCs w:val="24"/>
        </w:rPr>
        <w:t>2.</w:t>
      </w:r>
      <w:r>
        <w:rPr>
          <w:sz w:val="24"/>
          <w:szCs w:val="24"/>
        </w:rPr>
        <w:t xml:space="preserve"> şi </w:t>
      </w:r>
      <w:r>
        <w:rPr>
          <w:rStyle w:val="BodyTextChar"/>
          <w:iCs/>
        </w:rPr>
        <w:fldChar w:fldCharType="begin"/>
      </w:r>
      <w:r>
        <w:rPr>
          <w:rStyle w:val="BodyTextChar"/>
          <w:iCs/>
        </w:rPr>
        <w:instrText xml:space="preserve"> REF _Ref26473 \h </w:instrText>
      </w:r>
      <w:r>
        <w:rPr>
          <w:rStyle w:val="BodyTextChar"/>
          <w:iCs/>
        </w:rPr>
      </w:r>
      <w:r>
        <w:rPr>
          <w:rStyle w:val="BodyTextChar"/>
          <w:iCs/>
        </w:rPr>
        <w:fldChar w:fldCharType="separate"/>
      </w:r>
      <w:r>
        <w:t>Tabelul 2</w:t>
      </w:r>
      <w:r>
        <w:rPr>
          <w:rStyle w:val="BodyTextChar"/>
          <w:iCs/>
        </w:rPr>
        <w:fldChar w:fldCharType="end"/>
      </w:r>
      <w:r>
        <w:rPr>
          <w:b/>
          <w:bCs/>
          <w:sz w:val="24"/>
          <w:szCs w:val="24"/>
        </w:rPr>
        <w:t xml:space="preserve">, </w:t>
      </w:r>
      <w:r>
        <w:rPr>
          <w:sz w:val="24"/>
          <w:szCs w:val="24"/>
        </w:rPr>
        <w:t>în funcție de regimul de înălțime al acestora.</w:t>
      </w:r>
    </w:p>
    <w:p w14:paraId="04445549" w14:textId="77777777" w:rsidR="001C08A5" w:rsidRDefault="001C08A5">
      <w:pPr>
        <w:tabs>
          <w:tab w:val="left" w:pos="1843"/>
          <w:tab w:val="left" w:pos="6663"/>
        </w:tabs>
        <w:ind w:firstLine="720"/>
        <w:jc w:val="both"/>
        <w:rPr>
          <w:sz w:val="24"/>
          <w:szCs w:val="24"/>
        </w:rPr>
      </w:pPr>
    </w:p>
    <w:p w14:paraId="4C88800D" w14:textId="77777777" w:rsidR="001C08A5" w:rsidRDefault="00000000">
      <w:pPr>
        <w:pStyle w:val="BodyText"/>
        <w:ind w:firstLine="720"/>
        <w:rPr>
          <w:b w:val="0"/>
          <w:bCs w:val="0"/>
          <w:i w:val="0"/>
          <w:iCs/>
        </w:rPr>
      </w:pPr>
      <w:r>
        <w:rPr>
          <w:i w:val="0"/>
          <w:iCs/>
        </w:rPr>
        <w:t>Art. 4.2.3.4. (1)</w:t>
      </w:r>
      <w:r>
        <w:rPr>
          <w:b w:val="0"/>
          <w:bCs w:val="0"/>
          <w:i w:val="0"/>
          <w:iCs/>
        </w:rPr>
        <w:t xml:space="preserve"> La s</w:t>
      </w:r>
      <w:r>
        <w:rPr>
          <w:rFonts w:eastAsia="Times-Roman"/>
          <w:b w:val="0"/>
          <w:bCs w:val="0"/>
          <w:i w:val="0"/>
          <w:iCs/>
        </w:rPr>
        <w:t>epararea grupărilor de încăperi de birouri deschise</w:t>
      </w:r>
      <w:r>
        <w:rPr>
          <w:b w:val="0"/>
          <w:bCs w:val="0"/>
          <w:i w:val="0"/>
          <w:iCs/>
        </w:rPr>
        <w:t xml:space="preserve">  tip open-space </w:t>
      </w:r>
      <w:r>
        <w:rPr>
          <w:rFonts w:eastAsia="Times-Roman"/>
          <w:b w:val="0"/>
          <w:bCs w:val="0"/>
          <w:i w:val="0"/>
          <w:iCs/>
        </w:rPr>
        <w:t>faţă de alte încăperi</w:t>
      </w:r>
      <w:r>
        <w:rPr>
          <w:b w:val="0"/>
          <w:bCs w:val="0"/>
          <w:i w:val="0"/>
          <w:iCs/>
        </w:rPr>
        <w:t xml:space="preserve"> cu suprafaţa </w:t>
      </w:r>
      <w:r>
        <w:rPr>
          <w:b w:val="0"/>
          <w:bCs w:val="0"/>
          <w:i w:val="0"/>
          <w:iCs/>
          <w:lang w:eastAsia="zh-CN"/>
        </w:rPr>
        <w:t xml:space="preserve">normată conform </w:t>
      </w:r>
      <w:r>
        <w:rPr>
          <w:i w:val="0"/>
          <w:iCs/>
          <w:lang w:eastAsia="zh-CN"/>
        </w:rPr>
        <w:t>Alin. 2</w:t>
      </w:r>
      <w:r>
        <w:rPr>
          <w:b w:val="0"/>
          <w:bCs w:val="0"/>
          <w:i w:val="0"/>
          <w:iCs/>
        </w:rPr>
        <w:t xml:space="preserve">, cu risc mic de incendiu și aceeași destinație (proprie sau complementara / birouri și circulații funcționale delimitate cu parapete, panouri sau pereţii interiori despărţitori funcţionali clasa de reacţie la foc </w:t>
      </w:r>
      <w:r>
        <w:rPr>
          <w:i w:val="0"/>
          <w:iCs/>
        </w:rPr>
        <w:t>A1, A2-s1,d0</w:t>
      </w:r>
      <w:r>
        <w:rPr>
          <w:b w:val="0"/>
          <w:bCs w:val="0"/>
          <w:i w:val="0"/>
          <w:iCs/>
        </w:rPr>
        <w:t xml:space="preserve">), se prevăd minimum pereţi despărţitori de sectorizare cu rol de limitare a propagării focului față de spațiile adiacente (cu excepția celor catre căile de evacuare care respecta prevederile specifice și a celor catre încăperi cu risc mai mare generat de densitatea sarcinii termice din încaperi adiacente), care trebuie să fie clasa de reacţie la foc </w:t>
      </w:r>
      <w:r>
        <w:rPr>
          <w:i w:val="0"/>
          <w:iCs/>
        </w:rPr>
        <w:t xml:space="preserve">A1, A2-s1,d0 </w:t>
      </w:r>
      <w:r>
        <w:rPr>
          <w:b w:val="0"/>
          <w:bCs w:val="0"/>
          <w:i w:val="0"/>
          <w:iCs/>
        </w:rPr>
        <w:t>minimum:</w:t>
      </w:r>
    </w:p>
    <w:p w14:paraId="2BA544D8" w14:textId="77777777" w:rsidR="001C08A5" w:rsidRDefault="00000000">
      <w:pPr>
        <w:pStyle w:val="BodyText"/>
        <w:numPr>
          <w:ilvl w:val="0"/>
          <w:numId w:val="85"/>
        </w:numPr>
        <w:tabs>
          <w:tab w:val="clear" w:pos="425"/>
        </w:tabs>
        <w:ind w:left="1554" w:firstLine="0"/>
        <w:rPr>
          <w:b w:val="0"/>
          <w:bCs w:val="0"/>
          <w:i w:val="0"/>
          <w:iCs/>
        </w:rPr>
      </w:pPr>
      <w:r>
        <w:rPr>
          <w:i w:val="0"/>
          <w:iCs/>
        </w:rPr>
        <w:t xml:space="preserve">EI/REI 120 </w:t>
      </w:r>
      <w:r>
        <w:rPr>
          <w:b w:val="0"/>
          <w:bCs w:val="0"/>
          <w:i w:val="0"/>
          <w:iCs/>
        </w:rPr>
        <w:t>prevăzuți cu uși rezistente la foc și etanșe la fum</w:t>
      </w:r>
      <w:r>
        <w:rPr>
          <w:i w:val="0"/>
          <w:iCs/>
        </w:rPr>
        <w:t xml:space="preserve"> EI</w:t>
      </w:r>
      <w:r>
        <w:rPr>
          <w:i w:val="0"/>
          <w:iCs/>
          <w:vertAlign w:val="subscript"/>
        </w:rPr>
        <w:t>2</w:t>
      </w:r>
      <w:r>
        <w:rPr>
          <w:i w:val="0"/>
          <w:iCs/>
        </w:rPr>
        <w:t>60-C5S</w:t>
      </w:r>
      <w:r>
        <w:rPr>
          <w:i w:val="0"/>
          <w:iCs/>
          <w:vertAlign w:val="subscript"/>
        </w:rPr>
        <w:t xml:space="preserve">200 </w:t>
      </w:r>
      <w:r>
        <w:rPr>
          <w:b w:val="0"/>
          <w:i w:val="0"/>
          <w:iCs/>
        </w:rPr>
        <w:t xml:space="preserve">în construcţiile civile foarte înalte cu nivelul de stabilitate la incendiu </w:t>
      </w:r>
      <w:r>
        <w:rPr>
          <w:i w:val="0"/>
          <w:iCs/>
        </w:rPr>
        <w:t xml:space="preserve">I </w:t>
      </w:r>
      <w:r>
        <w:rPr>
          <w:b w:val="0"/>
          <w:bCs w:val="0"/>
          <w:i w:val="0"/>
          <w:iCs/>
        </w:rPr>
        <w:t>cu înălțimea</w:t>
      </w:r>
      <w:r>
        <w:rPr>
          <w:i w:val="0"/>
          <w:iCs/>
        </w:rPr>
        <w:t xml:space="preserve"> h, 45m ≤ h &lt; 75m </w:t>
      </w:r>
      <w:r>
        <w:rPr>
          <w:b w:val="0"/>
          <w:i w:val="0"/>
          <w:iCs/>
        </w:rPr>
        <w:t>;</w:t>
      </w:r>
    </w:p>
    <w:p w14:paraId="7E4EEF4D" w14:textId="77777777" w:rsidR="001C08A5" w:rsidRDefault="00000000">
      <w:pPr>
        <w:pStyle w:val="BodyText"/>
        <w:numPr>
          <w:ilvl w:val="0"/>
          <w:numId w:val="85"/>
        </w:numPr>
        <w:tabs>
          <w:tab w:val="clear" w:pos="425"/>
        </w:tabs>
        <w:ind w:left="1554" w:firstLine="0"/>
        <w:rPr>
          <w:b w:val="0"/>
          <w:bCs w:val="0"/>
          <w:i w:val="0"/>
          <w:iCs/>
        </w:rPr>
      </w:pPr>
      <w:r>
        <w:rPr>
          <w:i w:val="0"/>
          <w:iCs/>
        </w:rPr>
        <w:t xml:space="preserve">EI/REI 180 </w:t>
      </w:r>
      <w:r>
        <w:rPr>
          <w:b w:val="0"/>
          <w:bCs w:val="0"/>
          <w:i w:val="0"/>
          <w:iCs/>
        </w:rPr>
        <w:t>prevăzuți cu uși rezistente la foc și etanșe la fum</w:t>
      </w:r>
      <w:r>
        <w:rPr>
          <w:i w:val="0"/>
          <w:iCs/>
        </w:rPr>
        <w:t xml:space="preserve"> EI</w:t>
      </w:r>
      <w:r>
        <w:rPr>
          <w:i w:val="0"/>
          <w:iCs/>
          <w:vertAlign w:val="subscript"/>
        </w:rPr>
        <w:t>2</w:t>
      </w:r>
      <w:r>
        <w:rPr>
          <w:i w:val="0"/>
          <w:iCs/>
        </w:rPr>
        <w:t>90-C5S</w:t>
      </w:r>
      <w:r>
        <w:rPr>
          <w:i w:val="0"/>
          <w:iCs/>
          <w:vertAlign w:val="subscript"/>
        </w:rPr>
        <w:t xml:space="preserve">200 </w:t>
      </w:r>
      <w:r>
        <w:rPr>
          <w:b w:val="0"/>
          <w:i w:val="0"/>
          <w:iCs/>
        </w:rPr>
        <w:t xml:space="preserve">în construcţiile civile foarte înalte cu nivelul de stabilitate la incendiu </w:t>
      </w:r>
      <w:r>
        <w:rPr>
          <w:i w:val="0"/>
          <w:iCs/>
        </w:rPr>
        <w:t xml:space="preserve">I </w:t>
      </w:r>
      <w:r>
        <w:rPr>
          <w:b w:val="0"/>
          <w:bCs w:val="0"/>
          <w:i w:val="0"/>
          <w:iCs/>
        </w:rPr>
        <w:t>cu înălțimea</w:t>
      </w:r>
      <w:r>
        <w:rPr>
          <w:i w:val="0"/>
          <w:iCs/>
        </w:rPr>
        <w:t xml:space="preserve"> h, h ≥ 75m</w:t>
      </w:r>
    </w:p>
    <w:p w14:paraId="353F5F33" w14:textId="77777777" w:rsidR="001C08A5" w:rsidRDefault="00000000">
      <w:pPr>
        <w:ind w:firstLine="720"/>
        <w:jc w:val="both"/>
        <w:rPr>
          <w:sz w:val="24"/>
          <w:szCs w:val="24"/>
        </w:rPr>
      </w:pPr>
      <w:r>
        <w:rPr>
          <w:b/>
          <w:bCs/>
          <w:sz w:val="24"/>
          <w:szCs w:val="24"/>
        </w:rPr>
        <w:t xml:space="preserve">(2) </w:t>
      </w:r>
      <w:r>
        <w:rPr>
          <w:sz w:val="24"/>
          <w:szCs w:val="24"/>
        </w:rPr>
        <w:t xml:space="preserve">Grupările de încăperi </w:t>
      </w:r>
      <w:r>
        <w:rPr>
          <w:rFonts w:eastAsia="Times-Roman"/>
          <w:sz w:val="24"/>
          <w:szCs w:val="24"/>
        </w:rPr>
        <w:t>de birouri deschise tip open space,</w:t>
      </w:r>
      <w:r>
        <w:rPr>
          <w:sz w:val="24"/>
          <w:szCs w:val="24"/>
        </w:rPr>
        <w:t xml:space="preserve"> delimitate în interiorul grupării prin panouri opace sau vitrate, fixe sau mobile (clasa de reacţie la foc </w:t>
      </w:r>
      <w:r>
        <w:rPr>
          <w:b/>
          <w:bCs/>
          <w:sz w:val="24"/>
          <w:szCs w:val="24"/>
        </w:rPr>
        <w:t>A1, A2-s1,d0</w:t>
      </w:r>
      <w:r>
        <w:rPr>
          <w:sz w:val="24"/>
          <w:szCs w:val="24"/>
        </w:rPr>
        <w:t xml:space="preserve">, </w:t>
      </w:r>
      <w:r>
        <w:rPr>
          <w:iCs/>
          <w:sz w:val="24"/>
          <w:szCs w:val="24"/>
        </w:rPr>
        <w:t>cu excepția componentelor nesubstanțiale, a elementelor de vitraj (din sticlă) simplu sau izolant și a garniturilor de vitrare</w:t>
      </w:r>
      <w:r>
        <w:rPr>
          <w:sz w:val="24"/>
          <w:szCs w:val="24"/>
        </w:rPr>
        <w:t xml:space="preserve">) folosite ca separări funcționale și/sau izolante fonic sau pereţi interiori despărţitori funcţionali (clasa de reacţie la foc </w:t>
      </w:r>
      <w:r>
        <w:rPr>
          <w:b/>
          <w:bCs/>
          <w:sz w:val="24"/>
          <w:szCs w:val="24"/>
        </w:rPr>
        <w:t>A1, A2-s1,d0</w:t>
      </w:r>
      <w:r>
        <w:rPr>
          <w:sz w:val="24"/>
          <w:szCs w:val="24"/>
        </w:rPr>
        <w:t xml:space="preserve">) se admit în limita următoarelor arii construite în cadrul </w:t>
      </w:r>
      <w:r>
        <w:rPr>
          <w:sz w:val="24"/>
          <w:szCs w:val="24"/>
          <w:lang w:eastAsia="zh-CN"/>
        </w:rPr>
        <w:t>clădirilor administrativefoarte înalte</w:t>
      </w:r>
      <w:r>
        <w:rPr>
          <w:sz w:val="24"/>
          <w:szCs w:val="24"/>
        </w:rPr>
        <w:t>:</w:t>
      </w:r>
    </w:p>
    <w:p w14:paraId="5B33F5AD" w14:textId="77777777" w:rsidR="001C08A5" w:rsidRDefault="00000000">
      <w:pPr>
        <w:pStyle w:val="BodyText"/>
        <w:ind w:left="720" w:firstLine="720"/>
      </w:pPr>
      <w:r>
        <w:rPr>
          <w:b w:val="0"/>
          <w:bCs w:val="0"/>
          <w:i w:val="0"/>
          <w:lang w:eastAsia="zh-CN"/>
        </w:rPr>
        <w:t xml:space="preserve">a) nelimitat, cu condiția ca aria construită a </w:t>
      </w:r>
      <w:r>
        <w:rPr>
          <w:b w:val="0"/>
          <w:bCs w:val="0"/>
          <w:i w:val="0"/>
        </w:rPr>
        <w:t xml:space="preserve">grupărilor de încăperi </w:t>
      </w:r>
      <w:r>
        <w:rPr>
          <w:rFonts w:eastAsia="Times-Roman"/>
          <w:b w:val="0"/>
          <w:bCs w:val="0"/>
          <w:i w:val="0"/>
        </w:rPr>
        <w:t>de birouri deschise</w:t>
      </w:r>
      <w:r>
        <w:rPr>
          <w:b w:val="0"/>
          <w:bCs w:val="0"/>
          <w:i w:val="0"/>
          <w:lang w:eastAsia="zh-CN"/>
        </w:rPr>
        <w:t xml:space="preserve"> sa fie de maximum </w:t>
      </w:r>
      <w:r>
        <w:rPr>
          <w:i w:val="0"/>
          <w:lang w:eastAsia="zh-CN"/>
        </w:rPr>
        <w:t>75%</w:t>
      </w:r>
      <w:r>
        <w:rPr>
          <w:b w:val="0"/>
          <w:bCs w:val="0"/>
          <w:i w:val="0"/>
          <w:lang w:eastAsia="zh-CN"/>
        </w:rPr>
        <w:t xml:space="preserve"> din cea a ariei construite a nivelului respectiv pentru construcții administrative încadrate în nivelul </w:t>
      </w:r>
      <w:r>
        <w:rPr>
          <w:i w:val="0"/>
          <w:lang w:eastAsia="zh-CN"/>
        </w:rPr>
        <w:t>I</w:t>
      </w:r>
      <w:r>
        <w:rPr>
          <w:b w:val="0"/>
          <w:bCs w:val="0"/>
          <w:i w:val="0"/>
          <w:lang w:eastAsia="zh-CN"/>
        </w:rPr>
        <w:t xml:space="preserve"> de securitate la incendiu </w:t>
      </w:r>
      <w:r>
        <w:rPr>
          <w:b w:val="0"/>
          <w:bCs w:val="0"/>
          <w:i w:val="0"/>
          <w:iCs/>
        </w:rPr>
        <w:t>cu înălțimea</w:t>
      </w:r>
      <w:r>
        <w:rPr>
          <w:rFonts w:hint="eastAsia"/>
          <w:i w:val="0"/>
          <w:iCs/>
        </w:rPr>
        <w:t xml:space="preserve"> h, 45m</w:t>
      </w:r>
      <w:r>
        <w:rPr>
          <w:rFonts w:hint="eastAsia"/>
          <w:i w:val="0"/>
          <w:iCs/>
        </w:rPr>
        <w:t>≤</w:t>
      </w:r>
      <w:r>
        <w:rPr>
          <w:rFonts w:hint="eastAsia"/>
          <w:i w:val="0"/>
          <w:iCs/>
        </w:rPr>
        <w:t>h&lt;75</w:t>
      </w:r>
      <w:r>
        <w:rPr>
          <w:i w:val="0"/>
          <w:iCs/>
        </w:rPr>
        <w:t xml:space="preserve"> </w:t>
      </w:r>
      <w:r>
        <w:rPr>
          <w:rFonts w:hint="eastAsia"/>
          <w:i w:val="0"/>
          <w:iCs/>
        </w:rPr>
        <w:t>m</w:t>
      </w:r>
      <w:r>
        <w:rPr>
          <w:i w:val="0"/>
          <w:iCs/>
        </w:rPr>
        <w:t xml:space="preserve"> </w:t>
      </w:r>
      <w:r>
        <w:rPr>
          <w:b w:val="0"/>
          <w:bCs w:val="0"/>
          <w:i w:val="0"/>
          <w:iCs/>
        </w:rPr>
        <w:t xml:space="preserve">și nici o grupare prevăzută cu condițiile stipulate la </w:t>
      </w:r>
      <w:r>
        <w:rPr>
          <w:i w:val="0"/>
          <w:iCs/>
        </w:rPr>
        <w:t>alin. (1) lit. a</w:t>
      </w:r>
      <w:r>
        <w:rPr>
          <w:b w:val="0"/>
          <w:bCs w:val="0"/>
          <w:i w:val="0"/>
          <w:iCs/>
        </w:rPr>
        <w:t xml:space="preserve"> să nu depăsească </w:t>
      </w:r>
      <w:r>
        <w:rPr>
          <w:i w:val="0"/>
          <w:iCs/>
        </w:rPr>
        <w:t>2.500</w:t>
      </w:r>
      <w:r>
        <w:rPr>
          <w:b w:val="0"/>
          <w:bCs w:val="0"/>
          <w:i w:val="0"/>
          <w:iCs/>
        </w:rPr>
        <w:t xml:space="preserve"> mp;</w:t>
      </w:r>
    </w:p>
    <w:p w14:paraId="7364D8FE" w14:textId="77777777" w:rsidR="001C08A5" w:rsidRDefault="00000000">
      <w:pPr>
        <w:ind w:left="720" w:firstLine="720"/>
        <w:jc w:val="both"/>
        <w:rPr>
          <w:b/>
          <w:bCs/>
          <w:sz w:val="24"/>
          <w:szCs w:val="24"/>
        </w:rPr>
      </w:pPr>
      <w:r>
        <w:rPr>
          <w:sz w:val="24"/>
          <w:szCs w:val="24"/>
          <w:lang w:eastAsia="zh-CN"/>
        </w:rPr>
        <w:lastRenderedPageBreak/>
        <w:t xml:space="preserve">b) nelimitat, cu condiția ca aria construită a </w:t>
      </w:r>
      <w:r>
        <w:rPr>
          <w:sz w:val="24"/>
          <w:szCs w:val="24"/>
        </w:rPr>
        <w:t xml:space="preserve">grupărilor de încăperi </w:t>
      </w:r>
      <w:r>
        <w:rPr>
          <w:rFonts w:eastAsia="Times-Roman"/>
          <w:sz w:val="24"/>
          <w:szCs w:val="24"/>
        </w:rPr>
        <w:t>de birouri deschise</w:t>
      </w:r>
      <w:r>
        <w:rPr>
          <w:sz w:val="24"/>
          <w:szCs w:val="24"/>
          <w:lang w:eastAsia="zh-CN"/>
        </w:rPr>
        <w:t xml:space="preserve"> sa fie de maximum </w:t>
      </w:r>
      <w:r>
        <w:rPr>
          <w:b/>
          <w:bCs/>
          <w:sz w:val="24"/>
          <w:szCs w:val="24"/>
          <w:lang w:eastAsia="zh-CN"/>
        </w:rPr>
        <w:t>75%</w:t>
      </w:r>
      <w:r>
        <w:rPr>
          <w:sz w:val="24"/>
          <w:szCs w:val="24"/>
          <w:lang w:eastAsia="zh-CN"/>
        </w:rPr>
        <w:t xml:space="preserve"> din cea a ariei construite a nivelului respectiv pentru construcții administrative încadrate în nivelul </w:t>
      </w:r>
      <w:r>
        <w:rPr>
          <w:b/>
          <w:bCs/>
          <w:sz w:val="24"/>
          <w:szCs w:val="24"/>
          <w:lang w:eastAsia="zh-CN"/>
        </w:rPr>
        <w:t>I</w:t>
      </w:r>
      <w:r>
        <w:rPr>
          <w:sz w:val="24"/>
          <w:szCs w:val="24"/>
          <w:lang w:eastAsia="zh-CN"/>
        </w:rPr>
        <w:t xml:space="preserve"> de securitate la incendiu </w:t>
      </w:r>
      <w:r>
        <w:rPr>
          <w:sz w:val="24"/>
          <w:szCs w:val="24"/>
        </w:rPr>
        <w:t xml:space="preserve">cu înălțimea </w:t>
      </w:r>
      <w:r>
        <w:rPr>
          <w:b/>
          <w:sz w:val="24"/>
          <w:szCs w:val="24"/>
        </w:rPr>
        <w:t xml:space="preserve">h, </w:t>
      </w:r>
      <w:r>
        <w:rPr>
          <w:rFonts w:hint="eastAsia"/>
          <w:b/>
          <w:bCs/>
          <w:sz w:val="24"/>
          <w:szCs w:val="24"/>
        </w:rPr>
        <w:t>75m</w:t>
      </w:r>
      <w:r>
        <w:rPr>
          <w:rFonts w:hint="eastAsia"/>
          <w:b/>
          <w:bCs/>
          <w:sz w:val="24"/>
          <w:szCs w:val="24"/>
        </w:rPr>
        <w:t>≤</w:t>
      </w:r>
      <w:r>
        <w:rPr>
          <w:rFonts w:hint="eastAsia"/>
          <w:b/>
          <w:bCs/>
          <w:sz w:val="24"/>
          <w:szCs w:val="24"/>
        </w:rPr>
        <w:t>h&lt; 125</w:t>
      </w:r>
      <w:r>
        <w:rPr>
          <w:b/>
          <w:bCs/>
          <w:sz w:val="24"/>
          <w:szCs w:val="24"/>
        </w:rPr>
        <w:t xml:space="preserve"> </w:t>
      </w:r>
      <w:r>
        <w:rPr>
          <w:rFonts w:hint="eastAsia"/>
          <w:b/>
          <w:bCs/>
          <w:sz w:val="24"/>
          <w:szCs w:val="24"/>
        </w:rPr>
        <w:t xml:space="preserve">m </w:t>
      </w:r>
      <w:r>
        <w:rPr>
          <w:sz w:val="24"/>
          <w:szCs w:val="24"/>
        </w:rPr>
        <w:t xml:space="preserve">șinici o grupare prevăzută cu condițiile stipulate la </w:t>
      </w:r>
      <w:r>
        <w:rPr>
          <w:b/>
          <w:bCs/>
          <w:sz w:val="24"/>
          <w:szCs w:val="24"/>
        </w:rPr>
        <w:t>alin. (1) lit. b</w:t>
      </w:r>
      <w:r>
        <w:rPr>
          <w:sz w:val="24"/>
          <w:szCs w:val="24"/>
        </w:rPr>
        <w:t xml:space="preserve"> să nu depăsească</w:t>
      </w:r>
      <w:r>
        <w:rPr>
          <w:b/>
          <w:bCs/>
          <w:sz w:val="24"/>
          <w:szCs w:val="24"/>
        </w:rPr>
        <w:t xml:space="preserve"> 1.875  mp;</w:t>
      </w:r>
    </w:p>
    <w:p w14:paraId="7EE57EBB" w14:textId="77777777" w:rsidR="001C08A5" w:rsidRDefault="00000000">
      <w:pPr>
        <w:ind w:left="720" w:firstLine="720"/>
        <w:jc w:val="both"/>
        <w:rPr>
          <w:b/>
          <w:sz w:val="24"/>
          <w:szCs w:val="24"/>
        </w:rPr>
      </w:pPr>
      <w:r>
        <w:rPr>
          <w:sz w:val="24"/>
          <w:szCs w:val="24"/>
          <w:lang w:eastAsia="zh-CN"/>
        </w:rPr>
        <w:t xml:space="preserve">c) nelimitat, cu condiția ca aria construită a </w:t>
      </w:r>
      <w:r>
        <w:rPr>
          <w:sz w:val="24"/>
          <w:szCs w:val="24"/>
        </w:rPr>
        <w:t xml:space="preserve">grupărilor de încăperi </w:t>
      </w:r>
      <w:r>
        <w:rPr>
          <w:rFonts w:eastAsia="Times-Roman"/>
          <w:sz w:val="24"/>
          <w:szCs w:val="24"/>
        </w:rPr>
        <w:t>de birouri deschise</w:t>
      </w:r>
      <w:r>
        <w:rPr>
          <w:sz w:val="24"/>
          <w:szCs w:val="24"/>
          <w:lang w:eastAsia="zh-CN"/>
        </w:rPr>
        <w:t xml:space="preserve"> sa fie de maximum </w:t>
      </w:r>
      <w:r>
        <w:rPr>
          <w:b/>
          <w:bCs/>
          <w:sz w:val="24"/>
          <w:szCs w:val="24"/>
          <w:lang w:eastAsia="zh-CN"/>
        </w:rPr>
        <w:t>75%</w:t>
      </w:r>
      <w:r>
        <w:rPr>
          <w:sz w:val="24"/>
          <w:szCs w:val="24"/>
          <w:lang w:eastAsia="zh-CN"/>
        </w:rPr>
        <w:t xml:space="preserve"> din cea a ariei construite a nivelului respectiv pentru construcții administrative încadrate în nivelul </w:t>
      </w:r>
      <w:r>
        <w:rPr>
          <w:b/>
          <w:bCs/>
          <w:sz w:val="24"/>
          <w:szCs w:val="24"/>
          <w:lang w:eastAsia="zh-CN"/>
        </w:rPr>
        <w:t>I</w:t>
      </w:r>
      <w:r>
        <w:rPr>
          <w:sz w:val="24"/>
          <w:szCs w:val="24"/>
          <w:lang w:eastAsia="zh-CN"/>
        </w:rPr>
        <w:t xml:space="preserve"> de securitate la incendiu </w:t>
      </w:r>
      <w:r>
        <w:rPr>
          <w:sz w:val="24"/>
          <w:szCs w:val="24"/>
        </w:rPr>
        <w:t xml:space="preserve">cu înălțimea </w:t>
      </w:r>
      <w:r>
        <w:rPr>
          <w:b/>
          <w:bCs/>
          <w:sz w:val="24"/>
          <w:szCs w:val="24"/>
        </w:rPr>
        <w:t>h,</w:t>
      </w:r>
      <w:r>
        <w:rPr>
          <w:rFonts w:hint="eastAsia"/>
          <w:b/>
          <w:sz w:val="24"/>
          <w:szCs w:val="24"/>
        </w:rPr>
        <w:t>h</w:t>
      </w:r>
      <w:r>
        <w:rPr>
          <w:rFonts w:hint="eastAsia"/>
          <w:b/>
          <w:sz w:val="24"/>
          <w:szCs w:val="24"/>
        </w:rPr>
        <w:t>≥</w:t>
      </w:r>
      <w:r>
        <w:rPr>
          <w:rFonts w:hint="eastAsia"/>
          <w:b/>
          <w:sz w:val="24"/>
          <w:szCs w:val="24"/>
        </w:rPr>
        <w:t xml:space="preserve">125m </w:t>
      </w:r>
      <w:r>
        <w:rPr>
          <w:bCs/>
          <w:sz w:val="24"/>
          <w:szCs w:val="24"/>
        </w:rPr>
        <w:t>și</w:t>
      </w:r>
      <w:r>
        <w:rPr>
          <w:sz w:val="24"/>
          <w:szCs w:val="24"/>
        </w:rPr>
        <w:t xml:space="preserve">nici o grupare prevăzută cu condițiile stipulate la alin. </w:t>
      </w:r>
      <w:r>
        <w:rPr>
          <w:b/>
          <w:bCs/>
          <w:sz w:val="24"/>
          <w:szCs w:val="24"/>
        </w:rPr>
        <w:t>(1) lit. b</w:t>
      </w:r>
      <w:r>
        <w:rPr>
          <w:sz w:val="24"/>
          <w:szCs w:val="24"/>
        </w:rPr>
        <w:t xml:space="preserve"> să nu depăsească </w:t>
      </w:r>
      <w:r>
        <w:rPr>
          <w:b/>
          <w:bCs/>
          <w:sz w:val="24"/>
          <w:szCs w:val="24"/>
        </w:rPr>
        <w:t>1.250 mp.</w:t>
      </w:r>
    </w:p>
    <w:p w14:paraId="453BD2E1" w14:textId="77777777" w:rsidR="001C08A5" w:rsidRDefault="00000000">
      <w:pPr>
        <w:ind w:firstLine="720"/>
        <w:jc w:val="both"/>
        <w:rPr>
          <w:sz w:val="24"/>
          <w:szCs w:val="24"/>
        </w:rPr>
      </w:pPr>
      <w:r>
        <w:rPr>
          <w:b/>
          <w:sz w:val="24"/>
          <w:szCs w:val="24"/>
        </w:rPr>
        <w:t>(3)</w:t>
      </w:r>
      <w:r>
        <w:rPr>
          <w:bCs/>
          <w:sz w:val="24"/>
          <w:szCs w:val="24"/>
        </w:rPr>
        <w:t xml:space="preserve"> G</w:t>
      </w:r>
      <w:r>
        <w:rPr>
          <w:sz w:val="24"/>
          <w:szCs w:val="24"/>
        </w:rPr>
        <w:t xml:space="preserve">rupările de încăperi de birouri deschise tip open space prevăzute la alineatele precedente vor avea asigurate minimum două căi de evacuare, distincte şi independente, astfel dispuse şi alcătuite încât să poată fi uşor accesibile utilizatorilor </w:t>
      </w:r>
      <w:r>
        <w:rPr>
          <w:sz w:val="24"/>
          <w:szCs w:val="24"/>
          <w:lang w:eastAsia="zh-CN"/>
        </w:rPr>
        <w:t xml:space="preserve">pentru construcțiile administrative foarte înalte încadrate în nivelul </w:t>
      </w:r>
      <w:r>
        <w:rPr>
          <w:b/>
          <w:bCs/>
          <w:sz w:val="24"/>
          <w:szCs w:val="24"/>
          <w:lang w:eastAsia="zh-CN"/>
        </w:rPr>
        <w:t>I</w:t>
      </w:r>
      <w:r>
        <w:rPr>
          <w:sz w:val="24"/>
          <w:szCs w:val="24"/>
          <w:lang w:eastAsia="zh-CN"/>
        </w:rPr>
        <w:t xml:space="preserve"> de securitate la incendiu </w:t>
      </w:r>
      <w:r>
        <w:rPr>
          <w:sz w:val="24"/>
          <w:szCs w:val="24"/>
        </w:rPr>
        <w:t xml:space="preserve">cu funcțiune administrativă (birouri). Căile de evacuare a utilizatorilor vor respecta condiţiile de alcătuire prevăzute în normativ şi lungimile de evacuare normate. </w:t>
      </w:r>
    </w:p>
    <w:p w14:paraId="2315E0D3" w14:textId="77777777" w:rsidR="001C08A5" w:rsidRDefault="00000000">
      <w:pPr>
        <w:ind w:firstLine="720"/>
        <w:jc w:val="both"/>
        <w:rPr>
          <w:sz w:val="24"/>
          <w:szCs w:val="24"/>
        </w:rPr>
      </w:pPr>
      <w:r>
        <w:rPr>
          <w:b/>
          <w:bCs/>
          <w:sz w:val="24"/>
          <w:szCs w:val="24"/>
        </w:rPr>
        <w:t xml:space="preserve">(4) </w:t>
      </w:r>
      <w:r>
        <w:rPr>
          <w:bCs/>
          <w:sz w:val="24"/>
          <w:szCs w:val="24"/>
        </w:rPr>
        <w:t>G</w:t>
      </w:r>
      <w:r>
        <w:rPr>
          <w:sz w:val="24"/>
          <w:szCs w:val="24"/>
        </w:rPr>
        <w:t xml:space="preserve">rupările de încăperi de birouri deschise tip open space vor respecta și cerințele prevăzute la </w:t>
      </w:r>
      <w:r>
        <w:rPr>
          <w:b/>
          <w:sz w:val="24"/>
          <w:szCs w:val="24"/>
        </w:rPr>
        <w:t xml:space="preserve">Art. 2.4.3.2. </w:t>
      </w:r>
      <w:r>
        <w:rPr>
          <w:bCs/>
          <w:sz w:val="24"/>
          <w:szCs w:val="24"/>
        </w:rPr>
        <w:t>alin.</w:t>
      </w:r>
      <w:r>
        <w:rPr>
          <w:b/>
          <w:sz w:val="24"/>
          <w:szCs w:val="24"/>
        </w:rPr>
        <w:t xml:space="preserve"> (4) și </w:t>
      </w:r>
      <w:r>
        <w:rPr>
          <w:bCs/>
          <w:sz w:val="24"/>
          <w:szCs w:val="24"/>
        </w:rPr>
        <w:t>la</w:t>
      </w:r>
      <w:r>
        <w:rPr>
          <w:b/>
          <w:sz w:val="24"/>
          <w:szCs w:val="24"/>
        </w:rPr>
        <w:t xml:space="preserve"> Art. 2.5.14.1.</w:t>
      </w:r>
    </w:p>
    <w:p w14:paraId="195EC563" w14:textId="77777777" w:rsidR="001C08A5" w:rsidRDefault="001C08A5">
      <w:pPr>
        <w:jc w:val="both"/>
        <w:rPr>
          <w:b/>
          <w:sz w:val="24"/>
          <w:szCs w:val="24"/>
        </w:rPr>
      </w:pPr>
    </w:p>
    <w:p w14:paraId="63C72C6C" w14:textId="77777777" w:rsidR="001C08A5" w:rsidRDefault="00000000">
      <w:pPr>
        <w:ind w:firstLine="720"/>
        <w:jc w:val="both"/>
        <w:rPr>
          <w:sz w:val="24"/>
          <w:szCs w:val="24"/>
        </w:rPr>
      </w:pPr>
      <w:r>
        <w:rPr>
          <w:b/>
          <w:sz w:val="24"/>
          <w:szCs w:val="24"/>
        </w:rPr>
        <w:t xml:space="preserve">Art. 4.2.3.5. (1)  </w:t>
      </w:r>
      <w:r>
        <w:rPr>
          <w:sz w:val="24"/>
          <w:szCs w:val="24"/>
        </w:rPr>
        <w:t xml:space="preserve">Spaţiile de vânzare cu densitatea sarcinii termice </w:t>
      </w:r>
      <w:r>
        <w:rPr>
          <w:b/>
          <w:bCs/>
          <w:sz w:val="24"/>
          <w:szCs w:val="24"/>
        </w:rPr>
        <w:t>q</w:t>
      </w:r>
      <w:r>
        <w:rPr>
          <w:sz w:val="24"/>
          <w:szCs w:val="24"/>
        </w:rPr>
        <w:t xml:space="preserve"> mai mică de</w:t>
      </w:r>
      <w:r>
        <w:rPr>
          <w:b/>
          <w:sz w:val="24"/>
          <w:szCs w:val="24"/>
          <w:lang w:eastAsia="ro-RO"/>
        </w:rPr>
        <w:t xml:space="preserve"> 840 MJ/m</w:t>
      </w:r>
      <w:r>
        <w:rPr>
          <w:b/>
          <w:sz w:val="24"/>
          <w:szCs w:val="24"/>
          <w:vertAlign w:val="superscript"/>
          <w:lang w:eastAsia="ro-RO"/>
        </w:rPr>
        <w:t>2</w:t>
      </w:r>
      <w:r>
        <w:rPr>
          <w:sz w:val="24"/>
          <w:szCs w:val="24"/>
        </w:rPr>
        <w:t xml:space="preserve"> se separă de încăperile anexă care nu sunt accesibile cumpărătorilor (anexe sociale sau funcţionale, birouri etc.), prin pereţi rezistenţi la foc minimum </w:t>
      </w:r>
      <w:r>
        <w:rPr>
          <w:b/>
          <w:sz w:val="24"/>
          <w:szCs w:val="24"/>
        </w:rPr>
        <w:t>EI/REI 120</w:t>
      </w:r>
      <w:r>
        <w:rPr>
          <w:sz w:val="24"/>
          <w:szCs w:val="24"/>
        </w:rPr>
        <w:t xml:space="preserve"> şi, după caz, cu planşee rezistente la foc </w:t>
      </w:r>
      <w:r>
        <w:rPr>
          <w:b/>
          <w:sz w:val="24"/>
          <w:szCs w:val="24"/>
        </w:rPr>
        <w:t>REI 120</w:t>
      </w:r>
      <w:r>
        <w:rPr>
          <w:sz w:val="24"/>
          <w:szCs w:val="24"/>
        </w:rPr>
        <w:t xml:space="preserve">, iar golurile de circulaţie funcţională şi de evacuare din aceşti pereţi se protejază cu elemente de închidere rezistente la foc și etanșe la fum minimum </w:t>
      </w:r>
      <w:r>
        <w:rPr>
          <w:b/>
          <w:bCs/>
          <w:sz w:val="24"/>
          <w:szCs w:val="24"/>
        </w:rPr>
        <w:t>EI</w:t>
      </w:r>
      <w:r>
        <w:rPr>
          <w:b/>
          <w:bCs/>
          <w:sz w:val="24"/>
          <w:szCs w:val="24"/>
          <w:vertAlign w:val="subscript"/>
        </w:rPr>
        <w:t>2</w:t>
      </w:r>
      <w:r>
        <w:rPr>
          <w:b/>
          <w:bCs/>
          <w:sz w:val="24"/>
          <w:szCs w:val="24"/>
        </w:rPr>
        <w:t>60-C5S</w:t>
      </w:r>
      <w:r>
        <w:rPr>
          <w:b/>
          <w:bCs/>
          <w:sz w:val="24"/>
          <w:szCs w:val="24"/>
          <w:vertAlign w:val="subscript"/>
        </w:rPr>
        <w:t>200</w:t>
      </w:r>
      <w:r>
        <w:rPr>
          <w:sz w:val="24"/>
          <w:szCs w:val="24"/>
        </w:rPr>
        <w:t>. Încăperile anexă care nu sunt accesibile cumpărătorilor precum și spațiile de vanzare, se separă în același fel între ele. Nu este admisă constituirea de grupări de spații deschise tip open space formate din grupări de spații cu risc mare, mijlociu sau mic de incendiu cu funcțiune comercială în clădiri foarte înalte.</w:t>
      </w:r>
    </w:p>
    <w:p w14:paraId="6B0013AF" w14:textId="77777777" w:rsidR="001C08A5" w:rsidRDefault="00000000">
      <w:pPr>
        <w:ind w:firstLine="720"/>
        <w:jc w:val="both"/>
        <w:rPr>
          <w:bCs/>
          <w:sz w:val="24"/>
          <w:szCs w:val="24"/>
          <w:lang w:eastAsia="ro-RO"/>
        </w:rPr>
      </w:pPr>
      <w:r>
        <w:rPr>
          <w:b/>
          <w:sz w:val="24"/>
          <w:szCs w:val="24"/>
        </w:rPr>
        <w:t xml:space="preserve">(2) </w:t>
      </w:r>
      <w:r>
        <w:rPr>
          <w:sz w:val="24"/>
          <w:szCs w:val="24"/>
        </w:rPr>
        <w:t xml:space="preserve">Spaţiile de vânzare cu densitatea sarcinii termice </w:t>
      </w:r>
      <w:r>
        <w:rPr>
          <w:b/>
          <w:bCs/>
          <w:sz w:val="24"/>
          <w:szCs w:val="24"/>
        </w:rPr>
        <w:t xml:space="preserve">q </w:t>
      </w:r>
      <w:r>
        <w:rPr>
          <w:sz w:val="24"/>
          <w:szCs w:val="24"/>
        </w:rPr>
        <w:t xml:space="preserve">mai mare sau egala de </w:t>
      </w:r>
      <w:r>
        <w:rPr>
          <w:b/>
          <w:sz w:val="24"/>
          <w:szCs w:val="24"/>
          <w:lang w:eastAsia="ro-RO"/>
        </w:rPr>
        <w:t>840 MJ/m</w:t>
      </w:r>
      <w:r>
        <w:rPr>
          <w:b/>
          <w:sz w:val="24"/>
          <w:szCs w:val="24"/>
          <w:vertAlign w:val="superscript"/>
          <w:lang w:eastAsia="ro-RO"/>
        </w:rPr>
        <w:t>2</w:t>
      </w:r>
      <w:r>
        <w:rPr>
          <w:bCs/>
          <w:sz w:val="24"/>
          <w:szCs w:val="24"/>
          <w:lang w:eastAsia="ro-RO"/>
        </w:rPr>
        <w:t xml:space="preserve"> (cu risc mare de incendiu) sunt admise doar dacă sunt îndeplinite condițiile din </w:t>
      </w:r>
      <w:r>
        <w:rPr>
          <w:b/>
          <w:bCs/>
          <w:i/>
          <w:iCs/>
          <w:sz w:val="24"/>
          <w:szCs w:val="24"/>
          <w:lang w:eastAsia="ro-RO"/>
        </w:rPr>
        <w:fldChar w:fldCharType="begin"/>
      </w:r>
      <w:r>
        <w:rPr>
          <w:b/>
          <w:bCs/>
          <w:i/>
          <w:iCs/>
          <w:sz w:val="24"/>
          <w:szCs w:val="24"/>
          <w:lang w:eastAsia="ro-RO"/>
        </w:rPr>
        <w:instrText xml:space="preserve"> REF _Ref13306 \h </w:instrText>
      </w:r>
      <w:r>
        <w:rPr>
          <w:b/>
          <w:bCs/>
          <w:i/>
          <w:iCs/>
          <w:sz w:val="24"/>
          <w:szCs w:val="24"/>
          <w:lang w:eastAsia="ro-RO"/>
        </w:rPr>
      </w:r>
      <w:r>
        <w:rPr>
          <w:b/>
          <w:bCs/>
          <w:i/>
          <w:iCs/>
          <w:sz w:val="24"/>
          <w:szCs w:val="24"/>
          <w:lang w:eastAsia="ro-RO"/>
        </w:rPr>
        <w:fldChar w:fldCharType="separate"/>
      </w:r>
      <w:r>
        <w:t>Tabelul 94</w:t>
      </w:r>
      <w:r>
        <w:rPr>
          <w:b/>
          <w:bCs/>
          <w:i/>
          <w:iCs/>
          <w:sz w:val="24"/>
          <w:szCs w:val="24"/>
          <w:lang w:eastAsia="ro-RO"/>
        </w:rPr>
        <w:fldChar w:fldCharType="end"/>
      </w:r>
      <w:r>
        <w:rPr>
          <w:rStyle w:val="BodyTextChar"/>
          <w:lang w:val="en-US" w:eastAsia="ro-RO"/>
        </w:rPr>
        <w:t xml:space="preserve"> </w:t>
      </w:r>
      <w:r>
        <w:rPr>
          <w:bCs/>
          <w:sz w:val="24"/>
          <w:szCs w:val="24"/>
          <w:lang w:eastAsia="ro-RO"/>
        </w:rPr>
        <w:t xml:space="preserve">(de delimitare cu pereți, planșee și uși sau încăperi tampon </w:t>
      </w:r>
      <w:r>
        <w:rPr>
          <w:sz w:val="24"/>
          <w:szCs w:val="24"/>
        </w:rPr>
        <w:t>ventilate în suprapresiune</w:t>
      </w:r>
      <w:r>
        <w:rPr>
          <w:bCs/>
          <w:sz w:val="24"/>
          <w:szCs w:val="24"/>
          <w:lang w:eastAsia="ro-RO"/>
        </w:rPr>
        <w:t xml:space="preserve">, neadmițându-se excepții). </w:t>
      </w:r>
      <w:r>
        <w:rPr>
          <w:sz w:val="24"/>
          <w:szCs w:val="24"/>
        </w:rPr>
        <w:t xml:space="preserve">Spaţiile de vânzare cu densitatea sarcinii termice peste </w:t>
      </w:r>
      <w:r>
        <w:rPr>
          <w:b/>
          <w:sz w:val="24"/>
          <w:szCs w:val="24"/>
          <w:lang w:eastAsia="ro-RO"/>
        </w:rPr>
        <w:t>1680 MJ/m</w:t>
      </w:r>
      <w:r>
        <w:rPr>
          <w:b/>
          <w:sz w:val="24"/>
          <w:szCs w:val="24"/>
          <w:vertAlign w:val="superscript"/>
          <w:lang w:eastAsia="ro-RO"/>
        </w:rPr>
        <w:t xml:space="preserve">2 </w:t>
      </w:r>
      <w:r>
        <w:rPr>
          <w:bCs/>
          <w:sz w:val="24"/>
          <w:szCs w:val="24"/>
          <w:lang w:eastAsia="ro-RO"/>
        </w:rPr>
        <w:t>nu sunt admise.</w:t>
      </w:r>
    </w:p>
    <w:p w14:paraId="7D00025A" w14:textId="77777777" w:rsidR="001C08A5" w:rsidRDefault="00000000">
      <w:pPr>
        <w:ind w:firstLine="720"/>
        <w:jc w:val="both"/>
        <w:rPr>
          <w:rFonts w:eastAsia="Arial"/>
          <w:bCs/>
          <w:sz w:val="24"/>
          <w:szCs w:val="24"/>
        </w:rPr>
      </w:pPr>
      <w:r>
        <w:rPr>
          <w:b/>
          <w:sz w:val="24"/>
          <w:szCs w:val="24"/>
        </w:rPr>
        <w:t xml:space="preserve">(3) </w:t>
      </w:r>
      <w:r>
        <w:rPr>
          <w:sz w:val="24"/>
          <w:szCs w:val="24"/>
        </w:rPr>
        <w:t xml:space="preserve">La spaţiile de vânzare cu densitatea sarcinii termice </w:t>
      </w:r>
      <w:r>
        <w:rPr>
          <w:b/>
          <w:bCs/>
          <w:sz w:val="24"/>
          <w:szCs w:val="24"/>
        </w:rPr>
        <w:t>q</w:t>
      </w:r>
      <w:r>
        <w:rPr>
          <w:sz w:val="24"/>
          <w:szCs w:val="24"/>
        </w:rPr>
        <w:t xml:space="preserve"> mai mică de</w:t>
      </w:r>
      <w:r>
        <w:rPr>
          <w:b/>
          <w:sz w:val="24"/>
          <w:szCs w:val="24"/>
          <w:lang w:eastAsia="ro-RO"/>
        </w:rPr>
        <w:t xml:space="preserve"> 840 MJ/m</w:t>
      </w:r>
      <w:r>
        <w:rPr>
          <w:b/>
          <w:sz w:val="24"/>
          <w:szCs w:val="24"/>
          <w:vertAlign w:val="superscript"/>
          <w:lang w:eastAsia="ro-RO"/>
        </w:rPr>
        <w:t xml:space="preserve">2 </w:t>
      </w:r>
      <w:r>
        <w:rPr>
          <w:sz w:val="24"/>
          <w:szCs w:val="24"/>
        </w:rPr>
        <w:t>din clădiri foarte înalte</w:t>
      </w:r>
      <w:r>
        <w:rPr>
          <w:bCs/>
          <w:sz w:val="24"/>
          <w:szCs w:val="24"/>
        </w:rPr>
        <w:t xml:space="preserve">se admite înlocuirea pereţilor rezistenţi la foc dintre </w:t>
      </w:r>
      <w:r>
        <w:rPr>
          <w:sz w:val="24"/>
          <w:szCs w:val="24"/>
        </w:rPr>
        <w:t xml:space="preserve">spaţiile de vânzare către circulații comune orizontale (coridoare și holuri) prevăzute cu sisteme mecanice independente de evacuare a fumului și a gazelor fierbinți, </w:t>
      </w:r>
      <w:r>
        <w:rPr>
          <w:bCs/>
          <w:sz w:val="24"/>
          <w:szCs w:val="24"/>
        </w:rPr>
        <w:t xml:space="preserve"> cu ecrane continui </w:t>
      </w:r>
      <w:r>
        <w:rPr>
          <w:b/>
          <w:sz w:val="24"/>
          <w:szCs w:val="24"/>
        </w:rPr>
        <w:t>DH 120</w:t>
      </w:r>
      <w:r>
        <w:rPr>
          <w:bCs/>
          <w:sz w:val="24"/>
          <w:szCs w:val="24"/>
        </w:rPr>
        <w:t xml:space="preserve">, </w:t>
      </w:r>
      <w:r>
        <w:rPr>
          <w:sz w:val="24"/>
          <w:szCs w:val="24"/>
        </w:rPr>
        <w:t>amplasate la marginea elementelor de rezistenţă către circulații comune orizontale,</w:t>
      </w:r>
      <w:r>
        <w:rPr>
          <w:bCs/>
          <w:sz w:val="24"/>
          <w:szCs w:val="24"/>
        </w:rPr>
        <w:t xml:space="preserve"> având înălţimea egală cu aceea a rezervorului de fum, dar minimum </w:t>
      </w:r>
      <w:r>
        <w:rPr>
          <w:b/>
          <w:bCs/>
          <w:sz w:val="24"/>
          <w:szCs w:val="24"/>
        </w:rPr>
        <w:t>1</w:t>
      </w:r>
      <w:r>
        <w:rPr>
          <w:bCs/>
          <w:sz w:val="24"/>
          <w:szCs w:val="24"/>
        </w:rPr>
        <w:t xml:space="preserve"> m (</w:t>
      </w:r>
      <w:r>
        <w:rPr>
          <w:sz w:val="24"/>
          <w:szCs w:val="24"/>
        </w:rPr>
        <w:t xml:space="preserve">fumul din </w:t>
      </w:r>
      <w:r>
        <w:rPr>
          <w:rFonts w:eastAsia="Arial"/>
          <w:bCs/>
          <w:sz w:val="24"/>
          <w:szCs w:val="24"/>
        </w:rPr>
        <w:t>rezervorului de fum trebuie</w:t>
      </w:r>
      <w:r>
        <w:rPr>
          <w:sz w:val="24"/>
          <w:szCs w:val="24"/>
        </w:rPr>
        <w:t xml:space="preserve"> să nu se extindă la zonele de fum învecinate din circulații</w:t>
      </w:r>
      <w:r>
        <w:rPr>
          <w:bCs/>
          <w:sz w:val="24"/>
          <w:szCs w:val="24"/>
        </w:rPr>
        <w:t>).</w:t>
      </w:r>
    </w:p>
    <w:p w14:paraId="0467388D" w14:textId="77777777" w:rsidR="001C08A5" w:rsidRDefault="00000000">
      <w:pPr>
        <w:ind w:firstLine="567"/>
        <w:jc w:val="both"/>
        <w:rPr>
          <w:sz w:val="24"/>
          <w:szCs w:val="24"/>
        </w:rPr>
      </w:pPr>
      <w:r>
        <w:rPr>
          <w:b/>
          <w:sz w:val="24"/>
          <w:szCs w:val="24"/>
        </w:rPr>
        <w:t xml:space="preserve">(4) </w:t>
      </w:r>
      <w:r>
        <w:rPr>
          <w:bCs/>
          <w:sz w:val="24"/>
          <w:szCs w:val="24"/>
        </w:rPr>
        <w:t xml:space="preserve">Pereţii rezistenţi la foc dintre </w:t>
      </w:r>
      <w:r>
        <w:rPr>
          <w:sz w:val="24"/>
          <w:szCs w:val="24"/>
        </w:rPr>
        <w:t xml:space="preserve">spaţiile de vânzare cu risc mare de incendiu și circulațiile comune verticale de evacuare (coridoare și holuri) din construcţiile civile foarte înalte trebuie să respecte </w:t>
      </w:r>
      <w:r>
        <w:rPr>
          <w:b/>
          <w:bCs/>
          <w:i/>
          <w:iCs/>
          <w:sz w:val="24"/>
          <w:szCs w:val="24"/>
        </w:rPr>
        <w:fldChar w:fldCharType="begin"/>
      </w:r>
      <w:r>
        <w:rPr>
          <w:b/>
          <w:bCs/>
          <w:i/>
          <w:iCs/>
          <w:sz w:val="24"/>
          <w:szCs w:val="24"/>
        </w:rPr>
        <w:instrText xml:space="preserve"> REF _Ref15178 \h </w:instrText>
      </w:r>
      <w:r>
        <w:rPr>
          <w:b/>
          <w:bCs/>
          <w:i/>
          <w:iCs/>
          <w:sz w:val="24"/>
          <w:szCs w:val="24"/>
        </w:rPr>
      </w:r>
      <w:r>
        <w:rPr>
          <w:b/>
          <w:bCs/>
          <w:i/>
          <w:iCs/>
          <w:sz w:val="24"/>
          <w:szCs w:val="24"/>
        </w:rPr>
        <w:fldChar w:fldCharType="separate"/>
      </w:r>
      <w:r>
        <w:t>Tabelul 96</w:t>
      </w:r>
      <w:r>
        <w:rPr>
          <w:b/>
          <w:bCs/>
          <w:i/>
          <w:iCs/>
          <w:sz w:val="24"/>
          <w:szCs w:val="24"/>
        </w:rPr>
        <w:fldChar w:fldCharType="end"/>
      </w:r>
      <w:r>
        <w:rPr>
          <w:b/>
          <w:bCs/>
          <w:sz w:val="24"/>
          <w:szCs w:val="24"/>
        </w:rPr>
        <w:t>,</w:t>
      </w:r>
      <w:r>
        <w:rPr>
          <w:sz w:val="24"/>
          <w:szCs w:val="24"/>
        </w:rPr>
        <w:t xml:space="preserve"> dar minimum </w:t>
      </w:r>
      <w:r>
        <w:rPr>
          <w:b/>
          <w:sz w:val="24"/>
          <w:szCs w:val="24"/>
        </w:rPr>
        <w:t>EI/REI 180</w:t>
      </w:r>
      <w:r>
        <w:rPr>
          <w:sz w:val="24"/>
          <w:szCs w:val="24"/>
        </w:rPr>
        <w:t xml:space="preserve"> şi, după caz, cu planşee rezistente la foc minimum </w:t>
      </w:r>
      <w:r>
        <w:rPr>
          <w:b/>
          <w:sz w:val="24"/>
          <w:szCs w:val="24"/>
        </w:rPr>
        <w:t>REI 120</w:t>
      </w:r>
      <w:r>
        <w:rPr>
          <w:sz w:val="24"/>
          <w:szCs w:val="24"/>
        </w:rPr>
        <w:t xml:space="preserve">, iar golurile de circulaţie funcţională şi de evacuare din aceşti pereţi se protejază cu elemente de închidere rezistente la foc minimum </w:t>
      </w:r>
      <w:r>
        <w:rPr>
          <w:b/>
          <w:bCs/>
          <w:sz w:val="24"/>
          <w:szCs w:val="24"/>
        </w:rPr>
        <w:t>EI</w:t>
      </w:r>
      <w:r>
        <w:rPr>
          <w:b/>
          <w:bCs/>
          <w:sz w:val="24"/>
          <w:szCs w:val="24"/>
          <w:vertAlign w:val="subscript"/>
        </w:rPr>
        <w:t>2</w:t>
      </w:r>
      <w:r>
        <w:rPr>
          <w:b/>
          <w:bCs/>
          <w:sz w:val="24"/>
          <w:szCs w:val="24"/>
        </w:rPr>
        <w:t>90-C5S</w:t>
      </w:r>
      <w:r>
        <w:rPr>
          <w:b/>
          <w:bCs/>
          <w:sz w:val="24"/>
          <w:szCs w:val="24"/>
          <w:vertAlign w:val="subscript"/>
        </w:rPr>
        <w:t>m</w:t>
      </w:r>
      <w:r>
        <w:rPr>
          <w:sz w:val="24"/>
          <w:szCs w:val="24"/>
        </w:rPr>
        <w:t>.</w:t>
      </w:r>
    </w:p>
    <w:p w14:paraId="06F12476" w14:textId="77777777" w:rsidR="001C08A5" w:rsidRDefault="001C08A5">
      <w:pPr>
        <w:ind w:firstLine="720"/>
        <w:jc w:val="both"/>
        <w:rPr>
          <w:sz w:val="24"/>
          <w:szCs w:val="24"/>
        </w:rPr>
      </w:pPr>
    </w:p>
    <w:p w14:paraId="6C106EEC" w14:textId="77777777" w:rsidR="001C08A5" w:rsidRDefault="00000000">
      <w:pPr>
        <w:tabs>
          <w:tab w:val="left" w:pos="1843"/>
          <w:tab w:val="left" w:pos="6663"/>
        </w:tabs>
        <w:ind w:firstLine="720"/>
        <w:jc w:val="both"/>
        <w:rPr>
          <w:sz w:val="24"/>
          <w:szCs w:val="24"/>
        </w:rPr>
      </w:pPr>
      <w:r>
        <w:rPr>
          <w:b/>
          <w:sz w:val="24"/>
          <w:szCs w:val="24"/>
        </w:rPr>
        <w:t xml:space="preserve">Art. 4.2.3.6. </w:t>
      </w:r>
      <w:r>
        <w:rPr>
          <w:b/>
          <w:bCs/>
          <w:sz w:val="24"/>
          <w:szCs w:val="24"/>
        </w:rPr>
        <w:t>(1)</w:t>
      </w:r>
      <w:r>
        <w:rPr>
          <w:sz w:val="24"/>
          <w:szCs w:val="24"/>
        </w:rPr>
        <w:t xml:space="preserve"> La s</w:t>
      </w:r>
      <w:r>
        <w:rPr>
          <w:rFonts w:eastAsia="Times-Roman"/>
          <w:sz w:val="24"/>
          <w:szCs w:val="24"/>
        </w:rPr>
        <w:t>epararea grupărilor de încăperi deschise</w:t>
      </w:r>
      <w:r>
        <w:rPr>
          <w:sz w:val="24"/>
          <w:szCs w:val="24"/>
        </w:rPr>
        <w:t xml:space="preserve"> tip open space </w:t>
      </w:r>
      <w:r>
        <w:rPr>
          <w:sz w:val="24"/>
          <w:szCs w:val="24"/>
          <w:shd w:val="clear" w:color="auto" w:fill="FFFFFF"/>
          <w:lang w:eastAsia="zh-CN"/>
        </w:rPr>
        <w:t xml:space="preserve">care nu sunt </w:t>
      </w:r>
      <w:r>
        <w:rPr>
          <w:sz w:val="24"/>
          <w:szCs w:val="24"/>
        </w:rPr>
        <w:t>utilizate de persoane care nu se pot evacua singure (definite conform terminologie) (cu excepția s</w:t>
      </w:r>
      <w:r>
        <w:rPr>
          <w:sz w:val="24"/>
          <w:szCs w:val="24"/>
          <w:shd w:val="clear" w:color="auto" w:fill="FFFFFF"/>
          <w:lang w:eastAsia="zh-CN"/>
        </w:rPr>
        <w:t xml:space="preserve">pațiiloradministrative precum și vestiarele personalului grupate cu toaletele incluse în funcțiunea de sănătate) </w:t>
      </w:r>
      <w:r>
        <w:rPr>
          <w:rFonts w:eastAsia="Times-Roman"/>
          <w:sz w:val="24"/>
          <w:szCs w:val="24"/>
        </w:rPr>
        <w:t>faţă de alte încăperi</w:t>
      </w:r>
      <w:r>
        <w:rPr>
          <w:sz w:val="24"/>
          <w:szCs w:val="24"/>
        </w:rPr>
        <w:t xml:space="preserve"> cu suprafaţa maximă normată, cu risc mic de incendiu și aceeași destinație (proprie sau complementara / spații și circulații funcționale delimitate cu parapete, panouri sau pereţii interiori despărţitori funcţional  clasa de reacţie la foc </w:t>
      </w:r>
      <w:r>
        <w:rPr>
          <w:b/>
          <w:bCs/>
          <w:sz w:val="24"/>
          <w:szCs w:val="24"/>
        </w:rPr>
        <w:t>A1, A2-s1,d0</w:t>
      </w:r>
      <w:r>
        <w:rPr>
          <w:sz w:val="24"/>
          <w:szCs w:val="24"/>
        </w:rPr>
        <w:t xml:space="preserve">), se prevăd minimum pereţi despărţitori de sectorizare cu rol de limitare a propagării focului față de spațiile adiacente (cu excepția celor catre căile de evacuare care respecta prevederile specifice și a celor catre încăperi cu risc mai mare generat de densitatea sarcinii termice din încaperi adiacente), care trebuie să fie clasa de reacţie la foc </w:t>
      </w:r>
      <w:r>
        <w:rPr>
          <w:b/>
          <w:bCs/>
          <w:sz w:val="24"/>
          <w:szCs w:val="24"/>
        </w:rPr>
        <w:t>A1, A2-s1,d0,</w:t>
      </w:r>
      <w:r>
        <w:rPr>
          <w:sz w:val="24"/>
          <w:szCs w:val="24"/>
        </w:rPr>
        <w:t xml:space="preserve"> minimum:</w:t>
      </w:r>
    </w:p>
    <w:p w14:paraId="4D7C4C72" w14:textId="77777777" w:rsidR="001C08A5" w:rsidRDefault="00000000">
      <w:pPr>
        <w:pStyle w:val="BodyText"/>
        <w:numPr>
          <w:ilvl w:val="0"/>
          <w:numId w:val="86"/>
        </w:numPr>
        <w:tabs>
          <w:tab w:val="clear" w:pos="425"/>
        </w:tabs>
        <w:ind w:left="1554" w:firstLine="0"/>
        <w:rPr>
          <w:b w:val="0"/>
          <w:bCs w:val="0"/>
          <w:i w:val="0"/>
          <w:iCs/>
        </w:rPr>
      </w:pPr>
      <w:r>
        <w:rPr>
          <w:i w:val="0"/>
          <w:iCs/>
        </w:rPr>
        <w:lastRenderedPageBreak/>
        <w:t xml:space="preserve">EI/REI 120 </w:t>
      </w:r>
      <w:r>
        <w:rPr>
          <w:b w:val="0"/>
          <w:bCs w:val="0"/>
          <w:i w:val="0"/>
          <w:iCs/>
        </w:rPr>
        <w:t>prevăzuți cu uși rezistente la foc și etanșe la fum</w:t>
      </w:r>
      <w:r>
        <w:rPr>
          <w:i w:val="0"/>
          <w:iCs/>
        </w:rPr>
        <w:t xml:space="preserve"> EI</w:t>
      </w:r>
      <w:r>
        <w:rPr>
          <w:i w:val="0"/>
          <w:iCs/>
          <w:vertAlign w:val="subscript"/>
        </w:rPr>
        <w:t>2</w:t>
      </w:r>
      <w:r>
        <w:rPr>
          <w:i w:val="0"/>
          <w:iCs/>
        </w:rPr>
        <w:t xml:space="preserve"> 60-C5S</w:t>
      </w:r>
      <w:r>
        <w:rPr>
          <w:i w:val="0"/>
          <w:iCs/>
          <w:vertAlign w:val="subscript"/>
        </w:rPr>
        <w:t xml:space="preserve">200 </w:t>
      </w:r>
      <w:r>
        <w:rPr>
          <w:b w:val="0"/>
          <w:i w:val="0"/>
          <w:iCs/>
        </w:rPr>
        <w:t xml:space="preserve">în construcţiile civile supraterane foarte înalte cu nivelul de stabilitate la incendiu </w:t>
      </w:r>
      <w:r>
        <w:rPr>
          <w:i w:val="0"/>
          <w:iCs/>
        </w:rPr>
        <w:t xml:space="preserve">I </w:t>
      </w:r>
      <w:r>
        <w:rPr>
          <w:b w:val="0"/>
          <w:bCs w:val="0"/>
          <w:i w:val="0"/>
          <w:iCs/>
        </w:rPr>
        <w:t>cu înălțimea</w:t>
      </w:r>
      <w:r>
        <w:rPr>
          <w:i w:val="0"/>
          <w:iCs/>
        </w:rPr>
        <w:t xml:space="preserve"> h, h &lt; 75m </w:t>
      </w:r>
      <w:r>
        <w:rPr>
          <w:b w:val="0"/>
          <w:i w:val="0"/>
          <w:iCs/>
        </w:rPr>
        <w:t>;</w:t>
      </w:r>
    </w:p>
    <w:p w14:paraId="348D7CDE" w14:textId="77777777" w:rsidR="001C08A5" w:rsidRDefault="00000000">
      <w:pPr>
        <w:pStyle w:val="BodyText"/>
        <w:numPr>
          <w:ilvl w:val="0"/>
          <w:numId w:val="86"/>
        </w:numPr>
        <w:tabs>
          <w:tab w:val="clear" w:pos="425"/>
        </w:tabs>
        <w:ind w:left="1554" w:firstLine="0"/>
        <w:rPr>
          <w:b w:val="0"/>
          <w:bCs w:val="0"/>
          <w:i w:val="0"/>
          <w:iCs/>
        </w:rPr>
      </w:pPr>
      <w:r>
        <w:rPr>
          <w:i w:val="0"/>
          <w:iCs/>
        </w:rPr>
        <w:t xml:space="preserve">EI/REI 180 </w:t>
      </w:r>
      <w:r>
        <w:rPr>
          <w:b w:val="0"/>
          <w:bCs w:val="0"/>
          <w:i w:val="0"/>
          <w:iCs/>
        </w:rPr>
        <w:t>prevăzuți cu uși rezistente la foc și etanșe la fum</w:t>
      </w:r>
      <w:r>
        <w:rPr>
          <w:i w:val="0"/>
          <w:iCs/>
        </w:rPr>
        <w:t xml:space="preserve"> EI</w:t>
      </w:r>
      <w:r>
        <w:rPr>
          <w:i w:val="0"/>
          <w:iCs/>
          <w:vertAlign w:val="subscript"/>
        </w:rPr>
        <w:t>2</w:t>
      </w:r>
      <w:r>
        <w:rPr>
          <w:i w:val="0"/>
          <w:iCs/>
        </w:rPr>
        <w:t xml:space="preserve"> 90-C5S</w:t>
      </w:r>
      <w:r>
        <w:rPr>
          <w:i w:val="0"/>
          <w:iCs/>
          <w:vertAlign w:val="subscript"/>
        </w:rPr>
        <w:t xml:space="preserve">200 </w:t>
      </w:r>
      <w:r>
        <w:rPr>
          <w:b w:val="0"/>
          <w:i w:val="0"/>
          <w:iCs/>
        </w:rPr>
        <w:t xml:space="preserve">în construcţiile civile supraterane foarte înalte cu nivelul de stabilitate la incendiu </w:t>
      </w:r>
      <w:r>
        <w:rPr>
          <w:i w:val="0"/>
          <w:iCs/>
        </w:rPr>
        <w:t xml:space="preserve">I </w:t>
      </w:r>
      <w:r>
        <w:rPr>
          <w:b w:val="0"/>
          <w:bCs w:val="0"/>
          <w:i w:val="0"/>
          <w:iCs/>
        </w:rPr>
        <w:t>cu înălțimea</w:t>
      </w:r>
      <w:r>
        <w:rPr>
          <w:i w:val="0"/>
          <w:iCs/>
        </w:rPr>
        <w:t xml:space="preserve"> h, h ≥ 75m </w:t>
      </w:r>
      <w:r>
        <w:rPr>
          <w:b w:val="0"/>
          <w:i w:val="0"/>
          <w:iCs/>
        </w:rPr>
        <w:t>;</w:t>
      </w:r>
    </w:p>
    <w:p w14:paraId="32FC271E" w14:textId="77777777" w:rsidR="001C08A5" w:rsidRDefault="00000000">
      <w:pPr>
        <w:ind w:firstLine="720"/>
        <w:jc w:val="both"/>
        <w:rPr>
          <w:sz w:val="24"/>
          <w:szCs w:val="24"/>
        </w:rPr>
      </w:pPr>
      <w:r>
        <w:rPr>
          <w:b/>
          <w:bCs/>
          <w:sz w:val="24"/>
          <w:szCs w:val="24"/>
        </w:rPr>
        <w:t xml:space="preserve">(2) </w:t>
      </w:r>
      <w:r>
        <w:rPr>
          <w:sz w:val="24"/>
          <w:szCs w:val="24"/>
        </w:rPr>
        <w:t xml:space="preserve">Grupările de încăperi cu risc mic de incendiu și aceeași destinație, incluzand și destinatii colaterale, inclusiv cele de comunicari functionale orizontale (precum vestiare + grupuri sanitare; birouri + sas acces) precum și cele specifice funcțiunii de sănătate (camera RMN + camera de comanda + sas acces; cameră computer tomograf + camera de comanda + sas acces, etc.) compartimentate între ele cu panouri opace sau vitrate, fixe sau mobile folosite ca separări funcționale și/sau izolante fonic sau pereţi interiori despărţitori funcţionali se admit în limita următoarelor arii construite în cadrul </w:t>
      </w:r>
      <w:r>
        <w:rPr>
          <w:sz w:val="24"/>
          <w:szCs w:val="24"/>
          <w:lang w:eastAsia="zh-CN"/>
        </w:rPr>
        <w:t>construcțiilor de sănătate</w:t>
      </w:r>
      <w:r>
        <w:rPr>
          <w:sz w:val="24"/>
          <w:szCs w:val="24"/>
        </w:rPr>
        <w:t xml:space="preserve"> foarte înalte:</w:t>
      </w:r>
    </w:p>
    <w:p w14:paraId="0E7574E8" w14:textId="77777777" w:rsidR="001C08A5" w:rsidRDefault="00000000">
      <w:pPr>
        <w:pStyle w:val="BodyText"/>
        <w:ind w:left="720" w:firstLine="720"/>
        <w:rPr>
          <w:b w:val="0"/>
          <w:bCs w:val="0"/>
          <w:i w:val="0"/>
          <w:lang w:eastAsia="zh-CN"/>
        </w:rPr>
      </w:pPr>
      <w:r>
        <w:rPr>
          <w:b w:val="0"/>
          <w:bCs w:val="0"/>
          <w:i w:val="0"/>
          <w:lang w:eastAsia="zh-CN"/>
        </w:rPr>
        <w:t xml:space="preserve">- maximum </w:t>
      </w:r>
      <w:r>
        <w:rPr>
          <w:i w:val="0"/>
          <w:lang w:eastAsia="zh-CN"/>
        </w:rPr>
        <w:t>400 m</w:t>
      </w:r>
      <w:r>
        <w:rPr>
          <w:i w:val="0"/>
          <w:vertAlign w:val="superscript"/>
          <w:lang w:eastAsia="zh-CN"/>
        </w:rPr>
        <w:t>2</w:t>
      </w:r>
      <w:r>
        <w:rPr>
          <w:b w:val="0"/>
          <w:bCs w:val="0"/>
          <w:i w:val="0"/>
          <w:lang w:eastAsia="zh-CN"/>
        </w:rPr>
        <w:t xml:space="preserve">, cu condiția ca aria construită a încăperilor de tip </w:t>
      </w:r>
      <w:r>
        <w:rPr>
          <w:b w:val="0"/>
          <w:bCs w:val="0"/>
          <w:i w:val="0"/>
          <w:shd w:val="clear" w:color="auto" w:fill="FFFFFF"/>
          <w:lang w:eastAsia="zh-CN"/>
        </w:rPr>
        <w:t>open space</w:t>
      </w:r>
      <w:r>
        <w:rPr>
          <w:b w:val="0"/>
          <w:bCs w:val="0"/>
          <w:i w:val="0"/>
          <w:lang w:eastAsia="zh-CN"/>
        </w:rPr>
        <w:t xml:space="preserve"> să fie de maximum </w:t>
      </w:r>
      <w:r>
        <w:rPr>
          <w:i w:val="0"/>
          <w:lang w:eastAsia="zh-CN"/>
        </w:rPr>
        <w:t>50%</w:t>
      </w:r>
      <w:r>
        <w:rPr>
          <w:b w:val="0"/>
          <w:bCs w:val="0"/>
          <w:i w:val="0"/>
          <w:lang w:eastAsia="zh-CN"/>
        </w:rPr>
        <w:t xml:space="preserve"> din cea a ariei construite a nivelului clădirii/ compartimentului de incendiu respectiv, pentru construcții foarte înalte încadrate în nivelul </w:t>
      </w:r>
      <w:r>
        <w:rPr>
          <w:i w:val="0"/>
          <w:lang w:eastAsia="zh-CN"/>
        </w:rPr>
        <w:t>I</w:t>
      </w:r>
      <w:r>
        <w:rPr>
          <w:b w:val="0"/>
          <w:bCs w:val="0"/>
          <w:i w:val="0"/>
          <w:lang w:eastAsia="zh-CN"/>
        </w:rPr>
        <w:t xml:space="preserve"> de stabilitate la incendiu </w:t>
      </w:r>
      <w:r>
        <w:rPr>
          <w:b w:val="0"/>
          <w:bCs w:val="0"/>
          <w:i w:val="0"/>
          <w:iCs/>
        </w:rPr>
        <w:t>cu înălțimea</w:t>
      </w:r>
      <w:r>
        <w:rPr>
          <w:i w:val="0"/>
          <w:iCs/>
        </w:rPr>
        <w:t xml:space="preserve"> h, 45m ≤ h &lt; 75 m</w:t>
      </w:r>
      <w:r>
        <w:rPr>
          <w:b w:val="0"/>
          <w:bCs w:val="0"/>
          <w:i w:val="0"/>
          <w:iCs/>
          <w:lang w:eastAsia="zh-CN"/>
        </w:rPr>
        <w:t>;</w:t>
      </w:r>
    </w:p>
    <w:p w14:paraId="4B1294F0"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300 m</w:t>
      </w:r>
      <w:r>
        <w:rPr>
          <w:b/>
          <w:bCs/>
          <w:sz w:val="24"/>
          <w:szCs w:val="24"/>
          <w:vertAlign w:val="superscript"/>
          <w:lang w:eastAsia="zh-CN"/>
        </w:rPr>
        <w:t>2</w:t>
      </w:r>
      <w:r>
        <w:rPr>
          <w:sz w:val="24"/>
          <w:szCs w:val="24"/>
          <w:lang w:eastAsia="zh-CN"/>
        </w:rPr>
        <w:t xml:space="preserve">, cu condiția ca aria construită a încăperilor de tip </w:t>
      </w:r>
      <w:r>
        <w:rPr>
          <w:sz w:val="24"/>
          <w:szCs w:val="24"/>
          <w:shd w:val="clear" w:color="auto" w:fill="FFFFFF"/>
          <w:lang w:eastAsia="zh-CN"/>
        </w:rPr>
        <w:t>open space</w:t>
      </w:r>
      <w:r>
        <w:rPr>
          <w:sz w:val="24"/>
          <w:szCs w:val="24"/>
          <w:lang w:eastAsia="zh-CN"/>
        </w:rPr>
        <w:t xml:space="preserve"> să fie de maximum </w:t>
      </w:r>
      <w:r>
        <w:rPr>
          <w:b/>
          <w:bCs/>
          <w:sz w:val="24"/>
          <w:szCs w:val="24"/>
          <w:lang w:eastAsia="zh-CN"/>
        </w:rPr>
        <w:t>50%</w:t>
      </w:r>
      <w:r>
        <w:rPr>
          <w:sz w:val="24"/>
          <w:szCs w:val="24"/>
          <w:lang w:eastAsia="zh-CN"/>
        </w:rPr>
        <w:t xml:space="preserve"> din cea a ariei construite a nivelului clădirii/ compartimentului de incendiu respectiv pentru construcții de sănătate încadrate în nivelul </w:t>
      </w:r>
      <w:r>
        <w:rPr>
          <w:b/>
          <w:bCs/>
          <w:sz w:val="24"/>
          <w:szCs w:val="24"/>
          <w:lang w:eastAsia="zh-CN"/>
        </w:rPr>
        <w:t>I</w:t>
      </w:r>
      <w:r>
        <w:rPr>
          <w:sz w:val="24"/>
          <w:szCs w:val="24"/>
          <w:lang w:eastAsia="zh-CN"/>
        </w:rPr>
        <w:t xml:space="preserve"> de stabilitate la incendiu </w:t>
      </w:r>
      <w:r>
        <w:rPr>
          <w:sz w:val="24"/>
          <w:szCs w:val="24"/>
        </w:rPr>
        <w:t xml:space="preserve">cu înălțimea </w:t>
      </w:r>
      <w:r>
        <w:rPr>
          <w:b/>
          <w:sz w:val="24"/>
          <w:szCs w:val="24"/>
        </w:rPr>
        <w:t xml:space="preserve">h, </w:t>
      </w:r>
      <w:r>
        <w:rPr>
          <w:b/>
          <w:bCs/>
          <w:sz w:val="24"/>
          <w:szCs w:val="24"/>
        </w:rPr>
        <w:t>75m ≤ h &lt; 125 m</w:t>
      </w:r>
      <w:r>
        <w:rPr>
          <w:sz w:val="24"/>
          <w:szCs w:val="24"/>
          <w:lang w:eastAsia="zh-CN"/>
        </w:rPr>
        <w:t>;</w:t>
      </w:r>
    </w:p>
    <w:p w14:paraId="22E89EEB" w14:textId="77777777" w:rsidR="001C08A5" w:rsidRDefault="00000000">
      <w:pPr>
        <w:ind w:left="720" w:firstLine="720"/>
        <w:jc w:val="both"/>
        <w:rPr>
          <w:sz w:val="24"/>
          <w:szCs w:val="24"/>
          <w:lang w:eastAsia="zh-CN"/>
        </w:rPr>
      </w:pPr>
      <w:r>
        <w:rPr>
          <w:sz w:val="24"/>
          <w:szCs w:val="24"/>
          <w:lang w:eastAsia="zh-CN"/>
        </w:rPr>
        <w:t xml:space="preserve">- maximum </w:t>
      </w:r>
      <w:r>
        <w:rPr>
          <w:b/>
          <w:bCs/>
          <w:sz w:val="24"/>
          <w:szCs w:val="24"/>
          <w:lang w:eastAsia="zh-CN"/>
        </w:rPr>
        <w:t>200 m</w:t>
      </w:r>
      <w:r>
        <w:rPr>
          <w:b/>
          <w:bCs/>
          <w:sz w:val="24"/>
          <w:szCs w:val="24"/>
          <w:vertAlign w:val="superscript"/>
          <w:lang w:eastAsia="zh-CN"/>
        </w:rPr>
        <w:t>2</w:t>
      </w:r>
      <w:r>
        <w:rPr>
          <w:sz w:val="24"/>
          <w:szCs w:val="24"/>
          <w:lang w:eastAsia="zh-CN"/>
        </w:rPr>
        <w:t xml:space="preserve">, cu condiția ca aria construită a încăperilor de tip </w:t>
      </w:r>
      <w:r>
        <w:rPr>
          <w:sz w:val="24"/>
          <w:szCs w:val="24"/>
          <w:shd w:val="clear" w:color="auto" w:fill="FFFFFF"/>
          <w:lang w:eastAsia="zh-CN"/>
        </w:rPr>
        <w:t>open space</w:t>
      </w:r>
      <w:r>
        <w:rPr>
          <w:sz w:val="24"/>
          <w:szCs w:val="24"/>
          <w:lang w:eastAsia="zh-CN"/>
        </w:rPr>
        <w:t xml:space="preserve"> să fie de maximum </w:t>
      </w:r>
      <w:r>
        <w:rPr>
          <w:b/>
          <w:bCs/>
          <w:sz w:val="24"/>
          <w:szCs w:val="24"/>
          <w:lang w:eastAsia="zh-CN"/>
        </w:rPr>
        <w:t>50%</w:t>
      </w:r>
      <w:r>
        <w:rPr>
          <w:sz w:val="24"/>
          <w:szCs w:val="24"/>
          <w:lang w:eastAsia="zh-CN"/>
        </w:rPr>
        <w:t xml:space="preserve"> din cea a ariei construite a nivelului clădirii/ compartimentului de incendiu respectiv pentru construcții de sănătate încadrate în nivelul </w:t>
      </w:r>
      <w:r>
        <w:rPr>
          <w:b/>
          <w:bCs/>
          <w:sz w:val="24"/>
          <w:szCs w:val="24"/>
          <w:lang w:eastAsia="zh-CN"/>
        </w:rPr>
        <w:t>I</w:t>
      </w:r>
      <w:r>
        <w:rPr>
          <w:sz w:val="24"/>
          <w:szCs w:val="24"/>
          <w:lang w:eastAsia="zh-CN"/>
        </w:rPr>
        <w:t xml:space="preserve"> de stabilitate la incendiu </w:t>
      </w:r>
      <w:r>
        <w:rPr>
          <w:sz w:val="24"/>
          <w:szCs w:val="24"/>
        </w:rPr>
        <w:t>cu înălțimea</w:t>
      </w:r>
      <w:r>
        <w:rPr>
          <w:b/>
          <w:bCs/>
          <w:sz w:val="24"/>
          <w:szCs w:val="24"/>
        </w:rPr>
        <w:t xml:space="preserve">h, </w:t>
      </w:r>
      <w:r>
        <w:rPr>
          <w:b/>
          <w:sz w:val="24"/>
          <w:szCs w:val="24"/>
        </w:rPr>
        <w:t>h≥125 m</w:t>
      </w:r>
      <w:r>
        <w:rPr>
          <w:sz w:val="24"/>
          <w:szCs w:val="24"/>
          <w:lang w:eastAsia="zh-CN"/>
        </w:rPr>
        <w:t>.</w:t>
      </w:r>
    </w:p>
    <w:p w14:paraId="51256E25" w14:textId="77777777" w:rsidR="001C08A5" w:rsidRDefault="00000000">
      <w:pPr>
        <w:ind w:firstLine="720"/>
        <w:jc w:val="both"/>
        <w:rPr>
          <w:sz w:val="24"/>
          <w:szCs w:val="24"/>
          <w:shd w:val="clear" w:color="auto" w:fill="FFFFFF"/>
          <w:lang w:eastAsia="zh-CN"/>
        </w:rPr>
      </w:pPr>
      <w:r>
        <w:rPr>
          <w:b/>
          <w:bCs/>
          <w:sz w:val="24"/>
          <w:szCs w:val="24"/>
        </w:rPr>
        <w:t xml:space="preserve">(3) </w:t>
      </w:r>
      <w:r>
        <w:rPr>
          <w:sz w:val="24"/>
          <w:szCs w:val="24"/>
        </w:rPr>
        <w:t xml:space="preserve">Pereţi despărţitori prevăzuți între grupările de încăperi menţionate la </w:t>
      </w:r>
      <w:r>
        <w:rPr>
          <w:b/>
          <w:sz w:val="24"/>
          <w:szCs w:val="24"/>
        </w:rPr>
        <w:t>Alin.2</w:t>
      </w:r>
      <w:r>
        <w:rPr>
          <w:sz w:val="24"/>
          <w:szCs w:val="24"/>
        </w:rPr>
        <w:t xml:space="preserve"> precum și între acestea și alte spaţii ale clădirii (dispuși la limita față de circulațiile comune de evacuare - coridoare, degajamente protejate, incaperi tampon ventilate în suprapresiune, scări închise, etc. precum și față de spații cu risc diferit de incendiu - conform densităţilor sarcinilor termice (q) din spaţiile adiacente şi/sau densităţilor sarcinilor termice (q) cele mai mari din spaţiile pe care le despart și/ sau cele cu risc diferit de incendiu provenit din funcțiune), vor avea clasa de reacție la foc </w:t>
      </w:r>
      <w:r>
        <w:rPr>
          <w:b/>
          <w:bCs/>
          <w:sz w:val="24"/>
          <w:szCs w:val="24"/>
        </w:rPr>
        <w:t xml:space="preserve">A1 </w:t>
      </w:r>
      <w:r>
        <w:rPr>
          <w:sz w:val="24"/>
          <w:szCs w:val="24"/>
        </w:rPr>
        <w:t>sau</w:t>
      </w:r>
      <w:r>
        <w:rPr>
          <w:b/>
          <w:bCs/>
          <w:sz w:val="24"/>
          <w:szCs w:val="24"/>
        </w:rPr>
        <w:t xml:space="preserve"> A2s1d0</w:t>
      </w:r>
      <w:r>
        <w:rPr>
          <w:sz w:val="24"/>
          <w:szCs w:val="24"/>
        </w:rPr>
        <w:t xml:space="preserve"> și încadrarea privind rezistența la foc minimum  a </w:t>
      </w:r>
      <w:r>
        <w:rPr>
          <w:sz w:val="24"/>
          <w:szCs w:val="24"/>
          <w:shd w:val="clear" w:color="auto" w:fill="FFFFFF"/>
          <w:lang w:eastAsia="zh-CN"/>
        </w:rPr>
        <w:t xml:space="preserve">pereţilor </w:t>
      </w:r>
      <w:hyperlink r:id="rId200" w:history="1">
        <w:r>
          <w:rPr>
            <w:sz w:val="24"/>
            <w:szCs w:val="24"/>
            <w:shd w:val="clear" w:color="auto" w:fill="FFFFFF"/>
            <w:lang w:eastAsia="zh-CN"/>
          </w:rPr>
          <w:t>de</w:t>
        </w:r>
      </w:hyperlink>
      <w:r>
        <w:rPr>
          <w:sz w:val="24"/>
          <w:szCs w:val="24"/>
          <w:shd w:val="clear" w:color="auto" w:fill="FFFFFF"/>
          <w:lang w:eastAsia="zh-CN"/>
        </w:rPr>
        <w:t xml:space="preserve"> sectorizare cu rol de limitare a propagării focului (de protecție contra incendiilor care limitează propagarea în interiorul compartimentelor de incendiu </w:t>
      </w:r>
      <w:r>
        <w:rPr>
          <w:b/>
          <w:bCs/>
          <w:sz w:val="24"/>
          <w:szCs w:val="24"/>
          <w:shd w:val="clear" w:color="auto" w:fill="FFFFFF"/>
          <w:lang w:eastAsia="zh-CN"/>
        </w:rPr>
        <w:t>(REI/EI)</w:t>
      </w:r>
      <w:r>
        <w:rPr>
          <w:sz w:val="24"/>
          <w:szCs w:val="24"/>
          <w:shd w:val="clear" w:color="auto" w:fill="FFFFFF"/>
          <w:lang w:eastAsia="zh-CN"/>
        </w:rPr>
        <w:t xml:space="preserve">, conform încadrării construcţiei/ compartimentului de incendiu în nivelul de stabilitate la incendiu </w:t>
      </w:r>
      <w:r>
        <w:rPr>
          <w:b/>
          <w:bCs/>
          <w:sz w:val="24"/>
          <w:szCs w:val="24"/>
          <w:shd w:val="clear" w:color="auto" w:fill="FFFFFF"/>
          <w:lang w:eastAsia="zh-CN"/>
        </w:rPr>
        <w:t xml:space="preserve">I </w:t>
      </w:r>
      <w:r>
        <w:rPr>
          <w:sz w:val="24"/>
          <w:szCs w:val="24"/>
          <w:shd w:val="clear" w:color="auto" w:fill="FFFFFF"/>
          <w:lang w:eastAsia="zh-CN"/>
        </w:rPr>
        <w:t xml:space="preserve">precizate în </w:t>
      </w:r>
      <w:r>
        <w:rPr>
          <w:rStyle w:val="BodyTextChar"/>
          <w:iCs/>
          <w:lang w:eastAsia="zh-CN"/>
        </w:rPr>
        <w:fldChar w:fldCharType="begin"/>
      </w:r>
      <w:r>
        <w:rPr>
          <w:rStyle w:val="BodyTextChar"/>
          <w:iCs/>
          <w:lang w:eastAsia="zh-CN"/>
        </w:rPr>
        <w:instrText xml:space="preserve"> REF _Ref26473 \h </w:instrText>
      </w:r>
      <w:r>
        <w:rPr>
          <w:rStyle w:val="BodyTextChar"/>
          <w:iCs/>
          <w:lang w:eastAsia="zh-CN"/>
        </w:rPr>
      </w:r>
      <w:r>
        <w:rPr>
          <w:rStyle w:val="BodyTextChar"/>
          <w:iCs/>
          <w:lang w:eastAsia="zh-CN"/>
        </w:rPr>
        <w:fldChar w:fldCharType="separate"/>
      </w:r>
      <w:r>
        <w:t>Tabelul 2</w:t>
      </w:r>
      <w:r>
        <w:rPr>
          <w:rStyle w:val="BodyTextChar"/>
          <w:iCs/>
          <w:lang w:eastAsia="zh-CN"/>
        </w:rPr>
        <w:fldChar w:fldCharType="end"/>
      </w:r>
      <w:r>
        <w:rPr>
          <w:rStyle w:val="BodyTextChar"/>
        </w:rPr>
        <w:t xml:space="preserve"> nr. crt. 5 </w:t>
      </w:r>
      <w:r>
        <w:rPr>
          <w:sz w:val="24"/>
          <w:szCs w:val="24"/>
        </w:rPr>
        <w:t>(</w:t>
      </w:r>
      <w:r>
        <w:rPr>
          <w:sz w:val="24"/>
          <w:szCs w:val="24"/>
          <w:lang w:eastAsia="zh-CN"/>
        </w:rPr>
        <w:t>dacă densitatea sarcinii termice din spațiile adiacente nu genereaza performanțe mai mari</w:t>
      </w:r>
      <w:r>
        <w:rPr>
          <w:sz w:val="24"/>
          <w:szCs w:val="24"/>
        </w:rPr>
        <w:t>)</w:t>
      </w:r>
      <w:r>
        <w:rPr>
          <w:sz w:val="24"/>
          <w:szCs w:val="24"/>
          <w:shd w:val="clear" w:color="auto" w:fill="FFFFFF"/>
          <w:lang w:eastAsia="zh-CN"/>
        </w:rPr>
        <w:t>.</w:t>
      </w:r>
    </w:p>
    <w:p w14:paraId="23FF53F1" w14:textId="77777777" w:rsidR="001C08A5" w:rsidRDefault="00000000">
      <w:pPr>
        <w:ind w:firstLine="720"/>
        <w:jc w:val="both"/>
        <w:rPr>
          <w:sz w:val="24"/>
          <w:szCs w:val="24"/>
          <w:shd w:val="clear" w:color="auto" w:fill="FFFFFF"/>
          <w:lang w:eastAsia="zh-CN"/>
        </w:rPr>
      </w:pPr>
      <w:r>
        <w:rPr>
          <w:b/>
          <w:bCs/>
          <w:sz w:val="24"/>
          <w:szCs w:val="24"/>
        </w:rPr>
        <w:t xml:space="preserve">(4) </w:t>
      </w:r>
      <w:r>
        <w:rPr>
          <w:sz w:val="24"/>
          <w:szCs w:val="24"/>
        </w:rPr>
        <w:t>Spațiile de același tip utilizate de persoane care nu se pot evacua singure situate în clădiri de sănătate foarte înalte [</w:t>
      </w:r>
      <w:r>
        <w:rPr>
          <w:sz w:val="24"/>
          <w:szCs w:val="24"/>
          <w:shd w:val="clear" w:color="auto" w:fill="FFFFFF"/>
          <w:lang w:eastAsia="zh-CN"/>
        </w:rPr>
        <w:t xml:space="preserve">clădiri de spitale sau cu caracter spitalicesc - </w:t>
      </w:r>
      <w:r>
        <w:rPr>
          <w:sz w:val="24"/>
          <w:szCs w:val="24"/>
        </w:rPr>
        <w:t>spitale, maternitati, policlinici, staţionare medicale, dispensare, centre medicale și de sănătate multifuncționale, clinici și unități medicale ambulatorii similare policlinicilor, centre medicale de diagnostic și tratament, aziluri sau cămine pentru bătrâni și persoane cu dizabilități, ospicii pentru alienaţi mintal, sanatorii, etc.</w:t>
      </w:r>
      <w:r>
        <w:rPr>
          <w:sz w:val="24"/>
          <w:szCs w:val="24"/>
          <w:shd w:val="clear" w:color="auto" w:fill="FFFFFF"/>
          <w:lang w:eastAsia="zh-CN"/>
        </w:rPr>
        <w:t xml:space="preserve">)] constituite în </w:t>
      </w:r>
      <w:r>
        <w:rPr>
          <w:sz w:val="24"/>
          <w:szCs w:val="24"/>
        </w:rPr>
        <w:t xml:space="preserve">grupări de încăperi deschise, </w:t>
      </w:r>
      <w:r>
        <w:rPr>
          <w:sz w:val="24"/>
          <w:szCs w:val="24"/>
          <w:shd w:val="clear" w:color="auto" w:fill="FFFFFF"/>
          <w:lang w:eastAsia="zh-CN"/>
        </w:rPr>
        <w:t xml:space="preserve">nu sunt admise, cu excepțiile precizate. Spațiile cu risc mic cu aceeași destinație incluse în funcțiunea de sănătate care nu sunt </w:t>
      </w:r>
      <w:r>
        <w:rPr>
          <w:sz w:val="24"/>
          <w:szCs w:val="24"/>
        </w:rPr>
        <w:t xml:space="preserve">utilizate de persoane care nu se pot evacua singure, </w:t>
      </w:r>
      <w:r>
        <w:rPr>
          <w:sz w:val="24"/>
          <w:szCs w:val="24"/>
          <w:shd w:val="clear" w:color="auto" w:fill="FFFFFF"/>
          <w:lang w:eastAsia="zh-CN"/>
        </w:rPr>
        <w:t>se pot constitui în grupări de tip open space.</w:t>
      </w:r>
    </w:p>
    <w:p w14:paraId="1543F781" w14:textId="77777777" w:rsidR="001C08A5" w:rsidRDefault="00000000">
      <w:pPr>
        <w:ind w:firstLine="720"/>
        <w:jc w:val="both"/>
        <w:rPr>
          <w:sz w:val="24"/>
          <w:szCs w:val="24"/>
          <w:shd w:val="clear" w:color="auto" w:fill="FFFFFF"/>
          <w:lang w:eastAsia="zh-CN"/>
        </w:rPr>
      </w:pPr>
      <w:r>
        <w:rPr>
          <w:b/>
          <w:bCs/>
          <w:sz w:val="24"/>
          <w:szCs w:val="24"/>
        </w:rPr>
        <w:t xml:space="preserve">(5) </w:t>
      </w:r>
      <w:r>
        <w:rPr>
          <w:sz w:val="24"/>
          <w:szCs w:val="24"/>
          <w:shd w:val="clear" w:color="auto" w:fill="FFFFFF"/>
          <w:lang w:eastAsia="zh-CN"/>
        </w:rPr>
        <w:t xml:space="preserve">Incăperile de dormit sau spitalizare (saloane, rezerve, cabinete medicale, etc.), cu excepția celor care necesită supraveghere permanentă (ATI), (UPU, etc.) nu se pot constitui în grupări de tip open space, acestea trebuind sa fie delimitate între ele prin minimum </w:t>
      </w:r>
      <w:r>
        <w:rPr>
          <w:sz w:val="24"/>
          <w:szCs w:val="24"/>
        </w:rPr>
        <w:t xml:space="preserve"> (</w:t>
      </w:r>
      <w:r>
        <w:rPr>
          <w:sz w:val="24"/>
          <w:szCs w:val="24"/>
          <w:lang w:eastAsia="zh-CN"/>
        </w:rPr>
        <w:t>dacă funcțiunea sau densitatea sarcinii termice din spațiile adiacente nu genereaza performanțe mai mari</w:t>
      </w:r>
      <w:r>
        <w:rPr>
          <w:sz w:val="24"/>
          <w:szCs w:val="24"/>
        </w:rPr>
        <w:t xml:space="preserve">) </w:t>
      </w:r>
      <w:r>
        <w:rPr>
          <w:sz w:val="24"/>
          <w:szCs w:val="24"/>
          <w:shd w:val="clear" w:color="auto" w:fill="FFFFFF"/>
          <w:lang w:eastAsia="zh-CN"/>
        </w:rPr>
        <w:t xml:space="preserve">pereti neportanţi despărţitori interiori cu rol de limitare a propagării focului </w:t>
      </w:r>
      <w:r>
        <w:rPr>
          <w:b/>
          <w:bCs/>
          <w:sz w:val="24"/>
          <w:szCs w:val="24"/>
          <w:shd w:val="clear" w:color="auto" w:fill="FFFFFF"/>
          <w:lang w:eastAsia="zh-CN"/>
        </w:rPr>
        <w:t xml:space="preserve">EI60 </w:t>
      </w:r>
      <w:r>
        <w:rPr>
          <w:sz w:val="24"/>
          <w:szCs w:val="24"/>
          <w:shd w:val="clear" w:color="auto" w:fill="FFFFFF"/>
          <w:lang w:eastAsia="zh-CN"/>
        </w:rPr>
        <w:t xml:space="preserve">pentru clădirile pentru înălțimea </w:t>
      </w:r>
      <w:r>
        <w:rPr>
          <w:b/>
          <w:sz w:val="24"/>
          <w:szCs w:val="24"/>
        </w:rPr>
        <w:t>h</w:t>
      </w:r>
      <w:r>
        <w:rPr>
          <w:b/>
          <w:sz w:val="24"/>
          <w:szCs w:val="24"/>
          <w:lang w:val="en-US"/>
        </w:rPr>
        <w:t>&lt;</w:t>
      </w:r>
      <w:r>
        <w:rPr>
          <w:b/>
          <w:sz w:val="24"/>
          <w:szCs w:val="24"/>
        </w:rPr>
        <w:t>125 m</w:t>
      </w:r>
      <w:r>
        <w:rPr>
          <w:sz w:val="24"/>
          <w:szCs w:val="24"/>
          <w:shd w:val="clear" w:color="auto" w:fill="FFFFFF"/>
          <w:lang w:eastAsia="zh-CN"/>
        </w:rPr>
        <w:t xml:space="preserve"> și </w:t>
      </w:r>
      <w:r>
        <w:rPr>
          <w:b/>
          <w:bCs/>
          <w:sz w:val="24"/>
          <w:szCs w:val="24"/>
          <w:shd w:val="clear" w:color="auto" w:fill="FFFFFF"/>
          <w:lang w:eastAsia="zh-CN"/>
        </w:rPr>
        <w:t xml:space="preserve">EI 90 </w:t>
      </w:r>
      <w:r>
        <w:rPr>
          <w:sz w:val="24"/>
          <w:szCs w:val="24"/>
          <w:shd w:val="clear" w:color="auto" w:fill="FFFFFF"/>
          <w:lang w:eastAsia="zh-CN"/>
        </w:rPr>
        <w:t xml:space="preserve">pentru cele cu înălțimea </w:t>
      </w:r>
      <w:r>
        <w:rPr>
          <w:b/>
          <w:sz w:val="24"/>
          <w:szCs w:val="24"/>
        </w:rPr>
        <w:t>h ≥ 125 m</w:t>
      </w:r>
      <w:r>
        <w:rPr>
          <w:sz w:val="24"/>
          <w:szCs w:val="24"/>
          <w:shd w:val="clear" w:color="auto" w:fill="FFFFFF"/>
          <w:lang w:eastAsia="zh-CN"/>
        </w:rPr>
        <w:t xml:space="preserve">. </w:t>
      </w:r>
    </w:p>
    <w:p w14:paraId="6B7AD71E" w14:textId="77777777" w:rsidR="001C08A5" w:rsidRDefault="00000000">
      <w:pPr>
        <w:ind w:firstLine="720"/>
        <w:jc w:val="both"/>
        <w:rPr>
          <w:sz w:val="24"/>
          <w:szCs w:val="24"/>
          <w:shd w:val="clear" w:color="auto" w:fill="FFFFFF"/>
          <w:lang w:eastAsia="zh-CN"/>
        </w:rPr>
      </w:pPr>
      <w:r>
        <w:rPr>
          <w:b/>
          <w:bCs/>
          <w:sz w:val="24"/>
          <w:szCs w:val="24"/>
        </w:rPr>
        <w:t xml:space="preserve">(6) </w:t>
      </w:r>
      <w:r>
        <w:rPr>
          <w:sz w:val="24"/>
          <w:szCs w:val="24"/>
          <w:shd w:val="clear" w:color="auto" w:fill="FFFFFF"/>
          <w:lang w:eastAsia="zh-CN"/>
        </w:rPr>
        <w:t xml:space="preserve">Camerele de operații împreună cu </w:t>
      </w:r>
      <w:r>
        <w:rPr>
          <w:sz w:val="24"/>
          <w:szCs w:val="24"/>
        </w:rPr>
        <w:t xml:space="preserve">destinatiile colaterale ale acestora (spălătoare, depozite de mână de instrumentar medical specific, etc.) precum și </w:t>
      </w:r>
      <w:r>
        <w:rPr>
          <w:sz w:val="24"/>
          <w:szCs w:val="24"/>
          <w:shd w:val="clear" w:color="auto" w:fill="FFFFFF"/>
          <w:lang w:eastAsia="zh-CN"/>
        </w:rPr>
        <w:t xml:space="preserve">spațiile care necesită supraveghere </w:t>
      </w:r>
      <w:r>
        <w:rPr>
          <w:sz w:val="24"/>
          <w:szCs w:val="24"/>
          <w:shd w:val="clear" w:color="auto" w:fill="FFFFFF"/>
          <w:lang w:eastAsia="zh-CN"/>
        </w:rPr>
        <w:lastRenderedPageBreak/>
        <w:t xml:space="preserve">permanentă (ATI) și recomandabil la (UPU, etc.) </w:t>
      </w:r>
      <w:r>
        <w:rPr>
          <w:sz w:val="24"/>
          <w:szCs w:val="24"/>
        </w:rPr>
        <w:t xml:space="preserve">se pot </w:t>
      </w:r>
      <w:r>
        <w:rPr>
          <w:sz w:val="24"/>
          <w:szCs w:val="24"/>
          <w:shd w:val="clear" w:color="auto" w:fill="FFFFFF"/>
          <w:lang w:eastAsia="zh-CN"/>
        </w:rPr>
        <w:t xml:space="preserve">constitui fiecare în grupare de tip open space. Acestea necesită prevederea de asemenea de uși (culisante) rezistente la foc </w:t>
      </w:r>
      <w:r>
        <w:rPr>
          <w:b/>
          <w:bCs/>
          <w:iCs/>
          <w:sz w:val="24"/>
          <w:szCs w:val="24"/>
        </w:rPr>
        <w:t>EI</w:t>
      </w:r>
      <w:r>
        <w:rPr>
          <w:b/>
          <w:bCs/>
          <w:iCs/>
          <w:sz w:val="24"/>
          <w:szCs w:val="24"/>
          <w:vertAlign w:val="subscript"/>
        </w:rPr>
        <w:t>2</w:t>
      </w:r>
      <w:r>
        <w:rPr>
          <w:b/>
          <w:bCs/>
          <w:iCs/>
          <w:sz w:val="24"/>
          <w:szCs w:val="24"/>
        </w:rPr>
        <w:t xml:space="preserve"> 60-C5S</w:t>
      </w:r>
      <w:r>
        <w:rPr>
          <w:b/>
          <w:bCs/>
          <w:iCs/>
          <w:sz w:val="24"/>
          <w:szCs w:val="24"/>
          <w:vertAlign w:val="subscript"/>
        </w:rPr>
        <w:t>200.</w:t>
      </w:r>
    </w:p>
    <w:p w14:paraId="629B9022" w14:textId="77777777" w:rsidR="001C08A5" w:rsidRDefault="00000000">
      <w:pPr>
        <w:ind w:firstLine="720"/>
        <w:jc w:val="both"/>
        <w:rPr>
          <w:b/>
          <w:sz w:val="24"/>
          <w:szCs w:val="24"/>
        </w:rPr>
      </w:pPr>
      <w:r>
        <w:rPr>
          <w:b/>
          <w:bCs/>
          <w:sz w:val="24"/>
          <w:szCs w:val="24"/>
        </w:rPr>
        <w:t xml:space="preserve">(7) </w:t>
      </w:r>
      <w:r>
        <w:rPr>
          <w:bCs/>
          <w:sz w:val="24"/>
          <w:szCs w:val="24"/>
        </w:rPr>
        <w:t>G</w:t>
      </w:r>
      <w:r>
        <w:rPr>
          <w:sz w:val="24"/>
          <w:szCs w:val="24"/>
        </w:rPr>
        <w:t xml:space="preserve">rupările de încăperi deschise prevăzute la alineatele precedente vor avea asigurate minimum două căi de evacuare, distincte şi independente, astfel dispuse şi alcătuite încât să poată fi uşor accesibile utilizatorilor. Căile de evacuare a utilizatorilor vor respecta condiţiile de alcătuire prevăzute în normativ şi lungimile de evacuare normate. </w:t>
      </w:r>
      <w:r>
        <w:rPr>
          <w:bCs/>
          <w:sz w:val="24"/>
          <w:szCs w:val="24"/>
        </w:rPr>
        <w:t xml:space="preserve">Este recomandabil ca </w:t>
      </w:r>
      <w:r>
        <w:rPr>
          <w:bCs/>
          <w:sz w:val="24"/>
          <w:szCs w:val="24"/>
          <w:lang w:eastAsia="zh-CN"/>
        </w:rPr>
        <w:t xml:space="preserve">pentru construcțiile foarte înalte </w:t>
      </w:r>
      <w:r>
        <w:rPr>
          <w:bCs/>
          <w:sz w:val="24"/>
          <w:szCs w:val="24"/>
        </w:rPr>
        <w:t xml:space="preserve">destinate persoanelor care nu se pot evacua singure </w:t>
      </w:r>
      <w:r>
        <w:rPr>
          <w:sz w:val="24"/>
          <w:szCs w:val="24"/>
        </w:rPr>
        <w:t>(definite conform terminologie)</w:t>
      </w:r>
      <w:r>
        <w:rPr>
          <w:bCs/>
          <w:sz w:val="24"/>
          <w:szCs w:val="24"/>
        </w:rPr>
        <w:t xml:space="preserve"> precum și </w:t>
      </w:r>
      <w:r>
        <w:rPr>
          <w:bCs/>
          <w:sz w:val="24"/>
          <w:szCs w:val="24"/>
          <w:lang w:eastAsia="zh-CN"/>
        </w:rPr>
        <w:t>construcțiile foarte înalte</w:t>
      </w:r>
      <w:r>
        <w:rPr>
          <w:bCs/>
          <w:sz w:val="24"/>
          <w:szCs w:val="24"/>
        </w:rPr>
        <w:t xml:space="preserve"> pentru obiecte, echipamente sau aparatură de importanţă deosebită cu înălțimea </w:t>
      </w:r>
      <w:r>
        <w:rPr>
          <w:b/>
          <w:sz w:val="24"/>
          <w:szCs w:val="24"/>
        </w:rPr>
        <w:t>h ≥ 125 m</w:t>
      </w:r>
      <w:r>
        <w:rPr>
          <w:bCs/>
          <w:sz w:val="24"/>
          <w:szCs w:val="24"/>
        </w:rPr>
        <w:t xml:space="preserve"> să existe minimum trei căi de evacuare (dintre care două distincte şi independente), astfel dispuse şi alcătuite încât să poată fi uşor accesibile utilizatorilor. Cea de-a treia cale de evacuare nu este necesar să îndeplinească </w:t>
      </w:r>
      <w:r>
        <w:rPr>
          <w:sz w:val="24"/>
          <w:szCs w:val="24"/>
        </w:rPr>
        <w:t>lungimea de evacuare normată.</w:t>
      </w:r>
    </w:p>
    <w:p w14:paraId="04F55A79" w14:textId="77777777" w:rsidR="001C08A5" w:rsidRDefault="00000000">
      <w:pPr>
        <w:pStyle w:val="Heading4"/>
      </w:pPr>
      <w:bookmarkStart w:id="4419" w:name="_Toc2944"/>
      <w:bookmarkStart w:id="4420" w:name="_Toc26383"/>
      <w:bookmarkStart w:id="4421" w:name="_Toc162355321"/>
      <w:bookmarkStart w:id="4422" w:name="_Toc25171"/>
      <w:bookmarkStart w:id="4423" w:name="_Toc23230"/>
      <w:bookmarkStart w:id="4424" w:name="_Toc27964"/>
      <w:bookmarkStart w:id="4425" w:name="_Toc3077"/>
      <w:bookmarkStart w:id="4426" w:name="_Toc25727"/>
      <w:r>
        <w:t>4.2.4. ALCĂTUIRI CONSTRUCTIVE ALE ELEMENTELOR DE CONSTRUCŢIE</w:t>
      </w:r>
      <w:bookmarkEnd w:id="4419"/>
      <w:bookmarkEnd w:id="4420"/>
      <w:bookmarkEnd w:id="4421"/>
      <w:bookmarkEnd w:id="4422"/>
      <w:bookmarkEnd w:id="4423"/>
      <w:bookmarkEnd w:id="4424"/>
      <w:bookmarkEnd w:id="4425"/>
      <w:bookmarkEnd w:id="4426"/>
    </w:p>
    <w:p w14:paraId="539C7992" w14:textId="77777777" w:rsidR="001C08A5" w:rsidRDefault="001C08A5">
      <w:pPr>
        <w:jc w:val="both"/>
        <w:rPr>
          <w:sz w:val="24"/>
          <w:szCs w:val="24"/>
        </w:rPr>
      </w:pPr>
    </w:p>
    <w:p w14:paraId="34F0B6EC" w14:textId="77777777" w:rsidR="001C08A5" w:rsidRDefault="00000000">
      <w:pPr>
        <w:jc w:val="both"/>
        <w:rPr>
          <w:sz w:val="24"/>
          <w:szCs w:val="24"/>
        </w:rPr>
      </w:pPr>
      <w:r>
        <w:rPr>
          <w:b/>
          <w:sz w:val="24"/>
          <w:szCs w:val="24"/>
        </w:rPr>
        <w:tab/>
        <w:t xml:space="preserve">Art. 4.2.4.1. (1) </w:t>
      </w:r>
      <w:r>
        <w:rPr>
          <w:sz w:val="24"/>
          <w:szCs w:val="24"/>
        </w:rPr>
        <w:t>În clădirile foarte înalte, pereţii, planşeele şi acoperişurile se realizează din produse pentru construcții clasa de reacţie la foc</w:t>
      </w:r>
      <w:r>
        <w:rPr>
          <w:b/>
          <w:sz w:val="24"/>
          <w:szCs w:val="24"/>
        </w:rPr>
        <w:t xml:space="preserve"> A1 </w:t>
      </w:r>
      <w:r>
        <w:rPr>
          <w:sz w:val="24"/>
          <w:szCs w:val="24"/>
        </w:rPr>
        <w:t>sau</w:t>
      </w:r>
      <w:r>
        <w:rPr>
          <w:b/>
          <w:sz w:val="24"/>
          <w:szCs w:val="24"/>
        </w:rPr>
        <w:t xml:space="preserve"> A2-s1d0.</w:t>
      </w:r>
    </w:p>
    <w:p w14:paraId="11A65042" w14:textId="77777777" w:rsidR="001C08A5" w:rsidRDefault="00000000">
      <w:pPr>
        <w:jc w:val="both"/>
        <w:rPr>
          <w:sz w:val="24"/>
          <w:szCs w:val="24"/>
        </w:rPr>
      </w:pPr>
      <w:r>
        <w:rPr>
          <w:sz w:val="24"/>
          <w:szCs w:val="24"/>
        </w:rPr>
        <w:tab/>
      </w:r>
      <w:r>
        <w:rPr>
          <w:b/>
          <w:sz w:val="24"/>
          <w:szCs w:val="24"/>
        </w:rPr>
        <w:t xml:space="preserve">(2) </w:t>
      </w:r>
      <w:r>
        <w:rPr>
          <w:sz w:val="24"/>
          <w:szCs w:val="24"/>
        </w:rPr>
        <w:t>Produsele de construcţii utilizate pentru finisajul exterior, inclusiv cele de izolare termică sau de placare a închiderilor perimetrale (pereţi exteriori de orice fel, cu excepția pereților cortină și a panourilor de tâmplărie din profile metalice), trebuie să fie clasa de reacţie la foc</w:t>
      </w:r>
      <w:r>
        <w:rPr>
          <w:b/>
          <w:sz w:val="24"/>
          <w:szCs w:val="24"/>
        </w:rPr>
        <w:t xml:space="preserve"> A1 </w:t>
      </w:r>
      <w:r>
        <w:rPr>
          <w:bCs/>
          <w:sz w:val="24"/>
          <w:szCs w:val="24"/>
        </w:rPr>
        <w:t>sau</w:t>
      </w:r>
      <w:r>
        <w:rPr>
          <w:b/>
          <w:sz w:val="24"/>
          <w:szCs w:val="24"/>
        </w:rPr>
        <w:t xml:space="preserve"> A2-s1d0. </w:t>
      </w:r>
    </w:p>
    <w:p w14:paraId="3461A342" w14:textId="77777777" w:rsidR="001C08A5" w:rsidRDefault="00000000">
      <w:pPr>
        <w:ind w:firstLine="708"/>
        <w:jc w:val="both"/>
        <w:rPr>
          <w:sz w:val="24"/>
          <w:szCs w:val="24"/>
        </w:rPr>
      </w:pPr>
      <w:r>
        <w:rPr>
          <w:sz w:val="24"/>
          <w:szCs w:val="24"/>
        </w:rPr>
        <w:tab/>
      </w:r>
      <w:r>
        <w:rPr>
          <w:b/>
          <w:sz w:val="24"/>
          <w:szCs w:val="24"/>
        </w:rPr>
        <w:t xml:space="preserve">(3) </w:t>
      </w:r>
      <w:r>
        <w:rPr>
          <w:sz w:val="24"/>
          <w:szCs w:val="24"/>
        </w:rPr>
        <w:t xml:space="preserve">Acoperişurile, inclusiv cele tip terasă, se realizează din materiale clasa de reacţie la foc </w:t>
      </w:r>
      <w:r>
        <w:rPr>
          <w:b/>
          <w:sz w:val="24"/>
          <w:szCs w:val="24"/>
        </w:rPr>
        <w:t>A1</w:t>
      </w:r>
      <w:r>
        <w:rPr>
          <w:sz w:val="24"/>
          <w:szCs w:val="24"/>
        </w:rPr>
        <w:t xml:space="preserve"> sau </w:t>
      </w:r>
      <w:r>
        <w:rPr>
          <w:b/>
          <w:sz w:val="24"/>
          <w:szCs w:val="24"/>
        </w:rPr>
        <w:t xml:space="preserve">A2-s1d0 </w:t>
      </w:r>
      <w:r>
        <w:rPr>
          <w:sz w:val="24"/>
          <w:szCs w:val="24"/>
        </w:rPr>
        <w:t xml:space="preserve">(termoizolaţie montată pe suport </w:t>
      </w:r>
      <w:r>
        <w:rPr>
          <w:b/>
          <w:sz w:val="24"/>
          <w:szCs w:val="24"/>
        </w:rPr>
        <w:t xml:space="preserve">A1 </w:t>
      </w:r>
      <w:r>
        <w:rPr>
          <w:bCs/>
          <w:sz w:val="24"/>
          <w:szCs w:val="24"/>
        </w:rPr>
        <w:t>sau</w:t>
      </w:r>
      <w:r>
        <w:rPr>
          <w:b/>
          <w:sz w:val="24"/>
          <w:szCs w:val="24"/>
        </w:rPr>
        <w:t xml:space="preserve"> A2-s1d0</w:t>
      </w:r>
      <w:r>
        <w:rPr>
          <w:sz w:val="24"/>
          <w:szCs w:val="24"/>
        </w:rPr>
        <w:t xml:space="preserve">), cu excepţia hidroizolaţiei respectiv a invelitorii, care pot fi din clasa de reacţie la foc minimum </w:t>
      </w:r>
      <w:r>
        <w:rPr>
          <w:b/>
          <w:sz w:val="24"/>
          <w:szCs w:val="24"/>
        </w:rPr>
        <w:t>C-s1,d0</w:t>
      </w:r>
      <w:r>
        <w:rPr>
          <w:sz w:val="24"/>
          <w:szCs w:val="24"/>
        </w:rPr>
        <w:t xml:space="preserve">).    </w:t>
      </w:r>
    </w:p>
    <w:p w14:paraId="20C0E60F" w14:textId="77777777" w:rsidR="001C08A5" w:rsidRDefault="00000000">
      <w:pPr>
        <w:ind w:firstLine="720"/>
        <w:jc w:val="both"/>
        <w:rPr>
          <w:sz w:val="24"/>
          <w:szCs w:val="24"/>
        </w:rPr>
      </w:pPr>
      <w:r>
        <w:rPr>
          <w:b/>
          <w:sz w:val="24"/>
          <w:szCs w:val="24"/>
        </w:rPr>
        <w:t>(4)</w:t>
      </w:r>
      <w:r>
        <w:rPr>
          <w:sz w:val="24"/>
          <w:szCs w:val="24"/>
        </w:rPr>
        <w:t xml:space="preserve"> Densitatea sarcinii termice totale (q) rezultată din materiale și elemente de construcţie, finisaje, mobilier şi alte materiale adăpostite în încăperi, se recomandă să nu depăşească </w:t>
      </w:r>
      <w:r>
        <w:rPr>
          <w:b/>
          <w:sz w:val="24"/>
          <w:szCs w:val="24"/>
        </w:rPr>
        <w:t>630</w:t>
      </w:r>
      <w:r>
        <w:rPr>
          <w:sz w:val="24"/>
          <w:szCs w:val="24"/>
        </w:rPr>
        <w:t xml:space="preserve"> </w:t>
      </w:r>
      <w:r>
        <w:rPr>
          <w:b/>
          <w:bCs/>
          <w:sz w:val="24"/>
          <w:szCs w:val="24"/>
        </w:rPr>
        <w:t>MJ/m</w:t>
      </w:r>
      <w:r>
        <w:rPr>
          <w:b/>
          <w:bCs/>
          <w:sz w:val="24"/>
          <w:szCs w:val="24"/>
          <w:vertAlign w:val="superscript"/>
        </w:rPr>
        <w:t>2</w:t>
      </w:r>
      <w:r>
        <w:rPr>
          <w:sz w:val="24"/>
          <w:szCs w:val="24"/>
        </w:rPr>
        <w:t xml:space="preserve">. </w:t>
      </w:r>
    </w:p>
    <w:p w14:paraId="23468114" w14:textId="77777777" w:rsidR="001C08A5" w:rsidRDefault="001C08A5">
      <w:pPr>
        <w:jc w:val="both"/>
        <w:rPr>
          <w:sz w:val="24"/>
          <w:szCs w:val="24"/>
        </w:rPr>
      </w:pPr>
    </w:p>
    <w:p w14:paraId="62D29582" w14:textId="77777777" w:rsidR="001C08A5" w:rsidRDefault="00000000">
      <w:pPr>
        <w:ind w:firstLine="720"/>
        <w:jc w:val="both"/>
        <w:rPr>
          <w:rStyle w:val="CommentReference"/>
        </w:rPr>
      </w:pPr>
      <w:r>
        <w:rPr>
          <w:b/>
          <w:sz w:val="24"/>
          <w:szCs w:val="24"/>
        </w:rPr>
        <w:t xml:space="preserve">Art. 4.2.4.2. (1) </w:t>
      </w:r>
      <w:r>
        <w:rPr>
          <w:sz w:val="24"/>
          <w:szCs w:val="24"/>
        </w:rPr>
        <w:t xml:space="preserve">Închiderile perimetrale ale clădirilor foarte înalte vor fi astfel proiectate și realizate încât să asigure limitarea propagării focului de la un nivel la altul, în condiţiile </w:t>
      </w:r>
      <w:r>
        <w:rPr>
          <w:b/>
          <w:sz w:val="24"/>
          <w:szCs w:val="24"/>
        </w:rPr>
        <w:t>Art. 2.3.6.1.2.</w:t>
      </w:r>
      <w:r>
        <w:rPr>
          <w:bCs/>
          <w:sz w:val="24"/>
          <w:szCs w:val="24"/>
        </w:rPr>
        <w:t xml:space="preserve">și </w:t>
      </w:r>
      <w:r>
        <w:rPr>
          <w:b/>
          <w:sz w:val="24"/>
          <w:szCs w:val="24"/>
        </w:rPr>
        <w:t>Art.2.3.6.1.3.</w:t>
      </w:r>
      <w:r>
        <w:rPr>
          <w:sz w:val="24"/>
          <w:szCs w:val="24"/>
        </w:rPr>
        <w:t xml:space="preserve">, </w:t>
      </w:r>
      <w:r>
        <w:rPr>
          <w:bCs/>
          <w:sz w:val="24"/>
          <w:szCs w:val="24"/>
        </w:rPr>
        <w:t>p</w:t>
      </w:r>
      <w:r>
        <w:rPr>
          <w:sz w:val="24"/>
          <w:szCs w:val="24"/>
        </w:rPr>
        <w:t xml:space="preserve">entru întârzierea propagării incendiilor între nivelurile construcţiei prin exteriorul închiderii perimetrale (pe faţade), iar pentru întârzierea propagării incendiilor prin interiorul construcţiei, spaţiile libere dintre planşee și peretele cortină se etanşează cu sisteme având aceeași rezistenta la foc cu a planșeului, dar minimum </w:t>
      </w:r>
      <w:r>
        <w:rPr>
          <w:b/>
          <w:sz w:val="24"/>
          <w:szCs w:val="24"/>
        </w:rPr>
        <w:t xml:space="preserve">EI 120 </w:t>
      </w:r>
    </w:p>
    <w:p w14:paraId="43BE93BD" w14:textId="77777777" w:rsidR="001C08A5" w:rsidRDefault="00000000">
      <w:pPr>
        <w:jc w:val="both"/>
        <w:rPr>
          <w:rFonts w:eastAsia="TimesNewRomanPSMT-Identity-H"/>
          <w:sz w:val="24"/>
          <w:szCs w:val="24"/>
        </w:rPr>
      </w:pPr>
      <w:r>
        <w:rPr>
          <w:b/>
          <w:sz w:val="24"/>
          <w:szCs w:val="24"/>
        </w:rPr>
        <w:tab/>
        <w:t xml:space="preserve">(2) </w:t>
      </w:r>
      <w:r>
        <w:rPr>
          <w:sz w:val="24"/>
          <w:szCs w:val="24"/>
        </w:rPr>
        <w:t xml:space="preserve">Pentru limitarea propagării focului de la un nivel la altul, prin exteriorul construcţiei (pe faţadă), pereţii cortină utilizati la clădirile foarte înalte trebuie să îndeplinească cerinţele </w:t>
      </w:r>
      <w:r>
        <w:rPr>
          <w:rFonts w:eastAsia="TimesNewRomanPSMT-Identity-H"/>
          <w:b/>
          <w:bCs/>
          <w:sz w:val="24"/>
          <w:szCs w:val="24"/>
        </w:rPr>
        <w:t>subcapitolului</w:t>
      </w:r>
      <w:r>
        <w:rPr>
          <w:rFonts w:eastAsia="TimesNewRomanPSMT-Identity-H"/>
          <w:sz w:val="24"/>
          <w:szCs w:val="24"/>
        </w:rPr>
        <w:t xml:space="preserve"> </w:t>
      </w:r>
      <w:r>
        <w:rPr>
          <w:rFonts w:eastAsia="TimesNewRomanPSMT-Identity-H"/>
          <w:b/>
          <w:sz w:val="24"/>
          <w:szCs w:val="24"/>
        </w:rPr>
        <w:t xml:space="preserve">2.4.7.1. </w:t>
      </w:r>
      <w:r>
        <w:rPr>
          <w:rFonts w:eastAsia="TimesNewRomanPSMT-Identity-H"/>
          <w:bCs/>
          <w:sz w:val="24"/>
          <w:szCs w:val="24"/>
        </w:rPr>
        <w:t>referitoare la clădiri foarte înalte.</w:t>
      </w:r>
    </w:p>
    <w:p w14:paraId="013688A4" w14:textId="77777777" w:rsidR="001C08A5" w:rsidRDefault="00000000">
      <w:pPr>
        <w:jc w:val="both"/>
        <w:rPr>
          <w:sz w:val="24"/>
          <w:szCs w:val="24"/>
        </w:rPr>
      </w:pPr>
      <w:r>
        <w:rPr>
          <w:sz w:val="24"/>
          <w:szCs w:val="24"/>
        </w:rPr>
        <w:tab/>
      </w:r>
      <w:r>
        <w:rPr>
          <w:b/>
          <w:sz w:val="24"/>
          <w:szCs w:val="24"/>
        </w:rPr>
        <w:t xml:space="preserve">(3) </w:t>
      </w:r>
      <w:r>
        <w:rPr>
          <w:sz w:val="24"/>
          <w:szCs w:val="24"/>
        </w:rPr>
        <w:t xml:space="preserve">La clădirile foarte înalte, cel puțin până la înălţimea de </w:t>
      </w:r>
      <w:r>
        <w:rPr>
          <w:b/>
          <w:sz w:val="24"/>
          <w:szCs w:val="24"/>
        </w:rPr>
        <w:t xml:space="preserve">42 </w:t>
      </w:r>
      <w:r>
        <w:rPr>
          <w:sz w:val="24"/>
          <w:szCs w:val="24"/>
        </w:rPr>
        <w:t>m faţă de terenul înconjurător sau de carosabil în exteriorul pereţilor cortină, se marchează distinct locurile pe unde pot pătrunde în clădire formaţiile de intervenţie în caz de incendiu.</w:t>
      </w:r>
    </w:p>
    <w:p w14:paraId="242499ED" w14:textId="77777777" w:rsidR="001C08A5" w:rsidRDefault="00000000">
      <w:pPr>
        <w:ind w:firstLine="720"/>
        <w:jc w:val="both"/>
        <w:rPr>
          <w:sz w:val="24"/>
          <w:szCs w:val="24"/>
        </w:rPr>
      </w:pPr>
      <w:r>
        <w:rPr>
          <w:b/>
          <w:sz w:val="24"/>
          <w:szCs w:val="24"/>
        </w:rPr>
        <w:t xml:space="preserve">(4) </w:t>
      </w:r>
      <w:r>
        <w:rPr>
          <w:sz w:val="24"/>
          <w:szCs w:val="24"/>
        </w:rPr>
        <w:t xml:space="preserve">La clădirile foarte înalte cu înălțimea </w:t>
      </w:r>
      <w:r>
        <w:rPr>
          <w:b/>
          <w:bCs/>
          <w:sz w:val="24"/>
          <w:szCs w:val="24"/>
        </w:rPr>
        <w:t>h</w:t>
      </w:r>
      <w:r>
        <w:rPr>
          <w:sz w:val="24"/>
          <w:szCs w:val="24"/>
        </w:rPr>
        <w:t xml:space="preserve">, </w:t>
      </w:r>
      <w:r>
        <w:rPr>
          <w:b/>
          <w:bCs/>
          <w:sz w:val="24"/>
          <w:szCs w:val="24"/>
        </w:rPr>
        <w:t xml:space="preserve">h </w:t>
      </w:r>
      <w:r>
        <w:rPr>
          <w:rFonts w:hint="eastAsia"/>
          <w:b/>
          <w:bCs/>
          <w:sz w:val="24"/>
          <w:szCs w:val="24"/>
        </w:rPr>
        <w:t>≥</w:t>
      </w:r>
      <w:r>
        <w:rPr>
          <w:b/>
          <w:bCs/>
          <w:sz w:val="24"/>
          <w:szCs w:val="24"/>
        </w:rPr>
        <w:t xml:space="preserve"> 75 m</w:t>
      </w:r>
      <w:r>
        <w:rPr>
          <w:sz w:val="24"/>
          <w:szCs w:val="24"/>
        </w:rPr>
        <w:t xml:space="preserve">, cel puțin până la înălţimea de </w:t>
      </w:r>
      <w:r>
        <w:rPr>
          <w:b/>
          <w:sz w:val="24"/>
          <w:szCs w:val="24"/>
        </w:rPr>
        <w:t xml:space="preserve">72 </w:t>
      </w:r>
      <w:r>
        <w:rPr>
          <w:b/>
          <w:bCs/>
          <w:sz w:val="24"/>
          <w:szCs w:val="24"/>
        </w:rPr>
        <w:t>m</w:t>
      </w:r>
      <w:r>
        <w:rPr>
          <w:sz w:val="24"/>
          <w:szCs w:val="24"/>
        </w:rPr>
        <w:t xml:space="preserve"> faţă de terenul înconjurător sau de carosabil în exteriorul pereţilor cortină, se marchează distinct locurile pe unde pot pătrunde în clădire formaţiile de intervenţie în caz de incendiu.</w:t>
      </w:r>
    </w:p>
    <w:p w14:paraId="2B31E23B" w14:textId="77777777" w:rsidR="001C08A5" w:rsidRDefault="001C08A5">
      <w:pPr>
        <w:jc w:val="both"/>
        <w:rPr>
          <w:b/>
          <w:sz w:val="24"/>
          <w:szCs w:val="24"/>
        </w:rPr>
      </w:pPr>
    </w:p>
    <w:p w14:paraId="33C0BB34" w14:textId="77777777" w:rsidR="001C08A5" w:rsidRDefault="00000000">
      <w:pPr>
        <w:ind w:firstLine="720"/>
        <w:jc w:val="both"/>
        <w:rPr>
          <w:sz w:val="24"/>
          <w:szCs w:val="24"/>
        </w:rPr>
      </w:pPr>
      <w:r>
        <w:rPr>
          <w:b/>
          <w:sz w:val="24"/>
          <w:szCs w:val="24"/>
        </w:rPr>
        <w:t xml:space="preserve">Art. 4.2.4.3. (1) </w:t>
      </w:r>
      <w:r>
        <w:rPr>
          <w:sz w:val="24"/>
          <w:szCs w:val="24"/>
        </w:rPr>
        <w:t xml:space="preserve">Plafoanele cu suprafata continuă sau discontinuă / modulară, de tip perforat, lamelar, fagure sau grătar (atât cele pline, cât și cele care nu sunt pline) din clădirile foarte înalte se realizează din materiale încadrate în clasa de reacţie la foc </w:t>
      </w:r>
      <w:r>
        <w:rPr>
          <w:b/>
          <w:sz w:val="24"/>
          <w:szCs w:val="24"/>
        </w:rPr>
        <w:t>A1</w:t>
      </w:r>
      <w:r>
        <w:rPr>
          <w:sz w:val="24"/>
          <w:szCs w:val="24"/>
        </w:rPr>
        <w:t xml:space="preserve"> sau </w:t>
      </w:r>
      <w:r>
        <w:rPr>
          <w:b/>
          <w:sz w:val="24"/>
          <w:szCs w:val="24"/>
        </w:rPr>
        <w:t>A2-s1d0</w:t>
      </w:r>
      <w:r>
        <w:rPr>
          <w:sz w:val="24"/>
          <w:szCs w:val="24"/>
        </w:rPr>
        <w:t xml:space="preserve">. </w:t>
      </w:r>
      <w:r>
        <w:rPr>
          <w:bCs/>
          <w:sz w:val="24"/>
          <w:szCs w:val="24"/>
        </w:rPr>
        <w:t xml:space="preserve">În plus </w:t>
      </w:r>
      <w:r>
        <w:rPr>
          <w:sz w:val="24"/>
          <w:szCs w:val="24"/>
        </w:rPr>
        <w:t>plafoanele (autoportante sau suspendate) pline (cu suprafata continuă) vor fi rezistente la foc</w:t>
      </w:r>
      <w:r>
        <w:rPr>
          <w:b/>
          <w:sz w:val="24"/>
          <w:szCs w:val="24"/>
        </w:rPr>
        <w:t xml:space="preserve"> EI 60 (a</w:t>
      </w:r>
      <w:r>
        <w:rPr>
          <w:rFonts w:hint="eastAsia"/>
          <w:sz w:val="24"/>
          <w:szCs w:val="24"/>
        </w:rPr>
        <w:t>←</w:t>
      </w:r>
      <w:r>
        <w:rPr>
          <w:b/>
          <w:sz w:val="24"/>
          <w:szCs w:val="24"/>
        </w:rPr>
        <w:t xml:space="preserve">b). </w:t>
      </w:r>
      <w:r>
        <w:rPr>
          <w:sz w:val="24"/>
          <w:szCs w:val="24"/>
          <w:lang w:val="ro"/>
        </w:rPr>
        <w:t>Plafoanele cu suprafața discontinuă / modulară, de tip perforat, lamelar, fagure sau grătar vor avea elementele și ansamblurile de suspendare rezistente la foc </w:t>
      </w:r>
      <w:r>
        <w:rPr>
          <w:b/>
          <w:bCs/>
          <w:sz w:val="24"/>
          <w:szCs w:val="24"/>
          <w:lang w:val="ro"/>
        </w:rPr>
        <w:t>R</w:t>
      </w:r>
      <w:r>
        <w:rPr>
          <w:b/>
          <w:bCs/>
          <w:sz w:val="24"/>
          <w:szCs w:val="24"/>
        </w:rPr>
        <w:t xml:space="preserve"> 6</w:t>
      </w:r>
      <w:r>
        <w:rPr>
          <w:b/>
          <w:bCs/>
          <w:sz w:val="24"/>
          <w:szCs w:val="24"/>
          <w:lang w:val="ro"/>
        </w:rPr>
        <w:t>0</w:t>
      </w:r>
      <w:r>
        <w:rPr>
          <w:sz w:val="24"/>
          <w:szCs w:val="24"/>
          <w:lang w:val="ro"/>
        </w:rPr>
        <w:t>.</w:t>
      </w:r>
    </w:p>
    <w:p w14:paraId="03DA79D9" w14:textId="77777777" w:rsidR="001C08A5" w:rsidRDefault="00000000">
      <w:pPr>
        <w:widowControl w:val="0"/>
        <w:ind w:firstLine="720"/>
        <w:jc w:val="both"/>
        <w:rPr>
          <w:b/>
          <w:bCs/>
          <w:sz w:val="24"/>
          <w:szCs w:val="24"/>
        </w:rPr>
      </w:pPr>
      <w:r>
        <w:rPr>
          <w:b/>
          <w:sz w:val="24"/>
          <w:szCs w:val="24"/>
        </w:rPr>
        <w:t xml:space="preserve">(2) </w:t>
      </w:r>
      <w:r>
        <w:rPr>
          <w:bCs/>
          <w:sz w:val="24"/>
          <w:szCs w:val="24"/>
        </w:rPr>
        <w:t xml:space="preserve">În cazul </w:t>
      </w:r>
      <w:r>
        <w:rPr>
          <w:sz w:val="24"/>
          <w:szCs w:val="24"/>
        </w:rPr>
        <w:t xml:space="preserve">plafoanelor pline (cu suprafața continuă închisă) suspendate, continuitatea spaţiului dintre plafonul suspendat și planşeul de rezistenţă va fi întrerupt cu diafragme continue minimum </w:t>
      </w:r>
      <w:r>
        <w:rPr>
          <w:b/>
          <w:sz w:val="24"/>
          <w:szCs w:val="24"/>
        </w:rPr>
        <w:t>DH 60</w:t>
      </w:r>
      <w:r>
        <w:rPr>
          <w:sz w:val="24"/>
          <w:szCs w:val="24"/>
        </w:rPr>
        <w:t xml:space="preserve">, dispuse la maximum </w:t>
      </w:r>
      <w:r>
        <w:rPr>
          <w:b/>
          <w:sz w:val="24"/>
          <w:szCs w:val="24"/>
        </w:rPr>
        <w:t>30</w:t>
      </w:r>
      <w:r>
        <w:rPr>
          <w:sz w:val="24"/>
          <w:szCs w:val="24"/>
        </w:rPr>
        <w:t xml:space="preserve"> </w:t>
      </w:r>
      <w:r>
        <w:rPr>
          <w:b/>
          <w:bCs/>
          <w:sz w:val="24"/>
          <w:szCs w:val="24"/>
        </w:rPr>
        <w:t>m</w:t>
      </w:r>
      <w:r>
        <w:rPr>
          <w:sz w:val="24"/>
          <w:szCs w:val="24"/>
        </w:rPr>
        <w:t xml:space="preserve"> pe două direcţii perpendiculare, atunci când spațiul dintre plafonul suspendat și planşeul de rezistenţă </w:t>
      </w:r>
      <w:r>
        <w:rPr>
          <w:b/>
          <w:bCs/>
          <w:sz w:val="24"/>
          <w:szCs w:val="24"/>
        </w:rPr>
        <w:t>nu este echipat</w:t>
      </w:r>
      <w:r>
        <w:rPr>
          <w:sz w:val="24"/>
          <w:szCs w:val="24"/>
        </w:rPr>
        <w:t xml:space="preserve"> cu instalație automată de stingere cu sprinklere. </w:t>
      </w:r>
      <w:r>
        <w:rPr>
          <w:bCs/>
          <w:sz w:val="24"/>
          <w:szCs w:val="24"/>
        </w:rPr>
        <w:t xml:space="preserve">În acest caz </w:t>
      </w:r>
      <w:r>
        <w:rPr>
          <w:sz w:val="24"/>
          <w:szCs w:val="24"/>
        </w:rPr>
        <w:t xml:space="preserve">plafoanele (autoportante sau suspendate) pline (cu suprafata continua) vor </w:t>
      </w:r>
      <w:r>
        <w:rPr>
          <w:sz w:val="24"/>
          <w:szCs w:val="24"/>
        </w:rPr>
        <w:lastRenderedPageBreak/>
        <w:t>fi rezistente la foc</w:t>
      </w:r>
      <w:r>
        <w:rPr>
          <w:b/>
          <w:sz w:val="24"/>
          <w:szCs w:val="24"/>
        </w:rPr>
        <w:t xml:space="preserve"> EI 60 (a↔b), </w:t>
      </w:r>
      <w:r>
        <w:rPr>
          <w:bCs/>
          <w:sz w:val="24"/>
          <w:szCs w:val="24"/>
        </w:rPr>
        <w:t>conform</w:t>
      </w:r>
      <w:r>
        <w:rPr>
          <w:b/>
          <w:sz w:val="24"/>
          <w:szCs w:val="24"/>
        </w:rPr>
        <w:t xml:space="preserve"> </w:t>
      </w:r>
      <w:r>
        <w:rPr>
          <w:b/>
          <w:bCs/>
          <w:i/>
          <w:iCs/>
          <w:sz w:val="24"/>
          <w:szCs w:val="24"/>
        </w:rPr>
        <w:fldChar w:fldCharType="begin"/>
      </w:r>
      <w:r>
        <w:rPr>
          <w:b/>
          <w:bCs/>
          <w:i/>
          <w:iCs/>
          <w:sz w:val="24"/>
          <w:szCs w:val="24"/>
        </w:rPr>
        <w:instrText xml:space="preserve"> REF _Ref25791 \h </w:instrText>
      </w:r>
      <w:r>
        <w:rPr>
          <w:b/>
          <w:bCs/>
          <w:i/>
          <w:iCs/>
          <w:sz w:val="24"/>
          <w:szCs w:val="24"/>
        </w:rPr>
      </w:r>
      <w:r>
        <w:rPr>
          <w:b/>
          <w:bCs/>
          <w:i/>
          <w:iCs/>
          <w:sz w:val="24"/>
          <w:szCs w:val="24"/>
        </w:rPr>
        <w:fldChar w:fldCharType="separate"/>
      </w:r>
      <w:r>
        <w:t>Figura 73</w:t>
      </w:r>
      <w:r>
        <w:rPr>
          <w:b/>
          <w:bCs/>
          <w:i/>
          <w:iCs/>
          <w:sz w:val="24"/>
          <w:szCs w:val="24"/>
        </w:rPr>
        <w:fldChar w:fldCharType="end"/>
      </w:r>
      <w:r>
        <w:rPr>
          <w:b/>
          <w:sz w:val="24"/>
          <w:szCs w:val="24"/>
        </w:rPr>
        <w:t>.</w:t>
      </w:r>
      <w:r>
        <w:rPr>
          <w:sz w:val="24"/>
          <w:szCs w:val="24"/>
        </w:rPr>
        <w:t xml:space="preserve"> În toate cazurile se vor avea în vedere prevederile </w:t>
      </w:r>
      <w:r>
        <w:rPr>
          <w:b/>
          <w:bCs/>
          <w:sz w:val="24"/>
          <w:szCs w:val="24"/>
        </w:rPr>
        <w:t>Art. 8.1.2.</w:t>
      </w:r>
    </w:p>
    <w:p w14:paraId="6F811B49" w14:textId="77777777" w:rsidR="001C08A5" w:rsidRDefault="001C08A5">
      <w:pPr>
        <w:widowControl w:val="0"/>
        <w:ind w:firstLine="720"/>
        <w:jc w:val="both"/>
        <w:rPr>
          <w:b/>
          <w:bCs/>
          <w:sz w:val="24"/>
          <w:szCs w:val="24"/>
        </w:rPr>
      </w:pPr>
    </w:p>
    <w:p w14:paraId="4700B079" w14:textId="77777777" w:rsidR="001C08A5" w:rsidRDefault="00000000">
      <w:pPr>
        <w:pStyle w:val="Default"/>
        <w:jc w:val="center"/>
        <w:rPr>
          <w:rFonts w:ascii="Times New Roman" w:hAnsi="Times New Roman" w:cs="Times New Roman"/>
          <w:color w:val="auto"/>
        </w:rPr>
      </w:pPr>
      <w:r>
        <w:rPr>
          <w:rFonts w:ascii="Times New Roman" w:hAnsi="Times New Roman" w:cs="Times New Roman"/>
          <w:noProof/>
          <w:color w:val="auto"/>
          <w:lang w:val="ro-RO" w:eastAsia="ro-RO"/>
        </w:rPr>
        <w:drawing>
          <wp:inline distT="0" distB="0" distL="114300" distR="114300" wp14:anchorId="7322647E" wp14:editId="097632AF">
            <wp:extent cx="3890010" cy="2372995"/>
            <wp:effectExtent l="0" t="0" r="15240" b="8255"/>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8"/>
                    <pic:cNvPicPr>
                      <a:picLocks noChangeAspect="1"/>
                    </pic:cNvPicPr>
                  </pic:nvPicPr>
                  <pic:blipFill>
                    <a:blip r:embed="rId201"/>
                    <a:srcRect l="13780" t="53522" r="34685" b="2750"/>
                    <a:stretch>
                      <a:fillRect/>
                    </a:stretch>
                  </pic:blipFill>
                  <pic:spPr>
                    <a:xfrm>
                      <a:off x="0" y="0"/>
                      <a:ext cx="3890010" cy="2372995"/>
                    </a:xfrm>
                    <a:prstGeom prst="rect">
                      <a:avLst/>
                    </a:prstGeom>
                    <a:noFill/>
                    <a:ln>
                      <a:noFill/>
                    </a:ln>
                  </pic:spPr>
                </pic:pic>
              </a:graphicData>
            </a:graphic>
          </wp:inline>
        </w:drawing>
      </w:r>
    </w:p>
    <w:p w14:paraId="007EF83D" w14:textId="77777777" w:rsidR="001C08A5" w:rsidRDefault="00000000">
      <w:pPr>
        <w:pStyle w:val="Default"/>
        <w:jc w:val="center"/>
        <w:rPr>
          <w:rFonts w:ascii="Times New Roman" w:hAnsi="Times New Roman" w:cs="Times New Roman"/>
          <w:b/>
          <w:bCs/>
          <w:i/>
          <w:iCs/>
          <w:color w:val="auto"/>
          <w:sz w:val="22"/>
          <w:szCs w:val="22"/>
          <w:lang w:val="ro-RO" w:eastAsia="ro-RO"/>
        </w:rPr>
      </w:pPr>
      <w:r>
        <w:rPr>
          <w:rFonts w:ascii="Times New Roman" w:hAnsi="Times New Roman" w:cs="Times New Roman"/>
          <w:b/>
          <w:bCs/>
          <w:i/>
          <w:iCs/>
          <w:color w:val="auto"/>
          <w:sz w:val="22"/>
          <w:szCs w:val="22"/>
          <w:lang w:eastAsia="ro-RO"/>
        </w:rPr>
        <w:t>Varianta a)</w:t>
      </w:r>
      <w:r>
        <w:rPr>
          <w:rFonts w:ascii="Times New Roman" w:hAnsi="Times New Roman" w:cs="Times New Roman"/>
          <w:b/>
          <w:bCs/>
          <w:i/>
          <w:iCs/>
          <w:color w:val="auto"/>
          <w:sz w:val="22"/>
          <w:szCs w:val="22"/>
        </w:rPr>
        <w:t xml:space="preserve"> întrerup</w:t>
      </w:r>
      <w:r>
        <w:rPr>
          <w:rFonts w:ascii="Times New Roman" w:hAnsi="Times New Roman" w:cs="Times New Roman"/>
          <w:b/>
          <w:bCs/>
          <w:i/>
          <w:iCs/>
          <w:color w:val="auto"/>
          <w:sz w:val="22"/>
          <w:szCs w:val="22"/>
          <w:lang w:val="ro-RO"/>
        </w:rPr>
        <w:t>ere</w:t>
      </w:r>
      <w:r>
        <w:rPr>
          <w:rFonts w:ascii="Times New Roman" w:hAnsi="Times New Roman" w:cs="Times New Roman"/>
          <w:b/>
          <w:bCs/>
          <w:i/>
          <w:iCs/>
          <w:color w:val="auto"/>
          <w:sz w:val="22"/>
          <w:szCs w:val="22"/>
        </w:rPr>
        <w:t xml:space="preserve"> cu diafragme</w:t>
      </w:r>
      <w:r>
        <w:rPr>
          <w:rFonts w:ascii="Times New Roman" w:hAnsi="Times New Roman" w:cs="Times New Roman"/>
          <w:b/>
          <w:bCs/>
          <w:i/>
          <w:iCs/>
          <w:color w:val="auto"/>
          <w:sz w:val="22"/>
          <w:szCs w:val="22"/>
          <w:lang w:val="ro-RO"/>
        </w:rPr>
        <w:t xml:space="preserve"> continue DH 60, min 50 cm care nu depășesc cota plafonului suspendat (variantă cu traforuri)</w:t>
      </w:r>
    </w:p>
    <w:p w14:paraId="2205ED51" w14:textId="77777777" w:rsidR="001C08A5" w:rsidRDefault="00000000">
      <w:pPr>
        <w:pStyle w:val="Default"/>
        <w:jc w:val="center"/>
        <w:rPr>
          <w:rFonts w:ascii="Times New Roman" w:hAnsi="Times New Roman" w:cs="Times New Roman"/>
          <w:color w:val="auto"/>
        </w:rPr>
      </w:pPr>
      <w:r>
        <w:rPr>
          <w:rFonts w:ascii="Times New Roman" w:hAnsi="Times New Roman" w:cs="Times New Roman"/>
          <w:noProof/>
          <w:color w:val="auto"/>
          <w:lang w:val="ro-RO" w:eastAsia="ro-RO"/>
        </w:rPr>
        <w:drawing>
          <wp:inline distT="0" distB="0" distL="114300" distR="114300" wp14:anchorId="16830F43" wp14:editId="3CED2CD8">
            <wp:extent cx="3538220" cy="2205990"/>
            <wp:effectExtent l="0" t="0" r="5080" b="3810"/>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9"/>
                    <pic:cNvPicPr>
                      <a:picLocks noChangeAspect="1"/>
                    </pic:cNvPicPr>
                  </pic:nvPicPr>
                  <pic:blipFill>
                    <a:blip r:embed="rId202"/>
                    <a:srcRect l="13872" t="26071" r="39253" b="33279"/>
                    <a:stretch>
                      <a:fillRect/>
                    </a:stretch>
                  </pic:blipFill>
                  <pic:spPr>
                    <a:xfrm>
                      <a:off x="0" y="0"/>
                      <a:ext cx="3538220" cy="2205990"/>
                    </a:xfrm>
                    <a:prstGeom prst="rect">
                      <a:avLst/>
                    </a:prstGeom>
                    <a:noFill/>
                    <a:ln>
                      <a:noFill/>
                    </a:ln>
                  </pic:spPr>
                </pic:pic>
              </a:graphicData>
            </a:graphic>
          </wp:inline>
        </w:drawing>
      </w:r>
    </w:p>
    <w:p w14:paraId="586DF5E5" w14:textId="77777777" w:rsidR="001C08A5" w:rsidRDefault="00000000">
      <w:pPr>
        <w:widowControl w:val="0"/>
        <w:jc w:val="center"/>
        <w:rPr>
          <w:b/>
          <w:bCs/>
          <w:i/>
          <w:iCs/>
          <w:sz w:val="22"/>
          <w:szCs w:val="22"/>
        </w:rPr>
      </w:pPr>
      <w:r>
        <w:rPr>
          <w:b/>
          <w:bCs/>
          <w:i/>
          <w:iCs/>
          <w:sz w:val="22"/>
          <w:szCs w:val="22"/>
          <w:lang w:val="en-US" w:eastAsia="ro-RO"/>
        </w:rPr>
        <w:t>Varianta b)</w:t>
      </w:r>
      <w:r>
        <w:rPr>
          <w:b/>
          <w:bCs/>
          <w:i/>
          <w:iCs/>
          <w:sz w:val="22"/>
          <w:szCs w:val="22"/>
        </w:rPr>
        <w:t xml:space="preserve"> întrerupere cu diafragme continue DH 60 care depășesc cota plafonului suspendat cu min 50 </w:t>
      </w:r>
      <w:proofErr w:type="gramStart"/>
      <w:r>
        <w:rPr>
          <w:b/>
          <w:bCs/>
          <w:i/>
          <w:iCs/>
          <w:sz w:val="22"/>
          <w:szCs w:val="22"/>
        </w:rPr>
        <w:t>cm  (</w:t>
      </w:r>
      <w:proofErr w:type="gramEnd"/>
      <w:r>
        <w:rPr>
          <w:b/>
          <w:bCs/>
          <w:i/>
          <w:iCs/>
          <w:sz w:val="22"/>
          <w:szCs w:val="22"/>
        </w:rPr>
        <w:t>variantă fără traforuri)</w:t>
      </w:r>
    </w:p>
    <w:p w14:paraId="0D7F43C0" w14:textId="77777777" w:rsidR="001C08A5" w:rsidRDefault="001C08A5">
      <w:pPr>
        <w:widowControl w:val="0"/>
        <w:jc w:val="center"/>
        <w:rPr>
          <w:b/>
          <w:bCs/>
          <w:i/>
          <w:iCs/>
          <w:sz w:val="13"/>
          <w:szCs w:val="13"/>
        </w:rPr>
      </w:pPr>
    </w:p>
    <w:p w14:paraId="6656C79B" w14:textId="77777777" w:rsidR="001C08A5" w:rsidRDefault="00000000">
      <w:pPr>
        <w:pStyle w:val="Caption"/>
        <w:widowControl w:val="0"/>
        <w:ind w:firstLine="720"/>
        <w:jc w:val="center"/>
        <w:rPr>
          <w:rFonts w:cs="Times New Roman"/>
          <w:bCs/>
        </w:rPr>
      </w:pPr>
      <w:bookmarkStart w:id="4427" w:name="_Ref25791"/>
      <w:bookmarkStart w:id="4428" w:name="_Toc162360297"/>
      <w:r>
        <w:t xml:space="preserve">Figura </w:t>
      </w:r>
      <w:r>
        <w:fldChar w:fldCharType="begin"/>
      </w:r>
      <w:r>
        <w:instrText xml:space="preserve"> SEQ Figura \* ARABIC </w:instrText>
      </w:r>
      <w:r>
        <w:fldChar w:fldCharType="separate"/>
      </w:r>
      <w:r>
        <w:t>73</w:t>
      </w:r>
      <w:r>
        <w:fldChar w:fldCharType="end"/>
      </w:r>
      <w:bookmarkStart w:id="4429" w:name="_Toc20098"/>
      <w:bookmarkStart w:id="4430" w:name="_Toc12672"/>
      <w:bookmarkStart w:id="4431" w:name="_Toc1159"/>
      <w:bookmarkStart w:id="4432" w:name="_Toc23424"/>
      <w:bookmarkStart w:id="4433" w:name="_Toc31198"/>
      <w:bookmarkStart w:id="4434" w:name="_Toc24500"/>
      <w:bookmarkStart w:id="4435" w:name="_Toc10056"/>
      <w:bookmarkStart w:id="4436" w:name="_Toc21275"/>
      <w:bookmarkStart w:id="4437" w:name="_Toc19095"/>
      <w:bookmarkStart w:id="4438" w:name="_Toc32465"/>
      <w:bookmarkStart w:id="4439" w:name="_Toc22358"/>
      <w:bookmarkEnd w:id="4427"/>
      <w:r>
        <w:t xml:space="preserve"> - </w:t>
      </w:r>
      <w:r>
        <w:rPr>
          <w:rFonts w:cs="Times New Roman"/>
          <w:bCs/>
        </w:rPr>
        <w:t>Întrerupere cu diafragme a plafoanelor cu suprafața continuă sau discontinuă / modulară la clădiri foarte înalte (atunci când spațiul dintre plafonul suspendat și planşeul de rezistenţă nu este echipat cu instalație automată de stingere cu sprinklere conform SR EN 12845)</w:t>
      </w:r>
      <w:bookmarkEnd w:id="4428"/>
      <w:bookmarkEnd w:id="4429"/>
      <w:bookmarkEnd w:id="4430"/>
      <w:bookmarkEnd w:id="4431"/>
      <w:bookmarkEnd w:id="4432"/>
      <w:bookmarkEnd w:id="4433"/>
      <w:bookmarkEnd w:id="4434"/>
      <w:bookmarkEnd w:id="4435"/>
      <w:bookmarkEnd w:id="4436"/>
      <w:bookmarkEnd w:id="4437"/>
      <w:bookmarkEnd w:id="4438"/>
      <w:bookmarkEnd w:id="4439"/>
    </w:p>
    <w:p w14:paraId="2A34819E" w14:textId="77777777" w:rsidR="001C08A5" w:rsidRDefault="001C08A5">
      <w:pPr>
        <w:widowControl w:val="0"/>
        <w:ind w:firstLine="720"/>
        <w:jc w:val="center"/>
        <w:rPr>
          <w:b/>
          <w:bCs/>
          <w:i/>
          <w:iCs/>
          <w:sz w:val="24"/>
          <w:szCs w:val="24"/>
        </w:rPr>
      </w:pPr>
    </w:p>
    <w:p w14:paraId="3B5D4AFD" w14:textId="77777777" w:rsidR="001C08A5" w:rsidRDefault="00000000">
      <w:pPr>
        <w:widowControl w:val="0"/>
        <w:ind w:firstLine="720"/>
        <w:jc w:val="both"/>
        <w:rPr>
          <w:b/>
          <w:bCs/>
          <w:sz w:val="24"/>
          <w:szCs w:val="24"/>
        </w:rPr>
      </w:pPr>
      <w:r>
        <w:rPr>
          <w:b/>
          <w:sz w:val="24"/>
          <w:szCs w:val="24"/>
        </w:rPr>
        <w:t xml:space="preserve">(3) </w:t>
      </w:r>
      <w:r>
        <w:rPr>
          <w:bCs/>
          <w:sz w:val="24"/>
          <w:szCs w:val="24"/>
        </w:rPr>
        <w:t xml:space="preserve">În cazul </w:t>
      </w:r>
      <w:r>
        <w:rPr>
          <w:sz w:val="24"/>
          <w:szCs w:val="24"/>
        </w:rPr>
        <w:t xml:space="preserve">plafoanelor pline (cu suprafața continuă închisă) suspendate, continuitatea spaţiului dintre plafonul suspendat și planşeul de rezistenţă nu va fi întrerupt cu diafragme continue atunci când spațiul dintre plafonul suspendat și planşeul de rezistenţă este echipat cu instalație automată de stingere cu sprinklere. </w:t>
      </w:r>
      <w:r>
        <w:rPr>
          <w:bCs/>
          <w:sz w:val="24"/>
          <w:szCs w:val="24"/>
        </w:rPr>
        <w:t>În acest caz</w:t>
      </w:r>
      <w:r>
        <w:rPr>
          <w:sz w:val="24"/>
          <w:szCs w:val="24"/>
        </w:rPr>
        <w:t>plafoanele (autoportante sau suspendate) pline (cu suprafata continua) vor fi rezistente la foc</w:t>
      </w:r>
      <w:r>
        <w:rPr>
          <w:b/>
          <w:sz w:val="24"/>
          <w:szCs w:val="24"/>
        </w:rPr>
        <w:t xml:space="preserve"> EI 60 (a</w:t>
      </w:r>
      <w:r>
        <w:rPr>
          <w:rFonts w:hint="eastAsia"/>
          <w:sz w:val="24"/>
          <w:szCs w:val="24"/>
        </w:rPr>
        <w:t>←</w:t>
      </w:r>
      <w:r>
        <w:rPr>
          <w:b/>
          <w:sz w:val="24"/>
          <w:szCs w:val="24"/>
        </w:rPr>
        <w:t xml:space="preserve">b), </w:t>
      </w:r>
      <w:r>
        <w:rPr>
          <w:bCs/>
          <w:sz w:val="24"/>
          <w:szCs w:val="24"/>
        </w:rPr>
        <w:t>conform</w:t>
      </w:r>
      <w:r>
        <w:rPr>
          <w:b/>
          <w:sz w:val="24"/>
          <w:szCs w:val="24"/>
        </w:rPr>
        <w:t xml:space="preserve"> </w:t>
      </w:r>
      <w:r>
        <w:rPr>
          <w:b/>
          <w:bCs/>
          <w:i/>
          <w:iCs/>
          <w:sz w:val="24"/>
          <w:szCs w:val="24"/>
        </w:rPr>
        <w:fldChar w:fldCharType="begin"/>
      </w:r>
      <w:r>
        <w:rPr>
          <w:b/>
          <w:bCs/>
          <w:i/>
          <w:iCs/>
          <w:sz w:val="24"/>
          <w:szCs w:val="24"/>
        </w:rPr>
        <w:instrText xml:space="preserve"> REF _Ref25886 \h </w:instrText>
      </w:r>
      <w:r>
        <w:rPr>
          <w:b/>
          <w:bCs/>
          <w:i/>
          <w:iCs/>
          <w:sz w:val="24"/>
          <w:szCs w:val="24"/>
        </w:rPr>
      </w:r>
      <w:r>
        <w:rPr>
          <w:b/>
          <w:bCs/>
          <w:i/>
          <w:iCs/>
          <w:sz w:val="24"/>
          <w:szCs w:val="24"/>
        </w:rPr>
        <w:fldChar w:fldCharType="separate"/>
      </w:r>
      <w:r>
        <w:t>Figura 74</w:t>
      </w:r>
      <w:r>
        <w:rPr>
          <w:b/>
          <w:bCs/>
          <w:i/>
          <w:iCs/>
          <w:sz w:val="24"/>
          <w:szCs w:val="24"/>
        </w:rPr>
        <w:fldChar w:fldCharType="end"/>
      </w:r>
      <w:r>
        <w:rPr>
          <w:b/>
          <w:sz w:val="24"/>
          <w:szCs w:val="24"/>
        </w:rPr>
        <w:t>.</w:t>
      </w:r>
      <w:r>
        <w:rPr>
          <w:sz w:val="24"/>
          <w:szCs w:val="24"/>
        </w:rPr>
        <w:t xml:space="preserve"> În toate cazurile se vor avea în vedere prevederile </w:t>
      </w:r>
      <w:r>
        <w:rPr>
          <w:b/>
          <w:bCs/>
          <w:sz w:val="24"/>
          <w:szCs w:val="24"/>
        </w:rPr>
        <w:t>Art. 8.1.2.</w:t>
      </w:r>
    </w:p>
    <w:p w14:paraId="0512956B" w14:textId="77777777" w:rsidR="001C08A5" w:rsidRDefault="00000000">
      <w:pPr>
        <w:pStyle w:val="Default"/>
        <w:jc w:val="center"/>
        <w:rPr>
          <w:rFonts w:ascii="Times New Roman" w:hAnsi="Times New Roman" w:cs="Times New Roman"/>
          <w:color w:val="auto"/>
          <w:lang w:val="ro-RO" w:eastAsia="ro-RO"/>
        </w:rPr>
      </w:pPr>
      <w:r>
        <w:rPr>
          <w:rFonts w:ascii="Times New Roman" w:hAnsi="Times New Roman" w:cs="Times New Roman"/>
          <w:noProof/>
          <w:color w:val="auto"/>
          <w:lang w:val="ro-RO" w:eastAsia="ro-RO"/>
        </w:rPr>
        <w:lastRenderedPageBreak/>
        <w:drawing>
          <wp:inline distT="0" distB="0" distL="114300" distR="114300" wp14:anchorId="71DE3A73" wp14:editId="757541C3">
            <wp:extent cx="3177540" cy="2159000"/>
            <wp:effectExtent l="0" t="0" r="0" b="0"/>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
                    <pic:cNvPicPr>
                      <a:picLocks noChangeAspect="1"/>
                    </pic:cNvPicPr>
                  </pic:nvPicPr>
                  <pic:blipFill>
                    <a:blip r:embed="rId201"/>
                    <a:srcRect l="13780" t="4189" r="44124" b="56026"/>
                    <a:stretch>
                      <a:fillRect/>
                    </a:stretch>
                  </pic:blipFill>
                  <pic:spPr>
                    <a:xfrm>
                      <a:off x="0" y="0"/>
                      <a:ext cx="3177540" cy="2159000"/>
                    </a:xfrm>
                    <a:prstGeom prst="rect">
                      <a:avLst/>
                    </a:prstGeom>
                    <a:noFill/>
                    <a:ln>
                      <a:noFill/>
                    </a:ln>
                  </pic:spPr>
                </pic:pic>
              </a:graphicData>
            </a:graphic>
          </wp:inline>
        </w:drawing>
      </w:r>
    </w:p>
    <w:p w14:paraId="34FAE49E" w14:textId="77777777" w:rsidR="001C08A5" w:rsidRDefault="00000000">
      <w:pPr>
        <w:pStyle w:val="Caption"/>
        <w:jc w:val="center"/>
        <w:rPr>
          <w:rFonts w:cs="Times New Roman"/>
          <w:bCs/>
        </w:rPr>
      </w:pPr>
      <w:bookmarkStart w:id="4440" w:name="_Ref25886"/>
      <w:bookmarkStart w:id="4441" w:name="_Toc162360298"/>
      <w:r>
        <w:t xml:space="preserve">Figura </w:t>
      </w:r>
      <w:r>
        <w:fldChar w:fldCharType="begin"/>
      </w:r>
      <w:r>
        <w:instrText xml:space="preserve"> SEQ Figura \* ARABIC </w:instrText>
      </w:r>
      <w:r>
        <w:fldChar w:fldCharType="separate"/>
      </w:r>
      <w:r>
        <w:t>74</w:t>
      </w:r>
      <w:r>
        <w:fldChar w:fldCharType="end"/>
      </w:r>
      <w:bookmarkStart w:id="4442" w:name="_Toc2489"/>
      <w:bookmarkStart w:id="4443" w:name="_Toc557"/>
      <w:bookmarkStart w:id="4444" w:name="_Toc22550"/>
      <w:bookmarkStart w:id="4445" w:name="_Toc17844"/>
      <w:bookmarkStart w:id="4446" w:name="_Toc21154"/>
      <w:bookmarkStart w:id="4447" w:name="_Toc24911"/>
      <w:bookmarkStart w:id="4448" w:name="_Toc643"/>
      <w:bookmarkStart w:id="4449" w:name="_Toc31570"/>
      <w:bookmarkStart w:id="4450" w:name="_Toc7049"/>
      <w:bookmarkStart w:id="4451" w:name="_Toc3800"/>
      <w:bookmarkStart w:id="4452" w:name="_Toc14801"/>
      <w:bookmarkEnd w:id="4440"/>
      <w:r>
        <w:t xml:space="preserve"> - P</w:t>
      </w:r>
      <w:r>
        <w:rPr>
          <w:rFonts w:cs="Times New Roman"/>
          <w:bCs/>
        </w:rPr>
        <w:t>lafoane cu suprafața continuă sau discontinuă / modulară la clădiri foarte înalte la care nu este necesară întreruperea cu diafragme (atunci când spațiul dintre plafonul suspendat și planşeul de rezistenţă este echipat cu instalație automată de stingere cu sprinklere conform SR EN 12845)</w:t>
      </w:r>
      <w:bookmarkEnd w:id="4441"/>
      <w:bookmarkEnd w:id="4442"/>
      <w:bookmarkEnd w:id="4443"/>
      <w:bookmarkEnd w:id="4444"/>
      <w:bookmarkEnd w:id="4445"/>
      <w:bookmarkEnd w:id="4446"/>
      <w:bookmarkEnd w:id="4447"/>
      <w:bookmarkEnd w:id="4448"/>
      <w:bookmarkEnd w:id="4449"/>
      <w:bookmarkEnd w:id="4450"/>
      <w:bookmarkEnd w:id="4451"/>
      <w:bookmarkEnd w:id="4452"/>
    </w:p>
    <w:p w14:paraId="18214476" w14:textId="77777777" w:rsidR="001C08A5" w:rsidRDefault="001C08A5">
      <w:pPr>
        <w:pStyle w:val="Default"/>
        <w:jc w:val="center"/>
        <w:rPr>
          <w:rFonts w:ascii="Times New Roman" w:hAnsi="Times New Roman" w:cs="Times New Roman"/>
          <w:b/>
          <w:bCs/>
          <w:i/>
          <w:iCs/>
          <w:color w:val="auto"/>
          <w:lang w:val="ro-RO" w:eastAsia="ro-RO"/>
        </w:rPr>
      </w:pPr>
    </w:p>
    <w:p w14:paraId="4F4C2C25" w14:textId="77777777" w:rsidR="001C08A5" w:rsidRDefault="00000000">
      <w:pPr>
        <w:ind w:firstLine="720"/>
        <w:jc w:val="both"/>
        <w:rPr>
          <w:b/>
          <w:bCs/>
          <w:sz w:val="24"/>
          <w:szCs w:val="24"/>
        </w:rPr>
      </w:pPr>
      <w:r>
        <w:rPr>
          <w:b/>
          <w:sz w:val="24"/>
          <w:szCs w:val="24"/>
        </w:rPr>
        <w:t xml:space="preserve">Art. 4.2.4.4. (1) </w:t>
      </w:r>
      <w:r>
        <w:rPr>
          <w:sz w:val="24"/>
          <w:szCs w:val="24"/>
        </w:rPr>
        <w:t xml:space="preserve">Finisajele interioare ale pereţilor, plafoanelor și pardoselilor încăperilor (cu exceptia căilor comune de circulaţie funcţională şi evacuare a utilizatorilor) din cadrul clădirilor foarte înalte trebuie să fie clasa de reacţie la foc </w:t>
      </w:r>
      <w:r>
        <w:rPr>
          <w:bCs/>
          <w:sz w:val="24"/>
          <w:szCs w:val="24"/>
        </w:rPr>
        <w:t xml:space="preserve">minimum </w:t>
      </w:r>
      <w:r>
        <w:rPr>
          <w:b/>
          <w:sz w:val="24"/>
          <w:szCs w:val="24"/>
        </w:rPr>
        <w:t>B-s1d0</w:t>
      </w:r>
      <w:r>
        <w:rPr>
          <w:sz w:val="24"/>
          <w:szCs w:val="24"/>
        </w:rPr>
        <w:t xml:space="preserve">, respectiv </w:t>
      </w:r>
      <w:r>
        <w:rPr>
          <w:bCs/>
          <w:sz w:val="24"/>
          <w:szCs w:val="24"/>
        </w:rPr>
        <w:t xml:space="preserve">minimum </w:t>
      </w:r>
      <w:r>
        <w:rPr>
          <w:b/>
          <w:sz w:val="24"/>
          <w:szCs w:val="24"/>
        </w:rPr>
        <w:t>B</w:t>
      </w:r>
      <w:r>
        <w:rPr>
          <w:b/>
          <w:bCs/>
          <w:sz w:val="24"/>
          <w:szCs w:val="24"/>
          <w:vertAlign w:val="subscript"/>
        </w:rPr>
        <w:t>FL</w:t>
      </w:r>
      <w:r>
        <w:rPr>
          <w:b/>
          <w:bCs/>
          <w:sz w:val="24"/>
          <w:szCs w:val="24"/>
        </w:rPr>
        <w:t>-s1.</w:t>
      </w:r>
    </w:p>
    <w:p w14:paraId="38467A02" w14:textId="77777777" w:rsidR="001C08A5" w:rsidRDefault="00000000">
      <w:pPr>
        <w:ind w:firstLine="720"/>
        <w:jc w:val="both"/>
        <w:rPr>
          <w:b/>
          <w:sz w:val="24"/>
          <w:szCs w:val="24"/>
        </w:rPr>
      </w:pPr>
      <w:r>
        <w:rPr>
          <w:b/>
          <w:bCs/>
          <w:sz w:val="24"/>
          <w:szCs w:val="24"/>
        </w:rPr>
        <w:t xml:space="preserve">(2) </w:t>
      </w:r>
      <w:r>
        <w:rPr>
          <w:sz w:val="24"/>
          <w:szCs w:val="24"/>
        </w:rPr>
        <w:t xml:space="preserve">În încăpererile și spațiile (de lucru - pentru funcțiunea administrativă) deschise tip open space, se admit și finisaje clasa de reactie la foc minimum </w:t>
      </w:r>
      <w:r>
        <w:rPr>
          <w:b/>
          <w:sz w:val="24"/>
          <w:szCs w:val="24"/>
        </w:rPr>
        <w:t>B-s2d0</w:t>
      </w:r>
      <w:r>
        <w:rPr>
          <w:sz w:val="24"/>
          <w:szCs w:val="24"/>
        </w:rPr>
        <w:t xml:space="preserve"> din folii cu grosimea de maxim </w:t>
      </w:r>
      <w:r>
        <w:rPr>
          <w:b/>
          <w:bCs/>
          <w:sz w:val="24"/>
          <w:szCs w:val="24"/>
        </w:rPr>
        <w:t>0,5 cm</w:t>
      </w:r>
      <w:r>
        <w:rPr>
          <w:sz w:val="24"/>
          <w:szCs w:val="24"/>
        </w:rPr>
        <w:t xml:space="preserve"> care se lipesc pe suport </w:t>
      </w:r>
      <w:r>
        <w:rPr>
          <w:b/>
          <w:sz w:val="24"/>
          <w:szCs w:val="24"/>
        </w:rPr>
        <w:t>A1</w:t>
      </w:r>
      <w:r>
        <w:rPr>
          <w:sz w:val="24"/>
          <w:szCs w:val="24"/>
        </w:rPr>
        <w:t xml:space="preserve"> sau </w:t>
      </w:r>
      <w:r>
        <w:rPr>
          <w:b/>
          <w:sz w:val="24"/>
          <w:szCs w:val="24"/>
        </w:rPr>
        <w:t xml:space="preserve">A2-s1d0 și </w:t>
      </w:r>
      <w:r>
        <w:rPr>
          <w:sz w:val="24"/>
          <w:szCs w:val="24"/>
        </w:rPr>
        <w:t xml:space="preserve">mochete minimum </w:t>
      </w:r>
      <w:r>
        <w:rPr>
          <w:b/>
          <w:sz w:val="24"/>
          <w:szCs w:val="24"/>
        </w:rPr>
        <w:t>B</w:t>
      </w:r>
      <w:r>
        <w:rPr>
          <w:b/>
          <w:sz w:val="24"/>
          <w:szCs w:val="24"/>
          <w:vertAlign w:val="subscript"/>
        </w:rPr>
        <w:t>FL</w:t>
      </w:r>
      <w:r>
        <w:rPr>
          <w:b/>
          <w:sz w:val="24"/>
          <w:szCs w:val="24"/>
        </w:rPr>
        <w:t>-s1,</w:t>
      </w:r>
      <w:r>
        <w:rPr>
          <w:sz w:val="24"/>
          <w:szCs w:val="24"/>
        </w:rPr>
        <w:t xml:space="preserve"> cu grosimea de maxim </w:t>
      </w:r>
      <w:r>
        <w:rPr>
          <w:b/>
          <w:bCs/>
          <w:sz w:val="24"/>
          <w:szCs w:val="24"/>
        </w:rPr>
        <w:t>2 cm</w:t>
      </w:r>
      <w:r>
        <w:rPr>
          <w:sz w:val="24"/>
          <w:szCs w:val="24"/>
        </w:rPr>
        <w:t xml:space="preserve">, montate direct sau pe un strat fonoizolator la zgomot de impact/ strat vibroamortizant </w:t>
      </w:r>
      <w:r>
        <w:rPr>
          <w:b/>
          <w:sz w:val="24"/>
          <w:szCs w:val="24"/>
        </w:rPr>
        <w:t>A1</w:t>
      </w:r>
      <w:r>
        <w:rPr>
          <w:sz w:val="24"/>
          <w:szCs w:val="24"/>
        </w:rPr>
        <w:t xml:space="preserve"> sau </w:t>
      </w:r>
      <w:r>
        <w:rPr>
          <w:b/>
          <w:sz w:val="24"/>
          <w:szCs w:val="24"/>
        </w:rPr>
        <w:t>A2-s1d0</w:t>
      </w:r>
      <w:r>
        <w:rPr>
          <w:sz w:val="24"/>
          <w:szCs w:val="24"/>
        </w:rPr>
        <w:t xml:space="preserve">, care se lipesc sau se aseaza liber pe suport </w:t>
      </w:r>
      <w:r>
        <w:rPr>
          <w:b/>
          <w:sz w:val="24"/>
          <w:szCs w:val="24"/>
        </w:rPr>
        <w:t>A1</w:t>
      </w:r>
      <w:r>
        <w:rPr>
          <w:sz w:val="24"/>
          <w:szCs w:val="24"/>
        </w:rPr>
        <w:t xml:space="preserve"> sau </w:t>
      </w:r>
      <w:r>
        <w:rPr>
          <w:b/>
          <w:sz w:val="24"/>
          <w:szCs w:val="24"/>
        </w:rPr>
        <w:t xml:space="preserve">A2-s1d0, </w:t>
      </w:r>
      <w:r>
        <w:rPr>
          <w:bCs/>
          <w:sz w:val="24"/>
          <w:szCs w:val="24"/>
        </w:rPr>
        <w:t xml:space="preserve">atunci cand </w:t>
      </w:r>
      <w:r>
        <w:rPr>
          <w:sz w:val="24"/>
          <w:szCs w:val="24"/>
        </w:rPr>
        <w:t>încăperile tip open space</w:t>
      </w:r>
      <w:r>
        <w:rPr>
          <w:bCs/>
          <w:sz w:val="24"/>
          <w:szCs w:val="24"/>
        </w:rPr>
        <w:t xml:space="preserve"> sunt delimitate de coridoare de evacuare spre încăperi tampon </w:t>
      </w:r>
      <w:r>
        <w:rPr>
          <w:sz w:val="24"/>
          <w:szCs w:val="24"/>
        </w:rPr>
        <w:t>ventilate în suprapresiune</w:t>
      </w:r>
      <w:r>
        <w:rPr>
          <w:bCs/>
          <w:sz w:val="24"/>
          <w:szCs w:val="24"/>
        </w:rPr>
        <w:t xml:space="preserve"> la scările de evacuare</w:t>
      </w:r>
      <w:r>
        <w:rPr>
          <w:b/>
          <w:sz w:val="24"/>
          <w:szCs w:val="24"/>
        </w:rPr>
        <w:t xml:space="preserve">. </w:t>
      </w:r>
    </w:p>
    <w:p w14:paraId="02C36E28" w14:textId="77777777" w:rsidR="001C08A5" w:rsidRDefault="00000000">
      <w:pPr>
        <w:ind w:firstLine="720"/>
        <w:jc w:val="both"/>
        <w:rPr>
          <w:b/>
          <w:sz w:val="24"/>
          <w:szCs w:val="24"/>
        </w:rPr>
      </w:pPr>
      <w:r>
        <w:rPr>
          <w:b/>
          <w:bCs/>
          <w:sz w:val="24"/>
          <w:szCs w:val="24"/>
        </w:rPr>
        <w:t>(3)</w:t>
      </w:r>
      <w:r>
        <w:rPr>
          <w:b/>
          <w:sz w:val="24"/>
          <w:szCs w:val="24"/>
        </w:rPr>
        <w:t xml:space="preserve"> </w:t>
      </w:r>
      <w:r>
        <w:rPr>
          <w:bCs/>
          <w:sz w:val="24"/>
          <w:szCs w:val="24"/>
        </w:rPr>
        <w:t>În</w:t>
      </w:r>
      <w:r>
        <w:rPr>
          <w:b/>
          <w:sz w:val="24"/>
          <w:szCs w:val="24"/>
        </w:rPr>
        <w:t xml:space="preserve"> </w:t>
      </w:r>
      <w:r>
        <w:rPr>
          <w:sz w:val="24"/>
          <w:szCs w:val="24"/>
        </w:rPr>
        <w:t xml:space="preserve">încăperile și spațiile (de lucru - pentru funcțiunea administrativă) deschise, pentru activități care necesită o comunicare frecventă se admit și finisaje clasa de reactie la foc minimum </w:t>
      </w:r>
      <w:r>
        <w:rPr>
          <w:b/>
          <w:sz w:val="24"/>
          <w:szCs w:val="24"/>
        </w:rPr>
        <w:t>B-s1d0</w:t>
      </w:r>
      <w:r>
        <w:rPr>
          <w:sz w:val="24"/>
          <w:szCs w:val="24"/>
        </w:rPr>
        <w:t xml:space="preserve"> din folii cu grosimea de maxim </w:t>
      </w:r>
      <w:r>
        <w:rPr>
          <w:b/>
          <w:bCs/>
          <w:sz w:val="24"/>
          <w:szCs w:val="24"/>
        </w:rPr>
        <w:t>0,5 cm</w:t>
      </w:r>
      <w:r>
        <w:rPr>
          <w:sz w:val="24"/>
          <w:szCs w:val="24"/>
        </w:rPr>
        <w:t xml:space="preserve"> care se lipesc pe suport </w:t>
      </w:r>
      <w:r>
        <w:rPr>
          <w:b/>
          <w:sz w:val="24"/>
          <w:szCs w:val="24"/>
        </w:rPr>
        <w:t>A1</w:t>
      </w:r>
      <w:r>
        <w:rPr>
          <w:sz w:val="24"/>
          <w:szCs w:val="24"/>
        </w:rPr>
        <w:t xml:space="preserve"> sau </w:t>
      </w:r>
      <w:r>
        <w:rPr>
          <w:b/>
          <w:sz w:val="24"/>
          <w:szCs w:val="24"/>
        </w:rPr>
        <w:t xml:space="preserve">A2-s1d0 și </w:t>
      </w:r>
      <w:r>
        <w:rPr>
          <w:sz w:val="24"/>
          <w:szCs w:val="24"/>
        </w:rPr>
        <w:t xml:space="preserve">mochete minimum </w:t>
      </w:r>
      <w:r>
        <w:rPr>
          <w:b/>
          <w:sz w:val="24"/>
          <w:szCs w:val="24"/>
        </w:rPr>
        <w:t>B</w:t>
      </w:r>
      <w:r>
        <w:rPr>
          <w:b/>
          <w:sz w:val="24"/>
          <w:szCs w:val="24"/>
          <w:vertAlign w:val="subscript"/>
        </w:rPr>
        <w:t>FL</w:t>
      </w:r>
      <w:r>
        <w:rPr>
          <w:b/>
          <w:sz w:val="24"/>
          <w:szCs w:val="24"/>
        </w:rPr>
        <w:t>-s1,</w:t>
      </w:r>
      <w:r>
        <w:rPr>
          <w:sz w:val="24"/>
          <w:szCs w:val="24"/>
        </w:rPr>
        <w:t xml:space="preserve"> cu grosimea de maximum </w:t>
      </w:r>
      <w:r>
        <w:rPr>
          <w:b/>
          <w:bCs/>
          <w:sz w:val="24"/>
          <w:szCs w:val="24"/>
        </w:rPr>
        <w:t>2 cm</w:t>
      </w:r>
      <w:r>
        <w:rPr>
          <w:sz w:val="24"/>
          <w:szCs w:val="24"/>
        </w:rPr>
        <w:t xml:space="preserve">, montate direct sau pe un strat fonoizolator la zgomot de impact/ strat vibroamortizant </w:t>
      </w:r>
      <w:r>
        <w:rPr>
          <w:b/>
          <w:sz w:val="24"/>
          <w:szCs w:val="24"/>
        </w:rPr>
        <w:t>A1</w:t>
      </w:r>
      <w:r>
        <w:rPr>
          <w:sz w:val="24"/>
          <w:szCs w:val="24"/>
        </w:rPr>
        <w:t xml:space="preserve"> sau </w:t>
      </w:r>
      <w:r>
        <w:rPr>
          <w:b/>
          <w:sz w:val="24"/>
          <w:szCs w:val="24"/>
        </w:rPr>
        <w:t>A2-s1d0</w:t>
      </w:r>
      <w:r>
        <w:rPr>
          <w:sz w:val="24"/>
          <w:szCs w:val="24"/>
        </w:rPr>
        <w:t xml:space="preserve">, care se lipesc pe suport </w:t>
      </w:r>
      <w:r>
        <w:rPr>
          <w:b/>
          <w:sz w:val="24"/>
          <w:szCs w:val="24"/>
        </w:rPr>
        <w:t>A1</w:t>
      </w:r>
      <w:r>
        <w:rPr>
          <w:sz w:val="24"/>
          <w:szCs w:val="24"/>
        </w:rPr>
        <w:t xml:space="preserve"> sau </w:t>
      </w:r>
      <w:r>
        <w:rPr>
          <w:b/>
          <w:sz w:val="24"/>
          <w:szCs w:val="24"/>
        </w:rPr>
        <w:t xml:space="preserve">A2-s1d0 </w:t>
      </w:r>
      <w:r>
        <w:rPr>
          <w:bCs/>
          <w:sz w:val="24"/>
          <w:szCs w:val="24"/>
        </w:rPr>
        <w:t xml:space="preserve">atunci cand </w:t>
      </w:r>
      <w:r>
        <w:rPr>
          <w:sz w:val="24"/>
          <w:szCs w:val="24"/>
        </w:rPr>
        <w:t>incaperile (de lucru - pentru funcțiunea administrativă) deschise, pentru activități care necesită o comunicare frecventă</w:t>
      </w:r>
      <w:r>
        <w:rPr>
          <w:bCs/>
          <w:sz w:val="24"/>
          <w:szCs w:val="24"/>
        </w:rPr>
        <w:t xml:space="preserve"> sunt cu acces direct spre incaperi tampon protejate, </w:t>
      </w:r>
      <w:r>
        <w:rPr>
          <w:sz w:val="24"/>
          <w:szCs w:val="24"/>
        </w:rPr>
        <w:t>ventilate în suprapresiune,</w:t>
      </w:r>
      <w:r>
        <w:rPr>
          <w:bCs/>
          <w:sz w:val="24"/>
          <w:szCs w:val="24"/>
        </w:rPr>
        <w:t xml:space="preserve"> la scările de evacuare.</w:t>
      </w:r>
    </w:p>
    <w:p w14:paraId="1E659654" w14:textId="77777777" w:rsidR="001C08A5" w:rsidRDefault="00000000">
      <w:pPr>
        <w:pStyle w:val="BodyText"/>
        <w:rPr>
          <w:i w:val="0"/>
          <w:iCs/>
        </w:rPr>
      </w:pPr>
      <w:r>
        <w:tab/>
      </w:r>
      <w:r>
        <w:rPr>
          <w:i w:val="0"/>
          <w:iCs/>
        </w:rPr>
        <w:t xml:space="preserve">(4) </w:t>
      </w:r>
      <w:r>
        <w:rPr>
          <w:b w:val="0"/>
          <w:i w:val="0"/>
          <w:iCs/>
        </w:rPr>
        <w:t xml:space="preserve">Pardoselile supraînălţate utilizate în încăperi se realizeaza conform </w:t>
      </w:r>
      <w:r>
        <w:rPr>
          <w:i w:val="0"/>
          <w:iCs/>
        </w:rPr>
        <w:t>Art. 2.4.5.4.</w:t>
      </w:r>
    </w:p>
    <w:p w14:paraId="3A44C4EC" w14:textId="77777777" w:rsidR="001C08A5" w:rsidRDefault="00000000">
      <w:pPr>
        <w:pStyle w:val="BodyText"/>
        <w:rPr>
          <w:b w:val="0"/>
          <w:i w:val="0"/>
          <w:iCs/>
        </w:rPr>
      </w:pPr>
      <w:r>
        <w:rPr>
          <w:i w:val="0"/>
          <w:iCs/>
        </w:rPr>
        <w:tab/>
        <w:t>(5)</w:t>
      </w:r>
      <w:r>
        <w:rPr>
          <w:b w:val="0"/>
          <w:i w:val="0"/>
          <w:iCs/>
        </w:rPr>
        <w:t xml:space="preserve"> Tratamentee şi izolaţiile termice și fonice interioare utilizate în încăperi trebuie să fie clasa de reacție la foc </w:t>
      </w:r>
      <w:r>
        <w:rPr>
          <w:i w:val="0"/>
          <w:iCs/>
        </w:rPr>
        <w:t xml:space="preserve">A1 </w:t>
      </w:r>
      <w:r>
        <w:rPr>
          <w:b w:val="0"/>
          <w:i w:val="0"/>
          <w:iCs/>
        </w:rPr>
        <w:t>sau</w:t>
      </w:r>
      <w:r>
        <w:rPr>
          <w:i w:val="0"/>
          <w:iCs/>
        </w:rPr>
        <w:t xml:space="preserve"> A2-s1d0</w:t>
      </w:r>
      <w:r>
        <w:rPr>
          <w:b w:val="0"/>
          <w:i w:val="0"/>
          <w:iCs/>
        </w:rPr>
        <w:t xml:space="preserve">, respectiv </w:t>
      </w:r>
      <w:r>
        <w:rPr>
          <w:i w:val="0"/>
          <w:iCs/>
        </w:rPr>
        <w:t>A1</w:t>
      </w:r>
      <w:r>
        <w:rPr>
          <w:i w:val="0"/>
          <w:iCs/>
          <w:vertAlign w:val="subscript"/>
        </w:rPr>
        <w:t>FL</w:t>
      </w:r>
      <w:r>
        <w:rPr>
          <w:b w:val="0"/>
          <w:i w:val="0"/>
          <w:iCs/>
        </w:rPr>
        <w:t>sau</w:t>
      </w:r>
      <w:r>
        <w:rPr>
          <w:i w:val="0"/>
          <w:iCs/>
        </w:rPr>
        <w:t xml:space="preserve"> A2</w:t>
      </w:r>
      <w:r>
        <w:rPr>
          <w:i w:val="0"/>
          <w:iCs/>
          <w:vertAlign w:val="subscript"/>
        </w:rPr>
        <w:t>FL</w:t>
      </w:r>
      <w:r>
        <w:rPr>
          <w:i w:val="0"/>
          <w:iCs/>
        </w:rPr>
        <w:t>-s1</w:t>
      </w:r>
      <w:r>
        <w:rPr>
          <w:b w:val="0"/>
          <w:i w:val="0"/>
          <w:iCs/>
        </w:rPr>
        <w:t>.</w:t>
      </w:r>
    </w:p>
    <w:p w14:paraId="7B43693F" w14:textId="77777777" w:rsidR="001C08A5" w:rsidRDefault="001C08A5">
      <w:pPr>
        <w:jc w:val="both"/>
        <w:rPr>
          <w:b/>
          <w:sz w:val="24"/>
          <w:szCs w:val="24"/>
        </w:rPr>
      </w:pPr>
    </w:p>
    <w:p w14:paraId="64299C15" w14:textId="77777777" w:rsidR="001C08A5" w:rsidRDefault="00000000">
      <w:pPr>
        <w:ind w:firstLine="720"/>
        <w:jc w:val="both"/>
        <w:rPr>
          <w:strike/>
          <w:sz w:val="24"/>
          <w:szCs w:val="24"/>
        </w:rPr>
      </w:pPr>
      <w:r>
        <w:rPr>
          <w:b/>
          <w:sz w:val="24"/>
          <w:szCs w:val="24"/>
        </w:rPr>
        <w:t>Art. 4.2.4.5. (1)</w:t>
      </w:r>
      <w:r>
        <w:rPr>
          <w:sz w:val="24"/>
          <w:szCs w:val="24"/>
        </w:rPr>
        <w:t xml:space="preserve"> Ghenele verticale pentru instalaţii se separă de restul clădirii foarte înalte prin pereţi </w:t>
      </w:r>
      <w:r>
        <w:rPr>
          <w:rFonts w:eastAsia="TimesNewRomanPSMT-Identity-H"/>
          <w:iCs/>
          <w:sz w:val="24"/>
          <w:szCs w:val="24"/>
        </w:rPr>
        <w:t xml:space="preserve">clasa de reacție la foc </w:t>
      </w:r>
      <w:r>
        <w:rPr>
          <w:b/>
          <w:bCs/>
          <w:iCs/>
          <w:sz w:val="24"/>
          <w:szCs w:val="24"/>
          <w:lang w:val="en-GB"/>
        </w:rPr>
        <w:t>A1, A2s1d0</w:t>
      </w:r>
      <w:r>
        <w:rPr>
          <w:rFonts w:eastAsia="Calibri"/>
          <w:iCs/>
          <w:sz w:val="24"/>
          <w:szCs w:val="24"/>
          <w:shd w:val="clear" w:color="auto" w:fill="FFFFFF"/>
        </w:rPr>
        <w:t xml:space="preserve"> cu rezistența la foc minimum </w:t>
      </w:r>
      <w:r>
        <w:rPr>
          <w:b/>
          <w:sz w:val="24"/>
          <w:szCs w:val="24"/>
        </w:rPr>
        <w:t>EI/REI 60 pentru înălțimi de până la h</w:t>
      </w:r>
      <w:r>
        <w:rPr>
          <w:rFonts w:ascii="Arial" w:hAnsi="Arial" w:cs="Arial"/>
          <w:bCs/>
          <w:sz w:val="24"/>
          <w:szCs w:val="24"/>
          <w:lang w:val="en-US"/>
        </w:rPr>
        <w:t>&lt;</w:t>
      </w:r>
      <w:r>
        <w:rPr>
          <w:b/>
          <w:sz w:val="24"/>
          <w:szCs w:val="24"/>
        </w:rPr>
        <w:t xml:space="preserve">125 m și EI/REI 90 pentru </w:t>
      </w:r>
      <w:r>
        <w:rPr>
          <w:b/>
          <w:sz w:val="24"/>
          <w:szCs w:val="24"/>
          <w:lang w:val="en-GB"/>
        </w:rPr>
        <w:t>înălțimi cu h</w:t>
      </w:r>
      <w:r>
        <w:rPr>
          <w:rFonts w:hint="eastAsia"/>
          <w:b/>
          <w:bCs/>
          <w:sz w:val="24"/>
          <w:szCs w:val="24"/>
        </w:rPr>
        <w:t>≥</w:t>
      </w:r>
      <w:r>
        <w:rPr>
          <w:b/>
          <w:sz w:val="24"/>
          <w:szCs w:val="24"/>
          <w:lang w:val="en-GB"/>
        </w:rPr>
        <w:t>125m</w:t>
      </w:r>
      <w:r>
        <w:rPr>
          <w:sz w:val="24"/>
          <w:szCs w:val="24"/>
        </w:rPr>
        <w:t xml:space="preserve">. </w:t>
      </w:r>
      <w:r>
        <w:rPr>
          <w:rFonts w:eastAsia="Calibri"/>
          <w:iCs/>
          <w:sz w:val="24"/>
          <w:szCs w:val="24"/>
          <w:shd w:val="clear" w:color="auto" w:fill="FFFFFF"/>
        </w:rPr>
        <w:t xml:space="preserve">Trapele și ușile de vizitare practicate în pereții ghenelor verticale trebuie să fie realizate din materiale </w:t>
      </w:r>
      <w:r>
        <w:rPr>
          <w:b/>
          <w:bCs/>
          <w:iCs/>
          <w:sz w:val="24"/>
          <w:szCs w:val="24"/>
          <w:lang w:val="en-GB"/>
        </w:rPr>
        <w:t>A1, A2s1d0</w:t>
      </w:r>
      <w:r>
        <w:rPr>
          <w:rFonts w:eastAsia="Calibri"/>
          <w:iCs/>
          <w:sz w:val="24"/>
          <w:szCs w:val="24"/>
          <w:shd w:val="clear" w:color="auto" w:fill="FFFFFF"/>
        </w:rPr>
        <w:t xml:space="preserve"> cu rezistența la foc minimum </w:t>
      </w:r>
      <w:r>
        <w:rPr>
          <w:rFonts w:eastAsia="Calibri"/>
          <w:b/>
          <w:bCs/>
          <w:iCs/>
          <w:sz w:val="24"/>
          <w:szCs w:val="24"/>
          <w:shd w:val="clear" w:color="auto" w:fill="FFFFFF"/>
        </w:rPr>
        <w:t xml:space="preserve">EI 45 </w:t>
      </w:r>
      <w:r>
        <w:rPr>
          <w:b/>
          <w:sz w:val="24"/>
          <w:szCs w:val="24"/>
        </w:rPr>
        <w:t>pentru înălțimi de până la h</w:t>
      </w:r>
      <w:r>
        <w:rPr>
          <w:rFonts w:ascii="Arial" w:hAnsi="Arial" w:cs="Arial"/>
          <w:bCs/>
          <w:sz w:val="24"/>
          <w:szCs w:val="24"/>
          <w:lang w:val="en-US"/>
        </w:rPr>
        <w:t>&lt;</w:t>
      </w:r>
      <w:r>
        <w:rPr>
          <w:b/>
          <w:sz w:val="24"/>
          <w:szCs w:val="24"/>
        </w:rPr>
        <w:t xml:space="preserve">125 m și EI/60 pentru </w:t>
      </w:r>
      <w:r>
        <w:rPr>
          <w:b/>
          <w:sz w:val="24"/>
          <w:szCs w:val="24"/>
          <w:lang w:val="en-GB"/>
        </w:rPr>
        <w:t>înălțimi cu h</w:t>
      </w:r>
      <w:r>
        <w:rPr>
          <w:rFonts w:hint="eastAsia"/>
          <w:b/>
          <w:bCs/>
          <w:sz w:val="24"/>
          <w:szCs w:val="24"/>
        </w:rPr>
        <w:t>≥</w:t>
      </w:r>
      <w:r>
        <w:rPr>
          <w:b/>
          <w:sz w:val="24"/>
          <w:szCs w:val="24"/>
          <w:lang w:val="en-GB"/>
        </w:rPr>
        <w:t xml:space="preserve">125 </w:t>
      </w:r>
      <w:r>
        <w:rPr>
          <w:rFonts w:eastAsia="Calibri"/>
          <w:iCs/>
          <w:sz w:val="24"/>
          <w:szCs w:val="24"/>
          <w:shd w:val="clear" w:color="auto" w:fill="FFFFFF"/>
        </w:rPr>
        <w:t xml:space="preserve">și nu </w:t>
      </w:r>
      <w:r>
        <w:rPr>
          <w:sz w:val="24"/>
          <w:szCs w:val="24"/>
        </w:rPr>
        <w:t xml:space="preserve">vor fi amplasate în case de scări de evacuare. În acest caz ghenele verticale pentru instalaţii se etanşază în jurul și în interiorul (acolo unde este justificat tehnic) conductelor şi în jurul cablurilor la trecerea prin planşee, cu materiale incombustibile având aceeaşi rezistenţă la foc cu cea a elementului străpuns. </w:t>
      </w:r>
    </w:p>
    <w:p w14:paraId="2B55B7C2" w14:textId="77777777" w:rsidR="001C08A5" w:rsidRDefault="00000000">
      <w:pPr>
        <w:numPr>
          <w:ilvl w:val="0"/>
          <w:numId w:val="87"/>
        </w:numPr>
        <w:jc w:val="both"/>
        <w:rPr>
          <w:b/>
          <w:sz w:val="24"/>
          <w:szCs w:val="24"/>
        </w:rPr>
      </w:pPr>
      <w:r>
        <w:rPr>
          <w:sz w:val="24"/>
          <w:szCs w:val="24"/>
        </w:rPr>
        <w:t xml:space="preserve">Atunci când etanşarea conductelor şi a cablurilor din ghenele verticale pentru instalaţii în dreptul planşeelor nu este posibilă sau justificată tehnic, pereţii ghenelor vor fi </w:t>
      </w:r>
      <w:r>
        <w:rPr>
          <w:rFonts w:eastAsia="TimesNewRomanPSMT-Identity-H"/>
          <w:iCs/>
          <w:sz w:val="24"/>
          <w:szCs w:val="24"/>
        </w:rPr>
        <w:t xml:space="preserve">clasa de reacție la foc </w:t>
      </w:r>
      <w:r>
        <w:rPr>
          <w:b/>
          <w:bCs/>
          <w:iCs/>
          <w:sz w:val="24"/>
          <w:szCs w:val="24"/>
          <w:lang w:val="en-GB"/>
        </w:rPr>
        <w:t>A1, A2s1d0</w:t>
      </w:r>
      <w:r>
        <w:rPr>
          <w:rFonts w:eastAsia="Calibri"/>
          <w:iCs/>
          <w:sz w:val="24"/>
          <w:szCs w:val="24"/>
          <w:shd w:val="clear" w:color="auto" w:fill="FFFFFF"/>
        </w:rPr>
        <w:t xml:space="preserve"> cu rezistența la foc minimum</w:t>
      </w:r>
      <w:r>
        <w:rPr>
          <w:b/>
          <w:sz w:val="24"/>
          <w:szCs w:val="24"/>
        </w:rPr>
        <w:t>EI/REI 120 pentru înălțimi de până la h</w:t>
      </w:r>
      <w:r>
        <w:rPr>
          <w:rFonts w:ascii="Arial" w:hAnsi="Arial" w:cs="Arial"/>
          <w:bCs/>
          <w:sz w:val="24"/>
          <w:szCs w:val="24"/>
          <w:lang w:val="en-US"/>
        </w:rPr>
        <w:t>&lt;</w:t>
      </w:r>
      <w:r>
        <w:rPr>
          <w:b/>
          <w:sz w:val="24"/>
          <w:szCs w:val="24"/>
        </w:rPr>
        <w:t xml:space="preserve">125 m și EI/REI 180 pentru </w:t>
      </w:r>
      <w:r>
        <w:rPr>
          <w:b/>
          <w:sz w:val="24"/>
          <w:szCs w:val="24"/>
          <w:lang w:val="en-GB"/>
        </w:rPr>
        <w:t>înălțimi cu h</w:t>
      </w:r>
      <w:r>
        <w:rPr>
          <w:rFonts w:hint="eastAsia"/>
          <w:b/>
          <w:bCs/>
          <w:sz w:val="24"/>
          <w:szCs w:val="24"/>
        </w:rPr>
        <w:t>≥</w:t>
      </w:r>
      <w:r>
        <w:rPr>
          <w:b/>
          <w:sz w:val="24"/>
          <w:szCs w:val="24"/>
          <w:lang w:val="en-GB"/>
        </w:rPr>
        <w:t>125m,</w:t>
      </w:r>
      <w:r>
        <w:rPr>
          <w:sz w:val="24"/>
          <w:szCs w:val="24"/>
        </w:rPr>
        <w:t xml:space="preserve"> iar ușile sau trapele de vizitare ale acestora vor fi </w:t>
      </w:r>
      <w:r>
        <w:rPr>
          <w:rFonts w:eastAsia="Calibri"/>
          <w:iCs/>
          <w:sz w:val="24"/>
          <w:szCs w:val="24"/>
          <w:shd w:val="clear" w:color="auto" w:fill="FFFFFF"/>
        </w:rPr>
        <w:t xml:space="preserve"> realizate din </w:t>
      </w:r>
      <w:r>
        <w:rPr>
          <w:rFonts w:eastAsia="Calibri"/>
          <w:iCs/>
          <w:sz w:val="24"/>
          <w:szCs w:val="24"/>
          <w:shd w:val="clear" w:color="auto" w:fill="FFFFFF"/>
        </w:rPr>
        <w:lastRenderedPageBreak/>
        <w:t xml:space="preserve">materiale </w:t>
      </w:r>
      <w:r>
        <w:rPr>
          <w:b/>
          <w:bCs/>
          <w:iCs/>
          <w:sz w:val="24"/>
          <w:szCs w:val="24"/>
          <w:lang w:val="en-GB"/>
        </w:rPr>
        <w:t>A1, A2s1d0</w:t>
      </w:r>
      <w:r>
        <w:rPr>
          <w:rFonts w:eastAsia="Calibri"/>
          <w:iCs/>
          <w:sz w:val="24"/>
          <w:szCs w:val="24"/>
          <w:shd w:val="clear" w:color="auto" w:fill="FFFFFF"/>
        </w:rPr>
        <w:t xml:space="preserve"> cu rezistența la foc minimum </w:t>
      </w:r>
      <w:r>
        <w:rPr>
          <w:rFonts w:eastAsia="Calibri"/>
          <w:b/>
          <w:bCs/>
          <w:iCs/>
          <w:sz w:val="24"/>
          <w:szCs w:val="24"/>
          <w:shd w:val="clear" w:color="auto" w:fill="FFFFFF"/>
        </w:rPr>
        <w:t>EI 90</w:t>
      </w:r>
      <w:r>
        <w:rPr>
          <w:rFonts w:eastAsia="Calibri"/>
          <w:iCs/>
          <w:sz w:val="24"/>
          <w:szCs w:val="24"/>
          <w:shd w:val="clear" w:color="auto" w:fill="FFFFFF"/>
        </w:rPr>
        <w:t xml:space="preserve"> și nu </w:t>
      </w:r>
      <w:r>
        <w:rPr>
          <w:sz w:val="24"/>
          <w:szCs w:val="24"/>
        </w:rPr>
        <w:t>vor fi amplasate în case de scări de evacuare.</w:t>
      </w:r>
    </w:p>
    <w:p w14:paraId="1277570F" w14:textId="77777777" w:rsidR="001C08A5" w:rsidRDefault="001C08A5">
      <w:pPr>
        <w:jc w:val="both"/>
        <w:rPr>
          <w:sz w:val="24"/>
          <w:szCs w:val="24"/>
        </w:rPr>
      </w:pPr>
    </w:p>
    <w:p w14:paraId="07539C2A" w14:textId="77777777" w:rsidR="001C08A5" w:rsidRDefault="00000000">
      <w:pPr>
        <w:numPr>
          <w:ilvl w:val="255"/>
          <w:numId w:val="0"/>
        </w:numPr>
        <w:jc w:val="both"/>
        <w:rPr>
          <w:b/>
          <w:sz w:val="24"/>
          <w:szCs w:val="24"/>
        </w:rPr>
      </w:pPr>
      <w:r>
        <w:rPr>
          <w:b/>
          <w:sz w:val="24"/>
          <w:szCs w:val="24"/>
        </w:rPr>
        <w:tab/>
        <w:t xml:space="preserve">Art. 4.2.4.6. </w:t>
      </w:r>
      <w:r>
        <w:rPr>
          <w:rFonts w:eastAsia="Calibri"/>
          <w:iCs/>
          <w:sz w:val="24"/>
          <w:szCs w:val="24"/>
          <w:shd w:val="clear" w:color="auto" w:fill="FFFFFF"/>
        </w:rPr>
        <w:t xml:space="preserve">Ghenele verticale se separă la trecerea prin planșee care delimitează compartimente de incendiu cu elemente și materiale </w:t>
      </w:r>
      <w:r>
        <w:rPr>
          <w:rFonts w:eastAsia="TimesNewRomanPSMT-Identity-H"/>
          <w:iCs/>
          <w:sz w:val="24"/>
          <w:szCs w:val="24"/>
        </w:rPr>
        <w:t xml:space="preserve">clasa de reacție la foc </w:t>
      </w:r>
      <w:r>
        <w:rPr>
          <w:b/>
          <w:bCs/>
          <w:iCs/>
          <w:sz w:val="24"/>
          <w:szCs w:val="24"/>
          <w:lang w:val="en-GB"/>
        </w:rPr>
        <w:t>A1, A2s1d0</w:t>
      </w:r>
      <w:r>
        <w:rPr>
          <w:rFonts w:eastAsia="Calibri"/>
          <w:iCs/>
          <w:sz w:val="24"/>
          <w:szCs w:val="24"/>
          <w:shd w:val="clear" w:color="auto" w:fill="FFFFFF"/>
        </w:rPr>
        <w:t xml:space="preserve"> care vor asigura aceeași rezistență la foc cu a planșeului străpuns, iar atunci când separarea nu este posibilă sau justificată tehnic, pereții ghenelor vor fi din materiale </w:t>
      </w:r>
      <w:r>
        <w:rPr>
          <w:b/>
          <w:bCs/>
          <w:iCs/>
          <w:sz w:val="24"/>
          <w:szCs w:val="24"/>
          <w:lang w:val="en-GB"/>
        </w:rPr>
        <w:t>A1, A2s1d0</w:t>
      </w:r>
      <w:r>
        <w:rPr>
          <w:b/>
          <w:bCs/>
          <w:iCs/>
          <w:sz w:val="24"/>
          <w:szCs w:val="24"/>
        </w:rPr>
        <w:t xml:space="preserve"> </w:t>
      </w:r>
      <w:r>
        <w:rPr>
          <w:rFonts w:eastAsia="Calibri"/>
          <w:iCs/>
          <w:sz w:val="24"/>
          <w:szCs w:val="24"/>
          <w:shd w:val="clear" w:color="auto" w:fill="FFFFFF"/>
        </w:rPr>
        <w:t xml:space="preserve">minimum </w:t>
      </w:r>
      <w:r>
        <w:rPr>
          <w:rFonts w:eastAsia="Calibri"/>
          <w:b/>
          <w:bCs/>
          <w:iCs/>
          <w:sz w:val="24"/>
          <w:szCs w:val="24"/>
          <w:shd w:val="clear" w:color="auto" w:fill="FFFFFF"/>
        </w:rPr>
        <w:t xml:space="preserve">EI/REI180 </w:t>
      </w:r>
      <w:r>
        <w:rPr>
          <w:b/>
          <w:sz w:val="24"/>
          <w:szCs w:val="24"/>
        </w:rPr>
        <w:t>pentru înălțimi de până la h</w:t>
      </w:r>
      <w:r>
        <w:rPr>
          <w:rFonts w:ascii="Arial" w:hAnsi="Arial" w:cs="Arial"/>
          <w:bCs/>
          <w:sz w:val="24"/>
          <w:szCs w:val="24"/>
          <w:lang w:val="en-US"/>
        </w:rPr>
        <w:t>&lt;</w:t>
      </w:r>
      <w:r>
        <w:rPr>
          <w:b/>
          <w:sz w:val="24"/>
          <w:szCs w:val="24"/>
        </w:rPr>
        <w:t xml:space="preserve">125 m și EI/REI 240 pentru </w:t>
      </w:r>
      <w:r>
        <w:rPr>
          <w:b/>
          <w:sz w:val="24"/>
          <w:szCs w:val="24"/>
          <w:lang w:val="en-GB"/>
        </w:rPr>
        <w:t>înălțimi cu h</w:t>
      </w:r>
      <w:r>
        <w:rPr>
          <w:rFonts w:hint="eastAsia"/>
          <w:b/>
          <w:bCs/>
          <w:sz w:val="24"/>
          <w:szCs w:val="24"/>
        </w:rPr>
        <w:t>≥</w:t>
      </w:r>
      <w:r>
        <w:rPr>
          <w:b/>
          <w:sz w:val="24"/>
          <w:szCs w:val="24"/>
          <w:lang w:val="en-GB"/>
        </w:rPr>
        <w:t>125m</w:t>
      </w:r>
      <w:r>
        <w:rPr>
          <w:b/>
          <w:sz w:val="24"/>
          <w:szCs w:val="24"/>
        </w:rPr>
        <w:t xml:space="preserve"> </w:t>
      </w:r>
      <w:r>
        <w:rPr>
          <w:rFonts w:eastAsia="Calibri"/>
          <w:iCs/>
          <w:sz w:val="24"/>
          <w:szCs w:val="24"/>
          <w:shd w:val="clear" w:color="auto" w:fill="FFFFFF"/>
        </w:rPr>
        <w:t xml:space="preserve">și ușile (trapele) lor de vizitare vor fi din materiale </w:t>
      </w:r>
      <w:r>
        <w:rPr>
          <w:b/>
          <w:bCs/>
          <w:iCs/>
          <w:sz w:val="24"/>
          <w:szCs w:val="24"/>
          <w:lang w:val="en-GB"/>
        </w:rPr>
        <w:t>A1, A2s1d0</w:t>
      </w:r>
      <w:r>
        <w:rPr>
          <w:b/>
          <w:bCs/>
          <w:iCs/>
          <w:sz w:val="24"/>
          <w:szCs w:val="24"/>
        </w:rPr>
        <w:t xml:space="preserve"> </w:t>
      </w:r>
      <w:r>
        <w:rPr>
          <w:rFonts w:eastAsia="Calibri"/>
          <w:iCs/>
          <w:sz w:val="24"/>
          <w:szCs w:val="24"/>
          <w:shd w:val="clear" w:color="auto" w:fill="FFFFFF"/>
        </w:rPr>
        <w:t xml:space="preserve">minimum </w:t>
      </w:r>
      <w:r>
        <w:rPr>
          <w:rFonts w:eastAsia="Calibri"/>
          <w:b/>
          <w:bCs/>
          <w:iCs/>
          <w:sz w:val="24"/>
          <w:szCs w:val="24"/>
          <w:shd w:val="clear" w:color="auto" w:fill="FFFFFF"/>
        </w:rPr>
        <w:t>EI120.</w:t>
      </w:r>
    </w:p>
    <w:p w14:paraId="2D9AB633" w14:textId="77777777" w:rsidR="001C08A5" w:rsidRDefault="001C08A5">
      <w:pPr>
        <w:ind w:firstLine="720"/>
        <w:jc w:val="both"/>
        <w:rPr>
          <w:sz w:val="24"/>
          <w:szCs w:val="24"/>
        </w:rPr>
      </w:pPr>
    </w:p>
    <w:p w14:paraId="234C8C2F" w14:textId="77777777" w:rsidR="001C08A5" w:rsidRDefault="00000000">
      <w:pPr>
        <w:jc w:val="both"/>
        <w:rPr>
          <w:sz w:val="24"/>
          <w:szCs w:val="24"/>
        </w:rPr>
      </w:pPr>
      <w:r>
        <w:rPr>
          <w:b/>
          <w:sz w:val="24"/>
          <w:szCs w:val="24"/>
        </w:rPr>
        <w:tab/>
        <w:t xml:space="preserve">Art. 4.2.4.7. </w:t>
      </w:r>
      <w:r>
        <w:rPr>
          <w:sz w:val="24"/>
          <w:szCs w:val="24"/>
        </w:rPr>
        <w:t xml:space="preserve">În clădirile de locuit colective foarte înalte, pereţii şi planşeele de separare a apartamentelor de locuit faţă de căile comune de circulaţie funcţională și evacuare a utilizatorilor vor respecta prevederile din </w:t>
      </w:r>
      <w:r>
        <w:rPr>
          <w:b/>
          <w:sz w:val="24"/>
          <w:szCs w:val="24"/>
        </w:rPr>
        <w:t>Art. 4.2.5.2.</w:t>
      </w:r>
      <w:r>
        <w:rPr>
          <w:sz w:val="24"/>
          <w:szCs w:val="24"/>
        </w:rPr>
        <w:t xml:space="preserve"> şi </w:t>
      </w:r>
      <w:r>
        <w:rPr>
          <w:b/>
          <w:sz w:val="24"/>
          <w:szCs w:val="24"/>
        </w:rPr>
        <w:t>Art. 4.2.5.3.</w:t>
      </w:r>
      <w:r>
        <w:rPr>
          <w:sz w:val="24"/>
          <w:szCs w:val="24"/>
        </w:rPr>
        <w:t xml:space="preserve"> şi </w:t>
      </w:r>
      <w:r>
        <w:rPr>
          <w:b/>
          <w:bCs/>
          <w:i/>
          <w:iCs/>
          <w:sz w:val="24"/>
          <w:szCs w:val="24"/>
        </w:rPr>
        <w:fldChar w:fldCharType="begin"/>
      </w:r>
      <w:r>
        <w:rPr>
          <w:b/>
          <w:bCs/>
          <w:i/>
          <w:iCs/>
          <w:sz w:val="24"/>
          <w:szCs w:val="24"/>
        </w:rPr>
        <w:instrText xml:space="preserve"> REF _Ref19942 \h </w:instrText>
      </w:r>
      <w:r>
        <w:rPr>
          <w:b/>
          <w:bCs/>
          <w:i/>
          <w:iCs/>
          <w:sz w:val="24"/>
          <w:szCs w:val="24"/>
        </w:rPr>
      </w:r>
      <w:r>
        <w:rPr>
          <w:b/>
          <w:bCs/>
          <w:i/>
          <w:iCs/>
          <w:sz w:val="24"/>
          <w:szCs w:val="24"/>
        </w:rPr>
        <w:fldChar w:fldCharType="separate"/>
      </w:r>
      <w:r>
        <w:t>Tabelul 95</w:t>
      </w:r>
      <w:r>
        <w:rPr>
          <w:b/>
          <w:bCs/>
          <w:i/>
          <w:iCs/>
          <w:sz w:val="24"/>
          <w:szCs w:val="24"/>
        </w:rPr>
        <w:fldChar w:fldCharType="end"/>
      </w:r>
      <w:r>
        <w:rPr>
          <w:sz w:val="24"/>
          <w:szCs w:val="24"/>
        </w:rPr>
        <w:t xml:space="preserve"> și </w:t>
      </w:r>
      <w:r>
        <w:rPr>
          <w:b/>
          <w:bCs/>
          <w:i/>
          <w:iCs/>
          <w:sz w:val="24"/>
          <w:szCs w:val="24"/>
        </w:rPr>
        <w:fldChar w:fldCharType="begin"/>
      </w:r>
      <w:r>
        <w:rPr>
          <w:b/>
          <w:bCs/>
          <w:i/>
          <w:iCs/>
          <w:sz w:val="24"/>
          <w:szCs w:val="24"/>
        </w:rPr>
        <w:instrText xml:space="preserve"> REF _Ref15178 \h </w:instrText>
      </w:r>
      <w:r>
        <w:rPr>
          <w:b/>
          <w:bCs/>
          <w:i/>
          <w:iCs/>
          <w:sz w:val="24"/>
          <w:szCs w:val="24"/>
        </w:rPr>
      </w:r>
      <w:r>
        <w:rPr>
          <w:b/>
          <w:bCs/>
          <w:i/>
          <w:iCs/>
          <w:sz w:val="24"/>
          <w:szCs w:val="24"/>
        </w:rPr>
        <w:fldChar w:fldCharType="separate"/>
      </w:r>
      <w:r>
        <w:t>Tabelul 96</w:t>
      </w:r>
      <w:r>
        <w:rPr>
          <w:b/>
          <w:bCs/>
          <w:i/>
          <w:iCs/>
          <w:sz w:val="24"/>
          <w:szCs w:val="24"/>
        </w:rPr>
        <w:fldChar w:fldCharType="end"/>
      </w:r>
      <w:r>
        <w:rPr>
          <w:sz w:val="24"/>
          <w:szCs w:val="24"/>
        </w:rPr>
        <w:t>, specifice din normativ.</w:t>
      </w:r>
    </w:p>
    <w:p w14:paraId="4AAAAFC1" w14:textId="77777777" w:rsidR="001C08A5" w:rsidRDefault="001C08A5">
      <w:pPr>
        <w:jc w:val="both"/>
        <w:rPr>
          <w:sz w:val="24"/>
          <w:szCs w:val="24"/>
        </w:rPr>
      </w:pPr>
    </w:p>
    <w:p w14:paraId="1125604C" w14:textId="77777777" w:rsidR="001C08A5" w:rsidRDefault="00000000">
      <w:pPr>
        <w:jc w:val="both"/>
        <w:rPr>
          <w:sz w:val="24"/>
          <w:szCs w:val="24"/>
        </w:rPr>
      </w:pPr>
      <w:r>
        <w:rPr>
          <w:b/>
          <w:sz w:val="24"/>
          <w:szCs w:val="24"/>
        </w:rPr>
        <w:tab/>
        <w:t xml:space="preserve">Art. 4.2.4.8. </w:t>
      </w:r>
      <w:r>
        <w:rPr>
          <w:sz w:val="24"/>
          <w:szCs w:val="24"/>
        </w:rPr>
        <w:t xml:space="preserve">Încăperile de depozitare cu densitatea sarcinii termice peste </w:t>
      </w:r>
      <w:r>
        <w:rPr>
          <w:b/>
          <w:sz w:val="24"/>
          <w:szCs w:val="24"/>
        </w:rPr>
        <w:t>420</w:t>
      </w:r>
      <w:r>
        <w:rPr>
          <w:sz w:val="24"/>
          <w:szCs w:val="24"/>
        </w:rPr>
        <w:t xml:space="preserve"> MJ/m² (încadrate în risc mijlociu sau densitatea sarcinii termice </w:t>
      </w:r>
      <w:r>
        <w:rPr>
          <w:b/>
          <w:sz w:val="24"/>
          <w:szCs w:val="24"/>
          <w:lang w:eastAsia="ro-RO"/>
        </w:rPr>
        <w:t>420 MJ/m</w:t>
      </w:r>
      <w:r>
        <w:rPr>
          <w:b/>
          <w:sz w:val="24"/>
          <w:szCs w:val="24"/>
          <w:vertAlign w:val="superscript"/>
          <w:lang w:eastAsia="ro-RO"/>
        </w:rPr>
        <w:t xml:space="preserve">2 </w:t>
      </w:r>
      <w:r>
        <w:rPr>
          <w:rFonts w:hint="eastAsia"/>
          <w:b/>
          <w:sz w:val="24"/>
          <w:szCs w:val="24"/>
          <w:lang w:eastAsia="ro-RO"/>
        </w:rPr>
        <w:t>≤</w:t>
      </w:r>
      <w:r>
        <w:rPr>
          <w:b/>
          <w:sz w:val="24"/>
          <w:szCs w:val="24"/>
          <w:lang w:eastAsia="ro-RO"/>
        </w:rPr>
        <w:t xml:space="preserve"> q &lt; 840 MJ/m</w:t>
      </w:r>
      <w:r>
        <w:rPr>
          <w:b/>
          <w:sz w:val="24"/>
          <w:szCs w:val="24"/>
          <w:vertAlign w:val="superscript"/>
          <w:lang w:eastAsia="ro-RO"/>
        </w:rPr>
        <w:t>2</w:t>
      </w:r>
      <w:r>
        <w:rPr>
          <w:sz w:val="24"/>
          <w:szCs w:val="24"/>
          <w:lang w:eastAsia="ro-RO"/>
        </w:rPr>
        <w:t xml:space="preserve">) </w:t>
      </w:r>
      <w:r>
        <w:rPr>
          <w:sz w:val="24"/>
          <w:szCs w:val="24"/>
        </w:rPr>
        <w:t xml:space="preserve">şi încăperile cu densitatea sarcinii termice mai mare sau egală cu </w:t>
      </w:r>
      <w:r>
        <w:rPr>
          <w:b/>
          <w:sz w:val="24"/>
          <w:szCs w:val="24"/>
        </w:rPr>
        <w:t>840</w:t>
      </w:r>
      <w:r>
        <w:rPr>
          <w:sz w:val="24"/>
          <w:szCs w:val="24"/>
        </w:rPr>
        <w:t xml:space="preserve"> MJ/m² (încadrate în risc mare sau densitatea sarcinii termice </w:t>
      </w:r>
      <w:r>
        <w:rPr>
          <w:b/>
          <w:sz w:val="24"/>
          <w:szCs w:val="24"/>
          <w:lang w:eastAsia="ro-RO"/>
        </w:rPr>
        <w:t>840 MJ/m</w:t>
      </w:r>
      <w:r>
        <w:rPr>
          <w:b/>
          <w:sz w:val="24"/>
          <w:szCs w:val="24"/>
          <w:vertAlign w:val="superscript"/>
          <w:lang w:eastAsia="ro-RO"/>
        </w:rPr>
        <w:t xml:space="preserve">2 </w:t>
      </w:r>
      <w:r>
        <w:rPr>
          <w:rFonts w:hint="eastAsia"/>
          <w:b/>
          <w:sz w:val="24"/>
          <w:szCs w:val="24"/>
          <w:lang w:eastAsia="ro-RO"/>
        </w:rPr>
        <w:t>≤</w:t>
      </w:r>
      <w:r>
        <w:rPr>
          <w:b/>
          <w:sz w:val="24"/>
          <w:szCs w:val="24"/>
          <w:lang w:eastAsia="ro-RO"/>
        </w:rPr>
        <w:t xml:space="preserve"> q &lt; 1680 MJ/m</w:t>
      </w:r>
      <w:r>
        <w:rPr>
          <w:b/>
          <w:sz w:val="24"/>
          <w:szCs w:val="24"/>
          <w:vertAlign w:val="superscript"/>
          <w:lang w:eastAsia="ro-RO"/>
        </w:rPr>
        <w:t>2</w:t>
      </w:r>
      <w:r>
        <w:rPr>
          <w:sz w:val="24"/>
          <w:szCs w:val="24"/>
        </w:rPr>
        <w:t xml:space="preserve"> se separă de restul clădirii foarte înalte cu pereţi rezistenţi la foc și planşee rezistente la foc</w:t>
      </w:r>
      <w:r>
        <w:rPr>
          <w:b/>
          <w:sz w:val="24"/>
          <w:szCs w:val="24"/>
        </w:rPr>
        <w:t xml:space="preserve">, </w:t>
      </w:r>
      <w:r>
        <w:rPr>
          <w:sz w:val="24"/>
          <w:szCs w:val="24"/>
        </w:rPr>
        <w:t>clasa de reacţie la foc</w:t>
      </w:r>
      <w:r>
        <w:rPr>
          <w:b/>
          <w:sz w:val="24"/>
          <w:szCs w:val="24"/>
        </w:rPr>
        <w:t xml:space="preserve"> A1 sau A2-s1d0, </w:t>
      </w:r>
      <w:r>
        <w:rPr>
          <w:sz w:val="24"/>
          <w:szCs w:val="24"/>
        </w:rPr>
        <w:t xml:space="preserve">respectiv goluri funcţionale conform prevederilor din </w:t>
      </w:r>
      <w:r>
        <w:rPr>
          <w:b/>
          <w:bCs/>
          <w:i/>
          <w:iCs/>
          <w:sz w:val="24"/>
          <w:szCs w:val="24"/>
        </w:rPr>
        <w:fldChar w:fldCharType="begin"/>
      </w:r>
      <w:r>
        <w:rPr>
          <w:b/>
          <w:bCs/>
          <w:i/>
          <w:iCs/>
          <w:sz w:val="24"/>
          <w:szCs w:val="24"/>
        </w:rPr>
        <w:instrText xml:space="preserve"> REF _Ref13306 \h </w:instrText>
      </w:r>
      <w:r>
        <w:rPr>
          <w:b/>
          <w:bCs/>
          <w:i/>
          <w:iCs/>
          <w:sz w:val="24"/>
          <w:szCs w:val="24"/>
        </w:rPr>
      </w:r>
      <w:r>
        <w:rPr>
          <w:b/>
          <w:bCs/>
          <w:i/>
          <w:iCs/>
          <w:sz w:val="24"/>
          <w:szCs w:val="24"/>
        </w:rPr>
        <w:fldChar w:fldCharType="separate"/>
      </w:r>
      <w:r>
        <w:t>Tabelul 94</w:t>
      </w:r>
      <w:r>
        <w:rPr>
          <w:b/>
          <w:bCs/>
          <w:i/>
          <w:iCs/>
          <w:sz w:val="24"/>
          <w:szCs w:val="24"/>
        </w:rPr>
        <w:fldChar w:fldCharType="end"/>
      </w:r>
      <w:r>
        <w:rPr>
          <w:sz w:val="24"/>
          <w:szCs w:val="24"/>
        </w:rPr>
        <w:t xml:space="preserve"> și se prevăd cu sisteme de evacuare a fumului şi gazelor fierbinţi prin tiraj natural-organizat sau prin ventilare mecanică, potrivit prevederilor normativului şi ale reglementărilor tehnice specifice.</w:t>
      </w:r>
    </w:p>
    <w:p w14:paraId="61EC0DA3" w14:textId="77777777" w:rsidR="001C08A5" w:rsidRDefault="001C08A5">
      <w:pPr>
        <w:jc w:val="both"/>
        <w:rPr>
          <w:b/>
          <w:sz w:val="24"/>
          <w:szCs w:val="24"/>
        </w:rPr>
      </w:pPr>
    </w:p>
    <w:p w14:paraId="37D411BD" w14:textId="77777777" w:rsidR="001C08A5" w:rsidRDefault="00000000">
      <w:pPr>
        <w:pStyle w:val="Captiontabel"/>
      </w:pPr>
      <w:bookmarkStart w:id="4453" w:name="_Ref13306"/>
      <w:bookmarkStart w:id="4454" w:name="_Toc162360144"/>
      <w:r>
        <w:t xml:space="preserve">Tabelul </w:t>
      </w:r>
      <w:r>
        <w:fldChar w:fldCharType="begin"/>
      </w:r>
      <w:r>
        <w:instrText xml:space="preserve"> SEQ Tabelul \* ARABIC </w:instrText>
      </w:r>
      <w:r>
        <w:fldChar w:fldCharType="separate"/>
      </w:r>
      <w:r>
        <w:t>94</w:t>
      </w:r>
      <w:r>
        <w:fldChar w:fldCharType="end"/>
      </w:r>
      <w:bookmarkStart w:id="4455" w:name="_Toc25365"/>
      <w:bookmarkStart w:id="4456" w:name="_Toc28007"/>
      <w:bookmarkStart w:id="4457" w:name="_Toc16781"/>
      <w:bookmarkStart w:id="4458" w:name="_Toc21336"/>
      <w:bookmarkStart w:id="4459" w:name="_Toc3625"/>
      <w:bookmarkStart w:id="4460" w:name="_Toc14696"/>
      <w:bookmarkStart w:id="4461" w:name="_Toc501"/>
      <w:bookmarkStart w:id="4462" w:name="_Toc30253"/>
      <w:bookmarkStart w:id="4463" w:name="_Toc30023"/>
      <w:bookmarkStart w:id="4464" w:name="_Toc14882"/>
      <w:bookmarkStart w:id="4465" w:name="_Toc27762"/>
      <w:bookmarkStart w:id="4466" w:name="_Toc8482"/>
      <w:bookmarkStart w:id="4467" w:name="_Toc26301"/>
      <w:bookmarkStart w:id="4468" w:name="_Toc10433"/>
      <w:bookmarkStart w:id="4469" w:name="_Toc14596"/>
      <w:bookmarkStart w:id="4470" w:name="_Toc9732"/>
      <w:bookmarkStart w:id="4471" w:name="_Toc27005"/>
      <w:bookmarkStart w:id="4472" w:name="_Toc15900"/>
      <w:bookmarkStart w:id="4473" w:name="_Toc29690"/>
      <w:bookmarkEnd w:id="4453"/>
      <w:r>
        <w:t xml:space="preserve">: Condiţii minime de separare a încăperilor de depozitare cu densitatea sarcinii termice ≥ </w:t>
      </w:r>
      <w:r>
        <w:rPr>
          <w:lang w:eastAsia="ro-RO"/>
        </w:rPr>
        <w:t>420 MJ/m</w:t>
      </w:r>
      <w:r>
        <w:rPr>
          <w:vertAlign w:val="superscript"/>
          <w:lang w:eastAsia="ro-RO"/>
        </w:rPr>
        <w:t>2</w:t>
      </w:r>
      <w:r>
        <w:t xml:space="preserve"> din clădirile civile supraterane foarte înalte</w:t>
      </w:r>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p>
    <w:p w14:paraId="5DB94C3C" w14:textId="77777777" w:rsidR="001C08A5" w:rsidRDefault="001C08A5">
      <w:pPr>
        <w:jc w:val="both"/>
        <w:rPr>
          <w:sz w:val="24"/>
          <w:szCs w:val="24"/>
        </w:rPr>
      </w:pPr>
    </w:p>
    <w:tbl>
      <w:tblPr>
        <w:tblW w:w="9644" w:type="dxa"/>
        <w:tblInd w:w="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1195"/>
        <w:gridCol w:w="1936"/>
        <w:gridCol w:w="1937"/>
        <w:gridCol w:w="1936"/>
        <w:gridCol w:w="1936"/>
      </w:tblGrid>
      <w:tr w:rsidR="001C08A5" w14:paraId="1273F7E4" w14:textId="77777777">
        <w:trPr>
          <w:tblHeader/>
        </w:trPr>
        <w:tc>
          <w:tcPr>
            <w:tcW w:w="704" w:type="dxa"/>
            <w:vMerge w:val="restart"/>
            <w:shd w:val="clear" w:color="auto" w:fill="auto"/>
            <w:vAlign w:val="center"/>
          </w:tcPr>
          <w:p w14:paraId="28AE8C10" w14:textId="77777777" w:rsidR="001C08A5" w:rsidRDefault="00000000">
            <w:pPr>
              <w:jc w:val="both"/>
              <w:rPr>
                <w:b/>
                <w:i/>
                <w:iCs/>
                <w:strike/>
                <w:sz w:val="22"/>
                <w:szCs w:val="22"/>
              </w:rPr>
            </w:pPr>
            <w:r>
              <w:rPr>
                <w:b/>
                <w:i/>
                <w:iCs/>
                <w:sz w:val="22"/>
                <w:szCs w:val="22"/>
              </w:rPr>
              <w:t>Niv. de stab.</w:t>
            </w:r>
          </w:p>
        </w:tc>
        <w:tc>
          <w:tcPr>
            <w:tcW w:w="1195" w:type="dxa"/>
            <w:vMerge w:val="restart"/>
            <w:shd w:val="clear" w:color="auto" w:fill="BEBEBE"/>
          </w:tcPr>
          <w:p w14:paraId="4B401BBA" w14:textId="77777777" w:rsidR="001C08A5" w:rsidRDefault="001C08A5">
            <w:pPr>
              <w:jc w:val="both"/>
              <w:rPr>
                <w:b/>
                <w:i/>
                <w:iCs/>
                <w:strike/>
                <w:sz w:val="22"/>
                <w:szCs w:val="22"/>
              </w:rPr>
            </w:pPr>
          </w:p>
        </w:tc>
        <w:tc>
          <w:tcPr>
            <w:tcW w:w="7745" w:type="dxa"/>
            <w:gridSpan w:val="4"/>
            <w:shd w:val="clear" w:color="auto" w:fill="BEBEBE"/>
          </w:tcPr>
          <w:p w14:paraId="75748735" w14:textId="77777777" w:rsidR="001C08A5" w:rsidRDefault="00000000">
            <w:pPr>
              <w:jc w:val="both"/>
              <w:rPr>
                <w:b/>
                <w:i/>
                <w:iCs/>
                <w:strike/>
                <w:sz w:val="22"/>
                <w:szCs w:val="22"/>
              </w:rPr>
            </w:pPr>
            <w:r>
              <w:rPr>
                <w:b/>
                <w:i/>
                <w:iCs/>
                <w:sz w:val="22"/>
                <w:szCs w:val="22"/>
              </w:rPr>
              <w:t xml:space="preserve">ÎNCĂPERI DE DEPOZITARE </w:t>
            </w:r>
          </w:p>
        </w:tc>
      </w:tr>
      <w:tr w:rsidR="001C08A5" w14:paraId="398C56C4" w14:textId="77777777">
        <w:trPr>
          <w:tblHeader/>
        </w:trPr>
        <w:tc>
          <w:tcPr>
            <w:tcW w:w="704" w:type="dxa"/>
            <w:vMerge/>
            <w:shd w:val="clear" w:color="auto" w:fill="auto"/>
            <w:vAlign w:val="center"/>
          </w:tcPr>
          <w:p w14:paraId="05F98E38" w14:textId="77777777" w:rsidR="001C08A5" w:rsidRDefault="001C08A5">
            <w:pPr>
              <w:jc w:val="both"/>
              <w:rPr>
                <w:b/>
                <w:i/>
                <w:iCs/>
                <w:strike/>
                <w:sz w:val="22"/>
                <w:szCs w:val="22"/>
              </w:rPr>
            </w:pPr>
          </w:p>
        </w:tc>
        <w:tc>
          <w:tcPr>
            <w:tcW w:w="1195" w:type="dxa"/>
            <w:vMerge/>
            <w:shd w:val="clear" w:color="auto" w:fill="BEBEBE"/>
          </w:tcPr>
          <w:p w14:paraId="51D1AA26" w14:textId="77777777" w:rsidR="001C08A5" w:rsidRDefault="001C08A5">
            <w:pPr>
              <w:jc w:val="both"/>
              <w:rPr>
                <w:b/>
                <w:i/>
                <w:iCs/>
                <w:strike/>
                <w:sz w:val="22"/>
                <w:szCs w:val="22"/>
              </w:rPr>
            </w:pPr>
          </w:p>
        </w:tc>
        <w:tc>
          <w:tcPr>
            <w:tcW w:w="3873" w:type="dxa"/>
            <w:gridSpan w:val="2"/>
            <w:shd w:val="clear" w:color="auto" w:fill="BEBEBE"/>
          </w:tcPr>
          <w:p w14:paraId="7379494C" w14:textId="77777777" w:rsidR="001C08A5" w:rsidRDefault="00000000">
            <w:pPr>
              <w:jc w:val="both"/>
              <w:rPr>
                <w:b/>
                <w:i/>
                <w:iCs/>
                <w:strike/>
                <w:sz w:val="22"/>
                <w:szCs w:val="22"/>
              </w:rPr>
            </w:pPr>
            <w:r>
              <w:rPr>
                <w:b/>
                <w:i/>
                <w:iCs/>
                <w:sz w:val="22"/>
                <w:szCs w:val="22"/>
              </w:rPr>
              <w:t>≤ 36 mp</w:t>
            </w:r>
          </w:p>
        </w:tc>
        <w:tc>
          <w:tcPr>
            <w:tcW w:w="3872" w:type="dxa"/>
            <w:gridSpan w:val="2"/>
            <w:shd w:val="clear" w:color="auto" w:fill="BEBEBE"/>
          </w:tcPr>
          <w:p w14:paraId="0EFDCC1E" w14:textId="77777777" w:rsidR="001C08A5" w:rsidRDefault="00000000">
            <w:pPr>
              <w:jc w:val="both"/>
              <w:rPr>
                <w:b/>
                <w:i/>
                <w:iCs/>
                <w:strike/>
                <w:sz w:val="22"/>
                <w:szCs w:val="22"/>
              </w:rPr>
            </w:pPr>
            <w:r>
              <w:rPr>
                <w:b/>
                <w:i/>
                <w:iCs/>
                <w:sz w:val="22"/>
                <w:szCs w:val="22"/>
              </w:rPr>
              <w:t>&gt; 36 mp</w:t>
            </w:r>
          </w:p>
        </w:tc>
      </w:tr>
      <w:tr w:rsidR="001C08A5" w14:paraId="4583A27C" w14:textId="77777777">
        <w:trPr>
          <w:tblHeader/>
        </w:trPr>
        <w:tc>
          <w:tcPr>
            <w:tcW w:w="704" w:type="dxa"/>
            <w:vMerge/>
            <w:shd w:val="clear" w:color="auto" w:fill="auto"/>
            <w:vAlign w:val="center"/>
          </w:tcPr>
          <w:p w14:paraId="57E97C10" w14:textId="77777777" w:rsidR="001C08A5" w:rsidRDefault="001C08A5">
            <w:pPr>
              <w:jc w:val="both"/>
              <w:rPr>
                <w:b/>
                <w:i/>
                <w:iCs/>
                <w:strike/>
                <w:sz w:val="22"/>
                <w:szCs w:val="22"/>
              </w:rPr>
            </w:pPr>
          </w:p>
        </w:tc>
        <w:tc>
          <w:tcPr>
            <w:tcW w:w="1195" w:type="dxa"/>
            <w:vMerge/>
            <w:shd w:val="clear" w:color="auto" w:fill="BEBEBE"/>
          </w:tcPr>
          <w:p w14:paraId="33494A01" w14:textId="77777777" w:rsidR="001C08A5" w:rsidRDefault="001C08A5">
            <w:pPr>
              <w:jc w:val="both"/>
              <w:rPr>
                <w:b/>
                <w:i/>
                <w:iCs/>
                <w:strike/>
                <w:sz w:val="22"/>
                <w:szCs w:val="22"/>
              </w:rPr>
            </w:pPr>
          </w:p>
        </w:tc>
        <w:tc>
          <w:tcPr>
            <w:tcW w:w="1936" w:type="dxa"/>
            <w:shd w:val="clear" w:color="auto" w:fill="BEBEBE"/>
          </w:tcPr>
          <w:p w14:paraId="1DA8DA30" w14:textId="77777777" w:rsidR="001C08A5" w:rsidRDefault="00000000">
            <w:pPr>
              <w:jc w:val="both"/>
              <w:rPr>
                <w:b/>
                <w:i/>
                <w:iCs/>
                <w:strike/>
                <w:sz w:val="22"/>
                <w:szCs w:val="22"/>
              </w:rPr>
            </w:pPr>
            <w:r>
              <w:rPr>
                <w:b/>
                <w:i/>
                <w:iCs/>
                <w:sz w:val="22"/>
                <w:szCs w:val="22"/>
              </w:rPr>
              <w:t>RISC MIJLOCIU</w:t>
            </w:r>
          </w:p>
        </w:tc>
        <w:tc>
          <w:tcPr>
            <w:tcW w:w="1937" w:type="dxa"/>
            <w:shd w:val="clear" w:color="auto" w:fill="BEBEBE"/>
          </w:tcPr>
          <w:p w14:paraId="71C72466" w14:textId="77777777" w:rsidR="001C08A5" w:rsidRDefault="00000000">
            <w:pPr>
              <w:jc w:val="both"/>
              <w:rPr>
                <w:b/>
                <w:i/>
                <w:iCs/>
                <w:strike/>
                <w:sz w:val="22"/>
                <w:szCs w:val="22"/>
              </w:rPr>
            </w:pPr>
            <w:r>
              <w:rPr>
                <w:b/>
                <w:i/>
                <w:iCs/>
                <w:sz w:val="22"/>
                <w:szCs w:val="22"/>
              </w:rPr>
              <w:t>RISC MARE</w:t>
            </w:r>
          </w:p>
        </w:tc>
        <w:tc>
          <w:tcPr>
            <w:tcW w:w="1936" w:type="dxa"/>
            <w:shd w:val="clear" w:color="auto" w:fill="BEBEBE"/>
          </w:tcPr>
          <w:p w14:paraId="7FCC4966" w14:textId="77777777" w:rsidR="001C08A5" w:rsidRDefault="00000000">
            <w:pPr>
              <w:jc w:val="both"/>
              <w:rPr>
                <w:b/>
                <w:i/>
                <w:iCs/>
                <w:strike/>
                <w:sz w:val="22"/>
                <w:szCs w:val="22"/>
              </w:rPr>
            </w:pPr>
            <w:r>
              <w:rPr>
                <w:b/>
                <w:i/>
                <w:iCs/>
                <w:sz w:val="22"/>
                <w:szCs w:val="22"/>
              </w:rPr>
              <w:t>RISC MIJLOCIU</w:t>
            </w:r>
          </w:p>
        </w:tc>
        <w:tc>
          <w:tcPr>
            <w:tcW w:w="1936" w:type="dxa"/>
            <w:shd w:val="clear" w:color="auto" w:fill="BEBEBE"/>
          </w:tcPr>
          <w:p w14:paraId="5B28C111" w14:textId="77777777" w:rsidR="001C08A5" w:rsidRDefault="00000000">
            <w:pPr>
              <w:jc w:val="both"/>
              <w:rPr>
                <w:b/>
                <w:i/>
                <w:iCs/>
                <w:strike/>
                <w:sz w:val="22"/>
                <w:szCs w:val="22"/>
              </w:rPr>
            </w:pPr>
            <w:r>
              <w:rPr>
                <w:b/>
                <w:i/>
                <w:iCs/>
                <w:sz w:val="22"/>
                <w:szCs w:val="22"/>
              </w:rPr>
              <w:t>RISC MARE</w:t>
            </w:r>
          </w:p>
        </w:tc>
      </w:tr>
      <w:tr w:rsidR="001C08A5" w14:paraId="6EE59C2D" w14:textId="77777777">
        <w:trPr>
          <w:tblHeader/>
        </w:trPr>
        <w:tc>
          <w:tcPr>
            <w:tcW w:w="704" w:type="dxa"/>
            <w:vMerge/>
            <w:shd w:val="clear" w:color="auto" w:fill="auto"/>
            <w:vAlign w:val="center"/>
          </w:tcPr>
          <w:p w14:paraId="65FD4BCE" w14:textId="77777777" w:rsidR="001C08A5" w:rsidRDefault="001C08A5">
            <w:pPr>
              <w:jc w:val="both"/>
              <w:rPr>
                <w:b/>
                <w:i/>
                <w:iCs/>
                <w:strike/>
                <w:sz w:val="22"/>
                <w:szCs w:val="22"/>
              </w:rPr>
            </w:pPr>
          </w:p>
        </w:tc>
        <w:tc>
          <w:tcPr>
            <w:tcW w:w="1195" w:type="dxa"/>
            <w:vMerge/>
            <w:shd w:val="clear" w:color="auto" w:fill="BEBEBE"/>
          </w:tcPr>
          <w:p w14:paraId="41521918" w14:textId="77777777" w:rsidR="001C08A5" w:rsidRDefault="001C08A5">
            <w:pPr>
              <w:jc w:val="both"/>
              <w:rPr>
                <w:b/>
                <w:i/>
                <w:iCs/>
                <w:strike/>
                <w:sz w:val="22"/>
                <w:szCs w:val="22"/>
              </w:rPr>
            </w:pPr>
          </w:p>
        </w:tc>
        <w:tc>
          <w:tcPr>
            <w:tcW w:w="1936" w:type="dxa"/>
            <w:shd w:val="clear" w:color="auto" w:fill="BEBEBE"/>
          </w:tcPr>
          <w:p w14:paraId="05997FD8" w14:textId="77777777" w:rsidR="001C08A5" w:rsidRDefault="00000000">
            <w:pPr>
              <w:rPr>
                <w:b/>
                <w:i/>
                <w:iCs/>
                <w:strike/>
                <w:sz w:val="22"/>
                <w:szCs w:val="22"/>
              </w:rPr>
            </w:pPr>
            <w:r>
              <w:rPr>
                <w:b/>
                <w:i/>
                <w:iCs/>
                <w:sz w:val="22"/>
                <w:szCs w:val="22"/>
                <w:lang w:eastAsia="ro-RO"/>
              </w:rPr>
              <w:t>420 MJ/m</w:t>
            </w:r>
            <w:r>
              <w:rPr>
                <w:b/>
                <w:i/>
                <w:iCs/>
                <w:sz w:val="22"/>
                <w:szCs w:val="22"/>
                <w:vertAlign w:val="superscript"/>
                <w:lang w:eastAsia="ro-RO"/>
              </w:rPr>
              <w:t>2</w:t>
            </w:r>
            <w:r>
              <w:rPr>
                <w:b/>
                <w:i/>
                <w:iCs/>
                <w:sz w:val="22"/>
                <w:szCs w:val="22"/>
                <w:lang w:eastAsia="ro-RO"/>
              </w:rPr>
              <w:t>≤q&lt; 840 MJ/m</w:t>
            </w:r>
            <w:r>
              <w:rPr>
                <w:b/>
                <w:i/>
                <w:iCs/>
                <w:sz w:val="22"/>
                <w:szCs w:val="22"/>
                <w:vertAlign w:val="superscript"/>
                <w:lang w:eastAsia="ro-RO"/>
              </w:rPr>
              <w:t>2</w:t>
            </w:r>
          </w:p>
        </w:tc>
        <w:tc>
          <w:tcPr>
            <w:tcW w:w="1937" w:type="dxa"/>
            <w:shd w:val="clear" w:color="auto" w:fill="BEBEBE"/>
          </w:tcPr>
          <w:p w14:paraId="6CCA37F0" w14:textId="77777777" w:rsidR="001C08A5" w:rsidRDefault="00000000">
            <w:pPr>
              <w:rPr>
                <w:b/>
                <w:i/>
                <w:iCs/>
                <w:strike/>
                <w:sz w:val="22"/>
                <w:szCs w:val="22"/>
              </w:rPr>
            </w:pPr>
            <w:r>
              <w:rPr>
                <w:b/>
                <w:i/>
                <w:iCs/>
                <w:sz w:val="22"/>
                <w:szCs w:val="22"/>
                <w:lang w:eastAsia="ro-RO"/>
              </w:rPr>
              <w:t>840 MJ/m</w:t>
            </w:r>
            <w:r>
              <w:rPr>
                <w:b/>
                <w:i/>
                <w:iCs/>
                <w:sz w:val="22"/>
                <w:szCs w:val="22"/>
                <w:vertAlign w:val="superscript"/>
                <w:lang w:eastAsia="ro-RO"/>
              </w:rPr>
              <w:t>2</w:t>
            </w:r>
            <w:r>
              <w:rPr>
                <w:b/>
                <w:i/>
                <w:iCs/>
                <w:sz w:val="22"/>
                <w:szCs w:val="22"/>
                <w:lang w:eastAsia="ro-RO"/>
              </w:rPr>
              <w:t>≤q&lt; 1680 MJ/m</w:t>
            </w:r>
            <w:r>
              <w:rPr>
                <w:b/>
                <w:i/>
                <w:iCs/>
                <w:sz w:val="22"/>
                <w:szCs w:val="22"/>
                <w:vertAlign w:val="superscript"/>
                <w:lang w:eastAsia="ro-RO"/>
              </w:rPr>
              <w:t>2</w:t>
            </w:r>
          </w:p>
        </w:tc>
        <w:tc>
          <w:tcPr>
            <w:tcW w:w="1936" w:type="dxa"/>
            <w:shd w:val="clear" w:color="auto" w:fill="BEBEBE"/>
          </w:tcPr>
          <w:p w14:paraId="24D0F46A" w14:textId="77777777" w:rsidR="001C08A5" w:rsidRDefault="00000000">
            <w:pPr>
              <w:rPr>
                <w:b/>
                <w:i/>
                <w:iCs/>
                <w:strike/>
                <w:sz w:val="22"/>
                <w:szCs w:val="22"/>
              </w:rPr>
            </w:pPr>
            <w:r>
              <w:rPr>
                <w:b/>
                <w:i/>
                <w:iCs/>
                <w:sz w:val="22"/>
                <w:szCs w:val="22"/>
                <w:lang w:eastAsia="ro-RO"/>
              </w:rPr>
              <w:t>420 MJ/m</w:t>
            </w:r>
            <w:r>
              <w:rPr>
                <w:b/>
                <w:i/>
                <w:iCs/>
                <w:sz w:val="22"/>
                <w:szCs w:val="22"/>
                <w:vertAlign w:val="superscript"/>
                <w:lang w:eastAsia="ro-RO"/>
              </w:rPr>
              <w:t>2</w:t>
            </w:r>
            <w:r>
              <w:rPr>
                <w:b/>
                <w:i/>
                <w:iCs/>
                <w:sz w:val="22"/>
                <w:szCs w:val="22"/>
                <w:lang w:eastAsia="ro-RO"/>
              </w:rPr>
              <w:t>≤q&lt; 840 MJ/m</w:t>
            </w:r>
            <w:r>
              <w:rPr>
                <w:b/>
                <w:i/>
                <w:iCs/>
                <w:sz w:val="22"/>
                <w:szCs w:val="22"/>
                <w:vertAlign w:val="superscript"/>
                <w:lang w:eastAsia="ro-RO"/>
              </w:rPr>
              <w:t>2</w:t>
            </w:r>
          </w:p>
        </w:tc>
        <w:tc>
          <w:tcPr>
            <w:tcW w:w="1936" w:type="dxa"/>
            <w:shd w:val="clear" w:color="auto" w:fill="BEBEBE"/>
          </w:tcPr>
          <w:p w14:paraId="7F3D54A8" w14:textId="77777777" w:rsidR="001C08A5" w:rsidRDefault="00000000">
            <w:pPr>
              <w:rPr>
                <w:b/>
                <w:i/>
                <w:iCs/>
                <w:strike/>
                <w:sz w:val="22"/>
                <w:szCs w:val="22"/>
              </w:rPr>
            </w:pPr>
            <w:r>
              <w:rPr>
                <w:b/>
                <w:i/>
                <w:iCs/>
                <w:sz w:val="22"/>
                <w:szCs w:val="22"/>
                <w:lang w:eastAsia="ro-RO"/>
              </w:rPr>
              <w:t>840 MJ/m</w:t>
            </w:r>
            <w:r>
              <w:rPr>
                <w:b/>
                <w:i/>
                <w:iCs/>
                <w:sz w:val="22"/>
                <w:szCs w:val="22"/>
                <w:vertAlign w:val="superscript"/>
                <w:lang w:eastAsia="ro-RO"/>
              </w:rPr>
              <w:t>2</w:t>
            </w:r>
            <w:r>
              <w:rPr>
                <w:b/>
                <w:i/>
                <w:iCs/>
                <w:sz w:val="22"/>
                <w:szCs w:val="22"/>
                <w:lang w:eastAsia="ro-RO"/>
              </w:rPr>
              <w:t>≤q&lt; 1680 MJ/m</w:t>
            </w:r>
            <w:r>
              <w:rPr>
                <w:b/>
                <w:i/>
                <w:iCs/>
                <w:sz w:val="22"/>
                <w:szCs w:val="22"/>
                <w:vertAlign w:val="superscript"/>
                <w:lang w:eastAsia="ro-RO"/>
              </w:rPr>
              <w:t>2</w:t>
            </w:r>
          </w:p>
        </w:tc>
      </w:tr>
      <w:tr w:rsidR="001C08A5" w14:paraId="23822936" w14:textId="77777777">
        <w:tc>
          <w:tcPr>
            <w:tcW w:w="704" w:type="dxa"/>
            <w:vMerge w:val="restart"/>
            <w:vAlign w:val="center"/>
          </w:tcPr>
          <w:p w14:paraId="79A560F5" w14:textId="77777777" w:rsidR="001C08A5" w:rsidRDefault="00000000">
            <w:pPr>
              <w:jc w:val="center"/>
              <w:rPr>
                <w:b/>
                <w:i/>
                <w:iCs/>
                <w:sz w:val="22"/>
                <w:szCs w:val="22"/>
              </w:rPr>
            </w:pPr>
            <w:r>
              <w:rPr>
                <w:b/>
                <w:i/>
                <w:iCs/>
                <w:sz w:val="22"/>
                <w:szCs w:val="22"/>
              </w:rPr>
              <w:t>I</w:t>
            </w:r>
          </w:p>
          <w:p w14:paraId="58858586" w14:textId="77777777" w:rsidR="001C08A5" w:rsidRDefault="001C08A5">
            <w:pPr>
              <w:jc w:val="center"/>
              <w:rPr>
                <w:b/>
                <w:i/>
                <w:iCs/>
                <w:sz w:val="22"/>
                <w:szCs w:val="22"/>
              </w:rPr>
            </w:pPr>
          </w:p>
          <w:p w14:paraId="15603C86" w14:textId="77777777" w:rsidR="001C08A5" w:rsidRDefault="00000000">
            <w:pPr>
              <w:jc w:val="center"/>
              <w:rPr>
                <w:b/>
                <w:i/>
                <w:iCs/>
                <w:sz w:val="22"/>
                <w:szCs w:val="22"/>
              </w:rPr>
            </w:pPr>
            <w:r>
              <w:rPr>
                <w:b/>
                <w:i/>
                <w:iCs/>
                <w:sz w:val="22"/>
                <w:szCs w:val="22"/>
              </w:rPr>
              <w:t xml:space="preserve">h ≥ 125m </w:t>
            </w:r>
          </w:p>
          <w:p w14:paraId="27FEA82A" w14:textId="77777777" w:rsidR="001C08A5" w:rsidRDefault="001C08A5">
            <w:pPr>
              <w:jc w:val="center"/>
              <w:rPr>
                <w:b/>
                <w:i/>
                <w:iCs/>
                <w:sz w:val="22"/>
                <w:szCs w:val="22"/>
              </w:rPr>
            </w:pPr>
          </w:p>
        </w:tc>
        <w:tc>
          <w:tcPr>
            <w:tcW w:w="1195" w:type="dxa"/>
          </w:tcPr>
          <w:p w14:paraId="6F8611AC" w14:textId="77777777" w:rsidR="001C08A5" w:rsidRDefault="00000000">
            <w:pPr>
              <w:rPr>
                <w:b/>
                <w:i/>
                <w:iCs/>
                <w:sz w:val="22"/>
                <w:szCs w:val="22"/>
              </w:rPr>
            </w:pPr>
            <w:r>
              <w:rPr>
                <w:b/>
                <w:i/>
                <w:iCs/>
                <w:sz w:val="22"/>
                <w:szCs w:val="22"/>
              </w:rPr>
              <w:t>Pereţi</w:t>
            </w:r>
          </w:p>
        </w:tc>
        <w:tc>
          <w:tcPr>
            <w:tcW w:w="1936" w:type="dxa"/>
          </w:tcPr>
          <w:p w14:paraId="0560D917" w14:textId="77777777" w:rsidR="001C08A5" w:rsidRDefault="00000000">
            <w:pPr>
              <w:pStyle w:val="NoSpacing"/>
              <w:suppressAutoHyphens/>
              <w:rPr>
                <w:rFonts w:ascii="Times New Roman" w:hAnsi="Times New Roman"/>
                <w:b/>
                <w:bCs/>
                <w:i/>
                <w:iCs/>
              </w:rPr>
            </w:pPr>
            <w:r>
              <w:rPr>
                <w:rFonts w:ascii="Times New Roman" w:hAnsi="Times New Roman"/>
                <w:b/>
                <w:i/>
                <w:iCs/>
              </w:rPr>
              <w:t>EI/REI 120</w:t>
            </w:r>
          </w:p>
        </w:tc>
        <w:tc>
          <w:tcPr>
            <w:tcW w:w="1937" w:type="dxa"/>
          </w:tcPr>
          <w:p w14:paraId="6F750684" w14:textId="77777777" w:rsidR="001C08A5" w:rsidRDefault="00000000">
            <w:pPr>
              <w:pStyle w:val="NoSpacing"/>
              <w:suppressAutoHyphens/>
              <w:rPr>
                <w:rFonts w:ascii="Times New Roman" w:hAnsi="Times New Roman"/>
                <w:b/>
                <w:bCs/>
                <w:i/>
                <w:iCs/>
              </w:rPr>
            </w:pPr>
            <w:r>
              <w:rPr>
                <w:rFonts w:ascii="Times New Roman" w:hAnsi="Times New Roman"/>
                <w:b/>
                <w:i/>
                <w:iCs/>
              </w:rPr>
              <w:t>EI/REI 180</w:t>
            </w:r>
          </w:p>
        </w:tc>
        <w:tc>
          <w:tcPr>
            <w:tcW w:w="1936" w:type="dxa"/>
          </w:tcPr>
          <w:p w14:paraId="7787FADF" w14:textId="77777777" w:rsidR="001C08A5" w:rsidRDefault="00000000">
            <w:pPr>
              <w:pStyle w:val="NoSpacing"/>
              <w:suppressAutoHyphens/>
              <w:rPr>
                <w:rFonts w:ascii="Times New Roman" w:hAnsi="Times New Roman"/>
                <w:b/>
                <w:bCs/>
                <w:i/>
                <w:iCs/>
              </w:rPr>
            </w:pPr>
            <w:r>
              <w:rPr>
                <w:rFonts w:ascii="Times New Roman" w:hAnsi="Times New Roman"/>
                <w:b/>
                <w:i/>
                <w:iCs/>
              </w:rPr>
              <w:t xml:space="preserve">EI/REI 180 </w:t>
            </w:r>
          </w:p>
        </w:tc>
        <w:tc>
          <w:tcPr>
            <w:tcW w:w="1936" w:type="dxa"/>
          </w:tcPr>
          <w:p w14:paraId="36B04635" w14:textId="77777777" w:rsidR="001C08A5" w:rsidRDefault="00000000">
            <w:pPr>
              <w:pStyle w:val="NoSpacing"/>
              <w:suppressAutoHyphens/>
              <w:rPr>
                <w:rFonts w:ascii="Times New Roman" w:hAnsi="Times New Roman"/>
                <w:b/>
                <w:bCs/>
                <w:i/>
                <w:iCs/>
              </w:rPr>
            </w:pPr>
            <w:r>
              <w:rPr>
                <w:rFonts w:ascii="Times New Roman" w:hAnsi="Times New Roman"/>
                <w:b/>
                <w:i/>
                <w:iCs/>
              </w:rPr>
              <w:t xml:space="preserve">EI/REI 240 </w:t>
            </w:r>
          </w:p>
        </w:tc>
      </w:tr>
      <w:tr w:rsidR="001C08A5" w14:paraId="2E47D06B" w14:textId="77777777">
        <w:tc>
          <w:tcPr>
            <w:tcW w:w="704" w:type="dxa"/>
            <w:vMerge/>
            <w:vAlign w:val="center"/>
          </w:tcPr>
          <w:p w14:paraId="5373BACF" w14:textId="77777777" w:rsidR="001C08A5" w:rsidRDefault="001C08A5">
            <w:pPr>
              <w:jc w:val="center"/>
              <w:rPr>
                <w:b/>
                <w:i/>
                <w:iCs/>
                <w:sz w:val="22"/>
                <w:szCs w:val="22"/>
              </w:rPr>
            </w:pPr>
          </w:p>
        </w:tc>
        <w:tc>
          <w:tcPr>
            <w:tcW w:w="1195" w:type="dxa"/>
          </w:tcPr>
          <w:p w14:paraId="19D267E6" w14:textId="77777777" w:rsidR="001C08A5" w:rsidRDefault="00000000">
            <w:pPr>
              <w:rPr>
                <w:b/>
                <w:i/>
                <w:iCs/>
                <w:sz w:val="22"/>
                <w:szCs w:val="22"/>
              </w:rPr>
            </w:pPr>
            <w:r>
              <w:rPr>
                <w:b/>
                <w:i/>
                <w:iCs/>
                <w:sz w:val="22"/>
                <w:szCs w:val="22"/>
              </w:rPr>
              <w:t>Planşee</w:t>
            </w:r>
          </w:p>
        </w:tc>
        <w:tc>
          <w:tcPr>
            <w:tcW w:w="1936" w:type="dxa"/>
          </w:tcPr>
          <w:p w14:paraId="37E8AE15" w14:textId="77777777" w:rsidR="001C08A5" w:rsidRDefault="00000000">
            <w:pPr>
              <w:pStyle w:val="NoSpacing"/>
              <w:suppressAutoHyphens/>
              <w:rPr>
                <w:rFonts w:ascii="Times New Roman" w:hAnsi="Times New Roman"/>
                <w:b/>
                <w:bCs/>
                <w:i/>
                <w:iCs/>
              </w:rPr>
            </w:pPr>
            <w:r>
              <w:rPr>
                <w:rFonts w:ascii="Times New Roman" w:hAnsi="Times New Roman"/>
                <w:b/>
                <w:i/>
                <w:iCs/>
              </w:rPr>
              <w:t>REI 120</w:t>
            </w:r>
          </w:p>
        </w:tc>
        <w:tc>
          <w:tcPr>
            <w:tcW w:w="1937" w:type="dxa"/>
          </w:tcPr>
          <w:p w14:paraId="746B3910" w14:textId="77777777" w:rsidR="001C08A5" w:rsidRDefault="00000000">
            <w:pPr>
              <w:pStyle w:val="NoSpacing"/>
              <w:suppressAutoHyphens/>
              <w:rPr>
                <w:rFonts w:ascii="Times New Roman" w:hAnsi="Times New Roman"/>
                <w:b/>
                <w:bCs/>
                <w:i/>
                <w:iCs/>
              </w:rPr>
            </w:pPr>
            <w:r>
              <w:rPr>
                <w:rFonts w:ascii="Times New Roman" w:hAnsi="Times New Roman"/>
                <w:b/>
                <w:i/>
                <w:iCs/>
              </w:rPr>
              <w:t>REI 180</w:t>
            </w:r>
          </w:p>
        </w:tc>
        <w:tc>
          <w:tcPr>
            <w:tcW w:w="1936" w:type="dxa"/>
          </w:tcPr>
          <w:p w14:paraId="5079080F" w14:textId="77777777" w:rsidR="001C08A5" w:rsidRDefault="00000000">
            <w:pPr>
              <w:pStyle w:val="NoSpacing"/>
              <w:suppressAutoHyphens/>
              <w:rPr>
                <w:rFonts w:ascii="Times New Roman" w:hAnsi="Times New Roman"/>
                <w:b/>
                <w:bCs/>
                <w:i/>
                <w:iCs/>
              </w:rPr>
            </w:pPr>
            <w:r>
              <w:rPr>
                <w:rFonts w:ascii="Times New Roman" w:hAnsi="Times New Roman"/>
                <w:b/>
                <w:i/>
                <w:iCs/>
              </w:rPr>
              <w:t>REI 180</w:t>
            </w:r>
          </w:p>
        </w:tc>
        <w:tc>
          <w:tcPr>
            <w:tcW w:w="1936" w:type="dxa"/>
          </w:tcPr>
          <w:p w14:paraId="4E36FAFE" w14:textId="77777777" w:rsidR="001C08A5" w:rsidRDefault="00000000">
            <w:pPr>
              <w:pStyle w:val="NoSpacing"/>
              <w:suppressAutoHyphens/>
              <w:rPr>
                <w:rFonts w:ascii="Times New Roman" w:hAnsi="Times New Roman"/>
                <w:b/>
                <w:bCs/>
                <w:i/>
                <w:iCs/>
              </w:rPr>
            </w:pPr>
            <w:r>
              <w:rPr>
                <w:rFonts w:ascii="Times New Roman" w:hAnsi="Times New Roman"/>
                <w:b/>
                <w:i/>
                <w:iCs/>
              </w:rPr>
              <w:t>REI 180</w:t>
            </w:r>
          </w:p>
        </w:tc>
      </w:tr>
      <w:tr w:rsidR="001C08A5" w14:paraId="0C510375" w14:textId="77777777">
        <w:tc>
          <w:tcPr>
            <w:tcW w:w="704" w:type="dxa"/>
            <w:vMerge/>
            <w:vAlign w:val="center"/>
          </w:tcPr>
          <w:p w14:paraId="1413732A" w14:textId="77777777" w:rsidR="001C08A5" w:rsidRDefault="001C08A5">
            <w:pPr>
              <w:jc w:val="center"/>
              <w:rPr>
                <w:b/>
                <w:i/>
                <w:iCs/>
                <w:sz w:val="22"/>
                <w:szCs w:val="22"/>
              </w:rPr>
            </w:pPr>
          </w:p>
        </w:tc>
        <w:tc>
          <w:tcPr>
            <w:tcW w:w="1195" w:type="dxa"/>
          </w:tcPr>
          <w:p w14:paraId="4935C103" w14:textId="77777777" w:rsidR="001C08A5" w:rsidRDefault="00000000">
            <w:pPr>
              <w:rPr>
                <w:b/>
                <w:i/>
                <w:iCs/>
                <w:sz w:val="22"/>
                <w:szCs w:val="22"/>
              </w:rPr>
            </w:pPr>
            <w:r>
              <w:rPr>
                <w:b/>
                <w:i/>
                <w:iCs/>
                <w:sz w:val="22"/>
                <w:szCs w:val="22"/>
              </w:rPr>
              <w:t xml:space="preserve">Uşi </w:t>
            </w:r>
            <w:r>
              <w:rPr>
                <w:i/>
                <w:iCs/>
                <w:sz w:val="22"/>
                <w:szCs w:val="22"/>
              </w:rPr>
              <w:t>rezistente la foc și etanșe la fum</w:t>
            </w:r>
          </w:p>
        </w:tc>
        <w:tc>
          <w:tcPr>
            <w:tcW w:w="1936" w:type="dxa"/>
          </w:tcPr>
          <w:p w14:paraId="2E3A771E"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90-C3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p>
          <w:p w14:paraId="13F88A60"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tc>
        <w:tc>
          <w:tcPr>
            <w:tcW w:w="1937" w:type="dxa"/>
          </w:tcPr>
          <w:p w14:paraId="40E13B7F" w14:textId="77777777" w:rsidR="001C08A5" w:rsidRDefault="00000000">
            <w:pPr>
              <w:pStyle w:val="NoSpacing"/>
              <w:suppressAutoHyphens/>
              <w:rPr>
                <w:rFonts w:ascii="Times New Roman" w:hAnsi="Times New Roman"/>
                <w:i/>
                <w:iCs/>
              </w:rPr>
            </w:pPr>
            <w:r>
              <w:rPr>
                <w:rFonts w:ascii="Times New Roman" w:hAnsi="Times New Roman"/>
                <w:i/>
                <w:iCs/>
              </w:rPr>
              <w:t xml:space="preserve">încăperi tampon protejate, </w:t>
            </w:r>
          </w:p>
          <w:p w14:paraId="1BB460F0"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200</w:t>
            </w:r>
          </w:p>
        </w:tc>
        <w:tc>
          <w:tcPr>
            <w:tcW w:w="1936" w:type="dxa"/>
          </w:tcPr>
          <w:p w14:paraId="71F79CF1"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120-C3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p>
          <w:p w14:paraId="434CCDE0"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200</w:t>
            </w:r>
          </w:p>
        </w:tc>
        <w:tc>
          <w:tcPr>
            <w:tcW w:w="1936" w:type="dxa"/>
          </w:tcPr>
          <w:p w14:paraId="7482DBD2" w14:textId="77777777" w:rsidR="001C08A5" w:rsidRDefault="00000000">
            <w:pPr>
              <w:pStyle w:val="NoSpacing"/>
              <w:suppressAutoHyphens/>
              <w:rPr>
                <w:rFonts w:ascii="Times New Roman" w:hAnsi="Times New Roman"/>
                <w:i/>
                <w:iCs/>
              </w:rPr>
            </w:pPr>
            <w:r>
              <w:rPr>
                <w:rFonts w:ascii="Times New Roman" w:hAnsi="Times New Roman"/>
                <w:i/>
                <w:iCs/>
              </w:rPr>
              <w:t xml:space="preserve">încăperi tampon  protejate, </w:t>
            </w:r>
          </w:p>
          <w:p w14:paraId="5B37F223"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90-C3</w:t>
            </w:r>
            <w:r>
              <w:rPr>
                <w:rFonts w:ascii="Times New Roman" w:hAnsi="Times New Roman"/>
                <w:b/>
                <w:i/>
                <w:iCs/>
              </w:rPr>
              <w:t>S</w:t>
            </w:r>
            <w:r>
              <w:rPr>
                <w:rFonts w:ascii="Times New Roman" w:hAnsi="Times New Roman"/>
                <w:b/>
                <w:bCs/>
                <w:i/>
                <w:iCs/>
                <w:vertAlign w:val="subscript"/>
              </w:rPr>
              <w:t>200</w:t>
            </w:r>
          </w:p>
        </w:tc>
      </w:tr>
      <w:tr w:rsidR="001C08A5" w14:paraId="718ABD57" w14:textId="77777777">
        <w:tc>
          <w:tcPr>
            <w:tcW w:w="704" w:type="dxa"/>
            <w:vAlign w:val="center"/>
          </w:tcPr>
          <w:p w14:paraId="1AFE51B5" w14:textId="77777777" w:rsidR="001C08A5" w:rsidRDefault="00000000">
            <w:pPr>
              <w:jc w:val="center"/>
              <w:rPr>
                <w:b/>
                <w:i/>
                <w:iCs/>
                <w:sz w:val="22"/>
                <w:szCs w:val="22"/>
              </w:rPr>
            </w:pPr>
            <w:r>
              <w:rPr>
                <w:b/>
                <w:i/>
                <w:iCs/>
                <w:sz w:val="22"/>
                <w:szCs w:val="22"/>
              </w:rPr>
              <w:t>I</w:t>
            </w:r>
          </w:p>
          <w:p w14:paraId="29915B0E" w14:textId="77777777" w:rsidR="001C08A5" w:rsidRDefault="001C08A5">
            <w:pPr>
              <w:jc w:val="center"/>
              <w:rPr>
                <w:b/>
                <w:i/>
                <w:iCs/>
                <w:sz w:val="22"/>
                <w:szCs w:val="22"/>
              </w:rPr>
            </w:pPr>
          </w:p>
          <w:p w14:paraId="485EFACE" w14:textId="77777777" w:rsidR="001C08A5" w:rsidRDefault="00000000">
            <w:pPr>
              <w:jc w:val="center"/>
              <w:rPr>
                <w:b/>
                <w:i/>
                <w:iCs/>
                <w:sz w:val="22"/>
                <w:szCs w:val="22"/>
              </w:rPr>
            </w:pPr>
            <w:r>
              <w:rPr>
                <w:b/>
                <w:i/>
                <w:iCs/>
                <w:sz w:val="22"/>
                <w:szCs w:val="22"/>
              </w:rPr>
              <w:t>h ≥ 125m</w:t>
            </w:r>
          </w:p>
        </w:tc>
        <w:tc>
          <w:tcPr>
            <w:tcW w:w="8940" w:type="dxa"/>
            <w:gridSpan w:val="5"/>
          </w:tcPr>
          <w:p w14:paraId="7EC89F0D" w14:textId="77777777" w:rsidR="001C08A5" w:rsidRDefault="00000000">
            <w:pPr>
              <w:rPr>
                <w:i/>
                <w:iCs/>
                <w:sz w:val="22"/>
                <w:szCs w:val="22"/>
              </w:rPr>
            </w:pPr>
            <w:r>
              <w:rPr>
                <w:i/>
                <w:iCs/>
              </w:rPr>
              <w:t xml:space="preserve">Incaperile cu risc mare de incendiu (cu exceptia celor cu risc foarte mare și a celor cu pericol/ risc de  explozie volumetrica, care nu sunt admise), cu densitatea sarcinii termice </w:t>
            </w:r>
            <w:r>
              <w:rPr>
                <w:b/>
                <w:bCs/>
                <w:i/>
                <w:iCs/>
                <w:lang w:eastAsia="ro-RO"/>
              </w:rPr>
              <w:t>840 MJ/m</w:t>
            </w:r>
            <w:r>
              <w:rPr>
                <w:b/>
                <w:bCs/>
                <w:i/>
                <w:iCs/>
                <w:vertAlign w:val="superscript"/>
                <w:lang w:eastAsia="ro-RO"/>
              </w:rPr>
              <w:t>2</w:t>
            </w:r>
            <w:r>
              <w:rPr>
                <w:b/>
                <w:bCs/>
                <w:i/>
                <w:iCs/>
                <w:lang w:eastAsia="ro-RO"/>
              </w:rPr>
              <w:t>≤q&lt; 1680 MJ/m</w:t>
            </w:r>
            <w:r>
              <w:rPr>
                <w:b/>
                <w:bCs/>
                <w:i/>
                <w:iCs/>
                <w:vertAlign w:val="superscript"/>
                <w:lang w:eastAsia="ro-RO"/>
              </w:rPr>
              <w:t>2</w:t>
            </w:r>
            <w:r>
              <w:rPr>
                <w:i/>
                <w:iCs/>
                <w:lang w:eastAsia="ro-RO"/>
              </w:rPr>
              <w:t>,cu suprafata</w:t>
            </w:r>
            <w:r>
              <w:rPr>
                <w:b/>
                <w:bCs/>
                <w:i/>
                <w:iCs/>
              </w:rPr>
              <w:t>&gt; 36 m²</w:t>
            </w:r>
            <w:r>
              <w:rPr>
                <w:i/>
                <w:iCs/>
              </w:rPr>
              <w:t xml:space="preserve"> se admit doar în compartiment separat al clădirii foarte înalte, alaturat, cu regim obișnuit de înălțime (pot avea peretii </w:t>
            </w:r>
            <w:r>
              <w:rPr>
                <w:b/>
                <w:bCs/>
                <w:i/>
                <w:iCs/>
              </w:rPr>
              <w:t xml:space="preserve">EI/REI 180 și </w:t>
            </w:r>
            <w:r>
              <w:rPr>
                <w:i/>
                <w:iCs/>
              </w:rPr>
              <w:t xml:space="preserve">planșee </w:t>
            </w:r>
            <w:r>
              <w:rPr>
                <w:b/>
                <w:bCs/>
                <w:i/>
                <w:iCs/>
              </w:rPr>
              <w:t>REI 120</w:t>
            </w:r>
            <w:r>
              <w:rPr>
                <w:i/>
                <w:iCs/>
              </w:rPr>
              <w:t xml:space="preserve">) sau intr-o arie de maximum </w:t>
            </w:r>
            <w:r>
              <w:rPr>
                <w:b/>
                <w:bCs/>
                <w:i/>
                <w:iCs/>
              </w:rPr>
              <w:t xml:space="preserve">400 mp </w:t>
            </w:r>
            <w:r>
              <w:rPr>
                <w:i/>
                <w:iCs/>
              </w:rPr>
              <w:t xml:space="preserve">doar în pătrimea inferioara (sfertul inferior) a clădirii foarte înalte. </w:t>
            </w:r>
            <w:r>
              <w:rPr>
                <w:i/>
                <w:iCs/>
                <w:sz w:val="22"/>
                <w:szCs w:val="22"/>
              </w:rPr>
              <w:t xml:space="preserve">Încăperile de depozitare cu densitatea sarcinii termice mai mare de </w:t>
            </w:r>
            <w:r>
              <w:rPr>
                <w:b/>
                <w:bCs/>
                <w:i/>
                <w:iCs/>
                <w:sz w:val="22"/>
                <w:szCs w:val="22"/>
              </w:rPr>
              <w:t>210 MJ/m²</w:t>
            </w:r>
            <w:r>
              <w:rPr>
                <w:i/>
                <w:iCs/>
                <w:sz w:val="22"/>
                <w:szCs w:val="22"/>
              </w:rPr>
              <w:t xml:space="preserve"> și mai mică de </w:t>
            </w:r>
            <w:r>
              <w:rPr>
                <w:b/>
                <w:bCs/>
                <w:i/>
                <w:iCs/>
                <w:sz w:val="22"/>
                <w:szCs w:val="22"/>
              </w:rPr>
              <w:t>420 MJ/mp,</w:t>
            </w:r>
            <w:r>
              <w:rPr>
                <w:b/>
                <w:i/>
                <w:iCs/>
                <w:sz w:val="22"/>
                <w:szCs w:val="22"/>
              </w:rPr>
              <w:t xml:space="preserve">≤ 36 m² </w:t>
            </w:r>
            <w:r>
              <w:rPr>
                <w:i/>
                <w:iCs/>
                <w:sz w:val="22"/>
                <w:szCs w:val="22"/>
              </w:rPr>
              <w:t xml:space="preserve">vor avea pereții </w:t>
            </w:r>
            <w:r>
              <w:rPr>
                <w:b/>
                <w:i/>
                <w:iCs/>
                <w:sz w:val="22"/>
                <w:szCs w:val="22"/>
              </w:rPr>
              <w:t xml:space="preserve">EI/REI 90 și ușile </w:t>
            </w:r>
            <w:r>
              <w:rPr>
                <w:bCs/>
                <w:i/>
                <w:iCs/>
                <w:sz w:val="22"/>
                <w:szCs w:val="22"/>
              </w:rPr>
              <w:t>din acestea vor fi</w:t>
            </w:r>
            <w:r>
              <w:rPr>
                <w:b/>
                <w:bCs/>
                <w:i/>
                <w:iCs/>
                <w:sz w:val="22"/>
                <w:szCs w:val="22"/>
              </w:rPr>
              <w:t>EI</w:t>
            </w:r>
            <w:r>
              <w:rPr>
                <w:b/>
                <w:bCs/>
                <w:i/>
                <w:iCs/>
                <w:sz w:val="22"/>
                <w:szCs w:val="22"/>
                <w:vertAlign w:val="subscript"/>
              </w:rPr>
              <w:t>2</w:t>
            </w:r>
            <w:r>
              <w:rPr>
                <w:b/>
                <w:bCs/>
                <w:i/>
                <w:iCs/>
                <w:sz w:val="22"/>
                <w:szCs w:val="22"/>
              </w:rPr>
              <w:t>45-C3</w:t>
            </w:r>
            <w:r>
              <w:rPr>
                <w:b/>
                <w:i/>
                <w:iCs/>
                <w:sz w:val="22"/>
                <w:szCs w:val="22"/>
              </w:rPr>
              <w:t>S</w:t>
            </w:r>
            <w:r>
              <w:rPr>
                <w:b/>
                <w:bCs/>
                <w:i/>
                <w:iCs/>
                <w:sz w:val="22"/>
                <w:szCs w:val="22"/>
                <w:vertAlign w:val="subscript"/>
              </w:rPr>
              <w:t xml:space="preserve">200 , </w:t>
            </w:r>
            <w:r>
              <w:rPr>
                <w:bCs/>
                <w:i/>
                <w:iCs/>
                <w:sz w:val="22"/>
                <w:szCs w:val="22"/>
              </w:rPr>
              <w:t>iar cele</w:t>
            </w:r>
            <w:r>
              <w:rPr>
                <w:b/>
                <w:i/>
                <w:iCs/>
                <w:sz w:val="22"/>
                <w:szCs w:val="22"/>
              </w:rPr>
              <w:t xml:space="preserve">&gt; 36 m² </w:t>
            </w:r>
            <w:r>
              <w:rPr>
                <w:i/>
                <w:iCs/>
                <w:sz w:val="22"/>
                <w:szCs w:val="22"/>
              </w:rPr>
              <w:t xml:space="preserve">vor avea pereții </w:t>
            </w:r>
            <w:r>
              <w:rPr>
                <w:b/>
                <w:i/>
                <w:iCs/>
                <w:sz w:val="22"/>
                <w:szCs w:val="22"/>
              </w:rPr>
              <w:t xml:space="preserve">EI/REI 120 și </w:t>
            </w:r>
            <w:r>
              <w:rPr>
                <w:bCs/>
                <w:i/>
                <w:iCs/>
                <w:sz w:val="22"/>
                <w:szCs w:val="22"/>
              </w:rPr>
              <w:t>ușile din acestea vor fi</w:t>
            </w:r>
            <w:r>
              <w:rPr>
                <w:b/>
                <w:bCs/>
                <w:i/>
                <w:iCs/>
                <w:sz w:val="22"/>
                <w:szCs w:val="22"/>
              </w:rPr>
              <w:t>EI</w:t>
            </w:r>
            <w:r>
              <w:rPr>
                <w:b/>
                <w:bCs/>
                <w:i/>
                <w:iCs/>
                <w:sz w:val="22"/>
                <w:szCs w:val="22"/>
                <w:vertAlign w:val="subscript"/>
              </w:rPr>
              <w:t>2</w:t>
            </w:r>
            <w:r>
              <w:rPr>
                <w:b/>
                <w:bCs/>
                <w:i/>
                <w:iCs/>
                <w:sz w:val="22"/>
                <w:szCs w:val="22"/>
              </w:rPr>
              <w:t>60-C3</w:t>
            </w:r>
            <w:r>
              <w:rPr>
                <w:b/>
                <w:i/>
                <w:iCs/>
                <w:sz w:val="22"/>
                <w:szCs w:val="22"/>
              </w:rPr>
              <w:t>S</w:t>
            </w:r>
            <w:r>
              <w:rPr>
                <w:b/>
                <w:bCs/>
                <w:i/>
                <w:iCs/>
                <w:sz w:val="22"/>
                <w:szCs w:val="22"/>
                <w:vertAlign w:val="subscript"/>
              </w:rPr>
              <w:t>200.</w:t>
            </w:r>
          </w:p>
        </w:tc>
      </w:tr>
      <w:tr w:rsidR="001C08A5" w14:paraId="5CEF7752" w14:textId="77777777">
        <w:tc>
          <w:tcPr>
            <w:tcW w:w="704" w:type="dxa"/>
            <w:vMerge w:val="restart"/>
            <w:vAlign w:val="center"/>
          </w:tcPr>
          <w:p w14:paraId="728EAA1D" w14:textId="77777777" w:rsidR="001C08A5" w:rsidRDefault="00000000">
            <w:pPr>
              <w:jc w:val="center"/>
              <w:rPr>
                <w:b/>
                <w:i/>
                <w:iCs/>
                <w:sz w:val="22"/>
                <w:szCs w:val="22"/>
              </w:rPr>
            </w:pPr>
            <w:r>
              <w:rPr>
                <w:b/>
                <w:i/>
                <w:iCs/>
                <w:sz w:val="22"/>
                <w:szCs w:val="22"/>
              </w:rPr>
              <w:t>I</w:t>
            </w:r>
          </w:p>
          <w:p w14:paraId="66210FF2" w14:textId="77777777" w:rsidR="001C08A5" w:rsidRDefault="001C08A5">
            <w:pPr>
              <w:jc w:val="center"/>
              <w:rPr>
                <w:b/>
                <w:i/>
                <w:iCs/>
                <w:sz w:val="22"/>
                <w:szCs w:val="22"/>
              </w:rPr>
            </w:pPr>
          </w:p>
          <w:p w14:paraId="1D6DA908" w14:textId="77777777" w:rsidR="001C08A5" w:rsidRDefault="00000000">
            <w:pPr>
              <w:jc w:val="center"/>
              <w:rPr>
                <w:b/>
                <w:i/>
                <w:iCs/>
                <w:sz w:val="22"/>
                <w:szCs w:val="22"/>
              </w:rPr>
            </w:pPr>
            <w:r>
              <w:rPr>
                <w:b/>
                <w:i/>
                <w:iCs/>
                <w:sz w:val="22"/>
                <w:szCs w:val="22"/>
              </w:rPr>
              <w:t>75m</w:t>
            </w:r>
          </w:p>
          <w:p w14:paraId="12FA63E3" w14:textId="77777777" w:rsidR="001C08A5" w:rsidRDefault="00000000">
            <w:pPr>
              <w:jc w:val="center"/>
              <w:rPr>
                <w:b/>
                <w:i/>
                <w:iCs/>
                <w:sz w:val="22"/>
                <w:szCs w:val="22"/>
              </w:rPr>
            </w:pPr>
            <w:r>
              <w:rPr>
                <w:b/>
                <w:i/>
                <w:iCs/>
                <w:sz w:val="22"/>
                <w:szCs w:val="22"/>
              </w:rPr>
              <w:t>≤h&lt; 125m</w:t>
            </w:r>
          </w:p>
        </w:tc>
        <w:tc>
          <w:tcPr>
            <w:tcW w:w="1195" w:type="dxa"/>
          </w:tcPr>
          <w:p w14:paraId="2AD6B5FC" w14:textId="77777777" w:rsidR="001C08A5" w:rsidRDefault="00000000">
            <w:pPr>
              <w:rPr>
                <w:b/>
                <w:i/>
                <w:iCs/>
                <w:sz w:val="22"/>
                <w:szCs w:val="22"/>
              </w:rPr>
            </w:pPr>
            <w:r>
              <w:rPr>
                <w:b/>
                <w:i/>
                <w:iCs/>
                <w:sz w:val="22"/>
                <w:szCs w:val="22"/>
              </w:rPr>
              <w:t>Pereţi</w:t>
            </w:r>
          </w:p>
        </w:tc>
        <w:tc>
          <w:tcPr>
            <w:tcW w:w="1936" w:type="dxa"/>
          </w:tcPr>
          <w:p w14:paraId="0A105912" w14:textId="77777777" w:rsidR="001C08A5" w:rsidRDefault="00000000">
            <w:pPr>
              <w:pStyle w:val="NoSpacing"/>
              <w:suppressAutoHyphens/>
              <w:rPr>
                <w:rFonts w:ascii="Times New Roman" w:hAnsi="Times New Roman"/>
                <w:b/>
                <w:bCs/>
                <w:i/>
                <w:iCs/>
              </w:rPr>
            </w:pPr>
            <w:r>
              <w:rPr>
                <w:rFonts w:ascii="Times New Roman" w:hAnsi="Times New Roman"/>
                <w:b/>
                <w:i/>
                <w:iCs/>
              </w:rPr>
              <w:t>EI/REI 120</w:t>
            </w:r>
          </w:p>
        </w:tc>
        <w:tc>
          <w:tcPr>
            <w:tcW w:w="1937" w:type="dxa"/>
          </w:tcPr>
          <w:p w14:paraId="3035B6D2" w14:textId="77777777" w:rsidR="001C08A5" w:rsidRDefault="00000000">
            <w:pPr>
              <w:pStyle w:val="NoSpacing"/>
              <w:suppressAutoHyphens/>
              <w:rPr>
                <w:rFonts w:ascii="Times New Roman" w:hAnsi="Times New Roman"/>
                <w:b/>
                <w:bCs/>
                <w:i/>
                <w:iCs/>
              </w:rPr>
            </w:pPr>
            <w:r>
              <w:rPr>
                <w:rFonts w:ascii="Times New Roman" w:hAnsi="Times New Roman"/>
                <w:b/>
                <w:i/>
                <w:iCs/>
              </w:rPr>
              <w:t>EI/REI 180</w:t>
            </w:r>
          </w:p>
        </w:tc>
        <w:tc>
          <w:tcPr>
            <w:tcW w:w="1936" w:type="dxa"/>
          </w:tcPr>
          <w:p w14:paraId="17B3615F" w14:textId="77777777" w:rsidR="001C08A5" w:rsidRDefault="00000000">
            <w:pPr>
              <w:pStyle w:val="NoSpacing"/>
              <w:suppressAutoHyphens/>
              <w:rPr>
                <w:rFonts w:ascii="Times New Roman" w:hAnsi="Times New Roman"/>
                <w:b/>
                <w:bCs/>
                <w:i/>
                <w:iCs/>
              </w:rPr>
            </w:pPr>
            <w:r>
              <w:rPr>
                <w:rFonts w:ascii="Times New Roman" w:hAnsi="Times New Roman"/>
                <w:b/>
                <w:i/>
                <w:iCs/>
              </w:rPr>
              <w:t xml:space="preserve">EI/REI 180 </w:t>
            </w:r>
          </w:p>
        </w:tc>
        <w:tc>
          <w:tcPr>
            <w:tcW w:w="1936" w:type="dxa"/>
          </w:tcPr>
          <w:p w14:paraId="57AB2D23" w14:textId="77777777" w:rsidR="001C08A5" w:rsidRDefault="00000000">
            <w:pPr>
              <w:pStyle w:val="NoSpacing"/>
              <w:suppressAutoHyphens/>
              <w:rPr>
                <w:rFonts w:ascii="Times New Roman" w:hAnsi="Times New Roman"/>
                <w:b/>
                <w:bCs/>
                <w:i/>
                <w:iCs/>
              </w:rPr>
            </w:pPr>
            <w:r>
              <w:rPr>
                <w:rFonts w:ascii="Times New Roman" w:hAnsi="Times New Roman"/>
                <w:b/>
                <w:i/>
                <w:iCs/>
              </w:rPr>
              <w:t xml:space="preserve">EI/REI 180 </w:t>
            </w:r>
          </w:p>
        </w:tc>
      </w:tr>
      <w:tr w:rsidR="001C08A5" w14:paraId="76565321" w14:textId="77777777">
        <w:tc>
          <w:tcPr>
            <w:tcW w:w="704" w:type="dxa"/>
            <w:vMerge/>
            <w:vAlign w:val="center"/>
          </w:tcPr>
          <w:p w14:paraId="69C17C4C" w14:textId="77777777" w:rsidR="001C08A5" w:rsidRDefault="001C08A5">
            <w:pPr>
              <w:jc w:val="center"/>
              <w:rPr>
                <w:b/>
                <w:i/>
                <w:iCs/>
                <w:sz w:val="22"/>
                <w:szCs w:val="22"/>
              </w:rPr>
            </w:pPr>
          </w:p>
        </w:tc>
        <w:tc>
          <w:tcPr>
            <w:tcW w:w="1195" w:type="dxa"/>
          </w:tcPr>
          <w:p w14:paraId="3ECA64F3" w14:textId="77777777" w:rsidR="001C08A5" w:rsidRDefault="00000000">
            <w:pPr>
              <w:rPr>
                <w:b/>
                <w:i/>
                <w:iCs/>
                <w:sz w:val="22"/>
                <w:szCs w:val="22"/>
              </w:rPr>
            </w:pPr>
            <w:r>
              <w:rPr>
                <w:b/>
                <w:i/>
                <w:iCs/>
                <w:sz w:val="22"/>
                <w:szCs w:val="22"/>
              </w:rPr>
              <w:t>Planşee</w:t>
            </w:r>
          </w:p>
        </w:tc>
        <w:tc>
          <w:tcPr>
            <w:tcW w:w="1936" w:type="dxa"/>
          </w:tcPr>
          <w:p w14:paraId="758F82FC" w14:textId="77777777" w:rsidR="001C08A5" w:rsidRDefault="00000000">
            <w:pPr>
              <w:pStyle w:val="NoSpacing"/>
              <w:suppressAutoHyphens/>
              <w:rPr>
                <w:rFonts w:ascii="Times New Roman" w:hAnsi="Times New Roman"/>
                <w:b/>
                <w:bCs/>
                <w:i/>
                <w:iCs/>
              </w:rPr>
            </w:pPr>
            <w:r>
              <w:rPr>
                <w:rFonts w:ascii="Times New Roman" w:hAnsi="Times New Roman"/>
                <w:b/>
                <w:i/>
                <w:iCs/>
              </w:rPr>
              <w:t>REI 120</w:t>
            </w:r>
          </w:p>
        </w:tc>
        <w:tc>
          <w:tcPr>
            <w:tcW w:w="1937" w:type="dxa"/>
          </w:tcPr>
          <w:p w14:paraId="1DA0ED0B" w14:textId="77777777" w:rsidR="001C08A5" w:rsidRDefault="00000000">
            <w:pPr>
              <w:pStyle w:val="NoSpacing"/>
              <w:suppressAutoHyphens/>
              <w:rPr>
                <w:rFonts w:ascii="Times New Roman" w:hAnsi="Times New Roman"/>
                <w:b/>
                <w:bCs/>
                <w:i/>
                <w:iCs/>
              </w:rPr>
            </w:pPr>
            <w:r>
              <w:rPr>
                <w:rFonts w:ascii="Times New Roman" w:hAnsi="Times New Roman"/>
                <w:b/>
                <w:i/>
                <w:iCs/>
              </w:rPr>
              <w:t>REI 180</w:t>
            </w:r>
          </w:p>
        </w:tc>
        <w:tc>
          <w:tcPr>
            <w:tcW w:w="1936" w:type="dxa"/>
          </w:tcPr>
          <w:p w14:paraId="41B27D43" w14:textId="77777777" w:rsidR="001C08A5" w:rsidRDefault="00000000">
            <w:pPr>
              <w:pStyle w:val="NoSpacing"/>
              <w:suppressAutoHyphens/>
              <w:rPr>
                <w:rFonts w:ascii="Times New Roman" w:hAnsi="Times New Roman"/>
                <w:b/>
                <w:bCs/>
                <w:i/>
                <w:iCs/>
              </w:rPr>
            </w:pPr>
            <w:r>
              <w:rPr>
                <w:rFonts w:ascii="Times New Roman" w:hAnsi="Times New Roman"/>
                <w:b/>
                <w:i/>
                <w:iCs/>
              </w:rPr>
              <w:t>REI 120</w:t>
            </w:r>
          </w:p>
        </w:tc>
        <w:tc>
          <w:tcPr>
            <w:tcW w:w="1936" w:type="dxa"/>
          </w:tcPr>
          <w:p w14:paraId="777C4B01" w14:textId="77777777" w:rsidR="001C08A5" w:rsidRDefault="00000000">
            <w:pPr>
              <w:pStyle w:val="NoSpacing"/>
              <w:suppressAutoHyphens/>
              <w:rPr>
                <w:rFonts w:ascii="Times New Roman" w:hAnsi="Times New Roman"/>
                <w:b/>
                <w:bCs/>
                <w:i/>
                <w:iCs/>
              </w:rPr>
            </w:pPr>
            <w:r>
              <w:rPr>
                <w:rFonts w:ascii="Times New Roman" w:hAnsi="Times New Roman"/>
                <w:b/>
                <w:i/>
                <w:iCs/>
              </w:rPr>
              <w:t>REI 180</w:t>
            </w:r>
          </w:p>
        </w:tc>
      </w:tr>
      <w:tr w:rsidR="001C08A5" w14:paraId="1025757C" w14:textId="77777777">
        <w:tc>
          <w:tcPr>
            <w:tcW w:w="704" w:type="dxa"/>
            <w:vMerge/>
            <w:vAlign w:val="center"/>
          </w:tcPr>
          <w:p w14:paraId="68C01D3C" w14:textId="77777777" w:rsidR="001C08A5" w:rsidRDefault="001C08A5">
            <w:pPr>
              <w:jc w:val="center"/>
              <w:rPr>
                <w:b/>
                <w:i/>
                <w:iCs/>
                <w:sz w:val="22"/>
                <w:szCs w:val="22"/>
              </w:rPr>
            </w:pPr>
          </w:p>
        </w:tc>
        <w:tc>
          <w:tcPr>
            <w:tcW w:w="1195" w:type="dxa"/>
          </w:tcPr>
          <w:p w14:paraId="2D2E7791" w14:textId="77777777" w:rsidR="001C08A5" w:rsidRDefault="00000000">
            <w:pPr>
              <w:rPr>
                <w:b/>
                <w:i/>
                <w:iCs/>
                <w:sz w:val="22"/>
                <w:szCs w:val="22"/>
              </w:rPr>
            </w:pPr>
            <w:r>
              <w:rPr>
                <w:b/>
                <w:i/>
                <w:iCs/>
                <w:sz w:val="22"/>
                <w:szCs w:val="22"/>
              </w:rPr>
              <w:t xml:space="preserve">Uşi </w:t>
            </w:r>
            <w:r>
              <w:rPr>
                <w:i/>
                <w:iCs/>
                <w:sz w:val="22"/>
                <w:szCs w:val="22"/>
              </w:rPr>
              <w:t>rezistente la foc și etanșe la fum</w:t>
            </w:r>
          </w:p>
        </w:tc>
        <w:tc>
          <w:tcPr>
            <w:tcW w:w="1936" w:type="dxa"/>
          </w:tcPr>
          <w:p w14:paraId="6AADB750"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p>
          <w:p w14:paraId="255E5666"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p>
        </w:tc>
        <w:tc>
          <w:tcPr>
            <w:tcW w:w="1937" w:type="dxa"/>
          </w:tcPr>
          <w:p w14:paraId="2F2554D5" w14:textId="77777777" w:rsidR="001C08A5" w:rsidRDefault="00000000">
            <w:pPr>
              <w:pStyle w:val="NoSpacing"/>
              <w:suppressAutoHyphens/>
              <w:rPr>
                <w:rFonts w:ascii="Times New Roman" w:hAnsi="Times New Roman"/>
                <w:i/>
                <w:iCs/>
              </w:rPr>
            </w:pPr>
            <w:r>
              <w:rPr>
                <w:rFonts w:ascii="Times New Roman" w:hAnsi="Times New Roman"/>
                <w:i/>
                <w:iCs/>
              </w:rPr>
              <w:t>încăperi tampon protejate,</w:t>
            </w:r>
          </w:p>
          <w:p w14:paraId="463437AF"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tc>
        <w:tc>
          <w:tcPr>
            <w:tcW w:w="1936" w:type="dxa"/>
          </w:tcPr>
          <w:p w14:paraId="5C491947"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90-C3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p>
          <w:p w14:paraId="7B5B976D"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tc>
        <w:tc>
          <w:tcPr>
            <w:tcW w:w="1936" w:type="dxa"/>
          </w:tcPr>
          <w:p w14:paraId="03CD1A40" w14:textId="77777777" w:rsidR="001C08A5" w:rsidRDefault="00000000">
            <w:pPr>
              <w:pStyle w:val="NoSpacing"/>
              <w:suppressAutoHyphens/>
              <w:rPr>
                <w:rFonts w:ascii="Times New Roman" w:hAnsi="Times New Roman"/>
                <w:i/>
                <w:iCs/>
              </w:rPr>
            </w:pPr>
            <w:r>
              <w:rPr>
                <w:rFonts w:ascii="Times New Roman" w:hAnsi="Times New Roman"/>
                <w:i/>
                <w:iCs/>
              </w:rPr>
              <w:t>încăperi tampon protejate,</w:t>
            </w:r>
          </w:p>
          <w:p w14:paraId="6E74C138"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200</w:t>
            </w:r>
          </w:p>
        </w:tc>
      </w:tr>
      <w:tr w:rsidR="001C08A5" w14:paraId="334BC1BB" w14:textId="77777777">
        <w:tc>
          <w:tcPr>
            <w:tcW w:w="704" w:type="dxa"/>
            <w:vAlign w:val="center"/>
          </w:tcPr>
          <w:p w14:paraId="0818DE82" w14:textId="77777777" w:rsidR="001C08A5" w:rsidRDefault="00000000">
            <w:pPr>
              <w:jc w:val="center"/>
              <w:rPr>
                <w:b/>
                <w:i/>
                <w:iCs/>
                <w:sz w:val="22"/>
                <w:szCs w:val="22"/>
              </w:rPr>
            </w:pPr>
            <w:r>
              <w:rPr>
                <w:b/>
                <w:i/>
                <w:iCs/>
                <w:sz w:val="22"/>
                <w:szCs w:val="22"/>
              </w:rPr>
              <w:t>I</w:t>
            </w:r>
          </w:p>
          <w:p w14:paraId="3D1CC724" w14:textId="77777777" w:rsidR="001C08A5" w:rsidRDefault="001C08A5">
            <w:pPr>
              <w:jc w:val="center"/>
              <w:rPr>
                <w:b/>
                <w:i/>
                <w:iCs/>
                <w:sz w:val="22"/>
                <w:szCs w:val="22"/>
              </w:rPr>
            </w:pPr>
          </w:p>
          <w:p w14:paraId="14108679" w14:textId="77777777" w:rsidR="001C08A5" w:rsidRDefault="00000000">
            <w:pPr>
              <w:jc w:val="center"/>
              <w:rPr>
                <w:b/>
                <w:i/>
                <w:iCs/>
                <w:sz w:val="22"/>
                <w:szCs w:val="22"/>
              </w:rPr>
            </w:pPr>
            <w:r>
              <w:rPr>
                <w:b/>
                <w:i/>
                <w:iCs/>
                <w:sz w:val="22"/>
                <w:szCs w:val="22"/>
              </w:rPr>
              <w:lastRenderedPageBreak/>
              <w:t>75m</w:t>
            </w:r>
          </w:p>
          <w:p w14:paraId="590393FE" w14:textId="77777777" w:rsidR="001C08A5" w:rsidRDefault="00000000">
            <w:pPr>
              <w:jc w:val="center"/>
              <w:rPr>
                <w:b/>
                <w:i/>
                <w:iCs/>
                <w:sz w:val="22"/>
                <w:szCs w:val="22"/>
              </w:rPr>
            </w:pPr>
            <w:r>
              <w:rPr>
                <w:b/>
                <w:i/>
                <w:iCs/>
                <w:sz w:val="22"/>
                <w:szCs w:val="22"/>
              </w:rPr>
              <w:t>≤h&lt; 125m</w:t>
            </w:r>
          </w:p>
        </w:tc>
        <w:tc>
          <w:tcPr>
            <w:tcW w:w="8940" w:type="dxa"/>
            <w:gridSpan w:val="5"/>
          </w:tcPr>
          <w:p w14:paraId="79514E69" w14:textId="77777777" w:rsidR="001C08A5" w:rsidRDefault="00000000">
            <w:pPr>
              <w:pStyle w:val="NoSpacing"/>
              <w:suppressAutoHyphens/>
              <w:rPr>
                <w:rFonts w:ascii="Times New Roman" w:hAnsi="Times New Roman"/>
                <w:i/>
                <w:iCs/>
              </w:rPr>
            </w:pPr>
            <w:r>
              <w:rPr>
                <w:rFonts w:ascii="Times New Roman" w:hAnsi="Times New Roman"/>
                <w:i/>
                <w:iCs/>
              </w:rPr>
              <w:lastRenderedPageBreak/>
              <w:t xml:space="preserve">Incaperile cu risc mare de incendiu (cu exceptia celor cu risc foarte mare și a celor cu pericol/ risc de  explozie volumetrica, care nu sunt admise), cu densitatea sarcinii termice </w:t>
            </w:r>
            <w:r>
              <w:rPr>
                <w:rFonts w:ascii="Times New Roman" w:hAnsi="Times New Roman"/>
                <w:b/>
                <w:bCs/>
                <w:i/>
                <w:iCs/>
                <w:lang w:eastAsia="ro-RO"/>
              </w:rPr>
              <w:t>840 MJ/m</w:t>
            </w:r>
            <w:r>
              <w:rPr>
                <w:rFonts w:ascii="Times New Roman" w:hAnsi="Times New Roman"/>
                <w:b/>
                <w:bCs/>
                <w:i/>
                <w:iCs/>
                <w:vertAlign w:val="superscript"/>
                <w:lang w:eastAsia="ro-RO"/>
              </w:rPr>
              <w:t>2</w:t>
            </w:r>
            <w:r>
              <w:rPr>
                <w:rFonts w:ascii="Times New Roman" w:hAnsi="Times New Roman"/>
                <w:b/>
                <w:bCs/>
                <w:i/>
                <w:iCs/>
                <w:lang w:eastAsia="ro-RO"/>
              </w:rPr>
              <w:t xml:space="preserve">≤q&lt; </w:t>
            </w:r>
            <w:r>
              <w:rPr>
                <w:rFonts w:ascii="Times New Roman" w:hAnsi="Times New Roman"/>
                <w:b/>
                <w:bCs/>
                <w:i/>
                <w:iCs/>
                <w:lang w:eastAsia="ro-RO"/>
              </w:rPr>
              <w:lastRenderedPageBreak/>
              <w:t>1680 MJ/m</w:t>
            </w:r>
            <w:r>
              <w:rPr>
                <w:rFonts w:ascii="Times New Roman" w:hAnsi="Times New Roman"/>
                <w:b/>
                <w:bCs/>
                <w:i/>
                <w:iCs/>
                <w:vertAlign w:val="superscript"/>
                <w:lang w:eastAsia="ro-RO"/>
              </w:rPr>
              <w:t>2</w:t>
            </w:r>
            <w:r>
              <w:rPr>
                <w:rFonts w:ascii="Times New Roman" w:hAnsi="Times New Roman"/>
                <w:i/>
                <w:iCs/>
                <w:lang w:eastAsia="ro-RO"/>
              </w:rPr>
              <w:t>,cu suprafata</w:t>
            </w:r>
            <w:r>
              <w:rPr>
                <w:rFonts w:ascii="Times New Roman" w:hAnsi="Times New Roman"/>
                <w:b/>
                <w:bCs/>
                <w:i/>
                <w:iCs/>
              </w:rPr>
              <w:t>&gt; 36 m²</w:t>
            </w:r>
            <w:r>
              <w:rPr>
                <w:rFonts w:ascii="Times New Roman" w:hAnsi="Times New Roman"/>
                <w:i/>
                <w:iCs/>
              </w:rPr>
              <w:t xml:space="preserve"> se admit doar în compartiment separat al clădirii foarte înalte, alăturat, cu regim obișnuit de </w:t>
            </w:r>
            <w:r>
              <w:rPr>
                <w:rFonts w:ascii="Times New Roman" w:hAnsi="Times New Roman"/>
                <w:i/>
                <w:iCs/>
                <w:lang w:eastAsia="ar-SA"/>
              </w:rPr>
              <w:t>înălțime</w:t>
            </w:r>
            <w:r>
              <w:rPr>
                <w:rFonts w:ascii="Times New Roman" w:hAnsi="Times New Roman"/>
                <w:i/>
                <w:iCs/>
              </w:rPr>
              <w:t xml:space="preserve"> (pot avea peretii </w:t>
            </w:r>
            <w:r>
              <w:rPr>
                <w:rFonts w:ascii="Times New Roman" w:hAnsi="Times New Roman"/>
                <w:b/>
                <w:bCs/>
                <w:i/>
                <w:iCs/>
              </w:rPr>
              <w:t xml:space="preserve">EI/REI 180 și </w:t>
            </w:r>
            <w:r>
              <w:rPr>
                <w:rFonts w:ascii="Times New Roman" w:hAnsi="Times New Roman"/>
                <w:i/>
                <w:iCs/>
              </w:rPr>
              <w:t xml:space="preserve">planșee </w:t>
            </w:r>
            <w:r>
              <w:rPr>
                <w:rFonts w:ascii="Times New Roman" w:hAnsi="Times New Roman"/>
                <w:b/>
                <w:bCs/>
                <w:i/>
                <w:iCs/>
              </w:rPr>
              <w:t>REI 180</w:t>
            </w:r>
            <w:r>
              <w:rPr>
                <w:rFonts w:ascii="Times New Roman" w:hAnsi="Times New Roman"/>
                <w:i/>
                <w:iCs/>
              </w:rPr>
              <w:t xml:space="preserve">) sau intr-o arie de maximum </w:t>
            </w:r>
            <w:r>
              <w:rPr>
                <w:rFonts w:ascii="Times New Roman" w:hAnsi="Times New Roman"/>
                <w:b/>
                <w:bCs/>
                <w:i/>
                <w:iCs/>
              </w:rPr>
              <w:t xml:space="preserve">400 m² </w:t>
            </w:r>
            <w:r>
              <w:rPr>
                <w:rFonts w:ascii="Times New Roman" w:hAnsi="Times New Roman"/>
                <w:i/>
                <w:iCs/>
              </w:rPr>
              <w:t xml:space="preserve">doar în treimea inferioara a clădirii foarte înalte. </w:t>
            </w:r>
          </w:p>
          <w:p w14:paraId="3F3A1BDD" w14:textId="77777777" w:rsidR="001C08A5" w:rsidRDefault="00000000">
            <w:pPr>
              <w:rPr>
                <w:i/>
                <w:iCs/>
                <w:sz w:val="22"/>
                <w:szCs w:val="22"/>
              </w:rPr>
            </w:pPr>
            <w:r>
              <w:rPr>
                <w:i/>
                <w:iCs/>
                <w:sz w:val="22"/>
                <w:szCs w:val="22"/>
              </w:rPr>
              <w:t xml:space="preserve">Încăperile de depozitare cu densitatea sarcinii termice mai mare de </w:t>
            </w:r>
            <w:r>
              <w:rPr>
                <w:b/>
                <w:bCs/>
                <w:i/>
                <w:iCs/>
                <w:sz w:val="22"/>
                <w:szCs w:val="22"/>
              </w:rPr>
              <w:t>210 MJ/m²</w:t>
            </w:r>
            <w:r>
              <w:rPr>
                <w:i/>
                <w:iCs/>
                <w:sz w:val="22"/>
                <w:szCs w:val="22"/>
              </w:rPr>
              <w:t xml:space="preserve"> și mai mică de </w:t>
            </w:r>
            <w:r>
              <w:rPr>
                <w:b/>
                <w:bCs/>
                <w:i/>
                <w:iCs/>
                <w:sz w:val="22"/>
                <w:szCs w:val="22"/>
              </w:rPr>
              <w:t>420 MJ/m²</w:t>
            </w:r>
            <w:r>
              <w:rPr>
                <w:i/>
                <w:iCs/>
                <w:sz w:val="22"/>
                <w:szCs w:val="22"/>
              </w:rPr>
              <w:t xml:space="preserve"> </w:t>
            </w:r>
            <w:r>
              <w:rPr>
                <w:b/>
                <w:i/>
                <w:iCs/>
                <w:sz w:val="22"/>
                <w:szCs w:val="22"/>
              </w:rPr>
              <w:t xml:space="preserve">≤ 36 m² </w:t>
            </w:r>
            <w:r>
              <w:rPr>
                <w:i/>
                <w:iCs/>
                <w:sz w:val="22"/>
                <w:szCs w:val="22"/>
              </w:rPr>
              <w:t xml:space="preserve">vor avea pereții </w:t>
            </w:r>
            <w:r>
              <w:rPr>
                <w:b/>
                <w:i/>
                <w:iCs/>
                <w:sz w:val="22"/>
                <w:szCs w:val="22"/>
              </w:rPr>
              <w:t xml:space="preserve">EI/REI 90 </w:t>
            </w:r>
            <w:r>
              <w:rPr>
                <w:bCs/>
                <w:i/>
                <w:iCs/>
                <w:sz w:val="22"/>
                <w:szCs w:val="22"/>
              </w:rPr>
              <w:t>și ușile</w:t>
            </w:r>
            <w:r>
              <w:rPr>
                <w:b/>
                <w:i/>
                <w:iCs/>
                <w:sz w:val="22"/>
                <w:szCs w:val="22"/>
              </w:rPr>
              <w:t xml:space="preserve"> </w:t>
            </w:r>
            <w:r>
              <w:rPr>
                <w:bCs/>
                <w:i/>
                <w:iCs/>
                <w:sz w:val="22"/>
                <w:szCs w:val="22"/>
              </w:rPr>
              <w:t xml:space="preserve">din acestea vor fi </w:t>
            </w:r>
            <w:r>
              <w:rPr>
                <w:b/>
                <w:bCs/>
                <w:i/>
                <w:iCs/>
                <w:sz w:val="22"/>
                <w:szCs w:val="22"/>
              </w:rPr>
              <w:t>EI</w:t>
            </w:r>
            <w:r>
              <w:rPr>
                <w:b/>
                <w:bCs/>
                <w:i/>
                <w:iCs/>
                <w:sz w:val="22"/>
                <w:szCs w:val="22"/>
                <w:vertAlign w:val="subscript"/>
              </w:rPr>
              <w:t>2</w:t>
            </w:r>
            <w:r>
              <w:rPr>
                <w:b/>
                <w:bCs/>
                <w:i/>
                <w:iCs/>
                <w:sz w:val="22"/>
                <w:szCs w:val="22"/>
              </w:rPr>
              <w:t>45-C3</w:t>
            </w:r>
            <w:r>
              <w:rPr>
                <w:b/>
                <w:i/>
                <w:iCs/>
                <w:sz w:val="22"/>
                <w:szCs w:val="22"/>
              </w:rPr>
              <w:t>S</w:t>
            </w:r>
            <w:r>
              <w:rPr>
                <w:b/>
                <w:bCs/>
                <w:i/>
                <w:iCs/>
                <w:sz w:val="22"/>
                <w:szCs w:val="22"/>
                <w:vertAlign w:val="subscript"/>
              </w:rPr>
              <w:t xml:space="preserve">200 </w:t>
            </w:r>
            <w:r>
              <w:rPr>
                <w:bCs/>
                <w:i/>
                <w:iCs/>
                <w:sz w:val="22"/>
                <w:szCs w:val="22"/>
              </w:rPr>
              <w:t>iar cele</w:t>
            </w:r>
            <w:r>
              <w:rPr>
                <w:b/>
                <w:i/>
                <w:iCs/>
                <w:sz w:val="22"/>
                <w:szCs w:val="22"/>
              </w:rPr>
              <w:t xml:space="preserve">&gt; 36 m² </w:t>
            </w:r>
            <w:r>
              <w:rPr>
                <w:i/>
                <w:iCs/>
                <w:sz w:val="22"/>
                <w:szCs w:val="22"/>
              </w:rPr>
              <w:t xml:space="preserve">vor avea pereții </w:t>
            </w:r>
            <w:r>
              <w:rPr>
                <w:b/>
                <w:i/>
                <w:iCs/>
                <w:sz w:val="22"/>
                <w:szCs w:val="22"/>
              </w:rPr>
              <w:t xml:space="preserve">EI/REI 120 și </w:t>
            </w:r>
            <w:r>
              <w:rPr>
                <w:bCs/>
                <w:i/>
                <w:iCs/>
                <w:sz w:val="22"/>
                <w:szCs w:val="22"/>
              </w:rPr>
              <w:t xml:space="preserve">ușile din acestea vor fi </w:t>
            </w:r>
            <w:r>
              <w:rPr>
                <w:b/>
                <w:bCs/>
                <w:i/>
                <w:iCs/>
                <w:sz w:val="22"/>
                <w:szCs w:val="22"/>
              </w:rPr>
              <w:t>EI</w:t>
            </w:r>
            <w:r>
              <w:rPr>
                <w:b/>
                <w:bCs/>
                <w:i/>
                <w:iCs/>
                <w:sz w:val="22"/>
                <w:szCs w:val="22"/>
                <w:vertAlign w:val="subscript"/>
              </w:rPr>
              <w:t>2</w:t>
            </w:r>
            <w:r>
              <w:rPr>
                <w:b/>
                <w:bCs/>
                <w:i/>
                <w:iCs/>
                <w:sz w:val="22"/>
                <w:szCs w:val="22"/>
              </w:rPr>
              <w:t>60-C3</w:t>
            </w:r>
            <w:r>
              <w:rPr>
                <w:b/>
                <w:i/>
                <w:iCs/>
                <w:sz w:val="22"/>
                <w:szCs w:val="22"/>
              </w:rPr>
              <w:t>S</w:t>
            </w:r>
            <w:r>
              <w:rPr>
                <w:b/>
                <w:bCs/>
                <w:i/>
                <w:iCs/>
                <w:sz w:val="22"/>
                <w:szCs w:val="22"/>
                <w:vertAlign w:val="subscript"/>
              </w:rPr>
              <w:t>200.</w:t>
            </w:r>
          </w:p>
        </w:tc>
      </w:tr>
      <w:tr w:rsidR="001C08A5" w14:paraId="7B1001ED" w14:textId="77777777">
        <w:tc>
          <w:tcPr>
            <w:tcW w:w="704" w:type="dxa"/>
            <w:vMerge w:val="restart"/>
            <w:vAlign w:val="center"/>
          </w:tcPr>
          <w:p w14:paraId="7C53F19B" w14:textId="77777777" w:rsidR="001C08A5" w:rsidRDefault="00000000">
            <w:pPr>
              <w:jc w:val="center"/>
              <w:rPr>
                <w:b/>
                <w:i/>
                <w:iCs/>
                <w:sz w:val="22"/>
                <w:szCs w:val="22"/>
              </w:rPr>
            </w:pPr>
            <w:r>
              <w:rPr>
                <w:b/>
                <w:i/>
                <w:iCs/>
                <w:sz w:val="22"/>
                <w:szCs w:val="22"/>
              </w:rPr>
              <w:t>I</w:t>
            </w:r>
          </w:p>
          <w:p w14:paraId="3B68BCDF" w14:textId="77777777" w:rsidR="001C08A5" w:rsidRDefault="001C08A5">
            <w:pPr>
              <w:jc w:val="center"/>
              <w:rPr>
                <w:b/>
                <w:i/>
                <w:iCs/>
                <w:sz w:val="22"/>
                <w:szCs w:val="22"/>
              </w:rPr>
            </w:pPr>
          </w:p>
          <w:p w14:paraId="3C2290B4" w14:textId="77777777" w:rsidR="001C08A5" w:rsidRDefault="00000000">
            <w:pPr>
              <w:jc w:val="center"/>
              <w:rPr>
                <w:b/>
                <w:i/>
                <w:iCs/>
                <w:sz w:val="22"/>
                <w:szCs w:val="22"/>
              </w:rPr>
            </w:pPr>
            <w:r>
              <w:rPr>
                <w:b/>
                <w:i/>
                <w:iCs/>
                <w:sz w:val="22"/>
                <w:szCs w:val="22"/>
              </w:rPr>
              <w:t>45m</w:t>
            </w:r>
          </w:p>
          <w:p w14:paraId="15160D21" w14:textId="77777777" w:rsidR="001C08A5" w:rsidRDefault="00000000">
            <w:pPr>
              <w:jc w:val="center"/>
              <w:rPr>
                <w:b/>
                <w:i/>
                <w:iCs/>
                <w:sz w:val="22"/>
                <w:szCs w:val="22"/>
              </w:rPr>
            </w:pPr>
            <w:r>
              <w:rPr>
                <w:b/>
                <w:i/>
                <w:iCs/>
                <w:sz w:val="22"/>
                <w:szCs w:val="22"/>
              </w:rPr>
              <w:t>≤h&lt;</w:t>
            </w:r>
          </w:p>
          <w:p w14:paraId="0A026643" w14:textId="77777777" w:rsidR="001C08A5" w:rsidRDefault="00000000">
            <w:pPr>
              <w:jc w:val="center"/>
              <w:rPr>
                <w:b/>
                <w:i/>
                <w:iCs/>
                <w:sz w:val="22"/>
                <w:szCs w:val="22"/>
              </w:rPr>
            </w:pPr>
            <w:r>
              <w:rPr>
                <w:b/>
                <w:i/>
                <w:iCs/>
                <w:sz w:val="22"/>
                <w:szCs w:val="22"/>
              </w:rPr>
              <w:t>75m</w:t>
            </w:r>
          </w:p>
        </w:tc>
        <w:tc>
          <w:tcPr>
            <w:tcW w:w="1195" w:type="dxa"/>
          </w:tcPr>
          <w:p w14:paraId="1919BF75" w14:textId="77777777" w:rsidR="001C08A5" w:rsidRDefault="00000000">
            <w:pPr>
              <w:rPr>
                <w:b/>
                <w:i/>
                <w:iCs/>
                <w:sz w:val="22"/>
                <w:szCs w:val="22"/>
              </w:rPr>
            </w:pPr>
            <w:r>
              <w:rPr>
                <w:b/>
                <w:i/>
                <w:iCs/>
                <w:sz w:val="22"/>
                <w:szCs w:val="22"/>
              </w:rPr>
              <w:t>Pereţi</w:t>
            </w:r>
          </w:p>
        </w:tc>
        <w:tc>
          <w:tcPr>
            <w:tcW w:w="1936" w:type="dxa"/>
          </w:tcPr>
          <w:p w14:paraId="0BD297F1" w14:textId="77777777" w:rsidR="001C08A5" w:rsidRDefault="00000000">
            <w:pPr>
              <w:pStyle w:val="NoSpacing"/>
              <w:suppressAutoHyphens/>
              <w:rPr>
                <w:rFonts w:ascii="Times New Roman" w:hAnsi="Times New Roman"/>
                <w:b/>
                <w:bCs/>
                <w:i/>
                <w:iCs/>
              </w:rPr>
            </w:pPr>
            <w:r>
              <w:rPr>
                <w:rFonts w:ascii="Times New Roman" w:hAnsi="Times New Roman"/>
                <w:b/>
                <w:i/>
                <w:iCs/>
              </w:rPr>
              <w:t>EI/REI 90</w:t>
            </w:r>
          </w:p>
        </w:tc>
        <w:tc>
          <w:tcPr>
            <w:tcW w:w="1937" w:type="dxa"/>
          </w:tcPr>
          <w:p w14:paraId="291BA104" w14:textId="77777777" w:rsidR="001C08A5" w:rsidRDefault="00000000">
            <w:pPr>
              <w:pStyle w:val="NoSpacing"/>
              <w:suppressAutoHyphens/>
              <w:rPr>
                <w:rFonts w:ascii="Times New Roman" w:hAnsi="Times New Roman"/>
                <w:b/>
                <w:bCs/>
                <w:i/>
                <w:iCs/>
              </w:rPr>
            </w:pPr>
            <w:r>
              <w:rPr>
                <w:rFonts w:ascii="Times New Roman" w:hAnsi="Times New Roman"/>
                <w:b/>
                <w:i/>
                <w:iCs/>
              </w:rPr>
              <w:t>EI/REI 120</w:t>
            </w:r>
          </w:p>
        </w:tc>
        <w:tc>
          <w:tcPr>
            <w:tcW w:w="1936" w:type="dxa"/>
          </w:tcPr>
          <w:p w14:paraId="23FCCD3A" w14:textId="77777777" w:rsidR="001C08A5" w:rsidRDefault="00000000">
            <w:pPr>
              <w:pStyle w:val="NoSpacing"/>
              <w:suppressAutoHyphens/>
              <w:rPr>
                <w:rFonts w:ascii="Times New Roman" w:hAnsi="Times New Roman"/>
                <w:b/>
                <w:bCs/>
                <w:i/>
                <w:iCs/>
              </w:rPr>
            </w:pPr>
            <w:r>
              <w:rPr>
                <w:rFonts w:ascii="Times New Roman" w:hAnsi="Times New Roman"/>
                <w:b/>
                <w:i/>
                <w:iCs/>
              </w:rPr>
              <w:t xml:space="preserve">EI/REI 120 </w:t>
            </w:r>
          </w:p>
        </w:tc>
        <w:tc>
          <w:tcPr>
            <w:tcW w:w="1936" w:type="dxa"/>
          </w:tcPr>
          <w:p w14:paraId="3459FB72" w14:textId="77777777" w:rsidR="001C08A5" w:rsidRDefault="00000000">
            <w:pPr>
              <w:pStyle w:val="NoSpacing"/>
              <w:suppressAutoHyphens/>
              <w:rPr>
                <w:rFonts w:ascii="Times New Roman" w:hAnsi="Times New Roman"/>
                <w:b/>
                <w:bCs/>
                <w:i/>
                <w:iCs/>
              </w:rPr>
            </w:pPr>
            <w:r>
              <w:rPr>
                <w:rFonts w:ascii="Times New Roman" w:hAnsi="Times New Roman"/>
                <w:b/>
                <w:i/>
                <w:iCs/>
              </w:rPr>
              <w:t xml:space="preserve">EI/REI 180 </w:t>
            </w:r>
          </w:p>
        </w:tc>
      </w:tr>
      <w:tr w:rsidR="001C08A5" w14:paraId="0E39CCB3" w14:textId="77777777">
        <w:tc>
          <w:tcPr>
            <w:tcW w:w="704" w:type="dxa"/>
            <w:vMerge/>
            <w:vAlign w:val="center"/>
          </w:tcPr>
          <w:p w14:paraId="3026E62C" w14:textId="77777777" w:rsidR="001C08A5" w:rsidRDefault="001C08A5">
            <w:pPr>
              <w:jc w:val="center"/>
              <w:rPr>
                <w:b/>
                <w:i/>
                <w:iCs/>
                <w:sz w:val="22"/>
                <w:szCs w:val="22"/>
              </w:rPr>
            </w:pPr>
          </w:p>
        </w:tc>
        <w:tc>
          <w:tcPr>
            <w:tcW w:w="1195" w:type="dxa"/>
          </w:tcPr>
          <w:p w14:paraId="5F58F03D" w14:textId="77777777" w:rsidR="001C08A5" w:rsidRDefault="00000000">
            <w:pPr>
              <w:rPr>
                <w:b/>
                <w:i/>
                <w:iCs/>
                <w:sz w:val="22"/>
                <w:szCs w:val="22"/>
              </w:rPr>
            </w:pPr>
            <w:r>
              <w:rPr>
                <w:b/>
                <w:i/>
                <w:iCs/>
                <w:sz w:val="22"/>
                <w:szCs w:val="22"/>
              </w:rPr>
              <w:t>Planşee</w:t>
            </w:r>
          </w:p>
        </w:tc>
        <w:tc>
          <w:tcPr>
            <w:tcW w:w="1936" w:type="dxa"/>
          </w:tcPr>
          <w:p w14:paraId="72052E39" w14:textId="77777777" w:rsidR="001C08A5" w:rsidRDefault="00000000">
            <w:pPr>
              <w:pStyle w:val="NoSpacing"/>
              <w:suppressAutoHyphens/>
              <w:rPr>
                <w:rFonts w:ascii="Times New Roman" w:hAnsi="Times New Roman"/>
                <w:b/>
                <w:bCs/>
                <w:i/>
                <w:iCs/>
              </w:rPr>
            </w:pPr>
            <w:r>
              <w:rPr>
                <w:rFonts w:ascii="Times New Roman" w:hAnsi="Times New Roman"/>
                <w:b/>
                <w:i/>
                <w:iCs/>
              </w:rPr>
              <w:t>REI 120</w:t>
            </w:r>
          </w:p>
        </w:tc>
        <w:tc>
          <w:tcPr>
            <w:tcW w:w="1937" w:type="dxa"/>
          </w:tcPr>
          <w:p w14:paraId="4BCB2749" w14:textId="77777777" w:rsidR="001C08A5" w:rsidRDefault="00000000">
            <w:pPr>
              <w:pStyle w:val="NoSpacing"/>
              <w:suppressAutoHyphens/>
              <w:rPr>
                <w:rFonts w:ascii="Times New Roman" w:hAnsi="Times New Roman"/>
                <w:b/>
                <w:bCs/>
                <w:i/>
                <w:iCs/>
              </w:rPr>
            </w:pPr>
            <w:r>
              <w:rPr>
                <w:rFonts w:ascii="Times New Roman" w:hAnsi="Times New Roman"/>
                <w:b/>
                <w:i/>
                <w:iCs/>
              </w:rPr>
              <w:t>REI 120</w:t>
            </w:r>
          </w:p>
        </w:tc>
        <w:tc>
          <w:tcPr>
            <w:tcW w:w="1936" w:type="dxa"/>
          </w:tcPr>
          <w:p w14:paraId="4BAEE89F" w14:textId="77777777" w:rsidR="001C08A5" w:rsidRDefault="00000000">
            <w:pPr>
              <w:pStyle w:val="NoSpacing"/>
              <w:suppressAutoHyphens/>
              <w:rPr>
                <w:rFonts w:ascii="Times New Roman" w:hAnsi="Times New Roman"/>
                <w:b/>
                <w:bCs/>
                <w:i/>
                <w:iCs/>
              </w:rPr>
            </w:pPr>
            <w:r>
              <w:rPr>
                <w:rFonts w:ascii="Times New Roman" w:hAnsi="Times New Roman"/>
                <w:b/>
                <w:i/>
                <w:iCs/>
              </w:rPr>
              <w:t>REI 120</w:t>
            </w:r>
          </w:p>
        </w:tc>
        <w:tc>
          <w:tcPr>
            <w:tcW w:w="1936" w:type="dxa"/>
          </w:tcPr>
          <w:p w14:paraId="101EF215" w14:textId="77777777" w:rsidR="001C08A5" w:rsidRDefault="00000000">
            <w:pPr>
              <w:pStyle w:val="NoSpacing"/>
              <w:suppressAutoHyphens/>
              <w:rPr>
                <w:rFonts w:ascii="Times New Roman" w:hAnsi="Times New Roman"/>
                <w:b/>
                <w:bCs/>
                <w:i/>
                <w:iCs/>
              </w:rPr>
            </w:pPr>
            <w:r>
              <w:rPr>
                <w:rFonts w:ascii="Times New Roman" w:hAnsi="Times New Roman"/>
                <w:b/>
                <w:i/>
                <w:iCs/>
              </w:rPr>
              <w:t>REI 180</w:t>
            </w:r>
          </w:p>
        </w:tc>
      </w:tr>
      <w:tr w:rsidR="001C08A5" w14:paraId="0FC0C005" w14:textId="77777777">
        <w:tc>
          <w:tcPr>
            <w:tcW w:w="704" w:type="dxa"/>
            <w:vMerge/>
            <w:vAlign w:val="center"/>
          </w:tcPr>
          <w:p w14:paraId="5A6EA3ED" w14:textId="77777777" w:rsidR="001C08A5" w:rsidRDefault="001C08A5">
            <w:pPr>
              <w:jc w:val="center"/>
              <w:rPr>
                <w:b/>
                <w:i/>
                <w:iCs/>
                <w:sz w:val="22"/>
                <w:szCs w:val="22"/>
              </w:rPr>
            </w:pPr>
          </w:p>
        </w:tc>
        <w:tc>
          <w:tcPr>
            <w:tcW w:w="1195" w:type="dxa"/>
          </w:tcPr>
          <w:p w14:paraId="61939E14" w14:textId="77777777" w:rsidR="001C08A5" w:rsidRDefault="00000000">
            <w:pPr>
              <w:rPr>
                <w:b/>
                <w:i/>
                <w:iCs/>
                <w:sz w:val="22"/>
                <w:szCs w:val="22"/>
              </w:rPr>
            </w:pPr>
            <w:r>
              <w:rPr>
                <w:b/>
                <w:i/>
                <w:iCs/>
                <w:sz w:val="22"/>
                <w:szCs w:val="22"/>
              </w:rPr>
              <w:t xml:space="preserve">Uşi </w:t>
            </w:r>
            <w:r>
              <w:rPr>
                <w:i/>
                <w:iCs/>
                <w:sz w:val="22"/>
                <w:szCs w:val="22"/>
              </w:rPr>
              <w:t>rezistente la foc și etanșe la fum</w:t>
            </w:r>
          </w:p>
        </w:tc>
        <w:tc>
          <w:tcPr>
            <w:tcW w:w="1936" w:type="dxa"/>
          </w:tcPr>
          <w:p w14:paraId="77243D14"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p>
          <w:p w14:paraId="444823F9"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20-C3</w:t>
            </w:r>
            <w:r>
              <w:rPr>
                <w:rFonts w:ascii="Times New Roman" w:hAnsi="Times New Roman"/>
                <w:b/>
                <w:i/>
                <w:iCs/>
              </w:rPr>
              <w:t>S</w:t>
            </w:r>
            <w:r>
              <w:rPr>
                <w:rFonts w:ascii="Times New Roman" w:hAnsi="Times New Roman"/>
                <w:b/>
                <w:bCs/>
                <w:i/>
                <w:iCs/>
                <w:vertAlign w:val="subscript"/>
              </w:rPr>
              <w:t>200</w:t>
            </w:r>
          </w:p>
        </w:tc>
        <w:tc>
          <w:tcPr>
            <w:tcW w:w="1937" w:type="dxa"/>
          </w:tcPr>
          <w:p w14:paraId="1E98DD1A" w14:textId="77777777" w:rsidR="001C08A5" w:rsidRDefault="00000000">
            <w:pPr>
              <w:pStyle w:val="NoSpacing"/>
              <w:suppressAutoHyphens/>
              <w:rPr>
                <w:rFonts w:ascii="Times New Roman" w:hAnsi="Times New Roman"/>
                <w:i/>
                <w:iCs/>
              </w:rPr>
            </w:pPr>
            <w:r>
              <w:rPr>
                <w:rFonts w:ascii="Times New Roman" w:hAnsi="Times New Roman"/>
                <w:i/>
                <w:iCs/>
              </w:rPr>
              <w:t>încăperi tampon protejate,</w:t>
            </w:r>
          </w:p>
          <w:p w14:paraId="6966F985"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p>
        </w:tc>
        <w:tc>
          <w:tcPr>
            <w:tcW w:w="1936" w:type="dxa"/>
          </w:tcPr>
          <w:p w14:paraId="2E7F63AC" w14:textId="77777777" w:rsidR="001C08A5" w:rsidRDefault="00000000">
            <w:pPr>
              <w:pStyle w:val="NoSpacing"/>
              <w:suppressAutoHyphens/>
              <w:rPr>
                <w:rFonts w:ascii="Times New Roman" w:hAnsi="Times New Roman"/>
                <w:i/>
                <w:iCs/>
              </w:rPr>
            </w:pPr>
            <w:r>
              <w:rPr>
                <w:rFonts w:ascii="Times New Roman" w:hAnsi="Times New Roman"/>
                <w:b/>
                <w:bCs/>
                <w:i/>
                <w:iCs/>
              </w:rPr>
              <w:t>EI</w:t>
            </w:r>
            <w:r>
              <w:rPr>
                <w:rFonts w:ascii="Times New Roman" w:hAnsi="Times New Roman"/>
                <w:b/>
                <w:bCs/>
                <w:i/>
                <w:iCs/>
                <w:vertAlign w:val="subscript"/>
              </w:rPr>
              <w:t>2</w:t>
            </w:r>
            <w:r>
              <w:rPr>
                <w:rFonts w:ascii="Times New Roman" w:hAnsi="Times New Roman"/>
                <w:b/>
                <w:bCs/>
                <w:i/>
                <w:iCs/>
              </w:rPr>
              <w:t>60-C3</w:t>
            </w:r>
            <w:r>
              <w:rPr>
                <w:rFonts w:ascii="Times New Roman" w:hAnsi="Times New Roman"/>
                <w:b/>
                <w:i/>
                <w:iCs/>
              </w:rPr>
              <w:t>S</w:t>
            </w:r>
            <w:r>
              <w:rPr>
                <w:rFonts w:ascii="Times New Roman" w:hAnsi="Times New Roman"/>
                <w:b/>
                <w:bCs/>
                <w:i/>
                <w:iCs/>
                <w:vertAlign w:val="subscript"/>
              </w:rPr>
              <w:t xml:space="preserve">200 </w:t>
            </w:r>
            <w:r>
              <w:rPr>
                <w:rFonts w:ascii="Times New Roman" w:hAnsi="Times New Roman"/>
                <w:bCs/>
                <w:i/>
                <w:iCs/>
              </w:rPr>
              <w:t xml:space="preserve">sau </w:t>
            </w:r>
            <w:r>
              <w:rPr>
                <w:rFonts w:ascii="Times New Roman" w:hAnsi="Times New Roman"/>
                <w:i/>
                <w:iCs/>
              </w:rPr>
              <w:t xml:space="preserve">încăperi tampon </w:t>
            </w:r>
          </w:p>
          <w:p w14:paraId="681F76BA"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30-C3</w:t>
            </w:r>
            <w:r>
              <w:rPr>
                <w:rFonts w:ascii="Times New Roman" w:hAnsi="Times New Roman"/>
                <w:b/>
                <w:i/>
                <w:iCs/>
              </w:rPr>
              <w:t>S</w:t>
            </w:r>
            <w:r>
              <w:rPr>
                <w:rFonts w:ascii="Times New Roman" w:hAnsi="Times New Roman"/>
                <w:b/>
                <w:bCs/>
                <w:i/>
                <w:iCs/>
                <w:vertAlign w:val="subscript"/>
              </w:rPr>
              <w:t>200</w:t>
            </w:r>
          </w:p>
        </w:tc>
        <w:tc>
          <w:tcPr>
            <w:tcW w:w="1936" w:type="dxa"/>
          </w:tcPr>
          <w:p w14:paraId="1A1AB515" w14:textId="77777777" w:rsidR="001C08A5" w:rsidRDefault="00000000">
            <w:pPr>
              <w:pStyle w:val="NoSpacing"/>
              <w:suppressAutoHyphens/>
              <w:rPr>
                <w:rFonts w:ascii="Times New Roman" w:hAnsi="Times New Roman"/>
                <w:i/>
                <w:iCs/>
              </w:rPr>
            </w:pPr>
            <w:r>
              <w:rPr>
                <w:rFonts w:ascii="Times New Roman" w:hAnsi="Times New Roman"/>
                <w:i/>
                <w:iCs/>
              </w:rPr>
              <w:t xml:space="preserve"> încăperi tampon protejate,</w:t>
            </w:r>
          </w:p>
          <w:p w14:paraId="0DA1B59B" w14:textId="77777777" w:rsidR="001C08A5" w:rsidRDefault="00000000">
            <w:pPr>
              <w:pStyle w:val="NoSpacing"/>
              <w:suppressAutoHyphens/>
              <w:rPr>
                <w:rFonts w:ascii="Times New Roman" w:hAnsi="Times New Roman"/>
                <w:b/>
                <w:bCs/>
                <w:i/>
                <w:iCs/>
              </w:rPr>
            </w:pPr>
            <w:r>
              <w:rPr>
                <w:rFonts w:ascii="Times New Roman" w:hAnsi="Times New Roman"/>
                <w:b/>
                <w:bCs/>
                <w:i/>
                <w:iCs/>
              </w:rPr>
              <w:t>2 x EI</w:t>
            </w:r>
            <w:r>
              <w:rPr>
                <w:rFonts w:ascii="Times New Roman" w:hAnsi="Times New Roman"/>
                <w:b/>
                <w:bCs/>
                <w:i/>
                <w:iCs/>
                <w:vertAlign w:val="subscript"/>
              </w:rPr>
              <w:t>2</w:t>
            </w:r>
            <w:r>
              <w:rPr>
                <w:rFonts w:ascii="Times New Roman" w:hAnsi="Times New Roman"/>
                <w:b/>
                <w:bCs/>
                <w:i/>
                <w:iCs/>
              </w:rPr>
              <w:t>45-C3</w:t>
            </w:r>
            <w:r>
              <w:rPr>
                <w:rFonts w:ascii="Times New Roman" w:hAnsi="Times New Roman"/>
                <w:b/>
                <w:i/>
                <w:iCs/>
              </w:rPr>
              <w:t>S</w:t>
            </w:r>
            <w:r>
              <w:rPr>
                <w:rFonts w:ascii="Times New Roman" w:hAnsi="Times New Roman"/>
                <w:b/>
                <w:bCs/>
                <w:i/>
                <w:iCs/>
                <w:vertAlign w:val="subscript"/>
              </w:rPr>
              <w:t>200</w:t>
            </w:r>
          </w:p>
        </w:tc>
      </w:tr>
      <w:tr w:rsidR="001C08A5" w14:paraId="3070013E" w14:textId="77777777">
        <w:tc>
          <w:tcPr>
            <w:tcW w:w="704" w:type="dxa"/>
            <w:vAlign w:val="center"/>
          </w:tcPr>
          <w:p w14:paraId="709348F2" w14:textId="77777777" w:rsidR="001C08A5" w:rsidRDefault="00000000">
            <w:pPr>
              <w:jc w:val="center"/>
              <w:rPr>
                <w:b/>
                <w:i/>
                <w:iCs/>
                <w:sz w:val="22"/>
                <w:szCs w:val="22"/>
              </w:rPr>
            </w:pPr>
            <w:r>
              <w:rPr>
                <w:b/>
                <w:i/>
                <w:iCs/>
                <w:sz w:val="22"/>
                <w:szCs w:val="22"/>
              </w:rPr>
              <w:t>I</w:t>
            </w:r>
          </w:p>
          <w:p w14:paraId="5D62508B" w14:textId="77777777" w:rsidR="001C08A5" w:rsidRDefault="001C08A5">
            <w:pPr>
              <w:jc w:val="center"/>
              <w:rPr>
                <w:b/>
                <w:i/>
                <w:iCs/>
                <w:sz w:val="22"/>
                <w:szCs w:val="22"/>
              </w:rPr>
            </w:pPr>
          </w:p>
          <w:p w14:paraId="1FB8BC3D" w14:textId="77777777" w:rsidR="001C08A5" w:rsidRDefault="00000000">
            <w:pPr>
              <w:jc w:val="center"/>
              <w:rPr>
                <w:b/>
                <w:i/>
                <w:iCs/>
                <w:sz w:val="22"/>
                <w:szCs w:val="22"/>
              </w:rPr>
            </w:pPr>
            <w:r>
              <w:rPr>
                <w:b/>
                <w:i/>
                <w:iCs/>
                <w:sz w:val="22"/>
                <w:szCs w:val="22"/>
              </w:rPr>
              <w:t>45m</w:t>
            </w:r>
          </w:p>
          <w:p w14:paraId="0D1A3E8A" w14:textId="77777777" w:rsidR="001C08A5" w:rsidRDefault="00000000">
            <w:pPr>
              <w:jc w:val="center"/>
              <w:rPr>
                <w:b/>
                <w:i/>
                <w:iCs/>
                <w:sz w:val="22"/>
                <w:szCs w:val="22"/>
              </w:rPr>
            </w:pPr>
            <w:r>
              <w:rPr>
                <w:b/>
                <w:i/>
                <w:iCs/>
                <w:sz w:val="22"/>
                <w:szCs w:val="22"/>
              </w:rPr>
              <w:t>≤h&lt;</w:t>
            </w:r>
          </w:p>
          <w:p w14:paraId="42DDE775" w14:textId="77777777" w:rsidR="001C08A5" w:rsidRDefault="00000000">
            <w:pPr>
              <w:jc w:val="center"/>
              <w:rPr>
                <w:b/>
                <w:i/>
                <w:iCs/>
                <w:sz w:val="22"/>
                <w:szCs w:val="22"/>
              </w:rPr>
            </w:pPr>
            <w:r>
              <w:rPr>
                <w:b/>
                <w:i/>
                <w:iCs/>
                <w:sz w:val="22"/>
                <w:szCs w:val="22"/>
              </w:rPr>
              <w:t>75m</w:t>
            </w:r>
          </w:p>
        </w:tc>
        <w:tc>
          <w:tcPr>
            <w:tcW w:w="8940" w:type="dxa"/>
            <w:gridSpan w:val="5"/>
          </w:tcPr>
          <w:p w14:paraId="56055D9A" w14:textId="77777777" w:rsidR="001C08A5" w:rsidRDefault="00000000">
            <w:pPr>
              <w:pStyle w:val="NoSpacing"/>
              <w:suppressAutoHyphens/>
              <w:jc w:val="both"/>
              <w:rPr>
                <w:rFonts w:ascii="Times New Roman" w:hAnsi="Times New Roman"/>
                <w:i/>
                <w:iCs/>
              </w:rPr>
            </w:pPr>
            <w:r>
              <w:rPr>
                <w:rFonts w:ascii="Times New Roman" w:hAnsi="Times New Roman"/>
                <w:i/>
                <w:iCs/>
              </w:rPr>
              <w:t xml:space="preserve">Incaperile cu risc mare de incendiu (cu exceptia celor cu risc foarte mare și a celor cu pericol/ risc de  explozie volumetrica, care nu sunt admise), cu densitatea sarcinii termice </w:t>
            </w:r>
            <w:r>
              <w:rPr>
                <w:rFonts w:ascii="Times New Roman" w:hAnsi="Times New Roman"/>
                <w:b/>
                <w:bCs/>
                <w:i/>
                <w:iCs/>
                <w:lang w:eastAsia="ro-RO"/>
              </w:rPr>
              <w:t>840 MJ/m</w:t>
            </w:r>
            <w:r>
              <w:rPr>
                <w:rFonts w:ascii="Times New Roman" w:hAnsi="Times New Roman"/>
                <w:b/>
                <w:bCs/>
                <w:i/>
                <w:iCs/>
                <w:vertAlign w:val="superscript"/>
                <w:lang w:eastAsia="ro-RO"/>
              </w:rPr>
              <w:t>2</w:t>
            </w:r>
            <w:r>
              <w:rPr>
                <w:rFonts w:ascii="Times New Roman" w:hAnsi="Times New Roman"/>
                <w:b/>
                <w:bCs/>
                <w:i/>
                <w:iCs/>
                <w:lang w:eastAsia="ro-RO"/>
              </w:rPr>
              <w:t>≤q&lt; 1680 MJ/m</w:t>
            </w:r>
            <w:r>
              <w:rPr>
                <w:rFonts w:ascii="Times New Roman" w:hAnsi="Times New Roman"/>
                <w:b/>
                <w:bCs/>
                <w:i/>
                <w:iCs/>
                <w:vertAlign w:val="superscript"/>
                <w:lang w:eastAsia="ro-RO"/>
              </w:rPr>
              <w:t>2</w:t>
            </w:r>
            <w:r>
              <w:rPr>
                <w:rFonts w:ascii="Times New Roman" w:hAnsi="Times New Roman"/>
                <w:i/>
                <w:iCs/>
                <w:lang w:eastAsia="ro-RO"/>
              </w:rPr>
              <w:t>,cu suprafata</w:t>
            </w:r>
            <w:r>
              <w:rPr>
                <w:rFonts w:ascii="Times New Roman" w:hAnsi="Times New Roman"/>
                <w:b/>
                <w:bCs/>
                <w:i/>
                <w:iCs/>
              </w:rPr>
              <w:t>&gt; 36 m²</w:t>
            </w:r>
            <w:r>
              <w:rPr>
                <w:rFonts w:ascii="Times New Roman" w:hAnsi="Times New Roman"/>
                <w:i/>
                <w:iCs/>
              </w:rPr>
              <w:t xml:space="preserve"> se admit doar în compartiment separat al clădirii foarte înalte, alaturat, cu regim obișnuit de </w:t>
            </w:r>
            <w:r>
              <w:rPr>
                <w:rFonts w:ascii="Times New Roman" w:hAnsi="Times New Roman"/>
                <w:i/>
                <w:iCs/>
                <w:lang w:eastAsia="ar-SA"/>
              </w:rPr>
              <w:t>înălțime</w:t>
            </w:r>
            <w:r>
              <w:rPr>
                <w:rFonts w:ascii="Times New Roman" w:hAnsi="Times New Roman"/>
                <w:i/>
                <w:iCs/>
              </w:rPr>
              <w:t xml:space="preserve"> sau intr-o arie de maximum </w:t>
            </w:r>
            <w:r>
              <w:rPr>
                <w:rFonts w:ascii="Times New Roman" w:hAnsi="Times New Roman"/>
                <w:b/>
                <w:bCs/>
                <w:i/>
                <w:iCs/>
              </w:rPr>
              <w:t xml:space="preserve">400 m² </w:t>
            </w:r>
            <w:r>
              <w:rPr>
                <w:rFonts w:ascii="Times New Roman" w:hAnsi="Times New Roman"/>
                <w:i/>
                <w:iCs/>
              </w:rPr>
              <w:t xml:space="preserve">doar în jumatatea inferioara a clădirii foarte înalte. </w:t>
            </w:r>
          </w:p>
          <w:p w14:paraId="26E4BE94" w14:textId="77777777" w:rsidR="001C08A5" w:rsidRDefault="00000000">
            <w:pPr>
              <w:rPr>
                <w:i/>
                <w:iCs/>
                <w:sz w:val="22"/>
                <w:szCs w:val="22"/>
              </w:rPr>
            </w:pPr>
            <w:r>
              <w:rPr>
                <w:i/>
                <w:iCs/>
                <w:sz w:val="22"/>
                <w:szCs w:val="22"/>
              </w:rPr>
              <w:t xml:space="preserve">Încăperile de depozitare cu densitatea sarcinii termice mai mare de </w:t>
            </w:r>
            <w:r>
              <w:rPr>
                <w:b/>
                <w:bCs/>
                <w:i/>
                <w:iCs/>
                <w:sz w:val="22"/>
                <w:szCs w:val="22"/>
              </w:rPr>
              <w:t>210 MJ/m²</w:t>
            </w:r>
            <w:r>
              <w:rPr>
                <w:i/>
                <w:iCs/>
                <w:sz w:val="22"/>
                <w:szCs w:val="22"/>
              </w:rPr>
              <w:t xml:space="preserve"> și mai mică de </w:t>
            </w:r>
            <w:r>
              <w:rPr>
                <w:b/>
                <w:bCs/>
                <w:i/>
                <w:iCs/>
                <w:sz w:val="22"/>
                <w:szCs w:val="22"/>
              </w:rPr>
              <w:t>420 MJ/mp</w:t>
            </w:r>
            <w:r>
              <w:rPr>
                <w:i/>
                <w:iCs/>
                <w:sz w:val="22"/>
                <w:szCs w:val="22"/>
              </w:rPr>
              <w:t xml:space="preserve"> </w:t>
            </w:r>
            <w:r>
              <w:rPr>
                <w:b/>
                <w:i/>
                <w:iCs/>
                <w:sz w:val="22"/>
                <w:szCs w:val="22"/>
              </w:rPr>
              <w:t xml:space="preserve">≤ 36 m² </w:t>
            </w:r>
            <w:r>
              <w:rPr>
                <w:i/>
                <w:iCs/>
                <w:sz w:val="22"/>
                <w:szCs w:val="22"/>
              </w:rPr>
              <w:t xml:space="preserve">vor avea pereții </w:t>
            </w:r>
            <w:r>
              <w:rPr>
                <w:b/>
                <w:i/>
                <w:iCs/>
                <w:sz w:val="22"/>
                <w:szCs w:val="22"/>
              </w:rPr>
              <w:t>EI/REI 60</w:t>
            </w:r>
            <w:r>
              <w:rPr>
                <w:bCs/>
                <w:i/>
                <w:iCs/>
                <w:sz w:val="22"/>
                <w:szCs w:val="22"/>
              </w:rPr>
              <w:t xml:space="preserve"> și ușile din acestea vor fi</w:t>
            </w:r>
            <w:r>
              <w:rPr>
                <w:b/>
                <w:bCs/>
                <w:i/>
                <w:iCs/>
                <w:sz w:val="22"/>
                <w:szCs w:val="22"/>
              </w:rPr>
              <w:t>EI</w:t>
            </w:r>
            <w:r>
              <w:rPr>
                <w:b/>
                <w:bCs/>
                <w:i/>
                <w:iCs/>
                <w:sz w:val="22"/>
                <w:szCs w:val="22"/>
                <w:vertAlign w:val="subscript"/>
              </w:rPr>
              <w:t>2</w:t>
            </w:r>
            <w:r>
              <w:rPr>
                <w:b/>
                <w:bCs/>
                <w:i/>
                <w:iCs/>
                <w:sz w:val="22"/>
                <w:szCs w:val="22"/>
              </w:rPr>
              <w:t>30-C3</w:t>
            </w:r>
            <w:r>
              <w:rPr>
                <w:b/>
                <w:i/>
                <w:iCs/>
                <w:sz w:val="22"/>
                <w:szCs w:val="22"/>
              </w:rPr>
              <w:t>S</w:t>
            </w:r>
            <w:r>
              <w:rPr>
                <w:b/>
                <w:bCs/>
                <w:i/>
                <w:iCs/>
                <w:sz w:val="22"/>
                <w:szCs w:val="22"/>
                <w:vertAlign w:val="subscript"/>
              </w:rPr>
              <w:t xml:space="preserve">200 </w:t>
            </w:r>
            <w:r>
              <w:rPr>
                <w:bCs/>
                <w:i/>
                <w:iCs/>
                <w:sz w:val="22"/>
                <w:szCs w:val="22"/>
              </w:rPr>
              <w:t>iar cele</w:t>
            </w:r>
            <w:r>
              <w:rPr>
                <w:b/>
                <w:i/>
                <w:iCs/>
                <w:sz w:val="22"/>
                <w:szCs w:val="22"/>
              </w:rPr>
              <w:t xml:space="preserve">&gt; 36 m² </w:t>
            </w:r>
            <w:r>
              <w:rPr>
                <w:i/>
                <w:iCs/>
                <w:sz w:val="22"/>
                <w:szCs w:val="22"/>
              </w:rPr>
              <w:t xml:space="preserve">vor avea pereții </w:t>
            </w:r>
            <w:r>
              <w:rPr>
                <w:b/>
                <w:i/>
                <w:iCs/>
                <w:sz w:val="22"/>
                <w:szCs w:val="22"/>
              </w:rPr>
              <w:t>EI/REI 90</w:t>
            </w:r>
            <w:r>
              <w:rPr>
                <w:bCs/>
                <w:i/>
                <w:iCs/>
                <w:sz w:val="22"/>
                <w:szCs w:val="22"/>
              </w:rPr>
              <w:t xml:space="preserve"> și ușile</w:t>
            </w:r>
            <w:r>
              <w:rPr>
                <w:b/>
                <w:i/>
                <w:iCs/>
                <w:sz w:val="22"/>
                <w:szCs w:val="22"/>
              </w:rPr>
              <w:t xml:space="preserve"> </w:t>
            </w:r>
            <w:r>
              <w:rPr>
                <w:bCs/>
                <w:i/>
                <w:iCs/>
                <w:sz w:val="22"/>
                <w:szCs w:val="22"/>
              </w:rPr>
              <w:t xml:space="preserve">din acestea vor fi </w:t>
            </w:r>
            <w:r>
              <w:rPr>
                <w:b/>
                <w:bCs/>
                <w:i/>
                <w:iCs/>
                <w:sz w:val="22"/>
                <w:szCs w:val="22"/>
              </w:rPr>
              <w:t>EI</w:t>
            </w:r>
            <w:r>
              <w:rPr>
                <w:b/>
                <w:bCs/>
                <w:i/>
                <w:iCs/>
                <w:sz w:val="22"/>
                <w:szCs w:val="22"/>
                <w:vertAlign w:val="subscript"/>
              </w:rPr>
              <w:t>2</w:t>
            </w:r>
            <w:r>
              <w:rPr>
                <w:b/>
                <w:bCs/>
                <w:i/>
                <w:iCs/>
                <w:sz w:val="22"/>
                <w:szCs w:val="22"/>
              </w:rPr>
              <w:t>45-C3</w:t>
            </w:r>
            <w:r>
              <w:rPr>
                <w:b/>
                <w:i/>
                <w:iCs/>
                <w:sz w:val="22"/>
                <w:szCs w:val="22"/>
              </w:rPr>
              <w:t>S</w:t>
            </w:r>
            <w:r>
              <w:rPr>
                <w:b/>
                <w:bCs/>
                <w:i/>
                <w:iCs/>
                <w:sz w:val="22"/>
                <w:szCs w:val="22"/>
                <w:vertAlign w:val="subscript"/>
              </w:rPr>
              <w:t>200.</w:t>
            </w:r>
          </w:p>
        </w:tc>
      </w:tr>
      <w:tr w:rsidR="001C08A5" w14:paraId="047DF75C" w14:textId="77777777">
        <w:tc>
          <w:tcPr>
            <w:tcW w:w="704" w:type="dxa"/>
          </w:tcPr>
          <w:p w14:paraId="53EC7A51" w14:textId="77777777" w:rsidR="001C08A5" w:rsidRDefault="00000000">
            <w:pPr>
              <w:rPr>
                <w:b/>
                <w:i/>
                <w:iCs/>
                <w:sz w:val="22"/>
                <w:szCs w:val="22"/>
              </w:rPr>
            </w:pPr>
            <w:r>
              <w:rPr>
                <w:b/>
                <w:i/>
                <w:iCs/>
                <w:sz w:val="22"/>
                <w:szCs w:val="22"/>
              </w:rPr>
              <w:t>Obs.</w:t>
            </w:r>
          </w:p>
        </w:tc>
        <w:tc>
          <w:tcPr>
            <w:tcW w:w="8940" w:type="dxa"/>
            <w:gridSpan w:val="5"/>
          </w:tcPr>
          <w:p w14:paraId="321D6A9D" w14:textId="77777777" w:rsidR="001C08A5" w:rsidRDefault="00000000">
            <w:pPr>
              <w:pStyle w:val="NoSpacing"/>
              <w:suppressAutoHyphens/>
              <w:jc w:val="both"/>
              <w:rPr>
                <w:rFonts w:ascii="Times New Roman" w:hAnsi="Times New Roman"/>
                <w:bCs/>
                <w:i/>
                <w:iCs/>
                <w:lang w:eastAsia="ro-RO"/>
              </w:rPr>
            </w:pPr>
            <w:r>
              <w:rPr>
                <w:rFonts w:ascii="Times New Roman" w:hAnsi="Times New Roman"/>
                <w:i/>
                <w:iCs/>
              </w:rPr>
              <w:t xml:space="preserve">Incaperile cu risc foarte mare de incendiu sau risc de  explozie volumetrica nu se admit în compartimentele clădirii foarte înalte, cu exceptia celor permise prin alte reglementari specifice. La activităţile permise cu risc de explozie volumetrică dispuse tehnic sau funcţional la toate nivelurile constructiei (inclusiv pe terasa ultimului nivel al construcţiei civile foarte înalte), este obligatorie asigurarea măsurilor corespunzătoare de compartimentare catre alte spatii și functiuni cu elemente rezistente la foc şi explozie volumetrică, potrivit prevederilor normativului şi ale reglementărilor tehnice aplicabile. (de exemplu centrale termice amplasate pe clădiri). În construcţiile civile înalte nu este admisă manipularea, prelucrarea sau depozitarea materialelor și substanţelor cu risc de explozie volumetrică, precum și amplasarea atelierelor în care se utilizează astfel de materiale, cu excepţia celor stabilite prin reglementări specifice (laboratoare, farmacii, spitale, etc.). Incaperile cu densitatea sarcinii termice peste </w:t>
            </w:r>
            <w:r>
              <w:rPr>
                <w:rFonts w:ascii="Times New Roman" w:hAnsi="Times New Roman"/>
                <w:b/>
                <w:i/>
                <w:iCs/>
                <w:lang w:eastAsia="ro-RO"/>
              </w:rPr>
              <w:t>1680 MJ/m</w:t>
            </w:r>
            <w:r>
              <w:rPr>
                <w:rFonts w:ascii="Times New Roman" w:hAnsi="Times New Roman"/>
                <w:b/>
                <w:i/>
                <w:iCs/>
                <w:vertAlign w:val="superscript"/>
                <w:lang w:eastAsia="ro-RO"/>
              </w:rPr>
              <w:t xml:space="preserve">2 </w:t>
            </w:r>
            <w:r>
              <w:rPr>
                <w:rFonts w:ascii="Times New Roman" w:hAnsi="Times New Roman"/>
                <w:bCs/>
                <w:i/>
                <w:iCs/>
                <w:lang w:eastAsia="ro-RO"/>
              </w:rPr>
              <w:t>nu sunt admise.</w:t>
            </w:r>
          </w:p>
          <w:p w14:paraId="2D8FE62C" w14:textId="77777777" w:rsidR="001C08A5" w:rsidRDefault="00000000">
            <w:pPr>
              <w:pStyle w:val="NoSpacing"/>
              <w:suppressAutoHyphens/>
              <w:jc w:val="both"/>
              <w:rPr>
                <w:rFonts w:ascii="Times New Roman" w:hAnsi="Times New Roman"/>
                <w:bCs/>
                <w:i/>
                <w:iCs/>
                <w:lang w:eastAsia="ro-RO"/>
              </w:rPr>
            </w:pPr>
            <w:r>
              <w:rPr>
                <w:rFonts w:ascii="Times New Roman" w:hAnsi="Times New Roman"/>
                <w:i/>
                <w:iCs/>
              </w:rPr>
              <w:t xml:space="preserve">Încăperile de depozitare cu aria utilă mai mare de </w:t>
            </w:r>
            <w:r>
              <w:rPr>
                <w:rFonts w:ascii="Times New Roman" w:hAnsi="Times New Roman"/>
                <w:b/>
                <w:bCs/>
                <w:i/>
                <w:iCs/>
              </w:rPr>
              <w:t>36 m²</w:t>
            </w:r>
            <w:r>
              <w:rPr>
                <w:rFonts w:ascii="Times New Roman" w:hAnsi="Times New Roman"/>
                <w:i/>
                <w:iCs/>
              </w:rPr>
              <w:t xml:space="preserve"> şi sarcina termica mai mare de </w:t>
            </w:r>
            <w:r>
              <w:rPr>
                <w:rFonts w:ascii="Times New Roman" w:hAnsi="Times New Roman"/>
                <w:b/>
                <w:bCs/>
                <w:i/>
                <w:iCs/>
              </w:rPr>
              <w:t>105MJ/m²</w:t>
            </w:r>
            <w:r>
              <w:rPr>
                <w:rFonts w:ascii="Times New Roman" w:hAnsi="Times New Roman"/>
                <w:i/>
                <w:iCs/>
              </w:rPr>
              <w:t xml:space="preserve"> se prevăd cu sisteme de evacuare a fumului şi gazelor fierbinţi prin tiraj natural-organizat sau prin </w:t>
            </w:r>
            <w:r>
              <w:rPr>
                <w:rFonts w:ascii="Times New Roman" w:hAnsi="Times New Roman"/>
                <w:i/>
                <w:iCs/>
                <w:lang w:eastAsia="ar-SA"/>
              </w:rPr>
              <w:t xml:space="preserve">ventilare </w:t>
            </w:r>
            <w:r>
              <w:rPr>
                <w:rFonts w:ascii="Times New Roman" w:hAnsi="Times New Roman"/>
                <w:i/>
                <w:iCs/>
              </w:rPr>
              <w:t xml:space="preserve">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rFonts w:ascii="Times New Roman" w:hAnsi="Times New Roman"/>
                <w:b/>
                <w:bCs/>
                <w:i/>
                <w:iCs/>
              </w:rPr>
              <w:t>1%</w:t>
            </w:r>
            <w:r>
              <w:rPr>
                <w:rFonts w:ascii="Times New Roman" w:hAnsi="Times New Roman"/>
                <w:i/>
                <w:iCs/>
              </w:rPr>
              <w:t xml:space="preserve"> din </w:t>
            </w:r>
            <w:r>
              <w:rPr>
                <w:rFonts w:ascii="Times New Roman" w:hAnsi="Times New Roman"/>
                <w:i/>
                <w:iCs/>
                <w:lang w:eastAsia="ro-RO"/>
              </w:rPr>
              <w:t>suprafaţă pardoselii</w:t>
            </w:r>
            <w:r>
              <w:rPr>
                <w:rFonts w:ascii="Times New Roman" w:hAnsi="Times New Roman"/>
                <w:i/>
                <w:iCs/>
              </w:rPr>
              <w:t xml:space="preserve">. Atunci când evacuarea fumului se asigură prin </w:t>
            </w:r>
            <w:r>
              <w:rPr>
                <w:rFonts w:ascii="Times New Roman" w:hAnsi="Times New Roman"/>
                <w:i/>
                <w:iCs/>
                <w:lang w:eastAsia="ar-SA"/>
              </w:rPr>
              <w:t xml:space="preserve">ventilare </w:t>
            </w:r>
            <w:r>
              <w:rPr>
                <w:rFonts w:ascii="Times New Roman" w:hAnsi="Times New Roman"/>
                <w:i/>
                <w:iCs/>
              </w:rPr>
              <w:t>mecanică, se respectă prevederile normativului şi/ sau ale reglementărilor tehnice de specialitate.</w:t>
            </w:r>
          </w:p>
        </w:tc>
      </w:tr>
    </w:tbl>
    <w:p w14:paraId="6F8741EF" w14:textId="77777777" w:rsidR="001C08A5" w:rsidRDefault="001C08A5">
      <w:pPr>
        <w:jc w:val="both"/>
        <w:rPr>
          <w:b/>
          <w:sz w:val="24"/>
          <w:szCs w:val="24"/>
          <w:vertAlign w:val="superscript"/>
          <w:lang w:eastAsia="ro-RO"/>
        </w:rPr>
      </w:pPr>
    </w:p>
    <w:p w14:paraId="32F972E6" w14:textId="77777777" w:rsidR="001C08A5" w:rsidRDefault="00000000">
      <w:pPr>
        <w:jc w:val="both"/>
        <w:rPr>
          <w:sz w:val="24"/>
          <w:szCs w:val="24"/>
        </w:rPr>
      </w:pPr>
      <w:r>
        <w:rPr>
          <w:b/>
          <w:sz w:val="24"/>
          <w:szCs w:val="24"/>
        </w:rPr>
        <w:tab/>
        <w:t>Art. 4.2.4.9. (1)</w:t>
      </w:r>
      <w:r>
        <w:rPr>
          <w:sz w:val="24"/>
          <w:szCs w:val="24"/>
        </w:rPr>
        <w:t xml:space="preserve"> Elementele de compartimentare dintre spaţiile de parcare a autoturismelor şi clădirile foarte înalte de care se alipesc sau în care se înglobează, trebuie să fie </w:t>
      </w:r>
      <w:r>
        <w:rPr>
          <w:bCs/>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și rezistente la foc minimum </w:t>
      </w:r>
      <w:r>
        <w:rPr>
          <w:b/>
          <w:sz w:val="24"/>
          <w:szCs w:val="24"/>
        </w:rPr>
        <w:t>EI/REI 240</w:t>
      </w:r>
      <w:r>
        <w:rPr>
          <w:sz w:val="24"/>
          <w:szCs w:val="24"/>
        </w:rPr>
        <w:t xml:space="preserve"> pentru pereţi şi minimum</w:t>
      </w:r>
      <w:r>
        <w:rPr>
          <w:b/>
          <w:sz w:val="24"/>
          <w:szCs w:val="24"/>
        </w:rPr>
        <w:t xml:space="preserve"> REI 180</w:t>
      </w:r>
      <w:r>
        <w:rPr>
          <w:sz w:val="24"/>
          <w:szCs w:val="24"/>
        </w:rPr>
        <w:t xml:space="preserve"> pentru planşee. </w:t>
      </w:r>
    </w:p>
    <w:p w14:paraId="26B9ABCF" w14:textId="77777777" w:rsidR="001C08A5" w:rsidRDefault="00000000">
      <w:pPr>
        <w:ind w:firstLine="720"/>
        <w:jc w:val="both"/>
        <w:rPr>
          <w:sz w:val="24"/>
          <w:szCs w:val="24"/>
        </w:rPr>
      </w:pPr>
      <w:r>
        <w:rPr>
          <w:b/>
          <w:sz w:val="24"/>
          <w:szCs w:val="24"/>
        </w:rPr>
        <w:t>(2)</w:t>
      </w:r>
      <w:r>
        <w:rPr>
          <w:sz w:val="24"/>
          <w:szCs w:val="24"/>
        </w:rPr>
        <w:t xml:space="preserve"> În aceşti pereţi de compartimentare se admite practicarea golurilor de comunicare funcţională, dacă sunt protejate cu încăperi tampon protejate, ventilate în suprapresiune, echipate cu uşi rezistente la foc și etanșe la fum </w:t>
      </w:r>
      <w:r>
        <w:rPr>
          <w:b/>
          <w:sz w:val="24"/>
          <w:szCs w:val="24"/>
        </w:rPr>
        <w:t>EI</w:t>
      </w:r>
      <w:r>
        <w:rPr>
          <w:b/>
          <w:sz w:val="24"/>
          <w:szCs w:val="24"/>
          <w:vertAlign w:val="subscript"/>
        </w:rPr>
        <w:t xml:space="preserve">2 </w:t>
      </w:r>
      <w:r>
        <w:rPr>
          <w:b/>
          <w:sz w:val="24"/>
          <w:szCs w:val="24"/>
        </w:rPr>
        <w:t>120-C5S</w:t>
      </w:r>
      <w:r>
        <w:rPr>
          <w:b/>
          <w:bCs/>
          <w:sz w:val="24"/>
          <w:szCs w:val="24"/>
          <w:vertAlign w:val="subscript"/>
        </w:rPr>
        <w:t>200</w:t>
      </w:r>
      <w:r>
        <w:rPr>
          <w:sz w:val="24"/>
          <w:szCs w:val="24"/>
        </w:rPr>
        <w:t xml:space="preserve"> .</w:t>
      </w:r>
    </w:p>
    <w:p w14:paraId="3C00FE43" w14:textId="77777777" w:rsidR="001C08A5" w:rsidRDefault="001C08A5">
      <w:pPr>
        <w:jc w:val="both"/>
        <w:rPr>
          <w:sz w:val="24"/>
          <w:szCs w:val="24"/>
        </w:rPr>
      </w:pPr>
    </w:p>
    <w:p w14:paraId="0D2736EC" w14:textId="77777777" w:rsidR="001C08A5" w:rsidRDefault="00000000">
      <w:pPr>
        <w:jc w:val="both"/>
        <w:rPr>
          <w:sz w:val="24"/>
          <w:szCs w:val="24"/>
        </w:rPr>
      </w:pPr>
      <w:r>
        <w:rPr>
          <w:b/>
          <w:sz w:val="24"/>
          <w:szCs w:val="24"/>
        </w:rPr>
        <w:tab/>
        <w:t>Art. 4.2.4.10. (1)</w:t>
      </w:r>
      <w:r>
        <w:rPr>
          <w:sz w:val="24"/>
          <w:szCs w:val="24"/>
        </w:rPr>
        <w:t xml:space="preserve"> Ascensoarele </w:t>
      </w:r>
      <w:r>
        <w:rPr>
          <w:iCs/>
          <w:sz w:val="24"/>
          <w:szCs w:val="24"/>
        </w:rPr>
        <w:t>prevăzute pentru circulația funcțională a persoanelor</w:t>
      </w:r>
      <w:r>
        <w:rPr>
          <w:sz w:val="24"/>
          <w:szCs w:val="24"/>
        </w:rPr>
        <w:t xml:space="preserve">, de marfă, </w:t>
      </w:r>
      <w:r>
        <w:rPr>
          <w:bCs/>
          <w:sz w:val="24"/>
          <w:szCs w:val="24"/>
        </w:rPr>
        <w:t>tip monte-charge și alte sisteme de transport materiale pe verticală</w:t>
      </w:r>
      <w:r>
        <w:rPr>
          <w:sz w:val="24"/>
          <w:szCs w:val="24"/>
        </w:rPr>
        <w:t xml:space="preserve"> din clădirile foarte înalte vor fi realizate conform legislaţiei specifice și vor avea puţuri de ascensoare proprii, separate de restul construcţiei prin pereţi rezistenţi la foc minimum </w:t>
      </w:r>
      <w:r>
        <w:rPr>
          <w:b/>
          <w:sz w:val="24"/>
          <w:szCs w:val="24"/>
        </w:rPr>
        <w:t xml:space="preserve">EI/REI 180, </w:t>
      </w:r>
      <w:r>
        <w:rPr>
          <w:sz w:val="24"/>
          <w:szCs w:val="24"/>
        </w:rPr>
        <w:t xml:space="preserve">pentru ascensoarele </w:t>
      </w:r>
      <w:r>
        <w:rPr>
          <w:iCs/>
          <w:sz w:val="24"/>
          <w:szCs w:val="24"/>
        </w:rPr>
        <w:t xml:space="preserve">prevăzute pentru </w:t>
      </w:r>
      <w:r>
        <w:rPr>
          <w:iCs/>
          <w:sz w:val="24"/>
          <w:szCs w:val="24"/>
        </w:rPr>
        <w:lastRenderedPageBreak/>
        <w:t>circulația funcțională a persoanelor</w:t>
      </w:r>
      <w:r>
        <w:rPr>
          <w:b/>
          <w:sz w:val="24"/>
          <w:szCs w:val="24"/>
        </w:rPr>
        <w:t xml:space="preserve">, </w:t>
      </w:r>
      <w:r>
        <w:rPr>
          <w:sz w:val="24"/>
          <w:szCs w:val="24"/>
        </w:rPr>
        <w:t>respectiv</w:t>
      </w:r>
      <w:r>
        <w:rPr>
          <w:b/>
          <w:sz w:val="24"/>
          <w:szCs w:val="24"/>
        </w:rPr>
        <w:t xml:space="preserve"> EI/REI 240 </w:t>
      </w:r>
      <w:r>
        <w:rPr>
          <w:sz w:val="24"/>
          <w:szCs w:val="24"/>
        </w:rPr>
        <w:t xml:space="preserve">pentru celelalte tipuri de ascensoare ori sistemeşi, după caz, planşee rezistente la foc minimum </w:t>
      </w:r>
      <w:r>
        <w:rPr>
          <w:b/>
          <w:sz w:val="24"/>
          <w:szCs w:val="24"/>
        </w:rPr>
        <w:t>REI 180</w:t>
      </w:r>
      <w:r>
        <w:rPr>
          <w:sz w:val="24"/>
          <w:szCs w:val="24"/>
        </w:rPr>
        <w:t xml:space="preserve">, </w:t>
      </w:r>
      <w:r>
        <w:rPr>
          <w:bCs/>
          <w:sz w:val="24"/>
          <w:szCs w:val="24"/>
        </w:rPr>
        <w:t xml:space="preserve">clasa de reacţie la foc </w:t>
      </w:r>
      <w:r>
        <w:rPr>
          <w:b/>
          <w:sz w:val="24"/>
          <w:szCs w:val="24"/>
        </w:rPr>
        <w:t xml:space="preserve">A1 </w:t>
      </w:r>
      <w:r>
        <w:rPr>
          <w:sz w:val="24"/>
          <w:szCs w:val="24"/>
        </w:rPr>
        <w:t xml:space="preserve">sau </w:t>
      </w:r>
      <w:r>
        <w:rPr>
          <w:b/>
          <w:sz w:val="24"/>
          <w:szCs w:val="24"/>
        </w:rPr>
        <w:t>A2-s1d0</w:t>
      </w:r>
      <w:r>
        <w:rPr>
          <w:bCs/>
          <w:sz w:val="24"/>
          <w:szCs w:val="24"/>
        </w:rPr>
        <w:t xml:space="preserve">. </w:t>
      </w:r>
      <w:r>
        <w:rPr>
          <w:sz w:val="24"/>
          <w:szCs w:val="24"/>
        </w:rPr>
        <w:t>În pereţii puţurilor de ascensoare sunt admise numai golurile funcţionale de acces din nivelurile clădirii (uşi de palier).</w:t>
      </w:r>
    </w:p>
    <w:p w14:paraId="3472A266" w14:textId="77777777" w:rsidR="001C08A5" w:rsidRDefault="00000000">
      <w:pPr>
        <w:ind w:firstLine="720"/>
        <w:jc w:val="both"/>
        <w:rPr>
          <w:sz w:val="24"/>
          <w:szCs w:val="24"/>
        </w:rPr>
      </w:pPr>
      <w:r>
        <w:rPr>
          <w:b/>
          <w:sz w:val="24"/>
          <w:szCs w:val="24"/>
        </w:rPr>
        <w:t>(2)</w:t>
      </w:r>
      <w:r>
        <w:rPr>
          <w:sz w:val="24"/>
          <w:szCs w:val="24"/>
        </w:rPr>
        <w:t xml:space="preserve"> Într-un puţ se pot amplasa maximum două cabine de ascensor </w:t>
      </w:r>
      <w:r>
        <w:rPr>
          <w:iCs/>
          <w:sz w:val="24"/>
          <w:szCs w:val="24"/>
        </w:rPr>
        <w:t>prevăzute pentru circulația funcțională a persoanelor</w:t>
      </w:r>
      <w:r>
        <w:rPr>
          <w:sz w:val="24"/>
          <w:szCs w:val="24"/>
        </w:rPr>
        <w:t>.</w:t>
      </w:r>
    </w:p>
    <w:p w14:paraId="2CCCF268" w14:textId="77777777" w:rsidR="001C08A5" w:rsidRDefault="001C08A5">
      <w:pPr>
        <w:ind w:firstLine="720"/>
        <w:jc w:val="both"/>
        <w:rPr>
          <w:sz w:val="24"/>
          <w:szCs w:val="24"/>
        </w:rPr>
      </w:pPr>
    </w:p>
    <w:p w14:paraId="4D7C40F8" w14:textId="77777777" w:rsidR="001C08A5" w:rsidRDefault="00000000">
      <w:pPr>
        <w:ind w:firstLine="720"/>
        <w:jc w:val="both"/>
        <w:rPr>
          <w:sz w:val="24"/>
          <w:szCs w:val="24"/>
        </w:rPr>
      </w:pPr>
      <w:r>
        <w:rPr>
          <w:b/>
          <w:sz w:val="24"/>
          <w:szCs w:val="24"/>
        </w:rPr>
        <w:t xml:space="preserve">Art. 4.2.4.11. (1) </w:t>
      </w:r>
      <w:r>
        <w:rPr>
          <w:sz w:val="24"/>
          <w:szCs w:val="24"/>
        </w:rPr>
        <w:t xml:space="preserve">La nivelurile supraterane ale clădirii foarte înalte, accesul la ascensoarele </w:t>
      </w:r>
      <w:r>
        <w:rPr>
          <w:iCs/>
          <w:sz w:val="24"/>
          <w:szCs w:val="24"/>
        </w:rPr>
        <w:t>prevăzute pentru circulația funcțională a persoanelor</w:t>
      </w:r>
      <w:r>
        <w:rPr>
          <w:sz w:val="24"/>
          <w:szCs w:val="24"/>
        </w:rPr>
        <w:t xml:space="preserve"> se asigură prinuşi de palier (ale ascensoarelor) rezistente la foc </w:t>
      </w:r>
      <w:r>
        <w:rPr>
          <w:b/>
          <w:sz w:val="24"/>
          <w:szCs w:val="24"/>
        </w:rPr>
        <w:t>EI 120</w:t>
      </w:r>
      <w:r>
        <w:rPr>
          <w:bCs/>
          <w:sz w:val="24"/>
          <w:szCs w:val="24"/>
        </w:rPr>
        <w:t>.</w:t>
      </w:r>
    </w:p>
    <w:p w14:paraId="32D544FC" w14:textId="77777777" w:rsidR="001C08A5" w:rsidRDefault="00000000">
      <w:pPr>
        <w:widowControl w:val="0"/>
        <w:ind w:firstLine="720"/>
        <w:jc w:val="both"/>
        <w:rPr>
          <w:b/>
          <w:sz w:val="24"/>
          <w:szCs w:val="24"/>
        </w:rPr>
      </w:pPr>
      <w:r>
        <w:rPr>
          <w:b/>
          <w:sz w:val="24"/>
          <w:szCs w:val="24"/>
        </w:rPr>
        <w:t xml:space="preserve">(2) </w:t>
      </w:r>
      <w:r>
        <w:rPr>
          <w:sz w:val="24"/>
          <w:szCs w:val="24"/>
        </w:rPr>
        <w:t xml:space="preserve">La nivelurile subterane ale clădirii foarte înalte, accesul la ascensoarele </w:t>
      </w:r>
      <w:r>
        <w:rPr>
          <w:iCs/>
          <w:sz w:val="24"/>
          <w:szCs w:val="24"/>
        </w:rPr>
        <w:t>prevăzute pentru circulația funcțională a persoanelor</w:t>
      </w:r>
      <w:r>
        <w:rPr>
          <w:sz w:val="24"/>
          <w:szCs w:val="24"/>
        </w:rPr>
        <w:t xml:space="preserve"> se asigură prin realizarea unor încăperi tampon ventilate în suprapresiune, prevăzute cu uşi rezistente la foc și la fum </w:t>
      </w:r>
      <w:r>
        <w:rPr>
          <w:b/>
          <w:sz w:val="24"/>
          <w:szCs w:val="24"/>
        </w:rPr>
        <w:t>EI</w:t>
      </w:r>
      <w:r>
        <w:rPr>
          <w:b/>
          <w:sz w:val="24"/>
          <w:szCs w:val="24"/>
          <w:vertAlign w:val="subscript"/>
        </w:rPr>
        <w:t>2</w:t>
      </w:r>
      <w:r>
        <w:rPr>
          <w:b/>
          <w:sz w:val="24"/>
          <w:szCs w:val="24"/>
        </w:rPr>
        <w:t>45-C5S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 xml:space="preserve">EI120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120.</w:t>
      </w:r>
    </w:p>
    <w:p w14:paraId="3AC437B0" w14:textId="77777777" w:rsidR="001C08A5" w:rsidRDefault="00000000">
      <w:pPr>
        <w:ind w:firstLine="720"/>
        <w:jc w:val="both"/>
        <w:rPr>
          <w:bCs/>
          <w:sz w:val="24"/>
          <w:szCs w:val="24"/>
        </w:rPr>
      </w:pPr>
      <w:r>
        <w:rPr>
          <w:b/>
          <w:sz w:val="24"/>
          <w:szCs w:val="24"/>
        </w:rPr>
        <w:t xml:space="preserve">(3) </w:t>
      </w:r>
      <w:r>
        <w:rPr>
          <w:bCs/>
          <w:sz w:val="24"/>
          <w:szCs w:val="24"/>
        </w:rPr>
        <w:t>Fac excepţie subsolurile cu risc mic de incendiu, care se separă la fel cu nivelurile supraterane.</w:t>
      </w:r>
    </w:p>
    <w:p w14:paraId="14992100" w14:textId="77777777" w:rsidR="001C08A5" w:rsidRDefault="001C08A5">
      <w:pPr>
        <w:widowControl w:val="0"/>
        <w:jc w:val="both"/>
        <w:rPr>
          <w:b/>
          <w:sz w:val="24"/>
          <w:szCs w:val="24"/>
        </w:rPr>
      </w:pPr>
    </w:p>
    <w:p w14:paraId="5193AA1B" w14:textId="77777777" w:rsidR="001C08A5" w:rsidRDefault="00000000">
      <w:pPr>
        <w:ind w:firstLine="720"/>
        <w:jc w:val="both"/>
        <w:rPr>
          <w:b/>
          <w:sz w:val="24"/>
          <w:szCs w:val="24"/>
        </w:rPr>
      </w:pPr>
      <w:r>
        <w:rPr>
          <w:b/>
          <w:sz w:val="24"/>
          <w:szCs w:val="24"/>
        </w:rPr>
        <w:t xml:space="preserve">Art. 4.2.4.12. (1) </w:t>
      </w:r>
      <w:r>
        <w:rPr>
          <w:sz w:val="24"/>
          <w:szCs w:val="24"/>
        </w:rPr>
        <w:t xml:space="preserve">La nivelurile supraterane ale clădirii foarte înalte, accesul la ascensoarele de marfă, tip monte-charge și la alte sisteme de transport materiale pe verticală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EI120</w:t>
      </w:r>
      <w:r>
        <w:rPr>
          <w:sz w:val="24"/>
          <w:szCs w:val="24"/>
        </w:rPr>
        <w:t xml:space="preserve"> la ușile de palier ale ascensoarelor; </w:t>
      </w:r>
      <w:r>
        <w:rPr>
          <w:bCs/>
          <w:sz w:val="24"/>
          <w:szCs w:val="24"/>
        </w:rPr>
        <w:t xml:space="preserve">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120.</w:t>
      </w:r>
    </w:p>
    <w:p w14:paraId="28F1B4FD" w14:textId="77777777" w:rsidR="001C08A5" w:rsidRDefault="00000000">
      <w:pPr>
        <w:widowControl w:val="0"/>
        <w:ind w:firstLine="720"/>
        <w:jc w:val="both"/>
        <w:rPr>
          <w:b/>
          <w:sz w:val="24"/>
          <w:szCs w:val="24"/>
        </w:rPr>
      </w:pPr>
      <w:r>
        <w:rPr>
          <w:b/>
          <w:sz w:val="24"/>
          <w:szCs w:val="24"/>
        </w:rPr>
        <w:t xml:space="preserve">(2) </w:t>
      </w:r>
      <w:r>
        <w:rPr>
          <w:sz w:val="24"/>
          <w:szCs w:val="24"/>
        </w:rPr>
        <w:t xml:space="preserve">La nivelurile subterane ale clădirii foarte înalte, accesul la ascensoarele de marfă, tip monte-charge și la alte sisteme de transport materiale pe verticală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 xml:space="preserve">către circulaţiile comune orizontale și uși rezistente la foc </w:t>
      </w:r>
      <w:r>
        <w:rPr>
          <w:b/>
          <w:bCs/>
          <w:sz w:val="24"/>
          <w:szCs w:val="24"/>
        </w:rPr>
        <w:t xml:space="preserve">EI120 </w:t>
      </w:r>
      <w:r>
        <w:rPr>
          <w:sz w:val="24"/>
          <w:szCs w:val="24"/>
        </w:rPr>
        <w:t xml:space="preserve">la ușile ascensoarelor; </w:t>
      </w:r>
      <w:r>
        <w:rPr>
          <w:bCs/>
          <w:sz w:val="24"/>
          <w:szCs w:val="24"/>
        </w:rPr>
        <w:t xml:space="preserve">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120.</w:t>
      </w:r>
    </w:p>
    <w:p w14:paraId="5BB905F5" w14:textId="77777777" w:rsidR="001C08A5" w:rsidRDefault="00000000">
      <w:pPr>
        <w:widowControl w:val="0"/>
        <w:ind w:firstLine="720"/>
        <w:jc w:val="both"/>
        <w:rPr>
          <w:sz w:val="24"/>
          <w:szCs w:val="24"/>
        </w:rPr>
      </w:pPr>
      <w:r>
        <w:rPr>
          <w:b/>
          <w:bCs/>
          <w:iCs/>
          <w:sz w:val="24"/>
          <w:szCs w:val="24"/>
        </w:rPr>
        <w:t>(3)</w:t>
      </w:r>
      <w:r>
        <w:rPr>
          <w:sz w:val="24"/>
          <w:szCs w:val="24"/>
        </w:rPr>
        <w:t>Dacă cel puțin o stație debușează într-un spațiu care necesită uși cu caracteristici de performanță privind rezistența la foc mai mari (generate de funcțiune sau densitate de sarcină termică), golurile de acces la ascensoare se vor conforma (cel puțin pe nivelul respectiv, în funcție de situație) cu uși și pereți la încăperea tampon, în acord cu acele condiții.</w:t>
      </w:r>
    </w:p>
    <w:p w14:paraId="64265CBF" w14:textId="77777777" w:rsidR="001C08A5" w:rsidRDefault="00000000">
      <w:pPr>
        <w:ind w:firstLine="720"/>
        <w:jc w:val="both"/>
        <w:rPr>
          <w:sz w:val="24"/>
          <w:szCs w:val="24"/>
        </w:rPr>
      </w:pPr>
      <w:r>
        <w:rPr>
          <w:b/>
          <w:sz w:val="24"/>
          <w:szCs w:val="24"/>
        </w:rPr>
        <w:t>(4)</w:t>
      </w:r>
      <w:r>
        <w:rPr>
          <w:sz w:val="24"/>
          <w:szCs w:val="24"/>
        </w:rPr>
        <w:t xml:space="preserve"> Se recomandă ca puţurile ascesoarelor aferente subsolurilor clădirilor foarte înalte să fie separate de ascensoarele nivelurilor supraterane. </w:t>
      </w:r>
    </w:p>
    <w:p w14:paraId="2EC0F5F0" w14:textId="77777777" w:rsidR="001C08A5" w:rsidRDefault="001C08A5">
      <w:pPr>
        <w:ind w:firstLine="720"/>
        <w:jc w:val="both"/>
        <w:rPr>
          <w:sz w:val="24"/>
          <w:szCs w:val="24"/>
        </w:rPr>
      </w:pPr>
    </w:p>
    <w:p w14:paraId="3BA7B6E7" w14:textId="77777777" w:rsidR="001C08A5" w:rsidRDefault="00000000">
      <w:pPr>
        <w:ind w:firstLine="720"/>
        <w:jc w:val="both"/>
        <w:rPr>
          <w:sz w:val="24"/>
          <w:szCs w:val="24"/>
        </w:rPr>
      </w:pPr>
      <w:r>
        <w:rPr>
          <w:b/>
          <w:sz w:val="24"/>
          <w:szCs w:val="24"/>
        </w:rPr>
        <w:t>Art. 4.2.4.13. (1)</w:t>
      </w:r>
      <w:r>
        <w:rPr>
          <w:sz w:val="24"/>
          <w:szCs w:val="24"/>
        </w:rPr>
        <w:t xml:space="preserve"> În clădiri civile foarte înalte, ascensoarele </w:t>
      </w:r>
      <w:r>
        <w:rPr>
          <w:iCs/>
          <w:sz w:val="24"/>
          <w:szCs w:val="24"/>
        </w:rPr>
        <w:t>prevăzute pentru circulația funcțională a persoanelor</w:t>
      </w:r>
      <w:r>
        <w:rPr>
          <w:sz w:val="24"/>
          <w:szCs w:val="24"/>
        </w:rPr>
        <w:t xml:space="preserve"> cu căruciorul sau a persoanelor cu dizabilităţi care pot fi utilizate şi pentru evacuarea asistată a acestora în caz de incendiu, atunci când respectă simultanurmătoarele condiţii:</w:t>
      </w:r>
    </w:p>
    <w:p w14:paraId="2C209708" w14:textId="77777777" w:rsidR="001C08A5" w:rsidRDefault="00000000">
      <w:pPr>
        <w:ind w:left="2835"/>
        <w:jc w:val="both"/>
        <w:rPr>
          <w:sz w:val="24"/>
          <w:szCs w:val="24"/>
        </w:rPr>
      </w:pPr>
      <w:r>
        <w:rPr>
          <w:b/>
          <w:sz w:val="24"/>
          <w:szCs w:val="24"/>
        </w:rPr>
        <w:t xml:space="preserve">a) </w:t>
      </w:r>
      <w:r>
        <w:rPr>
          <w:sz w:val="24"/>
          <w:szCs w:val="24"/>
        </w:rPr>
        <w:t xml:space="preserve">sunt prevăzute cu puţ propriu, echipat cu instalaţie în suprapresiune, separat de restul construcţiei cu pereţi </w:t>
      </w:r>
      <w:r>
        <w:rPr>
          <w:bCs/>
          <w:sz w:val="24"/>
          <w:szCs w:val="24"/>
        </w:rPr>
        <w:t xml:space="preserve">clasa de reacţie la foc </w:t>
      </w:r>
      <w:r>
        <w:rPr>
          <w:b/>
          <w:sz w:val="24"/>
          <w:szCs w:val="24"/>
        </w:rPr>
        <w:t>A1</w:t>
      </w:r>
      <w:r>
        <w:rPr>
          <w:bCs/>
          <w:sz w:val="24"/>
          <w:szCs w:val="24"/>
        </w:rPr>
        <w:t xml:space="preserve"> sau </w:t>
      </w:r>
      <w:r>
        <w:rPr>
          <w:b/>
          <w:sz w:val="24"/>
          <w:szCs w:val="24"/>
        </w:rPr>
        <w:t xml:space="preserve">A2-s1d0 </w:t>
      </w:r>
      <w:r>
        <w:rPr>
          <w:sz w:val="24"/>
          <w:szCs w:val="24"/>
        </w:rPr>
        <w:t xml:space="preserve">rezistenţi la foc minimum </w:t>
      </w:r>
      <w:r>
        <w:rPr>
          <w:b/>
          <w:sz w:val="24"/>
          <w:szCs w:val="24"/>
        </w:rPr>
        <w:t>EI/REI 180</w:t>
      </w:r>
      <w:r>
        <w:rPr>
          <w:bCs/>
          <w:sz w:val="24"/>
          <w:szCs w:val="24"/>
        </w:rPr>
        <w:t xml:space="preserve"> și </w:t>
      </w:r>
      <w:r>
        <w:rPr>
          <w:sz w:val="24"/>
          <w:szCs w:val="24"/>
        </w:rPr>
        <w:t xml:space="preserve">planşee </w:t>
      </w:r>
      <w:r>
        <w:rPr>
          <w:bCs/>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rezistente la foc minimum </w:t>
      </w:r>
      <w:r>
        <w:rPr>
          <w:b/>
          <w:bCs/>
          <w:sz w:val="24"/>
          <w:szCs w:val="24"/>
        </w:rPr>
        <w:t>REI 180</w:t>
      </w:r>
      <w:r>
        <w:rPr>
          <w:sz w:val="24"/>
          <w:szCs w:val="24"/>
        </w:rPr>
        <w:t xml:space="preserve">; </w:t>
      </w:r>
    </w:p>
    <w:p w14:paraId="794EE2F2" w14:textId="77777777" w:rsidR="001C08A5" w:rsidRDefault="00000000">
      <w:pPr>
        <w:ind w:left="2835"/>
        <w:jc w:val="both"/>
        <w:rPr>
          <w:sz w:val="24"/>
          <w:szCs w:val="24"/>
        </w:rPr>
      </w:pPr>
      <w:r>
        <w:rPr>
          <w:b/>
          <w:sz w:val="24"/>
          <w:szCs w:val="24"/>
        </w:rPr>
        <w:t xml:space="preserve">b) </w:t>
      </w:r>
      <w:r>
        <w:rPr>
          <w:sz w:val="24"/>
          <w:szCs w:val="24"/>
        </w:rPr>
        <w:t xml:space="preserve">au asigurată funcţionarea timp de minimum </w:t>
      </w:r>
      <w:r>
        <w:rPr>
          <w:b/>
          <w:sz w:val="24"/>
          <w:szCs w:val="24"/>
        </w:rPr>
        <w:t xml:space="preserve">120 </w:t>
      </w:r>
      <w:r>
        <w:rPr>
          <w:sz w:val="24"/>
          <w:szCs w:val="24"/>
        </w:rPr>
        <w:t xml:space="preserve">minute de la izbucnirea incendiului; </w:t>
      </w:r>
    </w:p>
    <w:p w14:paraId="62656455" w14:textId="77777777" w:rsidR="001C08A5" w:rsidRDefault="00000000">
      <w:pPr>
        <w:ind w:left="2835"/>
        <w:jc w:val="both"/>
        <w:rPr>
          <w:sz w:val="24"/>
          <w:szCs w:val="24"/>
        </w:rPr>
      </w:pPr>
      <w:r>
        <w:rPr>
          <w:b/>
          <w:sz w:val="24"/>
          <w:szCs w:val="24"/>
        </w:rPr>
        <w:t>c)</w:t>
      </w:r>
      <w:r>
        <w:rPr>
          <w:sz w:val="24"/>
          <w:szCs w:val="24"/>
        </w:rPr>
        <w:t xml:space="preserve"> respectă prevederile </w:t>
      </w:r>
      <w:r>
        <w:rPr>
          <w:b/>
          <w:sz w:val="24"/>
          <w:szCs w:val="24"/>
        </w:rPr>
        <w:t>Art. 3.1.4.4. alin. (3), lit. (c), (d), (e), (f) și (g)</w:t>
      </w:r>
      <w:r>
        <w:rPr>
          <w:sz w:val="24"/>
          <w:szCs w:val="24"/>
        </w:rPr>
        <w:t>.</w:t>
      </w:r>
    </w:p>
    <w:p w14:paraId="66C70BFC" w14:textId="77777777" w:rsidR="001C08A5" w:rsidRDefault="00000000">
      <w:pPr>
        <w:ind w:firstLine="720"/>
        <w:jc w:val="both"/>
        <w:rPr>
          <w:b/>
          <w:sz w:val="24"/>
          <w:szCs w:val="24"/>
        </w:rPr>
      </w:pPr>
      <w:r>
        <w:rPr>
          <w:b/>
          <w:sz w:val="24"/>
          <w:szCs w:val="24"/>
        </w:rPr>
        <w:t xml:space="preserve">(2) </w:t>
      </w:r>
      <w:r>
        <w:rPr>
          <w:sz w:val="24"/>
          <w:szCs w:val="24"/>
        </w:rPr>
        <w:t xml:space="preserve">La nivelurile supraterane ale clădirii foarte înalte, accesul la ascensoarele </w:t>
      </w:r>
      <w:r>
        <w:rPr>
          <w:iCs/>
          <w:sz w:val="24"/>
          <w:szCs w:val="24"/>
        </w:rPr>
        <w:t>prevăzute pentru circulația funcțională a persoanelor</w:t>
      </w:r>
      <w:r>
        <w:rPr>
          <w:sz w:val="24"/>
          <w:szCs w:val="24"/>
        </w:rPr>
        <w:t xml:space="preserve"> cu căruciorul sau a persoanelor cu dizabilităţi care pot fi utilizate şi pentru evacuarea asistată a acestora în caz de incendiu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 xml:space="preserve">către circulaţiile comune orizontale </w:t>
      </w:r>
      <w:r>
        <w:rPr>
          <w:b/>
          <w:sz w:val="24"/>
          <w:szCs w:val="24"/>
        </w:rPr>
        <w:t xml:space="preserve">pentru înălțimi de până la 75 m și </w:t>
      </w:r>
      <w:r>
        <w:rPr>
          <w:sz w:val="24"/>
          <w:szCs w:val="24"/>
        </w:rPr>
        <w:t xml:space="preserve">cu uşi  rezistente la foc și </w:t>
      </w:r>
      <w:r>
        <w:rPr>
          <w:sz w:val="24"/>
          <w:szCs w:val="24"/>
        </w:rPr>
        <w:lastRenderedPageBreak/>
        <w:t xml:space="preserve">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 xml:space="preserve">către circulaţiile comune orizontale </w:t>
      </w:r>
      <w:r>
        <w:rPr>
          <w:b/>
          <w:sz w:val="24"/>
          <w:szCs w:val="24"/>
        </w:rPr>
        <w:t xml:space="preserve">pentru </w:t>
      </w:r>
      <w:r>
        <w:rPr>
          <w:b/>
          <w:sz w:val="24"/>
          <w:szCs w:val="24"/>
          <w:lang w:val="en-GB"/>
        </w:rPr>
        <w:t>înălțimi cu h</w:t>
      </w:r>
      <w:r>
        <w:rPr>
          <w:rFonts w:hint="eastAsia"/>
          <w:b/>
          <w:bCs/>
          <w:sz w:val="24"/>
          <w:szCs w:val="24"/>
        </w:rPr>
        <w:t>≥</w:t>
      </w:r>
      <w:r>
        <w:rPr>
          <w:b/>
          <w:sz w:val="24"/>
          <w:szCs w:val="24"/>
          <w:lang w:val="en-GB"/>
        </w:rPr>
        <w:t>75m</w:t>
      </w:r>
      <w:r>
        <w:rPr>
          <w:b/>
          <w:sz w:val="24"/>
          <w:szCs w:val="24"/>
        </w:rPr>
        <w:t xml:space="preserve"> </w:t>
      </w:r>
      <w:r>
        <w:rPr>
          <w:sz w:val="24"/>
          <w:szCs w:val="24"/>
        </w:rPr>
        <w:t xml:space="preserve">și uși rezistente la foc </w:t>
      </w:r>
      <w:r>
        <w:rPr>
          <w:b/>
          <w:bCs/>
          <w:sz w:val="24"/>
          <w:szCs w:val="24"/>
        </w:rPr>
        <w:t xml:space="preserve">EI120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120.</w:t>
      </w:r>
    </w:p>
    <w:p w14:paraId="7D23AD17" w14:textId="77777777" w:rsidR="001C08A5" w:rsidRDefault="00000000">
      <w:pPr>
        <w:widowControl w:val="0"/>
        <w:ind w:firstLine="720"/>
        <w:jc w:val="both"/>
        <w:rPr>
          <w:b/>
          <w:sz w:val="24"/>
          <w:szCs w:val="24"/>
        </w:rPr>
      </w:pPr>
      <w:r>
        <w:rPr>
          <w:b/>
          <w:sz w:val="24"/>
          <w:szCs w:val="24"/>
        </w:rPr>
        <w:t xml:space="preserve">(3) </w:t>
      </w:r>
      <w:r>
        <w:rPr>
          <w:sz w:val="24"/>
          <w:szCs w:val="24"/>
        </w:rPr>
        <w:t xml:space="preserve">La nivelurile subterane ale clădirii foarte înalte, accesul la ascensoarele </w:t>
      </w:r>
      <w:r>
        <w:rPr>
          <w:iCs/>
          <w:sz w:val="24"/>
          <w:szCs w:val="24"/>
        </w:rPr>
        <w:t>prevăzute pentru circulația funcțională a persoanelor</w:t>
      </w:r>
      <w:r>
        <w:rPr>
          <w:sz w:val="24"/>
          <w:szCs w:val="24"/>
        </w:rPr>
        <w:t xml:space="preserve"> cu căruciorul sau a persoanelor cu dizabilităţi care pot fi utilizate şi pentru evacuarea asistată a acestora în caz de incendiu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 xml:space="preserve">către circulaţiile comune orizontale </w:t>
      </w:r>
      <w:r>
        <w:rPr>
          <w:b/>
          <w:sz w:val="24"/>
          <w:szCs w:val="24"/>
        </w:rPr>
        <w:t xml:space="preserve">pentru înălțimi de până la 75 m și </w:t>
      </w:r>
      <w:r>
        <w:rPr>
          <w:sz w:val="24"/>
          <w:szCs w:val="24"/>
        </w:rPr>
        <w:t xml:space="preserve">cu uşi  rezistente la foc și etanșe la fum </w:t>
      </w:r>
      <w:r>
        <w:rPr>
          <w:b/>
          <w:sz w:val="24"/>
          <w:szCs w:val="24"/>
        </w:rPr>
        <w:t>EI</w:t>
      </w:r>
      <w:r>
        <w:rPr>
          <w:b/>
          <w:sz w:val="24"/>
          <w:szCs w:val="24"/>
          <w:vertAlign w:val="subscript"/>
        </w:rPr>
        <w:t>2</w:t>
      </w:r>
      <w:r>
        <w:rPr>
          <w:b/>
          <w:sz w:val="24"/>
          <w:szCs w:val="24"/>
        </w:rPr>
        <w:t>120-C5S</w:t>
      </w:r>
      <w:r>
        <w:rPr>
          <w:b/>
          <w:bCs/>
          <w:sz w:val="24"/>
          <w:szCs w:val="24"/>
          <w:vertAlign w:val="subscript"/>
        </w:rPr>
        <w:t xml:space="preserve">200 </w:t>
      </w:r>
      <w:r>
        <w:rPr>
          <w:sz w:val="24"/>
          <w:szCs w:val="24"/>
        </w:rPr>
        <w:t xml:space="preserve">către circulaţiile comune orizontale </w:t>
      </w:r>
      <w:r>
        <w:rPr>
          <w:b/>
          <w:sz w:val="24"/>
          <w:szCs w:val="24"/>
        </w:rPr>
        <w:t xml:space="preserve">pentru </w:t>
      </w:r>
      <w:r>
        <w:rPr>
          <w:b/>
          <w:sz w:val="24"/>
          <w:szCs w:val="24"/>
          <w:lang w:val="en-GB"/>
        </w:rPr>
        <w:t>înălțimi cu h</w:t>
      </w:r>
      <w:r>
        <w:rPr>
          <w:rFonts w:hint="eastAsia"/>
          <w:b/>
          <w:bCs/>
          <w:sz w:val="24"/>
          <w:szCs w:val="24"/>
        </w:rPr>
        <w:t>≥</w:t>
      </w:r>
      <w:r>
        <w:rPr>
          <w:b/>
          <w:sz w:val="24"/>
          <w:szCs w:val="24"/>
          <w:lang w:val="en-GB"/>
        </w:rPr>
        <w:t>75m</w:t>
      </w:r>
      <w:r>
        <w:rPr>
          <w:sz w:val="24"/>
          <w:szCs w:val="24"/>
        </w:rPr>
        <w:t xml:space="preserve"> și uși rezistente la foc </w:t>
      </w:r>
      <w:r>
        <w:rPr>
          <w:b/>
          <w:bCs/>
          <w:sz w:val="24"/>
          <w:szCs w:val="24"/>
        </w:rPr>
        <w:t xml:space="preserve">EI120 </w:t>
      </w:r>
      <w:r>
        <w:rPr>
          <w:sz w:val="24"/>
          <w:szCs w:val="24"/>
        </w:rPr>
        <w:t xml:space="preserve">la ușile ascensoarelor; </w:t>
      </w:r>
      <w:r>
        <w:rPr>
          <w:bCs/>
          <w:sz w:val="24"/>
          <w:szCs w:val="24"/>
        </w:rPr>
        <w:t xml:space="preserve">în acest caz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minimum </w:t>
      </w:r>
      <w:r>
        <w:rPr>
          <w:b/>
          <w:sz w:val="24"/>
          <w:szCs w:val="24"/>
        </w:rPr>
        <w:t>EI/REI 120.</w:t>
      </w:r>
    </w:p>
    <w:p w14:paraId="5CB456CC" w14:textId="77777777" w:rsidR="001C08A5" w:rsidRDefault="00000000">
      <w:pPr>
        <w:ind w:firstLine="720"/>
        <w:jc w:val="both"/>
        <w:rPr>
          <w:b/>
          <w:sz w:val="24"/>
          <w:szCs w:val="24"/>
        </w:rPr>
      </w:pPr>
      <w:r>
        <w:rPr>
          <w:rFonts w:eastAsia="Arial"/>
          <w:b/>
          <w:bCs/>
          <w:sz w:val="24"/>
          <w:szCs w:val="24"/>
        </w:rPr>
        <w:t>(4)</w:t>
      </w:r>
      <w:r>
        <w:rPr>
          <w:rFonts w:eastAsia="Arial"/>
          <w:sz w:val="24"/>
          <w:szCs w:val="24"/>
        </w:rPr>
        <w:t xml:space="preserve"> Dacă </w:t>
      </w:r>
      <w:r>
        <w:rPr>
          <w:iCs/>
          <w:sz w:val="24"/>
          <w:szCs w:val="24"/>
        </w:rPr>
        <w:t>ascensoarele</w:t>
      </w:r>
      <w:r>
        <w:rPr>
          <w:sz w:val="24"/>
          <w:szCs w:val="24"/>
        </w:rPr>
        <w:t xml:space="preserve"> care pot fi utilizate şi pentru evacuarea asistată a persoanelor cu căruciorul sau a persoanelor cu dizabilităţi</w:t>
      </w:r>
      <w:r>
        <w:rPr>
          <w:rFonts w:eastAsia="Arial"/>
          <w:sz w:val="24"/>
          <w:szCs w:val="24"/>
        </w:rPr>
        <w:t xml:space="preserve"> au cabina cu două accese, toate </w:t>
      </w:r>
      <w:r>
        <w:rPr>
          <w:iCs/>
          <w:sz w:val="24"/>
          <w:szCs w:val="24"/>
        </w:rPr>
        <w:t>golurile de acces</w:t>
      </w:r>
      <w:r>
        <w:rPr>
          <w:rFonts w:eastAsia="Arial"/>
          <w:sz w:val="24"/>
          <w:szCs w:val="24"/>
        </w:rPr>
        <w:t xml:space="preserve"> prevăzute trebuie să îndeplinească condițiile de la </w:t>
      </w:r>
      <w:r>
        <w:rPr>
          <w:rFonts w:eastAsia="Arial"/>
          <w:b/>
          <w:bCs/>
          <w:sz w:val="24"/>
          <w:szCs w:val="24"/>
        </w:rPr>
        <w:t xml:space="preserve">alin. (2) </w:t>
      </w:r>
      <w:r>
        <w:rPr>
          <w:rFonts w:eastAsia="Arial"/>
          <w:sz w:val="24"/>
          <w:szCs w:val="24"/>
        </w:rPr>
        <w:t xml:space="preserve">și </w:t>
      </w:r>
      <w:r>
        <w:rPr>
          <w:rFonts w:eastAsia="Arial"/>
          <w:b/>
          <w:bCs/>
          <w:sz w:val="24"/>
          <w:szCs w:val="24"/>
        </w:rPr>
        <w:t>alin. (3)</w:t>
      </w:r>
      <w:r>
        <w:rPr>
          <w:b/>
          <w:sz w:val="24"/>
          <w:szCs w:val="24"/>
        </w:rPr>
        <w:t>.</w:t>
      </w:r>
    </w:p>
    <w:p w14:paraId="0D72AB4D" w14:textId="77777777" w:rsidR="001C08A5" w:rsidRDefault="00000000">
      <w:pPr>
        <w:ind w:firstLine="720"/>
        <w:jc w:val="both"/>
        <w:rPr>
          <w:b/>
          <w:sz w:val="24"/>
          <w:szCs w:val="24"/>
        </w:rPr>
      </w:pPr>
      <w:r>
        <w:rPr>
          <w:b/>
          <w:sz w:val="24"/>
          <w:szCs w:val="24"/>
        </w:rPr>
        <w:t xml:space="preserve">(5) </w:t>
      </w:r>
      <w:r>
        <w:rPr>
          <w:sz w:val="24"/>
          <w:szCs w:val="24"/>
        </w:rPr>
        <w:t>Ascensoarele prevăzute pentru transportul persoanelor cu căruciorul sau a persoanelor cu dizabilităţi care pot fi utilizate şi pentru evacuarea asistată a acestora în caz de incendiu din clădirile civile foarte înalte vor avea comenzile în coridoare sau în degajamente protejate.</w:t>
      </w:r>
    </w:p>
    <w:p w14:paraId="03225EA0" w14:textId="77777777" w:rsidR="001C08A5" w:rsidRDefault="00000000">
      <w:pPr>
        <w:ind w:firstLine="720"/>
        <w:jc w:val="both"/>
        <w:rPr>
          <w:sz w:val="24"/>
          <w:szCs w:val="24"/>
        </w:rPr>
      </w:pPr>
      <w:r>
        <w:rPr>
          <w:b/>
          <w:sz w:val="24"/>
          <w:szCs w:val="24"/>
        </w:rPr>
        <w:t xml:space="preserve">(6) </w:t>
      </w:r>
      <w:r>
        <w:rPr>
          <w:bCs/>
          <w:sz w:val="24"/>
          <w:szCs w:val="24"/>
        </w:rPr>
        <w:t xml:space="preserve">Atunci când golurile de </w:t>
      </w:r>
      <w:r>
        <w:rPr>
          <w:sz w:val="24"/>
          <w:szCs w:val="24"/>
        </w:rPr>
        <w:t xml:space="preserve">acces la ascensoarele </w:t>
      </w:r>
      <w:r>
        <w:rPr>
          <w:iCs/>
          <w:sz w:val="24"/>
          <w:szCs w:val="24"/>
        </w:rPr>
        <w:t>prevăzute pentru circulația funcțională a persoanelor</w:t>
      </w:r>
      <w:r>
        <w:rPr>
          <w:sz w:val="24"/>
          <w:szCs w:val="24"/>
        </w:rPr>
        <w:t xml:space="preserve"> precum și la ascensoarele prevăzute pentru transportul bolnavilor cu patul cu rotile, cu targa ori căruciorul sau a persoanelor cu dizabilităţi care pot fi utilizate şi pentru evacuarea asistată a acestora în caz de incendiu, la nivelurile supraterane ale clădirilor foarte înalte debușează într-o încăpere tampon ventilată în suprapresiune comună, toate ușile de la ascensoare vor fi minimum </w:t>
      </w:r>
      <w:r>
        <w:rPr>
          <w:b/>
          <w:bCs/>
          <w:sz w:val="24"/>
          <w:szCs w:val="24"/>
        </w:rPr>
        <w:t xml:space="preserve">EI120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b/>
          <w:sz w:val="24"/>
          <w:szCs w:val="24"/>
        </w:rPr>
        <w:t xml:space="preserve">pentru înălțimi de până la 75 m și </w:t>
      </w:r>
      <w:r>
        <w:rPr>
          <w:sz w:val="24"/>
          <w:szCs w:val="24"/>
        </w:rPr>
        <w:t xml:space="preserve">cu uşi  rezistente la foc și 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 xml:space="preserve">către circulaţiile comune orizontale </w:t>
      </w:r>
      <w:r>
        <w:rPr>
          <w:b/>
          <w:sz w:val="24"/>
          <w:szCs w:val="24"/>
        </w:rPr>
        <w:t xml:space="preserve">pentru </w:t>
      </w:r>
      <w:r>
        <w:rPr>
          <w:b/>
          <w:sz w:val="24"/>
          <w:szCs w:val="24"/>
          <w:lang w:val="en-GB"/>
        </w:rPr>
        <w:t>înălțimi cu h</w:t>
      </w:r>
      <w:r>
        <w:rPr>
          <w:rFonts w:hint="eastAsia"/>
          <w:b/>
          <w:bCs/>
          <w:sz w:val="24"/>
          <w:szCs w:val="24"/>
        </w:rPr>
        <w:t>≥</w:t>
      </w:r>
      <w:r>
        <w:rPr>
          <w:b/>
          <w:sz w:val="24"/>
          <w:szCs w:val="24"/>
          <w:lang w:val="en-GB"/>
        </w:rPr>
        <w:t>75</w:t>
      </w:r>
      <w:r>
        <w:rPr>
          <w:b/>
          <w:sz w:val="24"/>
          <w:szCs w:val="24"/>
        </w:rPr>
        <w:t xml:space="preserve"> </w:t>
      </w:r>
      <w:r>
        <w:rPr>
          <w:b/>
          <w:sz w:val="24"/>
          <w:szCs w:val="24"/>
          <w:lang w:val="en-GB"/>
        </w:rPr>
        <w:t>m</w:t>
      </w:r>
      <w:r>
        <w:rPr>
          <w:b/>
          <w:sz w:val="24"/>
          <w:szCs w:val="24"/>
        </w:rPr>
        <w:t xml:space="preserve">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120</w:t>
      </w:r>
      <w:r>
        <w:rPr>
          <w:sz w:val="24"/>
          <w:szCs w:val="24"/>
        </w:rPr>
        <w:t xml:space="preserve">. Atunci când debușează la nivelurile subterane ale clădirilor foarte înalte  într-o încăpere tampon ventilată în suprapresiune comună, toate ușile de la ascensoare vor fi minimum </w:t>
      </w:r>
      <w:r>
        <w:rPr>
          <w:b/>
          <w:bCs/>
          <w:sz w:val="24"/>
          <w:szCs w:val="24"/>
        </w:rPr>
        <w:t xml:space="preserve">EI120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b/>
          <w:sz w:val="24"/>
          <w:szCs w:val="24"/>
        </w:rPr>
        <w:t xml:space="preserve">pentru înălțimi de până la 75 m și </w:t>
      </w:r>
      <w:r>
        <w:rPr>
          <w:sz w:val="24"/>
          <w:szCs w:val="24"/>
        </w:rPr>
        <w:t xml:space="preserve">cu uşi  rezistente la foc și etanșe la fum </w:t>
      </w:r>
      <w:r>
        <w:rPr>
          <w:b/>
          <w:sz w:val="24"/>
          <w:szCs w:val="24"/>
        </w:rPr>
        <w:t>EI</w:t>
      </w:r>
      <w:r>
        <w:rPr>
          <w:b/>
          <w:sz w:val="24"/>
          <w:szCs w:val="24"/>
          <w:vertAlign w:val="subscript"/>
        </w:rPr>
        <w:t>2</w:t>
      </w:r>
      <w:r>
        <w:rPr>
          <w:b/>
          <w:sz w:val="24"/>
          <w:szCs w:val="24"/>
        </w:rPr>
        <w:t>120-C5S</w:t>
      </w:r>
      <w:r>
        <w:rPr>
          <w:b/>
          <w:bCs/>
          <w:sz w:val="24"/>
          <w:szCs w:val="24"/>
          <w:vertAlign w:val="subscript"/>
        </w:rPr>
        <w:t xml:space="preserve">200 </w:t>
      </w:r>
      <w:r>
        <w:rPr>
          <w:sz w:val="24"/>
          <w:szCs w:val="24"/>
        </w:rPr>
        <w:t xml:space="preserve">către circulaţiile comune orizontale </w:t>
      </w:r>
      <w:r>
        <w:rPr>
          <w:b/>
          <w:sz w:val="24"/>
          <w:szCs w:val="24"/>
        </w:rPr>
        <w:t xml:space="preserve">pentru </w:t>
      </w:r>
      <w:r>
        <w:rPr>
          <w:b/>
          <w:sz w:val="24"/>
          <w:szCs w:val="24"/>
          <w:lang w:val="en-GB"/>
        </w:rPr>
        <w:t>înălțimi cu h</w:t>
      </w:r>
      <w:r>
        <w:rPr>
          <w:rFonts w:hint="eastAsia"/>
          <w:b/>
          <w:bCs/>
          <w:sz w:val="24"/>
          <w:szCs w:val="24"/>
        </w:rPr>
        <w:t>≥</w:t>
      </w:r>
      <w:r>
        <w:rPr>
          <w:b/>
          <w:sz w:val="24"/>
          <w:szCs w:val="24"/>
          <w:lang w:val="en-GB"/>
        </w:rPr>
        <w:t>75</w:t>
      </w:r>
      <w:r>
        <w:rPr>
          <w:b/>
          <w:sz w:val="24"/>
          <w:szCs w:val="24"/>
        </w:rPr>
        <w:t xml:space="preserve"> </w:t>
      </w:r>
      <w:r>
        <w:rPr>
          <w:b/>
          <w:sz w:val="24"/>
          <w:szCs w:val="24"/>
          <w:lang w:val="en-GB"/>
        </w:rPr>
        <w:t>m</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120</w:t>
      </w:r>
      <w:r>
        <w:rPr>
          <w:sz w:val="24"/>
          <w:szCs w:val="24"/>
        </w:rPr>
        <w:t>.</w:t>
      </w:r>
    </w:p>
    <w:p w14:paraId="5894D5B3" w14:textId="77777777" w:rsidR="001C08A5" w:rsidRDefault="00000000">
      <w:pPr>
        <w:ind w:firstLine="720"/>
        <w:jc w:val="both"/>
        <w:rPr>
          <w:b/>
          <w:bCs/>
          <w:i/>
          <w:iCs/>
          <w:sz w:val="24"/>
          <w:szCs w:val="24"/>
        </w:rPr>
      </w:pPr>
      <w:r>
        <w:rPr>
          <w:b/>
          <w:sz w:val="24"/>
          <w:szCs w:val="24"/>
        </w:rPr>
        <w:t xml:space="preserve">(7) </w:t>
      </w:r>
      <w:r>
        <w:rPr>
          <w:bCs/>
          <w:sz w:val="24"/>
          <w:szCs w:val="24"/>
        </w:rPr>
        <w:t xml:space="preserve">Atunci când golurile de </w:t>
      </w:r>
      <w:r>
        <w:rPr>
          <w:sz w:val="24"/>
          <w:szCs w:val="24"/>
        </w:rPr>
        <w:t xml:space="preserve">acces la </w:t>
      </w:r>
      <w:r>
        <w:rPr>
          <w:iCs/>
          <w:sz w:val="24"/>
          <w:szCs w:val="24"/>
        </w:rPr>
        <w:t xml:space="preserve">ascensoarele prevăzute pentru circulația funcțională a persoanelor, la </w:t>
      </w:r>
      <w:r>
        <w:rPr>
          <w:sz w:val="24"/>
          <w:szCs w:val="24"/>
        </w:rPr>
        <w:t xml:space="preserve">scările de evacuare a persoanelor și la ascensoarele prevăzute pentru transportul persoanelor cu patul cu rotile, cu căruciorul sau a persoanelor cu dizabilităţi care pot fi utilizate şi pentru evacuarea asistată a acestora în caz de incendiu la nivelurile supraterane ale clădirilor foarte înalte debușează într-o încăpere tampon ventilată în suprapresiune comună, toate ușile de la ascensoare vor fi minimum </w:t>
      </w:r>
      <w:r>
        <w:rPr>
          <w:b/>
          <w:bCs/>
          <w:sz w:val="24"/>
          <w:szCs w:val="24"/>
        </w:rPr>
        <w:t xml:space="preserve">EI120, </w:t>
      </w:r>
      <w:r>
        <w:rPr>
          <w:sz w:val="24"/>
          <w:szCs w:val="24"/>
        </w:rPr>
        <w:t xml:space="preserve">ușa de la casa scării va fi minimum </w:t>
      </w:r>
      <w:r>
        <w:rPr>
          <w:b/>
          <w:sz w:val="24"/>
          <w:szCs w:val="24"/>
        </w:rPr>
        <w:t>EI</w:t>
      </w:r>
      <w:r>
        <w:rPr>
          <w:b/>
          <w:sz w:val="24"/>
          <w:szCs w:val="24"/>
          <w:vertAlign w:val="subscript"/>
        </w:rPr>
        <w:t>2</w:t>
      </w:r>
      <w:r>
        <w:rPr>
          <w:b/>
          <w:sz w:val="24"/>
          <w:szCs w:val="24"/>
        </w:rPr>
        <w:t>120-C5S</w:t>
      </w:r>
      <w:r>
        <w:rPr>
          <w:b/>
          <w:bCs/>
          <w:sz w:val="24"/>
          <w:szCs w:val="24"/>
          <w:vertAlign w:val="subscript"/>
        </w:rPr>
        <w:t xml:space="preserve">200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b/>
          <w:sz w:val="24"/>
          <w:szCs w:val="24"/>
        </w:rPr>
        <w:t xml:space="preserve">pentru înălțimi de până la 75 m </w:t>
      </w:r>
      <w:r>
        <w:rPr>
          <w:bCs/>
          <w:sz w:val="24"/>
          <w:szCs w:val="24"/>
        </w:rPr>
        <w:t xml:space="preserve">și </w:t>
      </w:r>
      <w:r>
        <w:rPr>
          <w:sz w:val="24"/>
          <w:szCs w:val="24"/>
        </w:rPr>
        <w:t xml:space="preserve">cu uşi rezistente la foc și 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 xml:space="preserve">către circulaţiile comune orizontale </w:t>
      </w:r>
      <w:r>
        <w:rPr>
          <w:b/>
          <w:sz w:val="24"/>
          <w:szCs w:val="24"/>
        </w:rPr>
        <w:t xml:space="preserve">pentru </w:t>
      </w:r>
      <w:r>
        <w:rPr>
          <w:b/>
          <w:sz w:val="24"/>
          <w:szCs w:val="24"/>
          <w:lang w:val="en-GB"/>
        </w:rPr>
        <w:t>înălțimi cu h</w:t>
      </w:r>
      <w:r>
        <w:rPr>
          <w:rFonts w:hint="eastAsia"/>
          <w:b/>
          <w:bCs/>
          <w:sz w:val="24"/>
          <w:szCs w:val="24"/>
        </w:rPr>
        <w:t>≥</w:t>
      </w:r>
      <w:r>
        <w:rPr>
          <w:b/>
          <w:sz w:val="24"/>
          <w:szCs w:val="24"/>
          <w:lang w:val="en-GB"/>
        </w:rPr>
        <w:t>75m</w:t>
      </w:r>
      <w:r>
        <w:rPr>
          <w:b/>
          <w:sz w:val="24"/>
          <w:szCs w:val="24"/>
        </w:rPr>
        <w:t xml:space="preserve">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120</w:t>
      </w:r>
      <w:r>
        <w:rPr>
          <w:sz w:val="24"/>
          <w:szCs w:val="24"/>
        </w:rPr>
        <w:t xml:space="preserve">. Atunci când debușează la nivelurile subterane ale clădirilor foarte înalte  într-o încăpere tampon ventilată în suprapresiune comună,  toate ușile de la ascensoare vor fi minimum </w:t>
      </w:r>
      <w:r>
        <w:rPr>
          <w:b/>
          <w:bCs/>
          <w:sz w:val="24"/>
          <w:szCs w:val="24"/>
        </w:rPr>
        <w:t xml:space="preserve">EI120, </w:t>
      </w:r>
      <w:r>
        <w:rPr>
          <w:sz w:val="24"/>
          <w:szCs w:val="24"/>
        </w:rPr>
        <w:t xml:space="preserve">ușa de la casa scării va fi minimum </w:t>
      </w:r>
      <w:r>
        <w:rPr>
          <w:b/>
          <w:sz w:val="24"/>
          <w:szCs w:val="24"/>
        </w:rPr>
        <w:t>EI</w:t>
      </w:r>
      <w:r>
        <w:rPr>
          <w:b/>
          <w:sz w:val="24"/>
          <w:szCs w:val="24"/>
          <w:vertAlign w:val="subscript"/>
        </w:rPr>
        <w:t>2</w:t>
      </w:r>
      <w:r>
        <w:rPr>
          <w:b/>
          <w:sz w:val="24"/>
          <w:szCs w:val="24"/>
        </w:rPr>
        <w:t>120-C5S</w:t>
      </w:r>
      <w:r>
        <w:rPr>
          <w:b/>
          <w:bCs/>
          <w:sz w:val="24"/>
          <w:szCs w:val="24"/>
          <w:vertAlign w:val="subscript"/>
        </w:rPr>
        <w:t xml:space="preserve">200 </w:t>
      </w:r>
      <w:r>
        <w:rPr>
          <w:sz w:val="24"/>
          <w:szCs w:val="24"/>
        </w:rPr>
        <w:t xml:space="preserve">iar la încăperea tampon ventilată în suprapresiune vor fi prevăzute uşi rezistente la foc și 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b/>
          <w:sz w:val="24"/>
          <w:szCs w:val="24"/>
        </w:rPr>
        <w:t xml:space="preserve">pentru înălțimi de până la 75 m </w:t>
      </w:r>
      <w:r>
        <w:rPr>
          <w:bCs/>
          <w:sz w:val="24"/>
          <w:szCs w:val="24"/>
        </w:rPr>
        <w:t xml:space="preserve">și </w:t>
      </w:r>
      <w:r>
        <w:rPr>
          <w:sz w:val="24"/>
          <w:szCs w:val="24"/>
        </w:rPr>
        <w:t xml:space="preserve">cu uşi rezistente la foc și etanșe la fum </w:t>
      </w:r>
      <w:r>
        <w:rPr>
          <w:b/>
          <w:sz w:val="24"/>
          <w:szCs w:val="24"/>
        </w:rPr>
        <w:t>EI</w:t>
      </w:r>
      <w:r>
        <w:rPr>
          <w:b/>
          <w:sz w:val="24"/>
          <w:szCs w:val="24"/>
          <w:vertAlign w:val="subscript"/>
        </w:rPr>
        <w:t>2</w:t>
      </w:r>
      <w:r>
        <w:rPr>
          <w:b/>
          <w:sz w:val="24"/>
          <w:szCs w:val="24"/>
        </w:rPr>
        <w:t>120-C5S</w:t>
      </w:r>
      <w:r>
        <w:rPr>
          <w:b/>
          <w:bCs/>
          <w:sz w:val="24"/>
          <w:szCs w:val="24"/>
          <w:vertAlign w:val="subscript"/>
        </w:rPr>
        <w:t xml:space="preserve">200 </w:t>
      </w:r>
      <w:r>
        <w:rPr>
          <w:sz w:val="24"/>
          <w:szCs w:val="24"/>
        </w:rPr>
        <w:t xml:space="preserve">către circulaţiile comune orizontale </w:t>
      </w:r>
      <w:r>
        <w:rPr>
          <w:b/>
          <w:sz w:val="24"/>
          <w:szCs w:val="24"/>
        </w:rPr>
        <w:t xml:space="preserve">pentru </w:t>
      </w:r>
      <w:r>
        <w:rPr>
          <w:b/>
          <w:sz w:val="24"/>
          <w:szCs w:val="24"/>
          <w:lang w:val="en-GB"/>
        </w:rPr>
        <w:t>înălțimi cu h</w:t>
      </w:r>
      <w:r>
        <w:rPr>
          <w:rFonts w:hint="eastAsia"/>
          <w:b/>
          <w:bCs/>
          <w:sz w:val="24"/>
          <w:szCs w:val="24"/>
        </w:rPr>
        <w:t>≥</w:t>
      </w:r>
      <w:r>
        <w:rPr>
          <w:b/>
          <w:sz w:val="24"/>
          <w:szCs w:val="24"/>
          <w:lang w:val="en-GB"/>
        </w:rPr>
        <w:t>75</w:t>
      </w:r>
      <w:r>
        <w:rPr>
          <w:b/>
          <w:sz w:val="24"/>
          <w:szCs w:val="24"/>
        </w:rPr>
        <w:t xml:space="preserve"> </w:t>
      </w:r>
      <w:r>
        <w:rPr>
          <w:b/>
          <w:sz w:val="24"/>
          <w:szCs w:val="24"/>
          <w:lang w:val="en-GB"/>
        </w:rPr>
        <w:t>m</w:t>
      </w:r>
      <w:r>
        <w:rPr>
          <w:b/>
          <w:sz w:val="24"/>
          <w:szCs w:val="24"/>
        </w:rPr>
        <w:t xml:space="preserve"> </w:t>
      </w:r>
      <w:r>
        <w:rPr>
          <w:sz w:val="24"/>
          <w:szCs w:val="24"/>
        </w:rPr>
        <w:t>și</w:t>
      </w:r>
      <w:r>
        <w:rPr>
          <w:bCs/>
          <w:sz w:val="24"/>
          <w:szCs w:val="24"/>
        </w:rPr>
        <w:t xml:space="preserve">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EI/REI 120</w:t>
      </w:r>
      <w:r>
        <w:rPr>
          <w:sz w:val="24"/>
          <w:szCs w:val="24"/>
        </w:rPr>
        <w:t>.</w:t>
      </w:r>
    </w:p>
    <w:p w14:paraId="60D708FF" w14:textId="77777777" w:rsidR="001C08A5" w:rsidRDefault="00000000">
      <w:pPr>
        <w:ind w:firstLine="720"/>
        <w:jc w:val="both"/>
        <w:rPr>
          <w:sz w:val="24"/>
          <w:szCs w:val="24"/>
        </w:rPr>
      </w:pPr>
      <w:r>
        <w:rPr>
          <w:b/>
          <w:sz w:val="24"/>
          <w:szCs w:val="24"/>
        </w:rPr>
        <w:t xml:space="preserve">(8) </w:t>
      </w:r>
      <w:r>
        <w:rPr>
          <w:bCs/>
          <w:sz w:val="24"/>
          <w:szCs w:val="24"/>
        </w:rPr>
        <w:t xml:space="preserve">Atunci când funcțiunile clădirilor </w:t>
      </w:r>
      <w:r>
        <w:rPr>
          <w:sz w:val="24"/>
          <w:szCs w:val="24"/>
        </w:rPr>
        <w:t xml:space="preserve">foarte </w:t>
      </w:r>
      <w:r>
        <w:rPr>
          <w:bCs/>
          <w:sz w:val="24"/>
          <w:szCs w:val="24"/>
        </w:rPr>
        <w:t xml:space="preserve">înalte implică </w:t>
      </w:r>
      <w:r>
        <w:rPr>
          <w:sz w:val="24"/>
          <w:szCs w:val="24"/>
        </w:rPr>
        <w:t xml:space="preserve">transportul bolnavilor cu targa, ascensoarele prevăzute pentru transportul bolnavilor cu patul cu rotile, cu targa ori căruciorul sau a </w:t>
      </w:r>
      <w:r>
        <w:rPr>
          <w:sz w:val="24"/>
          <w:szCs w:val="24"/>
        </w:rPr>
        <w:lastRenderedPageBreak/>
        <w:t>persoanelor cu dizabilităţi care pot fi utilizate şi pentru evacuarea asistată a acestora în caz de incendiu vor respecta prevederile alineatelor precedente (</w:t>
      </w:r>
      <w:r>
        <w:rPr>
          <w:b/>
          <w:bCs/>
          <w:sz w:val="24"/>
          <w:szCs w:val="24"/>
        </w:rPr>
        <w:t xml:space="preserve">alin. 1 </w:t>
      </w:r>
      <w:r>
        <w:rPr>
          <w:rFonts w:ascii="Arial" w:hAnsi="Arial" w:cs="Arial"/>
          <w:b/>
          <w:bCs/>
          <w:sz w:val="24"/>
          <w:szCs w:val="24"/>
        </w:rPr>
        <w:t xml:space="preserve">÷ </w:t>
      </w:r>
      <w:r>
        <w:rPr>
          <w:b/>
          <w:bCs/>
          <w:sz w:val="24"/>
          <w:szCs w:val="24"/>
        </w:rPr>
        <w:t>alin. 7</w:t>
      </w:r>
      <w:r>
        <w:rPr>
          <w:sz w:val="24"/>
          <w:szCs w:val="24"/>
        </w:rPr>
        <w:t>).</w:t>
      </w:r>
    </w:p>
    <w:p w14:paraId="34810EBB" w14:textId="77777777" w:rsidR="001C08A5" w:rsidRDefault="00000000">
      <w:pPr>
        <w:ind w:firstLine="720"/>
        <w:jc w:val="both"/>
        <w:rPr>
          <w:sz w:val="24"/>
          <w:szCs w:val="24"/>
        </w:rPr>
      </w:pPr>
      <w:r>
        <w:rPr>
          <w:b/>
          <w:sz w:val="24"/>
          <w:szCs w:val="24"/>
        </w:rPr>
        <w:t xml:space="preserve">(9) </w:t>
      </w:r>
      <w:r>
        <w:rPr>
          <w:sz w:val="24"/>
          <w:szCs w:val="24"/>
        </w:rPr>
        <w:t xml:space="preserve">Ascensoarele prevăzute pentru transportul bolnavilor cu patul cu rotile, cu targa ori căruciorul sau a persoanelor cu dizabilităţi care pot fi utilizate şi pentru evacuarea asistată a acestora în caz de incendiu vor avea comenzile în coridoare protejate sau în degajamentele protejate. </w:t>
      </w:r>
    </w:p>
    <w:p w14:paraId="561EEB95" w14:textId="77777777" w:rsidR="001C08A5" w:rsidRDefault="001C08A5">
      <w:pPr>
        <w:jc w:val="both"/>
        <w:rPr>
          <w:sz w:val="24"/>
          <w:szCs w:val="24"/>
        </w:rPr>
      </w:pPr>
    </w:p>
    <w:p w14:paraId="7B409030" w14:textId="77777777" w:rsidR="001C08A5" w:rsidRDefault="00000000">
      <w:pPr>
        <w:ind w:firstLine="720"/>
        <w:jc w:val="both"/>
        <w:rPr>
          <w:sz w:val="24"/>
          <w:szCs w:val="24"/>
        </w:rPr>
      </w:pPr>
      <w:r>
        <w:rPr>
          <w:b/>
          <w:sz w:val="24"/>
          <w:szCs w:val="24"/>
        </w:rPr>
        <w:t>Art. 4.2.4.14.</w:t>
      </w:r>
      <w:r>
        <w:rPr>
          <w:sz w:val="24"/>
          <w:szCs w:val="24"/>
        </w:rPr>
        <w:t xml:space="preserve"> În cazul defectării sau opririi, ascensoarele de intervenție din clădirile supraterane foarte înalte, precum şi din clădirile unde acestea se mai prevăd, trebuie sa fie echipate cu un acces prin care pompierii blocati sa se poata salva singuri sau cu ajutorul altora (de exemplu trapa de salvare care trebuie prevăzută în acoperișul cabinei să fie echipată cu scară portabila). În caz de incendiu toate cabinele trebuie să fie aduse automat la parter și să ramană oprite până la anularea comenzii de incendiu din clădire. Fac excepție ascensoarele pentru intervenție precum și cele pentru evacauare persoane cu dizabilități care vor funcționa în timpul incendiului, prin alimentare de rezervă. </w:t>
      </w:r>
    </w:p>
    <w:p w14:paraId="76E87234" w14:textId="77777777" w:rsidR="001C08A5" w:rsidRDefault="001C08A5">
      <w:pPr>
        <w:jc w:val="both"/>
        <w:rPr>
          <w:b/>
          <w:sz w:val="24"/>
          <w:szCs w:val="24"/>
        </w:rPr>
      </w:pPr>
    </w:p>
    <w:p w14:paraId="4E721CF7" w14:textId="77777777" w:rsidR="001C08A5" w:rsidRDefault="00000000">
      <w:pPr>
        <w:ind w:firstLine="720"/>
        <w:jc w:val="both"/>
        <w:rPr>
          <w:sz w:val="24"/>
          <w:szCs w:val="24"/>
        </w:rPr>
      </w:pPr>
      <w:r>
        <w:rPr>
          <w:b/>
          <w:sz w:val="24"/>
          <w:szCs w:val="24"/>
        </w:rPr>
        <w:t>Art. 4.2.4.15. (1)</w:t>
      </w:r>
      <w:r>
        <w:rPr>
          <w:sz w:val="24"/>
          <w:szCs w:val="24"/>
        </w:rPr>
        <w:t xml:space="preserve"> La clădirile foarte înalte este obligatorie prevederea a </w:t>
      </w:r>
      <w:r>
        <w:rPr>
          <w:b/>
          <w:bCs/>
          <w:sz w:val="24"/>
          <w:szCs w:val="24"/>
        </w:rPr>
        <w:t>2</w:t>
      </w:r>
      <w:r>
        <w:rPr>
          <w:sz w:val="24"/>
          <w:szCs w:val="24"/>
        </w:rPr>
        <w:t xml:space="preserve"> (două) ascensoare de intervenţie în caz de incendiu (de pompieri), cu acces facil de la nivelul intrării în clădire, realizate corespunzător cerinţelor asigurării operaţiunilor de intervenţie în caz de incendiu şi prevăzute cu apel prioritar pentru pompieri.</w:t>
      </w:r>
    </w:p>
    <w:p w14:paraId="0ACE151D" w14:textId="77777777" w:rsidR="001C08A5" w:rsidRDefault="00000000">
      <w:pPr>
        <w:ind w:firstLine="720"/>
        <w:jc w:val="both"/>
        <w:rPr>
          <w:bCs/>
          <w:sz w:val="24"/>
          <w:szCs w:val="24"/>
        </w:rPr>
      </w:pPr>
      <w:r>
        <w:rPr>
          <w:b/>
          <w:sz w:val="24"/>
          <w:szCs w:val="24"/>
        </w:rPr>
        <w:t>(2)</w:t>
      </w:r>
      <w:r>
        <w:rPr>
          <w:sz w:val="24"/>
          <w:szCs w:val="24"/>
        </w:rPr>
        <w:t xml:space="preserve"> Ascensoarele pentru intervenţie în caz de incendiu se prevăd cu puţuri proprii, separate între ele şi atât faţă de de restul clădirii cât şi de exterior, cu pereţi rezistenţi la foc </w:t>
      </w:r>
      <w:r>
        <w:rPr>
          <w:b/>
          <w:sz w:val="24"/>
          <w:szCs w:val="24"/>
        </w:rPr>
        <w:t>REI/EI 180</w:t>
      </w:r>
      <w:r>
        <w:rPr>
          <w:sz w:val="24"/>
          <w:szCs w:val="24"/>
        </w:rPr>
        <w:t xml:space="preserve"> şi, după caz, planşee rezistente la foc minimum </w:t>
      </w:r>
      <w:r>
        <w:rPr>
          <w:b/>
          <w:sz w:val="24"/>
          <w:szCs w:val="24"/>
        </w:rPr>
        <w:t>REI 180</w:t>
      </w:r>
      <w:r>
        <w:rPr>
          <w:bCs/>
          <w:sz w:val="24"/>
          <w:szCs w:val="24"/>
        </w:rPr>
        <w:t xml:space="preserve">, </w:t>
      </w:r>
      <w:r>
        <w:rPr>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și goluri de acces protejate cu încăperi tampon de acces  prevăzute cu ventilare în suprapresiune şi uşi rezistente la foc și etanșe la fum.</w:t>
      </w:r>
    </w:p>
    <w:p w14:paraId="1F0CA3CC" w14:textId="77777777" w:rsidR="001C08A5" w:rsidRDefault="00000000">
      <w:pPr>
        <w:widowControl w:val="0"/>
        <w:ind w:firstLine="720"/>
        <w:jc w:val="both"/>
        <w:rPr>
          <w:sz w:val="24"/>
          <w:szCs w:val="24"/>
        </w:rPr>
      </w:pPr>
      <w:r>
        <w:rPr>
          <w:b/>
          <w:sz w:val="24"/>
          <w:szCs w:val="24"/>
        </w:rPr>
        <w:t xml:space="preserve">(3) </w:t>
      </w:r>
      <w:r>
        <w:rPr>
          <w:sz w:val="24"/>
          <w:szCs w:val="24"/>
        </w:rPr>
        <w:t xml:space="preserve"> Accesul la ascensoarele de intervenție la nivelurile supraterane ale clădirilor foarte înalte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60-C5S</w:t>
      </w:r>
      <w:r>
        <w:rPr>
          <w:b/>
          <w:bCs/>
          <w:sz w:val="24"/>
          <w:szCs w:val="24"/>
          <w:vertAlign w:val="subscript"/>
        </w:rPr>
        <w:t xml:space="preserve">200 </w:t>
      </w:r>
      <w:r>
        <w:rPr>
          <w:sz w:val="24"/>
          <w:szCs w:val="24"/>
        </w:rPr>
        <w:t>la clădiri cu înălțimea pâna la</w:t>
      </w:r>
      <w:r>
        <w:rPr>
          <w:b/>
          <w:bCs/>
          <w:sz w:val="24"/>
          <w:szCs w:val="24"/>
        </w:rPr>
        <w:t xml:space="preserve"> 75 m </w:t>
      </w:r>
      <w:r>
        <w:rPr>
          <w:sz w:val="24"/>
          <w:szCs w:val="24"/>
        </w:rPr>
        <w:t xml:space="preserve">și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la clădiri cu înălțimea peste</w:t>
      </w:r>
      <w:r>
        <w:rPr>
          <w:b/>
          <w:bCs/>
          <w:sz w:val="24"/>
          <w:szCs w:val="24"/>
        </w:rPr>
        <w:t xml:space="preserve"> 75 m </w:t>
      </w:r>
      <w:r>
        <w:rPr>
          <w:sz w:val="24"/>
          <w:szCs w:val="24"/>
        </w:rPr>
        <w:t xml:space="preserve">către circulaţiile comune orizontale și uși rezistente la foc </w:t>
      </w:r>
      <w:r>
        <w:rPr>
          <w:b/>
          <w:bCs/>
          <w:sz w:val="24"/>
          <w:szCs w:val="24"/>
        </w:rPr>
        <w:t>EI</w:t>
      </w:r>
      <w:r>
        <w:rPr>
          <w:b/>
          <w:bCs/>
          <w:sz w:val="24"/>
          <w:szCs w:val="24"/>
          <w:lang w:val="en-US"/>
        </w:rPr>
        <w:t>12</w:t>
      </w:r>
      <w:r>
        <w:rPr>
          <w:b/>
          <w:bCs/>
          <w:sz w:val="24"/>
          <w:szCs w:val="24"/>
        </w:rPr>
        <w:t xml:space="preserve">0 </w:t>
      </w:r>
      <w:r>
        <w:rPr>
          <w:sz w:val="24"/>
          <w:szCs w:val="24"/>
        </w:rPr>
        <w:t>la ușile ascensoarelor și</w:t>
      </w:r>
      <w:r>
        <w:rPr>
          <w:bCs/>
          <w:sz w:val="24"/>
          <w:szCs w:val="24"/>
        </w:rPr>
        <w:t xml:space="preserve">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 xml:space="preserve">EI/REI </w:t>
      </w:r>
      <w:r>
        <w:rPr>
          <w:b/>
          <w:sz w:val="24"/>
          <w:szCs w:val="24"/>
          <w:lang w:val="en-US"/>
        </w:rPr>
        <w:t>12</w:t>
      </w:r>
      <w:r>
        <w:rPr>
          <w:b/>
          <w:sz w:val="24"/>
          <w:szCs w:val="24"/>
        </w:rPr>
        <w:t xml:space="preserve">0. </w:t>
      </w:r>
      <w:r>
        <w:rPr>
          <w:sz w:val="24"/>
          <w:szCs w:val="24"/>
        </w:rPr>
        <w:t xml:space="preserve">Accesul la ascensoarele de intervenție la nivelurile subterane ale clădirilor civile înalte se asigură prin realizarea unor încăperi tampon ventilate în suprapresiune, prevăzute cu uşi rezistente la foc și 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la clădiri cu înălțimea pâna la</w:t>
      </w:r>
      <w:r>
        <w:rPr>
          <w:b/>
          <w:bCs/>
          <w:sz w:val="24"/>
          <w:szCs w:val="24"/>
        </w:rPr>
        <w:t xml:space="preserve"> 75 m </w:t>
      </w:r>
      <w:r>
        <w:rPr>
          <w:sz w:val="24"/>
          <w:szCs w:val="24"/>
        </w:rPr>
        <w:t xml:space="preserve">și </w:t>
      </w:r>
      <w:r>
        <w:rPr>
          <w:b/>
          <w:sz w:val="24"/>
          <w:szCs w:val="24"/>
        </w:rPr>
        <w:t>EI</w:t>
      </w:r>
      <w:r>
        <w:rPr>
          <w:b/>
          <w:sz w:val="24"/>
          <w:szCs w:val="24"/>
          <w:vertAlign w:val="subscript"/>
        </w:rPr>
        <w:t>2</w:t>
      </w:r>
      <w:r>
        <w:rPr>
          <w:b/>
          <w:sz w:val="24"/>
          <w:szCs w:val="24"/>
        </w:rPr>
        <w:t>120-C5S</w:t>
      </w:r>
      <w:r>
        <w:rPr>
          <w:b/>
          <w:bCs/>
          <w:sz w:val="24"/>
          <w:szCs w:val="24"/>
          <w:vertAlign w:val="subscript"/>
        </w:rPr>
        <w:t xml:space="preserve">200  </w:t>
      </w:r>
      <w:r>
        <w:rPr>
          <w:sz w:val="24"/>
          <w:szCs w:val="24"/>
        </w:rPr>
        <w:t>la clădiri cu înălțimea peste</w:t>
      </w:r>
      <w:r>
        <w:rPr>
          <w:b/>
          <w:bCs/>
          <w:sz w:val="24"/>
          <w:szCs w:val="24"/>
        </w:rPr>
        <w:t xml:space="preserve"> 75 m </w:t>
      </w:r>
      <w:r>
        <w:rPr>
          <w:sz w:val="24"/>
          <w:szCs w:val="24"/>
        </w:rPr>
        <w:t xml:space="preserve">către circulaţiile comune orizontale și uși rezistente la foc </w:t>
      </w:r>
      <w:r>
        <w:rPr>
          <w:b/>
          <w:bCs/>
          <w:sz w:val="24"/>
          <w:szCs w:val="24"/>
        </w:rPr>
        <w:t>EI</w:t>
      </w:r>
      <w:r>
        <w:rPr>
          <w:b/>
          <w:bCs/>
          <w:sz w:val="24"/>
          <w:szCs w:val="24"/>
          <w:lang w:val="en-US"/>
        </w:rPr>
        <w:t>12</w:t>
      </w:r>
      <w:r>
        <w:rPr>
          <w:b/>
          <w:bCs/>
          <w:sz w:val="24"/>
          <w:szCs w:val="24"/>
        </w:rPr>
        <w:t xml:space="preserve">0 </w:t>
      </w:r>
      <w:r>
        <w:rPr>
          <w:sz w:val="24"/>
          <w:szCs w:val="24"/>
        </w:rPr>
        <w:t>la ușile ascensoarelor și</w:t>
      </w:r>
      <w:r>
        <w:rPr>
          <w:bCs/>
          <w:sz w:val="24"/>
          <w:szCs w:val="24"/>
        </w:rPr>
        <w:t xml:space="preserve"> încăperea tampon ventilată în suprapresiune trebuie să fie prevăzută cu pereți clasa de reacţie la foc </w:t>
      </w:r>
      <w:r>
        <w:rPr>
          <w:b/>
          <w:sz w:val="24"/>
          <w:szCs w:val="24"/>
        </w:rPr>
        <w:t>A1</w:t>
      </w:r>
      <w:r>
        <w:rPr>
          <w:bCs/>
          <w:sz w:val="24"/>
          <w:szCs w:val="24"/>
        </w:rPr>
        <w:t xml:space="preserve"> sau </w:t>
      </w:r>
      <w:r>
        <w:rPr>
          <w:b/>
          <w:sz w:val="24"/>
          <w:szCs w:val="24"/>
        </w:rPr>
        <w:t xml:space="preserve">A2-s1d0, </w:t>
      </w:r>
      <w:r>
        <w:rPr>
          <w:bCs/>
          <w:sz w:val="24"/>
          <w:szCs w:val="24"/>
        </w:rPr>
        <w:t xml:space="preserve">rezistenți la foc min </w:t>
      </w:r>
      <w:r>
        <w:rPr>
          <w:b/>
          <w:sz w:val="24"/>
          <w:szCs w:val="24"/>
        </w:rPr>
        <w:t xml:space="preserve">EI/REI </w:t>
      </w:r>
      <w:r>
        <w:rPr>
          <w:b/>
          <w:sz w:val="24"/>
          <w:szCs w:val="24"/>
          <w:lang w:val="en-US"/>
        </w:rPr>
        <w:t>12</w:t>
      </w:r>
      <w:r>
        <w:rPr>
          <w:b/>
          <w:sz w:val="24"/>
          <w:szCs w:val="24"/>
        </w:rPr>
        <w:t>0.</w:t>
      </w:r>
    </w:p>
    <w:p w14:paraId="42F48DAB" w14:textId="77777777" w:rsidR="001C08A5" w:rsidRDefault="00000000">
      <w:pPr>
        <w:ind w:firstLine="720"/>
        <w:jc w:val="both"/>
        <w:rPr>
          <w:sz w:val="24"/>
          <w:szCs w:val="24"/>
        </w:rPr>
      </w:pPr>
      <w:r>
        <w:rPr>
          <w:b/>
          <w:sz w:val="24"/>
          <w:szCs w:val="24"/>
        </w:rPr>
        <w:t xml:space="preserve">(4) </w:t>
      </w:r>
      <w:r>
        <w:rPr>
          <w:sz w:val="24"/>
          <w:szCs w:val="24"/>
        </w:rPr>
        <w:t xml:space="preserve">Ascensoarele pentru intervenţie în caz de incendiu vor respecta obligatoriu prevederile </w:t>
      </w:r>
      <w:r>
        <w:rPr>
          <w:b/>
          <w:sz w:val="24"/>
          <w:szCs w:val="24"/>
        </w:rPr>
        <w:t xml:space="preserve">Art. 3.1.4.8. </w:t>
      </w:r>
      <w:r>
        <w:rPr>
          <w:b/>
          <w:bCs/>
          <w:sz w:val="24"/>
          <w:szCs w:val="24"/>
        </w:rPr>
        <w:t xml:space="preserve">alin. 3 </w:t>
      </w:r>
      <w:r>
        <w:rPr>
          <w:rFonts w:ascii="Arial" w:hAnsi="Arial" w:cs="Arial"/>
          <w:b/>
          <w:bCs/>
          <w:sz w:val="24"/>
          <w:szCs w:val="24"/>
        </w:rPr>
        <w:t xml:space="preserve">÷ </w:t>
      </w:r>
      <w:r>
        <w:rPr>
          <w:b/>
          <w:bCs/>
          <w:sz w:val="24"/>
          <w:szCs w:val="24"/>
        </w:rPr>
        <w:t xml:space="preserve">alin. 8 </w:t>
      </w:r>
      <w:r>
        <w:rPr>
          <w:sz w:val="24"/>
          <w:szCs w:val="24"/>
        </w:rPr>
        <w:t xml:space="preserve">și prevederile </w:t>
      </w:r>
      <w:r>
        <w:rPr>
          <w:b/>
          <w:sz w:val="24"/>
          <w:szCs w:val="24"/>
        </w:rPr>
        <w:t xml:space="preserve">Art. 3.1.4.8. </w:t>
      </w:r>
      <w:r>
        <w:rPr>
          <w:b/>
          <w:bCs/>
          <w:sz w:val="24"/>
          <w:szCs w:val="24"/>
        </w:rPr>
        <w:t xml:space="preserve">alin. 11 </w:t>
      </w:r>
      <w:r>
        <w:rPr>
          <w:rFonts w:ascii="Arial" w:hAnsi="Arial" w:cs="Arial"/>
          <w:b/>
          <w:bCs/>
          <w:sz w:val="24"/>
          <w:szCs w:val="24"/>
        </w:rPr>
        <w:t xml:space="preserve">÷ </w:t>
      </w:r>
      <w:r>
        <w:rPr>
          <w:b/>
          <w:bCs/>
          <w:sz w:val="24"/>
          <w:szCs w:val="24"/>
        </w:rPr>
        <w:t>alin. 14</w:t>
      </w:r>
      <w:r>
        <w:rPr>
          <w:sz w:val="24"/>
          <w:szCs w:val="24"/>
        </w:rPr>
        <w:t>..</w:t>
      </w:r>
    </w:p>
    <w:p w14:paraId="3AEBBAAE" w14:textId="77777777" w:rsidR="001C08A5" w:rsidRDefault="00000000">
      <w:pPr>
        <w:ind w:firstLine="720"/>
        <w:jc w:val="both"/>
        <w:rPr>
          <w:bCs/>
          <w:sz w:val="24"/>
          <w:szCs w:val="24"/>
        </w:rPr>
      </w:pPr>
      <w:r>
        <w:rPr>
          <w:b/>
          <w:sz w:val="24"/>
          <w:szCs w:val="24"/>
        </w:rPr>
        <w:t xml:space="preserve">(5) </w:t>
      </w:r>
      <w:r>
        <w:rPr>
          <w:rFonts w:eastAsia="Arial"/>
          <w:sz w:val="24"/>
          <w:szCs w:val="24"/>
        </w:rPr>
        <w:t xml:space="preserve">Ascensoarele de </w:t>
      </w:r>
      <w:r>
        <w:rPr>
          <w:sz w:val="24"/>
          <w:szCs w:val="24"/>
        </w:rPr>
        <w:t xml:space="preserve">intervenţie în caz de incendiu trebuie să fie poziționate fiecare în cadrul construcțiilor astfel încât să fie prevazute cu accese spre exterior direct din afară sau prin spații ferite de fum cu lungimea maximă echivalentă cu cea a dimensiunilor de coridor înfundat a clădirii foarte înalte. </w:t>
      </w:r>
    </w:p>
    <w:p w14:paraId="00656BB9" w14:textId="77777777" w:rsidR="001C08A5" w:rsidRDefault="00000000">
      <w:pPr>
        <w:jc w:val="both"/>
        <w:rPr>
          <w:sz w:val="24"/>
          <w:szCs w:val="24"/>
        </w:rPr>
      </w:pPr>
      <w:r>
        <w:rPr>
          <w:b/>
          <w:sz w:val="24"/>
          <w:szCs w:val="24"/>
        </w:rPr>
        <w:tab/>
        <w:t xml:space="preserve">(6) </w:t>
      </w:r>
      <w:r>
        <w:rPr>
          <w:sz w:val="24"/>
          <w:szCs w:val="24"/>
        </w:rPr>
        <w:t xml:space="preserve">Ascensoarele pentru intervenţie se prevăd cu apel prioritar pentru pompieri şi vor asigura accesul pentru intervenţie în caz de incendiu la nivelurile supraterane și subterane ale clădirii. </w:t>
      </w:r>
      <w:r>
        <w:rPr>
          <w:rFonts w:eastAsia="Arial,Bold"/>
          <w:sz w:val="24"/>
          <w:szCs w:val="24"/>
        </w:rPr>
        <w:t xml:space="preserve">La </w:t>
      </w:r>
      <w:r>
        <w:rPr>
          <w:rStyle w:val="ln2talineat"/>
          <w:sz w:val="24"/>
          <w:szCs w:val="24"/>
        </w:rPr>
        <w:t xml:space="preserve">parcajele subterane cu mai mult de </w:t>
      </w:r>
      <w:r>
        <w:rPr>
          <w:rStyle w:val="ln2talineat"/>
          <w:b/>
          <w:sz w:val="24"/>
          <w:szCs w:val="24"/>
        </w:rPr>
        <w:t xml:space="preserve">4 </w:t>
      </w:r>
      <w:r>
        <w:rPr>
          <w:rStyle w:val="ln2talineat"/>
          <w:sz w:val="24"/>
          <w:szCs w:val="24"/>
        </w:rPr>
        <w:t xml:space="preserve">niveluri înglobate în clădiri </w:t>
      </w:r>
      <w:r>
        <w:rPr>
          <w:sz w:val="24"/>
          <w:szCs w:val="24"/>
        </w:rPr>
        <w:t xml:space="preserve">foarte </w:t>
      </w:r>
      <w:r>
        <w:rPr>
          <w:rStyle w:val="ln2talineat"/>
          <w:sz w:val="24"/>
          <w:szCs w:val="24"/>
        </w:rPr>
        <w:t>înalte, ascensoarele pentru pompieri aferente parcajelor trebuie să fie diferite faţă de ascensoarele pentru pompieri ale nivelurilor supraterane.</w:t>
      </w:r>
    </w:p>
    <w:p w14:paraId="4DE248C3" w14:textId="77777777" w:rsidR="001C08A5" w:rsidRDefault="00000000">
      <w:pPr>
        <w:jc w:val="both"/>
        <w:rPr>
          <w:sz w:val="24"/>
          <w:szCs w:val="24"/>
        </w:rPr>
      </w:pPr>
      <w:r>
        <w:rPr>
          <w:sz w:val="24"/>
          <w:szCs w:val="24"/>
        </w:rPr>
        <w:tab/>
      </w:r>
      <w:r>
        <w:rPr>
          <w:b/>
          <w:sz w:val="24"/>
          <w:szCs w:val="24"/>
        </w:rPr>
        <w:t>(7)</w:t>
      </w:r>
      <w:r>
        <w:rPr>
          <w:sz w:val="24"/>
          <w:szCs w:val="24"/>
        </w:rPr>
        <w:t xml:space="preserve"> Ascensoarele pentru intervenţie se realizează potrivit prevederilor reglementărilor tehnice specifice şi vor avea fiecare asigurată funcţionarea timp de </w:t>
      </w:r>
      <w:r>
        <w:rPr>
          <w:b/>
          <w:sz w:val="24"/>
          <w:szCs w:val="24"/>
        </w:rPr>
        <w:t>120</w:t>
      </w:r>
      <w:r>
        <w:rPr>
          <w:sz w:val="24"/>
          <w:szCs w:val="24"/>
        </w:rPr>
        <w:t xml:space="preserve"> de minute de la izbucnirea incendiului.</w:t>
      </w:r>
    </w:p>
    <w:p w14:paraId="7D0E2F4A" w14:textId="77777777" w:rsidR="001C08A5" w:rsidRDefault="00000000">
      <w:pPr>
        <w:ind w:firstLine="720"/>
        <w:jc w:val="both"/>
        <w:rPr>
          <w:sz w:val="24"/>
          <w:szCs w:val="24"/>
        </w:rPr>
      </w:pPr>
      <w:r>
        <w:rPr>
          <w:b/>
          <w:bCs/>
          <w:sz w:val="24"/>
          <w:szCs w:val="24"/>
        </w:rPr>
        <w:t xml:space="preserve">(8) </w:t>
      </w:r>
      <w:r>
        <w:rPr>
          <w:sz w:val="24"/>
          <w:szCs w:val="24"/>
        </w:rPr>
        <w:t xml:space="preserve">Atunci când accesul pompierilor se face prin aceeași scară de evacuare (a persoanelor) la calculul fluxurilor de evacuare al persoanelor se consideră un flux de evacuare în minus pentru evacuarea acestora. Este obligatoriu ca lațimea liberă a rampelor și podestelor scării (măsurată conform prevederi normate) utilizabilă pentru un flux de evacuare persoane precum și acces pompieri să fie în acest caz de minimum </w:t>
      </w:r>
      <w:r>
        <w:rPr>
          <w:b/>
          <w:bCs/>
          <w:sz w:val="24"/>
          <w:szCs w:val="24"/>
        </w:rPr>
        <w:t>1,20 m</w:t>
      </w:r>
      <w:r>
        <w:rPr>
          <w:sz w:val="24"/>
          <w:szCs w:val="24"/>
        </w:rPr>
        <w:t>.</w:t>
      </w:r>
      <w:r>
        <w:rPr>
          <w:sz w:val="24"/>
          <w:szCs w:val="24"/>
        </w:rPr>
        <w:tab/>
      </w:r>
    </w:p>
    <w:p w14:paraId="243918EE" w14:textId="77777777" w:rsidR="001C08A5" w:rsidRDefault="00000000">
      <w:pPr>
        <w:ind w:firstLine="720"/>
        <w:jc w:val="both"/>
        <w:rPr>
          <w:sz w:val="24"/>
          <w:szCs w:val="24"/>
        </w:rPr>
      </w:pPr>
      <w:r>
        <w:rPr>
          <w:b/>
          <w:bCs/>
          <w:sz w:val="24"/>
          <w:szCs w:val="24"/>
        </w:rPr>
        <w:lastRenderedPageBreak/>
        <w:t>(9)</w:t>
      </w:r>
      <w:r>
        <w:rPr>
          <w:sz w:val="24"/>
          <w:szCs w:val="24"/>
        </w:rPr>
        <w:t xml:space="preserve"> La construcțiile cu înalțimea mai mare sau egală de</w:t>
      </w:r>
      <w:r>
        <w:rPr>
          <w:b/>
          <w:bCs/>
          <w:sz w:val="24"/>
          <w:szCs w:val="24"/>
        </w:rPr>
        <w:t xml:space="preserve"> 75 m</w:t>
      </w:r>
      <w:r>
        <w:rPr>
          <w:sz w:val="24"/>
          <w:szCs w:val="24"/>
        </w:rPr>
        <w:t xml:space="preserve"> se prevede obligatoriu ca cel puțin un ascensor de intervenție să fie prevazut cu acces din încăperea tampon aferentă casei de scara destinată numai intervenției pompierilor, conform </w:t>
      </w:r>
      <w:r>
        <w:rPr>
          <w:b/>
          <w:bCs/>
          <w:i/>
          <w:iCs/>
          <w:sz w:val="24"/>
          <w:szCs w:val="24"/>
        </w:rPr>
        <w:fldChar w:fldCharType="begin"/>
      </w:r>
      <w:r>
        <w:rPr>
          <w:b/>
          <w:bCs/>
          <w:i/>
          <w:iCs/>
          <w:sz w:val="24"/>
          <w:szCs w:val="24"/>
        </w:rPr>
        <w:instrText xml:space="preserve"> REF _Ref26578 \h </w:instrText>
      </w:r>
      <w:r>
        <w:rPr>
          <w:b/>
          <w:bCs/>
          <w:i/>
          <w:iCs/>
          <w:sz w:val="24"/>
          <w:szCs w:val="24"/>
        </w:rPr>
      </w:r>
      <w:r>
        <w:rPr>
          <w:b/>
          <w:bCs/>
          <w:i/>
          <w:iCs/>
          <w:sz w:val="24"/>
          <w:szCs w:val="24"/>
        </w:rPr>
        <w:fldChar w:fldCharType="separate"/>
      </w:r>
      <w:r>
        <w:t>Figura 75</w:t>
      </w:r>
      <w:r>
        <w:rPr>
          <w:b/>
          <w:bCs/>
          <w:i/>
          <w:iCs/>
          <w:sz w:val="24"/>
          <w:szCs w:val="24"/>
        </w:rPr>
        <w:fldChar w:fldCharType="end"/>
      </w:r>
      <w:r>
        <w:rPr>
          <w:sz w:val="24"/>
          <w:szCs w:val="24"/>
        </w:rPr>
        <w:t>.</w:t>
      </w:r>
    </w:p>
    <w:p w14:paraId="3D7E1D6E" w14:textId="77777777" w:rsidR="001C08A5" w:rsidRDefault="001C08A5">
      <w:pPr>
        <w:ind w:firstLine="720"/>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8"/>
        <w:gridCol w:w="4761"/>
      </w:tblGrid>
      <w:tr w:rsidR="001C08A5" w14:paraId="21566685" w14:textId="77777777">
        <w:trPr>
          <w:trHeight w:val="6136"/>
        </w:trPr>
        <w:tc>
          <w:tcPr>
            <w:tcW w:w="4927" w:type="dxa"/>
          </w:tcPr>
          <w:p w14:paraId="2A3BDCEE" w14:textId="77777777" w:rsidR="001C08A5" w:rsidRDefault="00000000">
            <w:pPr>
              <w:rPr>
                <w:sz w:val="24"/>
                <w:szCs w:val="24"/>
              </w:rPr>
            </w:pPr>
            <w:r>
              <w:rPr>
                <w:noProof/>
                <w:lang w:eastAsia="ro-RO"/>
              </w:rPr>
              <w:drawing>
                <wp:inline distT="0" distB="0" distL="114300" distR="114300" wp14:anchorId="2E68DCF0" wp14:editId="07F0A9D9">
                  <wp:extent cx="2379345" cy="3482975"/>
                  <wp:effectExtent l="0" t="0" r="190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03"/>
                          <a:srcRect l="52558" t="3965" r="15918" b="3492"/>
                          <a:stretch>
                            <a:fillRect/>
                          </a:stretch>
                        </pic:blipFill>
                        <pic:spPr>
                          <a:xfrm>
                            <a:off x="0" y="0"/>
                            <a:ext cx="2379345" cy="3482975"/>
                          </a:xfrm>
                          <a:prstGeom prst="rect">
                            <a:avLst/>
                          </a:prstGeom>
                          <a:noFill/>
                          <a:ln>
                            <a:noFill/>
                          </a:ln>
                        </pic:spPr>
                      </pic:pic>
                    </a:graphicData>
                  </a:graphic>
                </wp:inline>
              </w:drawing>
            </w:r>
          </w:p>
        </w:tc>
        <w:tc>
          <w:tcPr>
            <w:tcW w:w="4928" w:type="dxa"/>
          </w:tcPr>
          <w:p w14:paraId="55975360" w14:textId="77777777" w:rsidR="001C08A5" w:rsidRDefault="00000000">
            <w:pPr>
              <w:pStyle w:val="Default"/>
              <w:jc w:val="left"/>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LEGENDĂ:</w:t>
            </w:r>
          </w:p>
          <w:p w14:paraId="29667D91" w14:textId="77777777" w:rsidR="001C08A5" w:rsidRDefault="00000000">
            <w:pPr>
              <w:pStyle w:val="Default"/>
              <w:jc w:val="left"/>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 xml:space="preserve">Pentru înălțimea </w:t>
            </w:r>
            <w:r>
              <w:rPr>
                <w:rFonts w:ascii="Times New Roman" w:hAnsi="Times New Roman" w:cs="Times New Roman"/>
                <w:b/>
                <w:bCs/>
                <w:i/>
                <w:iCs/>
                <w:color w:val="auto"/>
                <w:sz w:val="22"/>
                <w:szCs w:val="22"/>
                <w:lang w:val="ro-RO"/>
              </w:rPr>
              <w:t>mai mică de 75 m</w:t>
            </w:r>
            <w:r>
              <w:rPr>
                <w:rFonts w:ascii="Times New Roman" w:hAnsi="Times New Roman" w:cs="Times New Roman"/>
                <w:i/>
                <w:iCs/>
                <w:color w:val="auto"/>
                <w:sz w:val="22"/>
                <w:szCs w:val="22"/>
                <w:lang w:val="ro-RO"/>
              </w:rPr>
              <w:t xml:space="preserve"> (recomandabil) în partea supraterană vor îndeplini următoarele condiții:</w:t>
            </w:r>
          </w:p>
          <w:p w14:paraId="5BEBE889" w14:textId="77777777" w:rsidR="001C08A5" w:rsidRDefault="00000000">
            <w:pPr>
              <w:pStyle w:val="Default"/>
              <w:ind w:firstLine="720"/>
              <w:jc w:val="left"/>
              <w:rPr>
                <w:rFonts w:ascii="Times New Roman" w:hAnsi="Times New Roman" w:cs="Times New Roman"/>
                <w:b/>
                <w:i/>
                <w:iCs/>
                <w:color w:val="auto"/>
                <w:sz w:val="22"/>
                <w:szCs w:val="22"/>
                <w:lang w:val="ro-RO"/>
              </w:rPr>
            </w:pPr>
            <w:r>
              <w:rPr>
                <w:rFonts w:ascii="Times New Roman" w:hAnsi="Times New Roman" w:cs="Times New Roman"/>
                <w:b/>
                <w:bCs/>
                <w:i/>
                <w:iCs/>
                <w:color w:val="auto"/>
                <w:sz w:val="22"/>
                <w:szCs w:val="22"/>
                <w:lang w:val="ro-RO"/>
              </w:rPr>
              <w:t>D</w:t>
            </w:r>
            <w:r>
              <w:rPr>
                <w:rFonts w:ascii="Times New Roman" w:hAnsi="Times New Roman" w:cs="Times New Roman"/>
                <w:i/>
                <w:iCs/>
                <w:color w:val="auto"/>
                <w:sz w:val="22"/>
                <w:szCs w:val="22"/>
                <w:lang w:val="ro-RO"/>
              </w:rPr>
              <w:t xml:space="preserve"> - uși </w:t>
            </w:r>
            <w:r>
              <w:rPr>
                <w:rFonts w:ascii="Times New Roman" w:hAnsi="Times New Roman" w:cs="Times New Roman"/>
                <w:b/>
                <w:i/>
                <w:iCs/>
                <w:color w:val="auto"/>
                <w:sz w:val="22"/>
                <w:szCs w:val="22"/>
              </w:rPr>
              <w:t xml:space="preserve">EI </w:t>
            </w:r>
            <w:r>
              <w:rPr>
                <w:rFonts w:ascii="Times New Roman" w:hAnsi="Times New Roman" w:cs="Times New Roman"/>
                <w:b/>
                <w:i/>
                <w:iCs/>
                <w:color w:val="auto"/>
                <w:sz w:val="22"/>
                <w:szCs w:val="22"/>
                <w:lang w:val="ro-RO"/>
              </w:rPr>
              <w:t>12</w:t>
            </w:r>
            <w:r>
              <w:rPr>
                <w:rFonts w:ascii="Times New Roman" w:hAnsi="Times New Roman" w:cs="Times New Roman"/>
                <w:b/>
                <w:i/>
                <w:iCs/>
                <w:color w:val="auto"/>
                <w:sz w:val="22"/>
                <w:szCs w:val="22"/>
              </w:rPr>
              <w:t>0</w:t>
            </w:r>
          </w:p>
          <w:p w14:paraId="0444A6D7" w14:textId="77777777" w:rsidR="001C08A5" w:rsidRDefault="00000000">
            <w:pPr>
              <w:ind w:firstLine="720"/>
              <w:jc w:val="left"/>
              <w:rPr>
                <w:b/>
                <w:bCs/>
                <w:i/>
                <w:iCs/>
                <w:sz w:val="22"/>
                <w:szCs w:val="22"/>
                <w:vertAlign w:val="subscript"/>
              </w:rPr>
            </w:pPr>
            <w:r>
              <w:rPr>
                <w:b/>
                <w:bCs/>
                <w:i/>
                <w:iCs/>
                <w:sz w:val="22"/>
                <w:szCs w:val="22"/>
              </w:rPr>
              <w:t>A</w:t>
            </w:r>
            <w:r>
              <w:rPr>
                <w:i/>
                <w:iCs/>
                <w:sz w:val="22"/>
                <w:szCs w:val="22"/>
              </w:rPr>
              <w:t xml:space="preserve"> - uși </w:t>
            </w:r>
            <w:r>
              <w:rPr>
                <w:b/>
                <w:i/>
                <w:iCs/>
                <w:sz w:val="22"/>
                <w:szCs w:val="22"/>
              </w:rPr>
              <w:t>EI</w:t>
            </w:r>
            <w:r>
              <w:rPr>
                <w:b/>
                <w:i/>
                <w:iCs/>
                <w:sz w:val="22"/>
                <w:szCs w:val="22"/>
                <w:vertAlign w:val="subscript"/>
              </w:rPr>
              <w:t>2</w:t>
            </w:r>
            <w:r>
              <w:rPr>
                <w:b/>
                <w:i/>
                <w:iCs/>
                <w:sz w:val="22"/>
                <w:szCs w:val="22"/>
              </w:rPr>
              <w:t>60-C5S</w:t>
            </w:r>
            <w:r>
              <w:rPr>
                <w:b/>
                <w:bCs/>
                <w:i/>
                <w:iCs/>
                <w:sz w:val="22"/>
                <w:szCs w:val="22"/>
                <w:vertAlign w:val="subscript"/>
              </w:rPr>
              <w:t>200</w:t>
            </w:r>
          </w:p>
          <w:p w14:paraId="58C13C21" w14:textId="77777777" w:rsidR="001C08A5" w:rsidRDefault="00000000">
            <w:pPr>
              <w:ind w:firstLine="720"/>
              <w:jc w:val="left"/>
              <w:rPr>
                <w:b/>
                <w:bCs/>
                <w:i/>
                <w:iCs/>
                <w:sz w:val="22"/>
                <w:szCs w:val="22"/>
                <w:vertAlign w:val="subscript"/>
              </w:rPr>
            </w:pPr>
            <w:r>
              <w:rPr>
                <w:b/>
                <w:bCs/>
                <w:i/>
                <w:iCs/>
                <w:sz w:val="22"/>
                <w:szCs w:val="22"/>
              </w:rPr>
              <w:t>B</w:t>
            </w:r>
            <w:r>
              <w:rPr>
                <w:i/>
                <w:iCs/>
                <w:sz w:val="22"/>
                <w:szCs w:val="22"/>
              </w:rPr>
              <w:t xml:space="preserve"> - uși </w:t>
            </w:r>
            <w:r>
              <w:rPr>
                <w:b/>
                <w:i/>
                <w:iCs/>
                <w:sz w:val="22"/>
                <w:szCs w:val="22"/>
              </w:rPr>
              <w:t>EI</w:t>
            </w:r>
            <w:r>
              <w:rPr>
                <w:b/>
                <w:i/>
                <w:iCs/>
                <w:sz w:val="22"/>
                <w:szCs w:val="22"/>
                <w:vertAlign w:val="subscript"/>
              </w:rPr>
              <w:t xml:space="preserve">2 </w:t>
            </w:r>
            <w:r>
              <w:rPr>
                <w:b/>
                <w:i/>
                <w:iCs/>
                <w:sz w:val="22"/>
                <w:szCs w:val="22"/>
              </w:rPr>
              <w:t>120-C5S</w:t>
            </w:r>
            <w:r>
              <w:rPr>
                <w:b/>
                <w:bCs/>
                <w:i/>
                <w:iCs/>
                <w:sz w:val="22"/>
                <w:szCs w:val="22"/>
                <w:vertAlign w:val="subscript"/>
              </w:rPr>
              <w:t>200</w:t>
            </w:r>
          </w:p>
          <w:p w14:paraId="082C9668" w14:textId="77777777" w:rsidR="001C08A5" w:rsidRDefault="00000000">
            <w:pPr>
              <w:pStyle w:val="Default"/>
              <w:jc w:val="left"/>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 xml:space="preserve">Pentru înălțimea </w:t>
            </w:r>
            <w:r>
              <w:rPr>
                <w:rFonts w:ascii="Times New Roman" w:hAnsi="Times New Roman" w:cs="Times New Roman"/>
                <w:b/>
                <w:bCs/>
                <w:i/>
                <w:iCs/>
                <w:color w:val="auto"/>
                <w:sz w:val="22"/>
                <w:szCs w:val="22"/>
                <w:lang w:val="ro-RO"/>
              </w:rPr>
              <w:t>mai mică de 75 m</w:t>
            </w:r>
            <w:r>
              <w:rPr>
                <w:rFonts w:ascii="Times New Roman" w:hAnsi="Times New Roman" w:cs="Times New Roman"/>
                <w:i/>
                <w:iCs/>
                <w:color w:val="auto"/>
                <w:sz w:val="22"/>
                <w:szCs w:val="22"/>
                <w:lang w:val="ro-RO"/>
              </w:rPr>
              <w:t xml:space="preserve"> (recomandabil) în partea subterană vor îndeplini următoarele condiții:</w:t>
            </w:r>
          </w:p>
          <w:p w14:paraId="3192D425" w14:textId="77777777" w:rsidR="001C08A5" w:rsidRDefault="00000000">
            <w:pPr>
              <w:pStyle w:val="Default"/>
              <w:ind w:firstLine="720"/>
              <w:jc w:val="left"/>
              <w:rPr>
                <w:rFonts w:ascii="Times New Roman" w:hAnsi="Times New Roman" w:cs="Times New Roman"/>
                <w:b/>
                <w:i/>
                <w:iCs/>
                <w:color w:val="auto"/>
                <w:sz w:val="22"/>
                <w:szCs w:val="22"/>
                <w:lang w:val="ro-RO"/>
              </w:rPr>
            </w:pPr>
            <w:r>
              <w:rPr>
                <w:rFonts w:ascii="Times New Roman" w:hAnsi="Times New Roman" w:cs="Times New Roman"/>
                <w:b/>
                <w:bCs/>
                <w:i/>
                <w:iCs/>
                <w:color w:val="auto"/>
                <w:sz w:val="22"/>
                <w:szCs w:val="22"/>
                <w:lang w:val="ro-RO"/>
              </w:rPr>
              <w:t>D</w:t>
            </w:r>
            <w:r>
              <w:rPr>
                <w:rFonts w:ascii="Times New Roman" w:hAnsi="Times New Roman" w:cs="Times New Roman"/>
                <w:i/>
                <w:iCs/>
                <w:color w:val="auto"/>
                <w:sz w:val="22"/>
                <w:szCs w:val="22"/>
                <w:lang w:val="ro-RO"/>
              </w:rPr>
              <w:t xml:space="preserve"> - uși </w:t>
            </w:r>
            <w:r>
              <w:rPr>
                <w:rFonts w:ascii="Times New Roman" w:hAnsi="Times New Roman" w:cs="Times New Roman"/>
                <w:b/>
                <w:i/>
                <w:iCs/>
                <w:color w:val="auto"/>
                <w:sz w:val="22"/>
                <w:szCs w:val="22"/>
              </w:rPr>
              <w:t xml:space="preserve">EI </w:t>
            </w:r>
            <w:r>
              <w:rPr>
                <w:rFonts w:ascii="Times New Roman" w:hAnsi="Times New Roman" w:cs="Times New Roman"/>
                <w:b/>
                <w:i/>
                <w:iCs/>
                <w:color w:val="auto"/>
                <w:sz w:val="22"/>
                <w:szCs w:val="22"/>
                <w:lang w:val="ro-RO"/>
              </w:rPr>
              <w:t>12</w:t>
            </w:r>
            <w:r>
              <w:rPr>
                <w:rFonts w:ascii="Times New Roman" w:hAnsi="Times New Roman" w:cs="Times New Roman"/>
                <w:b/>
                <w:i/>
                <w:iCs/>
                <w:color w:val="auto"/>
                <w:sz w:val="22"/>
                <w:szCs w:val="22"/>
              </w:rPr>
              <w:t>0</w:t>
            </w:r>
          </w:p>
          <w:p w14:paraId="68E16A67" w14:textId="77777777" w:rsidR="001C08A5" w:rsidRDefault="00000000">
            <w:pPr>
              <w:ind w:firstLine="720"/>
              <w:jc w:val="left"/>
              <w:rPr>
                <w:b/>
                <w:bCs/>
                <w:i/>
                <w:iCs/>
                <w:sz w:val="22"/>
                <w:szCs w:val="22"/>
                <w:vertAlign w:val="subscript"/>
              </w:rPr>
            </w:pPr>
            <w:r>
              <w:rPr>
                <w:b/>
                <w:bCs/>
                <w:i/>
                <w:iCs/>
                <w:sz w:val="22"/>
                <w:szCs w:val="22"/>
              </w:rPr>
              <w:t>A</w:t>
            </w:r>
            <w:r>
              <w:rPr>
                <w:i/>
                <w:iCs/>
                <w:sz w:val="22"/>
                <w:szCs w:val="22"/>
              </w:rPr>
              <w:t xml:space="preserve"> - uși </w:t>
            </w:r>
            <w:r>
              <w:rPr>
                <w:b/>
                <w:i/>
                <w:iCs/>
                <w:sz w:val="22"/>
                <w:szCs w:val="22"/>
              </w:rPr>
              <w:t>EI</w:t>
            </w:r>
            <w:r>
              <w:rPr>
                <w:b/>
                <w:i/>
                <w:iCs/>
                <w:sz w:val="22"/>
                <w:szCs w:val="22"/>
                <w:vertAlign w:val="subscript"/>
              </w:rPr>
              <w:t>2</w:t>
            </w:r>
            <w:r>
              <w:rPr>
                <w:b/>
                <w:i/>
                <w:iCs/>
                <w:sz w:val="22"/>
                <w:szCs w:val="22"/>
              </w:rPr>
              <w:t>90-C5S</w:t>
            </w:r>
            <w:r>
              <w:rPr>
                <w:b/>
                <w:bCs/>
                <w:i/>
                <w:iCs/>
                <w:sz w:val="22"/>
                <w:szCs w:val="22"/>
                <w:vertAlign w:val="subscript"/>
              </w:rPr>
              <w:t>200</w:t>
            </w:r>
          </w:p>
          <w:p w14:paraId="2ABBDEE4" w14:textId="77777777" w:rsidR="001C08A5" w:rsidRDefault="00000000">
            <w:pPr>
              <w:ind w:firstLine="720"/>
              <w:jc w:val="left"/>
              <w:rPr>
                <w:sz w:val="24"/>
                <w:szCs w:val="24"/>
              </w:rPr>
            </w:pPr>
            <w:r>
              <w:rPr>
                <w:b/>
                <w:bCs/>
                <w:i/>
                <w:iCs/>
                <w:sz w:val="22"/>
                <w:szCs w:val="22"/>
              </w:rPr>
              <w:t>B</w:t>
            </w:r>
            <w:r>
              <w:rPr>
                <w:i/>
                <w:iCs/>
                <w:sz w:val="22"/>
                <w:szCs w:val="22"/>
              </w:rPr>
              <w:t xml:space="preserve"> - uși </w:t>
            </w:r>
            <w:r>
              <w:rPr>
                <w:b/>
                <w:i/>
                <w:iCs/>
                <w:sz w:val="22"/>
                <w:szCs w:val="22"/>
              </w:rPr>
              <w:t>EI</w:t>
            </w:r>
            <w:r>
              <w:rPr>
                <w:b/>
                <w:i/>
                <w:iCs/>
                <w:sz w:val="22"/>
                <w:szCs w:val="22"/>
                <w:vertAlign w:val="subscript"/>
              </w:rPr>
              <w:t>2</w:t>
            </w:r>
            <w:r>
              <w:rPr>
                <w:b/>
                <w:i/>
                <w:iCs/>
                <w:sz w:val="22"/>
                <w:szCs w:val="22"/>
              </w:rPr>
              <w:t>120-C5S</w:t>
            </w:r>
            <w:r>
              <w:rPr>
                <w:b/>
                <w:bCs/>
                <w:i/>
                <w:iCs/>
                <w:sz w:val="22"/>
                <w:szCs w:val="22"/>
                <w:vertAlign w:val="subscript"/>
              </w:rPr>
              <w:t>200</w:t>
            </w:r>
          </w:p>
          <w:p w14:paraId="046292C5" w14:textId="77777777" w:rsidR="001C08A5" w:rsidRDefault="00000000">
            <w:pPr>
              <w:pStyle w:val="Default"/>
              <w:jc w:val="left"/>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 xml:space="preserve">Pentru înălțimea </w:t>
            </w:r>
            <w:r>
              <w:rPr>
                <w:rFonts w:ascii="Times New Roman" w:hAnsi="Times New Roman" w:cs="Times New Roman"/>
                <w:b/>
                <w:bCs/>
                <w:i/>
                <w:iCs/>
                <w:color w:val="auto"/>
                <w:sz w:val="22"/>
                <w:szCs w:val="22"/>
                <w:lang w:val="ro-RO"/>
              </w:rPr>
              <w:t>mai mare sau egală de 75 m(obligatoriu)</w:t>
            </w:r>
            <w:r>
              <w:rPr>
                <w:rFonts w:ascii="Times New Roman" w:hAnsi="Times New Roman" w:cs="Times New Roman"/>
                <w:i/>
                <w:iCs/>
                <w:color w:val="auto"/>
                <w:sz w:val="22"/>
                <w:szCs w:val="22"/>
                <w:lang w:val="ro-RO"/>
              </w:rPr>
              <w:t xml:space="preserve"> în partea supraterană vor îndeplini următoarele condiții:</w:t>
            </w:r>
          </w:p>
          <w:p w14:paraId="54A53D0C" w14:textId="77777777" w:rsidR="001C08A5" w:rsidRDefault="00000000">
            <w:pPr>
              <w:pStyle w:val="Default"/>
              <w:ind w:firstLine="720"/>
              <w:jc w:val="left"/>
              <w:rPr>
                <w:rFonts w:ascii="Times New Roman" w:hAnsi="Times New Roman" w:cs="Times New Roman"/>
                <w:b/>
                <w:i/>
                <w:iCs/>
                <w:color w:val="auto"/>
                <w:sz w:val="22"/>
                <w:szCs w:val="22"/>
                <w:lang w:val="ro-RO"/>
              </w:rPr>
            </w:pPr>
            <w:r>
              <w:rPr>
                <w:rFonts w:ascii="Times New Roman" w:hAnsi="Times New Roman" w:cs="Times New Roman"/>
                <w:b/>
                <w:bCs/>
                <w:i/>
                <w:iCs/>
                <w:color w:val="auto"/>
                <w:sz w:val="22"/>
                <w:szCs w:val="22"/>
                <w:lang w:val="ro-RO"/>
              </w:rPr>
              <w:t>D</w:t>
            </w:r>
            <w:r>
              <w:rPr>
                <w:rFonts w:ascii="Times New Roman" w:hAnsi="Times New Roman" w:cs="Times New Roman"/>
                <w:i/>
                <w:iCs/>
                <w:color w:val="auto"/>
                <w:sz w:val="22"/>
                <w:szCs w:val="22"/>
                <w:lang w:val="ro-RO"/>
              </w:rPr>
              <w:t xml:space="preserve"> - uși </w:t>
            </w:r>
            <w:r>
              <w:rPr>
                <w:rFonts w:ascii="Times New Roman" w:hAnsi="Times New Roman" w:cs="Times New Roman"/>
                <w:b/>
                <w:i/>
                <w:iCs/>
                <w:color w:val="auto"/>
                <w:sz w:val="22"/>
                <w:szCs w:val="22"/>
              </w:rPr>
              <w:t>EI</w:t>
            </w:r>
            <w:r>
              <w:rPr>
                <w:rFonts w:ascii="Times New Roman" w:hAnsi="Times New Roman" w:cs="Times New Roman"/>
                <w:b/>
                <w:i/>
                <w:iCs/>
                <w:color w:val="auto"/>
                <w:sz w:val="22"/>
                <w:szCs w:val="22"/>
                <w:lang w:val="ro-RO"/>
              </w:rPr>
              <w:t>120</w:t>
            </w:r>
          </w:p>
          <w:p w14:paraId="6223D903" w14:textId="77777777" w:rsidR="001C08A5" w:rsidRDefault="00000000">
            <w:pPr>
              <w:ind w:firstLine="720"/>
              <w:jc w:val="left"/>
              <w:rPr>
                <w:b/>
                <w:bCs/>
                <w:i/>
                <w:iCs/>
                <w:sz w:val="22"/>
                <w:szCs w:val="22"/>
                <w:vertAlign w:val="subscript"/>
              </w:rPr>
            </w:pPr>
            <w:r>
              <w:rPr>
                <w:b/>
                <w:bCs/>
                <w:i/>
                <w:iCs/>
                <w:sz w:val="22"/>
                <w:szCs w:val="22"/>
              </w:rPr>
              <w:t>A</w:t>
            </w:r>
            <w:r>
              <w:rPr>
                <w:i/>
                <w:iCs/>
                <w:sz w:val="22"/>
                <w:szCs w:val="22"/>
              </w:rPr>
              <w:t xml:space="preserve"> - uși </w:t>
            </w:r>
            <w:r>
              <w:rPr>
                <w:b/>
                <w:i/>
                <w:iCs/>
                <w:sz w:val="22"/>
                <w:szCs w:val="22"/>
              </w:rPr>
              <w:t>EI</w:t>
            </w:r>
            <w:r>
              <w:rPr>
                <w:b/>
                <w:i/>
                <w:iCs/>
                <w:sz w:val="22"/>
                <w:szCs w:val="22"/>
                <w:vertAlign w:val="subscript"/>
              </w:rPr>
              <w:t>2</w:t>
            </w:r>
            <w:r>
              <w:rPr>
                <w:b/>
                <w:i/>
                <w:iCs/>
                <w:sz w:val="22"/>
                <w:szCs w:val="22"/>
              </w:rPr>
              <w:t>90-C5S</w:t>
            </w:r>
            <w:r>
              <w:rPr>
                <w:b/>
                <w:bCs/>
                <w:i/>
                <w:iCs/>
                <w:sz w:val="22"/>
                <w:szCs w:val="22"/>
                <w:vertAlign w:val="subscript"/>
              </w:rPr>
              <w:t>200</w:t>
            </w:r>
          </w:p>
          <w:p w14:paraId="14493843" w14:textId="77777777" w:rsidR="001C08A5" w:rsidRDefault="00000000">
            <w:pPr>
              <w:ind w:firstLine="720"/>
              <w:jc w:val="left"/>
              <w:rPr>
                <w:b/>
                <w:bCs/>
                <w:i/>
                <w:iCs/>
                <w:sz w:val="22"/>
                <w:szCs w:val="22"/>
                <w:vertAlign w:val="subscript"/>
              </w:rPr>
            </w:pPr>
            <w:r>
              <w:rPr>
                <w:b/>
                <w:bCs/>
                <w:i/>
                <w:iCs/>
                <w:sz w:val="22"/>
                <w:szCs w:val="22"/>
              </w:rPr>
              <w:t>B</w:t>
            </w:r>
            <w:r>
              <w:rPr>
                <w:i/>
                <w:iCs/>
                <w:sz w:val="22"/>
                <w:szCs w:val="22"/>
              </w:rPr>
              <w:t xml:space="preserve"> - uși </w:t>
            </w:r>
            <w:r>
              <w:rPr>
                <w:b/>
                <w:i/>
                <w:iCs/>
                <w:sz w:val="22"/>
                <w:szCs w:val="22"/>
              </w:rPr>
              <w:t>EI</w:t>
            </w:r>
            <w:r>
              <w:rPr>
                <w:b/>
                <w:i/>
                <w:iCs/>
                <w:sz w:val="22"/>
                <w:szCs w:val="22"/>
                <w:vertAlign w:val="subscript"/>
              </w:rPr>
              <w:t>2</w:t>
            </w:r>
            <w:r>
              <w:rPr>
                <w:b/>
                <w:i/>
                <w:iCs/>
                <w:sz w:val="22"/>
                <w:szCs w:val="22"/>
              </w:rPr>
              <w:t>120-C5S</w:t>
            </w:r>
            <w:r>
              <w:rPr>
                <w:b/>
                <w:bCs/>
                <w:i/>
                <w:iCs/>
                <w:sz w:val="22"/>
                <w:szCs w:val="22"/>
                <w:vertAlign w:val="subscript"/>
              </w:rPr>
              <w:t>200</w:t>
            </w:r>
          </w:p>
          <w:p w14:paraId="58001298" w14:textId="77777777" w:rsidR="001C08A5" w:rsidRDefault="00000000">
            <w:pPr>
              <w:pStyle w:val="Default"/>
              <w:jc w:val="left"/>
              <w:rPr>
                <w:rFonts w:ascii="Times New Roman" w:hAnsi="Times New Roman" w:cs="Times New Roman"/>
                <w:i/>
                <w:iCs/>
                <w:color w:val="auto"/>
                <w:sz w:val="22"/>
                <w:szCs w:val="22"/>
                <w:lang w:val="ro-RO"/>
              </w:rPr>
            </w:pPr>
            <w:r>
              <w:rPr>
                <w:rFonts w:ascii="Times New Roman" w:hAnsi="Times New Roman" w:cs="Times New Roman"/>
                <w:i/>
                <w:iCs/>
                <w:color w:val="auto"/>
                <w:sz w:val="22"/>
                <w:szCs w:val="22"/>
                <w:lang w:val="ro-RO"/>
              </w:rPr>
              <w:t xml:space="preserve">Pentru înălțimea </w:t>
            </w:r>
            <w:r>
              <w:rPr>
                <w:rFonts w:ascii="Times New Roman" w:hAnsi="Times New Roman" w:cs="Times New Roman"/>
                <w:b/>
                <w:bCs/>
                <w:i/>
                <w:iCs/>
                <w:color w:val="auto"/>
                <w:sz w:val="22"/>
                <w:szCs w:val="22"/>
                <w:lang w:val="ro-RO"/>
              </w:rPr>
              <w:t>mai mare sau egală de 75 m(obligatoriu)</w:t>
            </w:r>
            <w:r>
              <w:rPr>
                <w:rFonts w:ascii="Times New Roman" w:hAnsi="Times New Roman" w:cs="Times New Roman"/>
                <w:i/>
                <w:iCs/>
                <w:color w:val="auto"/>
                <w:sz w:val="22"/>
                <w:szCs w:val="22"/>
                <w:lang w:val="ro-RO"/>
              </w:rPr>
              <w:t xml:space="preserve"> în parteasubterană vor îndeplini următoarele condiții:</w:t>
            </w:r>
          </w:p>
          <w:p w14:paraId="15D62A29" w14:textId="77777777" w:rsidR="001C08A5" w:rsidRDefault="00000000">
            <w:pPr>
              <w:pStyle w:val="Default"/>
              <w:ind w:firstLine="720"/>
              <w:jc w:val="left"/>
              <w:rPr>
                <w:rFonts w:ascii="Times New Roman" w:hAnsi="Times New Roman" w:cs="Times New Roman"/>
                <w:b/>
                <w:i/>
                <w:iCs/>
                <w:color w:val="auto"/>
                <w:sz w:val="22"/>
                <w:szCs w:val="22"/>
                <w:lang w:val="ro-RO"/>
              </w:rPr>
            </w:pPr>
            <w:r>
              <w:rPr>
                <w:rFonts w:ascii="Times New Roman" w:hAnsi="Times New Roman" w:cs="Times New Roman"/>
                <w:b/>
                <w:bCs/>
                <w:i/>
                <w:iCs/>
                <w:color w:val="auto"/>
                <w:sz w:val="22"/>
                <w:szCs w:val="22"/>
                <w:lang w:val="ro-RO"/>
              </w:rPr>
              <w:t>D</w:t>
            </w:r>
            <w:r>
              <w:rPr>
                <w:rFonts w:ascii="Times New Roman" w:hAnsi="Times New Roman" w:cs="Times New Roman"/>
                <w:i/>
                <w:iCs/>
                <w:color w:val="auto"/>
                <w:sz w:val="22"/>
                <w:szCs w:val="22"/>
                <w:lang w:val="ro-RO"/>
              </w:rPr>
              <w:t xml:space="preserve"> - uși </w:t>
            </w:r>
            <w:r>
              <w:rPr>
                <w:rFonts w:ascii="Times New Roman" w:hAnsi="Times New Roman" w:cs="Times New Roman"/>
                <w:b/>
                <w:i/>
                <w:iCs/>
                <w:color w:val="auto"/>
                <w:sz w:val="22"/>
                <w:szCs w:val="22"/>
              </w:rPr>
              <w:t xml:space="preserve">EI </w:t>
            </w:r>
            <w:r>
              <w:rPr>
                <w:rFonts w:ascii="Times New Roman" w:hAnsi="Times New Roman" w:cs="Times New Roman"/>
                <w:b/>
                <w:i/>
                <w:iCs/>
                <w:color w:val="auto"/>
                <w:sz w:val="22"/>
                <w:szCs w:val="22"/>
                <w:lang w:val="ro-RO"/>
              </w:rPr>
              <w:t>12</w:t>
            </w:r>
            <w:r>
              <w:rPr>
                <w:rFonts w:ascii="Times New Roman" w:hAnsi="Times New Roman" w:cs="Times New Roman"/>
                <w:b/>
                <w:i/>
                <w:iCs/>
                <w:color w:val="auto"/>
                <w:sz w:val="22"/>
                <w:szCs w:val="22"/>
              </w:rPr>
              <w:t>0</w:t>
            </w:r>
          </w:p>
          <w:p w14:paraId="541C31AC" w14:textId="77777777" w:rsidR="001C08A5" w:rsidRDefault="00000000">
            <w:pPr>
              <w:ind w:firstLine="720"/>
              <w:jc w:val="left"/>
              <w:rPr>
                <w:b/>
                <w:bCs/>
                <w:i/>
                <w:iCs/>
                <w:sz w:val="22"/>
                <w:szCs w:val="22"/>
                <w:vertAlign w:val="subscript"/>
              </w:rPr>
            </w:pPr>
            <w:r>
              <w:rPr>
                <w:b/>
                <w:bCs/>
                <w:i/>
                <w:iCs/>
                <w:sz w:val="22"/>
                <w:szCs w:val="22"/>
              </w:rPr>
              <w:t>A</w:t>
            </w:r>
            <w:r>
              <w:rPr>
                <w:i/>
                <w:iCs/>
                <w:sz w:val="22"/>
                <w:szCs w:val="22"/>
              </w:rPr>
              <w:t xml:space="preserve"> - uși </w:t>
            </w:r>
            <w:r>
              <w:rPr>
                <w:b/>
                <w:i/>
                <w:iCs/>
                <w:sz w:val="22"/>
                <w:szCs w:val="22"/>
              </w:rPr>
              <w:t>EI</w:t>
            </w:r>
            <w:r>
              <w:rPr>
                <w:b/>
                <w:i/>
                <w:iCs/>
                <w:sz w:val="22"/>
                <w:szCs w:val="22"/>
                <w:vertAlign w:val="subscript"/>
              </w:rPr>
              <w:t>2</w:t>
            </w:r>
            <w:r>
              <w:rPr>
                <w:b/>
                <w:i/>
                <w:iCs/>
                <w:sz w:val="22"/>
                <w:szCs w:val="22"/>
              </w:rPr>
              <w:t>120-C5S</w:t>
            </w:r>
            <w:r>
              <w:rPr>
                <w:b/>
                <w:bCs/>
                <w:i/>
                <w:iCs/>
                <w:sz w:val="22"/>
                <w:szCs w:val="22"/>
                <w:vertAlign w:val="subscript"/>
              </w:rPr>
              <w:t>200</w:t>
            </w:r>
          </w:p>
          <w:p w14:paraId="58AA77F6" w14:textId="77777777" w:rsidR="001C08A5" w:rsidRDefault="00000000">
            <w:pPr>
              <w:ind w:firstLine="720"/>
              <w:jc w:val="left"/>
              <w:rPr>
                <w:b/>
                <w:bCs/>
                <w:i/>
                <w:iCs/>
                <w:sz w:val="22"/>
                <w:szCs w:val="22"/>
                <w:vertAlign w:val="subscript"/>
              </w:rPr>
            </w:pPr>
            <w:r>
              <w:rPr>
                <w:b/>
                <w:bCs/>
                <w:i/>
                <w:iCs/>
                <w:sz w:val="22"/>
                <w:szCs w:val="22"/>
              </w:rPr>
              <w:t>B</w:t>
            </w:r>
            <w:r>
              <w:rPr>
                <w:i/>
                <w:iCs/>
                <w:sz w:val="22"/>
                <w:szCs w:val="22"/>
              </w:rPr>
              <w:t xml:space="preserve"> - uși </w:t>
            </w:r>
            <w:r>
              <w:rPr>
                <w:b/>
                <w:i/>
                <w:iCs/>
                <w:sz w:val="22"/>
                <w:szCs w:val="22"/>
              </w:rPr>
              <w:t>EI</w:t>
            </w:r>
            <w:r>
              <w:rPr>
                <w:b/>
                <w:i/>
                <w:iCs/>
                <w:sz w:val="22"/>
                <w:szCs w:val="22"/>
                <w:vertAlign w:val="subscript"/>
              </w:rPr>
              <w:t>2</w:t>
            </w:r>
            <w:r>
              <w:rPr>
                <w:b/>
                <w:i/>
                <w:iCs/>
                <w:sz w:val="22"/>
                <w:szCs w:val="22"/>
              </w:rPr>
              <w:t>120-C5S</w:t>
            </w:r>
            <w:r>
              <w:rPr>
                <w:b/>
                <w:bCs/>
                <w:i/>
                <w:iCs/>
                <w:sz w:val="22"/>
                <w:szCs w:val="22"/>
                <w:vertAlign w:val="subscript"/>
              </w:rPr>
              <w:t>200</w:t>
            </w:r>
          </w:p>
          <w:p w14:paraId="1EC90876" w14:textId="77777777" w:rsidR="001C08A5" w:rsidRDefault="001C08A5">
            <w:pPr>
              <w:rPr>
                <w:i/>
                <w:iCs/>
                <w:sz w:val="24"/>
                <w:szCs w:val="24"/>
              </w:rPr>
            </w:pPr>
          </w:p>
        </w:tc>
      </w:tr>
    </w:tbl>
    <w:p w14:paraId="0AA7B305" w14:textId="77777777" w:rsidR="001C08A5" w:rsidRDefault="00000000">
      <w:pPr>
        <w:pStyle w:val="Caption"/>
        <w:jc w:val="center"/>
        <w:rPr>
          <w:bCs/>
        </w:rPr>
      </w:pPr>
      <w:bookmarkStart w:id="4474" w:name="_Ref26578"/>
      <w:bookmarkStart w:id="4475" w:name="_Toc162360299"/>
      <w:r>
        <w:t xml:space="preserve">Figura </w:t>
      </w:r>
      <w:r>
        <w:fldChar w:fldCharType="begin"/>
      </w:r>
      <w:r>
        <w:instrText xml:space="preserve"> SEQ Figura \* ARABIC </w:instrText>
      </w:r>
      <w:r>
        <w:fldChar w:fldCharType="separate"/>
      </w:r>
      <w:r>
        <w:t>75</w:t>
      </w:r>
      <w:r>
        <w:fldChar w:fldCharType="end"/>
      </w:r>
      <w:bookmarkStart w:id="4476" w:name="_Toc23318"/>
      <w:bookmarkStart w:id="4477" w:name="_Toc4829"/>
      <w:bookmarkStart w:id="4478" w:name="_Toc3130"/>
      <w:bookmarkStart w:id="4479" w:name="_Toc22918"/>
      <w:bookmarkStart w:id="4480" w:name="_Toc15059"/>
      <w:bookmarkStart w:id="4481" w:name="_Toc8527"/>
      <w:bookmarkStart w:id="4482" w:name="_Toc27099"/>
      <w:bookmarkStart w:id="4483" w:name="_Toc3533"/>
      <w:bookmarkStart w:id="4484" w:name="_Toc1728"/>
      <w:bookmarkStart w:id="4485" w:name="_Toc1926"/>
      <w:bookmarkStart w:id="4486" w:name="_Toc4656"/>
      <w:bookmarkEnd w:id="4474"/>
      <w:r>
        <w:t xml:space="preserve"> - </w:t>
      </w:r>
      <w:r>
        <w:rPr>
          <w:bCs/>
        </w:rPr>
        <w:t>Ascensor dedicat intervenției (obligatoriu la clădiri cu înălțimea mai mare sau egală de 75 m) prevazut cu acces dedicat din încăperea tampon aferentă casei de scara destinată numai intervenției pompierilor</w:t>
      </w:r>
      <w:bookmarkEnd w:id="4475"/>
      <w:bookmarkEnd w:id="4476"/>
      <w:bookmarkEnd w:id="4477"/>
      <w:bookmarkEnd w:id="4478"/>
      <w:bookmarkEnd w:id="4479"/>
      <w:bookmarkEnd w:id="4480"/>
      <w:bookmarkEnd w:id="4481"/>
      <w:bookmarkEnd w:id="4482"/>
      <w:bookmarkEnd w:id="4483"/>
      <w:bookmarkEnd w:id="4484"/>
      <w:bookmarkEnd w:id="4485"/>
      <w:bookmarkEnd w:id="4486"/>
    </w:p>
    <w:p w14:paraId="5E8B6ADB" w14:textId="77777777" w:rsidR="001C08A5" w:rsidRDefault="00000000">
      <w:pPr>
        <w:pStyle w:val="Heading4"/>
      </w:pPr>
      <w:bookmarkStart w:id="4487" w:name="_Toc25812"/>
      <w:bookmarkStart w:id="4488" w:name="_Toc14136"/>
      <w:bookmarkStart w:id="4489" w:name="_Toc20570"/>
      <w:bookmarkStart w:id="4490" w:name="_Toc162355322"/>
      <w:bookmarkStart w:id="4491" w:name="_Toc29615"/>
      <w:bookmarkStart w:id="4492" w:name="_Toc11388"/>
      <w:bookmarkStart w:id="4493" w:name="_Toc7025"/>
      <w:bookmarkStart w:id="4494" w:name="_Toc10619"/>
      <w:r>
        <w:t>4.2.5. CĂI DE EVACUARE A UTILIZATORILOR ÎN CAZ DE INCENDIU</w:t>
      </w:r>
      <w:bookmarkEnd w:id="4487"/>
      <w:bookmarkEnd w:id="4488"/>
      <w:bookmarkEnd w:id="4489"/>
      <w:bookmarkEnd w:id="4490"/>
      <w:bookmarkEnd w:id="4491"/>
      <w:bookmarkEnd w:id="4492"/>
      <w:bookmarkEnd w:id="4493"/>
      <w:bookmarkEnd w:id="4494"/>
    </w:p>
    <w:p w14:paraId="258F3B90" w14:textId="77777777" w:rsidR="001C08A5" w:rsidRDefault="001C08A5">
      <w:pPr>
        <w:jc w:val="both"/>
        <w:rPr>
          <w:sz w:val="24"/>
          <w:szCs w:val="24"/>
        </w:rPr>
      </w:pPr>
    </w:p>
    <w:p w14:paraId="02ECBB4A" w14:textId="77777777" w:rsidR="001C08A5" w:rsidRDefault="00000000">
      <w:pPr>
        <w:jc w:val="both"/>
        <w:rPr>
          <w:sz w:val="24"/>
          <w:szCs w:val="24"/>
        </w:rPr>
      </w:pPr>
      <w:r>
        <w:rPr>
          <w:b/>
          <w:sz w:val="24"/>
          <w:szCs w:val="24"/>
        </w:rPr>
        <w:tab/>
        <w:t>Art. 4.2.5.1. (1)</w:t>
      </w:r>
      <w:r>
        <w:rPr>
          <w:sz w:val="24"/>
          <w:szCs w:val="24"/>
        </w:rPr>
        <w:t xml:space="preserve"> În clădirile foarte înalte este obligatorie asigurarea a minimum două căi de evacuare a utilizatorilor, distincte şi independente.</w:t>
      </w:r>
    </w:p>
    <w:p w14:paraId="4ED9AD4B" w14:textId="77777777" w:rsidR="001C08A5" w:rsidRDefault="00000000">
      <w:pPr>
        <w:jc w:val="both"/>
        <w:rPr>
          <w:sz w:val="24"/>
          <w:szCs w:val="24"/>
        </w:rPr>
      </w:pPr>
      <w:r>
        <w:rPr>
          <w:sz w:val="24"/>
          <w:szCs w:val="24"/>
        </w:rPr>
        <w:tab/>
      </w:r>
      <w:r>
        <w:rPr>
          <w:b/>
          <w:sz w:val="24"/>
          <w:szCs w:val="24"/>
        </w:rPr>
        <w:t>(2)</w:t>
      </w:r>
      <w:r>
        <w:rPr>
          <w:sz w:val="24"/>
          <w:szCs w:val="24"/>
        </w:rPr>
        <w:t xml:space="preserve"> Căile de evacuare a utilizatorilor vor respecta condiţiile de alcătuire prevăzute în normativ şi lungimile de evacuare normate.</w:t>
      </w:r>
    </w:p>
    <w:p w14:paraId="0FDA04EC" w14:textId="77777777" w:rsidR="001C08A5" w:rsidRDefault="001C08A5">
      <w:pPr>
        <w:jc w:val="both"/>
        <w:rPr>
          <w:sz w:val="24"/>
          <w:szCs w:val="24"/>
        </w:rPr>
      </w:pPr>
    </w:p>
    <w:p w14:paraId="39FB80B7" w14:textId="77777777" w:rsidR="001C08A5" w:rsidRDefault="00000000">
      <w:pPr>
        <w:jc w:val="both"/>
        <w:rPr>
          <w:sz w:val="24"/>
          <w:szCs w:val="24"/>
        </w:rPr>
      </w:pPr>
      <w:r>
        <w:rPr>
          <w:b/>
          <w:sz w:val="24"/>
          <w:szCs w:val="24"/>
        </w:rPr>
        <w:tab/>
        <w:t>Art. 4.2.5.2.</w:t>
      </w:r>
      <w:r>
        <w:rPr>
          <w:sz w:val="24"/>
          <w:szCs w:val="24"/>
        </w:rPr>
        <w:t xml:space="preserve"> Comportarea la foc a pereţilor, uşilor și planşeelor de separare a caselor de scări închise din clădirile civile supraterane foarte înalte, trebuie să corespundă prevederilor din </w:t>
      </w:r>
      <w:r>
        <w:rPr>
          <w:b/>
          <w:bCs/>
          <w:i/>
          <w:iCs/>
          <w:sz w:val="24"/>
          <w:szCs w:val="24"/>
        </w:rPr>
        <w:fldChar w:fldCharType="begin"/>
      </w:r>
      <w:r>
        <w:rPr>
          <w:b/>
          <w:bCs/>
          <w:i/>
          <w:iCs/>
          <w:sz w:val="24"/>
          <w:szCs w:val="24"/>
        </w:rPr>
        <w:instrText xml:space="preserve"> REF _Ref19942 \h </w:instrText>
      </w:r>
      <w:r>
        <w:rPr>
          <w:b/>
          <w:bCs/>
          <w:i/>
          <w:iCs/>
          <w:sz w:val="24"/>
          <w:szCs w:val="24"/>
        </w:rPr>
      </w:r>
      <w:r>
        <w:rPr>
          <w:b/>
          <w:bCs/>
          <w:i/>
          <w:iCs/>
          <w:sz w:val="24"/>
          <w:szCs w:val="24"/>
        </w:rPr>
        <w:fldChar w:fldCharType="separate"/>
      </w:r>
      <w:r>
        <w:t>Tabelul 95</w:t>
      </w:r>
      <w:r>
        <w:rPr>
          <w:b/>
          <w:bCs/>
          <w:i/>
          <w:iCs/>
          <w:sz w:val="24"/>
          <w:szCs w:val="24"/>
        </w:rPr>
        <w:fldChar w:fldCharType="end"/>
      </w:r>
      <w:r>
        <w:rPr>
          <w:sz w:val="24"/>
          <w:szCs w:val="24"/>
        </w:rPr>
        <w:t>.</w:t>
      </w:r>
    </w:p>
    <w:p w14:paraId="0085C20E" w14:textId="77777777" w:rsidR="001C08A5" w:rsidRDefault="001C08A5">
      <w:pPr>
        <w:jc w:val="both"/>
        <w:rPr>
          <w:sz w:val="24"/>
          <w:szCs w:val="24"/>
        </w:rPr>
      </w:pPr>
    </w:p>
    <w:p w14:paraId="267230D6" w14:textId="77777777" w:rsidR="001C08A5" w:rsidRDefault="00000000">
      <w:pPr>
        <w:pStyle w:val="Captiontabel"/>
      </w:pPr>
      <w:bookmarkStart w:id="4495" w:name="_Ref19942"/>
      <w:bookmarkStart w:id="4496" w:name="_Toc162360145"/>
      <w:r>
        <w:t xml:space="preserve">Tabelul </w:t>
      </w:r>
      <w:r>
        <w:fldChar w:fldCharType="begin"/>
      </w:r>
      <w:r>
        <w:instrText xml:space="preserve"> SEQ Tabelul \* ARABIC </w:instrText>
      </w:r>
      <w:r>
        <w:fldChar w:fldCharType="separate"/>
      </w:r>
      <w:r>
        <w:t>95</w:t>
      </w:r>
      <w:r>
        <w:fldChar w:fldCharType="end"/>
      </w:r>
      <w:bookmarkStart w:id="4497" w:name="_Toc13542"/>
      <w:bookmarkStart w:id="4498" w:name="_Toc27672"/>
      <w:bookmarkStart w:id="4499" w:name="_Toc22485"/>
      <w:bookmarkStart w:id="4500" w:name="_Toc20894"/>
      <w:bookmarkStart w:id="4501" w:name="_Toc25589"/>
      <w:bookmarkStart w:id="4502" w:name="_Toc13007"/>
      <w:bookmarkStart w:id="4503" w:name="_Toc7809"/>
      <w:bookmarkStart w:id="4504" w:name="_Toc15110"/>
      <w:bookmarkStart w:id="4505" w:name="_Toc11712"/>
      <w:bookmarkStart w:id="4506" w:name="_Toc31060"/>
      <w:bookmarkStart w:id="4507" w:name="_Toc14041"/>
      <w:bookmarkStart w:id="4508" w:name="_Toc9354"/>
      <w:bookmarkStart w:id="4509" w:name="_Toc13409"/>
      <w:bookmarkStart w:id="4510" w:name="_Toc10827"/>
      <w:bookmarkStart w:id="4511" w:name="_Toc30359"/>
      <w:bookmarkStart w:id="4512" w:name="_Toc13762"/>
      <w:bookmarkStart w:id="4513" w:name="_Toc14306"/>
      <w:bookmarkStart w:id="4514" w:name="_Toc26286"/>
      <w:bookmarkStart w:id="4515" w:name="_Toc22601"/>
      <w:bookmarkEnd w:id="4495"/>
      <w:r>
        <w:t>: Comportare la foc a pereţilor, uşilor și planşeelor de separare a caselor de scări închise din clădirile civile supraterane foarte înalte</w:t>
      </w:r>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p>
    <w:p w14:paraId="05C8397E" w14:textId="77777777" w:rsidR="001C08A5" w:rsidRDefault="001C08A5">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6"/>
        <w:gridCol w:w="1345"/>
        <w:gridCol w:w="1966"/>
        <w:gridCol w:w="1356"/>
        <w:gridCol w:w="1830"/>
        <w:gridCol w:w="1766"/>
      </w:tblGrid>
      <w:tr w:rsidR="001C08A5" w14:paraId="1D44C483" w14:textId="77777777">
        <w:tc>
          <w:tcPr>
            <w:tcW w:w="1368" w:type="dxa"/>
            <w:vMerge w:val="restart"/>
            <w:shd w:val="clear" w:color="auto" w:fill="BFBFBF"/>
          </w:tcPr>
          <w:p w14:paraId="6D525B25" w14:textId="77777777" w:rsidR="001C08A5" w:rsidRDefault="00000000">
            <w:pPr>
              <w:jc w:val="center"/>
              <w:rPr>
                <w:b/>
                <w:i/>
                <w:iCs/>
                <w:sz w:val="22"/>
                <w:szCs w:val="22"/>
              </w:rPr>
            </w:pPr>
            <w:r>
              <w:rPr>
                <w:b/>
                <w:i/>
                <w:iCs/>
                <w:sz w:val="22"/>
                <w:szCs w:val="22"/>
              </w:rPr>
              <w:t>Nivel de stabilitate</w:t>
            </w:r>
          </w:p>
          <w:p w14:paraId="0B7F7DC3" w14:textId="77777777" w:rsidR="001C08A5" w:rsidRDefault="00000000">
            <w:pPr>
              <w:jc w:val="center"/>
              <w:rPr>
                <w:i/>
                <w:iCs/>
                <w:sz w:val="22"/>
                <w:szCs w:val="22"/>
              </w:rPr>
            </w:pPr>
            <w:r>
              <w:rPr>
                <w:b/>
                <w:bCs/>
                <w:i/>
                <w:iCs/>
                <w:sz w:val="22"/>
                <w:szCs w:val="22"/>
              </w:rPr>
              <w:t>la incendiu</w:t>
            </w:r>
          </w:p>
        </w:tc>
        <w:tc>
          <w:tcPr>
            <w:tcW w:w="8311" w:type="dxa"/>
            <w:gridSpan w:val="5"/>
            <w:shd w:val="clear" w:color="auto" w:fill="BFBFBF"/>
          </w:tcPr>
          <w:p w14:paraId="35085F82" w14:textId="77777777" w:rsidR="001C08A5" w:rsidRDefault="00000000">
            <w:pPr>
              <w:jc w:val="center"/>
              <w:rPr>
                <w:i/>
                <w:iCs/>
                <w:sz w:val="22"/>
                <w:szCs w:val="22"/>
              </w:rPr>
            </w:pPr>
            <w:r>
              <w:rPr>
                <w:b/>
                <w:bCs/>
                <w:i/>
                <w:iCs/>
                <w:sz w:val="22"/>
                <w:szCs w:val="22"/>
              </w:rPr>
              <w:t>Niveluri de comportare la foc admise la case de scări închise</w:t>
            </w:r>
          </w:p>
        </w:tc>
      </w:tr>
      <w:tr w:rsidR="001C08A5" w14:paraId="61104229" w14:textId="77777777">
        <w:tc>
          <w:tcPr>
            <w:tcW w:w="1368" w:type="dxa"/>
            <w:vMerge/>
            <w:shd w:val="clear" w:color="auto" w:fill="BFBFBF"/>
          </w:tcPr>
          <w:p w14:paraId="72339799" w14:textId="77777777" w:rsidR="001C08A5" w:rsidRDefault="001C08A5">
            <w:pPr>
              <w:jc w:val="center"/>
              <w:rPr>
                <w:i/>
                <w:iCs/>
                <w:sz w:val="22"/>
                <w:szCs w:val="22"/>
              </w:rPr>
            </w:pPr>
          </w:p>
        </w:tc>
        <w:tc>
          <w:tcPr>
            <w:tcW w:w="3330" w:type="dxa"/>
            <w:gridSpan w:val="2"/>
            <w:shd w:val="clear" w:color="auto" w:fill="BFBFBF"/>
          </w:tcPr>
          <w:p w14:paraId="404BC9C2" w14:textId="77777777" w:rsidR="001C08A5" w:rsidRDefault="00000000">
            <w:pPr>
              <w:jc w:val="center"/>
              <w:rPr>
                <w:i/>
                <w:iCs/>
                <w:sz w:val="22"/>
                <w:szCs w:val="22"/>
              </w:rPr>
            </w:pPr>
            <w:r>
              <w:rPr>
                <w:b/>
                <w:bCs/>
                <w:i/>
                <w:iCs/>
                <w:sz w:val="22"/>
                <w:szCs w:val="22"/>
              </w:rPr>
              <w:t>Pereţi</w:t>
            </w:r>
          </w:p>
        </w:tc>
        <w:tc>
          <w:tcPr>
            <w:tcW w:w="3207" w:type="dxa"/>
            <w:gridSpan w:val="2"/>
            <w:shd w:val="clear" w:color="auto" w:fill="BFBFBF"/>
          </w:tcPr>
          <w:p w14:paraId="3687F703" w14:textId="77777777" w:rsidR="001C08A5" w:rsidRDefault="00000000">
            <w:pPr>
              <w:jc w:val="center"/>
              <w:rPr>
                <w:i/>
                <w:iCs/>
                <w:sz w:val="22"/>
                <w:szCs w:val="22"/>
              </w:rPr>
            </w:pPr>
            <w:r>
              <w:rPr>
                <w:b/>
                <w:bCs/>
                <w:i/>
                <w:iCs/>
                <w:sz w:val="22"/>
                <w:szCs w:val="22"/>
              </w:rPr>
              <w:t xml:space="preserve">Planşee </w:t>
            </w:r>
            <w:r>
              <w:rPr>
                <w:bCs/>
                <w:i/>
                <w:iCs/>
                <w:sz w:val="22"/>
                <w:szCs w:val="22"/>
              </w:rPr>
              <w:t>(</w:t>
            </w:r>
            <w:r>
              <w:rPr>
                <w:i/>
                <w:iCs/>
                <w:sz w:val="22"/>
                <w:szCs w:val="22"/>
              </w:rPr>
              <w:t xml:space="preserve">care separă faţă de restul construcţiei </w:t>
            </w:r>
            <w:r>
              <w:rPr>
                <w:bCs/>
                <w:i/>
                <w:iCs/>
                <w:sz w:val="22"/>
                <w:szCs w:val="22"/>
              </w:rPr>
              <w:t>casele de scări închise)</w:t>
            </w:r>
          </w:p>
        </w:tc>
        <w:tc>
          <w:tcPr>
            <w:tcW w:w="1774" w:type="dxa"/>
            <w:shd w:val="clear" w:color="auto" w:fill="BFBFBF"/>
          </w:tcPr>
          <w:p w14:paraId="191BF846" w14:textId="77777777" w:rsidR="001C08A5" w:rsidRDefault="00000000">
            <w:pPr>
              <w:jc w:val="center"/>
              <w:rPr>
                <w:b/>
                <w:bCs/>
                <w:i/>
                <w:iCs/>
                <w:sz w:val="22"/>
                <w:szCs w:val="22"/>
              </w:rPr>
            </w:pPr>
            <w:r>
              <w:rPr>
                <w:b/>
                <w:bCs/>
                <w:i/>
                <w:iCs/>
                <w:sz w:val="22"/>
                <w:szCs w:val="22"/>
              </w:rPr>
              <w:t>Uşi</w:t>
            </w:r>
          </w:p>
        </w:tc>
      </w:tr>
      <w:tr w:rsidR="001C08A5" w14:paraId="0F42F55C" w14:textId="77777777">
        <w:tc>
          <w:tcPr>
            <w:tcW w:w="1368" w:type="dxa"/>
          </w:tcPr>
          <w:p w14:paraId="47C70998" w14:textId="77777777" w:rsidR="001C08A5" w:rsidRDefault="00000000">
            <w:pPr>
              <w:jc w:val="center"/>
              <w:rPr>
                <w:b/>
                <w:i/>
                <w:iCs/>
                <w:sz w:val="22"/>
                <w:szCs w:val="22"/>
              </w:rPr>
            </w:pPr>
            <w:r>
              <w:rPr>
                <w:b/>
                <w:i/>
                <w:iCs/>
                <w:sz w:val="22"/>
                <w:szCs w:val="22"/>
              </w:rPr>
              <w:t>I</w:t>
            </w:r>
          </w:p>
        </w:tc>
        <w:tc>
          <w:tcPr>
            <w:tcW w:w="1350" w:type="dxa"/>
          </w:tcPr>
          <w:p w14:paraId="39C7D8DF" w14:textId="77777777" w:rsidR="001C08A5" w:rsidRDefault="00000000">
            <w:pPr>
              <w:jc w:val="center"/>
              <w:rPr>
                <w:b/>
                <w:i/>
                <w:iCs/>
                <w:sz w:val="22"/>
                <w:szCs w:val="22"/>
              </w:rPr>
            </w:pPr>
            <w:r>
              <w:rPr>
                <w:b/>
                <w:i/>
                <w:iCs/>
                <w:sz w:val="22"/>
                <w:szCs w:val="22"/>
              </w:rPr>
              <w:t xml:space="preserve">EI/REI 180 </w:t>
            </w:r>
          </w:p>
        </w:tc>
        <w:tc>
          <w:tcPr>
            <w:tcW w:w="1980" w:type="dxa"/>
          </w:tcPr>
          <w:p w14:paraId="42D7B5E2" w14:textId="77777777" w:rsidR="001C08A5" w:rsidRDefault="00000000">
            <w:pPr>
              <w:jc w:val="center"/>
              <w:rPr>
                <w:i/>
                <w:iCs/>
                <w:sz w:val="22"/>
                <w:szCs w:val="22"/>
              </w:rPr>
            </w:pPr>
            <w:r>
              <w:rPr>
                <w:b/>
                <w:i/>
                <w:iCs/>
                <w:sz w:val="22"/>
                <w:szCs w:val="22"/>
              </w:rPr>
              <w:t>A1</w:t>
            </w:r>
            <w:r>
              <w:rPr>
                <w:bCs/>
                <w:i/>
                <w:iCs/>
                <w:sz w:val="22"/>
                <w:szCs w:val="22"/>
              </w:rPr>
              <w:t xml:space="preserve"> sau </w:t>
            </w:r>
            <w:r>
              <w:rPr>
                <w:b/>
                <w:i/>
                <w:iCs/>
                <w:sz w:val="22"/>
                <w:szCs w:val="22"/>
              </w:rPr>
              <w:t>A2-s1d0</w:t>
            </w:r>
          </w:p>
        </w:tc>
        <w:tc>
          <w:tcPr>
            <w:tcW w:w="1364" w:type="dxa"/>
          </w:tcPr>
          <w:p w14:paraId="686974E4" w14:textId="77777777" w:rsidR="001C08A5" w:rsidRDefault="00000000">
            <w:pPr>
              <w:jc w:val="center"/>
              <w:rPr>
                <w:b/>
                <w:i/>
                <w:iCs/>
                <w:sz w:val="22"/>
                <w:szCs w:val="22"/>
              </w:rPr>
            </w:pPr>
            <w:r>
              <w:rPr>
                <w:b/>
                <w:i/>
                <w:iCs/>
                <w:sz w:val="22"/>
                <w:szCs w:val="22"/>
              </w:rPr>
              <w:t xml:space="preserve">REI 120 </w:t>
            </w:r>
          </w:p>
        </w:tc>
        <w:tc>
          <w:tcPr>
            <w:tcW w:w="1843" w:type="dxa"/>
          </w:tcPr>
          <w:p w14:paraId="30B64E35" w14:textId="77777777" w:rsidR="001C08A5" w:rsidRDefault="00000000">
            <w:pPr>
              <w:jc w:val="center"/>
              <w:rPr>
                <w:i/>
                <w:iCs/>
                <w:sz w:val="22"/>
                <w:szCs w:val="22"/>
              </w:rPr>
            </w:pPr>
            <w:r>
              <w:rPr>
                <w:b/>
                <w:i/>
                <w:iCs/>
                <w:sz w:val="22"/>
                <w:szCs w:val="22"/>
              </w:rPr>
              <w:t>A1</w:t>
            </w:r>
            <w:r>
              <w:rPr>
                <w:bCs/>
                <w:i/>
                <w:iCs/>
                <w:sz w:val="22"/>
                <w:szCs w:val="22"/>
              </w:rPr>
              <w:t xml:space="preserve"> sau </w:t>
            </w:r>
            <w:r>
              <w:rPr>
                <w:b/>
                <w:i/>
                <w:iCs/>
                <w:sz w:val="22"/>
                <w:szCs w:val="22"/>
              </w:rPr>
              <w:t>A2-s1d0</w:t>
            </w:r>
          </w:p>
        </w:tc>
        <w:tc>
          <w:tcPr>
            <w:tcW w:w="1774" w:type="dxa"/>
          </w:tcPr>
          <w:p w14:paraId="5CE31900" w14:textId="77777777" w:rsidR="001C08A5" w:rsidRDefault="00000000">
            <w:pPr>
              <w:jc w:val="center"/>
              <w:rPr>
                <w:i/>
                <w:iCs/>
                <w:sz w:val="22"/>
                <w:szCs w:val="22"/>
              </w:rPr>
            </w:pPr>
            <w:r>
              <w:rPr>
                <w:b/>
                <w:bCs/>
                <w:i/>
                <w:iCs/>
                <w:sz w:val="22"/>
                <w:szCs w:val="22"/>
              </w:rPr>
              <w:t>2xEI</w:t>
            </w:r>
            <w:r>
              <w:rPr>
                <w:b/>
                <w:bCs/>
                <w:i/>
                <w:iCs/>
                <w:sz w:val="22"/>
                <w:szCs w:val="22"/>
                <w:vertAlign w:val="subscript"/>
              </w:rPr>
              <w:t>2</w:t>
            </w:r>
            <w:r>
              <w:rPr>
                <w:b/>
                <w:bCs/>
                <w:i/>
                <w:iCs/>
                <w:sz w:val="22"/>
                <w:szCs w:val="22"/>
              </w:rPr>
              <w:t>90-C5</w:t>
            </w:r>
            <w:r>
              <w:rPr>
                <w:b/>
                <w:i/>
                <w:iCs/>
                <w:sz w:val="22"/>
                <w:szCs w:val="22"/>
              </w:rPr>
              <w:t>S</w:t>
            </w:r>
            <w:r>
              <w:rPr>
                <w:b/>
                <w:bCs/>
                <w:i/>
                <w:iCs/>
                <w:sz w:val="22"/>
                <w:szCs w:val="22"/>
                <w:vertAlign w:val="subscript"/>
              </w:rPr>
              <w:t xml:space="preserve">200 </w:t>
            </w:r>
            <w:r>
              <w:rPr>
                <w:i/>
                <w:iCs/>
                <w:sz w:val="22"/>
                <w:szCs w:val="22"/>
              </w:rPr>
              <w:t>la încăperi tampon protejate</w:t>
            </w:r>
          </w:p>
        </w:tc>
      </w:tr>
    </w:tbl>
    <w:p w14:paraId="16CB9487" w14:textId="77777777" w:rsidR="001C08A5" w:rsidRDefault="001C08A5">
      <w:pPr>
        <w:jc w:val="both"/>
        <w:rPr>
          <w:sz w:val="24"/>
          <w:szCs w:val="24"/>
        </w:rPr>
      </w:pPr>
    </w:p>
    <w:p w14:paraId="1B0DCB2C" w14:textId="77777777" w:rsidR="001C08A5" w:rsidRDefault="00000000">
      <w:pPr>
        <w:jc w:val="both"/>
        <w:rPr>
          <w:b/>
          <w:sz w:val="24"/>
          <w:szCs w:val="24"/>
        </w:rPr>
      </w:pPr>
      <w:r>
        <w:rPr>
          <w:b/>
          <w:sz w:val="24"/>
          <w:szCs w:val="24"/>
        </w:rPr>
        <w:lastRenderedPageBreak/>
        <w:tab/>
        <w:t xml:space="preserve">Art. 4.2.5.3. </w:t>
      </w:r>
      <w:r>
        <w:rPr>
          <w:sz w:val="24"/>
          <w:szCs w:val="24"/>
        </w:rPr>
        <w:t xml:space="preserve">Comportarea la foc a pereţilor, uşilor și planşeelor de separare a căilor de evacuare orizontale (coridoare şi holuri) din clădirile civile supraterane foarte înalte, trebuie să corespundă prevederilor din </w:t>
      </w:r>
      <w:r>
        <w:rPr>
          <w:b/>
          <w:bCs/>
          <w:i/>
          <w:iCs/>
          <w:sz w:val="24"/>
          <w:szCs w:val="24"/>
        </w:rPr>
        <w:fldChar w:fldCharType="begin"/>
      </w:r>
      <w:r>
        <w:rPr>
          <w:b/>
          <w:bCs/>
          <w:i/>
          <w:iCs/>
          <w:sz w:val="24"/>
          <w:szCs w:val="24"/>
        </w:rPr>
        <w:instrText xml:space="preserve"> REF _Ref15178 \h </w:instrText>
      </w:r>
      <w:r>
        <w:rPr>
          <w:b/>
          <w:bCs/>
          <w:i/>
          <w:iCs/>
          <w:sz w:val="24"/>
          <w:szCs w:val="24"/>
        </w:rPr>
      </w:r>
      <w:r>
        <w:rPr>
          <w:b/>
          <w:bCs/>
          <w:i/>
          <w:iCs/>
          <w:sz w:val="24"/>
          <w:szCs w:val="24"/>
        </w:rPr>
        <w:fldChar w:fldCharType="separate"/>
      </w:r>
      <w:r>
        <w:t>Tabelul 96</w:t>
      </w:r>
      <w:r>
        <w:rPr>
          <w:b/>
          <w:bCs/>
          <w:i/>
          <w:iCs/>
          <w:sz w:val="24"/>
          <w:szCs w:val="24"/>
        </w:rPr>
        <w:fldChar w:fldCharType="end"/>
      </w:r>
      <w:r>
        <w:rPr>
          <w:b/>
          <w:sz w:val="24"/>
          <w:szCs w:val="24"/>
        </w:rPr>
        <w:t>.</w:t>
      </w:r>
    </w:p>
    <w:p w14:paraId="7B381F70" w14:textId="77777777" w:rsidR="001C08A5" w:rsidRDefault="001C08A5">
      <w:pPr>
        <w:jc w:val="both"/>
        <w:rPr>
          <w:b/>
          <w:sz w:val="24"/>
          <w:szCs w:val="24"/>
        </w:rPr>
      </w:pPr>
    </w:p>
    <w:p w14:paraId="331AFE54" w14:textId="77777777" w:rsidR="001C08A5" w:rsidRDefault="00000000">
      <w:pPr>
        <w:pStyle w:val="Captiontabel"/>
      </w:pPr>
      <w:bookmarkStart w:id="4516" w:name="_Ref15178"/>
      <w:bookmarkStart w:id="4517" w:name="_Toc162360146"/>
      <w:r>
        <w:t xml:space="preserve">Tabelul </w:t>
      </w:r>
      <w:r>
        <w:fldChar w:fldCharType="begin"/>
      </w:r>
      <w:r>
        <w:instrText xml:space="preserve"> SEQ Tabelul \* ARABIC </w:instrText>
      </w:r>
      <w:r>
        <w:fldChar w:fldCharType="separate"/>
      </w:r>
      <w:r>
        <w:t>96</w:t>
      </w:r>
      <w:r>
        <w:fldChar w:fldCharType="end"/>
      </w:r>
      <w:bookmarkStart w:id="4518" w:name="_Toc9209"/>
      <w:bookmarkStart w:id="4519" w:name="_Toc28067"/>
      <w:bookmarkStart w:id="4520" w:name="_Toc13295"/>
      <w:bookmarkStart w:id="4521" w:name="_Toc21962"/>
      <w:bookmarkStart w:id="4522" w:name="_Toc22197"/>
      <w:bookmarkStart w:id="4523" w:name="_Toc7866"/>
      <w:bookmarkStart w:id="4524" w:name="_Toc6853"/>
      <w:bookmarkStart w:id="4525" w:name="_Toc27114"/>
      <w:bookmarkStart w:id="4526" w:name="_Toc11076"/>
      <w:bookmarkStart w:id="4527" w:name="_Toc9086"/>
      <w:bookmarkStart w:id="4528" w:name="_Toc11958"/>
      <w:bookmarkStart w:id="4529" w:name="_Toc2533"/>
      <w:bookmarkStart w:id="4530" w:name="_Toc12115"/>
      <w:bookmarkStart w:id="4531" w:name="_Toc4459"/>
      <w:bookmarkStart w:id="4532" w:name="_Toc820"/>
      <w:bookmarkStart w:id="4533" w:name="_Toc10409"/>
      <w:bookmarkStart w:id="4534" w:name="_Toc19971"/>
      <w:bookmarkStart w:id="4535" w:name="_Toc28768"/>
      <w:bookmarkStart w:id="4536" w:name="_Toc10715"/>
      <w:bookmarkEnd w:id="4516"/>
      <w:r>
        <w:t>: Comportare la foc a pereţilor, uşilor și planşeelor de separare a căilor de evacuare orizontale (coridoare şi holuri) din clădirile civile supraterane foarte înalte</w:t>
      </w:r>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p>
    <w:p w14:paraId="2D9BB30F"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62"/>
        <w:gridCol w:w="1342"/>
        <w:gridCol w:w="1876"/>
        <w:gridCol w:w="1254"/>
        <w:gridCol w:w="1966"/>
        <w:gridCol w:w="1821"/>
      </w:tblGrid>
      <w:tr w:rsidR="001C08A5" w14:paraId="600DC7C1" w14:textId="77777777">
        <w:tc>
          <w:tcPr>
            <w:tcW w:w="1263" w:type="dxa"/>
            <w:vMerge w:val="restart"/>
            <w:shd w:val="clear" w:color="auto" w:fill="BFBFBF"/>
          </w:tcPr>
          <w:p w14:paraId="4931186C" w14:textId="77777777" w:rsidR="001C08A5" w:rsidRDefault="00000000">
            <w:pPr>
              <w:jc w:val="center"/>
              <w:rPr>
                <w:b/>
                <w:i/>
                <w:iCs/>
                <w:sz w:val="22"/>
                <w:szCs w:val="22"/>
              </w:rPr>
            </w:pPr>
            <w:r>
              <w:rPr>
                <w:b/>
                <w:i/>
                <w:iCs/>
                <w:sz w:val="22"/>
                <w:szCs w:val="22"/>
              </w:rPr>
              <w:t>Nivel de stabilitate</w:t>
            </w:r>
          </w:p>
          <w:p w14:paraId="7B82B621" w14:textId="77777777" w:rsidR="001C08A5" w:rsidRDefault="00000000">
            <w:pPr>
              <w:jc w:val="center"/>
              <w:rPr>
                <w:i/>
                <w:iCs/>
                <w:sz w:val="22"/>
                <w:szCs w:val="22"/>
              </w:rPr>
            </w:pPr>
            <w:r>
              <w:rPr>
                <w:b/>
                <w:bCs/>
                <w:i/>
                <w:iCs/>
                <w:sz w:val="22"/>
                <w:szCs w:val="22"/>
              </w:rPr>
              <w:t>la incendiu</w:t>
            </w:r>
          </w:p>
        </w:tc>
        <w:tc>
          <w:tcPr>
            <w:tcW w:w="8308" w:type="dxa"/>
            <w:gridSpan w:val="5"/>
            <w:shd w:val="clear" w:color="auto" w:fill="BFBFBF"/>
          </w:tcPr>
          <w:p w14:paraId="60921A74" w14:textId="77777777" w:rsidR="001C08A5" w:rsidRDefault="00000000">
            <w:pPr>
              <w:jc w:val="center"/>
              <w:rPr>
                <w:i/>
                <w:iCs/>
                <w:sz w:val="22"/>
                <w:szCs w:val="22"/>
              </w:rPr>
            </w:pPr>
            <w:r>
              <w:rPr>
                <w:b/>
                <w:bCs/>
                <w:i/>
                <w:iCs/>
                <w:sz w:val="22"/>
                <w:szCs w:val="22"/>
              </w:rPr>
              <w:t>Niveluri de comportare la foc admise la coridoare şi la holuri</w:t>
            </w:r>
          </w:p>
        </w:tc>
      </w:tr>
      <w:tr w:rsidR="001C08A5" w14:paraId="6F96AF6E" w14:textId="77777777">
        <w:tc>
          <w:tcPr>
            <w:tcW w:w="1263" w:type="dxa"/>
            <w:vMerge/>
            <w:shd w:val="clear" w:color="auto" w:fill="BFBFBF"/>
          </w:tcPr>
          <w:p w14:paraId="0BB51B5F" w14:textId="77777777" w:rsidR="001C08A5" w:rsidRDefault="001C08A5">
            <w:pPr>
              <w:jc w:val="center"/>
              <w:rPr>
                <w:i/>
                <w:iCs/>
                <w:sz w:val="22"/>
                <w:szCs w:val="22"/>
              </w:rPr>
            </w:pPr>
          </w:p>
        </w:tc>
        <w:tc>
          <w:tcPr>
            <w:tcW w:w="3237" w:type="dxa"/>
            <w:gridSpan w:val="2"/>
            <w:shd w:val="clear" w:color="auto" w:fill="BFBFBF"/>
          </w:tcPr>
          <w:p w14:paraId="3DE7C056" w14:textId="77777777" w:rsidR="001C08A5" w:rsidRDefault="00000000">
            <w:pPr>
              <w:jc w:val="center"/>
              <w:rPr>
                <w:i/>
                <w:iCs/>
                <w:sz w:val="22"/>
                <w:szCs w:val="22"/>
              </w:rPr>
            </w:pPr>
            <w:r>
              <w:rPr>
                <w:b/>
                <w:bCs/>
                <w:i/>
                <w:iCs/>
                <w:sz w:val="22"/>
                <w:szCs w:val="22"/>
              </w:rPr>
              <w:t>Pereţi</w:t>
            </w:r>
          </w:p>
        </w:tc>
        <w:tc>
          <w:tcPr>
            <w:tcW w:w="3240" w:type="dxa"/>
            <w:gridSpan w:val="2"/>
            <w:shd w:val="clear" w:color="auto" w:fill="BFBFBF"/>
          </w:tcPr>
          <w:p w14:paraId="7ECA7F40" w14:textId="77777777" w:rsidR="001C08A5" w:rsidRDefault="00000000">
            <w:pPr>
              <w:jc w:val="center"/>
              <w:rPr>
                <w:i/>
                <w:iCs/>
                <w:sz w:val="22"/>
                <w:szCs w:val="22"/>
              </w:rPr>
            </w:pPr>
            <w:r>
              <w:rPr>
                <w:b/>
                <w:bCs/>
                <w:i/>
                <w:iCs/>
                <w:sz w:val="22"/>
                <w:szCs w:val="22"/>
              </w:rPr>
              <w:t xml:space="preserve">Planşee </w:t>
            </w:r>
            <w:r>
              <w:rPr>
                <w:bCs/>
                <w:i/>
                <w:iCs/>
                <w:sz w:val="22"/>
                <w:szCs w:val="22"/>
              </w:rPr>
              <w:t>(</w:t>
            </w:r>
            <w:r>
              <w:rPr>
                <w:i/>
                <w:iCs/>
                <w:sz w:val="22"/>
                <w:szCs w:val="22"/>
              </w:rPr>
              <w:t xml:space="preserve">care separă faţă de restul construcţiei </w:t>
            </w:r>
            <w:r>
              <w:rPr>
                <w:bCs/>
                <w:i/>
                <w:iCs/>
                <w:sz w:val="22"/>
                <w:szCs w:val="22"/>
              </w:rPr>
              <w:t xml:space="preserve">coridoarele și holurile, inclusiv </w:t>
            </w:r>
            <w:r>
              <w:rPr>
                <w:i/>
                <w:iCs/>
                <w:sz w:val="22"/>
                <w:szCs w:val="22"/>
              </w:rPr>
              <w:t>căile lor de ieşire în exterior la nivelul terenului sau al carosabilului adiacent</w:t>
            </w:r>
            <w:r>
              <w:rPr>
                <w:bCs/>
                <w:i/>
                <w:iCs/>
                <w:sz w:val="22"/>
                <w:szCs w:val="22"/>
              </w:rPr>
              <w:t>)</w:t>
            </w:r>
          </w:p>
        </w:tc>
        <w:tc>
          <w:tcPr>
            <w:tcW w:w="1831" w:type="dxa"/>
            <w:shd w:val="clear" w:color="auto" w:fill="BFBFBF"/>
          </w:tcPr>
          <w:p w14:paraId="3980BC8D" w14:textId="77777777" w:rsidR="001C08A5" w:rsidRDefault="00000000">
            <w:pPr>
              <w:jc w:val="center"/>
              <w:rPr>
                <w:b/>
                <w:bCs/>
                <w:i/>
                <w:iCs/>
                <w:sz w:val="22"/>
                <w:szCs w:val="22"/>
              </w:rPr>
            </w:pPr>
            <w:r>
              <w:rPr>
                <w:b/>
                <w:bCs/>
                <w:i/>
                <w:iCs/>
                <w:sz w:val="22"/>
                <w:szCs w:val="22"/>
              </w:rPr>
              <w:t>Uşi</w:t>
            </w:r>
          </w:p>
          <w:p w14:paraId="1ACE4245" w14:textId="77777777" w:rsidR="001C08A5" w:rsidRDefault="00000000">
            <w:pPr>
              <w:jc w:val="center"/>
              <w:rPr>
                <w:b/>
                <w:bCs/>
                <w:i/>
                <w:iCs/>
                <w:sz w:val="22"/>
                <w:szCs w:val="22"/>
              </w:rPr>
            </w:pPr>
            <w:r>
              <w:rPr>
                <w:bCs/>
                <w:i/>
                <w:iCs/>
                <w:sz w:val="22"/>
                <w:szCs w:val="22"/>
              </w:rPr>
              <w:t>(cu exceptia celor catre case de scări închise)</w:t>
            </w:r>
          </w:p>
          <w:p w14:paraId="75D10AC2" w14:textId="77777777" w:rsidR="001C08A5" w:rsidRDefault="001C08A5">
            <w:pPr>
              <w:jc w:val="center"/>
              <w:rPr>
                <w:i/>
                <w:iCs/>
                <w:sz w:val="22"/>
                <w:szCs w:val="22"/>
              </w:rPr>
            </w:pPr>
          </w:p>
        </w:tc>
      </w:tr>
      <w:tr w:rsidR="001C08A5" w14:paraId="69C49A5F" w14:textId="77777777">
        <w:tc>
          <w:tcPr>
            <w:tcW w:w="1263" w:type="dxa"/>
          </w:tcPr>
          <w:p w14:paraId="02D51204" w14:textId="77777777" w:rsidR="001C08A5" w:rsidRDefault="00000000">
            <w:pPr>
              <w:jc w:val="center"/>
              <w:rPr>
                <w:b/>
                <w:i/>
                <w:iCs/>
                <w:sz w:val="22"/>
                <w:szCs w:val="22"/>
              </w:rPr>
            </w:pPr>
            <w:r>
              <w:rPr>
                <w:b/>
                <w:i/>
                <w:iCs/>
                <w:sz w:val="22"/>
                <w:szCs w:val="22"/>
              </w:rPr>
              <w:t>I</w:t>
            </w:r>
          </w:p>
        </w:tc>
        <w:tc>
          <w:tcPr>
            <w:tcW w:w="1347" w:type="dxa"/>
          </w:tcPr>
          <w:p w14:paraId="4320CB17" w14:textId="77777777" w:rsidR="001C08A5" w:rsidRDefault="00000000">
            <w:pPr>
              <w:jc w:val="center"/>
              <w:rPr>
                <w:b/>
                <w:i/>
                <w:iCs/>
                <w:sz w:val="22"/>
                <w:szCs w:val="22"/>
              </w:rPr>
            </w:pPr>
            <w:r>
              <w:rPr>
                <w:b/>
                <w:i/>
                <w:iCs/>
                <w:sz w:val="22"/>
                <w:szCs w:val="22"/>
              </w:rPr>
              <w:t>EI/REI 120</w:t>
            </w:r>
          </w:p>
        </w:tc>
        <w:tc>
          <w:tcPr>
            <w:tcW w:w="1890" w:type="dxa"/>
          </w:tcPr>
          <w:p w14:paraId="5C1C0E91" w14:textId="77777777" w:rsidR="001C08A5" w:rsidRDefault="00000000">
            <w:pPr>
              <w:jc w:val="center"/>
              <w:rPr>
                <w:i/>
                <w:iCs/>
                <w:sz w:val="22"/>
                <w:szCs w:val="22"/>
              </w:rPr>
            </w:pPr>
            <w:r>
              <w:rPr>
                <w:b/>
                <w:i/>
                <w:iCs/>
                <w:sz w:val="22"/>
                <w:szCs w:val="22"/>
              </w:rPr>
              <w:t>A1</w:t>
            </w:r>
            <w:r>
              <w:rPr>
                <w:bCs/>
                <w:i/>
                <w:iCs/>
                <w:sz w:val="22"/>
                <w:szCs w:val="22"/>
              </w:rPr>
              <w:t xml:space="preserve"> sau </w:t>
            </w:r>
            <w:r>
              <w:rPr>
                <w:b/>
                <w:i/>
                <w:iCs/>
                <w:sz w:val="22"/>
                <w:szCs w:val="22"/>
              </w:rPr>
              <w:t>A2-s1d0</w:t>
            </w:r>
          </w:p>
        </w:tc>
        <w:tc>
          <w:tcPr>
            <w:tcW w:w="1260" w:type="dxa"/>
          </w:tcPr>
          <w:p w14:paraId="3B67C005" w14:textId="77777777" w:rsidR="001C08A5" w:rsidRDefault="00000000">
            <w:pPr>
              <w:jc w:val="center"/>
              <w:rPr>
                <w:b/>
                <w:i/>
                <w:iCs/>
                <w:sz w:val="22"/>
                <w:szCs w:val="22"/>
              </w:rPr>
            </w:pPr>
            <w:r>
              <w:rPr>
                <w:b/>
                <w:i/>
                <w:iCs/>
                <w:sz w:val="22"/>
                <w:szCs w:val="22"/>
              </w:rPr>
              <w:t xml:space="preserve">REI 120 </w:t>
            </w:r>
          </w:p>
        </w:tc>
        <w:tc>
          <w:tcPr>
            <w:tcW w:w="1980" w:type="dxa"/>
          </w:tcPr>
          <w:p w14:paraId="163E5683" w14:textId="77777777" w:rsidR="001C08A5" w:rsidRDefault="00000000">
            <w:pPr>
              <w:jc w:val="center"/>
              <w:rPr>
                <w:i/>
                <w:iCs/>
                <w:sz w:val="22"/>
                <w:szCs w:val="22"/>
              </w:rPr>
            </w:pPr>
            <w:r>
              <w:rPr>
                <w:b/>
                <w:i/>
                <w:iCs/>
                <w:sz w:val="22"/>
                <w:szCs w:val="22"/>
              </w:rPr>
              <w:t>A1</w:t>
            </w:r>
            <w:r>
              <w:rPr>
                <w:bCs/>
                <w:i/>
                <w:iCs/>
                <w:sz w:val="22"/>
                <w:szCs w:val="22"/>
              </w:rPr>
              <w:t xml:space="preserve"> sau </w:t>
            </w:r>
            <w:r>
              <w:rPr>
                <w:b/>
                <w:i/>
                <w:iCs/>
                <w:sz w:val="22"/>
                <w:szCs w:val="22"/>
              </w:rPr>
              <w:t>A2-s1d0</w:t>
            </w:r>
          </w:p>
        </w:tc>
        <w:tc>
          <w:tcPr>
            <w:tcW w:w="1831" w:type="dxa"/>
          </w:tcPr>
          <w:p w14:paraId="70899922" w14:textId="77777777" w:rsidR="001C08A5" w:rsidRDefault="00000000">
            <w:pPr>
              <w:jc w:val="center"/>
              <w:rPr>
                <w:b/>
                <w:bCs/>
                <w:i/>
                <w:iCs/>
                <w:sz w:val="22"/>
                <w:szCs w:val="22"/>
              </w:rPr>
            </w:pPr>
            <w:r>
              <w:rPr>
                <w:b/>
                <w:bCs/>
                <w:i/>
                <w:iCs/>
                <w:sz w:val="22"/>
                <w:szCs w:val="22"/>
              </w:rPr>
              <w:t>EI</w:t>
            </w:r>
            <w:r>
              <w:rPr>
                <w:b/>
                <w:bCs/>
                <w:i/>
                <w:iCs/>
                <w:sz w:val="22"/>
                <w:szCs w:val="22"/>
                <w:vertAlign w:val="subscript"/>
              </w:rPr>
              <w:t>2</w:t>
            </w:r>
            <w:r>
              <w:rPr>
                <w:b/>
                <w:bCs/>
                <w:i/>
                <w:iCs/>
                <w:sz w:val="22"/>
                <w:szCs w:val="22"/>
              </w:rPr>
              <w:t xml:space="preserve"> 45 - C5</w:t>
            </w:r>
            <w:r>
              <w:rPr>
                <w:b/>
                <w:i/>
                <w:iCs/>
                <w:sz w:val="22"/>
                <w:szCs w:val="22"/>
              </w:rPr>
              <w:t>S</w:t>
            </w:r>
            <w:r>
              <w:rPr>
                <w:b/>
                <w:bCs/>
                <w:i/>
                <w:iCs/>
                <w:sz w:val="22"/>
                <w:szCs w:val="22"/>
                <w:vertAlign w:val="subscript"/>
              </w:rPr>
              <w:t>200</w:t>
            </w:r>
          </w:p>
        </w:tc>
      </w:tr>
    </w:tbl>
    <w:p w14:paraId="36631371" w14:textId="77777777" w:rsidR="001C08A5" w:rsidRDefault="00000000">
      <w:pPr>
        <w:jc w:val="both"/>
        <w:rPr>
          <w:i/>
          <w:sz w:val="22"/>
          <w:szCs w:val="22"/>
          <w:u w:val="single"/>
        </w:rPr>
      </w:pPr>
      <w:r>
        <w:rPr>
          <w:i/>
          <w:sz w:val="22"/>
          <w:szCs w:val="22"/>
          <w:u w:val="single"/>
        </w:rPr>
        <w:t>Note:</w:t>
      </w:r>
    </w:p>
    <w:p w14:paraId="11EDA33B" w14:textId="77777777" w:rsidR="001C08A5" w:rsidRDefault="00000000">
      <w:pPr>
        <w:ind w:left="720"/>
        <w:jc w:val="both"/>
        <w:rPr>
          <w:i/>
          <w:sz w:val="22"/>
          <w:szCs w:val="22"/>
        </w:rPr>
      </w:pPr>
      <w:r>
        <w:rPr>
          <w:i/>
          <w:sz w:val="22"/>
          <w:szCs w:val="22"/>
        </w:rPr>
        <w:t>În cazul pereților vitrați cu profil metalic care separă coridoarele și holurile de încăperile adiacente nu se ia în considerare clasa de reacție la foc.</w:t>
      </w:r>
    </w:p>
    <w:p w14:paraId="649BC55B" w14:textId="77777777" w:rsidR="001C08A5" w:rsidRDefault="00000000">
      <w:pPr>
        <w:ind w:left="720"/>
        <w:jc w:val="both"/>
        <w:rPr>
          <w:b/>
          <w:bCs/>
          <w:i/>
          <w:iCs/>
          <w:sz w:val="22"/>
          <w:szCs w:val="22"/>
        </w:rPr>
      </w:pPr>
      <w:r>
        <w:rPr>
          <w:i/>
          <w:iCs/>
          <w:sz w:val="22"/>
          <w:szCs w:val="22"/>
        </w:rPr>
        <w:t xml:space="preserve">Holurile de lift ale clădirilor publice pot să comunice liber cu spaţiile publice de pe nivel dacă performanța la foc a ușilor liftului este </w:t>
      </w:r>
      <w:r>
        <w:rPr>
          <w:b/>
          <w:bCs/>
          <w:i/>
          <w:iCs/>
          <w:sz w:val="22"/>
          <w:szCs w:val="22"/>
        </w:rPr>
        <w:t xml:space="preserve">EI120 </w:t>
      </w:r>
      <w:r>
        <w:rPr>
          <w:i/>
          <w:iCs/>
          <w:sz w:val="22"/>
          <w:szCs w:val="22"/>
        </w:rPr>
        <w:t>(</w:t>
      </w:r>
      <w:r>
        <w:rPr>
          <w:b/>
          <w:bCs/>
          <w:i/>
          <w:iCs/>
          <w:sz w:val="22"/>
          <w:szCs w:val="22"/>
        </w:rPr>
        <w:t xml:space="preserve">EI180 </w:t>
      </w:r>
      <w:r>
        <w:rPr>
          <w:i/>
          <w:iCs/>
          <w:sz w:val="22"/>
          <w:szCs w:val="22"/>
        </w:rPr>
        <w:t xml:space="preserve">pentru clădiri peste </w:t>
      </w:r>
      <w:r>
        <w:rPr>
          <w:b/>
          <w:bCs/>
          <w:i/>
          <w:iCs/>
          <w:sz w:val="22"/>
          <w:szCs w:val="22"/>
        </w:rPr>
        <w:t>75 m</w:t>
      </w:r>
      <w:r>
        <w:rPr>
          <w:i/>
          <w:iCs/>
          <w:sz w:val="22"/>
          <w:szCs w:val="22"/>
        </w:rPr>
        <w:t>).</w:t>
      </w:r>
    </w:p>
    <w:p w14:paraId="46EF135E" w14:textId="77777777" w:rsidR="001C08A5" w:rsidRDefault="001C08A5">
      <w:pPr>
        <w:jc w:val="both"/>
        <w:rPr>
          <w:b/>
          <w:sz w:val="24"/>
          <w:szCs w:val="24"/>
        </w:rPr>
      </w:pPr>
    </w:p>
    <w:p w14:paraId="5CC6D8C9" w14:textId="77777777" w:rsidR="001C08A5" w:rsidRDefault="00000000">
      <w:pPr>
        <w:jc w:val="both"/>
        <w:rPr>
          <w:sz w:val="24"/>
          <w:szCs w:val="24"/>
        </w:rPr>
      </w:pPr>
      <w:r>
        <w:rPr>
          <w:b/>
          <w:sz w:val="24"/>
          <w:szCs w:val="24"/>
        </w:rPr>
        <w:tab/>
        <w:t>Art. 4.2.5.4. (1)</w:t>
      </w:r>
      <w:r>
        <w:rPr>
          <w:sz w:val="24"/>
          <w:szCs w:val="24"/>
        </w:rPr>
        <w:t xml:space="preserve"> La toate nivelurile clădirii foarte înalte, fiecare dintre scările de evacuare a utilizatorilor trebuie să fie accesibilă prin încăpere tampon protejată ventilată în suprapresiune, pe trasee de deplasare independente și direcţii diferite, pe lungimea de evacuare normată.   </w:t>
      </w:r>
    </w:p>
    <w:p w14:paraId="5377767A" w14:textId="77777777" w:rsidR="001C08A5" w:rsidRDefault="00000000">
      <w:pPr>
        <w:jc w:val="both"/>
        <w:rPr>
          <w:caps/>
          <w:sz w:val="24"/>
          <w:szCs w:val="24"/>
        </w:rPr>
      </w:pPr>
      <w:r>
        <w:rPr>
          <w:sz w:val="24"/>
          <w:szCs w:val="24"/>
        </w:rPr>
        <w:tab/>
      </w:r>
      <w:r>
        <w:rPr>
          <w:b/>
          <w:sz w:val="24"/>
          <w:szCs w:val="24"/>
        </w:rPr>
        <w:t>(2)</w:t>
      </w:r>
      <w:r>
        <w:rPr>
          <w:sz w:val="24"/>
          <w:szCs w:val="24"/>
        </w:rPr>
        <w:t xml:space="preserve"> Cel puţin 2 dintre scările de evacuare ale clădirii foarte înalte, vor avea acces pe terasă. </w:t>
      </w:r>
    </w:p>
    <w:p w14:paraId="29090FE5" w14:textId="77777777" w:rsidR="001C08A5" w:rsidRDefault="001C08A5">
      <w:pPr>
        <w:jc w:val="both"/>
        <w:rPr>
          <w:sz w:val="24"/>
          <w:szCs w:val="24"/>
        </w:rPr>
      </w:pPr>
    </w:p>
    <w:p w14:paraId="5BB39B68" w14:textId="77777777" w:rsidR="001C08A5" w:rsidRDefault="00000000">
      <w:pPr>
        <w:ind w:firstLine="708"/>
        <w:jc w:val="both"/>
        <w:rPr>
          <w:sz w:val="24"/>
          <w:szCs w:val="24"/>
        </w:rPr>
      </w:pPr>
      <w:r>
        <w:rPr>
          <w:b/>
          <w:sz w:val="24"/>
          <w:szCs w:val="24"/>
        </w:rPr>
        <w:t xml:space="preserve">Art. 4.2.5.5. </w:t>
      </w:r>
      <w:r>
        <w:rPr>
          <w:caps/>
          <w:sz w:val="24"/>
          <w:szCs w:val="24"/>
        </w:rPr>
        <w:t>L</w:t>
      </w:r>
      <w:r>
        <w:rPr>
          <w:sz w:val="24"/>
          <w:szCs w:val="24"/>
        </w:rPr>
        <w:t xml:space="preserve">a utilizarea scărilor rulante se respectă prevederile </w:t>
      </w:r>
      <w:r>
        <w:rPr>
          <w:b/>
          <w:sz w:val="24"/>
          <w:szCs w:val="24"/>
        </w:rPr>
        <w:t xml:space="preserve">Art.2.5.6.3.3. </w:t>
      </w:r>
      <w:r>
        <w:rPr>
          <w:sz w:val="24"/>
          <w:szCs w:val="24"/>
        </w:rPr>
        <w:t>din normativ.</w:t>
      </w:r>
    </w:p>
    <w:p w14:paraId="145DCF1C" w14:textId="77777777" w:rsidR="001C08A5" w:rsidRDefault="001C08A5">
      <w:pPr>
        <w:jc w:val="both"/>
        <w:rPr>
          <w:sz w:val="24"/>
          <w:szCs w:val="24"/>
        </w:rPr>
      </w:pPr>
    </w:p>
    <w:p w14:paraId="6DDF0EFB" w14:textId="77777777" w:rsidR="001C08A5" w:rsidRDefault="00000000">
      <w:pPr>
        <w:jc w:val="both"/>
        <w:rPr>
          <w:sz w:val="24"/>
          <w:szCs w:val="24"/>
        </w:rPr>
      </w:pPr>
      <w:r>
        <w:rPr>
          <w:b/>
          <w:sz w:val="24"/>
          <w:szCs w:val="24"/>
        </w:rPr>
        <w:tab/>
        <w:t xml:space="preserve">Art. 4.2.5.6. (1) </w:t>
      </w:r>
      <w:r>
        <w:rPr>
          <w:bCs/>
          <w:sz w:val="24"/>
          <w:szCs w:val="24"/>
        </w:rPr>
        <w:t>Căile de evacuare a utilizatorilor</w:t>
      </w:r>
      <w:r>
        <w:rPr>
          <w:sz w:val="24"/>
          <w:szCs w:val="24"/>
        </w:rPr>
        <w:t xml:space="preserve"> clădirilor foarte înalte vor respecta lungimile de evacuare precizate în </w:t>
      </w:r>
      <w:r>
        <w:rPr>
          <w:b/>
          <w:bCs/>
          <w:i/>
          <w:iCs/>
          <w:sz w:val="24"/>
          <w:szCs w:val="24"/>
        </w:rPr>
        <w:fldChar w:fldCharType="begin"/>
      </w:r>
      <w:r>
        <w:rPr>
          <w:b/>
          <w:bCs/>
          <w:i/>
          <w:iCs/>
          <w:sz w:val="24"/>
          <w:szCs w:val="24"/>
        </w:rPr>
        <w:instrText xml:space="preserve"> REF _Ref23325 \h </w:instrText>
      </w:r>
      <w:r>
        <w:rPr>
          <w:b/>
          <w:bCs/>
          <w:i/>
          <w:iCs/>
          <w:sz w:val="24"/>
          <w:szCs w:val="24"/>
        </w:rPr>
      </w:r>
      <w:r>
        <w:rPr>
          <w:b/>
          <w:bCs/>
          <w:i/>
          <w:iCs/>
          <w:sz w:val="24"/>
          <w:szCs w:val="24"/>
        </w:rPr>
        <w:fldChar w:fldCharType="separate"/>
      </w:r>
      <w:r>
        <w:t>Tabelul 97</w:t>
      </w:r>
      <w:r>
        <w:rPr>
          <w:b/>
          <w:bCs/>
          <w:i/>
          <w:iCs/>
          <w:sz w:val="24"/>
          <w:szCs w:val="24"/>
        </w:rPr>
        <w:fldChar w:fldCharType="end"/>
      </w:r>
      <w:r>
        <w:rPr>
          <w:b/>
          <w:bCs/>
          <w:sz w:val="24"/>
          <w:szCs w:val="24"/>
        </w:rPr>
        <w:t>.</w:t>
      </w:r>
    </w:p>
    <w:p w14:paraId="214E9AA9" w14:textId="77777777" w:rsidR="001C08A5" w:rsidRDefault="00000000">
      <w:pPr>
        <w:ind w:firstLine="720"/>
        <w:jc w:val="both"/>
        <w:rPr>
          <w:sz w:val="24"/>
          <w:szCs w:val="24"/>
        </w:rPr>
      </w:pPr>
      <w:r>
        <w:rPr>
          <w:b/>
          <w:sz w:val="24"/>
          <w:szCs w:val="24"/>
        </w:rPr>
        <w:t xml:space="preserve">(2) </w:t>
      </w:r>
      <w:r>
        <w:rPr>
          <w:sz w:val="24"/>
          <w:szCs w:val="24"/>
        </w:rPr>
        <w:t>Lungimile de evacuare maximum admise se determină pentru traseul de evacuare parcurs de la uşa încăperii până la cea mai apropiată uşă de intrare în încăperea tampon protejată ventilată în suprapresiune a scării închise de evacuare.</w:t>
      </w:r>
    </w:p>
    <w:p w14:paraId="5F901963" w14:textId="77777777" w:rsidR="001C08A5" w:rsidRDefault="00000000">
      <w:pPr>
        <w:ind w:firstLine="720"/>
        <w:jc w:val="both"/>
        <w:rPr>
          <w:sz w:val="24"/>
          <w:szCs w:val="24"/>
        </w:rPr>
      </w:pPr>
      <w:r>
        <w:rPr>
          <w:b/>
          <w:sz w:val="24"/>
          <w:szCs w:val="24"/>
        </w:rPr>
        <w:t xml:space="preserve">(3) </w:t>
      </w:r>
      <w:r>
        <w:rPr>
          <w:rFonts w:eastAsia="Times-Roman"/>
          <w:sz w:val="24"/>
          <w:szCs w:val="24"/>
        </w:rPr>
        <w:t>Dacă distanţa parcursă în interiorul încăperii până la uşa prevazuta în peretele rezistent la foc (de delimitare a coridorului față de încăpere) este mai mică decât lungimea maximă de evacuare admisă pentru evacuarea într-o singură direcţie, atunci lungimea celor două căi de evacuare distincte şi independente necesare se măsoară de la uşa încăperii, şi este necesar ca traseul de evacuare parcurs de la uşa încăperii până la cea mai apropiată uşă de intrare în încăperea tampon a celei mai apropiate scări închise de evacuare să fie mai mică decât lungimea maximă de evacuare admisă pentru evacuarea în două direcţii.</w:t>
      </w:r>
    </w:p>
    <w:p w14:paraId="362ADC8F" w14:textId="77777777" w:rsidR="001C08A5" w:rsidRDefault="00000000">
      <w:pPr>
        <w:pStyle w:val="BodyText"/>
        <w:ind w:firstLine="720"/>
      </w:pPr>
      <w:r>
        <w:rPr>
          <w:rFonts w:eastAsia="Times-Roman"/>
          <w:i w:val="0"/>
        </w:rPr>
        <w:t>(4)</w:t>
      </w:r>
      <w:r>
        <w:rPr>
          <w:rFonts w:eastAsia="Times-Roman"/>
          <w:b w:val="0"/>
          <w:bCs w:val="0"/>
          <w:i w:val="0"/>
        </w:rPr>
        <w:t xml:space="preserve"> Dacă distanţa parcursă în interiorul încăperii până la uşa prevazuta în peretele rezistent la foc (de delimitare a coridorului față de încăpere) este mai mare decât lungimea maximă de evacuare admisă pentru evacuarea într-o singură direcţie, atunci sunt necesare două căi de evacuare în interiorul încaperii, iar lungimea celor două căi de evacuare distincte şi independente necesare se măsoară de la cel mai dezavantajos punct din interiorul încăperii respective, fiind necesar ca traseul de evacuare parcurs din acest punct până la cea mai apropiată uşă de intrare în încăperea tampon a celei mai apropiate scări închise de evacuare să fie mai mică decât lungimea maximă de evacuare admisă pentru evacuarea în două direcţii.</w:t>
      </w:r>
    </w:p>
    <w:p w14:paraId="255C1B83" w14:textId="77777777" w:rsidR="001C08A5" w:rsidRDefault="00000000">
      <w:pPr>
        <w:jc w:val="both"/>
        <w:rPr>
          <w:sz w:val="24"/>
          <w:szCs w:val="24"/>
        </w:rPr>
      </w:pPr>
      <w:r>
        <w:rPr>
          <w:sz w:val="24"/>
          <w:szCs w:val="24"/>
        </w:rPr>
        <w:tab/>
      </w:r>
      <w:r>
        <w:rPr>
          <w:b/>
          <w:bCs/>
          <w:sz w:val="24"/>
          <w:szCs w:val="24"/>
        </w:rPr>
        <w:t>(5)</w:t>
      </w:r>
      <w:r>
        <w:rPr>
          <w:sz w:val="24"/>
          <w:szCs w:val="24"/>
        </w:rPr>
        <w:t xml:space="preserve"> În interiorul încăperilor se asigură lungimea de evacuare admisă normată. </w:t>
      </w:r>
    </w:p>
    <w:p w14:paraId="599847F4" w14:textId="77777777" w:rsidR="001C08A5" w:rsidRDefault="001C08A5">
      <w:pPr>
        <w:jc w:val="both"/>
        <w:rPr>
          <w:sz w:val="24"/>
          <w:szCs w:val="24"/>
        </w:rPr>
      </w:pPr>
    </w:p>
    <w:p w14:paraId="420D53E7" w14:textId="77777777" w:rsidR="001C08A5" w:rsidRDefault="00000000">
      <w:pPr>
        <w:pStyle w:val="Captiontabel"/>
      </w:pPr>
      <w:bookmarkStart w:id="4537" w:name="_Ref23325"/>
      <w:bookmarkStart w:id="4538" w:name="_Toc162360147"/>
      <w:r>
        <w:t xml:space="preserve">Tabelul </w:t>
      </w:r>
      <w:r>
        <w:fldChar w:fldCharType="begin"/>
      </w:r>
      <w:r>
        <w:instrText xml:space="preserve"> SEQ Tabelul \* ARABIC </w:instrText>
      </w:r>
      <w:r>
        <w:fldChar w:fldCharType="separate"/>
      </w:r>
      <w:r>
        <w:t>97</w:t>
      </w:r>
      <w:r>
        <w:fldChar w:fldCharType="end"/>
      </w:r>
      <w:bookmarkStart w:id="4539" w:name="_Toc15261"/>
      <w:bookmarkStart w:id="4540" w:name="_Toc10796"/>
      <w:bookmarkStart w:id="4541" w:name="_Toc16519"/>
      <w:bookmarkStart w:id="4542" w:name="_Toc13813"/>
      <w:bookmarkStart w:id="4543" w:name="_Toc29307"/>
      <w:bookmarkStart w:id="4544" w:name="_Toc14472"/>
      <w:bookmarkStart w:id="4545" w:name="_Toc11109"/>
      <w:bookmarkStart w:id="4546" w:name="_Toc27225"/>
      <w:bookmarkStart w:id="4547" w:name="_Toc17171"/>
      <w:bookmarkStart w:id="4548" w:name="_Toc21405"/>
      <w:bookmarkStart w:id="4549" w:name="_Toc2720"/>
      <w:bookmarkStart w:id="4550" w:name="_Toc8611"/>
      <w:bookmarkStart w:id="4551" w:name="_Toc21232"/>
      <w:bookmarkStart w:id="4552" w:name="_Toc30790"/>
      <w:bookmarkStart w:id="4553" w:name="_Toc1605"/>
      <w:bookmarkStart w:id="4554" w:name="_Toc6404"/>
      <w:bookmarkStart w:id="4555" w:name="_Toc20349"/>
      <w:bookmarkStart w:id="4556" w:name="_Toc2266"/>
      <w:bookmarkStart w:id="4557" w:name="_Toc18616"/>
      <w:bookmarkEnd w:id="4537"/>
      <w:r>
        <w:t>: Lungimi de evacuare în clădiri supraterane foarte înalte</w:t>
      </w:r>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p>
    <w:p w14:paraId="14588CDA" w14:textId="77777777" w:rsidR="001C08A5" w:rsidRDefault="001C08A5">
      <w:pPr>
        <w:jc w:val="both"/>
        <w:rPr>
          <w:sz w:val="24"/>
          <w:szCs w:val="24"/>
        </w:rPr>
      </w:pPr>
    </w:p>
    <w:tbl>
      <w:tblPr>
        <w:tblW w:w="0" w:type="auto"/>
        <w:tblInd w:w="108" w:type="dxa"/>
        <w:tblLayout w:type="fixed"/>
        <w:tblLook w:val="04A0" w:firstRow="1" w:lastRow="0" w:firstColumn="1" w:lastColumn="0" w:noHBand="0" w:noVBand="1"/>
      </w:tblPr>
      <w:tblGrid>
        <w:gridCol w:w="3360"/>
        <w:gridCol w:w="3080"/>
        <w:gridCol w:w="3209"/>
      </w:tblGrid>
      <w:tr w:rsidR="001C08A5" w14:paraId="5A60EFF7" w14:textId="77777777">
        <w:trPr>
          <w:cantSplit/>
          <w:trHeight w:val="276"/>
        </w:trPr>
        <w:tc>
          <w:tcPr>
            <w:tcW w:w="3360" w:type="dxa"/>
            <w:vMerge w:val="restart"/>
            <w:tcBorders>
              <w:top w:val="single" w:sz="8" w:space="0" w:color="000000"/>
              <w:left w:val="single" w:sz="8" w:space="0" w:color="000000"/>
              <w:bottom w:val="single" w:sz="4" w:space="0" w:color="000000"/>
            </w:tcBorders>
            <w:shd w:val="clear" w:color="auto" w:fill="D9D9D9"/>
          </w:tcPr>
          <w:p w14:paraId="2420490F" w14:textId="77777777" w:rsidR="001C08A5" w:rsidRDefault="001C08A5">
            <w:pPr>
              <w:snapToGrid w:val="0"/>
              <w:jc w:val="both"/>
              <w:rPr>
                <w:i/>
                <w:iCs/>
                <w:sz w:val="22"/>
                <w:szCs w:val="22"/>
              </w:rPr>
            </w:pPr>
          </w:p>
          <w:p w14:paraId="059F9154" w14:textId="77777777" w:rsidR="001C08A5" w:rsidRDefault="001C08A5">
            <w:pPr>
              <w:jc w:val="both"/>
              <w:rPr>
                <w:i/>
                <w:iCs/>
                <w:sz w:val="22"/>
                <w:szCs w:val="22"/>
              </w:rPr>
            </w:pPr>
          </w:p>
          <w:p w14:paraId="559704ED" w14:textId="77777777" w:rsidR="001C08A5" w:rsidRDefault="00000000">
            <w:pPr>
              <w:jc w:val="center"/>
              <w:rPr>
                <w:b/>
                <w:i/>
                <w:iCs/>
                <w:sz w:val="22"/>
                <w:szCs w:val="22"/>
              </w:rPr>
            </w:pPr>
            <w:r>
              <w:rPr>
                <w:b/>
                <w:i/>
                <w:iCs/>
                <w:sz w:val="22"/>
                <w:szCs w:val="22"/>
              </w:rPr>
              <w:lastRenderedPageBreak/>
              <w:t xml:space="preserve">Destinaţia clădirii foarte înalte </w:t>
            </w:r>
          </w:p>
        </w:tc>
        <w:tc>
          <w:tcPr>
            <w:tcW w:w="6289" w:type="dxa"/>
            <w:gridSpan w:val="2"/>
            <w:tcBorders>
              <w:top w:val="single" w:sz="8" w:space="0" w:color="000000"/>
              <w:left w:val="single" w:sz="4" w:space="0" w:color="000000"/>
              <w:bottom w:val="single" w:sz="4" w:space="0" w:color="000000"/>
              <w:right w:val="single" w:sz="8" w:space="0" w:color="000000"/>
            </w:tcBorders>
            <w:shd w:val="clear" w:color="auto" w:fill="D9D9D9"/>
          </w:tcPr>
          <w:p w14:paraId="1DA4E7E5" w14:textId="77777777" w:rsidR="001C08A5" w:rsidRDefault="00000000">
            <w:pPr>
              <w:jc w:val="center"/>
              <w:rPr>
                <w:i/>
                <w:iCs/>
                <w:sz w:val="22"/>
                <w:szCs w:val="22"/>
              </w:rPr>
            </w:pPr>
            <w:r>
              <w:rPr>
                <w:b/>
                <w:i/>
                <w:iCs/>
                <w:sz w:val="22"/>
                <w:szCs w:val="22"/>
              </w:rPr>
              <w:lastRenderedPageBreak/>
              <w:t>Lungime maximă de evacuare</w:t>
            </w:r>
          </w:p>
        </w:tc>
      </w:tr>
      <w:tr w:rsidR="001C08A5" w14:paraId="574923C7" w14:textId="77777777">
        <w:trPr>
          <w:cantSplit/>
        </w:trPr>
        <w:tc>
          <w:tcPr>
            <w:tcW w:w="3360" w:type="dxa"/>
            <w:vMerge/>
            <w:tcBorders>
              <w:top w:val="single" w:sz="4" w:space="0" w:color="000000"/>
              <w:left w:val="single" w:sz="8" w:space="0" w:color="000000"/>
              <w:bottom w:val="single" w:sz="4" w:space="0" w:color="000000"/>
            </w:tcBorders>
            <w:shd w:val="clear" w:color="auto" w:fill="D9D9D9"/>
          </w:tcPr>
          <w:p w14:paraId="53E2C446" w14:textId="77777777" w:rsidR="001C08A5" w:rsidRDefault="001C08A5">
            <w:pPr>
              <w:snapToGrid w:val="0"/>
              <w:jc w:val="both"/>
              <w:rPr>
                <w:i/>
                <w:iCs/>
                <w:sz w:val="22"/>
                <w:szCs w:val="22"/>
              </w:rPr>
            </w:pPr>
          </w:p>
        </w:tc>
        <w:tc>
          <w:tcPr>
            <w:tcW w:w="3080" w:type="dxa"/>
            <w:tcBorders>
              <w:top w:val="single" w:sz="4" w:space="0" w:color="000000"/>
              <w:left w:val="single" w:sz="4" w:space="0" w:color="000000"/>
              <w:bottom w:val="single" w:sz="4" w:space="0" w:color="000000"/>
            </w:tcBorders>
            <w:shd w:val="clear" w:color="auto" w:fill="D9D9D9"/>
          </w:tcPr>
          <w:p w14:paraId="3D90A0B3" w14:textId="77777777" w:rsidR="001C08A5" w:rsidRDefault="00000000">
            <w:pPr>
              <w:jc w:val="center"/>
              <w:rPr>
                <w:b/>
                <w:i/>
                <w:iCs/>
                <w:sz w:val="22"/>
                <w:szCs w:val="22"/>
              </w:rPr>
            </w:pPr>
            <w:r>
              <w:rPr>
                <w:b/>
                <w:i/>
                <w:iCs/>
                <w:sz w:val="22"/>
                <w:szCs w:val="22"/>
              </w:rPr>
              <w:t>în două direcţii diferite</w:t>
            </w:r>
          </w:p>
        </w:tc>
        <w:tc>
          <w:tcPr>
            <w:tcW w:w="3209" w:type="dxa"/>
            <w:tcBorders>
              <w:top w:val="single" w:sz="4" w:space="0" w:color="000000"/>
              <w:left w:val="single" w:sz="4" w:space="0" w:color="000000"/>
              <w:bottom w:val="single" w:sz="4" w:space="0" w:color="000000"/>
              <w:right w:val="single" w:sz="8" w:space="0" w:color="000000"/>
            </w:tcBorders>
            <w:shd w:val="clear" w:color="auto" w:fill="D9D9D9"/>
          </w:tcPr>
          <w:p w14:paraId="7071C2C0" w14:textId="77777777" w:rsidR="001C08A5" w:rsidRDefault="00000000">
            <w:pPr>
              <w:jc w:val="center"/>
              <w:rPr>
                <w:i/>
                <w:iCs/>
                <w:sz w:val="22"/>
                <w:szCs w:val="22"/>
              </w:rPr>
            </w:pPr>
            <w:r>
              <w:rPr>
                <w:b/>
                <w:i/>
                <w:iCs/>
                <w:sz w:val="22"/>
                <w:szCs w:val="22"/>
              </w:rPr>
              <w:t>într-o direcţie (coridor înfundat)</w:t>
            </w:r>
          </w:p>
        </w:tc>
      </w:tr>
      <w:tr w:rsidR="001C08A5" w14:paraId="7B6CAE6F" w14:textId="77777777">
        <w:trPr>
          <w:cantSplit/>
        </w:trPr>
        <w:tc>
          <w:tcPr>
            <w:tcW w:w="3360" w:type="dxa"/>
            <w:vMerge/>
            <w:tcBorders>
              <w:top w:val="single" w:sz="4" w:space="0" w:color="000000"/>
              <w:left w:val="single" w:sz="8" w:space="0" w:color="000000"/>
              <w:bottom w:val="single" w:sz="8" w:space="0" w:color="000000"/>
            </w:tcBorders>
            <w:shd w:val="clear" w:color="auto" w:fill="auto"/>
          </w:tcPr>
          <w:p w14:paraId="2BEE7604" w14:textId="77777777" w:rsidR="001C08A5" w:rsidRDefault="001C08A5">
            <w:pPr>
              <w:snapToGrid w:val="0"/>
              <w:jc w:val="both"/>
              <w:rPr>
                <w:i/>
                <w:iCs/>
                <w:sz w:val="22"/>
                <w:szCs w:val="22"/>
              </w:rPr>
            </w:pPr>
          </w:p>
        </w:tc>
        <w:tc>
          <w:tcPr>
            <w:tcW w:w="3080" w:type="dxa"/>
            <w:tcBorders>
              <w:top w:val="single" w:sz="4" w:space="0" w:color="000000"/>
              <w:left w:val="single" w:sz="4" w:space="0" w:color="000000"/>
              <w:bottom w:val="single" w:sz="8" w:space="0" w:color="000000"/>
            </w:tcBorders>
            <w:shd w:val="clear" w:color="auto" w:fill="D9D9D9"/>
          </w:tcPr>
          <w:p w14:paraId="7632406E" w14:textId="77777777" w:rsidR="001C08A5" w:rsidRDefault="00000000">
            <w:pPr>
              <w:jc w:val="center"/>
              <w:rPr>
                <w:b/>
                <w:i/>
                <w:iCs/>
                <w:sz w:val="22"/>
                <w:szCs w:val="22"/>
              </w:rPr>
            </w:pPr>
            <w:r>
              <w:rPr>
                <w:b/>
                <w:i/>
                <w:iCs/>
                <w:sz w:val="22"/>
                <w:szCs w:val="22"/>
              </w:rPr>
              <w:t>m.</w:t>
            </w:r>
          </w:p>
        </w:tc>
        <w:tc>
          <w:tcPr>
            <w:tcW w:w="3209" w:type="dxa"/>
            <w:tcBorders>
              <w:top w:val="single" w:sz="4" w:space="0" w:color="000000"/>
              <w:left w:val="single" w:sz="4" w:space="0" w:color="000000"/>
              <w:bottom w:val="single" w:sz="8" w:space="0" w:color="000000"/>
              <w:right w:val="single" w:sz="8" w:space="0" w:color="000000"/>
            </w:tcBorders>
            <w:shd w:val="clear" w:color="auto" w:fill="D9D9D9"/>
          </w:tcPr>
          <w:p w14:paraId="00DEB905" w14:textId="77777777" w:rsidR="001C08A5" w:rsidRDefault="00000000">
            <w:pPr>
              <w:jc w:val="center"/>
              <w:rPr>
                <w:b/>
                <w:i/>
                <w:iCs/>
                <w:sz w:val="22"/>
                <w:szCs w:val="22"/>
              </w:rPr>
            </w:pPr>
            <w:r>
              <w:rPr>
                <w:b/>
                <w:i/>
                <w:iCs/>
                <w:sz w:val="22"/>
                <w:szCs w:val="22"/>
              </w:rPr>
              <w:t>m.</w:t>
            </w:r>
          </w:p>
        </w:tc>
      </w:tr>
      <w:tr w:rsidR="001C08A5" w14:paraId="470865CF" w14:textId="77777777">
        <w:trPr>
          <w:trHeight w:val="627"/>
        </w:trPr>
        <w:tc>
          <w:tcPr>
            <w:tcW w:w="3360" w:type="dxa"/>
            <w:tcBorders>
              <w:top w:val="single" w:sz="8" w:space="0" w:color="000000"/>
              <w:left w:val="single" w:sz="4" w:space="0" w:color="000000"/>
              <w:bottom w:val="single" w:sz="4" w:space="0" w:color="000000"/>
            </w:tcBorders>
          </w:tcPr>
          <w:p w14:paraId="136CCC51" w14:textId="77777777" w:rsidR="001C08A5" w:rsidRDefault="00000000">
            <w:pPr>
              <w:jc w:val="center"/>
              <w:rPr>
                <w:b/>
                <w:i/>
                <w:iCs/>
                <w:sz w:val="22"/>
                <w:szCs w:val="22"/>
              </w:rPr>
            </w:pPr>
            <w:r>
              <w:rPr>
                <w:b/>
                <w:i/>
                <w:iCs/>
                <w:sz w:val="22"/>
                <w:szCs w:val="22"/>
              </w:rPr>
              <w:t xml:space="preserve">Administrativă,  învăţământ, turism, sănătate, comerţ, cult, </w:t>
            </w:r>
          </w:p>
          <w:p w14:paraId="4FE70555" w14:textId="77777777" w:rsidR="001C08A5" w:rsidRDefault="00000000">
            <w:pPr>
              <w:jc w:val="center"/>
              <w:rPr>
                <w:b/>
                <w:i/>
                <w:iCs/>
                <w:sz w:val="22"/>
                <w:szCs w:val="22"/>
              </w:rPr>
            </w:pPr>
            <w:r>
              <w:rPr>
                <w:b/>
                <w:i/>
                <w:iCs/>
                <w:sz w:val="22"/>
                <w:szCs w:val="22"/>
              </w:rPr>
              <w:t>locuinţe colective etc.</w:t>
            </w:r>
          </w:p>
        </w:tc>
        <w:tc>
          <w:tcPr>
            <w:tcW w:w="3080" w:type="dxa"/>
            <w:tcBorders>
              <w:top w:val="single" w:sz="8" w:space="0" w:color="000000"/>
              <w:left w:val="single" w:sz="4" w:space="0" w:color="000000"/>
              <w:bottom w:val="single" w:sz="4" w:space="0" w:color="000000"/>
            </w:tcBorders>
          </w:tcPr>
          <w:p w14:paraId="6CC479C6" w14:textId="77777777" w:rsidR="001C08A5" w:rsidRDefault="001C08A5">
            <w:pPr>
              <w:snapToGrid w:val="0"/>
              <w:jc w:val="center"/>
              <w:rPr>
                <w:b/>
                <w:i/>
                <w:iCs/>
                <w:sz w:val="22"/>
                <w:szCs w:val="22"/>
              </w:rPr>
            </w:pPr>
          </w:p>
          <w:p w14:paraId="48809059" w14:textId="77777777" w:rsidR="001C08A5" w:rsidRDefault="00000000">
            <w:pPr>
              <w:jc w:val="center"/>
              <w:rPr>
                <w:b/>
                <w:i/>
                <w:iCs/>
                <w:sz w:val="22"/>
                <w:szCs w:val="22"/>
              </w:rPr>
            </w:pPr>
            <w:r>
              <w:rPr>
                <w:b/>
                <w:i/>
                <w:iCs/>
                <w:sz w:val="22"/>
                <w:szCs w:val="22"/>
              </w:rPr>
              <w:t>25</w:t>
            </w:r>
          </w:p>
          <w:p w14:paraId="072E8412" w14:textId="77777777" w:rsidR="001C08A5" w:rsidRDefault="001C08A5">
            <w:pPr>
              <w:jc w:val="center"/>
              <w:rPr>
                <w:b/>
                <w:i/>
                <w:iCs/>
                <w:sz w:val="22"/>
                <w:szCs w:val="22"/>
              </w:rPr>
            </w:pPr>
          </w:p>
        </w:tc>
        <w:tc>
          <w:tcPr>
            <w:tcW w:w="3209" w:type="dxa"/>
            <w:tcBorders>
              <w:top w:val="single" w:sz="8" w:space="0" w:color="000000"/>
              <w:left w:val="single" w:sz="4" w:space="0" w:color="000000"/>
              <w:bottom w:val="single" w:sz="4" w:space="0" w:color="000000"/>
              <w:right w:val="single" w:sz="4" w:space="0" w:color="000000"/>
            </w:tcBorders>
          </w:tcPr>
          <w:p w14:paraId="1E8D62EF" w14:textId="77777777" w:rsidR="001C08A5" w:rsidRDefault="001C08A5">
            <w:pPr>
              <w:snapToGrid w:val="0"/>
              <w:jc w:val="center"/>
              <w:rPr>
                <w:b/>
                <w:i/>
                <w:iCs/>
                <w:sz w:val="22"/>
                <w:szCs w:val="22"/>
              </w:rPr>
            </w:pPr>
          </w:p>
          <w:p w14:paraId="31192DBD" w14:textId="77777777" w:rsidR="001C08A5" w:rsidRDefault="00000000">
            <w:pPr>
              <w:jc w:val="center"/>
              <w:rPr>
                <w:b/>
                <w:i/>
                <w:iCs/>
                <w:sz w:val="22"/>
                <w:szCs w:val="22"/>
              </w:rPr>
            </w:pPr>
            <w:r>
              <w:rPr>
                <w:b/>
                <w:i/>
                <w:iCs/>
                <w:sz w:val="22"/>
                <w:szCs w:val="22"/>
              </w:rPr>
              <w:t>15</w:t>
            </w:r>
          </w:p>
          <w:p w14:paraId="2DFC6701" w14:textId="77777777" w:rsidR="001C08A5" w:rsidRDefault="001C08A5">
            <w:pPr>
              <w:jc w:val="center"/>
              <w:rPr>
                <w:b/>
                <w:i/>
                <w:iCs/>
                <w:sz w:val="22"/>
                <w:szCs w:val="22"/>
              </w:rPr>
            </w:pPr>
          </w:p>
        </w:tc>
      </w:tr>
    </w:tbl>
    <w:p w14:paraId="283684E0" w14:textId="77777777" w:rsidR="001C08A5" w:rsidRDefault="00000000">
      <w:pPr>
        <w:jc w:val="both"/>
        <w:rPr>
          <w:b/>
          <w:i/>
          <w:sz w:val="22"/>
          <w:szCs w:val="22"/>
        </w:rPr>
      </w:pPr>
      <w:r>
        <w:rPr>
          <w:i/>
          <w:sz w:val="22"/>
          <w:szCs w:val="22"/>
          <w:u w:val="single"/>
        </w:rPr>
        <w:t>Note</w:t>
      </w:r>
      <w:r>
        <w:rPr>
          <w:i/>
          <w:sz w:val="22"/>
          <w:szCs w:val="22"/>
        </w:rPr>
        <w:t>:</w:t>
      </w:r>
    </w:p>
    <w:p w14:paraId="4E945493" w14:textId="77777777" w:rsidR="001C08A5" w:rsidRDefault="00000000">
      <w:pPr>
        <w:jc w:val="both"/>
        <w:rPr>
          <w:b/>
          <w:i/>
          <w:sz w:val="22"/>
          <w:szCs w:val="22"/>
        </w:rPr>
      </w:pPr>
      <w:r>
        <w:rPr>
          <w:b/>
          <w:i/>
          <w:sz w:val="22"/>
          <w:szCs w:val="22"/>
        </w:rPr>
        <w:t>a)</w:t>
      </w:r>
      <w:r>
        <w:rPr>
          <w:i/>
          <w:sz w:val="22"/>
          <w:szCs w:val="22"/>
        </w:rPr>
        <w:t xml:space="preserve"> Lungimea de evacuare într-o direcţie (coridor înfundat), se referă și la interiorul încăperilor şi respectiv a apartamentelor de locuit.</w:t>
      </w:r>
    </w:p>
    <w:p w14:paraId="2B7D6505" w14:textId="77777777" w:rsidR="001C08A5" w:rsidRDefault="00000000">
      <w:pPr>
        <w:jc w:val="both"/>
        <w:rPr>
          <w:b/>
          <w:i/>
          <w:sz w:val="22"/>
          <w:szCs w:val="22"/>
        </w:rPr>
      </w:pPr>
      <w:r>
        <w:rPr>
          <w:b/>
          <w:i/>
          <w:sz w:val="22"/>
          <w:szCs w:val="22"/>
        </w:rPr>
        <w:t>b)</w:t>
      </w:r>
      <w:r>
        <w:rPr>
          <w:i/>
          <w:sz w:val="22"/>
          <w:szCs w:val="22"/>
        </w:rPr>
        <w:t xml:space="preserve"> Pentru sălile aglomerate din clădirile foarte înalte se respectă prevederile privind performanțele specifice clădirilor foarte înalte, fiind admisă utilizarea scărilor construcţiei pentru evacuarea utilizatorilor, dacă îndeplinesc şi condiţiile de alcătuire și dimensionare pentru săli aglomerate.</w:t>
      </w:r>
    </w:p>
    <w:p w14:paraId="04992D96" w14:textId="77777777" w:rsidR="001C08A5" w:rsidRDefault="00000000">
      <w:pPr>
        <w:jc w:val="both"/>
        <w:rPr>
          <w:i/>
          <w:sz w:val="22"/>
          <w:szCs w:val="22"/>
        </w:rPr>
      </w:pPr>
      <w:r>
        <w:rPr>
          <w:b/>
          <w:bCs/>
          <w:i/>
          <w:sz w:val="22"/>
          <w:szCs w:val="22"/>
        </w:rPr>
        <w:t xml:space="preserve">c) </w:t>
      </w:r>
      <w:r>
        <w:rPr>
          <w:i/>
          <w:sz w:val="22"/>
          <w:szCs w:val="22"/>
        </w:rPr>
        <w:t xml:space="preserve">Sălile aglomerate din clădirile foarte înalte situate în portiunile de </w:t>
      </w:r>
      <w:r>
        <w:rPr>
          <w:i/>
          <w:iCs/>
        </w:rPr>
        <w:t>clădiri foarte înalte</w:t>
      </w:r>
      <w:r>
        <w:rPr>
          <w:i/>
          <w:sz w:val="22"/>
          <w:szCs w:val="22"/>
        </w:rPr>
        <w:t xml:space="preserve"> până la cota </w:t>
      </w:r>
      <w:r>
        <w:rPr>
          <w:b/>
          <w:bCs/>
          <w:i/>
          <w:sz w:val="22"/>
          <w:szCs w:val="22"/>
        </w:rPr>
        <w:t>+ 42 m</w:t>
      </w:r>
      <w:r>
        <w:rPr>
          <w:i/>
          <w:sz w:val="22"/>
          <w:szCs w:val="22"/>
        </w:rPr>
        <w:t xml:space="preserve"> inclusiv, respectă prevederile privind performanțele specifice clădirilor foarte înalte, fiind admisă utilizarea scărilor construcţiei foarte înalte pentru evacuarea utilizatorilor, dacă îndeplinesc şi condiţiile de alcătuire și dimensionare pentru săli aglomerate. Sălile aglomerate din cadrul clădirilor foarte înalte dispuse în compartimente de incendiu separate funcțional și constructiv față de restul clădirii foarte înalte, situate până la cota + 42 m inclusiv în cadrul volumului clădirilor foarte înalte, care dispun de scări proprii (dacă îndeplinesc şi condiţiile de alcătuire și dimensionare a scărilor pentru săli aglomerate) pentru evacuarea tuturor utilizatorilor sălilor aglomerate, nu generează îndeplinirea condiţiilor de alcătuire şi dimensionare pentru săli aglomerate a celorlalte scări de evacuare ale clădirii foarte înalte.</w:t>
      </w:r>
    </w:p>
    <w:p w14:paraId="037692E3" w14:textId="77777777" w:rsidR="001C08A5" w:rsidRDefault="001C08A5">
      <w:pPr>
        <w:jc w:val="both"/>
        <w:rPr>
          <w:i/>
          <w:sz w:val="24"/>
          <w:szCs w:val="24"/>
        </w:rPr>
      </w:pPr>
    </w:p>
    <w:p w14:paraId="76EDB533" w14:textId="77777777" w:rsidR="001C08A5" w:rsidRDefault="00000000">
      <w:pPr>
        <w:ind w:firstLine="720"/>
        <w:jc w:val="both"/>
        <w:rPr>
          <w:sz w:val="24"/>
          <w:szCs w:val="24"/>
        </w:rPr>
      </w:pPr>
      <w:r>
        <w:rPr>
          <w:b/>
          <w:sz w:val="24"/>
          <w:szCs w:val="24"/>
        </w:rPr>
        <w:t xml:space="preserve">Art. 4.2.5.7. </w:t>
      </w:r>
      <w:r>
        <w:rPr>
          <w:sz w:val="24"/>
          <w:szCs w:val="24"/>
        </w:rPr>
        <w:t xml:space="preserve">Numărul normat de utilizatori pe unitatea de trecere (flux) de evacuare </w:t>
      </w:r>
      <w:r>
        <w:rPr>
          <w:b/>
          <w:sz w:val="24"/>
          <w:szCs w:val="24"/>
        </w:rPr>
        <w:t>(</w:t>
      </w:r>
      <w:r>
        <w:rPr>
          <w:b/>
          <w:bCs/>
          <w:sz w:val="24"/>
          <w:szCs w:val="24"/>
        </w:rPr>
        <w:t>U</w:t>
      </w:r>
      <w:r>
        <w:rPr>
          <w:b/>
          <w:bCs/>
          <w:sz w:val="24"/>
          <w:szCs w:val="24"/>
          <w:vertAlign w:val="subscript"/>
        </w:rPr>
        <w:t>f</w:t>
      </w:r>
      <w:r>
        <w:rPr>
          <w:b/>
          <w:sz w:val="24"/>
          <w:szCs w:val="24"/>
        </w:rPr>
        <w:t>)</w:t>
      </w:r>
      <w:r>
        <w:rPr>
          <w:sz w:val="24"/>
          <w:szCs w:val="24"/>
        </w:rPr>
        <w:t xml:space="preserve"> din clădirile supraterane foarte înalte, este de </w:t>
      </w:r>
      <w:r>
        <w:rPr>
          <w:b/>
          <w:bCs/>
          <w:sz w:val="24"/>
          <w:szCs w:val="24"/>
        </w:rPr>
        <w:t xml:space="preserve">70 utilizatori. </w:t>
      </w:r>
      <w:r>
        <w:rPr>
          <w:sz w:val="24"/>
          <w:szCs w:val="24"/>
        </w:rPr>
        <w:t xml:space="preserve">Numărul normat de utilizatori pe unitatea de trecere (flux) de evacuare </w:t>
      </w:r>
      <w:r>
        <w:rPr>
          <w:b/>
          <w:sz w:val="24"/>
          <w:szCs w:val="24"/>
        </w:rPr>
        <w:t>(</w:t>
      </w:r>
      <w:r>
        <w:rPr>
          <w:b/>
          <w:bCs/>
          <w:sz w:val="24"/>
          <w:szCs w:val="24"/>
        </w:rPr>
        <w:t>U</w:t>
      </w:r>
      <w:r>
        <w:rPr>
          <w:b/>
          <w:bCs/>
          <w:sz w:val="24"/>
          <w:szCs w:val="24"/>
          <w:vertAlign w:val="subscript"/>
        </w:rPr>
        <w:t>f</w:t>
      </w:r>
      <w:r>
        <w:rPr>
          <w:b/>
          <w:sz w:val="24"/>
          <w:szCs w:val="24"/>
        </w:rPr>
        <w:t>)</w:t>
      </w:r>
      <w:r>
        <w:rPr>
          <w:sz w:val="24"/>
          <w:szCs w:val="24"/>
        </w:rPr>
        <w:t xml:space="preserve"> din clădirile supraterane foarte înalte destinate persoanelor care nu se pot evacua singure (definite conform terminologie) este de </w:t>
      </w:r>
      <w:r>
        <w:rPr>
          <w:b/>
          <w:bCs/>
          <w:sz w:val="24"/>
          <w:szCs w:val="24"/>
        </w:rPr>
        <w:t>40 utilizatori.</w:t>
      </w:r>
    </w:p>
    <w:p w14:paraId="184D6236" w14:textId="77777777" w:rsidR="001C08A5" w:rsidRDefault="001C08A5">
      <w:pPr>
        <w:jc w:val="both"/>
        <w:rPr>
          <w:sz w:val="24"/>
          <w:szCs w:val="24"/>
        </w:rPr>
      </w:pPr>
    </w:p>
    <w:p w14:paraId="6BBD6EAE" w14:textId="77777777" w:rsidR="001C08A5" w:rsidRDefault="00000000">
      <w:pPr>
        <w:ind w:firstLine="708"/>
        <w:jc w:val="both"/>
        <w:rPr>
          <w:sz w:val="24"/>
          <w:szCs w:val="24"/>
        </w:rPr>
      </w:pPr>
      <w:r>
        <w:rPr>
          <w:b/>
          <w:sz w:val="24"/>
          <w:szCs w:val="24"/>
        </w:rPr>
        <w:t xml:space="preserve">Art. 4.2.5.8. (1) </w:t>
      </w:r>
      <w:r>
        <w:rPr>
          <w:sz w:val="24"/>
          <w:szCs w:val="24"/>
        </w:rPr>
        <w:t>La nivelurile supraterane ale clădirii foarte înalte, accesul la scările de evacuare închise este admis numai prin încăperi tampon protejate, ventilate în suprapresiune, conform prevederilor normativului.</w:t>
      </w:r>
    </w:p>
    <w:p w14:paraId="5D4C0AD6" w14:textId="77777777" w:rsidR="001C08A5" w:rsidRDefault="00000000">
      <w:pPr>
        <w:ind w:firstLine="720"/>
        <w:jc w:val="both"/>
        <w:rPr>
          <w:sz w:val="24"/>
          <w:szCs w:val="24"/>
        </w:rPr>
      </w:pPr>
      <w:r>
        <w:rPr>
          <w:b/>
          <w:sz w:val="24"/>
          <w:szCs w:val="24"/>
        </w:rPr>
        <w:t xml:space="preserve">(2) </w:t>
      </w:r>
      <w:r>
        <w:rPr>
          <w:sz w:val="24"/>
          <w:szCs w:val="24"/>
        </w:rPr>
        <w:t xml:space="preserve">Încăperile tampon protejate vor avea pereţi rezistenţi la foc minimum </w:t>
      </w:r>
      <w:r>
        <w:rPr>
          <w:b/>
          <w:sz w:val="24"/>
          <w:szCs w:val="24"/>
        </w:rPr>
        <w:t xml:space="preserve">EI/REI 90 și </w:t>
      </w:r>
      <w:r>
        <w:rPr>
          <w:sz w:val="24"/>
          <w:szCs w:val="24"/>
        </w:rPr>
        <w:t xml:space="preserve">planşee </w:t>
      </w:r>
      <w:r>
        <w:rPr>
          <w:b/>
          <w:sz w:val="24"/>
          <w:szCs w:val="24"/>
        </w:rPr>
        <w:t>REI 90</w:t>
      </w:r>
      <w:r>
        <w:rPr>
          <w:sz w:val="24"/>
          <w:szCs w:val="24"/>
        </w:rPr>
        <w:t xml:space="preserve">, clasa de reacţie la foc </w:t>
      </w:r>
      <w:r>
        <w:rPr>
          <w:b/>
          <w:bCs/>
          <w:sz w:val="24"/>
          <w:szCs w:val="24"/>
        </w:rPr>
        <w:t>A1</w:t>
      </w:r>
      <w:r>
        <w:rPr>
          <w:bCs/>
          <w:sz w:val="24"/>
          <w:szCs w:val="24"/>
        </w:rPr>
        <w:t xml:space="preserve"> sau </w:t>
      </w:r>
      <w:r>
        <w:rPr>
          <w:b/>
          <w:sz w:val="24"/>
          <w:szCs w:val="24"/>
        </w:rPr>
        <w:t>A2-s1d0</w:t>
      </w:r>
      <w:r>
        <w:rPr>
          <w:sz w:val="24"/>
          <w:szCs w:val="24"/>
        </w:rPr>
        <w:t xml:space="preserve">, iar golurile de circulaţie protajate cu uşi rezistente la foc și etanșe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bCs/>
          <w:sz w:val="24"/>
          <w:szCs w:val="24"/>
        </w:rPr>
        <w:t xml:space="preserve"> şi vor fi puse în suprapresiune</w:t>
      </w:r>
      <w:r>
        <w:rPr>
          <w:sz w:val="24"/>
          <w:szCs w:val="24"/>
        </w:rPr>
        <w:t>.</w:t>
      </w:r>
    </w:p>
    <w:p w14:paraId="494896DF" w14:textId="77777777" w:rsidR="001C08A5" w:rsidRDefault="00000000">
      <w:pPr>
        <w:ind w:firstLine="360"/>
        <w:jc w:val="both"/>
        <w:rPr>
          <w:sz w:val="24"/>
          <w:szCs w:val="24"/>
        </w:rPr>
      </w:pPr>
      <w:r>
        <w:rPr>
          <w:sz w:val="24"/>
          <w:szCs w:val="24"/>
        </w:rPr>
        <w:tab/>
      </w:r>
      <w:r>
        <w:rPr>
          <w:b/>
          <w:sz w:val="24"/>
          <w:szCs w:val="24"/>
        </w:rPr>
        <w:t>(3)</w:t>
      </w:r>
      <w:r>
        <w:rPr>
          <w:sz w:val="24"/>
          <w:szCs w:val="24"/>
        </w:rPr>
        <w:t xml:space="preserve"> Ușile încăperilor tampon de acces la casele de scări de evacuare se prevăd cu bare antipanică și se vor deschide în sensul evacuării indiferent de numarul de persoane. </w:t>
      </w:r>
    </w:p>
    <w:p w14:paraId="00D0CEC5" w14:textId="77777777" w:rsidR="001C08A5" w:rsidRDefault="00000000">
      <w:pPr>
        <w:ind w:firstLine="720"/>
        <w:jc w:val="both"/>
        <w:rPr>
          <w:sz w:val="24"/>
          <w:szCs w:val="24"/>
        </w:rPr>
      </w:pPr>
      <w:r>
        <w:rPr>
          <w:b/>
          <w:sz w:val="24"/>
          <w:szCs w:val="24"/>
        </w:rPr>
        <w:t>(4)</w:t>
      </w:r>
      <w:r>
        <w:rPr>
          <w:sz w:val="24"/>
          <w:szCs w:val="24"/>
        </w:rPr>
        <w:t xml:space="preserve"> Ușile de evacuare ce debușează în exteriorul construcției  se prevăd cu bare antipanică.</w:t>
      </w:r>
    </w:p>
    <w:p w14:paraId="6599024D" w14:textId="77777777" w:rsidR="001C08A5" w:rsidRDefault="001C08A5">
      <w:pPr>
        <w:ind w:firstLine="720"/>
        <w:jc w:val="both"/>
        <w:rPr>
          <w:sz w:val="24"/>
          <w:szCs w:val="24"/>
        </w:rPr>
      </w:pPr>
    </w:p>
    <w:p w14:paraId="39FA40A8" w14:textId="77777777" w:rsidR="001C08A5" w:rsidRDefault="00000000">
      <w:pPr>
        <w:jc w:val="both"/>
        <w:rPr>
          <w:sz w:val="24"/>
          <w:szCs w:val="24"/>
        </w:rPr>
      </w:pPr>
      <w:r>
        <w:rPr>
          <w:b/>
          <w:sz w:val="24"/>
          <w:szCs w:val="24"/>
        </w:rPr>
        <w:tab/>
        <w:t>Art. 4.2.5.9. (1)</w:t>
      </w:r>
      <w:r>
        <w:rPr>
          <w:sz w:val="24"/>
          <w:szCs w:val="24"/>
        </w:rPr>
        <w:t xml:space="preserve"> La nivelurile subterane ale clădirilor foarte înalte, accesul la scările de evacuare închise se asigură numai prin încăperi tampon protejate, ventilate în suprapresiune, realizate cu pereţi rezistenţi la foc minimum </w:t>
      </w:r>
      <w:r>
        <w:rPr>
          <w:b/>
          <w:sz w:val="24"/>
          <w:szCs w:val="24"/>
        </w:rPr>
        <w:t>EI/REI</w:t>
      </w:r>
      <w:r>
        <w:rPr>
          <w:b/>
          <w:bCs/>
          <w:sz w:val="24"/>
          <w:szCs w:val="24"/>
        </w:rPr>
        <w:t xml:space="preserve"> 120</w:t>
      </w:r>
      <w:r>
        <w:rPr>
          <w:bCs/>
          <w:sz w:val="24"/>
          <w:szCs w:val="24"/>
        </w:rPr>
        <w:t>,</w:t>
      </w:r>
      <w:r>
        <w:rPr>
          <w:sz w:val="24"/>
          <w:szCs w:val="24"/>
        </w:rPr>
        <w:t xml:space="preserve"> planşee </w:t>
      </w:r>
      <w:r>
        <w:rPr>
          <w:b/>
          <w:bCs/>
          <w:sz w:val="24"/>
          <w:szCs w:val="24"/>
        </w:rPr>
        <w:t>REI 90</w:t>
      </w:r>
      <w:r>
        <w:rPr>
          <w:sz w:val="24"/>
          <w:szCs w:val="24"/>
        </w:rPr>
        <w:t xml:space="preserve">, clasa de reacţie la foc </w:t>
      </w:r>
      <w:r>
        <w:rPr>
          <w:b/>
          <w:sz w:val="24"/>
          <w:szCs w:val="24"/>
        </w:rPr>
        <w:t>A1</w:t>
      </w:r>
      <w:r>
        <w:rPr>
          <w:bCs/>
          <w:sz w:val="24"/>
          <w:szCs w:val="24"/>
        </w:rPr>
        <w:t xml:space="preserve"> sau </w:t>
      </w:r>
      <w:r>
        <w:rPr>
          <w:b/>
          <w:sz w:val="24"/>
          <w:szCs w:val="24"/>
        </w:rPr>
        <w:t>A2-s1d0</w:t>
      </w:r>
      <w:r>
        <w:rPr>
          <w:sz w:val="24"/>
          <w:szCs w:val="24"/>
        </w:rPr>
        <w:t xml:space="preserve"> și uşi rezistente la foc și etanșe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b/>
          <w:sz w:val="24"/>
          <w:szCs w:val="24"/>
        </w:rPr>
        <w:t>.</w:t>
      </w:r>
    </w:p>
    <w:p w14:paraId="508F3590" w14:textId="77777777" w:rsidR="001C08A5" w:rsidRDefault="00000000">
      <w:pPr>
        <w:ind w:firstLine="720"/>
        <w:jc w:val="both"/>
        <w:rPr>
          <w:sz w:val="24"/>
          <w:szCs w:val="24"/>
        </w:rPr>
      </w:pPr>
      <w:r>
        <w:rPr>
          <w:b/>
          <w:sz w:val="24"/>
          <w:szCs w:val="24"/>
        </w:rPr>
        <w:t>(2)</w:t>
      </w:r>
      <w:r>
        <w:rPr>
          <w:sz w:val="24"/>
          <w:szCs w:val="24"/>
        </w:rPr>
        <w:t xml:space="preserve"> Ușile încăperilor tampon se prevăd cu bare antipanică.</w:t>
      </w:r>
    </w:p>
    <w:p w14:paraId="2106A88F" w14:textId="77777777" w:rsidR="001C08A5" w:rsidRDefault="00000000">
      <w:pPr>
        <w:ind w:firstLine="720"/>
        <w:jc w:val="both"/>
        <w:rPr>
          <w:sz w:val="24"/>
          <w:szCs w:val="24"/>
        </w:rPr>
      </w:pPr>
      <w:r>
        <w:rPr>
          <w:b/>
          <w:bCs/>
          <w:sz w:val="24"/>
          <w:szCs w:val="24"/>
        </w:rPr>
        <w:t>(3)</w:t>
      </w:r>
      <w:r>
        <w:rPr>
          <w:sz w:val="24"/>
          <w:szCs w:val="24"/>
        </w:rPr>
        <w:t xml:space="preserve"> Ușile de evacuare ce debuseaza in exteriorul constructiei  se prevăd cu bare antipanică.</w:t>
      </w:r>
    </w:p>
    <w:p w14:paraId="177D4839" w14:textId="77777777" w:rsidR="001C08A5" w:rsidRDefault="001C08A5">
      <w:pPr>
        <w:ind w:firstLine="720"/>
        <w:jc w:val="both"/>
        <w:rPr>
          <w:sz w:val="24"/>
          <w:szCs w:val="24"/>
        </w:rPr>
      </w:pPr>
    </w:p>
    <w:p w14:paraId="3C48771E" w14:textId="77777777" w:rsidR="001C08A5" w:rsidRDefault="00000000">
      <w:pPr>
        <w:jc w:val="both"/>
        <w:rPr>
          <w:sz w:val="24"/>
          <w:szCs w:val="24"/>
        </w:rPr>
      </w:pPr>
      <w:r>
        <w:rPr>
          <w:b/>
          <w:sz w:val="24"/>
          <w:szCs w:val="24"/>
        </w:rPr>
        <w:tab/>
        <w:t>Art. 4.2.5.10. (1)</w:t>
      </w:r>
      <w:r>
        <w:rPr>
          <w:sz w:val="24"/>
          <w:szCs w:val="24"/>
        </w:rPr>
        <w:t xml:space="preserve"> Rampele scărilor închise aferente nivelurilor subterane, se separă de rampele scărilor nivelurilor supraterane prin pereţi rezistenţi la foc </w:t>
      </w:r>
      <w:r>
        <w:rPr>
          <w:b/>
          <w:sz w:val="24"/>
          <w:szCs w:val="24"/>
        </w:rPr>
        <w:t xml:space="preserve">EI/REI 180 </w:t>
      </w:r>
      <w:r>
        <w:rPr>
          <w:sz w:val="24"/>
          <w:szCs w:val="24"/>
        </w:rPr>
        <w:t xml:space="preserve">şi planşee </w:t>
      </w:r>
      <w:r>
        <w:rPr>
          <w:b/>
          <w:sz w:val="24"/>
          <w:szCs w:val="24"/>
        </w:rPr>
        <w:t>REI 180</w:t>
      </w:r>
      <w:r>
        <w:rPr>
          <w:sz w:val="24"/>
          <w:szCs w:val="24"/>
        </w:rPr>
        <w:t xml:space="preserve">, clasa de reacţie la foc </w:t>
      </w:r>
      <w:r>
        <w:rPr>
          <w:b/>
          <w:sz w:val="24"/>
          <w:szCs w:val="24"/>
        </w:rPr>
        <w:t>A1</w:t>
      </w:r>
      <w:r>
        <w:rPr>
          <w:bCs/>
          <w:sz w:val="24"/>
          <w:szCs w:val="24"/>
        </w:rPr>
        <w:t xml:space="preserve"> sau </w:t>
      </w:r>
      <w:r>
        <w:rPr>
          <w:b/>
          <w:sz w:val="24"/>
          <w:szCs w:val="24"/>
        </w:rPr>
        <w:t>A2-s1d0</w:t>
      </w:r>
      <w:r>
        <w:rPr>
          <w:sz w:val="24"/>
          <w:szCs w:val="24"/>
        </w:rPr>
        <w:t xml:space="preserve">. </w:t>
      </w:r>
    </w:p>
    <w:p w14:paraId="430E8D85" w14:textId="77777777" w:rsidR="001C08A5" w:rsidRDefault="00000000">
      <w:pPr>
        <w:ind w:firstLine="720"/>
        <w:jc w:val="both"/>
        <w:rPr>
          <w:sz w:val="24"/>
          <w:szCs w:val="24"/>
        </w:rPr>
      </w:pPr>
      <w:r>
        <w:rPr>
          <w:b/>
          <w:sz w:val="24"/>
          <w:szCs w:val="24"/>
        </w:rPr>
        <w:t>(2)</w:t>
      </w:r>
      <w:r>
        <w:rPr>
          <w:sz w:val="24"/>
          <w:szCs w:val="24"/>
        </w:rPr>
        <w:t xml:space="preserve"> Comunicarea funcţională între rampele scărilor subterane şi rampele scărilor supraterane se poate asigura printr-o uşă rezistentă la foc și etanșă la fum </w:t>
      </w:r>
      <w:r>
        <w:rPr>
          <w:b/>
          <w:sz w:val="24"/>
          <w:szCs w:val="24"/>
        </w:rPr>
        <w:t>EI</w:t>
      </w:r>
      <w:r>
        <w:rPr>
          <w:b/>
          <w:sz w:val="24"/>
          <w:szCs w:val="24"/>
          <w:vertAlign w:val="subscript"/>
        </w:rPr>
        <w:t>2</w:t>
      </w:r>
      <w:r>
        <w:rPr>
          <w:b/>
          <w:sz w:val="24"/>
          <w:szCs w:val="24"/>
        </w:rPr>
        <w:t xml:space="preserve"> 120-C5S</w:t>
      </w:r>
      <w:r>
        <w:rPr>
          <w:b/>
          <w:bCs/>
          <w:sz w:val="24"/>
          <w:szCs w:val="24"/>
          <w:vertAlign w:val="subscript"/>
        </w:rPr>
        <w:t>200</w:t>
      </w:r>
      <w:r>
        <w:rPr>
          <w:sz w:val="24"/>
          <w:szCs w:val="24"/>
        </w:rPr>
        <w:t xml:space="preserve">, dispusă la parter sau palierul intermediar dintre parter și primul nivel al subsolului, </w:t>
      </w:r>
      <w:r>
        <w:rPr>
          <w:bCs/>
          <w:spacing w:val="-2"/>
          <w:sz w:val="24"/>
          <w:szCs w:val="24"/>
        </w:rPr>
        <w:t>cu deschidere în sensul de evacuare.</w:t>
      </w:r>
    </w:p>
    <w:p w14:paraId="2057F611" w14:textId="77777777" w:rsidR="001C08A5" w:rsidRDefault="00000000">
      <w:pPr>
        <w:ind w:firstLine="720"/>
        <w:jc w:val="both"/>
        <w:rPr>
          <w:sz w:val="24"/>
          <w:szCs w:val="24"/>
        </w:rPr>
      </w:pPr>
      <w:r>
        <w:rPr>
          <w:b/>
          <w:bCs/>
          <w:sz w:val="24"/>
          <w:szCs w:val="24"/>
        </w:rPr>
        <w:t>(3)</w:t>
      </w:r>
      <w:r>
        <w:rPr>
          <w:sz w:val="24"/>
          <w:szCs w:val="24"/>
        </w:rPr>
        <w:t xml:space="preserve"> Dacă nu există comunicare între rampa subterană şi cea supraterană, golul de ieşire al rampei subterane în holul de la parter se protejază cu uşă rezistentă la foc și etanșă la fum </w:t>
      </w:r>
      <w:r>
        <w:rPr>
          <w:b/>
          <w:sz w:val="24"/>
          <w:szCs w:val="24"/>
        </w:rPr>
        <w:t>EI</w:t>
      </w:r>
      <w:r>
        <w:rPr>
          <w:b/>
          <w:sz w:val="24"/>
          <w:szCs w:val="24"/>
          <w:vertAlign w:val="subscript"/>
        </w:rPr>
        <w:t>2</w:t>
      </w:r>
      <w:r>
        <w:rPr>
          <w:b/>
          <w:sz w:val="24"/>
          <w:szCs w:val="24"/>
        </w:rPr>
        <w:t xml:space="preserve"> 120-C5S</w:t>
      </w:r>
      <w:r>
        <w:rPr>
          <w:b/>
          <w:bCs/>
          <w:sz w:val="24"/>
          <w:szCs w:val="24"/>
          <w:vertAlign w:val="subscript"/>
        </w:rPr>
        <w:t>200</w:t>
      </w:r>
      <w:r>
        <w:rPr>
          <w:sz w:val="24"/>
          <w:szCs w:val="24"/>
        </w:rPr>
        <w:t xml:space="preserve">, </w:t>
      </w:r>
      <w:r>
        <w:rPr>
          <w:bCs/>
          <w:spacing w:val="-2"/>
          <w:sz w:val="24"/>
          <w:szCs w:val="24"/>
        </w:rPr>
        <w:t>cu deschidere în sensul de evacuare.</w:t>
      </w:r>
    </w:p>
    <w:p w14:paraId="6987C057" w14:textId="77777777" w:rsidR="001C08A5" w:rsidRDefault="001C08A5">
      <w:pPr>
        <w:jc w:val="both"/>
        <w:rPr>
          <w:sz w:val="24"/>
          <w:szCs w:val="24"/>
        </w:rPr>
      </w:pPr>
    </w:p>
    <w:p w14:paraId="17EAC577" w14:textId="77777777" w:rsidR="001C08A5" w:rsidRDefault="00000000">
      <w:pPr>
        <w:jc w:val="both"/>
        <w:rPr>
          <w:sz w:val="24"/>
          <w:szCs w:val="24"/>
        </w:rPr>
      </w:pPr>
      <w:r>
        <w:rPr>
          <w:b/>
          <w:sz w:val="24"/>
          <w:szCs w:val="24"/>
        </w:rPr>
        <w:tab/>
        <w:t xml:space="preserve">Art. 4.2.5.11. (1) </w:t>
      </w:r>
      <w:r>
        <w:rPr>
          <w:sz w:val="24"/>
          <w:szCs w:val="24"/>
        </w:rPr>
        <w:t xml:space="preserve">Finisajele interioare ale pereţilor, plafoanelor și pardoselilor căilor comune de circulaţie funcţională şi evacuare a utilizatorilor clădirilor foarte înalte trebuie să fie clasa de reacţie la foc </w:t>
      </w:r>
      <w:r>
        <w:rPr>
          <w:b/>
          <w:sz w:val="24"/>
          <w:szCs w:val="24"/>
        </w:rPr>
        <w:t>A1</w:t>
      </w:r>
      <w:r>
        <w:rPr>
          <w:sz w:val="24"/>
          <w:szCs w:val="24"/>
        </w:rPr>
        <w:t xml:space="preserve"> sau </w:t>
      </w:r>
      <w:r>
        <w:rPr>
          <w:b/>
          <w:sz w:val="24"/>
          <w:szCs w:val="24"/>
        </w:rPr>
        <w:t>A2-s1d0</w:t>
      </w:r>
      <w:r>
        <w:rPr>
          <w:sz w:val="24"/>
          <w:szCs w:val="24"/>
        </w:rPr>
        <w:t xml:space="preserve">, respectiv </w:t>
      </w:r>
      <w:r>
        <w:rPr>
          <w:b/>
          <w:sz w:val="24"/>
          <w:szCs w:val="24"/>
        </w:rPr>
        <w:t>A1</w:t>
      </w:r>
      <w:r>
        <w:rPr>
          <w:b/>
          <w:sz w:val="24"/>
          <w:szCs w:val="24"/>
          <w:vertAlign w:val="subscript"/>
        </w:rPr>
        <w:t>FL</w:t>
      </w:r>
      <w:r>
        <w:rPr>
          <w:sz w:val="24"/>
          <w:szCs w:val="24"/>
        </w:rPr>
        <w:t xml:space="preserve">sau </w:t>
      </w:r>
      <w:r>
        <w:rPr>
          <w:b/>
          <w:sz w:val="24"/>
          <w:szCs w:val="24"/>
        </w:rPr>
        <w:t>A2</w:t>
      </w:r>
      <w:r>
        <w:rPr>
          <w:b/>
          <w:sz w:val="24"/>
          <w:szCs w:val="24"/>
          <w:vertAlign w:val="subscript"/>
        </w:rPr>
        <w:t>FL</w:t>
      </w:r>
      <w:r>
        <w:rPr>
          <w:b/>
          <w:sz w:val="24"/>
          <w:szCs w:val="24"/>
        </w:rPr>
        <w:t>-s1</w:t>
      </w:r>
      <w:r>
        <w:rPr>
          <w:sz w:val="24"/>
          <w:szCs w:val="24"/>
        </w:rPr>
        <w:t>.</w:t>
      </w:r>
    </w:p>
    <w:p w14:paraId="24A62360" w14:textId="77777777" w:rsidR="001C08A5" w:rsidRDefault="00000000">
      <w:pPr>
        <w:ind w:firstLine="720"/>
        <w:jc w:val="both"/>
        <w:rPr>
          <w:b/>
          <w:sz w:val="24"/>
          <w:szCs w:val="24"/>
        </w:rPr>
      </w:pPr>
      <w:r>
        <w:rPr>
          <w:b/>
          <w:sz w:val="24"/>
          <w:szCs w:val="24"/>
        </w:rPr>
        <w:lastRenderedPageBreak/>
        <w:t>(2)</w:t>
      </w:r>
      <w:r>
        <w:rPr>
          <w:sz w:val="24"/>
          <w:szCs w:val="24"/>
        </w:rPr>
        <w:t xml:space="preserve"> Pe căile comune de circulaţie orizontala functionala și de evacuare  a utilizatorilor (coridoare, holuri) se admit și finisaje clasa de reactie la foc minimum </w:t>
      </w:r>
      <w:r>
        <w:rPr>
          <w:b/>
          <w:sz w:val="24"/>
          <w:szCs w:val="24"/>
        </w:rPr>
        <w:t>B-s1d0</w:t>
      </w:r>
      <w:r>
        <w:rPr>
          <w:sz w:val="24"/>
          <w:szCs w:val="24"/>
        </w:rPr>
        <w:t xml:space="preserve"> din folii cu grosimea de maxim </w:t>
      </w:r>
      <w:r>
        <w:rPr>
          <w:b/>
          <w:bCs/>
          <w:sz w:val="24"/>
          <w:szCs w:val="24"/>
        </w:rPr>
        <w:t>0,5 cm</w:t>
      </w:r>
      <w:r>
        <w:rPr>
          <w:sz w:val="24"/>
          <w:szCs w:val="24"/>
        </w:rPr>
        <w:t xml:space="preserve"> care se lipesc pe suport </w:t>
      </w:r>
      <w:r>
        <w:rPr>
          <w:b/>
          <w:sz w:val="24"/>
          <w:szCs w:val="24"/>
        </w:rPr>
        <w:t>A1</w:t>
      </w:r>
      <w:r>
        <w:rPr>
          <w:sz w:val="24"/>
          <w:szCs w:val="24"/>
        </w:rPr>
        <w:t xml:space="preserve"> sau </w:t>
      </w:r>
      <w:r>
        <w:rPr>
          <w:b/>
          <w:sz w:val="24"/>
          <w:szCs w:val="24"/>
        </w:rPr>
        <w:t xml:space="preserve">A2-s1d0 și </w:t>
      </w:r>
      <w:r>
        <w:rPr>
          <w:sz w:val="24"/>
          <w:szCs w:val="24"/>
        </w:rPr>
        <w:t xml:space="preserve">mochete, minimum </w:t>
      </w:r>
      <w:r>
        <w:rPr>
          <w:b/>
          <w:sz w:val="24"/>
          <w:szCs w:val="24"/>
        </w:rPr>
        <w:t>B</w:t>
      </w:r>
      <w:r>
        <w:rPr>
          <w:b/>
          <w:sz w:val="24"/>
          <w:szCs w:val="24"/>
          <w:vertAlign w:val="subscript"/>
        </w:rPr>
        <w:t>FL</w:t>
      </w:r>
      <w:r>
        <w:rPr>
          <w:b/>
          <w:sz w:val="24"/>
          <w:szCs w:val="24"/>
        </w:rPr>
        <w:t>-s1,</w:t>
      </w:r>
      <w:r>
        <w:rPr>
          <w:sz w:val="24"/>
          <w:szCs w:val="24"/>
        </w:rPr>
        <w:t xml:space="preserve"> cu grosimea de maxim </w:t>
      </w:r>
      <w:r>
        <w:rPr>
          <w:b/>
          <w:bCs/>
          <w:sz w:val="24"/>
          <w:szCs w:val="24"/>
        </w:rPr>
        <w:t>2 cm</w:t>
      </w:r>
      <w:r>
        <w:rPr>
          <w:sz w:val="24"/>
          <w:szCs w:val="24"/>
        </w:rPr>
        <w:t xml:space="preserve">, montate direct sau pe un strat fonoizolator la zgomot de impact, care se lipesc pe suport </w:t>
      </w:r>
      <w:r>
        <w:rPr>
          <w:b/>
          <w:sz w:val="24"/>
          <w:szCs w:val="24"/>
        </w:rPr>
        <w:t>A1</w:t>
      </w:r>
      <w:r>
        <w:rPr>
          <w:sz w:val="24"/>
          <w:szCs w:val="24"/>
        </w:rPr>
        <w:t xml:space="preserve"> sau </w:t>
      </w:r>
      <w:r>
        <w:rPr>
          <w:b/>
          <w:sz w:val="24"/>
          <w:szCs w:val="24"/>
        </w:rPr>
        <w:t>A2-s1d0.</w:t>
      </w:r>
    </w:p>
    <w:p w14:paraId="14A7D5BF" w14:textId="77777777" w:rsidR="001C08A5" w:rsidRDefault="00000000">
      <w:pPr>
        <w:ind w:firstLine="720"/>
        <w:jc w:val="both"/>
        <w:rPr>
          <w:sz w:val="24"/>
          <w:szCs w:val="24"/>
        </w:rPr>
      </w:pPr>
      <w:r>
        <w:rPr>
          <w:b/>
          <w:sz w:val="24"/>
          <w:szCs w:val="24"/>
        </w:rPr>
        <w:t>(3)</w:t>
      </w:r>
      <w:r>
        <w:rPr>
          <w:sz w:val="24"/>
          <w:szCs w:val="24"/>
        </w:rPr>
        <w:t xml:space="preserve"> Pardoselile supraînălţate se realizeaza conform </w:t>
      </w:r>
      <w:r>
        <w:rPr>
          <w:b/>
          <w:sz w:val="24"/>
          <w:szCs w:val="24"/>
        </w:rPr>
        <w:t>Art. 2.4.5.4</w:t>
      </w:r>
      <w:r>
        <w:rPr>
          <w:sz w:val="24"/>
          <w:szCs w:val="24"/>
        </w:rPr>
        <w:t>.</w:t>
      </w:r>
    </w:p>
    <w:p w14:paraId="05BFB8E3" w14:textId="77777777" w:rsidR="001C08A5" w:rsidRDefault="00000000">
      <w:pPr>
        <w:ind w:firstLine="720"/>
        <w:jc w:val="both"/>
        <w:rPr>
          <w:b/>
          <w:sz w:val="24"/>
          <w:szCs w:val="24"/>
        </w:rPr>
      </w:pPr>
      <w:r>
        <w:rPr>
          <w:b/>
          <w:sz w:val="24"/>
          <w:szCs w:val="24"/>
        </w:rPr>
        <w:t>(4)</w:t>
      </w:r>
      <w:r>
        <w:rPr>
          <w:sz w:val="24"/>
          <w:szCs w:val="24"/>
        </w:rPr>
        <w:t xml:space="preserve"> Tratamentele şi izolaţiile termice și fonice interioare utilizate pe căile comune de circulaţie trebuie să fie clasa de reacție la foc </w:t>
      </w:r>
      <w:r>
        <w:rPr>
          <w:b/>
          <w:sz w:val="24"/>
          <w:szCs w:val="24"/>
        </w:rPr>
        <w:t>A1</w:t>
      </w:r>
      <w:r>
        <w:rPr>
          <w:sz w:val="24"/>
          <w:szCs w:val="24"/>
        </w:rPr>
        <w:t xml:space="preserve"> sau </w:t>
      </w:r>
      <w:r>
        <w:rPr>
          <w:b/>
          <w:sz w:val="24"/>
          <w:szCs w:val="24"/>
        </w:rPr>
        <w:t>A2-s1d0</w:t>
      </w:r>
      <w:r>
        <w:rPr>
          <w:sz w:val="24"/>
          <w:szCs w:val="24"/>
        </w:rPr>
        <w:t xml:space="preserve">, respectiv </w:t>
      </w:r>
      <w:r>
        <w:rPr>
          <w:b/>
          <w:sz w:val="24"/>
          <w:szCs w:val="24"/>
        </w:rPr>
        <w:t>A1</w:t>
      </w:r>
      <w:r>
        <w:rPr>
          <w:b/>
          <w:sz w:val="24"/>
          <w:szCs w:val="24"/>
          <w:vertAlign w:val="subscript"/>
        </w:rPr>
        <w:t>FL</w:t>
      </w:r>
      <w:r>
        <w:rPr>
          <w:sz w:val="24"/>
          <w:szCs w:val="24"/>
        </w:rPr>
        <w:t xml:space="preserve">sau </w:t>
      </w:r>
      <w:r>
        <w:rPr>
          <w:b/>
          <w:sz w:val="24"/>
          <w:szCs w:val="24"/>
        </w:rPr>
        <w:t>A2</w:t>
      </w:r>
      <w:r>
        <w:rPr>
          <w:b/>
          <w:sz w:val="24"/>
          <w:szCs w:val="24"/>
          <w:vertAlign w:val="subscript"/>
        </w:rPr>
        <w:t>FL</w:t>
      </w:r>
      <w:r>
        <w:rPr>
          <w:b/>
          <w:sz w:val="24"/>
          <w:szCs w:val="24"/>
        </w:rPr>
        <w:t>-s1</w:t>
      </w:r>
      <w:r>
        <w:rPr>
          <w:sz w:val="24"/>
          <w:szCs w:val="24"/>
        </w:rPr>
        <w:t>.</w:t>
      </w:r>
    </w:p>
    <w:p w14:paraId="27248E4B" w14:textId="77777777" w:rsidR="001C08A5" w:rsidRDefault="001C08A5">
      <w:pPr>
        <w:jc w:val="both"/>
        <w:rPr>
          <w:sz w:val="24"/>
          <w:szCs w:val="24"/>
        </w:rPr>
      </w:pPr>
    </w:p>
    <w:p w14:paraId="4073A511" w14:textId="77777777" w:rsidR="001C08A5" w:rsidRDefault="00000000">
      <w:pPr>
        <w:jc w:val="both"/>
        <w:rPr>
          <w:sz w:val="24"/>
          <w:szCs w:val="24"/>
        </w:rPr>
      </w:pPr>
      <w:r>
        <w:rPr>
          <w:b/>
          <w:sz w:val="24"/>
          <w:szCs w:val="24"/>
        </w:rPr>
        <w:tab/>
        <w:t xml:space="preserve">Art. 4.2.5.12. (1) </w:t>
      </w:r>
      <w:r>
        <w:rPr>
          <w:sz w:val="24"/>
          <w:szCs w:val="24"/>
        </w:rPr>
        <w:t>Circulaţiile comune orizontale (coridoare, holuri, vestibuluri) se prevăd cu sisteme  de evacuare a fumului şi gazelor fierbinţi cu ventilare mecanică ori se pun în suprapresiune, conform prevederilor normativului şi ale reglementărilor tehnice de specialitate.</w:t>
      </w:r>
    </w:p>
    <w:p w14:paraId="2F906481" w14:textId="77777777" w:rsidR="001C08A5" w:rsidRDefault="00000000">
      <w:pPr>
        <w:jc w:val="both"/>
        <w:rPr>
          <w:sz w:val="24"/>
          <w:szCs w:val="24"/>
        </w:rPr>
      </w:pPr>
      <w:r>
        <w:rPr>
          <w:sz w:val="24"/>
          <w:szCs w:val="24"/>
        </w:rPr>
        <w:tab/>
      </w:r>
      <w:r>
        <w:rPr>
          <w:b/>
          <w:bCs/>
          <w:sz w:val="24"/>
          <w:szCs w:val="24"/>
        </w:rPr>
        <w:t>(2)</w:t>
      </w:r>
      <w:r>
        <w:rPr>
          <w:sz w:val="24"/>
          <w:szCs w:val="24"/>
        </w:rPr>
        <w:t xml:space="preserve"> Evacuarea fumului şi gazelor fierbinţi în caz de incendiu din casele de scări supraterane închise precum și din încăperile tampon ale acestora se pun în suprapresiune. Evacuarea fumului şi a gazelor fierbinţi în caz de incendiu din casele de scări subterane închise și la încăperile tampon ale acestora se asigură numai prin tiraj natural organizat, sau acestea se pun în suprapresiune,.</w:t>
      </w:r>
    </w:p>
    <w:p w14:paraId="516C6ED8" w14:textId="77777777" w:rsidR="001C08A5" w:rsidRDefault="00000000">
      <w:pPr>
        <w:ind w:firstLine="720"/>
        <w:jc w:val="both"/>
        <w:rPr>
          <w:sz w:val="24"/>
          <w:szCs w:val="24"/>
        </w:rPr>
      </w:pPr>
      <w:r>
        <w:rPr>
          <w:b/>
          <w:sz w:val="24"/>
          <w:szCs w:val="24"/>
        </w:rPr>
        <w:t>(3)</w:t>
      </w:r>
      <w:r>
        <w:rPr>
          <w:sz w:val="24"/>
          <w:szCs w:val="24"/>
        </w:rPr>
        <w:t xml:space="preserve"> Evacuarea fumului şi a gazelor fierbinţi în caz de incendiu din casele de scări închise şi din circulaţiile comune orizontale subterane se asigură separat faţă de cele ale nivelurilor supraterane.</w:t>
      </w:r>
    </w:p>
    <w:p w14:paraId="47E54755" w14:textId="77777777" w:rsidR="001C08A5" w:rsidRDefault="00000000">
      <w:pPr>
        <w:pStyle w:val="Heading4"/>
      </w:pPr>
      <w:bookmarkStart w:id="4558" w:name="_Toc22166"/>
      <w:bookmarkStart w:id="4559" w:name="_Toc26101"/>
      <w:bookmarkStart w:id="4560" w:name="_Toc6856"/>
      <w:bookmarkStart w:id="4561" w:name="_Toc20363"/>
      <w:bookmarkStart w:id="4562" w:name="_Toc2015"/>
      <w:bookmarkStart w:id="4563" w:name="_Toc24846"/>
      <w:bookmarkStart w:id="4564" w:name="_Toc11275"/>
      <w:bookmarkStart w:id="4565" w:name="_Toc162355323"/>
      <w:r>
        <w:t>4.2.6. CONDIŢII DE ACCES, INTERVENŢIE ȘI SALVARE ÎN CAZ DE INCENDIU</w:t>
      </w:r>
      <w:bookmarkEnd w:id="4558"/>
      <w:bookmarkEnd w:id="4559"/>
      <w:bookmarkEnd w:id="4560"/>
      <w:bookmarkEnd w:id="4561"/>
      <w:bookmarkEnd w:id="4562"/>
      <w:bookmarkEnd w:id="4563"/>
      <w:bookmarkEnd w:id="4564"/>
      <w:bookmarkEnd w:id="4565"/>
    </w:p>
    <w:p w14:paraId="41EE732D" w14:textId="77777777" w:rsidR="001C08A5" w:rsidRDefault="00000000">
      <w:pPr>
        <w:jc w:val="both"/>
        <w:rPr>
          <w:b/>
          <w:sz w:val="24"/>
          <w:szCs w:val="24"/>
        </w:rPr>
      </w:pPr>
      <w:r>
        <w:rPr>
          <w:sz w:val="24"/>
          <w:szCs w:val="24"/>
        </w:rPr>
        <w:tab/>
      </w:r>
      <w:r>
        <w:rPr>
          <w:sz w:val="24"/>
          <w:szCs w:val="24"/>
        </w:rPr>
        <w:tab/>
      </w:r>
    </w:p>
    <w:p w14:paraId="73C56361" w14:textId="77777777" w:rsidR="001C08A5" w:rsidRDefault="00000000">
      <w:pPr>
        <w:ind w:firstLine="567"/>
        <w:jc w:val="both"/>
        <w:rPr>
          <w:sz w:val="24"/>
          <w:szCs w:val="24"/>
        </w:rPr>
      </w:pPr>
      <w:r>
        <w:rPr>
          <w:b/>
          <w:sz w:val="24"/>
          <w:szCs w:val="24"/>
        </w:rPr>
        <w:tab/>
        <w:t>Art. 4.2.6.1.</w:t>
      </w:r>
      <w:r>
        <w:rPr>
          <w:sz w:val="24"/>
          <w:szCs w:val="24"/>
        </w:rPr>
        <w:t xml:space="preserve"> La clădirile foarte înalte se asigură căi de acces şi de intervenţie pentru autospecialele de intervenţie cel puţin </w:t>
      </w:r>
      <w:r>
        <w:rPr>
          <w:bCs/>
          <w:sz w:val="24"/>
          <w:szCs w:val="24"/>
        </w:rPr>
        <w:t xml:space="preserve">integral pe două (2) laturi alăturate </w:t>
      </w:r>
      <w:r>
        <w:rPr>
          <w:rFonts w:eastAsia="Times-Roman"/>
          <w:sz w:val="24"/>
          <w:szCs w:val="24"/>
        </w:rPr>
        <w:t xml:space="preserve">şi, totodată, cel puţin pe </w:t>
      </w:r>
      <w:r>
        <w:rPr>
          <w:rFonts w:eastAsia="Times-Roman"/>
          <w:b/>
          <w:bCs/>
          <w:sz w:val="24"/>
          <w:szCs w:val="24"/>
        </w:rPr>
        <w:t>50%</w:t>
      </w:r>
      <w:r>
        <w:rPr>
          <w:rFonts w:eastAsia="Times-Roman"/>
          <w:sz w:val="24"/>
          <w:szCs w:val="24"/>
        </w:rPr>
        <w:t xml:space="preserve"> din perimetrul pereților exteriori.</w:t>
      </w:r>
    </w:p>
    <w:p w14:paraId="76827EDD" w14:textId="77777777" w:rsidR="001C08A5" w:rsidRDefault="00000000">
      <w:pPr>
        <w:ind w:firstLine="720"/>
        <w:jc w:val="both"/>
        <w:rPr>
          <w:sz w:val="24"/>
          <w:szCs w:val="24"/>
        </w:rPr>
      </w:pPr>
      <w:r>
        <w:rPr>
          <w:b/>
          <w:sz w:val="24"/>
          <w:szCs w:val="24"/>
        </w:rPr>
        <w:t>(2)</w:t>
      </w:r>
      <w:r>
        <w:rPr>
          <w:bCs/>
          <w:sz w:val="24"/>
          <w:szCs w:val="24"/>
        </w:rPr>
        <w:t xml:space="preserve"> În</w:t>
      </w:r>
      <w:r>
        <w:rPr>
          <w:sz w:val="24"/>
          <w:szCs w:val="24"/>
        </w:rPr>
        <w:t xml:space="preserve">conformitate cu capacitatea maximă simultană a clădirii foarte înalte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(2) </w:t>
      </w:r>
      <w:r>
        <w:rPr>
          <w:bCs/>
          <w:sz w:val="24"/>
          <w:szCs w:val="24"/>
        </w:rPr>
        <w:t>și</w:t>
      </w:r>
      <w:r>
        <w:rPr>
          <w:b/>
          <w:sz w:val="24"/>
          <w:szCs w:val="24"/>
        </w:rPr>
        <w:t xml:space="preserve"> (3). </w:t>
      </w:r>
      <w:r>
        <w:rPr>
          <w:bCs/>
          <w:sz w:val="24"/>
          <w:szCs w:val="24"/>
        </w:rPr>
        <w:t xml:space="preserve">Pentru o capacitate maxim simultană mai mare de </w:t>
      </w:r>
      <w:r>
        <w:rPr>
          <w:b/>
          <w:sz w:val="24"/>
          <w:szCs w:val="24"/>
        </w:rPr>
        <w:t>2500</w:t>
      </w:r>
      <w:r>
        <w:rPr>
          <w:bCs/>
          <w:sz w:val="24"/>
          <w:szCs w:val="24"/>
        </w:rPr>
        <w:t xml:space="preserve"> de persoane nu se ia în calcul  </w:t>
      </w:r>
      <w:r>
        <w:rPr>
          <w:b/>
          <w:sz w:val="24"/>
          <w:szCs w:val="24"/>
        </w:rPr>
        <w:t xml:space="preserve">Art. </w:t>
      </w:r>
      <w:r>
        <w:rPr>
          <w:b/>
          <w:caps/>
          <w:sz w:val="24"/>
          <w:szCs w:val="24"/>
        </w:rPr>
        <w:t>2.6.</w:t>
      </w:r>
      <w:r>
        <w:rPr>
          <w:b/>
          <w:sz w:val="24"/>
          <w:szCs w:val="24"/>
        </w:rPr>
        <w:t xml:space="preserve">7. </w:t>
      </w:r>
      <w:r>
        <w:rPr>
          <w:bCs/>
          <w:sz w:val="24"/>
          <w:szCs w:val="24"/>
        </w:rPr>
        <w:t>alin.</w:t>
      </w:r>
      <w:r>
        <w:rPr>
          <w:b/>
          <w:sz w:val="24"/>
          <w:szCs w:val="24"/>
        </w:rPr>
        <w:t xml:space="preserve"> (3).</w:t>
      </w:r>
    </w:p>
    <w:p w14:paraId="0749E398" w14:textId="77777777" w:rsidR="001C08A5" w:rsidRDefault="00000000">
      <w:pPr>
        <w:pStyle w:val="Heading4"/>
        <w:jc w:val="both"/>
      </w:pPr>
      <w:bookmarkStart w:id="4566" w:name="_Toc162355324"/>
      <w:bookmarkStart w:id="4567" w:name="_Toc29898"/>
      <w:bookmarkStart w:id="4568" w:name="_Toc3990"/>
      <w:bookmarkStart w:id="4569" w:name="_Toc3623"/>
      <w:bookmarkStart w:id="4570" w:name="_Toc884"/>
      <w:bookmarkStart w:id="4571" w:name="_Toc10502"/>
      <w:r>
        <w:t>4.2.7. ECHIPAREA CONSTRUCŢIILOR CU INSTALAŢII ŞI MIJLOACE DE STINGERE A INCENDIILOR</w:t>
      </w:r>
      <w:bookmarkEnd w:id="4566"/>
      <w:bookmarkEnd w:id="4567"/>
      <w:bookmarkEnd w:id="4568"/>
      <w:bookmarkEnd w:id="4569"/>
      <w:bookmarkEnd w:id="4570"/>
      <w:bookmarkEnd w:id="4571"/>
      <w:r>
        <w:t xml:space="preserve"> </w:t>
      </w:r>
    </w:p>
    <w:p w14:paraId="38ACE2B6" w14:textId="77777777" w:rsidR="001C08A5" w:rsidRDefault="001C08A5">
      <w:pPr>
        <w:jc w:val="both"/>
        <w:rPr>
          <w:sz w:val="24"/>
          <w:szCs w:val="24"/>
        </w:rPr>
      </w:pPr>
    </w:p>
    <w:p w14:paraId="5B822533" w14:textId="77777777" w:rsidR="001C08A5" w:rsidRDefault="00000000">
      <w:pPr>
        <w:jc w:val="both"/>
        <w:rPr>
          <w:b/>
          <w:sz w:val="24"/>
          <w:szCs w:val="24"/>
        </w:rPr>
      </w:pPr>
      <w:r>
        <w:rPr>
          <w:sz w:val="24"/>
          <w:szCs w:val="24"/>
        </w:rPr>
        <w:tab/>
      </w:r>
      <w:r>
        <w:rPr>
          <w:b/>
          <w:sz w:val="24"/>
          <w:szCs w:val="24"/>
        </w:rPr>
        <w:t>Art. 4.2.7.1. (1)</w:t>
      </w:r>
      <w:r>
        <w:rPr>
          <w:sz w:val="24"/>
          <w:szCs w:val="24"/>
        </w:rPr>
        <w:t xml:space="preserve"> Clădirile foarte înalte se echipează cu instalaţii şi mijloace de stingere a incendiilor, precum și cu instalaţii de detectare, semnalizare şi alarmare a incendiului, conform prevederilor reglementărilor tehnice de specialitate.</w:t>
      </w:r>
    </w:p>
    <w:p w14:paraId="2ADA0180" w14:textId="77777777" w:rsidR="001C08A5" w:rsidRDefault="00000000">
      <w:pPr>
        <w:ind w:firstLine="720"/>
        <w:jc w:val="both"/>
        <w:rPr>
          <w:sz w:val="24"/>
          <w:szCs w:val="24"/>
        </w:rPr>
      </w:pPr>
      <w:r>
        <w:rPr>
          <w:b/>
          <w:sz w:val="24"/>
          <w:szCs w:val="24"/>
        </w:rPr>
        <w:t xml:space="preserve">(2) </w:t>
      </w:r>
      <w:r>
        <w:rPr>
          <w:sz w:val="24"/>
          <w:szCs w:val="24"/>
        </w:rPr>
        <w:t xml:space="preserve">Clădirile civile foarte înalte se dotează cu stingătoare, asigurând un stingător portativ cu performanţa de stingere minimă </w:t>
      </w:r>
      <w:r>
        <w:rPr>
          <w:b/>
          <w:sz w:val="24"/>
          <w:szCs w:val="24"/>
        </w:rPr>
        <w:t xml:space="preserve">21A </w:t>
      </w:r>
      <w:r>
        <w:rPr>
          <w:sz w:val="24"/>
          <w:szCs w:val="24"/>
        </w:rPr>
        <w:t xml:space="preserve">şi </w:t>
      </w:r>
      <w:r>
        <w:rPr>
          <w:b/>
          <w:sz w:val="24"/>
          <w:szCs w:val="24"/>
        </w:rPr>
        <w:t xml:space="preserve">113B </w:t>
      </w:r>
      <w:r>
        <w:rPr>
          <w:sz w:val="24"/>
          <w:szCs w:val="24"/>
        </w:rPr>
        <w:t xml:space="preserve">pentru o arie desfăşurată de maximum </w:t>
      </w:r>
      <w:r>
        <w:rPr>
          <w:b/>
          <w:sz w:val="24"/>
          <w:szCs w:val="24"/>
        </w:rPr>
        <w:t xml:space="preserve">200 </w:t>
      </w:r>
      <w:r>
        <w:rPr>
          <w:bCs/>
          <w:sz w:val="24"/>
          <w:szCs w:val="24"/>
        </w:rPr>
        <w:t>m</w:t>
      </w:r>
      <w:r>
        <w:rPr>
          <w:bCs/>
          <w:sz w:val="24"/>
          <w:szCs w:val="24"/>
          <w:vertAlign w:val="superscript"/>
        </w:rPr>
        <w:t>2</w:t>
      </w:r>
      <w:r>
        <w:rPr>
          <w:sz w:val="24"/>
          <w:szCs w:val="24"/>
        </w:rPr>
        <w:t>, dar minimum două stingătoare pe fiecare nivel al clădirii.</w:t>
      </w:r>
    </w:p>
    <w:p w14:paraId="08785B87" w14:textId="77777777" w:rsidR="001C08A5" w:rsidRDefault="001C08A5">
      <w:pPr>
        <w:jc w:val="both"/>
        <w:rPr>
          <w:sz w:val="24"/>
          <w:szCs w:val="24"/>
        </w:rPr>
      </w:pPr>
    </w:p>
    <w:p w14:paraId="0C5BFD39" w14:textId="77777777" w:rsidR="001C08A5" w:rsidRDefault="00000000">
      <w:pPr>
        <w:pStyle w:val="Heading3"/>
      </w:pPr>
      <w:bookmarkStart w:id="4572" w:name="_Toc162355325"/>
      <w:bookmarkStart w:id="4573" w:name="_Toc25908"/>
      <w:bookmarkStart w:id="4574" w:name="_Toc13269"/>
      <w:bookmarkStart w:id="4575" w:name="_Toc20970"/>
      <w:bookmarkStart w:id="4576" w:name="_Toc12523"/>
      <w:bookmarkStart w:id="4577" w:name="_Toc11768"/>
      <w:bookmarkStart w:id="4578" w:name="_Toc20882"/>
      <w:bookmarkStart w:id="4579" w:name="_Toc5745"/>
      <w:bookmarkStart w:id="4580" w:name="_Toc5203"/>
      <w:bookmarkStart w:id="4581" w:name="_Toc29088"/>
      <w:r>
        <w:t>SECŢIUNEA III</w:t>
      </w:r>
      <w:bookmarkEnd w:id="4572"/>
      <w:bookmarkEnd w:id="4573"/>
      <w:bookmarkEnd w:id="4574"/>
      <w:bookmarkEnd w:id="4575"/>
      <w:bookmarkEnd w:id="4576"/>
      <w:bookmarkEnd w:id="4577"/>
      <w:bookmarkEnd w:id="4578"/>
      <w:bookmarkEnd w:id="4579"/>
      <w:bookmarkEnd w:id="4580"/>
      <w:bookmarkEnd w:id="4581"/>
    </w:p>
    <w:p w14:paraId="400E2982" w14:textId="77777777" w:rsidR="001C08A5" w:rsidRDefault="00000000">
      <w:pPr>
        <w:pStyle w:val="Heading3"/>
        <w:rPr>
          <w:rFonts w:cs="Times New Roman"/>
          <w:sz w:val="24"/>
          <w:szCs w:val="24"/>
        </w:rPr>
      </w:pPr>
      <w:bookmarkStart w:id="4582" w:name="_Toc21465"/>
      <w:bookmarkStart w:id="4583" w:name="_Toc26663"/>
      <w:bookmarkStart w:id="4584" w:name="_Toc21072"/>
      <w:bookmarkStart w:id="4585" w:name="_Toc26469"/>
      <w:bookmarkStart w:id="4586" w:name="_Toc8494"/>
      <w:bookmarkStart w:id="4587" w:name="_Toc11168"/>
      <w:bookmarkStart w:id="4588" w:name="_Toc28838"/>
      <w:bookmarkStart w:id="4589" w:name="_Toc20133"/>
      <w:bookmarkStart w:id="4590" w:name="_Toc162355326"/>
      <w:bookmarkStart w:id="4591" w:name="_Toc12206"/>
      <w:r>
        <w:t>4.3. Clădiri civile cu săli aglomerate</w:t>
      </w:r>
      <w:bookmarkEnd w:id="4582"/>
      <w:bookmarkEnd w:id="4583"/>
      <w:bookmarkEnd w:id="4584"/>
      <w:bookmarkEnd w:id="4585"/>
      <w:bookmarkEnd w:id="4586"/>
      <w:bookmarkEnd w:id="4587"/>
      <w:bookmarkEnd w:id="4588"/>
      <w:bookmarkEnd w:id="4589"/>
      <w:bookmarkEnd w:id="4590"/>
      <w:bookmarkEnd w:id="4591"/>
    </w:p>
    <w:p w14:paraId="7A5B23BC" w14:textId="77777777" w:rsidR="001C08A5" w:rsidRDefault="00000000">
      <w:pPr>
        <w:pStyle w:val="Heading4"/>
      </w:pPr>
      <w:bookmarkStart w:id="4592" w:name="_Toc26418"/>
      <w:bookmarkStart w:id="4593" w:name="_Toc30813"/>
      <w:bookmarkStart w:id="4594" w:name="_Toc32392"/>
      <w:bookmarkStart w:id="4595" w:name="_Toc14636"/>
      <w:bookmarkStart w:id="4596" w:name="_Toc162355327"/>
      <w:bookmarkStart w:id="4597" w:name="_Toc25688"/>
      <w:bookmarkStart w:id="4598" w:name="_Toc19962"/>
      <w:bookmarkStart w:id="4599" w:name="_Toc6051"/>
      <w:r>
        <w:t>4.3.1. CONDIŢII COMUNE DE PERFORMANŢĂ A CONSTRUCŢIILOR (Risc de incendiu,  Nivel de stabilitate la incendiu al construcţiei)</w:t>
      </w:r>
      <w:bookmarkEnd w:id="4592"/>
      <w:bookmarkEnd w:id="4593"/>
      <w:bookmarkEnd w:id="4594"/>
      <w:bookmarkEnd w:id="4595"/>
      <w:bookmarkEnd w:id="4596"/>
      <w:bookmarkEnd w:id="4597"/>
      <w:bookmarkEnd w:id="4598"/>
      <w:bookmarkEnd w:id="4599"/>
    </w:p>
    <w:p w14:paraId="1576D664" w14:textId="77777777" w:rsidR="001C08A5" w:rsidRDefault="001C08A5">
      <w:pPr>
        <w:jc w:val="both"/>
        <w:rPr>
          <w:sz w:val="24"/>
          <w:szCs w:val="24"/>
        </w:rPr>
      </w:pPr>
    </w:p>
    <w:p w14:paraId="0B0B6DCF" w14:textId="77777777" w:rsidR="001C08A5" w:rsidRDefault="00000000">
      <w:pPr>
        <w:jc w:val="both"/>
        <w:rPr>
          <w:b/>
          <w:sz w:val="24"/>
          <w:szCs w:val="24"/>
        </w:rPr>
      </w:pPr>
      <w:r>
        <w:rPr>
          <w:b/>
          <w:sz w:val="24"/>
          <w:szCs w:val="24"/>
        </w:rPr>
        <w:tab/>
        <w:t xml:space="preserve">Art. </w:t>
      </w:r>
      <w:r>
        <w:rPr>
          <w:b/>
          <w:caps/>
          <w:sz w:val="24"/>
          <w:szCs w:val="24"/>
        </w:rPr>
        <w:t>4.3.1.</w:t>
      </w:r>
      <w:r>
        <w:rPr>
          <w:b/>
          <w:sz w:val="24"/>
          <w:szCs w:val="24"/>
        </w:rPr>
        <w:t xml:space="preserve">1. (1) </w:t>
      </w:r>
      <w:r>
        <w:rPr>
          <w:sz w:val="24"/>
          <w:szCs w:val="24"/>
        </w:rPr>
        <w:t>Măsurile de securitate la incendiu la sălile aglomerate se stabilesc în funcţie de destinaţie, categoria sălii aglomerate, capacitatea maximum simultană de utilizatori, starea utilizatorilor, numărul de niveluri și nivelul de stabilitate la incendiu al construcţiei.</w:t>
      </w:r>
    </w:p>
    <w:p w14:paraId="50804982" w14:textId="77777777" w:rsidR="001C08A5" w:rsidRDefault="00000000">
      <w:pPr>
        <w:ind w:firstLine="720"/>
        <w:jc w:val="both"/>
        <w:rPr>
          <w:sz w:val="24"/>
          <w:szCs w:val="24"/>
        </w:rPr>
      </w:pPr>
      <w:r>
        <w:rPr>
          <w:b/>
          <w:sz w:val="24"/>
          <w:szCs w:val="24"/>
        </w:rPr>
        <w:t xml:space="preserve">(2) </w:t>
      </w:r>
      <w:r>
        <w:rPr>
          <w:sz w:val="24"/>
          <w:szCs w:val="24"/>
        </w:rPr>
        <w:t xml:space="preserve">Nivelul de stabilitate la incendiu al clădirilor cu săli aglomerate se determină conform prevederilor din </w:t>
      </w:r>
      <w:r>
        <w:rPr>
          <w:b/>
          <w:sz w:val="24"/>
          <w:szCs w:val="24"/>
        </w:rPr>
        <w:t xml:space="preserve">Art. </w:t>
      </w:r>
      <w:r>
        <w:rPr>
          <w:b/>
          <w:bCs/>
          <w:sz w:val="24"/>
          <w:szCs w:val="24"/>
        </w:rPr>
        <w:t>2.1.3.</w:t>
      </w:r>
      <w:r>
        <w:rPr>
          <w:b/>
          <w:sz w:val="24"/>
          <w:szCs w:val="24"/>
        </w:rPr>
        <w:t>2.</w:t>
      </w:r>
      <w:r>
        <w:rPr>
          <w:sz w:val="24"/>
          <w:szCs w:val="24"/>
        </w:rPr>
        <w:t xml:space="preserve"> şi </w:t>
      </w:r>
      <w:r>
        <w:rPr>
          <w:rStyle w:val="BodyTextChar"/>
          <w:iCs/>
        </w:rPr>
        <w:fldChar w:fldCharType="begin"/>
      </w:r>
      <w:r>
        <w:rPr>
          <w:rStyle w:val="BodyTextChar"/>
          <w:iCs/>
        </w:rPr>
        <w:instrText xml:space="preserve"> REF _Ref26473 \h </w:instrText>
      </w:r>
      <w:r>
        <w:rPr>
          <w:rStyle w:val="BodyTextChar"/>
          <w:iCs/>
        </w:rPr>
      </w:r>
      <w:r>
        <w:rPr>
          <w:rStyle w:val="BodyTextChar"/>
          <w:iCs/>
        </w:rPr>
        <w:fldChar w:fldCharType="separate"/>
      </w:r>
      <w:r>
        <w:t>Tabelul 2</w:t>
      </w:r>
      <w:r>
        <w:rPr>
          <w:rStyle w:val="BodyTextChar"/>
          <w:iCs/>
        </w:rPr>
        <w:fldChar w:fldCharType="end"/>
      </w:r>
      <w:r>
        <w:rPr>
          <w:sz w:val="24"/>
          <w:szCs w:val="24"/>
        </w:rPr>
        <w:t>.</w:t>
      </w:r>
    </w:p>
    <w:p w14:paraId="6490D99D" w14:textId="77777777" w:rsidR="001C08A5" w:rsidRDefault="00000000">
      <w:pPr>
        <w:ind w:firstLine="720"/>
        <w:jc w:val="both"/>
        <w:rPr>
          <w:b/>
          <w:sz w:val="24"/>
          <w:szCs w:val="24"/>
        </w:rPr>
      </w:pPr>
      <w:r>
        <w:rPr>
          <w:b/>
          <w:sz w:val="24"/>
          <w:szCs w:val="24"/>
        </w:rPr>
        <w:lastRenderedPageBreak/>
        <w:t>(3)</w:t>
      </w:r>
      <w:r>
        <w:rPr>
          <w:sz w:val="24"/>
          <w:szCs w:val="24"/>
        </w:rPr>
        <w:t xml:space="preserve"> Pentru sălile aglomerate cu funcţiuni multiple (polivalente), măsurile de securitate la incendiu se asigură în funcţie de categoria de încadrare cea mai defavorabilă a sălii.</w:t>
      </w:r>
    </w:p>
    <w:p w14:paraId="23F950A0" w14:textId="77777777" w:rsidR="001C08A5" w:rsidRDefault="001C08A5">
      <w:pPr>
        <w:jc w:val="both"/>
        <w:rPr>
          <w:b/>
          <w:sz w:val="24"/>
          <w:szCs w:val="24"/>
        </w:rPr>
      </w:pPr>
    </w:p>
    <w:p w14:paraId="2E96D5E1" w14:textId="77777777" w:rsidR="001C08A5" w:rsidRDefault="00000000">
      <w:pPr>
        <w:jc w:val="both"/>
        <w:rPr>
          <w:b/>
          <w:sz w:val="24"/>
          <w:szCs w:val="24"/>
        </w:rPr>
      </w:pPr>
      <w:r>
        <w:rPr>
          <w:b/>
          <w:sz w:val="24"/>
          <w:szCs w:val="24"/>
        </w:rPr>
        <w:tab/>
        <w:t xml:space="preserve">Art. </w:t>
      </w:r>
      <w:r>
        <w:rPr>
          <w:b/>
          <w:caps/>
          <w:sz w:val="24"/>
          <w:szCs w:val="24"/>
        </w:rPr>
        <w:t>4.3.1.</w:t>
      </w:r>
      <w:r>
        <w:rPr>
          <w:b/>
          <w:sz w:val="24"/>
          <w:szCs w:val="24"/>
        </w:rPr>
        <w:t>2.</w:t>
      </w:r>
      <w:r>
        <w:rPr>
          <w:b/>
          <w:sz w:val="24"/>
          <w:szCs w:val="24"/>
        </w:rPr>
        <w:tab/>
        <w:t xml:space="preserve">(1) </w:t>
      </w:r>
      <w:r>
        <w:rPr>
          <w:sz w:val="24"/>
          <w:szCs w:val="24"/>
        </w:rPr>
        <w:t xml:space="preserve">În funcţie de destinaţie, sălile aglomerate se încadrează în categoria </w:t>
      </w:r>
      <w:r>
        <w:rPr>
          <w:b/>
          <w:sz w:val="24"/>
          <w:szCs w:val="24"/>
        </w:rPr>
        <w:t>S1</w:t>
      </w:r>
      <w:r>
        <w:rPr>
          <w:sz w:val="24"/>
          <w:szCs w:val="24"/>
        </w:rPr>
        <w:t xml:space="preserve"> sau categoria </w:t>
      </w:r>
      <w:r>
        <w:rPr>
          <w:b/>
          <w:sz w:val="24"/>
          <w:szCs w:val="24"/>
        </w:rPr>
        <w:t>S2</w:t>
      </w:r>
      <w:r>
        <w:rPr>
          <w:sz w:val="24"/>
          <w:szCs w:val="24"/>
        </w:rPr>
        <w:t xml:space="preserve">, conform prevederilor din </w:t>
      </w:r>
      <w:r>
        <w:rPr>
          <w:b/>
          <w:bCs/>
          <w:i/>
          <w:iCs/>
          <w:sz w:val="24"/>
          <w:szCs w:val="24"/>
        </w:rPr>
        <w:fldChar w:fldCharType="begin"/>
      </w:r>
      <w:r>
        <w:rPr>
          <w:b/>
          <w:bCs/>
          <w:i/>
          <w:iCs/>
          <w:sz w:val="24"/>
          <w:szCs w:val="24"/>
        </w:rPr>
        <w:instrText xml:space="preserve"> REF _Ref24030 \h </w:instrText>
      </w:r>
      <w:r>
        <w:rPr>
          <w:b/>
          <w:bCs/>
          <w:i/>
          <w:iCs/>
          <w:sz w:val="24"/>
          <w:szCs w:val="24"/>
        </w:rPr>
      </w:r>
      <w:r>
        <w:rPr>
          <w:b/>
          <w:bCs/>
          <w:i/>
          <w:iCs/>
          <w:sz w:val="24"/>
          <w:szCs w:val="24"/>
        </w:rPr>
        <w:fldChar w:fldCharType="separate"/>
      </w:r>
      <w:r>
        <w:t>Tabelul 98</w:t>
      </w:r>
      <w:r>
        <w:rPr>
          <w:b/>
          <w:bCs/>
          <w:i/>
          <w:iCs/>
          <w:sz w:val="24"/>
          <w:szCs w:val="24"/>
        </w:rPr>
        <w:fldChar w:fldCharType="end"/>
      </w:r>
      <w:r>
        <w:rPr>
          <w:b/>
          <w:sz w:val="24"/>
          <w:szCs w:val="24"/>
        </w:rPr>
        <w:t>.</w:t>
      </w:r>
    </w:p>
    <w:p w14:paraId="6B97E4B7" w14:textId="77777777" w:rsidR="001C08A5" w:rsidRDefault="00000000">
      <w:pPr>
        <w:jc w:val="both"/>
        <w:rPr>
          <w:sz w:val="24"/>
          <w:szCs w:val="24"/>
        </w:rPr>
      </w:pPr>
      <w:r>
        <w:rPr>
          <w:b/>
          <w:sz w:val="24"/>
          <w:szCs w:val="24"/>
        </w:rPr>
        <w:tab/>
        <w:t>(2)</w:t>
      </w:r>
      <w:r>
        <w:rPr>
          <w:sz w:val="24"/>
          <w:szCs w:val="24"/>
        </w:rPr>
        <w:t xml:space="preserve"> Sălile aglomerate a căror destinaţie nu este menţionată în </w:t>
      </w:r>
      <w:r>
        <w:rPr>
          <w:b/>
          <w:bCs/>
          <w:i/>
          <w:iCs/>
          <w:sz w:val="24"/>
          <w:szCs w:val="24"/>
        </w:rPr>
        <w:fldChar w:fldCharType="begin"/>
      </w:r>
      <w:r>
        <w:rPr>
          <w:b/>
          <w:bCs/>
          <w:i/>
          <w:iCs/>
          <w:sz w:val="24"/>
          <w:szCs w:val="24"/>
        </w:rPr>
        <w:instrText xml:space="preserve"> REF _Ref24030 \h </w:instrText>
      </w:r>
      <w:r>
        <w:rPr>
          <w:b/>
          <w:bCs/>
          <w:i/>
          <w:iCs/>
          <w:sz w:val="24"/>
          <w:szCs w:val="24"/>
        </w:rPr>
      </w:r>
      <w:r>
        <w:rPr>
          <w:b/>
          <w:bCs/>
          <w:i/>
          <w:iCs/>
          <w:sz w:val="24"/>
          <w:szCs w:val="24"/>
        </w:rPr>
        <w:fldChar w:fldCharType="separate"/>
      </w:r>
      <w:r>
        <w:t>Tabelul 98</w:t>
      </w:r>
      <w:r>
        <w:rPr>
          <w:b/>
          <w:bCs/>
          <w:i/>
          <w:iCs/>
          <w:sz w:val="24"/>
          <w:szCs w:val="24"/>
        </w:rPr>
        <w:fldChar w:fldCharType="end"/>
      </w:r>
      <w:r>
        <w:rPr>
          <w:sz w:val="24"/>
          <w:szCs w:val="24"/>
        </w:rPr>
        <w:t>, se încadrează prin asimilare.</w:t>
      </w:r>
    </w:p>
    <w:p w14:paraId="3D2E215D" w14:textId="77777777" w:rsidR="001C08A5" w:rsidRDefault="00000000">
      <w:pPr>
        <w:jc w:val="both"/>
        <w:rPr>
          <w:b/>
          <w:sz w:val="24"/>
          <w:szCs w:val="24"/>
        </w:rPr>
      </w:pPr>
      <w:r>
        <w:rPr>
          <w:sz w:val="24"/>
          <w:szCs w:val="24"/>
        </w:rPr>
        <w:tab/>
      </w:r>
      <w:r>
        <w:rPr>
          <w:sz w:val="24"/>
          <w:szCs w:val="24"/>
        </w:rPr>
        <w:tab/>
      </w:r>
    </w:p>
    <w:p w14:paraId="2DC2C161" w14:textId="77777777" w:rsidR="001C08A5" w:rsidRDefault="00000000">
      <w:pPr>
        <w:pStyle w:val="Captiontabel"/>
      </w:pPr>
      <w:bookmarkStart w:id="4600" w:name="_Ref24030"/>
      <w:bookmarkStart w:id="4601" w:name="_Toc162360148"/>
      <w:r>
        <w:t xml:space="preserve">Tabelul </w:t>
      </w:r>
      <w:r>
        <w:fldChar w:fldCharType="begin"/>
      </w:r>
      <w:r>
        <w:instrText xml:space="preserve"> SEQ Tabelul \* ARABIC </w:instrText>
      </w:r>
      <w:r>
        <w:fldChar w:fldCharType="separate"/>
      </w:r>
      <w:r>
        <w:t>98</w:t>
      </w:r>
      <w:r>
        <w:fldChar w:fldCharType="end"/>
      </w:r>
      <w:bookmarkStart w:id="4602" w:name="_Toc16003"/>
      <w:bookmarkStart w:id="4603" w:name="_Toc23835"/>
      <w:bookmarkStart w:id="4604" w:name="_Toc19976"/>
      <w:bookmarkStart w:id="4605" w:name="_Toc6582"/>
      <w:bookmarkStart w:id="4606" w:name="_Toc15155"/>
      <w:bookmarkStart w:id="4607" w:name="_Toc22113"/>
      <w:bookmarkStart w:id="4608" w:name="_Toc11032"/>
      <w:bookmarkStart w:id="4609" w:name="_Toc22163"/>
      <w:bookmarkStart w:id="4610" w:name="_Toc20172"/>
      <w:bookmarkStart w:id="4611" w:name="_Toc15153"/>
      <w:bookmarkStart w:id="4612" w:name="_Toc9667"/>
      <w:bookmarkStart w:id="4613" w:name="_Toc3793"/>
      <w:bookmarkStart w:id="4614" w:name="_Toc14418"/>
      <w:bookmarkStart w:id="4615" w:name="_Toc16195"/>
      <w:bookmarkStart w:id="4616" w:name="_Toc2096"/>
      <w:bookmarkStart w:id="4617" w:name="_Toc23646"/>
      <w:bookmarkStart w:id="4618" w:name="_Toc28351"/>
      <w:bookmarkStart w:id="4619" w:name="_Toc14201"/>
      <w:bookmarkStart w:id="4620" w:name="_Toc8234"/>
      <w:bookmarkEnd w:id="4600"/>
      <w:r>
        <w:t>: Categorii de săli aglomerate</w:t>
      </w:r>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p>
    <w:p w14:paraId="238182DA" w14:textId="77777777" w:rsidR="001C08A5" w:rsidRDefault="001C08A5">
      <w:pPr>
        <w:jc w:val="both"/>
        <w:rPr>
          <w:sz w:val="24"/>
          <w:szCs w:val="24"/>
        </w:rPr>
      </w:pPr>
    </w:p>
    <w:tbl>
      <w:tblPr>
        <w:tblW w:w="9498" w:type="dxa"/>
        <w:tblInd w:w="108" w:type="dxa"/>
        <w:tblLayout w:type="fixed"/>
        <w:tblLook w:val="04A0" w:firstRow="1" w:lastRow="0" w:firstColumn="1" w:lastColumn="0" w:noHBand="0" w:noVBand="1"/>
      </w:tblPr>
      <w:tblGrid>
        <w:gridCol w:w="3330"/>
        <w:gridCol w:w="6168"/>
      </w:tblGrid>
      <w:tr w:rsidR="001C08A5" w14:paraId="6EADE30E" w14:textId="77777777">
        <w:trPr>
          <w:trHeight w:val="426"/>
        </w:trPr>
        <w:tc>
          <w:tcPr>
            <w:tcW w:w="3330" w:type="dxa"/>
            <w:tcBorders>
              <w:top w:val="single" w:sz="8" w:space="0" w:color="000000"/>
              <w:left w:val="single" w:sz="8" w:space="0" w:color="000000"/>
              <w:bottom w:val="single" w:sz="8" w:space="0" w:color="000000"/>
            </w:tcBorders>
            <w:shd w:val="clear" w:color="auto" w:fill="D9D9D9"/>
          </w:tcPr>
          <w:p w14:paraId="3A85AC27" w14:textId="77777777" w:rsidR="001C08A5" w:rsidRDefault="001C08A5">
            <w:pPr>
              <w:snapToGrid w:val="0"/>
              <w:jc w:val="center"/>
              <w:rPr>
                <w:i/>
                <w:iCs/>
                <w:sz w:val="22"/>
                <w:szCs w:val="22"/>
              </w:rPr>
            </w:pPr>
          </w:p>
          <w:p w14:paraId="352A2E88" w14:textId="77777777" w:rsidR="001C08A5" w:rsidRDefault="00000000">
            <w:pPr>
              <w:jc w:val="center"/>
              <w:rPr>
                <w:i/>
                <w:iCs/>
                <w:sz w:val="22"/>
                <w:szCs w:val="22"/>
              </w:rPr>
            </w:pPr>
            <w:r>
              <w:rPr>
                <w:b/>
                <w:i/>
                <w:iCs/>
                <w:sz w:val="22"/>
                <w:szCs w:val="22"/>
              </w:rPr>
              <w:t>Categoria sălii aglomerate</w:t>
            </w:r>
          </w:p>
        </w:tc>
        <w:tc>
          <w:tcPr>
            <w:tcW w:w="6168" w:type="dxa"/>
            <w:tcBorders>
              <w:top w:val="single" w:sz="8" w:space="0" w:color="000000"/>
              <w:left w:val="single" w:sz="8" w:space="0" w:color="000000"/>
              <w:bottom w:val="single" w:sz="8" w:space="0" w:color="000000"/>
              <w:right w:val="single" w:sz="8" w:space="0" w:color="000000"/>
            </w:tcBorders>
            <w:shd w:val="clear" w:color="auto" w:fill="D9D9D9"/>
          </w:tcPr>
          <w:p w14:paraId="2E47F37F" w14:textId="77777777" w:rsidR="001C08A5" w:rsidRDefault="001C08A5">
            <w:pPr>
              <w:snapToGrid w:val="0"/>
              <w:jc w:val="both"/>
              <w:rPr>
                <w:i/>
                <w:iCs/>
                <w:sz w:val="22"/>
                <w:szCs w:val="22"/>
              </w:rPr>
            </w:pPr>
          </w:p>
          <w:p w14:paraId="19550BAE" w14:textId="77777777" w:rsidR="001C08A5" w:rsidRDefault="00000000">
            <w:pPr>
              <w:jc w:val="center"/>
              <w:rPr>
                <w:b/>
                <w:i/>
                <w:iCs/>
                <w:sz w:val="22"/>
                <w:szCs w:val="22"/>
              </w:rPr>
            </w:pPr>
            <w:r>
              <w:rPr>
                <w:b/>
                <w:i/>
                <w:iCs/>
                <w:sz w:val="22"/>
                <w:szCs w:val="22"/>
              </w:rPr>
              <w:t>Destinaţia sălii aglomerate</w:t>
            </w:r>
          </w:p>
        </w:tc>
      </w:tr>
      <w:tr w:rsidR="001C08A5" w14:paraId="77931FCF" w14:textId="77777777">
        <w:trPr>
          <w:trHeight w:val="449"/>
        </w:trPr>
        <w:tc>
          <w:tcPr>
            <w:tcW w:w="3330" w:type="dxa"/>
            <w:tcBorders>
              <w:top w:val="single" w:sz="8" w:space="0" w:color="000000"/>
              <w:left w:val="single" w:sz="8" w:space="0" w:color="000000"/>
            </w:tcBorders>
          </w:tcPr>
          <w:p w14:paraId="1FEC8FEA" w14:textId="77777777" w:rsidR="001C08A5" w:rsidRDefault="001C08A5">
            <w:pPr>
              <w:snapToGrid w:val="0"/>
              <w:jc w:val="center"/>
              <w:rPr>
                <w:b/>
                <w:i/>
                <w:iCs/>
                <w:sz w:val="22"/>
                <w:szCs w:val="22"/>
              </w:rPr>
            </w:pPr>
          </w:p>
          <w:p w14:paraId="5159D95A" w14:textId="77777777" w:rsidR="001C08A5" w:rsidRDefault="00000000">
            <w:pPr>
              <w:jc w:val="center"/>
              <w:rPr>
                <w:i/>
                <w:iCs/>
                <w:sz w:val="22"/>
                <w:szCs w:val="22"/>
              </w:rPr>
            </w:pPr>
            <w:r>
              <w:rPr>
                <w:b/>
                <w:i/>
                <w:iCs/>
                <w:sz w:val="22"/>
                <w:szCs w:val="22"/>
              </w:rPr>
              <w:t>S1</w:t>
            </w:r>
          </w:p>
        </w:tc>
        <w:tc>
          <w:tcPr>
            <w:tcW w:w="6168" w:type="dxa"/>
            <w:tcBorders>
              <w:top w:val="single" w:sz="8" w:space="0" w:color="000000"/>
              <w:left w:val="single" w:sz="8" w:space="0" w:color="000000"/>
              <w:right w:val="single" w:sz="8" w:space="0" w:color="000000"/>
            </w:tcBorders>
          </w:tcPr>
          <w:p w14:paraId="7EF42743" w14:textId="77777777" w:rsidR="001C08A5" w:rsidRDefault="00000000">
            <w:pPr>
              <w:jc w:val="both"/>
              <w:rPr>
                <w:b/>
                <w:i/>
                <w:iCs/>
                <w:sz w:val="22"/>
                <w:szCs w:val="22"/>
              </w:rPr>
            </w:pPr>
            <w:r>
              <w:rPr>
                <w:i/>
                <w:iCs/>
                <w:sz w:val="22"/>
                <w:szCs w:val="22"/>
              </w:rPr>
              <w:t xml:space="preserve">   Teatre, săli de spectacole, circuri, expoziţii comerciale și muzee cu exponate combustibile, discoteci, cluburi etc.</w:t>
            </w:r>
          </w:p>
        </w:tc>
      </w:tr>
      <w:tr w:rsidR="001C08A5" w14:paraId="684CB343" w14:textId="77777777">
        <w:trPr>
          <w:trHeight w:val="866"/>
        </w:trPr>
        <w:tc>
          <w:tcPr>
            <w:tcW w:w="3330" w:type="dxa"/>
            <w:tcBorders>
              <w:top w:val="single" w:sz="4" w:space="0" w:color="000000"/>
              <w:left w:val="single" w:sz="8" w:space="0" w:color="000000"/>
              <w:bottom w:val="single" w:sz="8" w:space="0" w:color="000000"/>
            </w:tcBorders>
          </w:tcPr>
          <w:p w14:paraId="62384CBF" w14:textId="77777777" w:rsidR="001C08A5" w:rsidRDefault="001C08A5">
            <w:pPr>
              <w:snapToGrid w:val="0"/>
              <w:jc w:val="center"/>
              <w:rPr>
                <w:b/>
                <w:i/>
                <w:iCs/>
                <w:sz w:val="22"/>
                <w:szCs w:val="22"/>
              </w:rPr>
            </w:pPr>
          </w:p>
          <w:p w14:paraId="24E521AA" w14:textId="77777777" w:rsidR="001C08A5" w:rsidRDefault="00000000">
            <w:pPr>
              <w:jc w:val="center"/>
              <w:rPr>
                <w:i/>
                <w:iCs/>
                <w:sz w:val="22"/>
                <w:szCs w:val="22"/>
              </w:rPr>
            </w:pPr>
            <w:r>
              <w:rPr>
                <w:b/>
                <w:i/>
                <w:iCs/>
                <w:sz w:val="22"/>
                <w:szCs w:val="22"/>
              </w:rPr>
              <w:t>S2</w:t>
            </w:r>
          </w:p>
        </w:tc>
        <w:tc>
          <w:tcPr>
            <w:tcW w:w="6168" w:type="dxa"/>
            <w:tcBorders>
              <w:top w:val="single" w:sz="4" w:space="0" w:color="000000"/>
              <w:left w:val="single" w:sz="8" w:space="0" w:color="000000"/>
              <w:bottom w:val="single" w:sz="8" w:space="0" w:color="000000"/>
              <w:right w:val="single" w:sz="8" w:space="0" w:color="000000"/>
            </w:tcBorders>
          </w:tcPr>
          <w:p w14:paraId="05494E47" w14:textId="77777777" w:rsidR="001C08A5" w:rsidRDefault="00000000">
            <w:pPr>
              <w:jc w:val="both"/>
              <w:rPr>
                <w:i/>
                <w:iCs/>
                <w:sz w:val="22"/>
                <w:szCs w:val="22"/>
              </w:rPr>
            </w:pPr>
            <w:r>
              <w:rPr>
                <w:i/>
                <w:iCs/>
                <w:sz w:val="22"/>
                <w:szCs w:val="22"/>
              </w:rPr>
              <w:t xml:space="preserve">   Săli de întruniri, conferinţe, concerte, sport,   aşteptare, cult, magazine şi centre comerciale, proiecţii cinematografice, lectură, muzee cu exponate incombustibile, expoziţii, auditorii, cantine,  restaurante, vestiare etc.</w:t>
            </w:r>
          </w:p>
        </w:tc>
      </w:tr>
    </w:tbl>
    <w:p w14:paraId="6185F764" w14:textId="77777777" w:rsidR="001C08A5" w:rsidRDefault="00000000">
      <w:pPr>
        <w:pStyle w:val="Heading4"/>
        <w:ind w:left="0" w:firstLine="0"/>
      </w:pPr>
      <w:bookmarkStart w:id="4621" w:name="_Toc20201"/>
      <w:bookmarkStart w:id="4622" w:name="_Toc20351"/>
      <w:bookmarkStart w:id="4623" w:name="_Toc15279"/>
      <w:bookmarkStart w:id="4624" w:name="_Toc162355328"/>
      <w:bookmarkStart w:id="4625" w:name="_Toc2667"/>
      <w:bookmarkStart w:id="4626" w:name="_Toc24222"/>
      <w:bookmarkStart w:id="4627" w:name="_Toc18601"/>
      <w:bookmarkStart w:id="4628" w:name="_Toc27335"/>
      <w:r>
        <w:t>4.3.2. - AMPLASAREA și CONFORMAREA CLĂDIRILOR</w:t>
      </w:r>
      <w:bookmarkEnd w:id="4621"/>
      <w:bookmarkEnd w:id="4622"/>
      <w:bookmarkEnd w:id="4623"/>
      <w:bookmarkEnd w:id="4624"/>
      <w:bookmarkEnd w:id="4625"/>
      <w:bookmarkEnd w:id="4626"/>
      <w:bookmarkEnd w:id="4627"/>
      <w:bookmarkEnd w:id="4628"/>
    </w:p>
    <w:p w14:paraId="6B70A04D" w14:textId="77777777" w:rsidR="001C08A5" w:rsidRDefault="001C08A5">
      <w:pPr>
        <w:jc w:val="both"/>
        <w:rPr>
          <w:sz w:val="24"/>
          <w:szCs w:val="24"/>
        </w:rPr>
      </w:pPr>
    </w:p>
    <w:p w14:paraId="5AC2962B" w14:textId="77777777" w:rsidR="001C08A5" w:rsidRDefault="00000000">
      <w:pPr>
        <w:jc w:val="both"/>
        <w:rPr>
          <w:b/>
          <w:sz w:val="24"/>
          <w:szCs w:val="24"/>
        </w:rPr>
      </w:pPr>
      <w:r>
        <w:rPr>
          <w:sz w:val="24"/>
          <w:szCs w:val="24"/>
        </w:rPr>
        <w:tab/>
      </w:r>
      <w:r>
        <w:rPr>
          <w:b/>
          <w:sz w:val="24"/>
          <w:szCs w:val="24"/>
        </w:rPr>
        <w:t xml:space="preserve">Art. 4.3.2.1. (1) </w:t>
      </w:r>
      <w:r>
        <w:rPr>
          <w:bCs/>
          <w:sz w:val="24"/>
          <w:szCs w:val="24"/>
        </w:rPr>
        <w:t xml:space="preserve">Clădirile cu </w:t>
      </w:r>
      <w:r>
        <w:rPr>
          <w:sz w:val="24"/>
          <w:szCs w:val="24"/>
        </w:rPr>
        <w:t>săli aglomerate care au asigurat nivelul</w:t>
      </w:r>
      <w:r>
        <w:rPr>
          <w:b/>
          <w:sz w:val="24"/>
          <w:szCs w:val="24"/>
        </w:rPr>
        <w:t xml:space="preserve"> I, II </w:t>
      </w:r>
      <w:r>
        <w:rPr>
          <w:sz w:val="24"/>
          <w:szCs w:val="24"/>
        </w:rPr>
        <w:t>sau</w:t>
      </w:r>
      <w:r>
        <w:rPr>
          <w:b/>
          <w:sz w:val="24"/>
          <w:szCs w:val="24"/>
        </w:rPr>
        <w:t xml:space="preserve"> III </w:t>
      </w:r>
      <w:r>
        <w:rPr>
          <w:sz w:val="24"/>
          <w:szCs w:val="24"/>
        </w:rPr>
        <w:t>de stabilitate la incendiu, vor fi astfel conformate încât să îndeplinească condiţiile de corelare normate, astfel:</w:t>
      </w:r>
    </w:p>
    <w:p w14:paraId="7607D48C" w14:textId="77777777" w:rsidR="001C08A5" w:rsidRDefault="00000000">
      <w:pPr>
        <w:jc w:val="both"/>
        <w:rPr>
          <w:b/>
          <w:sz w:val="24"/>
          <w:szCs w:val="24"/>
        </w:rPr>
      </w:pPr>
      <w:r>
        <w:rPr>
          <w:sz w:val="24"/>
          <w:szCs w:val="24"/>
        </w:rPr>
        <w:tab/>
      </w:r>
      <w:r>
        <w:rPr>
          <w:sz w:val="24"/>
          <w:szCs w:val="24"/>
        </w:rPr>
        <w:tab/>
      </w:r>
      <w:r>
        <w:rPr>
          <w:b/>
          <w:sz w:val="24"/>
          <w:szCs w:val="24"/>
        </w:rPr>
        <w:t>a)</w:t>
      </w:r>
      <w:r>
        <w:rPr>
          <w:sz w:val="24"/>
          <w:szCs w:val="24"/>
        </w:rPr>
        <w:t xml:space="preserve"> Între modul de amplasare, categoria sălii aglomerate supraterane și capacitatea maximă simultană de utilizatori admisă, potrivit prevederilor din </w:t>
      </w:r>
      <w:r>
        <w:rPr>
          <w:b/>
          <w:bCs/>
          <w:i/>
          <w:iCs/>
          <w:sz w:val="24"/>
          <w:szCs w:val="24"/>
        </w:rPr>
        <w:fldChar w:fldCharType="begin"/>
      </w:r>
      <w:r>
        <w:rPr>
          <w:b/>
          <w:bCs/>
          <w:i/>
          <w:iCs/>
          <w:sz w:val="24"/>
          <w:szCs w:val="24"/>
        </w:rPr>
        <w:instrText xml:space="preserve"> REF _Ref24197 \h </w:instrText>
      </w:r>
      <w:r>
        <w:rPr>
          <w:b/>
          <w:bCs/>
          <w:i/>
          <w:iCs/>
          <w:sz w:val="24"/>
          <w:szCs w:val="24"/>
        </w:rPr>
      </w:r>
      <w:r>
        <w:rPr>
          <w:b/>
          <w:bCs/>
          <w:i/>
          <w:iCs/>
          <w:sz w:val="24"/>
          <w:szCs w:val="24"/>
        </w:rPr>
        <w:fldChar w:fldCharType="separate"/>
      </w:r>
      <w:r>
        <w:t>Tabelul 99</w:t>
      </w:r>
      <w:r>
        <w:rPr>
          <w:b/>
          <w:bCs/>
          <w:i/>
          <w:iCs/>
          <w:sz w:val="24"/>
          <w:szCs w:val="24"/>
        </w:rPr>
        <w:fldChar w:fldCharType="end"/>
      </w:r>
      <w:r>
        <w:rPr>
          <w:b/>
          <w:sz w:val="24"/>
          <w:szCs w:val="24"/>
        </w:rPr>
        <w:t>.</w:t>
      </w:r>
    </w:p>
    <w:p w14:paraId="2571F267" w14:textId="77777777" w:rsidR="001C08A5" w:rsidRDefault="001C08A5">
      <w:pPr>
        <w:jc w:val="both"/>
        <w:rPr>
          <w:b/>
          <w:sz w:val="24"/>
          <w:szCs w:val="24"/>
        </w:rPr>
      </w:pPr>
    </w:p>
    <w:p w14:paraId="1F6D107E" w14:textId="77777777" w:rsidR="001C08A5" w:rsidRDefault="00000000">
      <w:pPr>
        <w:pStyle w:val="Captiontabel"/>
      </w:pPr>
      <w:bookmarkStart w:id="4629" w:name="_Ref24197"/>
      <w:bookmarkStart w:id="4630" w:name="_Toc162360149"/>
      <w:bookmarkStart w:id="4631" w:name="_Ref26402"/>
      <w:r>
        <w:t xml:space="preserve">Tabelul </w:t>
      </w:r>
      <w:r>
        <w:fldChar w:fldCharType="begin"/>
      </w:r>
      <w:r>
        <w:instrText xml:space="preserve"> SEQ Tabelul \* ARABIC </w:instrText>
      </w:r>
      <w:r>
        <w:fldChar w:fldCharType="separate"/>
      </w:r>
      <w:r>
        <w:t>99</w:t>
      </w:r>
      <w:r>
        <w:fldChar w:fldCharType="end"/>
      </w:r>
      <w:bookmarkStart w:id="4632" w:name="_Toc2897"/>
      <w:bookmarkStart w:id="4633" w:name="_Toc8492"/>
      <w:bookmarkStart w:id="4634" w:name="_Toc11634"/>
      <w:bookmarkStart w:id="4635" w:name="_Toc11020"/>
      <w:bookmarkStart w:id="4636" w:name="_Toc8596"/>
      <w:bookmarkStart w:id="4637" w:name="_Toc19902"/>
      <w:bookmarkStart w:id="4638" w:name="_Toc15510"/>
      <w:bookmarkStart w:id="4639" w:name="_Toc5416"/>
      <w:bookmarkStart w:id="4640" w:name="_Toc24060"/>
      <w:bookmarkStart w:id="4641" w:name="_Toc17852"/>
      <w:bookmarkStart w:id="4642" w:name="_Toc1965"/>
      <w:bookmarkStart w:id="4643" w:name="_Toc23231"/>
      <w:bookmarkStart w:id="4644" w:name="_Toc28496"/>
      <w:bookmarkStart w:id="4645" w:name="_Toc25484"/>
      <w:bookmarkStart w:id="4646" w:name="_Toc18539"/>
      <w:bookmarkStart w:id="4647" w:name="_Toc23261"/>
      <w:bookmarkStart w:id="4648" w:name="_Toc17091"/>
      <w:bookmarkStart w:id="4649" w:name="_Toc1805"/>
      <w:bookmarkStart w:id="4650" w:name="_Toc32166"/>
      <w:bookmarkEnd w:id="4629"/>
      <w:r>
        <w:t>: Corelare între modul de amplasare, categoria sălii aglomerate supraterane și capacitatea maximă simultană de utilizatori admisă</w:t>
      </w:r>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p>
    <w:p w14:paraId="361E78A8" w14:textId="77777777" w:rsidR="001C08A5" w:rsidRDefault="001C08A5">
      <w:pPr>
        <w:jc w:val="both"/>
        <w:rPr>
          <w:b/>
          <w:sz w:val="24"/>
          <w:szCs w:val="24"/>
        </w:rPr>
      </w:pPr>
    </w:p>
    <w:tbl>
      <w:tblPr>
        <w:tblW w:w="9498" w:type="dxa"/>
        <w:tblInd w:w="108" w:type="dxa"/>
        <w:tblLayout w:type="fixed"/>
        <w:tblLook w:val="04A0" w:firstRow="1" w:lastRow="0" w:firstColumn="1" w:lastColumn="0" w:noHBand="0" w:noVBand="1"/>
      </w:tblPr>
      <w:tblGrid>
        <w:gridCol w:w="3686"/>
        <w:gridCol w:w="1634"/>
        <w:gridCol w:w="1400"/>
        <w:gridCol w:w="1400"/>
        <w:gridCol w:w="1378"/>
      </w:tblGrid>
      <w:tr w:rsidR="001C08A5" w14:paraId="59160285" w14:textId="77777777">
        <w:trPr>
          <w:tblHeader/>
        </w:trPr>
        <w:tc>
          <w:tcPr>
            <w:tcW w:w="3686" w:type="dxa"/>
            <w:vMerge w:val="restart"/>
            <w:tcBorders>
              <w:top w:val="single" w:sz="8" w:space="0" w:color="000000"/>
              <w:left w:val="single" w:sz="8" w:space="0" w:color="000000"/>
            </w:tcBorders>
            <w:shd w:val="clear" w:color="auto" w:fill="D9D9D9"/>
          </w:tcPr>
          <w:p w14:paraId="4A07986D" w14:textId="77777777" w:rsidR="001C08A5" w:rsidRDefault="001C08A5">
            <w:pPr>
              <w:snapToGrid w:val="0"/>
              <w:jc w:val="center"/>
              <w:rPr>
                <w:i/>
                <w:iCs/>
                <w:sz w:val="22"/>
                <w:szCs w:val="22"/>
              </w:rPr>
            </w:pPr>
          </w:p>
          <w:p w14:paraId="206F6DCF" w14:textId="77777777" w:rsidR="001C08A5" w:rsidRDefault="001C08A5">
            <w:pPr>
              <w:jc w:val="center"/>
              <w:rPr>
                <w:i/>
                <w:iCs/>
                <w:sz w:val="22"/>
                <w:szCs w:val="22"/>
              </w:rPr>
            </w:pPr>
          </w:p>
          <w:p w14:paraId="6DD45A5D" w14:textId="77777777" w:rsidR="001C08A5" w:rsidRDefault="00000000">
            <w:pPr>
              <w:jc w:val="center"/>
              <w:rPr>
                <w:i/>
                <w:iCs/>
                <w:sz w:val="22"/>
                <w:szCs w:val="22"/>
              </w:rPr>
            </w:pPr>
            <w:r>
              <w:rPr>
                <w:b/>
                <w:i/>
                <w:iCs/>
                <w:sz w:val="22"/>
                <w:szCs w:val="22"/>
              </w:rPr>
              <w:t>Amplasarea sălii aglomerate</w:t>
            </w:r>
          </w:p>
        </w:tc>
        <w:tc>
          <w:tcPr>
            <w:tcW w:w="1634" w:type="dxa"/>
            <w:vMerge w:val="restart"/>
            <w:tcBorders>
              <w:top w:val="single" w:sz="8" w:space="0" w:color="000000"/>
              <w:left w:val="single" w:sz="4" w:space="0" w:color="000000"/>
            </w:tcBorders>
            <w:shd w:val="clear" w:color="auto" w:fill="D9D9D9"/>
          </w:tcPr>
          <w:p w14:paraId="069B9C86" w14:textId="77777777" w:rsidR="001C08A5" w:rsidRDefault="001C08A5">
            <w:pPr>
              <w:snapToGrid w:val="0"/>
              <w:jc w:val="center"/>
              <w:rPr>
                <w:i/>
                <w:iCs/>
                <w:sz w:val="22"/>
                <w:szCs w:val="22"/>
              </w:rPr>
            </w:pPr>
          </w:p>
          <w:p w14:paraId="1AD0622D" w14:textId="77777777" w:rsidR="001C08A5" w:rsidRDefault="00000000">
            <w:pPr>
              <w:jc w:val="center"/>
              <w:rPr>
                <w:b/>
                <w:i/>
                <w:iCs/>
                <w:sz w:val="22"/>
                <w:szCs w:val="22"/>
              </w:rPr>
            </w:pPr>
            <w:r>
              <w:rPr>
                <w:b/>
                <w:i/>
                <w:iCs/>
                <w:sz w:val="22"/>
                <w:szCs w:val="22"/>
              </w:rPr>
              <w:t>Categoria sălii aglomerate</w:t>
            </w:r>
          </w:p>
        </w:tc>
        <w:tc>
          <w:tcPr>
            <w:tcW w:w="4178" w:type="dxa"/>
            <w:gridSpan w:val="3"/>
            <w:tcBorders>
              <w:top w:val="single" w:sz="8" w:space="0" w:color="000000"/>
              <w:left w:val="single" w:sz="4" w:space="0" w:color="000000"/>
              <w:bottom w:val="single" w:sz="4" w:space="0" w:color="000000"/>
              <w:right w:val="single" w:sz="8" w:space="0" w:color="000000"/>
            </w:tcBorders>
            <w:shd w:val="clear" w:color="auto" w:fill="D9D9D9"/>
          </w:tcPr>
          <w:p w14:paraId="4753133E" w14:textId="77777777" w:rsidR="001C08A5" w:rsidRDefault="00000000">
            <w:pPr>
              <w:jc w:val="center"/>
              <w:rPr>
                <w:i/>
                <w:iCs/>
                <w:sz w:val="22"/>
                <w:szCs w:val="22"/>
              </w:rPr>
            </w:pPr>
            <w:r>
              <w:rPr>
                <w:b/>
                <w:i/>
                <w:iCs/>
                <w:sz w:val="22"/>
                <w:szCs w:val="22"/>
              </w:rPr>
              <w:t>Capacitatea maximă simultană de utilizatori, în funcţie de nivelul de stabilitate la incendiu al clădirii</w:t>
            </w:r>
          </w:p>
        </w:tc>
      </w:tr>
      <w:tr w:rsidR="001C08A5" w14:paraId="0FF62DA5" w14:textId="77777777">
        <w:trPr>
          <w:tblHeader/>
        </w:trPr>
        <w:tc>
          <w:tcPr>
            <w:tcW w:w="3686" w:type="dxa"/>
            <w:vMerge/>
            <w:tcBorders>
              <w:left w:val="single" w:sz="8" w:space="0" w:color="000000"/>
              <w:bottom w:val="single" w:sz="8" w:space="0" w:color="000000"/>
            </w:tcBorders>
            <w:shd w:val="clear" w:color="auto" w:fill="auto"/>
          </w:tcPr>
          <w:p w14:paraId="3C6B8FB8" w14:textId="77777777" w:rsidR="001C08A5" w:rsidRDefault="001C08A5">
            <w:pPr>
              <w:snapToGrid w:val="0"/>
              <w:jc w:val="center"/>
              <w:rPr>
                <w:i/>
                <w:iCs/>
                <w:sz w:val="22"/>
                <w:szCs w:val="22"/>
              </w:rPr>
            </w:pPr>
          </w:p>
        </w:tc>
        <w:tc>
          <w:tcPr>
            <w:tcW w:w="1634" w:type="dxa"/>
            <w:vMerge/>
            <w:tcBorders>
              <w:left w:val="single" w:sz="4" w:space="0" w:color="000000"/>
              <w:bottom w:val="single" w:sz="8" w:space="0" w:color="000000"/>
            </w:tcBorders>
            <w:shd w:val="clear" w:color="auto" w:fill="auto"/>
          </w:tcPr>
          <w:p w14:paraId="057552CD" w14:textId="77777777" w:rsidR="001C08A5" w:rsidRDefault="001C08A5">
            <w:pPr>
              <w:snapToGrid w:val="0"/>
              <w:jc w:val="center"/>
              <w:rPr>
                <w:i/>
                <w:iCs/>
                <w:sz w:val="22"/>
                <w:szCs w:val="22"/>
              </w:rPr>
            </w:pPr>
          </w:p>
        </w:tc>
        <w:tc>
          <w:tcPr>
            <w:tcW w:w="1400" w:type="dxa"/>
            <w:tcBorders>
              <w:top w:val="single" w:sz="4" w:space="0" w:color="000000"/>
              <w:left w:val="single" w:sz="4" w:space="0" w:color="000000"/>
              <w:bottom w:val="single" w:sz="8" w:space="0" w:color="000000"/>
            </w:tcBorders>
            <w:shd w:val="clear" w:color="auto" w:fill="D9D9D9"/>
          </w:tcPr>
          <w:p w14:paraId="00F6247F" w14:textId="77777777" w:rsidR="001C08A5" w:rsidRDefault="00000000">
            <w:pPr>
              <w:jc w:val="center"/>
              <w:rPr>
                <w:b/>
                <w:i/>
                <w:iCs/>
                <w:sz w:val="22"/>
                <w:szCs w:val="22"/>
              </w:rPr>
            </w:pPr>
            <w:r>
              <w:rPr>
                <w:b/>
                <w:i/>
                <w:iCs/>
                <w:sz w:val="22"/>
                <w:szCs w:val="22"/>
              </w:rPr>
              <w:t>I</w:t>
            </w:r>
          </w:p>
        </w:tc>
        <w:tc>
          <w:tcPr>
            <w:tcW w:w="1400" w:type="dxa"/>
            <w:tcBorders>
              <w:top w:val="single" w:sz="4" w:space="0" w:color="000000"/>
              <w:left w:val="single" w:sz="4" w:space="0" w:color="000000"/>
              <w:bottom w:val="single" w:sz="8" w:space="0" w:color="000000"/>
            </w:tcBorders>
            <w:shd w:val="clear" w:color="auto" w:fill="D9D9D9"/>
          </w:tcPr>
          <w:p w14:paraId="7DE2BB14" w14:textId="77777777" w:rsidR="001C08A5" w:rsidRDefault="00000000">
            <w:pPr>
              <w:jc w:val="center"/>
              <w:rPr>
                <w:b/>
                <w:i/>
                <w:iCs/>
                <w:sz w:val="22"/>
                <w:szCs w:val="22"/>
              </w:rPr>
            </w:pPr>
            <w:r>
              <w:rPr>
                <w:b/>
                <w:i/>
                <w:iCs/>
                <w:sz w:val="22"/>
                <w:szCs w:val="22"/>
              </w:rPr>
              <w:t>II</w:t>
            </w:r>
          </w:p>
        </w:tc>
        <w:tc>
          <w:tcPr>
            <w:tcW w:w="1378" w:type="dxa"/>
            <w:tcBorders>
              <w:top w:val="single" w:sz="4" w:space="0" w:color="000000"/>
              <w:left w:val="single" w:sz="4" w:space="0" w:color="000000"/>
              <w:bottom w:val="single" w:sz="8" w:space="0" w:color="000000"/>
              <w:right w:val="single" w:sz="8" w:space="0" w:color="000000"/>
            </w:tcBorders>
            <w:shd w:val="clear" w:color="auto" w:fill="D9D9D9"/>
          </w:tcPr>
          <w:p w14:paraId="7E2FEF24" w14:textId="77777777" w:rsidR="001C08A5" w:rsidRDefault="00000000">
            <w:pPr>
              <w:jc w:val="center"/>
              <w:rPr>
                <w:i/>
                <w:iCs/>
                <w:sz w:val="22"/>
                <w:szCs w:val="22"/>
              </w:rPr>
            </w:pPr>
            <w:r>
              <w:rPr>
                <w:b/>
                <w:i/>
                <w:iCs/>
                <w:sz w:val="22"/>
                <w:szCs w:val="22"/>
              </w:rPr>
              <w:t>III</w:t>
            </w:r>
          </w:p>
        </w:tc>
      </w:tr>
      <w:tr w:rsidR="001C08A5" w14:paraId="3637893B" w14:textId="77777777">
        <w:trPr>
          <w:cantSplit/>
          <w:trHeight w:val="295"/>
        </w:trPr>
        <w:tc>
          <w:tcPr>
            <w:tcW w:w="3686" w:type="dxa"/>
            <w:vMerge w:val="restart"/>
            <w:tcBorders>
              <w:top w:val="single" w:sz="8" w:space="0" w:color="000000"/>
              <w:left w:val="single" w:sz="8" w:space="0" w:color="000000"/>
              <w:bottom w:val="single" w:sz="4" w:space="0" w:color="000000"/>
            </w:tcBorders>
          </w:tcPr>
          <w:p w14:paraId="7241C644" w14:textId="77777777" w:rsidR="001C08A5" w:rsidRDefault="00000000">
            <w:pPr>
              <w:jc w:val="center"/>
              <w:rPr>
                <w:i/>
                <w:iCs/>
                <w:sz w:val="22"/>
                <w:szCs w:val="22"/>
              </w:rPr>
            </w:pPr>
            <w:r>
              <w:rPr>
                <w:i/>
                <w:iCs/>
                <w:sz w:val="22"/>
                <w:szCs w:val="22"/>
              </w:rPr>
              <w:t xml:space="preserve">Independentă sau </w:t>
            </w:r>
          </w:p>
          <w:p w14:paraId="606008CD" w14:textId="77777777" w:rsidR="001C08A5" w:rsidRDefault="00000000">
            <w:pPr>
              <w:jc w:val="center"/>
              <w:rPr>
                <w:b/>
                <w:i/>
                <w:iCs/>
                <w:sz w:val="22"/>
                <w:szCs w:val="22"/>
              </w:rPr>
            </w:pPr>
            <w:r>
              <w:rPr>
                <w:i/>
                <w:iCs/>
                <w:sz w:val="22"/>
                <w:szCs w:val="22"/>
              </w:rPr>
              <w:t>compartiment de incendiu</w:t>
            </w:r>
          </w:p>
        </w:tc>
        <w:tc>
          <w:tcPr>
            <w:tcW w:w="1634" w:type="dxa"/>
            <w:tcBorders>
              <w:top w:val="single" w:sz="8" w:space="0" w:color="000000"/>
              <w:left w:val="single" w:sz="4" w:space="0" w:color="000000"/>
              <w:bottom w:val="single" w:sz="4" w:space="0" w:color="000000"/>
            </w:tcBorders>
          </w:tcPr>
          <w:p w14:paraId="5F3E821A" w14:textId="77777777" w:rsidR="001C08A5" w:rsidRDefault="00000000">
            <w:pPr>
              <w:jc w:val="center"/>
              <w:rPr>
                <w:i/>
                <w:iCs/>
                <w:sz w:val="22"/>
                <w:szCs w:val="22"/>
              </w:rPr>
            </w:pPr>
            <w:r>
              <w:rPr>
                <w:b/>
                <w:i/>
                <w:iCs/>
                <w:sz w:val="22"/>
                <w:szCs w:val="22"/>
              </w:rPr>
              <w:t>S1</w:t>
            </w:r>
          </w:p>
        </w:tc>
        <w:tc>
          <w:tcPr>
            <w:tcW w:w="1400" w:type="dxa"/>
            <w:vMerge w:val="restart"/>
            <w:tcBorders>
              <w:top w:val="single" w:sz="8" w:space="0" w:color="000000"/>
              <w:left w:val="single" w:sz="4" w:space="0" w:color="000000"/>
              <w:bottom w:val="single" w:sz="4" w:space="0" w:color="000000"/>
            </w:tcBorders>
          </w:tcPr>
          <w:p w14:paraId="7C121348" w14:textId="77777777" w:rsidR="001C08A5" w:rsidRDefault="001C08A5">
            <w:pPr>
              <w:snapToGrid w:val="0"/>
              <w:jc w:val="center"/>
              <w:rPr>
                <w:b/>
                <w:bCs/>
                <w:i/>
                <w:iCs/>
                <w:sz w:val="22"/>
                <w:szCs w:val="22"/>
              </w:rPr>
            </w:pPr>
          </w:p>
          <w:p w14:paraId="5C7AAA50" w14:textId="77777777" w:rsidR="001C08A5" w:rsidRDefault="00000000">
            <w:pPr>
              <w:jc w:val="center"/>
              <w:rPr>
                <w:b/>
                <w:bCs/>
                <w:i/>
                <w:iCs/>
                <w:sz w:val="22"/>
                <w:szCs w:val="22"/>
              </w:rPr>
            </w:pPr>
            <w:r>
              <w:rPr>
                <w:b/>
                <w:bCs/>
                <w:i/>
                <w:iCs/>
                <w:sz w:val="22"/>
                <w:szCs w:val="22"/>
              </w:rPr>
              <w:t>Nelimitat</w:t>
            </w:r>
          </w:p>
        </w:tc>
        <w:tc>
          <w:tcPr>
            <w:tcW w:w="1400" w:type="dxa"/>
            <w:tcBorders>
              <w:top w:val="single" w:sz="8" w:space="0" w:color="000000"/>
              <w:left w:val="single" w:sz="4" w:space="0" w:color="000000"/>
              <w:bottom w:val="single" w:sz="4" w:space="0" w:color="000000"/>
            </w:tcBorders>
          </w:tcPr>
          <w:p w14:paraId="68E4B453" w14:textId="77777777" w:rsidR="001C08A5" w:rsidRDefault="00000000">
            <w:pPr>
              <w:jc w:val="center"/>
              <w:rPr>
                <w:b/>
                <w:bCs/>
                <w:i/>
                <w:iCs/>
                <w:sz w:val="22"/>
                <w:szCs w:val="22"/>
              </w:rPr>
            </w:pPr>
            <w:r>
              <w:rPr>
                <w:b/>
                <w:bCs/>
                <w:i/>
                <w:iCs/>
                <w:sz w:val="22"/>
                <w:szCs w:val="22"/>
              </w:rPr>
              <w:t>5.000</w:t>
            </w:r>
          </w:p>
        </w:tc>
        <w:tc>
          <w:tcPr>
            <w:tcW w:w="1378" w:type="dxa"/>
            <w:tcBorders>
              <w:top w:val="single" w:sz="8" w:space="0" w:color="000000"/>
              <w:left w:val="single" w:sz="4" w:space="0" w:color="000000"/>
              <w:bottom w:val="single" w:sz="4" w:space="0" w:color="000000"/>
              <w:right w:val="single" w:sz="8" w:space="0" w:color="000000"/>
            </w:tcBorders>
          </w:tcPr>
          <w:p w14:paraId="28E6B842" w14:textId="77777777" w:rsidR="001C08A5" w:rsidRDefault="00000000">
            <w:pPr>
              <w:jc w:val="center"/>
              <w:rPr>
                <w:b/>
                <w:bCs/>
                <w:i/>
                <w:iCs/>
                <w:sz w:val="22"/>
                <w:szCs w:val="22"/>
              </w:rPr>
            </w:pPr>
            <w:r>
              <w:rPr>
                <w:b/>
                <w:bCs/>
                <w:i/>
                <w:iCs/>
                <w:sz w:val="22"/>
                <w:szCs w:val="22"/>
              </w:rPr>
              <w:t>2.000</w:t>
            </w:r>
          </w:p>
        </w:tc>
      </w:tr>
      <w:tr w:rsidR="001C08A5" w14:paraId="3CF43F94" w14:textId="77777777">
        <w:trPr>
          <w:cantSplit/>
          <w:trHeight w:val="340"/>
        </w:trPr>
        <w:tc>
          <w:tcPr>
            <w:tcW w:w="3686" w:type="dxa"/>
            <w:vMerge/>
            <w:tcBorders>
              <w:top w:val="single" w:sz="4" w:space="0" w:color="000000"/>
              <w:left w:val="single" w:sz="8" w:space="0" w:color="000000"/>
              <w:bottom w:val="single" w:sz="4" w:space="0" w:color="000000"/>
            </w:tcBorders>
          </w:tcPr>
          <w:p w14:paraId="0B985A54" w14:textId="77777777" w:rsidR="001C08A5" w:rsidRDefault="001C08A5">
            <w:pPr>
              <w:snapToGrid w:val="0"/>
              <w:jc w:val="center"/>
              <w:rPr>
                <w:i/>
                <w:iCs/>
                <w:sz w:val="22"/>
                <w:szCs w:val="22"/>
              </w:rPr>
            </w:pPr>
          </w:p>
        </w:tc>
        <w:tc>
          <w:tcPr>
            <w:tcW w:w="1634" w:type="dxa"/>
            <w:tcBorders>
              <w:top w:val="single" w:sz="4" w:space="0" w:color="000000"/>
              <w:left w:val="single" w:sz="4" w:space="0" w:color="000000"/>
              <w:bottom w:val="single" w:sz="4" w:space="0" w:color="000000"/>
            </w:tcBorders>
          </w:tcPr>
          <w:p w14:paraId="6ECDFD56" w14:textId="77777777" w:rsidR="001C08A5" w:rsidRDefault="00000000">
            <w:pPr>
              <w:jc w:val="center"/>
              <w:rPr>
                <w:i/>
                <w:iCs/>
                <w:sz w:val="22"/>
                <w:szCs w:val="22"/>
              </w:rPr>
            </w:pPr>
            <w:r>
              <w:rPr>
                <w:b/>
                <w:i/>
                <w:iCs/>
                <w:sz w:val="22"/>
                <w:szCs w:val="22"/>
              </w:rPr>
              <w:t>S2</w:t>
            </w:r>
          </w:p>
        </w:tc>
        <w:tc>
          <w:tcPr>
            <w:tcW w:w="1400" w:type="dxa"/>
            <w:vMerge/>
            <w:tcBorders>
              <w:top w:val="single" w:sz="4" w:space="0" w:color="000000"/>
              <w:left w:val="single" w:sz="4" w:space="0" w:color="000000"/>
              <w:bottom w:val="single" w:sz="4" w:space="0" w:color="000000"/>
            </w:tcBorders>
          </w:tcPr>
          <w:p w14:paraId="6F7CCE9D" w14:textId="77777777" w:rsidR="001C08A5" w:rsidRDefault="001C08A5">
            <w:pPr>
              <w:snapToGrid w:val="0"/>
              <w:jc w:val="center"/>
              <w:rPr>
                <w:b/>
                <w:bCs/>
                <w:i/>
                <w:iCs/>
                <w:sz w:val="22"/>
                <w:szCs w:val="22"/>
              </w:rPr>
            </w:pPr>
          </w:p>
        </w:tc>
        <w:tc>
          <w:tcPr>
            <w:tcW w:w="1400" w:type="dxa"/>
            <w:tcBorders>
              <w:top w:val="single" w:sz="4" w:space="0" w:color="000000"/>
              <w:left w:val="single" w:sz="4" w:space="0" w:color="000000"/>
              <w:bottom w:val="single" w:sz="4" w:space="0" w:color="000000"/>
            </w:tcBorders>
          </w:tcPr>
          <w:p w14:paraId="220F5F56" w14:textId="77777777" w:rsidR="001C08A5" w:rsidRDefault="00000000">
            <w:pPr>
              <w:jc w:val="center"/>
              <w:rPr>
                <w:b/>
                <w:bCs/>
                <w:i/>
                <w:iCs/>
                <w:sz w:val="22"/>
                <w:szCs w:val="22"/>
              </w:rPr>
            </w:pPr>
            <w:r>
              <w:rPr>
                <w:b/>
                <w:bCs/>
                <w:i/>
                <w:iCs/>
                <w:sz w:val="22"/>
                <w:szCs w:val="22"/>
              </w:rPr>
              <w:t>Nelimitat</w:t>
            </w:r>
          </w:p>
        </w:tc>
        <w:tc>
          <w:tcPr>
            <w:tcW w:w="1378" w:type="dxa"/>
            <w:tcBorders>
              <w:top w:val="single" w:sz="4" w:space="0" w:color="000000"/>
              <w:left w:val="single" w:sz="4" w:space="0" w:color="000000"/>
              <w:bottom w:val="single" w:sz="4" w:space="0" w:color="000000"/>
              <w:right w:val="single" w:sz="8" w:space="0" w:color="000000"/>
            </w:tcBorders>
          </w:tcPr>
          <w:p w14:paraId="42C93B49" w14:textId="77777777" w:rsidR="001C08A5" w:rsidRDefault="00000000">
            <w:pPr>
              <w:jc w:val="center"/>
              <w:rPr>
                <w:b/>
                <w:bCs/>
                <w:i/>
                <w:iCs/>
                <w:sz w:val="22"/>
                <w:szCs w:val="22"/>
              </w:rPr>
            </w:pPr>
            <w:r>
              <w:rPr>
                <w:b/>
                <w:bCs/>
                <w:i/>
                <w:iCs/>
                <w:sz w:val="22"/>
                <w:szCs w:val="22"/>
              </w:rPr>
              <w:t>2.500</w:t>
            </w:r>
          </w:p>
        </w:tc>
      </w:tr>
      <w:tr w:rsidR="001C08A5" w14:paraId="043325EB" w14:textId="77777777">
        <w:trPr>
          <w:cantSplit/>
        </w:trPr>
        <w:tc>
          <w:tcPr>
            <w:tcW w:w="3686" w:type="dxa"/>
            <w:vMerge w:val="restart"/>
            <w:tcBorders>
              <w:top w:val="single" w:sz="4" w:space="0" w:color="000000"/>
              <w:left w:val="single" w:sz="8" w:space="0" w:color="000000"/>
            </w:tcBorders>
          </w:tcPr>
          <w:p w14:paraId="0137E55D" w14:textId="77777777" w:rsidR="001C08A5" w:rsidRDefault="00000000">
            <w:pPr>
              <w:jc w:val="center"/>
              <w:rPr>
                <w:b/>
                <w:i/>
                <w:iCs/>
                <w:sz w:val="22"/>
                <w:szCs w:val="22"/>
              </w:rPr>
            </w:pPr>
            <w:r>
              <w:rPr>
                <w:i/>
                <w:iCs/>
                <w:sz w:val="22"/>
                <w:szCs w:val="22"/>
              </w:rPr>
              <w:t>Alipită pe o latură de construcţie cu altă destinaţie sau comasarea mai multor săli aglomerate într-o construcţie fără alte destinaţii</w:t>
            </w:r>
          </w:p>
        </w:tc>
        <w:tc>
          <w:tcPr>
            <w:tcW w:w="1634" w:type="dxa"/>
            <w:tcBorders>
              <w:top w:val="single" w:sz="4" w:space="0" w:color="000000"/>
              <w:left w:val="single" w:sz="4" w:space="0" w:color="000000"/>
              <w:bottom w:val="single" w:sz="4" w:space="0" w:color="000000"/>
            </w:tcBorders>
          </w:tcPr>
          <w:p w14:paraId="5866D708" w14:textId="77777777" w:rsidR="001C08A5" w:rsidRDefault="001C08A5">
            <w:pPr>
              <w:snapToGrid w:val="0"/>
              <w:jc w:val="center"/>
              <w:rPr>
                <w:b/>
                <w:i/>
                <w:iCs/>
                <w:sz w:val="22"/>
                <w:szCs w:val="22"/>
              </w:rPr>
            </w:pPr>
          </w:p>
          <w:p w14:paraId="7C543B39" w14:textId="77777777" w:rsidR="001C08A5" w:rsidRDefault="00000000">
            <w:pPr>
              <w:jc w:val="center"/>
              <w:rPr>
                <w:i/>
                <w:iCs/>
                <w:sz w:val="22"/>
                <w:szCs w:val="22"/>
              </w:rPr>
            </w:pPr>
            <w:r>
              <w:rPr>
                <w:b/>
                <w:i/>
                <w:iCs/>
                <w:sz w:val="22"/>
                <w:szCs w:val="22"/>
              </w:rPr>
              <w:t>S1</w:t>
            </w:r>
          </w:p>
        </w:tc>
        <w:tc>
          <w:tcPr>
            <w:tcW w:w="1400" w:type="dxa"/>
            <w:tcBorders>
              <w:top w:val="single" w:sz="4" w:space="0" w:color="000000"/>
              <w:left w:val="single" w:sz="4" w:space="0" w:color="000000"/>
              <w:bottom w:val="single" w:sz="4" w:space="0" w:color="000000"/>
            </w:tcBorders>
          </w:tcPr>
          <w:p w14:paraId="467105E6" w14:textId="77777777" w:rsidR="001C08A5" w:rsidRDefault="001C08A5">
            <w:pPr>
              <w:snapToGrid w:val="0"/>
              <w:jc w:val="center"/>
              <w:rPr>
                <w:b/>
                <w:bCs/>
                <w:i/>
                <w:iCs/>
                <w:sz w:val="22"/>
                <w:szCs w:val="22"/>
              </w:rPr>
            </w:pPr>
          </w:p>
          <w:p w14:paraId="78FC1CB2" w14:textId="77777777" w:rsidR="001C08A5" w:rsidRDefault="00000000">
            <w:pPr>
              <w:jc w:val="center"/>
              <w:rPr>
                <w:b/>
                <w:bCs/>
                <w:i/>
                <w:iCs/>
                <w:sz w:val="22"/>
                <w:szCs w:val="22"/>
              </w:rPr>
            </w:pPr>
            <w:r>
              <w:rPr>
                <w:b/>
                <w:bCs/>
                <w:i/>
                <w:iCs/>
                <w:sz w:val="22"/>
                <w:szCs w:val="22"/>
              </w:rPr>
              <w:t>5.000</w:t>
            </w:r>
          </w:p>
        </w:tc>
        <w:tc>
          <w:tcPr>
            <w:tcW w:w="1400" w:type="dxa"/>
            <w:tcBorders>
              <w:top w:val="single" w:sz="4" w:space="0" w:color="000000"/>
              <w:left w:val="single" w:sz="4" w:space="0" w:color="000000"/>
            </w:tcBorders>
          </w:tcPr>
          <w:p w14:paraId="7AE5D830" w14:textId="77777777" w:rsidR="001C08A5" w:rsidRDefault="001C08A5">
            <w:pPr>
              <w:snapToGrid w:val="0"/>
              <w:jc w:val="center"/>
              <w:rPr>
                <w:b/>
                <w:bCs/>
                <w:i/>
                <w:iCs/>
                <w:sz w:val="22"/>
                <w:szCs w:val="22"/>
              </w:rPr>
            </w:pPr>
          </w:p>
          <w:p w14:paraId="5EA3AFA2" w14:textId="77777777" w:rsidR="001C08A5" w:rsidRDefault="00000000">
            <w:pPr>
              <w:jc w:val="center"/>
              <w:rPr>
                <w:b/>
                <w:bCs/>
                <w:i/>
                <w:iCs/>
                <w:sz w:val="22"/>
                <w:szCs w:val="22"/>
              </w:rPr>
            </w:pPr>
            <w:r>
              <w:rPr>
                <w:b/>
                <w:bCs/>
                <w:i/>
                <w:iCs/>
                <w:sz w:val="22"/>
                <w:szCs w:val="22"/>
              </w:rPr>
              <w:t>3.000</w:t>
            </w:r>
          </w:p>
        </w:tc>
        <w:tc>
          <w:tcPr>
            <w:tcW w:w="1378" w:type="dxa"/>
            <w:tcBorders>
              <w:top w:val="single" w:sz="4" w:space="0" w:color="000000"/>
              <w:left w:val="single" w:sz="4" w:space="0" w:color="000000"/>
              <w:bottom w:val="single" w:sz="4" w:space="0" w:color="000000"/>
              <w:right w:val="single" w:sz="8" w:space="0" w:color="000000"/>
            </w:tcBorders>
          </w:tcPr>
          <w:p w14:paraId="4895BFFB" w14:textId="77777777" w:rsidR="001C08A5" w:rsidRDefault="001C08A5">
            <w:pPr>
              <w:snapToGrid w:val="0"/>
              <w:jc w:val="center"/>
              <w:rPr>
                <w:b/>
                <w:bCs/>
                <w:i/>
                <w:iCs/>
                <w:sz w:val="22"/>
                <w:szCs w:val="22"/>
              </w:rPr>
            </w:pPr>
          </w:p>
          <w:p w14:paraId="33F2C9C4" w14:textId="77777777" w:rsidR="001C08A5" w:rsidRDefault="00000000">
            <w:pPr>
              <w:jc w:val="center"/>
              <w:rPr>
                <w:b/>
                <w:bCs/>
                <w:i/>
                <w:iCs/>
                <w:sz w:val="22"/>
                <w:szCs w:val="22"/>
              </w:rPr>
            </w:pPr>
            <w:r>
              <w:rPr>
                <w:b/>
                <w:bCs/>
                <w:i/>
                <w:iCs/>
                <w:sz w:val="22"/>
                <w:szCs w:val="22"/>
              </w:rPr>
              <w:t>1.500</w:t>
            </w:r>
          </w:p>
        </w:tc>
      </w:tr>
      <w:tr w:rsidR="001C08A5" w14:paraId="66DD3574" w14:textId="77777777">
        <w:trPr>
          <w:cantSplit/>
          <w:trHeight w:val="313"/>
        </w:trPr>
        <w:tc>
          <w:tcPr>
            <w:tcW w:w="3686" w:type="dxa"/>
            <w:vMerge/>
            <w:tcBorders>
              <w:left w:val="single" w:sz="8" w:space="0" w:color="000000"/>
              <w:bottom w:val="single" w:sz="4" w:space="0" w:color="000000"/>
            </w:tcBorders>
          </w:tcPr>
          <w:p w14:paraId="39426750" w14:textId="77777777" w:rsidR="001C08A5" w:rsidRDefault="001C08A5">
            <w:pPr>
              <w:snapToGrid w:val="0"/>
              <w:jc w:val="center"/>
              <w:rPr>
                <w:i/>
                <w:iCs/>
                <w:sz w:val="22"/>
                <w:szCs w:val="22"/>
              </w:rPr>
            </w:pPr>
          </w:p>
        </w:tc>
        <w:tc>
          <w:tcPr>
            <w:tcW w:w="1634" w:type="dxa"/>
            <w:tcBorders>
              <w:top w:val="single" w:sz="4" w:space="0" w:color="000000"/>
              <w:left w:val="single" w:sz="4" w:space="0" w:color="000000"/>
              <w:bottom w:val="single" w:sz="4" w:space="0" w:color="000000"/>
            </w:tcBorders>
          </w:tcPr>
          <w:p w14:paraId="438231B8" w14:textId="77777777" w:rsidR="001C08A5" w:rsidRDefault="00000000">
            <w:pPr>
              <w:jc w:val="center"/>
              <w:rPr>
                <w:i/>
                <w:iCs/>
                <w:sz w:val="22"/>
                <w:szCs w:val="22"/>
              </w:rPr>
            </w:pPr>
            <w:r>
              <w:rPr>
                <w:b/>
                <w:i/>
                <w:iCs/>
                <w:sz w:val="22"/>
                <w:szCs w:val="22"/>
              </w:rPr>
              <w:t>S2</w:t>
            </w:r>
          </w:p>
        </w:tc>
        <w:tc>
          <w:tcPr>
            <w:tcW w:w="1400" w:type="dxa"/>
            <w:tcBorders>
              <w:top w:val="single" w:sz="4" w:space="0" w:color="000000"/>
              <w:left w:val="single" w:sz="4" w:space="0" w:color="000000"/>
              <w:bottom w:val="single" w:sz="4" w:space="0" w:color="000000"/>
            </w:tcBorders>
          </w:tcPr>
          <w:p w14:paraId="74BA2885" w14:textId="77777777" w:rsidR="001C08A5" w:rsidRDefault="00000000">
            <w:pPr>
              <w:jc w:val="center"/>
              <w:rPr>
                <w:b/>
                <w:bCs/>
                <w:i/>
                <w:iCs/>
                <w:sz w:val="22"/>
                <w:szCs w:val="22"/>
              </w:rPr>
            </w:pPr>
            <w:r>
              <w:rPr>
                <w:b/>
                <w:bCs/>
                <w:i/>
                <w:iCs/>
                <w:sz w:val="22"/>
                <w:szCs w:val="22"/>
              </w:rPr>
              <w:t>6.000</w:t>
            </w:r>
          </w:p>
        </w:tc>
        <w:tc>
          <w:tcPr>
            <w:tcW w:w="1400" w:type="dxa"/>
            <w:tcBorders>
              <w:top w:val="single" w:sz="4" w:space="0" w:color="000000"/>
              <w:left w:val="single" w:sz="4" w:space="0" w:color="000000"/>
              <w:bottom w:val="single" w:sz="4" w:space="0" w:color="000000"/>
            </w:tcBorders>
          </w:tcPr>
          <w:p w14:paraId="24B17DDD" w14:textId="77777777" w:rsidR="001C08A5" w:rsidRDefault="00000000">
            <w:pPr>
              <w:jc w:val="center"/>
              <w:rPr>
                <w:b/>
                <w:bCs/>
                <w:i/>
                <w:iCs/>
                <w:sz w:val="22"/>
                <w:szCs w:val="22"/>
              </w:rPr>
            </w:pPr>
            <w:r>
              <w:rPr>
                <w:b/>
                <w:bCs/>
                <w:i/>
                <w:iCs/>
                <w:sz w:val="22"/>
                <w:szCs w:val="22"/>
              </w:rPr>
              <w:t>4.000</w:t>
            </w:r>
          </w:p>
        </w:tc>
        <w:tc>
          <w:tcPr>
            <w:tcW w:w="1378" w:type="dxa"/>
            <w:tcBorders>
              <w:top w:val="single" w:sz="4" w:space="0" w:color="000000"/>
              <w:left w:val="single" w:sz="4" w:space="0" w:color="000000"/>
              <w:bottom w:val="single" w:sz="4" w:space="0" w:color="000000"/>
              <w:right w:val="single" w:sz="8" w:space="0" w:color="000000"/>
            </w:tcBorders>
          </w:tcPr>
          <w:p w14:paraId="48365164" w14:textId="77777777" w:rsidR="001C08A5" w:rsidRDefault="00000000">
            <w:pPr>
              <w:jc w:val="center"/>
              <w:rPr>
                <w:b/>
                <w:bCs/>
                <w:i/>
                <w:iCs/>
                <w:sz w:val="22"/>
                <w:szCs w:val="22"/>
              </w:rPr>
            </w:pPr>
            <w:r>
              <w:rPr>
                <w:b/>
                <w:bCs/>
                <w:i/>
                <w:iCs/>
                <w:sz w:val="22"/>
                <w:szCs w:val="22"/>
              </w:rPr>
              <w:t>2.000</w:t>
            </w:r>
          </w:p>
        </w:tc>
      </w:tr>
      <w:tr w:rsidR="001C08A5" w14:paraId="2B832B2E" w14:textId="77777777">
        <w:trPr>
          <w:cantSplit/>
          <w:trHeight w:val="331"/>
        </w:trPr>
        <w:tc>
          <w:tcPr>
            <w:tcW w:w="3686" w:type="dxa"/>
            <w:vMerge w:val="restart"/>
            <w:tcBorders>
              <w:top w:val="single" w:sz="4" w:space="0" w:color="000000"/>
              <w:left w:val="single" w:sz="8" w:space="0" w:color="000000"/>
            </w:tcBorders>
          </w:tcPr>
          <w:p w14:paraId="4F5891F5" w14:textId="77777777" w:rsidR="001C08A5" w:rsidRDefault="00000000">
            <w:pPr>
              <w:jc w:val="center"/>
              <w:rPr>
                <w:b/>
                <w:i/>
                <w:iCs/>
                <w:sz w:val="22"/>
                <w:szCs w:val="22"/>
              </w:rPr>
            </w:pPr>
            <w:r>
              <w:rPr>
                <w:i/>
                <w:iCs/>
                <w:sz w:val="22"/>
                <w:szCs w:val="22"/>
              </w:rPr>
              <w:t>Înglobată în construcţie cu altă destinaţie</w:t>
            </w:r>
          </w:p>
        </w:tc>
        <w:tc>
          <w:tcPr>
            <w:tcW w:w="1634" w:type="dxa"/>
            <w:tcBorders>
              <w:top w:val="single" w:sz="4" w:space="0" w:color="000000"/>
              <w:left w:val="single" w:sz="4" w:space="0" w:color="000000"/>
              <w:bottom w:val="single" w:sz="4" w:space="0" w:color="000000"/>
            </w:tcBorders>
          </w:tcPr>
          <w:p w14:paraId="13E456A6" w14:textId="77777777" w:rsidR="001C08A5" w:rsidRDefault="00000000">
            <w:pPr>
              <w:jc w:val="center"/>
              <w:rPr>
                <w:i/>
                <w:iCs/>
                <w:sz w:val="22"/>
                <w:szCs w:val="22"/>
              </w:rPr>
            </w:pPr>
            <w:r>
              <w:rPr>
                <w:b/>
                <w:i/>
                <w:iCs/>
                <w:sz w:val="22"/>
                <w:szCs w:val="22"/>
              </w:rPr>
              <w:t>S1</w:t>
            </w:r>
          </w:p>
        </w:tc>
        <w:tc>
          <w:tcPr>
            <w:tcW w:w="1400" w:type="dxa"/>
            <w:tcBorders>
              <w:top w:val="single" w:sz="4" w:space="0" w:color="000000"/>
              <w:left w:val="single" w:sz="4" w:space="0" w:color="000000"/>
            </w:tcBorders>
          </w:tcPr>
          <w:p w14:paraId="39DCCE56" w14:textId="77777777" w:rsidR="001C08A5" w:rsidRDefault="00000000">
            <w:pPr>
              <w:jc w:val="center"/>
              <w:rPr>
                <w:b/>
                <w:bCs/>
                <w:i/>
                <w:iCs/>
                <w:sz w:val="22"/>
                <w:szCs w:val="22"/>
              </w:rPr>
            </w:pPr>
            <w:r>
              <w:rPr>
                <w:b/>
                <w:bCs/>
                <w:i/>
                <w:iCs/>
                <w:sz w:val="22"/>
                <w:szCs w:val="22"/>
              </w:rPr>
              <w:t>3.000</w:t>
            </w:r>
          </w:p>
        </w:tc>
        <w:tc>
          <w:tcPr>
            <w:tcW w:w="1400" w:type="dxa"/>
            <w:tcBorders>
              <w:top w:val="single" w:sz="4" w:space="0" w:color="000000"/>
              <w:left w:val="single" w:sz="4" w:space="0" w:color="000000"/>
              <w:bottom w:val="single" w:sz="4" w:space="0" w:color="000000"/>
            </w:tcBorders>
          </w:tcPr>
          <w:p w14:paraId="66E47D46" w14:textId="77777777" w:rsidR="001C08A5" w:rsidRDefault="00000000">
            <w:pPr>
              <w:jc w:val="center"/>
              <w:rPr>
                <w:b/>
                <w:bCs/>
                <w:i/>
                <w:iCs/>
                <w:sz w:val="22"/>
                <w:szCs w:val="22"/>
              </w:rPr>
            </w:pPr>
            <w:r>
              <w:rPr>
                <w:b/>
                <w:bCs/>
                <w:i/>
                <w:iCs/>
                <w:sz w:val="22"/>
                <w:szCs w:val="22"/>
              </w:rPr>
              <w:t>2.000</w:t>
            </w:r>
          </w:p>
        </w:tc>
        <w:tc>
          <w:tcPr>
            <w:tcW w:w="1378" w:type="dxa"/>
            <w:tcBorders>
              <w:top w:val="single" w:sz="4" w:space="0" w:color="000000"/>
              <w:left w:val="single" w:sz="4" w:space="0" w:color="000000"/>
              <w:bottom w:val="single" w:sz="4" w:space="0" w:color="000000"/>
              <w:right w:val="single" w:sz="8" w:space="0" w:color="000000"/>
            </w:tcBorders>
          </w:tcPr>
          <w:p w14:paraId="66A6E3EF" w14:textId="77777777" w:rsidR="001C08A5" w:rsidRDefault="00000000">
            <w:pPr>
              <w:jc w:val="center"/>
              <w:rPr>
                <w:b/>
                <w:bCs/>
                <w:i/>
                <w:iCs/>
                <w:sz w:val="22"/>
                <w:szCs w:val="22"/>
              </w:rPr>
            </w:pPr>
            <w:r>
              <w:rPr>
                <w:b/>
                <w:bCs/>
                <w:i/>
                <w:iCs/>
                <w:sz w:val="22"/>
                <w:szCs w:val="22"/>
              </w:rPr>
              <w:t>1.000</w:t>
            </w:r>
          </w:p>
        </w:tc>
      </w:tr>
      <w:tr w:rsidR="001C08A5" w14:paraId="69E20F39" w14:textId="77777777">
        <w:trPr>
          <w:cantSplit/>
          <w:trHeight w:val="286"/>
        </w:trPr>
        <w:tc>
          <w:tcPr>
            <w:tcW w:w="3686" w:type="dxa"/>
            <w:vMerge/>
            <w:tcBorders>
              <w:left w:val="single" w:sz="8" w:space="0" w:color="000000"/>
              <w:bottom w:val="single" w:sz="8" w:space="0" w:color="000000"/>
            </w:tcBorders>
          </w:tcPr>
          <w:p w14:paraId="621C5801" w14:textId="77777777" w:rsidR="001C08A5" w:rsidRDefault="001C08A5">
            <w:pPr>
              <w:snapToGrid w:val="0"/>
              <w:jc w:val="both"/>
              <w:rPr>
                <w:i/>
                <w:iCs/>
                <w:sz w:val="22"/>
                <w:szCs w:val="22"/>
              </w:rPr>
            </w:pPr>
          </w:p>
        </w:tc>
        <w:tc>
          <w:tcPr>
            <w:tcW w:w="1634" w:type="dxa"/>
            <w:tcBorders>
              <w:top w:val="single" w:sz="4" w:space="0" w:color="000000"/>
              <w:left w:val="single" w:sz="4" w:space="0" w:color="000000"/>
              <w:bottom w:val="single" w:sz="8" w:space="0" w:color="000000"/>
            </w:tcBorders>
          </w:tcPr>
          <w:p w14:paraId="74690576" w14:textId="77777777" w:rsidR="001C08A5" w:rsidRDefault="00000000">
            <w:pPr>
              <w:jc w:val="center"/>
              <w:rPr>
                <w:i/>
                <w:iCs/>
                <w:sz w:val="22"/>
                <w:szCs w:val="22"/>
              </w:rPr>
            </w:pPr>
            <w:r>
              <w:rPr>
                <w:b/>
                <w:i/>
                <w:iCs/>
                <w:sz w:val="22"/>
                <w:szCs w:val="22"/>
              </w:rPr>
              <w:t>S2</w:t>
            </w:r>
          </w:p>
        </w:tc>
        <w:tc>
          <w:tcPr>
            <w:tcW w:w="1400" w:type="dxa"/>
            <w:tcBorders>
              <w:top w:val="single" w:sz="4" w:space="0" w:color="000000"/>
              <w:left w:val="single" w:sz="4" w:space="0" w:color="000000"/>
              <w:bottom w:val="single" w:sz="8" w:space="0" w:color="000000"/>
            </w:tcBorders>
          </w:tcPr>
          <w:p w14:paraId="7C037DAB" w14:textId="77777777" w:rsidR="001C08A5" w:rsidRDefault="00000000">
            <w:pPr>
              <w:jc w:val="center"/>
              <w:rPr>
                <w:b/>
                <w:bCs/>
                <w:i/>
                <w:iCs/>
                <w:sz w:val="22"/>
                <w:szCs w:val="22"/>
              </w:rPr>
            </w:pPr>
            <w:r>
              <w:rPr>
                <w:b/>
                <w:bCs/>
                <w:i/>
                <w:iCs/>
                <w:sz w:val="22"/>
                <w:szCs w:val="22"/>
              </w:rPr>
              <w:t>5.000</w:t>
            </w:r>
          </w:p>
        </w:tc>
        <w:tc>
          <w:tcPr>
            <w:tcW w:w="1400" w:type="dxa"/>
            <w:tcBorders>
              <w:top w:val="single" w:sz="4" w:space="0" w:color="000000"/>
              <w:left w:val="single" w:sz="4" w:space="0" w:color="000000"/>
              <w:bottom w:val="single" w:sz="8" w:space="0" w:color="000000"/>
            </w:tcBorders>
          </w:tcPr>
          <w:p w14:paraId="2CF9086D" w14:textId="77777777" w:rsidR="001C08A5" w:rsidRDefault="00000000">
            <w:pPr>
              <w:jc w:val="center"/>
              <w:rPr>
                <w:b/>
                <w:bCs/>
                <w:i/>
                <w:iCs/>
                <w:sz w:val="22"/>
                <w:szCs w:val="22"/>
              </w:rPr>
            </w:pPr>
            <w:r>
              <w:rPr>
                <w:b/>
                <w:bCs/>
                <w:i/>
                <w:iCs/>
                <w:sz w:val="22"/>
                <w:szCs w:val="22"/>
              </w:rPr>
              <w:t>3.000</w:t>
            </w:r>
          </w:p>
        </w:tc>
        <w:tc>
          <w:tcPr>
            <w:tcW w:w="1378" w:type="dxa"/>
            <w:tcBorders>
              <w:top w:val="single" w:sz="4" w:space="0" w:color="000000"/>
              <w:left w:val="single" w:sz="4" w:space="0" w:color="000000"/>
              <w:bottom w:val="single" w:sz="8" w:space="0" w:color="000000"/>
              <w:right w:val="single" w:sz="8" w:space="0" w:color="000000"/>
            </w:tcBorders>
          </w:tcPr>
          <w:p w14:paraId="68C50873" w14:textId="77777777" w:rsidR="001C08A5" w:rsidRDefault="00000000">
            <w:pPr>
              <w:jc w:val="center"/>
              <w:rPr>
                <w:b/>
                <w:bCs/>
                <w:i/>
                <w:iCs/>
                <w:sz w:val="22"/>
                <w:szCs w:val="22"/>
              </w:rPr>
            </w:pPr>
            <w:r>
              <w:rPr>
                <w:b/>
                <w:bCs/>
                <w:i/>
                <w:iCs/>
                <w:sz w:val="22"/>
                <w:szCs w:val="22"/>
              </w:rPr>
              <w:t>1.500</w:t>
            </w:r>
          </w:p>
        </w:tc>
      </w:tr>
    </w:tbl>
    <w:p w14:paraId="206EE9AE" w14:textId="77777777" w:rsidR="001C08A5" w:rsidRDefault="00000000">
      <w:pPr>
        <w:jc w:val="both"/>
        <w:rPr>
          <w:sz w:val="24"/>
          <w:szCs w:val="24"/>
        </w:rPr>
      </w:pPr>
      <w:r>
        <w:rPr>
          <w:sz w:val="24"/>
          <w:szCs w:val="24"/>
        </w:rPr>
        <w:tab/>
      </w:r>
      <w:r>
        <w:rPr>
          <w:sz w:val="24"/>
          <w:szCs w:val="24"/>
        </w:rPr>
        <w:tab/>
      </w:r>
    </w:p>
    <w:p w14:paraId="5A07883C" w14:textId="77777777" w:rsidR="001C08A5" w:rsidRDefault="00000000">
      <w:pPr>
        <w:ind w:firstLine="708"/>
        <w:jc w:val="both"/>
        <w:rPr>
          <w:b/>
          <w:sz w:val="24"/>
          <w:szCs w:val="24"/>
        </w:rPr>
      </w:pPr>
      <w:r>
        <w:rPr>
          <w:b/>
          <w:sz w:val="24"/>
          <w:szCs w:val="24"/>
        </w:rPr>
        <w:t>b)</w:t>
      </w:r>
      <w:r>
        <w:rPr>
          <w:sz w:val="24"/>
          <w:szCs w:val="24"/>
        </w:rPr>
        <w:t xml:space="preserve"> Între categoria sălii aglomerate (porţiunea în care publicul are acces) şi numărul maxim de niveluri supraterane admis  în care pot fi dispuse săli aglomerate, potrivit prevederilor din </w:t>
      </w:r>
      <w:r>
        <w:rPr>
          <w:b/>
          <w:bCs/>
          <w:i/>
          <w:iCs/>
          <w:sz w:val="24"/>
          <w:szCs w:val="24"/>
        </w:rPr>
        <w:fldChar w:fldCharType="begin"/>
      </w:r>
      <w:r>
        <w:rPr>
          <w:b/>
          <w:bCs/>
          <w:i/>
          <w:iCs/>
          <w:sz w:val="24"/>
          <w:szCs w:val="24"/>
        </w:rPr>
        <w:instrText xml:space="preserve"> REF _Ref24275 \h </w:instrText>
      </w:r>
      <w:r>
        <w:rPr>
          <w:b/>
          <w:bCs/>
          <w:i/>
          <w:iCs/>
          <w:sz w:val="24"/>
          <w:szCs w:val="24"/>
        </w:rPr>
      </w:r>
      <w:r>
        <w:rPr>
          <w:b/>
          <w:bCs/>
          <w:i/>
          <w:iCs/>
          <w:sz w:val="24"/>
          <w:szCs w:val="24"/>
        </w:rPr>
        <w:fldChar w:fldCharType="separate"/>
      </w:r>
      <w:r>
        <w:t>Tabelul 100</w:t>
      </w:r>
      <w:r>
        <w:rPr>
          <w:b/>
          <w:bCs/>
          <w:i/>
          <w:iCs/>
          <w:sz w:val="24"/>
          <w:szCs w:val="24"/>
        </w:rPr>
        <w:fldChar w:fldCharType="end"/>
      </w:r>
      <w:r>
        <w:rPr>
          <w:b/>
          <w:sz w:val="24"/>
          <w:szCs w:val="24"/>
        </w:rPr>
        <w:t xml:space="preserve">. </w:t>
      </w:r>
    </w:p>
    <w:p w14:paraId="6E023F55" w14:textId="77777777" w:rsidR="001C08A5" w:rsidRDefault="001C08A5">
      <w:pPr>
        <w:jc w:val="both"/>
        <w:rPr>
          <w:b/>
          <w:sz w:val="24"/>
          <w:szCs w:val="24"/>
        </w:rPr>
      </w:pPr>
    </w:p>
    <w:p w14:paraId="6744A267" w14:textId="77777777" w:rsidR="001C08A5" w:rsidRDefault="00000000">
      <w:pPr>
        <w:pStyle w:val="Captiontabel"/>
      </w:pPr>
      <w:bookmarkStart w:id="4651" w:name="_Ref24275"/>
      <w:bookmarkStart w:id="4652" w:name="_Toc162360150"/>
      <w:r>
        <w:t xml:space="preserve">Tabelul </w:t>
      </w:r>
      <w:r>
        <w:fldChar w:fldCharType="begin"/>
      </w:r>
      <w:r>
        <w:instrText xml:space="preserve"> SEQ Tabelul \* ARABIC </w:instrText>
      </w:r>
      <w:r>
        <w:fldChar w:fldCharType="separate"/>
      </w:r>
      <w:r>
        <w:t>100</w:t>
      </w:r>
      <w:r>
        <w:fldChar w:fldCharType="end"/>
      </w:r>
      <w:bookmarkStart w:id="4653" w:name="_Toc29654"/>
      <w:bookmarkStart w:id="4654" w:name="_Toc4514"/>
      <w:bookmarkStart w:id="4655" w:name="_Toc24615"/>
      <w:bookmarkStart w:id="4656" w:name="_Toc13767"/>
      <w:bookmarkStart w:id="4657" w:name="_Toc21731"/>
      <w:bookmarkStart w:id="4658" w:name="_Toc4015"/>
      <w:bookmarkStart w:id="4659" w:name="_Toc5163"/>
      <w:bookmarkStart w:id="4660" w:name="_Toc23966"/>
      <w:bookmarkStart w:id="4661" w:name="_Toc2436"/>
      <w:bookmarkStart w:id="4662" w:name="_Toc23349"/>
      <w:bookmarkStart w:id="4663" w:name="_Toc10595"/>
      <w:bookmarkStart w:id="4664" w:name="_Toc6892"/>
      <w:bookmarkStart w:id="4665" w:name="_Toc732"/>
      <w:bookmarkStart w:id="4666" w:name="_Toc32043"/>
      <w:bookmarkStart w:id="4667" w:name="_Toc11334"/>
      <w:bookmarkStart w:id="4668" w:name="_Toc29225"/>
      <w:bookmarkStart w:id="4669" w:name="_Toc32363"/>
      <w:bookmarkStart w:id="4670" w:name="_Toc19892"/>
      <w:bookmarkStart w:id="4671" w:name="_Toc4868"/>
      <w:bookmarkEnd w:id="4651"/>
      <w:r>
        <w:t>: Corelare între categoria sălii aglomerate (porţiunea în care publicul are acces) şi numărul de niveluri supraterane în care este admisă realizarea acestora</w:t>
      </w:r>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p>
    <w:p w14:paraId="4F173371" w14:textId="77777777" w:rsidR="001C08A5" w:rsidRDefault="001C08A5">
      <w:pPr>
        <w:pStyle w:val="BodyText"/>
      </w:pPr>
    </w:p>
    <w:tbl>
      <w:tblPr>
        <w:tblW w:w="9498" w:type="dxa"/>
        <w:tblInd w:w="108" w:type="dxa"/>
        <w:tblLayout w:type="fixed"/>
        <w:tblLook w:val="04A0" w:firstRow="1" w:lastRow="0" w:firstColumn="1" w:lastColumn="0" w:noHBand="0" w:noVBand="1"/>
      </w:tblPr>
      <w:tblGrid>
        <w:gridCol w:w="1540"/>
        <w:gridCol w:w="2690"/>
        <w:gridCol w:w="2790"/>
        <w:gridCol w:w="2478"/>
      </w:tblGrid>
      <w:tr w:rsidR="001C08A5" w14:paraId="64F627AF" w14:textId="77777777">
        <w:trPr>
          <w:cantSplit/>
        </w:trPr>
        <w:tc>
          <w:tcPr>
            <w:tcW w:w="1540" w:type="dxa"/>
            <w:vMerge w:val="restart"/>
            <w:tcBorders>
              <w:top w:val="single" w:sz="8" w:space="0" w:color="000000"/>
              <w:left w:val="single" w:sz="8" w:space="0" w:color="000000"/>
            </w:tcBorders>
            <w:shd w:val="clear" w:color="auto" w:fill="D9D9D9"/>
          </w:tcPr>
          <w:p w14:paraId="481D50B7" w14:textId="77777777" w:rsidR="001C08A5" w:rsidRDefault="00000000">
            <w:pPr>
              <w:jc w:val="center"/>
              <w:rPr>
                <w:b/>
                <w:i/>
                <w:iCs/>
                <w:sz w:val="22"/>
                <w:szCs w:val="22"/>
              </w:rPr>
            </w:pPr>
            <w:r>
              <w:rPr>
                <w:b/>
                <w:i/>
                <w:iCs/>
                <w:sz w:val="22"/>
                <w:szCs w:val="22"/>
              </w:rPr>
              <w:t>Categoria sălii aglomerate</w:t>
            </w:r>
          </w:p>
        </w:tc>
        <w:tc>
          <w:tcPr>
            <w:tcW w:w="7958" w:type="dxa"/>
            <w:gridSpan w:val="3"/>
            <w:tcBorders>
              <w:top w:val="single" w:sz="8" w:space="0" w:color="000000"/>
              <w:left w:val="single" w:sz="4" w:space="0" w:color="000000"/>
              <w:bottom w:val="single" w:sz="4" w:space="0" w:color="000000"/>
              <w:right w:val="single" w:sz="8" w:space="0" w:color="000000"/>
            </w:tcBorders>
            <w:shd w:val="clear" w:color="auto" w:fill="D9D9D9"/>
            <w:vAlign w:val="center"/>
          </w:tcPr>
          <w:p w14:paraId="27AE4E14" w14:textId="77777777" w:rsidR="001C08A5" w:rsidRDefault="00000000">
            <w:pPr>
              <w:jc w:val="center"/>
              <w:rPr>
                <w:i/>
                <w:iCs/>
                <w:sz w:val="22"/>
                <w:szCs w:val="22"/>
              </w:rPr>
            </w:pPr>
            <w:r>
              <w:rPr>
                <w:b/>
                <w:i/>
                <w:iCs/>
                <w:sz w:val="22"/>
                <w:szCs w:val="22"/>
              </w:rPr>
              <w:t>Numărul maxim de niveluri supraterane în care pot fi dispuse săli aglomerate</w:t>
            </w:r>
          </w:p>
        </w:tc>
      </w:tr>
      <w:tr w:rsidR="001C08A5" w14:paraId="7FAB8542" w14:textId="77777777">
        <w:trPr>
          <w:cantSplit/>
        </w:trPr>
        <w:tc>
          <w:tcPr>
            <w:tcW w:w="1540" w:type="dxa"/>
            <w:vMerge/>
            <w:tcBorders>
              <w:left w:val="single" w:sz="8" w:space="0" w:color="000000"/>
              <w:bottom w:val="single" w:sz="8" w:space="0" w:color="000000"/>
            </w:tcBorders>
            <w:shd w:val="clear" w:color="auto" w:fill="D9D9D9"/>
          </w:tcPr>
          <w:p w14:paraId="525D5D48" w14:textId="77777777" w:rsidR="001C08A5" w:rsidRDefault="001C08A5">
            <w:pPr>
              <w:snapToGrid w:val="0"/>
              <w:jc w:val="both"/>
              <w:rPr>
                <w:i/>
                <w:iCs/>
                <w:sz w:val="22"/>
                <w:szCs w:val="22"/>
              </w:rPr>
            </w:pPr>
          </w:p>
        </w:tc>
        <w:tc>
          <w:tcPr>
            <w:tcW w:w="2690" w:type="dxa"/>
            <w:tcBorders>
              <w:top w:val="single" w:sz="4" w:space="0" w:color="000000"/>
              <w:left w:val="single" w:sz="4" w:space="0" w:color="000000"/>
              <w:bottom w:val="single" w:sz="8" w:space="0" w:color="000000"/>
            </w:tcBorders>
            <w:shd w:val="clear" w:color="auto" w:fill="D9D9D9"/>
            <w:vAlign w:val="center"/>
          </w:tcPr>
          <w:p w14:paraId="62D084E5" w14:textId="77777777" w:rsidR="001C08A5" w:rsidRDefault="00000000">
            <w:pPr>
              <w:spacing w:line="276" w:lineRule="auto"/>
              <w:jc w:val="center"/>
              <w:rPr>
                <w:b/>
                <w:i/>
                <w:iCs/>
                <w:sz w:val="22"/>
                <w:szCs w:val="22"/>
              </w:rPr>
            </w:pPr>
            <w:r>
              <w:rPr>
                <w:b/>
                <w:i/>
                <w:iCs/>
                <w:sz w:val="22"/>
                <w:szCs w:val="22"/>
              </w:rPr>
              <w:t>I</w:t>
            </w:r>
          </w:p>
        </w:tc>
        <w:tc>
          <w:tcPr>
            <w:tcW w:w="2790" w:type="dxa"/>
            <w:tcBorders>
              <w:top w:val="single" w:sz="4" w:space="0" w:color="000000"/>
              <w:left w:val="single" w:sz="4" w:space="0" w:color="000000"/>
              <w:bottom w:val="single" w:sz="8" w:space="0" w:color="000000"/>
            </w:tcBorders>
            <w:shd w:val="clear" w:color="auto" w:fill="D9D9D9"/>
            <w:vAlign w:val="center"/>
          </w:tcPr>
          <w:p w14:paraId="74873B0D" w14:textId="77777777" w:rsidR="001C08A5" w:rsidRDefault="00000000">
            <w:pPr>
              <w:spacing w:line="276" w:lineRule="auto"/>
              <w:jc w:val="center"/>
              <w:rPr>
                <w:b/>
                <w:i/>
                <w:iCs/>
                <w:sz w:val="22"/>
                <w:szCs w:val="22"/>
              </w:rPr>
            </w:pPr>
            <w:r>
              <w:rPr>
                <w:b/>
                <w:i/>
                <w:iCs/>
                <w:sz w:val="22"/>
                <w:szCs w:val="22"/>
              </w:rPr>
              <w:t>II</w:t>
            </w:r>
          </w:p>
        </w:tc>
        <w:tc>
          <w:tcPr>
            <w:tcW w:w="2478" w:type="dxa"/>
            <w:tcBorders>
              <w:top w:val="single" w:sz="4" w:space="0" w:color="000000"/>
              <w:left w:val="single" w:sz="4" w:space="0" w:color="000000"/>
              <w:bottom w:val="single" w:sz="8" w:space="0" w:color="000000"/>
              <w:right w:val="single" w:sz="8" w:space="0" w:color="000000"/>
            </w:tcBorders>
            <w:shd w:val="clear" w:color="auto" w:fill="D9D9D9"/>
            <w:vAlign w:val="center"/>
          </w:tcPr>
          <w:p w14:paraId="02F15737" w14:textId="77777777" w:rsidR="001C08A5" w:rsidRDefault="00000000">
            <w:pPr>
              <w:spacing w:line="276" w:lineRule="auto"/>
              <w:jc w:val="center"/>
              <w:rPr>
                <w:b/>
                <w:i/>
                <w:iCs/>
                <w:sz w:val="22"/>
                <w:szCs w:val="22"/>
              </w:rPr>
            </w:pPr>
            <w:r>
              <w:rPr>
                <w:b/>
                <w:i/>
                <w:iCs/>
                <w:sz w:val="22"/>
                <w:szCs w:val="22"/>
              </w:rPr>
              <w:t>III</w:t>
            </w:r>
          </w:p>
        </w:tc>
      </w:tr>
      <w:tr w:rsidR="001C08A5" w14:paraId="76999A83" w14:textId="77777777">
        <w:tc>
          <w:tcPr>
            <w:tcW w:w="1540" w:type="dxa"/>
            <w:tcBorders>
              <w:top w:val="single" w:sz="8" w:space="0" w:color="000000"/>
              <w:left w:val="single" w:sz="8" w:space="0" w:color="000000"/>
              <w:bottom w:val="single" w:sz="4" w:space="0" w:color="000000"/>
            </w:tcBorders>
          </w:tcPr>
          <w:p w14:paraId="72244297" w14:textId="77777777" w:rsidR="001C08A5" w:rsidRDefault="00000000">
            <w:pPr>
              <w:jc w:val="center"/>
              <w:rPr>
                <w:i/>
                <w:iCs/>
                <w:sz w:val="22"/>
                <w:szCs w:val="22"/>
              </w:rPr>
            </w:pPr>
            <w:r>
              <w:rPr>
                <w:b/>
                <w:i/>
                <w:iCs/>
                <w:sz w:val="22"/>
                <w:szCs w:val="22"/>
              </w:rPr>
              <w:t>S1</w:t>
            </w:r>
          </w:p>
        </w:tc>
        <w:tc>
          <w:tcPr>
            <w:tcW w:w="2690" w:type="dxa"/>
            <w:tcBorders>
              <w:top w:val="single" w:sz="8" w:space="0" w:color="000000"/>
              <w:left w:val="single" w:sz="4" w:space="0" w:color="000000"/>
              <w:bottom w:val="single" w:sz="4" w:space="0" w:color="000000"/>
            </w:tcBorders>
          </w:tcPr>
          <w:p w14:paraId="741B974F" w14:textId="77777777" w:rsidR="001C08A5" w:rsidRDefault="00000000">
            <w:pPr>
              <w:jc w:val="center"/>
              <w:rPr>
                <w:b/>
                <w:i/>
                <w:iCs/>
                <w:sz w:val="22"/>
                <w:szCs w:val="22"/>
              </w:rPr>
            </w:pPr>
            <w:r>
              <w:rPr>
                <w:i/>
                <w:iCs/>
                <w:sz w:val="22"/>
                <w:szCs w:val="22"/>
              </w:rPr>
              <w:t>Nelimitat</w:t>
            </w:r>
          </w:p>
        </w:tc>
        <w:tc>
          <w:tcPr>
            <w:tcW w:w="2790" w:type="dxa"/>
            <w:tcBorders>
              <w:top w:val="single" w:sz="8" w:space="0" w:color="000000"/>
              <w:left w:val="single" w:sz="4" w:space="0" w:color="000000"/>
              <w:bottom w:val="single" w:sz="4" w:space="0" w:color="000000"/>
            </w:tcBorders>
          </w:tcPr>
          <w:p w14:paraId="6188A6A9" w14:textId="77777777" w:rsidR="001C08A5" w:rsidRDefault="00000000">
            <w:pPr>
              <w:jc w:val="center"/>
              <w:rPr>
                <w:b/>
                <w:i/>
                <w:iCs/>
                <w:sz w:val="22"/>
                <w:szCs w:val="22"/>
              </w:rPr>
            </w:pPr>
            <w:r>
              <w:rPr>
                <w:b/>
                <w:i/>
                <w:iCs/>
                <w:sz w:val="22"/>
                <w:szCs w:val="22"/>
              </w:rPr>
              <w:t>5</w:t>
            </w:r>
          </w:p>
        </w:tc>
        <w:tc>
          <w:tcPr>
            <w:tcW w:w="2478" w:type="dxa"/>
            <w:tcBorders>
              <w:top w:val="single" w:sz="8" w:space="0" w:color="000000"/>
              <w:left w:val="single" w:sz="4" w:space="0" w:color="000000"/>
              <w:bottom w:val="single" w:sz="4" w:space="0" w:color="000000"/>
              <w:right w:val="single" w:sz="8" w:space="0" w:color="000000"/>
            </w:tcBorders>
          </w:tcPr>
          <w:p w14:paraId="526E9010" w14:textId="77777777" w:rsidR="001C08A5" w:rsidRDefault="00000000">
            <w:pPr>
              <w:jc w:val="center"/>
              <w:rPr>
                <w:b/>
                <w:i/>
                <w:iCs/>
                <w:sz w:val="22"/>
                <w:szCs w:val="22"/>
              </w:rPr>
            </w:pPr>
            <w:r>
              <w:rPr>
                <w:b/>
                <w:i/>
                <w:iCs/>
                <w:sz w:val="22"/>
                <w:szCs w:val="22"/>
              </w:rPr>
              <w:t>2</w:t>
            </w:r>
          </w:p>
        </w:tc>
      </w:tr>
      <w:tr w:rsidR="001C08A5" w14:paraId="6D053623" w14:textId="77777777">
        <w:tc>
          <w:tcPr>
            <w:tcW w:w="1540" w:type="dxa"/>
            <w:tcBorders>
              <w:top w:val="single" w:sz="4" w:space="0" w:color="000000"/>
              <w:left w:val="single" w:sz="8" w:space="0" w:color="000000"/>
              <w:bottom w:val="single" w:sz="8" w:space="0" w:color="000000"/>
            </w:tcBorders>
          </w:tcPr>
          <w:p w14:paraId="7DC99896" w14:textId="77777777" w:rsidR="001C08A5" w:rsidRDefault="00000000">
            <w:pPr>
              <w:jc w:val="center"/>
              <w:rPr>
                <w:i/>
                <w:iCs/>
                <w:sz w:val="22"/>
                <w:szCs w:val="22"/>
              </w:rPr>
            </w:pPr>
            <w:r>
              <w:rPr>
                <w:b/>
                <w:i/>
                <w:iCs/>
                <w:sz w:val="22"/>
                <w:szCs w:val="22"/>
              </w:rPr>
              <w:t>S2</w:t>
            </w:r>
          </w:p>
        </w:tc>
        <w:tc>
          <w:tcPr>
            <w:tcW w:w="2690" w:type="dxa"/>
            <w:tcBorders>
              <w:top w:val="single" w:sz="4" w:space="0" w:color="000000"/>
              <w:left w:val="single" w:sz="4" w:space="0" w:color="000000"/>
              <w:bottom w:val="single" w:sz="8" w:space="0" w:color="000000"/>
            </w:tcBorders>
          </w:tcPr>
          <w:p w14:paraId="39EF9C37" w14:textId="77777777" w:rsidR="001C08A5" w:rsidRDefault="00000000">
            <w:pPr>
              <w:jc w:val="center"/>
              <w:rPr>
                <w:b/>
                <w:i/>
                <w:iCs/>
                <w:sz w:val="22"/>
                <w:szCs w:val="22"/>
              </w:rPr>
            </w:pPr>
            <w:r>
              <w:rPr>
                <w:i/>
                <w:iCs/>
                <w:sz w:val="22"/>
                <w:szCs w:val="22"/>
              </w:rPr>
              <w:t>Nelimitat</w:t>
            </w:r>
          </w:p>
        </w:tc>
        <w:tc>
          <w:tcPr>
            <w:tcW w:w="2790" w:type="dxa"/>
            <w:tcBorders>
              <w:top w:val="single" w:sz="4" w:space="0" w:color="000000"/>
              <w:left w:val="single" w:sz="4" w:space="0" w:color="000000"/>
              <w:bottom w:val="single" w:sz="8" w:space="0" w:color="000000"/>
            </w:tcBorders>
          </w:tcPr>
          <w:p w14:paraId="3848CF36" w14:textId="77777777" w:rsidR="001C08A5" w:rsidRDefault="00000000">
            <w:pPr>
              <w:jc w:val="center"/>
              <w:rPr>
                <w:b/>
                <w:i/>
                <w:iCs/>
                <w:sz w:val="22"/>
                <w:szCs w:val="22"/>
              </w:rPr>
            </w:pPr>
            <w:r>
              <w:rPr>
                <w:b/>
                <w:i/>
                <w:iCs/>
                <w:sz w:val="22"/>
                <w:szCs w:val="22"/>
              </w:rPr>
              <w:t>6</w:t>
            </w:r>
          </w:p>
        </w:tc>
        <w:tc>
          <w:tcPr>
            <w:tcW w:w="2478" w:type="dxa"/>
            <w:tcBorders>
              <w:top w:val="single" w:sz="4" w:space="0" w:color="000000"/>
              <w:left w:val="single" w:sz="4" w:space="0" w:color="000000"/>
              <w:bottom w:val="single" w:sz="8" w:space="0" w:color="000000"/>
              <w:right w:val="single" w:sz="8" w:space="0" w:color="000000"/>
            </w:tcBorders>
          </w:tcPr>
          <w:p w14:paraId="5C420D4D" w14:textId="77777777" w:rsidR="001C08A5" w:rsidRDefault="00000000">
            <w:pPr>
              <w:jc w:val="center"/>
              <w:rPr>
                <w:i/>
                <w:iCs/>
                <w:sz w:val="22"/>
                <w:szCs w:val="22"/>
              </w:rPr>
            </w:pPr>
            <w:r>
              <w:rPr>
                <w:b/>
                <w:i/>
                <w:iCs/>
                <w:sz w:val="22"/>
                <w:szCs w:val="22"/>
              </w:rPr>
              <w:t>3</w:t>
            </w:r>
          </w:p>
        </w:tc>
      </w:tr>
    </w:tbl>
    <w:p w14:paraId="7BFABD85" w14:textId="77777777" w:rsidR="001C08A5" w:rsidRDefault="001C08A5">
      <w:pPr>
        <w:jc w:val="both"/>
        <w:rPr>
          <w:sz w:val="24"/>
          <w:szCs w:val="24"/>
        </w:rPr>
      </w:pPr>
    </w:p>
    <w:p w14:paraId="5D458B3B" w14:textId="77777777" w:rsidR="001C08A5" w:rsidRDefault="00000000">
      <w:pPr>
        <w:ind w:firstLine="708"/>
        <w:jc w:val="both"/>
        <w:rPr>
          <w:b/>
          <w:sz w:val="24"/>
          <w:szCs w:val="24"/>
        </w:rPr>
      </w:pPr>
      <w:r>
        <w:rPr>
          <w:b/>
          <w:sz w:val="24"/>
          <w:szCs w:val="24"/>
        </w:rPr>
        <w:t>c)</w:t>
      </w:r>
      <w:r>
        <w:rPr>
          <w:sz w:val="24"/>
          <w:szCs w:val="24"/>
        </w:rPr>
        <w:t xml:space="preserve"> Între categoria sălii aglomerate (porţiunea în care publicul are acces) şi numărul de niveluri subterane admis în care pot fi dispuse săli aglomerate, potrivit prevederilor din </w:t>
      </w:r>
      <w:r>
        <w:rPr>
          <w:b/>
          <w:bCs/>
          <w:i/>
          <w:iCs/>
          <w:sz w:val="24"/>
          <w:szCs w:val="24"/>
        </w:rPr>
        <w:fldChar w:fldCharType="begin"/>
      </w:r>
      <w:r>
        <w:rPr>
          <w:b/>
          <w:bCs/>
          <w:i/>
          <w:iCs/>
          <w:sz w:val="24"/>
          <w:szCs w:val="24"/>
        </w:rPr>
        <w:instrText xml:space="preserve"> REF _Ref24370 \h </w:instrText>
      </w:r>
      <w:r>
        <w:rPr>
          <w:b/>
          <w:bCs/>
          <w:i/>
          <w:iCs/>
          <w:sz w:val="24"/>
          <w:szCs w:val="24"/>
        </w:rPr>
      </w:r>
      <w:r>
        <w:rPr>
          <w:b/>
          <w:bCs/>
          <w:i/>
          <w:iCs/>
          <w:sz w:val="24"/>
          <w:szCs w:val="24"/>
        </w:rPr>
        <w:fldChar w:fldCharType="separate"/>
      </w:r>
      <w:r>
        <w:t>Tabelul 101</w:t>
      </w:r>
      <w:r>
        <w:rPr>
          <w:b/>
          <w:bCs/>
          <w:i/>
          <w:iCs/>
          <w:sz w:val="24"/>
          <w:szCs w:val="24"/>
        </w:rPr>
        <w:fldChar w:fldCharType="end"/>
      </w:r>
      <w:r>
        <w:rPr>
          <w:b/>
          <w:sz w:val="24"/>
          <w:szCs w:val="24"/>
        </w:rPr>
        <w:t xml:space="preserve">. </w:t>
      </w:r>
    </w:p>
    <w:p w14:paraId="4FFB3046" w14:textId="77777777" w:rsidR="001C08A5" w:rsidRDefault="001C08A5">
      <w:pPr>
        <w:jc w:val="both"/>
        <w:rPr>
          <w:b/>
          <w:sz w:val="24"/>
          <w:szCs w:val="24"/>
        </w:rPr>
      </w:pPr>
    </w:p>
    <w:p w14:paraId="7277BF19" w14:textId="77777777" w:rsidR="001C08A5" w:rsidRDefault="00000000">
      <w:pPr>
        <w:pStyle w:val="Captiontabel"/>
      </w:pPr>
      <w:bookmarkStart w:id="4672" w:name="_Ref24370"/>
      <w:bookmarkStart w:id="4673" w:name="_Toc162360151"/>
      <w:r>
        <w:t xml:space="preserve">Tabelul </w:t>
      </w:r>
      <w:r>
        <w:fldChar w:fldCharType="begin"/>
      </w:r>
      <w:r>
        <w:instrText xml:space="preserve"> SEQ Tabelul \* ARABIC </w:instrText>
      </w:r>
      <w:r>
        <w:fldChar w:fldCharType="separate"/>
      </w:r>
      <w:r>
        <w:t>101</w:t>
      </w:r>
      <w:r>
        <w:fldChar w:fldCharType="end"/>
      </w:r>
      <w:bookmarkStart w:id="4674" w:name="_Toc22482"/>
      <w:bookmarkStart w:id="4675" w:name="_Toc15456"/>
      <w:bookmarkStart w:id="4676" w:name="_Toc20563"/>
      <w:bookmarkStart w:id="4677" w:name="_Toc27384"/>
      <w:bookmarkStart w:id="4678" w:name="_Toc3421"/>
      <w:bookmarkStart w:id="4679" w:name="_Toc10841"/>
      <w:bookmarkStart w:id="4680" w:name="_Toc1022"/>
      <w:bookmarkStart w:id="4681" w:name="_Toc24032"/>
      <w:bookmarkStart w:id="4682" w:name="_Toc22545"/>
      <w:bookmarkStart w:id="4683" w:name="_Toc21293"/>
      <w:bookmarkStart w:id="4684" w:name="_Toc10406"/>
      <w:bookmarkStart w:id="4685" w:name="_Toc23287"/>
      <w:bookmarkStart w:id="4686" w:name="_Toc10220"/>
      <w:bookmarkStart w:id="4687" w:name="_Toc15209"/>
      <w:bookmarkStart w:id="4688" w:name="_Toc235"/>
      <w:bookmarkStart w:id="4689" w:name="_Toc23224"/>
      <w:bookmarkStart w:id="4690" w:name="_Toc2173"/>
      <w:bookmarkStart w:id="4691" w:name="_Toc6343"/>
      <w:bookmarkStart w:id="4692" w:name="_Toc15931"/>
      <w:bookmarkEnd w:id="4672"/>
      <w:r>
        <w:t xml:space="preserve">: Corelare între categoria sălii aglomerate (porţiunea în care publicul are acces) şi numărul maxim de niveluri subterane </w:t>
      </w:r>
      <w:bookmarkEnd w:id="4674"/>
      <w:bookmarkEnd w:id="4675"/>
      <w:bookmarkEnd w:id="4676"/>
      <w:bookmarkEnd w:id="4677"/>
      <w:bookmarkEnd w:id="4678"/>
      <w:r>
        <w:t>în care este admisă realizarea acestora</w:t>
      </w:r>
      <w:bookmarkEnd w:id="4673"/>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p>
    <w:p w14:paraId="76EB21D5" w14:textId="77777777" w:rsidR="001C08A5" w:rsidRDefault="001C08A5">
      <w:pPr>
        <w:jc w:val="both"/>
        <w:rPr>
          <w:sz w:val="24"/>
          <w:szCs w:val="24"/>
        </w:rPr>
      </w:pPr>
    </w:p>
    <w:tbl>
      <w:tblPr>
        <w:tblW w:w="0" w:type="auto"/>
        <w:tblInd w:w="108" w:type="dxa"/>
        <w:tblLayout w:type="fixed"/>
        <w:tblLook w:val="04A0" w:firstRow="1" w:lastRow="0" w:firstColumn="1" w:lastColumn="0" w:noHBand="0" w:noVBand="1"/>
      </w:tblPr>
      <w:tblGrid>
        <w:gridCol w:w="1540"/>
        <w:gridCol w:w="2690"/>
        <w:gridCol w:w="2790"/>
        <w:gridCol w:w="2640"/>
        <w:gridCol w:w="15"/>
      </w:tblGrid>
      <w:tr w:rsidR="001C08A5" w14:paraId="64385792" w14:textId="77777777">
        <w:trPr>
          <w:cantSplit/>
        </w:trPr>
        <w:tc>
          <w:tcPr>
            <w:tcW w:w="1540" w:type="dxa"/>
            <w:vMerge w:val="restart"/>
            <w:tcBorders>
              <w:top w:val="single" w:sz="8" w:space="0" w:color="000000"/>
              <w:left w:val="single" w:sz="8" w:space="0" w:color="000000"/>
            </w:tcBorders>
            <w:shd w:val="clear" w:color="auto" w:fill="D9D9D9"/>
          </w:tcPr>
          <w:p w14:paraId="357DDD0B" w14:textId="77777777" w:rsidR="001C08A5" w:rsidRDefault="00000000">
            <w:pPr>
              <w:jc w:val="center"/>
              <w:rPr>
                <w:b/>
                <w:i/>
                <w:iCs/>
                <w:sz w:val="22"/>
                <w:szCs w:val="22"/>
              </w:rPr>
            </w:pPr>
            <w:r>
              <w:rPr>
                <w:b/>
                <w:i/>
                <w:iCs/>
                <w:sz w:val="22"/>
                <w:szCs w:val="22"/>
              </w:rPr>
              <w:t>Categoria sălii aglomerate</w:t>
            </w:r>
          </w:p>
        </w:tc>
        <w:tc>
          <w:tcPr>
            <w:tcW w:w="8135" w:type="dxa"/>
            <w:gridSpan w:val="4"/>
            <w:tcBorders>
              <w:top w:val="single" w:sz="8" w:space="0" w:color="000000"/>
              <w:left w:val="single" w:sz="4" w:space="0" w:color="000000"/>
              <w:bottom w:val="single" w:sz="4" w:space="0" w:color="000000"/>
              <w:right w:val="single" w:sz="8" w:space="0" w:color="000000"/>
            </w:tcBorders>
            <w:shd w:val="clear" w:color="auto" w:fill="D9D9D9"/>
            <w:vAlign w:val="center"/>
          </w:tcPr>
          <w:p w14:paraId="3895C1CB" w14:textId="77777777" w:rsidR="001C08A5" w:rsidRDefault="00000000">
            <w:pPr>
              <w:jc w:val="center"/>
              <w:rPr>
                <w:i/>
                <w:iCs/>
                <w:sz w:val="22"/>
                <w:szCs w:val="22"/>
              </w:rPr>
            </w:pPr>
            <w:r>
              <w:rPr>
                <w:b/>
                <w:i/>
                <w:iCs/>
                <w:sz w:val="22"/>
                <w:szCs w:val="22"/>
              </w:rPr>
              <w:t>Numărul maxim de niveluri subterane in care pot fi dispuse săli aglomerate</w:t>
            </w:r>
          </w:p>
        </w:tc>
      </w:tr>
      <w:tr w:rsidR="001C08A5" w14:paraId="1330F6A1" w14:textId="77777777">
        <w:trPr>
          <w:cantSplit/>
        </w:trPr>
        <w:tc>
          <w:tcPr>
            <w:tcW w:w="1540" w:type="dxa"/>
            <w:vMerge/>
            <w:tcBorders>
              <w:left w:val="single" w:sz="8" w:space="0" w:color="000000"/>
              <w:bottom w:val="single" w:sz="8" w:space="0" w:color="000000"/>
            </w:tcBorders>
            <w:shd w:val="clear" w:color="auto" w:fill="D9D9D9"/>
          </w:tcPr>
          <w:p w14:paraId="6084592C" w14:textId="77777777" w:rsidR="001C08A5" w:rsidRDefault="001C08A5">
            <w:pPr>
              <w:snapToGrid w:val="0"/>
              <w:jc w:val="both"/>
              <w:rPr>
                <w:i/>
                <w:iCs/>
                <w:sz w:val="22"/>
                <w:szCs w:val="22"/>
              </w:rPr>
            </w:pPr>
          </w:p>
        </w:tc>
        <w:tc>
          <w:tcPr>
            <w:tcW w:w="2690" w:type="dxa"/>
            <w:tcBorders>
              <w:top w:val="single" w:sz="4" w:space="0" w:color="000000"/>
              <w:left w:val="single" w:sz="4" w:space="0" w:color="000000"/>
              <w:bottom w:val="single" w:sz="8" w:space="0" w:color="000000"/>
            </w:tcBorders>
            <w:shd w:val="clear" w:color="auto" w:fill="D9D9D9"/>
            <w:vAlign w:val="center"/>
          </w:tcPr>
          <w:p w14:paraId="505DE4B8" w14:textId="77777777" w:rsidR="001C08A5" w:rsidRDefault="00000000">
            <w:pPr>
              <w:spacing w:line="276" w:lineRule="auto"/>
              <w:jc w:val="center"/>
              <w:rPr>
                <w:b/>
                <w:i/>
                <w:iCs/>
                <w:sz w:val="22"/>
                <w:szCs w:val="22"/>
              </w:rPr>
            </w:pPr>
            <w:r>
              <w:rPr>
                <w:b/>
                <w:i/>
                <w:iCs/>
                <w:sz w:val="22"/>
                <w:szCs w:val="22"/>
              </w:rPr>
              <w:t>I</w:t>
            </w:r>
          </w:p>
        </w:tc>
        <w:tc>
          <w:tcPr>
            <w:tcW w:w="2790" w:type="dxa"/>
            <w:tcBorders>
              <w:top w:val="single" w:sz="4" w:space="0" w:color="000000"/>
              <w:left w:val="single" w:sz="4" w:space="0" w:color="000000"/>
              <w:bottom w:val="single" w:sz="8" w:space="0" w:color="000000"/>
            </w:tcBorders>
            <w:shd w:val="clear" w:color="auto" w:fill="D9D9D9"/>
            <w:vAlign w:val="center"/>
          </w:tcPr>
          <w:p w14:paraId="3D1C4AB9" w14:textId="77777777" w:rsidR="001C08A5" w:rsidRDefault="00000000">
            <w:pPr>
              <w:spacing w:line="276" w:lineRule="auto"/>
              <w:jc w:val="center"/>
              <w:rPr>
                <w:b/>
                <w:i/>
                <w:iCs/>
                <w:sz w:val="22"/>
                <w:szCs w:val="22"/>
              </w:rPr>
            </w:pPr>
            <w:r>
              <w:rPr>
                <w:b/>
                <w:i/>
                <w:iCs/>
                <w:sz w:val="22"/>
                <w:szCs w:val="22"/>
              </w:rPr>
              <w:t>II</w:t>
            </w:r>
          </w:p>
        </w:tc>
        <w:tc>
          <w:tcPr>
            <w:tcW w:w="2655" w:type="dxa"/>
            <w:gridSpan w:val="2"/>
            <w:tcBorders>
              <w:top w:val="single" w:sz="4" w:space="0" w:color="000000"/>
              <w:left w:val="single" w:sz="4" w:space="0" w:color="000000"/>
              <w:bottom w:val="single" w:sz="8" w:space="0" w:color="000000"/>
              <w:right w:val="single" w:sz="8" w:space="0" w:color="000000"/>
            </w:tcBorders>
            <w:shd w:val="clear" w:color="auto" w:fill="D9D9D9"/>
            <w:vAlign w:val="center"/>
          </w:tcPr>
          <w:p w14:paraId="016B79EC" w14:textId="77777777" w:rsidR="001C08A5" w:rsidRDefault="00000000">
            <w:pPr>
              <w:spacing w:line="276" w:lineRule="auto"/>
              <w:jc w:val="center"/>
              <w:rPr>
                <w:b/>
                <w:i/>
                <w:iCs/>
                <w:sz w:val="22"/>
                <w:szCs w:val="22"/>
              </w:rPr>
            </w:pPr>
            <w:r>
              <w:rPr>
                <w:b/>
                <w:i/>
                <w:iCs/>
                <w:sz w:val="22"/>
                <w:szCs w:val="22"/>
              </w:rPr>
              <w:t>III</w:t>
            </w:r>
          </w:p>
        </w:tc>
      </w:tr>
      <w:tr w:rsidR="001C08A5" w14:paraId="2F514C9A" w14:textId="77777777">
        <w:trPr>
          <w:gridAfter w:val="1"/>
          <w:wAfter w:w="15" w:type="dxa"/>
        </w:trPr>
        <w:tc>
          <w:tcPr>
            <w:tcW w:w="1540" w:type="dxa"/>
            <w:tcBorders>
              <w:top w:val="single" w:sz="8" w:space="0" w:color="000000"/>
              <w:left w:val="single" w:sz="8" w:space="0" w:color="000000"/>
              <w:bottom w:val="single" w:sz="4" w:space="0" w:color="000000"/>
            </w:tcBorders>
          </w:tcPr>
          <w:p w14:paraId="58723230" w14:textId="77777777" w:rsidR="001C08A5" w:rsidRDefault="00000000">
            <w:pPr>
              <w:jc w:val="center"/>
              <w:rPr>
                <w:b/>
                <w:i/>
                <w:iCs/>
                <w:sz w:val="22"/>
                <w:szCs w:val="22"/>
              </w:rPr>
            </w:pPr>
            <w:r>
              <w:rPr>
                <w:b/>
                <w:i/>
                <w:iCs/>
                <w:sz w:val="22"/>
                <w:szCs w:val="22"/>
              </w:rPr>
              <w:t>S1</w:t>
            </w:r>
          </w:p>
        </w:tc>
        <w:tc>
          <w:tcPr>
            <w:tcW w:w="2690" w:type="dxa"/>
            <w:tcBorders>
              <w:top w:val="single" w:sz="8" w:space="0" w:color="000000"/>
              <w:left w:val="single" w:sz="4" w:space="0" w:color="000000"/>
              <w:bottom w:val="single" w:sz="4" w:space="0" w:color="000000"/>
            </w:tcBorders>
          </w:tcPr>
          <w:p w14:paraId="2FFC4D84" w14:textId="77777777" w:rsidR="001C08A5" w:rsidRDefault="00000000">
            <w:pPr>
              <w:jc w:val="center"/>
              <w:rPr>
                <w:b/>
                <w:i/>
                <w:iCs/>
                <w:sz w:val="22"/>
                <w:szCs w:val="22"/>
              </w:rPr>
            </w:pPr>
            <w:r>
              <w:rPr>
                <w:b/>
                <w:i/>
                <w:iCs/>
                <w:sz w:val="22"/>
                <w:szCs w:val="22"/>
              </w:rPr>
              <w:t>2</w:t>
            </w:r>
          </w:p>
        </w:tc>
        <w:tc>
          <w:tcPr>
            <w:tcW w:w="2790" w:type="dxa"/>
            <w:tcBorders>
              <w:top w:val="single" w:sz="8" w:space="0" w:color="000000"/>
              <w:left w:val="single" w:sz="4" w:space="0" w:color="000000"/>
              <w:bottom w:val="single" w:sz="4" w:space="0" w:color="000000"/>
            </w:tcBorders>
          </w:tcPr>
          <w:p w14:paraId="7D369CA9" w14:textId="77777777" w:rsidR="001C08A5" w:rsidRDefault="00000000">
            <w:pPr>
              <w:jc w:val="center"/>
              <w:rPr>
                <w:b/>
                <w:i/>
                <w:iCs/>
                <w:sz w:val="22"/>
                <w:szCs w:val="22"/>
              </w:rPr>
            </w:pPr>
            <w:r>
              <w:rPr>
                <w:b/>
                <w:i/>
                <w:iCs/>
                <w:sz w:val="22"/>
                <w:szCs w:val="22"/>
              </w:rPr>
              <w:t>1</w:t>
            </w:r>
          </w:p>
        </w:tc>
        <w:tc>
          <w:tcPr>
            <w:tcW w:w="2640" w:type="dxa"/>
            <w:tcBorders>
              <w:top w:val="single" w:sz="8" w:space="0" w:color="000000"/>
              <w:left w:val="single" w:sz="4" w:space="0" w:color="000000"/>
              <w:bottom w:val="single" w:sz="4" w:space="0" w:color="000000"/>
              <w:right w:val="single" w:sz="8" w:space="0" w:color="000000"/>
            </w:tcBorders>
          </w:tcPr>
          <w:p w14:paraId="33250C30" w14:textId="77777777" w:rsidR="001C08A5" w:rsidRDefault="00000000">
            <w:pPr>
              <w:jc w:val="center"/>
              <w:rPr>
                <w:b/>
                <w:i/>
                <w:iCs/>
                <w:sz w:val="22"/>
                <w:szCs w:val="22"/>
              </w:rPr>
            </w:pPr>
            <w:r>
              <w:rPr>
                <w:b/>
                <w:i/>
                <w:iCs/>
                <w:sz w:val="22"/>
                <w:szCs w:val="22"/>
              </w:rPr>
              <w:t>-</w:t>
            </w:r>
          </w:p>
        </w:tc>
      </w:tr>
      <w:tr w:rsidR="001C08A5" w14:paraId="7E9DAB0A" w14:textId="77777777">
        <w:trPr>
          <w:gridAfter w:val="1"/>
          <w:wAfter w:w="15" w:type="dxa"/>
        </w:trPr>
        <w:tc>
          <w:tcPr>
            <w:tcW w:w="1540" w:type="dxa"/>
            <w:tcBorders>
              <w:top w:val="single" w:sz="4" w:space="0" w:color="000000"/>
              <w:left w:val="single" w:sz="8" w:space="0" w:color="000000"/>
              <w:bottom w:val="single" w:sz="8" w:space="0" w:color="000000"/>
            </w:tcBorders>
          </w:tcPr>
          <w:p w14:paraId="5CF48E81" w14:textId="77777777" w:rsidR="001C08A5" w:rsidRDefault="00000000">
            <w:pPr>
              <w:jc w:val="center"/>
              <w:rPr>
                <w:b/>
                <w:i/>
                <w:iCs/>
                <w:sz w:val="22"/>
                <w:szCs w:val="22"/>
              </w:rPr>
            </w:pPr>
            <w:r>
              <w:rPr>
                <w:b/>
                <w:i/>
                <w:iCs/>
                <w:sz w:val="22"/>
                <w:szCs w:val="22"/>
              </w:rPr>
              <w:t>S2</w:t>
            </w:r>
          </w:p>
        </w:tc>
        <w:tc>
          <w:tcPr>
            <w:tcW w:w="2690" w:type="dxa"/>
            <w:tcBorders>
              <w:top w:val="single" w:sz="4" w:space="0" w:color="000000"/>
              <w:left w:val="single" w:sz="4" w:space="0" w:color="000000"/>
              <w:bottom w:val="single" w:sz="8" w:space="0" w:color="000000"/>
            </w:tcBorders>
          </w:tcPr>
          <w:p w14:paraId="2D0BCD8C" w14:textId="77777777" w:rsidR="001C08A5" w:rsidRDefault="00000000">
            <w:pPr>
              <w:jc w:val="center"/>
              <w:rPr>
                <w:b/>
                <w:i/>
                <w:iCs/>
                <w:sz w:val="22"/>
                <w:szCs w:val="22"/>
              </w:rPr>
            </w:pPr>
            <w:r>
              <w:rPr>
                <w:b/>
                <w:i/>
                <w:iCs/>
                <w:sz w:val="22"/>
                <w:szCs w:val="22"/>
              </w:rPr>
              <w:t>2</w:t>
            </w:r>
          </w:p>
        </w:tc>
        <w:tc>
          <w:tcPr>
            <w:tcW w:w="2790" w:type="dxa"/>
            <w:tcBorders>
              <w:top w:val="single" w:sz="4" w:space="0" w:color="000000"/>
              <w:left w:val="single" w:sz="4" w:space="0" w:color="000000"/>
              <w:bottom w:val="single" w:sz="8" w:space="0" w:color="000000"/>
            </w:tcBorders>
          </w:tcPr>
          <w:p w14:paraId="38D92FCE" w14:textId="77777777" w:rsidR="001C08A5" w:rsidRDefault="00000000">
            <w:pPr>
              <w:jc w:val="center"/>
              <w:rPr>
                <w:b/>
                <w:i/>
                <w:iCs/>
                <w:sz w:val="22"/>
                <w:szCs w:val="22"/>
              </w:rPr>
            </w:pPr>
            <w:r>
              <w:rPr>
                <w:b/>
                <w:i/>
                <w:iCs/>
                <w:sz w:val="22"/>
                <w:szCs w:val="22"/>
              </w:rPr>
              <w:t>1</w:t>
            </w:r>
          </w:p>
        </w:tc>
        <w:tc>
          <w:tcPr>
            <w:tcW w:w="2640" w:type="dxa"/>
            <w:tcBorders>
              <w:top w:val="single" w:sz="4" w:space="0" w:color="000000"/>
              <w:left w:val="single" w:sz="4" w:space="0" w:color="000000"/>
              <w:bottom w:val="single" w:sz="8" w:space="0" w:color="000000"/>
              <w:right w:val="single" w:sz="8" w:space="0" w:color="000000"/>
            </w:tcBorders>
          </w:tcPr>
          <w:p w14:paraId="7F0BB14C" w14:textId="77777777" w:rsidR="001C08A5" w:rsidRDefault="00000000">
            <w:pPr>
              <w:jc w:val="center"/>
              <w:rPr>
                <w:b/>
                <w:i/>
                <w:iCs/>
                <w:sz w:val="22"/>
                <w:szCs w:val="22"/>
              </w:rPr>
            </w:pPr>
            <w:r>
              <w:rPr>
                <w:b/>
                <w:i/>
                <w:iCs/>
                <w:sz w:val="22"/>
                <w:szCs w:val="22"/>
              </w:rPr>
              <w:t>-</w:t>
            </w:r>
          </w:p>
        </w:tc>
      </w:tr>
    </w:tbl>
    <w:p w14:paraId="01B79759" w14:textId="77777777" w:rsidR="001C08A5" w:rsidRDefault="001C08A5">
      <w:pPr>
        <w:jc w:val="both"/>
        <w:rPr>
          <w:sz w:val="24"/>
          <w:szCs w:val="24"/>
        </w:rPr>
      </w:pPr>
    </w:p>
    <w:p w14:paraId="7B35D66B" w14:textId="77777777" w:rsidR="001C08A5" w:rsidRDefault="00000000">
      <w:pPr>
        <w:jc w:val="both"/>
        <w:rPr>
          <w:b/>
          <w:sz w:val="24"/>
          <w:szCs w:val="24"/>
        </w:rPr>
      </w:pPr>
      <w:r>
        <w:rPr>
          <w:b/>
          <w:sz w:val="24"/>
          <w:szCs w:val="24"/>
        </w:rPr>
        <w:tab/>
        <w:t>Art. 4.3.2.2. (1)</w:t>
      </w:r>
      <w:r>
        <w:rPr>
          <w:sz w:val="24"/>
          <w:szCs w:val="24"/>
        </w:rPr>
        <w:t xml:space="preserve"> În clădiri (construcţii) provizorii independente, parter, cu nivelul de stabilitate la incendiu </w:t>
      </w:r>
      <w:r>
        <w:rPr>
          <w:b/>
          <w:sz w:val="24"/>
          <w:szCs w:val="24"/>
        </w:rPr>
        <w:t>IV</w:t>
      </w:r>
      <w:r>
        <w:rPr>
          <w:sz w:val="24"/>
          <w:szCs w:val="24"/>
        </w:rPr>
        <w:t xml:space="preserve"> sau </w:t>
      </w:r>
      <w:r>
        <w:rPr>
          <w:b/>
          <w:sz w:val="24"/>
          <w:szCs w:val="24"/>
        </w:rPr>
        <w:t>V</w:t>
      </w:r>
      <w:r>
        <w:rPr>
          <w:sz w:val="24"/>
          <w:szCs w:val="24"/>
        </w:rPr>
        <w:t xml:space="preserve"> se pot amenaja săli aglomerate numai pentru:</w:t>
      </w:r>
    </w:p>
    <w:p w14:paraId="5B6FC3B4" w14:textId="77777777" w:rsidR="001C08A5" w:rsidRDefault="00000000">
      <w:pPr>
        <w:ind w:left="1416"/>
        <w:jc w:val="both"/>
        <w:rPr>
          <w:b/>
          <w:sz w:val="24"/>
          <w:szCs w:val="24"/>
        </w:rPr>
      </w:pPr>
      <w:r>
        <w:rPr>
          <w:b/>
          <w:sz w:val="24"/>
          <w:szCs w:val="24"/>
        </w:rPr>
        <w:t>a)</w:t>
      </w:r>
      <w:r>
        <w:rPr>
          <w:sz w:val="24"/>
          <w:szCs w:val="24"/>
        </w:rPr>
        <w:t xml:space="preserve"> circuri mobile, spaţii comerciale, săli de întruniri ocazionale, patinoare, terenuri de hochei, bazine de înot şi altele similare;</w:t>
      </w:r>
    </w:p>
    <w:p w14:paraId="69B3B278" w14:textId="77777777" w:rsidR="001C08A5" w:rsidRDefault="00000000">
      <w:pPr>
        <w:ind w:left="1416"/>
        <w:jc w:val="both"/>
        <w:rPr>
          <w:b/>
          <w:sz w:val="24"/>
          <w:szCs w:val="24"/>
        </w:rPr>
      </w:pPr>
      <w:r>
        <w:rPr>
          <w:b/>
          <w:sz w:val="24"/>
          <w:szCs w:val="24"/>
        </w:rPr>
        <w:t>b)</w:t>
      </w:r>
      <w:r>
        <w:rPr>
          <w:sz w:val="24"/>
          <w:szCs w:val="24"/>
        </w:rPr>
        <w:t xml:space="preserve"> cluburi, discoteci şi cinematografe cu funcţionare sezonieră, pentru maximum </w:t>
      </w:r>
      <w:r>
        <w:rPr>
          <w:b/>
          <w:bCs/>
          <w:sz w:val="24"/>
          <w:szCs w:val="24"/>
        </w:rPr>
        <w:t>300</w:t>
      </w:r>
      <w:r>
        <w:rPr>
          <w:sz w:val="24"/>
          <w:szCs w:val="24"/>
        </w:rPr>
        <w:t xml:space="preserve"> de utilizatori;</w:t>
      </w:r>
    </w:p>
    <w:p w14:paraId="2DD29CE2" w14:textId="77777777" w:rsidR="001C08A5" w:rsidRDefault="00000000">
      <w:pPr>
        <w:ind w:left="1416"/>
        <w:jc w:val="both"/>
        <w:rPr>
          <w:sz w:val="24"/>
          <w:szCs w:val="24"/>
        </w:rPr>
      </w:pPr>
      <w:r>
        <w:rPr>
          <w:b/>
          <w:sz w:val="24"/>
          <w:szCs w:val="24"/>
        </w:rPr>
        <w:t>c)</w:t>
      </w:r>
      <w:r>
        <w:rPr>
          <w:sz w:val="24"/>
          <w:szCs w:val="24"/>
        </w:rPr>
        <w:t xml:space="preserve"> expoziţii de importanţă locală care nu adăpostesc exponate de valoare sau de patrimoniu, (potrivit declaraţiei investitorului sau beneficiarului).</w:t>
      </w:r>
    </w:p>
    <w:p w14:paraId="03D9442D" w14:textId="77777777" w:rsidR="001C08A5" w:rsidRDefault="00000000">
      <w:pPr>
        <w:ind w:firstLine="720"/>
        <w:jc w:val="both"/>
        <w:rPr>
          <w:sz w:val="24"/>
          <w:szCs w:val="24"/>
        </w:rPr>
      </w:pPr>
      <w:r>
        <w:rPr>
          <w:b/>
          <w:sz w:val="24"/>
          <w:szCs w:val="24"/>
        </w:rPr>
        <w:t xml:space="preserve">(2) </w:t>
      </w:r>
      <w:r>
        <w:rPr>
          <w:sz w:val="24"/>
          <w:szCs w:val="24"/>
        </w:rPr>
        <w:t>La clădirile (construcţiile) provizorii cu săli aglomerate, trebuie asigurate minimum două căi de evacuare pentru utilizatori şi lungimile căilor de evacuare normate de la cel mai îndepărtat loc până la o ieşire în exterior.</w:t>
      </w:r>
    </w:p>
    <w:p w14:paraId="41191D0F" w14:textId="77777777" w:rsidR="001C08A5" w:rsidRDefault="001C08A5">
      <w:pPr>
        <w:jc w:val="both"/>
        <w:rPr>
          <w:sz w:val="24"/>
          <w:szCs w:val="24"/>
        </w:rPr>
      </w:pPr>
    </w:p>
    <w:p w14:paraId="7B7C9074" w14:textId="77777777" w:rsidR="001C08A5" w:rsidRDefault="00000000">
      <w:pPr>
        <w:jc w:val="both"/>
        <w:rPr>
          <w:sz w:val="24"/>
          <w:szCs w:val="24"/>
        </w:rPr>
      </w:pPr>
      <w:r>
        <w:rPr>
          <w:b/>
          <w:sz w:val="24"/>
          <w:szCs w:val="24"/>
        </w:rPr>
        <w:tab/>
        <w:t xml:space="preserve">Art. 4.3.2.3. (1) </w:t>
      </w:r>
      <w:r>
        <w:rPr>
          <w:sz w:val="24"/>
          <w:szCs w:val="24"/>
        </w:rPr>
        <w:t xml:space="preserve">Porţiunile de clădire aferente sălilor aglomerate înglobate în construcţii cu alte destinaţii, se separă cu elemente de construcţie rezistente la foc minimum </w:t>
      </w:r>
      <w:r>
        <w:rPr>
          <w:b/>
          <w:sz w:val="24"/>
          <w:szCs w:val="24"/>
        </w:rPr>
        <w:t xml:space="preserve">EI/REI180 </w:t>
      </w:r>
      <w:r>
        <w:rPr>
          <w:sz w:val="24"/>
          <w:szCs w:val="24"/>
        </w:rPr>
        <w:t xml:space="preserve">pentru pereţi şi minimum </w:t>
      </w:r>
      <w:r>
        <w:rPr>
          <w:b/>
          <w:sz w:val="24"/>
          <w:szCs w:val="24"/>
        </w:rPr>
        <w:t>REI 90</w:t>
      </w:r>
      <w:r>
        <w:rPr>
          <w:sz w:val="24"/>
          <w:szCs w:val="24"/>
        </w:rPr>
        <w:t xml:space="preserve"> pentru planşee. În mod similar se separă între ele și porţiunile de clădiri aferente mai multor săli aglomerate comasate, indiferent de destinaţia lor.</w:t>
      </w:r>
    </w:p>
    <w:p w14:paraId="74BEA155" w14:textId="77777777" w:rsidR="001C08A5" w:rsidRDefault="00000000">
      <w:pPr>
        <w:jc w:val="both"/>
        <w:rPr>
          <w:sz w:val="24"/>
          <w:szCs w:val="24"/>
        </w:rPr>
      </w:pPr>
      <w:r>
        <w:rPr>
          <w:sz w:val="24"/>
          <w:szCs w:val="24"/>
        </w:rPr>
        <w:tab/>
      </w:r>
      <w:r>
        <w:rPr>
          <w:b/>
          <w:sz w:val="24"/>
          <w:szCs w:val="24"/>
        </w:rPr>
        <w:t xml:space="preserve">(2) </w:t>
      </w:r>
      <w:r>
        <w:rPr>
          <w:sz w:val="24"/>
          <w:szCs w:val="24"/>
        </w:rPr>
        <w:t>La cluburi și discoteci, porţiunile aferente diferitelor activităţi pot comunica liber cu sectoarele de recepţie ale sălilor aglomerate.</w:t>
      </w:r>
    </w:p>
    <w:p w14:paraId="504028FF" w14:textId="77777777" w:rsidR="001C08A5" w:rsidRDefault="00000000">
      <w:pPr>
        <w:jc w:val="both"/>
        <w:rPr>
          <w:sz w:val="24"/>
          <w:szCs w:val="24"/>
        </w:rPr>
      </w:pPr>
      <w:r>
        <w:rPr>
          <w:sz w:val="24"/>
          <w:szCs w:val="24"/>
        </w:rPr>
        <w:tab/>
      </w:r>
      <w:r>
        <w:rPr>
          <w:b/>
          <w:sz w:val="24"/>
          <w:szCs w:val="24"/>
        </w:rPr>
        <w:t>(3)</w:t>
      </w:r>
      <w:r>
        <w:rPr>
          <w:sz w:val="24"/>
          <w:szCs w:val="24"/>
        </w:rPr>
        <w:t xml:space="preserve"> Vestiarele, birourile, amfiteatrele şi sălile de întruniri din clădirile administrative, de învăţămînt, sănătate, sport, cultură, turism, cult etc., pot avea căi de evacuare comune cu cele ale clădirii în care sunt situate.</w:t>
      </w:r>
    </w:p>
    <w:p w14:paraId="4871A6DD" w14:textId="77777777" w:rsidR="001C08A5" w:rsidRDefault="00000000">
      <w:pPr>
        <w:ind w:firstLine="720"/>
        <w:jc w:val="both"/>
        <w:rPr>
          <w:sz w:val="24"/>
          <w:szCs w:val="24"/>
        </w:rPr>
      </w:pPr>
      <w:r>
        <w:rPr>
          <w:b/>
          <w:sz w:val="24"/>
          <w:szCs w:val="24"/>
        </w:rPr>
        <w:t xml:space="preserve">(4) </w:t>
      </w:r>
      <w:r>
        <w:rPr>
          <w:sz w:val="24"/>
          <w:szCs w:val="24"/>
        </w:rPr>
        <w:t xml:space="preserve">Sălile aglomerate comasate într-o clădire cu altă destinaţie, pot comunica cu porţiunile comune ale clădirii în care sunt dispuse prin goluri de circulaţie funcţională şi de evacuare, protejate cu uşi rezistente la foc și etanșe la fum minimum </w:t>
      </w:r>
      <w:r>
        <w:rPr>
          <w:b/>
          <w:bCs/>
          <w:sz w:val="24"/>
          <w:szCs w:val="24"/>
        </w:rPr>
        <w:t>EI</w:t>
      </w:r>
      <w:r>
        <w:rPr>
          <w:b/>
          <w:bCs/>
          <w:sz w:val="24"/>
          <w:szCs w:val="24"/>
          <w:vertAlign w:val="subscript"/>
        </w:rPr>
        <w:t>2</w:t>
      </w:r>
      <w:r>
        <w:rPr>
          <w:b/>
          <w:bCs/>
          <w:sz w:val="24"/>
          <w:szCs w:val="24"/>
        </w:rPr>
        <w:t xml:space="preserve"> 30-C5</w:t>
      </w:r>
      <w:r>
        <w:rPr>
          <w:b/>
          <w:sz w:val="24"/>
          <w:szCs w:val="24"/>
        </w:rPr>
        <w:t>S</w:t>
      </w:r>
      <w:r>
        <w:rPr>
          <w:b/>
          <w:bCs/>
          <w:sz w:val="24"/>
          <w:szCs w:val="24"/>
          <w:vertAlign w:val="subscript"/>
        </w:rPr>
        <w:t>200</w:t>
      </w:r>
      <w:r>
        <w:rPr>
          <w:sz w:val="24"/>
          <w:szCs w:val="24"/>
        </w:rPr>
        <w:t>.</w:t>
      </w:r>
    </w:p>
    <w:p w14:paraId="4B1B3929" w14:textId="77777777" w:rsidR="001C08A5" w:rsidRDefault="001C08A5">
      <w:pPr>
        <w:ind w:firstLine="720"/>
        <w:jc w:val="both"/>
        <w:rPr>
          <w:sz w:val="24"/>
          <w:szCs w:val="24"/>
        </w:rPr>
      </w:pPr>
    </w:p>
    <w:p w14:paraId="6E6CC1AB" w14:textId="77777777" w:rsidR="001C08A5" w:rsidRDefault="00000000">
      <w:pPr>
        <w:ind w:firstLine="720"/>
        <w:jc w:val="both"/>
        <w:rPr>
          <w:sz w:val="24"/>
          <w:szCs w:val="24"/>
        </w:rPr>
      </w:pPr>
      <w:r>
        <w:rPr>
          <w:b/>
          <w:sz w:val="24"/>
          <w:szCs w:val="24"/>
        </w:rPr>
        <w:t>Art. 4.3.2.4. (1)</w:t>
      </w:r>
      <w:r>
        <w:rPr>
          <w:sz w:val="24"/>
          <w:szCs w:val="24"/>
        </w:rPr>
        <w:t xml:space="preserve"> Porţiunile de clădire aferente sălilor aglomerate din construcţii cu alte destinaţii, se pot constitui în compartimente de incendiu distincte, independente functional, delimitate față de restul clădirii conform prevederilor normate, compartimentarea se poate realiza în limitele compartimentelor de incendiu stabilite pentru fiecare tip sau functiune distincte potrivit prevederilor normativului, asigurându-se separarea tipurilor si/ sau a funcţiunilor diferite cu elemente de construcţie verticale şi orizontale cu rezistenţe la foc determinate în funcţie de densitatea sarcinii termice (q) din spaţiile adiacente, dar nu mai puţin de </w:t>
      </w:r>
      <w:r>
        <w:rPr>
          <w:b/>
          <w:sz w:val="24"/>
          <w:szCs w:val="24"/>
        </w:rPr>
        <w:t xml:space="preserve">REI 180 </w:t>
      </w:r>
      <w:r>
        <w:rPr>
          <w:bCs/>
          <w:sz w:val="24"/>
          <w:szCs w:val="24"/>
        </w:rPr>
        <w:t>sau</w:t>
      </w:r>
      <w:r>
        <w:rPr>
          <w:b/>
          <w:sz w:val="24"/>
          <w:szCs w:val="24"/>
        </w:rPr>
        <w:t xml:space="preserve"> EI-M 180</w:t>
      </w:r>
      <w:r>
        <w:rPr>
          <w:sz w:val="24"/>
          <w:szCs w:val="24"/>
        </w:rPr>
        <w:t xml:space="preserve"> pentru pereţi şi </w:t>
      </w:r>
      <w:r>
        <w:rPr>
          <w:b/>
          <w:sz w:val="24"/>
          <w:szCs w:val="24"/>
        </w:rPr>
        <w:t xml:space="preserve">REI 120 </w:t>
      </w:r>
      <w:r>
        <w:rPr>
          <w:sz w:val="24"/>
          <w:szCs w:val="24"/>
        </w:rPr>
        <w:t xml:space="preserve">pentru planşee și protectii a golurilor conform prevederilor normativului. Pentru fiecare compartiment de incendiu distinct se asigură căi de acces și de evacuare pentru utilizatori, precum și căi de acces carosabile corespunzător dimensionate pentru circulația și amplasarea autospecialelor pentru intervenție de stingere și salvare în caz de incendiu, cel puţin pe două laturi. </w:t>
      </w:r>
    </w:p>
    <w:p w14:paraId="5D4EACEA" w14:textId="77777777" w:rsidR="001C08A5" w:rsidRDefault="00000000">
      <w:pPr>
        <w:ind w:firstLine="720"/>
        <w:jc w:val="both"/>
        <w:rPr>
          <w:sz w:val="24"/>
          <w:szCs w:val="24"/>
        </w:rPr>
      </w:pPr>
      <w:r>
        <w:rPr>
          <w:b/>
          <w:sz w:val="24"/>
          <w:szCs w:val="24"/>
        </w:rPr>
        <w:t xml:space="preserve">(2) </w:t>
      </w:r>
      <w:r>
        <w:rPr>
          <w:sz w:val="24"/>
          <w:szCs w:val="24"/>
        </w:rPr>
        <w:t xml:space="preserve">Atunci cand porţiunile de clădire aferente sălilor aglomerate se constituie în compartimente de incendiu distincte, independente functional, în cadrul construcțiilor civile cu înălțime obișnuită, măsurile de protecție pasive specifice clădirilor cu săli aglomerate se aplică doar compartimentelor ce includ săli aglomerate, cu exceptia asigurarii pentru fiecare compartiment a </w:t>
      </w:r>
      <w:r>
        <w:rPr>
          <w:sz w:val="24"/>
          <w:szCs w:val="24"/>
        </w:rPr>
        <w:lastRenderedPageBreak/>
        <w:t xml:space="preserve">minimum două căi de evacuare distincte pentru utilizatori și a condiţiilor minime de rezistenţă la foc pe care trebuie să le îndeplinească principalele elemente de construcţie utilizate pentru încadrarea intregii construcţii în nivelul de stabilitate la incendiu specificat de </w:t>
      </w:r>
      <w:r>
        <w:rPr>
          <w:b/>
          <w:bCs/>
          <w:sz w:val="24"/>
          <w:szCs w:val="24"/>
        </w:rPr>
        <w:t>Art. 4.3.2.1.</w:t>
      </w:r>
      <w:r>
        <w:rPr>
          <w:sz w:val="24"/>
          <w:szCs w:val="24"/>
        </w:rPr>
        <w:t xml:space="preserve"> astfel incat intreaga constructie să îndeplinească condiţiile de corelare normate intre modul de amplasare, categoria sălii aglomerate supraterane și capacitatea maximă simultană de utilizatori admisă. </w:t>
      </w:r>
    </w:p>
    <w:p w14:paraId="2E4C6726" w14:textId="77777777" w:rsidR="001C08A5" w:rsidRDefault="00000000">
      <w:pPr>
        <w:ind w:firstLine="720"/>
        <w:jc w:val="both"/>
        <w:rPr>
          <w:sz w:val="24"/>
          <w:szCs w:val="24"/>
        </w:rPr>
      </w:pPr>
      <w:r>
        <w:rPr>
          <w:b/>
          <w:sz w:val="24"/>
          <w:szCs w:val="24"/>
        </w:rPr>
        <w:t xml:space="preserve">(3) </w:t>
      </w:r>
      <w:r>
        <w:rPr>
          <w:sz w:val="24"/>
          <w:szCs w:val="24"/>
        </w:rPr>
        <w:t>Atunci cand porţiunile de clădire aferente sălilor aglomerate se constituie în compartimente de incendiu distincte, independente functional, în cadrul clădirilor înalte sau foarte înalte vor fi îndeplinite și condiţiile de performanţă specifice acestor tipuri de clădiri, asigurându-se îndeplinirea condiţiilor de peformanţă cele mai severe prevăzute în normativ pentru respectivele tipuri de clădiri.</w:t>
      </w:r>
    </w:p>
    <w:p w14:paraId="441DE3FD" w14:textId="77777777" w:rsidR="001C08A5" w:rsidRDefault="00000000">
      <w:pPr>
        <w:pStyle w:val="Heading4"/>
      </w:pPr>
      <w:bookmarkStart w:id="4693" w:name="_Toc17328"/>
      <w:bookmarkStart w:id="4694" w:name="_Toc8612"/>
      <w:bookmarkStart w:id="4695" w:name="_Toc162355329"/>
      <w:bookmarkStart w:id="4696" w:name="_Toc12913"/>
      <w:bookmarkStart w:id="4697" w:name="_Toc27054"/>
      <w:bookmarkStart w:id="4698" w:name="_Toc1783"/>
      <w:bookmarkStart w:id="4699" w:name="_Toc18457"/>
      <w:bookmarkStart w:id="4700" w:name="_Toc19222"/>
      <w:r>
        <w:t>4.3.3. LIMITAREA PROPAGĂRII INCENDIILOR</w:t>
      </w:r>
      <w:bookmarkEnd w:id="4693"/>
      <w:bookmarkEnd w:id="4694"/>
      <w:bookmarkEnd w:id="4695"/>
      <w:bookmarkEnd w:id="4696"/>
      <w:bookmarkEnd w:id="4697"/>
      <w:bookmarkEnd w:id="4698"/>
      <w:bookmarkEnd w:id="4699"/>
      <w:bookmarkEnd w:id="4700"/>
    </w:p>
    <w:p w14:paraId="49C029D1" w14:textId="77777777" w:rsidR="001C08A5" w:rsidRDefault="00000000">
      <w:pPr>
        <w:jc w:val="both"/>
        <w:rPr>
          <w:sz w:val="24"/>
          <w:szCs w:val="24"/>
        </w:rPr>
      </w:pPr>
      <w:r>
        <w:rPr>
          <w:sz w:val="24"/>
          <w:szCs w:val="24"/>
        </w:rPr>
        <w:tab/>
      </w:r>
      <w:r>
        <w:rPr>
          <w:sz w:val="24"/>
          <w:szCs w:val="24"/>
        </w:rPr>
        <w:tab/>
      </w:r>
    </w:p>
    <w:p w14:paraId="6C1106A6" w14:textId="77777777" w:rsidR="001C08A5" w:rsidRDefault="00000000">
      <w:pPr>
        <w:ind w:firstLine="567"/>
        <w:jc w:val="both"/>
        <w:rPr>
          <w:sz w:val="24"/>
          <w:szCs w:val="24"/>
        </w:rPr>
      </w:pPr>
      <w:r>
        <w:rPr>
          <w:b/>
          <w:sz w:val="24"/>
          <w:szCs w:val="24"/>
        </w:rPr>
        <w:t xml:space="preserve">Art. 4.3.3.1. (1) </w:t>
      </w:r>
      <w:r>
        <w:rPr>
          <w:sz w:val="24"/>
          <w:szCs w:val="24"/>
        </w:rPr>
        <w:t>În interiorul compartimentelor de incendiu sau funcţionale ale sălilor aglomerate cu orice destinaţie, încăperile cu risc mare de incendiu sau care adăpostesc aparataj ori obiecte de importanţă deosebită, se separă de restul clădirii prin pereţi și planşee a căror rezistenţă la foc se stabileşte în funcţie de densitatea sarcinii termice (</w:t>
      </w:r>
      <w:r>
        <w:rPr>
          <w:b/>
          <w:sz w:val="24"/>
          <w:szCs w:val="24"/>
        </w:rPr>
        <w:t>q</w:t>
      </w:r>
      <w:r>
        <w:rPr>
          <w:sz w:val="24"/>
          <w:szCs w:val="24"/>
        </w:rPr>
        <w:t xml:space="preserve">), potrivit prevederilor din </w:t>
      </w:r>
      <w:r>
        <w:rPr>
          <w:b/>
          <w:sz w:val="24"/>
          <w:szCs w:val="24"/>
        </w:rPr>
        <w:t>Art.</w:t>
      </w:r>
      <w:r>
        <w:rPr>
          <w:b/>
          <w:bCs/>
          <w:sz w:val="24"/>
          <w:szCs w:val="24"/>
        </w:rPr>
        <w:t xml:space="preserve"> 2.3.1.2.</w:t>
      </w:r>
      <w:r>
        <w:rPr>
          <w:sz w:val="24"/>
          <w:szCs w:val="24"/>
        </w:rPr>
        <w:t xml:space="preserve"> şi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sz w:val="24"/>
          <w:szCs w:val="24"/>
        </w:rPr>
        <w:t xml:space="preserve"> </w:t>
      </w:r>
      <w:r>
        <w:rPr>
          <w:rStyle w:val="BodyTextChar"/>
          <w:iCs/>
        </w:rPr>
        <w:fldChar w:fldCharType="begin"/>
      </w:r>
      <w:r>
        <w:rPr>
          <w:rStyle w:val="BodyTextChar"/>
          <w:iCs/>
        </w:rPr>
        <w:instrText xml:space="preserve"> REF _Ref30927 \h </w:instrText>
      </w:r>
      <w:r>
        <w:rPr>
          <w:rStyle w:val="BodyTextChar"/>
          <w:iCs/>
        </w:rPr>
      </w:r>
      <w:r>
        <w:rPr>
          <w:rStyle w:val="BodyTextChar"/>
          <w:iCs/>
        </w:rPr>
        <w:fldChar w:fldCharType="separate"/>
      </w:r>
      <w:r>
        <w:rPr>
          <w:rStyle w:val="BodyTextChar"/>
          <w:iCs/>
        </w:rPr>
        <w:fldChar w:fldCharType="end"/>
      </w:r>
      <w:r>
        <w:rPr>
          <w:sz w:val="24"/>
          <w:szCs w:val="24"/>
        </w:rPr>
        <w:t>precum</w:t>
      </w:r>
      <w:r>
        <w:rPr>
          <w:bCs/>
          <w:sz w:val="24"/>
          <w:szCs w:val="24"/>
        </w:rPr>
        <w:t xml:space="preserve"> și </w:t>
      </w:r>
      <w:r>
        <w:rPr>
          <w:sz w:val="24"/>
          <w:szCs w:val="24"/>
        </w:rPr>
        <w:t>de importanţa bunurilor din încăperile adiacente.</w:t>
      </w:r>
    </w:p>
    <w:p w14:paraId="6438F255" w14:textId="77777777" w:rsidR="001C08A5" w:rsidRDefault="00000000">
      <w:pPr>
        <w:ind w:firstLine="720"/>
        <w:jc w:val="both"/>
        <w:rPr>
          <w:sz w:val="24"/>
          <w:szCs w:val="24"/>
        </w:rPr>
      </w:pPr>
      <w:r>
        <w:rPr>
          <w:b/>
          <w:sz w:val="24"/>
          <w:szCs w:val="24"/>
        </w:rPr>
        <w:t xml:space="preserve">(2) </w:t>
      </w:r>
      <w:r>
        <w:rPr>
          <w:sz w:val="24"/>
          <w:szCs w:val="24"/>
        </w:rPr>
        <w:t xml:space="preserve">Cabinele tehnice necesare funcţional (regie, sunet, lumini), pot avea spre sala aglomerată goluri protejate cu geamuri rezistente la foc minimum </w:t>
      </w:r>
      <w:r>
        <w:rPr>
          <w:b/>
          <w:sz w:val="24"/>
          <w:szCs w:val="24"/>
        </w:rPr>
        <w:t xml:space="preserve">EI 60 </w:t>
      </w:r>
      <w:r>
        <w:rPr>
          <w:sz w:val="24"/>
          <w:szCs w:val="24"/>
        </w:rPr>
        <w:t xml:space="preserve">sau cu obloane rezistente la foc </w:t>
      </w:r>
      <w:r>
        <w:rPr>
          <w:b/>
          <w:sz w:val="24"/>
          <w:szCs w:val="24"/>
        </w:rPr>
        <w:t xml:space="preserve">EI 60 </w:t>
      </w:r>
      <w:r>
        <w:rPr>
          <w:sz w:val="24"/>
          <w:szCs w:val="24"/>
        </w:rPr>
        <w:t xml:space="preserve">ori perdele de sprinklere cu funcţionare timp de minimum </w:t>
      </w:r>
      <w:r>
        <w:rPr>
          <w:b/>
          <w:bCs/>
          <w:sz w:val="24"/>
          <w:szCs w:val="24"/>
        </w:rPr>
        <w:t xml:space="preserve">60 </w:t>
      </w:r>
      <w:r>
        <w:rPr>
          <w:sz w:val="24"/>
          <w:szCs w:val="24"/>
        </w:rPr>
        <w:t>de minute</w:t>
      </w:r>
      <w:r>
        <w:rPr>
          <w:b/>
          <w:bCs/>
          <w:sz w:val="24"/>
          <w:szCs w:val="24"/>
        </w:rPr>
        <w:t>,</w:t>
      </w:r>
      <w:r>
        <w:rPr>
          <w:bCs/>
          <w:sz w:val="24"/>
          <w:szCs w:val="24"/>
        </w:rPr>
        <w:t xml:space="preserve"> pereți </w:t>
      </w:r>
      <w:r>
        <w:rPr>
          <w:b/>
          <w:sz w:val="24"/>
          <w:szCs w:val="24"/>
        </w:rPr>
        <w:t>EI 120</w:t>
      </w:r>
      <w:r>
        <w:rPr>
          <w:bCs/>
          <w:sz w:val="24"/>
          <w:szCs w:val="24"/>
        </w:rPr>
        <w:t xml:space="preserve"> și planșee </w:t>
      </w:r>
      <w:r>
        <w:rPr>
          <w:b/>
          <w:sz w:val="24"/>
          <w:szCs w:val="24"/>
        </w:rPr>
        <w:t>REI 120</w:t>
      </w:r>
      <w:r>
        <w:rPr>
          <w:sz w:val="24"/>
          <w:szCs w:val="24"/>
        </w:rPr>
        <w:t>, în toate cazurile în care aceste cabine se separă de restul clădirii la fel ca sala aglomerată.</w:t>
      </w:r>
    </w:p>
    <w:p w14:paraId="77B59399" w14:textId="77777777" w:rsidR="001C08A5" w:rsidRDefault="00000000">
      <w:pPr>
        <w:ind w:firstLine="720"/>
        <w:jc w:val="both"/>
        <w:rPr>
          <w:b/>
          <w:sz w:val="24"/>
          <w:szCs w:val="24"/>
        </w:rPr>
      </w:pPr>
      <w:r>
        <w:rPr>
          <w:b/>
          <w:sz w:val="24"/>
          <w:szCs w:val="24"/>
        </w:rPr>
        <w:t xml:space="preserve">(3) </w:t>
      </w:r>
      <w:r>
        <w:rPr>
          <w:sz w:val="24"/>
          <w:szCs w:val="24"/>
        </w:rPr>
        <w:t>Elementele de separare din interiorul clădirii şi compartimentelor de incendiu sau funcţionale ale clădirii cu săli aglomerate, trebuie să îndeplinească și condiţiile determinate de densitatea sarcinii termice (</w:t>
      </w:r>
      <w:r>
        <w:rPr>
          <w:b/>
          <w:bCs/>
          <w:sz w:val="24"/>
          <w:szCs w:val="24"/>
        </w:rPr>
        <w:t>q</w:t>
      </w:r>
      <w:r>
        <w:rPr>
          <w:sz w:val="24"/>
          <w:szCs w:val="24"/>
        </w:rPr>
        <w:t xml:space="preserve">) și prevederile din </w:t>
      </w:r>
      <w:r>
        <w:rPr>
          <w:b/>
          <w:bCs/>
          <w:i/>
          <w:iCs/>
          <w:sz w:val="24"/>
          <w:szCs w:val="24"/>
        </w:rPr>
        <w:fldChar w:fldCharType="begin"/>
      </w:r>
      <w:r>
        <w:rPr>
          <w:b/>
          <w:bCs/>
          <w:i/>
          <w:iCs/>
          <w:sz w:val="24"/>
          <w:szCs w:val="24"/>
        </w:rPr>
        <w:instrText xml:space="preserve"> REF _Ref24638 \h </w:instrText>
      </w:r>
      <w:r>
        <w:rPr>
          <w:b/>
          <w:bCs/>
          <w:i/>
          <w:iCs/>
          <w:sz w:val="24"/>
          <w:szCs w:val="24"/>
        </w:rPr>
      </w:r>
      <w:r>
        <w:rPr>
          <w:b/>
          <w:bCs/>
          <w:i/>
          <w:iCs/>
          <w:sz w:val="24"/>
          <w:szCs w:val="24"/>
        </w:rPr>
        <w:fldChar w:fldCharType="separate"/>
      </w:r>
      <w:r>
        <w:t>Tabelul 102</w:t>
      </w:r>
      <w:r>
        <w:rPr>
          <w:b/>
          <w:bCs/>
          <w:i/>
          <w:iCs/>
          <w:sz w:val="24"/>
          <w:szCs w:val="24"/>
        </w:rPr>
        <w:fldChar w:fldCharType="end"/>
      </w:r>
      <w:r>
        <w:rPr>
          <w:b/>
          <w:sz w:val="24"/>
          <w:szCs w:val="24"/>
        </w:rPr>
        <w:t>.</w:t>
      </w:r>
    </w:p>
    <w:p w14:paraId="0BEC43EE" w14:textId="77777777" w:rsidR="001C08A5" w:rsidRDefault="001C08A5">
      <w:pPr>
        <w:jc w:val="both"/>
        <w:rPr>
          <w:sz w:val="24"/>
          <w:szCs w:val="24"/>
        </w:rPr>
      </w:pPr>
    </w:p>
    <w:p w14:paraId="01F6B1F2" w14:textId="77777777" w:rsidR="001C08A5" w:rsidRDefault="00000000">
      <w:pPr>
        <w:pStyle w:val="Captiontabel"/>
      </w:pPr>
      <w:bookmarkStart w:id="4701" w:name="_Ref24638"/>
      <w:bookmarkStart w:id="4702" w:name="_Toc162360152"/>
      <w:r>
        <w:t xml:space="preserve">Tabelul </w:t>
      </w:r>
      <w:r>
        <w:fldChar w:fldCharType="begin"/>
      </w:r>
      <w:r>
        <w:instrText xml:space="preserve"> SEQ Tabelul \* ARABIC </w:instrText>
      </w:r>
      <w:r>
        <w:fldChar w:fldCharType="separate"/>
      </w:r>
      <w:r>
        <w:t>102</w:t>
      </w:r>
      <w:r>
        <w:fldChar w:fldCharType="end"/>
      </w:r>
      <w:bookmarkStart w:id="4703" w:name="_Toc19963"/>
      <w:bookmarkStart w:id="4704" w:name="_Toc18073"/>
      <w:bookmarkStart w:id="4705" w:name="_Toc310"/>
      <w:bookmarkStart w:id="4706" w:name="_Toc14983"/>
      <w:bookmarkStart w:id="4707" w:name="_Toc4070"/>
      <w:bookmarkStart w:id="4708" w:name="_Toc15101"/>
      <w:bookmarkStart w:id="4709" w:name="_Toc16846"/>
      <w:bookmarkStart w:id="4710" w:name="_Toc27523"/>
      <w:bookmarkStart w:id="4711" w:name="_Toc2865"/>
      <w:bookmarkStart w:id="4712" w:name="_Toc21842"/>
      <w:bookmarkStart w:id="4713" w:name="_Toc18206"/>
      <w:bookmarkStart w:id="4714" w:name="_Toc24126"/>
      <w:bookmarkStart w:id="4715" w:name="_Toc1299"/>
      <w:bookmarkStart w:id="4716" w:name="_Toc21008"/>
      <w:bookmarkStart w:id="4717" w:name="_Toc12106"/>
      <w:bookmarkStart w:id="4718" w:name="_Toc31596"/>
      <w:bookmarkStart w:id="4719" w:name="_Toc4810"/>
      <w:bookmarkStart w:id="4720" w:name="_Toc23968"/>
      <w:bookmarkStart w:id="4721" w:name="_Toc3757"/>
      <w:bookmarkEnd w:id="4701"/>
      <w:r>
        <w:t>: Elemente de separare din interiorul clădirii şi compartimentelor de incendiu sau funcţionale ale clădirilor cu săli aglomerate</w:t>
      </w:r>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p>
    <w:p w14:paraId="70153208" w14:textId="77777777" w:rsidR="001C08A5" w:rsidRDefault="001C08A5">
      <w:pPr>
        <w:jc w:val="both"/>
        <w:rPr>
          <w:sz w:val="24"/>
          <w:szCs w:val="24"/>
        </w:rPr>
      </w:pPr>
    </w:p>
    <w:tbl>
      <w:tblPr>
        <w:tblW w:w="9498" w:type="dxa"/>
        <w:jc w:val="center"/>
        <w:tblLayout w:type="fixed"/>
        <w:tblLook w:val="04A0" w:firstRow="1" w:lastRow="0" w:firstColumn="1" w:lastColumn="0" w:noHBand="0" w:noVBand="1"/>
      </w:tblPr>
      <w:tblGrid>
        <w:gridCol w:w="560"/>
        <w:gridCol w:w="2350"/>
        <w:gridCol w:w="1644"/>
        <w:gridCol w:w="1134"/>
        <w:gridCol w:w="1276"/>
        <w:gridCol w:w="2534"/>
      </w:tblGrid>
      <w:tr w:rsidR="001C08A5" w14:paraId="57E4C48A" w14:textId="77777777">
        <w:trPr>
          <w:jc w:val="center"/>
        </w:trPr>
        <w:tc>
          <w:tcPr>
            <w:tcW w:w="560" w:type="dxa"/>
            <w:vMerge w:val="restart"/>
            <w:tcBorders>
              <w:top w:val="single" w:sz="8" w:space="0" w:color="000000"/>
              <w:left w:val="single" w:sz="8" w:space="0" w:color="000000"/>
            </w:tcBorders>
            <w:shd w:val="clear" w:color="auto" w:fill="BEBEBE"/>
          </w:tcPr>
          <w:p w14:paraId="782D41AF" w14:textId="77777777" w:rsidR="001C08A5" w:rsidRDefault="00000000">
            <w:pPr>
              <w:jc w:val="both"/>
              <w:rPr>
                <w:b/>
                <w:i/>
                <w:iCs/>
                <w:sz w:val="22"/>
                <w:szCs w:val="22"/>
              </w:rPr>
            </w:pPr>
            <w:r>
              <w:rPr>
                <w:b/>
                <w:i/>
                <w:iCs/>
                <w:sz w:val="22"/>
                <w:szCs w:val="22"/>
              </w:rPr>
              <w:t>Nr.</w:t>
            </w:r>
          </w:p>
          <w:p w14:paraId="7B3DD32D" w14:textId="77777777" w:rsidR="001C08A5" w:rsidRDefault="00000000">
            <w:pPr>
              <w:snapToGrid w:val="0"/>
              <w:jc w:val="both"/>
              <w:rPr>
                <w:i/>
                <w:iCs/>
                <w:sz w:val="22"/>
                <w:szCs w:val="22"/>
              </w:rPr>
            </w:pPr>
            <w:r>
              <w:rPr>
                <w:b/>
                <w:i/>
                <w:iCs/>
                <w:sz w:val="22"/>
                <w:szCs w:val="22"/>
              </w:rPr>
              <w:t>crt</w:t>
            </w:r>
          </w:p>
          <w:p w14:paraId="0DDB6840" w14:textId="77777777" w:rsidR="001C08A5" w:rsidRDefault="001C08A5">
            <w:pPr>
              <w:jc w:val="both"/>
              <w:rPr>
                <w:i/>
                <w:iCs/>
                <w:sz w:val="22"/>
                <w:szCs w:val="22"/>
              </w:rPr>
            </w:pPr>
          </w:p>
        </w:tc>
        <w:tc>
          <w:tcPr>
            <w:tcW w:w="2350" w:type="dxa"/>
            <w:vMerge w:val="restart"/>
            <w:tcBorders>
              <w:top w:val="single" w:sz="8" w:space="0" w:color="000000"/>
              <w:left w:val="single" w:sz="4" w:space="0" w:color="000000"/>
            </w:tcBorders>
            <w:shd w:val="clear" w:color="auto" w:fill="BEBEBE"/>
          </w:tcPr>
          <w:p w14:paraId="353B1F51" w14:textId="77777777" w:rsidR="001C08A5" w:rsidRDefault="00000000">
            <w:pPr>
              <w:jc w:val="center"/>
              <w:rPr>
                <w:i/>
                <w:iCs/>
                <w:sz w:val="22"/>
                <w:szCs w:val="22"/>
              </w:rPr>
            </w:pPr>
            <w:r>
              <w:rPr>
                <w:b/>
                <w:i/>
                <w:iCs/>
                <w:sz w:val="22"/>
                <w:szCs w:val="22"/>
              </w:rPr>
              <w:t>Destinaţia elementului</w:t>
            </w:r>
          </w:p>
        </w:tc>
        <w:tc>
          <w:tcPr>
            <w:tcW w:w="1644" w:type="dxa"/>
            <w:vMerge w:val="restart"/>
            <w:tcBorders>
              <w:top w:val="single" w:sz="8" w:space="0" w:color="000000"/>
              <w:left w:val="single" w:sz="4" w:space="0" w:color="000000"/>
            </w:tcBorders>
            <w:shd w:val="clear" w:color="auto" w:fill="BEBEBE"/>
          </w:tcPr>
          <w:p w14:paraId="382D2584" w14:textId="77777777" w:rsidR="001C08A5" w:rsidRDefault="00000000">
            <w:pPr>
              <w:jc w:val="center"/>
              <w:rPr>
                <w:b/>
                <w:i/>
                <w:iCs/>
                <w:sz w:val="22"/>
                <w:szCs w:val="22"/>
              </w:rPr>
            </w:pPr>
            <w:r>
              <w:rPr>
                <w:b/>
                <w:i/>
                <w:iCs/>
                <w:sz w:val="22"/>
                <w:szCs w:val="22"/>
              </w:rPr>
              <w:t>Nivelul de stabilitate la incendiu al clădirii</w:t>
            </w:r>
          </w:p>
        </w:tc>
        <w:tc>
          <w:tcPr>
            <w:tcW w:w="2410" w:type="dxa"/>
            <w:gridSpan w:val="2"/>
            <w:tcBorders>
              <w:top w:val="single" w:sz="8" w:space="0" w:color="000000"/>
              <w:left w:val="single" w:sz="4" w:space="0" w:color="000000"/>
              <w:bottom w:val="single" w:sz="4" w:space="0" w:color="000000"/>
            </w:tcBorders>
            <w:shd w:val="clear" w:color="auto" w:fill="BEBEBE"/>
          </w:tcPr>
          <w:p w14:paraId="3705108C" w14:textId="77777777" w:rsidR="001C08A5" w:rsidRDefault="00000000">
            <w:pPr>
              <w:jc w:val="center"/>
              <w:rPr>
                <w:b/>
                <w:i/>
                <w:iCs/>
                <w:sz w:val="22"/>
                <w:szCs w:val="22"/>
              </w:rPr>
            </w:pPr>
            <w:r>
              <w:rPr>
                <w:b/>
                <w:i/>
                <w:iCs/>
                <w:sz w:val="22"/>
                <w:szCs w:val="22"/>
              </w:rPr>
              <w:t xml:space="preserve">Condiţii minime de rezistenţă (minute) şi reacţie la foc </w:t>
            </w:r>
          </w:p>
        </w:tc>
        <w:tc>
          <w:tcPr>
            <w:tcW w:w="2534" w:type="dxa"/>
            <w:vMerge w:val="restart"/>
            <w:tcBorders>
              <w:top w:val="single" w:sz="8" w:space="0" w:color="000000"/>
              <w:left w:val="single" w:sz="4" w:space="0" w:color="000000"/>
              <w:right w:val="single" w:sz="8" w:space="0" w:color="000000"/>
            </w:tcBorders>
            <w:shd w:val="clear" w:color="auto" w:fill="BEBEBE"/>
          </w:tcPr>
          <w:p w14:paraId="58588B4C" w14:textId="77777777" w:rsidR="001C08A5" w:rsidRDefault="00000000">
            <w:pPr>
              <w:jc w:val="center"/>
              <w:rPr>
                <w:i/>
                <w:iCs/>
                <w:sz w:val="22"/>
                <w:szCs w:val="22"/>
              </w:rPr>
            </w:pPr>
            <w:r>
              <w:rPr>
                <w:b/>
                <w:i/>
                <w:iCs/>
                <w:sz w:val="22"/>
                <w:szCs w:val="22"/>
              </w:rPr>
              <w:t>Observaţii</w:t>
            </w:r>
          </w:p>
        </w:tc>
      </w:tr>
      <w:tr w:rsidR="001C08A5" w14:paraId="7B98EB0D" w14:textId="77777777">
        <w:trPr>
          <w:jc w:val="center"/>
        </w:trPr>
        <w:tc>
          <w:tcPr>
            <w:tcW w:w="560" w:type="dxa"/>
            <w:vMerge/>
            <w:tcBorders>
              <w:left w:val="single" w:sz="8" w:space="0" w:color="000000"/>
              <w:bottom w:val="single" w:sz="4" w:space="0" w:color="000000"/>
            </w:tcBorders>
            <w:shd w:val="clear" w:color="auto" w:fill="BEBEBE"/>
          </w:tcPr>
          <w:p w14:paraId="7E54CB7A" w14:textId="77777777" w:rsidR="001C08A5" w:rsidRDefault="001C08A5">
            <w:pPr>
              <w:jc w:val="both"/>
              <w:rPr>
                <w:i/>
                <w:iCs/>
                <w:sz w:val="22"/>
                <w:szCs w:val="22"/>
              </w:rPr>
            </w:pPr>
          </w:p>
        </w:tc>
        <w:tc>
          <w:tcPr>
            <w:tcW w:w="2350" w:type="dxa"/>
            <w:vMerge/>
            <w:tcBorders>
              <w:left w:val="single" w:sz="4" w:space="0" w:color="000000"/>
              <w:bottom w:val="single" w:sz="4" w:space="0" w:color="000000"/>
            </w:tcBorders>
            <w:shd w:val="clear" w:color="auto" w:fill="BEBEBE"/>
          </w:tcPr>
          <w:p w14:paraId="160F165C" w14:textId="77777777" w:rsidR="001C08A5" w:rsidRDefault="001C08A5">
            <w:pPr>
              <w:jc w:val="center"/>
              <w:rPr>
                <w:i/>
                <w:iCs/>
                <w:sz w:val="22"/>
                <w:szCs w:val="22"/>
              </w:rPr>
            </w:pPr>
          </w:p>
        </w:tc>
        <w:tc>
          <w:tcPr>
            <w:tcW w:w="1644" w:type="dxa"/>
            <w:vMerge/>
            <w:tcBorders>
              <w:left w:val="single" w:sz="4" w:space="0" w:color="000000"/>
              <w:bottom w:val="single" w:sz="4" w:space="0" w:color="000000"/>
            </w:tcBorders>
            <w:shd w:val="clear" w:color="auto" w:fill="BEBEBE"/>
          </w:tcPr>
          <w:p w14:paraId="5BD997D2" w14:textId="77777777" w:rsidR="001C08A5" w:rsidRDefault="001C08A5">
            <w:pPr>
              <w:jc w:val="center"/>
              <w:rPr>
                <w:b/>
                <w:i/>
                <w:iCs/>
                <w:sz w:val="22"/>
                <w:szCs w:val="22"/>
              </w:rPr>
            </w:pPr>
          </w:p>
        </w:tc>
        <w:tc>
          <w:tcPr>
            <w:tcW w:w="1134" w:type="dxa"/>
            <w:tcBorders>
              <w:top w:val="single" w:sz="8" w:space="0" w:color="000000"/>
              <w:left w:val="single" w:sz="4" w:space="0" w:color="000000"/>
              <w:bottom w:val="single" w:sz="4" w:space="0" w:color="000000"/>
            </w:tcBorders>
            <w:shd w:val="clear" w:color="auto" w:fill="BEBEBE"/>
          </w:tcPr>
          <w:p w14:paraId="45A2294F" w14:textId="77777777" w:rsidR="001C08A5" w:rsidRDefault="00000000">
            <w:pPr>
              <w:jc w:val="center"/>
              <w:rPr>
                <w:b/>
                <w:i/>
                <w:iCs/>
                <w:sz w:val="22"/>
                <w:szCs w:val="22"/>
              </w:rPr>
            </w:pPr>
            <w:r>
              <w:rPr>
                <w:b/>
                <w:i/>
                <w:iCs/>
                <w:sz w:val="22"/>
                <w:szCs w:val="22"/>
              </w:rPr>
              <w:t>pereţi</w:t>
            </w:r>
          </w:p>
        </w:tc>
        <w:tc>
          <w:tcPr>
            <w:tcW w:w="1276" w:type="dxa"/>
            <w:tcBorders>
              <w:top w:val="single" w:sz="8" w:space="0" w:color="000000"/>
              <w:left w:val="single" w:sz="4" w:space="0" w:color="000000"/>
              <w:bottom w:val="single" w:sz="4" w:space="0" w:color="000000"/>
            </w:tcBorders>
            <w:shd w:val="clear" w:color="auto" w:fill="BEBEBE"/>
          </w:tcPr>
          <w:p w14:paraId="79178341" w14:textId="77777777" w:rsidR="001C08A5" w:rsidRDefault="00000000">
            <w:pPr>
              <w:jc w:val="center"/>
              <w:rPr>
                <w:bCs/>
                <w:i/>
                <w:iCs/>
                <w:sz w:val="22"/>
                <w:szCs w:val="22"/>
              </w:rPr>
            </w:pPr>
            <w:r>
              <w:rPr>
                <w:b/>
                <w:i/>
                <w:iCs/>
                <w:sz w:val="22"/>
                <w:szCs w:val="22"/>
              </w:rPr>
              <w:t>planşee</w:t>
            </w:r>
          </w:p>
        </w:tc>
        <w:tc>
          <w:tcPr>
            <w:tcW w:w="2534" w:type="dxa"/>
            <w:vMerge/>
            <w:tcBorders>
              <w:left w:val="single" w:sz="4" w:space="0" w:color="000000"/>
              <w:bottom w:val="single" w:sz="4" w:space="0" w:color="000000"/>
              <w:right w:val="single" w:sz="8" w:space="0" w:color="000000"/>
            </w:tcBorders>
            <w:shd w:val="clear" w:color="auto" w:fill="BEBEBE"/>
          </w:tcPr>
          <w:p w14:paraId="1613405D" w14:textId="77777777" w:rsidR="001C08A5" w:rsidRDefault="001C08A5">
            <w:pPr>
              <w:jc w:val="center"/>
              <w:rPr>
                <w:b/>
                <w:i/>
                <w:iCs/>
                <w:sz w:val="22"/>
                <w:szCs w:val="22"/>
              </w:rPr>
            </w:pPr>
          </w:p>
        </w:tc>
      </w:tr>
      <w:tr w:rsidR="001C08A5" w14:paraId="2858F5D9" w14:textId="77777777">
        <w:trPr>
          <w:jc w:val="center"/>
        </w:trPr>
        <w:tc>
          <w:tcPr>
            <w:tcW w:w="560" w:type="dxa"/>
            <w:tcBorders>
              <w:top w:val="single" w:sz="8" w:space="0" w:color="000000"/>
              <w:left w:val="single" w:sz="8" w:space="0" w:color="000000"/>
              <w:bottom w:val="single" w:sz="4" w:space="0" w:color="000000"/>
            </w:tcBorders>
          </w:tcPr>
          <w:p w14:paraId="347E4590" w14:textId="77777777" w:rsidR="001C08A5" w:rsidRDefault="001C08A5">
            <w:pPr>
              <w:snapToGrid w:val="0"/>
              <w:jc w:val="both"/>
              <w:rPr>
                <w:i/>
                <w:iCs/>
                <w:sz w:val="22"/>
                <w:szCs w:val="22"/>
              </w:rPr>
            </w:pPr>
          </w:p>
          <w:p w14:paraId="6B3F7841" w14:textId="77777777" w:rsidR="001C08A5" w:rsidRDefault="001C08A5">
            <w:pPr>
              <w:jc w:val="both"/>
              <w:rPr>
                <w:i/>
                <w:iCs/>
                <w:sz w:val="22"/>
                <w:szCs w:val="22"/>
              </w:rPr>
            </w:pPr>
          </w:p>
          <w:p w14:paraId="7CF558BC" w14:textId="77777777" w:rsidR="001C08A5" w:rsidRDefault="00000000">
            <w:pPr>
              <w:jc w:val="both"/>
              <w:rPr>
                <w:i/>
                <w:iCs/>
                <w:sz w:val="22"/>
                <w:szCs w:val="22"/>
              </w:rPr>
            </w:pPr>
            <w:r>
              <w:rPr>
                <w:i/>
                <w:iCs/>
                <w:sz w:val="22"/>
                <w:szCs w:val="22"/>
              </w:rPr>
              <w:t>1.</w:t>
            </w:r>
          </w:p>
        </w:tc>
        <w:tc>
          <w:tcPr>
            <w:tcW w:w="2350" w:type="dxa"/>
            <w:tcBorders>
              <w:top w:val="single" w:sz="8" w:space="0" w:color="000000"/>
              <w:left w:val="single" w:sz="4" w:space="0" w:color="000000"/>
              <w:bottom w:val="single" w:sz="4" w:space="0" w:color="000000"/>
            </w:tcBorders>
          </w:tcPr>
          <w:p w14:paraId="6B5A1FB4" w14:textId="77777777" w:rsidR="001C08A5" w:rsidRDefault="00000000">
            <w:pPr>
              <w:jc w:val="center"/>
              <w:rPr>
                <w:i/>
                <w:iCs/>
                <w:sz w:val="22"/>
                <w:szCs w:val="22"/>
              </w:rPr>
            </w:pPr>
            <w:r>
              <w:rPr>
                <w:i/>
                <w:iCs/>
                <w:sz w:val="22"/>
                <w:szCs w:val="22"/>
              </w:rPr>
              <w:t>Planşeele nivelurilor intermediare amenajate în interiorul sălilor aglomerate (logii, balcoane, supante, platforme etc.)</w:t>
            </w:r>
          </w:p>
        </w:tc>
        <w:tc>
          <w:tcPr>
            <w:tcW w:w="1644" w:type="dxa"/>
            <w:tcBorders>
              <w:top w:val="single" w:sz="8" w:space="0" w:color="000000"/>
              <w:left w:val="single" w:sz="4" w:space="0" w:color="000000"/>
              <w:bottom w:val="single" w:sz="4" w:space="0" w:color="000000"/>
            </w:tcBorders>
            <w:vAlign w:val="center"/>
          </w:tcPr>
          <w:p w14:paraId="7B7F1C85" w14:textId="77777777" w:rsidR="001C08A5" w:rsidRDefault="00000000">
            <w:pPr>
              <w:jc w:val="center"/>
              <w:rPr>
                <w:b/>
                <w:i/>
                <w:iCs/>
                <w:sz w:val="22"/>
                <w:szCs w:val="22"/>
              </w:rPr>
            </w:pPr>
            <w:r>
              <w:rPr>
                <w:b/>
                <w:i/>
                <w:iCs/>
                <w:sz w:val="22"/>
                <w:szCs w:val="22"/>
              </w:rPr>
              <w:t>I</w:t>
            </w:r>
            <w:r>
              <w:rPr>
                <w:i/>
                <w:iCs/>
                <w:sz w:val="22"/>
                <w:szCs w:val="22"/>
              </w:rPr>
              <w:t xml:space="preserve">, </w:t>
            </w:r>
            <w:r>
              <w:rPr>
                <w:b/>
                <w:i/>
                <w:iCs/>
                <w:sz w:val="22"/>
                <w:szCs w:val="22"/>
              </w:rPr>
              <w:t>II</w:t>
            </w:r>
            <w:r>
              <w:rPr>
                <w:i/>
                <w:iCs/>
                <w:sz w:val="22"/>
                <w:szCs w:val="22"/>
              </w:rPr>
              <w:t xml:space="preserve">, </w:t>
            </w:r>
            <w:r>
              <w:rPr>
                <w:b/>
                <w:i/>
                <w:iCs/>
                <w:sz w:val="22"/>
                <w:szCs w:val="22"/>
              </w:rPr>
              <w:t>III</w:t>
            </w:r>
          </w:p>
        </w:tc>
        <w:tc>
          <w:tcPr>
            <w:tcW w:w="1134" w:type="dxa"/>
            <w:tcBorders>
              <w:top w:val="single" w:sz="8" w:space="0" w:color="000000"/>
              <w:left w:val="single" w:sz="4" w:space="0" w:color="000000"/>
              <w:bottom w:val="single" w:sz="4" w:space="0" w:color="000000"/>
            </w:tcBorders>
            <w:vAlign w:val="center"/>
          </w:tcPr>
          <w:p w14:paraId="56761C51" w14:textId="77777777" w:rsidR="001C08A5" w:rsidRDefault="001C08A5">
            <w:pPr>
              <w:snapToGrid w:val="0"/>
              <w:jc w:val="center"/>
              <w:rPr>
                <w:b/>
                <w:i/>
                <w:iCs/>
                <w:sz w:val="22"/>
                <w:szCs w:val="22"/>
              </w:rPr>
            </w:pPr>
          </w:p>
          <w:p w14:paraId="0C292EF6" w14:textId="77777777" w:rsidR="001C08A5" w:rsidRDefault="00000000">
            <w:pPr>
              <w:jc w:val="center"/>
              <w:rPr>
                <w:b/>
                <w:i/>
                <w:iCs/>
                <w:sz w:val="22"/>
                <w:szCs w:val="22"/>
              </w:rPr>
            </w:pPr>
            <w:r>
              <w:rPr>
                <w:b/>
                <w:i/>
                <w:iCs/>
                <w:sz w:val="22"/>
                <w:szCs w:val="22"/>
              </w:rPr>
              <w:t>-</w:t>
            </w:r>
          </w:p>
        </w:tc>
        <w:tc>
          <w:tcPr>
            <w:tcW w:w="1276" w:type="dxa"/>
            <w:tcBorders>
              <w:top w:val="single" w:sz="8" w:space="0" w:color="000000"/>
              <w:left w:val="single" w:sz="4" w:space="0" w:color="000000"/>
              <w:bottom w:val="single" w:sz="4" w:space="0" w:color="000000"/>
            </w:tcBorders>
            <w:vAlign w:val="center"/>
          </w:tcPr>
          <w:p w14:paraId="22FB5D8C" w14:textId="77777777" w:rsidR="001C08A5" w:rsidRDefault="00000000">
            <w:pPr>
              <w:jc w:val="center"/>
              <w:rPr>
                <w:bCs/>
                <w:i/>
                <w:iCs/>
                <w:sz w:val="22"/>
                <w:szCs w:val="22"/>
              </w:rPr>
            </w:pPr>
            <w:r>
              <w:rPr>
                <w:b/>
                <w:i/>
                <w:iCs/>
                <w:sz w:val="22"/>
                <w:szCs w:val="22"/>
              </w:rPr>
              <w:t>REI*</w:t>
            </w:r>
          </w:p>
          <w:p w14:paraId="204096F5" w14:textId="77777777" w:rsidR="001C08A5" w:rsidRDefault="00000000">
            <w:pPr>
              <w:jc w:val="center"/>
              <w:rPr>
                <w:bCs/>
                <w:i/>
                <w:iCs/>
                <w:sz w:val="22"/>
                <w:szCs w:val="22"/>
              </w:rPr>
            </w:pPr>
            <w:r>
              <w:rPr>
                <w:b/>
                <w:i/>
                <w:iCs/>
                <w:sz w:val="22"/>
                <w:szCs w:val="22"/>
              </w:rPr>
              <w:t>A1, A2- s1,d0</w:t>
            </w:r>
          </w:p>
        </w:tc>
        <w:tc>
          <w:tcPr>
            <w:tcW w:w="2534" w:type="dxa"/>
            <w:tcBorders>
              <w:top w:val="single" w:sz="8" w:space="0" w:color="000000"/>
              <w:left w:val="single" w:sz="4" w:space="0" w:color="000000"/>
              <w:bottom w:val="single" w:sz="4" w:space="0" w:color="000000"/>
              <w:right w:val="single" w:sz="8" w:space="0" w:color="000000"/>
            </w:tcBorders>
          </w:tcPr>
          <w:p w14:paraId="68EBF956" w14:textId="77777777" w:rsidR="001C08A5" w:rsidRDefault="001C08A5">
            <w:pPr>
              <w:jc w:val="center"/>
              <w:rPr>
                <w:b/>
                <w:i/>
                <w:iCs/>
                <w:sz w:val="22"/>
                <w:szCs w:val="22"/>
              </w:rPr>
            </w:pPr>
          </w:p>
          <w:p w14:paraId="3FC94B42" w14:textId="77777777" w:rsidR="001C08A5" w:rsidRDefault="00000000">
            <w:pPr>
              <w:jc w:val="center"/>
              <w:rPr>
                <w:b/>
                <w:i/>
                <w:iCs/>
                <w:sz w:val="22"/>
                <w:szCs w:val="22"/>
              </w:rPr>
            </w:pPr>
            <w:r>
              <w:rPr>
                <w:b/>
                <w:i/>
                <w:iCs/>
                <w:sz w:val="22"/>
                <w:szCs w:val="22"/>
              </w:rPr>
              <w:t>*</w:t>
            </w:r>
            <w:r>
              <w:rPr>
                <w:i/>
                <w:iCs/>
                <w:sz w:val="22"/>
                <w:szCs w:val="22"/>
              </w:rPr>
              <w:t xml:space="preserve"> Se respectă condiţiile nivelului de stabilitate la incendiu asigurat la construcţie conform </w:t>
            </w:r>
            <w:r>
              <w:rPr>
                <w:b/>
                <w:bCs/>
                <w:i/>
                <w:iCs/>
                <w:sz w:val="22"/>
                <w:szCs w:val="22"/>
              </w:rPr>
              <w:fldChar w:fldCharType="begin"/>
            </w:r>
            <w:r>
              <w:rPr>
                <w:b/>
                <w:bCs/>
                <w:i/>
                <w:iCs/>
                <w:sz w:val="22"/>
                <w:szCs w:val="22"/>
              </w:rPr>
              <w:instrText xml:space="preserve"> REF _Ref26473 \h </w:instrText>
            </w:r>
            <w:r>
              <w:rPr>
                <w:b/>
                <w:bCs/>
                <w:i/>
                <w:iCs/>
                <w:sz w:val="22"/>
                <w:szCs w:val="22"/>
              </w:rPr>
            </w:r>
            <w:r>
              <w:rPr>
                <w:b/>
                <w:bCs/>
                <w:i/>
                <w:iCs/>
                <w:sz w:val="22"/>
                <w:szCs w:val="22"/>
              </w:rPr>
              <w:fldChar w:fldCharType="separate"/>
            </w:r>
            <w:r>
              <w:t>Tabelul 2</w:t>
            </w:r>
            <w:r>
              <w:rPr>
                <w:b/>
                <w:bCs/>
                <w:i/>
                <w:iCs/>
                <w:sz w:val="22"/>
                <w:szCs w:val="22"/>
              </w:rPr>
              <w:fldChar w:fldCharType="end"/>
            </w:r>
          </w:p>
        </w:tc>
      </w:tr>
      <w:tr w:rsidR="001C08A5" w14:paraId="185C4790" w14:textId="77777777">
        <w:trPr>
          <w:jc w:val="center"/>
        </w:trPr>
        <w:tc>
          <w:tcPr>
            <w:tcW w:w="560" w:type="dxa"/>
            <w:vMerge w:val="restart"/>
            <w:tcBorders>
              <w:top w:val="single" w:sz="8" w:space="0" w:color="000000"/>
              <w:left w:val="single" w:sz="8" w:space="0" w:color="000000"/>
            </w:tcBorders>
          </w:tcPr>
          <w:p w14:paraId="77DC5B9F" w14:textId="77777777" w:rsidR="001C08A5" w:rsidRDefault="001C08A5">
            <w:pPr>
              <w:snapToGrid w:val="0"/>
              <w:jc w:val="both"/>
              <w:rPr>
                <w:i/>
                <w:iCs/>
                <w:sz w:val="22"/>
                <w:szCs w:val="22"/>
              </w:rPr>
            </w:pPr>
          </w:p>
          <w:p w14:paraId="5BB3E223" w14:textId="77777777" w:rsidR="001C08A5" w:rsidRDefault="001C08A5">
            <w:pPr>
              <w:jc w:val="both"/>
              <w:rPr>
                <w:i/>
                <w:iCs/>
                <w:sz w:val="22"/>
                <w:szCs w:val="22"/>
              </w:rPr>
            </w:pPr>
          </w:p>
          <w:p w14:paraId="1EF750D4" w14:textId="77777777" w:rsidR="001C08A5" w:rsidRDefault="001C08A5">
            <w:pPr>
              <w:jc w:val="both"/>
              <w:rPr>
                <w:i/>
                <w:iCs/>
                <w:sz w:val="22"/>
                <w:szCs w:val="22"/>
              </w:rPr>
            </w:pPr>
          </w:p>
          <w:p w14:paraId="10E48F03" w14:textId="77777777" w:rsidR="001C08A5" w:rsidRDefault="00000000">
            <w:pPr>
              <w:jc w:val="both"/>
              <w:rPr>
                <w:i/>
                <w:iCs/>
                <w:sz w:val="22"/>
                <w:szCs w:val="22"/>
              </w:rPr>
            </w:pPr>
            <w:r>
              <w:rPr>
                <w:i/>
                <w:iCs/>
                <w:sz w:val="22"/>
                <w:szCs w:val="22"/>
              </w:rPr>
              <w:t>2.</w:t>
            </w:r>
          </w:p>
        </w:tc>
        <w:tc>
          <w:tcPr>
            <w:tcW w:w="2350" w:type="dxa"/>
            <w:vMerge w:val="restart"/>
            <w:tcBorders>
              <w:top w:val="single" w:sz="8" w:space="0" w:color="000000"/>
              <w:left w:val="single" w:sz="4" w:space="0" w:color="000000"/>
            </w:tcBorders>
          </w:tcPr>
          <w:p w14:paraId="2B4F3032" w14:textId="77777777" w:rsidR="001C08A5" w:rsidRDefault="00000000">
            <w:pPr>
              <w:jc w:val="center"/>
              <w:rPr>
                <w:i/>
                <w:iCs/>
                <w:sz w:val="22"/>
                <w:szCs w:val="22"/>
              </w:rPr>
            </w:pPr>
            <w:r>
              <w:rPr>
                <w:i/>
                <w:iCs/>
                <w:sz w:val="22"/>
                <w:szCs w:val="22"/>
              </w:rPr>
              <w:t>Elemente ce separă de restul construcţiei încăperile accesibile publicului din săli polivalente, teatre, cinematogarafe, expoziţii, magazine, centre și complexe comerciale etc., (cu excepţia planşeelor peste subsol)</w:t>
            </w:r>
          </w:p>
        </w:tc>
        <w:tc>
          <w:tcPr>
            <w:tcW w:w="1644" w:type="dxa"/>
            <w:tcBorders>
              <w:top w:val="single" w:sz="8" w:space="0" w:color="000000"/>
              <w:left w:val="single" w:sz="4" w:space="0" w:color="000000"/>
              <w:bottom w:val="single" w:sz="4" w:space="0" w:color="000000"/>
            </w:tcBorders>
            <w:vAlign w:val="center"/>
          </w:tcPr>
          <w:p w14:paraId="17F8BA4B" w14:textId="77777777" w:rsidR="001C08A5" w:rsidRDefault="00000000">
            <w:pPr>
              <w:jc w:val="center"/>
              <w:rPr>
                <w:i/>
                <w:iCs/>
                <w:sz w:val="22"/>
                <w:szCs w:val="22"/>
              </w:rPr>
            </w:pPr>
            <w:r>
              <w:rPr>
                <w:b/>
                <w:i/>
                <w:iCs/>
                <w:sz w:val="22"/>
                <w:szCs w:val="22"/>
              </w:rPr>
              <w:t>I</w:t>
            </w:r>
          </w:p>
          <w:p w14:paraId="3C0F97B4" w14:textId="77777777" w:rsidR="001C08A5" w:rsidRDefault="001C08A5">
            <w:pPr>
              <w:jc w:val="center"/>
              <w:rPr>
                <w:b/>
                <w:i/>
                <w:iCs/>
                <w:sz w:val="22"/>
                <w:szCs w:val="22"/>
              </w:rPr>
            </w:pPr>
          </w:p>
        </w:tc>
        <w:tc>
          <w:tcPr>
            <w:tcW w:w="1134" w:type="dxa"/>
            <w:vMerge w:val="restart"/>
            <w:tcBorders>
              <w:top w:val="single" w:sz="8" w:space="0" w:color="000000"/>
              <w:left w:val="single" w:sz="4" w:space="0" w:color="000000"/>
            </w:tcBorders>
            <w:vAlign w:val="center"/>
          </w:tcPr>
          <w:p w14:paraId="3D3BA0AB" w14:textId="77777777" w:rsidR="001C08A5" w:rsidRDefault="00000000">
            <w:pPr>
              <w:jc w:val="center"/>
              <w:rPr>
                <w:bCs/>
                <w:i/>
                <w:iCs/>
                <w:sz w:val="22"/>
                <w:szCs w:val="22"/>
              </w:rPr>
            </w:pPr>
            <w:r>
              <w:rPr>
                <w:b/>
                <w:i/>
                <w:iCs/>
                <w:sz w:val="22"/>
                <w:szCs w:val="22"/>
              </w:rPr>
              <w:t>EI 120</w:t>
            </w:r>
          </w:p>
          <w:p w14:paraId="338F9684" w14:textId="77777777" w:rsidR="001C08A5" w:rsidRDefault="00000000">
            <w:pPr>
              <w:jc w:val="center"/>
              <w:rPr>
                <w:b/>
                <w:i/>
                <w:iCs/>
                <w:sz w:val="22"/>
                <w:szCs w:val="22"/>
              </w:rPr>
            </w:pPr>
            <w:r>
              <w:rPr>
                <w:b/>
                <w:i/>
                <w:iCs/>
                <w:sz w:val="22"/>
                <w:szCs w:val="22"/>
              </w:rPr>
              <w:t>A1,A2- s1,d0</w:t>
            </w:r>
          </w:p>
        </w:tc>
        <w:tc>
          <w:tcPr>
            <w:tcW w:w="1276" w:type="dxa"/>
            <w:tcBorders>
              <w:top w:val="single" w:sz="8" w:space="0" w:color="000000"/>
              <w:left w:val="single" w:sz="4" w:space="0" w:color="000000"/>
              <w:bottom w:val="single" w:sz="4" w:space="0" w:color="000000"/>
            </w:tcBorders>
            <w:vAlign w:val="center"/>
          </w:tcPr>
          <w:p w14:paraId="268E09FD" w14:textId="77777777" w:rsidR="001C08A5" w:rsidRDefault="00000000">
            <w:pPr>
              <w:jc w:val="center"/>
              <w:rPr>
                <w:b/>
                <w:i/>
                <w:iCs/>
                <w:sz w:val="22"/>
                <w:szCs w:val="22"/>
              </w:rPr>
            </w:pPr>
            <w:r>
              <w:rPr>
                <w:b/>
                <w:i/>
                <w:iCs/>
                <w:sz w:val="22"/>
                <w:szCs w:val="22"/>
              </w:rPr>
              <w:t>REI 90</w:t>
            </w:r>
          </w:p>
          <w:p w14:paraId="3222060E" w14:textId="77777777" w:rsidR="001C08A5" w:rsidRDefault="00000000">
            <w:pPr>
              <w:jc w:val="center"/>
              <w:rPr>
                <w:bCs/>
                <w:i/>
                <w:iCs/>
                <w:sz w:val="22"/>
                <w:szCs w:val="22"/>
              </w:rPr>
            </w:pPr>
            <w:r>
              <w:rPr>
                <w:b/>
                <w:i/>
                <w:iCs/>
                <w:sz w:val="22"/>
                <w:szCs w:val="22"/>
              </w:rPr>
              <w:t>A1, A2- s1,d0</w:t>
            </w:r>
          </w:p>
        </w:tc>
        <w:tc>
          <w:tcPr>
            <w:tcW w:w="2534" w:type="dxa"/>
            <w:vMerge w:val="restart"/>
            <w:tcBorders>
              <w:top w:val="single" w:sz="8" w:space="0" w:color="000000"/>
              <w:left w:val="single" w:sz="4" w:space="0" w:color="000000"/>
              <w:right w:val="single" w:sz="8" w:space="0" w:color="000000"/>
            </w:tcBorders>
          </w:tcPr>
          <w:p w14:paraId="5E4F0413" w14:textId="77777777" w:rsidR="001C08A5" w:rsidRDefault="00000000">
            <w:pPr>
              <w:jc w:val="center"/>
              <w:rPr>
                <w:i/>
                <w:iCs/>
                <w:sz w:val="22"/>
                <w:szCs w:val="22"/>
              </w:rPr>
            </w:pPr>
            <w:r>
              <w:rPr>
                <w:i/>
                <w:iCs/>
                <w:sz w:val="22"/>
                <w:szCs w:val="22"/>
              </w:rPr>
              <w:t>Pentru căile comune de circulaţie funcţională şi evacuare ale acestora se respectă condiţiile de performanță la foc ale pereţilor, uşilor și planşeelor de separare a căilor de circulaţie funcţională şi de evacuare orizontale și verticale, dacă clădirea în care este dispusă sala aglomerată nu impune cerințe mai restrictive.</w:t>
            </w:r>
          </w:p>
        </w:tc>
      </w:tr>
      <w:tr w:rsidR="001C08A5" w14:paraId="2AD7E7AF" w14:textId="77777777">
        <w:trPr>
          <w:cantSplit/>
          <w:trHeight w:val="1407"/>
          <w:jc w:val="center"/>
        </w:trPr>
        <w:tc>
          <w:tcPr>
            <w:tcW w:w="560" w:type="dxa"/>
            <w:vMerge/>
            <w:tcBorders>
              <w:left w:val="single" w:sz="8" w:space="0" w:color="000000"/>
            </w:tcBorders>
          </w:tcPr>
          <w:p w14:paraId="2732200D" w14:textId="77777777" w:rsidR="001C08A5" w:rsidRDefault="001C08A5">
            <w:pPr>
              <w:jc w:val="both"/>
              <w:rPr>
                <w:i/>
                <w:iCs/>
                <w:sz w:val="22"/>
                <w:szCs w:val="22"/>
              </w:rPr>
            </w:pPr>
          </w:p>
        </w:tc>
        <w:tc>
          <w:tcPr>
            <w:tcW w:w="2350" w:type="dxa"/>
            <w:vMerge/>
            <w:tcBorders>
              <w:left w:val="single" w:sz="4" w:space="0" w:color="000000"/>
            </w:tcBorders>
          </w:tcPr>
          <w:p w14:paraId="49046A2A" w14:textId="77777777" w:rsidR="001C08A5" w:rsidRDefault="001C08A5">
            <w:pPr>
              <w:jc w:val="center"/>
              <w:rPr>
                <w:i/>
                <w:iCs/>
                <w:sz w:val="22"/>
                <w:szCs w:val="22"/>
              </w:rPr>
            </w:pPr>
          </w:p>
        </w:tc>
        <w:tc>
          <w:tcPr>
            <w:tcW w:w="1644" w:type="dxa"/>
            <w:tcBorders>
              <w:top w:val="single" w:sz="4" w:space="0" w:color="000000"/>
              <w:left w:val="single" w:sz="4" w:space="0" w:color="000000"/>
              <w:bottom w:val="single" w:sz="4" w:space="0" w:color="000000"/>
            </w:tcBorders>
            <w:vAlign w:val="center"/>
          </w:tcPr>
          <w:p w14:paraId="4969A61F" w14:textId="77777777" w:rsidR="001C08A5" w:rsidRDefault="001C08A5">
            <w:pPr>
              <w:snapToGrid w:val="0"/>
              <w:jc w:val="center"/>
              <w:rPr>
                <w:i/>
                <w:iCs/>
                <w:sz w:val="22"/>
                <w:szCs w:val="22"/>
              </w:rPr>
            </w:pPr>
          </w:p>
          <w:p w14:paraId="7516DD6F" w14:textId="77777777" w:rsidR="001C08A5" w:rsidRDefault="00000000">
            <w:pPr>
              <w:jc w:val="center"/>
              <w:rPr>
                <w:i/>
                <w:iCs/>
                <w:sz w:val="22"/>
                <w:szCs w:val="22"/>
              </w:rPr>
            </w:pPr>
            <w:r>
              <w:rPr>
                <w:b/>
                <w:i/>
                <w:iCs/>
                <w:sz w:val="22"/>
                <w:szCs w:val="22"/>
              </w:rPr>
              <w:t>II</w:t>
            </w:r>
          </w:p>
        </w:tc>
        <w:tc>
          <w:tcPr>
            <w:tcW w:w="1134" w:type="dxa"/>
            <w:vMerge/>
            <w:tcBorders>
              <w:left w:val="single" w:sz="4" w:space="0" w:color="000000"/>
              <w:bottom w:val="single" w:sz="4" w:space="0" w:color="000000"/>
            </w:tcBorders>
            <w:vAlign w:val="center"/>
          </w:tcPr>
          <w:p w14:paraId="0939D3EE" w14:textId="77777777" w:rsidR="001C08A5" w:rsidRDefault="001C08A5">
            <w:pPr>
              <w:jc w:val="center"/>
              <w:rPr>
                <w:b/>
                <w:i/>
                <w:iCs/>
                <w:sz w:val="22"/>
                <w:szCs w:val="22"/>
              </w:rPr>
            </w:pPr>
          </w:p>
        </w:tc>
        <w:tc>
          <w:tcPr>
            <w:tcW w:w="1276" w:type="dxa"/>
            <w:tcBorders>
              <w:top w:val="single" w:sz="4" w:space="0" w:color="000000"/>
              <w:left w:val="single" w:sz="4" w:space="0" w:color="000000"/>
              <w:bottom w:val="single" w:sz="4" w:space="0" w:color="000000"/>
            </w:tcBorders>
            <w:vAlign w:val="center"/>
          </w:tcPr>
          <w:p w14:paraId="0A83F475" w14:textId="77777777" w:rsidR="001C08A5" w:rsidRDefault="00000000">
            <w:pPr>
              <w:jc w:val="center"/>
              <w:rPr>
                <w:bCs/>
                <w:i/>
                <w:iCs/>
                <w:sz w:val="22"/>
                <w:szCs w:val="22"/>
              </w:rPr>
            </w:pPr>
            <w:r>
              <w:rPr>
                <w:b/>
                <w:i/>
                <w:iCs/>
                <w:sz w:val="22"/>
                <w:szCs w:val="22"/>
              </w:rPr>
              <w:t>REI 60</w:t>
            </w:r>
          </w:p>
          <w:p w14:paraId="0345D951" w14:textId="77777777" w:rsidR="001C08A5" w:rsidRDefault="00000000">
            <w:pPr>
              <w:jc w:val="center"/>
              <w:rPr>
                <w:i/>
                <w:iCs/>
                <w:sz w:val="22"/>
                <w:szCs w:val="22"/>
              </w:rPr>
            </w:pPr>
            <w:r>
              <w:rPr>
                <w:b/>
                <w:i/>
                <w:iCs/>
                <w:sz w:val="22"/>
                <w:szCs w:val="22"/>
              </w:rPr>
              <w:t>A1, A2- s1,d0</w:t>
            </w:r>
          </w:p>
        </w:tc>
        <w:tc>
          <w:tcPr>
            <w:tcW w:w="2534" w:type="dxa"/>
            <w:vMerge/>
            <w:tcBorders>
              <w:left w:val="single" w:sz="4" w:space="0" w:color="000000"/>
              <w:right w:val="single" w:sz="8" w:space="0" w:color="000000"/>
            </w:tcBorders>
          </w:tcPr>
          <w:p w14:paraId="29AE9D5E" w14:textId="77777777" w:rsidR="001C08A5" w:rsidRDefault="001C08A5">
            <w:pPr>
              <w:jc w:val="center"/>
              <w:rPr>
                <w:i/>
                <w:iCs/>
                <w:sz w:val="22"/>
                <w:szCs w:val="22"/>
              </w:rPr>
            </w:pPr>
          </w:p>
        </w:tc>
      </w:tr>
      <w:tr w:rsidR="001C08A5" w14:paraId="43097723" w14:textId="77777777">
        <w:trPr>
          <w:cantSplit/>
          <w:trHeight w:val="675"/>
          <w:jc w:val="center"/>
        </w:trPr>
        <w:tc>
          <w:tcPr>
            <w:tcW w:w="560" w:type="dxa"/>
            <w:vMerge/>
            <w:tcBorders>
              <w:left w:val="single" w:sz="8" w:space="0" w:color="000000"/>
              <w:bottom w:val="single" w:sz="4" w:space="0" w:color="000000"/>
            </w:tcBorders>
          </w:tcPr>
          <w:p w14:paraId="37DFE876" w14:textId="77777777" w:rsidR="001C08A5" w:rsidRDefault="001C08A5">
            <w:pPr>
              <w:snapToGrid w:val="0"/>
              <w:jc w:val="both"/>
              <w:rPr>
                <w:i/>
                <w:iCs/>
                <w:sz w:val="22"/>
                <w:szCs w:val="22"/>
              </w:rPr>
            </w:pPr>
          </w:p>
        </w:tc>
        <w:tc>
          <w:tcPr>
            <w:tcW w:w="2350" w:type="dxa"/>
            <w:vMerge/>
            <w:tcBorders>
              <w:left w:val="single" w:sz="4" w:space="0" w:color="000000"/>
              <w:bottom w:val="single" w:sz="4" w:space="0" w:color="000000"/>
            </w:tcBorders>
          </w:tcPr>
          <w:p w14:paraId="23E5C013" w14:textId="77777777" w:rsidR="001C08A5" w:rsidRDefault="001C08A5">
            <w:pPr>
              <w:snapToGrid w:val="0"/>
              <w:jc w:val="center"/>
              <w:rPr>
                <w:i/>
                <w:iCs/>
                <w:sz w:val="22"/>
                <w:szCs w:val="22"/>
              </w:rPr>
            </w:pPr>
          </w:p>
        </w:tc>
        <w:tc>
          <w:tcPr>
            <w:tcW w:w="1644" w:type="dxa"/>
            <w:tcBorders>
              <w:top w:val="single" w:sz="4" w:space="0" w:color="000000"/>
              <w:left w:val="single" w:sz="4" w:space="0" w:color="000000"/>
              <w:bottom w:val="single" w:sz="4" w:space="0" w:color="000000"/>
            </w:tcBorders>
            <w:vAlign w:val="center"/>
          </w:tcPr>
          <w:p w14:paraId="40065E23" w14:textId="77777777" w:rsidR="001C08A5" w:rsidRDefault="001C08A5">
            <w:pPr>
              <w:snapToGrid w:val="0"/>
              <w:jc w:val="center"/>
              <w:rPr>
                <w:i/>
                <w:iCs/>
                <w:sz w:val="22"/>
                <w:szCs w:val="22"/>
              </w:rPr>
            </w:pPr>
          </w:p>
          <w:p w14:paraId="4F563842" w14:textId="77777777" w:rsidR="001C08A5" w:rsidRDefault="00000000">
            <w:pPr>
              <w:jc w:val="center"/>
              <w:rPr>
                <w:b/>
                <w:i/>
                <w:iCs/>
                <w:sz w:val="22"/>
                <w:szCs w:val="22"/>
              </w:rPr>
            </w:pPr>
            <w:r>
              <w:rPr>
                <w:b/>
                <w:i/>
                <w:iCs/>
                <w:sz w:val="22"/>
                <w:szCs w:val="22"/>
              </w:rPr>
              <w:t>III</w:t>
            </w:r>
          </w:p>
        </w:tc>
        <w:tc>
          <w:tcPr>
            <w:tcW w:w="1134" w:type="dxa"/>
            <w:tcBorders>
              <w:top w:val="single" w:sz="4" w:space="0" w:color="000000"/>
              <w:left w:val="single" w:sz="4" w:space="0" w:color="000000"/>
              <w:bottom w:val="single" w:sz="4" w:space="0" w:color="000000"/>
            </w:tcBorders>
            <w:vAlign w:val="center"/>
          </w:tcPr>
          <w:p w14:paraId="39B92A1F" w14:textId="77777777" w:rsidR="001C08A5" w:rsidRDefault="00000000">
            <w:pPr>
              <w:jc w:val="center"/>
              <w:rPr>
                <w:bCs/>
                <w:i/>
                <w:iCs/>
                <w:sz w:val="22"/>
                <w:szCs w:val="22"/>
              </w:rPr>
            </w:pPr>
            <w:r>
              <w:rPr>
                <w:b/>
                <w:i/>
                <w:iCs/>
                <w:sz w:val="22"/>
                <w:szCs w:val="22"/>
              </w:rPr>
              <w:t>EI 60</w:t>
            </w:r>
          </w:p>
          <w:p w14:paraId="0F91C18E" w14:textId="77777777" w:rsidR="001C08A5" w:rsidRDefault="00000000">
            <w:pPr>
              <w:jc w:val="center"/>
              <w:rPr>
                <w:b/>
                <w:i/>
                <w:iCs/>
                <w:sz w:val="22"/>
                <w:szCs w:val="22"/>
              </w:rPr>
            </w:pPr>
            <w:r>
              <w:rPr>
                <w:b/>
                <w:i/>
                <w:iCs/>
                <w:sz w:val="22"/>
                <w:szCs w:val="22"/>
              </w:rPr>
              <w:t>A1, A2- s1,d0</w:t>
            </w:r>
          </w:p>
        </w:tc>
        <w:tc>
          <w:tcPr>
            <w:tcW w:w="1276" w:type="dxa"/>
            <w:tcBorders>
              <w:top w:val="single" w:sz="4" w:space="0" w:color="000000"/>
              <w:left w:val="single" w:sz="4" w:space="0" w:color="000000"/>
              <w:bottom w:val="single" w:sz="4" w:space="0" w:color="000000"/>
            </w:tcBorders>
            <w:vAlign w:val="center"/>
          </w:tcPr>
          <w:p w14:paraId="65BB1357" w14:textId="77777777" w:rsidR="001C08A5" w:rsidRDefault="00000000">
            <w:pPr>
              <w:jc w:val="center"/>
              <w:rPr>
                <w:bCs/>
                <w:i/>
                <w:iCs/>
                <w:sz w:val="22"/>
                <w:szCs w:val="22"/>
              </w:rPr>
            </w:pPr>
            <w:r>
              <w:rPr>
                <w:b/>
                <w:i/>
                <w:iCs/>
                <w:sz w:val="22"/>
                <w:szCs w:val="22"/>
              </w:rPr>
              <w:t>REI 45</w:t>
            </w:r>
          </w:p>
          <w:p w14:paraId="54E1D7A2" w14:textId="77777777" w:rsidR="001C08A5" w:rsidRDefault="00000000">
            <w:pPr>
              <w:jc w:val="center"/>
              <w:rPr>
                <w:b/>
                <w:i/>
                <w:iCs/>
                <w:sz w:val="22"/>
                <w:szCs w:val="22"/>
              </w:rPr>
            </w:pPr>
            <w:r>
              <w:rPr>
                <w:b/>
                <w:i/>
                <w:iCs/>
                <w:sz w:val="22"/>
                <w:szCs w:val="22"/>
              </w:rPr>
              <w:t>A1, A2- s1,d0</w:t>
            </w:r>
          </w:p>
        </w:tc>
        <w:tc>
          <w:tcPr>
            <w:tcW w:w="2534" w:type="dxa"/>
            <w:vMerge/>
            <w:tcBorders>
              <w:left w:val="single" w:sz="4" w:space="0" w:color="000000"/>
              <w:bottom w:val="single" w:sz="4" w:space="0" w:color="000000"/>
              <w:right w:val="single" w:sz="8" w:space="0" w:color="000000"/>
            </w:tcBorders>
          </w:tcPr>
          <w:p w14:paraId="771A3252" w14:textId="77777777" w:rsidR="001C08A5" w:rsidRDefault="001C08A5">
            <w:pPr>
              <w:snapToGrid w:val="0"/>
              <w:jc w:val="both"/>
              <w:rPr>
                <w:i/>
                <w:iCs/>
                <w:sz w:val="22"/>
                <w:szCs w:val="22"/>
              </w:rPr>
            </w:pPr>
          </w:p>
        </w:tc>
      </w:tr>
      <w:tr w:rsidR="001C08A5" w14:paraId="0BCA50A3" w14:textId="77777777">
        <w:trPr>
          <w:trHeight w:val="980"/>
          <w:jc w:val="center"/>
        </w:trPr>
        <w:tc>
          <w:tcPr>
            <w:tcW w:w="560" w:type="dxa"/>
            <w:vMerge w:val="restart"/>
            <w:tcBorders>
              <w:top w:val="single" w:sz="4" w:space="0" w:color="000000"/>
              <w:left w:val="single" w:sz="8" w:space="0" w:color="000000"/>
              <w:bottom w:val="single" w:sz="4" w:space="0" w:color="000000"/>
            </w:tcBorders>
          </w:tcPr>
          <w:p w14:paraId="5D2C6396" w14:textId="77777777" w:rsidR="001C08A5" w:rsidRDefault="001C08A5">
            <w:pPr>
              <w:snapToGrid w:val="0"/>
              <w:jc w:val="both"/>
              <w:rPr>
                <w:i/>
                <w:iCs/>
                <w:sz w:val="22"/>
                <w:szCs w:val="22"/>
              </w:rPr>
            </w:pPr>
          </w:p>
          <w:p w14:paraId="0AF56496" w14:textId="77777777" w:rsidR="001C08A5" w:rsidRDefault="001C08A5">
            <w:pPr>
              <w:jc w:val="both"/>
              <w:rPr>
                <w:i/>
                <w:iCs/>
                <w:sz w:val="22"/>
                <w:szCs w:val="22"/>
              </w:rPr>
            </w:pPr>
          </w:p>
          <w:p w14:paraId="032081F9" w14:textId="77777777" w:rsidR="001C08A5" w:rsidRDefault="001C08A5">
            <w:pPr>
              <w:jc w:val="both"/>
              <w:rPr>
                <w:i/>
                <w:iCs/>
                <w:sz w:val="22"/>
                <w:szCs w:val="22"/>
              </w:rPr>
            </w:pPr>
          </w:p>
          <w:p w14:paraId="1126D8C5" w14:textId="77777777" w:rsidR="001C08A5" w:rsidRDefault="00000000">
            <w:pPr>
              <w:jc w:val="both"/>
              <w:rPr>
                <w:i/>
                <w:iCs/>
                <w:sz w:val="22"/>
                <w:szCs w:val="22"/>
              </w:rPr>
            </w:pPr>
            <w:r>
              <w:rPr>
                <w:i/>
                <w:iCs/>
                <w:sz w:val="22"/>
                <w:szCs w:val="22"/>
              </w:rPr>
              <w:t>3.</w:t>
            </w:r>
          </w:p>
        </w:tc>
        <w:tc>
          <w:tcPr>
            <w:tcW w:w="2350" w:type="dxa"/>
            <w:vMerge w:val="restart"/>
            <w:tcBorders>
              <w:top w:val="single" w:sz="4" w:space="0" w:color="000000"/>
              <w:left w:val="single" w:sz="4" w:space="0" w:color="000000"/>
              <w:bottom w:val="single" w:sz="4" w:space="0" w:color="000000"/>
            </w:tcBorders>
          </w:tcPr>
          <w:p w14:paraId="1A56B099" w14:textId="77777777" w:rsidR="001C08A5" w:rsidRDefault="00000000">
            <w:pPr>
              <w:jc w:val="center"/>
              <w:rPr>
                <w:i/>
                <w:iCs/>
                <w:sz w:val="22"/>
                <w:szCs w:val="22"/>
              </w:rPr>
            </w:pPr>
            <w:r>
              <w:rPr>
                <w:i/>
                <w:iCs/>
                <w:sz w:val="22"/>
                <w:szCs w:val="22"/>
              </w:rPr>
              <w:t>Planşeele peste subsol sau demisol, la încăperile accesibile publicului şi la căile lor comune de circulaţie funcţională și de evacuare, precum şi la ateliere</w:t>
            </w:r>
          </w:p>
        </w:tc>
        <w:tc>
          <w:tcPr>
            <w:tcW w:w="1644" w:type="dxa"/>
            <w:tcBorders>
              <w:top w:val="single" w:sz="4" w:space="0" w:color="000000"/>
              <w:left w:val="single" w:sz="4" w:space="0" w:color="000000"/>
              <w:bottom w:val="single" w:sz="4" w:space="0" w:color="000000"/>
            </w:tcBorders>
            <w:vAlign w:val="center"/>
          </w:tcPr>
          <w:p w14:paraId="0AC19C73" w14:textId="77777777" w:rsidR="001C08A5" w:rsidRDefault="001C08A5">
            <w:pPr>
              <w:snapToGrid w:val="0"/>
              <w:jc w:val="center"/>
              <w:rPr>
                <w:i/>
                <w:iCs/>
                <w:sz w:val="22"/>
                <w:szCs w:val="22"/>
              </w:rPr>
            </w:pPr>
          </w:p>
          <w:p w14:paraId="409BAA77" w14:textId="77777777" w:rsidR="001C08A5" w:rsidRDefault="00000000">
            <w:pPr>
              <w:jc w:val="center"/>
              <w:rPr>
                <w:i/>
                <w:iCs/>
                <w:sz w:val="22"/>
                <w:szCs w:val="22"/>
              </w:rPr>
            </w:pPr>
            <w:r>
              <w:rPr>
                <w:b/>
                <w:i/>
                <w:iCs/>
                <w:sz w:val="22"/>
                <w:szCs w:val="22"/>
              </w:rPr>
              <w:t>I</w:t>
            </w:r>
            <w:r>
              <w:rPr>
                <w:i/>
                <w:iCs/>
                <w:sz w:val="22"/>
                <w:szCs w:val="22"/>
              </w:rPr>
              <w:t xml:space="preserve">, </w:t>
            </w:r>
            <w:r>
              <w:rPr>
                <w:b/>
                <w:i/>
                <w:iCs/>
                <w:sz w:val="22"/>
                <w:szCs w:val="22"/>
              </w:rPr>
              <w:t>II</w:t>
            </w:r>
          </w:p>
          <w:p w14:paraId="2EE76409" w14:textId="77777777" w:rsidR="001C08A5" w:rsidRDefault="001C08A5">
            <w:pPr>
              <w:jc w:val="center"/>
              <w:rPr>
                <w:i/>
                <w:iCs/>
                <w:sz w:val="22"/>
                <w:szCs w:val="22"/>
              </w:rPr>
            </w:pPr>
          </w:p>
        </w:tc>
        <w:tc>
          <w:tcPr>
            <w:tcW w:w="1134" w:type="dxa"/>
            <w:tcBorders>
              <w:top w:val="single" w:sz="4" w:space="0" w:color="000000"/>
              <w:left w:val="single" w:sz="4" w:space="0" w:color="000000"/>
              <w:bottom w:val="single" w:sz="4" w:space="0" w:color="000000"/>
            </w:tcBorders>
            <w:vAlign w:val="center"/>
          </w:tcPr>
          <w:p w14:paraId="7DF567B6" w14:textId="77777777" w:rsidR="001C08A5" w:rsidRDefault="001C08A5">
            <w:pPr>
              <w:snapToGrid w:val="0"/>
              <w:jc w:val="center"/>
              <w:rPr>
                <w:b/>
                <w:i/>
                <w:iCs/>
                <w:sz w:val="22"/>
                <w:szCs w:val="22"/>
              </w:rPr>
            </w:pPr>
          </w:p>
          <w:p w14:paraId="4A98A508" w14:textId="77777777" w:rsidR="001C08A5" w:rsidRDefault="00000000">
            <w:pPr>
              <w:jc w:val="center"/>
              <w:rPr>
                <w:b/>
                <w:i/>
                <w:iCs/>
                <w:sz w:val="22"/>
                <w:szCs w:val="22"/>
              </w:rPr>
            </w:pPr>
            <w:r>
              <w:rPr>
                <w:b/>
                <w:i/>
                <w:iCs/>
                <w:sz w:val="22"/>
                <w:szCs w:val="22"/>
              </w:rPr>
              <w:t>-</w:t>
            </w:r>
          </w:p>
        </w:tc>
        <w:tc>
          <w:tcPr>
            <w:tcW w:w="1276" w:type="dxa"/>
            <w:tcBorders>
              <w:top w:val="single" w:sz="4" w:space="0" w:color="000000"/>
              <w:left w:val="single" w:sz="4" w:space="0" w:color="000000"/>
              <w:bottom w:val="single" w:sz="4" w:space="0" w:color="000000"/>
            </w:tcBorders>
            <w:vAlign w:val="center"/>
          </w:tcPr>
          <w:p w14:paraId="5CFFFDBE" w14:textId="77777777" w:rsidR="001C08A5" w:rsidRDefault="00000000">
            <w:pPr>
              <w:jc w:val="center"/>
              <w:rPr>
                <w:bCs/>
                <w:i/>
                <w:iCs/>
                <w:sz w:val="22"/>
                <w:szCs w:val="22"/>
              </w:rPr>
            </w:pPr>
            <w:r>
              <w:rPr>
                <w:b/>
                <w:i/>
                <w:iCs/>
                <w:sz w:val="22"/>
                <w:szCs w:val="22"/>
              </w:rPr>
              <w:t>REI 180</w:t>
            </w:r>
          </w:p>
          <w:p w14:paraId="63B65A0F" w14:textId="77777777" w:rsidR="001C08A5" w:rsidRDefault="00000000">
            <w:pPr>
              <w:jc w:val="center"/>
              <w:rPr>
                <w:i/>
                <w:iCs/>
                <w:sz w:val="22"/>
                <w:szCs w:val="22"/>
              </w:rPr>
            </w:pPr>
            <w:r>
              <w:rPr>
                <w:b/>
                <w:i/>
                <w:iCs/>
                <w:sz w:val="22"/>
                <w:szCs w:val="22"/>
              </w:rPr>
              <w:t>A1, A2- s1,d0</w:t>
            </w:r>
          </w:p>
        </w:tc>
        <w:tc>
          <w:tcPr>
            <w:tcW w:w="2534" w:type="dxa"/>
            <w:vMerge w:val="restart"/>
            <w:tcBorders>
              <w:top w:val="single" w:sz="4" w:space="0" w:color="000000"/>
              <w:left w:val="single" w:sz="4" w:space="0" w:color="000000"/>
              <w:bottom w:val="single" w:sz="4" w:space="0" w:color="000000"/>
              <w:right w:val="single" w:sz="8" w:space="0" w:color="000000"/>
            </w:tcBorders>
          </w:tcPr>
          <w:p w14:paraId="65A9CAD6" w14:textId="77777777" w:rsidR="001C08A5" w:rsidRDefault="001C08A5">
            <w:pPr>
              <w:jc w:val="center"/>
              <w:rPr>
                <w:i/>
                <w:iCs/>
                <w:sz w:val="22"/>
                <w:szCs w:val="22"/>
              </w:rPr>
            </w:pPr>
          </w:p>
          <w:p w14:paraId="3DD76855" w14:textId="77777777" w:rsidR="001C08A5" w:rsidRDefault="00000000">
            <w:pPr>
              <w:jc w:val="center"/>
              <w:rPr>
                <w:i/>
                <w:iCs/>
                <w:sz w:val="22"/>
                <w:szCs w:val="22"/>
              </w:rPr>
            </w:pPr>
            <w:r>
              <w:rPr>
                <w:i/>
                <w:iCs/>
                <w:sz w:val="22"/>
                <w:szCs w:val="22"/>
              </w:rPr>
              <w:t xml:space="preserve">În săli de alimentaţie publică, pot fi </w:t>
            </w:r>
            <w:r>
              <w:rPr>
                <w:b/>
                <w:i/>
                <w:iCs/>
                <w:sz w:val="22"/>
                <w:szCs w:val="22"/>
              </w:rPr>
              <w:t>REI 60</w:t>
            </w:r>
            <w:r>
              <w:rPr>
                <w:i/>
                <w:iCs/>
                <w:sz w:val="22"/>
                <w:szCs w:val="22"/>
              </w:rPr>
              <w:t>, cu excepţia planşeelor peste parcaje şi depozite de materiale combustibile</w:t>
            </w:r>
          </w:p>
        </w:tc>
      </w:tr>
      <w:tr w:rsidR="001C08A5" w14:paraId="11271C14" w14:textId="77777777">
        <w:trPr>
          <w:trHeight w:val="850"/>
          <w:jc w:val="center"/>
        </w:trPr>
        <w:tc>
          <w:tcPr>
            <w:tcW w:w="560" w:type="dxa"/>
            <w:vMerge/>
            <w:tcBorders>
              <w:top w:val="single" w:sz="4" w:space="0" w:color="000000"/>
              <w:left w:val="single" w:sz="8" w:space="0" w:color="000000"/>
              <w:bottom w:val="single" w:sz="4" w:space="0" w:color="000000"/>
            </w:tcBorders>
          </w:tcPr>
          <w:p w14:paraId="6B8422D4" w14:textId="77777777" w:rsidR="001C08A5" w:rsidRDefault="001C08A5">
            <w:pPr>
              <w:snapToGrid w:val="0"/>
              <w:jc w:val="both"/>
              <w:rPr>
                <w:i/>
                <w:iCs/>
                <w:sz w:val="22"/>
                <w:szCs w:val="22"/>
              </w:rPr>
            </w:pPr>
          </w:p>
        </w:tc>
        <w:tc>
          <w:tcPr>
            <w:tcW w:w="2350" w:type="dxa"/>
            <w:vMerge/>
            <w:tcBorders>
              <w:top w:val="single" w:sz="4" w:space="0" w:color="000000"/>
              <w:left w:val="single" w:sz="4" w:space="0" w:color="000000"/>
              <w:bottom w:val="single" w:sz="4" w:space="0" w:color="000000"/>
            </w:tcBorders>
          </w:tcPr>
          <w:p w14:paraId="4738FFE6" w14:textId="77777777" w:rsidR="001C08A5" w:rsidRDefault="001C08A5">
            <w:pPr>
              <w:jc w:val="center"/>
              <w:rPr>
                <w:i/>
                <w:iCs/>
                <w:sz w:val="22"/>
                <w:szCs w:val="22"/>
              </w:rPr>
            </w:pPr>
          </w:p>
        </w:tc>
        <w:tc>
          <w:tcPr>
            <w:tcW w:w="1644" w:type="dxa"/>
            <w:tcBorders>
              <w:top w:val="single" w:sz="4" w:space="0" w:color="000000"/>
              <w:left w:val="single" w:sz="4" w:space="0" w:color="000000"/>
              <w:bottom w:val="single" w:sz="4" w:space="0" w:color="000000"/>
            </w:tcBorders>
            <w:vAlign w:val="center"/>
          </w:tcPr>
          <w:p w14:paraId="70BDEF25" w14:textId="77777777" w:rsidR="001C08A5" w:rsidRDefault="001C08A5">
            <w:pPr>
              <w:snapToGrid w:val="0"/>
              <w:jc w:val="center"/>
              <w:rPr>
                <w:i/>
                <w:iCs/>
                <w:sz w:val="22"/>
                <w:szCs w:val="22"/>
              </w:rPr>
            </w:pPr>
          </w:p>
          <w:p w14:paraId="418C616B" w14:textId="77777777" w:rsidR="001C08A5" w:rsidRDefault="00000000">
            <w:pPr>
              <w:jc w:val="center"/>
              <w:rPr>
                <w:b/>
                <w:i/>
                <w:iCs/>
                <w:sz w:val="22"/>
                <w:szCs w:val="22"/>
              </w:rPr>
            </w:pPr>
            <w:r>
              <w:rPr>
                <w:b/>
                <w:i/>
                <w:iCs/>
                <w:sz w:val="22"/>
                <w:szCs w:val="22"/>
              </w:rPr>
              <w:t>III</w:t>
            </w:r>
          </w:p>
        </w:tc>
        <w:tc>
          <w:tcPr>
            <w:tcW w:w="1134" w:type="dxa"/>
            <w:tcBorders>
              <w:top w:val="single" w:sz="4" w:space="0" w:color="000000"/>
              <w:left w:val="single" w:sz="4" w:space="0" w:color="000000"/>
              <w:bottom w:val="single" w:sz="4" w:space="0" w:color="000000"/>
            </w:tcBorders>
            <w:vAlign w:val="center"/>
          </w:tcPr>
          <w:p w14:paraId="41820CD4" w14:textId="77777777" w:rsidR="001C08A5" w:rsidRDefault="001C08A5">
            <w:pPr>
              <w:snapToGrid w:val="0"/>
              <w:jc w:val="center"/>
              <w:rPr>
                <w:b/>
                <w:i/>
                <w:iCs/>
                <w:sz w:val="22"/>
                <w:szCs w:val="22"/>
              </w:rPr>
            </w:pPr>
          </w:p>
          <w:p w14:paraId="3532FB61" w14:textId="77777777" w:rsidR="001C08A5" w:rsidRDefault="00000000">
            <w:pPr>
              <w:jc w:val="center"/>
              <w:rPr>
                <w:b/>
                <w:i/>
                <w:iCs/>
                <w:sz w:val="22"/>
                <w:szCs w:val="22"/>
              </w:rPr>
            </w:pPr>
            <w:r>
              <w:rPr>
                <w:b/>
                <w:i/>
                <w:iCs/>
                <w:sz w:val="22"/>
                <w:szCs w:val="22"/>
              </w:rPr>
              <w:t>-</w:t>
            </w:r>
          </w:p>
        </w:tc>
        <w:tc>
          <w:tcPr>
            <w:tcW w:w="1276" w:type="dxa"/>
            <w:tcBorders>
              <w:top w:val="single" w:sz="4" w:space="0" w:color="000000"/>
              <w:left w:val="single" w:sz="4" w:space="0" w:color="000000"/>
              <w:bottom w:val="single" w:sz="4" w:space="0" w:color="000000"/>
            </w:tcBorders>
            <w:vAlign w:val="center"/>
          </w:tcPr>
          <w:p w14:paraId="7FE29452" w14:textId="77777777" w:rsidR="001C08A5" w:rsidRDefault="00000000">
            <w:pPr>
              <w:jc w:val="center"/>
              <w:rPr>
                <w:bCs/>
                <w:i/>
                <w:iCs/>
                <w:sz w:val="22"/>
                <w:szCs w:val="22"/>
              </w:rPr>
            </w:pPr>
            <w:r>
              <w:rPr>
                <w:b/>
                <w:i/>
                <w:iCs/>
                <w:sz w:val="22"/>
                <w:szCs w:val="22"/>
              </w:rPr>
              <w:t>REI 120</w:t>
            </w:r>
          </w:p>
          <w:p w14:paraId="3261170F" w14:textId="77777777" w:rsidR="001C08A5" w:rsidRDefault="00000000">
            <w:pPr>
              <w:jc w:val="center"/>
              <w:rPr>
                <w:i/>
                <w:iCs/>
                <w:sz w:val="22"/>
                <w:szCs w:val="22"/>
              </w:rPr>
            </w:pPr>
            <w:r>
              <w:rPr>
                <w:b/>
                <w:i/>
                <w:iCs/>
                <w:sz w:val="22"/>
                <w:szCs w:val="22"/>
              </w:rPr>
              <w:t>A1, A2- s1,d0</w:t>
            </w:r>
          </w:p>
        </w:tc>
        <w:tc>
          <w:tcPr>
            <w:tcW w:w="2534" w:type="dxa"/>
            <w:vMerge/>
            <w:tcBorders>
              <w:top w:val="single" w:sz="4" w:space="0" w:color="000000"/>
              <w:left w:val="single" w:sz="4" w:space="0" w:color="000000"/>
              <w:bottom w:val="single" w:sz="4" w:space="0" w:color="000000"/>
              <w:right w:val="single" w:sz="8" w:space="0" w:color="000000"/>
            </w:tcBorders>
          </w:tcPr>
          <w:p w14:paraId="51BE6B4C" w14:textId="77777777" w:rsidR="001C08A5" w:rsidRDefault="001C08A5">
            <w:pPr>
              <w:snapToGrid w:val="0"/>
              <w:jc w:val="both"/>
              <w:rPr>
                <w:i/>
                <w:iCs/>
                <w:sz w:val="22"/>
                <w:szCs w:val="22"/>
              </w:rPr>
            </w:pPr>
          </w:p>
        </w:tc>
      </w:tr>
      <w:tr w:rsidR="001C08A5" w14:paraId="0FBE226A" w14:textId="77777777">
        <w:trPr>
          <w:trHeight w:val="1203"/>
          <w:jc w:val="center"/>
        </w:trPr>
        <w:tc>
          <w:tcPr>
            <w:tcW w:w="560" w:type="dxa"/>
            <w:tcBorders>
              <w:top w:val="single" w:sz="4" w:space="0" w:color="000000"/>
              <w:left w:val="single" w:sz="8" w:space="0" w:color="000000"/>
              <w:bottom w:val="single" w:sz="8" w:space="0" w:color="000000"/>
            </w:tcBorders>
          </w:tcPr>
          <w:p w14:paraId="246CDA19" w14:textId="77777777" w:rsidR="001C08A5" w:rsidRDefault="001C08A5">
            <w:pPr>
              <w:snapToGrid w:val="0"/>
              <w:jc w:val="both"/>
              <w:rPr>
                <w:i/>
                <w:iCs/>
                <w:sz w:val="22"/>
                <w:szCs w:val="22"/>
              </w:rPr>
            </w:pPr>
          </w:p>
          <w:p w14:paraId="7EF7B8B6" w14:textId="77777777" w:rsidR="001C08A5" w:rsidRDefault="001C08A5">
            <w:pPr>
              <w:jc w:val="both"/>
              <w:rPr>
                <w:i/>
                <w:iCs/>
                <w:sz w:val="22"/>
                <w:szCs w:val="22"/>
              </w:rPr>
            </w:pPr>
          </w:p>
          <w:p w14:paraId="007610D6" w14:textId="77777777" w:rsidR="001C08A5" w:rsidRDefault="00000000">
            <w:pPr>
              <w:jc w:val="both"/>
              <w:rPr>
                <w:i/>
                <w:iCs/>
                <w:sz w:val="22"/>
                <w:szCs w:val="22"/>
              </w:rPr>
            </w:pPr>
            <w:r>
              <w:rPr>
                <w:i/>
                <w:iCs/>
                <w:sz w:val="22"/>
                <w:szCs w:val="22"/>
              </w:rPr>
              <w:t>4.</w:t>
            </w:r>
          </w:p>
        </w:tc>
        <w:tc>
          <w:tcPr>
            <w:tcW w:w="2350" w:type="dxa"/>
            <w:tcBorders>
              <w:top w:val="single" w:sz="4" w:space="0" w:color="000000"/>
              <w:left w:val="single" w:sz="4" w:space="0" w:color="000000"/>
              <w:bottom w:val="single" w:sz="8" w:space="0" w:color="000000"/>
            </w:tcBorders>
          </w:tcPr>
          <w:p w14:paraId="4C7098D0" w14:textId="77777777" w:rsidR="001C08A5" w:rsidRDefault="00000000">
            <w:pPr>
              <w:jc w:val="center"/>
              <w:rPr>
                <w:i/>
                <w:iCs/>
                <w:sz w:val="22"/>
                <w:szCs w:val="22"/>
              </w:rPr>
            </w:pPr>
            <w:r>
              <w:rPr>
                <w:i/>
                <w:iCs/>
                <w:sz w:val="22"/>
                <w:szCs w:val="22"/>
              </w:rPr>
              <w:t>Elemente de separare între depozitele de materiale şi/sau substanţe combustibile aferente sălii aglomerate şi restul construcţiei</w:t>
            </w:r>
          </w:p>
        </w:tc>
        <w:tc>
          <w:tcPr>
            <w:tcW w:w="1644" w:type="dxa"/>
            <w:tcBorders>
              <w:top w:val="single" w:sz="4" w:space="0" w:color="000000"/>
              <w:left w:val="single" w:sz="4" w:space="0" w:color="000000"/>
              <w:bottom w:val="single" w:sz="8" w:space="0" w:color="000000"/>
            </w:tcBorders>
            <w:vAlign w:val="center"/>
          </w:tcPr>
          <w:p w14:paraId="16A350D0" w14:textId="77777777" w:rsidR="001C08A5" w:rsidRDefault="001C08A5">
            <w:pPr>
              <w:snapToGrid w:val="0"/>
              <w:jc w:val="center"/>
              <w:rPr>
                <w:b/>
                <w:i/>
                <w:iCs/>
                <w:sz w:val="22"/>
                <w:szCs w:val="22"/>
              </w:rPr>
            </w:pPr>
          </w:p>
          <w:p w14:paraId="125FF410" w14:textId="77777777" w:rsidR="001C08A5" w:rsidRDefault="00000000">
            <w:pPr>
              <w:jc w:val="center"/>
              <w:rPr>
                <w:i/>
                <w:iCs/>
                <w:sz w:val="22"/>
                <w:szCs w:val="22"/>
              </w:rPr>
            </w:pPr>
            <w:r>
              <w:rPr>
                <w:b/>
                <w:i/>
                <w:iCs/>
                <w:sz w:val="22"/>
                <w:szCs w:val="22"/>
              </w:rPr>
              <w:t>I</w:t>
            </w:r>
            <w:r>
              <w:rPr>
                <w:i/>
                <w:iCs/>
                <w:sz w:val="22"/>
                <w:szCs w:val="22"/>
              </w:rPr>
              <w:t xml:space="preserve">, </w:t>
            </w:r>
            <w:r>
              <w:rPr>
                <w:b/>
                <w:i/>
                <w:iCs/>
                <w:sz w:val="22"/>
                <w:szCs w:val="22"/>
              </w:rPr>
              <w:t>II</w:t>
            </w:r>
            <w:r>
              <w:rPr>
                <w:i/>
                <w:iCs/>
                <w:sz w:val="22"/>
                <w:szCs w:val="22"/>
              </w:rPr>
              <w:t xml:space="preserve">, </w:t>
            </w:r>
            <w:r>
              <w:rPr>
                <w:b/>
                <w:i/>
                <w:iCs/>
                <w:sz w:val="22"/>
                <w:szCs w:val="22"/>
              </w:rPr>
              <w:t>III</w:t>
            </w:r>
          </w:p>
        </w:tc>
        <w:tc>
          <w:tcPr>
            <w:tcW w:w="1134" w:type="dxa"/>
            <w:tcBorders>
              <w:top w:val="single" w:sz="4" w:space="0" w:color="000000"/>
              <w:left w:val="single" w:sz="4" w:space="0" w:color="000000"/>
              <w:bottom w:val="single" w:sz="8" w:space="0" w:color="000000"/>
            </w:tcBorders>
            <w:vAlign w:val="center"/>
          </w:tcPr>
          <w:p w14:paraId="0622BBA5" w14:textId="77777777" w:rsidR="001C08A5" w:rsidRDefault="00000000">
            <w:pPr>
              <w:jc w:val="center"/>
              <w:rPr>
                <w:b/>
                <w:i/>
                <w:iCs/>
                <w:sz w:val="22"/>
                <w:szCs w:val="22"/>
              </w:rPr>
            </w:pPr>
            <w:r>
              <w:rPr>
                <w:i/>
                <w:iCs/>
                <w:sz w:val="22"/>
                <w:szCs w:val="22"/>
              </w:rPr>
              <w:t>minimum</w:t>
            </w:r>
          </w:p>
          <w:p w14:paraId="7D855465" w14:textId="77777777" w:rsidR="001C08A5" w:rsidRDefault="00000000">
            <w:pPr>
              <w:jc w:val="center"/>
              <w:rPr>
                <w:bCs/>
                <w:i/>
                <w:iCs/>
                <w:sz w:val="22"/>
                <w:szCs w:val="22"/>
              </w:rPr>
            </w:pPr>
            <w:r>
              <w:rPr>
                <w:b/>
                <w:i/>
                <w:iCs/>
                <w:sz w:val="22"/>
                <w:szCs w:val="22"/>
              </w:rPr>
              <w:t>EI180</w:t>
            </w:r>
          </w:p>
          <w:p w14:paraId="7F03B461" w14:textId="77777777" w:rsidR="001C08A5" w:rsidRDefault="00000000">
            <w:pPr>
              <w:jc w:val="center"/>
              <w:rPr>
                <w:i/>
                <w:iCs/>
                <w:sz w:val="22"/>
                <w:szCs w:val="22"/>
              </w:rPr>
            </w:pPr>
            <w:r>
              <w:rPr>
                <w:b/>
                <w:i/>
                <w:iCs/>
                <w:sz w:val="22"/>
                <w:szCs w:val="22"/>
              </w:rPr>
              <w:t>A1, A2- s1,d0</w:t>
            </w:r>
          </w:p>
        </w:tc>
        <w:tc>
          <w:tcPr>
            <w:tcW w:w="1276" w:type="dxa"/>
            <w:tcBorders>
              <w:top w:val="single" w:sz="4" w:space="0" w:color="000000"/>
              <w:left w:val="single" w:sz="4" w:space="0" w:color="000000"/>
              <w:bottom w:val="single" w:sz="8" w:space="0" w:color="000000"/>
            </w:tcBorders>
            <w:vAlign w:val="center"/>
          </w:tcPr>
          <w:p w14:paraId="4C2BD9A9" w14:textId="77777777" w:rsidR="001C08A5" w:rsidRDefault="00000000">
            <w:pPr>
              <w:snapToGrid w:val="0"/>
              <w:jc w:val="center"/>
              <w:rPr>
                <w:i/>
                <w:iCs/>
                <w:sz w:val="22"/>
                <w:szCs w:val="22"/>
              </w:rPr>
            </w:pPr>
            <w:r>
              <w:rPr>
                <w:i/>
                <w:iCs/>
                <w:sz w:val="22"/>
                <w:szCs w:val="22"/>
              </w:rPr>
              <w:t>minimum</w:t>
            </w:r>
          </w:p>
          <w:p w14:paraId="4949FBF0" w14:textId="77777777" w:rsidR="001C08A5" w:rsidRDefault="00000000">
            <w:pPr>
              <w:jc w:val="center"/>
              <w:rPr>
                <w:b/>
                <w:i/>
                <w:iCs/>
                <w:sz w:val="22"/>
                <w:szCs w:val="22"/>
              </w:rPr>
            </w:pPr>
            <w:r>
              <w:rPr>
                <w:b/>
                <w:i/>
                <w:iCs/>
                <w:sz w:val="22"/>
                <w:szCs w:val="22"/>
              </w:rPr>
              <w:t>REI 120</w:t>
            </w:r>
          </w:p>
          <w:p w14:paraId="36531455" w14:textId="77777777" w:rsidR="001C08A5" w:rsidRDefault="00000000">
            <w:pPr>
              <w:jc w:val="center"/>
              <w:rPr>
                <w:i/>
                <w:iCs/>
                <w:sz w:val="22"/>
                <w:szCs w:val="22"/>
              </w:rPr>
            </w:pPr>
            <w:r>
              <w:rPr>
                <w:b/>
                <w:i/>
                <w:iCs/>
                <w:sz w:val="22"/>
                <w:szCs w:val="22"/>
              </w:rPr>
              <w:t>A1, A2- s1,d0</w:t>
            </w:r>
          </w:p>
        </w:tc>
        <w:tc>
          <w:tcPr>
            <w:tcW w:w="2534" w:type="dxa"/>
            <w:tcBorders>
              <w:top w:val="single" w:sz="4" w:space="0" w:color="000000"/>
              <w:left w:val="single" w:sz="4" w:space="0" w:color="000000"/>
              <w:bottom w:val="single" w:sz="8" w:space="0" w:color="000000"/>
              <w:right w:val="single" w:sz="8" w:space="0" w:color="000000"/>
            </w:tcBorders>
          </w:tcPr>
          <w:p w14:paraId="2C3FDB2B" w14:textId="77777777" w:rsidR="001C08A5" w:rsidRDefault="001C08A5">
            <w:pPr>
              <w:jc w:val="center"/>
              <w:rPr>
                <w:i/>
                <w:iCs/>
                <w:sz w:val="22"/>
                <w:szCs w:val="22"/>
              </w:rPr>
            </w:pPr>
          </w:p>
          <w:p w14:paraId="28C7D5BE" w14:textId="77777777" w:rsidR="001C08A5" w:rsidRDefault="00000000">
            <w:pPr>
              <w:jc w:val="center"/>
              <w:rPr>
                <w:i/>
                <w:iCs/>
                <w:sz w:val="22"/>
                <w:szCs w:val="22"/>
              </w:rPr>
            </w:pPr>
            <w:r>
              <w:rPr>
                <w:i/>
                <w:iCs/>
                <w:sz w:val="22"/>
                <w:szCs w:val="22"/>
              </w:rPr>
              <w:t xml:space="preserve">Golurile de comunicare funcţională se protejază cu elemente  </w:t>
            </w:r>
          </w:p>
          <w:p w14:paraId="155F9AB1" w14:textId="77777777" w:rsidR="001C08A5" w:rsidRDefault="00000000">
            <w:pPr>
              <w:jc w:val="center"/>
              <w:rPr>
                <w:i/>
                <w:iCs/>
                <w:sz w:val="22"/>
                <w:szCs w:val="22"/>
              </w:rPr>
            </w:pPr>
            <w:r>
              <w:rPr>
                <w:i/>
                <w:iCs/>
                <w:sz w:val="22"/>
                <w:szCs w:val="22"/>
              </w:rPr>
              <w:t xml:space="preserve">minimum </w:t>
            </w:r>
            <w:r>
              <w:rPr>
                <w:b/>
                <w:i/>
                <w:iCs/>
                <w:sz w:val="22"/>
                <w:szCs w:val="22"/>
              </w:rPr>
              <w:t>EI</w:t>
            </w:r>
            <w:r>
              <w:rPr>
                <w:b/>
                <w:i/>
                <w:iCs/>
                <w:sz w:val="22"/>
                <w:szCs w:val="22"/>
                <w:vertAlign w:val="subscript"/>
              </w:rPr>
              <w:t>2</w:t>
            </w:r>
            <w:r>
              <w:rPr>
                <w:b/>
                <w:i/>
                <w:iCs/>
                <w:sz w:val="22"/>
                <w:szCs w:val="22"/>
              </w:rPr>
              <w:t xml:space="preserve"> 90-C3S</w:t>
            </w:r>
            <w:r>
              <w:rPr>
                <w:b/>
                <w:bCs/>
                <w:i/>
                <w:iCs/>
                <w:sz w:val="22"/>
                <w:szCs w:val="22"/>
                <w:vertAlign w:val="subscript"/>
              </w:rPr>
              <w:t>200</w:t>
            </w:r>
          </w:p>
        </w:tc>
      </w:tr>
    </w:tbl>
    <w:p w14:paraId="0C3AF322" w14:textId="77777777" w:rsidR="001C08A5" w:rsidRDefault="00000000">
      <w:pPr>
        <w:autoSpaceDE w:val="0"/>
        <w:rPr>
          <w:i/>
          <w:sz w:val="22"/>
          <w:szCs w:val="22"/>
        </w:rPr>
      </w:pPr>
      <w:r>
        <w:rPr>
          <w:bCs/>
          <w:i/>
          <w:sz w:val="22"/>
          <w:szCs w:val="22"/>
          <w:u w:val="single"/>
        </w:rPr>
        <w:t>Notă</w:t>
      </w:r>
      <w:r>
        <w:rPr>
          <w:i/>
          <w:sz w:val="22"/>
          <w:szCs w:val="22"/>
        </w:rPr>
        <w:t>:</w:t>
      </w:r>
    </w:p>
    <w:p w14:paraId="4C8E22C9" w14:textId="77777777" w:rsidR="001C08A5" w:rsidRDefault="00000000">
      <w:pPr>
        <w:ind w:left="720"/>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03D96525" w14:textId="77777777" w:rsidR="001C08A5" w:rsidRDefault="001C08A5">
      <w:pPr>
        <w:jc w:val="both"/>
        <w:rPr>
          <w:sz w:val="24"/>
          <w:szCs w:val="24"/>
        </w:rPr>
      </w:pPr>
    </w:p>
    <w:p w14:paraId="4609F40A" w14:textId="77777777" w:rsidR="001C08A5" w:rsidRDefault="00000000">
      <w:pPr>
        <w:ind w:firstLine="567"/>
        <w:jc w:val="both"/>
        <w:rPr>
          <w:b/>
          <w:sz w:val="24"/>
          <w:szCs w:val="24"/>
        </w:rPr>
      </w:pPr>
      <w:r>
        <w:rPr>
          <w:b/>
          <w:sz w:val="24"/>
          <w:szCs w:val="24"/>
        </w:rPr>
        <w:t xml:space="preserve">Art. 4.3.3.2. </w:t>
      </w:r>
      <w:r>
        <w:rPr>
          <w:sz w:val="24"/>
          <w:szCs w:val="24"/>
        </w:rPr>
        <w:t xml:space="preserve">Pereţii şi planşeele de separare a spaţiilor închise pentru parcarea autoturismelor, faţă de clădiri ori porţiuni de clădiri cu săli aglomerate indiferent de  destinaţie, trebuie să fie rezistente la foc minimum </w:t>
      </w:r>
      <w:r>
        <w:rPr>
          <w:b/>
          <w:sz w:val="24"/>
          <w:szCs w:val="24"/>
        </w:rPr>
        <w:t>EI/REI 240</w:t>
      </w:r>
      <w:r>
        <w:rPr>
          <w:sz w:val="24"/>
          <w:szCs w:val="24"/>
        </w:rPr>
        <w:t xml:space="preserve"> pentru pereţi şi respectiv </w:t>
      </w:r>
      <w:r>
        <w:rPr>
          <w:b/>
          <w:sz w:val="24"/>
          <w:szCs w:val="24"/>
        </w:rPr>
        <w:t>REI 180</w:t>
      </w:r>
      <w:r>
        <w:rPr>
          <w:sz w:val="24"/>
          <w:szCs w:val="24"/>
        </w:rPr>
        <w:t xml:space="preserve"> pentru planşee. În aceşti pereţi de separare a parcajelor, se admit numai goluri de circulaţie funcţională şi evacuare, protejate cu încăperi tampon, ventilate în suprapresiune şi prevăzute cu uşi rezistente la foc și etanșe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w:t>
      </w:r>
    </w:p>
    <w:p w14:paraId="06E3F4EF" w14:textId="77777777" w:rsidR="001C08A5" w:rsidRDefault="00000000">
      <w:pPr>
        <w:pStyle w:val="Heading4"/>
        <w:rPr>
          <w:rFonts w:cs="Times New Roman"/>
          <w:sz w:val="24"/>
          <w:szCs w:val="24"/>
        </w:rPr>
      </w:pPr>
      <w:bookmarkStart w:id="4722" w:name="_Toc30563"/>
      <w:bookmarkStart w:id="4723" w:name="_Toc19891"/>
      <w:bookmarkStart w:id="4724" w:name="_Toc26745"/>
      <w:bookmarkStart w:id="4725" w:name="_Toc25788"/>
      <w:bookmarkStart w:id="4726" w:name="_Toc162355330"/>
      <w:bookmarkStart w:id="4727" w:name="_Toc32674"/>
      <w:bookmarkStart w:id="4728" w:name="_Toc7109"/>
      <w:bookmarkStart w:id="4729" w:name="_Toc11515"/>
      <w:r>
        <w:t>4.3.4. ALCĂTUIRI CONSTRUCTIVE</w:t>
      </w:r>
      <w:bookmarkEnd w:id="4722"/>
      <w:bookmarkEnd w:id="4723"/>
      <w:bookmarkEnd w:id="4724"/>
      <w:bookmarkEnd w:id="4725"/>
      <w:bookmarkEnd w:id="4726"/>
      <w:bookmarkEnd w:id="4727"/>
      <w:bookmarkEnd w:id="4728"/>
      <w:bookmarkEnd w:id="4729"/>
    </w:p>
    <w:p w14:paraId="72382B5F" w14:textId="77777777" w:rsidR="001C08A5" w:rsidRDefault="00000000">
      <w:pPr>
        <w:pStyle w:val="Heading5"/>
        <w:rPr>
          <w:lang w:val="ro-RO"/>
        </w:rPr>
      </w:pPr>
      <w:bookmarkStart w:id="4730" w:name="_Toc8585"/>
      <w:bookmarkStart w:id="4731" w:name="_Toc5155"/>
      <w:bookmarkStart w:id="4732" w:name="_Toc162355331"/>
      <w:bookmarkStart w:id="4733" w:name="_Toc28788"/>
      <w:bookmarkStart w:id="4734" w:name="_Toc15780"/>
      <w:bookmarkStart w:id="4735" w:name="_Toc15534"/>
      <w:bookmarkStart w:id="4736" w:name="_Toc29064"/>
      <w:bookmarkStart w:id="4737" w:name="_Toc24216"/>
      <w:r>
        <w:rPr>
          <w:lang w:val="ro-RO"/>
        </w:rPr>
        <w:t>4.3.4.1. Prevederi generale</w:t>
      </w:r>
      <w:bookmarkEnd w:id="4730"/>
      <w:bookmarkEnd w:id="4731"/>
      <w:bookmarkEnd w:id="4732"/>
      <w:bookmarkEnd w:id="4733"/>
      <w:bookmarkEnd w:id="4734"/>
      <w:bookmarkEnd w:id="4735"/>
      <w:bookmarkEnd w:id="4736"/>
      <w:bookmarkEnd w:id="4737"/>
    </w:p>
    <w:p w14:paraId="6FE4BE57" w14:textId="77777777" w:rsidR="001C08A5" w:rsidRDefault="001C08A5">
      <w:pPr>
        <w:jc w:val="both"/>
        <w:rPr>
          <w:b/>
          <w:sz w:val="24"/>
          <w:szCs w:val="24"/>
        </w:rPr>
      </w:pPr>
    </w:p>
    <w:p w14:paraId="3566FFED" w14:textId="77777777" w:rsidR="001C08A5" w:rsidRDefault="00000000">
      <w:pPr>
        <w:jc w:val="both"/>
        <w:rPr>
          <w:sz w:val="24"/>
          <w:szCs w:val="24"/>
        </w:rPr>
      </w:pPr>
      <w:r>
        <w:rPr>
          <w:b/>
          <w:sz w:val="24"/>
          <w:szCs w:val="24"/>
        </w:rPr>
        <w:tab/>
        <w:t xml:space="preserve">Art. 4.3.4.1.1. (1) </w:t>
      </w:r>
      <w:r>
        <w:rPr>
          <w:sz w:val="24"/>
          <w:szCs w:val="24"/>
        </w:rPr>
        <w:t>Elementele decorative interioare şi finisajele, precum şi tratamentele şi izolaţiile termice și acustice ale sălilor aglomerate trebuie să fie din clasa de reacţie la foc</w:t>
      </w:r>
      <w:r>
        <w:rPr>
          <w:b/>
          <w:sz w:val="24"/>
          <w:szCs w:val="24"/>
        </w:rPr>
        <w:t xml:space="preserve"> B-s1d0 și </w:t>
      </w:r>
      <w:r>
        <w:rPr>
          <w:sz w:val="24"/>
          <w:szCs w:val="24"/>
        </w:rPr>
        <w:t xml:space="preserve">respectiv minimum </w:t>
      </w:r>
      <w:r>
        <w:rPr>
          <w:b/>
          <w:sz w:val="24"/>
          <w:szCs w:val="24"/>
        </w:rPr>
        <w:t>B</w:t>
      </w:r>
      <w:r>
        <w:rPr>
          <w:b/>
          <w:sz w:val="24"/>
          <w:szCs w:val="24"/>
          <w:vertAlign w:val="subscript"/>
        </w:rPr>
        <w:t>FL</w:t>
      </w:r>
      <w:r>
        <w:rPr>
          <w:b/>
          <w:sz w:val="24"/>
          <w:szCs w:val="24"/>
        </w:rPr>
        <w:t>-s1</w:t>
      </w:r>
      <w:r>
        <w:rPr>
          <w:sz w:val="24"/>
          <w:szCs w:val="24"/>
        </w:rPr>
        <w:t>, alcătuite potrivit prevederilor din normativ.</w:t>
      </w:r>
    </w:p>
    <w:p w14:paraId="4B74E55D" w14:textId="77777777" w:rsidR="001C08A5" w:rsidRDefault="00000000">
      <w:pPr>
        <w:ind w:firstLine="720"/>
        <w:jc w:val="both"/>
        <w:rPr>
          <w:sz w:val="24"/>
          <w:szCs w:val="24"/>
        </w:rPr>
      </w:pPr>
      <w:r>
        <w:rPr>
          <w:b/>
          <w:sz w:val="24"/>
          <w:szCs w:val="24"/>
        </w:rPr>
        <w:t>(2)</w:t>
      </w:r>
      <w:r>
        <w:rPr>
          <w:sz w:val="24"/>
          <w:szCs w:val="24"/>
        </w:rPr>
        <w:t xml:space="preserve"> Continuitatea golurilor dintre finisajele sau tratamentele termice sau acustice și elementele suport ale acestora (pereţi, parapeţi sau planşee), trebuie întreruptă prin diafragme (care pot fi realizate din aceleaşi materiale), în celule cu dimensiuni de maximum </w:t>
      </w:r>
      <w:r>
        <w:rPr>
          <w:b/>
          <w:bCs/>
          <w:sz w:val="24"/>
          <w:szCs w:val="24"/>
        </w:rPr>
        <w:t>3 x 3 m</w:t>
      </w:r>
      <w:r>
        <w:rPr>
          <w:sz w:val="24"/>
          <w:szCs w:val="24"/>
        </w:rPr>
        <w:t>, astfel încât să se evite formarea de curenţi favorabili dezvoltării incendiilor.</w:t>
      </w:r>
    </w:p>
    <w:p w14:paraId="5E8FF873" w14:textId="77777777" w:rsidR="001C08A5" w:rsidRDefault="00000000">
      <w:pPr>
        <w:jc w:val="both"/>
        <w:rPr>
          <w:b/>
          <w:sz w:val="24"/>
          <w:szCs w:val="24"/>
        </w:rPr>
      </w:pPr>
      <w:r>
        <w:rPr>
          <w:sz w:val="24"/>
          <w:szCs w:val="24"/>
        </w:rPr>
        <w:tab/>
      </w:r>
      <w:r>
        <w:rPr>
          <w:sz w:val="24"/>
          <w:szCs w:val="24"/>
        </w:rPr>
        <w:tab/>
      </w:r>
    </w:p>
    <w:p w14:paraId="543B418C" w14:textId="77777777" w:rsidR="001C08A5" w:rsidRDefault="00000000">
      <w:pPr>
        <w:jc w:val="both"/>
        <w:rPr>
          <w:strike/>
          <w:sz w:val="24"/>
          <w:szCs w:val="24"/>
        </w:rPr>
      </w:pPr>
      <w:r>
        <w:rPr>
          <w:b/>
          <w:sz w:val="24"/>
          <w:szCs w:val="24"/>
        </w:rPr>
        <w:tab/>
        <w:t>Art. 4.3.4.1.2. (1)</w:t>
      </w:r>
      <w:r>
        <w:rPr>
          <w:sz w:val="24"/>
          <w:szCs w:val="24"/>
        </w:rPr>
        <w:t xml:space="preserve"> În sălile aglomerate și spaţiile lor anexă în care publicul are acces, plafoanele (autoportante sau suspendate) pline (cu suprafata continua nedemontabil</w:t>
      </w:r>
      <w:r>
        <w:rPr>
          <w:sz w:val="24"/>
          <w:szCs w:val="24"/>
          <w:lang w:val="en-US"/>
        </w:rPr>
        <w:t>a</w:t>
      </w:r>
      <w:r>
        <w:rPr>
          <w:sz w:val="24"/>
          <w:szCs w:val="24"/>
        </w:rPr>
        <w:t>ă) vor fi rezistente la foc</w:t>
      </w:r>
      <w:r>
        <w:rPr>
          <w:b/>
          <w:sz w:val="24"/>
          <w:szCs w:val="24"/>
        </w:rPr>
        <w:t xml:space="preserve"> EI 30 (a</w:t>
      </w:r>
      <w:r>
        <w:rPr>
          <w:sz w:val="24"/>
          <w:szCs w:val="24"/>
        </w:rPr>
        <w:t>↔</w:t>
      </w:r>
      <w:r>
        <w:rPr>
          <w:b/>
          <w:sz w:val="24"/>
          <w:szCs w:val="24"/>
        </w:rPr>
        <w:t xml:space="preserve">b). </w:t>
      </w:r>
      <w:r>
        <w:rPr>
          <w:sz w:val="24"/>
          <w:szCs w:val="24"/>
          <w:lang w:val="ro"/>
        </w:rPr>
        <w:t>Plafoanele cu suprafața discontinuă / modulară, de tip perforat, lamelar, fagure sau grătar vor avea elementele și ansamblurile de suspendare rezistente la foc </w:t>
      </w:r>
      <w:r>
        <w:rPr>
          <w:b/>
          <w:bCs/>
          <w:sz w:val="24"/>
          <w:szCs w:val="24"/>
          <w:lang w:val="ro"/>
        </w:rPr>
        <w:t>R</w:t>
      </w:r>
      <w:r>
        <w:rPr>
          <w:b/>
          <w:bCs/>
          <w:sz w:val="24"/>
          <w:szCs w:val="24"/>
        </w:rPr>
        <w:t xml:space="preserve"> 3</w:t>
      </w:r>
      <w:r>
        <w:rPr>
          <w:b/>
          <w:bCs/>
          <w:sz w:val="24"/>
          <w:szCs w:val="24"/>
          <w:lang w:val="ro"/>
        </w:rPr>
        <w:t>0</w:t>
      </w:r>
      <w:r>
        <w:rPr>
          <w:sz w:val="24"/>
          <w:szCs w:val="24"/>
          <w:lang w:val="ro"/>
        </w:rPr>
        <w:t>.</w:t>
      </w:r>
    </w:p>
    <w:p w14:paraId="004E75AC" w14:textId="77777777" w:rsidR="001C08A5" w:rsidRDefault="00000000">
      <w:pPr>
        <w:ind w:firstLine="720"/>
        <w:jc w:val="both"/>
        <w:rPr>
          <w:b/>
          <w:sz w:val="24"/>
          <w:szCs w:val="24"/>
        </w:rPr>
      </w:pPr>
      <w:r>
        <w:rPr>
          <w:b/>
          <w:sz w:val="24"/>
          <w:szCs w:val="24"/>
        </w:rPr>
        <w:t xml:space="preserve">(2) </w:t>
      </w:r>
      <w:r>
        <w:rPr>
          <w:sz w:val="24"/>
          <w:szCs w:val="24"/>
        </w:rPr>
        <w:t xml:space="preserve">Continuitatea spaţiului dintre plafonul suspendat și planşeul de rezistenţă va fi întrerupt cu diafragme continue minimum </w:t>
      </w:r>
      <w:r>
        <w:rPr>
          <w:b/>
          <w:sz w:val="24"/>
          <w:szCs w:val="24"/>
        </w:rPr>
        <w:t>DH 30</w:t>
      </w:r>
      <w:r>
        <w:rPr>
          <w:sz w:val="24"/>
          <w:szCs w:val="24"/>
        </w:rPr>
        <w:t xml:space="preserve">, dispuse la maximum </w:t>
      </w:r>
      <w:r>
        <w:rPr>
          <w:b/>
          <w:sz w:val="24"/>
          <w:szCs w:val="24"/>
        </w:rPr>
        <w:t>30</w:t>
      </w:r>
      <w:r>
        <w:rPr>
          <w:sz w:val="24"/>
          <w:szCs w:val="24"/>
        </w:rPr>
        <w:t xml:space="preserve"> m pe două direcţii perpendiculare, atunci când spațiul dintre plafonul suspendat și planşeul de rezistenţă nu este echipat cu instalație automată de stingere cu sprinklere. În toate cazurile se vor avea în vedere prevederile </w:t>
      </w:r>
      <w:r>
        <w:rPr>
          <w:b/>
          <w:bCs/>
          <w:sz w:val="24"/>
          <w:szCs w:val="24"/>
        </w:rPr>
        <w:t>Art. 8.1.2.</w:t>
      </w:r>
    </w:p>
    <w:p w14:paraId="5D050AD8" w14:textId="77777777" w:rsidR="001C08A5" w:rsidRDefault="001C08A5">
      <w:pPr>
        <w:jc w:val="both"/>
        <w:rPr>
          <w:sz w:val="24"/>
          <w:szCs w:val="24"/>
        </w:rPr>
      </w:pPr>
    </w:p>
    <w:p w14:paraId="257DE5A0" w14:textId="77777777" w:rsidR="001C08A5" w:rsidRDefault="00000000">
      <w:pPr>
        <w:ind w:firstLine="720"/>
        <w:jc w:val="both"/>
        <w:rPr>
          <w:sz w:val="24"/>
          <w:szCs w:val="24"/>
        </w:rPr>
      </w:pPr>
      <w:r>
        <w:rPr>
          <w:b/>
          <w:sz w:val="24"/>
          <w:szCs w:val="24"/>
        </w:rPr>
        <w:tab/>
        <w:t>Art. 4.3.4.1.3. (1)</w:t>
      </w:r>
      <w:r>
        <w:rPr>
          <w:sz w:val="24"/>
          <w:szCs w:val="24"/>
        </w:rPr>
        <w:t xml:space="preserve"> Sălile aglomerate cu orice destinaţie, precum și  încăperile de depozitare aferente acestora cu aria utilă mai mare de </w:t>
      </w:r>
      <w:r>
        <w:rPr>
          <w:b/>
          <w:bCs/>
          <w:sz w:val="24"/>
          <w:szCs w:val="24"/>
        </w:rPr>
        <w:t>36 m²</w:t>
      </w:r>
      <w:r>
        <w:rPr>
          <w:sz w:val="24"/>
          <w:szCs w:val="24"/>
        </w:rPr>
        <w:t xml:space="preserve"> şi sarcina termica mai mare de </w:t>
      </w:r>
      <w:r>
        <w:rPr>
          <w:b/>
          <w:bCs/>
          <w:sz w:val="24"/>
          <w:szCs w:val="24"/>
        </w:rPr>
        <w:t>105MJ/</w:t>
      </w:r>
      <w:r>
        <w:rPr>
          <w:b/>
          <w:sz w:val="24"/>
          <w:szCs w:val="24"/>
        </w:rPr>
        <w:t>m²</w:t>
      </w:r>
      <w:r>
        <w:rPr>
          <w:sz w:val="24"/>
          <w:szCs w:val="24"/>
        </w:rPr>
        <w:t xml:space="preserve"> 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69DEF53A" w14:textId="77777777" w:rsidR="001C08A5" w:rsidRDefault="00000000">
      <w:pPr>
        <w:ind w:firstLine="720"/>
        <w:jc w:val="both"/>
        <w:rPr>
          <w:sz w:val="24"/>
          <w:szCs w:val="24"/>
        </w:rPr>
      </w:pPr>
      <w:r>
        <w:rPr>
          <w:b/>
          <w:sz w:val="24"/>
          <w:szCs w:val="24"/>
        </w:rPr>
        <w:lastRenderedPageBreak/>
        <w:t xml:space="preserve">(2) </w:t>
      </w:r>
      <w:r>
        <w:rPr>
          <w:sz w:val="24"/>
          <w:szCs w:val="24"/>
        </w:rPr>
        <w:t xml:space="preserve">Suprafaţă utilă / aerodinamică totală a ariei libere a dispozitivelor cu deschidere automată pentru evacuarea fumului şi gazelor fierbinţi în caz de incendiu prin tiraj natural-organizat, va fi cel puţin </w:t>
      </w:r>
      <w:r>
        <w:rPr>
          <w:b/>
          <w:sz w:val="24"/>
          <w:szCs w:val="24"/>
        </w:rPr>
        <w:t>1%</w:t>
      </w:r>
      <w:r>
        <w:rPr>
          <w:sz w:val="24"/>
          <w:szCs w:val="24"/>
        </w:rPr>
        <w:t xml:space="preserve"> din aria sălii aglomerate.</w:t>
      </w:r>
    </w:p>
    <w:p w14:paraId="2972A490" w14:textId="77777777" w:rsidR="001C08A5" w:rsidRDefault="00000000">
      <w:pPr>
        <w:ind w:firstLine="720"/>
        <w:jc w:val="both"/>
        <w:rPr>
          <w:sz w:val="24"/>
          <w:szCs w:val="24"/>
        </w:rPr>
      </w:pPr>
      <w:r>
        <w:rPr>
          <w:b/>
          <w:sz w:val="24"/>
          <w:szCs w:val="24"/>
        </w:rPr>
        <w:t xml:space="preserve">(3) </w:t>
      </w:r>
      <w:r>
        <w:rPr>
          <w:sz w:val="24"/>
          <w:szCs w:val="24"/>
        </w:rPr>
        <w:t>Atunci când evacuarea fumului se asigură prin ventilare mecanică, se respectă prevederile normativului şi ale reglementărilor tehnice de specialitate.</w:t>
      </w:r>
    </w:p>
    <w:p w14:paraId="2E1FF0C5" w14:textId="77777777" w:rsidR="001C08A5" w:rsidRDefault="001C08A5">
      <w:pPr>
        <w:jc w:val="both"/>
        <w:rPr>
          <w:sz w:val="24"/>
          <w:szCs w:val="24"/>
        </w:rPr>
      </w:pPr>
    </w:p>
    <w:p w14:paraId="1A6481D9" w14:textId="77777777" w:rsidR="001C08A5" w:rsidRDefault="00000000">
      <w:pPr>
        <w:jc w:val="both"/>
        <w:rPr>
          <w:sz w:val="24"/>
          <w:szCs w:val="24"/>
        </w:rPr>
      </w:pPr>
      <w:r>
        <w:rPr>
          <w:b/>
          <w:sz w:val="24"/>
          <w:szCs w:val="24"/>
        </w:rPr>
        <w:tab/>
        <w:t>Art. 4.3.4.1.4. (1)</w:t>
      </w:r>
      <w:r>
        <w:rPr>
          <w:sz w:val="24"/>
          <w:szCs w:val="24"/>
        </w:rPr>
        <w:t xml:space="preserve"> Dispozitivele cu deschidere automată (gurile) pentru evacuarea fumului şi a gazelor fierbinţi în caz de incendiu, se prevăd în treimea superioară a sălii (încăperii) și se repartizează cât mai uniform faţă de aria protejată. Ele pot comunica direct cu exteriorul sau prin ghene de evacuare a fumului cu secţiunea echivalentă cu a gurilor de evacuare.</w:t>
      </w:r>
    </w:p>
    <w:p w14:paraId="1CD611DD" w14:textId="77777777" w:rsidR="001C08A5" w:rsidRDefault="00000000">
      <w:pPr>
        <w:jc w:val="both"/>
        <w:rPr>
          <w:sz w:val="24"/>
          <w:szCs w:val="24"/>
        </w:rPr>
      </w:pPr>
      <w:r>
        <w:rPr>
          <w:sz w:val="24"/>
          <w:szCs w:val="24"/>
        </w:rPr>
        <w:tab/>
      </w:r>
      <w:r>
        <w:rPr>
          <w:b/>
          <w:sz w:val="24"/>
          <w:szCs w:val="24"/>
        </w:rPr>
        <w:t xml:space="preserve">(2) </w:t>
      </w:r>
      <w:r>
        <w:rPr>
          <w:bCs/>
          <w:sz w:val="24"/>
          <w:szCs w:val="24"/>
        </w:rPr>
        <w:t>Ghenele prevăzute pentru tubulaturi</w:t>
      </w:r>
      <w:r>
        <w:rPr>
          <w:sz w:val="24"/>
          <w:szCs w:val="24"/>
        </w:rPr>
        <w:t xml:space="preserve"> colectoare de evacuare a fumului în caz de incendiu</w:t>
      </w:r>
      <w:r>
        <w:rPr>
          <w:rFonts w:eastAsia="Calibri"/>
          <w:iCs/>
          <w:sz w:val="24"/>
          <w:szCs w:val="24"/>
          <w:shd w:val="clear" w:color="auto" w:fill="FFFFFF"/>
        </w:rPr>
        <w:t xml:space="preserve"> vor fi din materiale </w:t>
      </w:r>
      <w:r>
        <w:rPr>
          <w:b/>
          <w:bCs/>
          <w:iCs/>
          <w:sz w:val="24"/>
          <w:szCs w:val="24"/>
          <w:lang w:val="en-GB"/>
        </w:rPr>
        <w:t>A1, A2s1d0</w:t>
      </w:r>
      <w:r>
        <w:rPr>
          <w:b/>
          <w:bCs/>
          <w:iCs/>
          <w:sz w:val="24"/>
          <w:szCs w:val="24"/>
        </w:rPr>
        <w:t xml:space="preserve"> </w:t>
      </w:r>
      <w:r>
        <w:rPr>
          <w:iCs/>
          <w:sz w:val="24"/>
          <w:szCs w:val="24"/>
        </w:rPr>
        <w:t>și</w:t>
      </w:r>
      <w:r>
        <w:rPr>
          <w:sz w:val="24"/>
          <w:szCs w:val="24"/>
        </w:rPr>
        <w:t xml:space="preserve">vor avea pereţii rezistenţi la foc minimum </w:t>
      </w:r>
      <w:r>
        <w:rPr>
          <w:b/>
          <w:sz w:val="24"/>
          <w:szCs w:val="24"/>
        </w:rPr>
        <w:t>EI 30</w:t>
      </w:r>
      <w:r>
        <w:rPr>
          <w:sz w:val="24"/>
          <w:szCs w:val="24"/>
        </w:rPr>
        <w:t xml:space="preserve"> în interiorul sălii, </w:t>
      </w:r>
      <w:r>
        <w:rPr>
          <w:b/>
          <w:sz w:val="24"/>
          <w:szCs w:val="24"/>
        </w:rPr>
        <w:t xml:space="preserve">EI/REI 90 </w:t>
      </w:r>
      <w:r>
        <w:rPr>
          <w:sz w:val="24"/>
          <w:szCs w:val="24"/>
        </w:rPr>
        <w:t xml:space="preserve">la trecerea prin alte destinaţii, iar ghenele pentru tubulaturi colectoare de evacuare a fumului minimum </w:t>
      </w:r>
      <w:r>
        <w:rPr>
          <w:b/>
          <w:sz w:val="24"/>
          <w:szCs w:val="24"/>
        </w:rPr>
        <w:t>EI/REI 180</w:t>
      </w:r>
      <w:r>
        <w:rPr>
          <w:sz w:val="24"/>
          <w:szCs w:val="24"/>
        </w:rPr>
        <w:t xml:space="preserve">. În toate cazurile </w:t>
      </w:r>
      <w:r>
        <w:rPr>
          <w:rFonts w:eastAsia="Calibri"/>
          <w:iCs/>
          <w:sz w:val="24"/>
          <w:szCs w:val="24"/>
          <w:shd w:val="clear" w:color="auto" w:fill="FFFFFF"/>
        </w:rPr>
        <w:t xml:space="preserve"> în care ghenele pentru tubulaturi trec prin alte destinații, ușile (trapele) de vizitare ale acestora vor fi din materiale </w:t>
      </w:r>
      <w:r>
        <w:rPr>
          <w:b/>
          <w:bCs/>
          <w:iCs/>
          <w:sz w:val="24"/>
          <w:szCs w:val="24"/>
          <w:lang w:val="en-GB"/>
        </w:rPr>
        <w:t>A1, A2s1d0</w:t>
      </w:r>
      <w:r>
        <w:rPr>
          <w:b/>
          <w:bCs/>
          <w:iCs/>
          <w:sz w:val="24"/>
          <w:szCs w:val="24"/>
        </w:rPr>
        <w:t xml:space="preserve"> </w:t>
      </w:r>
      <w:r>
        <w:rPr>
          <w:iCs/>
          <w:sz w:val="24"/>
          <w:szCs w:val="24"/>
        </w:rPr>
        <w:t>cu rezistența la foc</w:t>
      </w:r>
      <w:r>
        <w:rPr>
          <w:sz w:val="24"/>
          <w:szCs w:val="24"/>
        </w:rPr>
        <w:t xml:space="preserve"> minimum </w:t>
      </w:r>
      <w:r>
        <w:rPr>
          <w:bCs/>
          <w:sz w:val="24"/>
          <w:szCs w:val="24"/>
        </w:rPr>
        <w:t xml:space="preserve">jumătate din rezistența la foc a pereților, dar minim </w:t>
      </w:r>
      <w:r>
        <w:rPr>
          <w:b/>
          <w:sz w:val="24"/>
          <w:szCs w:val="24"/>
        </w:rPr>
        <w:t>EI45</w:t>
      </w:r>
      <w:r>
        <w:rPr>
          <w:bCs/>
          <w:sz w:val="24"/>
          <w:szCs w:val="24"/>
        </w:rPr>
        <w:t>.</w:t>
      </w:r>
    </w:p>
    <w:p w14:paraId="5B780F52" w14:textId="77777777" w:rsidR="001C08A5" w:rsidRDefault="00000000">
      <w:pPr>
        <w:jc w:val="both"/>
        <w:rPr>
          <w:sz w:val="24"/>
          <w:szCs w:val="24"/>
        </w:rPr>
      </w:pPr>
      <w:r>
        <w:rPr>
          <w:sz w:val="24"/>
          <w:szCs w:val="24"/>
        </w:rPr>
        <w:tab/>
      </w:r>
      <w:r>
        <w:rPr>
          <w:b/>
          <w:sz w:val="24"/>
          <w:szCs w:val="24"/>
        </w:rPr>
        <w:t xml:space="preserve">(3) </w:t>
      </w:r>
      <w:r>
        <w:rPr>
          <w:sz w:val="24"/>
          <w:szCs w:val="24"/>
        </w:rPr>
        <w:t>Dispozitivele cu deschidere automată pentru evacuarea fumului trebuie acţionate și prin comenzi manuale, uşor accesibile de la nivelul sălii şi din încăperea serviciului pentru situaţii de urgenţă.</w:t>
      </w:r>
    </w:p>
    <w:p w14:paraId="27F093EF" w14:textId="77777777" w:rsidR="001C08A5" w:rsidRDefault="00000000">
      <w:pPr>
        <w:jc w:val="both"/>
        <w:rPr>
          <w:sz w:val="24"/>
          <w:szCs w:val="24"/>
        </w:rPr>
      </w:pPr>
      <w:r>
        <w:rPr>
          <w:sz w:val="24"/>
          <w:szCs w:val="24"/>
        </w:rPr>
        <w:tab/>
      </w:r>
      <w:r>
        <w:rPr>
          <w:b/>
          <w:sz w:val="24"/>
          <w:szCs w:val="24"/>
        </w:rPr>
        <w:t xml:space="preserve">(4) </w:t>
      </w:r>
      <w:r>
        <w:rPr>
          <w:sz w:val="24"/>
          <w:szCs w:val="24"/>
        </w:rPr>
        <w:t>Încăperile din care se evacuează fumul în caz de incendiu vor avea asigurate admisii de aer dispuse la partea lor inferioară (în apropierea pardoselii), conform prevederilor normativului.</w:t>
      </w:r>
    </w:p>
    <w:p w14:paraId="5367F4D1" w14:textId="77777777" w:rsidR="001C08A5" w:rsidRDefault="00000000">
      <w:pPr>
        <w:jc w:val="both"/>
        <w:rPr>
          <w:sz w:val="24"/>
          <w:szCs w:val="24"/>
        </w:rPr>
      </w:pPr>
      <w:r>
        <w:rPr>
          <w:sz w:val="24"/>
          <w:szCs w:val="24"/>
        </w:rPr>
        <w:tab/>
      </w:r>
      <w:r>
        <w:rPr>
          <w:b/>
          <w:bCs/>
          <w:sz w:val="24"/>
          <w:szCs w:val="24"/>
        </w:rPr>
        <w:t xml:space="preserve">(5) </w:t>
      </w:r>
      <w:r>
        <w:rPr>
          <w:sz w:val="24"/>
          <w:szCs w:val="24"/>
        </w:rPr>
        <w:t xml:space="preserve">Ghenele prevăzute pentru instalații (cu excepția celor de la </w:t>
      </w:r>
      <w:r>
        <w:rPr>
          <w:b/>
          <w:bCs/>
          <w:sz w:val="24"/>
          <w:szCs w:val="24"/>
        </w:rPr>
        <w:t>alin. 2)</w:t>
      </w:r>
      <w:r>
        <w:rPr>
          <w:sz w:val="24"/>
          <w:szCs w:val="24"/>
        </w:rPr>
        <w:t xml:space="preserve"> vor îndeplini condițiile de la </w:t>
      </w:r>
      <w:r>
        <w:rPr>
          <w:b/>
          <w:bCs/>
          <w:sz w:val="24"/>
          <w:szCs w:val="24"/>
        </w:rPr>
        <w:t>Art. 2.4.11.2. alin. (1), (2), (4) și (5).</w:t>
      </w:r>
    </w:p>
    <w:p w14:paraId="5627CA38" w14:textId="77777777" w:rsidR="001C08A5" w:rsidRDefault="00000000">
      <w:pPr>
        <w:pStyle w:val="Heading5"/>
        <w:rPr>
          <w:lang w:val="ro-RO"/>
        </w:rPr>
      </w:pPr>
      <w:bookmarkStart w:id="4738" w:name="_Toc16496"/>
      <w:bookmarkStart w:id="4739" w:name="_Toc1203"/>
      <w:bookmarkStart w:id="4740" w:name="_Toc28741"/>
      <w:bookmarkStart w:id="4741" w:name="_Toc373"/>
      <w:bookmarkStart w:id="4742" w:name="_Toc162355332"/>
      <w:bookmarkStart w:id="4743" w:name="_Toc16757"/>
      <w:bookmarkStart w:id="4744" w:name="_Toc32211"/>
      <w:bookmarkStart w:id="4745" w:name="_Toc9972"/>
      <w:r>
        <w:rPr>
          <w:lang w:val="ro-RO"/>
        </w:rPr>
        <w:t>4.3.4.2. Dispoziţii specifice</w:t>
      </w:r>
      <w:bookmarkEnd w:id="4738"/>
      <w:bookmarkEnd w:id="4739"/>
      <w:bookmarkEnd w:id="4740"/>
      <w:bookmarkEnd w:id="4741"/>
      <w:bookmarkEnd w:id="4742"/>
      <w:bookmarkEnd w:id="4743"/>
      <w:bookmarkEnd w:id="4744"/>
      <w:bookmarkEnd w:id="4745"/>
    </w:p>
    <w:p w14:paraId="4F85AD72" w14:textId="77777777" w:rsidR="001C08A5" w:rsidRDefault="001C08A5">
      <w:pPr>
        <w:jc w:val="both"/>
        <w:rPr>
          <w:b/>
          <w:sz w:val="24"/>
          <w:szCs w:val="24"/>
        </w:rPr>
      </w:pPr>
    </w:p>
    <w:p w14:paraId="565BC5DB" w14:textId="77777777" w:rsidR="001C08A5" w:rsidRDefault="00000000">
      <w:pPr>
        <w:jc w:val="both"/>
        <w:rPr>
          <w:sz w:val="24"/>
          <w:szCs w:val="24"/>
        </w:rPr>
      </w:pPr>
      <w:r>
        <w:rPr>
          <w:b/>
          <w:sz w:val="24"/>
          <w:szCs w:val="24"/>
        </w:rPr>
        <w:tab/>
        <w:t xml:space="preserve">Art. 4.3.4.2.1. (1) </w:t>
      </w:r>
      <w:r>
        <w:rPr>
          <w:sz w:val="24"/>
          <w:szCs w:val="24"/>
        </w:rPr>
        <w:t>Teatrele cu mai mult de</w:t>
      </w:r>
      <w:r>
        <w:rPr>
          <w:b/>
          <w:bCs/>
          <w:sz w:val="24"/>
          <w:szCs w:val="24"/>
        </w:rPr>
        <w:t xml:space="preserve"> 600</w:t>
      </w:r>
      <w:r>
        <w:rPr>
          <w:sz w:val="24"/>
          <w:szCs w:val="24"/>
        </w:rPr>
        <w:t xml:space="preserve"> locuri şi scenă amenajată, vor avea separată scena şi anexele sale (buzunare, depozite, ateliere, cabine artişti etc.) faţă de sală, prin pereţi rezistenţi la foc minimum </w:t>
      </w:r>
      <w:r>
        <w:rPr>
          <w:b/>
          <w:sz w:val="24"/>
          <w:szCs w:val="24"/>
        </w:rPr>
        <w:t>EI/REI 240</w:t>
      </w:r>
      <w:r>
        <w:rPr>
          <w:sz w:val="24"/>
          <w:szCs w:val="24"/>
        </w:rPr>
        <w:t xml:space="preserve"> şi planşee rezistente la foc minimum </w:t>
      </w:r>
      <w:r>
        <w:rPr>
          <w:b/>
          <w:sz w:val="24"/>
          <w:szCs w:val="24"/>
        </w:rPr>
        <w:t>REI 120</w:t>
      </w:r>
      <w:r>
        <w:rPr>
          <w:sz w:val="24"/>
          <w:szCs w:val="24"/>
        </w:rPr>
        <w:t xml:space="preserve">, iar golul portal de comunicare funcţională între sală și scenă, va fi protejat cu cortină de siguranţă </w:t>
      </w:r>
      <w:r>
        <w:rPr>
          <w:b/>
          <w:sz w:val="24"/>
          <w:szCs w:val="24"/>
        </w:rPr>
        <w:t>EI90</w:t>
      </w:r>
      <w:r>
        <w:rPr>
          <w:sz w:val="24"/>
          <w:szCs w:val="24"/>
        </w:rPr>
        <w:t>. La teatrele tip arenă se separă numai anexele.</w:t>
      </w:r>
    </w:p>
    <w:p w14:paraId="19C23B6D" w14:textId="77777777" w:rsidR="001C08A5" w:rsidRDefault="00000000">
      <w:pPr>
        <w:ind w:firstLine="708"/>
        <w:jc w:val="both"/>
        <w:rPr>
          <w:sz w:val="24"/>
          <w:szCs w:val="24"/>
        </w:rPr>
      </w:pPr>
      <w:r>
        <w:rPr>
          <w:sz w:val="24"/>
          <w:szCs w:val="24"/>
        </w:rPr>
        <w:tab/>
      </w:r>
      <w:r>
        <w:rPr>
          <w:b/>
          <w:sz w:val="24"/>
          <w:szCs w:val="24"/>
        </w:rPr>
        <w:t xml:space="preserve">(2) </w:t>
      </w:r>
      <w:r>
        <w:rPr>
          <w:sz w:val="24"/>
          <w:szCs w:val="24"/>
        </w:rPr>
        <w:t xml:space="preserve">Faţă de alte spaţii în care publicul are acces (foaiere, holuri, coridoare, vestibuluri etc.), separarea scenei şi a anexelor sale se realizează cu pereţi rezistenţi la foc minimum </w:t>
      </w:r>
      <w:r>
        <w:rPr>
          <w:b/>
          <w:sz w:val="24"/>
          <w:szCs w:val="24"/>
        </w:rPr>
        <w:t>EI/REI 180</w:t>
      </w:r>
      <w:r>
        <w:rPr>
          <w:sz w:val="24"/>
          <w:szCs w:val="24"/>
        </w:rPr>
        <w:t xml:space="preserve"> şi planşee rezistente la foc minimum </w:t>
      </w:r>
      <w:r>
        <w:rPr>
          <w:b/>
          <w:sz w:val="24"/>
          <w:szCs w:val="24"/>
        </w:rPr>
        <w:t>REI 90</w:t>
      </w:r>
      <w:r>
        <w:rPr>
          <w:sz w:val="24"/>
          <w:szCs w:val="24"/>
        </w:rPr>
        <w:t>.</w:t>
      </w:r>
    </w:p>
    <w:p w14:paraId="4B6E8868" w14:textId="77777777" w:rsidR="001C08A5" w:rsidRDefault="00000000">
      <w:pPr>
        <w:jc w:val="both"/>
        <w:rPr>
          <w:sz w:val="24"/>
          <w:szCs w:val="24"/>
        </w:rPr>
      </w:pPr>
      <w:r>
        <w:rPr>
          <w:sz w:val="24"/>
          <w:szCs w:val="24"/>
        </w:rPr>
        <w:tab/>
      </w:r>
      <w:r>
        <w:rPr>
          <w:b/>
          <w:sz w:val="24"/>
          <w:szCs w:val="24"/>
        </w:rPr>
        <w:t xml:space="preserve">(3) </w:t>
      </w:r>
      <w:r>
        <w:rPr>
          <w:sz w:val="24"/>
          <w:szCs w:val="24"/>
        </w:rPr>
        <w:t xml:space="preserve">Atunci când scenele au suprafaţa de maximum </w:t>
      </w:r>
      <w:r>
        <w:rPr>
          <w:b/>
          <w:sz w:val="24"/>
          <w:szCs w:val="24"/>
        </w:rPr>
        <w:t>50</w:t>
      </w:r>
      <w:r>
        <w:rPr>
          <w:sz w:val="24"/>
          <w:szCs w:val="24"/>
        </w:rPr>
        <w:t xml:space="preserve"> </w:t>
      </w:r>
      <w:r>
        <w:rPr>
          <w:b/>
          <w:bCs/>
          <w:sz w:val="24"/>
          <w:szCs w:val="24"/>
        </w:rPr>
        <w:t>m</w:t>
      </w:r>
      <w:r>
        <w:rPr>
          <w:b/>
          <w:bCs/>
          <w:sz w:val="24"/>
          <w:szCs w:val="24"/>
          <w:vertAlign w:val="superscript"/>
        </w:rPr>
        <w:t>2</w:t>
      </w:r>
      <w:r>
        <w:rPr>
          <w:sz w:val="24"/>
          <w:szCs w:val="24"/>
        </w:rPr>
        <w:t>, încăperile pentru artişti pot avea uşi de comunicare directă cu sala sau scena.</w:t>
      </w:r>
    </w:p>
    <w:p w14:paraId="6A73E661" w14:textId="77777777" w:rsidR="001C08A5" w:rsidRDefault="00000000">
      <w:pPr>
        <w:jc w:val="both"/>
        <w:rPr>
          <w:sz w:val="24"/>
          <w:szCs w:val="24"/>
        </w:rPr>
      </w:pPr>
      <w:r>
        <w:rPr>
          <w:sz w:val="24"/>
          <w:szCs w:val="24"/>
        </w:rPr>
        <w:tab/>
      </w:r>
      <w:r>
        <w:rPr>
          <w:b/>
          <w:sz w:val="24"/>
          <w:szCs w:val="24"/>
        </w:rPr>
        <w:t xml:space="preserve">(4) </w:t>
      </w:r>
      <w:r>
        <w:rPr>
          <w:sz w:val="24"/>
          <w:szCs w:val="24"/>
        </w:rPr>
        <w:t xml:space="preserve">În pereţii rezistenţi la foc </w:t>
      </w:r>
      <w:r>
        <w:rPr>
          <w:b/>
          <w:sz w:val="24"/>
          <w:szCs w:val="24"/>
        </w:rPr>
        <w:t>EI/REI 240</w:t>
      </w:r>
      <w:r>
        <w:rPr>
          <w:sz w:val="24"/>
          <w:szCs w:val="24"/>
        </w:rPr>
        <w:t xml:space="preserve"> ce separă sala teatrului faţă de scena amenajată, în afara golului portal se pot practica două goluri de circulaţie funcţională (câte unul de fiecare parte a portalului), protejate cu uşi rezistente la foc și etanșe la fum </w:t>
      </w:r>
      <w:r>
        <w:rPr>
          <w:b/>
          <w:sz w:val="24"/>
          <w:szCs w:val="24"/>
        </w:rPr>
        <w:t>EI</w:t>
      </w:r>
      <w:r>
        <w:rPr>
          <w:b/>
          <w:sz w:val="24"/>
          <w:szCs w:val="24"/>
          <w:vertAlign w:val="subscript"/>
        </w:rPr>
        <w:t>2</w:t>
      </w:r>
      <w:r>
        <w:rPr>
          <w:b/>
          <w:sz w:val="24"/>
          <w:szCs w:val="24"/>
        </w:rPr>
        <w:t>90-C5S</w:t>
      </w:r>
      <w:r>
        <w:rPr>
          <w:b/>
          <w:bCs/>
          <w:sz w:val="24"/>
          <w:szCs w:val="24"/>
          <w:vertAlign w:val="subscript"/>
        </w:rPr>
        <w:t xml:space="preserve">200 </w:t>
      </w:r>
      <w:r>
        <w:rPr>
          <w:sz w:val="24"/>
          <w:szCs w:val="24"/>
        </w:rPr>
        <w:t xml:space="preserve">sau cu încăperi tampon protejate, ventilate în suprapresiune, prevăzute cu uşi rezistente la foc și etanșe la fum </w:t>
      </w:r>
      <w:r>
        <w:rPr>
          <w:b/>
          <w:sz w:val="24"/>
          <w:szCs w:val="24"/>
        </w:rPr>
        <w:t>EI</w:t>
      </w:r>
      <w:r>
        <w:rPr>
          <w:b/>
          <w:sz w:val="24"/>
          <w:szCs w:val="24"/>
          <w:vertAlign w:val="subscript"/>
        </w:rPr>
        <w:t>2</w:t>
      </w:r>
      <w:r>
        <w:rPr>
          <w:b/>
          <w:sz w:val="24"/>
          <w:szCs w:val="24"/>
        </w:rPr>
        <w:t xml:space="preserve"> 45-C5S</w:t>
      </w:r>
      <w:r>
        <w:rPr>
          <w:b/>
          <w:bCs/>
          <w:sz w:val="24"/>
          <w:szCs w:val="24"/>
          <w:vertAlign w:val="subscript"/>
        </w:rPr>
        <w:t>200</w:t>
      </w:r>
      <w:r>
        <w:rPr>
          <w:sz w:val="24"/>
          <w:szCs w:val="24"/>
        </w:rPr>
        <w:t>.</w:t>
      </w:r>
    </w:p>
    <w:p w14:paraId="7B5A06F4" w14:textId="77777777" w:rsidR="001C08A5" w:rsidRDefault="00000000">
      <w:pPr>
        <w:jc w:val="both"/>
        <w:rPr>
          <w:sz w:val="24"/>
          <w:szCs w:val="24"/>
        </w:rPr>
      </w:pPr>
      <w:r>
        <w:rPr>
          <w:sz w:val="24"/>
          <w:szCs w:val="24"/>
        </w:rPr>
        <w:tab/>
      </w:r>
      <w:r>
        <w:rPr>
          <w:b/>
          <w:sz w:val="24"/>
          <w:szCs w:val="24"/>
        </w:rPr>
        <w:t xml:space="preserve">(5) </w:t>
      </w:r>
      <w:r>
        <w:rPr>
          <w:sz w:val="24"/>
          <w:szCs w:val="24"/>
        </w:rPr>
        <w:t xml:space="preserve">La sălile care au portalul spre scenă protejat cu cortină de siguranţă, căile de acces funcţionale dintre scenă şi încăperile pentru reflectoare, loji, regie etc. care comunică liber cu sala, se protejază cu încăperi tampon protejate, ventilate în suprapresiune, realizate cu pereţi rezistenţi la foc minimum </w:t>
      </w:r>
      <w:r>
        <w:rPr>
          <w:b/>
          <w:sz w:val="24"/>
          <w:szCs w:val="24"/>
        </w:rPr>
        <w:t>EI/REI 120</w:t>
      </w:r>
      <w:r>
        <w:rPr>
          <w:sz w:val="24"/>
          <w:szCs w:val="24"/>
        </w:rPr>
        <w:t xml:space="preserve"> şi planşee rezistente la foc minimum </w:t>
      </w:r>
      <w:r>
        <w:rPr>
          <w:b/>
          <w:sz w:val="24"/>
          <w:szCs w:val="24"/>
        </w:rPr>
        <w:t>REI 120</w:t>
      </w:r>
      <w:r>
        <w:rPr>
          <w:sz w:val="24"/>
          <w:szCs w:val="24"/>
        </w:rPr>
        <w:t xml:space="preserve">, prevăzute cu uşi rezistente la foc și etanșe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w:t>
      </w:r>
    </w:p>
    <w:p w14:paraId="47C9B82D" w14:textId="77777777" w:rsidR="001C08A5" w:rsidRDefault="001C08A5">
      <w:pPr>
        <w:jc w:val="both"/>
        <w:rPr>
          <w:sz w:val="24"/>
          <w:szCs w:val="24"/>
        </w:rPr>
      </w:pPr>
    </w:p>
    <w:p w14:paraId="20AB61CD" w14:textId="77777777" w:rsidR="001C08A5" w:rsidRDefault="00000000">
      <w:pPr>
        <w:jc w:val="both"/>
        <w:rPr>
          <w:sz w:val="24"/>
          <w:szCs w:val="24"/>
        </w:rPr>
      </w:pPr>
      <w:r>
        <w:rPr>
          <w:b/>
          <w:sz w:val="24"/>
          <w:szCs w:val="24"/>
        </w:rPr>
        <w:tab/>
        <w:t xml:space="preserve">Art. 4.3.4.2.2. (1) </w:t>
      </w:r>
      <w:r>
        <w:rPr>
          <w:sz w:val="24"/>
          <w:szCs w:val="24"/>
        </w:rPr>
        <w:t xml:space="preserve">Pereţii şi planşeele care separă scena şi buzunarele scenei de anexele lor, vor fi rezistenţi la foc minimum </w:t>
      </w:r>
      <w:r>
        <w:rPr>
          <w:b/>
          <w:sz w:val="24"/>
          <w:szCs w:val="24"/>
        </w:rPr>
        <w:t xml:space="preserve">EI/REI 90 </w:t>
      </w:r>
      <w:r>
        <w:rPr>
          <w:sz w:val="24"/>
          <w:szCs w:val="24"/>
        </w:rPr>
        <w:t xml:space="preserve">pentru pereţi şi </w:t>
      </w:r>
      <w:r>
        <w:rPr>
          <w:b/>
          <w:sz w:val="24"/>
          <w:szCs w:val="24"/>
        </w:rPr>
        <w:t xml:space="preserve">REI 90 </w:t>
      </w:r>
      <w:r>
        <w:rPr>
          <w:sz w:val="24"/>
          <w:szCs w:val="24"/>
        </w:rPr>
        <w:t>pentru planșee.</w:t>
      </w:r>
    </w:p>
    <w:p w14:paraId="69D3CBF0" w14:textId="77777777" w:rsidR="001C08A5" w:rsidRDefault="00000000">
      <w:pPr>
        <w:ind w:firstLine="720"/>
        <w:jc w:val="both"/>
        <w:rPr>
          <w:sz w:val="24"/>
          <w:szCs w:val="24"/>
        </w:rPr>
      </w:pPr>
      <w:r>
        <w:rPr>
          <w:b/>
          <w:sz w:val="24"/>
          <w:szCs w:val="24"/>
        </w:rPr>
        <w:t xml:space="preserve">(2) </w:t>
      </w:r>
      <w:r>
        <w:rPr>
          <w:sz w:val="24"/>
          <w:szCs w:val="24"/>
        </w:rPr>
        <w:t xml:space="preserve">Golurile de circulaţie funcţională din pereţii care separă scena şi buzunarele scenei faţă de anexele acestora (ateliere, cabine, birouri etc.), inclusiv cele din pereţii care separă căile de circulaţie funcţională și evacuare aferente, se protejează cu uşi rezistente la foc și etanșe la fum </w:t>
      </w:r>
      <w:r>
        <w:rPr>
          <w:b/>
          <w:sz w:val="24"/>
          <w:szCs w:val="24"/>
        </w:rPr>
        <w:t>EI</w:t>
      </w:r>
      <w:r>
        <w:rPr>
          <w:b/>
          <w:sz w:val="24"/>
          <w:szCs w:val="24"/>
          <w:vertAlign w:val="subscript"/>
        </w:rPr>
        <w:t>2</w:t>
      </w:r>
      <w:r>
        <w:rPr>
          <w:b/>
          <w:sz w:val="24"/>
          <w:szCs w:val="24"/>
        </w:rPr>
        <w:t xml:space="preserve"> 45-C5S</w:t>
      </w:r>
      <w:r>
        <w:rPr>
          <w:b/>
          <w:bCs/>
          <w:sz w:val="24"/>
          <w:szCs w:val="24"/>
          <w:vertAlign w:val="subscript"/>
        </w:rPr>
        <w:t>200</w:t>
      </w:r>
      <w:r>
        <w:rPr>
          <w:b/>
          <w:sz w:val="24"/>
          <w:szCs w:val="24"/>
          <w:vertAlign w:val="subscript"/>
        </w:rPr>
        <w:t>.</w:t>
      </w:r>
    </w:p>
    <w:p w14:paraId="7D43A78D" w14:textId="77777777" w:rsidR="001C08A5" w:rsidRDefault="00000000">
      <w:pPr>
        <w:ind w:firstLine="720"/>
        <w:jc w:val="both"/>
        <w:rPr>
          <w:sz w:val="24"/>
          <w:szCs w:val="24"/>
        </w:rPr>
      </w:pPr>
      <w:r>
        <w:rPr>
          <w:b/>
          <w:sz w:val="24"/>
          <w:szCs w:val="24"/>
        </w:rPr>
        <w:lastRenderedPageBreak/>
        <w:t xml:space="preserve">(3) </w:t>
      </w:r>
      <w:r>
        <w:rPr>
          <w:sz w:val="24"/>
          <w:szCs w:val="24"/>
        </w:rPr>
        <w:t xml:space="preserve">Planşeele cabinelor pentru artişti și ale depozitelor de materiale combustibile amplasate sub scenă, trebuie să fie rezistente la foc minimum </w:t>
      </w:r>
      <w:r>
        <w:rPr>
          <w:b/>
          <w:sz w:val="24"/>
          <w:szCs w:val="24"/>
        </w:rPr>
        <w:t>REI 90</w:t>
      </w:r>
      <w:r>
        <w:rPr>
          <w:sz w:val="24"/>
          <w:szCs w:val="24"/>
        </w:rPr>
        <w:t xml:space="preserve"> pentru cabine şi mimimum </w:t>
      </w:r>
      <w:r>
        <w:rPr>
          <w:b/>
          <w:sz w:val="24"/>
          <w:szCs w:val="24"/>
        </w:rPr>
        <w:t>REI 180</w:t>
      </w:r>
      <w:r>
        <w:rPr>
          <w:sz w:val="24"/>
          <w:szCs w:val="24"/>
        </w:rPr>
        <w:t xml:space="preserve"> pentru depozite.</w:t>
      </w:r>
    </w:p>
    <w:p w14:paraId="277FC59C" w14:textId="77777777" w:rsidR="001C08A5" w:rsidRDefault="00000000">
      <w:pPr>
        <w:ind w:firstLine="720"/>
        <w:jc w:val="both"/>
        <w:rPr>
          <w:sz w:val="24"/>
          <w:szCs w:val="24"/>
        </w:rPr>
      </w:pPr>
      <w:r>
        <w:rPr>
          <w:b/>
          <w:sz w:val="24"/>
          <w:szCs w:val="24"/>
        </w:rPr>
        <w:t>(4)</w:t>
      </w:r>
      <w:r>
        <w:rPr>
          <w:sz w:val="24"/>
          <w:szCs w:val="24"/>
        </w:rPr>
        <w:t xml:space="preserve"> Pereţii care separă depozitele pentru materiale combustibile şi atelierele anexe cu risc mare de incendiu faţă de restul clădirii teatrului, vor fi rezistenţi la foc minimum </w:t>
      </w:r>
      <w:r>
        <w:rPr>
          <w:b/>
          <w:sz w:val="24"/>
          <w:szCs w:val="24"/>
        </w:rPr>
        <w:t>EI/REI 240</w:t>
      </w:r>
      <w:r>
        <w:rPr>
          <w:sz w:val="24"/>
          <w:szCs w:val="24"/>
        </w:rPr>
        <w:t xml:space="preserve"> şi fără alte goluri decât cele strict necesare circulaţiei funcţionale, protejate cu uşi rezistente la foc și etanșe la fum minimum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w:t>
      </w:r>
    </w:p>
    <w:p w14:paraId="6BCCAF09" w14:textId="77777777" w:rsidR="001C08A5" w:rsidRDefault="00000000">
      <w:pPr>
        <w:ind w:firstLine="720"/>
        <w:jc w:val="both"/>
        <w:rPr>
          <w:sz w:val="24"/>
          <w:szCs w:val="24"/>
        </w:rPr>
      </w:pPr>
      <w:r>
        <w:rPr>
          <w:b/>
          <w:sz w:val="24"/>
          <w:szCs w:val="24"/>
        </w:rPr>
        <w:t>(5)</w:t>
      </w:r>
      <w:r>
        <w:rPr>
          <w:sz w:val="24"/>
          <w:szCs w:val="24"/>
        </w:rPr>
        <w:t xml:space="preserve"> Acoperişul scenei şi structurile de rezistenţă ale pasarelelor şi grătarelor scenei se pot executa din materiale </w:t>
      </w:r>
      <w:r>
        <w:rPr>
          <w:b/>
          <w:bCs/>
          <w:sz w:val="24"/>
          <w:szCs w:val="24"/>
        </w:rPr>
        <w:t xml:space="preserve">A1 </w:t>
      </w:r>
      <w:r>
        <w:rPr>
          <w:sz w:val="24"/>
          <w:szCs w:val="24"/>
        </w:rPr>
        <w:t xml:space="preserve">sau </w:t>
      </w:r>
      <w:r>
        <w:rPr>
          <w:b/>
          <w:bCs/>
          <w:sz w:val="24"/>
          <w:szCs w:val="24"/>
        </w:rPr>
        <w:t>A2-s1d0</w:t>
      </w:r>
      <w:r>
        <w:rPr>
          <w:sz w:val="24"/>
          <w:szCs w:val="24"/>
        </w:rPr>
        <w:t xml:space="preserve">, rezistente la foc </w:t>
      </w:r>
      <w:r>
        <w:rPr>
          <w:b/>
          <w:sz w:val="24"/>
          <w:szCs w:val="24"/>
        </w:rPr>
        <w:t>R 15</w:t>
      </w:r>
      <w:r>
        <w:rPr>
          <w:sz w:val="24"/>
          <w:szCs w:val="24"/>
        </w:rPr>
        <w:t xml:space="preserve">. </w:t>
      </w:r>
    </w:p>
    <w:p w14:paraId="2663E368" w14:textId="77777777" w:rsidR="001C08A5" w:rsidRDefault="00000000">
      <w:pPr>
        <w:jc w:val="both"/>
        <w:rPr>
          <w:sz w:val="24"/>
          <w:szCs w:val="24"/>
        </w:rPr>
      </w:pPr>
      <w:r>
        <w:rPr>
          <w:sz w:val="24"/>
          <w:szCs w:val="24"/>
        </w:rPr>
        <w:tab/>
      </w:r>
      <w:r>
        <w:rPr>
          <w:b/>
          <w:sz w:val="24"/>
          <w:szCs w:val="24"/>
        </w:rPr>
        <w:t xml:space="preserve">(6) </w:t>
      </w:r>
      <w:r>
        <w:rPr>
          <w:sz w:val="24"/>
          <w:szCs w:val="24"/>
        </w:rPr>
        <w:t xml:space="preserve">Golurile de acces din clădire la pasarelele scenei se protejează cu uşi rezistente la foc și etanșe la fum minimum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 xml:space="preserve">. </w:t>
      </w:r>
    </w:p>
    <w:p w14:paraId="6117DF6D" w14:textId="77777777" w:rsidR="001C08A5" w:rsidRDefault="00000000">
      <w:pPr>
        <w:jc w:val="both"/>
        <w:rPr>
          <w:sz w:val="24"/>
          <w:szCs w:val="24"/>
        </w:rPr>
      </w:pPr>
      <w:r>
        <w:rPr>
          <w:sz w:val="24"/>
          <w:szCs w:val="24"/>
        </w:rPr>
        <w:tab/>
      </w:r>
      <w:r>
        <w:rPr>
          <w:b/>
          <w:sz w:val="24"/>
          <w:szCs w:val="24"/>
        </w:rPr>
        <w:t>(7)</w:t>
      </w:r>
      <w:r>
        <w:rPr>
          <w:sz w:val="24"/>
          <w:szCs w:val="24"/>
        </w:rPr>
        <w:t xml:space="preserve"> Grătarele pasarelelor pot fi realizate din materiale clasa de reacţie la foc </w:t>
      </w:r>
      <w:r>
        <w:rPr>
          <w:b/>
          <w:sz w:val="24"/>
          <w:szCs w:val="24"/>
        </w:rPr>
        <w:t>A1</w:t>
      </w:r>
      <w:r>
        <w:rPr>
          <w:sz w:val="24"/>
          <w:szCs w:val="24"/>
        </w:rPr>
        <w:t>,</w:t>
      </w:r>
      <w:r>
        <w:rPr>
          <w:b/>
          <w:sz w:val="24"/>
          <w:szCs w:val="24"/>
        </w:rPr>
        <w:t xml:space="preserve"> A2-s1d0</w:t>
      </w:r>
      <w:r>
        <w:rPr>
          <w:sz w:val="24"/>
          <w:szCs w:val="24"/>
        </w:rPr>
        <w:t xml:space="preserve"> sau </w:t>
      </w:r>
      <w:r>
        <w:rPr>
          <w:b/>
          <w:sz w:val="24"/>
          <w:szCs w:val="24"/>
        </w:rPr>
        <w:t>B-s1d0</w:t>
      </w:r>
      <w:r>
        <w:rPr>
          <w:sz w:val="24"/>
          <w:szCs w:val="24"/>
        </w:rPr>
        <w:t>.</w:t>
      </w:r>
    </w:p>
    <w:p w14:paraId="6BE33FD9" w14:textId="77777777" w:rsidR="001C08A5" w:rsidRDefault="00000000">
      <w:pPr>
        <w:jc w:val="both"/>
        <w:rPr>
          <w:sz w:val="24"/>
          <w:szCs w:val="24"/>
        </w:rPr>
      </w:pPr>
      <w:r>
        <w:rPr>
          <w:sz w:val="24"/>
          <w:szCs w:val="24"/>
        </w:rPr>
        <w:tab/>
      </w:r>
      <w:r>
        <w:rPr>
          <w:b/>
          <w:sz w:val="24"/>
          <w:szCs w:val="24"/>
        </w:rPr>
        <w:t xml:space="preserve">(8) </w:t>
      </w:r>
      <w:r>
        <w:rPr>
          <w:sz w:val="24"/>
          <w:szCs w:val="24"/>
        </w:rPr>
        <w:t xml:space="preserve">Planşeele care separă scena sau buzunarele scenei de alte încăperi situate deasupra lor, trebuie să fie rezistente la foc de minimum </w:t>
      </w:r>
      <w:r>
        <w:rPr>
          <w:b/>
          <w:sz w:val="24"/>
          <w:szCs w:val="24"/>
        </w:rPr>
        <w:t>REI 120</w:t>
      </w:r>
      <w:r>
        <w:rPr>
          <w:sz w:val="24"/>
          <w:szCs w:val="24"/>
        </w:rPr>
        <w:t>.</w:t>
      </w:r>
    </w:p>
    <w:p w14:paraId="08154D37" w14:textId="77777777" w:rsidR="001C08A5" w:rsidRDefault="001C08A5">
      <w:pPr>
        <w:jc w:val="both"/>
        <w:rPr>
          <w:sz w:val="24"/>
          <w:szCs w:val="24"/>
        </w:rPr>
      </w:pPr>
    </w:p>
    <w:p w14:paraId="343FE151" w14:textId="77777777" w:rsidR="001C08A5" w:rsidRDefault="00000000">
      <w:pPr>
        <w:jc w:val="both"/>
        <w:rPr>
          <w:sz w:val="24"/>
          <w:szCs w:val="24"/>
        </w:rPr>
      </w:pPr>
      <w:r>
        <w:rPr>
          <w:b/>
          <w:sz w:val="24"/>
          <w:szCs w:val="24"/>
        </w:rPr>
        <w:tab/>
        <w:t>Art. 4.3.4.2.3. (1)</w:t>
      </w:r>
      <w:r>
        <w:rPr>
          <w:sz w:val="24"/>
          <w:szCs w:val="24"/>
        </w:rPr>
        <w:t xml:space="preserve"> Proiecţia filmelor pe bază de nitroceleloză, trebuie să se facă din cabine special amenajate, atunci când se utilizează mai mult de un aparat de proiecţie a filmelor neinflamabile (peliculă de siguranţă) sau de proiecţie digitală, precum și indiferent de numărul aparatelor la proiecţia filmelor pe bază de nitroceluloză.</w:t>
      </w:r>
    </w:p>
    <w:p w14:paraId="11B3ABF5" w14:textId="77777777" w:rsidR="001C08A5" w:rsidRDefault="00000000">
      <w:pPr>
        <w:ind w:firstLine="720"/>
        <w:jc w:val="both"/>
        <w:rPr>
          <w:sz w:val="24"/>
          <w:szCs w:val="24"/>
        </w:rPr>
      </w:pPr>
      <w:r>
        <w:rPr>
          <w:b/>
          <w:sz w:val="24"/>
          <w:szCs w:val="24"/>
        </w:rPr>
        <w:t>(2)</w:t>
      </w:r>
      <w:r>
        <w:rPr>
          <w:sz w:val="24"/>
          <w:szCs w:val="24"/>
        </w:rPr>
        <w:t xml:space="preserve"> Pereţii şi planşeele cabinei de proiecţie pentru peliculă pe bază de nitroceluloză cu mai mult de un aparat de proiecţie a filmelor și ale depozitelor aferente cabinei de proiecţie, vor fi rezistenţi la foc de minimum </w:t>
      </w:r>
      <w:r>
        <w:rPr>
          <w:b/>
          <w:sz w:val="24"/>
          <w:szCs w:val="24"/>
        </w:rPr>
        <w:t>EI/REI 90</w:t>
      </w:r>
      <w:r>
        <w:rPr>
          <w:sz w:val="24"/>
          <w:szCs w:val="24"/>
        </w:rPr>
        <w:t xml:space="preserve"> pentru pereţi şi </w:t>
      </w:r>
      <w:r>
        <w:rPr>
          <w:b/>
          <w:sz w:val="24"/>
          <w:szCs w:val="24"/>
        </w:rPr>
        <w:t>REI 60</w:t>
      </w:r>
      <w:r>
        <w:rPr>
          <w:sz w:val="24"/>
          <w:szCs w:val="24"/>
        </w:rPr>
        <w:t xml:space="preserve"> pentru planşee.</w:t>
      </w:r>
    </w:p>
    <w:p w14:paraId="34D88D14" w14:textId="77777777" w:rsidR="001C08A5" w:rsidRDefault="00000000">
      <w:pPr>
        <w:ind w:firstLine="720"/>
        <w:jc w:val="both"/>
        <w:rPr>
          <w:sz w:val="24"/>
          <w:szCs w:val="24"/>
        </w:rPr>
      </w:pPr>
      <w:r>
        <w:rPr>
          <w:b/>
          <w:sz w:val="24"/>
          <w:szCs w:val="24"/>
        </w:rPr>
        <w:t xml:space="preserve">(3) </w:t>
      </w:r>
      <w:r>
        <w:rPr>
          <w:sz w:val="24"/>
          <w:szCs w:val="24"/>
        </w:rPr>
        <w:t xml:space="preserve">Cabina de proiecţie pentru peliculă pe bază de nitroceluloză cu mai mult de un aparat de proiecţie nu trebuie să comunice direct cu sala în care se află publicul decât prin vizete de proiecţie şi observare, închise etanş contra fumului cu geamuri şi protejate cu obloane </w:t>
      </w:r>
      <w:r>
        <w:rPr>
          <w:b/>
          <w:sz w:val="24"/>
          <w:szCs w:val="24"/>
        </w:rPr>
        <w:t>EI 30,</w:t>
      </w:r>
      <w:r>
        <w:rPr>
          <w:sz w:val="24"/>
          <w:szCs w:val="24"/>
        </w:rPr>
        <w:t xml:space="preserve"> care prin închidere în caz de incendiu, să acţioneze aprinderea automată a luminii din sală.</w:t>
      </w:r>
    </w:p>
    <w:p w14:paraId="72A8FF25" w14:textId="77777777" w:rsidR="001C08A5" w:rsidRDefault="00000000">
      <w:pPr>
        <w:jc w:val="both"/>
        <w:rPr>
          <w:sz w:val="24"/>
          <w:szCs w:val="24"/>
        </w:rPr>
      </w:pPr>
      <w:r>
        <w:rPr>
          <w:sz w:val="24"/>
          <w:szCs w:val="24"/>
        </w:rPr>
        <w:tab/>
      </w:r>
      <w:r>
        <w:rPr>
          <w:b/>
          <w:sz w:val="24"/>
          <w:szCs w:val="24"/>
        </w:rPr>
        <w:t>(4)</w:t>
      </w:r>
      <w:r>
        <w:rPr>
          <w:sz w:val="24"/>
          <w:szCs w:val="24"/>
        </w:rPr>
        <w:t xml:space="preserve"> Dacă pentru proiecţia peliculelor de siguranţă se folosesc becuri incandescente sau becuri cu descărcări în gaze cu o putere mai mică de </w:t>
      </w:r>
      <w:r>
        <w:rPr>
          <w:b/>
          <w:bCs/>
          <w:sz w:val="24"/>
          <w:szCs w:val="24"/>
        </w:rPr>
        <w:t>2000 W</w:t>
      </w:r>
      <w:r>
        <w:rPr>
          <w:sz w:val="24"/>
          <w:szCs w:val="24"/>
        </w:rPr>
        <w:t xml:space="preserve">, cabina de proiecţie poate comunica cu sala în care se află publicul prin uşi rezistente la foc și etanșe la fum </w:t>
      </w:r>
      <w:r>
        <w:rPr>
          <w:b/>
          <w:sz w:val="24"/>
          <w:szCs w:val="24"/>
        </w:rPr>
        <w:t>EI</w:t>
      </w:r>
      <w:r>
        <w:rPr>
          <w:b/>
          <w:sz w:val="24"/>
          <w:szCs w:val="24"/>
          <w:vertAlign w:val="subscript"/>
        </w:rPr>
        <w:t>2</w:t>
      </w:r>
      <w:r>
        <w:rPr>
          <w:b/>
          <w:sz w:val="24"/>
          <w:szCs w:val="24"/>
        </w:rPr>
        <w:t xml:space="preserve"> 30-C5 S</w:t>
      </w:r>
      <w:r>
        <w:rPr>
          <w:b/>
          <w:sz w:val="24"/>
          <w:szCs w:val="24"/>
          <w:vertAlign w:val="subscript"/>
        </w:rPr>
        <w:t>a</w:t>
      </w:r>
      <w:r>
        <w:rPr>
          <w:sz w:val="24"/>
          <w:szCs w:val="24"/>
        </w:rPr>
        <w:t xml:space="preserve">, iar vizetele nu trebuie să fie protejate cu obloane </w:t>
      </w:r>
      <w:r>
        <w:rPr>
          <w:b/>
          <w:bCs/>
          <w:sz w:val="24"/>
          <w:szCs w:val="24"/>
        </w:rPr>
        <w:t xml:space="preserve">EI 30 </w:t>
      </w:r>
      <w:r>
        <w:rPr>
          <w:sz w:val="24"/>
          <w:szCs w:val="24"/>
        </w:rPr>
        <w:t xml:space="preserve">decât dacă depăşesc suprafaţa de </w:t>
      </w:r>
      <w:r>
        <w:rPr>
          <w:b/>
          <w:sz w:val="24"/>
          <w:szCs w:val="24"/>
        </w:rPr>
        <w:t>0,16</w:t>
      </w:r>
      <w:r>
        <w:rPr>
          <w:sz w:val="24"/>
          <w:szCs w:val="24"/>
        </w:rPr>
        <w:t xml:space="preserve"> m</w:t>
      </w:r>
      <w:r>
        <w:rPr>
          <w:sz w:val="24"/>
          <w:szCs w:val="24"/>
          <w:vertAlign w:val="superscript"/>
        </w:rPr>
        <w:t>2</w:t>
      </w:r>
      <w:r>
        <w:rPr>
          <w:sz w:val="24"/>
          <w:szCs w:val="24"/>
        </w:rPr>
        <w:t xml:space="preserve">. </w:t>
      </w:r>
    </w:p>
    <w:p w14:paraId="58512833" w14:textId="77777777" w:rsidR="001C08A5" w:rsidRDefault="00000000">
      <w:pPr>
        <w:jc w:val="both"/>
        <w:rPr>
          <w:sz w:val="24"/>
          <w:szCs w:val="24"/>
        </w:rPr>
      </w:pPr>
      <w:r>
        <w:rPr>
          <w:sz w:val="24"/>
          <w:szCs w:val="24"/>
        </w:rPr>
        <w:tab/>
      </w:r>
      <w:r>
        <w:rPr>
          <w:b/>
          <w:sz w:val="24"/>
          <w:szCs w:val="24"/>
        </w:rPr>
        <w:t xml:space="preserve">(5) </w:t>
      </w:r>
      <w:r>
        <w:rPr>
          <w:sz w:val="24"/>
          <w:szCs w:val="24"/>
        </w:rPr>
        <w:t>Comunicarea cabinei de proiecţie pentru pelicule de siguranţă şi a anexelor sale cu căile de circulaţie funcţională şi evacuare ale publicului se asigură numai prin încăperi tampon protejate.</w:t>
      </w:r>
    </w:p>
    <w:p w14:paraId="3C800CD0" w14:textId="77777777" w:rsidR="001C08A5" w:rsidRDefault="00000000">
      <w:pPr>
        <w:jc w:val="both"/>
        <w:rPr>
          <w:sz w:val="24"/>
          <w:szCs w:val="24"/>
        </w:rPr>
      </w:pPr>
      <w:r>
        <w:rPr>
          <w:sz w:val="24"/>
          <w:szCs w:val="24"/>
        </w:rPr>
        <w:tab/>
      </w:r>
      <w:r>
        <w:rPr>
          <w:b/>
          <w:sz w:val="24"/>
          <w:szCs w:val="24"/>
        </w:rPr>
        <w:t>(6)</w:t>
      </w:r>
      <w:r>
        <w:rPr>
          <w:sz w:val="24"/>
          <w:szCs w:val="24"/>
        </w:rPr>
        <w:t xml:space="preserve"> Ușile cabinei de proiecţie, ale încăperilor de derulare şi aparataj electric precum și cele ale încăperii tampon prin care comunică cu restul clădirii, trebuie să fie rezistente la foc și etanșe la fum minimum </w:t>
      </w:r>
      <w:r>
        <w:rPr>
          <w:b/>
          <w:sz w:val="24"/>
          <w:szCs w:val="24"/>
        </w:rPr>
        <w:t>EI</w:t>
      </w:r>
      <w:r>
        <w:rPr>
          <w:b/>
          <w:sz w:val="24"/>
          <w:szCs w:val="24"/>
          <w:vertAlign w:val="subscript"/>
        </w:rPr>
        <w:t>2</w:t>
      </w:r>
      <w:r>
        <w:rPr>
          <w:b/>
          <w:sz w:val="24"/>
          <w:szCs w:val="24"/>
        </w:rPr>
        <w:t xml:space="preserve"> 45-C5 S</w:t>
      </w:r>
      <w:r>
        <w:rPr>
          <w:b/>
          <w:sz w:val="24"/>
          <w:szCs w:val="24"/>
          <w:vertAlign w:val="subscript"/>
        </w:rPr>
        <w:t>a</w:t>
      </w:r>
      <w:r>
        <w:rPr>
          <w:sz w:val="24"/>
          <w:szCs w:val="24"/>
        </w:rPr>
        <w:t xml:space="preserve">. </w:t>
      </w:r>
    </w:p>
    <w:p w14:paraId="17784AB3" w14:textId="77777777" w:rsidR="001C08A5" w:rsidRDefault="00000000">
      <w:pPr>
        <w:jc w:val="both"/>
        <w:rPr>
          <w:sz w:val="24"/>
          <w:szCs w:val="24"/>
        </w:rPr>
      </w:pPr>
      <w:r>
        <w:rPr>
          <w:sz w:val="24"/>
          <w:szCs w:val="24"/>
        </w:rPr>
        <w:tab/>
      </w:r>
      <w:r>
        <w:rPr>
          <w:b/>
          <w:sz w:val="24"/>
          <w:szCs w:val="24"/>
        </w:rPr>
        <w:t xml:space="preserve">(7) </w:t>
      </w:r>
      <w:r>
        <w:rPr>
          <w:sz w:val="24"/>
          <w:szCs w:val="24"/>
        </w:rPr>
        <w:t xml:space="preserve">Cabinele de proiecţie digitală cu mai mult de un aparat de proiecţie a filmelor, trebuie să fie separate de restul clădirii prin pereţi rezistenţi la foc minimum </w:t>
      </w:r>
      <w:r>
        <w:rPr>
          <w:b/>
          <w:sz w:val="24"/>
          <w:szCs w:val="24"/>
        </w:rPr>
        <w:t>EI/REI 60</w:t>
      </w:r>
      <w:r>
        <w:rPr>
          <w:sz w:val="24"/>
          <w:szCs w:val="24"/>
        </w:rPr>
        <w:t xml:space="preserve"> și planşee rezistente la foc minimum </w:t>
      </w:r>
      <w:r>
        <w:rPr>
          <w:b/>
          <w:sz w:val="24"/>
          <w:szCs w:val="24"/>
        </w:rPr>
        <w:t>REI 60</w:t>
      </w:r>
      <w:r>
        <w:rPr>
          <w:sz w:val="24"/>
          <w:szCs w:val="24"/>
        </w:rPr>
        <w:t xml:space="preserve">, iar ușile de comunicare cu restul clădirii vor fi rezistente la foc și etanșe la fum </w:t>
      </w:r>
      <w:r>
        <w:rPr>
          <w:b/>
          <w:sz w:val="24"/>
          <w:szCs w:val="24"/>
        </w:rPr>
        <w:t>EI</w:t>
      </w:r>
      <w:r>
        <w:rPr>
          <w:b/>
          <w:sz w:val="24"/>
          <w:szCs w:val="24"/>
          <w:vertAlign w:val="subscript"/>
        </w:rPr>
        <w:t>2</w:t>
      </w:r>
      <w:r>
        <w:rPr>
          <w:b/>
          <w:sz w:val="24"/>
          <w:szCs w:val="24"/>
        </w:rPr>
        <w:t xml:space="preserve"> 30-C5 S</w:t>
      </w:r>
      <w:r>
        <w:rPr>
          <w:b/>
          <w:sz w:val="24"/>
          <w:szCs w:val="24"/>
          <w:vertAlign w:val="subscript"/>
        </w:rPr>
        <w:t>a</w:t>
      </w:r>
      <w:r>
        <w:rPr>
          <w:sz w:val="24"/>
          <w:szCs w:val="24"/>
        </w:rPr>
        <w:t>.</w:t>
      </w:r>
    </w:p>
    <w:p w14:paraId="7CD68546" w14:textId="77777777" w:rsidR="001C08A5" w:rsidRDefault="001C08A5">
      <w:pPr>
        <w:jc w:val="both"/>
        <w:rPr>
          <w:sz w:val="24"/>
          <w:szCs w:val="24"/>
        </w:rPr>
      </w:pPr>
    </w:p>
    <w:p w14:paraId="4CC3BCE0" w14:textId="77777777" w:rsidR="001C08A5" w:rsidRDefault="00000000">
      <w:pPr>
        <w:jc w:val="both"/>
        <w:rPr>
          <w:sz w:val="24"/>
          <w:szCs w:val="24"/>
        </w:rPr>
      </w:pPr>
      <w:r>
        <w:rPr>
          <w:b/>
          <w:sz w:val="24"/>
          <w:szCs w:val="24"/>
        </w:rPr>
        <w:tab/>
        <w:t>Art. 4.3.4.2.4.</w:t>
      </w:r>
      <w:r>
        <w:rPr>
          <w:sz w:val="24"/>
          <w:szCs w:val="24"/>
        </w:rPr>
        <w:t xml:space="preserve"> Deasupra scenelor amenajate ale sălilor de teatru nu se prevăd sau amenajează încăperi cu alte destinaţii.</w:t>
      </w:r>
    </w:p>
    <w:p w14:paraId="0C31AD54" w14:textId="77777777" w:rsidR="001C08A5" w:rsidRDefault="001C08A5">
      <w:pPr>
        <w:jc w:val="both"/>
        <w:rPr>
          <w:sz w:val="24"/>
          <w:szCs w:val="24"/>
        </w:rPr>
      </w:pPr>
    </w:p>
    <w:p w14:paraId="68D31BB9" w14:textId="77777777" w:rsidR="001C08A5" w:rsidRDefault="00000000">
      <w:pPr>
        <w:jc w:val="both"/>
        <w:rPr>
          <w:sz w:val="24"/>
          <w:szCs w:val="24"/>
        </w:rPr>
      </w:pPr>
      <w:r>
        <w:rPr>
          <w:b/>
          <w:sz w:val="24"/>
          <w:szCs w:val="24"/>
        </w:rPr>
        <w:tab/>
        <w:t xml:space="preserve">Art. 4.3.4.2.5. </w:t>
      </w:r>
      <w:r>
        <w:rPr>
          <w:sz w:val="24"/>
          <w:szCs w:val="24"/>
        </w:rPr>
        <w:t xml:space="preserve">Sălile de teatru cu mai mult de </w:t>
      </w:r>
      <w:r>
        <w:rPr>
          <w:b/>
          <w:bCs/>
          <w:sz w:val="24"/>
          <w:szCs w:val="24"/>
        </w:rPr>
        <w:t>600</w:t>
      </w:r>
      <w:r>
        <w:rPr>
          <w:sz w:val="24"/>
          <w:szCs w:val="24"/>
        </w:rPr>
        <w:t xml:space="preserve"> locuri şi scenă amenajată vor avea prevăzute:</w:t>
      </w:r>
    </w:p>
    <w:p w14:paraId="05DB687E" w14:textId="77777777" w:rsidR="001C08A5" w:rsidRDefault="00000000">
      <w:pPr>
        <w:ind w:left="709" w:firstLine="720"/>
        <w:jc w:val="both"/>
        <w:rPr>
          <w:sz w:val="24"/>
          <w:szCs w:val="24"/>
        </w:rPr>
      </w:pPr>
      <w:r>
        <w:rPr>
          <w:b/>
          <w:sz w:val="24"/>
          <w:szCs w:val="24"/>
        </w:rPr>
        <w:t xml:space="preserve">a) </w:t>
      </w:r>
      <w:r>
        <w:rPr>
          <w:sz w:val="24"/>
          <w:szCs w:val="24"/>
        </w:rPr>
        <w:t xml:space="preserve">cortine de siguranţă între scenă şi sală, , rezistente la foc minimum </w:t>
      </w:r>
      <w:r>
        <w:rPr>
          <w:b/>
          <w:sz w:val="24"/>
          <w:szCs w:val="24"/>
        </w:rPr>
        <w:t>EI 90</w:t>
      </w:r>
      <w:r>
        <w:rPr>
          <w:sz w:val="24"/>
          <w:szCs w:val="24"/>
        </w:rPr>
        <w:t xml:space="preserve">. Cortinele de siguranţă trebuie să poată fi coborâte prin comenzi automate şi manuale, local sau de la distanță, în cel mult </w:t>
      </w:r>
      <w:r>
        <w:rPr>
          <w:b/>
          <w:bCs/>
          <w:sz w:val="24"/>
          <w:szCs w:val="24"/>
        </w:rPr>
        <w:t xml:space="preserve">40 </w:t>
      </w:r>
      <w:r>
        <w:rPr>
          <w:sz w:val="24"/>
          <w:szCs w:val="24"/>
        </w:rPr>
        <w:t>de secunde.</w:t>
      </w:r>
    </w:p>
    <w:p w14:paraId="4D446CE9" w14:textId="77777777" w:rsidR="001C08A5" w:rsidRDefault="00000000">
      <w:pPr>
        <w:ind w:left="709" w:firstLine="720"/>
        <w:jc w:val="both"/>
        <w:rPr>
          <w:sz w:val="24"/>
          <w:szCs w:val="24"/>
          <w:lang w:eastAsia="ro-RO"/>
        </w:rPr>
      </w:pPr>
      <w:r>
        <w:rPr>
          <w:b/>
          <w:sz w:val="24"/>
          <w:szCs w:val="24"/>
        </w:rPr>
        <w:t xml:space="preserve">b) </w:t>
      </w:r>
      <w:r>
        <w:rPr>
          <w:sz w:val="24"/>
          <w:szCs w:val="24"/>
          <w:lang w:eastAsia="ro-RO"/>
        </w:rPr>
        <w:t>încăpere proprie aferentă serviciului pentru situaţii de urgenţă, care va avea acces uşor (facil) și sigur din exterior în caz de incendiu şi acces la scenă şi încăperile unde sunt necesare manevre sau intervenţii în caz de incendiu, în condițiile în care este obligatorie constituirea acestor servicii;</w:t>
      </w:r>
    </w:p>
    <w:p w14:paraId="5512F6E4" w14:textId="77777777" w:rsidR="001C08A5" w:rsidRDefault="00000000">
      <w:pPr>
        <w:ind w:left="709" w:firstLine="720"/>
        <w:jc w:val="both"/>
        <w:rPr>
          <w:sz w:val="24"/>
          <w:szCs w:val="24"/>
        </w:rPr>
      </w:pPr>
      <w:r>
        <w:rPr>
          <w:b/>
          <w:sz w:val="24"/>
          <w:szCs w:val="24"/>
        </w:rPr>
        <w:lastRenderedPageBreak/>
        <w:t>c)</w:t>
      </w:r>
      <w:r>
        <w:rPr>
          <w:sz w:val="24"/>
          <w:szCs w:val="24"/>
        </w:rPr>
        <w:t xml:space="preserve"> posibilităţi de acces şi intervenţie în caz de incendiu la părţile superioare ale scenei, la nivelul podiumului de joc și la subsolul scenei, prin scări interioare închise sau prin scări exterioare deschise, iar golurile de acces vor protejate cu uşi rezistente la foc și etanșe la fum minimum </w:t>
      </w:r>
      <w:r>
        <w:rPr>
          <w:b/>
          <w:sz w:val="24"/>
          <w:szCs w:val="24"/>
        </w:rPr>
        <w:t>EI</w:t>
      </w:r>
      <w:r>
        <w:rPr>
          <w:b/>
          <w:sz w:val="24"/>
          <w:szCs w:val="24"/>
          <w:vertAlign w:val="subscript"/>
        </w:rPr>
        <w:t>2</w:t>
      </w:r>
      <w:r>
        <w:rPr>
          <w:b/>
          <w:sz w:val="24"/>
          <w:szCs w:val="24"/>
        </w:rPr>
        <w:t xml:space="preserve"> 45-C5S</w:t>
      </w:r>
      <w:r>
        <w:rPr>
          <w:b/>
          <w:bCs/>
          <w:sz w:val="24"/>
          <w:szCs w:val="24"/>
          <w:vertAlign w:val="subscript"/>
        </w:rPr>
        <w:t>200</w:t>
      </w:r>
      <w:r>
        <w:rPr>
          <w:sz w:val="24"/>
          <w:szCs w:val="24"/>
        </w:rPr>
        <w:t xml:space="preserve">. </w:t>
      </w:r>
    </w:p>
    <w:p w14:paraId="53967746" w14:textId="77777777" w:rsidR="001C08A5" w:rsidRDefault="00000000">
      <w:pPr>
        <w:jc w:val="both"/>
        <w:rPr>
          <w:sz w:val="24"/>
          <w:szCs w:val="24"/>
        </w:rPr>
      </w:pPr>
      <w:r>
        <w:rPr>
          <w:sz w:val="24"/>
          <w:szCs w:val="24"/>
        </w:rPr>
        <w:tab/>
      </w:r>
    </w:p>
    <w:p w14:paraId="4E6A883A" w14:textId="77777777" w:rsidR="001C08A5" w:rsidRDefault="00000000">
      <w:pPr>
        <w:jc w:val="both"/>
        <w:rPr>
          <w:sz w:val="24"/>
          <w:szCs w:val="24"/>
        </w:rPr>
      </w:pPr>
      <w:r>
        <w:rPr>
          <w:b/>
          <w:sz w:val="24"/>
          <w:szCs w:val="24"/>
        </w:rPr>
        <w:tab/>
        <w:t>Art. 4.3.4.2.6. (1)</w:t>
      </w:r>
      <w:r>
        <w:rPr>
          <w:sz w:val="24"/>
          <w:szCs w:val="24"/>
        </w:rPr>
        <w:t xml:space="preserve"> Scenele prevăzute cu cortină de siguranţă, buzunarele scenelor cu aria mai mare de </w:t>
      </w:r>
      <w:r>
        <w:rPr>
          <w:b/>
          <w:bCs/>
          <w:sz w:val="24"/>
          <w:szCs w:val="24"/>
        </w:rPr>
        <w:t>100 m</w:t>
      </w:r>
      <w:r>
        <w:rPr>
          <w:b/>
          <w:bCs/>
          <w:sz w:val="24"/>
          <w:szCs w:val="24"/>
          <w:vertAlign w:val="superscript"/>
        </w:rPr>
        <w:t>2</w:t>
      </w:r>
      <w:r>
        <w:rPr>
          <w:sz w:val="24"/>
          <w:szCs w:val="24"/>
        </w:rPr>
        <w:t xml:space="preserve"> și fosele pentru orchestră cu peste </w:t>
      </w:r>
      <w:r>
        <w:rPr>
          <w:b/>
          <w:bCs/>
          <w:sz w:val="24"/>
          <w:szCs w:val="24"/>
        </w:rPr>
        <w:t>50</w:t>
      </w:r>
      <w:r>
        <w:rPr>
          <w:sz w:val="24"/>
          <w:szCs w:val="24"/>
        </w:rPr>
        <w:t xml:space="preserve"> de locuri, vor avea obligatoriu două ieşiri de evacuare distincte de cele ale sălii teatrului, iar la scenele fără cortină de siguranţă, una din ieşirile de evacuare poate fi asigurată prin sala teatrului. La sălile tip arenă, căile de evacuare ale publicului constituie și căi de evacuare ale actorilor. </w:t>
      </w:r>
    </w:p>
    <w:p w14:paraId="67F90411" w14:textId="77777777" w:rsidR="001C08A5" w:rsidRDefault="00000000">
      <w:pPr>
        <w:ind w:firstLine="720"/>
        <w:jc w:val="both"/>
        <w:rPr>
          <w:sz w:val="24"/>
          <w:szCs w:val="24"/>
        </w:rPr>
      </w:pPr>
      <w:r>
        <w:rPr>
          <w:b/>
          <w:sz w:val="24"/>
          <w:szCs w:val="24"/>
        </w:rPr>
        <w:t xml:space="preserve">(2) </w:t>
      </w:r>
      <w:r>
        <w:rPr>
          <w:sz w:val="24"/>
          <w:szCs w:val="24"/>
        </w:rPr>
        <w:t xml:space="preserve">Căile de evacuare ale balcoanelor şi lojelor din sălile cu scene de teatru, cele ale încăperilor de servire a publicului, precum şi cel puţin una dintre cele ale supantelor pentru mai mult de </w:t>
      </w:r>
      <w:r>
        <w:rPr>
          <w:b/>
          <w:bCs/>
          <w:sz w:val="24"/>
          <w:szCs w:val="24"/>
        </w:rPr>
        <w:t>100</w:t>
      </w:r>
      <w:r>
        <w:rPr>
          <w:sz w:val="24"/>
          <w:szCs w:val="24"/>
        </w:rPr>
        <w:t xml:space="preserve"> persoane din orice sală aglomerată, vor avea trasee separate de sală.</w:t>
      </w:r>
    </w:p>
    <w:p w14:paraId="571DE8B3" w14:textId="77777777" w:rsidR="001C08A5" w:rsidRDefault="00000000">
      <w:pPr>
        <w:ind w:firstLine="720"/>
        <w:jc w:val="both"/>
        <w:rPr>
          <w:sz w:val="24"/>
          <w:szCs w:val="24"/>
        </w:rPr>
      </w:pPr>
      <w:r>
        <w:rPr>
          <w:b/>
          <w:sz w:val="24"/>
          <w:szCs w:val="24"/>
        </w:rPr>
        <w:t xml:space="preserve">(3) </w:t>
      </w:r>
      <w:r>
        <w:rPr>
          <w:sz w:val="24"/>
          <w:szCs w:val="24"/>
        </w:rPr>
        <w:t>Buzunarele scenei şi depozitele, vor avea cel puţin o cale de evacuare asigurată pe traseu separat de scenă.</w:t>
      </w:r>
    </w:p>
    <w:p w14:paraId="317503C7" w14:textId="77777777" w:rsidR="001C08A5" w:rsidRDefault="001C08A5">
      <w:pPr>
        <w:jc w:val="both"/>
        <w:rPr>
          <w:sz w:val="24"/>
          <w:szCs w:val="24"/>
        </w:rPr>
      </w:pPr>
    </w:p>
    <w:p w14:paraId="711EC095" w14:textId="77777777" w:rsidR="001C08A5" w:rsidRDefault="00000000">
      <w:pPr>
        <w:jc w:val="both"/>
        <w:rPr>
          <w:sz w:val="24"/>
          <w:szCs w:val="24"/>
        </w:rPr>
      </w:pPr>
      <w:r>
        <w:rPr>
          <w:b/>
          <w:sz w:val="24"/>
          <w:szCs w:val="24"/>
        </w:rPr>
        <w:tab/>
        <w:t>Art. 4.3.4.2.7. (1)</w:t>
      </w:r>
      <w:r>
        <w:rPr>
          <w:sz w:val="24"/>
          <w:szCs w:val="24"/>
        </w:rPr>
        <w:t xml:space="preserve"> Scenele cu suprafaţa mai mare de </w:t>
      </w:r>
      <w:r>
        <w:rPr>
          <w:b/>
          <w:bCs/>
          <w:sz w:val="24"/>
          <w:szCs w:val="24"/>
        </w:rPr>
        <w:t>150 m</w:t>
      </w:r>
      <w:r>
        <w:rPr>
          <w:b/>
          <w:bCs/>
          <w:sz w:val="24"/>
          <w:szCs w:val="24"/>
          <w:vertAlign w:val="superscript"/>
        </w:rPr>
        <w:t>2</w:t>
      </w:r>
      <w:r>
        <w:rPr>
          <w:sz w:val="24"/>
          <w:szCs w:val="24"/>
        </w:rPr>
        <w:t xml:space="preserve"> și buzunarele acestora cu înălţimea mai mare de </w:t>
      </w:r>
      <w:r>
        <w:rPr>
          <w:b/>
          <w:bCs/>
          <w:sz w:val="24"/>
          <w:szCs w:val="24"/>
        </w:rPr>
        <w:t>10 m</w:t>
      </w:r>
      <w:r>
        <w:rPr>
          <w:sz w:val="24"/>
          <w:szCs w:val="24"/>
        </w:rPr>
        <w:t xml:space="preserve">, vor avea asigurată evacuarea fumului şi gazelor fierbinţi în caz de incendiu prin tiraj natural-organizat, cu dispozitive (opace sau transparente) de evacuare a fumului amplasate la partea superioară a scenei (deasupra grătarelor), cu suprafaţa utilă/aerodinamică liberă totală, de minimum </w:t>
      </w:r>
      <w:r>
        <w:rPr>
          <w:b/>
          <w:bCs/>
          <w:sz w:val="24"/>
          <w:szCs w:val="24"/>
        </w:rPr>
        <w:t>5%</w:t>
      </w:r>
      <w:r>
        <w:rPr>
          <w:sz w:val="24"/>
          <w:szCs w:val="24"/>
        </w:rPr>
        <w:t xml:space="preserve"> din aria pardoselii sau prin ventilare mecanică.</w:t>
      </w:r>
    </w:p>
    <w:p w14:paraId="43CF056C" w14:textId="77777777" w:rsidR="001C08A5" w:rsidRDefault="00000000">
      <w:pPr>
        <w:ind w:firstLine="720"/>
        <w:jc w:val="both"/>
        <w:rPr>
          <w:sz w:val="24"/>
          <w:szCs w:val="24"/>
        </w:rPr>
      </w:pPr>
      <w:r>
        <w:rPr>
          <w:b/>
          <w:sz w:val="24"/>
          <w:szCs w:val="24"/>
        </w:rPr>
        <w:t xml:space="preserve">(2) </w:t>
      </w:r>
      <w:r>
        <w:rPr>
          <w:sz w:val="24"/>
          <w:szCs w:val="24"/>
        </w:rPr>
        <w:t xml:space="preserve">Dispozitivele pentru de evacuare a fumului şi gazelor fierbinţi în caz de incendiu din scenele cu suprafaţa mai mare de </w:t>
      </w:r>
      <w:r>
        <w:rPr>
          <w:b/>
          <w:bCs/>
          <w:sz w:val="24"/>
          <w:szCs w:val="24"/>
        </w:rPr>
        <w:t>150 m</w:t>
      </w:r>
      <w:r>
        <w:rPr>
          <w:b/>
          <w:bCs/>
          <w:sz w:val="24"/>
          <w:szCs w:val="24"/>
          <w:vertAlign w:val="superscript"/>
        </w:rPr>
        <w:t>2</w:t>
      </w:r>
      <w:r>
        <w:rPr>
          <w:sz w:val="24"/>
          <w:szCs w:val="24"/>
        </w:rPr>
        <w:t xml:space="preserve"> și buzunarele acestora, vor fi cu acţionare automată şi acţionări manuale din locuri uşor accesibile şi de la seviciul pentru situaţii de urgenţă constituit conform reglementării specifice.</w:t>
      </w:r>
    </w:p>
    <w:p w14:paraId="780FCC49" w14:textId="77777777" w:rsidR="001C08A5" w:rsidRDefault="00000000">
      <w:pPr>
        <w:pStyle w:val="Heading4"/>
      </w:pPr>
      <w:bookmarkStart w:id="4746" w:name="_Toc14541"/>
      <w:bookmarkStart w:id="4747" w:name="_Toc9798"/>
      <w:bookmarkStart w:id="4748" w:name="_Toc14662"/>
      <w:bookmarkStart w:id="4749" w:name="_Toc2150"/>
      <w:bookmarkStart w:id="4750" w:name="_Toc23181"/>
      <w:bookmarkStart w:id="4751" w:name="_Toc27433"/>
      <w:bookmarkStart w:id="4752" w:name="_Toc162355333"/>
      <w:bookmarkStart w:id="4753" w:name="_Toc3953"/>
      <w:r>
        <w:t>4.3.5. CĂI DE EVACUARE A UTILIZATORILOR ÎN CAZ DE INCENDIU</w:t>
      </w:r>
      <w:bookmarkEnd w:id="4746"/>
      <w:bookmarkEnd w:id="4747"/>
      <w:bookmarkEnd w:id="4748"/>
      <w:bookmarkEnd w:id="4749"/>
      <w:bookmarkEnd w:id="4750"/>
      <w:bookmarkEnd w:id="4751"/>
      <w:bookmarkEnd w:id="4752"/>
      <w:bookmarkEnd w:id="4753"/>
    </w:p>
    <w:p w14:paraId="111CF460" w14:textId="77777777" w:rsidR="001C08A5" w:rsidRDefault="001C08A5">
      <w:pPr>
        <w:jc w:val="both"/>
        <w:rPr>
          <w:sz w:val="24"/>
          <w:szCs w:val="24"/>
        </w:rPr>
      </w:pPr>
    </w:p>
    <w:p w14:paraId="1ED7B110" w14:textId="77777777" w:rsidR="001C08A5" w:rsidRDefault="00000000">
      <w:pPr>
        <w:ind w:firstLine="567"/>
        <w:jc w:val="both"/>
        <w:rPr>
          <w:sz w:val="24"/>
          <w:szCs w:val="24"/>
        </w:rPr>
      </w:pPr>
      <w:r>
        <w:rPr>
          <w:b/>
          <w:sz w:val="24"/>
          <w:szCs w:val="24"/>
        </w:rPr>
        <w:t>Art. 4.3.5.1. (1)</w:t>
      </w:r>
      <w:r>
        <w:rPr>
          <w:sz w:val="24"/>
          <w:szCs w:val="24"/>
        </w:rPr>
        <w:t xml:space="preserve"> Pentru evacuarea utilizatorilor sălilor aglomerate, este obligatorie asigurarea a cel puţin două căi de evacuare, distincte şi judicios distribuite, pentru:</w:t>
      </w:r>
    </w:p>
    <w:p w14:paraId="53B07067" w14:textId="77777777" w:rsidR="001C08A5" w:rsidRDefault="00000000">
      <w:pPr>
        <w:ind w:left="1440" w:firstLine="720"/>
        <w:jc w:val="both"/>
        <w:rPr>
          <w:sz w:val="24"/>
          <w:szCs w:val="24"/>
        </w:rPr>
      </w:pPr>
      <w:r>
        <w:rPr>
          <w:b/>
          <w:sz w:val="24"/>
          <w:szCs w:val="24"/>
        </w:rPr>
        <w:t>a)</w:t>
      </w:r>
      <w:r>
        <w:rPr>
          <w:sz w:val="24"/>
          <w:szCs w:val="24"/>
        </w:rPr>
        <w:t xml:space="preserve"> fiecare nivel al sălilor aglomerate, precum și nivelurile de supante, lojii şi balcoane pentru mai mult de </w:t>
      </w:r>
      <w:r>
        <w:rPr>
          <w:b/>
          <w:bCs/>
          <w:sz w:val="24"/>
          <w:szCs w:val="24"/>
        </w:rPr>
        <w:t>100</w:t>
      </w:r>
      <w:r>
        <w:rPr>
          <w:sz w:val="24"/>
          <w:szCs w:val="24"/>
        </w:rPr>
        <w:t xml:space="preserve"> utilizatori;</w:t>
      </w:r>
    </w:p>
    <w:p w14:paraId="32D50519" w14:textId="77777777" w:rsidR="001C08A5" w:rsidRDefault="00000000">
      <w:pPr>
        <w:ind w:left="1440" w:firstLine="720"/>
        <w:jc w:val="both"/>
        <w:rPr>
          <w:sz w:val="24"/>
          <w:szCs w:val="24"/>
        </w:rPr>
      </w:pPr>
      <w:r>
        <w:rPr>
          <w:b/>
          <w:sz w:val="24"/>
          <w:szCs w:val="24"/>
        </w:rPr>
        <w:t>b)</w:t>
      </w:r>
      <w:r>
        <w:rPr>
          <w:sz w:val="24"/>
          <w:szCs w:val="24"/>
        </w:rPr>
        <w:t xml:space="preserve"> foaiere, alimentaţie publică, garderobe și alte încăperi de servire a publicului, cu aria mai mare de </w:t>
      </w:r>
      <w:r>
        <w:rPr>
          <w:b/>
          <w:sz w:val="24"/>
          <w:szCs w:val="24"/>
        </w:rPr>
        <w:t xml:space="preserve">200 </w:t>
      </w:r>
      <w:r>
        <w:rPr>
          <w:sz w:val="24"/>
          <w:szCs w:val="24"/>
        </w:rPr>
        <w:t>m</w:t>
      </w:r>
      <w:r>
        <w:rPr>
          <w:sz w:val="24"/>
          <w:szCs w:val="24"/>
          <w:vertAlign w:val="superscript"/>
        </w:rPr>
        <w:t>2</w:t>
      </w:r>
      <w:r>
        <w:rPr>
          <w:sz w:val="24"/>
          <w:szCs w:val="24"/>
        </w:rPr>
        <w:t>.</w:t>
      </w:r>
    </w:p>
    <w:p w14:paraId="31315637" w14:textId="77777777" w:rsidR="001C08A5" w:rsidRDefault="00000000">
      <w:pPr>
        <w:ind w:firstLine="720"/>
        <w:jc w:val="both"/>
        <w:rPr>
          <w:sz w:val="24"/>
          <w:szCs w:val="24"/>
        </w:rPr>
      </w:pPr>
      <w:r>
        <w:rPr>
          <w:b/>
          <w:bCs/>
          <w:sz w:val="24"/>
          <w:szCs w:val="24"/>
        </w:rPr>
        <w:t>(2)</w:t>
      </w:r>
      <w:r>
        <w:rPr>
          <w:sz w:val="24"/>
          <w:szCs w:val="24"/>
        </w:rPr>
        <w:t xml:space="preserve"> Sălile aglomerate cu capacitatea maximum simultană mai mare de </w:t>
      </w:r>
      <w:r>
        <w:rPr>
          <w:b/>
          <w:bCs/>
          <w:sz w:val="24"/>
          <w:szCs w:val="24"/>
        </w:rPr>
        <w:t>600</w:t>
      </w:r>
      <w:r>
        <w:rPr>
          <w:sz w:val="24"/>
          <w:szCs w:val="24"/>
        </w:rPr>
        <w:t xml:space="preserve"> utilizatori, vor avea asigurate minimum trei căi de evacuare.</w:t>
      </w:r>
    </w:p>
    <w:p w14:paraId="4CC5566B" w14:textId="77777777" w:rsidR="001C08A5" w:rsidRDefault="00000000">
      <w:pPr>
        <w:ind w:firstLine="720"/>
        <w:jc w:val="both"/>
        <w:rPr>
          <w:sz w:val="24"/>
          <w:szCs w:val="24"/>
        </w:rPr>
      </w:pPr>
      <w:r>
        <w:rPr>
          <w:b/>
          <w:sz w:val="24"/>
          <w:szCs w:val="24"/>
        </w:rPr>
        <w:t xml:space="preserve">(3) </w:t>
      </w:r>
      <w:r>
        <w:rPr>
          <w:sz w:val="24"/>
          <w:szCs w:val="24"/>
        </w:rPr>
        <w:t>La sălile aglomerate de spectacole cu scene sau podiumuri de joc, circulaţia de evacuare va fi astfel organizată încât publicul utilizator să nu se deplaseze pentru evacuare în direcţia scenei sau a podiumului de joc sau evacuarea publicului să fie prin scenă sau podiumul de joc, cu excepţia situaţiilor în care sunt dispuse locuri pentru spectatori în scenă sau pe podium.</w:t>
      </w:r>
    </w:p>
    <w:p w14:paraId="499129ED" w14:textId="77777777" w:rsidR="001C08A5" w:rsidRDefault="00000000">
      <w:pPr>
        <w:ind w:firstLine="720"/>
        <w:jc w:val="both"/>
        <w:rPr>
          <w:b/>
          <w:sz w:val="24"/>
          <w:szCs w:val="24"/>
        </w:rPr>
      </w:pPr>
      <w:r>
        <w:rPr>
          <w:b/>
          <w:sz w:val="24"/>
          <w:szCs w:val="24"/>
        </w:rPr>
        <w:t xml:space="preserve">(4) </w:t>
      </w:r>
      <w:r>
        <w:rPr>
          <w:sz w:val="24"/>
          <w:szCs w:val="24"/>
        </w:rPr>
        <w:t>Gabaritele trecerilor de evacuare din interiorul sălilor aglomerate vor corespunde numărului unităţilor (fluxurilor) de trecere care se evacuează prin acestea.</w:t>
      </w:r>
    </w:p>
    <w:p w14:paraId="610247E1" w14:textId="77777777" w:rsidR="001C08A5" w:rsidRDefault="00000000">
      <w:pPr>
        <w:jc w:val="both"/>
        <w:rPr>
          <w:b/>
          <w:sz w:val="24"/>
          <w:szCs w:val="24"/>
        </w:rPr>
      </w:pPr>
      <w:r>
        <w:rPr>
          <w:b/>
          <w:sz w:val="24"/>
          <w:szCs w:val="24"/>
        </w:rPr>
        <w:tab/>
      </w:r>
    </w:p>
    <w:p w14:paraId="2F8C7A53" w14:textId="77777777" w:rsidR="001C08A5" w:rsidRDefault="00000000">
      <w:pPr>
        <w:jc w:val="both"/>
        <w:rPr>
          <w:sz w:val="24"/>
          <w:szCs w:val="24"/>
        </w:rPr>
      </w:pPr>
      <w:r>
        <w:rPr>
          <w:b/>
          <w:sz w:val="24"/>
          <w:szCs w:val="24"/>
        </w:rPr>
        <w:tab/>
        <w:t xml:space="preserve">Art. 4.3.5.2. </w:t>
      </w:r>
      <w:r>
        <w:rPr>
          <w:sz w:val="24"/>
          <w:szCs w:val="24"/>
        </w:rPr>
        <w:t xml:space="preserve">Comportarea la foc a pereţilor, uşilor și planşeelor de separare a caselor de scări închise din clădirile cu săli aglomerate de tip </w:t>
      </w:r>
      <w:r>
        <w:rPr>
          <w:b/>
          <w:sz w:val="24"/>
          <w:szCs w:val="24"/>
        </w:rPr>
        <w:t>S1</w:t>
      </w:r>
      <w:r>
        <w:rPr>
          <w:sz w:val="24"/>
          <w:szCs w:val="24"/>
        </w:rPr>
        <w:t xml:space="preserve"> supraterane cu înălţimi obişnuite, trebuie să corespundă prevederilor din </w:t>
      </w:r>
      <w:r>
        <w:rPr>
          <w:b/>
          <w:bCs/>
          <w:i/>
          <w:iCs/>
          <w:sz w:val="24"/>
          <w:szCs w:val="24"/>
        </w:rPr>
        <w:fldChar w:fldCharType="begin"/>
      </w:r>
      <w:r>
        <w:rPr>
          <w:b/>
          <w:bCs/>
          <w:i/>
          <w:iCs/>
          <w:sz w:val="24"/>
          <w:szCs w:val="24"/>
        </w:rPr>
        <w:instrText xml:space="preserve"> REF _Ref25102 \h </w:instrText>
      </w:r>
      <w:r>
        <w:rPr>
          <w:b/>
          <w:bCs/>
          <w:i/>
          <w:iCs/>
          <w:sz w:val="24"/>
          <w:szCs w:val="24"/>
        </w:rPr>
      </w:r>
      <w:r>
        <w:rPr>
          <w:b/>
          <w:bCs/>
          <w:i/>
          <w:iCs/>
          <w:sz w:val="24"/>
          <w:szCs w:val="24"/>
        </w:rPr>
        <w:fldChar w:fldCharType="separate"/>
      </w:r>
      <w:r>
        <w:t>Tabelul 103</w:t>
      </w:r>
      <w:r>
        <w:rPr>
          <w:b/>
          <w:bCs/>
          <w:i/>
          <w:iCs/>
          <w:sz w:val="24"/>
          <w:szCs w:val="24"/>
        </w:rPr>
        <w:fldChar w:fldCharType="end"/>
      </w:r>
      <w:r>
        <w:rPr>
          <w:sz w:val="24"/>
          <w:szCs w:val="24"/>
        </w:rPr>
        <w:t>.</w:t>
      </w:r>
    </w:p>
    <w:p w14:paraId="3B3D9819" w14:textId="77777777" w:rsidR="001C08A5" w:rsidRDefault="001C08A5">
      <w:pPr>
        <w:jc w:val="both"/>
        <w:rPr>
          <w:sz w:val="24"/>
          <w:szCs w:val="24"/>
        </w:rPr>
      </w:pPr>
    </w:p>
    <w:p w14:paraId="4500B7AC" w14:textId="77777777" w:rsidR="001C08A5" w:rsidRDefault="00000000">
      <w:pPr>
        <w:pStyle w:val="Captiontabel"/>
      </w:pPr>
      <w:bookmarkStart w:id="4754" w:name="_Ref25102"/>
      <w:bookmarkStart w:id="4755" w:name="_Toc162360153"/>
      <w:r>
        <w:t xml:space="preserve">Tabelul </w:t>
      </w:r>
      <w:r>
        <w:fldChar w:fldCharType="begin"/>
      </w:r>
      <w:r>
        <w:instrText xml:space="preserve"> SEQ Tabelul \* ARABIC </w:instrText>
      </w:r>
      <w:r>
        <w:fldChar w:fldCharType="separate"/>
      </w:r>
      <w:r>
        <w:t>103</w:t>
      </w:r>
      <w:r>
        <w:fldChar w:fldCharType="end"/>
      </w:r>
      <w:bookmarkStart w:id="4756" w:name="_Toc20025"/>
      <w:bookmarkStart w:id="4757" w:name="_Toc10612"/>
      <w:bookmarkStart w:id="4758" w:name="_Toc14894"/>
      <w:bookmarkStart w:id="4759" w:name="_Toc15491"/>
      <w:bookmarkStart w:id="4760" w:name="_Toc12760"/>
      <w:bookmarkStart w:id="4761" w:name="_Toc31974"/>
      <w:bookmarkStart w:id="4762" w:name="_Toc16291"/>
      <w:bookmarkStart w:id="4763" w:name="_Toc6286"/>
      <w:bookmarkStart w:id="4764" w:name="_Toc18689"/>
      <w:bookmarkStart w:id="4765" w:name="_Toc29246"/>
      <w:bookmarkStart w:id="4766" w:name="_Toc26796"/>
      <w:bookmarkStart w:id="4767" w:name="_Toc9163"/>
      <w:bookmarkStart w:id="4768" w:name="_Toc18829"/>
      <w:bookmarkStart w:id="4769" w:name="_Toc25337"/>
      <w:bookmarkStart w:id="4770" w:name="_Toc31708"/>
      <w:bookmarkStart w:id="4771" w:name="_Toc23976"/>
      <w:bookmarkStart w:id="4772" w:name="_Toc21268"/>
      <w:bookmarkStart w:id="4773" w:name="_Toc16418"/>
      <w:bookmarkStart w:id="4774" w:name="_Toc27500"/>
      <w:bookmarkEnd w:id="4754"/>
      <w:r>
        <w:t>: Comportare la foc a pereţilor, uşilor și planşeelor de separare a caselor de scări închise din clădirile cu săli aglomerate de tip S1 supraterane cu înălţimi obişnuite</w:t>
      </w:r>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p>
    <w:p w14:paraId="47930AFD" w14:textId="77777777" w:rsidR="001C08A5" w:rsidRDefault="001C08A5">
      <w:pPr>
        <w:jc w:val="both"/>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0"/>
        <w:gridCol w:w="1833"/>
        <w:gridCol w:w="1699"/>
        <w:gridCol w:w="1372"/>
        <w:gridCol w:w="1678"/>
        <w:gridCol w:w="1703"/>
      </w:tblGrid>
      <w:tr w:rsidR="001C08A5" w14:paraId="76577BE3" w14:textId="77777777">
        <w:trPr>
          <w:tblHeader/>
        </w:trPr>
        <w:tc>
          <w:tcPr>
            <w:tcW w:w="1240" w:type="dxa"/>
            <w:vMerge w:val="restart"/>
            <w:shd w:val="clear" w:color="auto" w:fill="BFBFBF"/>
          </w:tcPr>
          <w:p w14:paraId="6F196D04" w14:textId="77777777" w:rsidR="001C08A5" w:rsidRDefault="00000000">
            <w:pPr>
              <w:pStyle w:val="BodyText"/>
              <w:jc w:val="center"/>
              <w:rPr>
                <w:bCs w:val="0"/>
                <w:sz w:val="22"/>
                <w:szCs w:val="22"/>
              </w:rPr>
            </w:pPr>
            <w:r>
              <w:rPr>
                <w:bCs w:val="0"/>
                <w:sz w:val="22"/>
                <w:szCs w:val="22"/>
              </w:rPr>
              <w:lastRenderedPageBreak/>
              <w:t>Nivel de stabilitate</w:t>
            </w:r>
          </w:p>
          <w:p w14:paraId="3D781BE1" w14:textId="77777777" w:rsidR="001C08A5" w:rsidRDefault="00000000">
            <w:pPr>
              <w:jc w:val="center"/>
              <w:rPr>
                <w:i/>
                <w:sz w:val="22"/>
                <w:szCs w:val="22"/>
              </w:rPr>
            </w:pPr>
            <w:r>
              <w:rPr>
                <w:b/>
                <w:bCs/>
                <w:i/>
                <w:sz w:val="22"/>
                <w:szCs w:val="22"/>
              </w:rPr>
              <w:t>la incendiu</w:t>
            </w:r>
          </w:p>
        </w:tc>
        <w:tc>
          <w:tcPr>
            <w:tcW w:w="8285" w:type="dxa"/>
            <w:gridSpan w:val="5"/>
            <w:shd w:val="clear" w:color="auto" w:fill="BFBFBF"/>
          </w:tcPr>
          <w:p w14:paraId="43D25018"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1431E4ED" w14:textId="77777777">
        <w:trPr>
          <w:tblHeader/>
        </w:trPr>
        <w:tc>
          <w:tcPr>
            <w:tcW w:w="1240" w:type="dxa"/>
            <w:vMerge/>
            <w:shd w:val="clear" w:color="auto" w:fill="BFBFBF"/>
          </w:tcPr>
          <w:p w14:paraId="1538A522" w14:textId="77777777" w:rsidR="001C08A5" w:rsidRDefault="001C08A5">
            <w:pPr>
              <w:jc w:val="center"/>
              <w:rPr>
                <w:i/>
                <w:sz w:val="22"/>
                <w:szCs w:val="22"/>
              </w:rPr>
            </w:pPr>
          </w:p>
        </w:tc>
        <w:tc>
          <w:tcPr>
            <w:tcW w:w="3532" w:type="dxa"/>
            <w:gridSpan w:val="2"/>
            <w:shd w:val="clear" w:color="auto" w:fill="BFBFBF"/>
          </w:tcPr>
          <w:p w14:paraId="3923D1F5" w14:textId="77777777" w:rsidR="001C08A5" w:rsidRDefault="00000000">
            <w:pPr>
              <w:jc w:val="center"/>
              <w:rPr>
                <w:i/>
                <w:sz w:val="22"/>
                <w:szCs w:val="22"/>
              </w:rPr>
            </w:pPr>
            <w:r>
              <w:rPr>
                <w:b/>
                <w:bCs/>
                <w:i/>
                <w:sz w:val="22"/>
                <w:szCs w:val="22"/>
              </w:rPr>
              <w:t>Pereţi</w:t>
            </w:r>
          </w:p>
        </w:tc>
        <w:tc>
          <w:tcPr>
            <w:tcW w:w="3050" w:type="dxa"/>
            <w:gridSpan w:val="2"/>
            <w:shd w:val="clear" w:color="auto" w:fill="BFBFBF"/>
          </w:tcPr>
          <w:p w14:paraId="2E3A7E38"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703" w:type="dxa"/>
            <w:shd w:val="clear" w:color="auto" w:fill="BFBFBF"/>
          </w:tcPr>
          <w:p w14:paraId="1508F87F" w14:textId="77777777" w:rsidR="001C08A5" w:rsidRDefault="00000000">
            <w:pPr>
              <w:jc w:val="center"/>
              <w:rPr>
                <w:b/>
                <w:bCs/>
                <w:i/>
                <w:sz w:val="22"/>
                <w:szCs w:val="22"/>
              </w:rPr>
            </w:pPr>
            <w:r>
              <w:rPr>
                <w:b/>
                <w:bCs/>
                <w:i/>
                <w:sz w:val="22"/>
                <w:szCs w:val="22"/>
              </w:rPr>
              <w:t xml:space="preserve">Uşi </w:t>
            </w:r>
            <w:r>
              <w:rPr>
                <w:bCs/>
                <w:i/>
                <w:sz w:val="22"/>
                <w:szCs w:val="22"/>
              </w:rPr>
              <w:t>(cu excepţia celor către sălile aglomerate)</w:t>
            </w:r>
          </w:p>
        </w:tc>
      </w:tr>
      <w:tr w:rsidR="001C08A5" w14:paraId="0652A511" w14:textId="77777777">
        <w:tc>
          <w:tcPr>
            <w:tcW w:w="1240" w:type="dxa"/>
          </w:tcPr>
          <w:p w14:paraId="592801D5" w14:textId="77777777" w:rsidR="001C08A5" w:rsidRDefault="00000000">
            <w:pPr>
              <w:pStyle w:val="BodyText"/>
              <w:jc w:val="center"/>
              <w:rPr>
                <w:bCs w:val="0"/>
                <w:sz w:val="22"/>
                <w:szCs w:val="22"/>
              </w:rPr>
            </w:pPr>
            <w:r>
              <w:rPr>
                <w:bCs w:val="0"/>
                <w:sz w:val="22"/>
                <w:szCs w:val="22"/>
              </w:rPr>
              <w:t>I</w:t>
            </w:r>
          </w:p>
          <w:p w14:paraId="6EDB28E2" w14:textId="77777777" w:rsidR="001C08A5" w:rsidRDefault="00000000">
            <w:pPr>
              <w:pStyle w:val="BodyText"/>
              <w:jc w:val="center"/>
              <w:rPr>
                <w:bCs w:val="0"/>
                <w:sz w:val="22"/>
                <w:szCs w:val="22"/>
              </w:rPr>
            </w:pPr>
            <w:r>
              <w:rPr>
                <w:sz w:val="22"/>
                <w:szCs w:val="22"/>
              </w:rPr>
              <w:t>h&lt;28m</w:t>
            </w:r>
          </w:p>
        </w:tc>
        <w:tc>
          <w:tcPr>
            <w:tcW w:w="1833" w:type="dxa"/>
          </w:tcPr>
          <w:p w14:paraId="68BC6481" w14:textId="77777777" w:rsidR="001C08A5" w:rsidRDefault="00000000">
            <w:pPr>
              <w:jc w:val="center"/>
              <w:rPr>
                <w:b/>
                <w:i/>
                <w:sz w:val="22"/>
                <w:szCs w:val="22"/>
              </w:rPr>
            </w:pPr>
            <w:r>
              <w:rPr>
                <w:b/>
                <w:i/>
                <w:sz w:val="22"/>
                <w:szCs w:val="22"/>
              </w:rPr>
              <w:t xml:space="preserve">EI/REI 180 </w:t>
            </w:r>
          </w:p>
          <w:p w14:paraId="1E689330" w14:textId="77777777" w:rsidR="001C08A5" w:rsidRDefault="001C08A5">
            <w:pPr>
              <w:jc w:val="center"/>
              <w:rPr>
                <w:b/>
                <w:i/>
                <w:sz w:val="22"/>
                <w:szCs w:val="22"/>
              </w:rPr>
            </w:pPr>
          </w:p>
        </w:tc>
        <w:tc>
          <w:tcPr>
            <w:tcW w:w="1699" w:type="dxa"/>
          </w:tcPr>
          <w:p w14:paraId="2CE3689D"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72" w:type="dxa"/>
          </w:tcPr>
          <w:p w14:paraId="2B311026" w14:textId="77777777" w:rsidR="001C08A5" w:rsidRDefault="00000000">
            <w:pPr>
              <w:jc w:val="center"/>
              <w:rPr>
                <w:b/>
                <w:i/>
                <w:sz w:val="22"/>
                <w:szCs w:val="22"/>
              </w:rPr>
            </w:pPr>
            <w:r>
              <w:rPr>
                <w:b/>
                <w:i/>
                <w:sz w:val="22"/>
                <w:szCs w:val="22"/>
              </w:rPr>
              <w:t xml:space="preserve">REI 120 </w:t>
            </w:r>
          </w:p>
        </w:tc>
        <w:tc>
          <w:tcPr>
            <w:tcW w:w="1678" w:type="dxa"/>
          </w:tcPr>
          <w:p w14:paraId="144555BA"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3" w:type="dxa"/>
          </w:tcPr>
          <w:p w14:paraId="42F684D5" w14:textId="77777777" w:rsidR="001C08A5" w:rsidRDefault="00000000">
            <w:pPr>
              <w:jc w:val="center"/>
              <w:rPr>
                <w:i/>
                <w:sz w:val="22"/>
                <w:szCs w:val="22"/>
              </w:rPr>
            </w:pPr>
            <w:r>
              <w:rPr>
                <w:b/>
                <w:bCs/>
                <w:i/>
                <w:sz w:val="22"/>
                <w:szCs w:val="22"/>
              </w:rPr>
              <w:t>EI</w:t>
            </w:r>
            <w:r>
              <w:rPr>
                <w:b/>
                <w:bCs/>
                <w:i/>
                <w:sz w:val="22"/>
                <w:szCs w:val="22"/>
                <w:vertAlign w:val="subscript"/>
              </w:rPr>
              <w:t>2</w:t>
            </w:r>
            <w:r>
              <w:rPr>
                <w:b/>
                <w:bCs/>
                <w:i/>
                <w:sz w:val="22"/>
                <w:szCs w:val="22"/>
              </w:rPr>
              <w:t xml:space="preserve"> 90 - C5 </w:t>
            </w:r>
            <w:r>
              <w:rPr>
                <w:b/>
                <w:i/>
                <w:sz w:val="22"/>
                <w:szCs w:val="22"/>
              </w:rPr>
              <w:t>S</w:t>
            </w:r>
            <w:r>
              <w:rPr>
                <w:b/>
                <w:bCs/>
                <w:i/>
                <w:sz w:val="22"/>
                <w:szCs w:val="22"/>
                <w:vertAlign w:val="subscript"/>
              </w:rPr>
              <w:t>200</w:t>
            </w:r>
          </w:p>
        </w:tc>
      </w:tr>
      <w:tr w:rsidR="001C08A5" w14:paraId="47331486" w14:textId="77777777">
        <w:tc>
          <w:tcPr>
            <w:tcW w:w="1240" w:type="dxa"/>
          </w:tcPr>
          <w:p w14:paraId="2B932DCE" w14:textId="77777777" w:rsidR="001C08A5" w:rsidRDefault="00000000">
            <w:pPr>
              <w:pStyle w:val="BodyText"/>
              <w:jc w:val="center"/>
              <w:rPr>
                <w:bCs w:val="0"/>
                <w:sz w:val="22"/>
                <w:szCs w:val="22"/>
              </w:rPr>
            </w:pPr>
            <w:r>
              <w:rPr>
                <w:bCs w:val="0"/>
                <w:sz w:val="22"/>
                <w:szCs w:val="22"/>
              </w:rPr>
              <w:t>II</w:t>
            </w:r>
          </w:p>
        </w:tc>
        <w:tc>
          <w:tcPr>
            <w:tcW w:w="1833" w:type="dxa"/>
          </w:tcPr>
          <w:p w14:paraId="48510D41" w14:textId="77777777" w:rsidR="001C08A5" w:rsidRDefault="00000000">
            <w:pPr>
              <w:jc w:val="center"/>
              <w:rPr>
                <w:b/>
                <w:i/>
                <w:sz w:val="22"/>
                <w:szCs w:val="22"/>
              </w:rPr>
            </w:pPr>
            <w:r>
              <w:rPr>
                <w:b/>
                <w:i/>
                <w:sz w:val="22"/>
                <w:szCs w:val="22"/>
              </w:rPr>
              <w:t>EI/REI 180</w:t>
            </w:r>
          </w:p>
          <w:p w14:paraId="68765326" w14:textId="77777777" w:rsidR="001C08A5" w:rsidRDefault="001C08A5">
            <w:pPr>
              <w:jc w:val="center"/>
              <w:rPr>
                <w:b/>
                <w:i/>
                <w:sz w:val="22"/>
                <w:szCs w:val="22"/>
              </w:rPr>
            </w:pPr>
          </w:p>
        </w:tc>
        <w:tc>
          <w:tcPr>
            <w:tcW w:w="1699" w:type="dxa"/>
          </w:tcPr>
          <w:p w14:paraId="1E60BF2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372" w:type="dxa"/>
          </w:tcPr>
          <w:p w14:paraId="00924005" w14:textId="77777777" w:rsidR="001C08A5" w:rsidRDefault="00000000">
            <w:pPr>
              <w:jc w:val="center"/>
              <w:rPr>
                <w:b/>
                <w:i/>
                <w:sz w:val="22"/>
                <w:szCs w:val="22"/>
              </w:rPr>
            </w:pPr>
            <w:r>
              <w:rPr>
                <w:b/>
                <w:i/>
                <w:sz w:val="22"/>
                <w:szCs w:val="22"/>
              </w:rPr>
              <w:t>REI 120</w:t>
            </w:r>
          </w:p>
        </w:tc>
        <w:tc>
          <w:tcPr>
            <w:tcW w:w="1678" w:type="dxa"/>
          </w:tcPr>
          <w:p w14:paraId="05AEB52B"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3" w:type="dxa"/>
          </w:tcPr>
          <w:p w14:paraId="1A68F2B0" w14:textId="77777777" w:rsidR="001C08A5" w:rsidRDefault="00000000">
            <w:pPr>
              <w:jc w:val="center"/>
              <w:rPr>
                <w:i/>
                <w:sz w:val="22"/>
                <w:szCs w:val="22"/>
              </w:rPr>
            </w:pPr>
            <w:r>
              <w:rPr>
                <w:b/>
                <w:bCs/>
                <w:i/>
                <w:sz w:val="22"/>
                <w:szCs w:val="22"/>
              </w:rPr>
              <w:t>EI</w:t>
            </w:r>
            <w:r>
              <w:rPr>
                <w:b/>
                <w:bCs/>
                <w:i/>
                <w:sz w:val="22"/>
                <w:szCs w:val="22"/>
                <w:vertAlign w:val="subscript"/>
              </w:rPr>
              <w:t>2</w:t>
            </w:r>
            <w:r>
              <w:rPr>
                <w:b/>
                <w:bCs/>
                <w:i/>
                <w:sz w:val="22"/>
                <w:szCs w:val="22"/>
              </w:rPr>
              <w:t xml:space="preserve"> 60 - C5 </w:t>
            </w:r>
            <w:r>
              <w:rPr>
                <w:b/>
                <w:i/>
                <w:sz w:val="22"/>
                <w:szCs w:val="22"/>
              </w:rPr>
              <w:t>S</w:t>
            </w:r>
            <w:r>
              <w:rPr>
                <w:b/>
                <w:bCs/>
                <w:i/>
                <w:sz w:val="22"/>
                <w:szCs w:val="22"/>
                <w:vertAlign w:val="subscript"/>
              </w:rPr>
              <w:t>200</w:t>
            </w:r>
          </w:p>
        </w:tc>
      </w:tr>
      <w:tr w:rsidR="001C08A5" w14:paraId="10AADD5B" w14:textId="77777777">
        <w:tc>
          <w:tcPr>
            <w:tcW w:w="1240" w:type="dxa"/>
          </w:tcPr>
          <w:p w14:paraId="0DA7374C" w14:textId="77777777" w:rsidR="001C08A5" w:rsidRDefault="00000000">
            <w:pPr>
              <w:pStyle w:val="BodyText"/>
              <w:jc w:val="center"/>
              <w:rPr>
                <w:bCs w:val="0"/>
                <w:sz w:val="22"/>
                <w:szCs w:val="22"/>
              </w:rPr>
            </w:pPr>
            <w:r>
              <w:rPr>
                <w:bCs w:val="0"/>
                <w:sz w:val="22"/>
                <w:szCs w:val="22"/>
              </w:rPr>
              <w:t>II (+)</w:t>
            </w:r>
          </w:p>
        </w:tc>
        <w:tc>
          <w:tcPr>
            <w:tcW w:w="1833" w:type="dxa"/>
          </w:tcPr>
          <w:p w14:paraId="630129C3" w14:textId="77777777" w:rsidR="001C08A5" w:rsidRDefault="00000000">
            <w:pPr>
              <w:jc w:val="center"/>
              <w:rPr>
                <w:b/>
                <w:i/>
                <w:sz w:val="22"/>
                <w:szCs w:val="22"/>
              </w:rPr>
            </w:pPr>
            <w:r>
              <w:rPr>
                <w:b/>
                <w:i/>
                <w:sz w:val="22"/>
                <w:szCs w:val="22"/>
              </w:rPr>
              <w:t>EI/REI 120</w:t>
            </w:r>
          </w:p>
          <w:p w14:paraId="3EABFECC" w14:textId="77777777" w:rsidR="001C08A5" w:rsidRDefault="001C08A5">
            <w:pPr>
              <w:jc w:val="center"/>
              <w:rPr>
                <w:b/>
                <w:i/>
                <w:sz w:val="22"/>
                <w:szCs w:val="22"/>
              </w:rPr>
            </w:pPr>
          </w:p>
        </w:tc>
        <w:tc>
          <w:tcPr>
            <w:tcW w:w="1699" w:type="dxa"/>
          </w:tcPr>
          <w:p w14:paraId="675AB398"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372" w:type="dxa"/>
          </w:tcPr>
          <w:p w14:paraId="1DA8C61B" w14:textId="77777777" w:rsidR="001C08A5" w:rsidRDefault="00000000">
            <w:pPr>
              <w:jc w:val="center"/>
              <w:rPr>
                <w:b/>
                <w:i/>
                <w:sz w:val="22"/>
                <w:szCs w:val="22"/>
              </w:rPr>
            </w:pPr>
            <w:r>
              <w:rPr>
                <w:b/>
                <w:i/>
                <w:sz w:val="22"/>
                <w:szCs w:val="22"/>
              </w:rPr>
              <w:t>REI 90</w:t>
            </w:r>
          </w:p>
        </w:tc>
        <w:tc>
          <w:tcPr>
            <w:tcW w:w="1678" w:type="dxa"/>
          </w:tcPr>
          <w:p w14:paraId="6EC4C542"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03" w:type="dxa"/>
          </w:tcPr>
          <w:p w14:paraId="0DD071CF" w14:textId="77777777" w:rsidR="001C08A5" w:rsidRDefault="00000000">
            <w:pPr>
              <w:jc w:val="center"/>
              <w:rPr>
                <w:b/>
                <w:bCs/>
                <w:i/>
                <w:sz w:val="22"/>
                <w:szCs w:val="22"/>
              </w:rPr>
            </w:pPr>
            <w:r>
              <w:rPr>
                <w:b/>
                <w:bCs/>
                <w:i/>
                <w:sz w:val="22"/>
                <w:szCs w:val="22"/>
              </w:rPr>
              <w:t>EI</w:t>
            </w:r>
            <w:r>
              <w:rPr>
                <w:b/>
                <w:bCs/>
                <w:i/>
                <w:sz w:val="22"/>
                <w:szCs w:val="22"/>
                <w:vertAlign w:val="subscript"/>
              </w:rPr>
              <w:t>2</w:t>
            </w:r>
            <w:r>
              <w:rPr>
                <w:b/>
                <w:bCs/>
                <w:i/>
                <w:sz w:val="22"/>
                <w:szCs w:val="22"/>
              </w:rPr>
              <w:t xml:space="preserve"> 60 - C5 </w:t>
            </w:r>
            <w:r>
              <w:rPr>
                <w:b/>
                <w:i/>
                <w:sz w:val="22"/>
                <w:szCs w:val="22"/>
              </w:rPr>
              <w:t>S</w:t>
            </w:r>
            <w:r>
              <w:rPr>
                <w:b/>
                <w:bCs/>
                <w:i/>
                <w:sz w:val="22"/>
                <w:szCs w:val="22"/>
                <w:vertAlign w:val="subscript"/>
              </w:rPr>
              <w:t>200</w:t>
            </w:r>
          </w:p>
        </w:tc>
      </w:tr>
      <w:tr w:rsidR="001C08A5" w14:paraId="3F5EF861" w14:textId="77777777">
        <w:tc>
          <w:tcPr>
            <w:tcW w:w="1240" w:type="dxa"/>
          </w:tcPr>
          <w:p w14:paraId="05FAA6A8" w14:textId="77777777" w:rsidR="001C08A5" w:rsidRDefault="00000000">
            <w:pPr>
              <w:pStyle w:val="BodyText"/>
              <w:jc w:val="center"/>
              <w:rPr>
                <w:bCs w:val="0"/>
                <w:sz w:val="22"/>
                <w:szCs w:val="22"/>
              </w:rPr>
            </w:pPr>
            <w:r>
              <w:rPr>
                <w:bCs w:val="0"/>
                <w:sz w:val="22"/>
                <w:szCs w:val="22"/>
              </w:rPr>
              <w:t>III</w:t>
            </w:r>
          </w:p>
        </w:tc>
        <w:tc>
          <w:tcPr>
            <w:tcW w:w="1833" w:type="dxa"/>
          </w:tcPr>
          <w:p w14:paraId="7BD83027" w14:textId="77777777" w:rsidR="001C08A5" w:rsidRDefault="00000000">
            <w:pPr>
              <w:jc w:val="center"/>
              <w:rPr>
                <w:b/>
                <w:i/>
                <w:sz w:val="22"/>
                <w:szCs w:val="22"/>
              </w:rPr>
            </w:pPr>
            <w:r>
              <w:rPr>
                <w:b/>
                <w:i/>
                <w:sz w:val="22"/>
                <w:szCs w:val="22"/>
              </w:rPr>
              <w:t xml:space="preserve">EI/REI 90 </w:t>
            </w:r>
          </w:p>
          <w:p w14:paraId="2FBC400E" w14:textId="77777777" w:rsidR="001C08A5" w:rsidRDefault="001C08A5">
            <w:pPr>
              <w:jc w:val="center"/>
              <w:rPr>
                <w:b/>
                <w:i/>
                <w:sz w:val="22"/>
                <w:szCs w:val="22"/>
              </w:rPr>
            </w:pPr>
          </w:p>
        </w:tc>
        <w:tc>
          <w:tcPr>
            <w:tcW w:w="1699" w:type="dxa"/>
          </w:tcPr>
          <w:p w14:paraId="63F22489"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372" w:type="dxa"/>
          </w:tcPr>
          <w:p w14:paraId="5B709899" w14:textId="77777777" w:rsidR="001C08A5" w:rsidRDefault="00000000">
            <w:pPr>
              <w:jc w:val="center"/>
              <w:rPr>
                <w:b/>
                <w:i/>
                <w:sz w:val="22"/>
                <w:szCs w:val="22"/>
              </w:rPr>
            </w:pPr>
            <w:r>
              <w:rPr>
                <w:b/>
                <w:i/>
                <w:sz w:val="22"/>
                <w:szCs w:val="22"/>
              </w:rPr>
              <w:t>REI 60</w:t>
            </w:r>
          </w:p>
        </w:tc>
        <w:tc>
          <w:tcPr>
            <w:tcW w:w="1678" w:type="dxa"/>
          </w:tcPr>
          <w:p w14:paraId="099B16F4"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03" w:type="dxa"/>
          </w:tcPr>
          <w:p w14:paraId="1DCC3B4D" w14:textId="77777777" w:rsidR="001C08A5" w:rsidRDefault="00000000">
            <w:pPr>
              <w:jc w:val="center"/>
              <w:rPr>
                <w:b/>
                <w:i/>
                <w:sz w:val="22"/>
                <w:szCs w:val="22"/>
              </w:rPr>
            </w:pPr>
            <w:r>
              <w:rPr>
                <w:b/>
                <w:bCs/>
                <w:i/>
                <w:sz w:val="22"/>
                <w:szCs w:val="22"/>
              </w:rPr>
              <w:t>EI</w:t>
            </w:r>
            <w:r>
              <w:rPr>
                <w:b/>
                <w:bCs/>
                <w:i/>
                <w:sz w:val="22"/>
                <w:szCs w:val="22"/>
                <w:vertAlign w:val="subscript"/>
              </w:rPr>
              <w:t>2</w:t>
            </w:r>
            <w:r>
              <w:rPr>
                <w:b/>
                <w:bCs/>
                <w:i/>
                <w:sz w:val="22"/>
                <w:szCs w:val="22"/>
              </w:rPr>
              <w:t xml:space="preserve"> 45 - C5 </w:t>
            </w:r>
            <w:r>
              <w:rPr>
                <w:b/>
                <w:i/>
                <w:sz w:val="22"/>
                <w:szCs w:val="22"/>
              </w:rPr>
              <w:t>S</w:t>
            </w:r>
            <w:r>
              <w:rPr>
                <w:b/>
                <w:bCs/>
                <w:i/>
                <w:sz w:val="22"/>
                <w:szCs w:val="22"/>
                <w:vertAlign w:val="subscript"/>
              </w:rPr>
              <w:t>200</w:t>
            </w:r>
          </w:p>
          <w:p w14:paraId="3F0BB657" w14:textId="77777777" w:rsidR="001C08A5" w:rsidRDefault="001C08A5">
            <w:pPr>
              <w:jc w:val="center"/>
              <w:rPr>
                <w:i/>
                <w:strike/>
                <w:sz w:val="22"/>
                <w:szCs w:val="22"/>
              </w:rPr>
            </w:pPr>
          </w:p>
        </w:tc>
      </w:tr>
      <w:tr w:rsidR="001C08A5" w14:paraId="20528C1D" w14:textId="77777777">
        <w:tc>
          <w:tcPr>
            <w:tcW w:w="1240" w:type="dxa"/>
          </w:tcPr>
          <w:p w14:paraId="396B73BC" w14:textId="77777777" w:rsidR="001C08A5" w:rsidRDefault="00000000">
            <w:pPr>
              <w:pStyle w:val="BodyText"/>
              <w:jc w:val="center"/>
              <w:rPr>
                <w:bCs w:val="0"/>
                <w:sz w:val="22"/>
                <w:szCs w:val="22"/>
              </w:rPr>
            </w:pPr>
            <w:r>
              <w:rPr>
                <w:bCs w:val="0"/>
                <w:sz w:val="22"/>
                <w:szCs w:val="22"/>
              </w:rPr>
              <w:t>III (+)</w:t>
            </w:r>
          </w:p>
        </w:tc>
        <w:tc>
          <w:tcPr>
            <w:tcW w:w="1833" w:type="dxa"/>
          </w:tcPr>
          <w:p w14:paraId="6A43CC9C" w14:textId="77777777" w:rsidR="001C08A5" w:rsidRDefault="00000000">
            <w:pPr>
              <w:jc w:val="center"/>
              <w:rPr>
                <w:b/>
                <w:i/>
                <w:sz w:val="22"/>
                <w:szCs w:val="22"/>
              </w:rPr>
            </w:pPr>
            <w:r>
              <w:rPr>
                <w:b/>
                <w:i/>
                <w:sz w:val="22"/>
                <w:szCs w:val="22"/>
              </w:rPr>
              <w:t xml:space="preserve">EI/REI 60 </w:t>
            </w:r>
          </w:p>
          <w:p w14:paraId="460D6A4B" w14:textId="77777777" w:rsidR="001C08A5" w:rsidRDefault="001C08A5">
            <w:pPr>
              <w:jc w:val="center"/>
              <w:rPr>
                <w:b/>
                <w:i/>
                <w:sz w:val="22"/>
                <w:szCs w:val="22"/>
              </w:rPr>
            </w:pPr>
          </w:p>
        </w:tc>
        <w:tc>
          <w:tcPr>
            <w:tcW w:w="1699" w:type="dxa"/>
          </w:tcPr>
          <w:p w14:paraId="0BB38F20"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372" w:type="dxa"/>
          </w:tcPr>
          <w:p w14:paraId="028663DE" w14:textId="77777777" w:rsidR="001C08A5" w:rsidRDefault="00000000">
            <w:pPr>
              <w:jc w:val="center"/>
              <w:rPr>
                <w:b/>
                <w:i/>
                <w:sz w:val="22"/>
                <w:szCs w:val="22"/>
              </w:rPr>
            </w:pPr>
            <w:r>
              <w:rPr>
                <w:b/>
                <w:i/>
                <w:sz w:val="22"/>
                <w:szCs w:val="22"/>
              </w:rPr>
              <w:t xml:space="preserve">REI 45 </w:t>
            </w:r>
          </w:p>
        </w:tc>
        <w:tc>
          <w:tcPr>
            <w:tcW w:w="1678" w:type="dxa"/>
          </w:tcPr>
          <w:p w14:paraId="78B1F9B0"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703" w:type="dxa"/>
          </w:tcPr>
          <w:p w14:paraId="5EC4BE10" w14:textId="77777777" w:rsidR="001C08A5" w:rsidRDefault="00000000">
            <w:pPr>
              <w:jc w:val="center"/>
              <w:rPr>
                <w:b/>
                <w:i/>
                <w:sz w:val="22"/>
                <w:szCs w:val="22"/>
              </w:rPr>
            </w:pPr>
            <w:r>
              <w:rPr>
                <w:b/>
                <w:bCs/>
                <w:i/>
                <w:sz w:val="22"/>
                <w:szCs w:val="22"/>
              </w:rPr>
              <w:t>EI</w:t>
            </w:r>
            <w:r>
              <w:rPr>
                <w:b/>
                <w:bCs/>
                <w:i/>
                <w:sz w:val="22"/>
                <w:szCs w:val="22"/>
                <w:vertAlign w:val="subscript"/>
              </w:rPr>
              <w:t>2</w:t>
            </w:r>
            <w:r>
              <w:rPr>
                <w:b/>
                <w:bCs/>
                <w:i/>
                <w:sz w:val="22"/>
                <w:szCs w:val="22"/>
              </w:rPr>
              <w:t xml:space="preserve"> 30 - C5 </w:t>
            </w:r>
            <w:r>
              <w:rPr>
                <w:b/>
                <w:i/>
                <w:sz w:val="22"/>
                <w:szCs w:val="22"/>
              </w:rPr>
              <w:t>S</w:t>
            </w:r>
            <w:r>
              <w:rPr>
                <w:b/>
                <w:bCs/>
                <w:i/>
                <w:sz w:val="22"/>
                <w:szCs w:val="22"/>
                <w:vertAlign w:val="subscript"/>
              </w:rPr>
              <w:t>200</w:t>
            </w:r>
          </w:p>
          <w:p w14:paraId="3CBC5696" w14:textId="77777777" w:rsidR="001C08A5" w:rsidRDefault="001C08A5">
            <w:pPr>
              <w:jc w:val="center"/>
              <w:rPr>
                <w:i/>
                <w:strike/>
                <w:sz w:val="22"/>
                <w:szCs w:val="22"/>
              </w:rPr>
            </w:pPr>
          </w:p>
        </w:tc>
      </w:tr>
    </w:tbl>
    <w:p w14:paraId="19D6034A" w14:textId="77777777" w:rsidR="001C08A5" w:rsidRDefault="00000000">
      <w:pPr>
        <w:jc w:val="both"/>
        <w:rPr>
          <w:i/>
          <w:sz w:val="22"/>
          <w:szCs w:val="22"/>
        </w:rPr>
      </w:pPr>
      <w:r>
        <w:rPr>
          <w:i/>
          <w:sz w:val="22"/>
          <w:szCs w:val="22"/>
        </w:rPr>
        <w:t>Note:</w:t>
      </w:r>
    </w:p>
    <w:p w14:paraId="4248DDB0"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006D7E6F"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03982578" w14:textId="77777777" w:rsidR="001C08A5" w:rsidRDefault="001C08A5">
      <w:pPr>
        <w:jc w:val="both"/>
        <w:rPr>
          <w:sz w:val="24"/>
          <w:szCs w:val="24"/>
        </w:rPr>
      </w:pPr>
    </w:p>
    <w:p w14:paraId="7EE22876" w14:textId="77777777" w:rsidR="001C08A5" w:rsidRDefault="00000000">
      <w:pPr>
        <w:jc w:val="both"/>
        <w:rPr>
          <w:sz w:val="24"/>
          <w:szCs w:val="24"/>
        </w:rPr>
      </w:pPr>
      <w:r>
        <w:rPr>
          <w:b/>
          <w:sz w:val="24"/>
          <w:szCs w:val="24"/>
        </w:rPr>
        <w:tab/>
        <w:t xml:space="preserve">Art. 4.3.5.3. </w:t>
      </w:r>
      <w:r>
        <w:rPr>
          <w:sz w:val="24"/>
          <w:szCs w:val="24"/>
        </w:rPr>
        <w:t xml:space="preserve">Comportarea la foc a pereţilor, uşilor și planşeelor de separare a căilor de evacuare orizontale, coridoare, din clădirile cu săli aglomerate de tip </w:t>
      </w:r>
      <w:r>
        <w:rPr>
          <w:b/>
          <w:sz w:val="24"/>
          <w:szCs w:val="24"/>
        </w:rPr>
        <w:t>S1</w:t>
      </w:r>
      <w:r>
        <w:rPr>
          <w:sz w:val="24"/>
          <w:szCs w:val="24"/>
        </w:rPr>
        <w:t xml:space="preserve"> supraterane cu înălţimi obişnuite, trebuie să corespundă prevederilor din </w:t>
      </w:r>
      <w:r>
        <w:rPr>
          <w:b/>
          <w:bCs/>
          <w:i/>
          <w:iCs/>
          <w:sz w:val="24"/>
          <w:szCs w:val="24"/>
        </w:rPr>
        <w:fldChar w:fldCharType="begin"/>
      </w:r>
      <w:r>
        <w:rPr>
          <w:b/>
          <w:bCs/>
          <w:i/>
          <w:iCs/>
          <w:sz w:val="24"/>
          <w:szCs w:val="24"/>
        </w:rPr>
        <w:instrText xml:space="preserve"> REF _Ref25180 \h </w:instrText>
      </w:r>
      <w:r>
        <w:rPr>
          <w:b/>
          <w:bCs/>
          <w:i/>
          <w:iCs/>
          <w:sz w:val="24"/>
          <w:szCs w:val="24"/>
        </w:rPr>
      </w:r>
      <w:r>
        <w:rPr>
          <w:b/>
          <w:bCs/>
          <w:i/>
          <w:iCs/>
          <w:sz w:val="24"/>
          <w:szCs w:val="24"/>
        </w:rPr>
        <w:fldChar w:fldCharType="separate"/>
      </w:r>
      <w:r>
        <w:t>Tabelul 104</w:t>
      </w:r>
      <w:r>
        <w:rPr>
          <w:b/>
          <w:bCs/>
          <w:i/>
          <w:iCs/>
          <w:sz w:val="24"/>
          <w:szCs w:val="24"/>
        </w:rPr>
        <w:fldChar w:fldCharType="end"/>
      </w:r>
      <w:r>
        <w:rPr>
          <w:sz w:val="24"/>
          <w:szCs w:val="24"/>
        </w:rPr>
        <w:t>.</w:t>
      </w:r>
    </w:p>
    <w:p w14:paraId="45372139" w14:textId="77777777" w:rsidR="001C08A5" w:rsidRDefault="001C08A5">
      <w:pPr>
        <w:jc w:val="both"/>
        <w:rPr>
          <w:sz w:val="24"/>
          <w:szCs w:val="24"/>
        </w:rPr>
      </w:pPr>
    </w:p>
    <w:p w14:paraId="6F0266F0" w14:textId="77777777" w:rsidR="001C08A5" w:rsidRDefault="00000000">
      <w:pPr>
        <w:pStyle w:val="Captiontabel"/>
      </w:pPr>
      <w:bookmarkStart w:id="4775" w:name="_Ref25180"/>
      <w:bookmarkStart w:id="4776" w:name="_Toc162360154"/>
      <w:r>
        <w:t xml:space="preserve">Tabelul </w:t>
      </w:r>
      <w:r>
        <w:fldChar w:fldCharType="begin"/>
      </w:r>
      <w:r>
        <w:instrText xml:space="preserve"> SEQ Tabelul \* ARABIC </w:instrText>
      </w:r>
      <w:r>
        <w:fldChar w:fldCharType="separate"/>
      </w:r>
      <w:r>
        <w:t>104</w:t>
      </w:r>
      <w:r>
        <w:fldChar w:fldCharType="end"/>
      </w:r>
      <w:bookmarkStart w:id="4777" w:name="_Toc19991"/>
      <w:bookmarkStart w:id="4778" w:name="_Toc30200"/>
      <w:bookmarkStart w:id="4779" w:name="_Toc32343"/>
      <w:bookmarkStart w:id="4780" w:name="_Toc21810"/>
      <w:bookmarkStart w:id="4781" w:name="_Toc14250"/>
      <w:bookmarkStart w:id="4782" w:name="_Toc20178"/>
      <w:bookmarkStart w:id="4783" w:name="_Toc6934"/>
      <w:bookmarkStart w:id="4784" w:name="_Toc2772"/>
      <w:bookmarkStart w:id="4785" w:name="_Toc2235"/>
      <w:bookmarkStart w:id="4786" w:name="_Toc12690"/>
      <w:bookmarkStart w:id="4787" w:name="_Toc24512"/>
      <w:bookmarkStart w:id="4788" w:name="_Toc25113"/>
      <w:bookmarkStart w:id="4789" w:name="_Toc3646"/>
      <w:bookmarkStart w:id="4790" w:name="_Toc31978"/>
      <w:bookmarkStart w:id="4791" w:name="_Toc13716"/>
      <w:bookmarkStart w:id="4792" w:name="_Toc17429"/>
      <w:bookmarkStart w:id="4793" w:name="_Toc29629"/>
      <w:bookmarkStart w:id="4794" w:name="_Toc26873"/>
      <w:bookmarkStart w:id="4795" w:name="_Toc26395"/>
      <w:bookmarkEnd w:id="4775"/>
      <w:r>
        <w:t>: Comportare la foc a pereţilor, uşilor și planşeelor de separare a căilor de evacuare orizontale, coridoare, din clădirile cu săli aglomerate de tip S1 supraterane cu înălţimi obişnuite</w:t>
      </w:r>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p>
    <w:p w14:paraId="4A340038"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093"/>
        <w:gridCol w:w="1788"/>
        <w:gridCol w:w="2097"/>
        <w:gridCol w:w="1719"/>
        <w:gridCol w:w="1539"/>
      </w:tblGrid>
      <w:tr w:rsidR="001C08A5" w14:paraId="5B2408C6" w14:textId="77777777">
        <w:trPr>
          <w:tblHeader/>
        </w:trPr>
        <w:tc>
          <w:tcPr>
            <w:tcW w:w="1262" w:type="dxa"/>
            <w:vMerge w:val="restart"/>
            <w:shd w:val="clear" w:color="auto" w:fill="BFBFBF"/>
          </w:tcPr>
          <w:p w14:paraId="47F94813" w14:textId="77777777" w:rsidR="001C08A5" w:rsidRDefault="001C08A5">
            <w:pPr>
              <w:pStyle w:val="BodyText"/>
              <w:jc w:val="center"/>
              <w:rPr>
                <w:bCs w:val="0"/>
                <w:sz w:val="22"/>
                <w:szCs w:val="22"/>
              </w:rPr>
            </w:pPr>
          </w:p>
          <w:p w14:paraId="414ED1AD" w14:textId="77777777" w:rsidR="001C08A5" w:rsidRDefault="00000000">
            <w:pPr>
              <w:pStyle w:val="BodyText"/>
              <w:jc w:val="center"/>
              <w:rPr>
                <w:bCs w:val="0"/>
                <w:sz w:val="22"/>
                <w:szCs w:val="22"/>
              </w:rPr>
            </w:pPr>
            <w:r>
              <w:rPr>
                <w:bCs w:val="0"/>
                <w:sz w:val="22"/>
                <w:szCs w:val="22"/>
              </w:rPr>
              <w:t>Nivel de stabilitate</w:t>
            </w:r>
          </w:p>
          <w:p w14:paraId="07CEAC59"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1EB68549" w14:textId="77777777" w:rsidR="001C08A5" w:rsidRDefault="00000000">
            <w:pPr>
              <w:jc w:val="center"/>
              <w:rPr>
                <w:b/>
                <w:bCs/>
                <w:i/>
                <w:sz w:val="22"/>
                <w:szCs w:val="22"/>
              </w:rPr>
            </w:pPr>
            <w:r>
              <w:rPr>
                <w:b/>
                <w:bCs/>
                <w:i/>
                <w:sz w:val="22"/>
                <w:szCs w:val="22"/>
              </w:rPr>
              <w:t xml:space="preserve">Niveluri de comportare la foc admise la coridoare </w:t>
            </w:r>
          </w:p>
        </w:tc>
      </w:tr>
      <w:tr w:rsidR="001C08A5" w14:paraId="33492DCC" w14:textId="77777777">
        <w:trPr>
          <w:tblHeader/>
        </w:trPr>
        <w:tc>
          <w:tcPr>
            <w:tcW w:w="1262" w:type="dxa"/>
            <w:vMerge/>
            <w:shd w:val="clear" w:color="auto" w:fill="BFBFBF"/>
          </w:tcPr>
          <w:p w14:paraId="10718A2B" w14:textId="77777777" w:rsidR="001C08A5" w:rsidRDefault="001C08A5">
            <w:pPr>
              <w:jc w:val="center"/>
              <w:rPr>
                <w:i/>
                <w:sz w:val="22"/>
                <w:szCs w:val="22"/>
              </w:rPr>
            </w:pPr>
          </w:p>
        </w:tc>
        <w:tc>
          <w:tcPr>
            <w:tcW w:w="2881" w:type="dxa"/>
            <w:gridSpan w:val="2"/>
            <w:shd w:val="clear" w:color="auto" w:fill="BFBFBF"/>
          </w:tcPr>
          <w:p w14:paraId="6ECE5F39" w14:textId="77777777" w:rsidR="001C08A5" w:rsidRDefault="001C08A5">
            <w:pPr>
              <w:jc w:val="center"/>
              <w:rPr>
                <w:b/>
                <w:bCs/>
                <w:i/>
                <w:sz w:val="22"/>
                <w:szCs w:val="22"/>
              </w:rPr>
            </w:pPr>
          </w:p>
          <w:p w14:paraId="7E27F21C" w14:textId="77777777" w:rsidR="001C08A5" w:rsidRDefault="00000000">
            <w:pPr>
              <w:jc w:val="center"/>
              <w:rPr>
                <w:i/>
                <w:sz w:val="22"/>
                <w:szCs w:val="22"/>
              </w:rPr>
            </w:pPr>
            <w:r>
              <w:rPr>
                <w:b/>
                <w:bCs/>
                <w:i/>
                <w:sz w:val="22"/>
                <w:szCs w:val="22"/>
              </w:rPr>
              <w:t>Pereţi</w:t>
            </w:r>
          </w:p>
        </w:tc>
        <w:tc>
          <w:tcPr>
            <w:tcW w:w="3816" w:type="dxa"/>
            <w:gridSpan w:val="2"/>
            <w:shd w:val="clear" w:color="auto" w:fill="BFBFBF"/>
          </w:tcPr>
          <w:p w14:paraId="5D80054B"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13580875" w14:textId="77777777" w:rsidR="001C08A5" w:rsidRDefault="00000000">
            <w:pPr>
              <w:jc w:val="center"/>
              <w:rPr>
                <w:i/>
                <w:sz w:val="22"/>
                <w:szCs w:val="22"/>
              </w:rPr>
            </w:pPr>
            <w:r>
              <w:rPr>
                <w:b/>
                <w:bCs/>
                <w:i/>
                <w:sz w:val="22"/>
                <w:szCs w:val="22"/>
              </w:rPr>
              <w:t xml:space="preserve">Uşi </w:t>
            </w:r>
            <w:r>
              <w:rPr>
                <w:bCs/>
                <w:i/>
                <w:sz w:val="22"/>
                <w:szCs w:val="22"/>
              </w:rPr>
              <w:t>(cu excepţia celor către case de scări închise şi către sălile aglomerate)</w:t>
            </w:r>
          </w:p>
        </w:tc>
      </w:tr>
      <w:tr w:rsidR="001C08A5" w14:paraId="2C18D998" w14:textId="77777777">
        <w:tc>
          <w:tcPr>
            <w:tcW w:w="1262" w:type="dxa"/>
          </w:tcPr>
          <w:p w14:paraId="196EB4EB" w14:textId="77777777" w:rsidR="001C08A5" w:rsidRDefault="00000000">
            <w:pPr>
              <w:pStyle w:val="BodyText"/>
              <w:jc w:val="center"/>
              <w:rPr>
                <w:bCs w:val="0"/>
                <w:sz w:val="22"/>
                <w:szCs w:val="22"/>
              </w:rPr>
            </w:pPr>
            <w:r>
              <w:rPr>
                <w:bCs w:val="0"/>
                <w:sz w:val="22"/>
                <w:szCs w:val="22"/>
              </w:rPr>
              <w:t>I</w:t>
            </w:r>
          </w:p>
          <w:p w14:paraId="471F4BA0" w14:textId="77777777" w:rsidR="001C08A5" w:rsidRDefault="00000000">
            <w:pPr>
              <w:pStyle w:val="BodyText"/>
              <w:jc w:val="center"/>
              <w:rPr>
                <w:bCs w:val="0"/>
                <w:sz w:val="22"/>
                <w:szCs w:val="22"/>
              </w:rPr>
            </w:pPr>
            <w:r>
              <w:rPr>
                <w:sz w:val="22"/>
                <w:szCs w:val="22"/>
              </w:rPr>
              <w:t>h&lt;28m</w:t>
            </w:r>
          </w:p>
        </w:tc>
        <w:tc>
          <w:tcPr>
            <w:tcW w:w="1093" w:type="dxa"/>
          </w:tcPr>
          <w:p w14:paraId="16A51211" w14:textId="77777777" w:rsidR="001C08A5" w:rsidRDefault="00000000">
            <w:pPr>
              <w:jc w:val="center"/>
              <w:rPr>
                <w:b/>
                <w:i/>
                <w:sz w:val="22"/>
                <w:szCs w:val="22"/>
              </w:rPr>
            </w:pPr>
            <w:r>
              <w:rPr>
                <w:b/>
                <w:i/>
                <w:sz w:val="22"/>
                <w:szCs w:val="22"/>
              </w:rPr>
              <w:t xml:space="preserve">EI/REI 90 </w:t>
            </w:r>
          </w:p>
        </w:tc>
        <w:tc>
          <w:tcPr>
            <w:tcW w:w="1788" w:type="dxa"/>
          </w:tcPr>
          <w:p w14:paraId="55B2E0F4"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2097" w:type="dxa"/>
            <w:vMerge w:val="restart"/>
            <w:textDirection w:val="lrTbV"/>
          </w:tcPr>
          <w:p w14:paraId="4A6CD51F" w14:textId="77777777" w:rsidR="001C08A5" w:rsidRDefault="00000000">
            <w:pPr>
              <w:jc w:val="center"/>
              <w:rPr>
                <w:b/>
                <w:i/>
                <w:sz w:val="22"/>
                <w:szCs w:val="22"/>
              </w:rPr>
            </w:pPr>
            <w:r>
              <w:rPr>
                <w:bCs/>
                <w:i/>
                <w:sz w:val="22"/>
                <w:szCs w:val="22"/>
              </w:rPr>
              <w:t>Conform prevederi din</w:t>
            </w:r>
          </w:p>
          <w:p w14:paraId="4C38CFFE" w14:textId="77777777" w:rsidR="001C08A5" w:rsidRDefault="00000000">
            <w:pPr>
              <w:jc w:val="center"/>
              <w:rPr>
                <w:i/>
                <w:sz w:val="22"/>
                <w:szCs w:val="22"/>
              </w:rPr>
            </w:pP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rStyle w:val="BodyTextChar"/>
                <w:sz w:val="22"/>
                <w:szCs w:val="22"/>
              </w:rPr>
              <w:t xml:space="preserve"> pct.3</w:t>
            </w:r>
          </w:p>
          <w:p w14:paraId="3A9012EC" w14:textId="77777777" w:rsidR="001C08A5" w:rsidRDefault="00000000">
            <w:pPr>
              <w:rPr>
                <w:b/>
                <w:i/>
                <w:sz w:val="22"/>
                <w:szCs w:val="22"/>
              </w:rPr>
            </w:pPr>
            <w:r>
              <w:rPr>
                <w:i/>
                <w:sz w:val="22"/>
                <w:szCs w:val="22"/>
              </w:rPr>
              <w:t xml:space="preserve">Condiţiile minime de rezistenţă la foc pe care trebuie să le îndeplinească  </w:t>
            </w:r>
            <w:r>
              <w:rPr>
                <w:b/>
                <w:bCs/>
                <w:i/>
                <w:sz w:val="22"/>
                <w:szCs w:val="22"/>
              </w:rPr>
              <w:t>planșeele</w:t>
            </w:r>
            <w:r>
              <w:rPr>
                <w:i/>
                <w:sz w:val="22"/>
                <w:szCs w:val="22"/>
              </w:rPr>
              <w:t xml:space="preserve"> (</w:t>
            </w:r>
            <w:r>
              <w:rPr>
                <w:b/>
                <w:bCs/>
                <w:i/>
                <w:sz w:val="22"/>
                <w:szCs w:val="22"/>
              </w:rPr>
              <w:t>REI</w:t>
            </w:r>
            <w:r>
              <w:rPr>
                <w:i/>
                <w:sz w:val="22"/>
                <w:szCs w:val="22"/>
              </w:rPr>
              <w:t>) pentru încadrarea  în nivelul stabilit de stabilitate la incendiu.</w:t>
            </w:r>
          </w:p>
        </w:tc>
        <w:tc>
          <w:tcPr>
            <w:tcW w:w="1719" w:type="dxa"/>
          </w:tcPr>
          <w:p w14:paraId="4432C4C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6AB49083" w14:textId="77777777" w:rsidR="001C08A5" w:rsidRDefault="00000000">
            <w:pPr>
              <w:jc w:val="center"/>
              <w:rPr>
                <w:b/>
                <w:bCs/>
                <w:i/>
                <w:sz w:val="22"/>
                <w:szCs w:val="22"/>
              </w:rPr>
            </w:pPr>
            <w:r>
              <w:rPr>
                <w:b/>
                <w:bCs/>
                <w:i/>
                <w:sz w:val="22"/>
                <w:szCs w:val="22"/>
              </w:rPr>
              <w:t>EI</w:t>
            </w:r>
            <w:r>
              <w:rPr>
                <w:b/>
                <w:bCs/>
                <w:i/>
                <w:sz w:val="22"/>
                <w:szCs w:val="22"/>
                <w:vertAlign w:val="subscript"/>
              </w:rPr>
              <w:t>2</w:t>
            </w:r>
            <w:r>
              <w:rPr>
                <w:b/>
                <w:bCs/>
                <w:i/>
                <w:sz w:val="22"/>
                <w:szCs w:val="22"/>
              </w:rPr>
              <w:t xml:space="preserve">  60 - C5 </w:t>
            </w:r>
            <w:r>
              <w:rPr>
                <w:b/>
                <w:i/>
                <w:sz w:val="22"/>
                <w:szCs w:val="22"/>
              </w:rPr>
              <w:t>S</w:t>
            </w:r>
            <w:r>
              <w:rPr>
                <w:b/>
                <w:bCs/>
                <w:i/>
                <w:sz w:val="22"/>
                <w:szCs w:val="22"/>
                <w:vertAlign w:val="subscript"/>
              </w:rPr>
              <w:t>200</w:t>
            </w:r>
          </w:p>
        </w:tc>
      </w:tr>
      <w:tr w:rsidR="001C08A5" w14:paraId="0B61964A" w14:textId="77777777">
        <w:tc>
          <w:tcPr>
            <w:tcW w:w="1262" w:type="dxa"/>
          </w:tcPr>
          <w:p w14:paraId="50605431" w14:textId="77777777" w:rsidR="001C08A5" w:rsidRDefault="00000000">
            <w:pPr>
              <w:pStyle w:val="BodyText"/>
              <w:jc w:val="center"/>
              <w:rPr>
                <w:bCs w:val="0"/>
                <w:sz w:val="22"/>
                <w:szCs w:val="22"/>
              </w:rPr>
            </w:pPr>
            <w:r>
              <w:rPr>
                <w:bCs w:val="0"/>
                <w:sz w:val="22"/>
                <w:szCs w:val="22"/>
              </w:rPr>
              <w:t>II</w:t>
            </w:r>
          </w:p>
        </w:tc>
        <w:tc>
          <w:tcPr>
            <w:tcW w:w="1093" w:type="dxa"/>
          </w:tcPr>
          <w:p w14:paraId="1A8AA994" w14:textId="77777777" w:rsidR="001C08A5" w:rsidRDefault="00000000">
            <w:pPr>
              <w:jc w:val="center"/>
              <w:rPr>
                <w:b/>
                <w:i/>
                <w:sz w:val="22"/>
                <w:szCs w:val="22"/>
              </w:rPr>
            </w:pPr>
            <w:r>
              <w:rPr>
                <w:b/>
                <w:i/>
                <w:sz w:val="22"/>
                <w:szCs w:val="22"/>
              </w:rPr>
              <w:t xml:space="preserve">EI/REI 90 </w:t>
            </w:r>
          </w:p>
        </w:tc>
        <w:tc>
          <w:tcPr>
            <w:tcW w:w="1788" w:type="dxa"/>
          </w:tcPr>
          <w:p w14:paraId="54985B12"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2097" w:type="dxa"/>
            <w:vMerge/>
          </w:tcPr>
          <w:p w14:paraId="73EAA63D" w14:textId="77777777" w:rsidR="001C08A5" w:rsidRDefault="001C08A5">
            <w:pPr>
              <w:jc w:val="center"/>
              <w:rPr>
                <w:b/>
                <w:i/>
                <w:sz w:val="22"/>
                <w:szCs w:val="22"/>
              </w:rPr>
            </w:pPr>
          </w:p>
        </w:tc>
        <w:tc>
          <w:tcPr>
            <w:tcW w:w="1719" w:type="dxa"/>
          </w:tcPr>
          <w:p w14:paraId="0BF87729"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56002341" w14:textId="77777777" w:rsidR="001C08A5" w:rsidRDefault="00000000">
            <w:pPr>
              <w:jc w:val="center"/>
              <w:rPr>
                <w:b/>
                <w:bCs/>
                <w:i/>
                <w:sz w:val="22"/>
                <w:szCs w:val="22"/>
              </w:rPr>
            </w:pPr>
            <w:r>
              <w:rPr>
                <w:b/>
                <w:bCs/>
                <w:i/>
                <w:sz w:val="22"/>
                <w:szCs w:val="22"/>
              </w:rPr>
              <w:t>E 45 - C5 Sa</w:t>
            </w:r>
          </w:p>
          <w:p w14:paraId="5E5559C4" w14:textId="77777777" w:rsidR="001C08A5" w:rsidRDefault="001C08A5">
            <w:pPr>
              <w:jc w:val="both"/>
              <w:rPr>
                <w:b/>
                <w:bCs/>
                <w:i/>
                <w:sz w:val="22"/>
                <w:szCs w:val="22"/>
              </w:rPr>
            </w:pPr>
          </w:p>
        </w:tc>
      </w:tr>
      <w:tr w:rsidR="001C08A5" w14:paraId="14FEFF0D" w14:textId="77777777">
        <w:tc>
          <w:tcPr>
            <w:tcW w:w="1262" w:type="dxa"/>
          </w:tcPr>
          <w:p w14:paraId="39CF3F71" w14:textId="77777777" w:rsidR="001C08A5" w:rsidRDefault="00000000">
            <w:pPr>
              <w:pStyle w:val="BodyText"/>
              <w:jc w:val="center"/>
              <w:rPr>
                <w:bCs w:val="0"/>
                <w:sz w:val="22"/>
                <w:szCs w:val="22"/>
              </w:rPr>
            </w:pPr>
            <w:r>
              <w:rPr>
                <w:bCs w:val="0"/>
                <w:sz w:val="22"/>
                <w:szCs w:val="22"/>
              </w:rPr>
              <w:t>II (+)</w:t>
            </w:r>
          </w:p>
        </w:tc>
        <w:tc>
          <w:tcPr>
            <w:tcW w:w="1093" w:type="dxa"/>
          </w:tcPr>
          <w:p w14:paraId="5EC1B27B" w14:textId="77777777" w:rsidR="001C08A5" w:rsidRDefault="00000000">
            <w:pPr>
              <w:jc w:val="center"/>
              <w:rPr>
                <w:b/>
                <w:i/>
                <w:sz w:val="22"/>
                <w:szCs w:val="22"/>
              </w:rPr>
            </w:pPr>
            <w:r>
              <w:rPr>
                <w:b/>
                <w:i/>
                <w:sz w:val="22"/>
                <w:szCs w:val="22"/>
              </w:rPr>
              <w:t>EI/REI 60</w:t>
            </w:r>
          </w:p>
        </w:tc>
        <w:tc>
          <w:tcPr>
            <w:tcW w:w="1788" w:type="dxa"/>
          </w:tcPr>
          <w:p w14:paraId="47E9101E"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2097" w:type="dxa"/>
            <w:vMerge/>
          </w:tcPr>
          <w:p w14:paraId="531C3D44" w14:textId="77777777" w:rsidR="001C08A5" w:rsidRDefault="001C08A5">
            <w:pPr>
              <w:jc w:val="center"/>
              <w:rPr>
                <w:b/>
                <w:i/>
                <w:sz w:val="22"/>
                <w:szCs w:val="22"/>
              </w:rPr>
            </w:pPr>
          </w:p>
        </w:tc>
        <w:tc>
          <w:tcPr>
            <w:tcW w:w="1719" w:type="dxa"/>
          </w:tcPr>
          <w:p w14:paraId="7D6748E5"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39" w:type="dxa"/>
          </w:tcPr>
          <w:p w14:paraId="7E64684E" w14:textId="77777777" w:rsidR="001C08A5" w:rsidRDefault="00000000">
            <w:pPr>
              <w:jc w:val="center"/>
              <w:rPr>
                <w:b/>
                <w:bCs/>
                <w:i/>
                <w:sz w:val="22"/>
                <w:szCs w:val="22"/>
              </w:rPr>
            </w:pPr>
            <w:r>
              <w:rPr>
                <w:b/>
                <w:bCs/>
                <w:i/>
                <w:sz w:val="22"/>
                <w:szCs w:val="22"/>
              </w:rPr>
              <w:t>E 30 - C5 Sa</w:t>
            </w:r>
          </w:p>
          <w:p w14:paraId="6D0286EC" w14:textId="77777777" w:rsidR="001C08A5" w:rsidRDefault="001C08A5">
            <w:pPr>
              <w:jc w:val="both"/>
              <w:rPr>
                <w:b/>
                <w:bCs/>
                <w:i/>
                <w:sz w:val="22"/>
                <w:szCs w:val="22"/>
              </w:rPr>
            </w:pPr>
          </w:p>
        </w:tc>
      </w:tr>
      <w:tr w:rsidR="001C08A5" w14:paraId="77990E21" w14:textId="77777777">
        <w:tc>
          <w:tcPr>
            <w:tcW w:w="1262" w:type="dxa"/>
          </w:tcPr>
          <w:p w14:paraId="158B5E2E" w14:textId="77777777" w:rsidR="001C08A5" w:rsidRDefault="00000000">
            <w:pPr>
              <w:pStyle w:val="BodyText"/>
              <w:jc w:val="center"/>
              <w:rPr>
                <w:bCs w:val="0"/>
                <w:sz w:val="22"/>
                <w:szCs w:val="22"/>
              </w:rPr>
            </w:pPr>
            <w:r>
              <w:rPr>
                <w:bCs w:val="0"/>
                <w:sz w:val="22"/>
                <w:szCs w:val="22"/>
              </w:rPr>
              <w:t>III</w:t>
            </w:r>
          </w:p>
        </w:tc>
        <w:tc>
          <w:tcPr>
            <w:tcW w:w="1093" w:type="dxa"/>
          </w:tcPr>
          <w:p w14:paraId="1EA8D6FE" w14:textId="77777777" w:rsidR="001C08A5" w:rsidRDefault="00000000">
            <w:pPr>
              <w:jc w:val="center"/>
              <w:rPr>
                <w:b/>
                <w:i/>
                <w:sz w:val="22"/>
                <w:szCs w:val="22"/>
              </w:rPr>
            </w:pPr>
            <w:r>
              <w:rPr>
                <w:b/>
                <w:i/>
                <w:sz w:val="22"/>
                <w:szCs w:val="22"/>
              </w:rPr>
              <w:t xml:space="preserve">EI/REI 60 </w:t>
            </w:r>
          </w:p>
        </w:tc>
        <w:tc>
          <w:tcPr>
            <w:tcW w:w="1788" w:type="dxa"/>
          </w:tcPr>
          <w:p w14:paraId="4E4C7E4D"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2097" w:type="dxa"/>
            <w:vMerge/>
          </w:tcPr>
          <w:p w14:paraId="67963A5E" w14:textId="77777777" w:rsidR="001C08A5" w:rsidRDefault="001C08A5">
            <w:pPr>
              <w:jc w:val="center"/>
              <w:rPr>
                <w:b/>
                <w:i/>
                <w:sz w:val="22"/>
                <w:szCs w:val="22"/>
              </w:rPr>
            </w:pPr>
          </w:p>
        </w:tc>
        <w:tc>
          <w:tcPr>
            <w:tcW w:w="1719" w:type="dxa"/>
          </w:tcPr>
          <w:p w14:paraId="094A25A8"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539" w:type="dxa"/>
          </w:tcPr>
          <w:p w14:paraId="7C935B05" w14:textId="77777777" w:rsidR="001C08A5" w:rsidRDefault="00000000">
            <w:pPr>
              <w:jc w:val="center"/>
              <w:rPr>
                <w:b/>
                <w:bCs/>
                <w:i/>
                <w:sz w:val="22"/>
                <w:szCs w:val="22"/>
              </w:rPr>
            </w:pPr>
            <w:r>
              <w:rPr>
                <w:b/>
                <w:bCs/>
                <w:i/>
                <w:sz w:val="22"/>
                <w:szCs w:val="22"/>
              </w:rPr>
              <w:t>E 30 - C5 Sa</w:t>
            </w:r>
          </w:p>
          <w:p w14:paraId="3C17C979" w14:textId="77777777" w:rsidR="001C08A5" w:rsidRDefault="001C08A5">
            <w:pPr>
              <w:jc w:val="both"/>
              <w:rPr>
                <w:b/>
                <w:bCs/>
                <w:i/>
                <w:sz w:val="22"/>
                <w:szCs w:val="22"/>
              </w:rPr>
            </w:pPr>
          </w:p>
        </w:tc>
      </w:tr>
      <w:tr w:rsidR="001C08A5" w14:paraId="2A3B0EDC" w14:textId="77777777">
        <w:tc>
          <w:tcPr>
            <w:tcW w:w="1262" w:type="dxa"/>
          </w:tcPr>
          <w:p w14:paraId="45C00CC3" w14:textId="77777777" w:rsidR="001C08A5" w:rsidRDefault="00000000">
            <w:pPr>
              <w:pStyle w:val="BodyText"/>
              <w:jc w:val="center"/>
              <w:rPr>
                <w:bCs w:val="0"/>
                <w:sz w:val="22"/>
                <w:szCs w:val="22"/>
              </w:rPr>
            </w:pPr>
            <w:r>
              <w:rPr>
                <w:bCs w:val="0"/>
                <w:sz w:val="22"/>
                <w:szCs w:val="22"/>
              </w:rPr>
              <w:t>III (+)</w:t>
            </w:r>
          </w:p>
        </w:tc>
        <w:tc>
          <w:tcPr>
            <w:tcW w:w="1093" w:type="dxa"/>
          </w:tcPr>
          <w:p w14:paraId="73B66995" w14:textId="77777777" w:rsidR="001C08A5" w:rsidRDefault="00000000">
            <w:pPr>
              <w:jc w:val="center"/>
              <w:rPr>
                <w:b/>
                <w:i/>
                <w:sz w:val="22"/>
                <w:szCs w:val="22"/>
              </w:rPr>
            </w:pPr>
            <w:r>
              <w:rPr>
                <w:b/>
                <w:i/>
                <w:sz w:val="22"/>
                <w:szCs w:val="22"/>
              </w:rPr>
              <w:t xml:space="preserve">EI/REI 45 </w:t>
            </w:r>
          </w:p>
        </w:tc>
        <w:tc>
          <w:tcPr>
            <w:tcW w:w="1788" w:type="dxa"/>
          </w:tcPr>
          <w:p w14:paraId="37FD63AE"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2097" w:type="dxa"/>
            <w:vMerge/>
          </w:tcPr>
          <w:p w14:paraId="0EE5C914" w14:textId="77777777" w:rsidR="001C08A5" w:rsidRDefault="001C08A5">
            <w:pPr>
              <w:jc w:val="center"/>
              <w:rPr>
                <w:b/>
                <w:i/>
                <w:sz w:val="22"/>
                <w:szCs w:val="22"/>
              </w:rPr>
            </w:pPr>
          </w:p>
        </w:tc>
        <w:tc>
          <w:tcPr>
            <w:tcW w:w="1719" w:type="dxa"/>
          </w:tcPr>
          <w:p w14:paraId="205FC6F4" w14:textId="77777777" w:rsidR="001C08A5" w:rsidRDefault="00000000">
            <w:pPr>
              <w:jc w:val="center"/>
              <w:rPr>
                <w:i/>
                <w:sz w:val="22"/>
                <w:szCs w:val="22"/>
              </w:rPr>
            </w:pPr>
            <w:r>
              <w:rPr>
                <w:b/>
                <w:i/>
                <w:sz w:val="22"/>
                <w:szCs w:val="22"/>
              </w:rPr>
              <w:t xml:space="preserve"> A1 </w:t>
            </w:r>
            <w:r>
              <w:rPr>
                <w:i/>
                <w:sz w:val="22"/>
                <w:szCs w:val="22"/>
              </w:rPr>
              <w:t>sau</w:t>
            </w:r>
            <w:r>
              <w:rPr>
                <w:b/>
                <w:i/>
                <w:sz w:val="22"/>
                <w:szCs w:val="22"/>
              </w:rPr>
              <w:t xml:space="preserve"> A2-s1d0, </w:t>
            </w:r>
          </w:p>
        </w:tc>
        <w:tc>
          <w:tcPr>
            <w:tcW w:w="1539" w:type="dxa"/>
          </w:tcPr>
          <w:p w14:paraId="15604B72" w14:textId="77777777" w:rsidR="001C08A5" w:rsidRDefault="00000000">
            <w:pPr>
              <w:jc w:val="center"/>
              <w:rPr>
                <w:b/>
                <w:bCs/>
                <w:i/>
                <w:sz w:val="22"/>
                <w:szCs w:val="22"/>
              </w:rPr>
            </w:pPr>
            <w:r>
              <w:rPr>
                <w:b/>
                <w:bCs/>
                <w:i/>
                <w:sz w:val="22"/>
                <w:szCs w:val="22"/>
              </w:rPr>
              <w:t>E 15 - C5 Sa</w:t>
            </w:r>
          </w:p>
        </w:tc>
      </w:tr>
    </w:tbl>
    <w:p w14:paraId="36B5DB79" w14:textId="77777777" w:rsidR="001C08A5" w:rsidRDefault="00000000">
      <w:pPr>
        <w:jc w:val="both"/>
        <w:rPr>
          <w:i/>
          <w:sz w:val="22"/>
          <w:szCs w:val="22"/>
        </w:rPr>
      </w:pPr>
      <w:r>
        <w:rPr>
          <w:i/>
          <w:sz w:val="22"/>
          <w:szCs w:val="22"/>
        </w:rPr>
        <w:t>Note:</w:t>
      </w:r>
    </w:p>
    <w:p w14:paraId="79B18AB8"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2B23A5EA"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11A0B93C" w14:textId="77777777" w:rsidR="001C08A5" w:rsidRDefault="001C08A5">
      <w:pPr>
        <w:jc w:val="both"/>
        <w:rPr>
          <w:sz w:val="24"/>
          <w:szCs w:val="24"/>
        </w:rPr>
      </w:pPr>
    </w:p>
    <w:p w14:paraId="5DEEE140" w14:textId="77777777" w:rsidR="001C08A5" w:rsidRDefault="00000000">
      <w:pPr>
        <w:jc w:val="both"/>
        <w:rPr>
          <w:sz w:val="24"/>
          <w:szCs w:val="24"/>
        </w:rPr>
      </w:pPr>
      <w:r>
        <w:rPr>
          <w:b/>
          <w:sz w:val="24"/>
          <w:szCs w:val="24"/>
        </w:rPr>
        <w:tab/>
        <w:t xml:space="preserve">Art. 4.3.5.4.  </w:t>
      </w:r>
      <w:r>
        <w:rPr>
          <w:sz w:val="24"/>
          <w:szCs w:val="24"/>
        </w:rPr>
        <w:t xml:space="preserve">Comportarea la foc a pereţilor, uşilor și planşeelor de separare a căilor de evacuare orizontale, holuri, din clădirile cu săli aglomerate de tip </w:t>
      </w:r>
      <w:r>
        <w:rPr>
          <w:b/>
          <w:sz w:val="24"/>
          <w:szCs w:val="24"/>
        </w:rPr>
        <w:t>S1</w:t>
      </w:r>
      <w:r>
        <w:rPr>
          <w:sz w:val="24"/>
          <w:szCs w:val="24"/>
        </w:rPr>
        <w:t xml:space="preserve"> supraterane cu înălţimi obişnuite, trebuie să corespundă prevederilor din </w:t>
      </w:r>
      <w:r>
        <w:rPr>
          <w:b/>
          <w:bCs/>
          <w:i/>
          <w:iCs/>
          <w:sz w:val="24"/>
          <w:szCs w:val="24"/>
        </w:rPr>
        <w:fldChar w:fldCharType="begin"/>
      </w:r>
      <w:r>
        <w:rPr>
          <w:b/>
          <w:bCs/>
          <w:i/>
          <w:iCs/>
          <w:sz w:val="24"/>
          <w:szCs w:val="24"/>
        </w:rPr>
        <w:instrText xml:space="preserve"> REF _Ref25549 \h </w:instrText>
      </w:r>
      <w:r>
        <w:rPr>
          <w:b/>
          <w:bCs/>
          <w:i/>
          <w:iCs/>
          <w:sz w:val="24"/>
          <w:szCs w:val="24"/>
        </w:rPr>
      </w:r>
      <w:r>
        <w:rPr>
          <w:b/>
          <w:bCs/>
          <w:i/>
          <w:iCs/>
          <w:sz w:val="24"/>
          <w:szCs w:val="24"/>
        </w:rPr>
        <w:fldChar w:fldCharType="separate"/>
      </w:r>
      <w:r>
        <w:t>Tabelul 105</w:t>
      </w:r>
      <w:r>
        <w:rPr>
          <w:b/>
          <w:bCs/>
          <w:i/>
          <w:iCs/>
          <w:sz w:val="24"/>
          <w:szCs w:val="24"/>
        </w:rPr>
        <w:fldChar w:fldCharType="end"/>
      </w:r>
      <w:r>
        <w:rPr>
          <w:sz w:val="24"/>
          <w:szCs w:val="24"/>
        </w:rPr>
        <w:t>.</w:t>
      </w:r>
    </w:p>
    <w:p w14:paraId="304445C5" w14:textId="77777777" w:rsidR="001C08A5" w:rsidRDefault="001C08A5">
      <w:pPr>
        <w:jc w:val="both"/>
        <w:rPr>
          <w:b/>
          <w:sz w:val="24"/>
          <w:szCs w:val="24"/>
        </w:rPr>
      </w:pPr>
    </w:p>
    <w:p w14:paraId="46355129" w14:textId="77777777" w:rsidR="001C08A5" w:rsidRDefault="00000000">
      <w:pPr>
        <w:pStyle w:val="Captiontabel"/>
      </w:pPr>
      <w:bookmarkStart w:id="4796" w:name="_Ref25549"/>
      <w:bookmarkStart w:id="4797" w:name="_Toc162360155"/>
      <w:r>
        <w:t xml:space="preserve">Tabelul </w:t>
      </w:r>
      <w:r>
        <w:fldChar w:fldCharType="begin"/>
      </w:r>
      <w:r>
        <w:instrText xml:space="preserve"> SEQ Tabelul \* ARABIC </w:instrText>
      </w:r>
      <w:r>
        <w:fldChar w:fldCharType="separate"/>
      </w:r>
      <w:r>
        <w:t>105</w:t>
      </w:r>
      <w:r>
        <w:fldChar w:fldCharType="end"/>
      </w:r>
      <w:bookmarkStart w:id="4798" w:name="_Toc11054"/>
      <w:bookmarkStart w:id="4799" w:name="_Toc11130"/>
      <w:bookmarkStart w:id="4800" w:name="_Toc23587"/>
      <w:bookmarkStart w:id="4801" w:name="_Toc11203"/>
      <w:bookmarkStart w:id="4802" w:name="_Toc20043"/>
      <w:bookmarkStart w:id="4803" w:name="_Toc11769"/>
      <w:bookmarkStart w:id="4804" w:name="_Toc6057"/>
      <w:bookmarkStart w:id="4805" w:name="_Toc20454"/>
      <w:bookmarkStart w:id="4806" w:name="_Toc8103"/>
      <w:bookmarkStart w:id="4807" w:name="_Toc13526"/>
      <w:bookmarkStart w:id="4808" w:name="_Toc20714"/>
      <w:bookmarkStart w:id="4809" w:name="_Toc14468"/>
      <w:bookmarkStart w:id="4810" w:name="_Toc3853"/>
      <w:bookmarkStart w:id="4811" w:name="_Toc28987"/>
      <w:bookmarkStart w:id="4812" w:name="_Toc1894"/>
      <w:bookmarkStart w:id="4813" w:name="_Toc23283"/>
      <w:bookmarkStart w:id="4814" w:name="_Toc14736"/>
      <w:bookmarkStart w:id="4815" w:name="_Toc152"/>
      <w:bookmarkStart w:id="4816" w:name="_Toc25017"/>
      <w:bookmarkEnd w:id="4796"/>
      <w:r>
        <w:t>: Comportare la foc a pereţilor, uşilor și planşeelor de separare a căilor de evacuare orizontale, holuri, din clădirile cu săli aglomerate de tip S1 supraterane cu înălţimi obişnuite</w:t>
      </w:r>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p>
    <w:p w14:paraId="06776D63"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243"/>
        <w:gridCol w:w="1551"/>
        <w:gridCol w:w="2184"/>
        <w:gridCol w:w="1719"/>
        <w:gridCol w:w="1539"/>
      </w:tblGrid>
      <w:tr w:rsidR="001C08A5" w14:paraId="3B9A81FE" w14:textId="77777777">
        <w:trPr>
          <w:tblHeader/>
        </w:trPr>
        <w:tc>
          <w:tcPr>
            <w:tcW w:w="1262" w:type="dxa"/>
            <w:vMerge w:val="restart"/>
            <w:shd w:val="clear" w:color="auto" w:fill="BFBFBF"/>
          </w:tcPr>
          <w:p w14:paraId="2EAC1A20" w14:textId="77777777" w:rsidR="001C08A5" w:rsidRDefault="001C08A5">
            <w:pPr>
              <w:pStyle w:val="BodyText"/>
              <w:jc w:val="center"/>
              <w:rPr>
                <w:bCs w:val="0"/>
                <w:sz w:val="22"/>
                <w:szCs w:val="22"/>
              </w:rPr>
            </w:pPr>
          </w:p>
          <w:p w14:paraId="1B730915" w14:textId="77777777" w:rsidR="001C08A5" w:rsidRDefault="00000000">
            <w:pPr>
              <w:pStyle w:val="BodyText"/>
              <w:jc w:val="center"/>
              <w:rPr>
                <w:bCs w:val="0"/>
                <w:sz w:val="22"/>
                <w:szCs w:val="22"/>
              </w:rPr>
            </w:pPr>
            <w:r>
              <w:rPr>
                <w:bCs w:val="0"/>
                <w:sz w:val="22"/>
                <w:szCs w:val="22"/>
              </w:rPr>
              <w:t>Nivel de stabilitate</w:t>
            </w:r>
          </w:p>
          <w:p w14:paraId="27301ABC"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7B7E694C" w14:textId="77777777" w:rsidR="001C08A5" w:rsidRDefault="00000000">
            <w:pPr>
              <w:jc w:val="center"/>
              <w:rPr>
                <w:b/>
                <w:bCs/>
                <w:i/>
                <w:sz w:val="22"/>
                <w:szCs w:val="22"/>
              </w:rPr>
            </w:pPr>
            <w:r>
              <w:rPr>
                <w:b/>
                <w:bCs/>
                <w:i/>
                <w:sz w:val="22"/>
                <w:szCs w:val="22"/>
              </w:rPr>
              <w:t xml:space="preserve">Niveluri de comportare la foc admise la holuri  </w:t>
            </w:r>
          </w:p>
        </w:tc>
      </w:tr>
      <w:tr w:rsidR="001C08A5" w14:paraId="20C31681" w14:textId="77777777">
        <w:trPr>
          <w:tblHeader/>
        </w:trPr>
        <w:tc>
          <w:tcPr>
            <w:tcW w:w="1262" w:type="dxa"/>
            <w:vMerge/>
            <w:shd w:val="clear" w:color="auto" w:fill="BFBFBF"/>
          </w:tcPr>
          <w:p w14:paraId="3179D101" w14:textId="77777777" w:rsidR="001C08A5" w:rsidRDefault="001C08A5">
            <w:pPr>
              <w:jc w:val="center"/>
              <w:rPr>
                <w:i/>
                <w:sz w:val="22"/>
                <w:szCs w:val="22"/>
              </w:rPr>
            </w:pPr>
          </w:p>
        </w:tc>
        <w:tc>
          <w:tcPr>
            <w:tcW w:w="2794" w:type="dxa"/>
            <w:gridSpan w:val="2"/>
            <w:shd w:val="clear" w:color="auto" w:fill="BFBFBF"/>
          </w:tcPr>
          <w:p w14:paraId="2953E423" w14:textId="77777777" w:rsidR="001C08A5" w:rsidRDefault="001C08A5">
            <w:pPr>
              <w:jc w:val="center"/>
              <w:rPr>
                <w:b/>
                <w:bCs/>
                <w:i/>
                <w:sz w:val="22"/>
                <w:szCs w:val="22"/>
              </w:rPr>
            </w:pPr>
          </w:p>
          <w:p w14:paraId="1263E537" w14:textId="77777777" w:rsidR="001C08A5" w:rsidRDefault="00000000">
            <w:pPr>
              <w:jc w:val="center"/>
              <w:rPr>
                <w:i/>
                <w:sz w:val="22"/>
                <w:szCs w:val="22"/>
              </w:rPr>
            </w:pPr>
            <w:r>
              <w:rPr>
                <w:b/>
                <w:bCs/>
                <w:i/>
                <w:sz w:val="22"/>
                <w:szCs w:val="22"/>
              </w:rPr>
              <w:t>Pereţi</w:t>
            </w:r>
          </w:p>
        </w:tc>
        <w:tc>
          <w:tcPr>
            <w:tcW w:w="3903" w:type="dxa"/>
            <w:gridSpan w:val="2"/>
            <w:shd w:val="clear" w:color="auto" w:fill="BFBFBF"/>
          </w:tcPr>
          <w:p w14:paraId="1D5D21EF"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w:t>
            </w:r>
            <w:r>
              <w:rPr>
                <w:bCs/>
                <w:i/>
                <w:sz w:val="22"/>
                <w:szCs w:val="22"/>
              </w:rPr>
              <w:t xml:space="preserve">holurile </w:t>
            </w:r>
            <w:r>
              <w:rPr>
                <w:i/>
                <w:sz w:val="22"/>
                <w:szCs w:val="22"/>
              </w:rPr>
              <w:t>faţă de restul construcţiei</w:t>
            </w:r>
            <w:r>
              <w:rPr>
                <w:bCs/>
                <w:i/>
                <w:sz w:val="22"/>
                <w:szCs w:val="22"/>
              </w:rPr>
              <w:t xml:space="preserv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18EB9515" w14:textId="77777777" w:rsidR="001C08A5" w:rsidRDefault="00000000">
            <w:pPr>
              <w:jc w:val="center"/>
              <w:rPr>
                <w:i/>
                <w:sz w:val="22"/>
                <w:szCs w:val="22"/>
              </w:rPr>
            </w:pPr>
            <w:r>
              <w:rPr>
                <w:b/>
                <w:bCs/>
                <w:i/>
                <w:sz w:val="22"/>
                <w:szCs w:val="22"/>
              </w:rPr>
              <w:t xml:space="preserve">Uşi </w:t>
            </w:r>
            <w:r>
              <w:rPr>
                <w:bCs/>
                <w:i/>
                <w:sz w:val="22"/>
                <w:szCs w:val="22"/>
              </w:rPr>
              <w:t>(cu excepţia celor către case de scări închise şi către sălile aglomerate)</w:t>
            </w:r>
          </w:p>
        </w:tc>
      </w:tr>
      <w:tr w:rsidR="001C08A5" w14:paraId="3CB11D9C" w14:textId="77777777">
        <w:tc>
          <w:tcPr>
            <w:tcW w:w="1262" w:type="dxa"/>
          </w:tcPr>
          <w:p w14:paraId="77431E76" w14:textId="77777777" w:rsidR="001C08A5" w:rsidRDefault="00000000">
            <w:pPr>
              <w:pStyle w:val="BodyText"/>
              <w:jc w:val="center"/>
              <w:rPr>
                <w:bCs w:val="0"/>
                <w:sz w:val="22"/>
                <w:szCs w:val="22"/>
              </w:rPr>
            </w:pPr>
            <w:r>
              <w:rPr>
                <w:bCs w:val="0"/>
                <w:sz w:val="22"/>
                <w:szCs w:val="22"/>
              </w:rPr>
              <w:t>I</w:t>
            </w:r>
          </w:p>
          <w:p w14:paraId="64F49FA2" w14:textId="77777777" w:rsidR="001C08A5" w:rsidRDefault="00000000">
            <w:pPr>
              <w:pStyle w:val="BodyText"/>
              <w:jc w:val="center"/>
              <w:rPr>
                <w:bCs w:val="0"/>
                <w:sz w:val="22"/>
                <w:szCs w:val="22"/>
              </w:rPr>
            </w:pPr>
            <w:r>
              <w:rPr>
                <w:sz w:val="22"/>
                <w:szCs w:val="22"/>
              </w:rPr>
              <w:t>h&lt;28m</w:t>
            </w:r>
          </w:p>
        </w:tc>
        <w:tc>
          <w:tcPr>
            <w:tcW w:w="1243" w:type="dxa"/>
          </w:tcPr>
          <w:p w14:paraId="179CF2FB" w14:textId="77777777" w:rsidR="001C08A5" w:rsidRDefault="00000000">
            <w:pPr>
              <w:jc w:val="center"/>
              <w:rPr>
                <w:b/>
                <w:i/>
                <w:sz w:val="22"/>
                <w:szCs w:val="22"/>
              </w:rPr>
            </w:pPr>
            <w:r>
              <w:rPr>
                <w:b/>
                <w:i/>
                <w:sz w:val="22"/>
                <w:szCs w:val="22"/>
              </w:rPr>
              <w:t xml:space="preserve">EI/REI 120 </w:t>
            </w:r>
          </w:p>
        </w:tc>
        <w:tc>
          <w:tcPr>
            <w:tcW w:w="1551" w:type="dxa"/>
          </w:tcPr>
          <w:p w14:paraId="7B22349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2184" w:type="dxa"/>
            <w:vMerge w:val="restart"/>
            <w:textDirection w:val="lrTbV"/>
          </w:tcPr>
          <w:p w14:paraId="6A48618A" w14:textId="77777777" w:rsidR="001C08A5" w:rsidRDefault="00000000">
            <w:pPr>
              <w:jc w:val="center"/>
              <w:rPr>
                <w:b/>
                <w:i/>
                <w:sz w:val="22"/>
                <w:szCs w:val="22"/>
              </w:rPr>
            </w:pPr>
            <w:r>
              <w:rPr>
                <w:bCs/>
                <w:i/>
                <w:sz w:val="22"/>
                <w:szCs w:val="22"/>
              </w:rPr>
              <w:t>Conform prevederi din</w:t>
            </w:r>
          </w:p>
          <w:p w14:paraId="75D2DF7E" w14:textId="77777777" w:rsidR="001C08A5" w:rsidRDefault="00000000">
            <w:pPr>
              <w:jc w:val="center"/>
              <w:rPr>
                <w:i/>
                <w:sz w:val="22"/>
                <w:szCs w:val="22"/>
              </w:rPr>
            </w:pP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rStyle w:val="BodyTextChar"/>
                <w:sz w:val="22"/>
                <w:szCs w:val="22"/>
              </w:rPr>
              <w:t xml:space="preserve"> pct.3</w:t>
            </w:r>
          </w:p>
          <w:p w14:paraId="35D4E859" w14:textId="77777777" w:rsidR="001C08A5" w:rsidRDefault="00000000">
            <w:pPr>
              <w:jc w:val="center"/>
              <w:rPr>
                <w:b/>
                <w:i/>
                <w:sz w:val="22"/>
                <w:szCs w:val="22"/>
              </w:rPr>
            </w:pPr>
            <w:r>
              <w:rPr>
                <w:i/>
                <w:sz w:val="22"/>
                <w:szCs w:val="22"/>
              </w:rPr>
              <w:t xml:space="preserve">Condiţiile minime de rezistenţă la foc pe care trebuie să le îndeplinească  </w:t>
            </w:r>
            <w:r>
              <w:rPr>
                <w:b/>
                <w:bCs/>
                <w:i/>
                <w:sz w:val="22"/>
                <w:szCs w:val="22"/>
              </w:rPr>
              <w:t>planșeele</w:t>
            </w:r>
            <w:r>
              <w:rPr>
                <w:i/>
                <w:sz w:val="22"/>
                <w:szCs w:val="22"/>
              </w:rPr>
              <w:t xml:space="preserve"> (</w:t>
            </w:r>
            <w:r>
              <w:rPr>
                <w:b/>
                <w:bCs/>
                <w:i/>
                <w:sz w:val="22"/>
                <w:szCs w:val="22"/>
              </w:rPr>
              <w:t>REI</w:t>
            </w:r>
            <w:r>
              <w:rPr>
                <w:i/>
                <w:sz w:val="22"/>
                <w:szCs w:val="22"/>
              </w:rPr>
              <w:t>) pentru încadrarea  în nivelul stabilit de stabilitate la incendiu.</w:t>
            </w:r>
          </w:p>
        </w:tc>
        <w:tc>
          <w:tcPr>
            <w:tcW w:w="1719" w:type="dxa"/>
          </w:tcPr>
          <w:p w14:paraId="43E276A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61EF843E" w14:textId="77777777" w:rsidR="001C08A5" w:rsidRDefault="00000000">
            <w:pPr>
              <w:jc w:val="center"/>
              <w:rPr>
                <w:b/>
                <w:bCs/>
                <w:i/>
                <w:sz w:val="22"/>
                <w:szCs w:val="22"/>
              </w:rPr>
            </w:pPr>
            <w:r>
              <w:rPr>
                <w:b/>
                <w:bCs/>
                <w:i/>
                <w:sz w:val="22"/>
                <w:szCs w:val="22"/>
              </w:rPr>
              <w:t>EI</w:t>
            </w:r>
            <w:r>
              <w:rPr>
                <w:b/>
                <w:bCs/>
                <w:i/>
                <w:sz w:val="22"/>
                <w:szCs w:val="22"/>
                <w:vertAlign w:val="subscript"/>
              </w:rPr>
              <w:t>2</w:t>
            </w:r>
            <w:r>
              <w:rPr>
                <w:b/>
                <w:bCs/>
                <w:i/>
                <w:sz w:val="22"/>
                <w:szCs w:val="22"/>
              </w:rPr>
              <w:t xml:space="preserve">  60 - C5 </w:t>
            </w:r>
            <w:r>
              <w:rPr>
                <w:b/>
                <w:i/>
                <w:sz w:val="22"/>
                <w:szCs w:val="22"/>
              </w:rPr>
              <w:t>S</w:t>
            </w:r>
            <w:r>
              <w:rPr>
                <w:b/>
                <w:bCs/>
                <w:i/>
                <w:sz w:val="22"/>
                <w:szCs w:val="22"/>
                <w:vertAlign w:val="subscript"/>
              </w:rPr>
              <w:t>200</w:t>
            </w:r>
          </w:p>
        </w:tc>
      </w:tr>
      <w:tr w:rsidR="001C08A5" w14:paraId="1B660006" w14:textId="77777777">
        <w:trPr>
          <w:trHeight w:val="528"/>
        </w:trPr>
        <w:tc>
          <w:tcPr>
            <w:tcW w:w="1262" w:type="dxa"/>
          </w:tcPr>
          <w:p w14:paraId="71C9B067" w14:textId="77777777" w:rsidR="001C08A5" w:rsidRDefault="00000000">
            <w:pPr>
              <w:pStyle w:val="BodyText"/>
              <w:jc w:val="center"/>
              <w:rPr>
                <w:bCs w:val="0"/>
                <w:sz w:val="22"/>
                <w:szCs w:val="22"/>
              </w:rPr>
            </w:pPr>
            <w:r>
              <w:rPr>
                <w:bCs w:val="0"/>
                <w:sz w:val="22"/>
                <w:szCs w:val="22"/>
              </w:rPr>
              <w:t>II</w:t>
            </w:r>
          </w:p>
        </w:tc>
        <w:tc>
          <w:tcPr>
            <w:tcW w:w="1243" w:type="dxa"/>
          </w:tcPr>
          <w:p w14:paraId="61814B3D" w14:textId="77777777" w:rsidR="001C08A5" w:rsidRDefault="00000000">
            <w:pPr>
              <w:jc w:val="center"/>
              <w:rPr>
                <w:b/>
                <w:i/>
                <w:sz w:val="22"/>
                <w:szCs w:val="22"/>
              </w:rPr>
            </w:pPr>
            <w:r>
              <w:rPr>
                <w:b/>
                <w:i/>
                <w:sz w:val="22"/>
                <w:szCs w:val="22"/>
              </w:rPr>
              <w:t xml:space="preserve">EI/REI 90 </w:t>
            </w:r>
          </w:p>
        </w:tc>
        <w:tc>
          <w:tcPr>
            <w:tcW w:w="1551" w:type="dxa"/>
          </w:tcPr>
          <w:p w14:paraId="38304BB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2184" w:type="dxa"/>
            <w:vMerge/>
          </w:tcPr>
          <w:p w14:paraId="2FD46153" w14:textId="77777777" w:rsidR="001C08A5" w:rsidRDefault="001C08A5">
            <w:pPr>
              <w:jc w:val="center"/>
              <w:rPr>
                <w:b/>
                <w:i/>
                <w:sz w:val="22"/>
                <w:szCs w:val="22"/>
              </w:rPr>
            </w:pPr>
          </w:p>
        </w:tc>
        <w:tc>
          <w:tcPr>
            <w:tcW w:w="1719" w:type="dxa"/>
          </w:tcPr>
          <w:p w14:paraId="01A68473"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6C33D457" w14:textId="77777777" w:rsidR="001C08A5" w:rsidRDefault="00000000">
            <w:pPr>
              <w:jc w:val="center"/>
              <w:rPr>
                <w:b/>
                <w:bCs/>
                <w:i/>
                <w:sz w:val="22"/>
                <w:szCs w:val="22"/>
              </w:rPr>
            </w:pPr>
            <w:r>
              <w:rPr>
                <w:b/>
                <w:bCs/>
                <w:i/>
                <w:sz w:val="22"/>
                <w:szCs w:val="22"/>
              </w:rPr>
              <w:t>EI</w:t>
            </w:r>
            <w:r>
              <w:rPr>
                <w:b/>
                <w:bCs/>
                <w:i/>
                <w:sz w:val="22"/>
                <w:szCs w:val="22"/>
                <w:vertAlign w:val="subscript"/>
              </w:rPr>
              <w:t>2</w:t>
            </w:r>
            <w:r>
              <w:rPr>
                <w:b/>
                <w:bCs/>
                <w:i/>
                <w:sz w:val="22"/>
                <w:szCs w:val="22"/>
              </w:rPr>
              <w:t xml:space="preserve"> 45 - C5 Sa</w:t>
            </w:r>
          </w:p>
        </w:tc>
      </w:tr>
      <w:tr w:rsidR="001C08A5" w14:paraId="385E3E7A" w14:textId="77777777">
        <w:tc>
          <w:tcPr>
            <w:tcW w:w="1262" w:type="dxa"/>
          </w:tcPr>
          <w:p w14:paraId="331BB348" w14:textId="77777777" w:rsidR="001C08A5" w:rsidRDefault="00000000">
            <w:pPr>
              <w:pStyle w:val="BodyText"/>
              <w:jc w:val="center"/>
              <w:rPr>
                <w:bCs w:val="0"/>
                <w:sz w:val="22"/>
                <w:szCs w:val="22"/>
              </w:rPr>
            </w:pPr>
            <w:r>
              <w:rPr>
                <w:bCs w:val="0"/>
                <w:sz w:val="22"/>
                <w:szCs w:val="22"/>
              </w:rPr>
              <w:t>II (+)</w:t>
            </w:r>
          </w:p>
        </w:tc>
        <w:tc>
          <w:tcPr>
            <w:tcW w:w="1243" w:type="dxa"/>
          </w:tcPr>
          <w:p w14:paraId="48B9A779" w14:textId="77777777" w:rsidR="001C08A5" w:rsidRDefault="00000000">
            <w:pPr>
              <w:jc w:val="center"/>
              <w:rPr>
                <w:b/>
                <w:i/>
                <w:sz w:val="22"/>
                <w:szCs w:val="22"/>
              </w:rPr>
            </w:pPr>
            <w:r>
              <w:rPr>
                <w:b/>
                <w:i/>
                <w:sz w:val="22"/>
                <w:szCs w:val="22"/>
              </w:rPr>
              <w:t>EI/REI 60</w:t>
            </w:r>
          </w:p>
        </w:tc>
        <w:tc>
          <w:tcPr>
            <w:tcW w:w="1551" w:type="dxa"/>
          </w:tcPr>
          <w:p w14:paraId="155AB064"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2184" w:type="dxa"/>
            <w:vMerge/>
          </w:tcPr>
          <w:p w14:paraId="532DA13A" w14:textId="77777777" w:rsidR="001C08A5" w:rsidRDefault="001C08A5">
            <w:pPr>
              <w:jc w:val="center"/>
              <w:rPr>
                <w:b/>
                <w:i/>
                <w:sz w:val="22"/>
                <w:szCs w:val="22"/>
              </w:rPr>
            </w:pPr>
          </w:p>
        </w:tc>
        <w:tc>
          <w:tcPr>
            <w:tcW w:w="1719" w:type="dxa"/>
          </w:tcPr>
          <w:p w14:paraId="188F110E"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39" w:type="dxa"/>
          </w:tcPr>
          <w:p w14:paraId="438DF78A" w14:textId="77777777" w:rsidR="001C08A5" w:rsidRDefault="00000000">
            <w:pPr>
              <w:jc w:val="center"/>
              <w:rPr>
                <w:b/>
                <w:bCs/>
                <w:i/>
                <w:sz w:val="22"/>
                <w:szCs w:val="22"/>
              </w:rPr>
            </w:pPr>
            <w:r>
              <w:rPr>
                <w:b/>
                <w:bCs/>
                <w:i/>
                <w:sz w:val="22"/>
                <w:szCs w:val="22"/>
              </w:rPr>
              <w:t>EI 30 - C5 Sa</w:t>
            </w:r>
          </w:p>
        </w:tc>
      </w:tr>
      <w:tr w:rsidR="001C08A5" w14:paraId="5629FB72" w14:textId="77777777">
        <w:tc>
          <w:tcPr>
            <w:tcW w:w="1262" w:type="dxa"/>
          </w:tcPr>
          <w:p w14:paraId="128FA3E4" w14:textId="77777777" w:rsidR="001C08A5" w:rsidRDefault="00000000">
            <w:pPr>
              <w:pStyle w:val="BodyText"/>
              <w:jc w:val="center"/>
              <w:rPr>
                <w:bCs w:val="0"/>
                <w:sz w:val="22"/>
                <w:szCs w:val="22"/>
              </w:rPr>
            </w:pPr>
            <w:r>
              <w:rPr>
                <w:bCs w:val="0"/>
                <w:sz w:val="22"/>
                <w:szCs w:val="22"/>
              </w:rPr>
              <w:t>III</w:t>
            </w:r>
          </w:p>
        </w:tc>
        <w:tc>
          <w:tcPr>
            <w:tcW w:w="1243" w:type="dxa"/>
          </w:tcPr>
          <w:p w14:paraId="2B8F25F1" w14:textId="77777777" w:rsidR="001C08A5" w:rsidRDefault="00000000">
            <w:pPr>
              <w:jc w:val="center"/>
              <w:rPr>
                <w:b/>
                <w:i/>
                <w:sz w:val="22"/>
                <w:szCs w:val="22"/>
              </w:rPr>
            </w:pPr>
            <w:r>
              <w:rPr>
                <w:b/>
                <w:i/>
                <w:sz w:val="22"/>
                <w:szCs w:val="22"/>
              </w:rPr>
              <w:t xml:space="preserve">EI/REI 60 </w:t>
            </w:r>
          </w:p>
        </w:tc>
        <w:tc>
          <w:tcPr>
            <w:tcW w:w="1551" w:type="dxa"/>
          </w:tcPr>
          <w:p w14:paraId="2DAF464D"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2184" w:type="dxa"/>
            <w:vMerge/>
          </w:tcPr>
          <w:p w14:paraId="3828B0D8" w14:textId="77777777" w:rsidR="001C08A5" w:rsidRDefault="001C08A5">
            <w:pPr>
              <w:jc w:val="center"/>
              <w:rPr>
                <w:b/>
                <w:i/>
                <w:sz w:val="22"/>
                <w:szCs w:val="22"/>
              </w:rPr>
            </w:pPr>
          </w:p>
        </w:tc>
        <w:tc>
          <w:tcPr>
            <w:tcW w:w="1719" w:type="dxa"/>
          </w:tcPr>
          <w:p w14:paraId="0C152324"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539" w:type="dxa"/>
          </w:tcPr>
          <w:p w14:paraId="21F1D94C" w14:textId="77777777" w:rsidR="001C08A5" w:rsidRDefault="00000000">
            <w:pPr>
              <w:jc w:val="center"/>
              <w:rPr>
                <w:b/>
                <w:bCs/>
                <w:i/>
                <w:sz w:val="22"/>
                <w:szCs w:val="22"/>
              </w:rPr>
            </w:pPr>
            <w:r>
              <w:rPr>
                <w:b/>
                <w:bCs/>
                <w:i/>
                <w:sz w:val="22"/>
                <w:szCs w:val="22"/>
              </w:rPr>
              <w:t>E 30 - C5 Sa</w:t>
            </w:r>
          </w:p>
        </w:tc>
      </w:tr>
      <w:tr w:rsidR="001C08A5" w14:paraId="07C8CE9A" w14:textId="77777777">
        <w:tc>
          <w:tcPr>
            <w:tcW w:w="1262" w:type="dxa"/>
          </w:tcPr>
          <w:p w14:paraId="23A01F27" w14:textId="77777777" w:rsidR="001C08A5" w:rsidRDefault="00000000">
            <w:pPr>
              <w:pStyle w:val="BodyText"/>
              <w:jc w:val="center"/>
              <w:rPr>
                <w:bCs w:val="0"/>
                <w:sz w:val="22"/>
                <w:szCs w:val="22"/>
              </w:rPr>
            </w:pPr>
            <w:r>
              <w:rPr>
                <w:bCs w:val="0"/>
                <w:sz w:val="22"/>
                <w:szCs w:val="22"/>
              </w:rPr>
              <w:t>III (+)</w:t>
            </w:r>
          </w:p>
        </w:tc>
        <w:tc>
          <w:tcPr>
            <w:tcW w:w="1243" w:type="dxa"/>
          </w:tcPr>
          <w:p w14:paraId="50D7F3BC" w14:textId="77777777" w:rsidR="001C08A5" w:rsidRDefault="00000000">
            <w:pPr>
              <w:jc w:val="center"/>
              <w:rPr>
                <w:b/>
                <w:i/>
                <w:sz w:val="22"/>
                <w:szCs w:val="22"/>
              </w:rPr>
            </w:pPr>
            <w:r>
              <w:rPr>
                <w:b/>
                <w:i/>
                <w:sz w:val="22"/>
                <w:szCs w:val="22"/>
              </w:rPr>
              <w:t xml:space="preserve">EI/REI 45 </w:t>
            </w:r>
          </w:p>
        </w:tc>
        <w:tc>
          <w:tcPr>
            <w:tcW w:w="1551" w:type="dxa"/>
          </w:tcPr>
          <w:p w14:paraId="07AE419A"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2184" w:type="dxa"/>
            <w:vMerge/>
          </w:tcPr>
          <w:p w14:paraId="43175D4E" w14:textId="77777777" w:rsidR="001C08A5" w:rsidRDefault="001C08A5">
            <w:pPr>
              <w:jc w:val="center"/>
              <w:rPr>
                <w:b/>
                <w:i/>
                <w:sz w:val="22"/>
                <w:szCs w:val="22"/>
              </w:rPr>
            </w:pPr>
          </w:p>
        </w:tc>
        <w:tc>
          <w:tcPr>
            <w:tcW w:w="1719" w:type="dxa"/>
          </w:tcPr>
          <w:p w14:paraId="72634130"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539" w:type="dxa"/>
          </w:tcPr>
          <w:p w14:paraId="64C8D60E" w14:textId="77777777" w:rsidR="001C08A5" w:rsidRDefault="00000000">
            <w:pPr>
              <w:jc w:val="center"/>
              <w:rPr>
                <w:b/>
                <w:bCs/>
                <w:i/>
                <w:sz w:val="22"/>
                <w:szCs w:val="22"/>
              </w:rPr>
            </w:pPr>
            <w:r>
              <w:rPr>
                <w:b/>
                <w:bCs/>
                <w:i/>
                <w:sz w:val="22"/>
                <w:szCs w:val="22"/>
              </w:rPr>
              <w:t>E 15 - C5 Sa</w:t>
            </w:r>
          </w:p>
        </w:tc>
      </w:tr>
    </w:tbl>
    <w:p w14:paraId="3DAA928F" w14:textId="77777777" w:rsidR="001C08A5" w:rsidRDefault="00000000">
      <w:pPr>
        <w:jc w:val="both"/>
        <w:rPr>
          <w:i/>
          <w:sz w:val="22"/>
          <w:szCs w:val="22"/>
        </w:rPr>
      </w:pPr>
      <w:r>
        <w:rPr>
          <w:i/>
          <w:sz w:val="22"/>
          <w:szCs w:val="22"/>
        </w:rPr>
        <w:t>Note:</w:t>
      </w:r>
    </w:p>
    <w:p w14:paraId="53C53CA8"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50B4E886"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4749414F" w14:textId="77777777" w:rsidR="001C08A5" w:rsidRDefault="001C08A5">
      <w:pPr>
        <w:jc w:val="both"/>
        <w:rPr>
          <w:sz w:val="24"/>
          <w:szCs w:val="24"/>
        </w:rPr>
      </w:pPr>
    </w:p>
    <w:p w14:paraId="605B4B5D" w14:textId="77777777" w:rsidR="001C08A5" w:rsidRDefault="00000000">
      <w:pPr>
        <w:jc w:val="both"/>
        <w:rPr>
          <w:sz w:val="24"/>
          <w:szCs w:val="24"/>
        </w:rPr>
      </w:pPr>
      <w:r>
        <w:rPr>
          <w:sz w:val="24"/>
          <w:szCs w:val="24"/>
        </w:rPr>
        <w:tab/>
      </w:r>
      <w:r>
        <w:rPr>
          <w:b/>
          <w:sz w:val="24"/>
          <w:szCs w:val="24"/>
        </w:rPr>
        <w:t xml:space="preserve">Art. 4.3.5.5. </w:t>
      </w:r>
      <w:r>
        <w:rPr>
          <w:sz w:val="24"/>
          <w:szCs w:val="24"/>
        </w:rPr>
        <w:t xml:space="preserve">Comportarea la foc a pereţilor, uşilor și planşeelor de separare a caselor de scări închise din clădirile cu săli aglomerate de tip </w:t>
      </w:r>
      <w:r>
        <w:rPr>
          <w:b/>
          <w:sz w:val="24"/>
          <w:szCs w:val="24"/>
        </w:rPr>
        <w:t>S2</w:t>
      </w:r>
      <w:r>
        <w:rPr>
          <w:sz w:val="24"/>
          <w:szCs w:val="24"/>
        </w:rPr>
        <w:t xml:space="preserve"> supraterane cu înălţimi obişnuite, trebuie să corespundă prevederilor din </w:t>
      </w:r>
      <w:r>
        <w:rPr>
          <w:b/>
          <w:bCs/>
          <w:i/>
          <w:iCs/>
          <w:sz w:val="24"/>
          <w:szCs w:val="24"/>
        </w:rPr>
        <w:fldChar w:fldCharType="begin"/>
      </w:r>
      <w:r>
        <w:rPr>
          <w:b/>
          <w:bCs/>
          <w:i/>
          <w:iCs/>
          <w:sz w:val="24"/>
          <w:szCs w:val="24"/>
        </w:rPr>
        <w:instrText xml:space="preserve"> REF _Ref25725 \h </w:instrText>
      </w:r>
      <w:r>
        <w:rPr>
          <w:b/>
          <w:bCs/>
          <w:i/>
          <w:iCs/>
          <w:sz w:val="24"/>
          <w:szCs w:val="24"/>
        </w:rPr>
      </w:r>
      <w:r>
        <w:rPr>
          <w:b/>
          <w:bCs/>
          <w:i/>
          <w:iCs/>
          <w:sz w:val="24"/>
          <w:szCs w:val="24"/>
        </w:rPr>
        <w:fldChar w:fldCharType="separate"/>
      </w:r>
      <w:r>
        <w:t>Tabelul 106</w:t>
      </w:r>
      <w:r>
        <w:rPr>
          <w:b/>
          <w:bCs/>
          <w:i/>
          <w:iCs/>
          <w:sz w:val="24"/>
          <w:szCs w:val="24"/>
        </w:rPr>
        <w:fldChar w:fldCharType="end"/>
      </w:r>
      <w:r>
        <w:rPr>
          <w:sz w:val="24"/>
          <w:szCs w:val="24"/>
        </w:rPr>
        <w:t>.</w:t>
      </w:r>
    </w:p>
    <w:p w14:paraId="29671C8F" w14:textId="77777777" w:rsidR="001C08A5" w:rsidRDefault="001C08A5">
      <w:pPr>
        <w:jc w:val="both"/>
        <w:rPr>
          <w:sz w:val="24"/>
          <w:szCs w:val="24"/>
        </w:rPr>
      </w:pPr>
    </w:p>
    <w:p w14:paraId="73BF5165" w14:textId="77777777" w:rsidR="001C08A5" w:rsidRDefault="00000000">
      <w:pPr>
        <w:pStyle w:val="Captiontabel"/>
      </w:pPr>
      <w:bookmarkStart w:id="4817" w:name="_Ref25725"/>
      <w:bookmarkStart w:id="4818" w:name="_Toc162360156"/>
      <w:r>
        <w:t xml:space="preserve">Tabelul </w:t>
      </w:r>
      <w:r>
        <w:fldChar w:fldCharType="begin"/>
      </w:r>
      <w:r>
        <w:instrText xml:space="preserve"> SEQ Tabelul \* ARABIC </w:instrText>
      </w:r>
      <w:r>
        <w:fldChar w:fldCharType="separate"/>
      </w:r>
      <w:r>
        <w:t>106</w:t>
      </w:r>
      <w:r>
        <w:fldChar w:fldCharType="end"/>
      </w:r>
      <w:bookmarkStart w:id="4819" w:name="_Toc767"/>
      <w:bookmarkStart w:id="4820" w:name="_Toc30505"/>
      <w:bookmarkStart w:id="4821" w:name="_Toc32244"/>
      <w:bookmarkStart w:id="4822" w:name="_Toc30836"/>
      <w:bookmarkStart w:id="4823" w:name="_Toc7278"/>
      <w:bookmarkStart w:id="4824" w:name="_Toc11613"/>
      <w:bookmarkStart w:id="4825" w:name="_Toc18407"/>
      <w:bookmarkStart w:id="4826" w:name="_Toc6325"/>
      <w:bookmarkStart w:id="4827" w:name="_Toc17048"/>
      <w:bookmarkStart w:id="4828" w:name="_Toc15481"/>
      <w:bookmarkStart w:id="4829" w:name="_Toc3909"/>
      <w:bookmarkStart w:id="4830" w:name="_Toc26676"/>
      <w:bookmarkStart w:id="4831" w:name="_Toc20809"/>
      <w:bookmarkStart w:id="4832" w:name="_Toc18004"/>
      <w:bookmarkStart w:id="4833" w:name="_Toc21273"/>
      <w:bookmarkStart w:id="4834" w:name="_Toc20750"/>
      <w:bookmarkStart w:id="4835" w:name="_Toc17652"/>
      <w:bookmarkStart w:id="4836" w:name="_Toc31279"/>
      <w:bookmarkStart w:id="4837" w:name="_Toc12989"/>
      <w:bookmarkEnd w:id="4817"/>
      <w:r>
        <w:t>: Comportare la foc a pereţilor, uşilor și planşeelor de separare a caselor de scări închise din clădirile cu săli aglomerate de tip S2 supraterane cu înălţimi obişnuite</w:t>
      </w:r>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p>
    <w:p w14:paraId="0DA2796B" w14:textId="77777777" w:rsidR="001C08A5" w:rsidRDefault="001C08A5">
      <w:pPr>
        <w:jc w:val="both"/>
        <w:rPr>
          <w:sz w:val="24"/>
          <w:szCs w:val="24"/>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40"/>
        <w:gridCol w:w="1833"/>
        <w:gridCol w:w="1202"/>
        <w:gridCol w:w="1869"/>
        <w:gridCol w:w="1678"/>
        <w:gridCol w:w="1703"/>
      </w:tblGrid>
      <w:tr w:rsidR="001C08A5" w14:paraId="4FE0D929" w14:textId="77777777">
        <w:trPr>
          <w:tblHeader/>
        </w:trPr>
        <w:tc>
          <w:tcPr>
            <w:tcW w:w="1240" w:type="dxa"/>
            <w:vMerge w:val="restart"/>
            <w:shd w:val="clear" w:color="auto" w:fill="BFBFBF"/>
          </w:tcPr>
          <w:p w14:paraId="2D18BCBD" w14:textId="77777777" w:rsidR="001C08A5" w:rsidRDefault="00000000">
            <w:pPr>
              <w:pStyle w:val="BodyText"/>
              <w:jc w:val="center"/>
              <w:rPr>
                <w:bCs w:val="0"/>
                <w:sz w:val="22"/>
                <w:szCs w:val="22"/>
              </w:rPr>
            </w:pPr>
            <w:r>
              <w:rPr>
                <w:bCs w:val="0"/>
                <w:sz w:val="22"/>
                <w:szCs w:val="22"/>
              </w:rPr>
              <w:t>Nivel de stabilitate</w:t>
            </w:r>
          </w:p>
          <w:p w14:paraId="290D6159" w14:textId="77777777" w:rsidR="001C08A5" w:rsidRDefault="00000000">
            <w:pPr>
              <w:jc w:val="center"/>
              <w:rPr>
                <w:i/>
                <w:sz w:val="22"/>
                <w:szCs w:val="22"/>
              </w:rPr>
            </w:pPr>
            <w:r>
              <w:rPr>
                <w:b/>
                <w:bCs/>
                <w:i/>
                <w:sz w:val="22"/>
                <w:szCs w:val="22"/>
              </w:rPr>
              <w:t>la incendiu</w:t>
            </w:r>
          </w:p>
        </w:tc>
        <w:tc>
          <w:tcPr>
            <w:tcW w:w="8285" w:type="dxa"/>
            <w:gridSpan w:val="5"/>
            <w:shd w:val="clear" w:color="auto" w:fill="BFBFBF"/>
          </w:tcPr>
          <w:p w14:paraId="015C6023" w14:textId="77777777" w:rsidR="001C08A5" w:rsidRDefault="00000000">
            <w:pPr>
              <w:jc w:val="center"/>
              <w:rPr>
                <w:b/>
                <w:bCs/>
                <w:i/>
                <w:sz w:val="22"/>
                <w:szCs w:val="22"/>
              </w:rPr>
            </w:pPr>
            <w:r>
              <w:rPr>
                <w:b/>
                <w:bCs/>
                <w:i/>
                <w:sz w:val="22"/>
                <w:szCs w:val="22"/>
              </w:rPr>
              <w:t>Niveluri de comportare la foc admise la case de scări închise</w:t>
            </w:r>
          </w:p>
        </w:tc>
      </w:tr>
      <w:tr w:rsidR="001C08A5" w14:paraId="6D312F94" w14:textId="77777777">
        <w:trPr>
          <w:tblHeader/>
        </w:trPr>
        <w:tc>
          <w:tcPr>
            <w:tcW w:w="1240" w:type="dxa"/>
            <w:vMerge/>
            <w:shd w:val="clear" w:color="auto" w:fill="BFBFBF"/>
          </w:tcPr>
          <w:p w14:paraId="7FF7C771" w14:textId="77777777" w:rsidR="001C08A5" w:rsidRDefault="001C08A5">
            <w:pPr>
              <w:jc w:val="center"/>
              <w:rPr>
                <w:i/>
                <w:sz w:val="22"/>
                <w:szCs w:val="22"/>
              </w:rPr>
            </w:pPr>
          </w:p>
        </w:tc>
        <w:tc>
          <w:tcPr>
            <w:tcW w:w="3035" w:type="dxa"/>
            <w:gridSpan w:val="2"/>
            <w:shd w:val="clear" w:color="auto" w:fill="BFBFBF"/>
          </w:tcPr>
          <w:p w14:paraId="5FAB45A4" w14:textId="77777777" w:rsidR="001C08A5" w:rsidRDefault="00000000">
            <w:pPr>
              <w:jc w:val="center"/>
              <w:rPr>
                <w:i/>
                <w:sz w:val="22"/>
                <w:szCs w:val="22"/>
              </w:rPr>
            </w:pPr>
            <w:r>
              <w:rPr>
                <w:b/>
                <w:bCs/>
                <w:i/>
                <w:sz w:val="22"/>
                <w:szCs w:val="22"/>
              </w:rPr>
              <w:t>Pereţi</w:t>
            </w:r>
          </w:p>
        </w:tc>
        <w:tc>
          <w:tcPr>
            <w:tcW w:w="3547" w:type="dxa"/>
            <w:gridSpan w:val="2"/>
            <w:shd w:val="clear" w:color="auto" w:fill="BFBFBF"/>
          </w:tcPr>
          <w:p w14:paraId="489B8DB4"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care separă faţă de restul construcţiei casele de scări</w:t>
            </w:r>
            <w:r>
              <w:rPr>
                <w:bCs/>
                <w:i/>
                <w:sz w:val="22"/>
                <w:szCs w:val="22"/>
              </w:rPr>
              <w:t>)</w:t>
            </w:r>
          </w:p>
        </w:tc>
        <w:tc>
          <w:tcPr>
            <w:tcW w:w="1703" w:type="dxa"/>
            <w:shd w:val="clear" w:color="auto" w:fill="BFBFBF"/>
          </w:tcPr>
          <w:p w14:paraId="1298062A" w14:textId="77777777" w:rsidR="001C08A5" w:rsidRDefault="00000000">
            <w:pPr>
              <w:jc w:val="center"/>
              <w:rPr>
                <w:b/>
                <w:bCs/>
                <w:i/>
                <w:sz w:val="22"/>
                <w:szCs w:val="22"/>
              </w:rPr>
            </w:pPr>
            <w:r>
              <w:rPr>
                <w:b/>
                <w:bCs/>
                <w:i/>
                <w:sz w:val="22"/>
                <w:szCs w:val="22"/>
              </w:rPr>
              <w:t xml:space="preserve">Uşi </w:t>
            </w:r>
            <w:r>
              <w:rPr>
                <w:bCs/>
                <w:i/>
                <w:sz w:val="22"/>
                <w:szCs w:val="22"/>
              </w:rPr>
              <w:t>(cu excepţia celor către sălile aglomerate)</w:t>
            </w:r>
          </w:p>
        </w:tc>
      </w:tr>
      <w:tr w:rsidR="001C08A5" w14:paraId="47AB906E" w14:textId="77777777">
        <w:tc>
          <w:tcPr>
            <w:tcW w:w="1240" w:type="dxa"/>
          </w:tcPr>
          <w:p w14:paraId="12FB350F" w14:textId="77777777" w:rsidR="001C08A5" w:rsidRDefault="00000000">
            <w:pPr>
              <w:pStyle w:val="BodyText"/>
              <w:jc w:val="center"/>
              <w:rPr>
                <w:bCs w:val="0"/>
                <w:sz w:val="22"/>
                <w:szCs w:val="22"/>
              </w:rPr>
            </w:pPr>
            <w:r>
              <w:rPr>
                <w:bCs w:val="0"/>
                <w:sz w:val="22"/>
                <w:szCs w:val="22"/>
              </w:rPr>
              <w:t>I</w:t>
            </w:r>
          </w:p>
          <w:p w14:paraId="4A2F3054" w14:textId="77777777" w:rsidR="001C08A5" w:rsidRDefault="00000000">
            <w:pPr>
              <w:pStyle w:val="BodyText"/>
              <w:jc w:val="center"/>
              <w:rPr>
                <w:bCs w:val="0"/>
                <w:sz w:val="22"/>
                <w:szCs w:val="22"/>
              </w:rPr>
            </w:pPr>
            <w:r>
              <w:rPr>
                <w:sz w:val="22"/>
                <w:szCs w:val="22"/>
              </w:rPr>
              <w:t>h&lt;28m</w:t>
            </w:r>
          </w:p>
        </w:tc>
        <w:tc>
          <w:tcPr>
            <w:tcW w:w="1833" w:type="dxa"/>
          </w:tcPr>
          <w:p w14:paraId="0F5DE2FB" w14:textId="77777777" w:rsidR="001C08A5" w:rsidRDefault="00000000">
            <w:pPr>
              <w:jc w:val="center"/>
              <w:rPr>
                <w:b/>
                <w:i/>
                <w:sz w:val="22"/>
                <w:szCs w:val="22"/>
              </w:rPr>
            </w:pPr>
            <w:r>
              <w:rPr>
                <w:b/>
                <w:i/>
                <w:sz w:val="22"/>
                <w:szCs w:val="22"/>
              </w:rPr>
              <w:t xml:space="preserve">EI/REI 180 </w:t>
            </w:r>
          </w:p>
          <w:p w14:paraId="1FD97035" w14:textId="77777777" w:rsidR="001C08A5" w:rsidRDefault="001C08A5">
            <w:pPr>
              <w:jc w:val="center"/>
              <w:rPr>
                <w:b/>
                <w:i/>
                <w:sz w:val="22"/>
                <w:szCs w:val="22"/>
              </w:rPr>
            </w:pPr>
          </w:p>
        </w:tc>
        <w:tc>
          <w:tcPr>
            <w:tcW w:w="1202" w:type="dxa"/>
          </w:tcPr>
          <w:p w14:paraId="73B25D7E"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69" w:type="dxa"/>
          </w:tcPr>
          <w:p w14:paraId="1CB9AC7A" w14:textId="77777777" w:rsidR="001C08A5" w:rsidRDefault="00000000">
            <w:pPr>
              <w:jc w:val="center"/>
              <w:rPr>
                <w:b/>
                <w:i/>
                <w:sz w:val="22"/>
                <w:szCs w:val="22"/>
              </w:rPr>
            </w:pPr>
            <w:r>
              <w:rPr>
                <w:b/>
                <w:i/>
                <w:sz w:val="22"/>
                <w:szCs w:val="22"/>
              </w:rPr>
              <w:t xml:space="preserve">REI 120 </w:t>
            </w:r>
          </w:p>
        </w:tc>
        <w:tc>
          <w:tcPr>
            <w:tcW w:w="1678" w:type="dxa"/>
          </w:tcPr>
          <w:p w14:paraId="1A1A87F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3" w:type="dxa"/>
          </w:tcPr>
          <w:p w14:paraId="06DF82DA" w14:textId="77777777" w:rsidR="001C08A5" w:rsidRDefault="00000000">
            <w:pPr>
              <w:jc w:val="center"/>
              <w:rPr>
                <w:i/>
                <w:sz w:val="22"/>
                <w:szCs w:val="22"/>
              </w:rPr>
            </w:pPr>
            <w:r>
              <w:rPr>
                <w:b/>
                <w:bCs/>
                <w:i/>
                <w:sz w:val="22"/>
                <w:szCs w:val="22"/>
              </w:rPr>
              <w:t>EI</w:t>
            </w:r>
            <w:r>
              <w:rPr>
                <w:b/>
                <w:bCs/>
                <w:i/>
                <w:sz w:val="22"/>
                <w:szCs w:val="22"/>
                <w:vertAlign w:val="subscript"/>
              </w:rPr>
              <w:t>2</w:t>
            </w:r>
            <w:r>
              <w:rPr>
                <w:b/>
                <w:bCs/>
                <w:i/>
                <w:sz w:val="22"/>
                <w:szCs w:val="22"/>
              </w:rPr>
              <w:t xml:space="preserve"> 60 - C5 </w:t>
            </w:r>
            <w:r>
              <w:rPr>
                <w:b/>
                <w:i/>
                <w:sz w:val="22"/>
                <w:szCs w:val="22"/>
              </w:rPr>
              <w:t>S</w:t>
            </w:r>
            <w:r>
              <w:rPr>
                <w:b/>
                <w:bCs/>
                <w:i/>
                <w:sz w:val="22"/>
                <w:szCs w:val="22"/>
                <w:vertAlign w:val="subscript"/>
              </w:rPr>
              <w:t>200</w:t>
            </w:r>
          </w:p>
        </w:tc>
      </w:tr>
      <w:tr w:rsidR="001C08A5" w14:paraId="39A82AD6" w14:textId="77777777">
        <w:tc>
          <w:tcPr>
            <w:tcW w:w="1240" w:type="dxa"/>
          </w:tcPr>
          <w:p w14:paraId="1BD09E62" w14:textId="77777777" w:rsidR="001C08A5" w:rsidRDefault="00000000">
            <w:pPr>
              <w:pStyle w:val="BodyText"/>
              <w:jc w:val="center"/>
              <w:rPr>
                <w:bCs w:val="0"/>
                <w:sz w:val="22"/>
                <w:szCs w:val="22"/>
              </w:rPr>
            </w:pPr>
            <w:r>
              <w:rPr>
                <w:bCs w:val="0"/>
                <w:sz w:val="22"/>
                <w:szCs w:val="22"/>
              </w:rPr>
              <w:t>II</w:t>
            </w:r>
          </w:p>
        </w:tc>
        <w:tc>
          <w:tcPr>
            <w:tcW w:w="1833" w:type="dxa"/>
          </w:tcPr>
          <w:p w14:paraId="2D58E7F3" w14:textId="77777777" w:rsidR="001C08A5" w:rsidRDefault="00000000">
            <w:pPr>
              <w:jc w:val="center"/>
              <w:rPr>
                <w:b/>
                <w:i/>
                <w:sz w:val="22"/>
                <w:szCs w:val="22"/>
              </w:rPr>
            </w:pPr>
            <w:r>
              <w:rPr>
                <w:b/>
                <w:i/>
                <w:sz w:val="22"/>
                <w:szCs w:val="22"/>
              </w:rPr>
              <w:t>EI/REI 180</w:t>
            </w:r>
          </w:p>
          <w:p w14:paraId="46C720A8" w14:textId="77777777" w:rsidR="001C08A5" w:rsidRDefault="001C08A5">
            <w:pPr>
              <w:jc w:val="center"/>
              <w:rPr>
                <w:b/>
                <w:i/>
                <w:sz w:val="22"/>
                <w:szCs w:val="22"/>
              </w:rPr>
            </w:pPr>
          </w:p>
        </w:tc>
        <w:tc>
          <w:tcPr>
            <w:tcW w:w="1202" w:type="dxa"/>
          </w:tcPr>
          <w:p w14:paraId="603C9C87"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869" w:type="dxa"/>
          </w:tcPr>
          <w:p w14:paraId="104DDC89" w14:textId="77777777" w:rsidR="001C08A5" w:rsidRDefault="00000000">
            <w:pPr>
              <w:jc w:val="center"/>
              <w:rPr>
                <w:b/>
                <w:i/>
                <w:sz w:val="22"/>
                <w:szCs w:val="22"/>
              </w:rPr>
            </w:pPr>
            <w:r>
              <w:rPr>
                <w:b/>
                <w:i/>
                <w:sz w:val="22"/>
                <w:szCs w:val="22"/>
              </w:rPr>
              <w:t>REI 120</w:t>
            </w:r>
          </w:p>
        </w:tc>
        <w:tc>
          <w:tcPr>
            <w:tcW w:w="1678" w:type="dxa"/>
          </w:tcPr>
          <w:p w14:paraId="1612200E"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703" w:type="dxa"/>
          </w:tcPr>
          <w:p w14:paraId="506479F9" w14:textId="77777777" w:rsidR="001C08A5" w:rsidRDefault="00000000">
            <w:pPr>
              <w:jc w:val="center"/>
              <w:rPr>
                <w:i/>
                <w:sz w:val="22"/>
                <w:szCs w:val="22"/>
              </w:rPr>
            </w:pPr>
            <w:r>
              <w:rPr>
                <w:b/>
                <w:bCs/>
                <w:i/>
                <w:sz w:val="22"/>
                <w:szCs w:val="22"/>
              </w:rPr>
              <w:t>EI</w:t>
            </w:r>
            <w:r>
              <w:rPr>
                <w:b/>
                <w:bCs/>
                <w:i/>
                <w:sz w:val="22"/>
                <w:szCs w:val="22"/>
                <w:vertAlign w:val="subscript"/>
              </w:rPr>
              <w:t>2</w:t>
            </w:r>
            <w:r>
              <w:rPr>
                <w:b/>
                <w:bCs/>
                <w:i/>
                <w:sz w:val="22"/>
                <w:szCs w:val="22"/>
              </w:rPr>
              <w:t xml:space="preserve"> 45 - C5 </w:t>
            </w:r>
            <w:r>
              <w:rPr>
                <w:b/>
                <w:i/>
                <w:sz w:val="22"/>
                <w:szCs w:val="22"/>
              </w:rPr>
              <w:t>S</w:t>
            </w:r>
            <w:r>
              <w:rPr>
                <w:b/>
                <w:bCs/>
                <w:i/>
                <w:sz w:val="22"/>
                <w:szCs w:val="22"/>
                <w:vertAlign w:val="subscript"/>
              </w:rPr>
              <w:t>200</w:t>
            </w:r>
          </w:p>
        </w:tc>
      </w:tr>
      <w:tr w:rsidR="001C08A5" w14:paraId="487CD016" w14:textId="77777777">
        <w:tc>
          <w:tcPr>
            <w:tcW w:w="1240" w:type="dxa"/>
          </w:tcPr>
          <w:p w14:paraId="0380245E" w14:textId="77777777" w:rsidR="001C08A5" w:rsidRDefault="00000000">
            <w:pPr>
              <w:pStyle w:val="BodyText"/>
              <w:jc w:val="center"/>
              <w:rPr>
                <w:bCs w:val="0"/>
                <w:sz w:val="22"/>
                <w:szCs w:val="22"/>
              </w:rPr>
            </w:pPr>
            <w:r>
              <w:rPr>
                <w:bCs w:val="0"/>
                <w:sz w:val="22"/>
                <w:szCs w:val="22"/>
              </w:rPr>
              <w:t>II (+)</w:t>
            </w:r>
          </w:p>
        </w:tc>
        <w:tc>
          <w:tcPr>
            <w:tcW w:w="1833" w:type="dxa"/>
          </w:tcPr>
          <w:p w14:paraId="65FFEEB5" w14:textId="77777777" w:rsidR="001C08A5" w:rsidRDefault="00000000">
            <w:pPr>
              <w:jc w:val="center"/>
              <w:rPr>
                <w:b/>
                <w:i/>
                <w:sz w:val="22"/>
                <w:szCs w:val="22"/>
              </w:rPr>
            </w:pPr>
            <w:r>
              <w:rPr>
                <w:b/>
                <w:i/>
                <w:sz w:val="22"/>
                <w:szCs w:val="22"/>
              </w:rPr>
              <w:t>EI/REI 120</w:t>
            </w:r>
          </w:p>
          <w:p w14:paraId="26757750" w14:textId="77777777" w:rsidR="001C08A5" w:rsidRDefault="001C08A5">
            <w:pPr>
              <w:jc w:val="center"/>
              <w:rPr>
                <w:b/>
                <w:i/>
                <w:sz w:val="22"/>
                <w:szCs w:val="22"/>
              </w:rPr>
            </w:pPr>
          </w:p>
        </w:tc>
        <w:tc>
          <w:tcPr>
            <w:tcW w:w="1202" w:type="dxa"/>
          </w:tcPr>
          <w:p w14:paraId="036EFE93"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869" w:type="dxa"/>
          </w:tcPr>
          <w:p w14:paraId="5428FDF4" w14:textId="77777777" w:rsidR="001C08A5" w:rsidRDefault="00000000">
            <w:pPr>
              <w:jc w:val="center"/>
              <w:rPr>
                <w:b/>
                <w:i/>
                <w:sz w:val="22"/>
                <w:szCs w:val="22"/>
              </w:rPr>
            </w:pPr>
            <w:r>
              <w:rPr>
                <w:b/>
                <w:i/>
                <w:sz w:val="22"/>
                <w:szCs w:val="22"/>
              </w:rPr>
              <w:t>REI 90</w:t>
            </w:r>
          </w:p>
        </w:tc>
        <w:tc>
          <w:tcPr>
            <w:tcW w:w="1678" w:type="dxa"/>
          </w:tcPr>
          <w:p w14:paraId="43A36E74"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703" w:type="dxa"/>
          </w:tcPr>
          <w:p w14:paraId="6FD138CC" w14:textId="77777777" w:rsidR="001C08A5" w:rsidRDefault="00000000">
            <w:pPr>
              <w:jc w:val="center"/>
              <w:rPr>
                <w:b/>
                <w:bCs/>
                <w:i/>
                <w:sz w:val="22"/>
                <w:szCs w:val="22"/>
              </w:rPr>
            </w:pPr>
            <w:r>
              <w:rPr>
                <w:b/>
                <w:bCs/>
                <w:i/>
                <w:sz w:val="22"/>
                <w:szCs w:val="22"/>
              </w:rPr>
              <w:t>EI</w:t>
            </w:r>
            <w:r>
              <w:rPr>
                <w:b/>
                <w:bCs/>
                <w:i/>
                <w:sz w:val="22"/>
                <w:szCs w:val="22"/>
                <w:vertAlign w:val="subscript"/>
              </w:rPr>
              <w:t>2</w:t>
            </w:r>
            <w:r>
              <w:rPr>
                <w:b/>
                <w:bCs/>
                <w:i/>
                <w:sz w:val="22"/>
                <w:szCs w:val="22"/>
              </w:rPr>
              <w:t xml:space="preserve"> 45 - C5 </w:t>
            </w:r>
            <w:r>
              <w:rPr>
                <w:b/>
                <w:i/>
                <w:sz w:val="22"/>
                <w:szCs w:val="22"/>
              </w:rPr>
              <w:t>S</w:t>
            </w:r>
            <w:r>
              <w:rPr>
                <w:b/>
                <w:bCs/>
                <w:i/>
                <w:sz w:val="22"/>
                <w:szCs w:val="22"/>
                <w:vertAlign w:val="subscript"/>
              </w:rPr>
              <w:t>200</w:t>
            </w:r>
          </w:p>
        </w:tc>
      </w:tr>
      <w:tr w:rsidR="001C08A5" w14:paraId="7A718A4F" w14:textId="77777777">
        <w:tc>
          <w:tcPr>
            <w:tcW w:w="1240" w:type="dxa"/>
          </w:tcPr>
          <w:p w14:paraId="7747BE12" w14:textId="77777777" w:rsidR="001C08A5" w:rsidRDefault="00000000">
            <w:pPr>
              <w:pStyle w:val="BodyText"/>
              <w:jc w:val="center"/>
              <w:rPr>
                <w:bCs w:val="0"/>
                <w:sz w:val="22"/>
                <w:szCs w:val="22"/>
              </w:rPr>
            </w:pPr>
            <w:r>
              <w:rPr>
                <w:bCs w:val="0"/>
                <w:sz w:val="22"/>
                <w:szCs w:val="22"/>
              </w:rPr>
              <w:t>III</w:t>
            </w:r>
          </w:p>
        </w:tc>
        <w:tc>
          <w:tcPr>
            <w:tcW w:w="1833" w:type="dxa"/>
          </w:tcPr>
          <w:p w14:paraId="1653AFD4" w14:textId="77777777" w:rsidR="001C08A5" w:rsidRDefault="00000000">
            <w:pPr>
              <w:jc w:val="center"/>
              <w:rPr>
                <w:b/>
                <w:i/>
                <w:sz w:val="22"/>
                <w:szCs w:val="22"/>
              </w:rPr>
            </w:pPr>
            <w:r>
              <w:rPr>
                <w:b/>
                <w:i/>
                <w:sz w:val="22"/>
                <w:szCs w:val="22"/>
              </w:rPr>
              <w:t xml:space="preserve">EI/REI 90 </w:t>
            </w:r>
          </w:p>
          <w:p w14:paraId="238D1216" w14:textId="77777777" w:rsidR="001C08A5" w:rsidRDefault="001C08A5">
            <w:pPr>
              <w:jc w:val="center"/>
              <w:rPr>
                <w:b/>
                <w:i/>
                <w:sz w:val="22"/>
                <w:szCs w:val="22"/>
              </w:rPr>
            </w:pPr>
          </w:p>
        </w:tc>
        <w:tc>
          <w:tcPr>
            <w:tcW w:w="1202" w:type="dxa"/>
          </w:tcPr>
          <w:p w14:paraId="75FBA710"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869" w:type="dxa"/>
          </w:tcPr>
          <w:p w14:paraId="5244FF2E" w14:textId="77777777" w:rsidR="001C08A5" w:rsidRDefault="00000000">
            <w:pPr>
              <w:jc w:val="center"/>
              <w:rPr>
                <w:b/>
                <w:i/>
                <w:sz w:val="22"/>
                <w:szCs w:val="22"/>
              </w:rPr>
            </w:pPr>
            <w:r>
              <w:rPr>
                <w:b/>
                <w:i/>
                <w:sz w:val="22"/>
                <w:szCs w:val="22"/>
              </w:rPr>
              <w:t>REI 60</w:t>
            </w:r>
          </w:p>
        </w:tc>
        <w:tc>
          <w:tcPr>
            <w:tcW w:w="1678" w:type="dxa"/>
          </w:tcPr>
          <w:p w14:paraId="3BFE76FB"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703" w:type="dxa"/>
          </w:tcPr>
          <w:p w14:paraId="2C274AE9" w14:textId="77777777" w:rsidR="001C08A5" w:rsidRDefault="00000000">
            <w:pPr>
              <w:jc w:val="center"/>
              <w:rPr>
                <w:i/>
                <w:strike/>
                <w:sz w:val="22"/>
                <w:szCs w:val="22"/>
              </w:rPr>
            </w:pPr>
            <w:r>
              <w:rPr>
                <w:b/>
                <w:bCs/>
                <w:i/>
                <w:sz w:val="22"/>
                <w:szCs w:val="22"/>
              </w:rPr>
              <w:t>EI</w:t>
            </w:r>
            <w:r>
              <w:rPr>
                <w:b/>
                <w:bCs/>
                <w:i/>
                <w:sz w:val="22"/>
                <w:szCs w:val="22"/>
                <w:vertAlign w:val="subscript"/>
              </w:rPr>
              <w:t>2</w:t>
            </w:r>
            <w:r>
              <w:rPr>
                <w:b/>
                <w:bCs/>
                <w:i/>
                <w:sz w:val="22"/>
                <w:szCs w:val="22"/>
              </w:rPr>
              <w:t xml:space="preserve"> 30 - C5 </w:t>
            </w:r>
            <w:r>
              <w:rPr>
                <w:b/>
                <w:i/>
                <w:sz w:val="22"/>
                <w:szCs w:val="22"/>
              </w:rPr>
              <w:t>S</w:t>
            </w:r>
            <w:r>
              <w:rPr>
                <w:b/>
                <w:bCs/>
                <w:i/>
                <w:sz w:val="22"/>
                <w:szCs w:val="22"/>
                <w:vertAlign w:val="subscript"/>
              </w:rPr>
              <w:t>200</w:t>
            </w:r>
          </w:p>
        </w:tc>
      </w:tr>
      <w:tr w:rsidR="001C08A5" w14:paraId="2F3757A4" w14:textId="77777777">
        <w:tc>
          <w:tcPr>
            <w:tcW w:w="1240" w:type="dxa"/>
          </w:tcPr>
          <w:p w14:paraId="70D3E558" w14:textId="77777777" w:rsidR="001C08A5" w:rsidRDefault="00000000">
            <w:pPr>
              <w:pStyle w:val="BodyText"/>
              <w:jc w:val="center"/>
              <w:rPr>
                <w:bCs w:val="0"/>
                <w:sz w:val="22"/>
                <w:szCs w:val="22"/>
              </w:rPr>
            </w:pPr>
            <w:r>
              <w:rPr>
                <w:bCs w:val="0"/>
                <w:sz w:val="22"/>
                <w:szCs w:val="22"/>
              </w:rPr>
              <w:t>III (+)</w:t>
            </w:r>
          </w:p>
        </w:tc>
        <w:tc>
          <w:tcPr>
            <w:tcW w:w="1833" w:type="dxa"/>
          </w:tcPr>
          <w:p w14:paraId="0C12497F" w14:textId="77777777" w:rsidR="001C08A5" w:rsidRDefault="00000000">
            <w:pPr>
              <w:jc w:val="center"/>
              <w:rPr>
                <w:b/>
                <w:i/>
                <w:sz w:val="22"/>
                <w:szCs w:val="22"/>
              </w:rPr>
            </w:pPr>
            <w:r>
              <w:rPr>
                <w:b/>
                <w:i/>
                <w:sz w:val="22"/>
                <w:szCs w:val="22"/>
              </w:rPr>
              <w:t xml:space="preserve">EI/REI 60 </w:t>
            </w:r>
          </w:p>
          <w:p w14:paraId="349A4F99" w14:textId="77777777" w:rsidR="001C08A5" w:rsidRDefault="001C08A5">
            <w:pPr>
              <w:jc w:val="center"/>
              <w:rPr>
                <w:b/>
                <w:i/>
                <w:sz w:val="22"/>
                <w:szCs w:val="22"/>
              </w:rPr>
            </w:pPr>
          </w:p>
        </w:tc>
        <w:tc>
          <w:tcPr>
            <w:tcW w:w="1202" w:type="dxa"/>
          </w:tcPr>
          <w:p w14:paraId="1EEC7ED8"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869" w:type="dxa"/>
          </w:tcPr>
          <w:p w14:paraId="71CAEB46" w14:textId="77777777" w:rsidR="001C08A5" w:rsidRDefault="00000000">
            <w:pPr>
              <w:jc w:val="center"/>
              <w:rPr>
                <w:b/>
                <w:i/>
                <w:sz w:val="22"/>
                <w:szCs w:val="22"/>
              </w:rPr>
            </w:pPr>
            <w:r>
              <w:rPr>
                <w:b/>
                <w:i/>
                <w:sz w:val="22"/>
                <w:szCs w:val="22"/>
              </w:rPr>
              <w:t xml:space="preserve">REI 45 </w:t>
            </w:r>
          </w:p>
        </w:tc>
        <w:tc>
          <w:tcPr>
            <w:tcW w:w="1678" w:type="dxa"/>
          </w:tcPr>
          <w:p w14:paraId="10B0CF39" w14:textId="77777777" w:rsidR="001C08A5" w:rsidRDefault="00000000">
            <w:pPr>
              <w:jc w:val="center"/>
              <w:rPr>
                <w:b/>
                <w:i/>
                <w:sz w:val="22"/>
                <w:szCs w:val="22"/>
              </w:rPr>
            </w:pPr>
            <w:r>
              <w:rPr>
                <w:b/>
                <w:i/>
                <w:sz w:val="22"/>
                <w:szCs w:val="22"/>
              </w:rPr>
              <w:t xml:space="preserve">A1 </w:t>
            </w:r>
            <w:r>
              <w:rPr>
                <w:i/>
                <w:sz w:val="22"/>
                <w:szCs w:val="22"/>
              </w:rPr>
              <w:t>sau</w:t>
            </w:r>
            <w:r>
              <w:rPr>
                <w:b/>
                <w:i/>
                <w:sz w:val="22"/>
                <w:szCs w:val="22"/>
              </w:rPr>
              <w:t xml:space="preserve"> A2-s1d0</w:t>
            </w:r>
          </w:p>
        </w:tc>
        <w:tc>
          <w:tcPr>
            <w:tcW w:w="1703" w:type="dxa"/>
          </w:tcPr>
          <w:p w14:paraId="6A0A7BAC" w14:textId="77777777" w:rsidR="001C08A5" w:rsidRDefault="00000000">
            <w:pPr>
              <w:jc w:val="center"/>
              <w:rPr>
                <w:i/>
                <w:strike/>
                <w:sz w:val="22"/>
                <w:szCs w:val="22"/>
              </w:rPr>
            </w:pPr>
            <w:r>
              <w:rPr>
                <w:b/>
                <w:bCs/>
                <w:i/>
                <w:sz w:val="22"/>
                <w:szCs w:val="22"/>
              </w:rPr>
              <w:t>EI</w:t>
            </w:r>
            <w:r>
              <w:rPr>
                <w:b/>
                <w:bCs/>
                <w:i/>
                <w:sz w:val="22"/>
                <w:szCs w:val="22"/>
                <w:vertAlign w:val="subscript"/>
              </w:rPr>
              <w:t>2</w:t>
            </w:r>
            <w:r>
              <w:rPr>
                <w:b/>
                <w:bCs/>
                <w:i/>
                <w:sz w:val="22"/>
                <w:szCs w:val="22"/>
              </w:rPr>
              <w:t xml:space="preserve"> 30 - C5 </w:t>
            </w:r>
            <w:r>
              <w:rPr>
                <w:b/>
                <w:i/>
                <w:sz w:val="22"/>
                <w:szCs w:val="22"/>
              </w:rPr>
              <w:t>S</w:t>
            </w:r>
            <w:r>
              <w:rPr>
                <w:b/>
                <w:bCs/>
                <w:i/>
                <w:sz w:val="22"/>
                <w:szCs w:val="22"/>
                <w:vertAlign w:val="subscript"/>
              </w:rPr>
              <w:t>200</w:t>
            </w:r>
          </w:p>
        </w:tc>
      </w:tr>
    </w:tbl>
    <w:p w14:paraId="792A0677" w14:textId="77777777" w:rsidR="001C08A5" w:rsidRDefault="00000000">
      <w:pPr>
        <w:jc w:val="both"/>
        <w:rPr>
          <w:i/>
          <w:sz w:val="22"/>
          <w:szCs w:val="22"/>
        </w:rPr>
      </w:pPr>
      <w:r>
        <w:rPr>
          <w:i/>
          <w:sz w:val="22"/>
          <w:szCs w:val="22"/>
        </w:rPr>
        <w:t>Note:</w:t>
      </w:r>
    </w:p>
    <w:p w14:paraId="5C4705E7"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2BBA66BB"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2903D86B" w14:textId="77777777" w:rsidR="001C08A5" w:rsidRDefault="001C08A5">
      <w:pPr>
        <w:jc w:val="both"/>
        <w:rPr>
          <w:sz w:val="24"/>
          <w:szCs w:val="24"/>
        </w:rPr>
      </w:pPr>
    </w:p>
    <w:p w14:paraId="13925B76" w14:textId="77777777" w:rsidR="001C08A5" w:rsidRDefault="00000000">
      <w:pPr>
        <w:jc w:val="both"/>
        <w:rPr>
          <w:sz w:val="24"/>
          <w:szCs w:val="24"/>
        </w:rPr>
      </w:pPr>
      <w:r>
        <w:rPr>
          <w:b/>
          <w:sz w:val="24"/>
          <w:szCs w:val="24"/>
        </w:rPr>
        <w:tab/>
        <w:t xml:space="preserve">Art. 4.3.5.6. </w:t>
      </w:r>
      <w:r>
        <w:rPr>
          <w:sz w:val="24"/>
          <w:szCs w:val="24"/>
        </w:rPr>
        <w:t xml:space="preserve">Comportarea la foc a pereţilor, uşilor și planşeelor de separare a căilor de evacuare orizontale, coridoare, din clădirile cu săli aglomerate de tip </w:t>
      </w:r>
      <w:r>
        <w:rPr>
          <w:b/>
          <w:sz w:val="24"/>
          <w:szCs w:val="24"/>
        </w:rPr>
        <w:t>S2</w:t>
      </w:r>
      <w:r>
        <w:rPr>
          <w:sz w:val="24"/>
          <w:szCs w:val="24"/>
        </w:rPr>
        <w:t xml:space="preserve"> supraterane cu înălţimi obişnuite, trebuie să corespundă prevederilor din </w:t>
      </w:r>
      <w:r>
        <w:rPr>
          <w:b/>
          <w:bCs/>
          <w:i/>
          <w:iCs/>
          <w:sz w:val="24"/>
          <w:szCs w:val="24"/>
        </w:rPr>
        <w:fldChar w:fldCharType="begin"/>
      </w:r>
      <w:r>
        <w:rPr>
          <w:b/>
          <w:bCs/>
          <w:i/>
          <w:iCs/>
          <w:sz w:val="24"/>
          <w:szCs w:val="24"/>
        </w:rPr>
        <w:instrText xml:space="preserve"> REF _Ref25817 \h </w:instrText>
      </w:r>
      <w:r>
        <w:rPr>
          <w:b/>
          <w:bCs/>
          <w:i/>
          <w:iCs/>
          <w:sz w:val="24"/>
          <w:szCs w:val="24"/>
        </w:rPr>
      </w:r>
      <w:r>
        <w:rPr>
          <w:b/>
          <w:bCs/>
          <w:i/>
          <w:iCs/>
          <w:sz w:val="24"/>
          <w:szCs w:val="24"/>
        </w:rPr>
        <w:fldChar w:fldCharType="separate"/>
      </w:r>
      <w:r>
        <w:t>Tabelul 107</w:t>
      </w:r>
      <w:r>
        <w:rPr>
          <w:b/>
          <w:bCs/>
          <w:i/>
          <w:iCs/>
          <w:sz w:val="24"/>
          <w:szCs w:val="24"/>
        </w:rPr>
        <w:fldChar w:fldCharType="end"/>
      </w:r>
      <w:r>
        <w:rPr>
          <w:sz w:val="24"/>
          <w:szCs w:val="24"/>
        </w:rPr>
        <w:t>.</w:t>
      </w:r>
    </w:p>
    <w:p w14:paraId="70CB887E" w14:textId="77777777" w:rsidR="001C08A5" w:rsidRDefault="001C08A5">
      <w:pPr>
        <w:jc w:val="both"/>
        <w:rPr>
          <w:b/>
          <w:sz w:val="24"/>
          <w:szCs w:val="24"/>
        </w:rPr>
      </w:pPr>
    </w:p>
    <w:p w14:paraId="4B4046AE" w14:textId="77777777" w:rsidR="001C08A5" w:rsidRDefault="00000000">
      <w:pPr>
        <w:pStyle w:val="Captiontabel"/>
      </w:pPr>
      <w:bookmarkStart w:id="4838" w:name="_Ref25817"/>
      <w:bookmarkStart w:id="4839" w:name="_Toc162360157"/>
      <w:r>
        <w:t xml:space="preserve">Tabelul </w:t>
      </w:r>
      <w:r>
        <w:fldChar w:fldCharType="begin"/>
      </w:r>
      <w:r>
        <w:instrText xml:space="preserve"> SEQ Tabelul \* ARABIC </w:instrText>
      </w:r>
      <w:r>
        <w:fldChar w:fldCharType="separate"/>
      </w:r>
      <w:r>
        <w:t>107</w:t>
      </w:r>
      <w:r>
        <w:fldChar w:fldCharType="end"/>
      </w:r>
      <w:bookmarkStart w:id="4840" w:name="_Toc11784"/>
      <w:bookmarkStart w:id="4841" w:name="_Toc5336"/>
      <w:bookmarkStart w:id="4842" w:name="_Toc32450"/>
      <w:bookmarkStart w:id="4843" w:name="_Toc8365"/>
      <w:bookmarkStart w:id="4844" w:name="_Toc13101"/>
      <w:bookmarkStart w:id="4845" w:name="_Toc6284"/>
      <w:bookmarkStart w:id="4846" w:name="_Toc3268"/>
      <w:bookmarkStart w:id="4847" w:name="_Toc10849"/>
      <w:bookmarkStart w:id="4848" w:name="_Toc2290"/>
      <w:bookmarkStart w:id="4849" w:name="_Toc8905"/>
      <w:bookmarkStart w:id="4850" w:name="_Toc2812"/>
      <w:bookmarkStart w:id="4851" w:name="_Toc14249"/>
      <w:bookmarkStart w:id="4852" w:name="_Toc23608"/>
      <w:bookmarkStart w:id="4853" w:name="_Toc23828"/>
      <w:bookmarkStart w:id="4854" w:name="_Toc26696"/>
      <w:bookmarkStart w:id="4855" w:name="_Toc29827"/>
      <w:bookmarkStart w:id="4856" w:name="_Toc14717"/>
      <w:bookmarkStart w:id="4857" w:name="_Toc27165"/>
      <w:bookmarkStart w:id="4858" w:name="_Toc7524"/>
      <w:bookmarkEnd w:id="4838"/>
      <w:r>
        <w:t xml:space="preserve">: Comportare la foc a pereţilor, uşilor și planşeelor de separare a căilor de evacuare </w:t>
      </w:r>
      <w:r>
        <w:lastRenderedPageBreak/>
        <w:t>orizontale, coridoare, din clădirile cu săli aglomerate de tip S2 supraterane cu înălţimi obişnuite</w:t>
      </w:r>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p>
    <w:p w14:paraId="7BE45341" w14:textId="77777777" w:rsidR="001C08A5" w:rsidRDefault="001C08A5">
      <w:pPr>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093"/>
        <w:gridCol w:w="1288"/>
        <w:gridCol w:w="2597"/>
        <w:gridCol w:w="1719"/>
        <w:gridCol w:w="1539"/>
      </w:tblGrid>
      <w:tr w:rsidR="001C08A5" w14:paraId="113E7A71" w14:textId="77777777">
        <w:trPr>
          <w:tblHeader/>
        </w:trPr>
        <w:tc>
          <w:tcPr>
            <w:tcW w:w="1262" w:type="dxa"/>
            <w:vMerge w:val="restart"/>
            <w:shd w:val="clear" w:color="auto" w:fill="BFBFBF"/>
          </w:tcPr>
          <w:p w14:paraId="015AE0D9" w14:textId="77777777" w:rsidR="001C08A5" w:rsidRDefault="001C08A5">
            <w:pPr>
              <w:pStyle w:val="BodyText"/>
              <w:jc w:val="center"/>
              <w:rPr>
                <w:bCs w:val="0"/>
                <w:sz w:val="22"/>
                <w:szCs w:val="22"/>
              </w:rPr>
            </w:pPr>
          </w:p>
          <w:p w14:paraId="16709E9B" w14:textId="77777777" w:rsidR="001C08A5" w:rsidRDefault="00000000">
            <w:pPr>
              <w:pStyle w:val="BodyText"/>
              <w:jc w:val="center"/>
              <w:rPr>
                <w:bCs w:val="0"/>
                <w:sz w:val="22"/>
                <w:szCs w:val="22"/>
              </w:rPr>
            </w:pPr>
            <w:r>
              <w:rPr>
                <w:bCs w:val="0"/>
                <w:sz w:val="22"/>
                <w:szCs w:val="22"/>
              </w:rPr>
              <w:t>Nivel de stabilitate</w:t>
            </w:r>
          </w:p>
          <w:p w14:paraId="79815581" w14:textId="77777777" w:rsidR="001C08A5" w:rsidRDefault="00000000">
            <w:pPr>
              <w:jc w:val="center"/>
              <w:rPr>
                <w:i/>
                <w:sz w:val="22"/>
                <w:szCs w:val="22"/>
              </w:rPr>
            </w:pPr>
            <w:r>
              <w:rPr>
                <w:b/>
                <w:bCs/>
                <w:i/>
                <w:sz w:val="22"/>
                <w:szCs w:val="22"/>
              </w:rPr>
              <w:t>la incendiu</w:t>
            </w:r>
          </w:p>
        </w:tc>
        <w:tc>
          <w:tcPr>
            <w:tcW w:w="8236" w:type="dxa"/>
            <w:gridSpan w:val="5"/>
            <w:shd w:val="clear" w:color="auto" w:fill="BFBFBF"/>
          </w:tcPr>
          <w:p w14:paraId="71BA4037" w14:textId="77777777" w:rsidR="001C08A5" w:rsidRDefault="00000000">
            <w:pPr>
              <w:jc w:val="center"/>
              <w:rPr>
                <w:b/>
                <w:bCs/>
                <w:i/>
                <w:sz w:val="22"/>
                <w:szCs w:val="22"/>
              </w:rPr>
            </w:pPr>
            <w:r>
              <w:rPr>
                <w:b/>
                <w:bCs/>
                <w:i/>
                <w:sz w:val="22"/>
                <w:szCs w:val="22"/>
              </w:rPr>
              <w:t xml:space="preserve">Niveluri de comportare la foc admise la coridoare </w:t>
            </w:r>
          </w:p>
        </w:tc>
      </w:tr>
      <w:tr w:rsidR="001C08A5" w14:paraId="623D05C2" w14:textId="77777777">
        <w:trPr>
          <w:tblHeader/>
        </w:trPr>
        <w:tc>
          <w:tcPr>
            <w:tcW w:w="1262" w:type="dxa"/>
            <w:vMerge/>
            <w:shd w:val="clear" w:color="auto" w:fill="BFBFBF"/>
          </w:tcPr>
          <w:p w14:paraId="24EBE94A" w14:textId="77777777" w:rsidR="001C08A5" w:rsidRDefault="001C08A5">
            <w:pPr>
              <w:jc w:val="center"/>
              <w:rPr>
                <w:i/>
                <w:sz w:val="22"/>
                <w:szCs w:val="22"/>
              </w:rPr>
            </w:pPr>
          </w:p>
        </w:tc>
        <w:tc>
          <w:tcPr>
            <w:tcW w:w="2381" w:type="dxa"/>
            <w:gridSpan w:val="2"/>
            <w:shd w:val="clear" w:color="auto" w:fill="BFBFBF"/>
          </w:tcPr>
          <w:p w14:paraId="0961841E" w14:textId="77777777" w:rsidR="001C08A5" w:rsidRDefault="001C08A5">
            <w:pPr>
              <w:jc w:val="center"/>
              <w:rPr>
                <w:b/>
                <w:bCs/>
                <w:i/>
                <w:sz w:val="22"/>
                <w:szCs w:val="22"/>
              </w:rPr>
            </w:pPr>
          </w:p>
          <w:p w14:paraId="7D162A44" w14:textId="77777777" w:rsidR="001C08A5" w:rsidRDefault="00000000">
            <w:pPr>
              <w:jc w:val="center"/>
              <w:rPr>
                <w:i/>
                <w:sz w:val="22"/>
                <w:szCs w:val="22"/>
              </w:rPr>
            </w:pPr>
            <w:r>
              <w:rPr>
                <w:b/>
                <w:bCs/>
                <w:i/>
                <w:sz w:val="22"/>
                <w:szCs w:val="22"/>
              </w:rPr>
              <w:t>Pereţi</w:t>
            </w:r>
          </w:p>
        </w:tc>
        <w:tc>
          <w:tcPr>
            <w:tcW w:w="4316" w:type="dxa"/>
            <w:gridSpan w:val="2"/>
            <w:shd w:val="clear" w:color="auto" w:fill="BFBFBF"/>
          </w:tcPr>
          <w:p w14:paraId="56607BD2"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faţă de restul construcţiei </w:t>
            </w:r>
            <w:r>
              <w:rPr>
                <w:bCs/>
                <w:i/>
                <w:sz w:val="22"/>
                <w:szCs w:val="22"/>
              </w:rPr>
              <w:t xml:space="preserve">coridoarele,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tcPr>
          <w:p w14:paraId="4E7B10B6" w14:textId="77777777" w:rsidR="001C08A5" w:rsidRDefault="00000000">
            <w:pPr>
              <w:jc w:val="center"/>
              <w:rPr>
                <w:i/>
                <w:sz w:val="22"/>
                <w:szCs w:val="22"/>
              </w:rPr>
            </w:pPr>
            <w:r>
              <w:rPr>
                <w:b/>
                <w:bCs/>
                <w:i/>
                <w:sz w:val="22"/>
                <w:szCs w:val="22"/>
              </w:rPr>
              <w:t xml:space="preserve">Uşi </w:t>
            </w:r>
            <w:r>
              <w:rPr>
                <w:bCs/>
                <w:i/>
                <w:sz w:val="22"/>
                <w:szCs w:val="22"/>
              </w:rPr>
              <w:t>(cu excepţia celor către case de scări închise şi către sălile aglomerate)</w:t>
            </w:r>
          </w:p>
        </w:tc>
      </w:tr>
      <w:tr w:rsidR="001C08A5" w14:paraId="2B3D721D" w14:textId="77777777">
        <w:tc>
          <w:tcPr>
            <w:tcW w:w="1262" w:type="dxa"/>
          </w:tcPr>
          <w:p w14:paraId="5A12D60A" w14:textId="77777777" w:rsidR="001C08A5" w:rsidRDefault="00000000">
            <w:pPr>
              <w:pStyle w:val="BodyText"/>
              <w:jc w:val="center"/>
              <w:rPr>
                <w:bCs w:val="0"/>
                <w:sz w:val="22"/>
                <w:szCs w:val="22"/>
              </w:rPr>
            </w:pPr>
            <w:r>
              <w:rPr>
                <w:bCs w:val="0"/>
                <w:sz w:val="22"/>
                <w:szCs w:val="22"/>
              </w:rPr>
              <w:t>I</w:t>
            </w:r>
          </w:p>
          <w:p w14:paraId="1FAA336C" w14:textId="77777777" w:rsidR="001C08A5" w:rsidRDefault="00000000">
            <w:pPr>
              <w:pStyle w:val="BodyText"/>
              <w:jc w:val="center"/>
              <w:rPr>
                <w:bCs w:val="0"/>
                <w:sz w:val="22"/>
                <w:szCs w:val="22"/>
              </w:rPr>
            </w:pPr>
            <w:r>
              <w:rPr>
                <w:sz w:val="22"/>
                <w:szCs w:val="22"/>
              </w:rPr>
              <w:t>h&lt;28m</w:t>
            </w:r>
          </w:p>
        </w:tc>
        <w:tc>
          <w:tcPr>
            <w:tcW w:w="1093" w:type="dxa"/>
          </w:tcPr>
          <w:p w14:paraId="5F837E64" w14:textId="77777777" w:rsidR="001C08A5" w:rsidRDefault="00000000">
            <w:pPr>
              <w:jc w:val="center"/>
              <w:rPr>
                <w:b/>
                <w:i/>
                <w:sz w:val="22"/>
                <w:szCs w:val="22"/>
              </w:rPr>
            </w:pPr>
            <w:r>
              <w:rPr>
                <w:b/>
                <w:i/>
                <w:sz w:val="22"/>
                <w:szCs w:val="22"/>
              </w:rPr>
              <w:t xml:space="preserve">EI/REI 90 </w:t>
            </w:r>
          </w:p>
        </w:tc>
        <w:tc>
          <w:tcPr>
            <w:tcW w:w="1288" w:type="dxa"/>
          </w:tcPr>
          <w:p w14:paraId="52949918"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2597" w:type="dxa"/>
            <w:vMerge w:val="restart"/>
            <w:textDirection w:val="lrTbV"/>
          </w:tcPr>
          <w:p w14:paraId="29C21499" w14:textId="77777777" w:rsidR="001C08A5" w:rsidRDefault="00000000">
            <w:pPr>
              <w:jc w:val="center"/>
              <w:rPr>
                <w:b/>
                <w:i/>
                <w:sz w:val="22"/>
                <w:szCs w:val="22"/>
              </w:rPr>
            </w:pPr>
            <w:r>
              <w:rPr>
                <w:bCs/>
                <w:i/>
                <w:sz w:val="22"/>
                <w:szCs w:val="22"/>
              </w:rPr>
              <w:t>Conform prevederi din</w:t>
            </w:r>
          </w:p>
          <w:p w14:paraId="159CF41F" w14:textId="77777777" w:rsidR="001C08A5" w:rsidRDefault="00000000">
            <w:pPr>
              <w:jc w:val="center"/>
              <w:rPr>
                <w:i/>
                <w:sz w:val="22"/>
                <w:szCs w:val="22"/>
              </w:rPr>
            </w:pP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rStyle w:val="BodyTextChar"/>
                <w:sz w:val="22"/>
                <w:szCs w:val="22"/>
              </w:rPr>
              <w:t xml:space="preserve"> - pct.3</w:t>
            </w:r>
          </w:p>
          <w:p w14:paraId="414E0820" w14:textId="77777777" w:rsidR="001C08A5" w:rsidRDefault="00000000">
            <w:pPr>
              <w:jc w:val="center"/>
              <w:rPr>
                <w:b/>
                <w:i/>
                <w:sz w:val="22"/>
                <w:szCs w:val="22"/>
              </w:rPr>
            </w:pPr>
            <w:r>
              <w:rPr>
                <w:i/>
                <w:sz w:val="22"/>
                <w:szCs w:val="22"/>
              </w:rPr>
              <w:t xml:space="preserve">Condiţiile minime de rezistenţă la foc pe care trebuie să le îndeplinească  </w:t>
            </w:r>
            <w:r>
              <w:rPr>
                <w:b/>
                <w:bCs/>
                <w:i/>
                <w:sz w:val="22"/>
                <w:szCs w:val="22"/>
              </w:rPr>
              <w:t>planșeele</w:t>
            </w:r>
            <w:r>
              <w:rPr>
                <w:i/>
                <w:sz w:val="22"/>
                <w:szCs w:val="22"/>
              </w:rPr>
              <w:t xml:space="preserve"> (</w:t>
            </w:r>
            <w:r>
              <w:rPr>
                <w:b/>
                <w:bCs/>
                <w:i/>
                <w:sz w:val="22"/>
                <w:szCs w:val="22"/>
              </w:rPr>
              <w:t>REI</w:t>
            </w:r>
            <w:r>
              <w:rPr>
                <w:i/>
                <w:sz w:val="22"/>
                <w:szCs w:val="22"/>
              </w:rPr>
              <w:t>) pentru încadrarea  în nivelul stabilit de stabilitate la incendiu.</w:t>
            </w:r>
          </w:p>
        </w:tc>
        <w:tc>
          <w:tcPr>
            <w:tcW w:w="1719" w:type="dxa"/>
          </w:tcPr>
          <w:p w14:paraId="699A9CAC"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6B7965A6" w14:textId="77777777" w:rsidR="001C08A5" w:rsidRDefault="00000000">
            <w:pPr>
              <w:jc w:val="center"/>
              <w:rPr>
                <w:b/>
                <w:bCs/>
                <w:i/>
                <w:sz w:val="22"/>
                <w:szCs w:val="22"/>
              </w:rPr>
            </w:pPr>
            <w:r>
              <w:rPr>
                <w:b/>
                <w:bCs/>
                <w:i/>
                <w:sz w:val="22"/>
                <w:szCs w:val="22"/>
              </w:rPr>
              <w:t>E  45 - C5 Sa</w:t>
            </w:r>
          </w:p>
        </w:tc>
      </w:tr>
      <w:tr w:rsidR="001C08A5" w14:paraId="05C1C999" w14:textId="77777777">
        <w:tc>
          <w:tcPr>
            <w:tcW w:w="1262" w:type="dxa"/>
          </w:tcPr>
          <w:p w14:paraId="6F4F9015" w14:textId="77777777" w:rsidR="001C08A5" w:rsidRDefault="00000000">
            <w:pPr>
              <w:pStyle w:val="BodyText"/>
              <w:jc w:val="center"/>
              <w:rPr>
                <w:bCs w:val="0"/>
                <w:sz w:val="22"/>
                <w:szCs w:val="22"/>
              </w:rPr>
            </w:pPr>
            <w:r>
              <w:rPr>
                <w:bCs w:val="0"/>
                <w:sz w:val="22"/>
                <w:szCs w:val="22"/>
              </w:rPr>
              <w:t>II</w:t>
            </w:r>
          </w:p>
        </w:tc>
        <w:tc>
          <w:tcPr>
            <w:tcW w:w="1093" w:type="dxa"/>
          </w:tcPr>
          <w:p w14:paraId="5A5775C1" w14:textId="77777777" w:rsidR="001C08A5" w:rsidRDefault="00000000">
            <w:pPr>
              <w:jc w:val="center"/>
              <w:rPr>
                <w:b/>
                <w:i/>
                <w:sz w:val="22"/>
                <w:szCs w:val="22"/>
              </w:rPr>
            </w:pPr>
            <w:r>
              <w:rPr>
                <w:b/>
                <w:i/>
                <w:sz w:val="22"/>
                <w:szCs w:val="22"/>
              </w:rPr>
              <w:t xml:space="preserve">EI/REI 90 </w:t>
            </w:r>
          </w:p>
        </w:tc>
        <w:tc>
          <w:tcPr>
            <w:tcW w:w="1288" w:type="dxa"/>
          </w:tcPr>
          <w:p w14:paraId="684D5E54"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2597" w:type="dxa"/>
            <w:vMerge/>
          </w:tcPr>
          <w:p w14:paraId="7B28A7F6" w14:textId="77777777" w:rsidR="001C08A5" w:rsidRDefault="001C08A5">
            <w:pPr>
              <w:jc w:val="center"/>
              <w:rPr>
                <w:b/>
                <w:i/>
                <w:sz w:val="22"/>
                <w:szCs w:val="22"/>
              </w:rPr>
            </w:pPr>
          </w:p>
        </w:tc>
        <w:tc>
          <w:tcPr>
            <w:tcW w:w="1719" w:type="dxa"/>
          </w:tcPr>
          <w:p w14:paraId="61C0745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tcPr>
          <w:p w14:paraId="2F3BFDB5" w14:textId="77777777" w:rsidR="001C08A5" w:rsidRDefault="00000000">
            <w:pPr>
              <w:jc w:val="center"/>
              <w:rPr>
                <w:b/>
                <w:bCs/>
                <w:i/>
                <w:sz w:val="22"/>
                <w:szCs w:val="22"/>
              </w:rPr>
            </w:pPr>
            <w:r>
              <w:rPr>
                <w:b/>
                <w:bCs/>
                <w:i/>
                <w:sz w:val="22"/>
                <w:szCs w:val="22"/>
              </w:rPr>
              <w:t>E 30 - C5 Sa</w:t>
            </w:r>
          </w:p>
          <w:p w14:paraId="2B80C2E6" w14:textId="77777777" w:rsidR="001C08A5" w:rsidRDefault="001C08A5">
            <w:pPr>
              <w:jc w:val="both"/>
              <w:rPr>
                <w:b/>
                <w:bCs/>
                <w:i/>
                <w:sz w:val="22"/>
                <w:szCs w:val="22"/>
              </w:rPr>
            </w:pPr>
          </w:p>
        </w:tc>
      </w:tr>
      <w:tr w:rsidR="001C08A5" w14:paraId="01569EB5" w14:textId="77777777">
        <w:tc>
          <w:tcPr>
            <w:tcW w:w="1262" w:type="dxa"/>
          </w:tcPr>
          <w:p w14:paraId="765FB677" w14:textId="77777777" w:rsidR="001C08A5" w:rsidRDefault="00000000">
            <w:pPr>
              <w:pStyle w:val="BodyText"/>
              <w:jc w:val="center"/>
              <w:rPr>
                <w:bCs w:val="0"/>
                <w:sz w:val="22"/>
                <w:szCs w:val="22"/>
              </w:rPr>
            </w:pPr>
            <w:r>
              <w:rPr>
                <w:bCs w:val="0"/>
                <w:sz w:val="22"/>
                <w:szCs w:val="22"/>
              </w:rPr>
              <w:t>II (+)</w:t>
            </w:r>
          </w:p>
        </w:tc>
        <w:tc>
          <w:tcPr>
            <w:tcW w:w="1093" w:type="dxa"/>
          </w:tcPr>
          <w:p w14:paraId="50E7E2CC" w14:textId="77777777" w:rsidR="001C08A5" w:rsidRDefault="00000000">
            <w:pPr>
              <w:jc w:val="center"/>
              <w:rPr>
                <w:b/>
                <w:i/>
                <w:sz w:val="22"/>
                <w:szCs w:val="22"/>
              </w:rPr>
            </w:pPr>
            <w:r>
              <w:rPr>
                <w:b/>
                <w:i/>
                <w:sz w:val="22"/>
                <w:szCs w:val="22"/>
              </w:rPr>
              <w:t>EI/REI 60</w:t>
            </w:r>
          </w:p>
        </w:tc>
        <w:tc>
          <w:tcPr>
            <w:tcW w:w="1288" w:type="dxa"/>
          </w:tcPr>
          <w:p w14:paraId="6AF497C7"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2597" w:type="dxa"/>
            <w:vMerge/>
          </w:tcPr>
          <w:p w14:paraId="446FAE2B" w14:textId="77777777" w:rsidR="001C08A5" w:rsidRDefault="001C08A5">
            <w:pPr>
              <w:jc w:val="center"/>
              <w:rPr>
                <w:b/>
                <w:i/>
                <w:sz w:val="22"/>
                <w:szCs w:val="22"/>
              </w:rPr>
            </w:pPr>
          </w:p>
        </w:tc>
        <w:tc>
          <w:tcPr>
            <w:tcW w:w="1719" w:type="dxa"/>
          </w:tcPr>
          <w:p w14:paraId="0B7991A6"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39" w:type="dxa"/>
          </w:tcPr>
          <w:p w14:paraId="51D5419B" w14:textId="77777777" w:rsidR="001C08A5" w:rsidRDefault="00000000">
            <w:pPr>
              <w:jc w:val="center"/>
              <w:rPr>
                <w:b/>
                <w:bCs/>
                <w:i/>
                <w:sz w:val="22"/>
                <w:szCs w:val="22"/>
              </w:rPr>
            </w:pPr>
            <w:r>
              <w:rPr>
                <w:b/>
                <w:bCs/>
                <w:i/>
                <w:sz w:val="22"/>
                <w:szCs w:val="22"/>
              </w:rPr>
              <w:t>E 30 - C5 Sa</w:t>
            </w:r>
          </w:p>
          <w:p w14:paraId="7D42A8E7" w14:textId="77777777" w:rsidR="001C08A5" w:rsidRDefault="001C08A5">
            <w:pPr>
              <w:jc w:val="both"/>
              <w:rPr>
                <w:b/>
                <w:bCs/>
                <w:i/>
                <w:sz w:val="22"/>
                <w:szCs w:val="22"/>
              </w:rPr>
            </w:pPr>
          </w:p>
        </w:tc>
      </w:tr>
      <w:tr w:rsidR="001C08A5" w14:paraId="0511C788" w14:textId="77777777">
        <w:tc>
          <w:tcPr>
            <w:tcW w:w="1262" w:type="dxa"/>
          </w:tcPr>
          <w:p w14:paraId="731331BC" w14:textId="77777777" w:rsidR="001C08A5" w:rsidRDefault="00000000">
            <w:pPr>
              <w:pStyle w:val="BodyText"/>
              <w:jc w:val="center"/>
              <w:rPr>
                <w:bCs w:val="0"/>
                <w:sz w:val="22"/>
                <w:szCs w:val="22"/>
              </w:rPr>
            </w:pPr>
            <w:r>
              <w:rPr>
                <w:bCs w:val="0"/>
                <w:sz w:val="22"/>
                <w:szCs w:val="22"/>
              </w:rPr>
              <w:t>III</w:t>
            </w:r>
          </w:p>
        </w:tc>
        <w:tc>
          <w:tcPr>
            <w:tcW w:w="1093" w:type="dxa"/>
          </w:tcPr>
          <w:p w14:paraId="4267EB0A" w14:textId="77777777" w:rsidR="001C08A5" w:rsidRDefault="00000000">
            <w:pPr>
              <w:jc w:val="center"/>
              <w:rPr>
                <w:b/>
                <w:i/>
                <w:sz w:val="22"/>
                <w:szCs w:val="22"/>
              </w:rPr>
            </w:pPr>
            <w:r>
              <w:rPr>
                <w:b/>
                <w:i/>
                <w:sz w:val="22"/>
                <w:szCs w:val="22"/>
              </w:rPr>
              <w:t xml:space="preserve">EI/REI 60 </w:t>
            </w:r>
          </w:p>
        </w:tc>
        <w:tc>
          <w:tcPr>
            <w:tcW w:w="1288" w:type="dxa"/>
          </w:tcPr>
          <w:p w14:paraId="27B0B9AC"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2597" w:type="dxa"/>
            <w:vMerge/>
          </w:tcPr>
          <w:p w14:paraId="41CFC98F" w14:textId="77777777" w:rsidR="001C08A5" w:rsidRDefault="001C08A5">
            <w:pPr>
              <w:jc w:val="center"/>
              <w:rPr>
                <w:b/>
                <w:i/>
                <w:sz w:val="22"/>
                <w:szCs w:val="22"/>
              </w:rPr>
            </w:pPr>
          </w:p>
        </w:tc>
        <w:tc>
          <w:tcPr>
            <w:tcW w:w="1719" w:type="dxa"/>
          </w:tcPr>
          <w:p w14:paraId="5B745721"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539" w:type="dxa"/>
          </w:tcPr>
          <w:p w14:paraId="193F6136" w14:textId="77777777" w:rsidR="001C08A5" w:rsidRDefault="00000000">
            <w:pPr>
              <w:jc w:val="center"/>
              <w:rPr>
                <w:b/>
                <w:bCs/>
                <w:i/>
                <w:sz w:val="22"/>
                <w:szCs w:val="22"/>
              </w:rPr>
            </w:pPr>
            <w:r>
              <w:rPr>
                <w:b/>
                <w:bCs/>
                <w:i/>
                <w:sz w:val="22"/>
                <w:szCs w:val="22"/>
              </w:rPr>
              <w:t>E 15 - C5 Sa</w:t>
            </w:r>
          </w:p>
          <w:p w14:paraId="2F810E63" w14:textId="77777777" w:rsidR="001C08A5" w:rsidRDefault="001C08A5">
            <w:pPr>
              <w:jc w:val="both"/>
              <w:rPr>
                <w:b/>
                <w:bCs/>
                <w:i/>
                <w:sz w:val="22"/>
                <w:szCs w:val="22"/>
              </w:rPr>
            </w:pPr>
          </w:p>
        </w:tc>
      </w:tr>
      <w:tr w:rsidR="001C08A5" w14:paraId="672A927A" w14:textId="77777777">
        <w:tc>
          <w:tcPr>
            <w:tcW w:w="1262" w:type="dxa"/>
          </w:tcPr>
          <w:p w14:paraId="16205E89" w14:textId="77777777" w:rsidR="001C08A5" w:rsidRDefault="00000000">
            <w:pPr>
              <w:pStyle w:val="BodyText"/>
              <w:jc w:val="center"/>
              <w:rPr>
                <w:bCs w:val="0"/>
                <w:sz w:val="22"/>
                <w:szCs w:val="22"/>
              </w:rPr>
            </w:pPr>
            <w:r>
              <w:rPr>
                <w:bCs w:val="0"/>
                <w:sz w:val="22"/>
                <w:szCs w:val="22"/>
              </w:rPr>
              <w:t>III (+)</w:t>
            </w:r>
          </w:p>
        </w:tc>
        <w:tc>
          <w:tcPr>
            <w:tcW w:w="1093" w:type="dxa"/>
          </w:tcPr>
          <w:p w14:paraId="72D77519" w14:textId="77777777" w:rsidR="001C08A5" w:rsidRDefault="00000000">
            <w:pPr>
              <w:jc w:val="center"/>
              <w:rPr>
                <w:b/>
                <w:i/>
                <w:sz w:val="22"/>
                <w:szCs w:val="22"/>
              </w:rPr>
            </w:pPr>
            <w:r>
              <w:rPr>
                <w:b/>
                <w:i/>
                <w:sz w:val="22"/>
                <w:szCs w:val="22"/>
              </w:rPr>
              <w:t xml:space="preserve">EI/REI 45 </w:t>
            </w:r>
          </w:p>
        </w:tc>
        <w:tc>
          <w:tcPr>
            <w:tcW w:w="1288" w:type="dxa"/>
          </w:tcPr>
          <w:p w14:paraId="4EB43D49"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2597" w:type="dxa"/>
            <w:vMerge/>
          </w:tcPr>
          <w:p w14:paraId="73A00770" w14:textId="77777777" w:rsidR="001C08A5" w:rsidRDefault="001C08A5">
            <w:pPr>
              <w:jc w:val="center"/>
              <w:rPr>
                <w:b/>
                <w:i/>
                <w:sz w:val="22"/>
                <w:szCs w:val="22"/>
              </w:rPr>
            </w:pPr>
          </w:p>
        </w:tc>
        <w:tc>
          <w:tcPr>
            <w:tcW w:w="1719" w:type="dxa"/>
          </w:tcPr>
          <w:p w14:paraId="5D4A3F6F" w14:textId="77777777" w:rsidR="001C08A5" w:rsidRDefault="00000000">
            <w:pPr>
              <w:jc w:val="center"/>
              <w:rPr>
                <w:i/>
                <w:sz w:val="22"/>
                <w:szCs w:val="22"/>
              </w:rPr>
            </w:pPr>
            <w:r>
              <w:rPr>
                <w:b/>
                <w:i/>
                <w:sz w:val="22"/>
                <w:szCs w:val="22"/>
              </w:rPr>
              <w:t xml:space="preserve"> A1 </w:t>
            </w:r>
            <w:r>
              <w:rPr>
                <w:i/>
                <w:sz w:val="22"/>
                <w:szCs w:val="22"/>
              </w:rPr>
              <w:t>sau</w:t>
            </w:r>
            <w:r>
              <w:rPr>
                <w:b/>
                <w:i/>
                <w:sz w:val="22"/>
                <w:szCs w:val="22"/>
              </w:rPr>
              <w:t xml:space="preserve"> A2-s1d0</w:t>
            </w:r>
          </w:p>
        </w:tc>
        <w:tc>
          <w:tcPr>
            <w:tcW w:w="1539" w:type="dxa"/>
          </w:tcPr>
          <w:p w14:paraId="047066F6" w14:textId="77777777" w:rsidR="001C08A5" w:rsidRDefault="00000000">
            <w:pPr>
              <w:jc w:val="center"/>
              <w:rPr>
                <w:b/>
                <w:bCs/>
                <w:i/>
                <w:sz w:val="22"/>
                <w:szCs w:val="22"/>
              </w:rPr>
            </w:pPr>
            <w:r>
              <w:rPr>
                <w:b/>
                <w:bCs/>
                <w:i/>
                <w:sz w:val="22"/>
                <w:szCs w:val="22"/>
              </w:rPr>
              <w:t>E 15 - C5 Sa</w:t>
            </w:r>
          </w:p>
        </w:tc>
      </w:tr>
    </w:tbl>
    <w:p w14:paraId="67424B7A" w14:textId="77777777" w:rsidR="001C08A5" w:rsidRDefault="00000000">
      <w:pPr>
        <w:jc w:val="both"/>
        <w:rPr>
          <w:i/>
          <w:sz w:val="22"/>
          <w:szCs w:val="22"/>
        </w:rPr>
      </w:pPr>
      <w:r>
        <w:rPr>
          <w:i/>
          <w:sz w:val="22"/>
          <w:szCs w:val="22"/>
        </w:rPr>
        <w:t>Note:</w:t>
      </w:r>
    </w:p>
    <w:p w14:paraId="75567C81"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11F3645E"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415E153C" w14:textId="77777777" w:rsidR="001C08A5" w:rsidRDefault="001C08A5">
      <w:pPr>
        <w:jc w:val="both"/>
        <w:rPr>
          <w:sz w:val="24"/>
          <w:szCs w:val="24"/>
        </w:rPr>
      </w:pPr>
    </w:p>
    <w:p w14:paraId="51616348" w14:textId="77777777" w:rsidR="001C08A5" w:rsidRDefault="00000000">
      <w:pPr>
        <w:jc w:val="both"/>
        <w:rPr>
          <w:sz w:val="24"/>
          <w:szCs w:val="24"/>
        </w:rPr>
      </w:pPr>
      <w:r>
        <w:rPr>
          <w:b/>
          <w:sz w:val="24"/>
          <w:szCs w:val="24"/>
        </w:rPr>
        <w:tab/>
        <w:t xml:space="preserve">Art. 4.3.5.7. </w:t>
      </w:r>
      <w:r>
        <w:rPr>
          <w:sz w:val="24"/>
          <w:szCs w:val="24"/>
        </w:rPr>
        <w:t xml:space="preserve">Comportarea la foc a pereţilor, uşilor și planşeelor de separare a căilor de evacuare orizontale, holuri, din clădirile cu săli aglomerate de tip </w:t>
      </w:r>
      <w:r>
        <w:rPr>
          <w:b/>
          <w:sz w:val="24"/>
          <w:szCs w:val="24"/>
        </w:rPr>
        <w:t>S2</w:t>
      </w:r>
      <w:r>
        <w:rPr>
          <w:sz w:val="24"/>
          <w:szCs w:val="24"/>
        </w:rPr>
        <w:t xml:space="preserve"> supraterane cu înălţimi obişnuite, trebuie să corespundă prevederilor din </w:t>
      </w:r>
      <w:r>
        <w:rPr>
          <w:b/>
          <w:bCs/>
          <w:i/>
          <w:iCs/>
          <w:sz w:val="24"/>
          <w:szCs w:val="24"/>
        </w:rPr>
        <w:fldChar w:fldCharType="begin"/>
      </w:r>
      <w:r>
        <w:rPr>
          <w:b/>
          <w:bCs/>
          <w:i/>
          <w:iCs/>
          <w:sz w:val="24"/>
          <w:szCs w:val="24"/>
        </w:rPr>
        <w:instrText xml:space="preserve"> REF _Ref25977 \h </w:instrText>
      </w:r>
      <w:r>
        <w:rPr>
          <w:b/>
          <w:bCs/>
          <w:i/>
          <w:iCs/>
          <w:sz w:val="24"/>
          <w:szCs w:val="24"/>
        </w:rPr>
      </w:r>
      <w:r>
        <w:rPr>
          <w:b/>
          <w:bCs/>
          <w:i/>
          <w:iCs/>
          <w:sz w:val="24"/>
          <w:szCs w:val="24"/>
        </w:rPr>
        <w:fldChar w:fldCharType="separate"/>
      </w:r>
      <w:r>
        <w:t>Tabelul 108</w:t>
      </w:r>
      <w:r>
        <w:rPr>
          <w:b/>
          <w:bCs/>
          <w:i/>
          <w:iCs/>
          <w:sz w:val="24"/>
          <w:szCs w:val="24"/>
        </w:rPr>
        <w:fldChar w:fldCharType="end"/>
      </w:r>
      <w:r>
        <w:rPr>
          <w:sz w:val="24"/>
          <w:szCs w:val="24"/>
        </w:rPr>
        <w:t>.</w:t>
      </w:r>
    </w:p>
    <w:p w14:paraId="202A9BBF" w14:textId="77777777" w:rsidR="001C08A5" w:rsidRDefault="001C08A5">
      <w:pPr>
        <w:jc w:val="both"/>
        <w:rPr>
          <w:sz w:val="24"/>
          <w:szCs w:val="24"/>
        </w:rPr>
      </w:pPr>
    </w:p>
    <w:p w14:paraId="1DA5B905" w14:textId="77777777" w:rsidR="001C08A5" w:rsidRDefault="00000000">
      <w:pPr>
        <w:pStyle w:val="Captiontabel"/>
      </w:pPr>
      <w:bookmarkStart w:id="4859" w:name="_Ref25977"/>
      <w:bookmarkStart w:id="4860" w:name="_Toc162360158"/>
      <w:r>
        <w:t xml:space="preserve">Tabelul </w:t>
      </w:r>
      <w:r>
        <w:fldChar w:fldCharType="begin"/>
      </w:r>
      <w:r>
        <w:instrText xml:space="preserve"> SEQ Tabelul \* ARABIC </w:instrText>
      </w:r>
      <w:r>
        <w:fldChar w:fldCharType="separate"/>
      </w:r>
      <w:r>
        <w:t>108</w:t>
      </w:r>
      <w:r>
        <w:fldChar w:fldCharType="end"/>
      </w:r>
      <w:bookmarkStart w:id="4861" w:name="_Toc1946"/>
      <w:bookmarkStart w:id="4862" w:name="_Toc13623"/>
      <w:bookmarkStart w:id="4863" w:name="_Toc25477"/>
      <w:bookmarkStart w:id="4864" w:name="_Toc783"/>
      <w:bookmarkStart w:id="4865" w:name="_Toc32423"/>
      <w:bookmarkStart w:id="4866" w:name="_Toc12665"/>
      <w:bookmarkStart w:id="4867" w:name="_Toc5555"/>
      <w:bookmarkStart w:id="4868" w:name="_Toc25556"/>
      <w:bookmarkStart w:id="4869" w:name="_Toc32092"/>
      <w:bookmarkStart w:id="4870" w:name="_Toc7453"/>
      <w:bookmarkStart w:id="4871" w:name="_Toc29874"/>
      <w:bookmarkStart w:id="4872" w:name="_Toc17313"/>
      <w:bookmarkStart w:id="4873" w:name="_Toc19958"/>
      <w:bookmarkStart w:id="4874" w:name="_Toc27806"/>
      <w:bookmarkStart w:id="4875" w:name="_Toc12193"/>
      <w:bookmarkStart w:id="4876" w:name="_Toc13046"/>
      <w:bookmarkStart w:id="4877" w:name="_Toc27297"/>
      <w:bookmarkStart w:id="4878" w:name="_Toc12564"/>
      <w:bookmarkStart w:id="4879" w:name="_Toc15616"/>
      <w:bookmarkEnd w:id="4859"/>
      <w:r>
        <w:t>: Comportare la foc a pereţilor, uşilor și planşeelor de separare a căilor de evacuare orizontale, holuri, din clădirile cu săli aglomerate de tip S2 supraterane cu înălţimi obişnuite</w:t>
      </w:r>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p>
    <w:p w14:paraId="79B7A4FE" w14:textId="77777777" w:rsidR="001C08A5" w:rsidRDefault="001C08A5">
      <w:pPr>
        <w:jc w:val="both"/>
        <w:rPr>
          <w:b/>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2"/>
        <w:gridCol w:w="1243"/>
        <w:gridCol w:w="1088"/>
        <w:gridCol w:w="2647"/>
        <w:gridCol w:w="1719"/>
        <w:gridCol w:w="1539"/>
      </w:tblGrid>
      <w:tr w:rsidR="001C08A5" w14:paraId="6EF8F6F5" w14:textId="77777777">
        <w:trPr>
          <w:tblHeader/>
        </w:trPr>
        <w:tc>
          <w:tcPr>
            <w:tcW w:w="1262" w:type="dxa"/>
            <w:vMerge w:val="restart"/>
            <w:shd w:val="clear" w:color="auto" w:fill="BFBFBF"/>
            <w:vAlign w:val="center"/>
          </w:tcPr>
          <w:p w14:paraId="15419C9C" w14:textId="77777777" w:rsidR="001C08A5" w:rsidRDefault="001C08A5">
            <w:pPr>
              <w:pStyle w:val="BodyText"/>
              <w:jc w:val="center"/>
              <w:rPr>
                <w:bCs w:val="0"/>
                <w:sz w:val="22"/>
                <w:szCs w:val="22"/>
              </w:rPr>
            </w:pPr>
          </w:p>
          <w:p w14:paraId="1121DBB9" w14:textId="77777777" w:rsidR="001C08A5" w:rsidRDefault="00000000">
            <w:pPr>
              <w:pStyle w:val="BodyText"/>
              <w:jc w:val="center"/>
              <w:rPr>
                <w:bCs w:val="0"/>
                <w:sz w:val="22"/>
                <w:szCs w:val="22"/>
              </w:rPr>
            </w:pPr>
            <w:r>
              <w:rPr>
                <w:bCs w:val="0"/>
                <w:sz w:val="22"/>
                <w:szCs w:val="22"/>
              </w:rPr>
              <w:t>Nivel de stabilitate</w:t>
            </w:r>
          </w:p>
          <w:p w14:paraId="5AF713E2" w14:textId="77777777" w:rsidR="001C08A5" w:rsidRDefault="00000000">
            <w:pPr>
              <w:jc w:val="center"/>
              <w:rPr>
                <w:i/>
                <w:sz w:val="22"/>
                <w:szCs w:val="22"/>
              </w:rPr>
            </w:pPr>
            <w:r>
              <w:rPr>
                <w:b/>
                <w:bCs/>
                <w:i/>
                <w:sz w:val="22"/>
                <w:szCs w:val="22"/>
              </w:rPr>
              <w:t>la incendiu</w:t>
            </w:r>
          </w:p>
        </w:tc>
        <w:tc>
          <w:tcPr>
            <w:tcW w:w="8236" w:type="dxa"/>
            <w:gridSpan w:val="5"/>
            <w:shd w:val="clear" w:color="auto" w:fill="BFBFBF"/>
            <w:vAlign w:val="center"/>
          </w:tcPr>
          <w:p w14:paraId="53C2B079" w14:textId="77777777" w:rsidR="001C08A5" w:rsidRDefault="00000000">
            <w:pPr>
              <w:jc w:val="center"/>
              <w:rPr>
                <w:b/>
                <w:bCs/>
                <w:i/>
                <w:sz w:val="22"/>
                <w:szCs w:val="22"/>
              </w:rPr>
            </w:pPr>
            <w:r>
              <w:rPr>
                <w:b/>
                <w:bCs/>
                <w:i/>
                <w:sz w:val="22"/>
                <w:szCs w:val="22"/>
              </w:rPr>
              <w:t>Niveluri de comportare la foc admise la holuri</w:t>
            </w:r>
          </w:p>
        </w:tc>
      </w:tr>
      <w:tr w:rsidR="001C08A5" w14:paraId="7C687D8C" w14:textId="77777777">
        <w:trPr>
          <w:tblHeader/>
        </w:trPr>
        <w:tc>
          <w:tcPr>
            <w:tcW w:w="1262" w:type="dxa"/>
            <w:vMerge/>
            <w:shd w:val="clear" w:color="auto" w:fill="BFBFBF"/>
            <w:vAlign w:val="center"/>
          </w:tcPr>
          <w:p w14:paraId="60270F83" w14:textId="77777777" w:rsidR="001C08A5" w:rsidRDefault="001C08A5">
            <w:pPr>
              <w:jc w:val="center"/>
              <w:rPr>
                <w:i/>
                <w:sz w:val="22"/>
                <w:szCs w:val="22"/>
              </w:rPr>
            </w:pPr>
          </w:p>
        </w:tc>
        <w:tc>
          <w:tcPr>
            <w:tcW w:w="2331" w:type="dxa"/>
            <w:gridSpan w:val="2"/>
            <w:shd w:val="clear" w:color="auto" w:fill="BFBFBF"/>
            <w:vAlign w:val="center"/>
          </w:tcPr>
          <w:p w14:paraId="558AEDD4" w14:textId="77777777" w:rsidR="001C08A5" w:rsidRDefault="001C08A5">
            <w:pPr>
              <w:jc w:val="center"/>
              <w:rPr>
                <w:b/>
                <w:bCs/>
                <w:i/>
                <w:sz w:val="22"/>
                <w:szCs w:val="22"/>
              </w:rPr>
            </w:pPr>
          </w:p>
          <w:p w14:paraId="4DD2C4AB" w14:textId="77777777" w:rsidR="001C08A5" w:rsidRDefault="00000000">
            <w:pPr>
              <w:jc w:val="center"/>
              <w:rPr>
                <w:i/>
                <w:sz w:val="22"/>
                <w:szCs w:val="22"/>
              </w:rPr>
            </w:pPr>
            <w:r>
              <w:rPr>
                <w:b/>
                <w:bCs/>
                <w:i/>
                <w:sz w:val="22"/>
                <w:szCs w:val="22"/>
              </w:rPr>
              <w:t>Pereţi</w:t>
            </w:r>
          </w:p>
        </w:tc>
        <w:tc>
          <w:tcPr>
            <w:tcW w:w="4366" w:type="dxa"/>
            <w:gridSpan w:val="2"/>
            <w:shd w:val="clear" w:color="auto" w:fill="BFBFBF"/>
            <w:vAlign w:val="center"/>
          </w:tcPr>
          <w:p w14:paraId="29CFA81E" w14:textId="77777777" w:rsidR="001C08A5" w:rsidRDefault="00000000">
            <w:pPr>
              <w:jc w:val="center"/>
              <w:rPr>
                <w:i/>
                <w:sz w:val="22"/>
                <w:szCs w:val="22"/>
              </w:rPr>
            </w:pPr>
            <w:r>
              <w:rPr>
                <w:b/>
                <w:bCs/>
                <w:i/>
                <w:sz w:val="22"/>
                <w:szCs w:val="22"/>
              </w:rPr>
              <w:t xml:space="preserve">Planşee </w:t>
            </w:r>
            <w:r>
              <w:rPr>
                <w:bCs/>
                <w:i/>
                <w:sz w:val="22"/>
                <w:szCs w:val="22"/>
              </w:rPr>
              <w:t>(</w:t>
            </w:r>
            <w:r>
              <w:rPr>
                <w:i/>
                <w:sz w:val="22"/>
                <w:szCs w:val="22"/>
              </w:rPr>
              <w:t xml:space="preserve">care separă </w:t>
            </w:r>
            <w:r>
              <w:rPr>
                <w:bCs/>
                <w:i/>
                <w:sz w:val="22"/>
                <w:szCs w:val="22"/>
              </w:rPr>
              <w:t xml:space="preserve">holurile </w:t>
            </w:r>
            <w:r>
              <w:rPr>
                <w:i/>
                <w:sz w:val="22"/>
                <w:szCs w:val="22"/>
              </w:rPr>
              <w:t>faţă de restul construcţiei</w:t>
            </w:r>
            <w:r>
              <w:rPr>
                <w:bCs/>
                <w:i/>
                <w:sz w:val="22"/>
                <w:szCs w:val="22"/>
              </w:rPr>
              <w:t xml:space="preserve">, inclusiv </w:t>
            </w:r>
            <w:r>
              <w:rPr>
                <w:i/>
                <w:sz w:val="22"/>
                <w:szCs w:val="22"/>
              </w:rPr>
              <w:t>căile lor de ieşire în exterior la nivelul terenului sau al carosabilului adiacent</w:t>
            </w:r>
            <w:r>
              <w:rPr>
                <w:bCs/>
                <w:i/>
                <w:sz w:val="22"/>
                <w:szCs w:val="22"/>
              </w:rPr>
              <w:t>)</w:t>
            </w:r>
          </w:p>
        </w:tc>
        <w:tc>
          <w:tcPr>
            <w:tcW w:w="1539" w:type="dxa"/>
            <w:shd w:val="clear" w:color="auto" w:fill="BFBFBF"/>
            <w:vAlign w:val="center"/>
          </w:tcPr>
          <w:p w14:paraId="1E715221" w14:textId="77777777" w:rsidR="001C08A5" w:rsidRDefault="00000000">
            <w:pPr>
              <w:jc w:val="center"/>
              <w:rPr>
                <w:i/>
                <w:sz w:val="22"/>
                <w:szCs w:val="22"/>
              </w:rPr>
            </w:pPr>
            <w:r>
              <w:rPr>
                <w:b/>
                <w:bCs/>
                <w:i/>
                <w:sz w:val="22"/>
                <w:szCs w:val="22"/>
              </w:rPr>
              <w:t xml:space="preserve">Uşi </w:t>
            </w:r>
            <w:r>
              <w:rPr>
                <w:bCs/>
                <w:i/>
                <w:sz w:val="22"/>
                <w:szCs w:val="22"/>
              </w:rPr>
              <w:t>(cu excepţia celor către case de scări închise şi către sălile aglomerate)</w:t>
            </w:r>
          </w:p>
        </w:tc>
      </w:tr>
      <w:tr w:rsidR="001C08A5" w14:paraId="3F5E2065" w14:textId="77777777">
        <w:tc>
          <w:tcPr>
            <w:tcW w:w="1262" w:type="dxa"/>
            <w:vAlign w:val="center"/>
          </w:tcPr>
          <w:p w14:paraId="4FA56197" w14:textId="77777777" w:rsidR="001C08A5" w:rsidRDefault="00000000">
            <w:pPr>
              <w:pStyle w:val="BodyText"/>
              <w:jc w:val="center"/>
              <w:rPr>
                <w:bCs w:val="0"/>
                <w:sz w:val="22"/>
                <w:szCs w:val="22"/>
              </w:rPr>
            </w:pPr>
            <w:r>
              <w:rPr>
                <w:bCs w:val="0"/>
                <w:sz w:val="22"/>
                <w:szCs w:val="22"/>
              </w:rPr>
              <w:t>I</w:t>
            </w:r>
          </w:p>
          <w:p w14:paraId="169DAFE8" w14:textId="77777777" w:rsidR="001C08A5" w:rsidRDefault="00000000">
            <w:pPr>
              <w:pStyle w:val="BodyText"/>
              <w:jc w:val="center"/>
              <w:rPr>
                <w:bCs w:val="0"/>
                <w:sz w:val="22"/>
                <w:szCs w:val="22"/>
              </w:rPr>
            </w:pPr>
            <w:r>
              <w:rPr>
                <w:sz w:val="22"/>
                <w:szCs w:val="22"/>
              </w:rPr>
              <w:t>h&lt;28m</w:t>
            </w:r>
          </w:p>
        </w:tc>
        <w:tc>
          <w:tcPr>
            <w:tcW w:w="1243" w:type="dxa"/>
            <w:vAlign w:val="center"/>
          </w:tcPr>
          <w:p w14:paraId="3A7206C9" w14:textId="77777777" w:rsidR="001C08A5" w:rsidRDefault="00000000">
            <w:pPr>
              <w:jc w:val="center"/>
              <w:rPr>
                <w:b/>
                <w:i/>
                <w:sz w:val="22"/>
                <w:szCs w:val="22"/>
              </w:rPr>
            </w:pPr>
            <w:r>
              <w:rPr>
                <w:b/>
                <w:i/>
                <w:sz w:val="22"/>
                <w:szCs w:val="22"/>
              </w:rPr>
              <w:t>EI/REI 120</w:t>
            </w:r>
          </w:p>
        </w:tc>
        <w:tc>
          <w:tcPr>
            <w:tcW w:w="1088" w:type="dxa"/>
            <w:vAlign w:val="center"/>
          </w:tcPr>
          <w:p w14:paraId="437B2D01"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2647" w:type="dxa"/>
            <w:vMerge w:val="restart"/>
            <w:textDirection w:val="lrTbV"/>
            <w:vAlign w:val="center"/>
          </w:tcPr>
          <w:p w14:paraId="677A4CFD" w14:textId="77777777" w:rsidR="001C08A5" w:rsidRDefault="00000000">
            <w:pPr>
              <w:jc w:val="center"/>
              <w:rPr>
                <w:b/>
                <w:i/>
                <w:sz w:val="22"/>
                <w:szCs w:val="22"/>
              </w:rPr>
            </w:pPr>
            <w:r>
              <w:rPr>
                <w:bCs/>
                <w:i/>
                <w:sz w:val="22"/>
                <w:szCs w:val="22"/>
              </w:rPr>
              <w:t>Conform prevederi din</w:t>
            </w:r>
          </w:p>
          <w:p w14:paraId="59E866A4" w14:textId="77777777" w:rsidR="001C08A5" w:rsidRDefault="00000000">
            <w:pPr>
              <w:jc w:val="center"/>
              <w:rPr>
                <w:i/>
                <w:sz w:val="22"/>
                <w:szCs w:val="22"/>
              </w:rPr>
            </w:pPr>
            <w:r>
              <w:rPr>
                <w:rStyle w:val="BodyTextChar"/>
                <w:iCs/>
                <w:sz w:val="22"/>
                <w:szCs w:val="22"/>
              </w:rPr>
              <w:fldChar w:fldCharType="begin"/>
            </w:r>
            <w:r>
              <w:rPr>
                <w:rStyle w:val="BodyTextChar"/>
                <w:iCs/>
                <w:sz w:val="22"/>
                <w:szCs w:val="22"/>
              </w:rPr>
              <w:instrText xml:space="preserve"> REF _Ref26473 \h </w:instrText>
            </w:r>
            <w:r>
              <w:rPr>
                <w:rStyle w:val="BodyTextChar"/>
                <w:iCs/>
                <w:sz w:val="22"/>
                <w:szCs w:val="22"/>
              </w:rPr>
            </w:r>
            <w:r>
              <w:rPr>
                <w:rStyle w:val="BodyTextChar"/>
                <w:iCs/>
                <w:sz w:val="22"/>
                <w:szCs w:val="22"/>
              </w:rPr>
              <w:fldChar w:fldCharType="separate"/>
            </w:r>
            <w:r>
              <w:t>Tabelul 2</w:t>
            </w:r>
            <w:r>
              <w:rPr>
                <w:rStyle w:val="BodyTextChar"/>
                <w:iCs/>
                <w:sz w:val="22"/>
                <w:szCs w:val="22"/>
              </w:rPr>
              <w:fldChar w:fldCharType="end"/>
            </w:r>
            <w:r>
              <w:rPr>
                <w:rStyle w:val="BodyTextChar"/>
                <w:sz w:val="22"/>
                <w:szCs w:val="22"/>
              </w:rPr>
              <w:t xml:space="preserve"> - pct.3</w:t>
            </w:r>
          </w:p>
          <w:p w14:paraId="43B68E86" w14:textId="77777777" w:rsidR="001C08A5" w:rsidRDefault="00000000">
            <w:pPr>
              <w:jc w:val="center"/>
              <w:rPr>
                <w:b/>
                <w:i/>
                <w:sz w:val="22"/>
                <w:szCs w:val="22"/>
              </w:rPr>
            </w:pPr>
            <w:r>
              <w:rPr>
                <w:i/>
                <w:sz w:val="22"/>
                <w:szCs w:val="22"/>
              </w:rPr>
              <w:t xml:space="preserve">Condiţiile minime de rezistenţă la foc pe care trebuie să le îndeplinească  </w:t>
            </w:r>
            <w:r>
              <w:rPr>
                <w:b/>
                <w:bCs/>
                <w:i/>
                <w:sz w:val="22"/>
                <w:szCs w:val="22"/>
              </w:rPr>
              <w:t>planșeele</w:t>
            </w:r>
            <w:r>
              <w:rPr>
                <w:i/>
                <w:sz w:val="22"/>
                <w:szCs w:val="22"/>
              </w:rPr>
              <w:t xml:space="preserve"> (</w:t>
            </w:r>
            <w:r>
              <w:rPr>
                <w:b/>
                <w:bCs/>
                <w:i/>
                <w:sz w:val="22"/>
                <w:szCs w:val="22"/>
              </w:rPr>
              <w:t>REI</w:t>
            </w:r>
            <w:r>
              <w:rPr>
                <w:i/>
                <w:sz w:val="22"/>
                <w:szCs w:val="22"/>
              </w:rPr>
              <w:t>) pentru încadrarea  în nivelul stabilit de stabilitate la incendiu.</w:t>
            </w:r>
          </w:p>
        </w:tc>
        <w:tc>
          <w:tcPr>
            <w:tcW w:w="1719" w:type="dxa"/>
            <w:vAlign w:val="center"/>
          </w:tcPr>
          <w:p w14:paraId="4D868890"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vAlign w:val="center"/>
          </w:tcPr>
          <w:p w14:paraId="3D31ED01" w14:textId="77777777" w:rsidR="001C08A5" w:rsidRDefault="00000000">
            <w:pPr>
              <w:jc w:val="center"/>
              <w:rPr>
                <w:b/>
                <w:bCs/>
                <w:i/>
                <w:sz w:val="22"/>
                <w:szCs w:val="22"/>
              </w:rPr>
            </w:pPr>
            <w:r>
              <w:rPr>
                <w:b/>
                <w:bCs/>
                <w:i/>
                <w:sz w:val="22"/>
                <w:szCs w:val="22"/>
              </w:rPr>
              <w:t>E  45 - C5 Sa</w:t>
            </w:r>
          </w:p>
        </w:tc>
      </w:tr>
      <w:tr w:rsidR="001C08A5" w14:paraId="5F66AAB8" w14:textId="77777777">
        <w:tc>
          <w:tcPr>
            <w:tcW w:w="1262" w:type="dxa"/>
            <w:vAlign w:val="center"/>
          </w:tcPr>
          <w:p w14:paraId="190DA526" w14:textId="77777777" w:rsidR="001C08A5" w:rsidRDefault="00000000">
            <w:pPr>
              <w:pStyle w:val="BodyText"/>
              <w:jc w:val="center"/>
              <w:rPr>
                <w:bCs w:val="0"/>
                <w:sz w:val="22"/>
                <w:szCs w:val="22"/>
              </w:rPr>
            </w:pPr>
            <w:r>
              <w:rPr>
                <w:bCs w:val="0"/>
                <w:sz w:val="22"/>
                <w:szCs w:val="22"/>
              </w:rPr>
              <w:t>II</w:t>
            </w:r>
          </w:p>
        </w:tc>
        <w:tc>
          <w:tcPr>
            <w:tcW w:w="1243" w:type="dxa"/>
            <w:vAlign w:val="center"/>
          </w:tcPr>
          <w:p w14:paraId="3B857035" w14:textId="77777777" w:rsidR="001C08A5" w:rsidRDefault="00000000">
            <w:pPr>
              <w:jc w:val="center"/>
              <w:rPr>
                <w:b/>
                <w:i/>
                <w:sz w:val="22"/>
                <w:szCs w:val="22"/>
              </w:rPr>
            </w:pPr>
            <w:r>
              <w:rPr>
                <w:b/>
                <w:i/>
                <w:sz w:val="22"/>
                <w:szCs w:val="22"/>
              </w:rPr>
              <w:t>EI/REI 90</w:t>
            </w:r>
          </w:p>
        </w:tc>
        <w:tc>
          <w:tcPr>
            <w:tcW w:w="1088" w:type="dxa"/>
            <w:vAlign w:val="center"/>
          </w:tcPr>
          <w:p w14:paraId="092E6D16"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2647" w:type="dxa"/>
            <w:vMerge/>
            <w:vAlign w:val="center"/>
          </w:tcPr>
          <w:p w14:paraId="551B9193" w14:textId="77777777" w:rsidR="001C08A5" w:rsidRDefault="001C08A5">
            <w:pPr>
              <w:jc w:val="center"/>
              <w:rPr>
                <w:b/>
                <w:i/>
                <w:sz w:val="22"/>
                <w:szCs w:val="22"/>
              </w:rPr>
            </w:pPr>
          </w:p>
        </w:tc>
        <w:tc>
          <w:tcPr>
            <w:tcW w:w="1719" w:type="dxa"/>
            <w:vAlign w:val="center"/>
          </w:tcPr>
          <w:p w14:paraId="1DAC912A" w14:textId="77777777" w:rsidR="001C08A5" w:rsidRDefault="00000000">
            <w:pPr>
              <w:jc w:val="center"/>
              <w:rPr>
                <w:i/>
                <w:sz w:val="22"/>
                <w:szCs w:val="22"/>
              </w:rPr>
            </w:pPr>
            <w:r>
              <w:rPr>
                <w:b/>
                <w:i/>
                <w:sz w:val="22"/>
                <w:szCs w:val="22"/>
              </w:rPr>
              <w:t>A1</w:t>
            </w:r>
            <w:r>
              <w:rPr>
                <w:bCs/>
                <w:i/>
                <w:sz w:val="22"/>
                <w:szCs w:val="22"/>
              </w:rPr>
              <w:t xml:space="preserve"> sau </w:t>
            </w:r>
            <w:r>
              <w:rPr>
                <w:b/>
                <w:i/>
                <w:sz w:val="22"/>
                <w:szCs w:val="22"/>
              </w:rPr>
              <w:t>A2-s1d0</w:t>
            </w:r>
          </w:p>
        </w:tc>
        <w:tc>
          <w:tcPr>
            <w:tcW w:w="1539" w:type="dxa"/>
            <w:vAlign w:val="center"/>
          </w:tcPr>
          <w:p w14:paraId="0049CD28" w14:textId="77777777" w:rsidR="001C08A5" w:rsidRDefault="00000000">
            <w:pPr>
              <w:jc w:val="center"/>
              <w:rPr>
                <w:b/>
                <w:bCs/>
                <w:i/>
                <w:sz w:val="22"/>
                <w:szCs w:val="22"/>
              </w:rPr>
            </w:pPr>
            <w:r>
              <w:rPr>
                <w:b/>
                <w:bCs/>
                <w:i/>
                <w:sz w:val="22"/>
                <w:szCs w:val="22"/>
              </w:rPr>
              <w:t>E 45 - C5 Sa</w:t>
            </w:r>
          </w:p>
          <w:p w14:paraId="2A50234B" w14:textId="77777777" w:rsidR="001C08A5" w:rsidRDefault="001C08A5">
            <w:pPr>
              <w:jc w:val="center"/>
              <w:rPr>
                <w:b/>
                <w:bCs/>
                <w:i/>
                <w:sz w:val="22"/>
                <w:szCs w:val="22"/>
              </w:rPr>
            </w:pPr>
          </w:p>
        </w:tc>
      </w:tr>
      <w:tr w:rsidR="001C08A5" w14:paraId="16C8CFFB" w14:textId="77777777">
        <w:tc>
          <w:tcPr>
            <w:tcW w:w="1262" w:type="dxa"/>
            <w:vAlign w:val="center"/>
          </w:tcPr>
          <w:p w14:paraId="00B03F19" w14:textId="77777777" w:rsidR="001C08A5" w:rsidRDefault="00000000">
            <w:pPr>
              <w:pStyle w:val="BodyText"/>
              <w:jc w:val="center"/>
              <w:rPr>
                <w:bCs w:val="0"/>
                <w:sz w:val="22"/>
                <w:szCs w:val="22"/>
              </w:rPr>
            </w:pPr>
            <w:r>
              <w:rPr>
                <w:bCs w:val="0"/>
                <w:sz w:val="22"/>
                <w:szCs w:val="22"/>
              </w:rPr>
              <w:t>II (+)</w:t>
            </w:r>
          </w:p>
        </w:tc>
        <w:tc>
          <w:tcPr>
            <w:tcW w:w="1243" w:type="dxa"/>
            <w:vAlign w:val="center"/>
          </w:tcPr>
          <w:p w14:paraId="047144ED" w14:textId="77777777" w:rsidR="001C08A5" w:rsidRDefault="00000000">
            <w:pPr>
              <w:jc w:val="center"/>
              <w:rPr>
                <w:b/>
                <w:i/>
                <w:sz w:val="22"/>
                <w:szCs w:val="22"/>
              </w:rPr>
            </w:pPr>
            <w:r>
              <w:rPr>
                <w:b/>
                <w:i/>
                <w:sz w:val="22"/>
                <w:szCs w:val="22"/>
              </w:rPr>
              <w:t>EI/REI 60</w:t>
            </w:r>
          </w:p>
        </w:tc>
        <w:tc>
          <w:tcPr>
            <w:tcW w:w="1088" w:type="dxa"/>
            <w:vAlign w:val="center"/>
          </w:tcPr>
          <w:p w14:paraId="086DFD56"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2647" w:type="dxa"/>
            <w:vMerge/>
            <w:vAlign w:val="center"/>
          </w:tcPr>
          <w:p w14:paraId="7E9C84EB" w14:textId="77777777" w:rsidR="001C08A5" w:rsidRDefault="001C08A5">
            <w:pPr>
              <w:jc w:val="center"/>
              <w:rPr>
                <w:b/>
                <w:i/>
                <w:sz w:val="22"/>
                <w:szCs w:val="22"/>
              </w:rPr>
            </w:pPr>
          </w:p>
        </w:tc>
        <w:tc>
          <w:tcPr>
            <w:tcW w:w="1719" w:type="dxa"/>
            <w:vAlign w:val="center"/>
          </w:tcPr>
          <w:p w14:paraId="55A4208A"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1539" w:type="dxa"/>
            <w:vAlign w:val="center"/>
          </w:tcPr>
          <w:p w14:paraId="14813337" w14:textId="77777777" w:rsidR="001C08A5" w:rsidRDefault="00000000">
            <w:pPr>
              <w:jc w:val="center"/>
              <w:rPr>
                <w:b/>
                <w:bCs/>
                <w:i/>
                <w:sz w:val="22"/>
                <w:szCs w:val="22"/>
              </w:rPr>
            </w:pPr>
            <w:r>
              <w:rPr>
                <w:b/>
                <w:bCs/>
                <w:i/>
                <w:sz w:val="22"/>
                <w:szCs w:val="22"/>
              </w:rPr>
              <w:t>E 30 - C5 Sa</w:t>
            </w:r>
          </w:p>
          <w:p w14:paraId="3B9679BB" w14:textId="77777777" w:rsidR="001C08A5" w:rsidRDefault="001C08A5">
            <w:pPr>
              <w:jc w:val="center"/>
              <w:rPr>
                <w:b/>
                <w:bCs/>
                <w:i/>
                <w:sz w:val="22"/>
                <w:szCs w:val="22"/>
              </w:rPr>
            </w:pPr>
          </w:p>
        </w:tc>
      </w:tr>
      <w:tr w:rsidR="001C08A5" w14:paraId="3E339836" w14:textId="77777777">
        <w:tc>
          <w:tcPr>
            <w:tcW w:w="1262" w:type="dxa"/>
            <w:vAlign w:val="center"/>
          </w:tcPr>
          <w:p w14:paraId="30DF89E1" w14:textId="77777777" w:rsidR="001C08A5" w:rsidRDefault="00000000">
            <w:pPr>
              <w:pStyle w:val="BodyText"/>
              <w:jc w:val="center"/>
              <w:rPr>
                <w:bCs w:val="0"/>
                <w:sz w:val="22"/>
                <w:szCs w:val="22"/>
              </w:rPr>
            </w:pPr>
            <w:r>
              <w:rPr>
                <w:bCs w:val="0"/>
                <w:sz w:val="22"/>
                <w:szCs w:val="22"/>
              </w:rPr>
              <w:t>III</w:t>
            </w:r>
          </w:p>
        </w:tc>
        <w:tc>
          <w:tcPr>
            <w:tcW w:w="1243" w:type="dxa"/>
            <w:vAlign w:val="center"/>
          </w:tcPr>
          <w:p w14:paraId="0AB95156" w14:textId="77777777" w:rsidR="001C08A5" w:rsidRDefault="00000000">
            <w:pPr>
              <w:jc w:val="center"/>
              <w:rPr>
                <w:b/>
                <w:i/>
                <w:sz w:val="22"/>
                <w:szCs w:val="22"/>
              </w:rPr>
            </w:pPr>
            <w:r>
              <w:rPr>
                <w:b/>
                <w:i/>
                <w:sz w:val="22"/>
                <w:szCs w:val="22"/>
              </w:rPr>
              <w:t>EI/REI 60</w:t>
            </w:r>
          </w:p>
        </w:tc>
        <w:tc>
          <w:tcPr>
            <w:tcW w:w="1088" w:type="dxa"/>
            <w:vAlign w:val="center"/>
          </w:tcPr>
          <w:p w14:paraId="0272067F" w14:textId="77777777" w:rsidR="001C08A5" w:rsidRDefault="00000000">
            <w:pPr>
              <w:jc w:val="center"/>
              <w:rPr>
                <w:bCs/>
                <w:i/>
                <w:sz w:val="22"/>
                <w:szCs w:val="22"/>
              </w:rPr>
            </w:pPr>
            <w:r>
              <w:rPr>
                <w:b/>
                <w:i/>
                <w:sz w:val="22"/>
                <w:szCs w:val="22"/>
              </w:rPr>
              <w:t xml:space="preserve">A1 </w:t>
            </w:r>
            <w:r>
              <w:rPr>
                <w:i/>
                <w:sz w:val="22"/>
                <w:szCs w:val="22"/>
              </w:rPr>
              <w:t>sau</w:t>
            </w:r>
            <w:r>
              <w:rPr>
                <w:b/>
                <w:i/>
                <w:sz w:val="22"/>
                <w:szCs w:val="22"/>
              </w:rPr>
              <w:t xml:space="preserve"> A2-s1d0</w:t>
            </w:r>
          </w:p>
        </w:tc>
        <w:tc>
          <w:tcPr>
            <w:tcW w:w="2647" w:type="dxa"/>
            <w:vMerge/>
            <w:vAlign w:val="center"/>
          </w:tcPr>
          <w:p w14:paraId="6B6FD6BA" w14:textId="77777777" w:rsidR="001C08A5" w:rsidRDefault="001C08A5">
            <w:pPr>
              <w:jc w:val="center"/>
              <w:rPr>
                <w:b/>
                <w:i/>
                <w:sz w:val="22"/>
                <w:szCs w:val="22"/>
              </w:rPr>
            </w:pPr>
          </w:p>
        </w:tc>
        <w:tc>
          <w:tcPr>
            <w:tcW w:w="1719" w:type="dxa"/>
            <w:vAlign w:val="center"/>
          </w:tcPr>
          <w:p w14:paraId="3C8D9E4D"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539" w:type="dxa"/>
            <w:vAlign w:val="center"/>
          </w:tcPr>
          <w:p w14:paraId="1FFEBCC7" w14:textId="77777777" w:rsidR="001C08A5" w:rsidRDefault="00000000">
            <w:pPr>
              <w:jc w:val="center"/>
              <w:rPr>
                <w:b/>
                <w:bCs/>
                <w:i/>
                <w:sz w:val="22"/>
                <w:szCs w:val="22"/>
              </w:rPr>
            </w:pPr>
            <w:r>
              <w:rPr>
                <w:b/>
                <w:bCs/>
                <w:i/>
                <w:sz w:val="22"/>
                <w:szCs w:val="22"/>
              </w:rPr>
              <w:t>E 30 - C5 Sa</w:t>
            </w:r>
          </w:p>
          <w:p w14:paraId="0A9CD8BE" w14:textId="77777777" w:rsidR="001C08A5" w:rsidRDefault="001C08A5">
            <w:pPr>
              <w:jc w:val="center"/>
              <w:rPr>
                <w:b/>
                <w:bCs/>
                <w:i/>
                <w:sz w:val="22"/>
                <w:szCs w:val="22"/>
              </w:rPr>
            </w:pPr>
          </w:p>
        </w:tc>
      </w:tr>
      <w:tr w:rsidR="001C08A5" w14:paraId="0DE56485" w14:textId="77777777">
        <w:tc>
          <w:tcPr>
            <w:tcW w:w="1262" w:type="dxa"/>
            <w:vAlign w:val="center"/>
          </w:tcPr>
          <w:p w14:paraId="5C632961" w14:textId="77777777" w:rsidR="001C08A5" w:rsidRDefault="00000000">
            <w:pPr>
              <w:pStyle w:val="BodyText"/>
              <w:jc w:val="center"/>
              <w:rPr>
                <w:bCs w:val="0"/>
                <w:sz w:val="22"/>
                <w:szCs w:val="22"/>
              </w:rPr>
            </w:pPr>
            <w:r>
              <w:rPr>
                <w:bCs w:val="0"/>
                <w:sz w:val="22"/>
                <w:szCs w:val="22"/>
              </w:rPr>
              <w:t>III (+)</w:t>
            </w:r>
          </w:p>
        </w:tc>
        <w:tc>
          <w:tcPr>
            <w:tcW w:w="1243" w:type="dxa"/>
            <w:vAlign w:val="center"/>
          </w:tcPr>
          <w:p w14:paraId="63375F4E" w14:textId="77777777" w:rsidR="001C08A5" w:rsidRDefault="00000000">
            <w:pPr>
              <w:jc w:val="center"/>
              <w:rPr>
                <w:b/>
                <w:i/>
                <w:sz w:val="22"/>
                <w:szCs w:val="22"/>
              </w:rPr>
            </w:pPr>
            <w:r>
              <w:rPr>
                <w:b/>
                <w:i/>
                <w:sz w:val="22"/>
                <w:szCs w:val="22"/>
              </w:rPr>
              <w:t>EI/REI 45</w:t>
            </w:r>
          </w:p>
        </w:tc>
        <w:tc>
          <w:tcPr>
            <w:tcW w:w="1088" w:type="dxa"/>
            <w:vAlign w:val="center"/>
          </w:tcPr>
          <w:p w14:paraId="5E5010D8"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2647" w:type="dxa"/>
            <w:vMerge/>
            <w:vAlign w:val="center"/>
          </w:tcPr>
          <w:p w14:paraId="40A322AF" w14:textId="77777777" w:rsidR="001C08A5" w:rsidRDefault="001C08A5">
            <w:pPr>
              <w:jc w:val="center"/>
              <w:rPr>
                <w:b/>
                <w:i/>
                <w:sz w:val="22"/>
                <w:szCs w:val="22"/>
              </w:rPr>
            </w:pPr>
          </w:p>
        </w:tc>
        <w:tc>
          <w:tcPr>
            <w:tcW w:w="1719" w:type="dxa"/>
            <w:vAlign w:val="center"/>
          </w:tcPr>
          <w:p w14:paraId="4D7662D9" w14:textId="77777777" w:rsidR="001C08A5" w:rsidRDefault="00000000">
            <w:pPr>
              <w:jc w:val="center"/>
              <w:rPr>
                <w:i/>
                <w:sz w:val="22"/>
                <w:szCs w:val="22"/>
              </w:rPr>
            </w:pPr>
            <w:r>
              <w:rPr>
                <w:b/>
                <w:i/>
                <w:sz w:val="22"/>
                <w:szCs w:val="22"/>
              </w:rPr>
              <w:t xml:space="preserve">A1 </w:t>
            </w:r>
            <w:r>
              <w:rPr>
                <w:i/>
                <w:sz w:val="22"/>
                <w:szCs w:val="22"/>
              </w:rPr>
              <w:t>sau</w:t>
            </w:r>
            <w:r>
              <w:rPr>
                <w:b/>
                <w:i/>
                <w:sz w:val="22"/>
                <w:szCs w:val="22"/>
              </w:rPr>
              <w:t xml:space="preserve"> A2-s1d0</w:t>
            </w:r>
          </w:p>
        </w:tc>
        <w:tc>
          <w:tcPr>
            <w:tcW w:w="1539" w:type="dxa"/>
            <w:vAlign w:val="center"/>
          </w:tcPr>
          <w:p w14:paraId="51BAFF6A" w14:textId="77777777" w:rsidR="001C08A5" w:rsidRDefault="00000000">
            <w:pPr>
              <w:jc w:val="center"/>
              <w:rPr>
                <w:b/>
                <w:bCs/>
                <w:i/>
                <w:sz w:val="22"/>
                <w:szCs w:val="22"/>
              </w:rPr>
            </w:pPr>
            <w:r>
              <w:rPr>
                <w:b/>
                <w:bCs/>
                <w:i/>
                <w:sz w:val="22"/>
                <w:szCs w:val="22"/>
              </w:rPr>
              <w:t>E 15 - C5 Sa</w:t>
            </w:r>
          </w:p>
        </w:tc>
      </w:tr>
    </w:tbl>
    <w:p w14:paraId="344E0215" w14:textId="77777777" w:rsidR="001C08A5" w:rsidRDefault="00000000">
      <w:pPr>
        <w:jc w:val="both"/>
        <w:rPr>
          <w:i/>
          <w:sz w:val="22"/>
          <w:szCs w:val="22"/>
        </w:rPr>
      </w:pPr>
      <w:r>
        <w:rPr>
          <w:i/>
          <w:sz w:val="22"/>
          <w:szCs w:val="22"/>
        </w:rPr>
        <w:t>Note:</w:t>
      </w:r>
    </w:p>
    <w:p w14:paraId="2FB2A936" w14:textId="77777777" w:rsidR="001C08A5" w:rsidRDefault="00000000">
      <w:pPr>
        <w:ind w:left="720"/>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74123E54" w14:textId="77777777" w:rsidR="001C08A5" w:rsidRDefault="00000000">
      <w:pPr>
        <w:ind w:left="720"/>
        <w:rPr>
          <w:bCs/>
          <w:i/>
          <w:sz w:val="22"/>
          <w:szCs w:val="22"/>
        </w:rPr>
      </w:pPr>
      <w:r>
        <w:rPr>
          <w:b/>
          <w:i/>
          <w:sz w:val="22"/>
          <w:szCs w:val="22"/>
        </w:rPr>
        <w:t>”h”</w:t>
      </w:r>
      <w:r>
        <w:rPr>
          <w:bCs/>
          <w:i/>
          <w:sz w:val="22"/>
          <w:szCs w:val="22"/>
        </w:rPr>
        <w:t xml:space="preserve">= cota ultimului planșeu accesibil/ folosibil al </w:t>
      </w:r>
      <w:r>
        <w:rPr>
          <w:i/>
          <w:iCs/>
          <w:sz w:val="22"/>
          <w:szCs w:val="22"/>
        </w:rPr>
        <w:t>construcției, față de nivelul de referință</w:t>
      </w:r>
    </w:p>
    <w:p w14:paraId="7AEE01D1" w14:textId="77777777" w:rsidR="001C08A5" w:rsidRDefault="001C08A5">
      <w:pPr>
        <w:jc w:val="both"/>
        <w:rPr>
          <w:b/>
          <w:sz w:val="24"/>
          <w:szCs w:val="24"/>
        </w:rPr>
      </w:pPr>
    </w:p>
    <w:p w14:paraId="17C89EF2" w14:textId="77777777" w:rsidR="001C08A5" w:rsidRDefault="00000000">
      <w:pPr>
        <w:ind w:firstLine="708"/>
        <w:jc w:val="both"/>
        <w:rPr>
          <w:b/>
          <w:sz w:val="24"/>
          <w:szCs w:val="24"/>
        </w:rPr>
      </w:pPr>
      <w:r>
        <w:rPr>
          <w:b/>
          <w:sz w:val="24"/>
          <w:szCs w:val="24"/>
        </w:rPr>
        <w:t xml:space="preserve">Art. 4.3.5.8. </w:t>
      </w:r>
      <w:r>
        <w:rPr>
          <w:rFonts w:eastAsia="ArialMT"/>
          <w:sz w:val="24"/>
          <w:szCs w:val="24"/>
        </w:rPr>
        <w:t xml:space="preserve">Numărul normat de utilizatori pe unitatea de trecere (flux) de evacuare </w:t>
      </w:r>
      <w:r>
        <w:rPr>
          <w:rFonts w:eastAsia="Arial-BoldMT"/>
          <w:b/>
          <w:sz w:val="24"/>
          <w:szCs w:val="24"/>
        </w:rPr>
        <w:t>(Uf)</w:t>
      </w:r>
      <w:r>
        <w:rPr>
          <w:sz w:val="24"/>
          <w:szCs w:val="24"/>
        </w:rPr>
        <w:t xml:space="preserve"> la sălile aglomerate este precizat în </w:t>
      </w:r>
      <w:r>
        <w:rPr>
          <w:b/>
          <w:bCs/>
          <w:i/>
          <w:iCs/>
          <w:sz w:val="24"/>
          <w:szCs w:val="24"/>
        </w:rPr>
        <w:fldChar w:fldCharType="begin"/>
      </w:r>
      <w:r>
        <w:rPr>
          <w:b/>
          <w:bCs/>
          <w:i/>
          <w:iCs/>
          <w:sz w:val="24"/>
          <w:szCs w:val="24"/>
        </w:rPr>
        <w:instrText xml:space="preserve"> REF _Ref26114 \h </w:instrText>
      </w:r>
      <w:r>
        <w:rPr>
          <w:b/>
          <w:bCs/>
          <w:i/>
          <w:iCs/>
          <w:sz w:val="24"/>
          <w:szCs w:val="24"/>
        </w:rPr>
      </w:r>
      <w:r>
        <w:rPr>
          <w:b/>
          <w:bCs/>
          <w:i/>
          <w:iCs/>
          <w:sz w:val="24"/>
          <w:szCs w:val="24"/>
        </w:rPr>
        <w:fldChar w:fldCharType="separate"/>
      </w:r>
      <w:r>
        <w:t>Tabelul 109</w:t>
      </w:r>
      <w:r>
        <w:rPr>
          <w:b/>
          <w:bCs/>
          <w:i/>
          <w:iCs/>
          <w:sz w:val="24"/>
          <w:szCs w:val="24"/>
        </w:rPr>
        <w:fldChar w:fldCharType="end"/>
      </w:r>
      <w:r>
        <w:rPr>
          <w:b/>
          <w:sz w:val="24"/>
          <w:szCs w:val="24"/>
        </w:rPr>
        <w:t>.</w:t>
      </w:r>
    </w:p>
    <w:p w14:paraId="068672AC" w14:textId="77777777" w:rsidR="001C08A5" w:rsidRDefault="001C08A5">
      <w:pPr>
        <w:jc w:val="both"/>
        <w:rPr>
          <w:sz w:val="24"/>
          <w:szCs w:val="24"/>
        </w:rPr>
      </w:pPr>
    </w:p>
    <w:p w14:paraId="6EE9F245" w14:textId="77777777" w:rsidR="001C08A5" w:rsidRDefault="00000000">
      <w:pPr>
        <w:pStyle w:val="Captiontabel"/>
      </w:pPr>
      <w:bookmarkStart w:id="4880" w:name="_Ref26114"/>
      <w:bookmarkStart w:id="4881" w:name="_Toc162360159"/>
      <w:r>
        <w:lastRenderedPageBreak/>
        <w:t xml:space="preserve">Tabelul </w:t>
      </w:r>
      <w:r>
        <w:fldChar w:fldCharType="begin"/>
      </w:r>
      <w:r>
        <w:instrText xml:space="preserve"> SEQ Tabelul \* ARABIC </w:instrText>
      </w:r>
      <w:r>
        <w:fldChar w:fldCharType="separate"/>
      </w:r>
      <w:r>
        <w:t>109</w:t>
      </w:r>
      <w:r>
        <w:fldChar w:fldCharType="end"/>
      </w:r>
      <w:bookmarkStart w:id="4882" w:name="_Toc27207"/>
      <w:bookmarkStart w:id="4883" w:name="_Toc13860"/>
      <w:bookmarkStart w:id="4884" w:name="_Toc7417"/>
      <w:bookmarkStart w:id="4885" w:name="_Toc8173"/>
      <w:bookmarkStart w:id="4886" w:name="_Toc3759"/>
      <w:bookmarkStart w:id="4887" w:name="_Toc10026"/>
      <w:bookmarkStart w:id="4888" w:name="_Toc782"/>
      <w:bookmarkStart w:id="4889" w:name="_Toc17750"/>
      <w:bookmarkStart w:id="4890" w:name="_Toc21952"/>
      <w:bookmarkStart w:id="4891" w:name="_Toc23734"/>
      <w:bookmarkStart w:id="4892" w:name="_Toc20788"/>
      <w:bookmarkStart w:id="4893" w:name="_Toc9285"/>
      <w:bookmarkStart w:id="4894" w:name="_Toc255"/>
      <w:bookmarkStart w:id="4895" w:name="_Toc20010"/>
      <w:bookmarkStart w:id="4896" w:name="_Toc4970"/>
      <w:bookmarkStart w:id="4897" w:name="_Toc32463"/>
      <w:bookmarkStart w:id="4898" w:name="_Toc1663"/>
      <w:bookmarkStart w:id="4899" w:name="_Toc16308"/>
      <w:bookmarkStart w:id="4900" w:name="_Toc9616"/>
      <w:bookmarkEnd w:id="4880"/>
      <w:r>
        <w:t>: Număr normat de utilizatori pe unitatea de trecere (flux) de evacuare (Uf) la săli aglomerate</w:t>
      </w:r>
      <w:bookmarkEnd w:id="4881"/>
      <w:r>
        <w:t xml:space="preserve"> </w:t>
      </w:r>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p>
    <w:p w14:paraId="20002D57" w14:textId="77777777" w:rsidR="001C08A5" w:rsidRDefault="001C08A5">
      <w:pPr>
        <w:jc w:val="both"/>
        <w:rPr>
          <w:sz w:val="24"/>
          <w:szCs w:val="24"/>
        </w:rPr>
      </w:pPr>
    </w:p>
    <w:tbl>
      <w:tblPr>
        <w:tblW w:w="0" w:type="auto"/>
        <w:tblInd w:w="108" w:type="dxa"/>
        <w:tblLayout w:type="fixed"/>
        <w:tblLook w:val="04A0" w:firstRow="1" w:lastRow="0" w:firstColumn="1" w:lastColumn="0" w:noHBand="0" w:noVBand="1"/>
      </w:tblPr>
      <w:tblGrid>
        <w:gridCol w:w="720"/>
        <w:gridCol w:w="3480"/>
        <w:gridCol w:w="1680"/>
        <w:gridCol w:w="3618"/>
      </w:tblGrid>
      <w:tr w:rsidR="001C08A5" w14:paraId="4A9111CE" w14:textId="77777777">
        <w:trPr>
          <w:tblHeader/>
        </w:trPr>
        <w:tc>
          <w:tcPr>
            <w:tcW w:w="720" w:type="dxa"/>
            <w:tcBorders>
              <w:top w:val="single" w:sz="8" w:space="0" w:color="000000"/>
              <w:left w:val="single" w:sz="8" w:space="0" w:color="000000"/>
              <w:bottom w:val="single" w:sz="8" w:space="0" w:color="000000"/>
            </w:tcBorders>
            <w:shd w:val="clear" w:color="auto" w:fill="BFBFBF"/>
          </w:tcPr>
          <w:p w14:paraId="41D82837" w14:textId="77777777" w:rsidR="001C08A5" w:rsidRDefault="001C08A5">
            <w:pPr>
              <w:snapToGrid w:val="0"/>
              <w:jc w:val="both"/>
              <w:rPr>
                <w:b/>
                <w:i/>
                <w:iCs/>
                <w:sz w:val="22"/>
                <w:szCs w:val="22"/>
              </w:rPr>
            </w:pPr>
          </w:p>
          <w:p w14:paraId="1C8B9602" w14:textId="77777777" w:rsidR="001C08A5" w:rsidRDefault="00000000">
            <w:pPr>
              <w:jc w:val="both"/>
              <w:rPr>
                <w:b/>
                <w:i/>
                <w:iCs/>
                <w:sz w:val="22"/>
                <w:szCs w:val="22"/>
              </w:rPr>
            </w:pPr>
            <w:r>
              <w:rPr>
                <w:b/>
                <w:i/>
                <w:iCs/>
                <w:sz w:val="22"/>
                <w:szCs w:val="22"/>
              </w:rPr>
              <w:t>Nr.</w:t>
            </w:r>
          </w:p>
          <w:p w14:paraId="32067DE7" w14:textId="77777777" w:rsidR="001C08A5" w:rsidRDefault="00000000">
            <w:pPr>
              <w:jc w:val="both"/>
              <w:rPr>
                <w:b/>
                <w:i/>
                <w:iCs/>
                <w:sz w:val="22"/>
                <w:szCs w:val="22"/>
              </w:rPr>
            </w:pPr>
            <w:r>
              <w:rPr>
                <w:b/>
                <w:i/>
                <w:iCs/>
                <w:sz w:val="22"/>
                <w:szCs w:val="22"/>
              </w:rPr>
              <w:t>Crt</w:t>
            </w:r>
          </w:p>
        </w:tc>
        <w:tc>
          <w:tcPr>
            <w:tcW w:w="5160" w:type="dxa"/>
            <w:gridSpan w:val="2"/>
            <w:tcBorders>
              <w:top w:val="single" w:sz="8" w:space="0" w:color="000000"/>
              <w:left w:val="single" w:sz="4" w:space="0" w:color="000000"/>
              <w:bottom w:val="single" w:sz="8" w:space="0" w:color="000000"/>
            </w:tcBorders>
            <w:shd w:val="clear" w:color="auto" w:fill="BFBFBF"/>
          </w:tcPr>
          <w:p w14:paraId="3E18E315" w14:textId="77777777" w:rsidR="001C08A5" w:rsidRDefault="00000000">
            <w:pPr>
              <w:jc w:val="center"/>
              <w:rPr>
                <w:b/>
                <w:i/>
                <w:iCs/>
                <w:sz w:val="22"/>
                <w:szCs w:val="22"/>
              </w:rPr>
            </w:pPr>
            <w:r>
              <w:rPr>
                <w:b/>
                <w:i/>
                <w:iCs/>
                <w:sz w:val="22"/>
                <w:szCs w:val="22"/>
              </w:rPr>
              <w:t>Tipul sălii aglomerate și nivelul de stabilitate la incendiu al clădirii</w:t>
            </w:r>
          </w:p>
        </w:tc>
        <w:tc>
          <w:tcPr>
            <w:tcW w:w="3618" w:type="dxa"/>
            <w:tcBorders>
              <w:top w:val="single" w:sz="8" w:space="0" w:color="000000"/>
              <w:left w:val="single" w:sz="4" w:space="0" w:color="000000"/>
              <w:bottom w:val="single" w:sz="8" w:space="0" w:color="000000"/>
              <w:right w:val="single" w:sz="8" w:space="0" w:color="000000"/>
            </w:tcBorders>
            <w:shd w:val="clear" w:color="auto" w:fill="BFBFBF"/>
          </w:tcPr>
          <w:p w14:paraId="5BCC6023" w14:textId="77777777" w:rsidR="001C08A5" w:rsidRDefault="00000000">
            <w:pPr>
              <w:jc w:val="center"/>
              <w:rPr>
                <w:i/>
                <w:iCs/>
                <w:sz w:val="22"/>
                <w:szCs w:val="22"/>
              </w:rPr>
            </w:pPr>
            <w:r>
              <w:rPr>
                <w:rFonts w:eastAsia="ArialMT"/>
                <w:i/>
                <w:iCs/>
                <w:sz w:val="22"/>
                <w:szCs w:val="22"/>
              </w:rPr>
              <w:t xml:space="preserve">Numărul normat de utilizatori pe unitatea de trecere (flux) de evacuare </w:t>
            </w:r>
            <w:r>
              <w:rPr>
                <w:rFonts w:eastAsia="Arial-BoldMT"/>
                <w:b/>
                <w:i/>
                <w:iCs/>
                <w:sz w:val="22"/>
                <w:szCs w:val="22"/>
              </w:rPr>
              <w:t>(Uf)</w:t>
            </w:r>
          </w:p>
        </w:tc>
      </w:tr>
      <w:tr w:rsidR="001C08A5" w14:paraId="092B0625" w14:textId="77777777">
        <w:trPr>
          <w:cantSplit/>
        </w:trPr>
        <w:tc>
          <w:tcPr>
            <w:tcW w:w="720" w:type="dxa"/>
            <w:vMerge w:val="restart"/>
            <w:tcBorders>
              <w:top w:val="single" w:sz="8" w:space="0" w:color="000000"/>
              <w:left w:val="single" w:sz="4" w:space="0" w:color="000000"/>
              <w:bottom w:val="single" w:sz="4" w:space="0" w:color="000000"/>
            </w:tcBorders>
          </w:tcPr>
          <w:p w14:paraId="3A64E5AD" w14:textId="77777777" w:rsidR="001C08A5" w:rsidRDefault="001C08A5">
            <w:pPr>
              <w:snapToGrid w:val="0"/>
              <w:jc w:val="both"/>
              <w:rPr>
                <w:i/>
                <w:iCs/>
                <w:sz w:val="22"/>
                <w:szCs w:val="22"/>
              </w:rPr>
            </w:pPr>
          </w:p>
          <w:p w14:paraId="4BCBEF85" w14:textId="77777777" w:rsidR="001C08A5" w:rsidRDefault="00000000">
            <w:pPr>
              <w:jc w:val="both"/>
              <w:rPr>
                <w:i/>
                <w:iCs/>
                <w:sz w:val="22"/>
                <w:szCs w:val="22"/>
              </w:rPr>
            </w:pPr>
            <w:r>
              <w:rPr>
                <w:i/>
                <w:iCs/>
                <w:sz w:val="22"/>
                <w:szCs w:val="22"/>
              </w:rPr>
              <w:t>1.</w:t>
            </w:r>
          </w:p>
        </w:tc>
        <w:tc>
          <w:tcPr>
            <w:tcW w:w="3480" w:type="dxa"/>
            <w:vMerge w:val="restart"/>
            <w:tcBorders>
              <w:top w:val="single" w:sz="8" w:space="0" w:color="000000"/>
              <w:left w:val="single" w:sz="4" w:space="0" w:color="000000"/>
              <w:bottom w:val="single" w:sz="4" w:space="0" w:color="000000"/>
            </w:tcBorders>
          </w:tcPr>
          <w:p w14:paraId="69B09AB4" w14:textId="77777777" w:rsidR="001C08A5" w:rsidRDefault="001C08A5">
            <w:pPr>
              <w:snapToGrid w:val="0"/>
              <w:jc w:val="both"/>
              <w:rPr>
                <w:i/>
                <w:iCs/>
                <w:sz w:val="22"/>
                <w:szCs w:val="22"/>
              </w:rPr>
            </w:pPr>
          </w:p>
          <w:p w14:paraId="372BDFFB" w14:textId="77777777" w:rsidR="001C08A5" w:rsidRDefault="00000000">
            <w:pPr>
              <w:jc w:val="both"/>
              <w:rPr>
                <w:b/>
                <w:i/>
                <w:iCs/>
                <w:sz w:val="22"/>
                <w:szCs w:val="22"/>
              </w:rPr>
            </w:pPr>
            <w:r>
              <w:rPr>
                <w:i/>
                <w:iCs/>
                <w:sz w:val="22"/>
                <w:szCs w:val="22"/>
              </w:rPr>
              <w:t xml:space="preserve">Sală aglomerată tip </w:t>
            </w:r>
            <w:r>
              <w:rPr>
                <w:b/>
                <w:i/>
                <w:iCs/>
                <w:sz w:val="22"/>
                <w:szCs w:val="22"/>
              </w:rPr>
              <w:t>S1</w:t>
            </w:r>
            <w:r>
              <w:rPr>
                <w:i/>
                <w:iCs/>
                <w:sz w:val="22"/>
                <w:szCs w:val="22"/>
              </w:rPr>
              <w:t xml:space="preserve"> şi nivel de stabilitate la incendiu:</w:t>
            </w:r>
          </w:p>
        </w:tc>
        <w:tc>
          <w:tcPr>
            <w:tcW w:w="1680" w:type="dxa"/>
            <w:tcBorders>
              <w:top w:val="single" w:sz="8" w:space="0" w:color="000000"/>
              <w:left w:val="single" w:sz="4" w:space="0" w:color="000000"/>
              <w:bottom w:val="single" w:sz="4" w:space="0" w:color="000000"/>
            </w:tcBorders>
          </w:tcPr>
          <w:p w14:paraId="293C6BF0" w14:textId="77777777" w:rsidR="001C08A5" w:rsidRDefault="00000000">
            <w:pPr>
              <w:jc w:val="center"/>
              <w:rPr>
                <w:b/>
                <w:i/>
                <w:iCs/>
                <w:sz w:val="22"/>
                <w:szCs w:val="22"/>
              </w:rPr>
            </w:pPr>
            <w:r>
              <w:rPr>
                <w:b/>
                <w:i/>
                <w:iCs/>
                <w:sz w:val="22"/>
                <w:szCs w:val="22"/>
              </w:rPr>
              <w:t>I</w:t>
            </w:r>
          </w:p>
        </w:tc>
        <w:tc>
          <w:tcPr>
            <w:tcW w:w="3618" w:type="dxa"/>
            <w:tcBorders>
              <w:top w:val="single" w:sz="8" w:space="0" w:color="000000"/>
              <w:left w:val="single" w:sz="4" w:space="0" w:color="000000"/>
              <w:bottom w:val="single" w:sz="4" w:space="0" w:color="000000"/>
              <w:right w:val="single" w:sz="4" w:space="0" w:color="000000"/>
            </w:tcBorders>
          </w:tcPr>
          <w:p w14:paraId="0E05A22B" w14:textId="77777777" w:rsidR="001C08A5" w:rsidRDefault="00000000">
            <w:pPr>
              <w:jc w:val="center"/>
              <w:rPr>
                <w:i/>
                <w:iCs/>
                <w:sz w:val="22"/>
                <w:szCs w:val="22"/>
              </w:rPr>
            </w:pPr>
            <w:r>
              <w:rPr>
                <w:b/>
                <w:i/>
                <w:iCs/>
                <w:sz w:val="22"/>
                <w:szCs w:val="22"/>
              </w:rPr>
              <w:t>60 (80)*</w:t>
            </w:r>
          </w:p>
        </w:tc>
      </w:tr>
      <w:tr w:rsidR="001C08A5" w14:paraId="3F0B0C5B" w14:textId="77777777">
        <w:trPr>
          <w:cantSplit/>
        </w:trPr>
        <w:tc>
          <w:tcPr>
            <w:tcW w:w="720" w:type="dxa"/>
            <w:vMerge/>
            <w:tcBorders>
              <w:top w:val="single" w:sz="4" w:space="0" w:color="000000"/>
              <w:left w:val="single" w:sz="4" w:space="0" w:color="000000"/>
              <w:bottom w:val="single" w:sz="4" w:space="0" w:color="000000"/>
            </w:tcBorders>
          </w:tcPr>
          <w:p w14:paraId="52976799" w14:textId="77777777" w:rsidR="001C08A5" w:rsidRDefault="001C08A5">
            <w:pPr>
              <w:snapToGrid w:val="0"/>
              <w:jc w:val="both"/>
              <w:rPr>
                <w:i/>
                <w:iCs/>
                <w:sz w:val="22"/>
                <w:szCs w:val="22"/>
              </w:rPr>
            </w:pPr>
          </w:p>
        </w:tc>
        <w:tc>
          <w:tcPr>
            <w:tcW w:w="3480" w:type="dxa"/>
            <w:vMerge/>
            <w:tcBorders>
              <w:top w:val="single" w:sz="4" w:space="0" w:color="000000"/>
              <w:left w:val="single" w:sz="4" w:space="0" w:color="000000"/>
              <w:bottom w:val="single" w:sz="4" w:space="0" w:color="000000"/>
            </w:tcBorders>
          </w:tcPr>
          <w:p w14:paraId="156E2E3A" w14:textId="77777777" w:rsidR="001C08A5" w:rsidRDefault="001C08A5">
            <w:pPr>
              <w:snapToGrid w:val="0"/>
              <w:jc w:val="both"/>
              <w:rPr>
                <w:i/>
                <w:iCs/>
                <w:sz w:val="22"/>
                <w:szCs w:val="22"/>
              </w:rPr>
            </w:pPr>
          </w:p>
        </w:tc>
        <w:tc>
          <w:tcPr>
            <w:tcW w:w="1680" w:type="dxa"/>
            <w:tcBorders>
              <w:top w:val="single" w:sz="4" w:space="0" w:color="000000"/>
              <w:left w:val="single" w:sz="4" w:space="0" w:color="000000"/>
              <w:bottom w:val="single" w:sz="4" w:space="0" w:color="000000"/>
            </w:tcBorders>
          </w:tcPr>
          <w:p w14:paraId="3EF03226" w14:textId="77777777" w:rsidR="001C08A5" w:rsidRDefault="00000000">
            <w:pPr>
              <w:jc w:val="center"/>
              <w:rPr>
                <w:b/>
                <w:i/>
                <w:iCs/>
                <w:sz w:val="22"/>
                <w:szCs w:val="22"/>
              </w:rPr>
            </w:pPr>
            <w:r>
              <w:rPr>
                <w:b/>
                <w:i/>
                <w:iCs/>
                <w:sz w:val="22"/>
                <w:szCs w:val="22"/>
              </w:rPr>
              <w:t>II</w:t>
            </w:r>
          </w:p>
        </w:tc>
        <w:tc>
          <w:tcPr>
            <w:tcW w:w="3618" w:type="dxa"/>
            <w:tcBorders>
              <w:top w:val="single" w:sz="4" w:space="0" w:color="000000"/>
              <w:left w:val="single" w:sz="4" w:space="0" w:color="000000"/>
              <w:bottom w:val="single" w:sz="4" w:space="0" w:color="000000"/>
              <w:right w:val="single" w:sz="4" w:space="0" w:color="000000"/>
            </w:tcBorders>
          </w:tcPr>
          <w:p w14:paraId="1FC0B5CC" w14:textId="77777777" w:rsidR="001C08A5" w:rsidRDefault="00000000">
            <w:pPr>
              <w:jc w:val="center"/>
              <w:rPr>
                <w:i/>
                <w:iCs/>
                <w:sz w:val="22"/>
                <w:szCs w:val="22"/>
              </w:rPr>
            </w:pPr>
            <w:r>
              <w:rPr>
                <w:b/>
                <w:i/>
                <w:iCs/>
                <w:sz w:val="22"/>
                <w:szCs w:val="22"/>
              </w:rPr>
              <w:t>50 (70)*</w:t>
            </w:r>
          </w:p>
        </w:tc>
      </w:tr>
      <w:tr w:rsidR="001C08A5" w14:paraId="2A20358A" w14:textId="77777777">
        <w:trPr>
          <w:cantSplit/>
          <w:trHeight w:val="297"/>
        </w:trPr>
        <w:tc>
          <w:tcPr>
            <w:tcW w:w="720" w:type="dxa"/>
            <w:vMerge/>
            <w:tcBorders>
              <w:top w:val="single" w:sz="4" w:space="0" w:color="000000"/>
              <w:left w:val="single" w:sz="4" w:space="0" w:color="000000"/>
              <w:bottom w:val="single" w:sz="4" w:space="0" w:color="000000"/>
            </w:tcBorders>
          </w:tcPr>
          <w:p w14:paraId="25E5D035" w14:textId="77777777" w:rsidR="001C08A5" w:rsidRDefault="001C08A5">
            <w:pPr>
              <w:snapToGrid w:val="0"/>
              <w:jc w:val="both"/>
              <w:rPr>
                <w:i/>
                <w:iCs/>
                <w:sz w:val="22"/>
                <w:szCs w:val="22"/>
              </w:rPr>
            </w:pPr>
          </w:p>
        </w:tc>
        <w:tc>
          <w:tcPr>
            <w:tcW w:w="3480" w:type="dxa"/>
            <w:vMerge/>
            <w:tcBorders>
              <w:top w:val="single" w:sz="4" w:space="0" w:color="000000"/>
              <w:left w:val="single" w:sz="4" w:space="0" w:color="000000"/>
              <w:bottom w:val="single" w:sz="4" w:space="0" w:color="000000"/>
            </w:tcBorders>
          </w:tcPr>
          <w:p w14:paraId="7C71503A" w14:textId="77777777" w:rsidR="001C08A5" w:rsidRDefault="001C08A5">
            <w:pPr>
              <w:snapToGrid w:val="0"/>
              <w:jc w:val="both"/>
              <w:rPr>
                <w:i/>
                <w:iCs/>
                <w:sz w:val="22"/>
                <w:szCs w:val="22"/>
              </w:rPr>
            </w:pPr>
          </w:p>
        </w:tc>
        <w:tc>
          <w:tcPr>
            <w:tcW w:w="1680" w:type="dxa"/>
            <w:tcBorders>
              <w:top w:val="single" w:sz="4" w:space="0" w:color="000000"/>
              <w:left w:val="single" w:sz="4" w:space="0" w:color="000000"/>
              <w:bottom w:val="single" w:sz="4" w:space="0" w:color="000000"/>
            </w:tcBorders>
          </w:tcPr>
          <w:p w14:paraId="221FAC25" w14:textId="77777777" w:rsidR="001C08A5" w:rsidRDefault="00000000">
            <w:pPr>
              <w:jc w:val="center"/>
              <w:rPr>
                <w:b/>
                <w:i/>
                <w:iCs/>
                <w:sz w:val="22"/>
                <w:szCs w:val="22"/>
              </w:rPr>
            </w:pPr>
            <w:r>
              <w:rPr>
                <w:b/>
                <w:i/>
                <w:iCs/>
                <w:sz w:val="22"/>
                <w:szCs w:val="22"/>
              </w:rPr>
              <w:t>III</w:t>
            </w:r>
          </w:p>
        </w:tc>
        <w:tc>
          <w:tcPr>
            <w:tcW w:w="3618" w:type="dxa"/>
            <w:tcBorders>
              <w:top w:val="single" w:sz="4" w:space="0" w:color="000000"/>
              <w:left w:val="single" w:sz="4" w:space="0" w:color="000000"/>
              <w:bottom w:val="single" w:sz="4" w:space="0" w:color="000000"/>
              <w:right w:val="single" w:sz="4" w:space="0" w:color="000000"/>
            </w:tcBorders>
          </w:tcPr>
          <w:p w14:paraId="341BD0A6" w14:textId="77777777" w:rsidR="001C08A5" w:rsidRDefault="00000000">
            <w:pPr>
              <w:jc w:val="center"/>
              <w:rPr>
                <w:i/>
                <w:iCs/>
                <w:sz w:val="22"/>
                <w:szCs w:val="22"/>
              </w:rPr>
            </w:pPr>
            <w:r>
              <w:rPr>
                <w:b/>
                <w:i/>
                <w:iCs/>
                <w:sz w:val="22"/>
                <w:szCs w:val="22"/>
              </w:rPr>
              <w:t>35 (50)*</w:t>
            </w:r>
          </w:p>
        </w:tc>
      </w:tr>
      <w:tr w:rsidR="001C08A5" w14:paraId="17FFE5FD" w14:textId="77777777">
        <w:trPr>
          <w:cantSplit/>
        </w:trPr>
        <w:tc>
          <w:tcPr>
            <w:tcW w:w="720" w:type="dxa"/>
            <w:vMerge/>
            <w:tcBorders>
              <w:top w:val="single" w:sz="4" w:space="0" w:color="000000"/>
              <w:left w:val="single" w:sz="4" w:space="0" w:color="000000"/>
              <w:bottom w:val="single" w:sz="4" w:space="0" w:color="000000"/>
            </w:tcBorders>
          </w:tcPr>
          <w:p w14:paraId="30B2C2AE" w14:textId="77777777" w:rsidR="001C08A5" w:rsidRDefault="001C08A5">
            <w:pPr>
              <w:snapToGrid w:val="0"/>
              <w:jc w:val="both"/>
              <w:rPr>
                <w:i/>
                <w:iCs/>
                <w:sz w:val="22"/>
                <w:szCs w:val="22"/>
              </w:rPr>
            </w:pPr>
          </w:p>
        </w:tc>
        <w:tc>
          <w:tcPr>
            <w:tcW w:w="3480" w:type="dxa"/>
            <w:vMerge/>
            <w:tcBorders>
              <w:top w:val="single" w:sz="4" w:space="0" w:color="000000"/>
              <w:left w:val="single" w:sz="4" w:space="0" w:color="000000"/>
              <w:bottom w:val="single" w:sz="4" w:space="0" w:color="000000"/>
            </w:tcBorders>
          </w:tcPr>
          <w:p w14:paraId="54E354FE" w14:textId="77777777" w:rsidR="001C08A5" w:rsidRDefault="001C08A5">
            <w:pPr>
              <w:snapToGrid w:val="0"/>
              <w:jc w:val="both"/>
              <w:rPr>
                <w:i/>
                <w:iCs/>
                <w:sz w:val="22"/>
                <w:szCs w:val="22"/>
              </w:rPr>
            </w:pPr>
          </w:p>
        </w:tc>
        <w:tc>
          <w:tcPr>
            <w:tcW w:w="1680" w:type="dxa"/>
            <w:tcBorders>
              <w:top w:val="single" w:sz="4" w:space="0" w:color="000000"/>
              <w:left w:val="single" w:sz="4" w:space="0" w:color="000000"/>
              <w:bottom w:val="single" w:sz="4" w:space="0" w:color="000000"/>
            </w:tcBorders>
          </w:tcPr>
          <w:p w14:paraId="30406E90" w14:textId="77777777" w:rsidR="001C08A5" w:rsidRDefault="00000000">
            <w:pPr>
              <w:jc w:val="center"/>
              <w:rPr>
                <w:b/>
                <w:i/>
                <w:iCs/>
                <w:sz w:val="22"/>
                <w:szCs w:val="22"/>
              </w:rPr>
            </w:pPr>
            <w:r>
              <w:rPr>
                <w:b/>
                <w:i/>
                <w:iCs/>
                <w:sz w:val="22"/>
                <w:szCs w:val="22"/>
              </w:rPr>
              <w:t xml:space="preserve">IV </w:t>
            </w:r>
            <w:r>
              <w:rPr>
                <w:i/>
                <w:iCs/>
                <w:sz w:val="22"/>
                <w:szCs w:val="22"/>
              </w:rPr>
              <w:t>şi</w:t>
            </w:r>
            <w:r>
              <w:rPr>
                <w:b/>
                <w:i/>
                <w:iCs/>
                <w:sz w:val="22"/>
                <w:szCs w:val="22"/>
              </w:rPr>
              <w:t xml:space="preserve"> V</w:t>
            </w:r>
          </w:p>
        </w:tc>
        <w:tc>
          <w:tcPr>
            <w:tcW w:w="3618" w:type="dxa"/>
            <w:tcBorders>
              <w:top w:val="single" w:sz="4" w:space="0" w:color="000000"/>
              <w:left w:val="single" w:sz="4" w:space="0" w:color="000000"/>
              <w:bottom w:val="single" w:sz="4" w:space="0" w:color="000000"/>
              <w:right w:val="single" w:sz="4" w:space="0" w:color="000000"/>
            </w:tcBorders>
          </w:tcPr>
          <w:p w14:paraId="32DE5F6F" w14:textId="77777777" w:rsidR="001C08A5" w:rsidRDefault="00000000">
            <w:pPr>
              <w:jc w:val="center"/>
              <w:rPr>
                <w:i/>
                <w:iCs/>
                <w:sz w:val="22"/>
                <w:szCs w:val="22"/>
              </w:rPr>
            </w:pPr>
            <w:r>
              <w:rPr>
                <w:b/>
                <w:i/>
                <w:iCs/>
                <w:sz w:val="22"/>
                <w:szCs w:val="22"/>
              </w:rPr>
              <w:t>25</w:t>
            </w:r>
          </w:p>
        </w:tc>
      </w:tr>
      <w:tr w:rsidR="001C08A5" w14:paraId="1C20DB6F" w14:textId="77777777">
        <w:trPr>
          <w:cantSplit/>
        </w:trPr>
        <w:tc>
          <w:tcPr>
            <w:tcW w:w="720" w:type="dxa"/>
            <w:vMerge w:val="restart"/>
            <w:tcBorders>
              <w:top w:val="single" w:sz="4" w:space="0" w:color="000000"/>
              <w:left w:val="single" w:sz="4" w:space="0" w:color="000000"/>
              <w:bottom w:val="single" w:sz="4" w:space="0" w:color="000000"/>
            </w:tcBorders>
          </w:tcPr>
          <w:p w14:paraId="4F26EB62" w14:textId="77777777" w:rsidR="001C08A5" w:rsidRDefault="001C08A5">
            <w:pPr>
              <w:snapToGrid w:val="0"/>
              <w:jc w:val="both"/>
              <w:rPr>
                <w:i/>
                <w:iCs/>
                <w:sz w:val="22"/>
                <w:szCs w:val="22"/>
              </w:rPr>
            </w:pPr>
          </w:p>
          <w:p w14:paraId="2320EB97" w14:textId="77777777" w:rsidR="001C08A5" w:rsidRDefault="00000000">
            <w:pPr>
              <w:jc w:val="both"/>
              <w:rPr>
                <w:i/>
                <w:iCs/>
                <w:sz w:val="22"/>
                <w:szCs w:val="22"/>
              </w:rPr>
            </w:pPr>
            <w:r>
              <w:rPr>
                <w:i/>
                <w:iCs/>
                <w:sz w:val="22"/>
                <w:szCs w:val="22"/>
              </w:rPr>
              <w:t>2.</w:t>
            </w:r>
          </w:p>
        </w:tc>
        <w:tc>
          <w:tcPr>
            <w:tcW w:w="3480" w:type="dxa"/>
            <w:vMerge w:val="restart"/>
            <w:tcBorders>
              <w:top w:val="single" w:sz="4" w:space="0" w:color="000000"/>
              <w:left w:val="single" w:sz="4" w:space="0" w:color="000000"/>
              <w:bottom w:val="single" w:sz="4" w:space="0" w:color="000000"/>
            </w:tcBorders>
          </w:tcPr>
          <w:p w14:paraId="40FAC34B" w14:textId="77777777" w:rsidR="001C08A5" w:rsidRDefault="001C08A5">
            <w:pPr>
              <w:snapToGrid w:val="0"/>
              <w:jc w:val="both"/>
              <w:rPr>
                <w:i/>
                <w:iCs/>
                <w:sz w:val="22"/>
                <w:szCs w:val="22"/>
              </w:rPr>
            </w:pPr>
          </w:p>
          <w:p w14:paraId="6F22DA00" w14:textId="77777777" w:rsidR="001C08A5" w:rsidRDefault="00000000">
            <w:pPr>
              <w:jc w:val="both"/>
              <w:rPr>
                <w:b/>
                <w:i/>
                <w:iCs/>
                <w:sz w:val="22"/>
                <w:szCs w:val="22"/>
              </w:rPr>
            </w:pPr>
            <w:r>
              <w:rPr>
                <w:i/>
                <w:iCs/>
                <w:sz w:val="22"/>
                <w:szCs w:val="22"/>
              </w:rPr>
              <w:t xml:space="preserve">Sală aglomerată tip </w:t>
            </w:r>
            <w:r>
              <w:rPr>
                <w:b/>
                <w:i/>
                <w:iCs/>
                <w:sz w:val="22"/>
                <w:szCs w:val="22"/>
              </w:rPr>
              <w:t>S2</w:t>
            </w:r>
            <w:r>
              <w:rPr>
                <w:i/>
                <w:iCs/>
                <w:sz w:val="22"/>
                <w:szCs w:val="22"/>
              </w:rPr>
              <w:t xml:space="preserve"> şi nivel de stabilitate la incendiu:</w:t>
            </w:r>
          </w:p>
        </w:tc>
        <w:tc>
          <w:tcPr>
            <w:tcW w:w="1680" w:type="dxa"/>
            <w:tcBorders>
              <w:top w:val="single" w:sz="4" w:space="0" w:color="000000"/>
              <w:left w:val="single" w:sz="4" w:space="0" w:color="000000"/>
              <w:bottom w:val="single" w:sz="4" w:space="0" w:color="000000"/>
            </w:tcBorders>
          </w:tcPr>
          <w:p w14:paraId="27123653" w14:textId="77777777" w:rsidR="001C08A5" w:rsidRDefault="00000000">
            <w:pPr>
              <w:jc w:val="center"/>
              <w:rPr>
                <w:b/>
                <w:i/>
                <w:iCs/>
                <w:sz w:val="22"/>
                <w:szCs w:val="22"/>
              </w:rPr>
            </w:pPr>
            <w:r>
              <w:rPr>
                <w:b/>
                <w:i/>
                <w:iCs/>
                <w:sz w:val="22"/>
                <w:szCs w:val="22"/>
              </w:rPr>
              <w:t>I</w:t>
            </w:r>
          </w:p>
        </w:tc>
        <w:tc>
          <w:tcPr>
            <w:tcW w:w="3618" w:type="dxa"/>
            <w:tcBorders>
              <w:top w:val="single" w:sz="4" w:space="0" w:color="000000"/>
              <w:left w:val="single" w:sz="4" w:space="0" w:color="000000"/>
              <w:bottom w:val="single" w:sz="4" w:space="0" w:color="000000"/>
              <w:right w:val="single" w:sz="4" w:space="0" w:color="000000"/>
            </w:tcBorders>
          </w:tcPr>
          <w:p w14:paraId="00BADF9B" w14:textId="77777777" w:rsidR="001C08A5" w:rsidRDefault="00000000">
            <w:pPr>
              <w:jc w:val="center"/>
              <w:rPr>
                <w:i/>
                <w:iCs/>
                <w:sz w:val="22"/>
                <w:szCs w:val="22"/>
              </w:rPr>
            </w:pPr>
            <w:r>
              <w:rPr>
                <w:b/>
                <w:i/>
                <w:iCs/>
                <w:sz w:val="22"/>
                <w:szCs w:val="22"/>
              </w:rPr>
              <w:t>75(110)*</w:t>
            </w:r>
          </w:p>
        </w:tc>
      </w:tr>
      <w:tr w:rsidR="001C08A5" w14:paraId="6AB615D6" w14:textId="77777777">
        <w:trPr>
          <w:cantSplit/>
        </w:trPr>
        <w:tc>
          <w:tcPr>
            <w:tcW w:w="720" w:type="dxa"/>
            <w:vMerge/>
            <w:tcBorders>
              <w:top w:val="single" w:sz="4" w:space="0" w:color="000000"/>
              <w:left w:val="single" w:sz="4" w:space="0" w:color="000000"/>
              <w:bottom w:val="single" w:sz="4" w:space="0" w:color="000000"/>
            </w:tcBorders>
          </w:tcPr>
          <w:p w14:paraId="338EE58D" w14:textId="77777777" w:rsidR="001C08A5" w:rsidRDefault="001C08A5">
            <w:pPr>
              <w:snapToGrid w:val="0"/>
              <w:jc w:val="both"/>
              <w:rPr>
                <w:i/>
                <w:iCs/>
                <w:sz w:val="22"/>
                <w:szCs w:val="22"/>
              </w:rPr>
            </w:pPr>
          </w:p>
        </w:tc>
        <w:tc>
          <w:tcPr>
            <w:tcW w:w="3480" w:type="dxa"/>
            <w:vMerge/>
            <w:tcBorders>
              <w:top w:val="single" w:sz="4" w:space="0" w:color="000000"/>
              <w:left w:val="single" w:sz="4" w:space="0" w:color="000000"/>
              <w:bottom w:val="single" w:sz="4" w:space="0" w:color="000000"/>
            </w:tcBorders>
          </w:tcPr>
          <w:p w14:paraId="0C09285B" w14:textId="77777777" w:rsidR="001C08A5" w:rsidRDefault="001C08A5">
            <w:pPr>
              <w:snapToGrid w:val="0"/>
              <w:jc w:val="both"/>
              <w:rPr>
                <w:i/>
                <w:iCs/>
                <w:sz w:val="22"/>
                <w:szCs w:val="22"/>
              </w:rPr>
            </w:pPr>
          </w:p>
        </w:tc>
        <w:tc>
          <w:tcPr>
            <w:tcW w:w="1680" w:type="dxa"/>
            <w:tcBorders>
              <w:top w:val="single" w:sz="4" w:space="0" w:color="000000"/>
              <w:left w:val="single" w:sz="4" w:space="0" w:color="000000"/>
              <w:bottom w:val="single" w:sz="4" w:space="0" w:color="000000"/>
            </w:tcBorders>
          </w:tcPr>
          <w:p w14:paraId="565DE9E3" w14:textId="77777777" w:rsidR="001C08A5" w:rsidRDefault="00000000">
            <w:pPr>
              <w:jc w:val="center"/>
              <w:rPr>
                <w:b/>
                <w:i/>
                <w:iCs/>
                <w:sz w:val="22"/>
                <w:szCs w:val="22"/>
              </w:rPr>
            </w:pPr>
            <w:r>
              <w:rPr>
                <w:b/>
                <w:i/>
                <w:iCs/>
                <w:sz w:val="22"/>
                <w:szCs w:val="22"/>
              </w:rPr>
              <w:t>II</w:t>
            </w:r>
          </w:p>
        </w:tc>
        <w:tc>
          <w:tcPr>
            <w:tcW w:w="3618" w:type="dxa"/>
            <w:tcBorders>
              <w:top w:val="single" w:sz="4" w:space="0" w:color="000000"/>
              <w:left w:val="single" w:sz="4" w:space="0" w:color="000000"/>
              <w:bottom w:val="single" w:sz="4" w:space="0" w:color="000000"/>
              <w:right w:val="single" w:sz="4" w:space="0" w:color="000000"/>
            </w:tcBorders>
          </w:tcPr>
          <w:p w14:paraId="6BE27BD9" w14:textId="77777777" w:rsidR="001C08A5" w:rsidRDefault="00000000">
            <w:pPr>
              <w:jc w:val="center"/>
              <w:rPr>
                <w:i/>
                <w:iCs/>
                <w:sz w:val="22"/>
                <w:szCs w:val="22"/>
              </w:rPr>
            </w:pPr>
            <w:r>
              <w:rPr>
                <w:b/>
                <w:i/>
                <w:iCs/>
                <w:sz w:val="22"/>
                <w:szCs w:val="22"/>
              </w:rPr>
              <w:t>70 (100)*</w:t>
            </w:r>
          </w:p>
        </w:tc>
      </w:tr>
      <w:tr w:rsidR="001C08A5" w14:paraId="24636A0B" w14:textId="77777777">
        <w:trPr>
          <w:cantSplit/>
        </w:trPr>
        <w:tc>
          <w:tcPr>
            <w:tcW w:w="720" w:type="dxa"/>
            <w:vMerge/>
            <w:tcBorders>
              <w:top w:val="single" w:sz="4" w:space="0" w:color="000000"/>
              <w:left w:val="single" w:sz="4" w:space="0" w:color="000000"/>
              <w:bottom w:val="single" w:sz="4" w:space="0" w:color="000000"/>
            </w:tcBorders>
          </w:tcPr>
          <w:p w14:paraId="6670A30F" w14:textId="77777777" w:rsidR="001C08A5" w:rsidRDefault="001C08A5">
            <w:pPr>
              <w:snapToGrid w:val="0"/>
              <w:jc w:val="both"/>
              <w:rPr>
                <w:i/>
                <w:iCs/>
                <w:sz w:val="22"/>
                <w:szCs w:val="22"/>
              </w:rPr>
            </w:pPr>
          </w:p>
        </w:tc>
        <w:tc>
          <w:tcPr>
            <w:tcW w:w="3480" w:type="dxa"/>
            <w:vMerge/>
            <w:tcBorders>
              <w:top w:val="single" w:sz="4" w:space="0" w:color="000000"/>
              <w:left w:val="single" w:sz="4" w:space="0" w:color="000000"/>
              <w:bottom w:val="single" w:sz="4" w:space="0" w:color="000000"/>
            </w:tcBorders>
          </w:tcPr>
          <w:p w14:paraId="0A2C5B02" w14:textId="77777777" w:rsidR="001C08A5" w:rsidRDefault="001C08A5">
            <w:pPr>
              <w:snapToGrid w:val="0"/>
              <w:jc w:val="both"/>
              <w:rPr>
                <w:i/>
                <w:iCs/>
                <w:sz w:val="22"/>
                <w:szCs w:val="22"/>
              </w:rPr>
            </w:pPr>
          </w:p>
        </w:tc>
        <w:tc>
          <w:tcPr>
            <w:tcW w:w="1680" w:type="dxa"/>
            <w:tcBorders>
              <w:top w:val="single" w:sz="4" w:space="0" w:color="000000"/>
              <w:left w:val="single" w:sz="4" w:space="0" w:color="000000"/>
              <w:bottom w:val="single" w:sz="4" w:space="0" w:color="000000"/>
            </w:tcBorders>
          </w:tcPr>
          <w:p w14:paraId="62AC060F" w14:textId="77777777" w:rsidR="001C08A5" w:rsidRDefault="00000000">
            <w:pPr>
              <w:jc w:val="center"/>
              <w:rPr>
                <w:b/>
                <w:i/>
                <w:iCs/>
                <w:sz w:val="22"/>
                <w:szCs w:val="22"/>
              </w:rPr>
            </w:pPr>
            <w:r>
              <w:rPr>
                <w:b/>
                <w:i/>
                <w:iCs/>
                <w:sz w:val="22"/>
                <w:szCs w:val="22"/>
              </w:rPr>
              <w:t>III</w:t>
            </w:r>
          </w:p>
        </w:tc>
        <w:tc>
          <w:tcPr>
            <w:tcW w:w="3618" w:type="dxa"/>
            <w:tcBorders>
              <w:top w:val="single" w:sz="4" w:space="0" w:color="000000"/>
              <w:left w:val="single" w:sz="4" w:space="0" w:color="000000"/>
              <w:bottom w:val="single" w:sz="4" w:space="0" w:color="000000"/>
              <w:right w:val="single" w:sz="4" w:space="0" w:color="000000"/>
            </w:tcBorders>
          </w:tcPr>
          <w:p w14:paraId="7C715F56" w14:textId="77777777" w:rsidR="001C08A5" w:rsidRDefault="00000000">
            <w:pPr>
              <w:jc w:val="center"/>
              <w:rPr>
                <w:i/>
                <w:iCs/>
                <w:sz w:val="22"/>
                <w:szCs w:val="22"/>
              </w:rPr>
            </w:pPr>
            <w:r>
              <w:rPr>
                <w:b/>
                <w:i/>
                <w:iCs/>
                <w:sz w:val="22"/>
                <w:szCs w:val="22"/>
              </w:rPr>
              <w:t>50 (75) *</w:t>
            </w:r>
          </w:p>
        </w:tc>
      </w:tr>
      <w:tr w:rsidR="001C08A5" w14:paraId="39E6E76C" w14:textId="77777777">
        <w:trPr>
          <w:cantSplit/>
        </w:trPr>
        <w:tc>
          <w:tcPr>
            <w:tcW w:w="720" w:type="dxa"/>
            <w:vMerge/>
            <w:tcBorders>
              <w:top w:val="single" w:sz="4" w:space="0" w:color="000000"/>
              <w:left w:val="single" w:sz="4" w:space="0" w:color="000000"/>
              <w:bottom w:val="single" w:sz="4" w:space="0" w:color="000000"/>
            </w:tcBorders>
          </w:tcPr>
          <w:p w14:paraId="14E7EEF5" w14:textId="77777777" w:rsidR="001C08A5" w:rsidRDefault="001C08A5">
            <w:pPr>
              <w:snapToGrid w:val="0"/>
              <w:jc w:val="both"/>
              <w:rPr>
                <w:i/>
                <w:iCs/>
                <w:sz w:val="22"/>
                <w:szCs w:val="22"/>
              </w:rPr>
            </w:pPr>
          </w:p>
        </w:tc>
        <w:tc>
          <w:tcPr>
            <w:tcW w:w="3480" w:type="dxa"/>
            <w:vMerge/>
            <w:tcBorders>
              <w:top w:val="single" w:sz="4" w:space="0" w:color="000000"/>
              <w:left w:val="single" w:sz="4" w:space="0" w:color="000000"/>
              <w:bottom w:val="single" w:sz="4" w:space="0" w:color="000000"/>
            </w:tcBorders>
          </w:tcPr>
          <w:p w14:paraId="20C6E102" w14:textId="77777777" w:rsidR="001C08A5" w:rsidRDefault="001C08A5">
            <w:pPr>
              <w:snapToGrid w:val="0"/>
              <w:jc w:val="both"/>
              <w:rPr>
                <w:i/>
                <w:iCs/>
                <w:sz w:val="22"/>
                <w:szCs w:val="22"/>
              </w:rPr>
            </w:pPr>
          </w:p>
        </w:tc>
        <w:tc>
          <w:tcPr>
            <w:tcW w:w="1680" w:type="dxa"/>
            <w:tcBorders>
              <w:top w:val="single" w:sz="4" w:space="0" w:color="000000"/>
              <w:left w:val="single" w:sz="4" w:space="0" w:color="000000"/>
              <w:bottom w:val="single" w:sz="4" w:space="0" w:color="000000"/>
            </w:tcBorders>
          </w:tcPr>
          <w:p w14:paraId="08B2BF74" w14:textId="77777777" w:rsidR="001C08A5" w:rsidRDefault="00000000">
            <w:pPr>
              <w:jc w:val="center"/>
              <w:rPr>
                <w:b/>
                <w:i/>
                <w:iCs/>
                <w:sz w:val="22"/>
                <w:szCs w:val="22"/>
              </w:rPr>
            </w:pPr>
            <w:r>
              <w:rPr>
                <w:b/>
                <w:i/>
                <w:iCs/>
                <w:sz w:val="22"/>
                <w:szCs w:val="22"/>
              </w:rPr>
              <w:t>IV</w:t>
            </w:r>
          </w:p>
        </w:tc>
        <w:tc>
          <w:tcPr>
            <w:tcW w:w="3618" w:type="dxa"/>
            <w:tcBorders>
              <w:top w:val="single" w:sz="4" w:space="0" w:color="000000"/>
              <w:left w:val="single" w:sz="4" w:space="0" w:color="000000"/>
              <w:bottom w:val="single" w:sz="4" w:space="0" w:color="000000"/>
              <w:right w:val="single" w:sz="4" w:space="0" w:color="000000"/>
            </w:tcBorders>
          </w:tcPr>
          <w:p w14:paraId="4C6781AF" w14:textId="77777777" w:rsidR="001C08A5" w:rsidRDefault="00000000">
            <w:pPr>
              <w:jc w:val="center"/>
              <w:rPr>
                <w:i/>
                <w:iCs/>
                <w:sz w:val="22"/>
                <w:szCs w:val="22"/>
              </w:rPr>
            </w:pPr>
            <w:r>
              <w:rPr>
                <w:b/>
                <w:i/>
                <w:iCs/>
                <w:sz w:val="22"/>
                <w:szCs w:val="22"/>
              </w:rPr>
              <w:t>35</w:t>
            </w:r>
          </w:p>
        </w:tc>
      </w:tr>
      <w:tr w:rsidR="001C08A5" w14:paraId="72D30270" w14:textId="77777777">
        <w:trPr>
          <w:cantSplit/>
        </w:trPr>
        <w:tc>
          <w:tcPr>
            <w:tcW w:w="720" w:type="dxa"/>
            <w:vMerge/>
            <w:tcBorders>
              <w:top w:val="single" w:sz="4" w:space="0" w:color="000000"/>
              <w:left w:val="single" w:sz="4" w:space="0" w:color="000000"/>
              <w:bottom w:val="single" w:sz="4" w:space="0" w:color="000000"/>
            </w:tcBorders>
          </w:tcPr>
          <w:p w14:paraId="6A48F3B2" w14:textId="77777777" w:rsidR="001C08A5" w:rsidRDefault="001C08A5">
            <w:pPr>
              <w:snapToGrid w:val="0"/>
              <w:jc w:val="both"/>
              <w:rPr>
                <w:i/>
                <w:iCs/>
                <w:sz w:val="22"/>
                <w:szCs w:val="22"/>
              </w:rPr>
            </w:pPr>
          </w:p>
        </w:tc>
        <w:tc>
          <w:tcPr>
            <w:tcW w:w="3480" w:type="dxa"/>
            <w:vMerge/>
            <w:tcBorders>
              <w:top w:val="single" w:sz="4" w:space="0" w:color="000000"/>
              <w:left w:val="single" w:sz="4" w:space="0" w:color="000000"/>
              <w:bottom w:val="single" w:sz="4" w:space="0" w:color="000000"/>
            </w:tcBorders>
          </w:tcPr>
          <w:p w14:paraId="0BB9EF39" w14:textId="77777777" w:rsidR="001C08A5" w:rsidRDefault="001C08A5">
            <w:pPr>
              <w:snapToGrid w:val="0"/>
              <w:jc w:val="both"/>
              <w:rPr>
                <w:i/>
                <w:iCs/>
                <w:sz w:val="22"/>
                <w:szCs w:val="22"/>
              </w:rPr>
            </w:pPr>
          </w:p>
        </w:tc>
        <w:tc>
          <w:tcPr>
            <w:tcW w:w="1680" w:type="dxa"/>
            <w:tcBorders>
              <w:top w:val="single" w:sz="4" w:space="0" w:color="000000"/>
              <w:left w:val="single" w:sz="4" w:space="0" w:color="000000"/>
              <w:bottom w:val="single" w:sz="4" w:space="0" w:color="000000"/>
            </w:tcBorders>
          </w:tcPr>
          <w:p w14:paraId="771B2556" w14:textId="77777777" w:rsidR="001C08A5" w:rsidRDefault="00000000">
            <w:pPr>
              <w:jc w:val="center"/>
              <w:rPr>
                <w:b/>
                <w:i/>
                <w:iCs/>
                <w:sz w:val="22"/>
                <w:szCs w:val="22"/>
              </w:rPr>
            </w:pPr>
            <w:r>
              <w:rPr>
                <w:b/>
                <w:i/>
                <w:iCs/>
                <w:sz w:val="22"/>
                <w:szCs w:val="22"/>
              </w:rPr>
              <w:t>V</w:t>
            </w:r>
          </w:p>
        </w:tc>
        <w:tc>
          <w:tcPr>
            <w:tcW w:w="3618" w:type="dxa"/>
            <w:tcBorders>
              <w:top w:val="single" w:sz="4" w:space="0" w:color="000000"/>
              <w:left w:val="single" w:sz="4" w:space="0" w:color="000000"/>
              <w:bottom w:val="single" w:sz="4" w:space="0" w:color="000000"/>
              <w:right w:val="single" w:sz="4" w:space="0" w:color="000000"/>
            </w:tcBorders>
          </w:tcPr>
          <w:p w14:paraId="677446F5" w14:textId="77777777" w:rsidR="001C08A5" w:rsidRDefault="00000000">
            <w:pPr>
              <w:jc w:val="center"/>
              <w:rPr>
                <w:i/>
                <w:iCs/>
                <w:sz w:val="22"/>
                <w:szCs w:val="22"/>
              </w:rPr>
            </w:pPr>
            <w:r>
              <w:rPr>
                <w:b/>
                <w:i/>
                <w:iCs/>
                <w:sz w:val="22"/>
                <w:szCs w:val="22"/>
              </w:rPr>
              <w:t>25</w:t>
            </w:r>
          </w:p>
        </w:tc>
      </w:tr>
    </w:tbl>
    <w:p w14:paraId="24116FEF" w14:textId="77777777" w:rsidR="001C08A5" w:rsidRDefault="00000000">
      <w:pPr>
        <w:jc w:val="both"/>
        <w:rPr>
          <w:b/>
          <w:i/>
          <w:sz w:val="22"/>
          <w:szCs w:val="22"/>
        </w:rPr>
      </w:pPr>
      <w:r>
        <w:rPr>
          <w:i/>
          <w:sz w:val="22"/>
          <w:szCs w:val="22"/>
          <w:u w:val="single"/>
        </w:rPr>
        <w:t>Notă</w:t>
      </w:r>
      <w:r>
        <w:rPr>
          <w:i/>
          <w:sz w:val="22"/>
          <w:szCs w:val="22"/>
        </w:rPr>
        <w:t>:</w:t>
      </w:r>
      <w:r>
        <w:rPr>
          <w:b/>
          <w:i/>
          <w:sz w:val="22"/>
          <w:szCs w:val="22"/>
        </w:rPr>
        <w:tab/>
      </w:r>
    </w:p>
    <w:p w14:paraId="4BFFF75E" w14:textId="77777777" w:rsidR="001C08A5" w:rsidRDefault="00000000">
      <w:pPr>
        <w:jc w:val="both"/>
        <w:rPr>
          <w:i/>
          <w:sz w:val="22"/>
          <w:szCs w:val="22"/>
        </w:rPr>
      </w:pPr>
      <w:r>
        <w:rPr>
          <w:b/>
          <w:i/>
          <w:sz w:val="22"/>
          <w:szCs w:val="22"/>
        </w:rPr>
        <w:t xml:space="preserve">* </w:t>
      </w:r>
      <w:r>
        <w:rPr>
          <w:i/>
          <w:sz w:val="22"/>
          <w:szCs w:val="22"/>
        </w:rPr>
        <w:t>=Valorile din paranteze se referă la unităţile (fluxurile) de trecere de evacuare din interiorul sălii aglomerate, pe traseul parcurs de la cel mai îndepărtat loc până la cea mai apropiată uşă de evacuare a sălii aglomerate.</w:t>
      </w:r>
    </w:p>
    <w:p w14:paraId="35C1BF4B" w14:textId="77777777" w:rsidR="001C08A5" w:rsidRDefault="001C08A5">
      <w:pPr>
        <w:jc w:val="both"/>
        <w:rPr>
          <w:sz w:val="24"/>
          <w:szCs w:val="24"/>
        </w:rPr>
      </w:pPr>
    </w:p>
    <w:p w14:paraId="64D47A88" w14:textId="77777777" w:rsidR="001C08A5" w:rsidRDefault="00000000">
      <w:pPr>
        <w:jc w:val="both"/>
        <w:rPr>
          <w:b/>
          <w:sz w:val="24"/>
          <w:szCs w:val="24"/>
        </w:rPr>
      </w:pPr>
      <w:r>
        <w:rPr>
          <w:b/>
          <w:sz w:val="24"/>
          <w:szCs w:val="24"/>
        </w:rPr>
        <w:tab/>
        <w:t xml:space="preserve">Art. 4.3.5.9. </w:t>
      </w:r>
      <w:r>
        <w:rPr>
          <w:sz w:val="24"/>
          <w:szCs w:val="24"/>
        </w:rPr>
        <w:t>Lungimile de evacuare maximum admise pe traseele parcurse de utilizatori pe căile de evacuare (</w:t>
      </w:r>
      <w:r>
        <w:rPr>
          <w:bCs/>
          <w:sz w:val="24"/>
          <w:szCs w:val="24"/>
        </w:rPr>
        <w:t xml:space="preserve">de la cel mai îndepărtat loc, până la cea mai apropiată uşă de evacuare a sălii aglomerate fiind traseu </w:t>
      </w:r>
      <w:r>
        <w:rPr>
          <w:b/>
          <w:sz w:val="24"/>
          <w:szCs w:val="24"/>
        </w:rPr>
        <w:t>interior</w:t>
      </w:r>
      <w:r>
        <w:rPr>
          <w:bCs/>
          <w:sz w:val="24"/>
          <w:szCs w:val="24"/>
        </w:rPr>
        <w:t xml:space="preserve"> de evacuare</w:t>
      </w:r>
      <w:r>
        <w:rPr>
          <w:sz w:val="24"/>
          <w:szCs w:val="24"/>
        </w:rPr>
        <w:t xml:space="preserve">) ale sălilor aglomerate, sunt precizate în </w:t>
      </w:r>
      <w:r>
        <w:rPr>
          <w:b/>
          <w:bCs/>
          <w:i/>
          <w:iCs/>
          <w:sz w:val="24"/>
          <w:szCs w:val="24"/>
        </w:rPr>
        <w:fldChar w:fldCharType="begin"/>
      </w:r>
      <w:r>
        <w:rPr>
          <w:b/>
          <w:bCs/>
          <w:i/>
          <w:iCs/>
          <w:sz w:val="24"/>
          <w:szCs w:val="24"/>
        </w:rPr>
        <w:instrText xml:space="preserve"> REF _Ref26231 \h </w:instrText>
      </w:r>
      <w:r>
        <w:rPr>
          <w:b/>
          <w:bCs/>
          <w:i/>
          <w:iCs/>
          <w:sz w:val="24"/>
          <w:szCs w:val="24"/>
        </w:rPr>
      </w:r>
      <w:r>
        <w:rPr>
          <w:b/>
          <w:bCs/>
          <w:i/>
          <w:iCs/>
          <w:sz w:val="24"/>
          <w:szCs w:val="24"/>
        </w:rPr>
        <w:fldChar w:fldCharType="separate"/>
      </w:r>
      <w:r>
        <w:t>Tabelul 110</w:t>
      </w:r>
      <w:r>
        <w:rPr>
          <w:b/>
          <w:bCs/>
          <w:i/>
          <w:iCs/>
          <w:sz w:val="24"/>
          <w:szCs w:val="24"/>
        </w:rPr>
        <w:fldChar w:fldCharType="end"/>
      </w:r>
      <w:r>
        <w:rPr>
          <w:b/>
          <w:sz w:val="24"/>
          <w:szCs w:val="24"/>
        </w:rPr>
        <w:t>.</w:t>
      </w:r>
    </w:p>
    <w:p w14:paraId="466DAEE3" w14:textId="77777777" w:rsidR="001C08A5" w:rsidRDefault="001C08A5">
      <w:pPr>
        <w:jc w:val="both"/>
        <w:rPr>
          <w:sz w:val="24"/>
          <w:szCs w:val="24"/>
        </w:rPr>
      </w:pPr>
    </w:p>
    <w:p w14:paraId="78DB217D" w14:textId="77777777" w:rsidR="001C08A5" w:rsidRDefault="00000000">
      <w:pPr>
        <w:pStyle w:val="Captiontabel"/>
      </w:pPr>
      <w:bookmarkStart w:id="4901" w:name="_Ref26231"/>
      <w:bookmarkStart w:id="4902" w:name="_Toc162360160"/>
      <w:r>
        <w:t xml:space="preserve">Tabelul </w:t>
      </w:r>
      <w:r>
        <w:fldChar w:fldCharType="begin"/>
      </w:r>
      <w:r>
        <w:instrText xml:space="preserve"> SEQ Tabelul \* ARABIC </w:instrText>
      </w:r>
      <w:r>
        <w:fldChar w:fldCharType="separate"/>
      </w:r>
      <w:r>
        <w:t>110</w:t>
      </w:r>
      <w:r>
        <w:fldChar w:fldCharType="end"/>
      </w:r>
      <w:bookmarkStart w:id="4903" w:name="_Toc9176"/>
      <w:bookmarkStart w:id="4904" w:name="_Toc5084"/>
      <w:bookmarkStart w:id="4905" w:name="_Toc14945"/>
      <w:bookmarkStart w:id="4906" w:name="_Toc28053"/>
      <w:bookmarkStart w:id="4907" w:name="_Toc23875"/>
      <w:bookmarkStart w:id="4908" w:name="_Toc7971"/>
      <w:bookmarkStart w:id="4909" w:name="_Toc11674"/>
      <w:bookmarkStart w:id="4910" w:name="_Toc30410"/>
      <w:bookmarkStart w:id="4911" w:name="_Toc10858"/>
      <w:bookmarkStart w:id="4912" w:name="_Toc25096"/>
      <w:bookmarkStart w:id="4913" w:name="_Toc9909"/>
      <w:bookmarkStart w:id="4914" w:name="_Toc6314"/>
      <w:bookmarkStart w:id="4915" w:name="_Toc22807"/>
      <w:bookmarkStart w:id="4916" w:name="_Toc4197"/>
      <w:bookmarkStart w:id="4917" w:name="_Toc15040"/>
      <w:bookmarkStart w:id="4918" w:name="_Toc23564"/>
      <w:bookmarkStart w:id="4919" w:name="_Toc5937"/>
      <w:bookmarkStart w:id="4920" w:name="_Toc27748"/>
      <w:bookmarkStart w:id="4921" w:name="_Toc3241"/>
      <w:bookmarkEnd w:id="4901"/>
      <w:r>
        <w:t>: Lungimi de evacuare maximum admise la săli aglomerate</w:t>
      </w:r>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p>
    <w:p w14:paraId="09A0AF40" w14:textId="77777777" w:rsidR="001C08A5" w:rsidRDefault="001C08A5">
      <w:pPr>
        <w:jc w:val="both"/>
        <w:rPr>
          <w:sz w:val="24"/>
          <w:szCs w:val="24"/>
        </w:rPr>
      </w:pPr>
    </w:p>
    <w:tbl>
      <w:tblPr>
        <w:tblW w:w="9498" w:type="dxa"/>
        <w:tblInd w:w="108" w:type="dxa"/>
        <w:tblLayout w:type="fixed"/>
        <w:tblLook w:val="04A0" w:firstRow="1" w:lastRow="0" w:firstColumn="1" w:lastColumn="0" w:noHBand="0" w:noVBand="1"/>
      </w:tblPr>
      <w:tblGrid>
        <w:gridCol w:w="1560"/>
        <w:gridCol w:w="1559"/>
        <w:gridCol w:w="2126"/>
        <w:gridCol w:w="2126"/>
        <w:gridCol w:w="2127"/>
      </w:tblGrid>
      <w:tr w:rsidR="001C08A5" w14:paraId="40276C19" w14:textId="77777777">
        <w:trPr>
          <w:trHeight w:val="352"/>
          <w:tblHeader/>
        </w:trPr>
        <w:tc>
          <w:tcPr>
            <w:tcW w:w="1560" w:type="dxa"/>
            <w:vMerge w:val="restart"/>
            <w:tcBorders>
              <w:top w:val="single" w:sz="8" w:space="0" w:color="000000"/>
              <w:left w:val="single" w:sz="8" w:space="0" w:color="000000"/>
              <w:bottom w:val="single" w:sz="4" w:space="0" w:color="000000"/>
            </w:tcBorders>
            <w:shd w:val="clear" w:color="auto" w:fill="BFBFBF"/>
          </w:tcPr>
          <w:p w14:paraId="746FE105" w14:textId="77777777" w:rsidR="001C08A5" w:rsidRDefault="001C08A5">
            <w:pPr>
              <w:snapToGrid w:val="0"/>
              <w:jc w:val="center"/>
              <w:rPr>
                <w:i/>
                <w:iCs/>
                <w:sz w:val="22"/>
                <w:szCs w:val="22"/>
              </w:rPr>
            </w:pPr>
          </w:p>
          <w:p w14:paraId="0318748E" w14:textId="77777777" w:rsidR="001C08A5" w:rsidRDefault="001C08A5">
            <w:pPr>
              <w:jc w:val="center"/>
              <w:rPr>
                <w:i/>
                <w:iCs/>
                <w:sz w:val="22"/>
                <w:szCs w:val="22"/>
              </w:rPr>
            </w:pPr>
          </w:p>
          <w:p w14:paraId="5C3C2940" w14:textId="77777777" w:rsidR="001C08A5" w:rsidRDefault="001C08A5">
            <w:pPr>
              <w:jc w:val="center"/>
              <w:rPr>
                <w:i/>
                <w:iCs/>
                <w:sz w:val="22"/>
                <w:szCs w:val="22"/>
              </w:rPr>
            </w:pPr>
          </w:p>
          <w:p w14:paraId="0B0768E7" w14:textId="77777777" w:rsidR="001C08A5" w:rsidRDefault="00000000">
            <w:pPr>
              <w:jc w:val="center"/>
              <w:rPr>
                <w:i/>
                <w:iCs/>
                <w:sz w:val="22"/>
                <w:szCs w:val="22"/>
              </w:rPr>
            </w:pPr>
            <w:r>
              <w:rPr>
                <w:b/>
                <w:i/>
                <w:iCs/>
                <w:sz w:val="22"/>
                <w:szCs w:val="22"/>
              </w:rPr>
              <w:t>Categoria sălii aglomerate</w:t>
            </w:r>
          </w:p>
        </w:tc>
        <w:tc>
          <w:tcPr>
            <w:tcW w:w="1559" w:type="dxa"/>
            <w:vMerge w:val="restart"/>
            <w:tcBorders>
              <w:top w:val="single" w:sz="8" w:space="0" w:color="000000"/>
              <w:left w:val="single" w:sz="4" w:space="0" w:color="000000"/>
              <w:bottom w:val="single" w:sz="4" w:space="0" w:color="000000"/>
            </w:tcBorders>
            <w:shd w:val="clear" w:color="auto" w:fill="BFBFBF"/>
          </w:tcPr>
          <w:p w14:paraId="36501892" w14:textId="77777777" w:rsidR="001C08A5" w:rsidRDefault="001C08A5">
            <w:pPr>
              <w:snapToGrid w:val="0"/>
              <w:jc w:val="both"/>
              <w:rPr>
                <w:i/>
                <w:iCs/>
                <w:sz w:val="22"/>
                <w:szCs w:val="22"/>
              </w:rPr>
            </w:pPr>
          </w:p>
          <w:p w14:paraId="39CB6AC9" w14:textId="77777777" w:rsidR="001C08A5" w:rsidRDefault="001C08A5">
            <w:pPr>
              <w:jc w:val="both"/>
              <w:rPr>
                <w:i/>
                <w:iCs/>
                <w:sz w:val="22"/>
                <w:szCs w:val="22"/>
              </w:rPr>
            </w:pPr>
          </w:p>
          <w:p w14:paraId="4BCC8160" w14:textId="77777777" w:rsidR="001C08A5" w:rsidRDefault="00000000">
            <w:pPr>
              <w:jc w:val="center"/>
              <w:rPr>
                <w:b/>
                <w:i/>
                <w:iCs/>
                <w:sz w:val="22"/>
                <w:szCs w:val="22"/>
              </w:rPr>
            </w:pPr>
            <w:r>
              <w:rPr>
                <w:b/>
                <w:i/>
                <w:iCs/>
                <w:sz w:val="22"/>
                <w:szCs w:val="22"/>
              </w:rPr>
              <w:t>Nivelul de stabilitate la incendiu al clădirii</w:t>
            </w:r>
          </w:p>
        </w:tc>
        <w:tc>
          <w:tcPr>
            <w:tcW w:w="6379" w:type="dxa"/>
            <w:gridSpan w:val="3"/>
            <w:tcBorders>
              <w:top w:val="single" w:sz="8" w:space="0" w:color="000000"/>
              <w:left w:val="single" w:sz="4" w:space="0" w:color="000000"/>
              <w:bottom w:val="single" w:sz="4" w:space="0" w:color="000000"/>
              <w:right w:val="single" w:sz="8" w:space="0" w:color="000000"/>
            </w:tcBorders>
            <w:shd w:val="clear" w:color="auto" w:fill="BFBFBF"/>
          </w:tcPr>
          <w:p w14:paraId="7F8C3057" w14:textId="77777777" w:rsidR="001C08A5" w:rsidRDefault="00000000">
            <w:pPr>
              <w:jc w:val="center"/>
              <w:rPr>
                <w:i/>
                <w:iCs/>
                <w:sz w:val="22"/>
                <w:szCs w:val="22"/>
              </w:rPr>
            </w:pPr>
            <w:r>
              <w:rPr>
                <w:b/>
                <w:i/>
                <w:iCs/>
                <w:sz w:val="22"/>
                <w:szCs w:val="22"/>
              </w:rPr>
              <w:t>Lungimi de evacuare  maximum admise</w:t>
            </w:r>
          </w:p>
        </w:tc>
      </w:tr>
      <w:tr w:rsidR="001C08A5" w14:paraId="57F6C9A2" w14:textId="77777777">
        <w:trPr>
          <w:trHeight w:val="434"/>
          <w:tblHeader/>
        </w:trPr>
        <w:tc>
          <w:tcPr>
            <w:tcW w:w="1560" w:type="dxa"/>
            <w:vMerge/>
            <w:tcBorders>
              <w:top w:val="single" w:sz="4" w:space="0" w:color="000000"/>
              <w:left w:val="single" w:sz="8" w:space="0" w:color="000000"/>
            </w:tcBorders>
            <w:shd w:val="clear" w:color="auto" w:fill="BFBFBF"/>
          </w:tcPr>
          <w:p w14:paraId="436AC38A" w14:textId="77777777" w:rsidR="001C08A5" w:rsidRDefault="001C08A5">
            <w:pPr>
              <w:snapToGrid w:val="0"/>
              <w:jc w:val="both"/>
              <w:rPr>
                <w:i/>
                <w:iCs/>
                <w:sz w:val="22"/>
                <w:szCs w:val="22"/>
              </w:rPr>
            </w:pPr>
          </w:p>
        </w:tc>
        <w:tc>
          <w:tcPr>
            <w:tcW w:w="1559" w:type="dxa"/>
            <w:vMerge/>
            <w:tcBorders>
              <w:top w:val="single" w:sz="4" w:space="0" w:color="000000"/>
              <w:left w:val="single" w:sz="4" w:space="0" w:color="000000"/>
            </w:tcBorders>
            <w:shd w:val="clear" w:color="auto" w:fill="BFBFBF"/>
          </w:tcPr>
          <w:p w14:paraId="71DC5168" w14:textId="77777777" w:rsidR="001C08A5" w:rsidRDefault="001C08A5">
            <w:pPr>
              <w:snapToGrid w:val="0"/>
              <w:jc w:val="both"/>
              <w:rPr>
                <w:i/>
                <w:iCs/>
                <w:sz w:val="22"/>
                <w:szCs w:val="22"/>
              </w:rPr>
            </w:pPr>
          </w:p>
        </w:tc>
        <w:tc>
          <w:tcPr>
            <w:tcW w:w="2126" w:type="dxa"/>
            <w:vMerge w:val="restart"/>
            <w:tcBorders>
              <w:top w:val="single" w:sz="4" w:space="0" w:color="000000"/>
              <w:left w:val="single" w:sz="4" w:space="0" w:color="000000"/>
            </w:tcBorders>
            <w:shd w:val="clear" w:color="auto" w:fill="BFBFBF"/>
          </w:tcPr>
          <w:p w14:paraId="2C2BFF8A" w14:textId="77777777" w:rsidR="001C08A5" w:rsidRDefault="00000000">
            <w:pPr>
              <w:jc w:val="center"/>
              <w:rPr>
                <w:b/>
                <w:i/>
                <w:iCs/>
                <w:sz w:val="22"/>
                <w:szCs w:val="22"/>
              </w:rPr>
            </w:pPr>
            <w:r>
              <w:rPr>
                <w:b/>
                <w:i/>
                <w:iCs/>
                <w:sz w:val="22"/>
                <w:szCs w:val="22"/>
              </w:rPr>
              <w:t>de la cel mai îndepărtat loc, până la cea mai apropiată uşă de evacuare a sălii aglomerate</w:t>
            </w:r>
          </w:p>
        </w:tc>
        <w:tc>
          <w:tcPr>
            <w:tcW w:w="4253" w:type="dxa"/>
            <w:gridSpan w:val="2"/>
            <w:tcBorders>
              <w:top w:val="single" w:sz="4" w:space="0" w:color="000000"/>
              <w:left w:val="single" w:sz="4" w:space="0" w:color="000000"/>
              <w:bottom w:val="single" w:sz="4" w:space="0" w:color="000000"/>
              <w:right w:val="single" w:sz="8" w:space="0" w:color="000000"/>
            </w:tcBorders>
            <w:shd w:val="clear" w:color="auto" w:fill="BFBFBF"/>
          </w:tcPr>
          <w:p w14:paraId="2EF7153E" w14:textId="77777777" w:rsidR="001C08A5" w:rsidRDefault="00000000">
            <w:pPr>
              <w:jc w:val="center"/>
              <w:rPr>
                <w:i/>
                <w:iCs/>
                <w:sz w:val="22"/>
                <w:szCs w:val="22"/>
              </w:rPr>
            </w:pPr>
            <w:r>
              <w:rPr>
                <w:b/>
                <w:i/>
                <w:iCs/>
                <w:sz w:val="22"/>
                <w:szCs w:val="22"/>
              </w:rPr>
              <w:t>de la uşa sălii aglomerate până la o scară, degajament protejat sau în exterior, când evacuarea se face:</w:t>
            </w:r>
          </w:p>
        </w:tc>
      </w:tr>
      <w:tr w:rsidR="001C08A5" w14:paraId="5037A722" w14:textId="77777777">
        <w:trPr>
          <w:tblHeader/>
        </w:trPr>
        <w:tc>
          <w:tcPr>
            <w:tcW w:w="1560" w:type="dxa"/>
            <w:vMerge/>
            <w:tcBorders>
              <w:left w:val="single" w:sz="8" w:space="0" w:color="000000"/>
            </w:tcBorders>
            <w:shd w:val="clear" w:color="auto" w:fill="BFBFBF"/>
          </w:tcPr>
          <w:p w14:paraId="31A22B16" w14:textId="77777777" w:rsidR="001C08A5" w:rsidRDefault="001C08A5">
            <w:pPr>
              <w:snapToGrid w:val="0"/>
              <w:jc w:val="both"/>
              <w:rPr>
                <w:i/>
                <w:iCs/>
                <w:sz w:val="22"/>
                <w:szCs w:val="22"/>
              </w:rPr>
            </w:pPr>
          </w:p>
        </w:tc>
        <w:tc>
          <w:tcPr>
            <w:tcW w:w="1559" w:type="dxa"/>
            <w:vMerge/>
            <w:tcBorders>
              <w:left w:val="single" w:sz="4" w:space="0" w:color="000000"/>
            </w:tcBorders>
            <w:shd w:val="clear" w:color="auto" w:fill="BFBFBF"/>
          </w:tcPr>
          <w:p w14:paraId="355BBFAA" w14:textId="77777777" w:rsidR="001C08A5" w:rsidRDefault="001C08A5">
            <w:pPr>
              <w:snapToGrid w:val="0"/>
              <w:jc w:val="both"/>
              <w:rPr>
                <w:i/>
                <w:iCs/>
                <w:sz w:val="22"/>
                <w:szCs w:val="22"/>
              </w:rPr>
            </w:pPr>
          </w:p>
        </w:tc>
        <w:tc>
          <w:tcPr>
            <w:tcW w:w="2126" w:type="dxa"/>
            <w:vMerge/>
            <w:tcBorders>
              <w:left w:val="single" w:sz="4" w:space="0" w:color="000000"/>
              <w:bottom w:val="single" w:sz="4" w:space="0" w:color="000000"/>
            </w:tcBorders>
            <w:shd w:val="clear" w:color="auto" w:fill="BFBFBF"/>
          </w:tcPr>
          <w:p w14:paraId="1BD499FA" w14:textId="77777777" w:rsidR="001C08A5" w:rsidRDefault="001C08A5">
            <w:pPr>
              <w:snapToGrid w:val="0"/>
              <w:jc w:val="both"/>
              <w:rPr>
                <w:i/>
                <w:iCs/>
                <w:sz w:val="22"/>
                <w:szCs w:val="22"/>
              </w:rPr>
            </w:pPr>
          </w:p>
        </w:tc>
        <w:tc>
          <w:tcPr>
            <w:tcW w:w="2126" w:type="dxa"/>
            <w:tcBorders>
              <w:top w:val="single" w:sz="4" w:space="0" w:color="000000"/>
              <w:left w:val="single" w:sz="4" w:space="0" w:color="000000"/>
              <w:bottom w:val="single" w:sz="4" w:space="0" w:color="000000"/>
            </w:tcBorders>
            <w:shd w:val="clear" w:color="auto" w:fill="BFBFBF"/>
          </w:tcPr>
          <w:p w14:paraId="4623CEA8" w14:textId="77777777" w:rsidR="001C08A5" w:rsidRDefault="00000000">
            <w:pPr>
              <w:jc w:val="center"/>
              <w:rPr>
                <w:b/>
                <w:i/>
                <w:iCs/>
                <w:sz w:val="22"/>
                <w:szCs w:val="22"/>
              </w:rPr>
            </w:pPr>
            <w:r>
              <w:rPr>
                <w:b/>
                <w:i/>
                <w:iCs/>
                <w:sz w:val="22"/>
                <w:szCs w:val="22"/>
              </w:rPr>
              <w:t>în două direcţii diferite</w:t>
            </w:r>
          </w:p>
        </w:tc>
        <w:tc>
          <w:tcPr>
            <w:tcW w:w="2127" w:type="dxa"/>
            <w:tcBorders>
              <w:top w:val="single" w:sz="4" w:space="0" w:color="000000"/>
              <w:left w:val="single" w:sz="4" w:space="0" w:color="000000"/>
              <w:bottom w:val="single" w:sz="4" w:space="0" w:color="000000"/>
              <w:right w:val="single" w:sz="8" w:space="0" w:color="000000"/>
            </w:tcBorders>
            <w:shd w:val="clear" w:color="auto" w:fill="BFBFBF"/>
          </w:tcPr>
          <w:p w14:paraId="66BBDDC4" w14:textId="77777777" w:rsidR="001C08A5" w:rsidRDefault="00000000">
            <w:pPr>
              <w:jc w:val="center"/>
              <w:rPr>
                <w:i/>
                <w:iCs/>
                <w:sz w:val="22"/>
                <w:szCs w:val="22"/>
              </w:rPr>
            </w:pPr>
            <w:r>
              <w:rPr>
                <w:b/>
                <w:i/>
                <w:iCs/>
                <w:sz w:val="22"/>
                <w:szCs w:val="22"/>
              </w:rPr>
              <w:t>într-o direcţie (coridor înfundat)</w:t>
            </w:r>
          </w:p>
        </w:tc>
      </w:tr>
      <w:tr w:rsidR="001C08A5" w14:paraId="2A2F3436" w14:textId="77777777">
        <w:trPr>
          <w:tblHeader/>
        </w:trPr>
        <w:tc>
          <w:tcPr>
            <w:tcW w:w="1560" w:type="dxa"/>
            <w:vMerge/>
            <w:tcBorders>
              <w:left w:val="single" w:sz="8" w:space="0" w:color="000000"/>
              <w:bottom w:val="single" w:sz="8" w:space="0" w:color="000000"/>
            </w:tcBorders>
            <w:shd w:val="clear" w:color="auto" w:fill="BFBFBF"/>
          </w:tcPr>
          <w:p w14:paraId="021391A8" w14:textId="77777777" w:rsidR="001C08A5" w:rsidRDefault="001C08A5">
            <w:pPr>
              <w:snapToGrid w:val="0"/>
              <w:jc w:val="both"/>
              <w:rPr>
                <w:i/>
                <w:iCs/>
                <w:sz w:val="22"/>
                <w:szCs w:val="22"/>
              </w:rPr>
            </w:pPr>
          </w:p>
        </w:tc>
        <w:tc>
          <w:tcPr>
            <w:tcW w:w="1559" w:type="dxa"/>
            <w:vMerge/>
            <w:tcBorders>
              <w:left w:val="single" w:sz="4" w:space="0" w:color="000000"/>
              <w:bottom w:val="single" w:sz="8" w:space="0" w:color="000000"/>
            </w:tcBorders>
            <w:shd w:val="clear" w:color="auto" w:fill="BFBFBF"/>
          </w:tcPr>
          <w:p w14:paraId="43C78664" w14:textId="77777777" w:rsidR="001C08A5" w:rsidRDefault="001C08A5">
            <w:pPr>
              <w:snapToGrid w:val="0"/>
              <w:jc w:val="both"/>
              <w:rPr>
                <w:i/>
                <w:iCs/>
                <w:sz w:val="22"/>
                <w:szCs w:val="22"/>
              </w:rPr>
            </w:pPr>
          </w:p>
        </w:tc>
        <w:tc>
          <w:tcPr>
            <w:tcW w:w="2126" w:type="dxa"/>
            <w:tcBorders>
              <w:top w:val="single" w:sz="4" w:space="0" w:color="000000"/>
              <w:left w:val="single" w:sz="4" w:space="0" w:color="000000"/>
              <w:bottom w:val="single" w:sz="8" w:space="0" w:color="000000"/>
            </w:tcBorders>
            <w:shd w:val="clear" w:color="auto" w:fill="BFBFBF"/>
          </w:tcPr>
          <w:p w14:paraId="587B722F" w14:textId="77777777" w:rsidR="001C08A5" w:rsidRDefault="00000000">
            <w:pPr>
              <w:jc w:val="center"/>
              <w:rPr>
                <w:b/>
                <w:i/>
                <w:iCs/>
                <w:sz w:val="22"/>
                <w:szCs w:val="22"/>
              </w:rPr>
            </w:pPr>
            <w:r>
              <w:rPr>
                <w:b/>
                <w:i/>
                <w:iCs/>
                <w:sz w:val="22"/>
                <w:szCs w:val="22"/>
              </w:rPr>
              <w:t>metri</w:t>
            </w:r>
          </w:p>
        </w:tc>
        <w:tc>
          <w:tcPr>
            <w:tcW w:w="2126" w:type="dxa"/>
            <w:tcBorders>
              <w:top w:val="single" w:sz="4" w:space="0" w:color="000000"/>
              <w:left w:val="single" w:sz="4" w:space="0" w:color="000000"/>
              <w:bottom w:val="single" w:sz="8" w:space="0" w:color="000000"/>
            </w:tcBorders>
            <w:shd w:val="clear" w:color="auto" w:fill="BFBFBF"/>
          </w:tcPr>
          <w:p w14:paraId="12D86D56" w14:textId="77777777" w:rsidR="001C08A5" w:rsidRDefault="00000000">
            <w:pPr>
              <w:jc w:val="center"/>
              <w:rPr>
                <w:b/>
                <w:i/>
                <w:iCs/>
                <w:sz w:val="22"/>
                <w:szCs w:val="22"/>
              </w:rPr>
            </w:pPr>
            <w:r>
              <w:rPr>
                <w:b/>
                <w:i/>
                <w:iCs/>
                <w:sz w:val="22"/>
                <w:szCs w:val="22"/>
              </w:rPr>
              <w:t>metri</w:t>
            </w:r>
          </w:p>
        </w:tc>
        <w:tc>
          <w:tcPr>
            <w:tcW w:w="2127" w:type="dxa"/>
            <w:tcBorders>
              <w:top w:val="single" w:sz="4" w:space="0" w:color="000000"/>
              <w:left w:val="single" w:sz="4" w:space="0" w:color="000000"/>
              <w:bottom w:val="single" w:sz="8" w:space="0" w:color="000000"/>
              <w:right w:val="single" w:sz="8" w:space="0" w:color="000000"/>
            </w:tcBorders>
            <w:shd w:val="clear" w:color="auto" w:fill="BFBFBF"/>
          </w:tcPr>
          <w:p w14:paraId="13E7442D" w14:textId="77777777" w:rsidR="001C08A5" w:rsidRDefault="00000000">
            <w:pPr>
              <w:jc w:val="center"/>
              <w:rPr>
                <w:i/>
                <w:iCs/>
                <w:sz w:val="22"/>
                <w:szCs w:val="22"/>
              </w:rPr>
            </w:pPr>
            <w:r>
              <w:rPr>
                <w:b/>
                <w:i/>
                <w:iCs/>
                <w:sz w:val="22"/>
                <w:szCs w:val="22"/>
              </w:rPr>
              <w:t>metri</w:t>
            </w:r>
          </w:p>
        </w:tc>
      </w:tr>
      <w:tr w:rsidR="001C08A5" w14:paraId="635FCD30" w14:textId="77777777">
        <w:trPr>
          <w:cantSplit/>
          <w:trHeight w:val="259"/>
        </w:trPr>
        <w:tc>
          <w:tcPr>
            <w:tcW w:w="1560" w:type="dxa"/>
            <w:vMerge w:val="restart"/>
            <w:tcBorders>
              <w:top w:val="single" w:sz="8" w:space="0" w:color="000000"/>
              <w:left w:val="single" w:sz="8" w:space="0" w:color="000000"/>
              <w:bottom w:val="single" w:sz="4" w:space="0" w:color="000000"/>
            </w:tcBorders>
          </w:tcPr>
          <w:p w14:paraId="6FF2C87E" w14:textId="77777777" w:rsidR="001C08A5" w:rsidRDefault="001C08A5">
            <w:pPr>
              <w:snapToGrid w:val="0"/>
              <w:jc w:val="center"/>
              <w:rPr>
                <w:i/>
                <w:iCs/>
                <w:sz w:val="22"/>
                <w:szCs w:val="22"/>
              </w:rPr>
            </w:pPr>
          </w:p>
          <w:p w14:paraId="5002718C" w14:textId="77777777" w:rsidR="001C08A5" w:rsidRDefault="00000000">
            <w:pPr>
              <w:jc w:val="center"/>
              <w:rPr>
                <w:b/>
                <w:i/>
                <w:iCs/>
                <w:sz w:val="22"/>
                <w:szCs w:val="22"/>
              </w:rPr>
            </w:pPr>
            <w:r>
              <w:rPr>
                <w:i/>
                <w:iCs/>
                <w:sz w:val="22"/>
                <w:szCs w:val="22"/>
              </w:rPr>
              <w:t xml:space="preserve">Sală aglomerată tip </w:t>
            </w:r>
            <w:r>
              <w:rPr>
                <w:b/>
                <w:i/>
                <w:iCs/>
                <w:sz w:val="22"/>
                <w:szCs w:val="22"/>
              </w:rPr>
              <w:t>S1</w:t>
            </w:r>
          </w:p>
        </w:tc>
        <w:tc>
          <w:tcPr>
            <w:tcW w:w="1559" w:type="dxa"/>
            <w:tcBorders>
              <w:top w:val="single" w:sz="8" w:space="0" w:color="000000"/>
              <w:left w:val="single" w:sz="4" w:space="0" w:color="000000"/>
              <w:bottom w:val="single" w:sz="4" w:space="0" w:color="000000"/>
            </w:tcBorders>
          </w:tcPr>
          <w:p w14:paraId="08CAF7BB" w14:textId="77777777" w:rsidR="001C08A5" w:rsidRDefault="00000000">
            <w:pPr>
              <w:jc w:val="center"/>
              <w:rPr>
                <w:bCs/>
                <w:i/>
                <w:iCs/>
                <w:sz w:val="22"/>
                <w:szCs w:val="22"/>
              </w:rPr>
            </w:pPr>
            <w:r>
              <w:rPr>
                <w:b/>
                <w:i/>
                <w:iCs/>
                <w:sz w:val="22"/>
                <w:szCs w:val="22"/>
              </w:rPr>
              <w:t>I</w:t>
            </w:r>
          </w:p>
        </w:tc>
        <w:tc>
          <w:tcPr>
            <w:tcW w:w="2126" w:type="dxa"/>
            <w:tcBorders>
              <w:top w:val="single" w:sz="8" w:space="0" w:color="000000"/>
              <w:left w:val="single" w:sz="4" w:space="0" w:color="000000"/>
            </w:tcBorders>
          </w:tcPr>
          <w:p w14:paraId="6D8E7BAD" w14:textId="77777777" w:rsidR="001C08A5" w:rsidRDefault="00000000">
            <w:pPr>
              <w:jc w:val="center"/>
              <w:rPr>
                <w:b/>
                <w:i/>
                <w:iCs/>
                <w:sz w:val="22"/>
                <w:szCs w:val="22"/>
              </w:rPr>
            </w:pPr>
            <w:r>
              <w:rPr>
                <w:b/>
                <w:i/>
                <w:iCs/>
                <w:sz w:val="22"/>
                <w:szCs w:val="22"/>
              </w:rPr>
              <w:t>48</w:t>
            </w:r>
          </w:p>
        </w:tc>
        <w:tc>
          <w:tcPr>
            <w:tcW w:w="2126" w:type="dxa"/>
            <w:tcBorders>
              <w:top w:val="single" w:sz="8" w:space="0" w:color="000000"/>
              <w:left w:val="single" w:sz="4" w:space="0" w:color="000000"/>
            </w:tcBorders>
          </w:tcPr>
          <w:p w14:paraId="0E2B8546" w14:textId="77777777" w:rsidR="001C08A5" w:rsidRDefault="00000000">
            <w:pPr>
              <w:jc w:val="center"/>
              <w:rPr>
                <w:b/>
                <w:i/>
                <w:iCs/>
                <w:sz w:val="22"/>
                <w:szCs w:val="22"/>
              </w:rPr>
            </w:pPr>
            <w:r>
              <w:rPr>
                <w:b/>
                <w:i/>
                <w:iCs/>
                <w:sz w:val="22"/>
                <w:szCs w:val="22"/>
              </w:rPr>
              <w:t>40</w:t>
            </w:r>
          </w:p>
        </w:tc>
        <w:tc>
          <w:tcPr>
            <w:tcW w:w="2127" w:type="dxa"/>
            <w:tcBorders>
              <w:top w:val="single" w:sz="8" w:space="0" w:color="000000"/>
              <w:left w:val="single" w:sz="4" w:space="0" w:color="000000"/>
              <w:right w:val="single" w:sz="8" w:space="0" w:color="000000"/>
            </w:tcBorders>
          </w:tcPr>
          <w:p w14:paraId="36A497C9" w14:textId="77777777" w:rsidR="001C08A5" w:rsidRDefault="00000000">
            <w:pPr>
              <w:jc w:val="center"/>
              <w:rPr>
                <w:b/>
                <w:i/>
                <w:iCs/>
                <w:sz w:val="22"/>
                <w:szCs w:val="22"/>
              </w:rPr>
            </w:pPr>
            <w:r>
              <w:rPr>
                <w:b/>
                <w:i/>
                <w:iCs/>
                <w:sz w:val="22"/>
                <w:szCs w:val="22"/>
              </w:rPr>
              <w:t>25</w:t>
            </w:r>
          </w:p>
        </w:tc>
      </w:tr>
      <w:tr w:rsidR="001C08A5" w14:paraId="536C6AB9" w14:textId="77777777">
        <w:trPr>
          <w:cantSplit/>
          <w:trHeight w:val="259"/>
        </w:trPr>
        <w:tc>
          <w:tcPr>
            <w:tcW w:w="1560" w:type="dxa"/>
            <w:vMerge/>
            <w:tcBorders>
              <w:left w:val="single" w:sz="8" w:space="0" w:color="000000"/>
            </w:tcBorders>
          </w:tcPr>
          <w:p w14:paraId="6D4F9C1A" w14:textId="77777777" w:rsidR="001C08A5" w:rsidRDefault="001C08A5">
            <w:pPr>
              <w:jc w:val="center"/>
              <w:rPr>
                <w:i/>
                <w:iCs/>
                <w:sz w:val="22"/>
                <w:szCs w:val="22"/>
              </w:rPr>
            </w:pPr>
          </w:p>
        </w:tc>
        <w:tc>
          <w:tcPr>
            <w:tcW w:w="1559" w:type="dxa"/>
            <w:tcBorders>
              <w:top w:val="single" w:sz="8" w:space="0" w:color="000000"/>
              <w:left w:val="single" w:sz="4" w:space="0" w:color="000000"/>
              <w:bottom w:val="single" w:sz="4" w:space="0" w:color="000000"/>
            </w:tcBorders>
          </w:tcPr>
          <w:p w14:paraId="22248057" w14:textId="77777777" w:rsidR="001C08A5" w:rsidRDefault="00000000">
            <w:pPr>
              <w:jc w:val="center"/>
              <w:rPr>
                <w:b/>
                <w:i/>
                <w:iCs/>
                <w:sz w:val="22"/>
                <w:szCs w:val="22"/>
              </w:rPr>
            </w:pPr>
            <w:r>
              <w:rPr>
                <w:b/>
                <w:i/>
                <w:iCs/>
                <w:sz w:val="22"/>
                <w:szCs w:val="22"/>
              </w:rPr>
              <w:t>II</w:t>
            </w:r>
          </w:p>
        </w:tc>
        <w:tc>
          <w:tcPr>
            <w:tcW w:w="2126" w:type="dxa"/>
            <w:tcBorders>
              <w:top w:val="single" w:sz="8" w:space="0" w:color="000000"/>
              <w:left w:val="single" w:sz="4" w:space="0" w:color="000000"/>
            </w:tcBorders>
          </w:tcPr>
          <w:p w14:paraId="6D5C5CD9" w14:textId="77777777" w:rsidR="001C08A5" w:rsidRDefault="00000000">
            <w:pPr>
              <w:jc w:val="center"/>
              <w:rPr>
                <w:b/>
                <w:i/>
                <w:iCs/>
                <w:sz w:val="22"/>
                <w:szCs w:val="22"/>
              </w:rPr>
            </w:pPr>
            <w:r>
              <w:rPr>
                <w:b/>
                <w:i/>
                <w:iCs/>
                <w:sz w:val="22"/>
                <w:szCs w:val="22"/>
              </w:rPr>
              <w:t>40</w:t>
            </w:r>
          </w:p>
        </w:tc>
        <w:tc>
          <w:tcPr>
            <w:tcW w:w="2126" w:type="dxa"/>
            <w:tcBorders>
              <w:top w:val="single" w:sz="8" w:space="0" w:color="000000"/>
              <w:left w:val="single" w:sz="4" w:space="0" w:color="000000"/>
            </w:tcBorders>
          </w:tcPr>
          <w:p w14:paraId="0B62E978" w14:textId="77777777" w:rsidR="001C08A5" w:rsidRDefault="00000000">
            <w:pPr>
              <w:jc w:val="center"/>
              <w:rPr>
                <w:b/>
                <w:i/>
                <w:iCs/>
                <w:sz w:val="22"/>
                <w:szCs w:val="22"/>
              </w:rPr>
            </w:pPr>
            <w:r>
              <w:rPr>
                <w:b/>
                <w:i/>
                <w:iCs/>
                <w:sz w:val="22"/>
                <w:szCs w:val="22"/>
              </w:rPr>
              <w:t>35</w:t>
            </w:r>
          </w:p>
        </w:tc>
        <w:tc>
          <w:tcPr>
            <w:tcW w:w="2127" w:type="dxa"/>
            <w:tcBorders>
              <w:top w:val="single" w:sz="8" w:space="0" w:color="000000"/>
              <w:left w:val="single" w:sz="4" w:space="0" w:color="000000"/>
              <w:right w:val="single" w:sz="8" w:space="0" w:color="000000"/>
            </w:tcBorders>
          </w:tcPr>
          <w:p w14:paraId="6CA36527" w14:textId="77777777" w:rsidR="001C08A5" w:rsidRDefault="00000000">
            <w:pPr>
              <w:jc w:val="center"/>
              <w:rPr>
                <w:b/>
                <w:i/>
                <w:iCs/>
                <w:sz w:val="22"/>
                <w:szCs w:val="22"/>
              </w:rPr>
            </w:pPr>
            <w:r>
              <w:rPr>
                <w:b/>
                <w:i/>
                <w:iCs/>
                <w:sz w:val="22"/>
                <w:szCs w:val="22"/>
              </w:rPr>
              <w:t>20</w:t>
            </w:r>
          </w:p>
        </w:tc>
      </w:tr>
      <w:tr w:rsidR="001C08A5" w14:paraId="1F42A762" w14:textId="77777777">
        <w:trPr>
          <w:cantSplit/>
          <w:trHeight w:val="259"/>
        </w:trPr>
        <w:tc>
          <w:tcPr>
            <w:tcW w:w="1560" w:type="dxa"/>
            <w:vMerge/>
            <w:tcBorders>
              <w:left w:val="single" w:sz="8" w:space="0" w:color="000000"/>
            </w:tcBorders>
          </w:tcPr>
          <w:p w14:paraId="0147283B" w14:textId="77777777" w:rsidR="001C08A5" w:rsidRDefault="001C08A5">
            <w:pPr>
              <w:jc w:val="center"/>
              <w:rPr>
                <w:i/>
                <w:iCs/>
                <w:sz w:val="22"/>
                <w:szCs w:val="22"/>
              </w:rPr>
            </w:pPr>
          </w:p>
        </w:tc>
        <w:tc>
          <w:tcPr>
            <w:tcW w:w="1559" w:type="dxa"/>
            <w:tcBorders>
              <w:top w:val="single" w:sz="8" w:space="0" w:color="000000"/>
              <w:left w:val="single" w:sz="4" w:space="0" w:color="000000"/>
              <w:bottom w:val="single" w:sz="4" w:space="0" w:color="000000"/>
            </w:tcBorders>
          </w:tcPr>
          <w:p w14:paraId="21DF1DED" w14:textId="77777777" w:rsidR="001C08A5" w:rsidRDefault="00000000">
            <w:pPr>
              <w:jc w:val="center"/>
              <w:rPr>
                <w:b/>
                <w:i/>
                <w:iCs/>
                <w:sz w:val="22"/>
                <w:szCs w:val="22"/>
              </w:rPr>
            </w:pPr>
            <w:r>
              <w:rPr>
                <w:b/>
                <w:i/>
                <w:iCs/>
                <w:sz w:val="22"/>
                <w:szCs w:val="22"/>
              </w:rPr>
              <w:t>III</w:t>
            </w:r>
          </w:p>
        </w:tc>
        <w:tc>
          <w:tcPr>
            <w:tcW w:w="2126" w:type="dxa"/>
            <w:tcBorders>
              <w:top w:val="single" w:sz="8" w:space="0" w:color="000000"/>
              <w:left w:val="single" w:sz="4" w:space="0" w:color="000000"/>
            </w:tcBorders>
          </w:tcPr>
          <w:p w14:paraId="078BD34F" w14:textId="77777777" w:rsidR="001C08A5" w:rsidRDefault="00000000">
            <w:pPr>
              <w:jc w:val="center"/>
              <w:rPr>
                <w:b/>
                <w:i/>
                <w:iCs/>
                <w:sz w:val="22"/>
                <w:szCs w:val="22"/>
              </w:rPr>
            </w:pPr>
            <w:r>
              <w:rPr>
                <w:b/>
                <w:i/>
                <w:iCs/>
                <w:sz w:val="22"/>
                <w:szCs w:val="22"/>
              </w:rPr>
              <w:t>32</w:t>
            </w:r>
          </w:p>
        </w:tc>
        <w:tc>
          <w:tcPr>
            <w:tcW w:w="2126" w:type="dxa"/>
            <w:tcBorders>
              <w:top w:val="single" w:sz="8" w:space="0" w:color="000000"/>
              <w:left w:val="single" w:sz="4" w:space="0" w:color="000000"/>
            </w:tcBorders>
          </w:tcPr>
          <w:p w14:paraId="1A36443F" w14:textId="77777777" w:rsidR="001C08A5" w:rsidRDefault="00000000">
            <w:pPr>
              <w:jc w:val="center"/>
              <w:rPr>
                <w:b/>
                <w:i/>
                <w:iCs/>
                <w:sz w:val="22"/>
                <w:szCs w:val="22"/>
              </w:rPr>
            </w:pPr>
            <w:r>
              <w:rPr>
                <w:b/>
                <w:i/>
                <w:iCs/>
                <w:sz w:val="22"/>
                <w:szCs w:val="22"/>
              </w:rPr>
              <w:t>25</w:t>
            </w:r>
          </w:p>
        </w:tc>
        <w:tc>
          <w:tcPr>
            <w:tcW w:w="2127" w:type="dxa"/>
            <w:tcBorders>
              <w:top w:val="single" w:sz="8" w:space="0" w:color="000000"/>
              <w:left w:val="single" w:sz="4" w:space="0" w:color="000000"/>
              <w:right w:val="single" w:sz="8" w:space="0" w:color="000000"/>
            </w:tcBorders>
          </w:tcPr>
          <w:p w14:paraId="2EE4EC1C" w14:textId="77777777" w:rsidR="001C08A5" w:rsidRDefault="00000000">
            <w:pPr>
              <w:jc w:val="center"/>
              <w:rPr>
                <w:b/>
                <w:i/>
                <w:iCs/>
                <w:sz w:val="22"/>
                <w:szCs w:val="22"/>
              </w:rPr>
            </w:pPr>
            <w:r>
              <w:rPr>
                <w:b/>
                <w:i/>
                <w:iCs/>
                <w:sz w:val="22"/>
                <w:szCs w:val="22"/>
              </w:rPr>
              <w:t>15</w:t>
            </w:r>
          </w:p>
        </w:tc>
      </w:tr>
      <w:tr w:rsidR="001C08A5" w14:paraId="25F6F52C" w14:textId="77777777">
        <w:trPr>
          <w:cantSplit/>
          <w:trHeight w:val="259"/>
        </w:trPr>
        <w:tc>
          <w:tcPr>
            <w:tcW w:w="1560" w:type="dxa"/>
            <w:vMerge/>
            <w:tcBorders>
              <w:left w:val="single" w:sz="8" w:space="0" w:color="000000"/>
            </w:tcBorders>
          </w:tcPr>
          <w:p w14:paraId="5B1C1515" w14:textId="77777777" w:rsidR="001C08A5" w:rsidRDefault="001C08A5">
            <w:pPr>
              <w:jc w:val="center"/>
              <w:rPr>
                <w:i/>
                <w:iCs/>
                <w:sz w:val="22"/>
                <w:szCs w:val="22"/>
              </w:rPr>
            </w:pPr>
          </w:p>
        </w:tc>
        <w:tc>
          <w:tcPr>
            <w:tcW w:w="1559" w:type="dxa"/>
            <w:tcBorders>
              <w:top w:val="single" w:sz="8" w:space="0" w:color="000000"/>
              <w:left w:val="single" w:sz="4" w:space="0" w:color="000000"/>
              <w:bottom w:val="single" w:sz="4" w:space="0" w:color="000000"/>
            </w:tcBorders>
          </w:tcPr>
          <w:p w14:paraId="5F61AAD8" w14:textId="77777777" w:rsidR="001C08A5" w:rsidRDefault="00000000">
            <w:pPr>
              <w:jc w:val="center"/>
              <w:rPr>
                <w:b/>
                <w:i/>
                <w:iCs/>
                <w:sz w:val="22"/>
                <w:szCs w:val="22"/>
              </w:rPr>
            </w:pPr>
            <w:r>
              <w:rPr>
                <w:b/>
                <w:i/>
                <w:iCs/>
                <w:sz w:val="22"/>
                <w:szCs w:val="22"/>
              </w:rPr>
              <w:t>IV</w:t>
            </w:r>
          </w:p>
        </w:tc>
        <w:tc>
          <w:tcPr>
            <w:tcW w:w="2126" w:type="dxa"/>
            <w:tcBorders>
              <w:top w:val="single" w:sz="8" w:space="0" w:color="000000"/>
              <w:left w:val="single" w:sz="4" w:space="0" w:color="000000"/>
            </w:tcBorders>
          </w:tcPr>
          <w:p w14:paraId="40E40B51" w14:textId="77777777" w:rsidR="001C08A5" w:rsidRDefault="00000000">
            <w:pPr>
              <w:jc w:val="center"/>
              <w:rPr>
                <w:b/>
                <w:i/>
                <w:iCs/>
                <w:sz w:val="22"/>
                <w:szCs w:val="22"/>
              </w:rPr>
            </w:pPr>
            <w:r>
              <w:rPr>
                <w:b/>
                <w:i/>
                <w:iCs/>
                <w:sz w:val="22"/>
                <w:szCs w:val="22"/>
              </w:rPr>
              <w:t>24</w:t>
            </w:r>
          </w:p>
        </w:tc>
        <w:tc>
          <w:tcPr>
            <w:tcW w:w="2126" w:type="dxa"/>
            <w:tcBorders>
              <w:top w:val="single" w:sz="8" w:space="0" w:color="000000"/>
              <w:left w:val="single" w:sz="4" w:space="0" w:color="000000"/>
            </w:tcBorders>
          </w:tcPr>
          <w:p w14:paraId="0792FD05" w14:textId="77777777" w:rsidR="001C08A5" w:rsidRDefault="00000000">
            <w:pPr>
              <w:jc w:val="center"/>
              <w:rPr>
                <w:b/>
                <w:i/>
                <w:iCs/>
                <w:sz w:val="22"/>
                <w:szCs w:val="22"/>
              </w:rPr>
            </w:pPr>
            <w:r>
              <w:rPr>
                <w:b/>
                <w:i/>
                <w:iCs/>
                <w:sz w:val="22"/>
                <w:szCs w:val="22"/>
              </w:rPr>
              <w:t>16</w:t>
            </w:r>
          </w:p>
        </w:tc>
        <w:tc>
          <w:tcPr>
            <w:tcW w:w="2127" w:type="dxa"/>
            <w:tcBorders>
              <w:top w:val="single" w:sz="8" w:space="0" w:color="000000"/>
              <w:left w:val="single" w:sz="4" w:space="0" w:color="000000"/>
              <w:right w:val="single" w:sz="8" w:space="0" w:color="000000"/>
            </w:tcBorders>
          </w:tcPr>
          <w:p w14:paraId="2D014D15" w14:textId="77777777" w:rsidR="001C08A5" w:rsidRDefault="00000000">
            <w:pPr>
              <w:jc w:val="center"/>
              <w:rPr>
                <w:b/>
                <w:i/>
                <w:iCs/>
                <w:sz w:val="22"/>
                <w:szCs w:val="22"/>
              </w:rPr>
            </w:pPr>
            <w:r>
              <w:rPr>
                <w:b/>
                <w:i/>
                <w:iCs/>
                <w:sz w:val="22"/>
                <w:szCs w:val="22"/>
              </w:rPr>
              <w:t>12</w:t>
            </w:r>
          </w:p>
        </w:tc>
      </w:tr>
      <w:tr w:rsidR="001C08A5" w14:paraId="1999C52C" w14:textId="77777777">
        <w:trPr>
          <w:cantSplit/>
          <w:trHeight w:val="208"/>
        </w:trPr>
        <w:tc>
          <w:tcPr>
            <w:tcW w:w="1560" w:type="dxa"/>
            <w:vMerge/>
            <w:tcBorders>
              <w:left w:val="single" w:sz="8" w:space="0" w:color="000000"/>
            </w:tcBorders>
          </w:tcPr>
          <w:p w14:paraId="0E286AF6" w14:textId="77777777" w:rsidR="001C08A5" w:rsidRDefault="001C08A5">
            <w:pPr>
              <w:jc w:val="center"/>
              <w:rPr>
                <w:i/>
                <w:iCs/>
                <w:sz w:val="22"/>
                <w:szCs w:val="22"/>
              </w:rPr>
            </w:pPr>
          </w:p>
        </w:tc>
        <w:tc>
          <w:tcPr>
            <w:tcW w:w="1559" w:type="dxa"/>
            <w:tcBorders>
              <w:top w:val="single" w:sz="8" w:space="0" w:color="000000"/>
              <w:left w:val="single" w:sz="4" w:space="0" w:color="000000"/>
            </w:tcBorders>
          </w:tcPr>
          <w:p w14:paraId="3F9C07E7" w14:textId="77777777" w:rsidR="001C08A5" w:rsidRDefault="00000000">
            <w:pPr>
              <w:jc w:val="center"/>
              <w:rPr>
                <w:b/>
                <w:i/>
                <w:iCs/>
                <w:sz w:val="22"/>
                <w:szCs w:val="22"/>
              </w:rPr>
            </w:pPr>
            <w:r>
              <w:rPr>
                <w:b/>
                <w:i/>
                <w:iCs/>
                <w:sz w:val="22"/>
                <w:szCs w:val="22"/>
              </w:rPr>
              <w:t>V</w:t>
            </w:r>
          </w:p>
        </w:tc>
        <w:tc>
          <w:tcPr>
            <w:tcW w:w="2126" w:type="dxa"/>
            <w:tcBorders>
              <w:top w:val="single" w:sz="8" w:space="0" w:color="000000"/>
              <w:left w:val="single" w:sz="4" w:space="0" w:color="000000"/>
            </w:tcBorders>
          </w:tcPr>
          <w:p w14:paraId="5FE80D05" w14:textId="77777777" w:rsidR="001C08A5" w:rsidRDefault="00000000">
            <w:pPr>
              <w:jc w:val="center"/>
              <w:rPr>
                <w:b/>
                <w:i/>
                <w:iCs/>
                <w:sz w:val="22"/>
                <w:szCs w:val="22"/>
              </w:rPr>
            </w:pPr>
            <w:r>
              <w:rPr>
                <w:b/>
                <w:i/>
                <w:iCs/>
                <w:sz w:val="22"/>
                <w:szCs w:val="22"/>
              </w:rPr>
              <w:t>16</w:t>
            </w:r>
          </w:p>
        </w:tc>
        <w:tc>
          <w:tcPr>
            <w:tcW w:w="2126" w:type="dxa"/>
            <w:tcBorders>
              <w:top w:val="single" w:sz="8" w:space="0" w:color="000000"/>
              <w:left w:val="single" w:sz="4" w:space="0" w:color="000000"/>
              <w:bottom w:val="single" w:sz="4" w:space="0" w:color="000000"/>
            </w:tcBorders>
          </w:tcPr>
          <w:p w14:paraId="64486C6E" w14:textId="77777777" w:rsidR="001C08A5" w:rsidRDefault="00000000">
            <w:pPr>
              <w:jc w:val="center"/>
              <w:rPr>
                <w:b/>
                <w:i/>
                <w:iCs/>
                <w:sz w:val="22"/>
                <w:szCs w:val="22"/>
              </w:rPr>
            </w:pPr>
            <w:r>
              <w:rPr>
                <w:b/>
                <w:i/>
                <w:iCs/>
                <w:sz w:val="22"/>
                <w:szCs w:val="22"/>
              </w:rPr>
              <w:t>10</w:t>
            </w:r>
          </w:p>
        </w:tc>
        <w:tc>
          <w:tcPr>
            <w:tcW w:w="2127" w:type="dxa"/>
            <w:tcBorders>
              <w:top w:val="single" w:sz="8" w:space="0" w:color="000000"/>
              <w:left w:val="single" w:sz="4" w:space="0" w:color="000000"/>
              <w:right w:val="single" w:sz="8" w:space="0" w:color="000000"/>
            </w:tcBorders>
          </w:tcPr>
          <w:p w14:paraId="49749C37" w14:textId="77777777" w:rsidR="001C08A5" w:rsidRDefault="00000000">
            <w:pPr>
              <w:jc w:val="center"/>
              <w:rPr>
                <w:b/>
                <w:i/>
                <w:iCs/>
                <w:sz w:val="22"/>
                <w:szCs w:val="22"/>
              </w:rPr>
            </w:pPr>
            <w:r>
              <w:rPr>
                <w:b/>
                <w:i/>
                <w:iCs/>
                <w:sz w:val="22"/>
                <w:szCs w:val="22"/>
              </w:rPr>
              <w:t>10</w:t>
            </w:r>
          </w:p>
        </w:tc>
      </w:tr>
      <w:tr w:rsidR="001C08A5" w14:paraId="275E7E16" w14:textId="77777777">
        <w:trPr>
          <w:cantSplit/>
        </w:trPr>
        <w:tc>
          <w:tcPr>
            <w:tcW w:w="1560" w:type="dxa"/>
            <w:vMerge w:val="restart"/>
            <w:tcBorders>
              <w:top w:val="single" w:sz="4" w:space="0" w:color="000000"/>
              <w:left w:val="single" w:sz="8" w:space="0" w:color="000000"/>
              <w:bottom w:val="single" w:sz="4" w:space="0" w:color="000000"/>
            </w:tcBorders>
          </w:tcPr>
          <w:p w14:paraId="3B2DDEA2" w14:textId="77777777" w:rsidR="001C08A5" w:rsidRDefault="001C08A5">
            <w:pPr>
              <w:snapToGrid w:val="0"/>
              <w:jc w:val="center"/>
              <w:rPr>
                <w:i/>
                <w:iCs/>
                <w:sz w:val="22"/>
                <w:szCs w:val="22"/>
              </w:rPr>
            </w:pPr>
          </w:p>
          <w:p w14:paraId="69C2C8C9" w14:textId="77777777" w:rsidR="001C08A5" w:rsidRDefault="00000000">
            <w:pPr>
              <w:jc w:val="center"/>
              <w:rPr>
                <w:b/>
                <w:i/>
                <w:iCs/>
                <w:sz w:val="22"/>
                <w:szCs w:val="22"/>
              </w:rPr>
            </w:pPr>
            <w:r>
              <w:rPr>
                <w:i/>
                <w:iCs/>
                <w:sz w:val="22"/>
                <w:szCs w:val="22"/>
              </w:rPr>
              <w:t xml:space="preserve">Sala aglomerată tip </w:t>
            </w:r>
            <w:r>
              <w:rPr>
                <w:b/>
                <w:i/>
                <w:iCs/>
                <w:sz w:val="22"/>
                <w:szCs w:val="22"/>
              </w:rPr>
              <w:t>S2</w:t>
            </w:r>
          </w:p>
        </w:tc>
        <w:tc>
          <w:tcPr>
            <w:tcW w:w="1559" w:type="dxa"/>
            <w:tcBorders>
              <w:top w:val="single" w:sz="4" w:space="0" w:color="000000"/>
              <w:left w:val="single" w:sz="4" w:space="0" w:color="000000"/>
              <w:bottom w:val="single" w:sz="4" w:space="0" w:color="000000"/>
            </w:tcBorders>
          </w:tcPr>
          <w:p w14:paraId="709DC259" w14:textId="77777777" w:rsidR="001C08A5" w:rsidRDefault="00000000">
            <w:pPr>
              <w:jc w:val="center"/>
              <w:rPr>
                <w:bCs/>
                <w:i/>
                <w:iCs/>
                <w:sz w:val="22"/>
                <w:szCs w:val="22"/>
              </w:rPr>
            </w:pPr>
            <w:r>
              <w:rPr>
                <w:b/>
                <w:i/>
                <w:iCs/>
                <w:sz w:val="22"/>
                <w:szCs w:val="22"/>
              </w:rPr>
              <w:t>I</w:t>
            </w:r>
          </w:p>
        </w:tc>
        <w:tc>
          <w:tcPr>
            <w:tcW w:w="2126" w:type="dxa"/>
            <w:tcBorders>
              <w:top w:val="single" w:sz="4" w:space="0" w:color="000000"/>
              <w:left w:val="single" w:sz="4" w:space="0" w:color="000000"/>
              <w:bottom w:val="single" w:sz="4" w:space="0" w:color="000000"/>
            </w:tcBorders>
          </w:tcPr>
          <w:p w14:paraId="6F35CFC8" w14:textId="77777777" w:rsidR="001C08A5" w:rsidRDefault="00000000">
            <w:pPr>
              <w:jc w:val="center"/>
              <w:rPr>
                <w:b/>
                <w:i/>
                <w:iCs/>
                <w:sz w:val="22"/>
                <w:szCs w:val="22"/>
              </w:rPr>
            </w:pPr>
            <w:r>
              <w:rPr>
                <w:b/>
                <w:i/>
                <w:iCs/>
                <w:sz w:val="22"/>
                <w:szCs w:val="22"/>
              </w:rPr>
              <w:t>60</w:t>
            </w:r>
          </w:p>
        </w:tc>
        <w:tc>
          <w:tcPr>
            <w:tcW w:w="2126" w:type="dxa"/>
            <w:tcBorders>
              <w:top w:val="single" w:sz="4" w:space="0" w:color="000000"/>
              <w:left w:val="single" w:sz="4" w:space="0" w:color="000000"/>
              <w:bottom w:val="single" w:sz="4" w:space="0" w:color="000000"/>
            </w:tcBorders>
          </w:tcPr>
          <w:p w14:paraId="7E712ACE" w14:textId="77777777" w:rsidR="001C08A5" w:rsidRDefault="00000000">
            <w:pPr>
              <w:jc w:val="center"/>
              <w:rPr>
                <w:b/>
                <w:i/>
                <w:iCs/>
                <w:sz w:val="22"/>
                <w:szCs w:val="22"/>
              </w:rPr>
            </w:pPr>
            <w:r>
              <w:rPr>
                <w:b/>
                <w:i/>
                <w:iCs/>
                <w:sz w:val="22"/>
                <w:szCs w:val="22"/>
              </w:rPr>
              <w:t>40</w:t>
            </w:r>
          </w:p>
        </w:tc>
        <w:tc>
          <w:tcPr>
            <w:tcW w:w="2127" w:type="dxa"/>
            <w:tcBorders>
              <w:top w:val="single" w:sz="4" w:space="0" w:color="000000"/>
              <w:left w:val="single" w:sz="4" w:space="0" w:color="000000"/>
              <w:bottom w:val="single" w:sz="4" w:space="0" w:color="000000"/>
              <w:right w:val="single" w:sz="8" w:space="0" w:color="000000"/>
            </w:tcBorders>
          </w:tcPr>
          <w:p w14:paraId="56842A7A" w14:textId="77777777" w:rsidR="001C08A5" w:rsidRDefault="00000000">
            <w:pPr>
              <w:jc w:val="center"/>
              <w:rPr>
                <w:b/>
                <w:i/>
                <w:iCs/>
                <w:sz w:val="22"/>
                <w:szCs w:val="22"/>
              </w:rPr>
            </w:pPr>
            <w:r>
              <w:rPr>
                <w:b/>
                <w:i/>
                <w:iCs/>
                <w:sz w:val="22"/>
                <w:szCs w:val="22"/>
              </w:rPr>
              <w:t>25</w:t>
            </w:r>
          </w:p>
        </w:tc>
      </w:tr>
      <w:tr w:rsidR="001C08A5" w14:paraId="49C8F21B" w14:textId="77777777">
        <w:trPr>
          <w:cantSplit/>
        </w:trPr>
        <w:tc>
          <w:tcPr>
            <w:tcW w:w="1560" w:type="dxa"/>
            <w:vMerge/>
            <w:tcBorders>
              <w:top w:val="single" w:sz="4" w:space="0" w:color="000000"/>
              <w:left w:val="single" w:sz="8" w:space="0" w:color="000000"/>
              <w:bottom w:val="single" w:sz="4" w:space="0" w:color="000000"/>
            </w:tcBorders>
          </w:tcPr>
          <w:p w14:paraId="6F17DDD1" w14:textId="77777777" w:rsidR="001C08A5" w:rsidRDefault="001C08A5">
            <w:pPr>
              <w:snapToGrid w:val="0"/>
              <w:jc w:val="center"/>
              <w:rPr>
                <w:i/>
                <w:iCs/>
                <w:sz w:val="22"/>
                <w:szCs w:val="22"/>
              </w:rPr>
            </w:pPr>
          </w:p>
        </w:tc>
        <w:tc>
          <w:tcPr>
            <w:tcW w:w="1559" w:type="dxa"/>
            <w:tcBorders>
              <w:top w:val="single" w:sz="4" w:space="0" w:color="000000"/>
              <w:left w:val="single" w:sz="4" w:space="0" w:color="000000"/>
              <w:bottom w:val="single" w:sz="4" w:space="0" w:color="000000"/>
            </w:tcBorders>
          </w:tcPr>
          <w:p w14:paraId="01A5943D" w14:textId="77777777" w:rsidR="001C08A5" w:rsidRDefault="00000000">
            <w:pPr>
              <w:jc w:val="center"/>
              <w:rPr>
                <w:bCs/>
                <w:i/>
                <w:iCs/>
                <w:sz w:val="22"/>
                <w:szCs w:val="22"/>
              </w:rPr>
            </w:pPr>
            <w:r>
              <w:rPr>
                <w:b/>
                <w:i/>
                <w:iCs/>
                <w:sz w:val="22"/>
                <w:szCs w:val="22"/>
              </w:rPr>
              <w:t>II</w:t>
            </w:r>
          </w:p>
        </w:tc>
        <w:tc>
          <w:tcPr>
            <w:tcW w:w="2126" w:type="dxa"/>
            <w:tcBorders>
              <w:top w:val="single" w:sz="4" w:space="0" w:color="000000"/>
              <w:left w:val="single" w:sz="4" w:space="0" w:color="000000"/>
              <w:bottom w:val="single" w:sz="4" w:space="0" w:color="000000"/>
            </w:tcBorders>
          </w:tcPr>
          <w:p w14:paraId="48349EA2" w14:textId="77777777" w:rsidR="001C08A5" w:rsidRDefault="00000000">
            <w:pPr>
              <w:jc w:val="center"/>
              <w:rPr>
                <w:b/>
                <w:i/>
                <w:iCs/>
                <w:sz w:val="22"/>
                <w:szCs w:val="22"/>
              </w:rPr>
            </w:pPr>
            <w:r>
              <w:rPr>
                <w:b/>
                <w:i/>
                <w:iCs/>
                <w:sz w:val="22"/>
                <w:szCs w:val="22"/>
              </w:rPr>
              <w:t>50</w:t>
            </w:r>
          </w:p>
        </w:tc>
        <w:tc>
          <w:tcPr>
            <w:tcW w:w="2126" w:type="dxa"/>
            <w:tcBorders>
              <w:top w:val="single" w:sz="4" w:space="0" w:color="000000"/>
              <w:left w:val="single" w:sz="4" w:space="0" w:color="000000"/>
              <w:bottom w:val="single" w:sz="4" w:space="0" w:color="000000"/>
            </w:tcBorders>
          </w:tcPr>
          <w:p w14:paraId="25B688B7" w14:textId="77777777" w:rsidR="001C08A5" w:rsidRDefault="00000000">
            <w:pPr>
              <w:jc w:val="center"/>
              <w:rPr>
                <w:b/>
                <w:i/>
                <w:iCs/>
                <w:sz w:val="22"/>
                <w:szCs w:val="22"/>
              </w:rPr>
            </w:pPr>
            <w:r>
              <w:rPr>
                <w:b/>
                <w:i/>
                <w:iCs/>
                <w:sz w:val="22"/>
                <w:szCs w:val="22"/>
              </w:rPr>
              <w:t>35</w:t>
            </w:r>
          </w:p>
        </w:tc>
        <w:tc>
          <w:tcPr>
            <w:tcW w:w="2127" w:type="dxa"/>
            <w:tcBorders>
              <w:top w:val="single" w:sz="4" w:space="0" w:color="000000"/>
              <w:left w:val="single" w:sz="4" w:space="0" w:color="000000"/>
              <w:bottom w:val="single" w:sz="4" w:space="0" w:color="000000"/>
              <w:right w:val="single" w:sz="8" w:space="0" w:color="000000"/>
            </w:tcBorders>
          </w:tcPr>
          <w:p w14:paraId="66A7ADF1" w14:textId="77777777" w:rsidR="001C08A5" w:rsidRDefault="00000000">
            <w:pPr>
              <w:jc w:val="center"/>
              <w:rPr>
                <w:b/>
                <w:i/>
                <w:iCs/>
                <w:sz w:val="22"/>
                <w:szCs w:val="22"/>
              </w:rPr>
            </w:pPr>
            <w:r>
              <w:rPr>
                <w:b/>
                <w:i/>
                <w:iCs/>
                <w:sz w:val="22"/>
                <w:szCs w:val="22"/>
              </w:rPr>
              <w:t>20</w:t>
            </w:r>
          </w:p>
        </w:tc>
      </w:tr>
      <w:tr w:rsidR="001C08A5" w14:paraId="582E6784" w14:textId="77777777">
        <w:trPr>
          <w:cantSplit/>
        </w:trPr>
        <w:tc>
          <w:tcPr>
            <w:tcW w:w="1560" w:type="dxa"/>
            <w:vMerge/>
            <w:tcBorders>
              <w:top w:val="single" w:sz="4" w:space="0" w:color="000000"/>
              <w:left w:val="single" w:sz="8" w:space="0" w:color="000000"/>
              <w:bottom w:val="single" w:sz="4" w:space="0" w:color="000000"/>
            </w:tcBorders>
          </w:tcPr>
          <w:p w14:paraId="3CFCE3CE" w14:textId="77777777" w:rsidR="001C08A5" w:rsidRDefault="001C08A5">
            <w:pPr>
              <w:snapToGrid w:val="0"/>
              <w:jc w:val="center"/>
              <w:rPr>
                <w:i/>
                <w:iCs/>
                <w:sz w:val="22"/>
                <w:szCs w:val="22"/>
              </w:rPr>
            </w:pPr>
          </w:p>
        </w:tc>
        <w:tc>
          <w:tcPr>
            <w:tcW w:w="1559" w:type="dxa"/>
            <w:tcBorders>
              <w:top w:val="single" w:sz="4" w:space="0" w:color="000000"/>
              <w:left w:val="single" w:sz="4" w:space="0" w:color="000000"/>
              <w:bottom w:val="single" w:sz="4" w:space="0" w:color="000000"/>
            </w:tcBorders>
          </w:tcPr>
          <w:p w14:paraId="4CBC2230" w14:textId="77777777" w:rsidR="001C08A5" w:rsidRDefault="00000000">
            <w:pPr>
              <w:jc w:val="center"/>
              <w:rPr>
                <w:bCs/>
                <w:i/>
                <w:iCs/>
                <w:sz w:val="22"/>
                <w:szCs w:val="22"/>
              </w:rPr>
            </w:pPr>
            <w:r>
              <w:rPr>
                <w:b/>
                <w:i/>
                <w:iCs/>
                <w:sz w:val="22"/>
                <w:szCs w:val="22"/>
              </w:rPr>
              <w:t>III</w:t>
            </w:r>
          </w:p>
        </w:tc>
        <w:tc>
          <w:tcPr>
            <w:tcW w:w="2126" w:type="dxa"/>
            <w:tcBorders>
              <w:top w:val="single" w:sz="4" w:space="0" w:color="000000"/>
              <w:left w:val="single" w:sz="4" w:space="0" w:color="000000"/>
              <w:bottom w:val="single" w:sz="4" w:space="0" w:color="000000"/>
            </w:tcBorders>
          </w:tcPr>
          <w:p w14:paraId="687868CC" w14:textId="77777777" w:rsidR="001C08A5" w:rsidRDefault="00000000">
            <w:pPr>
              <w:jc w:val="center"/>
              <w:rPr>
                <w:b/>
                <w:i/>
                <w:iCs/>
                <w:sz w:val="22"/>
                <w:szCs w:val="22"/>
              </w:rPr>
            </w:pPr>
            <w:r>
              <w:rPr>
                <w:b/>
                <w:i/>
                <w:iCs/>
                <w:sz w:val="22"/>
                <w:szCs w:val="22"/>
              </w:rPr>
              <w:t>40</w:t>
            </w:r>
          </w:p>
        </w:tc>
        <w:tc>
          <w:tcPr>
            <w:tcW w:w="2126" w:type="dxa"/>
            <w:tcBorders>
              <w:top w:val="single" w:sz="4" w:space="0" w:color="000000"/>
              <w:left w:val="single" w:sz="4" w:space="0" w:color="000000"/>
              <w:bottom w:val="single" w:sz="4" w:space="0" w:color="000000"/>
            </w:tcBorders>
          </w:tcPr>
          <w:p w14:paraId="6E594062" w14:textId="77777777" w:rsidR="001C08A5" w:rsidRDefault="00000000">
            <w:pPr>
              <w:jc w:val="center"/>
              <w:rPr>
                <w:b/>
                <w:i/>
                <w:iCs/>
                <w:sz w:val="22"/>
                <w:szCs w:val="22"/>
              </w:rPr>
            </w:pPr>
            <w:r>
              <w:rPr>
                <w:b/>
                <w:i/>
                <w:iCs/>
                <w:sz w:val="22"/>
                <w:szCs w:val="22"/>
              </w:rPr>
              <w:t>25</w:t>
            </w:r>
          </w:p>
        </w:tc>
        <w:tc>
          <w:tcPr>
            <w:tcW w:w="2127" w:type="dxa"/>
            <w:tcBorders>
              <w:top w:val="single" w:sz="4" w:space="0" w:color="000000"/>
              <w:left w:val="single" w:sz="4" w:space="0" w:color="000000"/>
              <w:bottom w:val="single" w:sz="4" w:space="0" w:color="000000"/>
              <w:right w:val="single" w:sz="8" w:space="0" w:color="000000"/>
            </w:tcBorders>
          </w:tcPr>
          <w:p w14:paraId="7107ED7A" w14:textId="77777777" w:rsidR="001C08A5" w:rsidRDefault="00000000">
            <w:pPr>
              <w:jc w:val="center"/>
              <w:rPr>
                <w:b/>
                <w:i/>
                <w:iCs/>
                <w:sz w:val="22"/>
                <w:szCs w:val="22"/>
              </w:rPr>
            </w:pPr>
            <w:r>
              <w:rPr>
                <w:b/>
                <w:i/>
                <w:iCs/>
                <w:sz w:val="22"/>
                <w:szCs w:val="22"/>
              </w:rPr>
              <w:t>15</w:t>
            </w:r>
          </w:p>
        </w:tc>
      </w:tr>
      <w:tr w:rsidR="001C08A5" w14:paraId="2917BD99" w14:textId="77777777">
        <w:trPr>
          <w:cantSplit/>
        </w:trPr>
        <w:tc>
          <w:tcPr>
            <w:tcW w:w="1560" w:type="dxa"/>
            <w:vMerge/>
            <w:tcBorders>
              <w:top w:val="single" w:sz="4" w:space="0" w:color="000000"/>
              <w:left w:val="single" w:sz="8" w:space="0" w:color="000000"/>
              <w:bottom w:val="single" w:sz="4" w:space="0" w:color="000000"/>
            </w:tcBorders>
          </w:tcPr>
          <w:p w14:paraId="07461916" w14:textId="77777777" w:rsidR="001C08A5" w:rsidRDefault="001C08A5">
            <w:pPr>
              <w:snapToGrid w:val="0"/>
              <w:jc w:val="center"/>
              <w:rPr>
                <w:i/>
                <w:iCs/>
                <w:sz w:val="22"/>
                <w:szCs w:val="22"/>
              </w:rPr>
            </w:pPr>
          </w:p>
        </w:tc>
        <w:tc>
          <w:tcPr>
            <w:tcW w:w="1559" w:type="dxa"/>
            <w:tcBorders>
              <w:top w:val="single" w:sz="4" w:space="0" w:color="000000"/>
              <w:left w:val="single" w:sz="4" w:space="0" w:color="000000"/>
              <w:bottom w:val="single" w:sz="4" w:space="0" w:color="000000"/>
            </w:tcBorders>
          </w:tcPr>
          <w:p w14:paraId="273D0436" w14:textId="77777777" w:rsidR="001C08A5" w:rsidRDefault="00000000">
            <w:pPr>
              <w:jc w:val="center"/>
              <w:rPr>
                <w:bCs/>
                <w:i/>
                <w:iCs/>
                <w:sz w:val="22"/>
                <w:szCs w:val="22"/>
              </w:rPr>
            </w:pPr>
            <w:r>
              <w:rPr>
                <w:b/>
                <w:i/>
                <w:iCs/>
                <w:sz w:val="22"/>
                <w:szCs w:val="22"/>
              </w:rPr>
              <w:t>IV</w:t>
            </w:r>
          </w:p>
        </w:tc>
        <w:tc>
          <w:tcPr>
            <w:tcW w:w="2126" w:type="dxa"/>
            <w:tcBorders>
              <w:top w:val="single" w:sz="4" w:space="0" w:color="000000"/>
              <w:left w:val="single" w:sz="4" w:space="0" w:color="000000"/>
              <w:bottom w:val="single" w:sz="4" w:space="0" w:color="000000"/>
            </w:tcBorders>
          </w:tcPr>
          <w:p w14:paraId="6AD74D54" w14:textId="77777777" w:rsidR="001C08A5" w:rsidRDefault="00000000">
            <w:pPr>
              <w:jc w:val="center"/>
              <w:rPr>
                <w:b/>
                <w:i/>
                <w:iCs/>
                <w:sz w:val="22"/>
                <w:szCs w:val="22"/>
              </w:rPr>
            </w:pPr>
            <w:r>
              <w:rPr>
                <w:b/>
                <w:i/>
                <w:iCs/>
                <w:sz w:val="22"/>
                <w:szCs w:val="22"/>
              </w:rPr>
              <w:t>30</w:t>
            </w:r>
          </w:p>
        </w:tc>
        <w:tc>
          <w:tcPr>
            <w:tcW w:w="2126" w:type="dxa"/>
            <w:tcBorders>
              <w:top w:val="single" w:sz="4" w:space="0" w:color="000000"/>
              <w:left w:val="single" w:sz="4" w:space="0" w:color="000000"/>
              <w:bottom w:val="single" w:sz="4" w:space="0" w:color="000000"/>
            </w:tcBorders>
          </w:tcPr>
          <w:p w14:paraId="60BE74D1" w14:textId="77777777" w:rsidR="001C08A5" w:rsidRDefault="00000000">
            <w:pPr>
              <w:jc w:val="center"/>
              <w:rPr>
                <w:b/>
                <w:i/>
                <w:iCs/>
                <w:sz w:val="22"/>
                <w:szCs w:val="22"/>
              </w:rPr>
            </w:pPr>
            <w:r>
              <w:rPr>
                <w:b/>
                <w:i/>
                <w:iCs/>
                <w:sz w:val="22"/>
                <w:szCs w:val="22"/>
              </w:rPr>
              <w:t>16</w:t>
            </w:r>
          </w:p>
        </w:tc>
        <w:tc>
          <w:tcPr>
            <w:tcW w:w="2127" w:type="dxa"/>
            <w:tcBorders>
              <w:top w:val="single" w:sz="4" w:space="0" w:color="000000"/>
              <w:left w:val="single" w:sz="4" w:space="0" w:color="000000"/>
              <w:bottom w:val="single" w:sz="4" w:space="0" w:color="000000"/>
              <w:right w:val="single" w:sz="8" w:space="0" w:color="000000"/>
            </w:tcBorders>
          </w:tcPr>
          <w:p w14:paraId="059465F3" w14:textId="77777777" w:rsidR="001C08A5" w:rsidRDefault="00000000">
            <w:pPr>
              <w:jc w:val="center"/>
              <w:rPr>
                <w:b/>
                <w:i/>
                <w:iCs/>
                <w:sz w:val="22"/>
                <w:szCs w:val="22"/>
              </w:rPr>
            </w:pPr>
            <w:r>
              <w:rPr>
                <w:b/>
                <w:i/>
                <w:iCs/>
                <w:sz w:val="22"/>
                <w:szCs w:val="22"/>
              </w:rPr>
              <w:t>12</w:t>
            </w:r>
          </w:p>
        </w:tc>
      </w:tr>
      <w:tr w:rsidR="001C08A5" w14:paraId="23D825B9" w14:textId="77777777">
        <w:trPr>
          <w:cantSplit/>
        </w:trPr>
        <w:tc>
          <w:tcPr>
            <w:tcW w:w="1560" w:type="dxa"/>
            <w:vMerge/>
            <w:tcBorders>
              <w:top w:val="single" w:sz="4" w:space="0" w:color="000000"/>
              <w:left w:val="single" w:sz="8" w:space="0" w:color="000000"/>
              <w:bottom w:val="single" w:sz="8" w:space="0" w:color="000000"/>
            </w:tcBorders>
          </w:tcPr>
          <w:p w14:paraId="0ED15167" w14:textId="77777777" w:rsidR="001C08A5" w:rsidRDefault="001C08A5">
            <w:pPr>
              <w:snapToGrid w:val="0"/>
              <w:jc w:val="center"/>
              <w:rPr>
                <w:i/>
                <w:iCs/>
                <w:sz w:val="22"/>
                <w:szCs w:val="22"/>
              </w:rPr>
            </w:pPr>
          </w:p>
        </w:tc>
        <w:tc>
          <w:tcPr>
            <w:tcW w:w="1559" w:type="dxa"/>
            <w:tcBorders>
              <w:top w:val="single" w:sz="4" w:space="0" w:color="000000"/>
              <w:left w:val="single" w:sz="4" w:space="0" w:color="000000"/>
              <w:bottom w:val="single" w:sz="8" w:space="0" w:color="000000"/>
            </w:tcBorders>
          </w:tcPr>
          <w:p w14:paraId="0F2CA673" w14:textId="77777777" w:rsidR="001C08A5" w:rsidRDefault="00000000">
            <w:pPr>
              <w:jc w:val="center"/>
              <w:rPr>
                <w:bCs/>
                <w:i/>
                <w:iCs/>
                <w:sz w:val="22"/>
                <w:szCs w:val="22"/>
              </w:rPr>
            </w:pPr>
            <w:r>
              <w:rPr>
                <w:b/>
                <w:i/>
                <w:iCs/>
                <w:sz w:val="22"/>
                <w:szCs w:val="22"/>
              </w:rPr>
              <w:t>V</w:t>
            </w:r>
          </w:p>
        </w:tc>
        <w:tc>
          <w:tcPr>
            <w:tcW w:w="2126" w:type="dxa"/>
            <w:tcBorders>
              <w:top w:val="single" w:sz="4" w:space="0" w:color="000000"/>
              <w:left w:val="single" w:sz="4" w:space="0" w:color="000000"/>
              <w:bottom w:val="single" w:sz="8" w:space="0" w:color="000000"/>
            </w:tcBorders>
          </w:tcPr>
          <w:p w14:paraId="3EFA4EF0" w14:textId="77777777" w:rsidR="001C08A5" w:rsidRDefault="00000000">
            <w:pPr>
              <w:jc w:val="center"/>
              <w:rPr>
                <w:b/>
                <w:i/>
                <w:iCs/>
                <w:sz w:val="22"/>
                <w:szCs w:val="22"/>
              </w:rPr>
            </w:pPr>
            <w:r>
              <w:rPr>
                <w:b/>
                <w:i/>
                <w:iCs/>
                <w:sz w:val="22"/>
                <w:szCs w:val="22"/>
              </w:rPr>
              <w:t>20</w:t>
            </w:r>
          </w:p>
        </w:tc>
        <w:tc>
          <w:tcPr>
            <w:tcW w:w="2126" w:type="dxa"/>
            <w:tcBorders>
              <w:top w:val="single" w:sz="4" w:space="0" w:color="000000"/>
              <w:left w:val="single" w:sz="4" w:space="0" w:color="000000"/>
              <w:bottom w:val="single" w:sz="8" w:space="0" w:color="000000"/>
            </w:tcBorders>
          </w:tcPr>
          <w:p w14:paraId="23B319C4" w14:textId="77777777" w:rsidR="001C08A5" w:rsidRDefault="00000000">
            <w:pPr>
              <w:jc w:val="center"/>
              <w:rPr>
                <w:b/>
                <w:i/>
                <w:iCs/>
                <w:sz w:val="22"/>
                <w:szCs w:val="22"/>
              </w:rPr>
            </w:pPr>
            <w:r>
              <w:rPr>
                <w:b/>
                <w:i/>
                <w:iCs/>
                <w:sz w:val="22"/>
                <w:szCs w:val="22"/>
              </w:rPr>
              <w:t>10</w:t>
            </w:r>
          </w:p>
        </w:tc>
        <w:tc>
          <w:tcPr>
            <w:tcW w:w="2127" w:type="dxa"/>
            <w:tcBorders>
              <w:top w:val="single" w:sz="4" w:space="0" w:color="000000"/>
              <w:left w:val="single" w:sz="4" w:space="0" w:color="000000"/>
              <w:bottom w:val="single" w:sz="8" w:space="0" w:color="000000"/>
              <w:right w:val="single" w:sz="8" w:space="0" w:color="000000"/>
            </w:tcBorders>
          </w:tcPr>
          <w:p w14:paraId="28F0401B" w14:textId="77777777" w:rsidR="001C08A5" w:rsidRDefault="00000000">
            <w:pPr>
              <w:jc w:val="center"/>
              <w:rPr>
                <w:b/>
                <w:i/>
                <w:iCs/>
                <w:sz w:val="22"/>
                <w:szCs w:val="22"/>
              </w:rPr>
            </w:pPr>
            <w:r>
              <w:rPr>
                <w:b/>
                <w:i/>
                <w:iCs/>
                <w:sz w:val="22"/>
                <w:szCs w:val="22"/>
              </w:rPr>
              <w:t>10</w:t>
            </w:r>
          </w:p>
        </w:tc>
      </w:tr>
    </w:tbl>
    <w:p w14:paraId="362C02D9" w14:textId="77777777" w:rsidR="001C08A5" w:rsidRDefault="00000000">
      <w:pPr>
        <w:jc w:val="both"/>
        <w:rPr>
          <w:b/>
          <w:i/>
          <w:sz w:val="22"/>
          <w:szCs w:val="22"/>
        </w:rPr>
      </w:pPr>
      <w:r>
        <w:rPr>
          <w:i/>
          <w:sz w:val="22"/>
          <w:szCs w:val="22"/>
          <w:u w:val="single"/>
        </w:rPr>
        <w:t>Notă</w:t>
      </w:r>
      <w:r>
        <w:rPr>
          <w:i/>
          <w:sz w:val="22"/>
          <w:szCs w:val="22"/>
        </w:rPr>
        <w:t>:</w:t>
      </w:r>
      <w:r>
        <w:rPr>
          <w:i/>
          <w:sz w:val="22"/>
          <w:szCs w:val="22"/>
        </w:rPr>
        <w:tab/>
      </w:r>
    </w:p>
    <w:p w14:paraId="5176141A" w14:textId="77777777" w:rsidR="001C08A5" w:rsidRDefault="00000000">
      <w:pPr>
        <w:jc w:val="both"/>
        <w:rPr>
          <w:b/>
          <w:i/>
          <w:sz w:val="22"/>
          <w:szCs w:val="22"/>
        </w:rPr>
      </w:pPr>
      <w:r>
        <w:rPr>
          <w:b/>
          <w:i/>
          <w:sz w:val="22"/>
          <w:szCs w:val="22"/>
        </w:rPr>
        <w:t>a)</w:t>
      </w:r>
      <w:r>
        <w:rPr>
          <w:i/>
          <w:sz w:val="22"/>
          <w:szCs w:val="22"/>
        </w:rPr>
        <w:t xml:space="preserve"> Traseele de evacuare prin foaiere, holuri și windfanguri ale sălii aglomerate nu se iau în considerare la stabilirea lungimii de evacuare normată, dacă foaierele și holurile au asigurate minim condiţiile de securitate la incendiu stabilite pentru sala aglomerată respectivă, inclusiv sisteme de evacuare a fumului. </w:t>
      </w:r>
    </w:p>
    <w:p w14:paraId="39EDF80C" w14:textId="77777777" w:rsidR="001C08A5" w:rsidRDefault="001C08A5">
      <w:pPr>
        <w:jc w:val="both"/>
        <w:rPr>
          <w:sz w:val="24"/>
          <w:szCs w:val="24"/>
        </w:rPr>
      </w:pPr>
    </w:p>
    <w:p w14:paraId="7951AC96" w14:textId="77777777" w:rsidR="001C08A5" w:rsidRDefault="00000000">
      <w:pPr>
        <w:jc w:val="both"/>
        <w:rPr>
          <w:sz w:val="24"/>
          <w:szCs w:val="24"/>
        </w:rPr>
      </w:pPr>
      <w:r>
        <w:rPr>
          <w:b/>
          <w:sz w:val="24"/>
          <w:szCs w:val="24"/>
        </w:rPr>
        <w:tab/>
        <w:t>Art. 4.3.5.10. (1)</w:t>
      </w:r>
      <w:r>
        <w:rPr>
          <w:sz w:val="24"/>
          <w:szCs w:val="24"/>
        </w:rPr>
        <w:t xml:space="preserve"> Amplasarea mobilierului în sălile aglomerate se face astfel încât să se realizeze treceri cu lăţimi corespunzătoare, prin care utilizatorii sălii să ajungă la ieşiri.</w:t>
      </w:r>
    </w:p>
    <w:p w14:paraId="4D56FA97" w14:textId="77777777" w:rsidR="001C08A5" w:rsidRDefault="00000000">
      <w:pPr>
        <w:jc w:val="both"/>
        <w:rPr>
          <w:b/>
          <w:sz w:val="24"/>
          <w:szCs w:val="24"/>
        </w:rPr>
      </w:pPr>
      <w:r>
        <w:rPr>
          <w:sz w:val="24"/>
          <w:szCs w:val="24"/>
        </w:rPr>
        <w:tab/>
      </w:r>
      <w:r>
        <w:rPr>
          <w:b/>
          <w:sz w:val="24"/>
          <w:szCs w:val="24"/>
        </w:rPr>
        <w:t xml:space="preserve">(2) </w:t>
      </w:r>
      <w:r>
        <w:rPr>
          <w:sz w:val="24"/>
          <w:szCs w:val="24"/>
        </w:rPr>
        <w:t>La sălile aglomerate cu locuri pe fotolii, scaune sau bănci, pe trecerile dintre pachetele de locuri se pot prevedea strapontine, dacă acestea:</w:t>
      </w:r>
    </w:p>
    <w:p w14:paraId="1CD855B0" w14:textId="77777777" w:rsidR="001C08A5" w:rsidRDefault="00000000">
      <w:pPr>
        <w:ind w:left="1440" w:firstLine="720"/>
        <w:jc w:val="both"/>
        <w:rPr>
          <w:sz w:val="24"/>
          <w:szCs w:val="24"/>
        </w:rPr>
      </w:pPr>
      <w:r>
        <w:rPr>
          <w:b/>
          <w:sz w:val="24"/>
          <w:szCs w:val="24"/>
        </w:rPr>
        <w:t>a)</w:t>
      </w:r>
      <w:r>
        <w:rPr>
          <w:sz w:val="24"/>
          <w:szCs w:val="24"/>
        </w:rPr>
        <w:t xml:space="preserve"> se ridică automat şi se menţin în această poziţie atunci când nu sunt utilizate, lăsând liberă lăţimea trecerii rezultată din calcul;</w:t>
      </w:r>
    </w:p>
    <w:p w14:paraId="325C0AD1" w14:textId="77777777" w:rsidR="001C08A5" w:rsidRDefault="00000000">
      <w:pPr>
        <w:ind w:left="1440" w:firstLine="720"/>
        <w:jc w:val="both"/>
        <w:rPr>
          <w:sz w:val="24"/>
          <w:szCs w:val="24"/>
        </w:rPr>
      </w:pPr>
      <w:r>
        <w:rPr>
          <w:b/>
          <w:sz w:val="24"/>
          <w:szCs w:val="24"/>
        </w:rPr>
        <w:t>b)</w:t>
      </w:r>
      <w:r>
        <w:rPr>
          <w:sz w:val="24"/>
          <w:szCs w:val="24"/>
        </w:rPr>
        <w:t xml:space="preserve"> fiind coborâte, rămâne liberă o trecere cu lăţimea de minimum </w:t>
      </w:r>
      <w:r>
        <w:rPr>
          <w:b/>
          <w:bCs/>
          <w:sz w:val="24"/>
          <w:szCs w:val="24"/>
        </w:rPr>
        <w:t>80 cm</w:t>
      </w:r>
      <w:r>
        <w:rPr>
          <w:sz w:val="24"/>
          <w:szCs w:val="24"/>
        </w:rPr>
        <w:t>. </w:t>
      </w:r>
    </w:p>
    <w:p w14:paraId="1017D184" w14:textId="77777777" w:rsidR="001C08A5" w:rsidRDefault="001C08A5">
      <w:pPr>
        <w:jc w:val="both"/>
        <w:rPr>
          <w:b/>
          <w:sz w:val="24"/>
          <w:szCs w:val="24"/>
        </w:rPr>
      </w:pPr>
    </w:p>
    <w:p w14:paraId="7CCD6368" w14:textId="77777777" w:rsidR="001C08A5" w:rsidRDefault="00000000">
      <w:pPr>
        <w:jc w:val="both"/>
        <w:rPr>
          <w:sz w:val="24"/>
          <w:szCs w:val="24"/>
        </w:rPr>
      </w:pPr>
      <w:r>
        <w:rPr>
          <w:b/>
          <w:sz w:val="24"/>
          <w:szCs w:val="24"/>
        </w:rPr>
        <w:tab/>
        <w:t xml:space="preserve">Art. 4.3.5.11. </w:t>
      </w:r>
      <w:r>
        <w:rPr>
          <w:sz w:val="24"/>
          <w:szCs w:val="24"/>
        </w:rPr>
        <w:t>Pe trecerile de evacuare dintre rândurile de scaune se admit trepte numai perpendiculare pe acestea (nu în lungul lor).</w:t>
      </w:r>
    </w:p>
    <w:p w14:paraId="6E6B7E4C" w14:textId="77777777" w:rsidR="001C08A5" w:rsidRDefault="001C08A5">
      <w:pPr>
        <w:jc w:val="both"/>
        <w:rPr>
          <w:sz w:val="24"/>
          <w:szCs w:val="24"/>
        </w:rPr>
      </w:pPr>
    </w:p>
    <w:p w14:paraId="2CD90AA5" w14:textId="77777777" w:rsidR="001C08A5" w:rsidRDefault="00000000">
      <w:pPr>
        <w:jc w:val="both"/>
        <w:rPr>
          <w:b/>
          <w:sz w:val="24"/>
          <w:szCs w:val="24"/>
        </w:rPr>
      </w:pPr>
      <w:r>
        <w:rPr>
          <w:b/>
          <w:sz w:val="24"/>
          <w:szCs w:val="24"/>
        </w:rPr>
        <w:tab/>
        <w:t xml:space="preserve">Art. 4.3.5.12. (1) </w:t>
      </w:r>
      <w:r>
        <w:rPr>
          <w:sz w:val="24"/>
          <w:szCs w:val="24"/>
        </w:rPr>
        <w:t xml:space="preserve">La sălile de spectacole, auditorii, săli de concerte, polivalente şi altele similare, numărul maxim de locuri dintr-un rând se stabileşte în funcţie de nivelul de stabilitate la incendiu al clădirii şi de modul în care se face evacuarea utilizatorilor din rând, potrivit prevederilor din </w:t>
      </w:r>
      <w:r>
        <w:rPr>
          <w:b/>
          <w:bCs/>
          <w:i/>
          <w:iCs/>
          <w:sz w:val="24"/>
          <w:szCs w:val="24"/>
        </w:rPr>
        <w:fldChar w:fldCharType="begin"/>
      </w:r>
      <w:r>
        <w:rPr>
          <w:b/>
          <w:bCs/>
          <w:i/>
          <w:iCs/>
          <w:sz w:val="24"/>
          <w:szCs w:val="24"/>
        </w:rPr>
        <w:instrText xml:space="preserve"> REF _Ref26496 \h </w:instrText>
      </w:r>
      <w:r>
        <w:rPr>
          <w:b/>
          <w:bCs/>
          <w:i/>
          <w:iCs/>
          <w:sz w:val="24"/>
          <w:szCs w:val="24"/>
        </w:rPr>
      </w:r>
      <w:r>
        <w:rPr>
          <w:b/>
          <w:bCs/>
          <w:i/>
          <w:iCs/>
          <w:sz w:val="24"/>
          <w:szCs w:val="24"/>
        </w:rPr>
        <w:fldChar w:fldCharType="separate"/>
      </w:r>
      <w:r>
        <w:t>Tabelul 111</w:t>
      </w:r>
      <w:r>
        <w:rPr>
          <w:b/>
          <w:bCs/>
          <w:i/>
          <w:iCs/>
          <w:sz w:val="24"/>
          <w:szCs w:val="24"/>
        </w:rPr>
        <w:fldChar w:fldCharType="end"/>
      </w:r>
      <w:r>
        <w:rPr>
          <w:b/>
          <w:sz w:val="24"/>
          <w:szCs w:val="24"/>
        </w:rPr>
        <w:t>.</w:t>
      </w:r>
    </w:p>
    <w:p w14:paraId="1D7A181C" w14:textId="77777777" w:rsidR="001C08A5" w:rsidRDefault="001C08A5">
      <w:pPr>
        <w:jc w:val="both"/>
        <w:rPr>
          <w:b/>
          <w:sz w:val="24"/>
          <w:szCs w:val="24"/>
        </w:rPr>
      </w:pPr>
    </w:p>
    <w:p w14:paraId="6FFBBE8A" w14:textId="77777777" w:rsidR="001C08A5" w:rsidRDefault="00000000">
      <w:pPr>
        <w:pStyle w:val="Captiontabel"/>
      </w:pPr>
      <w:bookmarkStart w:id="4922" w:name="_Ref26496"/>
      <w:bookmarkStart w:id="4923" w:name="_Toc162360161"/>
      <w:r>
        <w:t xml:space="preserve">Tabelul </w:t>
      </w:r>
      <w:r>
        <w:fldChar w:fldCharType="begin"/>
      </w:r>
      <w:r>
        <w:instrText xml:space="preserve"> SEQ Tabelul \* ARABIC </w:instrText>
      </w:r>
      <w:r>
        <w:fldChar w:fldCharType="separate"/>
      </w:r>
      <w:r>
        <w:t>111</w:t>
      </w:r>
      <w:r>
        <w:fldChar w:fldCharType="end"/>
      </w:r>
      <w:bookmarkStart w:id="4924" w:name="_Toc4522"/>
      <w:bookmarkStart w:id="4925" w:name="_Toc5578"/>
      <w:bookmarkStart w:id="4926" w:name="_Toc25987"/>
      <w:bookmarkStart w:id="4927" w:name="_Toc26604"/>
      <w:bookmarkStart w:id="4928" w:name="_Toc22615"/>
      <w:bookmarkStart w:id="4929" w:name="_Toc24732"/>
      <w:bookmarkStart w:id="4930" w:name="_Toc30006"/>
      <w:bookmarkStart w:id="4931" w:name="_Toc25682"/>
      <w:bookmarkStart w:id="4932" w:name="_Toc1452"/>
      <w:bookmarkStart w:id="4933" w:name="_Toc4373"/>
      <w:bookmarkStart w:id="4934" w:name="_Toc29048"/>
      <w:bookmarkStart w:id="4935" w:name="_Toc5138"/>
      <w:bookmarkStart w:id="4936" w:name="_Toc4703"/>
      <w:bookmarkStart w:id="4937" w:name="_Toc2262"/>
      <w:bookmarkStart w:id="4938" w:name="_Toc29542"/>
      <w:bookmarkStart w:id="4939" w:name="_Toc536"/>
      <w:bookmarkStart w:id="4940" w:name="_Toc21556"/>
      <w:bookmarkStart w:id="4941" w:name="_Toc7542"/>
      <w:bookmarkStart w:id="4942" w:name="_Toc19475"/>
      <w:bookmarkEnd w:id="4922"/>
      <w:r>
        <w:t>: Număr maxim de locuri dispuse pe un rând de scaune</w:t>
      </w:r>
      <w:bookmarkEnd w:id="4923"/>
      <w:r>
        <w:t xml:space="preserve">  </w:t>
      </w:r>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p>
    <w:p w14:paraId="27C9A234" w14:textId="77777777" w:rsidR="001C08A5" w:rsidRDefault="001C08A5">
      <w:pPr>
        <w:jc w:val="both"/>
        <w:rPr>
          <w:b/>
          <w:sz w:val="24"/>
          <w:szCs w:val="24"/>
        </w:rPr>
      </w:pPr>
    </w:p>
    <w:tbl>
      <w:tblPr>
        <w:tblW w:w="0" w:type="auto"/>
        <w:tblInd w:w="108" w:type="dxa"/>
        <w:tblLayout w:type="fixed"/>
        <w:tblLook w:val="04A0" w:firstRow="1" w:lastRow="0" w:firstColumn="1" w:lastColumn="0" w:noHBand="0" w:noVBand="1"/>
      </w:tblPr>
      <w:tblGrid>
        <w:gridCol w:w="2790"/>
        <w:gridCol w:w="2250"/>
        <w:gridCol w:w="2340"/>
        <w:gridCol w:w="2260"/>
        <w:gridCol w:w="35"/>
      </w:tblGrid>
      <w:tr w:rsidR="001C08A5" w14:paraId="2D058A1A" w14:textId="77777777">
        <w:trPr>
          <w:cantSplit/>
        </w:trPr>
        <w:tc>
          <w:tcPr>
            <w:tcW w:w="2790" w:type="dxa"/>
            <w:vMerge w:val="restart"/>
            <w:tcBorders>
              <w:top w:val="single" w:sz="8" w:space="0" w:color="000000"/>
              <w:left w:val="single" w:sz="8" w:space="0" w:color="000000"/>
              <w:bottom w:val="single" w:sz="4" w:space="0" w:color="000000"/>
            </w:tcBorders>
            <w:shd w:val="clear" w:color="auto" w:fill="D9D9D9"/>
          </w:tcPr>
          <w:p w14:paraId="7D607848" w14:textId="77777777" w:rsidR="001C08A5" w:rsidRDefault="00000000">
            <w:pPr>
              <w:jc w:val="center"/>
              <w:rPr>
                <w:b/>
                <w:i/>
                <w:iCs/>
                <w:sz w:val="22"/>
                <w:szCs w:val="22"/>
              </w:rPr>
            </w:pPr>
            <w:r>
              <w:rPr>
                <w:b/>
                <w:i/>
                <w:iCs/>
                <w:sz w:val="22"/>
                <w:szCs w:val="22"/>
              </w:rPr>
              <w:t>Modul de evacuare al utilizatorilor aflaţi pe un rând de scaune</w:t>
            </w:r>
          </w:p>
        </w:tc>
        <w:tc>
          <w:tcPr>
            <w:tcW w:w="6885" w:type="dxa"/>
            <w:gridSpan w:val="4"/>
            <w:tcBorders>
              <w:top w:val="single" w:sz="8" w:space="0" w:color="000000"/>
              <w:left w:val="single" w:sz="4" w:space="0" w:color="000000"/>
              <w:bottom w:val="single" w:sz="4" w:space="0" w:color="000000"/>
              <w:right w:val="single" w:sz="8" w:space="0" w:color="000000"/>
            </w:tcBorders>
            <w:shd w:val="clear" w:color="auto" w:fill="D9D9D9"/>
          </w:tcPr>
          <w:p w14:paraId="78F368B9" w14:textId="77777777" w:rsidR="001C08A5" w:rsidRDefault="00000000">
            <w:pPr>
              <w:spacing w:line="276" w:lineRule="auto"/>
              <w:jc w:val="center"/>
              <w:rPr>
                <w:b/>
                <w:i/>
                <w:iCs/>
                <w:sz w:val="22"/>
                <w:szCs w:val="22"/>
              </w:rPr>
            </w:pPr>
            <w:r>
              <w:rPr>
                <w:b/>
                <w:i/>
                <w:iCs/>
                <w:sz w:val="22"/>
                <w:szCs w:val="22"/>
              </w:rPr>
              <w:t>Nivelul de stabilitate la incendiu al clădirii</w:t>
            </w:r>
          </w:p>
        </w:tc>
      </w:tr>
      <w:tr w:rsidR="001C08A5" w14:paraId="09D307BB" w14:textId="77777777">
        <w:trPr>
          <w:cantSplit/>
        </w:trPr>
        <w:tc>
          <w:tcPr>
            <w:tcW w:w="2790" w:type="dxa"/>
            <w:vMerge/>
            <w:tcBorders>
              <w:top w:val="single" w:sz="4" w:space="0" w:color="000000"/>
              <w:left w:val="single" w:sz="8" w:space="0" w:color="000000"/>
              <w:bottom w:val="single" w:sz="4" w:space="0" w:color="000000"/>
            </w:tcBorders>
            <w:shd w:val="clear" w:color="auto" w:fill="D9D9D9"/>
          </w:tcPr>
          <w:p w14:paraId="488FDBE4" w14:textId="77777777" w:rsidR="001C08A5" w:rsidRDefault="001C08A5">
            <w:pPr>
              <w:snapToGrid w:val="0"/>
              <w:spacing w:line="276" w:lineRule="auto"/>
              <w:jc w:val="center"/>
              <w:rPr>
                <w:b/>
                <w:i/>
                <w:iCs/>
                <w:sz w:val="22"/>
                <w:szCs w:val="22"/>
              </w:rPr>
            </w:pPr>
          </w:p>
        </w:tc>
        <w:tc>
          <w:tcPr>
            <w:tcW w:w="2250" w:type="dxa"/>
            <w:tcBorders>
              <w:top w:val="single" w:sz="4" w:space="0" w:color="000000"/>
              <w:left w:val="single" w:sz="4" w:space="0" w:color="000000"/>
              <w:bottom w:val="single" w:sz="4" w:space="0" w:color="000000"/>
            </w:tcBorders>
            <w:shd w:val="clear" w:color="auto" w:fill="D9D9D9"/>
          </w:tcPr>
          <w:p w14:paraId="51F38881" w14:textId="77777777" w:rsidR="001C08A5" w:rsidRDefault="00000000">
            <w:pPr>
              <w:spacing w:line="276" w:lineRule="auto"/>
              <w:jc w:val="center"/>
              <w:rPr>
                <w:b/>
                <w:i/>
                <w:iCs/>
                <w:sz w:val="22"/>
                <w:szCs w:val="22"/>
              </w:rPr>
            </w:pPr>
            <w:r>
              <w:rPr>
                <w:b/>
                <w:i/>
                <w:iCs/>
                <w:sz w:val="22"/>
                <w:szCs w:val="22"/>
              </w:rPr>
              <w:t xml:space="preserve">I </w:t>
            </w:r>
            <w:r>
              <w:rPr>
                <w:i/>
                <w:iCs/>
                <w:sz w:val="22"/>
                <w:szCs w:val="22"/>
              </w:rPr>
              <w:t>şi</w:t>
            </w:r>
            <w:r>
              <w:rPr>
                <w:b/>
                <w:i/>
                <w:iCs/>
                <w:sz w:val="22"/>
                <w:szCs w:val="22"/>
              </w:rPr>
              <w:t xml:space="preserve"> II</w:t>
            </w:r>
          </w:p>
        </w:tc>
        <w:tc>
          <w:tcPr>
            <w:tcW w:w="2340" w:type="dxa"/>
            <w:tcBorders>
              <w:top w:val="single" w:sz="4" w:space="0" w:color="000000"/>
              <w:left w:val="single" w:sz="4" w:space="0" w:color="000000"/>
              <w:bottom w:val="single" w:sz="4" w:space="0" w:color="000000"/>
            </w:tcBorders>
            <w:shd w:val="clear" w:color="auto" w:fill="D9D9D9"/>
          </w:tcPr>
          <w:p w14:paraId="06C88C11" w14:textId="77777777" w:rsidR="001C08A5" w:rsidRDefault="00000000">
            <w:pPr>
              <w:spacing w:line="276" w:lineRule="auto"/>
              <w:jc w:val="center"/>
              <w:rPr>
                <w:b/>
                <w:i/>
                <w:iCs/>
                <w:sz w:val="22"/>
                <w:szCs w:val="22"/>
              </w:rPr>
            </w:pPr>
            <w:r>
              <w:rPr>
                <w:b/>
                <w:i/>
                <w:iCs/>
                <w:sz w:val="22"/>
                <w:szCs w:val="22"/>
              </w:rPr>
              <w:t>III</w:t>
            </w:r>
          </w:p>
        </w:tc>
        <w:tc>
          <w:tcPr>
            <w:tcW w:w="2295" w:type="dxa"/>
            <w:gridSpan w:val="2"/>
            <w:tcBorders>
              <w:top w:val="single" w:sz="4" w:space="0" w:color="000000"/>
              <w:left w:val="single" w:sz="4" w:space="0" w:color="000000"/>
              <w:bottom w:val="single" w:sz="4" w:space="0" w:color="000000"/>
              <w:right w:val="single" w:sz="8" w:space="0" w:color="000000"/>
            </w:tcBorders>
            <w:shd w:val="clear" w:color="auto" w:fill="D9D9D9"/>
          </w:tcPr>
          <w:p w14:paraId="56B21B6D" w14:textId="77777777" w:rsidR="001C08A5" w:rsidRDefault="00000000">
            <w:pPr>
              <w:spacing w:line="276" w:lineRule="auto"/>
              <w:jc w:val="center"/>
              <w:rPr>
                <w:b/>
                <w:i/>
                <w:iCs/>
                <w:sz w:val="22"/>
                <w:szCs w:val="22"/>
              </w:rPr>
            </w:pPr>
            <w:r>
              <w:rPr>
                <w:b/>
                <w:i/>
                <w:iCs/>
                <w:sz w:val="22"/>
                <w:szCs w:val="22"/>
              </w:rPr>
              <w:t xml:space="preserve">IV </w:t>
            </w:r>
            <w:r>
              <w:rPr>
                <w:i/>
                <w:iCs/>
                <w:sz w:val="22"/>
                <w:szCs w:val="22"/>
              </w:rPr>
              <w:t>şi</w:t>
            </w:r>
            <w:r>
              <w:rPr>
                <w:b/>
                <w:i/>
                <w:iCs/>
                <w:sz w:val="22"/>
                <w:szCs w:val="22"/>
              </w:rPr>
              <w:t xml:space="preserve"> V</w:t>
            </w:r>
          </w:p>
        </w:tc>
      </w:tr>
      <w:tr w:rsidR="001C08A5" w14:paraId="6D5A8D01" w14:textId="77777777">
        <w:trPr>
          <w:cantSplit/>
          <w:trHeight w:val="295"/>
        </w:trPr>
        <w:tc>
          <w:tcPr>
            <w:tcW w:w="2790" w:type="dxa"/>
            <w:vMerge/>
            <w:tcBorders>
              <w:top w:val="single" w:sz="4" w:space="0" w:color="000000"/>
              <w:left w:val="single" w:sz="8" w:space="0" w:color="000000"/>
              <w:bottom w:val="single" w:sz="8" w:space="0" w:color="000000"/>
            </w:tcBorders>
            <w:shd w:val="clear" w:color="auto" w:fill="auto"/>
          </w:tcPr>
          <w:p w14:paraId="7FDC5052" w14:textId="77777777" w:rsidR="001C08A5" w:rsidRDefault="001C08A5">
            <w:pPr>
              <w:snapToGrid w:val="0"/>
              <w:jc w:val="center"/>
              <w:rPr>
                <w:b/>
                <w:i/>
                <w:iCs/>
                <w:sz w:val="22"/>
                <w:szCs w:val="22"/>
              </w:rPr>
            </w:pPr>
          </w:p>
        </w:tc>
        <w:tc>
          <w:tcPr>
            <w:tcW w:w="6885" w:type="dxa"/>
            <w:gridSpan w:val="4"/>
            <w:tcBorders>
              <w:top w:val="single" w:sz="4" w:space="0" w:color="000000"/>
              <w:left w:val="single" w:sz="4" w:space="0" w:color="000000"/>
              <w:bottom w:val="single" w:sz="8" w:space="0" w:color="000000"/>
              <w:right w:val="single" w:sz="8" w:space="0" w:color="000000"/>
            </w:tcBorders>
            <w:shd w:val="clear" w:color="auto" w:fill="D9D9D9"/>
          </w:tcPr>
          <w:p w14:paraId="42024D41" w14:textId="77777777" w:rsidR="001C08A5" w:rsidRDefault="00000000">
            <w:pPr>
              <w:jc w:val="center"/>
              <w:rPr>
                <w:i/>
                <w:iCs/>
                <w:sz w:val="22"/>
                <w:szCs w:val="22"/>
              </w:rPr>
            </w:pPr>
            <w:r>
              <w:rPr>
                <w:b/>
                <w:i/>
                <w:iCs/>
                <w:sz w:val="22"/>
                <w:szCs w:val="22"/>
              </w:rPr>
              <w:t>Număr de locuri dispuse pe un rând</w:t>
            </w:r>
          </w:p>
        </w:tc>
      </w:tr>
      <w:tr w:rsidR="001C08A5" w14:paraId="3CC0DAB3" w14:textId="77777777">
        <w:trPr>
          <w:gridAfter w:val="1"/>
          <w:wAfter w:w="35" w:type="dxa"/>
        </w:trPr>
        <w:tc>
          <w:tcPr>
            <w:tcW w:w="2790" w:type="dxa"/>
            <w:tcBorders>
              <w:top w:val="single" w:sz="8" w:space="0" w:color="000000"/>
              <w:left w:val="single" w:sz="4" w:space="0" w:color="000000"/>
              <w:bottom w:val="single" w:sz="4" w:space="0" w:color="000000"/>
            </w:tcBorders>
          </w:tcPr>
          <w:p w14:paraId="45E049C3" w14:textId="77777777" w:rsidR="001C08A5" w:rsidRDefault="00000000">
            <w:pPr>
              <w:jc w:val="center"/>
              <w:rPr>
                <w:b/>
                <w:i/>
                <w:iCs/>
                <w:sz w:val="22"/>
                <w:szCs w:val="22"/>
              </w:rPr>
            </w:pPr>
            <w:r>
              <w:rPr>
                <w:i/>
                <w:iCs/>
                <w:sz w:val="22"/>
                <w:szCs w:val="22"/>
              </w:rPr>
              <w:t>Pe la un capăt al rândului</w:t>
            </w:r>
          </w:p>
        </w:tc>
        <w:tc>
          <w:tcPr>
            <w:tcW w:w="2250" w:type="dxa"/>
            <w:tcBorders>
              <w:top w:val="single" w:sz="8" w:space="0" w:color="000000"/>
              <w:left w:val="single" w:sz="4" w:space="0" w:color="000000"/>
              <w:bottom w:val="single" w:sz="4" w:space="0" w:color="000000"/>
            </w:tcBorders>
          </w:tcPr>
          <w:p w14:paraId="487A94FB" w14:textId="77777777" w:rsidR="001C08A5" w:rsidRDefault="00000000">
            <w:pPr>
              <w:jc w:val="center"/>
              <w:rPr>
                <w:b/>
                <w:i/>
                <w:iCs/>
                <w:sz w:val="22"/>
                <w:szCs w:val="22"/>
              </w:rPr>
            </w:pPr>
            <w:r>
              <w:rPr>
                <w:b/>
                <w:i/>
                <w:iCs/>
                <w:sz w:val="22"/>
                <w:szCs w:val="22"/>
              </w:rPr>
              <w:t>25</w:t>
            </w:r>
          </w:p>
        </w:tc>
        <w:tc>
          <w:tcPr>
            <w:tcW w:w="2340" w:type="dxa"/>
            <w:tcBorders>
              <w:top w:val="single" w:sz="8" w:space="0" w:color="000000"/>
              <w:left w:val="single" w:sz="4" w:space="0" w:color="000000"/>
              <w:bottom w:val="single" w:sz="4" w:space="0" w:color="000000"/>
            </w:tcBorders>
          </w:tcPr>
          <w:p w14:paraId="21B2448A" w14:textId="77777777" w:rsidR="001C08A5" w:rsidRDefault="00000000">
            <w:pPr>
              <w:jc w:val="center"/>
              <w:rPr>
                <w:b/>
                <w:i/>
                <w:iCs/>
                <w:sz w:val="22"/>
                <w:szCs w:val="22"/>
              </w:rPr>
            </w:pPr>
            <w:r>
              <w:rPr>
                <w:b/>
                <w:i/>
                <w:iCs/>
                <w:sz w:val="22"/>
                <w:szCs w:val="22"/>
              </w:rPr>
              <w:t>14</w:t>
            </w:r>
          </w:p>
        </w:tc>
        <w:tc>
          <w:tcPr>
            <w:tcW w:w="2260" w:type="dxa"/>
            <w:tcBorders>
              <w:top w:val="single" w:sz="8" w:space="0" w:color="000000"/>
              <w:left w:val="single" w:sz="4" w:space="0" w:color="000000"/>
              <w:bottom w:val="single" w:sz="4" w:space="0" w:color="000000"/>
              <w:right w:val="single" w:sz="4" w:space="0" w:color="000000"/>
            </w:tcBorders>
          </w:tcPr>
          <w:p w14:paraId="4EFC366D" w14:textId="77777777" w:rsidR="001C08A5" w:rsidRDefault="00000000">
            <w:pPr>
              <w:jc w:val="center"/>
              <w:rPr>
                <w:i/>
                <w:iCs/>
                <w:sz w:val="22"/>
                <w:szCs w:val="22"/>
              </w:rPr>
            </w:pPr>
            <w:r>
              <w:rPr>
                <w:b/>
                <w:i/>
                <w:iCs/>
                <w:sz w:val="22"/>
                <w:szCs w:val="22"/>
              </w:rPr>
              <w:t>10*</w:t>
            </w:r>
          </w:p>
        </w:tc>
      </w:tr>
      <w:tr w:rsidR="001C08A5" w14:paraId="538CA822" w14:textId="77777777">
        <w:trPr>
          <w:gridAfter w:val="1"/>
          <w:wAfter w:w="35" w:type="dxa"/>
        </w:trPr>
        <w:tc>
          <w:tcPr>
            <w:tcW w:w="2790" w:type="dxa"/>
            <w:tcBorders>
              <w:top w:val="single" w:sz="4" w:space="0" w:color="000000"/>
              <w:left w:val="single" w:sz="4" w:space="0" w:color="000000"/>
              <w:bottom w:val="single" w:sz="4" w:space="0" w:color="000000"/>
            </w:tcBorders>
          </w:tcPr>
          <w:p w14:paraId="4D92DC78" w14:textId="77777777" w:rsidR="001C08A5" w:rsidRDefault="00000000">
            <w:pPr>
              <w:jc w:val="center"/>
              <w:rPr>
                <w:b/>
                <w:i/>
                <w:iCs/>
                <w:sz w:val="22"/>
                <w:szCs w:val="22"/>
              </w:rPr>
            </w:pPr>
            <w:r>
              <w:rPr>
                <w:i/>
                <w:iCs/>
                <w:sz w:val="22"/>
                <w:szCs w:val="22"/>
              </w:rPr>
              <w:t>Pe la ambele capete ale rândului</w:t>
            </w:r>
          </w:p>
        </w:tc>
        <w:tc>
          <w:tcPr>
            <w:tcW w:w="2250" w:type="dxa"/>
            <w:tcBorders>
              <w:top w:val="single" w:sz="4" w:space="0" w:color="000000"/>
              <w:left w:val="single" w:sz="4" w:space="0" w:color="000000"/>
              <w:bottom w:val="single" w:sz="4" w:space="0" w:color="000000"/>
            </w:tcBorders>
          </w:tcPr>
          <w:p w14:paraId="1620C076" w14:textId="77777777" w:rsidR="001C08A5" w:rsidRDefault="00000000">
            <w:pPr>
              <w:jc w:val="center"/>
              <w:rPr>
                <w:b/>
                <w:i/>
                <w:iCs/>
                <w:sz w:val="22"/>
                <w:szCs w:val="22"/>
              </w:rPr>
            </w:pPr>
            <w:r>
              <w:rPr>
                <w:b/>
                <w:i/>
                <w:iCs/>
                <w:sz w:val="22"/>
                <w:szCs w:val="22"/>
              </w:rPr>
              <w:t>40</w:t>
            </w:r>
          </w:p>
        </w:tc>
        <w:tc>
          <w:tcPr>
            <w:tcW w:w="2340" w:type="dxa"/>
            <w:tcBorders>
              <w:top w:val="single" w:sz="4" w:space="0" w:color="000000"/>
              <w:left w:val="single" w:sz="4" w:space="0" w:color="000000"/>
              <w:bottom w:val="single" w:sz="4" w:space="0" w:color="000000"/>
            </w:tcBorders>
          </w:tcPr>
          <w:p w14:paraId="018432AE" w14:textId="77777777" w:rsidR="001C08A5" w:rsidRDefault="00000000">
            <w:pPr>
              <w:jc w:val="center"/>
              <w:rPr>
                <w:b/>
                <w:i/>
                <w:iCs/>
                <w:sz w:val="22"/>
                <w:szCs w:val="22"/>
              </w:rPr>
            </w:pPr>
            <w:r>
              <w:rPr>
                <w:b/>
                <w:i/>
                <w:iCs/>
                <w:sz w:val="22"/>
                <w:szCs w:val="22"/>
              </w:rPr>
              <w:t>25</w:t>
            </w:r>
          </w:p>
        </w:tc>
        <w:tc>
          <w:tcPr>
            <w:tcW w:w="2260" w:type="dxa"/>
            <w:tcBorders>
              <w:top w:val="single" w:sz="4" w:space="0" w:color="000000"/>
              <w:left w:val="single" w:sz="4" w:space="0" w:color="000000"/>
              <w:bottom w:val="single" w:sz="4" w:space="0" w:color="000000"/>
              <w:right w:val="single" w:sz="4" w:space="0" w:color="000000"/>
            </w:tcBorders>
          </w:tcPr>
          <w:p w14:paraId="4798FF73" w14:textId="77777777" w:rsidR="001C08A5" w:rsidRDefault="00000000">
            <w:pPr>
              <w:jc w:val="center"/>
              <w:rPr>
                <w:i/>
                <w:iCs/>
                <w:sz w:val="22"/>
                <w:szCs w:val="22"/>
              </w:rPr>
            </w:pPr>
            <w:r>
              <w:rPr>
                <w:b/>
                <w:i/>
                <w:iCs/>
                <w:sz w:val="22"/>
                <w:szCs w:val="22"/>
              </w:rPr>
              <w:t>20</w:t>
            </w:r>
          </w:p>
        </w:tc>
      </w:tr>
    </w:tbl>
    <w:p w14:paraId="561AFEFC" w14:textId="77777777" w:rsidR="001C08A5" w:rsidRDefault="00000000">
      <w:pPr>
        <w:jc w:val="both"/>
        <w:rPr>
          <w:b/>
          <w:i/>
          <w:sz w:val="22"/>
          <w:szCs w:val="22"/>
        </w:rPr>
      </w:pPr>
      <w:r>
        <w:rPr>
          <w:i/>
          <w:sz w:val="22"/>
          <w:szCs w:val="22"/>
        </w:rPr>
        <w:t>Notă:</w:t>
      </w:r>
      <w:r>
        <w:rPr>
          <w:i/>
          <w:sz w:val="22"/>
          <w:szCs w:val="22"/>
        </w:rPr>
        <w:tab/>
      </w:r>
    </w:p>
    <w:p w14:paraId="64B4F332" w14:textId="77777777" w:rsidR="001C08A5" w:rsidRDefault="00000000">
      <w:pPr>
        <w:jc w:val="both"/>
        <w:rPr>
          <w:i/>
          <w:sz w:val="22"/>
          <w:szCs w:val="22"/>
        </w:rPr>
      </w:pPr>
      <w:r>
        <w:rPr>
          <w:b/>
          <w:i/>
          <w:sz w:val="22"/>
          <w:szCs w:val="22"/>
        </w:rPr>
        <w:t>*</w:t>
      </w:r>
      <w:r>
        <w:rPr>
          <w:i/>
          <w:sz w:val="22"/>
          <w:szCs w:val="22"/>
        </w:rPr>
        <w:t xml:space="preserve">) -  În cazurile admise, la sălile aglomerate din clădiri cu nivelul de stabilitate la incendiu </w:t>
      </w:r>
      <w:r>
        <w:rPr>
          <w:b/>
          <w:i/>
          <w:sz w:val="22"/>
          <w:szCs w:val="22"/>
        </w:rPr>
        <w:t>IV</w:t>
      </w:r>
      <w:r>
        <w:rPr>
          <w:i/>
          <w:sz w:val="22"/>
          <w:szCs w:val="22"/>
        </w:rPr>
        <w:t xml:space="preserve"> sau </w:t>
      </w:r>
      <w:r>
        <w:rPr>
          <w:b/>
          <w:i/>
          <w:sz w:val="22"/>
          <w:szCs w:val="22"/>
        </w:rPr>
        <w:t>V</w:t>
      </w:r>
      <w:r>
        <w:rPr>
          <w:i/>
          <w:sz w:val="22"/>
          <w:szCs w:val="22"/>
        </w:rPr>
        <w:t xml:space="preserve"> care nu sunt echipate cu instalaţie interioară de stingere a incendiilor se asigură obligatoriu evacuarea rândurilor de scaune la ambele capete.</w:t>
      </w:r>
    </w:p>
    <w:p w14:paraId="0CE2A35A" w14:textId="77777777" w:rsidR="001C08A5" w:rsidRDefault="00000000">
      <w:pPr>
        <w:jc w:val="both"/>
        <w:rPr>
          <w:sz w:val="24"/>
          <w:szCs w:val="24"/>
        </w:rPr>
      </w:pPr>
      <w:r>
        <w:rPr>
          <w:sz w:val="24"/>
          <w:szCs w:val="24"/>
        </w:rPr>
        <w:tab/>
      </w:r>
      <w:r>
        <w:rPr>
          <w:sz w:val="24"/>
          <w:szCs w:val="24"/>
        </w:rPr>
        <w:tab/>
      </w:r>
    </w:p>
    <w:p w14:paraId="6DA17388" w14:textId="77777777" w:rsidR="001C08A5" w:rsidRDefault="00000000">
      <w:pPr>
        <w:ind w:firstLine="720"/>
        <w:jc w:val="both"/>
        <w:rPr>
          <w:sz w:val="24"/>
          <w:szCs w:val="24"/>
        </w:rPr>
      </w:pPr>
      <w:r>
        <w:rPr>
          <w:b/>
          <w:sz w:val="24"/>
          <w:szCs w:val="24"/>
        </w:rPr>
        <w:t>(2)</w:t>
      </w:r>
      <w:r>
        <w:rPr>
          <w:sz w:val="24"/>
          <w:szCs w:val="24"/>
        </w:rPr>
        <w:t xml:space="preserve"> Numărul de locuri dintr-un rând nu este limitat la sălile aglomerate din  clădiri cu nivelul de stabilitate la incendiu </w:t>
      </w:r>
      <w:r>
        <w:rPr>
          <w:b/>
          <w:sz w:val="24"/>
          <w:szCs w:val="24"/>
        </w:rPr>
        <w:t>I</w:t>
      </w:r>
      <w:r>
        <w:rPr>
          <w:sz w:val="24"/>
          <w:szCs w:val="24"/>
        </w:rPr>
        <w:t xml:space="preserve"> sau </w:t>
      </w:r>
      <w:r>
        <w:rPr>
          <w:b/>
          <w:sz w:val="24"/>
          <w:szCs w:val="24"/>
        </w:rPr>
        <w:t>II</w:t>
      </w:r>
      <w:r>
        <w:rPr>
          <w:sz w:val="24"/>
          <w:szCs w:val="24"/>
        </w:rPr>
        <w:t>, dacă se prevăd uşi amplasate în pereţii laterali ai sălii, astfel dispuse încât la fiecare capăt al unui grup de patru rânduri de scaune să existe câte o uşă de evacuare.</w:t>
      </w:r>
    </w:p>
    <w:p w14:paraId="65DA1F51" w14:textId="77777777" w:rsidR="001C08A5" w:rsidRDefault="00000000">
      <w:pPr>
        <w:jc w:val="both"/>
        <w:rPr>
          <w:sz w:val="24"/>
          <w:szCs w:val="24"/>
        </w:rPr>
      </w:pPr>
      <w:r>
        <w:rPr>
          <w:sz w:val="24"/>
          <w:szCs w:val="24"/>
        </w:rPr>
        <w:tab/>
      </w:r>
      <w:r>
        <w:rPr>
          <w:b/>
          <w:sz w:val="24"/>
          <w:szCs w:val="24"/>
        </w:rPr>
        <w:t xml:space="preserve">(3) </w:t>
      </w:r>
      <w:r>
        <w:rPr>
          <w:sz w:val="24"/>
          <w:szCs w:val="24"/>
        </w:rPr>
        <w:t xml:space="preserve">Spaţiul liber de trecere dintre rândurile de scaune trebuie să fie de minimum </w:t>
      </w:r>
      <w:r>
        <w:rPr>
          <w:b/>
          <w:bCs/>
          <w:sz w:val="24"/>
          <w:szCs w:val="24"/>
        </w:rPr>
        <w:t>45 cm.</w:t>
      </w:r>
    </w:p>
    <w:p w14:paraId="7BF04A74" w14:textId="77777777" w:rsidR="001C08A5" w:rsidRDefault="001C08A5">
      <w:pPr>
        <w:jc w:val="both"/>
        <w:rPr>
          <w:sz w:val="24"/>
          <w:szCs w:val="24"/>
        </w:rPr>
      </w:pPr>
    </w:p>
    <w:p w14:paraId="4C6530C9" w14:textId="77777777" w:rsidR="001C08A5" w:rsidRDefault="00000000">
      <w:pPr>
        <w:jc w:val="both"/>
        <w:rPr>
          <w:sz w:val="24"/>
          <w:szCs w:val="24"/>
        </w:rPr>
      </w:pPr>
      <w:r>
        <w:rPr>
          <w:b/>
          <w:sz w:val="24"/>
          <w:szCs w:val="24"/>
        </w:rPr>
        <w:tab/>
        <w:t>Art. 4.3.5.13. (1)</w:t>
      </w:r>
      <w:r>
        <w:rPr>
          <w:sz w:val="24"/>
          <w:szCs w:val="24"/>
        </w:rPr>
        <w:t xml:space="preserve"> Pentru asigurarea evacuării rapide și fără accidente a utilizatorilor rândurile de scaune, băncile și pupitrele din sălile aglomerate se fixează de pardoseală, astfel încât să nu fie răsturnate în caz de panică.</w:t>
      </w:r>
    </w:p>
    <w:p w14:paraId="610D778B" w14:textId="77777777" w:rsidR="001C08A5" w:rsidRDefault="00000000">
      <w:pPr>
        <w:ind w:firstLine="720"/>
        <w:jc w:val="both"/>
        <w:rPr>
          <w:sz w:val="24"/>
          <w:szCs w:val="24"/>
        </w:rPr>
      </w:pPr>
      <w:r>
        <w:rPr>
          <w:b/>
          <w:sz w:val="24"/>
          <w:szCs w:val="24"/>
        </w:rPr>
        <w:t xml:space="preserve">(2) </w:t>
      </w:r>
      <w:r>
        <w:rPr>
          <w:sz w:val="24"/>
          <w:szCs w:val="24"/>
        </w:rPr>
        <w:t xml:space="preserve">La sălile polivalente se recomandă ca scaunele să fie solidarizate între ele pe şiruri şi rânduri. Fiecare şir sau rând de scaune trebuie fixat solid la cele două capete, de pardoseală ori pereţi sau prins solidar de celelalte rânduri astfel încât să devină un pachet. În toate situaţiile, barele de fixare perpendiculare pe rândurile de scaune şi aplicate la nivelul pardoselii, vor avea cel mult </w:t>
      </w:r>
      <w:r>
        <w:rPr>
          <w:b/>
          <w:bCs/>
          <w:sz w:val="24"/>
          <w:szCs w:val="24"/>
        </w:rPr>
        <w:t>20</w:t>
      </w:r>
      <w:r>
        <w:rPr>
          <w:sz w:val="24"/>
          <w:szCs w:val="24"/>
        </w:rPr>
        <w:t xml:space="preserve"> mm grosime, iar profilul rotunjit. </w:t>
      </w:r>
    </w:p>
    <w:p w14:paraId="5CAFF83F" w14:textId="77777777" w:rsidR="001C08A5" w:rsidRDefault="00000000">
      <w:pPr>
        <w:ind w:firstLine="720"/>
        <w:jc w:val="both"/>
        <w:rPr>
          <w:sz w:val="24"/>
          <w:szCs w:val="24"/>
        </w:rPr>
      </w:pPr>
      <w:r>
        <w:rPr>
          <w:b/>
          <w:sz w:val="24"/>
          <w:szCs w:val="24"/>
        </w:rPr>
        <w:t>(3)</w:t>
      </w:r>
      <w:r>
        <w:rPr>
          <w:sz w:val="24"/>
          <w:szCs w:val="24"/>
        </w:rPr>
        <w:t xml:space="preserve"> Lojele din sălile de spectacol, expoziţii şi saloane de dans pot avea maximum </w:t>
      </w:r>
      <w:r>
        <w:rPr>
          <w:b/>
          <w:bCs/>
          <w:sz w:val="24"/>
          <w:szCs w:val="24"/>
        </w:rPr>
        <w:t>25</w:t>
      </w:r>
      <w:r>
        <w:rPr>
          <w:sz w:val="24"/>
          <w:szCs w:val="24"/>
        </w:rPr>
        <w:t xml:space="preserve"> de scaune mobile.</w:t>
      </w:r>
    </w:p>
    <w:p w14:paraId="65D3602D" w14:textId="77777777" w:rsidR="001C08A5" w:rsidRDefault="00000000">
      <w:pPr>
        <w:ind w:firstLine="720"/>
        <w:jc w:val="both"/>
        <w:rPr>
          <w:sz w:val="24"/>
          <w:szCs w:val="24"/>
        </w:rPr>
      </w:pPr>
      <w:r>
        <w:rPr>
          <w:b/>
          <w:sz w:val="24"/>
          <w:szCs w:val="24"/>
        </w:rPr>
        <w:t xml:space="preserve">(4) </w:t>
      </w:r>
      <w:r>
        <w:rPr>
          <w:sz w:val="24"/>
          <w:szCs w:val="24"/>
        </w:rPr>
        <w:t xml:space="preserve">La sălile de întruniri cu o capacitate de maximum </w:t>
      </w:r>
      <w:r>
        <w:rPr>
          <w:b/>
          <w:bCs/>
          <w:sz w:val="24"/>
          <w:szCs w:val="24"/>
        </w:rPr>
        <w:t>200</w:t>
      </w:r>
      <w:r>
        <w:rPr>
          <w:sz w:val="24"/>
          <w:szCs w:val="24"/>
        </w:rPr>
        <w:t xml:space="preserve"> de locuri, rândurile de scaune și băncile pot fi nefixate de pardoseală.</w:t>
      </w:r>
    </w:p>
    <w:p w14:paraId="791D8FA3" w14:textId="77777777" w:rsidR="001C08A5" w:rsidRDefault="00000000">
      <w:pPr>
        <w:jc w:val="both"/>
        <w:rPr>
          <w:b/>
          <w:sz w:val="24"/>
          <w:szCs w:val="24"/>
        </w:rPr>
      </w:pPr>
      <w:r>
        <w:rPr>
          <w:sz w:val="24"/>
          <w:szCs w:val="24"/>
        </w:rPr>
        <w:tab/>
      </w:r>
      <w:r>
        <w:rPr>
          <w:sz w:val="24"/>
          <w:szCs w:val="24"/>
        </w:rPr>
        <w:tab/>
      </w:r>
    </w:p>
    <w:p w14:paraId="7E1C52A0" w14:textId="77777777" w:rsidR="001C08A5" w:rsidRDefault="00000000">
      <w:pPr>
        <w:jc w:val="both"/>
        <w:rPr>
          <w:sz w:val="24"/>
          <w:szCs w:val="24"/>
        </w:rPr>
      </w:pPr>
      <w:r>
        <w:rPr>
          <w:b/>
          <w:sz w:val="24"/>
          <w:szCs w:val="24"/>
        </w:rPr>
        <w:tab/>
        <w:t>Art. 4.3.5.14. (1)</w:t>
      </w:r>
      <w:r>
        <w:rPr>
          <w:sz w:val="24"/>
          <w:szCs w:val="24"/>
        </w:rPr>
        <w:t xml:space="preserve"> Amplasarea mobilierului în sălile aglomerate se face astfel încât să se asigure căi de acces şi circulaţie la ieşirile din sală, prin treceri cu lăţimi determinate prin calcul.</w:t>
      </w:r>
    </w:p>
    <w:p w14:paraId="1F9AD26B" w14:textId="77777777" w:rsidR="001C08A5" w:rsidRDefault="00000000">
      <w:pPr>
        <w:ind w:firstLine="720"/>
        <w:jc w:val="both"/>
        <w:rPr>
          <w:sz w:val="24"/>
          <w:szCs w:val="24"/>
        </w:rPr>
      </w:pPr>
      <w:r>
        <w:rPr>
          <w:b/>
          <w:sz w:val="24"/>
          <w:szCs w:val="24"/>
        </w:rPr>
        <w:t xml:space="preserve">(2) </w:t>
      </w:r>
      <w:r>
        <w:rPr>
          <w:sz w:val="24"/>
          <w:szCs w:val="24"/>
        </w:rPr>
        <w:t xml:space="preserve">La amplasarea mobilierului în săli aglomerate cu locuri la mese, trebuie să se asigure treceri cu lăţimi normate determinate prin calcul și prin care utilizatorii să se poată evacua în caz de incendiu.  </w:t>
      </w:r>
    </w:p>
    <w:p w14:paraId="118703F4" w14:textId="77777777" w:rsidR="001C08A5" w:rsidRDefault="001C08A5">
      <w:pPr>
        <w:ind w:left="720"/>
        <w:jc w:val="both"/>
        <w:rPr>
          <w:sz w:val="24"/>
          <w:szCs w:val="24"/>
        </w:rPr>
      </w:pPr>
    </w:p>
    <w:p w14:paraId="03AF5A25" w14:textId="77777777" w:rsidR="001C08A5" w:rsidRDefault="00000000">
      <w:pPr>
        <w:jc w:val="both"/>
        <w:rPr>
          <w:sz w:val="24"/>
          <w:szCs w:val="24"/>
        </w:rPr>
      </w:pPr>
      <w:r>
        <w:rPr>
          <w:b/>
          <w:sz w:val="24"/>
          <w:szCs w:val="24"/>
        </w:rPr>
        <w:tab/>
        <w:t xml:space="preserve">Art. 4.3.5.15. </w:t>
      </w:r>
      <w:r>
        <w:rPr>
          <w:sz w:val="24"/>
          <w:szCs w:val="24"/>
        </w:rPr>
        <w:t xml:space="preserve">Este interzisă utilizarea draperiilor, perdelelor, cortinelor etc., care pot întrerupe căile de evacuare ale utilizatorilor sălilor aglomerate. </w:t>
      </w:r>
    </w:p>
    <w:p w14:paraId="79220140" w14:textId="77777777" w:rsidR="001C08A5" w:rsidRDefault="001C08A5">
      <w:pPr>
        <w:jc w:val="both"/>
        <w:rPr>
          <w:sz w:val="24"/>
          <w:szCs w:val="24"/>
        </w:rPr>
      </w:pPr>
    </w:p>
    <w:p w14:paraId="2896DCDA" w14:textId="77777777" w:rsidR="001C08A5" w:rsidRDefault="00000000">
      <w:pPr>
        <w:jc w:val="both"/>
        <w:rPr>
          <w:sz w:val="24"/>
          <w:szCs w:val="24"/>
        </w:rPr>
      </w:pPr>
      <w:r>
        <w:rPr>
          <w:b/>
          <w:sz w:val="24"/>
          <w:szCs w:val="24"/>
        </w:rPr>
        <w:tab/>
        <w:t>Art. 4.3.5.16. (1)</w:t>
      </w:r>
      <w:r>
        <w:rPr>
          <w:sz w:val="24"/>
          <w:szCs w:val="24"/>
        </w:rPr>
        <w:t xml:space="preserve"> În clădirile cu săli aglomerate pot fi prevăzute scări rulante realizate conform prevederilor </w:t>
      </w:r>
      <w:r>
        <w:rPr>
          <w:b/>
          <w:sz w:val="24"/>
          <w:szCs w:val="24"/>
        </w:rPr>
        <w:t>Art. 2.5.6.3.3.</w:t>
      </w:r>
      <w:r>
        <w:rPr>
          <w:sz w:val="24"/>
          <w:szCs w:val="24"/>
        </w:rPr>
        <w:t xml:space="preserve">, cu condiţia asigurării şi a căilor de evacuare a utilizatorilor prin scări închise. </w:t>
      </w:r>
      <w:r>
        <w:rPr>
          <w:sz w:val="24"/>
          <w:szCs w:val="24"/>
        </w:rPr>
        <w:tab/>
      </w:r>
    </w:p>
    <w:p w14:paraId="3EA3608D" w14:textId="77777777" w:rsidR="001C08A5" w:rsidRDefault="00000000">
      <w:pPr>
        <w:jc w:val="both"/>
        <w:rPr>
          <w:sz w:val="24"/>
          <w:szCs w:val="24"/>
        </w:rPr>
      </w:pPr>
      <w:r>
        <w:rPr>
          <w:sz w:val="24"/>
          <w:szCs w:val="24"/>
        </w:rPr>
        <w:lastRenderedPageBreak/>
        <w:tab/>
      </w:r>
      <w:r>
        <w:rPr>
          <w:b/>
          <w:sz w:val="24"/>
          <w:szCs w:val="24"/>
        </w:rPr>
        <w:t xml:space="preserve">(2) </w:t>
      </w:r>
      <w:r>
        <w:rPr>
          <w:sz w:val="24"/>
          <w:szCs w:val="24"/>
        </w:rPr>
        <w:t>Indiferent de lăţimea rampei, scările rulante pot fi considerate că asigură trecerea unei singure unităţi (flux) de trecere de evacuare.</w:t>
      </w:r>
    </w:p>
    <w:p w14:paraId="1CBBD465" w14:textId="77777777" w:rsidR="001C08A5" w:rsidRDefault="00000000">
      <w:pPr>
        <w:jc w:val="both"/>
        <w:rPr>
          <w:b/>
          <w:sz w:val="24"/>
          <w:szCs w:val="24"/>
        </w:rPr>
      </w:pPr>
      <w:r>
        <w:rPr>
          <w:b/>
          <w:sz w:val="24"/>
          <w:szCs w:val="24"/>
        </w:rPr>
        <w:tab/>
      </w:r>
    </w:p>
    <w:p w14:paraId="6CCFF1FE" w14:textId="77777777" w:rsidR="001C08A5" w:rsidRDefault="00000000">
      <w:pPr>
        <w:ind w:firstLine="720"/>
        <w:jc w:val="both"/>
        <w:rPr>
          <w:sz w:val="24"/>
          <w:szCs w:val="24"/>
        </w:rPr>
      </w:pPr>
      <w:r>
        <w:rPr>
          <w:b/>
          <w:sz w:val="24"/>
          <w:szCs w:val="24"/>
        </w:rPr>
        <w:t>Art. 4.3.5.17. (1)</w:t>
      </w:r>
      <w:r>
        <w:rPr>
          <w:sz w:val="24"/>
          <w:szCs w:val="24"/>
        </w:rPr>
        <w:t xml:space="preserve"> Ușile de pe traseul evacuării utilizatorilor sălilor aglomerate trebuie să se deschidă în sensul evacuării spre exterior, să fie prevăzute cu bară antipanică și să nu aibă proeminenţe care ar putea îngreuna trecerea. </w:t>
      </w:r>
    </w:p>
    <w:p w14:paraId="00838C2C"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La ușile exterioare și cele din pereţii care separă sala aglomerată de alte funcţiuni ale clădirii, se pot utiliza sisteme de zăvorâre, uşor de acţionat prin intermediul barei antipanică. </w:t>
      </w:r>
    </w:p>
    <w:p w14:paraId="51A520DE" w14:textId="77777777" w:rsidR="001C08A5" w:rsidRDefault="001C08A5">
      <w:pPr>
        <w:jc w:val="both"/>
        <w:rPr>
          <w:sz w:val="24"/>
          <w:szCs w:val="24"/>
        </w:rPr>
      </w:pPr>
    </w:p>
    <w:p w14:paraId="46EAB6EC" w14:textId="77777777" w:rsidR="001C08A5" w:rsidRDefault="00000000">
      <w:pPr>
        <w:jc w:val="both"/>
        <w:rPr>
          <w:sz w:val="24"/>
          <w:szCs w:val="24"/>
        </w:rPr>
      </w:pPr>
      <w:r>
        <w:rPr>
          <w:b/>
          <w:sz w:val="24"/>
          <w:szCs w:val="24"/>
        </w:rPr>
        <w:tab/>
        <w:t>Art. 4.3.5.18. (1)</w:t>
      </w:r>
      <w:r>
        <w:rPr>
          <w:sz w:val="24"/>
          <w:szCs w:val="24"/>
        </w:rPr>
        <w:t xml:space="preserve"> Lăţimea scărilor de evacuare în condiţiile în care utilizatorii aflaţi la diferite niveluri/cote ale sălii aglomerate pot observa incendiul în acelaşi timp și se pot îndrepta simultan spre scări, se determină după numărul de unităţi (fluxuri) de trecere de evacuare ce provin din nivelul cel mai aglomerat, la care se adaugă pentru fiecare din celelalte niveluri/cote, lăţimea necesară pentru evacuarea a </w:t>
      </w:r>
      <w:r>
        <w:rPr>
          <w:b/>
          <w:bCs/>
          <w:sz w:val="24"/>
          <w:szCs w:val="24"/>
        </w:rPr>
        <w:t>25%</w:t>
      </w:r>
      <w:r>
        <w:rPr>
          <w:sz w:val="24"/>
          <w:szCs w:val="24"/>
        </w:rPr>
        <w:t xml:space="preserve"> din utilizatorii aflaţi la nivelul respectiv.</w:t>
      </w:r>
    </w:p>
    <w:p w14:paraId="35784B9C"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Lăţimea uşilor de evacuare a utilizatorilor la nivelul terenului sau al carosabilului înconjurător, trebuie să asigure trecerea numărului total de unităţi (fluxuri) de trecere de evacuare, care vin prin scările interioare şi a tuturor celor de la parter. Lăţimea uşilor de acces şi evacuare în caz de incendiu se majorează cu </w:t>
      </w:r>
      <w:r>
        <w:rPr>
          <w:b/>
          <w:bCs/>
          <w:sz w:val="24"/>
          <w:szCs w:val="24"/>
        </w:rPr>
        <w:t>25%</w:t>
      </w:r>
      <w:r>
        <w:rPr>
          <w:sz w:val="24"/>
          <w:szCs w:val="24"/>
        </w:rPr>
        <w:t xml:space="preserve"> faţă de lăţimea determinată prin calcul.</w:t>
      </w:r>
    </w:p>
    <w:p w14:paraId="62F96B46" w14:textId="77777777" w:rsidR="001C08A5" w:rsidRDefault="001C08A5">
      <w:pPr>
        <w:jc w:val="both"/>
        <w:rPr>
          <w:sz w:val="24"/>
          <w:szCs w:val="24"/>
        </w:rPr>
      </w:pPr>
    </w:p>
    <w:p w14:paraId="159540D6" w14:textId="77777777" w:rsidR="001C08A5" w:rsidRDefault="00000000">
      <w:pPr>
        <w:jc w:val="both"/>
        <w:rPr>
          <w:sz w:val="24"/>
          <w:szCs w:val="24"/>
        </w:rPr>
      </w:pPr>
      <w:r>
        <w:rPr>
          <w:b/>
          <w:sz w:val="24"/>
          <w:szCs w:val="24"/>
        </w:rPr>
        <w:tab/>
        <w:t>Art. 4.3.5.19. (1)</w:t>
      </w:r>
      <w:r>
        <w:rPr>
          <w:sz w:val="24"/>
          <w:szCs w:val="24"/>
        </w:rPr>
        <w:t xml:space="preserve"> Circulaţiile comune orizontale care nu au ferestre directe spre exterior, se prevăd cu sisteme de evacuare a fumului şi gazelor fierbinţi în caz de incendiu sau se presurizeaza. </w:t>
      </w:r>
    </w:p>
    <w:p w14:paraId="19E51482" w14:textId="77777777" w:rsidR="001C08A5" w:rsidRDefault="00000000">
      <w:pPr>
        <w:ind w:firstLine="720"/>
        <w:jc w:val="both"/>
        <w:rPr>
          <w:rFonts w:eastAsia="ABBvoice-Regular"/>
          <w:bCs/>
          <w:sz w:val="24"/>
          <w:szCs w:val="24"/>
        </w:rPr>
      </w:pPr>
      <w:r>
        <w:rPr>
          <w:b/>
          <w:sz w:val="24"/>
          <w:szCs w:val="24"/>
        </w:rPr>
        <w:t>(2)</w:t>
      </w:r>
      <w:r>
        <w:rPr>
          <w:sz w:val="24"/>
          <w:szCs w:val="24"/>
        </w:rPr>
        <w:t xml:space="preserve"> </w:t>
      </w:r>
      <w:r>
        <w:rPr>
          <w:rFonts w:eastAsia="ABBvoice-Regular"/>
          <w:bCs/>
          <w:sz w:val="24"/>
          <w:szCs w:val="24"/>
        </w:rPr>
        <w:t xml:space="preserve">Casele de scări se prevad în mod obligatoriu cu sisteme de evacuare a fumului şi a gazelor fierbinţi sau </w:t>
      </w:r>
      <w:r>
        <w:rPr>
          <w:rStyle w:val="Strong"/>
          <w:rFonts w:eastAsia="sans-serif"/>
          <w:b w:val="0"/>
          <w:sz w:val="24"/>
          <w:szCs w:val="24"/>
          <w:shd w:val="clear" w:color="auto" w:fill="FFFFFF"/>
        </w:rPr>
        <w:t>cu sisteme cu presiune diferențială SPD</w:t>
      </w:r>
      <w:r>
        <w:rPr>
          <w:rFonts w:eastAsia="ABBvoice-Regular"/>
          <w:bCs/>
          <w:sz w:val="24"/>
          <w:szCs w:val="24"/>
        </w:rPr>
        <w:t xml:space="preserve">. </w:t>
      </w:r>
    </w:p>
    <w:p w14:paraId="04506CA3" w14:textId="77777777" w:rsidR="001C08A5" w:rsidRDefault="00000000">
      <w:pPr>
        <w:ind w:firstLine="720"/>
        <w:jc w:val="both"/>
        <w:rPr>
          <w:sz w:val="24"/>
          <w:szCs w:val="24"/>
        </w:rPr>
      </w:pPr>
      <w:r>
        <w:rPr>
          <w:rFonts w:eastAsia="ABBvoice-Regular"/>
          <w:b/>
          <w:sz w:val="24"/>
          <w:szCs w:val="24"/>
        </w:rPr>
        <w:t xml:space="preserve">(3) </w:t>
      </w:r>
      <w:r>
        <w:rPr>
          <w:sz w:val="24"/>
          <w:szCs w:val="24"/>
          <w:lang w:eastAsia="zh-CN"/>
        </w:rPr>
        <w:t xml:space="preserve">Prin excepție de la </w:t>
      </w:r>
      <w:r>
        <w:rPr>
          <w:b/>
          <w:bCs/>
          <w:sz w:val="24"/>
          <w:szCs w:val="24"/>
          <w:lang w:eastAsia="zh-CN"/>
        </w:rPr>
        <w:t>Alin. (2)</w:t>
      </w:r>
      <w:r>
        <w:rPr>
          <w:sz w:val="24"/>
          <w:szCs w:val="24"/>
          <w:lang w:eastAsia="zh-CN"/>
        </w:rPr>
        <w:t>, casele de scări luminate şi ventilate natural prin ferestre cu ochiuri mobile dispuse pe fiecare nivel se prevad cu evacuare a fumului și a gazelor fierbinti prin ochiurile mobile amplasate în treimea superioară a pereților exteriori de la ultimul nivel al casei de scară (și admisie de aer conform prevederi normate) cu acționare manuală de la fiecare nivel, de la accesul principal în scară și de la încăperea Serviciului Privat de Pompieri, după caz și cu acționare automată dacă construcția este prevăzută cu instalație de detectare, semnalizare și alarmare incendii.</w:t>
      </w:r>
    </w:p>
    <w:p w14:paraId="1C645F8A" w14:textId="77777777" w:rsidR="001C08A5" w:rsidRDefault="001C08A5">
      <w:pPr>
        <w:jc w:val="both"/>
        <w:rPr>
          <w:sz w:val="24"/>
          <w:szCs w:val="24"/>
        </w:rPr>
      </w:pPr>
    </w:p>
    <w:p w14:paraId="51B1FF0F" w14:textId="77777777" w:rsidR="001C08A5" w:rsidRDefault="00000000">
      <w:pPr>
        <w:jc w:val="both"/>
        <w:rPr>
          <w:sz w:val="24"/>
          <w:szCs w:val="24"/>
        </w:rPr>
      </w:pPr>
      <w:r>
        <w:rPr>
          <w:b/>
          <w:sz w:val="24"/>
          <w:szCs w:val="24"/>
        </w:rPr>
        <w:tab/>
        <w:t xml:space="preserve">Art. 4.3.5.20. (1) </w:t>
      </w:r>
      <w:r>
        <w:rPr>
          <w:sz w:val="24"/>
          <w:szCs w:val="24"/>
        </w:rPr>
        <w:t>Cabina de proiecţie pentru pelicula de siguranţă sau de proiecţie digitală și anexele acestora vor avea acces la o cale de evacuare, care poate fi comună cu a publicului dar fără a trece prin sală. La cabinele de proiecţie pentru peliculă pe bază de nitroceluloză, se asigură şi o a doua cale de evacuare, independentă de cele ale publicului.</w:t>
      </w:r>
    </w:p>
    <w:p w14:paraId="3492B8B1" w14:textId="77777777" w:rsidR="001C08A5" w:rsidRDefault="00000000">
      <w:pPr>
        <w:jc w:val="both"/>
        <w:rPr>
          <w:sz w:val="24"/>
          <w:szCs w:val="24"/>
        </w:rPr>
      </w:pPr>
      <w:r>
        <w:rPr>
          <w:sz w:val="24"/>
          <w:szCs w:val="24"/>
        </w:rPr>
        <w:tab/>
      </w:r>
      <w:r>
        <w:rPr>
          <w:b/>
          <w:sz w:val="24"/>
          <w:szCs w:val="24"/>
        </w:rPr>
        <w:t xml:space="preserve">(2) </w:t>
      </w:r>
      <w:r>
        <w:rPr>
          <w:bCs/>
          <w:sz w:val="24"/>
          <w:szCs w:val="24"/>
        </w:rPr>
        <w:t>Golul de acces în</w:t>
      </w:r>
      <w:r>
        <w:rPr>
          <w:sz w:val="24"/>
          <w:szCs w:val="24"/>
        </w:rPr>
        <w:t xml:space="preserve"> cabinele de proiecţie şi anexele acestora din căile de evacuare ale publicului trebuie protejat cu uşă rezistentă la foc și etanșă la fum conform </w:t>
      </w:r>
      <w:r>
        <w:rPr>
          <w:b/>
          <w:bCs/>
          <w:sz w:val="24"/>
          <w:szCs w:val="24"/>
        </w:rPr>
        <w:t xml:space="preserve">Art. 4.2.4.2.3. </w:t>
      </w:r>
    </w:p>
    <w:p w14:paraId="7BC43AC2" w14:textId="77777777" w:rsidR="001C08A5" w:rsidRDefault="001C08A5">
      <w:pPr>
        <w:jc w:val="both"/>
        <w:rPr>
          <w:sz w:val="24"/>
          <w:szCs w:val="24"/>
        </w:rPr>
      </w:pPr>
    </w:p>
    <w:p w14:paraId="320F2A3A" w14:textId="77777777" w:rsidR="001C08A5" w:rsidRDefault="00000000">
      <w:pPr>
        <w:jc w:val="both"/>
        <w:rPr>
          <w:sz w:val="24"/>
          <w:szCs w:val="24"/>
        </w:rPr>
      </w:pPr>
      <w:r>
        <w:rPr>
          <w:b/>
          <w:sz w:val="24"/>
          <w:szCs w:val="24"/>
        </w:rPr>
        <w:tab/>
        <w:t>Art. 4.3.5.21. (1)</w:t>
      </w:r>
      <w:r>
        <w:rPr>
          <w:sz w:val="24"/>
          <w:szCs w:val="24"/>
        </w:rPr>
        <w:t xml:space="preserve"> Scările interioare de evacuare supraterane ale utilizatorilor sălilor aglomerate pot avea rampe directe spre subsol numai atunci când asigură circulaţia acestora la încăperi și spaţii destinate publicului utilizator (separate faţă de alte funcţiuni dispuse în subsol conform prevederilor normativului).</w:t>
      </w:r>
    </w:p>
    <w:p w14:paraId="0AD3AF64"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Scările exterioare prevăzute pentru evacuarea utilizatorilor sălilor aglomerate trebuie să fie rezistente la foc minimum </w:t>
      </w:r>
      <w:r>
        <w:rPr>
          <w:b/>
          <w:sz w:val="24"/>
          <w:szCs w:val="24"/>
        </w:rPr>
        <w:t xml:space="preserve">R 15 </w:t>
      </w:r>
      <w:r>
        <w:rPr>
          <w:sz w:val="24"/>
          <w:szCs w:val="24"/>
        </w:rPr>
        <w:t>clasa de reacţie la foc</w:t>
      </w:r>
      <w:r>
        <w:rPr>
          <w:b/>
          <w:sz w:val="24"/>
          <w:szCs w:val="24"/>
        </w:rPr>
        <w:t xml:space="preserve"> A1 sau A2-s1d0</w:t>
      </w:r>
      <w:r>
        <w:rPr>
          <w:sz w:val="24"/>
          <w:szCs w:val="24"/>
        </w:rPr>
        <w:t xml:space="preserve">, protejate și dimensionate corespunzător prevederilor normativului şi cu înclinare de maximum </w:t>
      </w:r>
      <w:r>
        <w:rPr>
          <w:b/>
          <w:bCs/>
          <w:sz w:val="24"/>
          <w:szCs w:val="24"/>
        </w:rPr>
        <w:t>1:2</w:t>
      </w:r>
      <w:r>
        <w:rPr>
          <w:sz w:val="24"/>
          <w:szCs w:val="24"/>
        </w:rPr>
        <w:t>,.</w:t>
      </w:r>
    </w:p>
    <w:p w14:paraId="75FC4B45" w14:textId="77777777" w:rsidR="001C08A5" w:rsidRDefault="00000000">
      <w:pPr>
        <w:jc w:val="both"/>
        <w:rPr>
          <w:sz w:val="24"/>
          <w:szCs w:val="24"/>
        </w:rPr>
      </w:pPr>
      <w:r>
        <w:rPr>
          <w:sz w:val="24"/>
          <w:szCs w:val="24"/>
        </w:rPr>
        <w:tab/>
      </w:r>
      <w:r>
        <w:rPr>
          <w:b/>
          <w:sz w:val="24"/>
          <w:szCs w:val="24"/>
        </w:rPr>
        <w:t xml:space="preserve">(3) </w:t>
      </w:r>
      <w:r>
        <w:rPr>
          <w:sz w:val="24"/>
          <w:szCs w:val="24"/>
        </w:rPr>
        <w:t>Planurile înclinate acoperite se pot utiliza ca ieşiri de evacuare la nivelul terenului sau al unor circulaţii carosabile, dacă îndeplinesc condiţiile specifice acestora.</w:t>
      </w:r>
    </w:p>
    <w:p w14:paraId="6AE07BE4" w14:textId="77777777" w:rsidR="001C08A5" w:rsidRDefault="00000000">
      <w:pPr>
        <w:jc w:val="both"/>
        <w:rPr>
          <w:b/>
          <w:sz w:val="24"/>
          <w:szCs w:val="24"/>
        </w:rPr>
      </w:pPr>
      <w:r>
        <w:rPr>
          <w:sz w:val="24"/>
          <w:szCs w:val="24"/>
        </w:rPr>
        <w:tab/>
      </w:r>
      <w:r>
        <w:rPr>
          <w:b/>
          <w:sz w:val="24"/>
          <w:szCs w:val="24"/>
        </w:rPr>
        <w:t xml:space="preserve">(4) </w:t>
      </w:r>
      <w:r>
        <w:rPr>
          <w:sz w:val="24"/>
          <w:szCs w:val="24"/>
        </w:rPr>
        <w:t xml:space="preserve">Curţile interioare şi spaţiile dintre construcţii pot fi luate în considerare la evacuarea utilizatorilor în caz de incendiu atunci când sunt ferite de efectele incendiului și au lăţime suficientă pentru trecerea numărului de unităţi (fluxuri) de trecere de evacuare rezultat din calcul, dar nu mai puţin de </w:t>
      </w:r>
      <w:r>
        <w:rPr>
          <w:b/>
          <w:bCs/>
          <w:sz w:val="24"/>
          <w:szCs w:val="24"/>
        </w:rPr>
        <w:t>10 m</w:t>
      </w:r>
      <w:r>
        <w:rPr>
          <w:sz w:val="24"/>
          <w:szCs w:val="24"/>
        </w:rPr>
        <w:t>.</w:t>
      </w:r>
    </w:p>
    <w:p w14:paraId="40FDD456" w14:textId="77777777" w:rsidR="001C08A5" w:rsidRDefault="00000000">
      <w:pPr>
        <w:pStyle w:val="Heading4"/>
      </w:pPr>
      <w:bookmarkStart w:id="4943" w:name="_Toc10916"/>
      <w:bookmarkStart w:id="4944" w:name="_Toc9685"/>
      <w:bookmarkStart w:id="4945" w:name="_Toc8711"/>
      <w:bookmarkStart w:id="4946" w:name="_Toc7101"/>
      <w:bookmarkStart w:id="4947" w:name="_Toc25703"/>
      <w:bookmarkStart w:id="4948" w:name="_Toc1621"/>
      <w:bookmarkStart w:id="4949" w:name="_Toc162355334"/>
      <w:bookmarkStart w:id="4950" w:name="_Toc14918"/>
      <w:r>
        <w:lastRenderedPageBreak/>
        <w:t>4.3.6. CONDIŢII DE ACCES, INTERVENŢIE ȘI SALVARE ÎN CAZ DE INCENDIU</w:t>
      </w:r>
      <w:bookmarkEnd w:id="4943"/>
      <w:bookmarkEnd w:id="4944"/>
      <w:bookmarkEnd w:id="4945"/>
      <w:bookmarkEnd w:id="4946"/>
      <w:bookmarkEnd w:id="4947"/>
      <w:bookmarkEnd w:id="4948"/>
      <w:bookmarkEnd w:id="4949"/>
      <w:bookmarkEnd w:id="4950"/>
    </w:p>
    <w:p w14:paraId="64C7C07B" w14:textId="77777777" w:rsidR="001C08A5" w:rsidRDefault="00000000">
      <w:pPr>
        <w:jc w:val="both"/>
        <w:rPr>
          <w:sz w:val="24"/>
          <w:szCs w:val="24"/>
        </w:rPr>
      </w:pPr>
      <w:r>
        <w:rPr>
          <w:b/>
          <w:sz w:val="24"/>
          <w:szCs w:val="24"/>
        </w:rPr>
        <w:tab/>
      </w:r>
    </w:p>
    <w:p w14:paraId="5E301555" w14:textId="77777777" w:rsidR="001C08A5" w:rsidRDefault="00000000">
      <w:pPr>
        <w:jc w:val="both"/>
        <w:rPr>
          <w:sz w:val="24"/>
          <w:szCs w:val="24"/>
        </w:rPr>
      </w:pPr>
      <w:r>
        <w:rPr>
          <w:sz w:val="24"/>
          <w:szCs w:val="24"/>
        </w:rPr>
        <w:tab/>
      </w:r>
      <w:r>
        <w:rPr>
          <w:b/>
          <w:sz w:val="24"/>
          <w:szCs w:val="24"/>
        </w:rPr>
        <w:t>Art. 4.3.6.1.</w:t>
      </w:r>
      <w:r>
        <w:rPr>
          <w:sz w:val="24"/>
          <w:szCs w:val="24"/>
        </w:rPr>
        <w:t xml:space="preserve"> La clădirile cu săli aglomerate se asigură cale de acces şi intervenţie din exterior pentru autospecialele de intervenţie, cel puţin pe două laturi, astfel încât să se asigure accesul și intervenţia autospecialelor de stingere în caz de incendiu, cel puţin pe </w:t>
      </w:r>
      <w:r>
        <w:rPr>
          <w:b/>
          <w:bCs/>
          <w:sz w:val="24"/>
          <w:szCs w:val="24"/>
        </w:rPr>
        <w:t>50%</w:t>
      </w:r>
      <w:r>
        <w:rPr>
          <w:sz w:val="24"/>
          <w:szCs w:val="24"/>
        </w:rPr>
        <w:t xml:space="preserve"> din perimetrul pereților exteriori..</w:t>
      </w:r>
    </w:p>
    <w:p w14:paraId="75AF583C" w14:textId="77777777" w:rsidR="001C08A5" w:rsidRDefault="001C08A5">
      <w:pPr>
        <w:jc w:val="both"/>
        <w:rPr>
          <w:sz w:val="24"/>
          <w:szCs w:val="24"/>
        </w:rPr>
      </w:pPr>
    </w:p>
    <w:p w14:paraId="62D8E763" w14:textId="77777777" w:rsidR="001C08A5" w:rsidRDefault="00000000">
      <w:pPr>
        <w:jc w:val="both"/>
        <w:rPr>
          <w:sz w:val="24"/>
          <w:szCs w:val="24"/>
        </w:rPr>
      </w:pPr>
      <w:r>
        <w:rPr>
          <w:b/>
          <w:sz w:val="24"/>
          <w:szCs w:val="24"/>
        </w:rPr>
        <w:tab/>
        <w:t>Art. 4.3.6.2. (1)</w:t>
      </w:r>
      <w:r>
        <w:rPr>
          <w:sz w:val="24"/>
          <w:szCs w:val="24"/>
        </w:rPr>
        <w:t xml:space="preserve"> Clădirile cu săli aglomerate vor avea asigurat acces din drumurile publice și posibilităţi corespunzătoare de desfăşurare a operaţiunilor de stingere a incendiilor și de salvare a utilizatorilor în caz de incendiu.</w:t>
      </w:r>
    </w:p>
    <w:p w14:paraId="3631A8E4" w14:textId="77777777" w:rsidR="001C08A5" w:rsidRDefault="00000000">
      <w:pPr>
        <w:ind w:firstLine="720"/>
        <w:jc w:val="both"/>
        <w:rPr>
          <w:sz w:val="24"/>
          <w:szCs w:val="24"/>
        </w:rPr>
      </w:pPr>
      <w:r>
        <w:rPr>
          <w:b/>
          <w:sz w:val="24"/>
          <w:szCs w:val="24"/>
        </w:rPr>
        <w:t xml:space="preserve">(2) </w:t>
      </w:r>
      <w:r>
        <w:rPr>
          <w:sz w:val="24"/>
          <w:szCs w:val="24"/>
        </w:rPr>
        <w:t>Platformele exterioare pentru parcarea autovehiculelor situate în vecinătatea clădirilor, trebuie amplasate în afara gabaritului liber necesar evacuării utilizatorilor și al accesului, circulaţiei și intervenţiei autospecialelor la faţadele vitrate ale clădirii şi la sursele de alimentare cu apă.</w:t>
      </w:r>
    </w:p>
    <w:p w14:paraId="2A290A32" w14:textId="77777777" w:rsidR="001C08A5" w:rsidRDefault="001C08A5">
      <w:pPr>
        <w:ind w:firstLine="720"/>
        <w:jc w:val="both"/>
        <w:rPr>
          <w:sz w:val="24"/>
          <w:szCs w:val="24"/>
        </w:rPr>
      </w:pPr>
    </w:p>
    <w:p w14:paraId="0378F211" w14:textId="77777777" w:rsidR="001C08A5" w:rsidRDefault="00000000">
      <w:pPr>
        <w:ind w:firstLine="720"/>
        <w:jc w:val="both"/>
        <w:rPr>
          <w:sz w:val="24"/>
          <w:szCs w:val="24"/>
        </w:rPr>
      </w:pPr>
      <w:r>
        <w:rPr>
          <w:b/>
          <w:sz w:val="24"/>
          <w:szCs w:val="24"/>
        </w:rPr>
        <w:t xml:space="preserve">Art. 4.3.6.3. </w:t>
      </w:r>
      <w:r>
        <w:rPr>
          <w:bCs/>
          <w:sz w:val="24"/>
          <w:szCs w:val="24"/>
        </w:rPr>
        <w:t xml:space="preserve">În </w:t>
      </w:r>
      <w:r>
        <w:rPr>
          <w:sz w:val="24"/>
          <w:szCs w:val="24"/>
        </w:rPr>
        <w:t xml:space="preserve">conformitate cu capacitatea maximă simultană a clădirii cu săli aglomerate trebuie avute în vedere și prevederile </w:t>
      </w:r>
      <w:r>
        <w:rPr>
          <w:b/>
          <w:sz w:val="24"/>
          <w:szCs w:val="24"/>
        </w:rPr>
        <w:t xml:space="preserve">Art. </w:t>
      </w:r>
      <w:r>
        <w:rPr>
          <w:b/>
          <w:caps/>
          <w:sz w:val="24"/>
          <w:szCs w:val="24"/>
        </w:rPr>
        <w:t>2.6.</w:t>
      </w:r>
      <w:r>
        <w:rPr>
          <w:b/>
          <w:sz w:val="24"/>
          <w:szCs w:val="24"/>
        </w:rPr>
        <w:t>7. alin. (1).</w:t>
      </w:r>
    </w:p>
    <w:p w14:paraId="51EB17BE" w14:textId="77777777" w:rsidR="001C08A5" w:rsidRDefault="001C08A5">
      <w:pPr>
        <w:ind w:firstLine="720"/>
        <w:jc w:val="both"/>
        <w:rPr>
          <w:b/>
          <w:sz w:val="24"/>
          <w:szCs w:val="24"/>
        </w:rPr>
      </w:pPr>
    </w:p>
    <w:p w14:paraId="42FABC40" w14:textId="77777777" w:rsidR="001C08A5" w:rsidRDefault="00000000">
      <w:pPr>
        <w:ind w:firstLine="720"/>
        <w:jc w:val="both"/>
        <w:rPr>
          <w:sz w:val="24"/>
          <w:szCs w:val="24"/>
        </w:rPr>
      </w:pPr>
      <w:r>
        <w:rPr>
          <w:b/>
          <w:sz w:val="24"/>
          <w:szCs w:val="24"/>
        </w:rPr>
        <w:t xml:space="preserve">Art. 4.3.6.4. (1) </w:t>
      </w:r>
      <w:r>
        <w:rPr>
          <w:sz w:val="24"/>
          <w:szCs w:val="24"/>
        </w:rPr>
        <w:t xml:space="preserve">În cazul porţiunilor de clădire aferente sălilor aglomerate din construcţii cu alte destinaţii, care se pot constitui în compartimente de incendiu distincte, independente functional, delimitate față de restul clădirii conform prevederilor normate se asigurană pentru fiecare compartiment de incendiu distinct căi de acces carosabile corespunzător dimensionate pentru circulația și amplasarea autospecialelor pentru intervenție de stingere și salvare în caz de incendiu, cel puţin pe două laturi, astfel încât să se asigure accesul și intervenţia autospecialelor de stingere în caz de incendiu, cel puţin pe </w:t>
      </w:r>
      <w:r>
        <w:rPr>
          <w:b/>
          <w:bCs/>
          <w:sz w:val="24"/>
          <w:szCs w:val="24"/>
        </w:rPr>
        <w:t>50%</w:t>
      </w:r>
      <w:r>
        <w:rPr>
          <w:sz w:val="24"/>
          <w:szCs w:val="24"/>
        </w:rPr>
        <w:t xml:space="preserve"> din perimetrul pereților exteriori.</w:t>
      </w:r>
    </w:p>
    <w:p w14:paraId="2814B021" w14:textId="77777777" w:rsidR="001C08A5" w:rsidRDefault="00000000">
      <w:pPr>
        <w:ind w:firstLine="720"/>
        <w:jc w:val="both"/>
        <w:rPr>
          <w:b/>
          <w:sz w:val="24"/>
          <w:szCs w:val="24"/>
        </w:rPr>
      </w:pPr>
      <w:r>
        <w:rPr>
          <w:b/>
          <w:sz w:val="24"/>
          <w:szCs w:val="24"/>
        </w:rPr>
        <w:t xml:space="preserve">(2) </w:t>
      </w:r>
      <w:r>
        <w:rPr>
          <w:bCs/>
          <w:sz w:val="24"/>
          <w:szCs w:val="24"/>
        </w:rPr>
        <w:t>În</w:t>
      </w:r>
      <w:r>
        <w:rPr>
          <w:sz w:val="24"/>
          <w:szCs w:val="24"/>
        </w:rPr>
        <w:t xml:space="preserve">conformitate cu capacitatea maximă simultană a clădirii cu săli aglomerate trebuie avute în vedere și prevederile </w:t>
      </w:r>
      <w:r>
        <w:rPr>
          <w:b/>
          <w:sz w:val="24"/>
          <w:szCs w:val="24"/>
        </w:rPr>
        <w:t xml:space="preserve">Art. </w:t>
      </w:r>
      <w:r>
        <w:rPr>
          <w:b/>
          <w:caps/>
          <w:sz w:val="24"/>
          <w:szCs w:val="24"/>
        </w:rPr>
        <w:t>2.6.</w:t>
      </w:r>
      <w:r>
        <w:rPr>
          <w:b/>
          <w:sz w:val="24"/>
          <w:szCs w:val="24"/>
        </w:rPr>
        <w:t xml:space="preserve">7. </w:t>
      </w:r>
      <w:r>
        <w:rPr>
          <w:bCs/>
          <w:sz w:val="24"/>
          <w:szCs w:val="24"/>
        </w:rPr>
        <w:t xml:space="preserve">alin. </w:t>
      </w:r>
      <w:r>
        <w:rPr>
          <w:b/>
          <w:sz w:val="24"/>
          <w:szCs w:val="24"/>
        </w:rPr>
        <w:t xml:space="preserve">(1) și (2). </w:t>
      </w:r>
    </w:p>
    <w:p w14:paraId="3CB5A367" w14:textId="77777777" w:rsidR="001C08A5" w:rsidRDefault="00000000">
      <w:pPr>
        <w:pStyle w:val="Heading4"/>
      </w:pPr>
      <w:bookmarkStart w:id="4951" w:name="_Toc25903"/>
      <w:bookmarkStart w:id="4952" w:name="_Toc15520"/>
      <w:bookmarkStart w:id="4953" w:name="_Toc21124"/>
      <w:bookmarkStart w:id="4954" w:name="_Toc9466"/>
      <w:bookmarkStart w:id="4955" w:name="_Toc8739"/>
      <w:bookmarkStart w:id="4956" w:name="_Toc162355335"/>
      <w:bookmarkStart w:id="4957" w:name="_Toc25363"/>
      <w:bookmarkStart w:id="4958" w:name="_Toc9858"/>
      <w:r>
        <w:t>4.3.7. ECHIPAREA CONSTRUCŢIILOR CU INSTALAŢII ŞI MIJLOACE DE STINGERE A INCENDIILOR</w:t>
      </w:r>
      <w:bookmarkEnd w:id="4951"/>
      <w:bookmarkEnd w:id="4952"/>
      <w:bookmarkEnd w:id="4953"/>
      <w:bookmarkEnd w:id="4954"/>
      <w:bookmarkEnd w:id="4955"/>
      <w:bookmarkEnd w:id="4956"/>
      <w:bookmarkEnd w:id="4957"/>
      <w:bookmarkEnd w:id="4958"/>
    </w:p>
    <w:p w14:paraId="1F4A6FDA" w14:textId="77777777" w:rsidR="001C08A5" w:rsidRDefault="001C08A5">
      <w:pPr>
        <w:jc w:val="both"/>
        <w:rPr>
          <w:sz w:val="24"/>
          <w:szCs w:val="24"/>
        </w:rPr>
      </w:pPr>
    </w:p>
    <w:p w14:paraId="05B1B1FA" w14:textId="77777777" w:rsidR="001C08A5" w:rsidRDefault="00000000">
      <w:pPr>
        <w:jc w:val="both"/>
        <w:rPr>
          <w:b/>
          <w:sz w:val="24"/>
          <w:szCs w:val="24"/>
        </w:rPr>
      </w:pPr>
      <w:r>
        <w:rPr>
          <w:sz w:val="24"/>
          <w:szCs w:val="24"/>
        </w:rPr>
        <w:tab/>
      </w:r>
      <w:r>
        <w:rPr>
          <w:b/>
          <w:sz w:val="24"/>
          <w:szCs w:val="24"/>
        </w:rPr>
        <w:t>Art. 4.3.7.1. (1)</w:t>
      </w:r>
      <w:r>
        <w:rPr>
          <w:sz w:val="24"/>
          <w:szCs w:val="24"/>
        </w:rPr>
        <w:t xml:space="preserve"> Clădirile cu săli aglomerate se echipează cu instalaţii şi mijloace de stingere a incendiilor, precum și cu instalaţii de detectare, semnalizare şi alarmare a incendiului, conform prevederilor reglementărilor tehnice de specialitate.</w:t>
      </w:r>
    </w:p>
    <w:p w14:paraId="0D0564A4" w14:textId="77777777" w:rsidR="001C08A5" w:rsidRDefault="00000000">
      <w:pPr>
        <w:ind w:firstLine="720"/>
        <w:jc w:val="both"/>
        <w:rPr>
          <w:sz w:val="24"/>
          <w:szCs w:val="24"/>
        </w:rPr>
      </w:pPr>
      <w:r>
        <w:rPr>
          <w:b/>
          <w:sz w:val="24"/>
          <w:szCs w:val="24"/>
        </w:rPr>
        <w:t xml:space="preserve">(2) </w:t>
      </w:r>
      <w:r>
        <w:rPr>
          <w:sz w:val="24"/>
          <w:szCs w:val="24"/>
        </w:rPr>
        <w:t xml:space="preserve">Clădirile civile cu săli aglomerate se dotează cu stingătoare, asigurând un stingător portativ cu performanţa de stingere minimă </w:t>
      </w:r>
      <w:r>
        <w:rPr>
          <w:b/>
          <w:sz w:val="24"/>
          <w:szCs w:val="24"/>
        </w:rPr>
        <w:t xml:space="preserve">21A </w:t>
      </w:r>
      <w:r>
        <w:rPr>
          <w:sz w:val="24"/>
          <w:szCs w:val="24"/>
        </w:rPr>
        <w:t xml:space="preserve">şi </w:t>
      </w:r>
      <w:r>
        <w:rPr>
          <w:b/>
          <w:sz w:val="24"/>
          <w:szCs w:val="24"/>
        </w:rPr>
        <w:t xml:space="preserve">113B </w:t>
      </w:r>
      <w:r>
        <w:rPr>
          <w:sz w:val="24"/>
          <w:szCs w:val="24"/>
        </w:rPr>
        <w:t xml:space="preserve">pentru o arie desfăşurată de maximum </w:t>
      </w:r>
      <w:r>
        <w:rPr>
          <w:b/>
          <w:sz w:val="24"/>
          <w:szCs w:val="24"/>
        </w:rPr>
        <w:t xml:space="preserve">200 </w:t>
      </w:r>
      <w:r>
        <w:rPr>
          <w:bCs/>
          <w:sz w:val="24"/>
          <w:szCs w:val="24"/>
        </w:rPr>
        <w:t>m</w:t>
      </w:r>
      <w:r>
        <w:rPr>
          <w:bCs/>
          <w:sz w:val="24"/>
          <w:szCs w:val="24"/>
          <w:vertAlign w:val="superscript"/>
        </w:rPr>
        <w:t>2</w:t>
      </w:r>
      <w:r>
        <w:rPr>
          <w:sz w:val="24"/>
          <w:szCs w:val="24"/>
        </w:rPr>
        <w:t>, dar minimum două stingătoare pe fiecare nivel al clădirii.</w:t>
      </w:r>
    </w:p>
    <w:p w14:paraId="22F2B07C" w14:textId="77777777" w:rsidR="001C08A5" w:rsidRDefault="001C08A5">
      <w:pPr>
        <w:jc w:val="both"/>
        <w:rPr>
          <w:b/>
          <w:sz w:val="24"/>
          <w:szCs w:val="24"/>
        </w:rPr>
      </w:pPr>
    </w:p>
    <w:p w14:paraId="536954C5" w14:textId="77777777" w:rsidR="001C08A5" w:rsidRDefault="001C08A5">
      <w:pPr>
        <w:jc w:val="both"/>
        <w:rPr>
          <w:sz w:val="24"/>
          <w:szCs w:val="24"/>
        </w:rPr>
      </w:pPr>
    </w:p>
    <w:p w14:paraId="0AE5ED99" w14:textId="77777777" w:rsidR="001C08A5" w:rsidRDefault="00000000">
      <w:pPr>
        <w:pStyle w:val="Heading1"/>
      </w:pPr>
      <w:bookmarkStart w:id="4959" w:name="_Toc15794"/>
      <w:bookmarkStart w:id="4960" w:name="_Toc12560"/>
      <w:bookmarkStart w:id="4961" w:name="_Toc1292"/>
      <w:bookmarkStart w:id="4962" w:name="_Toc11000"/>
      <w:bookmarkStart w:id="4963" w:name="_Toc162355336"/>
      <w:bookmarkStart w:id="4964" w:name="_Toc21480"/>
      <w:bookmarkStart w:id="4965" w:name="_Toc23946"/>
      <w:bookmarkStart w:id="4966" w:name="_Toc32197"/>
      <w:bookmarkStart w:id="4967" w:name="_Toc25826"/>
      <w:bookmarkStart w:id="4968" w:name="_Toc16352"/>
      <w:r>
        <w:t>CAPITOLUL 5</w:t>
      </w:r>
      <w:bookmarkEnd w:id="4959"/>
      <w:bookmarkEnd w:id="4960"/>
      <w:bookmarkEnd w:id="4961"/>
      <w:bookmarkEnd w:id="4962"/>
      <w:bookmarkEnd w:id="4963"/>
      <w:bookmarkEnd w:id="4964"/>
      <w:bookmarkEnd w:id="4965"/>
      <w:bookmarkEnd w:id="4966"/>
      <w:bookmarkEnd w:id="4967"/>
      <w:bookmarkEnd w:id="4968"/>
    </w:p>
    <w:p w14:paraId="31D8CCDE" w14:textId="77777777" w:rsidR="001C08A5" w:rsidRDefault="00000000">
      <w:pPr>
        <w:pStyle w:val="Heading2"/>
        <w:rPr>
          <w:rFonts w:cs="Times New Roman"/>
          <w:sz w:val="24"/>
          <w:szCs w:val="24"/>
        </w:rPr>
      </w:pPr>
      <w:bookmarkStart w:id="4969" w:name="_Toc19888"/>
      <w:bookmarkStart w:id="4970" w:name="_Toc9649"/>
      <w:bookmarkStart w:id="4971" w:name="_Toc6135"/>
      <w:bookmarkStart w:id="4972" w:name="_Toc18671"/>
      <w:bookmarkStart w:id="4973" w:name="_Toc15263"/>
      <w:bookmarkStart w:id="4974" w:name="_Toc162355337"/>
      <w:bookmarkStart w:id="4975" w:name="_Toc31884"/>
      <w:bookmarkStart w:id="4976" w:name="_Toc26935"/>
      <w:bookmarkStart w:id="4977" w:name="_Toc30285"/>
      <w:bookmarkStart w:id="4978" w:name="_Toc3203"/>
      <w:r>
        <w:t>5. PERFORMANŢE SPECIFICE CLĂDIRILOR CIVILE SUBTERANE</w:t>
      </w:r>
      <w:bookmarkEnd w:id="4969"/>
      <w:bookmarkEnd w:id="4970"/>
      <w:bookmarkEnd w:id="4971"/>
      <w:bookmarkEnd w:id="4972"/>
      <w:r>
        <w:t xml:space="preserve"> ȘI </w:t>
      </w:r>
      <w:r>
        <w:rPr>
          <w:szCs w:val="36"/>
        </w:rPr>
        <w:t xml:space="preserve">PORŢIUNILOR SUBTERANE </w:t>
      </w:r>
      <w:r>
        <w:rPr>
          <w:szCs w:val="36"/>
        </w:rPr>
        <w:lastRenderedPageBreak/>
        <w:t>(SUBSOLURILOR) ALE CLĂDIRILOR CIVILE (PUBLICE) SUPRATERANE</w:t>
      </w:r>
      <w:bookmarkEnd w:id="4973"/>
      <w:bookmarkEnd w:id="4974"/>
      <w:bookmarkEnd w:id="4975"/>
      <w:bookmarkEnd w:id="4976"/>
      <w:bookmarkEnd w:id="4977"/>
      <w:bookmarkEnd w:id="4978"/>
    </w:p>
    <w:p w14:paraId="653822A9" w14:textId="77777777" w:rsidR="001C08A5" w:rsidRDefault="00000000">
      <w:pPr>
        <w:pStyle w:val="Heading3"/>
      </w:pPr>
      <w:bookmarkStart w:id="4979" w:name="_Toc30091"/>
      <w:bookmarkStart w:id="4980" w:name="_Toc19695"/>
      <w:bookmarkStart w:id="4981" w:name="_Toc1546"/>
      <w:bookmarkStart w:id="4982" w:name="_Toc162355338"/>
      <w:bookmarkStart w:id="4983" w:name="_Toc25110"/>
      <w:bookmarkStart w:id="4984" w:name="_Toc3196"/>
      <w:bookmarkStart w:id="4985" w:name="_Toc9717"/>
      <w:bookmarkStart w:id="4986" w:name="_Toc14995"/>
      <w:r>
        <w:t>5.1. CONDIŢII COMUNE DE PERFORMANŢĂ A CONSTRUCŢIILOR (Risc de incendiu şi Nivel de stabilitate la incendiu al construcţiei)</w:t>
      </w:r>
      <w:bookmarkEnd w:id="4979"/>
      <w:bookmarkEnd w:id="4980"/>
      <w:bookmarkEnd w:id="4981"/>
      <w:bookmarkEnd w:id="4982"/>
      <w:bookmarkEnd w:id="4983"/>
      <w:bookmarkEnd w:id="4984"/>
      <w:bookmarkEnd w:id="4985"/>
      <w:bookmarkEnd w:id="4986"/>
    </w:p>
    <w:p w14:paraId="35968835" w14:textId="77777777" w:rsidR="001C08A5" w:rsidRDefault="001C08A5">
      <w:pPr>
        <w:jc w:val="both"/>
        <w:rPr>
          <w:sz w:val="24"/>
          <w:szCs w:val="24"/>
        </w:rPr>
      </w:pPr>
    </w:p>
    <w:p w14:paraId="6AF438C9" w14:textId="77777777" w:rsidR="001C08A5" w:rsidRDefault="00000000">
      <w:pPr>
        <w:jc w:val="both"/>
        <w:rPr>
          <w:sz w:val="24"/>
          <w:szCs w:val="24"/>
        </w:rPr>
      </w:pPr>
      <w:r>
        <w:rPr>
          <w:b/>
          <w:sz w:val="24"/>
          <w:szCs w:val="24"/>
        </w:rPr>
        <w:tab/>
        <w:t xml:space="preserve">Art. </w:t>
      </w:r>
      <w:r>
        <w:rPr>
          <w:b/>
          <w:caps/>
          <w:sz w:val="24"/>
          <w:szCs w:val="24"/>
        </w:rPr>
        <w:t>5.1.</w:t>
      </w:r>
      <w:r>
        <w:rPr>
          <w:b/>
          <w:sz w:val="24"/>
          <w:szCs w:val="24"/>
        </w:rPr>
        <w:t xml:space="preserve">1. </w:t>
      </w:r>
      <w:r>
        <w:rPr>
          <w:sz w:val="24"/>
          <w:szCs w:val="24"/>
        </w:rPr>
        <w:t>Clădirile civile subterane independente sunt constituite din construcţii cu funcţiuni diverse (centre comerciale, galerii de artă, discoteci, baruri, săli de întruniri sau spectacole, alimentaţie, servicii etc.), realizate sub cota terenului înconjurător. Ele nu sunt constituite din subsoluri ale clădirilor supraterane.</w:t>
      </w:r>
    </w:p>
    <w:p w14:paraId="36336790" w14:textId="77777777" w:rsidR="001C08A5" w:rsidRDefault="00000000">
      <w:pPr>
        <w:jc w:val="both"/>
        <w:rPr>
          <w:b/>
          <w:sz w:val="24"/>
          <w:szCs w:val="24"/>
        </w:rPr>
      </w:pPr>
      <w:r>
        <w:rPr>
          <w:sz w:val="24"/>
          <w:szCs w:val="24"/>
        </w:rPr>
        <w:tab/>
      </w:r>
    </w:p>
    <w:p w14:paraId="6D18D28E" w14:textId="77777777" w:rsidR="001C08A5" w:rsidRDefault="00000000">
      <w:pPr>
        <w:jc w:val="both"/>
        <w:rPr>
          <w:sz w:val="24"/>
          <w:szCs w:val="24"/>
        </w:rPr>
      </w:pPr>
      <w:r>
        <w:rPr>
          <w:b/>
          <w:sz w:val="24"/>
          <w:szCs w:val="24"/>
        </w:rPr>
        <w:tab/>
        <w:t xml:space="preserve">Art. </w:t>
      </w:r>
      <w:r>
        <w:rPr>
          <w:b/>
          <w:caps/>
          <w:sz w:val="24"/>
          <w:szCs w:val="24"/>
        </w:rPr>
        <w:t>5.1.</w:t>
      </w:r>
      <w:r>
        <w:rPr>
          <w:b/>
          <w:sz w:val="24"/>
          <w:szCs w:val="24"/>
        </w:rPr>
        <w:t xml:space="preserve">2. (1) </w:t>
      </w:r>
      <w:r>
        <w:rPr>
          <w:sz w:val="24"/>
          <w:szCs w:val="24"/>
        </w:rPr>
        <w:t xml:space="preserve">Clădirile civile subterane independente vor avea asigurat nivelul </w:t>
      </w:r>
      <w:r>
        <w:rPr>
          <w:b/>
          <w:sz w:val="24"/>
          <w:szCs w:val="24"/>
        </w:rPr>
        <w:t>I</w:t>
      </w:r>
      <w:r>
        <w:rPr>
          <w:sz w:val="24"/>
          <w:szCs w:val="24"/>
        </w:rPr>
        <w:t xml:space="preserve"> sau </w:t>
      </w:r>
      <w:r>
        <w:rPr>
          <w:b/>
          <w:sz w:val="24"/>
          <w:szCs w:val="24"/>
        </w:rPr>
        <w:t>II</w:t>
      </w:r>
      <w:r>
        <w:rPr>
          <w:sz w:val="24"/>
          <w:szCs w:val="24"/>
        </w:rPr>
        <w:t xml:space="preserve"> de stabilitate la incendiu, iar aria compartimentului de incendiu va fi limitată la </w:t>
      </w:r>
      <w:r>
        <w:rPr>
          <w:b/>
          <w:sz w:val="24"/>
          <w:szCs w:val="24"/>
        </w:rPr>
        <w:t xml:space="preserve">3.500 </w:t>
      </w:r>
      <w:r>
        <w:rPr>
          <w:sz w:val="24"/>
          <w:szCs w:val="24"/>
        </w:rPr>
        <w:t>m</w:t>
      </w:r>
      <w:r>
        <w:rPr>
          <w:sz w:val="24"/>
          <w:szCs w:val="24"/>
          <w:vertAlign w:val="superscript"/>
        </w:rPr>
        <w:t>2</w:t>
      </w:r>
      <w:r>
        <w:rPr>
          <w:sz w:val="24"/>
          <w:szCs w:val="24"/>
        </w:rPr>
        <w:t>, fără posibilitatea de majorare.</w:t>
      </w:r>
    </w:p>
    <w:p w14:paraId="6C528A38" w14:textId="77777777" w:rsidR="001C08A5" w:rsidRDefault="00000000">
      <w:pPr>
        <w:ind w:firstLine="720"/>
        <w:jc w:val="both"/>
        <w:rPr>
          <w:sz w:val="24"/>
          <w:szCs w:val="24"/>
        </w:rPr>
      </w:pPr>
      <w:r>
        <w:rPr>
          <w:b/>
          <w:sz w:val="24"/>
          <w:szCs w:val="24"/>
        </w:rPr>
        <w:t>(2)</w:t>
      </w:r>
      <w:r>
        <w:rPr>
          <w:sz w:val="24"/>
          <w:szCs w:val="24"/>
        </w:rPr>
        <w:t xml:space="preserve"> Prin modul de dispunere a funcţiunilor şi măsurile de securitate la incendiu asigurate se va asigura limitarea propagării fumului şi a focului în interior, precum și la vecinătăţi.</w:t>
      </w:r>
    </w:p>
    <w:p w14:paraId="358D7144" w14:textId="77777777" w:rsidR="001C08A5" w:rsidRDefault="001C08A5">
      <w:pPr>
        <w:ind w:firstLine="720"/>
        <w:jc w:val="both"/>
        <w:rPr>
          <w:sz w:val="24"/>
          <w:szCs w:val="24"/>
        </w:rPr>
      </w:pPr>
    </w:p>
    <w:p w14:paraId="0E3F1F57" w14:textId="77777777" w:rsidR="001C08A5" w:rsidRDefault="00000000">
      <w:pPr>
        <w:jc w:val="both"/>
        <w:rPr>
          <w:sz w:val="24"/>
          <w:szCs w:val="24"/>
        </w:rPr>
      </w:pPr>
      <w:r>
        <w:rPr>
          <w:b/>
          <w:sz w:val="24"/>
          <w:szCs w:val="24"/>
        </w:rPr>
        <w:tab/>
        <w:t xml:space="preserve">Art. </w:t>
      </w:r>
      <w:r>
        <w:rPr>
          <w:b/>
          <w:caps/>
          <w:sz w:val="24"/>
          <w:szCs w:val="24"/>
        </w:rPr>
        <w:t>5.1.</w:t>
      </w:r>
      <w:r>
        <w:rPr>
          <w:b/>
          <w:sz w:val="24"/>
          <w:szCs w:val="24"/>
        </w:rPr>
        <w:t xml:space="preserve">3. </w:t>
      </w:r>
      <w:r>
        <w:rPr>
          <w:sz w:val="24"/>
          <w:szCs w:val="24"/>
        </w:rPr>
        <w:t>Clădirile civile (publice) subterane independente se proiectează şi realizează conform normativului specific (Normativ de proiectare a construcţiilor publice subterane NP 25) având în vedere și precizările acestui capitol, iar cele comasate în clădiri civile supraterane (subsoluri ale acestora), conform prevederilor prezentului normativ.</w:t>
      </w:r>
    </w:p>
    <w:p w14:paraId="26A1F3B8" w14:textId="77777777" w:rsidR="001C08A5" w:rsidRDefault="00000000">
      <w:pPr>
        <w:jc w:val="both"/>
        <w:rPr>
          <w:sz w:val="24"/>
          <w:szCs w:val="24"/>
        </w:rPr>
      </w:pPr>
      <w:r>
        <w:rPr>
          <w:b/>
          <w:sz w:val="24"/>
          <w:szCs w:val="24"/>
        </w:rPr>
        <w:tab/>
        <w:t xml:space="preserve">Art. </w:t>
      </w:r>
      <w:r>
        <w:rPr>
          <w:b/>
          <w:caps/>
          <w:sz w:val="24"/>
          <w:szCs w:val="24"/>
        </w:rPr>
        <w:t>5.1.</w:t>
      </w:r>
      <w:r>
        <w:rPr>
          <w:b/>
          <w:sz w:val="24"/>
          <w:szCs w:val="24"/>
        </w:rPr>
        <w:t xml:space="preserve">4. </w:t>
      </w:r>
      <w:r>
        <w:rPr>
          <w:sz w:val="24"/>
          <w:szCs w:val="24"/>
        </w:rPr>
        <w:t>Porţiunile subterane (subsolurile) ale clădirilor civile (publice) supraterane, vor respecta condiţiile de încadrare în nivelul de stabilitate la incendiu al clădirii supraterane, conform prevederilor normativului, iar încăperile respective vor avea stabilite şi precizate riscurile de incendiu specifice.</w:t>
      </w:r>
    </w:p>
    <w:p w14:paraId="2E0FACA4" w14:textId="77777777" w:rsidR="001C08A5" w:rsidRDefault="00000000">
      <w:pPr>
        <w:pStyle w:val="Heading3"/>
      </w:pPr>
      <w:bookmarkStart w:id="4987" w:name="_Toc17901"/>
      <w:bookmarkStart w:id="4988" w:name="_Toc9463"/>
      <w:bookmarkStart w:id="4989" w:name="_Toc31704"/>
      <w:bookmarkStart w:id="4990" w:name="_Toc162355339"/>
      <w:bookmarkStart w:id="4991" w:name="_Toc7255"/>
      <w:bookmarkStart w:id="4992" w:name="_Toc22232"/>
      <w:bookmarkStart w:id="4993" w:name="_Toc6884"/>
      <w:bookmarkStart w:id="4994" w:name="_Toc23660"/>
      <w:bookmarkStart w:id="4995" w:name="_Toc2727"/>
      <w:bookmarkStart w:id="4996" w:name="_Toc8024"/>
      <w:r>
        <w:t>5.2. AMPLASAREA și CONFORMAREA CONSTRUCŢIILOR</w:t>
      </w:r>
      <w:bookmarkEnd w:id="4987"/>
      <w:bookmarkEnd w:id="4988"/>
      <w:bookmarkEnd w:id="4989"/>
      <w:bookmarkEnd w:id="4990"/>
      <w:bookmarkEnd w:id="4991"/>
      <w:bookmarkEnd w:id="4992"/>
      <w:bookmarkEnd w:id="4993"/>
      <w:bookmarkEnd w:id="4994"/>
      <w:bookmarkEnd w:id="4995"/>
      <w:bookmarkEnd w:id="4996"/>
    </w:p>
    <w:p w14:paraId="2A5EDE68" w14:textId="77777777" w:rsidR="001C08A5" w:rsidRDefault="001C08A5">
      <w:pPr>
        <w:jc w:val="both"/>
        <w:rPr>
          <w:b/>
          <w:sz w:val="24"/>
          <w:szCs w:val="24"/>
        </w:rPr>
      </w:pPr>
    </w:p>
    <w:p w14:paraId="1486F28F" w14:textId="77777777" w:rsidR="001C08A5" w:rsidRDefault="00000000">
      <w:pPr>
        <w:ind w:firstLine="720"/>
        <w:jc w:val="both"/>
        <w:rPr>
          <w:sz w:val="24"/>
          <w:szCs w:val="24"/>
        </w:rPr>
      </w:pPr>
      <w:r>
        <w:rPr>
          <w:b/>
          <w:sz w:val="24"/>
          <w:szCs w:val="24"/>
        </w:rPr>
        <w:t xml:space="preserve">Art. 5.2.1. </w:t>
      </w:r>
      <w:r>
        <w:rPr>
          <w:sz w:val="24"/>
          <w:szCs w:val="24"/>
        </w:rPr>
        <w:t xml:space="preserve">Clădirile subterane independente, pot fi amplasate independent sau se pot alipi unor construcţii sau porţiuni de construcţii subterane, faţă de care se compartimentează. Clădirile civile subterane independente nu se comasează. </w:t>
      </w:r>
    </w:p>
    <w:p w14:paraId="181402F6" w14:textId="77777777" w:rsidR="001C08A5" w:rsidRDefault="001C08A5">
      <w:pPr>
        <w:jc w:val="both"/>
        <w:rPr>
          <w:sz w:val="24"/>
          <w:szCs w:val="24"/>
        </w:rPr>
      </w:pPr>
    </w:p>
    <w:p w14:paraId="52C254E2" w14:textId="77777777" w:rsidR="001C08A5" w:rsidRDefault="00000000">
      <w:pPr>
        <w:jc w:val="both"/>
        <w:rPr>
          <w:sz w:val="24"/>
          <w:szCs w:val="24"/>
        </w:rPr>
      </w:pPr>
      <w:r>
        <w:rPr>
          <w:b/>
          <w:sz w:val="24"/>
          <w:szCs w:val="24"/>
        </w:rPr>
        <w:tab/>
        <w:t>Art. 5.2.2. (1)</w:t>
      </w:r>
      <w:r>
        <w:rPr>
          <w:sz w:val="24"/>
          <w:szCs w:val="24"/>
        </w:rPr>
        <w:t xml:space="preserve"> În clădirile civile subterane independente nu este recomandată dispunerea unor spaţii sau încăperi cu riscuri mari sau foarte mari de incendiu ori în care sunt utilizate şi/sau depozitate substanţe care în amestec cu aerul pot produce amestecuri cu risc de explozie volumetrică. </w:t>
      </w:r>
    </w:p>
    <w:p w14:paraId="043F40D1" w14:textId="77777777" w:rsidR="001C08A5" w:rsidRDefault="00000000">
      <w:pPr>
        <w:ind w:firstLine="720"/>
        <w:jc w:val="both"/>
        <w:rPr>
          <w:sz w:val="24"/>
          <w:szCs w:val="24"/>
        </w:rPr>
      </w:pPr>
      <w:r>
        <w:rPr>
          <w:b/>
          <w:sz w:val="24"/>
          <w:szCs w:val="24"/>
        </w:rPr>
        <w:t xml:space="preserve">(2) </w:t>
      </w:r>
      <w:r>
        <w:rPr>
          <w:bCs/>
          <w:sz w:val="24"/>
          <w:szCs w:val="24"/>
        </w:rPr>
        <w:t xml:space="preserve">Funcţiunile care includ </w:t>
      </w:r>
      <w:r>
        <w:rPr>
          <w:sz w:val="24"/>
          <w:szCs w:val="24"/>
        </w:rPr>
        <w:t>lichide combustibile cu temperatura de inflamabilitate sub 55</w:t>
      </w:r>
      <w:r>
        <w:rPr>
          <w:sz w:val="24"/>
          <w:szCs w:val="24"/>
          <w:vertAlign w:val="superscript"/>
        </w:rPr>
        <w:t>º</w:t>
      </w:r>
      <w:r>
        <w:rPr>
          <w:sz w:val="24"/>
          <w:szCs w:val="24"/>
        </w:rPr>
        <w:t>C în cantităţile declarate (staţii de alimentare a autoturismelor cu carburanţi, service auto, staţii de spălare auto şi altele similare), pot fi dispuse în zone special amenajate şi marcate ale clădirii subterane independente, atunci când sunt compartimentate faţă de restul clădirii subterane şi îndeplinesc condiţiile de securitate la incendiu stabilite în normativ și în reglementările tehnice specifice.</w:t>
      </w:r>
    </w:p>
    <w:p w14:paraId="09A635D2" w14:textId="77777777" w:rsidR="001C08A5" w:rsidRDefault="001C08A5">
      <w:pPr>
        <w:jc w:val="both"/>
        <w:rPr>
          <w:sz w:val="24"/>
          <w:szCs w:val="24"/>
        </w:rPr>
      </w:pPr>
    </w:p>
    <w:p w14:paraId="486B6CFD" w14:textId="77777777" w:rsidR="001C08A5" w:rsidRDefault="00000000">
      <w:pPr>
        <w:jc w:val="both"/>
        <w:rPr>
          <w:sz w:val="24"/>
          <w:szCs w:val="24"/>
        </w:rPr>
      </w:pPr>
      <w:r>
        <w:rPr>
          <w:b/>
          <w:sz w:val="24"/>
          <w:szCs w:val="24"/>
        </w:rPr>
        <w:tab/>
        <w:t xml:space="preserve">Art. 5.2.3. (1) </w:t>
      </w:r>
      <w:r>
        <w:rPr>
          <w:sz w:val="24"/>
          <w:szCs w:val="24"/>
        </w:rPr>
        <w:t xml:space="preserve">Clădirile civile subterane independente de nivelul </w:t>
      </w:r>
      <w:r>
        <w:rPr>
          <w:b/>
          <w:sz w:val="24"/>
          <w:szCs w:val="24"/>
        </w:rPr>
        <w:t>II</w:t>
      </w:r>
      <w:r>
        <w:rPr>
          <w:sz w:val="24"/>
          <w:szCs w:val="24"/>
        </w:rPr>
        <w:t xml:space="preserve"> de stabilitate la incendiu nu vor avea mai mult de două niveluri subterane, iar cele de nivel </w:t>
      </w:r>
      <w:r>
        <w:rPr>
          <w:b/>
          <w:sz w:val="24"/>
          <w:szCs w:val="24"/>
        </w:rPr>
        <w:t>I</w:t>
      </w:r>
      <w:r>
        <w:rPr>
          <w:sz w:val="24"/>
          <w:szCs w:val="24"/>
        </w:rPr>
        <w:t xml:space="preserve"> de stabilitate la incendiu vor avea maxim trei niveluri.</w:t>
      </w:r>
    </w:p>
    <w:p w14:paraId="5C410C7C" w14:textId="77777777" w:rsidR="001C08A5" w:rsidRDefault="00000000">
      <w:pPr>
        <w:ind w:firstLine="720"/>
        <w:jc w:val="both"/>
        <w:rPr>
          <w:sz w:val="24"/>
          <w:szCs w:val="24"/>
        </w:rPr>
      </w:pPr>
      <w:r>
        <w:rPr>
          <w:b/>
          <w:sz w:val="24"/>
          <w:szCs w:val="24"/>
        </w:rPr>
        <w:t>(2)</w:t>
      </w:r>
      <w:r>
        <w:rPr>
          <w:sz w:val="24"/>
          <w:szCs w:val="24"/>
        </w:rPr>
        <w:t xml:space="preserve"> Numărul de niveluri al clădirilor civile subterane independente de nivel </w:t>
      </w:r>
      <w:r>
        <w:rPr>
          <w:b/>
          <w:sz w:val="24"/>
          <w:szCs w:val="24"/>
        </w:rPr>
        <w:t>I</w:t>
      </w:r>
      <w:r>
        <w:rPr>
          <w:sz w:val="24"/>
          <w:szCs w:val="24"/>
        </w:rPr>
        <w:t xml:space="preserve"> stabilitate la incendiu nu se normează, dacă rezistenţa la foc a planşeelor este de minimum </w:t>
      </w:r>
      <w:r>
        <w:rPr>
          <w:b/>
          <w:sz w:val="24"/>
          <w:szCs w:val="24"/>
        </w:rPr>
        <w:t>REI 180</w:t>
      </w:r>
      <w:r>
        <w:rPr>
          <w:sz w:val="24"/>
          <w:szCs w:val="24"/>
        </w:rPr>
        <w:t xml:space="preserve">, iar cea a grinzilor de minimum </w:t>
      </w:r>
      <w:r>
        <w:rPr>
          <w:b/>
          <w:sz w:val="24"/>
          <w:szCs w:val="24"/>
        </w:rPr>
        <w:t>R180</w:t>
      </w:r>
      <w:r>
        <w:rPr>
          <w:sz w:val="24"/>
          <w:szCs w:val="24"/>
        </w:rPr>
        <w:t xml:space="preserve">.  </w:t>
      </w:r>
    </w:p>
    <w:p w14:paraId="4688E470" w14:textId="77777777" w:rsidR="001C08A5" w:rsidRDefault="00000000">
      <w:pPr>
        <w:jc w:val="both"/>
        <w:rPr>
          <w:b/>
          <w:sz w:val="24"/>
          <w:szCs w:val="24"/>
        </w:rPr>
      </w:pPr>
      <w:r>
        <w:rPr>
          <w:b/>
          <w:sz w:val="24"/>
          <w:szCs w:val="24"/>
        </w:rPr>
        <w:tab/>
      </w:r>
    </w:p>
    <w:p w14:paraId="0CB06C0A" w14:textId="77777777" w:rsidR="001C08A5" w:rsidRDefault="00000000">
      <w:pPr>
        <w:ind w:firstLine="720"/>
        <w:jc w:val="both"/>
        <w:rPr>
          <w:b/>
          <w:sz w:val="24"/>
          <w:szCs w:val="24"/>
        </w:rPr>
      </w:pPr>
      <w:r>
        <w:rPr>
          <w:b/>
          <w:sz w:val="24"/>
          <w:szCs w:val="24"/>
        </w:rPr>
        <w:lastRenderedPageBreak/>
        <w:t xml:space="preserve">Art. 5.2.4. </w:t>
      </w:r>
      <w:r>
        <w:rPr>
          <w:sz w:val="24"/>
          <w:szCs w:val="24"/>
        </w:rPr>
        <w:t>Clădirile civile subterane şi încăperile acestora precum și porţiunile subterane (subsolurile) clădirilor civile (publice) supraterane vor avea stabilite și precizate riscurile de incendiu, precum și capacităţile maximum simultane de utilizatori.</w:t>
      </w:r>
    </w:p>
    <w:p w14:paraId="672D7CD2" w14:textId="77777777" w:rsidR="001C08A5" w:rsidRDefault="00000000">
      <w:pPr>
        <w:pStyle w:val="Heading3"/>
      </w:pPr>
      <w:bookmarkStart w:id="4997" w:name="_Toc162355340"/>
      <w:bookmarkStart w:id="4998" w:name="_Toc4398"/>
      <w:bookmarkStart w:id="4999" w:name="_Toc31350"/>
      <w:bookmarkStart w:id="5000" w:name="_Toc8195"/>
      <w:bookmarkStart w:id="5001" w:name="_Toc25769"/>
      <w:bookmarkStart w:id="5002" w:name="_Toc26707"/>
      <w:bookmarkStart w:id="5003" w:name="_Toc25757"/>
      <w:bookmarkStart w:id="5004" w:name="_Toc13697"/>
      <w:bookmarkStart w:id="5005" w:name="_Toc22118"/>
      <w:bookmarkStart w:id="5006" w:name="_Toc10523"/>
      <w:r>
        <w:t>5.3.  LIMITAREA PROPAGĂRII INCENDIILOR</w:t>
      </w:r>
      <w:bookmarkEnd w:id="4997"/>
      <w:bookmarkEnd w:id="4998"/>
      <w:bookmarkEnd w:id="4999"/>
      <w:bookmarkEnd w:id="5000"/>
      <w:bookmarkEnd w:id="5001"/>
      <w:bookmarkEnd w:id="5002"/>
      <w:bookmarkEnd w:id="5003"/>
      <w:bookmarkEnd w:id="5004"/>
      <w:bookmarkEnd w:id="5005"/>
      <w:bookmarkEnd w:id="5006"/>
    </w:p>
    <w:p w14:paraId="571A5F2D" w14:textId="77777777" w:rsidR="001C08A5" w:rsidRDefault="00000000">
      <w:pPr>
        <w:jc w:val="both"/>
        <w:rPr>
          <w:b/>
          <w:sz w:val="24"/>
          <w:szCs w:val="24"/>
        </w:rPr>
      </w:pPr>
      <w:r>
        <w:rPr>
          <w:sz w:val="24"/>
          <w:szCs w:val="24"/>
        </w:rPr>
        <w:tab/>
      </w:r>
    </w:p>
    <w:p w14:paraId="29C227DA" w14:textId="77777777" w:rsidR="001C08A5" w:rsidRDefault="00000000">
      <w:pPr>
        <w:ind w:firstLine="567"/>
        <w:jc w:val="both"/>
        <w:rPr>
          <w:sz w:val="24"/>
          <w:szCs w:val="24"/>
        </w:rPr>
      </w:pPr>
      <w:r>
        <w:rPr>
          <w:b/>
          <w:sz w:val="24"/>
          <w:szCs w:val="24"/>
        </w:rPr>
        <w:t xml:space="preserve">Art. 5.3.1. </w:t>
      </w:r>
      <w:r>
        <w:rPr>
          <w:sz w:val="24"/>
          <w:szCs w:val="24"/>
        </w:rPr>
        <w:t xml:space="preserve">Încăperile cu risc </w:t>
      </w:r>
      <w:r>
        <w:rPr>
          <w:bCs/>
          <w:sz w:val="24"/>
          <w:szCs w:val="24"/>
        </w:rPr>
        <w:t>mijlociu</w:t>
      </w:r>
      <w:r>
        <w:rPr>
          <w:sz w:val="24"/>
          <w:szCs w:val="24"/>
        </w:rPr>
        <w:t>, mare și foarte mare de incendiu din clădirile subterane independente precum și porţiunile subterane (subsolurile) clădirilor civile (publice) supraterane se separă de restul construcţiei prin pereţi și planşee rezistente la foc potrivit densităţii sarcinii termice (</w:t>
      </w:r>
      <w:r>
        <w:rPr>
          <w:b/>
          <w:sz w:val="24"/>
          <w:szCs w:val="24"/>
        </w:rPr>
        <w:t>q</w:t>
      </w:r>
      <w:r>
        <w:rPr>
          <w:sz w:val="24"/>
          <w:szCs w:val="24"/>
        </w:rPr>
        <w:t xml:space="preserve">) din spaţiile adiacente, corespunzător prevederilor din </w:t>
      </w:r>
      <w:r>
        <w:rPr>
          <w:b/>
          <w:sz w:val="24"/>
          <w:szCs w:val="24"/>
        </w:rPr>
        <w:t>Art.</w:t>
      </w:r>
      <w:r>
        <w:rPr>
          <w:b/>
          <w:bCs/>
          <w:sz w:val="24"/>
          <w:szCs w:val="24"/>
        </w:rPr>
        <w:t>2.3.1.2.</w:t>
      </w:r>
      <w:r>
        <w:rPr>
          <w:sz w:val="24"/>
          <w:szCs w:val="24"/>
        </w:rPr>
        <w:t xml:space="preserve"> şi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sz w:val="24"/>
          <w:szCs w:val="24"/>
        </w:rPr>
        <w:t xml:space="preserve"> </w:t>
      </w:r>
      <w:r>
        <w:rPr>
          <w:rStyle w:val="BodyTextChar"/>
          <w:iCs/>
        </w:rPr>
        <w:fldChar w:fldCharType="begin"/>
      </w:r>
      <w:r>
        <w:rPr>
          <w:rStyle w:val="BodyTextChar"/>
          <w:iCs/>
        </w:rPr>
        <w:instrText xml:space="preserve"> REF _Ref30927 \h </w:instrText>
      </w:r>
      <w:r>
        <w:rPr>
          <w:rStyle w:val="BodyTextChar"/>
          <w:iCs/>
        </w:rPr>
      </w:r>
      <w:r>
        <w:rPr>
          <w:rStyle w:val="BodyTextChar"/>
          <w:iCs/>
        </w:rPr>
        <w:fldChar w:fldCharType="separate"/>
      </w:r>
      <w:r>
        <w:rPr>
          <w:rStyle w:val="BodyTextChar"/>
          <w:iCs/>
        </w:rPr>
        <w:fldChar w:fldCharType="end"/>
      </w:r>
      <w:r>
        <w:rPr>
          <w:sz w:val="24"/>
          <w:szCs w:val="24"/>
        </w:rPr>
        <w:t xml:space="preserve">precum și prevederilor normativului. Golurile de circulaţie funcţională şi de evacuare din pereţii de compartimentare cu rezistenţa la foc de minimum </w:t>
      </w:r>
      <w:r>
        <w:rPr>
          <w:b/>
          <w:sz w:val="24"/>
          <w:szCs w:val="24"/>
        </w:rPr>
        <w:t>EI/REI</w:t>
      </w:r>
      <w:r>
        <w:rPr>
          <w:b/>
          <w:bCs/>
          <w:sz w:val="24"/>
          <w:szCs w:val="24"/>
        </w:rPr>
        <w:t xml:space="preserve"> 180</w:t>
      </w:r>
      <w:r>
        <w:rPr>
          <w:sz w:val="24"/>
          <w:szCs w:val="24"/>
        </w:rPr>
        <w:t xml:space="preserve"> se protejază cu încăperi tampon protejate, ventilate în suprapresiune şi echipate cu uşi rezistente la foc și etanșe la fum </w:t>
      </w:r>
      <w:r>
        <w:rPr>
          <w:b/>
          <w:bCs/>
          <w:sz w:val="24"/>
          <w:szCs w:val="24"/>
        </w:rPr>
        <w:t>EI</w:t>
      </w:r>
      <w:r>
        <w:rPr>
          <w:b/>
          <w:bCs/>
          <w:sz w:val="24"/>
          <w:szCs w:val="24"/>
          <w:vertAlign w:val="subscript"/>
        </w:rPr>
        <w:t>2</w:t>
      </w:r>
      <w:r>
        <w:rPr>
          <w:b/>
          <w:bCs/>
          <w:sz w:val="24"/>
          <w:szCs w:val="24"/>
        </w:rPr>
        <w:t>90-C5</w:t>
      </w:r>
      <w:r>
        <w:rPr>
          <w:b/>
          <w:sz w:val="24"/>
          <w:szCs w:val="24"/>
        </w:rPr>
        <w:t>S</w:t>
      </w:r>
      <w:r>
        <w:rPr>
          <w:b/>
          <w:bCs/>
          <w:sz w:val="24"/>
          <w:szCs w:val="24"/>
          <w:vertAlign w:val="subscript"/>
        </w:rPr>
        <w:t>200.</w:t>
      </w:r>
      <w:r>
        <w:rPr>
          <w:sz w:val="24"/>
          <w:szCs w:val="24"/>
        </w:rPr>
        <w:t xml:space="preserve"> Protecţia golurilor din pereţii de separare </w:t>
      </w:r>
      <w:r>
        <w:rPr>
          <w:b/>
          <w:sz w:val="24"/>
          <w:szCs w:val="24"/>
        </w:rPr>
        <w:t>EI/REI</w:t>
      </w:r>
      <w:r>
        <w:rPr>
          <w:b/>
          <w:bCs/>
          <w:sz w:val="24"/>
          <w:szCs w:val="24"/>
        </w:rPr>
        <w:t xml:space="preserve"> 60</w:t>
      </w:r>
      <w:r>
        <w:rPr>
          <w:sz w:val="24"/>
          <w:szCs w:val="24"/>
        </w:rPr>
        <w:t xml:space="preserve"> se asigură cu uşi </w:t>
      </w:r>
      <w:r>
        <w:rPr>
          <w:b/>
          <w:bCs/>
          <w:sz w:val="24"/>
          <w:szCs w:val="24"/>
        </w:rPr>
        <w:t>EI</w:t>
      </w:r>
      <w:r>
        <w:rPr>
          <w:b/>
          <w:bCs/>
          <w:sz w:val="24"/>
          <w:szCs w:val="24"/>
          <w:vertAlign w:val="subscript"/>
        </w:rPr>
        <w:t>2</w:t>
      </w:r>
      <w:r>
        <w:rPr>
          <w:b/>
          <w:bCs/>
          <w:sz w:val="24"/>
          <w:szCs w:val="24"/>
        </w:rPr>
        <w:t>45-C5</w:t>
      </w:r>
      <w:r>
        <w:rPr>
          <w:b/>
          <w:sz w:val="24"/>
          <w:szCs w:val="24"/>
        </w:rPr>
        <w:t>S</w:t>
      </w:r>
      <w:r>
        <w:rPr>
          <w:b/>
          <w:bCs/>
          <w:sz w:val="24"/>
          <w:szCs w:val="24"/>
          <w:vertAlign w:val="subscript"/>
        </w:rPr>
        <w:t xml:space="preserve">200 și </w:t>
      </w:r>
      <w:r>
        <w:rPr>
          <w:sz w:val="24"/>
          <w:szCs w:val="24"/>
        </w:rPr>
        <w:t xml:space="preserve">protecţia golurilor din pereţii de separare </w:t>
      </w:r>
      <w:r>
        <w:rPr>
          <w:b/>
          <w:sz w:val="24"/>
          <w:szCs w:val="24"/>
        </w:rPr>
        <w:t>EI/REI</w:t>
      </w:r>
      <w:r>
        <w:rPr>
          <w:b/>
          <w:bCs/>
          <w:sz w:val="24"/>
          <w:szCs w:val="24"/>
        </w:rPr>
        <w:t xml:space="preserve"> 120</w:t>
      </w:r>
      <w:r>
        <w:rPr>
          <w:sz w:val="24"/>
          <w:szCs w:val="24"/>
        </w:rPr>
        <w:t xml:space="preserve"> se asigură cu uşi rezistente la foc și etanșe la fum </w:t>
      </w:r>
      <w:r>
        <w:rPr>
          <w:b/>
          <w:bCs/>
          <w:sz w:val="24"/>
          <w:szCs w:val="24"/>
        </w:rPr>
        <w:t>EI</w:t>
      </w:r>
      <w:r>
        <w:rPr>
          <w:b/>
          <w:bCs/>
          <w:sz w:val="24"/>
          <w:szCs w:val="24"/>
          <w:vertAlign w:val="subscript"/>
        </w:rPr>
        <w:t>2</w:t>
      </w:r>
      <w:r>
        <w:rPr>
          <w:b/>
          <w:bCs/>
          <w:sz w:val="24"/>
          <w:szCs w:val="24"/>
        </w:rPr>
        <w:t>60-C5</w:t>
      </w:r>
      <w:r>
        <w:rPr>
          <w:b/>
          <w:sz w:val="24"/>
          <w:szCs w:val="24"/>
        </w:rPr>
        <w:t>S</w:t>
      </w:r>
      <w:r>
        <w:rPr>
          <w:b/>
          <w:bCs/>
          <w:sz w:val="24"/>
          <w:szCs w:val="24"/>
          <w:vertAlign w:val="subscript"/>
        </w:rPr>
        <w:t>200</w:t>
      </w:r>
      <w:r>
        <w:rPr>
          <w:sz w:val="24"/>
          <w:szCs w:val="24"/>
        </w:rPr>
        <w:t>.</w:t>
      </w:r>
    </w:p>
    <w:p w14:paraId="187F9C42" w14:textId="77777777" w:rsidR="001C08A5" w:rsidRDefault="001C08A5">
      <w:pPr>
        <w:jc w:val="both"/>
        <w:rPr>
          <w:sz w:val="24"/>
          <w:szCs w:val="24"/>
        </w:rPr>
      </w:pPr>
    </w:p>
    <w:p w14:paraId="729A3D15" w14:textId="77777777" w:rsidR="001C08A5" w:rsidRDefault="00000000">
      <w:pPr>
        <w:jc w:val="both"/>
        <w:rPr>
          <w:sz w:val="24"/>
          <w:szCs w:val="24"/>
        </w:rPr>
      </w:pPr>
      <w:r>
        <w:rPr>
          <w:b/>
          <w:sz w:val="24"/>
          <w:szCs w:val="24"/>
        </w:rPr>
        <w:tab/>
        <w:t xml:space="preserve">Art. 5.3.2. (1) </w:t>
      </w:r>
      <w:r>
        <w:rPr>
          <w:sz w:val="24"/>
          <w:szCs w:val="24"/>
        </w:rPr>
        <w:t>Casele de scări şi puţurile pentru ascensoare sau alte sisteme de transport pe verticală, inclusiv încăperile pentru maşinile aferente acestora dispuse în clădirile civile subterane independente, se separă de restul construcţiei cu pereţi şi planşee rezistente la foc corespunzător densităţii sarcinii termice (</w:t>
      </w:r>
      <w:r>
        <w:rPr>
          <w:b/>
          <w:sz w:val="24"/>
          <w:szCs w:val="24"/>
        </w:rPr>
        <w:t>q</w:t>
      </w:r>
      <w:r>
        <w:rPr>
          <w:sz w:val="24"/>
          <w:szCs w:val="24"/>
        </w:rPr>
        <w:t xml:space="preserve">) și a destinaţiei spaţiilor adiacente respective, dar minimum </w:t>
      </w:r>
      <w:r>
        <w:rPr>
          <w:b/>
          <w:sz w:val="24"/>
          <w:szCs w:val="24"/>
        </w:rPr>
        <w:t>EI/REI 120</w:t>
      </w:r>
      <w:r>
        <w:rPr>
          <w:sz w:val="24"/>
          <w:szCs w:val="24"/>
        </w:rPr>
        <w:t xml:space="preserve"> pentru pereţi şi respectiv </w:t>
      </w:r>
      <w:r>
        <w:rPr>
          <w:b/>
          <w:sz w:val="24"/>
          <w:szCs w:val="24"/>
        </w:rPr>
        <w:t xml:space="preserve">REI 90 </w:t>
      </w:r>
      <w:r>
        <w:rPr>
          <w:sz w:val="24"/>
          <w:szCs w:val="24"/>
        </w:rPr>
        <w:t>pentru planşee.</w:t>
      </w:r>
    </w:p>
    <w:p w14:paraId="222635CF" w14:textId="77777777" w:rsidR="001C08A5" w:rsidRDefault="00000000">
      <w:pPr>
        <w:ind w:firstLine="720"/>
        <w:jc w:val="both"/>
        <w:rPr>
          <w:b/>
          <w:sz w:val="24"/>
          <w:szCs w:val="24"/>
        </w:rPr>
      </w:pPr>
      <w:r>
        <w:rPr>
          <w:b/>
          <w:sz w:val="24"/>
          <w:szCs w:val="24"/>
        </w:rPr>
        <w:t xml:space="preserve">(2) </w:t>
      </w:r>
      <w:r>
        <w:rPr>
          <w:sz w:val="24"/>
          <w:szCs w:val="24"/>
        </w:rPr>
        <w:t xml:space="preserve">Golurile de acces la puţurile pentru ascensoare sau alte sisteme de transport pe verticală și la încăperile menționate la </w:t>
      </w:r>
      <w:r>
        <w:rPr>
          <w:b/>
          <w:sz w:val="24"/>
          <w:szCs w:val="24"/>
        </w:rPr>
        <w:t>alin. (1)</w:t>
      </w:r>
      <w:r>
        <w:rPr>
          <w:sz w:val="24"/>
          <w:szCs w:val="24"/>
        </w:rPr>
        <w:t xml:space="preserve">, precum și la casele de scări închise se protejează cu uşi rezistente la foc și etanșe la fum </w:t>
      </w:r>
      <w:r>
        <w:rPr>
          <w:b/>
          <w:bCs/>
          <w:sz w:val="24"/>
          <w:szCs w:val="24"/>
        </w:rPr>
        <w:t>EI</w:t>
      </w:r>
      <w:r>
        <w:rPr>
          <w:b/>
          <w:bCs/>
          <w:sz w:val="24"/>
          <w:szCs w:val="24"/>
          <w:vertAlign w:val="subscript"/>
        </w:rPr>
        <w:t>2</w:t>
      </w:r>
      <w:r>
        <w:rPr>
          <w:b/>
          <w:bCs/>
          <w:sz w:val="24"/>
          <w:szCs w:val="24"/>
        </w:rPr>
        <w:t>90-C5</w:t>
      </w:r>
      <w:r>
        <w:rPr>
          <w:b/>
          <w:sz w:val="24"/>
          <w:szCs w:val="24"/>
        </w:rPr>
        <w:t>S</w:t>
      </w:r>
      <w:r>
        <w:rPr>
          <w:b/>
          <w:bCs/>
          <w:sz w:val="24"/>
          <w:szCs w:val="24"/>
          <w:vertAlign w:val="subscript"/>
        </w:rPr>
        <w:t>200</w:t>
      </w:r>
      <w:r>
        <w:rPr>
          <w:sz w:val="24"/>
          <w:szCs w:val="24"/>
        </w:rPr>
        <w:t xml:space="preserve"> sau încăperi tampon protejate, ventilate în suprapresiune şi prevăzute cu uşi rezistente la foc și etanșe la fum </w:t>
      </w:r>
      <w:r>
        <w:rPr>
          <w:b/>
          <w:bCs/>
          <w:sz w:val="24"/>
          <w:szCs w:val="24"/>
        </w:rPr>
        <w:t>EI</w:t>
      </w:r>
      <w:r>
        <w:rPr>
          <w:b/>
          <w:bCs/>
          <w:sz w:val="24"/>
          <w:szCs w:val="24"/>
          <w:vertAlign w:val="subscript"/>
        </w:rPr>
        <w:t>2</w:t>
      </w:r>
      <w:r>
        <w:rPr>
          <w:b/>
          <w:bCs/>
          <w:sz w:val="24"/>
          <w:szCs w:val="24"/>
        </w:rPr>
        <w:t>45-C5</w:t>
      </w:r>
      <w:r>
        <w:rPr>
          <w:b/>
          <w:sz w:val="24"/>
          <w:szCs w:val="24"/>
        </w:rPr>
        <w:t>S</w:t>
      </w:r>
      <w:r>
        <w:rPr>
          <w:b/>
          <w:bCs/>
          <w:sz w:val="24"/>
          <w:szCs w:val="24"/>
          <w:vertAlign w:val="subscript"/>
        </w:rPr>
        <w:t>200</w:t>
      </w:r>
      <w:r>
        <w:rPr>
          <w:sz w:val="24"/>
          <w:szCs w:val="24"/>
        </w:rPr>
        <w:t>.</w:t>
      </w:r>
    </w:p>
    <w:p w14:paraId="2EEAFE52" w14:textId="77777777" w:rsidR="001C08A5" w:rsidRDefault="00000000">
      <w:pPr>
        <w:pStyle w:val="Heading3"/>
      </w:pPr>
      <w:bookmarkStart w:id="5007" w:name="_Toc32206"/>
      <w:bookmarkStart w:id="5008" w:name="_Toc21909"/>
      <w:bookmarkStart w:id="5009" w:name="_Toc162355341"/>
      <w:bookmarkStart w:id="5010" w:name="_Toc30385"/>
      <w:bookmarkStart w:id="5011" w:name="_Toc12526"/>
      <w:bookmarkStart w:id="5012" w:name="_Toc2844"/>
      <w:bookmarkStart w:id="5013" w:name="_Toc3348"/>
      <w:bookmarkStart w:id="5014" w:name="_Toc16387"/>
      <w:bookmarkStart w:id="5015" w:name="_Toc5683"/>
      <w:bookmarkStart w:id="5016" w:name="_Toc4992"/>
      <w:r>
        <w:t>5.4. ALCĂTUIRI CONSTRUCTIVE</w:t>
      </w:r>
      <w:bookmarkEnd w:id="5007"/>
      <w:bookmarkEnd w:id="5008"/>
      <w:bookmarkEnd w:id="5009"/>
      <w:bookmarkEnd w:id="5010"/>
      <w:bookmarkEnd w:id="5011"/>
      <w:bookmarkEnd w:id="5012"/>
      <w:bookmarkEnd w:id="5013"/>
      <w:bookmarkEnd w:id="5014"/>
      <w:bookmarkEnd w:id="5015"/>
      <w:bookmarkEnd w:id="5016"/>
    </w:p>
    <w:p w14:paraId="082B6B81" w14:textId="77777777" w:rsidR="001C08A5" w:rsidRDefault="001C08A5">
      <w:pPr>
        <w:jc w:val="both"/>
        <w:rPr>
          <w:b/>
          <w:sz w:val="24"/>
          <w:szCs w:val="24"/>
        </w:rPr>
      </w:pPr>
    </w:p>
    <w:p w14:paraId="04C7F3EE" w14:textId="77777777" w:rsidR="001C08A5" w:rsidRDefault="00000000">
      <w:pPr>
        <w:ind w:firstLine="567"/>
        <w:jc w:val="both"/>
        <w:rPr>
          <w:sz w:val="24"/>
          <w:szCs w:val="24"/>
        </w:rPr>
      </w:pPr>
      <w:r>
        <w:rPr>
          <w:b/>
          <w:sz w:val="24"/>
          <w:szCs w:val="24"/>
        </w:rPr>
        <w:t xml:space="preserve">Art. 5.4.1. </w:t>
      </w:r>
      <w:r>
        <w:rPr>
          <w:sz w:val="24"/>
          <w:szCs w:val="24"/>
        </w:rPr>
        <w:t>Încăperile și spaţiile tehnice aferente dispuse în clădirile subterane independente vor fi proiectate, realizate şi utilizate în conformitate cu prevederile normativului, ale normativului specific (Normativ de proiectare a construcţiilor publice subterane NP 25) și reglementărilor tehnice de specialitate, asigurându-se condiţiile tehnice care să evite iniţierea incendiilor și propagarea uşoară a fumului şi a focului.</w:t>
      </w:r>
    </w:p>
    <w:p w14:paraId="05E5B08E" w14:textId="77777777" w:rsidR="001C08A5" w:rsidRDefault="00000000">
      <w:pPr>
        <w:ind w:firstLine="567"/>
        <w:jc w:val="both"/>
        <w:rPr>
          <w:b/>
          <w:sz w:val="24"/>
          <w:szCs w:val="24"/>
        </w:rPr>
      </w:pPr>
      <w:r>
        <w:rPr>
          <w:sz w:val="24"/>
          <w:szCs w:val="24"/>
        </w:rPr>
        <w:tab/>
      </w:r>
      <w:r>
        <w:rPr>
          <w:sz w:val="24"/>
          <w:szCs w:val="24"/>
        </w:rPr>
        <w:tab/>
      </w:r>
    </w:p>
    <w:p w14:paraId="57B2E8D0" w14:textId="77777777" w:rsidR="001C08A5" w:rsidRDefault="00000000">
      <w:pPr>
        <w:ind w:firstLine="567"/>
        <w:jc w:val="both"/>
        <w:rPr>
          <w:strike/>
          <w:sz w:val="24"/>
          <w:szCs w:val="24"/>
        </w:rPr>
      </w:pPr>
      <w:r>
        <w:rPr>
          <w:b/>
          <w:sz w:val="24"/>
          <w:szCs w:val="24"/>
        </w:rPr>
        <w:t xml:space="preserve">Art. 5.4.2. </w:t>
      </w:r>
      <w:r>
        <w:rPr>
          <w:bCs/>
          <w:sz w:val="24"/>
          <w:szCs w:val="24"/>
        </w:rPr>
        <w:t>Produsele</w:t>
      </w:r>
      <w:r>
        <w:rPr>
          <w:sz w:val="24"/>
          <w:szCs w:val="24"/>
        </w:rPr>
        <w:t xml:space="preserve"> de construcţie utilizate la clădirile civile subterane independente vor fi din clasa de reacţie la foc </w:t>
      </w:r>
      <w:r>
        <w:rPr>
          <w:b/>
          <w:sz w:val="24"/>
          <w:szCs w:val="24"/>
        </w:rPr>
        <w:t>A1</w:t>
      </w:r>
      <w:r>
        <w:rPr>
          <w:sz w:val="24"/>
          <w:szCs w:val="24"/>
        </w:rPr>
        <w:t xml:space="preserve">, </w:t>
      </w:r>
      <w:r>
        <w:rPr>
          <w:b/>
          <w:sz w:val="24"/>
          <w:szCs w:val="24"/>
        </w:rPr>
        <w:t>A2-s1d0</w:t>
      </w:r>
      <w:r>
        <w:rPr>
          <w:sz w:val="24"/>
          <w:szCs w:val="24"/>
        </w:rPr>
        <w:t>.</w:t>
      </w:r>
    </w:p>
    <w:p w14:paraId="059A5A5E" w14:textId="77777777" w:rsidR="001C08A5" w:rsidRDefault="001C08A5">
      <w:pPr>
        <w:ind w:firstLine="567"/>
        <w:jc w:val="both"/>
        <w:rPr>
          <w:sz w:val="24"/>
          <w:szCs w:val="24"/>
        </w:rPr>
      </w:pPr>
    </w:p>
    <w:p w14:paraId="0D8983B8" w14:textId="77777777" w:rsidR="001C08A5" w:rsidRDefault="00000000">
      <w:pPr>
        <w:ind w:firstLine="567"/>
        <w:jc w:val="both"/>
        <w:rPr>
          <w:sz w:val="24"/>
          <w:szCs w:val="24"/>
        </w:rPr>
      </w:pPr>
      <w:r>
        <w:rPr>
          <w:b/>
          <w:sz w:val="24"/>
          <w:szCs w:val="24"/>
        </w:rPr>
        <w:t xml:space="preserve">Art. 5.4.3. </w:t>
      </w:r>
      <w:r>
        <w:rPr>
          <w:b/>
          <w:bCs/>
          <w:sz w:val="24"/>
          <w:szCs w:val="24"/>
        </w:rPr>
        <w:t>(1)</w:t>
      </w:r>
      <w:r>
        <w:rPr>
          <w:sz w:val="24"/>
          <w:szCs w:val="24"/>
        </w:rPr>
        <w:t xml:space="preserve"> Finisajele, tratamentele termice și acustice din clădirile civile subterane independente vor fi din clasa de reacţie la foc </w:t>
      </w:r>
      <w:r>
        <w:rPr>
          <w:b/>
          <w:sz w:val="24"/>
          <w:szCs w:val="24"/>
        </w:rPr>
        <w:t>A1</w:t>
      </w:r>
      <w:r>
        <w:rPr>
          <w:sz w:val="24"/>
          <w:szCs w:val="24"/>
        </w:rPr>
        <w:t xml:space="preserve"> sau </w:t>
      </w:r>
      <w:r>
        <w:rPr>
          <w:b/>
          <w:sz w:val="24"/>
          <w:szCs w:val="24"/>
        </w:rPr>
        <w:t xml:space="preserve">A2-s1d0 </w:t>
      </w:r>
      <w:r>
        <w:rPr>
          <w:sz w:val="24"/>
          <w:szCs w:val="24"/>
        </w:rPr>
        <w:t xml:space="preserve">(inclusiv scheletul lor de susţinere sau montare). </w:t>
      </w:r>
    </w:p>
    <w:p w14:paraId="6F8EECD4" w14:textId="77777777" w:rsidR="001C08A5" w:rsidRDefault="00000000">
      <w:pPr>
        <w:ind w:firstLine="720"/>
        <w:jc w:val="both"/>
        <w:rPr>
          <w:sz w:val="24"/>
          <w:szCs w:val="24"/>
        </w:rPr>
      </w:pPr>
      <w:r>
        <w:rPr>
          <w:b/>
          <w:bCs/>
          <w:sz w:val="24"/>
          <w:szCs w:val="24"/>
        </w:rPr>
        <w:t xml:space="preserve">(2) </w:t>
      </w:r>
      <w:r>
        <w:rPr>
          <w:sz w:val="24"/>
          <w:szCs w:val="24"/>
        </w:rPr>
        <w:t>Plafoanele autoportante sau suspendate din clădirile subterane vor fi rezistente la foc</w:t>
      </w:r>
      <w:r>
        <w:rPr>
          <w:b/>
          <w:sz w:val="24"/>
          <w:szCs w:val="24"/>
        </w:rPr>
        <w:t xml:space="preserve"> EI 45 (a</w:t>
      </w:r>
      <w:r>
        <w:rPr>
          <w:sz w:val="24"/>
          <w:szCs w:val="24"/>
        </w:rPr>
        <w:t>↔</w:t>
      </w:r>
      <w:r>
        <w:rPr>
          <w:b/>
          <w:sz w:val="24"/>
          <w:szCs w:val="24"/>
        </w:rPr>
        <w:t>b)</w:t>
      </w:r>
      <w:r>
        <w:rPr>
          <w:b/>
          <w:bCs/>
          <w:sz w:val="24"/>
          <w:szCs w:val="24"/>
        </w:rPr>
        <w:t>.</w:t>
      </w:r>
    </w:p>
    <w:p w14:paraId="592069B0" w14:textId="77777777" w:rsidR="001C08A5" w:rsidRDefault="00000000">
      <w:pPr>
        <w:ind w:firstLine="720"/>
        <w:jc w:val="both"/>
        <w:rPr>
          <w:sz w:val="24"/>
          <w:szCs w:val="24"/>
        </w:rPr>
      </w:pPr>
      <w:r>
        <w:rPr>
          <w:b/>
          <w:bCs/>
          <w:sz w:val="24"/>
          <w:szCs w:val="24"/>
        </w:rPr>
        <w:t>(3)</w:t>
      </w:r>
      <w:r>
        <w:rPr>
          <w:sz w:val="24"/>
          <w:szCs w:val="24"/>
        </w:rPr>
        <w:t xml:space="preserve"> Continuitatea spaţiului dintre plafonul suspendat și planşeul de rezistenţă va fi întrerupt cu diafragme continue minimum </w:t>
      </w:r>
      <w:r>
        <w:rPr>
          <w:b/>
          <w:sz w:val="24"/>
          <w:szCs w:val="24"/>
        </w:rPr>
        <w:t>DH 30</w:t>
      </w:r>
      <w:r>
        <w:rPr>
          <w:sz w:val="24"/>
          <w:szCs w:val="24"/>
        </w:rPr>
        <w:t xml:space="preserve">, dispuse la maximum </w:t>
      </w:r>
      <w:r>
        <w:rPr>
          <w:b/>
          <w:bCs/>
          <w:sz w:val="24"/>
          <w:szCs w:val="24"/>
        </w:rPr>
        <w:t>30 m</w:t>
      </w:r>
      <w:r>
        <w:rPr>
          <w:sz w:val="24"/>
          <w:szCs w:val="24"/>
        </w:rPr>
        <w:t xml:space="preserve"> pe două direcţii perpendiculare,  atunci când spațiul dintre plafonul suspendat și planşeul de rezistenţă nu este echipat cu instalație automată de stingere cu sprinklere. În toate cazurile se vor avea în vedere prevederile </w:t>
      </w:r>
      <w:r>
        <w:rPr>
          <w:b/>
          <w:bCs/>
          <w:sz w:val="24"/>
          <w:szCs w:val="24"/>
        </w:rPr>
        <w:t>Art. 8.1.2.</w:t>
      </w:r>
    </w:p>
    <w:p w14:paraId="4B837BB3" w14:textId="77777777" w:rsidR="001C08A5" w:rsidRDefault="001C08A5">
      <w:pPr>
        <w:jc w:val="both"/>
        <w:rPr>
          <w:b/>
          <w:sz w:val="24"/>
          <w:szCs w:val="24"/>
        </w:rPr>
      </w:pPr>
    </w:p>
    <w:p w14:paraId="0E2D580C" w14:textId="77777777" w:rsidR="001C08A5" w:rsidRDefault="00000000">
      <w:pPr>
        <w:pStyle w:val="Heading3"/>
      </w:pPr>
      <w:bookmarkStart w:id="5017" w:name="_Toc26329"/>
      <w:bookmarkStart w:id="5018" w:name="_Toc162355342"/>
      <w:bookmarkStart w:id="5019" w:name="_Toc30574"/>
      <w:bookmarkStart w:id="5020" w:name="_Toc14916"/>
      <w:bookmarkStart w:id="5021" w:name="_Toc16627"/>
      <w:bookmarkStart w:id="5022" w:name="_Toc1524"/>
      <w:bookmarkStart w:id="5023" w:name="_Toc28737"/>
      <w:bookmarkStart w:id="5024" w:name="_Toc10903"/>
      <w:bookmarkStart w:id="5025" w:name="_Toc26332"/>
      <w:bookmarkStart w:id="5026" w:name="_Toc26438"/>
      <w:r>
        <w:t>5.5. CĂI DE EVACUARE A UTILIZATORILOR ÎN CAZ DE INCENDIU</w:t>
      </w:r>
      <w:bookmarkEnd w:id="5017"/>
      <w:bookmarkEnd w:id="5018"/>
      <w:bookmarkEnd w:id="5019"/>
      <w:bookmarkEnd w:id="5020"/>
      <w:bookmarkEnd w:id="5021"/>
      <w:bookmarkEnd w:id="5022"/>
      <w:bookmarkEnd w:id="5023"/>
      <w:bookmarkEnd w:id="5024"/>
      <w:bookmarkEnd w:id="5025"/>
      <w:bookmarkEnd w:id="5026"/>
    </w:p>
    <w:p w14:paraId="7C978BEA" w14:textId="77777777" w:rsidR="001C08A5" w:rsidRDefault="001C08A5">
      <w:pPr>
        <w:jc w:val="both"/>
        <w:rPr>
          <w:b/>
          <w:sz w:val="24"/>
          <w:szCs w:val="24"/>
        </w:rPr>
      </w:pPr>
    </w:p>
    <w:p w14:paraId="5CDF7BC1" w14:textId="77777777" w:rsidR="001C08A5" w:rsidRDefault="00000000">
      <w:pPr>
        <w:jc w:val="both"/>
        <w:rPr>
          <w:sz w:val="24"/>
          <w:szCs w:val="24"/>
        </w:rPr>
      </w:pPr>
      <w:r>
        <w:rPr>
          <w:b/>
          <w:sz w:val="24"/>
          <w:szCs w:val="24"/>
        </w:rPr>
        <w:lastRenderedPageBreak/>
        <w:tab/>
        <w:t xml:space="preserve">Art. 5.5.1. </w:t>
      </w:r>
      <w:r>
        <w:rPr>
          <w:sz w:val="24"/>
          <w:szCs w:val="24"/>
        </w:rPr>
        <w:t>Căile prevăzute pentru circulaţia funcţională precum și de evacuare din clădirile civile subterane independente vor fi alcătuite şi dimensionate astfel încât să îndeplinească condiţiile necesare asigurării evacuării utilizatorilor în caz de incendiu, potrivit prevederilor normativului şi reglementărilor tehnice aplicabile.</w:t>
      </w:r>
    </w:p>
    <w:p w14:paraId="049B7CC0" w14:textId="77777777" w:rsidR="001C08A5" w:rsidRDefault="001C08A5">
      <w:pPr>
        <w:jc w:val="both"/>
        <w:rPr>
          <w:sz w:val="24"/>
          <w:szCs w:val="24"/>
        </w:rPr>
      </w:pPr>
    </w:p>
    <w:p w14:paraId="5C0D78DC" w14:textId="77777777" w:rsidR="001C08A5" w:rsidRDefault="00000000">
      <w:pPr>
        <w:jc w:val="both"/>
        <w:rPr>
          <w:b/>
          <w:sz w:val="24"/>
          <w:szCs w:val="24"/>
        </w:rPr>
      </w:pPr>
      <w:r>
        <w:rPr>
          <w:b/>
          <w:sz w:val="24"/>
          <w:szCs w:val="24"/>
        </w:rPr>
        <w:tab/>
        <w:t xml:space="preserve">Art. 5.5.2. </w:t>
      </w:r>
      <w:r>
        <w:rPr>
          <w:sz w:val="24"/>
          <w:szCs w:val="24"/>
        </w:rPr>
        <w:t xml:space="preserve">Căile de circulaţie funcţională și de evacuare a utilizatorilor în caz de incendiu se separă de restul clădirii civile subterane conform prevederilor din </w:t>
      </w:r>
      <w:r>
        <w:rPr>
          <w:b/>
          <w:bCs/>
          <w:i/>
          <w:iCs/>
          <w:sz w:val="24"/>
          <w:szCs w:val="24"/>
        </w:rPr>
        <w:fldChar w:fldCharType="begin"/>
      </w:r>
      <w:r>
        <w:rPr>
          <w:b/>
          <w:bCs/>
          <w:i/>
          <w:iCs/>
          <w:sz w:val="24"/>
          <w:szCs w:val="24"/>
        </w:rPr>
        <w:instrText xml:space="preserve"> REF _Ref26907 \h </w:instrText>
      </w:r>
      <w:r>
        <w:rPr>
          <w:b/>
          <w:bCs/>
          <w:i/>
          <w:iCs/>
          <w:sz w:val="24"/>
          <w:szCs w:val="24"/>
        </w:rPr>
      </w:r>
      <w:r>
        <w:rPr>
          <w:b/>
          <w:bCs/>
          <w:i/>
          <w:iCs/>
          <w:sz w:val="24"/>
          <w:szCs w:val="24"/>
        </w:rPr>
        <w:fldChar w:fldCharType="separate"/>
      </w:r>
      <w:r>
        <w:t>Tabelul 112</w:t>
      </w:r>
      <w:r>
        <w:rPr>
          <w:b/>
          <w:bCs/>
          <w:i/>
          <w:iCs/>
          <w:sz w:val="24"/>
          <w:szCs w:val="24"/>
        </w:rPr>
        <w:fldChar w:fldCharType="end"/>
      </w:r>
      <w:r>
        <w:rPr>
          <w:b/>
          <w:sz w:val="24"/>
          <w:szCs w:val="24"/>
        </w:rPr>
        <w:t xml:space="preserve">. </w:t>
      </w:r>
    </w:p>
    <w:p w14:paraId="0BE28916" w14:textId="77777777" w:rsidR="001C08A5" w:rsidRDefault="001C08A5">
      <w:pPr>
        <w:jc w:val="both"/>
        <w:rPr>
          <w:sz w:val="24"/>
          <w:szCs w:val="24"/>
        </w:rPr>
      </w:pPr>
    </w:p>
    <w:p w14:paraId="0CB1B975" w14:textId="77777777" w:rsidR="001C08A5" w:rsidRDefault="00000000">
      <w:pPr>
        <w:pStyle w:val="Captiontabel"/>
      </w:pPr>
      <w:bookmarkStart w:id="5027" w:name="_Ref26907"/>
      <w:bookmarkStart w:id="5028" w:name="_Toc162360162"/>
      <w:r>
        <w:t xml:space="preserve">Tabelul </w:t>
      </w:r>
      <w:r>
        <w:fldChar w:fldCharType="begin"/>
      </w:r>
      <w:r>
        <w:instrText xml:space="preserve"> SEQ Tabelul \* ARABIC </w:instrText>
      </w:r>
      <w:r>
        <w:fldChar w:fldCharType="separate"/>
      </w:r>
      <w:r>
        <w:t>112</w:t>
      </w:r>
      <w:r>
        <w:fldChar w:fldCharType="end"/>
      </w:r>
      <w:bookmarkStart w:id="5029" w:name="_Toc5182"/>
      <w:bookmarkStart w:id="5030" w:name="_Toc10031"/>
      <w:bookmarkStart w:id="5031" w:name="_Toc32222"/>
      <w:bookmarkStart w:id="5032" w:name="_Toc7192"/>
      <w:bookmarkStart w:id="5033" w:name="_Toc25381"/>
      <w:bookmarkStart w:id="5034" w:name="_Toc27947"/>
      <w:bookmarkStart w:id="5035" w:name="_Toc11932"/>
      <w:bookmarkStart w:id="5036" w:name="_Toc9277"/>
      <w:bookmarkStart w:id="5037" w:name="_Toc8181"/>
      <w:bookmarkStart w:id="5038" w:name="_Toc18560"/>
      <w:bookmarkStart w:id="5039" w:name="_Toc11750"/>
      <w:bookmarkStart w:id="5040" w:name="_Toc18706"/>
      <w:bookmarkStart w:id="5041" w:name="_Toc2664"/>
      <w:bookmarkStart w:id="5042" w:name="_Toc6110"/>
      <w:bookmarkStart w:id="5043" w:name="_Toc9012"/>
      <w:bookmarkStart w:id="5044" w:name="_Toc3246"/>
      <w:bookmarkStart w:id="5045" w:name="_Toc17663"/>
      <w:bookmarkStart w:id="5046" w:name="_Toc31722"/>
      <w:bookmarkStart w:id="5047" w:name="_Toc26178"/>
      <w:bookmarkEnd w:id="5027"/>
      <w:r>
        <w:t>: Separare a căilor de circulaţie funcţională şi de evacuare a utilizatorilor clădirilor subterane</w:t>
      </w:r>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p>
    <w:p w14:paraId="19247447" w14:textId="77777777" w:rsidR="001C08A5" w:rsidRDefault="001C08A5">
      <w:pPr>
        <w:pStyle w:val="BodyText"/>
      </w:pPr>
    </w:p>
    <w:tbl>
      <w:tblPr>
        <w:tblW w:w="4947" w:type="pct"/>
        <w:tblLayout w:type="fixed"/>
        <w:tblLook w:val="04A0" w:firstRow="1" w:lastRow="0" w:firstColumn="1" w:lastColumn="0" w:noHBand="0" w:noVBand="1"/>
      </w:tblPr>
      <w:tblGrid>
        <w:gridCol w:w="1847"/>
        <w:gridCol w:w="1375"/>
        <w:gridCol w:w="1362"/>
        <w:gridCol w:w="1201"/>
        <w:gridCol w:w="1302"/>
        <w:gridCol w:w="1317"/>
        <w:gridCol w:w="1113"/>
      </w:tblGrid>
      <w:tr w:rsidR="001C08A5" w14:paraId="4026516D" w14:textId="77777777">
        <w:trPr>
          <w:tblHeader/>
        </w:trPr>
        <w:tc>
          <w:tcPr>
            <w:tcW w:w="970" w:type="pct"/>
            <w:vMerge w:val="restart"/>
            <w:tcBorders>
              <w:top w:val="single" w:sz="4" w:space="0" w:color="000000"/>
              <w:left w:val="single" w:sz="8" w:space="0" w:color="000000"/>
            </w:tcBorders>
            <w:shd w:val="clear" w:color="auto" w:fill="D9D9D9"/>
            <w:vAlign w:val="center"/>
          </w:tcPr>
          <w:p w14:paraId="268D992B" w14:textId="77777777" w:rsidR="001C08A5" w:rsidRDefault="00000000">
            <w:pPr>
              <w:snapToGrid w:val="0"/>
              <w:spacing w:line="276" w:lineRule="auto"/>
              <w:jc w:val="center"/>
              <w:rPr>
                <w:b/>
                <w:i/>
                <w:iCs/>
                <w:sz w:val="22"/>
                <w:szCs w:val="22"/>
              </w:rPr>
            </w:pPr>
            <w:r>
              <w:rPr>
                <w:b/>
                <w:i/>
                <w:iCs/>
                <w:sz w:val="22"/>
                <w:szCs w:val="22"/>
              </w:rPr>
              <w:t>Nivel de stabilitate la incendiu al clădirii civile subterane</w:t>
            </w:r>
          </w:p>
        </w:tc>
        <w:tc>
          <w:tcPr>
            <w:tcW w:w="4029" w:type="pct"/>
            <w:gridSpan w:val="6"/>
            <w:tcBorders>
              <w:top w:val="single" w:sz="4" w:space="0" w:color="000000"/>
              <w:left w:val="single" w:sz="4" w:space="0" w:color="000000"/>
              <w:bottom w:val="single" w:sz="8" w:space="0" w:color="000000"/>
              <w:right w:val="single" w:sz="8" w:space="0" w:color="000000"/>
            </w:tcBorders>
            <w:shd w:val="clear" w:color="auto" w:fill="D9D9D9"/>
            <w:vAlign w:val="center"/>
          </w:tcPr>
          <w:p w14:paraId="2139C424" w14:textId="77777777" w:rsidR="001C08A5" w:rsidRDefault="00000000">
            <w:pPr>
              <w:spacing w:line="276" w:lineRule="auto"/>
              <w:jc w:val="center"/>
              <w:rPr>
                <w:b/>
                <w:i/>
                <w:iCs/>
                <w:sz w:val="22"/>
                <w:szCs w:val="22"/>
              </w:rPr>
            </w:pPr>
            <w:r>
              <w:rPr>
                <w:b/>
                <w:i/>
                <w:iCs/>
                <w:sz w:val="22"/>
                <w:szCs w:val="22"/>
              </w:rPr>
              <w:t>Rezistenţă şi reacţie la foc a elementelor despărţitoare (minute)</w:t>
            </w:r>
          </w:p>
        </w:tc>
      </w:tr>
      <w:tr w:rsidR="001C08A5" w14:paraId="3FFC9F9D" w14:textId="77777777">
        <w:trPr>
          <w:tblHeader/>
        </w:trPr>
        <w:tc>
          <w:tcPr>
            <w:tcW w:w="970" w:type="pct"/>
            <w:vMerge/>
            <w:tcBorders>
              <w:left w:val="single" w:sz="8" w:space="0" w:color="000000"/>
            </w:tcBorders>
            <w:shd w:val="clear" w:color="auto" w:fill="D9D9D9"/>
            <w:vAlign w:val="center"/>
          </w:tcPr>
          <w:p w14:paraId="190E8CDB" w14:textId="77777777" w:rsidR="001C08A5" w:rsidRDefault="001C08A5">
            <w:pPr>
              <w:snapToGrid w:val="0"/>
              <w:spacing w:line="276" w:lineRule="auto"/>
              <w:jc w:val="center"/>
              <w:rPr>
                <w:b/>
                <w:i/>
                <w:iCs/>
                <w:sz w:val="22"/>
                <w:szCs w:val="22"/>
              </w:rPr>
            </w:pPr>
          </w:p>
        </w:tc>
        <w:tc>
          <w:tcPr>
            <w:tcW w:w="2068" w:type="pct"/>
            <w:gridSpan w:val="3"/>
            <w:tcBorders>
              <w:top w:val="single" w:sz="4" w:space="0" w:color="000000"/>
              <w:left w:val="single" w:sz="4" w:space="0" w:color="000000"/>
              <w:bottom w:val="single" w:sz="8" w:space="0" w:color="000000"/>
            </w:tcBorders>
            <w:shd w:val="clear" w:color="auto" w:fill="D9D9D9"/>
            <w:vAlign w:val="center"/>
          </w:tcPr>
          <w:p w14:paraId="5E3E6142" w14:textId="77777777" w:rsidR="001C08A5" w:rsidRDefault="00000000">
            <w:pPr>
              <w:spacing w:line="276" w:lineRule="auto"/>
              <w:jc w:val="center"/>
              <w:rPr>
                <w:b/>
                <w:i/>
                <w:iCs/>
                <w:sz w:val="22"/>
                <w:szCs w:val="22"/>
              </w:rPr>
            </w:pPr>
            <w:r>
              <w:rPr>
                <w:b/>
                <w:i/>
                <w:iCs/>
                <w:sz w:val="22"/>
                <w:szCs w:val="22"/>
              </w:rPr>
              <w:t>coridoare, holuri,</w:t>
            </w:r>
          </w:p>
        </w:tc>
        <w:tc>
          <w:tcPr>
            <w:tcW w:w="1960" w:type="pct"/>
            <w:gridSpan w:val="3"/>
            <w:tcBorders>
              <w:top w:val="single" w:sz="4" w:space="0" w:color="000000"/>
              <w:left w:val="single" w:sz="4" w:space="0" w:color="000000"/>
              <w:bottom w:val="single" w:sz="8" w:space="0" w:color="000000"/>
              <w:right w:val="single" w:sz="8" w:space="0" w:color="000000"/>
            </w:tcBorders>
            <w:shd w:val="clear" w:color="auto" w:fill="D9D9D9"/>
            <w:vAlign w:val="center"/>
          </w:tcPr>
          <w:p w14:paraId="1A26078E" w14:textId="77777777" w:rsidR="001C08A5" w:rsidRDefault="00000000">
            <w:pPr>
              <w:spacing w:line="276" w:lineRule="auto"/>
              <w:jc w:val="center"/>
              <w:rPr>
                <w:b/>
                <w:i/>
                <w:iCs/>
                <w:sz w:val="22"/>
                <w:szCs w:val="22"/>
              </w:rPr>
            </w:pPr>
            <w:r>
              <w:rPr>
                <w:b/>
                <w:i/>
                <w:iCs/>
                <w:sz w:val="22"/>
                <w:szCs w:val="22"/>
              </w:rPr>
              <w:t>case de scări închise</w:t>
            </w:r>
          </w:p>
        </w:tc>
      </w:tr>
      <w:tr w:rsidR="001C08A5" w14:paraId="7AB7A9FA" w14:textId="77777777">
        <w:trPr>
          <w:tblHeader/>
        </w:trPr>
        <w:tc>
          <w:tcPr>
            <w:tcW w:w="970" w:type="pct"/>
            <w:vMerge/>
            <w:tcBorders>
              <w:left w:val="single" w:sz="8" w:space="0" w:color="000000"/>
              <w:bottom w:val="single" w:sz="8" w:space="0" w:color="000000"/>
            </w:tcBorders>
            <w:shd w:val="clear" w:color="auto" w:fill="D9D9D9"/>
            <w:vAlign w:val="center"/>
          </w:tcPr>
          <w:p w14:paraId="59841962" w14:textId="77777777" w:rsidR="001C08A5" w:rsidRDefault="001C08A5">
            <w:pPr>
              <w:snapToGrid w:val="0"/>
              <w:spacing w:line="276" w:lineRule="auto"/>
              <w:jc w:val="center"/>
              <w:rPr>
                <w:b/>
                <w:i/>
                <w:iCs/>
                <w:sz w:val="22"/>
                <w:szCs w:val="22"/>
              </w:rPr>
            </w:pPr>
          </w:p>
        </w:tc>
        <w:tc>
          <w:tcPr>
            <w:tcW w:w="722" w:type="pct"/>
            <w:tcBorders>
              <w:top w:val="single" w:sz="4" w:space="0" w:color="000000"/>
              <w:left w:val="single" w:sz="4" w:space="0" w:color="000000"/>
              <w:bottom w:val="single" w:sz="8" w:space="0" w:color="000000"/>
            </w:tcBorders>
            <w:shd w:val="clear" w:color="auto" w:fill="D9D9D9"/>
            <w:vAlign w:val="center"/>
          </w:tcPr>
          <w:p w14:paraId="3BCEAC27" w14:textId="77777777" w:rsidR="001C08A5" w:rsidRDefault="00000000">
            <w:pPr>
              <w:spacing w:line="276" w:lineRule="auto"/>
              <w:jc w:val="center"/>
              <w:rPr>
                <w:b/>
                <w:i/>
                <w:iCs/>
                <w:sz w:val="22"/>
                <w:szCs w:val="22"/>
              </w:rPr>
            </w:pPr>
            <w:r>
              <w:rPr>
                <w:b/>
                <w:i/>
                <w:iCs/>
                <w:sz w:val="22"/>
                <w:szCs w:val="22"/>
              </w:rPr>
              <w:t>pereţi</w:t>
            </w:r>
          </w:p>
        </w:tc>
        <w:tc>
          <w:tcPr>
            <w:tcW w:w="715" w:type="pct"/>
            <w:tcBorders>
              <w:top w:val="single" w:sz="4" w:space="0" w:color="000000"/>
              <w:left w:val="single" w:sz="4" w:space="0" w:color="000000"/>
              <w:bottom w:val="single" w:sz="8" w:space="0" w:color="000000"/>
            </w:tcBorders>
            <w:shd w:val="clear" w:color="auto" w:fill="D9D9D9"/>
            <w:vAlign w:val="center"/>
          </w:tcPr>
          <w:p w14:paraId="02AF2F0F" w14:textId="77777777" w:rsidR="001C08A5" w:rsidRDefault="00000000">
            <w:pPr>
              <w:spacing w:line="276" w:lineRule="auto"/>
              <w:jc w:val="center"/>
              <w:rPr>
                <w:b/>
                <w:i/>
                <w:iCs/>
                <w:sz w:val="22"/>
                <w:szCs w:val="22"/>
              </w:rPr>
            </w:pPr>
            <w:r>
              <w:rPr>
                <w:b/>
                <w:i/>
                <w:iCs/>
                <w:sz w:val="22"/>
                <w:szCs w:val="22"/>
              </w:rPr>
              <w:t>planşee</w:t>
            </w:r>
          </w:p>
        </w:tc>
        <w:tc>
          <w:tcPr>
            <w:tcW w:w="630" w:type="pct"/>
            <w:tcBorders>
              <w:top w:val="single" w:sz="4" w:space="0" w:color="000000"/>
              <w:left w:val="single" w:sz="4" w:space="0" w:color="000000"/>
              <w:bottom w:val="single" w:sz="8" w:space="0" w:color="000000"/>
            </w:tcBorders>
            <w:shd w:val="clear" w:color="auto" w:fill="D9D9D9"/>
            <w:vAlign w:val="center"/>
          </w:tcPr>
          <w:p w14:paraId="15AD1297" w14:textId="77777777" w:rsidR="001C08A5" w:rsidRDefault="00000000">
            <w:pPr>
              <w:spacing w:line="276" w:lineRule="auto"/>
              <w:jc w:val="center"/>
              <w:rPr>
                <w:b/>
                <w:i/>
                <w:iCs/>
                <w:sz w:val="22"/>
                <w:szCs w:val="22"/>
              </w:rPr>
            </w:pPr>
            <w:r>
              <w:rPr>
                <w:b/>
                <w:bCs/>
                <w:i/>
                <w:iCs/>
                <w:sz w:val="22"/>
                <w:szCs w:val="22"/>
              </w:rPr>
              <w:t>Uşi</w:t>
            </w:r>
          </w:p>
        </w:tc>
        <w:tc>
          <w:tcPr>
            <w:tcW w:w="684" w:type="pct"/>
            <w:tcBorders>
              <w:top w:val="single" w:sz="4" w:space="0" w:color="000000"/>
              <w:left w:val="single" w:sz="4" w:space="0" w:color="000000"/>
              <w:bottom w:val="single" w:sz="8" w:space="0" w:color="000000"/>
              <w:right w:val="single" w:sz="8" w:space="0" w:color="000000"/>
            </w:tcBorders>
            <w:shd w:val="clear" w:color="auto" w:fill="D9D9D9"/>
            <w:vAlign w:val="center"/>
          </w:tcPr>
          <w:p w14:paraId="2BAEF0EB" w14:textId="77777777" w:rsidR="001C08A5" w:rsidRDefault="00000000">
            <w:pPr>
              <w:spacing w:line="276" w:lineRule="auto"/>
              <w:jc w:val="center"/>
              <w:rPr>
                <w:b/>
                <w:i/>
                <w:iCs/>
                <w:sz w:val="22"/>
                <w:szCs w:val="22"/>
              </w:rPr>
            </w:pPr>
            <w:r>
              <w:rPr>
                <w:b/>
                <w:i/>
                <w:iCs/>
                <w:sz w:val="22"/>
                <w:szCs w:val="22"/>
              </w:rPr>
              <w:t>pereţi</w:t>
            </w:r>
          </w:p>
        </w:tc>
        <w:tc>
          <w:tcPr>
            <w:tcW w:w="692" w:type="pct"/>
            <w:tcBorders>
              <w:top w:val="single" w:sz="4" w:space="0" w:color="000000"/>
              <w:left w:val="single" w:sz="4" w:space="0" w:color="000000"/>
              <w:bottom w:val="single" w:sz="8" w:space="0" w:color="000000"/>
              <w:right w:val="single" w:sz="8" w:space="0" w:color="000000"/>
            </w:tcBorders>
            <w:shd w:val="clear" w:color="auto" w:fill="D9D9D9"/>
            <w:vAlign w:val="center"/>
          </w:tcPr>
          <w:p w14:paraId="715D2B7A" w14:textId="77777777" w:rsidR="001C08A5" w:rsidRDefault="00000000">
            <w:pPr>
              <w:spacing w:line="276" w:lineRule="auto"/>
              <w:jc w:val="center"/>
              <w:rPr>
                <w:b/>
                <w:i/>
                <w:iCs/>
                <w:sz w:val="22"/>
                <w:szCs w:val="22"/>
              </w:rPr>
            </w:pPr>
            <w:r>
              <w:rPr>
                <w:b/>
                <w:i/>
                <w:iCs/>
                <w:sz w:val="22"/>
                <w:szCs w:val="22"/>
              </w:rPr>
              <w:t xml:space="preserve">planşee </w:t>
            </w:r>
          </w:p>
        </w:tc>
        <w:tc>
          <w:tcPr>
            <w:tcW w:w="583" w:type="pct"/>
            <w:tcBorders>
              <w:top w:val="single" w:sz="4" w:space="0" w:color="000000"/>
              <w:left w:val="single" w:sz="4" w:space="0" w:color="000000"/>
              <w:bottom w:val="single" w:sz="8" w:space="0" w:color="000000"/>
              <w:right w:val="single" w:sz="8" w:space="0" w:color="000000"/>
            </w:tcBorders>
            <w:shd w:val="clear" w:color="auto" w:fill="D9D9D9"/>
            <w:vAlign w:val="center"/>
          </w:tcPr>
          <w:p w14:paraId="1E59EBCC" w14:textId="77777777" w:rsidR="001C08A5" w:rsidRDefault="00000000">
            <w:pPr>
              <w:spacing w:line="276" w:lineRule="auto"/>
              <w:jc w:val="center"/>
              <w:rPr>
                <w:b/>
                <w:i/>
                <w:iCs/>
                <w:sz w:val="22"/>
                <w:szCs w:val="22"/>
              </w:rPr>
            </w:pPr>
            <w:r>
              <w:rPr>
                <w:b/>
                <w:bCs/>
                <w:i/>
                <w:iCs/>
                <w:sz w:val="22"/>
                <w:szCs w:val="22"/>
              </w:rPr>
              <w:t>Uşi</w:t>
            </w:r>
          </w:p>
        </w:tc>
      </w:tr>
      <w:tr w:rsidR="001C08A5" w14:paraId="03847979" w14:textId="77777777">
        <w:tc>
          <w:tcPr>
            <w:tcW w:w="970" w:type="pct"/>
            <w:tcBorders>
              <w:top w:val="single" w:sz="8" w:space="0" w:color="000000"/>
              <w:left w:val="single" w:sz="4" w:space="0" w:color="000000"/>
              <w:bottom w:val="single" w:sz="4" w:space="0" w:color="000000"/>
            </w:tcBorders>
            <w:vAlign w:val="center"/>
          </w:tcPr>
          <w:p w14:paraId="7300D6DA" w14:textId="77777777" w:rsidR="001C08A5" w:rsidRDefault="001C08A5">
            <w:pPr>
              <w:snapToGrid w:val="0"/>
              <w:jc w:val="center"/>
              <w:rPr>
                <w:b/>
                <w:i/>
                <w:iCs/>
                <w:sz w:val="22"/>
                <w:szCs w:val="22"/>
              </w:rPr>
            </w:pPr>
          </w:p>
          <w:p w14:paraId="023F4CEE" w14:textId="77777777" w:rsidR="001C08A5" w:rsidRDefault="00000000">
            <w:pPr>
              <w:jc w:val="center"/>
              <w:rPr>
                <w:b/>
                <w:i/>
                <w:iCs/>
                <w:sz w:val="22"/>
                <w:szCs w:val="22"/>
              </w:rPr>
            </w:pPr>
            <w:r>
              <w:rPr>
                <w:b/>
                <w:i/>
                <w:iCs/>
                <w:sz w:val="22"/>
                <w:szCs w:val="22"/>
              </w:rPr>
              <w:t>I</w:t>
            </w:r>
          </w:p>
        </w:tc>
        <w:tc>
          <w:tcPr>
            <w:tcW w:w="722" w:type="pct"/>
            <w:tcBorders>
              <w:top w:val="single" w:sz="8" w:space="0" w:color="000000"/>
              <w:left w:val="single" w:sz="4" w:space="0" w:color="000000"/>
              <w:bottom w:val="single" w:sz="4" w:space="0" w:color="000000"/>
            </w:tcBorders>
            <w:vAlign w:val="center"/>
          </w:tcPr>
          <w:p w14:paraId="5176F0F2" w14:textId="77777777" w:rsidR="001C08A5" w:rsidRDefault="00000000">
            <w:pPr>
              <w:jc w:val="center"/>
              <w:rPr>
                <w:b/>
                <w:i/>
                <w:iCs/>
                <w:sz w:val="22"/>
                <w:szCs w:val="22"/>
              </w:rPr>
            </w:pPr>
            <w:r>
              <w:rPr>
                <w:b/>
                <w:i/>
                <w:iCs/>
                <w:sz w:val="22"/>
                <w:szCs w:val="22"/>
              </w:rPr>
              <w:t>EI 120</w:t>
            </w:r>
          </w:p>
          <w:p w14:paraId="5B064D61"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715" w:type="pct"/>
            <w:tcBorders>
              <w:top w:val="single" w:sz="8" w:space="0" w:color="000000"/>
              <w:left w:val="single" w:sz="4" w:space="0" w:color="000000"/>
              <w:bottom w:val="single" w:sz="4" w:space="0" w:color="000000"/>
            </w:tcBorders>
            <w:vAlign w:val="center"/>
          </w:tcPr>
          <w:p w14:paraId="1BD36E70" w14:textId="77777777" w:rsidR="001C08A5" w:rsidRDefault="00000000">
            <w:pPr>
              <w:jc w:val="center"/>
              <w:rPr>
                <w:b/>
                <w:i/>
                <w:iCs/>
                <w:sz w:val="22"/>
                <w:szCs w:val="22"/>
              </w:rPr>
            </w:pPr>
            <w:r>
              <w:rPr>
                <w:b/>
                <w:i/>
                <w:iCs/>
                <w:sz w:val="22"/>
                <w:szCs w:val="22"/>
              </w:rPr>
              <w:t>REI 120</w:t>
            </w:r>
          </w:p>
          <w:p w14:paraId="19407D41"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630" w:type="pct"/>
            <w:tcBorders>
              <w:top w:val="single" w:sz="8" w:space="0" w:color="000000"/>
              <w:left w:val="single" w:sz="4" w:space="0" w:color="000000"/>
              <w:bottom w:val="single" w:sz="4" w:space="0" w:color="000000"/>
            </w:tcBorders>
            <w:vAlign w:val="center"/>
          </w:tcPr>
          <w:p w14:paraId="5A11F3CA"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EI</w:t>
            </w:r>
            <w:r>
              <w:rPr>
                <w:b/>
                <w:i/>
                <w:iCs/>
                <w:sz w:val="22"/>
                <w:szCs w:val="22"/>
                <w:vertAlign w:val="subscript"/>
              </w:rPr>
              <w:t>2</w:t>
            </w:r>
            <w:r>
              <w:rPr>
                <w:b/>
                <w:i/>
                <w:iCs/>
                <w:sz w:val="22"/>
                <w:szCs w:val="22"/>
              </w:rPr>
              <w:t xml:space="preserve">  60 - C5 S</w:t>
            </w:r>
            <w:r>
              <w:rPr>
                <w:b/>
                <w:i/>
                <w:iCs/>
                <w:sz w:val="22"/>
                <w:szCs w:val="22"/>
                <w:vertAlign w:val="subscript"/>
              </w:rPr>
              <w:t>200</w:t>
            </w:r>
          </w:p>
        </w:tc>
        <w:tc>
          <w:tcPr>
            <w:tcW w:w="684" w:type="pct"/>
            <w:tcBorders>
              <w:top w:val="single" w:sz="8" w:space="0" w:color="000000"/>
              <w:left w:val="single" w:sz="4" w:space="0" w:color="000000"/>
              <w:bottom w:val="single" w:sz="4" w:space="0" w:color="000000"/>
              <w:right w:val="single" w:sz="4" w:space="0" w:color="000000"/>
            </w:tcBorders>
            <w:vAlign w:val="center"/>
          </w:tcPr>
          <w:p w14:paraId="7DC269AA" w14:textId="77777777" w:rsidR="001C08A5" w:rsidRDefault="00000000">
            <w:pPr>
              <w:jc w:val="center"/>
              <w:rPr>
                <w:b/>
                <w:i/>
                <w:iCs/>
                <w:sz w:val="22"/>
                <w:szCs w:val="22"/>
              </w:rPr>
            </w:pPr>
            <w:r>
              <w:rPr>
                <w:b/>
                <w:i/>
                <w:iCs/>
                <w:sz w:val="22"/>
                <w:szCs w:val="22"/>
              </w:rPr>
              <w:t>EI 180</w:t>
            </w:r>
          </w:p>
          <w:p w14:paraId="265CA46F"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692" w:type="pct"/>
            <w:tcBorders>
              <w:top w:val="single" w:sz="8" w:space="0" w:color="000000"/>
              <w:left w:val="single" w:sz="4" w:space="0" w:color="000000"/>
              <w:bottom w:val="single" w:sz="4" w:space="0" w:color="000000"/>
              <w:right w:val="single" w:sz="4" w:space="0" w:color="000000"/>
            </w:tcBorders>
            <w:vAlign w:val="center"/>
          </w:tcPr>
          <w:p w14:paraId="4B1CEB99" w14:textId="77777777" w:rsidR="001C08A5" w:rsidRDefault="00000000">
            <w:pPr>
              <w:jc w:val="center"/>
              <w:rPr>
                <w:b/>
                <w:i/>
                <w:iCs/>
                <w:sz w:val="22"/>
                <w:szCs w:val="22"/>
              </w:rPr>
            </w:pPr>
            <w:r>
              <w:rPr>
                <w:b/>
                <w:i/>
                <w:iCs/>
                <w:sz w:val="22"/>
                <w:szCs w:val="22"/>
              </w:rPr>
              <w:t>REI 120</w:t>
            </w:r>
          </w:p>
          <w:p w14:paraId="2F872C0B"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583" w:type="pct"/>
            <w:tcBorders>
              <w:top w:val="single" w:sz="8" w:space="0" w:color="000000"/>
              <w:left w:val="single" w:sz="4" w:space="0" w:color="000000"/>
              <w:bottom w:val="single" w:sz="4" w:space="0" w:color="000000"/>
              <w:right w:val="single" w:sz="4" w:space="0" w:color="000000"/>
            </w:tcBorders>
            <w:vAlign w:val="center"/>
          </w:tcPr>
          <w:p w14:paraId="6FB16534"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EI</w:t>
            </w:r>
            <w:r>
              <w:rPr>
                <w:b/>
                <w:i/>
                <w:iCs/>
                <w:sz w:val="22"/>
                <w:szCs w:val="22"/>
                <w:vertAlign w:val="subscript"/>
              </w:rPr>
              <w:t>2</w:t>
            </w:r>
            <w:r>
              <w:rPr>
                <w:b/>
                <w:i/>
                <w:iCs/>
                <w:sz w:val="22"/>
                <w:szCs w:val="22"/>
              </w:rPr>
              <w:t xml:space="preserve"> 90 - C5 S</w:t>
            </w:r>
            <w:r>
              <w:rPr>
                <w:b/>
                <w:i/>
                <w:iCs/>
                <w:sz w:val="22"/>
                <w:szCs w:val="22"/>
                <w:vertAlign w:val="subscript"/>
              </w:rPr>
              <w:t>200</w:t>
            </w:r>
          </w:p>
        </w:tc>
      </w:tr>
      <w:tr w:rsidR="001C08A5" w14:paraId="355EB572" w14:textId="77777777">
        <w:trPr>
          <w:trHeight w:val="554"/>
        </w:trPr>
        <w:tc>
          <w:tcPr>
            <w:tcW w:w="970" w:type="pct"/>
            <w:tcBorders>
              <w:top w:val="single" w:sz="4" w:space="0" w:color="000000"/>
              <w:left w:val="single" w:sz="4" w:space="0" w:color="000000"/>
              <w:bottom w:val="single" w:sz="4" w:space="0" w:color="000000"/>
            </w:tcBorders>
            <w:vAlign w:val="center"/>
          </w:tcPr>
          <w:p w14:paraId="0C34DAEC" w14:textId="77777777" w:rsidR="001C08A5" w:rsidRDefault="001C08A5">
            <w:pPr>
              <w:snapToGrid w:val="0"/>
              <w:jc w:val="center"/>
              <w:rPr>
                <w:b/>
                <w:i/>
                <w:iCs/>
                <w:sz w:val="22"/>
                <w:szCs w:val="22"/>
              </w:rPr>
            </w:pPr>
          </w:p>
          <w:p w14:paraId="62BF398B" w14:textId="77777777" w:rsidR="001C08A5" w:rsidRDefault="00000000">
            <w:pPr>
              <w:jc w:val="center"/>
              <w:rPr>
                <w:b/>
                <w:i/>
                <w:iCs/>
                <w:sz w:val="22"/>
                <w:szCs w:val="22"/>
              </w:rPr>
            </w:pPr>
            <w:r>
              <w:rPr>
                <w:b/>
                <w:i/>
                <w:iCs/>
                <w:sz w:val="22"/>
                <w:szCs w:val="22"/>
              </w:rPr>
              <w:t>II</w:t>
            </w:r>
          </w:p>
        </w:tc>
        <w:tc>
          <w:tcPr>
            <w:tcW w:w="722" w:type="pct"/>
            <w:tcBorders>
              <w:top w:val="single" w:sz="4" w:space="0" w:color="000000"/>
              <w:left w:val="single" w:sz="4" w:space="0" w:color="000000"/>
              <w:bottom w:val="single" w:sz="4" w:space="0" w:color="000000"/>
            </w:tcBorders>
            <w:vAlign w:val="center"/>
          </w:tcPr>
          <w:p w14:paraId="5D0F70F8" w14:textId="77777777" w:rsidR="001C08A5" w:rsidRDefault="00000000">
            <w:pPr>
              <w:jc w:val="center"/>
              <w:rPr>
                <w:b/>
                <w:i/>
                <w:iCs/>
                <w:sz w:val="22"/>
                <w:szCs w:val="22"/>
              </w:rPr>
            </w:pPr>
            <w:r>
              <w:rPr>
                <w:b/>
                <w:i/>
                <w:iCs/>
                <w:sz w:val="22"/>
                <w:szCs w:val="22"/>
              </w:rPr>
              <w:t>EI 90</w:t>
            </w:r>
          </w:p>
          <w:p w14:paraId="346DD461"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715" w:type="pct"/>
            <w:tcBorders>
              <w:top w:val="single" w:sz="4" w:space="0" w:color="000000"/>
              <w:left w:val="single" w:sz="4" w:space="0" w:color="000000"/>
              <w:bottom w:val="single" w:sz="4" w:space="0" w:color="000000"/>
            </w:tcBorders>
            <w:vAlign w:val="center"/>
          </w:tcPr>
          <w:p w14:paraId="7479517F" w14:textId="77777777" w:rsidR="001C08A5" w:rsidRDefault="00000000">
            <w:pPr>
              <w:jc w:val="center"/>
              <w:rPr>
                <w:b/>
                <w:i/>
                <w:iCs/>
                <w:sz w:val="22"/>
                <w:szCs w:val="22"/>
              </w:rPr>
            </w:pPr>
            <w:r>
              <w:rPr>
                <w:b/>
                <w:i/>
                <w:iCs/>
                <w:sz w:val="22"/>
                <w:szCs w:val="22"/>
              </w:rPr>
              <w:t>REI 90</w:t>
            </w:r>
          </w:p>
          <w:p w14:paraId="6D38612E"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630" w:type="pct"/>
            <w:tcBorders>
              <w:top w:val="single" w:sz="4" w:space="0" w:color="000000"/>
              <w:left w:val="single" w:sz="4" w:space="0" w:color="000000"/>
              <w:bottom w:val="single" w:sz="4" w:space="0" w:color="000000"/>
            </w:tcBorders>
            <w:vAlign w:val="center"/>
          </w:tcPr>
          <w:p w14:paraId="26F51F38" w14:textId="77777777" w:rsidR="001C08A5" w:rsidRDefault="00000000">
            <w:pPr>
              <w:jc w:val="center"/>
              <w:rPr>
                <w:b/>
                <w:i/>
                <w:iCs/>
                <w:sz w:val="22"/>
                <w:szCs w:val="22"/>
              </w:rPr>
            </w:pPr>
            <w:r>
              <w:rPr>
                <w:b/>
                <w:i/>
                <w:iCs/>
                <w:sz w:val="22"/>
                <w:szCs w:val="22"/>
              </w:rPr>
              <w:t>EI</w:t>
            </w:r>
            <w:r>
              <w:rPr>
                <w:b/>
                <w:i/>
                <w:iCs/>
                <w:sz w:val="22"/>
                <w:szCs w:val="22"/>
                <w:vertAlign w:val="subscript"/>
              </w:rPr>
              <w:t>2</w:t>
            </w:r>
            <w:r>
              <w:rPr>
                <w:b/>
                <w:i/>
                <w:iCs/>
                <w:sz w:val="22"/>
                <w:szCs w:val="22"/>
              </w:rPr>
              <w:t xml:space="preserve"> 45 - C5 Sa</w:t>
            </w:r>
          </w:p>
        </w:tc>
        <w:tc>
          <w:tcPr>
            <w:tcW w:w="684" w:type="pct"/>
            <w:tcBorders>
              <w:top w:val="single" w:sz="4" w:space="0" w:color="000000"/>
              <w:left w:val="single" w:sz="4" w:space="0" w:color="000000"/>
              <w:bottom w:val="single" w:sz="4" w:space="0" w:color="000000"/>
              <w:right w:val="single" w:sz="4" w:space="0" w:color="000000"/>
            </w:tcBorders>
            <w:vAlign w:val="center"/>
          </w:tcPr>
          <w:p w14:paraId="24BB646A" w14:textId="77777777" w:rsidR="001C08A5" w:rsidRDefault="00000000">
            <w:pPr>
              <w:jc w:val="center"/>
              <w:rPr>
                <w:b/>
                <w:i/>
                <w:iCs/>
                <w:sz w:val="22"/>
                <w:szCs w:val="22"/>
              </w:rPr>
            </w:pPr>
            <w:r>
              <w:rPr>
                <w:b/>
                <w:i/>
                <w:iCs/>
                <w:sz w:val="22"/>
                <w:szCs w:val="22"/>
              </w:rPr>
              <w:t>EI 120</w:t>
            </w:r>
          </w:p>
          <w:p w14:paraId="4407EB68"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692" w:type="pct"/>
            <w:tcBorders>
              <w:top w:val="single" w:sz="4" w:space="0" w:color="000000"/>
              <w:left w:val="single" w:sz="4" w:space="0" w:color="000000"/>
              <w:bottom w:val="single" w:sz="4" w:space="0" w:color="000000"/>
              <w:right w:val="single" w:sz="4" w:space="0" w:color="000000"/>
            </w:tcBorders>
            <w:vAlign w:val="center"/>
          </w:tcPr>
          <w:p w14:paraId="7EDED7C2" w14:textId="77777777" w:rsidR="001C08A5" w:rsidRDefault="00000000">
            <w:pPr>
              <w:jc w:val="center"/>
              <w:rPr>
                <w:b/>
                <w:i/>
                <w:iCs/>
                <w:sz w:val="22"/>
                <w:szCs w:val="22"/>
              </w:rPr>
            </w:pPr>
            <w:r>
              <w:rPr>
                <w:b/>
                <w:i/>
                <w:iCs/>
                <w:sz w:val="22"/>
                <w:szCs w:val="22"/>
              </w:rPr>
              <w:t>REI 90</w:t>
            </w:r>
          </w:p>
          <w:p w14:paraId="46082BA8"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583" w:type="pct"/>
            <w:tcBorders>
              <w:top w:val="single" w:sz="4" w:space="0" w:color="000000"/>
              <w:left w:val="single" w:sz="4" w:space="0" w:color="000000"/>
              <w:bottom w:val="single" w:sz="4" w:space="0" w:color="000000"/>
              <w:right w:val="single" w:sz="4" w:space="0" w:color="000000"/>
            </w:tcBorders>
            <w:vAlign w:val="center"/>
          </w:tcPr>
          <w:p w14:paraId="427FA160"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EI</w:t>
            </w:r>
            <w:r>
              <w:rPr>
                <w:b/>
                <w:i/>
                <w:iCs/>
                <w:sz w:val="22"/>
                <w:szCs w:val="22"/>
                <w:vertAlign w:val="subscript"/>
              </w:rPr>
              <w:t>2</w:t>
            </w:r>
            <w:r>
              <w:rPr>
                <w:b/>
                <w:i/>
                <w:iCs/>
                <w:sz w:val="22"/>
                <w:szCs w:val="22"/>
              </w:rPr>
              <w:t xml:space="preserve"> 60 - C5 S</w:t>
            </w:r>
            <w:r>
              <w:rPr>
                <w:b/>
                <w:i/>
                <w:iCs/>
                <w:sz w:val="22"/>
                <w:szCs w:val="22"/>
                <w:vertAlign w:val="subscript"/>
              </w:rPr>
              <w:t>200</w:t>
            </w:r>
          </w:p>
        </w:tc>
      </w:tr>
      <w:tr w:rsidR="001C08A5" w14:paraId="5A2788BB" w14:textId="77777777">
        <w:trPr>
          <w:trHeight w:val="635"/>
        </w:trPr>
        <w:tc>
          <w:tcPr>
            <w:tcW w:w="970" w:type="pct"/>
            <w:tcBorders>
              <w:top w:val="single" w:sz="4" w:space="0" w:color="000000"/>
              <w:left w:val="single" w:sz="4" w:space="0" w:color="000000"/>
              <w:bottom w:val="single" w:sz="4" w:space="0" w:color="000000"/>
            </w:tcBorders>
            <w:vAlign w:val="center"/>
          </w:tcPr>
          <w:p w14:paraId="0D639A87" w14:textId="77777777" w:rsidR="001C08A5" w:rsidRDefault="00000000">
            <w:pPr>
              <w:jc w:val="center"/>
              <w:rPr>
                <w:b/>
                <w:i/>
                <w:iCs/>
                <w:sz w:val="22"/>
                <w:szCs w:val="22"/>
              </w:rPr>
            </w:pPr>
            <w:r>
              <w:rPr>
                <w:b/>
                <w:bCs/>
                <w:i/>
                <w:iCs/>
                <w:sz w:val="22"/>
                <w:szCs w:val="22"/>
              </w:rPr>
              <w:t>II (+)</w:t>
            </w:r>
          </w:p>
        </w:tc>
        <w:tc>
          <w:tcPr>
            <w:tcW w:w="722" w:type="pct"/>
            <w:tcBorders>
              <w:top w:val="single" w:sz="4" w:space="0" w:color="000000"/>
              <w:left w:val="single" w:sz="4" w:space="0" w:color="000000"/>
              <w:bottom w:val="single" w:sz="4" w:space="0" w:color="000000"/>
            </w:tcBorders>
            <w:vAlign w:val="center"/>
          </w:tcPr>
          <w:p w14:paraId="412BE4CA" w14:textId="77777777" w:rsidR="001C08A5" w:rsidRDefault="00000000">
            <w:pPr>
              <w:jc w:val="center"/>
              <w:rPr>
                <w:b/>
                <w:i/>
                <w:iCs/>
                <w:sz w:val="22"/>
                <w:szCs w:val="22"/>
              </w:rPr>
            </w:pPr>
            <w:r>
              <w:rPr>
                <w:b/>
                <w:i/>
                <w:iCs/>
                <w:sz w:val="22"/>
                <w:szCs w:val="22"/>
              </w:rPr>
              <w:t>EI 90</w:t>
            </w:r>
          </w:p>
          <w:p w14:paraId="4BF4F89E"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715" w:type="pct"/>
            <w:tcBorders>
              <w:top w:val="single" w:sz="4" w:space="0" w:color="000000"/>
              <w:left w:val="single" w:sz="4" w:space="0" w:color="000000"/>
              <w:bottom w:val="single" w:sz="4" w:space="0" w:color="000000"/>
            </w:tcBorders>
            <w:vAlign w:val="center"/>
          </w:tcPr>
          <w:p w14:paraId="0FF29A12" w14:textId="77777777" w:rsidR="001C08A5" w:rsidRDefault="00000000">
            <w:pPr>
              <w:jc w:val="center"/>
              <w:rPr>
                <w:b/>
                <w:i/>
                <w:iCs/>
                <w:sz w:val="22"/>
                <w:szCs w:val="22"/>
              </w:rPr>
            </w:pPr>
            <w:r>
              <w:rPr>
                <w:b/>
                <w:i/>
                <w:iCs/>
                <w:sz w:val="22"/>
                <w:szCs w:val="22"/>
              </w:rPr>
              <w:t>REI  90</w:t>
            </w:r>
          </w:p>
          <w:p w14:paraId="690D61C1"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630" w:type="pct"/>
            <w:tcBorders>
              <w:top w:val="single" w:sz="4" w:space="0" w:color="000000"/>
              <w:left w:val="single" w:sz="4" w:space="0" w:color="000000"/>
              <w:bottom w:val="single" w:sz="4" w:space="0" w:color="000000"/>
            </w:tcBorders>
            <w:vAlign w:val="center"/>
          </w:tcPr>
          <w:p w14:paraId="416C1250" w14:textId="77777777" w:rsidR="001C08A5" w:rsidRDefault="00000000">
            <w:pPr>
              <w:jc w:val="center"/>
              <w:rPr>
                <w:b/>
                <w:i/>
                <w:iCs/>
                <w:sz w:val="22"/>
                <w:szCs w:val="22"/>
              </w:rPr>
            </w:pPr>
            <w:r>
              <w:rPr>
                <w:b/>
                <w:i/>
                <w:iCs/>
                <w:sz w:val="22"/>
                <w:szCs w:val="22"/>
              </w:rPr>
              <w:t>EI</w:t>
            </w:r>
            <w:r>
              <w:rPr>
                <w:b/>
                <w:i/>
                <w:iCs/>
                <w:sz w:val="22"/>
                <w:szCs w:val="22"/>
                <w:vertAlign w:val="subscript"/>
              </w:rPr>
              <w:t>2</w:t>
            </w:r>
            <w:r>
              <w:rPr>
                <w:b/>
                <w:i/>
                <w:iCs/>
                <w:sz w:val="22"/>
                <w:szCs w:val="22"/>
              </w:rPr>
              <w:t xml:space="preserve"> 45 - C5 Sa</w:t>
            </w:r>
          </w:p>
        </w:tc>
        <w:tc>
          <w:tcPr>
            <w:tcW w:w="684" w:type="pct"/>
            <w:tcBorders>
              <w:top w:val="single" w:sz="4" w:space="0" w:color="000000"/>
              <w:left w:val="single" w:sz="4" w:space="0" w:color="000000"/>
              <w:bottom w:val="single" w:sz="4" w:space="0" w:color="000000"/>
              <w:right w:val="single" w:sz="4" w:space="0" w:color="000000"/>
            </w:tcBorders>
            <w:vAlign w:val="center"/>
          </w:tcPr>
          <w:p w14:paraId="6A0761CC" w14:textId="77777777" w:rsidR="001C08A5" w:rsidRDefault="00000000">
            <w:pPr>
              <w:jc w:val="center"/>
              <w:rPr>
                <w:b/>
                <w:i/>
                <w:iCs/>
                <w:sz w:val="22"/>
                <w:szCs w:val="22"/>
              </w:rPr>
            </w:pPr>
            <w:r>
              <w:rPr>
                <w:b/>
                <w:i/>
                <w:iCs/>
                <w:sz w:val="22"/>
                <w:szCs w:val="22"/>
              </w:rPr>
              <w:t>EI 90</w:t>
            </w:r>
          </w:p>
          <w:p w14:paraId="383FCE0A" w14:textId="77777777" w:rsidR="001C08A5" w:rsidRDefault="00000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b/>
                <w:i/>
                <w:iCs/>
                <w:sz w:val="22"/>
                <w:szCs w:val="22"/>
              </w:rPr>
            </w:pPr>
            <w:r>
              <w:rPr>
                <w:b/>
                <w:i/>
                <w:iCs/>
                <w:sz w:val="22"/>
                <w:szCs w:val="22"/>
              </w:rPr>
              <w:t>A1, A2-s1d0</w:t>
            </w:r>
          </w:p>
        </w:tc>
        <w:tc>
          <w:tcPr>
            <w:tcW w:w="692" w:type="pct"/>
            <w:tcBorders>
              <w:top w:val="single" w:sz="4" w:space="0" w:color="000000"/>
              <w:left w:val="single" w:sz="4" w:space="0" w:color="000000"/>
              <w:bottom w:val="single" w:sz="4" w:space="0" w:color="000000"/>
              <w:right w:val="single" w:sz="4" w:space="0" w:color="000000"/>
            </w:tcBorders>
            <w:vAlign w:val="center"/>
          </w:tcPr>
          <w:p w14:paraId="02D023F0" w14:textId="77777777" w:rsidR="001C08A5" w:rsidRDefault="00000000">
            <w:pPr>
              <w:jc w:val="center"/>
              <w:rPr>
                <w:b/>
                <w:i/>
                <w:iCs/>
                <w:sz w:val="22"/>
                <w:szCs w:val="22"/>
              </w:rPr>
            </w:pPr>
            <w:r>
              <w:rPr>
                <w:b/>
                <w:i/>
                <w:iCs/>
                <w:sz w:val="22"/>
                <w:szCs w:val="22"/>
              </w:rPr>
              <w:t>REI 90</w:t>
            </w:r>
          </w:p>
          <w:p w14:paraId="05FF5A8D" w14:textId="77777777" w:rsidR="001C08A5" w:rsidRDefault="00000000">
            <w:pPr>
              <w:jc w:val="center"/>
              <w:rPr>
                <w:b/>
                <w:i/>
                <w:iCs/>
                <w:sz w:val="22"/>
                <w:szCs w:val="22"/>
              </w:rPr>
            </w:pPr>
            <w:r>
              <w:rPr>
                <w:b/>
                <w:i/>
                <w:iCs/>
                <w:sz w:val="22"/>
                <w:szCs w:val="22"/>
              </w:rPr>
              <w:t>A1, A2-s1d0</w:t>
            </w:r>
          </w:p>
        </w:tc>
        <w:tc>
          <w:tcPr>
            <w:tcW w:w="583" w:type="pct"/>
            <w:tcBorders>
              <w:top w:val="single" w:sz="4" w:space="0" w:color="000000"/>
              <w:left w:val="single" w:sz="4" w:space="0" w:color="000000"/>
              <w:bottom w:val="single" w:sz="4" w:space="0" w:color="000000"/>
              <w:right w:val="single" w:sz="4" w:space="0" w:color="000000"/>
            </w:tcBorders>
            <w:vAlign w:val="center"/>
          </w:tcPr>
          <w:p w14:paraId="304174B8" w14:textId="77777777" w:rsidR="001C08A5" w:rsidRDefault="00000000">
            <w:pPr>
              <w:jc w:val="center"/>
              <w:rPr>
                <w:b/>
                <w:i/>
                <w:iCs/>
                <w:sz w:val="22"/>
                <w:szCs w:val="22"/>
              </w:rPr>
            </w:pPr>
            <w:r>
              <w:rPr>
                <w:b/>
                <w:i/>
                <w:iCs/>
                <w:sz w:val="22"/>
                <w:szCs w:val="22"/>
              </w:rPr>
              <w:t>EI 30 - C5 Sa</w:t>
            </w:r>
          </w:p>
        </w:tc>
      </w:tr>
    </w:tbl>
    <w:p w14:paraId="39B54CFB" w14:textId="77777777" w:rsidR="001C08A5" w:rsidRDefault="00000000">
      <w:pPr>
        <w:jc w:val="both"/>
        <w:rPr>
          <w:bCs/>
          <w:i/>
          <w:iCs/>
          <w:sz w:val="22"/>
          <w:szCs w:val="22"/>
        </w:rPr>
      </w:pPr>
      <w:r>
        <w:rPr>
          <w:bCs/>
          <w:i/>
          <w:iCs/>
          <w:sz w:val="22"/>
          <w:szCs w:val="22"/>
        </w:rPr>
        <w:t>Note:Degajamentele protejate vor fi prevăzute cu minimum:</w:t>
      </w:r>
    </w:p>
    <w:p w14:paraId="7B570FA6" w14:textId="77777777" w:rsidR="001C08A5" w:rsidRDefault="00000000">
      <w:pPr>
        <w:ind w:firstLine="720"/>
        <w:jc w:val="both"/>
        <w:rPr>
          <w:b/>
          <w:i/>
          <w:iCs/>
          <w:sz w:val="22"/>
          <w:szCs w:val="22"/>
        </w:rPr>
      </w:pPr>
      <w:r>
        <w:rPr>
          <w:bCs/>
          <w:i/>
          <w:iCs/>
          <w:sz w:val="22"/>
          <w:szCs w:val="22"/>
        </w:rPr>
        <w:t xml:space="preserve">- pereți </w:t>
      </w:r>
      <w:r>
        <w:rPr>
          <w:b/>
          <w:i/>
          <w:iCs/>
          <w:sz w:val="22"/>
          <w:szCs w:val="22"/>
        </w:rPr>
        <w:t xml:space="preserve">EI/REI180, </w:t>
      </w:r>
      <w:r>
        <w:rPr>
          <w:bCs/>
          <w:i/>
          <w:iCs/>
          <w:sz w:val="22"/>
          <w:szCs w:val="22"/>
        </w:rPr>
        <w:t>uși</w:t>
      </w:r>
      <w:r>
        <w:rPr>
          <w:b/>
          <w:bCs/>
          <w:i/>
          <w:iCs/>
          <w:sz w:val="22"/>
          <w:szCs w:val="22"/>
        </w:rPr>
        <w:t>EI</w:t>
      </w:r>
      <w:r>
        <w:rPr>
          <w:b/>
          <w:bCs/>
          <w:i/>
          <w:iCs/>
          <w:sz w:val="22"/>
          <w:szCs w:val="22"/>
          <w:vertAlign w:val="subscript"/>
        </w:rPr>
        <w:t>2</w:t>
      </w:r>
      <w:r>
        <w:rPr>
          <w:b/>
          <w:bCs/>
          <w:i/>
          <w:iCs/>
          <w:sz w:val="22"/>
          <w:szCs w:val="22"/>
        </w:rPr>
        <w:t>90 - C5</w:t>
      </w:r>
      <w:r>
        <w:rPr>
          <w:b/>
          <w:i/>
          <w:iCs/>
          <w:sz w:val="22"/>
          <w:szCs w:val="22"/>
        </w:rPr>
        <w:t>S</w:t>
      </w:r>
      <w:r>
        <w:rPr>
          <w:b/>
          <w:bCs/>
          <w:i/>
          <w:iCs/>
          <w:sz w:val="22"/>
          <w:szCs w:val="22"/>
          <w:vertAlign w:val="subscript"/>
        </w:rPr>
        <w:t>200</w:t>
      </w:r>
      <w:r>
        <w:rPr>
          <w:bCs/>
          <w:i/>
          <w:iCs/>
          <w:sz w:val="22"/>
          <w:szCs w:val="22"/>
        </w:rPr>
        <w:t xml:space="preserve"> și planșee</w:t>
      </w:r>
      <w:r>
        <w:rPr>
          <w:b/>
          <w:i/>
          <w:iCs/>
          <w:sz w:val="22"/>
          <w:szCs w:val="22"/>
        </w:rPr>
        <w:t xml:space="preserve"> REI 120 </w:t>
      </w:r>
      <w:r>
        <w:rPr>
          <w:bCs/>
          <w:i/>
          <w:iCs/>
          <w:sz w:val="22"/>
          <w:szCs w:val="22"/>
        </w:rPr>
        <w:t xml:space="preserve">la nivelul </w:t>
      </w:r>
      <w:r>
        <w:rPr>
          <w:b/>
          <w:i/>
          <w:iCs/>
          <w:sz w:val="22"/>
          <w:szCs w:val="22"/>
        </w:rPr>
        <w:t>I</w:t>
      </w:r>
      <w:r>
        <w:rPr>
          <w:bCs/>
          <w:i/>
          <w:iCs/>
          <w:sz w:val="22"/>
          <w:szCs w:val="22"/>
        </w:rPr>
        <w:t xml:space="preserve"> de stabilitate la incendiu</w:t>
      </w:r>
    </w:p>
    <w:p w14:paraId="560044AC" w14:textId="77777777" w:rsidR="001C08A5" w:rsidRDefault="00000000">
      <w:pPr>
        <w:ind w:firstLine="720"/>
        <w:jc w:val="both"/>
        <w:rPr>
          <w:b/>
          <w:i/>
          <w:iCs/>
          <w:sz w:val="22"/>
          <w:szCs w:val="22"/>
        </w:rPr>
      </w:pPr>
      <w:r>
        <w:rPr>
          <w:bCs/>
          <w:i/>
          <w:iCs/>
          <w:sz w:val="22"/>
          <w:szCs w:val="22"/>
        </w:rPr>
        <w:t xml:space="preserve">- pereți </w:t>
      </w:r>
      <w:r>
        <w:rPr>
          <w:b/>
          <w:i/>
          <w:iCs/>
          <w:sz w:val="22"/>
          <w:szCs w:val="22"/>
        </w:rPr>
        <w:t xml:space="preserve">EI/REI120, </w:t>
      </w:r>
      <w:r>
        <w:rPr>
          <w:bCs/>
          <w:i/>
          <w:iCs/>
          <w:sz w:val="22"/>
          <w:szCs w:val="22"/>
        </w:rPr>
        <w:t>uși</w:t>
      </w:r>
      <w:r>
        <w:rPr>
          <w:b/>
          <w:bCs/>
          <w:i/>
          <w:iCs/>
          <w:sz w:val="22"/>
          <w:szCs w:val="22"/>
        </w:rPr>
        <w:t>EI</w:t>
      </w:r>
      <w:r>
        <w:rPr>
          <w:b/>
          <w:bCs/>
          <w:i/>
          <w:iCs/>
          <w:sz w:val="22"/>
          <w:szCs w:val="22"/>
          <w:vertAlign w:val="subscript"/>
        </w:rPr>
        <w:t>2</w:t>
      </w:r>
      <w:r>
        <w:rPr>
          <w:b/>
          <w:bCs/>
          <w:i/>
          <w:iCs/>
          <w:sz w:val="22"/>
          <w:szCs w:val="22"/>
        </w:rPr>
        <w:t>60 - C5</w:t>
      </w:r>
      <w:r>
        <w:rPr>
          <w:b/>
          <w:i/>
          <w:iCs/>
          <w:sz w:val="22"/>
          <w:szCs w:val="22"/>
        </w:rPr>
        <w:t>S</w:t>
      </w:r>
      <w:r>
        <w:rPr>
          <w:b/>
          <w:bCs/>
          <w:i/>
          <w:iCs/>
          <w:sz w:val="22"/>
          <w:szCs w:val="22"/>
          <w:vertAlign w:val="subscript"/>
        </w:rPr>
        <w:t>200</w:t>
      </w:r>
      <w:r>
        <w:rPr>
          <w:bCs/>
          <w:i/>
          <w:iCs/>
          <w:sz w:val="22"/>
          <w:szCs w:val="22"/>
        </w:rPr>
        <w:t xml:space="preserve"> și planșee</w:t>
      </w:r>
      <w:r>
        <w:rPr>
          <w:b/>
          <w:i/>
          <w:iCs/>
          <w:sz w:val="22"/>
          <w:szCs w:val="22"/>
        </w:rPr>
        <w:t xml:space="preserve"> REI 90 </w:t>
      </w:r>
      <w:r>
        <w:rPr>
          <w:bCs/>
          <w:i/>
          <w:iCs/>
          <w:sz w:val="22"/>
          <w:szCs w:val="22"/>
        </w:rPr>
        <w:t xml:space="preserve">la nivelul </w:t>
      </w:r>
      <w:r>
        <w:rPr>
          <w:b/>
          <w:i/>
          <w:iCs/>
          <w:sz w:val="22"/>
          <w:szCs w:val="22"/>
        </w:rPr>
        <w:t>II</w:t>
      </w:r>
      <w:r>
        <w:rPr>
          <w:bCs/>
          <w:i/>
          <w:iCs/>
          <w:sz w:val="22"/>
          <w:szCs w:val="22"/>
        </w:rPr>
        <w:t xml:space="preserve"> de stabilitate la incendiu</w:t>
      </w:r>
    </w:p>
    <w:p w14:paraId="63574D94" w14:textId="77777777" w:rsidR="001C08A5" w:rsidRDefault="00000000">
      <w:pPr>
        <w:ind w:firstLine="720"/>
        <w:jc w:val="both"/>
        <w:rPr>
          <w:b/>
          <w:i/>
          <w:iCs/>
          <w:sz w:val="22"/>
          <w:szCs w:val="22"/>
        </w:rPr>
      </w:pPr>
      <w:r>
        <w:rPr>
          <w:bCs/>
          <w:i/>
          <w:iCs/>
          <w:sz w:val="22"/>
          <w:szCs w:val="22"/>
        </w:rPr>
        <w:t xml:space="preserve">- pereți </w:t>
      </w:r>
      <w:r>
        <w:rPr>
          <w:b/>
          <w:i/>
          <w:iCs/>
          <w:sz w:val="22"/>
          <w:szCs w:val="22"/>
        </w:rPr>
        <w:t xml:space="preserve">EI/REI90, </w:t>
      </w:r>
      <w:r>
        <w:rPr>
          <w:bCs/>
          <w:i/>
          <w:iCs/>
          <w:sz w:val="22"/>
          <w:szCs w:val="22"/>
        </w:rPr>
        <w:t>uși</w:t>
      </w:r>
      <w:r>
        <w:rPr>
          <w:b/>
          <w:bCs/>
          <w:i/>
          <w:iCs/>
          <w:sz w:val="22"/>
          <w:szCs w:val="22"/>
        </w:rPr>
        <w:t>EI</w:t>
      </w:r>
      <w:r>
        <w:rPr>
          <w:b/>
          <w:bCs/>
          <w:i/>
          <w:iCs/>
          <w:sz w:val="22"/>
          <w:szCs w:val="22"/>
          <w:vertAlign w:val="subscript"/>
        </w:rPr>
        <w:t>2</w:t>
      </w:r>
      <w:r>
        <w:rPr>
          <w:b/>
          <w:bCs/>
          <w:i/>
          <w:iCs/>
          <w:sz w:val="22"/>
          <w:szCs w:val="22"/>
        </w:rPr>
        <w:t>45 - C5</w:t>
      </w:r>
      <w:r>
        <w:rPr>
          <w:b/>
          <w:i/>
          <w:iCs/>
          <w:sz w:val="22"/>
          <w:szCs w:val="22"/>
        </w:rPr>
        <w:t>S</w:t>
      </w:r>
      <w:r>
        <w:rPr>
          <w:b/>
          <w:bCs/>
          <w:i/>
          <w:iCs/>
          <w:sz w:val="22"/>
          <w:szCs w:val="22"/>
          <w:vertAlign w:val="subscript"/>
        </w:rPr>
        <w:t>200</w:t>
      </w:r>
      <w:r>
        <w:rPr>
          <w:bCs/>
          <w:i/>
          <w:iCs/>
          <w:sz w:val="22"/>
          <w:szCs w:val="22"/>
        </w:rPr>
        <w:t xml:space="preserve"> și planșee</w:t>
      </w:r>
      <w:r>
        <w:rPr>
          <w:b/>
          <w:i/>
          <w:iCs/>
          <w:sz w:val="22"/>
          <w:szCs w:val="22"/>
        </w:rPr>
        <w:t xml:space="preserve"> REI 90 </w:t>
      </w:r>
      <w:r>
        <w:rPr>
          <w:bCs/>
          <w:i/>
          <w:iCs/>
          <w:sz w:val="22"/>
          <w:szCs w:val="22"/>
        </w:rPr>
        <w:t xml:space="preserve">la nivelul </w:t>
      </w:r>
      <w:r>
        <w:rPr>
          <w:b/>
          <w:i/>
          <w:iCs/>
          <w:sz w:val="22"/>
          <w:szCs w:val="22"/>
        </w:rPr>
        <w:t>II(+)</w:t>
      </w:r>
      <w:r>
        <w:rPr>
          <w:bCs/>
          <w:i/>
          <w:iCs/>
          <w:sz w:val="22"/>
          <w:szCs w:val="22"/>
        </w:rPr>
        <w:t xml:space="preserve"> de stabilitate la incendiu</w:t>
      </w:r>
    </w:p>
    <w:p w14:paraId="27481177" w14:textId="77777777" w:rsidR="001C08A5" w:rsidRDefault="00000000">
      <w:pPr>
        <w:ind w:left="709"/>
        <w:jc w:val="both"/>
        <w:rPr>
          <w:rFonts w:eastAsia="Times New Roman"/>
          <w:i/>
          <w:sz w:val="22"/>
          <w:szCs w:val="22"/>
        </w:rPr>
      </w:pPr>
      <w:r>
        <w:rPr>
          <w:i/>
          <w:sz w:val="22"/>
          <w:szCs w:val="22"/>
        </w:rPr>
        <w:t xml:space="preserve">(+) Construcții echipate cu instalații automate de stingere a incendiilor cu sprinklere/ prin </w:t>
      </w:r>
      <w:r>
        <w:rPr>
          <w:rFonts w:eastAsia="Times New Roman"/>
          <w:i/>
          <w:iCs/>
          <w:sz w:val="22"/>
          <w:szCs w:val="22"/>
        </w:rPr>
        <w:t>pulverizare suplim</w:t>
      </w:r>
      <w:r>
        <w:rPr>
          <w:rFonts w:eastAsia="Times New Roman"/>
          <w:i/>
          <w:sz w:val="22"/>
          <w:szCs w:val="22"/>
        </w:rPr>
        <w:t>entar față de cerințele reglementărilor tehnice specifice</w:t>
      </w:r>
    </w:p>
    <w:p w14:paraId="12D2CEE3" w14:textId="77777777" w:rsidR="001C08A5" w:rsidRDefault="001C08A5">
      <w:pPr>
        <w:jc w:val="both"/>
        <w:rPr>
          <w:b/>
          <w:i/>
          <w:iCs/>
          <w:sz w:val="22"/>
          <w:szCs w:val="22"/>
        </w:rPr>
      </w:pPr>
    </w:p>
    <w:p w14:paraId="3C5786F9" w14:textId="77777777" w:rsidR="001C08A5" w:rsidRDefault="00000000">
      <w:pPr>
        <w:jc w:val="both"/>
        <w:rPr>
          <w:sz w:val="24"/>
          <w:szCs w:val="24"/>
        </w:rPr>
      </w:pPr>
      <w:r>
        <w:rPr>
          <w:b/>
          <w:sz w:val="24"/>
          <w:szCs w:val="24"/>
        </w:rPr>
        <w:tab/>
        <w:t xml:space="preserve">Art. 5.5.3. (1) </w:t>
      </w:r>
      <w:r>
        <w:rPr>
          <w:sz w:val="24"/>
          <w:szCs w:val="24"/>
        </w:rPr>
        <w:t>Traseele căilor de evacuare a utilizatorilor clădirilor civile subterane independente trebuie astfel stabilite încât, prin distribuţia, alcătuirea, dimensionarea și marcarea lor, să se asigure recunoaşterea cu uşurinţă a direcţiei de evacuare spre exterior şi circulaţia uşoară a utilizatorilor.</w:t>
      </w:r>
    </w:p>
    <w:p w14:paraId="04E1D441" w14:textId="77777777" w:rsidR="001C08A5" w:rsidRDefault="00000000">
      <w:pPr>
        <w:widowControl w:val="0"/>
        <w:ind w:firstLine="720"/>
        <w:jc w:val="both"/>
        <w:rPr>
          <w:sz w:val="24"/>
          <w:szCs w:val="24"/>
        </w:rPr>
      </w:pPr>
      <w:r>
        <w:rPr>
          <w:b/>
          <w:bCs/>
          <w:sz w:val="24"/>
          <w:szCs w:val="24"/>
          <w:lang w:eastAsia="zh-CN"/>
        </w:rPr>
        <w:t xml:space="preserve">(2) </w:t>
      </w:r>
      <w:r>
        <w:rPr>
          <w:sz w:val="24"/>
          <w:szCs w:val="24"/>
          <w:lang w:eastAsia="zh-CN"/>
        </w:rPr>
        <w:t>Căile de circulaţie funcţională şi de evacuare a utilizatorilor construcţiilor subterane cu capacitatea maximă simultană mai mare de</w:t>
      </w:r>
      <w:r>
        <w:rPr>
          <w:b/>
          <w:bCs/>
          <w:sz w:val="24"/>
          <w:szCs w:val="24"/>
          <w:lang w:eastAsia="zh-CN"/>
        </w:rPr>
        <w:t xml:space="preserve"> 500</w:t>
      </w:r>
      <w:r>
        <w:rPr>
          <w:sz w:val="24"/>
          <w:szCs w:val="24"/>
          <w:lang w:eastAsia="zh-CN"/>
        </w:rPr>
        <w:t xml:space="preserve"> utilizatori sau a spaţiilor subterane cu capacitatea maximă simultană mai mare de </w:t>
      </w:r>
      <w:r>
        <w:rPr>
          <w:b/>
          <w:bCs/>
          <w:sz w:val="24"/>
          <w:szCs w:val="24"/>
          <w:lang w:eastAsia="zh-CN"/>
        </w:rPr>
        <w:t>150</w:t>
      </w:r>
      <w:r>
        <w:rPr>
          <w:sz w:val="24"/>
          <w:szCs w:val="24"/>
          <w:lang w:eastAsia="zh-CN"/>
        </w:rPr>
        <w:t xml:space="preserve"> utilizatori (cu exceptia celor de parcare), vor fi independente de căile de evacuare ale construcțiilor cu altă destinaţie, iar comunicarea între acestea este admisă numai prin încăperi tampon protejate</w:t>
      </w:r>
      <w:r>
        <w:rPr>
          <w:sz w:val="24"/>
          <w:szCs w:val="24"/>
        </w:rPr>
        <w:t>, ventilate în suprapresiune.</w:t>
      </w:r>
    </w:p>
    <w:p w14:paraId="66987443" w14:textId="77777777" w:rsidR="001C08A5" w:rsidRDefault="001C08A5">
      <w:pPr>
        <w:jc w:val="both"/>
        <w:rPr>
          <w:sz w:val="24"/>
          <w:szCs w:val="24"/>
        </w:rPr>
      </w:pPr>
    </w:p>
    <w:p w14:paraId="01B12674" w14:textId="77777777" w:rsidR="001C08A5" w:rsidRDefault="00000000">
      <w:pPr>
        <w:jc w:val="both"/>
        <w:rPr>
          <w:sz w:val="24"/>
          <w:szCs w:val="24"/>
        </w:rPr>
      </w:pPr>
      <w:r>
        <w:rPr>
          <w:b/>
          <w:sz w:val="24"/>
          <w:szCs w:val="24"/>
        </w:rPr>
        <w:tab/>
        <w:t>Art. 5.5.4. (1)</w:t>
      </w:r>
      <w:r>
        <w:rPr>
          <w:sz w:val="24"/>
          <w:szCs w:val="24"/>
        </w:rPr>
        <w:t xml:space="preserve"> În afară de scările de evacuare care asigură evacuarea utilizatorilor unui singur nivel subteran, scările de evacuare a utilizatorilor clădirilor civile subterane vor fi închise în case de scări şi vor avea rampele separate prin pereţi rezistenţi la foc minimum </w:t>
      </w:r>
      <w:r>
        <w:rPr>
          <w:b/>
          <w:sz w:val="24"/>
          <w:szCs w:val="24"/>
        </w:rPr>
        <w:t xml:space="preserve">EI/REI 180 </w:t>
      </w:r>
      <w:r>
        <w:rPr>
          <w:bCs/>
          <w:sz w:val="24"/>
          <w:szCs w:val="24"/>
        </w:rPr>
        <w:t xml:space="preserve">pentru nivelul </w:t>
      </w:r>
      <w:r>
        <w:rPr>
          <w:b/>
          <w:sz w:val="24"/>
          <w:szCs w:val="24"/>
        </w:rPr>
        <w:t>I</w:t>
      </w:r>
      <w:r>
        <w:rPr>
          <w:bCs/>
          <w:sz w:val="24"/>
          <w:szCs w:val="24"/>
        </w:rPr>
        <w:t xml:space="preserve"> de stabilitate la incendiu și </w:t>
      </w:r>
      <w:r>
        <w:rPr>
          <w:b/>
          <w:sz w:val="24"/>
          <w:szCs w:val="24"/>
        </w:rPr>
        <w:t>EI/REI 120</w:t>
      </w:r>
      <w:r>
        <w:rPr>
          <w:bCs/>
          <w:sz w:val="24"/>
          <w:szCs w:val="24"/>
        </w:rPr>
        <w:t xml:space="preserve"> pentru nivelul </w:t>
      </w:r>
      <w:r>
        <w:rPr>
          <w:b/>
          <w:sz w:val="24"/>
          <w:szCs w:val="24"/>
        </w:rPr>
        <w:t>II</w:t>
      </w:r>
      <w:r>
        <w:rPr>
          <w:bCs/>
          <w:sz w:val="24"/>
          <w:szCs w:val="24"/>
        </w:rPr>
        <w:t xml:space="preserve"> de stabilitate la incendiu (indiferent de echiparea suplimentară cu instalații automate de sprinklere față de prevederile normativului de profil). </w:t>
      </w:r>
    </w:p>
    <w:p w14:paraId="041CEA24" w14:textId="77777777" w:rsidR="001C08A5" w:rsidRDefault="00000000">
      <w:pPr>
        <w:ind w:firstLine="720"/>
        <w:jc w:val="both"/>
        <w:rPr>
          <w:sz w:val="24"/>
          <w:szCs w:val="24"/>
        </w:rPr>
      </w:pPr>
      <w:r>
        <w:rPr>
          <w:b/>
          <w:sz w:val="24"/>
          <w:szCs w:val="24"/>
        </w:rPr>
        <w:t>(2)</w:t>
      </w:r>
      <w:r>
        <w:rPr>
          <w:sz w:val="24"/>
          <w:szCs w:val="24"/>
        </w:rPr>
        <w:t xml:space="preserve"> În clădirile subterane precum și în porţiunile subterane (subsolurile) clădirilor civile (publice) supraterane pot fi prevăzute scări rulante realizate conform prevederilor </w:t>
      </w:r>
      <w:r>
        <w:rPr>
          <w:b/>
          <w:bCs/>
          <w:sz w:val="24"/>
          <w:szCs w:val="24"/>
        </w:rPr>
        <w:t xml:space="preserve">Art. </w:t>
      </w:r>
      <w:r>
        <w:rPr>
          <w:b/>
          <w:sz w:val="24"/>
          <w:szCs w:val="24"/>
        </w:rPr>
        <w:t>2.5.6.3.3.</w:t>
      </w:r>
      <w:r>
        <w:rPr>
          <w:sz w:val="24"/>
          <w:szCs w:val="24"/>
        </w:rPr>
        <w:t>, cu condiţia asigurării şi a căilor de evacuare a utilizatorilor prin scări închise.</w:t>
      </w:r>
      <w:r>
        <w:rPr>
          <w:sz w:val="24"/>
          <w:szCs w:val="24"/>
        </w:rPr>
        <w:tab/>
      </w:r>
    </w:p>
    <w:p w14:paraId="644F0AD2" w14:textId="77777777" w:rsidR="001C08A5" w:rsidRDefault="001C08A5">
      <w:pPr>
        <w:ind w:left="1276"/>
        <w:jc w:val="both"/>
        <w:rPr>
          <w:sz w:val="24"/>
          <w:szCs w:val="24"/>
        </w:rPr>
      </w:pPr>
    </w:p>
    <w:p w14:paraId="475EFD69" w14:textId="77777777" w:rsidR="001C08A5" w:rsidRDefault="00000000">
      <w:pPr>
        <w:jc w:val="both"/>
        <w:rPr>
          <w:sz w:val="24"/>
          <w:szCs w:val="24"/>
        </w:rPr>
      </w:pPr>
      <w:r>
        <w:rPr>
          <w:b/>
          <w:sz w:val="24"/>
          <w:szCs w:val="24"/>
        </w:rPr>
        <w:tab/>
        <w:t xml:space="preserve">Art. 5.5.5. (1) </w:t>
      </w:r>
      <w:r>
        <w:rPr>
          <w:bCs/>
          <w:sz w:val="24"/>
          <w:szCs w:val="24"/>
        </w:rPr>
        <w:t>Căile de evacuare a utilizatorilor</w:t>
      </w:r>
      <w:r>
        <w:rPr>
          <w:sz w:val="24"/>
          <w:szCs w:val="24"/>
        </w:rPr>
        <w:t xml:space="preserve"> clădirilor clădirilor civile subterane independente vor respecta lungimile de evacuare precizate în </w:t>
      </w:r>
      <w:r>
        <w:rPr>
          <w:b/>
          <w:bCs/>
          <w:i/>
          <w:iCs/>
          <w:sz w:val="24"/>
          <w:szCs w:val="24"/>
        </w:rPr>
        <w:fldChar w:fldCharType="begin"/>
      </w:r>
      <w:r>
        <w:rPr>
          <w:b/>
          <w:bCs/>
          <w:i/>
          <w:iCs/>
          <w:sz w:val="24"/>
          <w:szCs w:val="24"/>
        </w:rPr>
        <w:instrText xml:space="preserve"> REF _Ref26999 \h </w:instrText>
      </w:r>
      <w:r>
        <w:rPr>
          <w:b/>
          <w:bCs/>
          <w:i/>
          <w:iCs/>
          <w:sz w:val="24"/>
          <w:szCs w:val="24"/>
        </w:rPr>
      </w:r>
      <w:r>
        <w:rPr>
          <w:b/>
          <w:bCs/>
          <w:i/>
          <w:iCs/>
          <w:sz w:val="24"/>
          <w:szCs w:val="24"/>
        </w:rPr>
        <w:fldChar w:fldCharType="separate"/>
      </w:r>
      <w:r>
        <w:t>Tabelul 113</w:t>
      </w:r>
      <w:r>
        <w:rPr>
          <w:b/>
          <w:bCs/>
          <w:i/>
          <w:iCs/>
          <w:sz w:val="24"/>
          <w:szCs w:val="24"/>
        </w:rPr>
        <w:fldChar w:fldCharType="end"/>
      </w:r>
      <w:r>
        <w:rPr>
          <w:b/>
          <w:bCs/>
          <w:sz w:val="24"/>
          <w:szCs w:val="24"/>
        </w:rPr>
        <w:t>.</w:t>
      </w:r>
    </w:p>
    <w:p w14:paraId="222C7B9D" w14:textId="77777777" w:rsidR="001C08A5" w:rsidRDefault="00000000">
      <w:pPr>
        <w:jc w:val="both"/>
        <w:rPr>
          <w:sz w:val="24"/>
          <w:szCs w:val="24"/>
        </w:rPr>
      </w:pPr>
      <w:r>
        <w:rPr>
          <w:sz w:val="24"/>
          <w:szCs w:val="24"/>
        </w:rPr>
        <w:lastRenderedPageBreak/>
        <w:tab/>
      </w:r>
      <w:r>
        <w:rPr>
          <w:b/>
          <w:bCs/>
          <w:sz w:val="24"/>
          <w:szCs w:val="24"/>
        </w:rPr>
        <w:t>(2)</w:t>
      </w:r>
      <w:r>
        <w:rPr>
          <w:sz w:val="24"/>
          <w:szCs w:val="24"/>
        </w:rPr>
        <w:t xml:space="preserve"> Lungimile de evacuare maximum admise se determină pentru traseul de evacuare parcurs de la uşa încăperii până la cea mai apropiată uşă de intrare în încăperea tampon protejată, ventilate în suprapresiune, a scării închise de evacuare.</w:t>
      </w:r>
    </w:p>
    <w:p w14:paraId="1F8F010A" w14:textId="77777777" w:rsidR="001C08A5" w:rsidRDefault="00000000">
      <w:pPr>
        <w:jc w:val="both"/>
        <w:rPr>
          <w:sz w:val="24"/>
          <w:szCs w:val="24"/>
        </w:rPr>
      </w:pPr>
      <w:r>
        <w:rPr>
          <w:sz w:val="24"/>
          <w:szCs w:val="24"/>
        </w:rPr>
        <w:tab/>
      </w:r>
      <w:r>
        <w:rPr>
          <w:b/>
          <w:bCs/>
          <w:sz w:val="24"/>
          <w:szCs w:val="24"/>
        </w:rPr>
        <w:t>(3)</w:t>
      </w:r>
      <w:r>
        <w:rPr>
          <w:sz w:val="24"/>
          <w:szCs w:val="24"/>
        </w:rPr>
        <w:t xml:space="preserve"> În interiorul încăperilor se asigură lungimea de evacuare admisă într-o singură direcţie (coridor înfundat).</w:t>
      </w:r>
    </w:p>
    <w:p w14:paraId="4C27AFA7" w14:textId="77777777" w:rsidR="001C08A5" w:rsidRDefault="001C08A5">
      <w:pPr>
        <w:jc w:val="both"/>
        <w:rPr>
          <w:sz w:val="24"/>
          <w:szCs w:val="24"/>
        </w:rPr>
      </w:pPr>
    </w:p>
    <w:p w14:paraId="298A7D66" w14:textId="77777777" w:rsidR="001C08A5" w:rsidRDefault="00000000">
      <w:pPr>
        <w:pStyle w:val="Captiontabel"/>
      </w:pPr>
      <w:bookmarkStart w:id="5048" w:name="_Ref26999"/>
      <w:bookmarkStart w:id="5049" w:name="_Toc162360163"/>
      <w:bookmarkStart w:id="5050" w:name="_Ref17118"/>
      <w:r>
        <w:t xml:space="preserve">Tabelul </w:t>
      </w:r>
      <w:r>
        <w:fldChar w:fldCharType="begin"/>
      </w:r>
      <w:r>
        <w:instrText xml:space="preserve"> SEQ Tabelul \* ARABIC </w:instrText>
      </w:r>
      <w:r>
        <w:fldChar w:fldCharType="separate"/>
      </w:r>
      <w:r>
        <w:t>113</w:t>
      </w:r>
      <w:r>
        <w:fldChar w:fldCharType="end"/>
      </w:r>
      <w:bookmarkStart w:id="5051" w:name="_Toc15085"/>
      <w:bookmarkStart w:id="5052" w:name="_Toc22307"/>
      <w:bookmarkStart w:id="5053" w:name="_Toc1787"/>
      <w:bookmarkStart w:id="5054" w:name="_Toc16297"/>
      <w:bookmarkStart w:id="5055" w:name="_Toc6022"/>
      <w:bookmarkStart w:id="5056" w:name="_Toc19573"/>
      <w:bookmarkStart w:id="5057" w:name="_Toc1730"/>
      <w:bookmarkStart w:id="5058" w:name="_Toc30799"/>
      <w:bookmarkStart w:id="5059" w:name="_Toc8787"/>
      <w:bookmarkStart w:id="5060" w:name="_Toc17505"/>
      <w:bookmarkStart w:id="5061" w:name="_Toc2789"/>
      <w:bookmarkStart w:id="5062" w:name="_Toc14745"/>
      <w:bookmarkStart w:id="5063" w:name="_Toc29982"/>
      <w:bookmarkStart w:id="5064" w:name="_Toc27042"/>
      <w:bookmarkStart w:id="5065" w:name="_Toc6591"/>
      <w:bookmarkStart w:id="5066" w:name="_Toc13562"/>
      <w:bookmarkStart w:id="5067" w:name="_Toc19692"/>
      <w:bookmarkStart w:id="5068" w:name="_Toc27514"/>
      <w:bookmarkStart w:id="5069" w:name="_Toc24535"/>
      <w:bookmarkEnd w:id="5048"/>
      <w:r>
        <w:t>: Lungimi de evacuare în clădiri civile subterane independente</w:t>
      </w:r>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p>
    <w:p w14:paraId="40F982D4" w14:textId="77777777" w:rsidR="001C08A5" w:rsidRDefault="001C08A5">
      <w:pPr>
        <w:jc w:val="both"/>
        <w:rPr>
          <w:sz w:val="24"/>
          <w:szCs w:val="24"/>
        </w:rPr>
      </w:pPr>
    </w:p>
    <w:tbl>
      <w:tblPr>
        <w:tblW w:w="958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2320"/>
        <w:gridCol w:w="1609"/>
        <w:gridCol w:w="1636"/>
        <w:gridCol w:w="1964"/>
        <w:gridCol w:w="1391"/>
        <w:gridCol w:w="35"/>
      </w:tblGrid>
      <w:tr w:rsidR="001C08A5" w14:paraId="72A51AE8" w14:textId="77777777">
        <w:trPr>
          <w:jc w:val="right"/>
        </w:trPr>
        <w:tc>
          <w:tcPr>
            <w:tcW w:w="630" w:type="dxa"/>
            <w:vMerge w:val="restart"/>
            <w:shd w:val="clear" w:color="auto" w:fill="BFBFBF"/>
          </w:tcPr>
          <w:p w14:paraId="3F1CD183" w14:textId="77777777" w:rsidR="001C08A5" w:rsidRDefault="001C08A5">
            <w:pPr>
              <w:snapToGrid w:val="0"/>
              <w:jc w:val="center"/>
              <w:rPr>
                <w:b/>
                <w:i/>
                <w:iCs/>
                <w:sz w:val="22"/>
                <w:szCs w:val="22"/>
              </w:rPr>
            </w:pPr>
          </w:p>
          <w:p w14:paraId="4F9E67E7" w14:textId="77777777" w:rsidR="001C08A5" w:rsidRDefault="001C08A5">
            <w:pPr>
              <w:jc w:val="center"/>
              <w:rPr>
                <w:b/>
                <w:i/>
                <w:iCs/>
                <w:sz w:val="22"/>
                <w:szCs w:val="22"/>
              </w:rPr>
            </w:pPr>
          </w:p>
          <w:p w14:paraId="0B04F68B" w14:textId="77777777" w:rsidR="001C08A5" w:rsidRDefault="00000000">
            <w:pPr>
              <w:jc w:val="center"/>
              <w:rPr>
                <w:i/>
                <w:iCs/>
                <w:sz w:val="22"/>
                <w:szCs w:val="22"/>
              </w:rPr>
            </w:pPr>
            <w:r>
              <w:rPr>
                <w:b/>
                <w:i/>
                <w:iCs/>
                <w:sz w:val="22"/>
                <w:szCs w:val="22"/>
              </w:rPr>
              <w:t>Nr. crt.</w:t>
            </w:r>
          </w:p>
          <w:p w14:paraId="5872DC01" w14:textId="77777777" w:rsidR="001C08A5" w:rsidRDefault="001C08A5">
            <w:pPr>
              <w:jc w:val="center"/>
              <w:rPr>
                <w:i/>
                <w:iCs/>
                <w:sz w:val="22"/>
                <w:szCs w:val="22"/>
              </w:rPr>
            </w:pPr>
          </w:p>
        </w:tc>
        <w:tc>
          <w:tcPr>
            <w:tcW w:w="2320" w:type="dxa"/>
            <w:vMerge w:val="restart"/>
            <w:shd w:val="clear" w:color="auto" w:fill="BFBFBF"/>
          </w:tcPr>
          <w:p w14:paraId="496F0454" w14:textId="77777777" w:rsidR="001C08A5" w:rsidRDefault="001C08A5">
            <w:pPr>
              <w:snapToGrid w:val="0"/>
              <w:jc w:val="center"/>
              <w:rPr>
                <w:b/>
                <w:i/>
                <w:iCs/>
                <w:sz w:val="22"/>
                <w:szCs w:val="22"/>
              </w:rPr>
            </w:pPr>
          </w:p>
          <w:p w14:paraId="4305EEEB" w14:textId="77777777" w:rsidR="001C08A5" w:rsidRDefault="00000000">
            <w:pPr>
              <w:jc w:val="center"/>
              <w:rPr>
                <w:b/>
                <w:i/>
                <w:iCs/>
                <w:sz w:val="22"/>
                <w:szCs w:val="22"/>
              </w:rPr>
            </w:pPr>
            <w:r>
              <w:rPr>
                <w:b/>
                <w:i/>
                <w:iCs/>
                <w:sz w:val="22"/>
                <w:szCs w:val="22"/>
              </w:rPr>
              <w:t>Destinaţia clădirii civile subterane independente</w:t>
            </w:r>
          </w:p>
        </w:tc>
        <w:tc>
          <w:tcPr>
            <w:tcW w:w="1609" w:type="dxa"/>
            <w:vMerge w:val="restart"/>
            <w:shd w:val="clear" w:color="auto" w:fill="BFBFBF"/>
          </w:tcPr>
          <w:p w14:paraId="55AB967F" w14:textId="77777777" w:rsidR="001C08A5" w:rsidRDefault="00000000">
            <w:pPr>
              <w:jc w:val="center"/>
              <w:rPr>
                <w:b/>
                <w:i/>
                <w:iCs/>
                <w:sz w:val="22"/>
                <w:szCs w:val="22"/>
              </w:rPr>
            </w:pPr>
            <w:r>
              <w:rPr>
                <w:b/>
                <w:i/>
                <w:iCs/>
                <w:sz w:val="22"/>
                <w:szCs w:val="22"/>
              </w:rPr>
              <w:t>Nivel de stabilitate  la incendiu asigurat</w:t>
            </w:r>
          </w:p>
        </w:tc>
        <w:tc>
          <w:tcPr>
            <w:tcW w:w="3600" w:type="dxa"/>
            <w:gridSpan w:val="2"/>
            <w:shd w:val="clear" w:color="auto" w:fill="BFBFBF"/>
          </w:tcPr>
          <w:p w14:paraId="32B959E8" w14:textId="77777777" w:rsidR="001C08A5" w:rsidRDefault="00000000">
            <w:pPr>
              <w:jc w:val="center"/>
              <w:rPr>
                <w:b/>
                <w:i/>
                <w:iCs/>
                <w:sz w:val="22"/>
                <w:szCs w:val="22"/>
              </w:rPr>
            </w:pPr>
            <w:r>
              <w:rPr>
                <w:b/>
                <w:i/>
                <w:iCs/>
                <w:sz w:val="22"/>
                <w:szCs w:val="22"/>
              </w:rPr>
              <w:t xml:space="preserve">Lungime maximă de evacuare </w:t>
            </w:r>
          </w:p>
        </w:tc>
        <w:tc>
          <w:tcPr>
            <w:tcW w:w="1426" w:type="dxa"/>
            <w:gridSpan w:val="2"/>
            <w:vMerge w:val="restart"/>
            <w:shd w:val="clear" w:color="auto" w:fill="BFBFBF"/>
          </w:tcPr>
          <w:p w14:paraId="0BBAF5F9" w14:textId="77777777" w:rsidR="001C08A5" w:rsidRDefault="001C08A5">
            <w:pPr>
              <w:snapToGrid w:val="0"/>
              <w:jc w:val="center"/>
              <w:rPr>
                <w:b/>
                <w:i/>
                <w:iCs/>
                <w:sz w:val="22"/>
                <w:szCs w:val="22"/>
              </w:rPr>
            </w:pPr>
          </w:p>
          <w:p w14:paraId="1E7AF906" w14:textId="77777777" w:rsidR="001C08A5" w:rsidRDefault="001C08A5">
            <w:pPr>
              <w:jc w:val="center"/>
              <w:rPr>
                <w:b/>
                <w:i/>
                <w:iCs/>
                <w:sz w:val="22"/>
                <w:szCs w:val="22"/>
              </w:rPr>
            </w:pPr>
          </w:p>
          <w:p w14:paraId="6EB00B0E" w14:textId="77777777" w:rsidR="001C08A5" w:rsidRDefault="00000000">
            <w:pPr>
              <w:jc w:val="center"/>
              <w:rPr>
                <w:i/>
                <w:iCs/>
                <w:sz w:val="22"/>
                <w:szCs w:val="22"/>
              </w:rPr>
            </w:pPr>
            <w:r>
              <w:rPr>
                <w:b/>
                <w:i/>
                <w:iCs/>
                <w:sz w:val="22"/>
                <w:szCs w:val="22"/>
              </w:rPr>
              <w:t>Observaţii</w:t>
            </w:r>
          </w:p>
        </w:tc>
      </w:tr>
      <w:tr w:rsidR="001C08A5" w14:paraId="34AE6901" w14:textId="77777777">
        <w:trPr>
          <w:jc w:val="right"/>
        </w:trPr>
        <w:tc>
          <w:tcPr>
            <w:tcW w:w="630" w:type="dxa"/>
            <w:vMerge/>
            <w:shd w:val="clear" w:color="auto" w:fill="auto"/>
          </w:tcPr>
          <w:p w14:paraId="43063C2E" w14:textId="77777777" w:rsidR="001C08A5" w:rsidRDefault="001C08A5">
            <w:pPr>
              <w:snapToGrid w:val="0"/>
              <w:jc w:val="center"/>
              <w:rPr>
                <w:i/>
                <w:iCs/>
                <w:sz w:val="22"/>
                <w:szCs w:val="22"/>
              </w:rPr>
            </w:pPr>
          </w:p>
        </w:tc>
        <w:tc>
          <w:tcPr>
            <w:tcW w:w="2320" w:type="dxa"/>
            <w:vMerge/>
            <w:shd w:val="clear" w:color="auto" w:fill="auto"/>
          </w:tcPr>
          <w:p w14:paraId="613F7AF7" w14:textId="77777777" w:rsidR="001C08A5" w:rsidRDefault="001C08A5">
            <w:pPr>
              <w:snapToGrid w:val="0"/>
              <w:jc w:val="center"/>
              <w:rPr>
                <w:i/>
                <w:iCs/>
                <w:sz w:val="22"/>
                <w:szCs w:val="22"/>
              </w:rPr>
            </w:pPr>
          </w:p>
        </w:tc>
        <w:tc>
          <w:tcPr>
            <w:tcW w:w="1609" w:type="dxa"/>
            <w:vMerge/>
            <w:shd w:val="clear" w:color="auto" w:fill="auto"/>
          </w:tcPr>
          <w:p w14:paraId="5B5D2FCB" w14:textId="77777777" w:rsidR="001C08A5" w:rsidRDefault="001C08A5">
            <w:pPr>
              <w:snapToGrid w:val="0"/>
              <w:jc w:val="center"/>
              <w:rPr>
                <w:i/>
                <w:iCs/>
                <w:sz w:val="22"/>
                <w:szCs w:val="22"/>
              </w:rPr>
            </w:pPr>
          </w:p>
        </w:tc>
        <w:tc>
          <w:tcPr>
            <w:tcW w:w="1636" w:type="dxa"/>
            <w:shd w:val="clear" w:color="auto" w:fill="BFBFBF"/>
          </w:tcPr>
          <w:p w14:paraId="20FF6553" w14:textId="77777777" w:rsidR="001C08A5" w:rsidRDefault="00000000">
            <w:pPr>
              <w:jc w:val="center"/>
              <w:rPr>
                <w:b/>
                <w:i/>
                <w:iCs/>
                <w:sz w:val="22"/>
                <w:szCs w:val="22"/>
              </w:rPr>
            </w:pPr>
            <w:r>
              <w:rPr>
                <w:b/>
                <w:i/>
                <w:iCs/>
                <w:sz w:val="22"/>
                <w:szCs w:val="22"/>
              </w:rPr>
              <w:t>în două direcţii diferite</w:t>
            </w:r>
          </w:p>
        </w:tc>
        <w:tc>
          <w:tcPr>
            <w:tcW w:w="1964" w:type="dxa"/>
            <w:shd w:val="clear" w:color="auto" w:fill="BFBFBF"/>
          </w:tcPr>
          <w:p w14:paraId="00DEEE2F" w14:textId="77777777" w:rsidR="001C08A5" w:rsidRDefault="00000000">
            <w:pPr>
              <w:jc w:val="center"/>
              <w:rPr>
                <w:i/>
                <w:iCs/>
                <w:sz w:val="22"/>
                <w:szCs w:val="22"/>
              </w:rPr>
            </w:pPr>
            <w:r>
              <w:rPr>
                <w:b/>
                <w:i/>
                <w:iCs/>
                <w:sz w:val="22"/>
                <w:szCs w:val="22"/>
              </w:rPr>
              <w:t>într-o direcţie (coridor înfundat)</w:t>
            </w:r>
          </w:p>
        </w:tc>
        <w:tc>
          <w:tcPr>
            <w:tcW w:w="1426" w:type="dxa"/>
            <w:gridSpan w:val="2"/>
            <w:vMerge/>
          </w:tcPr>
          <w:p w14:paraId="03642A10" w14:textId="77777777" w:rsidR="001C08A5" w:rsidRDefault="001C08A5">
            <w:pPr>
              <w:snapToGrid w:val="0"/>
              <w:rPr>
                <w:i/>
                <w:iCs/>
                <w:sz w:val="22"/>
                <w:szCs w:val="22"/>
              </w:rPr>
            </w:pPr>
          </w:p>
        </w:tc>
      </w:tr>
      <w:tr w:rsidR="001C08A5" w14:paraId="0AF104AA" w14:textId="77777777">
        <w:trPr>
          <w:jc w:val="right"/>
        </w:trPr>
        <w:tc>
          <w:tcPr>
            <w:tcW w:w="630" w:type="dxa"/>
            <w:vMerge/>
            <w:shd w:val="clear" w:color="auto" w:fill="auto"/>
          </w:tcPr>
          <w:p w14:paraId="21FF0B63" w14:textId="77777777" w:rsidR="001C08A5" w:rsidRDefault="001C08A5">
            <w:pPr>
              <w:snapToGrid w:val="0"/>
              <w:jc w:val="center"/>
              <w:rPr>
                <w:i/>
                <w:iCs/>
                <w:sz w:val="22"/>
                <w:szCs w:val="22"/>
              </w:rPr>
            </w:pPr>
          </w:p>
        </w:tc>
        <w:tc>
          <w:tcPr>
            <w:tcW w:w="2320" w:type="dxa"/>
            <w:vMerge/>
            <w:shd w:val="clear" w:color="auto" w:fill="auto"/>
          </w:tcPr>
          <w:p w14:paraId="50649C1C" w14:textId="77777777" w:rsidR="001C08A5" w:rsidRDefault="001C08A5">
            <w:pPr>
              <w:snapToGrid w:val="0"/>
              <w:jc w:val="center"/>
              <w:rPr>
                <w:i/>
                <w:iCs/>
                <w:sz w:val="22"/>
                <w:szCs w:val="22"/>
              </w:rPr>
            </w:pPr>
          </w:p>
        </w:tc>
        <w:tc>
          <w:tcPr>
            <w:tcW w:w="1609" w:type="dxa"/>
            <w:vMerge/>
            <w:shd w:val="clear" w:color="auto" w:fill="auto"/>
          </w:tcPr>
          <w:p w14:paraId="3EC5B6C6" w14:textId="77777777" w:rsidR="001C08A5" w:rsidRDefault="001C08A5">
            <w:pPr>
              <w:snapToGrid w:val="0"/>
              <w:jc w:val="center"/>
              <w:rPr>
                <w:i/>
                <w:iCs/>
                <w:sz w:val="22"/>
                <w:szCs w:val="22"/>
              </w:rPr>
            </w:pPr>
          </w:p>
        </w:tc>
        <w:tc>
          <w:tcPr>
            <w:tcW w:w="1636" w:type="dxa"/>
            <w:shd w:val="clear" w:color="auto" w:fill="BFBFBF"/>
          </w:tcPr>
          <w:p w14:paraId="4201AEEF" w14:textId="77777777" w:rsidR="001C08A5" w:rsidRDefault="00000000">
            <w:pPr>
              <w:jc w:val="center"/>
              <w:rPr>
                <w:b/>
                <w:i/>
                <w:iCs/>
                <w:sz w:val="22"/>
                <w:szCs w:val="22"/>
              </w:rPr>
            </w:pPr>
            <w:r>
              <w:rPr>
                <w:b/>
                <w:i/>
                <w:iCs/>
                <w:sz w:val="22"/>
                <w:szCs w:val="22"/>
              </w:rPr>
              <w:t>metri</w:t>
            </w:r>
          </w:p>
        </w:tc>
        <w:tc>
          <w:tcPr>
            <w:tcW w:w="1964" w:type="dxa"/>
            <w:shd w:val="clear" w:color="auto" w:fill="BFBFBF"/>
          </w:tcPr>
          <w:p w14:paraId="55A0DAF8" w14:textId="77777777" w:rsidR="001C08A5" w:rsidRDefault="00000000">
            <w:pPr>
              <w:jc w:val="center"/>
              <w:rPr>
                <w:i/>
                <w:iCs/>
                <w:sz w:val="22"/>
                <w:szCs w:val="22"/>
              </w:rPr>
            </w:pPr>
            <w:r>
              <w:rPr>
                <w:b/>
                <w:i/>
                <w:iCs/>
                <w:sz w:val="22"/>
                <w:szCs w:val="22"/>
              </w:rPr>
              <w:t>metri</w:t>
            </w:r>
          </w:p>
        </w:tc>
        <w:tc>
          <w:tcPr>
            <w:tcW w:w="1426" w:type="dxa"/>
            <w:gridSpan w:val="2"/>
            <w:vMerge/>
          </w:tcPr>
          <w:p w14:paraId="16FD3543" w14:textId="77777777" w:rsidR="001C08A5" w:rsidRDefault="001C08A5">
            <w:pPr>
              <w:snapToGrid w:val="0"/>
              <w:rPr>
                <w:i/>
                <w:iCs/>
                <w:sz w:val="22"/>
                <w:szCs w:val="22"/>
              </w:rPr>
            </w:pPr>
          </w:p>
        </w:tc>
      </w:tr>
      <w:tr w:rsidR="001C08A5" w14:paraId="1CA623F9" w14:textId="77777777">
        <w:trPr>
          <w:gridAfter w:val="1"/>
          <w:wAfter w:w="35" w:type="dxa"/>
          <w:trHeight w:val="608"/>
          <w:jc w:val="right"/>
        </w:trPr>
        <w:tc>
          <w:tcPr>
            <w:tcW w:w="630" w:type="dxa"/>
            <w:vMerge w:val="restart"/>
          </w:tcPr>
          <w:p w14:paraId="5B4C9F82" w14:textId="77777777" w:rsidR="001C08A5" w:rsidRDefault="001C08A5">
            <w:pPr>
              <w:snapToGrid w:val="0"/>
              <w:jc w:val="center"/>
              <w:rPr>
                <w:i/>
                <w:iCs/>
                <w:sz w:val="22"/>
                <w:szCs w:val="22"/>
              </w:rPr>
            </w:pPr>
          </w:p>
          <w:p w14:paraId="25902F72" w14:textId="77777777" w:rsidR="001C08A5" w:rsidRDefault="00000000">
            <w:pPr>
              <w:jc w:val="center"/>
              <w:rPr>
                <w:i/>
                <w:iCs/>
                <w:sz w:val="22"/>
                <w:szCs w:val="22"/>
              </w:rPr>
            </w:pPr>
            <w:r>
              <w:rPr>
                <w:i/>
                <w:iCs/>
                <w:sz w:val="22"/>
                <w:szCs w:val="22"/>
              </w:rPr>
              <w:t>1.</w:t>
            </w:r>
          </w:p>
        </w:tc>
        <w:tc>
          <w:tcPr>
            <w:tcW w:w="2320" w:type="dxa"/>
            <w:vMerge w:val="restart"/>
          </w:tcPr>
          <w:p w14:paraId="2778ED80" w14:textId="77777777" w:rsidR="001C08A5" w:rsidRDefault="00000000">
            <w:pPr>
              <w:jc w:val="center"/>
              <w:rPr>
                <w:b/>
                <w:i/>
                <w:iCs/>
                <w:sz w:val="22"/>
                <w:szCs w:val="22"/>
              </w:rPr>
            </w:pPr>
            <w:r>
              <w:rPr>
                <w:bCs/>
                <w:i/>
                <w:iCs/>
                <w:sz w:val="22"/>
                <w:szCs w:val="22"/>
              </w:rPr>
              <w:t>Administrativă,  centre comerciale, galerii de artă, discoteci, baruri, săli de întruniri sau spectacole, alimentaţie, servicii etc</w:t>
            </w:r>
          </w:p>
        </w:tc>
        <w:tc>
          <w:tcPr>
            <w:tcW w:w="1609" w:type="dxa"/>
            <w:vAlign w:val="center"/>
          </w:tcPr>
          <w:p w14:paraId="653C0D1B" w14:textId="77777777" w:rsidR="001C08A5" w:rsidRDefault="00000000">
            <w:pPr>
              <w:jc w:val="center"/>
              <w:rPr>
                <w:i/>
                <w:iCs/>
                <w:sz w:val="22"/>
                <w:szCs w:val="22"/>
              </w:rPr>
            </w:pPr>
            <w:r>
              <w:rPr>
                <w:b/>
                <w:i/>
                <w:iCs/>
                <w:sz w:val="22"/>
                <w:szCs w:val="22"/>
              </w:rPr>
              <w:t>I</w:t>
            </w:r>
          </w:p>
        </w:tc>
        <w:tc>
          <w:tcPr>
            <w:tcW w:w="1636" w:type="dxa"/>
            <w:vAlign w:val="center"/>
          </w:tcPr>
          <w:p w14:paraId="4BCFBB32" w14:textId="77777777" w:rsidR="001C08A5" w:rsidRDefault="00000000">
            <w:pPr>
              <w:jc w:val="center"/>
              <w:rPr>
                <w:b/>
                <w:bCs/>
                <w:i/>
                <w:iCs/>
                <w:sz w:val="22"/>
                <w:szCs w:val="22"/>
              </w:rPr>
            </w:pPr>
            <w:r>
              <w:rPr>
                <w:b/>
                <w:bCs/>
                <w:i/>
                <w:iCs/>
                <w:sz w:val="22"/>
                <w:szCs w:val="22"/>
              </w:rPr>
              <w:t>35</w:t>
            </w:r>
          </w:p>
        </w:tc>
        <w:tc>
          <w:tcPr>
            <w:tcW w:w="1964" w:type="dxa"/>
            <w:vAlign w:val="center"/>
          </w:tcPr>
          <w:p w14:paraId="7B4D46B3" w14:textId="77777777" w:rsidR="001C08A5" w:rsidRDefault="00000000">
            <w:pPr>
              <w:jc w:val="center"/>
              <w:rPr>
                <w:b/>
                <w:bCs/>
                <w:i/>
                <w:iCs/>
                <w:sz w:val="22"/>
                <w:szCs w:val="22"/>
              </w:rPr>
            </w:pPr>
            <w:r>
              <w:rPr>
                <w:b/>
                <w:bCs/>
                <w:i/>
                <w:iCs/>
                <w:sz w:val="22"/>
                <w:szCs w:val="22"/>
              </w:rPr>
              <w:t>20</w:t>
            </w:r>
          </w:p>
        </w:tc>
        <w:tc>
          <w:tcPr>
            <w:tcW w:w="1391" w:type="dxa"/>
            <w:vMerge w:val="restart"/>
          </w:tcPr>
          <w:p w14:paraId="5E9E438D" w14:textId="77777777" w:rsidR="001C08A5" w:rsidRDefault="001C08A5">
            <w:pPr>
              <w:snapToGrid w:val="0"/>
              <w:jc w:val="center"/>
              <w:rPr>
                <w:i/>
                <w:iCs/>
                <w:sz w:val="22"/>
                <w:szCs w:val="22"/>
              </w:rPr>
            </w:pPr>
          </w:p>
          <w:p w14:paraId="7892623E" w14:textId="77777777" w:rsidR="001C08A5" w:rsidRDefault="001C08A5">
            <w:pPr>
              <w:jc w:val="center"/>
              <w:rPr>
                <w:i/>
                <w:iCs/>
                <w:sz w:val="22"/>
                <w:szCs w:val="22"/>
              </w:rPr>
            </w:pPr>
          </w:p>
          <w:p w14:paraId="22CFE58D" w14:textId="77777777" w:rsidR="001C08A5" w:rsidRDefault="00000000">
            <w:pPr>
              <w:jc w:val="center"/>
              <w:rPr>
                <w:i/>
                <w:iCs/>
                <w:sz w:val="22"/>
                <w:szCs w:val="22"/>
              </w:rPr>
            </w:pPr>
            <w:r>
              <w:rPr>
                <w:i/>
                <w:iCs/>
                <w:sz w:val="22"/>
                <w:szCs w:val="22"/>
              </w:rPr>
              <w:t>-</w:t>
            </w:r>
          </w:p>
        </w:tc>
      </w:tr>
      <w:tr w:rsidR="001C08A5" w14:paraId="35611525" w14:textId="77777777">
        <w:trPr>
          <w:gridAfter w:val="1"/>
          <w:wAfter w:w="35" w:type="dxa"/>
          <w:trHeight w:val="637"/>
          <w:jc w:val="right"/>
        </w:trPr>
        <w:tc>
          <w:tcPr>
            <w:tcW w:w="630" w:type="dxa"/>
            <w:vMerge/>
          </w:tcPr>
          <w:p w14:paraId="2CBEC174" w14:textId="77777777" w:rsidR="001C08A5" w:rsidRDefault="001C08A5">
            <w:pPr>
              <w:snapToGrid w:val="0"/>
              <w:jc w:val="center"/>
              <w:rPr>
                <w:i/>
                <w:iCs/>
                <w:sz w:val="22"/>
                <w:szCs w:val="22"/>
              </w:rPr>
            </w:pPr>
          </w:p>
        </w:tc>
        <w:tc>
          <w:tcPr>
            <w:tcW w:w="2320" w:type="dxa"/>
            <w:vMerge/>
          </w:tcPr>
          <w:p w14:paraId="2D10493F" w14:textId="77777777" w:rsidR="001C08A5" w:rsidRDefault="001C08A5">
            <w:pPr>
              <w:snapToGrid w:val="0"/>
              <w:jc w:val="center"/>
              <w:rPr>
                <w:i/>
                <w:iCs/>
                <w:sz w:val="22"/>
                <w:szCs w:val="22"/>
              </w:rPr>
            </w:pPr>
          </w:p>
        </w:tc>
        <w:tc>
          <w:tcPr>
            <w:tcW w:w="1609" w:type="dxa"/>
            <w:vAlign w:val="center"/>
          </w:tcPr>
          <w:p w14:paraId="64D6C203" w14:textId="77777777" w:rsidR="001C08A5" w:rsidRDefault="00000000">
            <w:pPr>
              <w:jc w:val="center"/>
              <w:rPr>
                <w:b/>
                <w:i/>
                <w:iCs/>
                <w:sz w:val="22"/>
                <w:szCs w:val="22"/>
              </w:rPr>
            </w:pPr>
            <w:r>
              <w:rPr>
                <w:b/>
                <w:i/>
                <w:iCs/>
                <w:sz w:val="22"/>
                <w:szCs w:val="22"/>
              </w:rPr>
              <w:t>II</w:t>
            </w:r>
          </w:p>
          <w:p w14:paraId="1DDDDBE9" w14:textId="77777777" w:rsidR="001C08A5" w:rsidRDefault="001C08A5">
            <w:pPr>
              <w:jc w:val="center"/>
              <w:rPr>
                <w:i/>
                <w:iCs/>
                <w:sz w:val="22"/>
                <w:szCs w:val="22"/>
              </w:rPr>
            </w:pPr>
          </w:p>
        </w:tc>
        <w:tc>
          <w:tcPr>
            <w:tcW w:w="1636" w:type="dxa"/>
            <w:vAlign w:val="center"/>
          </w:tcPr>
          <w:p w14:paraId="634A45EB" w14:textId="77777777" w:rsidR="001C08A5" w:rsidRDefault="00000000">
            <w:pPr>
              <w:jc w:val="center"/>
              <w:rPr>
                <w:b/>
                <w:bCs/>
                <w:i/>
                <w:iCs/>
                <w:sz w:val="22"/>
                <w:szCs w:val="22"/>
              </w:rPr>
            </w:pPr>
            <w:r>
              <w:rPr>
                <w:b/>
                <w:bCs/>
                <w:i/>
                <w:iCs/>
                <w:sz w:val="22"/>
                <w:szCs w:val="22"/>
              </w:rPr>
              <w:t>25</w:t>
            </w:r>
          </w:p>
        </w:tc>
        <w:tc>
          <w:tcPr>
            <w:tcW w:w="1964" w:type="dxa"/>
            <w:vAlign w:val="center"/>
          </w:tcPr>
          <w:p w14:paraId="33694521" w14:textId="77777777" w:rsidR="001C08A5" w:rsidRDefault="00000000">
            <w:pPr>
              <w:jc w:val="center"/>
              <w:rPr>
                <w:b/>
                <w:bCs/>
                <w:i/>
                <w:iCs/>
                <w:sz w:val="22"/>
                <w:szCs w:val="22"/>
              </w:rPr>
            </w:pPr>
            <w:r>
              <w:rPr>
                <w:b/>
                <w:bCs/>
                <w:i/>
                <w:iCs/>
                <w:sz w:val="22"/>
                <w:szCs w:val="22"/>
              </w:rPr>
              <w:t>15</w:t>
            </w:r>
          </w:p>
          <w:p w14:paraId="688DC705" w14:textId="77777777" w:rsidR="001C08A5" w:rsidRDefault="001C08A5">
            <w:pPr>
              <w:jc w:val="center"/>
              <w:rPr>
                <w:b/>
                <w:bCs/>
                <w:i/>
                <w:iCs/>
                <w:sz w:val="22"/>
                <w:szCs w:val="22"/>
              </w:rPr>
            </w:pPr>
          </w:p>
        </w:tc>
        <w:tc>
          <w:tcPr>
            <w:tcW w:w="1391" w:type="dxa"/>
            <w:vMerge/>
          </w:tcPr>
          <w:p w14:paraId="22190853" w14:textId="77777777" w:rsidR="001C08A5" w:rsidRDefault="001C08A5">
            <w:pPr>
              <w:snapToGrid w:val="0"/>
              <w:rPr>
                <w:i/>
                <w:iCs/>
                <w:sz w:val="22"/>
                <w:szCs w:val="22"/>
              </w:rPr>
            </w:pPr>
          </w:p>
        </w:tc>
      </w:tr>
    </w:tbl>
    <w:p w14:paraId="687500BC" w14:textId="77777777" w:rsidR="001C08A5" w:rsidRDefault="001C08A5">
      <w:pPr>
        <w:jc w:val="both"/>
        <w:rPr>
          <w:b/>
          <w:sz w:val="24"/>
          <w:szCs w:val="24"/>
        </w:rPr>
      </w:pPr>
    </w:p>
    <w:p w14:paraId="6BAA1365" w14:textId="77777777" w:rsidR="001C08A5" w:rsidRDefault="00000000">
      <w:pPr>
        <w:ind w:firstLine="720"/>
        <w:jc w:val="both"/>
        <w:rPr>
          <w:sz w:val="24"/>
          <w:szCs w:val="24"/>
        </w:rPr>
      </w:pPr>
      <w:r>
        <w:rPr>
          <w:b/>
          <w:sz w:val="24"/>
          <w:szCs w:val="24"/>
        </w:rPr>
        <w:t>Art. 5.5.6.</w:t>
      </w:r>
      <w:r>
        <w:rPr>
          <w:sz w:val="24"/>
          <w:szCs w:val="24"/>
        </w:rPr>
        <w:t xml:space="preserve"> La clădirile civile subterane independente, </w:t>
      </w:r>
      <w:r>
        <w:rPr>
          <w:rFonts w:eastAsia="ArialMT"/>
          <w:sz w:val="24"/>
          <w:szCs w:val="24"/>
        </w:rPr>
        <w:t xml:space="preserve">numărul normat de utilizatori pe unitatea de trecere (flux) de evacuare </w:t>
      </w:r>
      <w:r>
        <w:rPr>
          <w:rFonts w:eastAsia="Arial-BoldMT"/>
          <w:b/>
          <w:sz w:val="24"/>
          <w:szCs w:val="24"/>
        </w:rPr>
        <w:t>(Uf)</w:t>
      </w:r>
      <w:r>
        <w:rPr>
          <w:sz w:val="24"/>
          <w:szCs w:val="24"/>
        </w:rPr>
        <w:t xml:space="preserve"> este de </w:t>
      </w:r>
      <w:r>
        <w:rPr>
          <w:b/>
          <w:sz w:val="24"/>
          <w:szCs w:val="24"/>
        </w:rPr>
        <w:t>60</w:t>
      </w:r>
      <w:r>
        <w:rPr>
          <w:sz w:val="24"/>
          <w:szCs w:val="24"/>
        </w:rPr>
        <w:t>.</w:t>
      </w:r>
    </w:p>
    <w:p w14:paraId="76B7077E" w14:textId="77777777" w:rsidR="001C08A5" w:rsidRDefault="001C08A5">
      <w:pPr>
        <w:jc w:val="both"/>
        <w:rPr>
          <w:sz w:val="24"/>
          <w:szCs w:val="24"/>
        </w:rPr>
      </w:pPr>
    </w:p>
    <w:p w14:paraId="66A76C13" w14:textId="77777777" w:rsidR="001C08A5" w:rsidRDefault="00000000">
      <w:pPr>
        <w:jc w:val="both"/>
        <w:rPr>
          <w:sz w:val="24"/>
          <w:szCs w:val="24"/>
        </w:rPr>
      </w:pPr>
      <w:r>
        <w:rPr>
          <w:b/>
          <w:sz w:val="24"/>
          <w:szCs w:val="24"/>
        </w:rPr>
        <w:tab/>
        <w:t xml:space="preserve">Art. 5.5.7. </w:t>
      </w:r>
      <w:r>
        <w:rPr>
          <w:b/>
          <w:bCs/>
          <w:sz w:val="24"/>
          <w:szCs w:val="24"/>
        </w:rPr>
        <w:t xml:space="preserve">(1) </w:t>
      </w:r>
      <w:r>
        <w:rPr>
          <w:sz w:val="24"/>
          <w:szCs w:val="24"/>
        </w:rPr>
        <w:t xml:space="preserve">Evacuarea fumului şi a gazelor fierbinţi în caz de incendiu din clădirile și încăperile civile subterane este obligatorie, prin sisteme independente, la: </w:t>
      </w:r>
    </w:p>
    <w:p w14:paraId="3FEA061F" w14:textId="77777777" w:rsidR="001C08A5" w:rsidRDefault="00000000">
      <w:pPr>
        <w:ind w:left="1276"/>
        <w:jc w:val="both"/>
        <w:rPr>
          <w:sz w:val="24"/>
          <w:szCs w:val="24"/>
        </w:rPr>
      </w:pPr>
      <w:r>
        <w:rPr>
          <w:b/>
          <w:sz w:val="24"/>
          <w:szCs w:val="24"/>
        </w:rPr>
        <w:t>a)</w:t>
      </w:r>
      <w:r>
        <w:rPr>
          <w:sz w:val="24"/>
          <w:szCs w:val="24"/>
        </w:rPr>
        <w:t xml:space="preserve"> încăperile și căile lor de evacuare în care se pot afla simultan mai mult de </w:t>
      </w:r>
      <w:r>
        <w:rPr>
          <w:b/>
          <w:bCs/>
          <w:sz w:val="24"/>
          <w:szCs w:val="24"/>
        </w:rPr>
        <w:t>50</w:t>
      </w:r>
      <w:r>
        <w:rPr>
          <w:sz w:val="24"/>
          <w:szCs w:val="24"/>
        </w:rPr>
        <w:t xml:space="preserve"> de utilizatori; </w:t>
      </w:r>
    </w:p>
    <w:p w14:paraId="0FF99859" w14:textId="77777777" w:rsidR="001C08A5" w:rsidRDefault="00000000">
      <w:pPr>
        <w:ind w:left="1276"/>
        <w:jc w:val="both"/>
        <w:rPr>
          <w:sz w:val="24"/>
          <w:szCs w:val="24"/>
        </w:rPr>
      </w:pPr>
      <w:r>
        <w:rPr>
          <w:b/>
          <w:sz w:val="24"/>
          <w:szCs w:val="24"/>
        </w:rPr>
        <w:t>b)</w:t>
      </w:r>
      <w:r>
        <w:rPr>
          <w:sz w:val="24"/>
          <w:szCs w:val="24"/>
        </w:rPr>
        <w:t xml:space="preserve"> încăperile cu risc mijlociu și mare și aria mai mare de </w:t>
      </w:r>
      <w:r>
        <w:rPr>
          <w:b/>
          <w:sz w:val="24"/>
          <w:szCs w:val="24"/>
        </w:rPr>
        <w:t xml:space="preserve">36 </w:t>
      </w:r>
      <w:r>
        <w:rPr>
          <w:sz w:val="24"/>
          <w:szCs w:val="24"/>
        </w:rPr>
        <w:t xml:space="preserve">m² ori încăperile cu risc foarte mare de incendiu, indiferent de aria lor precum și încăperile de depozitare cu aria utilă mai mare de </w:t>
      </w:r>
      <w:r>
        <w:rPr>
          <w:b/>
          <w:bCs/>
          <w:sz w:val="24"/>
          <w:szCs w:val="24"/>
        </w:rPr>
        <w:t>36 m²</w:t>
      </w:r>
      <w:r>
        <w:rPr>
          <w:sz w:val="24"/>
          <w:szCs w:val="24"/>
        </w:rPr>
        <w:t xml:space="preserve"> şi sarcina termica mai mare de </w:t>
      </w:r>
      <w:r>
        <w:rPr>
          <w:b/>
          <w:bCs/>
          <w:sz w:val="24"/>
          <w:szCs w:val="24"/>
        </w:rPr>
        <w:t>105 MJ/mp</w:t>
      </w:r>
    </w:p>
    <w:p w14:paraId="755653F0" w14:textId="77777777" w:rsidR="001C08A5" w:rsidRDefault="00000000">
      <w:pPr>
        <w:ind w:firstLine="720"/>
        <w:jc w:val="both"/>
        <w:rPr>
          <w:sz w:val="24"/>
          <w:szCs w:val="24"/>
        </w:rPr>
      </w:pPr>
      <w:r>
        <w:rPr>
          <w:b/>
          <w:bCs/>
          <w:sz w:val="24"/>
          <w:szCs w:val="24"/>
        </w:rPr>
        <w:t xml:space="preserve">(2) </w:t>
      </w:r>
      <w:r>
        <w:rPr>
          <w:sz w:val="24"/>
          <w:szCs w:val="24"/>
        </w:rPr>
        <w:t xml:space="preserve">Încăperile de la </w:t>
      </w:r>
      <w:r>
        <w:rPr>
          <w:b/>
          <w:bCs/>
          <w:sz w:val="24"/>
          <w:szCs w:val="24"/>
        </w:rPr>
        <w:t>alin. (1)</w:t>
      </w:r>
      <w:r>
        <w:rPr>
          <w:sz w:val="24"/>
          <w:szCs w:val="24"/>
        </w:rPr>
        <w:t xml:space="preserve"> 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0BDF1494" w14:textId="77777777" w:rsidR="001C08A5" w:rsidRDefault="001C08A5">
      <w:pPr>
        <w:ind w:left="1276"/>
        <w:jc w:val="both"/>
        <w:rPr>
          <w:sz w:val="24"/>
          <w:szCs w:val="24"/>
        </w:rPr>
      </w:pPr>
    </w:p>
    <w:p w14:paraId="082524F2" w14:textId="77777777" w:rsidR="001C08A5" w:rsidRDefault="00000000">
      <w:pPr>
        <w:pStyle w:val="Heading3"/>
      </w:pPr>
      <w:bookmarkStart w:id="5070" w:name="_Toc21055"/>
      <w:bookmarkStart w:id="5071" w:name="_Toc14693"/>
      <w:bookmarkStart w:id="5072" w:name="_Toc3377"/>
      <w:bookmarkStart w:id="5073" w:name="_Toc22649"/>
      <w:bookmarkStart w:id="5074" w:name="_Toc7751"/>
      <w:bookmarkStart w:id="5075" w:name="_Toc16679"/>
      <w:bookmarkStart w:id="5076" w:name="_Toc22881"/>
      <w:bookmarkStart w:id="5077" w:name="_Toc30698"/>
      <w:bookmarkStart w:id="5078" w:name="_Toc24073"/>
      <w:bookmarkStart w:id="5079" w:name="_Toc162355343"/>
      <w:r>
        <w:t>5.6. CONDIŢII DE ACCES, INTERVENŢIE și SALVARE ÎN CAZ DE INCENDIU</w:t>
      </w:r>
      <w:bookmarkEnd w:id="5070"/>
      <w:bookmarkEnd w:id="5071"/>
      <w:bookmarkEnd w:id="5072"/>
      <w:bookmarkEnd w:id="5073"/>
      <w:bookmarkEnd w:id="5074"/>
      <w:bookmarkEnd w:id="5075"/>
      <w:bookmarkEnd w:id="5076"/>
      <w:bookmarkEnd w:id="5077"/>
      <w:bookmarkEnd w:id="5078"/>
      <w:bookmarkEnd w:id="5079"/>
    </w:p>
    <w:p w14:paraId="14070DB7" w14:textId="77777777" w:rsidR="001C08A5" w:rsidRDefault="001C08A5">
      <w:pPr>
        <w:jc w:val="both"/>
        <w:rPr>
          <w:sz w:val="24"/>
          <w:szCs w:val="24"/>
        </w:rPr>
      </w:pPr>
    </w:p>
    <w:p w14:paraId="6DA5E8FD" w14:textId="77777777" w:rsidR="001C08A5" w:rsidRDefault="00000000">
      <w:pPr>
        <w:ind w:firstLine="720"/>
        <w:jc w:val="both"/>
        <w:rPr>
          <w:sz w:val="24"/>
          <w:szCs w:val="24"/>
        </w:rPr>
      </w:pPr>
      <w:r>
        <w:rPr>
          <w:b/>
          <w:sz w:val="24"/>
          <w:szCs w:val="24"/>
        </w:rPr>
        <w:t xml:space="preserve">Art. 5.6.1. </w:t>
      </w:r>
      <w:r>
        <w:rPr>
          <w:b/>
          <w:bCs/>
          <w:sz w:val="24"/>
          <w:szCs w:val="24"/>
        </w:rPr>
        <w:t xml:space="preserve">(1) </w:t>
      </w:r>
      <w:r>
        <w:rPr>
          <w:sz w:val="24"/>
          <w:szCs w:val="24"/>
        </w:rPr>
        <w:t>Pentru asigurarea condiţiilor corespunzătoare de intervenţie și salvare a utilizatorilor în caz de incendiu, clădirile civile subterane independente vor avea acces din circulaţiile publice și circulaţii rutiere în incintă, alcătuite, protejate şi marcate conform prevederilor normativului şi ale reglementărilor tehnice aplicabile.</w:t>
      </w:r>
    </w:p>
    <w:p w14:paraId="10E82501" w14:textId="77777777" w:rsidR="001C08A5" w:rsidRDefault="00000000">
      <w:pPr>
        <w:ind w:firstLine="720"/>
        <w:jc w:val="both"/>
        <w:rPr>
          <w:sz w:val="24"/>
          <w:szCs w:val="24"/>
        </w:rPr>
      </w:pPr>
      <w:r>
        <w:rPr>
          <w:b/>
          <w:sz w:val="24"/>
          <w:szCs w:val="24"/>
        </w:rPr>
        <w:t xml:space="preserve">(2) </w:t>
      </w:r>
      <w:r>
        <w:rPr>
          <w:sz w:val="24"/>
          <w:szCs w:val="24"/>
        </w:rPr>
        <w:t>Platformele exterioare pentru parcarea autovehiculelor situate în vecinătatea construcţiilor, vor fi amplasate în afara gabaritului liber necesar pentru intervenţie și pentru evacuarea utilizatorilor, al căilor de acces a autospecialelor în caz de incendiu la construcţie și la sursele de alimentare cu apă.</w:t>
      </w:r>
    </w:p>
    <w:p w14:paraId="34E04AD7" w14:textId="77777777" w:rsidR="001C08A5" w:rsidRDefault="001C08A5">
      <w:pPr>
        <w:jc w:val="both"/>
        <w:rPr>
          <w:sz w:val="24"/>
          <w:szCs w:val="24"/>
        </w:rPr>
      </w:pPr>
    </w:p>
    <w:p w14:paraId="1BA3EBC8" w14:textId="77777777" w:rsidR="001C08A5" w:rsidRDefault="00000000">
      <w:pPr>
        <w:jc w:val="both"/>
        <w:rPr>
          <w:b/>
          <w:sz w:val="24"/>
          <w:szCs w:val="24"/>
        </w:rPr>
      </w:pPr>
      <w:r>
        <w:rPr>
          <w:b/>
          <w:sz w:val="24"/>
          <w:szCs w:val="24"/>
        </w:rPr>
        <w:tab/>
        <w:t xml:space="preserve">Art. 5.6.2. </w:t>
      </w:r>
      <w:r>
        <w:rPr>
          <w:sz w:val="24"/>
          <w:szCs w:val="24"/>
        </w:rPr>
        <w:t>Pentru asigurarea condiţiilor corespunzătoare de intervenţie și salvare în caz de incendiu, se prevăd accese din exterior pe două laturi și circulaţii interioare corespunzător alcătuite, protejate şi marcate.</w:t>
      </w:r>
      <w:r>
        <w:rPr>
          <w:sz w:val="24"/>
          <w:szCs w:val="24"/>
        </w:rPr>
        <w:tab/>
      </w:r>
      <w:r>
        <w:rPr>
          <w:sz w:val="24"/>
          <w:szCs w:val="24"/>
        </w:rPr>
        <w:tab/>
      </w:r>
    </w:p>
    <w:p w14:paraId="7A990AAE" w14:textId="77777777" w:rsidR="001C08A5" w:rsidRDefault="00000000">
      <w:pPr>
        <w:pStyle w:val="Heading3"/>
      </w:pPr>
      <w:bookmarkStart w:id="5080" w:name="_Toc17342"/>
      <w:bookmarkStart w:id="5081" w:name="_Toc29219"/>
      <w:bookmarkStart w:id="5082" w:name="_Toc9617"/>
      <w:bookmarkStart w:id="5083" w:name="_Toc9200"/>
      <w:bookmarkStart w:id="5084" w:name="_Toc4587"/>
      <w:bookmarkStart w:id="5085" w:name="_Toc23935"/>
      <w:bookmarkStart w:id="5086" w:name="_Toc14753"/>
      <w:bookmarkStart w:id="5087" w:name="_Toc16026"/>
      <w:bookmarkStart w:id="5088" w:name="_Toc162355344"/>
      <w:bookmarkStart w:id="5089" w:name="_Toc25825"/>
      <w:r>
        <w:lastRenderedPageBreak/>
        <w:t>5.7. ECHIPAREA CONSTRUCŢIILOR CU INSTALAŢII ŞI MIJLOACE DE STINGERE A INCENDIILOR</w:t>
      </w:r>
      <w:bookmarkEnd w:id="5080"/>
      <w:bookmarkEnd w:id="5081"/>
      <w:bookmarkEnd w:id="5082"/>
      <w:bookmarkEnd w:id="5083"/>
      <w:bookmarkEnd w:id="5084"/>
      <w:bookmarkEnd w:id="5085"/>
      <w:bookmarkEnd w:id="5086"/>
      <w:bookmarkEnd w:id="5087"/>
      <w:bookmarkEnd w:id="5088"/>
      <w:bookmarkEnd w:id="5089"/>
    </w:p>
    <w:p w14:paraId="5C3BA9CC" w14:textId="77777777" w:rsidR="001C08A5" w:rsidRDefault="001C08A5">
      <w:pPr>
        <w:jc w:val="both"/>
        <w:rPr>
          <w:sz w:val="24"/>
          <w:szCs w:val="24"/>
        </w:rPr>
      </w:pPr>
    </w:p>
    <w:p w14:paraId="77EDE939" w14:textId="77777777" w:rsidR="001C08A5" w:rsidRDefault="00000000">
      <w:pPr>
        <w:jc w:val="both"/>
        <w:rPr>
          <w:b/>
          <w:sz w:val="24"/>
          <w:szCs w:val="24"/>
        </w:rPr>
      </w:pPr>
      <w:r>
        <w:rPr>
          <w:sz w:val="24"/>
          <w:szCs w:val="24"/>
        </w:rPr>
        <w:tab/>
      </w:r>
      <w:r>
        <w:rPr>
          <w:b/>
          <w:sz w:val="24"/>
          <w:szCs w:val="24"/>
        </w:rPr>
        <w:t>Art. 5.7.1. (1)</w:t>
      </w:r>
      <w:r>
        <w:rPr>
          <w:sz w:val="24"/>
          <w:szCs w:val="24"/>
        </w:rPr>
        <w:t xml:space="preserve"> Clădirile civile subterane independente se echipează cu instalaţii şi mijloace de stingere a incendiilor, precum și cu instalaţii de detectare, semnalizare şi alarmare a incendiului, conform prevederilor reglementărilor tehnice de specialitate.</w:t>
      </w:r>
    </w:p>
    <w:p w14:paraId="7D19220B" w14:textId="77777777" w:rsidR="001C08A5" w:rsidRDefault="00000000">
      <w:pPr>
        <w:ind w:firstLine="720"/>
        <w:jc w:val="both"/>
        <w:rPr>
          <w:sz w:val="24"/>
          <w:szCs w:val="24"/>
        </w:rPr>
      </w:pPr>
      <w:r>
        <w:rPr>
          <w:b/>
          <w:sz w:val="24"/>
          <w:szCs w:val="24"/>
        </w:rPr>
        <w:t xml:space="preserve">(2) </w:t>
      </w:r>
      <w:r>
        <w:rPr>
          <w:sz w:val="24"/>
          <w:szCs w:val="24"/>
        </w:rPr>
        <w:t>Clădirile civile subterane independente se dotează cu stingătoare asigurând un stingător portativ cu performanţa de stingere minimă</w:t>
      </w:r>
      <w:r>
        <w:rPr>
          <w:b/>
          <w:sz w:val="24"/>
          <w:szCs w:val="24"/>
        </w:rPr>
        <w:t xml:space="preserve"> 21A</w:t>
      </w:r>
      <w:r>
        <w:rPr>
          <w:sz w:val="24"/>
          <w:szCs w:val="24"/>
        </w:rPr>
        <w:t xml:space="preserve"> şi </w:t>
      </w:r>
      <w:r>
        <w:rPr>
          <w:b/>
          <w:sz w:val="24"/>
          <w:szCs w:val="24"/>
        </w:rPr>
        <w:t>113B</w:t>
      </w:r>
      <w:r>
        <w:rPr>
          <w:sz w:val="24"/>
          <w:szCs w:val="24"/>
        </w:rPr>
        <w:t xml:space="preserve"> pentru o arie desfăşurată de maximum </w:t>
      </w:r>
      <w:r>
        <w:rPr>
          <w:b/>
          <w:sz w:val="24"/>
          <w:szCs w:val="24"/>
        </w:rPr>
        <w:t xml:space="preserve">200 </w:t>
      </w:r>
      <w:r>
        <w:rPr>
          <w:sz w:val="24"/>
          <w:szCs w:val="24"/>
        </w:rPr>
        <w:t>m²</w:t>
      </w:r>
      <w:r>
        <w:rPr>
          <w:b/>
          <w:sz w:val="24"/>
          <w:szCs w:val="24"/>
        </w:rPr>
        <w:t>,</w:t>
      </w:r>
      <w:r>
        <w:rPr>
          <w:sz w:val="24"/>
          <w:szCs w:val="24"/>
        </w:rPr>
        <w:t xml:space="preserve"> dar minimum două stingătoare pe fiecare nivel al clădirii, conform prevederilor normativului şi reglementărilor specifice.</w:t>
      </w:r>
    </w:p>
    <w:p w14:paraId="483C0764" w14:textId="77777777" w:rsidR="001C08A5" w:rsidRDefault="001C08A5">
      <w:pPr>
        <w:jc w:val="both"/>
        <w:rPr>
          <w:sz w:val="24"/>
          <w:szCs w:val="24"/>
        </w:rPr>
      </w:pPr>
    </w:p>
    <w:p w14:paraId="41F469DC" w14:textId="77777777" w:rsidR="001C08A5" w:rsidRDefault="001C08A5">
      <w:pPr>
        <w:jc w:val="both"/>
        <w:rPr>
          <w:sz w:val="24"/>
          <w:szCs w:val="24"/>
        </w:rPr>
      </w:pPr>
    </w:p>
    <w:p w14:paraId="588DF14A" w14:textId="77777777" w:rsidR="001C08A5" w:rsidRDefault="00000000">
      <w:pPr>
        <w:pStyle w:val="Heading1"/>
      </w:pPr>
      <w:bookmarkStart w:id="5090" w:name="_Toc7262"/>
      <w:bookmarkStart w:id="5091" w:name="_Toc28651"/>
      <w:bookmarkStart w:id="5092" w:name="_Toc17944"/>
      <w:bookmarkStart w:id="5093" w:name="_Toc27777"/>
      <w:bookmarkStart w:id="5094" w:name="_Toc9593"/>
      <w:bookmarkStart w:id="5095" w:name="_Toc162355345"/>
      <w:bookmarkStart w:id="5096" w:name="_Toc21802"/>
      <w:bookmarkStart w:id="5097" w:name="_Toc8657"/>
      <w:bookmarkStart w:id="5098" w:name="_Toc19124"/>
      <w:bookmarkStart w:id="5099" w:name="_Toc30825"/>
      <w:r>
        <w:t>CAPITOLUL 6</w:t>
      </w:r>
      <w:bookmarkEnd w:id="5090"/>
      <w:bookmarkEnd w:id="5091"/>
      <w:bookmarkEnd w:id="5092"/>
      <w:bookmarkEnd w:id="5093"/>
      <w:bookmarkEnd w:id="5094"/>
      <w:bookmarkEnd w:id="5095"/>
      <w:bookmarkEnd w:id="5096"/>
      <w:bookmarkEnd w:id="5097"/>
      <w:bookmarkEnd w:id="5098"/>
      <w:bookmarkEnd w:id="5099"/>
    </w:p>
    <w:p w14:paraId="586E91F4" w14:textId="77777777" w:rsidR="001C08A5" w:rsidRDefault="00000000">
      <w:pPr>
        <w:pStyle w:val="Heading2"/>
        <w:rPr>
          <w:rFonts w:cs="Times New Roman"/>
          <w:sz w:val="24"/>
          <w:szCs w:val="24"/>
        </w:rPr>
      </w:pPr>
      <w:bookmarkStart w:id="5100" w:name="_Toc162355346"/>
      <w:bookmarkStart w:id="5101" w:name="_Toc28595"/>
      <w:bookmarkStart w:id="5102" w:name="_Toc4983"/>
      <w:bookmarkStart w:id="5103" w:name="_Toc12152"/>
      <w:bookmarkStart w:id="5104" w:name="_Toc17593"/>
      <w:bookmarkStart w:id="5105" w:name="_Toc18701"/>
      <w:bookmarkStart w:id="5106" w:name="_Toc5584"/>
      <w:bookmarkStart w:id="5107" w:name="_Toc13348"/>
      <w:bookmarkStart w:id="5108" w:name="_Toc19508"/>
      <w:bookmarkStart w:id="5109" w:name="_Toc1707"/>
      <w:r>
        <w:t>6. PERFORMANŢE SPECIFICE CONSTRUCŢIILOR DE PRODUCŢIE ŞI/SAU DEPOZITARE</w:t>
      </w:r>
      <w:bookmarkEnd w:id="5100"/>
      <w:bookmarkEnd w:id="5101"/>
      <w:bookmarkEnd w:id="5102"/>
      <w:bookmarkEnd w:id="5103"/>
      <w:bookmarkEnd w:id="5104"/>
      <w:bookmarkEnd w:id="5105"/>
      <w:bookmarkEnd w:id="5106"/>
      <w:bookmarkEnd w:id="5107"/>
      <w:bookmarkEnd w:id="5108"/>
      <w:bookmarkEnd w:id="5109"/>
    </w:p>
    <w:p w14:paraId="24E210F6" w14:textId="77777777" w:rsidR="001C08A5" w:rsidRDefault="00000000">
      <w:pPr>
        <w:pStyle w:val="Heading3"/>
      </w:pPr>
      <w:bookmarkStart w:id="5110" w:name="_Toc7331"/>
      <w:bookmarkStart w:id="5111" w:name="_Toc162355347"/>
      <w:bookmarkStart w:id="5112" w:name="_Toc9293"/>
      <w:bookmarkStart w:id="5113" w:name="_Toc20194"/>
      <w:bookmarkStart w:id="5114" w:name="_Toc3549"/>
      <w:bookmarkStart w:id="5115" w:name="_Toc27778"/>
      <w:bookmarkStart w:id="5116" w:name="_Toc5641"/>
      <w:bookmarkStart w:id="5117" w:name="_Toc13039"/>
      <w:bookmarkStart w:id="5118" w:name="_Toc29309"/>
      <w:bookmarkStart w:id="5119" w:name="_Toc31760"/>
      <w:r>
        <w:t>SECŢIUNEA I</w:t>
      </w:r>
      <w:bookmarkEnd w:id="5110"/>
      <w:bookmarkEnd w:id="5111"/>
      <w:bookmarkEnd w:id="5112"/>
      <w:bookmarkEnd w:id="5113"/>
      <w:bookmarkEnd w:id="5114"/>
      <w:bookmarkEnd w:id="5115"/>
      <w:bookmarkEnd w:id="5116"/>
      <w:bookmarkEnd w:id="5117"/>
      <w:bookmarkEnd w:id="5118"/>
      <w:bookmarkEnd w:id="5119"/>
    </w:p>
    <w:p w14:paraId="0FB1869C" w14:textId="77777777" w:rsidR="001C08A5" w:rsidRDefault="00000000">
      <w:pPr>
        <w:pStyle w:val="Heading3"/>
        <w:rPr>
          <w:rFonts w:cs="Times New Roman"/>
          <w:sz w:val="24"/>
          <w:szCs w:val="24"/>
        </w:rPr>
      </w:pPr>
      <w:bookmarkStart w:id="5120" w:name="_Toc11220"/>
      <w:bookmarkStart w:id="5121" w:name="_Toc22941"/>
      <w:bookmarkStart w:id="5122" w:name="_Toc7275"/>
      <w:bookmarkStart w:id="5123" w:name="_Toc24239"/>
      <w:bookmarkStart w:id="5124" w:name="_Toc28982"/>
      <w:bookmarkStart w:id="5125" w:name="_Toc162355348"/>
      <w:bookmarkStart w:id="5126" w:name="_Toc16933"/>
      <w:bookmarkStart w:id="5127" w:name="_Toc11384"/>
      <w:bookmarkStart w:id="5128" w:name="_Toc8542"/>
      <w:bookmarkStart w:id="5129" w:name="_Toc30074"/>
      <w:r>
        <w:t>6.1. Performanţe comune construcţiilor de producţie şi/sau depozitare</w:t>
      </w:r>
      <w:bookmarkEnd w:id="5120"/>
      <w:bookmarkEnd w:id="5121"/>
      <w:bookmarkEnd w:id="5122"/>
      <w:bookmarkEnd w:id="5123"/>
      <w:bookmarkEnd w:id="5124"/>
      <w:bookmarkEnd w:id="5125"/>
      <w:bookmarkEnd w:id="5126"/>
      <w:bookmarkEnd w:id="5127"/>
      <w:bookmarkEnd w:id="5128"/>
      <w:bookmarkEnd w:id="5129"/>
    </w:p>
    <w:p w14:paraId="2885CEF6" w14:textId="77777777" w:rsidR="001C08A5" w:rsidRDefault="00000000">
      <w:pPr>
        <w:pStyle w:val="Heading4"/>
      </w:pPr>
      <w:bookmarkStart w:id="5130" w:name="_Toc14077"/>
      <w:bookmarkStart w:id="5131" w:name="_Toc11320"/>
      <w:bookmarkStart w:id="5132" w:name="_Toc26728"/>
      <w:bookmarkStart w:id="5133" w:name="_Toc25603"/>
      <w:bookmarkStart w:id="5134" w:name="_Toc162355349"/>
      <w:bookmarkStart w:id="5135" w:name="_Toc22249"/>
      <w:bookmarkStart w:id="5136" w:name="_Toc6673"/>
      <w:bookmarkStart w:id="5137" w:name="_Toc26706"/>
      <w:r>
        <w:t>6.1.1. CONDIŢII GENERALE DE PERFORMANŢĂ A CONSTRUCŢIILOR (Risc de incendiu,  Nivel de stabilitate la incendiu al construcţiei)</w:t>
      </w:r>
      <w:bookmarkEnd w:id="5130"/>
      <w:bookmarkEnd w:id="5131"/>
      <w:bookmarkEnd w:id="5132"/>
      <w:bookmarkEnd w:id="5133"/>
      <w:bookmarkEnd w:id="5134"/>
      <w:bookmarkEnd w:id="5135"/>
      <w:bookmarkEnd w:id="5136"/>
      <w:bookmarkEnd w:id="5137"/>
    </w:p>
    <w:p w14:paraId="3061875D" w14:textId="77777777" w:rsidR="001C08A5" w:rsidRDefault="001C08A5">
      <w:pPr>
        <w:rPr>
          <w:sz w:val="24"/>
          <w:szCs w:val="24"/>
        </w:rPr>
      </w:pPr>
    </w:p>
    <w:p w14:paraId="2892C604" w14:textId="77777777" w:rsidR="001C08A5" w:rsidRDefault="00000000">
      <w:pPr>
        <w:jc w:val="both"/>
        <w:rPr>
          <w:sz w:val="24"/>
          <w:szCs w:val="24"/>
        </w:rPr>
      </w:pPr>
      <w:r>
        <w:rPr>
          <w:b/>
          <w:sz w:val="24"/>
          <w:szCs w:val="24"/>
        </w:rPr>
        <w:tab/>
        <w:t xml:space="preserve">Art. </w:t>
      </w:r>
      <w:r>
        <w:rPr>
          <w:b/>
          <w:caps/>
          <w:sz w:val="24"/>
          <w:szCs w:val="24"/>
        </w:rPr>
        <w:t>6.1.1.</w:t>
      </w:r>
      <w:r>
        <w:rPr>
          <w:b/>
          <w:sz w:val="24"/>
          <w:szCs w:val="24"/>
        </w:rPr>
        <w:t>1.</w:t>
      </w:r>
      <w:r>
        <w:rPr>
          <w:b/>
          <w:sz w:val="24"/>
          <w:szCs w:val="24"/>
        </w:rPr>
        <w:tab/>
        <w:t xml:space="preserve">(1) </w:t>
      </w:r>
      <w:r>
        <w:rPr>
          <w:sz w:val="24"/>
          <w:szCs w:val="24"/>
        </w:rPr>
        <w:t xml:space="preserve">La proiectarea și realizarea construcţiilor de producţie şi/sau depozitare se respectă prevederile normativului. </w:t>
      </w:r>
    </w:p>
    <w:p w14:paraId="21C34904" w14:textId="77777777" w:rsidR="001C08A5" w:rsidRDefault="00000000">
      <w:pPr>
        <w:ind w:firstLine="720"/>
        <w:jc w:val="both"/>
        <w:rPr>
          <w:sz w:val="24"/>
          <w:szCs w:val="24"/>
          <w:lang w:val="en-GB"/>
        </w:rPr>
      </w:pPr>
      <w:r>
        <w:rPr>
          <w:b/>
          <w:bCs/>
          <w:sz w:val="24"/>
          <w:szCs w:val="24"/>
        </w:rPr>
        <w:t>(2)</w:t>
      </w:r>
      <w:r>
        <w:rPr>
          <w:sz w:val="24"/>
          <w:szCs w:val="24"/>
        </w:rPr>
        <w:t xml:space="preserve"> Acolo unde în alte reglementări tehnice se menționează categoriile de pericol de incendiu, construcțiile de producție/depozitare pot fi definite astfel</w:t>
      </w:r>
      <w:r>
        <w:rPr>
          <w:sz w:val="24"/>
          <w:szCs w:val="24"/>
          <w:lang w:val="en-GB"/>
        </w:rPr>
        <w:t>:</w:t>
      </w:r>
    </w:p>
    <w:p w14:paraId="5BD4F5D1" w14:textId="77777777" w:rsidR="001C08A5" w:rsidRDefault="00000000">
      <w:pPr>
        <w:ind w:left="1620" w:hanging="810"/>
        <w:jc w:val="both"/>
        <w:rPr>
          <w:sz w:val="24"/>
          <w:szCs w:val="24"/>
          <w:lang w:val="en-US" w:eastAsia="zh-CN"/>
        </w:rPr>
      </w:pPr>
      <w:r>
        <w:rPr>
          <w:sz w:val="24"/>
          <w:szCs w:val="24"/>
          <w:lang w:val="en-GB"/>
        </w:rPr>
        <w:t xml:space="preserve">- </w:t>
      </w:r>
      <w:r>
        <w:rPr>
          <w:b/>
          <w:bCs/>
          <w:sz w:val="24"/>
          <w:szCs w:val="24"/>
          <w:lang w:val="en-GB"/>
        </w:rPr>
        <w:t>Categoria A</w:t>
      </w:r>
      <w:r>
        <w:rPr>
          <w:sz w:val="24"/>
          <w:szCs w:val="24"/>
          <w:lang w:val="en-GB"/>
        </w:rPr>
        <w:t xml:space="preserve"> </w:t>
      </w:r>
      <w:r>
        <w:rPr>
          <w:b/>
          <w:bCs/>
          <w:sz w:val="24"/>
          <w:szCs w:val="24"/>
          <w:lang w:val="en-GB"/>
        </w:rPr>
        <w:t>de pericol de incendiu</w:t>
      </w:r>
      <w:r>
        <w:rPr>
          <w:sz w:val="24"/>
          <w:szCs w:val="24"/>
        </w:rPr>
        <w:t xml:space="preserve"> (</w:t>
      </w:r>
      <w:r>
        <w:rPr>
          <w:sz w:val="24"/>
          <w:szCs w:val="24"/>
          <w:lang w:eastAsia="zh-CN"/>
        </w:rPr>
        <w:t>s</w:t>
      </w:r>
      <w:r>
        <w:rPr>
          <w:sz w:val="24"/>
          <w:szCs w:val="24"/>
          <w:lang w:val="en-US" w:eastAsia="zh-CN"/>
        </w:rPr>
        <w:t>ubstanțe a căror</w:t>
      </w:r>
      <w:r>
        <w:rPr>
          <w:sz w:val="24"/>
          <w:szCs w:val="24"/>
          <w:lang w:eastAsia="zh-CN"/>
        </w:rPr>
        <w:t xml:space="preserve"> </w:t>
      </w:r>
      <w:r>
        <w:rPr>
          <w:sz w:val="24"/>
          <w:szCs w:val="24"/>
          <w:lang w:val="en-US" w:eastAsia="zh-CN"/>
        </w:rPr>
        <w:t>aprindere</w:t>
      </w:r>
      <w:r>
        <w:rPr>
          <w:sz w:val="24"/>
          <w:szCs w:val="24"/>
          <w:lang w:eastAsia="zh-CN"/>
        </w:rPr>
        <w:t xml:space="preserve"> </w:t>
      </w:r>
      <w:r>
        <w:rPr>
          <w:sz w:val="24"/>
          <w:szCs w:val="24"/>
          <w:lang w:val="en-US" w:eastAsia="zh-CN"/>
        </w:rPr>
        <w:t>sau</w:t>
      </w:r>
      <w:r>
        <w:rPr>
          <w:sz w:val="24"/>
          <w:szCs w:val="24"/>
          <w:lang w:eastAsia="zh-CN"/>
        </w:rPr>
        <w:t xml:space="preserve"> </w:t>
      </w:r>
      <w:r>
        <w:rPr>
          <w:sz w:val="24"/>
          <w:szCs w:val="24"/>
          <w:lang w:val="en-US" w:eastAsia="zh-CN"/>
        </w:rPr>
        <w:t>explozie</w:t>
      </w:r>
      <w:r>
        <w:rPr>
          <w:sz w:val="24"/>
          <w:szCs w:val="24"/>
          <w:lang w:eastAsia="zh-CN"/>
        </w:rPr>
        <w:t xml:space="preserve"> </w:t>
      </w:r>
      <w:r>
        <w:rPr>
          <w:sz w:val="24"/>
          <w:szCs w:val="24"/>
          <w:lang w:val="en-US" w:eastAsia="zh-CN"/>
        </w:rPr>
        <w:t>poate</w:t>
      </w:r>
      <w:r>
        <w:rPr>
          <w:sz w:val="24"/>
          <w:szCs w:val="24"/>
          <w:lang w:eastAsia="zh-CN"/>
        </w:rPr>
        <w:t xml:space="preserve"> </w:t>
      </w:r>
      <w:r>
        <w:rPr>
          <w:sz w:val="24"/>
          <w:szCs w:val="24"/>
          <w:lang w:val="en-US" w:eastAsia="zh-CN"/>
        </w:rPr>
        <w:t>să</w:t>
      </w:r>
      <w:r>
        <w:rPr>
          <w:sz w:val="24"/>
          <w:szCs w:val="24"/>
          <w:lang w:eastAsia="zh-CN"/>
        </w:rPr>
        <w:t xml:space="preserve"> </w:t>
      </w:r>
      <w:r>
        <w:rPr>
          <w:sz w:val="24"/>
          <w:szCs w:val="24"/>
          <w:lang w:val="en-US" w:eastAsia="zh-CN"/>
        </w:rPr>
        <w:t>aibă loc în</w:t>
      </w:r>
      <w:r>
        <w:rPr>
          <w:sz w:val="24"/>
          <w:szCs w:val="24"/>
          <w:lang w:eastAsia="zh-CN"/>
        </w:rPr>
        <w:t xml:space="preserve"> </w:t>
      </w:r>
      <w:r>
        <w:rPr>
          <w:sz w:val="24"/>
          <w:szCs w:val="24"/>
          <w:lang w:val="en-US" w:eastAsia="zh-CN"/>
        </w:rPr>
        <w:t>urma</w:t>
      </w:r>
      <w:r>
        <w:rPr>
          <w:sz w:val="24"/>
          <w:szCs w:val="24"/>
          <w:lang w:eastAsia="zh-CN"/>
        </w:rPr>
        <w:t xml:space="preserve"> </w:t>
      </w:r>
      <w:r>
        <w:rPr>
          <w:sz w:val="24"/>
          <w:szCs w:val="24"/>
          <w:lang w:val="en-US" w:eastAsia="zh-CN"/>
        </w:rPr>
        <w:t>contactului cu oxigenul din aer, cu apa</w:t>
      </w:r>
      <w:r>
        <w:rPr>
          <w:sz w:val="24"/>
          <w:szCs w:val="24"/>
          <w:lang w:eastAsia="zh-CN"/>
        </w:rPr>
        <w:t xml:space="preserve"> </w:t>
      </w:r>
      <w:r>
        <w:rPr>
          <w:sz w:val="24"/>
          <w:szCs w:val="24"/>
          <w:lang w:val="en-US" w:eastAsia="zh-CN"/>
        </w:rPr>
        <w:t>sau cu alte</w:t>
      </w:r>
      <w:r>
        <w:rPr>
          <w:sz w:val="24"/>
          <w:szCs w:val="24"/>
          <w:lang w:eastAsia="zh-CN"/>
        </w:rPr>
        <w:t xml:space="preserve"> </w:t>
      </w:r>
      <w:r>
        <w:rPr>
          <w:sz w:val="24"/>
          <w:szCs w:val="24"/>
          <w:lang w:val="en-US" w:eastAsia="zh-CN"/>
        </w:rPr>
        <w:t>substanțe</w:t>
      </w:r>
      <w:r>
        <w:rPr>
          <w:sz w:val="24"/>
          <w:szCs w:val="24"/>
          <w:lang w:eastAsia="zh-CN"/>
        </w:rPr>
        <w:t xml:space="preserve"> </w:t>
      </w:r>
      <w:r>
        <w:rPr>
          <w:sz w:val="24"/>
          <w:szCs w:val="24"/>
          <w:lang w:val="en-US" w:eastAsia="zh-CN"/>
        </w:rPr>
        <w:t>ori</w:t>
      </w:r>
      <w:r>
        <w:rPr>
          <w:sz w:val="24"/>
          <w:szCs w:val="24"/>
          <w:lang w:eastAsia="zh-CN"/>
        </w:rPr>
        <w:t xml:space="preserve"> </w:t>
      </w:r>
      <w:r>
        <w:rPr>
          <w:sz w:val="24"/>
          <w:szCs w:val="24"/>
          <w:lang w:val="en-US" w:eastAsia="zh-CN"/>
        </w:rPr>
        <w:t>materiale</w:t>
      </w:r>
      <w:r>
        <w:rPr>
          <w:sz w:val="24"/>
          <w:szCs w:val="24"/>
          <w:lang w:eastAsia="zh-CN"/>
        </w:rPr>
        <w:t xml:space="preserve"> sau l</w:t>
      </w:r>
      <w:r>
        <w:rPr>
          <w:sz w:val="24"/>
          <w:szCs w:val="24"/>
          <w:lang w:val="en-US" w:eastAsia="zh-CN"/>
        </w:rPr>
        <w:t>ichide cu temperatura de inflamabilitate a vaporilor</w:t>
      </w:r>
      <w:r>
        <w:rPr>
          <w:sz w:val="24"/>
          <w:szCs w:val="24"/>
          <w:lang w:eastAsia="zh-CN"/>
        </w:rPr>
        <w:t xml:space="preserve"> </w:t>
      </w:r>
      <w:r>
        <w:rPr>
          <w:sz w:val="24"/>
          <w:szCs w:val="24"/>
          <w:lang w:val="en-US" w:eastAsia="zh-CN"/>
        </w:rPr>
        <w:t>până la 28°C, gaze sau</w:t>
      </w:r>
      <w:r>
        <w:rPr>
          <w:sz w:val="24"/>
          <w:szCs w:val="24"/>
          <w:lang w:eastAsia="zh-CN"/>
        </w:rPr>
        <w:t xml:space="preserve"> </w:t>
      </w:r>
      <w:r>
        <w:rPr>
          <w:sz w:val="24"/>
          <w:szCs w:val="24"/>
          <w:lang w:val="en-US" w:eastAsia="zh-CN"/>
        </w:rPr>
        <w:t>vapori cu limita</w:t>
      </w:r>
      <w:r>
        <w:rPr>
          <w:sz w:val="24"/>
          <w:szCs w:val="24"/>
          <w:lang w:eastAsia="zh-CN"/>
        </w:rPr>
        <w:t xml:space="preserve"> </w:t>
      </w:r>
      <w:r>
        <w:rPr>
          <w:sz w:val="24"/>
          <w:szCs w:val="24"/>
          <w:lang w:val="en-US" w:eastAsia="zh-CN"/>
        </w:rPr>
        <w:t>inferioară de explozie</w:t>
      </w:r>
      <w:r>
        <w:rPr>
          <w:sz w:val="24"/>
          <w:szCs w:val="24"/>
          <w:lang w:eastAsia="zh-CN"/>
        </w:rPr>
        <w:t xml:space="preserve"> </w:t>
      </w:r>
      <w:r>
        <w:rPr>
          <w:sz w:val="24"/>
          <w:szCs w:val="24"/>
          <w:lang w:val="en-US" w:eastAsia="zh-CN"/>
        </w:rPr>
        <w:t>până la 10%,</w:t>
      </w:r>
      <w:r>
        <w:rPr>
          <w:sz w:val="24"/>
          <w:szCs w:val="24"/>
          <w:lang w:eastAsia="zh-CN"/>
        </w:rPr>
        <w:t xml:space="preserve"> </w:t>
      </w:r>
      <w:r>
        <w:rPr>
          <w:sz w:val="24"/>
          <w:szCs w:val="24"/>
          <w:lang w:val="en-US" w:eastAsia="zh-CN"/>
        </w:rPr>
        <w:t>atunci</w:t>
      </w:r>
      <w:r>
        <w:rPr>
          <w:sz w:val="24"/>
          <w:szCs w:val="24"/>
          <w:lang w:eastAsia="zh-CN"/>
        </w:rPr>
        <w:t xml:space="preserve"> </w:t>
      </w:r>
      <w:r>
        <w:rPr>
          <w:sz w:val="24"/>
          <w:szCs w:val="24"/>
          <w:lang w:val="en-US" w:eastAsia="zh-CN"/>
        </w:rPr>
        <w:t>când</w:t>
      </w:r>
      <w:r>
        <w:rPr>
          <w:sz w:val="24"/>
          <w:szCs w:val="24"/>
          <w:lang w:eastAsia="zh-CN"/>
        </w:rPr>
        <w:t xml:space="preserve"> </w:t>
      </w:r>
      <w:r>
        <w:rPr>
          <w:sz w:val="24"/>
          <w:szCs w:val="24"/>
          <w:lang w:val="en-US" w:eastAsia="zh-CN"/>
        </w:rPr>
        <w:t>acestea pot forma cu aerul</w:t>
      </w:r>
      <w:r>
        <w:rPr>
          <w:sz w:val="24"/>
          <w:szCs w:val="24"/>
          <w:lang w:eastAsia="zh-CN"/>
        </w:rPr>
        <w:t xml:space="preserve"> </w:t>
      </w:r>
      <w:r>
        <w:rPr>
          <w:sz w:val="24"/>
          <w:szCs w:val="24"/>
          <w:lang w:val="en-US" w:eastAsia="zh-CN"/>
        </w:rPr>
        <w:t>amestecuri</w:t>
      </w:r>
      <w:r>
        <w:rPr>
          <w:sz w:val="24"/>
          <w:szCs w:val="24"/>
          <w:lang w:eastAsia="zh-CN"/>
        </w:rPr>
        <w:t xml:space="preserve"> </w:t>
      </w:r>
      <w:r>
        <w:rPr>
          <w:sz w:val="24"/>
          <w:szCs w:val="24"/>
          <w:lang w:val="en-US" w:eastAsia="zh-CN"/>
        </w:rPr>
        <w:t>explozive</w:t>
      </w:r>
      <w:r>
        <w:rPr>
          <w:sz w:val="24"/>
          <w:szCs w:val="24"/>
        </w:rPr>
        <w:t xml:space="preserve">) și </w:t>
      </w:r>
      <w:r>
        <w:rPr>
          <w:b/>
          <w:bCs/>
          <w:sz w:val="24"/>
          <w:szCs w:val="24"/>
        </w:rPr>
        <w:t xml:space="preserve">categoria </w:t>
      </w:r>
      <w:r>
        <w:rPr>
          <w:b/>
          <w:bCs/>
          <w:sz w:val="24"/>
          <w:szCs w:val="24"/>
          <w:lang w:val="en-GB"/>
        </w:rPr>
        <w:t>B de pericol de incendiu</w:t>
      </w:r>
      <w:r>
        <w:rPr>
          <w:sz w:val="24"/>
          <w:szCs w:val="24"/>
        </w:rPr>
        <w:t xml:space="preserve"> (</w:t>
      </w:r>
      <w:r>
        <w:rPr>
          <w:sz w:val="24"/>
          <w:szCs w:val="24"/>
          <w:lang w:eastAsia="zh-CN"/>
        </w:rPr>
        <w:t>l</w:t>
      </w:r>
      <w:r>
        <w:rPr>
          <w:sz w:val="24"/>
          <w:szCs w:val="24"/>
          <w:lang w:val="en-US" w:eastAsia="zh-CN"/>
        </w:rPr>
        <w:t>ichide cu temperatura de inflamibilitate a vaporilor</w:t>
      </w:r>
      <w:r>
        <w:rPr>
          <w:sz w:val="24"/>
          <w:szCs w:val="24"/>
          <w:lang w:eastAsia="zh-CN"/>
        </w:rPr>
        <w:t xml:space="preserve"> </w:t>
      </w:r>
      <w:r>
        <w:rPr>
          <w:sz w:val="24"/>
          <w:szCs w:val="24"/>
          <w:lang w:val="en-US" w:eastAsia="zh-CN"/>
        </w:rPr>
        <w:t>cuprinsă</w:t>
      </w:r>
      <w:r>
        <w:rPr>
          <w:sz w:val="24"/>
          <w:szCs w:val="24"/>
          <w:lang w:eastAsia="zh-CN"/>
        </w:rPr>
        <w:t xml:space="preserve"> </w:t>
      </w:r>
      <w:r>
        <w:rPr>
          <w:sz w:val="24"/>
          <w:szCs w:val="24"/>
          <w:lang w:val="en-US" w:eastAsia="zh-CN"/>
        </w:rPr>
        <w:t>între 28-100°C, gaze sau</w:t>
      </w:r>
      <w:r>
        <w:rPr>
          <w:sz w:val="24"/>
          <w:szCs w:val="24"/>
          <w:lang w:eastAsia="zh-CN"/>
        </w:rPr>
        <w:t xml:space="preserve"> </w:t>
      </w:r>
      <w:r>
        <w:rPr>
          <w:sz w:val="24"/>
          <w:szCs w:val="24"/>
          <w:lang w:val="en-US" w:eastAsia="zh-CN"/>
        </w:rPr>
        <w:t>vapori</w:t>
      </w:r>
      <w:r>
        <w:rPr>
          <w:sz w:val="24"/>
          <w:szCs w:val="24"/>
          <w:lang w:eastAsia="zh-CN"/>
        </w:rPr>
        <w:t xml:space="preserve"> </w:t>
      </w:r>
      <w:r>
        <w:rPr>
          <w:sz w:val="24"/>
          <w:szCs w:val="24"/>
          <w:lang w:val="en-US" w:eastAsia="zh-CN"/>
        </w:rPr>
        <w:t>cu limita</w:t>
      </w:r>
      <w:r>
        <w:rPr>
          <w:sz w:val="24"/>
          <w:szCs w:val="24"/>
          <w:lang w:eastAsia="zh-CN"/>
        </w:rPr>
        <w:t xml:space="preserve"> </w:t>
      </w:r>
      <w:r>
        <w:rPr>
          <w:sz w:val="24"/>
          <w:szCs w:val="24"/>
          <w:lang w:val="en-US" w:eastAsia="zh-CN"/>
        </w:rPr>
        <w:t>inferioară de explozie</w:t>
      </w:r>
      <w:r>
        <w:rPr>
          <w:sz w:val="24"/>
          <w:szCs w:val="24"/>
          <w:lang w:eastAsia="zh-CN"/>
        </w:rPr>
        <w:t xml:space="preserve"> </w:t>
      </w:r>
      <w:r>
        <w:rPr>
          <w:sz w:val="24"/>
          <w:szCs w:val="24"/>
          <w:lang w:val="en-US" w:eastAsia="zh-CN"/>
        </w:rPr>
        <w:t>mai</w:t>
      </w:r>
      <w:r>
        <w:rPr>
          <w:sz w:val="24"/>
          <w:szCs w:val="24"/>
          <w:lang w:eastAsia="zh-CN"/>
        </w:rPr>
        <w:t xml:space="preserve"> </w:t>
      </w:r>
      <w:r>
        <w:rPr>
          <w:sz w:val="24"/>
          <w:szCs w:val="24"/>
          <w:lang w:val="en-US" w:eastAsia="zh-CN"/>
        </w:rPr>
        <w:t>mare de 10%, atunci</w:t>
      </w:r>
      <w:r>
        <w:rPr>
          <w:sz w:val="24"/>
          <w:szCs w:val="24"/>
          <w:lang w:eastAsia="zh-CN"/>
        </w:rPr>
        <w:t xml:space="preserve"> </w:t>
      </w:r>
      <w:r>
        <w:rPr>
          <w:sz w:val="24"/>
          <w:szCs w:val="24"/>
          <w:lang w:val="en-US" w:eastAsia="zh-CN"/>
        </w:rPr>
        <w:t>când</w:t>
      </w:r>
      <w:r>
        <w:rPr>
          <w:sz w:val="24"/>
          <w:szCs w:val="24"/>
          <w:lang w:eastAsia="zh-CN"/>
        </w:rPr>
        <w:t xml:space="preserve"> </w:t>
      </w:r>
      <w:r>
        <w:rPr>
          <w:sz w:val="24"/>
          <w:szCs w:val="24"/>
          <w:lang w:val="en-US" w:eastAsia="zh-CN"/>
        </w:rPr>
        <w:t>acestea pot forma cu aerul</w:t>
      </w:r>
      <w:r>
        <w:rPr>
          <w:sz w:val="24"/>
          <w:szCs w:val="24"/>
          <w:lang w:eastAsia="zh-CN"/>
        </w:rPr>
        <w:t xml:space="preserve"> </w:t>
      </w:r>
      <w:r>
        <w:rPr>
          <w:sz w:val="24"/>
          <w:szCs w:val="24"/>
          <w:lang w:val="en-US" w:eastAsia="zh-CN"/>
        </w:rPr>
        <w:t>amestecuri</w:t>
      </w:r>
      <w:r>
        <w:rPr>
          <w:sz w:val="24"/>
          <w:szCs w:val="24"/>
          <w:lang w:eastAsia="zh-CN"/>
        </w:rPr>
        <w:t xml:space="preserve"> </w:t>
      </w:r>
      <w:r>
        <w:rPr>
          <w:sz w:val="24"/>
          <w:szCs w:val="24"/>
          <w:lang w:val="en-US" w:eastAsia="zh-CN"/>
        </w:rPr>
        <w:t>explozive</w:t>
      </w:r>
      <w:r>
        <w:rPr>
          <w:sz w:val="24"/>
          <w:szCs w:val="24"/>
          <w:lang w:eastAsia="zh-CN"/>
        </w:rPr>
        <w:t xml:space="preserve"> ori f</w:t>
      </w:r>
      <w:r>
        <w:rPr>
          <w:sz w:val="24"/>
          <w:szCs w:val="24"/>
          <w:lang w:val="en-US" w:eastAsia="zh-CN"/>
        </w:rPr>
        <w:t>ibre, praf</w:t>
      </w:r>
      <w:r>
        <w:rPr>
          <w:sz w:val="24"/>
          <w:szCs w:val="24"/>
          <w:lang w:eastAsia="zh-CN"/>
        </w:rPr>
        <w:t xml:space="preserve"> </w:t>
      </w:r>
      <w:r>
        <w:rPr>
          <w:sz w:val="24"/>
          <w:szCs w:val="24"/>
          <w:lang w:val="en-US" w:eastAsia="zh-CN"/>
        </w:rPr>
        <w:t>sau</w:t>
      </w:r>
      <w:r>
        <w:rPr>
          <w:sz w:val="24"/>
          <w:szCs w:val="24"/>
          <w:lang w:eastAsia="zh-CN"/>
        </w:rPr>
        <w:t xml:space="preserve"> </w:t>
      </w:r>
      <w:r>
        <w:rPr>
          <w:sz w:val="24"/>
          <w:szCs w:val="24"/>
          <w:lang w:val="en-US" w:eastAsia="zh-CN"/>
        </w:rPr>
        <w:t>pulberi, care se degajă</w:t>
      </w:r>
      <w:r>
        <w:rPr>
          <w:sz w:val="24"/>
          <w:szCs w:val="24"/>
          <w:lang w:eastAsia="zh-CN"/>
        </w:rPr>
        <w:t xml:space="preserve"> </w:t>
      </w:r>
      <w:r>
        <w:rPr>
          <w:sz w:val="24"/>
          <w:szCs w:val="24"/>
          <w:lang w:val="en-US" w:eastAsia="zh-CN"/>
        </w:rPr>
        <w:t>în stare de suspensie</w:t>
      </w:r>
      <w:r>
        <w:rPr>
          <w:sz w:val="24"/>
          <w:szCs w:val="24"/>
          <w:lang w:eastAsia="zh-CN"/>
        </w:rPr>
        <w:t xml:space="preserve"> </w:t>
      </w:r>
      <w:r>
        <w:rPr>
          <w:sz w:val="24"/>
          <w:szCs w:val="24"/>
          <w:lang w:val="en-US" w:eastAsia="zh-CN"/>
        </w:rPr>
        <w:t>în</w:t>
      </w:r>
      <w:r>
        <w:rPr>
          <w:sz w:val="24"/>
          <w:szCs w:val="24"/>
          <w:lang w:eastAsia="zh-CN"/>
        </w:rPr>
        <w:t xml:space="preserve"> </w:t>
      </w:r>
      <w:r>
        <w:rPr>
          <w:sz w:val="24"/>
          <w:szCs w:val="24"/>
          <w:lang w:val="en-US" w:eastAsia="zh-CN"/>
        </w:rPr>
        <w:t>cantități</w:t>
      </w:r>
      <w:r>
        <w:rPr>
          <w:sz w:val="24"/>
          <w:szCs w:val="24"/>
          <w:lang w:eastAsia="zh-CN"/>
        </w:rPr>
        <w:t xml:space="preserve"> </w:t>
      </w:r>
      <w:r>
        <w:rPr>
          <w:sz w:val="24"/>
          <w:szCs w:val="24"/>
          <w:lang w:val="en-US" w:eastAsia="zh-CN"/>
        </w:rPr>
        <w:t>ce pot forma cu aerul</w:t>
      </w:r>
      <w:r>
        <w:rPr>
          <w:sz w:val="24"/>
          <w:szCs w:val="24"/>
          <w:lang w:eastAsia="zh-CN"/>
        </w:rPr>
        <w:t xml:space="preserve"> </w:t>
      </w:r>
      <w:r>
        <w:rPr>
          <w:sz w:val="24"/>
          <w:szCs w:val="24"/>
          <w:lang w:val="en-US" w:eastAsia="zh-CN"/>
        </w:rPr>
        <w:t>amestecuri</w:t>
      </w:r>
      <w:r>
        <w:rPr>
          <w:sz w:val="24"/>
          <w:szCs w:val="24"/>
          <w:lang w:eastAsia="zh-CN"/>
        </w:rPr>
        <w:t xml:space="preserve"> </w:t>
      </w:r>
      <w:r>
        <w:rPr>
          <w:sz w:val="24"/>
          <w:szCs w:val="24"/>
          <w:lang w:val="en-US" w:eastAsia="zh-CN"/>
        </w:rPr>
        <w:t>explozive</w:t>
      </w:r>
      <w:r>
        <w:rPr>
          <w:sz w:val="24"/>
          <w:szCs w:val="24"/>
        </w:rPr>
        <w:t>)</w:t>
      </w:r>
      <w:r>
        <w:rPr>
          <w:sz w:val="24"/>
          <w:szCs w:val="24"/>
          <w:lang w:val="en-GB"/>
        </w:rPr>
        <w:t xml:space="preserve">: </w:t>
      </w:r>
      <w:r>
        <w:rPr>
          <w:b/>
          <w:bCs/>
          <w:sz w:val="24"/>
          <w:szCs w:val="24"/>
          <w:lang w:val="en-GB"/>
        </w:rPr>
        <w:t>posibilit</w:t>
      </w:r>
      <w:r>
        <w:rPr>
          <w:b/>
          <w:bCs/>
          <w:sz w:val="24"/>
          <w:szCs w:val="24"/>
        </w:rPr>
        <w:t>ăț</w:t>
      </w:r>
      <w:r>
        <w:rPr>
          <w:b/>
          <w:bCs/>
          <w:sz w:val="24"/>
          <w:szCs w:val="24"/>
          <w:lang w:val="en-GB"/>
        </w:rPr>
        <w:t>i de incendiu</w:t>
      </w:r>
      <w:r>
        <w:rPr>
          <w:b/>
          <w:bCs/>
          <w:sz w:val="24"/>
          <w:szCs w:val="24"/>
        </w:rPr>
        <w:t xml:space="preserve"> ș</w:t>
      </w:r>
      <w:r>
        <w:rPr>
          <w:b/>
          <w:bCs/>
          <w:sz w:val="24"/>
          <w:szCs w:val="24"/>
          <w:lang w:val="en-GB"/>
        </w:rPr>
        <w:t>i</w:t>
      </w:r>
      <w:r>
        <w:rPr>
          <w:b/>
          <w:bCs/>
          <w:sz w:val="24"/>
          <w:szCs w:val="24"/>
        </w:rPr>
        <w:t xml:space="preserve"> </w:t>
      </w:r>
      <w:r>
        <w:rPr>
          <w:b/>
          <w:bCs/>
          <w:sz w:val="24"/>
          <w:szCs w:val="24"/>
          <w:lang w:val="en-GB"/>
        </w:rPr>
        <w:t>explozie volumetric</w:t>
      </w:r>
      <w:r>
        <w:rPr>
          <w:b/>
          <w:bCs/>
          <w:sz w:val="24"/>
          <w:szCs w:val="24"/>
        </w:rPr>
        <w:t>ă</w:t>
      </w:r>
      <w:r>
        <w:rPr>
          <w:sz w:val="24"/>
          <w:szCs w:val="24"/>
        </w:rPr>
        <w:t xml:space="preserve">; </w:t>
      </w:r>
    </w:p>
    <w:p w14:paraId="13E74B30" w14:textId="77777777" w:rsidR="001C08A5" w:rsidRDefault="00000000">
      <w:pPr>
        <w:ind w:left="1620" w:hanging="180"/>
        <w:jc w:val="both"/>
        <w:rPr>
          <w:sz w:val="24"/>
          <w:szCs w:val="24"/>
          <w:lang w:val="en-GB"/>
        </w:rPr>
      </w:pPr>
      <w:r>
        <w:rPr>
          <w:sz w:val="24"/>
          <w:szCs w:val="24"/>
          <w:lang w:val="en-US" w:eastAsia="zh-CN"/>
        </w:rPr>
        <w:t>Nu determină</w:t>
      </w:r>
      <w:r>
        <w:rPr>
          <w:sz w:val="24"/>
          <w:szCs w:val="24"/>
          <w:lang w:eastAsia="zh-CN"/>
        </w:rPr>
        <w:t xml:space="preserve"> </w:t>
      </w:r>
      <w:r>
        <w:rPr>
          <w:sz w:val="24"/>
          <w:szCs w:val="24"/>
          <w:lang w:val="en-US" w:eastAsia="zh-CN"/>
        </w:rPr>
        <w:t>încadrarea</w:t>
      </w:r>
      <w:r>
        <w:rPr>
          <w:sz w:val="24"/>
          <w:szCs w:val="24"/>
          <w:lang w:eastAsia="zh-CN"/>
        </w:rPr>
        <w:t xml:space="preserve"> </w:t>
      </w:r>
      <w:r>
        <w:rPr>
          <w:sz w:val="24"/>
          <w:szCs w:val="24"/>
          <w:lang w:val="en-US" w:eastAsia="zh-CN"/>
        </w:rPr>
        <w:t>în</w:t>
      </w:r>
      <w:r>
        <w:rPr>
          <w:sz w:val="24"/>
          <w:szCs w:val="24"/>
          <w:lang w:eastAsia="zh-CN"/>
        </w:rPr>
        <w:t xml:space="preserve"> </w:t>
      </w:r>
      <w:r>
        <w:rPr>
          <w:sz w:val="24"/>
          <w:szCs w:val="24"/>
          <w:lang w:val="en-US" w:eastAsia="zh-CN"/>
        </w:rPr>
        <w:t>categoriile A și B de pericol de incendiu:</w:t>
      </w:r>
      <w:r>
        <w:rPr>
          <w:sz w:val="24"/>
          <w:szCs w:val="24"/>
          <w:lang w:val="en-US" w:eastAsia="zh-CN"/>
        </w:rPr>
        <w:br/>
        <w:t>• folosirea</w:t>
      </w:r>
      <w:r>
        <w:rPr>
          <w:sz w:val="24"/>
          <w:szCs w:val="24"/>
          <w:lang w:eastAsia="zh-CN"/>
        </w:rPr>
        <w:t xml:space="preserve"> </w:t>
      </w:r>
      <w:r>
        <w:rPr>
          <w:sz w:val="24"/>
          <w:szCs w:val="24"/>
          <w:lang w:val="en-US" w:eastAsia="zh-CN"/>
        </w:rPr>
        <w:t>substanțelor</w:t>
      </w:r>
      <w:r>
        <w:rPr>
          <w:sz w:val="24"/>
          <w:szCs w:val="24"/>
          <w:lang w:eastAsia="zh-CN"/>
        </w:rPr>
        <w:t xml:space="preserve"> </w:t>
      </w:r>
      <w:r>
        <w:rPr>
          <w:sz w:val="24"/>
          <w:szCs w:val="24"/>
          <w:lang w:val="en-US" w:eastAsia="zh-CN"/>
        </w:rPr>
        <w:t>solide, lichide</w:t>
      </w:r>
      <w:r>
        <w:rPr>
          <w:sz w:val="24"/>
          <w:szCs w:val="24"/>
          <w:lang w:eastAsia="zh-CN"/>
        </w:rPr>
        <w:t xml:space="preserve"> </w:t>
      </w:r>
      <w:r>
        <w:rPr>
          <w:sz w:val="24"/>
          <w:szCs w:val="24"/>
          <w:lang w:val="en-US" w:eastAsia="zh-CN"/>
        </w:rPr>
        <w:t>sau</w:t>
      </w:r>
      <w:r>
        <w:rPr>
          <w:sz w:val="24"/>
          <w:szCs w:val="24"/>
          <w:lang w:eastAsia="zh-CN"/>
        </w:rPr>
        <w:t xml:space="preserve"> </w:t>
      </w:r>
      <w:r>
        <w:rPr>
          <w:sz w:val="24"/>
          <w:szCs w:val="24"/>
          <w:lang w:val="en-US" w:eastAsia="zh-CN"/>
        </w:rPr>
        <w:t>gazoase</w:t>
      </w:r>
      <w:r>
        <w:rPr>
          <w:sz w:val="24"/>
          <w:szCs w:val="24"/>
          <w:lang w:eastAsia="zh-CN"/>
        </w:rPr>
        <w:t xml:space="preserve"> </w:t>
      </w:r>
      <w:r>
        <w:rPr>
          <w:sz w:val="24"/>
          <w:szCs w:val="24"/>
          <w:lang w:val="en-US" w:eastAsia="zh-CN"/>
        </w:rPr>
        <w:t>drept</w:t>
      </w:r>
      <w:r>
        <w:rPr>
          <w:sz w:val="24"/>
          <w:szCs w:val="24"/>
          <w:lang w:eastAsia="zh-CN"/>
        </w:rPr>
        <w:t xml:space="preserve"> </w:t>
      </w:r>
      <w:r>
        <w:rPr>
          <w:sz w:val="24"/>
          <w:szCs w:val="24"/>
          <w:lang w:val="en-US" w:eastAsia="zh-CN"/>
        </w:rPr>
        <w:t>combustibili</w:t>
      </w:r>
      <w:r>
        <w:rPr>
          <w:sz w:val="24"/>
          <w:szCs w:val="24"/>
          <w:lang w:eastAsia="zh-CN"/>
        </w:rPr>
        <w:t xml:space="preserve"> </w:t>
      </w:r>
      <w:r>
        <w:rPr>
          <w:sz w:val="24"/>
          <w:szCs w:val="24"/>
          <w:lang w:val="en-US" w:eastAsia="zh-CN"/>
        </w:rPr>
        <w:t>pentru</w:t>
      </w:r>
      <w:r>
        <w:rPr>
          <w:sz w:val="24"/>
          <w:szCs w:val="24"/>
          <w:lang w:eastAsia="zh-CN"/>
        </w:rPr>
        <w:t xml:space="preserve"> </w:t>
      </w:r>
      <w:r>
        <w:rPr>
          <w:sz w:val="24"/>
          <w:szCs w:val="24"/>
          <w:lang w:val="en-US" w:eastAsia="zh-CN"/>
        </w:rPr>
        <w:t>ardere;</w:t>
      </w:r>
      <w:r>
        <w:rPr>
          <w:sz w:val="24"/>
          <w:szCs w:val="24"/>
          <w:lang w:val="en-US" w:eastAsia="zh-CN"/>
        </w:rPr>
        <w:br/>
        <w:t>• scăpările</w:t>
      </w:r>
      <w:r>
        <w:rPr>
          <w:sz w:val="24"/>
          <w:szCs w:val="24"/>
          <w:lang w:eastAsia="zh-CN"/>
        </w:rPr>
        <w:t xml:space="preserve"> </w:t>
      </w:r>
      <w:r>
        <w:rPr>
          <w:sz w:val="24"/>
          <w:szCs w:val="24"/>
          <w:lang w:val="en-US" w:eastAsia="zh-CN"/>
        </w:rPr>
        <w:t>și</w:t>
      </w:r>
      <w:r>
        <w:rPr>
          <w:sz w:val="24"/>
          <w:szCs w:val="24"/>
          <w:lang w:eastAsia="zh-CN"/>
        </w:rPr>
        <w:t xml:space="preserve"> </w:t>
      </w:r>
      <w:r>
        <w:rPr>
          <w:sz w:val="24"/>
          <w:szCs w:val="24"/>
          <w:lang w:val="en-US" w:eastAsia="zh-CN"/>
        </w:rPr>
        <w:t>degajările de gaze, vapori</w:t>
      </w:r>
      <w:r>
        <w:rPr>
          <w:sz w:val="24"/>
          <w:szCs w:val="24"/>
          <w:lang w:eastAsia="zh-CN"/>
        </w:rPr>
        <w:t xml:space="preserve"> </w:t>
      </w:r>
      <w:r>
        <w:rPr>
          <w:sz w:val="24"/>
          <w:szCs w:val="24"/>
          <w:lang w:val="en-US" w:eastAsia="zh-CN"/>
        </w:rPr>
        <w:t>sau</w:t>
      </w:r>
      <w:r>
        <w:rPr>
          <w:sz w:val="24"/>
          <w:szCs w:val="24"/>
          <w:lang w:eastAsia="zh-CN"/>
        </w:rPr>
        <w:t xml:space="preserve"> </w:t>
      </w:r>
      <w:r>
        <w:rPr>
          <w:sz w:val="24"/>
          <w:szCs w:val="24"/>
          <w:lang w:val="en-US" w:eastAsia="zh-CN"/>
        </w:rPr>
        <w:t>praf</w:t>
      </w:r>
      <w:r>
        <w:rPr>
          <w:sz w:val="24"/>
          <w:szCs w:val="24"/>
          <w:lang w:eastAsia="zh-CN"/>
        </w:rPr>
        <w:t xml:space="preserve"> </w:t>
      </w:r>
      <w:r>
        <w:rPr>
          <w:sz w:val="24"/>
          <w:szCs w:val="24"/>
          <w:lang w:val="en-US" w:eastAsia="zh-CN"/>
        </w:rPr>
        <w:t>care sunt în</w:t>
      </w:r>
      <w:r>
        <w:rPr>
          <w:sz w:val="24"/>
          <w:szCs w:val="24"/>
          <w:lang w:eastAsia="zh-CN"/>
        </w:rPr>
        <w:t xml:space="preserve"> </w:t>
      </w:r>
      <w:r>
        <w:rPr>
          <w:sz w:val="24"/>
          <w:szCs w:val="24"/>
          <w:lang w:val="en-US" w:eastAsia="zh-CN"/>
        </w:rPr>
        <w:t>cantități</w:t>
      </w:r>
      <w:r>
        <w:rPr>
          <w:sz w:val="24"/>
          <w:szCs w:val="24"/>
          <w:lang w:eastAsia="zh-CN"/>
        </w:rPr>
        <w:t xml:space="preserve"> </w:t>
      </w:r>
      <w:r>
        <w:rPr>
          <w:sz w:val="24"/>
          <w:szCs w:val="24"/>
          <w:lang w:val="en-US" w:eastAsia="zh-CN"/>
        </w:rPr>
        <w:t>ce nu pot forma cu aerul</w:t>
      </w:r>
      <w:r>
        <w:rPr>
          <w:sz w:val="24"/>
          <w:szCs w:val="24"/>
          <w:lang w:eastAsia="zh-CN"/>
        </w:rPr>
        <w:t xml:space="preserve"> </w:t>
      </w:r>
      <w:r>
        <w:rPr>
          <w:sz w:val="24"/>
          <w:szCs w:val="24"/>
          <w:lang w:val="en-US" w:eastAsia="zh-CN"/>
        </w:rPr>
        <w:t>amestecuri</w:t>
      </w:r>
      <w:r>
        <w:rPr>
          <w:sz w:val="24"/>
          <w:szCs w:val="24"/>
          <w:lang w:eastAsia="zh-CN"/>
        </w:rPr>
        <w:t xml:space="preserve"> </w:t>
      </w:r>
      <w:r>
        <w:rPr>
          <w:sz w:val="24"/>
          <w:szCs w:val="24"/>
          <w:lang w:val="en-US" w:eastAsia="zh-CN"/>
        </w:rPr>
        <w:t>explozive.</w:t>
      </w:r>
      <w:r>
        <w:rPr>
          <w:sz w:val="24"/>
          <w:szCs w:val="24"/>
          <w:lang w:val="en-US" w:eastAsia="zh-CN"/>
        </w:rPr>
        <w:br/>
        <w:t>În</w:t>
      </w:r>
      <w:r>
        <w:rPr>
          <w:sz w:val="24"/>
          <w:szCs w:val="24"/>
          <w:lang w:eastAsia="zh-CN"/>
        </w:rPr>
        <w:t xml:space="preserve"> </w:t>
      </w:r>
      <w:r>
        <w:rPr>
          <w:sz w:val="24"/>
          <w:szCs w:val="24"/>
          <w:lang w:val="en-US" w:eastAsia="zh-CN"/>
        </w:rPr>
        <w:t>asemenea</w:t>
      </w:r>
      <w:r>
        <w:rPr>
          <w:sz w:val="24"/>
          <w:szCs w:val="24"/>
          <w:lang w:eastAsia="zh-CN"/>
        </w:rPr>
        <w:t xml:space="preserve"> </w:t>
      </w:r>
      <w:r>
        <w:rPr>
          <w:sz w:val="24"/>
          <w:szCs w:val="24"/>
          <w:lang w:val="en-US" w:eastAsia="zh-CN"/>
        </w:rPr>
        <w:t>situații</w:t>
      </w:r>
      <w:r>
        <w:rPr>
          <w:sz w:val="24"/>
          <w:szCs w:val="24"/>
          <w:lang w:eastAsia="zh-CN"/>
        </w:rPr>
        <w:t xml:space="preserve"> </w:t>
      </w:r>
      <w:r>
        <w:rPr>
          <w:sz w:val="24"/>
          <w:szCs w:val="24"/>
          <w:lang w:val="en-US" w:eastAsia="zh-CN"/>
        </w:rPr>
        <w:t>încadrarea se face în</w:t>
      </w:r>
      <w:r>
        <w:rPr>
          <w:sz w:val="24"/>
          <w:szCs w:val="24"/>
          <w:lang w:eastAsia="zh-CN"/>
        </w:rPr>
        <w:t xml:space="preserve"> </w:t>
      </w:r>
      <w:r>
        <w:rPr>
          <w:sz w:val="24"/>
          <w:szCs w:val="24"/>
          <w:lang w:val="en-US" w:eastAsia="zh-CN"/>
        </w:rPr>
        <w:t xml:space="preserve">categoria </w:t>
      </w:r>
      <w:r>
        <w:rPr>
          <w:sz w:val="24"/>
          <w:szCs w:val="24"/>
          <w:lang w:eastAsia="zh-CN"/>
        </w:rPr>
        <w:t xml:space="preserve">de pericol de incendiu </w:t>
      </w:r>
      <w:r>
        <w:rPr>
          <w:sz w:val="24"/>
          <w:szCs w:val="24"/>
          <w:lang w:val="en-US" w:eastAsia="zh-CN"/>
        </w:rPr>
        <w:t>C, D sau E, în</w:t>
      </w:r>
      <w:r>
        <w:rPr>
          <w:sz w:val="24"/>
          <w:szCs w:val="24"/>
          <w:lang w:eastAsia="zh-CN"/>
        </w:rPr>
        <w:t xml:space="preserve"> </w:t>
      </w:r>
      <w:r>
        <w:rPr>
          <w:sz w:val="24"/>
          <w:szCs w:val="24"/>
          <w:lang w:val="en-US" w:eastAsia="zh-CN"/>
        </w:rPr>
        <w:t>funcție de densitatea</w:t>
      </w:r>
      <w:r>
        <w:rPr>
          <w:sz w:val="24"/>
          <w:szCs w:val="24"/>
          <w:lang w:eastAsia="zh-CN"/>
        </w:rPr>
        <w:t xml:space="preserve"> </w:t>
      </w:r>
      <w:r>
        <w:rPr>
          <w:sz w:val="24"/>
          <w:szCs w:val="24"/>
          <w:lang w:val="en-US" w:eastAsia="zh-CN"/>
        </w:rPr>
        <w:t>sarcinii</w:t>
      </w:r>
      <w:r>
        <w:rPr>
          <w:sz w:val="24"/>
          <w:szCs w:val="24"/>
          <w:lang w:eastAsia="zh-CN"/>
        </w:rPr>
        <w:t xml:space="preserve"> </w:t>
      </w:r>
      <w:r>
        <w:rPr>
          <w:sz w:val="24"/>
          <w:szCs w:val="24"/>
          <w:lang w:val="en-US" w:eastAsia="zh-CN"/>
        </w:rPr>
        <w:t>termice</w:t>
      </w:r>
      <w:r>
        <w:rPr>
          <w:sz w:val="24"/>
          <w:szCs w:val="24"/>
          <w:lang w:eastAsia="zh-CN"/>
        </w:rPr>
        <w:t xml:space="preserve"> </w:t>
      </w:r>
      <w:r>
        <w:rPr>
          <w:sz w:val="24"/>
          <w:szCs w:val="24"/>
          <w:lang w:val="en-US" w:eastAsia="zh-CN"/>
        </w:rPr>
        <w:t>și</w:t>
      </w:r>
      <w:r>
        <w:rPr>
          <w:sz w:val="24"/>
          <w:szCs w:val="24"/>
          <w:lang w:eastAsia="zh-CN"/>
        </w:rPr>
        <w:t xml:space="preserve"> </w:t>
      </w:r>
      <w:r>
        <w:rPr>
          <w:sz w:val="24"/>
          <w:szCs w:val="24"/>
          <w:lang w:val="en-US" w:eastAsia="zh-CN"/>
        </w:rPr>
        <w:t>pericolul de incendiu</w:t>
      </w:r>
      <w:r>
        <w:rPr>
          <w:sz w:val="24"/>
          <w:szCs w:val="24"/>
          <w:lang w:eastAsia="zh-CN"/>
        </w:rPr>
        <w:t xml:space="preserve"> </w:t>
      </w:r>
      <w:r>
        <w:rPr>
          <w:sz w:val="24"/>
          <w:szCs w:val="24"/>
          <w:lang w:val="en-US" w:eastAsia="zh-CN"/>
        </w:rPr>
        <w:t>în</w:t>
      </w:r>
      <w:r>
        <w:rPr>
          <w:sz w:val="24"/>
          <w:szCs w:val="24"/>
          <w:lang w:eastAsia="zh-CN"/>
        </w:rPr>
        <w:t xml:space="preserve"> </w:t>
      </w:r>
      <w:r>
        <w:rPr>
          <w:sz w:val="24"/>
          <w:szCs w:val="24"/>
          <w:lang w:val="en-US" w:eastAsia="zh-CN"/>
        </w:rPr>
        <w:t>ansamblu</w:t>
      </w:r>
      <w:r>
        <w:rPr>
          <w:sz w:val="24"/>
          <w:szCs w:val="24"/>
        </w:rPr>
        <w:t>)</w:t>
      </w:r>
      <w:r>
        <w:rPr>
          <w:sz w:val="24"/>
          <w:szCs w:val="24"/>
          <w:lang w:val="en-GB"/>
        </w:rPr>
        <w:t>;</w:t>
      </w:r>
    </w:p>
    <w:p w14:paraId="2B3C385F" w14:textId="77777777" w:rsidR="001C08A5" w:rsidRDefault="00000000">
      <w:pPr>
        <w:ind w:left="1620" w:hanging="810"/>
        <w:jc w:val="both"/>
        <w:rPr>
          <w:sz w:val="24"/>
          <w:szCs w:val="24"/>
        </w:rPr>
      </w:pPr>
      <w:r>
        <w:rPr>
          <w:sz w:val="24"/>
          <w:szCs w:val="24"/>
          <w:lang w:val="en-GB"/>
        </w:rPr>
        <w:t xml:space="preserve">- </w:t>
      </w:r>
      <w:r>
        <w:rPr>
          <w:b/>
          <w:bCs/>
          <w:sz w:val="24"/>
          <w:szCs w:val="24"/>
          <w:lang w:val="en-GB"/>
        </w:rPr>
        <w:t>Categoria C de pericol de incendiu</w:t>
      </w:r>
      <w:r>
        <w:rPr>
          <w:sz w:val="24"/>
          <w:szCs w:val="24"/>
        </w:rPr>
        <w:t xml:space="preserve"> (</w:t>
      </w:r>
      <w:r>
        <w:rPr>
          <w:sz w:val="24"/>
          <w:szCs w:val="24"/>
          <w:lang w:eastAsia="zh-CN"/>
        </w:rPr>
        <w:t>s</w:t>
      </w:r>
      <w:r>
        <w:rPr>
          <w:sz w:val="24"/>
          <w:szCs w:val="24"/>
          <w:lang w:val="en-US" w:eastAsia="zh-CN"/>
        </w:rPr>
        <w:t>ubstanțe</w:t>
      </w:r>
      <w:r>
        <w:rPr>
          <w:sz w:val="24"/>
          <w:szCs w:val="24"/>
          <w:lang w:eastAsia="zh-CN"/>
        </w:rPr>
        <w:t xml:space="preserve"> </w:t>
      </w:r>
      <w:r>
        <w:rPr>
          <w:sz w:val="24"/>
          <w:szCs w:val="24"/>
          <w:lang w:val="en-US" w:eastAsia="zh-CN"/>
        </w:rPr>
        <w:t>și</w:t>
      </w:r>
      <w:r>
        <w:rPr>
          <w:sz w:val="24"/>
          <w:szCs w:val="24"/>
          <w:lang w:eastAsia="zh-CN"/>
        </w:rPr>
        <w:t xml:space="preserve"> </w:t>
      </w:r>
      <w:r>
        <w:rPr>
          <w:sz w:val="24"/>
          <w:szCs w:val="24"/>
          <w:lang w:val="en-US" w:eastAsia="zh-CN"/>
        </w:rPr>
        <w:t>materiale</w:t>
      </w:r>
      <w:r>
        <w:rPr>
          <w:sz w:val="24"/>
          <w:szCs w:val="24"/>
          <w:lang w:eastAsia="zh-CN"/>
        </w:rPr>
        <w:t xml:space="preserve"> </w:t>
      </w:r>
      <w:r>
        <w:rPr>
          <w:sz w:val="24"/>
          <w:szCs w:val="24"/>
          <w:lang w:val="en-US" w:eastAsia="zh-CN"/>
        </w:rPr>
        <w:t>combustibile</w:t>
      </w:r>
      <w:r>
        <w:rPr>
          <w:sz w:val="24"/>
          <w:szCs w:val="24"/>
          <w:lang w:eastAsia="zh-CN"/>
        </w:rPr>
        <w:t xml:space="preserve"> </w:t>
      </w:r>
      <w:r>
        <w:rPr>
          <w:sz w:val="24"/>
          <w:szCs w:val="24"/>
          <w:lang w:val="en-US" w:eastAsia="zh-CN"/>
        </w:rPr>
        <w:t>solide</w:t>
      </w:r>
      <w:r>
        <w:rPr>
          <w:sz w:val="24"/>
          <w:szCs w:val="24"/>
          <w:lang w:eastAsia="zh-CN"/>
        </w:rPr>
        <w:t xml:space="preserve"> sau l</w:t>
      </w:r>
      <w:r>
        <w:rPr>
          <w:sz w:val="24"/>
          <w:szCs w:val="24"/>
          <w:lang w:val="en-US" w:eastAsia="zh-CN"/>
        </w:rPr>
        <w:t>ichide cu temperatura de inflamabilitate a vaporilor</w:t>
      </w:r>
      <w:r>
        <w:rPr>
          <w:sz w:val="24"/>
          <w:szCs w:val="24"/>
          <w:lang w:eastAsia="zh-CN"/>
        </w:rPr>
        <w:t xml:space="preserve"> </w:t>
      </w:r>
      <w:r>
        <w:rPr>
          <w:sz w:val="24"/>
          <w:szCs w:val="24"/>
          <w:lang w:val="en-US" w:eastAsia="zh-CN"/>
        </w:rPr>
        <w:t>mai mare de 100°C</w:t>
      </w:r>
      <w:r>
        <w:rPr>
          <w:sz w:val="24"/>
          <w:szCs w:val="24"/>
        </w:rPr>
        <w:t>)</w:t>
      </w:r>
      <w:r>
        <w:rPr>
          <w:sz w:val="24"/>
          <w:szCs w:val="24"/>
          <w:lang w:val="en-GB"/>
        </w:rPr>
        <w:t xml:space="preserve">: </w:t>
      </w:r>
      <w:r>
        <w:rPr>
          <w:b/>
          <w:bCs/>
          <w:sz w:val="24"/>
          <w:szCs w:val="24"/>
          <w:lang w:val="en-GB"/>
        </w:rPr>
        <w:t>posibilitati de incendiu/ardere</w:t>
      </w:r>
      <w:r>
        <w:rPr>
          <w:sz w:val="24"/>
          <w:szCs w:val="24"/>
        </w:rPr>
        <w:t xml:space="preserve">, cu densitatea sarcinii termice </w:t>
      </w:r>
      <w:r>
        <w:rPr>
          <w:b/>
          <w:bCs/>
          <w:sz w:val="24"/>
          <w:szCs w:val="24"/>
          <w:lang w:val="en-GB"/>
        </w:rPr>
        <w:t>q &gt; 105M</w:t>
      </w:r>
      <w:r>
        <w:rPr>
          <w:b/>
          <w:bCs/>
          <w:sz w:val="24"/>
          <w:szCs w:val="24"/>
        </w:rPr>
        <w:t>J/m</w:t>
      </w:r>
      <w:r>
        <w:rPr>
          <w:b/>
          <w:bCs/>
          <w:sz w:val="24"/>
          <w:szCs w:val="24"/>
          <w:vertAlign w:val="superscript"/>
        </w:rPr>
        <w:t>2</w:t>
      </w:r>
      <w:r>
        <w:rPr>
          <w:sz w:val="24"/>
          <w:szCs w:val="24"/>
        </w:rPr>
        <w:t xml:space="preserve">; </w:t>
      </w:r>
    </w:p>
    <w:p w14:paraId="404B5660" w14:textId="77777777" w:rsidR="001C08A5" w:rsidRDefault="00000000">
      <w:pPr>
        <w:ind w:left="1620"/>
        <w:jc w:val="both"/>
        <w:rPr>
          <w:sz w:val="24"/>
          <w:szCs w:val="24"/>
          <w:lang w:val="en-GB"/>
        </w:rPr>
      </w:pPr>
      <w:r>
        <w:rPr>
          <w:sz w:val="24"/>
          <w:szCs w:val="24"/>
          <w:lang w:val="en-US" w:eastAsia="zh-CN"/>
        </w:rPr>
        <w:t>Nu determină</w:t>
      </w:r>
      <w:r>
        <w:rPr>
          <w:sz w:val="24"/>
          <w:szCs w:val="24"/>
          <w:lang w:eastAsia="zh-CN"/>
        </w:rPr>
        <w:t xml:space="preserve"> </w:t>
      </w:r>
      <w:r>
        <w:rPr>
          <w:sz w:val="24"/>
          <w:szCs w:val="24"/>
          <w:lang w:val="en-US" w:eastAsia="zh-CN"/>
        </w:rPr>
        <w:t>încadrarea</w:t>
      </w:r>
      <w:r>
        <w:rPr>
          <w:sz w:val="24"/>
          <w:szCs w:val="24"/>
          <w:lang w:eastAsia="zh-CN"/>
        </w:rPr>
        <w:t xml:space="preserve"> </w:t>
      </w:r>
      <w:r>
        <w:rPr>
          <w:sz w:val="24"/>
          <w:szCs w:val="24"/>
          <w:lang w:val="en-US" w:eastAsia="zh-CN"/>
        </w:rPr>
        <w:t>în</w:t>
      </w:r>
      <w:r>
        <w:rPr>
          <w:sz w:val="24"/>
          <w:szCs w:val="24"/>
          <w:lang w:eastAsia="zh-CN"/>
        </w:rPr>
        <w:t xml:space="preserve"> </w:t>
      </w:r>
      <w:r>
        <w:rPr>
          <w:sz w:val="24"/>
          <w:szCs w:val="24"/>
          <w:lang w:val="en-US" w:eastAsia="zh-CN"/>
        </w:rPr>
        <w:t>categoria C (BE2) de pericol, oricare din următoarele</w:t>
      </w:r>
      <w:r>
        <w:rPr>
          <w:sz w:val="24"/>
          <w:szCs w:val="24"/>
          <w:lang w:eastAsia="zh-CN"/>
        </w:rPr>
        <w:t xml:space="preserve"> </w:t>
      </w:r>
      <w:r>
        <w:rPr>
          <w:sz w:val="24"/>
          <w:szCs w:val="24"/>
          <w:lang w:val="en-US" w:eastAsia="zh-CN"/>
        </w:rPr>
        <w:t>situații:</w:t>
      </w:r>
      <w:r>
        <w:rPr>
          <w:sz w:val="24"/>
          <w:szCs w:val="24"/>
          <w:lang w:val="en-US" w:eastAsia="zh-CN"/>
        </w:rPr>
        <w:br/>
        <w:t>• folosirea</w:t>
      </w:r>
      <w:r>
        <w:rPr>
          <w:sz w:val="24"/>
          <w:szCs w:val="24"/>
          <w:lang w:eastAsia="zh-CN"/>
        </w:rPr>
        <w:t xml:space="preserve"> </w:t>
      </w:r>
      <w:r>
        <w:rPr>
          <w:sz w:val="24"/>
          <w:szCs w:val="24"/>
          <w:lang w:val="en-US" w:eastAsia="zh-CN"/>
        </w:rPr>
        <w:t>substanțelor</w:t>
      </w:r>
      <w:r>
        <w:rPr>
          <w:sz w:val="24"/>
          <w:szCs w:val="24"/>
          <w:lang w:eastAsia="zh-CN"/>
        </w:rPr>
        <w:t xml:space="preserve"> </w:t>
      </w:r>
      <w:r>
        <w:rPr>
          <w:sz w:val="24"/>
          <w:szCs w:val="24"/>
          <w:lang w:val="en-US" w:eastAsia="zh-CN"/>
        </w:rPr>
        <w:t>solide</w:t>
      </w:r>
      <w:r>
        <w:rPr>
          <w:sz w:val="24"/>
          <w:szCs w:val="24"/>
          <w:lang w:eastAsia="zh-CN"/>
        </w:rPr>
        <w:t xml:space="preserve">, </w:t>
      </w:r>
      <w:r>
        <w:rPr>
          <w:sz w:val="24"/>
          <w:szCs w:val="24"/>
          <w:lang w:val="en-US" w:eastAsia="zh-CN"/>
        </w:rPr>
        <w:t>lichide</w:t>
      </w:r>
      <w:r>
        <w:rPr>
          <w:sz w:val="24"/>
          <w:szCs w:val="24"/>
          <w:lang w:eastAsia="zh-CN"/>
        </w:rPr>
        <w:t xml:space="preserve"> </w:t>
      </w:r>
      <w:r>
        <w:rPr>
          <w:sz w:val="24"/>
          <w:szCs w:val="24"/>
          <w:lang w:val="en-US" w:eastAsia="zh-CN"/>
        </w:rPr>
        <w:t>sau</w:t>
      </w:r>
      <w:r>
        <w:rPr>
          <w:sz w:val="24"/>
          <w:szCs w:val="24"/>
          <w:lang w:eastAsia="zh-CN"/>
        </w:rPr>
        <w:t xml:space="preserve"> </w:t>
      </w:r>
      <w:r>
        <w:rPr>
          <w:sz w:val="24"/>
          <w:szCs w:val="24"/>
          <w:lang w:val="en-US" w:eastAsia="zh-CN"/>
        </w:rPr>
        <w:t>gazoase</w:t>
      </w:r>
      <w:r>
        <w:rPr>
          <w:sz w:val="24"/>
          <w:szCs w:val="24"/>
          <w:lang w:eastAsia="zh-CN"/>
        </w:rPr>
        <w:t xml:space="preserve"> </w:t>
      </w:r>
      <w:r>
        <w:rPr>
          <w:sz w:val="24"/>
          <w:szCs w:val="24"/>
          <w:lang w:val="en-US" w:eastAsia="zh-CN"/>
        </w:rPr>
        <w:t>drept</w:t>
      </w:r>
      <w:r>
        <w:rPr>
          <w:sz w:val="24"/>
          <w:szCs w:val="24"/>
          <w:lang w:eastAsia="zh-CN"/>
        </w:rPr>
        <w:t xml:space="preserve"> </w:t>
      </w:r>
      <w:r>
        <w:rPr>
          <w:sz w:val="24"/>
          <w:szCs w:val="24"/>
          <w:lang w:val="en-US" w:eastAsia="zh-CN"/>
        </w:rPr>
        <w:t>combustibili</w:t>
      </w:r>
      <w:r>
        <w:rPr>
          <w:sz w:val="24"/>
          <w:szCs w:val="24"/>
          <w:lang w:eastAsia="zh-CN"/>
        </w:rPr>
        <w:t xml:space="preserve"> </w:t>
      </w:r>
      <w:r>
        <w:rPr>
          <w:sz w:val="24"/>
          <w:szCs w:val="24"/>
          <w:lang w:val="en-US" w:eastAsia="zh-CN"/>
        </w:rPr>
        <w:t>pentru</w:t>
      </w:r>
      <w:r>
        <w:rPr>
          <w:sz w:val="24"/>
          <w:szCs w:val="24"/>
          <w:lang w:eastAsia="zh-CN"/>
        </w:rPr>
        <w:t xml:space="preserve"> </w:t>
      </w:r>
      <w:r>
        <w:rPr>
          <w:sz w:val="24"/>
          <w:szCs w:val="24"/>
          <w:lang w:val="en-US" w:eastAsia="zh-CN"/>
        </w:rPr>
        <w:t>ardere;</w:t>
      </w:r>
      <w:r>
        <w:rPr>
          <w:sz w:val="24"/>
          <w:szCs w:val="24"/>
          <w:lang w:val="en-US" w:eastAsia="zh-CN"/>
        </w:rPr>
        <w:br/>
      </w:r>
      <w:r>
        <w:rPr>
          <w:sz w:val="24"/>
          <w:szCs w:val="24"/>
          <w:lang w:val="en-US" w:eastAsia="zh-CN"/>
        </w:rPr>
        <w:lastRenderedPageBreak/>
        <w:t>• utilizarea</w:t>
      </w:r>
      <w:r>
        <w:rPr>
          <w:sz w:val="24"/>
          <w:szCs w:val="24"/>
          <w:lang w:eastAsia="zh-CN"/>
        </w:rPr>
        <w:t xml:space="preserve"> </w:t>
      </w:r>
      <w:r>
        <w:rPr>
          <w:sz w:val="24"/>
          <w:szCs w:val="24"/>
          <w:lang w:val="en-US" w:eastAsia="zh-CN"/>
        </w:rPr>
        <w:t>lichidelor</w:t>
      </w:r>
      <w:r>
        <w:rPr>
          <w:sz w:val="24"/>
          <w:szCs w:val="24"/>
          <w:lang w:eastAsia="zh-CN"/>
        </w:rPr>
        <w:t xml:space="preserve"> </w:t>
      </w:r>
      <w:r>
        <w:rPr>
          <w:sz w:val="24"/>
          <w:szCs w:val="24"/>
          <w:lang w:val="en-US" w:eastAsia="zh-CN"/>
        </w:rPr>
        <w:t>combustibile cu temperatura de inflamabilitate</w:t>
      </w:r>
      <w:r>
        <w:rPr>
          <w:sz w:val="24"/>
          <w:szCs w:val="24"/>
          <w:lang w:eastAsia="zh-CN"/>
        </w:rPr>
        <w:t xml:space="preserve"> </w:t>
      </w:r>
      <w:r>
        <w:rPr>
          <w:sz w:val="24"/>
          <w:szCs w:val="24"/>
          <w:lang w:val="en-US" w:eastAsia="zh-CN"/>
        </w:rPr>
        <w:t>peste 100°C la comenzi</w:t>
      </w:r>
      <w:r>
        <w:rPr>
          <w:sz w:val="24"/>
          <w:szCs w:val="24"/>
          <w:lang w:eastAsia="zh-CN"/>
        </w:rPr>
        <w:t xml:space="preserve"> </w:t>
      </w:r>
      <w:r>
        <w:rPr>
          <w:sz w:val="24"/>
          <w:szCs w:val="24"/>
          <w:lang w:val="en-US" w:eastAsia="zh-CN"/>
        </w:rPr>
        <w:t>hidraulice, răcire, ungere, filtre</w:t>
      </w:r>
      <w:r>
        <w:rPr>
          <w:sz w:val="24"/>
          <w:szCs w:val="24"/>
          <w:lang w:eastAsia="zh-CN"/>
        </w:rPr>
        <w:t xml:space="preserve"> </w:t>
      </w:r>
      <w:r>
        <w:rPr>
          <w:sz w:val="24"/>
          <w:szCs w:val="24"/>
          <w:lang w:val="en-US" w:eastAsia="zh-CN"/>
        </w:rPr>
        <w:t>și</w:t>
      </w:r>
      <w:r>
        <w:rPr>
          <w:sz w:val="24"/>
          <w:szCs w:val="24"/>
          <w:lang w:eastAsia="zh-CN"/>
        </w:rPr>
        <w:t xml:space="preserve"> </w:t>
      </w:r>
      <w:r>
        <w:rPr>
          <w:sz w:val="24"/>
          <w:szCs w:val="24"/>
          <w:lang w:val="en-US" w:eastAsia="zh-CN"/>
        </w:rPr>
        <w:t>tratamente</w:t>
      </w:r>
      <w:r>
        <w:rPr>
          <w:sz w:val="24"/>
          <w:szCs w:val="24"/>
          <w:lang w:eastAsia="zh-CN"/>
        </w:rPr>
        <w:t xml:space="preserve"> </w:t>
      </w:r>
      <w:r>
        <w:rPr>
          <w:sz w:val="24"/>
          <w:szCs w:val="24"/>
          <w:lang w:val="en-US" w:eastAsia="zh-CN"/>
        </w:rPr>
        <w:t>termice, în</w:t>
      </w:r>
      <w:r>
        <w:rPr>
          <w:sz w:val="24"/>
          <w:szCs w:val="24"/>
          <w:lang w:eastAsia="zh-CN"/>
        </w:rPr>
        <w:t xml:space="preserve"> </w:t>
      </w:r>
      <w:r>
        <w:rPr>
          <w:sz w:val="24"/>
          <w:szCs w:val="24"/>
          <w:lang w:val="en-US" w:eastAsia="zh-CN"/>
        </w:rPr>
        <w:t>cantități de max. 2 m</w:t>
      </w:r>
      <w:r>
        <w:rPr>
          <w:sz w:val="24"/>
          <w:szCs w:val="24"/>
          <w:vertAlign w:val="superscript"/>
          <w:lang w:val="en-US" w:eastAsia="zh-CN"/>
        </w:rPr>
        <w:t>3</w:t>
      </w:r>
      <w:r>
        <w:rPr>
          <w:sz w:val="24"/>
          <w:szCs w:val="24"/>
          <w:lang w:val="en-US" w:eastAsia="zh-CN"/>
        </w:rPr>
        <w:t>, cu condiția</w:t>
      </w:r>
      <w:r>
        <w:rPr>
          <w:sz w:val="24"/>
          <w:szCs w:val="24"/>
          <w:lang w:eastAsia="zh-CN"/>
        </w:rPr>
        <w:t xml:space="preserve"> </w:t>
      </w:r>
      <w:r>
        <w:rPr>
          <w:sz w:val="24"/>
          <w:szCs w:val="24"/>
          <w:lang w:val="en-US" w:eastAsia="zh-CN"/>
        </w:rPr>
        <w:t>luării</w:t>
      </w:r>
      <w:r>
        <w:rPr>
          <w:sz w:val="24"/>
          <w:szCs w:val="24"/>
          <w:lang w:eastAsia="zh-CN"/>
        </w:rPr>
        <w:t xml:space="preserve"> </w:t>
      </w:r>
      <w:r>
        <w:rPr>
          <w:sz w:val="24"/>
          <w:szCs w:val="24"/>
          <w:lang w:val="en-US" w:eastAsia="zh-CN"/>
        </w:rPr>
        <w:t>unor</w:t>
      </w:r>
      <w:r>
        <w:rPr>
          <w:sz w:val="24"/>
          <w:szCs w:val="24"/>
          <w:lang w:eastAsia="zh-CN"/>
        </w:rPr>
        <w:t xml:space="preserve"> </w:t>
      </w:r>
      <w:r>
        <w:rPr>
          <w:sz w:val="24"/>
          <w:szCs w:val="24"/>
          <w:lang w:val="en-US" w:eastAsia="zh-CN"/>
        </w:rPr>
        <w:t>măsuri locale pentru</w:t>
      </w:r>
      <w:r>
        <w:rPr>
          <w:sz w:val="24"/>
          <w:szCs w:val="24"/>
          <w:lang w:eastAsia="zh-CN"/>
        </w:rPr>
        <w:t xml:space="preserve"> </w:t>
      </w:r>
      <w:r>
        <w:rPr>
          <w:sz w:val="24"/>
          <w:szCs w:val="24"/>
          <w:lang w:val="en-US" w:eastAsia="zh-CN"/>
        </w:rPr>
        <w:t>limitarea</w:t>
      </w:r>
      <w:r>
        <w:rPr>
          <w:sz w:val="24"/>
          <w:szCs w:val="24"/>
          <w:lang w:eastAsia="zh-CN"/>
        </w:rPr>
        <w:t xml:space="preserve"> </w:t>
      </w:r>
      <w:r>
        <w:rPr>
          <w:sz w:val="24"/>
          <w:szCs w:val="24"/>
          <w:lang w:val="en-US" w:eastAsia="zh-CN"/>
        </w:rPr>
        <w:t>propagării</w:t>
      </w:r>
      <w:r>
        <w:rPr>
          <w:sz w:val="24"/>
          <w:szCs w:val="24"/>
          <w:lang w:eastAsia="zh-CN"/>
        </w:rPr>
        <w:t xml:space="preserve"> </w:t>
      </w:r>
      <w:r>
        <w:rPr>
          <w:sz w:val="24"/>
          <w:szCs w:val="24"/>
          <w:lang w:val="en-US" w:eastAsia="zh-CN"/>
        </w:rPr>
        <w:t>incendiului;</w:t>
      </w:r>
      <w:r>
        <w:rPr>
          <w:sz w:val="24"/>
          <w:szCs w:val="24"/>
          <w:lang w:val="en-US" w:eastAsia="zh-CN"/>
        </w:rPr>
        <w:br/>
        <w:t>• folosirea</w:t>
      </w:r>
      <w:r>
        <w:rPr>
          <w:sz w:val="24"/>
          <w:szCs w:val="24"/>
          <w:lang w:eastAsia="zh-CN"/>
        </w:rPr>
        <w:t xml:space="preserve"> </w:t>
      </w:r>
      <w:r>
        <w:rPr>
          <w:sz w:val="24"/>
          <w:szCs w:val="24"/>
          <w:lang w:val="en-US" w:eastAsia="zh-CN"/>
        </w:rPr>
        <w:t>echipamentului electric, care conține</w:t>
      </w:r>
      <w:r>
        <w:rPr>
          <w:sz w:val="24"/>
          <w:szCs w:val="24"/>
          <w:lang w:eastAsia="zh-CN"/>
        </w:rPr>
        <w:t xml:space="preserve"> </w:t>
      </w:r>
      <w:r>
        <w:rPr>
          <w:sz w:val="24"/>
          <w:szCs w:val="24"/>
          <w:lang w:val="en-US" w:eastAsia="zh-CN"/>
        </w:rPr>
        <w:t>până la 60 Kg ulei pe unitatea de echipament, precum și a fluxurilor de cabluri cu mai</w:t>
      </w:r>
      <w:r>
        <w:rPr>
          <w:sz w:val="24"/>
          <w:szCs w:val="24"/>
          <w:lang w:eastAsia="zh-CN"/>
        </w:rPr>
        <w:t xml:space="preserve"> </w:t>
      </w:r>
      <w:r>
        <w:rPr>
          <w:sz w:val="24"/>
          <w:szCs w:val="24"/>
          <w:lang w:val="en-US" w:eastAsia="zh-CN"/>
        </w:rPr>
        <w:t>puțin de 3,5 Kg material combustibil / ml pe flux;</w:t>
      </w:r>
      <w:r>
        <w:rPr>
          <w:sz w:val="24"/>
          <w:szCs w:val="24"/>
          <w:lang w:val="en-US" w:eastAsia="zh-CN"/>
        </w:rPr>
        <w:br/>
        <w:t>• materialele</w:t>
      </w:r>
      <w:r>
        <w:rPr>
          <w:sz w:val="24"/>
          <w:szCs w:val="24"/>
          <w:lang w:eastAsia="zh-CN"/>
        </w:rPr>
        <w:t xml:space="preserve"> </w:t>
      </w:r>
      <w:r>
        <w:rPr>
          <w:sz w:val="24"/>
          <w:szCs w:val="24"/>
          <w:lang w:val="en-US" w:eastAsia="zh-CN"/>
        </w:rPr>
        <w:t>și</w:t>
      </w:r>
      <w:r>
        <w:rPr>
          <w:sz w:val="24"/>
          <w:szCs w:val="24"/>
          <w:lang w:eastAsia="zh-CN"/>
        </w:rPr>
        <w:t xml:space="preserve"> </w:t>
      </w:r>
      <w:r>
        <w:rPr>
          <w:sz w:val="24"/>
          <w:szCs w:val="24"/>
          <w:lang w:val="en-US" w:eastAsia="zh-CN"/>
        </w:rPr>
        <w:t>substanțele</w:t>
      </w:r>
      <w:r>
        <w:rPr>
          <w:sz w:val="24"/>
          <w:szCs w:val="24"/>
          <w:lang w:eastAsia="zh-CN"/>
        </w:rPr>
        <w:t xml:space="preserve"> </w:t>
      </w:r>
      <w:r>
        <w:rPr>
          <w:sz w:val="24"/>
          <w:szCs w:val="24"/>
          <w:lang w:val="en-US" w:eastAsia="zh-CN"/>
        </w:rPr>
        <w:t>combustibile din spațiul</w:t>
      </w:r>
      <w:r>
        <w:rPr>
          <w:sz w:val="24"/>
          <w:szCs w:val="24"/>
          <w:lang w:eastAsia="zh-CN"/>
        </w:rPr>
        <w:t xml:space="preserve"> </w:t>
      </w:r>
      <w:r>
        <w:rPr>
          <w:sz w:val="24"/>
          <w:szCs w:val="24"/>
          <w:lang w:val="en-US" w:eastAsia="zh-CN"/>
        </w:rPr>
        <w:t>respectiv, inclusiv</w:t>
      </w:r>
      <w:r>
        <w:rPr>
          <w:sz w:val="24"/>
          <w:szCs w:val="24"/>
          <w:lang w:eastAsia="zh-CN"/>
        </w:rPr>
        <w:t xml:space="preserve"> </w:t>
      </w:r>
      <w:r>
        <w:rPr>
          <w:sz w:val="24"/>
          <w:szCs w:val="24"/>
          <w:lang w:val="en-US" w:eastAsia="zh-CN"/>
        </w:rPr>
        <w:t xml:space="preserve">cele din utilaje care nu se încadrează la </w:t>
      </w:r>
      <w:r>
        <w:rPr>
          <w:sz w:val="24"/>
          <w:szCs w:val="24"/>
          <w:lang w:eastAsia="zh-CN"/>
        </w:rPr>
        <w:t>punctul</w:t>
      </w:r>
      <w:r>
        <w:rPr>
          <w:sz w:val="24"/>
          <w:szCs w:val="24"/>
          <w:lang w:val="en-US" w:eastAsia="zh-CN"/>
        </w:rPr>
        <w:t xml:space="preserve"> 2 sau</w:t>
      </w:r>
      <w:r>
        <w:rPr>
          <w:sz w:val="24"/>
          <w:szCs w:val="24"/>
          <w:lang w:eastAsia="zh-CN"/>
        </w:rPr>
        <w:t xml:space="preserve"> </w:t>
      </w:r>
      <w:r>
        <w:rPr>
          <w:sz w:val="24"/>
          <w:szCs w:val="24"/>
          <w:lang w:val="en-US" w:eastAsia="zh-CN"/>
        </w:rPr>
        <w:t>cele</w:t>
      </w:r>
      <w:r>
        <w:rPr>
          <w:sz w:val="24"/>
          <w:szCs w:val="24"/>
          <w:lang w:eastAsia="zh-CN"/>
        </w:rPr>
        <w:t xml:space="preserve"> </w:t>
      </w:r>
      <w:r>
        <w:rPr>
          <w:sz w:val="24"/>
          <w:szCs w:val="24"/>
          <w:lang w:val="en-US" w:eastAsia="zh-CN"/>
        </w:rPr>
        <w:t>utilizate la transportul</w:t>
      </w:r>
      <w:r>
        <w:rPr>
          <w:sz w:val="24"/>
          <w:szCs w:val="24"/>
          <w:lang w:eastAsia="zh-CN"/>
        </w:rPr>
        <w:t xml:space="preserve"> </w:t>
      </w:r>
      <w:r>
        <w:rPr>
          <w:sz w:val="24"/>
          <w:szCs w:val="24"/>
          <w:lang w:val="en-US" w:eastAsia="zh-CN"/>
        </w:rPr>
        <w:t>ori</w:t>
      </w:r>
      <w:r>
        <w:rPr>
          <w:sz w:val="24"/>
          <w:szCs w:val="24"/>
          <w:lang w:eastAsia="zh-CN"/>
        </w:rPr>
        <w:t xml:space="preserve"> </w:t>
      </w:r>
      <w:r>
        <w:rPr>
          <w:sz w:val="24"/>
          <w:szCs w:val="24"/>
          <w:lang w:val="en-US" w:eastAsia="zh-CN"/>
        </w:rPr>
        <w:t>depozitarea</w:t>
      </w:r>
      <w:r>
        <w:rPr>
          <w:sz w:val="24"/>
          <w:szCs w:val="24"/>
          <w:lang w:eastAsia="zh-CN"/>
        </w:rPr>
        <w:t xml:space="preserve"> </w:t>
      </w:r>
      <w:r>
        <w:rPr>
          <w:sz w:val="24"/>
          <w:szCs w:val="24"/>
          <w:lang w:val="en-US" w:eastAsia="zh-CN"/>
        </w:rPr>
        <w:t>materialelorcombustibile, a unor</w:t>
      </w:r>
      <w:r>
        <w:rPr>
          <w:sz w:val="24"/>
          <w:szCs w:val="24"/>
          <w:lang w:eastAsia="zh-CN"/>
        </w:rPr>
        <w:t xml:space="preserve"> </w:t>
      </w:r>
      <w:r>
        <w:rPr>
          <w:sz w:val="24"/>
          <w:szCs w:val="24"/>
          <w:lang w:val="en-US" w:eastAsia="zh-CN"/>
        </w:rPr>
        <w:t>ambalaje, palete</w:t>
      </w:r>
      <w:r>
        <w:rPr>
          <w:sz w:val="24"/>
          <w:szCs w:val="24"/>
          <w:lang w:eastAsia="zh-CN"/>
        </w:rPr>
        <w:t xml:space="preserve"> </w:t>
      </w:r>
      <w:r>
        <w:rPr>
          <w:sz w:val="24"/>
          <w:szCs w:val="24"/>
          <w:lang w:val="en-US" w:eastAsia="zh-CN"/>
        </w:rPr>
        <w:t>sau</w:t>
      </w:r>
      <w:r>
        <w:rPr>
          <w:sz w:val="24"/>
          <w:szCs w:val="24"/>
          <w:lang w:eastAsia="zh-CN"/>
        </w:rPr>
        <w:t xml:space="preserve"> </w:t>
      </w:r>
      <w:r>
        <w:rPr>
          <w:sz w:val="24"/>
          <w:szCs w:val="24"/>
          <w:lang w:val="en-US" w:eastAsia="zh-CN"/>
        </w:rPr>
        <w:t>rafturi</w:t>
      </w:r>
      <w:r>
        <w:rPr>
          <w:sz w:val="24"/>
          <w:szCs w:val="24"/>
          <w:lang w:eastAsia="zh-CN"/>
        </w:rPr>
        <w:t xml:space="preserve"> </w:t>
      </w:r>
      <w:r>
        <w:rPr>
          <w:sz w:val="24"/>
          <w:szCs w:val="24"/>
          <w:lang w:val="en-US" w:eastAsia="zh-CN"/>
        </w:rPr>
        <w:t>combustibile, dacă nu depășesc</w:t>
      </w:r>
      <w:r>
        <w:rPr>
          <w:sz w:val="24"/>
          <w:szCs w:val="24"/>
          <w:lang w:eastAsia="zh-CN"/>
        </w:rPr>
        <w:t xml:space="preserve"> </w:t>
      </w:r>
      <w:r>
        <w:rPr>
          <w:sz w:val="24"/>
          <w:szCs w:val="24"/>
          <w:lang w:val="en-US" w:eastAsia="zh-CN"/>
        </w:rPr>
        <w:t>în</w:t>
      </w:r>
      <w:r>
        <w:rPr>
          <w:sz w:val="24"/>
          <w:szCs w:val="24"/>
          <w:lang w:eastAsia="zh-CN"/>
        </w:rPr>
        <w:t xml:space="preserve"> </w:t>
      </w:r>
      <w:r>
        <w:rPr>
          <w:sz w:val="24"/>
          <w:szCs w:val="24"/>
          <w:lang w:val="en-US" w:eastAsia="zh-CN"/>
        </w:rPr>
        <w:t xml:space="preserve">totalitate </w:t>
      </w:r>
      <w:r>
        <w:rPr>
          <w:b/>
          <w:bCs/>
          <w:sz w:val="24"/>
          <w:szCs w:val="24"/>
          <w:lang w:val="en-US" w:eastAsia="zh-CN"/>
        </w:rPr>
        <w:t>105 MJ/m</w:t>
      </w:r>
      <w:r>
        <w:rPr>
          <w:b/>
          <w:bCs/>
          <w:sz w:val="24"/>
          <w:szCs w:val="24"/>
          <w:vertAlign w:val="superscript"/>
          <w:lang w:val="en-US" w:eastAsia="zh-CN"/>
        </w:rPr>
        <w:t>2</w:t>
      </w:r>
      <w:r>
        <w:rPr>
          <w:sz w:val="24"/>
          <w:szCs w:val="24"/>
          <w:lang w:val="en-US" w:eastAsia="zh-CN"/>
        </w:rPr>
        <w:br/>
        <w:t>În</w:t>
      </w:r>
      <w:r>
        <w:rPr>
          <w:sz w:val="24"/>
          <w:szCs w:val="24"/>
          <w:lang w:eastAsia="zh-CN"/>
        </w:rPr>
        <w:t xml:space="preserve"> </w:t>
      </w:r>
      <w:r>
        <w:rPr>
          <w:sz w:val="24"/>
          <w:szCs w:val="24"/>
          <w:lang w:val="en-US" w:eastAsia="zh-CN"/>
        </w:rPr>
        <w:t>situațiile de mai sus, încadrarea se face în</w:t>
      </w:r>
      <w:r>
        <w:rPr>
          <w:sz w:val="24"/>
          <w:szCs w:val="24"/>
          <w:lang w:eastAsia="zh-CN"/>
        </w:rPr>
        <w:t xml:space="preserve"> </w:t>
      </w:r>
      <w:r>
        <w:rPr>
          <w:sz w:val="24"/>
          <w:szCs w:val="24"/>
          <w:lang w:val="en-US" w:eastAsia="zh-CN"/>
        </w:rPr>
        <w:t>funcție de pericolul de incendiu</w:t>
      </w:r>
      <w:r>
        <w:rPr>
          <w:sz w:val="24"/>
          <w:szCs w:val="24"/>
          <w:lang w:eastAsia="zh-CN"/>
        </w:rPr>
        <w:t xml:space="preserve"> </w:t>
      </w:r>
      <w:r>
        <w:rPr>
          <w:sz w:val="24"/>
          <w:szCs w:val="24"/>
          <w:lang w:val="en-US" w:eastAsia="zh-CN"/>
        </w:rPr>
        <w:t>în</w:t>
      </w:r>
      <w:r>
        <w:rPr>
          <w:sz w:val="24"/>
          <w:szCs w:val="24"/>
          <w:lang w:eastAsia="zh-CN"/>
        </w:rPr>
        <w:t xml:space="preserve"> </w:t>
      </w:r>
      <w:r>
        <w:rPr>
          <w:sz w:val="24"/>
          <w:szCs w:val="24"/>
          <w:lang w:val="en-US" w:eastAsia="zh-CN"/>
        </w:rPr>
        <w:t>ansamblu, în</w:t>
      </w:r>
      <w:r>
        <w:rPr>
          <w:sz w:val="24"/>
          <w:szCs w:val="24"/>
          <w:lang w:eastAsia="zh-CN"/>
        </w:rPr>
        <w:t xml:space="preserve"> </w:t>
      </w:r>
      <w:r>
        <w:rPr>
          <w:sz w:val="24"/>
          <w:szCs w:val="24"/>
          <w:lang w:val="en-US" w:eastAsia="zh-CN"/>
        </w:rPr>
        <w:t>categoria D sau E de pericol de incendiu</w:t>
      </w:r>
      <w:r>
        <w:rPr>
          <w:sz w:val="24"/>
          <w:szCs w:val="24"/>
          <w:lang w:val="en-GB"/>
        </w:rPr>
        <w:t>;</w:t>
      </w:r>
    </w:p>
    <w:p w14:paraId="253D6DC1" w14:textId="77777777" w:rsidR="001C08A5" w:rsidRDefault="00000000">
      <w:pPr>
        <w:ind w:left="1620" w:hanging="810"/>
        <w:jc w:val="both"/>
        <w:rPr>
          <w:b/>
          <w:bCs/>
          <w:sz w:val="24"/>
          <w:szCs w:val="24"/>
          <w:lang w:val="en-US"/>
        </w:rPr>
      </w:pPr>
      <w:r>
        <w:rPr>
          <w:sz w:val="24"/>
          <w:szCs w:val="24"/>
          <w:lang w:val="en-GB"/>
        </w:rPr>
        <w:t xml:space="preserve">- </w:t>
      </w:r>
      <w:r>
        <w:rPr>
          <w:b/>
          <w:bCs/>
          <w:sz w:val="24"/>
          <w:szCs w:val="24"/>
          <w:lang w:val="en-GB"/>
        </w:rPr>
        <w:t>Categoria D de pericol de incendiu</w:t>
      </w:r>
      <w:r>
        <w:rPr>
          <w:sz w:val="24"/>
          <w:szCs w:val="24"/>
          <w:lang w:val="en-GB"/>
        </w:rPr>
        <w:t>: existen</w:t>
      </w:r>
      <w:r>
        <w:rPr>
          <w:sz w:val="24"/>
          <w:szCs w:val="24"/>
        </w:rPr>
        <w:t xml:space="preserve">ța </w:t>
      </w:r>
      <w:r>
        <w:rPr>
          <w:sz w:val="24"/>
          <w:szCs w:val="24"/>
          <w:lang w:val="en-GB"/>
        </w:rPr>
        <w:t>focului</w:t>
      </w:r>
      <w:r>
        <w:rPr>
          <w:sz w:val="24"/>
          <w:szCs w:val="24"/>
        </w:rPr>
        <w:t xml:space="preserve"> </w:t>
      </w:r>
      <w:r>
        <w:rPr>
          <w:sz w:val="24"/>
          <w:szCs w:val="24"/>
          <w:lang w:val="en-GB"/>
        </w:rPr>
        <w:t xml:space="preserve">deschis sub orice forma, </w:t>
      </w:r>
      <w:r>
        <w:rPr>
          <w:sz w:val="24"/>
          <w:szCs w:val="24"/>
        </w:rPr>
        <w:t>î</w:t>
      </w:r>
      <w:r>
        <w:rPr>
          <w:sz w:val="24"/>
          <w:szCs w:val="24"/>
          <w:lang w:val="en-GB"/>
        </w:rPr>
        <w:t>n absen</w:t>
      </w:r>
      <w:r>
        <w:rPr>
          <w:sz w:val="24"/>
          <w:szCs w:val="24"/>
        </w:rPr>
        <w:t>ț</w:t>
      </w:r>
      <w:r>
        <w:rPr>
          <w:sz w:val="24"/>
          <w:szCs w:val="24"/>
          <w:lang w:val="en-GB"/>
        </w:rPr>
        <w:t>a substan</w:t>
      </w:r>
      <w:r>
        <w:rPr>
          <w:sz w:val="24"/>
          <w:szCs w:val="24"/>
        </w:rPr>
        <w:t>ț</w:t>
      </w:r>
      <w:r>
        <w:rPr>
          <w:sz w:val="24"/>
          <w:szCs w:val="24"/>
          <w:lang w:val="en-GB"/>
        </w:rPr>
        <w:t>elor</w:t>
      </w:r>
      <w:r>
        <w:rPr>
          <w:sz w:val="24"/>
          <w:szCs w:val="24"/>
        </w:rPr>
        <w:t xml:space="preserve"> </w:t>
      </w:r>
      <w:r>
        <w:rPr>
          <w:sz w:val="24"/>
          <w:szCs w:val="24"/>
          <w:lang w:val="en-GB"/>
        </w:rPr>
        <w:t>combustibile</w:t>
      </w:r>
      <w:r>
        <w:rPr>
          <w:sz w:val="24"/>
          <w:szCs w:val="24"/>
        </w:rPr>
        <w:t xml:space="preserve"> (</w:t>
      </w:r>
      <w:r>
        <w:rPr>
          <w:sz w:val="24"/>
          <w:szCs w:val="24"/>
          <w:lang w:eastAsia="zh-CN"/>
        </w:rPr>
        <w:t>s</w:t>
      </w:r>
      <w:r>
        <w:rPr>
          <w:sz w:val="24"/>
          <w:szCs w:val="24"/>
          <w:lang w:val="en-US" w:eastAsia="zh-CN"/>
        </w:rPr>
        <w:t>ubstanțe</w:t>
      </w:r>
      <w:r>
        <w:rPr>
          <w:sz w:val="24"/>
          <w:szCs w:val="24"/>
          <w:lang w:eastAsia="zh-CN"/>
        </w:rPr>
        <w:t xml:space="preserve"> </w:t>
      </w:r>
      <w:r>
        <w:rPr>
          <w:sz w:val="24"/>
          <w:szCs w:val="24"/>
          <w:lang w:val="en-US" w:eastAsia="zh-CN"/>
        </w:rPr>
        <w:t>sau</w:t>
      </w:r>
      <w:r>
        <w:rPr>
          <w:sz w:val="24"/>
          <w:szCs w:val="24"/>
          <w:lang w:eastAsia="zh-CN"/>
        </w:rPr>
        <w:t xml:space="preserve"> </w:t>
      </w:r>
      <w:r>
        <w:rPr>
          <w:sz w:val="24"/>
          <w:szCs w:val="24"/>
          <w:lang w:val="en-US" w:eastAsia="zh-CN"/>
        </w:rPr>
        <w:t>materiale</w:t>
      </w:r>
      <w:r>
        <w:rPr>
          <w:sz w:val="24"/>
          <w:szCs w:val="24"/>
          <w:lang w:eastAsia="zh-CN"/>
        </w:rPr>
        <w:t xml:space="preserve"> </w:t>
      </w:r>
      <w:r>
        <w:rPr>
          <w:sz w:val="24"/>
          <w:szCs w:val="24"/>
          <w:lang w:val="en-US" w:eastAsia="zh-CN"/>
        </w:rPr>
        <w:t>incombustibile</w:t>
      </w:r>
      <w:r>
        <w:rPr>
          <w:sz w:val="24"/>
          <w:szCs w:val="24"/>
          <w:lang w:eastAsia="zh-CN"/>
        </w:rPr>
        <w:t xml:space="preserve"> </w:t>
      </w:r>
      <w:r>
        <w:rPr>
          <w:sz w:val="24"/>
          <w:szCs w:val="24"/>
          <w:lang w:val="en-US" w:eastAsia="zh-CN"/>
        </w:rPr>
        <w:t>în stare fierbinte, topite</w:t>
      </w:r>
      <w:r>
        <w:rPr>
          <w:sz w:val="24"/>
          <w:szCs w:val="24"/>
          <w:lang w:eastAsia="zh-CN"/>
        </w:rPr>
        <w:t xml:space="preserve"> </w:t>
      </w:r>
      <w:r>
        <w:rPr>
          <w:sz w:val="24"/>
          <w:szCs w:val="24"/>
          <w:lang w:val="en-US" w:eastAsia="zh-CN"/>
        </w:rPr>
        <w:t>sau</w:t>
      </w:r>
      <w:r>
        <w:rPr>
          <w:sz w:val="24"/>
          <w:szCs w:val="24"/>
          <w:lang w:eastAsia="zh-CN"/>
        </w:rPr>
        <w:t xml:space="preserve"> </w:t>
      </w:r>
      <w:r>
        <w:rPr>
          <w:sz w:val="24"/>
          <w:szCs w:val="24"/>
          <w:lang w:val="en-US" w:eastAsia="zh-CN"/>
        </w:rPr>
        <w:t>incandescente, cu degajări de căldură</w:t>
      </w:r>
      <w:r>
        <w:rPr>
          <w:sz w:val="24"/>
          <w:szCs w:val="24"/>
          <w:lang w:eastAsia="zh-CN"/>
        </w:rPr>
        <w:t xml:space="preserve"> </w:t>
      </w:r>
      <w:r>
        <w:rPr>
          <w:sz w:val="24"/>
          <w:szCs w:val="24"/>
          <w:lang w:val="en-US" w:eastAsia="zh-CN"/>
        </w:rPr>
        <w:t>radiantă, flăcări</w:t>
      </w:r>
      <w:r>
        <w:rPr>
          <w:sz w:val="24"/>
          <w:szCs w:val="24"/>
          <w:lang w:eastAsia="zh-CN"/>
        </w:rPr>
        <w:t xml:space="preserve"> </w:t>
      </w:r>
      <w:r>
        <w:rPr>
          <w:sz w:val="24"/>
          <w:szCs w:val="24"/>
          <w:lang w:val="en-US" w:eastAsia="zh-CN"/>
        </w:rPr>
        <w:t>sau</w:t>
      </w:r>
      <w:r>
        <w:rPr>
          <w:sz w:val="24"/>
          <w:szCs w:val="24"/>
          <w:lang w:eastAsia="zh-CN"/>
        </w:rPr>
        <w:t xml:space="preserve"> </w:t>
      </w:r>
      <w:r>
        <w:rPr>
          <w:sz w:val="24"/>
          <w:szCs w:val="24"/>
          <w:lang w:val="en-US" w:eastAsia="zh-CN"/>
        </w:rPr>
        <w:t>scântei) ori</w:t>
      </w:r>
      <w:r>
        <w:rPr>
          <w:sz w:val="24"/>
          <w:szCs w:val="24"/>
          <w:lang w:eastAsia="zh-CN"/>
        </w:rPr>
        <w:t>s</w:t>
      </w:r>
      <w:r>
        <w:rPr>
          <w:sz w:val="24"/>
          <w:szCs w:val="24"/>
          <w:lang w:val="en-US" w:eastAsia="zh-CN"/>
        </w:rPr>
        <w:t>ubstanțe</w:t>
      </w:r>
      <w:r>
        <w:rPr>
          <w:sz w:val="24"/>
          <w:szCs w:val="24"/>
          <w:lang w:eastAsia="zh-CN"/>
        </w:rPr>
        <w:t xml:space="preserve"> </w:t>
      </w:r>
      <w:r>
        <w:rPr>
          <w:sz w:val="24"/>
          <w:szCs w:val="24"/>
          <w:lang w:val="en-US" w:eastAsia="zh-CN"/>
        </w:rPr>
        <w:t>și</w:t>
      </w:r>
      <w:r>
        <w:rPr>
          <w:sz w:val="24"/>
          <w:szCs w:val="24"/>
          <w:lang w:eastAsia="zh-CN"/>
        </w:rPr>
        <w:t xml:space="preserve"> </w:t>
      </w:r>
      <w:r>
        <w:rPr>
          <w:sz w:val="24"/>
          <w:szCs w:val="24"/>
          <w:lang w:val="en-US" w:eastAsia="zh-CN"/>
        </w:rPr>
        <w:t>materiale</w:t>
      </w:r>
      <w:r>
        <w:rPr>
          <w:sz w:val="24"/>
          <w:szCs w:val="24"/>
          <w:lang w:eastAsia="zh-CN"/>
        </w:rPr>
        <w:t xml:space="preserve"> </w:t>
      </w:r>
      <w:r>
        <w:rPr>
          <w:sz w:val="24"/>
          <w:szCs w:val="24"/>
          <w:lang w:val="en-US" w:eastAsia="zh-CN"/>
        </w:rPr>
        <w:t>combustibile</w:t>
      </w:r>
      <w:r>
        <w:rPr>
          <w:sz w:val="24"/>
          <w:szCs w:val="24"/>
          <w:lang w:val="en-GB"/>
        </w:rPr>
        <w:t xml:space="preserve">cu </w:t>
      </w:r>
      <w:r>
        <w:rPr>
          <w:b/>
          <w:bCs/>
          <w:sz w:val="24"/>
          <w:szCs w:val="24"/>
          <w:lang w:val="en-GB"/>
        </w:rPr>
        <w:t>posibilitati de incendiu/ardere</w:t>
      </w:r>
      <w:r>
        <w:rPr>
          <w:sz w:val="24"/>
          <w:szCs w:val="24"/>
        </w:rPr>
        <w:t xml:space="preserve">, cu densitatea sarcinii termice </w:t>
      </w:r>
      <w:r>
        <w:rPr>
          <w:b/>
          <w:bCs/>
          <w:sz w:val="24"/>
          <w:szCs w:val="24"/>
          <w:lang w:val="en-GB"/>
        </w:rPr>
        <w:t xml:space="preserve">q </w:t>
      </w:r>
      <w:r>
        <w:rPr>
          <w:rFonts w:hint="eastAsia"/>
          <w:sz w:val="24"/>
          <w:szCs w:val="24"/>
          <w:lang w:val="en-GB"/>
        </w:rPr>
        <w:t>≤</w:t>
      </w:r>
      <w:r>
        <w:rPr>
          <w:b/>
          <w:bCs/>
          <w:sz w:val="24"/>
          <w:szCs w:val="24"/>
          <w:lang w:val="en-GB"/>
        </w:rPr>
        <w:t>105M</w:t>
      </w:r>
      <w:r>
        <w:rPr>
          <w:b/>
          <w:bCs/>
          <w:sz w:val="24"/>
          <w:szCs w:val="24"/>
        </w:rPr>
        <w:t>J/m</w:t>
      </w:r>
      <w:r>
        <w:rPr>
          <w:b/>
          <w:bCs/>
          <w:sz w:val="24"/>
          <w:szCs w:val="24"/>
          <w:vertAlign w:val="superscript"/>
        </w:rPr>
        <w:t>2</w:t>
      </w:r>
      <w:r>
        <w:rPr>
          <w:sz w:val="24"/>
          <w:szCs w:val="24"/>
        </w:rPr>
        <w:t>;</w:t>
      </w:r>
    </w:p>
    <w:p w14:paraId="40A84687" w14:textId="77777777" w:rsidR="001C08A5" w:rsidRDefault="00000000">
      <w:pPr>
        <w:ind w:left="1620" w:hanging="810"/>
        <w:jc w:val="both"/>
        <w:rPr>
          <w:sz w:val="24"/>
          <w:szCs w:val="24"/>
        </w:rPr>
      </w:pPr>
      <w:r>
        <w:rPr>
          <w:sz w:val="24"/>
          <w:szCs w:val="24"/>
          <w:lang w:val="en-GB"/>
        </w:rPr>
        <w:t xml:space="preserve">- </w:t>
      </w:r>
      <w:r>
        <w:rPr>
          <w:b/>
          <w:bCs/>
          <w:sz w:val="24"/>
          <w:szCs w:val="24"/>
          <w:lang w:val="en-GB"/>
        </w:rPr>
        <w:t>Categoria E de pericol de incendiu</w:t>
      </w:r>
      <w:r>
        <w:rPr>
          <w:sz w:val="24"/>
          <w:szCs w:val="24"/>
          <w:lang w:val="en-GB"/>
        </w:rPr>
        <w:t>: existenta</w:t>
      </w:r>
      <w:r>
        <w:rPr>
          <w:sz w:val="24"/>
          <w:szCs w:val="24"/>
        </w:rPr>
        <w:t xml:space="preserve"> </w:t>
      </w:r>
      <w:r>
        <w:rPr>
          <w:sz w:val="24"/>
          <w:szCs w:val="24"/>
          <w:lang w:val="en-GB"/>
        </w:rPr>
        <w:t>unor material</w:t>
      </w:r>
      <w:r>
        <w:rPr>
          <w:sz w:val="24"/>
          <w:szCs w:val="24"/>
        </w:rPr>
        <w:t xml:space="preserve">e </w:t>
      </w:r>
      <w:r>
        <w:rPr>
          <w:sz w:val="24"/>
          <w:szCs w:val="24"/>
          <w:lang w:val="en-GB"/>
        </w:rPr>
        <w:t>sau</w:t>
      </w:r>
      <w:r>
        <w:rPr>
          <w:sz w:val="24"/>
          <w:szCs w:val="24"/>
        </w:rPr>
        <w:t xml:space="preserve"> </w:t>
      </w:r>
      <w:r>
        <w:rPr>
          <w:sz w:val="24"/>
          <w:szCs w:val="24"/>
          <w:lang w:val="en-GB"/>
        </w:rPr>
        <w:t>substan</w:t>
      </w:r>
      <w:r>
        <w:rPr>
          <w:sz w:val="24"/>
          <w:szCs w:val="24"/>
        </w:rPr>
        <w:t>ț</w:t>
      </w:r>
      <w:r>
        <w:rPr>
          <w:sz w:val="24"/>
          <w:szCs w:val="24"/>
          <w:lang w:val="en-GB"/>
        </w:rPr>
        <w:t>e incombustibile</w:t>
      </w:r>
      <w:r>
        <w:rPr>
          <w:sz w:val="24"/>
          <w:szCs w:val="24"/>
        </w:rPr>
        <w:t xml:space="preserve"> î</w:t>
      </w:r>
      <w:r>
        <w:rPr>
          <w:sz w:val="24"/>
          <w:szCs w:val="24"/>
          <w:lang w:val="en-GB"/>
        </w:rPr>
        <w:t>n stare rece</w:t>
      </w:r>
      <w:r>
        <w:rPr>
          <w:sz w:val="24"/>
          <w:szCs w:val="24"/>
        </w:rPr>
        <w:t xml:space="preserve"> </w:t>
      </w:r>
      <w:r>
        <w:rPr>
          <w:sz w:val="24"/>
          <w:szCs w:val="24"/>
          <w:lang w:val="en-GB"/>
        </w:rPr>
        <w:t>sau a substan</w:t>
      </w:r>
      <w:r>
        <w:rPr>
          <w:sz w:val="24"/>
          <w:szCs w:val="24"/>
        </w:rPr>
        <w:t>ț</w:t>
      </w:r>
      <w:r>
        <w:rPr>
          <w:sz w:val="24"/>
          <w:szCs w:val="24"/>
          <w:lang w:val="en-GB"/>
        </w:rPr>
        <w:t>elor</w:t>
      </w:r>
      <w:r>
        <w:rPr>
          <w:sz w:val="24"/>
          <w:szCs w:val="24"/>
        </w:rPr>
        <w:t xml:space="preserve"> </w:t>
      </w:r>
      <w:r>
        <w:rPr>
          <w:sz w:val="24"/>
          <w:szCs w:val="24"/>
          <w:lang w:val="en-GB"/>
        </w:rPr>
        <w:t>combustibile</w:t>
      </w:r>
      <w:r>
        <w:rPr>
          <w:sz w:val="24"/>
          <w:szCs w:val="24"/>
        </w:rPr>
        <w:t xml:space="preserve"> î</w:t>
      </w:r>
      <w:r>
        <w:rPr>
          <w:sz w:val="24"/>
          <w:szCs w:val="24"/>
          <w:lang w:val="en-GB"/>
        </w:rPr>
        <w:t>n stare de umiditate</w:t>
      </w:r>
      <w:r>
        <w:rPr>
          <w:sz w:val="24"/>
          <w:szCs w:val="24"/>
        </w:rPr>
        <w:t xml:space="preserve"> înaintată</w:t>
      </w:r>
      <w:r>
        <w:rPr>
          <w:sz w:val="24"/>
          <w:szCs w:val="24"/>
          <w:lang w:val="en-GB"/>
        </w:rPr>
        <w:t>, peste 80%</w:t>
      </w:r>
      <w:r>
        <w:rPr>
          <w:sz w:val="24"/>
          <w:szCs w:val="24"/>
        </w:rPr>
        <w:t xml:space="preserve">, cu densitatea sarcinii termice </w:t>
      </w:r>
      <w:r>
        <w:rPr>
          <w:b/>
          <w:bCs/>
          <w:sz w:val="24"/>
          <w:szCs w:val="24"/>
          <w:lang w:val="en-GB"/>
        </w:rPr>
        <w:t xml:space="preserve">q </w:t>
      </w:r>
      <w:r>
        <w:rPr>
          <w:rFonts w:hint="eastAsia"/>
          <w:b/>
          <w:bCs/>
          <w:sz w:val="24"/>
          <w:szCs w:val="24"/>
          <w:lang w:val="en-GB"/>
        </w:rPr>
        <w:t>≤</w:t>
      </w:r>
      <w:r>
        <w:rPr>
          <w:b/>
          <w:bCs/>
          <w:sz w:val="24"/>
          <w:szCs w:val="24"/>
          <w:lang w:val="en-GB"/>
        </w:rPr>
        <w:t xml:space="preserve"> 105M</w:t>
      </w:r>
      <w:r>
        <w:rPr>
          <w:b/>
          <w:bCs/>
          <w:sz w:val="24"/>
          <w:szCs w:val="24"/>
        </w:rPr>
        <w:t>J/m</w:t>
      </w:r>
      <w:r>
        <w:rPr>
          <w:b/>
          <w:bCs/>
          <w:sz w:val="24"/>
          <w:szCs w:val="24"/>
          <w:vertAlign w:val="superscript"/>
        </w:rPr>
        <w:t>2</w:t>
      </w:r>
      <w:r>
        <w:rPr>
          <w:sz w:val="24"/>
          <w:szCs w:val="24"/>
          <w:lang w:val="en-GB"/>
        </w:rPr>
        <w:t>;</w:t>
      </w:r>
    </w:p>
    <w:p w14:paraId="12A6727A" w14:textId="77777777" w:rsidR="001C08A5" w:rsidRDefault="001C08A5">
      <w:pPr>
        <w:rPr>
          <w:sz w:val="24"/>
          <w:szCs w:val="24"/>
        </w:rPr>
      </w:pPr>
    </w:p>
    <w:p w14:paraId="16826619" w14:textId="77777777" w:rsidR="001C08A5" w:rsidRDefault="00000000">
      <w:pPr>
        <w:jc w:val="both"/>
        <w:rPr>
          <w:sz w:val="24"/>
          <w:szCs w:val="24"/>
        </w:rPr>
      </w:pPr>
      <w:r>
        <w:rPr>
          <w:b/>
          <w:sz w:val="24"/>
          <w:szCs w:val="24"/>
        </w:rPr>
        <w:tab/>
        <w:t xml:space="preserve">Art. </w:t>
      </w:r>
      <w:r>
        <w:rPr>
          <w:b/>
          <w:caps/>
          <w:sz w:val="24"/>
          <w:szCs w:val="24"/>
        </w:rPr>
        <w:t>6.1.1.</w:t>
      </w:r>
      <w:r>
        <w:rPr>
          <w:b/>
          <w:sz w:val="24"/>
          <w:szCs w:val="24"/>
        </w:rPr>
        <w:t xml:space="preserve">2. (1) </w:t>
      </w:r>
      <w:r>
        <w:rPr>
          <w:sz w:val="24"/>
          <w:szCs w:val="24"/>
        </w:rPr>
        <w:t xml:space="preserve">Zonele, încăperile, compartimentele de incendiu și construcţiile de producţie şi/sau depozitare, vor avea determinate și precizate riscurile de incendiu, conform prevederilor </w:t>
      </w:r>
      <w:r>
        <w:rPr>
          <w:b/>
          <w:sz w:val="24"/>
          <w:szCs w:val="24"/>
        </w:rPr>
        <w:t>Art. 2.1.2.2.</w:t>
      </w:r>
      <w:r>
        <w:rPr>
          <w:sz w:val="24"/>
          <w:szCs w:val="24"/>
        </w:rPr>
        <w:t xml:space="preserve"> şi</w:t>
      </w:r>
      <w:r>
        <w:rPr>
          <w:b/>
          <w:sz w:val="24"/>
          <w:szCs w:val="24"/>
        </w:rPr>
        <w:t xml:space="preserve"> Art. 2.1.2.5.</w:t>
      </w:r>
    </w:p>
    <w:p w14:paraId="23939444" w14:textId="77777777" w:rsidR="001C08A5" w:rsidRDefault="00000000">
      <w:pPr>
        <w:ind w:firstLine="720"/>
        <w:jc w:val="both"/>
        <w:rPr>
          <w:sz w:val="24"/>
          <w:szCs w:val="24"/>
        </w:rPr>
      </w:pPr>
      <w:r>
        <w:rPr>
          <w:b/>
          <w:sz w:val="24"/>
          <w:szCs w:val="24"/>
        </w:rPr>
        <w:t xml:space="preserve">(2) </w:t>
      </w:r>
      <w:r>
        <w:rPr>
          <w:sz w:val="24"/>
          <w:szCs w:val="24"/>
        </w:rPr>
        <w:t>Atunci, când în construcţiile de producţie şi/sau depozitare sunt utilizate sau depozitate lichide combustibile, se respectă şi măsurile de securitate la incendiu specifice acestora.</w:t>
      </w:r>
    </w:p>
    <w:p w14:paraId="6FABBD9B" w14:textId="77777777" w:rsidR="001C08A5" w:rsidRDefault="00000000">
      <w:pPr>
        <w:jc w:val="both"/>
        <w:rPr>
          <w:sz w:val="24"/>
          <w:szCs w:val="24"/>
        </w:rPr>
      </w:pPr>
      <w:r>
        <w:rPr>
          <w:b/>
          <w:sz w:val="24"/>
          <w:szCs w:val="24"/>
        </w:rPr>
        <w:tab/>
        <w:t xml:space="preserve">(3) </w:t>
      </w:r>
      <w:r>
        <w:rPr>
          <w:sz w:val="24"/>
          <w:szCs w:val="24"/>
        </w:rPr>
        <w:t xml:space="preserve">La instalațiile tehnologice de producție și/sau depozitare amplasate în aer liber, riscurile de incendiu se determină independent pentru fiecare instalație care prezintă caracteristici diferite din punct de vedere al securității la incendiu și la care se asigură condițiile de securitate și nivelurile de performanță corespunzătoare acestora, precizându-se zonele în care sunt obligatorii măsuri de protecție specifice. </w:t>
      </w:r>
      <w:r>
        <w:rPr>
          <w:rFonts w:eastAsia="TimesNewRomanPSMT"/>
          <w:sz w:val="24"/>
          <w:szCs w:val="24"/>
        </w:rPr>
        <w:t>Inginerul tehnolog trebuie să stabilească și să delimiteze zonele periculoase (de protectie și zone Ex) și respectiv de echipare și dotare cu sisteme de siguranță și de securitate la incendiu specifice tipurilor de materii prime, produse finite prevăzute în normativele de specialitate.</w:t>
      </w:r>
    </w:p>
    <w:p w14:paraId="2A95D966" w14:textId="77777777" w:rsidR="001C08A5" w:rsidRDefault="00000000">
      <w:pPr>
        <w:jc w:val="both"/>
        <w:rPr>
          <w:b/>
          <w:sz w:val="24"/>
          <w:szCs w:val="24"/>
        </w:rPr>
      </w:pPr>
      <w:r>
        <w:rPr>
          <w:b/>
          <w:sz w:val="24"/>
          <w:szCs w:val="24"/>
        </w:rPr>
        <w:tab/>
      </w:r>
    </w:p>
    <w:p w14:paraId="51C1DBB8" w14:textId="77777777" w:rsidR="001C08A5" w:rsidRDefault="00000000">
      <w:pPr>
        <w:ind w:firstLine="720"/>
        <w:jc w:val="both"/>
        <w:rPr>
          <w:sz w:val="24"/>
          <w:szCs w:val="24"/>
        </w:rPr>
      </w:pPr>
      <w:r>
        <w:rPr>
          <w:b/>
          <w:sz w:val="24"/>
          <w:szCs w:val="24"/>
        </w:rPr>
        <w:t xml:space="preserve">Art. </w:t>
      </w:r>
      <w:r>
        <w:rPr>
          <w:b/>
          <w:caps/>
          <w:sz w:val="24"/>
          <w:szCs w:val="24"/>
        </w:rPr>
        <w:t>6.1.1.</w:t>
      </w:r>
      <w:r>
        <w:rPr>
          <w:b/>
          <w:sz w:val="24"/>
          <w:szCs w:val="24"/>
        </w:rPr>
        <w:t xml:space="preserve">3. (1) </w:t>
      </w:r>
      <w:r>
        <w:rPr>
          <w:sz w:val="24"/>
          <w:szCs w:val="24"/>
        </w:rPr>
        <w:t xml:space="preserve">În funcţie de riscurile de incendiu determinate şi precizate obligatoriu în documentaţie, la construcţiile de producţie şi/sau depozitare se asigură performanţele normate.  </w:t>
      </w:r>
    </w:p>
    <w:p w14:paraId="15170E7E" w14:textId="77777777" w:rsidR="001C08A5" w:rsidRDefault="00000000">
      <w:pPr>
        <w:ind w:firstLine="720"/>
        <w:jc w:val="both"/>
        <w:rPr>
          <w:sz w:val="24"/>
          <w:szCs w:val="24"/>
        </w:rPr>
      </w:pPr>
      <w:r>
        <w:rPr>
          <w:b/>
          <w:sz w:val="24"/>
          <w:szCs w:val="24"/>
        </w:rPr>
        <w:t xml:space="preserve">(2) </w:t>
      </w:r>
      <w:r>
        <w:rPr>
          <w:sz w:val="24"/>
          <w:szCs w:val="24"/>
        </w:rPr>
        <w:t>Delimitarea zonelor în care se asigură măsurile specifice de securitate la incendiu impuse de riscurile foarte mari de incendiu şi explozie volumetrică, este obligatorie şi are în vedere posibilitatea prezenţei amestecurilor de aer cu gaze, vapori sau praf în concentraţii cu pericol de explozie în timpul funcţionării normale.</w:t>
      </w:r>
    </w:p>
    <w:p w14:paraId="3093B9C9" w14:textId="77777777" w:rsidR="001C08A5" w:rsidRDefault="001C08A5">
      <w:pPr>
        <w:jc w:val="center"/>
        <w:rPr>
          <w:sz w:val="24"/>
          <w:szCs w:val="24"/>
        </w:rPr>
      </w:pPr>
    </w:p>
    <w:p w14:paraId="2E4B2ED6" w14:textId="77777777" w:rsidR="001C08A5" w:rsidRDefault="00000000">
      <w:pPr>
        <w:jc w:val="both"/>
        <w:rPr>
          <w:sz w:val="24"/>
          <w:szCs w:val="24"/>
        </w:rPr>
      </w:pPr>
      <w:r>
        <w:rPr>
          <w:b/>
          <w:sz w:val="24"/>
          <w:szCs w:val="24"/>
        </w:rPr>
        <w:tab/>
        <w:t xml:space="preserve">Art. </w:t>
      </w:r>
      <w:r>
        <w:rPr>
          <w:b/>
          <w:caps/>
          <w:sz w:val="24"/>
          <w:szCs w:val="24"/>
        </w:rPr>
        <w:t>6.1.1.</w:t>
      </w:r>
      <w:r>
        <w:rPr>
          <w:b/>
          <w:sz w:val="24"/>
          <w:szCs w:val="24"/>
        </w:rPr>
        <w:t>4. (1)</w:t>
      </w:r>
      <w:r>
        <w:rPr>
          <w:sz w:val="24"/>
          <w:szCs w:val="24"/>
        </w:rPr>
        <w:t xml:space="preserve"> Construcţiile și compartimentele de incendiu de producţie şi/sau depozitare, vor avea determinat și precizat nivelul de stabilitate la incendiu asigurat.</w:t>
      </w:r>
    </w:p>
    <w:p w14:paraId="155080EA" w14:textId="77777777" w:rsidR="001C08A5" w:rsidRDefault="00000000">
      <w:pPr>
        <w:ind w:firstLine="720"/>
        <w:jc w:val="both"/>
        <w:rPr>
          <w:b/>
          <w:sz w:val="24"/>
          <w:szCs w:val="24"/>
        </w:rPr>
      </w:pPr>
      <w:r>
        <w:rPr>
          <w:b/>
          <w:sz w:val="24"/>
          <w:szCs w:val="24"/>
        </w:rPr>
        <w:t xml:space="preserve">(2) </w:t>
      </w:r>
      <w:r>
        <w:rPr>
          <w:sz w:val="24"/>
          <w:szCs w:val="24"/>
        </w:rPr>
        <w:t xml:space="preserve">Condiţiile minime pe care trebuie să le îndeplinească construcţia pentru încadrarea în nivelul de stabilitate la incendiu, sunt precizate în </w:t>
      </w:r>
      <w:r>
        <w:rPr>
          <w:b/>
          <w:sz w:val="24"/>
          <w:szCs w:val="24"/>
        </w:rPr>
        <w:t>Art.</w:t>
      </w:r>
      <w:r>
        <w:rPr>
          <w:b/>
          <w:bCs/>
          <w:sz w:val="24"/>
          <w:szCs w:val="24"/>
        </w:rPr>
        <w:t xml:space="preserve"> 2.1.3.</w:t>
      </w:r>
      <w:r>
        <w:rPr>
          <w:b/>
          <w:sz w:val="24"/>
          <w:szCs w:val="24"/>
        </w:rPr>
        <w:t xml:space="preserve">2. </w:t>
      </w:r>
      <w:r>
        <w:rPr>
          <w:sz w:val="24"/>
          <w:szCs w:val="24"/>
        </w:rPr>
        <w:t xml:space="preserve">şi în </w:t>
      </w:r>
      <w:r>
        <w:rPr>
          <w:b/>
          <w:bCs/>
          <w:i/>
          <w:iCs/>
          <w:sz w:val="24"/>
          <w:szCs w:val="24"/>
        </w:rPr>
        <w:fldChar w:fldCharType="begin"/>
      </w:r>
      <w:r>
        <w:rPr>
          <w:b/>
          <w:bCs/>
          <w:i/>
          <w:iCs/>
          <w:sz w:val="24"/>
          <w:szCs w:val="24"/>
        </w:rPr>
        <w:instrText xml:space="preserve"> REF _Ref11612 \h </w:instrText>
      </w:r>
      <w:r>
        <w:rPr>
          <w:b/>
          <w:bCs/>
          <w:i/>
          <w:iCs/>
          <w:sz w:val="24"/>
          <w:szCs w:val="24"/>
        </w:rPr>
      </w:r>
      <w:r>
        <w:rPr>
          <w:b/>
          <w:bCs/>
          <w:i/>
          <w:iCs/>
          <w:sz w:val="24"/>
          <w:szCs w:val="24"/>
        </w:rPr>
        <w:fldChar w:fldCharType="separate"/>
      </w:r>
      <w:r>
        <w:t>Tabelul 3</w:t>
      </w:r>
      <w:r>
        <w:rPr>
          <w:b/>
          <w:bCs/>
          <w:i/>
          <w:iCs/>
          <w:sz w:val="24"/>
          <w:szCs w:val="24"/>
        </w:rPr>
        <w:fldChar w:fldCharType="end"/>
      </w:r>
      <w:r>
        <w:rPr>
          <w:sz w:val="24"/>
          <w:szCs w:val="24"/>
        </w:rPr>
        <w:t>.</w:t>
      </w:r>
    </w:p>
    <w:p w14:paraId="4C6E5B30" w14:textId="77777777" w:rsidR="001C08A5" w:rsidRDefault="00000000">
      <w:pPr>
        <w:pStyle w:val="Heading4"/>
      </w:pPr>
      <w:bookmarkStart w:id="5138" w:name="_Toc20816"/>
      <w:bookmarkStart w:id="5139" w:name="_Toc25557"/>
      <w:bookmarkStart w:id="5140" w:name="_Toc20658"/>
      <w:bookmarkStart w:id="5141" w:name="_Toc2523"/>
      <w:bookmarkStart w:id="5142" w:name="_Toc17309"/>
      <w:bookmarkStart w:id="5143" w:name="_Toc24485"/>
      <w:bookmarkStart w:id="5144" w:name="_Toc2860"/>
      <w:bookmarkStart w:id="5145" w:name="_Toc162355350"/>
      <w:r>
        <w:t>6.1.2. AMPLASAREA ŞI CONFORMAREA CONSTRUCŢIILOR</w:t>
      </w:r>
      <w:bookmarkEnd w:id="5138"/>
      <w:bookmarkEnd w:id="5139"/>
      <w:bookmarkEnd w:id="5140"/>
      <w:bookmarkEnd w:id="5141"/>
      <w:bookmarkEnd w:id="5142"/>
      <w:bookmarkEnd w:id="5143"/>
      <w:bookmarkEnd w:id="5144"/>
      <w:bookmarkEnd w:id="5145"/>
    </w:p>
    <w:p w14:paraId="40AD1389" w14:textId="77777777" w:rsidR="001C08A5" w:rsidRDefault="00000000">
      <w:pPr>
        <w:jc w:val="both"/>
        <w:rPr>
          <w:b/>
          <w:sz w:val="24"/>
          <w:szCs w:val="24"/>
        </w:rPr>
      </w:pPr>
      <w:r>
        <w:rPr>
          <w:sz w:val="24"/>
          <w:szCs w:val="24"/>
        </w:rPr>
        <w:tab/>
      </w:r>
      <w:r>
        <w:rPr>
          <w:sz w:val="24"/>
          <w:szCs w:val="24"/>
        </w:rPr>
        <w:tab/>
      </w:r>
    </w:p>
    <w:p w14:paraId="4AD3331B" w14:textId="77777777" w:rsidR="001C08A5" w:rsidRDefault="00000000">
      <w:pPr>
        <w:jc w:val="both"/>
        <w:rPr>
          <w:sz w:val="24"/>
          <w:szCs w:val="24"/>
        </w:rPr>
      </w:pPr>
      <w:r>
        <w:rPr>
          <w:b/>
          <w:sz w:val="24"/>
          <w:szCs w:val="24"/>
        </w:rPr>
        <w:tab/>
        <w:t>Art. 6.1.2.1.</w:t>
      </w:r>
      <w:r>
        <w:rPr>
          <w:b/>
          <w:sz w:val="24"/>
          <w:szCs w:val="24"/>
        </w:rPr>
        <w:tab/>
      </w:r>
      <w:r>
        <w:rPr>
          <w:sz w:val="24"/>
          <w:szCs w:val="24"/>
        </w:rPr>
        <w:t xml:space="preserve">Construcţiile de producţie şi/sau depozitare se amplasează la distanţele normate faţă de construcţii învecinate, conform prevederilor din </w:t>
      </w:r>
      <w:r>
        <w:rPr>
          <w:b/>
          <w:sz w:val="24"/>
          <w:szCs w:val="24"/>
        </w:rPr>
        <w:t>Art.</w:t>
      </w:r>
      <w:r>
        <w:rPr>
          <w:b/>
          <w:bCs/>
          <w:sz w:val="24"/>
          <w:szCs w:val="24"/>
        </w:rPr>
        <w:t xml:space="preserve"> 2.2.1.2</w:t>
      </w:r>
      <w:r>
        <w:rPr>
          <w:b/>
          <w:sz w:val="24"/>
          <w:szCs w:val="24"/>
        </w:rPr>
        <w:t xml:space="preserve">. </w:t>
      </w:r>
      <w:r>
        <w:rPr>
          <w:sz w:val="24"/>
          <w:szCs w:val="24"/>
        </w:rPr>
        <w:t xml:space="preserve">şi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rStyle w:val="BodyTextChar"/>
        </w:rPr>
        <w:t xml:space="preserve"> </w:t>
      </w:r>
      <w:r>
        <w:rPr>
          <w:sz w:val="24"/>
          <w:szCs w:val="24"/>
        </w:rPr>
        <w:t>sau se compartimentează faţă de acestea cu elemente de construcţie rezistente la foc pentru separarea compartimentelor de incendiu, corespunzătoare riscurilor de incendiu și densităţii sarcinii termice (</w:t>
      </w:r>
      <w:r>
        <w:rPr>
          <w:b/>
          <w:sz w:val="24"/>
          <w:szCs w:val="24"/>
        </w:rPr>
        <w:t>q</w:t>
      </w:r>
      <w:r>
        <w:rPr>
          <w:sz w:val="24"/>
          <w:szCs w:val="24"/>
        </w:rPr>
        <w:t>).</w:t>
      </w:r>
    </w:p>
    <w:p w14:paraId="235C5F76" w14:textId="77777777" w:rsidR="001C08A5" w:rsidRDefault="001C08A5">
      <w:pPr>
        <w:jc w:val="both"/>
        <w:rPr>
          <w:sz w:val="24"/>
          <w:szCs w:val="24"/>
        </w:rPr>
      </w:pPr>
    </w:p>
    <w:p w14:paraId="29C704BD" w14:textId="77777777" w:rsidR="001C08A5" w:rsidRDefault="00000000">
      <w:pPr>
        <w:jc w:val="both"/>
        <w:rPr>
          <w:b/>
          <w:sz w:val="24"/>
          <w:szCs w:val="24"/>
        </w:rPr>
      </w:pPr>
      <w:r>
        <w:rPr>
          <w:b/>
          <w:sz w:val="24"/>
          <w:szCs w:val="24"/>
        </w:rPr>
        <w:tab/>
        <w:t xml:space="preserve">Art. 6.1.2.2. </w:t>
      </w:r>
      <w:r>
        <w:rPr>
          <w:bCs/>
          <w:sz w:val="24"/>
          <w:szCs w:val="24"/>
        </w:rPr>
        <w:t xml:space="preserve">În funcţie de nivelul de stabilitate la incendiu asigurat, </w:t>
      </w:r>
      <w:r>
        <w:rPr>
          <w:sz w:val="24"/>
          <w:szCs w:val="24"/>
        </w:rPr>
        <w:t>ariile construite ale construcţiilor și compartimentelor de incendiu de producţie şi/sau depozitare (</w:t>
      </w:r>
      <w:r>
        <w:rPr>
          <w:b/>
          <w:sz w:val="24"/>
          <w:szCs w:val="24"/>
        </w:rPr>
        <w:t>Ac</w:t>
      </w:r>
      <w:r>
        <w:rPr>
          <w:sz w:val="24"/>
          <w:szCs w:val="24"/>
        </w:rPr>
        <w:t xml:space="preserve">), se conformează conform prevederilor din </w:t>
      </w:r>
      <w:r>
        <w:rPr>
          <w:b/>
          <w:bCs/>
          <w:i/>
          <w:iCs/>
          <w:sz w:val="24"/>
          <w:szCs w:val="24"/>
        </w:rPr>
        <w:fldChar w:fldCharType="begin"/>
      </w:r>
      <w:r>
        <w:rPr>
          <w:b/>
          <w:bCs/>
          <w:i/>
          <w:iCs/>
          <w:sz w:val="24"/>
          <w:szCs w:val="24"/>
        </w:rPr>
        <w:instrText xml:space="preserve"> REF _Ref2491 \h </w:instrText>
      </w:r>
      <w:r>
        <w:rPr>
          <w:b/>
          <w:bCs/>
          <w:i/>
          <w:iCs/>
          <w:sz w:val="24"/>
          <w:szCs w:val="24"/>
        </w:rPr>
      </w:r>
      <w:r>
        <w:rPr>
          <w:b/>
          <w:bCs/>
          <w:i/>
          <w:iCs/>
          <w:sz w:val="24"/>
          <w:szCs w:val="24"/>
        </w:rPr>
        <w:fldChar w:fldCharType="separate"/>
      </w:r>
      <w:r>
        <w:t>Tabelul 114</w:t>
      </w:r>
      <w:r>
        <w:rPr>
          <w:b/>
          <w:bCs/>
          <w:i/>
          <w:iCs/>
          <w:sz w:val="24"/>
          <w:szCs w:val="24"/>
        </w:rPr>
        <w:fldChar w:fldCharType="end"/>
      </w:r>
      <w:r>
        <w:rPr>
          <w:b/>
          <w:sz w:val="24"/>
          <w:szCs w:val="24"/>
        </w:rPr>
        <w:t>.</w:t>
      </w:r>
    </w:p>
    <w:p w14:paraId="530D9C74" w14:textId="77777777" w:rsidR="001C08A5" w:rsidRDefault="001C08A5">
      <w:pPr>
        <w:jc w:val="both"/>
        <w:rPr>
          <w:b/>
          <w:sz w:val="24"/>
          <w:szCs w:val="24"/>
        </w:rPr>
      </w:pPr>
    </w:p>
    <w:p w14:paraId="4C37E728" w14:textId="77777777" w:rsidR="001C08A5" w:rsidRDefault="00000000">
      <w:pPr>
        <w:pStyle w:val="Captiontabel"/>
      </w:pPr>
      <w:bookmarkStart w:id="5146" w:name="_Ref2491"/>
      <w:bookmarkStart w:id="5147" w:name="_Ref21528"/>
      <w:bookmarkStart w:id="5148" w:name="_Toc162360164"/>
      <w:r>
        <w:t xml:space="preserve">Tabelul </w:t>
      </w:r>
      <w:r>
        <w:fldChar w:fldCharType="begin"/>
      </w:r>
      <w:r>
        <w:instrText xml:space="preserve"> SEQ Tabelul \* ARABIC </w:instrText>
      </w:r>
      <w:r>
        <w:fldChar w:fldCharType="separate"/>
      </w:r>
      <w:r>
        <w:t>114</w:t>
      </w:r>
      <w:r>
        <w:fldChar w:fldCharType="end"/>
      </w:r>
      <w:bookmarkStart w:id="5149" w:name="_Toc20659"/>
      <w:bookmarkStart w:id="5150" w:name="_Toc28617"/>
      <w:bookmarkStart w:id="5151" w:name="_Toc7152"/>
      <w:bookmarkStart w:id="5152" w:name="_Toc8591"/>
      <w:bookmarkStart w:id="5153" w:name="_Toc29970"/>
      <w:bookmarkStart w:id="5154" w:name="_Toc2272"/>
      <w:bookmarkStart w:id="5155" w:name="_Toc27411"/>
      <w:bookmarkStart w:id="5156" w:name="_Toc23948"/>
      <w:bookmarkStart w:id="5157" w:name="_Toc4620"/>
      <w:bookmarkStart w:id="5158" w:name="_Toc7538"/>
      <w:bookmarkStart w:id="5159" w:name="_Toc11700"/>
      <w:bookmarkStart w:id="5160" w:name="_Toc16039"/>
      <w:bookmarkStart w:id="5161" w:name="_Toc27272"/>
      <w:bookmarkStart w:id="5162" w:name="_Toc20890"/>
      <w:bookmarkStart w:id="5163" w:name="_Toc21296"/>
      <w:bookmarkStart w:id="5164" w:name="_Toc6911"/>
      <w:bookmarkStart w:id="5165" w:name="_Toc26751"/>
      <w:bookmarkStart w:id="5166" w:name="_Toc5636"/>
      <w:bookmarkStart w:id="5167" w:name="_Toc31755"/>
      <w:bookmarkEnd w:id="5146"/>
      <w:r>
        <w:t>: Condiţii de corelare a ariilor construite (Ac) şi a numărului de niveluri al construcţiilor şi compartimentelor de incendiu supraterane de producţie şi/sau depozitare</w:t>
      </w:r>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p>
    <w:p w14:paraId="17ABBB48" w14:textId="77777777" w:rsidR="001C08A5" w:rsidRDefault="001C08A5">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02"/>
        <w:gridCol w:w="1604"/>
        <w:gridCol w:w="1605"/>
        <w:gridCol w:w="1607"/>
        <w:gridCol w:w="1605"/>
        <w:gridCol w:w="1606"/>
      </w:tblGrid>
      <w:tr w:rsidR="001C08A5" w14:paraId="2B97DEB8" w14:textId="77777777">
        <w:trPr>
          <w:tblHeader/>
        </w:trPr>
        <w:tc>
          <w:tcPr>
            <w:tcW w:w="1602" w:type="dxa"/>
            <w:vMerge w:val="restart"/>
            <w:shd w:val="clear" w:color="auto" w:fill="BFBFBF"/>
          </w:tcPr>
          <w:p w14:paraId="323C7327" w14:textId="77777777" w:rsidR="001C08A5" w:rsidRDefault="001C08A5">
            <w:pPr>
              <w:snapToGrid w:val="0"/>
              <w:jc w:val="center"/>
              <w:rPr>
                <w:b/>
                <w:i/>
                <w:iCs/>
                <w:sz w:val="22"/>
                <w:szCs w:val="22"/>
              </w:rPr>
            </w:pPr>
          </w:p>
          <w:p w14:paraId="541A6945" w14:textId="77777777" w:rsidR="001C08A5" w:rsidRDefault="001C08A5">
            <w:pPr>
              <w:jc w:val="center"/>
              <w:rPr>
                <w:b/>
                <w:i/>
                <w:iCs/>
                <w:sz w:val="22"/>
                <w:szCs w:val="22"/>
              </w:rPr>
            </w:pPr>
          </w:p>
          <w:p w14:paraId="14456E8F" w14:textId="77777777" w:rsidR="001C08A5" w:rsidRDefault="00000000">
            <w:pPr>
              <w:jc w:val="center"/>
              <w:rPr>
                <w:b/>
                <w:i/>
                <w:iCs/>
                <w:sz w:val="22"/>
                <w:szCs w:val="22"/>
              </w:rPr>
            </w:pPr>
            <w:r>
              <w:rPr>
                <w:b/>
                <w:i/>
                <w:iCs/>
                <w:sz w:val="22"/>
                <w:szCs w:val="22"/>
              </w:rPr>
              <w:t>Risc de incendiu</w:t>
            </w:r>
          </w:p>
        </w:tc>
        <w:tc>
          <w:tcPr>
            <w:tcW w:w="1604" w:type="dxa"/>
            <w:vMerge w:val="restart"/>
            <w:shd w:val="clear" w:color="auto" w:fill="BFBFBF"/>
          </w:tcPr>
          <w:p w14:paraId="46AF2C68" w14:textId="77777777" w:rsidR="001C08A5" w:rsidRDefault="001C08A5">
            <w:pPr>
              <w:jc w:val="center"/>
              <w:rPr>
                <w:b/>
                <w:i/>
                <w:iCs/>
                <w:sz w:val="22"/>
                <w:szCs w:val="22"/>
              </w:rPr>
            </w:pPr>
          </w:p>
          <w:p w14:paraId="49475E0F" w14:textId="77777777" w:rsidR="001C08A5" w:rsidRDefault="00000000">
            <w:pPr>
              <w:jc w:val="center"/>
              <w:rPr>
                <w:b/>
                <w:i/>
                <w:iCs/>
                <w:sz w:val="22"/>
                <w:szCs w:val="22"/>
              </w:rPr>
            </w:pPr>
            <w:r>
              <w:rPr>
                <w:b/>
                <w:i/>
                <w:iCs/>
                <w:sz w:val="22"/>
                <w:szCs w:val="22"/>
              </w:rPr>
              <w:t>Nivel de stabilitate la incendiu</w:t>
            </w:r>
          </w:p>
        </w:tc>
        <w:tc>
          <w:tcPr>
            <w:tcW w:w="1605" w:type="dxa"/>
            <w:vMerge w:val="restart"/>
            <w:shd w:val="clear" w:color="auto" w:fill="BFBFBF"/>
          </w:tcPr>
          <w:p w14:paraId="51F03BD7" w14:textId="77777777" w:rsidR="001C08A5" w:rsidRDefault="001C08A5">
            <w:pPr>
              <w:jc w:val="center"/>
              <w:rPr>
                <w:b/>
                <w:i/>
                <w:iCs/>
                <w:sz w:val="22"/>
                <w:szCs w:val="22"/>
              </w:rPr>
            </w:pPr>
          </w:p>
          <w:p w14:paraId="08349182" w14:textId="77777777" w:rsidR="001C08A5" w:rsidRDefault="00000000">
            <w:pPr>
              <w:jc w:val="center"/>
              <w:rPr>
                <w:b/>
                <w:i/>
                <w:iCs/>
                <w:sz w:val="22"/>
                <w:szCs w:val="22"/>
              </w:rPr>
            </w:pPr>
            <w:r>
              <w:rPr>
                <w:b/>
                <w:i/>
                <w:iCs/>
                <w:sz w:val="22"/>
                <w:szCs w:val="22"/>
              </w:rPr>
              <w:t>Număr de niveluri admise</w:t>
            </w:r>
          </w:p>
        </w:tc>
        <w:tc>
          <w:tcPr>
            <w:tcW w:w="4818" w:type="dxa"/>
            <w:gridSpan w:val="3"/>
            <w:shd w:val="clear" w:color="auto" w:fill="BFBFBF"/>
          </w:tcPr>
          <w:p w14:paraId="63BED901" w14:textId="77777777" w:rsidR="001C08A5" w:rsidRDefault="00000000">
            <w:pPr>
              <w:jc w:val="center"/>
              <w:rPr>
                <w:i/>
                <w:iCs/>
                <w:sz w:val="22"/>
                <w:szCs w:val="22"/>
              </w:rPr>
            </w:pPr>
            <w:r>
              <w:rPr>
                <w:b/>
                <w:i/>
                <w:iCs/>
                <w:sz w:val="22"/>
                <w:szCs w:val="22"/>
              </w:rPr>
              <w:t>Arie maximă construită (Ac) a construcţiilor şi compartimentelor de incendiu de producţie şi/sau depozitare (m²)</w:t>
            </w:r>
          </w:p>
        </w:tc>
      </w:tr>
      <w:tr w:rsidR="001C08A5" w14:paraId="7642D01B" w14:textId="77777777">
        <w:trPr>
          <w:tblHeader/>
        </w:trPr>
        <w:tc>
          <w:tcPr>
            <w:tcW w:w="1602" w:type="dxa"/>
            <w:vMerge/>
            <w:shd w:val="clear" w:color="auto" w:fill="BFBFBF"/>
          </w:tcPr>
          <w:p w14:paraId="7C480D22" w14:textId="77777777" w:rsidR="001C08A5" w:rsidRDefault="001C08A5">
            <w:pPr>
              <w:jc w:val="both"/>
              <w:rPr>
                <w:i/>
                <w:iCs/>
                <w:sz w:val="22"/>
                <w:szCs w:val="22"/>
              </w:rPr>
            </w:pPr>
          </w:p>
        </w:tc>
        <w:tc>
          <w:tcPr>
            <w:tcW w:w="1604" w:type="dxa"/>
            <w:vMerge/>
            <w:shd w:val="clear" w:color="auto" w:fill="BFBFBF"/>
          </w:tcPr>
          <w:p w14:paraId="732CDED0" w14:textId="77777777" w:rsidR="001C08A5" w:rsidRDefault="001C08A5">
            <w:pPr>
              <w:jc w:val="both"/>
              <w:rPr>
                <w:i/>
                <w:iCs/>
                <w:sz w:val="22"/>
                <w:szCs w:val="22"/>
              </w:rPr>
            </w:pPr>
          </w:p>
        </w:tc>
        <w:tc>
          <w:tcPr>
            <w:tcW w:w="1605" w:type="dxa"/>
            <w:vMerge/>
            <w:shd w:val="clear" w:color="auto" w:fill="BFBFBF"/>
          </w:tcPr>
          <w:p w14:paraId="1B6CCF5F" w14:textId="77777777" w:rsidR="001C08A5" w:rsidRDefault="001C08A5">
            <w:pPr>
              <w:jc w:val="both"/>
              <w:rPr>
                <w:i/>
                <w:iCs/>
                <w:sz w:val="22"/>
                <w:szCs w:val="22"/>
              </w:rPr>
            </w:pPr>
          </w:p>
        </w:tc>
        <w:tc>
          <w:tcPr>
            <w:tcW w:w="1607" w:type="dxa"/>
            <w:shd w:val="clear" w:color="auto" w:fill="BFBFBF"/>
          </w:tcPr>
          <w:p w14:paraId="385C2217" w14:textId="77777777" w:rsidR="001C08A5" w:rsidRDefault="00000000">
            <w:pPr>
              <w:jc w:val="center"/>
              <w:rPr>
                <w:b/>
                <w:i/>
                <w:iCs/>
                <w:sz w:val="22"/>
                <w:szCs w:val="22"/>
              </w:rPr>
            </w:pPr>
            <w:r>
              <w:rPr>
                <w:b/>
                <w:i/>
                <w:iCs/>
                <w:sz w:val="22"/>
                <w:szCs w:val="22"/>
              </w:rPr>
              <w:t>Parter</w:t>
            </w:r>
          </w:p>
        </w:tc>
        <w:tc>
          <w:tcPr>
            <w:tcW w:w="1605" w:type="dxa"/>
            <w:shd w:val="clear" w:color="auto" w:fill="BFBFBF"/>
          </w:tcPr>
          <w:p w14:paraId="41949722" w14:textId="77777777" w:rsidR="001C08A5" w:rsidRDefault="00000000">
            <w:pPr>
              <w:jc w:val="center"/>
              <w:rPr>
                <w:b/>
                <w:i/>
                <w:iCs/>
                <w:sz w:val="22"/>
                <w:szCs w:val="22"/>
              </w:rPr>
            </w:pPr>
            <w:r>
              <w:rPr>
                <w:b/>
                <w:i/>
                <w:iCs/>
                <w:sz w:val="22"/>
                <w:szCs w:val="22"/>
              </w:rPr>
              <w:t>cu două niveluri</w:t>
            </w:r>
          </w:p>
        </w:tc>
        <w:tc>
          <w:tcPr>
            <w:tcW w:w="1606" w:type="dxa"/>
            <w:shd w:val="clear" w:color="auto" w:fill="BFBFBF"/>
          </w:tcPr>
          <w:p w14:paraId="7C76D7D4" w14:textId="77777777" w:rsidR="001C08A5" w:rsidRDefault="00000000">
            <w:pPr>
              <w:jc w:val="center"/>
              <w:rPr>
                <w:b/>
                <w:i/>
                <w:iCs/>
                <w:sz w:val="22"/>
                <w:szCs w:val="22"/>
              </w:rPr>
            </w:pPr>
            <w:r>
              <w:rPr>
                <w:b/>
                <w:i/>
                <w:iCs/>
                <w:sz w:val="22"/>
                <w:szCs w:val="22"/>
              </w:rPr>
              <w:t>cu mai multe niveluri</w:t>
            </w:r>
          </w:p>
        </w:tc>
      </w:tr>
      <w:tr w:rsidR="001C08A5" w14:paraId="37AF320F" w14:textId="77777777">
        <w:tc>
          <w:tcPr>
            <w:tcW w:w="1602" w:type="dxa"/>
            <w:vMerge w:val="restart"/>
            <w:vAlign w:val="center"/>
          </w:tcPr>
          <w:p w14:paraId="7C3691D1" w14:textId="77777777" w:rsidR="001C08A5" w:rsidRDefault="00000000">
            <w:pPr>
              <w:spacing w:line="360" w:lineRule="auto"/>
              <w:jc w:val="center"/>
              <w:rPr>
                <w:i/>
                <w:iCs/>
                <w:sz w:val="22"/>
                <w:szCs w:val="22"/>
              </w:rPr>
            </w:pPr>
            <w:r>
              <w:rPr>
                <w:b/>
                <w:i/>
                <w:iCs/>
                <w:sz w:val="22"/>
                <w:szCs w:val="22"/>
              </w:rPr>
              <w:t>Foarte mare și risc de explozie</w:t>
            </w:r>
          </w:p>
        </w:tc>
        <w:tc>
          <w:tcPr>
            <w:tcW w:w="1604" w:type="dxa"/>
            <w:vAlign w:val="center"/>
          </w:tcPr>
          <w:p w14:paraId="5485026D" w14:textId="77777777" w:rsidR="001C08A5" w:rsidRDefault="00000000">
            <w:pPr>
              <w:spacing w:line="360" w:lineRule="auto"/>
              <w:jc w:val="center"/>
              <w:rPr>
                <w:b/>
                <w:i/>
                <w:iCs/>
                <w:sz w:val="22"/>
                <w:szCs w:val="22"/>
              </w:rPr>
            </w:pPr>
            <w:r>
              <w:rPr>
                <w:b/>
                <w:i/>
                <w:iCs/>
                <w:sz w:val="22"/>
                <w:szCs w:val="22"/>
              </w:rPr>
              <w:t>I</w:t>
            </w:r>
          </w:p>
        </w:tc>
        <w:tc>
          <w:tcPr>
            <w:tcW w:w="1605" w:type="dxa"/>
            <w:vAlign w:val="center"/>
          </w:tcPr>
          <w:p w14:paraId="0DBAE10C" w14:textId="77777777" w:rsidR="001C08A5" w:rsidRDefault="00000000">
            <w:pPr>
              <w:spacing w:line="360" w:lineRule="auto"/>
              <w:jc w:val="center"/>
              <w:rPr>
                <w:i/>
                <w:iCs/>
                <w:sz w:val="22"/>
                <w:szCs w:val="22"/>
              </w:rPr>
            </w:pPr>
            <w:r>
              <w:rPr>
                <w:b/>
                <w:i/>
                <w:iCs/>
                <w:sz w:val="22"/>
                <w:szCs w:val="22"/>
              </w:rPr>
              <w:t>6</w:t>
            </w:r>
          </w:p>
        </w:tc>
        <w:tc>
          <w:tcPr>
            <w:tcW w:w="4818" w:type="dxa"/>
            <w:gridSpan w:val="3"/>
            <w:vAlign w:val="center"/>
          </w:tcPr>
          <w:p w14:paraId="55584DD8" w14:textId="77777777" w:rsidR="001C08A5" w:rsidRDefault="00000000">
            <w:pPr>
              <w:spacing w:line="360" w:lineRule="auto"/>
              <w:jc w:val="center"/>
              <w:rPr>
                <w:i/>
                <w:iCs/>
                <w:sz w:val="22"/>
                <w:szCs w:val="22"/>
              </w:rPr>
            </w:pPr>
            <w:r>
              <w:rPr>
                <w:i/>
                <w:iCs/>
                <w:sz w:val="22"/>
                <w:szCs w:val="22"/>
              </w:rPr>
              <w:t>Nelimitat</w:t>
            </w:r>
          </w:p>
        </w:tc>
      </w:tr>
      <w:tr w:rsidR="001C08A5" w14:paraId="38A35B31" w14:textId="77777777">
        <w:tc>
          <w:tcPr>
            <w:tcW w:w="1602" w:type="dxa"/>
            <w:vMerge/>
            <w:vAlign w:val="center"/>
          </w:tcPr>
          <w:p w14:paraId="57203414" w14:textId="77777777" w:rsidR="001C08A5" w:rsidRDefault="001C08A5">
            <w:pPr>
              <w:spacing w:line="360" w:lineRule="auto"/>
              <w:jc w:val="center"/>
              <w:rPr>
                <w:i/>
                <w:iCs/>
                <w:sz w:val="22"/>
                <w:szCs w:val="22"/>
              </w:rPr>
            </w:pPr>
          </w:p>
        </w:tc>
        <w:tc>
          <w:tcPr>
            <w:tcW w:w="1604" w:type="dxa"/>
            <w:vAlign w:val="center"/>
          </w:tcPr>
          <w:p w14:paraId="097AB9D0" w14:textId="77777777" w:rsidR="001C08A5" w:rsidRDefault="00000000">
            <w:pPr>
              <w:spacing w:line="360" w:lineRule="auto"/>
              <w:jc w:val="center"/>
              <w:rPr>
                <w:b/>
                <w:i/>
                <w:iCs/>
                <w:sz w:val="22"/>
                <w:szCs w:val="22"/>
              </w:rPr>
            </w:pPr>
            <w:r>
              <w:rPr>
                <w:b/>
                <w:i/>
                <w:iCs/>
                <w:sz w:val="22"/>
                <w:szCs w:val="22"/>
              </w:rPr>
              <w:t>II</w:t>
            </w:r>
          </w:p>
        </w:tc>
        <w:tc>
          <w:tcPr>
            <w:tcW w:w="1605" w:type="dxa"/>
            <w:vAlign w:val="center"/>
          </w:tcPr>
          <w:p w14:paraId="44370C2C" w14:textId="77777777" w:rsidR="001C08A5" w:rsidRDefault="00000000">
            <w:pPr>
              <w:spacing w:line="360" w:lineRule="auto"/>
              <w:jc w:val="center"/>
              <w:rPr>
                <w:b/>
                <w:i/>
                <w:iCs/>
                <w:sz w:val="22"/>
                <w:szCs w:val="22"/>
              </w:rPr>
            </w:pPr>
            <w:r>
              <w:rPr>
                <w:b/>
                <w:i/>
                <w:iCs/>
                <w:sz w:val="22"/>
                <w:szCs w:val="22"/>
              </w:rPr>
              <w:t>6</w:t>
            </w:r>
          </w:p>
        </w:tc>
        <w:tc>
          <w:tcPr>
            <w:tcW w:w="1607" w:type="dxa"/>
            <w:vAlign w:val="center"/>
          </w:tcPr>
          <w:p w14:paraId="0EDAC2E3" w14:textId="77777777" w:rsidR="001C08A5" w:rsidRDefault="00000000">
            <w:pPr>
              <w:spacing w:line="360" w:lineRule="auto"/>
              <w:jc w:val="center"/>
              <w:rPr>
                <w:b/>
                <w:i/>
                <w:iCs/>
                <w:sz w:val="22"/>
                <w:szCs w:val="22"/>
              </w:rPr>
            </w:pPr>
            <w:r>
              <w:rPr>
                <w:b/>
                <w:i/>
                <w:iCs/>
                <w:sz w:val="22"/>
                <w:szCs w:val="22"/>
              </w:rPr>
              <w:t>6.000</w:t>
            </w:r>
          </w:p>
        </w:tc>
        <w:tc>
          <w:tcPr>
            <w:tcW w:w="1605" w:type="dxa"/>
            <w:vAlign w:val="center"/>
          </w:tcPr>
          <w:p w14:paraId="79733C34" w14:textId="77777777" w:rsidR="001C08A5" w:rsidRDefault="00000000">
            <w:pPr>
              <w:spacing w:line="360" w:lineRule="auto"/>
              <w:jc w:val="center"/>
              <w:rPr>
                <w:b/>
                <w:i/>
                <w:iCs/>
                <w:sz w:val="22"/>
                <w:szCs w:val="22"/>
              </w:rPr>
            </w:pPr>
            <w:r>
              <w:rPr>
                <w:b/>
                <w:i/>
                <w:iCs/>
                <w:sz w:val="22"/>
                <w:szCs w:val="22"/>
              </w:rPr>
              <w:t>3.000</w:t>
            </w:r>
          </w:p>
        </w:tc>
        <w:tc>
          <w:tcPr>
            <w:tcW w:w="1606" w:type="dxa"/>
            <w:vAlign w:val="center"/>
          </w:tcPr>
          <w:p w14:paraId="54D98A81" w14:textId="77777777" w:rsidR="001C08A5" w:rsidRDefault="00000000">
            <w:pPr>
              <w:spacing w:line="360" w:lineRule="auto"/>
              <w:jc w:val="center"/>
              <w:rPr>
                <w:i/>
                <w:iCs/>
                <w:sz w:val="22"/>
                <w:szCs w:val="22"/>
              </w:rPr>
            </w:pPr>
            <w:r>
              <w:rPr>
                <w:b/>
                <w:i/>
                <w:iCs/>
                <w:sz w:val="22"/>
                <w:szCs w:val="22"/>
              </w:rPr>
              <w:t>1.000</w:t>
            </w:r>
          </w:p>
        </w:tc>
      </w:tr>
      <w:tr w:rsidR="001C08A5" w14:paraId="039A452F" w14:textId="77777777">
        <w:trPr>
          <w:trHeight w:val="137"/>
        </w:trPr>
        <w:tc>
          <w:tcPr>
            <w:tcW w:w="1602" w:type="dxa"/>
            <w:vMerge w:val="restart"/>
            <w:vAlign w:val="center"/>
          </w:tcPr>
          <w:p w14:paraId="6DEE48F4" w14:textId="77777777" w:rsidR="001C08A5" w:rsidRDefault="00000000">
            <w:pPr>
              <w:spacing w:line="360" w:lineRule="auto"/>
              <w:jc w:val="center"/>
              <w:rPr>
                <w:b/>
                <w:bCs/>
                <w:i/>
                <w:iCs/>
                <w:sz w:val="22"/>
                <w:szCs w:val="22"/>
              </w:rPr>
            </w:pPr>
            <w:r>
              <w:rPr>
                <w:b/>
                <w:bCs/>
                <w:i/>
                <w:iCs/>
                <w:sz w:val="22"/>
                <w:szCs w:val="22"/>
              </w:rPr>
              <w:t>Foarte mare</w:t>
            </w:r>
          </w:p>
        </w:tc>
        <w:tc>
          <w:tcPr>
            <w:tcW w:w="1604" w:type="dxa"/>
            <w:vAlign w:val="center"/>
          </w:tcPr>
          <w:p w14:paraId="6971B6E5" w14:textId="77777777" w:rsidR="001C08A5" w:rsidRDefault="00000000">
            <w:pPr>
              <w:spacing w:line="360" w:lineRule="auto"/>
              <w:jc w:val="center"/>
              <w:rPr>
                <w:b/>
                <w:i/>
                <w:iCs/>
                <w:sz w:val="22"/>
                <w:szCs w:val="22"/>
              </w:rPr>
            </w:pPr>
            <w:r>
              <w:rPr>
                <w:b/>
                <w:i/>
                <w:iCs/>
                <w:sz w:val="22"/>
                <w:szCs w:val="22"/>
              </w:rPr>
              <w:t>I</w:t>
            </w:r>
          </w:p>
        </w:tc>
        <w:tc>
          <w:tcPr>
            <w:tcW w:w="6423" w:type="dxa"/>
            <w:gridSpan w:val="4"/>
            <w:vAlign w:val="center"/>
          </w:tcPr>
          <w:p w14:paraId="4A824B94" w14:textId="77777777" w:rsidR="001C08A5" w:rsidRDefault="00000000">
            <w:pPr>
              <w:spacing w:line="360" w:lineRule="auto"/>
              <w:jc w:val="center"/>
              <w:rPr>
                <w:b/>
                <w:i/>
                <w:iCs/>
                <w:sz w:val="22"/>
                <w:szCs w:val="22"/>
              </w:rPr>
            </w:pPr>
            <w:r>
              <w:rPr>
                <w:b/>
                <w:i/>
                <w:iCs/>
                <w:sz w:val="22"/>
                <w:szCs w:val="22"/>
              </w:rPr>
              <w:t>Nelimitată</w:t>
            </w:r>
          </w:p>
        </w:tc>
      </w:tr>
      <w:tr w:rsidR="001C08A5" w14:paraId="4FB7F7BB" w14:textId="77777777">
        <w:trPr>
          <w:trHeight w:val="137"/>
        </w:trPr>
        <w:tc>
          <w:tcPr>
            <w:tcW w:w="1602" w:type="dxa"/>
            <w:vMerge/>
            <w:vAlign w:val="center"/>
          </w:tcPr>
          <w:p w14:paraId="505CDC70" w14:textId="77777777" w:rsidR="001C08A5" w:rsidRDefault="001C08A5">
            <w:pPr>
              <w:spacing w:line="360" w:lineRule="auto"/>
              <w:jc w:val="center"/>
              <w:rPr>
                <w:i/>
                <w:iCs/>
                <w:sz w:val="22"/>
                <w:szCs w:val="22"/>
              </w:rPr>
            </w:pPr>
          </w:p>
        </w:tc>
        <w:tc>
          <w:tcPr>
            <w:tcW w:w="1604" w:type="dxa"/>
            <w:vAlign w:val="center"/>
          </w:tcPr>
          <w:p w14:paraId="15818FA7" w14:textId="77777777" w:rsidR="001C08A5" w:rsidRDefault="00000000">
            <w:pPr>
              <w:spacing w:line="360" w:lineRule="auto"/>
              <w:jc w:val="center"/>
              <w:rPr>
                <w:b/>
                <w:i/>
                <w:iCs/>
                <w:sz w:val="22"/>
                <w:szCs w:val="22"/>
              </w:rPr>
            </w:pPr>
            <w:r>
              <w:rPr>
                <w:b/>
                <w:i/>
                <w:iCs/>
                <w:sz w:val="22"/>
                <w:szCs w:val="22"/>
              </w:rPr>
              <w:t>II</w:t>
            </w:r>
          </w:p>
        </w:tc>
        <w:tc>
          <w:tcPr>
            <w:tcW w:w="1605" w:type="dxa"/>
            <w:vAlign w:val="center"/>
          </w:tcPr>
          <w:p w14:paraId="2670C0C7" w14:textId="77777777" w:rsidR="001C08A5" w:rsidRDefault="00000000">
            <w:pPr>
              <w:spacing w:line="360" w:lineRule="auto"/>
              <w:jc w:val="center"/>
              <w:rPr>
                <w:b/>
                <w:i/>
                <w:iCs/>
                <w:sz w:val="22"/>
                <w:szCs w:val="22"/>
              </w:rPr>
            </w:pPr>
            <w:r>
              <w:rPr>
                <w:b/>
                <w:i/>
                <w:iCs/>
                <w:sz w:val="22"/>
                <w:szCs w:val="22"/>
              </w:rPr>
              <w:t>6</w:t>
            </w:r>
          </w:p>
        </w:tc>
        <w:tc>
          <w:tcPr>
            <w:tcW w:w="1607" w:type="dxa"/>
            <w:vAlign w:val="center"/>
          </w:tcPr>
          <w:p w14:paraId="4EA0543B" w14:textId="77777777" w:rsidR="001C08A5" w:rsidRDefault="00000000">
            <w:pPr>
              <w:spacing w:line="360" w:lineRule="auto"/>
              <w:jc w:val="center"/>
              <w:rPr>
                <w:b/>
                <w:i/>
                <w:iCs/>
                <w:sz w:val="22"/>
                <w:szCs w:val="22"/>
              </w:rPr>
            </w:pPr>
            <w:r>
              <w:rPr>
                <w:b/>
                <w:i/>
                <w:iCs/>
                <w:sz w:val="22"/>
                <w:szCs w:val="22"/>
              </w:rPr>
              <w:t>Nelimitată</w:t>
            </w:r>
          </w:p>
        </w:tc>
        <w:tc>
          <w:tcPr>
            <w:tcW w:w="1605" w:type="dxa"/>
            <w:vAlign w:val="center"/>
          </w:tcPr>
          <w:p w14:paraId="77CC2F46" w14:textId="77777777" w:rsidR="001C08A5" w:rsidRDefault="00000000">
            <w:pPr>
              <w:spacing w:line="360" w:lineRule="auto"/>
              <w:jc w:val="center"/>
              <w:rPr>
                <w:b/>
                <w:i/>
                <w:iCs/>
                <w:sz w:val="22"/>
                <w:szCs w:val="22"/>
              </w:rPr>
            </w:pPr>
            <w:r>
              <w:rPr>
                <w:b/>
                <w:i/>
                <w:iCs/>
                <w:sz w:val="22"/>
                <w:szCs w:val="22"/>
              </w:rPr>
              <w:t>10.000</w:t>
            </w:r>
          </w:p>
        </w:tc>
        <w:tc>
          <w:tcPr>
            <w:tcW w:w="1606" w:type="dxa"/>
            <w:vAlign w:val="center"/>
          </w:tcPr>
          <w:p w14:paraId="6F3E9A72" w14:textId="77777777" w:rsidR="001C08A5" w:rsidRDefault="00000000">
            <w:pPr>
              <w:spacing w:line="360" w:lineRule="auto"/>
              <w:jc w:val="center"/>
              <w:rPr>
                <w:b/>
                <w:i/>
                <w:iCs/>
                <w:sz w:val="22"/>
                <w:szCs w:val="22"/>
              </w:rPr>
            </w:pPr>
            <w:r>
              <w:rPr>
                <w:b/>
                <w:i/>
                <w:iCs/>
                <w:sz w:val="22"/>
                <w:szCs w:val="22"/>
              </w:rPr>
              <w:t>5.000</w:t>
            </w:r>
          </w:p>
        </w:tc>
      </w:tr>
      <w:tr w:rsidR="001C08A5" w14:paraId="334948D6" w14:textId="77777777">
        <w:tc>
          <w:tcPr>
            <w:tcW w:w="1602" w:type="dxa"/>
            <w:vMerge w:val="restart"/>
            <w:vAlign w:val="center"/>
          </w:tcPr>
          <w:p w14:paraId="5FA7A590" w14:textId="77777777" w:rsidR="001C08A5" w:rsidRDefault="001C08A5">
            <w:pPr>
              <w:spacing w:line="360" w:lineRule="auto"/>
              <w:jc w:val="center"/>
              <w:rPr>
                <w:b/>
                <w:i/>
                <w:iCs/>
                <w:sz w:val="22"/>
                <w:szCs w:val="22"/>
              </w:rPr>
            </w:pPr>
          </w:p>
          <w:p w14:paraId="3D875CFB" w14:textId="77777777" w:rsidR="001C08A5" w:rsidRDefault="001C08A5">
            <w:pPr>
              <w:spacing w:line="360" w:lineRule="auto"/>
              <w:jc w:val="center"/>
              <w:rPr>
                <w:b/>
                <w:i/>
                <w:iCs/>
                <w:sz w:val="22"/>
                <w:szCs w:val="22"/>
              </w:rPr>
            </w:pPr>
          </w:p>
          <w:p w14:paraId="0D06D098" w14:textId="77777777" w:rsidR="001C08A5" w:rsidRDefault="00000000">
            <w:pPr>
              <w:spacing w:line="360" w:lineRule="auto"/>
              <w:jc w:val="center"/>
              <w:rPr>
                <w:i/>
                <w:iCs/>
                <w:sz w:val="22"/>
                <w:szCs w:val="22"/>
              </w:rPr>
            </w:pPr>
            <w:r>
              <w:rPr>
                <w:b/>
                <w:i/>
                <w:iCs/>
                <w:sz w:val="22"/>
                <w:szCs w:val="22"/>
              </w:rPr>
              <w:t>Mare</w:t>
            </w:r>
          </w:p>
        </w:tc>
        <w:tc>
          <w:tcPr>
            <w:tcW w:w="1604" w:type="dxa"/>
            <w:vAlign w:val="center"/>
          </w:tcPr>
          <w:p w14:paraId="597D0EAA" w14:textId="77777777" w:rsidR="001C08A5" w:rsidRDefault="00000000">
            <w:pPr>
              <w:spacing w:line="360" w:lineRule="auto"/>
              <w:jc w:val="center"/>
              <w:rPr>
                <w:b/>
                <w:i/>
                <w:iCs/>
                <w:sz w:val="22"/>
                <w:szCs w:val="22"/>
              </w:rPr>
            </w:pPr>
            <w:r>
              <w:rPr>
                <w:b/>
                <w:i/>
                <w:iCs/>
                <w:sz w:val="22"/>
                <w:szCs w:val="22"/>
              </w:rPr>
              <w:t>I</w:t>
            </w:r>
          </w:p>
        </w:tc>
        <w:tc>
          <w:tcPr>
            <w:tcW w:w="6423" w:type="dxa"/>
            <w:gridSpan w:val="4"/>
            <w:vAlign w:val="center"/>
          </w:tcPr>
          <w:p w14:paraId="2DA8797C" w14:textId="77777777" w:rsidR="001C08A5" w:rsidRDefault="00000000">
            <w:pPr>
              <w:spacing w:line="360" w:lineRule="auto"/>
              <w:jc w:val="center"/>
              <w:rPr>
                <w:i/>
                <w:iCs/>
                <w:sz w:val="22"/>
                <w:szCs w:val="22"/>
              </w:rPr>
            </w:pPr>
            <w:r>
              <w:rPr>
                <w:b/>
                <w:i/>
                <w:iCs/>
                <w:sz w:val="22"/>
                <w:szCs w:val="22"/>
              </w:rPr>
              <w:t>Nelimitată</w:t>
            </w:r>
          </w:p>
        </w:tc>
      </w:tr>
      <w:tr w:rsidR="001C08A5" w14:paraId="04BA6692" w14:textId="77777777">
        <w:tc>
          <w:tcPr>
            <w:tcW w:w="1602" w:type="dxa"/>
            <w:vMerge/>
            <w:vAlign w:val="center"/>
          </w:tcPr>
          <w:p w14:paraId="1D7C1BD3" w14:textId="77777777" w:rsidR="001C08A5" w:rsidRDefault="001C08A5">
            <w:pPr>
              <w:spacing w:line="360" w:lineRule="auto"/>
              <w:jc w:val="center"/>
              <w:rPr>
                <w:i/>
                <w:iCs/>
                <w:sz w:val="22"/>
                <w:szCs w:val="22"/>
              </w:rPr>
            </w:pPr>
          </w:p>
        </w:tc>
        <w:tc>
          <w:tcPr>
            <w:tcW w:w="1604" w:type="dxa"/>
            <w:vAlign w:val="center"/>
          </w:tcPr>
          <w:p w14:paraId="3D443E93" w14:textId="77777777" w:rsidR="001C08A5" w:rsidRDefault="00000000">
            <w:pPr>
              <w:spacing w:line="360" w:lineRule="auto"/>
              <w:jc w:val="center"/>
              <w:rPr>
                <w:b/>
                <w:i/>
                <w:iCs/>
                <w:sz w:val="22"/>
                <w:szCs w:val="22"/>
              </w:rPr>
            </w:pPr>
            <w:r>
              <w:rPr>
                <w:b/>
                <w:i/>
                <w:iCs/>
                <w:sz w:val="22"/>
                <w:szCs w:val="22"/>
              </w:rPr>
              <w:t>II</w:t>
            </w:r>
          </w:p>
        </w:tc>
        <w:tc>
          <w:tcPr>
            <w:tcW w:w="1605" w:type="dxa"/>
            <w:vAlign w:val="center"/>
          </w:tcPr>
          <w:p w14:paraId="7E216DD5" w14:textId="77777777" w:rsidR="001C08A5" w:rsidRDefault="00000000">
            <w:pPr>
              <w:spacing w:line="360" w:lineRule="auto"/>
              <w:jc w:val="center"/>
              <w:rPr>
                <w:b/>
                <w:i/>
                <w:iCs/>
                <w:sz w:val="22"/>
                <w:szCs w:val="22"/>
              </w:rPr>
            </w:pPr>
            <w:r>
              <w:rPr>
                <w:b/>
                <w:i/>
                <w:iCs/>
                <w:sz w:val="22"/>
                <w:szCs w:val="22"/>
              </w:rPr>
              <w:t>6</w:t>
            </w:r>
          </w:p>
        </w:tc>
        <w:tc>
          <w:tcPr>
            <w:tcW w:w="1607" w:type="dxa"/>
            <w:vAlign w:val="center"/>
          </w:tcPr>
          <w:p w14:paraId="637F7BD0" w14:textId="77777777" w:rsidR="001C08A5" w:rsidRDefault="00000000">
            <w:pPr>
              <w:spacing w:line="360" w:lineRule="auto"/>
              <w:jc w:val="center"/>
              <w:rPr>
                <w:b/>
                <w:i/>
                <w:iCs/>
                <w:sz w:val="22"/>
                <w:szCs w:val="22"/>
              </w:rPr>
            </w:pPr>
            <w:r>
              <w:rPr>
                <w:b/>
                <w:i/>
                <w:iCs/>
                <w:sz w:val="22"/>
                <w:szCs w:val="22"/>
              </w:rPr>
              <w:t>Nelimitată</w:t>
            </w:r>
          </w:p>
        </w:tc>
        <w:tc>
          <w:tcPr>
            <w:tcW w:w="1605" w:type="dxa"/>
            <w:vAlign w:val="center"/>
          </w:tcPr>
          <w:p w14:paraId="2CBDC915" w14:textId="77777777" w:rsidR="001C08A5" w:rsidRDefault="00000000">
            <w:pPr>
              <w:spacing w:line="360" w:lineRule="auto"/>
              <w:jc w:val="center"/>
              <w:rPr>
                <w:b/>
                <w:i/>
                <w:iCs/>
                <w:sz w:val="22"/>
                <w:szCs w:val="22"/>
              </w:rPr>
            </w:pPr>
            <w:r>
              <w:rPr>
                <w:b/>
                <w:i/>
                <w:iCs/>
                <w:sz w:val="22"/>
                <w:szCs w:val="22"/>
              </w:rPr>
              <w:t>15.000</w:t>
            </w:r>
          </w:p>
        </w:tc>
        <w:tc>
          <w:tcPr>
            <w:tcW w:w="1606" w:type="dxa"/>
            <w:vAlign w:val="center"/>
          </w:tcPr>
          <w:p w14:paraId="07D80166" w14:textId="77777777" w:rsidR="001C08A5" w:rsidRDefault="00000000">
            <w:pPr>
              <w:spacing w:line="360" w:lineRule="auto"/>
              <w:jc w:val="center"/>
              <w:rPr>
                <w:i/>
                <w:iCs/>
                <w:sz w:val="22"/>
                <w:szCs w:val="22"/>
              </w:rPr>
            </w:pPr>
            <w:r>
              <w:rPr>
                <w:b/>
                <w:i/>
                <w:iCs/>
                <w:sz w:val="22"/>
                <w:szCs w:val="22"/>
              </w:rPr>
              <w:t>7.500</w:t>
            </w:r>
          </w:p>
        </w:tc>
      </w:tr>
      <w:tr w:rsidR="001C08A5" w14:paraId="32AFB155" w14:textId="77777777">
        <w:tc>
          <w:tcPr>
            <w:tcW w:w="1602" w:type="dxa"/>
            <w:vMerge/>
            <w:vAlign w:val="center"/>
          </w:tcPr>
          <w:p w14:paraId="7DFDB192" w14:textId="77777777" w:rsidR="001C08A5" w:rsidRDefault="001C08A5">
            <w:pPr>
              <w:spacing w:line="360" w:lineRule="auto"/>
              <w:jc w:val="center"/>
              <w:rPr>
                <w:i/>
                <w:iCs/>
                <w:sz w:val="22"/>
                <w:szCs w:val="22"/>
              </w:rPr>
            </w:pPr>
          </w:p>
        </w:tc>
        <w:tc>
          <w:tcPr>
            <w:tcW w:w="1604" w:type="dxa"/>
            <w:vAlign w:val="center"/>
          </w:tcPr>
          <w:p w14:paraId="089239A2" w14:textId="77777777" w:rsidR="001C08A5" w:rsidRDefault="00000000">
            <w:pPr>
              <w:spacing w:line="360" w:lineRule="auto"/>
              <w:jc w:val="center"/>
              <w:rPr>
                <w:b/>
                <w:i/>
                <w:iCs/>
                <w:sz w:val="22"/>
                <w:szCs w:val="22"/>
              </w:rPr>
            </w:pPr>
            <w:r>
              <w:rPr>
                <w:b/>
                <w:i/>
                <w:iCs/>
                <w:sz w:val="22"/>
                <w:szCs w:val="22"/>
              </w:rPr>
              <w:t>III</w:t>
            </w:r>
          </w:p>
        </w:tc>
        <w:tc>
          <w:tcPr>
            <w:tcW w:w="1605" w:type="dxa"/>
            <w:vAlign w:val="center"/>
          </w:tcPr>
          <w:p w14:paraId="6CB9BE9C" w14:textId="77777777" w:rsidR="001C08A5" w:rsidRDefault="00000000">
            <w:pPr>
              <w:spacing w:line="360" w:lineRule="auto"/>
              <w:jc w:val="center"/>
              <w:rPr>
                <w:b/>
                <w:i/>
                <w:iCs/>
                <w:sz w:val="22"/>
                <w:szCs w:val="22"/>
              </w:rPr>
            </w:pPr>
            <w:r>
              <w:rPr>
                <w:b/>
                <w:i/>
                <w:iCs/>
                <w:sz w:val="22"/>
                <w:szCs w:val="22"/>
              </w:rPr>
              <w:t>3</w:t>
            </w:r>
          </w:p>
        </w:tc>
        <w:tc>
          <w:tcPr>
            <w:tcW w:w="1607" w:type="dxa"/>
            <w:vAlign w:val="center"/>
          </w:tcPr>
          <w:p w14:paraId="2CD260CE" w14:textId="77777777" w:rsidR="001C08A5" w:rsidRDefault="00000000">
            <w:pPr>
              <w:spacing w:line="360" w:lineRule="auto"/>
              <w:jc w:val="center"/>
              <w:rPr>
                <w:b/>
                <w:i/>
                <w:iCs/>
                <w:sz w:val="22"/>
                <w:szCs w:val="22"/>
              </w:rPr>
            </w:pPr>
            <w:r>
              <w:rPr>
                <w:b/>
                <w:i/>
                <w:iCs/>
                <w:sz w:val="22"/>
                <w:szCs w:val="22"/>
              </w:rPr>
              <w:t>5.500</w:t>
            </w:r>
          </w:p>
        </w:tc>
        <w:tc>
          <w:tcPr>
            <w:tcW w:w="1605" w:type="dxa"/>
            <w:vAlign w:val="center"/>
          </w:tcPr>
          <w:p w14:paraId="1DD89BAD" w14:textId="77777777" w:rsidR="001C08A5" w:rsidRDefault="00000000">
            <w:pPr>
              <w:spacing w:line="360" w:lineRule="auto"/>
              <w:jc w:val="center"/>
              <w:rPr>
                <w:b/>
                <w:i/>
                <w:iCs/>
                <w:sz w:val="22"/>
                <w:szCs w:val="22"/>
              </w:rPr>
            </w:pPr>
            <w:r>
              <w:rPr>
                <w:b/>
                <w:i/>
                <w:iCs/>
                <w:sz w:val="22"/>
                <w:szCs w:val="22"/>
              </w:rPr>
              <w:t>3.500</w:t>
            </w:r>
          </w:p>
        </w:tc>
        <w:tc>
          <w:tcPr>
            <w:tcW w:w="1606" w:type="dxa"/>
            <w:vAlign w:val="center"/>
          </w:tcPr>
          <w:p w14:paraId="19D8F159" w14:textId="77777777" w:rsidR="001C08A5" w:rsidRDefault="00000000">
            <w:pPr>
              <w:spacing w:line="360" w:lineRule="auto"/>
              <w:jc w:val="center"/>
              <w:rPr>
                <w:i/>
                <w:iCs/>
                <w:sz w:val="22"/>
                <w:szCs w:val="22"/>
              </w:rPr>
            </w:pPr>
            <w:r>
              <w:rPr>
                <w:b/>
                <w:i/>
                <w:iCs/>
                <w:sz w:val="22"/>
                <w:szCs w:val="22"/>
              </w:rPr>
              <w:t>2.500</w:t>
            </w:r>
          </w:p>
        </w:tc>
      </w:tr>
      <w:tr w:rsidR="001C08A5" w14:paraId="0C0E8C2B" w14:textId="77777777">
        <w:tc>
          <w:tcPr>
            <w:tcW w:w="1602" w:type="dxa"/>
            <w:vMerge/>
            <w:vAlign w:val="center"/>
          </w:tcPr>
          <w:p w14:paraId="1932E718" w14:textId="77777777" w:rsidR="001C08A5" w:rsidRDefault="001C08A5">
            <w:pPr>
              <w:spacing w:line="360" w:lineRule="auto"/>
              <w:jc w:val="center"/>
              <w:rPr>
                <w:i/>
                <w:iCs/>
                <w:sz w:val="22"/>
                <w:szCs w:val="22"/>
              </w:rPr>
            </w:pPr>
          </w:p>
        </w:tc>
        <w:tc>
          <w:tcPr>
            <w:tcW w:w="1604" w:type="dxa"/>
            <w:vAlign w:val="center"/>
          </w:tcPr>
          <w:p w14:paraId="50D835B2" w14:textId="77777777" w:rsidR="001C08A5" w:rsidRDefault="00000000">
            <w:pPr>
              <w:spacing w:line="360" w:lineRule="auto"/>
              <w:jc w:val="center"/>
              <w:rPr>
                <w:b/>
                <w:i/>
                <w:iCs/>
                <w:sz w:val="22"/>
                <w:szCs w:val="22"/>
              </w:rPr>
            </w:pPr>
            <w:r>
              <w:rPr>
                <w:b/>
                <w:i/>
                <w:iCs/>
                <w:sz w:val="22"/>
                <w:szCs w:val="22"/>
              </w:rPr>
              <w:t>IV</w:t>
            </w:r>
          </w:p>
        </w:tc>
        <w:tc>
          <w:tcPr>
            <w:tcW w:w="1605" w:type="dxa"/>
            <w:vAlign w:val="center"/>
          </w:tcPr>
          <w:p w14:paraId="1190CD6D" w14:textId="77777777" w:rsidR="001C08A5" w:rsidRDefault="00000000">
            <w:pPr>
              <w:spacing w:line="360" w:lineRule="auto"/>
              <w:jc w:val="center"/>
              <w:rPr>
                <w:b/>
                <w:i/>
                <w:iCs/>
                <w:sz w:val="22"/>
                <w:szCs w:val="22"/>
              </w:rPr>
            </w:pPr>
            <w:r>
              <w:rPr>
                <w:b/>
                <w:i/>
                <w:iCs/>
                <w:sz w:val="22"/>
                <w:szCs w:val="22"/>
              </w:rPr>
              <w:t>2</w:t>
            </w:r>
          </w:p>
        </w:tc>
        <w:tc>
          <w:tcPr>
            <w:tcW w:w="1607" w:type="dxa"/>
            <w:vAlign w:val="center"/>
          </w:tcPr>
          <w:p w14:paraId="7B258751" w14:textId="77777777" w:rsidR="001C08A5" w:rsidRDefault="00000000">
            <w:pPr>
              <w:spacing w:line="360" w:lineRule="auto"/>
              <w:jc w:val="center"/>
              <w:rPr>
                <w:b/>
                <w:i/>
                <w:iCs/>
                <w:sz w:val="22"/>
                <w:szCs w:val="22"/>
              </w:rPr>
            </w:pPr>
            <w:r>
              <w:rPr>
                <w:b/>
                <w:i/>
                <w:iCs/>
                <w:sz w:val="22"/>
                <w:szCs w:val="22"/>
              </w:rPr>
              <w:t>3.000</w:t>
            </w:r>
          </w:p>
        </w:tc>
        <w:tc>
          <w:tcPr>
            <w:tcW w:w="1605" w:type="dxa"/>
            <w:vAlign w:val="center"/>
          </w:tcPr>
          <w:p w14:paraId="69C51B85" w14:textId="77777777" w:rsidR="001C08A5" w:rsidRDefault="00000000">
            <w:pPr>
              <w:spacing w:line="360" w:lineRule="auto"/>
              <w:jc w:val="center"/>
              <w:rPr>
                <w:b/>
                <w:i/>
                <w:iCs/>
                <w:sz w:val="22"/>
                <w:szCs w:val="22"/>
              </w:rPr>
            </w:pPr>
            <w:r>
              <w:rPr>
                <w:b/>
                <w:i/>
                <w:iCs/>
                <w:sz w:val="22"/>
                <w:szCs w:val="22"/>
              </w:rPr>
              <w:t>1.500</w:t>
            </w:r>
          </w:p>
        </w:tc>
        <w:tc>
          <w:tcPr>
            <w:tcW w:w="1606" w:type="dxa"/>
            <w:vAlign w:val="center"/>
          </w:tcPr>
          <w:p w14:paraId="49BDA923" w14:textId="77777777" w:rsidR="001C08A5" w:rsidRDefault="00000000">
            <w:pPr>
              <w:spacing w:line="360" w:lineRule="auto"/>
              <w:jc w:val="center"/>
              <w:rPr>
                <w:i/>
                <w:iCs/>
                <w:sz w:val="22"/>
                <w:szCs w:val="22"/>
              </w:rPr>
            </w:pPr>
            <w:r>
              <w:rPr>
                <w:b/>
                <w:i/>
                <w:iCs/>
                <w:sz w:val="22"/>
                <w:szCs w:val="22"/>
              </w:rPr>
              <w:t>Nu se admit</w:t>
            </w:r>
          </w:p>
        </w:tc>
      </w:tr>
      <w:tr w:rsidR="001C08A5" w14:paraId="311B7320" w14:textId="77777777">
        <w:tc>
          <w:tcPr>
            <w:tcW w:w="1602" w:type="dxa"/>
            <w:vMerge/>
            <w:vAlign w:val="center"/>
          </w:tcPr>
          <w:p w14:paraId="2524090B" w14:textId="77777777" w:rsidR="001C08A5" w:rsidRDefault="001C08A5">
            <w:pPr>
              <w:spacing w:line="360" w:lineRule="auto"/>
              <w:jc w:val="center"/>
              <w:rPr>
                <w:i/>
                <w:iCs/>
                <w:sz w:val="22"/>
                <w:szCs w:val="22"/>
              </w:rPr>
            </w:pPr>
          </w:p>
        </w:tc>
        <w:tc>
          <w:tcPr>
            <w:tcW w:w="1604" w:type="dxa"/>
            <w:vAlign w:val="center"/>
          </w:tcPr>
          <w:p w14:paraId="727BA00B" w14:textId="77777777" w:rsidR="001C08A5" w:rsidRDefault="00000000">
            <w:pPr>
              <w:spacing w:line="360" w:lineRule="auto"/>
              <w:jc w:val="center"/>
              <w:rPr>
                <w:b/>
                <w:i/>
                <w:iCs/>
                <w:sz w:val="22"/>
                <w:szCs w:val="22"/>
              </w:rPr>
            </w:pPr>
            <w:r>
              <w:rPr>
                <w:b/>
                <w:i/>
                <w:iCs/>
                <w:sz w:val="22"/>
                <w:szCs w:val="22"/>
              </w:rPr>
              <w:t>V</w:t>
            </w:r>
          </w:p>
        </w:tc>
        <w:tc>
          <w:tcPr>
            <w:tcW w:w="1605" w:type="dxa"/>
            <w:vAlign w:val="center"/>
          </w:tcPr>
          <w:p w14:paraId="0BB7B6EB" w14:textId="77777777" w:rsidR="001C08A5" w:rsidRDefault="00000000">
            <w:pPr>
              <w:spacing w:line="360" w:lineRule="auto"/>
              <w:jc w:val="center"/>
              <w:rPr>
                <w:b/>
                <w:i/>
                <w:iCs/>
                <w:sz w:val="22"/>
                <w:szCs w:val="22"/>
              </w:rPr>
            </w:pPr>
            <w:r>
              <w:rPr>
                <w:b/>
                <w:i/>
                <w:iCs/>
                <w:sz w:val="22"/>
                <w:szCs w:val="22"/>
              </w:rPr>
              <w:t>1</w:t>
            </w:r>
          </w:p>
        </w:tc>
        <w:tc>
          <w:tcPr>
            <w:tcW w:w="1607" w:type="dxa"/>
            <w:vAlign w:val="center"/>
          </w:tcPr>
          <w:p w14:paraId="21F0FEA9" w14:textId="77777777" w:rsidR="001C08A5" w:rsidRDefault="00000000">
            <w:pPr>
              <w:spacing w:line="360" w:lineRule="auto"/>
              <w:jc w:val="center"/>
              <w:rPr>
                <w:b/>
                <w:i/>
                <w:iCs/>
                <w:sz w:val="22"/>
                <w:szCs w:val="22"/>
              </w:rPr>
            </w:pPr>
            <w:r>
              <w:rPr>
                <w:b/>
                <w:i/>
                <w:iCs/>
                <w:sz w:val="22"/>
                <w:szCs w:val="22"/>
              </w:rPr>
              <w:t>1.500</w:t>
            </w:r>
          </w:p>
        </w:tc>
        <w:tc>
          <w:tcPr>
            <w:tcW w:w="3211" w:type="dxa"/>
            <w:gridSpan w:val="2"/>
            <w:vAlign w:val="center"/>
          </w:tcPr>
          <w:p w14:paraId="35665018" w14:textId="77777777" w:rsidR="001C08A5" w:rsidRDefault="00000000">
            <w:pPr>
              <w:spacing w:line="360" w:lineRule="auto"/>
              <w:jc w:val="center"/>
              <w:rPr>
                <w:i/>
                <w:iCs/>
                <w:sz w:val="22"/>
                <w:szCs w:val="22"/>
              </w:rPr>
            </w:pPr>
            <w:r>
              <w:rPr>
                <w:b/>
                <w:i/>
                <w:iCs/>
                <w:sz w:val="22"/>
                <w:szCs w:val="22"/>
              </w:rPr>
              <w:t>Nu se admit</w:t>
            </w:r>
          </w:p>
        </w:tc>
      </w:tr>
      <w:tr w:rsidR="001C08A5" w14:paraId="519D00BD" w14:textId="77777777">
        <w:tc>
          <w:tcPr>
            <w:tcW w:w="1602" w:type="dxa"/>
            <w:vMerge w:val="restart"/>
            <w:vAlign w:val="center"/>
          </w:tcPr>
          <w:p w14:paraId="051C5444" w14:textId="77777777" w:rsidR="001C08A5" w:rsidRDefault="001C08A5">
            <w:pPr>
              <w:spacing w:line="360" w:lineRule="auto"/>
              <w:jc w:val="center"/>
              <w:rPr>
                <w:b/>
                <w:i/>
                <w:iCs/>
                <w:sz w:val="22"/>
                <w:szCs w:val="22"/>
              </w:rPr>
            </w:pPr>
          </w:p>
          <w:p w14:paraId="2AD96CAD" w14:textId="77777777" w:rsidR="001C08A5" w:rsidRDefault="00000000">
            <w:pPr>
              <w:spacing w:line="360" w:lineRule="auto"/>
              <w:jc w:val="center"/>
              <w:rPr>
                <w:i/>
                <w:iCs/>
                <w:sz w:val="22"/>
                <w:szCs w:val="22"/>
              </w:rPr>
            </w:pPr>
            <w:r>
              <w:rPr>
                <w:b/>
                <w:i/>
                <w:iCs/>
                <w:sz w:val="22"/>
                <w:szCs w:val="22"/>
              </w:rPr>
              <w:t>Mijlociu</w:t>
            </w:r>
          </w:p>
        </w:tc>
        <w:tc>
          <w:tcPr>
            <w:tcW w:w="1604" w:type="dxa"/>
            <w:vAlign w:val="center"/>
          </w:tcPr>
          <w:p w14:paraId="722AF69F" w14:textId="77777777" w:rsidR="001C08A5" w:rsidRDefault="00000000">
            <w:pPr>
              <w:spacing w:line="360" w:lineRule="auto"/>
              <w:jc w:val="center"/>
              <w:rPr>
                <w:b/>
                <w:i/>
                <w:iCs/>
                <w:sz w:val="22"/>
                <w:szCs w:val="22"/>
              </w:rPr>
            </w:pPr>
            <w:r>
              <w:rPr>
                <w:b/>
                <w:i/>
                <w:iCs/>
                <w:sz w:val="22"/>
                <w:szCs w:val="22"/>
              </w:rPr>
              <w:t>I - II</w:t>
            </w:r>
          </w:p>
        </w:tc>
        <w:tc>
          <w:tcPr>
            <w:tcW w:w="6423" w:type="dxa"/>
            <w:gridSpan w:val="4"/>
            <w:vAlign w:val="center"/>
          </w:tcPr>
          <w:p w14:paraId="7544206E" w14:textId="77777777" w:rsidR="001C08A5" w:rsidRDefault="00000000">
            <w:pPr>
              <w:spacing w:line="360" w:lineRule="auto"/>
              <w:jc w:val="center"/>
              <w:rPr>
                <w:i/>
                <w:iCs/>
                <w:sz w:val="22"/>
                <w:szCs w:val="22"/>
              </w:rPr>
            </w:pPr>
            <w:r>
              <w:rPr>
                <w:b/>
                <w:i/>
                <w:iCs/>
                <w:sz w:val="22"/>
                <w:szCs w:val="22"/>
              </w:rPr>
              <w:t>Nelimitată</w:t>
            </w:r>
          </w:p>
        </w:tc>
      </w:tr>
      <w:tr w:rsidR="001C08A5" w14:paraId="012FF927" w14:textId="77777777">
        <w:tc>
          <w:tcPr>
            <w:tcW w:w="1602" w:type="dxa"/>
            <w:vMerge/>
            <w:vAlign w:val="center"/>
          </w:tcPr>
          <w:p w14:paraId="0F323857" w14:textId="77777777" w:rsidR="001C08A5" w:rsidRDefault="001C08A5">
            <w:pPr>
              <w:spacing w:line="360" w:lineRule="auto"/>
              <w:jc w:val="center"/>
              <w:rPr>
                <w:i/>
                <w:iCs/>
                <w:sz w:val="22"/>
                <w:szCs w:val="22"/>
              </w:rPr>
            </w:pPr>
          </w:p>
        </w:tc>
        <w:tc>
          <w:tcPr>
            <w:tcW w:w="1604" w:type="dxa"/>
            <w:vAlign w:val="center"/>
          </w:tcPr>
          <w:p w14:paraId="14A827BE" w14:textId="77777777" w:rsidR="001C08A5" w:rsidRDefault="00000000">
            <w:pPr>
              <w:spacing w:line="360" w:lineRule="auto"/>
              <w:jc w:val="center"/>
              <w:rPr>
                <w:b/>
                <w:i/>
                <w:iCs/>
                <w:sz w:val="22"/>
                <w:szCs w:val="22"/>
              </w:rPr>
            </w:pPr>
            <w:r>
              <w:rPr>
                <w:b/>
                <w:i/>
                <w:iCs/>
                <w:sz w:val="22"/>
                <w:szCs w:val="22"/>
              </w:rPr>
              <w:t>III</w:t>
            </w:r>
          </w:p>
        </w:tc>
        <w:tc>
          <w:tcPr>
            <w:tcW w:w="1605" w:type="dxa"/>
            <w:vAlign w:val="center"/>
          </w:tcPr>
          <w:p w14:paraId="1209581A" w14:textId="77777777" w:rsidR="001C08A5" w:rsidRDefault="00000000">
            <w:pPr>
              <w:spacing w:line="360" w:lineRule="auto"/>
              <w:jc w:val="center"/>
              <w:rPr>
                <w:b/>
                <w:i/>
                <w:iCs/>
                <w:sz w:val="22"/>
                <w:szCs w:val="22"/>
              </w:rPr>
            </w:pPr>
            <w:r>
              <w:rPr>
                <w:b/>
                <w:i/>
                <w:iCs/>
                <w:sz w:val="22"/>
                <w:szCs w:val="22"/>
              </w:rPr>
              <w:t>3</w:t>
            </w:r>
          </w:p>
        </w:tc>
        <w:tc>
          <w:tcPr>
            <w:tcW w:w="1607" w:type="dxa"/>
            <w:vAlign w:val="center"/>
          </w:tcPr>
          <w:p w14:paraId="0B859A24" w14:textId="77777777" w:rsidR="001C08A5" w:rsidRDefault="00000000">
            <w:pPr>
              <w:spacing w:line="360" w:lineRule="auto"/>
              <w:jc w:val="center"/>
              <w:rPr>
                <w:b/>
                <w:i/>
                <w:iCs/>
                <w:sz w:val="22"/>
                <w:szCs w:val="22"/>
              </w:rPr>
            </w:pPr>
            <w:r>
              <w:rPr>
                <w:b/>
                <w:i/>
                <w:iCs/>
                <w:sz w:val="22"/>
                <w:szCs w:val="22"/>
              </w:rPr>
              <w:t>7.000</w:t>
            </w:r>
          </w:p>
        </w:tc>
        <w:tc>
          <w:tcPr>
            <w:tcW w:w="1605" w:type="dxa"/>
            <w:vAlign w:val="center"/>
          </w:tcPr>
          <w:p w14:paraId="1F770F80" w14:textId="77777777" w:rsidR="001C08A5" w:rsidRDefault="00000000">
            <w:pPr>
              <w:spacing w:line="360" w:lineRule="auto"/>
              <w:jc w:val="center"/>
              <w:rPr>
                <w:b/>
                <w:i/>
                <w:iCs/>
                <w:sz w:val="22"/>
                <w:szCs w:val="22"/>
              </w:rPr>
            </w:pPr>
            <w:r>
              <w:rPr>
                <w:b/>
                <w:i/>
                <w:iCs/>
                <w:sz w:val="22"/>
                <w:szCs w:val="22"/>
              </w:rPr>
              <w:t>5.500</w:t>
            </w:r>
          </w:p>
        </w:tc>
        <w:tc>
          <w:tcPr>
            <w:tcW w:w="1606" w:type="dxa"/>
            <w:vAlign w:val="center"/>
          </w:tcPr>
          <w:p w14:paraId="359A72B9" w14:textId="77777777" w:rsidR="001C08A5" w:rsidRDefault="00000000">
            <w:pPr>
              <w:spacing w:line="360" w:lineRule="auto"/>
              <w:jc w:val="center"/>
              <w:rPr>
                <w:i/>
                <w:iCs/>
                <w:sz w:val="22"/>
                <w:szCs w:val="22"/>
              </w:rPr>
            </w:pPr>
            <w:r>
              <w:rPr>
                <w:b/>
                <w:i/>
                <w:iCs/>
                <w:sz w:val="22"/>
                <w:szCs w:val="22"/>
              </w:rPr>
              <w:t>3.500</w:t>
            </w:r>
          </w:p>
        </w:tc>
      </w:tr>
      <w:tr w:rsidR="001C08A5" w14:paraId="2C927E6E" w14:textId="77777777">
        <w:tc>
          <w:tcPr>
            <w:tcW w:w="1602" w:type="dxa"/>
            <w:vMerge/>
            <w:vAlign w:val="center"/>
          </w:tcPr>
          <w:p w14:paraId="28760DC2" w14:textId="77777777" w:rsidR="001C08A5" w:rsidRDefault="001C08A5">
            <w:pPr>
              <w:spacing w:line="360" w:lineRule="auto"/>
              <w:jc w:val="center"/>
              <w:rPr>
                <w:i/>
                <w:iCs/>
                <w:sz w:val="22"/>
                <w:szCs w:val="22"/>
              </w:rPr>
            </w:pPr>
          </w:p>
        </w:tc>
        <w:tc>
          <w:tcPr>
            <w:tcW w:w="1604" w:type="dxa"/>
            <w:vAlign w:val="center"/>
          </w:tcPr>
          <w:p w14:paraId="53FA94FB" w14:textId="77777777" w:rsidR="001C08A5" w:rsidRDefault="00000000">
            <w:pPr>
              <w:spacing w:line="360" w:lineRule="auto"/>
              <w:jc w:val="center"/>
              <w:rPr>
                <w:b/>
                <w:i/>
                <w:iCs/>
                <w:sz w:val="22"/>
                <w:szCs w:val="22"/>
              </w:rPr>
            </w:pPr>
            <w:r>
              <w:rPr>
                <w:b/>
                <w:i/>
                <w:iCs/>
                <w:sz w:val="22"/>
                <w:szCs w:val="22"/>
              </w:rPr>
              <w:t>IV</w:t>
            </w:r>
          </w:p>
        </w:tc>
        <w:tc>
          <w:tcPr>
            <w:tcW w:w="1605" w:type="dxa"/>
            <w:vAlign w:val="center"/>
          </w:tcPr>
          <w:p w14:paraId="4F324DCB" w14:textId="77777777" w:rsidR="001C08A5" w:rsidRDefault="00000000">
            <w:pPr>
              <w:spacing w:line="360" w:lineRule="auto"/>
              <w:jc w:val="center"/>
              <w:rPr>
                <w:b/>
                <w:i/>
                <w:iCs/>
                <w:sz w:val="22"/>
                <w:szCs w:val="22"/>
              </w:rPr>
            </w:pPr>
            <w:r>
              <w:rPr>
                <w:b/>
                <w:i/>
                <w:iCs/>
                <w:sz w:val="22"/>
                <w:szCs w:val="22"/>
              </w:rPr>
              <w:t>2</w:t>
            </w:r>
          </w:p>
        </w:tc>
        <w:tc>
          <w:tcPr>
            <w:tcW w:w="1607" w:type="dxa"/>
            <w:vAlign w:val="center"/>
          </w:tcPr>
          <w:p w14:paraId="57DF366B" w14:textId="77777777" w:rsidR="001C08A5" w:rsidRDefault="00000000">
            <w:pPr>
              <w:spacing w:line="360" w:lineRule="auto"/>
              <w:jc w:val="center"/>
              <w:rPr>
                <w:b/>
                <w:i/>
                <w:iCs/>
                <w:sz w:val="22"/>
                <w:szCs w:val="22"/>
              </w:rPr>
            </w:pPr>
            <w:r>
              <w:rPr>
                <w:b/>
                <w:i/>
                <w:iCs/>
                <w:sz w:val="22"/>
                <w:szCs w:val="22"/>
              </w:rPr>
              <w:t>3.500</w:t>
            </w:r>
          </w:p>
        </w:tc>
        <w:tc>
          <w:tcPr>
            <w:tcW w:w="1605" w:type="dxa"/>
            <w:vAlign w:val="center"/>
          </w:tcPr>
          <w:p w14:paraId="29378043" w14:textId="77777777" w:rsidR="001C08A5" w:rsidRDefault="00000000">
            <w:pPr>
              <w:spacing w:line="360" w:lineRule="auto"/>
              <w:jc w:val="center"/>
              <w:rPr>
                <w:b/>
                <w:i/>
                <w:iCs/>
                <w:sz w:val="22"/>
                <w:szCs w:val="22"/>
              </w:rPr>
            </w:pPr>
            <w:r>
              <w:rPr>
                <w:b/>
                <w:i/>
                <w:iCs/>
                <w:sz w:val="22"/>
                <w:szCs w:val="22"/>
              </w:rPr>
              <w:t>2.000</w:t>
            </w:r>
          </w:p>
        </w:tc>
        <w:tc>
          <w:tcPr>
            <w:tcW w:w="1606" w:type="dxa"/>
            <w:vAlign w:val="center"/>
          </w:tcPr>
          <w:p w14:paraId="51405890" w14:textId="77777777" w:rsidR="001C08A5" w:rsidRDefault="00000000">
            <w:pPr>
              <w:spacing w:line="360" w:lineRule="auto"/>
              <w:jc w:val="center"/>
              <w:rPr>
                <w:i/>
                <w:iCs/>
                <w:sz w:val="22"/>
                <w:szCs w:val="22"/>
              </w:rPr>
            </w:pPr>
            <w:r>
              <w:rPr>
                <w:b/>
                <w:i/>
                <w:iCs/>
                <w:sz w:val="22"/>
                <w:szCs w:val="22"/>
              </w:rPr>
              <w:t>Nu se admit</w:t>
            </w:r>
          </w:p>
        </w:tc>
      </w:tr>
      <w:tr w:rsidR="001C08A5" w14:paraId="65A4E419" w14:textId="77777777">
        <w:tc>
          <w:tcPr>
            <w:tcW w:w="1602" w:type="dxa"/>
            <w:vMerge/>
            <w:vAlign w:val="center"/>
          </w:tcPr>
          <w:p w14:paraId="0B090DF1" w14:textId="77777777" w:rsidR="001C08A5" w:rsidRDefault="001C08A5">
            <w:pPr>
              <w:spacing w:line="360" w:lineRule="auto"/>
              <w:jc w:val="center"/>
              <w:rPr>
                <w:i/>
                <w:iCs/>
                <w:sz w:val="22"/>
                <w:szCs w:val="22"/>
              </w:rPr>
            </w:pPr>
          </w:p>
        </w:tc>
        <w:tc>
          <w:tcPr>
            <w:tcW w:w="1604" w:type="dxa"/>
            <w:vAlign w:val="center"/>
          </w:tcPr>
          <w:p w14:paraId="75689111" w14:textId="77777777" w:rsidR="001C08A5" w:rsidRDefault="00000000">
            <w:pPr>
              <w:spacing w:line="360" w:lineRule="auto"/>
              <w:jc w:val="center"/>
              <w:rPr>
                <w:b/>
                <w:i/>
                <w:iCs/>
                <w:sz w:val="22"/>
                <w:szCs w:val="22"/>
              </w:rPr>
            </w:pPr>
            <w:r>
              <w:rPr>
                <w:b/>
                <w:i/>
                <w:iCs/>
                <w:sz w:val="22"/>
                <w:szCs w:val="22"/>
              </w:rPr>
              <w:t>V</w:t>
            </w:r>
          </w:p>
        </w:tc>
        <w:tc>
          <w:tcPr>
            <w:tcW w:w="1605" w:type="dxa"/>
            <w:vAlign w:val="center"/>
          </w:tcPr>
          <w:p w14:paraId="4792340F" w14:textId="77777777" w:rsidR="001C08A5" w:rsidRDefault="00000000">
            <w:pPr>
              <w:spacing w:line="360" w:lineRule="auto"/>
              <w:jc w:val="center"/>
              <w:rPr>
                <w:b/>
                <w:i/>
                <w:iCs/>
                <w:sz w:val="22"/>
                <w:szCs w:val="22"/>
              </w:rPr>
            </w:pPr>
            <w:r>
              <w:rPr>
                <w:b/>
                <w:i/>
                <w:iCs/>
                <w:sz w:val="22"/>
                <w:szCs w:val="22"/>
              </w:rPr>
              <w:t>1</w:t>
            </w:r>
          </w:p>
        </w:tc>
        <w:tc>
          <w:tcPr>
            <w:tcW w:w="1607" w:type="dxa"/>
            <w:vAlign w:val="center"/>
          </w:tcPr>
          <w:p w14:paraId="4EE3F917" w14:textId="77777777" w:rsidR="001C08A5" w:rsidRDefault="00000000">
            <w:pPr>
              <w:spacing w:line="360" w:lineRule="auto"/>
              <w:jc w:val="center"/>
              <w:rPr>
                <w:b/>
                <w:i/>
                <w:iCs/>
                <w:sz w:val="22"/>
                <w:szCs w:val="22"/>
              </w:rPr>
            </w:pPr>
            <w:r>
              <w:rPr>
                <w:b/>
                <w:i/>
                <w:iCs/>
                <w:sz w:val="22"/>
                <w:szCs w:val="22"/>
              </w:rPr>
              <w:t>1.500</w:t>
            </w:r>
          </w:p>
        </w:tc>
        <w:tc>
          <w:tcPr>
            <w:tcW w:w="3211" w:type="dxa"/>
            <w:gridSpan w:val="2"/>
            <w:vAlign w:val="center"/>
          </w:tcPr>
          <w:p w14:paraId="1AD7D8CD" w14:textId="77777777" w:rsidR="001C08A5" w:rsidRDefault="00000000">
            <w:pPr>
              <w:spacing w:line="360" w:lineRule="auto"/>
              <w:jc w:val="center"/>
              <w:rPr>
                <w:i/>
                <w:iCs/>
                <w:sz w:val="22"/>
                <w:szCs w:val="22"/>
              </w:rPr>
            </w:pPr>
            <w:r>
              <w:rPr>
                <w:b/>
                <w:i/>
                <w:iCs/>
                <w:sz w:val="22"/>
                <w:szCs w:val="22"/>
              </w:rPr>
              <w:t>Nu se admit</w:t>
            </w:r>
          </w:p>
        </w:tc>
      </w:tr>
      <w:tr w:rsidR="001C08A5" w14:paraId="44D26F14" w14:textId="77777777">
        <w:tc>
          <w:tcPr>
            <w:tcW w:w="1602" w:type="dxa"/>
            <w:vMerge w:val="restart"/>
            <w:vAlign w:val="center"/>
          </w:tcPr>
          <w:p w14:paraId="01CF72B2" w14:textId="77777777" w:rsidR="001C08A5" w:rsidRDefault="001C08A5">
            <w:pPr>
              <w:spacing w:line="360" w:lineRule="auto"/>
              <w:jc w:val="center"/>
              <w:rPr>
                <w:b/>
                <w:i/>
                <w:iCs/>
                <w:sz w:val="22"/>
                <w:szCs w:val="22"/>
              </w:rPr>
            </w:pPr>
          </w:p>
          <w:p w14:paraId="0E6FC174" w14:textId="77777777" w:rsidR="001C08A5" w:rsidRDefault="00000000">
            <w:pPr>
              <w:spacing w:line="360" w:lineRule="auto"/>
              <w:jc w:val="center"/>
              <w:rPr>
                <w:i/>
                <w:iCs/>
                <w:sz w:val="22"/>
                <w:szCs w:val="22"/>
              </w:rPr>
            </w:pPr>
            <w:r>
              <w:rPr>
                <w:b/>
                <w:i/>
                <w:iCs/>
                <w:sz w:val="22"/>
                <w:szCs w:val="22"/>
              </w:rPr>
              <w:t>Mic</w:t>
            </w:r>
          </w:p>
        </w:tc>
        <w:tc>
          <w:tcPr>
            <w:tcW w:w="1604" w:type="dxa"/>
            <w:vAlign w:val="center"/>
          </w:tcPr>
          <w:p w14:paraId="705D27C0" w14:textId="77777777" w:rsidR="001C08A5" w:rsidRDefault="00000000">
            <w:pPr>
              <w:spacing w:line="360" w:lineRule="auto"/>
              <w:jc w:val="center"/>
              <w:rPr>
                <w:b/>
                <w:i/>
                <w:iCs/>
                <w:sz w:val="22"/>
                <w:szCs w:val="22"/>
              </w:rPr>
            </w:pPr>
            <w:r>
              <w:rPr>
                <w:b/>
                <w:i/>
                <w:iCs/>
                <w:sz w:val="22"/>
                <w:szCs w:val="22"/>
              </w:rPr>
              <w:t>I - II</w:t>
            </w:r>
          </w:p>
        </w:tc>
        <w:tc>
          <w:tcPr>
            <w:tcW w:w="6423" w:type="dxa"/>
            <w:gridSpan w:val="4"/>
            <w:vAlign w:val="center"/>
          </w:tcPr>
          <w:p w14:paraId="40CAF2D3" w14:textId="77777777" w:rsidR="001C08A5" w:rsidRDefault="00000000">
            <w:pPr>
              <w:spacing w:line="360" w:lineRule="auto"/>
              <w:jc w:val="center"/>
              <w:rPr>
                <w:i/>
                <w:iCs/>
                <w:sz w:val="22"/>
                <w:szCs w:val="22"/>
              </w:rPr>
            </w:pPr>
            <w:r>
              <w:rPr>
                <w:b/>
                <w:i/>
                <w:iCs/>
                <w:sz w:val="22"/>
                <w:szCs w:val="22"/>
              </w:rPr>
              <w:t>Nelimitată</w:t>
            </w:r>
          </w:p>
        </w:tc>
      </w:tr>
      <w:tr w:rsidR="001C08A5" w14:paraId="59519B41" w14:textId="77777777">
        <w:tc>
          <w:tcPr>
            <w:tcW w:w="1602" w:type="dxa"/>
            <w:vMerge/>
            <w:vAlign w:val="center"/>
          </w:tcPr>
          <w:p w14:paraId="57FC37B8" w14:textId="77777777" w:rsidR="001C08A5" w:rsidRDefault="001C08A5">
            <w:pPr>
              <w:spacing w:line="360" w:lineRule="auto"/>
              <w:jc w:val="center"/>
              <w:rPr>
                <w:i/>
                <w:iCs/>
                <w:sz w:val="22"/>
                <w:szCs w:val="22"/>
              </w:rPr>
            </w:pPr>
          </w:p>
        </w:tc>
        <w:tc>
          <w:tcPr>
            <w:tcW w:w="1604" w:type="dxa"/>
            <w:vAlign w:val="center"/>
          </w:tcPr>
          <w:p w14:paraId="01F26570" w14:textId="77777777" w:rsidR="001C08A5" w:rsidRDefault="00000000">
            <w:pPr>
              <w:spacing w:line="360" w:lineRule="auto"/>
              <w:jc w:val="center"/>
              <w:rPr>
                <w:b/>
                <w:i/>
                <w:iCs/>
                <w:sz w:val="22"/>
                <w:szCs w:val="22"/>
              </w:rPr>
            </w:pPr>
            <w:r>
              <w:rPr>
                <w:b/>
                <w:i/>
                <w:iCs/>
                <w:sz w:val="22"/>
                <w:szCs w:val="22"/>
              </w:rPr>
              <w:t>III</w:t>
            </w:r>
          </w:p>
        </w:tc>
        <w:tc>
          <w:tcPr>
            <w:tcW w:w="1605" w:type="dxa"/>
            <w:vAlign w:val="center"/>
          </w:tcPr>
          <w:p w14:paraId="4B2A3A20" w14:textId="77777777" w:rsidR="001C08A5" w:rsidRDefault="00000000">
            <w:pPr>
              <w:spacing w:line="360" w:lineRule="auto"/>
              <w:jc w:val="center"/>
              <w:rPr>
                <w:b/>
                <w:i/>
                <w:iCs/>
                <w:sz w:val="22"/>
                <w:szCs w:val="22"/>
              </w:rPr>
            </w:pPr>
            <w:r>
              <w:rPr>
                <w:b/>
                <w:i/>
                <w:iCs/>
                <w:sz w:val="22"/>
                <w:szCs w:val="22"/>
              </w:rPr>
              <w:t>3</w:t>
            </w:r>
          </w:p>
        </w:tc>
        <w:tc>
          <w:tcPr>
            <w:tcW w:w="1607" w:type="dxa"/>
            <w:vAlign w:val="center"/>
          </w:tcPr>
          <w:p w14:paraId="2E04BF8F" w14:textId="77777777" w:rsidR="001C08A5" w:rsidRDefault="00000000">
            <w:pPr>
              <w:spacing w:line="360" w:lineRule="auto"/>
              <w:jc w:val="center"/>
              <w:rPr>
                <w:b/>
                <w:i/>
                <w:iCs/>
                <w:sz w:val="22"/>
                <w:szCs w:val="22"/>
              </w:rPr>
            </w:pPr>
            <w:r>
              <w:rPr>
                <w:b/>
                <w:i/>
                <w:iCs/>
                <w:sz w:val="22"/>
                <w:szCs w:val="22"/>
              </w:rPr>
              <w:t>7.800</w:t>
            </w:r>
          </w:p>
        </w:tc>
        <w:tc>
          <w:tcPr>
            <w:tcW w:w="1605" w:type="dxa"/>
            <w:vAlign w:val="center"/>
          </w:tcPr>
          <w:p w14:paraId="0735AAF1" w14:textId="77777777" w:rsidR="001C08A5" w:rsidRDefault="00000000">
            <w:pPr>
              <w:spacing w:line="360" w:lineRule="auto"/>
              <w:jc w:val="center"/>
              <w:rPr>
                <w:b/>
                <w:i/>
                <w:iCs/>
                <w:sz w:val="22"/>
                <w:szCs w:val="22"/>
              </w:rPr>
            </w:pPr>
            <w:r>
              <w:rPr>
                <w:b/>
                <w:i/>
                <w:iCs/>
                <w:sz w:val="22"/>
                <w:szCs w:val="22"/>
              </w:rPr>
              <w:t>6.500</w:t>
            </w:r>
          </w:p>
        </w:tc>
        <w:tc>
          <w:tcPr>
            <w:tcW w:w="1606" w:type="dxa"/>
            <w:vAlign w:val="center"/>
          </w:tcPr>
          <w:p w14:paraId="30EB98CC" w14:textId="77777777" w:rsidR="001C08A5" w:rsidRDefault="00000000">
            <w:pPr>
              <w:spacing w:line="360" w:lineRule="auto"/>
              <w:jc w:val="center"/>
              <w:rPr>
                <w:i/>
                <w:iCs/>
                <w:sz w:val="22"/>
                <w:szCs w:val="22"/>
              </w:rPr>
            </w:pPr>
            <w:r>
              <w:rPr>
                <w:b/>
                <w:i/>
                <w:iCs/>
                <w:sz w:val="22"/>
                <w:szCs w:val="22"/>
              </w:rPr>
              <w:t>5.000</w:t>
            </w:r>
          </w:p>
        </w:tc>
      </w:tr>
      <w:tr w:rsidR="001C08A5" w14:paraId="40A04242" w14:textId="77777777">
        <w:tc>
          <w:tcPr>
            <w:tcW w:w="1602" w:type="dxa"/>
            <w:vMerge/>
            <w:vAlign w:val="center"/>
          </w:tcPr>
          <w:p w14:paraId="2ABE01F4" w14:textId="77777777" w:rsidR="001C08A5" w:rsidRDefault="001C08A5">
            <w:pPr>
              <w:spacing w:line="360" w:lineRule="auto"/>
              <w:jc w:val="center"/>
              <w:rPr>
                <w:i/>
                <w:iCs/>
                <w:sz w:val="22"/>
                <w:szCs w:val="22"/>
              </w:rPr>
            </w:pPr>
          </w:p>
        </w:tc>
        <w:tc>
          <w:tcPr>
            <w:tcW w:w="1604" w:type="dxa"/>
            <w:vAlign w:val="center"/>
          </w:tcPr>
          <w:p w14:paraId="565DB259" w14:textId="77777777" w:rsidR="001C08A5" w:rsidRDefault="00000000">
            <w:pPr>
              <w:spacing w:line="360" w:lineRule="auto"/>
              <w:jc w:val="center"/>
              <w:rPr>
                <w:b/>
                <w:i/>
                <w:iCs/>
                <w:sz w:val="22"/>
                <w:szCs w:val="22"/>
              </w:rPr>
            </w:pPr>
            <w:r>
              <w:rPr>
                <w:b/>
                <w:i/>
                <w:iCs/>
                <w:sz w:val="22"/>
                <w:szCs w:val="22"/>
              </w:rPr>
              <w:t>IV</w:t>
            </w:r>
          </w:p>
        </w:tc>
        <w:tc>
          <w:tcPr>
            <w:tcW w:w="1605" w:type="dxa"/>
            <w:vAlign w:val="center"/>
          </w:tcPr>
          <w:p w14:paraId="638FEFD3" w14:textId="77777777" w:rsidR="001C08A5" w:rsidRDefault="00000000">
            <w:pPr>
              <w:spacing w:line="360" w:lineRule="auto"/>
              <w:jc w:val="center"/>
              <w:rPr>
                <w:b/>
                <w:i/>
                <w:iCs/>
                <w:sz w:val="22"/>
                <w:szCs w:val="22"/>
              </w:rPr>
            </w:pPr>
            <w:r>
              <w:rPr>
                <w:b/>
                <w:i/>
                <w:iCs/>
                <w:sz w:val="22"/>
                <w:szCs w:val="22"/>
              </w:rPr>
              <w:t>2</w:t>
            </w:r>
          </w:p>
        </w:tc>
        <w:tc>
          <w:tcPr>
            <w:tcW w:w="1607" w:type="dxa"/>
            <w:vAlign w:val="center"/>
          </w:tcPr>
          <w:p w14:paraId="23F05648" w14:textId="77777777" w:rsidR="001C08A5" w:rsidRDefault="00000000">
            <w:pPr>
              <w:spacing w:line="360" w:lineRule="auto"/>
              <w:jc w:val="center"/>
              <w:rPr>
                <w:b/>
                <w:i/>
                <w:iCs/>
                <w:sz w:val="22"/>
                <w:szCs w:val="22"/>
              </w:rPr>
            </w:pPr>
            <w:r>
              <w:rPr>
                <w:b/>
                <w:i/>
                <w:iCs/>
                <w:sz w:val="22"/>
                <w:szCs w:val="22"/>
              </w:rPr>
              <w:t>3.500</w:t>
            </w:r>
          </w:p>
        </w:tc>
        <w:tc>
          <w:tcPr>
            <w:tcW w:w="1605" w:type="dxa"/>
            <w:vAlign w:val="center"/>
          </w:tcPr>
          <w:p w14:paraId="562ADFD2" w14:textId="77777777" w:rsidR="001C08A5" w:rsidRDefault="00000000">
            <w:pPr>
              <w:spacing w:line="360" w:lineRule="auto"/>
              <w:jc w:val="center"/>
              <w:rPr>
                <w:b/>
                <w:i/>
                <w:iCs/>
                <w:sz w:val="22"/>
                <w:szCs w:val="22"/>
              </w:rPr>
            </w:pPr>
            <w:r>
              <w:rPr>
                <w:b/>
                <w:i/>
                <w:iCs/>
                <w:sz w:val="22"/>
                <w:szCs w:val="22"/>
              </w:rPr>
              <w:t>2.600</w:t>
            </w:r>
          </w:p>
        </w:tc>
        <w:tc>
          <w:tcPr>
            <w:tcW w:w="1606" w:type="dxa"/>
            <w:vAlign w:val="center"/>
          </w:tcPr>
          <w:p w14:paraId="45D9690F" w14:textId="77777777" w:rsidR="001C08A5" w:rsidRDefault="00000000">
            <w:pPr>
              <w:spacing w:line="360" w:lineRule="auto"/>
              <w:jc w:val="center"/>
              <w:rPr>
                <w:i/>
                <w:iCs/>
                <w:sz w:val="22"/>
                <w:szCs w:val="22"/>
              </w:rPr>
            </w:pPr>
            <w:r>
              <w:rPr>
                <w:b/>
                <w:i/>
                <w:iCs/>
                <w:sz w:val="22"/>
                <w:szCs w:val="22"/>
              </w:rPr>
              <w:t>Nu se admit</w:t>
            </w:r>
          </w:p>
        </w:tc>
      </w:tr>
      <w:tr w:rsidR="001C08A5" w14:paraId="238CEC8D" w14:textId="77777777">
        <w:tc>
          <w:tcPr>
            <w:tcW w:w="1602" w:type="dxa"/>
            <w:vMerge/>
            <w:vAlign w:val="center"/>
          </w:tcPr>
          <w:p w14:paraId="5F1AC7B3" w14:textId="77777777" w:rsidR="001C08A5" w:rsidRDefault="001C08A5">
            <w:pPr>
              <w:spacing w:line="360" w:lineRule="auto"/>
              <w:jc w:val="center"/>
              <w:rPr>
                <w:i/>
                <w:iCs/>
                <w:sz w:val="22"/>
                <w:szCs w:val="22"/>
              </w:rPr>
            </w:pPr>
          </w:p>
        </w:tc>
        <w:tc>
          <w:tcPr>
            <w:tcW w:w="1604" w:type="dxa"/>
            <w:vAlign w:val="center"/>
          </w:tcPr>
          <w:p w14:paraId="216C032F" w14:textId="77777777" w:rsidR="001C08A5" w:rsidRDefault="00000000">
            <w:pPr>
              <w:spacing w:line="360" w:lineRule="auto"/>
              <w:jc w:val="center"/>
              <w:rPr>
                <w:b/>
                <w:i/>
                <w:iCs/>
                <w:sz w:val="22"/>
                <w:szCs w:val="22"/>
              </w:rPr>
            </w:pPr>
            <w:r>
              <w:rPr>
                <w:b/>
                <w:i/>
                <w:iCs/>
                <w:sz w:val="22"/>
                <w:szCs w:val="22"/>
              </w:rPr>
              <w:t>V</w:t>
            </w:r>
          </w:p>
        </w:tc>
        <w:tc>
          <w:tcPr>
            <w:tcW w:w="1605" w:type="dxa"/>
            <w:vAlign w:val="center"/>
          </w:tcPr>
          <w:p w14:paraId="47C2DDCB" w14:textId="77777777" w:rsidR="001C08A5" w:rsidRDefault="00000000">
            <w:pPr>
              <w:spacing w:line="360" w:lineRule="auto"/>
              <w:jc w:val="center"/>
              <w:rPr>
                <w:b/>
                <w:i/>
                <w:iCs/>
                <w:sz w:val="22"/>
                <w:szCs w:val="22"/>
              </w:rPr>
            </w:pPr>
            <w:r>
              <w:rPr>
                <w:b/>
                <w:i/>
                <w:iCs/>
                <w:sz w:val="22"/>
                <w:szCs w:val="22"/>
              </w:rPr>
              <w:t>2</w:t>
            </w:r>
          </w:p>
        </w:tc>
        <w:tc>
          <w:tcPr>
            <w:tcW w:w="1607" w:type="dxa"/>
            <w:vAlign w:val="center"/>
          </w:tcPr>
          <w:p w14:paraId="19C385AC" w14:textId="77777777" w:rsidR="001C08A5" w:rsidRDefault="00000000">
            <w:pPr>
              <w:spacing w:line="360" w:lineRule="auto"/>
              <w:jc w:val="center"/>
              <w:rPr>
                <w:b/>
                <w:i/>
                <w:iCs/>
                <w:sz w:val="22"/>
                <w:szCs w:val="22"/>
              </w:rPr>
            </w:pPr>
            <w:r>
              <w:rPr>
                <w:b/>
                <w:i/>
                <w:iCs/>
                <w:sz w:val="22"/>
                <w:szCs w:val="22"/>
              </w:rPr>
              <w:t>2.600</w:t>
            </w:r>
          </w:p>
        </w:tc>
        <w:tc>
          <w:tcPr>
            <w:tcW w:w="1605" w:type="dxa"/>
            <w:vAlign w:val="center"/>
          </w:tcPr>
          <w:p w14:paraId="7CEBD18D" w14:textId="77777777" w:rsidR="001C08A5" w:rsidRDefault="00000000">
            <w:pPr>
              <w:spacing w:line="360" w:lineRule="auto"/>
              <w:jc w:val="center"/>
              <w:rPr>
                <w:b/>
                <w:i/>
                <w:iCs/>
                <w:sz w:val="22"/>
                <w:szCs w:val="22"/>
              </w:rPr>
            </w:pPr>
            <w:r>
              <w:rPr>
                <w:b/>
                <w:i/>
                <w:iCs/>
                <w:sz w:val="22"/>
                <w:szCs w:val="22"/>
              </w:rPr>
              <w:t>1.500</w:t>
            </w:r>
          </w:p>
        </w:tc>
        <w:tc>
          <w:tcPr>
            <w:tcW w:w="1606" w:type="dxa"/>
            <w:vAlign w:val="center"/>
          </w:tcPr>
          <w:p w14:paraId="7DD305A8" w14:textId="77777777" w:rsidR="001C08A5" w:rsidRDefault="00000000">
            <w:pPr>
              <w:spacing w:line="360" w:lineRule="auto"/>
              <w:jc w:val="center"/>
              <w:rPr>
                <w:i/>
                <w:iCs/>
                <w:sz w:val="22"/>
                <w:szCs w:val="22"/>
              </w:rPr>
            </w:pPr>
            <w:r>
              <w:rPr>
                <w:b/>
                <w:i/>
                <w:iCs/>
                <w:sz w:val="22"/>
                <w:szCs w:val="22"/>
              </w:rPr>
              <w:t>Nu se admit</w:t>
            </w:r>
          </w:p>
        </w:tc>
      </w:tr>
    </w:tbl>
    <w:p w14:paraId="705BB410" w14:textId="77777777" w:rsidR="001C08A5" w:rsidRDefault="00000000">
      <w:pPr>
        <w:jc w:val="both"/>
        <w:rPr>
          <w:i/>
          <w:sz w:val="22"/>
          <w:szCs w:val="22"/>
        </w:rPr>
      </w:pPr>
      <w:r>
        <w:rPr>
          <w:bCs/>
          <w:i/>
          <w:sz w:val="22"/>
          <w:szCs w:val="22"/>
          <w:u w:val="single"/>
        </w:rPr>
        <w:t>Note</w:t>
      </w:r>
      <w:r>
        <w:rPr>
          <w:i/>
          <w:sz w:val="22"/>
          <w:szCs w:val="22"/>
        </w:rPr>
        <w:t>:</w:t>
      </w:r>
    </w:p>
    <w:p w14:paraId="0917B7A9" w14:textId="77777777" w:rsidR="001C08A5" w:rsidRDefault="00000000">
      <w:pPr>
        <w:widowControl w:val="0"/>
        <w:jc w:val="both"/>
        <w:rPr>
          <w:b/>
          <w:i/>
          <w:sz w:val="22"/>
          <w:szCs w:val="22"/>
        </w:rPr>
      </w:pPr>
      <w:r>
        <w:rPr>
          <w:b/>
          <w:i/>
          <w:sz w:val="22"/>
          <w:szCs w:val="22"/>
        </w:rPr>
        <w:t>a)</w:t>
      </w:r>
      <w:r>
        <w:rPr>
          <w:i/>
          <w:sz w:val="22"/>
          <w:szCs w:val="22"/>
        </w:rPr>
        <w:t xml:space="preserve"> Ariile construite (Ac) se pot majora cu </w:t>
      </w:r>
      <w:r>
        <w:rPr>
          <w:b/>
          <w:bCs/>
          <w:i/>
          <w:sz w:val="22"/>
          <w:szCs w:val="22"/>
        </w:rPr>
        <w:t>100%</w:t>
      </w:r>
      <w:r>
        <w:rPr>
          <w:i/>
          <w:sz w:val="22"/>
          <w:szCs w:val="22"/>
        </w:rPr>
        <w:t xml:space="preserve"> la construcţiile și compartimentele de incendiu echipate cu instalaţii automate de stingere a incendiilor sau cu </w:t>
      </w:r>
      <w:r>
        <w:rPr>
          <w:b/>
          <w:bCs/>
          <w:i/>
          <w:sz w:val="22"/>
          <w:szCs w:val="22"/>
        </w:rPr>
        <w:t>25%</w:t>
      </w:r>
      <w:r>
        <w:rPr>
          <w:i/>
          <w:sz w:val="22"/>
          <w:szCs w:val="22"/>
        </w:rPr>
        <w:t xml:space="preserve"> pentru cele prevăzute cu instalaţii de detectare, semnalizare şi alarmare la incendiu cu acoperire totală. Majorările nu se cumulează.</w:t>
      </w:r>
    </w:p>
    <w:p w14:paraId="6DED8CF5" w14:textId="77777777" w:rsidR="001C08A5" w:rsidRDefault="00000000">
      <w:pPr>
        <w:jc w:val="both"/>
        <w:rPr>
          <w:i/>
          <w:sz w:val="22"/>
          <w:szCs w:val="22"/>
        </w:rPr>
      </w:pPr>
      <w:r>
        <w:rPr>
          <w:b/>
          <w:i/>
          <w:sz w:val="22"/>
          <w:szCs w:val="22"/>
        </w:rPr>
        <w:t xml:space="preserve">b) </w:t>
      </w:r>
      <w:r>
        <w:rPr>
          <w:i/>
          <w:sz w:val="22"/>
          <w:szCs w:val="22"/>
        </w:rPr>
        <w:t xml:space="preserve">La construcţiile de producţie şi/sau depozitare cu două niveluri supraterane din cadrul limitei de proprietate, atunci </w:t>
      </w:r>
      <w:r>
        <w:rPr>
          <w:i/>
          <w:iCs/>
          <w:sz w:val="22"/>
          <w:szCs w:val="22"/>
        </w:rPr>
        <w:t>când se prevăd</w:t>
      </w:r>
      <w:r>
        <w:rPr>
          <w:i/>
          <w:sz w:val="22"/>
          <w:szCs w:val="22"/>
        </w:rPr>
        <w:t xml:space="preserve"> instalaţii de detectare, semnalizare şi alarmare a incendiului cu acoperire totală, instalaţii automate de stingere a incendiilor </w:t>
      </w:r>
      <w:r>
        <w:rPr>
          <w:bCs/>
          <w:i/>
          <w:sz w:val="22"/>
          <w:szCs w:val="22"/>
        </w:rPr>
        <w:t>şi evacuare a fumului din circulațiile comune orizontale (coridoare/holuri) și casele de scări</w:t>
      </w:r>
      <w:r>
        <w:rPr>
          <w:i/>
          <w:iCs/>
          <w:sz w:val="22"/>
          <w:szCs w:val="22"/>
        </w:rPr>
        <w:t xml:space="preserve">, </w:t>
      </w:r>
      <w:r>
        <w:rPr>
          <w:i/>
          <w:sz w:val="22"/>
          <w:szCs w:val="22"/>
        </w:rPr>
        <w:t xml:space="preserve">investitorii sau beneficiarii pot mări aria compartimentului de incendiu în limitele admise pentru clădiri parter, dacă planşeul dintre parter și etaj este rezistent la foc minimum </w:t>
      </w:r>
      <w:r>
        <w:rPr>
          <w:b/>
          <w:i/>
          <w:sz w:val="22"/>
          <w:szCs w:val="22"/>
        </w:rPr>
        <w:t>REI 120</w:t>
      </w:r>
      <w:r>
        <w:rPr>
          <w:i/>
          <w:sz w:val="22"/>
          <w:szCs w:val="22"/>
        </w:rPr>
        <w:t xml:space="preserve"> şi eventualele goluri tehnologice din planşeul de separare sunt protejate cu elemente rezistente la foc minimum </w:t>
      </w:r>
      <w:r>
        <w:rPr>
          <w:b/>
          <w:bCs/>
          <w:i/>
          <w:sz w:val="22"/>
          <w:szCs w:val="22"/>
        </w:rPr>
        <w:t xml:space="preserve">EI 90 </w:t>
      </w:r>
      <w:r>
        <w:rPr>
          <w:i/>
          <w:sz w:val="22"/>
          <w:szCs w:val="22"/>
        </w:rPr>
        <w:t>cu închidere automată în caz de incendiu</w:t>
      </w:r>
    </w:p>
    <w:p w14:paraId="4D45868B" w14:textId="77777777" w:rsidR="001C08A5" w:rsidRDefault="00000000">
      <w:pPr>
        <w:jc w:val="both"/>
        <w:rPr>
          <w:b/>
          <w:i/>
          <w:sz w:val="24"/>
          <w:szCs w:val="24"/>
        </w:rPr>
      </w:pPr>
      <w:r>
        <w:rPr>
          <w:b/>
          <w:i/>
          <w:sz w:val="24"/>
          <w:szCs w:val="24"/>
        </w:rPr>
        <w:tab/>
      </w:r>
    </w:p>
    <w:p w14:paraId="7F475FEE" w14:textId="77777777" w:rsidR="001C08A5" w:rsidRDefault="00000000">
      <w:pPr>
        <w:ind w:firstLine="720"/>
        <w:jc w:val="both"/>
        <w:rPr>
          <w:sz w:val="24"/>
          <w:szCs w:val="24"/>
          <w:lang w:eastAsia="ro-RO"/>
        </w:rPr>
      </w:pPr>
      <w:r>
        <w:rPr>
          <w:b/>
          <w:sz w:val="24"/>
          <w:szCs w:val="24"/>
        </w:rPr>
        <w:t xml:space="preserve">Art. 6.1.2.3. (1) </w:t>
      </w:r>
      <w:r>
        <w:rPr>
          <w:sz w:val="24"/>
          <w:szCs w:val="24"/>
        </w:rPr>
        <w:t>L</w:t>
      </w:r>
      <w:r>
        <w:rPr>
          <w:sz w:val="24"/>
          <w:szCs w:val="24"/>
          <w:lang w:eastAsia="ro-RO"/>
        </w:rPr>
        <w:t xml:space="preserve">a conformarea </w:t>
      </w:r>
      <w:r>
        <w:rPr>
          <w:sz w:val="24"/>
          <w:szCs w:val="24"/>
        </w:rPr>
        <w:t>construcţiilor şi compartimentelor de incendiu supraterane de producţie şi/sau depozitare</w:t>
      </w:r>
      <w:r>
        <w:rPr>
          <w:sz w:val="24"/>
          <w:szCs w:val="24"/>
          <w:lang w:eastAsia="ro-RO"/>
        </w:rPr>
        <w:t xml:space="preserve"> se vor avea în vedere </w:t>
      </w:r>
      <w:r>
        <w:rPr>
          <w:sz w:val="24"/>
          <w:szCs w:val="24"/>
        </w:rPr>
        <w:t>prevederile privind performanțele comune ale construcțiilor cu orice destinație</w:t>
      </w:r>
      <w:r>
        <w:rPr>
          <w:sz w:val="24"/>
          <w:szCs w:val="24"/>
          <w:lang w:eastAsia="ro-RO"/>
        </w:rPr>
        <w:t xml:space="preserve"> și celor comune și specifice </w:t>
      </w:r>
      <w:r>
        <w:rPr>
          <w:sz w:val="24"/>
          <w:szCs w:val="24"/>
        </w:rPr>
        <w:t>construcţiilor supraterane de producţie şi/sau depozitare (</w:t>
      </w:r>
      <w:r>
        <w:rPr>
          <w:b/>
          <w:sz w:val="24"/>
          <w:szCs w:val="24"/>
        </w:rPr>
        <w:t>Art.</w:t>
      </w:r>
      <w:r>
        <w:rPr>
          <w:b/>
          <w:bCs/>
          <w:sz w:val="24"/>
          <w:szCs w:val="24"/>
        </w:rPr>
        <w:t xml:space="preserve"> 2.2.2.1. ÷ 2.2.2.4</w:t>
      </w:r>
      <w:r>
        <w:rPr>
          <w:b/>
          <w:sz w:val="24"/>
          <w:szCs w:val="24"/>
        </w:rPr>
        <w:t>. și Art. 6.1.2.2.</w:t>
      </w:r>
      <w:r>
        <w:rPr>
          <w:sz w:val="24"/>
          <w:szCs w:val="24"/>
        </w:rPr>
        <w:t>).</w:t>
      </w:r>
    </w:p>
    <w:p w14:paraId="70381AB4" w14:textId="77777777" w:rsidR="001C08A5" w:rsidRDefault="00000000">
      <w:pPr>
        <w:ind w:firstLine="720"/>
        <w:jc w:val="both"/>
        <w:rPr>
          <w:sz w:val="24"/>
          <w:szCs w:val="24"/>
        </w:rPr>
      </w:pPr>
      <w:r>
        <w:rPr>
          <w:b/>
          <w:sz w:val="24"/>
          <w:szCs w:val="24"/>
        </w:rPr>
        <w:t xml:space="preserve">(2) </w:t>
      </w:r>
      <w:r>
        <w:rPr>
          <w:sz w:val="24"/>
          <w:szCs w:val="24"/>
        </w:rPr>
        <w:t xml:space="preserve">Construcţiile de producţie şi/sau depozitare vor fi conformate astfel încât să îndeplinească condiţiile de corelare între nivelul de stabilitate la incendiu asigurat (conform prevederilor din </w:t>
      </w:r>
      <w:r>
        <w:rPr>
          <w:b/>
          <w:sz w:val="24"/>
          <w:szCs w:val="24"/>
        </w:rPr>
        <w:t>Art.</w:t>
      </w:r>
      <w:r>
        <w:rPr>
          <w:b/>
          <w:bCs/>
          <w:sz w:val="24"/>
          <w:szCs w:val="24"/>
        </w:rPr>
        <w:t xml:space="preserve"> </w:t>
      </w:r>
      <w:r>
        <w:rPr>
          <w:b/>
          <w:bCs/>
          <w:sz w:val="24"/>
          <w:szCs w:val="24"/>
        </w:rPr>
        <w:lastRenderedPageBreak/>
        <w:t>2.1.3.</w:t>
      </w:r>
      <w:r>
        <w:rPr>
          <w:b/>
          <w:sz w:val="24"/>
          <w:szCs w:val="24"/>
        </w:rPr>
        <w:t xml:space="preserve">2. </w:t>
      </w:r>
      <w:r>
        <w:rPr>
          <w:sz w:val="24"/>
          <w:szCs w:val="24"/>
        </w:rPr>
        <w:t xml:space="preserve">şi </w:t>
      </w:r>
      <w:r>
        <w:rPr>
          <w:b/>
          <w:bCs/>
          <w:i/>
          <w:iCs/>
          <w:sz w:val="24"/>
          <w:szCs w:val="24"/>
        </w:rPr>
        <w:fldChar w:fldCharType="begin"/>
      </w:r>
      <w:r>
        <w:rPr>
          <w:b/>
          <w:bCs/>
          <w:i/>
          <w:iCs/>
          <w:sz w:val="24"/>
          <w:szCs w:val="24"/>
        </w:rPr>
        <w:instrText xml:space="preserve"> REF _Ref11612 \h </w:instrText>
      </w:r>
      <w:r>
        <w:rPr>
          <w:b/>
          <w:bCs/>
          <w:i/>
          <w:iCs/>
          <w:sz w:val="24"/>
          <w:szCs w:val="24"/>
        </w:rPr>
      </w:r>
      <w:r>
        <w:rPr>
          <w:b/>
          <w:bCs/>
          <w:i/>
          <w:iCs/>
          <w:sz w:val="24"/>
          <w:szCs w:val="24"/>
        </w:rPr>
        <w:fldChar w:fldCharType="separate"/>
      </w:r>
      <w:r>
        <w:t>Tabelul 3</w:t>
      </w:r>
      <w:r>
        <w:rPr>
          <w:b/>
          <w:bCs/>
          <w:i/>
          <w:iCs/>
          <w:sz w:val="24"/>
          <w:szCs w:val="24"/>
        </w:rPr>
        <w:fldChar w:fldCharType="end"/>
      </w:r>
      <w:r>
        <w:rPr>
          <w:sz w:val="24"/>
          <w:szCs w:val="24"/>
        </w:rPr>
        <w:t>), aria construită (</w:t>
      </w:r>
      <w:r>
        <w:rPr>
          <w:b/>
          <w:sz w:val="24"/>
          <w:szCs w:val="24"/>
        </w:rPr>
        <w:t>Ac</w:t>
      </w:r>
      <w:r>
        <w:rPr>
          <w:sz w:val="24"/>
          <w:szCs w:val="24"/>
        </w:rPr>
        <w:t>), destinaţia și numărul de niveluri, conform prevederilor normate (</w:t>
      </w:r>
      <w:r>
        <w:rPr>
          <w:b/>
          <w:sz w:val="24"/>
          <w:szCs w:val="24"/>
        </w:rPr>
        <w:t>Art. 6.1.2.2.</w:t>
      </w:r>
      <w:r>
        <w:rPr>
          <w:sz w:val="24"/>
          <w:szCs w:val="24"/>
        </w:rPr>
        <w:t>).</w:t>
      </w:r>
    </w:p>
    <w:p w14:paraId="3365654D" w14:textId="77777777" w:rsidR="001C08A5" w:rsidRDefault="001C08A5">
      <w:pPr>
        <w:ind w:firstLine="720"/>
        <w:jc w:val="both"/>
        <w:rPr>
          <w:sz w:val="24"/>
          <w:szCs w:val="24"/>
        </w:rPr>
      </w:pPr>
    </w:p>
    <w:p w14:paraId="53EC02D4" w14:textId="77777777" w:rsidR="001C08A5" w:rsidRDefault="00000000">
      <w:pPr>
        <w:jc w:val="both"/>
        <w:rPr>
          <w:sz w:val="24"/>
          <w:szCs w:val="24"/>
        </w:rPr>
      </w:pPr>
      <w:r>
        <w:rPr>
          <w:b/>
          <w:sz w:val="24"/>
          <w:szCs w:val="24"/>
        </w:rPr>
        <w:tab/>
        <w:t>Art. 6.1.2.4. (1)</w:t>
      </w:r>
      <w:r>
        <w:rPr>
          <w:sz w:val="24"/>
          <w:szCs w:val="24"/>
        </w:rPr>
        <w:t xml:space="preserve">  Pe cât posibil, activităţile cu riscuri mari şi foarte mari de incendiu se dispun în zone distincte ale construcţiei, iar cele cu riscuri de explozie volumetrică la ultimul nivel al construcţiei supraterane de producţie şi/sau depozitare. </w:t>
      </w:r>
    </w:p>
    <w:p w14:paraId="20356046" w14:textId="77777777" w:rsidR="001C08A5" w:rsidRDefault="00000000">
      <w:pPr>
        <w:jc w:val="both"/>
        <w:rPr>
          <w:sz w:val="24"/>
          <w:szCs w:val="24"/>
        </w:rPr>
      </w:pPr>
      <w:r>
        <w:rPr>
          <w:sz w:val="24"/>
          <w:szCs w:val="24"/>
        </w:rPr>
        <w:tab/>
      </w:r>
      <w:r>
        <w:rPr>
          <w:b/>
          <w:sz w:val="24"/>
          <w:szCs w:val="24"/>
        </w:rPr>
        <w:t>(2)</w:t>
      </w:r>
      <w:r>
        <w:rPr>
          <w:sz w:val="24"/>
          <w:szCs w:val="24"/>
        </w:rPr>
        <w:t xml:space="preserve"> Atunci când activităţile cu risc de explozie volumetrică nu pot fi dispuse tehnic sau funcţional la ultimul nivel al construcţiei de producţie şi/sau depozitare, este obligatorie asigurarea măsurilor corespunzătoare de compartimentare cu elemente rezistente la foc și explozie volumetrică (</w:t>
      </w:r>
      <w:r>
        <w:rPr>
          <w:b/>
          <w:sz w:val="24"/>
          <w:szCs w:val="24"/>
        </w:rPr>
        <w:t>REI</w:t>
      </w:r>
      <w:r>
        <w:rPr>
          <w:sz w:val="24"/>
          <w:szCs w:val="24"/>
        </w:rPr>
        <w:t>), potrivit prevederilor normativului şi ale reglementărilor tehnice specifice. La activităţile cu risc de explozie volumetrică dispuse tehnic sau funcţional pe terasa ultimului nivel al construcţiei de producţie şi/sau depozitare, este obligatorie asigurarea măsurilor corespunzătoare de compartimentare catre alte spatii și functiuni cu elemente rezistente la foc şi explozie volumetrică, potrivit prevederilor normativului şi ale reglementărilor tehnice aplicabile.</w:t>
      </w:r>
    </w:p>
    <w:p w14:paraId="3ABB2E6E" w14:textId="77777777" w:rsidR="001C08A5" w:rsidRDefault="00000000">
      <w:pPr>
        <w:jc w:val="both"/>
        <w:rPr>
          <w:sz w:val="24"/>
          <w:szCs w:val="24"/>
        </w:rPr>
      </w:pPr>
      <w:r>
        <w:rPr>
          <w:sz w:val="24"/>
          <w:szCs w:val="24"/>
        </w:rPr>
        <w:tab/>
      </w:r>
      <w:r>
        <w:rPr>
          <w:b/>
          <w:sz w:val="24"/>
          <w:szCs w:val="24"/>
        </w:rPr>
        <w:t xml:space="preserve">(3) </w:t>
      </w:r>
      <w:r>
        <w:rPr>
          <w:sz w:val="24"/>
          <w:szCs w:val="24"/>
        </w:rPr>
        <w:t>În subsolurile construcţiilor de producţie se pot dispune spaţii cu risc de explozie volumetrică numai atunci când sunt justificate tehnic și au asigurate măsurile specifice de protecţie şi compartimentare cu elemente rezistente la foc şi explozie (</w:t>
      </w:r>
      <w:r>
        <w:rPr>
          <w:b/>
          <w:sz w:val="24"/>
          <w:szCs w:val="24"/>
        </w:rPr>
        <w:t>REI</w:t>
      </w:r>
      <w:r>
        <w:rPr>
          <w:sz w:val="24"/>
          <w:szCs w:val="24"/>
        </w:rPr>
        <w:t>).</w:t>
      </w:r>
    </w:p>
    <w:p w14:paraId="39F0F300" w14:textId="77777777" w:rsidR="001C08A5" w:rsidRDefault="00000000">
      <w:pPr>
        <w:pStyle w:val="Heading4"/>
      </w:pPr>
      <w:bookmarkStart w:id="5168" w:name="_Toc19620"/>
      <w:bookmarkStart w:id="5169" w:name="_Toc29330"/>
      <w:bookmarkStart w:id="5170" w:name="_Toc1834"/>
      <w:bookmarkStart w:id="5171" w:name="_Toc7965"/>
      <w:bookmarkStart w:id="5172" w:name="_Toc162355351"/>
      <w:bookmarkStart w:id="5173" w:name="_Toc6272"/>
      <w:bookmarkStart w:id="5174" w:name="_Toc24310"/>
      <w:bookmarkStart w:id="5175" w:name="_Toc18184"/>
      <w:r>
        <w:t>6.1.3. LIMITAREA PROPAGĂRII INCENDIILOR</w:t>
      </w:r>
      <w:bookmarkEnd w:id="5168"/>
      <w:bookmarkEnd w:id="5169"/>
      <w:bookmarkEnd w:id="5170"/>
      <w:bookmarkEnd w:id="5171"/>
      <w:bookmarkEnd w:id="5172"/>
      <w:bookmarkEnd w:id="5173"/>
      <w:bookmarkEnd w:id="5174"/>
      <w:bookmarkEnd w:id="5175"/>
    </w:p>
    <w:p w14:paraId="6BA713F3" w14:textId="77777777" w:rsidR="001C08A5" w:rsidRDefault="001C08A5">
      <w:pPr>
        <w:jc w:val="both"/>
        <w:rPr>
          <w:sz w:val="24"/>
          <w:szCs w:val="24"/>
        </w:rPr>
      </w:pPr>
    </w:p>
    <w:p w14:paraId="03B54006" w14:textId="77777777" w:rsidR="001C08A5" w:rsidRDefault="00000000">
      <w:pPr>
        <w:jc w:val="both"/>
        <w:rPr>
          <w:sz w:val="24"/>
          <w:szCs w:val="24"/>
        </w:rPr>
      </w:pPr>
      <w:r>
        <w:rPr>
          <w:b/>
          <w:sz w:val="24"/>
          <w:szCs w:val="24"/>
        </w:rPr>
        <w:tab/>
        <w:t>Art. 6.1.3.1. (1)</w:t>
      </w:r>
      <w:r>
        <w:rPr>
          <w:sz w:val="24"/>
          <w:szCs w:val="24"/>
        </w:rPr>
        <w:t xml:space="preserve"> Compartimentele de incendiu ale construcţiilor de producţie şi/sau depozitare constituite conform prevederilor normativului, se separă de restul construcţiei prin elemente de compartimentare corespunzătoare riscului de incendiu şi densităţii sarcinii termice (</w:t>
      </w:r>
      <w:r>
        <w:rPr>
          <w:b/>
          <w:sz w:val="24"/>
          <w:szCs w:val="24"/>
        </w:rPr>
        <w:t>q</w:t>
      </w:r>
      <w:r>
        <w:rPr>
          <w:sz w:val="24"/>
          <w:szCs w:val="24"/>
        </w:rPr>
        <w:t xml:space="preserve">) din încăperile adiacente, conform prevederilor din </w:t>
      </w:r>
      <w:r>
        <w:rPr>
          <w:b/>
          <w:sz w:val="24"/>
          <w:szCs w:val="24"/>
        </w:rPr>
        <w:t xml:space="preserve">Art. </w:t>
      </w:r>
      <w:r>
        <w:rPr>
          <w:b/>
          <w:bCs/>
          <w:sz w:val="24"/>
          <w:szCs w:val="24"/>
        </w:rPr>
        <w:t>2.3.1.2.</w:t>
      </w:r>
      <w:r>
        <w:rPr>
          <w:sz w:val="24"/>
          <w:szCs w:val="24"/>
        </w:rPr>
        <w:t xml:space="preserve"> şi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b/>
          <w:bCs/>
          <w:i/>
          <w:iCs/>
          <w:sz w:val="24"/>
          <w:szCs w:val="24"/>
        </w:rPr>
        <w:t>.</w:t>
      </w:r>
      <w:r>
        <w:rPr>
          <w:sz w:val="24"/>
          <w:szCs w:val="24"/>
        </w:rPr>
        <w:t xml:space="preserve"> </w:t>
      </w:r>
    </w:p>
    <w:p w14:paraId="5B65EBA3" w14:textId="77777777" w:rsidR="001C08A5" w:rsidRDefault="00000000">
      <w:pPr>
        <w:jc w:val="both"/>
        <w:rPr>
          <w:sz w:val="24"/>
          <w:szCs w:val="24"/>
        </w:rPr>
      </w:pPr>
      <w:r>
        <w:rPr>
          <w:sz w:val="24"/>
          <w:szCs w:val="24"/>
        </w:rPr>
        <w:tab/>
      </w:r>
      <w:r>
        <w:rPr>
          <w:b/>
          <w:sz w:val="24"/>
          <w:szCs w:val="24"/>
        </w:rPr>
        <w:t xml:space="preserve">(2) </w:t>
      </w:r>
      <w:r>
        <w:rPr>
          <w:sz w:val="24"/>
          <w:szCs w:val="24"/>
        </w:rPr>
        <w:t>În acelaşi mod se separă între ele și porţiuni ale construcţiei încadrate în riscuri de incendiu diferite.</w:t>
      </w:r>
    </w:p>
    <w:p w14:paraId="700DB4AA" w14:textId="77777777" w:rsidR="001C08A5" w:rsidRDefault="00000000">
      <w:pPr>
        <w:jc w:val="both"/>
        <w:rPr>
          <w:sz w:val="24"/>
          <w:szCs w:val="24"/>
        </w:rPr>
      </w:pPr>
      <w:r>
        <w:rPr>
          <w:sz w:val="24"/>
          <w:szCs w:val="24"/>
        </w:rPr>
        <w:tab/>
      </w:r>
      <w:r>
        <w:rPr>
          <w:b/>
          <w:sz w:val="24"/>
          <w:szCs w:val="24"/>
        </w:rPr>
        <w:t xml:space="preserve">(3) </w:t>
      </w:r>
      <w:r>
        <w:rPr>
          <w:sz w:val="24"/>
          <w:szCs w:val="24"/>
        </w:rPr>
        <w:t>În interiorul compartimentelor de incendiu, se prevăd elemente de separare orizontale şi/sau verticale rezistente la foc, care să împiedice propagarea uşoară a focului şi a fumului pe arii mari construite.</w:t>
      </w:r>
    </w:p>
    <w:p w14:paraId="58D8BF8A" w14:textId="77777777" w:rsidR="001C08A5" w:rsidRDefault="00000000">
      <w:pPr>
        <w:jc w:val="both"/>
        <w:rPr>
          <w:b/>
          <w:sz w:val="24"/>
          <w:szCs w:val="24"/>
        </w:rPr>
      </w:pPr>
      <w:r>
        <w:rPr>
          <w:sz w:val="24"/>
          <w:szCs w:val="24"/>
        </w:rPr>
        <w:tab/>
      </w:r>
      <w:r>
        <w:rPr>
          <w:sz w:val="24"/>
          <w:szCs w:val="24"/>
        </w:rPr>
        <w:tab/>
      </w:r>
    </w:p>
    <w:p w14:paraId="0E38ECA0" w14:textId="77777777" w:rsidR="001C08A5" w:rsidRDefault="00000000">
      <w:pPr>
        <w:widowControl w:val="0"/>
        <w:jc w:val="both"/>
        <w:rPr>
          <w:sz w:val="24"/>
          <w:szCs w:val="24"/>
        </w:rPr>
      </w:pPr>
      <w:r>
        <w:rPr>
          <w:b/>
          <w:sz w:val="24"/>
          <w:szCs w:val="24"/>
        </w:rPr>
        <w:tab/>
        <w:t xml:space="preserve">Art. 6.1.3.2. (1) </w:t>
      </w:r>
      <w:r>
        <w:rPr>
          <w:sz w:val="24"/>
          <w:szCs w:val="24"/>
        </w:rPr>
        <w:t xml:space="preserve">Grupările de încăperi cu același risc de incendiu și aceeași destinație se admit în limita următoarelor arii construite în cadrul </w:t>
      </w:r>
      <w:r>
        <w:rPr>
          <w:sz w:val="24"/>
          <w:szCs w:val="24"/>
          <w:lang w:eastAsia="zh-CN"/>
        </w:rPr>
        <w:t>construcțiilor</w:t>
      </w:r>
      <w:r>
        <w:rPr>
          <w:sz w:val="24"/>
          <w:szCs w:val="24"/>
        </w:rPr>
        <w:t xml:space="preserve"> de producţie şi/sau depozitare:</w:t>
      </w:r>
    </w:p>
    <w:p w14:paraId="38DA6149" w14:textId="77777777" w:rsidR="001C08A5" w:rsidRDefault="00000000">
      <w:pPr>
        <w:widowControl w:val="0"/>
        <w:ind w:left="720" w:firstLine="720"/>
        <w:jc w:val="both"/>
        <w:rPr>
          <w:sz w:val="24"/>
          <w:szCs w:val="24"/>
          <w:lang w:eastAsia="zh-CN"/>
        </w:rPr>
      </w:pPr>
      <w:r>
        <w:rPr>
          <w:sz w:val="24"/>
          <w:szCs w:val="24"/>
          <w:lang w:eastAsia="zh-CN"/>
        </w:rPr>
        <w:t xml:space="preserve">- maximum </w:t>
      </w:r>
      <w:r>
        <w:rPr>
          <w:b/>
          <w:bCs/>
          <w:sz w:val="24"/>
          <w:szCs w:val="24"/>
          <w:lang w:eastAsia="zh-CN"/>
        </w:rPr>
        <w:t>600 mp</w:t>
      </w:r>
      <w:r>
        <w:rPr>
          <w:sz w:val="24"/>
          <w:szCs w:val="24"/>
          <w:lang w:eastAsia="zh-CN"/>
        </w:rPr>
        <w:t xml:space="preserve">, cu condiția ca aria construită a încăperilor de tip open space să fie de maximum </w:t>
      </w:r>
      <w:r>
        <w:rPr>
          <w:b/>
          <w:bCs/>
          <w:sz w:val="24"/>
          <w:szCs w:val="24"/>
          <w:lang w:eastAsia="zh-CN"/>
        </w:rPr>
        <w:t>75%</w:t>
      </w:r>
      <w:r>
        <w:rPr>
          <w:sz w:val="24"/>
          <w:szCs w:val="24"/>
          <w:lang w:eastAsia="zh-CN"/>
        </w:rPr>
        <w:t xml:space="preserve"> din cea a ariei construite a nivelului respectiv pentru construcții </w:t>
      </w:r>
      <w:r>
        <w:rPr>
          <w:sz w:val="24"/>
          <w:szCs w:val="24"/>
        </w:rPr>
        <w:t>de producţie şi/sau depozitare</w:t>
      </w:r>
      <w:r>
        <w:rPr>
          <w:sz w:val="24"/>
          <w:szCs w:val="24"/>
          <w:lang w:eastAsia="zh-CN"/>
        </w:rPr>
        <w:t xml:space="preserve"> încadrate în nivelul </w:t>
      </w:r>
      <w:r>
        <w:rPr>
          <w:b/>
          <w:bCs/>
          <w:sz w:val="24"/>
          <w:szCs w:val="24"/>
          <w:lang w:eastAsia="zh-CN"/>
        </w:rPr>
        <w:t>I</w:t>
      </w:r>
      <w:r>
        <w:rPr>
          <w:sz w:val="24"/>
          <w:szCs w:val="24"/>
          <w:lang w:eastAsia="zh-CN"/>
        </w:rPr>
        <w:t xml:space="preserve"> de stabilitate la incendiu;</w:t>
      </w:r>
    </w:p>
    <w:p w14:paraId="2CD2F8F9" w14:textId="77777777" w:rsidR="001C08A5" w:rsidRDefault="00000000">
      <w:pPr>
        <w:widowControl w:val="0"/>
        <w:ind w:left="720" w:firstLine="720"/>
        <w:jc w:val="both"/>
        <w:rPr>
          <w:sz w:val="24"/>
          <w:szCs w:val="24"/>
          <w:lang w:eastAsia="zh-CN"/>
        </w:rPr>
      </w:pPr>
      <w:r>
        <w:rPr>
          <w:sz w:val="24"/>
          <w:szCs w:val="24"/>
          <w:lang w:eastAsia="zh-CN"/>
        </w:rPr>
        <w:t xml:space="preserve">- maximum </w:t>
      </w:r>
      <w:r>
        <w:rPr>
          <w:b/>
          <w:bCs/>
          <w:sz w:val="24"/>
          <w:szCs w:val="24"/>
          <w:lang w:eastAsia="zh-CN"/>
        </w:rPr>
        <w:t>400 mp</w:t>
      </w:r>
      <w:r>
        <w:rPr>
          <w:sz w:val="24"/>
          <w:szCs w:val="24"/>
          <w:lang w:eastAsia="zh-CN"/>
        </w:rPr>
        <w:t xml:space="preserve">, cu condiția ca aria construită a încăperilor de tip open space să fie de maximum </w:t>
      </w:r>
      <w:r>
        <w:rPr>
          <w:b/>
          <w:bCs/>
          <w:sz w:val="24"/>
          <w:szCs w:val="24"/>
          <w:lang w:eastAsia="zh-CN"/>
        </w:rPr>
        <w:t>75%</w:t>
      </w:r>
      <w:r>
        <w:rPr>
          <w:sz w:val="24"/>
          <w:szCs w:val="24"/>
          <w:lang w:eastAsia="zh-CN"/>
        </w:rPr>
        <w:t xml:space="preserve"> din cea a ariei construite a nivelului respectiv pentru construcții</w:t>
      </w:r>
      <w:r>
        <w:rPr>
          <w:sz w:val="24"/>
          <w:szCs w:val="24"/>
        </w:rPr>
        <w:t xml:space="preserve"> de producţie şi/sau depozitare</w:t>
      </w:r>
      <w:r>
        <w:rPr>
          <w:sz w:val="24"/>
          <w:szCs w:val="24"/>
          <w:lang w:eastAsia="zh-CN"/>
        </w:rPr>
        <w:t xml:space="preserve"> încadrate în nivelul </w:t>
      </w:r>
      <w:r>
        <w:rPr>
          <w:b/>
          <w:bCs/>
          <w:sz w:val="24"/>
          <w:szCs w:val="24"/>
          <w:lang w:eastAsia="zh-CN"/>
        </w:rPr>
        <w:t>II</w:t>
      </w:r>
      <w:r>
        <w:rPr>
          <w:sz w:val="24"/>
          <w:szCs w:val="24"/>
          <w:lang w:eastAsia="zh-CN"/>
        </w:rPr>
        <w:t xml:space="preserve"> de stabilitate la incendiu;</w:t>
      </w:r>
    </w:p>
    <w:p w14:paraId="34A63EED" w14:textId="77777777" w:rsidR="001C08A5" w:rsidRDefault="00000000">
      <w:pPr>
        <w:widowControl w:val="0"/>
        <w:ind w:left="720" w:firstLine="720"/>
        <w:jc w:val="both"/>
        <w:rPr>
          <w:sz w:val="24"/>
          <w:szCs w:val="24"/>
          <w:lang w:eastAsia="zh-CN"/>
        </w:rPr>
      </w:pPr>
      <w:r>
        <w:rPr>
          <w:sz w:val="24"/>
          <w:szCs w:val="24"/>
          <w:lang w:eastAsia="zh-CN"/>
        </w:rPr>
        <w:t xml:space="preserve">- maximum </w:t>
      </w:r>
      <w:r>
        <w:rPr>
          <w:b/>
          <w:bCs/>
          <w:sz w:val="24"/>
          <w:szCs w:val="24"/>
          <w:lang w:eastAsia="zh-CN"/>
        </w:rPr>
        <w:t>200 mp</w:t>
      </w:r>
      <w:r>
        <w:rPr>
          <w:sz w:val="24"/>
          <w:szCs w:val="24"/>
          <w:lang w:eastAsia="zh-CN"/>
        </w:rPr>
        <w:t xml:space="preserve">, cu condiția ca aria construită a încăperilor de tip open space sa fie de maximum </w:t>
      </w:r>
      <w:r>
        <w:rPr>
          <w:b/>
          <w:bCs/>
          <w:sz w:val="24"/>
          <w:szCs w:val="24"/>
          <w:lang w:eastAsia="zh-CN"/>
        </w:rPr>
        <w:t>50%</w:t>
      </w:r>
      <w:r>
        <w:rPr>
          <w:sz w:val="24"/>
          <w:szCs w:val="24"/>
          <w:lang w:eastAsia="zh-CN"/>
        </w:rPr>
        <w:t xml:space="preserve"> din cea a ariei construite a nivelului respectiv pentru construcții</w:t>
      </w:r>
      <w:r>
        <w:rPr>
          <w:sz w:val="24"/>
          <w:szCs w:val="24"/>
        </w:rPr>
        <w:t xml:space="preserve"> de producţie şi/sau depozitare</w:t>
      </w:r>
      <w:r>
        <w:rPr>
          <w:sz w:val="24"/>
          <w:szCs w:val="24"/>
          <w:lang w:eastAsia="zh-CN"/>
        </w:rPr>
        <w:t xml:space="preserve"> încadrate în nivelul </w:t>
      </w:r>
      <w:r>
        <w:rPr>
          <w:b/>
          <w:bCs/>
          <w:sz w:val="24"/>
          <w:szCs w:val="24"/>
          <w:lang w:eastAsia="zh-CN"/>
        </w:rPr>
        <w:t>III</w:t>
      </w:r>
      <w:r>
        <w:rPr>
          <w:sz w:val="24"/>
          <w:szCs w:val="24"/>
          <w:lang w:eastAsia="zh-CN"/>
        </w:rPr>
        <w:t xml:space="preserve"> de stabilitate la incendiu.</w:t>
      </w:r>
    </w:p>
    <w:p w14:paraId="68C8D519" w14:textId="77777777" w:rsidR="001C08A5" w:rsidRDefault="00000000">
      <w:pPr>
        <w:widowControl w:val="0"/>
        <w:jc w:val="both"/>
        <w:rPr>
          <w:sz w:val="24"/>
          <w:szCs w:val="24"/>
          <w:lang w:eastAsia="zh-CN"/>
        </w:rPr>
      </w:pPr>
      <w:r>
        <w:rPr>
          <w:sz w:val="24"/>
          <w:szCs w:val="24"/>
        </w:rPr>
        <w:t xml:space="preserve">Grupările de încăperi cu același risc de incendiu și aceeasi destinație nedelimitate între ele </w:t>
      </w:r>
      <w:r>
        <w:rPr>
          <w:sz w:val="24"/>
          <w:szCs w:val="24"/>
          <w:lang w:eastAsia="zh-CN"/>
        </w:rPr>
        <w:t xml:space="preserve">încadrate în nivelul </w:t>
      </w:r>
      <w:r>
        <w:rPr>
          <w:b/>
          <w:bCs/>
          <w:sz w:val="24"/>
          <w:szCs w:val="24"/>
          <w:lang w:eastAsia="zh-CN"/>
        </w:rPr>
        <w:t>IV-V</w:t>
      </w:r>
      <w:r>
        <w:rPr>
          <w:sz w:val="24"/>
          <w:szCs w:val="24"/>
          <w:lang w:eastAsia="zh-CN"/>
        </w:rPr>
        <w:t xml:space="preserve"> de stabilitate la incendiu </w:t>
      </w:r>
      <w:r>
        <w:rPr>
          <w:sz w:val="24"/>
          <w:szCs w:val="24"/>
        </w:rPr>
        <w:t xml:space="preserve">nu se admit </w:t>
      </w:r>
      <w:r>
        <w:rPr>
          <w:sz w:val="24"/>
          <w:szCs w:val="24"/>
          <w:lang w:eastAsia="zh-CN"/>
        </w:rPr>
        <w:t>în cadrul construcțiilor</w:t>
      </w:r>
      <w:r>
        <w:rPr>
          <w:sz w:val="24"/>
          <w:szCs w:val="24"/>
        </w:rPr>
        <w:t xml:space="preserve"> de producţie şi/sau depozitare</w:t>
      </w:r>
      <w:r>
        <w:rPr>
          <w:sz w:val="24"/>
          <w:szCs w:val="24"/>
          <w:lang w:eastAsia="zh-CN"/>
        </w:rPr>
        <w:t>.</w:t>
      </w:r>
    </w:p>
    <w:p w14:paraId="7BA41976" w14:textId="77777777" w:rsidR="001C08A5" w:rsidRDefault="00000000">
      <w:pPr>
        <w:ind w:firstLine="720"/>
        <w:jc w:val="both"/>
        <w:rPr>
          <w:sz w:val="24"/>
          <w:szCs w:val="24"/>
        </w:rPr>
      </w:pPr>
      <w:r>
        <w:rPr>
          <w:b/>
          <w:sz w:val="24"/>
          <w:szCs w:val="24"/>
        </w:rPr>
        <w:t>(2)</w:t>
      </w:r>
      <w:r>
        <w:rPr>
          <w:sz w:val="24"/>
          <w:szCs w:val="24"/>
        </w:rPr>
        <w:t xml:space="preserve"> În construcţiile și compartimentele de incendiu, separarea spaţiilor se realizează prin pereţi rezistenți la foc conform densității de sarcină termică dar minimum </w:t>
      </w:r>
      <w:r>
        <w:rPr>
          <w:b/>
          <w:sz w:val="24"/>
          <w:szCs w:val="24"/>
        </w:rPr>
        <w:t>EI/REI 60</w:t>
      </w:r>
      <w:r>
        <w:rPr>
          <w:sz w:val="24"/>
          <w:szCs w:val="24"/>
        </w:rPr>
        <w:t xml:space="preserve"> și după caz, planşee minimum </w:t>
      </w:r>
      <w:r>
        <w:rPr>
          <w:b/>
          <w:sz w:val="24"/>
          <w:szCs w:val="24"/>
        </w:rPr>
        <w:t>REI 60</w:t>
      </w:r>
      <w:r>
        <w:rPr>
          <w:sz w:val="24"/>
          <w:szCs w:val="24"/>
        </w:rPr>
        <w:t xml:space="preserve">, iar golurile de comunicare funcţională din acestea se protejează cu elemente de închidere rezistente la foc și etanșe la fum minimum </w:t>
      </w:r>
      <w:r>
        <w:rPr>
          <w:bCs/>
          <w:sz w:val="24"/>
          <w:szCs w:val="24"/>
        </w:rPr>
        <w:t xml:space="preserve">jumătate din rezistența la foc a pereților dar minim </w:t>
      </w:r>
      <w:r>
        <w:rPr>
          <w:b/>
          <w:sz w:val="24"/>
          <w:szCs w:val="24"/>
        </w:rPr>
        <w:t>EI</w:t>
      </w:r>
      <w:r>
        <w:rPr>
          <w:b/>
          <w:sz w:val="24"/>
          <w:szCs w:val="24"/>
          <w:vertAlign w:val="subscript"/>
        </w:rPr>
        <w:t>2</w:t>
      </w:r>
      <w:r>
        <w:rPr>
          <w:b/>
          <w:sz w:val="24"/>
          <w:szCs w:val="24"/>
        </w:rPr>
        <w:t>30-C3S</w:t>
      </w:r>
      <w:r>
        <w:rPr>
          <w:b/>
          <w:sz w:val="24"/>
          <w:szCs w:val="24"/>
          <w:vertAlign w:val="subscript"/>
        </w:rPr>
        <w:t>200</w:t>
      </w:r>
      <w:r>
        <w:rPr>
          <w:b/>
          <w:sz w:val="24"/>
          <w:szCs w:val="24"/>
        </w:rPr>
        <w:t>.</w:t>
      </w:r>
    </w:p>
    <w:p w14:paraId="6171CDF5" w14:textId="77777777" w:rsidR="001C08A5" w:rsidRDefault="001C08A5">
      <w:pPr>
        <w:jc w:val="both"/>
        <w:rPr>
          <w:sz w:val="24"/>
          <w:szCs w:val="24"/>
        </w:rPr>
      </w:pPr>
    </w:p>
    <w:p w14:paraId="65F72736" w14:textId="77777777" w:rsidR="001C08A5" w:rsidRDefault="00000000">
      <w:pPr>
        <w:jc w:val="both"/>
        <w:rPr>
          <w:b/>
          <w:sz w:val="24"/>
          <w:szCs w:val="24"/>
        </w:rPr>
      </w:pPr>
      <w:r>
        <w:rPr>
          <w:b/>
          <w:sz w:val="24"/>
          <w:szCs w:val="24"/>
        </w:rPr>
        <w:tab/>
        <w:t>Art. 6.1.3.3. (1)</w:t>
      </w:r>
      <w:r>
        <w:rPr>
          <w:sz w:val="24"/>
          <w:szCs w:val="24"/>
        </w:rPr>
        <w:t xml:space="preserve"> Anexele tehnico-sociale, laboratoarele și atelierele anexă (exceptând grupurile sanitare), se separă cu pereţi rezistenţi la foc minimum </w:t>
      </w:r>
      <w:r>
        <w:rPr>
          <w:b/>
          <w:sz w:val="24"/>
          <w:szCs w:val="24"/>
        </w:rPr>
        <w:t xml:space="preserve">EI/REI 90 </w:t>
      </w:r>
      <w:r>
        <w:rPr>
          <w:sz w:val="24"/>
          <w:szCs w:val="24"/>
        </w:rPr>
        <w:t xml:space="preserve">faţă de încăperile cu riscuri mijlocii de incendiu, iar golurile de comunicare funcţională din aceşti pereţi se protejează cu </w:t>
      </w:r>
      <w:r>
        <w:rPr>
          <w:sz w:val="24"/>
          <w:szCs w:val="24"/>
        </w:rPr>
        <w:lastRenderedPageBreak/>
        <w:t xml:space="preserve">elemente de închidere rezistente la foc și etanșe la fum </w:t>
      </w:r>
      <w:r>
        <w:rPr>
          <w:b/>
          <w:bCs/>
          <w:sz w:val="24"/>
          <w:szCs w:val="24"/>
        </w:rPr>
        <w:t>EI</w:t>
      </w:r>
      <w:r>
        <w:rPr>
          <w:b/>
          <w:bCs/>
          <w:sz w:val="24"/>
          <w:szCs w:val="24"/>
          <w:vertAlign w:val="subscript"/>
        </w:rPr>
        <w:t>2</w:t>
      </w:r>
      <w:r>
        <w:rPr>
          <w:b/>
          <w:bCs/>
          <w:sz w:val="24"/>
          <w:szCs w:val="24"/>
        </w:rPr>
        <w:t>45-C3</w:t>
      </w:r>
      <w:r>
        <w:rPr>
          <w:b/>
          <w:sz w:val="24"/>
          <w:szCs w:val="24"/>
        </w:rPr>
        <w:t>S</w:t>
      </w:r>
      <w:r>
        <w:rPr>
          <w:b/>
          <w:bCs/>
          <w:sz w:val="24"/>
          <w:szCs w:val="24"/>
          <w:vertAlign w:val="subscript"/>
        </w:rPr>
        <w:t>200</w:t>
      </w:r>
      <w:r>
        <w:rPr>
          <w:sz w:val="24"/>
          <w:szCs w:val="24"/>
        </w:rPr>
        <w:t xml:space="preserve">. Planşeele de separare vor fi rezistente la foc minimum </w:t>
      </w:r>
      <w:r>
        <w:rPr>
          <w:b/>
          <w:sz w:val="24"/>
          <w:szCs w:val="24"/>
        </w:rPr>
        <w:t>REI 45</w:t>
      </w:r>
      <w:r>
        <w:rPr>
          <w:sz w:val="24"/>
          <w:szCs w:val="24"/>
        </w:rPr>
        <w:t xml:space="preserve">, iar eventualele goluri din acestea se protejează cu elemente de închidere rezistente la foc minimum </w:t>
      </w:r>
      <w:r>
        <w:rPr>
          <w:b/>
          <w:bCs/>
          <w:sz w:val="24"/>
          <w:szCs w:val="24"/>
        </w:rPr>
        <w:t>EI45</w:t>
      </w:r>
      <w:r>
        <w:rPr>
          <w:sz w:val="24"/>
          <w:szCs w:val="24"/>
        </w:rPr>
        <w:t>.</w:t>
      </w:r>
    </w:p>
    <w:p w14:paraId="55A84272" w14:textId="77777777" w:rsidR="001C08A5" w:rsidRDefault="00000000">
      <w:pPr>
        <w:ind w:firstLine="720"/>
        <w:jc w:val="both"/>
        <w:rPr>
          <w:b/>
          <w:sz w:val="24"/>
          <w:szCs w:val="24"/>
        </w:rPr>
      </w:pPr>
      <w:r>
        <w:rPr>
          <w:b/>
          <w:sz w:val="24"/>
          <w:szCs w:val="24"/>
        </w:rPr>
        <w:t xml:space="preserve">(2) </w:t>
      </w:r>
      <w:r>
        <w:rPr>
          <w:sz w:val="24"/>
          <w:szCs w:val="24"/>
        </w:rPr>
        <w:t>Anexele tehnico-sociale, laboratoarele și atelierele anexă (excepând grupurile sanitare), se separă faţă de încăperile cu risc de incendiu mare și foarte mare cu pereţi şi planşee având rezistenţa la foc corespunzătoare riscurilor și densităţilor sarcinilor termice (</w:t>
      </w:r>
      <w:r>
        <w:rPr>
          <w:b/>
          <w:bCs/>
          <w:sz w:val="24"/>
          <w:szCs w:val="24"/>
        </w:rPr>
        <w:t>q</w:t>
      </w:r>
      <w:r>
        <w:rPr>
          <w:sz w:val="24"/>
          <w:szCs w:val="24"/>
        </w:rPr>
        <w:t xml:space="preserve">) din încăperile adiacente, iar golurile funcţionale din elementele de separare vor fi protejate cu elemente de închidere rezistente la foc și etanșe la fum </w:t>
      </w:r>
      <w:r>
        <w:rPr>
          <w:b/>
          <w:bCs/>
          <w:sz w:val="24"/>
          <w:szCs w:val="24"/>
        </w:rPr>
        <w:t>EI</w:t>
      </w:r>
      <w:r>
        <w:rPr>
          <w:b/>
          <w:bCs/>
          <w:sz w:val="24"/>
          <w:szCs w:val="24"/>
          <w:vertAlign w:val="subscript"/>
        </w:rPr>
        <w:t>2</w:t>
      </w:r>
      <w:r>
        <w:rPr>
          <w:b/>
          <w:bCs/>
          <w:sz w:val="24"/>
          <w:szCs w:val="24"/>
        </w:rPr>
        <w:t>90-C3</w:t>
      </w:r>
      <w:r>
        <w:rPr>
          <w:b/>
          <w:sz w:val="24"/>
          <w:szCs w:val="24"/>
        </w:rPr>
        <w:t>S</w:t>
      </w:r>
      <w:r>
        <w:rPr>
          <w:b/>
          <w:bCs/>
          <w:sz w:val="24"/>
          <w:szCs w:val="24"/>
          <w:vertAlign w:val="subscript"/>
        </w:rPr>
        <w:t>200</w:t>
      </w:r>
      <w:r>
        <w:rPr>
          <w:sz w:val="24"/>
          <w:szCs w:val="24"/>
        </w:rPr>
        <w:t>.</w:t>
      </w:r>
    </w:p>
    <w:p w14:paraId="3309E49C" w14:textId="77777777" w:rsidR="001C08A5" w:rsidRDefault="00000000">
      <w:pPr>
        <w:ind w:firstLine="720"/>
        <w:jc w:val="both"/>
        <w:rPr>
          <w:sz w:val="24"/>
          <w:szCs w:val="24"/>
        </w:rPr>
      </w:pPr>
      <w:r>
        <w:rPr>
          <w:b/>
          <w:sz w:val="24"/>
          <w:szCs w:val="24"/>
        </w:rPr>
        <w:t xml:space="preserve">(3) </w:t>
      </w:r>
      <w:r>
        <w:rPr>
          <w:sz w:val="24"/>
          <w:szCs w:val="24"/>
        </w:rPr>
        <w:t>Pereţii şi planşeele care separă anexele tehnico-sociale, laboratoarele și atelierele anexă faţă de încăperile cu riscuri foarte mari de incendiu și explozie volumetrică, trebuie să reziste la incendiu funcţie de densitatea sarcinii termice (</w:t>
      </w:r>
      <w:r>
        <w:rPr>
          <w:b/>
          <w:sz w:val="24"/>
          <w:szCs w:val="24"/>
        </w:rPr>
        <w:t>q</w:t>
      </w:r>
      <w:r>
        <w:rPr>
          <w:sz w:val="24"/>
          <w:szCs w:val="24"/>
        </w:rPr>
        <w:t xml:space="preserve">) și la explozie volumetrică, iar golurile de comunicare strict funcţionale din pereţi se prevăd cu încăperi tampon protejate, ventilate în suprapresiune şi prevăzute cu uşirezistente la foc și etanșe la fum </w:t>
      </w:r>
      <w:r>
        <w:rPr>
          <w:b/>
          <w:bCs/>
          <w:sz w:val="24"/>
          <w:szCs w:val="24"/>
        </w:rPr>
        <w:t>EI</w:t>
      </w:r>
      <w:r>
        <w:rPr>
          <w:b/>
          <w:bCs/>
          <w:sz w:val="24"/>
          <w:szCs w:val="24"/>
          <w:vertAlign w:val="subscript"/>
        </w:rPr>
        <w:t>2</w:t>
      </w:r>
      <w:r>
        <w:rPr>
          <w:b/>
          <w:bCs/>
          <w:sz w:val="24"/>
          <w:szCs w:val="24"/>
        </w:rPr>
        <w:t>90-C3</w:t>
      </w:r>
      <w:r>
        <w:rPr>
          <w:b/>
          <w:sz w:val="24"/>
          <w:szCs w:val="24"/>
        </w:rPr>
        <w:t>S</w:t>
      </w:r>
      <w:r>
        <w:rPr>
          <w:b/>
          <w:bCs/>
          <w:sz w:val="24"/>
          <w:szCs w:val="24"/>
          <w:vertAlign w:val="subscript"/>
        </w:rPr>
        <w:t>200</w:t>
      </w:r>
      <w:r>
        <w:rPr>
          <w:sz w:val="24"/>
          <w:szCs w:val="24"/>
        </w:rPr>
        <w:t xml:space="preserve"> dispuse șicanat.</w:t>
      </w:r>
    </w:p>
    <w:p w14:paraId="1D93FC4E" w14:textId="77777777" w:rsidR="001C08A5" w:rsidRDefault="001C08A5">
      <w:pPr>
        <w:jc w:val="both"/>
        <w:rPr>
          <w:sz w:val="24"/>
          <w:szCs w:val="24"/>
        </w:rPr>
      </w:pPr>
    </w:p>
    <w:p w14:paraId="514308B0" w14:textId="77777777" w:rsidR="001C08A5" w:rsidRDefault="00000000">
      <w:pPr>
        <w:jc w:val="both"/>
        <w:rPr>
          <w:sz w:val="24"/>
          <w:szCs w:val="24"/>
        </w:rPr>
      </w:pPr>
      <w:r>
        <w:rPr>
          <w:b/>
          <w:sz w:val="24"/>
          <w:szCs w:val="24"/>
        </w:rPr>
        <w:tab/>
        <w:t xml:space="preserve">Art. 6.1.3.4. </w:t>
      </w:r>
      <w:r>
        <w:rPr>
          <w:sz w:val="24"/>
          <w:szCs w:val="24"/>
        </w:rPr>
        <w:t>Scările închise de evacuare a utilizatorilor şi ascensoarele, se separă de restul construcţiei cu pereţi şi planşee rezistente la foc, conform prevederilor normativului.</w:t>
      </w:r>
    </w:p>
    <w:p w14:paraId="13B1254D" w14:textId="77777777" w:rsidR="001C08A5" w:rsidRDefault="00000000">
      <w:pPr>
        <w:jc w:val="both"/>
        <w:rPr>
          <w:sz w:val="24"/>
          <w:szCs w:val="24"/>
        </w:rPr>
      </w:pPr>
      <w:r>
        <w:rPr>
          <w:b/>
          <w:sz w:val="24"/>
          <w:szCs w:val="24"/>
        </w:rPr>
        <w:tab/>
      </w:r>
      <w:r>
        <w:rPr>
          <w:b/>
          <w:sz w:val="24"/>
          <w:szCs w:val="24"/>
        </w:rPr>
        <w:tab/>
      </w:r>
      <w:r>
        <w:rPr>
          <w:b/>
          <w:sz w:val="24"/>
          <w:szCs w:val="24"/>
        </w:rPr>
        <w:tab/>
      </w:r>
    </w:p>
    <w:p w14:paraId="0DF0BAE4" w14:textId="77777777" w:rsidR="001C08A5" w:rsidRDefault="00000000">
      <w:pPr>
        <w:jc w:val="both"/>
        <w:rPr>
          <w:sz w:val="24"/>
          <w:szCs w:val="24"/>
        </w:rPr>
      </w:pPr>
      <w:r>
        <w:rPr>
          <w:b/>
          <w:sz w:val="24"/>
          <w:szCs w:val="24"/>
        </w:rPr>
        <w:tab/>
        <w:t>Art. 6.1.3.5.</w:t>
      </w:r>
      <w:r>
        <w:rPr>
          <w:b/>
          <w:sz w:val="24"/>
          <w:szCs w:val="24"/>
        </w:rPr>
        <w:tab/>
      </w:r>
      <w:r>
        <w:rPr>
          <w:sz w:val="24"/>
          <w:szCs w:val="24"/>
        </w:rPr>
        <w:t xml:space="preserve"> În spaţiile de producţie cu riscuri mijlocii sau mici de incendiu se pot realiza încăperi de birouri din elemente </w:t>
      </w:r>
      <w:r>
        <w:rPr>
          <w:bCs/>
          <w:sz w:val="24"/>
          <w:szCs w:val="24"/>
        </w:rPr>
        <w:t>incombustibile</w:t>
      </w:r>
      <w:r>
        <w:rPr>
          <w:sz w:val="24"/>
          <w:szCs w:val="24"/>
        </w:rPr>
        <w:t xml:space="preserve"> şi geamuri, destinate exclusiv personalului care conduce nemijlocit producţia (maiştri, supraveghetori, conducere etc.).</w:t>
      </w:r>
    </w:p>
    <w:p w14:paraId="673E6DFB" w14:textId="77777777" w:rsidR="001C08A5" w:rsidRDefault="001C08A5">
      <w:pPr>
        <w:jc w:val="both"/>
        <w:rPr>
          <w:b/>
          <w:bCs/>
          <w:sz w:val="24"/>
          <w:szCs w:val="24"/>
        </w:rPr>
      </w:pPr>
    </w:p>
    <w:p w14:paraId="610E1604" w14:textId="77777777" w:rsidR="001C08A5" w:rsidRDefault="00000000">
      <w:pPr>
        <w:jc w:val="both"/>
        <w:rPr>
          <w:sz w:val="24"/>
          <w:szCs w:val="24"/>
        </w:rPr>
      </w:pPr>
      <w:r>
        <w:rPr>
          <w:b/>
          <w:sz w:val="24"/>
          <w:szCs w:val="24"/>
        </w:rPr>
        <w:tab/>
        <w:t>Art. 6.1.3.6.</w:t>
      </w:r>
      <w:r>
        <w:rPr>
          <w:b/>
          <w:sz w:val="24"/>
          <w:szCs w:val="24"/>
        </w:rPr>
        <w:tab/>
      </w:r>
      <w:r>
        <w:rPr>
          <w:sz w:val="24"/>
          <w:szCs w:val="24"/>
        </w:rPr>
        <w:t xml:space="preserve">Pentru limitarea propagării focului şi a fumului în construcţiile și compartimentele de incendiu închise, încăperile de producție și/sau depozitare cu suprafața mai mare de </w:t>
      </w:r>
      <w:r>
        <w:rPr>
          <w:b/>
          <w:bCs/>
          <w:sz w:val="24"/>
          <w:szCs w:val="24"/>
        </w:rPr>
        <w:t xml:space="preserve">36 </w:t>
      </w:r>
      <w:r>
        <w:rPr>
          <w:b/>
          <w:sz w:val="24"/>
          <w:szCs w:val="24"/>
        </w:rPr>
        <w:t>m²</w:t>
      </w:r>
      <w:r>
        <w:rPr>
          <w:sz w:val="24"/>
          <w:szCs w:val="24"/>
        </w:rPr>
        <w:t xml:space="preserve"> și densitatea de sarcină termică mai mare de </w:t>
      </w:r>
      <w:r>
        <w:rPr>
          <w:b/>
          <w:bCs/>
          <w:sz w:val="24"/>
          <w:szCs w:val="24"/>
        </w:rPr>
        <w:t>105 MJ/</w:t>
      </w:r>
      <w:r>
        <w:rPr>
          <w:b/>
          <w:sz w:val="24"/>
          <w:szCs w:val="24"/>
        </w:rPr>
        <w:t>m²</w:t>
      </w:r>
      <w:r>
        <w:rPr>
          <w:sz w:val="24"/>
          <w:szCs w:val="24"/>
        </w:rPr>
        <w:t xml:space="preserve"> se prevăd cu sisteme de evacuare a fumului și gazelor fierbinți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746F7D81" w14:textId="77777777" w:rsidR="001C08A5" w:rsidRDefault="001C08A5">
      <w:pPr>
        <w:jc w:val="both"/>
        <w:rPr>
          <w:sz w:val="24"/>
          <w:szCs w:val="24"/>
        </w:rPr>
      </w:pPr>
    </w:p>
    <w:p w14:paraId="742EA6D6" w14:textId="77777777" w:rsidR="001C08A5" w:rsidRDefault="00000000">
      <w:pPr>
        <w:jc w:val="both"/>
        <w:rPr>
          <w:sz w:val="24"/>
          <w:szCs w:val="24"/>
        </w:rPr>
      </w:pPr>
      <w:r>
        <w:rPr>
          <w:b/>
          <w:sz w:val="24"/>
          <w:szCs w:val="24"/>
        </w:rPr>
        <w:tab/>
        <w:t>Art. 6.1.3.7.</w:t>
      </w:r>
      <w:r>
        <w:rPr>
          <w:sz w:val="24"/>
          <w:szCs w:val="24"/>
        </w:rPr>
        <w:t xml:space="preserve"> Este obligatorie asigurarea evacuării fumului şi a gazelor fierbinţi în caz de incendiu la construcţiile, compartimentele și încăperile de producţie şi/sau depozitare cu riscuri mari sau foarte mari de incendiu, precum și la construcţiile supraterane închise de producţie şi/sau de depozitare, cu aria construită (Ac)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sau la construcţiile (încăperile) de producţie şi/sau depozitare supraterane închise cu aria construită (Ac) mai mare de </w:t>
      </w:r>
      <w:r>
        <w:rPr>
          <w:b/>
          <w:bCs/>
          <w:sz w:val="24"/>
          <w:szCs w:val="24"/>
        </w:rPr>
        <w:t>1.000 m</w:t>
      </w:r>
      <w:r>
        <w:rPr>
          <w:b/>
          <w:bCs/>
          <w:sz w:val="24"/>
          <w:szCs w:val="24"/>
          <w:vertAlign w:val="superscript"/>
        </w:rPr>
        <w:t>2</w:t>
      </w:r>
      <w:r>
        <w:rPr>
          <w:sz w:val="24"/>
          <w:szCs w:val="24"/>
        </w:rPr>
        <w:t>, în care activitatea se desfăşoară numai la lumină artificială (cu acoperiş și pereţi de închidere perimetrală plini, în care se prevăd numai goluri psihologice şi uşi de acces)..</w:t>
      </w:r>
      <w:r>
        <w:rPr>
          <w:sz w:val="24"/>
          <w:szCs w:val="24"/>
        </w:rPr>
        <w:tab/>
      </w:r>
    </w:p>
    <w:p w14:paraId="3CC34C04" w14:textId="77777777" w:rsidR="001C08A5" w:rsidRDefault="001C08A5">
      <w:pPr>
        <w:jc w:val="both"/>
        <w:rPr>
          <w:b/>
          <w:sz w:val="24"/>
          <w:szCs w:val="24"/>
        </w:rPr>
      </w:pPr>
    </w:p>
    <w:p w14:paraId="2B47FB10" w14:textId="77777777" w:rsidR="001C08A5" w:rsidRDefault="00000000">
      <w:pPr>
        <w:jc w:val="both"/>
        <w:rPr>
          <w:sz w:val="24"/>
          <w:szCs w:val="24"/>
        </w:rPr>
      </w:pPr>
      <w:r>
        <w:rPr>
          <w:b/>
          <w:sz w:val="24"/>
          <w:szCs w:val="24"/>
        </w:rPr>
        <w:tab/>
        <w:t xml:space="preserve">Art. 6.1.3.8. (1) </w:t>
      </w:r>
      <w:r>
        <w:rPr>
          <w:sz w:val="24"/>
          <w:szCs w:val="24"/>
        </w:rPr>
        <w:t>Evacuarea fumului şi a gazelor fierbinţi în caz de incendiu se asigură prin tiraj natural-organizat sau ventilare mecanică şi se realizează conform prevederilor normate.</w:t>
      </w:r>
    </w:p>
    <w:p w14:paraId="037764D7" w14:textId="77777777" w:rsidR="001C08A5" w:rsidRDefault="00000000">
      <w:pPr>
        <w:jc w:val="both"/>
        <w:rPr>
          <w:sz w:val="24"/>
          <w:szCs w:val="24"/>
        </w:rPr>
      </w:pPr>
      <w:r>
        <w:rPr>
          <w:sz w:val="24"/>
          <w:szCs w:val="24"/>
        </w:rPr>
        <w:tab/>
      </w:r>
      <w:r>
        <w:rPr>
          <w:b/>
          <w:sz w:val="24"/>
          <w:szCs w:val="24"/>
        </w:rPr>
        <w:t xml:space="preserve">(2) </w:t>
      </w:r>
      <w:r>
        <w:rPr>
          <w:sz w:val="24"/>
          <w:szCs w:val="24"/>
        </w:rPr>
        <w:t>Evacuarea fumului şi a gazelor fierbinţi în caz de incendiu se asigură din fiecare nivel al construcţiei de producţie şi/sau depozitare.</w:t>
      </w:r>
    </w:p>
    <w:p w14:paraId="16643F49" w14:textId="77777777" w:rsidR="001C08A5" w:rsidRDefault="001C08A5">
      <w:pPr>
        <w:jc w:val="both"/>
        <w:rPr>
          <w:sz w:val="24"/>
          <w:szCs w:val="24"/>
        </w:rPr>
      </w:pPr>
    </w:p>
    <w:p w14:paraId="1EDC8952" w14:textId="77777777" w:rsidR="001C08A5" w:rsidRDefault="00000000">
      <w:pPr>
        <w:jc w:val="both"/>
        <w:rPr>
          <w:sz w:val="24"/>
          <w:szCs w:val="24"/>
        </w:rPr>
      </w:pPr>
      <w:r>
        <w:rPr>
          <w:b/>
          <w:sz w:val="24"/>
          <w:szCs w:val="24"/>
        </w:rPr>
        <w:tab/>
        <w:t xml:space="preserve">Art. 6.1.3.9. (1) </w:t>
      </w:r>
      <w:r>
        <w:rPr>
          <w:sz w:val="24"/>
          <w:szCs w:val="24"/>
        </w:rPr>
        <w:t xml:space="preserve">Casele de scări închise, care asigură evacuarea utilizatorilor şi nu au ferestre spre exterior pe fiecare nivel pentru ventilare și iluminare naturală, se prevăd cu sisteme de evacuare a fumului și a gazelor fierbinţi în caz de incendiu, iar încăperile tampon de acces la acestea (acolo unde acestea trebuie prevăzute), vor avea ventilare în suprapresiune. </w:t>
      </w:r>
    </w:p>
    <w:p w14:paraId="0D8CD24E" w14:textId="77777777" w:rsidR="001C08A5" w:rsidRDefault="00000000">
      <w:pPr>
        <w:ind w:firstLine="720"/>
        <w:jc w:val="both"/>
        <w:rPr>
          <w:sz w:val="24"/>
          <w:szCs w:val="24"/>
        </w:rPr>
      </w:pPr>
      <w:r>
        <w:rPr>
          <w:b/>
          <w:sz w:val="24"/>
          <w:szCs w:val="24"/>
        </w:rPr>
        <w:t xml:space="preserve">(2) </w:t>
      </w:r>
      <w:r>
        <w:rPr>
          <w:sz w:val="24"/>
          <w:szCs w:val="24"/>
        </w:rPr>
        <w:t>Evacuarea fumului şi a gazelor fierbinţi în caz de incendiu din casele de scări supraterane închise și la încăperile tampon ale acestora (acolo unde acestea trebuie prevăzute) se asigură prin tiraj natural organizat sau se pun în suprapresiune.</w:t>
      </w:r>
    </w:p>
    <w:p w14:paraId="6E6CA0B2" w14:textId="77777777" w:rsidR="001C08A5" w:rsidRDefault="00000000">
      <w:pPr>
        <w:ind w:firstLine="720"/>
        <w:jc w:val="both"/>
        <w:rPr>
          <w:b/>
          <w:sz w:val="24"/>
          <w:szCs w:val="24"/>
        </w:rPr>
      </w:pPr>
      <w:r>
        <w:rPr>
          <w:b/>
          <w:sz w:val="24"/>
          <w:szCs w:val="24"/>
        </w:rPr>
        <w:lastRenderedPageBreak/>
        <w:t xml:space="preserve">(3) </w:t>
      </w:r>
      <w:r>
        <w:rPr>
          <w:sz w:val="24"/>
          <w:szCs w:val="24"/>
        </w:rPr>
        <w:t>Evacuarea fumului şi a gazelor fierbinţi în caz de incendiu din casele de scări subterane închise și la încăperile tampon ale acestora (acolo unde acestea trebuie prevăzute) se asigură numai prin tiraj natural organizat sau acestea se pun în suprapresiune.</w:t>
      </w:r>
    </w:p>
    <w:p w14:paraId="585DCCDD" w14:textId="77777777" w:rsidR="001C08A5" w:rsidRDefault="001C08A5">
      <w:pPr>
        <w:jc w:val="both"/>
        <w:rPr>
          <w:b/>
          <w:sz w:val="24"/>
          <w:szCs w:val="24"/>
        </w:rPr>
      </w:pPr>
    </w:p>
    <w:p w14:paraId="21893266" w14:textId="77777777" w:rsidR="001C08A5" w:rsidRDefault="00000000">
      <w:pPr>
        <w:jc w:val="both"/>
        <w:rPr>
          <w:sz w:val="24"/>
          <w:szCs w:val="24"/>
        </w:rPr>
      </w:pPr>
      <w:r>
        <w:rPr>
          <w:b/>
          <w:sz w:val="24"/>
          <w:szCs w:val="24"/>
        </w:rPr>
        <w:tab/>
        <w:t xml:space="preserve">Art. 6.1.3.10. </w:t>
      </w:r>
      <w:r>
        <w:rPr>
          <w:sz w:val="24"/>
          <w:szCs w:val="24"/>
        </w:rPr>
        <w:t>Evacuarea fumului şi a gazelor fierbinţi în caz de incendiu a încăperilor şi spaţiilor de depozitare va fi independentă de alte spaţii, indiferent de modul în care se realizează (prin tiraj natural-organizat sau ventilare mecanică).</w:t>
      </w:r>
    </w:p>
    <w:p w14:paraId="275F2D0D" w14:textId="77777777" w:rsidR="001C08A5" w:rsidRDefault="001C08A5">
      <w:pPr>
        <w:jc w:val="both"/>
        <w:rPr>
          <w:sz w:val="24"/>
          <w:szCs w:val="24"/>
        </w:rPr>
      </w:pPr>
    </w:p>
    <w:p w14:paraId="095015D5" w14:textId="77777777" w:rsidR="001C08A5" w:rsidRDefault="00000000">
      <w:pPr>
        <w:jc w:val="both"/>
        <w:rPr>
          <w:b/>
          <w:sz w:val="24"/>
          <w:szCs w:val="24"/>
        </w:rPr>
      </w:pPr>
      <w:r>
        <w:rPr>
          <w:b/>
          <w:sz w:val="24"/>
          <w:szCs w:val="24"/>
        </w:rPr>
        <w:tab/>
        <w:t xml:space="preserve">Art. 6.1.3.11. </w:t>
      </w:r>
      <w:r>
        <w:rPr>
          <w:sz w:val="24"/>
          <w:szCs w:val="24"/>
        </w:rPr>
        <w:t xml:space="preserve">Canalele de evacuare a fumului care străbat spaţii ori încăperi cu alte destinaţii sau riscuri de incendiu decât cele pentru care sunt prevăzute, vor avea pereţii astfel realizaţi încât să îndeplinească condiţiile de rezistenţă la foc impuse de destinaţiile și riscurile de incendiu respective, dar minimum </w:t>
      </w:r>
      <w:r>
        <w:rPr>
          <w:b/>
          <w:sz w:val="24"/>
          <w:szCs w:val="24"/>
        </w:rPr>
        <w:t>EI 60</w:t>
      </w:r>
      <w:r>
        <w:rPr>
          <w:sz w:val="24"/>
          <w:szCs w:val="24"/>
        </w:rPr>
        <w:t>.</w:t>
      </w:r>
    </w:p>
    <w:p w14:paraId="60623224" w14:textId="77777777" w:rsidR="001C08A5" w:rsidRDefault="00000000">
      <w:pPr>
        <w:pStyle w:val="Heading4"/>
      </w:pPr>
      <w:bookmarkStart w:id="5176" w:name="_Toc162355352"/>
      <w:bookmarkStart w:id="5177" w:name="_Toc29691"/>
      <w:bookmarkStart w:id="5178" w:name="_Toc27444"/>
      <w:bookmarkStart w:id="5179" w:name="_Toc18175"/>
      <w:bookmarkStart w:id="5180" w:name="_Toc18409"/>
      <w:bookmarkStart w:id="5181" w:name="_Toc14204"/>
      <w:bookmarkStart w:id="5182" w:name="_Toc21633"/>
      <w:bookmarkStart w:id="5183" w:name="_Toc8964"/>
      <w:r>
        <w:t>6.1.4. ALCĂTUIRI CONSTRUCTIVE</w:t>
      </w:r>
      <w:bookmarkEnd w:id="5176"/>
      <w:bookmarkEnd w:id="5177"/>
      <w:bookmarkEnd w:id="5178"/>
      <w:bookmarkEnd w:id="5179"/>
      <w:bookmarkEnd w:id="5180"/>
      <w:bookmarkEnd w:id="5181"/>
      <w:bookmarkEnd w:id="5182"/>
      <w:bookmarkEnd w:id="5183"/>
    </w:p>
    <w:p w14:paraId="322A7DE6" w14:textId="77777777" w:rsidR="001C08A5" w:rsidRDefault="001C08A5">
      <w:pPr>
        <w:jc w:val="both"/>
        <w:rPr>
          <w:sz w:val="24"/>
          <w:szCs w:val="24"/>
        </w:rPr>
      </w:pPr>
    </w:p>
    <w:p w14:paraId="232CACD5" w14:textId="77777777" w:rsidR="001C08A5" w:rsidRDefault="00000000">
      <w:pPr>
        <w:jc w:val="both"/>
        <w:rPr>
          <w:sz w:val="24"/>
          <w:szCs w:val="24"/>
        </w:rPr>
      </w:pPr>
      <w:r>
        <w:rPr>
          <w:b/>
          <w:sz w:val="24"/>
          <w:szCs w:val="24"/>
        </w:rPr>
        <w:tab/>
        <w:t xml:space="preserve">Art. 6.1.4.1. (1) </w:t>
      </w:r>
      <w:r>
        <w:rPr>
          <w:sz w:val="24"/>
          <w:szCs w:val="24"/>
        </w:rPr>
        <w:t>Construcţiile de producţie şi/sau depozitare se alcătuiesc astfel încât să îndeplinească condiţiile de performanţă admise în normativ.</w:t>
      </w:r>
    </w:p>
    <w:p w14:paraId="03EF3DC6" w14:textId="77777777" w:rsidR="001C08A5" w:rsidRDefault="00000000">
      <w:pPr>
        <w:jc w:val="both"/>
        <w:rPr>
          <w:sz w:val="24"/>
          <w:szCs w:val="24"/>
        </w:rPr>
      </w:pPr>
      <w:r>
        <w:rPr>
          <w:sz w:val="24"/>
          <w:szCs w:val="24"/>
        </w:rPr>
        <w:tab/>
      </w:r>
      <w:r>
        <w:rPr>
          <w:b/>
          <w:sz w:val="24"/>
          <w:szCs w:val="24"/>
        </w:rPr>
        <w:t xml:space="preserve">(2) </w:t>
      </w:r>
      <w:r>
        <w:rPr>
          <w:sz w:val="24"/>
          <w:szCs w:val="24"/>
        </w:rPr>
        <w:t>Prin modul de alcătuire, dispunere și realizare, elementele de construcţie utilizate nu trebuie să propage focul.</w:t>
      </w:r>
    </w:p>
    <w:p w14:paraId="0C2198F8" w14:textId="77777777" w:rsidR="001C08A5" w:rsidRDefault="00000000">
      <w:pPr>
        <w:jc w:val="both"/>
        <w:rPr>
          <w:b/>
          <w:sz w:val="24"/>
          <w:szCs w:val="24"/>
        </w:rPr>
      </w:pPr>
      <w:r>
        <w:rPr>
          <w:sz w:val="24"/>
          <w:szCs w:val="24"/>
        </w:rPr>
        <w:tab/>
      </w:r>
      <w:r>
        <w:rPr>
          <w:b/>
          <w:sz w:val="24"/>
          <w:szCs w:val="24"/>
        </w:rPr>
        <w:t xml:space="preserve">(3) </w:t>
      </w:r>
      <w:r>
        <w:rPr>
          <w:sz w:val="24"/>
          <w:szCs w:val="24"/>
        </w:rPr>
        <w:t>Golurile interioare ale elementelor de construcţie vor avea continuitatea întreruptă conform normativului, astfel încât să nu favorizeze propagarea uşoară a fumului şi a focului în construcţie.</w:t>
      </w:r>
    </w:p>
    <w:p w14:paraId="7FF612DE" w14:textId="77777777" w:rsidR="001C08A5" w:rsidRDefault="001C08A5">
      <w:pPr>
        <w:jc w:val="both"/>
        <w:rPr>
          <w:b/>
          <w:sz w:val="24"/>
          <w:szCs w:val="24"/>
        </w:rPr>
      </w:pPr>
    </w:p>
    <w:p w14:paraId="1E3ED85E" w14:textId="77777777" w:rsidR="001C08A5" w:rsidRDefault="00000000">
      <w:pPr>
        <w:jc w:val="both"/>
        <w:rPr>
          <w:sz w:val="24"/>
          <w:szCs w:val="24"/>
        </w:rPr>
      </w:pPr>
      <w:r>
        <w:rPr>
          <w:b/>
          <w:sz w:val="24"/>
          <w:szCs w:val="24"/>
        </w:rPr>
        <w:tab/>
        <w:t xml:space="preserve">Art. 6.1.4.2. (1) </w:t>
      </w:r>
      <w:r>
        <w:rPr>
          <w:sz w:val="24"/>
          <w:szCs w:val="24"/>
        </w:rPr>
        <w:t xml:space="preserve">Construcţiile și încăperile de producţie şi/sau depozitare închise încadrate în risc mijlociu de incendiu, determinat de carcteristicile substanțelor și materialelor, trebuie realizate cu pereţi şi planşee clasa de reacţie la foc </w:t>
      </w:r>
      <w:r>
        <w:rPr>
          <w:b/>
          <w:sz w:val="24"/>
          <w:szCs w:val="24"/>
        </w:rPr>
        <w:t>A1</w:t>
      </w:r>
      <w:r>
        <w:rPr>
          <w:sz w:val="24"/>
          <w:szCs w:val="24"/>
        </w:rPr>
        <w:t xml:space="preserve"> sau </w:t>
      </w:r>
      <w:r>
        <w:rPr>
          <w:b/>
          <w:sz w:val="24"/>
          <w:szCs w:val="24"/>
        </w:rPr>
        <w:t>A2-s1d0</w:t>
      </w:r>
      <w:r>
        <w:rPr>
          <w:sz w:val="24"/>
          <w:szCs w:val="24"/>
        </w:rPr>
        <w:t>.</w:t>
      </w:r>
    </w:p>
    <w:p w14:paraId="6BFF6297" w14:textId="77777777" w:rsidR="001C08A5" w:rsidRDefault="00000000">
      <w:pPr>
        <w:ind w:firstLine="720"/>
        <w:jc w:val="both"/>
        <w:rPr>
          <w:b/>
          <w:sz w:val="24"/>
          <w:szCs w:val="24"/>
        </w:rPr>
      </w:pPr>
      <w:r>
        <w:rPr>
          <w:b/>
          <w:sz w:val="24"/>
          <w:szCs w:val="24"/>
        </w:rPr>
        <w:t xml:space="preserve">(2) </w:t>
      </w:r>
      <w:r>
        <w:rPr>
          <w:sz w:val="24"/>
          <w:szCs w:val="24"/>
        </w:rPr>
        <w:t>Elementele de construcţie care separă de restul construcţiei spaţii cu risc foarte mare de incendiu şi explozie volumetrică, vor fi rezistente la foc şi la explozie.</w:t>
      </w:r>
    </w:p>
    <w:p w14:paraId="3F762FE5" w14:textId="77777777" w:rsidR="001C08A5" w:rsidRDefault="001C08A5">
      <w:pPr>
        <w:jc w:val="both"/>
        <w:rPr>
          <w:b/>
          <w:sz w:val="24"/>
          <w:szCs w:val="24"/>
        </w:rPr>
      </w:pPr>
    </w:p>
    <w:p w14:paraId="3418338B" w14:textId="77777777" w:rsidR="001C08A5" w:rsidRDefault="00000000">
      <w:pPr>
        <w:jc w:val="both"/>
        <w:rPr>
          <w:sz w:val="24"/>
          <w:szCs w:val="24"/>
        </w:rPr>
      </w:pPr>
      <w:r>
        <w:rPr>
          <w:b/>
          <w:sz w:val="24"/>
          <w:szCs w:val="24"/>
        </w:rPr>
        <w:tab/>
        <w:t xml:space="preserve">Art. 6.1.4.3. (1) </w:t>
      </w:r>
      <w:r>
        <w:rPr>
          <w:sz w:val="24"/>
          <w:szCs w:val="24"/>
        </w:rPr>
        <w:t xml:space="preserve">Încăperile de depozitare  cu suprafața mai mare de </w:t>
      </w:r>
      <w:r>
        <w:rPr>
          <w:b/>
          <w:bCs/>
          <w:sz w:val="24"/>
          <w:szCs w:val="24"/>
        </w:rPr>
        <w:t>36 m</w:t>
      </w:r>
      <w:r>
        <w:rPr>
          <w:b/>
          <w:bCs/>
          <w:sz w:val="24"/>
          <w:szCs w:val="24"/>
          <w:vertAlign w:val="superscript"/>
        </w:rPr>
        <w:t>2</w:t>
      </w:r>
      <w:r>
        <w:rPr>
          <w:sz w:val="24"/>
          <w:szCs w:val="24"/>
        </w:rPr>
        <w:t xml:space="preserve"> și densitatea de sarcină termică mai mare de </w:t>
      </w:r>
      <w:r>
        <w:rPr>
          <w:b/>
          <w:bCs/>
          <w:sz w:val="24"/>
          <w:szCs w:val="24"/>
        </w:rPr>
        <w:t>105 MJ/</w:t>
      </w:r>
      <w:r>
        <w:rPr>
          <w:b/>
          <w:sz w:val="24"/>
          <w:szCs w:val="24"/>
        </w:rPr>
        <w:t>m²</w:t>
      </w:r>
      <w:r>
        <w:rPr>
          <w:sz w:val="24"/>
          <w:szCs w:val="24"/>
        </w:rPr>
        <w:t xml:space="preserve"> se prevăd cu sisteme de evacuare a fumului și gazelor fierbinți și se alcătuiesc, realizează şi compartimentează faţă de restul construcţiei cu elemente rezistente la foc .</w:t>
      </w:r>
    </w:p>
    <w:p w14:paraId="1F7E1CB0" w14:textId="77777777" w:rsidR="001C08A5" w:rsidRDefault="00000000">
      <w:pPr>
        <w:ind w:firstLine="720"/>
        <w:jc w:val="both"/>
        <w:rPr>
          <w:sz w:val="24"/>
          <w:szCs w:val="24"/>
        </w:rPr>
      </w:pPr>
      <w:r>
        <w:rPr>
          <w:b/>
          <w:bCs/>
          <w:sz w:val="24"/>
          <w:szCs w:val="24"/>
        </w:rPr>
        <w:t xml:space="preserve">(2) </w:t>
      </w:r>
      <w:r>
        <w:rPr>
          <w:sz w:val="24"/>
          <w:szCs w:val="24"/>
        </w:rPr>
        <w:t xml:space="preserve">Încăperile de depozitare dispuse în subteran, indiferent de suprafață și densitatea de sarcină termică mai mare de </w:t>
      </w:r>
      <w:r>
        <w:rPr>
          <w:b/>
          <w:bCs/>
          <w:sz w:val="24"/>
          <w:szCs w:val="24"/>
        </w:rPr>
        <w:t>105 MJ/</w:t>
      </w:r>
      <w:r>
        <w:rPr>
          <w:b/>
          <w:sz w:val="24"/>
          <w:szCs w:val="24"/>
        </w:rPr>
        <w:t>m²</w:t>
      </w:r>
      <w:r>
        <w:rPr>
          <w:sz w:val="24"/>
          <w:szCs w:val="24"/>
        </w:rPr>
        <w:t xml:space="preserve"> se prevăd cu sisteme de evacuare a fumului și gazelor fierbinți și se alcătuiesc, realizează şi compartimentează faţă de restul construcţiei cu elemente rezistente la foc.  </w:t>
      </w:r>
    </w:p>
    <w:p w14:paraId="441F4076" w14:textId="77777777" w:rsidR="001C08A5" w:rsidRDefault="00000000">
      <w:pPr>
        <w:ind w:firstLine="720"/>
        <w:jc w:val="both"/>
        <w:rPr>
          <w:sz w:val="24"/>
          <w:szCs w:val="24"/>
        </w:rPr>
      </w:pPr>
      <w:r>
        <w:rPr>
          <w:b/>
          <w:bCs/>
          <w:sz w:val="24"/>
          <w:szCs w:val="24"/>
        </w:rPr>
        <w:t xml:space="preserve">(3) </w:t>
      </w:r>
      <w:r>
        <w:rPr>
          <w:sz w:val="24"/>
          <w:szCs w:val="24"/>
        </w:rPr>
        <w:t xml:space="preserve">Încăperile de depozitare de la alin. </w:t>
      </w:r>
      <w:r>
        <w:rPr>
          <w:b/>
          <w:bCs/>
          <w:sz w:val="24"/>
          <w:szCs w:val="24"/>
        </w:rPr>
        <w:t>(1)</w:t>
      </w:r>
      <w:r>
        <w:rPr>
          <w:sz w:val="24"/>
          <w:szCs w:val="24"/>
        </w:rPr>
        <w:t xml:space="preserve"> și </w:t>
      </w:r>
      <w:r>
        <w:rPr>
          <w:b/>
          <w:bCs/>
          <w:sz w:val="24"/>
          <w:szCs w:val="24"/>
        </w:rPr>
        <w:t>(2)</w:t>
      </w:r>
      <w:r>
        <w:rPr>
          <w:sz w:val="24"/>
          <w:szCs w:val="24"/>
        </w:rPr>
        <w:t xml:space="preserve"> 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7DF8D55E" w14:textId="77777777" w:rsidR="001C08A5" w:rsidRDefault="001C08A5">
      <w:pPr>
        <w:jc w:val="both"/>
        <w:rPr>
          <w:sz w:val="24"/>
          <w:szCs w:val="24"/>
        </w:rPr>
      </w:pPr>
    </w:p>
    <w:p w14:paraId="4E1E6392" w14:textId="77777777" w:rsidR="001C08A5" w:rsidRDefault="00000000">
      <w:pPr>
        <w:jc w:val="both"/>
        <w:rPr>
          <w:sz w:val="24"/>
          <w:szCs w:val="24"/>
        </w:rPr>
      </w:pPr>
      <w:r>
        <w:rPr>
          <w:b/>
          <w:sz w:val="24"/>
          <w:szCs w:val="24"/>
        </w:rPr>
        <w:tab/>
        <w:t>Art. 6.1.4.4.</w:t>
      </w:r>
      <w:r>
        <w:rPr>
          <w:sz w:val="24"/>
          <w:szCs w:val="24"/>
        </w:rPr>
        <w:t xml:space="preserve"> Plafoanele autoportante sau suspendate nu sunt admise la încăperi şi spaţii închise încadrate cu risc foarte mare de incendiu şi explozie volumetrică.</w:t>
      </w:r>
    </w:p>
    <w:p w14:paraId="7EDEAB95" w14:textId="77777777" w:rsidR="001C08A5" w:rsidRDefault="001C08A5">
      <w:pPr>
        <w:jc w:val="both"/>
        <w:rPr>
          <w:sz w:val="24"/>
          <w:szCs w:val="24"/>
        </w:rPr>
      </w:pPr>
    </w:p>
    <w:p w14:paraId="3F696146" w14:textId="77777777" w:rsidR="001C08A5" w:rsidRDefault="00000000">
      <w:pPr>
        <w:jc w:val="both"/>
        <w:rPr>
          <w:sz w:val="24"/>
          <w:szCs w:val="24"/>
        </w:rPr>
      </w:pPr>
      <w:r>
        <w:rPr>
          <w:b/>
          <w:sz w:val="24"/>
          <w:szCs w:val="24"/>
        </w:rPr>
        <w:tab/>
        <w:t>Art. 6.1.4.5.</w:t>
      </w:r>
      <w:r>
        <w:rPr>
          <w:sz w:val="24"/>
          <w:szCs w:val="24"/>
        </w:rPr>
        <w:t xml:space="preserve"> Grinzile, rampele, podestele şi treptele scărilor interioare de circulaţie funcţională şi de evacuare la platforme de lucru sau supante fără locuri permanente de muncă, pot fi realizate din materiale </w:t>
      </w:r>
      <w:r>
        <w:rPr>
          <w:b/>
          <w:sz w:val="24"/>
          <w:szCs w:val="24"/>
        </w:rPr>
        <w:t xml:space="preserve">R 15 </w:t>
      </w:r>
      <w:r>
        <w:rPr>
          <w:sz w:val="24"/>
          <w:szCs w:val="24"/>
        </w:rPr>
        <w:t>clasa de reacţie la foc</w:t>
      </w:r>
      <w:r>
        <w:rPr>
          <w:b/>
          <w:sz w:val="24"/>
          <w:szCs w:val="24"/>
        </w:rPr>
        <w:t xml:space="preserve"> A1 </w:t>
      </w:r>
      <w:r>
        <w:rPr>
          <w:sz w:val="24"/>
          <w:szCs w:val="24"/>
        </w:rPr>
        <w:t>sau</w:t>
      </w:r>
      <w:r>
        <w:rPr>
          <w:b/>
          <w:sz w:val="24"/>
          <w:szCs w:val="24"/>
        </w:rPr>
        <w:t xml:space="preserve"> A2-s1, d0</w:t>
      </w:r>
      <w:r>
        <w:rPr>
          <w:sz w:val="24"/>
          <w:szCs w:val="24"/>
        </w:rPr>
        <w:t xml:space="preserve"> şi neînchise în case de scări.</w:t>
      </w:r>
    </w:p>
    <w:p w14:paraId="48C594DE" w14:textId="77777777" w:rsidR="001C08A5" w:rsidRDefault="001C08A5">
      <w:pPr>
        <w:jc w:val="both"/>
        <w:rPr>
          <w:sz w:val="24"/>
          <w:szCs w:val="24"/>
        </w:rPr>
      </w:pPr>
    </w:p>
    <w:p w14:paraId="5EECEBB4" w14:textId="77777777" w:rsidR="001C08A5" w:rsidRDefault="00000000">
      <w:pPr>
        <w:pStyle w:val="ListParagraph"/>
        <w:numPr>
          <w:ilvl w:val="255"/>
          <w:numId w:val="0"/>
        </w:numPr>
        <w:ind w:firstLine="720"/>
        <w:jc w:val="both"/>
      </w:pPr>
      <w:r>
        <w:rPr>
          <w:b/>
          <w:bCs/>
        </w:rPr>
        <w:lastRenderedPageBreak/>
        <w:t xml:space="preserve">Art. 6.1.4.6. (1) </w:t>
      </w:r>
      <w:r>
        <w:t xml:space="preserve">Depozitele frigorifice de tip box in box (cu temperatura interioară </w:t>
      </w:r>
      <w:r>
        <w:rPr>
          <w:b/>
          <w:bCs/>
        </w:rPr>
        <w:t>t &lt; 4</w:t>
      </w:r>
      <w:r>
        <w:rPr>
          <w:b/>
          <w:bCs/>
          <w:vertAlign w:val="superscript"/>
        </w:rPr>
        <w:t>0</w:t>
      </w:r>
      <w:r>
        <w:rPr>
          <w:b/>
          <w:bCs/>
        </w:rPr>
        <w:t>C</w:t>
      </w:r>
      <w:r>
        <w:t xml:space="preserve">)  cu suprafata mai mica de </w:t>
      </w:r>
      <w:r>
        <w:rPr>
          <w:b/>
          <w:bCs/>
        </w:rPr>
        <w:t>100</w:t>
      </w:r>
      <w:r>
        <w:t xml:space="preserve"> </w:t>
      </w:r>
      <w:r>
        <w:rPr>
          <w:b/>
        </w:rPr>
        <w:t>m²</w:t>
      </w:r>
      <w:r>
        <w:t xml:space="preserve"> nu se compartimentează cu elemente cu performanță la foc și nu se prevăd cu sisteme de evacuare a fumului și gazelor fierbinți.</w:t>
      </w:r>
    </w:p>
    <w:p w14:paraId="421B372D" w14:textId="77777777" w:rsidR="001C08A5" w:rsidRDefault="00000000">
      <w:pPr>
        <w:pStyle w:val="ListParagraph"/>
        <w:numPr>
          <w:ilvl w:val="255"/>
          <w:numId w:val="0"/>
        </w:numPr>
        <w:ind w:firstLine="720"/>
        <w:jc w:val="both"/>
      </w:pPr>
      <w:r>
        <w:rPr>
          <w:b/>
          <w:bCs/>
        </w:rPr>
        <w:t xml:space="preserve">(2) </w:t>
      </w:r>
      <w:r>
        <w:t>Depozitele frigorifice de tip box in box (cu temperatura interioară</w:t>
      </w:r>
      <w:r>
        <w:rPr>
          <w:b/>
          <w:bCs/>
        </w:rPr>
        <w:t xml:space="preserve"> t &lt; 4</w:t>
      </w:r>
      <w:r>
        <w:rPr>
          <w:b/>
          <w:bCs/>
          <w:vertAlign w:val="superscript"/>
        </w:rPr>
        <w:t>0</w:t>
      </w:r>
      <w:r>
        <w:rPr>
          <w:b/>
          <w:bCs/>
        </w:rPr>
        <w:t>C</w:t>
      </w:r>
      <w:r>
        <w:t xml:space="preserve">)  cu suprafata mai mare de </w:t>
      </w:r>
      <w:r>
        <w:rPr>
          <w:b/>
          <w:bCs/>
        </w:rPr>
        <w:t>100</w:t>
      </w:r>
      <w:r>
        <w:t xml:space="preserve"> </w:t>
      </w:r>
      <w:r>
        <w:rPr>
          <w:b/>
        </w:rPr>
        <w:t>m²</w:t>
      </w:r>
      <w:r>
        <w:t xml:space="preserve"> se prevăd sisteme de evacuare a fumului și gazelor fierbinți la construcția/spațiu în care acestea sunt amplasate în condițiile în care nu se asigură echiparea acestora cu instalatii automate de reducere a oxigenului.</w:t>
      </w:r>
    </w:p>
    <w:p w14:paraId="29208A92" w14:textId="77777777" w:rsidR="001C08A5" w:rsidRDefault="00000000">
      <w:pPr>
        <w:pStyle w:val="ListParagraph"/>
        <w:numPr>
          <w:ilvl w:val="255"/>
          <w:numId w:val="0"/>
        </w:numPr>
        <w:ind w:firstLine="720"/>
        <w:jc w:val="both"/>
      </w:pPr>
      <w:r>
        <w:rPr>
          <w:b/>
          <w:bCs/>
        </w:rPr>
        <w:t xml:space="preserve">(3) </w:t>
      </w:r>
      <w:r>
        <w:t>Aceste categorii de depozitare nu se echipează cu instalație de stingere cu hidranți interiori.</w:t>
      </w:r>
    </w:p>
    <w:p w14:paraId="6070D8FB" w14:textId="77777777" w:rsidR="001C08A5" w:rsidRDefault="001C08A5">
      <w:pPr>
        <w:ind w:firstLine="720"/>
        <w:jc w:val="both"/>
        <w:rPr>
          <w:sz w:val="24"/>
          <w:szCs w:val="24"/>
        </w:rPr>
      </w:pPr>
    </w:p>
    <w:p w14:paraId="6440FC22" w14:textId="77777777" w:rsidR="001C08A5" w:rsidRDefault="00000000">
      <w:pPr>
        <w:ind w:firstLine="720"/>
        <w:jc w:val="both"/>
        <w:rPr>
          <w:sz w:val="24"/>
          <w:szCs w:val="24"/>
        </w:rPr>
      </w:pPr>
      <w:r>
        <w:rPr>
          <w:b/>
          <w:bCs/>
          <w:sz w:val="24"/>
          <w:szCs w:val="24"/>
        </w:rPr>
        <w:t xml:space="preserve">Art. 6.1.4.7. </w:t>
      </w:r>
      <w:r>
        <w:rPr>
          <w:sz w:val="24"/>
          <w:szCs w:val="24"/>
        </w:rPr>
        <w:t xml:space="preserve">Construcțiile de depozite frigorifice dedicate (cu temperatura interioară </w:t>
      </w:r>
      <w:r>
        <w:rPr>
          <w:b/>
          <w:bCs/>
          <w:sz w:val="24"/>
          <w:szCs w:val="24"/>
        </w:rPr>
        <w:t>t &lt; 4</w:t>
      </w:r>
      <w:r>
        <w:rPr>
          <w:b/>
          <w:bCs/>
          <w:sz w:val="24"/>
          <w:szCs w:val="24"/>
          <w:vertAlign w:val="superscript"/>
        </w:rPr>
        <w:t>0</w:t>
      </w:r>
      <w:r>
        <w:rPr>
          <w:b/>
          <w:bCs/>
          <w:sz w:val="24"/>
          <w:szCs w:val="24"/>
        </w:rPr>
        <w:t>C</w:t>
      </w:r>
      <w:r>
        <w:rPr>
          <w:sz w:val="24"/>
          <w:szCs w:val="24"/>
        </w:rPr>
        <w:t>) nu se prevăd cu sisteme de evacuare a fumului și gazelor fierbinți.</w:t>
      </w:r>
    </w:p>
    <w:p w14:paraId="2C159439" w14:textId="77777777" w:rsidR="001C08A5" w:rsidRDefault="001C08A5">
      <w:pPr>
        <w:pStyle w:val="ListParagraph"/>
        <w:numPr>
          <w:ilvl w:val="255"/>
          <w:numId w:val="0"/>
        </w:numPr>
        <w:jc w:val="both"/>
      </w:pPr>
    </w:p>
    <w:p w14:paraId="52E40973" w14:textId="77777777" w:rsidR="001C08A5" w:rsidRDefault="00000000">
      <w:pPr>
        <w:ind w:firstLine="720"/>
        <w:jc w:val="both"/>
        <w:rPr>
          <w:sz w:val="24"/>
          <w:szCs w:val="24"/>
        </w:rPr>
      </w:pPr>
      <w:r>
        <w:rPr>
          <w:b/>
          <w:bCs/>
          <w:sz w:val="24"/>
          <w:szCs w:val="24"/>
        </w:rPr>
        <w:t xml:space="preserve">Art. 6.1.4.8. (1) </w:t>
      </w:r>
      <w:r>
        <w:rPr>
          <w:sz w:val="24"/>
          <w:szCs w:val="24"/>
        </w:rPr>
        <w:t xml:space="preserve">Depozitele </w:t>
      </w:r>
      <w:r>
        <w:rPr>
          <w:b/>
          <w:bCs/>
          <w:sz w:val="24"/>
          <w:szCs w:val="24"/>
        </w:rPr>
        <w:t>automatizate</w:t>
      </w:r>
      <w:r>
        <w:rPr>
          <w:sz w:val="24"/>
          <w:szCs w:val="24"/>
        </w:rPr>
        <w:t xml:space="preserve"> fără locuri permanente de activitate (de lucru) nu se echipează cu instalație de hidranți interiori.</w:t>
      </w:r>
    </w:p>
    <w:p w14:paraId="114B6A34" w14:textId="77777777" w:rsidR="001C08A5" w:rsidRDefault="00000000">
      <w:pPr>
        <w:jc w:val="both"/>
        <w:rPr>
          <w:sz w:val="24"/>
          <w:szCs w:val="24"/>
        </w:rPr>
      </w:pPr>
      <w:r>
        <w:rPr>
          <w:sz w:val="24"/>
          <w:szCs w:val="24"/>
        </w:rPr>
        <w:tab/>
      </w:r>
      <w:r>
        <w:rPr>
          <w:b/>
          <w:bCs/>
          <w:sz w:val="24"/>
          <w:szCs w:val="24"/>
        </w:rPr>
        <w:t xml:space="preserve">(2) </w:t>
      </w:r>
      <w:r>
        <w:rPr>
          <w:sz w:val="24"/>
          <w:szCs w:val="24"/>
        </w:rPr>
        <w:t xml:space="preserve">La depozitele </w:t>
      </w:r>
      <w:r>
        <w:rPr>
          <w:b/>
          <w:bCs/>
          <w:sz w:val="24"/>
          <w:szCs w:val="24"/>
        </w:rPr>
        <w:t>automatizate</w:t>
      </w:r>
      <w:r>
        <w:rPr>
          <w:sz w:val="24"/>
          <w:szCs w:val="24"/>
        </w:rPr>
        <w:t xml:space="preserve"> fără locuri permanente de activitate (de lucru) la care rafturile de depozitare fac parte din structura de rezistență a clădirii, structura clădirii (stâlpi, grinzi, ferme, contravântuiri şi şarpante ale acoperişurilor) poate fi realizată din metal fără caracteristici de performanță privind rezistența la foc (structură metalică neprotejată), cu condiția asigurării obligatorii a unei instalatii automate de stingere a incendiului cu sprinklere sau de reducere a oxigenului.</w:t>
      </w:r>
    </w:p>
    <w:p w14:paraId="1536162C" w14:textId="77777777" w:rsidR="001C08A5" w:rsidRDefault="001C08A5">
      <w:pPr>
        <w:jc w:val="both"/>
        <w:rPr>
          <w:sz w:val="24"/>
          <w:szCs w:val="24"/>
        </w:rPr>
      </w:pPr>
    </w:p>
    <w:p w14:paraId="56FD622F" w14:textId="77777777" w:rsidR="001C08A5" w:rsidRDefault="00000000">
      <w:pPr>
        <w:jc w:val="both"/>
        <w:rPr>
          <w:sz w:val="24"/>
          <w:szCs w:val="24"/>
        </w:rPr>
      </w:pPr>
      <w:r>
        <w:rPr>
          <w:sz w:val="24"/>
          <w:szCs w:val="24"/>
        </w:rPr>
        <w:tab/>
      </w:r>
      <w:r>
        <w:rPr>
          <w:b/>
          <w:bCs/>
          <w:sz w:val="24"/>
          <w:szCs w:val="24"/>
        </w:rPr>
        <w:t xml:space="preserve">Art. 6.1.4.9. </w:t>
      </w:r>
      <w:r>
        <w:rPr>
          <w:sz w:val="24"/>
          <w:szCs w:val="24"/>
        </w:rPr>
        <w:t>Depozitele prevazute cu instalatie de reducere a oxigenului nu se prevad cu sisteme pentru evacuarea fumului și a gazelor fierbinți.</w:t>
      </w:r>
    </w:p>
    <w:p w14:paraId="51AC9ADC" w14:textId="77777777" w:rsidR="001C08A5" w:rsidRDefault="00000000">
      <w:pPr>
        <w:pStyle w:val="Heading4"/>
      </w:pPr>
      <w:bookmarkStart w:id="5184" w:name="_Toc976"/>
      <w:bookmarkStart w:id="5185" w:name="_Toc9013"/>
      <w:bookmarkStart w:id="5186" w:name="_Toc162355353"/>
      <w:bookmarkStart w:id="5187" w:name="_Toc9878"/>
      <w:bookmarkStart w:id="5188" w:name="_Toc2731"/>
      <w:bookmarkStart w:id="5189" w:name="_Toc15372"/>
      <w:bookmarkStart w:id="5190" w:name="_Toc27618"/>
      <w:bookmarkStart w:id="5191" w:name="_Toc30502"/>
      <w:r>
        <w:t>6.1.5. CĂI DE EVACUARE A UTILIZATORILOR ÎN CAZ DE INCENDIU</w:t>
      </w:r>
      <w:bookmarkEnd w:id="5184"/>
      <w:bookmarkEnd w:id="5185"/>
      <w:bookmarkEnd w:id="5186"/>
      <w:bookmarkEnd w:id="5187"/>
      <w:bookmarkEnd w:id="5188"/>
      <w:bookmarkEnd w:id="5189"/>
      <w:bookmarkEnd w:id="5190"/>
      <w:bookmarkEnd w:id="5191"/>
    </w:p>
    <w:p w14:paraId="65BDD870" w14:textId="77777777" w:rsidR="001C08A5" w:rsidRDefault="001C08A5">
      <w:pPr>
        <w:jc w:val="both"/>
        <w:rPr>
          <w:b/>
          <w:sz w:val="24"/>
          <w:szCs w:val="24"/>
        </w:rPr>
      </w:pPr>
    </w:p>
    <w:p w14:paraId="3F253DD1" w14:textId="77777777" w:rsidR="001C08A5" w:rsidRDefault="00000000">
      <w:pPr>
        <w:jc w:val="both"/>
        <w:rPr>
          <w:sz w:val="24"/>
          <w:szCs w:val="24"/>
        </w:rPr>
      </w:pPr>
      <w:r>
        <w:rPr>
          <w:b/>
          <w:sz w:val="24"/>
          <w:szCs w:val="24"/>
        </w:rPr>
        <w:tab/>
        <w:t>Art. 6.1.5.1. (1)</w:t>
      </w:r>
      <w:r>
        <w:rPr>
          <w:sz w:val="24"/>
          <w:szCs w:val="24"/>
        </w:rPr>
        <w:t xml:space="preserve"> Construcţiile de producţie şi/sau depozitare vor avea asigurate căi de evacuare a utilizatorilor în caz de incendiu, dispuse, alcătuite și dimensionate potrivit prevederilor normativului.</w:t>
      </w:r>
    </w:p>
    <w:p w14:paraId="12C161CE" w14:textId="77777777" w:rsidR="001C08A5" w:rsidRDefault="00000000">
      <w:pPr>
        <w:ind w:firstLine="720"/>
        <w:jc w:val="both"/>
        <w:rPr>
          <w:b/>
          <w:sz w:val="24"/>
          <w:szCs w:val="24"/>
        </w:rPr>
      </w:pPr>
      <w:r>
        <w:rPr>
          <w:b/>
          <w:sz w:val="24"/>
          <w:szCs w:val="24"/>
        </w:rPr>
        <w:t xml:space="preserve">(2) </w:t>
      </w:r>
      <w:r>
        <w:rPr>
          <w:sz w:val="24"/>
          <w:szCs w:val="24"/>
        </w:rPr>
        <w:t>La depozitele fără personal permanent de lucru, circulaţiile funcţionale nu trebuie să îndeplinească condiţiile prevăzute pentru căile de evacuare în caz de incendiu.</w:t>
      </w:r>
    </w:p>
    <w:p w14:paraId="1FD1DE60" w14:textId="77777777" w:rsidR="001C08A5" w:rsidRDefault="001C08A5">
      <w:pPr>
        <w:jc w:val="both"/>
        <w:rPr>
          <w:b/>
          <w:sz w:val="24"/>
          <w:szCs w:val="24"/>
        </w:rPr>
      </w:pPr>
    </w:p>
    <w:p w14:paraId="514CC7BD" w14:textId="77777777" w:rsidR="001C08A5" w:rsidRDefault="00000000">
      <w:pPr>
        <w:jc w:val="both"/>
        <w:rPr>
          <w:b/>
          <w:sz w:val="24"/>
          <w:szCs w:val="24"/>
        </w:rPr>
      </w:pPr>
      <w:r>
        <w:rPr>
          <w:b/>
          <w:sz w:val="24"/>
          <w:szCs w:val="24"/>
        </w:rPr>
        <w:tab/>
        <w:t xml:space="preserve">Art. 6.1.5.2. </w:t>
      </w:r>
      <w:r>
        <w:rPr>
          <w:sz w:val="24"/>
          <w:szCs w:val="24"/>
        </w:rPr>
        <w:t>În construcţiile de producţie şi/sau depozitare, pot fi considerate căi de evacuare a utilizatorilor și cele care trec prin:</w:t>
      </w:r>
    </w:p>
    <w:p w14:paraId="099786B7" w14:textId="77777777" w:rsidR="001C08A5" w:rsidRDefault="00000000">
      <w:pPr>
        <w:ind w:left="1211"/>
        <w:jc w:val="both"/>
        <w:rPr>
          <w:b/>
          <w:sz w:val="24"/>
          <w:szCs w:val="24"/>
        </w:rPr>
      </w:pPr>
      <w:r>
        <w:rPr>
          <w:b/>
          <w:sz w:val="24"/>
          <w:szCs w:val="24"/>
        </w:rPr>
        <w:t>a)</w:t>
      </w:r>
      <w:r>
        <w:rPr>
          <w:sz w:val="24"/>
          <w:szCs w:val="24"/>
        </w:rPr>
        <w:t xml:space="preserve"> încăperi sau spaţii cu riscuri mici de incendiu, dacă servesc la evacuarea utilizatorilor spaţiilor de producţie învecinate sau din anexele tehnico-sociale ale acestora;</w:t>
      </w:r>
    </w:p>
    <w:p w14:paraId="1517C0EC" w14:textId="77777777" w:rsidR="001C08A5" w:rsidRDefault="00000000">
      <w:pPr>
        <w:ind w:left="1211"/>
        <w:jc w:val="both"/>
        <w:rPr>
          <w:b/>
          <w:sz w:val="24"/>
          <w:szCs w:val="24"/>
        </w:rPr>
      </w:pPr>
      <w:r>
        <w:rPr>
          <w:b/>
          <w:sz w:val="24"/>
          <w:szCs w:val="24"/>
        </w:rPr>
        <w:t xml:space="preserve">b) </w:t>
      </w:r>
      <w:r>
        <w:rPr>
          <w:sz w:val="24"/>
          <w:szCs w:val="24"/>
        </w:rPr>
        <w:t xml:space="preserve">încăperi sau spaţii cu risc mijlociu mare sau foarte mare de incendiu, fără explozie volumetrică, dacă servesc la evacuarea utilizatorilor spaţiilor învecinate și nu constituie singura lor cale de evacuare, situaţie în care a doua cale de evacuare poate fi constituită tot de un spaţiu cu risc mijlociu, mare sau foarte mare de incendiu dacă traseele sunt distincte şi separate între ele prin pereţi rezistenţi la foc minimum </w:t>
      </w:r>
      <w:r>
        <w:rPr>
          <w:b/>
          <w:sz w:val="24"/>
          <w:szCs w:val="24"/>
        </w:rPr>
        <w:t>EI/REI 60</w:t>
      </w:r>
      <w:r>
        <w:rPr>
          <w:sz w:val="24"/>
          <w:szCs w:val="24"/>
        </w:rPr>
        <w:t xml:space="preserve"> iar golurile de circulaţie din aceştia sunt protejate cu elemente de închidere rezistente la foc și etanșe la fum minimum </w:t>
      </w:r>
      <w:r>
        <w:rPr>
          <w:b/>
          <w:bCs/>
          <w:sz w:val="24"/>
          <w:szCs w:val="24"/>
        </w:rPr>
        <w:t>EI</w:t>
      </w:r>
      <w:r>
        <w:rPr>
          <w:b/>
          <w:bCs/>
          <w:sz w:val="24"/>
          <w:szCs w:val="24"/>
          <w:vertAlign w:val="subscript"/>
        </w:rPr>
        <w:t>2</w:t>
      </w:r>
      <w:r>
        <w:rPr>
          <w:b/>
          <w:bCs/>
          <w:sz w:val="24"/>
          <w:szCs w:val="24"/>
        </w:rPr>
        <w:t>45-C5S</w:t>
      </w:r>
      <w:r>
        <w:rPr>
          <w:b/>
          <w:bCs/>
          <w:sz w:val="24"/>
          <w:szCs w:val="24"/>
          <w:vertAlign w:val="subscript"/>
        </w:rPr>
        <w:t>200</w:t>
      </w:r>
      <w:r>
        <w:rPr>
          <w:sz w:val="24"/>
          <w:szCs w:val="24"/>
        </w:rPr>
        <w:t>;</w:t>
      </w:r>
    </w:p>
    <w:p w14:paraId="4B50D82E" w14:textId="77777777" w:rsidR="001C08A5" w:rsidRDefault="00000000">
      <w:pPr>
        <w:ind w:left="1211"/>
        <w:jc w:val="both"/>
        <w:rPr>
          <w:sz w:val="24"/>
          <w:szCs w:val="24"/>
        </w:rPr>
      </w:pPr>
      <w:r>
        <w:rPr>
          <w:b/>
          <w:sz w:val="24"/>
          <w:szCs w:val="24"/>
        </w:rPr>
        <w:t xml:space="preserve">c) </w:t>
      </w:r>
      <w:r>
        <w:rPr>
          <w:sz w:val="24"/>
          <w:szCs w:val="24"/>
        </w:rPr>
        <w:t>încăperi sau spaţii cu risc foarte mare de incendiu și explozie volumetrică, dacă servesc la evacuarea utilizatorilor spaţiilor de producţie sau depozitare cu acelaşi risc de incendiu şi nu constituie singura lor posibilitate de evacuare;</w:t>
      </w:r>
    </w:p>
    <w:p w14:paraId="77822A42" w14:textId="77777777" w:rsidR="001C08A5" w:rsidRDefault="001C08A5">
      <w:pPr>
        <w:jc w:val="both"/>
        <w:rPr>
          <w:sz w:val="24"/>
          <w:szCs w:val="24"/>
        </w:rPr>
      </w:pPr>
    </w:p>
    <w:p w14:paraId="579C261A" w14:textId="77777777" w:rsidR="001C08A5" w:rsidRDefault="00000000">
      <w:pPr>
        <w:jc w:val="both"/>
        <w:rPr>
          <w:sz w:val="24"/>
          <w:szCs w:val="24"/>
        </w:rPr>
      </w:pPr>
      <w:r>
        <w:rPr>
          <w:b/>
          <w:sz w:val="24"/>
          <w:szCs w:val="24"/>
        </w:rPr>
        <w:tab/>
        <w:t xml:space="preserve">Art. 6.1.5.3. </w:t>
      </w:r>
      <w:r>
        <w:rPr>
          <w:sz w:val="24"/>
          <w:szCs w:val="24"/>
        </w:rPr>
        <w:t xml:space="preserve">Evacuarea utilizatorilor birourilor amplasate în spaţiile de producţie şi destinate celor care conduc nemijlocit producţia (maiştri, supraveghetori, conducere etc.) și a birourilor de recepţie ale depozitelor, se poate asigura prin spaţiile respective de producţie sau depozitare. </w:t>
      </w:r>
    </w:p>
    <w:p w14:paraId="1C6EA4AA" w14:textId="77777777" w:rsidR="001C08A5" w:rsidRDefault="001C08A5">
      <w:pPr>
        <w:jc w:val="both"/>
        <w:rPr>
          <w:sz w:val="24"/>
          <w:szCs w:val="24"/>
        </w:rPr>
      </w:pPr>
    </w:p>
    <w:p w14:paraId="5BAFD2D7" w14:textId="77777777" w:rsidR="001C08A5" w:rsidRDefault="00000000">
      <w:pPr>
        <w:jc w:val="both"/>
        <w:rPr>
          <w:sz w:val="24"/>
          <w:szCs w:val="24"/>
        </w:rPr>
      </w:pPr>
      <w:r>
        <w:rPr>
          <w:b/>
          <w:sz w:val="24"/>
          <w:szCs w:val="24"/>
        </w:rPr>
        <w:tab/>
        <w:t xml:space="preserve">Art. 6.1.5.4. (1) </w:t>
      </w:r>
      <w:r>
        <w:rPr>
          <w:sz w:val="24"/>
          <w:szCs w:val="24"/>
        </w:rPr>
        <w:t>Scările de evacuare a utilizatorilor din construcţii de producţie şi/sau depozitare supraterane se separă faţă de restul construcţiei cu pereţi rezistenţi la foc minimum:</w:t>
      </w:r>
    </w:p>
    <w:p w14:paraId="03386E15" w14:textId="77777777" w:rsidR="001C08A5" w:rsidRDefault="00000000">
      <w:pPr>
        <w:ind w:left="2552" w:firstLine="24"/>
        <w:jc w:val="both"/>
        <w:rPr>
          <w:b/>
          <w:sz w:val="24"/>
          <w:szCs w:val="24"/>
        </w:rPr>
      </w:pPr>
      <w:r>
        <w:rPr>
          <w:b/>
          <w:sz w:val="24"/>
          <w:szCs w:val="24"/>
        </w:rPr>
        <w:lastRenderedPageBreak/>
        <w:t xml:space="preserve">a) EI/REI 180 </w:t>
      </w:r>
      <w:r>
        <w:rPr>
          <w:bCs/>
          <w:sz w:val="24"/>
          <w:szCs w:val="24"/>
        </w:rPr>
        <w:t xml:space="preserve">şi clasa de reacţie la foc </w:t>
      </w:r>
      <w:r>
        <w:rPr>
          <w:b/>
          <w:sz w:val="24"/>
          <w:szCs w:val="24"/>
        </w:rPr>
        <w:t>A1</w:t>
      </w:r>
      <w:r>
        <w:rPr>
          <w:bCs/>
          <w:sz w:val="24"/>
          <w:szCs w:val="24"/>
        </w:rPr>
        <w:t xml:space="preserve"> sau </w:t>
      </w:r>
      <w:r>
        <w:rPr>
          <w:b/>
          <w:sz w:val="24"/>
          <w:szCs w:val="24"/>
        </w:rPr>
        <w:t>A2-s1d0</w:t>
      </w:r>
      <w:r>
        <w:rPr>
          <w:sz w:val="24"/>
          <w:szCs w:val="24"/>
        </w:rPr>
        <w:t xml:space="preserve"> în construcţiile cu nivelul de stabilitate la incendiu </w:t>
      </w:r>
      <w:r>
        <w:rPr>
          <w:b/>
          <w:sz w:val="24"/>
          <w:szCs w:val="24"/>
        </w:rPr>
        <w:t>I</w:t>
      </w:r>
      <w:r>
        <w:rPr>
          <w:bCs/>
          <w:sz w:val="24"/>
          <w:szCs w:val="24"/>
        </w:rPr>
        <w:t>;</w:t>
      </w:r>
    </w:p>
    <w:p w14:paraId="26E3C54A" w14:textId="77777777" w:rsidR="001C08A5" w:rsidRDefault="00000000">
      <w:pPr>
        <w:ind w:left="2552"/>
        <w:jc w:val="both"/>
        <w:rPr>
          <w:b/>
          <w:sz w:val="24"/>
          <w:szCs w:val="24"/>
        </w:rPr>
      </w:pPr>
      <w:r>
        <w:rPr>
          <w:b/>
          <w:sz w:val="24"/>
          <w:szCs w:val="24"/>
        </w:rPr>
        <w:t xml:space="preserve">b) EI/REI 120 și </w:t>
      </w:r>
      <w:r>
        <w:rPr>
          <w:bCs/>
          <w:sz w:val="24"/>
          <w:szCs w:val="24"/>
        </w:rPr>
        <w:t xml:space="preserve">clasa de reacţie la foc </w:t>
      </w:r>
      <w:r>
        <w:rPr>
          <w:b/>
          <w:sz w:val="24"/>
          <w:szCs w:val="24"/>
        </w:rPr>
        <w:t>A1</w:t>
      </w:r>
      <w:r>
        <w:rPr>
          <w:bCs/>
          <w:sz w:val="24"/>
          <w:szCs w:val="24"/>
        </w:rPr>
        <w:t xml:space="preserve"> sau </w:t>
      </w:r>
      <w:r>
        <w:rPr>
          <w:b/>
          <w:sz w:val="24"/>
          <w:szCs w:val="24"/>
        </w:rPr>
        <w:t xml:space="preserve">A2-s1d0 </w:t>
      </w:r>
      <w:r>
        <w:rPr>
          <w:sz w:val="24"/>
          <w:szCs w:val="24"/>
        </w:rPr>
        <w:t xml:space="preserve">în construcţiile cu nivelul de stabilitate la incendiu </w:t>
      </w:r>
      <w:r>
        <w:rPr>
          <w:b/>
          <w:sz w:val="24"/>
          <w:szCs w:val="24"/>
        </w:rPr>
        <w:t>II</w:t>
      </w:r>
      <w:r>
        <w:rPr>
          <w:sz w:val="24"/>
          <w:szCs w:val="24"/>
        </w:rPr>
        <w:t xml:space="preserve"> ;</w:t>
      </w:r>
    </w:p>
    <w:p w14:paraId="0B14816E" w14:textId="77777777" w:rsidR="001C08A5" w:rsidRDefault="00000000">
      <w:pPr>
        <w:ind w:left="2552"/>
        <w:jc w:val="both"/>
        <w:rPr>
          <w:b/>
          <w:sz w:val="24"/>
          <w:szCs w:val="24"/>
        </w:rPr>
      </w:pPr>
      <w:r>
        <w:rPr>
          <w:b/>
          <w:sz w:val="24"/>
          <w:szCs w:val="24"/>
        </w:rPr>
        <w:t xml:space="preserve">c) EI/REI 90 și </w:t>
      </w:r>
      <w:r>
        <w:rPr>
          <w:bCs/>
          <w:sz w:val="24"/>
          <w:szCs w:val="24"/>
        </w:rPr>
        <w:t xml:space="preserve">clasa de reacţie la foc </w:t>
      </w:r>
      <w:r>
        <w:rPr>
          <w:b/>
          <w:sz w:val="24"/>
          <w:szCs w:val="24"/>
        </w:rPr>
        <w:t xml:space="preserve">A1 </w:t>
      </w:r>
      <w:r>
        <w:rPr>
          <w:sz w:val="24"/>
          <w:szCs w:val="24"/>
        </w:rPr>
        <w:t>sau</w:t>
      </w:r>
      <w:r>
        <w:rPr>
          <w:b/>
          <w:sz w:val="24"/>
          <w:szCs w:val="24"/>
        </w:rPr>
        <w:t xml:space="preserve"> A2-s1d0 </w:t>
      </w:r>
      <w:r>
        <w:rPr>
          <w:sz w:val="24"/>
          <w:szCs w:val="24"/>
        </w:rPr>
        <w:t xml:space="preserve">în construcţiile cu nivelul de stabilitate la incendiu </w:t>
      </w:r>
      <w:r>
        <w:rPr>
          <w:b/>
          <w:sz w:val="24"/>
          <w:szCs w:val="24"/>
        </w:rPr>
        <w:t>III</w:t>
      </w:r>
      <w:r>
        <w:rPr>
          <w:sz w:val="24"/>
          <w:szCs w:val="24"/>
        </w:rPr>
        <w:t xml:space="preserve">;  </w:t>
      </w:r>
    </w:p>
    <w:p w14:paraId="2CB5FF67" w14:textId="77777777" w:rsidR="001C08A5" w:rsidRDefault="00000000">
      <w:pPr>
        <w:ind w:left="2552"/>
        <w:jc w:val="both"/>
        <w:rPr>
          <w:b/>
          <w:sz w:val="24"/>
          <w:szCs w:val="24"/>
        </w:rPr>
      </w:pPr>
      <w:r>
        <w:rPr>
          <w:b/>
          <w:sz w:val="24"/>
          <w:szCs w:val="24"/>
        </w:rPr>
        <w:t xml:space="preserve">d) EI/REI 45 </w:t>
      </w:r>
      <w:r>
        <w:rPr>
          <w:bCs/>
          <w:sz w:val="24"/>
          <w:szCs w:val="24"/>
        </w:rPr>
        <w:t xml:space="preserve">şi clasa de reacţie la foc </w:t>
      </w:r>
      <w:r>
        <w:rPr>
          <w:b/>
          <w:sz w:val="24"/>
          <w:szCs w:val="24"/>
        </w:rPr>
        <w:t>A1</w:t>
      </w:r>
      <w:r>
        <w:rPr>
          <w:bCs/>
          <w:sz w:val="24"/>
          <w:szCs w:val="24"/>
        </w:rPr>
        <w:t xml:space="preserve">, </w:t>
      </w:r>
      <w:r>
        <w:rPr>
          <w:b/>
          <w:sz w:val="24"/>
          <w:szCs w:val="24"/>
        </w:rPr>
        <w:t xml:space="preserve">A2-s1d0 </w:t>
      </w:r>
      <w:r>
        <w:rPr>
          <w:sz w:val="24"/>
          <w:szCs w:val="24"/>
        </w:rPr>
        <w:t xml:space="preserve">sau </w:t>
      </w:r>
      <w:r>
        <w:rPr>
          <w:b/>
          <w:sz w:val="24"/>
          <w:szCs w:val="24"/>
        </w:rPr>
        <w:t xml:space="preserve">B-s1d0 </w:t>
      </w:r>
      <w:r>
        <w:rPr>
          <w:sz w:val="24"/>
          <w:szCs w:val="24"/>
        </w:rPr>
        <w:t xml:space="preserve">în construcţiile cu nivelul de stabilitate la incendiu </w:t>
      </w:r>
      <w:r>
        <w:rPr>
          <w:b/>
          <w:sz w:val="24"/>
          <w:szCs w:val="24"/>
        </w:rPr>
        <w:t>IV</w:t>
      </w:r>
      <w:r>
        <w:rPr>
          <w:sz w:val="24"/>
          <w:szCs w:val="24"/>
        </w:rPr>
        <w:t>;</w:t>
      </w:r>
    </w:p>
    <w:p w14:paraId="5D13CCDC" w14:textId="77777777" w:rsidR="001C08A5" w:rsidRDefault="00000000">
      <w:pPr>
        <w:ind w:left="2552" w:firstLine="24"/>
        <w:jc w:val="both"/>
        <w:rPr>
          <w:sz w:val="24"/>
          <w:szCs w:val="24"/>
        </w:rPr>
      </w:pPr>
      <w:r>
        <w:rPr>
          <w:b/>
          <w:sz w:val="24"/>
          <w:szCs w:val="24"/>
        </w:rPr>
        <w:t>e) EI/REI 30</w:t>
      </w:r>
      <w:r>
        <w:rPr>
          <w:bCs/>
          <w:sz w:val="24"/>
          <w:szCs w:val="24"/>
        </w:rPr>
        <w:t xml:space="preserve"> și clasa de reacţie la foc </w:t>
      </w:r>
      <w:r>
        <w:rPr>
          <w:b/>
          <w:bCs/>
          <w:sz w:val="24"/>
          <w:szCs w:val="24"/>
        </w:rPr>
        <w:t>A1</w:t>
      </w:r>
      <w:r>
        <w:rPr>
          <w:bCs/>
          <w:sz w:val="24"/>
          <w:szCs w:val="24"/>
        </w:rPr>
        <w:t xml:space="preserve">, </w:t>
      </w:r>
      <w:r>
        <w:rPr>
          <w:b/>
          <w:bCs/>
          <w:sz w:val="24"/>
          <w:szCs w:val="24"/>
        </w:rPr>
        <w:t>A2-s1d0</w:t>
      </w:r>
      <w:r>
        <w:rPr>
          <w:bCs/>
          <w:sz w:val="24"/>
          <w:szCs w:val="24"/>
        </w:rPr>
        <w:t xml:space="preserve">, </w:t>
      </w:r>
      <w:r>
        <w:rPr>
          <w:b/>
          <w:bCs/>
          <w:sz w:val="24"/>
          <w:szCs w:val="24"/>
        </w:rPr>
        <w:t>B-s1d0</w:t>
      </w:r>
      <w:r>
        <w:rPr>
          <w:bCs/>
          <w:sz w:val="24"/>
          <w:szCs w:val="24"/>
        </w:rPr>
        <w:t xml:space="preserve"> sau </w:t>
      </w:r>
      <w:r>
        <w:rPr>
          <w:b/>
          <w:bCs/>
          <w:sz w:val="24"/>
          <w:szCs w:val="24"/>
        </w:rPr>
        <w:t xml:space="preserve">C-s1d0 </w:t>
      </w:r>
      <w:r>
        <w:rPr>
          <w:sz w:val="24"/>
          <w:szCs w:val="24"/>
        </w:rPr>
        <w:t xml:space="preserve">în construcţiile cu nivelul de stabilitate la incendiu </w:t>
      </w:r>
      <w:r>
        <w:rPr>
          <w:b/>
          <w:sz w:val="24"/>
          <w:szCs w:val="24"/>
        </w:rPr>
        <w:t>V</w:t>
      </w:r>
      <w:r>
        <w:rPr>
          <w:sz w:val="24"/>
          <w:szCs w:val="24"/>
        </w:rPr>
        <w:t>.</w:t>
      </w:r>
    </w:p>
    <w:p w14:paraId="5BA707D6" w14:textId="77777777" w:rsidR="001C08A5" w:rsidRDefault="00000000">
      <w:pPr>
        <w:jc w:val="both"/>
        <w:rPr>
          <w:sz w:val="24"/>
          <w:szCs w:val="24"/>
        </w:rPr>
      </w:pPr>
      <w:r>
        <w:rPr>
          <w:b/>
          <w:sz w:val="24"/>
          <w:szCs w:val="24"/>
        </w:rPr>
        <w:tab/>
        <w:t xml:space="preserve">(2) </w:t>
      </w:r>
      <w:r>
        <w:rPr>
          <w:sz w:val="24"/>
          <w:szCs w:val="24"/>
        </w:rPr>
        <w:t>Pereţii de separare ale caselor de scări închise de circulaţie funcţională şi de evacuare a utilizatorilor faţă de restul construcţiei</w:t>
      </w:r>
      <w:r>
        <w:rPr>
          <w:bCs/>
          <w:sz w:val="24"/>
          <w:szCs w:val="24"/>
        </w:rPr>
        <w:t>,</w:t>
      </w:r>
      <w:r>
        <w:rPr>
          <w:sz w:val="24"/>
          <w:szCs w:val="24"/>
        </w:rPr>
        <w:t xml:space="preserve"> vor îndeplini şi condiţiile specifice respectivelor riscuri de incendiu şi/sau explozie volumetrică din încăperile adiacente.</w:t>
      </w:r>
    </w:p>
    <w:p w14:paraId="31E47682" w14:textId="77777777" w:rsidR="001C08A5" w:rsidRDefault="001C08A5">
      <w:pPr>
        <w:jc w:val="both"/>
        <w:rPr>
          <w:sz w:val="24"/>
          <w:szCs w:val="24"/>
        </w:rPr>
      </w:pPr>
    </w:p>
    <w:p w14:paraId="24A323EF" w14:textId="77777777" w:rsidR="001C08A5" w:rsidRDefault="00000000">
      <w:pPr>
        <w:jc w:val="both"/>
        <w:rPr>
          <w:dstrike/>
          <w:sz w:val="24"/>
          <w:szCs w:val="24"/>
        </w:rPr>
      </w:pPr>
      <w:r>
        <w:rPr>
          <w:b/>
          <w:sz w:val="24"/>
          <w:szCs w:val="24"/>
        </w:rPr>
        <w:tab/>
        <w:t>Art. 6.1.5.5. (1)</w:t>
      </w:r>
      <w:r>
        <w:rPr>
          <w:sz w:val="24"/>
          <w:szCs w:val="24"/>
        </w:rPr>
        <w:t xml:space="preserve"> Planşeele care separă faţă de restul construcţiei casele de scări a utilizatorilor din construcţii de producţie şi/sau depozitare supraterane și căile lor de ieşire în exterior la nivelul terenului sau al carosabilului adiacent, trebuie să fie rezistente la foc conform cerinţelor referitoare la asigurarea nivelului de stabilitate la incendiu a construcţiei, dar minimum:</w:t>
      </w:r>
    </w:p>
    <w:p w14:paraId="21A63EF9" w14:textId="77777777" w:rsidR="001C08A5" w:rsidRDefault="00000000">
      <w:pPr>
        <w:jc w:val="both"/>
        <w:rPr>
          <w:sz w:val="24"/>
          <w:szCs w:val="24"/>
        </w:rPr>
      </w:pPr>
      <w:r>
        <w:rPr>
          <w:sz w:val="24"/>
          <w:szCs w:val="24"/>
        </w:rPr>
        <w:tab/>
      </w:r>
      <w:r>
        <w:rPr>
          <w:sz w:val="24"/>
          <w:szCs w:val="24"/>
        </w:rPr>
        <w:tab/>
      </w:r>
      <w:r>
        <w:rPr>
          <w:b/>
          <w:sz w:val="24"/>
          <w:szCs w:val="24"/>
        </w:rPr>
        <w:t>a) REI 90</w:t>
      </w:r>
      <w:r>
        <w:rPr>
          <w:sz w:val="24"/>
          <w:szCs w:val="24"/>
        </w:rPr>
        <w:t xml:space="preserve">, în construcţiile cu nivelul de stabilitate la incendiu </w:t>
      </w:r>
      <w:r>
        <w:rPr>
          <w:b/>
          <w:sz w:val="24"/>
          <w:szCs w:val="24"/>
        </w:rPr>
        <w:t>I</w:t>
      </w:r>
      <w:r>
        <w:rPr>
          <w:sz w:val="24"/>
          <w:szCs w:val="24"/>
        </w:rPr>
        <w:t>;</w:t>
      </w:r>
    </w:p>
    <w:p w14:paraId="01CAA450" w14:textId="77777777" w:rsidR="001C08A5" w:rsidRDefault="00000000">
      <w:pPr>
        <w:jc w:val="both"/>
        <w:rPr>
          <w:sz w:val="24"/>
          <w:szCs w:val="24"/>
        </w:rPr>
      </w:pPr>
      <w:r>
        <w:rPr>
          <w:sz w:val="24"/>
          <w:szCs w:val="24"/>
        </w:rPr>
        <w:tab/>
      </w:r>
      <w:r>
        <w:rPr>
          <w:sz w:val="24"/>
          <w:szCs w:val="24"/>
        </w:rPr>
        <w:tab/>
      </w:r>
      <w:r>
        <w:rPr>
          <w:b/>
          <w:sz w:val="24"/>
          <w:szCs w:val="24"/>
        </w:rPr>
        <w:t>b) REI 60</w:t>
      </w:r>
      <w:r>
        <w:rPr>
          <w:sz w:val="24"/>
          <w:szCs w:val="24"/>
        </w:rPr>
        <w:t xml:space="preserve">, în construcţile cu nivelul de stabilitate la incendiu </w:t>
      </w:r>
      <w:r>
        <w:rPr>
          <w:b/>
          <w:sz w:val="24"/>
          <w:szCs w:val="24"/>
        </w:rPr>
        <w:t>II</w:t>
      </w:r>
      <w:r>
        <w:rPr>
          <w:sz w:val="24"/>
          <w:szCs w:val="24"/>
        </w:rPr>
        <w:t>;</w:t>
      </w:r>
      <w:r>
        <w:rPr>
          <w:sz w:val="24"/>
          <w:szCs w:val="24"/>
        </w:rPr>
        <w:tab/>
      </w:r>
    </w:p>
    <w:p w14:paraId="560E39F9" w14:textId="77777777" w:rsidR="001C08A5" w:rsidRDefault="00000000">
      <w:pPr>
        <w:jc w:val="both"/>
        <w:rPr>
          <w:b/>
          <w:sz w:val="24"/>
          <w:szCs w:val="24"/>
        </w:rPr>
      </w:pPr>
      <w:r>
        <w:rPr>
          <w:sz w:val="24"/>
          <w:szCs w:val="24"/>
        </w:rPr>
        <w:tab/>
      </w:r>
      <w:r>
        <w:rPr>
          <w:sz w:val="24"/>
          <w:szCs w:val="24"/>
        </w:rPr>
        <w:tab/>
      </w:r>
      <w:r>
        <w:rPr>
          <w:b/>
          <w:sz w:val="24"/>
          <w:szCs w:val="24"/>
        </w:rPr>
        <w:t>c) REI 45</w:t>
      </w:r>
      <w:r>
        <w:rPr>
          <w:sz w:val="24"/>
          <w:szCs w:val="24"/>
        </w:rPr>
        <w:t xml:space="preserve">, în construcţiile cu nivelul de stabilitate la incendiu </w:t>
      </w:r>
      <w:r>
        <w:rPr>
          <w:b/>
          <w:sz w:val="24"/>
          <w:szCs w:val="24"/>
        </w:rPr>
        <w:t>III</w:t>
      </w:r>
      <w:r>
        <w:rPr>
          <w:sz w:val="24"/>
          <w:szCs w:val="24"/>
        </w:rPr>
        <w:t>;</w:t>
      </w:r>
    </w:p>
    <w:p w14:paraId="7AD2E60A" w14:textId="77777777" w:rsidR="001C08A5" w:rsidRDefault="00000000">
      <w:pPr>
        <w:ind w:left="1440"/>
        <w:jc w:val="both"/>
        <w:rPr>
          <w:b/>
          <w:sz w:val="24"/>
          <w:szCs w:val="24"/>
        </w:rPr>
      </w:pPr>
      <w:r>
        <w:rPr>
          <w:b/>
          <w:sz w:val="24"/>
          <w:szCs w:val="24"/>
        </w:rPr>
        <w:t>d) REI 30</w:t>
      </w:r>
      <w:r>
        <w:rPr>
          <w:sz w:val="24"/>
          <w:szCs w:val="24"/>
        </w:rPr>
        <w:t xml:space="preserve">, în construcţiile cu nivelul de stabilitate la incendiu </w:t>
      </w:r>
      <w:r>
        <w:rPr>
          <w:b/>
          <w:sz w:val="24"/>
          <w:szCs w:val="24"/>
        </w:rPr>
        <w:t>IV;</w:t>
      </w:r>
    </w:p>
    <w:p w14:paraId="07D003A6" w14:textId="77777777" w:rsidR="001C08A5" w:rsidRDefault="00000000">
      <w:pPr>
        <w:ind w:left="1440"/>
        <w:jc w:val="both"/>
        <w:rPr>
          <w:sz w:val="24"/>
          <w:szCs w:val="24"/>
        </w:rPr>
      </w:pPr>
      <w:r>
        <w:rPr>
          <w:b/>
          <w:sz w:val="24"/>
          <w:szCs w:val="24"/>
        </w:rPr>
        <w:t>e) REI 15</w:t>
      </w:r>
      <w:r>
        <w:rPr>
          <w:sz w:val="24"/>
          <w:szCs w:val="24"/>
        </w:rPr>
        <w:t xml:space="preserve">, în construcţiile cu nivelul de stabilitate la incendiu </w:t>
      </w:r>
      <w:r>
        <w:rPr>
          <w:b/>
          <w:sz w:val="24"/>
          <w:szCs w:val="24"/>
        </w:rPr>
        <w:t>V.</w:t>
      </w:r>
    </w:p>
    <w:p w14:paraId="5228AE14" w14:textId="77777777" w:rsidR="001C08A5" w:rsidRDefault="00000000">
      <w:pPr>
        <w:jc w:val="both"/>
        <w:rPr>
          <w:sz w:val="24"/>
          <w:szCs w:val="24"/>
        </w:rPr>
      </w:pPr>
      <w:r>
        <w:rPr>
          <w:b/>
          <w:sz w:val="24"/>
          <w:szCs w:val="24"/>
        </w:rPr>
        <w:tab/>
        <w:t xml:space="preserve">(2) </w:t>
      </w:r>
      <w:r>
        <w:rPr>
          <w:sz w:val="24"/>
          <w:szCs w:val="24"/>
        </w:rPr>
        <w:t>În construcţiile de producţie şi/sau depozitare supraterane pot fi prevăzute scări interioare deschise pentru evacuarea utilizatorilor, în următoarele cazuri:</w:t>
      </w:r>
    </w:p>
    <w:p w14:paraId="7DAB06A2" w14:textId="77777777" w:rsidR="001C08A5" w:rsidRDefault="00000000">
      <w:pPr>
        <w:ind w:left="2694"/>
        <w:jc w:val="both"/>
        <w:rPr>
          <w:sz w:val="24"/>
          <w:szCs w:val="24"/>
        </w:rPr>
      </w:pPr>
      <w:r>
        <w:rPr>
          <w:b/>
          <w:sz w:val="24"/>
          <w:szCs w:val="24"/>
        </w:rPr>
        <w:t xml:space="preserve">a) </w:t>
      </w:r>
      <w:r>
        <w:rPr>
          <w:sz w:val="24"/>
          <w:szCs w:val="24"/>
        </w:rPr>
        <w:t xml:space="preserve">construcţii cu nivelul de stabilitate la incendiu </w:t>
      </w:r>
      <w:r>
        <w:rPr>
          <w:b/>
          <w:sz w:val="24"/>
          <w:szCs w:val="24"/>
        </w:rPr>
        <w:t>I</w:t>
      </w:r>
      <w:r>
        <w:rPr>
          <w:sz w:val="24"/>
          <w:szCs w:val="24"/>
        </w:rPr>
        <w:t xml:space="preserve">, </w:t>
      </w:r>
      <w:r>
        <w:rPr>
          <w:b/>
          <w:sz w:val="24"/>
          <w:szCs w:val="24"/>
        </w:rPr>
        <w:t>II</w:t>
      </w:r>
      <w:r>
        <w:rPr>
          <w:sz w:val="24"/>
          <w:szCs w:val="24"/>
        </w:rPr>
        <w:t xml:space="preserve"> sau </w:t>
      </w:r>
      <w:r>
        <w:rPr>
          <w:b/>
          <w:sz w:val="24"/>
          <w:szCs w:val="24"/>
        </w:rPr>
        <w:t>III</w:t>
      </w:r>
      <w:r>
        <w:rPr>
          <w:sz w:val="24"/>
          <w:szCs w:val="24"/>
        </w:rPr>
        <w:t xml:space="preserve"> şi riscuri mici de incendiu, dacă servesc la evacuarea utilizatorilor a cel mult 2 niveluri şi numărul utilizatorilor este mai mic de </w:t>
      </w:r>
      <w:r>
        <w:rPr>
          <w:b/>
          <w:bCs/>
          <w:sz w:val="24"/>
          <w:szCs w:val="24"/>
        </w:rPr>
        <w:t>50</w:t>
      </w:r>
      <w:r>
        <w:rPr>
          <w:sz w:val="24"/>
          <w:szCs w:val="24"/>
        </w:rPr>
        <w:t>;</w:t>
      </w:r>
    </w:p>
    <w:p w14:paraId="252A7F19" w14:textId="77777777" w:rsidR="001C08A5" w:rsidRDefault="00000000">
      <w:pPr>
        <w:ind w:left="2694"/>
        <w:jc w:val="both"/>
        <w:rPr>
          <w:b/>
          <w:sz w:val="24"/>
          <w:szCs w:val="24"/>
        </w:rPr>
      </w:pPr>
      <w:r>
        <w:rPr>
          <w:b/>
          <w:sz w:val="24"/>
          <w:szCs w:val="24"/>
        </w:rPr>
        <w:t>b)</w:t>
      </w:r>
      <w:r>
        <w:rPr>
          <w:sz w:val="24"/>
          <w:szCs w:val="24"/>
        </w:rPr>
        <w:t xml:space="preserve"> construcţii cu nivelul de stabilitate la incendiu </w:t>
      </w:r>
      <w:r>
        <w:rPr>
          <w:b/>
          <w:sz w:val="24"/>
          <w:szCs w:val="24"/>
        </w:rPr>
        <w:t>I</w:t>
      </w:r>
      <w:r>
        <w:rPr>
          <w:sz w:val="24"/>
          <w:szCs w:val="24"/>
        </w:rPr>
        <w:t xml:space="preserve"> sau </w:t>
      </w:r>
      <w:r>
        <w:rPr>
          <w:b/>
          <w:sz w:val="24"/>
          <w:szCs w:val="24"/>
        </w:rPr>
        <w:t>II</w:t>
      </w:r>
      <w:r>
        <w:rPr>
          <w:sz w:val="24"/>
          <w:szCs w:val="24"/>
        </w:rPr>
        <w:t xml:space="preserve"> şi riscuri mijlocii de incendiu, dacă servesc la evacuarea unui singur nivel și numărul utilizatorilor este de maximum </w:t>
      </w:r>
      <w:r>
        <w:rPr>
          <w:b/>
          <w:bCs/>
          <w:sz w:val="24"/>
          <w:szCs w:val="24"/>
        </w:rPr>
        <w:t>30</w:t>
      </w:r>
      <w:r>
        <w:rPr>
          <w:sz w:val="24"/>
          <w:szCs w:val="24"/>
        </w:rPr>
        <w:t>;</w:t>
      </w:r>
    </w:p>
    <w:p w14:paraId="6A5A9A80" w14:textId="77777777" w:rsidR="001C08A5" w:rsidRDefault="00000000">
      <w:pPr>
        <w:jc w:val="both"/>
        <w:rPr>
          <w:b/>
          <w:sz w:val="24"/>
          <w:szCs w:val="24"/>
        </w:rPr>
      </w:pPr>
      <w:r>
        <w:rPr>
          <w:b/>
          <w:sz w:val="24"/>
          <w:szCs w:val="24"/>
        </w:rPr>
        <w:tab/>
        <w:t>(3)</w:t>
      </w:r>
      <w:r>
        <w:rPr>
          <w:sz w:val="24"/>
          <w:szCs w:val="24"/>
        </w:rPr>
        <w:t xml:space="preserve"> Indiferent de nivelul de stabilitate la incendiu și riscul de incendiu, în construcţiile de producţie şi/sau depozitare se pot prevedea scări deschise pentru accesul utilizatorilor la maşini, utilaje, pasarele, platforme deschise, supante etc., care nu constituie locuri permanente de lucru.</w:t>
      </w:r>
    </w:p>
    <w:p w14:paraId="30E61816" w14:textId="77777777" w:rsidR="001C08A5" w:rsidRDefault="001C08A5">
      <w:pPr>
        <w:jc w:val="both"/>
        <w:rPr>
          <w:b/>
          <w:sz w:val="24"/>
          <w:szCs w:val="24"/>
        </w:rPr>
      </w:pPr>
    </w:p>
    <w:p w14:paraId="0636D9F0" w14:textId="77777777" w:rsidR="001C08A5" w:rsidRDefault="00000000">
      <w:pPr>
        <w:jc w:val="both"/>
        <w:rPr>
          <w:sz w:val="24"/>
          <w:szCs w:val="24"/>
        </w:rPr>
      </w:pPr>
      <w:r>
        <w:rPr>
          <w:b/>
          <w:sz w:val="24"/>
          <w:szCs w:val="24"/>
        </w:rPr>
        <w:tab/>
        <w:t xml:space="preserve">Art. 6.1.5.6. </w:t>
      </w:r>
      <w:r>
        <w:rPr>
          <w:b/>
          <w:bCs/>
          <w:sz w:val="24"/>
          <w:szCs w:val="24"/>
        </w:rPr>
        <w:t>(1)</w:t>
      </w:r>
      <w:r>
        <w:rPr>
          <w:sz w:val="24"/>
          <w:szCs w:val="24"/>
        </w:rPr>
        <w:t xml:space="preserve"> Golurile prin care utilizatorii construcţiilor de producţie şi/sau depozitare au acces la scările de evacuare închise, se protejază cu: </w:t>
      </w:r>
    </w:p>
    <w:p w14:paraId="01538CC8" w14:textId="77777777" w:rsidR="001C08A5" w:rsidRDefault="00000000">
      <w:pPr>
        <w:ind w:left="1134"/>
        <w:jc w:val="both"/>
        <w:rPr>
          <w:b/>
          <w:sz w:val="24"/>
          <w:szCs w:val="24"/>
        </w:rPr>
      </w:pPr>
      <w:r>
        <w:rPr>
          <w:b/>
          <w:sz w:val="24"/>
          <w:szCs w:val="24"/>
        </w:rPr>
        <w:t>a)</w:t>
      </w:r>
      <w:r>
        <w:rPr>
          <w:sz w:val="24"/>
          <w:szCs w:val="24"/>
        </w:rPr>
        <w:t xml:space="preserve"> uşi etanşe la foc și fum </w:t>
      </w:r>
      <w:r>
        <w:rPr>
          <w:b/>
          <w:sz w:val="24"/>
          <w:szCs w:val="24"/>
        </w:rPr>
        <w:t>E 30-C5S</w:t>
      </w:r>
      <w:r>
        <w:rPr>
          <w:b/>
          <w:bCs/>
          <w:sz w:val="24"/>
          <w:szCs w:val="24"/>
          <w:vertAlign w:val="subscript"/>
        </w:rPr>
        <w:t>200</w:t>
      </w:r>
      <w:r>
        <w:rPr>
          <w:sz w:val="24"/>
          <w:szCs w:val="24"/>
        </w:rPr>
        <w:t xml:space="preserve">, atunci când constituie cale de acces din încăperi cu risc </w:t>
      </w:r>
      <w:r>
        <w:rPr>
          <w:bCs/>
          <w:sz w:val="24"/>
          <w:szCs w:val="24"/>
        </w:rPr>
        <w:t>mic</w:t>
      </w:r>
      <w:r>
        <w:rPr>
          <w:sz w:val="24"/>
          <w:szCs w:val="24"/>
        </w:rPr>
        <w:t xml:space="preserve"> de incendiu;</w:t>
      </w:r>
    </w:p>
    <w:p w14:paraId="7D4C77CB" w14:textId="77777777" w:rsidR="001C08A5" w:rsidRDefault="00000000">
      <w:pPr>
        <w:ind w:left="1134"/>
        <w:jc w:val="both"/>
        <w:rPr>
          <w:b/>
          <w:sz w:val="24"/>
          <w:szCs w:val="24"/>
        </w:rPr>
      </w:pPr>
      <w:r>
        <w:rPr>
          <w:b/>
          <w:sz w:val="24"/>
          <w:szCs w:val="24"/>
        </w:rPr>
        <w:t>b)</w:t>
      </w:r>
      <w:r>
        <w:rPr>
          <w:sz w:val="24"/>
          <w:szCs w:val="24"/>
        </w:rPr>
        <w:t xml:space="preserve"> uşi rezistente la foc și etanșe la fum </w:t>
      </w:r>
      <w:r>
        <w:rPr>
          <w:b/>
          <w:sz w:val="24"/>
          <w:szCs w:val="24"/>
        </w:rPr>
        <w:t>EI</w:t>
      </w:r>
      <w:r>
        <w:rPr>
          <w:b/>
          <w:sz w:val="24"/>
          <w:szCs w:val="24"/>
          <w:vertAlign w:val="subscript"/>
        </w:rPr>
        <w:t>2</w:t>
      </w:r>
      <w:r>
        <w:rPr>
          <w:b/>
          <w:sz w:val="24"/>
          <w:szCs w:val="24"/>
        </w:rPr>
        <w:t xml:space="preserve"> 45-C5S</w:t>
      </w:r>
      <w:r>
        <w:rPr>
          <w:b/>
          <w:sz w:val="24"/>
          <w:szCs w:val="24"/>
          <w:vertAlign w:val="subscript"/>
        </w:rPr>
        <w:t>200</w:t>
      </w:r>
      <w:r>
        <w:rPr>
          <w:sz w:val="24"/>
          <w:szCs w:val="24"/>
        </w:rPr>
        <w:t xml:space="preserve">, atunci când constituie cale de acces din încăperi cu risc </w:t>
      </w:r>
      <w:r>
        <w:rPr>
          <w:bCs/>
          <w:sz w:val="24"/>
          <w:szCs w:val="24"/>
        </w:rPr>
        <w:t>mijlociu</w:t>
      </w:r>
      <w:r>
        <w:rPr>
          <w:sz w:val="24"/>
          <w:szCs w:val="24"/>
        </w:rPr>
        <w:t xml:space="preserve"> de incendiu;</w:t>
      </w:r>
    </w:p>
    <w:p w14:paraId="799CAE37" w14:textId="77777777" w:rsidR="001C08A5" w:rsidRDefault="00000000">
      <w:pPr>
        <w:ind w:left="1134"/>
        <w:jc w:val="both"/>
        <w:rPr>
          <w:b/>
          <w:sz w:val="24"/>
          <w:szCs w:val="24"/>
        </w:rPr>
      </w:pPr>
      <w:r>
        <w:rPr>
          <w:b/>
          <w:sz w:val="24"/>
          <w:szCs w:val="24"/>
        </w:rPr>
        <w:t>c)</w:t>
      </w:r>
      <w:r>
        <w:rPr>
          <w:sz w:val="24"/>
          <w:szCs w:val="24"/>
        </w:rPr>
        <w:t xml:space="preserve"> uşi rezistente la foc și etanșe la fum </w:t>
      </w:r>
      <w:r>
        <w:rPr>
          <w:b/>
          <w:sz w:val="24"/>
          <w:szCs w:val="24"/>
        </w:rPr>
        <w:t>EI</w:t>
      </w:r>
      <w:r>
        <w:rPr>
          <w:b/>
          <w:sz w:val="24"/>
          <w:szCs w:val="24"/>
          <w:vertAlign w:val="subscript"/>
        </w:rPr>
        <w:t>2</w:t>
      </w:r>
      <w:r>
        <w:rPr>
          <w:b/>
          <w:sz w:val="24"/>
          <w:szCs w:val="24"/>
        </w:rPr>
        <w:t xml:space="preserve"> 90-C5S</w:t>
      </w:r>
      <w:r>
        <w:rPr>
          <w:b/>
          <w:sz w:val="24"/>
          <w:szCs w:val="24"/>
          <w:vertAlign w:val="subscript"/>
        </w:rPr>
        <w:t xml:space="preserve">200 </w:t>
      </w:r>
      <w:r>
        <w:rPr>
          <w:sz w:val="24"/>
          <w:szCs w:val="24"/>
        </w:rPr>
        <w:t xml:space="preserve">sau încăperi tampon protejate, ventilate în suprapresiune, prevăzute cu uşi rezistente la foc și etanșe la fum </w:t>
      </w:r>
      <w:r>
        <w:rPr>
          <w:b/>
          <w:sz w:val="24"/>
          <w:szCs w:val="24"/>
        </w:rPr>
        <w:t>EI</w:t>
      </w:r>
      <w:r>
        <w:rPr>
          <w:b/>
          <w:sz w:val="24"/>
          <w:szCs w:val="24"/>
          <w:vertAlign w:val="subscript"/>
        </w:rPr>
        <w:t>2</w:t>
      </w:r>
      <w:r>
        <w:rPr>
          <w:b/>
          <w:sz w:val="24"/>
          <w:szCs w:val="24"/>
        </w:rPr>
        <w:t xml:space="preserve"> 45-C5 S</w:t>
      </w:r>
      <w:r>
        <w:rPr>
          <w:b/>
          <w:sz w:val="24"/>
          <w:szCs w:val="24"/>
          <w:vertAlign w:val="subscript"/>
        </w:rPr>
        <w:t xml:space="preserve">200 </w:t>
      </w:r>
      <w:r>
        <w:rPr>
          <w:sz w:val="24"/>
          <w:szCs w:val="24"/>
        </w:rPr>
        <w:t xml:space="preserve">la nivelurile supraterane ale clădirii şi respectiv </w:t>
      </w:r>
      <w:r>
        <w:rPr>
          <w:b/>
          <w:sz w:val="24"/>
          <w:szCs w:val="24"/>
        </w:rPr>
        <w:t>EI</w:t>
      </w:r>
      <w:r>
        <w:rPr>
          <w:b/>
          <w:sz w:val="24"/>
          <w:szCs w:val="24"/>
          <w:vertAlign w:val="subscript"/>
        </w:rPr>
        <w:t>2</w:t>
      </w:r>
      <w:r>
        <w:rPr>
          <w:b/>
          <w:sz w:val="24"/>
          <w:szCs w:val="24"/>
        </w:rPr>
        <w:t xml:space="preserve"> 90-C5 S</w:t>
      </w:r>
      <w:r>
        <w:rPr>
          <w:b/>
          <w:sz w:val="24"/>
          <w:szCs w:val="24"/>
          <w:vertAlign w:val="subscript"/>
        </w:rPr>
        <w:t xml:space="preserve">200 </w:t>
      </w:r>
      <w:r>
        <w:rPr>
          <w:sz w:val="24"/>
          <w:szCs w:val="24"/>
        </w:rPr>
        <w:t xml:space="preserve">la nivelurile subterane, atunci când constituie cale de acces din încăperi cu risc </w:t>
      </w:r>
      <w:r>
        <w:rPr>
          <w:bCs/>
          <w:sz w:val="24"/>
          <w:szCs w:val="24"/>
        </w:rPr>
        <w:t>mare</w:t>
      </w:r>
      <w:r>
        <w:rPr>
          <w:sz w:val="24"/>
          <w:szCs w:val="24"/>
        </w:rPr>
        <w:t xml:space="preserve"> de incendiu;</w:t>
      </w:r>
    </w:p>
    <w:p w14:paraId="0AD468F2" w14:textId="77777777" w:rsidR="001C08A5" w:rsidRDefault="00000000">
      <w:pPr>
        <w:ind w:left="1134"/>
        <w:jc w:val="both"/>
        <w:rPr>
          <w:sz w:val="24"/>
          <w:szCs w:val="24"/>
        </w:rPr>
      </w:pPr>
      <w:r>
        <w:rPr>
          <w:b/>
          <w:sz w:val="24"/>
          <w:szCs w:val="24"/>
        </w:rPr>
        <w:t>d)</w:t>
      </w:r>
      <w:r>
        <w:rPr>
          <w:sz w:val="24"/>
          <w:szCs w:val="24"/>
        </w:rPr>
        <w:t xml:space="preserve"> încăperi tampon protejate, ventilate în suprapresiune şi prevăzute cu uşi rezistente la foc și etanșe la fum </w:t>
      </w:r>
      <w:r>
        <w:rPr>
          <w:b/>
          <w:sz w:val="24"/>
          <w:szCs w:val="24"/>
        </w:rPr>
        <w:t>EI</w:t>
      </w:r>
      <w:r>
        <w:rPr>
          <w:b/>
          <w:sz w:val="24"/>
          <w:szCs w:val="24"/>
          <w:vertAlign w:val="subscript"/>
        </w:rPr>
        <w:t>2</w:t>
      </w:r>
      <w:r>
        <w:rPr>
          <w:b/>
          <w:sz w:val="24"/>
          <w:szCs w:val="24"/>
        </w:rPr>
        <w:t xml:space="preserve"> 90-C5S</w:t>
      </w:r>
      <w:r>
        <w:rPr>
          <w:b/>
          <w:bCs/>
          <w:sz w:val="24"/>
          <w:szCs w:val="24"/>
          <w:vertAlign w:val="subscript"/>
        </w:rPr>
        <w:t>200</w:t>
      </w:r>
      <w:r>
        <w:rPr>
          <w:sz w:val="24"/>
          <w:szCs w:val="24"/>
        </w:rPr>
        <w:t xml:space="preserve">, atunci când constituie cale de acces din încăperi cu risc </w:t>
      </w:r>
      <w:r>
        <w:rPr>
          <w:bCs/>
          <w:sz w:val="24"/>
          <w:szCs w:val="24"/>
        </w:rPr>
        <w:t xml:space="preserve">foarte mare </w:t>
      </w:r>
      <w:r>
        <w:rPr>
          <w:sz w:val="24"/>
          <w:szCs w:val="24"/>
        </w:rPr>
        <w:t>de incendiu.</w:t>
      </w:r>
    </w:p>
    <w:p w14:paraId="11CAD439" w14:textId="77777777" w:rsidR="001C08A5" w:rsidRDefault="00000000">
      <w:pPr>
        <w:ind w:firstLine="720"/>
        <w:jc w:val="both"/>
        <w:rPr>
          <w:sz w:val="24"/>
          <w:szCs w:val="24"/>
        </w:rPr>
      </w:pPr>
      <w:r>
        <w:rPr>
          <w:b/>
          <w:bCs/>
          <w:sz w:val="24"/>
          <w:szCs w:val="24"/>
        </w:rPr>
        <w:t xml:space="preserve">(2) </w:t>
      </w:r>
      <w:r>
        <w:rPr>
          <w:sz w:val="24"/>
          <w:szCs w:val="24"/>
        </w:rPr>
        <w:t>Atunci când sunt încăperi cu riscuri diferite, care au acces la scara de evacuare printr-un coridor, uşa coridorului spre scară va fi corespunzătoare celui mai mare risc de incendiu.</w:t>
      </w:r>
    </w:p>
    <w:p w14:paraId="2D3C4D0D" w14:textId="77777777" w:rsidR="001C08A5" w:rsidRDefault="001C08A5">
      <w:pPr>
        <w:jc w:val="both"/>
        <w:rPr>
          <w:sz w:val="24"/>
          <w:szCs w:val="24"/>
        </w:rPr>
      </w:pPr>
    </w:p>
    <w:p w14:paraId="7D64A3FE" w14:textId="77777777" w:rsidR="001C08A5" w:rsidRDefault="00000000">
      <w:pPr>
        <w:jc w:val="both"/>
        <w:rPr>
          <w:b/>
          <w:sz w:val="24"/>
          <w:szCs w:val="24"/>
        </w:rPr>
      </w:pPr>
      <w:r>
        <w:rPr>
          <w:b/>
          <w:sz w:val="24"/>
          <w:szCs w:val="24"/>
        </w:rPr>
        <w:lastRenderedPageBreak/>
        <w:tab/>
        <w:t>Art. 6.1.5.7. (1)</w:t>
      </w:r>
      <w:r>
        <w:rPr>
          <w:sz w:val="24"/>
          <w:szCs w:val="24"/>
        </w:rPr>
        <w:t xml:space="preserve"> În construcţiile de producţie şi/sau depozitare, pereţii de separare faţă de restul construcţiei a circulaţiilor comune orizontale funcţionale și de evacuare trebuie să fie rezistenţi la foc minimum:  </w:t>
      </w:r>
    </w:p>
    <w:p w14:paraId="18F430ED" w14:textId="77777777" w:rsidR="001C08A5" w:rsidRDefault="00000000">
      <w:pPr>
        <w:ind w:left="1416" w:firstLine="24"/>
        <w:jc w:val="both"/>
        <w:rPr>
          <w:b/>
          <w:sz w:val="24"/>
          <w:szCs w:val="24"/>
        </w:rPr>
      </w:pPr>
      <w:r>
        <w:rPr>
          <w:b/>
          <w:sz w:val="24"/>
          <w:szCs w:val="24"/>
        </w:rPr>
        <w:t xml:space="preserve">a) EI/REI 90 și </w:t>
      </w:r>
      <w:r>
        <w:rPr>
          <w:bCs/>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în construcţiile cu nivelul de stabilitate la incendiu </w:t>
      </w:r>
      <w:r>
        <w:rPr>
          <w:b/>
          <w:sz w:val="24"/>
          <w:szCs w:val="24"/>
        </w:rPr>
        <w:t>I</w:t>
      </w:r>
      <w:r>
        <w:rPr>
          <w:bCs/>
          <w:sz w:val="24"/>
          <w:szCs w:val="24"/>
        </w:rPr>
        <w:t>;</w:t>
      </w:r>
    </w:p>
    <w:p w14:paraId="6B05AC11" w14:textId="77777777" w:rsidR="001C08A5" w:rsidRDefault="00000000">
      <w:pPr>
        <w:ind w:left="1416"/>
        <w:jc w:val="both"/>
        <w:rPr>
          <w:b/>
          <w:sz w:val="24"/>
          <w:szCs w:val="24"/>
        </w:rPr>
      </w:pPr>
      <w:r>
        <w:rPr>
          <w:b/>
          <w:sz w:val="24"/>
          <w:szCs w:val="24"/>
        </w:rPr>
        <w:t xml:space="preserve">b) EI/REI 60 și </w:t>
      </w:r>
      <w:r>
        <w:rPr>
          <w:bCs/>
          <w:sz w:val="24"/>
          <w:szCs w:val="24"/>
        </w:rPr>
        <w:t xml:space="preserve">clasa de reacţie la foc </w:t>
      </w:r>
      <w:r>
        <w:rPr>
          <w:b/>
          <w:sz w:val="24"/>
          <w:szCs w:val="24"/>
        </w:rPr>
        <w:t>A1</w:t>
      </w:r>
      <w:r>
        <w:rPr>
          <w:bCs/>
          <w:sz w:val="24"/>
          <w:szCs w:val="24"/>
        </w:rPr>
        <w:t xml:space="preserve"> sau </w:t>
      </w:r>
      <w:r>
        <w:rPr>
          <w:b/>
          <w:sz w:val="24"/>
          <w:szCs w:val="24"/>
        </w:rPr>
        <w:t>A2-s1d0</w:t>
      </w:r>
      <w:r>
        <w:rPr>
          <w:sz w:val="24"/>
          <w:szCs w:val="24"/>
        </w:rPr>
        <w:t xml:space="preserve"> în construcţiile cu nivelul de stabilitate la incendiu </w:t>
      </w:r>
      <w:r>
        <w:rPr>
          <w:b/>
          <w:sz w:val="24"/>
          <w:szCs w:val="24"/>
        </w:rPr>
        <w:t>II</w:t>
      </w:r>
      <w:r>
        <w:rPr>
          <w:sz w:val="24"/>
          <w:szCs w:val="24"/>
        </w:rPr>
        <w:t>;</w:t>
      </w:r>
    </w:p>
    <w:p w14:paraId="53A6FC50" w14:textId="77777777" w:rsidR="001C08A5" w:rsidRDefault="00000000">
      <w:pPr>
        <w:ind w:left="1416"/>
        <w:jc w:val="both"/>
        <w:rPr>
          <w:b/>
          <w:sz w:val="24"/>
          <w:szCs w:val="24"/>
        </w:rPr>
      </w:pPr>
      <w:r>
        <w:rPr>
          <w:b/>
          <w:sz w:val="24"/>
          <w:szCs w:val="24"/>
        </w:rPr>
        <w:t xml:space="preserve">c) EI/REI 45 și </w:t>
      </w:r>
      <w:r>
        <w:rPr>
          <w:bCs/>
          <w:sz w:val="24"/>
          <w:szCs w:val="24"/>
        </w:rPr>
        <w:t xml:space="preserve">clasa de reacţie la foc </w:t>
      </w:r>
      <w:r>
        <w:rPr>
          <w:b/>
          <w:sz w:val="24"/>
          <w:szCs w:val="24"/>
        </w:rPr>
        <w:t xml:space="preserve">A1 </w:t>
      </w:r>
      <w:r>
        <w:rPr>
          <w:sz w:val="24"/>
          <w:szCs w:val="24"/>
        </w:rPr>
        <w:t>sau</w:t>
      </w:r>
      <w:r>
        <w:rPr>
          <w:b/>
          <w:sz w:val="24"/>
          <w:szCs w:val="24"/>
        </w:rPr>
        <w:t xml:space="preserve"> A2-s1d0 </w:t>
      </w:r>
      <w:r>
        <w:rPr>
          <w:sz w:val="24"/>
          <w:szCs w:val="24"/>
        </w:rPr>
        <w:t xml:space="preserve">în construcţiile cu nivelul de stabilitate la incendiu </w:t>
      </w:r>
      <w:r>
        <w:rPr>
          <w:b/>
          <w:sz w:val="24"/>
          <w:szCs w:val="24"/>
        </w:rPr>
        <w:t>III</w:t>
      </w:r>
      <w:r>
        <w:rPr>
          <w:sz w:val="24"/>
          <w:szCs w:val="24"/>
        </w:rPr>
        <w:t xml:space="preserve">;  </w:t>
      </w:r>
    </w:p>
    <w:p w14:paraId="482A77E2" w14:textId="77777777" w:rsidR="001C08A5" w:rsidRDefault="00000000">
      <w:pPr>
        <w:ind w:left="1416"/>
        <w:jc w:val="both"/>
        <w:rPr>
          <w:b/>
          <w:sz w:val="24"/>
          <w:szCs w:val="24"/>
        </w:rPr>
      </w:pPr>
      <w:r>
        <w:rPr>
          <w:b/>
          <w:sz w:val="24"/>
          <w:szCs w:val="24"/>
        </w:rPr>
        <w:t xml:space="preserve">d) EI/REI 30 și </w:t>
      </w:r>
      <w:r>
        <w:rPr>
          <w:bCs/>
          <w:sz w:val="24"/>
          <w:szCs w:val="24"/>
        </w:rPr>
        <w:t xml:space="preserve">clasa de reacţie la foc </w:t>
      </w:r>
      <w:r>
        <w:rPr>
          <w:b/>
          <w:sz w:val="24"/>
          <w:szCs w:val="24"/>
        </w:rPr>
        <w:t>A1</w:t>
      </w:r>
      <w:r>
        <w:rPr>
          <w:bCs/>
          <w:sz w:val="24"/>
          <w:szCs w:val="24"/>
        </w:rPr>
        <w:t xml:space="preserve">, </w:t>
      </w:r>
      <w:r>
        <w:rPr>
          <w:b/>
          <w:sz w:val="24"/>
          <w:szCs w:val="24"/>
        </w:rPr>
        <w:t xml:space="preserve">A2-s1d0 </w:t>
      </w:r>
      <w:r>
        <w:rPr>
          <w:sz w:val="24"/>
          <w:szCs w:val="24"/>
        </w:rPr>
        <w:t xml:space="preserve">sau </w:t>
      </w:r>
      <w:r>
        <w:rPr>
          <w:b/>
          <w:sz w:val="24"/>
          <w:szCs w:val="24"/>
        </w:rPr>
        <w:t xml:space="preserve">B-s1d0 </w:t>
      </w:r>
      <w:r>
        <w:rPr>
          <w:sz w:val="24"/>
          <w:szCs w:val="24"/>
        </w:rPr>
        <w:t xml:space="preserve">în construcţiile cu nivelul de stabilitate la incendiu </w:t>
      </w:r>
      <w:r>
        <w:rPr>
          <w:b/>
          <w:sz w:val="24"/>
          <w:szCs w:val="24"/>
        </w:rPr>
        <w:t>IV</w:t>
      </w:r>
      <w:r>
        <w:rPr>
          <w:sz w:val="24"/>
          <w:szCs w:val="24"/>
        </w:rPr>
        <w:t xml:space="preserve">;  </w:t>
      </w:r>
    </w:p>
    <w:p w14:paraId="2045E561" w14:textId="77777777" w:rsidR="001C08A5" w:rsidRDefault="00000000">
      <w:pPr>
        <w:ind w:left="1416" w:firstLine="24"/>
        <w:jc w:val="both"/>
        <w:rPr>
          <w:sz w:val="24"/>
          <w:szCs w:val="24"/>
        </w:rPr>
      </w:pPr>
      <w:r>
        <w:rPr>
          <w:b/>
          <w:sz w:val="24"/>
          <w:szCs w:val="24"/>
        </w:rPr>
        <w:t>e) EI/REI 15</w:t>
      </w:r>
      <w:r>
        <w:rPr>
          <w:bCs/>
          <w:sz w:val="24"/>
          <w:szCs w:val="24"/>
        </w:rPr>
        <w:t xml:space="preserve"> și clasa de reacţie la foc </w:t>
      </w:r>
      <w:r>
        <w:rPr>
          <w:b/>
          <w:bCs/>
          <w:sz w:val="24"/>
          <w:szCs w:val="24"/>
        </w:rPr>
        <w:t>A1</w:t>
      </w:r>
      <w:r>
        <w:rPr>
          <w:bCs/>
          <w:sz w:val="24"/>
          <w:szCs w:val="24"/>
        </w:rPr>
        <w:t xml:space="preserve">, </w:t>
      </w:r>
      <w:r>
        <w:rPr>
          <w:b/>
          <w:bCs/>
          <w:sz w:val="24"/>
          <w:szCs w:val="24"/>
        </w:rPr>
        <w:t>A2-s1d0</w:t>
      </w:r>
      <w:r>
        <w:rPr>
          <w:bCs/>
          <w:sz w:val="24"/>
          <w:szCs w:val="24"/>
        </w:rPr>
        <w:t xml:space="preserve">, </w:t>
      </w:r>
      <w:r>
        <w:rPr>
          <w:b/>
          <w:bCs/>
          <w:sz w:val="24"/>
          <w:szCs w:val="24"/>
        </w:rPr>
        <w:t>B-s1d0</w:t>
      </w:r>
      <w:r>
        <w:rPr>
          <w:bCs/>
          <w:sz w:val="24"/>
          <w:szCs w:val="24"/>
        </w:rPr>
        <w:t xml:space="preserve">, </w:t>
      </w:r>
      <w:r>
        <w:rPr>
          <w:b/>
          <w:bCs/>
          <w:sz w:val="24"/>
          <w:szCs w:val="24"/>
        </w:rPr>
        <w:t>B-s2d0</w:t>
      </w:r>
      <w:r>
        <w:rPr>
          <w:bCs/>
          <w:sz w:val="24"/>
          <w:szCs w:val="24"/>
        </w:rPr>
        <w:t xml:space="preserve">, </w:t>
      </w:r>
      <w:r>
        <w:rPr>
          <w:b/>
          <w:bCs/>
          <w:sz w:val="24"/>
          <w:szCs w:val="24"/>
        </w:rPr>
        <w:t xml:space="preserve">C-s1d0 </w:t>
      </w:r>
      <w:r>
        <w:rPr>
          <w:bCs/>
          <w:sz w:val="24"/>
          <w:szCs w:val="24"/>
        </w:rPr>
        <w:t xml:space="preserve">sau </w:t>
      </w:r>
      <w:r>
        <w:rPr>
          <w:b/>
          <w:bCs/>
          <w:sz w:val="24"/>
          <w:szCs w:val="24"/>
        </w:rPr>
        <w:t>C-s2d0</w:t>
      </w:r>
      <w:r>
        <w:rPr>
          <w:sz w:val="24"/>
          <w:szCs w:val="24"/>
        </w:rPr>
        <w:t xml:space="preserve"> în construcţiile cu nivelul de stabilitate la incendiu </w:t>
      </w:r>
      <w:r>
        <w:rPr>
          <w:b/>
          <w:sz w:val="24"/>
          <w:szCs w:val="24"/>
        </w:rPr>
        <w:t>V</w:t>
      </w:r>
      <w:r>
        <w:rPr>
          <w:sz w:val="24"/>
          <w:szCs w:val="24"/>
        </w:rPr>
        <w:t>.</w:t>
      </w:r>
    </w:p>
    <w:p w14:paraId="347D90A2" w14:textId="77777777" w:rsidR="001C08A5" w:rsidRDefault="00000000">
      <w:pPr>
        <w:ind w:firstLine="720"/>
        <w:jc w:val="both"/>
        <w:rPr>
          <w:b/>
          <w:sz w:val="24"/>
          <w:szCs w:val="24"/>
        </w:rPr>
      </w:pPr>
      <w:r>
        <w:rPr>
          <w:b/>
          <w:sz w:val="24"/>
          <w:szCs w:val="24"/>
        </w:rPr>
        <w:t>(2)</w:t>
      </w:r>
      <w:r>
        <w:rPr>
          <w:sz w:val="24"/>
          <w:szCs w:val="24"/>
        </w:rPr>
        <w:t xml:space="preserve"> În construcţiile de producţie şi depozitare, pereţii de separare a circulaţiilor comune orizontale funcţionale și de evacuare a utilizatorilor faţă de restul construcţiei</w:t>
      </w:r>
      <w:r>
        <w:rPr>
          <w:bCs/>
          <w:sz w:val="24"/>
          <w:szCs w:val="24"/>
        </w:rPr>
        <w:t>,</w:t>
      </w:r>
      <w:r>
        <w:rPr>
          <w:sz w:val="24"/>
          <w:szCs w:val="24"/>
        </w:rPr>
        <w:t xml:space="preserve"> vor îndeplini şi condiţiile specifice respectivelor riscuri de incendiu şi/sau explozie volumetrică din încăperile adiacente.</w:t>
      </w:r>
    </w:p>
    <w:p w14:paraId="50225AE3" w14:textId="77777777" w:rsidR="001C08A5" w:rsidRDefault="00000000">
      <w:pPr>
        <w:jc w:val="both"/>
        <w:rPr>
          <w:sz w:val="24"/>
          <w:szCs w:val="24"/>
        </w:rPr>
      </w:pPr>
      <w:r>
        <w:rPr>
          <w:sz w:val="24"/>
          <w:szCs w:val="24"/>
        </w:rPr>
        <w:tab/>
      </w:r>
      <w:r>
        <w:rPr>
          <w:sz w:val="24"/>
          <w:szCs w:val="24"/>
        </w:rPr>
        <w:tab/>
      </w:r>
    </w:p>
    <w:p w14:paraId="51058D9B" w14:textId="77777777" w:rsidR="001C08A5" w:rsidRDefault="00000000">
      <w:pPr>
        <w:ind w:firstLine="720"/>
        <w:jc w:val="both"/>
        <w:rPr>
          <w:b/>
          <w:sz w:val="24"/>
          <w:szCs w:val="24"/>
        </w:rPr>
      </w:pPr>
      <w:r>
        <w:rPr>
          <w:b/>
          <w:sz w:val="24"/>
          <w:szCs w:val="24"/>
        </w:rPr>
        <w:t xml:space="preserve">Art. 6.1.5.8. </w:t>
      </w:r>
      <w:r>
        <w:rPr>
          <w:sz w:val="24"/>
          <w:szCs w:val="24"/>
        </w:rPr>
        <w:t xml:space="preserve">Golurile de circulaţie dispuse în pereţii de separare a circulaţiilor comune orizontale din construcţiile de producţie şi/sau depozitare, se protejază corespunzător riscurilor de incendiu specifice încăperilor adiacente, respectiv cu uşi etanșe sau rezistente la foc și etanșe la fum care asigură minimum: </w:t>
      </w:r>
    </w:p>
    <w:p w14:paraId="5D1656A9" w14:textId="77777777" w:rsidR="001C08A5" w:rsidRDefault="00000000">
      <w:pPr>
        <w:ind w:firstLine="708"/>
        <w:jc w:val="both"/>
        <w:rPr>
          <w:b/>
          <w:sz w:val="24"/>
          <w:szCs w:val="24"/>
        </w:rPr>
      </w:pPr>
      <w:r>
        <w:rPr>
          <w:b/>
          <w:sz w:val="24"/>
          <w:szCs w:val="24"/>
        </w:rPr>
        <w:tab/>
      </w:r>
      <w:r>
        <w:rPr>
          <w:b/>
          <w:sz w:val="24"/>
          <w:szCs w:val="24"/>
        </w:rPr>
        <w:tab/>
        <w:t>a) E 15-C5S</w:t>
      </w:r>
      <w:r>
        <w:rPr>
          <w:b/>
          <w:sz w:val="24"/>
          <w:szCs w:val="24"/>
          <w:vertAlign w:val="subscript"/>
        </w:rPr>
        <w:t>200</w:t>
      </w:r>
      <w:r>
        <w:rPr>
          <w:sz w:val="24"/>
          <w:szCs w:val="24"/>
        </w:rPr>
        <w:t xml:space="preserve"> la risc </w:t>
      </w:r>
      <w:r>
        <w:rPr>
          <w:bCs/>
          <w:sz w:val="24"/>
          <w:szCs w:val="24"/>
        </w:rPr>
        <w:t>mic</w:t>
      </w:r>
      <w:r>
        <w:rPr>
          <w:sz w:val="24"/>
          <w:szCs w:val="24"/>
        </w:rPr>
        <w:t xml:space="preserve"> de incendiu; </w:t>
      </w:r>
    </w:p>
    <w:p w14:paraId="3D078C0D" w14:textId="77777777" w:rsidR="001C08A5" w:rsidRDefault="00000000">
      <w:pPr>
        <w:ind w:firstLine="708"/>
        <w:jc w:val="both"/>
        <w:rPr>
          <w:b/>
          <w:sz w:val="24"/>
          <w:szCs w:val="24"/>
        </w:rPr>
      </w:pPr>
      <w:r>
        <w:rPr>
          <w:b/>
          <w:sz w:val="24"/>
          <w:szCs w:val="24"/>
        </w:rPr>
        <w:tab/>
      </w:r>
      <w:r>
        <w:rPr>
          <w:b/>
          <w:sz w:val="24"/>
          <w:szCs w:val="24"/>
        </w:rPr>
        <w:tab/>
        <w:t>b) EI</w:t>
      </w:r>
      <w:r>
        <w:rPr>
          <w:b/>
          <w:sz w:val="24"/>
          <w:szCs w:val="24"/>
          <w:vertAlign w:val="subscript"/>
        </w:rPr>
        <w:t>2</w:t>
      </w:r>
      <w:r>
        <w:rPr>
          <w:b/>
          <w:sz w:val="24"/>
          <w:szCs w:val="24"/>
        </w:rPr>
        <w:t xml:space="preserve"> 45-C5S</w:t>
      </w:r>
      <w:r>
        <w:rPr>
          <w:b/>
          <w:sz w:val="24"/>
          <w:szCs w:val="24"/>
          <w:vertAlign w:val="subscript"/>
        </w:rPr>
        <w:t>200</w:t>
      </w:r>
      <w:r>
        <w:rPr>
          <w:sz w:val="24"/>
          <w:szCs w:val="24"/>
        </w:rPr>
        <w:t xml:space="preserve"> la risc </w:t>
      </w:r>
      <w:r>
        <w:rPr>
          <w:bCs/>
          <w:sz w:val="24"/>
          <w:szCs w:val="24"/>
        </w:rPr>
        <w:t>mijlociu</w:t>
      </w:r>
      <w:r>
        <w:rPr>
          <w:sz w:val="24"/>
          <w:szCs w:val="24"/>
        </w:rPr>
        <w:t xml:space="preserve"> de incendiu; </w:t>
      </w:r>
    </w:p>
    <w:p w14:paraId="6594B5D2" w14:textId="77777777" w:rsidR="001C08A5" w:rsidRDefault="00000000">
      <w:pPr>
        <w:ind w:firstLine="708"/>
        <w:jc w:val="both"/>
        <w:rPr>
          <w:b/>
          <w:sz w:val="24"/>
          <w:szCs w:val="24"/>
        </w:rPr>
      </w:pPr>
      <w:r>
        <w:rPr>
          <w:b/>
          <w:sz w:val="24"/>
          <w:szCs w:val="24"/>
        </w:rPr>
        <w:tab/>
      </w:r>
      <w:r>
        <w:rPr>
          <w:b/>
          <w:sz w:val="24"/>
          <w:szCs w:val="24"/>
        </w:rPr>
        <w:tab/>
        <w:t>c) EI</w:t>
      </w:r>
      <w:r>
        <w:rPr>
          <w:b/>
          <w:sz w:val="24"/>
          <w:szCs w:val="24"/>
          <w:vertAlign w:val="subscript"/>
        </w:rPr>
        <w:t>2</w:t>
      </w:r>
      <w:r>
        <w:rPr>
          <w:b/>
          <w:sz w:val="24"/>
          <w:szCs w:val="24"/>
        </w:rPr>
        <w:t xml:space="preserve"> 60-C5S</w:t>
      </w:r>
      <w:r>
        <w:rPr>
          <w:b/>
          <w:sz w:val="24"/>
          <w:szCs w:val="24"/>
          <w:vertAlign w:val="subscript"/>
        </w:rPr>
        <w:t>200</w:t>
      </w:r>
      <w:r>
        <w:rPr>
          <w:sz w:val="24"/>
          <w:szCs w:val="24"/>
        </w:rPr>
        <w:t xml:space="preserve"> la risc </w:t>
      </w:r>
      <w:r>
        <w:rPr>
          <w:bCs/>
          <w:sz w:val="24"/>
          <w:szCs w:val="24"/>
        </w:rPr>
        <w:t xml:space="preserve">mare </w:t>
      </w:r>
      <w:r>
        <w:rPr>
          <w:sz w:val="24"/>
          <w:szCs w:val="24"/>
        </w:rPr>
        <w:t xml:space="preserve">de incendiu; </w:t>
      </w:r>
    </w:p>
    <w:p w14:paraId="15103719" w14:textId="77777777" w:rsidR="001C08A5" w:rsidRDefault="00000000">
      <w:pPr>
        <w:jc w:val="both"/>
        <w:rPr>
          <w:sz w:val="24"/>
          <w:szCs w:val="24"/>
        </w:rPr>
      </w:pPr>
      <w:r>
        <w:rPr>
          <w:b/>
          <w:sz w:val="24"/>
          <w:szCs w:val="24"/>
        </w:rPr>
        <w:tab/>
      </w:r>
      <w:r>
        <w:rPr>
          <w:b/>
          <w:sz w:val="24"/>
          <w:szCs w:val="24"/>
        </w:rPr>
        <w:tab/>
        <w:t>d) EI</w:t>
      </w:r>
      <w:r>
        <w:rPr>
          <w:b/>
          <w:sz w:val="24"/>
          <w:szCs w:val="24"/>
          <w:vertAlign w:val="subscript"/>
        </w:rPr>
        <w:t>2</w:t>
      </w:r>
      <w:r>
        <w:rPr>
          <w:b/>
          <w:sz w:val="24"/>
          <w:szCs w:val="24"/>
        </w:rPr>
        <w:t xml:space="preserve"> 90-C5S</w:t>
      </w:r>
      <w:r>
        <w:rPr>
          <w:b/>
          <w:sz w:val="24"/>
          <w:szCs w:val="24"/>
          <w:vertAlign w:val="subscript"/>
        </w:rPr>
        <w:t>200</w:t>
      </w:r>
      <w:r>
        <w:rPr>
          <w:sz w:val="24"/>
          <w:szCs w:val="24"/>
        </w:rPr>
        <w:t xml:space="preserve"> la risc </w:t>
      </w:r>
      <w:r>
        <w:rPr>
          <w:bCs/>
          <w:sz w:val="24"/>
          <w:szCs w:val="24"/>
        </w:rPr>
        <w:t>foarte mare</w:t>
      </w:r>
      <w:r>
        <w:rPr>
          <w:sz w:val="24"/>
          <w:szCs w:val="24"/>
        </w:rPr>
        <w:t xml:space="preserve"> de incendiu, respectiv încăperi tampon protejate, ventilate în suprapresiune şi prevăzute cu uşi rezistente la foc </w:t>
      </w:r>
      <w:r>
        <w:rPr>
          <w:b/>
          <w:sz w:val="24"/>
          <w:szCs w:val="24"/>
        </w:rPr>
        <w:t>EI</w:t>
      </w:r>
      <w:r>
        <w:rPr>
          <w:b/>
          <w:sz w:val="24"/>
          <w:szCs w:val="24"/>
          <w:vertAlign w:val="subscript"/>
        </w:rPr>
        <w:t>2</w:t>
      </w:r>
      <w:r>
        <w:rPr>
          <w:b/>
          <w:sz w:val="24"/>
          <w:szCs w:val="24"/>
        </w:rPr>
        <w:t xml:space="preserve"> 90-C5 S</w:t>
      </w:r>
      <w:r>
        <w:rPr>
          <w:b/>
          <w:sz w:val="24"/>
          <w:szCs w:val="24"/>
          <w:vertAlign w:val="subscript"/>
        </w:rPr>
        <w:t xml:space="preserve">200 </w:t>
      </w:r>
      <w:r>
        <w:rPr>
          <w:bCs/>
          <w:sz w:val="24"/>
          <w:szCs w:val="24"/>
        </w:rPr>
        <w:t>șicanate (</w:t>
      </w:r>
      <w:r>
        <w:rPr>
          <w:b/>
          <w:bCs/>
          <w:i/>
          <w:iCs/>
          <w:sz w:val="24"/>
          <w:szCs w:val="24"/>
        </w:rPr>
        <w:fldChar w:fldCharType="begin"/>
      </w:r>
      <w:r>
        <w:rPr>
          <w:b/>
          <w:bCs/>
          <w:i/>
          <w:iCs/>
          <w:sz w:val="24"/>
          <w:szCs w:val="24"/>
        </w:rPr>
        <w:instrText xml:space="preserve"> REF _Ref27319 \h </w:instrText>
      </w:r>
      <w:r>
        <w:rPr>
          <w:b/>
          <w:bCs/>
          <w:i/>
          <w:iCs/>
          <w:sz w:val="24"/>
          <w:szCs w:val="24"/>
        </w:rPr>
      </w:r>
      <w:r>
        <w:rPr>
          <w:b/>
          <w:bCs/>
          <w:i/>
          <w:iCs/>
          <w:sz w:val="24"/>
          <w:szCs w:val="24"/>
        </w:rPr>
        <w:fldChar w:fldCharType="separate"/>
      </w:r>
      <w:r>
        <w:t>Figura 76</w:t>
      </w:r>
      <w:r>
        <w:rPr>
          <w:b/>
          <w:bCs/>
          <w:i/>
          <w:iCs/>
          <w:sz w:val="24"/>
          <w:szCs w:val="24"/>
        </w:rPr>
        <w:fldChar w:fldCharType="end"/>
      </w:r>
      <w:r>
        <w:rPr>
          <w:bCs/>
          <w:sz w:val="24"/>
          <w:szCs w:val="24"/>
        </w:rPr>
        <w:t xml:space="preserve">), </w:t>
      </w:r>
      <w:r>
        <w:rPr>
          <w:sz w:val="24"/>
          <w:szCs w:val="24"/>
        </w:rPr>
        <w:t xml:space="preserve">la cele care sunt și cu risc de explozie volumetrică.  </w:t>
      </w:r>
    </w:p>
    <w:p w14:paraId="2A1E6C96" w14:textId="77777777" w:rsidR="001C08A5" w:rsidRDefault="00000000">
      <w:pPr>
        <w:jc w:val="center"/>
      </w:pPr>
      <w:r>
        <w:rPr>
          <w:noProof/>
          <w:lang w:eastAsia="ro-RO"/>
        </w:rPr>
        <w:drawing>
          <wp:inline distT="0" distB="0" distL="114300" distR="114300" wp14:anchorId="36B0A853" wp14:editId="32363E5C">
            <wp:extent cx="4872355" cy="2169795"/>
            <wp:effectExtent l="0" t="0" r="4445" b="190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4"/>
                    <a:srcRect l="23589" t="18921" r="11862" b="41095"/>
                    <a:stretch>
                      <a:fillRect/>
                    </a:stretch>
                  </pic:blipFill>
                  <pic:spPr>
                    <a:xfrm>
                      <a:off x="0" y="0"/>
                      <a:ext cx="4872355" cy="2169795"/>
                    </a:xfrm>
                    <a:prstGeom prst="rect">
                      <a:avLst/>
                    </a:prstGeom>
                    <a:noFill/>
                    <a:ln>
                      <a:noFill/>
                    </a:ln>
                  </pic:spPr>
                </pic:pic>
              </a:graphicData>
            </a:graphic>
          </wp:inline>
        </w:drawing>
      </w:r>
    </w:p>
    <w:p w14:paraId="6C387A4D" w14:textId="77777777" w:rsidR="001C08A5" w:rsidRDefault="00000000">
      <w:pPr>
        <w:pStyle w:val="Caption"/>
        <w:jc w:val="center"/>
        <w:rPr>
          <w:bCs/>
        </w:rPr>
      </w:pPr>
      <w:bookmarkStart w:id="5192" w:name="_Ref27319"/>
      <w:bookmarkStart w:id="5193" w:name="_Toc162360300"/>
      <w:r>
        <w:t xml:space="preserve">Figura </w:t>
      </w:r>
      <w:r>
        <w:fldChar w:fldCharType="begin"/>
      </w:r>
      <w:r>
        <w:instrText xml:space="preserve"> SEQ Figura \* ARABIC </w:instrText>
      </w:r>
      <w:r>
        <w:fldChar w:fldCharType="separate"/>
      </w:r>
      <w:r>
        <w:t>76</w:t>
      </w:r>
      <w:r>
        <w:fldChar w:fldCharType="end"/>
      </w:r>
      <w:bookmarkStart w:id="5194" w:name="_Toc27025"/>
      <w:bookmarkStart w:id="5195" w:name="_Toc8271"/>
      <w:bookmarkStart w:id="5196" w:name="_Toc14161"/>
      <w:bookmarkStart w:id="5197" w:name="_Toc16425"/>
      <w:bookmarkStart w:id="5198" w:name="_Toc21317"/>
      <w:bookmarkStart w:id="5199" w:name="_Toc2957"/>
      <w:bookmarkStart w:id="5200" w:name="_Toc21644"/>
      <w:bookmarkStart w:id="5201" w:name="_Toc17158"/>
      <w:bookmarkStart w:id="5202" w:name="_Toc15796"/>
      <w:bookmarkStart w:id="5203" w:name="_Toc6818"/>
      <w:bookmarkStart w:id="5204" w:name="_Toc16265"/>
      <w:bookmarkEnd w:id="5192"/>
      <w:r>
        <w:t xml:space="preserve"> - </w:t>
      </w:r>
      <w:r>
        <w:rPr>
          <w:bCs/>
        </w:rPr>
        <w:t>Încăperi tampon protejate, ventilate în suprapresiune şi prevăzute cu uşi rezistente la foc minimum EI</w:t>
      </w:r>
      <w:r>
        <w:rPr>
          <w:bCs/>
          <w:vertAlign w:val="subscript"/>
        </w:rPr>
        <w:t>2</w:t>
      </w:r>
      <w:r>
        <w:rPr>
          <w:bCs/>
        </w:rPr>
        <w:t xml:space="preserve"> 90-C5S</w:t>
      </w:r>
      <w:r>
        <w:rPr>
          <w:bCs/>
          <w:vertAlign w:val="subscript"/>
        </w:rPr>
        <w:t>200</w:t>
      </w:r>
      <w:r>
        <w:rPr>
          <w:bCs/>
        </w:rPr>
        <w:t xml:space="preserve"> dispuse șicanat</w:t>
      </w:r>
      <w:bookmarkEnd w:id="5194"/>
      <w:r>
        <w:rPr>
          <w:bCs/>
        </w:rPr>
        <w:t xml:space="preserve"> (la</w:t>
      </w:r>
      <w:r>
        <w:t xml:space="preserve"> risc de explozie volumetrică)</w:t>
      </w:r>
      <w:bookmarkEnd w:id="5193"/>
      <w:bookmarkEnd w:id="5195"/>
      <w:bookmarkEnd w:id="5196"/>
      <w:bookmarkEnd w:id="5197"/>
      <w:bookmarkEnd w:id="5198"/>
      <w:bookmarkEnd w:id="5199"/>
      <w:bookmarkEnd w:id="5200"/>
      <w:bookmarkEnd w:id="5201"/>
      <w:bookmarkEnd w:id="5202"/>
      <w:bookmarkEnd w:id="5203"/>
      <w:bookmarkEnd w:id="5204"/>
    </w:p>
    <w:p w14:paraId="4DB8C492" w14:textId="77777777" w:rsidR="001C08A5" w:rsidRDefault="001C08A5">
      <w:pPr>
        <w:ind w:firstLine="720"/>
        <w:jc w:val="both"/>
        <w:rPr>
          <w:b/>
          <w:sz w:val="24"/>
          <w:szCs w:val="24"/>
        </w:rPr>
      </w:pPr>
    </w:p>
    <w:p w14:paraId="445A04C2" w14:textId="77777777" w:rsidR="001C08A5" w:rsidRDefault="00000000">
      <w:pPr>
        <w:ind w:firstLine="720"/>
        <w:jc w:val="both"/>
        <w:rPr>
          <w:b/>
          <w:sz w:val="24"/>
          <w:szCs w:val="24"/>
        </w:rPr>
      </w:pPr>
      <w:r>
        <w:rPr>
          <w:b/>
          <w:sz w:val="24"/>
          <w:szCs w:val="24"/>
        </w:rPr>
        <w:t xml:space="preserve">Art. 6.1.5.9. </w:t>
      </w:r>
      <w:r>
        <w:rPr>
          <w:sz w:val="24"/>
          <w:szCs w:val="24"/>
        </w:rPr>
        <w:t>Golurile de palier prin care utilizatorii au acces la ascensoare de persoane, de marfa sau la alte mijloace mecanice de transport pe verticală din construcţiile de producţie şi/sau depozitare, se protejează cu:</w:t>
      </w:r>
    </w:p>
    <w:p w14:paraId="4C7559A6" w14:textId="77777777" w:rsidR="001C08A5" w:rsidRDefault="00000000">
      <w:pPr>
        <w:numPr>
          <w:ilvl w:val="0"/>
          <w:numId w:val="88"/>
        </w:numPr>
        <w:jc w:val="both"/>
        <w:rPr>
          <w:sz w:val="24"/>
          <w:szCs w:val="24"/>
        </w:rPr>
      </w:pPr>
      <w:r>
        <w:rPr>
          <w:sz w:val="24"/>
          <w:szCs w:val="24"/>
        </w:rPr>
        <w:t xml:space="preserve">uşi rezistente la foc </w:t>
      </w:r>
      <w:r>
        <w:rPr>
          <w:b/>
          <w:sz w:val="24"/>
          <w:szCs w:val="24"/>
        </w:rPr>
        <w:t>EI 30</w:t>
      </w:r>
      <w:r>
        <w:rPr>
          <w:sz w:val="24"/>
          <w:szCs w:val="24"/>
        </w:rPr>
        <w:t xml:space="preserve">, atunci când constituie cale de acces din încăperi cu risc </w:t>
      </w:r>
      <w:r>
        <w:rPr>
          <w:bCs/>
          <w:sz w:val="24"/>
          <w:szCs w:val="24"/>
        </w:rPr>
        <w:t xml:space="preserve">mic </w:t>
      </w:r>
      <w:r>
        <w:rPr>
          <w:sz w:val="24"/>
          <w:szCs w:val="24"/>
        </w:rPr>
        <w:t>de incendiu;</w:t>
      </w:r>
    </w:p>
    <w:p w14:paraId="4CFD009B" w14:textId="77777777" w:rsidR="001C08A5" w:rsidRDefault="00000000">
      <w:pPr>
        <w:numPr>
          <w:ilvl w:val="0"/>
          <w:numId w:val="88"/>
        </w:numPr>
        <w:jc w:val="both"/>
        <w:rPr>
          <w:sz w:val="24"/>
          <w:szCs w:val="24"/>
        </w:rPr>
      </w:pPr>
      <w:r>
        <w:rPr>
          <w:sz w:val="24"/>
          <w:szCs w:val="24"/>
        </w:rPr>
        <w:t xml:space="preserve">uşi rezistente la foc </w:t>
      </w:r>
      <w:r>
        <w:rPr>
          <w:b/>
          <w:sz w:val="24"/>
          <w:szCs w:val="24"/>
        </w:rPr>
        <w:t>EI 45</w:t>
      </w:r>
      <w:r>
        <w:rPr>
          <w:sz w:val="24"/>
          <w:szCs w:val="24"/>
        </w:rPr>
        <w:t xml:space="preserve">, atunci când constituie cale de acces din încăperi cu risc </w:t>
      </w:r>
      <w:r>
        <w:rPr>
          <w:bCs/>
          <w:sz w:val="24"/>
          <w:szCs w:val="24"/>
        </w:rPr>
        <w:t xml:space="preserve">mijlociu </w:t>
      </w:r>
      <w:r>
        <w:rPr>
          <w:sz w:val="24"/>
          <w:szCs w:val="24"/>
        </w:rPr>
        <w:t>de incendiu;</w:t>
      </w:r>
    </w:p>
    <w:p w14:paraId="210D2934" w14:textId="77777777" w:rsidR="001C08A5" w:rsidRDefault="00000000">
      <w:pPr>
        <w:numPr>
          <w:ilvl w:val="0"/>
          <w:numId w:val="88"/>
        </w:numPr>
        <w:jc w:val="both"/>
        <w:rPr>
          <w:sz w:val="24"/>
          <w:szCs w:val="24"/>
        </w:rPr>
      </w:pPr>
      <w:r>
        <w:rPr>
          <w:sz w:val="24"/>
          <w:szCs w:val="24"/>
        </w:rPr>
        <w:t xml:space="preserve">uşi rezistente la foc </w:t>
      </w:r>
      <w:r>
        <w:rPr>
          <w:b/>
          <w:sz w:val="24"/>
          <w:szCs w:val="24"/>
        </w:rPr>
        <w:t xml:space="preserve">EI 90 </w:t>
      </w:r>
      <w:r>
        <w:rPr>
          <w:sz w:val="24"/>
          <w:szCs w:val="24"/>
        </w:rPr>
        <w:t xml:space="preserve">sau încăperi tampon protejate, ventilate în suprapresiune prevăzute cu uşi rezistente la foc și etanșe la fum </w:t>
      </w:r>
      <w:r>
        <w:rPr>
          <w:b/>
          <w:sz w:val="24"/>
          <w:szCs w:val="24"/>
        </w:rPr>
        <w:t>EI 45-C5S</w:t>
      </w:r>
      <w:r>
        <w:rPr>
          <w:b/>
          <w:sz w:val="24"/>
          <w:szCs w:val="24"/>
          <w:vertAlign w:val="subscript"/>
        </w:rPr>
        <w:t>200</w:t>
      </w:r>
      <w:r>
        <w:rPr>
          <w:sz w:val="24"/>
          <w:szCs w:val="24"/>
        </w:rPr>
        <w:t xml:space="preserve"> </w:t>
      </w:r>
      <w:r>
        <w:rPr>
          <w:sz w:val="24"/>
          <w:szCs w:val="24"/>
        </w:rPr>
        <w:lastRenderedPageBreak/>
        <w:t xml:space="preserve">la nivelurile supraterane ale construcţiei și respectiv încăperi tampon protejate, ventilate în suprapresiune prevăzute cu uși rezistente la foc și etanșe la fum </w:t>
      </w:r>
      <w:r>
        <w:rPr>
          <w:b/>
          <w:sz w:val="24"/>
          <w:szCs w:val="24"/>
        </w:rPr>
        <w:t>EI 90-C5S</w:t>
      </w:r>
      <w:r>
        <w:rPr>
          <w:b/>
          <w:sz w:val="24"/>
          <w:szCs w:val="24"/>
          <w:vertAlign w:val="subscript"/>
        </w:rPr>
        <w:t xml:space="preserve">200 </w:t>
      </w:r>
      <w:r>
        <w:rPr>
          <w:sz w:val="24"/>
          <w:szCs w:val="24"/>
        </w:rPr>
        <w:t xml:space="preserve">la nivelurile subterane, atunci când constituie cale de acces din încăperi cu risc </w:t>
      </w:r>
      <w:r>
        <w:rPr>
          <w:bCs/>
          <w:sz w:val="24"/>
          <w:szCs w:val="24"/>
        </w:rPr>
        <w:t xml:space="preserve">mare </w:t>
      </w:r>
      <w:r>
        <w:rPr>
          <w:sz w:val="24"/>
          <w:szCs w:val="24"/>
        </w:rPr>
        <w:t>de incendiu;</w:t>
      </w:r>
    </w:p>
    <w:p w14:paraId="10F28324" w14:textId="77777777" w:rsidR="001C08A5" w:rsidRDefault="00000000">
      <w:pPr>
        <w:numPr>
          <w:ilvl w:val="0"/>
          <w:numId w:val="88"/>
        </w:numPr>
        <w:jc w:val="both"/>
        <w:rPr>
          <w:sz w:val="24"/>
          <w:szCs w:val="24"/>
        </w:rPr>
      </w:pPr>
      <w:r>
        <w:rPr>
          <w:sz w:val="24"/>
          <w:szCs w:val="24"/>
        </w:rPr>
        <w:t xml:space="preserve">încăperi tampon protejate, ventilate în suprapresiune şi prevăzute cu uşi rezistente la foc și etanșe la fum </w:t>
      </w:r>
      <w:r>
        <w:rPr>
          <w:b/>
          <w:sz w:val="24"/>
          <w:szCs w:val="24"/>
        </w:rPr>
        <w:t>EI 90-C5S</w:t>
      </w:r>
      <w:r>
        <w:rPr>
          <w:b/>
          <w:sz w:val="24"/>
          <w:szCs w:val="24"/>
          <w:vertAlign w:val="subscript"/>
        </w:rPr>
        <w:t>200</w:t>
      </w:r>
      <w:r>
        <w:rPr>
          <w:sz w:val="24"/>
          <w:szCs w:val="24"/>
        </w:rPr>
        <w:t xml:space="preserve">, atunci când constituie cale de acces din încăperi cu risc </w:t>
      </w:r>
      <w:r>
        <w:rPr>
          <w:bCs/>
          <w:sz w:val="24"/>
          <w:szCs w:val="24"/>
        </w:rPr>
        <w:t>foarte mare</w:t>
      </w:r>
      <w:r>
        <w:rPr>
          <w:sz w:val="24"/>
          <w:szCs w:val="24"/>
        </w:rPr>
        <w:t xml:space="preserve"> de incendiu.</w:t>
      </w:r>
    </w:p>
    <w:p w14:paraId="429DA7FC" w14:textId="77777777" w:rsidR="001C08A5" w:rsidRDefault="001C08A5">
      <w:pPr>
        <w:jc w:val="both"/>
        <w:rPr>
          <w:b/>
          <w:sz w:val="24"/>
          <w:szCs w:val="24"/>
        </w:rPr>
      </w:pPr>
    </w:p>
    <w:p w14:paraId="35425952" w14:textId="77777777" w:rsidR="001C08A5" w:rsidRDefault="00000000">
      <w:pPr>
        <w:jc w:val="both"/>
        <w:rPr>
          <w:sz w:val="24"/>
          <w:szCs w:val="24"/>
        </w:rPr>
      </w:pPr>
      <w:r>
        <w:rPr>
          <w:b/>
          <w:sz w:val="24"/>
          <w:szCs w:val="24"/>
        </w:rPr>
        <w:tab/>
        <w:t xml:space="preserve">Art. 6.1.5.10. </w:t>
      </w:r>
      <w:r>
        <w:rPr>
          <w:sz w:val="24"/>
          <w:szCs w:val="24"/>
        </w:rPr>
        <w:t xml:space="preserve">Podestele, rampele şi grinzile scărilor interioare de evacuare vor îndeplini condiţiile de comportare la foc stabilite la </w:t>
      </w:r>
      <w:r>
        <w:rPr>
          <w:b/>
          <w:sz w:val="24"/>
          <w:szCs w:val="24"/>
        </w:rPr>
        <w:t xml:space="preserve">Art.2.4.2.5. </w:t>
      </w:r>
      <w:r>
        <w:rPr>
          <w:sz w:val="24"/>
          <w:szCs w:val="24"/>
        </w:rPr>
        <w:t xml:space="preserve">şi </w:t>
      </w:r>
      <w:r>
        <w:rPr>
          <w:b/>
          <w:sz w:val="24"/>
          <w:szCs w:val="24"/>
        </w:rPr>
        <w:t>Art. 2.4.2.6.</w:t>
      </w:r>
      <w:r>
        <w:rPr>
          <w:sz w:val="24"/>
          <w:szCs w:val="24"/>
        </w:rPr>
        <w:t>.</w:t>
      </w:r>
    </w:p>
    <w:p w14:paraId="4D697269" w14:textId="77777777" w:rsidR="001C08A5" w:rsidRDefault="00000000">
      <w:pPr>
        <w:jc w:val="both"/>
        <w:rPr>
          <w:sz w:val="24"/>
          <w:szCs w:val="24"/>
        </w:rPr>
      </w:pPr>
      <w:r>
        <w:rPr>
          <w:sz w:val="24"/>
          <w:szCs w:val="24"/>
        </w:rPr>
        <w:tab/>
      </w:r>
      <w:r>
        <w:rPr>
          <w:sz w:val="24"/>
          <w:szCs w:val="24"/>
        </w:rPr>
        <w:tab/>
      </w:r>
    </w:p>
    <w:p w14:paraId="6156F4E4" w14:textId="77777777" w:rsidR="001C08A5" w:rsidRDefault="00000000">
      <w:pPr>
        <w:jc w:val="both"/>
        <w:rPr>
          <w:sz w:val="24"/>
          <w:szCs w:val="24"/>
        </w:rPr>
      </w:pPr>
      <w:r>
        <w:rPr>
          <w:sz w:val="24"/>
          <w:szCs w:val="24"/>
        </w:rPr>
        <w:tab/>
      </w:r>
      <w:r>
        <w:rPr>
          <w:b/>
          <w:sz w:val="24"/>
          <w:szCs w:val="24"/>
        </w:rPr>
        <w:t xml:space="preserve">Art. 6.1.5.11. </w:t>
      </w:r>
      <w:r>
        <w:rPr>
          <w:sz w:val="24"/>
          <w:szCs w:val="24"/>
        </w:rPr>
        <w:t>Podestele, rampele şi grinzile scărilor deschise, interioare sau exterioare, trebuie să fie incombustibile.</w:t>
      </w:r>
    </w:p>
    <w:p w14:paraId="5FFDCB5B" w14:textId="77777777" w:rsidR="001C08A5" w:rsidRDefault="001C08A5">
      <w:pPr>
        <w:jc w:val="both"/>
        <w:rPr>
          <w:sz w:val="24"/>
          <w:szCs w:val="24"/>
        </w:rPr>
      </w:pPr>
    </w:p>
    <w:p w14:paraId="266F5DEB" w14:textId="77777777" w:rsidR="001C08A5" w:rsidRDefault="00000000">
      <w:pPr>
        <w:jc w:val="both"/>
        <w:rPr>
          <w:sz w:val="24"/>
          <w:szCs w:val="24"/>
        </w:rPr>
      </w:pPr>
      <w:r>
        <w:rPr>
          <w:b/>
          <w:sz w:val="24"/>
          <w:szCs w:val="24"/>
        </w:rPr>
        <w:tab/>
        <w:t>Art. 6.1.5.12. (1)</w:t>
      </w:r>
      <w:r>
        <w:rPr>
          <w:sz w:val="24"/>
          <w:szCs w:val="24"/>
        </w:rPr>
        <w:t xml:space="preserve"> În construcţiile de producţie şi/sau depozitare, rampele scărilor aferente nivelurilor subterane vor fi separate de rampele scărilor supraterane, prin pereţi rezistenţi la foc minium</w:t>
      </w:r>
      <w:r>
        <w:rPr>
          <w:b/>
          <w:sz w:val="24"/>
          <w:szCs w:val="24"/>
        </w:rPr>
        <w:t xml:space="preserve"> EI/REI 120,</w:t>
      </w:r>
      <w:r>
        <w:rPr>
          <w:sz w:val="24"/>
          <w:szCs w:val="24"/>
        </w:rPr>
        <w:t xml:space="preserve"> asigurându-se accesul la rampele subterane direct din exterior.</w:t>
      </w:r>
    </w:p>
    <w:p w14:paraId="1972BD84" w14:textId="77777777" w:rsidR="001C08A5" w:rsidRDefault="00000000">
      <w:pPr>
        <w:ind w:firstLine="720"/>
        <w:jc w:val="both"/>
        <w:rPr>
          <w:sz w:val="24"/>
          <w:szCs w:val="24"/>
        </w:rPr>
      </w:pPr>
      <w:r>
        <w:rPr>
          <w:b/>
          <w:sz w:val="24"/>
          <w:szCs w:val="24"/>
        </w:rPr>
        <w:t xml:space="preserve">(2) </w:t>
      </w:r>
      <w:r>
        <w:rPr>
          <w:sz w:val="24"/>
          <w:szCs w:val="24"/>
        </w:rPr>
        <w:t xml:space="preserve">Comunicarea funcţională între rampele scărilor aferente nivelurilor subterane şi rampele scărilor supraterane se poate asigura la nivelul parterului sau al palierului intermediar dintre subsol şi parter, printr-un gol protejat cu uşă rezistentă la foc și etanșă la fum </w:t>
      </w:r>
      <w:r>
        <w:rPr>
          <w:b/>
          <w:sz w:val="24"/>
          <w:szCs w:val="24"/>
        </w:rPr>
        <w:t>EI</w:t>
      </w:r>
      <w:r>
        <w:rPr>
          <w:b/>
          <w:sz w:val="24"/>
          <w:szCs w:val="24"/>
          <w:vertAlign w:val="subscript"/>
        </w:rPr>
        <w:t>2</w:t>
      </w:r>
      <w:r>
        <w:rPr>
          <w:b/>
          <w:sz w:val="24"/>
          <w:szCs w:val="24"/>
        </w:rPr>
        <w:t xml:space="preserve"> 90-C5S</w:t>
      </w:r>
      <w:r>
        <w:rPr>
          <w:b/>
          <w:sz w:val="24"/>
          <w:szCs w:val="24"/>
          <w:vertAlign w:val="subscript"/>
        </w:rPr>
        <w:t>200</w:t>
      </w:r>
      <w:r>
        <w:rPr>
          <w:sz w:val="24"/>
          <w:szCs w:val="24"/>
        </w:rPr>
        <w:t>.</w:t>
      </w:r>
    </w:p>
    <w:p w14:paraId="61DD2CD2" w14:textId="77777777" w:rsidR="001C08A5" w:rsidRDefault="00000000">
      <w:pPr>
        <w:ind w:firstLine="720"/>
        <w:jc w:val="both"/>
        <w:rPr>
          <w:sz w:val="24"/>
          <w:szCs w:val="24"/>
        </w:rPr>
      </w:pPr>
      <w:r>
        <w:rPr>
          <w:b/>
          <w:sz w:val="24"/>
          <w:szCs w:val="24"/>
        </w:rPr>
        <w:t xml:space="preserve">(3) </w:t>
      </w:r>
      <w:r>
        <w:rPr>
          <w:sz w:val="24"/>
          <w:szCs w:val="24"/>
        </w:rPr>
        <w:t>Fac excepţie căile de acces strict funcţionale la subsoluri tehnice și cazurile în care subsolul nu este separat de construcţia supraterană prin uşă rezistentă la foc și etanșă la fum (coridoarele îndeplinesc condițiile de la casele de scări).</w:t>
      </w:r>
    </w:p>
    <w:p w14:paraId="7D0D5325" w14:textId="77777777" w:rsidR="001C08A5" w:rsidRDefault="001C08A5">
      <w:pPr>
        <w:jc w:val="both"/>
        <w:rPr>
          <w:sz w:val="24"/>
          <w:szCs w:val="24"/>
        </w:rPr>
      </w:pPr>
    </w:p>
    <w:p w14:paraId="033BB100" w14:textId="77777777" w:rsidR="001C08A5" w:rsidRDefault="00000000">
      <w:pPr>
        <w:jc w:val="both"/>
        <w:rPr>
          <w:sz w:val="24"/>
          <w:szCs w:val="24"/>
        </w:rPr>
      </w:pPr>
      <w:r>
        <w:rPr>
          <w:b/>
          <w:sz w:val="24"/>
          <w:szCs w:val="24"/>
        </w:rPr>
        <w:tab/>
        <w:t xml:space="preserve">Art. 6.1.5.13. (1) </w:t>
      </w:r>
      <w:r>
        <w:rPr>
          <w:sz w:val="24"/>
          <w:szCs w:val="24"/>
        </w:rPr>
        <w:t>Pentru evacuarea utilizatorilor locurilor permanente de lucru ale platformelor supraterane de producţie şi/sau depozitare deschise, inclusiv a încăperilor de lucru amenajate pe acestea, se asigură scări de evacuare indiferent de numărul de niveluri și riscurile de incendiu.</w:t>
      </w:r>
    </w:p>
    <w:p w14:paraId="2401F889" w14:textId="77777777" w:rsidR="001C08A5" w:rsidRDefault="00000000">
      <w:pPr>
        <w:ind w:firstLine="720"/>
        <w:jc w:val="both"/>
        <w:rPr>
          <w:sz w:val="24"/>
          <w:szCs w:val="24"/>
        </w:rPr>
      </w:pPr>
      <w:r>
        <w:rPr>
          <w:b/>
          <w:sz w:val="24"/>
          <w:szCs w:val="24"/>
        </w:rPr>
        <w:t xml:space="preserve">(2) </w:t>
      </w:r>
      <w:r>
        <w:rPr>
          <w:sz w:val="24"/>
          <w:szCs w:val="24"/>
        </w:rPr>
        <w:t>Scările de evacuare exterioare deschise, se amplasează, realizează și protejează astfel încât circulaţia utilizatorilor să nu poată fi blocată de flăcările sau fumul produs în caz de incendiu în construcţia pentru care sunt prevăzute sau construcţiile situate în vecinătate, conform prevederilor generale.</w:t>
      </w:r>
    </w:p>
    <w:p w14:paraId="7AA867B3" w14:textId="77777777" w:rsidR="001C08A5" w:rsidRDefault="001C08A5">
      <w:pPr>
        <w:jc w:val="both"/>
        <w:rPr>
          <w:sz w:val="24"/>
          <w:szCs w:val="24"/>
        </w:rPr>
      </w:pPr>
    </w:p>
    <w:p w14:paraId="299F3D42" w14:textId="77777777" w:rsidR="001C08A5" w:rsidRDefault="00000000">
      <w:pPr>
        <w:jc w:val="both"/>
        <w:rPr>
          <w:sz w:val="24"/>
          <w:szCs w:val="24"/>
        </w:rPr>
      </w:pPr>
      <w:r>
        <w:rPr>
          <w:b/>
          <w:sz w:val="24"/>
          <w:szCs w:val="24"/>
        </w:rPr>
        <w:tab/>
        <w:t xml:space="preserve">Art. 6.1.5.14. (1) </w:t>
      </w:r>
      <w:r>
        <w:rPr>
          <w:sz w:val="24"/>
          <w:szCs w:val="24"/>
        </w:rPr>
        <w:t>La determinarea unităţilor (fluxurilor) de trecere de evacuare ce trebuie asigurate în caz de incendiu la construcţiile de producţie, se ia în considerare totalul utilizatorilor permanenţi din cel mai numeros schimb, stabilit prin proiect.</w:t>
      </w:r>
    </w:p>
    <w:p w14:paraId="5CFDD0EF" w14:textId="77777777" w:rsidR="001C08A5" w:rsidRDefault="00000000">
      <w:pPr>
        <w:jc w:val="both"/>
        <w:rPr>
          <w:sz w:val="24"/>
          <w:szCs w:val="24"/>
        </w:rPr>
      </w:pPr>
      <w:r>
        <w:rPr>
          <w:sz w:val="24"/>
          <w:szCs w:val="24"/>
        </w:rPr>
        <w:tab/>
      </w:r>
      <w:r>
        <w:rPr>
          <w:b/>
          <w:sz w:val="24"/>
          <w:szCs w:val="24"/>
        </w:rPr>
        <w:t xml:space="preserve">(2) </w:t>
      </w:r>
      <w:r>
        <w:rPr>
          <w:sz w:val="24"/>
          <w:szCs w:val="24"/>
        </w:rPr>
        <w:t>Pentru construcţiile de depozitare se iau în considerare utilizatorii cu activitate permanentă, stabilit prin proiect. Atunci când nu sunt utilizatori permanenţi în depozit, condiţiile de evacuare nu sunt obligatorii.</w:t>
      </w:r>
    </w:p>
    <w:p w14:paraId="1045575D" w14:textId="77777777" w:rsidR="001C08A5" w:rsidRDefault="001C08A5">
      <w:pPr>
        <w:jc w:val="both"/>
        <w:rPr>
          <w:sz w:val="24"/>
          <w:szCs w:val="24"/>
        </w:rPr>
      </w:pPr>
    </w:p>
    <w:p w14:paraId="4F354BE6" w14:textId="77777777" w:rsidR="001C08A5" w:rsidRDefault="00000000">
      <w:pPr>
        <w:jc w:val="both"/>
        <w:rPr>
          <w:b/>
          <w:sz w:val="24"/>
          <w:szCs w:val="24"/>
        </w:rPr>
      </w:pPr>
      <w:r>
        <w:rPr>
          <w:b/>
          <w:sz w:val="24"/>
          <w:szCs w:val="24"/>
        </w:rPr>
        <w:tab/>
        <w:t xml:space="preserve">Art. 6.1.5.15. </w:t>
      </w:r>
      <w:r>
        <w:rPr>
          <w:rFonts w:eastAsia="ArialMT"/>
          <w:sz w:val="24"/>
          <w:szCs w:val="24"/>
        </w:rPr>
        <w:t xml:space="preserve">Numărul normat de utilizatori pe unitatea de trecere (flux) de evacuare </w:t>
      </w:r>
      <w:r>
        <w:rPr>
          <w:rFonts w:eastAsia="Arial-BoldMT"/>
          <w:b/>
          <w:sz w:val="24"/>
          <w:szCs w:val="24"/>
        </w:rPr>
        <w:t>(Uf)</w:t>
      </w:r>
      <w:r>
        <w:rPr>
          <w:sz w:val="24"/>
          <w:szCs w:val="24"/>
        </w:rPr>
        <w:t xml:space="preserve"> din construcţiile de producţie şi/sau depozitare sunt precizate în </w:t>
      </w:r>
      <w:r>
        <w:rPr>
          <w:b/>
          <w:bCs/>
          <w:i/>
          <w:iCs/>
          <w:sz w:val="24"/>
          <w:szCs w:val="24"/>
        </w:rPr>
        <w:fldChar w:fldCharType="begin"/>
      </w:r>
      <w:r>
        <w:rPr>
          <w:b/>
          <w:bCs/>
          <w:i/>
          <w:iCs/>
          <w:sz w:val="24"/>
          <w:szCs w:val="24"/>
        </w:rPr>
        <w:instrText xml:space="preserve"> REF _Ref12711 \h </w:instrText>
      </w:r>
      <w:r>
        <w:rPr>
          <w:b/>
          <w:bCs/>
          <w:i/>
          <w:iCs/>
          <w:sz w:val="24"/>
          <w:szCs w:val="24"/>
        </w:rPr>
      </w:r>
      <w:r>
        <w:rPr>
          <w:b/>
          <w:bCs/>
          <w:i/>
          <w:iCs/>
          <w:sz w:val="24"/>
          <w:szCs w:val="24"/>
        </w:rPr>
        <w:fldChar w:fldCharType="separate"/>
      </w:r>
      <w:r>
        <w:t>Tabelul 115</w:t>
      </w:r>
      <w:r>
        <w:rPr>
          <w:b/>
          <w:bCs/>
          <w:i/>
          <w:iCs/>
          <w:sz w:val="24"/>
          <w:szCs w:val="24"/>
        </w:rPr>
        <w:fldChar w:fldCharType="end"/>
      </w:r>
      <w:r>
        <w:rPr>
          <w:sz w:val="24"/>
          <w:szCs w:val="24"/>
        </w:rPr>
        <w:t>.</w:t>
      </w:r>
    </w:p>
    <w:p w14:paraId="4AAD8A79" w14:textId="77777777" w:rsidR="001C08A5" w:rsidRDefault="001C08A5">
      <w:pPr>
        <w:jc w:val="both"/>
        <w:rPr>
          <w:b/>
          <w:sz w:val="24"/>
          <w:szCs w:val="24"/>
        </w:rPr>
      </w:pPr>
    </w:p>
    <w:p w14:paraId="7EA62E94" w14:textId="77777777" w:rsidR="001C08A5" w:rsidRDefault="00000000">
      <w:pPr>
        <w:pStyle w:val="Captiontabel"/>
      </w:pPr>
      <w:bookmarkStart w:id="5205" w:name="_Ref12711"/>
      <w:bookmarkStart w:id="5206" w:name="_Ref17418"/>
      <w:bookmarkStart w:id="5207" w:name="_Toc162360165"/>
      <w:r>
        <w:t xml:space="preserve">Tabelul </w:t>
      </w:r>
      <w:r>
        <w:fldChar w:fldCharType="begin"/>
      </w:r>
      <w:r>
        <w:instrText xml:space="preserve"> SEQ Tabelul \* ARABIC </w:instrText>
      </w:r>
      <w:r>
        <w:fldChar w:fldCharType="separate"/>
      </w:r>
      <w:r>
        <w:t>115</w:t>
      </w:r>
      <w:r>
        <w:fldChar w:fldCharType="end"/>
      </w:r>
      <w:bookmarkStart w:id="5208" w:name="_Toc30373"/>
      <w:bookmarkStart w:id="5209" w:name="_Toc28095"/>
      <w:bookmarkStart w:id="5210" w:name="_Toc3090"/>
      <w:bookmarkStart w:id="5211" w:name="_Toc26155"/>
      <w:bookmarkStart w:id="5212" w:name="_Toc18774"/>
      <w:bookmarkStart w:id="5213" w:name="_Toc9840"/>
      <w:bookmarkStart w:id="5214" w:name="_Toc1660"/>
      <w:bookmarkStart w:id="5215" w:name="_Toc8887"/>
      <w:bookmarkStart w:id="5216" w:name="_Toc13797"/>
      <w:bookmarkStart w:id="5217" w:name="_Toc29424"/>
      <w:bookmarkStart w:id="5218" w:name="_Toc4865"/>
      <w:bookmarkStart w:id="5219" w:name="_Toc25290"/>
      <w:bookmarkStart w:id="5220" w:name="_Toc19462"/>
      <w:bookmarkStart w:id="5221" w:name="_Toc3952"/>
      <w:bookmarkStart w:id="5222" w:name="_Toc6106"/>
      <w:bookmarkStart w:id="5223" w:name="_Toc30874"/>
      <w:bookmarkStart w:id="5224" w:name="_Toc20217"/>
      <w:bookmarkStart w:id="5225" w:name="_Toc2893"/>
      <w:bookmarkStart w:id="5226" w:name="_Toc20013"/>
      <w:bookmarkEnd w:id="5205"/>
      <w:r>
        <w:t>: Numărul normat de utilizatori pe unitatea de trecere (flux) de evacuare (Uf) din construcţiile de producţie şi/sau depozitare</w:t>
      </w:r>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p>
    <w:p w14:paraId="4855CFD0" w14:textId="77777777" w:rsidR="001C08A5" w:rsidRDefault="001C08A5">
      <w:pPr>
        <w:jc w:val="both"/>
        <w:rPr>
          <w:sz w:val="24"/>
          <w:szCs w:val="24"/>
        </w:rPr>
      </w:pPr>
    </w:p>
    <w:tbl>
      <w:tblPr>
        <w:tblW w:w="9498" w:type="dxa"/>
        <w:tblInd w:w="108" w:type="dxa"/>
        <w:tblLayout w:type="fixed"/>
        <w:tblLook w:val="04A0" w:firstRow="1" w:lastRow="0" w:firstColumn="1" w:lastColumn="0" w:noHBand="0" w:noVBand="1"/>
      </w:tblPr>
      <w:tblGrid>
        <w:gridCol w:w="709"/>
        <w:gridCol w:w="6946"/>
        <w:gridCol w:w="1843"/>
      </w:tblGrid>
      <w:tr w:rsidR="001C08A5" w14:paraId="150634BF" w14:textId="77777777">
        <w:trPr>
          <w:tblHeader/>
        </w:trPr>
        <w:tc>
          <w:tcPr>
            <w:tcW w:w="709" w:type="dxa"/>
            <w:tcBorders>
              <w:top w:val="single" w:sz="8" w:space="0" w:color="000000"/>
              <w:left w:val="single" w:sz="8" w:space="0" w:color="000000"/>
              <w:bottom w:val="single" w:sz="8" w:space="0" w:color="000000"/>
            </w:tcBorders>
            <w:shd w:val="clear" w:color="auto" w:fill="BFBFBF"/>
          </w:tcPr>
          <w:p w14:paraId="1F1235B5" w14:textId="77777777" w:rsidR="001C08A5" w:rsidRDefault="001C08A5">
            <w:pPr>
              <w:snapToGrid w:val="0"/>
              <w:jc w:val="center"/>
              <w:rPr>
                <w:i/>
                <w:iCs/>
                <w:sz w:val="22"/>
                <w:szCs w:val="22"/>
              </w:rPr>
            </w:pPr>
          </w:p>
          <w:p w14:paraId="18A31DC0" w14:textId="77777777" w:rsidR="001C08A5" w:rsidRDefault="00000000">
            <w:pPr>
              <w:jc w:val="center"/>
              <w:rPr>
                <w:b/>
                <w:i/>
                <w:iCs/>
                <w:sz w:val="22"/>
                <w:szCs w:val="22"/>
              </w:rPr>
            </w:pPr>
            <w:r>
              <w:rPr>
                <w:b/>
                <w:i/>
                <w:iCs/>
                <w:sz w:val="22"/>
                <w:szCs w:val="22"/>
              </w:rPr>
              <w:t>Nr.</w:t>
            </w:r>
          </w:p>
          <w:p w14:paraId="44B8FCAE" w14:textId="77777777" w:rsidR="001C08A5" w:rsidRDefault="00000000">
            <w:pPr>
              <w:jc w:val="center"/>
              <w:rPr>
                <w:i/>
                <w:iCs/>
                <w:sz w:val="22"/>
                <w:szCs w:val="22"/>
              </w:rPr>
            </w:pPr>
            <w:r>
              <w:rPr>
                <w:b/>
                <w:i/>
                <w:iCs/>
                <w:sz w:val="22"/>
                <w:szCs w:val="22"/>
              </w:rPr>
              <w:t>crt.</w:t>
            </w:r>
          </w:p>
        </w:tc>
        <w:tc>
          <w:tcPr>
            <w:tcW w:w="6946" w:type="dxa"/>
            <w:tcBorders>
              <w:top w:val="single" w:sz="8" w:space="0" w:color="000000"/>
              <w:left w:val="single" w:sz="4" w:space="0" w:color="000000"/>
              <w:bottom w:val="single" w:sz="8" w:space="0" w:color="000000"/>
            </w:tcBorders>
            <w:shd w:val="clear" w:color="auto" w:fill="BFBFBF"/>
          </w:tcPr>
          <w:p w14:paraId="07C28651" w14:textId="77777777" w:rsidR="001C08A5" w:rsidRDefault="001C08A5">
            <w:pPr>
              <w:snapToGrid w:val="0"/>
              <w:jc w:val="both"/>
              <w:rPr>
                <w:i/>
                <w:iCs/>
                <w:sz w:val="22"/>
                <w:szCs w:val="22"/>
              </w:rPr>
            </w:pPr>
          </w:p>
          <w:p w14:paraId="4CA78281" w14:textId="77777777" w:rsidR="001C08A5" w:rsidRDefault="00000000">
            <w:pPr>
              <w:jc w:val="center"/>
              <w:rPr>
                <w:b/>
                <w:i/>
                <w:iCs/>
                <w:sz w:val="22"/>
                <w:szCs w:val="22"/>
              </w:rPr>
            </w:pPr>
            <w:r>
              <w:rPr>
                <w:b/>
                <w:i/>
                <w:iCs/>
                <w:sz w:val="22"/>
                <w:szCs w:val="22"/>
              </w:rPr>
              <w:t>Destinaţie a construcţiei sau a porţiunii de construcţie din care se  evacuează utilizatorii</w:t>
            </w:r>
          </w:p>
        </w:tc>
        <w:tc>
          <w:tcPr>
            <w:tcW w:w="1843" w:type="dxa"/>
            <w:tcBorders>
              <w:top w:val="single" w:sz="8" w:space="0" w:color="000000"/>
              <w:left w:val="single" w:sz="4" w:space="0" w:color="000000"/>
              <w:bottom w:val="single" w:sz="8" w:space="0" w:color="000000"/>
              <w:right w:val="single" w:sz="8" w:space="0" w:color="000000"/>
            </w:tcBorders>
            <w:shd w:val="clear" w:color="auto" w:fill="BFBFBF"/>
          </w:tcPr>
          <w:p w14:paraId="514667BA" w14:textId="77777777" w:rsidR="001C08A5" w:rsidRDefault="00000000">
            <w:pPr>
              <w:jc w:val="center"/>
              <w:rPr>
                <w:i/>
                <w:iCs/>
                <w:sz w:val="22"/>
                <w:szCs w:val="22"/>
              </w:rPr>
            </w:pPr>
            <w:r>
              <w:rPr>
                <w:rFonts w:eastAsia="ArialMT"/>
                <w:i/>
                <w:iCs/>
                <w:sz w:val="22"/>
                <w:szCs w:val="22"/>
              </w:rPr>
              <w:t xml:space="preserve">Numărul normat de utilizatori pe unitatea de trecere (flux) de evacuare </w:t>
            </w:r>
            <w:r>
              <w:rPr>
                <w:rFonts w:eastAsia="Arial-BoldMT"/>
                <w:b/>
                <w:bCs/>
                <w:i/>
                <w:iCs/>
                <w:sz w:val="22"/>
                <w:szCs w:val="22"/>
              </w:rPr>
              <w:t>(Uf)</w:t>
            </w:r>
          </w:p>
        </w:tc>
      </w:tr>
      <w:tr w:rsidR="001C08A5" w14:paraId="0195AE04" w14:textId="77777777">
        <w:tc>
          <w:tcPr>
            <w:tcW w:w="709" w:type="dxa"/>
            <w:tcBorders>
              <w:top w:val="single" w:sz="4" w:space="0" w:color="000000"/>
              <w:left w:val="single" w:sz="4" w:space="0" w:color="000000"/>
              <w:bottom w:val="single" w:sz="4" w:space="0" w:color="000000"/>
            </w:tcBorders>
          </w:tcPr>
          <w:p w14:paraId="2A2245A0" w14:textId="77777777" w:rsidR="001C08A5" w:rsidRDefault="00000000">
            <w:pPr>
              <w:jc w:val="center"/>
              <w:rPr>
                <w:i/>
                <w:iCs/>
                <w:sz w:val="22"/>
                <w:szCs w:val="22"/>
              </w:rPr>
            </w:pPr>
            <w:r>
              <w:rPr>
                <w:i/>
                <w:iCs/>
                <w:sz w:val="22"/>
                <w:szCs w:val="22"/>
              </w:rPr>
              <w:t>1</w:t>
            </w:r>
          </w:p>
        </w:tc>
        <w:tc>
          <w:tcPr>
            <w:tcW w:w="6946" w:type="dxa"/>
            <w:tcBorders>
              <w:top w:val="single" w:sz="4" w:space="0" w:color="000000"/>
              <w:left w:val="single" w:sz="4" w:space="0" w:color="000000"/>
              <w:bottom w:val="single" w:sz="4" w:space="0" w:color="000000"/>
            </w:tcBorders>
          </w:tcPr>
          <w:p w14:paraId="7FD5D47A" w14:textId="77777777" w:rsidR="001C08A5" w:rsidRDefault="00000000">
            <w:pPr>
              <w:jc w:val="both"/>
              <w:rPr>
                <w:b/>
                <w:i/>
                <w:iCs/>
                <w:sz w:val="22"/>
                <w:szCs w:val="22"/>
              </w:rPr>
            </w:pPr>
            <w:r>
              <w:rPr>
                <w:i/>
                <w:iCs/>
                <w:sz w:val="22"/>
                <w:szCs w:val="22"/>
              </w:rPr>
              <w:t>Pentru producţie şi/sau depozitare cu risc mic de incendiu.</w:t>
            </w:r>
          </w:p>
        </w:tc>
        <w:tc>
          <w:tcPr>
            <w:tcW w:w="1843" w:type="dxa"/>
            <w:tcBorders>
              <w:top w:val="single" w:sz="4" w:space="0" w:color="000000"/>
              <w:left w:val="single" w:sz="4" w:space="0" w:color="000000"/>
              <w:bottom w:val="single" w:sz="4" w:space="0" w:color="000000"/>
              <w:right w:val="single" w:sz="4" w:space="0" w:color="000000"/>
            </w:tcBorders>
          </w:tcPr>
          <w:p w14:paraId="494545DB" w14:textId="77777777" w:rsidR="001C08A5" w:rsidRDefault="00000000">
            <w:pPr>
              <w:jc w:val="center"/>
              <w:rPr>
                <w:i/>
                <w:iCs/>
                <w:sz w:val="22"/>
                <w:szCs w:val="22"/>
              </w:rPr>
            </w:pPr>
            <w:r>
              <w:rPr>
                <w:b/>
                <w:i/>
                <w:iCs/>
                <w:sz w:val="22"/>
                <w:szCs w:val="22"/>
              </w:rPr>
              <w:t>90</w:t>
            </w:r>
          </w:p>
        </w:tc>
      </w:tr>
      <w:tr w:rsidR="001C08A5" w14:paraId="03366D6B" w14:textId="77777777">
        <w:tc>
          <w:tcPr>
            <w:tcW w:w="709" w:type="dxa"/>
            <w:tcBorders>
              <w:top w:val="single" w:sz="4" w:space="0" w:color="000000"/>
              <w:left w:val="single" w:sz="4" w:space="0" w:color="000000"/>
              <w:bottom w:val="single" w:sz="4" w:space="0" w:color="000000"/>
            </w:tcBorders>
          </w:tcPr>
          <w:p w14:paraId="66417F8E" w14:textId="77777777" w:rsidR="001C08A5" w:rsidRDefault="00000000">
            <w:pPr>
              <w:jc w:val="center"/>
              <w:rPr>
                <w:i/>
                <w:iCs/>
                <w:sz w:val="22"/>
                <w:szCs w:val="22"/>
              </w:rPr>
            </w:pPr>
            <w:r>
              <w:rPr>
                <w:i/>
                <w:iCs/>
                <w:sz w:val="22"/>
                <w:szCs w:val="22"/>
              </w:rPr>
              <w:t>2</w:t>
            </w:r>
          </w:p>
        </w:tc>
        <w:tc>
          <w:tcPr>
            <w:tcW w:w="6946" w:type="dxa"/>
            <w:tcBorders>
              <w:top w:val="single" w:sz="4" w:space="0" w:color="000000"/>
              <w:left w:val="single" w:sz="4" w:space="0" w:color="000000"/>
              <w:bottom w:val="single" w:sz="4" w:space="0" w:color="000000"/>
            </w:tcBorders>
          </w:tcPr>
          <w:p w14:paraId="79C75BF3" w14:textId="77777777" w:rsidR="001C08A5" w:rsidRDefault="00000000">
            <w:pPr>
              <w:jc w:val="both"/>
              <w:rPr>
                <w:b/>
                <w:i/>
                <w:iCs/>
                <w:sz w:val="22"/>
                <w:szCs w:val="22"/>
              </w:rPr>
            </w:pPr>
            <w:r>
              <w:rPr>
                <w:i/>
                <w:iCs/>
                <w:sz w:val="22"/>
                <w:szCs w:val="22"/>
              </w:rPr>
              <w:t>Pentru producţie şi/sau depozitare cu risc mijlociu de incendiu.</w:t>
            </w:r>
          </w:p>
        </w:tc>
        <w:tc>
          <w:tcPr>
            <w:tcW w:w="1843" w:type="dxa"/>
            <w:tcBorders>
              <w:top w:val="single" w:sz="4" w:space="0" w:color="000000"/>
              <w:left w:val="single" w:sz="4" w:space="0" w:color="000000"/>
              <w:bottom w:val="single" w:sz="4" w:space="0" w:color="000000"/>
              <w:right w:val="single" w:sz="4" w:space="0" w:color="000000"/>
            </w:tcBorders>
          </w:tcPr>
          <w:p w14:paraId="701F7E1F" w14:textId="77777777" w:rsidR="001C08A5" w:rsidRDefault="00000000">
            <w:pPr>
              <w:jc w:val="center"/>
              <w:rPr>
                <w:i/>
                <w:iCs/>
                <w:sz w:val="22"/>
                <w:szCs w:val="22"/>
              </w:rPr>
            </w:pPr>
            <w:r>
              <w:rPr>
                <w:b/>
                <w:i/>
                <w:iCs/>
                <w:sz w:val="22"/>
                <w:szCs w:val="22"/>
              </w:rPr>
              <w:t>75</w:t>
            </w:r>
          </w:p>
        </w:tc>
      </w:tr>
      <w:tr w:rsidR="001C08A5" w14:paraId="2A7393F2" w14:textId="77777777">
        <w:trPr>
          <w:trHeight w:val="456"/>
        </w:trPr>
        <w:tc>
          <w:tcPr>
            <w:tcW w:w="709" w:type="dxa"/>
            <w:tcBorders>
              <w:top w:val="single" w:sz="4" w:space="0" w:color="000000"/>
              <w:left w:val="single" w:sz="4" w:space="0" w:color="000000"/>
              <w:bottom w:val="single" w:sz="4" w:space="0" w:color="000000"/>
            </w:tcBorders>
          </w:tcPr>
          <w:p w14:paraId="5A10429D" w14:textId="77777777" w:rsidR="001C08A5" w:rsidRDefault="00000000">
            <w:pPr>
              <w:jc w:val="center"/>
              <w:rPr>
                <w:i/>
                <w:iCs/>
                <w:sz w:val="22"/>
                <w:szCs w:val="22"/>
              </w:rPr>
            </w:pPr>
            <w:r>
              <w:rPr>
                <w:i/>
                <w:iCs/>
                <w:sz w:val="22"/>
                <w:szCs w:val="22"/>
              </w:rPr>
              <w:lastRenderedPageBreak/>
              <w:t>3</w:t>
            </w:r>
          </w:p>
        </w:tc>
        <w:tc>
          <w:tcPr>
            <w:tcW w:w="6946" w:type="dxa"/>
            <w:tcBorders>
              <w:top w:val="single" w:sz="4" w:space="0" w:color="000000"/>
              <w:left w:val="single" w:sz="4" w:space="0" w:color="000000"/>
              <w:bottom w:val="single" w:sz="4" w:space="0" w:color="000000"/>
            </w:tcBorders>
          </w:tcPr>
          <w:p w14:paraId="3CD86957" w14:textId="77777777" w:rsidR="001C08A5" w:rsidRDefault="00000000">
            <w:pPr>
              <w:jc w:val="both"/>
              <w:rPr>
                <w:b/>
                <w:i/>
                <w:iCs/>
                <w:sz w:val="22"/>
                <w:szCs w:val="22"/>
              </w:rPr>
            </w:pPr>
            <w:r>
              <w:rPr>
                <w:i/>
                <w:iCs/>
                <w:sz w:val="22"/>
                <w:szCs w:val="22"/>
              </w:rPr>
              <w:t>Pentru producţie şi/sau depozitare cu risc mare sau foarte mare de incendiu.</w:t>
            </w:r>
          </w:p>
        </w:tc>
        <w:tc>
          <w:tcPr>
            <w:tcW w:w="1843" w:type="dxa"/>
            <w:tcBorders>
              <w:top w:val="single" w:sz="4" w:space="0" w:color="000000"/>
              <w:left w:val="single" w:sz="4" w:space="0" w:color="000000"/>
              <w:bottom w:val="single" w:sz="4" w:space="0" w:color="000000"/>
              <w:right w:val="single" w:sz="4" w:space="0" w:color="000000"/>
            </w:tcBorders>
          </w:tcPr>
          <w:p w14:paraId="554DF317" w14:textId="77777777" w:rsidR="001C08A5" w:rsidRDefault="00000000">
            <w:pPr>
              <w:jc w:val="center"/>
              <w:rPr>
                <w:i/>
                <w:iCs/>
                <w:sz w:val="22"/>
                <w:szCs w:val="22"/>
              </w:rPr>
            </w:pPr>
            <w:r>
              <w:rPr>
                <w:b/>
                <w:i/>
                <w:iCs/>
                <w:sz w:val="22"/>
                <w:szCs w:val="22"/>
              </w:rPr>
              <w:t>65</w:t>
            </w:r>
          </w:p>
        </w:tc>
      </w:tr>
    </w:tbl>
    <w:p w14:paraId="2EFF758B" w14:textId="77777777" w:rsidR="001C08A5" w:rsidRDefault="001C08A5">
      <w:pPr>
        <w:jc w:val="both"/>
        <w:rPr>
          <w:sz w:val="24"/>
          <w:szCs w:val="24"/>
        </w:rPr>
      </w:pPr>
    </w:p>
    <w:p w14:paraId="194D2C0A" w14:textId="77777777" w:rsidR="001C08A5" w:rsidRDefault="00000000">
      <w:pPr>
        <w:jc w:val="both"/>
        <w:rPr>
          <w:sz w:val="24"/>
          <w:szCs w:val="24"/>
        </w:rPr>
      </w:pPr>
      <w:r>
        <w:rPr>
          <w:b/>
          <w:sz w:val="24"/>
          <w:szCs w:val="24"/>
        </w:rPr>
        <w:tab/>
        <w:t xml:space="preserve">Art. 6.1.5.16. </w:t>
      </w:r>
      <w:r>
        <w:rPr>
          <w:bCs/>
          <w:sz w:val="24"/>
          <w:szCs w:val="24"/>
        </w:rPr>
        <w:t>L</w:t>
      </w:r>
      <w:r>
        <w:rPr>
          <w:sz w:val="24"/>
          <w:szCs w:val="24"/>
        </w:rPr>
        <w:t xml:space="preserve">ungimile căilor de evacuare a utilizatorilor din construcţiile de producţie şi/sau depozitare se asigură potrivit prevederilor din </w:t>
      </w:r>
      <w:r>
        <w:rPr>
          <w:b/>
          <w:sz w:val="24"/>
          <w:szCs w:val="24"/>
        </w:rPr>
        <w:t>Art. 2.5.14.1.</w:t>
      </w:r>
      <w:r>
        <w:rPr>
          <w:sz w:val="24"/>
          <w:szCs w:val="24"/>
        </w:rPr>
        <w:t xml:space="preserve"> și </w:t>
      </w:r>
      <w:r>
        <w:rPr>
          <w:b/>
          <w:bCs/>
          <w:i/>
          <w:iCs/>
          <w:sz w:val="24"/>
          <w:szCs w:val="24"/>
        </w:rPr>
        <w:fldChar w:fldCharType="begin"/>
      </w:r>
      <w:r>
        <w:rPr>
          <w:b/>
          <w:bCs/>
          <w:i/>
          <w:iCs/>
          <w:sz w:val="24"/>
          <w:szCs w:val="24"/>
        </w:rPr>
        <w:instrText xml:space="preserve"> REF _Ref12792 \h </w:instrText>
      </w:r>
      <w:r>
        <w:rPr>
          <w:b/>
          <w:bCs/>
          <w:i/>
          <w:iCs/>
          <w:sz w:val="24"/>
          <w:szCs w:val="24"/>
        </w:rPr>
      </w:r>
      <w:r>
        <w:rPr>
          <w:b/>
          <w:bCs/>
          <w:i/>
          <w:iCs/>
          <w:sz w:val="24"/>
          <w:szCs w:val="24"/>
        </w:rPr>
        <w:fldChar w:fldCharType="separate"/>
      </w:r>
      <w:r>
        <w:t>Tabelul 116</w:t>
      </w:r>
      <w:r>
        <w:rPr>
          <w:b/>
          <w:bCs/>
          <w:i/>
          <w:iCs/>
          <w:sz w:val="24"/>
          <w:szCs w:val="24"/>
        </w:rPr>
        <w:fldChar w:fldCharType="end"/>
      </w:r>
      <w:r>
        <w:rPr>
          <w:sz w:val="24"/>
          <w:szCs w:val="24"/>
        </w:rPr>
        <w:t xml:space="preserve"> din normativ.</w:t>
      </w:r>
    </w:p>
    <w:p w14:paraId="409F4D9B" w14:textId="77777777" w:rsidR="001C08A5" w:rsidRDefault="001C08A5">
      <w:pPr>
        <w:jc w:val="both"/>
        <w:rPr>
          <w:b/>
          <w:sz w:val="24"/>
          <w:szCs w:val="24"/>
        </w:rPr>
      </w:pPr>
    </w:p>
    <w:p w14:paraId="3A710235" w14:textId="77777777" w:rsidR="001C08A5" w:rsidRDefault="00000000">
      <w:pPr>
        <w:pStyle w:val="Captiontabel"/>
      </w:pPr>
      <w:bookmarkStart w:id="5227" w:name="_Ref12792"/>
      <w:bookmarkStart w:id="5228" w:name="_Toc162360166"/>
      <w:bookmarkStart w:id="5229" w:name="_Ref21714"/>
      <w:r>
        <w:t xml:space="preserve">Tabelul </w:t>
      </w:r>
      <w:r>
        <w:fldChar w:fldCharType="begin"/>
      </w:r>
      <w:r>
        <w:instrText xml:space="preserve"> SEQ Tabelul \* ARABIC </w:instrText>
      </w:r>
      <w:r>
        <w:fldChar w:fldCharType="separate"/>
      </w:r>
      <w:r>
        <w:t>116</w:t>
      </w:r>
      <w:r>
        <w:fldChar w:fldCharType="end"/>
      </w:r>
      <w:bookmarkStart w:id="5230" w:name="_Toc23376"/>
      <w:bookmarkStart w:id="5231" w:name="_Toc8045"/>
      <w:bookmarkStart w:id="5232" w:name="_Toc10949"/>
      <w:bookmarkStart w:id="5233" w:name="_Toc26215"/>
      <w:bookmarkStart w:id="5234" w:name="_Toc9177"/>
      <w:bookmarkStart w:id="5235" w:name="_Toc22020"/>
      <w:bookmarkStart w:id="5236" w:name="_Toc28781"/>
      <w:bookmarkStart w:id="5237" w:name="_Toc5348"/>
      <w:bookmarkStart w:id="5238" w:name="_Toc4842"/>
      <w:bookmarkStart w:id="5239" w:name="_Toc16980"/>
      <w:bookmarkStart w:id="5240" w:name="_Toc10034"/>
      <w:bookmarkStart w:id="5241" w:name="_Toc8428"/>
      <w:bookmarkStart w:id="5242" w:name="_Toc23115"/>
      <w:bookmarkStart w:id="5243" w:name="_Toc14610"/>
      <w:bookmarkStart w:id="5244" w:name="_Toc1877"/>
      <w:bookmarkStart w:id="5245" w:name="_Toc17440"/>
      <w:bookmarkStart w:id="5246" w:name="_Toc11030"/>
      <w:bookmarkStart w:id="5247" w:name="_Toc5408"/>
      <w:bookmarkStart w:id="5248" w:name="_Toc23478"/>
      <w:bookmarkEnd w:id="5227"/>
      <w:r>
        <w:t>: Lungimi de evacuare în construcţii de producţie şi/sau depozitare</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p>
    <w:p w14:paraId="1C6E8F5C" w14:textId="77777777" w:rsidR="001C08A5" w:rsidRDefault="001C08A5">
      <w:pPr>
        <w:jc w:val="both"/>
        <w:rPr>
          <w:sz w:val="24"/>
          <w:szCs w:val="24"/>
        </w:rPr>
      </w:pPr>
    </w:p>
    <w:tbl>
      <w:tblPr>
        <w:tblW w:w="0" w:type="auto"/>
        <w:tblInd w:w="108" w:type="dxa"/>
        <w:tblLayout w:type="fixed"/>
        <w:tblLook w:val="04A0" w:firstRow="1" w:lastRow="0" w:firstColumn="1" w:lastColumn="0" w:noHBand="0" w:noVBand="1"/>
      </w:tblPr>
      <w:tblGrid>
        <w:gridCol w:w="1300"/>
        <w:gridCol w:w="1990"/>
        <w:gridCol w:w="1750"/>
        <w:gridCol w:w="2191"/>
        <w:gridCol w:w="2267"/>
      </w:tblGrid>
      <w:tr w:rsidR="001C08A5" w14:paraId="52EF80D9" w14:textId="77777777">
        <w:trPr>
          <w:tblHeader/>
        </w:trPr>
        <w:tc>
          <w:tcPr>
            <w:tcW w:w="3290" w:type="dxa"/>
            <w:gridSpan w:val="2"/>
            <w:tcBorders>
              <w:top w:val="single" w:sz="8" w:space="0" w:color="000000"/>
              <w:left w:val="single" w:sz="8" w:space="0" w:color="000000"/>
              <w:bottom w:val="single" w:sz="8" w:space="0" w:color="000000"/>
            </w:tcBorders>
            <w:shd w:val="clear" w:color="auto" w:fill="BFBFBF"/>
          </w:tcPr>
          <w:p w14:paraId="587E89AC" w14:textId="77777777" w:rsidR="001C08A5" w:rsidRDefault="00000000">
            <w:pPr>
              <w:jc w:val="center"/>
              <w:rPr>
                <w:b/>
                <w:i/>
                <w:iCs/>
                <w:sz w:val="22"/>
                <w:szCs w:val="22"/>
              </w:rPr>
            </w:pPr>
            <w:r>
              <w:rPr>
                <w:b/>
                <w:i/>
                <w:iCs/>
                <w:sz w:val="22"/>
                <w:szCs w:val="22"/>
              </w:rPr>
              <w:t>Construcţii  de producţie şi/sau depozitare</w:t>
            </w:r>
          </w:p>
        </w:tc>
        <w:tc>
          <w:tcPr>
            <w:tcW w:w="6208" w:type="dxa"/>
            <w:gridSpan w:val="3"/>
            <w:tcBorders>
              <w:top w:val="single" w:sz="8" w:space="0" w:color="000000"/>
              <w:left w:val="single" w:sz="4" w:space="0" w:color="000000"/>
              <w:bottom w:val="single" w:sz="8" w:space="0" w:color="000000"/>
              <w:right w:val="single" w:sz="8" w:space="0" w:color="000000"/>
            </w:tcBorders>
            <w:shd w:val="clear" w:color="auto" w:fill="BFBFBF"/>
            <w:vAlign w:val="center"/>
          </w:tcPr>
          <w:p w14:paraId="09746FBE" w14:textId="77777777" w:rsidR="001C08A5" w:rsidRDefault="00000000">
            <w:pPr>
              <w:jc w:val="center"/>
              <w:rPr>
                <w:b/>
                <w:i/>
                <w:iCs/>
                <w:sz w:val="22"/>
                <w:szCs w:val="22"/>
              </w:rPr>
            </w:pPr>
            <w:r>
              <w:rPr>
                <w:b/>
                <w:i/>
                <w:iCs/>
                <w:sz w:val="22"/>
                <w:szCs w:val="22"/>
              </w:rPr>
              <w:t>Lungime maximă de evacuare</w:t>
            </w:r>
          </w:p>
        </w:tc>
      </w:tr>
      <w:tr w:rsidR="001C08A5" w14:paraId="41C3FE87" w14:textId="77777777">
        <w:trPr>
          <w:trHeight w:val="419"/>
          <w:tblHeader/>
        </w:trPr>
        <w:tc>
          <w:tcPr>
            <w:tcW w:w="1300" w:type="dxa"/>
            <w:vMerge w:val="restart"/>
            <w:tcBorders>
              <w:top w:val="single" w:sz="8" w:space="0" w:color="000000"/>
              <w:left w:val="single" w:sz="4" w:space="0" w:color="000000"/>
              <w:bottom w:val="single" w:sz="4" w:space="0" w:color="000000"/>
            </w:tcBorders>
            <w:shd w:val="clear" w:color="auto" w:fill="BFBFBF"/>
            <w:vAlign w:val="center"/>
          </w:tcPr>
          <w:p w14:paraId="492EE0D8" w14:textId="77777777" w:rsidR="001C08A5" w:rsidRDefault="00000000">
            <w:pPr>
              <w:jc w:val="center"/>
              <w:rPr>
                <w:b/>
                <w:i/>
                <w:iCs/>
                <w:sz w:val="22"/>
                <w:szCs w:val="22"/>
              </w:rPr>
            </w:pPr>
            <w:r>
              <w:rPr>
                <w:b/>
                <w:i/>
                <w:iCs/>
                <w:sz w:val="22"/>
                <w:szCs w:val="22"/>
              </w:rPr>
              <w:t>Riscuri</w:t>
            </w:r>
          </w:p>
          <w:p w14:paraId="26749A68" w14:textId="77777777" w:rsidR="001C08A5" w:rsidRDefault="00000000">
            <w:pPr>
              <w:jc w:val="center"/>
              <w:rPr>
                <w:b/>
                <w:i/>
                <w:iCs/>
                <w:sz w:val="22"/>
                <w:szCs w:val="22"/>
              </w:rPr>
            </w:pPr>
            <w:r>
              <w:rPr>
                <w:b/>
                <w:i/>
                <w:iCs/>
                <w:sz w:val="22"/>
                <w:szCs w:val="22"/>
              </w:rPr>
              <w:t>de incendiu</w:t>
            </w:r>
          </w:p>
        </w:tc>
        <w:tc>
          <w:tcPr>
            <w:tcW w:w="1990" w:type="dxa"/>
            <w:vMerge w:val="restart"/>
            <w:tcBorders>
              <w:top w:val="single" w:sz="8" w:space="0" w:color="000000"/>
              <w:left w:val="single" w:sz="4" w:space="0" w:color="000000"/>
              <w:bottom w:val="single" w:sz="4" w:space="0" w:color="000000"/>
            </w:tcBorders>
            <w:shd w:val="clear" w:color="auto" w:fill="BFBFBF"/>
            <w:vAlign w:val="center"/>
          </w:tcPr>
          <w:p w14:paraId="62545CC0" w14:textId="77777777" w:rsidR="001C08A5" w:rsidRDefault="00000000">
            <w:pPr>
              <w:jc w:val="center"/>
              <w:rPr>
                <w:b/>
                <w:i/>
                <w:iCs/>
                <w:sz w:val="22"/>
                <w:szCs w:val="22"/>
              </w:rPr>
            </w:pPr>
            <w:r>
              <w:rPr>
                <w:b/>
                <w:i/>
                <w:iCs/>
                <w:sz w:val="22"/>
                <w:szCs w:val="22"/>
              </w:rPr>
              <w:t>Nivel de stabilitate la incendiu asigurat</w:t>
            </w:r>
          </w:p>
        </w:tc>
        <w:tc>
          <w:tcPr>
            <w:tcW w:w="3941" w:type="dxa"/>
            <w:gridSpan w:val="2"/>
            <w:tcBorders>
              <w:top w:val="single" w:sz="8" w:space="0" w:color="000000"/>
              <w:left w:val="single" w:sz="4" w:space="0" w:color="000000"/>
              <w:bottom w:val="single" w:sz="4" w:space="0" w:color="000000"/>
            </w:tcBorders>
            <w:shd w:val="clear" w:color="auto" w:fill="BFBFBF"/>
            <w:vAlign w:val="center"/>
          </w:tcPr>
          <w:p w14:paraId="59770AD7" w14:textId="77777777" w:rsidR="001C08A5" w:rsidRDefault="00000000">
            <w:pPr>
              <w:jc w:val="center"/>
              <w:rPr>
                <w:b/>
                <w:i/>
                <w:iCs/>
                <w:sz w:val="22"/>
                <w:szCs w:val="22"/>
              </w:rPr>
            </w:pPr>
            <w:r>
              <w:rPr>
                <w:b/>
                <w:i/>
                <w:iCs/>
                <w:sz w:val="22"/>
                <w:szCs w:val="22"/>
              </w:rPr>
              <w:t>În două direcţii diferite la:</w:t>
            </w:r>
          </w:p>
        </w:tc>
        <w:tc>
          <w:tcPr>
            <w:tcW w:w="2267" w:type="dxa"/>
            <w:tcBorders>
              <w:top w:val="single" w:sz="8" w:space="0" w:color="000000"/>
              <w:left w:val="single" w:sz="4" w:space="0" w:color="000000"/>
              <w:bottom w:val="single" w:sz="4" w:space="0" w:color="000000"/>
              <w:right w:val="single" w:sz="4" w:space="0" w:color="000000"/>
            </w:tcBorders>
            <w:shd w:val="clear" w:color="auto" w:fill="BFBFBF"/>
          </w:tcPr>
          <w:p w14:paraId="46E7B2D2" w14:textId="77777777" w:rsidR="001C08A5" w:rsidRDefault="00000000">
            <w:pPr>
              <w:jc w:val="center"/>
              <w:rPr>
                <w:b/>
                <w:i/>
                <w:iCs/>
                <w:sz w:val="22"/>
                <w:szCs w:val="22"/>
              </w:rPr>
            </w:pPr>
            <w:r>
              <w:rPr>
                <w:b/>
                <w:i/>
                <w:iCs/>
                <w:sz w:val="22"/>
                <w:szCs w:val="22"/>
              </w:rPr>
              <w:t>Într-o direcţie (coridor înfundat), la:</w:t>
            </w:r>
          </w:p>
        </w:tc>
      </w:tr>
      <w:tr w:rsidR="001C08A5" w14:paraId="008E87EB" w14:textId="77777777">
        <w:trPr>
          <w:tblHeader/>
        </w:trPr>
        <w:tc>
          <w:tcPr>
            <w:tcW w:w="1300" w:type="dxa"/>
            <w:vMerge/>
            <w:tcBorders>
              <w:top w:val="single" w:sz="4" w:space="0" w:color="000000"/>
              <w:left w:val="single" w:sz="4" w:space="0" w:color="000000"/>
              <w:bottom w:val="single" w:sz="4" w:space="0" w:color="000000"/>
            </w:tcBorders>
            <w:shd w:val="clear" w:color="auto" w:fill="BFBFBF"/>
          </w:tcPr>
          <w:p w14:paraId="17084B86" w14:textId="77777777" w:rsidR="001C08A5" w:rsidRDefault="001C08A5">
            <w:pPr>
              <w:snapToGrid w:val="0"/>
              <w:jc w:val="both"/>
              <w:rPr>
                <w:b/>
                <w:i/>
                <w:iCs/>
                <w:sz w:val="22"/>
                <w:szCs w:val="22"/>
              </w:rPr>
            </w:pPr>
          </w:p>
        </w:tc>
        <w:tc>
          <w:tcPr>
            <w:tcW w:w="1990" w:type="dxa"/>
            <w:vMerge/>
            <w:tcBorders>
              <w:top w:val="single" w:sz="4" w:space="0" w:color="000000"/>
              <w:left w:val="single" w:sz="4" w:space="0" w:color="000000"/>
              <w:bottom w:val="single" w:sz="4" w:space="0" w:color="000000"/>
            </w:tcBorders>
            <w:shd w:val="clear" w:color="auto" w:fill="BFBFBF"/>
          </w:tcPr>
          <w:p w14:paraId="34461C49" w14:textId="77777777" w:rsidR="001C08A5" w:rsidRDefault="001C08A5">
            <w:pPr>
              <w:snapToGrid w:val="0"/>
              <w:jc w:val="both"/>
              <w:rPr>
                <w:b/>
                <w:i/>
                <w:iCs/>
                <w:sz w:val="22"/>
                <w:szCs w:val="22"/>
              </w:rPr>
            </w:pPr>
          </w:p>
        </w:tc>
        <w:tc>
          <w:tcPr>
            <w:tcW w:w="1750" w:type="dxa"/>
            <w:tcBorders>
              <w:top w:val="single" w:sz="4" w:space="0" w:color="000000"/>
              <w:left w:val="single" w:sz="4" w:space="0" w:color="000000"/>
              <w:bottom w:val="single" w:sz="4" w:space="0" w:color="000000"/>
            </w:tcBorders>
            <w:shd w:val="clear" w:color="auto" w:fill="BFBFBF"/>
          </w:tcPr>
          <w:p w14:paraId="00B7F6BD" w14:textId="77777777" w:rsidR="001C08A5" w:rsidRDefault="00000000">
            <w:pPr>
              <w:jc w:val="center"/>
              <w:rPr>
                <w:b/>
                <w:i/>
                <w:iCs/>
                <w:sz w:val="22"/>
                <w:szCs w:val="22"/>
              </w:rPr>
            </w:pPr>
            <w:r>
              <w:rPr>
                <w:b/>
                <w:i/>
                <w:iCs/>
                <w:sz w:val="22"/>
                <w:szCs w:val="22"/>
              </w:rPr>
              <w:t>parter</w:t>
            </w:r>
          </w:p>
        </w:tc>
        <w:tc>
          <w:tcPr>
            <w:tcW w:w="2191" w:type="dxa"/>
            <w:tcBorders>
              <w:top w:val="single" w:sz="4" w:space="0" w:color="000000"/>
              <w:left w:val="single" w:sz="4" w:space="0" w:color="000000"/>
              <w:bottom w:val="single" w:sz="4" w:space="0" w:color="000000"/>
            </w:tcBorders>
            <w:shd w:val="clear" w:color="auto" w:fill="BFBFBF"/>
          </w:tcPr>
          <w:p w14:paraId="2C815873" w14:textId="77777777" w:rsidR="001C08A5" w:rsidRDefault="00000000">
            <w:pPr>
              <w:jc w:val="center"/>
              <w:rPr>
                <w:b/>
                <w:i/>
                <w:iCs/>
                <w:sz w:val="22"/>
                <w:szCs w:val="22"/>
              </w:rPr>
            </w:pPr>
            <w:r>
              <w:rPr>
                <w:b/>
                <w:i/>
                <w:iCs/>
                <w:sz w:val="22"/>
                <w:szCs w:val="22"/>
              </w:rPr>
              <w:t>etaje sau subsoluri</w:t>
            </w:r>
          </w:p>
        </w:tc>
        <w:tc>
          <w:tcPr>
            <w:tcW w:w="2267" w:type="dxa"/>
            <w:tcBorders>
              <w:top w:val="single" w:sz="4" w:space="0" w:color="000000"/>
              <w:left w:val="single" w:sz="4" w:space="0" w:color="000000"/>
              <w:bottom w:val="single" w:sz="4" w:space="0" w:color="000000"/>
              <w:right w:val="single" w:sz="4" w:space="0" w:color="000000"/>
            </w:tcBorders>
            <w:shd w:val="clear" w:color="auto" w:fill="BFBFBF"/>
          </w:tcPr>
          <w:p w14:paraId="792AF88F" w14:textId="77777777" w:rsidR="001C08A5" w:rsidRDefault="00000000">
            <w:pPr>
              <w:jc w:val="center"/>
              <w:rPr>
                <w:b/>
                <w:i/>
                <w:iCs/>
                <w:sz w:val="22"/>
                <w:szCs w:val="22"/>
              </w:rPr>
            </w:pPr>
            <w:r>
              <w:rPr>
                <w:b/>
                <w:i/>
                <w:iCs/>
                <w:sz w:val="22"/>
                <w:szCs w:val="22"/>
              </w:rPr>
              <w:t>parter, etaje, subsoluri</w:t>
            </w:r>
          </w:p>
        </w:tc>
      </w:tr>
      <w:tr w:rsidR="001C08A5" w14:paraId="70308328" w14:textId="77777777">
        <w:trPr>
          <w:tblHeader/>
        </w:trPr>
        <w:tc>
          <w:tcPr>
            <w:tcW w:w="1300" w:type="dxa"/>
            <w:vMerge/>
            <w:tcBorders>
              <w:top w:val="single" w:sz="4" w:space="0" w:color="000000"/>
              <w:left w:val="single" w:sz="4" w:space="0" w:color="000000"/>
              <w:bottom w:val="single" w:sz="4" w:space="0" w:color="000000"/>
            </w:tcBorders>
            <w:shd w:val="clear" w:color="auto" w:fill="BFBFBF"/>
          </w:tcPr>
          <w:p w14:paraId="7700E4E9" w14:textId="77777777" w:rsidR="001C08A5" w:rsidRDefault="001C08A5">
            <w:pPr>
              <w:snapToGrid w:val="0"/>
              <w:jc w:val="both"/>
              <w:rPr>
                <w:b/>
                <w:i/>
                <w:iCs/>
                <w:sz w:val="22"/>
                <w:szCs w:val="22"/>
              </w:rPr>
            </w:pPr>
          </w:p>
        </w:tc>
        <w:tc>
          <w:tcPr>
            <w:tcW w:w="1990" w:type="dxa"/>
            <w:vMerge/>
            <w:tcBorders>
              <w:top w:val="single" w:sz="4" w:space="0" w:color="000000"/>
              <w:left w:val="single" w:sz="4" w:space="0" w:color="000000"/>
              <w:bottom w:val="single" w:sz="4" w:space="0" w:color="000000"/>
            </w:tcBorders>
            <w:shd w:val="clear" w:color="auto" w:fill="BFBFBF"/>
          </w:tcPr>
          <w:p w14:paraId="785AB4BB" w14:textId="77777777" w:rsidR="001C08A5" w:rsidRDefault="001C08A5">
            <w:pPr>
              <w:snapToGrid w:val="0"/>
              <w:jc w:val="both"/>
              <w:rPr>
                <w:b/>
                <w:i/>
                <w:iCs/>
                <w:sz w:val="22"/>
                <w:szCs w:val="22"/>
              </w:rPr>
            </w:pPr>
          </w:p>
        </w:tc>
        <w:tc>
          <w:tcPr>
            <w:tcW w:w="1750" w:type="dxa"/>
            <w:tcBorders>
              <w:top w:val="single" w:sz="4" w:space="0" w:color="000000"/>
              <w:left w:val="single" w:sz="4" w:space="0" w:color="000000"/>
              <w:bottom w:val="single" w:sz="4" w:space="0" w:color="000000"/>
            </w:tcBorders>
            <w:shd w:val="clear" w:color="auto" w:fill="BFBFBF"/>
          </w:tcPr>
          <w:p w14:paraId="4AD45980" w14:textId="77777777" w:rsidR="001C08A5" w:rsidRDefault="00000000">
            <w:pPr>
              <w:jc w:val="center"/>
              <w:rPr>
                <w:b/>
                <w:i/>
                <w:iCs/>
                <w:sz w:val="22"/>
                <w:szCs w:val="22"/>
              </w:rPr>
            </w:pPr>
            <w:r>
              <w:rPr>
                <w:b/>
                <w:i/>
                <w:iCs/>
                <w:sz w:val="22"/>
                <w:szCs w:val="22"/>
              </w:rPr>
              <w:t>metri</w:t>
            </w:r>
          </w:p>
        </w:tc>
        <w:tc>
          <w:tcPr>
            <w:tcW w:w="2191" w:type="dxa"/>
            <w:tcBorders>
              <w:top w:val="single" w:sz="4" w:space="0" w:color="000000"/>
              <w:left w:val="single" w:sz="4" w:space="0" w:color="000000"/>
              <w:bottom w:val="single" w:sz="4" w:space="0" w:color="000000"/>
            </w:tcBorders>
            <w:shd w:val="clear" w:color="auto" w:fill="BFBFBF"/>
          </w:tcPr>
          <w:p w14:paraId="4F7A6F2C" w14:textId="77777777" w:rsidR="001C08A5" w:rsidRDefault="00000000">
            <w:pPr>
              <w:jc w:val="center"/>
              <w:rPr>
                <w:b/>
                <w:i/>
                <w:iCs/>
                <w:sz w:val="22"/>
                <w:szCs w:val="22"/>
              </w:rPr>
            </w:pPr>
            <w:r>
              <w:rPr>
                <w:b/>
                <w:i/>
                <w:iCs/>
                <w:sz w:val="22"/>
                <w:szCs w:val="22"/>
              </w:rPr>
              <w:t>metri</w:t>
            </w:r>
          </w:p>
        </w:tc>
        <w:tc>
          <w:tcPr>
            <w:tcW w:w="2267" w:type="dxa"/>
            <w:tcBorders>
              <w:top w:val="single" w:sz="4" w:space="0" w:color="000000"/>
              <w:left w:val="single" w:sz="4" w:space="0" w:color="000000"/>
              <w:bottom w:val="single" w:sz="4" w:space="0" w:color="000000"/>
              <w:right w:val="single" w:sz="4" w:space="0" w:color="000000"/>
            </w:tcBorders>
            <w:shd w:val="clear" w:color="auto" w:fill="BFBFBF"/>
          </w:tcPr>
          <w:p w14:paraId="2707C580" w14:textId="77777777" w:rsidR="001C08A5" w:rsidRDefault="00000000">
            <w:pPr>
              <w:jc w:val="center"/>
              <w:rPr>
                <w:b/>
                <w:i/>
                <w:iCs/>
                <w:sz w:val="22"/>
                <w:szCs w:val="22"/>
              </w:rPr>
            </w:pPr>
            <w:r>
              <w:rPr>
                <w:b/>
                <w:i/>
                <w:iCs/>
                <w:sz w:val="22"/>
                <w:szCs w:val="22"/>
              </w:rPr>
              <w:t>metri</w:t>
            </w:r>
          </w:p>
        </w:tc>
      </w:tr>
      <w:tr w:rsidR="001C08A5" w14:paraId="0B7312A6" w14:textId="77777777">
        <w:trPr>
          <w:cantSplit/>
        </w:trPr>
        <w:tc>
          <w:tcPr>
            <w:tcW w:w="1300" w:type="dxa"/>
            <w:vMerge w:val="restart"/>
            <w:tcBorders>
              <w:top w:val="single" w:sz="4" w:space="0" w:color="000000"/>
              <w:left w:val="single" w:sz="4" w:space="0" w:color="000000"/>
              <w:bottom w:val="single" w:sz="4" w:space="0" w:color="000000"/>
            </w:tcBorders>
            <w:vAlign w:val="center"/>
          </w:tcPr>
          <w:p w14:paraId="10249690" w14:textId="77777777" w:rsidR="001C08A5" w:rsidRDefault="001C08A5">
            <w:pPr>
              <w:snapToGrid w:val="0"/>
              <w:spacing w:line="360" w:lineRule="auto"/>
              <w:jc w:val="center"/>
              <w:rPr>
                <w:b/>
                <w:i/>
                <w:iCs/>
                <w:sz w:val="22"/>
                <w:szCs w:val="22"/>
              </w:rPr>
            </w:pPr>
          </w:p>
          <w:p w14:paraId="66B0BDB2" w14:textId="77777777" w:rsidR="001C08A5" w:rsidRDefault="00000000">
            <w:pPr>
              <w:spacing w:line="360" w:lineRule="auto"/>
              <w:jc w:val="center"/>
              <w:rPr>
                <w:b/>
                <w:i/>
                <w:iCs/>
                <w:sz w:val="22"/>
                <w:szCs w:val="22"/>
              </w:rPr>
            </w:pPr>
            <w:r>
              <w:rPr>
                <w:b/>
                <w:i/>
                <w:iCs/>
                <w:sz w:val="22"/>
                <w:szCs w:val="22"/>
              </w:rPr>
              <w:t>Mic</w:t>
            </w:r>
          </w:p>
        </w:tc>
        <w:tc>
          <w:tcPr>
            <w:tcW w:w="1990" w:type="dxa"/>
            <w:tcBorders>
              <w:top w:val="single" w:sz="4" w:space="0" w:color="000000"/>
              <w:left w:val="single" w:sz="4" w:space="0" w:color="000000"/>
              <w:bottom w:val="single" w:sz="4" w:space="0" w:color="000000"/>
            </w:tcBorders>
            <w:vAlign w:val="center"/>
          </w:tcPr>
          <w:p w14:paraId="256A3606" w14:textId="77777777" w:rsidR="001C08A5" w:rsidRDefault="00000000">
            <w:pPr>
              <w:spacing w:line="360" w:lineRule="auto"/>
              <w:jc w:val="center"/>
              <w:rPr>
                <w:b/>
                <w:i/>
                <w:iCs/>
                <w:sz w:val="22"/>
                <w:szCs w:val="22"/>
              </w:rPr>
            </w:pPr>
            <w:r>
              <w:rPr>
                <w:b/>
                <w:i/>
                <w:iCs/>
                <w:sz w:val="22"/>
                <w:szCs w:val="22"/>
              </w:rPr>
              <w:t>I -II</w:t>
            </w:r>
          </w:p>
        </w:tc>
        <w:tc>
          <w:tcPr>
            <w:tcW w:w="6208" w:type="dxa"/>
            <w:gridSpan w:val="3"/>
            <w:tcBorders>
              <w:top w:val="single" w:sz="4" w:space="0" w:color="000000"/>
              <w:left w:val="single" w:sz="4" w:space="0" w:color="000000"/>
              <w:bottom w:val="single" w:sz="4" w:space="0" w:color="000000"/>
              <w:right w:val="single" w:sz="4" w:space="0" w:color="000000"/>
            </w:tcBorders>
            <w:vAlign w:val="center"/>
          </w:tcPr>
          <w:p w14:paraId="76A74E48" w14:textId="77777777" w:rsidR="001C08A5" w:rsidRDefault="00000000">
            <w:pPr>
              <w:spacing w:line="360" w:lineRule="auto"/>
              <w:jc w:val="center"/>
              <w:rPr>
                <w:b/>
                <w:bCs/>
                <w:i/>
                <w:iCs/>
                <w:sz w:val="22"/>
                <w:szCs w:val="22"/>
              </w:rPr>
            </w:pPr>
            <w:r>
              <w:rPr>
                <w:b/>
                <w:bCs/>
                <w:i/>
                <w:iCs/>
                <w:sz w:val="22"/>
                <w:szCs w:val="22"/>
              </w:rPr>
              <w:t>Nu se normează</w:t>
            </w:r>
          </w:p>
        </w:tc>
      </w:tr>
      <w:tr w:rsidR="001C08A5" w14:paraId="67DCC95B" w14:textId="77777777">
        <w:trPr>
          <w:cantSplit/>
        </w:trPr>
        <w:tc>
          <w:tcPr>
            <w:tcW w:w="1300" w:type="dxa"/>
            <w:vMerge/>
            <w:tcBorders>
              <w:top w:val="single" w:sz="4" w:space="0" w:color="000000"/>
              <w:left w:val="single" w:sz="4" w:space="0" w:color="000000"/>
              <w:bottom w:val="single" w:sz="4" w:space="0" w:color="000000"/>
            </w:tcBorders>
            <w:vAlign w:val="center"/>
          </w:tcPr>
          <w:p w14:paraId="589F32C2" w14:textId="77777777" w:rsidR="001C08A5" w:rsidRDefault="001C08A5">
            <w:pPr>
              <w:snapToGrid w:val="0"/>
              <w:spacing w:line="360" w:lineRule="auto"/>
              <w:jc w:val="center"/>
              <w:rPr>
                <w:b/>
                <w:i/>
                <w:iCs/>
                <w:sz w:val="22"/>
                <w:szCs w:val="22"/>
              </w:rPr>
            </w:pPr>
          </w:p>
        </w:tc>
        <w:tc>
          <w:tcPr>
            <w:tcW w:w="1990" w:type="dxa"/>
            <w:tcBorders>
              <w:top w:val="single" w:sz="4" w:space="0" w:color="000000"/>
              <w:left w:val="single" w:sz="4" w:space="0" w:color="000000"/>
              <w:bottom w:val="single" w:sz="4" w:space="0" w:color="000000"/>
            </w:tcBorders>
            <w:vAlign w:val="center"/>
          </w:tcPr>
          <w:p w14:paraId="6E6B2F1D" w14:textId="77777777" w:rsidR="001C08A5" w:rsidRDefault="00000000">
            <w:pPr>
              <w:spacing w:line="360" w:lineRule="auto"/>
              <w:jc w:val="center"/>
              <w:rPr>
                <w:b/>
                <w:i/>
                <w:iCs/>
                <w:sz w:val="22"/>
                <w:szCs w:val="22"/>
              </w:rPr>
            </w:pPr>
            <w:r>
              <w:rPr>
                <w:b/>
                <w:i/>
                <w:iCs/>
                <w:sz w:val="22"/>
                <w:szCs w:val="22"/>
              </w:rPr>
              <w:t>III</w:t>
            </w:r>
          </w:p>
        </w:tc>
        <w:tc>
          <w:tcPr>
            <w:tcW w:w="6208" w:type="dxa"/>
            <w:gridSpan w:val="3"/>
            <w:tcBorders>
              <w:top w:val="single" w:sz="4" w:space="0" w:color="000000"/>
              <w:left w:val="single" w:sz="4" w:space="0" w:color="000000"/>
              <w:bottom w:val="single" w:sz="4" w:space="0" w:color="000000"/>
              <w:right w:val="single" w:sz="4" w:space="0" w:color="000000"/>
            </w:tcBorders>
            <w:vAlign w:val="center"/>
          </w:tcPr>
          <w:p w14:paraId="20FB684B" w14:textId="77777777" w:rsidR="001C08A5" w:rsidRDefault="00000000">
            <w:pPr>
              <w:spacing w:line="360" w:lineRule="auto"/>
              <w:jc w:val="center"/>
              <w:rPr>
                <w:b/>
                <w:bCs/>
                <w:i/>
                <w:iCs/>
                <w:sz w:val="22"/>
                <w:szCs w:val="22"/>
              </w:rPr>
            </w:pPr>
            <w:r>
              <w:rPr>
                <w:b/>
                <w:bCs/>
                <w:i/>
                <w:iCs/>
                <w:sz w:val="22"/>
                <w:szCs w:val="22"/>
              </w:rPr>
              <w:t>Nu se normează</w:t>
            </w:r>
          </w:p>
        </w:tc>
      </w:tr>
      <w:tr w:rsidR="001C08A5" w14:paraId="4693049A" w14:textId="77777777">
        <w:trPr>
          <w:cantSplit/>
        </w:trPr>
        <w:tc>
          <w:tcPr>
            <w:tcW w:w="1300" w:type="dxa"/>
            <w:vMerge/>
            <w:tcBorders>
              <w:top w:val="single" w:sz="4" w:space="0" w:color="000000"/>
              <w:left w:val="single" w:sz="4" w:space="0" w:color="000000"/>
              <w:bottom w:val="single" w:sz="4" w:space="0" w:color="000000"/>
            </w:tcBorders>
            <w:vAlign w:val="center"/>
          </w:tcPr>
          <w:p w14:paraId="1C25862C" w14:textId="77777777" w:rsidR="001C08A5" w:rsidRDefault="001C08A5">
            <w:pPr>
              <w:snapToGrid w:val="0"/>
              <w:spacing w:line="360" w:lineRule="auto"/>
              <w:jc w:val="center"/>
              <w:rPr>
                <w:b/>
                <w:i/>
                <w:iCs/>
                <w:sz w:val="22"/>
                <w:szCs w:val="22"/>
              </w:rPr>
            </w:pPr>
          </w:p>
        </w:tc>
        <w:tc>
          <w:tcPr>
            <w:tcW w:w="1990" w:type="dxa"/>
            <w:tcBorders>
              <w:top w:val="single" w:sz="4" w:space="0" w:color="000000"/>
              <w:left w:val="single" w:sz="4" w:space="0" w:color="000000"/>
              <w:bottom w:val="single" w:sz="4" w:space="0" w:color="000000"/>
            </w:tcBorders>
            <w:vAlign w:val="center"/>
          </w:tcPr>
          <w:p w14:paraId="6698FEDA" w14:textId="77777777" w:rsidR="001C08A5" w:rsidRDefault="00000000">
            <w:pPr>
              <w:spacing w:line="360" w:lineRule="auto"/>
              <w:jc w:val="center"/>
              <w:rPr>
                <w:b/>
                <w:i/>
                <w:iCs/>
                <w:sz w:val="22"/>
                <w:szCs w:val="22"/>
              </w:rPr>
            </w:pPr>
            <w:r>
              <w:rPr>
                <w:b/>
                <w:i/>
                <w:iCs/>
                <w:sz w:val="22"/>
                <w:szCs w:val="22"/>
              </w:rPr>
              <w:t>IV</w:t>
            </w:r>
          </w:p>
        </w:tc>
        <w:tc>
          <w:tcPr>
            <w:tcW w:w="1750" w:type="dxa"/>
            <w:tcBorders>
              <w:top w:val="single" w:sz="4" w:space="0" w:color="000000"/>
              <w:left w:val="single" w:sz="4" w:space="0" w:color="000000"/>
              <w:bottom w:val="single" w:sz="4" w:space="0" w:color="000000"/>
            </w:tcBorders>
            <w:vAlign w:val="center"/>
          </w:tcPr>
          <w:p w14:paraId="1675EC3B" w14:textId="77777777" w:rsidR="001C08A5" w:rsidRDefault="00000000">
            <w:pPr>
              <w:spacing w:line="360" w:lineRule="auto"/>
              <w:jc w:val="center"/>
              <w:rPr>
                <w:b/>
                <w:bCs/>
                <w:i/>
                <w:iCs/>
                <w:sz w:val="22"/>
                <w:szCs w:val="22"/>
              </w:rPr>
            </w:pPr>
            <w:r>
              <w:rPr>
                <w:b/>
                <w:bCs/>
                <w:i/>
                <w:iCs/>
                <w:sz w:val="22"/>
                <w:szCs w:val="22"/>
              </w:rPr>
              <w:t>100</w:t>
            </w:r>
          </w:p>
        </w:tc>
        <w:tc>
          <w:tcPr>
            <w:tcW w:w="2191" w:type="dxa"/>
            <w:tcBorders>
              <w:top w:val="single" w:sz="4" w:space="0" w:color="000000"/>
              <w:left w:val="single" w:sz="4" w:space="0" w:color="000000"/>
              <w:bottom w:val="single" w:sz="4" w:space="0" w:color="000000"/>
            </w:tcBorders>
            <w:vAlign w:val="center"/>
          </w:tcPr>
          <w:p w14:paraId="44F450A6" w14:textId="77777777" w:rsidR="001C08A5" w:rsidRDefault="00000000">
            <w:pPr>
              <w:spacing w:line="360" w:lineRule="auto"/>
              <w:jc w:val="center"/>
              <w:rPr>
                <w:b/>
                <w:bCs/>
                <w:i/>
                <w:iCs/>
                <w:sz w:val="22"/>
                <w:szCs w:val="22"/>
              </w:rPr>
            </w:pPr>
            <w:r>
              <w:rPr>
                <w:b/>
                <w:bCs/>
                <w:i/>
                <w:iCs/>
                <w:sz w:val="22"/>
                <w:szCs w:val="22"/>
              </w:rPr>
              <w:t>75</w:t>
            </w:r>
          </w:p>
        </w:tc>
        <w:tc>
          <w:tcPr>
            <w:tcW w:w="2267" w:type="dxa"/>
            <w:tcBorders>
              <w:top w:val="single" w:sz="4" w:space="0" w:color="000000"/>
              <w:left w:val="single" w:sz="4" w:space="0" w:color="000000"/>
              <w:bottom w:val="single" w:sz="4" w:space="0" w:color="000000"/>
              <w:right w:val="single" w:sz="4" w:space="0" w:color="000000"/>
            </w:tcBorders>
            <w:vAlign w:val="center"/>
          </w:tcPr>
          <w:p w14:paraId="6BC6D980" w14:textId="77777777" w:rsidR="001C08A5" w:rsidRDefault="00000000">
            <w:pPr>
              <w:spacing w:line="360" w:lineRule="auto"/>
              <w:jc w:val="center"/>
              <w:rPr>
                <w:b/>
                <w:bCs/>
                <w:i/>
                <w:iCs/>
                <w:sz w:val="22"/>
                <w:szCs w:val="22"/>
              </w:rPr>
            </w:pPr>
            <w:r>
              <w:rPr>
                <w:b/>
                <w:bCs/>
                <w:i/>
                <w:iCs/>
                <w:sz w:val="22"/>
                <w:szCs w:val="22"/>
              </w:rPr>
              <w:t>25</w:t>
            </w:r>
          </w:p>
        </w:tc>
      </w:tr>
      <w:tr w:rsidR="001C08A5" w14:paraId="6D13E995" w14:textId="77777777">
        <w:trPr>
          <w:cantSplit/>
        </w:trPr>
        <w:tc>
          <w:tcPr>
            <w:tcW w:w="1300" w:type="dxa"/>
            <w:vMerge/>
            <w:tcBorders>
              <w:top w:val="single" w:sz="4" w:space="0" w:color="000000"/>
              <w:left w:val="single" w:sz="4" w:space="0" w:color="000000"/>
              <w:bottom w:val="single" w:sz="4" w:space="0" w:color="000000"/>
            </w:tcBorders>
            <w:vAlign w:val="center"/>
          </w:tcPr>
          <w:p w14:paraId="11246097" w14:textId="77777777" w:rsidR="001C08A5" w:rsidRDefault="001C08A5">
            <w:pPr>
              <w:snapToGrid w:val="0"/>
              <w:spacing w:line="360" w:lineRule="auto"/>
              <w:jc w:val="center"/>
              <w:rPr>
                <w:b/>
                <w:i/>
                <w:iCs/>
                <w:sz w:val="22"/>
                <w:szCs w:val="22"/>
              </w:rPr>
            </w:pPr>
          </w:p>
        </w:tc>
        <w:tc>
          <w:tcPr>
            <w:tcW w:w="1990" w:type="dxa"/>
            <w:tcBorders>
              <w:top w:val="single" w:sz="4" w:space="0" w:color="000000"/>
              <w:left w:val="single" w:sz="4" w:space="0" w:color="000000"/>
              <w:bottom w:val="single" w:sz="4" w:space="0" w:color="000000"/>
            </w:tcBorders>
            <w:vAlign w:val="center"/>
          </w:tcPr>
          <w:p w14:paraId="3B9A2FC3" w14:textId="77777777" w:rsidR="001C08A5" w:rsidRDefault="00000000">
            <w:pPr>
              <w:spacing w:line="360" w:lineRule="auto"/>
              <w:jc w:val="center"/>
              <w:rPr>
                <w:b/>
                <w:i/>
                <w:iCs/>
                <w:sz w:val="22"/>
                <w:szCs w:val="22"/>
              </w:rPr>
            </w:pPr>
            <w:r>
              <w:rPr>
                <w:b/>
                <w:i/>
                <w:iCs/>
                <w:sz w:val="22"/>
                <w:szCs w:val="22"/>
              </w:rPr>
              <w:t>V</w:t>
            </w:r>
          </w:p>
        </w:tc>
        <w:tc>
          <w:tcPr>
            <w:tcW w:w="1750" w:type="dxa"/>
            <w:tcBorders>
              <w:top w:val="single" w:sz="4" w:space="0" w:color="000000"/>
              <w:left w:val="single" w:sz="4" w:space="0" w:color="000000"/>
              <w:bottom w:val="single" w:sz="4" w:space="0" w:color="000000"/>
            </w:tcBorders>
            <w:vAlign w:val="center"/>
          </w:tcPr>
          <w:p w14:paraId="25271A71" w14:textId="77777777" w:rsidR="001C08A5" w:rsidRDefault="00000000">
            <w:pPr>
              <w:spacing w:line="360" w:lineRule="auto"/>
              <w:jc w:val="center"/>
              <w:rPr>
                <w:b/>
                <w:bCs/>
                <w:i/>
                <w:iCs/>
                <w:sz w:val="22"/>
                <w:szCs w:val="22"/>
              </w:rPr>
            </w:pPr>
            <w:r>
              <w:rPr>
                <w:b/>
                <w:bCs/>
                <w:i/>
                <w:iCs/>
                <w:sz w:val="22"/>
                <w:szCs w:val="22"/>
              </w:rPr>
              <w:t>60</w:t>
            </w:r>
          </w:p>
        </w:tc>
        <w:tc>
          <w:tcPr>
            <w:tcW w:w="2191" w:type="dxa"/>
            <w:tcBorders>
              <w:top w:val="single" w:sz="4" w:space="0" w:color="000000"/>
              <w:left w:val="single" w:sz="4" w:space="0" w:color="000000"/>
              <w:bottom w:val="single" w:sz="4" w:space="0" w:color="000000"/>
            </w:tcBorders>
            <w:vAlign w:val="center"/>
          </w:tcPr>
          <w:p w14:paraId="682E2948" w14:textId="77777777" w:rsidR="001C08A5" w:rsidRDefault="00000000">
            <w:pPr>
              <w:spacing w:line="360" w:lineRule="auto"/>
              <w:jc w:val="center"/>
              <w:rPr>
                <w:b/>
                <w:bCs/>
                <w:i/>
                <w:iCs/>
                <w:sz w:val="22"/>
                <w:szCs w:val="22"/>
              </w:rPr>
            </w:pPr>
            <w:r>
              <w:rPr>
                <w:b/>
                <w:bCs/>
                <w:i/>
                <w:iCs/>
                <w:sz w:val="22"/>
                <w:szCs w:val="22"/>
              </w:rPr>
              <w:t>50</w:t>
            </w:r>
          </w:p>
        </w:tc>
        <w:tc>
          <w:tcPr>
            <w:tcW w:w="2267" w:type="dxa"/>
            <w:tcBorders>
              <w:top w:val="single" w:sz="4" w:space="0" w:color="000000"/>
              <w:left w:val="single" w:sz="4" w:space="0" w:color="000000"/>
              <w:bottom w:val="single" w:sz="4" w:space="0" w:color="000000"/>
              <w:right w:val="single" w:sz="4" w:space="0" w:color="000000"/>
            </w:tcBorders>
            <w:vAlign w:val="center"/>
          </w:tcPr>
          <w:p w14:paraId="4DF28CE4" w14:textId="77777777" w:rsidR="001C08A5" w:rsidRDefault="00000000">
            <w:pPr>
              <w:spacing w:line="360" w:lineRule="auto"/>
              <w:jc w:val="center"/>
              <w:rPr>
                <w:b/>
                <w:bCs/>
                <w:i/>
                <w:iCs/>
                <w:sz w:val="22"/>
                <w:szCs w:val="22"/>
              </w:rPr>
            </w:pPr>
            <w:r>
              <w:rPr>
                <w:b/>
                <w:bCs/>
                <w:i/>
                <w:iCs/>
                <w:sz w:val="22"/>
                <w:szCs w:val="22"/>
              </w:rPr>
              <w:t>25</w:t>
            </w:r>
          </w:p>
        </w:tc>
      </w:tr>
      <w:tr w:rsidR="001C08A5" w14:paraId="3BCFF162" w14:textId="77777777">
        <w:trPr>
          <w:cantSplit/>
        </w:trPr>
        <w:tc>
          <w:tcPr>
            <w:tcW w:w="1300" w:type="dxa"/>
            <w:vMerge w:val="restart"/>
            <w:tcBorders>
              <w:top w:val="single" w:sz="4" w:space="0" w:color="000000"/>
              <w:left w:val="single" w:sz="4" w:space="0" w:color="000000"/>
              <w:bottom w:val="single" w:sz="4" w:space="0" w:color="000000"/>
            </w:tcBorders>
            <w:vAlign w:val="center"/>
          </w:tcPr>
          <w:p w14:paraId="2FF4E268" w14:textId="77777777" w:rsidR="001C08A5" w:rsidRDefault="001C08A5">
            <w:pPr>
              <w:jc w:val="center"/>
              <w:rPr>
                <w:b/>
                <w:i/>
                <w:iCs/>
                <w:sz w:val="22"/>
                <w:szCs w:val="22"/>
              </w:rPr>
            </w:pPr>
          </w:p>
          <w:p w14:paraId="609E6B33" w14:textId="77777777" w:rsidR="001C08A5" w:rsidRDefault="00000000">
            <w:pPr>
              <w:jc w:val="center"/>
              <w:rPr>
                <w:b/>
                <w:i/>
                <w:iCs/>
                <w:sz w:val="22"/>
                <w:szCs w:val="22"/>
              </w:rPr>
            </w:pPr>
            <w:r>
              <w:rPr>
                <w:b/>
                <w:i/>
                <w:iCs/>
                <w:sz w:val="22"/>
                <w:szCs w:val="22"/>
              </w:rPr>
              <w:t>Mijlociu</w:t>
            </w:r>
          </w:p>
        </w:tc>
        <w:tc>
          <w:tcPr>
            <w:tcW w:w="1990" w:type="dxa"/>
            <w:tcBorders>
              <w:top w:val="single" w:sz="4" w:space="0" w:color="000000"/>
              <w:left w:val="single" w:sz="4" w:space="0" w:color="000000"/>
              <w:bottom w:val="single" w:sz="4" w:space="0" w:color="000000"/>
            </w:tcBorders>
            <w:vAlign w:val="center"/>
          </w:tcPr>
          <w:p w14:paraId="38835EF1" w14:textId="77777777" w:rsidR="001C08A5" w:rsidRDefault="00000000">
            <w:pPr>
              <w:spacing w:line="360" w:lineRule="auto"/>
              <w:jc w:val="center"/>
              <w:rPr>
                <w:b/>
                <w:i/>
                <w:iCs/>
                <w:sz w:val="22"/>
                <w:szCs w:val="22"/>
              </w:rPr>
            </w:pPr>
            <w:r>
              <w:rPr>
                <w:b/>
                <w:i/>
                <w:iCs/>
                <w:sz w:val="22"/>
                <w:szCs w:val="22"/>
              </w:rPr>
              <w:t>I - II</w:t>
            </w:r>
          </w:p>
        </w:tc>
        <w:tc>
          <w:tcPr>
            <w:tcW w:w="6208" w:type="dxa"/>
            <w:gridSpan w:val="3"/>
            <w:tcBorders>
              <w:top w:val="single" w:sz="4" w:space="0" w:color="000000"/>
              <w:left w:val="single" w:sz="4" w:space="0" w:color="000000"/>
              <w:bottom w:val="single" w:sz="4" w:space="0" w:color="000000"/>
              <w:right w:val="single" w:sz="4" w:space="0" w:color="000000"/>
            </w:tcBorders>
            <w:vAlign w:val="center"/>
          </w:tcPr>
          <w:p w14:paraId="22DE0E1B" w14:textId="77777777" w:rsidR="001C08A5" w:rsidRDefault="00000000">
            <w:pPr>
              <w:spacing w:line="360" w:lineRule="auto"/>
              <w:jc w:val="center"/>
              <w:rPr>
                <w:b/>
                <w:bCs/>
                <w:i/>
                <w:iCs/>
                <w:sz w:val="22"/>
                <w:szCs w:val="22"/>
              </w:rPr>
            </w:pPr>
            <w:r>
              <w:rPr>
                <w:b/>
                <w:bCs/>
                <w:i/>
                <w:iCs/>
                <w:sz w:val="22"/>
                <w:szCs w:val="22"/>
              </w:rPr>
              <w:t>Nu se normează</w:t>
            </w:r>
          </w:p>
        </w:tc>
      </w:tr>
      <w:tr w:rsidR="001C08A5" w14:paraId="26C2661D" w14:textId="77777777">
        <w:trPr>
          <w:cantSplit/>
        </w:trPr>
        <w:tc>
          <w:tcPr>
            <w:tcW w:w="1300" w:type="dxa"/>
            <w:vMerge/>
            <w:tcBorders>
              <w:top w:val="single" w:sz="4" w:space="0" w:color="000000"/>
              <w:left w:val="single" w:sz="4" w:space="0" w:color="000000"/>
              <w:bottom w:val="single" w:sz="4" w:space="0" w:color="000000"/>
            </w:tcBorders>
            <w:vAlign w:val="center"/>
          </w:tcPr>
          <w:p w14:paraId="336C12B2" w14:textId="77777777" w:rsidR="001C08A5" w:rsidRDefault="001C08A5">
            <w:pPr>
              <w:jc w:val="center"/>
              <w:rPr>
                <w:b/>
                <w:i/>
                <w:iCs/>
                <w:sz w:val="22"/>
                <w:szCs w:val="22"/>
              </w:rPr>
            </w:pPr>
          </w:p>
        </w:tc>
        <w:tc>
          <w:tcPr>
            <w:tcW w:w="1990" w:type="dxa"/>
            <w:tcBorders>
              <w:top w:val="single" w:sz="4" w:space="0" w:color="000000"/>
              <w:left w:val="single" w:sz="4" w:space="0" w:color="000000"/>
              <w:bottom w:val="single" w:sz="4" w:space="0" w:color="000000"/>
            </w:tcBorders>
            <w:vAlign w:val="center"/>
          </w:tcPr>
          <w:p w14:paraId="54160530" w14:textId="77777777" w:rsidR="001C08A5" w:rsidRDefault="00000000">
            <w:pPr>
              <w:spacing w:line="360" w:lineRule="auto"/>
              <w:jc w:val="center"/>
              <w:rPr>
                <w:b/>
                <w:i/>
                <w:iCs/>
                <w:sz w:val="22"/>
                <w:szCs w:val="22"/>
              </w:rPr>
            </w:pPr>
            <w:r>
              <w:rPr>
                <w:b/>
                <w:i/>
                <w:iCs/>
                <w:sz w:val="22"/>
                <w:szCs w:val="22"/>
              </w:rPr>
              <w:t>III</w:t>
            </w:r>
          </w:p>
        </w:tc>
        <w:tc>
          <w:tcPr>
            <w:tcW w:w="1750" w:type="dxa"/>
            <w:tcBorders>
              <w:top w:val="single" w:sz="4" w:space="0" w:color="000000"/>
              <w:left w:val="single" w:sz="4" w:space="0" w:color="000000"/>
              <w:bottom w:val="single" w:sz="4" w:space="0" w:color="000000"/>
            </w:tcBorders>
            <w:vAlign w:val="center"/>
          </w:tcPr>
          <w:p w14:paraId="6BD1EA10" w14:textId="77777777" w:rsidR="001C08A5" w:rsidRDefault="00000000">
            <w:pPr>
              <w:spacing w:line="360" w:lineRule="auto"/>
              <w:jc w:val="center"/>
              <w:rPr>
                <w:b/>
                <w:bCs/>
                <w:i/>
                <w:iCs/>
                <w:sz w:val="22"/>
                <w:szCs w:val="22"/>
              </w:rPr>
            </w:pPr>
            <w:r>
              <w:rPr>
                <w:b/>
                <w:bCs/>
                <w:i/>
                <w:iCs/>
                <w:sz w:val="22"/>
                <w:szCs w:val="22"/>
              </w:rPr>
              <w:t>100</w:t>
            </w:r>
          </w:p>
        </w:tc>
        <w:tc>
          <w:tcPr>
            <w:tcW w:w="2191" w:type="dxa"/>
            <w:tcBorders>
              <w:top w:val="single" w:sz="4" w:space="0" w:color="000000"/>
              <w:left w:val="single" w:sz="4" w:space="0" w:color="000000"/>
              <w:bottom w:val="single" w:sz="4" w:space="0" w:color="000000"/>
            </w:tcBorders>
            <w:vAlign w:val="center"/>
          </w:tcPr>
          <w:p w14:paraId="6F0D49AB" w14:textId="77777777" w:rsidR="001C08A5" w:rsidRDefault="00000000">
            <w:pPr>
              <w:spacing w:line="360" w:lineRule="auto"/>
              <w:jc w:val="center"/>
              <w:rPr>
                <w:b/>
                <w:bCs/>
                <w:i/>
                <w:iCs/>
                <w:sz w:val="22"/>
                <w:szCs w:val="22"/>
              </w:rPr>
            </w:pPr>
            <w:r>
              <w:rPr>
                <w:b/>
                <w:bCs/>
                <w:i/>
                <w:iCs/>
                <w:sz w:val="22"/>
                <w:szCs w:val="22"/>
              </w:rPr>
              <w:t>75</w:t>
            </w:r>
          </w:p>
        </w:tc>
        <w:tc>
          <w:tcPr>
            <w:tcW w:w="2267" w:type="dxa"/>
            <w:tcBorders>
              <w:top w:val="single" w:sz="4" w:space="0" w:color="000000"/>
              <w:left w:val="single" w:sz="4" w:space="0" w:color="000000"/>
              <w:bottom w:val="single" w:sz="4" w:space="0" w:color="000000"/>
              <w:right w:val="single" w:sz="4" w:space="0" w:color="000000"/>
            </w:tcBorders>
            <w:vAlign w:val="center"/>
          </w:tcPr>
          <w:p w14:paraId="6BD007A6" w14:textId="77777777" w:rsidR="001C08A5" w:rsidRDefault="00000000">
            <w:pPr>
              <w:spacing w:line="360" w:lineRule="auto"/>
              <w:jc w:val="center"/>
              <w:rPr>
                <w:b/>
                <w:bCs/>
                <w:i/>
                <w:iCs/>
                <w:sz w:val="22"/>
                <w:szCs w:val="22"/>
              </w:rPr>
            </w:pPr>
            <w:r>
              <w:rPr>
                <w:b/>
                <w:bCs/>
                <w:i/>
                <w:iCs/>
                <w:sz w:val="22"/>
                <w:szCs w:val="22"/>
              </w:rPr>
              <w:t>25</w:t>
            </w:r>
          </w:p>
        </w:tc>
      </w:tr>
      <w:tr w:rsidR="001C08A5" w14:paraId="09435FBB" w14:textId="77777777">
        <w:trPr>
          <w:cantSplit/>
        </w:trPr>
        <w:tc>
          <w:tcPr>
            <w:tcW w:w="1300" w:type="dxa"/>
            <w:vMerge/>
            <w:tcBorders>
              <w:top w:val="single" w:sz="4" w:space="0" w:color="000000"/>
              <w:left w:val="single" w:sz="4" w:space="0" w:color="000000"/>
              <w:bottom w:val="single" w:sz="4" w:space="0" w:color="000000"/>
            </w:tcBorders>
            <w:vAlign w:val="center"/>
          </w:tcPr>
          <w:p w14:paraId="0AD4354A" w14:textId="77777777" w:rsidR="001C08A5" w:rsidRDefault="001C08A5">
            <w:pPr>
              <w:jc w:val="center"/>
              <w:rPr>
                <w:b/>
                <w:i/>
                <w:iCs/>
                <w:sz w:val="22"/>
                <w:szCs w:val="22"/>
              </w:rPr>
            </w:pPr>
          </w:p>
        </w:tc>
        <w:tc>
          <w:tcPr>
            <w:tcW w:w="1990" w:type="dxa"/>
            <w:tcBorders>
              <w:top w:val="single" w:sz="4" w:space="0" w:color="000000"/>
              <w:left w:val="single" w:sz="4" w:space="0" w:color="000000"/>
              <w:bottom w:val="single" w:sz="4" w:space="0" w:color="000000"/>
            </w:tcBorders>
            <w:vAlign w:val="center"/>
          </w:tcPr>
          <w:p w14:paraId="0A0D07B1" w14:textId="77777777" w:rsidR="001C08A5" w:rsidRDefault="00000000">
            <w:pPr>
              <w:spacing w:line="360" w:lineRule="auto"/>
              <w:jc w:val="center"/>
              <w:rPr>
                <w:b/>
                <w:i/>
                <w:iCs/>
                <w:sz w:val="22"/>
                <w:szCs w:val="22"/>
              </w:rPr>
            </w:pPr>
            <w:r>
              <w:rPr>
                <w:b/>
                <w:i/>
                <w:iCs/>
                <w:sz w:val="22"/>
                <w:szCs w:val="22"/>
              </w:rPr>
              <w:t>IV</w:t>
            </w:r>
          </w:p>
        </w:tc>
        <w:tc>
          <w:tcPr>
            <w:tcW w:w="1750" w:type="dxa"/>
            <w:tcBorders>
              <w:top w:val="single" w:sz="4" w:space="0" w:color="000000"/>
              <w:left w:val="single" w:sz="4" w:space="0" w:color="000000"/>
              <w:bottom w:val="single" w:sz="4" w:space="0" w:color="000000"/>
            </w:tcBorders>
            <w:vAlign w:val="center"/>
          </w:tcPr>
          <w:p w14:paraId="30ECC06F" w14:textId="77777777" w:rsidR="001C08A5" w:rsidRDefault="00000000">
            <w:pPr>
              <w:spacing w:line="360" w:lineRule="auto"/>
              <w:jc w:val="center"/>
              <w:rPr>
                <w:b/>
                <w:bCs/>
                <w:i/>
                <w:iCs/>
                <w:sz w:val="22"/>
                <w:szCs w:val="22"/>
              </w:rPr>
            </w:pPr>
            <w:r>
              <w:rPr>
                <w:b/>
                <w:bCs/>
                <w:i/>
                <w:iCs/>
                <w:sz w:val="22"/>
                <w:szCs w:val="22"/>
              </w:rPr>
              <w:t>60</w:t>
            </w:r>
          </w:p>
        </w:tc>
        <w:tc>
          <w:tcPr>
            <w:tcW w:w="2191" w:type="dxa"/>
            <w:tcBorders>
              <w:top w:val="single" w:sz="4" w:space="0" w:color="000000"/>
              <w:left w:val="single" w:sz="4" w:space="0" w:color="000000"/>
              <w:bottom w:val="single" w:sz="4" w:space="0" w:color="000000"/>
            </w:tcBorders>
            <w:vAlign w:val="center"/>
          </w:tcPr>
          <w:p w14:paraId="059F1F78" w14:textId="77777777" w:rsidR="001C08A5" w:rsidRDefault="00000000">
            <w:pPr>
              <w:spacing w:line="360" w:lineRule="auto"/>
              <w:jc w:val="center"/>
              <w:rPr>
                <w:b/>
                <w:bCs/>
                <w:i/>
                <w:iCs/>
                <w:sz w:val="22"/>
                <w:szCs w:val="22"/>
              </w:rPr>
            </w:pPr>
            <w:r>
              <w:rPr>
                <w:b/>
                <w:bCs/>
                <w:i/>
                <w:iCs/>
                <w:sz w:val="22"/>
                <w:szCs w:val="22"/>
              </w:rPr>
              <w:t>50</w:t>
            </w:r>
          </w:p>
        </w:tc>
        <w:tc>
          <w:tcPr>
            <w:tcW w:w="2267" w:type="dxa"/>
            <w:tcBorders>
              <w:top w:val="single" w:sz="4" w:space="0" w:color="000000"/>
              <w:left w:val="single" w:sz="4" w:space="0" w:color="000000"/>
              <w:bottom w:val="single" w:sz="4" w:space="0" w:color="000000"/>
              <w:right w:val="single" w:sz="4" w:space="0" w:color="000000"/>
            </w:tcBorders>
            <w:vAlign w:val="center"/>
          </w:tcPr>
          <w:p w14:paraId="4486FA76" w14:textId="77777777" w:rsidR="001C08A5" w:rsidRDefault="00000000">
            <w:pPr>
              <w:spacing w:line="360" w:lineRule="auto"/>
              <w:jc w:val="center"/>
              <w:rPr>
                <w:b/>
                <w:bCs/>
                <w:i/>
                <w:iCs/>
                <w:sz w:val="22"/>
                <w:szCs w:val="22"/>
              </w:rPr>
            </w:pPr>
            <w:r>
              <w:rPr>
                <w:b/>
                <w:bCs/>
                <w:i/>
                <w:iCs/>
                <w:sz w:val="22"/>
                <w:szCs w:val="22"/>
              </w:rPr>
              <w:t>25</w:t>
            </w:r>
          </w:p>
        </w:tc>
      </w:tr>
      <w:tr w:rsidR="001C08A5" w14:paraId="5F913E45" w14:textId="77777777">
        <w:trPr>
          <w:cantSplit/>
        </w:trPr>
        <w:tc>
          <w:tcPr>
            <w:tcW w:w="1300" w:type="dxa"/>
            <w:vMerge/>
            <w:tcBorders>
              <w:top w:val="single" w:sz="4" w:space="0" w:color="000000"/>
              <w:left w:val="single" w:sz="4" w:space="0" w:color="000000"/>
              <w:bottom w:val="single" w:sz="4" w:space="0" w:color="000000"/>
            </w:tcBorders>
            <w:vAlign w:val="center"/>
          </w:tcPr>
          <w:p w14:paraId="78BC3AC2" w14:textId="77777777" w:rsidR="001C08A5" w:rsidRDefault="001C08A5">
            <w:pPr>
              <w:jc w:val="center"/>
              <w:rPr>
                <w:b/>
                <w:i/>
                <w:iCs/>
                <w:sz w:val="22"/>
                <w:szCs w:val="22"/>
              </w:rPr>
            </w:pPr>
          </w:p>
        </w:tc>
        <w:tc>
          <w:tcPr>
            <w:tcW w:w="1990" w:type="dxa"/>
            <w:tcBorders>
              <w:top w:val="single" w:sz="4" w:space="0" w:color="000000"/>
              <w:left w:val="single" w:sz="4" w:space="0" w:color="000000"/>
              <w:bottom w:val="single" w:sz="4" w:space="0" w:color="000000"/>
            </w:tcBorders>
            <w:vAlign w:val="center"/>
          </w:tcPr>
          <w:p w14:paraId="68271CA9" w14:textId="77777777" w:rsidR="001C08A5" w:rsidRDefault="00000000">
            <w:pPr>
              <w:spacing w:line="360" w:lineRule="auto"/>
              <w:jc w:val="center"/>
              <w:rPr>
                <w:b/>
                <w:i/>
                <w:iCs/>
                <w:sz w:val="22"/>
                <w:szCs w:val="22"/>
              </w:rPr>
            </w:pPr>
            <w:r>
              <w:rPr>
                <w:b/>
                <w:i/>
                <w:iCs/>
                <w:sz w:val="22"/>
                <w:szCs w:val="22"/>
              </w:rPr>
              <w:t>V</w:t>
            </w:r>
          </w:p>
        </w:tc>
        <w:tc>
          <w:tcPr>
            <w:tcW w:w="1750" w:type="dxa"/>
            <w:tcBorders>
              <w:top w:val="single" w:sz="4" w:space="0" w:color="000000"/>
              <w:left w:val="single" w:sz="4" w:space="0" w:color="000000"/>
              <w:bottom w:val="single" w:sz="4" w:space="0" w:color="000000"/>
            </w:tcBorders>
            <w:vAlign w:val="center"/>
          </w:tcPr>
          <w:p w14:paraId="3F8366B9" w14:textId="77777777" w:rsidR="001C08A5" w:rsidRDefault="00000000">
            <w:pPr>
              <w:spacing w:line="360" w:lineRule="auto"/>
              <w:jc w:val="center"/>
              <w:rPr>
                <w:b/>
                <w:bCs/>
                <w:i/>
                <w:iCs/>
                <w:sz w:val="22"/>
                <w:szCs w:val="22"/>
              </w:rPr>
            </w:pPr>
            <w:r>
              <w:rPr>
                <w:b/>
                <w:bCs/>
                <w:i/>
                <w:iCs/>
                <w:sz w:val="22"/>
                <w:szCs w:val="22"/>
              </w:rPr>
              <w:t>50</w:t>
            </w:r>
          </w:p>
        </w:tc>
        <w:tc>
          <w:tcPr>
            <w:tcW w:w="2191" w:type="dxa"/>
            <w:tcBorders>
              <w:top w:val="single" w:sz="4" w:space="0" w:color="000000"/>
              <w:left w:val="single" w:sz="4" w:space="0" w:color="000000"/>
              <w:bottom w:val="single" w:sz="4" w:space="0" w:color="000000"/>
            </w:tcBorders>
            <w:vAlign w:val="center"/>
          </w:tcPr>
          <w:p w14:paraId="2F088D31" w14:textId="77777777" w:rsidR="001C08A5" w:rsidRDefault="00000000">
            <w:pPr>
              <w:spacing w:line="360" w:lineRule="auto"/>
              <w:jc w:val="center"/>
              <w:rPr>
                <w:b/>
                <w:bCs/>
                <w:i/>
                <w:iCs/>
                <w:sz w:val="22"/>
                <w:szCs w:val="22"/>
              </w:rPr>
            </w:pPr>
            <w:r>
              <w:rPr>
                <w:b/>
                <w:bCs/>
                <w:i/>
                <w:iCs/>
                <w:sz w:val="22"/>
                <w:szCs w:val="22"/>
              </w:rPr>
              <w:t>40</w:t>
            </w:r>
          </w:p>
        </w:tc>
        <w:tc>
          <w:tcPr>
            <w:tcW w:w="2267" w:type="dxa"/>
            <w:tcBorders>
              <w:top w:val="single" w:sz="4" w:space="0" w:color="000000"/>
              <w:left w:val="single" w:sz="4" w:space="0" w:color="000000"/>
              <w:bottom w:val="single" w:sz="4" w:space="0" w:color="000000"/>
              <w:right w:val="single" w:sz="4" w:space="0" w:color="000000"/>
            </w:tcBorders>
            <w:vAlign w:val="center"/>
          </w:tcPr>
          <w:p w14:paraId="761D5D4D" w14:textId="77777777" w:rsidR="001C08A5" w:rsidRDefault="00000000">
            <w:pPr>
              <w:spacing w:line="360" w:lineRule="auto"/>
              <w:jc w:val="center"/>
              <w:rPr>
                <w:b/>
                <w:bCs/>
                <w:i/>
                <w:iCs/>
                <w:sz w:val="22"/>
                <w:szCs w:val="22"/>
              </w:rPr>
            </w:pPr>
            <w:r>
              <w:rPr>
                <w:b/>
                <w:bCs/>
                <w:i/>
                <w:iCs/>
                <w:sz w:val="22"/>
                <w:szCs w:val="22"/>
              </w:rPr>
              <w:t>25</w:t>
            </w:r>
          </w:p>
        </w:tc>
      </w:tr>
      <w:tr w:rsidR="001C08A5" w14:paraId="035C4C8D" w14:textId="77777777">
        <w:trPr>
          <w:cantSplit/>
        </w:trPr>
        <w:tc>
          <w:tcPr>
            <w:tcW w:w="1300" w:type="dxa"/>
            <w:vMerge w:val="restart"/>
            <w:tcBorders>
              <w:top w:val="single" w:sz="4" w:space="0" w:color="000000"/>
              <w:left w:val="single" w:sz="4" w:space="0" w:color="000000"/>
              <w:bottom w:val="single" w:sz="4" w:space="0" w:color="000000"/>
            </w:tcBorders>
            <w:vAlign w:val="center"/>
          </w:tcPr>
          <w:p w14:paraId="620EBB1A" w14:textId="77777777" w:rsidR="001C08A5" w:rsidRDefault="00000000">
            <w:pPr>
              <w:jc w:val="center"/>
              <w:rPr>
                <w:b/>
                <w:i/>
                <w:iCs/>
                <w:sz w:val="22"/>
                <w:szCs w:val="22"/>
              </w:rPr>
            </w:pPr>
            <w:r>
              <w:rPr>
                <w:b/>
                <w:i/>
                <w:iCs/>
                <w:sz w:val="22"/>
                <w:szCs w:val="22"/>
              </w:rPr>
              <w:t>Mare</w:t>
            </w:r>
          </w:p>
        </w:tc>
        <w:tc>
          <w:tcPr>
            <w:tcW w:w="1990" w:type="dxa"/>
            <w:tcBorders>
              <w:top w:val="single" w:sz="4" w:space="0" w:color="000000"/>
              <w:left w:val="single" w:sz="4" w:space="0" w:color="000000"/>
              <w:bottom w:val="single" w:sz="4" w:space="0" w:color="000000"/>
            </w:tcBorders>
            <w:vAlign w:val="center"/>
          </w:tcPr>
          <w:p w14:paraId="6A2CACB5" w14:textId="77777777" w:rsidR="001C08A5" w:rsidRDefault="00000000">
            <w:pPr>
              <w:spacing w:line="360" w:lineRule="auto"/>
              <w:jc w:val="center"/>
              <w:rPr>
                <w:b/>
                <w:i/>
                <w:iCs/>
                <w:sz w:val="22"/>
                <w:szCs w:val="22"/>
              </w:rPr>
            </w:pPr>
            <w:r>
              <w:rPr>
                <w:b/>
                <w:i/>
                <w:iCs/>
                <w:sz w:val="22"/>
                <w:szCs w:val="22"/>
              </w:rPr>
              <w:t>I - II</w:t>
            </w:r>
          </w:p>
        </w:tc>
        <w:tc>
          <w:tcPr>
            <w:tcW w:w="1750" w:type="dxa"/>
            <w:tcBorders>
              <w:top w:val="single" w:sz="4" w:space="0" w:color="000000"/>
              <w:left w:val="single" w:sz="4" w:space="0" w:color="000000"/>
              <w:bottom w:val="single" w:sz="4" w:space="0" w:color="000000"/>
            </w:tcBorders>
            <w:vAlign w:val="center"/>
          </w:tcPr>
          <w:p w14:paraId="4EEA9AE8" w14:textId="77777777" w:rsidR="001C08A5" w:rsidRDefault="00000000">
            <w:pPr>
              <w:spacing w:line="360" w:lineRule="auto"/>
              <w:jc w:val="center"/>
              <w:rPr>
                <w:b/>
                <w:bCs/>
                <w:i/>
                <w:iCs/>
                <w:sz w:val="22"/>
                <w:szCs w:val="22"/>
              </w:rPr>
            </w:pPr>
            <w:r>
              <w:rPr>
                <w:b/>
                <w:bCs/>
                <w:i/>
                <w:iCs/>
                <w:sz w:val="22"/>
                <w:szCs w:val="22"/>
              </w:rPr>
              <w:t>100</w:t>
            </w:r>
          </w:p>
        </w:tc>
        <w:tc>
          <w:tcPr>
            <w:tcW w:w="2191" w:type="dxa"/>
            <w:tcBorders>
              <w:top w:val="single" w:sz="4" w:space="0" w:color="000000"/>
              <w:left w:val="single" w:sz="4" w:space="0" w:color="000000"/>
              <w:bottom w:val="single" w:sz="4" w:space="0" w:color="000000"/>
            </w:tcBorders>
            <w:vAlign w:val="center"/>
          </w:tcPr>
          <w:p w14:paraId="1945997D" w14:textId="77777777" w:rsidR="001C08A5" w:rsidRDefault="00000000">
            <w:pPr>
              <w:spacing w:line="360" w:lineRule="auto"/>
              <w:jc w:val="center"/>
              <w:rPr>
                <w:b/>
                <w:bCs/>
                <w:i/>
                <w:iCs/>
                <w:sz w:val="22"/>
                <w:szCs w:val="22"/>
              </w:rPr>
            </w:pPr>
            <w:r>
              <w:rPr>
                <w:b/>
                <w:bCs/>
                <w:i/>
                <w:iCs/>
                <w:sz w:val="22"/>
                <w:szCs w:val="22"/>
              </w:rPr>
              <w:t>75</w:t>
            </w:r>
          </w:p>
        </w:tc>
        <w:tc>
          <w:tcPr>
            <w:tcW w:w="2267" w:type="dxa"/>
            <w:tcBorders>
              <w:top w:val="single" w:sz="4" w:space="0" w:color="000000"/>
              <w:left w:val="single" w:sz="4" w:space="0" w:color="000000"/>
              <w:bottom w:val="single" w:sz="4" w:space="0" w:color="000000"/>
              <w:right w:val="single" w:sz="4" w:space="0" w:color="000000"/>
            </w:tcBorders>
            <w:vAlign w:val="center"/>
          </w:tcPr>
          <w:p w14:paraId="1E1E16C5" w14:textId="77777777" w:rsidR="001C08A5" w:rsidRDefault="00000000">
            <w:pPr>
              <w:spacing w:line="360" w:lineRule="auto"/>
              <w:jc w:val="center"/>
              <w:rPr>
                <w:b/>
                <w:bCs/>
                <w:i/>
                <w:iCs/>
                <w:sz w:val="22"/>
                <w:szCs w:val="22"/>
              </w:rPr>
            </w:pPr>
            <w:r>
              <w:rPr>
                <w:b/>
                <w:bCs/>
                <w:i/>
                <w:iCs/>
                <w:sz w:val="22"/>
                <w:szCs w:val="22"/>
              </w:rPr>
              <w:t>25</w:t>
            </w:r>
          </w:p>
        </w:tc>
      </w:tr>
      <w:tr w:rsidR="001C08A5" w14:paraId="33CE2E8A" w14:textId="77777777">
        <w:trPr>
          <w:cantSplit/>
        </w:trPr>
        <w:tc>
          <w:tcPr>
            <w:tcW w:w="1300" w:type="dxa"/>
            <w:vMerge/>
            <w:tcBorders>
              <w:top w:val="single" w:sz="4" w:space="0" w:color="000000"/>
              <w:left w:val="single" w:sz="4" w:space="0" w:color="000000"/>
              <w:bottom w:val="single" w:sz="4" w:space="0" w:color="000000"/>
            </w:tcBorders>
            <w:vAlign w:val="center"/>
          </w:tcPr>
          <w:p w14:paraId="06F16D8E" w14:textId="77777777" w:rsidR="001C08A5" w:rsidRDefault="001C08A5">
            <w:pPr>
              <w:jc w:val="center"/>
              <w:rPr>
                <w:b/>
                <w:i/>
                <w:iCs/>
                <w:sz w:val="22"/>
                <w:szCs w:val="22"/>
              </w:rPr>
            </w:pPr>
          </w:p>
        </w:tc>
        <w:tc>
          <w:tcPr>
            <w:tcW w:w="1990" w:type="dxa"/>
            <w:tcBorders>
              <w:top w:val="single" w:sz="4" w:space="0" w:color="000000"/>
              <w:left w:val="single" w:sz="4" w:space="0" w:color="000000"/>
              <w:bottom w:val="single" w:sz="4" w:space="0" w:color="000000"/>
            </w:tcBorders>
            <w:vAlign w:val="center"/>
          </w:tcPr>
          <w:p w14:paraId="77049A21" w14:textId="77777777" w:rsidR="001C08A5" w:rsidRDefault="00000000">
            <w:pPr>
              <w:spacing w:line="360" w:lineRule="auto"/>
              <w:jc w:val="center"/>
              <w:rPr>
                <w:b/>
                <w:i/>
                <w:iCs/>
                <w:sz w:val="22"/>
                <w:szCs w:val="22"/>
              </w:rPr>
            </w:pPr>
            <w:r>
              <w:rPr>
                <w:b/>
                <w:i/>
                <w:iCs/>
                <w:sz w:val="22"/>
                <w:szCs w:val="22"/>
              </w:rPr>
              <w:t>III</w:t>
            </w:r>
          </w:p>
        </w:tc>
        <w:tc>
          <w:tcPr>
            <w:tcW w:w="1750" w:type="dxa"/>
            <w:tcBorders>
              <w:top w:val="single" w:sz="4" w:space="0" w:color="000000"/>
              <w:left w:val="single" w:sz="4" w:space="0" w:color="000000"/>
              <w:bottom w:val="single" w:sz="4" w:space="0" w:color="000000"/>
            </w:tcBorders>
            <w:vAlign w:val="center"/>
          </w:tcPr>
          <w:p w14:paraId="0699D103" w14:textId="77777777" w:rsidR="001C08A5" w:rsidRDefault="00000000">
            <w:pPr>
              <w:spacing w:line="360" w:lineRule="auto"/>
              <w:jc w:val="center"/>
              <w:rPr>
                <w:b/>
                <w:bCs/>
                <w:i/>
                <w:iCs/>
                <w:sz w:val="22"/>
                <w:szCs w:val="22"/>
              </w:rPr>
            </w:pPr>
            <w:r>
              <w:rPr>
                <w:b/>
                <w:bCs/>
                <w:i/>
                <w:iCs/>
                <w:sz w:val="22"/>
                <w:szCs w:val="22"/>
              </w:rPr>
              <w:t>80</w:t>
            </w:r>
          </w:p>
        </w:tc>
        <w:tc>
          <w:tcPr>
            <w:tcW w:w="2191" w:type="dxa"/>
            <w:tcBorders>
              <w:top w:val="single" w:sz="4" w:space="0" w:color="000000"/>
              <w:left w:val="single" w:sz="4" w:space="0" w:color="000000"/>
              <w:bottom w:val="single" w:sz="4" w:space="0" w:color="000000"/>
            </w:tcBorders>
            <w:vAlign w:val="center"/>
          </w:tcPr>
          <w:p w14:paraId="55F41EA7" w14:textId="77777777" w:rsidR="001C08A5" w:rsidRDefault="00000000">
            <w:pPr>
              <w:spacing w:line="360" w:lineRule="auto"/>
              <w:jc w:val="center"/>
              <w:rPr>
                <w:b/>
                <w:bCs/>
                <w:i/>
                <w:iCs/>
                <w:sz w:val="22"/>
                <w:szCs w:val="22"/>
              </w:rPr>
            </w:pPr>
            <w:r>
              <w:rPr>
                <w:b/>
                <w:bCs/>
                <w:i/>
                <w:iCs/>
                <w:sz w:val="22"/>
                <w:szCs w:val="22"/>
              </w:rPr>
              <w:t>60</w:t>
            </w:r>
          </w:p>
        </w:tc>
        <w:tc>
          <w:tcPr>
            <w:tcW w:w="2267" w:type="dxa"/>
            <w:tcBorders>
              <w:top w:val="single" w:sz="4" w:space="0" w:color="000000"/>
              <w:left w:val="single" w:sz="4" w:space="0" w:color="000000"/>
              <w:bottom w:val="single" w:sz="4" w:space="0" w:color="000000"/>
              <w:right w:val="single" w:sz="4" w:space="0" w:color="000000"/>
            </w:tcBorders>
            <w:vAlign w:val="center"/>
          </w:tcPr>
          <w:p w14:paraId="1148E036" w14:textId="77777777" w:rsidR="001C08A5" w:rsidRDefault="00000000">
            <w:pPr>
              <w:spacing w:line="360" w:lineRule="auto"/>
              <w:jc w:val="center"/>
              <w:rPr>
                <w:b/>
                <w:bCs/>
                <w:i/>
                <w:iCs/>
                <w:sz w:val="22"/>
                <w:szCs w:val="22"/>
              </w:rPr>
            </w:pPr>
            <w:r>
              <w:rPr>
                <w:b/>
                <w:bCs/>
                <w:i/>
                <w:iCs/>
                <w:sz w:val="22"/>
                <w:szCs w:val="22"/>
              </w:rPr>
              <w:t>25</w:t>
            </w:r>
          </w:p>
        </w:tc>
      </w:tr>
      <w:tr w:rsidR="001C08A5" w14:paraId="5F2B44B1" w14:textId="77777777">
        <w:trPr>
          <w:cantSplit/>
        </w:trPr>
        <w:tc>
          <w:tcPr>
            <w:tcW w:w="1300" w:type="dxa"/>
            <w:vMerge/>
            <w:tcBorders>
              <w:top w:val="single" w:sz="4" w:space="0" w:color="000000"/>
              <w:left w:val="single" w:sz="4" w:space="0" w:color="000000"/>
              <w:bottom w:val="single" w:sz="4" w:space="0" w:color="000000"/>
            </w:tcBorders>
            <w:vAlign w:val="center"/>
          </w:tcPr>
          <w:p w14:paraId="07DC4372" w14:textId="77777777" w:rsidR="001C08A5" w:rsidRDefault="001C08A5">
            <w:pPr>
              <w:jc w:val="center"/>
              <w:rPr>
                <w:b/>
                <w:i/>
                <w:iCs/>
                <w:sz w:val="22"/>
                <w:szCs w:val="22"/>
              </w:rPr>
            </w:pPr>
          </w:p>
        </w:tc>
        <w:tc>
          <w:tcPr>
            <w:tcW w:w="1990" w:type="dxa"/>
            <w:tcBorders>
              <w:top w:val="single" w:sz="4" w:space="0" w:color="000000"/>
              <w:left w:val="single" w:sz="4" w:space="0" w:color="000000"/>
              <w:bottom w:val="single" w:sz="4" w:space="0" w:color="000000"/>
            </w:tcBorders>
            <w:vAlign w:val="center"/>
          </w:tcPr>
          <w:p w14:paraId="281421B1" w14:textId="77777777" w:rsidR="001C08A5" w:rsidRDefault="00000000">
            <w:pPr>
              <w:spacing w:line="360" w:lineRule="auto"/>
              <w:jc w:val="center"/>
              <w:rPr>
                <w:b/>
                <w:i/>
                <w:iCs/>
                <w:sz w:val="22"/>
                <w:szCs w:val="22"/>
              </w:rPr>
            </w:pPr>
            <w:r>
              <w:rPr>
                <w:b/>
                <w:i/>
                <w:iCs/>
                <w:sz w:val="22"/>
                <w:szCs w:val="22"/>
              </w:rPr>
              <w:t>IV</w:t>
            </w:r>
          </w:p>
        </w:tc>
        <w:tc>
          <w:tcPr>
            <w:tcW w:w="1750" w:type="dxa"/>
            <w:tcBorders>
              <w:top w:val="single" w:sz="4" w:space="0" w:color="000000"/>
              <w:left w:val="single" w:sz="4" w:space="0" w:color="000000"/>
              <w:bottom w:val="single" w:sz="4" w:space="0" w:color="000000"/>
            </w:tcBorders>
            <w:vAlign w:val="center"/>
          </w:tcPr>
          <w:p w14:paraId="275D3C66" w14:textId="77777777" w:rsidR="001C08A5" w:rsidRDefault="00000000">
            <w:pPr>
              <w:spacing w:line="360" w:lineRule="auto"/>
              <w:jc w:val="center"/>
              <w:rPr>
                <w:b/>
                <w:bCs/>
                <w:i/>
                <w:iCs/>
                <w:sz w:val="22"/>
                <w:szCs w:val="22"/>
              </w:rPr>
            </w:pPr>
            <w:r>
              <w:rPr>
                <w:b/>
                <w:bCs/>
                <w:i/>
                <w:iCs/>
                <w:sz w:val="22"/>
                <w:szCs w:val="22"/>
              </w:rPr>
              <w:t>50</w:t>
            </w:r>
          </w:p>
        </w:tc>
        <w:tc>
          <w:tcPr>
            <w:tcW w:w="2191" w:type="dxa"/>
            <w:tcBorders>
              <w:top w:val="single" w:sz="4" w:space="0" w:color="000000"/>
              <w:left w:val="single" w:sz="4" w:space="0" w:color="000000"/>
              <w:bottom w:val="single" w:sz="4" w:space="0" w:color="000000"/>
            </w:tcBorders>
            <w:vAlign w:val="center"/>
          </w:tcPr>
          <w:p w14:paraId="3EE2D844" w14:textId="77777777" w:rsidR="001C08A5" w:rsidRDefault="00000000">
            <w:pPr>
              <w:spacing w:line="360" w:lineRule="auto"/>
              <w:jc w:val="center"/>
              <w:rPr>
                <w:b/>
                <w:bCs/>
                <w:i/>
                <w:iCs/>
                <w:sz w:val="22"/>
                <w:szCs w:val="22"/>
              </w:rPr>
            </w:pPr>
            <w:r>
              <w:rPr>
                <w:b/>
                <w:bCs/>
                <w:i/>
                <w:iCs/>
                <w:sz w:val="22"/>
                <w:szCs w:val="22"/>
              </w:rPr>
              <w:t>30</w:t>
            </w:r>
          </w:p>
        </w:tc>
        <w:tc>
          <w:tcPr>
            <w:tcW w:w="2267" w:type="dxa"/>
            <w:tcBorders>
              <w:top w:val="single" w:sz="4" w:space="0" w:color="000000"/>
              <w:left w:val="single" w:sz="4" w:space="0" w:color="000000"/>
              <w:bottom w:val="single" w:sz="4" w:space="0" w:color="000000"/>
              <w:right w:val="single" w:sz="4" w:space="0" w:color="000000"/>
            </w:tcBorders>
            <w:vAlign w:val="center"/>
          </w:tcPr>
          <w:p w14:paraId="1F8F7FEC" w14:textId="77777777" w:rsidR="001C08A5" w:rsidRDefault="00000000">
            <w:pPr>
              <w:spacing w:line="360" w:lineRule="auto"/>
              <w:jc w:val="center"/>
              <w:rPr>
                <w:b/>
                <w:bCs/>
                <w:i/>
                <w:iCs/>
                <w:sz w:val="22"/>
                <w:szCs w:val="22"/>
              </w:rPr>
            </w:pPr>
            <w:r>
              <w:rPr>
                <w:b/>
                <w:bCs/>
                <w:i/>
                <w:iCs/>
                <w:sz w:val="22"/>
                <w:szCs w:val="22"/>
              </w:rPr>
              <w:t>25</w:t>
            </w:r>
          </w:p>
        </w:tc>
      </w:tr>
      <w:tr w:rsidR="001C08A5" w14:paraId="7F5A237F" w14:textId="77777777">
        <w:trPr>
          <w:cantSplit/>
        </w:trPr>
        <w:tc>
          <w:tcPr>
            <w:tcW w:w="1300" w:type="dxa"/>
            <w:vMerge/>
            <w:tcBorders>
              <w:top w:val="single" w:sz="4" w:space="0" w:color="000000"/>
              <w:left w:val="single" w:sz="4" w:space="0" w:color="000000"/>
              <w:bottom w:val="single" w:sz="4" w:space="0" w:color="000000"/>
            </w:tcBorders>
            <w:vAlign w:val="center"/>
          </w:tcPr>
          <w:p w14:paraId="19F730D7" w14:textId="77777777" w:rsidR="001C08A5" w:rsidRDefault="001C08A5">
            <w:pPr>
              <w:jc w:val="center"/>
              <w:rPr>
                <w:b/>
                <w:i/>
                <w:iCs/>
                <w:sz w:val="22"/>
                <w:szCs w:val="22"/>
              </w:rPr>
            </w:pPr>
          </w:p>
        </w:tc>
        <w:tc>
          <w:tcPr>
            <w:tcW w:w="1990" w:type="dxa"/>
            <w:tcBorders>
              <w:top w:val="single" w:sz="4" w:space="0" w:color="000000"/>
              <w:left w:val="single" w:sz="4" w:space="0" w:color="000000"/>
              <w:bottom w:val="single" w:sz="4" w:space="0" w:color="000000"/>
            </w:tcBorders>
            <w:vAlign w:val="center"/>
          </w:tcPr>
          <w:p w14:paraId="3B196938" w14:textId="77777777" w:rsidR="001C08A5" w:rsidRDefault="00000000">
            <w:pPr>
              <w:spacing w:line="360" w:lineRule="auto"/>
              <w:jc w:val="center"/>
              <w:rPr>
                <w:b/>
                <w:i/>
                <w:iCs/>
                <w:sz w:val="22"/>
                <w:szCs w:val="22"/>
              </w:rPr>
            </w:pPr>
            <w:r>
              <w:rPr>
                <w:b/>
                <w:i/>
                <w:iCs/>
                <w:sz w:val="22"/>
                <w:szCs w:val="22"/>
              </w:rPr>
              <w:t>V</w:t>
            </w:r>
          </w:p>
        </w:tc>
        <w:tc>
          <w:tcPr>
            <w:tcW w:w="1750" w:type="dxa"/>
            <w:tcBorders>
              <w:top w:val="single" w:sz="4" w:space="0" w:color="000000"/>
              <w:left w:val="single" w:sz="4" w:space="0" w:color="000000"/>
              <w:bottom w:val="single" w:sz="4" w:space="0" w:color="000000"/>
            </w:tcBorders>
            <w:vAlign w:val="center"/>
          </w:tcPr>
          <w:p w14:paraId="58E65D43" w14:textId="77777777" w:rsidR="001C08A5" w:rsidRDefault="00000000">
            <w:pPr>
              <w:spacing w:line="360" w:lineRule="auto"/>
              <w:jc w:val="center"/>
              <w:rPr>
                <w:b/>
                <w:bCs/>
                <w:i/>
                <w:iCs/>
                <w:sz w:val="22"/>
                <w:szCs w:val="22"/>
              </w:rPr>
            </w:pPr>
            <w:r>
              <w:rPr>
                <w:b/>
                <w:bCs/>
                <w:i/>
                <w:iCs/>
                <w:sz w:val="22"/>
                <w:szCs w:val="22"/>
              </w:rPr>
              <w:t>45</w:t>
            </w:r>
          </w:p>
        </w:tc>
        <w:tc>
          <w:tcPr>
            <w:tcW w:w="2191" w:type="dxa"/>
            <w:tcBorders>
              <w:top w:val="single" w:sz="4" w:space="0" w:color="000000"/>
              <w:left w:val="single" w:sz="4" w:space="0" w:color="000000"/>
              <w:bottom w:val="single" w:sz="4" w:space="0" w:color="000000"/>
            </w:tcBorders>
            <w:vAlign w:val="center"/>
          </w:tcPr>
          <w:p w14:paraId="1894BDF7" w14:textId="77777777" w:rsidR="001C08A5" w:rsidRDefault="00000000">
            <w:pPr>
              <w:spacing w:line="360" w:lineRule="auto"/>
              <w:jc w:val="center"/>
              <w:rPr>
                <w:b/>
                <w:bCs/>
                <w:i/>
                <w:iCs/>
                <w:sz w:val="22"/>
                <w:szCs w:val="22"/>
              </w:rPr>
            </w:pPr>
            <w:r>
              <w:rPr>
                <w:b/>
                <w:bCs/>
                <w:i/>
                <w:iCs/>
                <w:sz w:val="22"/>
                <w:szCs w:val="22"/>
              </w:rPr>
              <w:t>25</w:t>
            </w:r>
          </w:p>
        </w:tc>
        <w:tc>
          <w:tcPr>
            <w:tcW w:w="2267" w:type="dxa"/>
            <w:tcBorders>
              <w:top w:val="single" w:sz="4" w:space="0" w:color="000000"/>
              <w:left w:val="single" w:sz="4" w:space="0" w:color="000000"/>
              <w:bottom w:val="single" w:sz="4" w:space="0" w:color="000000"/>
              <w:right w:val="single" w:sz="4" w:space="0" w:color="000000"/>
            </w:tcBorders>
            <w:vAlign w:val="center"/>
          </w:tcPr>
          <w:p w14:paraId="1D48726B" w14:textId="77777777" w:rsidR="001C08A5" w:rsidRDefault="00000000">
            <w:pPr>
              <w:spacing w:line="360" w:lineRule="auto"/>
              <w:jc w:val="center"/>
              <w:rPr>
                <w:b/>
                <w:bCs/>
                <w:i/>
                <w:iCs/>
                <w:sz w:val="22"/>
                <w:szCs w:val="22"/>
              </w:rPr>
            </w:pPr>
            <w:r>
              <w:rPr>
                <w:b/>
                <w:bCs/>
                <w:i/>
                <w:iCs/>
                <w:sz w:val="22"/>
                <w:szCs w:val="22"/>
              </w:rPr>
              <w:t>25</w:t>
            </w:r>
          </w:p>
        </w:tc>
      </w:tr>
      <w:tr w:rsidR="001C08A5" w14:paraId="6DF19111" w14:textId="77777777">
        <w:trPr>
          <w:cantSplit/>
        </w:trPr>
        <w:tc>
          <w:tcPr>
            <w:tcW w:w="1300" w:type="dxa"/>
            <w:tcBorders>
              <w:top w:val="single" w:sz="4" w:space="0" w:color="000000"/>
              <w:left w:val="single" w:sz="4" w:space="0" w:color="000000"/>
              <w:bottom w:val="single" w:sz="4" w:space="0" w:color="000000"/>
            </w:tcBorders>
            <w:vAlign w:val="center"/>
          </w:tcPr>
          <w:p w14:paraId="4010BAEB" w14:textId="77777777" w:rsidR="001C08A5" w:rsidRDefault="00000000">
            <w:pPr>
              <w:jc w:val="center"/>
              <w:rPr>
                <w:b/>
                <w:i/>
                <w:iCs/>
                <w:sz w:val="22"/>
                <w:szCs w:val="22"/>
              </w:rPr>
            </w:pPr>
            <w:r>
              <w:rPr>
                <w:b/>
                <w:i/>
                <w:iCs/>
                <w:sz w:val="22"/>
                <w:szCs w:val="22"/>
              </w:rPr>
              <w:t>Foarte mare</w:t>
            </w:r>
          </w:p>
        </w:tc>
        <w:tc>
          <w:tcPr>
            <w:tcW w:w="1990" w:type="dxa"/>
            <w:tcBorders>
              <w:top w:val="single" w:sz="4" w:space="0" w:color="000000"/>
              <w:left w:val="single" w:sz="4" w:space="0" w:color="000000"/>
              <w:bottom w:val="single" w:sz="4" w:space="0" w:color="000000"/>
            </w:tcBorders>
            <w:vAlign w:val="center"/>
          </w:tcPr>
          <w:p w14:paraId="5CDFA5E8" w14:textId="77777777" w:rsidR="001C08A5" w:rsidRDefault="00000000">
            <w:pPr>
              <w:spacing w:line="360" w:lineRule="auto"/>
              <w:jc w:val="center"/>
              <w:rPr>
                <w:b/>
                <w:i/>
                <w:iCs/>
                <w:sz w:val="22"/>
                <w:szCs w:val="22"/>
              </w:rPr>
            </w:pPr>
            <w:r>
              <w:rPr>
                <w:b/>
                <w:i/>
                <w:iCs/>
                <w:sz w:val="22"/>
                <w:szCs w:val="22"/>
              </w:rPr>
              <w:t>I - II</w:t>
            </w:r>
          </w:p>
        </w:tc>
        <w:tc>
          <w:tcPr>
            <w:tcW w:w="1750" w:type="dxa"/>
            <w:tcBorders>
              <w:top w:val="single" w:sz="4" w:space="0" w:color="000000"/>
              <w:left w:val="single" w:sz="4" w:space="0" w:color="000000"/>
              <w:bottom w:val="single" w:sz="4" w:space="0" w:color="000000"/>
            </w:tcBorders>
            <w:vAlign w:val="center"/>
          </w:tcPr>
          <w:p w14:paraId="0AEC9BA3" w14:textId="77777777" w:rsidR="001C08A5" w:rsidRDefault="00000000">
            <w:pPr>
              <w:spacing w:line="360" w:lineRule="auto"/>
              <w:jc w:val="center"/>
              <w:rPr>
                <w:b/>
                <w:bCs/>
                <w:i/>
                <w:iCs/>
                <w:sz w:val="22"/>
                <w:szCs w:val="22"/>
              </w:rPr>
            </w:pPr>
            <w:r>
              <w:rPr>
                <w:b/>
                <w:bCs/>
                <w:i/>
                <w:iCs/>
                <w:sz w:val="22"/>
                <w:szCs w:val="22"/>
              </w:rPr>
              <w:t>100</w:t>
            </w:r>
          </w:p>
        </w:tc>
        <w:tc>
          <w:tcPr>
            <w:tcW w:w="2191" w:type="dxa"/>
            <w:tcBorders>
              <w:top w:val="single" w:sz="4" w:space="0" w:color="000000"/>
              <w:left w:val="single" w:sz="4" w:space="0" w:color="000000"/>
              <w:bottom w:val="single" w:sz="4" w:space="0" w:color="000000"/>
            </w:tcBorders>
            <w:vAlign w:val="center"/>
          </w:tcPr>
          <w:p w14:paraId="321B7456" w14:textId="77777777" w:rsidR="001C08A5" w:rsidRDefault="00000000">
            <w:pPr>
              <w:spacing w:line="360" w:lineRule="auto"/>
              <w:jc w:val="center"/>
              <w:rPr>
                <w:b/>
                <w:bCs/>
                <w:i/>
                <w:iCs/>
                <w:sz w:val="22"/>
                <w:szCs w:val="22"/>
              </w:rPr>
            </w:pPr>
            <w:r>
              <w:rPr>
                <w:b/>
                <w:bCs/>
                <w:i/>
                <w:iCs/>
                <w:sz w:val="22"/>
                <w:szCs w:val="22"/>
              </w:rPr>
              <w:t>75</w:t>
            </w:r>
          </w:p>
        </w:tc>
        <w:tc>
          <w:tcPr>
            <w:tcW w:w="2267" w:type="dxa"/>
            <w:tcBorders>
              <w:top w:val="single" w:sz="4" w:space="0" w:color="000000"/>
              <w:left w:val="single" w:sz="4" w:space="0" w:color="000000"/>
              <w:bottom w:val="single" w:sz="4" w:space="0" w:color="000000"/>
              <w:right w:val="single" w:sz="4" w:space="0" w:color="000000"/>
            </w:tcBorders>
            <w:vAlign w:val="center"/>
          </w:tcPr>
          <w:p w14:paraId="624AE2F4" w14:textId="77777777" w:rsidR="001C08A5" w:rsidRDefault="00000000">
            <w:pPr>
              <w:spacing w:line="360" w:lineRule="auto"/>
              <w:jc w:val="center"/>
              <w:rPr>
                <w:b/>
                <w:bCs/>
                <w:i/>
                <w:iCs/>
                <w:sz w:val="22"/>
                <w:szCs w:val="22"/>
              </w:rPr>
            </w:pPr>
            <w:r>
              <w:rPr>
                <w:b/>
                <w:bCs/>
                <w:i/>
                <w:iCs/>
                <w:sz w:val="22"/>
                <w:szCs w:val="22"/>
              </w:rPr>
              <w:t>25</w:t>
            </w:r>
          </w:p>
        </w:tc>
      </w:tr>
      <w:tr w:rsidR="001C08A5" w14:paraId="4ED3B0F2" w14:textId="77777777">
        <w:trPr>
          <w:cantSplit/>
        </w:trPr>
        <w:tc>
          <w:tcPr>
            <w:tcW w:w="1300" w:type="dxa"/>
            <w:tcBorders>
              <w:top w:val="single" w:sz="4" w:space="0" w:color="000000"/>
              <w:left w:val="single" w:sz="4" w:space="0" w:color="000000"/>
              <w:bottom w:val="single" w:sz="4" w:space="0" w:color="000000"/>
            </w:tcBorders>
            <w:vAlign w:val="center"/>
          </w:tcPr>
          <w:p w14:paraId="67571EA0" w14:textId="77777777" w:rsidR="001C08A5" w:rsidRDefault="00000000">
            <w:pPr>
              <w:jc w:val="center"/>
              <w:rPr>
                <w:b/>
                <w:i/>
                <w:iCs/>
                <w:sz w:val="22"/>
                <w:szCs w:val="22"/>
              </w:rPr>
            </w:pPr>
            <w:r>
              <w:rPr>
                <w:b/>
                <w:i/>
                <w:iCs/>
                <w:sz w:val="22"/>
                <w:szCs w:val="22"/>
              </w:rPr>
              <w:t>Foarte mare și explozie volumetrică</w:t>
            </w:r>
          </w:p>
        </w:tc>
        <w:tc>
          <w:tcPr>
            <w:tcW w:w="1990" w:type="dxa"/>
            <w:tcBorders>
              <w:top w:val="single" w:sz="4" w:space="0" w:color="000000"/>
              <w:left w:val="single" w:sz="4" w:space="0" w:color="000000"/>
              <w:bottom w:val="single" w:sz="4" w:space="0" w:color="000000"/>
            </w:tcBorders>
            <w:vAlign w:val="center"/>
          </w:tcPr>
          <w:p w14:paraId="143EDE3B" w14:textId="77777777" w:rsidR="001C08A5" w:rsidRDefault="00000000">
            <w:pPr>
              <w:spacing w:line="360" w:lineRule="auto"/>
              <w:jc w:val="center"/>
              <w:rPr>
                <w:b/>
                <w:i/>
                <w:iCs/>
                <w:sz w:val="22"/>
                <w:szCs w:val="22"/>
              </w:rPr>
            </w:pPr>
            <w:r>
              <w:rPr>
                <w:b/>
                <w:i/>
                <w:iCs/>
                <w:sz w:val="22"/>
                <w:szCs w:val="22"/>
              </w:rPr>
              <w:t>I - II</w:t>
            </w:r>
          </w:p>
        </w:tc>
        <w:tc>
          <w:tcPr>
            <w:tcW w:w="1750" w:type="dxa"/>
            <w:tcBorders>
              <w:top w:val="single" w:sz="4" w:space="0" w:color="000000"/>
              <w:left w:val="single" w:sz="4" w:space="0" w:color="000000"/>
              <w:bottom w:val="single" w:sz="4" w:space="0" w:color="000000"/>
            </w:tcBorders>
            <w:vAlign w:val="center"/>
          </w:tcPr>
          <w:p w14:paraId="4AE04BCF" w14:textId="77777777" w:rsidR="001C08A5" w:rsidRDefault="00000000">
            <w:pPr>
              <w:spacing w:line="360" w:lineRule="auto"/>
              <w:jc w:val="center"/>
              <w:rPr>
                <w:b/>
                <w:bCs/>
                <w:i/>
                <w:iCs/>
                <w:sz w:val="22"/>
                <w:szCs w:val="22"/>
              </w:rPr>
            </w:pPr>
            <w:r>
              <w:rPr>
                <w:b/>
                <w:bCs/>
                <w:i/>
                <w:iCs/>
                <w:sz w:val="22"/>
                <w:szCs w:val="22"/>
              </w:rPr>
              <w:t>30</w:t>
            </w:r>
          </w:p>
        </w:tc>
        <w:tc>
          <w:tcPr>
            <w:tcW w:w="2191" w:type="dxa"/>
            <w:tcBorders>
              <w:top w:val="single" w:sz="4" w:space="0" w:color="000000"/>
              <w:left w:val="single" w:sz="4" w:space="0" w:color="000000"/>
              <w:bottom w:val="single" w:sz="4" w:space="0" w:color="000000"/>
            </w:tcBorders>
            <w:vAlign w:val="center"/>
          </w:tcPr>
          <w:p w14:paraId="19C91DE4" w14:textId="77777777" w:rsidR="001C08A5" w:rsidRDefault="00000000">
            <w:pPr>
              <w:spacing w:line="360" w:lineRule="auto"/>
              <w:jc w:val="center"/>
              <w:rPr>
                <w:b/>
                <w:bCs/>
                <w:i/>
                <w:iCs/>
                <w:sz w:val="22"/>
                <w:szCs w:val="22"/>
              </w:rPr>
            </w:pPr>
            <w:r>
              <w:rPr>
                <w:b/>
                <w:bCs/>
                <w:i/>
                <w:iCs/>
                <w:sz w:val="22"/>
                <w:szCs w:val="22"/>
              </w:rPr>
              <w:t>25</w:t>
            </w:r>
          </w:p>
        </w:tc>
        <w:tc>
          <w:tcPr>
            <w:tcW w:w="2267" w:type="dxa"/>
            <w:tcBorders>
              <w:top w:val="single" w:sz="4" w:space="0" w:color="000000"/>
              <w:left w:val="single" w:sz="4" w:space="0" w:color="000000"/>
              <w:bottom w:val="single" w:sz="4" w:space="0" w:color="000000"/>
              <w:right w:val="single" w:sz="4" w:space="0" w:color="000000"/>
            </w:tcBorders>
            <w:vAlign w:val="center"/>
          </w:tcPr>
          <w:p w14:paraId="538C7790" w14:textId="77777777" w:rsidR="001C08A5" w:rsidRDefault="00000000">
            <w:pPr>
              <w:spacing w:line="360" w:lineRule="auto"/>
              <w:jc w:val="center"/>
              <w:rPr>
                <w:b/>
                <w:bCs/>
                <w:i/>
                <w:iCs/>
                <w:sz w:val="22"/>
                <w:szCs w:val="22"/>
              </w:rPr>
            </w:pPr>
            <w:r>
              <w:rPr>
                <w:b/>
                <w:bCs/>
                <w:i/>
                <w:iCs/>
                <w:sz w:val="22"/>
                <w:szCs w:val="22"/>
              </w:rPr>
              <w:t>20</w:t>
            </w:r>
          </w:p>
        </w:tc>
      </w:tr>
    </w:tbl>
    <w:p w14:paraId="2A380164" w14:textId="77777777" w:rsidR="001C08A5" w:rsidRDefault="00000000">
      <w:pPr>
        <w:rPr>
          <w:b/>
          <w:i/>
          <w:sz w:val="22"/>
          <w:szCs w:val="22"/>
        </w:rPr>
      </w:pPr>
      <w:r>
        <w:rPr>
          <w:bCs/>
          <w:i/>
          <w:sz w:val="22"/>
          <w:szCs w:val="22"/>
          <w:u w:val="single"/>
        </w:rPr>
        <w:t>Note</w:t>
      </w:r>
      <w:r>
        <w:rPr>
          <w:i/>
          <w:sz w:val="22"/>
          <w:szCs w:val="22"/>
        </w:rPr>
        <w:t>:</w:t>
      </w:r>
    </w:p>
    <w:p w14:paraId="419A2C20" w14:textId="77777777" w:rsidR="001C08A5" w:rsidRDefault="00000000">
      <w:pPr>
        <w:jc w:val="both"/>
        <w:rPr>
          <w:b/>
          <w:i/>
          <w:sz w:val="22"/>
          <w:szCs w:val="22"/>
        </w:rPr>
      </w:pPr>
      <w:r>
        <w:rPr>
          <w:b/>
          <w:i/>
          <w:sz w:val="22"/>
          <w:szCs w:val="22"/>
        </w:rPr>
        <w:t>a)</w:t>
      </w:r>
      <w:r>
        <w:rPr>
          <w:i/>
          <w:sz w:val="22"/>
          <w:szCs w:val="22"/>
        </w:rPr>
        <w:t xml:space="preserve"> Lungimea căii de evacuare nu se normează în toate situaţiile în care la fiecare nivel al construcţiei de producţie şi/sau depozitare se pot afla simultan maximum 10 utilizatori, indiferent de riscul de incendiu și nivelul de stabilitate la incendiu al construcţiei.</w:t>
      </w:r>
    </w:p>
    <w:p w14:paraId="529B9673" w14:textId="77777777" w:rsidR="001C08A5" w:rsidRDefault="00000000">
      <w:pPr>
        <w:jc w:val="both"/>
        <w:rPr>
          <w:b/>
          <w:bCs/>
          <w:i/>
          <w:sz w:val="22"/>
          <w:szCs w:val="22"/>
        </w:rPr>
      </w:pPr>
      <w:r>
        <w:rPr>
          <w:b/>
          <w:i/>
          <w:sz w:val="22"/>
          <w:szCs w:val="22"/>
        </w:rPr>
        <w:t>b)</w:t>
      </w:r>
      <w:r>
        <w:rPr>
          <w:i/>
          <w:sz w:val="22"/>
          <w:szCs w:val="22"/>
        </w:rPr>
        <w:t xml:space="preserve"> În construcţiile de producţie şi/sau depozitare, pot fi considerate căi de evacuare și circulaţiile care trec prin încăperi sau spaţii cu riscuri de incendiu mai mici sau cel mult egale cu cel din care se evacuează utilizatorii, cu excepția celor precizate la </w:t>
      </w:r>
      <w:r>
        <w:rPr>
          <w:b/>
          <w:bCs/>
          <w:i/>
          <w:sz w:val="22"/>
          <w:szCs w:val="22"/>
        </w:rPr>
        <w:t xml:space="preserve">Art. 6.1.5.2. </w:t>
      </w:r>
    </w:p>
    <w:p w14:paraId="35E796EA" w14:textId="77777777" w:rsidR="001C08A5" w:rsidRDefault="00000000">
      <w:pPr>
        <w:jc w:val="both"/>
        <w:rPr>
          <w:b/>
          <w:i/>
          <w:sz w:val="22"/>
          <w:szCs w:val="22"/>
        </w:rPr>
      </w:pPr>
      <w:r>
        <w:rPr>
          <w:b/>
          <w:i/>
          <w:sz w:val="22"/>
          <w:szCs w:val="22"/>
        </w:rPr>
        <w:t>c)</w:t>
      </w:r>
      <w:r>
        <w:rPr>
          <w:i/>
          <w:sz w:val="22"/>
          <w:szCs w:val="22"/>
        </w:rPr>
        <w:t xml:space="preserve"> Evacuarea utilizatorilor spațiilor/încăperilor amplasate în același compartiment de incendiu (de producție și/sau depozitare) se poate asigura prin spațiile pe care deservesc indiferent de riscurile acestora (evacuarea anexelor tehnico-sociale, birourilor, atelierelor de  intreținere, etc. se poate evacua prin spații de producție /depozitare pe care le deservesc); </w:t>
      </w:r>
    </w:p>
    <w:p w14:paraId="10956062" w14:textId="77777777" w:rsidR="001C08A5" w:rsidRDefault="00000000">
      <w:pPr>
        <w:jc w:val="both"/>
        <w:rPr>
          <w:i/>
          <w:sz w:val="22"/>
          <w:szCs w:val="22"/>
        </w:rPr>
      </w:pPr>
      <w:r>
        <w:rPr>
          <w:b/>
          <w:i/>
          <w:sz w:val="22"/>
          <w:szCs w:val="22"/>
        </w:rPr>
        <w:t>d)</w:t>
      </w:r>
      <w:r>
        <w:rPr>
          <w:i/>
          <w:sz w:val="22"/>
          <w:szCs w:val="22"/>
        </w:rPr>
        <w:t xml:space="preserve"> La încăperile și spaţiile fără locuri permanente de lucru, nu este obligatorie respectarea condiţiilor referitoare la căile de evacuare în caz de incendiu.</w:t>
      </w:r>
    </w:p>
    <w:p w14:paraId="4D9F4D1E" w14:textId="77777777" w:rsidR="001C08A5" w:rsidRDefault="001C08A5">
      <w:pPr>
        <w:jc w:val="both"/>
        <w:rPr>
          <w:bCs/>
          <w:iCs/>
          <w:sz w:val="24"/>
          <w:szCs w:val="24"/>
        </w:rPr>
      </w:pPr>
    </w:p>
    <w:p w14:paraId="735E569B" w14:textId="77777777" w:rsidR="001C08A5" w:rsidRDefault="00000000">
      <w:pPr>
        <w:jc w:val="both"/>
        <w:rPr>
          <w:sz w:val="24"/>
          <w:szCs w:val="24"/>
        </w:rPr>
      </w:pPr>
      <w:r>
        <w:rPr>
          <w:b/>
          <w:sz w:val="24"/>
          <w:szCs w:val="24"/>
        </w:rPr>
        <w:lastRenderedPageBreak/>
        <w:tab/>
        <w:t xml:space="preserve">Art. 6.1.5.17. </w:t>
      </w:r>
      <w:r>
        <w:rPr>
          <w:sz w:val="24"/>
          <w:szCs w:val="24"/>
        </w:rPr>
        <w:t xml:space="preserve">Căile de evacuare a utilizatorilor construcţiilor de producţie şi/sau depozitare se marchează cu indicatoare de orientare conform prevederilor </w:t>
      </w:r>
      <w:r>
        <w:rPr>
          <w:b/>
          <w:bCs/>
          <w:sz w:val="24"/>
          <w:szCs w:val="24"/>
        </w:rPr>
        <w:t>SR EN ISO 7010</w:t>
      </w:r>
      <w:r>
        <w:rPr>
          <w:sz w:val="24"/>
          <w:szCs w:val="24"/>
        </w:rPr>
        <w:t>.</w:t>
      </w:r>
    </w:p>
    <w:p w14:paraId="052D68EE" w14:textId="77777777" w:rsidR="001C08A5" w:rsidRDefault="001C08A5">
      <w:pPr>
        <w:jc w:val="both"/>
        <w:rPr>
          <w:sz w:val="24"/>
          <w:szCs w:val="24"/>
        </w:rPr>
      </w:pPr>
    </w:p>
    <w:p w14:paraId="3A1F263D" w14:textId="77777777" w:rsidR="001C08A5" w:rsidRDefault="00000000">
      <w:pPr>
        <w:ind w:firstLine="720"/>
        <w:jc w:val="both"/>
        <w:rPr>
          <w:sz w:val="24"/>
          <w:szCs w:val="24"/>
        </w:rPr>
      </w:pPr>
      <w:r>
        <w:rPr>
          <w:b/>
          <w:sz w:val="24"/>
          <w:szCs w:val="24"/>
        </w:rPr>
        <w:t>Art. 6.1.5.18. (1)</w:t>
      </w:r>
      <w:r>
        <w:rPr>
          <w:sz w:val="24"/>
          <w:szCs w:val="24"/>
        </w:rPr>
        <w:t xml:space="preserve"> Clădirile agrozootehnice se asimilează construcţiilor de producţie. Pentru evacuarea animalelor, la clădirile agrozootehnice, trebuie să se asigure cel puţin două ieşiri judicios distribuite. La clădirile sau încăperile cu o capacitate de adăpostire până la </w:t>
      </w:r>
      <w:r>
        <w:rPr>
          <w:b/>
          <w:bCs/>
          <w:sz w:val="24"/>
          <w:szCs w:val="24"/>
        </w:rPr>
        <w:t>10</w:t>
      </w:r>
      <w:r>
        <w:rPr>
          <w:sz w:val="24"/>
          <w:szCs w:val="24"/>
        </w:rPr>
        <w:t xml:space="preserve"> capete vite mari sau 6 cai, se admite o singură ieşire pentru evacuarea animalelor.</w:t>
      </w:r>
    </w:p>
    <w:p w14:paraId="580AB957" w14:textId="77777777" w:rsidR="001C08A5" w:rsidRDefault="00000000">
      <w:pPr>
        <w:ind w:firstLine="720"/>
        <w:jc w:val="both"/>
        <w:rPr>
          <w:sz w:val="24"/>
          <w:szCs w:val="24"/>
        </w:rPr>
      </w:pPr>
      <w:r>
        <w:rPr>
          <w:b/>
          <w:sz w:val="24"/>
          <w:szCs w:val="24"/>
        </w:rPr>
        <w:t xml:space="preserve">(2) </w:t>
      </w:r>
      <w:r>
        <w:rPr>
          <w:sz w:val="24"/>
          <w:szCs w:val="24"/>
        </w:rPr>
        <w:t xml:space="preserve">Numărul de animale admis la evacuare pentru o uşă este prevăzut în </w:t>
      </w:r>
      <w:r>
        <w:rPr>
          <w:b/>
          <w:bCs/>
          <w:i/>
          <w:iCs/>
          <w:sz w:val="24"/>
          <w:szCs w:val="24"/>
        </w:rPr>
        <w:fldChar w:fldCharType="begin"/>
      </w:r>
      <w:r>
        <w:rPr>
          <w:b/>
          <w:bCs/>
          <w:i/>
          <w:iCs/>
          <w:sz w:val="24"/>
          <w:szCs w:val="24"/>
        </w:rPr>
        <w:instrText xml:space="preserve"> REF _Ref12907 \h </w:instrText>
      </w:r>
      <w:r>
        <w:rPr>
          <w:b/>
          <w:bCs/>
          <w:i/>
          <w:iCs/>
          <w:sz w:val="24"/>
          <w:szCs w:val="24"/>
        </w:rPr>
      </w:r>
      <w:r>
        <w:rPr>
          <w:b/>
          <w:bCs/>
          <w:i/>
          <w:iCs/>
          <w:sz w:val="24"/>
          <w:szCs w:val="24"/>
        </w:rPr>
        <w:fldChar w:fldCharType="separate"/>
      </w:r>
      <w:r>
        <w:t>Tabelul 117</w:t>
      </w:r>
      <w:r>
        <w:rPr>
          <w:b/>
          <w:bCs/>
          <w:i/>
          <w:iCs/>
          <w:sz w:val="24"/>
          <w:szCs w:val="24"/>
        </w:rPr>
        <w:fldChar w:fldCharType="end"/>
      </w:r>
      <w:r>
        <w:rPr>
          <w:sz w:val="24"/>
          <w:szCs w:val="24"/>
        </w:rPr>
        <w:t>, în funcţie de categoria de animale şi nivelul de stabilitate la incendiu al clădirilor.</w:t>
      </w:r>
    </w:p>
    <w:p w14:paraId="2E752DE0" w14:textId="77777777" w:rsidR="001C08A5" w:rsidRDefault="001C08A5">
      <w:pPr>
        <w:jc w:val="center"/>
        <w:rPr>
          <w:b/>
          <w:sz w:val="24"/>
          <w:szCs w:val="24"/>
        </w:rPr>
      </w:pPr>
    </w:p>
    <w:p w14:paraId="606DBA19" w14:textId="77777777" w:rsidR="001C08A5" w:rsidRDefault="00000000">
      <w:pPr>
        <w:pStyle w:val="Captiontabel"/>
      </w:pPr>
      <w:bookmarkStart w:id="5249" w:name="_Ref12907"/>
      <w:bookmarkStart w:id="5250" w:name="_Toc162360167"/>
      <w:r>
        <w:t xml:space="preserve">Tabelul </w:t>
      </w:r>
      <w:r>
        <w:fldChar w:fldCharType="begin"/>
      </w:r>
      <w:r>
        <w:instrText xml:space="preserve"> SEQ Tabelul \* ARABIC </w:instrText>
      </w:r>
      <w:r>
        <w:fldChar w:fldCharType="separate"/>
      </w:r>
      <w:r>
        <w:t>117</w:t>
      </w:r>
      <w:r>
        <w:fldChar w:fldCharType="end"/>
      </w:r>
      <w:bookmarkStart w:id="5251" w:name="_Toc23251"/>
      <w:bookmarkStart w:id="5252" w:name="_Toc1756"/>
      <w:bookmarkStart w:id="5253" w:name="_Toc4445"/>
      <w:bookmarkStart w:id="5254" w:name="_Toc26541"/>
      <w:bookmarkStart w:id="5255" w:name="_Toc11310"/>
      <w:bookmarkStart w:id="5256" w:name="_Toc1336"/>
      <w:bookmarkStart w:id="5257" w:name="_Toc7564"/>
      <w:bookmarkStart w:id="5258" w:name="_Toc15367"/>
      <w:bookmarkStart w:id="5259" w:name="_Toc3134"/>
      <w:bookmarkStart w:id="5260" w:name="_Toc32081"/>
      <w:bookmarkStart w:id="5261" w:name="_Toc25383"/>
      <w:bookmarkStart w:id="5262" w:name="_Toc21394"/>
      <w:bookmarkStart w:id="5263" w:name="_Toc28622"/>
      <w:bookmarkStart w:id="5264" w:name="_Toc31455"/>
      <w:bookmarkStart w:id="5265" w:name="_Toc7506"/>
      <w:bookmarkStart w:id="5266" w:name="_Toc5659"/>
      <w:bookmarkStart w:id="5267" w:name="_Toc21900"/>
      <w:bookmarkStart w:id="5268" w:name="_Toc28856"/>
      <w:bookmarkStart w:id="5269" w:name="_Toc11082"/>
      <w:bookmarkEnd w:id="5249"/>
      <w:r>
        <w:t>: Numărul maxim de animale admis pe o uşă de evacuare</w:t>
      </w:r>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p>
    <w:p w14:paraId="6C89351C" w14:textId="77777777" w:rsidR="001C08A5" w:rsidRDefault="001C08A5">
      <w:pPr>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6"/>
        <w:gridCol w:w="1064"/>
        <w:gridCol w:w="1050"/>
        <w:gridCol w:w="1132"/>
      </w:tblGrid>
      <w:tr w:rsidR="001C08A5" w14:paraId="4F77CD87" w14:textId="77777777">
        <w:trPr>
          <w:trHeight w:val="158"/>
          <w:jc w:val="center"/>
        </w:trPr>
        <w:tc>
          <w:tcPr>
            <w:tcW w:w="5996" w:type="dxa"/>
            <w:vMerge w:val="restart"/>
            <w:shd w:val="clear" w:color="auto" w:fill="BEBEBE"/>
          </w:tcPr>
          <w:p w14:paraId="66C75FD1" w14:textId="77777777" w:rsidR="001C08A5" w:rsidRDefault="00000000">
            <w:pPr>
              <w:jc w:val="center"/>
              <w:rPr>
                <w:b/>
                <w:bCs/>
                <w:i/>
                <w:iCs/>
                <w:sz w:val="22"/>
                <w:szCs w:val="22"/>
              </w:rPr>
            </w:pPr>
            <w:r>
              <w:rPr>
                <w:b/>
                <w:bCs/>
                <w:i/>
                <w:iCs/>
                <w:sz w:val="22"/>
                <w:szCs w:val="22"/>
              </w:rPr>
              <w:t>Destinaţia clădirii</w:t>
            </w:r>
          </w:p>
        </w:tc>
        <w:tc>
          <w:tcPr>
            <w:tcW w:w="3246" w:type="dxa"/>
            <w:gridSpan w:val="3"/>
            <w:shd w:val="clear" w:color="auto" w:fill="BEBEBE"/>
          </w:tcPr>
          <w:p w14:paraId="09B3BD74" w14:textId="77777777" w:rsidR="001C08A5" w:rsidRDefault="00000000">
            <w:pPr>
              <w:jc w:val="center"/>
              <w:rPr>
                <w:b/>
                <w:bCs/>
                <w:i/>
                <w:iCs/>
                <w:sz w:val="22"/>
                <w:szCs w:val="22"/>
              </w:rPr>
            </w:pPr>
            <w:r>
              <w:rPr>
                <w:b/>
                <w:bCs/>
                <w:i/>
                <w:iCs/>
                <w:sz w:val="22"/>
                <w:szCs w:val="22"/>
              </w:rPr>
              <w:t>Nivelul de stabilitate la incendiu a clădirii</w:t>
            </w:r>
          </w:p>
        </w:tc>
      </w:tr>
      <w:tr w:rsidR="001C08A5" w14:paraId="541577A9" w14:textId="77777777">
        <w:trPr>
          <w:trHeight w:val="157"/>
          <w:jc w:val="center"/>
        </w:trPr>
        <w:tc>
          <w:tcPr>
            <w:tcW w:w="5996" w:type="dxa"/>
            <w:vMerge/>
            <w:tcBorders>
              <w:bottom w:val="single" w:sz="4" w:space="0" w:color="auto"/>
            </w:tcBorders>
            <w:shd w:val="clear" w:color="auto" w:fill="BEBEBE"/>
          </w:tcPr>
          <w:p w14:paraId="42148B56" w14:textId="77777777" w:rsidR="001C08A5" w:rsidRDefault="001C08A5">
            <w:pPr>
              <w:jc w:val="center"/>
              <w:rPr>
                <w:b/>
                <w:bCs/>
                <w:i/>
                <w:iCs/>
                <w:sz w:val="22"/>
                <w:szCs w:val="22"/>
              </w:rPr>
            </w:pPr>
          </w:p>
        </w:tc>
        <w:tc>
          <w:tcPr>
            <w:tcW w:w="1064" w:type="dxa"/>
            <w:tcBorders>
              <w:bottom w:val="single" w:sz="4" w:space="0" w:color="auto"/>
            </w:tcBorders>
            <w:shd w:val="clear" w:color="auto" w:fill="BEBEBE"/>
          </w:tcPr>
          <w:p w14:paraId="29322D2C" w14:textId="77777777" w:rsidR="001C08A5" w:rsidRDefault="00000000">
            <w:pPr>
              <w:jc w:val="center"/>
              <w:rPr>
                <w:b/>
                <w:bCs/>
                <w:i/>
                <w:iCs/>
                <w:sz w:val="22"/>
                <w:szCs w:val="22"/>
              </w:rPr>
            </w:pPr>
            <w:r>
              <w:rPr>
                <w:b/>
                <w:bCs/>
                <w:i/>
                <w:iCs/>
                <w:sz w:val="22"/>
                <w:szCs w:val="22"/>
              </w:rPr>
              <w:t>I şi II</w:t>
            </w:r>
          </w:p>
        </w:tc>
        <w:tc>
          <w:tcPr>
            <w:tcW w:w="1050" w:type="dxa"/>
            <w:tcBorders>
              <w:bottom w:val="single" w:sz="4" w:space="0" w:color="auto"/>
            </w:tcBorders>
            <w:shd w:val="clear" w:color="auto" w:fill="BEBEBE"/>
          </w:tcPr>
          <w:p w14:paraId="04FBBD0A" w14:textId="77777777" w:rsidR="001C08A5" w:rsidRDefault="00000000">
            <w:pPr>
              <w:jc w:val="center"/>
              <w:rPr>
                <w:b/>
                <w:bCs/>
                <w:i/>
                <w:iCs/>
                <w:sz w:val="22"/>
                <w:szCs w:val="22"/>
              </w:rPr>
            </w:pPr>
            <w:r>
              <w:rPr>
                <w:b/>
                <w:bCs/>
                <w:i/>
                <w:iCs/>
                <w:sz w:val="22"/>
                <w:szCs w:val="22"/>
              </w:rPr>
              <w:t>III şi IV</w:t>
            </w:r>
          </w:p>
        </w:tc>
        <w:tc>
          <w:tcPr>
            <w:tcW w:w="1132" w:type="dxa"/>
            <w:tcBorders>
              <w:bottom w:val="single" w:sz="4" w:space="0" w:color="auto"/>
            </w:tcBorders>
            <w:shd w:val="clear" w:color="auto" w:fill="BEBEBE"/>
          </w:tcPr>
          <w:p w14:paraId="488FEA1F" w14:textId="77777777" w:rsidR="001C08A5" w:rsidRDefault="00000000">
            <w:pPr>
              <w:jc w:val="center"/>
              <w:rPr>
                <w:b/>
                <w:bCs/>
                <w:i/>
                <w:iCs/>
                <w:sz w:val="22"/>
                <w:szCs w:val="22"/>
              </w:rPr>
            </w:pPr>
            <w:r>
              <w:rPr>
                <w:b/>
                <w:bCs/>
                <w:i/>
                <w:iCs/>
                <w:sz w:val="22"/>
                <w:szCs w:val="22"/>
              </w:rPr>
              <w:t>V</w:t>
            </w:r>
          </w:p>
        </w:tc>
      </w:tr>
      <w:tr w:rsidR="001C08A5" w14:paraId="376AA3DD" w14:textId="77777777">
        <w:trPr>
          <w:trHeight w:val="157"/>
          <w:jc w:val="center"/>
        </w:trPr>
        <w:tc>
          <w:tcPr>
            <w:tcW w:w="5996" w:type="dxa"/>
            <w:tcBorders>
              <w:bottom w:val="single" w:sz="4" w:space="0" w:color="auto"/>
            </w:tcBorders>
            <w:shd w:val="clear" w:color="auto" w:fill="auto"/>
          </w:tcPr>
          <w:p w14:paraId="569C6469" w14:textId="77777777" w:rsidR="001C08A5" w:rsidRDefault="00000000">
            <w:pPr>
              <w:rPr>
                <w:b/>
                <w:bCs/>
                <w:i/>
                <w:iCs/>
                <w:sz w:val="22"/>
                <w:szCs w:val="22"/>
              </w:rPr>
            </w:pPr>
            <w:r>
              <w:rPr>
                <w:i/>
                <w:iCs/>
                <w:sz w:val="22"/>
                <w:szCs w:val="22"/>
              </w:rPr>
              <w:t>Grajduri pentru vaci</w:t>
            </w:r>
          </w:p>
        </w:tc>
        <w:tc>
          <w:tcPr>
            <w:tcW w:w="1064" w:type="dxa"/>
            <w:tcBorders>
              <w:bottom w:val="single" w:sz="4" w:space="0" w:color="auto"/>
            </w:tcBorders>
            <w:shd w:val="clear" w:color="auto" w:fill="auto"/>
          </w:tcPr>
          <w:p w14:paraId="48C4FE10" w14:textId="77777777" w:rsidR="001C08A5" w:rsidRDefault="00000000">
            <w:pPr>
              <w:jc w:val="center"/>
              <w:rPr>
                <w:b/>
                <w:bCs/>
                <w:i/>
                <w:iCs/>
                <w:sz w:val="22"/>
                <w:szCs w:val="22"/>
              </w:rPr>
            </w:pPr>
            <w:r>
              <w:rPr>
                <w:b/>
                <w:bCs/>
                <w:i/>
                <w:iCs/>
                <w:sz w:val="22"/>
                <w:szCs w:val="22"/>
              </w:rPr>
              <w:t>35</w:t>
            </w:r>
          </w:p>
        </w:tc>
        <w:tc>
          <w:tcPr>
            <w:tcW w:w="1050" w:type="dxa"/>
            <w:tcBorders>
              <w:bottom w:val="single" w:sz="4" w:space="0" w:color="auto"/>
            </w:tcBorders>
            <w:shd w:val="clear" w:color="auto" w:fill="auto"/>
          </w:tcPr>
          <w:p w14:paraId="4853978F" w14:textId="77777777" w:rsidR="001C08A5" w:rsidRDefault="00000000">
            <w:pPr>
              <w:jc w:val="center"/>
              <w:rPr>
                <w:b/>
                <w:bCs/>
                <w:i/>
                <w:iCs/>
                <w:sz w:val="22"/>
                <w:szCs w:val="22"/>
              </w:rPr>
            </w:pPr>
            <w:r>
              <w:rPr>
                <w:b/>
                <w:bCs/>
                <w:i/>
                <w:iCs/>
                <w:sz w:val="22"/>
                <w:szCs w:val="22"/>
              </w:rPr>
              <w:t>35</w:t>
            </w:r>
          </w:p>
        </w:tc>
        <w:tc>
          <w:tcPr>
            <w:tcW w:w="1132" w:type="dxa"/>
            <w:tcBorders>
              <w:bottom w:val="single" w:sz="4" w:space="0" w:color="auto"/>
            </w:tcBorders>
            <w:shd w:val="clear" w:color="auto" w:fill="auto"/>
          </w:tcPr>
          <w:p w14:paraId="49EA2A6E" w14:textId="77777777" w:rsidR="001C08A5" w:rsidRDefault="00000000">
            <w:pPr>
              <w:jc w:val="center"/>
              <w:rPr>
                <w:b/>
                <w:bCs/>
                <w:i/>
                <w:iCs/>
                <w:sz w:val="22"/>
                <w:szCs w:val="22"/>
              </w:rPr>
            </w:pPr>
            <w:r>
              <w:rPr>
                <w:b/>
                <w:bCs/>
                <w:i/>
                <w:iCs/>
                <w:sz w:val="22"/>
                <w:szCs w:val="22"/>
              </w:rPr>
              <w:t>25</w:t>
            </w:r>
          </w:p>
        </w:tc>
      </w:tr>
      <w:tr w:rsidR="001C08A5" w14:paraId="352B1DBA" w14:textId="77777777">
        <w:trPr>
          <w:trHeight w:val="157"/>
          <w:jc w:val="center"/>
        </w:trPr>
        <w:tc>
          <w:tcPr>
            <w:tcW w:w="5996" w:type="dxa"/>
            <w:tcBorders>
              <w:bottom w:val="single" w:sz="4" w:space="0" w:color="auto"/>
            </w:tcBorders>
            <w:shd w:val="clear" w:color="auto" w:fill="auto"/>
          </w:tcPr>
          <w:p w14:paraId="111D3054" w14:textId="77777777" w:rsidR="001C08A5" w:rsidRDefault="00000000">
            <w:pPr>
              <w:rPr>
                <w:b/>
                <w:bCs/>
                <w:i/>
                <w:iCs/>
                <w:sz w:val="22"/>
                <w:szCs w:val="22"/>
              </w:rPr>
            </w:pPr>
            <w:r>
              <w:rPr>
                <w:i/>
                <w:iCs/>
                <w:sz w:val="22"/>
                <w:szCs w:val="22"/>
              </w:rPr>
              <w:t>Grajduri pentru tineret taurin</w:t>
            </w:r>
          </w:p>
        </w:tc>
        <w:tc>
          <w:tcPr>
            <w:tcW w:w="1064" w:type="dxa"/>
            <w:tcBorders>
              <w:bottom w:val="single" w:sz="4" w:space="0" w:color="auto"/>
            </w:tcBorders>
            <w:shd w:val="clear" w:color="auto" w:fill="auto"/>
          </w:tcPr>
          <w:p w14:paraId="27D3AE3B" w14:textId="77777777" w:rsidR="001C08A5" w:rsidRDefault="00000000">
            <w:pPr>
              <w:jc w:val="center"/>
              <w:rPr>
                <w:b/>
                <w:bCs/>
                <w:i/>
                <w:iCs/>
                <w:sz w:val="22"/>
                <w:szCs w:val="22"/>
              </w:rPr>
            </w:pPr>
            <w:r>
              <w:rPr>
                <w:b/>
                <w:bCs/>
                <w:i/>
                <w:iCs/>
                <w:sz w:val="22"/>
                <w:szCs w:val="22"/>
              </w:rPr>
              <w:t>50</w:t>
            </w:r>
          </w:p>
        </w:tc>
        <w:tc>
          <w:tcPr>
            <w:tcW w:w="1050" w:type="dxa"/>
            <w:tcBorders>
              <w:bottom w:val="single" w:sz="4" w:space="0" w:color="auto"/>
            </w:tcBorders>
            <w:shd w:val="clear" w:color="auto" w:fill="auto"/>
          </w:tcPr>
          <w:p w14:paraId="7ECFCB3F" w14:textId="77777777" w:rsidR="001C08A5" w:rsidRDefault="00000000">
            <w:pPr>
              <w:jc w:val="center"/>
              <w:rPr>
                <w:b/>
                <w:bCs/>
                <w:i/>
                <w:iCs/>
                <w:sz w:val="22"/>
                <w:szCs w:val="22"/>
              </w:rPr>
            </w:pPr>
            <w:r>
              <w:rPr>
                <w:b/>
                <w:bCs/>
                <w:i/>
                <w:iCs/>
                <w:sz w:val="22"/>
                <w:szCs w:val="22"/>
              </w:rPr>
              <w:t>50</w:t>
            </w:r>
          </w:p>
        </w:tc>
        <w:tc>
          <w:tcPr>
            <w:tcW w:w="1132" w:type="dxa"/>
            <w:tcBorders>
              <w:bottom w:val="single" w:sz="4" w:space="0" w:color="auto"/>
            </w:tcBorders>
            <w:shd w:val="clear" w:color="auto" w:fill="auto"/>
          </w:tcPr>
          <w:p w14:paraId="04B52A79" w14:textId="77777777" w:rsidR="001C08A5" w:rsidRDefault="00000000">
            <w:pPr>
              <w:jc w:val="center"/>
              <w:rPr>
                <w:b/>
                <w:bCs/>
                <w:i/>
                <w:iCs/>
                <w:sz w:val="22"/>
                <w:szCs w:val="22"/>
              </w:rPr>
            </w:pPr>
            <w:r>
              <w:rPr>
                <w:b/>
                <w:bCs/>
                <w:i/>
                <w:iCs/>
                <w:sz w:val="22"/>
                <w:szCs w:val="22"/>
              </w:rPr>
              <w:t>30</w:t>
            </w:r>
          </w:p>
        </w:tc>
      </w:tr>
      <w:tr w:rsidR="001C08A5" w14:paraId="19761EE9" w14:textId="77777777">
        <w:trPr>
          <w:trHeight w:val="157"/>
          <w:jc w:val="center"/>
        </w:trPr>
        <w:tc>
          <w:tcPr>
            <w:tcW w:w="5996" w:type="dxa"/>
            <w:tcBorders>
              <w:bottom w:val="single" w:sz="4" w:space="0" w:color="auto"/>
            </w:tcBorders>
            <w:shd w:val="clear" w:color="auto" w:fill="auto"/>
          </w:tcPr>
          <w:p w14:paraId="52204422" w14:textId="77777777" w:rsidR="001C08A5" w:rsidRDefault="00000000">
            <w:pPr>
              <w:rPr>
                <w:b/>
                <w:bCs/>
                <w:i/>
                <w:iCs/>
                <w:sz w:val="22"/>
                <w:szCs w:val="22"/>
              </w:rPr>
            </w:pPr>
            <w:r>
              <w:rPr>
                <w:i/>
                <w:iCs/>
                <w:sz w:val="22"/>
                <w:szCs w:val="22"/>
              </w:rPr>
              <w:t>Grajduri pentru animale de muncă</w:t>
            </w:r>
          </w:p>
        </w:tc>
        <w:tc>
          <w:tcPr>
            <w:tcW w:w="1064" w:type="dxa"/>
            <w:tcBorders>
              <w:bottom w:val="single" w:sz="4" w:space="0" w:color="auto"/>
            </w:tcBorders>
            <w:shd w:val="clear" w:color="auto" w:fill="auto"/>
          </w:tcPr>
          <w:p w14:paraId="3AE2A4D8" w14:textId="77777777" w:rsidR="001C08A5" w:rsidRDefault="00000000">
            <w:pPr>
              <w:jc w:val="center"/>
              <w:rPr>
                <w:b/>
                <w:bCs/>
                <w:i/>
                <w:iCs/>
                <w:sz w:val="22"/>
                <w:szCs w:val="22"/>
              </w:rPr>
            </w:pPr>
            <w:r>
              <w:rPr>
                <w:b/>
                <w:bCs/>
                <w:i/>
                <w:iCs/>
                <w:sz w:val="22"/>
                <w:szCs w:val="22"/>
              </w:rPr>
              <w:t>35</w:t>
            </w:r>
          </w:p>
        </w:tc>
        <w:tc>
          <w:tcPr>
            <w:tcW w:w="1050" w:type="dxa"/>
            <w:tcBorders>
              <w:bottom w:val="single" w:sz="4" w:space="0" w:color="auto"/>
            </w:tcBorders>
            <w:shd w:val="clear" w:color="auto" w:fill="auto"/>
          </w:tcPr>
          <w:p w14:paraId="23DAB9CD" w14:textId="77777777" w:rsidR="001C08A5" w:rsidRDefault="00000000">
            <w:pPr>
              <w:jc w:val="center"/>
              <w:rPr>
                <w:b/>
                <w:bCs/>
                <w:i/>
                <w:iCs/>
                <w:sz w:val="22"/>
                <w:szCs w:val="22"/>
              </w:rPr>
            </w:pPr>
            <w:r>
              <w:rPr>
                <w:b/>
                <w:bCs/>
                <w:i/>
                <w:iCs/>
                <w:sz w:val="22"/>
                <w:szCs w:val="22"/>
              </w:rPr>
              <w:t>35</w:t>
            </w:r>
          </w:p>
        </w:tc>
        <w:tc>
          <w:tcPr>
            <w:tcW w:w="1132" w:type="dxa"/>
            <w:tcBorders>
              <w:bottom w:val="single" w:sz="4" w:space="0" w:color="auto"/>
            </w:tcBorders>
            <w:shd w:val="clear" w:color="auto" w:fill="auto"/>
          </w:tcPr>
          <w:p w14:paraId="1916C451" w14:textId="77777777" w:rsidR="001C08A5" w:rsidRDefault="00000000">
            <w:pPr>
              <w:jc w:val="center"/>
              <w:rPr>
                <w:b/>
                <w:bCs/>
                <w:i/>
                <w:iCs/>
                <w:sz w:val="22"/>
                <w:szCs w:val="22"/>
              </w:rPr>
            </w:pPr>
            <w:r>
              <w:rPr>
                <w:b/>
                <w:bCs/>
                <w:i/>
                <w:iCs/>
                <w:sz w:val="22"/>
                <w:szCs w:val="22"/>
              </w:rPr>
              <w:t>25</w:t>
            </w:r>
          </w:p>
        </w:tc>
      </w:tr>
      <w:tr w:rsidR="001C08A5" w14:paraId="324F78E2" w14:textId="77777777">
        <w:trPr>
          <w:trHeight w:val="157"/>
          <w:jc w:val="center"/>
        </w:trPr>
        <w:tc>
          <w:tcPr>
            <w:tcW w:w="5996" w:type="dxa"/>
            <w:tcBorders>
              <w:bottom w:val="single" w:sz="4" w:space="0" w:color="auto"/>
            </w:tcBorders>
            <w:shd w:val="clear" w:color="auto" w:fill="auto"/>
          </w:tcPr>
          <w:p w14:paraId="638C8F0F" w14:textId="77777777" w:rsidR="001C08A5" w:rsidRDefault="00000000">
            <w:pPr>
              <w:rPr>
                <w:b/>
                <w:bCs/>
                <w:i/>
                <w:iCs/>
                <w:sz w:val="22"/>
                <w:szCs w:val="22"/>
              </w:rPr>
            </w:pPr>
            <w:r>
              <w:rPr>
                <w:i/>
                <w:iCs/>
                <w:sz w:val="22"/>
                <w:szCs w:val="22"/>
              </w:rPr>
              <w:t>Grajduri pentru cai de elită</w:t>
            </w:r>
          </w:p>
        </w:tc>
        <w:tc>
          <w:tcPr>
            <w:tcW w:w="1064" w:type="dxa"/>
            <w:tcBorders>
              <w:bottom w:val="single" w:sz="4" w:space="0" w:color="auto"/>
            </w:tcBorders>
            <w:shd w:val="clear" w:color="auto" w:fill="auto"/>
          </w:tcPr>
          <w:p w14:paraId="2259180E" w14:textId="77777777" w:rsidR="001C08A5" w:rsidRDefault="00000000">
            <w:pPr>
              <w:jc w:val="center"/>
              <w:rPr>
                <w:b/>
                <w:bCs/>
                <w:i/>
                <w:iCs/>
                <w:sz w:val="22"/>
                <w:szCs w:val="22"/>
              </w:rPr>
            </w:pPr>
            <w:r>
              <w:rPr>
                <w:b/>
                <w:bCs/>
                <w:i/>
                <w:iCs/>
                <w:sz w:val="22"/>
                <w:szCs w:val="22"/>
              </w:rPr>
              <w:t>25</w:t>
            </w:r>
          </w:p>
        </w:tc>
        <w:tc>
          <w:tcPr>
            <w:tcW w:w="1050" w:type="dxa"/>
            <w:tcBorders>
              <w:bottom w:val="single" w:sz="4" w:space="0" w:color="auto"/>
            </w:tcBorders>
            <w:shd w:val="clear" w:color="auto" w:fill="auto"/>
          </w:tcPr>
          <w:p w14:paraId="4EFC9040" w14:textId="77777777" w:rsidR="001C08A5" w:rsidRDefault="00000000">
            <w:pPr>
              <w:jc w:val="center"/>
              <w:rPr>
                <w:b/>
                <w:bCs/>
                <w:i/>
                <w:iCs/>
                <w:sz w:val="22"/>
                <w:szCs w:val="22"/>
              </w:rPr>
            </w:pPr>
            <w:r>
              <w:rPr>
                <w:b/>
                <w:bCs/>
                <w:i/>
                <w:iCs/>
                <w:sz w:val="22"/>
                <w:szCs w:val="22"/>
              </w:rPr>
              <w:t>25</w:t>
            </w:r>
          </w:p>
        </w:tc>
        <w:tc>
          <w:tcPr>
            <w:tcW w:w="1132" w:type="dxa"/>
            <w:tcBorders>
              <w:bottom w:val="single" w:sz="4" w:space="0" w:color="auto"/>
            </w:tcBorders>
            <w:shd w:val="clear" w:color="auto" w:fill="auto"/>
          </w:tcPr>
          <w:p w14:paraId="4A36C5CF" w14:textId="77777777" w:rsidR="001C08A5" w:rsidRDefault="00000000">
            <w:pPr>
              <w:jc w:val="center"/>
              <w:rPr>
                <w:b/>
                <w:bCs/>
                <w:i/>
                <w:iCs/>
                <w:sz w:val="22"/>
                <w:szCs w:val="22"/>
              </w:rPr>
            </w:pPr>
            <w:r>
              <w:rPr>
                <w:b/>
                <w:bCs/>
                <w:i/>
                <w:iCs/>
                <w:sz w:val="22"/>
                <w:szCs w:val="22"/>
              </w:rPr>
              <w:t>-</w:t>
            </w:r>
          </w:p>
        </w:tc>
      </w:tr>
      <w:tr w:rsidR="001C08A5" w14:paraId="571CDD39" w14:textId="77777777">
        <w:trPr>
          <w:trHeight w:val="157"/>
          <w:jc w:val="center"/>
        </w:trPr>
        <w:tc>
          <w:tcPr>
            <w:tcW w:w="5996" w:type="dxa"/>
            <w:tcBorders>
              <w:bottom w:val="single" w:sz="4" w:space="0" w:color="auto"/>
            </w:tcBorders>
            <w:shd w:val="clear" w:color="auto" w:fill="auto"/>
          </w:tcPr>
          <w:p w14:paraId="2DDD320C" w14:textId="77777777" w:rsidR="001C08A5" w:rsidRDefault="00000000">
            <w:pPr>
              <w:rPr>
                <w:b/>
                <w:bCs/>
                <w:i/>
                <w:iCs/>
                <w:sz w:val="22"/>
                <w:szCs w:val="22"/>
              </w:rPr>
            </w:pPr>
            <w:r>
              <w:rPr>
                <w:i/>
                <w:iCs/>
                <w:sz w:val="22"/>
                <w:szCs w:val="22"/>
              </w:rPr>
              <w:t>Grajduri (adăposturi) pentru scroafe cu purcei și pentru vieri</w:t>
            </w:r>
          </w:p>
        </w:tc>
        <w:tc>
          <w:tcPr>
            <w:tcW w:w="1064" w:type="dxa"/>
            <w:tcBorders>
              <w:bottom w:val="single" w:sz="4" w:space="0" w:color="auto"/>
            </w:tcBorders>
            <w:shd w:val="clear" w:color="auto" w:fill="auto"/>
          </w:tcPr>
          <w:p w14:paraId="19D5B5D4" w14:textId="77777777" w:rsidR="001C08A5" w:rsidRDefault="00000000">
            <w:pPr>
              <w:jc w:val="center"/>
              <w:rPr>
                <w:b/>
                <w:bCs/>
                <w:i/>
                <w:iCs/>
                <w:sz w:val="22"/>
                <w:szCs w:val="22"/>
              </w:rPr>
            </w:pPr>
            <w:r>
              <w:rPr>
                <w:b/>
                <w:bCs/>
                <w:i/>
                <w:iCs/>
                <w:sz w:val="22"/>
                <w:szCs w:val="22"/>
              </w:rPr>
              <w:t>35</w:t>
            </w:r>
          </w:p>
        </w:tc>
        <w:tc>
          <w:tcPr>
            <w:tcW w:w="1050" w:type="dxa"/>
            <w:tcBorders>
              <w:bottom w:val="single" w:sz="4" w:space="0" w:color="auto"/>
            </w:tcBorders>
            <w:shd w:val="clear" w:color="auto" w:fill="auto"/>
          </w:tcPr>
          <w:p w14:paraId="36AD33B9" w14:textId="77777777" w:rsidR="001C08A5" w:rsidRDefault="00000000">
            <w:pPr>
              <w:jc w:val="center"/>
              <w:rPr>
                <w:b/>
                <w:bCs/>
                <w:i/>
                <w:iCs/>
                <w:sz w:val="22"/>
                <w:szCs w:val="22"/>
              </w:rPr>
            </w:pPr>
            <w:r>
              <w:rPr>
                <w:b/>
                <w:bCs/>
                <w:i/>
                <w:iCs/>
                <w:sz w:val="22"/>
                <w:szCs w:val="22"/>
              </w:rPr>
              <w:t>35</w:t>
            </w:r>
          </w:p>
        </w:tc>
        <w:tc>
          <w:tcPr>
            <w:tcW w:w="1132" w:type="dxa"/>
            <w:tcBorders>
              <w:bottom w:val="single" w:sz="4" w:space="0" w:color="auto"/>
            </w:tcBorders>
            <w:shd w:val="clear" w:color="auto" w:fill="auto"/>
          </w:tcPr>
          <w:p w14:paraId="2DA61268" w14:textId="77777777" w:rsidR="001C08A5" w:rsidRDefault="00000000">
            <w:pPr>
              <w:jc w:val="center"/>
              <w:rPr>
                <w:b/>
                <w:bCs/>
                <w:i/>
                <w:iCs/>
                <w:sz w:val="22"/>
                <w:szCs w:val="22"/>
              </w:rPr>
            </w:pPr>
            <w:r>
              <w:rPr>
                <w:b/>
                <w:bCs/>
                <w:i/>
                <w:iCs/>
                <w:sz w:val="22"/>
                <w:szCs w:val="22"/>
              </w:rPr>
              <w:t>25</w:t>
            </w:r>
          </w:p>
        </w:tc>
      </w:tr>
      <w:tr w:rsidR="001C08A5" w14:paraId="242CC3AA" w14:textId="77777777">
        <w:trPr>
          <w:trHeight w:val="157"/>
          <w:jc w:val="center"/>
        </w:trPr>
        <w:tc>
          <w:tcPr>
            <w:tcW w:w="5996" w:type="dxa"/>
            <w:tcBorders>
              <w:bottom w:val="single" w:sz="4" w:space="0" w:color="auto"/>
            </w:tcBorders>
            <w:shd w:val="clear" w:color="auto" w:fill="auto"/>
          </w:tcPr>
          <w:p w14:paraId="095FAB74" w14:textId="77777777" w:rsidR="001C08A5" w:rsidRDefault="00000000">
            <w:pPr>
              <w:rPr>
                <w:b/>
                <w:bCs/>
                <w:i/>
                <w:iCs/>
                <w:sz w:val="22"/>
                <w:szCs w:val="22"/>
              </w:rPr>
            </w:pPr>
            <w:r>
              <w:rPr>
                <w:i/>
                <w:iCs/>
                <w:sz w:val="22"/>
                <w:szCs w:val="22"/>
              </w:rPr>
              <w:t>Grajduri (adăposturi) pentru tineret porcin şi pentru porci la îngrăşat</w:t>
            </w:r>
          </w:p>
        </w:tc>
        <w:tc>
          <w:tcPr>
            <w:tcW w:w="1064" w:type="dxa"/>
            <w:tcBorders>
              <w:bottom w:val="single" w:sz="4" w:space="0" w:color="auto"/>
            </w:tcBorders>
            <w:shd w:val="clear" w:color="auto" w:fill="auto"/>
          </w:tcPr>
          <w:p w14:paraId="36412927" w14:textId="77777777" w:rsidR="001C08A5" w:rsidRDefault="00000000">
            <w:pPr>
              <w:jc w:val="center"/>
              <w:rPr>
                <w:b/>
                <w:bCs/>
                <w:i/>
                <w:iCs/>
                <w:sz w:val="22"/>
                <w:szCs w:val="22"/>
              </w:rPr>
            </w:pPr>
            <w:r>
              <w:rPr>
                <w:b/>
                <w:bCs/>
                <w:i/>
                <w:iCs/>
                <w:sz w:val="22"/>
                <w:szCs w:val="22"/>
              </w:rPr>
              <w:t>200</w:t>
            </w:r>
          </w:p>
        </w:tc>
        <w:tc>
          <w:tcPr>
            <w:tcW w:w="1050" w:type="dxa"/>
            <w:tcBorders>
              <w:bottom w:val="single" w:sz="4" w:space="0" w:color="auto"/>
            </w:tcBorders>
            <w:shd w:val="clear" w:color="auto" w:fill="auto"/>
          </w:tcPr>
          <w:p w14:paraId="7CD496DB" w14:textId="77777777" w:rsidR="001C08A5" w:rsidRDefault="00000000">
            <w:pPr>
              <w:jc w:val="center"/>
              <w:rPr>
                <w:b/>
                <w:bCs/>
                <w:i/>
                <w:iCs/>
                <w:sz w:val="22"/>
                <w:szCs w:val="22"/>
              </w:rPr>
            </w:pPr>
            <w:r>
              <w:rPr>
                <w:b/>
                <w:bCs/>
                <w:i/>
                <w:iCs/>
                <w:sz w:val="22"/>
                <w:szCs w:val="22"/>
              </w:rPr>
              <w:t>200</w:t>
            </w:r>
          </w:p>
        </w:tc>
        <w:tc>
          <w:tcPr>
            <w:tcW w:w="1132" w:type="dxa"/>
            <w:tcBorders>
              <w:bottom w:val="single" w:sz="4" w:space="0" w:color="auto"/>
            </w:tcBorders>
            <w:shd w:val="clear" w:color="auto" w:fill="auto"/>
          </w:tcPr>
          <w:p w14:paraId="02AC39A9" w14:textId="77777777" w:rsidR="001C08A5" w:rsidRDefault="00000000">
            <w:pPr>
              <w:jc w:val="center"/>
              <w:rPr>
                <w:b/>
                <w:bCs/>
                <w:i/>
                <w:iCs/>
                <w:sz w:val="22"/>
                <w:szCs w:val="22"/>
              </w:rPr>
            </w:pPr>
            <w:r>
              <w:rPr>
                <w:b/>
                <w:bCs/>
                <w:i/>
                <w:iCs/>
                <w:sz w:val="22"/>
                <w:szCs w:val="22"/>
              </w:rPr>
              <w:t>150</w:t>
            </w:r>
          </w:p>
        </w:tc>
      </w:tr>
      <w:tr w:rsidR="001C08A5" w14:paraId="635F02F9" w14:textId="77777777">
        <w:trPr>
          <w:trHeight w:val="157"/>
          <w:jc w:val="center"/>
        </w:trPr>
        <w:tc>
          <w:tcPr>
            <w:tcW w:w="5996" w:type="dxa"/>
            <w:tcBorders>
              <w:bottom w:val="single" w:sz="4" w:space="0" w:color="auto"/>
            </w:tcBorders>
            <w:shd w:val="clear" w:color="auto" w:fill="auto"/>
          </w:tcPr>
          <w:p w14:paraId="645B1E3C" w14:textId="77777777" w:rsidR="001C08A5" w:rsidRDefault="00000000">
            <w:pPr>
              <w:rPr>
                <w:b/>
                <w:bCs/>
                <w:i/>
                <w:iCs/>
                <w:sz w:val="22"/>
                <w:szCs w:val="22"/>
              </w:rPr>
            </w:pPr>
            <w:r>
              <w:rPr>
                <w:i/>
                <w:iCs/>
                <w:sz w:val="22"/>
                <w:szCs w:val="22"/>
              </w:rPr>
              <w:t>Compartimente închise ale saivanelor</w:t>
            </w:r>
          </w:p>
        </w:tc>
        <w:tc>
          <w:tcPr>
            <w:tcW w:w="1064" w:type="dxa"/>
            <w:tcBorders>
              <w:bottom w:val="single" w:sz="4" w:space="0" w:color="auto"/>
            </w:tcBorders>
            <w:shd w:val="clear" w:color="auto" w:fill="auto"/>
          </w:tcPr>
          <w:p w14:paraId="16A3CD99" w14:textId="77777777" w:rsidR="001C08A5" w:rsidRDefault="00000000">
            <w:pPr>
              <w:jc w:val="center"/>
              <w:rPr>
                <w:b/>
                <w:bCs/>
                <w:i/>
                <w:iCs/>
                <w:sz w:val="22"/>
                <w:szCs w:val="22"/>
              </w:rPr>
            </w:pPr>
            <w:r>
              <w:rPr>
                <w:b/>
                <w:bCs/>
                <w:i/>
                <w:iCs/>
                <w:sz w:val="22"/>
                <w:szCs w:val="22"/>
              </w:rPr>
              <w:t>200</w:t>
            </w:r>
          </w:p>
        </w:tc>
        <w:tc>
          <w:tcPr>
            <w:tcW w:w="1050" w:type="dxa"/>
            <w:tcBorders>
              <w:bottom w:val="single" w:sz="4" w:space="0" w:color="auto"/>
            </w:tcBorders>
            <w:shd w:val="clear" w:color="auto" w:fill="auto"/>
          </w:tcPr>
          <w:p w14:paraId="25132C58" w14:textId="77777777" w:rsidR="001C08A5" w:rsidRDefault="00000000">
            <w:pPr>
              <w:jc w:val="center"/>
              <w:rPr>
                <w:b/>
                <w:bCs/>
                <w:i/>
                <w:iCs/>
                <w:sz w:val="22"/>
                <w:szCs w:val="22"/>
              </w:rPr>
            </w:pPr>
            <w:r>
              <w:rPr>
                <w:b/>
                <w:bCs/>
                <w:i/>
                <w:iCs/>
                <w:sz w:val="22"/>
                <w:szCs w:val="22"/>
              </w:rPr>
              <w:t>200</w:t>
            </w:r>
          </w:p>
        </w:tc>
        <w:tc>
          <w:tcPr>
            <w:tcW w:w="1132" w:type="dxa"/>
            <w:tcBorders>
              <w:bottom w:val="single" w:sz="4" w:space="0" w:color="auto"/>
            </w:tcBorders>
            <w:shd w:val="clear" w:color="auto" w:fill="auto"/>
          </w:tcPr>
          <w:p w14:paraId="6B98E390" w14:textId="77777777" w:rsidR="001C08A5" w:rsidRDefault="00000000">
            <w:pPr>
              <w:jc w:val="center"/>
              <w:rPr>
                <w:b/>
                <w:bCs/>
                <w:i/>
                <w:iCs/>
                <w:sz w:val="22"/>
                <w:szCs w:val="22"/>
              </w:rPr>
            </w:pPr>
            <w:r>
              <w:rPr>
                <w:b/>
                <w:bCs/>
                <w:i/>
                <w:iCs/>
                <w:sz w:val="22"/>
                <w:szCs w:val="22"/>
              </w:rPr>
              <w:t>150</w:t>
            </w:r>
          </w:p>
        </w:tc>
      </w:tr>
      <w:tr w:rsidR="001C08A5" w14:paraId="499D9A3E" w14:textId="77777777">
        <w:trPr>
          <w:trHeight w:val="157"/>
          <w:jc w:val="center"/>
        </w:trPr>
        <w:tc>
          <w:tcPr>
            <w:tcW w:w="5996" w:type="dxa"/>
            <w:tcBorders>
              <w:bottom w:val="single" w:sz="4" w:space="0" w:color="auto"/>
            </w:tcBorders>
            <w:shd w:val="clear" w:color="auto" w:fill="auto"/>
          </w:tcPr>
          <w:p w14:paraId="4F01E771" w14:textId="77777777" w:rsidR="001C08A5" w:rsidRDefault="00000000">
            <w:pPr>
              <w:rPr>
                <w:b/>
                <w:bCs/>
                <w:i/>
                <w:iCs/>
                <w:sz w:val="22"/>
                <w:szCs w:val="22"/>
              </w:rPr>
            </w:pPr>
            <w:r>
              <w:rPr>
                <w:i/>
                <w:iCs/>
                <w:sz w:val="22"/>
                <w:szCs w:val="22"/>
              </w:rPr>
              <w:t>Adăposturi pentru ovine la îngrăşat</w:t>
            </w:r>
          </w:p>
        </w:tc>
        <w:tc>
          <w:tcPr>
            <w:tcW w:w="1064" w:type="dxa"/>
            <w:tcBorders>
              <w:bottom w:val="single" w:sz="4" w:space="0" w:color="auto"/>
            </w:tcBorders>
            <w:shd w:val="clear" w:color="auto" w:fill="auto"/>
          </w:tcPr>
          <w:p w14:paraId="1718C3DA" w14:textId="77777777" w:rsidR="001C08A5" w:rsidRDefault="00000000">
            <w:pPr>
              <w:jc w:val="center"/>
              <w:rPr>
                <w:b/>
                <w:bCs/>
                <w:i/>
                <w:iCs/>
                <w:sz w:val="22"/>
                <w:szCs w:val="22"/>
              </w:rPr>
            </w:pPr>
            <w:r>
              <w:rPr>
                <w:b/>
                <w:bCs/>
                <w:i/>
                <w:iCs/>
                <w:sz w:val="22"/>
                <w:szCs w:val="22"/>
              </w:rPr>
              <w:t>150</w:t>
            </w:r>
          </w:p>
        </w:tc>
        <w:tc>
          <w:tcPr>
            <w:tcW w:w="1050" w:type="dxa"/>
            <w:tcBorders>
              <w:bottom w:val="single" w:sz="4" w:space="0" w:color="auto"/>
            </w:tcBorders>
            <w:shd w:val="clear" w:color="auto" w:fill="auto"/>
          </w:tcPr>
          <w:p w14:paraId="2C1E47F5" w14:textId="77777777" w:rsidR="001C08A5" w:rsidRDefault="00000000">
            <w:pPr>
              <w:jc w:val="center"/>
              <w:rPr>
                <w:b/>
                <w:bCs/>
                <w:i/>
                <w:iCs/>
                <w:sz w:val="22"/>
                <w:szCs w:val="22"/>
              </w:rPr>
            </w:pPr>
            <w:r>
              <w:rPr>
                <w:b/>
                <w:bCs/>
                <w:i/>
                <w:iCs/>
                <w:sz w:val="22"/>
                <w:szCs w:val="22"/>
              </w:rPr>
              <w:t>100</w:t>
            </w:r>
          </w:p>
        </w:tc>
        <w:tc>
          <w:tcPr>
            <w:tcW w:w="1132" w:type="dxa"/>
            <w:tcBorders>
              <w:bottom w:val="single" w:sz="4" w:space="0" w:color="auto"/>
            </w:tcBorders>
            <w:shd w:val="clear" w:color="auto" w:fill="auto"/>
          </w:tcPr>
          <w:p w14:paraId="20BB399A" w14:textId="77777777" w:rsidR="001C08A5" w:rsidRDefault="00000000">
            <w:pPr>
              <w:jc w:val="center"/>
              <w:rPr>
                <w:b/>
                <w:bCs/>
                <w:i/>
                <w:iCs/>
                <w:sz w:val="22"/>
                <w:szCs w:val="22"/>
              </w:rPr>
            </w:pPr>
            <w:r>
              <w:rPr>
                <w:b/>
                <w:bCs/>
                <w:i/>
                <w:iCs/>
                <w:sz w:val="22"/>
                <w:szCs w:val="22"/>
              </w:rPr>
              <w:t>100</w:t>
            </w:r>
          </w:p>
        </w:tc>
      </w:tr>
    </w:tbl>
    <w:p w14:paraId="3E33196F" w14:textId="77777777" w:rsidR="001C08A5" w:rsidRDefault="00000000">
      <w:pPr>
        <w:jc w:val="both"/>
        <w:rPr>
          <w:i/>
          <w:sz w:val="22"/>
          <w:szCs w:val="22"/>
        </w:rPr>
      </w:pPr>
      <w:r>
        <w:rPr>
          <w:i/>
          <w:sz w:val="22"/>
          <w:szCs w:val="22"/>
          <w:u w:val="single"/>
        </w:rPr>
        <w:t>Note</w:t>
      </w:r>
      <w:r>
        <w:rPr>
          <w:i/>
          <w:sz w:val="22"/>
          <w:szCs w:val="22"/>
        </w:rPr>
        <w:t xml:space="preserve">: </w:t>
      </w:r>
    </w:p>
    <w:p w14:paraId="49639A28" w14:textId="77777777" w:rsidR="001C08A5" w:rsidRDefault="00000000">
      <w:pPr>
        <w:pStyle w:val="ListParagraph"/>
        <w:suppressAutoHyphens w:val="0"/>
        <w:ind w:left="0"/>
        <w:contextualSpacing/>
        <w:jc w:val="both"/>
        <w:rPr>
          <w:i/>
          <w:sz w:val="22"/>
          <w:szCs w:val="22"/>
        </w:rPr>
      </w:pPr>
      <w:r>
        <w:rPr>
          <w:b/>
          <w:i/>
          <w:sz w:val="22"/>
          <w:szCs w:val="22"/>
        </w:rPr>
        <w:t>a)</w:t>
      </w:r>
      <w:r>
        <w:rPr>
          <w:i/>
          <w:sz w:val="22"/>
          <w:szCs w:val="22"/>
        </w:rPr>
        <w:t xml:space="preserve"> La grajdurile</w:t>
      </w:r>
      <w:r>
        <w:rPr>
          <w:i/>
          <w:iCs/>
          <w:sz w:val="22"/>
          <w:szCs w:val="22"/>
        </w:rPr>
        <w:t xml:space="preserve"> (adăposturile)</w:t>
      </w:r>
      <w:r>
        <w:rPr>
          <w:i/>
          <w:sz w:val="22"/>
          <w:szCs w:val="22"/>
        </w:rPr>
        <w:t xml:space="preserve"> de scroafe (maternităţi) şi la saivanele închise nu se ia în calcul numărul purceilor şi al mieilor;</w:t>
      </w:r>
    </w:p>
    <w:p w14:paraId="0D1DBA6A" w14:textId="77777777" w:rsidR="001C08A5" w:rsidRDefault="00000000">
      <w:pPr>
        <w:pStyle w:val="ListParagraph"/>
        <w:suppressAutoHyphens w:val="0"/>
        <w:ind w:left="0"/>
        <w:contextualSpacing/>
        <w:jc w:val="both"/>
        <w:rPr>
          <w:i/>
          <w:sz w:val="22"/>
          <w:szCs w:val="22"/>
        </w:rPr>
      </w:pPr>
      <w:r>
        <w:rPr>
          <w:b/>
          <w:i/>
          <w:sz w:val="22"/>
          <w:szCs w:val="22"/>
        </w:rPr>
        <w:t xml:space="preserve">b) </w:t>
      </w:r>
      <w:r>
        <w:rPr>
          <w:i/>
          <w:sz w:val="22"/>
          <w:szCs w:val="22"/>
        </w:rPr>
        <w:t>La grajdurile</w:t>
      </w:r>
      <w:r>
        <w:rPr>
          <w:i/>
          <w:iCs/>
          <w:sz w:val="22"/>
          <w:szCs w:val="22"/>
        </w:rPr>
        <w:t xml:space="preserve"> (adăposturile)</w:t>
      </w:r>
      <w:r>
        <w:rPr>
          <w:i/>
          <w:sz w:val="22"/>
          <w:szCs w:val="22"/>
        </w:rPr>
        <w:t xml:space="preserve"> de porcine și taurine, construcţii de nivelul I-II stabilitate la incendiu, care nu conţin elemente de construcţiicombustibile şi în care nu se utilizează aşternuturi combustibile, numărul uşilor de evacuare se vor stabili de proiectant în funcţie de procesul tehnologic, ţinându-se seama şi de posibilităţile de asigurare a unei evacuări lesnicioase în caz de incendiu;</w:t>
      </w:r>
    </w:p>
    <w:p w14:paraId="48852BBB" w14:textId="77777777" w:rsidR="001C08A5" w:rsidRDefault="00000000">
      <w:pPr>
        <w:pStyle w:val="ListParagraph"/>
        <w:suppressAutoHyphens w:val="0"/>
        <w:ind w:left="0"/>
        <w:contextualSpacing/>
        <w:jc w:val="both"/>
        <w:rPr>
          <w:i/>
          <w:sz w:val="22"/>
          <w:szCs w:val="22"/>
        </w:rPr>
      </w:pPr>
      <w:r>
        <w:rPr>
          <w:b/>
          <w:i/>
          <w:sz w:val="22"/>
          <w:szCs w:val="22"/>
        </w:rPr>
        <w:t xml:space="preserve">c) </w:t>
      </w:r>
      <w:r>
        <w:rPr>
          <w:i/>
          <w:sz w:val="22"/>
          <w:szCs w:val="22"/>
        </w:rPr>
        <w:t>Numărul și lăţimea ieşirilor pentru evacuarea păsărilor (inclusiv ale animalelor de talie mică ca de exemplu nutrii) nu se normează, ele se stabilesc în raport de cerinţele tehnologice specifice;</w:t>
      </w:r>
    </w:p>
    <w:p w14:paraId="37EB79C1" w14:textId="77777777" w:rsidR="001C08A5" w:rsidRDefault="00000000">
      <w:pPr>
        <w:pStyle w:val="ListParagraph"/>
        <w:suppressAutoHyphens w:val="0"/>
        <w:ind w:left="0"/>
        <w:contextualSpacing/>
        <w:jc w:val="both"/>
        <w:rPr>
          <w:i/>
          <w:sz w:val="22"/>
          <w:szCs w:val="22"/>
        </w:rPr>
      </w:pPr>
      <w:r>
        <w:rPr>
          <w:b/>
          <w:bCs/>
          <w:i/>
          <w:sz w:val="22"/>
          <w:szCs w:val="22"/>
        </w:rPr>
        <w:t>d)</w:t>
      </w:r>
      <w:r>
        <w:rPr>
          <w:i/>
          <w:sz w:val="22"/>
          <w:szCs w:val="22"/>
        </w:rPr>
        <w:t xml:space="preserve"> pentru alte specii, numărul maxim de animale admis pe o uşă de evacuare se stabilește prin asimilare cu cele menționate în tabel.</w:t>
      </w:r>
    </w:p>
    <w:p w14:paraId="5FAAAC44" w14:textId="77777777" w:rsidR="001C08A5" w:rsidRDefault="001C08A5">
      <w:pPr>
        <w:pStyle w:val="ListParagraph"/>
        <w:suppressAutoHyphens w:val="0"/>
        <w:ind w:left="0"/>
        <w:contextualSpacing/>
        <w:jc w:val="both"/>
      </w:pPr>
    </w:p>
    <w:p w14:paraId="319F8DA9" w14:textId="77777777" w:rsidR="001C08A5" w:rsidRDefault="00000000">
      <w:pPr>
        <w:ind w:firstLine="720"/>
        <w:jc w:val="both"/>
        <w:rPr>
          <w:sz w:val="24"/>
          <w:szCs w:val="24"/>
        </w:rPr>
      </w:pPr>
      <w:r>
        <w:rPr>
          <w:b/>
          <w:sz w:val="24"/>
          <w:szCs w:val="24"/>
        </w:rPr>
        <w:t>(3)</w:t>
      </w:r>
      <w:r>
        <w:rPr>
          <w:sz w:val="24"/>
          <w:szCs w:val="24"/>
        </w:rPr>
        <w:t xml:space="preserve"> La stabilirea numărului de ieşiri de evacuare se vor considera ieşiri acelea care conduc direct la exterior.</w:t>
      </w:r>
    </w:p>
    <w:p w14:paraId="510A67E2" w14:textId="77777777" w:rsidR="001C08A5" w:rsidRDefault="00000000">
      <w:pPr>
        <w:ind w:firstLine="720"/>
        <w:jc w:val="both"/>
        <w:rPr>
          <w:sz w:val="24"/>
          <w:szCs w:val="24"/>
        </w:rPr>
      </w:pPr>
      <w:r>
        <w:rPr>
          <w:b/>
          <w:sz w:val="24"/>
          <w:szCs w:val="24"/>
        </w:rPr>
        <w:t>(4)</w:t>
      </w:r>
      <w:r>
        <w:rPr>
          <w:sz w:val="24"/>
          <w:szCs w:val="24"/>
        </w:rPr>
        <w:t xml:space="preserve"> Ieşirile se vor repartiza cât mai uniform pe conturul exterior al clădirii, ţinându-se seama de numărul și aşezarea animalelor în adăpost. Proiectantul trebuie să cuprindă în mod obligatoriu planul cu traseele de evacuare, pe grupe de animale. Lungimea maximă a drumului de evacuare în cazul animalelor legate, până la ieşirea din clădire, nu trebuie să depăşească </w:t>
      </w:r>
      <w:r>
        <w:rPr>
          <w:b/>
          <w:sz w:val="24"/>
          <w:szCs w:val="24"/>
        </w:rPr>
        <w:t>30</w:t>
      </w:r>
      <w:r>
        <w:rPr>
          <w:sz w:val="24"/>
          <w:szCs w:val="24"/>
        </w:rPr>
        <w:t xml:space="preserve"> m. În cazul stabulaţiei libere (animale dezlegate) această distanţă se poate mări până la </w:t>
      </w:r>
      <w:r>
        <w:rPr>
          <w:b/>
          <w:sz w:val="24"/>
          <w:szCs w:val="24"/>
        </w:rPr>
        <w:t>50</w:t>
      </w:r>
      <w:r>
        <w:rPr>
          <w:sz w:val="24"/>
          <w:szCs w:val="24"/>
        </w:rPr>
        <w:t xml:space="preserve"> m. Se exceptează construcţiile de nivel</w:t>
      </w:r>
      <w:r>
        <w:rPr>
          <w:b/>
          <w:bCs/>
          <w:sz w:val="24"/>
          <w:szCs w:val="24"/>
        </w:rPr>
        <w:t xml:space="preserve"> I-II</w:t>
      </w:r>
      <w:r>
        <w:rPr>
          <w:sz w:val="24"/>
          <w:szCs w:val="24"/>
        </w:rPr>
        <w:t xml:space="preserve"> stabilitate la incendiu (în condiţiile stabilite la punctul </w:t>
      </w:r>
      <w:r>
        <w:rPr>
          <w:b/>
          <w:sz w:val="24"/>
          <w:szCs w:val="24"/>
        </w:rPr>
        <w:t>b)</w:t>
      </w:r>
      <w:r>
        <w:rPr>
          <w:sz w:val="24"/>
          <w:szCs w:val="24"/>
        </w:rPr>
        <w:t xml:space="preserve"> din </w:t>
      </w:r>
      <w:r>
        <w:rPr>
          <w:i/>
          <w:sz w:val="24"/>
          <w:szCs w:val="24"/>
        </w:rPr>
        <w:t xml:space="preserve">Notele de la </w:t>
      </w:r>
      <w:r>
        <w:rPr>
          <w:b/>
          <w:bCs/>
          <w:i/>
          <w:iCs/>
          <w:sz w:val="24"/>
          <w:szCs w:val="24"/>
        </w:rPr>
        <w:fldChar w:fldCharType="begin"/>
      </w:r>
      <w:r>
        <w:rPr>
          <w:b/>
          <w:bCs/>
          <w:i/>
          <w:iCs/>
          <w:sz w:val="24"/>
          <w:szCs w:val="24"/>
        </w:rPr>
        <w:instrText xml:space="preserve"> REF _Ref12907 \h </w:instrText>
      </w:r>
      <w:r>
        <w:rPr>
          <w:b/>
          <w:bCs/>
          <w:i/>
          <w:iCs/>
          <w:sz w:val="24"/>
          <w:szCs w:val="24"/>
        </w:rPr>
      </w:r>
      <w:r>
        <w:rPr>
          <w:b/>
          <w:bCs/>
          <w:i/>
          <w:iCs/>
          <w:sz w:val="24"/>
          <w:szCs w:val="24"/>
        </w:rPr>
        <w:fldChar w:fldCharType="separate"/>
      </w:r>
      <w:r>
        <w:t>Tabelul 117</w:t>
      </w:r>
      <w:r>
        <w:rPr>
          <w:b/>
          <w:bCs/>
          <w:i/>
          <w:iCs/>
          <w:sz w:val="24"/>
          <w:szCs w:val="24"/>
        </w:rPr>
        <w:fldChar w:fldCharType="end"/>
      </w:r>
      <w:r>
        <w:rPr>
          <w:sz w:val="24"/>
          <w:szCs w:val="24"/>
        </w:rPr>
        <w:t xml:space="preserve">), la care se admite că lungimea traseului de evacuare să fie cel mult </w:t>
      </w:r>
      <w:r>
        <w:rPr>
          <w:b/>
          <w:sz w:val="24"/>
          <w:szCs w:val="24"/>
        </w:rPr>
        <w:t>45</w:t>
      </w:r>
      <w:r>
        <w:rPr>
          <w:sz w:val="24"/>
          <w:szCs w:val="24"/>
        </w:rPr>
        <w:t xml:space="preserve"> m şi respectiv </w:t>
      </w:r>
      <w:r>
        <w:rPr>
          <w:b/>
          <w:sz w:val="24"/>
          <w:szCs w:val="24"/>
        </w:rPr>
        <w:t>60</w:t>
      </w:r>
      <w:r>
        <w:rPr>
          <w:sz w:val="24"/>
          <w:szCs w:val="24"/>
        </w:rPr>
        <w:t xml:space="preserve"> m până la ieşirea din clădire. </w:t>
      </w:r>
    </w:p>
    <w:p w14:paraId="17401AA0" w14:textId="77777777" w:rsidR="001C08A5" w:rsidRDefault="00000000">
      <w:pPr>
        <w:ind w:firstLine="720"/>
        <w:jc w:val="both"/>
        <w:rPr>
          <w:b/>
          <w:sz w:val="24"/>
          <w:szCs w:val="24"/>
        </w:rPr>
      </w:pPr>
      <w:r>
        <w:rPr>
          <w:b/>
          <w:sz w:val="24"/>
          <w:szCs w:val="24"/>
        </w:rPr>
        <w:t xml:space="preserve">(5) </w:t>
      </w:r>
      <w:r>
        <w:rPr>
          <w:sz w:val="24"/>
          <w:szCs w:val="24"/>
        </w:rPr>
        <w:t xml:space="preserve">Deschiderea uşilor și porţilor de evacuare, precum şi auşilor de la boxele care dau în alei, trebuie să se facă în sensul evacuării. Nu se admite construirea de praguri în faţa uşilor sau porţilor de evacuare a animalelor. Se admite rampa cu înclinare de maxim </w:t>
      </w:r>
      <w:r>
        <w:rPr>
          <w:b/>
          <w:bCs/>
          <w:sz w:val="24"/>
          <w:szCs w:val="24"/>
        </w:rPr>
        <w:t>1/10</w:t>
      </w:r>
      <w:r>
        <w:rPr>
          <w:sz w:val="24"/>
          <w:szCs w:val="24"/>
        </w:rPr>
        <w:t>.</w:t>
      </w:r>
    </w:p>
    <w:p w14:paraId="114A3795" w14:textId="77777777" w:rsidR="001C08A5" w:rsidRDefault="00000000">
      <w:pPr>
        <w:ind w:firstLine="720"/>
        <w:jc w:val="both"/>
        <w:rPr>
          <w:sz w:val="24"/>
          <w:szCs w:val="24"/>
        </w:rPr>
      </w:pPr>
      <w:r>
        <w:rPr>
          <w:b/>
          <w:sz w:val="24"/>
          <w:szCs w:val="24"/>
        </w:rPr>
        <w:t xml:space="preserve">(6) </w:t>
      </w:r>
      <w:r>
        <w:rPr>
          <w:sz w:val="24"/>
          <w:szCs w:val="24"/>
        </w:rPr>
        <w:t>Lăţimea trecerilor de evacuare din interiorul grajdurilor/ adăposturilor se va stabili în funcţie de speciile și numărul de animale ce se evacuează pe fiecare traseu prevăzut în planul de evacuare, astfel încât dimensiunile acestora să corespundă lăţimii uşilor ce le deservesc.</w:t>
      </w:r>
    </w:p>
    <w:p w14:paraId="6742FF3B" w14:textId="77777777" w:rsidR="001C08A5" w:rsidRDefault="00000000">
      <w:pPr>
        <w:ind w:firstLine="720"/>
        <w:jc w:val="both"/>
        <w:rPr>
          <w:sz w:val="24"/>
          <w:szCs w:val="24"/>
        </w:rPr>
      </w:pPr>
      <w:r>
        <w:rPr>
          <w:b/>
          <w:sz w:val="24"/>
          <w:szCs w:val="24"/>
        </w:rPr>
        <w:t>(7)</w:t>
      </w:r>
      <w:r>
        <w:rPr>
          <w:sz w:val="24"/>
          <w:szCs w:val="24"/>
        </w:rPr>
        <w:t xml:space="preserve"> Lăţimea minimă a uşilor de evacuare trebuie stabilită în funcţie de speciile de animale şi a numărului de animale ce se evacuează fără să fie mai mică de:</w:t>
      </w:r>
    </w:p>
    <w:p w14:paraId="10466BCE" w14:textId="77777777" w:rsidR="001C08A5" w:rsidRDefault="00000000">
      <w:pPr>
        <w:ind w:firstLine="1710"/>
        <w:jc w:val="both"/>
        <w:rPr>
          <w:sz w:val="24"/>
          <w:szCs w:val="24"/>
        </w:rPr>
      </w:pPr>
      <w:r>
        <w:rPr>
          <w:sz w:val="24"/>
          <w:szCs w:val="24"/>
        </w:rPr>
        <w:t xml:space="preserve">- </w:t>
      </w:r>
      <w:r>
        <w:rPr>
          <w:b/>
          <w:sz w:val="24"/>
          <w:szCs w:val="24"/>
        </w:rPr>
        <w:t>2</w:t>
      </w:r>
      <w:r>
        <w:rPr>
          <w:sz w:val="24"/>
          <w:szCs w:val="24"/>
        </w:rPr>
        <w:t xml:space="preserve"> m pentru ușile grajdurilor de taurine și cabaline;</w:t>
      </w:r>
    </w:p>
    <w:p w14:paraId="78A26A7D" w14:textId="77777777" w:rsidR="001C08A5" w:rsidRDefault="00000000">
      <w:pPr>
        <w:ind w:firstLine="1710"/>
        <w:jc w:val="both"/>
        <w:rPr>
          <w:sz w:val="24"/>
          <w:szCs w:val="24"/>
        </w:rPr>
      </w:pPr>
      <w:r>
        <w:rPr>
          <w:sz w:val="24"/>
          <w:szCs w:val="24"/>
        </w:rPr>
        <w:lastRenderedPageBreak/>
        <w:t xml:space="preserve">- </w:t>
      </w:r>
      <w:r>
        <w:rPr>
          <w:b/>
          <w:sz w:val="24"/>
          <w:szCs w:val="24"/>
        </w:rPr>
        <w:t>1,50</w:t>
      </w:r>
      <w:r>
        <w:rPr>
          <w:sz w:val="24"/>
          <w:szCs w:val="24"/>
        </w:rPr>
        <w:t xml:space="preserve"> m pentru ușile grajdurilor de viţei până la 6 luni;</w:t>
      </w:r>
    </w:p>
    <w:p w14:paraId="09DC4782" w14:textId="77777777" w:rsidR="001C08A5" w:rsidRDefault="00000000">
      <w:pPr>
        <w:ind w:firstLine="1710"/>
        <w:jc w:val="both"/>
        <w:rPr>
          <w:sz w:val="24"/>
          <w:szCs w:val="24"/>
        </w:rPr>
      </w:pPr>
      <w:r>
        <w:rPr>
          <w:sz w:val="24"/>
          <w:szCs w:val="24"/>
        </w:rPr>
        <w:t xml:space="preserve">- </w:t>
      </w:r>
      <w:r>
        <w:rPr>
          <w:b/>
          <w:sz w:val="24"/>
          <w:szCs w:val="24"/>
        </w:rPr>
        <w:t>0,90</w:t>
      </w:r>
      <w:r>
        <w:rPr>
          <w:sz w:val="24"/>
          <w:szCs w:val="24"/>
        </w:rPr>
        <w:t xml:space="preserve"> m pentru ușile grajdurilor (adăposturilor) de porci;</w:t>
      </w:r>
    </w:p>
    <w:p w14:paraId="62AFF0B6" w14:textId="77777777" w:rsidR="001C08A5" w:rsidRDefault="00000000">
      <w:pPr>
        <w:ind w:firstLine="1710"/>
        <w:jc w:val="both"/>
        <w:rPr>
          <w:sz w:val="24"/>
          <w:szCs w:val="24"/>
        </w:rPr>
      </w:pPr>
      <w:r>
        <w:rPr>
          <w:sz w:val="24"/>
          <w:szCs w:val="24"/>
        </w:rPr>
        <w:t xml:space="preserve">- </w:t>
      </w:r>
      <w:r>
        <w:rPr>
          <w:b/>
          <w:sz w:val="24"/>
          <w:szCs w:val="24"/>
        </w:rPr>
        <w:t>1,25</w:t>
      </w:r>
      <w:r>
        <w:rPr>
          <w:sz w:val="24"/>
          <w:szCs w:val="24"/>
        </w:rPr>
        <w:t xml:space="preserve"> m pentru compartimentele închise ale saivanelor;</w:t>
      </w:r>
    </w:p>
    <w:p w14:paraId="12B24F96" w14:textId="77777777" w:rsidR="001C08A5" w:rsidRDefault="00000000">
      <w:pPr>
        <w:ind w:firstLine="1710"/>
        <w:jc w:val="both"/>
        <w:rPr>
          <w:sz w:val="24"/>
          <w:szCs w:val="24"/>
        </w:rPr>
      </w:pPr>
      <w:r>
        <w:rPr>
          <w:sz w:val="24"/>
          <w:szCs w:val="24"/>
        </w:rPr>
        <w:t xml:space="preserve">- </w:t>
      </w:r>
      <w:r>
        <w:rPr>
          <w:b/>
          <w:sz w:val="24"/>
          <w:szCs w:val="24"/>
        </w:rPr>
        <w:t>2,50</w:t>
      </w:r>
      <w:r>
        <w:rPr>
          <w:sz w:val="24"/>
          <w:szCs w:val="24"/>
        </w:rPr>
        <w:t xml:space="preserve"> m pentru porţile ţarcurilor de oi.</w:t>
      </w:r>
    </w:p>
    <w:p w14:paraId="5DA3DC52" w14:textId="77777777" w:rsidR="001C08A5" w:rsidRDefault="00000000">
      <w:pPr>
        <w:jc w:val="both"/>
        <w:rPr>
          <w:sz w:val="24"/>
          <w:szCs w:val="24"/>
        </w:rPr>
      </w:pPr>
      <w:r>
        <w:rPr>
          <w:sz w:val="24"/>
          <w:szCs w:val="24"/>
        </w:rPr>
        <w:t>Se exceptează construcţiile de nivel</w:t>
      </w:r>
      <w:r>
        <w:rPr>
          <w:b/>
          <w:bCs/>
          <w:sz w:val="24"/>
          <w:szCs w:val="24"/>
        </w:rPr>
        <w:t xml:space="preserve"> I-II</w:t>
      </w:r>
      <w:r>
        <w:rPr>
          <w:sz w:val="24"/>
          <w:szCs w:val="24"/>
        </w:rPr>
        <w:t xml:space="preserve"> stabilitate la incendiu (în condiţiile stabilite la punctul </w:t>
      </w:r>
      <w:r>
        <w:rPr>
          <w:b/>
          <w:sz w:val="24"/>
          <w:szCs w:val="24"/>
        </w:rPr>
        <w:t>b)</w:t>
      </w:r>
      <w:r>
        <w:rPr>
          <w:sz w:val="24"/>
          <w:szCs w:val="24"/>
        </w:rPr>
        <w:t xml:space="preserve"> din </w:t>
      </w:r>
      <w:r>
        <w:rPr>
          <w:i/>
          <w:sz w:val="24"/>
          <w:szCs w:val="24"/>
        </w:rPr>
        <w:t xml:space="preserve">Notele de la </w:t>
      </w:r>
      <w:r>
        <w:rPr>
          <w:b/>
          <w:bCs/>
          <w:i/>
          <w:iCs/>
          <w:sz w:val="24"/>
          <w:szCs w:val="24"/>
        </w:rPr>
        <w:fldChar w:fldCharType="begin"/>
      </w:r>
      <w:r>
        <w:rPr>
          <w:b/>
          <w:bCs/>
          <w:i/>
          <w:iCs/>
          <w:sz w:val="24"/>
          <w:szCs w:val="24"/>
        </w:rPr>
        <w:instrText xml:space="preserve"> REF _Ref12907 \h </w:instrText>
      </w:r>
      <w:r>
        <w:rPr>
          <w:b/>
          <w:bCs/>
          <w:i/>
          <w:iCs/>
          <w:sz w:val="24"/>
          <w:szCs w:val="24"/>
        </w:rPr>
      </w:r>
      <w:r>
        <w:rPr>
          <w:b/>
          <w:bCs/>
          <w:i/>
          <w:iCs/>
          <w:sz w:val="24"/>
          <w:szCs w:val="24"/>
        </w:rPr>
        <w:fldChar w:fldCharType="separate"/>
      </w:r>
      <w:r>
        <w:t>Tabelul 117</w:t>
      </w:r>
      <w:r>
        <w:rPr>
          <w:b/>
          <w:bCs/>
          <w:i/>
          <w:iCs/>
          <w:sz w:val="24"/>
          <w:szCs w:val="24"/>
        </w:rPr>
        <w:fldChar w:fldCharType="end"/>
      </w:r>
      <w:r>
        <w:rPr>
          <w:sz w:val="24"/>
          <w:szCs w:val="24"/>
        </w:rPr>
        <w:t xml:space="preserve"> ale căror uşi de evacuare (lăţimi) se dimensionează tehnologic.</w:t>
      </w:r>
    </w:p>
    <w:p w14:paraId="724823C8" w14:textId="77777777" w:rsidR="001C08A5" w:rsidRDefault="00000000">
      <w:pPr>
        <w:ind w:firstLine="720"/>
        <w:jc w:val="both"/>
        <w:rPr>
          <w:sz w:val="24"/>
          <w:szCs w:val="24"/>
        </w:rPr>
      </w:pPr>
      <w:r>
        <w:rPr>
          <w:b/>
          <w:sz w:val="24"/>
          <w:szCs w:val="24"/>
        </w:rPr>
        <w:t xml:space="preserve">(8) </w:t>
      </w:r>
      <w:r>
        <w:rPr>
          <w:sz w:val="24"/>
          <w:szCs w:val="24"/>
        </w:rPr>
        <w:t xml:space="preserve">Pentru a se asigura evacuarea rapidă a animalelor mari, se va adopta un sistem de dezlegare simultană pe grupe. Se exceptează construcţiile de nivel </w:t>
      </w:r>
      <w:r>
        <w:rPr>
          <w:b/>
          <w:bCs/>
          <w:sz w:val="24"/>
          <w:szCs w:val="24"/>
        </w:rPr>
        <w:t>I-II</w:t>
      </w:r>
      <w:r>
        <w:rPr>
          <w:sz w:val="24"/>
          <w:szCs w:val="24"/>
        </w:rPr>
        <w:t xml:space="preserve"> stabilitate la incendiu în condiţiile stabilite la punctul </w:t>
      </w:r>
      <w:r>
        <w:rPr>
          <w:b/>
          <w:sz w:val="24"/>
          <w:szCs w:val="24"/>
        </w:rPr>
        <w:t>b)</w:t>
      </w:r>
      <w:r>
        <w:rPr>
          <w:sz w:val="24"/>
          <w:szCs w:val="24"/>
        </w:rPr>
        <w:t xml:space="preserve"> din </w:t>
      </w:r>
      <w:r>
        <w:rPr>
          <w:b/>
          <w:bCs/>
          <w:i/>
          <w:sz w:val="24"/>
          <w:szCs w:val="24"/>
        </w:rPr>
        <w:t>Notele</w:t>
      </w:r>
      <w:r>
        <w:rPr>
          <w:sz w:val="24"/>
          <w:szCs w:val="24"/>
        </w:rPr>
        <w:t xml:space="preserve"> de la </w:t>
      </w:r>
      <w:r>
        <w:rPr>
          <w:b/>
          <w:bCs/>
          <w:i/>
          <w:iCs/>
          <w:sz w:val="24"/>
          <w:szCs w:val="24"/>
        </w:rPr>
        <w:fldChar w:fldCharType="begin"/>
      </w:r>
      <w:r>
        <w:rPr>
          <w:b/>
          <w:bCs/>
          <w:i/>
          <w:iCs/>
          <w:sz w:val="24"/>
          <w:szCs w:val="24"/>
        </w:rPr>
        <w:instrText xml:space="preserve"> REF _Ref12907 \h </w:instrText>
      </w:r>
      <w:r>
        <w:rPr>
          <w:b/>
          <w:bCs/>
          <w:i/>
          <w:iCs/>
          <w:sz w:val="24"/>
          <w:szCs w:val="24"/>
        </w:rPr>
      </w:r>
      <w:r>
        <w:rPr>
          <w:b/>
          <w:bCs/>
          <w:i/>
          <w:iCs/>
          <w:sz w:val="24"/>
          <w:szCs w:val="24"/>
        </w:rPr>
        <w:fldChar w:fldCharType="separate"/>
      </w:r>
      <w:r>
        <w:t>Tabelul 117</w:t>
      </w:r>
      <w:r>
        <w:rPr>
          <w:b/>
          <w:bCs/>
          <w:i/>
          <w:iCs/>
          <w:sz w:val="24"/>
          <w:szCs w:val="24"/>
        </w:rPr>
        <w:fldChar w:fldCharType="end"/>
      </w:r>
      <w:r>
        <w:rPr>
          <w:sz w:val="24"/>
          <w:szCs w:val="24"/>
        </w:rPr>
        <w:t>.</w:t>
      </w:r>
    </w:p>
    <w:p w14:paraId="5491A25F" w14:textId="77777777" w:rsidR="001C08A5" w:rsidRDefault="00000000">
      <w:pPr>
        <w:ind w:firstLine="720"/>
        <w:jc w:val="both"/>
        <w:rPr>
          <w:sz w:val="24"/>
          <w:szCs w:val="24"/>
        </w:rPr>
      </w:pPr>
      <w:r>
        <w:rPr>
          <w:b/>
          <w:sz w:val="24"/>
          <w:szCs w:val="24"/>
        </w:rPr>
        <w:t xml:space="preserve">(9) </w:t>
      </w:r>
      <w:r>
        <w:rPr>
          <w:bCs/>
          <w:sz w:val="24"/>
          <w:szCs w:val="24"/>
        </w:rPr>
        <w:t xml:space="preserve">Ușile </w:t>
      </w:r>
      <w:r>
        <w:rPr>
          <w:sz w:val="24"/>
          <w:szCs w:val="24"/>
        </w:rPr>
        <w:t xml:space="preserve">de evacuare vor fi de regulă de tip normal pe balamale sau pivoţi admiţându-se uşi </w:t>
      </w:r>
      <w:r>
        <w:rPr>
          <w:bCs/>
          <w:sz w:val="24"/>
          <w:szCs w:val="24"/>
        </w:rPr>
        <w:t>culisant</w:t>
      </w:r>
      <w:r>
        <w:rPr>
          <w:sz w:val="24"/>
          <w:szCs w:val="24"/>
        </w:rPr>
        <w:t xml:space="preserve">e sau basculante pe ax orizontal, cu deschideri spre exterior numai în cazul când lăţimea liberă a acestora depăşeşte </w:t>
      </w:r>
      <w:r>
        <w:rPr>
          <w:b/>
          <w:sz w:val="24"/>
          <w:szCs w:val="24"/>
        </w:rPr>
        <w:t>2</w:t>
      </w:r>
      <w:r>
        <w:rPr>
          <w:sz w:val="24"/>
          <w:szCs w:val="24"/>
        </w:rPr>
        <w:t xml:space="preserve"> m, fiind asigurate cu sisteme care să permită uşoara manevrare din interior și exterior.</w:t>
      </w:r>
    </w:p>
    <w:p w14:paraId="720EF3F2" w14:textId="77777777" w:rsidR="001C08A5" w:rsidRDefault="00000000">
      <w:pPr>
        <w:ind w:firstLine="720"/>
        <w:jc w:val="both"/>
        <w:rPr>
          <w:sz w:val="24"/>
          <w:szCs w:val="24"/>
        </w:rPr>
      </w:pPr>
      <w:r>
        <w:rPr>
          <w:b/>
          <w:bCs/>
          <w:sz w:val="24"/>
          <w:szCs w:val="24"/>
        </w:rPr>
        <w:t xml:space="preserve">(10) </w:t>
      </w:r>
      <w:r>
        <w:rPr>
          <w:sz w:val="24"/>
          <w:szCs w:val="24"/>
        </w:rPr>
        <w:t>Depozitele de boabe (cereale) în vrac care nu sunt destinate furajării animalelor în vrac se tratează conform prevederilor specifice funcțiunilor de depozitare.</w:t>
      </w:r>
    </w:p>
    <w:p w14:paraId="42B17829" w14:textId="77777777" w:rsidR="001C08A5" w:rsidRDefault="00000000">
      <w:pPr>
        <w:pStyle w:val="Heading4"/>
      </w:pPr>
      <w:bookmarkStart w:id="5270" w:name="_Toc162355354"/>
      <w:bookmarkStart w:id="5271" w:name="_Toc14886"/>
      <w:bookmarkStart w:id="5272" w:name="_Toc21265"/>
      <w:bookmarkStart w:id="5273" w:name="_Toc30584"/>
      <w:bookmarkStart w:id="5274" w:name="_Toc26730"/>
      <w:bookmarkStart w:id="5275" w:name="_Toc31248"/>
      <w:bookmarkStart w:id="5276" w:name="_Toc1312"/>
      <w:bookmarkStart w:id="5277" w:name="_Toc3556"/>
      <w:r>
        <w:t>6.1.6. CONDIŢII DE ACCES, INTERVENŢIE ȘI SALVARE ÎN CAZ DE INCENDIU</w:t>
      </w:r>
      <w:bookmarkEnd w:id="5270"/>
      <w:bookmarkEnd w:id="5271"/>
      <w:bookmarkEnd w:id="5272"/>
      <w:bookmarkEnd w:id="5273"/>
      <w:bookmarkEnd w:id="5274"/>
      <w:bookmarkEnd w:id="5275"/>
      <w:bookmarkEnd w:id="5276"/>
      <w:bookmarkEnd w:id="5277"/>
    </w:p>
    <w:p w14:paraId="2D5B9071" w14:textId="77777777" w:rsidR="001C08A5" w:rsidRDefault="001C08A5">
      <w:pPr>
        <w:jc w:val="both"/>
        <w:rPr>
          <w:sz w:val="24"/>
          <w:szCs w:val="24"/>
        </w:rPr>
      </w:pPr>
    </w:p>
    <w:p w14:paraId="2CC106D5" w14:textId="77777777" w:rsidR="001C08A5" w:rsidRDefault="00000000">
      <w:pPr>
        <w:jc w:val="both"/>
        <w:rPr>
          <w:sz w:val="24"/>
          <w:szCs w:val="24"/>
        </w:rPr>
      </w:pPr>
      <w:r>
        <w:rPr>
          <w:b/>
          <w:sz w:val="24"/>
          <w:szCs w:val="24"/>
        </w:rPr>
        <w:tab/>
        <w:t xml:space="preserve">Art. 6.1.6.1. </w:t>
      </w:r>
      <w:r>
        <w:rPr>
          <w:sz w:val="24"/>
          <w:szCs w:val="24"/>
        </w:rPr>
        <w:t>Construcţiile de producţie şi/sau depozitare vor avea asigurate căi de acces, intervenţie și salvare în caz de incendiu, astfel dispuse şi realizate încât forţele de intervenţie să poată acţiona în timp cât mai scurt şi în condiţii de siguranţă.</w:t>
      </w:r>
    </w:p>
    <w:p w14:paraId="042FF3AC" w14:textId="77777777" w:rsidR="001C08A5" w:rsidRDefault="001C08A5">
      <w:pPr>
        <w:jc w:val="both"/>
        <w:rPr>
          <w:sz w:val="24"/>
          <w:szCs w:val="24"/>
        </w:rPr>
      </w:pPr>
    </w:p>
    <w:p w14:paraId="3EA3BC3D" w14:textId="77777777" w:rsidR="001C08A5" w:rsidRDefault="00000000">
      <w:pPr>
        <w:jc w:val="both"/>
        <w:rPr>
          <w:sz w:val="24"/>
          <w:szCs w:val="24"/>
        </w:rPr>
      </w:pPr>
      <w:r>
        <w:rPr>
          <w:b/>
          <w:sz w:val="24"/>
          <w:szCs w:val="24"/>
        </w:rPr>
        <w:tab/>
        <w:t xml:space="preserve">Art. 6.1.6.2. </w:t>
      </w:r>
      <w:r>
        <w:rPr>
          <w:sz w:val="24"/>
          <w:szCs w:val="24"/>
        </w:rPr>
        <w:t>Construcţiile de producţie şi/sau de depozitare trebuie să permită accesul autospecialelor de intervenţie la cel puţin două laturi, cu excepţia celor cu aria desfăşurată (Ad) mai mică de 2000 m</w:t>
      </w:r>
      <w:r>
        <w:rPr>
          <w:sz w:val="24"/>
          <w:szCs w:val="24"/>
          <w:vertAlign w:val="superscript"/>
        </w:rPr>
        <w:t>2</w:t>
      </w:r>
      <w:r>
        <w:rPr>
          <w:sz w:val="24"/>
          <w:szCs w:val="24"/>
        </w:rPr>
        <w:t xml:space="preserve"> la care poate fi asigurat pe o latură. </w:t>
      </w:r>
    </w:p>
    <w:p w14:paraId="2A795730" w14:textId="77777777" w:rsidR="001C08A5" w:rsidRDefault="001C08A5">
      <w:pPr>
        <w:jc w:val="both"/>
        <w:rPr>
          <w:sz w:val="24"/>
          <w:szCs w:val="24"/>
        </w:rPr>
      </w:pPr>
    </w:p>
    <w:p w14:paraId="0C129CEA" w14:textId="77777777" w:rsidR="001C08A5" w:rsidRDefault="00000000">
      <w:pPr>
        <w:jc w:val="both"/>
        <w:rPr>
          <w:sz w:val="24"/>
          <w:szCs w:val="24"/>
        </w:rPr>
      </w:pPr>
      <w:r>
        <w:rPr>
          <w:b/>
          <w:sz w:val="24"/>
          <w:szCs w:val="24"/>
        </w:rPr>
        <w:tab/>
        <w:t xml:space="preserve">Art. 6.1.6.3. (1) </w:t>
      </w:r>
      <w:r>
        <w:rPr>
          <w:sz w:val="24"/>
          <w:szCs w:val="24"/>
        </w:rPr>
        <w:t>Căile exterioare de circulaţie pentru autospecialele de intervenţie în caz de incendiu trebuie să permită intervenţia în special la zonele mai periculoase ale construcţiei, la golurile (protejate sau neprotejate) din pereţii exteriori şi la sursele de alimentare cu apă.</w:t>
      </w:r>
    </w:p>
    <w:p w14:paraId="411A73A1" w14:textId="77777777" w:rsidR="001C08A5" w:rsidRDefault="00000000">
      <w:pPr>
        <w:jc w:val="both"/>
        <w:rPr>
          <w:sz w:val="24"/>
          <w:szCs w:val="24"/>
        </w:rPr>
      </w:pPr>
      <w:r>
        <w:rPr>
          <w:sz w:val="24"/>
          <w:szCs w:val="24"/>
        </w:rPr>
        <w:tab/>
      </w:r>
      <w:r>
        <w:rPr>
          <w:b/>
          <w:sz w:val="24"/>
          <w:szCs w:val="24"/>
        </w:rPr>
        <w:t xml:space="preserve">(2) </w:t>
      </w:r>
      <w:r>
        <w:rPr>
          <w:sz w:val="24"/>
          <w:szCs w:val="24"/>
        </w:rPr>
        <w:t>Căile de circulaţie interioare şi pentru intervenţie în caz de incendiu, vor fi alcătuite, echipate și marcate corespunzător, astfel încât să fie uşor de recunoscut de către personalul care intervine în caz de incendiu.</w:t>
      </w:r>
    </w:p>
    <w:p w14:paraId="2ED2D14A" w14:textId="77777777" w:rsidR="001C08A5" w:rsidRDefault="00000000">
      <w:pPr>
        <w:pStyle w:val="Heading4"/>
      </w:pPr>
      <w:bookmarkStart w:id="5278" w:name="_Toc162355355"/>
      <w:bookmarkStart w:id="5279" w:name="_Toc17872"/>
      <w:bookmarkStart w:id="5280" w:name="_Toc29432"/>
      <w:bookmarkStart w:id="5281" w:name="_Toc11697"/>
      <w:bookmarkStart w:id="5282" w:name="_Toc20078"/>
      <w:bookmarkStart w:id="5283" w:name="_Toc19895"/>
      <w:bookmarkStart w:id="5284" w:name="_Toc20296"/>
      <w:bookmarkStart w:id="5285" w:name="_Toc31122"/>
      <w:r>
        <w:t>6.1.7. ECHIPAREA CONSTRUCŢIILOR CU INSTALAŢII ŞI MIJLOACE DE STINGERE A INCENDIILOR</w:t>
      </w:r>
      <w:bookmarkEnd w:id="5278"/>
      <w:bookmarkEnd w:id="5279"/>
      <w:bookmarkEnd w:id="5280"/>
      <w:bookmarkEnd w:id="5281"/>
      <w:bookmarkEnd w:id="5282"/>
      <w:bookmarkEnd w:id="5283"/>
      <w:r>
        <w:t xml:space="preserve"> </w:t>
      </w:r>
      <w:bookmarkEnd w:id="5284"/>
      <w:bookmarkEnd w:id="5285"/>
    </w:p>
    <w:p w14:paraId="68B3C9A4" w14:textId="77777777" w:rsidR="001C08A5" w:rsidRDefault="001C08A5">
      <w:pPr>
        <w:jc w:val="both"/>
        <w:rPr>
          <w:sz w:val="24"/>
          <w:szCs w:val="24"/>
        </w:rPr>
      </w:pPr>
    </w:p>
    <w:p w14:paraId="544B768A" w14:textId="77777777" w:rsidR="001C08A5" w:rsidRDefault="00000000">
      <w:pPr>
        <w:jc w:val="both"/>
        <w:rPr>
          <w:sz w:val="24"/>
          <w:szCs w:val="24"/>
        </w:rPr>
      </w:pPr>
      <w:r>
        <w:rPr>
          <w:b/>
          <w:sz w:val="24"/>
          <w:szCs w:val="24"/>
        </w:rPr>
        <w:tab/>
        <w:t>Art. 6.1.7.1.</w:t>
      </w:r>
      <w:r>
        <w:rPr>
          <w:b/>
          <w:sz w:val="24"/>
          <w:szCs w:val="24"/>
        </w:rPr>
        <w:tab/>
        <w:t xml:space="preserve">(1) </w:t>
      </w:r>
      <w:r>
        <w:rPr>
          <w:sz w:val="24"/>
          <w:szCs w:val="24"/>
        </w:rPr>
        <w:t>Clădirile, compartimentele și spațiile cu funcțiunea de producţie şi/sau depozitare cu aria desfășurată mai mare de</w:t>
      </w:r>
      <w:r>
        <w:rPr>
          <w:b/>
          <w:bCs/>
          <w:sz w:val="24"/>
          <w:szCs w:val="24"/>
        </w:rPr>
        <w:t xml:space="preserve"> 600</w:t>
      </w:r>
      <w:r>
        <w:rPr>
          <w:sz w:val="24"/>
          <w:szCs w:val="24"/>
        </w:rPr>
        <w:t xml:space="preserve"> </w:t>
      </w:r>
      <w:r>
        <w:rPr>
          <w:b/>
          <w:sz w:val="24"/>
          <w:szCs w:val="24"/>
        </w:rPr>
        <w:t>m²</w:t>
      </w:r>
      <w:r>
        <w:rPr>
          <w:sz w:val="24"/>
          <w:szCs w:val="24"/>
        </w:rPr>
        <w:t xml:space="preserve"> și densitatea de sarcină termică mai mare de </w:t>
      </w:r>
      <w:r>
        <w:rPr>
          <w:b/>
          <w:bCs/>
          <w:sz w:val="24"/>
          <w:szCs w:val="24"/>
        </w:rPr>
        <w:t>105 MJ/</w:t>
      </w:r>
      <w:r>
        <w:rPr>
          <w:b/>
          <w:sz w:val="24"/>
          <w:szCs w:val="24"/>
        </w:rPr>
        <w:t>m²</w:t>
      </w:r>
      <w:r>
        <w:rPr>
          <w:sz w:val="24"/>
          <w:szCs w:val="24"/>
        </w:rPr>
        <w:t xml:space="preserve"> se echipează cu instalaţii de stingere cu hidranți interiori, cu excepția depozitelor de cereale în vrac. </w:t>
      </w:r>
    </w:p>
    <w:p w14:paraId="6E0F5D6D" w14:textId="77777777" w:rsidR="001C08A5" w:rsidRDefault="00000000">
      <w:pPr>
        <w:ind w:firstLine="720"/>
        <w:jc w:val="both"/>
        <w:rPr>
          <w:sz w:val="24"/>
          <w:szCs w:val="24"/>
        </w:rPr>
      </w:pPr>
      <w:r>
        <w:rPr>
          <w:b/>
          <w:bCs/>
          <w:sz w:val="24"/>
          <w:szCs w:val="24"/>
        </w:rPr>
        <w:t>(2)</w:t>
      </w:r>
      <w:r>
        <w:rPr>
          <w:sz w:val="24"/>
          <w:szCs w:val="24"/>
        </w:rPr>
        <w:t xml:space="preserve"> Echiparea construcțiilor cu funcțiunea de producție și/sau depozitare cu densitatea de sarcină termică mai mare de </w:t>
      </w:r>
      <w:r>
        <w:rPr>
          <w:b/>
          <w:bCs/>
          <w:sz w:val="24"/>
          <w:szCs w:val="24"/>
        </w:rPr>
        <w:t>105 MJ/</w:t>
      </w:r>
      <w:r>
        <w:rPr>
          <w:b/>
          <w:sz w:val="24"/>
          <w:szCs w:val="24"/>
        </w:rPr>
        <w:t>m²</w:t>
      </w:r>
      <w:r>
        <w:rPr>
          <w:sz w:val="24"/>
          <w:szCs w:val="24"/>
        </w:rPr>
        <w:t xml:space="preserve"> şi volumul mai mare de </w:t>
      </w:r>
      <w:r>
        <w:rPr>
          <w:b/>
          <w:bCs/>
          <w:sz w:val="24"/>
          <w:szCs w:val="24"/>
        </w:rPr>
        <w:t xml:space="preserve">3.000 </w:t>
      </w:r>
      <w:r>
        <w:rPr>
          <w:b/>
          <w:sz w:val="24"/>
          <w:szCs w:val="24"/>
        </w:rPr>
        <w:t>m</w:t>
      </w:r>
      <w:r>
        <w:rPr>
          <w:b/>
          <w:sz w:val="24"/>
          <w:szCs w:val="24"/>
          <w:vertAlign w:val="superscript"/>
        </w:rPr>
        <w:t>3</w:t>
      </w:r>
      <w:r>
        <w:rPr>
          <w:sz w:val="24"/>
          <w:szCs w:val="24"/>
        </w:rPr>
        <w:t xml:space="preserve"> se echipează cu instalație de stingere cu hidranți exteriori. </w:t>
      </w:r>
    </w:p>
    <w:p w14:paraId="5E8021DF" w14:textId="77777777" w:rsidR="001C08A5" w:rsidRDefault="00000000">
      <w:pPr>
        <w:ind w:firstLine="720"/>
        <w:jc w:val="both"/>
        <w:rPr>
          <w:sz w:val="24"/>
          <w:szCs w:val="24"/>
        </w:rPr>
      </w:pPr>
      <w:r>
        <w:rPr>
          <w:b/>
          <w:bCs/>
          <w:sz w:val="24"/>
          <w:szCs w:val="24"/>
        </w:rPr>
        <w:t>(3)</w:t>
      </w:r>
      <w:r>
        <w:rPr>
          <w:sz w:val="24"/>
          <w:szCs w:val="24"/>
        </w:rPr>
        <w:t xml:space="preserve"> Dimensionarea instalațiilor de stingere cu hidranți interiori și hidranți exteriori se face potrivit prevederilor reglementărilor tehnice specifice.</w:t>
      </w:r>
    </w:p>
    <w:p w14:paraId="74A04AD7" w14:textId="77777777" w:rsidR="001C08A5" w:rsidRDefault="00000000">
      <w:pPr>
        <w:ind w:firstLine="720"/>
        <w:jc w:val="both"/>
        <w:rPr>
          <w:sz w:val="24"/>
          <w:szCs w:val="24"/>
        </w:rPr>
      </w:pPr>
      <w:r>
        <w:rPr>
          <w:b/>
          <w:bCs/>
          <w:sz w:val="24"/>
          <w:szCs w:val="24"/>
        </w:rPr>
        <w:t>(4)</w:t>
      </w:r>
      <w:r>
        <w:rPr>
          <w:sz w:val="24"/>
          <w:szCs w:val="24"/>
        </w:rPr>
        <w:t xml:space="preserve"> Clădirile, compartimentele și spațiile cu funcțiunea de producţie şi/sau depozitare cu aria desfășurată mai mare de </w:t>
      </w:r>
      <w:r>
        <w:rPr>
          <w:b/>
          <w:bCs/>
          <w:sz w:val="24"/>
          <w:szCs w:val="24"/>
        </w:rPr>
        <w:t>600</w:t>
      </w:r>
      <w:r>
        <w:rPr>
          <w:sz w:val="24"/>
          <w:szCs w:val="24"/>
        </w:rPr>
        <w:t xml:space="preserve"> </w:t>
      </w:r>
      <w:r>
        <w:rPr>
          <w:b/>
          <w:sz w:val="24"/>
          <w:szCs w:val="24"/>
        </w:rPr>
        <w:t>m²</w:t>
      </w:r>
      <w:r>
        <w:rPr>
          <w:sz w:val="24"/>
          <w:szCs w:val="24"/>
        </w:rPr>
        <w:t xml:space="preserve"> și densitatea de sarcină termică mai mare de </w:t>
      </w:r>
      <w:r>
        <w:rPr>
          <w:b/>
          <w:bCs/>
          <w:sz w:val="24"/>
          <w:szCs w:val="24"/>
        </w:rPr>
        <w:t>105 MJ/</w:t>
      </w:r>
      <w:r>
        <w:rPr>
          <w:b/>
          <w:sz w:val="24"/>
          <w:szCs w:val="24"/>
        </w:rPr>
        <w:t>m²</w:t>
      </w:r>
      <w:r>
        <w:rPr>
          <w:sz w:val="24"/>
          <w:szCs w:val="24"/>
        </w:rPr>
        <w:t xml:space="preserve"> se echipează cu instalaţii de detectare, semnalizare şi alarmare a incendiului, conform prevederilor reglementărilor tehnice de specialitate, cu excepția depozitelor de cereale în vrac.</w:t>
      </w:r>
    </w:p>
    <w:p w14:paraId="44640A59" w14:textId="77777777" w:rsidR="001C08A5" w:rsidRDefault="00000000">
      <w:pPr>
        <w:jc w:val="both"/>
        <w:rPr>
          <w:sz w:val="24"/>
          <w:szCs w:val="24"/>
        </w:rPr>
      </w:pPr>
      <w:r>
        <w:rPr>
          <w:sz w:val="24"/>
          <w:szCs w:val="24"/>
        </w:rPr>
        <w:tab/>
      </w:r>
      <w:r>
        <w:rPr>
          <w:b/>
          <w:sz w:val="24"/>
          <w:szCs w:val="24"/>
        </w:rPr>
        <w:t xml:space="preserve">(5) </w:t>
      </w:r>
      <w:r>
        <w:rPr>
          <w:sz w:val="24"/>
          <w:szCs w:val="24"/>
        </w:rPr>
        <w:t xml:space="preserve">Construcţiile de producţie şi/sau depozitare se dotează cu stingătoare portative, prevăzându-se, un stingător portativ cu performanţa de stingere </w:t>
      </w:r>
      <w:r>
        <w:rPr>
          <w:b/>
          <w:sz w:val="24"/>
          <w:szCs w:val="24"/>
        </w:rPr>
        <w:t>21A și 113B</w:t>
      </w:r>
      <w:r>
        <w:rPr>
          <w:sz w:val="24"/>
          <w:szCs w:val="24"/>
        </w:rPr>
        <w:t xml:space="preserve"> la maximum </w:t>
      </w:r>
      <w:r>
        <w:rPr>
          <w:b/>
          <w:sz w:val="24"/>
          <w:szCs w:val="24"/>
        </w:rPr>
        <w:t>150 m²</w:t>
      </w:r>
      <w:r>
        <w:rPr>
          <w:sz w:val="24"/>
          <w:szCs w:val="24"/>
        </w:rPr>
        <w:t xml:space="preserve"> </w:t>
      </w:r>
      <w:r>
        <w:rPr>
          <w:sz w:val="24"/>
          <w:szCs w:val="24"/>
        </w:rPr>
        <w:lastRenderedPageBreak/>
        <w:t xml:space="preserve">arie desfăşurată la spaţiile cu risc foarte mare (şi/sau pericol de explozie volumetrică) sau cu risc mare şi respectiv la maximum </w:t>
      </w:r>
      <w:r>
        <w:rPr>
          <w:b/>
          <w:sz w:val="24"/>
          <w:szCs w:val="24"/>
        </w:rPr>
        <w:t>200 m²</w:t>
      </w:r>
      <w:r>
        <w:rPr>
          <w:sz w:val="24"/>
          <w:szCs w:val="24"/>
        </w:rPr>
        <w:t xml:space="preserve"> la spaţiile cu risc mijlociu sau mic, dar minimum două stingătoare pe fiecare nivel al clădirii.</w:t>
      </w:r>
    </w:p>
    <w:p w14:paraId="4CEDD611" w14:textId="77777777" w:rsidR="001C08A5" w:rsidRDefault="00000000">
      <w:pPr>
        <w:pStyle w:val="BodyText"/>
        <w:rPr>
          <w:b w:val="0"/>
          <w:bCs w:val="0"/>
          <w:i w:val="0"/>
          <w:iCs/>
        </w:rPr>
      </w:pPr>
      <w:r>
        <w:rPr>
          <w:i w:val="0"/>
          <w:iCs/>
        </w:rPr>
        <w:tab/>
        <w:t xml:space="preserve">(6) </w:t>
      </w:r>
      <w:r>
        <w:rPr>
          <w:b w:val="0"/>
          <w:bCs w:val="0"/>
          <w:i w:val="0"/>
          <w:iCs/>
        </w:rPr>
        <w:t xml:space="preserve">În încăperile și spaţiile cu aria desfăşurată mai mare de </w:t>
      </w:r>
      <w:r>
        <w:rPr>
          <w:i w:val="0"/>
          <w:iCs/>
        </w:rPr>
        <w:t>500 m²</w:t>
      </w:r>
      <w:r>
        <w:rPr>
          <w:b w:val="0"/>
          <w:bCs w:val="0"/>
          <w:i w:val="0"/>
          <w:iCs/>
        </w:rPr>
        <w:t xml:space="preserve"> și în care se pot afla lichide combustibile, se prevăd și stingătoare transportabile cu performanţă de stingere pentru focar tip </w:t>
      </w:r>
      <w:r>
        <w:rPr>
          <w:bCs w:val="0"/>
          <w:i w:val="0"/>
          <w:iCs/>
        </w:rPr>
        <w:t>A</w:t>
      </w:r>
      <w:r>
        <w:rPr>
          <w:b w:val="0"/>
          <w:bCs w:val="0"/>
          <w:i w:val="0"/>
          <w:iCs/>
        </w:rPr>
        <w:t xml:space="preserve"> şi </w:t>
      </w:r>
      <w:r>
        <w:rPr>
          <w:bCs w:val="0"/>
          <w:i w:val="0"/>
          <w:iCs/>
        </w:rPr>
        <w:t>B</w:t>
      </w:r>
      <w:r>
        <w:rPr>
          <w:b w:val="0"/>
          <w:bCs w:val="0"/>
          <w:i w:val="0"/>
          <w:iCs/>
        </w:rPr>
        <w:t xml:space="preserve">, recomandându-se un stingător de minimum </w:t>
      </w:r>
      <w:r>
        <w:rPr>
          <w:i w:val="0"/>
          <w:iCs/>
        </w:rPr>
        <w:t xml:space="preserve">50 </w:t>
      </w:r>
      <w:r>
        <w:rPr>
          <w:b w:val="0"/>
          <w:i w:val="0"/>
          <w:iCs/>
        </w:rPr>
        <w:t>kg</w:t>
      </w:r>
      <w:r>
        <w:rPr>
          <w:b w:val="0"/>
          <w:bCs w:val="0"/>
          <w:i w:val="0"/>
          <w:iCs/>
        </w:rPr>
        <w:t xml:space="preserve"> la fiecare </w:t>
      </w:r>
      <w:r>
        <w:rPr>
          <w:i w:val="0"/>
          <w:iCs/>
        </w:rPr>
        <w:t xml:space="preserve">500 </w:t>
      </w:r>
      <w:r>
        <w:rPr>
          <w:bCs w:val="0"/>
          <w:i w:val="0"/>
          <w:iCs/>
        </w:rPr>
        <w:t>m</w:t>
      </w:r>
      <w:r>
        <w:rPr>
          <w:bCs w:val="0"/>
          <w:i w:val="0"/>
          <w:iCs/>
          <w:vertAlign w:val="superscript"/>
        </w:rPr>
        <w:t>2</w:t>
      </w:r>
      <w:r>
        <w:rPr>
          <w:b w:val="0"/>
          <w:bCs w:val="0"/>
          <w:i w:val="0"/>
          <w:iCs/>
        </w:rPr>
        <w:t>.</w:t>
      </w:r>
    </w:p>
    <w:p w14:paraId="5B3A2CEE" w14:textId="77777777" w:rsidR="001C08A5" w:rsidRDefault="00000000">
      <w:pPr>
        <w:pStyle w:val="BodyText"/>
      </w:pPr>
      <w:r>
        <w:rPr>
          <w:b w:val="0"/>
          <w:bCs w:val="0"/>
        </w:rPr>
        <w:tab/>
      </w:r>
      <w:r>
        <w:rPr>
          <w:i w:val="0"/>
          <w:lang w:val="en-US" w:eastAsia="ro-RO"/>
        </w:rPr>
        <w:t xml:space="preserve">(7) </w:t>
      </w:r>
      <w:r>
        <w:rPr>
          <w:b w:val="0"/>
          <w:bCs w:val="0"/>
          <w:i w:val="0"/>
          <w:lang w:val="en-US" w:eastAsia="ro-RO"/>
        </w:rPr>
        <w:t xml:space="preserve">Echiparea cu </w:t>
      </w:r>
      <w:r>
        <w:rPr>
          <w:b w:val="0"/>
          <w:bCs w:val="0"/>
          <w:i w:val="0"/>
        </w:rPr>
        <w:t xml:space="preserve">instalaţii automate de stingere </w:t>
      </w:r>
      <w:proofErr w:type="gramStart"/>
      <w:r>
        <w:rPr>
          <w:b w:val="0"/>
          <w:bCs w:val="0"/>
          <w:i w:val="0"/>
        </w:rPr>
        <w:t>a</w:t>
      </w:r>
      <w:proofErr w:type="gramEnd"/>
      <w:r>
        <w:rPr>
          <w:b w:val="0"/>
          <w:bCs w:val="0"/>
          <w:i w:val="0"/>
        </w:rPr>
        <w:t xml:space="preserve"> incendiului cu sprinklere se prevede conform Normativului</w:t>
      </w:r>
      <w:r>
        <w:rPr>
          <w:i w:val="0"/>
        </w:rPr>
        <w:t xml:space="preserve"> P118:2 </w:t>
      </w:r>
      <w:r>
        <w:rPr>
          <w:b w:val="0"/>
          <w:bCs w:val="0"/>
          <w:i w:val="0"/>
        </w:rPr>
        <w:t>și/ sau</w:t>
      </w:r>
      <w:r>
        <w:rPr>
          <w:i w:val="0"/>
        </w:rPr>
        <w:t xml:space="preserve"> SR EN 12845</w:t>
      </w:r>
      <w:r>
        <w:rPr>
          <w:b w:val="0"/>
          <w:bCs w:val="0"/>
        </w:rPr>
        <w:tab/>
        <w:t>.</w:t>
      </w:r>
    </w:p>
    <w:p w14:paraId="61DA8FBC" w14:textId="77777777" w:rsidR="001C08A5" w:rsidRDefault="00000000">
      <w:pPr>
        <w:pStyle w:val="Heading3"/>
      </w:pPr>
      <w:bookmarkStart w:id="5286" w:name="_Toc17153"/>
      <w:bookmarkStart w:id="5287" w:name="_Toc25018"/>
      <w:bookmarkStart w:id="5288" w:name="_Toc30245"/>
      <w:bookmarkStart w:id="5289" w:name="_Toc162355356"/>
      <w:bookmarkStart w:id="5290" w:name="_Toc6946"/>
      <w:bookmarkStart w:id="5291" w:name="_Toc11727"/>
      <w:bookmarkStart w:id="5292" w:name="_Toc29128"/>
      <w:bookmarkStart w:id="5293" w:name="_Toc17856"/>
      <w:bookmarkStart w:id="5294" w:name="_Toc24527"/>
      <w:bookmarkStart w:id="5295" w:name="_Toc29410"/>
      <w:r>
        <w:t>SECŢIUNEA II</w:t>
      </w:r>
      <w:bookmarkEnd w:id="5286"/>
      <w:bookmarkEnd w:id="5287"/>
      <w:bookmarkEnd w:id="5288"/>
      <w:bookmarkEnd w:id="5289"/>
      <w:bookmarkEnd w:id="5290"/>
      <w:bookmarkEnd w:id="5291"/>
      <w:bookmarkEnd w:id="5292"/>
      <w:bookmarkEnd w:id="5293"/>
      <w:bookmarkEnd w:id="5294"/>
      <w:bookmarkEnd w:id="5295"/>
    </w:p>
    <w:p w14:paraId="18C90102" w14:textId="77777777" w:rsidR="001C08A5" w:rsidRDefault="00000000">
      <w:pPr>
        <w:pStyle w:val="Heading3"/>
        <w:rPr>
          <w:rFonts w:cs="Times New Roman"/>
          <w:sz w:val="24"/>
          <w:szCs w:val="24"/>
        </w:rPr>
      </w:pPr>
      <w:bookmarkStart w:id="5296" w:name="_Toc28795"/>
      <w:bookmarkStart w:id="5297" w:name="_Toc18715"/>
      <w:bookmarkStart w:id="5298" w:name="_Toc26999"/>
      <w:bookmarkStart w:id="5299" w:name="_Toc1856"/>
      <w:bookmarkStart w:id="5300" w:name="_Toc162355357"/>
      <w:bookmarkStart w:id="5301" w:name="_Toc5136"/>
      <w:bookmarkStart w:id="5302" w:name="_Toc14087"/>
      <w:bookmarkStart w:id="5303" w:name="_Toc31999"/>
      <w:bookmarkStart w:id="5304" w:name="_Toc5062"/>
      <w:bookmarkStart w:id="5305" w:name="_Toc27635"/>
      <w:r>
        <w:t>6.2. Performanţe specifice construcţiilor de producţie şi depozitare</w:t>
      </w:r>
      <w:bookmarkEnd w:id="5296"/>
      <w:bookmarkEnd w:id="5297"/>
      <w:bookmarkEnd w:id="5298"/>
      <w:bookmarkEnd w:id="5299"/>
      <w:bookmarkEnd w:id="5300"/>
      <w:bookmarkEnd w:id="5301"/>
      <w:bookmarkEnd w:id="5302"/>
      <w:bookmarkEnd w:id="5303"/>
      <w:bookmarkEnd w:id="5304"/>
      <w:bookmarkEnd w:id="5305"/>
    </w:p>
    <w:p w14:paraId="723857CE" w14:textId="77777777" w:rsidR="001C08A5" w:rsidRDefault="00000000">
      <w:pPr>
        <w:pStyle w:val="Heading4"/>
      </w:pPr>
      <w:bookmarkStart w:id="5306" w:name="_Toc21816"/>
      <w:bookmarkStart w:id="5307" w:name="_Toc25369"/>
      <w:bookmarkStart w:id="5308" w:name="_Toc21382"/>
      <w:bookmarkStart w:id="5309" w:name="_Toc18259"/>
      <w:bookmarkStart w:id="5310" w:name="_Toc746"/>
      <w:bookmarkStart w:id="5311" w:name="_Toc162355358"/>
      <w:bookmarkStart w:id="5312" w:name="_Toc12921"/>
      <w:bookmarkStart w:id="5313" w:name="_Toc10449"/>
      <w:r>
        <w:t>6.2.1. Construcţii de producţie şi depozitare de tip obişnuit</w:t>
      </w:r>
      <w:bookmarkEnd w:id="5306"/>
      <w:bookmarkEnd w:id="5307"/>
      <w:bookmarkEnd w:id="5308"/>
      <w:bookmarkEnd w:id="5309"/>
      <w:bookmarkEnd w:id="5310"/>
      <w:bookmarkEnd w:id="5311"/>
      <w:bookmarkEnd w:id="5312"/>
      <w:bookmarkEnd w:id="5313"/>
    </w:p>
    <w:p w14:paraId="768D6EDF" w14:textId="77777777" w:rsidR="001C08A5" w:rsidRDefault="001C08A5">
      <w:pPr>
        <w:jc w:val="both"/>
        <w:rPr>
          <w:sz w:val="24"/>
          <w:szCs w:val="24"/>
        </w:rPr>
      </w:pPr>
    </w:p>
    <w:p w14:paraId="2AE356BA" w14:textId="77777777" w:rsidR="001C08A5" w:rsidRDefault="00000000">
      <w:pPr>
        <w:jc w:val="both"/>
        <w:rPr>
          <w:sz w:val="24"/>
          <w:szCs w:val="24"/>
        </w:rPr>
      </w:pPr>
      <w:r>
        <w:rPr>
          <w:b/>
          <w:sz w:val="24"/>
          <w:szCs w:val="24"/>
        </w:rPr>
        <w:tab/>
        <w:t xml:space="preserve">Art. </w:t>
      </w:r>
      <w:r>
        <w:rPr>
          <w:b/>
          <w:bCs/>
          <w:sz w:val="24"/>
          <w:szCs w:val="24"/>
        </w:rPr>
        <w:t>6.2.1.</w:t>
      </w:r>
      <w:r>
        <w:rPr>
          <w:b/>
          <w:sz w:val="24"/>
          <w:szCs w:val="24"/>
        </w:rPr>
        <w:t xml:space="preserve">1. (1) </w:t>
      </w:r>
      <w:r>
        <w:rPr>
          <w:sz w:val="24"/>
          <w:szCs w:val="24"/>
        </w:rPr>
        <w:t xml:space="preserve">Construcţiile de producţie și depozitare de tip obişnuit, sunt cele care nu sunt construcţii supraterane închise de producţie şi/sau de depozitare, cu aria construită (Ac)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sau construcţii (încăperi) de producţie şi/sau depozitare supraterane închise cu aria construită (Ac) mai mare de </w:t>
      </w:r>
      <w:r>
        <w:rPr>
          <w:b/>
          <w:bCs/>
          <w:sz w:val="24"/>
          <w:szCs w:val="24"/>
        </w:rPr>
        <w:t>1.000 m</w:t>
      </w:r>
      <w:r>
        <w:rPr>
          <w:b/>
          <w:bCs/>
          <w:sz w:val="24"/>
          <w:szCs w:val="24"/>
          <w:vertAlign w:val="superscript"/>
        </w:rPr>
        <w:t>2</w:t>
      </w:r>
      <w:r>
        <w:rPr>
          <w:sz w:val="24"/>
          <w:szCs w:val="24"/>
        </w:rPr>
        <w:t xml:space="preserve"> și în care activitatea se desfăşoară numai la lumină artificială (cu acoperiş și pereţi de închidere perimetrală plini, în care se prevăd numai goluri psihologice şi uşi de acces) </w:t>
      </w:r>
    </w:p>
    <w:p w14:paraId="6E82DED5"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Construcţiile, compartimentele de incendiu, spaţiile și încăperile de producţie sau depozitare vor avea precizate riscurile de incendiu. </w:t>
      </w:r>
      <w:r>
        <w:rPr>
          <w:sz w:val="24"/>
          <w:szCs w:val="24"/>
        </w:rPr>
        <w:tab/>
      </w:r>
      <w:r>
        <w:rPr>
          <w:sz w:val="24"/>
          <w:szCs w:val="24"/>
        </w:rPr>
        <w:tab/>
      </w:r>
    </w:p>
    <w:p w14:paraId="2DAB733D" w14:textId="77777777" w:rsidR="001C08A5" w:rsidRDefault="00000000">
      <w:pPr>
        <w:jc w:val="both"/>
        <w:rPr>
          <w:sz w:val="24"/>
          <w:szCs w:val="24"/>
        </w:rPr>
      </w:pPr>
      <w:r>
        <w:rPr>
          <w:sz w:val="24"/>
          <w:szCs w:val="24"/>
        </w:rPr>
        <w:tab/>
      </w:r>
      <w:r>
        <w:rPr>
          <w:b/>
          <w:sz w:val="24"/>
          <w:szCs w:val="24"/>
        </w:rPr>
        <w:t>(3)</w:t>
      </w:r>
      <w:r>
        <w:rPr>
          <w:sz w:val="24"/>
          <w:szCs w:val="24"/>
        </w:rPr>
        <w:t xml:space="preserve"> Construcţiile și compartimentele de incendiu vor avea precizate nivelurile de stabilitate la incendiu asigurate.</w:t>
      </w:r>
    </w:p>
    <w:p w14:paraId="2570A754" w14:textId="77777777" w:rsidR="001C08A5" w:rsidRDefault="001C08A5">
      <w:pPr>
        <w:jc w:val="both"/>
        <w:rPr>
          <w:sz w:val="24"/>
          <w:szCs w:val="24"/>
        </w:rPr>
      </w:pPr>
    </w:p>
    <w:p w14:paraId="6DD015E2" w14:textId="77777777" w:rsidR="001C08A5" w:rsidRDefault="00000000">
      <w:pPr>
        <w:jc w:val="both"/>
        <w:rPr>
          <w:sz w:val="24"/>
          <w:szCs w:val="24"/>
        </w:rPr>
      </w:pPr>
      <w:r>
        <w:rPr>
          <w:b/>
          <w:sz w:val="24"/>
          <w:szCs w:val="24"/>
        </w:rPr>
        <w:tab/>
        <w:t xml:space="preserve">Art. </w:t>
      </w:r>
      <w:r>
        <w:rPr>
          <w:b/>
          <w:bCs/>
          <w:sz w:val="24"/>
          <w:szCs w:val="24"/>
        </w:rPr>
        <w:t>6.2.1.</w:t>
      </w:r>
      <w:r>
        <w:rPr>
          <w:b/>
          <w:sz w:val="24"/>
          <w:szCs w:val="24"/>
        </w:rPr>
        <w:t xml:space="preserve">2. </w:t>
      </w:r>
      <w:r>
        <w:rPr>
          <w:sz w:val="24"/>
          <w:szCs w:val="24"/>
        </w:rPr>
        <w:t xml:space="preserve">Construcţiile de producţie şi depozitare de tip obişnuit pot avea orice nivel de stabilitate la incendiu, dacă sunt conformate astfel încât să fie respectate condiţiile de corelare normate între nivelul de stabilitate la incendiu asigurat (conform condiţii minime pe care trebuie să le îndeplinească construcţia pentru încadrarea în nivelul de stabilitate la incendiu precizate în </w:t>
      </w:r>
      <w:r>
        <w:rPr>
          <w:b/>
          <w:sz w:val="24"/>
          <w:szCs w:val="24"/>
        </w:rPr>
        <w:t>Art.</w:t>
      </w:r>
      <w:r>
        <w:rPr>
          <w:b/>
          <w:bCs/>
          <w:sz w:val="24"/>
          <w:szCs w:val="24"/>
        </w:rPr>
        <w:t xml:space="preserve"> 2.1.3.</w:t>
      </w:r>
      <w:r>
        <w:rPr>
          <w:b/>
          <w:sz w:val="24"/>
          <w:szCs w:val="24"/>
        </w:rPr>
        <w:t xml:space="preserve">2. </w:t>
      </w:r>
      <w:r>
        <w:rPr>
          <w:sz w:val="24"/>
          <w:szCs w:val="24"/>
        </w:rPr>
        <w:t xml:space="preserve">şi în </w:t>
      </w:r>
      <w:r>
        <w:rPr>
          <w:b/>
          <w:bCs/>
          <w:i/>
          <w:iCs/>
          <w:sz w:val="24"/>
          <w:szCs w:val="24"/>
        </w:rPr>
        <w:fldChar w:fldCharType="begin"/>
      </w:r>
      <w:r>
        <w:rPr>
          <w:b/>
          <w:bCs/>
          <w:i/>
          <w:iCs/>
          <w:sz w:val="24"/>
          <w:szCs w:val="24"/>
        </w:rPr>
        <w:instrText xml:space="preserve"> REF _Ref11612 \h </w:instrText>
      </w:r>
      <w:r>
        <w:rPr>
          <w:b/>
          <w:bCs/>
          <w:i/>
          <w:iCs/>
          <w:sz w:val="24"/>
          <w:szCs w:val="24"/>
        </w:rPr>
      </w:r>
      <w:r>
        <w:rPr>
          <w:b/>
          <w:bCs/>
          <w:i/>
          <w:iCs/>
          <w:sz w:val="24"/>
          <w:szCs w:val="24"/>
        </w:rPr>
        <w:fldChar w:fldCharType="separate"/>
      </w:r>
      <w:r>
        <w:t>Tabelul 3</w:t>
      </w:r>
      <w:r>
        <w:rPr>
          <w:b/>
          <w:bCs/>
          <w:i/>
          <w:iCs/>
          <w:sz w:val="24"/>
          <w:szCs w:val="24"/>
        </w:rPr>
        <w:fldChar w:fldCharType="end"/>
      </w:r>
      <w:r>
        <w:rPr>
          <w:bCs/>
          <w:sz w:val="24"/>
          <w:szCs w:val="24"/>
        </w:rPr>
        <w:t>)</w:t>
      </w:r>
      <w:r>
        <w:rPr>
          <w:sz w:val="24"/>
          <w:szCs w:val="24"/>
        </w:rPr>
        <w:t xml:space="preserve">, riscul de incendiu, numărul de niveluri și aria compartimentului de incendiu, conform prevederilor de la </w:t>
      </w:r>
      <w:r>
        <w:rPr>
          <w:b/>
          <w:sz w:val="24"/>
          <w:szCs w:val="24"/>
        </w:rPr>
        <w:t xml:space="preserve">Art. 6.1.2.2. </w:t>
      </w:r>
      <w:r>
        <w:rPr>
          <w:sz w:val="24"/>
          <w:szCs w:val="24"/>
        </w:rPr>
        <w:t xml:space="preserve">şi </w:t>
      </w:r>
      <w:r>
        <w:rPr>
          <w:b/>
          <w:bCs/>
          <w:i/>
          <w:iCs/>
          <w:sz w:val="24"/>
          <w:szCs w:val="24"/>
        </w:rPr>
        <w:fldChar w:fldCharType="begin"/>
      </w:r>
      <w:r>
        <w:rPr>
          <w:b/>
          <w:bCs/>
          <w:i/>
          <w:iCs/>
          <w:sz w:val="24"/>
          <w:szCs w:val="24"/>
        </w:rPr>
        <w:instrText xml:space="preserve"> REF _Ref2491 \h </w:instrText>
      </w:r>
      <w:r>
        <w:rPr>
          <w:b/>
          <w:bCs/>
          <w:i/>
          <w:iCs/>
          <w:sz w:val="24"/>
          <w:szCs w:val="24"/>
        </w:rPr>
      </w:r>
      <w:r>
        <w:rPr>
          <w:b/>
          <w:bCs/>
          <w:i/>
          <w:iCs/>
          <w:sz w:val="24"/>
          <w:szCs w:val="24"/>
        </w:rPr>
        <w:fldChar w:fldCharType="separate"/>
      </w:r>
      <w:r>
        <w:t>Tabelul 114</w:t>
      </w:r>
      <w:r>
        <w:rPr>
          <w:b/>
          <w:bCs/>
          <w:i/>
          <w:iCs/>
          <w:sz w:val="24"/>
          <w:szCs w:val="24"/>
        </w:rPr>
        <w:fldChar w:fldCharType="end"/>
      </w:r>
      <w:r>
        <w:rPr>
          <w:b/>
          <w:sz w:val="24"/>
          <w:szCs w:val="24"/>
        </w:rPr>
        <w:t>.</w:t>
      </w:r>
    </w:p>
    <w:p w14:paraId="62E46D2B" w14:textId="77777777" w:rsidR="001C08A5" w:rsidRDefault="001C08A5">
      <w:pPr>
        <w:jc w:val="both"/>
        <w:rPr>
          <w:sz w:val="24"/>
          <w:szCs w:val="24"/>
        </w:rPr>
      </w:pPr>
    </w:p>
    <w:p w14:paraId="703D0460" w14:textId="77777777" w:rsidR="001C08A5" w:rsidRDefault="00000000">
      <w:pPr>
        <w:jc w:val="both"/>
        <w:rPr>
          <w:sz w:val="24"/>
          <w:szCs w:val="24"/>
        </w:rPr>
      </w:pPr>
      <w:r>
        <w:rPr>
          <w:b/>
          <w:sz w:val="24"/>
          <w:szCs w:val="24"/>
        </w:rPr>
        <w:tab/>
        <w:t xml:space="preserve">Art. </w:t>
      </w:r>
      <w:r>
        <w:rPr>
          <w:b/>
          <w:bCs/>
          <w:sz w:val="24"/>
          <w:szCs w:val="24"/>
        </w:rPr>
        <w:t>6.2.1.</w:t>
      </w:r>
      <w:r>
        <w:rPr>
          <w:b/>
          <w:sz w:val="24"/>
          <w:szCs w:val="24"/>
        </w:rPr>
        <w:t xml:space="preserve">3. </w:t>
      </w:r>
      <w:r>
        <w:rPr>
          <w:sz w:val="24"/>
          <w:szCs w:val="24"/>
        </w:rPr>
        <w:t>În încăperile de producţie se pot depozita materiale și substanţe combustibile numai în cantităţile minime necesare fluxului tehnologic pentru un schimb, cantităţi precizate de beneficiar. Depozitarea materialelor și substanţelor combustibile în cantităţi mai mari decât cele admise în încăperile de producţie se realizează în încăperi proprii, amplasate, alcătuite, separate și protejate conform prevederilor normativului şi reglementărilor tehnice specifice.</w:t>
      </w:r>
    </w:p>
    <w:p w14:paraId="6FDDDD72" w14:textId="77777777" w:rsidR="001C08A5" w:rsidRDefault="00000000">
      <w:pPr>
        <w:jc w:val="both"/>
        <w:rPr>
          <w:b/>
          <w:sz w:val="24"/>
          <w:szCs w:val="24"/>
        </w:rPr>
      </w:pPr>
      <w:r>
        <w:rPr>
          <w:sz w:val="24"/>
          <w:szCs w:val="24"/>
        </w:rPr>
        <w:tab/>
      </w:r>
      <w:r>
        <w:rPr>
          <w:sz w:val="24"/>
          <w:szCs w:val="24"/>
        </w:rPr>
        <w:tab/>
      </w:r>
    </w:p>
    <w:p w14:paraId="2D8540F2" w14:textId="77777777" w:rsidR="001C08A5" w:rsidRDefault="00000000">
      <w:pPr>
        <w:jc w:val="both"/>
        <w:rPr>
          <w:sz w:val="24"/>
          <w:szCs w:val="24"/>
        </w:rPr>
      </w:pPr>
      <w:r>
        <w:rPr>
          <w:b/>
          <w:sz w:val="24"/>
          <w:szCs w:val="24"/>
        </w:rPr>
        <w:tab/>
        <w:t xml:space="preserve">Art. </w:t>
      </w:r>
      <w:r>
        <w:rPr>
          <w:b/>
          <w:bCs/>
          <w:sz w:val="24"/>
          <w:szCs w:val="24"/>
        </w:rPr>
        <w:t>6.2.1.</w:t>
      </w:r>
      <w:r>
        <w:rPr>
          <w:b/>
          <w:sz w:val="24"/>
          <w:szCs w:val="24"/>
        </w:rPr>
        <w:t xml:space="preserve">4. (1) </w:t>
      </w:r>
      <w:r>
        <w:rPr>
          <w:sz w:val="24"/>
          <w:szCs w:val="24"/>
        </w:rPr>
        <w:t>Construcţiile de producţie şi depozitare obişnuite pot fi amplasate independent sau comasate cu alte construcţii de producţie şi/sau depozitare, în limitele ariilor compartimentelor de incendiu admise în normativ.</w:t>
      </w:r>
    </w:p>
    <w:p w14:paraId="6C19585B" w14:textId="77777777" w:rsidR="001C08A5" w:rsidRDefault="00000000">
      <w:pPr>
        <w:ind w:firstLine="720"/>
        <w:jc w:val="both"/>
        <w:rPr>
          <w:sz w:val="24"/>
          <w:szCs w:val="24"/>
        </w:rPr>
      </w:pPr>
      <w:r>
        <w:rPr>
          <w:b/>
          <w:sz w:val="24"/>
          <w:szCs w:val="24"/>
        </w:rPr>
        <w:t xml:space="preserve">(2) </w:t>
      </w:r>
      <w:r>
        <w:rPr>
          <w:sz w:val="24"/>
          <w:szCs w:val="24"/>
        </w:rPr>
        <w:t>Construcţiile de producţie și depozitare nu se comasează cu clădiri civile, fiind obligatorie compartimentarea lor cu pereţi rezistenţi la foc funcţie de densitatea sarcinii termice (</w:t>
      </w:r>
      <w:r>
        <w:rPr>
          <w:b/>
          <w:sz w:val="24"/>
          <w:szCs w:val="24"/>
        </w:rPr>
        <w:t>q</w:t>
      </w:r>
      <w:r>
        <w:rPr>
          <w:sz w:val="24"/>
          <w:szCs w:val="24"/>
        </w:rPr>
        <w:t xml:space="preserve">) din încăperile adiacente, conform prevederilor de la </w:t>
      </w:r>
      <w:r>
        <w:rPr>
          <w:b/>
          <w:sz w:val="24"/>
          <w:szCs w:val="24"/>
        </w:rPr>
        <w:t>Art. 2.3.1.2</w:t>
      </w:r>
      <w:r>
        <w:rPr>
          <w:sz w:val="24"/>
          <w:szCs w:val="24"/>
        </w:rPr>
        <w:t xml:space="preserve"> și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sz w:val="24"/>
          <w:szCs w:val="24"/>
        </w:rPr>
        <w:t xml:space="preserve"> şi, după caz, rezistenţi şi la explozie volumetrică, realizați în conformitate cu dispozițiile </w:t>
      </w:r>
      <w:r>
        <w:rPr>
          <w:b/>
          <w:sz w:val="24"/>
          <w:szCs w:val="24"/>
        </w:rPr>
        <w:t>Capitolului 2.3.4</w:t>
      </w:r>
      <w:r>
        <w:rPr>
          <w:sz w:val="24"/>
          <w:szCs w:val="24"/>
        </w:rPr>
        <w:t>.. Construcţiile cu funcţiuni de producţie şi/sau depozitare pot fi comasate (între ele), asigurându-se măsurile de compartimentare și protecţie corespunzătoare fiecărei funcţiuni.</w:t>
      </w:r>
    </w:p>
    <w:p w14:paraId="235F9019" w14:textId="77777777" w:rsidR="001C08A5" w:rsidRDefault="00000000">
      <w:pPr>
        <w:ind w:firstLine="720"/>
        <w:jc w:val="both"/>
        <w:rPr>
          <w:strike/>
          <w:sz w:val="24"/>
          <w:szCs w:val="24"/>
        </w:rPr>
      </w:pPr>
      <w:r>
        <w:rPr>
          <w:b/>
          <w:sz w:val="24"/>
          <w:szCs w:val="24"/>
        </w:rPr>
        <w:t xml:space="preserve">(3) </w:t>
      </w:r>
      <w:r>
        <w:rPr>
          <w:sz w:val="24"/>
          <w:szCs w:val="24"/>
        </w:rPr>
        <w:t xml:space="preserve">Construcţiile se amplasează faţă de alte construcţii învecinate la distanţele de siguranţă prevăzute la </w:t>
      </w:r>
      <w:r>
        <w:rPr>
          <w:b/>
          <w:sz w:val="24"/>
          <w:szCs w:val="24"/>
        </w:rPr>
        <w:t>Art.</w:t>
      </w:r>
      <w:r>
        <w:rPr>
          <w:b/>
          <w:bCs/>
          <w:sz w:val="24"/>
          <w:szCs w:val="24"/>
        </w:rPr>
        <w:t>2.2.1.2</w:t>
      </w:r>
      <w:r>
        <w:rPr>
          <w:b/>
          <w:sz w:val="24"/>
          <w:szCs w:val="24"/>
        </w:rPr>
        <w:t>.</w:t>
      </w:r>
      <w:r>
        <w:rPr>
          <w:sz w:val="24"/>
          <w:szCs w:val="24"/>
        </w:rPr>
        <w:t xml:space="preserve"> și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rStyle w:val="BodyTextChar"/>
        </w:rPr>
        <w:t xml:space="preserve"> </w:t>
      </w:r>
      <w:r>
        <w:rPr>
          <w:sz w:val="24"/>
          <w:szCs w:val="24"/>
        </w:rPr>
        <w:t>sau se compartimentează prin pereţi rezistenţi la foc funcţie de densitatea sarcinii termice (</w:t>
      </w:r>
      <w:r>
        <w:rPr>
          <w:b/>
          <w:sz w:val="24"/>
          <w:szCs w:val="24"/>
        </w:rPr>
        <w:t>q</w:t>
      </w:r>
      <w:r>
        <w:rPr>
          <w:sz w:val="24"/>
          <w:szCs w:val="24"/>
        </w:rPr>
        <w:t>), conform prevederilor de la</w:t>
      </w:r>
      <w:r>
        <w:rPr>
          <w:b/>
          <w:sz w:val="24"/>
          <w:szCs w:val="24"/>
        </w:rPr>
        <w:t xml:space="preserve"> Art. 2.3.1.2</w:t>
      </w:r>
      <w:r>
        <w:rPr>
          <w:sz w:val="24"/>
          <w:szCs w:val="24"/>
        </w:rPr>
        <w:t xml:space="preserve"> și </w:t>
      </w:r>
      <w:r>
        <w:rPr>
          <w:rStyle w:val="BodyTextChar"/>
          <w:iCs/>
        </w:rPr>
        <w:fldChar w:fldCharType="begin"/>
      </w:r>
      <w:r>
        <w:rPr>
          <w:rStyle w:val="BodyTextChar"/>
          <w:iCs/>
        </w:rPr>
        <w:instrText xml:space="preserve"> REF _Ref30927 \h </w:instrText>
      </w:r>
      <w:r>
        <w:rPr>
          <w:rStyle w:val="BodyTextChar"/>
          <w:iCs/>
        </w:rPr>
      </w:r>
      <w:r>
        <w:rPr>
          <w:rStyle w:val="BodyTextChar"/>
          <w:iCs/>
        </w:rPr>
        <w:fldChar w:fldCharType="separate"/>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rStyle w:val="BodyTextChar"/>
          <w:iCs/>
        </w:rPr>
        <w:fldChar w:fldCharType="end"/>
      </w:r>
      <w:r>
        <w:rPr>
          <w:sz w:val="24"/>
          <w:szCs w:val="24"/>
        </w:rPr>
        <w:t xml:space="preserve"> şi, după caz, rezistenţi şi la explozie volumetrică, realizați în conformitate cu dispozițiile aplicabile.</w:t>
      </w:r>
    </w:p>
    <w:p w14:paraId="2427DE6F" w14:textId="77777777" w:rsidR="001C08A5" w:rsidRDefault="001C08A5">
      <w:pPr>
        <w:jc w:val="both"/>
        <w:rPr>
          <w:sz w:val="24"/>
          <w:szCs w:val="24"/>
        </w:rPr>
      </w:pPr>
    </w:p>
    <w:p w14:paraId="288D0983" w14:textId="77777777" w:rsidR="001C08A5" w:rsidRDefault="00000000">
      <w:pPr>
        <w:jc w:val="both"/>
        <w:rPr>
          <w:sz w:val="24"/>
          <w:szCs w:val="24"/>
        </w:rPr>
      </w:pPr>
      <w:r>
        <w:rPr>
          <w:b/>
          <w:sz w:val="24"/>
          <w:szCs w:val="24"/>
        </w:rPr>
        <w:lastRenderedPageBreak/>
        <w:tab/>
        <w:t xml:space="preserve">Art. </w:t>
      </w:r>
      <w:r>
        <w:rPr>
          <w:b/>
          <w:bCs/>
          <w:sz w:val="24"/>
          <w:szCs w:val="24"/>
        </w:rPr>
        <w:t>6.2.1.</w:t>
      </w:r>
      <w:r>
        <w:rPr>
          <w:b/>
          <w:sz w:val="24"/>
          <w:szCs w:val="24"/>
        </w:rPr>
        <w:t xml:space="preserve">5. </w:t>
      </w:r>
      <w:r>
        <w:rPr>
          <w:sz w:val="24"/>
          <w:szCs w:val="24"/>
        </w:rPr>
        <w:t>Prin conformarea construcţiilor de producţie şi depozitare, spaţiile cu riscuri de incendiu mari şi foarte mari se dispun în zone distincte, asigurându-se măsurile de protecţie la foc corespunzătoare, astfel încât, în caz de incendiu, să nu fie afectate arii mari construite și să nu pună în pericol construcţii învecinate sau acestea să fie periclitate de incendii produse la vecinătăţi.</w:t>
      </w:r>
    </w:p>
    <w:p w14:paraId="45B2C17A" w14:textId="77777777" w:rsidR="001C08A5" w:rsidRDefault="001C08A5">
      <w:pPr>
        <w:jc w:val="both"/>
        <w:rPr>
          <w:sz w:val="24"/>
          <w:szCs w:val="24"/>
        </w:rPr>
      </w:pPr>
    </w:p>
    <w:p w14:paraId="75B54BD2" w14:textId="77777777" w:rsidR="001C08A5" w:rsidRDefault="00000000">
      <w:pPr>
        <w:jc w:val="both"/>
        <w:rPr>
          <w:sz w:val="24"/>
          <w:szCs w:val="24"/>
        </w:rPr>
      </w:pPr>
      <w:r>
        <w:rPr>
          <w:b/>
          <w:sz w:val="24"/>
          <w:szCs w:val="24"/>
        </w:rPr>
        <w:tab/>
        <w:t xml:space="preserve">Art. </w:t>
      </w:r>
      <w:r>
        <w:rPr>
          <w:b/>
          <w:bCs/>
          <w:sz w:val="24"/>
          <w:szCs w:val="24"/>
        </w:rPr>
        <w:t>6.2.1.</w:t>
      </w:r>
      <w:r>
        <w:rPr>
          <w:b/>
          <w:sz w:val="24"/>
          <w:szCs w:val="24"/>
        </w:rPr>
        <w:t xml:space="preserve">6. </w:t>
      </w:r>
      <w:r>
        <w:rPr>
          <w:sz w:val="24"/>
          <w:szCs w:val="24"/>
        </w:rPr>
        <w:t xml:space="preserve">Construcţiile și încăperile de depozitare a materialelor și substanţelor combustibile se realizeză corespunzător prevederilor normativului, având în vedere riscul de incendiu, clasa de periculozitate a materialelor și substanţelor depozitate, aportul pe care-l pot aduce la iniţierea şi dezvoltarea incendiilor, precum și sensibilitatea lor la efectele incendiilor, conform </w:t>
      </w:r>
      <w:r>
        <w:rPr>
          <w:i/>
          <w:iCs/>
          <w:sz w:val="24"/>
          <w:szCs w:val="24"/>
        </w:rPr>
        <w:t>Anexa</w:t>
      </w:r>
      <w:r>
        <w:rPr>
          <w:sz w:val="24"/>
          <w:szCs w:val="24"/>
        </w:rPr>
        <w:t>.</w:t>
      </w:r>
    </w:p>
    <w:p w14:paraId="472AA3B6" w14:textId="77777777" w:rsidR="001C08A5" w:rsidRDefault="001C08A5">
      <w:pPr>
        <w:jc w:val="both"/>
        <w:rPr>
          <w:sz w:val="24"/>
          <w:szCs w:val="24"/>
        </w:rPr>
      </w:pPr>
    </w:p>
    <w:p w14:paraId="49D750A9" w14:textId="77777777" w:rsidR="001C08A5" w:rsidRDefault="00000000">
      <w:pPr>
        <w:jc w:val="both"/>
        <w:rPr>
          <w:sz w:val="24"/>
          <w:szCs w:val="24"/>
        </w:rPr>
      </w:pPr>
      <w:r>
        <w:rPr>
          <w:b/>
          <w:sz w:val="24"/>
          <w:szCs w:val="24"/>
        </w:rPr>
        <w:tab/>
        <w:t xml:space="preserve">Art. </w:t>
      </w:r>
      <w:r>
        <w:rPr>
          <w:b/>
          <w:bCs/>
          <w:sz w:val="24"/>
          <w:szCs w:val="24"/>
        </w:rPr>
        <w:t>6.2.1.</w:t>
      </w:r>
      <w:r>
        <w:rPr>
          <w:b/>
          <w:sz w:val="24"/>
          <w:szCs w:val="24"/>
        </w:rPr>
        <w:t xml:space="preserve">7. (1) </w:t>
      </w:r>
      <w:r>
        <w:rPr>
          <w:sz w:val="24"/>
          <w:szCs w:val="24"/>
        </w:rPr>
        <w:t xml:space="preserve">Între porţiunile de construcţii independente funcţional dar comasate în cadrul unui compartiment de incendiu, pentru separarea riscurilor mijlocii, mari și foarte mari, fără risc de explozie volumetrică, se prevăd elemente despărţitoare cu rezistenţa la foc determinată în funcţie de densitatea sarcinii termice (q) cea mai mare a spaţiilor adiacente, dar nu mai mici de </w:t>
      </w:r>
      <w:r>
        <w:rPr>
          <w:b/>
          <w:sz w:val="24"/>
          <w:szCs w:val="24"/>
        </w:rPr>
        <w:t xml:space="preserve">EI/REI 120 </w:t>
      </w:r>
      <w:r>
        <w:rPr>
          <w:sz w:val="24"/>
          <w:szCs w:val="24"/>
        </w:rPr>
        <w:t xml:space="preserve">pentru pereţi şi </w:t>
      </w:r>
      <w:r>
        <w:rPr>
          <w:b/>
          <w:sz w:val="24"/>
          <w:szCs w:val="24"/>
        </w:rPr>
        <w:t>REI 90</w:t>
      </w:r>
      <w:r>
        <w:rPr>
          <w:sz w:val="24"/>
          <w:szCs w:val="24"/>
        </w:rPr>
        <w:t xml:space="preserve"> pentru planşee. Golurile de comunicare din aceşti pereţi trebuie să aibă performanţa la foc și fum minimum </w:t>
      </w:r>
      <w:r>
        <w:rPr>
          <w:b/>
          <w:bCs/>
          <w:sz w:val="24"/>
          <w:szCs w:val="24"/>
        </w:rPr>
        <w:t>EI</w:t>
      </w:r>
      <w:r>
        <w:rPr>
          <w:b/>
          <w:bCs/>
          <w:sz w:val="24"/>
          <w:szCs w:val="24"/>
          <w:vertAlign w:val="subscript"/>
        </w:rPr>
        <w:t>2</w:t>
      </w:r>
      <w:r>
        <w:rPr>
          <w:b/>
          <w:bCs/>
          <w:sz w:val="24"/>
          <w:szCs w:val="24"/>
        </w:rPr>
        <w:t>60-C3</w:t>
      </w:r>
      <w:r>
        <w:rPr>
          <w:b/>
          <w:sz w:val="24"/>
          <w:szCs w:val="24"/>
        </w:rPr>
        <w:t>S</w:t>
      </w:r>
      <w:r>
        <w:rPr>
          <w:b/>
          <w:bCs/>
          <w:sz w:val="24"/>
          <w:szCs w:val="24"/>
          <w:vertAlign w:val="subscript"/>
        </w:rPr>
        <w:t xml:space="preserve">200 </w:t>
      </w:r>
      <w:r>
        <w:rPr>
          <w:bCs/>
          <w:sz w:val="24"/>
          <w:szCs w:val="24"/>
        </w:rPr>
        <w:t xml:space="preserve">pentru risc mijlociu, respectiv </w:t>
      </w:r>
      <w:r>
        <w:rPr>
          <w:b/>
          <w:bCs/>
          <w:sz w:val="24"/>
          <w:szCs w:val="24"/>
        </w:rPr>
        <w:t>EI</w:t>
      </w:r>
      <w:r>
        <w:rPr>
          <w:b/>
          <w:bCs/>
          <w:sz w:val="24"/>
          <w:szCs w:val="24"/>
          <w:vertAlign w:val="subscript"/>
        </w:rPr>
        <w:t>2</w:t>
      </w:r>
      <w:r>
        <w:rPr>
          <w:b/>
          <w:bCs/>
          <w:sz w:val="24"/>
          <w:szCs w:val="24"/>
        </w:rPr>
        <w:t>90-C3</w:t>
      </w:r>
      <w:r>
        <w:rPr>
          <w:b/>
          <w:sz w:val="24"/>
          <w:szCs w:val="24"/>
        </w:rPr>
        <w:t>S</w:t>
      </w:r>
      <w:r>
        <w:rPr>
          <w:b/>
          <w:bCs/>
          <w:sz w:val="24"/>
          <w:szCs w:val="24"/>
          <w:vertAlign w:val="subscript"/>
        </w:rPr>
        <w:t xml:space="preserve">200 </w:t>
      </w:r>
      <w:r>
        <w:rPr>
          <w:bCs/>
          <w:sz w:val="24"/>
          <w:szCs w:val="24"/>
        </w:rPr>
        <w:t>pentru risc mare şi foarte mare</w:t>
      </w:r>
      <w:r>
        <w:rPr>
          <w:sz w:val="24"/>
          <w:szCs w:val="24"/>
        </w:rPr>
        <w:t xml:space="preserve"> fără risc de explozie volumetrică</w:t>
      </w:r>
      <w:r>
        <w:rPr>
          <w:b/>
          <w:sz w:val="24"/>
          <w:szCs w:val="24"/>
        </w:rPr>
        <w:t>.</w:t>
      </w:r>
      <w:r>
        <w:rPr>
          <w:sz w:val="24"/>
          <w:szCs w:val="24"/>
        </w:rPr>
        <w:tab/>
      </w:r>
      <w:r>
        <w:rPr>
          <w:sz w:val="24"/>
          <w:szCs w:val="24"/>
        </w:rPr>
        <w:tab/>
      </w:r>
      <w:r>
        <w:rPr>
          <w:sz w:val="24"/>
          <w:szCs w:val="24"/>
        </w:rPr>
        <w:tab/>
      </w:r>
    </w:p>
    <w:p w14:paraId="643E518A" w14:textId="77777777" w:rsidR="001C08A5" w:rsidRDefault="00000000">
      <w:pPr>
        <w:ind w:firstLine="720"/>
        <w:jc w:val="both"/>
        <w:rPr>
          <w:sz w:val="24"/>
          <w:szCs w:val="24"/>
        </w:rPr>
      </w:pPr>
      <w:r>
        <w:rPr>
          <w:b/>
          <w:sz w:val="24"/>
          <w:szCs w:val="24"/>
        </w:rPr>
        <w:t xml:space="preserve">(2) </w:t>
      </w:r>
      <w:r>
        <w:rPr>
          <w:sz w:val="24"/>
          <w:szCs w:val="24"/>
        </w:rPr>
        <w:t>Atunci când separă încăperi sau spaţii cu riscuri foarte mari de incendiu şi risc de explozie volumetrică, elementele despărţitoare vor fi și rezistente la explozie.</w:t>
      </w:r>
    </w:p>
    <w:p w14:paraId="45CAF56C" w14:textId="77777777" w:rsidR="001C08A5" w:rsidRDefault="001C08A5">
      <w:pPr>
        <w:jc w:val="both"/>
        <w:rPr>
          <w:sz w:val="24"/>
          <w:szCs w:val="24"/>
        </w:rPr>
      </w:pPr>
    </w:p>
    <w:p w14:paraId="1636055B" w14:textId="77777777" w:rsidR="001C08A5" w:rsidRDefault="00000000">
      <w:pPr>
        <w:jc w:val="both"/>
        <w:rPr>
          <w:sz w:val="24"/>
          <w:szCs w:val="24"/>
        </w:rPr>
      </w:pPr>
      <w:r>
        <w:rPr>
          <w:b/>
          <w:sz w:val="24"/>
          <w:szCs w:val="24"/>
        </w:rPr>
        <w:tab/>
        <w:t xml:space="preserve">Art. </w:t>
      </w:r>
      <w:r>
        <w:rPr>
          <w:b/>
          <w:bCs/>
          <w:sz w:val="24"/>
          <w:szCs w:val="24"/>
        </w:rPr>
        <w:t>6.2.1.</w:t>
      </w:r>
      <w:r>
        <w:rPr>
          <w:b/>
          <w:sz w:val="24"/>
          <w:szCs w:val="24"/>
        </w:rPr>
        <w:t xml:space="preserve">8. </w:t>
      </w:r>
      <w:r>
        <w:rPr>
          <w:sz w:val="24"/>
          <w:szCs w:val="24"/>
        </w:rPr>
        <w:t xml:space="preserve">În construcţiile de producţie şi depozitare obişnuite se asigură căi de evacuare a utilizatorilor în număr corespunzător, distribuite, alcătuite, realizate şi dimensionate în conformitate cu prevederile normativului. </w:t>
      </w:r>
    </w:p>
    <w:p w14:paraId="317834B9" w14:textId="77777777" w:rsidR="001C08A5" w:rsidRDefault="00000000">
      <w:pPr>
        <w:jc w:val="both"/>
        <w:rPr>
          <w:b/>
          <w:sz w:val="24"/>
          <w:szCs w:val="24"/>
        </w:rPr>
      </w:pPr>
      <w:r>
        <w:rPr>
          <w:sz w:val="24"/>
          <w:szCs w:val="24"/>
        </w:rPr>
        <w:tab/>
      </w:r>
      <w:r>
        <w:rPr>
          <w:sz w:val="24"/>
          <w:szCs w:val="24"/>
        </w:rPr>
        <w:tab/>
      </w:r>
    </w:p>
    <w:p w14:paraId="6B8B6DAD" w14:textId="77777777" w:rsidR="001C08A5" w:rsidRDefault="00000000">
      <w:pPr>
        <w:jc w:val="both"/>
        <w:rPr>
          <w:b/>
          <w:bCs/>
          <w:sz w:val="24"/>
          <w:szCs w:val="24"/>
        </w:rPr>
      </w:pPr>
      <w:r>
        <w:rPr>
          <w:b/>
          <w:sz w:val="24"/>
          <w:szCs w:val="24"/>
        </w:rPr>
        <w:tab/>
        <w:t xml:space="preserve">Art. </w:t>
      </w:r>
      <w:r>
        <w:rPr>
          <w:b/>
          <w:bCs/>
          <w:sz w:val="24"/>
          <w:szCs w:val="24"/>
        </w:rPr>
        <w:t>6.2.1.</w:t>
      </w:r>
      <w:r>
        <w:rPr>
          <w:b/>
          <w:sz w:val="24"/>
          <w:szCs w:val="24"/>
        </w:rPr>
        <w:t xml:space="preserve">9. </w:t>
      </w:r>
      <w:r>
        <w:rPr>
          <w:sz w:val="24"/>
          <w:szCs w:val="24"/>
        </w:rPr>
        <w:t xml:space="preserve">Pentru intervenţie în caz de incendiu, construcţiile de producţie şi/sau depozitare obişnuite vor avea asigurate posibilităţi de acces şi circulaţie pentru autospecialele de intervenţie, cel puţin pe o latură, astfel încât să se asigure accesul și intervenţia autospecialelor de stingere în caz de incendiu, cel puţin pe </w:t>
      </w:r>
      <w:r>
        <w:rPr>
          <w:b/>
          <w:bCs/>
          <w:sz w:val="24"/>
          <w:szCs w:val="24"/>
        </w:rPr>
        <w:t>25%</w:t>
      </w:r>
      <w:r>
        <w:rPr>
          <w:sz w:val="24"/>
          <w:szCs w:val="24"/>
        </w:rPr>
        <w:t xml:space="preserve"> din perimetrul pereților exteriori.</w:t>
      </w:r>
    </w:p>
    <w:p w14:paraId="5EFB8932" w14:textId="77777777" w:rsidR="001C08A5" w:rsidRDefault="00000000">
      <w:pPr>
        <w:pStyle w:val="Heading4"/>
      </w:pPr>
      <w:bookmarkStart w:id="5314" w:name="_Toc8536"/>
      <w:bookmarkStart w:id="5315" w:name="_Toc23829"/>
      <w:bookmarkStart w:id="5316" w:name="_Toc5258"/>
      <w:bookmarkStart w:id="5317" w:name="_Toc24961"/>
      <w:bookmarkStart w:id="5318" w:name="_Toc162355359"/>
      <w:bookmarkStart w:id="5319" w:name="_Toc15860"/>
      <w:bookmarkStart w:id="5320" w:name="_Toc2800"/>
      <w:bookmarkStart w:id="5321" w:name="_Toc8562"/>
      <w:r>
        <w:t>6.2.2. Construcţii de producţie şi depozitare de tip special</w:t>
      </w:r>
      <w:bookmarkEnd w:id="5314"/>
      <w:bookmarkEnd w:id="5315"/>
      <w:bookmarkEnd w:id="5316"/>
      <w:bookmarkEnd w:id="5317"/>
      <w:bookmarkEnd w:id="5318"/>
      <w:bookmarkEnd w:id="5319"/>
      <w:bookmarkEnd w:id="5320"/>
      <w:bookmarkEnd w:id="5321"/>
    </w:p>
    <w:p w14:paraId="72CB2D09" w14:textId="77777777" w:rsidR="001C08A5" w:rsidRDefault="001C08A5">
      <w:pPr>
        <w:jc w:val="both"/>
        <w:rPr>
          <w:sz w:val="24"/>
          <w:szCs w:val="24"/>
        </w:rPr>
      </w:pPr>
    </w:p>
    <w:p w14:paraId="778BA55B" w14:textId="77777777" w:rsidR="001C08A5" w:rsidRDefault="00000000">
      <w:pPr>
        <w:jc w:val="both"/>
        <w:rPr>
          <w:sz w:val="24"/>
          <w:szCs w:val="24"/>
        </w:rPr>
      </w:pPr>
      <w:r>
        <w:rPr>
          <w:b/>
          <w:sz w:val="24"/>
          <w:szCs w:val="24"/>
        </w:rPr>
        <w:tab/>
        <w:t xml:space="preserve">Art. </w:t>
      </w:r>
      <w:r>
        <w:rPr>
          <w:b/>
          <w:bCs/>
          <w:sz w:val="24"/>
          <w:szCs w:val="24"/>
        </w:rPr>
        <w:t>6.2.2.</w:t>
      </w:r>
      <w:r>
        <w:rPr>
          <w:b/>
          <w:sz w:val="24"/>
          <w:szCs w:val="24"/>
        </w:rPr>
        <w:t xml:space="preserve">1. </w:t>
      </w:r>
      <w:r>
        <w:rPr>
          <w:sz w:val="24"/>
          <w:szCs w:val="24"/>
        </w:rPr>
        <w:t xml:space="preserve">Construcţiile supraterane închise de producţie şi/sau de depozitare, cu aria construită (Ac)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trebuie să îndeplinească condiţiile de încadrare în nivelurile </w:t>
      </w:r>
      <w:r>
        <w:rPr>
          <w:b/>
          <w:bCs/>
          <w:sz w:val="24"/>
          <w:szCs w:val="24"/>
        </w:rPr>
        <w:t>I</w:t>
      </w:r>
      <w:r>
        <w:rPr>
          <w:sz w:val="24"/>
          <w:szCs w:val="24"/>
        </w:rPr>
        <w:t xml:space="preserve"> sau </w:t>
      </w:r>
      <w:r>
        <w:rPr>
          <w:b/>
          <w:bCs/>
          <w:sz w:val="24"/>
          <w:szCs w:val="24"/>
        </w:rPr>
        <w:t>II</w:t>
      </w:r>
      <w:r>
        <w:rPr>
          <w:sz w:val="24"/>
          <w:szCs w:val="24"/>
        </w:rPr>
        <w:t xml:space="preserve"> de stabilitate la incendiu (conform condiţii minime pe care trebuie să le îndeplinească construcţia pentru încadrarea în nivelul de stabilitate la incendiu </w:t>
      </w:r>
      <w:r>
        <w:rPr>
          <w:b/>
          <w:bCs/>
          <w:sz w:val="24"/>
          <w:szCs w:val="24"/>
        </w:rPr>
        <w:t xml:space="preserve">I </w:t>
      </w:r>
      <w:r>
        <w:rPr>
          <w:sz w:val="24"/>
          <w:szCs w:val="24"/>
        </w:rPr>
        <w:t xml:space="preserve">sau </w:t>
      </w:r>
      <w:r>
        <w:rPr>
          <w:b/>
          <w:bCs/>
          <w:sz w:val="24"/>
          <w:szCs w:val="24"/>
        </w:rPr>
        <w:t>II</w:t>
      </w:r>
      <w:r>
        <w:rPr>
          <w:sz w:val="24"/>
          <w:szCs w:val="24"/>
        </w:rPr>
        <w:t xml:space="preserve"> precizate în </w:t>
      </w:r>
      <w:r>
        <w:rPr>
          <w:b/>
          <w:sz w:val="24"/>
          <w:szCs w:val="24"/>
        </w:rPr>
        <w:t>Art.</w:t>
      </w:r>
      <w:r>
        <w:rPr>
          <w:b/>
          <w:bCs/>
          <w:sz w:val="24"/>
          <w:szCs w:val="24"/>
        </w:rPr>
        <w:t xml:space="preserve"> 2.1.3.</w:t>
      </w:r>
      <w:r>
        <w:rPr>
          <w:b/>
          <w:sz w:val="24"/>
          <w:szCs w:val="24"/>
        </w:rPr>
        <w:t xml:space="preserve">2. </w:t>
      </w:r>
      <w:r>
        <w:rPr>
          <w:sz w:val="24"/>
          <w:szCs w:val="24"/>
        </w:rPr>
        <w:t>şi în</w:t>
      </w:r>
      <w:r>
        <w:rPr>
          <w:b/>
          <w:bCs/>
          <w:i/>
          <w:iCs/>
          <w:sz w:val="24"/>
          <w:szCs w:val="24"/>
        </w:rPr>
        <w:t xml:space="preserve"> </w:t>
      </w:r>
      <w:r>
        <w:rPr>
          <w:b/>
          <w:bCs/>
          <w:i/>
          <w:iCs/>
          <w:sz w:val="24"/>
          <w:szCs w:val="24"/>
        </w:rPr>
        <w:fldChar w:fldCharType="begin"/>
      </w:r>
      <w:r>
        <w:rPr>
          <w:b/>
          <w:bCs/>
          <w:i/>
          <w:iCs/>
          <w:sz w:val="24"/>
          <w:szCs w:val="24"/>
        </w:rPr>
        <w:instrText xml:space="preserve"> REF _Ref11612 \h </w:instrText>
      </w:r>
      <w:r>
        <w:rPr>
          <w:b/>
          <w:bCs/>
          <w:i/>
          <w:iCs/>
          <w:sz w:val="24"/>
          <w:szCs w:val="24"/>
        </w:rPr>
      </w:r>
      <w:r>
        <w:rPr>
          <w:b/>
          <w:bCs/>
          <w:i/>
          <w:iCs/>
          <w:sz w:val="24"/>
          <w:szCs w:val="24"/>
        </w:rPr>
        <w:fldChar w:fldCharType="separate"/>
      </w:r>
      <w:r>
        <w:t>Tabelul 3</w:t>
      </w:r>
      <w:r>
        <w:rPr>
          <w:b/>
          <w:bCs/>
          <w:i/>
          <w:iCs/>
          <w:sz w:val="24"/>
          <w:szCs w:val="24"/>
        </w:rPr>
        <w:fldChar w:fldCharType="end"/>
      </w:r>
      <w:r>
        <w:rPr>
          <w:bCs/>
          <w:sz w:val="24"/>
          <w:szCs w:val="24"/>
        </w:rPr>
        <w:t xml:space="preserve">) și </w:t>
      </w:r>
      <w:r>
        <w:rPr>
          <w:sz w:val="24"/>
          <w:szCs w:val="24"/>
        </w:rPr>
        <w:t xml:space="preserve">se conformează astfel încât să îndeplinească condiţiile de corelare stabilite în </w:t>
      </w:r>
      <w:r>
        <w:rPr>
          <w:b/>
          <w:sz w:val="24"/>
          <w:szCs w:val="24"/>
        </w:rPr>
        <w:t>Art. 6.1.2.2.</w:t>
      </w:r>
      <w:r>
        <w:rPr>
          <w:sz w:val="24"/>
          <w:szCs w:val="24"/>
        </w:rPr>
        <w:t xml:space="preserve"> şi </w:t>
      </w:r>
      <w:r>
        <w:rPr>
          <w:b/>
          <w:bCs/>
          <w:i/>
          <w:iCs/>
          <w:sz w:val="24"/>
          <w:szCs w:val="24"/>
        </w:rPr>
        <w:fldChar w:fldCharType="begin"/>
      </w:r>
      <w:r>
        <w:rPr>
          <w:b/>
          <w:bCs/>
          <w:i/>
          <w:iCs/>
          <w:sz w:val="24"/>
          <w:szCs w:val="24"/>
        </w:rPr>
        <w:instrText xml:space="preserve"> REF _Ref2491 \h </w:instrText>
      </w:r>
      <w:r>
        <w:rPr>
          <w:b/>
          <w:bCs/>
          <w:i/>
          <w:iCs/>
          <w:sz w:val="24"/>
          <w:szCs w:val="24"/>
        </w:rPr>
      </w:r>
      <w:r>
        <w:rPr>
          <w:b/>
          <w:bCs/>
          <w:i/>
          <w:iCs/>
          <w:sz w:val="24"/>
          <w:szCs w:val="24"/>
        </w:rPr>
        <w:fldChar w:fldCharType="separate"/>
      </w:r>
      <w:r>
        <w:t>Tabelul 114</w:t>
      </w:r>
      <w:r>
        <w:rPr>
          <w:b/>
          <w:bCs/>
          <w:i/>
          <w:iCs/>
          <w:sz w:val="24"/>
          <w:szCs w:val="24"/>
        </w:rPr>
        <w:fldChar w:fldCharType="end"/>
      </w:r>
      <w:r>
        <w:rPr>
          <w:b/>
          <w:sz w:val="24"/>
          <w:szCs w:val="24"/>
        </w:rPr>
        <w:t>.</w:t>
      </w:r>
    </w:p>
    <w:p w14:paraId="43539443" w14:textId="77777777" w:rsidR="001C08A5" w:rsidRDefault="001C08A5">
      <w:pPr>
        <w:jc w:val="both"/>
        <w:rPr>
          <w:sz w:val="24"/>
          <w:szCs w:val="24"/>
        </w:rPr>
      </w:pPr>
    </w:p>
    <w:p w14:paraId="786BA015" w14:textId="77777777" w:rsidR="001C08A5" w:rsidRDefault="00000000">
      <w:pPr>
        <w:jc w:val="both"/>
        <w:rPr>
          <w:sz w:val="24"/>
          <w:szCs w:val="24"/>
        </w:rPr>
      </w:pPr>
      <w:r>
        <w:rPr>
          <w:b/>
          <w:sz w:val="24"/>
          <w:szCs w:val="24"/>
        </w:rPr>
        <w:tab/>
        <w:t xml:space="preserve">Art. </w:t>
      </w:r>
      <w:r>
        <w:rPr>
          <w:b/>
          <w:bCs/>
          <w:sz w:val="24"/>
          <w:szCs w:val="24"/>
        </w:rPr>
        <w:t>6.2.2.2.</w:t>
      </w:r>
      <w:r>
        <w:rPr>
          <w:b/>
          <w:sz w:val="24"/>
          <w:szCs w:val="24"/>
        </w:rPr>
        <w:t xml:space="preserve">. </w:t>
      </w:r>
      <w:r>
        <w:rPr>
          <w:sz w:val="24"/>
          <w:szCs w:val="24"/>
        </w:rPr>
        <w:t>Construcţiile și încăperile supraterane închise cu aria construită (</w:t>
      </w:r>
      <w:r>
        <w:rPr>
          <w:b/>
          <w:bCs/>
          <w:sz w:val="24"/>
          <w:szCs w:val="24"/>
        </w:rPr>
        <w:t>Ac</w:t>
      </w:r>
      <w:r>
        <w:rPr>
          <w:sz w:val="24"/>
          <w:szCs w:val="24"/>
        </w:rPr>
        <w:t xml:space="preserve">) mai mare de </w:t>
      </w:r>
      <w:r>
        <w:rPr>
          <w:b/>
          <w:bCs/>
          <w:sz w:val="24"/>
          <w:szCs w:val="24"/>
        </w:rPr>
        <w:t>1000 m</w:t>
      </w:r>
      <w:r>
        <w:rPr>
          <w:b/>
          <w:bCs/>
          <w:sz w:val="24"/>
          <w:szCs w:val="24"/>
          <w:vertAlign w:val="superscript"/>
        </w:rPr>
        <w:t>2</w:t>
      </w:r>
      <w:r>
        <w:rPr>
          <w:sz w:val="24"/>
          <w:szCs w:val="24"/>
        </w:rPr>
        <w:t xml:space="preserve"> în care activitatea se desfăşoară numai la lumină artificială (cu acoperiş și pereţi de închidere perimetrală plini, în care se prevăd numai goluri psihologice şi uşi de acces) se alcătuiesc şi realizează în conformitate cu prevederile normativului (conform condiţii minime pe care trebuie să le îndeplinească construcţia pentru încadrarea în nivelul de stabilitate la incendiu precizate în </w:t>
      </w:r>
      <w:r>
        <w:rPr>
          <w:b/>
          <w:sz w:val="24"/>
          <w:szCs w:val="24"/>
        </w:rPr>
        <w:t>Art.</w:t>
      </w:r>
      <w:r>
        <w:rPr>
          <w:b/>
          <w:bCs/>
          <w:sz w:val="24"/>
          <w:szCs w:val="24"/>
        </w:rPr>
        <w:t xml:space="preserve"> 2.1.3.</w:t>
      </w:r>
      <w:r>
        <w:rPr>
          <w:b/>
          <w:sz w:val="24"/>
          <w:szCs w:val="24"/>
        </w:rPr>
        <w:t xml:space="preserve">2. </w:t>
      </w:r>
      <w:r>
        <w:rPr>
          <w:sz w:val="24"/>
          <w:szCs w:val="24"/>
        </w:rPr>
        <w:t xml:space="preserve">şi în </w:t>
      </w:r>
      <w:r>
        <w:rPr>
          <w:b/>
          <w:bCs/>
          <w:i/>
          <w:iCs/>
          <w:sz w:val="24"/>
          <w:szCs w:val="24"/>
        </w:rPr>
        <w:fldChar w:fldCharType="begin"/>
      </w:r>
      <w:r>
        <w:rPr>
          <w:b/>
          <w:bCs/>
          <w:i/>
          <w:iCs/>
          <w:sz w:val="24"/>
          <w:szCs w:val="24"/>
        </w:rPr>
        <w:instrText xml:space="preserve"> REF _Ref11612 \h </w:instrText>
      </w:r>
      <w:r>
        <w:rPr>
          <w:b/>
          <w:bCs/>
          <w:i/>
          <w:iCs/>
          <w:sz w:val="24"/>
          <w:szCs w:val="24"/>
        </w:rPr>
      </w:r>
      <w:r>
        <w:rPr>
          <w:b/>
          <w:bCs/>
          <w:i/>
          <w:iCs/>
          <w:sz w:val="24"/>
          <w:szCs w:val="24"/>
        </w:rPr>
        <w:fldChar w:fldCharType="separate"/>
      </w:r>
      <w:r>
        <w:t>Tabelul 3</w:t>
      </w:r>
      <w:r>
        <w:rPr>
          <w:b/>
          <w:bCs/>
          <w:i/>
          <w:iCs/>
          <w:sz w:val="24"/>
          <w:szCs w:val="24"/>
        </w:rPr>
        <w:fldChar w:fldCharType="end"/>
      </w:r>
      <w:r>
        <w:rPr>
          <w:bCs/>
          <w:sz w:val="24"/>
          <w:szCs w:val="24"/>
        </w:rPr>
        <w:t>)</w:t>
      </w:r>
      <w:r>
        <w:rPr>
          <w:sz w:val="24"/>
          <w:szCs w:val="24"/>
        </w:rPr>
        <w:t xml:space="preserve">, conformându-se astfel încât să îndeplinească condiţiile de corelare stabilite în </w:t>
      </w:r>
      <w:r>
        <w:rPr>
          <w:b/>
          <w:sz w:val="24"/>
          <w:szCs w:val="24"/>
        </w:rPr>
        <w:t>Art.6.1.2.2.</w:t>
      </w:r>
      <w:r>
        <w:rPr>
          <w:sz w:val="24"/>
          <w:szCs w:val="24"/>
        </w:rPr>
        <w:t xml:space="preserve"> şi </w:t>
      </w:r>
      <w:r>
        <w:rPr>
          <w:b/>
          <w:bCs/>
          <w:i/>
          <w:iCs/>
          <w:sz w:val="24"/>
          <w:szCs w:val="24"/>
        </w:rPr>
        <w:fldChar w:fldCharType="begin"/>
      </w:r>
      <w:r>
        <w:rPr>
          <w:b/>
          <w:bCs/>
          <w:i/>
          <w:iCs/>
          <w:sz w:val="24"/>
          <w:szCs w:val="24"/>
        </w:rPr>
        <w:instrText xml:space="preserve"> REF _Ref2491 \h </w:instrText>
      </w:r>
      <w:r>
        <w:rPr>
          <w:b/>
          <w:bCs/>
          <w:i/>
          <w:iCs/>
          <w:sz w:val="24"/>
          <w:szCs w:val="24"/>
        </w:rPr>
      </w:r>
      <w:r>
        <w:rPr>
          <w:b/>
          <w:bCs/>
          <w:i/>
          <w:iCs/>
          <w:sz w:val="24"/>
          <w:szCs w:val="24"/>
        </w:rPr>
        <w:fldChar w:fldCharType="separate"/>
      </w:r>
      <w:r>
        <w:t>Tabelul 114</w:t>
      </w:r>
      <w:r>
        <w:rPr>
          <w:b/>
          <w:bCs/>
          <w:i/>
          <w:iCs/>
          <w:sz w:val="24"/>
          <w:szCs w:val="24"/>
        </w:rPr>
        <w:fldChar w:fldCharType="end"/>
      </w:r>
      <w:r>
        <w:rPr>
          <w:sz w:val="24"/>
          <w:szCs w:val="24"/>
        </w:rPr>
        <w:t>.</w:t>
      </w:r>
    </w:p>
    <w:p w14:paraId="53E94C59" w14:textId="77777777" w:rsidR="001C08A5" w:rsidRDefault="001C08A5">
      <w:pPr>
        <w:jc w:val="both"/>
        <w:rPr>
          <w:sz w:val="24"/>
          <w:szCs w:val="24"/>
        </w:rPr>
      </w:pPr>
    </w:p>
    <w:p w14:paraId="3822E2F3" w14:textId="77777777" w:rsidR="001C08A5" w:rsidRDefault="00000000">
      <w:pPr>
        <w:jc w:val="both"/>
        <w:rPr>
          <w:sz w:val="24"/>
          <w:szCs w:val="24"/>
        </w:rPr>
      </w:pPr>
      <w:r>
        <w:rPr>
          <w:b/>
          <w:sz w:val="24"/>
          <w:szCs w:val="24"/>
        </w:rPr>
        <w:tab/>
        <w:t xml:space="preserve">Art. </w:t>
      </w:r>
      <w:r>
        <w:rPr>
          <w:b/>
          <w:bCs/>
          <w:sz w:val="24"/>
          <w:szCs w:val="24"/>
        </w:rPr>
        <w:t>6.2.2.</w:t>
      </w:r>
      <w:r>
        <w:rPr>
          <w:b/>
          <w:sz w:val="24"/>
          <w:szCs w:val="24"/>
        </w:rPr>
        <w:t>3.</w:t>
      </w:r>
      <w:r>
        <w:rPr>
          <w:sz w:val="24"/>
          <w:szCs w:val="24"/>
        </w:rPr>
        <w:t xml:space="preserve"> </w:t>
      </w:r>
      <w:r>
        <w:rPr>
          <w:b/>
          <w:bCs/>
          <w:sz w:val="24"/>
          <w:szCs w:val="24"/>
        </w:rPr>
        <w:t>(1)</w:t>
      </w:r>
      <w:r>
        <w:rPr>
          <w:sz w:val="24"/>
          <w:szCs w:val="24"/>
        </w:rPr>
        <w:t xml:space="preserve"> Construcţiile de producţie şi/sau depozitare supraterane închise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se amplasează independent faţă de alte construcţii învecinate, cel puţin la distanţele de siguranţă normate în </w:t>
      </w:r>
      <w:r>
        <w:rPr>
          <w:b/>
          <w:sz w:val="24"/>
          <w:szCs w:val="24"/>
        </w:rPr>
        <w:t xml:space="preserve">Art. </w:t>
      </w:r>
      <w:r>
        <w:rPr>
          <w:b/>
          <w:bCs/>
          <w:sz w:val="24"/>
          <w:szCs w:val="24"/>
        </w:rPr>
        <w:t>2.2.1.2</w:t>
      </w:r>
      <w:r>
        <w:rPr>
          <w:b/>
          <w:sz w:val="24"/>
          <w:szCs w:val="24"/>
        </w:rPr>
        <w:t>.</w:t>
      </w:r>
      <w:r>
        <w:rPr>
          <w:sz w:val="24"/>
          <w:szCs w:val="24"/>
        </w:rPr>
        <w:t xml:space="preserve"> şi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sz w:val="24"/>
          <w:szCs w:val="24"/>
        </w:rPr>
        <w:t xml:space="preserve">, majorate cu </w:t>
      </w:r>
      <w:r>
        <w:rPr>
          <w:b/>
          <w:sz w:val="24"/>
          <w:szCs w:val="24"/>
        </w:rPr>
        <w:t xml:space="preserve">100%, </w:t>
      </w:r>
      <w:r>
        <w:rPr>
          <w:bCs/>
          <w:sz w:val="24"/>
          <w:szCs w:val="24"/>
        </w:rPr>
        <w:t>cu excepția construcțiilor care le deservesc, respectiv post de transformare, generatoare, rezervoare de apă (cu excepția stației de pompare), etc., care se amplasează la distanțele de siguranță conform dispozițiilor specifice acestora.</w:t>
      </w:r>
    </w:p>
    <w:p w14:paraId="2D695E58" w14:textId="77777777" w:rsidR="001C08A5" w:rsidRDefault="00000000">
      <w:pPr>
        <w:ind w:firstLine="720"/>
        <w:jc w:val="both"/>
        <w:rPr>
          <w:b/>
          <w:bCs/>
          <w:sz w:val="24"/>
          <w:szCs w:val="24"/>
        </w:rPr>
      </w:pPr>
      <w:r>
        <w:rPr>
          <w:b/>
          <w:bCs/>
          <w:sz w:val="24"/>
          <w:szCs w:val="24"/>
        </w:rPr>
        <w:lastRenderedPageBreak/>
        <w:t>(2)</w:t>
      </w:r>
      <w:r>
        <w:rPr>
          <w:sz w:val="24"/>
          <w:szCs w:val="24"/>
        </w:rPr>
        <w:t xml:space="preserve"> Este interzisă comasarea construcţiilor de producţie şi/sau depozitare supraterane închise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 xml:space="preserve">72 m </w:t>
      </w:r>
      <w:r>
        <w:rPr>
          <w:sz w:val="24"/>
          <w:szCs w:val="24"/>
        </w:rPr>
        <w:t>cu alte construcții de productie/ depozitare sau civile.</w:t>
      </w:r>
    </w:p>
    <w:p w14:paraId="3E55162F" w14:textId="77777777" w:rsidR="001C08A5" w:rsidRDefault="001C08A5">
      <w:pPr>
        <w:jc w:val="both"/>
        <w:rPr>
          <w:b/>
          <w:bCs/>
          <w:sz w:val="24"/>
          <w:szCs w:val="24"/>
        </w:rPr>
      </w:pPr>
    </w:p>
    <w:p w14:paraId="6140D619" w14:textId="77777777" w:rsidR="001C08A5" w:rsidRDefault="00000000">
      <w:pPr>
        <w:jc w:val="both"/>
        <w:rPr>
          <w:b/>
          <w:sz w:val="24"/>
          <w:szCs w:val="24"/>
        </w:rPr>
      </w:pPr>
      <w:r>
        <w:rPr>
          <w:b/>
          <w:sz w:val="24"/>
          <w:szCs w:val="24"/>
        </w:rPr>
        <w:tab/>
        <w:t xml:space="preserve">Art. </w:t>
      </w:r>
      <w:r>
        <w:rPr>
          <w:b/>
          <w:bCs/>
          <w:sz w:val="24"/>
          <w:szCs w:val="24"/>
        </w:rPr>
        <w:t>6.2.2.4</w:t>
      </w:r>
      <w:r>
        <w:rPr>
          <w:b/>
          <w:sz w:val="24"/>
          <w:szCs w:val="24"/>
        </w:rPr>
        <w:t>. (1)</w:t>
      </w:r>
      <w:r>
        <w:rPr>
          <w:sz w:val="24"/>
          <w:szCs w:val="24"/>
        </w:rPr>
        <w:t xml:space="preserve"> Construcţiile de producţie şi/sau depozitare supraterane închise cu aria construită (</w:t>
      </w:r>
      <w:r>
        <w:rPr>
          <w:b/>
          <w:bCs/>
          <w:sz w:val="24"/>
          <w:szCs w:val="24"/>
        </w:rPr>
        <w:t>Ac</w:t>
      </w:r>
      <w:r>
        <w:rPr>
          <w:sz w:val="24"/>
          <w:szCs w:val="24"/>
        </w:rPr>
        <w:t xml:space="preserve">) mai mare de </w:t>
      </w:r>
      <w:r>
        <w:rPr>
          <w:b/>
          <w:bCs/>
          <w:sz w:val="24"/>
          <w:szCs w:val="24"/>
        </w:rPr>
        <w:t>1.000 m</w:t>
      </w:r>
      <w:r>
        <w:rPr>
          <w:b/>
          <w:bCs/>
          <w:sz w:val="24"/>
          <w:szCs w:val="24"/>
          <w:vertAlign w:val="superscript"/>
        </w:rPr>
        <w:t>2</w:t>
      </w:r>
      <w:r>
        <w:rPr>
          <w:sz w:val="24"/>
          <w:szCs w:val="24"/>
        </w:rPr>
        <w:t xml:space="preserve"> și în care activitatea se desfăşoară numai la lumină artificială pot fi amplasate independent sau comasate cu alte construcţii de producţie şi/sau depozitare.</w:t>
      </w:r>
    </w:p>
    <w:p w14:paraId="0F6272CC" w14:textId="77777777" w:rsidR="001C08A5" w:rsidRDefault="00000000">
      <w:pPr>
        <w:ind w:firstLine="720"/>
        <w:jc w:val="both"/>
        <w:rPr>
          <w:sz w:val="24"/>
          <w:szCs w:val="24"/>
        </w:rPr>
      </w:pPr>
      <w:r>
        <w:rPr>
          <w:b/>
          <w:sz w:val="24"/>
          <w:szCs w:val="24"/>
        </w:rPr>
        <w:t>(2)</w:t>
      </w:r>
      <w:r>
        <w:rPr>
          <w:sz w:val="24"/>
          <w:szCs w:val="24"/>
        </w:rPr>
        <w:t xml:space="preserve"> Construcţiile independente de producţie şi/sau depozitare supraterane închise cu aria construită (</w:t>
      </w:r>
      <w:r>
        <w:rPr>
          <w:b/>
          <w:bCs/>
          <w:sz w:val="24"/>
          <w:szCs w:val="24"/>
        </w:rPr>
        <w:t>Ac</w:t>
      </w:r>
      <w:r>
        <w:rPr>
          <w:sz w:val="24"/>
          <w:szCs w:val="24"/>
        </w:rPr>
        <w:t xml:space="preserve">) mai mare de </w:t>
      </w:r>
      <w:r>
        <w:rPr>
          <w:b/>
          <w:bCs/>
          <w:sz w:val="24"/>
          <w:szCs w:val="24"/>
        </w:rPr>
        <w:t>1.000 m</w:t>
      </w:r>
      <w:r>
        <w:rPr>
          <w:b/>
          <w:bCs/>
          <w:sz w:val="24"/>
          <w:szCs w:val="24"/>
          <w:vertAlign w:val="superscript"/>
        </w:rPr>
        <w:t>2</w:t>
      </w:r>
      <w:r>
        <w:rPr>
          <w:sz w:val="24"/>
          <w:szCs w:val="24"/>
        </w:rPr>
        <w:t xml:space="preserve"> și în care activitatea se desfăşoară numai la lumină artificială se amplasează faţă de alte construcţii învecinate, la distanţele de siguranţă prevăzute în </w:t>
      </w:r>
      <w:r>
        <w:rPr>
          <w:b/>
          <w:sz w:val="24"/>
          <w:szCs w:val="24"/>
        </w:rPr>
        <w:t xml:space="preserve">Art. </w:t>
      </w:r>
      <w:r>
        <w:rPr>
          <w:b/>
          <w:bCs/>
          <w:sz w:val="24"/>
          <w:szCs w:val="24"/>
        </w:rPr>
        <w:t>2.2.1.2</w:t>
      </w:r>
      <w:r>
        <w:rPr>
          <w:b/>
          <w:sz w:val="24"/>
          <w:szCs w:val="24"/>
        </w:rPr>
        <w:t>.</w:t>
      </w:r>
      <w:r>
        <w:rPr>
          <w:sz w:val="24"/>
          <w:szCs w:val="24"/>
        </w:rPr>
        <w:t xml:space="preserve"> şi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sz w:val="24"/>
          <w:szCs w:val="24"/>
        </w:rPr>
        <w:t>, sau se compartimentează cu pereţi rezistenţi la foc de separare a compartimentelor de incendiu.</w:t>
      </w:r>
    </w:p>
    <w:p w14:paraId="4EDABD4C" w14:textId="77777777" w:rsidR="001C08A5" w:rsidRDefault="00000000">
      <w:pPr>
        <w:jc w:val="both"/>
        <w:rPr>
          <w:sz w:val="24"/>
          <w:szCs w:val="24"/>
        </w:rPr>
      </w:pPr>
      <w:r>
        <w:rPr>
          <w:sz w:val="24"/>
          <w:szCs w:val="24"/>
        </w:rPr>
        <w:tab/>
      </w:r>
      <w:r>
        <w:rPr>
          <w:b/>
          <w:sz w:val="24"/>
          <w:szCs w:val="24"/>
        </w:rPr>
        <w:t>(3)</w:t>
      </w:r>
      <w:r>
        <w:rPr>
          <w:sz w:val="24"/>
          <w:szCs w:val="24"/>
        </w:rPr>
        <w:t xml:space="preserve"> Comasarea cu alte construcţii de producţie şi/sau depozitare se poate realiza în limitele compartimentelor de incendiu stabilite la </w:t>
      </w:r>
      <w:r>
        <w:rPr>
          <w:b/>
          <w:sz w:val="24"/>
          <w:szCs w:val="24"/>
        </w:rPr>
        <w:t xml:space="preserve">Art. 6.1.2.2 </w:t>
      </w:r>
      <w:r>
        <w:rPr>
          <w:bCs/>
          <w:sz w:val="24"/>
          <w:szCs w:val="24"/>
        </w:rPr>
        <w:t>și</w:t>
      </w:r>
      <w:r>
        <w:rPr>
          <w:sz w:val="24"/>
          <w:szCs w:val="24"/>
        </w:rPr>
        <w:t xml:space="preserve"> </w:t>
      </w:r>
      <w:r>
        <w:rPr>
          <w:b/>
          <w:bCs/>
          <w:i/>
          <w:iCs/>
          <w:sz w:val="24"/>
          <w:szCs w:val="24"/>
        </w:rPr>
        <w:fldChar w:fldCharType="begin"/>
      </w:r>
      <w:r>
        <w:rPr>
          <w:b/>
          <w:bCs/>
          <w:i/>
          <w:iCs/>
          <w:sz w:val="24"/>
          <w:szCs w:val="24"/>
        </w:rPr>
        <w:instrText xml:space="preserve"> REF _Ref2491 \h </w:instrText>
      </w:r>
      <w:r>
        <w:rPr>
          <w:b/>
          <w:bCs/>
          <w:i/>
          <w:iCs/>
          <w:sz w:val="24"/>
          <w:szCs w:val="24"/>
        </w:rPr>
      </w:r>
      <w:r>
        <w:rPr>
          <w:b/>
          <w:bCs/>
          <w:i/>
          <w:iCs/>
          <w:sz w:val="24"/>
          <w:szCs w:val="24"/>
        </w:rPr>
        <w:fldChar w:fldCharType="separate"/>
      </w:r>
      <w:r>
        <w:t>Tabelul 114</w:t>
      </w:r>
      <w:r>
        <w:rPr>
          <w:b/>
          <w:bCs/>
          <w:i/>
          <w:iCs/>
          <w:sz w:val="24"/>
          <w:szCs w:val="24"/>
        </w:rPr>
        <w:fldChar w:fldCharType="end"/>
      </w:r>
      <w:r>
        <w:rPr>
          <w:sz w:val="24"/>
          <w:szCs w:val="24"/>
        </w:rPr>
        <w:t>, asigurându-se separarea funcţiunilor diferite cu elemente de construcţie verticale şi orizontale cu rezistenţe la foc determinate în funcţie de densitatea sarcinii termice (</w:t>
      </w:r>
      <w:r>
        <w:rPr>
          <w:b/>
          <w:bCs/>
          <w:sz w:val="24"/>
          <w:szCs w:val="24"/>
        </w:rPr>
        <w:t>q</w:t>
      </w:r>
      <w:r>
        <w:rPr>
          <w:sz w:val="24"/>
          <w:szCs w:val="24"/>
        </w:rPr>
        <w:t xml:space="preserve">) din spaţiile adiacente, dar nu mai puţin de </w:t>
      </w:r>
      <w:r>
        <w:rPr>
          <w:b/>
          <w:sz w:val="24"/>
          <w:szCs w:val="24"/>
        </w:rPr>
        <w:t xml:space="preserve">REI 180 </w:t>
      </w:r>
      <w:r>
        <w:rPr>
          <w:bCs/>
          <w:sz w:val="24"/>
          <w:szCs w:val="24"/>
        </w:rPr>
        <w:t>sau</w:t>
      </w:r>
      <w:r>
        <w:rPr>
          <w:b/>
          <w:sz w:val="24"/>
          <w:szCs w:val="24"/>
        </w:rPr>
        <w:t xml:space="preserve"> EI 180-M</w:t>
      </w:r>
      <w:r>
        <w:rPr>
          <w:sz w:val="24"/>
          <w:szCs w:val="24"/>
        </w:rPr>
        <w:t xml:space="preserve"> pentru pereţi şi </w:t>
      </w:r>
      <w:r>
        <w:rPr>
          <w:b/>
          <w:sz w:val="24"/>
          <w:szCs w:val="24"/>
        </w:rPr>
        <w:t xml:space="preserve">REI 120 </w:t>
      </w:r>
      <w:r>
        <w:rPr>
          <w:sz w:val="24"/>
          <w:szCs w:val="24"/>
        </w:rPr>
        <w:t>pentru planşee.</w:t>
      </w:r>
    </w:p>
    <w:p w14:paraId="389CE780" w14:textId="77777777" w:rsidR="001C08A5" w:rsidRDefault="001C08A5">
      <w:pPr>
        <w:jc w:val="both"/>
        <w:rPr>
          <w:sz w:val="24"/>
          <w:szCs w:val="24"/>
        </w:rPr>
      </w:pPr>
    </w:p>
    <w:p w14:paraId="7669D9A3" w14:textId="77777777" w:rsidR="001C08A5" w:rsidRDefault="00000000">
      <w:pPr>
        <w:jc w:val="both"/>
        <w:rPr>
          <w:b/>
          <w:sz w:val="24"/>
          <w:szCs w:val="24"/>
        </w:rPr>
      </w:pPr>
      <w:r>
        <w:rPr>
          <w:b/>
          <w:sz w:val="24"/>
          <w:szCs w:val="24"/>
        </w:rPr>
        <w:tab/>
        <w:t xml:space="preserve">Art. </w:t>
      </w:r>
      <w:r>
        <w:rPr>
          <w:b/>
          <w:bCs/>
          <w:sz w:val="24"/>
          <w:szCs w:val="24"/>
        </w:rPr>
        <w:t>6.2.2.</w:t>
      </w:r>
      <w:r>
        <w:rPr>
          <w:b/>
          <w:sz w:val="24"/>
          <w:szCs w:val="24"/>
        </w:rPr>
        <w:t>5.</w:t>
      </w:r>
      <w:r>
        <w:rPr>
          <w:sz w:val="24"/>
          <w:szCs w:val="24"/>
        </w:rPr>
        <w:t xml:space="preserve"> Porţiunile de construcţie sau grupările de încăperi cu risc mare sau foarte mare de incendiu se recomandă să fie dispuse adiacent închiderilor perimetrale ale construcţiei şi pe cât posibil grupate, în clădirile de producţie şi/sau depozitare supraterane închise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w:t>
      </w:r>
    </w:p>
    <w:p w14:paraId="55CF2EA3" w14:textId="77777777" w:rsidR="001C08A5" w:rsidRDefault="001C08A5">
      <w:pPr>
        <w:jc w:val="both"/>
        <w:rPr>
          <w:b/>
          <w:sz w:val="24"/>
          <w:szCs w:val="24"/>
        </w:rPr>
      </w:pPr>
    </w:p>
    <w:p w14:paraId="083CF6C3" w14:textId="77777777" w:rsidR="001C08A5" w:rsidRDefault="00000000">
      <w:pPr>
        <w:jc w:val="both"/>
        <w:rPr>
          <w:sz w:val="24"/>
          <w:szCs w:val="24"/>
        </w:rPr>
      </w:pPr>
      <w:r>
        <w:rPr>
          <w:b/>
          <w:sz w:val="24"/>
          <w:szCs w:val="24"/>
        </w:rPr>
        <w:tab/>
        <w:t xml:space="preserve">Art. </w:t>
      </w:r>
      <w:r>
        <w:rPr>
          <w:b/>
          <w:bCs/>
          <w:sz w:val="24"/>
          <w:szCs w:val="24"/>
        </w:rPr>
        <w:t>6.2.2.</w:t>
      </w:r>
      <w:r>
        <w:rPr>
          <w:b/>
          <w:sz w:val="24"/>
          <w:szCs w:val="24"/>
        </w:rPr>
        <w:t xml:space="preserve">6. </w:t>
      </w:r>
      <w:r>
        <w:rPr>
          <w:sz w:val="24"/>
          <w:szCs w:val="24"/>
        </w:rPr>
        <w:t>Încăperile de producţie şi/sau depozitare supraterane închise cu aria construită (</w:t>
      </w:r>
      <w:r>
        <w:rPr>
          <w:b/>
          <w:bCs/>
          <w:sz w:val="24"/>
          <w:szCs w:val="24"/>
        </w:rPr>
        <w:t>Ac</w:t>
      </w:r>
      <w:r>
        <w:rPr>
          <w:sz w:val="24"/>
          <w:szCs w:val="24"/>
        </w:rPr>
        <w:t xml:space="preserve">) mai mare de </w:t>
      </w:r>
      <w:r>
        <w:rPr>
          <w:b/>
          <w:bCs/>
          <w:sz w:val="24"/>
          <w:szCs w:val="24"/>
        </w:rPr>
        <w:t>1.000 m</w:t>
      </w:r>
      <w:r>
        <w:rPr>
          <w:b/>
          <w:bCs/>
          <w:sz w:val="24"/>
          <w:szCs w:val="24"/>
          <w:vertAlign w:val="superscript"/>
        </w:rPr>
        <w:t>2</w:t>
      </w:r>
      <w:r>
        <w:rPr>
          <w:sz w:val="24"/>
          <w:szCs w:val="24"/>
        </w:rPr>
        <w:t xml:space="preserve"> și în care activitatea se desfăşoară numai la lumină artificială cu riscuri mari sau foarte mari de incendiu vor fi dispuse pe cât posibil, în zone distincte ale construcţiei.</w:t>
      </w:r>
    </w:p>
    <w:p w14:paraId="25D35EA0" w14:textId="77777777" w:rsidR="001C08A5" w:rsidRDefault="001C08A5">
      <w:pPr>
        <w:jc w:val="both"/>
        <w:rPr>
          <w:b/>
          <w:sz w:val="24"/>
          <w:szCs w:val="24"/>
        </w:rPr>
      </w:pPr>
    </w:p>
    <w:p w14:paraId="38E1D40D" w14:textId="77777777" w:rsidR="001C08A5" w:rsidRDefault="00000000">
      <w:pPr>
        <w:jc w:val="both"/>
        <w:rPr>
          <w:sz w:val="24"/>
          <w:szCs w:val="24"/>
        </w:rPr>
      </w:pPr>
      <w:r>
        <w:rPr>
          <w:b/>
          <w:sz w:val="24"/>
          <w:szCs w:val="24"/>
        </w:rPr>
        <w:tab/>
        <w:t xml:space="preserve">Art. </w:t>
      </w:r>
      <w:r>
        <w:rPr>
          <w:b/>
          <w:bCs/>
          <w:sz w:val="24"/>
          <w:szCs w:val="24"/>
        </w:rPr>
        <w:t>6.2.2.</w:t>
      </w:r>
      <w:r>
        <w:rPr>
          <w:b/>
          <w:sz w:val="24"/>
          <w:szCs w:val="24"/>
        </w:rPr>
        <w:t>7. (1)</w:t>
      </w:r>
      <w:r>
        <w:rPr>
          <w:sz w:val="24"/>
          <w:szCs w:val="24"/>
        </w:rPr>
        <w:t xml:space="preserve"> În construcţiile de producţie şi/sau depozitare supraterane închise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încăperile şi compartimentele de incendiu cu aria mai mare de </w:t>
      </w:r>
      <w:r>
        <w:rPr>
          <w:b/>
          <w:bCs/>
          <w:sz w:val="24"/>
          <w:szCs w:val="24"/>
        </w:rPr>
        <w:t>36 m²</w:t>
      </w:r>
      <w:r>
        <w:rPr>
          <w:sz w:val="24"/>
          <w:szCs w:val="24"/>
        </w:rPr>
        <w:t xml:space="preserve"> și densitatea de sarcină termică mai mare de </w:t>
      </w:r>
      <w:r>
        <w:rPr>
          <w:b/>
          <w:bCs/>
          <w:sz w:val="24"/>
          <w:szCs w:val="24"/>
        </w:rPr>
        <w:t>105 MJ/</w:t>
      </w:r>
      <w:r>
        <w:rPr>
          <w:b/>
          <w:sz w:val="24"/>
          <w:szCs w:val="24"/>
        </w:rPr>
        <w:t>m²</w:t>
      </w:r>
      <w:r>
        <w:rPr>
          <w:b/>
          <w:bCs/>
          <w:sz w:val="24"/>
          <w:szCs w:val="24"/>
        </w:rPr>
        <w:t xml:space="preserve"> </w:t>
      </w:r>
      <w:r>
        <w:rPr>
          <w:sz w:val="24"/>
          <w:szCs w:val="24"/>
        </w:rPr>
        <w:t xml:space="preserve">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4A90CBD7" w14:textId="77777777" w:rsidR="001C08A5" w:rsidRDefault="00000000">
      <w:pPr>
        <w:ind w:firstLine="720"/>
        <w:jc w:val="both"/>
        <w:rPr>
          <w:sz w:val="24"/>
          <w:szCs w:val="24"/>
        </w:rPr>
      </w:pPr>
      <w:r>
        <w:rPr>
          <w:b/>
          <w:sz w:val="24"/>
          <w:szCs w:val="24"/>
        </w:rPr>
        <w:t xml:space="preserve">(2) </w:t>
      </w:r>
      <w:r>
        <w:rPr>
          <w:sz w:val="24"/>
          <w:szCs w:val="24"/>
        </w:rPr>
        <w:t xml:space="preserve">Dispozitivele de evacuare a fumului prin tiraj natural-organizat, vor avea aria utilă/aerodinamică liberă totală de minimum </w:t>
      </w:r>
      <w:r>
        <w:rPr>
          <w:b/>
          <w:sz w:val="24"/>
          <w:szCs w:val="24"/>
        </w:rPr>
        <w:t>1%</w:t>
      </w:r>
      <w:r>
        <w:rPr>
          <w:sz w:val="24"/>
          <w:szCs w:val="24"/>
        </w:rPr>
        <w:t xml:space="preserve"> din aria pardoselii încăperii în care se prevad sisteme de evacuare a  fumului și gazelor fierbinţi.</w:t>
      </w:r>
    </w:p>
    <w:p w14:paraId="2FE8DE22" w14:textId="77777777" w:rsidR="001C08A5" w:rsidRDefault="001C08A5">
      <w:pPr>
        <w:jc w:val="both"/>
        <w:rPr>
          <w:sz w:val="24"/>
          <w:szCs w:val="24"/>
        </w:rPr>
      </w:pPr>
    </w:p>
    <w:p w14:paraId="139E8ED4" w14:textId="77777777" w:rsidR="001C08A5" w:rsidRDefault="00000000">
      <w:pPr>
        <w:jc w:val="both"/>
        <w:rPr>
          <w:sz w:val="24"/>
          <w:szCs w:val="24"/>
        </w:rPr>
      </w:pPr>
      <w:r>
        <w:rPr>
          <w:b/>
          <w:sz w:val="24"/>
          <w:szCs w:val="24"/>
        </w:rPr>
        <w:tab/>
        <w:t xml:space="preserve">Art. </w:t>
      </w:r>
      <w:r>
        <w:rPr>
          <w:b/>
          <w:bCs/>
          <w:sz w:val="24"/>
          <w:szCs w:val="24"/>
        </w:rPr>
        <w:t>6.2.2.</w:t>
      </w:r>
      <w:r>
        <w:rPr>
          <w:b/>
          <w:sz w:val="24"/>
          <w:szCs w:val="24"/>
        </w:rPr>
        <w:t xml:space="preserve">8. (1) </w:t>
      </w:r>
      <w:r>
        <w:rPr>
          <w:sz w:val="24"/>
          <w:szCs w:val="24"/>
        </w:rPr>
        <w:t>În construcţiile, compartimentele de incendiu și încăperile de producţie şi/sau depozitare supraterane închise cu aria construită (</w:t>
      </w:r>
      <w:r>
        <w:rPr>
          <w:b/>
          <w:bCs/>
          <w:sz w:val="24"/>
          <w:szCs w:val="24"/>
        </w:rPr>
        <w:t>Ac</w:t>
      </w:r>
      <w:r>
        <w:rPr>
          <w:sz w:val="24"/>
          <w:szCs w:val="24"/>
        </w:rPr>
        <w:t xml:space="preserve">) mai mare de </w:t>
      </w:r>
      <w:r>
        <w:rPr>
          <w:b/>
          <w:bCs/>
          <w:sz w:val="24"/>
          <w:szCs w:val="24"/>
        </w:rPr>
        <w:t>1.000 m</w:t>
      </w:r>
      <w:r>
        <w:rPr>
          <w:b/>
          <w:bCs/>
          <w:sz w:val="24"/>
          <w:szCs w:val="24"/>
          <w:vertAlign w:val="superscript"/>
        </w:rPr>
        <w:t>2</w:t>
      </w:r>
      <w:r>
        <w:rPr>
          <w:sz w:val="24"/>
          <w:szCs w:val="24"/>
        </w:rPr>
        <w:t xml:space="preserve"> și în care activitatea se desfăşoară numai la lumină artificială  încăperile şi compartimentele de incendiu cu aria mai mare de </w:t>
      </w:r>
      <w:r>
        <w:rPr>
          <w:b/>
          <w:sz w:val="24"/>
          <w:szCs w:val="24"/>
        </w:rPr>
        <w:t xml:space="preserve">36 </w:t>
      </w:r>
      <w:r>
        <w:rPr>
          <w:sz w:val="24"/>
          <w:szCs w:val="24"/>
        </w:rPr>
        <w:t xml:space="preserve">m² și densitatea de sarcină termică mai mare de </w:t>
      </w:r>
      <w:r>
        <w:rPr>
          <w:b/>
          <w:bCs/>
          <w:sz w:val="24"/>
          <w:szCs w:val="24"/>
        </w:rPr>
        <w:t>105 MJ/mp</w:t>
      </w:r>
      <w:r>
        <w:rPr>
          <w:sz w:val="24"/>
          <w:szCs w:val="24"/>
        </w:rPr>
        <w:t xml:space="preserve">, 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44DA11A3" w14:textId="77777777" w:rsidR="001C08A5" w:rsidRDefault="00000000">
      <w:pPr>
        <w:ind w:firstLine="720"/>
        <w:jc w:val="both"/>
        <w:rPr>
          <w:sz w:val="24"/>
          <w:szCs w:val="24"/>
        </w:rPr>
      </w:pPr>
      <w:r>
        <w:rPr>
          <w:b/>
          <w:sz w:val="24"/>
          <w:szCs w:val="24"/>
        </w:rPr>
        <w:t xml:space="preserve">(2) </w:t>
      </w:r>
      <w:r>
        <w:rPr>
          <w:sz w:val="24"/>
          <w:szCs w:val="24"/>
        </w:rPr>
        <w:t xml:space="preserve">Dispozitivele de evacuare a fumului prin tiraj natural-organizat, vor avea aria utilă/aerodinamică liberă totală de minimum </w:t>
      </w:r>
      <w:r>
        <w:rPr>
          <w:b/>
          <w:sz w:val="24"/>
          <w:szCs w:val="24"/>
        </w:rPr>
        <w:t>1%</w:t>
      </w:r>
      <w:r>
        <w:rPr>
          <w:sz w:val="24"/>
          <w:szCs w:val="24"/>
        </w:rPr>
        <w:t xml:space="preserve"> din aria pardoselii încăperii în care se prevad sisteme de evacuare a  fumului și gazelor fierbinţi.</w:t>
      </w:r>
    </w:p>
    <w:p w14:paraId="7CE38403" w14:textId="77777777" w:rsidR="001C08A5" w:rsidRDefault="001C08A5">
      <w:pPr>
        <w:ind w:firstLine="720"/>
        <w:jc w:val="both"/>
        <w:rPr>
          <w:sz w:val="24"/>
          <w:szCs w:val="24"/>
        </w:rPr>
      </w:pPr>
    </w:p>
    <w:p w14:paraId="3F4C5336" w14:textId="77777777" w:rsidR="001C08A5" w:rsidRDefault="00000000">
      <w:pPr>
        <w:jc w:val="both"/>
        <w:rPr>
          <w:sz w:val="24"/>
          <w:szCs w:val="24"/>
        </w:rPr>
      </w:pPr>
      <w:r>
        <w:rPr>
          <w:b/>
          <w:sz w:val="24"/>
          <w:szCs w:val="24"/>
        </w:rPr>
        <w:tab/>
        <w:t xml:space="preserve">Art. </w:t>
      </w:r>
      <w:r>
        <w:rPr>
          <w:b/>
          <w:bCs/>
          <w:sz w:val="24"/>
          <w:szCs w:val="24"/>
        </w:rPr>
        <w:t>6.2.2.</w:t>
      </w:r>
      <w:r>
        <w:rPr>
          <w:b/>
          <w:sz w:val="24"/>
          <w:szCs w:val="24"/>
        </w:rPr>
        <w:t xml:space="preserve">9. </w:t>
      </w:r>
      <w:r>
        <w:rPr>
          <w:sz w:val="24"/>
          <w:szCs w:val="24"/>
        </w:rPr>
        <w:t>Construcţiile de producţie şi/sau depozitare supraterane închise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și construcţiile și încăperile de producţie şi/sau depozitare supraterane închise cu aria construită (</w:t>
      </w:r>
      <w:r>
        <w:rPr>
          <w:b/>
          <w:bCs/>
          <w:sz w:val="24"/>
          <w:szCs w:val="24"/>
        </w:rPr>
        <w:t>Ac</w:t>
      </w:r>
      <w:r>
        <w:rPr>
          <w:sz w:val="24"/>
          <w:szCs w:val="24"/>
        </w:rPr>
        <w:t xml:space="preserve">) mai mare de </w:t>
      </w:r>
      <w:r>
        <w:rPr>
          <w:b/>
          <w:bCs/>
          <w:sz w:val="24"/>
          <w:szCs w:val="24"/>
        </w:rPr>
        <w:t>1.000 m</w:t>
      </w:r>
      <w:r>
        <w:rPr>
          <w:b/>
          <w:bCs/>
          <w:sz w:val="24"/>
          <w:szCs w:val="24"/>
          <w:vertAlign w:val="superscript"/>
        </w:rPr>
        <w:t>2</w:t>
      </w:r>
      <w:r>
        <w:rPr>
          <w:sz w:val="24"/>
          <w:szCs w:val="24"/>
        </w:rPr>
        <w:t xml:space="preserve"> în care activitatea se desfăşoară numai la lumină artificială vor avea asigurate căi de evacuare a utilizatorilor în număr corespunzător, dimensionate, distribuite, alcătuite și realizate potrivit prevederilor normativului.</w:t>
      </w:r>
    </w:p>
    <w:p w14:paraId="6E211CA6" w14:textId="77777777" w:rsidR="001C08A5" w:rsidRDefault="001C08A5">
      <w:pPr>
        <w:jc w:val="both"/>
        <w:rPr>
          <w:sz w:val="24"/>
          <w:szCs w:val="24"/>
        </w:rPr>
      </w:pPr>
    </w:p>
    <w:p w14:paraId="07550AF0" w14:textId="77777777" w:rsidR="001C08A5" w:rsidRDefault="00000000">
      <w:pPr>
        <w:jc w:val="both"/>
        <w:rPr>
          <w:sz w:val="24"/>
          <w:szCs w:val="24"/>
        </w:rPr>
      </w:pPr>
      <w:r>
        <w:rPr>
          <w:b/>
          <w:sz w:val="24"/>
          <w:szCs w:val="24"/>
        </w:rPr>
        <w:tab/>
        <w:t xml:space="preserve">Art. </w:t>
      </w:r>
      <w:r>
        <w:rPr>
          <w:b/>
          <w:bCs/>
          <w:sz w:val="24"/>
          <w:szCs w:val="24"/>
        </w:rPr>
        <w:t>6.2.2.</w:t>
      </w:r>
      <w:r>
        <w:rPr>
          <w:b/>
          <w:sz w:val="24"/>
          <w:szCs w:val="24"/>
        </w:rPr>
        <w:t xml:space="preserve">10. (1) </w:t>
      </w:r>
      <w:r>
        <w:rPr>
          <w:sz w:val="24"/>
          <w:szCs w:val="24"/>
        </w:rPr>
        <w:t>În interiorul construcţiei de producţie şi/sau depozitare supraterane închise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se asigură şi hidranţi de incendiu </w:t>
      </w:r>
      <w:r>
        <w:rPr>
          <w:rFonts w:hint="eastAsia"/>
          <w:sz w:val="24"/>
          <w:szCs w:val="24"/>
        </w:rPr>
        <w:t>amplasa</w:t>
      </w:r>
      <w:r>
        <w:rPr>
          <w:rFonts w:hint="eastAsia"/>
          <w:sz w:val="24"/>
          <w:szCs w:val="24"/>
        </w:rPr>
        <w:t>ţ</w:t>
      </w:r>
      <w:r>
        <w:rPr>
          <w:rFonts w:hint="eastAsia"/>
          <w:sz w:val="24"/>
          <w:szCs w:val="24"/>
        </w:rPr>
        <w:t>i la nivelul pardoselii sau îngropa</w:t>
      </w:r>
      <w:r>
        <w:rPr>
          <w:rFonts w:hint="eastAsia"/>
          <w:sz w:val="24"/>
          <w:szCs w:val="24"/>
        </w:rPr>
        <w:t>ţ</w:t>
      </w:r>
      <w:r>
        <w:rPr>
          <w:rFonts w:hint="eastAsia"/>
          <w:sz w:val="24"/>
          <w:szCs w:val="24"/>
        </w:rPr>
        <w:t>i în pardoseal</w:t>
      </w:r>
      <w:r>
        <w:rPr>
          <w:rFonts w:hint="eastAsia"/>
          <w:sz w:val="24"/>
          <w:szCs w:val="24"/>
        </w:rPr>
        <w:t>ă</w:t>
      </w:r>
      <w:r>
        <w:rPr>
          <w:rFonts w:hint="eastAsia"/>
          <w:sz w:val="24"/>
          <w:szCs w:val="24"/>
        </w:rPr>
        <w:t>, în cutii</w:t>
      </w:r>
      <w:r>
        <w:rPr>
          <w:sz w:val="24"/>
          <w:szCs w:val="24"/>
        </w:rPr>
        <w:t xml:space="preserve"> </w:t>
      </w:r>
      <w:r>
        <w:rPr>
          <w:rFonts w:hint="eastAsia"/>
          <w:sz w:val="24"/>
          <w:szCs w:val="24"/>
        </w:rPr>
        <w:t>speciale, corespunz</w:t>
      </w:r>
      <w:r>
        <w:rPr>
          <w:rFonts w:hint="eastAsia"/>
          <w:sz w:val="24"/>
          <w:szCs w:val="24"/>
        </w:rPr>
        <w:t>ă</w:t>
      </w:r>
      <w:r>
        <w:rPr>
          <w:rFonts w:hint="eastAsia"/>
          <w:sz w:val="24"/>
          <w:szCs w:val="24"/>
        </w:rPr>
        <w:t>toare</w:t>
      </w:r>
      <w:r>
        <w:rPr>
          <w:sz w:val="24"/>
          <w:szCs w:val="24"/>
        </w:rPr>
        <w:t>, astfel amplasaţi încât să poată fi utilizaţi pentru stingere.</w:t>
      </w:r>
    </w:p>
    <w:p w14:paraId="64914BC3" w14:textId="77777777" w:rsidR="001C08A5" w:rsidRDefault="00000000">
      <w:pPr>
        <w:ind w:firstLine="720"/>
        <w:jc w:val="both"/>
        <w:rPr>
          <w:sz w:val="24"/>
          <w:szCs w:val="24"/>
        </w:rPr>
      </w:pPr>
      <w:r>
        <w:rPr>
          <w:b/>
          <w:sz w:val="24"/>
          <w:szCs w:val="24"/>
        </w:rPr>
        <w:t xml:space="preserve">(2) </w:t>
      </w:r>
      <w:r>
        <w:rPr>
          <w:rFonts w:hint="eastAsia"/>
          <w:sz w:val="24"/>
          <w:szCs w:val="24"/>
        </w:rPr>
        <w:t xml:space="preserve">La </w:t>
      </w:r>
      <w:r>
        <w:rPr>
          <w:sz w:val="24"/>
          <w:szCs w:val="24"/>
        </w:rPr>
        <w:t>construcţiile de producţie şi/sau depozitare supraterane închise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rFonts w:hint="eastAsia"/>
          <w:sz w:val="24"/>
          <w:szCs w:val="24"/>
        </w:rPr>
        <w:t>, la care nu se poate asigura protec</w:t>
      </w:r>
      <w:r>
        <w:rPr>
          <w:rFonts w:hint="eastAsia"/>
          <w:sz w:val="24"/>
          <w:szCs w:val="24"/>
        </w:rPr>
        <w:t>ţ</w:t>
      </w:r>
      <w:r>
        <w:rPr>
          <w:rFonts w:hint="eastAsia"/>
          <w:sz w:val="24"/>
          <w:szCs w:val="24"/>
        </w:rPr>
        <w:t>ia întregii suprafe</w:t>
      </w:r>
      <w:r>
        <w:rPr>
          <w:rFonts w:hint="eastAsia"/>
          <w:sz w:val="24"/>
          <w:szCs w:val="24"/>
        </w:rPr>
        <w:t>ţ</w:t>
      </w:r>
      <w:r>
        <w:rPr>
          <w:rFonts w:hint="eastAsia"/>
          <w:sz w:val="24"/>
          <w:szCs w:val="24"/>
        </w:rPr>
        <w:t>e de la</w:t>
      </w:r>
      <w:r>
        <w:rPr>
          <w:sz w:val="24"/>
          <w:szCs w:val="24"/>
        </w:rPr>
        <w:t xml:space="preserve"> </w:t>
      </w:r>
      <w:r>
        <w:rPr>
          <w:rFonts w:hint="eastAsia"/>
          <w:sz w:val="24"/>
          <w:szCs w:val="24"/>
        </w:rPr>
        <w:t>hidran</w:t>
      </w:r>
      <w:r>
        <w:rPr>
          <w:rFonts w:hint="eastAsia"/>
          <w:sz w:val="24"/>
          <w:szCs w:val="24"/>
        </w:rPr>
        <w:t>ţ</w:t>
      </w:r>
      <w:r>
        <w:rPr>
          <w:rFonts w:hint="eastAsia"/>
          <w:sz w:val="24"/>
          <w:szCs w:val="24"/>
        </w:rPr>
        <w:t>ii de incendiu exteriori, se prev</w:t>
      </w:r>
      <w:r>
        <w:rPr>
          <w:rFonts w:hint="eastAsia"/>
          <w:sz w:val="24"/>
          <w:szCs w:val="24"/>
        </w:rPr>
        <w:t>ă</w:t>
      </w:r>
      <w:r>
        <w:rPr>
          <w:rFonts w:hint="eastAsia"/>
          <w:sz w:val="24"/>
          <w:szCs w:val="24"/>
        </w:rPr>
        <w:t>d hidran</w:t>
      </w:r>
      <w:r>
        <w:rPr>
          <w:rFonts w:hint="eastAsia"/>
          <w:sz w:val="24"/>
          <w:szCs w:val="24"/>
        </w:rPr>
        <w:t>ţ</w:t>
      </w:r>
      <w:r>
        <w:rPr>
          <w:rFonts w:hint="eastAsia"/>
          <w:sz w:val="24"/>
          <w:szCs w:val="24"/>
        </w:rPr>
        <w:t>i de incendiu interiori pe tunelurile</w:t>
      </w:r>
      <w:r>
        <w:rPr>
          <w:sz w:val="24"/>
          <w:szCs w:val="24"/>
        </w:rPr>
        <w:t xml:space="preserve"> sau degajamentele protejate</w:t>
      </w:r>
      <w:r>
        <w:rPr>
          <w:rFonts w:hint="eastAsia"/>
          <w:sz w:val="24"/>
          <w:szCs w:val="24"/>
        </w:rPr>
        <w:t xml:space="preserve"> speciale</w:t>
      </w:r>
      <w:r>
        <w:rPr>
          <w:sz w:val="24"/>
          <w:szCs w:val="24"/>
        </w:rPr>
        <w:t xml:space="preserve"> </w:t>
      </w:r>
      <w:r>
        <w:rPr>
          <w:rFonts w:hint="eastAsia"/>
          <w:sz w:val="24"/>
          <w:szCs w:val="24"/>
        </w:rPr>
        <w:t>de evacuare.</w:t>
      </w:r>
    </w:p>
    <w:p w14:paraId="351468FC" w14:textId="77777777" w:rsidR="001C08A5" w:rsidRDefault="00000000">
      <w:pPr>
        <w:jc w:val="both"/>
        <w:rPr>
          <w:sz w:val="24"/>
          <w:szCs w:val="24"/>
        </w:rPr>
      </w:pPr>
      <w:r>
        <w:rPr>
          <w:sz w:val="24"/>
          <w:szCs w:val="24"/>
        </w:rPr>
        <w:tab/>
      </w:r>
    </w:p>
    <w:p w14:paraId="6B0C49A9" w14:textId="77777777" w:rsidR="001C08A5" w:rsidRDefault="00000000">
      <w:pPr>
        <w:jc w:val="both"/>
        <w:rPr>
          <w:sz w:val="24"/>
          <w:szCs w:val="24"/>
        </w:rPr>
      </w:pPr>
      <w:r>
        <w:rPr>
          <w:b/>
          <w:sz w:val="24"/>
          <w:szCs w:val="24"/>
        </w:rPr>
        <w:tab/>
        <w:t xml:space="preserve">Art. </w:t>
      </w:r>
      <w:r>
        <w:rPr>
          <w:b/>
          <w:bCs/>
          <w:sz w:val="24"/>
          <w:szCs w:val="24"/>
        </w:rPr>
        <w:t>6.2.2.</w:t>
      </w:r>
      <w:r>
        <w:rPr>
          <w:b/>
          <w:sz w:val="24"/>
          <w:szCs w:val="24"/>
        </w:rPr>
        <w:t>11. (1)</w:t>
      </w:r>
      <w:r>
        <w:rPr>
          <w:sz w:val="24"/>
          <w:szCs w:val="24"/>
        </w:rPr>
        <w:t xml:space="preserve"> Pentru intervenţia din exterior în caz de incendiu, construcţiile de producţie şi/sau depozitare supraterane închise cu aria construită (</w:t>
      </w:r>
      <w:r>
        <w:rPr>
          <w:b/>
          <w:bCs/>
          <w:sz w:val="24"/>
          <w:szCs w:val="24"/>
        </w:rPr>
        <w:t>Ac</w:t>
      </w:r>
      <w:r>
        <w:rPr>
          <w:sz w:val="24"/>
          <w:szCs w:val="24"/>
        </w:rPr>
        <w:t xml:space="preserve">) mai mare de </w:t>
      </w:r>
      <w:r>
        <w:rPr>
          <w:b/>
          <w:bCs/>
          <w:sz w:val="24"/>
          <w:szCs w:val="24"/>
        </w:rPr>
        <w:t>1.000 m</w:t>
      </w:r>
      <w:r>
        <w:rPr>
          <w:b/>
          <w:bCs/>
          <w:sz w:val="24"/>
          <w:szCs w:val="24"/>
          <w:vertAlign w:val="superscript"/>
        </w:rPr>
        <w:t>2</w:t>
      </w:r>
      <w:r>
        <w:rPr>
          <w:sz w:val="24"/>
          <w:szCs w:val="24"/>
        </w:rPr>
        <w:t xml:space="preserve"> în care activitatea se desfăşoară numai la lumină artificială vor avea asigurate căi de acces şi circulaţie pentru autospecialele de intervenţie, cel puţin pe două laturi, astfel încât să se asigure accesul și intervenţia autospecialelor de stingere în caz de incendiu, cel puţin pe </w:t>
      </w:r>
      <w:r>
        <w:rPr>
          <w:b/>
          <w:bCs/>
          <w:sz w:val="24"/>
          <w:szCs w:val="24"/>
        </w:rPr>
        <w:t>50%</w:t>
      </w:r>
      <w:r>
        <w:rPr>
          <w:sz w:val="24"/>
          <w:szCs w:val="24"/>
        </w:rPr>
        <w:t xml:space="preserve"> din perimetrul pereților exteriori.</w:t>
      </w:r>
    </w:p>
    <w:p w14:paraId="5172C87D" w14:textId="77777777" w:rsidR="001C08A5" w:rsidRDefault="00000000">
      <w:pPr>
        <w:ind w:firstLine="720"/>
        <w:jc w:val="both"/>
        <w:rPr>
          <w:sz w:val="24"/>
          <w:szCs w:val="24"/>
        </w:rPr>
      </w:pPr>
      <w:r>
        <w:rPr>
          <w:b/>
          <w:sz w:val="24"/>
          <w:szCs w:val="24"/>
        </w:rPr>
        <w:t xml:space="preserve">(2) </w:t>
      </w:r>
      <w:r>
        <w:rPr>
          <w:sz w:val="24"/>
          <w:szCs w:val="24"/>
        </w:rPr>
        <w:t xml:space="preserve">Accesul personalului de intervenţie în construcţie, se asigură prin circulaţiile funcţionale ale construcţiei și prin panouri de acces prevăzute în pereţii plini de închidere perimetrală (exteriori), panouri dispuse la maximum </w:t>
      </w:r>
      <w:r>
        <w:rPr>
          <w:b/>
          <w:bCs/>
          <w:sz w:val="24"/>
          <w:szCs w:val="24"/>
        </w:rPr>
        <w:t>60 m</w:t>
      </w:r>
      <w:r>
        <w:rPr>
          <w:sz w:val="24"/>
          <w:szCs w:val="24"/>
        </w:rPr>
        <w:t xml:space="preserve"> unul de altul, uşor demontabile din exterior și marcate vizibil pentru a fi uşor de recunoscut în caz de incendiu.</w:t>
      </w:r>
    </w:p>
    <w:p w14:paraId="3B82330F" w14:textId="77777777" w:rsidR="001C08A5" w:rsidRDefault="00000000">
      <w:pPr>
        <w:jc w:val="both"/>
        <w:rPr>
          <w:b/>
          <w:sz w:val="24"/>
          <w:szCs w:val="24"/>
        </w:rPr>
      </w:pPr>
      <w:r>
        <w:rPr>
          <w:sz w:val="24"/>
          <w:szCs w:val="24"/>
        </w:rPr>
        <w:tab/>
      </w:r>
      <w:r>
        <w:rPr>
          <w:sz w:val="24"/>
          <w:szCs w:val="24"/>
        </w:rPr>
        <w:tab/>
      </w:r>
      <w:r>
        <w:rPr>
          <w:b/>
          <w:sz w:val="24"/>
          <w:szCs w:val="24"/>
        </w:rPr>
        <w:tab/>
      </w:r>
    </w:p>
    <w:p w14:paraId="0CEDA383" w14:textId="77777777" w:rsidR="001C08A5" w:rsidRDefault="00000000">
      <w:pPr>
        <w:jc w:val="both"/>
        <w:rPr>
          <w:sz w:val="24"/>
          <w:szCs w:val="24"/>
        </w:rPr>
      </w:pPr>
      <w:r>
        <w:rPr>
          <w:b/>
          <w:sz w:val="24"/>
          <w:szCs w:val="24"/>
        </w:rPr>
        <w:tab/>
        <w:t xml:space="preserve">Art. </w:t>
      </w:r>
      <w:r>
        <w:rPr>
          <w:b/>
          <w:bCs/>
          <w:sz w:val="24"/>
          <w:szCs w:val="24"/>
        </w:rPr>
        <w:t>6.2.2.</w:t>
      </w:r>
      <w:r>
        <w:rPr>
          <w:b/>
          <w:sz w:val="24"/>
          <w:szCs w:val="24"/>
        </w:rPr>
        <w:t>12.</w:t>
      </w:r>
      <w:r>
        <w:rPr>
          <w:sz w:val="24"/>
          <w:szCs w:val="24"/>
        </w:rPr>
        <w:t xml:space="preserve"> Construcţiile de producţie şi/sau depozitare supraterane închise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vor avea asigurate căi de acces, posibilităţi de intervenţie a autospecialelor, cel puţin pe două laturi, astfel încât să se asigure accesul și intervenţia autospecialelor de stingere în caz de incendiu, cel puţin pe </w:t>
      </w:r>
      <w:r>
        <w:rPr>
          <w:b/>
          <w:bCs/>
          <w:sz w:val="24"/>
          <w:szCs w:val="24"/>
        </w:rPr>
        <w:t>50%</w:t>
      </w:r>
      <w:r>
        <w:rPr>
          <w:sz w:val="24"/>
          <w:szCs w:val="24"/>
        </w:rPr>
        <w:t xml:space="preserve"> din perimetrul pereților exteriori.</w:t>
      </w:r>
    </w:p>
    <w:p w14:paraId="13A6A2FF" w14:textId="77777777" w:rsidR="001C08A5" w:rsidRDefault="001C08A5">
      <w:pPr>
        <w:jc w:val="both"/>
        <w:rPr>
          <w:sz w:val="24"/>
          <w:szCs w:val="24"/>
        </w:rPr>
      </w:pPr>
    </w:p>
    <w:p w14:paraId="7AC7D245" w14:textId="77777777" w:rsidR="001C08A5" w:rsidRDefault="00000000">
      <w:pPr>
        <w:pStyle w:val="Heading3"/>
      </w:pPr>
      <w:bookmarkStart w:id="5322" w:name="_Toc27601"/>
      <w:bookmarkStart w:id="5323" w:name="_Toc19241"/>
      <w:bookmarkStart w:id="5324" w:name="_Toc21932"/>
      <w:bookmarkStart w:id="5325" w:name="_Toc29377"/>
      <w:bookmarkStart w:id="5326" w:name="_Toc162355360"/>
      <w:bookmarkStart w:id="5327" w:name="_Toc9970"/>
      <w:bookmarkStart w:id="5328" w:name="_Toc5925"/>
      <w:bookmarkStart w:id="5329" w:name="_Toc2182"/>
      <w:bookmarkStart w:id="5330" w:name="_Toc14852"/>
      <w:bookmarkStart w:id="5331" w:name="_Toc29775"/>
      <w:r>
        <w:t>SECŢIUNEA III</w:t>
      </w:r>
      <w:bookmarkEnd w:id="5322"/>
      <w:bookmarkEnd w:id="5323"/>
      <w:bookmarkEnd w:id="5324"/>
      <w:bookmarkEnd w:id="5325"/>
      <w:bookmarkEnd w:id="5326"/>
      <w:bookmarkEnd w:id="5327"/>
      <w:bookmarkEnd w:id="5328"/>
      <w:bookmarkEnd w:id="5329"/>
      <w:bookmarkEnd w:id="5330"/>
      <w:bookmarkEnd w:id="5331"/>
    </w:p>
    <w:p w14:paraId="5EDAA5C3" w14:textId="77777777" w:rsidR="001C08A5" w:rsidRDefault="00000000">
      <w:pPr>
        <w:pStyle w:val="Heading3"/>
        <w:rPr>
          <w:rFonts w:cs="Times New Roman"/>
          <w:sz w:val="24"/>
          <w:szCs w:val="24"/>
        </w:rPr>
      </w:pPr>
      <w:bookmarkStart w:id="5332" w:name="_Toc19985"/>
      <w:bookmarkStart w:id="5333" w:name="_Toc162355361"/>
      <w:bookmarkStart w:id="5334" w:name="_Toc20547"/>
      <w:bookmarkStart w:id="5335" w:name="_Toc3069"/>
      <w:bookmarkStart w:id="5336" w:name="_Toc16554"/>
      <w:bookmarkStart w:id="5337" w:name="_Toc11064"/>
      <w:bookmarkStart w:id="5338" w:name="_Toc4443"/>
      <w:bookmarkStart w:id="5339" w:name="_Toc27880"/>
      <w:bookmarkStart w:id="5340" w:name="_Toc7432"/>
      <w:bookmarkStart w:id="5341" w:name="_Toc624"/>
      <w:r>
        <w:t>6.3. Performanţe specifice construcţiilor de depozitare a materialelor și substanţelor</w:t>
      </w:r>
      <w:bookmarkEnd w:id="5332"/>
      <w:bookmarkEnd w:id="5333"/>
      <w:bookmarkEnd w:id="5334"/>
      <w:bookmarkEnd w:id="5335"/>
      <w:bookmarkEnd w:id="5336"/>
      <w:bookmarkEnd w:id="5337"/>
      <w:bookmarkEnd w:id="5338"/>
      <w:bookmarkEnd w:id="5339"/>
      <w:bookmarkEnd w:id="5340"/>
      <w:bookmarkEnd w:id="5341"/>
    </w:p>
    <w:p w14:paraId="05161E0F" w14:textId="77777777" w:rsidR="001C08A5" w:rsidRDefault="00000000">
      <w:pPr>
        <w:pStyle w:val="Heading4"/>
      </w:pPr>
      <w:bookmarkStart w:id="5342" w:name="_Toc18237"/>
      <w:bookmarkStart w:id="5343" w:name="_Toc22322"/>
      <w:bookmarkStart w:id="5344" w:name="_Toc27493"/>
      <w:bookmarkStart w:id="5345" w:name="_Toc162355362"/>
      <w:bookmarkStart w:id="5346" w:name="_Toc1652"/>
      <w:bookmarkStart w:id="5347" w:name="_Toc27355"/>
      <w:bookmarkStart w:id="5348" w:name="_Toc20608"/>
      <w:bookmarkStart w:id="5349" w:name="_Toc672"/>
      <w:r>
        <w:t>6.3.1. Prevederi comune</w:t>
      </w:r>
      <w:bookmarkEnd w:id="5342"/>
      <w:bookmarkEnd w:id="5343"/>
      <w:bookmarkEnd w:id="5344"/>
      <w:bookmarkEnd w:id="5345"/>
      <w:bookmarkEnd w:id="5346"/>
      <w:bookmarkEnd w:id="5347"/>
      <w:bookmarkEnd w:id="5348"/>
      <w:bookmarkEnd w:id="5349"/>
    </w:p>
    <w:p w14:paraId="3C8BCE5C" w14:textId="77777777" w:rsidR="001C08A5" w:rsidRDefault="001C08A5">
      <w:pPr>
        <w:jc w:val="both"/>
        <w:rPr>
          <w:sz w:val="24"/>
          <w:szCs w:val="24"/>
        </w:rPr>
      </w:pPr>
    </w:p>
    <w:p w14:paraId="5A788001" w14:textId="77777777" w:rsidR="001C08A5" w:rsidRDefault="00000000">
      <w:pPr>
        <w:jc w:val="both"/>
        <w:rPr>
          <w:sz w:val="24"/>
          <w:szCs w:val="24"/>
        </w:rPr>
      </w:pPr>
      <w:r>
        <w:rPr>
          <w:b/>
          <w:sz w:val="24"/>
          <w:szCs w:val="24"/>
        </w:rPr>
        <w:tab/>
        <w:t xml:space="preserve">Art. </w:t>
      </w:r>
      <w:r>
        <w:rPr>
          <w:b/>
          <w:bCs/>
          <w:sz w:val="24"/>
          <w:szCs w:val="24"/>
        </w:rPr>
        <w:t>6.3.1.</w:t>
      </w:r>
      <w:r>
        <w:rPr>
          <w:b/>
          <w:sz w:val="24"/>
          <w:szCs w:val="24"/>
        </w:rPr>
        <w:t xml:space="preserve">1. (1) </w:t>
      </w:r>
      <w:r>
        <w:rPr>
          <w:sz w:val="24"/>
          <w:szCs w:val="24"/>
        </w:rPr>
        <w:t xml:space="preserve">Construcţiile închise de depozitare şi depozitele deschise de materiale şi substanţe vor avea stabilite și precizate riscurile de incendiu conform prevederilor </w:t>
      </w:r>
      <w:r>
        <w:rPr>
          <w:b/>
          <w:sz w:val="24"/>
          <w:szCs w:val="24"/>
        </w:rPr>
        <w:t xml:space="preserve">Art.2.1.2.2. </w:t>
      </w:r>
      <w:r>
        <w:rPr>
          <w:bCs/>
          <w:sz w:val="24"/>
          <w:szCs w:val="24"/>
        </w:rPr>
        <w:t xml:space="preserve">şi </w:t>
      </w:r>
      <w:r>
        <w:rPr>
          <w:b/>
          <w:bCs/>
          <w:sz w:val="24"/>
          <w:szCs w:val="24"/>
        </w:rPr>
        <w:t xml:space="preserve">Art. </w:t>
      </w:r>
      <w:r>
        <w:rPr>
          <w:b/>
          <w:sz w:val="24"/>
          <w:szCs w:val="24"/>
        </w:rPr>
        <w:t>2.1.2.5.</w:t>
      </w:r>
    </w:p>
    <w:p w14:paraId="5BD3855F" w14:textId="77777777" w:rsidR="001C08A5" w:rsidRDefault="00000000">
      <w:pPr>
        <w:jc w:val="both"/>
        <w:rPr>
          <w:sz w:val="24"/>
          <w:szCs w:val="24"/>
        </w:rPr>
      </w:pPr>
      <w:r>
        <w:rPr>
          <w:sz w:val="24"/>
          <w:szCs w:val="24"/>
        </w:rPr>
        <w:tab/>
      </w:r>
      <w:r>
        <w:rPr>
          <w:b/>
          <w:sz w:val="24"/>
          <w:szCs w:val="24"/>
        </w:rPr>
        <w:t>(2)</w:t>
      </w:r>
      <w:r>
        <w:rPr>
          <w:sz w:val="24"/>
          <w:szCs w:val="24"/>
        </w:rPr>
        <w:t xml:space="preserve"> La realizarea depozitelor aferente clădirilor civile, se respectă şi prevederile privind performanțele specifice acestor construcţii. </w:t>
      </w:r>
    </w:p>
    <w:p w14:paraId="5CB073A3" w14:textId="77777777" w:rsidR="001C08A5" w:rsidRDefault="001C08A5">
      <w:pPr>
        <w:jc w:val="both"/>
        <w:rPr>
          <w:sz w:val="24"/>
          <w:szCs w:val="24"/>
        </w:rPr>
      </w:pPr>
    </w:p>
    <w:p w14:paraId="78512428" w14:textId="77777777" w:rsidR="001C08A5" w:rsidRDefault="00000000">
      <w:pPr>
        <w:jc w:val="both"/>
        <w:rPr>
          <w:sz w:val="24"/>
          <w:szCs w:val="24"/>
        </w:rPr>
      </w:pPr>
      <w:r>
        <w:rPr>
          <w:b/>
          <w:sz w:val="24"/>
          <w:szCs w:val="24"/>
        </w:rPr>
        <w:tab/>
        <w:t xml:space="preserve">Art. </w:t>
      </w:r>
      <w:r>
        <w:rPr>
          <w:b/>
          <w:bCs/>
          <w:sz w:val="24"/>
          <w:szCs w:val="24"/>
        </w:rPr>
        <w:t>6.3.1.</w:t>
      </w:r>
      <w:r>
        <w:rPr>
          <w:b/>
          <w:sz w:val="24"/>
          <w:szCs w:val="24"/>
        </w:rPr>
        <w:t>2. (1)</w:t>
      </w:r>
      <w:r>
        <w:rPr>
          <w:sz w:val="24"/>
          <w:szCs w:val="24"/>
        </w:rPr>
        <w:t xml:space="preserve"> Depozitele închise de materiale şi substanţe pot fi amplasate independent sau se comasează cu alte construcții.</w:t>
      </w:r>
    </w:p>
    <w:p w14:paraId="5BE4FA9B"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Depozitele deschise de materiale sau substanţe se amplasează numai independent faţă de vecinătăţi, la distanţele minimum normate în prezentul normativ, considerându-se construcţii de nivelul </w:t>
      </w:r>
      <w:r>
        <w:rPr>
          <w:b/>
          <w:sz w:val="24"/>
          <w:szCs w:val="24"/>
        </w:rPr>
        <w:t>V</w:t>
      </w:r>
      <w:r>
        <w:rPr>
          <w:sz w:val="24"/>
          <w:szCs w:val="24"/>
        </w:rPr>
        <w:t xml:space="preserve"> de stabilitate la incendiu (depozitele deschise de materiale solide combustibile, depozitele </w:t>
      </w:r>
      <w:r>
        <w:rPr>
          <w:sz w:val="24"/>
          <w:szCs w:val="24"/>
        </w:rPr>
        <w:lastRenderedPageBreak/>
        <w:t xml:space="preserve">de lichide combustibile categoria </w:t>
      </w:r>
      <w:r>
        <w:rPr>
          <w:b/>
          <w:bCs/>
          <w:sz w:val="24"/>
          <w:szCs w:val="24"/>
        </w:rPr>
        <w:t>D6</w:t>
      </w:r>
      <w:r>
        <w:rPr>
          <w:sz w:val="24"/>
          <w:szCs w:val="24"/>
        </w:rPr>
        <w:t xml:space="preserve">, clasa </w:t>
      </w:r>
      <w:r>
        <w:rPr>
          <w:b/>
          <w:bCs/>
          <w:sz w:val="24"/>
          <w:szCs w:val="24"/>
        </w:rPr>
        <w:t>L III</w:t>
      </w:r>
      <w:r>
        <w:rPr>
          <w:sz w:val="24"/>
          <w:szCs w:val="24"/>
        </w:rPr>
        <w:t xml:space="preserve"> și categoria </w:t>
      </w:r>
      <w:r>
        <w:rPr>
          <w:b/>
          <w:bCs/>
          <w:sz w:val="24"/>
          <w:szCs w:val="24"/>
        </w:rPr>
        <w:t>D7</w:t>
      </w:r>
      <w:r>
        <w:rPr>
          <w:sz w:val="24"/>
          <w:szCs w:val="24"/>
        </w:rPr>
        <w:t xml:space="preserve"> se amplasează faţă de vecinătăţi la distanţele minimum prevazute de normativ). </w:t>
      </w:r>
    </w:p>
    <w:p w14:paraId="7A6EF1AF" w14:textId="77777777" w:rsidR="001C08A5" w:rsidRDefault="00000000">
      <w:pPr>
        <w:jc w:val="both"/>
        <w:rPr>
          <w:sz w:val="24"/>
          <w:szCs w:val="24"/>
        </w:rPr>
      </w:pPr>
      <w:r>
        <w:rPr>
          <w:sz w:val="24"/>
          <w:szCs w:val="24"/>
        </w:rPr>
        <w:tab/>
      </w:r>
      <w:r>
        <w:rPr>
          <w:b/>
          <w:sz w:val="24"/>
          <w:szCs w:val="24"/>
        </w:rPr>
        <w:t xml:space="preserve">(3) </w:t>
      </w:r>
      <w:r>
        <w:rPr>
          <w:sz w:val="24"/>
          <w:szCs w:val="24"/>
        </w:rPr>
        <w:t xml:space="preserve">Depozitele de lichide combustibile categoria </w:t>
      </w:r>
      <w:r>
        <w:rPr>
          <w:b/>
          <w:bCs/>
          <w:sz w:val="24"/>
          <w:szCs w:val="24"/>
        </w:rPr>
        <w:t>D6</w:t>
      </w:r>
      <w:r>
        <w:rPr>
          <w:sz w:val="24"/>
          <w:szCs w:val="24"/>
        </w:rPr>
        <w:t xml:space="preserve">, clasa </w:t>
      </w:r>
      <w:r>
        <w:rPr>
          <w:b/>
          <w:bCs/>
          <w:sz w:val="24"/>
          <w:szCs w:val="24"/>
        </w:rPr>
        <w:t>L III</w:t>
      </w:r>
      <w:r>
        <w:rPr>
          <w:sz w:val="24"/>
          <w:szCs w:val="24"/>
        </w:rPr>
        <w:t xml:space="preserve"> (depozite constituite din rezervoare supraterane), se amplasează la minimum </w:t>
      </w:r>
      <w:r>
        <w:rPr>
          <w:b/>
          <w:bCs/>
          <w:sz w:val="24"/>
          <w:szCs w:val="24"/>
        </w:rPr>
        <w:t>30 m</w:t>
      </w:r>
      <w:r>
        <w:rPr>
          <w:sz w:val="24"/>
          <w:szCs w:val="24"/>
        </w:rPr>
        <w:t xml:space="preserve"> distanţă faţă de construcţii, iar depozitele categoria </w:t>
      </w:r>
      <w:r>
        <w:rPr>
          <w:b/>
          <w:bCs/>
          <w:sz w:val="24"/>
          <w:szCs w:val="24"/>
        </w:rPr>
        <w:t>D7</w:t>
      </w:r>
      <w:r>
        <w:rPr>
          <w:sz w:val="24"/>
          <w:szCs w:val="24"/>
        </w:rPr>
        <w:t xml:space="preserve"> la </w:t>
      </w:r>
      <w:r>
        <w:rPr>
          <w:b/>
          <w:bCs/>
          <w:sz w:val="24"/>
          <w:szCs w:val="24"/>
        </w:rPr>
        <w:t>20 m</w:t>
      </w:r>
      <w:r>
        <w:rPr>
          <w:sz w:val="24"/>
          <w:szCs w:val="24"/>
        </w:rPr>
        <w:t xml:space="preserve"> distanţă faţă de construcţii. </w:t>
      </w:r>
    </w:p>
    <w:p w14:paraId="0D3ABD90" w14:textId="77777777" w:rsidR="001C08A5" w:rsidRDefault="00000000">
      <w:pPr>
        <w:jc w:val="both"/>
        <w:rPr>
          <w:b/>
          <w:sz w:val="24"/>
          <w:szCs w:val="24"/>
        </w:rPr>
      </w:pPr>
      <w:r>
        <w:rPr>
          <w:sz w:val="24"/>
          <w:szCs w:val="24"/>
        </w:rPr>
        <w:tab/>
      </w:r>
      <w:r>
        <w:rPr>
          <w:b/>
          <w:sz w:val="24"/>
          <w:szCs w:val="24"/>
        </w:rPr>
        <w:t xml:space="preserve">(4) </w:t>
      </w:r>
      <w:r>
        <w:rPr>
          <w:sz w:val="24"/>
          <w:szCs w:val="24"/>
        </w:rPr>
        <w:t xml:space="preserve">Construcţiile închise de depozitare a materialelor sau substanţelor se amplasează faţă de obiecte învecinate cel puţin la distanţele de siguranţă stabilite în </w:t>
      </w:r>
      <w:r>
        <w:rPr>
          <w:b/>
          <w:sz w:val="24"/>
          <w:szCs w:val="24"/>
        </w:rPr>
        <w:t xml:space="preserve">Art. </w:t>
      </w:r>
      <w:r>
        <w:rPr>
          <w:b/>
          <w:bCs/>
          <w:sz w:val="24"/>
          <w:szCs w:val="24"/>
        </w:rPr>
        <w:t>2.2.1.2</w:t>
      </w:r>
      <w:r>
        <w:rPr>
          <w:b/>
          <w:sz w:val="24"/>
          <w:szCs w:val="24"/>
        </w:rPr>
        <w:t>.</w:t>
      </w:r>
      <w:r>
        <w:rPr>
          <w:sz w:val="24"/>
          <w:szCs w:val="24"/>
        </w:rPr>
        <w:t xml:space="preserve"> şi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b/>
          <w:sz w:val="24"/>
          <w:szCs w:val="24"/>
        </w:rPr>
        <w:t xml:space="preserve">, </w:t>
      </w:r>
      <w:r>
        <w:rPr>
          <w:sz w:val="24"/>
          <w:szCs w:val="24"/>
        </w:rPr>
        <w:t>precum</w:t>
      </w:r>
      <w:r>
        <w:rPr>
          <w:bCs/>
          <w:sz w:val="24"/>
          <w:szCs w:val="24"/>
        </w:rPr>
        <w:t xml:space="preserve"> și</w:t>
      </w:r>
      <w:r>
        <w:rPr>
          <w:sz w:val="24"/>
          <w:szCs w:val="24"/>
        </w:rPr>
        <w:t xml:space="preserve">în reglementările tehnice specifice sau se compartimentează conform prevederilor normativului. Pentru depozitele închise cu riscuri foarte mari de incendiu distanţele de siguranţă normate se majorează cu </w:t>
      </w:r>
      <w:r>
        <w:rPr>
          <w:b/>
          <w:bCs/>
          <w:sz w:val="24"/>
          <w:szCs w:val="24"/>
        </w:rPr>
        <w:t>100%</w:t>
      </w:r>
      <w:r>
        <w:rPr>
          <w:sz w:val="24"/>
          <w:szCs w:val="24"/>
        </w:rPr>
        <w:t>.</w:t>
      </w:r>
    </w:p>
    <w:p w14:paraId="218701E0" w14:textId="77777777" w:rsidR="001C08A5" w:rsidRDefault="00000000">
      <w:pPr>
        <w:jc w:val="both"/>
        <w:rPr>
          <w:sz w:val="24"/>
          <w:szCs w:val="24"/>
        </w:rPr>
      </w:pPr>
      <w:r>
        <w:rPr>
          <w:b/>
          <w:sz w:val="24"/>
          <w:szCs w:val="24"/>
        </w:rPr>
        <w:tab/>
        <w:t xml:space="preserve">(5) </w:t>
      </w:r>
      <w:r>
        <w:rPr>
          <w:sz w:val="24"/>
          <w:szCs w:val="24"/>
        </w:rPr>
        <w:t xml:space="preserve">Depozitele deschise pentru materiale combustibile se amplasează faţă de vecinătăţi la o distanţă minimă de </w:t>
      </w:r>
      <w:r>
        <w:rPr>
          <w:b/>
          <w:bCs/>
          <w:sz w:val="24"/>
          <w:szCs w:val="24"/>
        </w:rPr>
        <w:t>10 m</w:t>
      </w:r>
      <w:r>
        <w:rPr>
          <w:sz w:val="24"/>
          <w:szCs w:val="24"/>
        </w:rPr>
        <w:t xml:space="preserve">  dacă reglementările specifice nu dispun altfel.</w:t>
      </w:r>
    </w:p>
    <w:p w14:paraId="535FA991" w14:textId="77777777" w:rsidR="001C08A5" w:rsidRDefault="00000000">
      <w:pPr>
        <w:jc w:val="both"/>
        <w:rPr>
          <w:b/>
          <w:sz w:val="24"/>
          <w:szCs w:val="24"/>
        </w:rPr>
      </w:pPr>
      <w:r>
        <w:rPr>
          <w:sz w:val="24"/>
          <w:szCs w:val="24"/>
        </w:rPr>
        <w:tab/>
      </w:r>
      <w:r>
        <w:rPr>
          <w:b/>
          <w:sz w:val="24"/>
          <w:szCs w:val="24"/>
        </w:rPr>
        <w:t xml:space="preserve">(6) </w:t>
      </w:r>
      <w:r>
        <w:rPr>
          <w:sz w:val="24"/>
          <w:szCs w:val="24"/>
        </w:rPr>
        <w:t>La amplasarea depozitelor se are în vedere limitarea posibilităţilor ca un incendiu produs în depozit să pună în pericol construcţii sau instalaţii învecinate sau să se producă incendierea depozitului datorită unui incendiu la o construcţie sau instalaţie învecinată.</w:t>
      </w:r>
    </w:p>
    <w:p w14:paraId="17F90C8D" w14:textId="77777777" w:rsidR="001C08A5" w:rsidRDefault="00000000">
      <w:pPr>
        <w:jc w:val="both"/>
        <w:rPr>
          <w:sz w:val="24"/>
          <w:szCs w:val="24"/>
        </w:rPr>
      </w:pPr>
      <w:r>
        <w:rPr>
          <w:b/>
          <w:sz w:val="24"/>
          <w:szCs w:val="24"/>
        </w:rPr>
        <w:tab/>
        <w:t xml:space="preserve">(7) </w:t>
      </w:r>
      <w:r>
        <w:rPr>
          <w:sz w:val="24"/>
          <w:szCs w:val="24"/>
        </w:rPr>
        <w:t>Depozitele de lichide combustibile se amplasează în zone situate mai jos decât construcţiile învecinate astfel încât să nu fie posibilă deversarea sau scurgerea lichidelor și propagarea incendiului la vecinătăţi, sau se asigură măsuri de protecţie corespunzătoare (diguri, ziduri de protecţie etc.). De asemenea, prin amplasarea acestor depozite se vor asigura distanţe şi măsuri de protecţie faţă de cursuri de apă, lacuri, iazuri, bălţi etc., situate în vecinătate.</w:t>
      </w:r>
    </w:p>
    <w:p w14:paraId="48632DC7" w14:textId="77777777" w:rsidR="001C08A5" w:rsidRDefault="001C08A5">
      <w:pPr>
        <w:jc w:val="both"/>
        <w:rPr>
          <w:b/>
          <w:sz w:val="24"/>
          <w:szCs w:val="24"/>
        </w:rPr>
      </w:pPr>
    </w:p>
    <w:p w14:paraId="1FDFF9BF" w14:textId="77777777" w:rsidR="001C08A5" w:rsidRDefault="00000000">
      <w:pPr>
        <w:jc w:val="both"/>
        <w:rPr>
          <w:sz w:val="24"/>
          <w:szCs w:val="24"/>
        </w:rPr>
      </w:pPr>
      <w:r>
        <w:rPr>
          <w:b/>
          <w:sz w:val="24"/>
          <w:szCs w:val="24"/>
        </w:rPr>
        <w:tab/>
        <w:t xml:space="preserve">Art. </w:t>
      </w:r>
      <w:r>
        <w:rPr>
          <w:b/>
          <w:bCs/>
          <w:sz w:val="24"/>
          <w:szCs w:val="24"/>
        </w:rPr>
        <w:t>6.3.1.</w:t>
      </w:r>
      <w:r>
        <w:rPr>
          <w:b/>
          <w:sz w:val="24"/>
          <w:szCs w:val="24"/>
        </w:rPr>
        <w:t xml:space="preserve">3. </w:t>
      </w:r>
      <w:r>
        <w:rPr>
          <w:sz w:val="24"/>
          <w:szCs w:val="24"/>
        </w:rPr>
        <w:t>Construcţiile închise de depozitare comasate între ele sau cu alte construcţii, se compartimentează conform prevederilor normativului.</w:t>
      </w:r>
    </w:p>
    <w:p w14:paraId="6E7CCEAE" w14:textId="77777777" w:rsidR="001C08A5" w:rsidRDefault="001C08A5">
      <w:pPr>
        <w:jc w:val="both"/>
        <w:rPr>
          <w:sz w:val="24"/>
          <w:szCs w:val="24"/>
        </w:rPr>
      </w:pPr>
    </w:p>
    <w:p w14:paraId="4511CF30" w14:textId="77777777" w:rsidR="001C08A5" w:rsidRDefault="00000000">
      <w:pPr>
        <w:jc w:val="both"/>
        <w:rPr>
          <w:sz w:val="24"/>
          <w:szCs w:val="24"/>
        </w:rPr>
      </w:pPr>
      <w:r>
        <w:rPr>
          <w:b/>
          <w:sz w:val="24"/>
          <w:szCs w:val="24"/>
        </w:rPr>
        <w:tab/>
        <w:t xml:space="preserve">Art. </w:t>
      </w:r>
      <w:r>
        <w:rPr>
          <w:b/>
          <w:bCs/>
          <w:sz w:val="24"/>
          <w:szCs w:val="24"/>
        </w:rPr>
        <w:t>6.3.1.</w:t>
      </w:r>
      <w:r>
        <w:rPr>
          <w:b/>
          <w:sz w:val="24"/>
          <w:szCs w:val="24"/>
        </w:rPr>
        <w:t>4. (1)</w:t>
      </w:r>
      <w:r>
        <w:rPr>
          <w:sz w:val="24"/>
          <w:szCs w:val="24"/>
        </w:rPr>
        <w:t xml:space="preserve"> Depozitarea materialelor şi substanţelor se realizează în funcţie de caracteristicile fizico-chimice ale acestora astfel încât să nu iniţieze incendii, iar în cazul în care se produc incendii, acestea să poată fi stinse cu produse de stingere adecvate.</w:t>
      </w:r>
    </w:p>
    <w:p w14:paraId="57464684" w14:textId="77777777" w:rsidR="001C08A5" w:rsidRDefault="00000000">
      <w:pPr>
        <w:jc w:val="both"/>
        <w:rPr>
          <w:sz w:val="24"/>
          <w:szCs w:val="24"/>
        </w:rPr>
      </w:pPr>
      <w:r>
        <w:rPr>
          <w:sz w:val="24"/>
          <w:szCs w:val="24"/>
        </w:rPr>
        <w:tab/>
      </w:r>
      <w:r>
        <w:rPr>
          <w:b/>
          <w:sz w:val="24"/>
          <w:szCs w:val="24"/>
        </w:rPr>
        <w:t xml:space="preserve">(2) </w:t>
      </w:r>
      <w:r>
        <w:rPr>
          <w:bCs/>
          <w:sz w:val="24"/>
          <w:szCs w:val="24"/>
        </w:rPr>
        <w:t xml:space="preserve">Pot fi </w:t>
      </w:r>
      <w:r>
        <w:rPr>
          <w:sz w:val="24"/>
          <w:szCs w:val="24"/>
        </w:rPr>
        <w:t>depozitate diferite materiale și substanţe în aceeaşi încăpere, dacă amestecul lor sau al vaporilor acestora nu prezintă risc de autoaprindere sau explozie volumetrică şi, în caz de incendiu se pot utiliza aceleaşi produse de stingere.</w:t>
      </w:r>
    </w:p>
    <w:p w14:paraId="3E0C2D3D" w14:textId="77777777" w:rsidR="001C08A5" w:rsidRDefault="00000000">
      <w:pPr>
        <w:jc w:val="both"/>
        <w:rPr>
          <w:sz w:val="24"/>
          <w:szCs w:val="24"/>
        </w:rPr>
      </w:pPr>
      <w:r>
        <w:rPr>
          <w:sz w:val="24"/>
          <w:szCs w:val="24"/>
        </w:rPr>
        <w:tab/>
      </w:r>
      <w:r>
        <w:rPr>
          <w:b/>
          <w:sz w:val="24"/>
          <w:szCs w:val="24"/>
        </w:rPr>
        <w:t xml:space="preserve">(3) </w:t>
      </w:r>
      <w:r>
        <w:rPr>
          <w:sz w:val="24"/>
          <w:szCs w:val="24"/>
        </w:rPr>
        <w:t>Depozitarea materialelor solide împreună cu lichide sau gaze combustibile nu este admisă. Fac excepţie situaţiile precizate în reglementările tehnice specifice.</w:t>
      </w:r>
    </w:p>
    <w:p w14:paraId="74305D97" w14:textId="77777777" w:rsidR="001C08A5" w:rsidRDefault="00000000">
      <w:pPr>
        <w:jc w:val="both"/>
        <w:rPr>
          <w:sz w:val="24"/>
          <w:szCs w:val="24"/>
        </w:rPr>
      </w:pPr>
      <w:r>
        <w:rPr>
          <w:sz w:val="24"/>
          <w:szCs w:val="24"/>
        </w:rPr>
        <w:tab/>
      </w:r>
      <w:r>
        <w:rPr>
          <w:b/>
          <w:sz w:val="24"/>
          <w:szCs w:val="24"/>
        </w:rPr>
        <w:t xml:space="preserve">(4) </w:t>
      </w:r>
      <w:r>
        <w:rPr>
          <w:sz w:val="24"/>
          <w:szCs w:val="24"/>
        </w:rPr>
        <w:t>Atunci când se depozitează materiale sau substanţe care prezintă risc de autoprindere, este obligatorie stabilirea duratei de depozitare a acestora și luarea măsurilor necesare verificării temperaturii.</w:t>
      </w:r>
    </w:p>
    <w:p w14:paraId="7E83614A" w14:textId="77777777" w:rsidR="001C08A5" w:rsidRDefault="00000000">
      <w:pPr>
        <w:ind w:firstLine="720"/>
        <w:jc w:val="both"/>
        <w:rPr>
          <w:strike/>
          <w:sz w:val="24"/>
          <w:szCs w:val="24"/>
          <w:vertAlign w:val="superscript"/>
        </w:rPr>
      </w:pPr>
      <w:r>
        <w:rPr>
          <w:b/>
          <w:sz w:val="24"/>
          <w:szCs w:val="24"/>
        </w:rPr>
        <w:t xml:space="preserve">(5) </w:t>
      </w:r>
      <w:r>
        <w:rPr>
          <w:sz w:val="24"/>
          <w:szCs w:val="24"/>
        </w:rPr>
        <w:t xml:space="preserve">Depozitele de azotat de amoniu se realizează numai din materiale de construcţii fără goluri, clasa de reacţie la foc </w:t>
      </w:r>
      <w:r>
        <w:rPr>
          <w:b/>
          <w:sz w:val="24"/>
          <w:szCs w:val="24"/>
        </w:rPr>
        <w:t xml:space="preserve">A1 </w:t>
      </w:r>
      <w:r>
        <w:rPr>
          <w:bCs/>
          <w:sz w:val="24"/>
          <w:szCs w:val="24"/>
        </w:rPr>
        <w:t>și se recomandă</w:t>
      </w:r>
      <w:r>
        <w:rPr>
          <w:b/>
          <w:sz w:val="24"/>
          <w:szCs w:val="24"/>
        </w:rPr>
        <w:t xml:space="preserve"> </w:t>
      </w:r>
      <w:r>
        <w:rPr>
          <w:sz w:val="24"/>
          <w:szCs w:val="24"/>
        </w:rPr>
        <w:t>amplasarea faţă de alte construcţii la distanţele minime stabilite.</w:t>
      </w:r>
    </w:p>
    <w:p w14:paraId="11384268" w14:textId="77777777" w:rsidR="001C08A5" w:rsidRDefault="001C08A5">
      <w:pPr>
        <w:jc w:val="both"/>
        <w:rPr>
          <w:sz w:val="24"/>
          <w:szCs w:val="24"/>
        </w:rPr>
      </w:pPr>
    </w:p>
    <w:p w14:paraId="36584043" w14:textId="77777777" w:rsidR="001C08A5" w:rsidRDefault="00000000">
      <w:pPr>
        <w:jc w:val="both"/>
        <w:rPr>
          <w:sz w:val="24"/>
          <w:szCs w:val="24"/>
        </w:rPr>
      </w:pPr>
      <w:r>
        <w:rPr>
          <w:b/>
          <w:sz w:val="24"/>
          <w:szCs w:val="24"/>
        </w:rPr>
        <w:tab/>
        <w:t xml:space="preserve">Art. </w:t>
      </w:r>
      <w:r>
        <w:rPr>
          <w:b/>
          <w:bCs/>
          <w:sz w:val="24"/>
          <w:szCs w:val="24"/>
        </w:rPr>
        <w:t>6.3.1.</w:t>
      </w:r>
      <w:r>
        <w:rPr>
          <w:b/>
          <w:sz w:val="24"/>
          <w:szCs w:val="24"/>
        </w:rPr>
        <w:t>5. (1)</w:t>
      </w:r>
      <w:r>
        <w:rPr>
          <w:sz w:val="24"/>
          <w:szCs w:val="24"/>
        </w:rPr>
        <w:t xml:space="preserve"> Prin depozite sau încăperi de depozitare a materialelor sau substanţelor nu este admisă trecerea (traversarea) conductelor pentru gaze sau lichide combustibile, de încălzire sau de apă, precum  şi a reţelelor electrice, aferente altor consumatori (din afara acestor spații). </w:t>
      </w:r>
    </w:p>
    <w:p w14:paraId="72A611D2"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Prin excepţie şi pe baza justificării tehnice, trecerile respective vor fi realizate în canale proprii, închise cu elemente de construcţie rezistente la foc minimum </w:t>
      </w:r>
      <w:r>
        <w:rPr>
          <w:b/>
          <w:sz w:val="24"/>
          <w:szCs w:val="24"/>
        </w:rPr>
        <w:t>EI/REI 180</w:t>
      </w:r>
      <w:r>
        <w:rPr>
          <w:sz w:val="24"/>
          <w:szCs w:val="24"/>
        </w:rPr>
        <w:t>.</w:t>
      </w:r>
    </w:p>
    <w:p w14:paraId="68068A11" w14:textId="77777777" w:rsidR="001C08A5" w:rsidRDefault="00000000">
      <w:pPr>
        <w:jc w:val="both"/>
        <w:rPr>
          <w:sz w:val="24"/>
          <w:szCs w:val="24"/>
        </w:rPr>
      </w:pPr>
      <w:r>
        <w:rPr>
          <w:sz w:val="24"/>
          <w:szCs w:val="24"/>
        </w:rPr>
        <w:tab/>
      </w:r>
      <w:r>
        <w:rPr>
          <w:b/>
          <w:sz w:val="24"/>
          <w:szCs w:val="24"/>
        </w:rPr>
        <w:t xml:space="preserve">(3) </w:t>
      </w:r>
      <w:r>
        <w:rPr>
          <w:sz w:val="24"/>
          <w:szCs w:val="24"/>
        </w:rPr>
        <w:t>Este interzisă pozarea conductelor pentru apă sau pentru produse care conţin apă ori pe care poate condensa apa, în depozite pentru materiale sau substanţe care reacţionează periculos cu apa.</w:t>
      </w:r>
    </w:p>
    <w:p w14:paraId="5DEB93DA" w14:textId="77777777" w:rsidR="001C08A5" w:rsidRDefault="001C08A5">
      <w:pPr>
        <w:jc w:val="both"/>
        <w:rPr>
          <w:sz w:val="24"/>
          <w:szCs w:val="24"/>
        </w:rPr>
      </w:pPr>
    </w:p>
    <w:p w14:paraId="3193FEB1" w14:textId="77777777" w:rsidR="001C08A5" w:rsidRDefault="00000000">
      <w:pPr>
        <w:jc w:val="both"/>
        <w:rPr>
          <w:sz w:val="24"/>
          <w:szCs w:val="24"/>
        </w:rPr>
      </w:pPr>
      <w:r>
        <w:rPr>
          <w:b/>
          <w:sz w:val="24"/>
          <w:szCs w:val="24"/>
        </w:rPr>
        <w:tab/>
        <w:t xml:space="preserve">Art. </w:t>
      </w:r>
      <w:r>
        <w:rPr>
          <w:b/>
          <w:bCs/>
          <w:sz w:val="24"/>
          <w:szCs w:val="24"/>
        </w:rPr>
        <w:t>6.3.1.</w:t>
      </w:r>
      <w:r>
        <w:rPr>
          <w:b/>
          <w:sz w:val="24"/>
          <w:szCs w:val="24"/>
        </w:rPr>
        <w:t>6. (1)</w:t>
      </w:r>
      <w:r>
        <w:rPr>
          <w:sz w:val="24"/>
          <w:szCs w:val="24"/>
        </w:rPr>
        <w:t xml:space="preserve"> Construcţiile depozitelor pentru materiale sau substanţe vor avea asigurate căi de acces, circulaţie funcţională şi de evacuare în caz de incendiu, astfel dimensionate și realizate astfel încât să asigure evacuarea utilizatorilor şi să permită intervenţia de stingere a incendiilor.</w:t>
      </w:r>
    </w:p>
    <w:p w14:paraId="159EA6BE" w14:textId="77777777" w:rsidR="001C08A5" w:rsidRDefault="00000000">
      <w:pPr>
        <w:ind w:firstLine="720"/>
        <w:jc w:val="both"/>
        <w:rPr>
          <w:b/>
          <w:sz w:val="24"/>
          <w:szCs w:val="24"/>
        </w:rPr>
      </w:pPr>
      <w:r>
        <w:rPr>
          <w:b/>
          <w:sz w:val="24"/>
          <w:szCs w:val="24"/>
        </w:rPr>
        <w:lastRenderedPageBreak/>
        <w:t xml:space="preserve">(2) </w:t>
      </w:r>
      <w:r>
        <w:rPr>
          <w:sz w:val="24"/>
          <w:szCs w:val="24"/>
        </w:rPr>
        <w:t>La construcţiile de depozitare fără locuri permanente de lucru (vizitabile de maximum 8 ori pe schimb), nu este obligatorie îndeplinirea condiţiilor specifice căilor de evacuare a utilizatorilor în caz de incendiu.</w:t>
      </w:r>
    </w:p>
    <w:p w14:paraId="026F83B8" w14:textId="77777777" w:rsidR="001C08A5" w:rsidRDefault="00000000">
      <w:pPr>
        <w:jc w:val="both"/>
        <w:rPr>
          <w:b/>
          <w:sz w:val="24"/>
          <w:szCs w:val="24"/>
        </w:rPr>
      </w:pPr>
      <w:r>
        <w:rPr>
          <w:b/>
          <w:sz w:val="24"/>
          <w:szCs w:val="24"/>
        </w:rPr>
        <w:tab/>
      </w:r>
    </w:p>
    <w:p w14:paraId="0B1CE245" w14:textId="77777777" w:rsidR="001C08A5" w:rsidRDefault="00000000">
      <w:pPr>
        <w:jc w:val="both"/>
        <w:rPr>
          <w:sz w:val="24"/>
          <w:szCs w:val="24"/>
        </w:rPr>
      </w:pPr>
      <w:r>
        <w:rPr>
          <w:b/>
          <w:sz w:val="24"/>
          <w:szCs w:val="24"/>
        </w:rPr>
        <w:tab/>
        <w:t xml:space="preserve">Art. </w:t>
      </w:r>
      <w:r>
        <w:rPr>
          <w:b/>
          <w:bCs/>
          <w:sz w:val="24"/>
          <w:szCs w:val="24"/>
        </w:rPr>
        <w:t>6.3.1.</w:t>
      </w:r>
      <w:r>
        <w:rPr>
          <w:b/>
          <w:sz w:val="24"/>
          <w:szCs w:val="24"/>
        </w:rPr>
        <w:t xml:space="preserve">7. (1) </w:t>
      </w:r>
      <w:r>
        <w:rPr>
          <w:sz w:val="24"/>
          <w:szCs w:val="24"/>
        </w:rPr>
        <w:t xml:space="preserve">În construcţiile pentru depozitarea materialelor sau substanţelor, se pot depozita lichide combustibile în rezervoare sau recipiente (ambalaje) în cazurile și condiţiile prevăzute în normativ şi reglementările tehnice specifice, avându-se în vedere și prevederile </w:t>
      </w:r>
      <w:r>
        <w:rPr>
          <w:b/>
          <w:sz w:val="24"/>
          <w:szCs w:val="24"/>
        </w:rPr>
        <w:t xml:space="preserve">Anexelor </w:t>
      </w:r>
      <w:r>
        <w:rPr>
          <w:bCs/>
          <w:sz w:val="24"/>
          <w:szCs w:val="24"/>
        </w:rPr>
        <w:t xml:space="preserve">privind </w:t>
      </w:r>
      <w:r>
        <w:rPr>
          <w:bCs/>
          <w:i/>
          <w:iCs/>
          <w:sz w:val="24"/>
          <w:szCs w:val="24"/>
        </w:rPr>
        <w:t>“Clase de combustibilitate a lichidelor combustibile” și “Categorii de depozite de lichide combustibile”.</w:t>
      </w:r>
    </w:p>
    <w:p w14:paraId="6E211BED" w14:textId="77777777" w:rsidR="001C08A5" w:rsidRDefault="00000000">
      <w:pPr>
        <w:ind w:firstLine="720"/>
        <w:jc w:val="both"/>
        <w:rPr>
          <w:b/>
          <w:sz w:val="24"/>
          <w:szCs w:val="24"/>
        </w:rPr>
      </w:pPr>
      <w:r>
        <w:rPr>
          <w:b/>
          <w:sz w:val="24"/>
          <w:szCs w:val="24"/>
        </w:rPr>
        <w:t xml:space="preserve">(2) </w:t>
      </w:r>
      <w:r>
        <w:rPr>
          <w:sz w:val="24"/>
          <w:szCs w:val="24"/>
        </w:rPr>
        <w:t>Indiferent de modul de depozitare al lichidelor combustibile, este obligatorie precizarea categoriei depozitului, zonarea riscurilor de incendiu şi, după caz, de explozie volumetrică și asigurarea măsurilor de protecţie specifice prevăzute în normativ şi în reglementările tehnice specifice, astfel încât să se asigure limitarea propagării incendiilor și condiţiile stingerii cu operativitate a incendiilor.</w:t>
      </w:r>
    </w:p>
    <w:p w14:paraId="0739400A" w14:textId="77777777" w:rsidR="001C08A5" w:rsidRDefault="00000000">
      <w:pPr>
        <w:ind w:firstLine="720"/>
        <w:jc w:val="both"/>
        <w:rPr>
          <w:sz w:val="24"/>
          <w:szCs w:val="24"/>
        </w:rPr>
      </w:pPr>
      <w:r>
        <w:rPr>
          <w:b/>
          <w:sz w:val="24"/>
          <w:szCs w:val="24"/>
        </w:rPr>
        <w:t xml:space="preserve">(3) </w:t>
      </w:r>
      <w:r>
        <w:rPr>
          <w:sz w:val="24"/>
          <w:szCs w:val="24"/>
        </w:rPr>
        <w:t>Atunci când construcţiile de depozitare sunt  de tip special, respectiv supraterane închise,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sau supraterane închise cu aria construită (</w:t>
      </w:r>
      <w:r>
        <w:rPr>
          <w:b/>
          <w:bCs/>
          <w:sz w:val="24"/>
          <w:szCs w:val="24"/>
        </w:rPr>
        <w:t>Ac</w:t>
      </w:r>
      <w:r>
        <w:rPr>
          <w:sz w:val="24"/>
          <w:szCs w:val="24"/>
        </w:rPr>
        <w:t xml:space="preserve">) mai mare de </w:t>
      </w:r>
      <w:r>
        <w:rPr>
          <w:b/>
          <w:bCs/>
          <w:sz w:val="24"/>
          <w:szCs w:val="24"/>
        </w:rPr>
        <w:t>1.000 m</w:t>
      </w:r>
      <w:r>
        <w:rPr>
          <w:b/>
          <w:bCs/>
          <w:sz w:val="24"/>
          <w:szCs w:val="24"/>
          <w:vertAlign w:val="superscript"/>
        </w:rPr>
        <w:t>2</w:t>
      </w:r>
      <w:r>
        <w:rPr>
          <w:sz w:val="24"/>
          <w:szCs w:val="24"/>
        </w:rPr>
        <w:t xml:space="preserve"> și în care activitatea se desfăşoară numai la lumină artificială, se respectă şi măsurile de securitate la incendiu specifice acestora.</w:t>
      </w:r>
    </w:p>
    <w:p w14:paraId="3A5A6805" w14:textId="77777777" w:rsidR="001C08A5" w:rsidRDefault="00000000">
      <w:pPr>
        <w:jc w:val="both"/>
        <w:rPr>
          <w:b/>
          <w:sz w:val="24"/>
          <w:szCs w:val="24"/>
        </w:rPr>
      </w:pPr>
      <w:r>
        <w:rPr>
          <w:sz w:val="24"/>
          <w:szCs w:val="24"/>
        </w:rPr>
        <w:tab/>
      </w:r>
      <w:r>
        <w:rPr>
          <w:sz w:val="24"/>
          <w:szCs w:val="24"/>
        </w:rPr>
        <w:tab/>
      </w:r>
    </w:p>
    <w:p w14:paraId="39555DFC" w14:textId="77777777" w:rsidR="001C08A5" w:rsidRDefault="00000000">
      <w:pPr>
        <w:jc w:val="both"/>
        <w:rPr>
          <w:b/>
          <w:bCs/>
          <w:sz w:val="24"/>
          <w:szCs w:val="24"/>
        </w:rPr>
      </w:pPr>
      <w:r>
        <w:rPr>
          <w:b/>
          <w:sz w:val="24"/>
          <w:szCs w:val="24"/>
        </w:rPr>
        <w:tab/>
        <w:t xml:space="preserve">Art. </w:t>
      </w:r>
      <w:r>
        <w:rPr>
          <w:b/>
          <w:bCs/>
          <w:sz w:val="24"/>
          <w:szCs w:val="24"/>
        </w:rPr>
        <w:t>6.3.1.</w:t>
      </w:r>
      <w:r>
        <w:rPr>
          <w:b/>
          <w:sz w:val="24"/>
          <w:szCs w:val="24"/>
        </w:rPr>
        <w:t xml:space="preserve">8. </w:t>
      </w:r>
      <w:r>
        <w:rPr>
          <w:sz w:val="24"/>
          <w:szCs w:val="24"/>
        </w:rPr>
        <w:t xml:space="preserve">Încăperile de depozitare cu aria mai mare de </w:t>
      </w:r>
      <w:r>
        <w:rPr>
          <w:b/>
          <w:sz w:val="24"/>
          <w:szCs w:val="24"/>
        </w:rPr>
        <w:t>36 m²</w:t>
      </w:r>
      <w:r>
        <w:rPr>
          <w:sz w:val="24"/>
          <w:szCs w:val="24"/>
        </w:rPr>
        <w:t xml:space="preserve">  și densitatea de sarcină termică mai mare de </w:t>
      </w:r>
      <w:r>
        <w:rPr>
          <w:b/>
          <w:bCs/>
          <w:sz w:val="24"/>
          <w:szCs w:val="24"/>
        </w:rPr>
        <w:t>105 MJ/</w:t>
      </w:r>
      <w:r>
        <w:rPr>
          <w:b/>
          <w:sz w:val="24"/>
          <w:szCs w:val="24"/>
        </w:rPr>
        <w:t>m²</w:t>
      </w:r>
      <w:r>
        <w:rPr>
          <w:b/>
          <w:bCs/>
          <w:sz w:val="24"/>
          <w:szCs w:val="24"/>
        </w:rPr>
        <w:t xml:space="preserve"> </w:t>
      </w:r>
      <w:r>
        <w:rPr>
          <w:sz w:val="24"/>
          <w:szCs w:val="24"/>
        </w:rPr>
        <w:t xml:space="preserve">se prevăd cu sisteme de evacuare a fumului şi gazelor fierbinţi prin tiraj natural-organizat sau prin ventilare mecanică, potrivit prevederilor normativului şi ale reglementărilor tehnice specifice. Suprafaţă utilă / aerodinamică totală a ariei libere a dispozitivelor cu deschidere automată pentru evacuarea fumului în caz de incendiu prin tiraj natural-organizat, va fi cel puţin </w:t>
      </w:r>
      <w:r>
        <w:rPr>
          <w:b/>
          <w:bCs/>
          <w:sz w:val="24"/>
          <w:szCs w:val="24"/>
        </w:rPr>
        <w:t>1%</w:t>
      </w:r>
      <w:r>
        <w:rPr>
          <w:sz w:val="24"/>
          <w:szCs w:val="24"/>
        </w:rPr>
        <w:t xml:space="preserve"> din </w:t>
      </w:r>
      <w:r>
        <w:rPr>
          <w:sz w:val="24"/>
          <w:szCs w:val="24"/>
          <w:lang w:eastAsia="ro-RO"/>
        </w:rPr>
        <w:t>suprafaţă pardoselii</w:t>
      </w:r>
      <w:r>
        <w:rPr>
          <w:sz w:val="24"/>
          <w:szCs w:val="24"/>
        </w:rPr>
        <w:t>. Atunci când evacuarea fumului se asigură prin ventilare mecanică, se respectă prevederile normativului şi/ sau ale reglementărilor tehnice de specialitate.</w:t>
      </w:r>
    </w:p>
    <w:p w14:paraId="1B03620B" w14:textId="77777777" w:rsidR="001C08A5" w:rsidRDefault="00000000">
      <w:pPr>
        <w:pStyle w:val="Heading4"/>
      </w:pPr>
      <w:bookmarkStart w:id="5350" w:name="_Toc27634"/>
      <w:bookmarkStart w:id="5351" w:name="_Toc29941"/>
      <w:bookmarkStart w:id="5352" w:name="_Toc17269"/>
      <w:bookmarkStart w:id="5353" w:name="_Toc162355363"/>
      <w:bookmarkStart w:id="5354" w:name="_Toc9085"/>
      <w:bookmarkStart w:id="5355" w:name="_Toc28812"/>
      <w:bookmarkStart w:id="5356" w:name="_Toc745"/>
      <w:bookmarkStart w:id="5357" w:name="_Toc5778"/>
      <w:r>
        <w:t>6.3.2. Depozite închise de materiale şi substanţe combustibile</w:t>
      </w:r>
      <w:bookmarkEnd w:id="5350"/>
      <w:bookmarkEnd w:id="5351"/>
      <w:bookmarkEnd w:id="5352"/>
      <w:bookmarkEnd w:id="5353"/>
      <w:bookmarkEnd w:id="5354"/>
      <w:bookmarkEnd w:id="5355"/>
      <w:bookmarkEnd w:id="5356"/>
      <w:bookmarkEnd w:id="5357"/>
    </w:p>
    <w:p w14:paraId="6BD4FD23" w14:textId="77777777" w:rsidR="001C08A5" w:rsidRDefault="001C08A5">
      <w:pPr>
        <w:jc w:val="both"/>
        <w:rPr>
          <w:sz w:val="24"/>
          <w:szCs w:val="24"/>
        </w:rPr>
      </w:pPr>
    </w:p>
    <w:p w14:paraId="650009F2" w14:textId="77777777" w:rsidR="001C08A5" w:rsidRDefault="00000000">
      <w:pPr>
        <w:jc w:val="both"/>
        <w:rPr>
          <w:sz w:val="24"/>
          <w:szCs w:val="24"/>
        </w:rPr>
      </w:pPr>
      <w:r>
        <w:rPr>
          <w:b/>
          <w:sz w:val="24"/>
          <w:szCs w:val="24"/>
        </w:rPr>
        <w:tab/>
        <w:t xml:space="preserve">Art. </w:t>
      </w:r>
      <w:r>
        <w:rPr>
          <w:b/>
          <w:bCs/>
          <w:sz w:val="24"/>
          <w:szCs w:val="24"/>
        </w:rPr>
        <w:t>6.3.2.</w:t>
      </w:r>
      <w:r>
        <w:rPr>
          <w:b/>
          <w:sz w:val="24"/>
          <w:szCs w:val="24"/>
        </w:rPr>
        <w:t xml:space="preserve">1. (1) </w:t>
      </w:r>
      <w:r>
        <w:rPr>
          <w:sz w:val="24"/>
          <w:szCs w:val="24"/>
        </w:rPr>
        <w:t xml:space="preserve">Construcţiile închise pentru  depozite de materiale şi substanţe combustibile (depozitele închise), vor avea nivelul de stabilitate la incendiu asigurat în funcţie de riscul de incendiu și clasa de periculozitate a produselor depozitate, fiind astfel conformate încât să îndeplinească condiţiile de corelare admise între nivelul de stabilitate la incendiu asigurat, numărul de niveluri și aria construită (Ac), potrivit prevederilor din </w:t>
      </w:r>
      <w:r>
        <w:rPr>
          <w:b/>
          <w:sz w:val="24"/>
          <w:szCs w:val="24"/>
        </w:rPr>
        <w:t xml:space="preserve">Art. 6.1.2.2. </w:t>
      </w:r>
      <w:r>
        <w:rPr>
          <w:sz w:val="24"/>
          <w:szCs w:val="24"/>
        </w:rPr>
        <w:t xml:space="preserve">şi </w:t>
      </w:r>
      <w:r>
        <w:rPr>
          <w:b/>
          <w:bCs/>
          <w:i/>
          <w:iCs/>
          <w:sz w:val="24"/>
          <w:szCs w:val="24"/>
        </w:rPr>
        <w:fldChar w:fldCharType="begin"/>
      </w:r>
      <w:r>
        <w:rPr>
          <w:b/>
          <w:bCs/>
          <w:i/>
          <w:iCs/>
          <w:sz w:val="24"/>
          <w:szCs w:val="24"/>
        </w:rPr>
        <w:instrText xml:space="preserve"> REF _Ref2491 \h </w:instrText>
      </w:r>
      <w:r>
        <w:rPr>
          <w:b/>
          <w:bCs/>
          <w:i/>
          <w:iCs/>
          <w:sz w:val="24"/>
          <w:szCs w:val="24"/>
        </w:rPr>
      </w:r>
      <w:r>
        <w:rPr>
          <w:b/>
          <w:bCs/>
          <w:i/>
          <w:iCs/>
          <w:sz w:val="24"/>
          <w:szCs w:val="24"/>
        </w:rPr>
        <w:fldChar w:fldCharType="separate"/>
      </w:r>
      <w:r>
        <w:t>Tabelul 114</w:t>
      </w:r>
      <w:r>
        <w:rPr>
          <w:b/>
          <w:bCs/>
          <w:i/>
          <w:iCs/>
          <w:sz w:val="24"/>
          <w:szCs w:val="24"/>
        </w:rPr>
        <w:fldChar w:fldCharType="end"/>
      </w:r>
      <w:r>
        <w:rPr>
          <w:sz w:val="24"/>
          <w:szCs w:val="24"/>
        </w:rPr>
        <w:t>.</w:t>
      </w:r>
    </w:p>
    <w:p w14:paraId="4D8A67D9" w14:textId="77777777" w:rsidR="001C08A5" w:rsidRDefault="00000000">
      <w:pPr>
        <w:ind w:firstLine="720"/>
        <w:jc w:val="both"/>
        <w:rPr>
          <w:sz w:val="24"/>
          <w:szCs w:val="24"/>
        </w:rPr>
      </w:pPr>
      <w:r>
        <w:rPr>
          <w:b/>
          <w:sz w:val="24"/>
          <w:szCs w:val="24"/>
        </w:rPr>
        <w:t xml:space="preserve">(2) </w:t>
      </w:r>
      <w:r>
        <w:rPr>
          <w:sz w:val="24"/>
          <w:szCs w:val="24"/>
        </w:rPr>
        <w:t>În cazul în care construcţia închisă a depozitului este supraterană închisă cu aria construită (</w:t>
      </w:r>
      <w:r>
        <w:rPr>
          <w:b/>
          <w:bCs/>
          <w:sz w:val="24"/>
          <w:szCs w:val="24"/>
        </w:rPr>
        <w:t>Ac</w:t>
      </w:r>
      <w:r>
        <w:rPr>
          <w:sz w:val="24"/>
          <w:szCs w:val="24"/>
        </w:rPr>
        <w:t xml:space="preserve">)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sau supraterană închisă cu aria construită (</w:t>
      </w:r>
      <w:r>
        <w:rPr>
          <w:b/>
          <w:bCs/>
          <w:sz w:val="24"/>
          <w:szCs w:val="24"/>
        </w:rPr>
        <w:t>Ac</w:t>
      </w:r>
      <w:r>
        <w:rPr>
          <w:sz w:val="24"/>
          <w:szCs w:val="24"/>
        </w:rPr>
        <w:t xml:space="preserve">) mai mare de </w:t>
      </w:r>
      <w:r>
        <w:rPr>
          <w:b/>
          <w:bCs/>
          <w:sz w:val="24"/>
          <w:szCs w:val="24"/>
        </w:rPr>
        <w:t>1.000 m</w:t>
      </w:r>
      <w:r>
        <w:rPr>
          <w:b/>
          <w:bCs/>
          <w:sz w:val="24"/>
          <w:szCs w:val="24"/>
          <w:vertAlign w:val="superscript"/>
        </w:rPr>
        <w:t>2</w:t>
      </w:r>
      <w:r>
        <w:rPr>
          <w:sz w:val="24"/>
          <w:szCs w:val="24"/>
        </w:rPr>
        <w:t xml:space="preserve"> și în care activitatea se desfăşoară numai la lumină artificială, este obligatorie și respectarea prevederilor privind performanțele specifice acestor tipuri speciale de construcţii.</w:t>
      </w:r>
    </w:p>
    <w:p w14:paraId="51BECEFD" w14:textId="77777777" w:rsidR="001C08A5" w:rsidRDefault="001C08A5">
      <w:pPr>
        <w:jc w:val="both"/>
        <w:rPr>
          <w:sz w:val="24"/>
          <w:szCs w:val="24"/>
        </w:rPr>
      </w:pPr>
    </w:p>
    <w:p w14:paraId="2017B3FA" w14:textId="77777777" w:rsidR="001C08A5" w:rsidRDefault="00000000">
      <w:pPr>
        <w:jc w:val="both"/>
        <w:rPr>
          <w:sz w:val="24"/>
          <w:szCs w:val="24"/>
        </w:rPr>
      </w:pPr>
      <w:r>
        <w:rPr>
          <w:b/>
          <w:sz w:val="24"/>
          <w:szCs w:val="24"/>
        </w:rPr>
        <w:tab/>
        <w:t xml:space="preserve">Art. </w:t>
      </w:r>
      <w:r>
        <w:rPr>
          <w:b/>
          <w:bCs/>
          <w:sz w:val="24"/>
          <w:szCs w:val="24"/>
        </w:rPr>
        <w:t>6.3.2.</w:t>
      </w:r>
      <w:r>
        <w:rPr>
          <w:b/>
          <w:sz w:val="24"/>
          <w:szCs w:val="24"/>
        </w:rPr>
        <w:t xml:space="preserve">2. </w:t>
      </w:r>
      <w:r>
        <w:rPr>
          <w:rFonts w:eastAsia="TimesNewRomanPS-BoldMT"/>
          <w:b/>
          <w:bCs/>
          <w:sz w:val="24"/>
          <w:szCs w:val="24"/>
        </w:rPr>
        <w:t xml:space="preserve">(1) </w:t>
      </w:r>
      <w:r>
        <w:rPr>
          <w:rFonts w:eastAsia="TimesNewRomanPSMT"/>
          <w:sz w:val="24"/>
          <w:szCs w:val="24"/>
        </w:rPr>
        <w:t xml:space="preserve">Construcţiile închise de depozitare etajate vor avea </w:t>
      </w:r>
      <w:r>
        <w:rPr>
          <w:rFonts w:eastAsia="TimesNewRomanPSMT"/>
          <w:b/>
          <w:bCs/>
          <w:sz w:val="24"/>
          <w:szCs w:val="24"/>
        </w:rPr>
        <w:t xml:space="preserve">planşee </w:t>
      </w:r>
      <w:r>
        <w:rPr>
          <w:rFonts w:eastAsia="TimesNewRomanPSMT"/>
          <w:sz w:val="24"/>
          <w:szCs w:val="24"/>
        </w:rPr>
        <w:t xml:space="preserve">cu rezistenţa la foc </w:t>
      </w:r>
      <w:r>
        <w:rPr>
          <w:rFonts w:eastAsia="TimesNewRomanPS-BoldMT"/>
          <w:b/>
          <w:bCs/>
          <w:sz w:val="24"/>
          <w:szCs w:val="24"/>
        </w:rPr>
        <w:t xml:space="preserve">REI </w:t>
      </w:r>
      <w:r>
        <w:rPr>
          <w:rFonts w:eastAsia="TimesNewRomanPSMT"/>
          <w:sz w:val="24"/>
          <w:szCs w:val="24"/>
        </w:rPr>
        <w:t>corespunzătoare densităţii sarcinii termice (</w:t>
      </w:r>
      <w:r>
        <w:rPr>
          <w:rFonts w:eastAsia="TimesNewRomanPS-BoldMT"/>
          <w:b/>
          <w:bCs/>
          <w:sz w:val="24"/>
          <w:szCs w:val="24"/>
        </w:rPr>
        <w:t>q</w:t>
      </w:r>
      <w:r>
        <w:rPr>
          <w:rFonts w:eastAsia="TimesNewRomanPSMT"/>
          <w:sz w:val="24"/>
          <w:szCs w:val="24"/>
        </w:rPr>
        <w:t xml:space="preserve">) în acord cu </w:t>
      </w:r>
      <w:r>
        <w:rPr>
          <w:b/>
          <w:bCs/>
          <w:i/>
          <w:iCs/>
          <w:sz w:val="24"/>
          <w:szCs w:val="24"/>
        </w:rPr>
        <w:fldChar w:fldCharType="begin"/>
      </w:r>
      <w:r>
        <w:rPr>
          <w:b/>
          <w:bCs/>
          <w:i/>
          <w:iCs/>
          <w:sz w:val="24"/>
          <w:szCs w:val="24"/>
        </w:rPr>
        <w:instrText xml:space="preserve"> REF _Ref28465 \h </w:instrText>
      </w:r>
      <w:r>
        <w:rPr>
          <w:b/>
          <w:bCs/>
          <w:i/>
          <w:iCs/>
          <w:sz w:val="24"/>
          <w:szCs w:val="24"/>
        </w:rPr>
      </w:r>
      <w:r>
        <w:rPr>
          <w:b/>
          <w:bCs/>
          <w:i/>
          <w:iCs/>
          <w:sz w:val="24"/>
          <w:szCs w:val="24"/>
        </w:rPr>
        <w:fldChar w:fldCharType="separate"/>
      </w:r>
      <w:r>
        <w:rPr>
          <w:b/>
          <w:bCs/>
          <w:i/>
          <w:iCs/>
          <w:sz w:val="24"/>
          <w:szCs w:val="24"/>
        </w:rPr>
        <w:t>Tabelul 5</w:t>
      </w:r>
      <w:r>
        <w:rPr>
          <w:b/>
          <w:bCs/>
          <w:i/>
          <w:iCs/>
          <w:sz w:val="24"/>
          <w:szCs w:val="24"/>
        </w:rPr>
        <w:fldChar w:fldCharType="end"/>
      </w:r>
      <w:r>
        <w:rPr>
          <w:rFonts w:eastAsia="TimesNewRomanPSMT"/>
          <w:sz w:val="24"/>
          <w:szCs w:val="24"/>
        </w:rPr>
        <w:t xml:space="preserve">  coroborat cu </w:t>
      </w:r>
      <w:r>
        <w:rPr>
          <w:rFonts w:eastAsia="TimesNewRomanPSMT"/>
          <w:b/>
          <w:bCs/>
          <w:i/>
          <w:iCs/>
          <w:sz w:val="24"/>
          <w:szCs w:val="24"/>
        </w:rPr>
        <w:fldChar w:fldCharType="begin"/>
      </w:r>
      <w:r>
        <w:rPr>
          <w:rFonts w:eastAsia="TimesNewRomanPSMT"/>
          <w:b/>
          <w:bCs/>
          <w:i/>
          <w:iCs/>
          <w:sz w:val="24"/>
          <w:szCs w:val="24"/>
        </w:rPr>
        <w:instrText xml:space="preserve"> REF _Ref11612 \h </w:instrText>
      </w:r>
      <w:r>
        <w:rPr>
          <w:rFonts w:eastAsia="TimesNewRomanPSMT"/>
          <w:b/>
          <w:bCs/>
          <w:i/>
          <w:iCs/>
          <w:sz w:val="24"/>
          <w:szCs w:val="24"/>
        </w:rPr>
      </w:r>
      <w:r>
        <w:rPr>
          <w:rFonts w:eastAsia="TimesNewRomanPSMT"/>
          <w:b/>
          <w:bCs/>
          <w:i/>
          <w:iCs/>
          <w:sz w:val="24"/>
          <w:szCs w:val="24"/>
        </w:rPr>
        <w:fldChar w:fldCharType="separate"/>
      </w:r>
      <w:r>
        <w:t>Tabelul 3</w:t>
      </w:r>
      <w:r>
        <w:rPr>
          <w:rFonts w:eastAsia="TimesNewRomanPSMT"/>
          <w:b/>
          <w:bCs/>
          <w:i/>
          <w:iCs/>
          <w:sz w:val="24"/>
          <w:szCs w:val="24"/>
        </w:rPr>
        <w:fldChar w:fldCharType="end"/>
      </w:r>
      <w:r>
        <w:rPr>
          <w:rFonts w:eastAsia="TimesNewRomanPSMT"/>
          <w:sz w:val="24"/>
          <w:szCs w:val="24"/>
        </w:rPr>
        <w:t xml:space="preserve"> (se alege cea mai mare valoare dintre cele două) astfel realizate încât să împiedice propagarea incendiilor între nivelurile construcţiei </w:t>
      </w:r>
    </w:p>
    <w:p w14:paraId="48603F28" w14:textId="77777777" w:rsidR="001C08A5" w:rsidRDefault="00000000">
      <w:pPr>
        <w:jc w:val="both"/>
        <w:rPr>
          <w:sz w:val="24"/>
          <w:szCs w:val="24"/>
        </w:rPr>
      </w:pPr>
      <w:r>
        <w:rPr>
          <w:sz w:val="24"/>
          <w:szCs w:val="24"/>
        </w:rPr>
        <w:tab/>
      </w:r>
      <w:r>
        <w:rPr>
          <w:b/>
          <w:sz w:val="24"/>
          <w:szCs w:val="24"/>
        </w:rPr>
        <w:t xml:space="preserve">(2) </w:t>
      </w:r>
      <w:r>
        <w:rPr>
          <w:sz w:val="24"/>
          <w:szCs w:val="24"/>
        </w:rPr>
        <w:t xml:space="preserve">Fac excepţie de la </w:t>
      </w:r>
      <w:r>
        <w:rPr>
          <w:b/>
          <w:sz w:val="24"/>
          <w:szCs w:val="24"/>
        </w:rPr>
        <w:t>alin. (1)</w:t>
      </w:r>
      <w:r>
        <w:rPr>
          <w:sz w:val="24"/>
          <w:szCs w:val="24"/>
        </w:rPr>
        <w:t xml:space="preserve"> construcţiile de depozitare cu platforme de stocare mecanizate şi fără locuri permanente de lucru, la care platformele (totale sau parţiale) pot fi din materiale şi elemente incombustibile atunci când sunt prevăzute instalaţii automate de stingere a incendiului la toate nivelurile.</w:t>
      </w:r>
    </w:p>
    <w:p w14:paraId="2F63CA5B" w14:textId="77777777" w:rsidR="001C08A5" w:rsidRDefault="001C08A5">
      <w:pPr>
        <w:jc w:val="both"/>
        <w:rPr>
          <w:sz w:val="24"/>
          <w:szCs w:val="24"/>
        </w:rPr>
      </w:pPr>
    </w:p>
    <w:p w14:paraId="2256E352" w14:textId="77777777" w:rsidR="001C08A5" w:rsidRDefault="00000000">
      <w:pPr>
        <w:jc w:val="both"/>
        <w:rPr>
          <w:b/>
          <w:sz w:val="24"/>
          <w:szCs w:val="24"/>
        </w:rPr>
      </w:pPr>
      <w:r>
        <w:rPr>
          <w:b/>
          <w:sz w:val="24"/>
          <w:szCs w:val="24"/>
        </w:rPr>
        <w:tab/>
        <w:t xml:space="preserve">Art. </w:t>
      </w:r>
      <w:r>
        <w:rPr>
          <w:b/>
          <w:bCs/>
          <w:sz w:val="24"/>
          <w:szCs w:val="24"/>
        </w:rPr>
        <w:t>6.3.2.</w:t>
      </w:r>
      <w:r>
        <w:rPr>
          <w:b/>
          <w:sz w:val="24"/>
          <w:szCs w:val="24"/>
        </w:rPr>
        <w:t>3. (1)</w:t>
      </w:r>
      <w:r>
        <w:rPr>
          <w:sz w:val="24"/>
          <w:szCs w:val="24"/>
        </w:rPr>
        <w:t xml:space="preserve"> Construcţiile închise pentru depozitarea lichidelor combustibile se realizează din materiale şi elemente de construcţie rezistente la foc corespunzător prevederilor normativului şi a reglementărilor tehnice specifice, asigurându-se compartimentarea încăperilor de depozitare cu capacitatea a maximum </w:t>
      </w:r>
      <w:r>
        <w:rPr>
          <w:b/>
          <w:sz w:val="24"/>
          <w:szCs w:val="24"/>
        </w:rPr>
        <w:t>50 m</w:t>
      </w:r>
      <w:r>
        <w:rPr>
          <w:b/>
          <w:sz w:val="24"/>
          <w:szCs w:val="24"/>
          <w:vertAlign w:val="superscript"/>
        </w:rPr>
        <w:t>3</w:t>
      </w:r>
      <w:r>
        <w:rPr>
          <w:sz w:val="24"/>
          <w:szCs w:val="24"/>
        </w:rPr>
        <w:t xml:space="preserve"> de lichide din clasele </w:t>
      </w:r>
      <w:r>
        <w:rPr>
          <w:b/>
          <w:sz w:val="24"/>
          <w:szCs w:val="24"/>
        </w:rPr>
        <w:t>L I</w:t>
      </w:r>
      <w:r>
        <w:rPr>
          <w:sz w:val="24"/>
          <w:szCs w:val="24"/>
        </w:rPr>
        <w:t xml:space="preserve"> sau </w:t>
      </w:r>
      <w:r>
        <w:rPr>
          <w:b/>
          <w:sz w:val="24"/>
          <w:szCs w:val="24"/>
        </w:rPr>
        <w:t>L II</w:t>
      </w:r>
      <w:r>
        <w:rPr>
          <w:sz w:val="24"/>
          <w:szCs w:val="24"/>
        </w:rPr>
        <w:t xml:space="preserve"> (respectiv echivalentul acestora </w:t>
      </w:r>
      <w:r>
        <w:rPr>
          <w:sz w:val="24"/>
          <w:szCs w:val="24"/>
        </w:rPr>
        <w:lastRenderedPageBreak/>
        <w:t xml:space="preserve">pentru lichide din clasa </w:t>
      </w:r>
      <w:r>
        <w:rPr>
          <w:b/>
          <w:sz w:val="24"/>
          <w:szCs w:val="24"/>
        </w:rPr>
        <w:t>L III</w:t>
      </w:r>
      <w:r>
        <w:rPr>
          <w:sz w:val="24"/>
          <w:szCs w:val="24"/>
        </w:rPr>
        <w:t xml:space="preserve">), cu pereţi rezistenţi la foc </w:t>
      </w:r>
      <w:r>
        <w:rPr>
          <w:b/>
          <w:sz w:val="24"/>
          <w:szCs w:val="24"/>
        </w:rPr>
        <w:t>EI/REI</w:t>
      </w:r>
      <w:r>
        <w:rPr>
          <w:sz w:val="24"/>
          <w:szCs w:val="24"/>
        </w:rPr>
        <w:t xml:space="preserve"> şi, după caz, rezistenţi la explozie volumetrică.</w:t>
      </w:r>
      <w:r>
        <w:rPr>
          <w:sz w:val="24"/>
          <w:szCs w:val="24"/>
        </w:rPr>
        <w:tab/>
      </w:r>
    </w:p>
    <w:p w14:paraId="7A5B8798" w14:textId="77777777" w:rsidR="001C08A5" w:rsidRDefault="00000000">
      <w:pPr>
        <w:jc w:val="both"/>
        <w:rPr>
          <w:b/>
          <w:sz w:val="24"/>
          <w:szCs w:val="24"/>
        </w:rPr>
      </w:pPr>
      <w:r>
        <w:rPr>
          <w:b/>
          <w:sz w:val="24"/>
          <w:szCs w:val="24"/>
        </w:rPr>
        <w:tab/>
        <w:t xml:space="preserve">(2) </w:t>
      </w:r>
      <w:r>
        <w:rPr>
          <w:sz w:val="24"/>
          <w:szCs w:val="24"/>
        </w:rPr>
        <w:t>Construcţiile pentru depozitarea lichidelor combustibile vor avea precizată zonarea riscurilor de incendiu și explozie volumetrică.</w:t>
      </w:r>
    </w:p>
    <w:p w14:paraId="246DC503" w14:textId="77777777" w:rsidR="001C08A5" w:rsidRDefault="001C08A5">
      <w:pPr>
        <w:jc w:val="both"/>
        <w:rPr>
          <w:b/>
          <w:sz w:val="24"/>
          <w:szCs w:val="24"/>
        </w:rPr>
      </w:pPr>
    </w:p>
    <w:p w14:paraId="222BC20F" w14:textId="77777777" w:rsidR="001C08A5" w:rsidRDefault="00000000">
      <w:pPr>
        <w:jc w:val="both"/>
        <w:rPr>
          <w:sz w:val="24"/>
          <w:szCs w:val="24"/>
        </w:rPr>
      </w:pPr>
      <w:r>
        <w:rPr>
          <w:b/>
          <w:sz w:val="24"/>
          <w:szCs w:val="24"/>
        </w:rPr>
        <w:tab/>
        <w:t xml:space="preserve">Art. </w:t>
      </w:r>
      <w:r>
        <w:rPr>
          <w:b/>
          <w:bCs/>
          <w:sz w:val="24"/>
          <w:szCs w:val="24"/>
        </w:rPr>
        <w:t>6.3.2.</w:t>
      </w:r>
      <w:r>
        <w:rPr>
          <w:b/>
          <w:sz w:val="24"/>
          <w:szCs w:val="24"/>
        </w:rPr>
        <w:t>4.</w:t>
      </w:r>
      <w:r>
        <w:rPr>
          <w:sz w:val="24"/>
          <w:szCs w:val="24"/>
        </w:rPr>
        <w:t xml:space="preserve"> Depozitele închise pentru materiale şi substanţe combustibile vor fi astfel conformate la incendiu astfel încât să nu faciliteze propagarea focului pe arii mari, iar spaţiile cu riscuri foarte mari de incendiu, pe cât posibil, vor fi dispuse în zone distincte.</w:t>
      </w:r>
    </w:p>
    <w:p w14:paraId="03C0753F" w14:textId="77777777" w:rsidR="001C08A5" w:rsidRDefault="001C08A5">
      <w:pPr>
        <w:jc w:val="both"/>
        <w:rPr>
          <w:sz w:val="24"/>
          <w:szCs w:val="24"/>
        </w:rPr>
      </w:pPr>
    </w:p>
    <w:p w14:paraId="095EA36B" w14:textId="77777777" w:rsidR="001C08A5" w:rsidRDefault="00000000">
      <w:pPr>
        <w:jc w:val="both"/>
        <w:rPr>
          <w:sz w:val="24"/>
          <w:szCs w:val="24"/>
        </w:rPr>
      </w:pPr>
      <w:r>
        <w:rPr>
          <w:b/>
          <w:sz w:val="24"/>
          <w:szCs w:val="24"/>
        </w:rPr>
        <w:tab/>
        <w:t xml:space="preserve">Art. </w:t>
      </w:r>
      <w:r>
        <w:rPr>
          <w:b/>
          <w:bCs/>
          <w:sz w:val="24"/>
          <w:szCs w:val="24"/>
        </w:rPr>
        <w:t>6.3.2.</w:t>
      </w:r>
      <w:r>
        <w:rPr>
          <w:b/>
          <w:sz w:val="24"/>
          <w:szCs w:val="24"/>
        </w:rPr>
        <w:t>5. (1)</w:t>
      </w:r>
      <w:r>
        <w:rPr>
          <w:sz w:val="24"/>
          <w:szCs w:val="24"/>
        </w:rPr>
        <w:t xml:space="preserve"> Construcţiile și încăperile închise pentru depozitarea materialelor și substanţelor combustibile se prevăd cu sisteme de evacuare a fumului şi a gazelor fierbinţi în caz de incendiu prin tiraj natural-organizat sau ventilare mecanică, precum şi, după caz, cu panouri de decomprimare la cele și cu risc de explozie volumetrică, conform prevederilor normativului şi ale reglementărilor tehnice specifice. </w:t>
      </w:r>
    </w:p>
    <w:p w14:paraId="0EAFF5D3" w14:textId="77777777" w:rsidR="001C08A5" w:rsidRDefault="00000000">
      <w:pPr>
        <w:ind w:firstLine="720"/>
        <w:jc w:val="both"/>
        <w:rPr>
          <w:sz w:val="24"/>
          <w:szCs w:val="24"/>
        </w:rPr>
      </w:pPr>
      <w:r>
        <w:rPr>
          <w:b/>
          <w:sz w:val="24"/>
          <w:szCs w:val="24"/>
        </w:rPr>
        <w:t xml:space="preserve">(2) </w:t>
      </w:r>
      <w:r>
        <w:rPr>
          <w:sz w:val="24"/>
          <w:szCs w:val="24"/>
        </w:rPr>
        <w:t xml:space="preserve">Dispozitivele de evacuare a fumului prin tiraj natural-organizat, vor avea aria utilă/aerodinamică liberă totală de minimum </w:t>
      </w:r>
      <w:r>
        <w:rPr>
          <w:b/>
          <w:sz w:val="24"/>
          <w:szCs w:val="24"/>
        </w:rPr>
        <w:t>1%</w:t>
      </w:r>
      <w:r>
        <w:rPr>
          <w:sz w:val="24"/>
          <w:szCs w:val="24"/>
        </w:rPr>
        <w:t xml:space="preserve"> din aria pardoselii încăperii în care se prevad sisteme de evacuare a  fumului și gazelor fierbinţi.</w:t>
      </w:r>
    </w:p>
    <w:p w14:paraId="0F764ABD" w14:textId="77777777" w:rsidR="001C08A5" w:rsidRDefault="00000000">
      <w:pPr>
        <w:widowControl w:val="0"/>
        <w:ind w:firstLine="720"/>
        <w:jc w:val="both"/>
        <w:rPr>
          <w:sz w:val="24"/>
          <w:szCs w:val="24"/>
        </w:rPr>
      </w:pPr>
      <w:r>
        <w:rPr>
          <w:b/>
          <w:sz w:val="24"/>
          <w:szCs w:val="24"/>
        </w:rPr>
        <w:t xml:space="preserve">(3) </w:t>
      </w:r>
      <w:r>
        <w:rPr>
          <w:sz w:val="24"/>
          <w:szCs w:val="24"/>
        </w:rPr>
        <w:t xml:space="preserve">Panourile de decomprimare ale depozitelor cu risc foarte mare de incendiu şi explozie volumetrică, vor avea suprafaţa necesară asigurării raportului normat în conformitate cu </w:t>
      </w:r>
      <w:r>
        <w:rPr>
          <w:b/>
          <w:sz w:val="24"/>
          <w:szCs w:val="24"/>
        </w:rPr>
        <w:t xml:space="preserve">Art. </w:t>
      </w:r>
      <w:r>
        <w:rPr>
          <w:b/>
          <w:bCs/>
          <w:sz w:val="24"/>
          <w:szCs w:val="24"/>
        </w:rPr>
        <w:t>2.3.4.1.</w:t>
      </w:r>
      <w:r>
        <w:rPr>
          <w:b/>
          <w:sz w:val="24"/>
          <w:szCs w:val="24"/>
        </w:rPr>
        <w:t>4.</w:t>
      </w:r>
      <w:r>
        <w:rPr>
          <w:bCs/>
          <w:sz w:val="24"/>
          <w:szCs w:val="24"/>
        </w:rPr>
        <w:t xml:space="preserve"> și </w:t>
      </w:r>
      <w:r>
        <w:rPr>
          <w:b/>
          <w:sz w:val="24"/>
          <w:szCs w:val="24"/>
        </w:rPr>
        <w:t xml:space="preserve">Art. </w:t>
      </w:r>
      <w:r>
        <w:rPr>
          <w:b/>
          <w:bCs/>
          <w:sz w:val="24"/>
          <w:szCs w:val="24"/>
        </w:rPr>
        <w:t>2.3.4.1.</w:t>
      </w:r>
      <w:r>
        <w:rPr>
          <w:b/>
          <w:sz w:val="24"/>
          <w:szCs w:val="24"/>
        </w:rPr>
        <w:t>5.</w:t>
      </w:r>
    </w:p>
    <w:p w14:paraId="481DF925" w14:textId="77777777" w:rsidR="001C08A5" w:rsidRDefault="001C08A5">
      <w:pPr>
        <w:jc w:val="both"/>
        <w:rPr>
          <w:sz w:val="24"/>
          <w:szCs w:val="24"/>
        </w:rPr>
      </w:pPr>
    </w:p>
    <w:p w14:paraId="40EBDB08" w14:textId="77777777" w:rsidR="001C08A5" w:rsidRDefault="00000000">
      <w:pPr>
        <w:jc w:val="both"/>
        <w:rPr>
          <w:sz w:val="24"/>
          <w:szCs w:val="24"/>
        </w:rPr>
      </w:pPr>
      <w:r>
        <w:rPr>
          <w:b/>
          <w:sz w:val="24"/>
          <w:szCs w:val="24"/>
        </w:rPr>
        <w:tab/>
        <w:t xml:space="preserve">Art. </w:t>
      </w:r>
      <w:r>
        <w:rPr>
          <w:b/>
          <w:bCs/>
          <w:sz w:val="24"/>
          <w:szCs w:val="24"/>
        </w:rPr>
        <w:t>6.3.2.</w:t>
      </w:r>
      <w:r>
        <w:rPr>
          <w:b/>
          <w:sz w:val="24"/>
          <w:szCs w:val="24"/>
        </w:rPr>
        <w:t>6. (1)</w:t>
      </w:r>
      <w:r>
        <w:rPr>
          <w:sz w:val="24"/>
          <w:szCs w:val="24"/>
        </w:rPr>
        <w:t xml:space="preserve"> Depozitele închise pentru materiale şi substanţe combustibile vor avea asigurate căi de evacuare a utilizatorilor în număr corespunzător, dimensionate, distribuite, alcătuite și realizate potrivit prevederilor normativului.</w:t>
      </w:r>
    </w:p>
    <w:p w14:paraId="333E8C89" w14:textId="77777777" w:rsidR="001C08A5" w:rsidRDefault="00000000">
      <w:pPr>
        <w:ind w:firstLine="720"/>
        <w:jc w:val="both"/>
        <w:rPr>
          <w:sz w:val="24"/>
          <w:szCs w:val="24"/>
        </w:rPr>
      </w:pPr>
      <w:r>
        <w:rPr>
          <w:b/>
          <w:sz w:val="24"/>
          <w:szCs w:val="24"/>
        </w:rPr>
        <w:t xml:space="preserve">(2) </w:t>
      </w:r>
      <w:r>
        <w:rPr>
          <w:sz w:val="24"/>
          <w:szCs w:val="24"/>
        </w:rPr>
        <w:t xml:space="preserve">La depozitele închise fără locuri permanente de lucru (vizitabile de maximum </w:t>
      </w:r>
      <w:r>
        <w:rPr>
          <w:b/>
          <w:bCs/>
          <w:sz w:val="24"/>
          <w:szCs w:val="24"/>
        </w:rPr>
        <w:t>8</w:t>
      </w:r>
      <w:r>
        <w:rPr>
          <w:sz w:val="24"/>
          <w:szCs w:val="24"/>
        </w:rPr>
        <w:t xml:space="preserve"> ori pe schimb), nu este obligatorie îndeplinirea condiţiilor specifice căilor de evacuare în caz de incendiu.</w:t>
      </w:r>
    </w:p>
    <w:p w14:paraId="01A23A51" w14:textId="77777777" w:rsidR="001C08A5" w:rsidRDefault="001C08A5">
      <w:pPr>
        <w:jc w:val="both"/>
        <w:rPr>
          <w:sz w:val="24"/>
          <w:szCs w:val="24"/>
        </w:rPr>
      </w:pPr>
    </w:p>
    <w:p w14:paraId="47A3E109" w14:textId="77777777" w:rsidR="001C08A5" w:rsidRDefault="00000000">
      <w:pPr>
        <w:jc w:val="both"/>
        <w:rPr>
          <w:sz w:val="24"/>
          <w:szCs w:val="24"/>
        </w:rPr>
      </w:pPr>
      <w:r>
        <w:rPr>
          <w:b/>
          <w:sz w:val="24"/>
          <w:szCs w:val="24"/>
        </w:rPr>
        <w:tab/>
        <w:t xml:space="preserve">Art. </w:t>
      </w:r>
      <w:r>
        <w:rPr>
          <w:b/>
          <w:bCs/>
          <w:sz w:val="24"/>
          <w:szCs w:val="24"/>
        </w:rPr>
        <w:t>6.3.2.</w:t>
      </w:r>
      <w:r>
        <w:rPr>
          <w:b/>
          <w:sz w:val="24"/>
          <w:szCs w:val="24"/>
        </w:rPr>
        <w:t xml:space="preserve">7. </w:t>
      </w:r>
      <w:r>
        <w:rPr>
          <w:sz w:val="24"/>
          <w:szCs w:val="24"/>
        </w:rPr>
        <w:t>Pentru intervenţia din exterior în caz de incendiu, construcţiile închise de depozitare pentru materiale şi substanţe combustibile cu aria construită (</w:t>
      </w:r>
      <w:r>
        <w:rPr>
          <w:b/>
          <w:sz w:val="24"/>
          <w:szCs w:val="24"/>
        </w:rPr>
        <w:t>Ac</w:t>
      </w:r>
      <w:r>
        <w:rPr>
          <w:sz w:val="24"/>
          <w:szCs w:val="24"/>
        </w:rPr>
        <w:t xml:space="preserve">) mai mare de </w:t>
      </w:r>
      <w:r>
        <w:rPr>
          <w:b/>
          <w:sz w:val="24"/>
          <w:szCs w:val="24"/>
        </w:rPr>
        <w:t xml:space="preserve">1.000 </w:t>
      </w:r>
      <w:r>
        <w:rPr>
          <w:sz w:val="24"/>
          <w:szCs w:val="24"/>
        </w:rPr>
        <w:t xml:space="preserve">m² vor avea asigurate căi de acces şi intervenţie a autospecialelor, cel puţin pe două laturi astfel încât să se asigure accesul și intervenţia autospecialelor de stingere în caz de incendiu, cel puţin pe </w:t>
      </w:r>
      <w:r>
        <w:rPr>
          <w:b/>
          <w:bCs/>
          <w:sz w:val="24"/>
          <w:szCs w:val="24"/>
        </w:rPr>
        <w:t>50%</w:t>
      </w:r>
      <w:r>
        <w:rPr>
          <w:sz w:val="24"/>
          <w:szCs w:val="24"/>
        </w:rPr>
        <w:t xml:space="preserve"> din perimetrul pereților exteriori., iar depozitele închise cu aria construită mai mică pot avea acces numai pe o latură astfel încât să se asigure accesul și intervenţia autospecialelor de stingere în caz de incendiu, cel puţin pe </w:t>
      </w:r>
      <w:r>
        <w:rPr>
          <w:b/>
          <w:bCs/>
          <w:sz w:val="24"/>
          <w:szCs w:val="24"/>
        </w:rPr>
        <w:t>25%</w:t>
      </w:r>
      <w:r>
        <w:rPr>
          <w:sz w:val="24"/>
          <w:szCs w:val="24"/>
        </w:rPr>
        <w:t xml:space="preserve"> din perimetrul pereților exteriori..</w:t>
      </w:r>
    </w:p>
    <w:p w14:paraId="74FCE52B" w14:textId="77777777" w:rsidR="001C08A5" w:rsidRDefault="00000000">
      <w:pPr>
        <w:pStyle w:val="Heading3"/>
      </w:pPr>
      <w:bookmarkStart w:id="5358" w:name="_Toc32376"/>
      <w:bookmarkStart w:id="5359" w:name="_Toc162355364"/>
      <w:bookmarkStart w:id="5360" w:name="_Toc4713"/>
      <w:bookmarkStart w:id="5361" w:name="_Toc30075"/>
      <w:bookmarkStart w:id="5362" w:name="_Toc30547"/>
      <w:bookmarkStart w:id="5363" w:name="_Toc2468"/>
      <w:bookmarkStart w:id="5364" w:name="_Toc1093"/>
      <w:bookmarkStart w:id="5365" w:name="_Toc19439"/>
      <w:bookmarkStart w:id="5366" w:name="_Toc12642"/>
      <w:bookmarkStart w:id="5367" w:name="_Toc20014"/>
      <w:r>
        <w:t>SECŢIUNEA IV</w:t>
      </w:r>
      <w:bookmarkEnd w:id="5358"/>
      <w:bookmarkEnd w:id="5359"/>
      <w:bookmarkEnd w:id="5360"/>
      <w:bookmarkEnd w:id="5361"/>
      <w:bookmarkEnd w:id="5362"/>
      <w:bookmarkEnd w:id="5363"/>
      <w:bookmarkEnd w:id="5364"/>
      <w:bookmarkEnd w:id="5365"/>
      <w:bookmarkEnd w:id="5366"/>
      <w:bookmarkEnd w:id="5367"/>
    </w:p>
    <w:p w14:paraId="24F09231" w14:textId="77777777" w:rsidR="001C08A5" w:rsidRDefault="00000000">
      <w:pPr>
        <w:pStyle w:val="Heading3"/>
      </w:pPr>
      <w:bookmarkStart w:id="5368" w:name="_Toc29764"/>
      <w:bookmarkStart w:id="5369" w:name="_Toc162355365"/>
      <w:bookmarkStart w:id="5370" w:name="_Toc7176"/>
      <w:bookmarkStart w:id="5371" w:name="_Toc21552"/>
      <w:bookmarkStart w:id="5372" w:name="_Toc9971"/>
      <w:bookmarkStart w:id="5373" w:name="_Toc3578"/>
      <w:bookmarkStart w:id="5374" w:name="_Toc6914"/>
      <w:bookmarkStart w:id="5375" w:name="_Toc16346"/>
      <w:bookmarkStart w:id="5376" w:name="_Toc20442"/>
      <w:bookmarkStart w:id="5377" w:name="_Toc11758"/>
      <w:r>
        <w:t>6.4. PERFORMANŢE SPECIFICE DEPOZITELOR SUPRATERANE DESCHISE DE MATERIALE ŞI SUBSTANŢE COMBUSTIBILE</w:t>
      </w:r>
      <w:bookmarkEnd w:id="5368"/>
      <w:bookmarkEnd w:id="5369"/>
      <w:bookmarkEnd w:id="5370"/>
      <w:bookmarkEnd w:id="5371"/>
      <w:bookmarkEnd w:id="5372"/>
      <w:bookmarkEnd w:id="5373"/>
      <w:bookmarkEnd w:id="5374"/>
      <w:bookmarkEnd w:id="5375"/>
      <w:bookmarkEnd w:id="5376"/>
      <w:bookmarkEnd w:id="5377"/>
    </w:p>
    <w:p w14:paraId="3C25271C" w14:textId="77777777" w:rsidR="001C08A5" w:rsidRDefault="001C08A5">
      <w:pPr>
        <w:jc w:val="both"/>
        <w:rPr>
          <w:b/>
          <w:sz w:val="24"/>
          <w:szCs w:val="24"/>
        </w:rPr>
      </w:pPr>
    </w:p>
    <w:p w14:paraId="785A37AF" w14:textId="77777777" w:rsidR="001C08A5" w:rsidRDefault="00000000">
      <w:pPr>
        <w:jc w:val="both"/>
        <w:rPr>
          <w:sz w:val="24"/>
          <w:szCs w:val="24"/>
        </w:rPr>
      </w:pPr>
      <w:r>
        <w:rPr>
          <w:b/>
          <w:sz w:val="24"/>
          <w:szCs w:val="24"/>
        </w:rPr>
        <w:tab/>
        <w:t xml:space="preserve">Art. 6.4.1. </w:t>
      </w:r>
      <w:r>
        <w:rPr>
          <w:sz w:val="24"/>
          <w:szCs w:val="24"/>
        </w:rPr>
        <w:t xml:space="preserve">Amplasarea depozitelor deschise de materiale şi substanţe combustibile solide, lichide sau gazoase se realizează potrivit prevederilor normativului şi  reglementărilor tehnice specifice, asigurându-se limitarea propagării uşoare a incendiului și condiţiile corespunzătoare de intervenţie în caz de incendiu. Depozitele deschise de materiale solide combustibile se amplasează faţă de vecinătăţi la distanţe de minimum </w:t>
      </w:r>
      <w:r>
        <w:rPr>
          <w:b/>
          <w:bCs/>
          <w:sz w:val="24"/>
          <w:szCs w:val="24"/>
        </w:rPr>
        <w:t>10 m</w:t>
      </w:r>
      <w:r>
        <w:rPr>
          <w:sz w:val="24"/>
          <w:szCs w:val="24"/>
        </w:rPr>
        <w:t xml:space="preserve">. </w:t>
      </w:r>
    </w:p>
    <w:p w14:paraId="38171E99" w14:textId="77777777" w:rsidR="001C08A5" w:rsidRDefault="001C08A5">
      <w:pPr>
        <w:jc w:val="both"/>
        <w:rPr>
          <w:sz w:val="24"/>
          <w:szCs w:val="24"/>
        </w:rPr>
      </w:pPr>
    </w:p>
    <w:p w14:paraId="69FDAE51" w14:textId="77777777" w:rsidR="001C08A5" w:rsidRDefault="00000000">
      <w:pPr>
        <w:pStyle w:val="BodyText"/>
        <w:rPr>
          <w:b w:val="0"/>
          <w:bCs w:val="0"/>
        </w:rPr>
      </w:pPr>
      <w:r>
        <w:rPr>
          <w:b w:val="0"/>
        </w:rPr>
        <w:tab/>
      </w:r>
      <w:r>
        <w:rPr>
          <w:i w:val="0"/>
          <w:iCs/>
        </w:rPr>
        <w:t>Art. 6.4.2.</w:t>
      </w:r>
      <w:r>
        <w:rPr>
          <w:b w:val="0"/>
          <w:i w:val="0"/>
          <w:iCs/>
        </w:rPr>
        <w:t xml:space="preserve"> Depozitele de lichide combustibile categoria </w:t>
      </w:r>
      <w:r>
        <w:rPr>
          <w:bCs w:val="0"/>
          <w:i w:val="0"/>
          <w:iCs/>
        </w:rPr>
        <w:t>D6</w:t>
      </w:r>
      <w:r>
        <w:rPr>
          <w:b w:val="0"/>
          <w:i w:val="0"/>
          <w:iCs/>
        </w:rPr>
        <w:t xml:space="preserve">, clasa </w:t>
      </w:r>
      <w:r>
        <w:rPr>
          <w:i w:val="0"/>
          <w:iCs/>
        </w:rPr>
        <w:t>L III</w:t>
      </w:r>
      <w:r>
        <w:rPr>
          <w:b w:val="0"/>
          <w:i w:val="0"/>
          <w:iCs/>
        </w:rPr>
        <w:t xml:space="preserve">  (depozite constituite din rezervoare supraterane),  se amplasează la minimum </w:t>
      </w:r>
      <w:r>
        <w:rPr>
          <w:i w:val="0"/>
          <w:iCs/>
        </w:rPr>
        <w:t>30</w:t>
      </w:r>
      <w:r>
        <w:rPr>
          <w:b w:val="0"/>
          <w:i w:val="0"/>
          <w:iCs/>
        </w:rPr>
        <w:t xml:space="preserve"> m distanţă faţă de construcţii, iar depozitele categoria </w:t>
      </w:r>
      <w:r>
        <w:rPr>
          <w:bCs w:val="0"/>
          <w:i w:val="0"/>
          <w:iCs/>
        </w:rPr>
        <w:t>D7</w:t>
      </w:r>
      <w:r>
        <w:rPr>
          <w:b w:val="0"/>
          <w:i w:val="0"/>
          <w:iCs/>
        </w:rPr>
        <w:t xml:space="preserve"> la </w:t>
      </w:r>
      <w:r>
        <w:rPr>
          <w:bCs w:val="0"/>
          <w:i w:val="0"/>
          <w:iCs/>
        </w:rPr>
        <w:t>20 m</w:t>
      </w:r>
      <w:r>
        <w:rPr>
          <w:b w:val="0"/>
          <w:i w:val="0"/>
          <w:iCs/>
        </w:rPr>
        <w:t xml:space="preserve">. Atunci când rezervoarele sunt îngropate, distanţele se pot reduce cu </w:t>
      </w:r>
      <w:r>
        <w:rPr>
          <w:i w:val="0"/>
          <w:iCs/>
        </w:rPr>
        <w:t>50%</w:t>
      </w:r>
      <w:r>
        <w:rPr>
          <w:b w:val="0"/>
          <w:i w:val="0"/>
          <w:iCs/>
        </w:rPr>
        <w:t>.</w:t>
      </w:r>
    </w:p>
    <w:p w14:paraId="4415585B" w14:textId="77777777" w:rsidR="001C08A5" w:rsidRDefault="001C08A5">
      <w:pPr>
        <w:jc w:val="both"/>
        <w:rPr>
          <w:b/>
          <w:sz w:val="24"/>
          <w:szCs w:val="24"/>
        </w:rPr>
      </w:pPr>
    </w:p>
    <w:p w14:paraId="01EB695D" w14:textId="77777777" w:rsidR="001C08A5" w:rsidRDefault="00000000">
      <w:pPr>
        <w:jc w:val="both"/>
        <w:rPr>
          <w:sz w:val="24"/>
          <w:szCs w:val="24"/>
        </w:rPr>
      </w:pPr>
      <w:r>
        <w:rPr>
          <w:b/>
          <w:sz w:val="24"/>
          <w:szCs w:val="24"/>
        </w:rPr>
        <w:lastRenderedPageBreak/>
        <w:tab/>
        <w:t xml:space="preserve">Art. 6.4.3. </w:t>
      </w:r>
      <w:r>
        <w:rPr>
          <w:sz w:val="24"/>
          <w:szCs w:val="24"/>
        </w:rPr>
        <w:t>În cazul depozitării pe aceeaşi platformă exterioară a materialelor şi substanţelor combustibile din sorturi diferite, se va asigura dispunerea organizată a produselor astfel încât să nu favorizeze propagarea incendiilor pe suprafeţe mari.</w:t>
      </w:r>
    </w:p>
    <w:p w14:paraId="3F35C125" w14:textId="77777777" w:rsidR="001C08A5" w:rsidRDefault="001C08A5">
      <w:pPr>
        <w:jc w:val="both"/>
        <w:rPr>
          <w:sz w:val="24"/>
          <w:szCs w:val="24"/>
        </w:rPr>
      </w:pPr>
    </w:p>
    <w:p w14:paraId="0C3F704E" w14:textId="77777777" w:rsidR="001C08A5" w:rsidRDefault="00000000">
      <w:pPr>
        <w:jc w:val="both"/>
        <w:rPr>
          <w:sz w:val="24"/>
          <w:szCs w:val="24"/>
        </w:rPr>
      </w:pPr>
      <w:r>
        <w:rPr>
          <w:b/>
          <w:sz w:val="24"/>
          <w:szCs w:val="24"/>
        </w:rPr>
        <w:tab/>
        <w:t xml:space="preserve">Art. 6.4.4. (1) </w:t>
      </w:r>
      <w:r>
        <w:rPr>
          <w:sz w:val="24"/>
          <w:szCs w:val="24"/>
        </w:rPr>
        <w:t>Depozitele deschise de lichide combustibile se amplasează în zone situate mai jos decât obiectele învecinate, iar atunci când, din motive justificate tehnic, amplasarea se face la o cotă mai ridicată, se iau măsuri care să împiedice scurgerea lichidelor combustibile spre obiecte învecinate și transmiterea incendiului la acestea.</w:t>
      </w:r>
    </w:p>
    <w:p w14:paraId="78C40BDE" w14:textId="77777777" w:rsidR="001C08A5" w:rsidRDefault="00000000">
      <w:pPr>
        <w:ind w:firstLine="720"/>
        <w:jc w:val="both"/>
        <w:rPr>
          <w:sz w:val="24"/>
          <w:szCs w:val="24"/>
        </w:rPr>
      </w:pPr>
      <w:r>
        <w:rPr>
          <w:b/>
          <w:sz w:val="24"/>
          <w:szCs w:val="24"/>
        </w:rPr>
        <w:t xml:space="preserve">(2) </w:t>
      </w:r>
      <w:r>
        <w:rPr>
          <w:sz w:val="24"/>
          <w:szCs w:val="24"/>
        </w:rPr>
        <w:t>În cazul amplasării depozitelor deschise de lichide combustibile în vecinătatea unor ape (mare, râu, lac, iaz etc.), se iau măsuri pentru împiedicarea scurgerii lichidelor combustibile spre acestea, dar şi pentru evitarea inundării depozitelor.</w:t>
      </w:r>
    </w:p>
    <w:p w14:paraId="140831F2" w14:textId="77777777" w:rsidR="001C08A5" w:rsidRDefault="001C08A5">
      <w:pPr>
        <w:jc w:val="both"/>
        <w:rPr>
          <w:sz w:val="24"/>
          <w:szCs w:val="24"/>
        </w:rPr>
      </w:pPr>
    </w:p>
    <w:p w14:paraId="1970D2C7" w14:textId="77777777" w:rsidR="001C08A5" w:rsidRDefault="00000000">
      <w:pPr>
        <w:jc w:val="both"/>
        <w:rPr>
          <w:sz w:val="24"/>
          <w:szCs w:val="24"/>
        </w:rPr>
      </w:pPr>
      <w:r>
        <w:rPr>
          <w:b/>
          <w:sz w:val="24"/>
          <w:szCs w:val="24"/>
        </w:rPr>
        <w:tab/>
        <w:t xml:space="preserve">Art. 6.4.5. </w:t>
      </w:r>
      <w:r>
        <w:rPr>
          <w:sz w:val="24"/>
          <w:szCs w:val="24"/>
        </w:rPr>
        <w:t xml:space="preserve">Depozitele deschise de lichide combustibile vor avea precizată zonarea riscurilor de incendiu și explozie. </w:t>
      </w:r>
    </w:p>
    <w:p w14:paraId="1852E92C" w14:textId="77777777" w:rsidR="001C08A5" w:rsidRDefault="001C08A5">
      <w:pPr>
        <w:jc w:val="both"/>
        <w:rPr>
          <w:sz w:val="24"/>
          <w:szCs w:val="24"/>
        </w:rPr>
      </w:pPr>
    </w:p>
    <w:p w14:paraId="3FC7FE66" w14:textId="77777777" w:rsidR="001C08A5" w:rsidRDefault="00000000">
      <w:pPr>
        <w:jc w:val="both"/>
        <w:rPr>
          <w:sz w:val="24"/>
          <w:szCs w:val="24"/>
        </w:rPr>
      </w:pPr>
      <w:r>
        <w:rPr>
          <w:b/>
          <w:sz w:val="24"/>
          <w:szCs w:val="24"/>
        </w:rPr>
        <w:tab/>
        <w:t>Art. 6.4.6. (1)</w:t>
      </w:r>
      <w:r>
        <w:rPr>
          <w:sz w:val="24"/>
          <w:szCs w:val="24"/>
        </w:rPr>
        <w:t xml:space="preserve"> Rezervoarele (sau grupurile de rezervoare) supraterane sau semiîngropate pentru lichide combustibile care nu au pereţi dubli, vor avea cuvă de retenţie mărginită de diguri sau pereţi continui, care să reziste la solicitările mecanice și termice produse în timpul incendiilor.</w:t>
      </w:r>
    </w:p>
    <w:p w14:paraId="7677587B" w14:textId="77777777" w:rsidR="001C08A5" w:rsidRDefault="00000000">
      <w:pPr>
        <w:ind w:firstLine="720"/>
        <w:jc w:val="both"/>
        <w:rPr>
          <w:sz w:val="24"/>
          <w:szCs w:val="24"/>
        </w:rPr>
      </w:pPr>
      <w:r>
        <w:rPr>
          <w:b/>
          <w:sz w:val="24"/>
          <w:szCs w:val="24"/>
        </w:rPr>
        <w:t xml:space="preserve">(2) </w:t>
      </w:r>
      <w:r>
        <w:rPr>
          <w:sz w:val="24"/>
          <w:szCs w:val="24"/>
        </w:rPr>
        <w:t>Cuvele de retenţie se dimensionează și realizează în aşa fel încât să nu permită deversarea lichidelor combustibile în afara lor.</w:t>
      </w:r>
    </w:p>
    <w:p w14:paraId="5B8A672F" w14:textId="77777777" w:rsidR="001C08A5" w:rsidRDefault="001C08A5">
      <w:pPr>
        <w:jc w:val="both"/>
        <w:rPr>
          <w:sz w:val="24"/>
          <w:szCs w:val="24"/>
        </w:rPr>
      </w:pPr>
    </w:p>
    <w:p w14:paraId="67A563B1" w14:textId="77777777" w:rsidR="001C08A5" w:rsidRDefault="00000000">
      <w:pPr>
        <w:jc w:val="both"/>
        <w:rPr>
          <w:b/>
          <w:sz w:val="24"/>
          <w:szCs w:val="24"/>
        </w:rPr>
      </w:pPr>
      <w:r>
        <w:rPr>
          <w:b/>
          <w:sz w:val="24"/>
          <w:szCs w:val="24"/>
        </w:rPr>
        <w:tab/>
        <w:t xml:space="preserve">Art. 6.4.7. </w:t>
      </w:r>
      <w:r>
        <w:rPr>
          <w:sz w:val="24"/>
          <w:szCs w:val="24"/>
        </w:rPr>
        <w:t xml:space="preserve">Depozitarea lichidelor combustibile în ambalaje sau recipiente, se poate face pe platforme deschise executate din materiale clasa de reacţie la foc </w:t>
      </w:r>
      <w:r>
        <w:rPr>
          <w:b/>
          <w:sz w:val="24"/>
          <w:szCs w:val="24"/>
        </w:rPr>
        <w:t>A1</w:t>
      </w:r>
      <w:r>
        <w:rPr>
          <w:sz w:val="24"/>
          <w:szCs w:val="24"/>
        </w:rPr>
        <w:t>, situate deasupra nivelului terenului înconjurător şi delimitate cu rigole de scurgere.</w:t>
      </w:r>
    </w:p>
    <w:p w14:paraId="4EEE7389" w14:textId="77777777" w:rsidR="001C08A5" w:rsidRDefault="00000000">
      <w:pPr>
        <w:jc w:val="both"/>
        <w:rPr>
          <w:b/>
          <w:sz w:val="24"/>
          <w:szCs w:val="24"/>
        </w:rPr>
      </w:pPr>
      <w:r>
        <w:rPr>
          <w:b/>
          <w:sz w:val="24"/>
          <w:szCs w:val="24"/>
        </w:rPr>
        <w:tab/>
      </w:r>
    </w:p>
    <w:p w14:paraId="2CD340BD" w14:textId="77777777" w:rsidR="001C08A5" w:rsidRDefault="00000000">
      <w:pPr>
        <w:jc w:val="both"/>
        <w:rPr>
          <w:sz w:val="24"/>
          <w:szCs w:val="24"/>
        </w:rPr>
      </w:pPr>
      <w:r>
        <w:rPr>
          <w:b/>
          <w:sz w:val="24"/>
          <w:szCs w:val="24"/>
        </w:rPr>
        <w:tab/>
        <w:t>Art. 6.4.8. (1)</w:t>
      </w:r>
      <w:r>
        <w:rPr>
          <w:sz w:val="24"/>
          <w:szCs w:val="24"/>
        </w:rPr>
        <w:t xml:space="preserve"> Pentru intervenţia din exterior în caz de incendiu, depozitele deschise pentru materiale şi substanţe combustibile cu aria mai mare de </w:t>
      </w:r>
      <w:r>
        <w:rPr>
          <w:b/>
          <w:sz w:val="24"/>
          <w:szCs w:val="24"/>
        </w:rPr>
        <w:t xml:space="preserve">600 </w:t>
      </w:r>
      <w:r>
        <w:rPr>
          <w:b/>
          <w:bCs/>
          <w:sz w:val="24"/>
          <w:szCs w:val="24"/>
        </w:rPr>
        <w:t>m²</w:t>
      </w:r>
      <w:r>
        <w:rPr>
          <w:sz w:val="24"/>
          <w:szCs w:val="24"/>
        </w:rPr>
        <w:t xml:space="preserve">, vor avea asigurat acces şi circulaţii de intervenţie pe patru laturi astfel încât să se asigure accesul și intervenţia autospecialelor de stingere în caz de incendiu, integral pe </w:t>
      </w:r>
      <w:r>
        <w:rPr>
          <w:b/>
          <w:bCs/>
          <w:sz w:val="24"/>
          <w:szCs w:val="24"/>
        </w:rPr>
        <w:t>100%</w:t>
      </w:r>
      <w:r>
        <w:rPr>
          <w:sz w:val="24"/>
          <w:szCs w:val="24"/>
        </w:rPr>
        <w:t xml:space="preserve"> din perimetrul depozitului exterior. Depozitele deschise cu aria mai mică  de </w:t>
      </w:r>
      <w:r>
        <w:rPr>
          <w:b/>
          <w:sz w:val="24"/>
          <w:szCs w:val="24"/>
        </w:rPr>
        <w:t xml:space="preserve">600 </w:t>
      </w:r>
      <w:r>
        <w:rPr>
          <w:b/>
          <w:bCs/>
          <w:sz w:val="24"/>
          <w:szCs w:val="24"/>
        </w:rPr>
        <w:t>m²</w:t>
      </w:r>
      <w:r>
        <w:rPr>
          <w:sz w:val="24"/>
          <w:szCs w:val="24"/>
        </w:rPr>
        <w:t xml:space="preserve"> pot avea acces numai pe trei laturi, astfel încât să se asigure accesul și intervenţia autospecialelor de stingere în caz de incendiu, cel puţin pe </w:t>
      </w:r>
      <w:r>
        <w:rPr>
          <w:b/>
          <w:bCs/>
          <w:sz w:val="24"/>
          <w:szCs w:val="24"/>
        </w:rPr>
        <w:t>75%</w:t>
      </w:r>
      <w:r>
        <w:rPr>
          <w:sz w:val="24"/>
          <w:szCs w:val="24"/>
        </w:rPr>
        <w:t xml:space="preserve"> din perimetrul depozitului exterior.</w:t>
      </w:r>
    </w:p>
    <w:p w14:paraId="3F6750B3" w14:textId="77777777" w:rsidR="001C08A5" w:rsidRDefault="00000000">
      <w:pPr>
        <w:ind w:firstLine="720"/>
        <w:jc w:val="both"/>
        <w:rPr>
          <w:sz w:val="24"/>
          <w:szCs w:val="24"/>
        </w:rPr>
      </w:pPr>
      <w:r>
        <w:rPr>
          <w:b/>
          <w:sz w:val="24"/>
          <w:szCs w:val="24"/>
        </w:rPr>
        <w:t xml:space="preserve">(2) </w:t>
      </w:r>
      <w:r>
        <w:rPr>
          <w:sz w:val="24"/>
          <w:szCs w:val="24"/>
        </w:rPr>
        <w:t>Accesul personalului de intervenţie la depozitele deschise pentru materiale şi substanţe combustibile se asigură prin circulaţiile funcţionale ale acestora, marcate corespunzător.</w:t>
      </w:r>
    </w:p>
    <w:p w14:paraId="798FCC26" w14:textId="77777777" w:rsidR="001C08A5" w:rsidRDefault="00000000">
      <w:pPr>
        <w:jc w:val="both"/>
        <w:rPr>
          <w:b/>
          <w:sz w:val="24"/>
          <w:szCs w:val="24"/>
        </w:rPr>
      </w:pPr>
      <w:r>
        <w:rPr>
          <w:b/>
          <w:sz w:val="24"/>
          <w:szCs w:val="24"/>
        </w:rPr>
        <w:tab/>
      </w:r>
    </w:p>
    <w:p w14:paraId="1C97C7F1" w14:textId="77777777" w:rsidR="001C08A5" w:rsidRDefault="00000000">
      <w:pPr>
        <w:ind w:firstLine="720"/>
        <w:jc w:val="both"/>
        <w:rPr>
          <w:b/>
          <w:sz w:val="24"/>
          <w:szCs w:val="24"/>
        </w:rPr>
      </w:pPr>
      <w:r>
        <w:rPr>
          <w:sz w:val="24"/>
          <w:szCs w:val="24"/>
        </w:rPr>
        <w:tab/>
      </w:r>
      <w:r>
        <w:rPr>
          <w:sz w:val="24"/>
          <w:szCs w:val="24"/>
        </w:rPr>
        <w:tab/>
      </w:r>
      <w:r>
        <w:rPr>
          <w:sz w:val="24"/>
          <w:szCs w:val="24"/>
        </w:rPr>
        <w:tab/>
      </w:r>
    </w:p>
    <w:p w14:paraId="05DE1F07" w14:textId="77777777" w:rsidR="001C08A5" w:rsidRDefault="00000000">
      <w:pPr>
        <w:pStyle w:val="Heading1"/>
      </w:pPr>
      <w:bookmarkStart w:id="5378" w:name="_Toc8926"/>
      <w:bookmarkStart w:id="5379" w:name="_Toc162355366"/>
      <w:bookmarkStart w:id="5380" w:name="_Toc22006"/>
      <w:bookmarkStart w:id="5381" w:name="_Toc26296"/>
      <w:bookmarkStart w:id="5382" w:name="_Toc22373"/>
      <w:bookmarkStart w:id="5383" w:name="_Toc1626"/>
      <w:bookmarkStart w:id="5384" w:name="_Toc379"/>
      <w:bookmarkStart w:id="5385" w:name="_Toc29978"/>
      <w:bookmarkStart w:id="5386" w:name="_Toc2410"/>
      <w:bookmarkStart w:id="5387" w:name="_Toc26746"/>
      <w:r>
        <w:t>CAPITOLUL 7</w:t>
      </w:r>
      <w:bookmarkEnd w:id="5378"/>
      <w:bookmarkEnd w:id="5379"/>
      <w:bookmarkEnd w:id="5380"/>
      <w:bookmarkEnd w:id="5381"/>
      <w:bookmarkEnd w:id="5382"/>
      <w:bookmarkEnd w:id="5383"/>
      <w:bookmarkEnd w:id="5384"/>
      <w:bookmarkEnd w:id="5385"/>
      <w:bookmarkEnd w:id="5386"/>
      <w:bookmarkEnd w:id="5387"/>
    </w:p>
    <w:p w14:paraId="3559050B" w14:textId="77777777" w:rsidR="001C08A5" w:rsidRDefault="00000000">
      <w:pPr>
        <w:pStyle w:val="Heading2"/>
      </w:pPr>
      <w:bookmarkStart w:id="5388" w:name="_Toc26750"/>
      <w:bookmarkStart w:id="5389" w:name="_Toc2140"/>
      <w:bookmarkStart w:id="5390" w:name="_Toc7356"/>
      <w:bookmarkStart w:id="5391" w:name="_Toc30206"/>
      <w:bookmarkStart w:id="5392" w:name="_Toc7001"/>
      <w:bookmarkStart w:id="5393" w:name="_Toc162355367"/>
      <w:bookmarkStart w:id="5394" w:name="_Toc10856"/>
      <w:bookmarkStart w:id="5395" w:name="_Toc20414"/>
      <w:bookmarkStart w:id="5396" w:name="_Toc32276"/>
      <w:bookmarkStart w:id="5397" w:name="_Toc11204"/>
      <w:r>
        <w:t>7. PERFORMANŢE ALE CONSTRUCŢIILOR</w:t>
      </w:r>
      <w:bookmarkEnd w:id="5388"/>
      <w:bookmarkEnd w:id="5389"/>
      <w:bookmarkEnd w:id="5390"/>
      <w:bookmarkEnd w:id="5391"/>
      <w:bookmarkEnd w:id="5392"/>
      <w:bookmarkEnd w:id="5393"/>
      <w:bookmarkEnd w:id="5394"/>
      <w:bookmarkEnd w:id="5395"/>
      <w:bookmarkEnd w:id="5396"/>
      <w:bookmarkEnd w:id="5397"/>
    </w:p>
    <w:p w14:paraId="332344FF" w14:textId="77777777" w:rsidR="001C08A5" w:rsidRDefault="00000000">
      <w:pPr>
        <w:pStyle w:val="Heading2"/>
        <w:rPr>
          <w:rFonts w:cs="Times New Roman"/>
          <w:sz w:val="24"/>
          <w:szCs w:val="24"/>
        </w:rPr>
      </w:pPr>
      <w:bookmarkStart w:id="5398" w:name="_Toc4676"/>
      <w:bookmarkStart w:id="5399" w:name="_Toc19275"/>
      <w:bookmarkStart w:id="5400" w:name="_Toc27679"/>
      <w:bookmarkStart w:id="5401" w:name="_Toc18725"/>
      <w:bookmarkStart w:id="5402" w:name="_Toc162355368"/>
      <w:bookmarkStart w:id="5403" w:name="_Toc18368"/>
      <w:bookmarkStart w:id="5404" w:name="_Toc32536"/>
      <w:bookmarkStart w:id="5405" w:name="_Toc26957"/>
      <w:bookmarkStart w:id="5406" w:name="_Toc10065"/>
      <w:bookmarkStart w:id="5407" w:name="_Toc20170"/>
      <w:r>
        <w:t>CU FUNCŢIUNI MIXTE</w:t>
      </w:r>
      <w:bookmarkEnd w:id="5398"/>
      <w:bookmarkEnd w:id="5399"/>
      <w:bookmarkEnd w:id="5400"/>
      <w:bookmarkEnd w:id="5401"/>
      <w:bookmarkEnd w:id="5402"/>
      <w:bookmarkEnd w:id="5403"/>
      <w:bookmarkEnd w:id="5404"/>
      <w:bookmarkEnd w:id="5405"/>
      <w:bookmarkEnd w:id="5406"/>
      <w:bookmarkEnd w:id="5407"/>
    </w:p>
    <w:p w14:paraId="6B1AC7D8" w14:textId="77777777" w:rsidR="001C08A5" w:rsidRDefault="00000000">
      <w:pPr>
        <w:pStyle w:val="Heading3"/>
      </w:pPr>
      <w:bookmarkStart w:id="5408" w:name="_Toc24381"/>
      <w:bookmarkStart w:id="5409" w:name="_Toc23094"/>
      <w:bookmarkStart w:id="5410" w:name="_Toc26371"/>
      <w:bookmarkStart w:id="5411" w:name="_Toc25764"/>
      <w:bookmarkStart w:id="5412" w:name="_Toc10035"/>
      <w:bookmarkStart w:id="5413" w:name="_Toc20327"/>
      <w:bookmarkStart w:id="5414" w:name="_Toc19802"/>
      <w:bookmarkStart w:id="5415" w:name="_Toc14247"/>
      <w:bookmarkStart w:id="5416" w:name="_Toc22217"/>
      <w:bookmarkStart w:id="5417" w:name="_Toc162355369"/>
      <w:r>
        <w:t>7.1. CONDIŢII COMUNE DE PERFORMANŢĂ A CONSTRUCŢIILOR (RISC DE INCENDIU,  NIVEL DE STABILITATE LA INCENDIU AL CONSTRUCŢIEI)</w:t>
      </w:r>
      <w:bookmarkEnd w:id="5408"/>
      <w:bookmarkEnd w:id="5409"/>
      <w:bookmarkEnd w:id="5410"/>
      <w:bookmarkEnd w:id="5411"/>
      <w:bookmarkEnd w:id="5412"/>
      <w:bookmarkEnd w:id="5413"/>
      <w:bookmarkEnd w:id="5414"/>
      <w:bookmarkEnd w:id="5415"/>
      <w:bookmarkEnd w:id="5416"/>
      <w:bookmarkEnd w:id="5417"/>
    </w:p>
    <w:p w14:paraId="7D71A82B" w14:textId="77777777" w:rsidR="001C08A5" w:rsidRDefault="001C08A5">
      <w:pPr>
        <w:jc w:val="both"/>
        <w:rPr>
          <w:sz w:val="24"/>
          <w:szCs w:val="24"/>
        </w:rPr>
      </w:pPr>
    </w:p>
    <w:p w14:paraId="0C4D7FD2" w14:textId="77777777" w:rsidR="001C08A5" w:rsidRDefault="00000000">
      <w:pPr>
        <w:ind w:firstLine="708"/>
        <w:jc w:val="both"/>
        <w:rPr>
          <w:sz w:val="24"/>
          <w:szCs w:val="24"/>
        </w:rPr>
      </w:pPr>
      <w:r>
        <w:rPr>
          <w:b/>
          <w:sz w:val="24"/>
          <w:szCs w:val="24"/>
        </w:rPr>
        <w:t xml:space="preserve">Art. </w:t>
      </w:r>
      <w:r>
        <w:rPr>
          <w:b/>
          <w:caps/>
          <w:sz w:val="24"/>
          <w:szCs w:val="24"/>
        </w:rPr>
        <w:t>7.1.</w:t>
      </w:r>
      <w:r>
        <w:rPr>
          <w:b/>
          <w:sz w:val="24"/>
          <w:szCs w:val="24"/>
        </w:rPr>
        <w:t xml:space="preserve">1. (1) </w:t>
      </w:r>
      <w:r>
        <w:rPr>
          <w:sz w:val="24"/>
          <w:szCs w:val="24"/>
        </w:rPr>
        <w:t>La construcţiile cu funcţiuni mixte (civile, de producţie şi/sau de depozitare), funcţiunile diferite se separă între ele potrivit cerinţelor funcţionale şi prevederilor normativului.</w:t>
      </w:r>
    </w:p>
    <w:p w14:paraId="142D5B0E" w14:textId="77777777" w:rsidR="001C08A5" w:rsidRDefault="00000000">
      <w:pPr>
        <w:ind w:firstLine="720"/>
        <w:jc w:val="both"/>
        <w:rPr>
          <w:sz w:val="24"/>
          <w:szCs w:val="24"/>
        </w:rPr>
      </w:pPr>
      <w:r>
        <w:rPr>
          <w:b/>
          <w:sz w:val="24"/>
          <w:szCs w:val="24"/>
        </w:rPr>
        <w:t xml:space="preserve">(2) </w:t>
      </w:r>
      <w:r>
        <w:rPr>
          <w:sz w:val="24"/>
          <w:szCs w:val="24"/>
        </w:rPr>
        <w:t xml:space="preserve">Funcţiunea distinctă (civilă, de producţie şi/sau depozitare) care depăşeşte </w:t>
      </w:r>
      <w:r>
        <w:rPr>
          <w:b/>
          <w:sz w:val="24"/>
          <w:szCs w:val="24"/>
        </w:rPr>
        <w:t>50%</w:t>
      </w:r>
      <w:r>
        <w:rPr>
          <w:sz w:val="24"/>
          <w:szCs w:val="24"/>
        </w:rPr>
        <w:t xml:space="preserve"> din aria desfăşurată totală a construcţiei (</w:t>
      </w:r>
      <w:r>
        <w:rPr>
          <w:b/>
          <w:sz w:val="24"/>
          <w:szCs w:val="24"/>
        </w:rPr>
        <w:t>Ad</w:t>
      </w:r>
      <w:r>
        <w:rPr>
          <w:sz w:val="24"/>
          <w:szCs w:val="24"/>
        </w:rPr>
        <w:t>), determină încadrarea acesteia în construcţie cu funcţiuni mixte civile sau în construcţie cu funcţiuni mixte de producţie şi/sau depozitare.</w:t>
      </w:r>
    </w:p>
    <w:p w14:paraId="2B0AF1AB" w14:textId="77777777" w:rsidR="001C08A5" w:rsidRDefault="00000000">
      <w:pPr>
        <w:ind w:firstLine="720"/>
        <w:jc w:val="both"/>
        <w:rPr>
          <w:sz w:val="24"/>
          <w:szCs w:val="24"/>
        </w:rPr>
      </w:pPr>
      <w:r>
        <w:rPr>
          <w:b/>
          <w:bCs/>
          <w:sz w:val="24"/>
          <w:szCs w:val="24"/>
        </w:rPr>
        <w:lastRenderedPageBreak/>
        <w:t>(3)</w:t>
      </w:r>
      <w:r>
        <w:rPr>
          <w:sz w:val="24"/>
          <w:szCs w:val="24"/>
        </w:rPr>
        <w:t xml:space="preserve"> În cazul în care suprafețele celor două funcțiuni sunt egale, clădirea va fi considerată ca fiind cu funcțiunea de producție și/sau depozitare.</w:t>
      </w:r>
    </w:p>
    <w:p w14:paraId="5DE5EED5" w14:textId="77777777" w:rsidR="001C08A5" w:rsidRDefault="00000000">
      <w:pPr>
        <w:ind w:firstLine="720"/>
        <w:jc w:val="both"/>
        <w:rPr>
          <w:sz w:val="24"/>
          <w:szCs w:val="24"/>
        </w:rPr>
      </w:pPr>
      <w:r>
        <w:rPr>
          <w:b/>
          <w:bCs/>
          <w:sz w:val="24"/>
          <w:szCs w:val="24"/>
        </w:rPr>
        <w:t>(4)</w:t>
      </w:r>
      <w:r>
        <w:rPr>
          <w:sz w:val="24"/>
          <w:szCs w:val="24"/>
        </w:rPr>
        <w:t xml:space="preserve"> Atunci când în clădire sunt mai multe destinaţii diferite civile, respectiv de producţie şi/sau depozitare, funcţiunea cu aria totală desfăşurată cea mai mare din cea a construcţiei (</w:t>
      </w:r>
      <w:r>
        <w:rPr>
          <w:b/>
          <w:sz w:val="24"/>
          <w:szCs w:val="24"/>
        </w:rPr>
        <w:t>Ad</w:t>
      </w:r>
      <w:r>
        <w:rPr>
          <w:sz w:val="24"/>
          <w:szCs w:val="24"/>
        </w:rPr>
        <w:t>), determină funcţiunea civilă ori funcţiunea de producţie sau de depozitare a clădirii.</w:t>
      </w:r>
    </w:p>
    <w:p w14:paraId="590846AE" w14:textId="77777777" w:rsidR="001C08A5" w:rsidRDefault="00000000">
      <w:pPr>
        <w:jc w:val="both"/>
        <w:rPr>
          <w:sz w:val="24"/>
          <w:szCs w:val="24"/>
        </w:rPr>
      </w:pPr>
      <w:r>
        <w:rPr>
          <w:sz w:val="24"/>
          <w:szCs w:val="24"/>
        </w:rPr>
        <w:tab/>
      </w:r>
    </w:p>
    <w:p w14:paraId="2D8C713B" w14:textId="77777777" w:rsidR="001C08A5" w:rsidRDefault="00000000">
      <w:pPr>
        <w:ind w:firstLine="720"/>
        <w:jc w:val="both"/>
        <w:rPr>
          <w:sz w:val="24"/>
          <w:szCs w:val="24"/>
        </w:rPr>
      </w:pPr>
      <w:r>
        <w:rPr>
          <w:b/>
          <w:sz w:val="24"/>
          <w:szCs w:val="24"/>
        </w:rPr>
        <w:t xml:space="preserve">Art. </w:t>
      </w:r>
      <w:r>
        <w:rPr>
          <w:b/>
          <w:caps/>
          <w:sz w:val="24"/>
          <w:szCs w:val="24"/>
        </w:rPr>
        <w:t>7.1.</w:t>
      </w:r>
      <w:r>
        <w:rPr>
          <w:b/>
          <w:sz w:val="24"/>
          <w:szCs w:val="24"/>
        </w:rPr>
        <w:t xml:space="preserve">2. </w:t>
      </w:r>
      <w:r>
        <w:rPr>
          <w:sz w:val="24"/>
          <w:szCs w:val="24"/>
        </w:rPr>
        <w:t xml:space="preserve">Corespunzător încadrării construcţiei se asigură măsurile de securitate la incendiu prevăzute în normativ pentru construcţii civile sau pentru construcţii de producţie şi/sau depozitare, iar pentru fiecare porţiune din construcţie se respectă şi măsurile de protecţie specifice destinaţie respective. </w:t>
      </w:r>
    </w:p>
    <w:p w14:paraId="7FE0AD1C" w14:textId="77777777" w:rsidR="001C08A5" w:rsidRDefault="001C08A5">
      <w:pPr>
        <w:jc w:val="both"/>
        <w:rPr>
          <w:sz w:val="24"/>
          <w:szCs w:val="24"/>
        </w:rPr>
      </w:pPr>
    </w:p>
    <w:p w14:paraId="695E12B7" w14:textId="77777777" w:rsidR="001C08A5" w:rsidRDefault="00000000">
      <w:pPr>
        <w:jc w:val="both"/>
        <w:rPr>
          <w:sz w:val="24"/>
          <w:szCs w:val="24"/>
        </w:rPr>
      </w:pPr>
      <w:r>
        <w:rPr>
          <w:sz w:val="24"/>
          <w:szCs w:val="24"/>
        </w:rPr>
        <w:tab/>
      </w:r>
      <w:r>
        <w:rPr>
          <w:b/>
          <w:sz w:val="24"/>
          <w:szCs w:val="24"/>
        </w:rPr>
        <w:t xml:space="preserve">Art. </w:t>
      </w:r>
      <w:r>
        <w:rPr>
          <w:b/>
          <w:caps/>
          <w:sz w:val="24"/>
          <w:szCs w:val="24"/>
        </w:rPr>
        <w:t>7.1.</w:t>
      </w:r>
      <w:r>
        <w:rPr>
          <w:b/>
          <w:sz w:val="24"/>
          <w:szCs w:val="24"/>
        </w:rPr>
        <w:t>3. (1)</w:t>
      </w:r>
      <w:r>
        <w:rPr>
          <w:sz w:val="24"/>
          <w:szCs w:val="24"/>
        </w:rPr>
        <w:t xml:space="preserve"> Zonele, încăperile, compartimentele de incendiu şi construcţiile cu funcţiuni mixte, vor avea determinate şi precizate riscurile de incendiu specifice, conform prevederilor </w:t>
      </w:r>
      <w:r>
        <w:rPr>
          <w:b/>
          <w:sz w:val="24"/>
          <w:szCs w:val="24"/>
        </w:rPr>
        <w:t xml:space="preserve">Art. 2.1.2.2. </w:t>
      </w:r>
      <w:r>
        <w:rPr>
          <w:sz w:val="24"/>
          <w:szCs w:val="24"/>
        </w:rPr>
        <w:t xml:space="preserve">şi </w:t>
      </w:r>
      <w:r>
        <w:rPr>
          <w:b/>
          <w:sz w:val="24"/>
          <w:szCs w:val="24"/>
        </w:rPr>
        <w:t>Art. 2.1.2.5.</w:t>
      </w:r>
    </w:p>
    <w:p w14:paraId="5900E6F2" w14:textId="77777777" w:rsidR="001C08A5" w:rsidRDefault="00000000">
      <w:pPr>
        <w:ind w:firstLine="720"/>
        <w:jc w:val="both"/>
        <w:rPr>
          <w:sz w:val="24"/>
          <w:szCs w:val="24"/>
        </w:rPr>
      </w:pPr>
      <w:r>
        <w:rPr>
          <w:b/>
          <w:sz w:val="24"/>
          <w:szCs w:val="24"/>
        </w:rPr>
        <w:t xml:space="preserve">(2) </w:t>
      </w:r>
      <w:r>
        <w:rPr>
          <w:sz w:val="24"/>
          <w:szCs w:val="24"/>
        </w:rPr>
        <w:t xml:space="preserve">Cel mai periculos risc de incendiu care reprezintă peste </w:t>
      </w:r>
      <w:r>
        <w:rPr>
          <w:b/>
          <w:sz w:val="24"/>
          <w:szCs w:val="24"/>
        </w:rPr>
        <w:t>30%</w:t>
      </w:r>
      <w:r>
        <w:rPr>
          <w:sz w:val="24"/>
          <w:szCs w:val="24"/>
        </w:rPr>
        <w:t xml:space="preserve"> din aria desfăşurată (</w:t>
      </w:r>
      <w:r>
        <w:rPr>
          <w:b/>
          <w:sz w:val="24"/>
          <w:szCs w:val="24"/>
        </w:rPr>
        <w:t>Ad</w:t>
      </w:r>
      <w:r>
        <w:rPr>
          <w:sz w:val="24"/>
          <w:szCs w:val="24"/>
        </w:rPr>
        <w:t>) a unei porţiuni de construcţie (separată cu pereţi şi planşee rezistente la foc), determină riscul de incendiu pentru întreaga porţiune.</w:t>
      </w:r>
    </w:p>
    <w:p w14:paraId="12A8C468" w14:textId="77777777" w:rsidR="001C08A5" w:rsidRDefault="00000000">
      <w:pPr>
        <w:ind w:firstLine="720"/>
        <w:jc w:val="both"/>
        <w:rPr>
          <w:sz w:val="24"/>
          <w:szCs w:val="24"/>
        </w:rPr>
      </w:pPr>
      <w:r>
        <w:rPr>
          <w:b/>
          <w:sz w:val="24"/>
          <w:szCs w:val="24"/>
        </w:rPr>
        <w:t xml:space="preserve">(3) </w:t>
      </w:r>
      <w:r>
        <w:rPr>
          <w:sz w:val="24"/>
          <w:szCs w:val="24"/>
        </w:rPr>
        <w:t>Cel mai periculos risc de incendiu al unei porţiuni de construcţie, a cărui arie desfăşurată (</w:t>
      </w:r>
      <w:r>
        <w:rPr>
          <w:b/>
          <w:sz w:val="24"/>
          <w:szCs w:val="24"/>
        </w:rPr>
        <w:t>Ad</w:t>
      </w:r>
      <w:r>
        <w:rPr>
          <w:sz w:val="24"/>
          <w:szCs w:val="24"/>
        </w:rPr>
        <w:t xml:space="preserve">) reprezintă mai mult de </w:t>
      </w:r>
      <w:r>
        <w:rPr>
          <w:b/>
          <w:sz w:val="24"/>
          <w:szCs w:val="24"/>
        </w:rPr>
        <w:t>30%</w:t>
      </w:r>
      <w:r>
        <w:rPr>
          <w:sz w:val="24"/>
          <w:szCs w:val="24"/>
        </w:rPr>
        <w:t xml:space="preserve"> din aria desfăşurată (</w:t>
      </w:r>
      <w:r>
        <w:rPr>
          <w:b/>
          <w:sz w:val="24"/>
          <w:szCs w:val="24"/>
        </w:rPr>
        <w:t>Ad</w:t>
      </w:r>
      <w:r>
        <w:rPr>
          <w:sz w:val="24"/>
          <w:szCs w:val="24"/>
        </w:rPr>
        <w:t>) a construcţiei respective, determină riscul de incendiu al întregii construcţii cu funcţiuni mixte.</w:t>
      </w:r>
    </w:p>
    <w:p w14:paraId="6F83923C" w14:textId="77777777" w:rsidR="001C08A5" w:rsidRDefault="001C08A5">
      <w:pPr>
        <w:jc w:val="both"/>
        <w:rPr>
          <w:sz w:val="24"/>
          <w:szCs w:val="24"/>
        </w:rPr>
      </w:pPr>
    </w:p>
    <w:p w14:paraId="258DFA70" w14:textId="77777777" w:rsidR="001C08A5" w:rsidRDefault="00000000">
      <w:pPr>
        <w:jc w:val="both"/>
        <w:rPr>
          <w:sz w:val="24"/>
          <w:szCs w:val="24"/>
        </w:rPr>
      </w:pPr>
      <w:r>
        <w:rPr>
          <w:b/>
          <w:sz w:val="24"/>
          <w:szCs w:val="24"/>
        </w:rPr>
        <w:tab/>
        <w:t xml:space="preserve">Art. </w:t>
      </w:r>
      <w:r>
        <w:rPr>
          <w:b/>
          <w:caps/>
          <w:sz w:val="24"/>
          <w:szCs w:val="24"/>
        </w:rPr>
        <w:t>7.1.</w:t>
      </w:r>
      <w:r>
        <w:rPr>
          <w:b/>
          <w:sz w:val="24"/>
          <w:szCs w:val="24"/>
        </w:rPr>
        <w:t xml:space="preserve">4. </w:t>
      </w:r>
      <w:r>
        <w:rPr>
          <w:sz w:val="24"/>
          <w:szCs w:val="24"/>
        </w:rPr>
        <w:t xml:space="preserve">Construcţiile cu funcţiuni mixte vor avea determinat și precizat nivelul de stabiltate la incendiu conform prevederilor din </w:t>
      </w:r>
      <w:r>
        <w:rPr>
          <w:b/>
          <w:sz w:val="24"/>
          <w:szCs w:val="24"/>
        </w:rPr>
        <w:t xml:space="preserve">Art. </w:t>
      </w:r>
      <w:r>
        <w:rPr>
          <w:b/>
          <w:bCs/>
          <w:sz w:val="24"/>
          <w:szCs w:val="24"/>
        </w:rPr>
        <w:t>2.1.3.</w:t>
      </w:r>
      <w:r>
        <w:rPr>
          <w:b/>
          <w:sz w:val="24"/>
          <w:szCs w:val="24"/>
        </w:rPr>
        <w:t xml:space="preserve">2. </w:t>
      </w:r>
      <w:r>
        <w:rPr>
          <w:sz w:val="24"/>
          <w:szCs w:val="24"/>
        </w:rPr>
        <w:t xml:space="preserve">şi </w:t>
      </w:r>
      <w:r>
        <w:rPr>
          <w:b/>
          <w:bCs/>
          <w:i/>
          <w:iCs/>
          <w:sz w:val="24"/>
          <w:szCs w:val="24"/>
        </w:rPr>
        <w:fldChar w:fldCharType="begin"/>
      </w:r>
      <w:r>
        <w:rPr>
          <w:b/>
          <w:bCs/>
          <w:i/>
          <w:iCs/>
          <w:sz w:val="24"/>
          <w:szCs w:val="24"/>
        </w:rPr>
        <w:instrText xml:space="preserve"> REF _Ref11612 \h </w:instrText>
      </w:r>
      <w:r>
        <w:rPr>
          <w:b/>
          <w:bCs/>
          <w:i/>
          <w:iCs/>
          <w:sz w:val="24"/>
          <w:szCs w:val="24"/>
        </w:rPr>
      </w:r>
      <w:r>
        <w:rPr>
          <w:b/>
          <w:bCs/>
          <w:i/>
          <w:iCs/>
          <w:sz w:val="24"/>
          <w:szCs w:val="24"/>
        </w:rPr>
        <w:fldChar w:fldCharType="separate"/>
      </w:r>
      <w:r>
        <w:t>Tabelul 3</w:t>
      </w:r>
      <w:r>
        <w:rPr>
          <w:b/>
          <w:bCs/>
          <w:i/>
          <w:iCs/>
          <w:sz w:val="24"/>
          <w:szCs w:val="24"/>
        </w:rPr>
        <w:fldChar w:fldCharType="end"/>
      </w:r>
      <w:r>
        <w:rPr>
          <w:rStyle w:val="BodyTextChar"/>
          <w:b w:val="0"/>
          <w:bCs w:val="0"/>
        </w:rPr>
        <w:t>,</w:t>
      </w:r>
      <w:r>
        <w:rPr>
          <w:sz w:val="24"/>
          <w:szCs w:val="24"/>
        </w:rPr>
        <w:t xml:space="preserve"> ţinând seama şi de condiţiile specifice tipului de construcţie (înaltă, foarte înaltă sau cu săli aglomerate, tipuri obișnuite sau speciale de construcții de productie/ depozitare).</w:t>
      </w:r>
    </w:p>
    <w:p w14:paraId="52CD713B" w14:textId="77777777" w:rsidR="001C08A5" w:rsidRDefault="00000000">
      <w:pPr>
        <w:pStyle w:val="Heading3"/>
      </w:pPr>
      <w:bookmarkStart w:id="5418" w:name="_Toc162355370"/>
      <w:bookmarkStart w:id="5419" w:name="_Toc15571"/>
      <w:bookmarkStart w:id="5420" w:name="_Toc10710"/>
      <w:bookmarkStart w:id="5421" w:name="_Toc11992"/>
      <w:bookmarkStart w:id="5422" w:name="_Toc26637"/>
      <w:bookmarkStart w:id="5423" w:name="_Toc10121"/>
      <w:bookmarkStart w:id="5424" w:name="_Toc29391"/>
      <w:bookmarkStart w:id="5425" w:name="_Toc10124"/>
      <w:bookmarkStart w:id="5426" w:name="_Toc4006"/>
      <w:bookmarkStart w:id="5427" w:name="_Toc8477"/>
      <w:r>
        <w:t>7.2. AMPLASAREA și CONFORMAREA CONSTRUCŢIILOR</w:t>
      </w:r>
      <w:bookmarkEnd w:id="5418"/>
      <w:bookmarkEnd w:id="5419"/>
      <w:bookmarkEnd w:id="5420"/>
      <w:bookmarkEnd w:id="5421"/>
      <w:bookmarkEnd w:id="5422"/>
      <w:bookmarkEnd w:id="5423"/>
      <w:bookmarkEnd w:id="5424"/>
      <w:bookmarkEnd w:id="5425"/>
      <w:bookmarkEnd w:id="5426"/>
      <w:bookmarkEnd w:id="5427"/>
    </w:p>
    <w:p w14:paraId="2E7DB668" w14:textId="77777777" w:rsidR="001C08A5" w:rsidRDefault="001C08A5">
      <w:pPr>
        <w:jc w:val="both"/>
        <w:rPr>
          <w:sz w:val="24"/>
          <w:szCs w:val="24"/>
        </w:rPr>
      </w:pPr>
    </w:p>
    <w:p w14:paraId="27CB82AF" w14:textId="77777777" w:rsidR="001C08A5" w:rsidRDefault="00000000">
      <w:pPr>
        <w:jc w:val="both"/>
        <w:rPr>
          <w:sz w:val="24"/>
          <w:szCs w:val="24"/>
        </w:rPr>
      </w:pPr>
      <w:r>
        <w:rPr>
          <w:b/>
          <w:sz w:val="24"/>
          <w:szCs w:val="24"/>
        </w:rPr>
        <w:tab/>
        <w:t>Art. 7.2.1. (1)</w:t>
      </w:r>
      <w:r>
        <w:rPr>
          <w:sz w:val="24"/>
          <w:szCs w:val="24"/>
        </w:rPr>
        <w:t xml:space="preserve"> Construcţiile cu funcţiuni mixte se amplasează la distanţele de siguranţă prevăzute în </w:t>
      </w:r>
      <w:r>
        <w:rPr>
          <w:b/>
          <w:sz w:val="24"/>
          <w:szCs w:val="24"/>
        </w:rPr>
        <w:t xml:space="preserve">Art. </w:t>
      </w:r>
      <w:r>
        <w:rPr>
          <w:b/>
          <w:bCs/>
          <w:sz w:val="24"/>
          <w:szCs w:val="24"/>
        </w:rPr>
        <w:t>2.2.1.2</w:t>
      </w:r>
      <w:r>
        <w:rPr>
          <w:b/>
          <w:sz w:val="24"/>
          <w:szCs w:val="24"/>
        </w:rPr>
        <w:t>.</w:t>
      </w:r>
      <w:r>
        <w:rPr>
          <w:sz w:val="24"/>
          <w:szCs w:val="24"/>
        </w:rPr>
        <w:t xml:space="preserve"> şi </w:t>
      </w:r>
      <w:r>
        <w:rPr>
          <w:rStyle w:val="BodyTextChar"/>
          <w:iCs/>
        </w:rPr>
        <w:fldChar w:fldCharType="begin"/>
      </w:r>
      <w:r>
        <w:rPr>
          <w:rStyle w:val="BodyTextChar"/>
          <w:iCs/>
        </w:rPr>
        <w:instrText xml:space="preserve"> REF _Ref29888 \h </w:instrText>
      </w:r>
      <w:r>
        <w:rPr>
          <w:rStyle w:val="BodyTextChar"/>
          <w:iCs/>
        </w:rPr>
      </w:r>
      <w:r>
        <w:rPr>
          <w:rStyle w:val="BodyTextChar"/>
          <w:iCs/>
        </w:rPr>
        <w:fldChar w:fldCharType="separate"/>
      </w:r>
      <w:r>
        <w:t>Tabelul 4</w:t>
      </w:r>
      <w:r>
        <w:rPr>
          <w:rStyle w:val="BodyTextChar"/>
          <w:iCs/>
        </w:rPr>
        <w:fldChar w:fldCharType="end"/>
      </w:r>
      <w:r>
        <w:rPr>
          <w:sz w:val="24"/>
          <w:szCs w:val="24"/>
        </w:rPr>
        <w:t xml:space="preserve">, având în vedere ansamblul constituit şi riscul de incendiu al construcţiei. </w:t>
      </w:r>
    </w:p>
    <w:p w14:paraId="45613151" w14:textId="77777777" w:rsidR="001C08A5" w:rsidRDefault="00000000">
      <w:pPr>
        <w:ind w:firstLine="720"/>
        <w:jc w:val="both"/>
        <w:rPr>
          <w:sz w:val="24"/>
          <w:szCs w:val="24"/>
        </w:rPr>
      </w:pPr>
      <w:r>
        <w:rPr>
          <w:b/>
          <w:sz w:val="24"/>
          <w:szCs w:val="24"/>
        </w:rPr>
        <w:t xml:space="preserve">(2) </w:t>
      </w:r>
      <w:r>
        <w:rPr>
          <w:sz w:val="24"/>
          <w:szCs w:val="24"/>
        </w:rPr>
        <w:t>Atunci când nu se pot asigura distanţele de siguranţă normate, construcţia se compartimentează faţă de vecinătăţi corespunzător prevederilor normativului.</w:t>
      </w:r>
    </w:p>
    <w:p w14:paraId="3CADBDAD" w14:textId="77777777" w:rsidR="001C08A5" w:rsidRDefault="00000000">
      <w:pPr>
        <w:jc w:val="both"/>
        <w:rPr>
          <w:b/>
          <w:sz w:val="24"/>
          <w:szCs w:val="24"/>
        </w:rPr>
      </w:pPr>
      <w:r>
        <w:rPr>
          <w:sz w:val="24"/>
          <w:szCs w:val="24"/>
        </w:rPr>
        <w:tab/>
      </w:r>
      <w:r>
        <w:rPr>
          <w:sz w:val="24"/>
          <w:szCs w:val="24"/>
        </w:rPr>
        <w:tab/>
      </w:r>
      <w:r>
        <w:rPr>
          <w:sz w:val="24"/>
          <w:szCs w:val="24"/>
        </w:rPr>
        <w:tab/>
      </w:r>
    </w:p>
    <w:p w14:paraId="70527A19" w14:textId="77777777" w:rsidR="001C08A5" w:rsidRDefault="00000000">
      <w:pPr>
        <w:ind w:firstLine="708"/>
        <w:jc w:val="both"/>
        <w:rPr>
          <w:sz w:val="24"/>
          <w:szCs w:val="24"/>
        </w:rPr>
      </w:pPr>
      <w:r>
        <w:rPr>
          <w:b/>
          <w:sz w:val="24"/>
          <w:szCs w:val="24"/>
        </w:rPr>
        <w:t>Art. 7.2.2.</w:t>
      </w:r>
      <w:r>
        <w:rPr>
          <w:sz w:val="24"/>
          <w:szCs w:val="24"/>
        </w:rPr>
        <w:t xml:space="preserve"> Prin conformarea la foc a construcţiilor cu funcţiuni mixte, se va urmări dispunerea distinctă a funcţiunilor diferite și îndeplinirea condiţiilor de corelare între destinaţie, risc de incendiu, nivelul de stabilitate la incendiu asigurat, numărul de niveluri și aria construită (</w:t>
      </w:r>
      <w:r>
        <w:rPr>
          <w:b/>
          <w:sz w:val="24"/>
          <w:szCs w:val="24"/>
        </w:rPr>
        <w:t>Ac</w:t>
      </w:r>
      <w:r>
        <w:rPr>
          <w:sz w:val="24"/>
          <w:szCs w:val="24"/>
        </w:rPr>
        <w:t xml:space="preserve">) a construcţiei, conform prevederilor din </w:t>
      </w:r>
      <w:r>
        <w:rPr>
          <w:b/>
          <w:sz w:val="24"/>
          <w:szCs w:val="24"/>
        </w:rPr>
        <w:t xml:space="preserve">Art. 2.2.2.2., Art. </w:t>
      </w:r>
      <w:r>
        <w:rPr>
          <w:b/>
          <w:caps/>
          <w:sz w:val="24"/>
          <w:szCs w:val="24"/>
        </w:rPr>
        <w:t>3.1.2.</w:t>
      </w:r>
      <w:r>
        <w:rPr>
          <w:b/>
          <w:sz w:val="24"/>
          <w:szCs w:val="24"/>
        </w:rPr>
        <w:t xml:space="preserve">6., Art. </w:t>
      </w:r>
      <w:r>
        <w:rPr>
          <w:b/>
          <w:caps/>
          <w:sz w:val="24"/>
          <w:szCs w:val="24"/>
        </w:rPr>
        <w:t>3.1.2.</w:t>
      </w:r>
      <w:r>
        <w:rPr>
          <w:b/>
          <w:sz w:val="24"/>
          <w:szCs w:val="24"/>
        </w:rPr>
        <w:t xml:space="preserve">7. </w:t>
      </w:r>
      <w:r>
        <w:rPr>
          <w:sz w:val="24"/>
          <w:szCs w:val="24"/>
        </w:rPr>
        <w:t>şi</w:t>
      </w:r>
      <w:r>
        <w:rPr>
          <w:b/>
          <w:sz w:val="24"/>
          <w:szCs w:val="24"/>
        </w:rPr>
        <w:t xml:space="preserve"> Art. 6.1.2.2.</w:t>
      </w:r>
      <w:r>
        <w:rPr>
          <w:sz w:val="24"/>
          <w:szCs w:val="24"/>
        </w:rPr>
        <w:t xml:space="preserve"> şi </w:t>
      </w:r>
      <w:r>
        <w:rPr>
          <w:b/>
          <w:bCs/>
          <w:i/>
          <w:iCs/>
          <w:sz w:val="24"/>
          <w:szCs w:val="24"/>
        </w:rPr>
        <w:fldChar w:fldCharType="begin"/>
      </w:r>
      <w:r>
        <w:rPr>
          <w:b/>
          <w:bCs/>
          <w:i/>
          <w:iCs/>
          <w:sz w:val="24"/>
          <w:szCs w:val="24"/>
        </w:rPr>
        <w:instrText xml:space="preserve"> REF _Ref2409 \h </w:instrText>
      </w:r>
      <w:r>
        <w:rPr>
          <w:b/>
          <w:bCs/>
          <w:i/>
          <w:iCs/>
          <w:sz w:val="24"/>
          <w:szCs w:val="24"/>
        </w:rPr>
      </w:r>
      <w:r>
        <w:rPr>
          <w:b/>
          <w:bCs/>
          <w:i/>
          <w:iCs/>
          <w:sz w:val="24"/>
          <w:szCs w:val="24"/>
        </w:rPr>
        <w:fldChar w:fldCharType="separate"/>
      </w:r>
      <w:r>
        <w:t>Tabelul 41</w:t>
      </w:r>
      <w:r>
        <w:rPr>
          <w:b/>
          <w:bCs/>
          <w:i/>
          <w:iCs/>
          <w:sz w:val="24"/>
          <w:szCs w:val="24"/>
        </w:rPr>
        <w:fldChar w:fldCharType="end"/>
      </w:r>
      <w:r>
        <w:rPr>
          <w:i/>
          <w:iCs/>
          <w:sz w:val="24"/>
          <w:szCs w:val="24"/>
        </w:rPr>
        <w:t>,</w:t>
      </w:r>
      <w:r>
        <w:rPr>
          <w:b/>
          <w:bCs/>
          <w:i/>
          <w:iCs/>
          <w:sz w:val="24"/>
          <w:szCs w:val="24"/>
        </w:rPr>
        <w:t xml:space="preserve"> </w:t>
      </w:r>
      <w:r>
        <w:rPr>
          <w:b/>
          <w:bCs/>
          <w:i/>
          <w:iCs/>
          <w:sz w:val="24"/>
          <w:szCs w:val="24"/>
        </w:rPr>
        <w:fldChar w:fldCharType="begin"/>
      </w:r>
      <w:r>
        <w:rPr>
          <w:b/>
          <w:bCs/>
          <w:i/>
          <w:iCs/>
          <w:sz w:val="24"/>
          <w:szCs w:val="24"/>
        </w:rPr>
        <w:instrText xml:space="preserve"> REF _Ref2948 \h </w:instrText>
      </w:r>
      <w:r>
        <w:rPr>
          <w:b/>
          <w:bCs/>
          <w:i/>
          <w:iCs/>
          <w:sz w:val="24"/>
          <w:szCs w:val="24"/>
        </w:rPr>
      </w:r>
      <w:r>
        <w:rPr>
          <w:b/>
          <w:bCs/>
          <w:i/>
          <w:iCs/>
          <w:sz w:val="24"/>
          <w:szCs w:val="24"/>
        </w:rPr>
        <w:fldChar w:fldCharType="separate"/>
      </w:r>
      <w:r>
        <w:t>Tabelul 42</w:t>
      </w:r>
      <w:r>
        <w:rPr>
          <w:b/>
          <w:bCs/>
          <w:i/>
          <w:iCs/>
          <w:sz w:val="24"/>
          <w:szCs w:val="24"/>
        </w:rPr>
        <w:fldChar w:fldCharType="end"/>
      </w:r>
      <w:r>
        <w:rPr>
          <w:rStyle w:val="BodyTextChar"/>
        </w:rPr>
        <w:t xml:space="preserve"> și </w:t>
      </w:r>
      <w:r>
        <w:rPr>
          <w:rStyle w:val="BodyTextChar"/>
          <w:iCs/>
        </w:rPr>
        <w:fldChar w:fldCharType="begin"/>
      </w:r>
      <w:r>
        <w:rPr>
          <w:rStyle w:val="BodyTextChar"/>
          <w:iCs/>
        </w:rPr>
        <w:instrText xml:space="preserve"> REF _Ref2491 \h </w:instrText>
      </w:r>
      <w:r>
        <w:rPr>
          <w:rStyle w:val="BodyTextChar"/>
          <w:iCs/>
        </w:rPr>
      </w:r>
      <w:r>
        <w:rPr>
          <w:rStyle w:val="BodyTextChar"/>
          <w:iCs/>
        </w:rPr>
        <w:fldChar w:fldCharType="separate"/>
      </w:r>
      <w:r>
        <w:t>Tabelul 114</w:t>
      </w:r>
      <w:r>
        <w:rPr>
          <w:rStyle w:val="BodyTextChar"/>
          <w:iCs/>
        </w:rPr>
        <w:fldChar w:fldCharType="end"/>
      </w:r>
      <w:r>
        <w:rPr>
          <w:sz w:val="24"/>
          <w:szCs w:val="24"/>
        </w:rPr>
        <w:t>.</w:t>
      </w:r>
    </w:p>
    <w:p w14:paraId="272312A3" w14:textId="77777777" w:rsidR="001C08A5" w:rsidRDefault="001C08A5">
      <w:pPr>
        <w:ind w:firstLine="708"/>
        <w:jc w:val="both"/>
        <w:rPr>
          <w:sz w:val="24"/>
          <w:szCs w:val="24"/>
        </w:rPr>
      </w:pPr>
    </w:p>
    <w:p w14:paraId="078EACF1" w14:textId="77777777" w:rsidR="001C08A5" w:rsidRDefault="00000000">
      <w:pPr>
        <w:jc w:val="both"/>
        <w:rPr>
          <w:sz w:val="24"/>
          <w:szCs w:val="24"/>
        </w:rPr>
      </w:pPr>
      <w:r>
        <w:rPr>
          <w:b/>
          <w:sz w:val="24"/>
          <w:szCs w:val="24"/>
        </w:rPr>
        <w:tab/>
        <w:t xml:space="preserve">Art. 7.2.3. (1) </w:t>
      </w:r>
      <w:r>
        <w:rPr>
          <w:sz w:val="24"/>
          <w:szCs w:val="24"/>
        </w:rPr>
        <w:t xml:space="preserve">Atunci când construcţia cuprinde activităţi civile diferite, independente funcţional şi necompartimentate în condițiile prevăzute la </w:t>
      </w:r>
      <w:r>
        <w:rPr>
          <w:b/>
          <w:sz w:val="24"/>
          <w:szCs w:val="24"/>
        </w:rPr>
        <w:t>Art. 7.4.2</w:t>
      </w:r>
      <w:r>
        <w:rPr>
          <w:sz w:val="24"/>
          <w:szCs w:val="24"/>
        </w:rPr>
        <w:t>, se asigură îndeplinirea condiţiilor de peformanţă cele mai severe prevăzute în normativ pentru respectivele destinaţii, iar dacă funcţiunile sunt dispuse într-o construcţie înaltă, foarte înaltă sau cu săli aglomerate, vor fi îndeplinite și condiţiile de performanţă specifice acestor tipuri de clădiri.</w:t>
      </w:r>
    </w:p>
    <w:p w14:paraId="078D5619" w14:textId="77777777" w:rsidR="001C08A5" w:rsidRDefault="00000000">
      <w:pPr>
        <w:jc w:val="both"/>
        <w:rPr>
          <w:sz w:val="24"/>
          <w:szCs w:val="24"/>
        </w:rPr>
      </w:pPr>
      <w:r>
        <w:rPr>
          <w:sz w:val="24"/>
          <w:szCs w:val="24"/>
        </w:rPr>
        <w:tab/>
      </w:r>
      <w:r>
        <w:rPr>
          <w:b/>
          <w:sz w:val="24"/>
          <w:szCs w:val="24"/>
        </w:rPr>
        <w:t xml:space="preserve">(2) </w:t>
      </w:r>
      <w:r>
        <w:rPr>
          <w:sz w:val="24"/>
          <w:szCs w:val="24"/>
        </w:rPr>
        <w:t>În construcţiile cu funcţiuni mixte civile, de producţie şi/sau depozitare, în fiecare porţiune se asigură îndeplinirea condiţiilor de performanţă prevăzute în normativ pentru respectiva funcţiune, având în vedere și implicaţiile acestora asupra întregii construcţii.</w:t>
      </w:r>
    </w:p>
    <w:p w14:paraId="542CA791" w14:textId="77777777" w:rsidR="001C08A5" w:rsidRDefault="00000000">
      <w:pPr>
        <w:jc w:val="both"/>
        <w:rPr>
          <w:sz w:val="24"/>
          <w:szCs w:val="24"/>
        </w:rPr>
      </w:pPr>
      <w:r>
        <w:rPr>
          <w:sz w:val="24"/>
          <w:szCs w:val="24"/>
        </w:rPr>
        <w:tab/>
      </w:r>
      <w:r>
        <w:rPr>
          <w:b/>
          <w:sz w:val="24"/>
          <w:szCs w:val="24"/>
        </w:rPr>
        <w:t xml:space="preserve">(3) </w:t>
      </w:r>
      <w:r>
        <w:rPr>
          <w:sz w:val="24"/>
          <w:szCs w:val="24"/>
        </w:rPr>
        <w:t>În toate situaţiile, se va asigura limitarea posibilităţilor de propagare uşoară a focului şi fumului atât la porţiunile incendiate, cât şi la porţiunile adiacente de construcţie cu alte funcţiuni, luându-se măsurile de protecţie corespunzătoare prevăzute în normativ.</w:t>
      </w:r>
    </w:p>
    <w:p w14:paraId="50253F24" w14:textId="77777777" w:rsidR="001C08A5" w:rsidRDefault="001C08A5">
      <w:pPr>
        <w:jc w:val="both"/>
        <w:rPr>
          <w:sz w:val="24"/>
          <w:szCs w:val="24"/>
        </w:rPr>
      </w:pPr>
    </w:p>
    <w:p w14:paraId="3FF41D46" w14:textId="77777777" w:rsidR="001C08A5" w:rsidRDefault="00000000">
      <w:pPr>
        <w:jc w:val="both"/>
        <w:rPr>
          <w:sz w:val="24"/>
          <w:szCs w:val="24"/>
        </w:rPr>
      </w:pPr>
      <w:r>
        <w:rPr>
          <w:b/>
          <w:sz w:val="24"/>
          <w:szCs w:val="24"/>
        </w:rPr>
        <w:lastRenderedPageBreak/>
        <w:tab/>
        <w:t>Art. 7.2.4. (1)</w:t>
      </w:r>
      <w:r>
        <w:rPr>
          <w:sz w:val="24"/>
          <w:szCs w:val="24"/>
        </w:rPr>
        <w:t xml:space="preserve"> În construcţiile etajate cu funcţiuni mixte de producţie şi/sau depozitare nu este recomandată dispunerea unor încăperi cu riscuri foarte mari de incendiu şi explozie volumetrică la nivelurile inferioare (supraterane sau subterane).</w:t>
      </w:r>
    </w:p>
    <w:p w14:paraId="1313CE10" w14:textId="77777777" w:rsidR="001C08A5" w:rsidRDefault="00000000">
      <w:pPr>
        <w:ind w:firstLine="720"/>
        <w:jc w:val="both"/>
        <w:rPr>
          <w:b/>
          <w:sz w:val="24"/>
          <w:szCs w:val="24"/>
        </w:rPr>
      </w:pPr>
      <w:r>
        <w:rPr>
          <w:b/>
          <w:sz w:val="24"/>
          <w:szCs w:val="24"/>
        </w:rPr>
        <w:t>(2)</w:t>
      </w:r>
      <w:r>
        <w:rPr>
          <w:sz w:val="24"/>
          <w:szCs w:val="24"/>
        </w:rPr>
        <w:t xml:space="preserve"> Dispunerea încăperilor cu riscuri foarte mari de incendiu şi de explozie volumetrică în construcţiile cu funcţiuni mixte de producţie şi/sau depozitare, se recomandă a se face la ultimul nivel suprateran al construcţiei și numai cu asigurarea măsurilor de protecţie corespunzătoare. În cazul în care din motive tehnice nu este posibilă dispunerea acestora la ultimul nivel al construcţiei, se asigură compartimentarea cu pereţi şi planşee rezistente la foc şi după caz, la explozie volumetrică, corespunzător alcătuite și dimensionate.</w:t>
      </w:r>
    </w:p>
    <w:p w14:paraId="79D50829" w14:textId="77777777" w:rsidR="001C08A5" w:rsidRDefault="00000000">
      <w:pPr>
        <w:pStyle w:val="Heading3"/>
      </w:pPr>
      <w:bookmarkStart w:id="5428" w:name="_Toc25856"/>
      <w:bookmarkStart w:id="5429" w:name="_Toc18869"/>
      <w:bookmarkStart w:id="5430" w:name="_Toc4145"/>
      <w:bookmarkStart w:id="5431" w:name="_Toc162355371"/>
      <w:bookmarkStart w:id="5432" w:name="_Toc29448"/>
      <w:bookmarkStart w:id="5433" w:name="_Toc14682"/>
      <w:bookmarkStart w:id="5434" w:name="_Toc32570"/>
      <w:bookmarkStart w:id="5435" w:name="_Toc30699"/>
      <w:bookmarkStart w:id="5436" w:name="_Toc19451"/>
      <w:bookmarkStart w:id="5437" w:name="_Toc19324"/>
      <w:r>
        <w:t>7.3. LIMITAREA PROPAGĂRII INCENDIILOR</w:t>
      </w:r>
      <w:bookmarkEnd w:id="5428"/>
      <w:bookmarkEnd w:id="5429"/>
      <w:bookmarkEnd w:id="5430"/>
      <w:bookmarkEnd w:id="5431"/>
      <w:bookmarkEnd w:id="5432"/>
      <w:bookmarkEnd w:id="5433"/>
      <w:bookmarkEnd w:id="5434"/>
      <w:bookmarkEnd w:id="5435"/>
      <w:bookmarkEnd w:id="5436"/>
      <w:bookmarkEnd w:id="5437"/>
    </w:p>
    <w:p w14:paraId="7CA7109D" w14:textId="77777777" w:rsidR="001C08A5" w:rsidRDefault="00000000">
      <w:pPr>
        <w:jc w:val="both"/>
        <w:rPr>
          <w:b/>
          <w:sz w:val="24"/>
          <w:szCs w:val="24"/>
        </w:rPr>
      </w:pPr>
      <w:r>
        <w:rPr>
          <w:b/>
          <w:sz w:val="24"/>
          <w:szCs w:val="24"/>
        </w:rPr>
        <w:tab/>
      </w:r>
    </w:p>
    <w:p w14:paraId="303563D4" w14:textId="77777777" w:rsidR="001C08A5" w:rsidRDefault="00000000">
      <w:pPr>
        <w:jc w:val="both"/>
        <w:rPr>
          <w:sz w:val="24"/>
          <w:szCs w:val="24"/>
        </w:rPr>
      </w:pPr>
      <w:r>
        <w:rPr>
          <w:b/>
          <w:sz w:val="24"/>
          <w:szCs w:val="24"/>
        </w:rPr>
        <w:tab/>
        <w:t>Art. 7.3.1. (1)</w:t>
      </w:r>
      <w:r>
        <w:rPr>
          <w:sz w:val="24"/>
          <w:szCs w:val="24"/>
        </w:rPr>
        <w:t xml:space="preserve"> Destinaţiile independente, dispuse în construcţia cu funcţiuni mixte, se separă între ele și faţă de căile comune de circulaţie funcţională şi de evacuare a utilizatorilor prin elemente de construcţie despărţitoare rezistente la foc, conform prevederilor normativului.</w:t>
      </w:r>
    </w:p>
    <w:p w14:paraId="0B437B2F" w14:textId="77777777" w:rsidR="001C08A5" w:rsidRDefault="00000000">
      <w:pPr>
        <w:ind w:firstLine="720"/>
        <w:jc w:val="both"/>
        <w:rPr>
          <w:sz w:val="24"/>
          <w:szCs w:val="24"/>
        </w:rPr>
      </w:pPr>
      <w:r>
        <w:rPr>
          <w:b/>
          <w:sz w:val="24"/>
          <w:szCs w:val="24"/>
        </w:rPr>
        <w:t xml:space="preserve">(2) </w:t>
      </w:r>
      <w:r>
        <w:rPr>
          <w:sz w:val="24"/>
          <w:szCs w:val="24"/>
        </w:rPr>
        <w:t>În cazul în care destinaţiile respective constituie compartimente de incendiu distincte, separarea lor se realizează cu pereţi de compartimentare rezistenţi la foc de separare a compartimentelor de incendiu şi după caz, rezistenţi la foc și explozie volumetrică.</w:t>
      </w:r>
    </w:p>
    <w:p w14:paraId="36D97245" w14:textId="77777777" w:rsidR="001C08A5" w:rsidRDefault="00000000">
      <w:pPr>
        <w:ind w:firstLine="720"/>
        <w:jc w:val="both"/>
        <w:rPr>
          <w:sz w:val="24"/>
          <w:szCs w:val="24"/>
        </w:rPr>
      </w:pPr>
      <w:r>
        <w:rPr>
          <w:b/>
          <w:sz w:val="24"/>
          <w:szCs w:val="24"/>
        </w:rPr>
        <w:t xml:space="preserve">(3) </w:t>
      </w:r>
      <w:r>
        <w:rPr>
          <w:sz w:val="24"/>
          <w:szCs w:val="24"/>
        </w:rPr>
        <w:t>Prin modul de dispunere, alcătuire şi realizare a elementelor de construcţie despărţitoare se va asigura limitarea propagării focului şi a fumului la funcţiunile alăturate pe timpul normat, iar în cadrul aceleaşi funcţiuni se va asigura limitarea propagării uşoare a focului şi fumului pe arii mari construite.</w:t>
      </w:r>
    </w:p>
    <w:p w14:paraId="4F01A3BF" w14:textId="77777777" w:rsidR="001C08A5" w:rsidRDefault="001C08A5">
      <w:pPr>
        <w:jc w:val="both"/>
        <w:rPr>
          <w:sz w:val="24"/>
          <w:szCs w:val="24"/>
        </w:rPr>
      </w:pPr>
    </w:p>
    <w:p w14:paraId="0CF3B8B2" w14:textId="77777777" w:rsidR="001C08A5" w:rsidRDefault="00000000">
      <w:pPr>
        <w:jc w:val="both"/>
        <w:rPr>
          <w:sz w:val="24"/>
          <w:szCs w:val="24"/>
        </w:rPr>
      </w:pPr>
      <w:r>
        <w:rPr>
          <w:b/>
          <w:sz w:val="24"/>
          <w:szCs w:val="24"/>
        </w:rPr>
        <w:tab/>
        <w:t xml:space="preserve">Art. 7.3.2. </w:t>
      </w:r>
      <w:r>
        <w:rPr>
          <w:sz w:val="24"/>
          <w:szCs w:val="24"/>
        </w:rPr>
        <w:t>Elementele de construcţie utilizate pentru limitarea propagării focului şi a fumului, trebuie să îndeplinească condiţiile de peformanţă normate, în funcţie de rolul pe care îl au pentru securitatea la incendiu a construcţiei.</w:t>
      </w:r>
    </w:p>
    <w:p w14:paraId="7D014420" w14:textId="77777777" w:rsidR="001C08A5" w:rsidRDefault="001C08A5">
      <w:pPr>
        <w:jc w:val="both"/>
        <w:rPr>
          <w:sz w:val="24"/>
          <w:szCs w:val="24"/>
        </w:rPr>
      </w:pPr>
    </w:p>
    <w:p w14:paraId="349F7A0F" w14:textId="77777777" w:rsidR="001C08A5" w:rsidRDefault="00000000">
      <w:pPr>
        <w:jc w:val="both"/>
        <w:rPr>
          <w:sz w:val="24"/>
          <w:szCs w:val="24"/>
        </w:rPr>
      </w:pPr>
      <w:r>
        <w:rPr>
          <w:b/>
          <w:sz w:val="24"/>
          <w:szCs w:val="24"/>
        </w:rPr>
        <w:tab/>
        <w:t>Art. 7.3.3. (1)</w:t>
      </w:r>
      <w:r>
        <w:rPr>
          <w:sz w:val="24"/>
          <w:szCs w:val="24"/>
        </w:rPr>
        <w:t xml:space="preserve"> Separarea destinaţiilor diferite în construcţii etajate cu funcţiuni mixte, se asigură prin pereţi rezistenţi la foc </w:t>
      </w:r>
      <w:r>
        <w:rPr>
          <w:b/>
          <w:sz w:val="24"/>
          <w:szCs w:val="24"/>
        </w:rPr>
        <w:t>EI/REI</w:t>
      </w:r>
      <w:r>
        <w:rPr>
          <w:sz w:val="24"/>
          <w:szCs w:val="24"/>
        </w:rPr>
        <w:t xml:space="preserve"> planşee rezistente la foc </w:t>
      </w:r>
      <w:r>
        <w:rPr>
          <w:b/>
          <w:sz w:val="24"/>
          <w:szCs w:val="24"/>
        </w:rPr>
        <w:t>REI</w:t>
      </w:r>
      <w:r>
        <w:rPr>
          <w:sz w:val="24"/>
          <w:szCs w:val="24"/>
        </w:rPr>
        <w:t xml:space="preserve"> corespunzătoare riscului de incendiu cel mai </w:t>
      </w:r>
      <w:r>
        <w:rPr>
          <w:i/>
          <w:iCs/>
          <w:sz w:val="24"/>
          <w:szCs w:val="24"/>
        </w:rPr>
        <w:t>periculos</w:t>
      </w:r>
      <w:r>
        <w:rPr>
          <w:sz w:val="24"/>
          <w:szCs w:val="24"/>
        </w:rPr>
        <w:t xml:space="preserve"> şi a densităţii sarcinii termice (</w:t>
      </w:r>
      <w:r>
        <w:rPr>
          <w:b/>
          <w:sz w:val="24"/>
          <w:szCs w:val="24"/>
        </w:rPr>
        <w:t>q</w:t>
      </w:r>
      <w:r>
        <w:rPr>
          <w:sz w:val="24"/>
          <w:szCs w:val="24"/>
        </w:rPr>
        <w:t>) din încăperile adiacente, iar eventualele goluri de circulaţie funcţională şi de evacuare din elementele de separare se protejează cu elemente de închidere, conform prevederilor normativului.</w:t>
      </w:r>
    </w:p>
    <w:p w14:paraId="651A63CB" w14:textId="77777777" w:rsidR="001C08A5" w:rsidRDefault="00000000">
      <w:pPr>
        <w:ind w:firstLine="720"/>
        <w:jc w:val="both"/>
        <w:rPr>
          <w:sz w:val="24"/>
          <w:szCs w:val="24"/>
        </w:rPr>
      </w:pPr>
      <w:r>
        <w:rPr>
          <w:b/>
          <w:sz w:val="24"/>
          <w:szCs w:val="24"/>
        </w:rPr>
        <w:t xml:space="preserve">(2) </w:t>
      </w:r>
      <w:r>
        <w:rPr>
          <w:sz w:val="24"/>
          <w:szCs w:val="24"/>
        </w:rPr>
        <w:t>Limitarea propagării focului între funcţiuni diferite dispuse într-o construcţie etajată se asigură pe faţade (exteriorul închiderilor perimetrale) şi prin interiorul construcţiei.</w:t>
      </w:r>
    </w:p>
    <w:p w14:paraId="4073547D" w14:textId="77777777" w:rsidR="001C08A5" w:rsidRDefault="00000000">
      <w:pPr>
        <w:ind w:firstLine="720"/>
        <w:jc w:val="both"/>
        <w:rPr>
          <w:b/>
          <w:sz w:val="24"/>
          <w:szCs w:val="24"/>
        </w:rPr>
      </w:pPr>
      <w:r>
        <w:rPr>
          <w:b/>
          <w:sz w:val="24"/>
          <w:szCs w:val="24"/>
        </w:rPr>
        <w:t xml:space="preserve">(3) </w:t>
      </w:r>
      <w:r>
        <w:rPr>
          <w:sz w:val="24"/>
          <w:szCs w:val="24"/>
        </w:rPr>
        <w:t>Condiţiile de peformanţă pe care trebuie să le îndeplinească  elementele de construcţie cu rol de limitare a propagării focului şi a fumului, sunt cele  stabilite în normativ.</w:t>
      </w:r>
    </w:p>
    <w:p w14:paraId="237D0EE9" w14:textId="77777777" w:rsidR="001C08A5" w:rsidRDefault="001C08A5">
      <w:pPr>
        <w:jc w:val="both"/>
        <w:rPr>
          <w:b/>
          <w:sz w:val="24"/>
          <w:szCs w:val="24"/>
        </w:rPr>
      </w:pPr>
    </w:p>
    <w:p w14:paraId="0FB1CFC6" w14:textId="77777777" w:rsidR="001C08A5" w:rsidRDefault="00000000">
      <w:pPr>
        <w:jc w:val="both"/>
        <w:rPr>
          <w:sz w:val="24"/>
          <w:szCs w:val="24"/>
        </w:rPr>
      </w:pPr>
      <w:r>
        <w:rPr>
          <w:b/>
          <w:sz w:val="24"/>
          <w:szCs w:val="24"/>
        </w:rPr>
        <w:tab/>
        <w:t>Art. 7.3.4.</w:t>
      </w:r>
      <w:r>
        <w:rPr>
          <w:sz w:val="24"/>
          <w:szCs w:val="24"/>
        </w:rPr>
        <w:t xml:space="preserve"> Căile comune de circulaţie funcţională şi de evacuare a utilizatorilor construcţiei cu funcţiuni mixte (orizontale și verticale), se separă faţă de diferitele funcţiuni adiacente corespunzător funcţiunii care impune condiţiile cele mai severe, riscului de incendiu şi densităţii sarcinii termice (</w:t>
      </w:r>
      <w:r>
        <w:rPr>
          <w:b/>
          <w:bCs/>
          <w:sz w:val="24"/>
          <w:szCs w:val="24"/>
        </w:rPr>
        <w:t>q</w:t>
      </w:r>
      <w:r>
        <w:rPr>
          <w:sz w:val="24"/>
          <w:szCs w:val="24"/>
        </w:rPr>
        <w:t>) a acestora, iar eventualele goluri de circulaţie funcţională şi de evacuare din aceste elemente de separare se protejează cu elemente de închidere care îndeplinesc condiţiile normate.</w:t>
      </w:r>
    </w:p>
    <w:p w14:paraId="337C8B37" w14:textId="77777777" w:rsidR="001C08A5" w:rsidRDefault="001C08A5">
      <w:pPr>
        <w:jc w:val="both"/>
        <w:rPr>
          <w:sz w:val="24"/>
          <w:szCs w:val="24"/>
        </w:rPr>
      </w:pPr>
    </w:p>
    <w:p w14:paraId="4BF57DDE" w14:textId="77777777" w:rsidR="001C08A5" w:rsidRDefault="00000000">
      <w:pPr>
        <w:jc w:val="both"/>
        <w:rPr>
          <w:sz w:val="24"/>
          <w:szCs w:val="24"/>
        </w:rPr>
      </w:pPr>
      <w:r>
        <w:rPr>
          <w:b/>
          <w:sz w:val="24"/>
          <w:szCs w:val="24"/>
        </w:rPr>
        <w:tab/>
        <w:t>Art. 7.3.5.</w:t>
      </w:r>
      <w:r>
        <w:rPr>
          <w:sz w:val="24"/>
          <w:szCs w:val="24"/>
        </w:rPr>
        <w:t xml:space="preserve"> Parcajele pentru autoturisme se pot dispune în construcţii cu funcţiuni mixte, cu condiţia separării lor de restul construcţiei prin elemente rezistente la foc, respectiv pereţi </w:t>
      </w:r>
      <w:r>
        <w:rPr>
          <w:b/>
          <w:sz w:val="24"/>
          <w:szCs w:val="24"/>
        </w:rPr>
        <w:t xml:space="preserve">EI/REI și </w:t>
      </w:r>
      <w:r>
        <w:rPr>
          <w:sz w:val="24"/>
          <w:szCs w:val="24"/>
        </w:rPr>
        <w:t xml:space="preserve">planşee </w:t>
      </w:r>
      <w:r>
        <w:rPr>
          <w:b/>
          <w:sz w:val="24"/>
          <w:szCs w:val="24"/>
        </w:rPr>
        <w:t>REI</w:t>
      </w:r>
      <w:r>
        <w:rPr>
          <w:sz w:val="24"/>
          <w:szCs w:val="24"/>
        </w:rPr>
        <w:t xml:space="preserve"> corespunzătoare iar în aceste elemente de separare sunt admise numai goluri strict necesare de acces şi circulaţie, protejate corespunzător.</w:t>
      </w:r>
    </w:p>
    <w:p w14:paraId="23EA9307" w14:textId="77777777" w:rsidR="001C08A5" w:rsidRDefault="001C08A5">
      <w:pPr>
        <w:jc w:val="both"/>
        <w:rPr>
          <w:sz w:val="24"/>
          <w:szCs w:val="24"/>
        </w:rPr>
      </w:pPr>
    </w:p>
    <w:p w14:paraId="7917442A" w14:textId="77777777" w:rsidR="001C08A5" w:rsidRDefault="00000000">
      <w:pPr>
        <w:jc w:val="both"/>
        <w:rPr>
          <w:sz w:val="24"/>
          <w:szCs w:val="24"/>
        </w:rPr>
      </w:pPr>
      <w:r>
        <w:rPr>
          <w:b/>
          <w:sz w:val="24"/>
          <w:szCs w:val="24"/>
        </w:rPr>
        <w:tab/>
        <w:t>Art. 7.3.6. (1)</w:t>
      </w:r>
      <w:r>
        <w:rPr>
          <w:sz w:val="24"/>
          <w:szCs w:val="24"/>
        </w:rPr>
        <w:t xml:space="preserve"> Evacuarea fumului şi a gazelor fierbinţi în caz de incendiu este obligatorie la încăperile stabilite în normativ, potrivit destinaţiei specifice acestora şi a tipului de construcţie cu funcţiuni mixte.</w:t>
      </w:r>
    </w:p>
    <w:p w14:paraId="0C9EEA2F" w14:textId="77777777" w:rsidR="001C08A5" w:rsidRDefault="00000000">
      <w:pPr>
        <w:ind w:firstLine="720"/>
        <w:jc w:val="both"/>
        <w:rPr>
          <w:sz w:val="24"/>
          <w:szCs w:val="24"/>
        </w:rPr>
      </w:pPr>
      <w:r>
        <w:rPr>
          <w:b/>
          <w:sz w:val="24"/>
          <w:szCs w:val="24"/>
        </w:rPr>
        <w:lastRenderedPageBreak/>
        <w:t xml:space="preserve">(2) </w:t>
      </w:r>
      <w:r>
        <w:rPr>
          <w:sz w:val="24"/>
          <w:szCs w:val="24"/>
        </w:rPr>
        <w:t>Alcătuirea și realizarea sistemelor destinate evacuării fumului şi gazelor fierbinţi în caz de incendiu, prin tiraj natural-organizat sau prin ventilare mecanică, trebuie să corespundă prevederilor normativului şi prevederilor reglementărilor tehnice.</w:t>
      </w:r>
    </w:p>
    <w:p w14:paraId="478AC858" w14:textId="77777777" w:rsidR="001C08A5" w:rsidRDefault="00000000">
      <w:pPr>
        <w:ind w:firstLine="720"/>
        <w:jc w:val="both"/>
        <w:rPr>
          <w:sz w:val="24"/>
          <w:szCs w:val="24"/>
        </w:rPr>
      </w:pPr>
      <w:r>
        <w:rPr>
          <w:b/>
          <w:sz w:val="24"/>
          <w:szCs w:val="24"/>
        </w:rPr>
        <w:t xml:space="preserve">(3) </w:t>
      </w:r>
      <w:r>
        <w:rPr>
          <w:sz w:val="24"/>
          <w:szCs w:val="24"/>
        </w:rPr>
        <w:t>Porţiunile de construcţii cu funcţiuni distincte, se prevăd cu dispozitive independente de evacuare a fumului şi gazelor fierbinţi în caz de incendiu, separate de cele de evacuare a fumului şi gazelor fierbinţi în caz de incendiu din alte funcţiuni.</w:t>
      </w:r>
    </w:p>
    <w:p w14:paraId="3234A572" w14:textId="77777777" w:rsidR="001C08A5" w:rsidRDefault="00000000">
      <w:pPr>
        <w:ind w:firstLine="720"/>
        <w:jc w:val="both"/>
        <w:rPr>
          <w:sz w:val="24"/>
          <w:szCs w:val="24"/>
        </w:rPr>
      </w:pPr>
      <w:r>
        <w:rPr>
          <w:b/>
          <w:sz w:val="24"/>
          <w:szCs w:val="24"/>
        </w:rPr>
        <w:t xml:space="preserve">(4) </w:t>
      </w:r>
      <w:r>
        <w:rPr>
          <w:sz w:val="24"/>
          <w:szCs w:val="24"/>
        </w:rPr>
        <w:t>În cazuri justificate tehnic, pentru funcţiuni diferite cu acelaşi risc de incendiu dispuse în construcţia cu funcţiuni mixte se pot realiza instalaţii comune de evacuare a fumului şi gazelor fierbinţi în caz de incendiu în caz de incendiu, cu condiţia luării măsurilor de protecţie care să asigure limitarea propagării incendiilor între destinaţii prin tubulaturile care străpung elementele de separare ale acestora (pereţi, planşee).</w:t>
      </w:r>
    </w:p>
    <w:p w14:paraId="28BBD936" w14:textId="77777777" w:rsidR="001C08A5" w:rsidRDefault="001C08A5">
      <w:pPr>
        <w:jc w:val="both"/>
        <w:rPr>
          <w:sz w:val="24"/>
          <w:szCs w:val="24"/>
        </w:rPr>
      </w:pPr>
    </w:p>
    <w:p w14:paraId="4988BB71" w14:textId="77777777" w:rsidR="001C08A5" w:rsidRDefault="00000000">
      <w:pPr>
        <w:jc w:val="both"/>
        <w:rPr>
          <w:sz w:val="24"/>
          <w:szCs w:val="24"/>
        </w:rPr>
      </w:pPr>
      <w:r>
        <w:rPr>
          <w:b/>
          <w:sz w:val="24"/>
          <w:szCs w:val="24"/>
        </w:rPr>
        <w:tab/>
        <w:t xml:space="preserve">Art. 7.3.7. </w:t>
      </w:r>
      <w:r>
        <w:rPr>
          <w:sz w:val="24"/>
          <w:szCs w:val="24"/>
        </w:rPr>
        <w:t>Evacuarea fumului şi a gazelor fierbinţi în caz de incendiu din căile comune de evacuare ale utilizatorilor construcţiei cu funcţiuni mixte (orizontale și verticale), se realizează cu sisteme proprii, independente de cele aferente altor încăperi sau funcţiuni ale construcţiei.</w:t>
      </w:r>
    </w:p>
    <w:p w14:paraId="1D8BBB30" w14:textId="77777777" w:rsidR="001C08A5" w:rsidRDefault="001C08A5">
      <w:pPr>
        <w:jc w:val="both"/>
        <w:rPr>
          <w:sz w:val="24"/>
          <w:szCs w:val="24"/>
        </w:rPr>
      </w:pPr>
    </w:p>
    <w:p w14:paraId="1498F1D0" w14:textId="77777777" w:rsidR="001C08A5" w:rsidRDefault="00000000">
      <w:pPr>
        <w:jc w:val="both"/>
        <w:rPr>
          <w:sz w:val="24"/>
          <w:szCs w:val="24"/>
        </w:rPr>
      </w:pPr>
      <w:r>
        <w:rPr>
          <w:b/>
          <w:sz w:val="24"/>
          <w:szCs w:val="24"/>
        </w:rPr>
        <w:tab/>
        <w:t>Art. 7.3.8.</w:t>
      </w:r>
      <w:r>
        <w:rPr>
          <w:sz w:val="24"/>
          <w:szCs w:val="24"/>
        </w:rPr>
        <w:t xml:space="preserve"> Este obligatorie realizarea prin sistem independent a evacuării fumului şi gazelor fierbinţi în caz de incendiu din sălile aglomerate, depozite pentru materiale şi/sau substanţe combustibile, precum şi din încăperi și spaţii cu risc mare sau foarte mare de incendiu. </w:t>
      </w:r>
    </w:p>
    <w:p w14:paraId="4A817614" w14:textId="77777777" w:rsidR="001C08A5" w:rsidRDefault="001C08A5">
      <w:pPr>
        <w:jc w:val="both"/>
        <w:rPr>
          <w:sz w:val="24"/>
          <w:szCs w:val="24"/>
        </w:rPr>
      </w:pPr>
    </w:p>
    <w:p w14:paraId="639BBBF9" w14:textId="77777777" w:rsidR="001C08A5" w:rsidRDefault="00000000">
      <w:pPr>
        <w:jc w:val="both"/>
        <w:rPr>
          <w:b/>
          <w:sz w:val="24"/>
          <w:szCs w:val="24"/>
        </w:rPr>
      </w:pPr>
      <w:r>
        <w:rPr>
          <w:b/>
          <w:sz w:val="24"/>
          <w:szCs w:val="24"/>
        </w:rPr>
        <w:tab/>
        <w:t xml:space="preserve">Art. 7.3.9. </w:t>
      </w:r>
      <w:r>
        <w:rPr>
          <w:sz w:val="24"/>
          <w:szCs w:val="24"/>
        </w:rPr>
        <w:t>Atunci când ghenele şi canalele pentru evacuarea fumului dintr-o încăpere trec prin alte încăperi sau destinaţii, pe toată porţiunea de trecere, pereţii canalelor vor fi rezistenţi la foc corespunzător densităţii sarcinii termice (</w:t>
      </w:r>
      <w:r>
        <w:rPr>
          <w:b/>
          <w:sz w:val="24"/>
          <w:szCs w:val="24"/>
        </w:rPr>
        <w:t>q</w:t>
      </w:r>
      <w:r>
        <w:rPr>
          <w:sz w:val="24"/>
          <w:szCs w:val="24"/>
        </w:rPr>
        <w:t xml:space="preserve">) din spaţiul respectiv, dar minimum </w:t>
      </w:r>
      <w:r>
        <w:rPr>
          <w:b/>
          <w:sz w:val="24"/>
          <w:szCs w:val="24"/>
        </w:rPr>
        <w:t>EI 120(ve</w:t>
      </w:r>
      <w:r>
        <w:rPr>
          <w:sz w:val="24"/>
          <w:szCs w:val="24"/>
        </w:rPr>
        <w:t xml:space="preserve"> și/sau</w:t>
      </w:r>
      <w:r>
        <w:rPr>
          <w:b/>
          <w:sz w:val="24"/>
          <w:szCs w:val="24"/>
        </w:rPr>
        <w:t xml:space="preserve"> ho) S</w:t>
      </w:r>
      <w:r>
        <w:rPr>
          <w:b/>
          <w:sz w:val="24"/>
          <w:szCs w:val="24"/>
          <w:vertAlign w:val="subscript"/>
        </w:rPr>
        <w:t>multi</w:t>
      </w:r>
      <w:r>
        <w:rPr>
          <w:sz w:val="24"/>
          <w:szCs w:val="24"/>
        </w:rPr>
        <w:t xml:space="preserve">. Ghenele verticale prin care tubulaturile colectoare ale sistemului de evacuare a fumului şi gazelor fierbinţi în caz de incendiu traversează alte niveluri ale construcţiei vor indeplini conditiile prevazute la </w:t>
      </w:r>
      <w:r>
        <w:rPr>
          <w:b/>
          <w:sz w:val="24"/>
          <w:szCs w:val="24"/>
        </w:rPr>
        <w:t>Art. 2.4.11.2.</w:t>
      </w:r>
    </w:p>
    <w:p w14:paraId="68873012" w14:textId="77777777" w:rsidR="001C08A5" w:rsidRDefault="001C08A5">
      <w:pPr>
        <w:jc w:val="both"/>
        <w:rPr>
          <w:b/>
          <w:sz w:val="24"/>
          <w:szCs w:val="24"/>
        </w:rPr>
      </w:pPr>
    </w:p>
    <w:p w14:paraId="254C22F8" w14:textId="77777777" w:rsidR="001C08A5" w:rsidRDefault="00000000">
      <w:pPr>
        <w:jc w:val="both"/>
        <w:rPr>
          <w:b/>
          <w:sz w:val="24"/>
          <w:szCs w:val="24"/>
        </w:rPr>
      </w:pPr>
      <w:r>
        <w:rPr>
          <w:b/>
          <w:sz w:val="24"/>
          <w:szCs w:val="24"/>
        </w:rPr>
        <w:tab/>
        <w:t xml:space="preserve">Art. 7.3.10. </w:t>
      </w:r>
      <w:r>
        <w:rPr>
          <w:sz w:val="24"/>
          <w:szCs w:val="24"/>
        </w:rPr>
        <w:t>Evacuarea fumului şi gazelor fierbinţi în caz de incendiu din casele de scări de evacuare supraterane închise ale construcţiilor cu funcţiuni mixte și fără ferestre directe spre exterior, se asigură prin tiraj natural-organizat sau se pun în suprapresiune, iar la cele subterane se poate realiza prin tiraj natural-organizat sau prin sau se pun în suprapresiune, în condiţiile și cu respectarea prevederilor normativului şi ale reglementărilor tehnice de specialitate.</w:t>
      </w:r>
    </w:p>
    <w:p w14:paraId="74E6444E" w14:textId="77777777" w:rsidR="001C08A5" w:rsidRDefault="00000000">
      <w:pPr>
        <w:pStyle w:val="Heading3"/>
      </w:pPr>
      <w:bookmarkStart w:id="5438" w:name="_Toc162355372"/>
      <w:bookmarkStart w:id="5439" w:name="_Toc26219"/>
      <w:bookmarkStart w:id="5440" w:name="_Toc9670"/>
      <w:bookmarkStart w:id="5441" w:name="_Toc22365"/>
      <w:bookmarkStart w:id="5442" w:name="_Toc2936"/>
      <w:bookmarkStart w:id="5443" w:name="_Toc9719"/>
      <w:bookmarkStart w:id="5444" w:name="_Toc24291"/>
      <w:bookmarkStart w:id="5445" w:name="_Toc28666"/>
      <w:bookmarkStart w:id="5446" w:name="_Toc20678"/>
      <w:bookmarkStart w:id="5447" w:name="_Toc26562"/>
      <w:r>
        <w:t>7.4. ALCĂTUIRI CONSTRUCTIVE</w:t>
      </w:r>
      <w:bookmarkEnd w:id="5438"/>
      <w:bookmarkEnd w:id="5439"/>
      <w:bookmarkEnd w:id="5440"/>
      <w:bookmarkEnd w:id="5441"/>
      <w:bookmarkEnd w:id="5442"/>
      <w:bookmarkEnd w:id="5443"/>
      <w:bookmarkEnd w:id="5444"/>
      <w:bookmarkEnd w:id="5445"/>
      <w:bookmarkEnd w:id="5446"/>
      <w:bookmarkEnd w:id="5447"/>
    </w:p>
    <w:p w14:paraId="40D757BA" w14:textId="77777777" w:rsidR="001C08A5" w:rsidRDefault="001C08A5">
      <w:pPr>
        <w:jc w:val="both"/>
        <w:rPr>
          <w:sz w:val="24"/>
          <w:szCs w:val="24"/>
        </w:rPr>
      </w:pPr>
    </w:p>
    <w:p w14:paraId="204D49EC" w14:textId="77777777" w:rsidR="001C08A5" w:rsidRDefault="00000000">
      <w:pPr>
        <w:jc w:val="both"/>
        <w:rPr>
          <w:sz w:val="24"/>
          <w:szCs w:val="24"/>
        </w:rPr>
      </w:pPr>
      <w:r>
        <w:rPr>
          <w:b/>
          <w:sz w:val="24"/>
          <w:szCs w:val="24"/>
        </w:rPr>
        <w:tab/>
        <w:t xml:space="preserve">Art. 7.4.1. </w:t>
      </w:r>
      <w:r>
        <w:rPr>
          <w:sz w:val="24"/>
          <w:szCs w:val="24"/>
        </w:rPr>
        <w:t>Construcţiile cu funcţiuni mixte se conformează şi realizează din materiale, produse şi elemente de construcţie care asigură îndeplinirea condiţiilor de corelare normate și nu propagă focul cu uşurinţă.</w:t>
      </w:r>
    </w:p>
    <w:p w14:paraId="5019A3EC" w14:textId="77777777" w:rsidR="001C08A5" w:rsidRDefault="001C08A5">
      <w:pPr>
        <w:jc w:val="both"/>
        <w:rPr>
          <w:sz w:val="24"/>
          <w:szCs w:val="24"/>
        </w:rPr>
      </w:pPr>
    </w:p>
    <w:p w14:paraId="02B26FA0" w14:textId="77777777" w:rsidR="001C08A5" w:rsidRDefault="00000000">
      <w:pPr>
        <w:jc w:val="both"/>
        <w:rPr>
          <w:sz w:val="24"/>
          <w:szCs w:val="24"/>
        </w:rPr>
      </w:pPr>
      <w:r>
        <w:rPr>
          <w:b/>
          <w:sz w:val="24"/>
          <w:szCs w:val="24"/>
        </w:rPr>
        <w:tab/>
        <w:t xml:space="preserve">Art. 7.4.2. (1) </w:t>
      </w:r>
      <w:r>
        <w:rPr>
          <w:sz w:val="24"/>
          <w:szCs w:val="24"/>
        </w:rPr>
        <w:t xml:space="preserve">Funcţiunile diferite din construcţie se separă cu pereţi </w:t>
      </w:r>
      <w:r>
        <w:rPr>
          <w:b/>
          <w:sz w:val="24"/>
          <w:szCs w:val="24"/>
        </w:rPr>
        <w:t>EI/REI</w:t>
      </w:r>
      <w:r>
        <w:rPr>
          <w:sz w:val="24"/>
          <w:szCs w:val="24"/>
        </w:rPr>
        <w:t xml:space="preserve"> şi, planşee </w:t>
      </w:r>
      <w:r>
        <w:rPr>
          <w:b/>
          <w:sz w:val="24"/>
          <w:szCs w:val="24"/>
        </w:rPr>
        <w:t>REI</w:t>
      </w:r>
      <w:r>
        <w:rPr>
          <w:sz w:val="24"/>
          <w:szCs w:val="24"/>
        </w:rPr>
        <w:t>, după caz, cu rezistenţe la foc determinate în funcţie de riscul de incendiu și densitatea sarcinii termice (</w:t>
      </w:r>
      <w:r>
        <w:rPr>
          <w:b/>
          <w:sz w:val="24"/>
          <w:szCs w:val="24"/>
        </w:rPr>
        <w:t>q</w:t>
      </w:r>
      <w:r>
        <w:rPr>
          <w:sz w:val="24"/>
          <w:szCs w:val="24"/>
        </w:rPr>
        <w:t xml:space="preserve">) din încăperile pe care le separă, conform prevederilor normativului şi </w:t>
      </w:r>
      <w:r>
        <w:rPr>
          <w:b/>
          <w:sz w:val="24"/>
          <w:szCs w:val="24"/>
        </w:rPr>
        <w:t xml:space="preserve">Anexei </w:t>
      </w:r>
      <w:r>
        <w:rPr>
          <w:sz w:val="24"/>
          <w:szCs w:val="24"/>
        </w:rPr>
        <w:t xml:space="preserve">privind </w:t>
      </w:r>
      <w:r>
        <w:rPr>
          <w:i/>
          <w:iCs/>
          <w:sz w:val="24"/>
          <w:szCs w:val="24"/>
        </w:rPr>
        <w:t>“Clasificarea materialelor/produselor şi substanţelor depozitate, după clasa de periculozitate”</w:t>
      </w:r>
      <w:r>
        <w:rPr>
          <w:sz w:val="24"/>
          <w:szCs w:val="24"/>
        </w:rPr>
        <w:t>, precum și de condiţiile de performanţă specifice destinaţiei și tipului de clădire.</w:t>
      </w:r>
    </w:p>
    <w:p w14:paraId="12710D44" w14:textId="77777777" w:rsidR="001C08A5" w:rsidRDefault="00000000">
      <w:pPr>
        <w:ind w:firstLine="720"/>
        <w:jc w:val="both"/>
        <w:rPr>
          <w:sz w:val="24"/>
          <w:szCs w:val="24"/>
        </w:rPr>
      </w:pPr>
      <w:r>
        <w:rPr>
          <w:b/>
          <w:sz w:val="24"/>
          <w:szCs w:val="24"/>
        </w:rPr>
        <w:t>(2)</w:t>
      </w:r>
      <w:r>
        <w:rPr>
          <w:sz w:val="24"/>
          <w:szCs w:val="24"/>
        </w:rPr>
        <w:t xml:space="preserve"> Eventualele goluri interioare ale elementelor de construcţie vor avea continuitatea întreruptă, conform prevederilor normativului, astfel încât să nu favorizeze propagarea focului și a fumului pe arii mari construite și între funcţiuni diferite ale construcţiei.</w:t>
      </w:r>
    </w:p>
    <w:p w14:paraId="1616AFC4" w14:textId="77777777" w:rsidR="001C08A5" w:rsidRDefault="001C08A5">
      <w:pPr>
        <w:jc w:val="both"/>
        <w:rPr>
          <w:sz w:val="24"/>
          <w:szCs w:val="24"/>
        </w:rPr>
      </w:pPr>
    </w:p>
    <w:p w14:paraId="7F61B64F" w14:textId="77777777" w:rsidR="001C08A5" w:rsidRDefault="00000000">
      <w:pPr>
        <w:jc w:val="both"/>
        <w:rPr>
          <w:sz w:val="24"/>
          <w:szCs w:val="24"/>
        </w:rPr>
      </w:pPr>
      <w:r>
        <w:rPr>
          <w:b/>
          <w:sz w:val="24"/>
          <w:szCs w:val="24"/>
        </w:rPr>
        <w:tab/>
        <w:t xml:space="preserve">Art. 7.4.3. </w:t>
      </w:r>
      <w:r>
        <w:rPr>
          <w:sz w:val="24"/>
          <w:szCs w:val="24"/>
        </w:rPr>
        <w:t>Prin alcătuirea și realizarea porţiunilor separate de construcţie cu funcţiuni distincte (civile, de producţie şi/sau depozitare), se vor îndeplini condiţiile de performanţă specifice fiecărei funcţiuni, iar întreaga construcţie cu funcţiuni mixte va îndeplini condiţiile de performanţă corespunzătoare ansamblului constituit.</w:t>
      </w:r>
    </w:p>
    <w:p w14:paraId="629BF92C" w14:textId="77777777" w:rsidR="001C08A5" w:rsidRDefault="001C08A5">
      <w:pPr>
        <w:jc w:val="both"/>
        <w:rPr>
          <w:sz w:val="24"/>
          <w:szCs w:val="24"/>
        </w:rPr>
      </w:pPr>
    </w:p>
    <w:p w14:paraId="14B2EC39" w14:textId="77777777" w:rsidR="001C08A5" w:rsidRDefault="00000000">
      <w:pPr>
        <w:jc w:val="both"/>
        <w:rPr>
          <w:sz w:val="24"/>
          <w:szCs w:val="24"/>
        </w:rPr>
      </w:pPr>
      <w:r>
        <w:rPr>
          <w:b/>
          <w:sz w:val="24"/>
          <w:szCs w:val="24"/>
        </w:rPr>
        <w:lastRenderedPageBreak/>
        <w:tab/>
        <w:t xml:space="preserve">Art. 7.4.4. </w:t>
      </w:r>
      <w:r>
        <w:rPr>
          <w:sz w:val="24"/>
          <w:szCs w:val="24"/>
        </w:rPr>
        <w:t>Încăperile de depozitare a materialelor și substanţelor combustibile, se alcătuiesc, realizează şi separă de restul construcţiei corespunzător prevederilor normativului.</w:t>
      </w:r>
    </w:p>
    <w:p w14:paraId="2F1CF504" w14:textId="77777777" w:rsidR="001C08A5" w:rsidRDefault="001C08A5">
      <w:pPr>
        <w:jc w:val="both"/>
        <w:rPr>
          <w:sz w:val="24"/>
          <w:szCs w:val="24"/>
        </w:rPr>
      </w:pPr>
    </w:p>
    <w:p w14:paraId="04F057AC" w14:textId="77777777" w:rsidR="001C08A5" w:rsidRDefault="00000000">
      <w:pPr>
        <w:jc w:val="both"/>
        <w:rPr>
          <w:sz w:val="24"/>
          <w:szCs w:val="24"/>
        </w:rPr>
      </w:pPr>
      <w:r>
        <w:rPr>
          <w:b/>
          <w:sz w:val="24"/>
          <w:szCs w:val="24"/>
        </w:rPr>
        <w:tab/>
        <w:t xml:space="preserve">Art. 7.4.5. </w:t>
      </w:r>
      <w:r>
        <w:rPr>
          <w:sz w:val="24"/>
          <w:szCs w:val="24"/>
        </w:rPr>
        <w:t>În situaţiile admise, încăperile cu risc foarte mare de incendiu se dispun, alcătuiesc, realizează şi utilizează astfel încât să nu pună în pericol construcţia, asigurându-se măsurile de protecţie corespunzătoare prevederilor normativului şi reglementărilor tehnice.</w:t>
      </w:r>
    </w:p>
    <w:p w14:paraId="13602453" w14:textId="77777777" w:rsidR="001C08A5" w:rsidRDefault="001C08A5">
      <w:pPr>
        <w:jc w:val="both"/>
        <w:rPr>
          <w:sz w:val="24"/>
          <w:szCs w:val="24"/>
        </w:rPr>
      </w:pPr>
    </w:p>
    <w:p w14:paraId="6A5E3886" w14:textId="77777777" w:rsidR="001C08A5" w:rsidRDefault="00000000">
      <w:pPr>
        <w:jc w:val="both"/>
        <w:rPr>
          <w:sz w:val="24"/>
          <w:szCs w:val="24"/>
        </w:rPr>
      </w:pPr>
      <w:r>
        <w:rPr>
          <w:b/>
          <w:sz w:val="24"/>
          <w:szCs w:val="24"/>
        </w:rPr>
        <w:tab/>
        <w:t xml:space="preserve">Art. 7.4.6. </w:t>
      </w:r>
      <w:r>
        <w:rPr>
          <w:sz w:val="24"/>
          <w:szCs w:val="24"/>
        </w:rPr>
        <w:t xml:space="preserve">Porţiunile de construcţie care cuprind sau constituie săli aglomerate vor fi alcătuite corespunzător prevederilor privind performanțele specifice acestora, separându-se de alte funcţiuni ale construcţiei prin pereţi </w:t>
      </w:r>
      <w:r>
        <w:rPr>
          <w:b/>
          <w:sz w:val="24"/>
          <w:szCs w:val="24"/>
        </w:rPr>
        <w:t>EI/REI</w:t>
      </w:r>
      <w:r>
        <w:rPr>
          <w:sz w:val="24"/>
          <w:szCs w:val="24"/>
        </w:rPr>
        <w:t xml:space="preserve"> şi, după caz, planşee </w:t>
      </w:r>
      <w:r>
        <w:rPr>
          <w:b/>
          <w:sz w:val="24"/>
          <w:szCs w:val="24"/>
        </w:rPr>
        <w:t>REI</w:t>
      </w:r>
      <w:r>
        <w:rPr>
          <w:sz w:val="24"/>
          <w:szCs w:val="24"/>
        </w:rPr>
        <w:t xml:space="preserve"> rezistente la foc, corespunzator prevederilor normate.</w:t>
      </w:r>
    </w:p>
    <w:p w14:paraId="3BAB6B9C" w14:textId="77777777" w:rsidR="001C08A5" w:rsidRDefault="001C08A5">
      <w:pPr>
        <w:jc w:val="both"/>
        <w:rPr>
          <w:sz w:val="24"/>
          <w:szCs w:val="24"/>
        </w:rPr>
      </w:pPr>
    </w:p>
    <w:p w14:paraId="3A4C0DF9" w14:textId="77777777" w:rsidR="001C08A5" w:rsidRDefault="00000000">
      <w:pPr>
        <w:jc w:val="both"/>
        <w:rPr>
          <w:sz w:val="24"/>
          <w:szCs w:val="24"/>
        </w:rPr>
      </w:pPr>
      <w:r>
        <w:rPr>
          <w:b/>
          <w:sz w:val="24"/>
          <w:szCs w:val="24"/>
        </w:rPr>
        <w:tab/>
        <w:t xml:space="preserve">Art. 7.4.7. </w:t>
      </w:r>
      <w:r>
        <w:rPr>
          <w:sz w:val="24"/>
          <w:szCs w:val="24"/>
        </w:rPr>
        <w:t xml:space="preserve">Porţiunile subterane ale construcţiilor cu funcţiuni mixte în care se dispun funcţiuni distincte faţă de cele supraterane, vor îndeplini şi condiţiile specifice acestor funcţiuni. </w:t>
      </w:r>
    </w:p>
    <w:p w14:paraId="12C0DC2E" w14:textId="77777777" w:rsidR="001C08A5" w:rsidRDefault="00000000">
      <w:pPr>
        <w:pStyle w:val="Heading3"/>
      </w:pPr>
      <w:bookmarkStart w:id="5448" w:name="_Toc16139"/>
      <w:bookmarkStart w:id="5449" w:name="_Toc30704"/>
      <w:bookmarkStart w:id="5450" w:name="_Toc6637"/>
      <w:bookmarkStart w:id="5451" w:name="_Toc11640"/>
      <w:bookmarkStart w:id="5452" w:name="_Toc12807"/>
      <w:bookmarkStart w:id="5453" w:name="_Toc11813"/>
      <w:bookmarkStart w:id="5454" w:name="_Toc162355373"/>
      <w:bookmarkStart w:id="5455" w:name="_Toc20875"/>
      <w:bookmarkStart w:id="5456" w:name="_Toc12506"/>
      <w:bookmarkStart w:id="5457" w:name="_Toc29710"/>
      <w:r>
        <w:t>7.5. CĂI DE EVACUARE A UTILIZATORILOR ÎN CAZ DE INCENDIU</w:t>
      </w:r>
      <w:bookmarkEnd w:id="5448"/>
      <w:bookmarkEnd w:id="5449"/>
      <w:bookmarkEnd w:id="5450"/>
      <w:bookmarkEnd w:id="5451"/>
      <w:bookmarkEnd w:id="5452"/>
      <w:bookmarkEnd w:id="5453"/>
      <w:bookmarkEnd w:id="5454"/>
      <w:bookmarkEnd w:id="5455"/>
      <w:bookmarkEnd w:id="5456"/>
      <w:bookmarkEnd w:id="5457"/>
    </w:p>
    <w:p w14:paraId="0BCB9892" w14:textId="77777777" w:rsidR="001C08A5" w:rsidRDefault="001C08A5">
      <w:pPr>
        <w:jc w:val="both"/>
        <w:rPr>
          <w:sz w:val="24"/>
          <w:szCs w:val="24"/>
        </w:rPr>
      </w:pPr>
    </w:p>
    <w:p w14:paraId="1CA8D3EF" w14:textId="77777777" w:rsidR="001C08A5" w:rsidRDefault="00000000">
      <w:pPr>
        <w:jc w:val="both"/>
        <w:rPr>
          <w:sz w:val="24"/>
          <w:szCs w:val="24"/>
        </w:rPr>
      </w:pPr>
      <w:r>
        <w:rPr>
          <w:b/>
          <w:sz w:val="24"/>
          <w:szCs w:val="24"/>
        </w:rPr>
        <w:tab/>
        <w:t>Art. 7.5.1.</w:t>
      </w:r>
      <w:r>
        <w:rPr>
          <w:sz w:val="24"/>
          <w:szCs w:val="24"/>
        </w:rPr>
        <w:t xml:space="preserve"> În construcţiile cu funcţiuni mixte se prevăd căi de evacuare a utilizatorilor în caz de incendiu în număr corespunzător, dispuse, alcătuite și dimensionate potrivit destinaţiei respective și a prevederilor normate.</w:t>
      </w:r>
    </w:p>
    <w:p w14:paraId="13D748D3" w14:textId="77777777" w:rsidR="001C08A5" w:rsidRDefault="001C08A5">
      <w:pPr>
        <w:jc w:val="both"/>
        <w:rPr>
          <w:sz w:val="24"/>
          <w:szCs w:val="24"/>
        </w:rPr>
      </w:pPr>
    </w:p>
    <w:p w14:paraId="451187B1" w14:textId="77777777" w:rsidR="001C08A5" w:rsidRDefault="00000000">
      <w:pPr>
        <w:jc w:val="both"/>
        <w:rPr>
          <w:sz w:val="24"/>
          <w:szCs w:val="24"/>
        </w:rPr>
      </w:pPr>
      <w:r>
        <w:rPr>
          <w:b/>
          <w:sz w:val="24"/>
          <w:szCs w:val="24"/>
        </w:rPr>
        <w:tab/>
        <w:t xml:space="preserve">Art. 7.5.2. (1) </w:t>
      </w:r>
      <w:r>
        <w:rPr>
          <w:sz w:val="24"/>
          <w:szCs w:val="24"/>
        </w:rPr>
        <w:t>Căile de evacuare ale construcţiei cu funcţiuni mixte pot fi proprii unei funcţiuni sau unui grup de funcţiuni ori comune tuturor funcţiunilor din construcţie.</w:t>
      </w:r>
    </w:p>
    <w:p w14:paraId="4C8F5E40" w14:textId="77777777" w:rsidR="001C08A5" w:rsidRDefault="00000000">
      <w:pPr>
        <w:ind w:firstLine="720"/>
        <w:jc w:val="both"/>
        <w:rPr>
          <w:sz w:val="24"/>
          <w:szCs w:val="24"/>
        </w:rPr>
      </w:pPr>
      <w:r>
        <w:rPr>
          <w:b/>
          <w:sz w:val="24"/>
          <w:szCs w:val="24"/>
        </w:rPr>
        <w:t xml:space="preserve">(2) </w:t>
      </w:r>
      <w:r>
        <w:rPr>
          <w:sz w:val="24"/>
          <w:szCs w:val="24"/>
        </w:rPr>
        <w:t>În construcţiile cu funcţiuni mixte care au diferite destinaţii dispuse în zone distincte ale construcţiei, timpii (lungimile) căilor de evacuare trebuie să îndeplinească performanţele corespunzătoare fiecărei funcţiuni. Atunci când căile de evacuare sunt comune mai multor funcţiuni sau tuturor funcţiunilor din construcţie, prin număr, dispunere, dimensionare și alcătuire se vor îndeplini condiţiile de performanţă cele mai severe ale funcţiunilor respective pentru care se asigură evacuarea. În porţiuni sau zone ale construcţiei în care o funcţiune determină dimensiuni mai mici ale căilor de evacuare, se pot reduce corespunzător lăţimile căilor de evacuare în porţiunea sau zona respectivă.</w:t>
      </w:r>
    </w:p>
    <w:p w14:paraId="331FABFF" w14:textId="77777777" w:rsidR="001C08A5" w:rsidRDefault="001C08A5">
      <w:pPr>
        <w:jc w:val="both"/>
        <w:rPr>
          <w:sz w:val="24"/>
          <w:szCs w:val="24"/>
        </w:rPr>
      </w:pPr>
    </w:p>
    <w:p w14:paraId="61161AF2" w14:textId="77777777" w:rsidR="001C08A5" w:rsidRDefault="00000000">
      <w:pPr>
        <w:jc w:val="both"/>
        <w:rPr>
          <w:sz w:val="24"/>
          <w:szCs w:val="24"/>
        </w:rPr>
      </w:pPr>
      <w:r>
        <w:rPr>
          <w:b/>
          <w:sz w:val="24"/>
          <w:szCs w:val="24"/>
        </w:rPr>
        <w:tab/>
        <w:t>Art. 7.5.3. (1)</w:t>
      </w:r>
      <w:r>
        <w:rPr>
          <w:sz w:val="24"/>
          <w:szCs w:val="24"/>
        </w:rPr>
        <w:t xml:space="preserve"> Separarea căilor de circulaţie funcţională şi evacuare a utilizatorilor faţă de încăperile adiacente, se realizează corespunzător condiţiilor normate pentru funcţiunea respectivă și tipul de clădire.</w:t>
      </w:r>
    </w:p>
    <w:p w14:paraId="2814906E" w14:textId="77777777" w:rsidR="001C08A5" w:rsidRDefault="00000000">
      <w:pPr>
        <w:ind w:firstLine="720"/>
        <w:jc w:val="both"/>
        <w:rPr>
          <w:sz w:val="24"/>
          <w:szCs w:val="24"/>
        </w:rPr>
      </w:pPr>
      <w:r>
        <w:rPr>
          <w:b/>
          <w:sz w:val="24"/>
          <w:szCs w:val="24"/>
        </w:rPr>
        <w:t xml:space="preserve">(2) </w:t>
      </w:r>
      <w:r>
        <w:rPr>
          <w:sz w:val="24"/>
          <w:szCs w:val="24"/>
        </w:rPr>
        <w:t>Golurile de acces la căile de evacuare practicate în pereţii despărţitori ai acestora, se protejează cu elemente de închidere corespunzătoare riscului de incendiu, a destinaţiei încăperilor adiacente şi tipului de clădire, conform prevederilor normativului.</w:t>
      </w:r>
    </w:p>
    <w:p w14:paraId="37F58F9F" w14:textId="77777777" w:rsidR="001C08A5" w:rsidRDefault="001C08A5">
      <w:pPr>
        <w:jc w:val="both"/>
        <w:rPr>
          <w:sz w:val="24"/>
          <w:szCs w:val="24"/>
        </w:rPr>
      </w:pPr>
    </w:p>
    <w:p w14:paraId="6293A16C" w14:textId="77777777" w:rsidR="001C08A5" w:rsidRDefault="00000000">
      <w:pPr>
        <w:jc w:val="both"/>
        <w:rPr>
          <w:sz w:val="24"/>
          <w:szCs w:val="24"/>
        </w:rPr>
      </w:pPr>
      <w:r>
        <w:rPr>
          <w:b/>
          <w:sz w:val="24"/>
          <w:szCs w:val="24"/>
        </w:rPr>
        <w:tab/>
        <w:t xml:space="preserve">Art. 7.5.4. </w:t>
      </w:r>
      <w:r>
        <w:rPr>
          <w:sz w:val="24"/>
          <w:szCs w:val="24"/>
        </w:rPr>
        <w:t>Scările de evacuare interioare comune ale construcţiilor cu funcţiuni mixte, se închid în case de scări, separate de restul construcţiei prin elemente rezistente la foc, potrivit funcţiunii care impune condiţiile cele mai severe. Scări interioare deschise (neînchise în case de scări), se pot prevedea numai în cazurile și în condiţiile stabilite în normativ, ţinând cont de cerinţele menţionate mai sus.</w:t>
      </w:r>
    </w:p>
    <w:p w14:paraId="54A4A432" w14:textId="77777777" w:rsidR="001C08A5" w:rsidRDefault="001C08A5">
      <w:pPr>
        <w:jc w:val="both"/>
        <w:rPr>
          <w:sz w:val="24"/>
          <w:szCs w:val="24"/>
        </w:rPr>
      </w:pPr>
    </w:p>
    <w:p w14:paraId="4B3BE496" w14:textId="77777777" w:rsidR="001C08A5" w:rsidRDefault="00000000">
      <w:pPr>
        <w:jc w:val="both"/>
        <w:rPr>
          <w:sz w:val="24"/>
          <w:szCs w:val="24"/>
        </w:rPr>
      </w:pPr>
      <w:r>
        <w:rPr>
          <w:b/>
          <w:sz w:val="24"/>
          <w:szCs w:val="24"/>
        </w:rPr>
        <w:tab/>
        <w:t xml:space="preserve">Art. 7.5.5. </w:t>
      </w:r>
      <w:r>
        <w:rPr>
          <w:sz w:val="24"/>
          <w:szCs w:val="24"/>
        </w:rPr>
        <w:t xml:space="preserve">În construcţiile cu funcţiuni mixte pot fi prevăzute scări rulante realizate conform prevederilor </w:t>
      </w:r>
      <w:r>
        <w:rPr>
          <w:b/>
          <w:sz w:val="24"/>
          <w:szCs w:val="24"/>
        </w:rPr>
        <w:t>Art. 2.5.6.3.3.</w:t>
      </w:r>
      <w:r>
        <w:rPr>
          <w:sz w:val="24"/>
          <w:szCs w:val="24"/>
        </w:rPr>
        <w:t xml:space="preserve">, cu condiţia asigurării şi a căilor de evacuare a utilizatorilor prin scări închise. </w:t>
      </w:r>
      <w:r>
        <w:rPr>
          <w:sz w:val="24"/>
          <w:szCs w:val="24"/>
        </w:rPr>
        <w:tab/>
      </w:r>
    </w:p>
    <w:p w14:paraId="53BD20D6" w14:textId="77777777" w:rsidR="001C08A5" w:rsidRDefault="00000000">
      <w:pPr>
        <w:jc w:val="both"/>
        <w:rPr>
          <w:b/>
          <w:sz w:val="24"/>
          <w:szCs w:val="24"/>
        </w:rPr>
      </w:pPr>
      <w:r>
        <w:rPr>
          <w:sz w:val="24"/>
          <w:szCs w:val="24"/>
        </w:rPr>
        <w:tab/>
      </w:r>
      <w:r>
        <w:rPr>
          <w:sz w:val="24"/>
          <w:szCs w:val="24"/>
        </w:rPr>
        <w:tab/>
      </w:r>
      <w:r>
        <w:rPr>
          <w:sz w:val="24"/>
          <w:szCs w:val="24"/>
        </w:rPr>
        <w:tab/>
      </w:r>
    </w:p>
    <w:p w14:paraId="19A1A37C" w14:textId="77777777" w:rsidR="001C08A5" w:rsidRDefault="00000000">
      <w:pPr>
        <w:jc w:val="both"/>
        <w:rPr>
          <w:sz w:val="24"/>
          <w:szCs w:val="24"/>
        </w:rPr>
      </w:pPr>
      <w:r>
        <w:rPr>
          <w:b/>
          <w:sz w:val="24"/>
          <w:szCs w:val="24"/>
        </w:rPr>
        <w:tab/>
        <w:t xml:space="preserve">Art. 7.5.6. </w:t>
      </w:r>
      <w:r>
        <w:rPr>
          <w:sz w:val="24"/>
          <w:szCs w:val="24"/>
        </w:rPr>
        <w:t>Rampele scărilor interioare aferente subsolurilor se separă faţă de rampele scărilor supraterane, cu excepţia situaţiilor menţionate în normativ (</w:t>
      </w:r>
      <w:r>
        <w:rPr>
          <w:b/>
          <w:sz w:val="24"/>
          <w:szCs w:val="24"/>
        </w:rPr>
        <w:t>Art. 2.5.6.2.3</w:t>
      </w:r>
      <w:r>
        <w:rPr>
          <w:bCs/>
          <w:sz w:val="24"/>
          <w:szCs w:val="24"/>
        </w:rPr>
        <w:t>. alin.</w:t>
      </w:r>
      <w:r>
        <w:rPr>
          <w:b/>
          <w:sz w:val="24"/>
          <w:szCs w:val="24"/>
        </w:rPr>
        <w:t xml:space="preserve"> (3)</w:t>
      </w:r>
      <w:r>
        <w:rPr>
          <w:sz w:val="24"/>
          <w:szCs w:val="24"/>
        </w:rPr>
        <w:t>).</w:t>
      </w:r>
    </w:p>
    <w:p w14:paraId="69099B8B" w14:textId="77777777" w:rsidR="001C08A5" w:rsidRDefault="001C08A5">
      <w:pPr>
        <w:jc w:val="both"/>
        <w:rPr>
          <w:sz w:val="24"/>
          <w:szCs w:val="24"/>
        </w:rPr>
      </w:pPr>
    </w:p>
    <w:p w14:paraId="30A118FC" w14:textId="77777777" w:rsidR="001C08A5" w:rsidRDefault="00000000">
      <w:pPr>
        <w:jc w:val="both"/>
        <w:rPr>
          <w:sz w:val="24"/>
          <w:szCs w:val="24"/>
        </w:rPr>
      </w:pPr>
      <w:r>
        <w:rPr>
          <w:b/>
          <w:sz w:val="24"/>
          <w:szCs w:val="24"/>
        </w:rPr>
        <w:lastRenderedPageBreak/>
        <w:tab/>
        <w:t xml:space="preserve">Art. 7.5.7. </w:t>
      </w:r>
      <w:r>
        <w:rPr>
          <w:sz w:val="24"/>
          <w:szCs w:val="24"/>
        </w:rPr>
        <w:t xml:space="preserve">Căile interioare de circulaţie şi transport pe verticală (scări, ascensoare, monte-charge etc.), se separă de restul construcţiei prin pereţi </w:t>
      </w:r>
      <w:r>
        <w:rPr>
          <w:b/>
          <w:sz w:val="24"/>
          <w:szCs w:val="24"/>
        </w:rPr>
        <w:t>EI/REI</w:t>
      </w:r>
      <w:r>
        <w:rPr>
          <w:sz w:val="24"/>
          <w:szCs w:val="24"/>
        </w:rPr>
        <w:t xml:space="preserve"> şi după caz, planşee </w:t>
      </w:r>
      <w:r>
        <w:rPr>
          <w:b/>
          <w:sz w:val="24"/>
          <w:szCs w:val="24"/>
        </w:rPr>
        <w:t>REI</w:t>
      </w:r>
      <w:r>
        <w:rPr>
          <w:sz w:val="24"/>
          <w:szCs w:val="24"/>
        </w:rPr>
        <w:t xml:space="preserve"> care îndeplinesc condiţiile normate de rezistenţă la foc, iar golurile de acces practicate în pereţii de separare se protejează cu elemente de închidere, conform normativului.</w:t>
      </w:r>
    </w:p>
    <w:p w14:paraId="2F484E32" w14:textId="77777777" w:rsidR="001C08A5" w:rsidRDefault="001C08A5">
      <w:pPr>
        <w:jc w:val="both"/>
        <w:rPr>
          <w:sz w:val="24"/>
          <w:szCs w:val="24"/>
        </w:rPr>
      </w:pPr>
    </w:p>
    <w:p w14:paraId="03EC950E" w14:textId="77777777" w:rsidR="001C08A5" w:rsidRDefault="00000000">
      <w:pPr>
        <w:jc w:val="both"/>
        <w:rPr>
          <w:sz w:val="24"/>
          <w:szCs w:val="24"/>
        </w:rPr>
      </w:pPr>
      <w:r>
        <w:rPr>
          <w:b/>
          <w:sz w:val="24"/>
          <w:szCs w:val="24"/>
        </w:rPr>
        <w:tab/>
        <w:t xml:space="preserve">Art. 7.5.8. </w:t>
      </w:r>
      <w:r>
        <w:rPr>
          <w:sz w:val="24"/>
          <w:szCs w:val="24"/>
        </w:rPr>
        <w:t>Atunci când se prevăd scări exterioare deschise de evacuare, acestea se amplasează și realizează astfel încât circulaţia utilizatorilor să nu fie blocată de flăcările sau fumul produse în caz de incendiu în construcţia cu funcţiuni mixte sau la construcţiile amplasate în vecinătate.</w:t>
      </w:r>
    </w:p>
    <w:p w14:paraId="261EF91A" w14:textId="77777777" w:rsidR="001C08A5" w:rsidRDefault="001C08A5">
      <w:pPr>
        <w:jc w:val="both"/>
        <w:rPr>
          <w:sz w:val="24"/>
          <w:szCs w:val="24"/>
        </w:rPr>
      </w:pPr>
    </w:p>
    <w:p w14:paraId="0D472B12" w14:textId="77777777" w:rsidR="001C08A5" w:rsidRDefault="00000000">
      <w:pPr>
        <w:jc w:val="both"/>
        <w:rPr>
          <w:sz w:val="24"/>
          <w:szCs w:val="24"/>
        </w:rPr>
      </w:pPr>
      <w:r>
        <w:rPr>
          <w:b/>
          <w:sz w:val="24"/>
          <w:szCs w:val="24"/>
        </w:rPr>
        <w:tab/>
        <w:t xml:space="preserve">Art. 7.5.9. (1) </w:t>
      </w:r>
      <w:r>
        <w:rPr>
          <w:sz w:val="24"/>
          <w:szCs w:val="24"/>
        </w:rPr>
        <w:t>Determinarea unităţilor de trecere (fluxurilor) de evacuare a utilizatorilor în caz de incendiu pe căile de circulaţie funcţională şi de evacuare comune, are în vedere clădirea în ansamblu şi se asigură cele mai severe măsuri de protecţie normate.</w:t>
      </w:r>
    </w:p>
    <w:p w14:paraId="7E4C1618" w14:textId="77777777" w:rsidR="001C08A5" w:rsidRDefault="00000000">
      <w:pPr>
        <w:ind w:firstLine="720"/>
        <w:jc w:val="both"/>
        <w:rPr>
          <w:sz w:val="24"/>
          <w:szCs w:val="24"/>
        </w:rPr>
      </w:pPr>
      <w:r>
        <w:rPr>
          <w:b/>
          <w:sz w:val="24"/>
          <w:szCs w:val="24"/>
        </w:rPr>
        <w:t>(2)</w:t>
      </w:r>
      <w:r>
        <w:rPr>
          <w:sz w:val="24"/>
          <w:szCs w:val="24"/>
        </w:rPr>
        <w:t xml:space="preserve"> Atunci când se prevăd căi de evacuare distincte, proprii unei funcţiuni sau grup de funcţiuni similare, la determinarea unităţilor (fluxurilor) de trecere de evacuare se respectă condiţiile normate pentru destinaţia respectivă.</w:t>
      </w:r>
    </w:p>
    <w:p w14:paraId="47F89EA3" w14:textId="77777777" w:rsidR="001C08A5" w:rsidRDefault="001C08A5">
      <w:pPr>
        <w:jc w:val="both"/>
        <w:rPr>
          <w:sz w:val="24"/>
          <w:szCs w:val="24"/>
        </w:rPr>
      </w:pPr>
    </w:p>
    <w:p w14:paraId="27EAC03D" w14:textId="77777777" w:rsidR="001C08A5" w:rsidRDefault="00000000">
      <w:pPr>
        <w:jc w:val="both"/>
        <w:rPr>
          <w:sz w:val="24"/>
          <w:szCs w:val="24"/>
        </w:rPr>
      </w:pPr>
      <w:r>
        <w:rPr>
          <w:b/>
          <w:sz w:val="24"/>
          <w:szCs w:val="24"/>
        </w:rPr>
        <w:tab/>
        <w:t xml:space="preserve">Art. 7.5.10. (1) </w:t>
      </w:r>
      <w:r>
        <w:rPr>
          <w:sz w:val="24"/>
          <w:szCs w:val="24"/>
        </w:rPr>
        <w:t>Stabilirea numărului de utilizatori pentru care se asigură evacuarea în caz de incendiu, are în vedere nivelul de ocupare şi capacităţile maximum simultane normate de utilizatori, în funcţie de destinaţia și dispunerea acestora în construcţie.</w:t>
      </w:r>
    </w:p>
    <w:p w14:paraId="73DDA2A6" w14:textId="77777777" w:rsidR="001C08A5" w:rsidRDefault="00000000">
      <w:pPr>
        <w:jc w:val="both"/>
        <w:rPr>
          <w:sz w:val="24"/>
          <w:szCs w:val="24"/>
        </w:rPr>
      </w:pPr>
      <w:r>
        <w:rPr>
          <w:sz w:val="24"/>
          <w:szCs w:val="24"/>
        </w:rPr>
        <w:tab/>
      </w:r>
      <w:r>
        <w:rPr>
          <w:b/>
          <w:sz w:val="24"/>
          <w:szCs w:val="24"/>
        </w:rPr>
        <w:t xml:space="preserve">(2) </w:t>
      </w:r>
      <w:r>
        <w:rPr>
          <w:rFonts w:eastAsia="ArialMT"/>
          <w:sz w:val="24"/>
          <w:szCs w:val="24"/>
        </w:rPr>
        <w:t xml:space="preserve">Numărul normat de utilizatori pe unitatea de trecere (flux) de evacuare </w:t>
      </w:r>
      <w:r>
        <w:rPr>
          <w:rFonts w:eastAsia="Arial-BoldMT"/>
          <w:b/>
          <w:sz w:val="24"/>
          <w:szCs w:val="24"/>
        </w:rPr>
        <w:t>(Uf)</w:t>
      </w:r>
      <w:r>
        <w:rPr>
          <w:sz w:val="24"/>
          <w:szCs w:val="24"/>
        </w:rPr>
        <w:t xml:space="preserve"> se determină corespunzător fiecărei funcţiuni luată în considerare, conform prevederilor normativului, iar, pentru întreaga construcţie, căile comune de evacuare vor asigura condiţiile normate cele mai severe. </w:t>
      </w:r>
    </w:p>
    <w:p w14:paraId="18B5A6E1" w14:textId="77777777" w:rsidR="001C08A5" w:rsidRDefault="001C08A5">
      <w:pPr>
        <w:jc w:val="both"/>
        <w:rPr>
          <w:sz w:val="24"/>
          <w:szCs w:val="24"/>
        </w:rPr>
      </w:pPr>
    </w:p>
    <w:p w14:paraId="0BCFC0DC" w14:textId="77777777" w:rsidR="001C08A5" w:rsidRDefault="00000000">
      <w:pPr>
        <w:jc w:val="both"/>
        <w:rPr>
          <w:sz w:val="24"/>
          <w:szCs w:val="24"/>
        </w:rPr>
      </w:pPr>
      <w:r>
        <w:rPr>
          <w:b/>
          <w:sz w:val="24"/>
          <w:szCs w:val="24"/>
        </w:rPr>
        <w:tab/>
        <w:t xml:space="preserve">Art. 7.5.11. </w:t>
      </w:r>
      <w:r>
        <w:rPr>
          <w:sz w:val="24"/>
          <w:szCs w:val="24"/>
        </w:rPr>
        <w:t>Dacă deasupra nivelului construcţiei supraterane, care determină dimensionarea rampelor scărilor de evacuare, se află funcţiuni care necesită dimensiuni mai mici ale acestora, în porţiunile respective ale construcţiei se pot reduce corespunzător aceste dimensiuni. În toate situaţiile, pe traseul de evacuare, până la exterior al nivelului cel mai aglomerat luat în considerare, nu este admisă reducerea dimensiunilor căilor de evacuare.</w:t>
      </w:r>
    </w:p>
    <w:p w14:paraId="3C267776" w14:textId="77777777" w:rsidR="001C08A5" w:rsidRDefault="001C08A5">
      <w:pPr>
        <w:jc w:val="both"/>
        <w:rPr>
          <w:sz w:val="24"/>
          <w:szCs w:val="24"/>
        </w:rPr>
      </w:pPr>
    </w:p>
    <w:p w14:paraId="2AC1C4E8" w14:textId="77777777" w:rsidR="001C08A5" w:rsidRDefault="00000000">
      <w:pPr>
        <w:jc w:val="both"/>
        <w:rPr>
          <w:sz w:val="24"/>
          <w:szCs w:val="24"/>
        </w:rPr>
      </w:pPr>
      <w:r>
        <w:rPr>
          <w:b/>
          <w:sz w:val="24"/>
          <w:szCs w:val="24"/>
        </w:rPr>
        <w:tab/>
        <w:t xml:space="preserve">Art. 7.5.12. </w:t>
      </w:r>
      <w:r>
        <w:rPr>
          <w:sz w:val="24"/>
          <w:szCs w:val="24"/>
        </w:rPr>
        <w:t xml:space="preserve">Lungimile de evacuare maximum admise pe căile de evacuare, vor îndeplini condiţiile stabilite în normativ pentru funcţiunea respectivă, iar pentru căile comune de circulaţie funcţională și de evacuare ale construcţiei se respectă lungimile normate cele mai severe. </w:t>
      </w:r>
    </w:p>
    <w:p w14:paraId="66ABC65B" w14:textId="77777777" w:rsidR="001C08A5" w:rsidRDefault="001C08A5">
      <w:pPr>
        <w:jc w:val="both"/>
        <w:rPr>
          <w:sz w:val="24"/>
          <w:szCs w:val="24"/>
        </w:rPr>
      </w:pPr>
    </w:p>
    <w:p w14:paraId="66E5753C" w14:textId="77777777" w:rsidR="001C08A5" w:rsidRDefault="00000000">
      <w:pPr>
        <w:jc w:val="both"/>
        <w:rPr>
          <w:sz w:val="24"/>
          <w:szCs w:val="24"/>
        </w:rPr>
      </w:pPr>
      <w:r>
        <w:rPr>
          <w:b/>
          <w:sz w:val="24"/>
          <w:szCs w:val="24"/>
        </w:rPr>
        <w:tab/>
        <w:t xml:space="preserve">Art. 7.5.13. </w:t>
      </w:r>
      <w:r>
        <w:rPr>
          <w:sz w:val="24"/>
          <w:szCs w:val="24"/>
        </w:rPr>
        <w:t>Alcătuirea şi dimensionarea căilor de evacuare în caz de incendiu, vor corespunde condiţiilor stabilite în normativ.</w:t>
      </w:r>
    </w:p>
    <w:p w14:paraId="0BCF7962" w14:textId="77777777" w:rsidR="001C08A5" w:rsidRDefault="001C08A5">
      <w:pPr>
        <w:jc w:val="both"/>
        <w:rPr>
          <w:sz w:val="24"/>
          <w:szCs w:val="24"/>
        </w:rPr>
      </w:pPr>
    </w:p>
    <w:p w14:paraId="31705E5F" w14:textId="77777777" w:rsidR="001C08A5" w:rsidRDefault="00000000">
      <w:pPr>
        <w:jc w:val="both"/>
        <w:rPr>
          <w:b/>
          <w:sz w:val="24"/>
          <w:szCs w:val="24"/>
        </w:rPr>
      </w:pPr>
      <w:r>
        <w:rPr>
          <w:b/>
          <w:sz w:val="24"/>
          <w:szCs w:val="24"/>
        </w:rPr>
        <w:tab/>
        <w:t xml:space="preserve">Art. 7.5.14. </w:t>
      </w:r>
      <w:r>
        <w:rPr>
          <w:sz w:val="24"/>
          <w:szCs w:val="24"/>
        </w:rPr>
        <w:t>Scările de evacuare interioare închise ale construcţiilor cu funcţiuni mixte, vor avea acces pe terasele construcţiilor respective, atunci când sunt clădiri înalte sau foarte înalte, potrivit prevederilor normativului.</w:t>
      </w:r>
    </w:p>
    <w:p w14:paraId="3EE13E13" w14:textId="77777777" w:rsidR="001C08A5" w:rsidRDefault="00000000">
      <w:pPr>
        <w:pStyle w:val="Heading3"/>
      </w:pPr>
      <w:bookmarkStart w:id="5458" w:name="_Toc162355374"/>
      <w:bookmarkStart w:id="5459" w:name="_Toc4998"/>
      <w:bookmarkStart w:id="5460" w:name="_Toc14205"/>
      <w:bookmarkStart w:id="5461" w:name="_Toc16930"/>
      <w:bookmarkStart w:id="5462" w:name="_Toc21431"/>
      <w:bookmarkStart w:id="5463" w:name="_Toc29373"/>
      <w:bookmarkStart w:id="5464" w:name="_Toc30588"/>
      <w:bookmarkStart w:id="5465" w:name="_Toc18458"/>
      <w:bookmarkStart w:id="5466" w:name="_Toc13962"/>
      <w:bookmarkStart w:id="5467" w:name="_Toc311"/>
      <w:r>
        <w:t>7.6. CONDIŢII DE ACCES, INTERVENŢIE și SALVARE ÎN CAZ DE INCENDIU</w:t>
      </w:r>
      <w:bookmarkEnd w:id="5458"/>
      <w:bookmarkEnd w:id="5459"/>
      <w:bookmarkEnd w:id="5460"/>
      <w:bookmarkEnd w:id="5461"/>
      <w:bookmarkEnd w:id="5462"/>
      <w:bookmarkEnd w:id="5463"/>
      <w:bookmarkEnd w:id="5464"/>
      <w:bookmarkEnd w:id="5465"/>
      <w:bookmarkEnd w:id="5466"/>
      <w:bookmarkEnd w:id="5467"/>
    </w:p>
    <w:p w14:paraId="62173764" w14:textId="77777777" w:rsidR="001C08A5" w:rsidRDefault="001C08A5">
      <w:pPr>
        <w:jc w:val="both"/>
        <w:rPr>
          <w:sz w:val="24"/>
          <w:szCs w:val="24"/>
        </w:rPr>
      </w:pPr>
    </w:p>
    <w:p w14:paraId="2FB4E506" w14:textId="77777777" w:rsidR="001C08A5" w:rsidRDefault="00000000">
      <w:pPr>
        <w:jc w:val="both"/>
        <w:rPr>
          <w:sz w:val="24"/>
          <w:szCs w:val="24"/>
        </w:rPr>
      </w:pPr>
      <w:r>
        <w:rPr>
          <w:b/>
          <w:sz w:val="24"/>
          <w:szCs w:val="24"/>
        </w:rPr>
        <w:tab/>
        <w:t>Art. 7.6.1. (1)</w:t>
      </w:r>
      <w:r>
        <w:rPr>
          <w:sz w:val="24"/>
          <w:szCs w:val="24"/>
        </w:rPr>
        <w:t xml:space="preserve"> Construcţiile cu funcţiuni mixte, trebuie să aibă asigurate căi de acces, intervenţie și salvare în caz de incendiu, astfel dispuse, alcătuite și realizate încât forţele de intervenţie să poată acţiona în timp scurt şi în condiţii de siguranţă.</w:t>
      </w:r>
    </w:p>
    <w:p w14:paraId="49C2EE05" w14:textId="77777777" w:rsidR="001C08A5" w:rsidRDefault="00000000">
      <w:pPr>
        <w:ind w:firstLine="720"/>
        <w:jc w:val="both"/>
        <w:rPr>
          <w:sz w:val="24"/>
          <w:szCs w:val="24"/>
        </w:rPr>
      </w:pPr>
      <w:r>
        <w:rPr>
          <w:b/>
          <w:sz w:val="24"/>
          <w:szCs w:val="24"/>
        </w:rPr>
        <w:t xml:space="preserve">(2) </w:t>
      </w:r>
      <w:r>
        <w:rPr>
          <w:sz w:val="24"/>
          <w:szCs w:val="24"/>
        </w:rPr>
        <w:t>Construcţiile trebuie să fie accesibile autospecialelor de intervenţie în caz de incendiu potrivit destinaţiei, tipului de clădire și condiţiilor stabilite în normativ.</w:t>
      </w:r>
    </w:p>
    <w:p w14:paraId="563223A9" w14:textId="77777777" w:rsidR="001C08A5" w:rsidRDefault="00000000">
      <w:pPr>
        <w:ind w:firstLine="720"/>
        <w:jc w:val="both"/>
        <w:rPr>
          <w:sz w:val="24"/>
          <w:szCs w:val="24"/>
        </w:rPr>
      </w:pPr>
      <w:r>
        <w:rPr>
          <w:b/>
          <w:sz w:val="24"/>
          <w:szCs w:val="24"/>
        </w:rPr>
        <w:t>(3)</w:t>
      </w:r>
      <w:r>
        <w:rPr>
          <w:sz w:val="24"/>
          <w:szCs w:val="24"/>
        </w:rPr>
        <w:t xml:space="preserve"> Posibilităţile de acces pentru autospecialele de intervenţie (drumuri, platforme etc.), trebuie să permită accesul și intervenţia în special la zonele şi funcţiunile mai periculoase ale construcţiei, la cele cu aglomerări de persoane, la deschiderile (protejate sau neprotejate) din pereţii exteriori perimetrali, precum și la sursele de alimentare cu apă.</w:t>
      </w:r>
    </w:p>
    <w:p w14:paraId="5C8EEF2C" w14:textId="77777777" w:rsidR="001C08A5" w:rsidRDefault="00000000">
      <w:pPr>
        <w:ind w:firstLine="720"/>
        <w:jc w:val="both"/>
        <w:rPr>
          <w:sz w:val="24"/>
          <w:szCs w:val="24"/>
        </w:rPr>
      </w:pPr>
      <w:r>
        <w:rPr>
          <w:b/>
          <w:sz w:val="24"/>
          <w:szCs w:val="24"/>
        </w:rPr>
        <w:lastRenderedPageBreak/>
        <w:t xml:space="preserve">(4) </w:t>
      </w:r>
      <w:r>
        <w:rPr>
          <w:sz w:val="24"/>
          <w:szCs w:val="24"/>
        </w:rPr>
        <w:t>Numărul, alcătuirea, conformarea şi realizarea posibilităţilor exterioare de acces şi circulaţie a autospecialelor de intervenţie, vor corespunde prevederilor normativului.</w:t>
      </w:r>
    </w:p>
    <w:p w14:paraId="727A5096" w14:textId="77777777" w:rsidR="001C08A5" w:rsidRDefault="00000000">
      <w:pPr>
        <w:ind w:firstLine="720"/>
        <w:jc w:val="both"/>
        <w:rPr>
          <w:sz w:val="24"/>
          <w:szCs w:val="24"/>
        </w:rPr>
      </w:pPr>
      <w:r>
        <w:rPr>
          <w:b/>
          <w:sz w:val="24"/>
          <w:szCs w:val="24"/>
        </w:rPr>
        <w:t xml:space="preserve">(5) </w:t>
      </w:r>
      <w:r>
        <w:rPr>
          <w:bCs/>
          <w:sz w:val="24"/>
          <w:szCs w:val="24"/>
        </w:rPr>
        <w:t>A</w:t>
      </w:r>
      <w:r>
        <w:rPr>
          <w:sz w:val="24"/>
          <w:szCs w:val="24"/>
        </w:rPr>
        <w:t>ccesul și circulaţiile funcţionale interioare, care asigură şi intervenţia în caz de incendiu se echipează și marchează corespunzător, astfel încât să faciliteze recunoaşterea şi utilizarea lor în condiţiile specifice de intervenţie la incendiu.</w:t>
      </w:r>
    </w:p>
    <w:p w14:paraId="59727005" w14:textId="77777777" w:rsidR="001C08A5" w:rsidRDefault="00000000">
      <w:pPr>
        <w:ind w:firstLine="720"/>
        <w:jc w:val="both"/>
        <w:rPr>
          <w:sz w:val="24"/>
          <w:szCs w:val="24"/>
        </w:rPr>
      </w:pPr>
      <w:r>
        <w:rPr>
          <w:b/>
          <w:sz w:val="24"/>
          <w:szCs w:val="24"/>
        </w:rPr>
        <w:t xml:space="preserve">(6) </w:t>
      </w:r>
      <w:r>
        <w:rPr>
          <w:sz w:val="24"/>
          <w:szCs w:val="24"/>
        </w:rPr>
        <w:t>Pentru destinaţii ale construcţiei cu funcţiuni mixte, care necesită condiţii speciale de salvare a utilizatorilor în caz de incendiu (copii, bolnavi, persoane cu dizabilităţi/handicap etc.), căile de circulaţie şi salvare vor fi corespunzător dimensionate, alcătuite și echipate, potrivit prevederilor normativului şi ale reglementărilor tehnice de specialitate.</w:t>
      </w:r>
    </w:p>
    <w:p w14:paraId="16404E74" w14:textId="77777777" w:rsidR="001C08A5" w:rsidRDefault="001C08A5">
      <w:pPr>
        <w:jc w:val="both"/>
        <w:rPr>
          <w:sz w:val="24"/>
          <w:szCs w:val="24"/>
        </w:rPr>
      </w:pPr>
    </w:p>
    <w:p w14:paraId="3C0E7B6D" w14:textId="77777777" w:rsidR="001C08A5" w:rsidRDefault="00000000">
      <w:pPr>
        <w:jc w:val="both"/>
        <w:rPr>
          <w:sz w:val="24"/>
          <w:szCs w:val="24"/>
        </w:rPr>
      </w:pPr>
      <w:r>
        <w:rPr>
          <w:sz w:val="24"/>
          <w:szCs w:val="24"/>
        </w:rPr>
        <w:tab/>
      </w:r>
      <w:r>
        <w:rPr>
          <w:b/>
          <w:sz w:val="24"/>
          <w:szCs w:val="24"/>
        </w:rPr>
        <w:t>Art. 7.6.2.</w:t>
      </w:r>
      <w:r>
        <w:rPr>
          <w:sz w:val="24"/>
          <w:szCs w:val="24"/>
        </w:rPr>
        <w:t xml:space="preserve"> Construcţiile cu funcţiuni mixte vor avea asigurate posibilităţi de acces pentru autospecialele de intervenţie cel puţin pe două laturi astfel încât să se asigure accesul și intervenţia autospecialelor de stingere în caz de incendiu, cel puţin pe </w:t>
      </w:r>
      <w:r>
        <w:rPr>
          <w:b/>
          <w:bCs/>
          <w:sz w:val="24"/>
          <w:szCs w:val="24"/>
        </w:rPr>
        <w:t>50%</w:t>
      </w:r>
      <w:r>
        <w:rPr>
          <w:sz w:val="24"/>
          <w:szCs w:val="24"/>
        </w:rPr>
        <w:t xml:space="preserve"> din perimetrul pereților exteriori., iar cele cu aria construită (</w:t>
      </w:r>
      <w:r>
        <w:rPr>
          <w:b/>
          <w:sz w:val="24"/>
          <w:szCs w:val="24"/>
        </w:rPr>
        <w:t>Ac</w:t>
      </w:r>
      <w:r>
        <w:rPr>
          <w:sz w:val="24"/>
          <w:szCs w:val="24"/>
        </w:rPr>
        <w:t xml:space="preserve">) mai mică de </w:t>
      </w:r>
      <w:r>
        <w:rPr>
          <w:b/>
          <w:sz w:val="24"/>
          <w:szCs w:val="24"/>
        </w:rPr>
        <w:t xml:space="preserve">600 </w:t>
      </w:r>
      <w:r>
        <w:rPr>
          <w:sz w:val="24"/>
          <w:szCs w:val="24"/>
        </w:rPr>
        <w:t xml:space="preserve">m², pe o latură astfel încât să se asigure accesul și intervenţia autospecialelor de stingere în caz de incendiu, cel puţin pe </w:t>
      </w:r>
      <w:r>
        <w:rPr>
          <w:b/>
          <w:bCs/>
          <w:sz w:val="24"/>
          <w:szCs w:val="24"/>
        </w:rPr>
        <w:t>25%</w:t>
      </w:r>
      <w:r>
        <w:rPr>
          <w:sz w:val="24"/>
          <w:szCs w:val="24"/>
        </w:rPr>
        <w:t xml:space="preserve"> din perimetrul pereților exteriori..</w:t>
      </w:r>
      <w:r>
        <w:rPr>
          <w:sz w:val="24"/>
          <w:szCs w:val="24"/>
        </w:rPr>
        <w:tab/>
      </w:r>
    </w:p>
    <w:p w14:paraId="12A1E2C9" w14:textId="77777777" w:rsidR="001C08A5" w:rsidRDefault="00000000">
      <w:pPr>
        <w:pStyle w:val="Heading3"/>
      </w:pPr>
      <w:bookmarkStart w:id="5468" w:name="_Toc13881"/>
      <w:bookmarkStart w:id="5469" w:name="_Toc1825"/>
      <w:bookmarkStart w:id="5470" w:name="_Toc10112"/>
      <w:bookmarkStart w:id="5471" w:name="_Toc162355375"/>
      <w:bookmarkStart w:id="5472" w:name="_Toc22716"/>
      <w:bookmarkStart w:id="5473" w:name="_Toc17044"/>
      <w:bookmarkStart w:id="5474" w:name="_Toc2028"/>
      <w:bookmarkStart w:id="5475" w:name="_Toc6478"/>
      <w:bookmarkStart w:id="5476" w:name="_Toc30198"/>
      <w:bookmarkStart w:id="5477" w:name="_Toc18930"/>
      <w:r>
        <w:t>7.7. ECHIPAREA CONSTRUCŢIILOR CU INSTALAŢII ŞI MIJLOACE DE STINGERE A INCENDIILOR</w:t>
      </w:r>
      <w:bookmarkEnd w:id="5468"/>
      <w:bookmarkEnd w:id="5469"/>
      <w:bookmarkEnd w:id="5470"/>
      <w:bookmarkEnd w:id="5471"/>
      <w:bookmarkEnd w:id="5472"/>
      <w:bookmarkEnd w:id="5473"/>
      <w:bookmarkEnd w:id="5474"/>
      <w:bookmarkEnd w:id="5475"/>
      <w:bookmarkEnd w:id="5476"/>
      <w:bookmarkEnd w:id="5477"/>
    </w:p>
    <w:p w14:paraId="6785F8DB" w14:textId="77777777" w:rsidR="001C08A5" w:rsidRDefault="00000000">
      <w:pPr>
        <w:jc w:val="both"/>
        <w:rPr>
          <w:b/>
          <w:sz w:val="24"/>
          <w:szCs w:val="24"/>
        </w:rPr>
      </w:pPr>
      <w:r>
        <w:rPr>
          <w:sz w:val="24"/>
          <w:szCs w:val="24"/>
        </w:rPr>
        <w:tab/>
      </w:r>
      <w:r>
        <w:rPr>
          <w:sz w:val="24"/>
          <w:szCs w:val="24"/>
        </w:rPr>
        <w:tab/>
      </w:r>
    </w:p>
    <w:p w14:paraId="19A8E079" w14:textId="77777777" w:rsidR="001C08A5" w:rsidRDefault="00000000">
      <w:pPr>
        <w:jc w:val="both"/>
        <w:rPr>
          <w:sz w:val="24"/>
          <w:szCs w:val="24"/>
        </w:rPr>
      </w:pPr>
      <w:r>
        <w:rPr>
          <w:b/>
          <w:sz w:val="24"/>
          <w:szCs w:val="24"/>
        </w:rPr>
        <w:tab/>
        <w:t>Art. 7.7.1.</w:t>
      </w:r>
      <w:r>
        <w:rPr>
          <w:sz w:val="24"/>
          <w:szCs w:val="24"/>
        </w:rPr>
        <w:t xml:space="preserve"> Construcţiile cu funcţiuni mixte se echipează cu instalaţii şi mijloace de stingere a incendiilor, precum și cu instalaţii de detectare, semnalizare şi alarmare a incendiului, conform prevederilor reglementărilor tehnice de specialitate.</w:t>
      </w:r>
    </w:p>
    <w:p w14:paraId="7EB83F8B" w14:textId="77777777" w:rsidR="001C08A5" w:rsidRDefault="001C08A5">
      <w:pPr>
        <w:jc w:val="both"/>
        <w:rPr>
          <w:sz w:val="24"/>
          <w:szCs w:val="24"/>
        </w:rPr>
      </w:pPr>
    </w:p>
    <w:p w14:paraId="7D6AC389" w14:textId="77777777" w:rsidR="001C08A5" w:rsidRDefault="00000000">
      <w:pPr>
        <w:ind w:firstLine="720"/>
        <w:jc w:val="both"/>
        <w:rPr>
          <w:sz w:val="24"/>
          <w:szCs w:val="24"/>
        </w:rPr>
      </w:pPr>
      <w:r>
        <w:rPr>
          <w:b/>
          <w:sz w:val="24"/>
          <w:szCs w:val="24"/>
        </w:rPr>
        <w:t xml:space="preserve">Art. 7.7.2.  </w:t>
      </w:r>
      <w:r>
        <w:rPr>
          <w:sz w:val="24"/>
          <w:szCs w:val="24"/>
        </w:rPr>
        <w:t xml:space="preserve">Construcţiile cu funcţiuni mixte se echipează cu stingătoare portative, cu performanţe de stingere corespunzătoare încadrării construcţiei (prevăzute  diferenţiat în normativ pentru construcţii civile sau pentru construcţii de producţie şi/sau depozitare), iar pentru fiecare porţiune din construcţie se respectă şi prevederile privind performanțele specifice funcţiunii respective. </w:t>
      </w:r>
    </w:p>
    <w:p w14:paraId="03DC4B58" w14:textId="77777777" w:rsidR="001C08A5" w:rsidRDefault="001C08A5">
      <w:pPr>
        <w:ind w:firstLine="720"/>
        <w:jc w:val="both"/>
        <w:rPr>
          <w:sz w:val="24"/>
          <w:szCs w:val="24"/>
        </w:rPr>
      </w:pPr>
    </w:p>
    <w:p w14:paraId="35432A17" w14:textId="77777777" w:rsidR="001C08A5" w:rsidRDefault="00000000">
      <w:pPr>
        <w:pStyle w:val="Heading1"/>
      </w:pPr>
      <w:bookmarkStart w:id="5478" w:name="_Toc27792"/>
      <w:bookmarkStart w:id="5479" w:name="_Toc162355376"/>
      <w:bookmarkStart w:id="5480" w:name="_Toc32103"/>
      <w:bookmarkStart w:id="5481" w:name="_Toc18587"/>
      <w:bookmarkStart w:id="5482" w:name="_Toc6865"/>
      <w:bookmarkStart w:id="5483" w:name="_Toc30752"/>
      <w:bookmarkStart w:id="5484" w:name="_Toc20568"/>
      <w:bookmarkStart w:id="5485" w:name="_Toc15244"/>
      <w:bookmarkStart w:id="5486" w:name="_Toc2985"/>
      <w:bookmarkStart w:id="5487" w:name="_Toc2525"/>
      <w:r>
        <w:t>CAPITOLUL 8</w:t>
      </w:r>
      <w:bookmarkEnd w:id="5478"/>
      <w:bookmarkEnd w:id="5479"/>
      <w:bookmarkEnd w:id="5480"/>
      <w:bookmarkEnd w:id="5481"/>
      <w:bookmarkEnd w:id="5482"/>
      <w:bookmarkEnd w:id="5483"/>
      <w:bookmarkEnd w:id="5484"/>
      <w:bookmarkEnd w:id="5485"/>
      <w:bookmarkEnd w:id="5486"/>
      <w:bookmarkEnd w:id="5487"/>
    </w:p>
    <w:p w14:paraId="6CB273E4" w14:textId="77777777" w:rsidR="001C08A5" w:rsidRDefault="00000000">
      <w:pPr>
        <w:pStyle w:val="Heading2"/>
        <w:rPr>
          <w:rFonts w:cs="Times New Roman"/>
          <w:sz w:val="24"/>
          <w:szCs w:val="24"/>
        </w:rPr>
      </w:pPr>
      <w:bookmarkStart w:id="5488" w:name="_Toc3669"/>
      <w:bookmarkStart w:id="5489" w:name="_Toc5801"/>
      <w:bookmarkStart w:id="5490" w:name="_Toc20611"/>
      <w:bookmarkStart w:id="5491" w:name="_Toc10990"/>
      <w:bookmarkStart w:id="5492" w:name="_Toc21434"/>
      <w:bookmarkStart w:id="5493" w:name="_Toc162355377"/>
      <w:bookmarkStart w:id="5494" w:name="_Toc13301"/>
      <w:bookmarkStart w:id="5495" w:name="_Toc22189"/>
      <w:bookmarkStart w:id="5496" w:name="_Toc12680"/>
      <w:bookmarkStart w:id="5497" w:name="_Toc11595"/>
      <w:r>
        <w:t>SISTEME DE EVACUARE A FUMULUI ŞI A GAZELOR FIERBINŢI ÎN CAZ DE INCENDIU</w:t>
      </w:r>
      <w:bookmarkEnd w:id="5488"/>
      <w:bookmarkEnd w:id="5489"/>
      <w:bookmarkEnd w:id="5490"/>
      <w:bookmarkEnd w:id="5491"/>
      <w:bookmarkEnd w:id="5492"/>
      <w:bookmarkEnd w:id="5493"/>
      <w:bookmarkEnd w:id="5494"/>
      <w:bookmarkEnd w:id="5495"/>
      <w:bookmarkEnd w:id="5496"/>
      <w:bookmarkEnd w:id="5497"/>
    </w:p>
    <w:p w14:paraId="1514F33B" w14:textId="77777777" w:rsidR="001C08A5" w:rsidRDefault="00000000">
      <w:pPr>
        <w:pStyle w:val="Heading3"/>
      </w:pPr>
      <w:bookmarkStart w:id="5498" w:name="_Toc12821"/>
      <w:bookmarkStart w:id="5499" w:name="_Toc18866"/>
      <w:bookmarkStart w:id="5500" w:name="_Toc5479"/>
      <w:bookmarkStart w:id="5501" w:name="_Toc22803"/>
      <w:bookmarkStart w:id="5502" w:name="_Toc20541"/>
      <w:bookmarkStart w:id="5503" w:name="_Toc1076"/>
      <w:bookmarkStart w:id="5504" w:name="_Toc162355378"/>
      <w:bookmarkStart w:id="5505" w:name="_Toc26168"/>
      <w:bookmarkStart w:id="5506" w:name="_Toc29682"/>
      <w:bookmarkStart w:id="5507" w:name="_Toc21211"/>
      <w:r>
        <w:t>8.1. Dispoziţii generale</w:t>
      </w:r>
      <w:bookmarkEnd w:id="5498"/>
      <w:bookmarkEnd w:id="5499"/>
      <w:bookmarkEnd w:id="5500"/>
      <w:bookmarkEnd w:id="5501"/>
      <w:bookmarkEnd w:id="5502"/>
      <w:bookmarkEnd w:id="5503"/>
      <w:bookmarkEnd w:id="5504"/>
      <w:bookmarkEnd w:id="5505"/>
      <w:bookmarkEnd w:id="5506"/>
      <w:bookmarkEnd w:id="5507"/>
    </w:p>
    <w:p w14:paraId="5FC3EC95" w14:textId="77777777" w:rsidR="001C08A5" w:rsidRDefault="001C08A5">
      <w:pPr>
        <w:widowControl w:val="0"/>
        <w:jc w:val="both"/>
        <w:rPr>
          <w:b/>
          <w:sz w:val="24"/>
          <w:szCs w:val="24"/>
        </w:rPr>
      </w:pPr>
    </w:p>
    <w:p w14:paraId="7A57FB46" w14:textId="77777777" w:rsidR="001C08A5" w:rsidRDefault="00000000">
      <w:pPr>
        <w:widowControl w:val="0"/>
        <w:jc w:val="both"/>
        <w:rPr>
          <w:sz w:val="24"/>
          <w:szCs w:val="24"/>
        </w:rPr>
      </w:pPr>
      <w:r>
        <w:rPr>
          <w:b/>
          <w:sz w:val="24"/>
          <w:szCs w:val="24"/>
        </w:rPr>
        <w:tab/>
        <w:t xml:space="preserve">Art. </w:t>
      </w:r>
      <w:r>
        <w:rPr>
          <w:b/>
          <w:bCs/>
          <w:sz w:val="24"/>
          <w:szCs w:val="24"/>
        </w:rPr>
        <w:t>8.1.</w:t>
      </w:r>
      <w:r>
        <w:rPr>
          <w:b/>
          <w:sz w:val="24"/>
          <w:szCs w:val="24"/>
        </w:rPr>
        <w:t>1. (1)</w:t>
      </w:r>
      <w:r>
        <w:rPr>
          <w:sz w:val="24"/>
          <w:szCs w:val="24"/>
        </w:rPr>
        <w:t xml:space="preserve"> În scopul asigurării condiţiilor de evacuare a utilizatorilor, a limitării propagării focului şi a facilitării intervenţiei de stingere a incendiului, complementar elementelor constructive de separare asigurate (pereţi, planşee, etc.) în situaţiile precizate în normativ se prevăd sisteme de evacuare a  fumului și gazelor fierbinţi, ecrane, precum şi bariere, suprapresiuni etc. </w:t>
      </w:r>
    </w:p>
    <w:p w14:paraId="1C4FA2E5" w14:textId="77777777" w:rsidR="001C08A5" w:rsidRDefault="00000000">
      <w:pPr>
        <w:widowControl w:val="0"/>
        <w:ind w:firstLine="720"/>
        <w:jc w:val="both"/>
        <w:rPr>
          <w:rFonts w:eastAsia="Arial"/>
          <w:sz w:val="24"/>
          <w:szCs w:val="24"/>
        </w:rPr>
      </w:pPr>
      <w:r>
        <w:rPr>
          <w:b/>
          <w:sz w:val="24"/>
          <w:szCs w:val="24"/>
        </w:rPr>
        <w:t xml:space="preserve">(2) </w:t>
      </w:r>
      <w:r>
        <w:rPr>
          <w:rFonts w:eastAsia="Arial"/>
          <w:sz w:val="24"/>
          <w:szCs w:val="24"/>
        </w:rPr>
        <w:t>Scopul pentru care este proiectat trebuie să fie definit clar și documentatia de proiectare trebuie să indice dacă sistemele de evacuare a  fumului și gazelor fierbinţi vor servi ca:</w:t>
      </w:r>
    </w:p>
    <w:p w14:paraId="3628E569" w14:textId="77777777" w:rsidR="001C08A5" w:rsidRDefault="00000000">
      <w:pPr>
        <w:widowControl w:val="0"/>
        <w:numPr>
          <w:ilvl w:val="0"/>
          <w:numId w:val="89"/>
        </w:numPr>
        <w:tabs>
          <w:tab w:val="clear" w:pos="1260"/>
        </w:tabs>
        <w:jc w:val="both"/>
        <w:rPr>
          <w:rFonts w:eastAsia="Arial"/>
          <w:sz w:val="24"/>
          <w:szCs w:val="24"/>
        </w:rPr>
      </w:pPr>
      <w:r>
        <w:rPr>
          <w:rFonts w:eastAsia="Arial"/>
          <w:sz w:val="24"/>
          <w:szCs w:val="24"/>
        </w:rPr>
        <w:t>modalitate de protejare a căilor de evacuare (pentru menţierea căilor de acces şi evacuare libere de fum și căldură radiantă); sau</w:t>
      </w:r>
    </w:p>
    <w:p w14:paraId="59F5CC27" w14:textId="77777777" w:rsidR="001C08A5" w:rsidRDefault="00000000">
      <w:pPr>
        <w:widowControl w:val="0"/>
        <w:numPr>
          <w:ilvl w:val="0"/>
          <w:numId w:val="89"/>
        </w:numPr>
        <w:tabs>
          <w:tab w:val="clear" w:pos="1260"/>
        </w:tabs>
        <w:jc w:val="both"/>
        <w:rPr>
          <w:rFonts w:eastAsia="Arial"/>
          <w:sz w:val="24"/>
          <w:szCs w:val="24"/>
        </w:rPr>
      </w:pPr>
      <w:r>
        <w:rPr>
          <w:rFonts w:eastAsia="Arial"/>
          <w:sz w:val="24"/>
          <w:szCs w:val="24"/>
        </w:rPr>
        <w:t>modalitate de protejare a bunurilor (echipament de protecţie şi dotări pentru reducerea pagubelor cauzate de produsele de descompunere termică, gazele fierbinţi şi radiaţia termică); sau</w:t>
      </w:r>
    </w:p>
    <w:p w14:paraId="45A5DA4C" w14:textId="77777777" w:rsidR="001C08A5" w:rsidRDefault="00000000">
      <w:pPr>
        <w:widowControl w:val="0"/>
        <w:numPr>
          <w:ilvl w:val="0"/>
          <w:numId w:val="89"/>
        </w:numPr>
        <w:tabs>
          <w:tab w:val="clear" w:pos="1260"/>
        </w:tabs>
        <w:jc w:val="both"/>
        <w:rPr>
          <w:rFonts w:eastAsia="Arial"/>
          <w:sz w:val="24"/>
          <w:szCs w:val="24"/>
        </w:rPr>
      </w:pPr>
      <w:r>
        <w:rPr>
          <w:rFonts w:eastAsia="Arial"/>
          <w:sz w:val="24"/>
          <w:szCs w:val="24"/>
        </w:rPr>
        <w:t>modalitate de control a temperaturii gazelor fierbinţi din fum care afectează, de exemplu, structura clădirii, faţadele sau suprafeţele vitrate; sau</w:t>
      </w:r>
    </w:p>
    <w:p w14:paraId="06B45F31" w14:textId="77777777" w:rsidR="001C08A5" w:rsidRDefault="00000000">
      <w:pPr>
        <w:widowControl w:val="0"/>
        <w:numPr>
          <w:ilvl w:val="0"/>
          <w:numId w:val="89"/>
        </w:numPr>
        <w:tabs>
          <w:tab w:val="clear" w:pos="1260"/>
        </w:tabs>
        <w:jc w:val="both"/>
        <w:rPr>
          <w:rFonts w:eastAsia="Arial"/>
          <w:sz w:val="24"/>
          <w:szCs w:val="24"/>
        </w:rPr>
      </w:pPr>
      <w:r>
        <w:rPr>
          <w:rFonts w:eastAsia="Arial"/>
          <w:sz w:val="24"/>
          <w:szCs w:val="24"/>
        </w:rPr>
        <w:t xml:space="preserve">modalitate de facilitare a operaţiunilor de stingere prin crearea unui strat liber de fum; </w:t>
      </w:r>
      <w:r>
        <w:rPr>
          <w:rFonts w:eastAsia="Arial"/>
          <w:sz w:val="24"/>
          <w:szCs w:val="24"/>
        </w:rPr>
        <w:lastRenderedPageBreak/>
        <w:t>sau</w:t>
      </w:r>
    </w:p>
    <w:p w14:paraId="50B49C83" w14:textId="77777777" w:rsidR="001C08A5" w:rsidRDefault="00000000">
      <w:pPr>
        <w:widowControl w:val="0"/>
        <w:numPr>
          <w:ilvl w:val="0"/>
          <w:numId w:val="89"/>
        </w:numPr>
        <w:tabs>
          <w:tab w:val="clear" w:pos="1260"/>
        </w:tabs>
        <w:jc w:val="both"/>
        <w:rPr>
          <w:sz w:val="24"/>
          <w:szCs w:val="24"/>
        </w:rPr>
      </w:pPr>
      <w:r>
        <w:rPr>
          <w:rFonts w:eastAsia="Arial"/>
          <w:sz w:val="24"/>
          <w:szCs w:val="24"/>
        </w:rPr>
        <w:t>o combinaţie a oricăror dintre cele anterioare.</w:t>
      </w:r>
    </w:p>
    <w:p w14:paraId="3BE532E5" w14:textId="77777777" w:rsidR="001C08A5" w:rsidRDefault="00000000">
      <w:pPr>
        <w:widowControl w:val="0"/>
        <w:ind w:firstLine="720"/>
        <w:jc w:val="both"/>
        <w:rPr>
          <w:sz w:val="24"/>
          <w:szCs w:val="24"/>
        </w:rPr>
      </w:pPr>
      <w:r>
        <w:rPr>
          <w:b/>
          <w:sz w:val="24"/>
          <w:szCs w:val="24"/>
        </w:rPr>
        <w:t>(3)</w:t>
      </w:r>
      <w:r>
        <w:rPr>
          <w:sz w:val="24"/>
          <w:szCs w:val="24"/>
        </w:rPr>
        <w:t xml:space="preserve"> Evacuarea fumului şi gazelor fierbinţi în caz de incendiu, se realizează prin tiraj natural - organizat sau prin ventilare mecanică. Prin evacuarea fumului şi a gazelor fierbinţi în caz de incendiu prin sistem natural organizat sau sistem mecanic, se urmăreşte extragerea fumului din partea superioară a incintei incendiate și inlocuirea procentuala a volumului de fum extras cu aer proaspat.</w:t>
      </w:r>
    </w:p>
    <w:p w14:paraId="62DE44D8" w14:textId="77777777" w:rsidR="001C08A5" w:rsidRDefault="00000000">
      <w:pPr>
        <w:widowControl w:val="0"/>
        <w:ind w:firstLine="720"/>
        <w:jc w:val="both"/>
        <w:rPr>
          <w:sz w:val="24"/>
          <w:szCs w:val="24"/>
        </w:rPr>
      </w:pPr>
      <w:r>
        <w:rPr>
          <w:b/>
          <w:sz w:val="24"/>
          <w:szCs w:val="24"/>
        </w:rPr>
        <w:t>(4)</w:t>
      </w:r>
      <w:r>
        <w:rPr>
          <w:sz w:val="24"/>
          <w:szCs w:val="24"/>
        </w:rPr>
        <w:t xml:space="preserve"> Sistemele de evacuare a fumului ale nivelurilor supraterane ale clădirii trebuie să fie independente de cele ale nivelurilor subterane.</w:t>
      </w:r>
    </w:p>
    <w:p w14:paraId="04040184" w14:textId="77777777" w:rsidR="001C08A5" w:rsidRDefault="00000000">
      <w:pPr>
        <w:widowControl w:val="0"/>
        <w:ind w:firstLine="720"/>
        <w:jc w:val="both"/>
        <w:rPr>
          <w:sz w:val="24"/>
          <w:szCs w:val="24"/>
        </w:rPr>
      </w:pPr>
      <w:r>
        <w:rPr>
          <w:b/>
          <w:sz w:val="24"/>
          <w:szCs w:val="24"/>
        </w:rPr>
        <w:t>(5)</w:t>
      </w:r>
      <w:r>
        <w:rPr>
          <w:sz w:val="24"/>
          <w:szCs w:val="24"/>
        </w:rPr>
        <w:t xml:space="preserve"> Nu este admisa evacuarea fumului prin sisteme naturale şi mecanice simultan în acelaşi rezervor de fum. </w:t>
      </w:r>
    </w:p>
    <w:p w14:paraId="28BADFC6" w14:textId="77777777" w:rsidR="001C08A5" w:rsidRDefault="00000000">
      <w:pPr>
        <w:widowControl w:val="0"/>
        <w:ind w:firstLine="720"/>
        <w:jc w:val="both"/>
        <w:rPr>
          <w:sz w:val="24"/>
          <w:szCs w:val="24"/>
        </w:rPr>
      </w:pPr>
      <w:r>
        <w:rPr>
          <w:b/>
          <w:sz w:val="24"/>
          <w:szCs w:val="24"/>
        </w:rPr>
        <w:t>(6)</w:t>
      </w:r>
      <w:r>
        <w:rPr>
          <w:sz w:val="24"/>
          <w:szCs w:val="24"/>
        </w:rPr>
        <w:t xml:space="preserve"> Un sistem de evacuare a fumului şi gazelor fierbinţi trebuie să fie alcătuit din:</w:t>
      </w:r>
    </w:p>
    <w:p w14:paraId="242778F6" w14:textId="77777777" w:rsidR="001C08A5" w:rsidRDefault="00000000">
      <w:pPr>
        <w:widowControl w:val="0"/>
        <w:numPr>
          <w:ilvl w:val="0"/>
          <w:numId w:val="90"/>
        </w:numPr>
        <w:tabs>
          <w:tab w:val="clear" w:pos="1685"/>
        </w:tabs>
        <w:jc w:val="both"/>
        <w:rPr>
          <w:sz w:val="24"/>
          <w:szCs w:val="24"/>
        </w:rPr>
      </w:pPr>
      <w:r>
        <w:rPr>
          <w:sz w:val="24"/>
          <w:szCs w:val="24"/>
        </w:rPr>
        <w:t xml:space="preserve"> un sistem de evacuare naturală cu un sistem de alimentare naturală cu aer de admisie; sau</w:t>
      </w:r>
    </w:p>
    <w:p w14:paraId="19583A87" w14:textId="77777777" w:rsidR="001C08A5" w:rsidRDefault="00000000">
      <w:pPr>
        <w:widowControl w:val="0"/>
        <w:numPr>
          <w:ilvl w:val="0"/>
          <w:numId w:val="90"/>
        </w:numPr>
        <w:tabs>
          <w:tab w:val="clear" w:pos="1685"/>
        </w:tabs>
        <w:jc w:val="both"/>
        <w:rPr>
          <w:sz w:val="24"/>
          <w:szCs w:val="24"/>
        </w:rPr>
      </w:pPr>
      <w:r>
        <w:rPr>
          <w:sz w:val="24"/>
          <w:szCs w:val="24"/>
        </w:rPr>
        <w:t xml:space="preserve"> un sistem mecanic de evacuare cu un sistem natural de alimentare cu aer de admisie; sau</w:t>
      </w:r>
    </w:p>
    <w:p w14:paraId="68CA199E" w14:textId="77777777" w:rsidR="001C08A5" w:rsidRDefault="00000000">
      <w:pPr>
        <w:widowControl w:val="0"/>
        <w:numPr>
          <w:ilvl w:val="0"/>
          <w:numId w:val="90"/>
        </w:numPr>
        <w:tabs>
          <w:tab w:val="clear" w:pos="1685"/>
        </w:tabs>
        <w:jc w:val="both"/>
        <w:rPr>
          <w:sz w:val="24"/>
          <w:szCs w:val="24"/>
        </w:rPr>
      </w:pPr>
      <w:r>
        <w:rPr>
          <w:sz w:val="24"/>
          <w:szCs w:val="24"/>
        </w:rPr>
        <w:t xml:space="preserve"> un sistem de evacuare naturală cu un sistem mecanic de alimentare cu aer de admisie; sau</w:t>
      </w:r>
    </w:p>
    <w:p w14:paraId="2C45B4AA" w14:textId="77777777" w:rsidR="001C08A5" w:rsidRDefault="00000000">
      <w:pPr>
        <w:widowControl w:val="0"/>
        <w:numPr>
          <w:ilvl w:val="0"/>
          <w:numId w:val="90"/>
        </w:numPr>
        <w:tabs>
          <w:tab w:val="clear" w:pos="1685"/>
        </w:tabs>
        <w:jc w:val="both"/>
        <w:rPr>
          <w:sz w:val="24"/>
          <w:szCs w:val="24"/>
        </w:rPr>
      </w:pPr>
      <w:r>
        <w:rPr>
          <w:sz w:val="24"/>
          <w:szCs w:val="24"/>
        </w:rPr>
        <w:t xml:space="preserve"> un sistem mecanic de evacuare şi un sistem mecanic de alimentare cu aer de admisie (sistem în tandem).</w:t>
      </w:r>
    </w:p>
    <w:p w14:paraId="0930B7AD" w14:textId="77777777" w:rsidR="001C08A5" w:rsidRDefault="00000000">
      <w:pPr>
        <w:widowControl w:val="0"/>
        <w:ind w:firstLine="720"/>
        <w:jc w:val="both"/>
        <w:rPr>
          <w:sz w:val="24"/>
          <w:szCs w:val="24"/>
        </w:rPr>
      </w:pPr>
      <w:r>
        <w:rPr>
          <w:sz w:val="24"/>
          <w:szCs w:val="24"/>
        </w:rPr>
        <w:t>Ultimele doua variante nu trebuie proiectate decât dacă se dispune de o descriere detaliată şi tehnică care să arate cum funcţionează sistemul în condiţii de calcul.</w:t>
      </w:r>
    </w:p>
    <w:p w14:paraId="2D031A20" w14:textId="77777777" w:rsidR="001C08A5" w:rsidRDefault="001C08A5">
      <w:pPr>
        <w:widowControl w:val="0"/>
        <w:ind w:firstLine="720"/>
        <w:jc w:val="both"/>
        <w:rPr>
          <w:b/>
          <w:sz w:val="24"/>
          <w:szCs w:val="24"/>
        </w:rPr>
      </w:pPr>
    </w:p>
    <w:p w14:paraId="6B0E12E4" w14:textId="77777777" w:rsidR="001C08A5" w:rsidRDefault="00000000">
      <w:pPr>
        <w:widowControl w:val="0"/>
        <w:ind w:firstLine="720"/>
        <w:jc w:val="both"/>
        <w:rPr>
          <w:i/>
          <w:iCs/>
          <w:sz w:val="24"/>
          <w:szCs w:val="24"/>
          <w:lang w:eastAsia="zh-CN"/>
        </w:rPr>
      </w:pPr>
      <w:r>
        <w:rPr>
          <w:b/>
          <w:bCs/>
          <w:sz w:val="24"/>
          <w:szCs w:val="24"/>
        </w:rPr>
        <w:t xml:space="preserve">Art. 8.1.2. </w:t>
      </w:r>
      <w:r>
        <w:rPr>
          <w:b/>
          <w:sz w:val="24"/>
          <w:szCs w:val="24"/>
        </w:rPr>
        <w:t>(1)</w:t>
      </w:r>
      <w:r>
        <w:rPr>
          <w:sz w:val="24"/>
          <w:szCs w:val="24"/>
        </w:rPr>
        <w:t xml:space="preserve"> Alternativ prevederilor prezentului normativ, proiectarea complexă a sistemelor de evacuare a fumului şi gazelor fierbinţipentru structuri nestandardizate sau clădiri unde dimensiunile mari, forma sau configuraţia fac necesare controlul fumului și conform criteriilor de proiectare sau la solicitarea autorităţilor competente se cer niveluri de performanţă adecvate privind înălţimea stratului de aer fără fum, temperatura din stratul de aer, influenţe externe etc., (la clădiri înalte și foarte înalte, la mall-uri cu unul sau mai multe etaje; super/ hypermagazine; clădiri industriale cu unul sau mai multe etaje și clădiri de depozitare protejate cu sprinklere; clădiri cu atrium și clădiri mixte complexe; parcaje auto închise; scări; încăperi tampon, teatre, etc.), precum  și la orice alta investitie se doreste, se poate face pe baza standardului </w:t>
      </w:r>
      <w:r>
        <w:rPr>
          <w:b/>
          <w:bCs/>
          <w:sz w:val="24"/>
          <w:szCs w:val="24"/>
        </w:rPr>
        <w:t>SR CEN/TR 12101-5</w:t>
      </w:r>
      <w:r>
        <w:rPr>
          <w:sz w:val="24"/>
          <w:szCs w:val="24"/>
        </w:rPr>
        <w:t xml:space="preserve"> - Sisteme de control al fumului şi gazelor fierbinţi. Partea 5: Ghid de recomandări funcţionale şi metode de calcul pentru sisteme de ventilare pentru evacuarea fumului şi gazelor fierbinţi precum și pe baza standardelor </w:t>
      </w:r>
      <w:hyperlink r:id="rId205" w:history="1">
        <w:r>
          <w:rPr>
            <w:rStyle w:val="Strong"/>
            <w:rFonts w:eastAsia="sans-serif"/>
            <w:sz w:val="24"/>
            <w:szCs w:val="24"/>
            <w:shd w:val="clear" w:color="auto" w:fill="FFFFFF"/>
          </w:rPr>
          <w:t>SR EN 12101-6 -</w:t>
        </w:r>
      </w:hyperlink>
      <w:r>
        <w:rPr>
          <w:sz w:val="24"/>
          <w:szCs w:val="24"/>
        </w:rPr>
        <w:t xml:space="preserve">Sisteme pentru controlul fumului și gazelor fierbinți. Partea 6: Specificații pentru sisteme cu presiune diferențială. Kituri și </w:t>
      </w:r>
      <w:hyperlink r:id="rId206" w:history="1">
        <w:r>
          <w:rPr>
            <w:rStyle w:val="Strong"/>
            <w:rFonts w:eastAsia="sans-serif"/>
            <w:sz w:val="24"/>
            <w:szCs w:val="24"/>
            <w:shd w:val="clear" w:color="auto" w:fill="FFFFFF"/>
          </w:rPr>
          <w:t>SR EN 12101-13 -</w:t>
        </w:r>
      </w:hyperlink>
      <w:r>
        <w:rPr>
          <w:rStyle w:val="Strong"/>
          <w:rFonts w:eastAsia="sans-serif"/>
          <w:b w:val="0"/>
          <w:bCs w:val="0"/>
          <w:sz w:val="24"/>
          <w:szCs w:val="24"/>
          <w:shd w:val="clear" w:color="auto" w:fill="FFFFFF"/>
        </w:rPr>
        <w:t>Sisteme pentru controlul fumului și gazelor fierbinți. Partea 13: Sisteme cu presiune diferențială (</w:t>
      </w:r>
      <w:r>
        <w:rPr>
          <w:rStyle w:val="Strong"/>
          <w:rFonts w:eastAsia="sans-serif"/>
          <w:sz w:val="24"/>
          <w:szCs w:val="24"/>
          <w:shd w:val="clear" w:color="auto" w:fill="FFFFFF"/>
        </w:rPr>
        <w:t>SPD</w:t>
      </w:r>
      <w:r>
        <w:rPr>
          <w:rStyle w:val="Strong"/>
          <w:rFonts w:eastAsia="sans-serif"/>
          <w:b w:val="0"/>
          <w:bCs w:val="0"/>
          <w:sz w:val="24"/>
          <w:szCs w:val="24"/>
          <w:shd w:val="clear" w:color="auto" w:fill="FFFFFF"/>
        </w:rPr>
        <w:t>). Metode de proiectare și de calcul, instalare, încercări în vederea recepției, încercări periodice și mentenanță</w:t>
      </w:r>
      <w:r>
        <w:rPr>
          <w:i/>
          <w:iCs/>
          <w:sz w:val="24"/>
          <w:szCs w:val="24"/>
        </w:rPr>
        <w:t xml:space="preserve">. </w:t>
      </w:r>
    </w:p>
    <w:p w14:paraId="15F7A9CB" w14:textId="77777777" w:rsidR="001C08A5" w:rsidRDefault="00000000">
      <w:pPr>
        <w:widowControl w:val="0"/>
        <w:ind w:firstLine="720"/>
        <w:jc w:val="both"/>
        <w:rPr>
          <w:sz w:val="24"/>
          <w:szCs w:val="24"/>
        </w:rPr>
      </w:pPr>
      <w:r>
        <w:rPr>
          <w:b/>
          <w:sz w:val="24"/>
          <w:szCs w:val="24"/>
        </w:rPr>
        <w:t>(2)</w:t>
      </w:r>
      <w:r>
        <w:rPr>
          <w:sz w:val="24"/>
          <w:szCs w:val="24"/>
        </w:rPr>
        <w:t xml:space="preserve"> Acolo unde normativul prevede ventilare în suprapresiune, proiectarea și calculul sistemului se poate face alternativ pe baza standardelor </w:t>
      </w:r>
      <w:hyperlink r:id="rId207" w:history="1">
        <w:r>
          <w:rPr>
            <w:rStyle w:val="Strong"/>
            <w:rFonts w:eastAsia="sans-serif"/>
            <w:sz w:val="24"/>
            <w:szCs w:val="24"/>
            <w:shd w:val="clear" w:color="auto" w:fill="FFFFFF"/>
          </w:rPr>
          <w:t>SR EN 12101-6 -</w:t>
        </w:r>
      </w:hyperlink>
      <w:r>
        <w:rPr>
          <w:sz w:val="24"/>
          <w:szCs w:val="24"/>
        </w:rPr>
        <w:t xml:space="preserve">Sisteme pentru controlul fumului și gazelor fierbinți. Partea 6: Specificații pentru sisteme cu presiune diferențială. Kituri și </w:t>
      </w:r>
      <w:hyperlink r:id="rId208" w:history="1">
        <w:r>
          <w:rPr>
            <w:rStyle w:val="Strong"/>
            <w:rFonts w:eastAsia="sans-serif"/>
            <w:sz w:val="24"/>
            <w:szCs w:val="24"/>
            <w:shd w:val="clear" w:color="auto" w:fill="FFFFFF"/>
          </w:rPr>
          <w:t>SR EN 12101-13 -</w:t>
        </w:r>
      </w:hyperlink>
      <w:r>
        <w:rPr>
          <w:rStyle w:val="Strong"/>
          <w:rFonts w:eastAsia="sans-serif"/>
          <w:b w:val="0"/>
          <w:bCs w:val="0"/>
          <w:sz w:val="24"/>
          <w:szCs w:val="24"/>
          <w:shd w:val="clear" w:color="auto" w:fill="FFFFFF"/>
        </w:rPr>
        <w:t>Sisteme pentru controlul fumului și gazelor fierbinți. Partea 13: Sisteme cu presiune diferențială (</w:t>
      </w:r>
      <w:r>
        <w:rPr>
          <w:rStyle w:val="Strong"/>
          <w:rFonts w:eastAsia="sans-serif"/>
          <w:sz w:val="24"/>
          <w:szCs w:val="24"/>
          <w:shd w:val="clear" w:color="auto" w:fill="FFFFFF"/>
        </w:rPr>
        <w:t>SPD</w:t>
      </w:r>
      <w:r>
        <w:rPr>
          <w:rStyle w:val="Strong"/>
          <w:rFonts w:eastAsia="sans-serif"/>
          <w:b w:val="0"/>
          <w:bCs w:val="0"/>
          <w:sz w:val="24"/>
          <w:szCs w:val="24"/>
          <w:shd w:val="clear" w:color="auto" w:fill="FFFFFF"/>
        </w:rPr>
        <w:t xml:space="preserve">). Metode de proiectare și de calcul, instalare, încercări în vederea recepției, încercări periodice și mentenanță. </w:t>
      </w:r>
    </w:p>
    <w:p w14:paraId="5939990D" w14:textId="77777777" w:rsidR="001C08A5" w:rsidRDefault="00000000">
      <w:pPr>
        <w:widowControl w:val="0"/>
        <w:ind w:firstLine="720"/>
        <w:jc w:val="both"/>
        <w:rPr>
          <w:sz w:val="24"/>
          <w:szCs w:val="24"/>
        </w:rPr>
      </w:pPr>
      <w:r>
        <w:rPr>
          <w:rStyle w:val="Strong"/>
          <w:rFonts w:eastAsia="sans-serif"/>
          <w:sz w:val="24"/>
          <w:szCs w:val="24"/>
          <w:shd w:val="clear" w:color="auto" w:fill="FFFFFF"/>
        </w:rPr>
        <w:t>(3)</w:t>
      </w:r>
      <w:r>
        <w:rPr>
          <w:sz w:val="24"/>
          <w:szCs w:val="24"/>
        </w:rPr>
        <w:t xml:space="preserve"> Punerea în suprapresiune se realizează, astfel încât presiunea pe uşi să nu fie mai mică de </w:t>
      </w:r>
      <w:r>
        <w:rPr>
          <w:b/>
          <w:bCs/>
          <w:sz w:val="24"/>
          <w:szCs w:val="24"/>
        </w:rPr>
        <w:t>30Pa</w:t>
      </w:r>
      <w:r>
        <w:rPr>
          <w:sz w:val="24"/>
          <w:szCs w:val="24"/>
        </w:rPr>
        <w:t xml:space="preserve"> și să nu depăşească</w:t>
      </w:r>
      <w:r>
        <w:rPr>
          <w:b/>
          <w:sz w:val="24"/>
          <w:szCs w:val="24"/>
        </w:rPr>
        <w:t xml:space="preserve"> 80Pa.</w:t>
      </w:r>
    </w:p>
    <w:p w14:paraId="11B16C6E" w14:textId="77777777" w:rsidR="001C08A5" w:rsidRDefault="001C08A5">
      <w:pPr>
        <w:widowControl w:val="0"/>
        <w:jc w:val="both"/>
        <w:rPr>
          <w:sz w:val="24"/>
          <w:szCs w:val="24"/>
        </w:rPr>
      </w:pPr>
    </w:p>
    <w:p w14:paraId="5E99703B" w14:textId="77777777" w:rsidR="001C08A5" w:rsidRDefault="00000000">
      <w:pPr>
        <w:widowControl w:val="0"/>
        <w:ind w:firstLine="720"/>
        <w:jc w:val="both"/>
        <w:rPr>
          <w:sz w:val="24"/>
          <w:szCs w:val="24"/>
        </w:rPr>
      </w:pPr>
      <w:r>
        <w:rPr>
          <w:b/>
          <w:bCs/>
          <w:sz w:val="24"/>
          <w:szCs w:val="24"/>
        </w:rPr>
        <w:t>Art. 8.1.3. (1)</w:t>
      </w:r>
      <w:r>
        <w:rPr>
          <w:sz w:val="24"/>
          <w:szCs w:val="24"/>
        </w:rPr>
        <w:t xml:space="preserve"> Sistemul de evacuare a fumului şi gazelor fierbinţi poate fi realizat cu tiraj natural-organizat sau prin ventilare mecanică.</w:t>
      </w:r>
    </w:p>
    <w:p w14:paraId="3F737115" w14:textId="77777777" w:rsidR="001C08A5" w:rsidRDefault="00000000">
      <w:pPr>
        <w:ind w:firstLine="708"/>
        <w:jc w:val="both"/>
        <w:rPr>
          <w:sz w:val="24"/>
          <w:szCs w:val="24"/>
        </w:rPr>
      </w:pPr>
      <w:r>
        <w:rPr>
          <w:b/>
          <w:bCs/>
          <w:sz w:val="24"/>
          <w:szCs w:val="24"/>
        </w:rPr>
        <w:t>(2)</w:t>
      </w:r>
      <w:r>
        <w:rPr>
          <w:sz w:val="24"/>
          <w:szCs w:val="24"/>
        </w:rPr>
        <w:t xml:space="preserve"> Sistemul de evacuare a fumului şi gazelor fierbinţi este constituit din guri de admisie a aerului, dispuse la partea inferioară (în treimea inferioară) a spaţiului protejat, ecrane continue rezistente la foc minimum </w:t>
      </w:r>
      <w:r>
        <w:rPr>
          <w:b/>
          <w:bCs/>
          <w:sz w:val="24"/>
          <w:szCs w:val="24"/>
        </w:rPr>
        <w:t>DH 30</w:t>
      </w:r>
      <w:r>
        <w:rPr>
          <w:sz w:val="24"/>
          <w:szCs w:val="24"/>
        </w:rPr>
        <w:t xml:space="preserve">, coborâte sub acoperiş sau sub planşeul superior al spaţiului respectiv minimum </w:t>
      </w:r>
      <w:r>
        <w:rPr>
          <w:b/>
          <w:sz w:val="24"/>
          <w:szCs w:val="24"/>
        </w:rPr>
        <w:t>50</w:t>
      </w:r>
      <w:r>
        <w:rPr>
          <w:sz w:val="24"/>
          <w:szCs w:val="24"/>
        </w:rPr>
        <w:t xml:space="preserve"> cm și guri de evacuare a fumului şi gazelor fierbinţi, dispuse în treimea superioară a pereţilor sau în acoperiş.</w:t>
      </w:r>
    </w:p>
    <w:p w14:paraId="4AC610D0" w14:textId="77777777" w:rsidR="001C08A5" w:rsidRDefault="00000000">
      <w:pPr>
        <w:pStyle w:val="BodyText"/>
        <w:widowControl w:val="0"/>
        <w:ind w:firstLine="720"/>
        <w:rPr>
          <w:b w:val="0"/>
          <w:i w:val="0"/>
          <w:iCs/>
        </w:rPr>
      </w:pPr>
      <w:r>
        <w:rPr>
          <w:i w:val="0"/>
          <w:iCs/>
        </w:rPr>
        <w:lastRenderedPageBreak/>
        <w:t xml:space="preserve">(3) </w:t>
      </w:r>
      <w:r>
        <w:rPr>
          <w:b w:val="0"/>
          <w:i w:val="0"/>
          <w:iCs/>
        </w:rPr>
        <w:t>Golurile de introducere (admisie) a aerului şi cele de evacuare a fumului se repartizează alternat, distribuindu-se cât mai uniform în spaţiul protejat, astfel încât să asigure circulaţia aerului şi evacuarea fumului, îndeplinind condiţiile specifice prevăzute în normativ.</w:t>
      </w:r>
    </w:p>
    <w:p w14:paraId="2B7FE1C4" w14:textId="77777777" w:rsidR="001C08A5" w:rsidRDefault="00000000">
      <w:pPr>
        <w:pStyle w:val="BodyText"/>
        <w:widowControl w:val="0"/>
        <w:ind w:firstLine="720"/>
        <w:rPr>
          <w:b w:val="0"/>
          <w:i w:val="0"/>
          <w:iCs/>
        </w:rPr>
      </w:pPr>
      <w:r>
        <w:rPr>
          <w:i w:val="0"/>
          <w:iCs/>
        </w:rPr>
        <w:t xml:space="preserve">(4) </w:t>
      </w:r>
      <w:r>
        <w:rPr>
          <w:b w:val="0"/>
          <w:i w:val="0"/>
          <w:iCs/>
        </w:rPr>
        <w:t>Introducerile de aer se pot asigura prin:</w:t>
      </w:r>
    </w:p>
    <w:p w14:paraId="6404ECC0" w14:textId="77777777" w:rsidR="001C08A5" w:rsidRDefault="00000000">
      <w:pPr>
        <w:pStyle w:val="BodyText"/>
        <w:widowControl w:val="0"/>
        <w:numPr>
          <w:ilvl w:val="0"/>
          <w:numId w:val="91"/>
        </w:numPr>
        <w:rPr>
          <w:i w:val="0"/>
          <w:iCs/>
        </w:rPr>
      </w:pPr>
      <w:r>
        <w:rPr>
          <w:b w:val="0"/>
          <w:i w:val="0"/>
          <w:iCs/>
        </w:rPr>
        <w:t>scări neînchise în case de scări;</w:t>
      </w:r>
    </w:p>
    <w:p w14:paraId="2BFB65B5" w14:textId="77777777" w:rsidR="001C08A5" w:rsidRDefault="00000000">
      <w:pPr>
        <w:pStyle w:val="BodyText"/>
        <w:widowControl w:val="0"/>
        <w:numPr>
          <w:ilvl w:val="0"/>
          <w:numId w:val="91"/>
        </w:numPr>
        <w:rPr>
          <w:b w:val="0"/>
          <w:i w:val="0"/>
          <w:iCs/>
        </w:rPr>
      </w:pPr>
      <w:r>
        <w:rPr>
          <w:b w:val="0"/>
          <w:i w:val="0"/>
          <w:iCs/>
        </w:rPr>
        <w:t>goluri practicate în faţade, permanent deschise sau cu deschidere automată, de exemplu uşi, ferestre, ventilatoare prevăzute pentru admisia de aer;</w:t>
      </w:r>
    </w:p>
    <w:p w14:paraId="66799011" w14:textId="77777777" w:rsidR="001C08A5" w:rsidRDefault="00000000">
      <w:pPr>
        <w:pStyle w:val="BodyText"/>
        <w:widowControl w:val="0"/>
        <w:numPr>
          <w:ilvl w:val="0"/>
          <w:numId w:val="91"/>
        </w:numPr>
        <w:rPr>
          <w:b w:val="0"/>
          <w:i w:val="0"/>
          <w:iCs/>
        </w:rPr>
      </w:pPr>
      <w:r>
        <w:rPr>
          <w:b w:val="0"/>
          <w:i w:val="0"/>
          <w:iCs/>
        </w:rPr>
        <w:t>uşile cu deschidere automată ale încăperilor care se prevad cu sistem de evacuare a  fumului şi gazelor fierbinţi în caz de incendiu, practicate în pereţii exteriori ai construcţiei;</w:t>
      </w:r>
    </w:p>
    <w:p w14:paraId="6098C8AC" w14:textId="77777777" w:rsidR="001C08A5" w:rsidRDefault="00000000">
      <w:pPr>
        <w:pStyle w:val="BodyText"/>
        <w:widowControl w:val="0"/>
        <w:numPr>
          <w:ilvl w:val="0"/>
          <w:numId w:val="91"/>
        </w:numPr>
        <w:rPr>
          <w:i w:val="0"/>
          <w:iCs/>
        </w:rPr>
      </w:pPr>
      <w:r>
        <w:rPr>
          <w:b w:val="0"/>
          <w:i w:val="0"/>
          <w:iCs/>
        </w:rPr>
        <w:t>goluri de introducere permanent deschise sau cu deschidere automată, racordate sau nu la canale și ghene;</w:t>
      </w:r>
    </w:p>
    <w:p w14:paraId="605748EC" w14:textId="77777777" w:rsidR="001C08A5" w:rsidRDefault="00000000">
      <w:pPr>
        <w:pStyle w:val="BodyText"/>
        <w:widowControl w:val="0"/>
        <w:numPr>
          <w:ilvl w:val="0"/>
          <w:numId w:val="91"/>
        </w:numPr>
        <w:rPr>
          <w:b w:val="0"/>
          <w:bCs w:val="0"/>
          <w:i w:val="0"/>
          <w:iCs/>
        </w:rPr>
      </w:pPr>
      <w:r>
        <w:rPr>
          <w:b w:val="0"/>
          <w:bCs w:val="0"/>
          <w:i w:val="0"/>
          <w:iCs/>
        </w:rPr>
        <w:t>o combinaţie a oricăror dintre cele enumerate la pct. b, c, d; sau</w:t>
      </w:r>
    </w:p>
    <w:p w14:paraId="0F9568CB" w14:textId="77777777" w:rsidR="001C08A5" w:rsidRDefault="00000000">
      <w:pPr>
        <w:pStyle w:val="BodyText"/>
        <w:widowControl w:val="0"/>
        <w:numPr>
          <w:ilvl w:val="0"/>
          <w:numId w:val="91"/>
        </w:numPr>
        <w:rPr>
          <w:i w:val="0"/>
          <w:iCs/>
        </w:rPr>
      </w:pPr>
      <w:r>
        <w:rPr>
          <w:b w:val="0"/>
          <w:bCs w:val="0"/>
          <w:i w:val="0"/>
          <w:iCs/>
        </w:rPr>
        <w:t>o sursă de alimentare de introducere mecanică care utilizează ventilatoare (şi tubulatură dacă se indică).</w:t>
      </w:r>
    </w:p>
    <w:p w14:paraId="71E1EC2A" w14:textId="77777777" w:rsidR="001C08A5" w:rsidRDefault="00000000">
      <w:pPr>
        <w:widowControl w:val="0"/>
        <w:ind w:firstLine="720"/>
        <w:jc w:val="both"/>
        <w:rPr>
          <w:bCs/>
          <w:sz w:val="24"/>
          <w:szCs w:val="24"/>
        </w:rPr>
      </w:pPr>
      <w:r>
        <w:rPr>
          <w:b/>
          <w:bCs/>
          <w:sz w:val="24"/>
          <w:szCs w:val="24"/>
        </w:rPr>
        <w:t>(5)</w:t>
      </w:r>
      <w:r>
        <w:rPr>
          <w:bCs/>
          <w:sz w:val="24"/>
          <w:szCs w:val="24"/>
        </w:rPr>
        <w:t xml:space="preserve"> Aerul de admisie trebuie să fie totdeauna sub stratul de fum când el intră în contact cu fumul şi nu trebuie să fie utilizată simultan aceeaşi deschidere ca ieşire (evacuare) şi ca intrare (admisie). Golurile de admisie a aerului trebuie să fie poziţionate pentru a asigura ca aerul introdus să nu influențeze vreun strat de fum în rezervorul de fum, permiţând astfel gazelor fierbinţi din fum să se răcească şi să coboare sau să devină mai turbulente.</w:t>
      </w:r>
    </w:p>
    <w:p w14:paraId="032DFED9" w14:textId="77777777" w:rsidR="001C08A5" w:rsidRDefault="00000000">
      <w:pPr>
        <w:widowControl w:val="0"/>
        <w:ind w:firstLine="720"/>
        <w:jc w:val="both"/>
        <w:rPr>
          <w:bCs/>
          <w:sz w:val="24"/>
          <w:szCs w:val="24"/>
        </w:rPr>
      </w:pPr>
      <w:r>
        <w:rPr>
          <w:b/>
          <w:bCs/>
          <w:sz w:val="24"/>
          <w:szCs w:val="24"/>
        </w:rPr>
        <w:t>(6)</w:t>
      </w:r>
      <w:r>
        <w:rPr>
          <w:bCs/>
          <w:sz w:val="24"/>
          <w:szCs w:val="24"/>
        </w:rPr>
        <w:t xml:space="preserve"> Evacuarea fumului se asigură prin goluri în acoperiş sau în pereţii exteriori, conform prevederilor normate.</w:t>
      </w:r>
    </w:p>
    <w:p w14:paraId="16967A6A" w14:textId="77777777" w:rsidR="001C08A5" w:rsidRDefault="00000000">
      <w:pPr>
        <w:ind w:firstLine="720"/>
        <w:jc w:val="both"/>
        <w:rPr>
          <w:bCs/>
          <w:sz w:val="24"/>
          <w:szCs w:val="24"/>
        </w:rPr>
      </w:pPr>
      <w:r>
        <w:rPr>
          <w:b/>
          <w:sz w:val="24"/>
          <w:szCs w:val="24"/>
        </w:rPr>
        <w:t>(7)</w:t>
      </w:r>
      <w:r>
        <w:rPr>
          <w:sz w:val="24"/>
          <w:szCs w:val="24"/>
        </w:rPr>
        <w:t xml:space="preserve"> Sistemul de evacuare a fumului şi a gazelor fierbinţi nu este obligatoriu în zonele situate la mai puţin de </w:t>
      </w:r>
      <w:r>
        <w:rPr>
          <w:b/>
          <w:sz w:val="24"/>
          <w:szCs w:val="24"/>
        </w:rPr>
        <w:t>30</w:t>
      </w:r>
      <w:r>
        <w:rPr>
          <w:sz w:val="24"/>
          <w:szCs w:val="24"/>
        </w:rPr>
        <w:t xml:space="preserve"> m de pereţii exteriori ai construcţiei, care au în treimea superioară goluri permanent deschise sau protejate cu dispozitive care se deschid automat în caz de incendiu și asigură suprafaţa liberă normată pentru evacuarea fumului prin tiraj natural-organizat, iar în peretii exteriori au dispozitive pentru introducerea de aer proaspat dimensioate corespunzator normativului.</w:t>
      </w:r>
      <w:r>
        <w:rPr>
          <w:sz w:val="24"/>
          <w:szCs w:val="24"/>
        </w:rPr>
        <w:tab/>
      </w:r>
    </w:p>
    <w:p w14:paraId="25E2F51A" w14:textId="77777777" w:rsidR="001C08A5" w:rsidRDefault="00000000">
      <w:pPr>
        <w:pStyle w:val="BodyText"/>
        <w:rPr>
          <w:b w:val="0"/>
          <w:i w:val="0"/>
          <w:iCs/>
        </w:rPr>
      </w:pPr>
      <w:r>
        <w:rPr>
          <w:i w:val="0"/>
          <w:iCs/>
        </w:rPr>
        <w:tab/>
        <w:t xml:space="preserve">Art. </w:t>
      </w:r>
      <w:r>
        <w:rPr>
          <w:bCs w:val="0"/>
          <w:i w:val="0"/>
          <w:iCs/>
        </w:rPr>
        <w:t>8.1.</w:t>
      </w:r>
      <w:r>
        <w:rPr>
          <w:i w:val="0"/>
          <w:iCs/>
        </w:rPr>
        <w:t>4. (1)</w:t>
      </w:r>
      <w:r>
        <w:rPr>
          <w:b w:val="0"/>
          <w:i w:val="0"/>
          <w:iCs/>
        </w:rPr>
        <w:t xml:space="preserve"> Dispozitivele de protecţie a golurilor de introducere sau de evacuare, trebuie realizate cu acţionare automată şi manuală, conform prevederilor normativului. Acţionarea automată a dispozitivelor de protecţie va fi întotdeauna dublată de comandă manuală. </w:t>
      </w:r>
      <w:r>
        <w:rPr>
          <w:b w:val="0"/>
          <w:bCs w:val="0"/>
          <w:i w:val="0"/>
          <w:iCs/>
        </w:rPr>
        <w:t xml:space="preserve">Comanda manuala se va realiza atat centralizat, pentru toate sistemele de evacuare a fumului şi gazelor fierbinţi din compartimentul de incendiu în care s-a detectat incendiul, cât și local. </w:t>
      </w:r>
      <w:r>
        <w:rPr>
          <w:b w:val="0"/>
          <w:i w:val="0"/>
          <w:iCs/>
        </w:rPr>
        <w:t xml:space="preserve">La construcţiile echipate cu instalaţii automate de stingere, se asigură posibilităţi de acţionare pentru personalul existent în spaţiul protejat şi care să poată comanda manual </w:t>
      </w:r>
      <w:r>
        <w:rPr>
          <w:b w:val="0"/>
          <w:bCs w:val="0"/>
          <w:i w:val="0"/>
          <w:iCs/>
        </w:rPr>
        <w:t>sistemele de evacuare a fumului şi gazelor fierbinţi</w:t>
      </w:r>
      <w:r>
        <w:rPr>
          <w:b w:val="0"/>
          <w:i w:val="0"/>
          <w:iCs/>
        </w:rPr>
        <w:t>.</w:t>
      </w:r>
    </w:p>
    <w:p w14:paraId="0EE1A098" w14:textId="77777777" w:rsidR="001C08A5" w:rsidRDefault="00000000">
      <w:pPr>
        <w:pStyle w:val="BodyText"/>
        <w:ind w:firstLine="720"/>
        <w:rPr>
          <w:b w:val="0"/>
          <w:i w:val="0"/>
          <w:iCs/>
        </w:rPr>
      </w:pPr>
      <w:r>
        <w:rPr>
          <w:i w:val="0"/>
          <w:iCs/>
        </w:rPr>
        <w:t>(2)</w:t>
      </w:r>
      <w:r>
        <w:rPr>
          <w:b w:val="0"/>
          <w:i w:val="0"/>
          <w:iCs/>
        </w:rPr>
        <w:t xml:space="preserve"> Dispozitivele de acţionare a elementelor de închidere a golurilor de admisie și de evacuare trebuie să asigure:</w:t>
      </w:r>
    </w:p>
    <w:p w14:paraId="00DA98E7" w14:textId="77777777" w:rsidR="001C08A5" w:rsidRDefault="00000000">
      <w:pPr>
        <w:pStyle w:val="BodyText"/>
        <w:ind w:left="720" w:firstLine="720"/>
        <w:rPr>
          <w:b w:val="0"/>
          <w:i w:val="0"/>
          <w:iCs/>
        </w:rPr>
      </w:pPr>
      <w:r>
        <w:rPr>
          <w:i w:val="0"/>
          <w:iCs/>
        </w:rPr>
        <w:t>a)</w:t>
      </w:r>
      <w:r>
        <w:rPr>
          <w:b w:val="0"/>
          <w:i w:val="0"/>
          <w:iCs/>
        </w:rPr>
        <w:t xml:space="preserve"> deschiderea golurilor şi canalelor din volumul protejat;</w:t>
      </w:r>
    </w:p>
    <w:p w14:paraId="5D287370" w14:textId="77777777" w:rsidR="001C08A5" w:rsidRDefault="00000000">
      <w:pPr>
        <w:pStyle w:val="BodyText"/>
        <w:ind w:left="720" w:firstLine="720"/>
        <w:jc w:val="left"/>
        <w:rPr>
          <w:b w:val="0"/>
          <w:i w:val="0"/>
          <w:iCs/>
        </w:rPr>
      </w:pPr>
      <w:r>
        <w:rPr>
          <w:i w:val="0"/>
          <w:iCs/>
        </w:rPr>
        <w:t xml:space="preserve">b) </w:t>
      </w:r>
      <w:r>
        <w:rPr>
          <w:b w:val="0"/>
          <w:i w:val="0"/>
          <w:iCs/>
        </w:rPr>
        <w:t>oprirea ventilatoarelor care nu sunt prevăzute pentru evacuarea fumului în caz de incendiu;</w:t>
      </w:r>
    </w:p>
    <w:p w14:paraId="73E17F41" w14:textId="77777777" w:rsidR="001C08A5" w:rsidRDefault="00000000">
      <w:pPr>
        <w:pStyle w:val="BodyText"/>
        <w:ind w:left="720" w:firstLine="720"/>
        <w:jc w:val="left"/>
        <w:rPr>
          <w:i w:val="0"/>
          <w:iCs/>
        </w:rPr>
      </w:pPr>
      <w:r>
        <w:rPr>
          <w:bCs w:val="0"/>
          <w:i w:val="0"/>
          <w:iCs/>
        </w:rPr>
        <w:t xml:space="preserve">c) </w:t>
      </w:r>
      <w:r>
        <w:rPr>
          <w:b w:val="0"/>
          <w:bCs w:val="0"/>
          <w:i w:val="0"/>
          <w:iCs/>
        </w:rPr>
        <w:t>pornirea ventilatoarelor de evacuare a fumului si a celor de introducere a aerului de compensare, după caz.</w:t>
      </w:r>
    </w:p>
    <w:p w14:paraId="2CDBD7AD" w14:textId="77777777" w:rsidR="001C08A5" w:rsidRDefault="00000000">
      <w:pPr>
        <w:pStyle w:val="BodyText"/>
        <w:rPr>
          <w:i w:val="0"/>
          <w:iCs/>
        </w:rPr>
      </w:pPr>
      <w:r>
        <w:rPr>
          <w:i w:val="0"/>
          <w:iCs/>
        </w:rPr>
        <w:tab/>
        <w:t>(3)</w:t>
      </w:r>
      <w:r>
        <w:rPr>
          <w:b w:val="0"/>
          <w:i w:val="0"/>
          <w:iCs/>
        </w:rPr>
        <w:t xml:space="preserve"> Comanda manuală a dispozitivelor de deschidere, poate fi realizată prin sistem mecanic, electric, pneumatic sau hidraulic. </w:t>
      </w:r>
    </w:p>
    <w:p w14:paraId="08EDD374" w14:textId="77777777" w:rsidR="001C08A5" w:rsidRDefault="00000000">
      <w:pPr>
        <w:pStyle w:val="BodyText"/>
        <w:ind w:firstLine="720"/>
        <w:rPr>
          <w:i w:val="0"/>
          <w:iCs/>
        </w:rPr>
      </w:pPr>
      <w:r>
        <w:rPr>
          <w:i w:val="0"/>
          <w:iCs/>
        </w:rPr>
        <w:t>(4)</w:t>
      </w:r>
      <w:r>
        <w:rPr>
          <w:b w:val="0"/>
          <w:i w:val="0"/>
          <w:iCs/>
        </w:rPr>
        <w:t xml:space="preserve"> În funcţie de tipul construcţiei și prevederile privind performanțele specifice, comanda manuală centralizată trebuie amplasată la serviciul pentru situaţii de urgenţă (atunci când trebuie prevăzut) sau la un acces principal al construcţiei.</w:t>
      </w:r>
    </w:p>
    <w:p w14:paraId="26D5C72F" w14:textId="77777777" w:rsidR="001C08A5" w:rsidRDefault="00000000">
      <w:pPr>
        <w:pStyle w:val="BodyText"/>
        <w:rPr>
          <w:i w:val="0"/>
          <w:iCs/>
        </w:rPr>
      </w:pPr>
      <w:r>
        <w:rPr>
          <w:i w:val="0"/>
          <w:iCs/>
        </w:rPr>
        <w:tab/>
        <w:t>(5)</w:t>
      </w:r>
      <w:r>
        <w:rPr>
          <w:b w:val="0"/>
          <w:i w:val="0"/>
          <w:iCs/>
        </w:rPr>
        <w:t xml:space="preserve"> Comanda automată a dispozitivelor de protecţie a golurilor trebuie asigurată de instalaţia de detectare, semnalizare și alarmare a incendiului sau de dispozitive locale, atunci când nu se prevede o astfel de instalaţie.</w:t>
      </w:r>
    </w:p>
    <w:p w14:paraId="724718D5" w14:textId="77777777" w:rsidR="001C08A5" w:rsidRDefault="001C08A5">
      <w:pPr>
        <w:rPr>
          <w:sz w:val="24"/>
          <w:szCs w:val="24"/>
        </w:rPr>
      </w:pPr>
    </w:p>
    <w:p w14:paraId="2C909D83" w14:textId="77777777" w:rsidR="001C08A5" w:rsidRDefault="00000000">
      <w:pPr>
        <w:jc w:val="both"/>
        <w:rPr>
          <w:sz w:val="24"/>
          <w:szCs w:val="24"/>
        </w:rPr>
      </w:pPr>
      <w:r>
        <w:rPr>
          <w:b/>
          <w:sz w:val="24"/>
          <w:szCs w:val="24"/>
        </w:rPr>
        <w:tab/>
        <w:t xml:space="preserve">Art. </w:t>
      </w:r>
      <w:r>
        <w:rPr>
          <w:b/>
          <w:bCs/>
          <w:sz w:val="24"/>
          <w:szCs w:val="24"/>
        </w:rPr>
        <w:t>8.1.</w:t>
      </w:r>
      <w:r>
        <w:rPr>
          <w:b/>
          <w:sz w:val="24"/>
          <w:szCs w:val="24"/>
        </w:rPr>
        <w:t xml:space="preserve">5. </w:t>
      </w:r>
      <w:r>
        <w:rPr>
          <w:sz w:val="24"/>
          <w:szCs w:val="24"/>
        </w:rPr>
        <w:t>Intrarea în funcţiune a oricărui sistem de evacuare a fumului şi gazelor fierbinţi în caz de incendiu, va întrerupe automat funcţionarea instalaţiilor normale de ventilare şi climatizare ale construcţiei.</w:t>
      </w:r>
    </w:p>
    <w:p w14:paraId="42F7876D" w14:textId="77777777" w:rsidR="001C08A5" w:rsidRDefault="001C08A5">
      <w:pPr>
        <w:rPr>
          <w:sz w:val="24"/>
          <w:szCs w:val="24"/>
        </w:rPr>
      </w:pPr>
    </w:p>
    <w:p w14:paraId="2D133C76" w14:textId="77777777" w:rsidR="001C08A5" w:rsidRDefault="00000000">
      <w:pPr>
        <w:ind w:firstLine="720"/>
        <w:jc w:val="both"/>
        <w:rPr>
          <w:sz w:val="24"/>
          <w:szCs w:val="24"/>
        </w:rPr>
      </w:pPr>
      <w:r>
        <w:rPr>
          <w:b/>
          <w:bCs/>
          <w:sz w:val="24"/>
          <w:szCs w:val="24"/>
        </w:rPr>
        <w:t xml:space="preserve">Art. 8.1.6 </w:t>
      </w:r>
      <w:r>
        <w:rPr>
          <w:sz w:val="24"/>
          <w:szCs w:val="24"/>
        </w:rPr>
        <w:t xml:space="preserve">Intrarea în funcţiune a oricărui sistem de evacuare a fumului şi gazelor fierbinţi în caz de incendiu, se va face după intrarea în functiune instalatiilor automate de stingere. </w:t>
      </w:r>
    </w:p>
    <w:p w14:paraId="560348DE" w14:textId="77777777" w:rsidR="001C08A5" w:rsidRDefault="001C08A5">
      <w:pPr>
        <w:widowControl w:val="0"/>
        <w:jc w:val="both"/>
        <w:rPr>
          <w:bCs/>
          <w:sz w:val="24"/>
          <w:szCs w:val="24"/>
        </w:rPr>
      </w:pPr>
    </w:p>
    <w:p w14:paraId="570F49DC" w14:textId="77777777" w:rsidR="001C08A5" w:rsidRDefault="00000000">
      <w:pPr>
        <w:widowControl w:val="0"/>
        <w:ind w:firstLine="720"/>
        <w:jc w:val="both"/>
        <w:rPr>
          <w:sz w:val="24"/>
          <w:szCs w:val="24"/>
        </w:rPr>
      </w:pPr>
      <w:r>
        <w:rPr>
          <w:b/>
          <w:sz w:val="24"/>
          <w:szCs w:val="24"/>
        </w:rPr>
        <w:t xml:space="preserve">Art. 8.1.7. </w:t>
      </w:r>
      <w:r>
        <w:rPr>
          <w:b/>
          <w:bCs/>
          <w:sz w:val="24"/>
          <w:szCs w:val="24"/>
        </w:rPr>
        <w:t>(1)</w:t>
      </w:r>
      <w:r>
        <w:rPr>
          <w:sz w:val="24"/>
          <w:szCs w:val="24"/>
        </w:rPr>
        <w:t xml:space="preserve"> Instalaţiile de evacuare a fumului în caz de incendiu sunt incompatibile cu instalaţiile de stingere cu gaze sau pulberi pentru care se prevăd sisteme de ventilare a spațiilor în care a fost refulat agentul de stingere.</w:t>
      </w:r>
    </w:p>
    <w:p w14:paraId="00915544" w14:textId="77777777" w:rsidR="001C08A5" w:rsidRDefault="00000000">
      <w:pPr>
        <w:widowControl w:val="0"/>
        <w:tabs>
          <w:tab w:val="left" w:pos="1134"/>
          <w:tab w:val="left" w:pos="2268"/>
          <w:tab w:val="left" w:pos="3402"/>
          <w:tab w:val="left" w:pos="4536"/>
          <w:tab w:val="left" w:pos="5670"/>
          <w:tab w:val="left" w:pos="6804"/>
          <w:tab w:val="left" w:pos="7938"/>
          <w:tab w:val="left" w:pos="9072"/>
        </w:tabs>
        <w:jc w:val="both"/>
        <w:rPr>
          <w:sz w:val="24"/>
          <w:szCs w:val="24"/>
        </w:rPr>
      </w:pPr>
      <w:r>
        <w:rPr>
          <w:b/>
          <w:bCs/>
          <w:sz w:val="24"/>
          <w:szCs w:val="24"/>
        </w:rPr>
        <w:tab/>
        <w:t>(2)</w:t>
      </w:r>
      <w:r>
        <w:rPr>
          <w:sz w:val="24"/>
          <w:szCs w:val="24"/>
        </w:rPr>
        <w:t xml:space="preserve"> În utilizare se vor respecta regulile de verificare şi întreţinere a sistemelor de evacuare a fumului şi gazelor fierbinţi în caz de incendiu.</w:t>
      </w:r>
    </w:p>
    <w:p w14:paraId="6280CB19" w14:textId="77777777" w:rsidR="001C08A5" w:rsidRDefault="001C08A5">
      <w:pPr>
        <w:widowControl w:val="0"/>
        <w:jc w:val="both"/>
        <w:rPr>
          <w:bCs/>
          <w:sz w:val="24"/>
          <w:szCs w:val="24"/>
        </w:rPr>
      </w:pPr>
    </w:p>
    <w:p w14:paraId="01FC5D2C" w14:textId="77777777" w:rsidR="001C08A5" w:rsidRDefault="00000000">
      <w:pPr>
        <w:widowControl w:val="0"/>
        <w:ind w:firstLine="720"/>
        <w:jc w:val="both"/>
        <w:rPr>
          <w:sz w:val="24"/>
          <w:szCs w:val="24"/>
        </w:rPr>
      </w:pPr>
      <w:r>
        <w:rPr>
          <w:b/>
          <w:sz w:val="24"/>
          <w:szCs w:val="24"/>
        </w:rPr>
        <w:t xml:space="preserve">Art. 8.1.8. (1) </w:t>
      </w:r>
      <w:r>
        <w:rPr>
          <w:sz w:val="24"/>
          <w:szCs w:val="24"/>
        </w:rPr>
        <w:t>Asigurarea evacuării fumului şi gazelor fierbinţi (natural-organizată, mecanică, mixtă, presurizare) în caz de incendiu se asigură la:</w:t>
      </w:r>
    </w:p>
    <w:p w14:paraId="498F0CD1" w14:textId="77777777" w:rsidR="001C08A5" w:rsidRDefault="00000000">
      <w:pPr>
        <w:widowControl w:val="0"/>
        <w:numPr>
          <w:ilvl w:val="0"/>
          <w:numId w:val="92"/>
        </w:numPr>
        <w:ind w:left="2880"/>
        <w:jc w:val="both"/>
        <w:rPr>
          <w:bCs/>
          <w:sz w:val="24"/>
          <w:szCs w:val="24"/>
        </w:rPr>
      </w:pPr>
      <w:r>
        <w:rPr>
          <w:bCs/>
          <w:sz w:val="24"/>
          <w:szCs w:val="24"/>
        </w:rPr>
        <w:t>săli aglomerate;</w:t>
      </w:r>
    </w:p>
    <w:p w14:paraId="0FEB91BC" w14:textId="77777777" w:rsidR="001C08A5" w:rsidRDefault="00000000">
      <w:pPr>
        <w:widowControl w:val="0"/>
        <w:numPr>
          <w:ilvl w:val="0"/>
          <w:numId w:val="92"/>
        </w:numPr>
        <w:ind w:left="2880"/>
        <w:jc w:val="both"/>
        <w:rPr>
          <w:sz w:val="24"/>
          <w:szCs w:val="24"/>
        </w:rPr>
      </w:pPr>
      <w:r>
        <w:rPr>
          <w:bCs/>
          <w:sz w:val="24"/>
          <w:szCs w:val="24"/>
        </w:rPr>
        <w:t xml:space="preserve">scene cu suprafaţa mai mare de </w:t>
      </w:r>
      <w:r>
        <w:rPr>
          <w:b/>
          <w:sz w:val="24"/>
          <w:szCs w:val="24"/>
        </w:rPr>
        <w:t>150 m</w:t>
      </w:r>
      <w:r>
        <w:rPr>
          <w:b/>
          <w:sz w:val="24"/>
          <w:szCs w:val="24"/>
          <w:vertAlign w:val="superscript"/>
        </w:rPr>
        <w:t xml:space="preserve">2 și </w:t>
      </w:r>
      <w:r>
        <w:rPr>
          <w:bCs/>
          <w:sz w:val="24"/>
          <w:szCs w:val="24"/>
        </w:rPr>
        <w:t xml:space="preserve">buzunarele acestora cu înălţimi mai mari de </w:t>
      </w:r>
      <w:r>
        <w:rPr>
          <w:b/>
          <w:sz w:val="24"/>
          <w:szCs w:val="24"/>
        </w:rPr>
        <w:t>10 m</w:t>
      </w:r>
      <w:r>
        <w:rPr>
          <w:bCs/>
          <w:sz w:val="24"/>
          <w:szCs w:val="24"/>
        </w:rPr>
        <w:t>;</w:t>
      </w:r>
    </w:p>
    <w:p w14:paraId="5B42A1AD" w14:textId="77777777" w:rsidR="001C08A5" w:rsidRDefault="00000000">
      <w:pPr>
        <w:widowControl w:val="0"/>
        <w:numPr>
          <w:ilvl w:val="0"/>
          <w:numId w:val="92"/>
        </w:numPr>
        <w:ind w:left="2880"/>
        <w:jc w:val="both"/>
        <w:rPr>
          <w:sz w:val="24"/>
          <w:szCs w:val="24"/>
        </w:rPr>
      </w:pPr>
      <w:r>
        <w:rPr>
          <w:sz w:val="24"/>
          <w:szCs w:val="24"/>
        </w:rPr>
        <w:t>case de scări închise și încăperi tampon (prin suprapresiune) de acces la scări din clădirile supraterane civile înalte, foarte înalte și clădirile de sanatate (indiferent de regimul de înălțime), precum și puţurile ascensoarelor de evacuare a persoanelor cu dizabilitati sau cu caruciorul și ascensoarelor pentru evacuarea bolnavilor cu caruciorul, cu targa sau cu patul cu rotile;</w:t>
      </w:r>
    </w:p>
    <w:p w14:paraId="26415586" w14:textId="77777777" w:rsidR="001C08A5" w:rsidRDefault="00000000">
      <w:pPr>
        <w:widowControl w:val="0"/>
        <w:numPr>
          <w:ilvl w:val="0"/>
          <w:numId w:val="92"/>
        </w:numPr>
        <w:ind w:left="2880"/>
        <w:jc w:val="both"/>
        <w:rPr>
          <w:sz w:val="24"/>
          <w:szCs w:val="24"/>
        </w:rPr>
      </w:pPr>
      <w:r>
        <w:rPr>
          <w:sz w:val="24"/>
          <w:szCs w:val="24"/>
        </w:rPr>
        <w:t xml:space="preserve"> case de scări închise şi circulaţii comune orizontale care nu au ferestre directe spre exterior prin care să se evacueze fumul în caz de incendiu, din clădiri/ compartimente de incendiu cu săli aglomerate;</w:t>
      </w:r>
    </w:p>
    <w:p w14:paraId="337AA9D5" w14:textId="77777777" w:rsidR="001C08A5" w:rsidRDefault="00000000">
      <w:pPr>
        <w:widowControl w:val="0"/>
        <w:numPr>
          <w:ilvl w:val="0"/>
          <w:numId w:val="92"/>
        </w:numPr>
        <w:ind w:left="2880"/>
        <w:jc w:val="both"/>
        <w:rPr>
          <w:sz w:val="24"/>
          <w:szCs w:val="24"/>
        </w:rPr>
      </w:pPr>
      <w:r>
        <w:rPr>
          <w:sz w:val="24"/>
          <w:szCs w:val="24"/>
        </w:rPr>
        <w:t>case de scări închise supraterane, care nu au ferestre direct spre exterior și asigură evacuarea utilizatorilor a mai mult de un nivel al clădiriiși case de scări închise subterane care nu au ferestre deschizibile direct spre exterior;</w:t>
      </w:r>
    </w:p>
    <w:p w14:paraId="03D2140B" w14:textId="77777777" w:rsidR="001C08A5" w:rsidRDefault="00000000">
      <w:pPr>
        <w:widowControl w:val="0"/>
        <w:numPr>
          <w:ilvl w:val="0"/>
          <w:numId w:val="92"/>
        </w:numPr>
        <w:ind w:left="2880"/>
        <w:jc w:val="both"/>
        <w:rPr>
          <w:sz w:val="24"/>
          <w:szCs w:val="24"/>
        </w:rPr>
      </w:pPr>
      <w:r>
        <w:rPr>
          <w:sz w:val="24"/>
          <w:szCs w:val="24"/>
        </w:rPr>
        <w:t>case de scări închise dispuse în clădiri subterane, care nu au ferestre directe spre exterior;</w:t>
      </w:r>
    </w:p>
    <w:p w14:paraId="2D579E4C" w14:textId="77777777" w:rsidR="001C08A5" w:rsidRDefault="00000000">
      <w:pPr>
        <w:widowControl w:val="0"/>
        <w:numPr>
          <w:ilvl w:val="0"/>
          <w:numId w:val="92"/>
        </w:numPr>
        <w:ind w:left="2880"/>
        <w:jc w:val="both"/>
        <w:rPr>
          <w:sz w:val="24"/>
          <w:szCs w:val="24"/>
        </w:rPr>
      </w:pPr>
      <w:r>
        <w:rPr>
          <w:sz w:val="24"/>
          <w:szCs w:val="24"/>
        </w:rPr>
        <w:t>atriumuri închise, conform prevederi normate;</w:t>
      </w:r>
    </w:p>
    <w:p w14:paraId="15609B36" w14:textId="77777777" w:rsidR="001C08A5" w:rsidRDefault="00000000">
      <w:pPr>
        <w:widowControl w:val="0"/>
        <w:numPr>
          <w:ilvl w:val="0"/>
          <w:numId w:val="92"/>
        </w:numPr>
        <w:ind w:left="2880"/>
        <w:jc w:val="both"/>
        <w:rPr>
          <w:sz w:val="24"/>
          <w:szCs w:val="24"/>
        </w:rPr>
      </w:pPr>
      <w:r>
        <w:rPr>
          <w:sz w:val="24"/>
          <w:szCs w:val="24"/>
        </w:rPr>
        <w:t>degajamente protejate sau tuneluri pentru evacuarea utilizatorilor din construcţii cu orice destinaţie (prin suprapresiune) sau din încăperi tampon ;</w:t>
      </w:r>
    </w:p>
    <w:p w14:paraId="362F12AD" w14:textId="77777777" w:rsidR="001C08A5" w:rsidRDefault="00000000">
      <w:pPr>
        <w:widowControl w:val="0"/>
        <w:numPr>
          <w:ilvl w:val="0"/>
          <w:numId w:val="92"/>
        </w:numPr>
        <w:ind w:left="2880"/>
        <w:jc w:val="both"/>
        <w:rPr>
          <w:sz w:val="24"/>
          <w:szCs w:val="24"/>
        </w:rPr>
      </w:pPr>
      <w:r>
        <w:rPr>
          <w:sz w:val="24"/>
          <w:szCs w:val="24"/>
        </w:rPr>
        <w:t xml:space="preserve">încăperi, compartimente și clădiri de producţie şi/sau depozitare cu aria mai mare de </w:t>
      </w:r>
      <w:r>
        <w:rPr>
          <w:b/>
          <w:sz w:val="24"/>
          <w:szCs w:val="24"/>
        </w:rPr>
        <w:t>36</w:t>
      </w:r>
      <w:r>
        <w:rPr>
          <w:sz w:val="24"/>
          <w:szCs w:val="24"/>
        </w:rPr>
        <w:t xml:space="preserve"> m² si cu densitatea sarcinii termice mai mare de </w:t>
      </w:r>
      <w:r>
        <w:rPr>
          <w:b/>
          <w:bCs/>
          <w:sz w:val="24"/>
          <w:szCs w:val="24"/>
        </w:rPr>
        <w:t>105 Mj/mp</w:t>
      </w:r>
      <w:r>
        <w:rPr>
          <w:sz w:val="24"/>
          <w:szCs w:val="24"/>
        </w:rPr>
        <w:t>;</w:t>
      </w:r>
    </w:p>
    <w:p w14:paraId="46EC4932" w14:textId="77777777" w:rsidR="001C08A5" w:rsidRDefault="00000000">
      <w:pPr>
        <w:widowControl w:val="0"/>
        <w:numPr>
          <w:ilvl w:val="0"/>
          <w:numId w:val="92"/>
        </w:numPr>
        <w:ind w:left="2880"/>
        <w:jc w:val="both"/>
        <w:rPr>
          <w:sz w:val="24"/>
          <w:szCs w:val="24"/>
        </w:rPr>
      </w:pPr>
      <w:r>
        <w:rPr>
          <w:sz w:val="24"/>
          <w:szCs w:val="24"/>
        </w:rPr>
        <w:t>încăperi de depozitare a materialelor şi/sau a substanţelor combustibile, din clădiri civile, cu densitatea sarcinii termice (</w:t>
      </w:r>
      <w:r>
        <w:rPr>
          <w:b/>
          <w:sz w:val="24"/>
          <w:szCs w:val="24"/>
        </w:rPr>
        <w:t>q</w:t>
      </w:r>
      <w:r>
        <w:rPr>
          <w:sz w:val="24"/>
          <w:szCs w:val="24"/>
        </w:rPr>
        <w:t xml:space="preserve">) peste </w:t>
      </w:r>
      <w:r>
        <w:rPr>
          <w:b/>
          <w:sz w:val="24"/>
          <w:szCs w:val="24"/>
        </w:rPr>
        <w:t xml:space="preserve">105 </w:t>
      </w:r>
      <w:r>
        <w:rPr>
          <w:b/>
          <w:bCs/>
          <w:sz w:val="24"/>
          <w:szCs w:val="24"/>
        </w:rPr>
        <w:t>MJ/m²</w:t>
      </w:r>
      <w:r>
        <w:rPr>
          <w:sz w:val="24"/>
          <w:szCs w:val="24"/>
        </w:rPr>
        <w:t xml:space="preserve"> și aria mai mare de </w:t>
      </w:r>
      <w:r>
        <w:rPr>
          <w:b/>
          <w:sz w:val="24"/>
          <w:szCs w:val="24"/>
        </w:rPr>
        <w:t>36</w:t>
      </w:r>
      <w:r>
        <w:rPr>
          <w:sz w:val="24"/>
          <w:szCs w:val="24"/>
        </w:rPr>
        <w:t xml:space="preserve"> m²;</w:t>
      </w:r>
    </w:p>
    <w:p w14:paraId="71C0CE8A" w14:textId="77777777" w:rsidR="001C08A5" w:rsidRDefault="00000000">
      <w:pPr>
        <w:widowControl w:val="0"/>
        <w:numPr>
          <w:ilvl w:val="0"/>
          <w:numId w:val="92"/>
        </w:numPr>
        <w:ind w:left="2880"/>
        <w:jc w:val="both"/>
        <w:rPr>
          <w:sz w:val="24"/>
          <w:szCs w:val="24"/>
        </w:rPr>
      </w:pPr>
      <w:r>
        <w:rPr>
          <w:sz w:val="24"/>
          <w:szCs w:val="24"/>
        </w:rPr>
        <w:t>parcaje pentru autovehicule subterane, potrivit reglementării tehnice specifice, iar la cele supraterane, conform dispozițiilor normativului;</w:t>
      </w:r>
    </w:p>
    <w:p w14:paraId="0CC07A00" w14:textId="77777777" w:rsidR="001C08A5" w:rsidRDefault="00000000">
      <w:pPr>
        <w:widowControl w:val="0"/>
        <w:numPr>
          <w:ilvl w:val="0"/>
          <w:numId w:val="92"/>
        </w:numPr>
        <w:ind w:left="2880"/>
        <w:jc w:val="both"/>
        <w:rPr>
          <w:sz w:val="24"/>
          <w:szCs w:val="24"/>
        </w:rPr>
      </w:pPr>
      <w:r>
        <w:rPr>
          <w:sz w:val="24"/>
          <w:szCs w:val="24"/>
        </w:rPr>
        <w:t xml:space="preserve">parcaje deschise conform </w:t>
      </w:r>
      <w:r>
        <w:rPr>
          <w:b/>
          <w:bCs/>
          <w:sz w:val="24"/>
          <w:szCs w:val="24"/>
        </w:rPr>
        <w:t>Art.</w:t>
      </w:r>
      <w:r>
        <w:rPr>
          <w:sz w:val="24"/>
          <w:szCs w:val="24"/>
        </w:rPr>
        <w:t xml:space="preserve"> </w:t>
      </w:r>
      <w:r>
        <w:rPr>
          <w:b/>
          <w:bCs/>
          <w:sz w:val="24"/>
          <w:szCs w:val="24"/>
        </w:rPr>
        <w:t>3.2.11.21 alin. (3)</w:t>
      </w:r>
      <w:r>
        <w:rPr>
          <w:sz w:val="24"/>
          <w:szCs w:val="24"/>
        </w:rPr>
        <w:t>;</w:t>
      </w:r>
    </w:p>
    <w:p w14:paraId="4F14FAD6" w14:textId="77777777" w:rsidR="001C08A5" w:rsidRDefault="00000000">
      <w:pPr>
        <w:widowControl w:val="0"/>
        <w:numPr>
          <w:ilvl w:val="0"/>
          <w:numId w:val="92"/>
        </w:numPr>
        <w:ind w:left="2880"/>
        <w:jc w:val="both"/>
        <w:rPr>
          <w:sz w:val="24"/>
          <w:szCs w:val="24"/>
        </w:rPr>
      </w:pPr>
      <w:r>
        <w:rPr>
          <w:sz w:val="24"/>
          <w:szCs w:val="24"/>
        </w:rPr>
        <w:t xml:space="preserve">încăperi cu risc foarte mare de incendiu situate în subteran, indiferent de aria lor;  </w:t>
      </w:r>
    </w:p>
    <w:p w14:paraId="72E7BD5B" w14:textId="77777777" w:rsidR="001C08A5" w:rsidRDefault="00000000">
      <w:pPr>
        <w:widowControl w:val="0"/>
        <w:numPr>
          <w:ilvl w:val="0"/>
          <w:numId w:val="92"/>
        </w:numPr>
        <w:ind w:left="2880"/>
        <w:jc w:val="both"/>
        <w:rPr>
          <w:sz w:val="24"/>
          <w:szCs w:val="24"/>
        </w:rPr>
      </w:pPr>
      <w:r>
        <w:rPr>
          <w:sz w:val="24"/>
          <w:szCs w:val="24"/>
        </w:rPr>
        <w:t xml:space="preserve">încăperi cu aria utilă mai mare de </w:t>
      </w:r>
      <w:r>
        <w:rPr>
          <w:b/>
          <w:bCs/>
          <w:sz w:val="24"/>
          <w:szCs w:val="24"/>
        </w:rPr>
        <w:t>36 m²</w:t>
      </w:r>
      <w:r>
        <w:rPr>
          <w:sz w:val="24"/>
          <w:szCs w:val="24"/>
        </w:rPr>
        <w:t xml:space="preserve"> şi densitatea de sarcina termica mai mare de </w:t>
      </w:r>
      <w:r>
        <w:rPr>
          <w:b/>
          <w:bCs/>
          <w:sz w:val="24"/>
          <w:szCs w:val="24"/>
        </w:rPr>
        <w:t>105 MJ/</w:t>
      </w:r>
      <w:r>
        <w:rPr>
          <w:b/>
          <w:sz w:val="24"/>
          <w:szCs w:val="24"/>
        </w:rPr>
        <w:t>m²</w:t>
      </w:r>
      <w:r>
        <w:rPr>
          <w:sz w:val="24"/>
          <w:szCs w:val="24"/>
        </w:rPr>
        <w:t xml:space="preserve"> situate în subteran</w:t>
      </w:r>
    </w:p>
    <w:p w14:paraId="3F582F30" w14:textId="77777777" w:rsidR="001C08A5" w:rsidRDefault="00000000">
      <w:pPr>
        <w:widowControl w:val="0"/>
        <w:numPr>
          <w:ilvl w:val="0"/>
          <w:numId w:val="92"/>
        </w:numPr>
        <w:ind w:left="2880"/>
        <w:jc w:val="both"/>
        <w:rPr>
          <w:b/>
          <w:bCs/>
          <w:sz w:val="24"/>
          <w:szCs w:val="24"/>
        </w:rPr>
      </w:pPr>
      <w:r>
        <w:rPr>
          <w:sz w:val="24"/>
          <w:szCs w:val="24"/>
        </w:rPr>
        <w:t xml:space="preserve">încăperi din clădirile civile subterane în care se pot afla simultan mai mult de </w:t>
      </w:r>
      <w:r>
        <w:rPr>
          <w:b/>
          <w:bCs/>
          <w:sz w:val="24"/>
          <w:szCs w:val="24"/>
        </w:rPr>
        <w:t>50</w:t>
      </w:r>
      <w:r>
        <w:rPr>
          <w:sz w:val="24"/>
          <w:szCs w:val="24"/>
        </w:rPr>
        <w:t xml:space="preserve"> de utilizatori și căile lor de evacuare prin care se pot evacua simultan mai mult de </w:t>
      </w:r>
      <w:r>
        <w:rPr>
          <w:b/>
          <w:bCs/>
          <w:sz w:val="24"/>
          <w:szCs w:val="24"/>
        </w:rPr>
        <w:t>50</w:t>
      </w:r>
      <w:r>
        <w:rPr>
          <w:sz w:val="24"/>
          <w:szCs w:val="24"/>
        </w:rPr>
        <w:t xml:space="preserve"> de utilizatori;</w:t>
      </w:r>
    </w:p>
    <w:p w14:paraId="35172A44" w14:textId="77777777" w:rsidR="001C08A5" w:rsidRDefault="00000000">
      <w:pPr>
        <w:widowControl w:val="0"/>
        <w:numPr>
          <w:ilvl w:val="0"/>
          <w:numId w:val="92"/>
        </w:numPr>
        <w:ind w:left="2880"/>
        <w:jc w:val="both"/>
        <w:rPr>
          <w:b/>
          <w:sz w:val="24"/>
          <w:szCs w:val="24"/>
        </w:rPr>
      </w:pPr>
      <w:r>
        <w:rPr>
          <w:sz w:val="24"/>
          <w:szCs w:val="24"/>
        </w:rPr>
        <w:t xml:space="preserve">circulaţii comune orizontale cu lungimea mai mare de </w:t>
      </w:r>
      <w:r>
        <w:rPr>
          <w:b/>
          <w:bCs/>
          <w:sz w:val="24"/>
          <w:szCs w:val="24"/>
        </w:rPr>
        <w:t>30 m</w:t>
      </w:r>
      <w:r>
        <w:rPr>
          <w:sz w:val="24"/>
          <w:szCs w:val="24"/>
        </w:rPr>
        <w:t xml:space="preserve"> care nu au ferestre direct spre exterior prin care să se evacueze fumul în caz de incendiu (amplasate astfel încât să asigure evacuarea fumului şi gazelor </w:t>
      </w:r>
      <w:r>
        <w:rPr>
          <w:sz w:val="24"/>
          <w:szCs w:val="24"/>
        </w:rPr>
        <w:lastRenderedPageBreak/>
        <w:t xml:space="preserve">fierbinţi în caz de incendiu pe maximum </w:t>
      </w:r>
      <w:r>
        <w:rPr>
          <w:b/>
          <w:bCs/>
          <w:sz w:val="24"/>
          <w:szCs w:val="24"/>
        </w:rPr>
        <w:t>30</w:t>
      </w:r>
      <w:r>
        <w:rPr>
          <w:sz w:val="24"/>
          <w:szCs w:val="24"/>
        </w:rPr>
        <w:t xml:space="preserve"> m adâncime a circulaţiilor comune orizontale), atunci când încăperile adiacente nu sunt prevăzute cu ferestre sau evacuări de fum prin sistem natural-organizat sau mecanic. Atunci când încăperile adiacente sunt prevăzute cu ferestre sau evacuări de fum, circulaţiile comune orizontale nu mai necesită sisteme de evacuare a fumului şi gazelor fierbinţi în caz de incendiu; </w:t>
      </w:r>
    </w:p>
    <w:p w14:paraId="54BD46C6" w14:textId="77777777" w:rsidR="001C08A5" w:rsidRDefault="00000000">
      <w:pPr>
        <w:widowControl w:val="0"/>
        <w:numPr>
          <w:ilvl w:val="0"/>
          <w:numId w:val="92"/>
        </w:numPr>
        <w:ind w:left="2880"/>
        <w:jc w:val="both"/>
        <w:rPr>
          <w:b/>
          <w:sz w:val="24"/>
          <w:szCs w:val="24"/>
        </w:rPr>
      </w:pPr>
      <w:r>
        <w:rPr>
          <w:sz w:val="24"/>
          <w:szCs w:val="24"/>
        </w:rPr>
        <w:t xml:space="preserve">circulații comune orizontale din clădiri înalte conform </w:t>
      </w:r>
      <w:r>
        <w:rPr>
          <w:b/>
          <w:sz w:val="24"/>
          <w:szCs w:val="24"/>
        </w:rPr>
        <w:t>Art. 4.1.5.12.</w:t>
      </w:r>
      <w:r>
        <w:rPr>
          <w:sz w:val="24"/>
          <w:szCs w:val="24"/>
        </w:rPr>
        <w:t xml:space="preserve"> și din clădiri foarte înalte conform </w:t>
      </w:r>
      <w:r>
        <w:rPr>
          <w:b/>
          <w:sz w:val="24"/>
          <w:szCs w:val="24"/>
        </w:rPr>
        <w:t>Art. 4.2.5.12.</w:t>
      </w:r>
    </w:p>
    <w:p w14:paraId="7C50EC1F" w14:textId="77777777" w:rsidR="001C08A5" w:rsidRDefault="00000000">
      <w:pPr>
        <w:widowControl w:val="0"/>
        <w:numPr>
          <w:ilvl w:val="0"/>
          <w:numId w:val="92"/>
        </w:numPr>
        <w:ind w:left="2880"/>
        <w:jc w:val="both"/>
        <w:rPr>
          <w:b/>
          <w:sz w:val="24"/>
          <w:szCs w:val="24"/>
        </w:rPr>
      </w:pPr>
      <w:r>
        <w:rPr>
          <w:sz w:val="24"/>
          <w:szCs w:val="24"/>
        </w:rPr>
        <w:t xml:space="preserve">construcţii supraterane închise de producţie şi/sau de depozitare, cu aria construită (Ac) de cel puţin </w:t>
      </w:r>
      <w:r>
        <w:rPr>
          <w:b/>
          <w:bCs/>
          <w:sz w:val="24"/>
          <w:szCs w:val="24"/>
        </w:rPr>
        <w:t>20.000 m</w:t>
      </w:r>
      <w:r>
        <w:rPr>
          <w:b/>
          <w:bCs/>
          <w:sz w:val="24"/>
          <w:szCs w:val="24"/>
          <w:vertAlign w:val="superscript"/>
        </w:rPr>
        <w:t>2</w:t>
      </w:r>
      <w:r>
        <w:rPr>
          <w:sz w:val="24"/>
          <w:szCs w:val="24"/>
        </w:rPr>
        <w:t xml:space="preserve"> şi lăţimea mai mare de </w:t>
      </w:r>
      <w:r>
        <w:rPr>
          <w:b/>
          <w:bCs/>
          <w:sz w:val="24"/>
          <w:szCs w:val="24"/>
        </w:rPr>
        <w:t>72 m</w:t>
      </w:r>
      <w:r>
        <w:rPr>
          <w:sz w:val="24"/>
          <w:szCs w:val="24"/>
        </w:rPr>
        <w:t xml:space="preserve"> (încăperile, compartimentele de incendiu și construcțiile cu aria mai mare de </w:t>
      </w:r>
      <w:r>
        <w:rPr>
          <w:b/>
          <w:bCs/>
          <w:sz w:val="24"/>
          <w:szCs w:val="24"/>
        </w:rPr>
        <w:t>36 m²</w:t>
      </w:r>
      <w:r>
        <w:rPr>
          <w:sz w:val="24"/>
          <w:szCs w:val="24"/>
        </w:rPr>
        <w:t xml:space="preserve"> și densitatea de sarcină termică mai mare de </w:t>
      </w:r>
      <w:r>
        <w:rPr>
          <w:b/>
          <w:bCs/>
          <w:sz w:val="24"/>
          <w:szCs w:val="24"/>
        </w:rPr>
        <w:t>105 MJ/mp</w:t>
      </w:r>
      <w:r>
        <w:rPr>
          <w:sz w:val="24"/>
          <w:szCs w:val="24"/>
        </w:rPr>
        <w:t>)</w:t>
      </w:r>
    </w:p>
    <w:p w14:paraId="477F6B6E" w14:textId="77777777" w:rsidR="001C08A5" w:rsidRDefault="00000000">
      <w:pPr>
        <w:widowControl w:val="0"/>
        <w:numPr>
          <w:ilvl w:val="0"/>
          <w:numId w:val="92"/>
        </w:numPr>
        <w:ind w:left="2880"/>
        <w:jc w:val="both"/>
        <w:rPr>
          <w:b/>
          <w:sz w:val="24"/>
          <w:szCs w:val="24"/>
        </w:rPr>
      </w:pPr>
      <w:r>
        <w:rPr>
          <w:sz w:val="24"/>
          <w:szCs w:val="24"/>
        </w:rPr>
        <w:t xml:space="preserve">construcţii de producţie şi/sau depozitare supraterane închise cu aria construită (Ac) mai mare de </w:t>
      </w:r>
      <w:r>
        <w:rPr>
          <w:b/>
          <w:bCs/>
          <w:sz w:val="24"/>
          <w:szCs w:val="24"/>
        </w:rPr>
        <w:t>1.000 m</w:t>
      </w:r>
      <w:r>
        <w:rPr>
          <w:b/>
          <w:bCs/>
          <w:sz w:val="24"/>
          <w:szCs w:val="24"/>
          <w:vertAlign w:val="superscript"/>
        </w:rPr>
        <w:t>2</w:t>
      </w:r>
      <w:r>
        <w:rPr>
          <w:sz w:val="24"/>
          <w:szCs w:val="24"/>
        </w:rPr>
        <w:t xml:space="preserve"> și în care activitatea se desfăşoară numai la lumină artificială,cu acoperiş și pereţi de închidere perimetrală plini, în care se prevăd numai goluri psihologice şi uşi de acces (încăperile, compartimentele de incendiu și construcțiile cu aria mai mare de </w:t>
      </w:r>
      <w:r>
        <w:rPr>
          <w:b/>
          <w:bCs/>
          <w:sz w:val="24"/>
          <w:szCs w:val="24"/>
        </w:rPr>
        <w:t>36 m²</w:t>
      </w:r>
      <w:r>
        <w:rPr>
          <w:sz w:val="24"/>
          <w:szCs w:val="24"/>
        </w:rPr>
        <w:t xml:space="preserve"> și densitatea de sarcină termică mai mare de </w:t>
      </w:r>
      <w:r>
        <w:rPr>
          <w:b/>
          <w:bCs/>
          <w:sz w:val="24"/>
          <w:szCs w:val="24"/>
        </w:rPr>
        <w:t>105 MJ/mp</w:t>
      </w:r>
      <w:r>
        <w:rPr>
          <w:sz w:val="24"/>
          <w:szCs w:val="24"/>
        </w:rPr>
        <w:t xml:space="preserve">) </w:t>
      </w:r>
    </w:p>
    <w:p w14:paraId="7E4932B3" w14:textId="77777777" w:rsidR="001C08A5" w:rsidRDefault="00000000">
      <w:pPr>
        <w:widowControl w:val="0"/>
        <w:numPr>
          <w:ilvl w:val="0"/>
          <w:numId w:val="92"/>
        </w:numPr>
        <w:ind w:left="2880"/>
        <w:jc w:val="both"/>
        <w:rPr>
          <w:b/>
          <w:sz w:val="24"/>
          <w:szCs w:val="24"/>
        </w:rPr>
      </w:pPr>
      <w:r>
        <w:rPr>
          <w:sz w:val="24"/>
          <w:szCs w:val="24"/>
        </w:rPr>
        <w:t>alte construcţii, încăperi și spații menționate în normativ.</w:t>
      </w:r>
    </w:p>
    <w:p w14:paraId="592AF1C4" w14:textId="77777777" w:rsidR="001C08A5" w:rsidRDefault="00000000">
      <w:pPr>
        <w:widowControl w:val="0"/>
        <w:jc w:val="both"/>
        <w:rPr>
          <w:b/>
          <w:sz w:val="24"/>
          <w:szCs w:val="24"/>
        </w:rPr>
      </w:pPr>
      <w:r>
        <w:rPr>
          <w:i/>
          <w:iCs/>
          <w:sz w:val="22"/>
          <w:szCs w:val="22"/>
        </w:rPr>
        <w:t xml:space="preserve">Notă: Prevederea sistemelor de evacuare a fumului și a gazelor fierbinți la circulații comune orizontale atunci când este necesară se va realiza în conformitate cu </w:t>
      </w:r>
      <w:r>
        <w:rPr>
          <w:b/>
          <w:bCs/>
          <w:i/>
          <w:iCs/>
          <w:sz w:val="22"/>
          <w:szCs w:val="22"/>
        </w:rPr>
        <w:fldChar w:fldCharType="begin"/>
      </w:r>
      <w:r>
        <w:rPr>
          <w:b/>
          <w:bCs/>
          <w:i/>
          <w:iCs/>
          <w:sz w:val="22"/>
          <w:szCs w:val="22"/>
        </w:rPr>
        <w:instrText xml:space="preserve"> REF _Ref28348 \h </w:instrText>
      </w:r>
      <w:r>
        <w:rPr>
          <w:b/>
          <w:bCs/>
          <w:i/>
          <w:iCs/>
          <w:sz w:val="22"/>
          <w:szCs w:val="22"/>
        </w:rPr>
      </w:r>
      <w:r>
        <w:rPr>
          <w:b/>
          <w:bCs/>
          <w:i/>
          <w:iCs/>
          <w:sz w:val="22"/>
          <w:szCs w:val="22"/>
        </w:rPr>
        <w:fldChar w:fldCharType="separate"/>
      </w:r>
      <w:r>
        <w:t>Figura 77</w:t>
      </w:r>
      <w:r>
        <w:rPr>
          <w:b/>
          <w:bCs/>
          <w:i/>
          <w:iCs/>
          <w:sz w:val="22"/>
          <w:szCs w:val="22"/>
        </w:rPr>
        <w:fldChar w:fldCharType="end"/>
      </w:r>
      <w:r>
        <w:rPr>
          <w:i/>
          <w:iCs/>
          <w:sz w:val="22"/>
          <w:szCs w:val="22"/>
        </w:rPr>
        <w:t xml:space="preserve">. </w:t>
      </w:r>
      <w:r>
        <w:rPr>
          <w:sz w:val="24"/>
          <w:szCs w:val="24"/>
        </w:rPr>
        <w:t xml:space="preserve"> </w:t>
      </w:r>
    </w:p>
    <w:p w14:paraId="5F89C60A" w14:textId="77777777" w:rsidR="001C08A5" w:rsidRDefault="00000000">
      <w:pPr>
        <w:widowControl w:val="0"/>
        <w:jc w:val="center"/>
        <w:rPr>
          <w:b/>
          <w:sz w:val="24"/>
          <w:szCs w:val="24"/>
        </w:rPr>
      </w:pPr>
      <w:r>
        <w:rPr>
          <w:noProof/>
          <w:lang w:eastAsia="ro-RO"/>
        </w:rPr>
        <w:drawing>
          <wp:inline distT="0" distB="0" distL="114300" distR="114300" wp14:anchorId="660330D4" wp14:editId="237513F4">
            <wp:extent cx="5073650" cy="1570355"/>
            <wp:effectExtent l="0" t="0" r="12700" b="10795"/>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6"/>
                    <pic:cNvPicPr>
                      <a:picLocks noChangeAspect="1"/>
                    </pic:cNvPicPr>
                  </pic:nvPicPr>
                  <pic:blipFill>
                    <a:blip r:embed="rId209"/>
                    <a:srcRect l="17458" t="27322" r="21499" b="42509"/>
                    <a:stretch>
                      <a:fillRect/>
                    </a:stretch>
                  </pic:blipFill>
                  <pic:spPr>
                    <a:xfrm>
                      <a:off x="0" y="0"/>
                      <a:ext cx="5073650" cy="1570355"/>
                    </a:xfrm>
                    <a:prstGeom prst="rect">
                      <a:avLst/>
                    </a:prstGeom>
                    <a:noFill/>
                    <a:ln>
                      <a:noFill/>
                    </a:ln>
                  </pic:spPr>
                </pic:pic>
              </a:graphicData>
            </a:graphic>
          </wp:inline>
        </w:drawing>
      </w:r>
    </w:p>
    <w:p w14:paraId="437F65AB" w14:textId="77777777" w:rsidR="001C08A5" w:rsidRDefault="00000000">
      <w:pPr>
        <w:pStyle w:val="ListParagraph"/>
        <w:widowControl w:val="0"/>
        <w:jc w:val="center"/>
        <w:rPr>
          <w:b/>
          <w:bCs/>
          <w:i/>
          <w:iCs/>
        </w:rPr>
      </w:pPr>
      <w:r>
        <w:rPr>
          <w:b/>
          <w:bCs/>
          <w:i/>
          <w:iCs/>
        </w:rPr>
        <w:t>Varianta a) atunci cînd încăperile adiacente sunt prevăzute cu evacuări de fum (natural organizat prin ferestre sau mecanic) circulaţiile comune orizontale nu mai necesită prevederea de sisteme de evacuare a fumului</w:t>
      </w:r>
    </w:p>
    <w:p w14:paraId="096C2A84" w14:textId="77777777" w:rsidR="001C08A5" w:rsidRDefault="001C08A5">
      <w:pPr>
        <w:pStyle w:val="ListParagraph"/>
        <w:widowControl w:val="0"/>
        <w:ind w:left="0"/>
        <w:jc w:val="both"/>
      </w:pPr>
    </w:p>
    <w:p w14:paraId="15A7B1D1" w14:textId="77777777" w:rsidR="001C08A5" w:rsidRDefault="00000000">
      <w:pPr>
        <w:widowControl w:val="0"/>
        <w:jc w:val="center"/>
      </w:pPr>
      <w:r>
        <w:rPr>
          <w:b/>
          <w:bCs/>
          <w:i/>
          <w:iCs/>
          <w:noProof/>
          <w:sz w:val="22"/>
          <w:szCs w:val="22"/>
          <w:lang w:eastAsia="ro-RO"/>
        </w:rPr>
        <w:drawing>
          <wp:inline distT="0" distB="0" distL="114300" distR="114300" wp14:anchorId="5D8B306F" wp14:editId="3FCE0663">
            <wp:extent cx="3322955" cy="2444750"/>
            <wp:effectExtent l="0" t="0" r="10795" b="1270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7"/>
                    <pic:cNvPicPr>
                      <a:picLocks noChangeAspect="1"/>
                    </pic:cNvPicPr>
                  </pic:nvPicPr>
                  <pic:blipFill>
                    <a:blip r:embed="rId210"/>
                    <a:srcRect l="28867" t="12193" r="27170" b="31586"/>
                    <a:stretch>
                      <a:fillRect/>
                    </a:stretch>
                  </pic:blipFill>
                  <pic:spPr>
                    <a:xfrm>
                      <a:off x="0" y="0"/>
                      <a:ext cx="3322955" cy="2444750"/>
                    </a:xfrm>
                    <a:prstGeom prst="rect">
                      <a:avLst/>
                    </a:prstGeom>
                    <a:noFill/>
                    <a:ln>
                      <a:noFill/>
                    </a:ln>
                  </pic:spPr>
                </pic:pic>
              </a:graphicData>
            </a:graphic>
          </wp:inline>
        </w:drawing>
      </w:r>
    </w:p>
    <w:p w14:paraId="5D5D6AAD" w14:textId="77777777" w:rsidR="001C08A5" w:rsidRDefault="00000000">
      <w:pPr>
        <w:widowControl w:val="0"/>
        <w:jc w:val="center"/>
      </w:pPr>
      <w:r>
        <w:rPr>
          <w:b/>
          <w:bCs/>
          <w:i/>
          <w:iCs/>
          <w:noProof/>
          <w:sz w:val="22"/>
          <w:szCs w:val="22"/>
          <w:lang w:eastAsia="ro-RO"/>
        </w:rPr>
        <w:lastRenderedPageBreak/>
        <w:drawing>
          <wp:inline distT="0" distB="0" distL="114300" distR="114300" wp14:anchorId="5DD7EBAA" wp14:editId="3F78C195">
            <wp:extent cx="5885180" cy="2421255"/>
            <wp:effectExtent l="0" t="0" r="1270" b="17145"/>
            <wp:docPr id="1706575720" name="Picture 170657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75720" name="Picture 1706575720"/>
                    <pic:cNvPicPr>
                      <a:picLocks noChangeAspect="1"/>
                    </pic:cNvPicPr>
                  </pic:nvPicPr>
                  <pic:blipFill>
                    <a:blip r:embed="rId211"/>
                    <a:srcRect l="13358" t="29702" r="8779" b="14617"/>
                    <a:stretch>
                      <a:fillRect/>
                    </a:stretch>
                  </pic:blipFill>
                  <pic:spPr>
                    <a:xfrm>
                      <a:off x="0" y="0"/>
                      <a:ext cx="5885180" cy="2421255"/>
                    </a:xfrm>
                    <a:prstGeom prst="rect">
                      <a:avLst/>
                    </a:prstGeom>
                    <a:noFill/>
                    <a:ln>
                      <a:noFill/>
                    </a:ln>
                  </pic:spPr>
                </pic:pic>
              </a:graphicData>
            </a:graphic>
          </wp:inline>
        </w:drawing>
      </w:r>
    </w:p>
    <w:p w14:paraId="63D26130" w14:textId="77777777" w:rsidR="001C08A5" w:rsidRDefault="00000000">
      <w:pPr>
        <w:widowControl w:val="0"/>
        <w:jc w:val="center"/>
        <w:rPr>
          <w:b/>
          <w:bCs/>
          <w:i/>
          <w:iCs/>
          <w:sz w:val="22"/>
          <w:szCs w:val="22"/>
        </w:rPr>
      </w:pPr>
      <w:r>
        <w:rPr>
          <w:b/>
          <w:bCs/>
          <w:i/>
          <w:iCs/>
          <w:sz w:val="22"/>
          <w:szCs w:val="22"/>
        </w:rPr>
        <w:t xml:space="preserve">Varianta b) atunci cînd ferestrele circulaţiilor comune orizontale sunt amplasate astfel încât să asigure evacuarea fumului şi gazelor fierbinţi în caz de incendiu pe maximum 30 m adâncime, circulaţiile comune orizontale nu mai necesită prevederea de sisteme de evacuare a fumului </w:t>
      </w:r>
    </w:p>
    <w:p w14:paraId="18E74F53" w14:textId="77777777" w:rsidR="001C08A5" w:rsidRDefault="00000000">
      <w:pPr>
        <w:pStyle w:val="ListParagraph"/>
        <w:widowControl w:val="0"/>
        <w:jc w:val="center"/>
      </w:pPr>
      <w:r>
        <w:rPr>
          <w:b/>
          <w:bCs/>
          <w:i/>
          <w:iCs/>
          <w:noProof/>
          <w:sz w:val="22"/>
          <w:szCs w:val="22"/>
          <w:lang w:eastAsia="ro-RO"/>
        </w:rPr>
        <w:drawing>
          <wp:inline distT="0" distB="0" distL="114300" distR="114300" wp14:anchorId="16A74F64" wp14:editId="2B9D7623">
            <wp:extent cx="4156710" cy="2355215"/>
            <wp:effectExtent l="0" t="0" r="15240" b="6985"/>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0"/>
                    <pic:cNvPicPr>
                      <a:picLocks noChangeAspect="1"/>
                    </pic:cNvPicPr>
                  </pic:nvPicPr>
                  <pic:blipFill>
                    <a:blip r:embed="rId212"/>
                    <a:srcRect l="21238" t="21525" r="23767" b="24314"/>
                    <a:stretch>
                      <a:fillRect/>
                    </a:stretch>
                  </pic:blipFill>
                  <pic:spPr>
                    <a:xfrm>
                      <a:off x="0" y="0"/>
                      <a:ext cx="4156710" cy="2355215"/>
                    </a:xfrm>
                    <a:prstGeom prst="rect">
                      <a:avLst/>
                    </a:prstGeom>
                    <a:noFill/>
                    <a:ln>
                      <a:noFill/>
                    </a:ln>
                  </pic:spPr>
                </pic:pic>
              </a:graphicData>
            </a:graphic>
          </wp:inline>
        </w:drawing>
      </w:r>
    </w:p>
    <w:p w14:paraId="7CDAD14E" w14:textId="77777777" w:rsidR="001C08A5" w:rsidRDefault="00000000">
      <w:pPr>
        <w:widowControl w:val="0"/>
        <w:jc w:val="center"/>
        <w:rPr>
          <w:b/>
          <w:bCs/>
          <w:i/>
          <w:iCs/>
          <w:sz w:val="22"/>
          <w:szCs w:val="22"/>
        </w:rPr>
      </w:pPr>
      <w:r>
        <w:rPr>
          <w:b/>
          <w:bCs/>
          <w:i/>
          <w:iCs/>
          <w:sz w:val="22"/>
          <w:szCs w:val="22"/>
        </w:rPr>
        <w:t>Varianta c) atunci cînd ferestrele circulaţiilor comune orizontale sunt amplasate la mai mult de 30 m adâncime se prevede sistem mecanic de admisie a aerului și de evacuare a fumului și a gazelor fiebinți</w:t>
      </w:r>
    </w:p>
    <w:p w14:paraId="719C9957" w14:textId="77777777" w:rsidR="001C08A5" w:rsidRDefault="00000000">
      <w:pPr>
        <w:widowControl w:val="0"/>
        <w:jc w:val="center"/>
        <w:rPr>
          <w:b/>
          <w:bCs/>
          <w:i/>
          <w:iCs/>
          <w:sz w:val="22"/>
          <w:szCs w:val="22"/>
        </w:rPr>
      </w:pPr>
      <w:r>
        <w:rPr>
          <w:b/>
          <w:bCs/>
          <w:i/>
          <w:iCs/>
          <w:noProof/>
          <w:sz w:val="22"/>
          <w:szCs w:val="22"/>
          <w:lang w:eastAsia="ro-RO"/>
        </w:rPr>
        <w:drawing>
          <wp:inline distT="0" distB="0" distL="114300" distR="114300" wp14:anchorId="52C9E924" wp14:editId="2701EE69">
            <wp:extent cx="3498215" cy="1998980"/>
            <wp:effectExtent l="0" t="0" r="6985" b="1270"/>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1"/>
                    <pic:cNvPicPr>
                      <a:picLocks noChangeAspect="1"/>
                    </pic:cNvPicPr>
                  </pic:nvPicPr>
                  <pic:blipFill>
                    <a:blip r:embed="rId213"/>
                    <a:srcRect l="30816" t="12675" r="22902" b="41355"/>
                    <a:stretch>
                      <a:fillRect/>
                    </a:stretch>
                  </pic:blipFill>
                  <pic:spPr>
                    <a:xfrm>
                      <a:off x="0" y="0"/>
                      <a:ext cx="3498215" cy="1998980"/>
                    </a:xfrm>
                    <a:prstGeom prst="rect">
                      <a:avLst/>
                    </a:prstGeom>
                    <a:noFill/>
                    <a:ln>
                      <a:noFill/>
                    </a:ln>
                  </pic:spPr>
                </pic:pic>
              </a:graphicData>
            </a:graphic>
          </wp:inline>
        </w:drawing>
      </w:r>
    </w:p>
    <w:p w14:paraId="1FB39020" w14:textId="77777777" w:rsidR="001C08A5" w:rsidRDefault="00000000">
      <w:pPr>
        <w:widowControl w:val="0"/>
        <w:jc w:val="center"/>
        <w:rPr>
          <w:b/>
          <w:bCs/>
          <w:i/>
          <w:iCs/>
          <w:sz w:val="22"/>
          <w:szCs w:val="22"/>
        </w:rPr>
      </w:pPr>
      <w:r>
        <w:rPr>
          <w:b/>
          <w:bCs/>
          <w:i/>
          <w:iCs/>
          <w:sz w:val="22"/>
          <w:szCs w:val="22"/>
        </w:rPr>
        <w:t>Varianta d) atunci cînd încăperile care nu au ferestre direct in exterior prin care să se poată evacua fumul in caz de incendiu sunt prevăzute cu sistem mecanic de admisie și de evacuare a fumului si a gazelor fiebinți, circulațiile comune orizontale se pot pune în suprapresiune</w:t>
      </w:r>
    </w:p>
    <w:p w14:paraId="46ACD64B" w14:textId="77777777" w:rsidR="001C08A5" w:rsidRDefault="00000000">
      <w:pPr>
        <w:widowControl w:val="0"/>
        <w:jc w:val="center"/>
        <w:rPr>
          <w:b/>
          <w:bCs/>
          <w:i/>
          <w:iCs/>
          <w:sz w:val="22"/>
          <w:szCs w:val="22"/>
        </w:rPr>
      </w:pPr>
      <w:r>
        <w:rPr>
          <w:b/>
          <w:bCs/>
          <w:i/>
          <w:iCs/>
          <w:noProof/>
          <w:sz w:val="22"/>
          <w:szCs w:val="22"/>
          <w:lang w:eastAsia="ro-RO"/>
        </w:rPr>
        <w:lastRenderedPageBreak/>
        <w:drawing>
          <wp:inline distT="0" distB="0" distL="114300" distR="114300" wp14:anchorId="1023EDF1" wp14:editId="4D6BE814">
            <wp:extent cx="3851910" cy="2556510"/>
            <wp:effectExtent l="0" t="0" r="15240" b="15240"/>
            <wp:docPr id="1179925480" name="Picture 117992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25480" name="Picture 1179925480"/>
                    <pic:cNvPicPr>
                      <a:picLocks noChangeAspect="1"/>
                    </pic:cNvPicPr>
                  </pic:nvPicPr>
                  <pic:blipFill>
                    <a:blip r:embed="rId214"/>
                    <a:srcRect l="28043" t="16735" r="20995" b="24474"/>
                    <a:stretch>
                      <a:fillRect/>
                    </a:stretch>
                  </pic:blipFill>
                  <pic:spPr>
                    <a:xfrm>
                      <a:off x="0" y="0"/>
                      <a:ext cx="3851910" cy="2556510"/>
                    </a:xfrm>
                    <a:prstGeom prst="rect">
                      <a:avLst/>
                    </a:prstGeom>
                    <a:noFill/>
                    <a:ln>
                      <a:noFill/>
                    </a:ln>
                  </pic:spPr>
                </pic:pic>
              </a:graphicData>
            </a:graphic>
          </wp:inline>
        </w:drawing>
      </w:r>
    </w:p>
    <w:p w14:paraId="6FA5DDB3" w14:textId="77777777" w:rsidR="001C08A5" w:rsidRDefault="00000000">
      <w:pPr>
        <w:widowControl w:val="0"/>
        <w:jc w:val="center"/>
        <w:rPr>
          <w:b/>
          <w:bCs/>
          <w:i/>
          <w:iCs/>
          <w:sz w:val="22"/>
          <w:szCs w:val="22"/>
        </w:rPr>
      </w:pPr>
      <w:r>
        <w:rPr>
          <w:b/>
          <w:bCs/>
          <w:i/>
          <w:iCs/>
          <w:sz w:val="22"/>
          <w:szCs w:val="22"/>
        </w:rPr>
        <w:t>Varianta e) atunci cînd ferestrele circulaţiilor comune orizontale sunt amplasate la mai mult de 30 m adâncime iar încăperile care nu au ferestre direct in exterior prin care să se poată evacua fumul in caz de incendiu nu sunt prevăzute cu sistem mecanic de admisie și de evacuare a fumului si a gazelor fiebinți, circulațiile comune se echipează obligatoriu cu sistem mecanic de admisie și de evacuare a fumului si a gazelor fiebinți</w:t>
      </w:r>
    </w:p>
    <w:p w14:paraId="49370FCB" w14:textId="77777777" w:rsidR="001C08A5" w:rsidRDefault="001C08A5">
      <w:pPr>
        <w:widowControl w:val="0"/>
        <w:jc w:val="both"/>
        <w:rPr>
          <w:b/>
          <w:bCs/>
          <w:i/>
          <w:iCs/>
          <w:sz w:val="22"/>
          <w:szCs w:val="22"/>
        </w:rPr>
      </w:pPr>
    </w:p>
    <w:p w14:paraId="6065AAA6" w14:textId="77777777" w:rsidR="001C08A5" w:rsidRDefault="00000000">
      <w:pPr>
        <w:pStyle w:val="Caption"/>
        <w:jc w:val="center"/>
        <w:rPr>
          <w:rFonts w:cs="Times New Roman"/>
          <w:bCs/>
        </w:rPr>
      </w:pPr>
      <w:bookmarkStart w:id="5508" w:name="_Ref28348"/>
      <w:bookmarkStart w:id="5509" w:name="_Toc162360301"/>
      <w:r>
        <w:t xml:space="preserve">Figura </w:t>
      </w:r>
      <w:r>
        <w:fldChar w:fldCharType="begin"/>
      </w:r>
      <w:r>
        <w:instrText xml:space="preserve"> SEQ Figura \* ARABIC </w:instrText>
      </w:r>
      <w:r>
        <w:fldChar w:fldCharType="separate"/>
      </w:r>
      <w:r>
        <w:t>77</w:t>
      </w:r>
      <w:r>
        <w:fldChar w:fldCharType="end"/>
      </w:r>
      <w:bookmarkStart w:id="5510" w:name="_Toc9654"/>
      <w:bookmarkStart w:id="5511" w:name="_Toc19826"/>
      <w:bookmarkStart w:id="5512" w:name="_Toc11304"/>
      <w:bookmarkStart w:id="5513" w:name="_Toc10333"/>
      <w:bookmarkStart w:id="5514" w:name="_Toc5676"/>
      <w:bookmarkStart w:id="5515" w:name="_Toc19449"/>
      <w:bookmarkStart w:id="5516" w:name="_Toc3548"/>
      <w:bookmarkStart w:id="5517" w:name="_Toc493"/>
      <w:bookmarkStart w:id="5518" w:name="_Toc13870"/>
      <w:bookmarkStart w:id="5519" w:name="_Toc19823"/>
      <w:bookmarkStart w:id="5520" w:name="_Toc30982"/>
      <w:bookmarkEnd w:id="5508"/>
      <w:r>
        <w:t xml:space="preserve"> - </w:t>
      </w:r>
      <w:r>
        <w:rPr>
          <w:rFonts w:cs="Times New Roman"/>
          <w:bCs/>
        </w:rPr>
        <w:t>Prevederea sistemelor de evacuare a fumului și a gazelor fierbinți la circulații comune orizontale</w:t>
      </w:r>
      <w:bookmarkEnd w:id="5509"/>
      <w:bookmarkEnd w:id="5510"/>
      <w:bookmarkEnd w:id="5511"/>
      <w:bookmarkEnd w:id="5512"/>
      <w:bookmarkEnd w:id="5513"/>
      <w:bookmarkEnd w:id="5514"/>
      <w:bookmarkEnd w:id="5515"/>
      <w:bookmarkEnd w:id="5516"/>
      <w:bookmarkEnd w:id="5517"/>
      <w:bookmarkEnd w:id="5518"/>
      <w:bookmarkEnd w:id="5519"/>
      <w:bookmarkEnd w:id="5520"/>
    </w:p>
    <w:p w14:paraId="37507C38" w14:textId="77777777" w:rsidR="001C08A5" w:rsidRDefault="001C08A5">
      <w:pPr>
        <w:widowControl w:val="0"/>
        <w:jc w:val="both"/>
        <w:rPr>
          <w:b/>
          <w:sz w:val="24"/>
          <w:szCs w:val="24"/>
        </w:rPr>
      </w:pPr>
    </w:p>
    <w:p w14:paraId="25BA48FC" w14:textId="77777777" w:rsidR="001C08A5" w:rsidRDefault="00000000">
      <w:pPr>
        <w:widowControl w:val="0"/>
        <w:ind w:firstLine="720"/>
        <w:jc w:val="both"/>
        <w:rPr>
          <w:sz w:val="24"/>
          <w:szCs w:val="24"/>
        </w:rPr>
      </w:pPr>
      <w:r>
        <w:rPr>
          <w:b/>
          <w:sz w:val="24"/>
          <w:szCs w:val="24"/>
        </w:rPr>
        <w:t>Art. 8.1.9. (1)</w:t>
      </w:r>
      <w:r>
        <w:rPr>
          <w:sz w:val="24"/>
          <w:szCs w:val="24"/>
        </w:rPr>
        <w:t xml:space="preserve"> Atunci când în cuprinsul normativului se menţionează existenţa ferestrelor directe în exterior prin care se evacuează fumul şi gazele fierbinţi în caz de incendiu din casele de scări şi circulaţiile comune orizontale de evacuare, aceste ferestre funcţionale se dispun pe fiecare nivel, trebuie să fie cu aria aerodinamică liberă de minimum </w:t>
      </w:r>
      <w:r>
        <w:rPr>
          <w:b/>
          <w:sz w:val="24"/>
          <w:szCs w:val="24"/>
        </w:rPr>
        <w:t xml:space="preserve">1 </w:t>
      </w:r>
      <w:r>
        <w:rPr>
          <w:b/>
          <w:bCs/>
          <w:sz w:val="24"/>
          <w:szCs w:val="24"/>
        </w:rPr>
        <w:t>m²</w:t>
      </w:r>
      <w:r>
        <w:rPr>
          <w:sz w:val="24"/>
          <w:szCs w:val="24"/>
        </w:rPr>
        <w:t xml:space="preserve"> și prevăzute cu acţionare manuală dispusă la maximum</w:t>
      </w:r>
      <w:r>
        <w:rPr>
          <w:b/>
          <w:bCs/>
          <w:sz w:val="24"/>
          <w:szCs w:val="24"/>
        </w:rPr>
        <w:t xml:space="preserve"> 1,50 m</w:t>
      </w:r>
      <w:r>
        <w:rPr>
          <w:sz w:val="24"/>
          <w:szCs w:val="24"/>
        </w:rPr>
        <w:t xml:space="preserve"> faţă de pardoseală. Admisia de aer se face prin ușa de acces în casa de scară din exteriorul clădirii sau printr-un alt sistem prevazut de proiectant potrivit </w:t>
      </w:r>
      <w:r>
        <w:rPr>
          <w:b/>
          <w:bCs/>
          <w:sz w:val="24"/>
          <w:szCs w:val="24"/>
        </w:rPr>
        <w:t>Art. 8.1.1. alin. 6</w:t>
      </w:r>
      <w:r>
        <w:rPr>
          <w:sz w:val="24"/>
          <w:szCs w:val="24"/>
        </w:rPr>
        <w:t>), cu excepția situațiilor în care ușile nu protejează goluri care au rol de a limita transmiterea incendiului spre sau dinspre exterior.</w:t>
      </w:r>
    </w:p>
    <w:p w14:paraId="768EC0D0" w14:textId="77777777" w:rsidR="001C08A5" w:rsidRDefault="00000000">
      <w:pPr>
        <w:widowControl w:val="0"/>
        <w:numPr>
          <w:ilvl w:val="0"/>
          <w:numId w:val="93"/>
        </w:numPr>
        <w:ind w:firstLine="720"/>
        <w:jc w:val="both"/>
        <w:rPr>
          <w:sz w:val="24"/>
          <w:szCs w:val="24"/>
        </w:rPr>
      </w:pPr>
      <w:r>
        <w:rPr>
          <w:sz w:val="24"/>
          <w:szCs w:val="24"/>
        </w:rPr>
        <w:t xml:space="preserve">Atunci când în cuprinsul normativului se menţionează existenţa ferestrelor directe în exterior prin care se evacuează fumul din circulațiile comune orizontale de evacuare (amplasate la mai puțin de </w:t>
      </w:r>
      <w:r>
        <w:rPr>
          <w:b/>
          <w:bCs/>
          <w:sz w:val="24"/>
          <w:szCs w:val="24"/>
        </w:rPr>
        <w:t>30</w:t>
      </w:r>
      <w:r>
        <w:rPr>
          <w:sz w:val="24"/>
          <w:szCs w:val="24"/>
        </w:rPr>
        <w:t xml:space="preserve"> m în adancime), aceste ferestre funcţionale trebuie să fie cu aria aerodinamică liberă de minimum </w:t>
      </w:r>
      <w:r>
        <w:rPr>
          <w:b/>
          <w:sz w:val="24"/>
          <w:szCs w:val="24"/>
        </w:rPr>
        <w:t>1,00</w:t>
      </w:r>
      <w:r>
        <w:rPr>
          <w:sz w:val="24"/>
          <w:szCs w:val="24"/>
        </w:rPr>
        <w:t xml:space="preserve"> m², să fie dispuse la capetele coridoarelor şi prevăzute cu acţionare manuală dispusă la minimum </w:t>
      </w:r>
      <w:r>
        <w:rPr>
          <w:b/>
          <w:sz w:val="24"/>
          <w:szCs w:val="24"/>
        </w:rPr>
        <w:t>1,50</w:t>
      </w:r>
      <w:r>
        <w:rPr>
          <w:sz w:val="24"/>
          <w:szCs w:val="24"/>
        </w:rPr>
        <w:t xml:space="preserve"> m faţă de pardoseală. Se prevede și acţionare automată în situația în care clădirea este echipată cu sistem de detectare automată a incendiilor.</w:t>
      </w:r>
    </w:p>
    <w:p w14:paraId="5D87E086" w14:textId="77777777" w:rsidR="001C08A5" w:rsidRDefault="00000000">
      <w:pPr>
        <w:widowControl w:val="0"/>
        <w:numPr>
          <w:ilvl w:val="0"/>
          <w:numId w:val="93"/>
        </w:numPr>
        <w:ind w:firstLine="720"/>
        <w:jc w:val="both"/>
        <w:rPr>
          <w:sz w:val="24"/>
          <w:szCs w:val="24"/>
        </w:rPr>
      </w:pPr>
      <w:r>
        <w:rPr>
          <w:sz w:val="24"/>
          <w:szCs w:val="24"/>
        </w:rPr>
        <w:t xml:space="preserve">Atunci când în cuprinsul normativului se menţionează existenţa ferestrelor directe în exterior prin care se evacuează fumul din încăperi, cu excepția circulațiilor comune orizontale de evacuare (amplasate la mai puțin de </w:t>
      </w:r>
      <w:r>
        <w:rPr>
          <w:b/>
          <w:bCs/>
          <w:sz w:val="24"/>
          <w:szCs w:val="24"/>
        </w:rPr>
        <w:t>30</w:t>
      </w:r>
      <w:r>
        <w:rPr>
          <w:sz w:val="24"/>
          <w:szCs w:val="24"/>
        </w:rPr>
        <w:t xml:space="preserve"> m în adancime), aceste ferestre funcţionale trebuie să aibă cu aria aerodinamică liberă de minimum </w:t>
      </w:r>
      <w:r>
        <w:rPr>
          <w:b/>
          <w:sz w:val="24"/>
          <w:szCs w:val="24"/>
        </w:rPr>
        <w:t>1,00</w:t>
      </w:r>
      <w:r>
        <w:rPr>
          <w:sz w:val="24"/>
          <w:szCs w:val="24"/>
        </w:rPr>
        <w:t xml:space="preserve"> m², să fie dispuse la capetele coridoarelor şi prevăzute cu acţionare manuală dispusă la minimum </w:t>
      </w:r>
      <w:r>
        <w:rPr>
          <w:b/>
          <w:sz w:val="24"/>
          <w:szCs w:val="24"/>
        </w:rPr>
        <w:t>1,50</w:t>
      </w:r>
      <w:r>
        <w:rPr>
          <w:sz w:val="24"/>
          <w:szCs w:val="24"/>
        </w:rPr>
        <w:t xml:space="preserve"> m faţă de pardoseală. Se prevede și acţionare automată în situația în care clădirea este echipată cu sistem de detectare automată a incendiilor. Admisia de aer se face prin </w:t>
      </w:r>
      <w:r>
        <w:rPr>
          <w:sz w:val="24"/>
          <w:szCs w:val="24"/>
          <w:lang w:eastAsia="zh-CN"/>
        </w:rPr>
        <w:t>dispozitve amplasate pe fațade diferite sau opuse</w:t>
      </w:r>
      <w:r>
        <w:rPr>
          <w:sz w:val="24"/>
          <w:szCs w:val="24"/>
        </w:rPr>
        <w:t xml:space="preserve"> celor pe care se amplasează dispozitivele de evacuare a fumului (ferestre funcţionale), în condițiile prevăzute de către normativ.</w:t>
      </w:r>
    </w:p>
    <w:p w14:paraId="40BD6359" w14:textId="77777777" w:rsidR="001C08A5" w:rsidRDefault="00000000">
      <w:pPr>
        <w:widowControl w:val="0"/>
        <w:numPr>
          <w:ilvl w:val="0"/>
          <w:numId w:val="93"/>
        </w:numPr>
        <w:ind w:firstLine="720"/>
        <w:jc w:val="both"/>
        <w:rPr>
          <w:sz w:val="24"/>
          <w:szCs w:val="24"/>
        </w:rPr>
      </w:pPr>
      <w:r>
        <w:rPr>
          <w:sz w:val="24"/>
          <w:szCs w:val="24"/>
        </w:rPr>
        <w:t xml:space="preserve">Atunci când în cuprinsul normativului se menţionează existenţa ferestrelor directe în exterior prin care se evacuează fumul, în toate cazurile aceste ferestre funcţionale trebuie să aibă aria aerodinamică liberă de minimum </w:t>
      </w:r>
      <w:r>
        <w:rPr>
          <w:b/>
          <w:sz w:val="24"/>
          <w:szCs w:val="24"/>
        </w:rPr>
        <w:t>1,00</w:t>
      </w:r>
      <w:r>
        <w:rPr>
          <w:sz w:val="24"/>
          <w:szCs w:val="24"/>
        </w:rPr>
        <w:t xml:space="preserve"> </w:t>
      </w:r>
      <w:r>
        <w:rPr>
          <w:b/>
          <w:bCs/>
          <w:sz w:val="24"/>
          <w:szCs w:val="24"/>
        </w:rPr>
        <w:t>m²</w:t>
      </w:r>
      <w:r>
        <w:rPr>
          <w:sz w:val="24"/>
          <w:szCs w:val="24"/>
        </w:rPr>
        <w:t xml:space="preserve">, să fie amplasate la capetele coridoarelor şi prevăzute cu acţionare manuală dispusă la minimum </w:t>
      </w:r>
      <w:r>
        <w:rPr>
          <w:b/>
          <w:sz w:val="24"/>
          <w:szCs w:val="24"/>
        </w:rPr>
        <w:t>1,50 m</w:t>
      </w:r>
      <w:r>
        <w:rPr>
          <w:sz w:val="24"/>
          <w:szCs w:val="24"/>
        </w:rPr>
        <w:t xml:space="preserve"> faţă de pardoseală. </w:t>
      </w:r>
    </w:p>
    <w:p w14:paraId="3C993209" w14:textId="77777777" w:rsidR="001C08A5" w:rsidRDefault="00000000">
      <w:pPr>
        <w:widowControl w:val="0"/>
        <w:numPr>
          <w:ilvl w:val="0"/>
          <w:numId w:val="93"/>
        </w:numPr>
        <w:ind w:firstLine="720"/>
        <w:jc w:val="both"/>
        <w:rPr>
          <w:sz w:val="24"/>
          <w:szCs w:val="24"/>
        </w:rPr>
      </w:pPr>
      <w:r>
        <w:rPr>
          <w:sz w:val="24"/>
          <w:szCs w:val="24"/>
        </w:rPr>
        <w:t xml:space="preserve">Încăperile tampon se presurizează în conformitate cu standardele </w:t>
      </w:r>
      <w:hyperlink r:id="rId215" w:history="1">
        <w:r>
          <w:rPr>
            <w:rStyle w:val="Strong"/>
            <w:rFonts w:eastAsia="sans-serif"/>
            <w:sz w:val="24"/>
            <w:szCs w:val="24"/>
            <w:shd w:val="clear" w:color="auto" w:fill="FFFFFF"/>
          </w:rPr>
          <w:t>SR EN 12101-6 -</w:t>
        </w:r>
      </w:hyperlink>
      <w:r>
        <w:rPr>
          <w:sz w:val="24"/>
          <w:szCs w:val="24"/>
        </w:rPr>
        <w:t xml:space="preserve">Sisteme pentru controlul fumului și gazelor fierbinți. Partea 6: Specificații pentru sisteme cu presiune diferențială. Kituri și </w:t>
      </w:r>
      <w:hyperlink r:id="rId216" w:history="1">
        <w:r>
          <w:rPr>
            <w:rStyle w:val="Strong"/>
            <w:rFonts w:eastAsia="sans-serif"/>
            <w:sz w:val="24"/>
            <w:szCs w:val="24"/>
            <w:shd w:val="clear" w:color="auto" w:fill="FFFFFF"/>
          </w:rPr>
          <w:t>SR EN 12101-13 -</w:t>
        </w:r>
      </w:hyperlink>
      <w:r>
        <w:rPr>
          <w:rStyle w:val="Strong"/>
          <w:rFonts w:eastAsia="sans-serif"/>
          <w:b w:val="0"/>
          <w:bCs w:val="0"/>
          <w:sz w:val="24"/>
          <w:szCs w:val="24"/>
          <w:shd w:val="clear" w:color="auto" w:fill="FFFFFF"/>
        </w:rPr>
        <w:t xml:space="preserve">Sisteme pentru controlul fumului și gazelor fierbinți. Partea </w:t>
      </w:r>
      <w:r>
        <w:rPr>
          <w:rStyle w:val="Strong"/>
          <w:rFonts w:eastAsia="sans-serif"/>
          <w:b w:val="0"/>
          <w:bCs w:val="0"/>
          <w:sz w:val="24"/>
          <w:szCs w:val="24"/>
          <w:shd w:val="clear" w:color="auto" w:fill="FFFFFF"/>
        </w:rPr>
        <w:lastRenderedPageBreak/>
        <w:t>13: Sisteme cu presiune diferențială (</w:t>
      </w:r>
      <w:r>
        <w:rPr>
          <w:rStyle w:val="Strong"/>
          <w:rFonts w:eastAsia="sans-serif"/>
          <w:sz w:val="24"/>
          <w:szCs w:val="24"/>
          <w:shd w:val="clear" w:color="auto" w:fill="FFFFFF"/>
        </w:rPr>
        <w:t>SPD</w:t>
      </w:r>
      <w:r>
        <w:rPr>
          <w:rStyle w:val="Strong"/>
          <w:rFonts w:eastAsia="sans-serif"/>
          <w:b w:val="0"/>
          <w:bCs w:val="0"/>
          <w:sz w:val="24"/>
          <w:szCs w:val="24"/>
          <w:shd w:val="clear" w:color="auto" w:fill="FFFFFF"/>
        </w:rPr>
        <w:t>). Metode de proiectare și de calcul, instalare, încercări în vederea recepției, încercări periodice și mentenanță</w:t>
      </w:r>
      <w:r>
        <w:rPr>
          <w:i/>
          <w:iCs/>
          <w:sz w:val="24"/>
          <w:szCs w:val="24"/>
        </w:rPr>
        <w:t>.</w:t>
      </w:r>
    </w:p>
    <w:p w14:paraId="5C2161E7" w14:textId="77777777" w:rsidR="001C08A5" w:rsidRDefault="001C08A5">
      <w:pPr>
        <w:widowControl w:val="0"/>
        <w:ind w:firstLine="720"/>
        <w:jc w:val="both"/>
        <w:rPr>
          <w:b/>
          <w:sz w:val="24"/>
          <w:szCs w:val="24"/>
        </w:rPr>
      </w:pPr>
    </w:p>
    <w:p w14:paraId="07B5C492" w14:textId="77777777" w:rsidR="001C08A5" w:rsidRDefault="00000000">
      <w:pPr>
        <w:widowControl w:val="0"/>
        <w:ind w:firstLine="720"/>
        <w:jc w:val="both"/>
        <w:rPr>
          <w:sz w:val="24"/>
          <w:szCs w:val="24"/>
        </w:rPr>
      </w:pPr>
      <w:r>
        <w:rPr>
          <w:b/>
          <w:sz w:val="24"/>
          <w:szCs w:val="24"/>
        </w:rPr>
        <w:t>Art. 8.1.10. (1)</w:t>
      </w:r>
      <w:r>
        <w:rPr>
          <w:sz w:val="24"/>
          <w:szCs w:val="24"/>
        </w:rPr>
        <w:t xml:space="preserve"> Evacuarea fumului şi gazelor fierbinţi în caz de incendiu trebuie să asigure circulaţia ascendentă a aerului în încăpere şi evacuarea fumului în raport cu aerul introdus.</w:t>
      </w:r>
    </w:p>
    <w:p w14:paraId="6342CCDC" w14:textId="77777777" w:rsidR="001C08A5" w:rsidRDefault="00000000">
      <w:pPr>
        <w:widowControl w:val="0"/>
        <w:ind w:firstLine="720"/>
        <w:jc w:val="both"/>
        <w:rPr>
          <w:sz w:val="24"/>
          <w:szCs w:val="24"/>
        </w:rPr>
      </w:pPr>
      <w:r>
        <w:rPr>
          <w:b/>
          <w:sz w:val="24"/>
          <w:szCs w:val="24"/>
        </w:rPr>
        <w:t xml:space="preserve">(2) </w:t>
      </w:r>
      <w:r>
        <w:rPr>
          <w:sz w:val="24"/>
          <w:szCs w:val="24"/>
        </w:rPr>
        <w:t xml:space="preserve">Evacuarea fumului şi gazelor fierbinţi în caz de incendiu se asigură prin tiraj natural-organizat sau ventilare mecanică. Suprafaţă aerodinamică liberă a dispozitivelor cu deschidere automată pentru evacuarea fumului în caz de incendiu prin tiraj natural-organizat va fi cel puţin </w:t>
      </w:r>
      <w:r>
        <w:rPr>
          <w:b/>
          <w:sz w:val="24"/>
          <w:szCs w:val="24"/>
        </w:rPr>
        <w:t>1%</w:t>
      </w:r>
      <w:r>
        <w:rPr>
          <w:sz w:val="24"/>
          <w:szCs w:val="24"/>
        </w:rPr>
        <w:t xml:space="preserve"> din aria încăperii</w:t>
      </w:r>
    </w:p>
    <w:p w14:paraId="14B9FA21" w14:textId="77777777" w:rsidR="001C08A5" w:rsidRDefault="00000000">
      <w:pPr>
        <w:widowControl w:val="0"/>
        <w:ind w:firstLine="720"/>
        <w:jc w:val="both"/>
        <w:rPr>
          <w:sz w:val="24"/>
          <w:szCs w:val="24"/>
        </w:rPr>
      </w:pPr>
      <w:r>
        <w:rPr>
          <w:b/>
          <w:sz w:val="24"/>
          <w:szCs w:val="24"/>
        </w:rPr>
        <w:t>(3)</w:t>
      </w:r>
      <w:r>
        <w:rPr>
          <w:sz w:val="24"/>
          <w:szCs w:val="24"/>
        </w:rPr>
        <w:t xml:space="preserve"> Sistemul de evacuare a fumului şi gazelor fierbinţi în caz de incendiu se realizează prin prevederea gurilor de evacuare a fumului şi gurilor de admisie a aerului proaspăt, dispuse alternat. </w:t>
      </w:r>
    </w:p>
    <w:p w14:paraId="3DBD6E2C" w14:textId="77777777" w:rsidR="001C08A5" w:rsidRDefault="00000000">
      <w:pPr>
        <w:widowControl w:val="0"/>
        <w:ind w:firstLine="720"/>
        <w:jc w:val="both"/>
        <w:rPr>
          <w:sz w:val="24"/>
          <w:szCs w:val="24"/>
        </w:rPr>
      </w:pPr>
      <w:r>
        <w:rPr>
          <w:b/>
          <w:sz w:val="24"/>
          <w:szCs w:val="24"/>
        </w:rPr>
        <w:t>(4)</w:t>
      </w:r>
      <w:r>
        <w:rPr>
          <w:sz w:val="24"/>
          <w:szCs w:val="24"/>
        </w:rPr>
        <w:t xml:space="preserve"> Gurile de evacuare a fumului în caz de incendiu, alcătuite şi dimensionate potrivit prevederilor normativului şi ale reglementărilor tehnice de specialitate, se amplasează în treimea superioară a pereţilor încăperii, cu partea inferioara a grilei amplasata la minim </w:t>
      </w:r>
      <w:r>
        <w:rPr>
          <w:b/>
          <w:sz w:val="24"/>
          <w:szCs w:val="24"/>
        </w:rPr>
        <w:t>1,80</w:t>
      </w:r>
      <w:r>
        <w:rPr>
          <w:sz w:val="24"/>
          <w:szCs w:val="24"/>
        </w:rPr>
        <w:t xml:space="preserve"> m faţă de pardoseală sau în acoperiş prevazute în treimea superioară a șarpantei, raportată la înălțimea maximă a șarpantei. Gurile de evacuare a fumului pot comunica direct cu exteriorul sau prin canale (conducte rezistente la foc de evacuare a fumului) ori ghene de evacuare a fumului (</w:t>
      </w:r>
      <w:r>
        <w:rPr>
          <w:b/>
          <w:bCs/>
          <w:i/>
          <w:iCs/>
          <w:sz w:val="24"/>
          <w:szCs w:val="24"/>
        </w:rPr>
        <w:fldChar w:fldCharType="begin"/>
      </w:r>
      <w:r>
        <w:rPr>
          <w:b/>
          <w:bCs/>
          <w:i/>
          <w:iCs/>
          <w:sz w:val="24"/>
          <w:szCs w:val="24"/>
        </w:rPr>
        <w:instrText xml:space="preserve"> REF _Ref28707 \h </w:instrText>
      </w:r>
      <w:r>
        <w:rPr>
          <w:b/>
          <w:bCs/>
          <w:i/>
          <w:iCs/>
          <w:sz w:val="24"/>
          <w:szCs w:val="24"/>
        </w:rPr>
      </w:r>
      <w:r>
        <w:rPr>
          <w:b/>
          <w:bCs/>
          <w:i/>
          <w:iCs/>
          <w:sz w:val="24"/>
          <w:szCs w:val="24"/>
        </w:rPr>
        <w:fldChar w:fldCharType="separate"/>
      </w:r>
      <w:r>
        <w:t>Figura 78</w:t>
      </w:r>
      <w:r>
        <w:rPr>
          <w:b/>
          <w:bCs/>
          <w:i/>
          <w:iCs/>
          <w:sz w:val="24"/>
          <w:szCs w:val="24"/>
        </w:rPr>
        <w:fldChar w:fldCharType="end"/>
      </w:r>
      <w:r>
        <w:rPr>
          <w:sz w:val="24"/>
          <w:szCs w:val="24"/>
        </w:rPr>
        <w:t>), luând în calcul pierderile de presiune pe tubulaturi și ghene.</w:t>
      </w:r>
    </w:p>
    <w:p w14:paraId="273871F1" w14:textId="77777777" w:rsidR="001C08A5" w:rsidRDefault="00000000">
      <w:pPr>
        <w:widowControl w:val="0"/>
        <w:jc w:val="both"/>
        <w:rPr>
          <w:sz w:val="24"/>
          <w:szCs w:val="24"/>
        </w:rPr>
      </w:pPr>
      <w:r>
        <w:rPr>
          <w:sz w:val="24"/>
          <w:szCs w:val="24"/>
        </w:rPr>
        <w:tab/>
      </w:r>
      <w:r>
        <w:rPr>
          <w:b/>
          <w:sz w:val="24"/>
          <w:szCs w:val="24"/>
        </w:rPr>
        <w:t>(5)</w:t>
      </w:r>
      <w:r>
        <w:rPr>
          <w:sz w:val="24"/>
          <w:szCs w:val="24"/>
        </w:rPr>
        <w:t xml:space="preserve"> Introducerea aerului se realizează prin guri de admisie a aerului dispuse la partea inferioară (în treimea inferioară a peretilor) a încăperilor/spațiilor prevazute cu sistem de evacuare a fumului şi a gazelor fierbinţi în caz de incendiu, având marginea lor superioară la cel mult </w:t>
      </w:r>
      <w:r>
        <w:rPr>
          <w:b/>
          <w:sz w:val="24"/>
          <w:szCs w:val="24"/>
        </w:rPr>
        <w:t>1</w:t>
      </w:r>
      <w:r>
        <w:rPr>
          <w:sz w:val="24"/>
          <w:szCs w:val="24"/>
        </w:rPr>
        <w:t xml:space="preserve"> m faţă de pardoseală pentru încăperi/spații cu înaltimea libera de maxim </w:t>
      </w:r>
      <w:r>
        <w:rPr>
          <w:b/>
          <w:bCs/>
          <w:sz w:val="24"/>
          <w:szCs w:val="24"/>
        </w:rPr>
        <w:t>3 m</w:t>
      </w:r>
      <w:r>
        <w:rPr>
          <w:sz w:val="24"/>
          <w:szCs w:val="24"/>
        </w:rPr>
        <w:t>, guri ce pot comunica cu exteriorul direct sau prin canale ori ghene de admisie a aerului (</w:t>
      </w:r>
      <w:r>
        <w:rPr>
          <w:b/>
          <w:bCs/>
          <w:i/>
          <w:iCs/>
          <w:sz w:val="24"/>
          <w:szCs w:val="24"/>
        </w:rPr>
        <w:fldChar w:fldCharType="begin"/>
      </w:r>
      <w:r>
        <w:rPr>
          <w:b/>
          <w:bCs/>
          <w:i/>
          <w:iCs/>
          <w:sz w:val="24"/>
          <w:szCs w:val="24"/>
        </w:rPr>
        <w:instrText xml:space="preserve"> REF _Ref28707 \h </w:instrText>
      </w:r>
      <w:r>
        <w:rPr>
          <w:b/>
          <w:bCs/>
          <w:i/>
          <w:iCs/>
          <w:sz w:val="24"/>
          <w:szCs w:val="24"/>
        </w:rPr>
      </w:r>
      <w:r>
        <w:rPr>
          <w:b/>
          <w:bCs/>
          <w:i/>
          <w:iCs/>
          <w:sz w:val="24"/>
          <w:szCs w:val="24"/>
        </w:rPr>
        <w:fldChar w:fldCharType="separate"/>
      </w:r>
      <w:r>
        <w:t>Figura 78</w:t>
      </w:r>
      <w:r>
        <w:rPr>
          <w:b/>
          <w:bCs/>
          <w:i/>
          <w:iCs/>
          <w:sz w:val="24"/>
          <w:szCs w:val="24"/>
        </w:rPr>
        <w:fldChar w:fldCharType="end"/>
      </w:r>
      <w:r>
        <w:rPr>
          <w:sz w:val="24"/>
          <w:szCs w:val="24"/>
        </w:rPr>
        <w:t xml:space="preserve">). Introducerea aerului se realizează prin guri de admisie a aerului dispuse în treimea inferioară a peretilor a încăperilor/spațiilor prevazute cu sistem de evacuare a fumului şi a gazelor fierbinţi în caz de incendiu pentru încăperi/spații cu înaltimea libera mai mare de </w:t>
      </w:r>
      <w:r>
        <w:rPr>
          <w:b/>
          <w:bCs/>
          <w:sz w:val="24"/>
          <w:szCs w:val="24"/>
        </w:rPr>
        <w:t>3 m</w:t>
      </w:r>
      <w:r>
        <w:rPr>
          <w:sz w:val="24"/>
          <w:szCs w:val="24"/>
        </w:rPr>
        <w:t>, guri ce pot comunica cu exteriorul direct sau prin canale ori ghene de admisie a aerului (</w:t>
      </w:r>
      <w:r>
        <w:rPr>
          <w:b/>
          <w:bCs/>
          <w:i/>
          <w:iCs/>
          <w:sz w:val="24"/>
          <w:szCs w:val="24"/>
        </w:rPr>
        <w:fldChar w:fldCharType="begin"/>
      </w:r>
      <w:r>
        <w:rPr>
          <w:b/>
          <w:bCs/>
          <w:i/>
          <w:iCs/>
          <w:sz w:val="24"/>
          <w:szCs w:val="24"/>
        </w:rPr>
        <w:instrText xml:space="preserve"> REF _Ref28707 \h </w:instrText>
      </w:r>
      <w:r>
        <w:rPr>
          <w:b/>
          <w:bCs/>
          <w:i/>
          <w:iCs/>
          <w:sz w:val="24"/>
          <w:szCs w:val="24"/>
        </w:rPr>
      </w:r>
      <w:r>
        <w:rPr>
          <w:b/>
          <w:bCs/>
          <w:i/>
          <w:iCs/>
          <w:sz w:val="24"/>
          <w:szCs w:val="24"/>
        </w:rPr>
        <w:fldChar w:fldCharType="separate"/>
      </w:r>
      <w:r>
        <w:t>Figura 78</w:t>
      </w:r>
      <w:r>
        <w:rPr>
          <w:b/>
          <w:bCs/>
          <w:i/>
          <w:iCs/>
          <w:sz w:val="24"/>
          <w:szCs w:val="24"/>
        </w:rPr>
        <w:fldChar w:fldCharType="end"/>
      </w:r>
      <w:r>
        <w:rPr>
          <w:sz w:val="24"/>
          <w:szCs w:val="24"/>
        </w:rPr>
        <w:t>).</w:t>
      </w:r>
    </w:p>
    <w:p w14:paraId="3B77E9DE" w14:textId="77777777" w:rsidR="001C08A5" w:rsidRDefault="00000000">
      <w:pPr>
        <w:widowControl w:val="0"/>
        <w:jc w:val="both"/>
        <w:rPr>
          <w:sz w:val="24"/>
          <w:szCs w:val="24"/>
        </w:rPr>
      </w:pPr>
      <w:r>
        <w:rPr>
          <w:sz w:val="24"/>
          <w:szCs w:val="24"/>
        </w:rPr>
        <w:tab/>
      </w:r>
      <w:r>
        <w:rPr>
          <w:b/>
          <w:sz w:val="24"/>
          <w:szCs w:val="24"/>
        </w:rPr>
        <w:t xml:space="preserve">(6) </w:t>
      </w:r>
      <w:r>
        <w:rPr>
          <w:sz w:val="24"/>
          <w:szCs w:val="24"/>
        </w:rPr>
        <w:t xml:space="preserve">Admisia aerului pentru oricare sistem de evacuare a fumului în caz de incendiu, poate fi naturală sau, dacă este mecanică, trebuie să reprezinte </w:t>
      </w:r>
      <w:r>
        <w:rPr>
          <w:b/>
          <w:sz w:val="24"/>
          <w:szCs w:val="24"/>
        </w:rPr>
        <w:t>75%</w:t>
      </w:r>
      <w:r>
        <w:rPr>
          <w:sz w:val="24"/>
          <w:szCs w:val="24"/>
        </w:rPr>
        <w:t xml:space="preserve"> din debitul volumic de fum evacuat (cu o toleranţă de plus sau minus </w:t>
      </w:r>
      <w:r>
        <w:rPr>
          <w:b/>
          <w:sz w:val="24"/>
          <w:szCs w:val="24"/>
        </w:rPr>
        <w:t>10%</w:t>
      </w:r>
      <w:r>
        <w:rPr>
          <w:sz w:val="24"/>
          <w:szCs w:val="24"/>
        </w:rPr>
        <w:t xml:space="preserve">). În cazul sistemului cu tiraj natural organizat, suprafața aerodinamică a gurilor de introducere a aerurlui de compensare va fi minim </w:t>
      </w:r>
      <w:r>
        <w:rPr>
          <w:b/>
          <w:bCs/>
          <w:sz w:val="24"/>
          <w:szCs w:val="24"/>
        </w:rPr>
        <w:t>75%</w:t>
      </w:r>
      <w:r>
        <w:rPr>
          <w:sz w:val="24"/>
          <w:szCs w:val="24"/>
        </w:rPr>
        <w:t xml:space="preserve"> din suprafața liberă a dispozitivelor de evacuare a fumului și gazelor fierbinti. La stabilirea debitelor de calcul in variantele mixte, introducere aer compensare natural si evacuare mecanică se va considera o viteza de </w:t>
      </w:r>
      <w:r>
        <w:rPr>
          <w:b/>
          <w:bCs/>
          <w:sz w:val="24"/>
          <w:szCs w:val="24"/>
        </w:rPr>
        <w:t>1 m/s</w:t>
      </w:r>
      <w:r>
        <w:rPr>
          <w:sz w:val="24"/>
          <w:szCs w:val="24"/>
        </w:rPr>
        <w:t xml:space="preserve"> la gurile/ dispozitivele de introducere, respectiv introducere aer compensare mecanic si evacuare naturală, se va consiera o viteza de </w:t>
      </w:r>
      <w:r>
        <w:rPr>
          <w:b/>
          <w:bCs/>
          <w:sz w:val="24"/>
          <w:szCs w:val="24"/>
        </w:rPr>
        <w:t>1 m/s</w:t>
      </w:r>
      <w:r>
        <w:rPr>
          <w:sz w:val="24"/>
          <w:szCs w:val="24"/>
        </w:rPr>
        <w:t xml:space="preserve"> la gurile/ dispozitivele de evacuare. </w:t>
      </w:r>
    </w:p>
    <w:p w14:paraId="0253AFC9" w14:textId="77777777" w:rsidR="001C08A5" w:rsidRDefault="00000000">
      <w:pPr>
        <w:widowControl w:val="0"/>
        <w:jc w:val="both"/>
        <w:rPr>
          <w:sz w:val="24"/>
          <w:szCs w:val="24"/>
        </w:rPr>
      </w:pPr>
      <w:r>
        <w:rPr>
          <w:sz w:val="24"/>
          <w:szCs w:val="24"/>
        </w:rPr>
        <w:tab/>
      </w:r>
      <w:r>
        <w:rPr>
          <w:b/>
          <w:sz w:val="24"/>
          <w:szCs w:val="24"/>
        </w:rPr>
        <w:t xml:space="preserve">(7) </w:t>
      </w:r>
      <w:r>
        <w:rPr>
          <w:sz w:val="24"/>
          <w:szCs w:val="24"/>
        </w:rPr>
        <w:t xml:space="preserve">Încăperile care au uşi sau grile directe în exteriorul clădirii şi îndeplinesc condiţia de la </w:t>
      </w:r>
      <w:r>
        <w:rPr>
          <w:b/>
          <w:sz w:val="24"/>
          <w:szCs w:val="24"/>
        </w:rPr>
        <w:t>alin. (6)</w:t>
      </w:r>
      <w:r>
        <w:rPr>
          <w:sz w:val="24"/>
          <w:szCs w:val="24"/>
        </w:rPr>
        <w:t>, se consideră că asigură admisia de aer necesară evacuării fumului și a gazelor fierbinti în caz de incendiu, dacă acestea sunt echipate cu dispozitive automate şi manuale de deschidere în caz de incendiu.</w:t>
      </w:r>
    </w:p>
    <w:p w14:paraId="5F8B6618" w14:textId="77777777" w:rsidR="001C08A5" w:rsidRDefault="00000000">
      <w:pPr>
        <w:widowControl w:val="0"/>
        <w:jc w:val="both"/>
        <w:rPr>
          <w:sz w:val="24"/>
          <w:szCs w:val="24"/>
        </w:rPr>
      </w:pPr>
      <w:r>
        <w:rPr>
          <w:sz w:val="24"/>
          <w:szCs w:val="24"/>
        </w:rPr>
        <w:tab/>
      </w:r>
      <w:r>
        <w:rPr>
          <w:b/>
          <w:sz w:val="24"/>
          <w:szCs w:val="24"/>
        </w:rPr>
        <w:t>(8)</w:t>
      </w:r>
      <w:r>
        <w:rPr>
          <w:sz w:val="24"/>
          <w:szCs w:val="24"/>
        </w:rPr>
        <w:t xml:space="preserve"> Gurile de evacuare a fumului în caz de incendiu și cele de admisie a aerului pot fi permanent deschise (grile) sau închise, cu dispozitive care se deschid automat în caz de incendiu (trape, ferestre de evacuare a fumului sau voleţi) și sunt prevăzute şi cu acţionări manuale. </w:t>
      </w:r>
    </w:p>
    <w:p w14:paraId="01D889C8" w14:textId="77777777" w:rsidR="001C08A5" w:rsidRDefault="00000000">
      <w:pPr>
        <w:widowControl w:val="0"/>
        <w:ind w:firstLine="720"/>
        <w:jc w:val="both"/>
        <w:rPr>
          <w:sz w:val="24"/>
          <w:szCs w:val="24"/>
        </w:rPr>
      </w:pPr>
      <w:r>
        <w:rPr>
          <w:b/>
          <w:bCs/>
          <w:sz w:val="24"/>
          <w:szCs w:val="24"/>
        </w:rPr>
        <w:t xml:space="preserve">(9) </w:t>
      </w:r>
      <w:r>
        <w:rPr>
          <w:sz w:val="24"/>
          <w:szCs w:val="24"/>
        </w:rPr>
        <w:t xml:space="preserve">Oricare din gurile de evacuare în caz de incendiu sau cele de admisie a aerului, va avea dimensiunea cea mai mica de cel puţin </w:t>
      </w:r>
      <w:r>
        <w:rPr>
          <w:b/>
          <w:sz w:val="24"/>
          <w:szCs w:val="24"/>
        </w:rPr>
        <w:t>0,20</w:t>
      </w:r>
      <w:r>
        <w:rPr>
          <w:sz w:val="24"/>
          <w:szCs w:val="24"/>
        </w:rPr>
        <w:t xml:space="preserve"> m. </w:t>
      </w:r>
    </w:p>
    <w:p w14:paraId="6B2A66B7" w14:textId="77777777" w:rsidR="001C08A5" w:rsidRDefault="00000000">
      <w:pPr>
        <w:widowControl w:val="0"/>
        <w:ind w:firstLine="720"/>
        <w:jc w:val="both"/>
        <w:rPr>
          <w:sz w:val="24"/>
          <w:szCs w:val="24"/>
        </w:rPr>
      </w:pPr>
      <w:r>
        <w:rPr>
          <w:b/>
          <w:sz w:val="24"/>
          <w:szCs w:val="24"/>
        </w:rPr>
        <w:t>(10)</w:t>
      </w:r>
      <w:r>
        <w:rPr>
          <w:sz w:val="24"/>
          <w:szCs w:val="24"/>
        </w:rPr>
        <w:t xml:space="preserve"> Deschiderea dispozitivelor  de evacuare a  fumului şi gazelor fierbinţi în caz de incendiu se asigură automat, individual sau în grup şi va acţiona și deschiderea dispozitivelor de admisie a aerului.</w:t>
      </w:r>
    </w:p>
    <w:p w14:paraId="54B36900" w14:textId="77777777" w:rsidR="001C08A5" w:rsidRDefault="00000000">
      <w:pPr>
        <w:widowControl w:val="0"/>
        <w:jc w:val="both"/>
        <w:rPr>
          <w:spacing w:val="1"/>
          <w:sz w:val="24"/>
          <w:szCs w:val="24"/>
        </w:rPr>
      </w:pPr>
      <w:r>
        <w:rPr>
          <w:sz w:val="24"/>
          <w:szCs w:val="24"/>
        </w:rPr>
        <w:tab/>
      </w:r>
      <w:r>
        <w:rPr>
          <w:b/>
          <w:sz w:val="24"/>
          <w:szCs w:val="24"/>
        </w:rPr>
        <w:t xml:space="preserve">(11) </w:t>
      </w:r>
      <w:r>
        <w:rPr>
          <w:sz w:val="24"/>
          <w:szCs w:val="24"/>
        </w:rPr>
        <w:t xml:space="preserve">Atunci când se prevăd, în încăperea echipată cu dispozitive de de evacuare a fumului şi gazelor fierbinţi în caz de incendiu, voleţii vor fi cel puţin rezistenţi la foc cel puțin </w:t>
      </w:r>
      <w:r>
        <w:rPr>
          <w:b/>
          <w:bCs/>
          <w:sz w:val="24"/>
          <w:szCs w:val="24"/>
        </w:rPr>
        <w:t>EI60</w:t>
      </w:r>
      <w:r>
        <w:rPr>
          <w:b/>
          <w:bCs/>
          <w:sz w:val="24"/>
          <w:szCs w:val="24"/>
          <w:vertAlign w:val="subscript"/>
        </w:rPr>
        <w:t>multi</w:t>
      </w:r>
      <w:r>
        <w:rPr>
          <w:b/>
          <w:bCs/>
          <w:i/>
          <w:iCs/>
          <w:sz w:val="22"/>
          <w:szCs w:val="22"/>
          <w:vertAlign w:val="subscript"/>
        </w:rPr>
        <w:t xml:space="preserve">(i↔o) </w:t>
      </w:r>
      <w:r>
        <w:rPr>
          <w:sz w:val="24"/>
          <w:szCs w:val="24"/>
        </w:rPr>
        <w:t xml:space="preserve">la gurile de evacuare a fumului şi etanşi la foc cel puțin </w:t>
      </w:r>
      <w:r>
        <w:rPr>
          <w:b/>
          <w:sz w:val="22"/>
          <w:szCs w:val="22"/>
        </w:rPr>
        <w:t>E</w:t>
      </w:r>
      <w:r>
        <w:rPr>
          <w:b/>
          <w:sz w:val="22"/>
          <w:szCs w:val="22"/>
          <w:vertAlign w:val="subscript"/>
        </w:rPr>
        <w:t>600</w:t>
      </w:r>
      <w:r>
        <w:rPr>
          <w:b/>
          <w:sz w:val="22"/>
          <w:szCs w:val="22"/>
        </w:rPr>
        <w:t xml:space="preserve">60 </w:t>
      </w:r>
      <w:r>
        <w:rPr>
          <w:b/>
          <w:sz w:val="22"/>
          <w:szCs w:val="22"/>
          <w:vertAlign w:val="subscript"/>
        </w:rPr>
        <w:t>single</w:t>
      </w:r>
      <w:r>
        <w:rPr>
          <w:b/>
          <w:bCs/>
          <w:sz w:val="22"/>
          <w:szCs w:val="22"/>
          <w:vertAlign w:val="subscript"/>
        </w:rPr>
        <w:t xml:space="preserve">(i↔o) </w:t>
      </w:r>
      <w:r>
        <w:rPr>
          <w:sz w:val="24"/>
          <w:szCs w:val="24"/>
        </w:rPr>
        <w:t xml:space="preserve">la gurile de admisie a aerului, normal închişi în poziţie de aşteptare. Prevederea voleţilor nu este obligatorie în situaţiile în care se evacuează fumul dintr-un singur nivel sau tubulatura aferentă </w:t>
      </w:r>
      <w:r>
        <w:rPr>
          <w:spacing w:val="1"/>
          <w:sz w:val="24"/>
          <w:szCs w:val="24"/>
        </w:rPr>
        <w:t>serveşte unui singur nivel al construcţiei.</w:t>
      </w:r>
    </w:p>
    <w:p w14:paraId="01D012C6" w14:textId="77777777" w:rsidR="001C08A5" w:rsidRDefault="00000000">
      <w:pPr>
        <w:widowControl w:val="0"/>
        <w:jc w:val="center"/>
        <w:rPr>
          <w:i/>
          <w:sz w:val="24"/>
          <w:szCs w:val="24"/>
        </w:rPr>
      </w:pPr>
      <w:r>
        <w:rPr>
          <w:noProof/>
          <w:lang w:eastAsia="ro-RO"/>
        </w:rPr>
        <w:lastRenderedPageBreak/>
        <w:drawing>
          <wp:inline distT="0" distB="0" distL="0" distR="0" wp14:anchorId="3FB32394" wp14:editId="5668B636">
            <wp:extent cx="4761865" cy="1419860"/>
            <wp:effectExtent l="0" t="0" r="635" b="8890"/>
            <wp:docPr id="1147" name="Picture 92"/>
            <wp:cNvGraphicFramePr/>
            <a:graphic xmlns:a="http://schemas.openxmlformats.org/drawingml/2006/main">
              <a:graphicData uri="http://schemas.openxmlformats.org/drawingml/2006/picture">
                <pic:pic xmlns:pic="http://schemas.openxmlformats.org/drawingml/2006/picture">
                  <pic:nvPicPr>
                    <pic:cNvPr id="1147" name="Picture 92"/>
                    <pic:cNvPicPr/>
                  </pic:nvPicPr>
                  <pic:blipFill>
                    <a:blip r:embed="rId70" cstate="print"/>
                    <a:srcRect l="21909" t="23003" r="15021" b="41425"/>
                    <a:stretch>
                      <a:fillRect/>
                    </a:stretch>
                  </pic:blipFill>
                  <pic:spPr>
                    <a:xfrm>
                      <a:off x="0" y="0"/>
                      <a:ext cx="4761865" cy="1419860"/>
                    </a:xfrm>
                    <a:prstGeom prst="rect">
                      <a:avLst/>
                    </a:prstGeom>
                    <a:ln>
                      <a:noFill/>
                    </a:ln>
                  </pic:spPr>
                </pic:pic>
              </a:graphicData>
            </a:graphic>
          </wp:inline>
        </w:drawing>
      </w:r>
    </w:p>
    <w:p w14:paraId="266CED61" w14:textId="77777777" w:rsidR="001C08A5" w:rsidRDefault="00000000">
      <w:pPr>
        <w:pStyle w:val="Caption"/>
        <w:widowControl w:val="0"/>
        <w:jc w:val="center"/>
        <w:rPr>
          <w:rFonts w:cs="Times New Roman"/>
          <w:bCs/>
        </w:rPr>
      </w:pPr>
      <w:bookmarkStart w:id="5521" w:name="_Ref28707"/>
      <w:bookmarkStart w:id="5522" w:name="_Toc14622"/>
      <w:bookmarkStart w:id="5523" w:name="_Toc26071"/>
      <w:bookmarkStart w:id="5524" w:name="_Toc16556"/>
      <w:bookmarkStart w:id="5525" w:name="_Toc503"/>
      <w:bookmarkStart w:id="5526" w:name="_Toc22744"/>
      <w:bookmarkStart w:id="5527" w:name="_Toc7072"/>
      <w:bookmarkStart w:id="5528" w:name="_Toc162360302"/>
      <w:r>
        <w:t xml:space="preserve">Figura </w:t>
      </w:r>
      <w:r>
        <w:fldChar w:fldCharType="begin"/>
      </w:r>
      <w:r>
        <w:instrText xml:space="preserve"> SEQ Figura \* ARABIC </w:instrText>
      </w:r>
      <w:r>
        <w:fldChar w:fldCharType="separate"/>
      </w:r>
      <w:r>
        <w:t>78</w:t>
      </w:r>
      <w:r>
        <w:fldChar w:fldCharType="end"/>
      </w:r>
      <w:bookmarkStart w:id="5529" w:name="_Toc21846"/>
      <w:bookmarkStart w:id="5530" w:name="_Toc29623"/>
      <w:bookmarkStart w:id="5531" w:name="_Toc30658"/>
      <w:bookmarkStart w:id="5532" w:name="_Toc5967"/>
      <w:bookmarkStart w:id="5533" w:name="_Toc27971"/>
      <w:bookmarkStart w:id="5534" w:name="_Toc12036"/>
      <w:bookmarkStart w:id="5535" w:name="_Toc15634"/>
      <w:bookmarkStart w:id="5536" w:name="_Toc26995"/>
      <w:bookmarkStart w:id="5537" w:name="_Toc24581"/>
      <w:bookmarkStart w:id="5538" w:name="_Toc6581"/>
      <w:bookmarkStart w:id="5539" w:name="_Toc15489"/>
      <w:bookmarkEnd w:id="5521"/>
      <w:r>
        <w:t xml:space="preserve"> - </w:t>
      </w:r>
      <w:r>
        <w:rPr>
          <w:rFonts w:cs="Times New Roman"/>
          <w:bCs/>
        </w:rPr>
        <w:t>Dispunerea pe înălţime a gurilor de evacuare a fumului şi a celor de admisie a aerului</w:t>
      </w:r>
      <w:bookmarkEnd w:id="5522"/>
      <w:bookmarkEnd w:id="5523"/>
      <w:bookmarkEnd w:id="5524"/>
      <w:bookmarkEnd w:id="5525"/>
      <w:bookmarkEnd w:id="5526"/>
      <w:bookmarkEnd w:id="5527"/>
      <w:bookmarkEnd w:id="5529"/>
      <w:bookmarkEnd w:id="5530"/>
      <w:bookmarkEnd w:id="5531"/>
      <w:r>
        <w:rPr>
          <w:rFonts w:cs="Times New Roman"/>
          <w:bCs/>
        </w:rPr>
        <w:t xml:space="preserve"> pentru încăperi/spatii cu înăltimea liberă de maxim 3m</w:t>
      </w:r>
      <w:bookmarkEnd w:id="5528"/>
      <w:bookmarkEnd w:id="5532"/>
      <w:bookmarkEnd w:id="5533"/>
      <w:bookmarkEnd w:id="5534"/>
      <w:bookmarkEnd w:id="5535"/>
      <w:bookmarkEnd w:id="5536"/>
      <w:bookmarkEnd w:id="5537"/>
      <w:bookmarkEnd w:id="5538"/>
      <w:bookmarkEnd w:id="5539"/>
    </w:p>
    <w:p w14:paraId="3BDB659A" w14:textId="77777777" w:rsidR="001C08A5" w:rsidRDefault="001C08A5">
      <w:pPr>
        <w:pStyle w:val="Caption"/>
        <w:widowControl w:val="0"/>
        <w:jc w:val="center"/>
        <w:rPr>
          <w:rFonts w:cs="Times New Roman"/>
          <w:bCs/>
        </w:rPr>
      </w:pPr>
    </w:p>
    <w:p w14:paraId="6AD59ABC" w14:textId="77777777" w:rsidR="001C08A5" w:rsidRDefault="00000000">
      <w:pPr>
        <w:widowControl w:val="0"/>
        <w:ind w:firstLine="720"/>
        <w:jc w:val="both"/>
        <w:rPr>
          <w:spacing w:val="1"/>
          <w:sz w:val="24"/>
          <w:szCs w:val="24"/>
        </w:rPr>
      </w:pPr>
      <w:r>
        <w:rPr>
          <w:b/>
          <w:sz w:val="24"/>
          <w:szCs w:val="24"/>
        </w:rPr>
        <w:t xml:space="preserve">Art. 8.1.11. </w:t>
      </w:r>
      <w:r>
        <w:rPr>
          <w:sz w:val="24"/>
          <w:szCs w:val="24"/>
        </w:rPr>
        <w:t xml:space="preserve">Dispozitivele de de evacuare a fumului şi gazelor fierbinţi în caz de incendiu prin tiraj natural-organizat, amplasate în pereţii exteriori sau în acoperişul clădirii (goluri, grile, trape, ferestre cu deschidere automată, voleţi), pot asigura evacuarea fumului din încăperea respectiva pe distanţa de maximum </w:t>
      </w:r>
      <w:r>
        <w:rPr>
          <w:b/>
          <w:sz w:val="24"/>
          <w:szCs w:val="24"/>
        </w:rPr>
        <w:t>30</w:t>
      </w:r>
      <w:r>
        <w:rPr>
          <w:sz w:val="24"/>
          <w:szCs w:val="24"/>
        </w:rPr>
        <w:t xml:space="preserve"> m. </w:t>
      </w:r>
    </w:p>
    <w:p w14:paraId="1F9E1DAD" w14:textId="77777777" w:rsidR="001C08A5" w:rsidRDefault="00000000">
      <w:pPr>
        <w:widowControl w:val="0"/>
        <w:shd w:val="clear" w:color="auto" w:fill="FFFFFF"/>
        <w:tabs>
          <w:tab w:val="left" w:pos="682"/>
          <w:tab w:val="left" w:pos="1134"/>
          <w:tab w:val="left" w:pos="2268"/>
          <w:tab w:val="left" w:pos="3402"/>
          <w:tab w:val="left" w:pos="4536"/>
          <w:tab w:val="left" w:pos="5670"/>
          <w:tab w:val="left" w:pos="6804"/>
          <w:tab w:val="left" w:pos="7938"/>
          <w:tab w:val="left" w:pos="9072"/>
        </w:tabs>
        <w:jc w:val="both"/>
        <w:rPr>
          <w:b/>
          <w:sz w:val="24"/>
          <w:szCs w:val="24"/>
        </w:rPr>
      </w:pPr>
      <w:r>
        <w:rPr>
          <w:spacing w:val="1"/>
          <w:sz w:val="24"/>
          <w:szCs w:val="24"/>
        </w:rPr>
        <w:tab/>
      </w:r>
      <w:r>
        <w:rPr>
          <w:spacing w:val="1"/>
          <w:sz w:val="24"/>
          <w:szCs w:val="24"/>
        </w:rPr>
        <w:tab/>
      </w:r>
    </w:p>
    <w:p w14:paraId="0FE54799" w14:textId="77777777" w:rsidR="001C08A5" w:rsidRDefault="00000000">
      <w:pPr>
        <w:spacing w:line="232" w:lineRule="auto"/>
        <w:ind w:left="2" w:firstLine="720"/>
        <w:jc w:val="both"/>
        <w:rPr>
          <w:b/>
          <w:sz w:val="32"/>
          <w:szCs w:val="32"/>
        </w:rPr>
      </w:pPr>
      <w:r>
        <w:rPr>
          <w:b/>
          <w:sz w:val="24"/>
          <w:szCs w:val="24"/>
        </w:rPr>
        <w:t xml:space="preserve">Art. 8.1.12. (1) </w:t>
      </w:r>
      <w:r>
        <w:rPr>
          <w:sz w:val="24"/>
          <w:szCs w:val="24"/>
        </w:rPr>
        <w:t>Dispunerea ecranelor coborâte sub acoperiş sau sub planşeul superior al spaţiului protejat, în sistemul de evacuare prin tiraj natural-organizat, se realizează în funcţie de prevederile normate, alcatuind rezervoare de fum</w:t>
      </w:r>
      <w:r>
        <w:rPr>
          <w:b/>
          <w:bCs/>
          <w:sz w:val="24"/>
          <w:szCs w:val="24"/>
        </w:rPr>
        <w:t xml:space="preserve">. </w:t>
      </w:r>
      <w:r>
        <w:rPr>
          <w:sz w:val="24"/>
          <w:szCs w:val="24"/>
        </w:rPr>
        <w:t xml:space="preserve">Rezervoarele de fum sunt separate prin bariere de fum minimumclasa </w:t>
      </w:r>
      <w:r>
        <w:rPr>
          <w:b/>
          <w:bCs/>
          <w:sz w:val="24"/>
          <w:szCs w:val="24"/>
        </w:rPr>
        <w:t xml:space="preserve">DH30 </w:t>
      </w:r>
      <w:r>
        <w:rPr>
          <w:sz w:val="24"/>
          <w:szCs w:val="24"/>
        </w:rPr>
        <w:t xml:space="preserve">sau elemente constructive structurale cu rezistenta la foc de minim </w:t>
      </w:r>
      <w:r>
        <w:rPr>
          <w:b/>
          <w:bCs/>
          <w:sz w:val="24"/>
          <w:szCs w:val="24"/>
        </w:rPr>
        <w:t>30</w:t>
      </w:r>
      <w:r>
        <w:rPr>
          <w:sz w:val="24"/>
          <w:szCs w:val="24"/>
        </w:rPr>
        <w:t xml:space="preserve"> de minute. </w:t>
      </w:r>
      <w:r>
        <w:rPr>
          <w:rFonts w:eastAsia="Arial"/>
          <w:bCs/>
          <w:sz w:val="24"/>
          <w:szCs w:val="24"/>
        </w:rPr>
        <w:t>Limitele geometrice ale unui rezervor de fum pot fi date de toate elementele de construcţii (pereți interiori sau exteriori opaci, elemente vitrate, grinzi sau ecrane, etc.) care separă spațiul în zone de evacuare a fumului și a gazelor fierbinți. În toate situaţiile, delimitările zonelor pentru care se efectuează calculul de evacuare a fumului, trebuie sa fie cu minimum același timp de rezistența la foc și aceeași înălțime precum sunt definite în cazurile particulare din cadrul normativului.</w:t>
      </w:r>
    </w:p>
    <w:p w14:paraId="69F87293" w14:textId="77777777" w:rsidR="001C08A5" w:rsidRDefault="00000000">
      <w:pPr>
        <w:spacing w:line="232" w:lineRule="auto"/>
        <w:ind w:left="2" w:firstLine="720"/>
        <w:jc w:val="both"/>
        <w:rPr>
          <w:b/>
          <w:sz w:val="24"/>
          <w:szCs w:val="24"/>
        </w:rPr>
      </w:pPr>
      <w:r>
        <w:rPr>
          <w:b/>
          <w:sz w:val="24"/>
          <w:szCs w:val="24"/>
        </w:rPr>
        <w:t xml:space="preserve">(2) </w:t>
      </w:r>
      <w:r>
        <w:rPr>
          <w:sz w:val="24"/>
          <w:szCs w:val="24"/>
        </w:rPr>
        <w:t xml:space="preserve">Ecranele continui se fixeaza de  elementele de rezistenţă ale constructiei din zona riscului potenţial de incendiu. </w:t>
      </w:r>
    </w:p>
    <w:p w14:paraId="7B5061DE" w14:textId="77777777" w:rsidR="001C08A5" w:rsidRDefault="00000000">
      <w:pPr>
        <w:widowControl w:val="0"/>
        <w:ind w:firstLine="720"/>
        <w:jc w:val="both"/>
        <w:rPr>
          <w:bCs/>
          <w:sz w:val="24"/>
          <w:szCs w:val="24"/>
        </w:rPr>
      </w:pPr>
      <w:r>
        <w:rPr>
          <w:b/>
          <w:sz w:val="24"/>
          <w:szCs w:val="24"/>
        </w:rPr>
        <w:t xml:space="preserve">(3) </w:t>
      </w:r>
      <w:r>
        <w:rPr>
          <w:bCs/>
          <w:sz w:val="24"/>
          <w:szCs w:val="24"/>
        </w:rPr>
        <w:t xml:space="preserve">Lungimea maximă a rezervorului de fum de-a lungul oricărei axe nu va depăşi </w:t>
      </w:r>
      <w:r>
        <w:rPr>
          <w:b/>
          <w:sz w:val="24"/>
          <w:szCs w:val="24"/>
        </w:rPr>
        <w:t xml:space="preserve">60 m </w:t>
      </w:r>
      <w:r>
        <w:rPr>
          <w:bCs/>
          <w:sz w:val="24"/>
          <w:szCs w:val="24"/>
        </w:rPr>
        <w:t xml:space="preserve">(conform </w:t>
      </w:r>
      <w:r>
        <w:rPr>
          <w:b/>
          <w:bCs/>
          <w:i/>
          <w:iCs/>
          <w:sz w:val="24"/>
          <w:szCs w:val="24"/>
        </w:rPr>
        <w:fldChar w:fldCharType="begin"/>
      </w:r>
      <w:r>
        <w:rPr>
          <w:b/>
          <w:bCs/>
          <w:i/>
          <w:iCs/>
          <w:sz w:val="24"/>
          <w:szCs w:val="24"/>
        </w:rPr>
        <w:instrText xml:space="preserve"> REF _Ref28841 \h </w:instrText>
      </w:r>
      <w:r>
        <w:rPr>
          <w:b/>
          <w:bCs/>
          <w:i/>
          <w:iCs/>
          <w:sz w:val="24"/>
          <w:szCs w:val="24"/>
        </w:rPr>
      </w:r>
      <w:r>
        <w:rPr>
          <w:b/>
          <w:bCs/>
          <w:i/>
          <w:iCs/>
          <w:sz w:val="24"/>
          <w:szCs w:val="24"/>
        </w:rPr>
        <w:fldChar w:fldCharType="separate"/>
      </w:r>
      <w:r>
        <w:t>Figura 79</w:t>
      </w:r>
      <w:r>
        <w:rPr>
          <w:b/>
          <w:bCs/>
          <w:i/>
          <w:iCs/>
          <w:sz w:val="24"/>
          <w:szCs w:val="24"/>
        </w:rPr>
        <w:fldChar w:fldCharType="end"/>
      </w:r>
      <w:r>
        <w:rPr>
          <w:bCs/>
          <w:sz w:val="24"/>
          <w:szCs w:val="24"/>
        </w:rPr>
        <w:t>).</w:t>
      </w:r>
    </w:p>
    <w:p w14:paraId="55C77423" w14:textId="77777777" w:rsidR="001C08A5" w:rsidRDefault="001C08A5">
      <w:pPr>
        <w:widowControl w:val="0"/>
        <w:ind w:firstLine="720"/>
        <w:jc w:val="both"/>
        <w:rPr>
          <w:bCs/>
          <w:sz w:val="24"/>
          <w:szCs w:val="24"/>
        </w:rPr>
      </w:pPr>
    </w:p>
    <w:p w14:paraId="5FBF5188" w14:textId="77777777" w:rsidR="001C08A5" w:rsidRDefault="00000000">
      <w:pPr>
        <w:widowControl w:val="0"/>
        <w:jc w:val="both"/>
        <w:rPr>
          <w:sz w:val="24"/>
          <w:szCs w:val="24"/>
        </w:rPr>
      </w:pPr>
      <w:r>
        <w:rPr>
          <w:noProof/>
          <w:lang w:eastAsia="ro-RO"/>
        </w:rPr>
        <w:drawing>
          <wp:inline distT="0" distB="0" distL="0" distR="0" wp14:anchorId="0A232078" wp14:editId="00A14FD3">
            <wp:extent cx="5878830" cy="855980"/>
            <wp:effectExtent l="0" t="0" r="7620" b="635"/>
            <wp:docPr id="1148" name="Picture 93"/>
            <wp:cNvGraphicFramePr/>
            <a:graphic xmlns:a="http://schemas.openxmlformats.org/drawingml/2006/main">
              <a:graphicData uri="http://schemas.openxmlformats.org/drawingml/2006/picture">
                <pic:pic xmlns:pic="http://schemas.openxmlformats.org/drawingml/2006/picture">
                  <pic:nvPicPr>
                    <pic:cNvPr id="1148" name="Picture 93"/>
                    <pic:cNvPicPr/>
                  </pic:nvPicPr>
                  <pic:blipFill>
                    <a:blip r:embed="rId217" cstate="print"/>
                    <a:srcRect l="14912" t="41441" r="7225" b="37098"/>
                    <a:stretch>
                      <a:fillRect/>
                    </a:stretch>
                  </pic:blipFill>
                  <pic:spPr>
                    <a:xfrm>
                      <a:off x="0" y="0"/>
                      <a:ext cx="5878830" cy="856614"/>
                    </a:xfrm>
                    <a:prstGeom prst="rect">
                      <a:avLst/>
                    </a:prstGeom>
                    <a:ln>
                      <a:noFill/>
                    </a:ln>
                  </pic:spPr>
                </pic:pic>
              </a:graphicData>
            </a:graphic>
          </wp:inline>
        </w:drawing>
      </w:r>
    </w:p>
    <w:p w14:paraId="49A7C10C" w14:textId="77777777" w:rsidR="001C08A5" w:rsidRDefault="00000000">
      <w:pPr>
        <w:pStyle w:val="Caption"/>
        <w:widowControl w:val="0"/>
        <w:jc w:val="center"/>
        <w:rPr>
          <w:rFonts w:cs="Times New Roman"/>
        </w:rPr>
      </w:pPr>
      <w:bookmarkStart w:id="5540" w:name="_Ref28841"/>
      <w:bookmarkStart w:id="5541" w:name="_Toc5766"/>
      <w:bookmarkStart w:id="5542" w:name="_Toc14747"/>
      <w:bookmarkStart w:id="5543" w:name="_Toc16694"/>
      <w:bookmarkStart w:id="5544" w:name="_Toc44"/>
      <w:bookmarkStart w:id="5545" w:name="_Toc10036"/>
      <w:bookmarkStart w:id="5546" w:name="_Toc16099"/>
      <w:bookmarkStart w:id="5547" w:name="_Toc162360303"/>
      <w:r>
        <w:t xml:space="preserve">Figura </w:t>
      </w:r>
      <w:r>
        <w:fldChar w:fldCharType="begin"/>
      </w:r>
      <w:r>
        <w:instrText xml:space="preserve"> SEQ Figura \* ARABIC </w:instrText>
      </w:r>
      <w:r>
        <w:fldChar w:fldCharType="separate"/>
      </w:r>
      <w:r>
        <w:t>79</w:t>
      </w:r>
      <w:r>
        <w:fldChar w:fldCharType="end"/>
      </w:r>
      <w:bookmarkStart w:id="5548" w:name="_Toc19748"/>
      <w:bookmarkStart w:id="5549" w:name="_Toc25351"/>
      <w:bookmarkStart w:id="5550" w:name="_Toc5912"/>
      <w:bookmarkStart w:id="5551" w:name="_Toc30968"/>
      <w:bookmarkStart w:id="5552" w:name="_Toc21685"/>
      <w:bookmarkStart w:id="5553" w:name="_Toc8298"/>
      <w:bookmarkStart w:id="5554" w:name="_Toc20212"/>
      <w:bookmarkStart w:id="5555" w:name="_Toc6207"/>
      <w:bookmarkStart w:id="5556" w:name="_Toc4770"/>
      <w:bookmarkStart w:id="5557" w:name="_Toc27858"/>
      <w:bookmarkStart w:id="5558" w:name="_Toc21443"/>
      <w:bookmarkEnd w:id="5540"/>
      <w:r>
        <w:t xml:space="preserve"> - </w:t>
      </w:r>
      <w:r>
        <w:rPr>
          <w:rFonts w:cs="Times New Roman"/>
          <w:bCs/>
        </w:rPr>
        <w:t>Lungimea maximă a rezervorului de fum</w:t>
      </w:r>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p>
    <w:p w14:paraId="43A5BFC0" w14:textId="77777777" w:rsidR="001C08A5" w:rsidRDefault="00000000">
      <w:pPr>
        <w:spacing w:line="232" w:lineRule="auto"/>
        <w:ind w:left="2" w:firstLine="720"/>
        <w:jc w:val="both"/>
        <w:rPr>
          <w:rFonts w:eastAsia="Arial"/>
          <w:bCs/>
          <w:sz w:val="24"/>
          <w:szCs w:val="24"/>
        </w:rPr>
      </w:pPr>
      <w:r>
        <w:rPr>
          <w:b/>
          <w:sz w:val="24"/>
          <w:szCs w:val="24"/>
        </w:rPr>
        <w:t xml:space="preserve">Art. 8.1.13. </w:t>
      </w:r>
      <w:r>
        <w:rPr>
          <w:rFonts w:eastAsia="Arial"/>
          <w:bCs/>
          <w:sz w:val="24"/>
          <w:szCs w:val="24"/>
        </w:rPr>
        <w:t xml:space="preserve">Dacă incendiul este direct sub rezervorul de fum, aria maximă a oricărui rezervor nu trebuie să depașească </w:t>
      </w:r>
      <w:r>
        <w:rPr>
          <w:rFonts w:eastAsia="Arial"/>
          <w:b/>
          <w:sz w:val="24"/>
          <w:szCs w:val="24"/>
        </w:rPr>
        <w:t>2.000 m</w:t>
      </w:r>
      <w:r>
        <w:rPr>
          <w:rFonts w:eastAsia="Arial"/>
          <w:b/>
          <w:sz w:val="24"/>
          <w:szCs w:val="24"/>
          <w:vertAlign w:val="superscript"/>
        </w:rPr>
        <w:t>2</w:t>
      </w:r>
      <w:r>
        <w:rPr>
          <w:rFonts w:eastAsia="Arial"/>
          <w:bCs/>
          <w:sz w:val="24"/>
          <w:szCs w:val="24"/>
        </w:rPr>
        <w:t xml:space="preserve"> dacă există un sistem de evacuare natural-organizata a fumului sau</w:t>
      </w:r>
      <w:r>
        <w:rPr>
          <w:rFonts w:eastAsia="Arial"/>
          <w:b/>
          <w:sz w:val="24"/>
          <w:szCs w:val="24"/>
        </w:rPr>
        <w:t xml:space="preserve"> 2.600 m</w:t>
      </w:r>
      <w:r>
        <w:rPr>
          <w:rFonts w:eastAsia="Arial"/>
          <w:b/>
          <w:sz w:val="24"/>
          <w:szCs w:val="24"/>
          <w:vertAlign w:val="superscript"/>
        </w:rPr>
        <w:t>2</w:t>
      </w:r>
      <w:r>
        <w:rPr>
          <w:rFonts w:eastAsia="Arial"/>
          <w:bCs/>
          <w:sz w:val="24"/>
          <w:szCs w:val="24"/>
        </w:rPr>
        <w:t xml:space="preserve"> dacă există ventilatoare mecanice de evacuare a fumului. Dacă incendiul este într-o încăpere adiacentă spaţiului care conţine rezervorul sau este sub un mezanin închis în acelaşi spaţiu (de exemplu mall-uri mono şi multietajate şi atriumuri), aria maximă a încăperii incendiate (sau supantei) acceptată să facă gazele din fum să curgă în rezervorul de fum trebuie să fie de </w:t>
      </w:r>
      <w:r>
        <w:rPr>
          <w:rFonts w:eastAsia="Arial"/>
          <w:b/>
          <w:sz w:val="24"/>
          <w:szCs w:val="24"/>
        </w:rPr>
        <w:t>1000 m</w:t>
      </w:r>
      <w:r>
        <w:rPr>
          <w:rFonts w:eastAsia="Arial"/>
          <w:b/>
          <w:sz w:val="24"/>
          <w:szCs w:val="24"/>
          <w:vertAlign w:val="superscript"/>
        </w:rPr>
        <w:t>2</w:t>
      </w:r>
      <w:r>
        <w:rPr>
          <w:rFonts w:eastAsia="Arial"/>
          <w:bCs/>
          <w:sz w:val="24"/>
          <w:szCs w:val="24"/>
        </w:rPr>
        <w:t xml:space="preserve"> dacă există evacuare naturală a fumului sau </w:t>
      </w:r>
      <w:r>
        <w:rPr>
          <w:rFonts w:eastAsia="Arial"/>
          <w:b/>
          <w:sz w:val="24"/>
          <w:szCs w:val="24"/>
        </w:rPr>
        <w:t>1300 m</w:t>
      </w:r>
      <w:r>
        <w:rPr>
          <w:rFonts w:eastAsia="Arial"/>
          <w:b/>
          <w:sz w:val="24"/>
          <w:szCs w:val="24"/>
          <w:vertAlign w:val="superscript"/>
        </w:rPr>
        <w:t>2</w:t>
      </w:r>
      <w:r>
        <w:rPr>
          <w:rFonts w:eastAsia="Arial"/>
          <w:bCs/>
          <w:sz w:val="24"/>
          <w:szCs w:val="24"/>
        </w:rPr>
        <w:t xml:space="preserve"> dacă există ventilatoare mecanice de evacuare a fumului. Aria maximă a rezervorului de fum trebuie să fie de </w:t>
      </w:r>
      <w:r>
        <w:rPr>
          <w:rFonts w:eastAsia="Arial"/>
          <w:b/>
          <w:sz w:val="24"/>
          <w:szCs w:val="24"/>
        </w:rPr>
        <w:t>1000 m</w:t>
      </w:r>
      <w:r>
        <w:rPr>
          <w:rFonts w:eastAsia="Arial"/>
          <w:b/>
          <w:sz w:val="24"/>
          <w:szCs w:val="24"/>
          <w:vertAlign w:val="superscript"/>
        </w:rPr>
        <w:t>2</w:t>
      </w:r>
      <w:r>
        <w:rPr>
          <w:rFonts w:eastAsia="Arial"/>
          <w:bCs/>
          <w:sz w:val="24"/>
          <w:szCs w:val="24"/>
        </w:rPr>
        <w:t xml:space="preserve"> dacă există evacuare naturală a fumului sau </w:t>
      </w:r>
      <w:r>
        <w:rPr>
          <w:rFonts w:eastAsia="Arial"/>
          <w:b/>
          <w:sz w:val="24"/>
          <w:szCs w:val="24"/>
        </w:rPr>
        <w:t>1300 m</w:t>
      </w:r>
      <w:r>
        <w:rPr>
          <w:rFonts w:eastAsia="Arial"/>
          <w:b/>
          <w:sz w:val="24"/>
          <w:szCs w:val="24"/>
          <w:vertAlign w:val="superscript"/>
        </w:rPr>
        <w:t>2</w:t>
      </w:r>
      <w:r>
        <w:rPr>
          <w:rFonts w:eastAsia="Arial"/>
          <w:bCs/>
          <w:sz w:val="24"/>
          <w:szCs w:val="24"/>
        </w:rPr>
        <w:t xml:space="preserve"> dacă există ventilatoare mecanice de evacuare a fumului.</w:t>
      </w:r>
    </w:p>
    <w:p w14:paraId="48BA1326" w14:textId="77777777" w:rsidR="001C08A5" w:rsidRDefault="001C08A5">
      <w:pPr>
        <w:spacing w:line="232" w:lineRule="auto"/>
        <w:ind w:left="2" w:firstLine="720"/>
        <w:jc w:val="both"/>
        <w:rPr>
          <w:rFonts w:eastAsia="Arial"/>
          <w:bCs/>
          <w:sz w:val="24"/>
          <w:szCs w:val="24"/>
        </w:rPr>
      </w:pPr>
    </w:p>
    <w:p w14:paraId="257D6FF3" w14:textId="77777777" w:rsidR="001C08A5" w:rsidRDefault="00000000">
      <w:pPr>
        <w:widowControl w:val="0"/>
        <w:tabs>
          <w:tab w:val="left" w:pos="1134"/>
          <w:tab w:val="left" w:pos="2268"/>
          <w:tab w:val="left" w:pos="3402"/>
          <w:tab w:val="left" w:pos="4536"/>
          <w:tab w:val="left" w:pos="5670"/>
          <w:tab w:val="left" w:pos="6804"/>
          <w:tab w:val="left" w:pos="7938"/>
          <w:tab w:val="left" w:pos="9072"/>
        </w:tabs>
        <w:jc w:val="both"/>
        <w:rPr>
          <w:sz w:val="24"/>
          <w:szCs w:val="24"/>
        </w:rPr>
      </w:pPr>
      <w:r>
        <w:rPr>
          <w:b/>
          <w:sz w:val="24"/>
          <w:szCs w:val="24"/>
        </w:rPr>
        <w:tab/>
        <w:t xml:space="preserve">Art. 8.1.14. </w:t>
      </w:r>
      <w:r>
        <w:rPr>
          <w:b/>
          <w:bCs/>
          <w:sz w:val="24"/>
          <w:szCs w:val="24"/>
        </w:rPr>
        <w:t xml:space="preserve">(1) </w:t>
      </w:r>
      <w:r>
        <w:rPr>
          <w:sz w:val="24"/>
          <w:szCs w:val="24"/>
        </w:rPr>
        <w:t xml:space="preserve">La construcţiile etajate, evacuarea fumului în caz de incendiu (a nivelurilor supraterane) se asigură în general separat pentru fiecare nivel al clădirii, iar canalele comune colectoare (conductele rezistente la foc de evacuare a fumului monocompartiment sau multicompartiment) care traversează alte niveluri ale construcţiei, trebuie să îndeplinească una dintre următoarele condiţii, prevăzute în </w:t>
      </w:r>
      <w:r>
        <w:rPr>
          <w:b/>
          <w:bCs/>
          <w:i/>
          <w:iCs/>
          <w:sz w:val="24"/>
          <w:szCs w:val="24"/>
        </w:rPr>
        <w:fldChar w:fldCharType="begin"/>
      </w:r>
      <w:r>
        <w:rPr>
          <w:b/>
          <w:bCs/>
          <w:i/>
          <w:iCs/>
          <w:sz w:val="24"/>
          <w:szCs w:val="24"/>
        </w:rPr>
        <w:instrText xml:space="preserve"> REF _Ref20388 \h </w:instrText>
      </w:r>
      <w:r>
        <w:rPr>
          <w:b/>
          <w:bCs/>
          <w:i/>
          <w:iCs/>
          <w:sz w:val="24"/>
          <w:szCs w:val="24"/>
        </w:rPr>
      </w:r>
      <w:r>
        <w:rPr>
          <w:b/>
          <w:bCs/>
          <w:i/>
          <w:iCs/>
          <w:sz w:val="24"/>
          <w:szCs w:val="24"/>
        </w:rPr>
        <w:fldChar w:fldCharType="separate"/>
      </w:r>
      <w:r>
        <w:t>Tabelul 118</w:t>
      </w:r>
      <w:r>
        <w:rPr>
          <w:b/>
          <w:bCs/>
          <w:i/>
          <w:iCs/>
          <w:sz w:val="24"/>
          <w:szCs w:val="24"/>
        </w:rPr>
        <w:fldChar w:fldCharType="end"/>
      </w:r>
      <w:r>
        <w:rPr>
          <w:sz w:val="24"/>
          <w:szCs w:val="24"/>
        </w:rPr>
        <w:t>:</w:t>
      </w:r>
    </w:p>
    <w:p w14:paraId="583C7A45" w14:textId="77777777" w:rsidR="001C08A5" w:rsidRDefault="001C08A5">
      <w:pPr>
        <w:widowControl w:val="0"/>
        <w:tabs>
          <w:tab w:val="left" w:pos="1134"/>
          <w:tab w:val="left" w:pos="2268"/>
          <w:tab w:val="left" w:pos="3402"/>
          <w:tab w:val="left" w:pos="4536"/>
          <w:tab w:val="left" w:pos="5670"/>
          <w:tab w:val="left" w:pos="6804"/>
          <w:tab w:val="left" w:pos="7938"/>
          <w:tab w:val="left" w:pos="9072"/>
        </w:tabs>
        <w:jc w:val="both"/>
        <w:rPr>
          <w:sz w:val="24"/>
          <w:szCs w:val="24"/>
        </w:rPr>
      </w:pPr>
    </w:p>
    <w:p w14:paraId="232B7D5D" w14:textId="77777777" w:rsidR="001C08A5" w:rsidRDefault="00000000">
      <w:pPr>
        <w:pStyle w:val="Captiontabel"/>
      </w:pPr>
      <w:bookmarkStart w:id="5559" w:name="_Ref20388"/>
      <w:bookmarkStart w:id="5560" w:name="_Toc162360168"/>
      <w:r>
        <w:lastRenderedPageBreak/>
        <w:t xml:space="preserve">Tabelul </w:t>
      </w:r>
      <w:r>
        <w:fldChar w:fldCharType="begin"/>
      </w:r>
      <w:r>
        <w:instrText xml:space="preserve"> SEQ Tabelul \* ARABIC </w:instrText>
      </w:r>
      <w:r>
        <w:fldChar w:fldCharType="separate"/>
      </w:r>
      <w:r>
        <w:t>118</w:t>
      </w:r>
      <w:r>
        <w:fldChar w:fldCharType="end"/>
      </w:r>
      <w:bookmarkStart w:id="5561" w:name="_Toc30271"/>
      <w:bookmarkStart w:id="5562" w:name="_Toc17175"/>
      <w:bookmarkStart w:id="5563" w:name="_Toc26112"/>
      <w:bookmarkStart w:id="5564" w:name="_Toc5694"/>
      <w:bookmarkStart w:id="5565" w:name="_Toc27841"/>
      <w:bookmarkStart w:id="5566" w:name="_Toc23559"/>
      <w:bookmarkStart w:id="5567" w:name="_Toc3427"/>
      <w:bookmarkStart w:id="5568" w:name="_Toc5978"/>
      <w:bookmarkStart w:id="5569" w:name="_Toc12537"/>
      <w:bookmarkStart w:id="5570" w:name="_Toc26073"/>
      <w:bookmarkStart w:id="5571" w:name="_Toc26179"/>
      <w:bookmarkStart w:id="5572" w:name="_Toc8738"/>
      <w:bookmarkStart w:id="5573" w:name="_Toc521"/>
      <w:bookmarkStart w:id="5574" w:name="_Toc28607"/>
      <w:bookmarkStart w:id="5575" w:name="_Toc26607"/>
      <w:bookmarkStart w:id="5576" w:name="_Toc13146"/>
      <w:bookmarkStart w:id="5577" w:name="_Toc24361"/>
      <w:bookmarkStart w:id="5578" w:name="_Toc28249"/>
      <w:bookmarkStart w:id="5579" w:name="_Toc26045"/>
      <w:bookmarkEnd w:id="5559"/>
      <w:r>
        <w:t>: Utilizarea conductelor colectoare de evacuare a fumului și a gazelor fierbinți pe înălțimea construcției</w:t>
      </w:r>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p>
    <w:tbl>
      <w:tblPr>
        <w:tblStyle w:val="TableGrid"/>
        <w:tblW w:w="4999" w:type="pct"/>
        <w:jc w:val="center"/>
        <w:tblLook w:val="04A0" w:firstRow="1" w:lastRow="0" w:firstColumn="1" w:lastColumn="0" w:noHBand="0" w:noVBand="1"/>
      </w:tblPr>
      <w:tblGrid>
        <w:gridCol w:w="1376"/>
        <w:gridCol w:w="2038"/>
        <w:gridCol w:w="2079"/>
        <w:gridCol w:w="2066"/>
        <w:gridCol w:w="2068"/>
      </w:tblGrid>
      <w:tr w:rsidR="001C08A5" w14:paraId="5574DB20" w14:textId="77777777">
        <w:trPr>
          <w:jc w:val="center"/>
        </w:trPr>
        <w:tc>
          <w:tcPr>
            <w:tcW w:w="714" w:type="pct"/>
            <w:vMerge w:val="restart"/>
            <w:vAlign w:val="center"/>
          </w:tcPr>
          <w:p w14:paraId="56751986" w14:textId="77777777" w:rsidR="001C08A5" w:rsidRDefault="001C08A5">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p>
        </w:tc>
        <w:tc>
          <w:tcPr>
            <w:tcW w:w="4285" w:type="pct"/>
            <w:gridSpan w:val="4"/>
            <w:vAlign w:val="center"/>
          </w:tcPr>
          <w:p w14:paraId="6561011E" w14:textId="77777777" w:rsidR="001C08A5" w:rsidRDefault="00000000">
            <w:pPr>
              <w:tabs>
                <w:tab w:val="left" w:pos="1134"/>
                <w:tab w:val="left" w:pos="2268"/>
                <w:tab w:val="left" w:pos="3402"/>
                <w:tab w:val="left" w:pos="4536"/>
                <w:tab w:val="left" w:pos="5670"/>
                <w:tab w:val="left" w:pos="6804"/>
                <w:tab w:val="left" w:pos="7938"/>
                <w:tab w:val="left" w:pos="9072"/>
              </w:tabs>
              <w:jc w:val="center"/>
              <w:rPr>
                <w:b/>
                <w:i/>
                <w:iCs/>
                <w:sz w:val="22"/>
                <w:szCs w:val="22"/>
              </w:rPr>
            </w:pPr>
            <w:r>
              <w:rPr>
                <w:b/>
                <w:i/>
                <w:iCs/>
                <w:sz w:val="22"/>
                <w:szCs w:val="22"/>
              </w:rPr>
              <w:t>Conducte colectoare pe înălțimea construcției</w:t>
            </w:r>
          </w:p>
        </w:tc>
      </w:tr>
      <w:tr w:rsidR="001C08A5" w14:paraId="135F8621" w14:textId="77777777">
        <w:trPr>
          <w:jc w:val="center"/>
        </w:trPr>
        <w:tc>
          <w:tcPr>
            <w:tcW w:w="714" w:type="pct"/>
            <w:vMerge/>
            <w:vAlign w:val="center"/>
          </w:tcPr>
          <w:p w14:paraId="7F0744CB" w14:textId="77777777" w:rsidR="001C08A5" w:rsidRDefault="001C08A5">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p>
        </w:tc>
        <w:tc>
          <w:tcPr>
            <w:tcW w:w="2138" w:type="pct"/>
            <w:gridSpan w:val="2"/>
            <w:vAlign w:val="center"/>
          </w:tcPr>
          <w:p w14:paraId="54E72EB5" w14:textId="77777777" w:rsidR="001C08A5" w:rsidRDefault="00000000">
            <w:pPr>
              <w:tabs>
                <w:tab w:val="left" w:pos="1134"/>
                <w:tab w:val="left" w:pos="2268"/>
                <w:tab w:val="left" w:pos="3402"/>
                <w:tab w:val="left" w:pos="4536"/>
                <w:tab w:val="left" w:pos="5670"/>
                <w:tab w:val="left" w:pos="6804"/>
                <w:tab w:val="left" w:pos="7938"/>
                <w:tab w:val="left" w:pos="9072"/>
              </w:tabs>
              <w:jc w:val="center"/>
              <w:rPr>
                <w:b/>
                <w:i/>
                <w:iCs/>
                <w:sz w:val="22"/>
                <w:szCs w:val="22"/>
              </w:rPr>
            </w:pPr>
            <w:r>
              <w:rPr>
                <w:i/>
                <w:iCs/>
                <w:sz w:val="22"/>
                <w:szCs w:val="22"/>
              </w:rPr>
              <w:t>La construcţii etajate când nu secționează planșee antifoc (ve)</w:t>
            </w:r>
          </w:p>
        </w:tc>
        <w:tc>
          <w:tcPr>
            <w:tcW w:w="2147" w:type="pct"/>
            <w:gridSpan w:val="2"/>
            <w:vAlign w:val="center"/>
          </w:tcPr>
          <w:p w14:paraId="43F7C579" w14:textId="77777777" w:rsidR="001C08A5" w:rsidRDefault="00000000">
            <w:pPr>
              <w:tabs>
                <w:tab w:val="left" w:pos="1134"/>
                <w:tab w:val="left" w:pos="2268"/>
                <w:tab w:val="left" w:pos="3402"/>
                <w:tab w:val="left" w:pos="4536"/>
                <w:tab w:val="left" w:pos="5670"/>
                <w:tab w:val="left" w:pos="6804"/>
                <w:tab w:val="left" w:pos="7938"/>
                <w:tab w:val="left" w:pos="9072"/>
              </w:tabs>
              <w:jc w:val="center"/>
              <w:rPr>
                <w:b/>
                <w:i/>
                <w:iCs/>
                <w:sz w:val="22"/>
                <w:szCs w:val="22"/>
              </w:rPr>
            </w:pPr>
            <w:r>
              <w:rPr>
                <w:i/>
                <w:iCs/>
                <w:sz w:val="22"/>
                <w:szCs w:val="22"/>
              </w:rPr>
              <w:t>La construcţii etajate când secționează planșee antifoc</w:t>
            </w:r>
            <w:r>
              <w:rPr>
                <w:bCs/>
                <w:i/>
                <w:iCs/>
                <w:sz w:val="22"/>
                <w:szCs w:val="22"/>
              </w:rPr>
              <w:t xml:space="preserve">** </w:t>
            </w:r>
            <w:r>
              <w:rPr>
                <w:i/>
                <w:iCs/>
                <w:sz w:val="22"/>
                <w:szCs w:val="22"/>
              </w:rPr>
              <w:t xml:space="preserve"> (ve)</w:t>
            </w:r>
          </w:p>
        </w:tc>
      </w:tr>
      <w:tr w:rsidR="001C08A5" w14:paraId="1E52BA6C" w14:textId="77777777">
        <w:trPr>
          <w:jc w:val="center"/>
        </w:trPr>
        <w:tc>
          <w:tcPr>
            <w:tcW w:w="714" w:type="pct"/>
            <w:vMerge/>
            <w:vAlign w:val="center"/>
          </w:tcPr>
          <w:p w14:paraId="52A96B4A" w14:textId="77777777" w:rsidR="001C08A5" w:rsidRDefault="001C08A5">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p>
        </w:tc>
        <w:tc>
          <w:tcPr>
            <w:tcW w:w="1058" w:type="pct"/>
            <w:vAlign w:val="center"/>
          </w:tcPr>
          <w:p w14:paraId="4885E4C7" w14:textId="77777777" w:rsidR="001C08A5" w:rsidRDefault="00000000">
            <w:pPr>
              <w:tabs>
                <w:tab w:val="left" w:pos="1134"/>
                <w:tab w:val="left" w:pos="2268"/>
                <w:tab w:val="left" w:pos="3402"/>
                <w:tab w:val="left" w:pos="4536"/>
                <w:tab w:val="left" w:pos="5670"/>
                <w:tab w:val="left" w:pos="6804"/>
                <w:tab w:val="left" w:pos="7938"/>
                <w:tab w:val="left" w:pos="9072"/>
              </w:tabs>
              <w:jc w:val="center"/>
              <w:rPr>
                <w:b/>
                <w:bCs/>
                <w:i/>
                <w:iCs/>
                <w:sz w:val="22"/>
                <w:szCs w:val="22"/>
              </w:rPr>
            </w:pPr>
            <w:r>
              <w:rPr>
                <w:b/>
                <w:bCs/>
                <w:i/>
                <w:iCs/>
                <w:sz w:val="22"/>
                <w:szCs w:val="22"/>
              </w:rPr>
              <w:t>conducte</w:t>
            </w:r>
          </w:p>
        </w:tc>
        <w:tc>
          <w:tcPr>
            <w:tcW w:w="1079" w:type="pct"/>
            <w:vAlign w:val="center"/>
          </w:tcPr>
          <w:p w14:paraId="53A6798A" w14:textId="77777777" w:rsidR="001C08A5" w:rsidRDefault="00000000">
            <w:pPr>
              <w:tabs>
                <w:tab w:val="left" w:pos="1134"/>
                <w:tab w:val="left" w:pos="2268"/>
                <w:tab w:val="left" w:pos="3402"/>
                <w:tab w:val="left" w:pos="4536"/>
                <w:tab w:val="left" w:pos="5670"/>
                <w:tab w:val="left" w:pos="6804"/>
                <w:tab w:val="left" w:pos="7938"/>
                <w:tab w:val="left" w:pos="9072"/>
              </w:tabs>
              <w:jc w:val="center"/>
              <w:rPr>
                <w:b/>
                <w:bCs/>
                <w:i/>
                <w:iCs/>
                <w:sz w:val="22"/>
                <w:szCs w:val="22"/>
              </w:rPr>
            </w:pPr>
            <w:r>
              <w:rPr>
                <w:b/>
                <w:bCs/>
                <w:i/>
                <w:iCs/>
                <w:sz w:val="22"/>
                <w:szCs w:val="22"/>
              </w:rPr>
              <w:t>Voleți la intrarea în canalul colector</w:t>
            </w:r>
          </w:p>
        </w:tc>
        <w:tc>
          <w:tcPr>
            <w:tcW w:w="1073" w:type="pct"/>
            <w:vAlign w:val="center"/>
          </w:tcPr>
          <w:p w14:paraId="34917568" w14:textId="77777777" w:rsidR="001C08A5" w:rsidRDefault="00000000">
            <w:pPr>
              <w:tabs>
                <w:tab w:val="left" w:pos="1134"/>
                <w:tab w:val="left" w:pos="2268"/>
                <w:tab w:val="left" w:pos="3402"/>
                <w:tab w:val="left" w:pos="4536"/>
                <w:tab w:val="left" w:pos="5670"/>
                <w:tab w:val="left" w:pos="6804"/>
                <w:tab w:val="left" w:pos="7938"/>
                <w:tab w:val="left" w:pos="9072"/>
              </w:tabs>
              <w:jc w:val="center"/>
              <w:rPr>
                <w:b/>
                <w:bCs/>
                <w:i/>
                <w:iCs/>
                <w:sz w:val="22"/>
                <w:szCs w:val="22"/>
              </w:rPr>
            </w:pPr>
            <w:r>
              <w:rPr>
                <w:b/>
                <w:bCs/>
                <w:i/>
                <w:iCs/>
                <w:sz w:val="22"/>
                <w:szCs w:val="22"/>
              </w:rPr>
              <w:t>conducte</w:t>
            </w:r>
          </w:p>
        </w:tc>
        <w:tc>
          <w:tcPr>
            <w:tcW w:w="1073" w:type="pct"/>
            <w:vAlign w:val="center"/>
          </w:tcPr>
          <w:p w14:paraId="4B51DB31" w14:textId="77777777" w:rsidR="001C08A5" w:rsidRDefault="00000000">
            <w:pPr>
              <w:tabs>
                <w:tab w:val="left" w:pos="1134"/>
                <w:tab w:val="left" w:pos="2268"/>
                <w:tab w:val="left" w:pos="3402"/>
                <w:tab w:val="left" w:pos="4536"/>
                <w:tab w:val="left" w:pos="5670"/>
                <w:tab w:val="left" w:pos="6804"/>
                <w:tab w:val="left" w:pos="7938"/>
                <w:tab w:val="left" w:pos="9072"/>
              </w:tabs>
              <w:jc w:val="center"/>
              <w:rPr>
                <w:b/>
                <w:bCs/>
                <w:i/>
                <w:iCs/>
                <w:sz w:val="22"/>
                <w:szCs w:val="22"/>
              </w:rPr>
            </w:pPr>
            <w:r>
              <w:rPr>
                <w:b/>
                <w:bCs/>
                <w:i/>
                <w:iCs/>
                <w:sz w:val="22"/>
                <w:szCs w:val="22"/>
              </w:rPr>
              <w:t>Voleți la intarea în canalul colector</w:t>
            </w:r>
          </w:p>
        </w:tc>
      </w:tr>
      <w:tr w:rsidR="001C08A5" w14:paraId="3BE6CB71" w14:textId="77777777">
        <w:trPr>
          <w:jc w:val="center"/>
        </w:trPr>
        <w:tc>
          <w:tcPr>
            <w:tcW w:w="714" w:type="pct"/>
            <w:vAlign w:val="center"/>
          </w:tcPr>
          <w:p w14:paraId="66C68FFB"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I</w:t>
            </w:r>
          </w:p>
        </w:tc>
        <w:tc>
          <w:tcPr>
            <w:tcW w:w="1058" w:type="pct"/>
            <w:vAlign w:val="center"/>
          </w:tcPr>
          <w:p w14:paraId="6A8E8CB6"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bCs/>
                <w:i/>
                <w:iCs/>
                <w:sz w:val="22"/>
                <w:szCs w:val="22"/>
              </w:rPr>
              <w:t>E</w:t>
            </w:r>
            <w:r>
              <w:rPr>
                <w:b/>
                <w:bCs/>
                <w:i/>
                <w:iCs/>
                <w:sz w:val="22"/>
                <w:szCs w:val="22"/>
                <w:vertAlign w:val="subscript"/>
              </w:rPr>
              <w:t xml:space="preserve">600 </w:t>
            </w:r>
            <w:r>
              <w:rPr>
                <w:b/>
                <w:bCs/>
                <w:i/>
                <w:iCs/>
                <w:sz w:val="22"/>
                <w:szCs w:val="22"/>
              </w:rPr>
              <w:t>120</w:t>
            </w:r>
            <w:r>
              <w:rPr>
                <w:b/>
                <w:i/>
                <w:iCs/>
                <w:sz w:val="22"/>
                <w:szCs w:val="22"/>
              </w:rPr>
              <w:t>*</w:t>
            </w:r>
            <w:r>
              <w:rPr>
                <w:b/>
                <w:bCs/>
                <w:i/>
                <w:iCs/>
                <w:sz w:val="22"/>
                <w:szCs w:val="22"/>
                <w:vertAlign w:val="subscript"/>
              </w:rPr>
              <w:t>ve</w:t>
            </w:r>
            <w:r>
              <w:rPr>
                <w:b/>
                <w:bCs/>
                <w:i/>
                <w:iCs/>
                <w:sz w:val="22"/>
                <w:szCs w:val="22"/>
              </w:rPr>
              <w:t>S</w:t>
            </w:r>
            <w:r>
              <w:rPr>
                <w:b/>
                <w:bCs/>
                <w:i/>
                <w:iCs/>
                <w:sz w:val="22"/>
                <w:szCs w:val="22"/>
                <w:vertAlign w:val="subscript"/>
              </w:rPr>
              <w:t>single</w:t>
            </w:r>
          </w:p>
        </w:tc>
        <w:tc>
          <w:tcPr>
            <w:tcW w:w="1079" w:type="pct"/>
            <w:vAlign w:val="center"/>
          </w:tcPr>
          <w:p w14:paraId="79B91DF8"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E</w:t>
            </w:r>
            <w:r>
              <w:rPr>
                <w:b/>
                <w:i/>
                <w:iCs/>
                <w:sz w:val="22"/>
                <w:szCs w:val="22"/>
                <w:vertAlign w:val="subscript"/>
              </w:rPr>
              <w:t>600</w:t>
            </w:r>
            <w:r>
              <w:rPr>
                <w:b/>
                <w:i/>
                <w:iCs/>
                <w:sz w:val="22"/>
                <w:szCs w:val="22"/>
              </w:rPr>
              <w:t>120</w:t>
            </w:r>
            <w:r>
              <w:rPr>
                <w:b/>
                <w:bCs/>
                <w:i/>
                <w:iCs/>
                <w:sz w:val="22"/>
                <w:szCs w:val="22"/>
                <w:vertAlign w:val="subscript"/>
              </w:rPr>
              <w:t>single(i↔o)</w:t>
            </w:r>
          </w:p>
        </w:tc>
        <w:tc>
          <w:tcPr>
            <w:tcW w:w="1073" w:type="pct"/>
            <w:vAlign w:val="center"/>
          </w:tcPr>
          <w:p w14:paraId="4DBFBCF6"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bCs/>
                <w:i/>
                <w:iCs/>
                <w:sz w:val="22"/>
                <w:szCs w:val="22"/>
              </w:rPr>
              <w:t>EI 120</w:t>
            </w:r>
            <w:r>
              <w:rPr>
                <w:b/>
                <w:i/>
                <w:iCs/>
                <w:sz w:val="22"/>
                <w:szCs w:val="22"/>
              </w:rPr>
              <w:t>*</w:t>
            </w:r>
            <w:r>
              <w:rPr>
                <w:b/>
                <w:bCs/>
                <w:i/>
                <w:iCs/>
                <w:sz w:val="22"/>
                <w:szCs w:val="22"/>
                <w:vertAlign w:val="subscript"/>
              </w:rPr>
              <w:t>ve</w:t>
            </w:r>
            <w:r>
              <w:rPr>
                <w:b/>
                <w:bCs/>
                <w:i/>
                <w:iCs/>
                <w:sz w:val="22"/>
                <w:szCs w:val="22"/>
              </w:rPr>
              <w:t>S</w:t>
            </w:r>
            <w:r>
              <w:rPr>
                <w:b/>
                <w:bCs/>
                <w:i/>
                <w:iCs/>
                <w:sz w:val="22"/>
                <w:szCs w:val="22"/>
                <w:vertAlign w:val="subscript"/>
              </w:rPr>
              <w:t>multi</w:t>
            </w:r>
          </w:p>
        </w:tc>
        <w:tc>
          <w:tcPr>
            <w:tcW w:w="1073" w:type="pct"/>
            <w:vAlign w:val="center"/>
          </w:tcPr>
          <w:p w14:paraId="4FC10B99"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EI 120</w:t>
            </w:r>
            <w:r>
              <w:rPr>
                <w:b/>
                <w:bCs/>
                <w:i/>
                <w:iCs/>
                <w:sz w:val="22"/>
                <w:szCs w:val="22"/>
                <w:vertAlign w:val="subscript"/>
              </w:rPr>
              <w:t>multi(i↔o)</w:t>
            </w:r>
          </w:p>
        </w:tc>
      </w:tr>
      <w:tr w:rsidR="001C08A5" w14:paraId="631E7324" w14:textId="77777777">
        <w:trPr>
          <w:jc w:val="center"/>
        </w:trPr>
        <w:tc>
          <w:tcPr>
            <w:tcW w:w="714" w:type="pct"/>
            <w:vAlign w:val="center"/>
          </w:tcPr>
          <w:p w14:paraId="2017863E"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II</w:t>
            </w:r>
          </w:p>
        </w:tc>
        <w:tc>
          <w:tcPr>
            <w:tcW w:w="1058" w:type="pct"/>
            <w:vAlign w:val="center"/>
          </w:tcPr>
          <w:p w14:paraId="4185CA58"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bCs/>
                <w:i/>
                <w:iCs/>
                <w:sz w:val="22"/>
                <w:szCs w:val="22"/>
              </w:rPr>
              <w:t>E</w:t>
            </w:r>
            <w:r>
              <w:rPr>
                <w:b/>
                <w:bCs/>
                <w:i/>
                <w:iCs/>
                <w:sz w:val="22"/>
                <w:szCs w:val="22"/>
                <w:vertAlign w:val="subscript"/>
              </w:rPr>
              <w:t xml:space="preserve">600 </w:t>
            </w:r>
            <w:r>
              <w:rPr>
                <w:b/>
                <w:bCs/>
                <w:i/>
                <w:iCs/>
                <w:sz w:val="22"/>
                <w:szCs w:val="22"/>
              </w:rPr>
              <w:t>120</w:t>
            </w:r>
            <w:r>
              <w:rPr>
                <w:b/>
                <w:i/>
                <w:iCs/>
                <w:sz w:val="22"/>
                <w:szCs w:val="22"/>
              </w:rPr>
              <w:t>*</w:t>
            </w:r>
            <w:r>
              <w:rPr>
                <w:b/>
                <w:bCs/>
                <w:i/>
                <w:iCs/>
                <w:sz w:val="22"/>
                <w:szCs w:val="22"/>
                <w:vertAlign w:val="subscript"/>
              </w:rPr>
              <w:t>ve</w:t>
            </w:r>
            <w:r>
              <w:rPr>
                <w:b/>
                <w:bCs/>
                <w:i/>
                <w:iCs/>
                <w:sz w:val="22"/>
                <w:szCs w:val="22"/>
              </w:rPr>
              <w:t>S</w:t>
            </w:r>
            <w:r>
              <w:rPr>
                <w:b/>
                <w:bCs/>
                <w:i/>
                <w:iCs/>
                <w:sz w:val="22"/>
                <w:szCs w:val="22"/>
                <w:vertAlign w:val="subscript"/>
              </w:rPr>
              <w:t>single</w:t>
            </w:r>
          </w:p>
        </w:tc>
        <w:tc>
          <w:tcPr>
            <w:tcW w:w="1079" w:type="pct"/>
            <w:vAlign w:val="center"/>
          </w:tcPr>
          <w:p w14:paraId="44B0794B"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E</w:t>
            </w:r>
            <w:r>
              <w:rPr>
                <w:b/>
                <w:i/>
                <w:iCs/>
                <w:sz w:val="22"/>
                <w:szCs w:val="22"/>
                <w:vertAlign w:val="subscript"/>
              </w:rPr>
              <w:t>600</w:t>
            </w:r>
            <w:r>
              <w:rPr>
                <w:b/>
                <w:i/>
                <w:iCs/>
                <w:sz w:val="22"/>
                <w:szCs w:val="22"/>
              </w:rPr>
              <w:t>120</w:t>
            </w:r>
            <w:r>
              <w:rPr>
                <w:b/>
                <w:bCs/>
                <w:i/>
                <w:iCs/>
                <w:sz w:val="22"/>
                <w:szCs w:val="22"/>
                <w:vertAlign w:val="subscript"/>
              </w:rPr>
              <w:t>single(i↔o)</w:t>
            </w:r>
          </w:p>
        </w:tc>
        <w:tc>
          <w:tcPr>
            <w:tcW w:w="1073" w:type="pct"/>
            <w:vAlign w:val="center"/>
          </w:tcPr>
          <w:p w14:paraId="412A1E98"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bCs/>
                <w:i/>
                <w:iCs/>
                <w:sz w:val="22"/>
                <w:szCs w:val="22"/>
              </w:rPr>
              <w:t>EI 120</w:t>
            </w:r>
            <w:r>
              <w:rPr>
                <w:b/>
                <w:i/>
                <w:iCs/>
                <w:sz w:val="22"/>
                <w:szCs w:val="22"/>
              </w:rPr>
              <w:t>*</w:t>
            </w:r>
            <w:r>
              <w:rPr>
                <w:b/>
                <w:bCs/>
                <w:i/>
                <w:iCs/>
                <w:sz w:val="22"/>
                <w:szCs w:val="22"/>
                <w:vertAlign w:val="subscript"/>
              </w:rPr>
              <w:t>ve</w:t>
            </w:r>
            <w:r>
              <w:rPr>
                <w:b/>
                <w:bCs/>
                <w:i/>
                <w:iCs/>
                <w:sz w:val="22"/>
                <w:szCs w:val="22"/>
              </w:rPr>
              <w:t>S</w:t>
            </w:r>
            <w:r>
              <w:rPr>
                <w:b/>
                <w:bCs/>
                <w:i/>
                <w:iCs/>
                <w:sz w:val="22"/>
                <w:szCs w:val="22"/>
                <w:vertAlign w:val="subscript"/>
              </w:rPr>
              <w:t>multi</w:t>
            </w:r>
          </w:p>
        </w:tc>
        <w:tc>
          <w:tcPr>
            <w:tcW w:w="1073" w:type="pct"/>
            <w:vAlign w:val="center"/>
          </w:tcPr>
          <w:p w14:paraId="07E479B9"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EI 120</w:t>
            </w:r>
            <w:r>
              <w:rPr>
                <w:b/>
                <w:bCs/>
                <w:i/>
                <w:iCs/>
                <w:sz w:val="22"/>
                <w:szCs w:val="22"/>
                <w:vertAlign w:val="subscript"/>
              </w:rPr>
              <w:t>multi(i↔o)</w:t>
            </w:r>
          </w:p>
        </w:tc>
      </w:tr>
      <w:tr w:rsidR="001C08A5" w14:paraId="42F6A653" w14:textId="77777777">
        <w:trPr>
          <w:jc w:val="center"/>
        </w:trPr>
        <w:tc>
          <w:tcPr>
            <w:tcW w:w="714" w:type="pct"/>
            <w:vAlign w:val="center"/>
          </w:tcPr>
          <w:p w14:paraId="22340A1E"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III</w:t>
            </w:r>
          </w:p>
        </w:tc>
        <w:tc>
          <w:tcPr>
            <w:tcW w:w="1058" w:type="pct"/>
            <w:vAlign w:val="center"/>
          </w:tcPr>
          <w:p w14:paraId="4174D2CD"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bCs/>
                <w:i/>
                <w:iCs/>
                <w:sz w:val="22"/>
                <w:szCs w:val="22"/>
              </w:rPr>
              <w:t>E</w:t>
            </w:r>
            <w:r>
              <w:rPr>
                <w:b/>
                <w:bCs/>
                <w:i/>
                <w:iCs/>
                <w:sz w:val="22"/>
                <w:szCs w:val="22"/>
                <w:vertAlign w:val="subscript"/>
              </w:rPr>
              <w:t xml:space="preserve">600 </w:t>
            </w:r>
            <w:r>
              <w:rPr>
                <w:b/>
                <w:bCs/>
                <w:i/>
                <w:iCs/>
                <w:sz w:val="22"/>
                <w:szCs w:val="22"/>
              </w:rPr>
              <w:t>90</w:t>
            </w:r>
            <w:r>
              <w:rPr>
                <w:b/>
                <w:i/>
                <w:iCs/>
                <w:sz w:val="22"/>
                <w:szCs w:val="22"/>
              </w:rPr>
              <w:t>*</w:t>
            </w:r>
            <w:r>
              <w:rPr>
                <w:b/>
                <w:bCs/>
                <w:i/>
                <w:iCs/>
                <w:sz w:val="22"/>
                <w:szCs w:val="22"/>
                <w:vertAlign w:val="subscript"/>
              </w:rPr>
              <w:t>ve</w:t>
            </w:r>
            <w:r>
              <w:rPr>
                <w:b/>
                <w:bCs/>
                <w:i/>
                <w:iCs/>
                <w:sz w:val="22"/>
                <w:szCs w:val="22"/>
              </w:rPr>
              <w:t>S</w:t>
            </w:r>
            <w:r>
              <w:rPr>
                <w:b/>
                <w:bCs/>
                <w:i/>
                <w:iCs/>
                <w:sz w:val="22"/>
                <w:szCs w:val="22"/>
                <w:vertAlign w:val="subscript"/>
              </w:rPr>
              <w:t>single</w:t>
            </w:r>
          </w:p>
        </w:tc>
        <w:tc>
          <w:tcPr>
            <w:tcW w:w="1079" w:type="pct"/>
            <w:vAlign w:val="center"/>
          </w:tcPr>
          <w:p w14:paraId="39C7DB43"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E</w:t>
            </w:r>
            <w:r>
              <w:rPr>
                <w:b/>
                <w:i/>
                <w:iCs/>
                <w:sz w:val="22"/>
                <w:szCs w:val="22"/>
                <w:vertAlign w:val="subscript"/>
              </w:rPr>
              <w:t>600</w:t>
            </w:r>
            <w:r>
              <w:rPr>
                <w:b/>
                <w:i/>
                <w:iCs/>
                <w:sz w:val="22"/>
                <w:szCs w:val="22"/>
              </w:rPr>
              <w:t>90</w:t>
            </w:r>
            <w:r>
              <w:rPr>
                <w:b/>
                <w:bCs/>
                <w:i/>
                <w:iCs/>
                <w:sz w:val="22"/>
                <w:szCs w:val="22"/>
                <w:vertAlign w:val="subscript"/>
              </w:rPr>
              <w:t>single(i↔o)</w:t>
            </w:r>
          </w:p>
        </w:tc>
        <w:tc>
          <w:tcPr>
            <w:tcW w:w="1073" w:type="pct"/>
            <w:vAlign w:val="center"/>
          </w:tcPr>
          <w:p w14:paraId="43337C8C"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bCs/>
                <w:i/>
                <w:iCs/>
                <w:sz w:val="22"/>
                <w:szCs w:val="22"/>
              </w:rPr>
              <w:t>EI 90</w:t>
            </w:r>
            <w:r>
              <w:rPr>
                <w:b/>
                <w:i/>
                <w:iCs/>
                <w:sz w:val="22"/>
                <w:szCs w:val="22"/>
              </w:rPr>
              <w:t>*</w:t>
            </w:r>
            <w:r>
              <w:rPr>
                <w:b/>
                <w:bCs/>
                <w:i/>
                <w:iCs/>
                <w:sz w:val="22"/>
                <w:szCs w:val="22"/>
                <w:vertAlign w:val="subscript"/>
              </w:rPr>
              <w:t>ve</w:t>
            </w:r>
            <w:r>
              <w:rPr>
                <w:b/>
                <w:bCs/>
                <w:i/>
                <w:iCs/>
                <w:sz w:val="22"/>
                <w:szCs w:val="22"/>
              </w:rPr>
              <w:t>S</w:t>
            </w:r>
            <w:r>
              <w:rPr>
                <w:b/>
                <w:bCs/>
                <w:i/>
                <w:iCs/>
                <w:sz w:val="22"/>
                <w:szCs w:val="22"/>
                <w:vertAlign w:val="subscript"/>
              </w:rPr>
              <w:t>multi</w:t>
            </w:r>
          </w:p>
        </w:tc>
        <w:tc>
          <w:tcPr>
            <w:tcW w:w="1073" w:type="pct"/>
            <w:vAlign w:val="center"/>
          </w:tcPr>
          <w:p w14:paraId="293DCD38"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EI 90</w:t>
            </w:r>
            <w:r>
              <w:rPr>
                <w:b/>
                <w:bCs/>
                <w:i/>
                <w:iCs/>
                <w:sz w:val="22"/>
                <w:szCs w:val="22"/>
                <w:vertAlign w:val="subscript"/>
              </w:rPr>
              <w:t>multi(i↔o)</w:t>
            </w:r>
          </w:p>
        </w:tc>
      </w:tr>
      <w:tr w:rsidR="001C08A5" w14:paraId="1CEF3916" w14:textId="77777777">
        <w:trPr>
          <w:jc w:val="center"/>
        </w:trPr>
        <w:tc>
          <w:tcPr>
            <w:tcW w:w="714" w:type="pct"/>
            <w:vAlign w:val="center"/>
          </w:tcPr>
          <w:p w14:paraId="0B5794D9"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IV</w:t>
            </w:r>
          </w:p>
        </w:tc>
        <w:tc>
          <w:tcPr>
            <w:tcW w:w="1058" w:type="pct"/>
            <w:vAlign w:val="center"/>
          </w:tcPr>
          <w:p w14:paraId="39F60261"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bCs/>
                <w:i/>
                <w:iCs/>
                <w:sz w:val="22"/>
                <w:szCs w:val="22"/>
              </w:rPr>
              <w:t>E</w:t>
            </w:r>
            <w:r>
              <w:rPr>
                <w:b/>
                <w:bCs/>
                <w:i/>
                <w:iCs/>
                <w:sz w:val="22"/>
                <w:szCs w:val="22"/>
                <w:vertAlign w:val="subscript"/>
              </w:rPr>
              <w:t xml:space="preserve">600 </w:t>
            </w:r>
            <w:r>
              <w:rPr>
                <w:b/>
                <w:bCs/>
                <w:i/>
                <w:iCs/>
                <w:sz w:val="22"/>
                <w:szCs w:val="22"/>
              </w:rPr>
              <w:t>60</w:t>
            </w:r>
            <w:r>
              <w:rPr>
                <w:b/>
                <w:i/>
                <w:iCs/>
                <w:sz w:val="22"/>
                <w:szCs w:val="22"/>
              </w:rPr>
              <w:t>*</w:t>
            </w:r>
            <w:r>
              <w:rPr>
                <w:b/>
                <w:bCs/>
                <w:i/>
                <w:iCs/>
                <w:sz w:val="22"/>
                <w:szCs w:val="22"/>
                <w:vertAlign w:val="subscript"/>
              </w:rPr>
              <w:t>ve</w:t>
            </w:r>
            <w:r>
              <w:rPr>
                <w:b/>
                <w:bCs/>
                <w:i/>
                <w:iCs/>
                <w:sz w:val="22"/>
                <w:szCs w:val="22"/>
              </w:rPr>
              <w:t>S</w:t>
            </w:r>
            <w:r>
              <w:rPr>
                <w:b/>
                <w:bCs/>
                <w:i/>
                <w:iCs/>
                <w:sz w:val="22"/>
                <w:szCs w:val="22"/>
                <w:vertAlign w:val="subscript"/>
              </w:rPr>
              <w:t>single</w:t>
            </w:r>
          </w:p>
        </w:tc>
        <w:tc>
          <w:tcPr>
            <w:tcW w:w="1079" w:type="pct"/>
            <w:vAlign w:val="center"/>
          </w:tcPr>
          <w:p w14:paraId="2DC609E6"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E</w:t>
            </w:r>
            <w:r>
              <w:rPr>
                <w:b/>
                <w:i/>
                <w:iCs/>
                <w:sz w:val="22"/>
                <w:szCs w:val="22"/>
                <w:vertAlign w:val="subscript"/>
              </w:rPr>
              <w:t>600</w:t>
            </w:r>
            <w:r>
              <w:rPr>
                <w:b/>
                <w:i/>
                <w:iCs/>
                <w:sz w:val="22"/>
                <w:szCs w:val="22"/>
              </w:rPr>
              <w:t>60</w:t>
            </w:r>
            <w:r>
              <w:rPr>
                <w:b/>
                <w:bCs/>
                <w:i/>
                <w:iCs/>
                <w:sz w:val="22"/>
                <w:szCs w:val="22"/>
                <w:vertAlign w:val="subscript"/>
              </w:rPr>
              <w:t>single(i↔o)</w:t>
            </w:r>
          </w:p>
        </w:tc>
        <w:tc>
          <w:tcPr>
            <w:tcW w:w="1073" w:type="pct"/>
            <w:vAlign w:val="center"/>
          </w:tcPr>
          <w:p w14:paraId="21767B0C"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bCs/>
                <w:i/>
                <w:iCs/>
                <w:sz w:val="22"/>
                <w:szCs w:val="22"/>
              </w:rPr>
              <w:t>EI 60</w:t>
            </w:r>
            <w:r>
              <w:rPr>
                <w:b/>
                <w:i/>
                <w:iCs/>
                <w:sz w:val="22"/>
                <w:szCs w:val="22"/>
              </w:rPr>
              <w:t>*</w:t>
            </w:r>
            <w:r>
              <w:rPr>
                <w:b/>
                <w:bCs/>
                <w:i/>
                <w:iCs/>
                <w:sz w:val="22"/>
                <w:szCs w:val="22"/>
                <w:vertAlign w:val="subscript"/>
              </w:rPr>
              <w:t>ve</w:t>
            </w:r>
            <w:r>
              <w:rPr>
                <w:b/>
                <w:bCs/>
                <w:i/>
                <w:iCs/>
                <w:sz w:val="22"/>
                <w:szCs w:val="22"/>
              </w:rPr>
              <w:t>S</w:t>
            </w:r>
            <w:r>
              <w:rPr>
                <w:b/>
                <w:bCs/>
                <w:i/>
                <w:iCs/>
                <w:sz w:val="22"/>
                <w:szCs w:val="22"/>
                <w:vertAlign w:val="subscript"/>
              </w:rPr>
              <w:t>multi</w:t>
            </w:r>
          </w:p>
        </w:tc>
        <w:tc>
          <w:tcPr>
            <w:tcW w:w="1073" w:type="pct"/>
            <w:vAlign w:val="center"/>
          </w:tcPr>
          <w:p w14:paraId="595B4191" w14:textId="77777777" w:rsidR="001C08A5" w:rsidRDefault="00000000">
            <w:pPr>
              <w:tabs>
                <w:tab w:val="left" w:pos="1134"/>
                <w:tab w:val="left" w:pos="2268"/>
                <w:tab w:val="left" w:pos="3402"/>
                <w:tab w:val="left" w:pos="4536"/>
                <w:tab w:val="left" w:pos="5670"/>
                <w:tab w:val="left" w:pos="6804"/>
                <w:tab w:val="left" w:pos="7938"/>
                <w:tab w:val="left" w:pos="9072"/>
              </w:tabs>
              <w:spacing w:line="360" w:lineRule="auto"/>
              <w:jc w:val="center"/>
              <w:rPr>
                <w:b/>
                <w:i/>
                <w:iCs/>
                <w:sz w:val="22"/>
                <w:szCs w:val="22"/>
              </w:rPr>
            </w:pPr>
            <w:r>
              <w:rPr>
                <w:b/>
                <w:i/>
                <w:iCs/>
                <w:sz w:val="22"/>
                <w:szCs w:val="22"/>
              </w:rPr>
              <w:t>EI 60</w:t>
            </w:r>
            <w:r>
              <w:rPr>
                <w:b/>
                <w:bCs/>
                <w:i/>
                <w:iCs/>
                <w:sz w:val="22"/>
                <w:szCs w:val="22"/>
                <w:vertAlign w:val="subscript"/>
              </w:rPr>
              <w:t>multi(i↔o)</w:t>
            </w:r>
          </w:p>
        </w:tc>
      </w:tr>
    </w:tbl>
    <w:p w14:paraId="206DB991" w14:textId="77777777" w:rsidR="001C08A5" w:rsidRDefault="00000000">
      <w:pPr>
        <w:widowControl w:val="0"/>
        <w:tabs>
          <w:tab w:val="left" w:pos="1134"/>
          <w:tab w:val="left" w:pos="2268"/>
          <w:tab w:val="left" w:pos="3402"/>
          <w:tab w:val="left" w:pos="4536"/>
          <w:tab w:val="left" w:pos="5670"/>
          <w:tab w:val="left" w:pos="6804"/>
          <w:tab w:val="left" w:pos="7938"/>
          <w:tab w:val="left" w:pos="9072"/>
        </w:tabs>
        <w:jc w:val="both"/>
        <w:rPr>
          <w:bCs/>
          <w:i/>
          <w:iCs/>
          <w:sz w:val="22"/>
          <w:szCs w:val="22"/>
        </w:rPr>
      </w:pPr>
      <w:r>
        <w:rPr>
          <w:bCs/>
          <w:i/>
          <w:iCs/>
          <w:sz w:val="22"/>
          <w:szCs w:val="22"/>
        </w:rPr>
        <w:t>Note:</w:t>
      </w:r>
    </w:p>
    <w:p w14:paraId="2C74A879" w14:textId="77777777" w:rsidR="001C08A5" w:rsidRDefault="00000000">
      <w:pPr>
        <w:widowControl w:val="0"/>
        <w:tabs>
          <w:tab w:val="left" w:pos="1134"/>
          <w:tab w:val="left" w:pos="2268"/>
          <w:tab w:val="left" w:pos="3402"/>
          <w:tab w:val="left" w:pos="4536"/>
          <w:tab w:val="left" w:pos="5670"/>
          <w:tab w:val="left" w:pos="6804"/>
          <w:tab w:val="left" w:pos="7938"/>
          <w:tab w:val="left" w:pos="9072"/>
        </w:tabs>
        <w:jc w:val="both"/>
        <w:rPr>
          <w:i/>
          <w:iCs/>
          <w:sz w:val="22"/>
          <w:szCs w:val="22"/>
        </w:rPr>
      </w:pPr>
      <w:r>
        <w:rPr>
          <w:bCs/>
          <w:i/>
          <w:iCs/>
          <w:sz w:val="22"/>
          <w:szCs w:val="22"/>
        </w:rPr>
        <w:t xml:space="preserve">* - </w:t>
      </w:r>
      <w:r>
        <w:rPr>
          <w:i/>
          <w:iCs/>
          <w:sz w:val="22"/>
          <w:szCs w:val="22"/>
        </w:rPr>
        <w:t xml:space="preserve">golul dintre planșeu şi conducte se etanşează cu materiale în alcatuiri rezistente la foc minimum </w:t>
      </w:r>
      <w:r>
        <w:rPr>
          <w:b/>
          <w:i/>
          <w:iCs/>
          <w:sz w:val="22"/>
          <w:szCs w:val="22"/>
        </w:rPr>
        <w:t xml:space="preserve">EI </w:t>
      </w:r>
      <w:r>
        <w:rPr>
          <w:bCs/>
          <w:i/>
          <w:iCs/>
          <w:sz w:val="22"/>
          <w:szCs w:val="22"/>
        </w:rPr>
        <w:t>cu aceeași valoare cât rezistenţa la foc normată a planșeelor pe care le intersectează</w:t>
      </w:r>
      <w:r>
        <w:rPr>
          <w:i/>
          <w:iCs/>
          <w:sz w:val="22"/>
          <w:szCs w:val="22"/>
        </w:rPr>
        <w:t>;</w:t>
      </w:r>
    </w:p>
    <w:p w14:paraId="126FF7A9" w14:textId="77777777" w:rsidR="001C08A5" w:rsidRDefault="00000000">
      <w:pPr>
        <w:widowControl w:val="0"/>
        <w:tabs>
          <w:tab w:val="left" w:pos="1134"/>
          <w:tab w:val="left" w:pos="2268"/>
          <w:tab w:val="left" w:pos="3402"/>
          <w:tab w:val="left" w:pos="4536"/>
          <w:tab w:val="left" w:pos="5670"/>
          <w:tab w:val="left" w:pos="6804"/>
          <w:tab w:val="left" w:pos="7938"/>
          <w:tab w:val="left" w:pos="9072"/>
        </w:tabs>
        <w:jc w:val="both"/>
        <w:rPr>
          <w:i/>
          <w:iCs/>
          <w:sz w:val="22"/>
          <w:szCs w:val="22"/>
        </w:rPr>
      </w:pPr>
      <w:r>
        <w:rPr>
          <w:bCs/>
          <w:i/>
          <w:iCs/>
          <w:sz w:val="22"/>
          <w:szCs w:val="22"/>
        </w:rPr>
        <w:t xml:space="preserve">** - </w:t>
      </w:r>
      <w:r>
        <w:rPr>
          <w:i/>
          <w:iCs/>
          <w:sz w:val="22"/>
          <w:szCs w:val="22"/>
        </w:rPr>
        <w:t xml:space="preserve">golul dintre planșeul antifoc şi conducte se etanşează cu materiale în alcatuiri rezistente la foc minimum </w:t>
      </w:r>
      <w:r>
        <w:rPr>
          <w:b/>
          <w:i/>
          <w:iCs/>
          <w:sz w:val="22"/>
          <w:szCs w:val="22"/>
        </w:rPr>
        <w:t xml:space="preserve">EI </w:t>
      </w:r>
      <w:r>
        <w:rPr>
          <w:bCs/>
          <w:i/>
          <w:iCs/>
          <w:sz w:val="22"/>
          <w:szCs w:val="22"/>
        </w:rPr>
        <w:t>cu aceeași valoare cât rezistenţa la foc normată a planșeului antifoc pe care le intersectează</w:t>
      </w:r>
      <w:r>
        <w:rPr>
          <w:i/>
          <w:iCs/>
          <w:sz w:val="22"/>
          <w:szCs w:val="22"/>
        </w:rPr>
        <w:t>;</w:t>
      </w:r>
    </w:p>
    <w:p w14:paraId="6C7CCFBB" w14:textId="77777777" w:rsidR="001C08A5" w:rsidRDefault="001C08A5">
      <w:pPr>
        <w:widowControl w:val="0"/>
        <w:ind w:firstLine="720"/>
        <w:jc w:val="both"/>
        <w:rPr>
          <w:b/>
          <w:bCs/>
          <w:sz w:val="24"/>
          <w:szCs w:val="24"/>
        </w:rPr>
      </w:pPr>
    </w:p>
    <w:p w14:paraId="0B3A21C3" w14:textId="77777777" w:rsidR="001C08A5" w:rsidRDefault="00000000">
      <w:pPr>
        <w:widowControl w:val="0"/>
        <w:ind w:firstLine="720"/>
        <w:jc w:val="both"/>
        <w:rPr>
          <w:bCs/>
          <w:sz w:val="24"/>
          <w:szCs w:val="24"/>
        </w:rPr>
      </w:pPr>
      <w:r>
        <w:rPr>
          <w:b/>
          <w:bCs/>
          <w:sz w:val="24"/>
          <w:szCs w:val="24"/>
        </w:rPr>
        <w:t xml:space="preserve">(2) </w:t>
      </w:r>
      <w:r>
        <w:rPr>
          <w:sz w:val="24"/>
          <w:szCs w:val="24"/>
        </w:rPr>
        <w:t xml:space="preserve">În situația utilizarii canalelor colectoare comune (conducte rezistente la foc) de evacuare a fumului şi gazelor fierbinţi în caz de incendiu a tuturor nivelurilor supraterane sau subterane ale clădirilor, ghenele verticale prin care canalele colectoare ale  sistemului de evacuare a fumului şi gazelor fierbinţi în caz de incendiu respective traversează alte niveluri ale construcţiei vor îndeplini condițiile prevăzute la </w:t>
      </w:r>
      <w:r>
        <w:rPr>
          <w:b/>
          <w:sz w:val="24"/>
          <w:szCs w:val="24"/>
        </w:rPr>
        <w:t xml:space="preserve">Art. 2.4.11.2. </w:t>
      </w:r>
      <w:r>
        <w:rPr>
          <w:bCs/>
          <w:sz w:val="24"/>
          <w:szCs w:val="24"/>
        </w:rPr>
        <w:t>și cerințele specifice fiecărei destinații raportat la caracteristicile construcției potrivit normativului (exemplu: clădiri înalte și foarte înalte, parcaje subterane, etc.).</w:t>
      </w:r>
    </w:p>
    <w:p w14:paraId="502DEDD0" w14:textId="77777777" w:rsidR="001C08A5" w:rsidRDefault="00000000">
      <w:pPr>
        <w:widowControl w:val="0"/>
        <w:ind w:firstLine="720"/>
        <w:jc w:val="both"/>
        <w:rPr>
          <w:b/>
          <w:sz w:val="24"/>
          <w:szCs w:val="24"/>
        </w:rPr>
      </w:pPr>
      <w:r>
        <w:rPr>
          <w:b/>
          <w:bCs/>
          <w:sz w:val="24"/>
          <w:szCs w:val="24"/>
        </w:rPr>
        <w:t xml:space="preserve">(3) </w:t>
      </w:r>
      <w:r>
        <w:rPr>
          <w:sz w:val="24"/>
          <w:szCs w:val="24"/>
        </w:rPr>
        <w:t xml:space="preserve">În situația utilizarii canalelor colectoare comune (conducte rezistente la foc) de evacuare a fumului şi gazelor fierbinţi în caz de incendiu a tuturor nivelurilor supraterane sau subterane ale clădirilor înalte sau foarte înalte, ghenele se vor proteja cu pereţi </w:t>
      </w:r>
      <w:r>
        <w:rPr>
          <w:rFonts w:eastAsia="TimesNewRomanPSMT-Identity-H"/>
          <w:iCs/>
          <w:sz w:val="24"/>
          <w:szCs w:val="24"/>
        </w:rPr>
        <w:t xml:space="preserve">clasa de reacție la foc </w:t>
      </w:r>
      <w:r>
        <w:rPr>
          <w:b/>
          <w:bCs/>
          <w:iCs/>
          <w:sz w:val="24"/>
          <w:szCs w:val="24"/>
        </w:rPr>
        <w:t xml:space="preserve">A1, A2s1d0 </w:t>
      </w:r>
      <w:r>
        <w:rPr>
          <w:sz w:val="24"/>
          <w:szCs w:val="24"/>
        </w:rPr>
        <w:t xml:space="preserve">rezistenţi la foc minimum </w:t>
      </w:r>
      <w:r>
        <w:rPr>
          <w:b/>
          <w:sz w:val="24"/>
          <w:szCs w:val="24"/>
        </w:rPr>
        <w:t>EI 180</w:t>
      </w:r>
      <w:r>
        <w:rPr>
          <w:sz w:val="24"/>
          <w:szCs w:val="24"/>
        </w:rPr>
        <w:t xml:space="preserve"> și </w:t>
      </w:r>
      <w:r>
        <w:rPr>
          <w:rFonts w:eastAsia="Calibri"/>
          <w:iCs/>
          <w:sz w:val="24"/>
          <w:szCs w:val="24"/>
          <w:shd w:val="clear" w:color="auto" w:fill="FFFFFF"/>
        </w:rPr>
        <w:t xml:space="preserve">trapele și ușile de vizitare practicate în pereții ghenelor verticale trebuie să fie realizate din materiale </w:t>
      </w:r>
      <w:r>
        <w:rPr>
          <w:b/>
          <w:bCs/>
          <w:iCs/>
          <w:sz w:val="24"/>
          <w:szCs w:val="24"/>
        </w:rPr>
        <w:t>A1, A2s1d0</w:t>
      </w:r>
      <w:r>
        <w:rPr>
          <w:rFonts w:eastAsia="Calibri"/>
          <w:iCs/>
          <w:sz w:val="24"/>
          <w:szCs w:val="24"/>
          <w:shd w:val="clear" w:color="auto" w:fill="FFFFFF"/>
        </w:rPr>
        <w:t xml:space="preserve"> cu rezistența la foc </w:t>
      </w:r>
      <w:r>
        <w:rPr>
          <w:b/>
          <w:sz w:val="24"/>
          <w:szCs w:val="24"/>
        </w:rPr>
        <w:t xml:space="preserve">EI 90. </w:t>
      </w:r>
    </w:p>
    <w:p w14:paraId="0D091257" w14:textId="77777777" w:rsidR="001C08A5" w:rsidRDefault="00000000">
      <w:pPr>
        <w:widowControl w:val="0"/>
        <w:ind w:firstLine="720"/>
        <w:jc w:val="both"/>
        <w:rPr>
          <w:sz w:val="24"/>
          <w:szCs w:val="24"/>
        </w:rPr>
      </w:pPr>
      <w:r>
        <w:rPr>
          <w:b/>
          <w:bCs/>
          <w:sz w:val="24"/>
          <w:szCs w:val="24"/>
        </w:rPr>
        <w:t>(4)</w:t>
      </w:r>
      <w:r>
        <w:rPr>
          <w:sz w:val="24"/>
          <w:szCs w:val="24"/>
        </w:rPr>
        <w:t xml:space="preserve"> Voleții prevăzuți la intrarea în canalul colector vor fi normal închişi, în poziţie de aşteptare.</w:t>
      </w:r>
    </w:p>
    <w:p w14:paraId="30115BEA" w14:textId="77777777" w:rsidR="001C08A5" w:rsidRDefault="001C08A5">
      <w:pPr>
        <w:widowControl w:val="0"/>
        <w:ind w:firstLine="720"/>
        <w:jc w:val="both"/>
        <w:rPr>
          <w:sz w:val="24"/>
          <w:szCs w:val="24"/>
        </w:rPr>
      </w:pPr>
    </w:p>
    <w:p w14:paraId="24FFDE5A" w14:textId="77777777" w:rsidR="001C08A5" w:rsidRDefault="00000000">
      <w:pPr>
        <w:widowControl w:val="0"/>
        <w:ind w:firstLine="720"/>
        <w:jc w:val="both"/>
        <w:rPr>
          <w:sz w:val="24"/>
          <w:szCs w:val="24"/>
        </w:rPr>
      </w:pPr>
      <w:r>
        <w:rPr>
          <w:b/>
          <w:sz w:val="24"/>
          <w:szCs w:val="24"/>
        </w:rPr>
        <w:t xml:space="preserve">Art. 8.1.15. </w:t>
      </w:r>
      <w:r>
        <w:rPr>
          <w:sz w:val="24"/>
          <w:szCs w:val="24"/>
        </w:rPr>
        <w:t>În construcţiile prevăzute cu luminatoare, evacuarea fumului şi gazelor fierbinţi în caz de incendiu în caz de incendiu se poate asigura prin ochiuri mobile ale acestora, care au prevăzută deschiderea automată în caz de incendiu și îndeplinesc condiţiile specifice dispozitivelor de evacuare a fumului. Admisia aerului natural-organizat se va realiza perimetral, corespunzator normativului.</w:t>
      </w:r>
    </w:p>
    <w:p w14:paraId="0701DAF8" w14:textId="77777777" w:rsidR="001C08A5" w:rsidRDefault="001C08A5">
      <w:pPr>
        <w:widowControl w:val="0"/>
        <w:ind w:firstLine="720"/>
        <w:jc w:val="both"/>
        <w:rPr>
          <w:sz w:val="24"/>
          <w:szCs w:val="24"/>
        </w:rPr>
      </w:pPr>
    </w:p>
    <w:p w14:paraId="6D3A1F60" w14:textId="77777777" w:rsidR="001C08A5" w:rsidRDefault="00000000">
      <w:pPr>
        <w:widowControl w:val="0"/>
        <w:ind w:firstLine="720"/>
        <w:jc w:val="both"/>
        <w:rPr>
          <w:sz w:val="24"/>
          <w:szCs w:val="24"/>
        </w:rPr>
      </w:pPr>
      <w:r>
        <w:rPr>
          <w:b/>
          <w:bCs/>
          <w:sz w:val="24"/>
          <w:szCs w:val="24"/>
        </w:rPr>
        <w:t>Art. 8.1.16.</w:t>
      </w:r>
      <w:r>
        <w:rPr>
          <w:sz w:val="24"/>
          <w:szCs w:val="24"/>
        </w:rPr>
        <w:t xml:space="preserve"> Ecranele de fum nu sunt obligatorii atunci cand sunt îndeplinite </w:t>
      </w:r>
      <w:r>
        <w:rPr>
          <w:b/>
          <w:bCs/>
          <w:sz w:val="24"/>
          <w:szCs w:val="24"/>
        </w:rPr>
        <w:t>simultan</w:t>
      </w:r>
      <w:r>
        <w:rPr>
          <w:sz w:val="24"/>
          <w:szCs w:val="24"/>
        </w:rPr>
        <w:t xml:space="preserve"> urmatoarele conditii:</w:t>
      </w:r>
    </w:p>
    <w:p w14:paraId="69D2AA6C" w14:textId="77777777" w:rsidR="001C08A5" w:rsidRDefault="00000000">
      <w:pPr>
        <w:widowControl w:val="0"/>
        <w:ind w:left="1440" w:firstLine="720"/>
        <w:jc w:val="both"/>
        <w:rPr>
          <w:sz w:val="24"/>
          <w:szCs w:val="24"/>
        </w:rPr>
      </w:pPr>
      <w:r>
        <w:rPr>
          <w:sz w:val="24"/>
          <w:szCs w:val="24"/>
        </w:rPr>
        <w:t xml:space="preserve">- densitatea sarcinii termice în încăperea respectivă nu este mai mare de </w:t>
      </w:r>
      <w:r>
        <w:rPr>
          <w:b/>
          <w:bCs/>
          <w:sz w:val="24"/>
          <w:szCs w:val="24"/>
        </w:rPr>
        <w:t>420 Mj/mp</w:t>
      </w:r>
      <w:r>
        <w:rPr>
          <w:sz w:val="24"/>
          <w:szCs w:val="24"/>
        </w:rPr>
        <w:t>;</w:t>
      </w:r>
    </w:p>
    <w:p w14:paraId="51E0D783" w14:textId="77777777" w:rsidR="001C08A5" w:rsidRDefault="00000000">
      <w:pPr>
        <w:widowControl w:val="0"/>
        <w:ind w:left="1440" w:firstLine="720"/>
        <w:jc w:val="both"/>
        <w:rPr>
          <w:sz w:val="24"/>
          <w:szCs w:val="24"/>
        </w:rPr>
      </w:pPr>
      <w:r>
        <w:rPr>
          <w:sz w:val="24"/>
          <w:szCs w:val="24"/>
        </w:rPr>
        <w:t xml:space="preserve">- panta acoperișului este mai mare de </w:t>
      </w:r>
      <w:r>
        <w:rPr>
          <w:b/>
          <w:bCs/>
          <w:sz w:val="24"/>
          <w:szCs w:val="24"/>
        </w:rPr>
        <w:t>20</w:t>
      </w:r>
      <w:r>
        <w:rPr>
          <w:b/>
          <w:bCs/>
          <w:sz w:val="24"/>
          <w:szCs w:val="24"/>
          <w:vertAlign w:val="superscript"/>
        </w:rPr>
        <w:t>0</w:t>
      </w:r>
      <w:r>
        <w:rPr>
          <w:sz w:val="24"/>
          <w:szCs w:val="24"/>
        </w:rPr>
        <w:t xml:space="preserve"> și nu e prevazută cu elemente de separare orizontale, conform </w:t>
      </w:r>
      <w:r>
        <w:rPr>
          <w:b/>
          <w:bCs/>
          <w:i/>
          <w:iCs/>
          <w:sz w:val="24"/>
          <w:szCs w:val="24"/>
        </w:rPr>
        <w:t>Figura 13</w:t>
      </w:r>
      <w:r>
        <w:rPr>
          <w:sz w:val="24"/>
          <w:szCs w:val="24"/>
        </w:rPr>
        <w:t xml:space="preserve"> din terminologie;</w:t>
      </w:r>
    </w:p>
    <w:p w14:paraId="39B8941B" w14:textId="77777777" w:rsidR="001C08A5" w:rsidRDefault="00000000">
      <w:pPr>
        <w:widowControl w:val="0"/>
        <w:ind w:left="1440" w:firstLine="720"/>
        <w:jc w:val="both"/>
        <w:rPr>
          <w:sz w:val="24"/>
          <w:szCs w:val="24"/>
        </w:rPr>
      </w:pPr>
      <w:r>
        <w:rPr>
          <w:sz w:val="24"/>
          <w:szCs w:val="24"/>
        </w:rPr>
        <w:t>- sunt prevazute trape în treimea superioară a șarpantei, raportată la înălțimea maximă a șarpantei.</w:t>
      </w:r>
    </w:p>
    <w:p w14:paraId="7916AFA4" w14:textId="77777777" w:rsidR="001C08A5" w:rsidRDefault="00000000">
      <w:pPr>
        <w:pStyle w:val="Heading3"/>
      </w:pPr>
      <w:bookmarkStart w:id="5580" w:name="_Toc23957"/>
      <w:bookmarkStart w:id="5581" w:name="_Toc1577"/>
      <w:bookmarkStart w:id="5582" w:name="_Toc19243"/>
      <w:bookmarkStart w:id="5583" w:name="_Toc6258"/>
      <w:bookmarkStart w:id="5584" w:name="_Toc17432"/>
      <w:bookmarkStart w:id="5585" w:name="_Toc162355379"/>
      <w:bookmarkStart w:id="5586" w:name="_Toc13689"/>
      <w:bookmarkStart w:id="5587" w:name="_Toc5082"/>
      <w:bookmarkStart w:id="5588" w:name="_Toc8636"/>
      <w:bookmarkStart w:id="5589" w:name="_Toc25245"/>
      <w:r>
        <w:t>8.2. Evacuarea fumului prin tiraj natural - organizat</w:t>
      </w:r>
      <w:bookmarkEnd w:id="5580"/>
      <w:bookmarkEnd w:id="5581"/>
      <w:bookmarkEnd w:id="5582"/>
      <w:bookmarkEnd w:id="5583"/>
      <w:bookmarkEnd w:id="5584"/>
      <w:bookmarkEnd w:id="5585"/>
      <w:bookmarkEnd w:id="5586"/>
      <w:bookmarkEnd w:id="5587"/>
      <w:bookmarkEnd w:id="5588"/>
      <w:bookmarkEnd w:id="5589"/>
    </w:p>
    <w:p w14:paraId="765D0CA1" w14:textId="77777777" w:rsidR="001C08A5" w:rsidRDefault="001C08A5">
      <w:pPr>
        <w:jc w:val="both"/>
        <w:rPr>
          <w:sz w:val="24"/>
          <w:szCs w:val="24"/>
        </w:rPr>
      </w:pPr>
    </w:p>
    <w:p w14:paraId="6ABA659C" w14:textId="77777777" w:rsidR="001C08A5" w:rsidRDefault="00000000">
      <w:pPr>
        <w:pStyle w:val="BodyText"/>
        <w:rPr>
          <w:b w:val="0"/>
          <w:i w:val="0"/>
          <w:iCs/>
        </w:rPr>
      </w:pPr>
      <w:r>
        <w:rPr>
          <w:i w:val="0"/>
          <w:iCs/>
        </w:rPr>
        <w:tab/>
        <w:t xml:space="preserve">Art. 8.2.1. (1) </w:t>
      </w:r>
      <w:r>
        <w:rPr>
          <w:b w:val="0"/>
          <w:i w:val="0"/>
          <w:iCs/>
        </w:rPr>
        <w:t>Evacuarea fumului prin tiraj natural-organizat se realizează prin introduceri de aer și goluri de evacuare a fumului care pot comunica cu exteriorul direct sau prin canale ori ghene, astfel dispuse, dimensionate şi realizate încât să asigure circulaţia controlată a  aerului în volumul protejat și evacuarea fumului.</w:t>
      </w:r>
    </w:p>
    <w:p w14:paraId="0BD90BE2" w14:textId="77777777" w:rsidR="001C08A5" w:rsidRDefault="00000000">
      <w:pPr>
        <w:pStyle w:val="BodyText"/>
        <w:ind w:firstLine="720"/>
        <w:rPr>
          <w:b w:val="0"/>
          <w:i w:val="0"/>
          <w:iCs/>
        </w:rPr>
      </w:pPr>
      <w:r>
        <w:rPr>
          <w:bCs w:val="0"/>
          <w:i w:val="0"/>
          <w:iCs/>
        </w:rPr>
        <w:lastRenderedPageBreak/>
        <w:t>(2)</w:t>
      </w:r>
      <w:r>
        <w:rPr>
          <w:b w:val="0"/>
          <w:i w:val="0"/>
          <w:iCs/>
        </w:rPr>
        <w:t xml:space="preserve"> Introducerea aerului se realizează prin goluri de admisie cu aria </w:t>
      </w:r>
      <w:r>
        <w:rPr>
          <w:b w:val="0"/>
          <w:bCs w:val="0"/>
          <w:i w:val="0"/>
          <w:iCs/>
        </w:rPr>
        <w:t xml:space="preserve">aerodinamică </w:t>
      </w:r>
      <w:r>
        <w:rPr>
          <w:b w:val="0"/>
          <w:i w:val="0"/>
          <w:iCs/>
        </w:rPr>
        <w:t xml:space="preserve">libera utila de </w:t>
      </w:r>
      <w:r>
        <w:rPr>
          <w:i w:val="0"/>
          <w:iCs/>
        </w:rPr>
        <w:t>75%</w:t>
      </w:r>
      <w:r>
        <w:rPr>
          <w:b w:val="0"/>
          <w:i w:val="0"/>
          <w:iCs/>
        </w:rPr>
        <w:t xml:space="preserve"> din aria </w:t>
      </w:r>
      <w:r>
        <w:rPr>
          <w:b w:val="0"/>
          <w:bCs w:val="0"/>
          <w:i w:val="0"/>
          <w:iCs/>
        </w:rPr>
        <w:t xml:space="preserve">aerodinamică </w:t>
      </w:r>
      <w:r>
        <w:rPr>
          <w:b w:val="0"/>
          <w:i w:val="0"/>
          <w:iCs/>
        </w:rPr>
        <w:t xml:space="preserve">libera utila a evacuărilor, iar evacuarea fumului prin goluri în faţade (libere sau închise cu dispozitive care se deschid automat în caz de incendiu), prin canale și ghene, ori prin dispozitive (trape) cu deschidere automată dispuse în  treimea superioara a sarpantei, raportata la înălțimea maximă a șarpantei, sau în treimea superioară a pereţilor exteriori ai încăperii (atunci cand tavanul are o înclinare mai mica de </w:t>
      </w:r>
      <w:r>
        <w:rPr>
          <w:bCs w:val="0"/>
          <w:i w:val="0"/>
          <w:iCs/>
        </w:rPr>
        <w:t>20</w:t>
      </w:r>
      <w:r>
        <w:rPr>
          <w:bCs w:val="0"/>
          <w:i w:val="0"/>
          <w:iCs/>
          <w:vertAlign w:val="superscript"/>
        </w:rPr>
        <w:t>0</w:t>
      </w:r>
      <w:r>
        <w:rPr>
          <w:b w:val="0"/>
          <w:i w:val="0"/>
          <w:iCs/>
        </w:rPr>
        <w:t xml:space="preserve">). Dispozitivele de evacuare a fumului prin tiraj natural-organizat asigură evacuarea fumului pe maximum </w:t>
      </w:r>
      <w:r>
        <w:rPr>
          <w:i w:val="0"/>
          <w:iCs/>
        </w:rPr>
        <w:t>30</w:t>
      </w:r>
      <w:r>
        <w:rPr>
          <w:b w:val="0"/>
          <w:i w:val="0"/>
          <w:iCs/>
        </w:rPr>
        <w:t xml:space="preserve"> m adâncime a încăperii.</w:t>
      </w:r>
    </w:p>
    <w:p w14:paraId="20A99A65" w14:textId="77777777" w:rsidR="001C08A5" w:rsidRDefault="00000000">
      <w:pPr>
        <w:pStyle w:val="BodyText"/>
        <w:ind w:firstLine="720"/>
        <w:rPr>
          <w:b w:val="0"/>
          <w:i w:val="0"/>
          <w:iCs/>
        </w:rPr>
      </w:pPr>
      <w:r>
        <w:rPr>
          <w:bCs w:val="0"/>
          <w:i w:val="0"/>
          <w:iCs/>
        </w:rPr>
        <w:t>(3)</w:t>
      </w:r>
      <w:r>
        <w:rPr>
          <w:b w:val="0"/>
          <w:i w:val="0"/>
          <w:iCs/>
        </w:rPr>
        <w:t xml:space="preserve"> Dispozitivele pentru introducerea aerului proaspat pentru compensare în caz de incendiu, vor avea o suprafaţă liberă utila normată, raportată la aria utila a dispozitivelor pentru evacuare a fumului pe care o protejează, conform prevederilor normativului. </w:t>
      </w:r>
    </w:p>
    <w:p w14:paraId="2594DE7F" w14:textId="77777777" w:rsidR="001C08A5" w:rsidRDefault="00000000">
      <w:pPr>
        <w:pStyle w:val="BodyText"/>
        <w:ind w:firstLine="720"/>
        <w:rPr>
          <w:b w:val="0"/>
          <w:i w:val="0"/>
          <w:iCs/>
        </w:rPr>
      </w:pPr>
      <w:r>
        <w:rPr>
          <w:bCs w:val="0"/>
          <w:i w:val="0"/>
          <w:iCs/>
        </w:rPr>
        <w:t>(4)</w:t>
      </w:r>
      <w:r>
        <w:rPr>
          <w:b w:val="0"/>
          <w:i w:val="0"/>
          <w:iCs/>
        </w:rPr>
        <w:t xml:space="preserve"> Golurile de ventilare naturală permanent deschise, practicate în treimea inferioara a pereţilor exteriori, se însumează la suprafaţa liberă necesară compensarii aerului in caz de incendiu.</w:t>
      </w:r>
    </w:p>
    <w:p w14:paraId="5B2884C1" w14:textId="77777777" w:rsidR="001C08A5" w:rsidRDefault="00000000">
      <w:pPr>
        <w:pStyle w:val="BodyText"/>
        <w:ind w:firstLine="720"/>
      </w:pPr>
      <w:r>
        <w:rPr>
          <w:bCs w:val="0"/>
          <w:i w:val="0"/>
          <w:iCs/>
        </w:rPr>
        <w:t>(5</w:t>
      </w:r>
      <w:r>
        <w:rPr>
          <w:b w:val="0"/>
          <w:i w:val="0"/>
          <w:iCs/>
        </w:rPr>
        <w:t xml:space="preserve">) Golurile de introducere (admisie) a aerului se dispun în toate cazurile în treimea inferioară a pereților încăperii/ spațiului și se repartizează alternat (între ele), distribuindu-se cât mai uniform în spaţiul protejat, având marginea lor superioară la cel mult </w:t>
      </w:r>
      <w:r>
        <w:rPr>
          <w:i w:val="0"/>
          <w:iCs/>
        </w:rPr>
        <w:t>1 m</w:t>
      </w:r>
      <w:r>
        <w:rPr>
          <w:b w:val="0"/>
          <w:bCs w:val="0"/>
          <w:i w:val="0"/>
          <w:iCs/>
        </w:rPr>
        <w:t xml:space="preserve"> faţă de pardoseală în cazul încăperilor/spațiilor cu înaltimea liberă de maxim </w:t>
      </w:r>
      <w:r>
        <w:rPr>
          <w:i w:val="0"/>
          <w:iCs/>
        </w:rPr>
        <w:t>3 m</w:t>
      </w:r>
      <w:r>
        <w:t>.</w:t>
      </w:r>
    </w:p>
    <w:p w14:paraId="3C79B90E" w14:textId="77777777" w:rsidR="001C08A5" w:rsidRDefault="001C08A5">
      <w:pPr>
        <w:pStyle w:val="BodyText"/>
        <w:ind w:firstLine="720"/>
      </w:pPr>
    </w:p>
    <w:p w14:paraId="24BD18DE" w14:textId="77777777" w:rsidR="001C08A5" w:rsidRDefault="00000000">
      <w:pPr>
        <w:pStyle w:val="BodyText"/>
        <w:rPr>
          <w:b w:val="0"/>
          <w:i w:val="0"/>
          <w:iCs/>
        </w:rPr>
      </w:pPr>
      <w:r>
        <w:rPr>
          <w:i w:val="0"/>
          <w:iCs/>
        </w:rPr>
        <w:tab/>
        <w:t>Art. 8.2.2. (1)</w:t>
      </w:r>
      <w:r>
        <w:rPr>
          <w:b w:val="0"/>
          <w:i w:val="0"/>
          <w:iCs/>
        </w:rPr>
        <w:t xml:space="preserve"> Dispozitivele pentru evacuarea fumului în caz de incendiu, vor avea o arie </w:t>
      </w:r>
      <w:r>
        <w:rPr>
          <w:b w:val="0"/>
          <w:bCs w:val="0"/>
          <w:i w:val="0"/>
          <w:iCs/>
        </w:rPr>
        <w:t xml:space="preserve">aerodinamică </w:t>
      </w:r>
      <w:r>
        <w:rPr>
          <w:b w:val="0"/>
          <w:i w:val="0"/>
          <w:iCs/>
        </w:rPr>
        <w:t>libera utila normată, raportată la suprafaţa încăperii pe care o protejează, conform prevederilor normativului.</w:t>
      </w:r>
    </w:p>
    <w:p w14:paraId="056FBAC5" w14:textId="77777777" w:rsidR="001C08A5" w:rsidRDefault="00000000">
      <w:pPr>
        <w:pStyle w:val="BodyText"/>
        <w:ind w:firstLine="720"/>
        <w:rPr>
          <w:b w:val="0"/>
          <w:i w:val="0"/>
          <w:iCs/>
        </w:rPr>
      </w:pPr>
      <w:r>
        <w:rPr>
          <w:i w:val="0"/>
          <w:iCs/>
        </w:rPr>
        <w:t>(2)</w:t>
      </w:r>
      <w:r>
        <w:rPr>
          <w:b w:val="0"/>
          <w:i w:val="0"/>
          <w:iCs/>
        </w:rPr>
        <w:t xml:space="preserve"> Golurile de ventilare naturală permanent deschise, practicate în acoperiş sau în treimea superioară a pereţilor exteriori, se însumează la suprafaţa liberă necesară evacuarii fumului.</w:t>
      </w:r>
    </w:p>
    <w:p w14:paraId="2A5CBAEF" w14:textId="77777777" w:rsidR="001C08A5" w:rsidRDefault="00000000">
      <w:pPr>
        <w:pStyle w:val="BodyText"/>
        <w:ind w:firstLine="720"/>
        <w:rPr>
          <w:i w:val="0"/>
          <w:iCs/>
        </w:rPr>
      </w:pPr>
      <w:r>
        <w:rPr>
          <w:i w:val="0"/>
          <w:iCs/>
        </w:rPr>
        <w:t>(3)</w:t>
      </w:r>
      <w:r>
        <w:rPr>
          <w:b w:val="0"/>
          <w:i w:val="0"/>
          <w:iCs/>
        </w:rPr>
        <w:t xml:space="preserve"> Dispozitivele de protecţie a golurilor pentru admisie și evacuare (voleţi, panouri, trape etc.) trebuie să fie (în poziţie de aşteptare), etanşe la foc pentru cele de introducere a aerului şi rezistente la foc pentru cele de evacuare a fumului, cu rezistenţa la foc cel puțin egală cu a canalului în care sunt montate, dar minimum performanța la foc prevazută la </w:t>
      </w:r>
      <w:r>
        <w:rPr>
          <w:bCs w:val="0"/>
          <w:i w:val="0"/>
          <w:iCs/>
        </w:rPr>
        <w:t>Art. 8.1.10 alin. (11)</w:t>
      </w:r>
      <w:r>
        <w:rPr>
          <w:b w:val="0"/>
          <w:i w:val="0"/>
          <w:iCs/>
        </w:rPr>
        <w:t>. Pentru dispozitivele prevăzute în acoperiş sau în pereţii exteriori, aceste condiţii nu sunt obligatorii.</w:t>
      </w:r>
    </w:p>
    <w:p w14:paraId="427C3279" w14:textId="77777777" w:rsidR="001C08A5" w:rsidRDefault="001C08A5">
      <w:pPr>
        <w:rPr>
          <w:sz w:val="24"/>
          <w:szCs w:val="24"/>
        </w:rPr>
      </w:pPr>
    </w:p>
    <w:p w14:paraId="31A92905" w14:textId="77777777" w:rsidR="001C08A5" w:rsidRDefault="00000000">
      <w:pPr>
        <w:ind w:firstLine="708"/>
        <w:jc w:val="both"/>
        <w:rPr>
          <w:sz w:val="24"/>
          <w:szCs w:val="24"/>
        </w:rPr>
      </w:pPr>
      <w:r>
        <w:rPr>
          <w:b/>
          <w:sz w:val="24"/>
          <w:szCs w:val="24"/>
        </w:rPr>
        <w:tab/>
        <w:t xml:space="preserve">Art. 8.2.3. </w:t>
      </w:r>
      <w:r>
        <w:rPr>
          <w:sz w:val="24"/>
          <w:szCs w:val="24"/>
        </w:rPr>
        <w:t>Dispozitivele de evacuare a fumului şi gazelor fierbinţi, trebuie să îndeplinească următoarele cerinţe:</w:t>
      </w:r>
    </w:p>
    <w:p w14:paraId="41976F38" w14:textId="77777777" w:rsidR="001C08A5" w:rsidRDefault="00000000">
      <w:pPr>
        <w:ind w:left="1418"/>
        <w:jc w:val="both"/>
        <w:rPr>
          <w:sz w:val="24"/>
          <w:szCs w:val="24"/>
        </w:rPr>
      </w:pPr>
      <w:r>
        <w:rPr>
          <w:sz w:val="24"/>
          <w:szCs w:val="24"/>
        </w:rPr>
        <w:tab/>
      </w:r>
      <w:r>
        <w:rPr>
          <w:b/>
          <w:sz w:val="24"/>
          <w:szCs w:val="24"/>
        </w:rPr>
        <w:t>a)</w:t>
      </w:r>
      <w:r>
        <w:rPr>
          <w:sz w:val="24"/>
          <w:szCs w:val="24"/>
        </w:rPr>
        <w:t xml:space="preserve"> clasa de fiabilitate </w:t>
      </w:r>
      <w:r>
        <w:rPr>
          <w:b/>
          <w:sz w:val="24"/>
          <w:szCs w:val="24"/>
        </w:rPr>
        <w:t>Re 300</w:t>
      </w:r>
      <w:r>
        <w:rPr>
          <w:sz w:val="24"/>
          <w:szCs w:val="24"/>
        </w:rPr>
        <w:t xml:space="preserve"> (300 de cicluri) iar dispozitivele cu funcţiune dublă (utilizate şi pentru ventilarea normală) se supun la </w:t>
      </w:r>
      <w:r>
        <w:rPr>
          <w:b/>
          <w:bCs/>
          <w:sz w:val="24"/>
          <w:szCs w:val="24"/>
        </w:rPr>
        <w:t>10.000</w:t>
      </w:r>
      <w:r>
        <w:rPr>
          <w:sz w:val="24"/>
          <w:szCs w:val="24"/>
        </w:rPr>
        <w:t xml:space="preserve"> de cicluri de deschidere în situaţie de ventilare;</w:t>
      </w:r>
    </w:p>
    <w:p w14:paraId="69929F58" w14:textId="77777777" w:rsidR="001C08A5" w:rsidRDefault="00000000">
      <w:pPr>
        <w:ind w:left="1418" w:hanging="1"/>
        <w:jc w:val="both"/>
        <w:rPr>
          <w:sz w:val="24"/>
          <w:szCs w:val="24"/>
        </w:rPr>
      </w:pPr>
      <w:r>
        <w:rPr>
          <w:sz w:val="24"/>
          <w:szCs w:val="24"/>
        </w:rPr>
        <w:tab/>
      </w:r>
      <w:r>
        <w:rPr>
          <w:sz w:val="24"/>
          <w:szCs w:val="24"/>
        </w:rPr>
        <w:tab/>
      </w:r>
      <w:r>
        <w:rPr>
          <w:b/>
          <w:sz w:val="24"/>
          <w:szCs w:val="24"/>
        </w:rPr>
        <w:t>b)</w:t>
      </w:r>
      <w:r>
        <w:rPr>
          <w:sz w:val="24"/>
          <w:szCs w:val="24"/>
        </w:rPr>
        <w:t xml:space="preserve"> clasificarea încărcării din zăpadă este </w:t>
      </w:r>
      <w:r>
        <w:rPr>
          <w:b/>
          <w:sz w:val="24"/>
          <w:szCs w:val="24"/>
        </w:rPr>
        <w:t>SL 250</w:t>
      </w:r>
      <w:r>
        <w:rPr>
          <w:sz w:val="24"/>
          <w:szCs w:val="24"/>
        </w:rPr>
        <w:t xml:space="preserve"> (</w:t>
      </w:r>
      <w:r>
        <w:rPr>
          <w:b/>
          <w:bCs/>
          <w:sz w:val="24"/>
          <w:szCs w:val="24"/>
        </w:rPr>
        <w:t>25 daN/m²</w:t>
      </w:r>
      <w:r>
        <w:rPr>
          <w:sz w:val="24"/>
          <w:szCs w:val="24"/>
        </w:rPr>
        <w:t xml:space="preserve">) pentru zone cu altitudinea sub 400 m, </w:t>
      </w:r>
      <w:r>
        <w:rPr>
          <w:b/>
          <w:sz w:val="24"/>
          <w:szCs w:val="24"/>
        </w:rPr>
        <w:t>SL 500</w:t>
      </w:r>
      <w:r>
        <w:rPr>
          <w:sz w:val="24"/>
          <w:szCs w:val="24"/>
        </w:rPr>
        <w:t xml:space="preserve"> (</w:t>
      </w:r>
      <w:r>
        <w:rPr>
          <w:b/>
          <w:bCs/>
          <w:sz w:val="24"/>
          <w:szCs w:val="24"/>
        </w:rPr>
        <w:t>50 daN/m²</w:t>
      </w:r>
      <w:r>
        <w:rPr>
          <w:sz w:val="24"/>
          <w:szCs w:val="24"/>
        </w:rPr>
        <w:t xml:space="preserve">) pentru înălţimi cuprinse între </w:t>
      </w:r>
      <w:r>
        <w:rPr>
          <w:b/>
          <w:bCs/>
          <w:sz w:val="24"/>
          <w:szCs w:val="24"/>
        </w:rPr>
        <w:t>400 m</w:t>
      </w:r>
      <w:r>
        <w:rPr>
          <w:sz w:val="24"/>
          <w:szCs w:val="24"/>
        </w:rPr>
        <w:t xml:space="preserve"> şi </w:t>
      </w:r>
      <w:r>
        <w:rPr>
          <w:b/>
          <w:bCs/>
          <w:sz w:val="24"/>
          <w:szCs w:val="24"/>
        </w:rPr>
        <w:t>800 m</w:t>
      </w:r>
      <w:r>
        <w:rPr>
          <w:sz w:val="24"/>
          <w:szCs w:val="24"/>
        </w:rPr>
        <w:t xml:space="preserve"> şi obligativitatea asocierii cu dispozitive care împiedică acumularea zăpezii; la altitudini mai mari de </w:t>
      </w:r>
      <w:r>
        <w:rPr>
          <w:b/>
          <w:bCs/>
          <w:sz w:val="24"/>
          <w:szCs w:val="24"/>
        </w:rPr>
        <w:t>800 m</w:t>
      </w:r>
      <w:r>
        <w:rPr>
          <w:sz w:val="24"/>
          <w:szCs w:val="24"/>
        </w:rPr>
        <w:t xml:space="preserve">, panta acoperişului şi a dispozitivelor trebuie să fie </w:t>
      </w:r>
      <w:r>
        <w:rPr>
          <w:b/>
          <w:bCs/>
          <w:sz w:val="24"/>
          <w:szCs w:val="24"/>
        </w:rPr>
        <w:t>&gt; 45º</w:t>
      </w:r>
      <w:r>
        <w:rPr>
          <w:sz w:val="24"/>
          <w:szCs w:val="24"/>
        </w:rPr>
        <w:t>;</w:t>
      </w:r>
    </w:p>
    <w:p w14:paraId="38F7D14E" w14:textId="77777777" w:rsidR="001C08A5" w:rsidRDefault="00000000">
      <w:pPr>
        <w:ind w:firstLine="708"/>
        <w:jc w:val="both"/>
        <w:rPr>
          <w:sz w:val="24"/>
          <w:szCs w:val="24"/>
        </w:rPr>
      </w:pPr>
      <w:r>
        <w:rPr>
          <w:sz w:val="24"/>
          <w:szCs w:val="24"/>
        </w:rPr>
        <w:tab/>
      </w:r>
      <w:r>
        <w:rPr>
          <w:sz w:val="24"/>
          <w:szCs w:val="24"/>
        </w:rPr>
        <w:tab/>
      </w:r>
      <w:r>
        <w:rPr>
          <w:b/>
          <w:sz w:val="24"/>
          <w:szCs w:val="24"/>
        </w:rPr>
        <w:t>c)</w:t>
      </w:r>
      <w:r>
        <w:rPr>
          <w:sz w:val="24"/>
          <w:szCs w:val="24"/>
        </w:rPr>
        <w:t xml:space="preserve"> clasa </w:t>
      </w:r>
      <w:r>
        <w:rPr>
          <w:b/>
          <w:sz w:val="24"/>
          <w:szCs w:val="24"/>
        </w:rPr>
        <w:t xml:space="preserve">T </w:t>
      </w:r>
      <w:r>
        <w:rPr>
          <w:sz w:val="24"/>
          <w:szCs w:val="24"/>
        </w:rPr>
        <w:t>(-0,5) pentru temperatura mediului de (-0,5ºC);</w:t>
      </w:r>
    </w:p>
    <w:p w14:paraId="16256B1D" w14:textId="77777777" w:rsidR="001C08A5" w:rsidRDefault="00000000">
      <w:pPr>
        <w:pStyle w:val="Pagrindinistekstas1"/>
        <w:ind w:left="720" w:firstLine="720"/>
        <w:rPr>
          <w:sz w:val="24"/>
          <w:szCs w:val="24"/>
        </w:rPr>
      </w:pPr>
      <w:r>
        <w:rPr>
          <w:b/>
          <w:sz w:val="24"/>
          <w:szCs w:val="24"/>
        </w:rPr>
        <w:t>d)</w:t>
      </w:r>
      <w:r>
        <w:rPr>
          <w:b/>
          <w:sz w:val="24"/>
          <w:szCs w:val="24"/>
          <w:lang w:val="ro-RO"/>
        </w:rPr>
        <w:t xml:space="preserve"> </w:t>
      </w:r>
      <w:r>
        <w:rPr>
          <w:sz w:val="24"/>
          <w:szCs w:val="24"/>
        </w:rPr>
        <w:t>clasa</w:t>
      </w:r>
      <w:r>
        <w:rPr>
          <w:b/>
          <w:sz w:val="24"/>
          <w:szCs w:val="24"/>
        </w:rPr>
        <w:t>B</w:t>
      </w:r>
      <w:r>
        <w:rPr>
          <w:b/>
          <w:sz w:val="24"/>
          <w:szCs w:val="24"/>
          <w:vertAlign w:val="subscript"/>
        </w:rPr>
        <w:t>300</w:t>
      </w:r>
      <w:r>
        <w:rPr>
          <w:b/>
          <w:sz w:val="24"/>
          <w:szCs w:val="24"/>
        </w:rPr>
        <w:t>30</w:t>
      </w:r>
      <w:r>
        <w:rPr>
          <w:sz w:val="24"/>
          <w:szCs w:val="24"/>
        </w:rPr>
        <w:t xml:space="preserve"> (</w:t>
      </w:r>
      <w:r>
        <w:rPr>
          <w:b/>
          <w:bCs/>
          <w:sz w:val="24"/>
          <w:szCs w:val="24"/>
        </w:rPr>
        <w:t>300ºC</w:t>
      </w:r>
      <w:r>
        <w:rPr>
          <w:sz w:val="24"/>
          <w:szCs w:val="24"/>
        </w:rPr>
        <w:t xml:space="preserve"> pe timp de </w:t>
      </w:r>
      <w:r>
        <w:rPr>
          <w:b/>
          <w:bCs/>
          <w:sz w:val="24"/>
          <w:szCs w:val="24"/>
        </w:rPr>
        <w:t>30</w:t>
      </w:r>
      <w:r>
        <w:rPr>
          <w:sz w:val="24"/>
          <w:szCs w:val="24"/>
        </w:rPr>
        <w:t xml:space="preserve"> de minute) pentruexpunerea la căldură.</w:t>
      </w:r>
    </w:p>
    <w:p w14:paraId="348AFFD8" w14:textId="77777777" w:rsidR="001C08A5" w:rsidRDefault="001C08A5">
      <w:pPr>
        <w:pStyle w:val="Pagrindinistekstas1"/>
        <w:ind w:left="720" w:firstLine="720"/>
        <w:rPr>
          <w:rStyle w:val="CommentReference"/>
          <w:rFonts w:ascii="Times New Roman" w:hAnsi="Times New Roman"/>
          <w:b/>
          <w:bCs/>
          <w:sz w:val="24"/>
          <w:szCs w:val="24"/>
        </w:rPr>
      </w:pPr>
    </w:p>
    <w:p w14:paraId="5385BFCF" w14:textId="77777777" w:rsidR="001C08A5" w:rsidRDefault="00000000">
      <w:pPr>
        <w:pStyle w:val="Pagrindinistekstas1"/>
        <w:ind w:firstLine="720"/>
        <w:rPr>
          <w:rFonts w:ascii="Times New Roman" w:hAnsi="Times New Roman"/>
          <w:b/>
          <w:sz w:val="24"/>
          <w:szCs w:val="24"/>
          <w:lang w:val="ro-RO"/>
        </w:rPr>
      </w:pPr>
      <w:r>
        <w:rPr>
          <w:rFonts w:ascii="Times New Roman" w:hAnsi="Times New Roman"/>
          <w:b/>
          <w:bCs/>
          <w:sz w:val="24"/>
          <w:szCs w:val="24"/>
          <w:lang w:val="ro-RO"/>
        </w:rPr>
        <w:t xml:space="preserve">Art. 8.2.4. (1) </w:t>
      </w:r>
      <w:r>
        <w:rPr>
          <w:rFonts w:ascii="Times New Roman" w:hAnsi="Times New Roman"/>
          <w:sz w:val="24"/>
          <w:szCs w:val="24"/>
          <w:lang w:val="ro-RO"/>
        </w:rPr>
        <w:t xml:space="preserve">Trapele de evacuare a fumului prevazute în canalele de evacuare a fumului care se deschid automat pentru extragerea fumului  trebuie să aibă o rezistenţă la foc cel puţin din clasa </w:t>
      </w:r>
      <w:r>
        <w:rPr>
          <w:rFonts w:ascii="Times New Roman" w:hAnsi="Times New Roman"/>
          <w:b/>
          <w:bCs/>
          <w:sz w:val="24"/>
          <w:szCs w:val="24"/>
          <w:lang w:val="ro-RO"/>
        </w:rPr>
        <w:t>B</w:t>
      </w:r>
      <w:r>
        <w:rPr>
          <w:rFonts w:ascii="Times New Roman" w:hAnsi="Times New Roman"/>
          <w:b/>
          <w:bCs/>
          <w:sz w:val="24"/>
          <w:szCs w:val="24"/>
          <w:vertAlign w:val="subscript"/>
          <w:lang w:val="ro-RO"/>
        </w:rPr>
        <w:t>300</w:t>
      </w:r>
      <w:r>
        <w:rPr>
          <w:rFonts w:ascii="Times New Roman" w:hAnsi="Times New Roman"/>
          <w:b/>
          <w:bCs/>
          <w:sz w:val="24"/>
          <w:szCs w:val="24"/>
          <w:lang w:val="ro-RO"/>
        </w:rPr>
        <w:t xml:space="preserve"> 30</w:t>
      </w:r>
      <w:r>
        <w:rPr>
          <w:rFonts w:ascii="Times New Roman" w:hAnsi="Times New Roman"/>
          <w:sz w:val="24"/>
          <w:szCs w:val="24"/>
          <w:lang w:val="ro-RO"/>
        </w:rPr>
        <w:t xml:space="preserve">. Canalul de evacuare a fumului în care este instalată trapa de evacuare a fumului trebuie să fie rezistent la foc minimum </w:t>
      </w:r>
      <w:r>
        <w:rPr>
          <w:rFonts w:ascii="Times New Roman" w:hAnsi="Times New Roman"/>
          <w:b/>
          <w:bCs/>
          <w:sz w:val="24"/>
          <w:szCs w:val="24"/>
          <w:lang w:val="ro-RO"/>
        </w:rPr>
        <w:t>EI 30</w:t>
      </w:r>
      <w:r>
        <w:rPr>
          <w:rFonts w:ascii="Times New Roman" w:hAnsi="Times New Roman"/>
          <w:sz w:val="24"/>
          <w:szCs w:val="24"/>
          <w:lang w:val="ro-RO"/>
        </w:rPr>
        <w:t>. Clasa de rezistenţă la foc a trapelor de evacuare a fumului trebuie să fie egală sau mai mare față de cea a canalului de evacuare a fumului în care sunt instalate.</w:t>
      </w:r>
    </w:p>
    <w:p w14:paraId="4D1C46D5" w14:textId="77777777" w:rsidR="001C08A5" w:rsidRDefault="00000000">
      <w:pPr>
        <w:pStyle w:val="Pagrindinistekstas1"/>
        <w:ind w:firstLine="720"/>
        <w:rPr>
          <w:rFonts w:ascii="Times New Roman" w:hAnsi="Times New Roman"/>
          <w:sz w:val="24"/>
          <w:szCs w:val="24"/>
          <w:lang w:val="ro-RO"/>
        </w:rPr>
      </w:pPr>
      <w:r>
        <w:rPr>
          <w:rFonts w:ascii="Times New Roman" w:hAnsi="Times New Roman"/>
          <w:b/>
          <w:sz w:val="24"/>
          <w:szCs w:val="24"/>
          <w:lang w:val="ro-RO"/>
        </w:rPr>
        <w:t xml:space="preserve">(2) </w:t>
      </w:r>
      <w:r>
        <w:rPr>
          <w:rFonts w:ascii="Times New Roman" w:hAnsi="Times New Roman"/>
          <w:sz w:val="24"/>
          <w:szCs w:val="24"/>
          <w:lang w:val="ro-RO"/>
        </w:rPr>
        <w:t>Ochiurile mobile pot fi utilizate în sisteme de evacuare a fumului și a gazelor fierbinti pentru o singură cameră şi/sau un singur rezervor de fum.</w:t>
      </w:r>
    </w:p>
    <w:p w14:paraId="50D64307" w14:textId="77777777" w:rsidR="001C08A5" w:rsidRDefault="00000000">
      <w:pPr>
        <w:pStyle w:val="Pagrindinistekstas1"/>
        <w:ind w:firstLine="720"/>
        <w:rPr>
          <w:rFonts w:ascii="Times New Roman" w:hAnsi="Times New Roman"/>
          <w:b/>
          <w:bCs/>
          <w:sz w:val="24"/>
          <w:szCs w:val="24"/>
          <w:lang w:val="ro-RO"/>
        </w:rPr>
      </w:pPr>
      <w:r>
        <w:rPr>
          <w:rFonts w:ascii="Times New Roman" w:hAnsi="Times New Roman"/>
          <w:b/>
          <w:bCs/>
          <w:sz w:val="24"/>
          <w:szCs w:val="24"/>
          <w:lang w:val="ro-RO"/>
        </w:rPr>
        <w:t xml:space="preserve">(3) </w:t>
      </w:r>
      <w:r>
        <w:rPr>
          <w:rFonts w:ascii="Times New Roman" w:hAnsi="Times New Roman"/>
          <w:sz w:val="24"/>
          <w:szCs w:val="24"/>
          <w:lang w:val="ro-RO"/>
        </w:rPr>
        <w:t xml:space="preserve">Rezervoarele de fum trebuie să îndeplinească cerințele prevăzute la </w:t>
      </w:r>
      <w:r>
        <w:rPr>
          <w:rFonts w:ascii="Times New Roman" w:hAnsi="Times New Roman"/>
          <w:b/>
          <w:bCs/>
          <w:sz w:val="24"/>
          <w:szCs w:val="24"/>
          <w:lang w:val="ro-RO"/>
        </w:rPr>
        <w:t>Art 8.1.3</w:t>
      </w:r>
      <w:r>
        <w:rPr>
          <w:rFonts w:ascii="Times New Roman" w:hAnsi="Times New Roman"/>
          <w:sz w:val="24"/>
          <w:szCs w:val="24"/>
          <w:lang w:val="ro-RO"/>
        </w:rPr>
        <w:t xml:space="preserve">. și </w:t>
      </w:r>
      <w:r>
        <w:rPr>
          <w:rFonts w:ascii="Times New Roman" w:hAnsi="Times New Roman"/>
          <w:b/>
          <w:bCs/>
          <w:sz w:val="24"/>
          <w:szCs w:val="24"/>
          <w:lang w:val="ro-RO"/>
        </w:rPr>
        <w:t>Art. 8.1.13</w:t>
      </w:r>
      <w:r>
        <w:rPr>
          <w:rFonts w:ascii="Times New Roman" w:hAnsi="Times New Roman"/>
          <w:sz w:val="24"/>
          <w:szCs w:val="24"/>
          <w:lang w:val="ro-RO"/>
        </w:rPr>
        <w:t>.</w:t>
      </w:r>
    </w:p>
    <w:p w14:paraId="46D641BA" w14:textId="77777777" w:rsidR="001C08A5" w:rsidRDefault="00000000">
      <w:pPr>
        <w:pStyle w:val="Pagrindinistekstas1"/>
        <w:ind w:firstLine="720"/>
        <w:rPr>
          <w:rFonts w:ascii="Times New Roman" w:hAnsi="Times New Roman"/>
          <w:b/>
          <w:bCs/>
          <w:sz w:val="24"/>
          <w:szCs w:val="24"/>
          <w:lang w:val="ro-RO"/>
        </w:rPr>
      </w:pPr>
      <w:r>
        <w:rPr>
          <w:rFonts w:ascii="Times New Roman" w:hAnsi="Times New Roman"/>
          <w:b/>
          <w:bCs/>
          <w:sz w:val="24"/>
          <w:szCs w:val="24"/>
          <w:lang w:val="ro-RO"/>
        </w:rPr>
        <w:t xml:space="preserve">(4) </w:t>
      </w:r>
      <w:r>
        <w:rPr>
          <w:rFonts w:ascii="Times New Roman" w:hAnsi="Times New Roman"/>
          <w:sz w:val="24"/>
          <w:szCs w:val="24"/>
          <w:lang w:val="ro-RO"/>
        </w:rPr>
        <w:t xml:space="preserve">Se prevede o trapă de evacuare a fumului la maxim </w:t>
      </w:r>
      <w:r>
        <w:rPr>
          <w:rFonts w:ascii="Times New Roman" w:hAnsi="Times New Roman"/>
          <w:b/>
          <w:bCs/>
          <w:sz w:val="24"/>
          <w:szCs w:val="24"/>
          <w:lang w:val="ro-RO"/>
        </w:rPr>
        <w:t>200</w:t>
      </w:r>
      <w:r>
        <w:rPr>
          <w:rFonts w:ascii="Times New Roman" w:hAnsi="Times New Roman"/>
          <w:sz w:val="24"/>
          <w:szCs w:val="24"/>
          <w:lang w:val="ro-RO"/>
        </w:rPr>
        <w:t xml:space="preserve"> </w:t>
      </w:r>
      <w:r>
        <w:rPr>
          <w:rFonts w:ascii="Times New Roman" w:hAnsi="Times New Roman"/>
          <w:b/>
          <w:sz w:val="24"/>
          <w:szCs w:val="24"/>
        </w:rPr>
        <w:t>m²</w:t>
      </w:r>
      <w:r>
        <w:rPr>
          <w:rFonts w:ascii="Times New Roman" w:hAnsi="Times New Roman"/>
          <w:sz w:val="24"/>
          <w:szCs w:val="24"/>
          <w:lang w:val="ro-RO"/>
        </w:rPr>
        <w:t xml:space="preserve"> din suprafața pardoselii, conform </w:t>
      </w:r>
      <w:r>
        <w:rPr>
          <w:b/>
          <w:bCs/>
          <w:sz w:val="24"/>
          <w:szCs w:val="24"/>
        </w:rPr>
        <w:t>SR CEN/TR</w:t>
      </w:r>
      <w:r>
        <w:rPr>
          <w:rFonts w:ascii="Times New Roman" w:hAnsi="Times New Roman"/>
          <w:b/>
          <w:bCs/>
          <w:sz w:val="24"/>
          <w:szCs w:val="24"/>
          <w:lang w:val="ro-RO"/>
        </w:rPr>
        <w:t xml:space="preserve"> 12101-4.</w:t>
      </w:r>
    </w:p>
    <w:p w14:paraId="24A462C6" w14:textId="77777777" w:rsidR="001C08A5" w:rsidRDefault="00000000">
      <w:pPr>
        <w:pStyle w:val="Pagrindinistekstas1"/>
        <w:ind w:firstLine="720"/>
        <w:rPr>
          <w:rFonts w:ascii="Times New Roman" w:hAnsi="Times New Roman"/>
          <w:sz w:val="24"/>
          <w:szCs w:val="24"/>
          <w:lang w:val="ro-RO"/>
        </w:rPr>
      </w:pPr>
      <w:r>
        <w:rPr>
          <w:rFonts w:ascii="Times New Roman" w:hAnsi="Times New Roman"/>
          <w:b/>
          <w:bCs/>
          <w:sz w:val="24"/>
          <w:szCs w:val="24"/>
          <w:lang w:val="ro-RO"/>
        </w:rPr>
        <w:lastRenderedPageBreak/>
        <w:t>(5)</w:t>
      </w:r>
      <w:r>
        <w:rPr>
          <w:rFonts w:ascii="Times New Roman" w:hAnsi="Times New Roman"/>
          <w:sz w:val="24"/>
          <w:szCs w:val="24"/>
          <w:lang w:val="ro-RO"/>
        </w:rPr>
        <w:t xml:space="preserve"> Zona totală a clădirii şi/sau zonele de fum racordate la un canal colector de evacuare a fumului şi gazelor fierbinti pe fiecare etaj nu trebuie să depăşească suprafaţa zonei de fum maxime permise în conformitate cu </w:t>
      </w:r>
      <w:r>
        <w:rPr>
          <w:rFonts w:ascii="Times New Roman" w:hAnsi="Times New Roman"/>
          <w:b/>
          <w:sz w:val="24"/>
          <w:szCs w:val="24"/>
          <w:lang w:val="ro-RO"/>
        </w:rPr>
        <w:t>Art. 8.1.13.</w:t>
      </w:r>
    </w:p>
    <w:p w14:paraId="516E167A" w14:textId="77777777" w:rsidR="001C08A5" w:rsidRDefault="001C08A5">
      <w:pPr>
        <w:pStyle w:val="Pagrindinistekstas1"/>
        <w:ind w:firstLine="0"/>
        <w:rPr>
          <w:rFonts w:ascii="Times New Roman" w:hAnsi="Times New Roman"/>
          <w:sz w:val="24"/>
          <w:szCs w:val="24"/>
          <w:lang w:val="ro-RO"/>
        </w:rPr>
      </w:pPr>
    </w:p>
    <w:p w14:paraId="07612A47" w14:textId="77777777" w:rsidR="001C08A5" w:rsidRDefault="00000000">
      <w:pPr>
        <w:pStyle w:val="Pagrindinistekstas1"/>
        <w:ind w:firstLine="720"/>
        <w:rPr>
          <w:rFonts w:ascii="Times New Roman" w:hAnsi="Times New Roman"/>
          <w:sz w:val="24"/>
          <w:szCs w:val="24"/>
          <w:lang w:val="ro-RO"/>
        </w:rPr>
      </w:pPr>
      <w:r>
        <w:rPr>
          <w:rFonts w:ascii="Times New Roman" w:hAnsi="Times New Roman"/>
          <w:b/>
          <w:sz w:val="24"/>
          <w:szCs w:val="24"/>
          <w:lang w:val="ro-RO"/>
        </w:rPr>
        <w:t>Art. 8.2.5.</w:t>
      </w:r>
      <w:r>
        <w:rPr>
          <w:rFonts w:ascii="Times New Roman" w:hAnsi="Times New Roman"/>
          <w:sz w:val="24"/>
          <w:szCs w:val="24"/>
          <w:lang w:val="ro-RO"/>
        </w:rPr>
        <w:t xml:space="preserve"> Atunci când camera principală echipată cu sistem de evacuare a fumului şi gazelor fierbinti conţine una sau mai multe camere  cu suprafata mai mică  de </w:t>
      </w:r>
      <w:r>
        <w:rPr>
          <w:rFonts w:ascii="Times New Roman" w:hAnsi="Times New Roman"/>
          <w:b/>
          <w:bCs/>
          <w:sz w:val="24"/>
          <w:szCs w:val="24"/>
          <w:lang w:val="ro-RO"/>
        </w:rPr>
        <w:t>36 m</w:t>
      </w:r>
      <w:r>
        <w:rPr>
          <w:rFonts w:ascii="Times New Roman" w:hAnsi="Times New Roman"/>
          <w:b/>
          <w:bCs/>
          <w:sz w:val="24"/>
          <w:szCs w:val="24"/>
          <w:vertAlign w:val="superscript"/>
          <w:lang w:val="ro-RO"/>
        </w:rPr>
        <w:t>2</w:t>
      </w:r>
      <w:r>
        <w:rPr>
          <w:rFonts w:ascii="Times New Roman" w:hAnsi="Times New Roman"/>
          <w:sz w:val="24"/>
          <w:szCs w:val="24"/>
          <w:lang w:val="ro-RO"/>
        </w:rPr>
        <w:t>, instalarea de sisteme de evacuare a fumului şi gazelor fierbinti în camerele mai mici este opţională, camerele mai mici trebuind sa fie prevazute cu aceleași sisteme de protectie active precum camera principala. În acest caz, cantitatea de fum trebuie calculată în funcţie de suprafaţa însumată cu camerele interioare, conform procentului în funcție de  densității de sarcină termică din acestea.</w:t>
      </w:r>
    </w:p>
    <w:p w14:paraId="359FA51C" w14:textId="77777777" w:rsidR="001C08A5" w:rsidRDefault="001C08A5">
      <w:pPr>
        <w:pStyle w:val="Default"/>
        <w:ind w:firstLine="680"/>
        <w:jc w:val="both"/>
        <w:rPr>
          <w:rFonts w:ascii="Times New Roman" w:hAnsi="Times New Roman" w:cs="Times New Roman"/>
          <w:b/>
          <w:color w:val="auto"/>
        </w:rPr>
      </w:pPr>
    </w:p>
    <w:p w14:paraId="488DE94E" w14:textId="77777777" w:rsidR="001C08A5" w:rsidRDefault="00000000">
      <w:pPr>
        <w:pStyle w:val="Default"/>
        <w:ind w:firstLine="680"/>
        <w:jc w:val="both"/>
        <w:rPr>
          <w:rFonts w:ascii="Times New Roman" w:hAnsi="Times New Roman" w:cs="Times New Roman"/>
          <w:color w:val="auto"/>
        </w:rPr>
      </w:pPr>
      <w:r>
        <w:rPr>
          <w:rFonts w:ascii="Times New Roman" w:hAnsi="Times New Roman" w:cs="Times New Roman"/>
          <w:b/>
          <w:color w:val="auto"/>
        </w:rPr>
        <w:t xml:space="preserve">Art. 8.2.6.  (1) </w:t>
      </w:r>
      <w:r>
        <w:rPr>
          <w:rFonts w:ascii="Times New Roman" w:hAnsi="Times New Roman" w:cs="Times New Roman"/>
          <w:color w:val="auto"/>
        </w:rPr>
        <w:t>Aria aerodinamică</w:t>
      </w:r>
      <w:r>
        <w:rPr>
          <w:rFonts w:ascii="Times New Roman" w:hAnsi="Times New Roman" w:cs="Times New Roman"/>
          <w:color w:val="auto"/>
          <w:lang w:val="ro-RO"/>
        </w:rPr>
        <w:t xml:space="preserve"> </w:t>
      </w:r>
      <w:r>
        <w:rPr>
          <w:rFonts w:ascii="Times New Roman" w:hAnsi="Times New Roman" w:cs="Times New Roman"/>
          <w:color w:val="auto"/>
        </w:rPr>
        <w:t>liberă a gurilor de introducere</w:t>
      </w:r>
      <w:r>
        <w:rPr>
          <w:rFonts w:ascii="Times New Roman" w:hAnsi="Times New Roman" w:cs="Times New Roman"/>
          <w:color w:val="auto"/>
          <w:lang w:val="ro-RO"/>
        </w:rPr>
        <w:t xml:space="preserve"> </w:t>
      </w:r>
      <w:proofErr w:type="gramStart"/>
      <w:r>
        <w:rPr>
          <w:rFonts w:ascii="Times New Roman" w:hAnsi="Times New Roman" w:cs="Times New Roman"/>
          <w:color w:val="auto"/>
        </w:rPr>
        <w:t>a</w:t>
      </w:r>
      <w:proofErr w:type="gramEnd"/>
      <w:r>
        <w:rPr>
          <w:rFonts w:ascii="Times New Roman" w:hAnsi="Times New Roman" w:cs="Times New Roman"/>
          <w:color w:val="auto"/>
          <w:lang w:val="ro-RO"/>
        </w:rPr>
        <w:t xml:space="preserve"> </w:t>
      </w:r>
      <w:r>
        <w:rPr>
          <w:rFonts w:ascii="Times New Roman" w:hAnsi="Times New Roman" w:cs="Times New Roman"/>
          <w:color w:val="auto"/>
        </w:rPr>
        <w:t>aerului</w:t>
      </w:r>
      <w:r>
        <w:rPr>
          <w:rFonts w:ascii="Times New Roman" w:hAnsi="Times New Roman" w:cs="Times New Roman"/>
          <w:color w:val="auto"/>
          <w:lang w:val="ro-RO"/>
        </w:rPr>
        <w:t xml:space="preserve"> </w:t>
      </w:r>
      <w:r>
        <w:rPr>
          <w:rFonts w:ascii="Times New Roman" w:hAnsi="Times New Roman" w:cs="Times New Roman"/>
          <w:color w:val="auto"/>
        </w:rPr>
        <w:t>reprezinta aria totală a secțiunii</w:t>
      </w:r>
      <w:r>
        <w:rPr>
          <w:rFonts w:ascii="Times New Roman" w:hAnsi="Times New Roman" w:cs="Times New Roman"/>
          <w:color w:val="auto"/>
          <w:lang w:val="ro-RO"/>
        </w:rPr>
        <w:t xml:space="preserve"> </w:t>
      </w:r>
      <w:r>
        <w:rPr>
          <w:rFonts w:ascii="Times New Roman" w:hAnsi="Times New Roman" w:cs="Times New Roman"/>
          <w:color w:val="auto"/>
        </w:rPr>
        <w:t>transversale</w:t>
      </w:r>
      <w:r>
        <w:rPr>
          <w:rFonts w:ascii="Times New Roman" w:hAnsi="Times New Roman" w:cs="Times New Roman"/>
          <w:color w:val="auto"/>
          <w:lang w:val="ro-RO"/>
        </w:rPr>
        <w:t xml:space="preserve"> </w:t>
      </w:r>
      <w:r>
        <w:rPr>
          <w:rFonts w:ascii="Times New Roman" w:hAnsi="Times New Roman" w:cs="Times New Roman"/>
          <w:color w:val="auto"/>
        </w:rPr>
        <w:t>neobstrucționate (aria liberă</w:t>
      </w:r>
      <w:r>
        <w:rPr>
          <w:rFonts w:ascii="Times New Roman" w:hAnsi="Times New Roman" w:cs="Times New Roman"/>
          <w:color w:val="auto"/>
          <w:lang w:val="ro-RO"/>
        </w:rPr>
        <w:t xml:space="preserve"> </w:t>
      </w:r>
      <w:r>
        <w:rPr>
          <w:rFonts w:ascii="Times New Roman" w:hAnsi="Times New Roman" w:cs="Times New Roman"/>
          <w:color w:val="auto"/>
        </w:rPr>
        <w:t>geometrică), măsurată</w:t>
      </w:r>
      <w:r>
        <w:rPr>
          <w:rFonts w:ascii="Times New Roman" w:hAnsi="Times New Roman" w:cs="Times New Roman"/>
          <w:color w:val="auto"/>
          <w:lang w:val="ro-RO"/>
        </w:rPr>
        <w:t xml:space="preserve"> </w:t>
      </w:r>
      <w:r>
        <w:rPr>
          <w:rFonts w:ascii="Times New Roman" w:hAnsi="Times New Roman" w:cs="Times New Roman"/>
          <w:color w:val="auto"/>
        </w:rPr>
        <w:t>în</w:t>
      </w:r>
      <w:r>
        <w:rPr>
          <w:rFonts w:ascii="Times New Roman" w:hAnsi="Times New Roman" w:cs="Times New Roman"/>
          <w:color w:val="auto"/>
          <w:lang w:val="ro-RO"/>
        </w:rPr>
        <w:t xml:space="preserve"> </w:t>
      </w:r>
      <w:r>
        <w:rPr>
          <w:rFonts w:ascii="Times New Roman" w:hAnsi="Times New Roman" w:cs="Times New Roman"/>
          <w:color w:val="auto"/>
        </w:rPr>
        <w:t>planul</w:t>
      </w:r>
      <w:r>
        <w:rPr>
          <w:rFonts w:ascii="Times New Roman" w:hAnsi="Times New Roman" w:cs="Times New Roman"/>
          <w:color w:val="auto"/>
          <w:lang w:val="ro-RO"/>
        </w:rPr>
        <w:t xml:space="preserve"> </w:t>
      </w:r>
      <w:r>
        <w:rPr>
          <w:rFonts w:ascii="Times New Roman" w:hAnsi="Times New Roman" w:cs="Times New Roman"/>
          <w:color w:val="auto"/>
        </w:rPr>
        <w:t>în care aria este</w:t>
      </w:r>
      <w:r>
        <w:rPr>
          <w:rFonts w:ascii="Times New Roman" w:hAnsi="Times New Roman" w:cs="Times New Roman"/>
          <w:color w:val="auto"/>
          <w:lang w:val="ro-RO"/>
        </w:rPr>
        <w:t xml:space="preserve"> </w:t>
      </w:r>
      <w:r>
        <w:rPr>
          <w:rFonts w:ascii="Times New Roman" w:hAnsi="Times New Roman" w:cs="Times New Roman"/>
          <w:color w:val="auto"/>
        </w:rPr>
        <w:t>minimă</w:t>
      </w:r>
      <w:r>
        <w:rPr>
          <w:rFonts w:ascii="Times New Roman" w:hAnsi="Times New Roman" w:cs="Times New Roman"/>
          <w:color w:val="auto"/>
          <w:lang w:val="ro-RO"/>
        </w:rPr>
        <w:t xml:space="preserve"> </w:t>
      </w:r>
      <w:r>
        <w:rPr>
          <w:rFonts w:ascii="Times New Roman" w:hAnsi="Times New Roman" w:cs="Times New Roman"/>
          <w:color w:val="auto"/>
        </w:rPr>
        <w:t>și</w:t>
      </w:r>
      <w:r>
        <w:rPr>
          <w:rFonts w:ascii="Times New Roman" w:hAnsi="Times New Roman" w:cs="Times New Roman"/>
          <w:color w:val="auto"/>
          <w:lang w:val="ro-RO"/>
        </w:rPr>
        <w:t xml:space="preserve"> </w:t>
      </w:r>
      <w:r>
        <w:rPr>
          <w:rFonts w:ascii="Times New Roman" w:hAnsi="Times New Roman" w:cs="Times New Roman"/>
          <w:color w:val="auto"/>
        </w:rPr>
        <w:t>în</w:t>
      </w:r>
      <w:r>
        <w:rPr>
          <w:rFonts w:ascii="Times New Roman" w:hAnsi="Times New Roman" w:cs="Times New Roman"/>
          <w:color w:val="auto"/>
          <w:lang w:val="ro-RO"/>
        </w:rPr>
        <w:t xml:space="preserve"> </w:t>
      </w:r>
      <w:r>
        <w:rPr>
          <w:rFonts w:ascii="Times New Roman" w:hAnsi="Times New Roman" w:cs="Times New Roman"/>
          <w:color w:val="auto"/>
        </w:rPr>
        <w:t>unghi</w:t>
      </w:r>
      <w:r>
        <w:rPr>
          <w:rFonts w:ascii="Times New Roman" w:hAnsi="Times New Roman" w:cs="Times New Roman"/>
          <w:color w:val="auto"/>
          <w:lang w:val="ro-RO"/>
        </w:rPr>
        <w:t xml:space="preserve"> </w:t>
      </w:r>
      <w:r>
        <w:rPr>
          <w:rFonts w:ascii="Times New Roman" w:hAnsi="Times New Roman" w:cs="Times New Roman"/>
          <w:color w:val="auto"/>
        </w:rPr>
        <w:t>drept cu direcția</w:t>
      </w:r>
      <w:r>
        <w:rPr>
          <w:rFonts w:ascii="Times New Roman" w:hAnsi="Times New Roman" w:cs="Times New Roman"/>
          <w:color w:val="auto"/>
          <w:lang w:val="ro-RO"/>
        </w:rPr>
        <w:t xml:space="preserve"> </w:t>
      </w:r>
      <w:r>
        <w:rPr>
          <w:rFonts w:ascii="Times New Roman" w:hAnsi="Times New Roman" w:cs="Times New Roman"/>
          <w:color w:val="auto"/>
        </w:rPr>
        <w:t>fluxului de aer</w:t>
      </w:r>
      <w:r>
        <w:rPr>
          <w:rFonts w:ascii="Times New Roman" w:hAnsi="Times New Roman" w:cs="Times New Roman"/>
          <w:color w:val="auto"/>
          <w:lang w:val="ro-RO"/>
        </w:rPr>
        <w:t>/fum, înmulțită cu coeficientul de curgere</w:t>
      </w:r>
      <w:r>
        <w:rPr>
          <w:rFonts w:ascii="Times New Roman" w:hAnsi="Times New Roman" w:cs="Times New Roman"/>
          <w:b/>
          <w:color w:val="auto"/>
        </w:rPr>
        <w:t>.</w:t>
      </w:r>
    </w:p>
    <w:p w14:paraId="073C2FC7" w14:textId="77777777" w:rsidR="001C08A5" w:rsidRDefault="00000000">
      <w:pPr>
        <w:pStyle w:val="Default"/>
        <w:ind w:firstLine="680"/>
        <w:jc w:val="both"/>
        <w:rPr>
          <w:rFonts w:ascii="Times New Roman" w:hAnsi="Times New Roman" w:cs="Times New Roman"/>
          <w:color w:val="auto"/>
          <w:lang w:val="ro-RO"/>
        </w:rPr>
      </w:pPr>
      <w:r>
        <w:rPr>
          <w:rFonts w:ascii="Times New Roman" w:hAnsi="Times New Roman" w:cs="Times New Roman"/>
          <w:b/>
          <w:color w:val="auto"/>
          <w:lang w:val="ro-RO"/>
        </w:rPr>
        <w:t xml:space="preserve">(2) </w:t>
      </w:r>
      <w:r>
        <w:rPr>
          <w:rFonts w:ascii="Times New Roman" w:hAnsi="Times New Roman" w:cs="Times New Roman"/>
          <w:color w:val="auto"/>
          <w:lang w:val="ro-RO"/>
        </w:rPr>
        <w:t>În lipsa unor încercări standardizate, coeficientul de curgere pentru gurile de introducere a aerului se alege conform prevederilor din</w:t>
      </w:r>
      <w:r>
        <w:rPr>
          <w:rFonts w:ascii="Times New Roman" w:hAnsi="Times New Roman" w:cs="Times New Roman"/>
          <w:color w:val="auto"/>
          <w:sz w:val="20"/>
          <w:szCs w:val="20"/>
          <w:lang w:val="ro-RO"/>
        </w:rPr>
        <w:t xml:space="preserve"> </w:t>
      </w:r>
      <w:r>
        <w:rPr>
          <w:rFonts w:ascii="Times New Roman" w:hAnsi="Times New Roman" w:cs="Times New Roman"/>
          <w:b/>
          <w:bCs/>
          <w:i/>
          <w:iCs/>
          <w:color w:val="auto"/>
          <w:sz w:val="20"/>
          <w:szCs w:val="20"/>
          <w:lang w:val="ro-RO"/>
        </w:rPr>
        <w:fldChar w:fldCharType="begin"/>
      </w:r>
      <w:r>
        <w:rPr>
          <w:rFonts w:ascii="Times New Roman" w:hAnsi="Times New Roman" w:cs="Times New Roman"/>
          <w:b/>
          <w:bCs/>
          <w:i/>
          <w:iCs/>
          <w:color w:val="auto"/>
          <w:sz w:val="20"/>
          <w:szCs w:val="20"/>
          <w:lang w:val="ro-RO"/>
        </w:rPr>
        <w:instrText xml:space="preserve"> REF _Ref20623 \h </w:instrText>
      </w:r>
      <w:r>
        <w:rPr>
          <w:rFonts w:ascii="Times New Roman" w:hAnsi="Times New Roman" w:cs="Times New Roman"/>
          <w:b/>
          <w:bCs/>
          <w:i/>
          <w:iCs/>
          <w:color w:val="auto"/>
          <w:sz w:val="20"/>
          <w:szCs w:val="20"/>
          <w:lang w:val="ro-RO"/>
        </w:rPr>
      </w:r>
      <w:r>
        <w:rPr>
          <w:rFonts w:ascii="Times New Roman" w:hAnsi="Times New Roman" w:cs="Times New Roman"/>
          <w:b/>
          <w:bCs/>
          <w:i/>
          <w:iCs/>
          <w:color w:val="auto"/>
          <w:sz w:val="20"/>
          <w:szCs w:val="20"/>
          <w:lang w:val="ro-RO"/>
        </w:rPr>
        <w:fldChar w:fldCharType="separate"/>
      </w:r>
      <w:r>
        <w:rPr>
          <w:rFonts w:ascii="Times New Roman" w:hAnsi="Times New Roman" w:cs="Times New Roman"/>
          <w:sz w:val="20"/>
          <w:szCs w:val="20"/>
        </w:rPr>
        <w:t>Tabelul 119</w:t>
      </w:r>
      <w:r>
        <w:rPr>
          <w:rFonts w:ascii="Times New Roman" w:hAnsi="Times New Roman" w:cs="Times New Roman"/>
          <w:b/>
          <w:bCs/>
          <w:i/>
          <w:iCs/>
          <w:color w:val="auto"/>
          <w:sz w:val="20"/>
          <w:szCs w:val="20"/>
          <w:lang w:val="ro-RO"/>
        </w:rPr>
        <w:fldChar w:fldCharType="end"/>
      </w:r>
      <w:r>
        <w:rPr>
          <w:rFonts w:ascii="Times New Roman" w:hAnsi="Times New Roman" w:cs="Times New Roman"/>
          <w:b/>
          <w:color w:val="auto"/>
          <w:lang w:val="ro-RO"/>
        </w:rPr>
        <w:t>,</w:t>
      </w:r>
      <w:r>
        <w:rPr>
          <w:rFonts w:ascii="Times New Roman" w:hAnsi="Times New Roman" w:cs="Times New Roman"/>
          <w:bCs/>
          <w:color w:val="auto"/>
          <w:lang w:val="ro-RO"/>
        </w:rPr>
        <w:t xml:space="preserve"> în conformitate cu </w:t>
      </w:r>
      <w:r>
        <w:rPr>
          <w:rFonts w:ascii="Times New Roman" w:hAnsi="Times New Roman" w:cs="Times New Roman"/>
          <w:b/>
          <w:color w:val="auto"/>
          <w:lang w:val="ro-RO"/>
        </w:rPr>
        <w:t>SR EN 12101-2</w:t>
      </w:r>
      <w:r>
        <w:rPr>
          <w:rFonts w:ascii="Times New Roman" w:hAnsi="Times New Roman" w:cs="Times New Roman"/>
          <w:bCs/>
          <w:color w:val="auto"/>
          <w:lang w:val="ro-RO"/>
        </w:rPr>
        <w:t>.</w:t>
      </w:r>
    </w:p>
    <w:p w14:paraId="2B01A1FD" w14:textId="77777777" w:rsidR="001C08A5" w:rsidRDefault="001C08A5">
      <w:pPr>
        <w:rPr>
          <w:sz w:val="24"/>
          <w:szCs w:val="24"/>
        </w:rPr>
      </w:pPr>
    </w:p>
    <w:p w14:paraId="78B01F54" w14:textId="77777777" w:rsidR="001C08A5" w:rsidRDefault="00000000">
      <w:pPr>
        <w:pStyle w:val="Captiontabel"/>
      </w:pPr>
      <w:bookmarkStart w:id="5590" w:name="_Ref20623"/>
      <w:bookmarkStart w:id="5591" w:name="_Toc162360169"/>
      <w:r>
        <w:t xml:space="preserve">Tabelul </w:t>
      </w:r>
      <w:r>
        <w:fldChar w:fldCharType="begin"/>
      </w:r>
      <w:r>
        <w:instrText xml:space="preserve"> SEQ Tabelul \* ARABIC </w:instrText>
      </w:r>
      <w:r>
        <w:fldChar w:fldCharType="separate"/>
      </w:r>
      <w:r>
        <w:t>119</w:t>
      </w:r>
      <w:r>
        <w:fldChar w:fldCharType="end"/>
      </w:r>
      <w:bookmarkStart w:id="5592" w:name="_Toc21998"/>
      <w:bookmarkStart w:id="5593" w:name="_Toc17066"/>
      <w:bookmarkStart w:id="5594" w:name="_Toc29016"/>
      <w:bookmarkStart w:id="5595" w:name="_Toc31456"/>
      <w:bookmarkStart w:id="5596" w:name="_Toc1465"/>
      <w:bookmarkStart w:id="5597" w:name="_Toc18479"/>
      <w:bookmarkStart w:id="5598" w:name="_Toc10933"/>
      <w:bookmarkStart w:id="5599" w:name="_Toc16467"/>
      <w:bookmarkStart w:id="5600" w:name="_Toc7922"/>
      <w:bookmarkStart w:id="5601" w:name="_Toc7223"/>
      <w:bookmarkStart w:id="5602" w:name="_Toc17495"/>
      <w:bookmarkStart w:id="5603" w:name="_Toc8589"/>
      <w:bookmarkStart w:id="5604" w:name="_Toc11207"/>
      <w:bookmarkStart w:id="5605" w:name="_Toc29118"/>
      <w:bookmarkStart w:id="5606" w:name="_Toc8371"/>
      <w:bookmarkStart w:id="5607" w:name="_Toc12078"/>
      <w:bookmarkStart w:id="5608" w:name="_Toc693"/>
      <w:bookmarkStart w:id="5609" w:name="_Toc10892"/>
      <w:bookmarkStart w:id="5610" w:name="_Toc2359"/>
      <w:bookmarkEnd w:id="5590"/>
      <w:r>
        <w:t>: Valorile coeficientului de curgere pentru gurile de introducere a aerului</w:t>
      </w:r>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p>
    <w:p w14:paraId="17AED11B" w14:textId="77777777" w:rsidR="001C08A5" w:rsidRDefault="001C08A5">
      <w:pPr>
        <w:pStyle w:val="Default"/>
        <w:jc w:val="both"/>
        <w:rPr>
          <w:rFonts w:ascii="Times New Roman" w:hAnsi="Times New Roman" w:cs="Times New Roman"/>
          <w:color w:val="auto"/>
          <w:lang w:val="ro-RO"/>
        </w:rPr>
      </w:pPr>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78"/>
        <w:gridCol w:w="2700"/>
        <w:gridCol w:w="1882"/>
      </w:tblGrid>
      <w:tr w:rsidR="001C08A5" w14:paraId="286C567C" w14:textId="77777777">
        <w:trPr>
          <w:tblHeader/>
          <w:jc w:val="center"/>
        </w:trPr>
        <w:tc>
          <w:tcPr>
            <w:tcW w:w="3878" w:type="dxa"/>
            <w:shd w:val="clear" w:color="auto" w:fill="D9D9D9"/>
            <w:vAlign w:val="center"/>
          </w:tcPr>
          <w:p w14:paraId="2898A864" w14:textId="77777777" w:rsidR="001C08A5" w:rsidRDefault="00000000">
            <w:pPr>
              <w:autoSpaceDE w:val="0"/>
              <w:autoSpaceDN w:val="0"/>
              <w:adjustRightInd w:val="0"/>
              <w:jc w:val="center"/>
              <w:rPr>
                <w:i/>
                <w:iCs/>
                <w:sz w:val="22"/>
                <w:szCs w:val="22"/>
              </w:rPr>
            </w:pPr>
            <w:r>
              <w:rPr>
                <w:b/>
                <w:i/>
                <w:iCs/>
                <w:sz w:val="22"/>
                <w:szCs w:val="22"/>
              </w:rPr>
              <w:t>Tipul deschiderii</w:t>
            </w:r>
          </w:p>
        </w:tc>
        <w:tc>
          <w:tcPr>
            <w:tcW w:w="2700" w:type="dxa"/>
            <w:shd w:val="clear" w:color="auto" w:fill="D9D9D9"/>
            <w:vAlign w:val="center"/>
          </w:tcPr>
          <w:p w14:paraId="0380C4EC" w14:textId="77777777" w:rsidR="001C08A5" w:rsidRDefault="00000000">
            <w:pPr>
              <w:autoSpaceDE w:val="0"/>
              <w:autoSpaceDN w:val="0"/>
              <w:adjustRightInd w:val="0"/>
              <w:jc w:val="center"/>
              <w:rPr>
                <w:i/>
                <w:iCs/>
                <w:sz w:val="22"/>
                <w:szCs w:val="22"/>
              </w:rPr>
            </w:pPr>
            <w:r>
              <w:rPr>
                <w:b/>
                <w:i/>
                <w:iCs/>
                <w:sz w:val="22"/>
                <w:szCs w:val="22"/>
              </w:rPr>
              <w:t>Unghiul deschiderii (grad)</w:t>
            </w:r>
            <w:r>
              <w:rPr>
                <w:b/>
                <w:i/>
                <w:iCs/>
                <w:sz w:val="22"/>
                <w:szCs w:val="22"/>
                <w:vertAlign w:val="superscript"/>
              </w:rPr>
              <w:t>(1)</w:t>
            </w:r>
          </w:p>
        </w:tc>
        <w:tc>
          <w:tcPr>
            <w:tcW w:w="1882" w:type="dxa"/>
            <w:shd w:val="clear" w:color="auto" w:fill="D9D9D9"/>
            <w:vAlign w:val="center"/>
          </w:tcPr>
          <w:p w14:paraId="7E0F34DF" w14:textId="77777777" w:rsidR="001C08A5" w:rsidRDefault="00000000">
            <w:pPr>
              <w:autoSpaceDE w:val="0"/>
              <w:autoSpaceDN w:val="0"/>
              <w:adjustRightInd w:val="0"/>
              <w:jc w:val="center"/>
              <w:rPr>
                <w:i/>
                <w:iCs/>
                <w:sz w:val="22"/>
                <w:szCs w:val="22"/>
              </w:rPr>
            </w:pPr>
            <w:r>
              <w:rPr>
                <w:b/>
                <w:i/>
                <w:iCs/>
                <w:sz w:val="22"/>
                <w:szCs w:val="22"/>
              </w:rPr>
              <w:t>Coeficient de curgere</w:t>
            </w:r>
          </w:p>
        </w:tc>
      </w:tr>
      <w:tr w:rsidR="001C08A5" w14:paraId="61F1B677" w14:textId="77777777">
        <w:trPr>
          <w:jc w:val="center"/>
        </w:trPr>
        <w:tc>
          <w:tcPr>
            <w:tcW w:w="3878" w:type="dxa"/>
            <w:vAlign w:val="center"/>
          </w:tcPr>
          <w:p w14:paraId="5F3E961B" w14:textId="77777777" w:rsidR="001C08A5" w:rsidRDefault="00000000">
            <w:pPr>
              <w:autoSpaceDE w:val="0"/>
              <w:autoSpaceDN w:val="0"/>
              <w:adjustRightInd w:val="0"/>
              <w:spacing w:line="360" w:lineRule="auto"/>
              <w:jc w:val="center"/>
              <w:rPr>
                <w:i/>
                <w:iCs/>
                <w:sz w:val="22"/>
                <w:szCs w:val="22"/>
              </w:rPr>
            </w:pPr>
            <w:r>
              <w:rPr>
                <w:i/>
                <w:iCs/>
                <w:sz w:val="22"/>
                <w:szCs w:val="22"/>
              </w:rPr>
              <w:t>Deschidere liberă  (gol, gură, etc.)</w:t>
            </w:r>
          </w:p>
        </w:tc>
        <w:tc>
          <w:tcPr>
            <w:tcW w:w="2700" w:type="dxa"/>
            <w:vAlign w:val="center"/>
          </w:tcPr>
          <w:p w14:paraId="7F117973" w14:textId="77777777" w:rsidR="001C08A5" w:rsidRDefault="00000000">
            <w:pPr>
              <w:autoSpaceDE w:val="0"/>
              <w:autoSpaceDN w:val="0"/>
              <w:adjustRightInd w:val="0"/>
              <w:spacing w:line="360" w:lineRule="auto"/>
              <w:jc w:val="center"/>
              <w:rPr>
                <w:b/>
                <w:bCs/>
                <w:i/>
                <w:iCs/>
                <w:sz w:val="22"/>
                <w:szCs w:val="22"/>
              </w:rPr>
            </w:pPr>
            <w:r>
              <w:rPr>
                <w:b/>
                <w:bCs/>
                <w:i/>
                <w:iCs/>
                <w:sz w:val="22"/>
                <w:szCs w:val="22"/>
              </w:rPr>
              <w:t>-</w:t>
            </w:r>
          </w:p>
        </w:tc>
        <w:tc>
          <w:tcPr>
            <w:tcW w:w="1882" w:type="dxa"/>
            <w:vAlign w:val="center"/>
          </w:tcPr>
          <w:p w14:paraId="5C6D2357" w14:textId="77777777" w:rsidR="001C08A5" w:rsidRDefault="00000000">
            <w:pPr>
              <w:autoSpaceDE w:val="0"/>
              <w:autoSpaceDN w:val="0"/>
              <w:adjustRightInd w:val="0"/>
              <w:spacing w:line="360" w:lineRule="auto"/>
              <w:jc w:val="center"/>
              <w:rPr>
                <w:b/>
                <w:bCs/>
                <w:i/>
                <w:iCs/>
                <w:sz w:val="22"/>
                <w:szCs w:val="22"/>
              </w:rPr>
            </w:pPr>
            <w:r>
              <w:rPr>
                <w:b/>
                <w:bCs/>
                <w:i/>
                <w:iCs/>
                <w:sz w:val="22"/>
                <w:szCs w:val="22"/>
              </w:rPr>
              <w:t>0.7</w:t>
            </w:r>
          </w:p>
        </w:tc>
      </w:tr>
      <w:tr w:rsidR="001C08A5" w14:paraId="31F1E7C6" w14:textId="77777777">
        <w:trPr>
          <w:jc w:val="center"/>
        </w:trPr>
        <w:tc>
          <w:tcPr>
            <w:tcW w:w="3878" w:type="dxa"/>
            <w:vAlign w:val="center"/>
          </w:tcPr>
          <w:p w14:paraId="10F1E8B9" w14:textId="77777777" w:rsidR="001C08A5" w:rsidRDefault="00000000">
            <w:pPr>
              <w:autoSpaceDE w:val="0"/>
              <w:autoSpaceDN w:val="0"/>
              <w:adjustRightInd w:val="0"/>
              <w:spacing w:line="360" w:lineRule="auto"/>
              <w:jc w:val="center"/>
              <w:rPr>
                <w:i/>
                <w:iCs/>
                <w:sz w:val="22"/>
                <w:szCs w:val="22"/>
              </w:rPr>
            </w:pPr>
            <w:r>
              <w:rPr>
                <w:i/>
                <w:iCs/>
                <w:sz w:val="22"/>
                <w:szCs w:val="22"/>
              </w:rPr>
              <w:t>Unghiul de deschidere al elementelor de protecţie a gurilor de introducere a aerului</w:t>
            </w:r>
          </w:p>
        </w:tc>
        <w:tc>
          <w:tcPr>
            <w:tcW w:w="2700" w:type="dxa"/>
            <w:vAlign w:val="center"/>
          </w:tcPr>
          <w:p w14:paraId="2B79AD7E" w14:textId="77777777" w:rsidR="001C08A5" w:rsidRDefault="00000000">
            <w:pPr>
              <w:autoSpaceDE w:val="0"/>
              <w:autoSpaceDN w:val="0"/>
              <w:adjustRightInd w:val="0"/>
              <w:spacing w:line="360" w:lineRule="auto"/>
              <w:jc w:val="center"/>
              <w:rPr>
                <w:b/>
                <w:bCs/>
                <w:i/>
                <w:iCs/>
                <w:sz w:val="22"/>
                <w:szCs w:val="22"/>
              </w:rPr>
            </w:pPr>
            <w:r>
              <w:rPr>
                <w:b/>
                <w:bCs/>
                <w:i/>
                <w:iCs/>
                <w:sz w:val="22"/>
                <w:szCs w:val="22"/>
              </w:rPr>
              <w:sym w:font="Symbol" w:char="F0B3"/>
            </w:r>
            <w:r>
              <w:rPr>
                <w:b/>
                <w:bCs/>
                <w:i/>
                <w:iCs/>
                <w:sz w:val="22"/>
                <w:szCs w:val="22"/>
              </w:rPr>
              <w:t xml:space="preserve"> 90°</w:t>
            </w:r>
          </w:p>
        </w:tc>
        <w:tc>
          <w:tcPr>
            <w:tcW w:w="1882" w:type="dxa"/>
            <w:vAlign w:val="center"/>
          </w:tcPr>
          <w:p w14:paraId="76017BA9" w14:textId="77777777" w:rsidR="001C08A5" w:rsidRDefault="00000000">
            <w:pPr>
              <w:autoSpaceDE w:val="0"/>
              <w:autoSpaceDN w:val="0"/>
              <w:adjustRightInd w:val="0"/>
              <w:spacing w:line="360" w:lineRule="auto"/>
              <w:jc w:val="center"/>
              <w:rPr>
                <w:b/>
                <w:bCs/>
                <w:i/>
                <w:iCs/>
                <w:sz w:val="22"/>
                <w:szCs w:val="22"/>
              </w:rPr>
            </w:pPr>
            <w:r>
              <w:rPr>
                <w:b/>
                <w:bCs/>
                <w:i/>
                <w:iCs/>
                <w:sz w:val="22"/>
                <w:szCs w:val="22"/>
              </w:rPr>
              <w:t>0.7</w:t>
            </w:r>
          </w:p>
        </w:tc>
      </w:tr>
      <w:tr w:rsidR="001C08A5" w14:paraId="7BF31EC8" w14:textId="77777777">
        <w:trPr>
          <w:jc w:val="center"/>
        </w:trPr>
        <w:tc>
          <w:tcPr>
            <w:tcW w:w="3878" w:type="dxa"/>
            <w:vAlign w:val="center"/>
          </w:tcPr>
          <w:p w14:paraId="285567A1" w14:textId="77777777" w:rsidR="001C08A5" w:rsidRDefault="00000000">
            <w:pPr>
              <w:autoSpaceDE w:val="0"/>
              <w:autoSpaceDN w:val="0"/>
              <w:adjustRightInd w:val="0"/>
              <w:spacing w:line="360" w:lineRule="auto"/>
              <w:jc w:val="center"/>
              <w:rPr>
                <w:i/>
                <w:iCs/>
                <w:sz w:val="22"/>
                <w:szCs w:val="22"/>
              </w:rPr>
            </w:pPr>
            <w:r>
              <w:rPr>
                <w:i/>
                <w:iCs/>
                <w:sz w:val="22"/>
                <w:szCs w:val="22"/>
              </w:rPr>
              <w:t>Grile/jaluzele de protecţie a gurilor de introducere a aerului</w:t>
            </w:r>
          </w:p>
        </w:tc>
        <w:tc>
          <w:tcPr>
            <w:tcW w:w="2700" w:type="dxa"/>
            <w:vAlign w:val="center"/>
          </w:tcPr>
          <w:p w14:paraId="6F755703" w14:textId="77777777" w:rsidR="001C08A5" w:rsidRDefault="00000000">
            <w:pPr>
              <w:autoSpaceDE w:val="0"/>
              <w:autoSpaceDN w:val="0"/>
              <w:adjustRightInd w:val="0"/>
              <w:spacing w:line="360" w:lineRule="auto"/>
              <w:jc w:val="center"/>
              <w:rPr>
                <w:b/>
                <w:bCs/>
                <w:i/>
                <w:iCs/>
                <w:sz w:val="22"/>
                <w:szCs w:val="22"/>
              </w:rPr>
            </w:pPr>
            <w:r>
              <w:rPr>
                <w:b/>
                <w:bCs/>
                <w:i/>
                <w:iCs/>
                <w:sz w:val="22"/>
                <w:szCs w:val="22"/>
              </w:rPr>
              <w:t>90°</w:t>
            </w:r>
          </w:p>
        </w:tc>
        <w:tc>
          <w:tcPr>
            <w:tcW w:w="1882" w:type="dxa"/>
            <w:vAlign w:val="center"/>
          </w:tcPr>
          <w:p w14:paraId="039811E5" w14:textId="77777777" w:rsidR="001C08A5" w:rsidRDefault="00000000">
            <w:pPr>
              <w:autoSpaceDE w:val="0"/>
              <w:autoSpaceDN w:val="0"/>
              <w:adjustRightInd w:val="0"/>
              <w:spacing w:line="360" w:lineRule="auto"/>
              <w:jc w:val="center"/>
              <w:rPr>
                <w:b/>
                <w:bCs/>
                <w:i/>
                <w:iCs/>
                <w:sz w:val="22"/>
                <w:szCs w:val="22"/>
              </w:rPr>
            </w:pPr>
            <w:r>
              <w:rPr>
                <w:b/>
                <w:bCs/>
                <w:i/>
                <w:iCs/>
                <w:sz w:val="22"/>
                <w:szCs w:val="22"/>
              </w:rPr>
              <w:t>0.65</w:t>
            </w:r>
          </w:p>
        </w:tc>
      </w:tr>
      <w:tr w:rsidR="001C08A5" w14:paraId="13F47B1A" w14:textId="77777777">
        <w:trPr>
          <w:cantSplit/>
          <w:jc w:val="center"/>
        </w:trPr>
        <w:tc>
          <w:tcPr>
            <w:tcW w:w="3878" w:type="dxa"/>
            <w:vMerge w:val="restart"/>
            <w:vAlign w:val="center"/>
          </w:tcPr>
          <w:p w14:paraId="38F0DF62" w14:textId="77777777" w:rsidR="001C08A5" w:rsidRDefault="00000000">
            <w:pPr>
              <w:autoSpaceDE w:val="0"/>
              <w:autoSpaceDN w:val="0"/>
              <w:adjustRightInd w:val="0"/>
              <w:spacing w:line="360" w:lineRule="auto"/>
              <w:jc w:val="center"/>
              <w:rPr>
                <w:i/>
                <w:iCs/>
                <w:sz w:val="22"/>
                <w:szCs w:val="22"/>
              </w:rPr>
            </w:pPr>
            <w:r>
              <w:rPr>
                <w:i/>
                <w:iCs/>
                <w:sz w:val="22"/>
                <w:szCs w:val="22"/>
              </w:rPr>
              <w:t>Unghiul de deschidere al elementelor de protecţie a gurilor de introducere a aerului</w:t>
            </w:r>
          </w:p>
        </w:tc>
        <w:tc>
          <w:tcPr>
            <w:tcW w:w="2700" w:type="dxa"/>
            <w:vAlign w:val="center"/>
          </w:tcPr>
          <w:p w14:paraId="0BB68ED8" w14:textId="77777777" w:rsidR="001C08A5" w:rsidRDefault="00000000">
            <w:pPr>
              <w:autoSpaceDE w:val="0"/>
              <w:autoSpaceDN w:val="0"/>
              <w:adjustRightInd w:val="0"/>
              <w:spacing w:line="360" w:lineRule="auto"/>
              <w:jc w:val="center"/>
              <w:rPr>
                <w:b/>
                <w:bCs/>
                <w:i/>
                <w:iCs/>
                <w:sz w:val="22"/>
                <w:szCs w:val="22"/>
              </w:rPr>
            </w:pPr>
            <w:r>
              <w:rPr>
                <w:b/>
                <w:bCs/>
                <w:i/>
                <w:iCs/>
                <w:sz w:val="22"/>
                <w:szCs w:val="22"/>
              </w:rPr>
              <w:sym w:font="Symbol" w:char="F0B3"/>
            </w:r>
            <w:r>
              <w:rPr>
                <w:b/>
                <w:bCs/>
                <w:i/>
                <w:iCs/>
                <w:sz w:val="22"/>
                <w:szCs w:val="22"/>
              </w:rPr>
              <w:t xml:space="preserve"> 60°</w:t>
            </w:r>
          </w:p>
        </w:tc>
        <w:tc>
          <w:tcPr>
            <w:tcW w:w="1882" w:type="dxa"/>
            <w:vAlign w:val="center"/>
          </w:tcPr>
          <w:p w14:paraId="75929895" w14:textId="77777777" w:rsidR="001C08A5" w:rsidRDefault="00000000">
            <w:pPr>
              <w:autoSpaceDE w:val="0"/>
              <w:autoSpaceDN w:val="0"/>
              <w:adjustRightInd w:val="0"/>
              <w:spacing w:line="360" w:lineRule="auto"/>
              <w:jc w:val="center"/>
              <w:rPr>
                <w:b/>
                <w:bCs/>
                <w:i/>
                <w:iCs/>
                <w:sz w:val="22"/>
                <w:szCs w:val="22"/>
              </w:rPr>
            </w:pPr>
            <w:r>
              <w:rPr>
                <w:b/>
                <w:bCs/>
                <w:i/>
                <w:iCs/>
                <w:sz w:val="22"/>
                <w:szCs w:val="22"/>
              </w:rPr>
              <w:t>0.5</w:t>
            </w:r>
          </w:p>
        </w:tc>
      </w:tr>
      <w:tr w:rsidR="001C08A5" w14:paraId="0B5BE46E" w14:textId="77777777">
        <w:trPr>
          <w:cantSplit/>
          <w:trHeight w:val="84"/>
          <w:jc w:val="center"/>
        </w:trPr>
        <w:tc>
          <w:tcPr>
            <w:tcW w:w="3878" w:type="dxa"/>
            <w:vMerge/>
            <w:vAlign w:val="center"/>
          </w:tcPr>
          <w:p w14:paraId="2523485F" w14:textId="77777777" w:rsidR="001C08A5" w:rsidRDefault="001C08A5">
            <w:pPr>
              <w:autoSpaceDE w:val="0"/>
              <w:autoSpaceDN w:val="0"/>
              <w:adjustRightInd w:val="0"/>
              <w:spacing w:line="360" w:lineRule="auto"/>
              <w:jc w:val="center"/>
              <w:rPr>
                <w:i/>
                <w:iCs/>
                <w:sz w:val="22"/>
                <w:szCs w:val="22"/>
              </w:rPr>
            </w:pPr>
          </w:p>
        </w:tc>
        <w:tc>
          <w:tcPr>
            <w:tcW w:w="2700" w:type="dxa"/>
            <w:vAlign w:val="center"/>
          </w:tcPr>
          <w:p w14:paraId="559C39A1" w14:textId="77777777" w:rsidR="001C08A5" w:rsidRDefault="00000000">
            <w:pPr>
              <w:autoSpaceDE w:val="0"/>
              <w:autoSpaceDN w:val="0"/>
              <w:adjustRightInd w:val="0"/>
              <w:spacing w:line="360" w:lineRule="auto"/>
              <w:jc w:val="center"/>
              <w:rPr>
                <w:b/>
                <w:bCs/>
                <w:i/>
                <w:iCs/>
                <w:sz w:val="22"/>
                <w:szCs w:val="22"/>
              </w:rPr>
            </w:pPr>
            <w:r>
              <w:rPr>
                <w:b/>
                <w:bCs/>
                <w:i/>
                <w:iCs/>
                <w:sz w:val="22"/>
                <w:szCs w:val="22"/>
              </w:rPr>
              <w:sym w:font="Symbol" w:char="F0B3"/>
            </w:r>
            <w:r>
              <w:rPr>
                <w:b/>
                <w:bCs/>
                <w:i/>
                <w:iCs/>
                <w:sz w:val="22"/>
                <w:szCs w:val="22"/>
              </w:rPr>
              <w:t xml:space="preserve"> 45°</w:t>
            </w:r>
          </w:p>
        </w:tc>
        <w:tc>
          <w:tcPr>
            <w:tcW w:w="1882" w:type="dxa"/>
            <w:vAlign w:val="center"/>
          </w:tcPr>
          <w:p w14:paraId="655BBC83" w14:textId="77777777" w:rsidR="001C08A5" w:rsidRDefault="00000000">
            <w:pPr>
              <w:autoSpaceDE w:val="0"/>
              <w:autoSpaceDN w:val="0"/>
              <w:adjustRightInd w:val="0"/>
              <w:spacing w:line="360" w:lineRule="auto"/>
              <w:jc w:val="center"/>
              <w:rPr>
                <w:b/>
                <w:bCs/>
                <w:i/>
                <w:iCs/>
                <w:sz w:val="22"/>
                <w:szCs w:val="22"/>
              </w:rPr>
            </w:pPr>
            <w:r>
              <w:rPr>
                <w:b/>
                <w:bCs/>
                <w:i/>
                <w:iCs/>
                <w:sz w:val="22"/>
                <w:szCs w:val="22"/>
              </w:rPr>
              <w:t>0.4</w:t>
            </w:r>
          </w:p>
        </w:tc>
      </w:tr>
      <w:tr w:rsidR="001C08A5" w14:paraId="4D64F54E" w14:textId="77777777">
        <w:trPr>
          <w:cantSplit/>
          <w:jc w:val="center"/>
        </w:trPr>
        <w:tc>
          <w:tcPr>
            <w:tcW w:w="3878" w:type="dxa"/>
            <w:vMerge/>
            <w:vAlign w:val="center"/>
          </w:tcPr>
          <w:p w14:paraId="5F570695" w14:textId="77777777" w:rsidR="001C08A5" w:rsidRDefault="001C08A5">
            <w:pPr>
              <w:autoSpaceDE w:val="0"/>
              <w:autoSpaceDN w:val="0"/>
              <w:adjustRightInd w:val="0"/>
              <w:spacing w:line="360" w:lineRule="auto"/>
              <w:jc w:val="center"/>
              <w:rPr>
                <w:i/>
                <w:iCs/>
                <w:sz w:val="22"/>
                <w:szCs w:val="22"/>
              </w:rPr>
            </w:pPr>
          </w:p>
        </w:tc>
        <w:tc>
          <w:tcPr>
            <w:tcW w:w="2700" w:type="dxa"/>
            <w:vAlign w:val="center"/>
          </w:tcPr>
          <w:p w14:paraId="28A46BEE" w14:textId="77777777" w:rsidR="001C08A5" w:rsidRDefault="00000000">
            <w:pPr>
              <w:autoSpaceDE w:val="0"/>
              <w:autoSpaceDN w:val="0"/>
              <w:adjustRightInd w:val="0"/>
              <w:spacing w:line="360" w:lineRule="auto"/>
              <w:jc w:val="center"/>
              <w:rPr>
                <w:b/>
                <w:bCs/>
                <w:i/>
                <w:iCs/>
                <w:sz w:val="22"/>
                <w:szCs w:val="22"/>
              </w:rPr>
            </w:pPr>
            <w:r>
              <w:rPr>
                <w:b/>
                <w:bCs/>
                <w:i/>
                <w:iCs/>
                <w:sz w:val="22"/>
                <w:szCs w:val="22"/>
              </w:rPr>
              <w:sym w:font="Symbol" w:char="F0B3"/>
            </w:r>
            <w:r>
              <w:rPr>
                <w:b/>
                <w:bCs/>
                <w:i/>
                <w:iCs/>
                <w:sz w:val="22"/>
                <w:szCs w:val="22"/>
              </w:rPr>
              <w:t xml:space="preserve"> 30°</w:t>
            </w:r>
          </w:p>
        </w:tc>
        <w:tc>
          <w:tcPr>
            <w:tcW w:w="1882" w:type="dxa"/>
            <w:vAlign w:val="center"/>
          </w:tcPr>
          <w:p w14:paraId="46CD4F38" w14:textId="77777777" w:rsidR="001C08A5" w:rsidRDefault="00000000">
            <w:pPr>
              <w:autoSpaceDE w:val="0"/>
              <w:autoSpaceDN w:val="0"/>
              <w:adjustRightInd w:val="0"/>
              <w:spacing w:line="360" w:lineRule="auto"/>
              <w:jc w:val="center"/>
              <w:rPr>
                <w:b/>
                <w:bCs/>
                <w:i/>
                <w:iCs/>
                <w:sz w:val="22"/>
                <w:szCs w:val="22"/>
              </w:rPr>
            </w:pPr>
            <w:r>
              <w:rPr>
                <w:b/>
                <w:bCs/>
                <w:i/>
                <w:iCs/>
                <w:sz w:val="22"/>
                <w:szCs w:val="22"/>
              </w:rPr>
              <w:t>0.3</w:t>
            </w:r>
          </w:p>
        </w:tc>
      </w:tr>
    </w:tbl>
    <w:p w14:paraId="352382A2" w14:textId="77777777" w:rsidR="001C08A5" w:rsidRDefault="00000000">
      <w:pPr>
        <w:jc w:val="both"/>
        <w:rPr>
          <w:i/>
          <w:iCs/>
          <w:sz w:val="22"/>
          <w:szCs w:val="22"/>
        </w:rPr>
      </w:pPr>
      <w:r>
        <w:rPr>
          <w:i/>
          <w:iCs/>
          <w:sz w:val="22"/>
          <w:szCs w:val="22"/>
        </w:rPr>
        <w:t xml:space="preserve">Nota: (1)unghiul de deschidere faţă de axa verticală, cu o toleranţă de </w:t>
      </w:r>
      <w:r>
        <w:rPr>
          <w:i/>
          <w:iCs/>
          <w:position w:val="-6"/>
          <w:sz w:val="22"/>
          <w:szCs w:val="22"/>
        </w:rPr>
        <w:object w:dxaOrig="435" w:dyaOrig="285" w14:anchorId="477FF5EB">
          <v:shape id="_x0000_i1029" type="#_x0000_t75" style="width:21.75pt;height:14.25pt" o:ole="">
            <v:imagedata r:id="rId218" o:title="" embosscolor="white"/>
          </v:shape>
          <o:OLEObject Type="Embed" ProgID="Equation.3" ShapeID="_x0000_i1029" DrawAspect="Content" ObjectID="_1773212710" r:id="rId219"/>
        </w:object>
      </w:r>
      <w:r>
        <w:rPr>
          <w:i/>
          <w:iCs/>
          <w:sz w:val="22"/>
          <w:szCs w:val="22"/>
        </w:rPr>
        <w:t>.</w:t>
      </w:r>
    </w:p>
    <w:p w14:paraId="2E575DC4" w14:textId="77777777" w:rsidR="001C08A5" w:rsidRDefault="001C08A5">
      <w:pPr>
        <w:pStyle w:val="Default"/>
        <w:ind w:firstLine="720"/>
        <w:jc w:val="both"/>
        <w:rPr>
          <w:rFonts w:ascii="Times New Roman" w:hAnsi="Times New Roman" w:cs="Times New Roman"/>
          <w:b/>
          <w:color w:val="auto"/>
          <w:lang w:val="ro-RO"/>
        </w:rPr>
      </w:pPr>
    </w:p>
    <w:p w14:paraId="68B4E4AB" w14:textId="77777777" w:rsidR="001C08A5" w:rsidRDefault="00000000">
      <w:pPr>
        <w:pStyle w:val="Default"/>
        <w:ind w:firstLine="720"/>
        <w:jc w:val="both"/>
        <w:rPr>
          <w:rFonts w:ascii="Times New Roman" w:hAnsi="Times New Roman" w:cs="Times New Roman"/>
          <w:color w:val="auto"/>
          <w:lang w:val="ro-RO"/>
        </w:rPr>
      </w:pPr>
      <w:r>
        <w:rPr>
          <w:rFonts w:ascii="Times New Roman" w:hAnsi="Times New Roman" w:cs="Times New Roman"/>
          <w:b/>
          <w:color w:val="auto"/>
          <w:lang w:val="ro-RO"/>
        </w:rPr>
        <w:t xml:space="preserve">(3) </w:t>
      </w:r>
      <w:r>
        <w:rPr>
          <w:rFonts w:ascii="Times New Roman" w:hAnsi="Times New Roman" w:cs="Times New Roman"/>
          <w:color w:val="auto"/>
          <w:lang w:val="ro-RO"/>
        </w:rPr>
        <w:t xml:space="preserve">În lipsa unor încercări standardizate, coeficientul de curgere pentru </w:t>
      </w:r>
      <w:r>
        <w:rPr>
          <w:rFonts w:ascii="Times New Roman" w:hAnsi="Times New Roman" w:cs="Times New Roman"/>
          <w:color w:val="auto"/>
        </w:rPr>
        <w:t>dipozitivele/ gurile/ ochiurile mobile de evacuare a fumului</w:t>
      </w:r>
      <w:r>
        <w:rPr>
          <w:rFonts w:ascii="Times New Roman" w:hAnsi="Times New Roman" w:cs="Times New Roman"/>
          <w:color w:val="auto"/>
          <w:lang w:val="ro-RO"/>
        </w:rPr>
        <w:t xml:space="preserve"> se alege conform prevederilor din </w:t>
      </w:r>
      <w:r>
        <w:rPr>
          <w:rFonts w:ascii="Times New Roman" w:hAnsi="Times New Roman" w:cs="Times New Roman"/>
          <w:b/>
          <w:bCs/>
          <w:i/>
          <w:iCs/>
          <w:color w:val="auto"/>
          <w:lang w:val="ro-RO"/>
        </w:rPr>
        <w:fldChar w:fldCharType="begin"/>
      </w:r>
      <w:r>
        <w:rPr>
          <w:rFonts w:ascii="Times New Roman" w:hAnsi="Times New Roman" w:cs="Times New Roman"/>
          <w:b/>
          <w:bCs/>
          <w:i/>
          <w:iCs/>
          <w:color w:val="auto"/>
          <w:lang w:val="ro-RO"/>
        </w:rPr>
        <w:instrText xml:space="preserve"> REF _Ref20741 \h </w:instrText>
      </w:r>
      <w:r>
        <w:rPr>
          <w:rFonts w:ascii="Times New Roman" w:hAnsi="Times New Roman" w:cs="Times New Roman"/>
          <w:b/>
          <w:bCs/>
          <w:i/>
          <w:iCs/>
          <w:color w:val="auto"/>
          <w:lang w:val="ro-RO"/>
        </w:rPr>
      </w:r>
      <w:r>
        <w:rPr>
          <w:rFonts w:ascii="Times New Roman" w:hAnsi="Times New Roman" w:cs="Times New Roman"/>
          <w:b/>
          <w:bCs/>
          <w:i/>
          <w:iCs/>
          <w:color w:val="auto"/>
          <w:lang w:val="ro-RO"/>
        </w:rPr>
        <w:fldChar w:fldCharType="separate"/>
      </w:r>
      <w:r>
        <w:rPr>
          <w:rFonts w:ascii="Times New Roman" w:hAnsi="Times New Roman" w:cs="Times New Roman"/>
          <w:sz w:val="20"/>
          <w:szCs w:val="20"/>
        </w:rPr>
        <w:t>Tabelul 120</w:t>
      </w:r>
      <w:r>
        <w:rPr>
          <w:rFonts w:ascii="Times New Roman" w:hAnsi="Times New Roman" w:cs="Times New Roman"/>
          <w:b/>
          <w:bCs/>
          <w:i/>
          <w:iCs/>
          <w:color w:val="auto"/>
          <w:lang w:val="ro-RO"/>
        </w:rPr>
        <w:fldChar w:fldCharType="end"/>
      </w:r>
      <w:r>
        <w:rPr>
          <w:rFonts w:ascii="Times New Roman" w:hAnsi="Times New Roman" w:cs="Times New Roman"/>
          <w:b/>
          <w:bCs/>
          <w:i/>
          <w:iCs/>
          <w:color w:val="auto"/>
          <w:lang w:val="ro-RO"/>
        </w:rPr>
        <w:t>.</w:t>
      </w:r>
    </w:p>
    <w:p w14:paraId="7EB5645C" w14:textId="77777777" w:rsidR="001C08A5" w:rsidRDefault="001C08A5">
      <w:pPr>
        <w:pStyle w:val="Default"/>
        <w:jc w:val="both"/>
        <w:rPr>
          <w:rFonts w:ascii="Times New Roman" w:hAnsi="Times New Roman" w:cs="Times New Roman"/>
          <w:color w:val="auto"/>
          <w:lang w:val="ro-RO"/>
        </w:rPr>
      </w:pPr>
    </w:p>
    <w:p w14:paraId="0FD82160" w14:textId="77777777" w:rsidR="001C08A5" w:rsidRDefault="00000000">
      <w:pPr>
        <w:pStyle w:val="Captiontabel"/>
      </w:pPr>
      <w:bookmarkStart w:id="5611" w:name="_Ref20741"/>
      <w:bookmarkStart w:id="5612" w:name="_Toc162360170"/>
      <w:r>
        <w:t xml:space="preserve">Tabelul </w:t>
      </w:r>
      <w:r>
        <w:fldChar w:fldCharType="begin"/>
      </w:r>
      <w:r>
        <w:instrText xml:space="preserve"> SEQ Tabelul \* ARABIC </w:instrText>
      </w:r>
      <w:r>
        <w:fldChar w:fldCharType="separate"/>
      </w:r>
      <w:r>
        <w:t>120</w:t>
      </w:r>
      <w:r>
        <w:fldChar w:fldCharType="end"/>
      </w:r>
      <w:bookmarkStart w:id="5613" w:name="_Toc2285"/>
      <w:bookmarkStart w:id="5614" w:name="_Toc20668"/>
      <w:bookmarkStart w:id="5615" w:name="_Toc20901"/>
      <w:bookmarkStart w:id="5616" w:name="_Toc403"/>
      <w:bookmarkStart w:id="5617" w:name="_Toc19314"/>
      <w:bookmarkStart w:id="5618" w:name="_Toc23849"/>
      <w:bookmarkStart w:id="5619" w:name="_Toc19575"/>
      <w:bookmarkStart w:id="5620" w:name="_Toc25915"/>
      <w:bookmarkStart w:id="5621" w:name="_Toc3397"/>
      <w:bookmarkStart w:id="5622" w:name="_Toc22935"/>
      <w:bookmarkStart w:id="5623" w:name="_Toc4598"/>
      <w:bookmarkStart w:id="5624" w:name="_Toc27011"/>
      <w:bookmarkStart w:id="5625" w:name="_Toc29702"/>
      <w:bookmarkStart w:id="5626" w:name="_Toc18919"/>
      <w:bookmarkStart w:id="5627" w:name="_Toc23836"/>
      <w:bookmarkStart w:id="5628" w:name="_Toc11031"/>
      <w:bookmarkStart w:id="5629" w:name="_Toc29125"/>
      <w:bookmarkStart w:id="5630" w:name="_Toc25004"/>
      <w:bookmarkStart w:id="5631" w:name="_Toc2310"/>
      <w:bookmarkEnd w:id="5611"/>
      <w:r>
        <w:t>: Valorile coeficientului de curgere pentru dipozitivele/ gurile/ ochiurile mobile de evacuare a fumului</w:t>
      </w:r>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p>
    <w:p w14:paraId="71850E67" w14:textId="77777777" w:rsidR="001C08A5" w:rsidRDefault="001C08A5">
      <w:pPr>
        <w:pStyle w:val="Default"/>
        <w:jc w:val="both"/>
        <w:rPr>
          <w:rFonts w:ascii="Times New Roman" w:hAnsi="Times New Roman" w:cs="Times New Roman"/>
          <w:color w:val="auto"/>
          <w:lang w:val="ro-RO"/>
        </w:rPr>
      </w:pPr>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1"/>
        <w:gridCol w:w="2687"/>
        <w:gridCol w:w="1882"/>
      </w:tblGrid>
      <w:tr w:rsidR="001C08A5" w14:paraId="2B8ACAF9" w14:textId="77777777">
        <w:trPr>
          <w:tblHeader/>
          <w:jc w:val="center"/>
        </w:trPr>
        <w:tc>
          <w:tcPr>
            <w:tcW w:w="3891" w:type="dxa"/>
            <w:shd w:val="clear" w:color="auto" w:fill="D9D9D9"/>
            <w:vAlign w:val="center"/>
          </w:tcPr>
          <w:p w14:paraId="18867DE8" w14:textId="77777777" w:rsidR="001C08A5" w:rsidRDefault="00000000">
            <w:pPr>
              <w:autoSpaceDE w:val="0"/>
              <w:autoSpaceDN w:val="0"/>
              <w:adjustRightInd w:val="0"/>
              <w:jc w:val="center"/>
              <w:rPr>
                <w:i/>
                <w:iCs/>
                <w:sz w:val="22"/>
                <w:szCs w:val="22"/>
              </w:rPr>
            </w:pPr>
            <w:r>
              <w:rPr>
                <w:b/>
                <w:i/>
                <w:iCs/>
                <w:sz w:val="22"/>
                <w:szCs w:val="22"/>
              </w:rPr>
              <w:t>Tipul deschiderii</w:t>
            </w:r>
          </w:p>
        </w:tc>
        <w:tc>
          <w:tcPr>
            <w:tcW w:w="2687" w:type="dxa"/>
            <w:shd w:val="clear" w:color="auto" w:fill="D9D9D9"/>
            <w:vAlign w:val="center"/>
          </w:tcPr>
          <w:p w14:paraId="7A98E3C0" w14:textId="77777777" w:rsidR="001C08A5" w:rsidRDefault="00000000">
            <w:pPr>
              <w:autoSpaceDE w:val="0"/>
              <w:autoSpaceDN w:val="0"/>
              <w:adjustRightInd w:val="0"/>
              <w:jc w:val="center"/>
              <w:rPr>
                <w:i/>
                <w:iCs/>
                <w:sz w:val="22"/>
                <w:szCs w:val="22"/>
              </w:rPr>
            </w:pPr>
            <w:r>
              <w:rPr>
                <w:b/>
                <w:i/>
                <w:iCs/>
                <w:sz w:val="22"/>
                <w:szCs w:val="22"/>
              </w:rPr>
              <w:t>Unghiul deschiderii (grad)</w:t>
            </w:r>
            <w:r>
              <w:rPr>
                <w:b/>
                <w:i/>
                <w:iCs/>
                <w:sz w:val="22"/>
                <w:szCs w:val="22"/>
                <w:vertAlign w:val="superscript"/>
              </w:rPr>
              <w:t>(1)</w:t>
            </w:r>
          </w:p>
        </w:tc>
        <w:tc>
          <w:tcPr>
            <w:tcW w:w="1882" w:type="dxa"/>
            <w:shd w:val="clear" w:color="auto" w:fill="D9D9D9"/>
            <w:vAlign w:val="center"/>
          </w:tcPr>
          <w:p w14:paraId="56663EF9" w14:textId="77777777" w:rsidR="001C08A5" w:rsidRDefault="00000000">
            <w:pPr>
              <w:autoSpaceDE w:val="0"/>
              <w:autoSpaceDN w:val="0"/>
              <w:adjustRightInd w:val="0"/>
              <w:jc w:val="center"/>
              <w:rPr>
                <w:i/>
                <w:iCs/>
                <w:sz w:val="22"/>
                <w:szCs w:val="22"/>
              </w:rPr>
            </w:pPr>
            <w:r>
              <w:rPr>
                <w:b/>
                <w:i/>
                <w:iCs/>
                <w:sz w:val="22"/>
                <w:szCs w:val="22"/>
              </w:rPr>
              <w:t>Coeficient de curgere</w:t>
            </w:r>
          </w:p>
        </w:tc>
      </w:tr>
      <w:tr w:rsidR="001C08A5" w14:paraId="00A8501D" w14:textId="77777777">
        <w:trPr>
          <w:jc w:val="center"/>
        </w:trPr>
        <w:tc>
          <w:tcPr>
            <w:tcW w:w="3891" w:type="dxa"/>
            <w:vAlign w:val="center"/>
          </w:tcPr>
          <w:p w14:paraId="0699773F" w14:textId="77777777" w:rsidR="001C08A5" w:rsidRDefault="00000000">
            <w:pPr>
              <w:autoSpaceDE w:val="0"/>
              <w:autoSpaceDN w:val="0"/>
              <w:adjustRightInd w:val="0"/>
              <w:rPr>
                <w:i/>
                <w:iCs/>
                <w:sz w:val="22"/>
                <w:szCs w:val="22"/>
              </w:rPr>
            </w:pPr>
            <w:r>
              <w:rPr>
                <w:i/>
                <w:iCs/>
                <w:sz w:val="22"/>
                <w:szCs w:val="22"/>
              </w:rPr>
              <w:t>Deschidere liberă (gol, gură, etc.)</w:t>
            </w:r>
          </w:p>
        </w:tc>
        <w:tc>
          <w:tcPr>
            <w:tcW w:w="2687" w:type="dxa"/>
            <w:vAlign w:val="center"/>
          </w:tcPr>
          <w:p w14:paraId="4880559F" w14:textId="77777777" w:rsidR="001C08A5" w:rsidRDefault="00000000">
            <w:pPr>
              <w:autoSpaceDE w:val="0"/>
              <w:autoSpaceDN w:val="0"/>
              <w:adjustRightInd w:val="0"/>
              <w:jc w:val="center"/>
              <w:rPr>
                <w:b/>
                <w:bCs/>
                <w:i/>
                <w:iCs/>
                <w:sz w:val="22"/>
                <w:szCs w:val="22"/>
              </w:rPr>
            </w:pPr>
            <w:r>
              <w:rPr>
                <w:b/>
                <w:bCs/>
                <w:i/>
                <w:iCs/>
                <w:sz w:val="22"/>
                <w:szCs w:val="22"/>
              </w:rPr>
              <w:t>-</w:t>
            </w:r>
          </w:p>
        </w:tc>
        <w:tc>
          <w:tcPr>
            <w:tcW w:w="1882" w:type="dxa"/>
            <w:vAlign w:val="center"/>
          </w:tcPr>
          <w:p w14:paraId="7E619544" w14:textId="77777777" w:rsidR="001C08A5" w:rsidRDefault="00000000">
            <w:pPr>
              <w:autoSpaceDE w:val="0"/>
              <w:autoSpaceDN w:val="0"/>
              <w:adjustRightInd w:val="0"/>
              <w:jc w:val="center"/>
              <w:rPr>
                <w:b/>
                <w:bCs/>
                <w:i/>
                <w:iCs/>
                <w:sz w:val="22"/>
                <w:szCs w:val="22"/>
              </w:rPr>
            </w:pPr>
            <w:r>
              <w:rPr>
                <w:b/>
                <w:bCs/>
                <w:i/>
                <w:iCs/>
                <w:sz w:val="22"/>
                <w:szCs w:val="22"/>
              </w:rPr>
              <w:t>0.65</w:t>
            </w:r>
          </w:p>
        </w:tc>
      </w:tr>
      <w:tr w:rsidR="001C08A5" w14:paraId="39A370D1" w14:textId="77777777">
        <w:trPr>
          <w:jc w:val="center"/>
        </w:trPr>
        <w:tc>
          <w:tcPr>
            <w:tcW w:w="3891" w:type="dxa"/>
            <w:vAlign w:val="center"/>
          </w:tcPr>
          <w:p w14:paraId="54160622" w14:textId="77777777" w:rsidR="001C08A5" w:rsidRDefault="00000000">
            <w:pPr>
              <w:autoSpaceDE w:val="0"/>
              <w:autoSpaceDN w:val="0"/>
              <w:adjustRightInd w:val="0"/>
              <w:jc w:val="both"/>
              <w:rPr>
                <w:i/>
                <w:iCs/>
                <w:sz w:val="22"/>
                <w:szCs w:val="22"/>
              </w:rPr>
            </w:pPr>
            <w:r>
              <w:rPr>
                <w:i/>
                <w:iCs/>
                <w:sz w:val="22"/>
                <w:szCs w:val="22"/>
              </w:rPr>
              <w:t xml:space="preserve">Grile/jaluzele de protecţie a gurilor de evacuare a fumului                                                                                                                                                                                             </w:t>
            </w:r>
          </w:p>
        </w:tc>
        <w:tc>
          <w:tcPr>
            <w:tcW w:w="2687" w:type="dxa"/>
            <w:vAlign w:val="center"/>
          </w:tcPr>
          <w:p w14:paraId="6BF61686" w14:textId="77777777" w:rsidR="001C08A5" w:rsidRDefault="00000000">
            <w:pPr>
              <w:autoSpaceDE w:val="0"/>
              <w:autoSpaceDN w:val="0"/>
              <w:adjustRightInd w:val="0"/>
              <w:jc w:val="center"/>
              <w:rPr>
                <w:b/>
                <w:bCs/>
                <w:i/>
                <w:iCs/>
                <w:sz w:val="22"/>
                <w:szCs w:val="22"/>
              </w:rPr>
            </w:pPr>
            <w:r>
              <w:rPr>
                <w:b/>
                <w:bCs/>
                <w:i/>
                <w:iCs/>
                <w:sz w:val="22"/>
                <w:szCs w:val="22"/>
              </w:rPr>
              <w:t>90°</w:t>
            </w:r>
          </w:p>
        </w:tc>
        <w:tc>
          <w:tcPr>
            <w:tcW w:w="1882" w:type="dxa"/>
            <w:vAlign w:val="center"/>
          </w:tcPr>
          <w:p w14:paraId="5ACB059E" w14:textId="77777777" w:rsidR="001C08A5" w:rsidRDefault="00000000">
            <w:pPr>
              <w:autoSpaceDE w:val="0"/>
              <w:autoSpaceDN w:val="0"/>
              <w:adjustRightInd w:val="0"/>
              <w:jc w:val="center"/>
              <w:rPr>
                <w:b/>
                <w:bCs/>
                <w:i/>
                <w:iCs/>
                <w:sz w:val="22"/>
                <w:szCs w:val="22"/>
              </w:rPr>
            </w:pPr>
            <w:r>
              <w:rPr>
                <w:b/>
                <w:bCs/>
                <w:i/>
                <w:iCs/>
                <w:sz w:val="22"/>
                <w:szCs w:val="22"/>
              </w:rPr>
              <w:t>0.5</w:t>
            </w:r>
          </w:p>
        </w:tc>
      </w:tr>
      <w:tr w:rsidR="001C08A5" w14:paraId="4363D487" w14:textId="77777777">
        <w:trPr>
          <w:jc w:val="center"/>
        </w:trPr>
        <w:tc>
          <w:tcPr>
            <w:tcW w:w="3891" w:type="dxa"/>
            <w:vAlign w:val="center"/>
          </w:tcPr>
          <w:p w14:paraId="4E2BC36A" w14:textId="77777777" w:rsidR="001C08A5" w:rsidRDefault="00000000">
            <w:pPr>
              <w:autoSpaceDE w:val="0"/>
              <w:autoSpaceDN w:val="0"/>
              <w:adjustRightInd w:val="0"/>
              <w:rPr>
                <w:i/>
                <w:iCs/>
                <w:sz w:val="22"/>
                <w:szCs w:val="22"/>
              </w:rPr>
            </w:pPr>
            <w:r>
              <w:rPr>
                <w:i/>
                <w:iCs/>
                <w:sz w:val="22"/>
                <w:szCs w:val="22"/>
              </w:rPr>
              <w:t>Unghiul de deschidere al dispozitivelor/ochiurilor mobile</w:t>
            </w:r>
          </w:p>
        </w:tc>
        <w:tc>
          <w:tcPr>
            <w:tcW w:w="2687" w:type="dxa"/>
            <w:vAlign w:val="center"/>
          </w:tcPr>
          <w:p w14:paraId="7FF489E7" w14:textId="77777777" w:rsidR="001C08A5" w:rsidRDefault="00000000">
            <w:pPr>
              <w:autoSpaceDE w:val="0"/>
              <w:autoSpaceDN w:val="0"/>
              <w:adjustRightInd w:val="0"/>
              <w:jc w:val="center"/>
              <w:rPr>
                <w:b/>
                <w:bCs/>
                <w:i/>
                <w:iCs/>
                <w:sz w:val="22"/>
                <w:szCs w:val="22"/>
              </w:rPr>
            </w:pPr>
            <w:r>
              <w:rPr>
                <w:b/>
                <w:bCs/>
                <w:i/>
                <w:iCs/>
                <w:sz w:val="22"/>
                <w:szCs w:val="22"/>
              </w:rPr>
              <w:sym w:font="Symbol" w:char="F0B3"/>
            </w:r>
            <w:r>
              <w:rPr>
                <w:b/>
                <w:bCs/>
                <w:i/>
                <w:iCs/>
                <w:sz w:val="22"/>
                <w:szCs w:val="22"/>
              </w:rPr>
              <w:t xml:space="preserve"> 90°</w:t>
            </w:r>
          </w:p>
        </w:tc>
        <w:tc>
          <w:tcPr>
            <w:tcW w:w="1882" w:type="dxa"/>
            <w:vAlign w:val="center"/>
          </w:tcPr>
          <w:p w14:paraId="635B5F4C" w14:textId="77777777" w:rsidR="001C08A5" w:rsidRDefault="00000000">
            <w:pPr>
              <w:autoSpaceDE w:val="0"/>
              <w:autoSpaceDN w:val="0"/>
              <w:adjustRightInd w:val="0"/>
              <w:jc w:val="center"/>
              <w:rPr>
                <w:b/>
                <w:bCs/>
                <w:i/>
                <w:iCs/>
                <w:sz w:val="22"/>
                <w:szCs w:val="22"/>
              </w:rPr>
            </w:pPr>
            <w:r>
              <w:rPr>
                <w:b/>
                <w:bCs/>
                <w:i/>
                <w:iCs/>
                <w:sz w:val="22"/>
                <w:szCs w:val="22"/>
              </w:rPr>
              <w:t>0.65</w:t>
            </w:r>
          </w:p>
        </w:tc>
      </w:tr>
      <w:tr w:rsidR="001C08A5" w14:paraId="4E419E65" w14:textId="77777777">
        <w:trPr>
          <w:cantSplit/>
          <w:jc w:val="center"/>
        </w:trPr>
        <w:tc>
          <w:tcPr>
            <w:tcW w:w="3891" w:type="dxa"/>
            <w:vMerge w:val="restart"/>
            <w:vAlign w:val="center"/>
          </w:tcPr>
          <w:p w14:paraId="67DD2ACA" w14:textId="77777777" w:rsidR="001C08A5" w:rsidRDefault="00000000">
            <w:pPr>
              <w:autoSpaceDE w:val="0"/>
              <w:autoSpaceDN w:val="0"/>
              <w:adjustRightInd w:val="0"/>
              <w:rPr>
                <w:i/>
                <w:iCs/>
                <w:sz w:val="22"/>
                <w:szCs w:val="22"/>
              </w:rPr>
            </w:pPr>
            <w:r>
              <w:rPr>
                <w:i/>
                <w:iCs/>
                <w:sz w:val="22"/>
                <w:szCs w:val="22"/>
              </w:rPr>
              <w:t>Unghiul de deschidere al dispozitivelor/ochiurilor mobile</w:t>
            </w:r>
          </w:p>
        </w:tc>
        <w:tc>
          <w:tcPr>
            <w:tcW w:w="2687" w:type="dxa"/>
            <w:vAlign w:val="center"/>
          </w:tcPr>
          <w:p w14:paraId="2ABF68DE" w14:textId="77777777" w:rsidR="001C08A5" w:rsidRDefault="00000000">
            <w:pPr>
              <w:autoSpaceDE w:val="0"/>
              <w:autoSpaceDN w:val="0"/>
              <w:adjustRightInd w:val="0"/>
              <w:jc w:val="center"/>
              <w:rPr>
                <w:b/>
                <w:bCs/>
                <w:i/>
                <w:iCs/>
                <w:sz w:val="22"/>
                <w:szCs w:val="22"/>
              </w:rPr>
            </w:pPr>
            <w:r>
              <w:rPr>
                <w:b/>
                <w:bCs/>
                <w:i/>
                <w:iCs/>
                <w:sz w:val="22"/>
                <w:szCs w:val="22"/>
              </w:rPr>
              <w:sym w:font="Symbol" w:char="F0B3"/>
            </w:r>
            <w:r>
              <w:rPr>
                <w:b/>
                <w:bCs/>
                <w:i/>
                <w:iCs/>
                <w:sz w:val="22"/>
                <w:szCs w:val="22"/>
              </w:rPr>
              <w:t xml:space="preserve"> 60°</w:t>
            </w:r>
          </w:p>
        </w:tc>
        <w:tc>
          <w:tcPr>
            <w:tcW w:w="1882" w:type="dxa"/>
            <w:vAlign w:val="center"/>
          </w:tcPr>
          <w:p w14:paraId="0C26CC31" w14:textId="77777777" w:rsidR="001C08A5" w:rsidRDefault="00000000">
            <w:pPr>
              <w:autoSpaceDE w:val="0"/>
              <w:autoSpaceDN w:val="0"/>
              <w:adjustRightInd w:val="0"/>
              <w:jc w:val="center"/>
              <w:rPr>
                <w:b/>
                <w:bCs/>
                <w:i/>
                <w:iCs/>
                <w:sz w:val="22"/>
                <w:szCs w:val="22"/>
              </w:rPr>
            </w:pPr>
            <w:r>
              <w:rPr>
                <w:b/>
                <w:bCs/>
                <w:i/>
                <w:iCs/>
                <w:sz w:val="22"/>
                <w:szCs w:val="22"/>
              </w:rPr>
              <w:t>0.5</w:t>
            </w:r>
          </w:p>
          <w:p w14:paraId="4774287A" w14:textId="77777777" w:rsidR="001C08A5" w:rsidRDefault="00000000">
            <w:pPr>
              <w:autoSpaceDE w:val="0"/>
              <w:autoSpaceDN w:val="0"/>
              <w:adjustRightInd w:val="0"/>
              <w:jc w:val="center"/>
              <w:rPr>
                <w:b/>
                <w:bCs/>
                <w:i/>
                <w:iCs/>
                <w:sz w:val="22"/>
                <w:szCs w:val="22"/>
              </w:rPr>
            </w:pPr>
            <w:r>
              <w:rPr>
                <w:b/>
                <w:bCs/>
                <w:i/>
                <w:iCs/>
                <w:sz w:val="22"/>
                <w:szCs w:val="22"/>
              </w:rPr>
              <w:t xml:space="preserve"> 0.35</w:t>
            </w:r>
            <w:r>
              <w:rPr>
                <w:b/>
                <w:bCs/>
                <w:i/>
                <w:iCs/>
                <w:sz w:val="22"/>
                <w:szCs w:val="22"/>
                <w:vertAlign w:val="superscript"/>
              </w:rPr>
              <w:t>(2)</w:t>
            </w:r>
          </w:p>
        </w:tc>
      </w:tr>
      <w:tr w:rsidR="001C08A5" w14:paraId="334390A7" w14:textId="77777777">
        <w:trPr>
          <w:cantSplit/>
          <w:trHeight w:val="84"/>
          <w:jc w:val="center"/>
        </w:trPr>
        <w:tc>
          <w:tcPr>
            <w:tcW w:w="3891" w:type="dxa"/>
            <w:vMerge/>
            <w:vAlign w:val="center"/>
          </w:tcPr>
          <w:p w14:paraId="46666CDF" w14:textId="77777777" w:rsidR="001C08A5" w:rsidRDefault="001C08A5">
            <w:pPr>
              <w:autoSpaceDE w:val="0"/>
              <w:autoSpaceDN w:val="0"/>
              <w:adjustRightInd w:val="0"/>
              <w:jc w:val="center"/>
              <w:rPr>
                <w:i/>
                <w:iCs/>
                <w:sz w:val="22"/>
                <w:szCs w:val="22"/>
              </w:rPr>
            </w:pPr>
          </w:p>
        </w:tc>
        <w:tc>
          <w:tcPr>
            <w:tcW w:w="2687" w:type="dxa"/>
            <w:vAlign w:val="center"/>
          </w:tcPr>
          <w:p w14:paraId="626B7B3B" w14:textId="77777777" w:rsidR="001C08A5" w:rsidRDefault="00000000">
            <w:pPr>
              <w:autoSpaceDE w:val="0"/>
              <w:autoSpaceDN w:val="0"/>
              <w:adjustRightInd w:val="0"/>
              <w:jc w:val="center"/>
              <w:rPr>
                <w:b/>
                <w:bCs/>
                <w:i/>
                <w:iCs/>
                <w:sz w:val="22"/>
                <w:szCs w:val="22"/>
              </w:rPr>
            </w:pPr>
            <w:r>
              <w:rPr>
                <w:b/>
                <w:bCs/>
                <w:i/>
                <w:iCs/>
                <w:sz w:val="22"/>
                <w:szCs w:val="22"/>
              </w:rPr>
              <w:sym w:font="Symbol" w:char="F0B3"/>
            </w:r>
            <w:r>
              <w:rPr>
                <w:b/>
                <w:bCs/>
                <w:i/>
                <w:iCs/>
                <w:sz w:val="22"/>
                <w:szCs w:val="22"/>
              </w:rPr>
              <w:t xml:space="preserve"> 45°</w:t>
            </w:r>
          </w:p>
        </w:tc>
        <w:tc>
          <w:tcPr>
            <w:tcW w:w="1882" w:type="dxa"/>
            <w:vAlign w:val="center"/>
          </w:tcPr>
          <w:p w14:paraId="50636691" w14:textId="77777777" w:rsidR="001C08A5" w:rsidRDefault="00000000">
            <w:pPr>
              <w:autoSpaceDE w:val="0"/>
              <w:autoSpaceDN w:val="0"/>
              <w:adjustRightInd w:val="0"/>
              <w:jc w:val="center"/>
              <w:rPr>
                <w:b/>
                <w:bCs/>
                <w:i/>
                <w:iCs/>
                <w:sz w:val="22"/>
                <w:szCs w:val="22"/>
              </w:rPr>
            </w:pPr>
            <w:r>
              <w:rPr>
                <w:b/>
                <w:bCs/>
                <w:i/>
                <w:iCs/>
                <w:sz w:val="22"/>
                <w:szCs w:val="22"/>
              </w:rPr>
              <w:t>0.4</w:t>
            </w:r>
          </w:p>
          <w:p w14:paraId="1062A43E" w14:textId="77777777" w:rsidR="001C08A5" w:rsidRDefault="00000000">
            <w:pPr>
              <w:autoSpaceDE w:val="0"/>
              <w:autoSpaceDN w:val="0"/>
              <w:adjustRightInd w:val="0"/>
              <w:jc w:val="center"/>
              <w:rPr>
                <w:b/>
                <w:bCs/>
                <w:i/>
                <w:iCs/>
                <w:sz w:val="22"/>
                <w:szCs w:val="22"/>
              </w:rPr>
            </w:pPr>
            <w:r>
              <w:rPr>
                <w:b/>
                <w:bCs/>
                <w:i/>
                <w:iCs/>
                <w:sz w:val="22"/>
                <w:szCs w:val="22"/>
              </w:rPr>
              <w:t>0.3</w:t>
            </w:r>
            <w:r>
              <w:rPr>
                <w:b/>
                <w:bCs/>
                <w:i/>
                <w:iCs/>
                <w:sz w:val="22"/>
                <w:szCs w:val="22"/>
                <w:vertAlign w:val="superscript"/>
              </w:rPr>
              <w:t>(2)</w:t>
            </w:r>
          </w:p>
        </w:tc>
      </w:tr>
      <w:tr w:rsidR="001C08A5" w14:paraId="16F16AB1" w14:textId="77777777">
        <w:trPr>
          <w:cantSplit/>
          <w:jc w:val="center"/>
        </w:trPr>
        <w:tc>
          <w:tcPr>
            <w:tcW w:w="3891" w:type="dxa"/>
            <w:vMerge/>
            <w:vAlign w:val="center"/>
          </w:tcPr>
          <w:p w14:paraId="42111E00" w14:textId="77777777" w:rsidR="001C08A5" w:rsidRDefault="001C08A5">
            <w:pPr>
              <w:autoSpaceDE w:val="0"/>
              <w:autoSpaceDN w:val="0"/>
              <w:adjustRightInd w:val="0"/>
              <w:jc w:val="center"/>
              <w:rPr>
                <w:i/>
                <w:iCs/>
                <w:sz w:val="22"/>
                <w:szCs w:val="22"/>
              </w:rPr>
            </w:pPr>
          </w:p>
        </w:tc>
        <w:tc>
          <w:tcPr>
            <w:tcW w:w="2687" w:type="dxa"/>
            <w:vAlign w:val="center"/>
          </w:tcPr>
          <w:p w14:paraId="25B8BCD8" w14:textId="77777777" w:rsidR="001C08A5" w:rsidRDefault="00000000">
            <w:pPr>
              <w:autoSpaceDE w:val="0"/>
              <w:autoSpaceDN w:val="0"/>
              <w:adjustRightInd w:val="0"/>
              <w:jc w:val="center"/>
              <w:rPr>
                <w:b/>
                <w:bCs/>
                <w:i/>
                <w:iCs/>
                <w:sz w:val="22"/>
                <w:szCs w:val="22"/>
              </w:rPr>
            </w:pPr>
            <w:r>
              <w:rPr>
                <w:b/>
                <w:bCs/>
                <w:i/>
                <w:iCs/>
                <w:sz w:val="22"/>
                <w:szCs w:val="22"/>
              </w:rPr>
              <w:sym w:font="Symbol" w:char="F0B3"/>
            </w:r>
            <w:r>
              <w:rPr>
                <w:b/>
                <w:bCs/>
                <w:i/>
                <w:iCs/>
                <w:sz w:val="22"/>
                <w:szCs w:val="22"/>
              </w:rPr>
              <w:t xml:space="preserve"> 30°</w:t>
            </w:r>
          </w:p>
        </w:tc>
        <w:tc>
          <w:tcPr>
            <w:tcW w:w="1882" w:type="dxa"/>
            <w:vAlign w:val="center"/>
          </w:tcPr>
          <w:p w14:paraId="3B3171F3" w14:textId="77777777" w:rsidR="001C08A5" w:rsidRDefault="00000000">
            <w:pPr>
              <w:autoSpaceDE w:val="0"/>
              <w:autoSpaceDN w:val="0"/>
              <w:adjustRightInd w:val="0"/>
              <w:jc w:val="center"/>
              <w:rPr>
                <w:b/>
                <w:bCs/>
                <w:i/>
                <w:iCs/>
                <w:sz w:val="22"/>
                <w:szCs w:val="22"/>
              </w:rPr>
            </w:pPr>
            <w:r>
              <w:rPr>
                <w:b/>
                <w:bCs/>
                <w:i/>
                <w:iCs/>
                <w:sz w:val="22"/>
                <w:szCs w:val="22"/>
              </w:rPr>
              <w:t>0.3</w:t>
            </w:r>
          </w:p>
          <w:p w14:paraId="72ED5C0E" w14:textId="77777777" w:rsidR="001C08A5" w:rsidRDefault="00000000">
            <w:pPr>
              <w:autoSpaceDE w:val="0"/>
              <w:autoSpaceDN w:val="0"/>
              <w:adjustRightInd w:val="0"/>
              <w:jc w:val="center"/>
              <w:rPr>
                <w:b/>
                <w:bCs/>
                <w:i/>
                <w:iCs/>
                <w:sz w:val="22"/>
                <w:szCs w:val="22"/>
              </w:rPr>
            </w:pPr>
            <w:r>
              <w:rPr>
                <w:b/>
                <w:bCs/>
                <w:i/>
                <w:iCs/>
                <w:sz w:val="22"/>
                <w:szCs w:val="22"/>
              </w:rPr>
              <w:t xml:space="preserve">  0.15</w:t>
            </w:r>
            <w:r>
              <w:rPr>
                <w:b/>
                <w:bCs/>
                <w:i/>
                <w:iCs/>
                <w:sz w:val="22"/>
                <w:szCs w:val="22"/>
                <w:vertAlign w:val="superscript"/>
              </w:rPr>
              <w:t>(2)</w:t>
            </w:r>
          </w:p>
        </w:tc>
      </w:tr>
    </w:tbl>
    <w:p w14:paraId="4696C777" w14:textId="77777777" w:rsidR="001C08A5" w:rsidRDefault="00000000">
      <w:pPr>
        <w:rPr>
          <w:i/>
          <w:iCs/>
          <w:sz w:val="22"/>
          <w:szCs w:val="22"/>
        </w:rPr>
      </w:pPr>
      <w:r>
        <w:rPr>
          <w:i/>
          <w:iCs/>
          <w:sz w:val="22"/>
          <w:szCs w:val="22"/>
        </w:rPr>
        <w:t>Note:</w:t>
      </w:r>
      <w:r>
        <w:rPr>
          <w:i/>
          <w:iCs/>
          <w:sz w:val="22"/>
          <w:szCs w:val="22"/>
        </w:rPr>
        <w:tab/>
      </w:r>
      <w:r>
        <w:rPr>
          <w:i/>
          <w:iCs/>
          <w:sz w:val="22"/>
          <w:szCs w:val="22"/>
          <w:vertAlign w:val="superscript"/>
        </w:rPr>
        <w:t>(1)</w:t>
      </w:r>
      <w:r>
        <w:rPr>
          <w:i/>
          <w:iCs/>
          <w:sz w:val="22"/>
          <w:szCs w:val="22"/>
        </w:rPr>
        <w:t xml:space="preserve"> unghiul de deschidere faţă de axa verticală, cu o toleranţă de </w:t>
      </w:r>
      <w:r>
        <w:rPr>
          <w:i/>
          <w:iCs/>
          <w:position w:val="-6"/>
          <w:sz w:val="22"/>
          <w:szCs w:val="22"/>
        </w:rPr>
        <w:object w:dxaOrig="435" w:dyaOrig="285" w14:anchorId="130A0EEB">
          <v:shape id="_x0000_i1030" type="#_x0000_t75" style="width:21.75pt;height:14.25pt" o:ole="">
            <v:imagedata r:id="rId218" o:title="" embosscolor="white"/>
          </v:shape>
          <o:OLEObject Type="Embed" ProgID="Equation.3" ShapeID="_x0000_i1030" DrawAspect="Content" ObjectID="_1773212711" r:id="rId220"/>
        </w:object>
      </w:r>
      <w:r>
        <w:rPr>
          <w:i/>
          <w:iCs/>
          <w:sz w:val="22"/>
          <w:szCs w:val="22"/>
        </w:rPr>
        <w:t>.</w:t>
      </w:r>
    </w:p>
    <w:p w14:paraId="216EFECB" w14:textId="77777777" w:rsidR="001C08A5" w:rsidRDefault="00000000">
      <w:pPr>
        <w:ind w:firstLine="720"/>
        <w:rPr>
          <w:i/>
          <w:iCs/>
          <w:sz w:val="22"/>
          <w:szCs w:val="22"/>
        </w:rPr>
      </w:pPr>
      <w:r>
        <w:rPr>
          <w:i/>
          <w:iCs/>
          <w:sz w:val="22"/>
          <w:szCs w:val="22"/>
          <w:vertAlign w:val="superscript"/>
        </w:rPr>
        <w:t>(2)</w:t>
      </w:r>
      <w:r>
        <w:rPr>
          <w:i/>
          <w:iCs/>
          <w:sz w:val="22"/>
          <w:szCs w:val="22"/>
        </w:rPr>
        <w:t xml:space="preserve"> când se deschide spre interior</w:t>
      </w:r>
    </w:p>
    <w:p w14:paraId="3A316E10" w14:textId="77777777" w:rsidR="001C08A5" w:rsidRDefault="00000000">
      <w:pPr>
        <w:pStyle w:val="Heading3"/>
      </w:pPr>
      <w:bookmarkStart w:id="5632" w:name="_Toc1402"/>
      <w:bookmarkStart w:id="5633" w:name="_Toc24446"/>
      <w:bookmarkStart w:id="5634" w:name="_Toc25529"/>
      <w:bookmarkStart w:id="5635" w:name="_Toc15046"/>
      <w:bookmarkStart w:id="5636" w:name="_Toc32332"/>
      <w:bookmarkStart w:id="5637" w:name="_Toc162355380"/>
      <w:bookmarkStart w:id="5638" w:name="_Toc15087"/>
      <w:bookmarkStart w:id="5639" w:name="_Toc5892"/>
      <w:bookmarkStart w:id="5640" w:name="_Toc4008"/>
      <w:bookmarkStart w:id="5641" w:name="_Toc32520"/>
      <w:r>
        <w:t xml:space="preserve">8.3. Evacuarea fumului prin </w:t>
      </w:r>
      <w:bookmarkEnd w:id="5632"/>
      <w:bookmarkEnd w:id="5633"/>
      <w:bookmarkEnd w:id="5634"/>
      <w:bookmarkEnd w:id="5635"/>
      <w:bookmarkEnd w:id="5636"/>
      <w:r>
        <w:t>ventilare mecanică</w:t>
      </w:r>
      <w:bookmarkEnd w:id="5637"/>
      <w:bookmarkEnd w:id="5638"/>
      <w:bookmarkEnd w:id="5639"/>
      <w:bookmarkEnd w:id="5640"/>
      <w:bookmarkEnd w:id="5641"/>
    </w:p>
    <w:p w14:paraId="15583E1F" w14:textId="77777777" w:rsidR="001C08A5" w:rsidRDefault="001C08A5">
      <w:pPr>
        <w:jc w:val="both"/>
        <w:rPr>
          <w:b/>
          <w:sz w:val="24"/>
          <w:szCs w:val="24"/>
        </w:rPr>
      </w:pPr>
    </w:p>
    <w:p w14:paraId="7553EAB9" w14:textId="77777777" w:rsidR="001C08A5" w:rsidRDefault="00000000">
      <w:pPr>
        <w:pStyle w:val="BodyText"/>
        <w:rPr>
          <w:b w:val="0"/>
          <w:i w:val="0"/>
          <w:iCs/>
        </w:rPr>
      </w:pPr>
      <w:r>
        <w:rPr>
          <w:b w:val="0"/>
        </w:rPr>
        <w:tab/>
      </w:r>
      <w:r>
        <w:rPr>
          <w:i w:val="0"/>
          <w:iCs/>
        </w:rPr>
        <w:t xml:space="preserve">Art. 8.3.1. (1) </w:t>
      </w:r>
      <w:r>
        <w:rPr>
          <w:b w:val="0"/>
          <w:i w:val="0"/>
          <w:iCs/>
        </w:rPr>
        <w:t xml:space="preserve">Evacuarea fumului şi a gazelor fierbinţi prin </w:t>
      </w:r>
      <w:r>
        <w:rPr>
          <w:b w:val="0"/>
          <w:bCs w:val="0"/>
          <w:i w:val="0"/>
          <w:iCs/>
        </w:rPr>
        <w:t>ventilare mecanică</w:t>
      </w:r>
      <w:r>
        <w:rPr>
          <w:b w:val="0"/>
          <w:i w:val="0"/>
          <w:iCs/>
        </w:rPr>
        <w:t xml:space="preserve"> se asigură prin evacuarea mecanică a fumului şi introducerea mecanică a aerului, astfel încât să existe o circulaţie controlată a aerului şi o evacuare controlată a fumului în spaţiul protejat. În </w:t>
      </w:r>
      <w:r>
        <w:rPr>
          <w:b w:val="0"/>
          <w:bCs w:val="0"/>
          <w:i w:val="0"/>
          <w:iCs/>
        </w:rPr>
        <w:t>situatia în care evacuarea fumului se realizeaza prin ventilare mecanică şi introducerea aerului de compensare se face natural, sistemul de evacuare a  fumului și gazelor fierbinţi se poate considera ca fiind mixt, acesta reperezentând un caz particular a sistemului de</w:t>
      </w:r>
      <w:r>
        <w:rPr>
          <w:b w:val="0"/>
          <w:i w:val="0"/>
          <w:iCs/>
        </w:rPr>
        <w:t xml:space="preserve"> evacuare a fumului şi a gazelor fierbinţi prin </w:t>
      </w:r>
      <w:r>
        <w:rPr>
          <w:b w:val="0"/>
          <w:bCs w:val="0"/>
          <w:i w:val="0"/>
          <w:iCs/>
        </w:rPr>
        <w:t>ventilare mecanică</w:t>
      </w:r>
      <w:r>
        <w:rPr>
          <w:b w:val="0"/>
          <w:i w:val="0"/>
          <w:iCs/>
        </w:rPr>
        <w:t xml:space="preserve"> </w:t>
      </w:r>
      <w:r>
        <w:rPr>
          <w:b w:val="0"/>
          <w:bCs w:val="0"/>
          <w:i w:val="0"/>
          <w:iCs/>
        </w:rPr>
        <w:t>.</w:t>
      </w:r>
      <w:r>
        <w:rPr>
          <w:i w:val="0"/>
          <w:iCs/>
        </w:rPr>
        <w:tab/>
      </w:r>
    </w:p>
    <w:p w14:paraId="2F60B5A4" w14:textId="77777777" w:rsidR="001C08A5" w:rsidRDefault="00000000">
      <w:pPr>
        <w:pStyle w:val="BodyText"/>
        <w:ind w:firstLine="720"/>
        <w:rPr>
          <w:b w:val="0"/>
          <w:i w:val="0"/>
          <w:iCs/>
        </w:rPr>
      </w:pPr>
      <w:r>
        <w:rPr>
          <w:i w:val="0"/>
          <w:iCs/>
        </w:rPr>
        <w:t>(2)</w:t>
      </w:r>
      <w:r>
        <w:rPr>
          <w:b w:val="0"/>
          <w:i w:val="0"/>
          <w:iCs/>
        </w:rPr>
        <w:t xml:space="preserve"> Introducerea naturală a aerului se realizează conform prevederilor normate iar cea mecanică prin guri de introducere racordate prin canale (ghene) la un ventilator de introducere.</w:t>
      </w:r>
    </w:p>
    <w:p w14:paraId="2C2526ED" w14:textId="77777777" w:rsidR="001C08A5" w:rsidRDefault="00000000">
      <w:pPr>
        <w:pStyle w:val="BodyText"/>
        <w:ind w:firstLine="720"/>
        <w:rPr>
          <w:b w:val="0"/>
          <w:i w:val="0"/>
          <w:iCs/>
        </w:rPr>
      </w:pPr>
      <w:r>
        <w:rPr>
          <w:i w:val="0"/>
          <w:iCs/>
        </w:rPr>
        <w:t>(3)</w:t>
      </w:r>
      <w:r>
        <w:rPr>
          <w:b w:val="0"/>
          <w:i w:val="0"/>
          <w:iCs/>
        </w:rPr>
        <w:t xml:space="preserve"> Evacuarea fumului se realizează conform prevederilor normate, iar cea mecanică se asigură prin guri racordate prin canale (ghene), la ventilatorul de evacuare (extragere).</w:t>
      </w:r>
    </w:p>
    <w:p w14:paraId="28531D7A" w14:textId="77777777" w:rsidR="001C08A5" w:rsidRDefault="00000000">
      <w:pPr>
        <w:pStyle w:val="BodyText"/>
        <w:ind w:firstLine="720"/>
        <w:rPr>
          <w:b w:val="0"/>
          <w:i w:val="0"/>
          <w:iCs/>
        </w:rPr>
      </w:pPr>
      <w:r>
        <w:rPr>
          <w:i w:val="0"/>
          <w:iCs/>
        </w:rPr>
        <w:t xml:space="preserve"> (4)</w:t>
      </w:r>
      <w:r>
        <w:rPr>
          <w:b w:val="0"/>
          <w:i w:val="0"/>
          <w:iCs/>
        </w:rPr>
        <w:t xml:space="preserve"> Viteza aerului la gurile de introducere nu va depăşi </w:t>
      </w:r>
      <w:r>
        <w:rPr>
          <w:i w:val="0"/>
          <w:iCs/>
        </w:rPr>
        <w:t>5</w:t>
      </w:r>
      <w:r>
        <w:rPr>
          <w:b w:val="0"/>
          <w:i w:val="0"/>
          <w:iCs/>
        </w:rPr>
        <w:t xml:space="preserve"> m/s, </w:t>
      </w:r>
      <w:r>
        <w:rPr>
          <w:b w:val="0"/>
          <w:bCs w:val="0"/>
          <w:i w:val="0"/>
          <w:iCs/>
        </w:rPr>
        <w:t xml:space="preserve"> </w:t>
      </w:r>
      <w:r>
        <w:rPr>
          <w:b w:val="0"/>
          <w:i w:val="0"/>
          <w:iCs/>
        </w:rPr>
        <w:t xml:space="preserve">iar gurile de introducere mecanică a aerului trebuie să asigure minimum  </w:t>
      </w:r>
      <w:r>
        <w:rPr>
          <w:i w:val="0"/>
          <w:iCs/>
        </w:rPr>
        <w:t>75%</w:t>
      </w:r>
      <w:r>
        <w:rPr>
          <w:b w:val="0"/>
          <w:i w:val="0"/>
          <w:iCs/>
        </w:rPr>
        <w:t xml:space="preserve">  din debitul volumic evacuat (cu o toleranţă de plus sau minus</w:t>
      </w:r>
      <w:r>
        <w:rPr>
          <w:i w:val="0"/>
          <w:iCs/>
        </w:rPr>
        <w:t xml:space="preserve"> 10%</w:t>
      </w:r>
      <w:r>
        <w:rPr>
          <w:b w:val="0"/>
          <w:i w:val="0"/>
          <w:iCs/>
        </w:rPr>
        <w:t>).</w:t>
      </w:r>
    </w:p>
    <w:p w14:paraId="179EA0D2" w14:textId="77777777" w:rsidR="001C08A5" w:rsidRDefault="00000000">
      <w:pPr>
        <w:pStyle w:val="BodyText"/>
        <w:ind w:firstLine="720"/>
        <w:rPr>
          <w:b w:val="0"/>
          <w:i w:val="0"/>
          <w:iCs/>
        </w:rPr>
      </w:pPr>
      <w:r>
        <w:rPr>
          <w:i w:val="0"/>
          <w:iCs/>
        </w:rPr>
        <w:t>(5)</w:t>
      </w:r>
      <w:r>
        <w:rPr>
          <w:b w:val="0"/>
          <w:i w:val="0"/>
          <w:iCs/>
        </w:rPr>
        <w:t xml:space="preserve"> Gurile de evacuare a fumului trebuie să fie protejate cu voleţi etanşi la foc la introduceri şi rezistenţi la foc la evacuări în poziţia de aşteptare. Nu este obligatorie prevederea voleţilor atunci când canalele sau ghenele de evacuare sunt aferente unui singur nivel construit.</w:t>
      </w:r>
    </w:p>
    <w:p w14:paraId="3B8C676A" w14:textId="77777777" w:rsidR="001C08A5" w:rsidRDefault="00000000">
      <w:pPr>
        <w:pStyle w:val="BodyText"/>
        <w:ind w:firstLine="720"/>
        <w:rPr>
          <w:b w:val="0"/>
          <w:i w:val="0"/>
          <w:iCs/>
        </w:rPr>
      </w:pPr>
      <w:r>
        <w:rPr>
          <w:i w:val="0"/>
          <w:iCs/>
        </w:rPr>
        <w:t>(6)</w:t>
      </w:r>
      <w:r>
        <w:rPr>
          <w:b w:val="0"/>
          <w:i w:val="0"/>
          <w:iCs/>
        </w:rPr>
        <w:t xml:space="preserve"> Raportul dintre latura mare și cea mică a unei guri de introducere sau de evacuare  nu va fi mai mare de </w:t>
      </w:r>
      <w:r>
        <w:rPr>
          <w:bCs w:val="0"/>
          <w:i w:val="0"/>
          <w:iCs/>
        </w:rPr>
        <w:t>2</w:t>
      </w:r>
      <w:r>
        <w:rPr>
          <w:b w:val="0"/>
          <w:i w:val="0"/>
          <w:iCs/>
        </w:rPr>
        <w:t>.</w:t>
      </w:r>
    </w:p>
    <w:p w14:paraId="14682028" w14:textId="77777777" w:rsidR="001C08A5" w:rsidRDefault="00000000">
      <w:pPr>
        <w:pStyle w:val="BodyText"/>
        <w:ind w:firstLine="720"/>
        <w:rPr>
          <w:b w:val="0"/>
          <w:i w:val="0"/>
          <w:iCs/>
        </w:rPr>
      </w:pPr>
      <w:r>
        <w:rPr>
          <w:i w:val="0"/>
          <w:iCs/>
        </w:rPr>
        <w:t>(7)</w:t>
      </w:r>
      <w:r>
        <w:rPr>
          <w:b w:val="0"/>
          <w:i w:val="0"/>
          <w:iCs/>
        </w:rPr>
        <w:t xml:space="preserve"> Dispozitivele de acţionare a voleţilor se realizează conform prevederilor normate și în caz de incendiu să asigure punerea automată în funcţiune a ventilatoarelor de evacuare a fumului.</w:t>
      </w:r>
    </w:p>
    <w:p w14:paraId="79A65F6A" w14:textId="77777777" w:rsidR="001C08A5" w:rsidRDefault="00000000">
      <w:pPr>
        <w:pStyle w:val="BodyText"/>
        <w:ind w:firstLine="720"/>
        <w:rPr>
          <w:b w:val="0"/>
          <w:bCs w:val="0"/>
          <w:i w:val="0"/>
          <w:iCs/>
        </w:rPr>
      </w:pPr>
      <w:r>
        <w:rPr>
          <w:i w:val="0"/>
          <w:iCs/>
        </w:rPr>
        <w:t>(8)</w:t>
      </w:r>
      <w:r>
        <w:rPr>
          <w:b w:val="0"/>
          <w:i w:val="0"/>
          <w:iCs/>
        </w:rPr>
        <w:t xml:space="preserve"> </w:t>
      </w:r>
      <w:r>
        <w:rPr>
          <w:b w:val="0"/>
          <w:bCs w:val="0"/>
          <w:i w:val="0"/>
          <w:iCs/>
        </w:rPr>
        <w:t xml:space="preserve">Camerele pentru ventilatoare de evacuare a fumului şi gazelor fierbinti atunci cand sunt în mod excepțional prevazute, trebuie separate de alte imobile, încăperi şi instalatii tehnice conform </w:t>
      </w:r>
      <w:r>
        <w:rPr>
          <w:i w:val="0"/>
          <w:iCs/>
        </w:rPr>
        <w:t>Art. 2.4.14.3. alin. (3)</w:t>
      </w:r>
      <w:r>
        <w:rPr>
          <w:b w:val="0"/>
          <w:bCs w:val="0"/>
          <w:i w:val="0"/>
          <w:iCs/>
        </w:rPr>
        <w:t xml:space="preserve">. Nu este necesară prevederea de camere conform precizărilor anterioare dacă trapele sau gurile de evacuare a fumului sunt instalate în exteriorul clădirii.  </w:t>
      </w:r>
    </w:p>
    <w:p w14:paraId="7EA7713F" w14:textId="77777777" w:rsidR="001C08A5" w:rsidRDefault="001C08A5">
      <w:pPr>
        <w:pStyle w:val="BodyText"/>
        <w:rPr>
          <w:b w:val="0"/>
          <w:i w:val="0"/>
          <w:iCs/>
        </w:rPr>
      </w:pPr>
    </w:p>
    <w:p w14:paraId="78B074F2" w14:textId="77777777" w:rsidR="001C08A5" w:rsidRDefault="00000000">
      <w:pPr>
        <w:pStyle w:val="BodyText"/>
        <w:rPr>
          <w:i w:val="0"/>
          <w:iCs/>
        </w:rPr>
      </w:pPr>
      <w:r>
        <w:rPr>
          <w:i w:val="0"/>
          <w:iCs/>
        </w:rPr>
        <w:tab/>
        <w:t xml:space="preserve">Art. 8.3.2. </w:t>
      </w:r>
      <w:r>
        <w:rPr>
          <w:b w:val="0"/>
          <w:i w:val="0"/>
          <w:iCs/>
        </w:rPr>
        <w:t>Sistemul de ventilare normală sau de climatizare al construcţiei, poate fi utilizat şi pentru evacuarea fumului</w:t>
      </w:r>
      <w:r>
        <w:rPr>
          <w:b w:val="0"/>
          <w:bCs w:val="0"/>
          <w:i w:val="0"/>
          <w:iCs/>
        </w:rPr>
        <w:t>şi a gazelor fierbinţi</w:t>
      </w:r>
      <w:r>
        <w:rPr>
          <w:b w:val="0"/>
          <w:i w:val="0"/>
          <w:iCs/>
        </w:rPr>
        <w:t xml:space="preserve"> produse în caz de incendiu, dacă îndeplineşte condiţiile normate pentru  evacuare fum.</w:t>
      </w:r>
    </w:p>
    <w:p w14:paraId="248359E2" w14:textId="77777777" w:rsidR="001C08A5" w:rsidRDefault="00000000">
      <w:pPr>
        <w:pStyle w:val="Heading3"/>
      </w:pPr>
      <w:bookmarkStart w:id="5642" w:name="_Toc31106"/>
      <w:bookmarkStart w:id="5643" w:name="_Toc162355381"/>
      <w:bookmarkStart w:id="5644" w:name="_Toc25747"/>
      <w:bookmarkStart w:id="5645" w:name="_Toc28592"/>
      <w:bookmarkStart w:id="5646" w:name="_Toc24349"/>
      <w:bookmarkStart w:id="5647" w:name="_Toc30770"/>
      <w:bookmarkStart w:id="5648" w:name="_Toc7483"/>
      <w:bookmarkStart w:id="5649" w:name="_Toc27711"/>
      <w:bookmarkStart w:id="5650" w:name="_Toc28749"/>
      <w:bookmarkStart w:id="5651" w:name="_Toc2051"/>
      <w:r>
        <w:t>8.4. Tubulaturi de evacuare a fumului şi de admisie a aerului, ghene, ventilatoare</w:t>
      </w:r>
      <w:bookmarkEnd w:id="5642"/>
      <w:bookmarkEnd w:id="5643"/>
      <w:bookmarkEnd w:id="5644"/>
      <w:bookmarkEnd w:id="5645"/>
      <w:bookmarkEnd w:id="5646"/>
      <w:bookmarkEnd w:id="5647"/>
      <w:bookmarkEnd w:id="5648"/>
      <w:bookmarkEnd w:id="5649"/>
      <w:bookmarkEnd w:id="5650"/>
      <w:bookmarkEnd w:id="5651"/>
    </w:p>
    <w:p w14:paraId="5E1BF137" w14:textId="77777777" w:rsidR="001C08A5" w:rsidRDefault="001C08A5">
      <w:pPr>
        <w:jc w:val="both"/>
        <w:rPr>
          <w:b/>
          <w:sz w:val="24"/>
          <w:szCs w:val="24"/>
        </w:rPr>
      </w:pPr>
    </w:p>
    <w:p w14:paraId="7101BB12" w14:textId="77777777" w:rsidR="001C08A5" w:rsidRDefault="00000000">
      <w:pPr>
        <w:jc w:val="both"/>
        <w:rPr>
          <w:sz w:val="24"/>
          <w:szCs w:val="24"/>
        </w:rPr>
      </w:pPr>
      <w:r>
        <w:rPr>
          <w:b/>
          <w:sz w:val="24"/>
          <w:szCs w:val="24"/>
        </w:rPr>
        <w:tab/>
        <w:t xml:space="preserve">Art. 8.4.1. (1) </w:t>
      </w:r>
      <w:r>
        <w:rPr>
          <w:sz w:val="24"/>
          <w:szCs w:val="24"/>
        </w:rPr>
        <w:t>Indiferent de sistemul adoptat pentru evacuarea fumului în caz de incendiu, tubulatura de evacuare a fumului şi cea de admisie a aerului vor fi distincte.</w:t>
      </w:r>
    </w:p>
    <w:p w14:paraId="6A72978D" w14:textId="77777777" w:rsidR="001C08A5" w:rsidRDefault="00000000">
      <w:pPr>
        <w:ind w:firstLine="720"/>
        <w:jc w:val="both"/>
        <w:rPr>
          <w:sz w:val="24"/>
          <w:szCs w:val="24"/>
        </w:rPr>
      </w:pPr>
      <w:r>
        <w:rPr>
          <w:b/>
          <w:sz w:val="24"/>
          <w:szCs w:val="24"/>
        </w:rPr>
        <w:t xml:space="preserve">(2) </w:t>
      </w:r>
      <w:r>
        <w:rPr>
          <w:sz w:val="24"/>
          <w:szCs w:val="24"/>
        </w:rPr>
        <w:t xml:space="preserve">Secţiunea tubulaturilor va fi cel puțin egală cu cea a gurilor la care sunt racordate, iar raportul dintre laturile secţiunilor nu va fi mai mare de </w:t>
      </w:r>
      <w:r>
        <w:rPr>
          <w:b/>
          <w:bCs/>
          <w:sz w:val="24"/>
          <w:szCs w:val="24"/>
        </w:rPr>
        <w:t>2</w:t>
      </w:r>
      <w:r>
        <w:rPr>
          <w:sz w:val="24"/>
          <w:szCs w:val="24"/>
        </w:rPr>
        <w:t xml:space="preserve">. </w:t>
      </w:r>
    </w:p>
    <w:p w14:paraId="492CD95C" w14:textId="77777777" w:rsidR="001C08A5" w:rsidRDefault="00000000">
      <w:pPr>
        <w:ind w:firstLine="720"/>
        <w:jc w:val="both"/>
        <w:rPr>
          <w:sz w:val="24"/>
          <w:szCs w:val="24"/>
        </w:rPr>
      </w:pPr>
      <w:r>
        <w:rPr>
          <w:b/>
          <w:sz w:val="24"/>
          <w:szCs w:val="24"/>
        </w:rPr>
        <w:t xml:space="preserve">(3) </w:t>
      </w:r>
      <w:r>
        <w:rPr>
          <w:sz w:val="24"/>
          <w:szCs w:val="24"/>
        </w:rPr>
        <w:t xml:space="preserve">În interiorul încăperilor care se prevad cu sistem de evacuare a fumului şi gazelor fierbinţi, tubulaturile de evacuare a fumului şi cele de admisie a aerului trebuie să fie realizate din materiale clasa de reacţie la foc </w:t>
      </w:r>
      <w:r>
        <w:rPr>
          <w:b/>
          <w:sz w:val="24"/>
          <w:szCs w:val="24"/>
        </w:rPr>
        <w:t>A1</w:t>
      </w:r>
      <w:r>
        <w:rPr>
          <w:sz w:val="24"/>
          <w:szCs w:val="24"/>
        </w:rPr>
        <w:t xml:space="preserve"> sau </w:t>
      </w:r>
      <w:r>
        <w:rPr>
          <w:b/>
          <w:sz w:val="24"/>
          <w:szCs w:val="24"/>
        </w:rPr>
        <w:t xml:space="preserve">A2-s2d0 și </w:t>
      </w:r>
      <w:r>
        <w:rPr>
          <w:sz w:val="24"/>
          <w:szCs w:val="24"/>
        </w:rPr>
        <w:t xml:space="preserve">criteriul de performanţă minimum </w:t>
      </w:r>
      <w:r>
        <w:rPr>
          <w:b/>
          <w:sz w:val="24"/>
          <w:szCs w:val="24"/>
        </w:rPr>
        <w:t>E</w:t>
      </w:r>
      <w:r>
        <w:rPr>
          <w:b/>
          <w:sz w:val="24"/>
          <w:szCs w:val="24"/>
          <w:vertAlign w:val="subscript"/>
        </w:rPr>
        <w:t>600</w:t>
      </w:r>
      <w:r>
        <w:rPr>
          <w:b/>
          <w:sz w:val="24"/>
          <w:szCs w:val="24"/>
        </w:rPr>
        <w:t xml:space="preserve"> 30</w:t>
      </w:r>
      <w:r>
        <w:rPr>
          <w:sz w:val="24"/>
          <w:szCs w:val="24"/>
        </w:rPr>
        <w:t xml:space="preserve"> (</w:t>
      </w:r>
      <w:r>
        <w:rPr>
          <w:b/>
          <w:sz w:val="24"/>
          <w:szCs w:val="24"/>
        </w:rPr>
        <w:t xml:space="preserve">ve </w:t>
      </w:r>
      <w:r>
        <w:rPr>
          <w:sz w:val="24"/>
          <w:szCs w:val="24"/>
        </w:rPr>
        <w:t>și/sau</w:t>
      </w:r>
      <w:r>
        <w:rPr>
          <w:b/>
          <w:sz w:val="24"/>
          <w:szCs w:val="24"/>
        </w:rPr>
        <w:t xml:space="preserve"> ho</w:t>
      </w:r>
      <w:r>
        <w:rPr>
          <w:sz w:val="24"/>
          <w:szCs w:val="24"/>
        </w:rPr>
        <w:t>)</w:t>
      </w:r>
      <w:r>
        <w:rPr>
          <w:b/>
          <w:sz w:val="24"/>
          <w:szCs w:val="24"/>
        </w:rPr>
        <w:t>S</w:t>
      </w:r>
      <w:r>
        <w:rPr>
          <w:b/>
          <w:sz w:val="24"/>
          <w:szCs w:val="24"/>
          <w:vertAlign w:val="subscript"/>
        </w:rPr>
        <w:t xml:space="preserve">single </w:t>
      </w:r>
      <w:r>
        <w:rPr>
          <w:b/>
          <w:sz w:val="24"/>
          <w:szCs w:val="24"/>
        </w:rPr>
        <w:t>(</w:t>
      </w:r>
      <w:r>
        <w:rPr>
          <w:bCs/>
          <w:sz w:val="24"/>
          <w:szCs w:val="24"/>
        </w:rPr>
        <w:t>sau</w:t>
      </w:r>
      <w:r>
        <w:rPr>
          <w:b/>
          <w:sz w:val="24"/>
          <w:szCs w:val="24"/>
        </w:rPr>
        <w:t xml:space="preserve"> E</w:t>
      </w:r>
      <w:r>
        <w:rPr>
          <w:b/>
          <w:sz w:val="24"/>
          <w:szCs w:val="24"/>
          <w:vertAlign w:val="subscript"/>
        </w:rPr>
        <w:t>300</w:t>
      </w:r>
      <w:r>
        <w:rPr>
          <w:b/>
          <w:sz w:val="24"/>
          <w:szCs w:val="24"/>
        </w:rPr>
        <w:t xml:space="preserve"> 30</w:t>
      </w:r>
      <w:r>
        <w:rPr>
          <w:sz w:val="24"/>
          <w:szCs w:val="24"/>
        </w:rPr>
        <w:t xml:space="preserve"> (</w:t>
      </w:r>
      <w:r>
        <w:rPr>
          <w:b/>
          <w:sz w:val="24"/>
          <w:szCs w:val="24"/>
        </w:rPr>
        <w:t xml:space="preserve">ve </w:t>
      </w:r>
      <w:r>
        <w:rPr>
          <w:sz w:val="24"/>
          <w:szCs w:val="24"/>
        </w:rPr>
        <w:t>și/sau</w:t>
      </w:r>
      <w:r>
        <w:rPr>
          <w:b/>
          <w:sz w:val="24"/>
          <w:szCs w:val="24"/>
        </w:rPr>
        <w:t xml:space="preserve"> ho</w:t>
      </w:r>
      <w:r>
        <w:rPr>
          <w:sz w:val="24"/>
          <w:szCs w:val="24"/>
        </w:rPr>
        <w:t xml:space="preserve">) </w:t>
      </w:r>
      <w:r>
        <w:rPr>
          <w:b/>
          <w:sz w:val="24"/>
          <w:szCs w:val="24"/>
        </w:rPr>
        <w:t>S</w:t>
      </w:r>
      <w:r>
        <w:rPr>
          <w:b/>
          <w:sz w:val="24"/>
          <w:szCs w:val="24"/>
          <w:vertAlign w:val="subscript"/>
        </w:rPr>
        <w:t xml:space="preserve">single </w:t>
      </w:r>
      <w:r>
        <w:rPr>
          <w:bCs/>
          <w:sz w:val="24"/>
          <w:szCs w:val="24"/>
        </w:rPr>
        <w:t>în interiorul încăperilor care sunt echipate cu instalație automată de stingere tip sprinkler</w:t>
      </w:r>
      <w:r>
        <w:rPr>
          <w:b/>
          <w:sz w:val="24"/>
          <w:szCs w:val="24"/>
        </w:rPr>
        <w:t>)</w:t>
      </w:r>
      <w:r>
        <w:rPr>
          <w:sz w:val="24"/>
          <w:szCs w:val="24"/>
        </w:rPr>
        <w:t>, iar elementele de construcție de/cu care se fixează tubulatura trebuie să aibă o rezistență la foc cel puțin egală cu a acesteia</w:t>
      </w:r>
      <w:r>
        <w:rPr>
          <w:b/>
          <w:sz w:val="24"/>
          <w:szCs w:val="24"/>
        </w:rPr>
        <w:t xml:space="preserve">, </w:t>
      </w:r>
      <w:r>
        <w:rPr>
          <w:sz w:val="24"/>
          <w:szCs w:val="24"/>
        </w:rPr>
        <w:t>după criteriile aplicabile lor.</w:t>
      </w:r>
    </w:p>
    <w:p w14:paraId="589B6FCB" w14:textId="77777777" w:rsidR="001C08A5" w:rsidRDefault="00000000">
      <w:pPr>
        <w:ind w:firstLine="720"/>
        <w:jc w:val="both"/>
        <w:rPr>
          <w:b/>
          <w:sz w:val="24"/>
          <w:szCs w:val="24"/>
        </w:rPr>
      </w:pPr>
      <w:r>
        <w:rPr>
          <w:b/>
          <w:sz w:val="24"/>
          <w:szCs w:val="24"/>
        </w:rPr>
        <w:lastRenderedPageBreak/>
        <w:t xml:space="preserve">(4)  </w:t>
      </w:r>
      <w:r>
        <w:rPr>
          <w:sz w:val="24"/>
          <w:szCs w:val="24"/>
        </w:rPr>
        <w:t xml:space="preserve">La trecerea prin încăperi cu alte destinaţii, tubulaturile de evacuare a fumului şi cele de admisie a aerului trebuie să fie clasa de reacţie la foc </w:t>
      </w:r>
      <w:r>
        <w:rPr>
          <w:b/>
          <w:sz w:val="24"/>
          <w:szCs w:val="24"/>
        </w:rPr>
        <w:t>A1</w:t>
      </w:r>
      <w:r>
        <w:rPr>
          <w:sz w:val="24"/>
          <w:szCs w:val="24"/>
        </w:rPr>
        <w:t xml:space="preserve"> sau </w:t>
      </w:r>
      <w:r>
        <w:rPr>
          <w:b/>
          <w:sz w:val="24"/>
          <w:szCs w:val="24"/>
        </w:rPr>
        <w:t xml:space="preserve">A2-s2d0 </w:t>
      </w:r>
      <w:r>
        <w:rPr>
          <w:bCs/>
          <w:sz w:val="24"/>
          <w:szCs w:val="24"/>
        </w:rPr>
        <w:t xml:space="preserve">și </w:t>
      </w:r>
      <w:r>
        <w:rPr>
          <w:sz w:val="24"/>
          <w:szCs w:val="24"/>
        </w:rPr>
        <w:t xml:space="preserve">rezistente la foc minimum </w:t>
      </w:r>
      <w:r>
        <w:rPr>
          <w:b/>
          <w:sz w:val="24"/>
          <w:szCs w:val="24"/>
        </w:rPr>
        <w:t>EI 60 (</w:t>
      </w:r>
      <w:r>
        <w:rPr>
          <w:b/>
          <w:sz w:val="24"/>
          <w:szCs w:val="24"/>
          <w:vertAlign w:val="subscript"/>
        </w:rPr>
        <w:t>ve</w:t>
      </w:r>
      <w:r>
        <w:rPr>
          <w:sz w:val="24"/>
          <w:szCs w:val="24"/>
        </w:rPr>
        <w:t xml:space="preserve"> și/sau</w:t>
      </w:r>
      <w:r>
        <w:rPr>
          <w:b/>
          <w:sz w:val="24"/>
          <w:szCs w:val="24"/>
          <w:vertAlign w:val="subscript"/>
        </w:rPr>
        <w:t>ho</w:t>
      </w:r>
      <w:r>
        <w:rPr>
          <w:b/>
          <w:sz w:val="24"/>
          <w:szCs w:val="24"/>
        </w:rPr>
        <w:t>) S</w:t>
      </w:r>
      <w:r>
        <w:rPr>
          <w:b/>
          <w:sz w:val="24"/>
          <w:szCs w:val="24"/>
          <w:vertAlign w:val="subscript"/>
        </w:rPr>
        <w:t>multi</w:t>
      </w:r>
      <w:r>
        <w:rPr>
          <w:b/>
          <w:sz w:val="24"/>
          <w:szCs w:val="24"/>
        </w:rPr>
        <w:t>.</w:t>
      </w:r>
    </w:p>
    <w:p w14:paraId="5E1CA2A0" w14:textId="77777777" w:rsidR="001C08A5" w:rsidRDefault="00000000">
      <w:pPr>
        <w:ind w:firstLine="720"/>
        <w:jc w:val="both"/>
        <w:rPr>
          <w:sz w:val="24"/>
          <w:szCs w:val="24"/>
        </w:rPr>
      </w:pPr>
      <w:r>
        <w:rPr>
          <w:b/>
          <w:sz w:val="24"/>
          <w:szCs w:val="24"/>
        </w:rPr>
        <w:t xml:space="preserve">(5)  </w:t>
      </w:r>
      <w:r>
        <w:rPr>
          <w:sz w:val="24"/>
          <w:szCs w:val="24"/>
        </w:rPr>
        <w:t xml:space="preserve">La clădiri înalte, foarte înalte, cu săli aglomerate, mixte, subterane, spitalizare, etc. sau alte tipuri de clădiri, la trecerea prin încăperi cu alte destinaţii precum și pe căile orizontale de circulație, tubulaturile de evacuare a fumului şi cele de admisie a aerului trebuie să fie clasa de reacţie la foc </w:t>
      </w:r>
      <w:r>
        <w:rPr>
          <w:b/>
          <w:sz w:val="24"/>
          <w:szCs w:val="24"/>
        </w:rPr>
        <w:t>A1</w:t>
      </w:r>
      <w:r>
        <w:rPr>
          <w:sz w:val="24"/>
          <w:szCs w:val="24"/>
        </w:rPr>
        <w:t xml:space="preserve"> sau </w:t>
      </w:r>
      <w:r>
        <w:rPr>
          <w:b/>
          <w:sz w:val="24"/>
          <w:szCs w:val="24"/>
        </w:rPr>
        <w:t xml:space="preserve">A2-s2d0 </w:t>
      </w:r>
      <w:r>
        <w:rPr>
          <w:bCs/>
          <w:sz w:val="24"/>
          <w:szCs w:val="24"/>
        </w:rPr>
        <w:t>și</w:t>
      </w:r>
      <w:r>
        <w:rPr>
          <w:sz w:val="24"/>
          <w:szCs w:val="24"/>
        </w:rPr>
        <w:t>rezistente la foc minimum:</w:t>
      </w:r>
    </w:p>
    <w:p w14:paraId="0B97B2D6" w14:textId="77777777" w:rsidR="001C08A5" w:rsidRDefault="00000000">
      <w:pPr>
        <w:ind w:left="1440" w:firstLine="720"/>
        <w:jc w:val="both"/>
        <w:rPr>
          <w:sz w:val="24"/>
          <w:szCs w:val="24"/>
        </w:rPr>
      </w:pPr>
      <w:r>
        <w:rPr>
          <w:b/>
          <w:sz w:val="24"/>
          <w:szCs w:val="24"/>
        </w:rPr>
        <w:t>- EI90(</w:t>
      </w:r>
      <w:r>
        <w:rPr>
          <w:b/>
          <w:sz w:val="24"/>
          <w:szCs w:val="24"/>
          <w:vertAlign w:val="subscript"/>
        </w:rPr>
        <w:t>ve</w:t>
      </w:r>
      <w:r>
        <w:rPr>
          <w:sz w:val="24"/>
          <w:szCs w:val="24"/>
        </w:rPr>
        <w:t xml:space="preserve"> și/sau </w:t>
      </w:r>
      <w:r>
        <w:rPr>
          <w:b/>
          <w:sz w:val="24"/>
          <w:szCs w:val="24"/>
          <w:vertAlign w:val="subscript"/>
        </w:rPr>
        <w:t>ho</w:t>
      </w:r>
      <w:r>
        <w:rPr>
          <w:b/>
          <w:sz w:val="24"/>
          <w:szCs w:val="24"/>
        </w:rPr>
        <w:t>)S</w:t>
      </w:r>
      <w:r>
        <w:rPr>
          <w:b/>
          <w:sz w:val="24"/>
          <w:szCs w:val="24"/>
          <w:vertAlign w:val="subscript"/>
        </w:rPr>
        <w:t xml:space="preserve">multi </w:t>
      </w:r>
      <w:r>
        <w:rPr>
          <w:sz w:val="24"/>
          <w:szCs w:val="24"/>
        </w:rPr>
        <w:t>(</w:t>
      </w:r>
      <w:r>
        <w:rPr>
          <w:b/>
          <w:sz w:val="24"/>
          <w:szCs w:val="24"/>
        </w:rPr>
        <w:t>E</w:t>
      </w:r>
      <w:r>
        <w:rPr>
          <w:b/>
          <w:sz w:val="24"/>
          <w:szCs w:val="24"/>
          <w:vertAlign w:val="subscript"/>
        </w:rPr>
        <w:t>300</w:t>
      </w:r>
      <w:r>
        <w:rPr>
          <w:b/>
          <w:sz w:val="24"/>
          <w:szCs w:val="24"/>
        </w:rPr>
        <w:t>90</w:t>
      </w:r>
      <w:r>
        <w:rPr>
          <w:b/>
          <w:sz w:val="24"/>
          <w:szCs w:val="24"/>
          <w:vertAlign w:val="subscript"/>
        </w:rPr>
        <w:t>ve sau ho</w:t>
      </w:r>
      <w:r>
        <w:rPr>
          <w:b/>
          <w:sz w:val="24"/>
          <w:szCs w:val="24"/>
        </w:rPr>
        <w:t>S</w:t>
      </w:r>
      <w:r>
        <w:rPr>
          <w:b/>
          <w:sz w:val="24"/>
          <w:szCs w:val="24"/>
          <w:vertAlign w:val="subscript"/>
        </w:rPr>
        <w:t xml:space="preserve">single </w:t>
      </w:r>
      <w:r>
        <w:rPr>
          <w:bCs/>
          <w:sz w:val="24"/>
          <w:szCs w:val="24"/>
        </w:rPr>
        <w:t>dacă nu intersectează pereți sau planșee antifoc</w:t>
      </w:r>
      <w:r>
        <w:rPr>
          <w:sz w:val="24"/>
          <w:szCs w:val="24"/>
        </w:rPr>
        <w:t xml:space="preserve">) atunci când în clădire sunt prevăzute ascensoare pentru  transportul persoanelor cu căruciorul sau a persoanelor cu dizabilităţi care pot fi utilizate şi pentru evacuarea asistată a acestora în caz de incendiu sau ascensoare pentru transportul bolnavilor cu patul cu rotile, cu targa ori căruciorul sau a persoanelor cu dizabilităţi care pot fi utilizate şi pentru evacuarea asistată a acestora în caz de incendiu. </w:t>
      </w:r>
    </w:p>
    <w:p w14:paraId="55B485FF" w14:textId="77777777" w:rsidR="001C08A5" w:rsidRDefault="00000000">
      <w:pPr>
        <w:ind w:left="1440" w:firstLine="720"/>
        <w:jc w:val="both"/>
        <w:rPr>
          <w:sz w:val="24"/>
          <w:szCs w:val="24"/>
        </w:rPr>
      </w:pPr>
      <w:r>
        <w:rPr>
          <w:b/>
          <w:sz w:val="24"/>
          <w:szCs w:val="24"/>
        </w:rPr>
        <w:t>- EI120(</w:t>
      </w:r>
      <w:r>
        <w:rPr>
          <w:b/>
          <w:sz w:val="24"/>
          <w:szCs w:val="24"/>
          <w:vertAlign w:val="subscript"/>
        </w:rPr>
        <w:t>ve</w:t>
      </w:r>
      <w:r>
        <w:rPr>
          <w:sz w:val="24"/>
          <w:szCs w:val="24"/>
        </w:rPr>
        <w:t xml:space="preserve"> și/sau </w:t>
      </w:r>
      <w:r>
        <w:rPr>
          <w:b/>
          <w:sz w:val="24"/>
          <w:szCs w:val="24"/>
          <w:vertAlign w:val="subscript"/>
        </w:rPr>
        <w:t>ho</w:t>
      </w:r>
      <w:r>
        <w:rPr>
          <w:b/>
          <w:sz w:val="24"/>
          <w:szCs w:val="24"/>
        </w:rPr>
        <w:t>)S</w:t>
      </w:r>
      <w:r>
        <w:rPr>
          <w:b/>
          <w:sz w:val="24"/>
          <w:szCs w:val="24"/>
          <w:vertAlign w:val="subscript"/>
        </w:rPr>
        <w:t>multi</w:t>
      </w:r>
      <w:r>
        <w:rPr>
          <w:sz w:val="24"/>
          <w:szCs w:val="24"/>
        </w:rPr>
        <w:t xml:space="preserve"> (</w:t>
      </w:r>
      <w:r>
        <w:rPr>
          <w:b/>
          <w:sz w:val="24"/>
          <w:szCs w:val="24"/>
        </w:rPr>
        <w:t>E</w:t>
      </w:r>
      <w:r>
        <w:rPr>
          <w:b/>
          <w:sz w:val="24"/>
          <w:szCs w:val="24"/>
          <w:vertAlign w:val="subscript"/>
        </w:rPr>
        <w:t>300</w:t>
      </w:r>
      <w:r>
        <w:rPr>
          <w:b/>
          <w:sz w:val="24"/>
          <w:szCs w:val="24"/>
        </w:rPr>
        <w:t>120</w:t>
      </w:r>
      <w:r>
        <w:rPr>
          <w:b/>
          <w:sz w:val="24"/>
          <w:szCs w:val="24"/>
          <w:vertAlign w:val="subscript"/>
        </w:rPr>
        <w:t>ve sau ho</w:t>
      </w:r>
      <w:r>
        <w:rPr>
          <w:b/>
          <w:sz w:val="24"/>
          <w:szCs w:val="24"/>
        </w:rPr>
        <w:t>S</w:t>
      </w:r>
      <w:r>
        <w:rPr>
          <w:b/>
          <w:sz w:val="24"/>
          <w:szCs w:val="24"/>
          <w:vertAlign w:val="subscript"/>
        </w:rPr>
        <w:t xml:space="preserve">single </w:t>
      </w:r>
      <w:r>
        <w:rPr>
          <w:bCs/>
          <w:sz w:val="24"/>
          <w:szCs w:val="24"/>
        </w:rPr>
        <w:t>dacă nu intersectează pereți sau planșee antifoc</w:t>
      </w:r>
      <w:r>
        <w:rPr>
          <w:sz w:val="24"/>
          <w:szCs w:val="24"/>
        </w:rPr>
        <w:t>) atunci când în clădire sunt prevăzute ascensoare pentru  transportul persoanelor cu căruciorul sau a persoanelor cu dizabilităţi care pot fi utilizate şi pentru evacuarea asistată a acestora în caz de incendiu sau ascensoare pentru transportul bolnavilor cu patul cu rotile, cu targa ori căruciorul sau a persoanelor cu dizabilităţi care pot fi utilizate şi pentru evacuarea asistată a acestora în caz de incendiu, la clădiri înalte si foarte înalte;</w:t>
      </w:r>
    </w:p>
    <w:p w14:paraId="098561B4" w14:textId="77777777" w:rsidR="001C08A5" w:rsidRDefault="00000000">
      <w:pPr>
        <w:ind w:left="1440" w:firstLine="720"/>
        <w:jc w:val="both"/>
        <w:rPr>
          <w:sz w:val="24"/>
          <w:szCs w:val="24"/>
        </w:rPr>
      </w:pPr>
      <w:r>
        <w:rPr>
          <w:b/>
          <w:sz w:val="24"/>
          <w:szCs w:val="24"/>
        </w:rPr>
        <w:t>- EI120(</w:t>
      </w:r>
      <w:r>
        <w:rPr>
          <w:b/>
          <w:sz w:val="24"/>
          <w:szCs w:val="24"/>
          <w:vertAlign w:val="subscript"/>
        </w:rPr>
        <w:t>ve</w:t>
      </w:r>
      <w:r>
        <w:rPr>
          <w:sz w:val="24"/>
          <w:szCs w:val="24"/>
        </w:rPr>
        <w:t xml:space="preserve"> și/sau </w:t>
      </w:r>
      <w:r>
        <w:rPr>
          <w:b/>
          <w:sz w:val="24"/>
          <w:szCs w:val="24"/>
          <w:vertAlign w:val="subscript"/>
        </w:rPr>
        <w:t>ho</w:t>
      </w:r>
      <w:r>
        <w:rPr>
          <w:b/>
          <w:sz w:val="24"/>
          <w:szCs w:val="24"/>
        </w:rPr>
        <w:t>)S</w:t>
      </w:r>
      <w:r>
        <w:rPr>
          <w:b/>
          <w:sz w:val="24"/>
          <w:szCs w:val="24"/>
          <w:vertAlign w:val="subscript"/>
        </w:rPr>
        <w:t>multi</w:t>
      </w:r>
      <w:r>
        <w:rPr>
          <w:sz w:val="24"/>
          <w:szCs w:val="24"/>
        </w:rPr>
        <w:t xml:space="preserve"> (</w:t>
      </w:r>
      <w:r>
        <w:rPr>
          <w:b/>
          <w:sz w:val="24"/>
          <w:szCs w:val="24"/>
        </w:rPr>
        <w:t>E</w:t>
      </w:r>
      <w:r>
        <w:rPr>
          <w:b/>
          <w:sz w:val="24"/>
          <w:szCs w:val="24"/>
          <w:vertAlign w:val="subscript"/>
        </w:rPr>
        <w:t>300</w:t>
      </w:r>
      <w:r>
        <w:rPr>
          <w:b/>
          <w:sz w:val="24"/>
          <w:szCs w:val="24"/>
        </w:rPr>
        <w:t>120</w:t>
      </w:r>
      <w:r>
        <w:rPr>
          <w:b/>
          <w:sz w:val="24"/>
          <w:szCs w:val="24"/>
          <w:vertAlign w:val="subscript"/>
        </w:rPr>
        <w:t>ve sau ho</w:t>
      </w:r>
      <w:r>
        <w:rPr>
          <w:b/>
          <w:sz w:val="24"/>
          <w:szCs w:val="24"/>
        </w:rPr>
        <w:t>S</w:t>
      </w:r>
      <w:r>
        <w:rPr>
          <w:b/>
          <w:sz w:val="24"/>
          <w:szCs w:val="24"/>
          <w:vertAlign w:val="subscript"/>
        </w:rPr>
        <w:t xml:space="preserve">single </w:t>
      </w:r>
      <w:r>
        <w:rPr>
          <w:bCs/>
          <w:sz w:val="24"/>
          <w:szCs w:val="24"/>
        </w:rPr>
        <w:t>dacă nu intersectează pereți sau planșee antifoc</w:t>
      </w:r>
      <w:r>
        <w:rPr>
          <w:sz w:val="24"/>
          <w:szCs w:val="24"/>
        </w:rPr>
        <w:t>) atunci când în clădire sunt prevăzute ascensoare pentru intervenție.</w:t>
      </w:r>
    </w:p>
    <w:p w14:paraId="5D01F69A" w14:textId="77777777" w:rsidR="001C08A5" w:rsidRDefault="00000000">
      <w:pPr>
        <w:ind w:firstLine="720"/>
        <w:jc w:val="both"/>
        <w:rPr>
          <w:sz w:val="24"/>
          <w:szCs w:val="24"/>
        </w:rPr>
      </w:pPr>
      <w:r>
        <w:rPr>
          <w:sz w:val="24"/>
          <w:szCs w:val="24"/>
        </w:rPr>
        <w:t xml:space="preserve">În aceste cazuri dacă se racordează la </w:t>
      </w:r>
      <w:r>
        <w:rPr>
          <w:bCs/>
          <w:sz w:val="24"/>
          <w:szCs w:val="24"/>
        </w:rPr>
        <w:t>conducte verticale pe înălțimea construcției, acestea precum și voleții prevăzuți la intarea în canalele colectoare nu vor avea timpul de rezistență la foc mai mic decât cel al</w:t>
      </w:r>
      <w:r>
        <w:rPr>
          <w:sz w:val="24"/>
          <w:szCs w:val="24"/>
        </w:rPr>
        <w:t>tubulaturilor care se racordează la ele.</w:t>
      </w:r>
    </w:p>
    <w:p w14:paraId="2F5E6556" w14:textId="77777777" w:rsidR="001C08A5" w:rsidRDefault="00000000">
      <w:pPr>
        <w:ind w:firstLine="720"/>
        <w:jc w:val="both"/>
        <w:rPr>
          <w:bCs/>
          <w:sz w:val="24"/>
          <w:szCs w:val="24"/>
        </w:rPr>
      </w:pPr>
      <w:r>
        <w:rPr>
          <w:b/>
          <w:sz w:val="24"/>
          <w:szCs w:val="24"/>
        </w:rPr>
        <w:t xml:space="preserve">(6)  </w:t>
      </w:r>
      <w:r>
        <w:rPr>
          <w:bCs/>
          <w:sz w:val="24"/>
          <w:szCs w:val="24"/>
        </w:rPr>
        <w:t xml:space="preserve">Canalele verticale de evacuare a fumului (cu excepția celor colectoare) trebuie să reziste la un incendiu de cel puţin </w:t>
      </w:r>
      <w:r>
        <w:rPr>
          <w:b/>
          <w:sz w:val="24"/>
          <w:szCs w:val="24"/>
        </w:rPr>
        <w:t>EI60</w:t>
      </w:r>
      <w:r>
        <w:rPr>
          <w:b/>
          <w:sz w:val="24"/>
          <w:szCs w:val="24"/>
          <w:vertAlign w:val="subscript"/>
        </w:rPr>
        <w:t>ve</w:t>
      </w:r>
      <w:r>
        <w:rPr>
          <w:b/>
          <w:sz w:val="24"/>
          <w:szCs w:val="24"/>
        </w:rPr>
        <w:t>S</w:t>
      </w:r>
      <w:r>
        <w:rPr>
          <w:b/>
          <w:sz w:val="24"/>
          <w:szCs w:val="24"/>
          <w:vertAlign w:val="subscript"/>
        </w:rPr>
        <w:t>multi</w:t>
      </w:r>
      <w:r>
        <w:rPr>
          <w:sz w:val="24"/>
          <w:szCs w:val="24"/>
        </w:rPr>
        <w:t xml:space="preserve"> (sau </w:t>
      </w:r>
      <w:r>
        <w:rPr>
          <w:b/>
          <w:sz w:val="24"/>
          <w:szCs w:val="24"/>
        </w:rPr>
        <w:t>E</w:t>
      </w:r>
      <w:r>
        <w:rPr>
          <w:b/>
          <w:sz w:val="24"/>
          <w:szCs w:val="24"/>
          <w:vertAlign w:val="subscript"/>
        </w:rPr>
        <w:t>300</w:t>
      </w:r>
      <w:r>
        <w:rPr>
          <w:b/>
          <w:sz w:val="24"/>
          <w:szCs w:val="24"/>
        </w:rPr>
        <w:t>60</w:t>
      </w:r>
      <w:r>
        <w:rPr>
          <w:b/>
          <w:sz w:val="24"/>
          <w:szCs w:val="24"/>
          <w:vertAlign w:val="subscript"/>
        </w:rPr>
        <w:t>ve</w:t>
      </w:r>
      <w:r>
        <w:rPr>
          <w:b/>
          <w:sz w:val="24"/>
          <w:szCs w:val="24"/>
        </w:rPr>
        <w:t>S</w:t>
      </w:r>
      <w:r>
        <w:rPr>
          <w:b/>
          <w:sz w:val="24"/>
          <w:szCs w:val="24"/>
          <w:vertAlign w:val="subscript"/>
        </w:rPr>
        <w:t xml:space="preserve">single </w:t>
      </w:r>
      <w:r>
        <w:rPr>
          <w:bCs/>
          <w:sz w:val="24"/>
          <w:szCs w:val="24"/>
        </w:rPr>
        <w:t>în interiorul încăperilor care sunt echipate cu instalație automată de stingere tip sprinkler</w:t>
      </w:r>
      <w:r>
        <w:rPr>
          <w:b/>
          <w:sz w:val="24"/>
          <w:szCs w:val="24"/>
        </w:rPr>
        <w:t>)</w:t>
      </w:r>
      <w:r>
        <w:rPr>
          <w:bCs/>
          <w:sz w:val="24"/>
          <w:szCs w:val="24"/>
        </w:rPr>
        <w:t xml:space="preserve">. Atunci când fumul este extras din căile de evacuare (coridoare, holuri, culoare, foaiere etc.) sau din camere direct în exterior, este permisă utilizarea canalelor de evacuare a fumului cu o rezistenţă de cel puţin </w:t>
      </w:r>
      <w:r>
        <w:rPr>
          <w:b/>
          <w:sz w:val="24"/>
          <w:szCs w:val="24"/>
        </w:rPr>
        <w:t>EI30</w:t>
      </w:r>
      <w:r>
        <w:rPr>
          <w:b/>
          <w:sz w:val="24"/>
          <w:szCs w:val="24"/>
          <w:vertAlign w:val="subscript"/>
        </w:rPr>
        <w:t>ve</w:t>
      </w:r>
      <w:r>
        <w:rPr>
          <w:b/>
          <w:sz w:val="24"/>
          <w:szCs w:val="24"/>
        </w:rPr>
        <w:t>S</w:t>
      </w:r>
      <w:r>
        <w:rPr>
          <w:b/>
          <w:sz w:val="24"/>
          <w:szCs w:val="24"/>
          <w:vertAlign w:val="subscript"/>
        </w:rPr>
        <w:t>multi</w:t>
      </w:r>
      <w:r>
        <w:rPr>
          <w:sz w:val="24"/>
          <w:szCs w:val="24"/>
        </w:rPr>
        <w:t xml:space="preserve"> (sau </w:t>
      </w:r>
      <w:r>
        <w:rPr>
          <w:b/>
          <w:sz w:val="24"/>
          <w:szCs w:val="24"/>
        </w:rPr>
        <w:t>E</w:t>
      </w:r>
      <w:r>
        <w:rPr>
          <w:b/>
          <w:sz w:val="24"/>
          <w:szCs w:val="24"/>
          <w:vertAlign w:val="subscript"/>
        </w:rPr>
        <w:t>300</w:t>
      </w:r>
      <w:r>
        <w:rPr>
          <w:b/>
          <w:sz w:val="24"/>
          <w:szCs w:val="24"/>
        </w:rPr>
        <w:t>30</w:t>
      </w:r>
      <w:r>
        <w:rPr>
          <w:b/>
          <w:sz w:val="24"/>
          <w:szCs w:val="24"/>
          <w:vertAlign w:val="subscript"/>
        </w:rPr>
        <w:t>ve</w:t>
      </w:r>
      <w:r>
        <w:rPr>
          <w:b/>
          <w:sz w:val="24"/>
          <w:szCs w:val="24"/>
        </w:rPr>
        <w:t>S</w:t>
      </w:r>
      <w:r>
        <w:rPr>
          <w:b/>
          <w:sz w:val="24"/>
          <w:szCs w:val="24"/>
          <w:vertAlign w:val="subscript"/>
        </w:rPr>
        <w:t xml:space="preserve">single </w:t>
      </w:r>
      <w:r>
        <w:rPr>
          <w:bCs/>
          <w:sz w:val="24"/>
          <w:szCs w:val="24"/>
        </w:rPr>
        <w:t>în interiorul încăperilor care sunt echipate cu instalație automată de stingere tip sprinkler</w:t>
      </w:r>
      <w:r>
        <w:rPr>
          <w:b/>
          <w:sz w:val="24"/>
          <w:szCs w:val="24"/>
        </w:rPr>
        <w:t>)</w:t>
      </w:r>
      <w:r>
        <w:rPr>
          <w:bCs/>
          <w:sz w:val="24"/>
          <w:szCs w:val="24"/>
        </w:rPr>
        <w:t xml:space="preserve">. </w:t>
      </w:r>
    </w:p>
    <w:p w14:paraId="53626397" w14:textId="77777777" w:rsidR="001C08A5" w:rsidRDefault="00000000">
      <w:pPr>
        <w:ind w:firstLine="720"/>
        <w:jc w:val="both"/>
        <w:rPr>
          <w:b/>
          <w:sz w:val="24"/>
          <w:szCs w:val="24"/>
        </w:rPr>
      </w:pPr>
      <w:r>
        <w:rPr>
          <w:b/>
          <w:sz w:val="24"/>
          <w:szCs w:val="24"/>
        </w:rPr>
        <w:t xml:space="preserve">(7) </w:t>
      </w:r>
      <w:r>
        <w:rPr>
          <w:sz w:val="24"/>
          <w:szCs w:val="24"/>
        </w:rPr>
        <w:t xml:space="preserve">Tubulaturile de evacuare a fumului şi cele de admisie a aerului se pot racorda la ghene verticale individuale sau la ghene verticale colectoare (şunt), cu tubulaturi </w:t>
      </w:r>
      <w:r>
        <w:rPr>
          <w:bCs/>
          <w:sz w:val="24"/>
          <w:szCs w:val="24"/>
        </w:rPr>
        <w:t>conform prevederi normate</w:t>
      </w:r>
      <w:r>
        <w:rPr>
          <w:sz w:val="24"/>
          <w:szCs w:val="24"/>
        </w:rPr>
        <w:t xml:space="preserve">.Ghenele verticale prin care tubulaturile colectoare ale sistemului de evacuare a fumului şi gazelor fierbinţi în caz de incendiu traversează alte niveluri ale construcţiei vor indeplini condițiile prevazute la </w:t>
      </w:r>
      <w:r>
        <w:rPr>
          <w:b/>
          <w:sz w:val="24"/>
          <w:szCs w:val="24"/>
        </w:rPr>
        <w:t xml:space="preserve">Art. 2.4.11.2. </w:t>
      </w:r>
      <w:r>
        <w:rPr>
          <w:bCs/>
          <w:sz w:val="24"/>
          <w:szCs w:val="24"/>
        </w:rPr>
        <w:t>și cerințele specifice fiecarei destinații potrivit normativului.</w:t>
      </w:r>
      <w:r>
        <w:rPr>
          <w:b/>
          <w:sz w:val="24"/>
          <w:szCs w:val="24"/>
        </w:rPr>
        <w:tab/>
      </w:r>
    </w:p>
    <w:p w14:paraId="00937F69" w14:textId="77777777" w:rsidR="001C08A5" w:rsidRDefault="00000000">
      <w:pPr>
        <w:ind w:firstLine="720"/>
        <w:jc w:val="both"/>
        <w:rPr>
          <w:sz w:val="24"/>
          <w:szCs w:val="24"/>
        </w:rPr>
      </w:pPr>
      <w:r>
        <w:rPr>
          <w:b/>
          <w:sz w:val="24"/>
          <w:szCs w:val="24"/>
        </w:rPr>
        <w:t xml:space="preserve">(8) </w:t>
      </w:r>
      <w:r>
        <w:rPr>
          <w:sz w:val="24"/>
          <w:szCs w:val="24"/>
        </w:rPr>
        <w:t>Sistemele de evacuare a fumului din nivelurile supraterane și cele de admisie a aerului ale construcţiei trebuie să fie independente de cele ale nivelurilor subterane.</w:t>
      </w:r>
    </w:p>
    <w:p w14:paraId="358B93AC" w14:textId="77777777" w:rsidR="001C08A5" w:rsidRDefault="00000000">
      <w:pPr>
        <w:widowControl w:val="0"/>
        <w:ind w:firstLine="720"/>
        <w:jc w:val="both"/>
        <w:rPr>
          <w:sz w:val="24"/>
          <w:szCs w:val="24"/>
        </w:rPr>
      </w:pPr>
      <w:r>
        <w:rPr>
          <w:b/>
          <w:bCs/>
          <w:sz w:val="24"/>
          <w:szCs w:val="24"/>
        </w:rPr>
        <w:t>(9)</w:t>
      </w:r>
      <w:r>
        <w:rPr>
          <w:sz w:val="24"/>
          <w:szCs w:val="24"/>
        </w:rPr>
        <w:t xml:space="preserve"> Canalele verticale colectoare, cu aria dimensionată să preia necesarul de evacuare și respectiv de admisie aferent a mai multor încăperi sau spații, vor avea performanțele menționate în </w:t>
      </w:r>
      <w:r>
        <w:rPr>
          <w:b/>
          <w:bCs/>
          <w:i/>
          <w:iCs/>
          <w:sz w:val="24"/>
          <w:szCs w:val="24"/>
        </w:rPr>
        <w:fldChar w:fldCharType="begin"/>
      </w:r>
      <w:r>
        <w:rPr>
          <w:b/>
          <w:bCs/>
          <w:i/>
          <w:iCs/>
          <w:sz w:val="24"/>
          <w:szCs w:val="24"/>
        </w:rPr>
        <w:instrText xml:space="preserve"> REF _Ref20388 \h </w:instrText>
      </w:r>
      <w:r>
        <w:rPr>
          <w:b/>
          <w:bCs/>
          <w:i/>
          <w:iCs/>
          <w:sz w:val="24"/>
          <w:szCs w:val="24"/>
        </w:rPr>
      </w:r>
      <w:r>
        <w:rPr>
          <w:b/>
          <w:bCs/>
          <w:i/>
          <w:iCs/>
          <w:sz w:val="24"/>
          <w:szCs w:val="24"/>
        </w:rPr>
        <w:fldChar w:fldCharType="separate"/>
      </w:r>
      <w:r>
        <w:t>Tabelul 118</w:t>
      </w:r>
      <w:r>
        <w:rPr>
          <w:b/>
          <w:bCs/>
          <w:i/>
          <w:iCs/>
          <w:sz w:val="24"/>
          <w:szCs w:val="24"/>
        </w:rPr>
        <w:fldChar w:fldCharType="end"/>
      </w:r>
      <w:r>
        <w:rPr>
          <w:sz w:val="24"/>
          <w:szCs w:val="24"/>
        </w:rPr>
        <w:t xml:space="preserve">. Ghenele vor fi realizate prin pereţi </w:t>
      </w:r>
      <w:r>
        <w:rPr>
          <w:rFonts w:eastAsia="TimesNewRomanPSMT-Identity-H"/>
          <w:iCs/>
          <w:sz w:val="24"/>
          <w:szCs w:val="24"/>
        </w:rPr>
        <w:t xml:space="preserve">clasa de reacție la foc </w:t>
      </w:r>
      <w:r>
        <w:rPr>
          <w:b/>
          <w:bCs/>
          <w:iCs/>
          <w:sz w:val="24"/>
          <w:szCs w:val="24"/>
        </w:rPr>
        <w:t xml:space="preserve">A1, A2s1d0 </w:t>
      </w:r>
      <w:r>
        <w:rPr>
          <w:sz w:val="24"/>
          <w:szCs w:val="24"/>
        </w:rPr>
        <w:t xml:space="preserve">rezistente la foc minimum </w:t>
      </w:r>
      <w:r>
        <w:rPr>
          <w:b/>
          <w:sz w:val="24"/>
          <w:szCs w:val="24"/>
        </w:rPr>
        <w:t>EI 180</w:t>
      </w:r>
      <w:r>
        <w:rPr>
          <w:sz w:val="24"/>
          <w:szCs w:val="24"/>
        </w:rPr>
        <w:t xml:space="preserve"> și </w:t>
      </w:r>
      <w:r>
        <w:rPr>
          <w:rFonts w:eastAsia="Calibri"/>
          <w:iCs/>
          <w:sz w:val="24"/>
          <w:szCs w:val="24"/>
          <w:shd w:val="clear" w:color="auto" w:fill="FFFFFF"/>
        </w:rPr>
        <w:t xml:space="preserve">trapele și ușile de vizitare practicate în pereții ghenelor verticale trebuie să fie realizate din materiale </w:t>
      </w:r>
      <w:r>
        <w:rPr>
          <w:b/>
          <w:bCs/>
          <w:iCs/>
          <w:sz w:val="24"/>
          <w:szCs w:val="24"/>
        </w:rPr>
        <w:t>A1, A2s1d0</w:t>
      </w:r>
      <w:r>
        <w:rPr>
          <w:rFonts w:eastAsia="Calibri"/>
          <w:iCs/>
          <w:sz w:val="24"/>
          <w:szCs w:val="24"/>
          <w:shd w:val="clear" w:color="auto" w:fill="FFFFFF"/>
        </w:rPr>
        <w:t xml:space="preserve"> cu rezistența la foc </w:t>
      </w:r>
      <w:r>
        <w:rPr>
          <w:b/>
          <w:sz w:val="24"/>
          <w:szCs w:val="24"/>
        </w:rPr>
        <w:t xml:space="preserve">EI 90. </w:t>
      </w:r>
      <w:r>
        <w:rPr>
          <w:bCs/>
          <w:sz w:val="24"/>
          <w:szCs w:val="24"/>
        </w:rPr>
        <w:t>L</w:t>
      </w:r>
      <w:r>
        <w:rPr>
          <w:sz w:val="24"/>
          <w:szCs w:val="24"/>
        </w:rPr>
        <w:t xml:space="preserve">a trecerea prin alte niveluri ale constructiei, golurile de evacuare a fumului protejate cu voleţii vor fi cel puţin rezistenţi </w:t>
      </w:r>
      <w:r>
        <w:rPr>
          <w:b/>
          <w:bCs/>
          <w:sz w:val="24"/>
          <w:szCs w:val="24"/>
        </w:rPr>
        <w:t>EI60</w:t>
      </w:r>
      <w:r>
        <w:rPr>
          <w:b/>
          <w:bCs/>
          <w:sz w:val="24"/>
          <w:szCs w:val="24"/>
          <w:vertAlign w:val="subscript"/>
        </w:rPr>
        <w:t>multi</w:t>
      </w:r>
      <w:r>
        <w:rPr>
          <w:b/>
          <w:bCs/>
          <w:i/>
          <w:iCs/>
          <w:sz w:val="22"/>
          <w:szCs w:val="22"/>
          <w:vertAlign w:val="subscript"/>
        </w:rPr>
        <w:t>(</w:t>
      </w:r>
      <w:r>
        <w:rPr>
          <w:b/>
          <w:bCs/>
          <w:sz w:val="22"/>
          <w:szCs w:val="22"/>
          <w:vertAlign w:val="subscript"/>
        </w:rPr>
        <w:t>i</w:t>
      </w:r>
      <w:r>
        <w:rPr>
          <w:rFonts w:ascii="Arial" w:hAnsi="Arial" w:cs="Arial"/>
          <w:b/>
          <w:bCs/>
          <w:sz w:val="22"/>
          <w:szCs w:val="22"/>
          <w:vertAlign w:val="subscript"/>
        </w:rPr>
        <w:t>↔</w:t>
      </w:r>
      <w:r>
        <w:rPr>
          <w:b/>
          <w:bCs/>
          <w:sz w:val="22"/>
          <w:szCs w:val="22"/>
          <w:vertAlign w:val="subscript"/>
        </w:rPr>
        <w:t>o</w:t>
      </w:r>
      <w:r>
        <w:rPr>
          <w:b/>
          <w:bCs/>
          <w:i/>
          <w:iCs/>
          <w:sz w:val="22"/>
          <w:szCs w:val="22"/>
          <w:vertAlign w:val="subscript"/>
        </w:rPr>
        <w:t xml:space="preserve">) </w:t>
      </w:r>
      <w:r>
        <w:rPr>
          <w:sz w:val="24"/>
          <w:szCs w:val="24"/>
        </w:rPr>
        <w:t xml:space="preserve">la gurile de evacuare a fumului şi etanşi la foc cel puțin </w:t>
      </w:r>
      <w:r>
        <w:rPr>
          <w:b/>
          <w:sz w:val="22"/>
          <w:szCs w:val="22"/>
        </w:rPr>
        <w:t>E</w:t>
      </w:r>
      <w:r>
        <w:rPr>
          <w:b/>
          <w:sz w:val="22"/>
          <w:szCs w:val="22"/>
          <w:vertAlign w:val="subscript"/>
        </w:rPr>
        <w:t>600</w:t>
      </w:r>
      <w:r>
        <w:rPr>
          <w:b/>
          <w:sz w:val="22"/>
          <w:szCs w:val="22"/>
        </w:rPr>
        <w:t>60</w:t>
      </w:r>
      <w:r>
        <w:rPr>
          <w:b/>
          <w:sz w:val="22"/>
          <w:szCs w:val="22"/>
          <w:vertAlign w:val="subscript"/>
        </w:rPr>
        <w:t>single</w:t>
      </w:r>
      <w:r>
        <w:rPr>
          <w:b/>
          <w:bCs/>
          <w:sz w:val="22"/>
          <w:szCs w:val="22"/>
          <w:vertAlign w:val="subscript"/>
        </w:rPr>
        <w:t xml:space="preserve">(i↔o) </w:t>
      </w:r>
      <w:r>
        <w:rPr>
          <w:sz w:val="24"/>
          <w:szCs w:val="24"/>
        </w:rPr>
        <w:t>la gurile de admisie a aerului, normal închişi în poziţie de aşteptare.</w:t>
      </w:r>
    </w:p>
    <w:p w14:paraId="46ACEDA0" w14:textId="77777777" w:rsidR="001C08A5" w:rsidRDefault="001C08A5">
      <w:pPr>
        <w:widowControl w:val="0"/>
        <w:ind w:firstLine="720"/>
        <w:jc w:val="both"/>
        <w:rPr>
          <w:b/>
          <w:sz w:val="24"/>
          <w:szCs w:val="24"/>
        </w:rPr>
      </w:pPr>
    </w:p>
    <w:p w14:paraId="7324E4A5" w14:textId="77777777" w:rsidR="001C08A5" w:rsidRDefault="00000000">
      <w:pPr>
        <w:widowControl w:val="0"/>
        <w:ind w:firstLine="720"/>
        <w:jc w:val="both"/>
        <w:rPr>
          <w:sz w:val="24"/>
          <w:szCs w:val="24"/>
        </w:rPr>
      </w:pPr>
      <w:r>
        <w:rPr>
          <w:b/>
          <w:sz w:val="24"/>
          <w:szCs w:val="24"/>
        </w:rPr>
        <w:t xml:space="preserve">Art. 8.4.2. (1) </w:t>
      </w:r>
      <w:r>
        <w:rPr>
          <w:sz w:val="24"/>
          <w:szCs w:val="24"/>
        </w:rPr>
        <w:t xml:space="preserve">Ventilatoarele de evacuare a fumului în caz de incendiu prin </w:t>
      </w:r>
      <w:r>
        <w:rPr>
          <w:iCs/>
          <w:sz w:val="24"/>
          <w:szCs w:val="24"/>
        </w:rPr>
        <w:t>ventilare mecanică</w:t>
      </w:r>
      <w:r>
        <w:rPr>
          <w:sz w:val="24"/>
          <w:szCs w:val="24"/>
        </w:rPr>
        <w:t xml:space="preserve">, vor fi rezistente la foc clasa </w:t>
      </w:r>
      <w:r>
        <w:rPr>
          <w:b/>
          <w:sz w:val="24"/>
          <w:szCs w:val="24"/>
        </w:rPr>
        <w:t>F</w:t>
      </w:r>
      <w:r>
        <w:rPr>
          <w:b/>
          <w:sz w:val="24"/>
          <w:szCs w:val="24"/>
          <w:vertAlign w:val="subscript"/>
        </w:rPr>
        <w:t>400</w:t>
      </w:r>
      <w:r>
        <w:rPr>
          <w:b/>
          <w:sz w:val="24"/>
          <w:szCs w:val="24"/>
        </w:rPr>
        <w:t>120</w:t>
      </w:r>
      <w:r>
        <w:rPr>
          <w:sz w:val="24"/>
          <w:szCs w:val="24"/>
        </w:rPr>
        <w:t>.</w:t>
      </w:r>
    </w:p>
    <w:p w14:paraId="69647FC1" w14:textId="77777777" w:rsidR="001C08A5" w:rsidRDefault="00000000">
      <w:pPr>
        <w:ind w:firstLine="720"/>
        <w:jc w:val="both"/>
        <w:rPr>
          <w:sz w:val="24"/>
          <w:szCs w:val="24"/>
        </w:rPr>
      </w:pPr>
      <w:r>
        <w:rPr>
          <w:b/>
          <w:sz w:val="24"/>
          <w:szCs w:val="24"/>
        </w:rPr>
        <w:t xml:space="preserve">(2) </w:t>
      </w:r>
      <w:r>
        <w:rPr>
          <w:sz w:val="24"/>
          <w:szCs w:val="24"/>
        </w:rPr>
        <w:t xml:space="preserve">La construcţiile echipate cu instalaţii automate de stingere a incendiilor cu apă, se pot prevedea ventilatoare de evacuare a fumului în caz de incendiu clasa </w:t>
      </w:r>
      <w:r>
        <w:rPr>
          <w:b/>
          <w:sz w:val="24"/>
          <w:szCs w:val="24"/>
        </w:rPr>
        <w:t>F</w:t>
      </w:r>
      <w:r>
        <w:rPr>
          <w:b/>
          <w:sz w:val="24"/>
          <w:szCs w:val="24"/>
          <w:vertAlign w:val="subscript"/>
        </w:rPr>
        <w:t>200</w:t>
      </w:r>
      <w:r>
        <w:rPr>
          <w:b/>
          <w:sz w:val="24"/>
          <w:szCs w:val="24"/>
        </w:rPr>
        <w:t>120</w:t>
      </w:r>
      <w:r>
        <w:rPr>
          <w:sz w:val="24"/>
          <w:szCs w:val="24"/>
        </w:rPr>
        <w:t xml:space="preserve"> .</w:t>
      </w:r>
    </w:p>
    <w:p w14:paraId="4F860C05" w14:textId="77777777" w:rsidR="001C08A5" w:rsidRDefault="00000000">
      <w:pPr>
        <w:ind w:firstLine="720"/>
        <w:jc w:val="both"/>
        <w:rPr>
          <w:sz w:val="24"/>
          <w:szCs w:val="24"/>
        </w:rPr>
      </w:pPr>
      <w:r>
        <w:rPr>
          <w:b/>
          <w:bCs/>
          <w:sz w:val="24"/>
          <w:szCs w:val="24"/>
        </w:rPr>
        <w:lastRenderedPageBreak/>
        <w:t>(3)</w:t>
      </w:r>
      <w:r>
        <w:rPr>
          <w:sz w:val="24"/>
          <w:szCs w:val="24"/>
        </w:rPr>
        <w:t xml:space="preserve"> Racordul dintre ventilatorul de evacuare a fumului în caz de incendiu și tubulatura/conducta de evacuare a fumului, se realizează din produse clasa de reacţie la foc </w:t>
      </w:r>
      <w:r>
        <w:rPr>
          <w:b/>
          <w:bCs/>
          <w:sz w:val="24"/>
          <w:szCs w:val="24"/>
        </w:rPr>
        <w:t>A1</w:t>
      </w:r>
      <w:r>
        <w:rPr>
          <w:sz w:val="24"/>
          <w:szCs w:val="24"/>
        </w:rPr>
        <w:t xml:space="preserve"> sau </w:t>
      </w:r>
      <w:r>
        <w:rPr>
          <w:b/>
          <w:bCs/>
          <w:sz w:val="24"/>
          <w:szCs w:val="24"/>
        </w:rPr>
        <w:t>A2-s2d0</w:t>
      </w:r>
      <w:r>
        <w:rPr>
          <w:sz w:val="24"/>
          <w:szCs w:val="24"/>
        </w:rPr>
        <w:t>.</w:t>
      </w:r>
    </w:p>
    <w:p w14:paraId="6487EDC9" w14:textId="77777777" w:rsidR="001C08A5" w:rsidRDefault="00000000">
      <w:pPr>
        <w:ind w:firstLine="720"/>
        <w:jc w:val="both"/>
        <w:rPr>
          <w:sz w:val="24"/>
          <w:szCs w:val="24"/>
        </w:rPr>
      </w:pPr>
      <w:r>
        <w:rPr>
          <w:b/>
          <w:bCs/>
          <w:sz w:val="24"/>
          <w:szCs w:val="24"/>
        </w:rPr>
        <w:t xml:space="preserve">(4) </w:t>
      </w:r>
      <w:r>
        <w:rPr>
          <w:sz w:val="24"/>
          <w:szCs w:val="24"/>
        </w:rPr>
        <w:t xml:space="preserve">Ventilatoarele de introducere a aerului proaspat în caz de incendiu prin </w:t>
      </w:r>
      <w:r>
        <w:rPr>
          <w:iCs/>
          <w:sz w:val="24"/>
          <w:szCs w:val="24"/>
        </w:rPr>
        <w:t>ventilare mecanică</w:t>
      </w:r>
      <w:r>
        <w:rPr>
          <w:sz w:val="24"/>
          <w:szCs w:val="24"/>
        </w:rPr>
        <w:t xml:space="preserve">, se montează în exteriorul clădirii, astfel încât elementele de construcție pe care sunt dispuse liber să aibă o rezistență la foc de minim </w:t>
      </w:r>
      <w:r>
        <w:rPr>
          <w:b/>
          <w:bCs/>
          <w:sz w:val="24"/>
          <w:szCs w:val="24"/>
        </w:rPr>
        <w:t xml:space="preserve">REI/EI60 </w:t>
      </w:r>
      <w:r>
        <w:rPr>
          <w:sz w:val="24"/>
          <w:szCs w:val="24"/>
        </w:rPr>
        <w:t>(</w:t>
      </w:r>
      <w:r>
        <w:rPr>
          <w:b/>
          <w:bCs/>
          <w:sz w:val="24"/>
          <w:szCs w:val="24"/>
        </w:rPr>
        <w:t>A1</w:t>
      </w:r>
      <w:r>
        <w:rPr>
          <w:sz w:val="24"/>
          <w:szCs w:val="24"/>
        </w:rPr>
        <w:t xml:space="preserve"> sau </w:t>
      </w:r>
      <w:r>
        <w:rPr>
          <w:b/>
          <w:bCs/>
          <w:sz w:val="24"/>
          <w:szCs w:val="24"/>
        </w:rPr>
        <w:t>A2-s1,d0</w:t>
      </w:r>
      <w:r>
        <w:rPr>
          <w:sz w:val="24"/>
          <w:szCs w:val="24"/>
        </w:rPr>
        <w:t xml:space="preserve">) sau se ecranează pe minim </w:t>
      </w:r>
      <w:r>
        <w:rPr>
          <w:b/>
          <w:bCs/>
          <w:sz w:val="24"/>
          <w:szCs w:val="24"/>
        </w:rPr>
        <w:t>3 m</w:t>
      </w:r>
      <w:r>
        <w:rPr>
          <w:sz w:val="24"/>
          <w:szCs w:val="24"/>
        </w:rPr>
        <w:t xml:space="preserve">  față de anvelopa construcției cu elemente rezistente la foc de minim </w:t>
      </w:r>
      <w:r>
        <w:rPr>
          <w:b/>
          <w:bCs/>
          <w:sz w:val="24"/>
          <w:szCs w:val="24"/>
        </w:rPr>
        <w:t xml:space="preserve">REI/EI60 </w:t>
      </w:r>
      <w:r>
        <w:rPr>
          <w:sz w:val="24"/>
          <w:szCs w:val="24"/>
        </w:rPr>
        <w:t>(</w:t>
      </w:r>
      <w:r>
        <w:rPr>
          <w:b/>
          <w:bCs/>
          <w:sz w:val="24"/>
          <w:szCs w:val="24"/>
        </w:rPr>
        <w:t>A1</w:t>
      </w:r>
      <w:r>
        <w:rPr>
          <w:sz w:val="24"/>
          <w:szCs w:val="24"/>
        </w:rPr>
        <w:t xml:space="preserve"> sau </w:t>
      </w:r>
      <w:r>
        <w:rPr>
          <w:b/>
          <w:bCs/>
          <w:sz w:val="24"/>
          <w:szCs w:val="24"/>
        </w:rPr>
        <w:t>A2-s1,d0</w:t>
      </w:r>
      <w:r>
        <w:rPr>
          <w:sz w:val="24"/>
          <w:szCs w:val="24"/>
        </w:rPr>
        <w:t xml:space="preserve">) ori se amplasează în interiorul construcțiilor în încăperi prevazute cu pereți </w:t>
      </w:r>
      <w:r>
        <w:rPr>
          <w:b/>
          <w:bCs/>
          <w:sz w:val="24"/>
          <w:szCs w:val="24"/>
        </w:rPr>
        <w:t xml:space="preserve">REI/EI60 </w:t>
      </w:r>
      <w:r>
        <w:rPr>
          <w:sz w:val="24"/>
          <w:szCs w:val="24"/>
        </w:rPr>
        <w:t>(</w:t>
      </w:r>
      <w:r>
        <w:rPr>
          <w:b/>
          <w:bCs/>
          <w:sz w:val="24"/>
          <w:szCs w:val="24"/>
        </w:rPr>
        <w:t>A1</w:t>
      </w:r>
      <w:r>
        <w:rPr>
          <w:sz w:val="24"/>
          <w:szCs w:val="24"/>
        </w:rPr>
        <w:t xml:space="preserve"> sau </w:t>
      </w:r>
      <w:r>
        <w:rPr>
          <w:b/>
          <w:bCs/>
          <w:sz w:val="24"/>
          <w:szCs w:val="24"/>
        </w:rPr>
        <w:t>A2-s1,d0</w:t>
      </w:r>
      <w:r>
        <w:rPr>
          <w:sz w:val="24"/>
          <w:szCs w:val="24"/>
        </w:rPr>
        <w:t xml:space="preserve">), planșee </w:t>
      </w:r>
      <w:r>
        <w:rPr>
          <w:b/>
          <w:bCs/>
          <w:sz w:val="24"/>
          <w:szCs w:val="24"/>
        </w:rPr>
        <w:t xml:space="preserve">REI60 </w:t>
      </w:r>
      <w:r>
        <w:rPr>
          <w:sz w:val="24"/>
          <w:szCs w:val="24"/>
        </w:rPr>
        <w:t>(</w:t>
      </w:r>
      <w:r>
        <w:rPr>
          <w:b/>
          <w:bCs/>
          <w:sz w:val="24"/>
          <w:szCs w:val="24"/>
        </w:rPr>
        <w:t>A1</w:t>
      </w:r>
      <w:r>
        <w:rPr>
          <w:sz w:val="24"/>
          <w:szCs w:val="24"/>
        </w:rPr>
        <w:t xml:space="preserve"> sau </w:t>
      </w:r>
      <w:r>
        <w:rPr>
          <w:b/>
          <w:bCs/>
          <w:sz w:val="24"/>
          <w:szCs w:val="24"/>
        </w:rPr>
        <w:t>A2-s1,d0</w:t>
      </w:r>
      <w:r>
        <w:rPr>
          <w:sz w:val="24"/>
          <w:szCs w:val="24"/>
        </w:rPr>
        <w:t xml:space="preserve">) și uși </w:t>
      </w:r>
      <w:r>
        <w:rPr>
          <w:b/>
          <w:bCs/>
          <w:sz w:val="24"/>
          <w:szCs w:val="24"/>
        </w:rPr>
        <w:t>EI60-C</w:t>
      </w:r>
      <w:r>
        <w:rPr>
          <w:sz w:val="24"/>
          <w:szCs w:val="24"/>
        </w:rPr>
        <w:t xml:space="preserve">, cu autoînchidere, la clădiri nivelul </w:t>
      </w:r>
      <w:r>
        <w:rPr>
          <w:b/>
          <w:bCs/>
          <w:sz w:val="24"/>
          <w:szCs w:val="24"/>
        </w:rPr>
        <w:t>III</w:t>
      </w:r>
      <w:r>
        <w:rPr>
          <w:sz w:val="24"/>
          <w:szCs w:val="24"/>
        </w:rPr>
        <w:t xml:space="preserve">, </w:t>
      </w:r>
      <w:r>
        <w:rPr>
          <w:b/>
          <w:bCs/>
          <w:sz w:val="24"/>
          <w:szCs w:val="24"/>
        </w:rPr>
        <w:t>IV</w:t>
      </w:r>
      <w:r>
        <w:rPr>
          <w:sz w:val="24"/>
          <w:szCs w:val="24"/>
        </w:rPr>
        <w:t xml:space="preserve"> și </w:t>
      </w:r>
      <w:r>
        <w:rPr>
          <w:b/>
          <w:bCs/>
          <w:sz w:val="24"/>
          <w:szCs w:val="24"/>
        </w:rPr>
        <w:t xml:space="preserve">V </w:t>
      </w:r>
      <w:r>
        <w:rPr>
          <w:sz w:val="24"/>
          <w:szCs w:val="24"/>
        </w:rPr>
        <w:t>de stabilitate la incendiu.</w:t>
      </w:r>
    </w:p>
    <w:p w14:paraId="4DBA2D48" w14:textId="77777777" w:rsidR="001C08A5" w:rsidRDefault="00000000">
      <w:pPr>
        <w:ind w:firstLine="720"/>
        <w:jc w:val="both"/>
        <w:rPr>
          <w:sz w:val="24"/>
          <w:szCs w:val="24"/>
        </w:rPr>
      </w:pPr>
      <w:r>
        <w:rPr>
          <w:b/>
          <w:bCs/>
          <w:sz w:val="24"/>
          <w:szCs w:val="24"/>
        </w:rPr>
        <w:t xml:space="preserve">(5) </w:t>
      </w:r>
      <w:r>
        <w:rPr>
          <w:sz w:val="24"/>
          <w:szCs w:val="24"/>
        </w:rPr>
        <w:t xml:space="preserve">Ventilatoarele de introducere a aerului proaspat în caz de incendiu prin </w:t>
      </w:r>
      <w:r>
        <w:rPr>
          <w:iCs/>
          <w:sz w:val="24"/>
          <w:szCs w:val="24"/>
        </w:rPr>
        <w:t>ventilare mecanică</w:t>
      </w:r>
      <w:r>
        <w:rPr>
          <w:sz w:val="24"/>
          <w:szCs w:val="24"/>
        </w:rPr>
        <w:t xml:space="preserve">, se montează în exteriorul clădirii, astfel încât elementele de construcție pe care sunt dispuse liber să aibă o rezistență la foc de minim </w:t>
      </w:r>
      <w:r>
        <w:rPr>
          <w:b/>
          <w:bCs/>
          <w:sz w:val="24"/>
          <w:szCs w:val="24"/>
        </w:rPr>
        <w:t xml:space="preserve">REI/EI120 </w:t>
      </w:r>
      <w:r>
        <w:rPr>
          <w:sz w:val="24"/>
          <w:szCs w:val="24"/>
        </w:rPr>
        <w:t>(</w:t>
      </w:r>
      <w:r>
        <w:rPr>
          <w:b/>
          <w:bCs/>
          <w:sz w:val="24"/>
          <w:szCs w:val="24"/>
        </w:rPr>
        <w:t>A1</w:t>
      </w:r>
      <w:r>
        <w:rPr>
          <w:sz w:val="24"/>
          <w:szCs w:val="24"/>
        </w:rPr>
        <w:t xml:space="preserve"> sau </w:t>
      </w:r>
      <w:r>
        <w:rPr>
          <w:b/>
          <w:bCs/>
          <w:sz w:val="24"/>
          <w:szCs w:val="24"/>
        </w:rPr>
        <w:t>A2-s1,d0</w:t>
      </w:r>
      <w:r>
        <w:rPr>
          <w:sz w:val="24"/>
          <w:szCs w:val="24"/>
        </w:rPr>
        <w:t xml:space="preserve">) sau se ecranează pe minim </w:t>
      </w:r>
      <w:r>
        <w:rPr>
          <w:b/>
          <w:bCs/>
          <w:sz w:val="24"/>
          <w:szCs w:val="24"/>
        </w:rPr>
        <w:t>3 m</w:t>
      </w:r>
      <w:r>
        <w:rPr>
          <w:sz w:val="24"/>
          <w:szCs w:val="24"/>
        </w:rPr>
        <w:t xml:space="preserve">  față de anvelopa construcției cu elemente rezistente la foc de minim </w:t>
      </w:r>
      <w:r>
        <w:rPr>
          <w:b/>
          <w:bCs/>
          <w:sz w:val="24"/>
          <w:szCs w:val="24"/>
        </w:rPr>
        <w:t xml:space="preserve">REI/EI120 </w:t>
      </w:r>
      <w:r>
        <w:rPr>
          <w:sz w:val="24"/>
          <w:szCs w:val="24"/>
        </w:rPr>
        <w:t>(</w:t>
      </w:r>
      <w:r>
        <w:rPr>
          <w:b/>
          <w:bCs/>
          <w:sz w:val="24"/>
          <w:szCs w:val="24"/>
        </w:rPr>
        <w:t>A1</w:t>
      </w:r>
      <w:r>
        <w:rPr>
          <w:sz w:val="24"/>
          <w:szCs w:val="24"/>
        </w:rPr>
        <w:t xml:space="preserve"> sau </w:t>
      </w:r>
      <w:r>
        <w:rPr>
          <w:b/>
          <w:bCs/>
          <w:sz w:val="24"/>
          <w:szCs w:val="24"/>
        </w:rPr>
        <w:t>A2-s1,d0</w:t>
      </w:r>
      <w:r>
        <w:rPr>
          <w:sz w:val="24"/>
          <w:szCs w:val="24"/>
        </w:rPr>
        <w:t xml:space="preserve">) ori se amplasează în interiorul construcțiilor în încăperi prevazute cu pereți </w:t>
      </w:r>
      <w:r>
        <w:rPr>
          <w:b/>
          <w:bCs/>
          <w:sz w:val="24"/>
          <w:szCs w:val="24"/>
        </w:rPr>
        <w:t xml:space="preserve">REI/EI120 </w:t>
      </w:r>
      <w:r>
        <w:rPr>
          <w:sz w:val="24"/>
          <w:szCs w:val="24"/>
        </w:rPr>
        <w:t>(</w:t>
      </w:r>
      <w:r>
        <w:rPr>
          <w:b/>
          <w:bCs/>
          <w:sz w:val="24"/>
          <w:szCs w:val="24"/>
        </w:rPr>
        <w:t>A1</w:t>
      </w:r>
      <w:r>
        <w:rPr>
          <w:sz w:val="24"/>
          <w:szCs w:val="24"/>
        </w:rPr>
        <w:t xml:space="preserve"> sau </w:t>
      </w:r>
      <w:r>
        <w:rPr>
          <w:b/>
          <w:bCs/>
          <w:sz w:val="24"/>
          <w:szCs w:val="24"/>
        </w:rPr>
        <w:t>A2-s1,d0</w:t>
      </w:r>
      <w:r>
        <w:rPr>
          <w:sz w:val="24"/>
          <w:szCs w:val="24"/>
        </w:rPr>
        <w:t xml:space="preserve">), planșee </w:t>
      </w:r>
      <w:r>
        <w:rPr>
          <w:b/>
          <w:bCs/>
          <w:sz w:val="24"/>
          <w:szCs w:val="24"/>
        </w:rPr>
        <w:t xml:space="preserve">REI120 </w:t>
      </w:r>
      <w:r>
        <w:rPr>
          <w:sz w:val="24"/>
          <w:szCs w:val="24"/>
        </w:rPr>
        <w:t>(</w:t>
      </w:r>
      <w:r>
        <w:rPr>
          <w:b/>
          <w:bCs/>
          <w:sz w:val="24"/>
          <w:szCs w:val="24"/>
        </w:rPr>
        <w:t>A1</w:t>
      </w:r>
      <w:r>
        <w:rPr>
          <w:sz w:val="24"/>
          <w:szCs w:val="24"/>
        </w:rPr>
        <w:t xml:space="preserve"> sau </w:t>
      </w:r>
      <w:r>
        <w:rPr>
          <w:b/>
          <w:bCs/>
          <w:sz w:val="24"/>
          <w:szCs w:val="24"/>
        </w:rPr>
        <w:t>A2-s1,d0</w:t>
      </w:r>
      <w:r>
        <w:rPr>
          <w:sz w:val="24"/>
          <w:szCs w:val="24"/>
        </w:rPr>
        <w:t xml:space="preserve">) și uși </w:t>
      </w:r>
      <w:r>
        <w:rPr>
          <w:b/>
          <w:bCs/>
          <w:sz w:val="24"/>
          <w:szCs w:val="24"/>
        </w:rPr>
        <w:t>EI120-C</w:t>
      </w:r>
      <w:r>
        <w:rPr>
          <w:sz w:val="24"/>
          <w:szCs w:val="24"/>
        </w:rPr>
        <w:t xml:space="preserve">, cu autoînchidere, la clădiri nivelul </w:t>
      </w:r>
      <w:r>
        <w:rPr>
          <w:b/>
          <w:bCs/>
          <w:sz w:val="24"/>
          <w:szCs w:val="24"/>
        </w:rPr>
        <w:t>I</w:t>
      </w:r>
      <w:r>
        <w:rPr>
          <w:sz w:val="24"/>
          <w:szCs w:val="24"/>
        </w:rPr>
        <w:t xml:space="preserve"> și </w:t>
      </w:r>
      <w:r>
        <w:rPr>
          <w:b/>
          <w:bCs/>
          <w:sz w:val="24"/>
          <w:szCs w:val="24"/>
        </w:rPr>
        <w:t xml:space="preserve">II </w:t>
      </w:r>
      <w:r>
        <w:rPr>
          <w:sz w:val="24"/>
          <w:szCs w:val="24"/>
        </w:rPr>
        <w:t>de stabilitate la incendiu.</w:t>
      </w:r>
    </w:p>
    <w:p w14:paraId="7A680742" w14:textId="77777777" w:rsidR="001C08A5" w:rsidRDefault="00000000">
      <w:pPr>
        <w:ind w:firstLine="720"/>
        <w:jc w:val="both"/>
        <w:rPr>
          <w:sz w:val="24"/>
          <w:szCs w:val="24"/>
        </w:rPr>
      </w:pPr>
      <w:r>
        <w:rPr>
          <w:b/>
          <w:bCs/>
          <w:sz w:val="24"/>
          <w:szCs w:val="24"/>
        </w:rPr>
        <w:t xml:space="preserve">(6) </w:t>
      </w:r>
      <w:r>
        <w:rPr>
          <w:sz w:val="24"/>
          <w:szCs w:val="24"/>
        </w:rPr>
        <w:t xml:space="preserve">Ventilatoarele de introducere a aerului proaspat în caz de incendiu prin tiraj mecanic vor fi rezistente la foc clasa </w:t>
      </w:r>
      <w:r>
        <w:rPr>
          <w:b/>
          <w:bCs/>
          <w:sz w:val="24"/>
          <w:szCs w:val="24"/>
        </w:rPr>
        <w:t>F</w:t>
      </w:r>
      <w:r>
        <w:rPr>
          <w:b/>
          <w:bCs/>
          <w:sz w:val="24"/>
          <w:szCs w:val="24"/>
          <w:vertAlign w:val="subscript"/>
        </w:rPr>
        <w:t>400</w:t>
      </w:r>
      <w:r>
        <w:rPr>
          <w:b/>
          <w:bCs/>
          <w:sz w:val="24"/>
          <w:szCs w:val="24"/>
        </w:rPr>
        <w:t xml:space="preserve"> 120</w:t>
      </w:r>
      <w:r>
        <w:rPr>
          <w:sz w:val="24"/>
          <w:szCs w:val="24"/>
        </w:rPr>
        <w:t xml:space="preserve"> în situația montării în spatiul deservit. La construcţiile echipate cu instalaţii automate de stingere a incendiilor cu apă se pot prevedea ventilatoare de introducere a aerului proaspat în caz de incendiu clasa </w:t>
      </w:r>
      <w:r>
        <w:rPr>
          <w:b/>
          <w:bCs/>
          <w:sz w:val="24"/>
          <w:szCs w:val="24"/>
        </w:rPr>
        <w:t>F</w:t>
      </w:r>
      <w:r>
        <w:rPr>
          <w:b/>
          <w:bCs/>
          <w:sz w:val="24"/>
          <w:szCs w:val="24"/>
          <w:vertAlign w:val="subscript"/>
        </w:rPr>
        <w:t>200</w:t>
      </w:r>
      <w:r>
        <w:rPr>
          <w:b/>
          <w:bCs/>
          <w:sz w:val="24"/>
          <w:szCs w:val="24"/>
        </w:rPr>
        <w:t xml:space="preserve">120 </w:t>
      </w:r>
      <w:r>
        <w:rPr>
          <w:sz w:val="24"/>
          <w:szCs w:val="24"/>
        </w:rPr>
        <w:t xml:space="preserve">în situația montării în spatiul deservit. </w:t>
      </w:r>
    </w:p>
    <w:p w14:paraId="03EB6298" w14:textId="77777777" w:rsidR="001C08A5" w:rsidRDefault="001C08A5">
      <w:pPr>
        <w:jc w:val="both"/>
        <w:rPr>
          <w:b/>
          <w:sz w:val="24"/>
          <w:szCs w:val="24"/>
        </w:rPr>
      </w:pPr>
    </w:p>
    <w:p w14:paraId="78321F2E" w14:textId="77777777" w:rsidR="001C08A5" w:rsidRDefault="00000000">
      <w:pPr>
        <w:jc w:val="both"/>
        <w:rPr>
          <w:b/>
          <w:sz w:val="24"/>
          <w:szCs w:val="24"/>
        </w:rPr>
      </w:pPr>
      <w:r>
        <w:rPr>
          <w:b/>
          <w:sz w:val="24"/>
          <w:szCs w:val="24"/>
        </w:rPr>
        <w:tab/>
        <w:t xml:space="preserve">Art.  8.4.3. </w:t>
      </w:r>
      <w:r>
        <w:rPr>
          <w:sz w:val="24"/>
          <w:szCs w:val="24"/>
        </w:rPr>
        <w:t>Ventilatoarele de introducere a aerului şi de evacuare a fumului în caz de incendiu se alimentează cu energie electrică obligatoriu din două surse independente.</w:t>
      </w:r>
    </w:p>
    <w:p w14:paraId="35E3303B" w14:textId="77777777" w:rsidR="001C08A5" w:rsidRDefault="001C08A5">
      <w:pPr>
        <w:jc w:val="both"/>
        <w:rPr>
          <w:b/>
          <w:sz w:val="24"/>
          <w:szCs w:val="24"/>
        </w:rPr>
      </w:pPr>
    </w:p>
    <w:p w14:paraId="67BE1F79" w14:textId="77777777" w:rsidR="001C08A5" w:rsidRDefault="00000000">
      <w:pPr>
        <w:jc w:val="both"/>
        <w:rPr>
          <w:sz w:val="24"/>
          <w:szCs w:val="24"/>
        </w:rPr>
      </w:pPr>
      <w:r>
        <w:rPr>
          <w:b/>
          <w:sz w:val="24"/>
          <w:szCs w:val="24"/>
        </w:rPr>
        <w:tab/>
        <w:t xml:space="preserve">Art. 8.4.4. </w:t>
      </w:r>
      <w:r>
        <w:rPr>
          <w:sz w:val="24"/>
          <w:szCs w:val="24"/>
        </w:rPr>
        <w:t>Starea de funcţionare și de nefuncţionare a ventilatoarelor aferente sistemelor de evacuare a fumului și gazelor fierbinti în caz de incendiu, va fi semnalizată în locuri unde permanenţa este asigurată și la serviciul pentru situaţii de urgenţă (atunci când este prevăzut).</w:t>
      </w:r>
    </w:p>
    <w:p w14:paraId="03CA4F36" w14:textId="77777777" w:rsidR="001C08A5" w:rsidRDefault="001C08A5">
      <w:pPr>
        <w:jc w:val="both"/>
        <w:rPr>
          <w:sz w:val="24"/>
          <w:szCs w:val="24"/>
        </w:rPr>
      </w:pPr>
    </w:p>
    <w:p w14:paraId="034D6D76" w14:textId="77777777" w:rsidR="001C08A5" w:rsidRDefault="00000000">
      <w:pPr>
        <w:jc w:val="both"/>
        <w:rPr>
          <w:sz w:val="24"/>
          <w:szCs w:val="24"/>
        </w:rPr>
      </w:pPr>
      <w:r>
        <w:rPr>
          <w:b/>
          <w:sz w:val="24"/>
          <w:szCs w:val="24"/>
        </w:rPr>
        <w:tab/>
        <w:t xml:space="preserve">Art. 8.4.5. </w:t>
      </w:r>
      <w:r>
        <w:rPr>
          <w:sz w:val="24"/>
          <w:szCs w:val="24"/>
        </w:rPr>
        <w:t xml:space="preserve">Ghenele verticale de evacuare a fumului în caz de incendiu vor avea capetele exterioare prin care se evacuează fumul, amplasate la partea superioară a construcţiilor sau a porţiunilor de clădiri supraterane și dispuse la distanţe de minimum </w:t>
      </w:r>
      <w:r>
        <w:rPr>
          <w:b/>
          <w:sz w:val="24"/>
          <w:szCs w:val="24"/>
        </w:rPr>
        <w:t>1,5</w:t>
      </w:r>
      <w:r>
        <w:rPr>
          <w:sz w:val="24"/>
          <w:szCs w:val="24"/>
        </w:rPr>
        <w:t xml:space="preserve"> m faţă de elemente combustibile.</w:t>
      </w:r>
    </w:p>
    <w:p w14:paraId="4C6D0D1A" w14:textId="77777777" w:rsidR="001C08A5" w:rsidRDefault="001C08A5">
      <w:pPr>
        <w:jc w:val="both"/>
        <w:rPr>
          <w:sz w:val="24"/>
          <w:szCs w:val="24"/>
        </w:rPr>
      </w:pPr>
    </w:p>
    <w:p w14:paraId="0E9C71FF" w14:textId="77777777" w:rsidR="001C08A5" w:rsidRDefault="00000000">
      <w:pPr>
        <w:pStyle w:val="Default"/>
        <w:ind w:firstLine="720"/>
        <w:jc w:val="both"/>
        <w:rPr>
          <w:rFonts w:ascii="Times New Roman" w:hAnsi="Times New Roman" w:cs="Times New Roman"/>
          <w:color w:val="auto"/>
          <w:lang w:val="ro-RO"/>
        </w:rPr>
      </w:pPr>
      <w:r>
        <w:rPr>
          <w:rFonts w:ascii="Times New Roman" w:hAnsi="Times New Roman" w:cs="Times New Roman"/>
          <w:b/>
          <w:color w:val="auto"/>
          <w:lang w:val="ro-RO"/>
        </w:rPr>
        <w:t xml:space="preserve">Art. 8.4.6. (1) </w:t>
      </w:r>
      <w:r>
        <w:rPr>
          <w:rFonts w:ascii="Times New Roman" w:hAnsi="Times New Roman" w:cs="Times New Roman"/>
          <w:color w:val="auto"/>
          <w:lang w:val="ro-RO"/>
        </w:rPr>
        <w:t xml:space="preserve">Ghenele verticale de evacuare a fumului în caz de incendiu vor avea capetele exterioare prin care se evacuează fumul, amplasate la partea superioară a clădirilor sau a porţiunilor de clădiri supraterane respective. Elementele de construcţie din jurul </w:t>
      </w:r>
      <w:r>
        <w:rPr>
          <w:rFonts w:ascii="Times New Roman" w:hAnsi="Times New Roman" w:cs="Times New Roman"/>
          <w:color w:val="auto"/>
          <w:lang w:val="ro-RO" w:eastAsia="ro-RO"/>
        </w:rPr>
        <w:t>gurilor de evacuare a fumului (</w:t>
      </w:r>
      <w:r>
        <w:rPr>
          <w:rFonts w:ascii="Times New Roman" w:hAnsi="Times New Roman" w:cs="Times New Roman"/>
          <w:color w:val="auto"/>
          <w:lang w:val="ro-RO"/>
        </w:rPr>
        <w:t>ghene verticale de evacuare a fumului și trape de evacuare a fumului</w:t>
      </w:r>
      <w:r>
        <w:rPr>
          <w:rFonts w:ascii="Times New Roman" w:hAnsi="Times New Roman" w:cs="Times New Roman"/>
          <w:color w:val="auto"/>
          <w:lang w:val="ro-RO" w:eastAsia="ro-RO"/>
        </w:rPr>
        <w:t xml:space="preserve">) trebuie protejate/realizate </w:t>
      </w:r>
      <w:r>
        <w:rPr>
          <w:rFonts w:ascii="Times New Roman" w:hAnsi="Times New Roman" w:cs="Times New Roman"/>
          <w:color w:val="auto"/>
          <w:lang w:val="ro-RO"/>
        </w:rPr>
        <w:t xml:space="preserve">cu/din produse pentru construcţii având clasa de reacţie la foc </w:t>
      </w:r>
      <w:r>
        <w:rPr>
          <w:rFonts w:ascii="Times New Roman" w:hAnsi="Times New Roman" w:cs="Times New Roman"/>
          <w:b/>
          <w:color w:val="auto"/>
          <w:lang w:val="ro-RO"/>
        </w:rPr>
        <w:t>A1</w:t>
      </w:r>
      <w:r>
        <w:rPr>
          <w:rFonts w:ascii="Times New Roman" w:hAnsi="Times New Roman" w:cs="Times New Roman"/>
          <w:color w:val="auto"/>
          <w:lang w:val="ro-RO"/>
        </w:rPr>
        <w:t xml:space="preserve"> sau </w:t>
      </w:r>
      <w:r>
        <w:rPr>
          <w:rFonts w:ascii="Times New Roman" w:hAnsi="Times New Roman" w:cs="Times New Roman"/>
          <w:b/>
          <w:color w:val="auto"/>
          <w:lang w:val="ro-RO"/>
        </w:rPr>
        <w:t>A2-s1d0</w:t>
      </w:r>
      <w:r>
        <w:rPr>
          <w:rFonts w:ascii="Times New Roman" w:hAnsi="Times New Roman" w:cs="Times New Roman"/>
          <w:color w:val="auto"/>
          <w:lang w:val="ro-RO"/>
        </w:rPr>
        <w:t xml:space="preserve"> pe o distanţă de cel puţin:</w:t>
      </w:r>
    </w:p>
    <w:p w14:paraId="22CDFC0F" w14:textId="77777777" w:rsidR="001C08A5" w:rsidRDefault="00000000">
      <w:pPr>
        <w:pStyle w:val="Default"/>
        <w:ind w:firstLine="680"/>
        <w:jc w:val="both"/>
        <w:rPr>
          <w:rFonts w:ascii="Times New Roman" w:hAnsi="Times New Roman" w:cs="Times New Roman"/>
          <w:color w:val="auto"/>
          <w:lang w:val="ro-RO"/>
        </w:rPr>
      </w:pPr>
      <w:r>
        <w:rPr>
          <w:rFonts w:ascii="Times New Roman" w:hAnsi="Times New Roman" w:cs="Times New Roman"/>
          <w:color w:val="auto"/>
          <w:lang w:val="ro-RO"/>
        </w:rPr>
        <w:t xml:space="preserve">a)  </w:t>
      </w:r>
      <w:r>
        <w:rPr>
          <w:rFonts w:ascii="Times New Roman" w:hAnsi="Times New Roman" w:cs="Times New Roman"/>
          <w:b/>
          <w:color w:val="auto"/>
          <w:lang w:val="ro-RO"/>
        </w:rPr>
        <w:t xml:space="preserve">2 m </w:t>
      </w:r>
      <w:r>
        <w:rPr>
          <w:rFonts w:ascii="Times New Roman" w:hAnsi="Times New Roman" w:cs="Times New Roman"/>
          <w:color w:val="auto"/>
          <w:lang w:val="ro-RO"/>
        </w:rPr>
        <w:t>lateral (de jur împrejur) când sunt instalate în acoperiş;</w:t>
      </w:r>
    </w:p>
    <w:p w14:paraId="534B9CAC" w14:textId="77777777" w:rsidR="001C08A5" w:rsidRDefault="00000000">
      <w:pPr>
        <w:pStyle w:val="Default"/>
        <w:ind w:firstLine="680"/>
        <w:jc w:val="both"/>
        <w:rPr>
          <w:rFonts w:ascii="Times New Roman" w:hAnsi="Times New Roman" w:cs="Times New Roman"/>
          <w:color w:val="auto"/>
          <w:lang w:val="ro-RO"/>
        </w:rPr>
      </w:pPr>
      <w:r>
        <w:rPr>
          <w:rFonts w:ascii="Times New Roman" w:hAnsi="Times New Roman" w:cs="Times New Roman"/>
          <w:color w:val="auto"/>
          <w:lang w:val="ro-RO"/>
        </w:rPr>
        <w:t xml:space="preserve">b) </w:t>
      </w:r>
      <w:r>
        <w:rPr>
          <w:rFonts w:ascii="Times New Roman" w:hAnsi="Times New Roman" w:cs="Times New Roman"/>
          <w:b/>
          <w:color w:val="auto"/>
          <w:lang w:val="ro-RO"/>
        </w:rPr>
        <w:t>1 m</w:t>
      </w:r>
      <w:r>
        <w:rPr>
          <w:rFonts w:ascii="Times New Roman" w:hAnsi="Times New Roman" w:cs="Times New Roman"/>
          <w:color w:val="auto"/>
          <w:lang w:val="ro-RO"/>
        </w:rPr>
        <w:t xml:space="preserve"> lateral (de jur împrejur) și minimum </w:t>
      </w:r>
      <w:r>
        <w:rPr>
          <w:rFonts w:ascii="Times New Roman" w:hAnsi="Times New Roman" w:cs="Times New Roman"/>
          <w:b/>
          <w:color w:val="auto"/>
          <w:lang w:val="ro-RO"/>
        </w:rPr>
        <w:t>2 m</w:t>
      </w:r>
      <w:r>
        <w:rPr>
          <w:rFonts w:ascii="Times New Roman" w:hAnsi="Times New Roman" w:cs="Times New Roman"/>
          <w:color w:val="auto"/>
          <w:lang w:val="ro-RO"/>
        </w:rPr>
        <w:t xml:space="preserve"> deasupra, când se amplasează în pereţii exteriori.</w:t>
      </w:r>
    </w:p>
    <w:p w14:paraId="16C6486E" w14:textId="77777777" w:rsidR="001C08A5" w:rsidRDefault="00000000">
      <w:pPr>
        <w:pStyle w:val="Default"/>
        <w:ind w:firstLine="680"/>
        <w:jc w:val="both"/>
        <w:rPr>
          <w:rFonts w:ascii="Times New Roman" w:hAnsi="Times New Roman" w:cs="Times New Roman"/>
          <w:color w:val="auto"/>
          <w:lang w:val="ro-RO"/>
        </w:rPr>
      </w:pPr>
      <w:r>
        <w:rPr>
          <w:rFonts w:ascii="Times New Roman" w:hAnsi="Times New Roman" w:cs="Times New Roman"/>
          <w:b/>
          <w:bCs/>
          <w:color w:val="auto"/>
          <w:lang w:val="ro-RO"/>
        </w:rPr>
        <w:t xml:space="preserve">(2) </w:t>
      </w:r>
      <w:r>
        <w:rPr>
          <w:rFonts w:ascii="Times New Roman" w:hAnsi="Times New Roman" w:cs="Times New Roman"/>
          <w:color w:val="auto"/>
          <w:lang w:val="ro-RO"/>
        </w:rPr>
        <w:t xml:space="preserve">Între prizele de aer proaspăt şi capetele exterioare ale ghenelor de evacuare a fumului , se asigură distanţe de minimum </w:t>
      </w:r>
      <w:r>
        <w:rPr>
          <w:rFonts w:ascii="Times New Roman" w:hAnsi="Times New Roman" w:cs="Times New Roman"/>
          <w:b/>
          <w:bCs/>
          <w:color w:val="auto"/>
          <w:lang w:val="ro-RO"/>
        </w:rPr>
        <w:t xml:space="preserve">8 m </w:t>
      </w:r>
      <w:r>
        <w:rPr>
          <w:rFonts w:ascii="Times New Roman" w:hAnsi="Times New Roman" w:cs="Times New Roman"/>
          <w:color w:val="auto"/>
          <w:lang w:val="ro-RO"/>
        </w:rPr>
        <w:t>(măsurată pe orizontală)</w:t>
      </w:r>
      <w:r>
        <w:rPr>
          <w:rFonts w:ascii="Times New Roman" w:hAnsi="Times New Roman" w:cs="Times New Roman"/>
          <w:b/>
          <w:bCs/>
          <w:color w:val="auto"/>
          <w:lang w:val="ro-RO"/>
        </w:rPr>
        <w:t>.</w:t>
      </w:r>
      <w:r>
        <w:rPr>
          <w:rFonts w:ascii="Times New Roman" w:hAnsi="Times New Roman" w:cs="Times New Roman"/>
          <w:color w:val="auto"/>
          <w:lang w:val="ro-RO"/>
        </w:rPr>
        <w:t xml:space="preserve"> Capetele ghenelor de evacuare a fumului se amplasează astfel încât, pe cât posibil vântul dominant să nu conducă fumul spre prizele de aer.</w:t>
      </w:r>
    </w:p>
    <w:p w14:paraId="4FD5648C" w14:textId="77777777" w:rsidR="001C08A5" w:rsidRDefault="00000000">
      <w:pPr>
        <w:jc w:val="both"/>
        <w:rPr>
          <w:sz w:val="24"/>
          <w:szCs w:val="24"/>
          <w:lang w:eastAsia="ro-RO"/>
        </w:rPr>
      </w:pPr>
      <w:r>
        <w:rPr>
          <w:b/>
          <w:sz w:val="24"/>
          <w:szCs w:val="24"/>
        </w:rPr>
        <w:t>(3)</w:t>
      </w:r>
      <w:r>
        <w:rPr>
          <w:sz w:val="24"/>
          <w:szCs w:val="24"/>
        </w:rPr>
        <w:t xml:space="preserve"> Distanţa de la marginea gurilor de evacuare a fumului </w:t>
      </w:r>
      <w:r>
        <w:rPr>
          <w:sz w:val="24"/>
          <w:szCs w:val="24"/>
          <w:lang w:eastAsia="ro-RO"/>
        </w:rPr>
        <w:t xml:space="preserve">dispuse în acoperişul construcţiilor, trebuie să fie </w:t>
      </w:r>
      <w:r>
        <w:rPr>
          <w:sz w:val="24"/>
          <w:szCs w:val="24"/>
          <w:lang w:val="en-US" w:eastAsia="ro-RO"/>
        </w:rPr>
        <w:t xml:space="preserve">(conform </w:t>
      </w:r>
      <w:r>
        <w:rPr>
          <w:lang w:val="en-US" w:eastAsia="ro-RO"/>
        </w:rPr>
        <w:t>Figura 80</w:t>
      </w:r>
      <w:r>
        <w:rPr>
          <w:sz w:val="24"/>
          <w:szCs w:val="24"/>
          <w:lang w:val="en-US" w:eastAsia="ro-RO"/>
        </w:rPr>
        <w:t xml:space="preserve">) </w:t>
      </w:r>
      <w:r>
        <w:rPr>
          <w:sz w:val="24"/>
          <w:szCs w:val="24"/>
          <w:lang w:eastAsia="ro-RO"/>
        </w:rPr>
        <w:t>cel puţin:</w:t>
      </w:r>
    </w:p>
    <w:p w14:paraId="487F3EBA" w14:textId="77777777" w:rsidR="001C08A5" w:rsidRDefault="00000000">
      <w:pPr>
        <w:numPr>
          <w:ilvl w:val="0"/>
          <w:numId w:val="94"/>
        </w:numPr>
        <w:tabs>
          <w:tab w:val="clear" w:pos="2330"/>
        </w:tabs>
        <w:ind w:left="397" w:firstLine="284"/>
        <w:jc w:val="both"/>
        <w:rPr>
          <w:sz w:val="24"/>
          <w:szCs w:val="24"/>
          <w:lang w:eastAsia="ro-RO"/>
        </w:rPr>
      </w:pPr>
      <w:r>
        <w:rPr>
          <w:b/>
          <w:sz w:val="24"/>
          <w:szCs w:val="24"/>
          <w:lang w:eastAsia="ro-RO"/>
        </w:rPr>
        <w:t>4 m</w:t>
      </w:r>
      <w:r>
        <w:rPr>
          <w:sz w:val="24"/>
          <w:szCs w:val="24"/>
          <w:lang w:eastAsia="ro-RO"/>
        </w:rPr>
        <w:t xml:space="preserve"> faţă de pereţi rezistenţi la foc care separă compartimente de incendiu în conditiile în care cele doua compartimente de incendiu au același regim de </w:t>
      </w:r>
      <w:r>
        <w:rPr>
          <w:sz w:val="24"/>
          <w:szCs w:val="24"/>
        </w:rPr>
        <w:t>înălțime</w:t>
      </w:r>
      <w:r>
        <w:rPr>
          <w:sz w:val="24"/>
          <w:szCs w:val="24"/>
          <w:lang w:eastAsia="ro-RO"/>
        </w:rPr>
        <w:t>;</w:t>
      </w:r>
    </w:p>
    <w:p w14:paraId="549646AD" w14:textId="77777777" w:rsidR="001C08A5" w:rsidRDefault="00000000">
      <w:pPr>
        <w:numPr>
          <w:ilvl w:val="0"/>
          <w:numId w:val="94"/>
        </w:numPr>
        <w:tabs>
          <w:tab w:val="clear" w:pos="2330"/>
        </w:tabs>
        <w:ind w:left="397" w:firstLine="284"/>
        <w:jc w:val="both"/>
        <w:rPr>
          <w:sz w:val="24"/>
          <w:szCs w:val="24"/>
          <w:lang w:eastAsia="ro-RO"/>
        </w:rPr>
      </w:pPr>
      <w:r>
        <w:rPr>
          <w:b/>
          <w:sz w:val="24"/>
          <w:szCs w:val="24"/>
          <w:lang w:eastAsia="ro-RO"/>
        </w:rPr>
        <w:t>2,5 m</w:t>
      </w:r>
      <w:r>
        <w:rPr>
          <w:sz w:val="24"/>
          <w:szCs w:val="24"/>
          <w:lang w:eastAsia="ro-RO"/>
        </w:rPr>
        <w:t xml:space="preserve"> faţă de pereţii exteriori;</w:t>
      </w:r>
    </w:p>
    <w:p w14:paraId="24224446" w14:textId="77777777" w:rsidR="001C08A5" w:rsidRDefault="00000000">
      <w:pPr>
        <w:numPr>
          <w:ilvl w:val="0"/>
          <w:numId w:val="94"/>
        </w:numPr>
        <w:tabs>
          <w:tab w:val="clear" w:pos="2330"/>
        </w:tabs>
        <w:ind w:left="397" w:firstLine="284"/>
        <w:jc w:val="both"/>
        <w:rPr>
          <w:sz w:val="24"/>
          <w:szCs w:val="24"/>
          <w:lang w:eastAsia="ro-RO"/>
        </w:rPr>
      </w:pPr>
      <w:r>
        <w:rPr>
          <w:b/>
          <w:sz w:val="24"/>
          <w:szCs w:val="24"/>
          <w:lang w:val="en-US" w:eastAsia="ro-RO"/>
        </w:rPr>
        <w:t>6</w:t>
      </w:r>
      <w:r>
        <w:rPr>
          <w:b/>
          <w:sz w:val="24"/>
          <w:szCs w:val="24"/>
          <w:lang w:eastAsia="ro-RO"/>
        </w:rPr>
        <w:t xml:space="preserve"> m</w:t>
      </w:r>
      <w:r>
        <w:rPr>
          <w:sz w:val="24"/>
          <w:szCs w:val="24"/>
          <w:lang w:eastAsia="ro-RO"/>
        </w:rPr>
        <w:t xml:space="preserve"> faţă de pereţi exteriori cu suprafeţe vitrate fără rezistenţă la foc ai unei porţiuni de clădire/clădire adiacentă mai înalte/nivel retras, dacă aceasta </w:t>
      </w:r>
      <w:r>
        <w:rPr>
          <w:sz w:val="24"/>
          <w:szCs w:val="24"/>
          <w:lang w:val="en-US" w:eastAsia="ro-RO"/>
        </w:rPr>
        <w:t xml:space="preserve">nu </w:t>
      </w:r>
      <w:r>
        <w:rPr>
          <w:sz w:val="24"/>
          <w:szCs w:val="24"/>
          <w:lang w:eastAsia="ro-RO"/>
        </w:rPr>
        <w:t xml:space="preserve">se constituie ca și compartiment </w:t>
      </w:r>
      <w:r>
        <w:rPr>
          <w:sz w:val="24"/>
          <w:szCs w:val="24"/>
          <w:lang w:eastAsia="ro-RO"/>
        </w:rPr>
        <w:lastRenderedPageBreak/>
        <w:t xml:space="preserve">distinct de </w:t>
      </w:r>
      <w:proofErr w:type="gramStart"/>
      <w:r>
        <w:rPr>
          <w:sz w:val="24"/>
          <w:szCs w:val="24"/>
          <w:lang w:eastAsia="ro-RO"/>
        </w:rPr>
        <w:t xml:space="preserve">incendiu </w:t>
      </w:r>
      <w:r>
        <w:rPr>
          <w:sz w:val="24"/>
          <w:szCs w:val="24"/>
          <w:lang w:val="en-US" w:eastAsia="ro-RO"/>
        </w:rPr>
        <w:t xml:space="preserve"> (</w:t>
      </w:r>
      <w:proofErr w:type="gramEnd"/>
      <w:r>
        <w:rPr>
          <w:sz w:val="24"/>
          <w:szCs w:val="24"/>
          <w:lang w:val="en-US" w:eastAsia="ro-RO"/>
        </w:rPr>
        <w:t xml:space="preserve">în situația comasării clădirilor) </w:t>
      </w:r>
      <w:r>
        <w:rPr>
          <w:sz w:val="24"/>
          <w:szCs w:val="24"/>
          <w:lang w:eastAsia="ro-RO"/>
        </w:rPr>
        <w:t xml:space="preserve">sau față de pereţi rezistenţi la foc care separă compartimente de incendiu în conditiile în care cele două compartimente de incendiu au regim de </w:t>
      </w:r>
      <w:r>
        <w:rPr>
          <w:sz w:val="24"/>
          <w:szCs w:val="24"/>
          <w:lang w:val="en-US" w:eastAsia="ro-RO"/>
        </w:rPr>
        <w:t>î</w:t>
      </w:r>
      <w:r>
        <w:rPr>
          <w:sz w:val="24"/>
          <w:szCs w:val="24"/>
          <w:lang w:eastAsia="ro-RO"/>
        </w:rPr>
        <w:t>nă</w:t>
      </w:r>
      <w:r>
        <w:rPr>
          <w:sz w:val="24"/>
          <w:szCs w:val="24"/>
          <w:lang w:val="en-US" w:eastAsia="ro-RO"/>
        </w:rPr>
        <w:t>lț</w:t>
      </w:r>
      <w:r>
        <w:rPr>
          <w:sz w:val="24"/>
          <w:szCs w:val="24"/>
          <w:lang w:eastAsia="ro-RO"/>
        </w:rPr>
        <w:t>ime diferit ;</w:t>
      </w:r>
    </w:p>
    <w:p w14:paraId="51A1FAB5" w14:textId="77777777" w:rsidR="001C08A5" w:rsidRDefault="00000000">
      <w:pPr>
        <w:jc w:val="center"/>
        <w:rPr>
          <w:sz w:val="24"/>
          <w:szCs w:val="24"/>
          <w:lang w:eastAsia="ro-RO"/>
        </w:rPr>
      </w:pPr>
      <w:r>
        <w:rPr>
          <w:noProof/>
        </w:rPr>
        <w:drawing>
          <wp:inline distT="0" distB="0" distL="114300" distR="114300" wp14:anchorId="03EB0473" wp14:editId="6A16504B">
            <wp:extent cx="5894070" cy="2101850"/>
            <wp:effectExtent l="0" t="0" r="11430" b="12700"/>
            <wp:docPr id="3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8"/>
                    <pic:cNvPicPr>
                      <a:picLocks noChangeAspect="1"/>
                    </pic:cNvPicPr>
                  </pic:nvPicPr>
                  <pic:blipFill>
                    <a:blip r:embed="rId221"/>
                    <a:srcRect l="13022" t="4627" r="8998" b="40280"/>
                    <a:stretch>
                      <a:fillRect/>
                    </a:stretch>
                  </pic:blipFill>
                  <pic:spPr>
                    <a:xfrm>
                      <a:off x="0" y="0"/>
                      <a:ext cx="5894070" cy="2101850"/>
                    </a:xfrm>
                    <a:prstGeom prst="rect">
                      <a:avLst/>
                    </a:prstGeom>
                    <a:noFill/>
                    <a:ln>
                      <a:noFill/>
                    </a:ln>
                  </pic:spPr>
                </pic:pic>
              </a:graphicData>
            </a:graphic>
          </wp:inline>
        </w:drawing>
      </w:r>
    </w:p>
    <w:p w14:paraId="4E1BE452" w14:textId="77777777" w:rsidR="001C08A5" w:rsidRDefault="001C08A5">
      <w:pPr>
        <w:jc w:val="center"/>
      </w:pPr>
    </w:p>
    <w:p w14:paraId="1F12ED37" w14:textId="77777777" w:rsidR="001C08A5" w:rsidRDefault="00000000">
      <w:pPr>
        <w:jc w:val="center"/>
        <w:rPr>
          <w:b/>
          <w:bCs/>
          <w:i/>
          <w:iCs/>
          <w:sz w:val="24"/>
          <w:szCs w:val="24"/>
        </w:rPr>
      </w:pPr>
      <w:r>
        <w:rPr>
          <w:b/>
          <w:bCs/>
          <w:i/>
          <w:iCs/>
          <w:sz w:val="24"/>
          <w:szCs w:val="24"/>
        </w:rPr>
        <w:t>Plan</w:t>
      </w:r>
    </w:p>
    <w:p w14:paraId="34231F23" w14:textId="77777777" w:rsidR="001C08A5" w:rsidRDefault="00000000">
      <w:pPr>
        <w:jc w:val="center"/>
        <w:rPr>
          <w:b/>
          <w:bCs/>
          <w:i/>
          <w:iCs/>
          <w:sz w:val="24"/>
          <w:szCs w:val="24"/>
        </w:rPr>
      </w:pPr>
      <w:r>
        <w:rPr>
          <w:noProof/>
        </w:rPr>
        <w:drawing>
          <wp:inline distT="0" distB="0" distL="114300" distR="114300" wp14:anchorId="75134700" wp14:editId="7F97D191">
            <wp:extent cx="5894070" cy="1104900"/>
            <wp:effectExtent l="0" t="0" r="11430" b="0"/>
            <wp:docPr id="3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8"/>
                    <pic:cNvPicPr>
                      <a:picLocks noChangeAspect="1"/>
                    </pic:cNvPicPr>
                  </pic:nvPicPr>
                  <pic:blipFill>
                    <a:blip r:embed="rId221"/>
                    <a:srcRect l="13022" t="62001" r="8998" b="9038"/>
                    <a:stretch>
                      <a:fillRect/>
                    </a:stretch>
                  </pic:blipFill>
                  <pic:spPr>
                    <a:xfrm>
                      <a:off x="0" y="0"/>
                      <a:ext cx="5894070" cy="1104900"/>
                    </a:xfrm>
                    <a:prstGeom prst="rect">
                      <a:avLst/>
                    </a:prstGeom>
                    <a:noFill/>
                    <a:ln>
                      <a:noFill/>
                    </a:ln>
                  </pic:spPr>
                </pic:pic>
              </a:graphicData>
            </a:graphic>
          </wp:inline>
        </w:drawing>
      </w:r>
    </w:p>
    <w:p w14:paraId="426E587B" w14:textId="77777777" w:rsidR="001C08A5" w:rsidRDefault="00000000">
      <w:pPr>
        <w:jc w:val="center"/>
      </w:pPr>
      <w:r>
        <w:rPr>
          <w:b/>
          <w:bCs/>
          <w:i/>
          <w:iCs/>
          <w:sz w:val="24"/>
          <w:szCs w:val="24"/>
        </w:rPr>
        <w:t>Secțiune</w:t>
      </w:r>
    </w:p>
    <w:p w14:paraId="1E454D90" w14:textId="77777777" w:rsidR="001C08A5" w:rsidRDefault="00000000">
      <w:pPr>
        <w:pStyle w:val="Caption"/>
        <w:ind w:firstLine="720"/>
        <w:jc w:val="center"/>
        <w:rPr>
          <w:rFonts w:cs="Times New Roman"/>
          <w:bCs/>
        </w:rPr>
      </w:pPr>
      <w:bookmarkStart w:id="5652" w:name="_Ref6575"/>
      <w:bookmarkStart w:id="5653" w:name="_Toc1225"/>
      <w:bookmarkStart w:id="5654" w:name="_Toc3499"/>
      <w:bookmarkStart w:id="5655" w:name="_Toc15162"/>
      <w:bookmarkStart w:id="5656" w:name="_Toc2848"/>
      <w:bookmarkStart w:id="5657" w:name="_Toc26597"/>
      <w:bookmarkStart w:id="5658" w:name="_Toc20086"/>
      <w:bookmarkStart w:id="5659" w:name="_Toc162360304"/>
      <w:r>
        <w:t xml:space="preserve">Figura </w:t>
      </w:r>
      <w:r>
        <w:fldChar w:fldCharType="begin"/>
      </w:r>
      <w:r>
        <w:instrText xml:space="preserve"> SEQ Figura \* ARABIC </w:instrText>
      </w:r>
      <w:r>
        <w:fldChar w:fldCharType="separate"/>
      </w:r>
      <w:r>
        <w:t>80</w:t>
      </w:r>
      <w:r>
        <w:fldChar w:fldCharType="end"/>
      </w:r>
      <w:bookmarkStart w:id="5660" w:name="_Toc16090"/>
      <w:bookmarkStart w:id="5661" w:name="_Toc18635"/>
      <w:bookmarkStart w:id="5662" w:name="_Toc21688"/>
      <w:bookmarkStart w:id="5663" w:name="_Toc8582"/>
      <w:bookmarkStart w:id="5664" w:name="_Toc31268"/>
      <w:bookmarkStart w:id="5665" w:name="_Toc24893"/>
      <w:bookmarkStart w:id="5666" w:name="_Toc19881"/>
      <w:bookmarkStart w:id="5667" w:name="_Toc17241"/>
      <w:bookmarkStart w:id="5668" w:name="_Toc27974"/>
      <w:bookmarkStart w:id="5669" w:name="_Toc234"/>
      <w:bookmarkStart w:id="5670" w:name="_Toc8942"/>
      <w:bookmarkEnd w:id="5652"/>
      <w:r>
        <w:t xml:space="preserve"> - </w:t>
      </w:r>
      <w:r>
        <w:rPr>
          <w:rFonts w:cs="Times New Roman"/>
          <w:bCs/>
        </w:rPr>
        <w:t xml:space="preserve">Amplasarea  </w:t>
      </w:r>
      <w:r>
        <w:rPr>
          <w:rFonts w:cs="Times New Roman"/>
          <w:bCs/>
          <w:lang w:eastAsia="ro-RO"/>
        </w:rPr>
        <w:t xml:space="preserve">în acoperişul/pe terasa construcţiilor a </w:t>
      </w:r>
      <w:r>
        <w:rPr>
          <w:rFonts w:cs="Times New Roman"/>
          <w:bCs/>
        </w:rPr>
        <w:t>dispozitivelor de evacuare a fumului și gazelor fierbinti</w:t>
      </w:r>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p>
    <w:p w14:paraId="63BD4FD9" w14:textId="77777777" w:rsidR="001C08A5" w:rsidRDefault="00000000">
      <w:pPr>
        <w:pStyle w:val="Heading3"/>
        <w:ind w:left="0" w:firstLine="0"/>
      </w:pPr>
      <w:bookmarkStart w:id="5671" w:name="_Toc9842"/>
      <w:bookmarkStart w:id="5672" w:name="_Toc30636"/>
      <w:bookmarkStart w:id="5673" w:name="_Toc162355382"/>
      <w:bookmarkStart w:id="5674" w:name="_Toc30557"/>
      <w:bookmarkStart w:id="5675" w:name="_Toc14122"/>
      <w:bookmarkStart w:id="5676" w:name="_Toc21580"/>
      <w:bookmarkStart w:id="5677" w:name="_Toc29543"/>
      <w:bookmarkStart w:id="5678" w:name="_Toc10679"/>
      <w:bookmarkStart w:id="5679" w:name="_Toc20908"/>
      <w:bookmarkStart w:id="5680" w:name="_Toc3862"/>
      <w:r>
        <w:t>8.5. Case de scări închise și circulații comune orizontale închise</w:t>
      </w:r>
      <w:bookmarkEnd w:id="5671"/>
      <w:bookmarkEnd w:id="5672"/>
      <w:bookmarkEnd w:id="5673"/>
      <w:bookmarkEnd w:id="5674"/>
      <w:bookmarkEnd w:id="5675"/>
      <w:bookmarkEnd w:id="5676"/>
      <w:bookmarkEnd w:id="5677"/>
      <w:bookmarkEnd w:id="5678"/>
      <w:bookmarkEnd w:id="5679"/>
      <w:bookmarkEnd w:id="5680"/>
    </w:p>
    <w:p w14:paraId="70AD1D0F" w14:textId="77777777" w:rsidR="001C08A5" w:rsidRDefault="001C08A5">
      <w:pPr>
        <w:jc w:val="both"/>
        <w:rPr>
          <w:sz w:val="24"/>
          <w:szCs w:val="24"/>
        </w:rPr>
      </w:pPr>
    </w:p>
    <w:p w14:paraId="3C40B180" w14:textId="77777777" w:rsidR="001C08A5" w:rsidRDefault="00000000">
      <w:pPr>
        <w:jc w:val="both"/>
        <w:rPr>
          <w:b/>
          <w:sz w:val="24"/>
          <w:szCs w:val="24"/>
        </w:rPr>
      </w:pPr>
      <w:r>
        <w:rPr>
          <w:b/>
          <w:sz w:val="24"/>
          <w:szCs w:val="24"/>
        </w:rPr>
        <w:tab/>
        <w:t>Art. 8.5.1. (1)</w:t>
      </w:r>
      <w:r>
        <w:rPr>
          <w:sz w:val="24"/>
          <w:szCs w:val="24"/>
        </w:rPr>
        <w:t xml:space="preserve"> Scările supraterane închise care asigură evacuarea utilizatorilor şi nu au ferestre directe în exterior, se prevăd cu sistem de evacuare a fumului în caz de incendiu, prin tiraj natural-organizat sau se pun în suprapresiune.</w:t>
      </w:r>
    </w:p>
    <w:p w14:paraId="18E64874" w14:textId="77777777" w:rsidR="001C08A5" w:rsidRDefault="00000000">
      <w:pPr>
        <w:ind w:firstLine="720"/>
        <w:jc w:val="both"/>
        <w:rPr>
          <w:sz w:val="24"/>
          <w:szCs w:val="24"/>
        </w:rPr>
      </w:pPr>
      <w:r>
        <w:rPr>
          <w:b/>
          <w:sz w:val="24"/>
          <w:szCs w:val="24"/>
        </w:rPr>
        <w:t>(2)</w:t>
      </w:r>
      <w:r>
        <w:rPr>
          <w:sz w:val="24"/>
          <w:szCs w:val="24"/>
        </w:rPr>
        <w:t xml:space="preserve"> Evacuarea fumului şi gazelor fierbinţi prin tiraj natural-organizat a caselor de scări supraterane închise, se realizează prin deschiderea automată în caz de incendiu a dispozitivului de evacuare a fumului (amplasat în perete la ultimul nivel al casei scării sau în acoperişul acesteia) şi a gurii de admisie a aerului prevăzută la partea ei inferioară (la nivelul căii de acces din exterior). Dispozitivele cu deschidere automată vor avea şi acţionări manuale (</w:t>
      </w:r>
      <w:r>
        <w:rPr>
          <w:b/>
          <w:bCs/>
          <w:i/>
          <w:iCs/>
          <w:sz w:val="24"/>
          <w:szCs w:val="24"/>
        </w:rPr>
        <w:fldChar w:fldCharType="begin"/>
      </w:r>
      <w:r>
        <w:rPr>
          <w:b/>
          <w:bCs/>
          <w:i/>
          <w:iCs/>
          <w:sz w:val="24"/>
          <w:szCs w:val="24"/>
        </w:rPr>
        <w:instrText xml:space="preserve"> REF _Ref29344 \h </w:instrText>
      </w:r>
      <w:r>
        <w:rPr>
          <w:b/>
          <w:bCs/>
          <w:i/>
          <w:iCs/>
          <w:sz w:val="24"/>
          <w:szCs w:val="24"/>
        </w:rPr>
      </w:r>
      <w:r>
        <w:rPr>
          <w:b/>
          <w:bCs/>
          <w:i/>
          <w:iCs/>
          <w:sz w:val="24"/>
          <w:szCs w:val="24"/>
        </w:rPr>
        <w:fldChar w:fldCharType="separate"/>
      </w:r>
      <w:r>
        <w:t>Figura 81</w:t>
      </w:r>
      <w:r>
        <w:rPr>
          <w:b/>
          <w:bCs/>
          <w:i/>
          <w:iCs/>
          <w:sz w:val="24"/>
          <w:szCs w:val="24"/>
        </w:rPr>
        <w:fldChar w:fldCharType="end"/>
      </w:r>
      <w:r>
        <w:rPr>
          <w:sz w:val="24"/>
          <w:szCs w:val="24"/>
        </w:rPr>
        <w:t>).</w:t>
      </w:r>
    </w:p>
    <w:p w14:paraId="55765285" w14:textId="77777777" w:rsidR="001C08A5" w:rsidRDefault="00000000">
      <w:pPr>
        <w:jc w:val="center"/>
        <w:rPr>
          <w:lang w:eastAsia="ro-RO"/>
        </w:rPr>
      </w:pPr>
      <w:r>
        <w:rPr>
          <w:noProof/>
          <w:lang w:eastAsia="ro-RO"/>
        </w:rPr>
        <w:lastRenderedPageBreak/>
        <w:drawing>
          <wp:inline distT="0" distB="0" distL="0" distR="0" wp14:anchorId="7E4FB091" wp14:editId="5235A57C">
            <wp:extent cx="4935220" cy="3646805"/>
            <wp:effectExtent l="0" t="0" r="17780" b="10795"/>
            <wp:docPr id="1157" name="Picture 3"/>
            <wp:cNvGraphicFramePr/>
            <a:graphic xmlns:a="http://schemas.openxmlformats.org/drawingml/2006/main">
              <a:graphicData uri="http://schemas.openxmlformats.org/drawingml/2006/picture">
                <pic:pic xmlns:pic="http://schemas.openxmlformats.org/drawingml/2006/picture">
                  <pic:nvPicPr>
                    <pic:cNvPr id="1157" name="Picture 3"/>
                    <pic:cNvPicPr/>
                  </pic:nvPicPr>
                  <pic:blipFill>
                    <a:blip r:embed="rId222" cstate="print"/>
                    <a:srcRect l="17544" t="2097" r="17090"/>
                    <a:stretch>
                      <a:fillRect/>
                    </a:stretch>
                  </pic:blipFill>
                  <pic:spPr>
                    <a:xfrm>
                      <a:off x="0" y="0"/>
                      <a:ext cx="4935220" cy="3646805"/>
                    </a:xfrm>
                    <a:prstGeom prst="rect">
                      <a:avLst/>
                    </a:prstGeom>
                    <a:ln>
                      <a:noFill/>
                    </a:ln>
                  </pic:spPr>
                </pic:pic>
              </a:graphicData>
            </a:graphic>
          </wp:inline>
        </w:drawing>
      </w:r>
    </w:p>
    <w:p w14:paraId="3748A3FD" w14:textId="77777777" w:rsidR="001C08A5" w:rsidRDefault="00000000">
      <w:pPr>
        <w:pStyle w:val="Caption"/>
        <w:jc w:val="center"/>
        <w:rPr>
          <w:rFonts w:cs="Times New Roman"/>
        </w:rPr>
      </w:pPr>
      <w:bookmarkStart w:id="5681" w:name="_Ref29344"/>
      <w:bookmarkStart w:id="5682" w:name="_Toc15108"/>
      <w:bookmarkStart w:id="5683" w:name="_Toc21321"/>
      <w:bookmarkStart w:id="5684" w:name="_Toc27957"/>
      <w:bookmarkStart w:id="5685" w:name="_Toc17139"/>
      <w:bookmarkStart w:id="5686" w:name="_Toc8143"/>
      <w:bookmarkStart w:id="5687" w:name="_Toc162360305"/>
      <w:bookmarkStart w:id="5688" w:name="_Toc1018"/>
      <w:r>
        <w:t xml:space="preserve">Figura </w:t>
      </w:r>
      <w:r>
        <w:fldChar w:fldCharType="begin"/>
      </w:r>
      <w:r>
        <w:instrText xml:space="preserve"> SEQ Figura \* ARABIC </w:instrText>
      </w:r>
      <w:r>
        <w:fldChar w:fldCharType="separate"/>
      </w:r>
      <w:r>
        <w:t>81</w:t>
      </w:r>
      <w:r>
        <w:fldChar w:fldCharType="end"/>
      </w:r>
      <w:bookmarkStart w:id="5689" w:name="_Toc17689"/>
      <w:bookmarkStart w:id="5690" w:name="_Toc5767"/>
      <w:bookmarkStart w:id="5691" w:name="_Toc3296"/>
      <w:bookmarkStart w:id="5692" w:name="_Toc28462"/>
      <w:bookmarkStart w:id="5693" w:name="_Toc1024"/>
      <w:bookmarkStart w:id="5694" w:name="_Toc31694"/>
      <w:bookmarkStart w:id="5695" w:name="_Toc26514"/>
      <w:bookmarkStart w:id="5696" w:name="_Toc7256"/>
      <w:bookmarkStart w:id="5697" w:name="_Toc7314"/>
      <w:bookmarkStart w:id="5698" w:name="_Toc15042"/>
      <w:bookmarkStart w:id="5699" w:name="_Toc29743"/>
      <w:bookmarkEnd w:id="5681"/>
      <w:r>
        <w:t xml:space="preserve"> - </w:t>
      </w:r>
      <w:r>
        <w:rPr>
          <w:rFonts w:cs="Times New Roman"/>
          <w:bCs/>
        </w:rPr>
        <w:t xml:space="preserve">Evacuarea fumului din casele de scări închise supraterane asigurată prin tiraj natural </w:t>
      </w:r>
      <w:r>
        <w:rPr>
          <w:rFonts w:cs="Times New Roman"/>
          <w:b w:val="0"/>
        </w:rPr>
        <w:t>(principiul nu se aplică la casele de scări închise prevăzute cu suprapresiune)</w:t>
      </w:r>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p>
    <w:p w14:paraId="78C7FB6C" w14:textId="77777777" w:rsidR="001C08A5" w:rsidRDefault="001C08A5">
      <w:pPr>
        <w:ind w:firstLine="720"/>
        <w:jc w:val="both"/>
        <w:rPr>
          <w:b/>
          <w:sz w:val="24"/>
          <w:szCs w:val="24"/>
        </w:rPr>
      </w:pPr>
    </w:p>
    <w:p w14:paraId="2B054842" w14:textId="77777777" w:rsidR="001C08A5" w:rsidRDefault="00000000">
      <w:pPr>
        <w:ind w:firstLine="720"/>
        <w:jc w:val="both"/>
        <w:rPr>
          <w:sz w:val="24"/>
          <w:szCs w:val="24"/>
        </w:rPr>
      </w:pPr>
      <w:r>
        <w:rPr>
          <w:b/>
          <w:sz w:val="24"/>
          <w:szCs w:val="24"/>
        </w:rPr>
        <w:t>Art. 8.5.2. (1)</w:t>
      </w:r>
      <w:r>
        <w:rPr>
          <w:sz w:val="24"/>
          <w:szCs w:val="24"/>
        </w:rPr>
        <w:t xml:space="preserve"> Aria liberă aerodinamica a dispozitivului de evacuare a fumului şi gazelor fierbinţi prin tiraj natural - organizat, trebuie să reprezinte minimum </w:t>
      </w:r>
      <w:r>
        <w:rPr>
          <w:b/>
          <w:sz w:val="24"/>
          <w:szCs w:val="24"/>
        </w:rPr>
        <w:t>5%</w:t>
      </w:r>
      <w:r>
        <w:rPr>
          <w:sz w:val="24"/>
          <w:szCs w:val="24"/>
        </w:rPr>
        <w:t xml:space="preserve"> din aria cea mai mare a unui nivel al casei de scări supraterane închise, dar cel puţin </w:t>
      </w:r>
      <w:r>
        <w:rPr>
          <w:b/>
          <w:sz w:val="24"/>
          <w:szCs w:val="24"/>
        </w:rPr>
        <w:t>1</w:t>
      </w:r>
      <w:r>
        <w:rPr>
          <w:b/>
          <w:bCs/>
          <w:sz w:val="24"/>
          <w:szCs w:val="24"/>
        </w:rPr>
        <w:t xml:space="preserve"> m</w:t>
      </w:r>
      <w:r>
        <w:rPr>
          <w:b/>
          <w:bCs/>
          <w:sz w:val="24"/>
          <w:szCs w:val="24"/>
          <w:vertAlign w:val="superscript"/>
        </w:rPr>
        <w:t>2</w:t>
      </w:r>
      <w:r>
        <w:rPr>
          <w:sz w:val="24"/>
          <w:szCs w:val="24"/>
        </w:rPr>
        <w:t xml:space="preserve">. Aria liberă a dispozitivului pentru introducerea aerului proaspat prin tiraj natural - organizat, trebuie să reprezinte minimum </w:t>
      </w:r>
      <w:r>
        <w:rPr>
          <w:b/>
          <w:sz w:val="24"/>
          <w:szCs w:val="24"/>
        </w:rPr>
        <w:t>75%</w:t>
      </w:r>
      <w:r>
        <w:rPr>
          <w:sz w:val="24"/>
          <w:szCs w:val="24"/>
        </w:rPr>
        <w:t xml:space="preserve"> din aria libera utila a trapei de evacuare a fumului. Deschiderea dispozitivului de evacuare a fumului (trapei) şi a gurii de admisie a aerului trebuie să poată fi comandată automat (prin centrală de detectare semnalizare și alarmare la incendiu sau alte dispozitive dacă nu există instalație de detectare semnalizare și alarmare la incendiu) și manual de la nivelul căii de acces din exterior la scară, precum şi de la serviciul privat de pompieri (atunci când acesta se asigură). In situatia in care admisia aerului se realizeaza prin intermediul ușii de acces în casa de scară direct din exterior, deschiderea acesteia se va realiza automat și manual. </w:t>
      </w:r>
    </w:p>
    <w:p w14:paraId="04B1E6B8" w14:textId="77777777" w:rsidR="001C08A5" w:rsidRDefault="001C08A5">
      <w:pPr>
        <w:ind w:firstLine="720"/>
        <w:jc w:val="both"/>
        <w:rPr>
          <w:sz w:val="24"/>
          <w:szCs w:val="24"/>
        </w:rPr>
      </w:pPr>
    </w:p>
    <w:p w14:paraId="37ECD30C" w14:textId="77777777" w:rsidR="001C08A5" w:rsidRDefault="00000000">
      <w:pPr>
        <w:jc w:val="both"/>
        <w:rPr>
          <w:sz w:val="24"/>
          <w:szCs w:val="24"/>
        </w:rPr>
      </w:pPr>
      <w:r>
        <w:rPr>
          <w:sz w:val="24"/>
          <w:szCs w:val="24"/>
        </w:rPr>
        <w:tab/>
      </w:r>
      <w:r>
        <w:rPr>
          <w:b/>
          <w:sz w:val="24"/>
          <w:szCs w:val="24"/>
        </w:rPr>
        <w:t xml:space="preserve">Art. 8.5.3. (1) </w:t>
      </w:r>
      <w:r>
        <w:rPr>
          <w:sz w:val="24"/>
          <w:szCs w:val="24"/>
        </w:rPr>
        <w:t>Admisia aerului în casele de scări supraterane închise poate fi asigurată natural prin guri de admisie sau mecanic (cu ventilator de admisie a aerului).  În situatia introducerii mecanice a aerului prin presurizare va avea acționarea va fi automată prin centrală de detectare semnalizare si alarmare la incendiu sau alte dispozitive dacă nu exista instalație de detectare semnalizare si alarmare la incendiu și vor fi prevazute dispozitive de compensare a presiunii prin grile gravitaționale (în anvelopa clădirii, conform standardului de profil) sau prin traductoare de presiune.</w:t>
      </w:r>
    </w:p>
    <w:p w14:paraId="136941AA" w14:textId="77777777" w:rsidR="001C08A5" w:rsidRDefault="00000000">
      <w:pPr>
        <w:ind w:firstLine="720"/>
        <w:jc w:val="both"/>
        <w:rPr>
          <w:sz w:val="24"/>
          <w:szCs w:val="24"/>
        </w:rPr>
      </w:pPr>
      <w:r>
        <w:rPr>
          <w:b/>
          <w:sz w:val="24"/>
          <w:szCs w:val="24"/>
        </w:rPr>
        <w:t xml:space="preserve">(2) </w:t>
      </w:r>
      <w:r>
        <w:rPr>
          <w:sz w:val="24"/>
          <w:szCs w:val="24"/>
        </w:rPr>
        <w:t xml:space="preserve">Evacuarea fumului şi gazelor fierbinţi în caz de incendiu din casele de scări supraterane închise, nu este admisă prin </w:t>
      </w:r>
      <w:r>
        <w:rPr>
          <w:iCs/>
          <w:sz w:val="24"/>
          <w:szCs w:val="24"/>
        </w:rPr>
        <w:t>ventilare mecanică</w:t>
      </w:r>
      <w:r>
        <w:rPr>
          <w:sz w:val="24"/>
          <w:szCs w:val="24"/>
        </w:rPr>
        <w:t>.</w:t>
      </w:r>
    </w:p>
    <w:p w14:paraId="4808C31D" w14:textId="77777777" w:rsidR="001C08A5" w:rsidRDefault="00000000">
      <w:pPr>
        <w:jc w:val="both"/>
        <w:rPr>
          <w:sz w:val="24"/>
          <w:szCs w:val="24"/>
        </w:rPr>
      </w:pPr>
      <w:r>
        <w:rPr>
          <w:sz w:val="24"/>
          <w:szCs w:val="24"/>
        </w:rPr>
        <w:tab/>
      </w:r>
      <w:r>
        <w:rPr>
          <w:b/>
          <w:sz w:val="24"/>
          <w:szCs w:val="24"/>
        </w:rPr>
        <w:t xml:space="preserve">(3) </w:t>
      </w:r>
      <w:r>
        <w:rPr>
          <w:sz w:val="24"/>
          <w:szCs w:val="24"/>
        </w:rPr>
        <w:t>Evacuarea fumului şi gazelor fierbinţi în caz de incendiu din casele de scări subterane închise prin care se asigură evacuarea utilizatorilor, poate fi realizată prin tiraj natural-organizat, coform prevederilor normate.</w:t>
      </w:r>
    </w:p>
    <w:p w14:paraId="13321DC2" w14:textId="77777777" w:rsidR="001C08A5" w:rsidRDefault="001C08A5">
      <w:pPr>
        <w:jc w:val="both"/>
        <w:rPr>
          <w:b/>
          <w:sz w:val="24"/>
          <w:szCs w:val="24"/>
        </w:rPr>
      </w:pPr>
    </w:p>
    <w:p w14:paraId="04AC5660" w14:textId="77777777" w:rsidR="001C08A5" w:rsidRDefault="00000000">
      <w:pPr>
        <w:ind w:firstLine="720"/>
        <w:jc w:val="both"/>
        <w:rPr>
          <w:b/>
          <w:sz w:val="24"/>
          <w:szCs w:val="24"/>
        </w:rPr>
      </w:pPr>
      <w:r>
        <w:rPr>
          <w:b/>
          <w:sz w:val="24"/>
          <w:szCs w:val="24"/>
        </w:rPr>
        <w:t>Art. 8.5.4</w:t>
      </w:r>
      <w:r>
        <w:rPr>
          <w:rFonts w:eastAsia="ヒラギノ角ゴ Pro W3"/>
          <w:b/>
          <w:sz w:val="24"/>
          <w:szCs w:val="24"/>
        </w:rPr>
        <w:t xml:space="preserve">. </w:t>
      </w:r>
      <w:r>
        <w:rPr>
          <w:b/>
          <w:sz w:val="24"/>
          <w:szCs w:val="24"/>
        </w:rPr>
        <w:t xml:space="preserve">(1) </w:t>
      </w:r>
      <w:r>
        <w:rPr>
          <w:sz w:val="24"/>
          <w:szCs w:val="24"/>
        </w:rPr>
        <w:t>Evacuarea fumului şi gazelor fierbinţi în caz de incendiu prin tiraj natural-organizat a circulaţiilor comune orizontale închise din construcţii, va respecta următoarele condiţii:</w:t>
      </w:r>
    </w:p>
    <w:p w14:paraId="627A4B82" w14:textId="77777777" w:rsidR="001C08A5" w:rsidRDefault="00000000">
      <w:pPr>
        <w:ind w:left="1276"/>
        <w:jc w:val="both"/>
        <w:rPr>
          <w:b/>
          <w:sz w:val="24"/>
          <w:szCs w:val="24"/>
        </w:rPr>
      </w:pPr>
      <w:r>
        <w:rPr>
          <w:b/>
          <w:sz w:val="24"/>
          <w:szCs w:val="24"/>
        </w:rPr>
        <w:t>a)</w:t>
      </w:r>
      <w:r>
        <w:rPr>
          <w:sz w:val="24"/>
          <w:szCs w:val="24"/>
        </w:rPr>
        <w:t xml:space="preserve"> gurile de admisie a aerului şi gurile de evacuare a fumului se dispun alternat, la distanţe orizontale măsurate în axele circulaţiilor respective, care să  nu depăşescă </w:t>
      </w:r>
      <w:r>
        <w:rPr>
          <w:b/>
          <w:sz w:val="24"/>
          <w:szCs w:val="24"/>
        </w:rPr>
        <w:t>10</w:t>
      </w:r>
      <w:r>
        <w:rPr>
          <w:b/>
          <w:bCs/>
          <w:sz w:val="24"/>
          <w:szCs w:val="24"/>
        </w:rPr>
        <w:t>m</w:t>
      </w:r>
      <w:r>
        <w:rPr>
          <w:sz w:val="24"/>
          <w:szCs w:val="24"/>
        </w:rPr>
        <w:t xml:space="preserve"> în linie dreaptă sau </w:t>
      </w:r>
      <w:r>
        <w:rPr>
          <w:b/>
          <w:sz w:val="24"/>
          <w:szCs w:val="24"/>
        </w:rPr>
        <w:t>7 m</w:t>
      </w:r>
      <w:r>
        <w:rPr>
          <w:sz w:val="24"/>
          <w:szCs w:val="24"/>
        </w:rPr>
        <w:t xml:space="preserve"> în linie frântă (</w:t>
      </w:r>
      <w:r>
        <w:rPr>
          <w:b/>
          <w:bCs/>
          <w:i/>
          <w:iCs/>
          <w:sz w:val="24"/>
          <w:szCs w:val="24"/>
        </w:rPr>
        <w:fldChar w:fldCharType="begin"/>
      </w:r>
      <w:r>
        <w:rPr>
          <w:b/>
          <w:bCs/>
          <w:i/>
          <w:iCs/>
          <w:sz w:val="24"/>
          <w:szCs w:val="24"/>
        </w:rPr>
        <w:instrText xml:space="preserve"> REF _Ref29422 \h </w:instrText>
      </w:r>
      <w:r>
        <w:rPr>
          <w:b/>
          <w:bCs/>
          <w:i/>
          <w:iCs/>
          <w:sz w:val="24"/>
          <w:szCs w:val="24"/>
        </w:rPr>
      </w:r>
      <w:r>
        <w:rPr>
          <w:b/>
          <w:bCs/>
          <w:i/>
          <w:iCs/>
          <w:sz w:val="24"/>
          <w:szCs w:val="24"/>
        </w:rPr>
        <w:fldChar w:fldCharType="separate"/>
      </w:r>
      <w:r>
        <w:t>Figura 82</w:t>
      </w:r>
      <w:r>
        <w:rPr>
          <w:b/>
          <w:bCs/>
          <w:i/>
          <w:iCs/>
          <w:sz w:val="24"/>
          <w:szCs w:val="24"/>
        </w:rPr>
        <w:fldChar w:fldCharType="end"/>
      </w:r>
      <w:r>
        <w:rPr>
          <w:sz w:val="24"/>
          <w:szCs w:val="24"/>
        </w:rPr>
        <w:t>);</w:t>
      </w:r>
    </w:p>
    <w:p w14:paraId="08AFA1A2" w14:textId="77777777" w:rsidR="001C08A5" w:rsidRDefault="00000000">
      <w:pPr>
        <w:ind w:left="1276"/>
        <w:jc w:val="both"/>
        <w:rPr>
          <w:b/>
          <w:sz w:val="24"/>
          <w:szCs w:val="24"/>
        </w:rPr>
      </w:pPr>
      <w:r>
        <w:rPr>
          <w:b/>
          <w:sz w:val="24"/>
          <w:szCs w:val="24"/>
        </w:rPr>
        <w:lastRenderedPageBreak/>
        <w:t>b)</w:t>
      </w:r>
      <w:r>
        <w:rPr>
          <w:sz w:val="24"/>
          <w:szCs w:val="24"/>
        </w:rPr>
        <w:t xml:space="preserve"> ușile încăperilor accesibile utilizatorilor, situate pe o cale de evacuare care nu se află între o gură de introducere aer și o gură de evacuare fum, este recomandabil să se găsească la cel mult</w:t>
      </w:r>
      <w:r>
        <w:rPr>
          <w:b/>
          <w:sz w:val="24"/>
          <w:szCs w:val="24"/>
        </w:rPr>
        <w:t>5 m</w:t>
      </w:r>
      <w:r>
        <w:rPr>
          <w:sz w:val="24"/>
          <w:szCs w:val="24"/>
        </w:rPr>
        <w:t xml:space="preserve"> de oricare din ele;</w:t>
      </w:r>
    </w:p>
    <w:p w14:paraId="54D86A70" w14:textId="77777777" w:rsidR="001C08A5" w:rsidRDefault="00000000">
      <w:pPr>
        <w:ind w:left="1276"/>
        <w:jc w:val="both"/>
        <w:rPr>
          <w:sz w:val="24"/>
          <w:szCs w:val="24"/>
        </w:rPr>
      </w:pPr>
      <w:r>
        <w:rPr>
          <w:b/>
          <w:sz w:val="24"/>
          <w:szCs w:val="24"/>
        </w:rPr>
        <w:t>c)</w:t>
      </w:r>
      <w:r>
        <w:rPr>
          <w:sz w:val="24"/>
          <w:szCs w:val="24"/>
        </w:rPr>
        <w:t xml:space="preserve"> gurile de introducere și cele de evacuare a fumului vor avea arii de minimum </w:t>
      </w:r>
      <w:r>
        <w:rPr>
          <w:b/>
          <w:sz w:val="24"/>
          <w:szCs w:val="24"/>
        </w:rPr>
        <w:t>0,1 m</w:t>
      </w:r>
      <w:r>
        <w:rPr>
          <w:b/>
          <w:sz w:val="24"/>
          <w:szCs w:val="24"/>
          <w:vertAlign w:val="superscript"/>
        </w:rPr>
        <w:t>2</w:t>
      </w:r>
      <w:r>
        <w:rPr>
          <w:sz w:val="24"/>
          <w:szCs w:val="24"/>
        </w:rPr>
        <w:t>pentru fiecare unitate de trecere (flux) de evacuare a circulaţiei comune orizontale din zona care se prevede cu sisteme de evacuare a fumului și a gazelor fierbinti.</w:t>
      </w:r>
    </w:p>
    <w:p w14:paraId="0D78396F" w14:textId="77777777" w:rsidR="001C08A5" w:rsidRDefault="00000000">
      <w:pPr>
        <w:jc w:val="both"/>
        <w:rPr>
          <w:sz w:val="24"/>
          <w:szCs w:val="24"/>
          <w:lang w:eastAsia="ro-RO"/>
        </w:rPr>
      </w:pPr>
      <w:r>
        <w:rPr>
          <w:noProof/>
          <w:lang w:eastAsia="ro-RO"/>
        </w:rPr>
        <w:drawing>
          <wp:inline distT="0" distB="0" distL="114300" distR="114300" wp14:anchorId="6F1A54CB" wp14:editId="6033EC46">
            <wp:extent cx="6080125" cy="1097915"/>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pic:cNvPicPr>
                      <a:picLocks noChangeAspect="1"/>
                    </pic:cNvPicPr>
                  </pic:nvPicPr>
                  <pic:blipFill>
                    <a:blip r:embed="rId223"/>
                    <a:srcRect l="12291" t="8238" r="7159" b="71530"/>
                    <a:stretch>
                      <a:fillRect/>
                    </a:stretch>
                  </pic:blipFill>
                  <pic:spPr>
                    <a:xfrm>
                      <a:off x="0" y="0"/>
                      <a:ext cx="6080125" cy="1097915"/>
                    </a:xfrm>
                    <a:prstGeom prst="rect">
                      <a:avLst/>
                    </a:prstGeom>
                    <a:noFill/>
                    <a:ln>
                      <a:noFill/>
                    </a:ln>
                  </pic:spPr>
                </pic:pic>
              </a:graphicData>
            </a:graphic>
          </wp:inline>
        </w:drawing>
      </w:r>
    </w:p>
    <w:p w14:paraId="58401CA2" w14:textId="77777777" w:rsidR="001C08A5" w:rsidRDefault="00000000">
      <w:pPr>
        <w:jc w:val="both"/>
        <w:rPr>
          <w:sz w:val="24"/>
          <w:szCs w:val="24"/>
          <w:lang w:eastAsia="ro-RO"/>
        </w:rPr>
      </w:pPr>
      <w:r>
        <w:rPr>
          <w:noProof/>
          <w:lang w:eastAsia="ro-RO"/>
        </w:rPr>
        <w:drawing>
          <wp:inline distT="0" distB="0" distL="114300" distR="114300" wp14:anchorId="42FC3570" wp14:editId="609AD4C4">
            <wp:extent cx="6080125" cy="952500"/>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pic:cNvPicPr>
                      <a:picLocks noChangeAspect="1"/>
                    </pic:cNvPicPr>
                  </pic:nvPicPr>
                  <pic:blipFill>
                    <a:blip r:embed="rId223"/>
                    <a:srcRect l="12291" t="28423" r="7159" b="54025"/>
                    <a:stretch>
                      <a:fillRect/>
                    </a:stretch>
                  </pic:blipFill>
                  <pic:spPr>
                    <a:xfrm>
                      <a:off x="0" y="0"/>
                      <a:ext cx="6080125" cy="952500"/>
                    </a:xfrm>
                    <a:prstGeom prst="rect">
                      <a:avLst/>
                    </a:prstGeom>
                    <a:noFill/>
                    <a:ln>
                      <a:noFill/>
                    </a:ln>
                  </pic:spPr>
                </pic:pic>
              </a:graphicData>
            </a:graphic>
          </wp:inline>
        </w:drawing>
      </w:r>
      <w:r>
        <w:rPr>
          <w:noProof/>
          <w:lang w:eastAsia="ro-RO"/>
        </w:rPr>
        <w:drawing>
          <wp:inline distT="0" distB="0" distL="114300" distR="114300" wp14:anchorId="2EE13D32" wp14:editId="11F5606A">
            <wp:extent cx="6096000" cy="1240790"/>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pic:cNvPicPr>
                      <a:picLocks noChangeAspect="1"/>
                    </pic:cNvPicPr>
                  </pic:nvPicPr>
                  <pic:blipFill>
                    <a:blip r:embed="rId224"/>
                    <a:srcRect l="12080" t="59291" r="7159" b="17844"/>
                    <a:stretch>
                      <a:fillRect/>
                    </a:stretch>
                  </pic:blipFill>
                  <pic:spPr>
                    <a:xfrm>
                      <a:off x="0" y="0"/>
                      <a:ext cx="6096000" cy="1240790"/>
                    </a:xfrm>
                    <a:prstGeom prst="rect">
                      <a:avLst/>
                    </a:prstGeom>
                    <a:noFill/>
                    <a:ln>
                      <a:noFill/>
                    </a:ln>
                  </pic:spPr>
                </pic:pic>
              </a:graphicData>
            </a:graphic>
          </wp:inline>
        </w:drawing>
      </w:r>
    </w:p>
    <w:p w14:paraId="2E974D5E" w14:textId="77777777" w:rsidR="001C08A5" w:rsidRDefault="00000000">
      <w:pPr>
        <w:pStyle w:val="Caption"/>
        <w:jc w:val="center"/>
        <w:rPr>
          <w:rFonts w:cs="Times New Roman"/>
          <w:bCs/>
        </w:rPr>
      </w:pPr>
      <w:bookmarkStart w:id="5700" w:name="_Ref29422"/>
      <w:bookmarkStart w:id="5701" w:name="_Toc29467"/>
      <w:bookmarkStart w:id="5702" w:name="_Toc162360306"/>
      <w:bookmarkStart w:id="5703" w:name="_Toc24359"/>
      <w:bookmarkStart w:id="5704" w:name="_Toc7102"/>
      <w:bookmarkStart w:id="5705" w:name="_Toc32326"/>
      <w:bookmarkStart w:id="5706" w:name="_Toc17438"/>
      <w:bookmarkStart w:id="5707" w:name="_Toc28321"/>
      <w:r>
        <w:t xml:space="preserve">Figura </w:t>
      </w:r>
      <w:r>
        <w:fldChar w:fldCharType="begin"/>
      </w:r>
      <w:r>
        <w:instrText xml:space="preserve"> SEQ Figura \* ARABIC </w:instrText>
      </w:r>
      <w:r>
        <w:fldChar w:fldCharType="separate"/>
      </w:r>
      <w:r>
        <w:t>82</w:t>
      </w:r>
      <w:r>
        <w:fldChar w:fldCharType="end"/>
      </w:r>
      <w:bookmarkStart w:id="5708" w:name="_Toc17897"/>
      <w:bookmarkStart w:id="5709" w:name="_Toc9518"/>
      <w:bookmarkStart w:id="5710" w:name="_Toc17620"/>
      <w:bookmarkStart w:id="5711" w:name="_Toc20234"/>
      <w:bookmarkStart w:id="5712" w:name="_Toc19213"/>
      <w:bookmarkStart w:id="5713" w:name="_Toc9629"/>
      <w:bookmarkStart w:id="5714" w:name="_Toc25559"/>
      <w:bookmarkStart w:id="5715" w:name="_Toc2244"/>
      <w:bookmarkStart w:id="5716" w:name="_Toc5125"/>
      <w:bookmarkStart w:id="5717" w:name="_Toc9702"/>
      <w:bookmarkStart w:id="5718" w:name="_Toc11963"/>
      <w:bookmarkEnd w:id="5700"/>
      <w:r>
        <w:t xml:space="preserve"> - </w:t>
      </w:r>
      <w:r>
        <w:rPr>
          <w:rFonts w:cs="Times New Roman"/>
          <w:bCs/>
        </w:rPr>
        <w:t>Evacuarea fumului şi gazelor fierbinţi în caz de incendiu din circulaţiile comune orizontale, prin tiraj natural-organizat</w:t>
      </w:r>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p>
    <w:p w14:paraId="7D7FD2CE" w14:textId="77777777" w:rsidR="001C08A5" w:rsidRDefault="00000000">
      <w:pPr>
        <w:ind w:firstLine="720"/>
        <w:jc w:val="both"/>
        <w:rPr>
          <w:sz w:val="24"/>
          <w:szCs w:val="24"/>
        </w:rPr>
      </w:pPr>
      <w:r>
        <w:rPr>
          <w:b/>
          <w:sz w:val="24"/>
          <w:szCs w:val="24"/>
        </w:rPr>
        <w:t xml:space="preserve">(2) </w:t>
      </w:r>
      <w:r>
        <w:rPr>
          <w:sz w:val="24"/>
          <w:szCs w:val="24"/>
        </w:rPr>
        <w:t>Golurile din pereţii de închidere perimetrală ai construcţiei pot constitui guri de introducere a aerului sau de evacuare a fumului, dacă respectă condiţiile de dispunere, acţionare şi dimensionare stabilite în normativ și în reglementările tehnice de specialitate</w:t>
      </w:r>
    </w:p>
    <w:p w14:paraId="2BC729DD" w14:textId="77777777" w:rsidR="001C08A5" w:rsidRDefault="001C08A5">
      <w:pPr>
        <w:ind w:firstLine="720"/>
        <w:jc w:val="both"/>
        <w:rPr>
          <w:sz w:val="24"/>
          <w:szCs w:val="24"/>
        </w:rPr>
      </w:pPr>
    </w:p>
    <w:p w14:paraId="129DD509" w14:textId="77777777" w:rsidR="001C08A5" w:rsidRDefault="00000000">
      <w:pPr>
        <w:ind w:firstLine="720"/>
        <w:jc w:val="both"/>
        <w:rPr>
          <w:sz w:val="24"/>
          <w:szCs w:val="24"/>
        </w:rPr>
      </w:pPr>
      <w:r>
        <w:rPr>
          <w:b/>
          <w:sz w:val="24"/>
          <w:szCs w:val="24"/>
        </w:rPr>
        <w:t>Art. 8.5.5</w:t>
      </w:r>
      <w:r>
        <w:rPr>
          <w:rFonts w:eastAsia="ヒラギノ角ゴ Pro W3"/>
          <w:b/>
          <w:sz w:val="24"/>
          <w:szCs w:val="24"/>
        </w:rPr>
        <w:t xml:space="preserve">. </w:t>
      </w:r>
      <w:r>
        <w:rPr>
          <w:sz w:val="24"/>
          <w:szCs w:val="24"/>
        </w:rPr>
        <w:t xml:space="preserve">Evacuarea fumului şi gazelor fierbinţi în caz de incendiu prin </w:t>
      </w:r>
      <w:r>
        <w:rPr>
          <w:iCs/>
          <w:sz w:val="24"/>
          <w:szCs w:val="24"/>
        </w:rPr>
        <w:t>ventilare mecanică</w:t>
      </w:r>
      <w:r>
        <w:rPr>
          <w:sz w:val="24"/>
          <w:szCs w:val="24"/>
        </w:rPr>
        <w:t xml:space="preserve"> a circulaţiilor comune orizontale închise din construcţii, va respecta următoarele condiţii (</w:t>
      </w:r>
      <w:r>
        <w:rPr>
          <w:b/>
          <w:bCs/>
          <w:i/>
          <w:iCs/>
          <w:sz w:val="24"/>
          <w:szCs w:val="24"/>
        </w:rPr>
        <w:fldChar w:fldCharType="begin"/>
      </w:r>
      <w:r>
        <w:rPr>
          <w:b/>
          <w:bCs/>
          <w:i/>
          <w:iCs/>
          <w:sz w:val="24"/>
          <w:szCs w:val="24"/>
        </w:rPr>
        <w:instrText xml:space="preserve"> REF _Ref29475 \h </w:instrText>
      </w:r>
      <w:r>
        <w:rPr>
          <w:b/>
          <w:bCs/>
          <w:i/>
          <w:iCs/>
          <w:sz w:val="24"/>
          <w:szCs w:val="24"/>
        </w:rPr>
      </w:r>
      <w:r>
        <w:rPr>
          <w:b/>
          <w:bCs/>
          <w:i/>
          <w:iCs/>
          <w:sz w:val="24"/>
          <w:szCs w:val="24"/>
        </w:rPr>
        <w:fldChar w:fldCharType="separate"/>
      </w:r>
      <w:r>
        <w:t>Figura 83</w:t>
      </w:r>
      <w:r>
        <w:rPr>
          <w:b/>
          <w:bCs/>
          <w:i/>
          <w:iCs/>
          <w:sz w:val="24"/>
          <w:szCs w:val="24"/>
        </w:rPr>
        <w:fldChar w:fldCharType="end"/>
      </w:r>
      <w:r>
        <w:rPr>
          <w:sz w:val="24"/>
          <w:szCs w:val="24"/>
        </w:rPr>
        <w:t>):</w:t>
      </w:r>
    </w:p>
    <w:p w14:paraId="4C027443" w14:textId="77777777" w:rsidR="001C08A5" w:rsidRDefault="00000000">
      <w:pPr>
        <w:ind w:left="993"/>
        <w:jc w:val="both"/>
        <w:rPr>
          <w:sz w:val="24"/>
          <w:szCs w:val="24"/>
        </w:rPr>
      </w:pPr>
      <w:r>
        <w:rPr>
          <w:b/>
          <w:sz w:val="24"/>
          <w:szCs w:val="24"/>
        </w:rPr>
        <w:t>a)</w:t>
      </w:r>
      <w:r>
        <w:rPr>
          <w:sz w:val="24"/>
          <w:szCs w:val="24"/>
        </w:rPr>
        <w:t xml:space="preserve"> gurile de admisie a aerului şi gurile de evacuare a fumului se dispun alternat, la distanţe orizontale măsurate în axele circulaţiilor respective, care să nu depăşească </w:t>
      </w:r>
      <w:r>
        <w:rPr>
          <w:b/>
          <w:sz w:val="24"/>
          <w:szCs w:val="24"/>
        </w:rPr>
        <w:t>15 m</w:t>
      </w:r>
      <w:r>
        <w:rPr>
          <w:sz w:val="24"/>
          <w:szCs w:val="24"/>
        </w:rPr>
        <w:t xml:space="preserve"> în linie dreaptă și </w:t>
      </w:r>
      <w:r>
        <w:rPr>
          <w:b/>
          <w:sz w:val="24"/>
          <w:szCs w:val="24"/>
        </w:rPr>
        <w:t>10 m</w:t>
      </w:r>
      <w:r>
        <w:rPr>
          <w:sz w:val="24"/>
          <w:szCs w:val="24"/>
        </w:rPr>
        <w:t xml:space="preserve"> în linie frântă;</w:t>
      </w:r>
    </w:p>
    <w:p w14:paraId="15331ECF" w14:textId="77777777" w:rsidR="001C08A5" w:rsidRDefault="00000000">
      <w:pPr>
        <w:ind w:left="993"/>
        <w:jc w:val="both"/>
        <w:rPr>
          <w:sz w:val="24"/>
          <w:szCs w:val="24"/>
        </w:rPr>
      </w:pPr>
      <w:r>
        <w:rPr>
          <w:b/>
          <w:sz w:val="24"/>
          <w:szCs w:val="24"/>
        </w:rPr>
        <w:t>b)</w:t>
      </w:r>
      <w:r>
        <w:rPr>
          <w:sz w:val="24"/>
          <w:szCs w:val="24"/>
        </w:rPr>
        <w:t xml:space="preserve"> ușile încăperilor accesibile utilizatorilor, situate pe o cale de evacuare care nu se află între o gură de introducere aer și o gură de evacuare fum, este recomandabil să se găsească la cel mult </w:t>
      </w:r>
      <w:r>
        <w:rPr>
          <w:b/>
          <w:bCs/>
          <w:sz w:val="24"/>
          <w:szCs w:val="24"/>
        </w:rPr>
        <w:t>5 m</w:t>
      </w:r>
      <w:r>
        <w:rPr>
          <w:sz w:val="24"/>
          <w:szCs w:val="24"/>
        </w:rPr>
        <w:t xml:space="preserve"> de oricare din ele;</w:t>
      </w:r>
    </w:p>
    <w:p w14:paraId="6531B753" w14:textId="77777777" w:rsidR="001C08A5" w:rsidRDefault="00000000">
      <w:pPr>
        <w:ind w:left="993"/>
        <w:jc w:val="both"/>
        <w:rPr>
          <w:sz w:val="24"/>
          <w:szCs w:val="24"/>
        </w:rPr>
      </w:pPr>
      <w:r>
        <w:rPr>
          <w:b/>
          <w:sz w:val="24"/>
          <w:szCs w:val="24"/>
        </w:rPr>
        <w:t>c)</w:t>
      </w:r>
      <w:r>
        <w:rPr>
          <w:sz w:val="24"/>
          <w:szCs w:val="24"/>
        </w:rPr>
        <w:t xml:space="preserve"> porţiunile de circulaţie comună orizontală cuprinse între o gură de admisie a aerului şi o gură de evacuare a fumului, trebuie să aibă asigurat un debit de extragere (la gură) de minimum </w:t>
      </w:r>
      <w:r>
        <w:rPr>
          <w:b/>
          <w:sz w:val="24"/>
          <w:szCs w:val="24"/>
        </w:rPr>
        <w:t>0,5</w:t>
      </w:r>
      <w:r>
        <w:rPr>
          <w:sz w:val="24"/>
          <w:szCs w:val="24"/>
        </w:rPr>
        <w:t xml:space="preserve"> m</w:t>
      </w:r>
      <w:r>
        <w:rPr>
          <w:sz w:val="24"/>
          <w:szCs w:val="24"/>
          <w:vertAlign w:val="superscript"/>
        </w:rPr>
        <w:t>3</w:t>
      </w:r>
      <w:r>
        <w:rPr>
          <w:sz w:val="24"/>
          <w:szCs w:val="24"/>
        </w:rPr>
        <w:t>/s pentru fiecare unitate de trecere (flux) de evacuare a circulaţiei comune orizontale din zona care se prevede cu sistem de evacuare a fumului şi gazelor fierbinţi.</w:t>
      </w:r>
    </w:p>
    <w:p w14:paraId="3F52D9F9" w14:textId="77777777" w:rsidR="001C08A5" w:rsidRDefault="00000000">
      <w:pPr>
        <w:jc w:val="center"/>
        <w:rPr>
          <w:sz w:val="24"/>
          <w:szCs w:val="24"/>
        </w:rPr>
      </w:pPr>
      <w:r>
        <w:rPr>
          <w:noProof/>
          <w:lang w:eastAsia="ro-RO"/>
        </w:rPr>
        <w:lastRenderedPageBreak/>
        <w:drawing>
          <wp:inline distT="0" distB="0" distL="114300" distR="114300" wp14:anchorId="0D806D4C" wp14:editId="12EDA539">
            <wp:extent cx="6105525" cy="936625"/>
            <wp:effectExtent l="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pic:cNvPicPr>
                  </pic:nvPicPr>
                  <pic:blipFill>
                    <a:blip r:embed="rId225"/>
                    <a:srcRect l="12114" t="41961" r="6999" b="40779"/>
                    <a:stretch>
                      <a:fillRect/>
                    </a:stretch>
                  </pic:blipFill>
                  <pic:spPr>
                    <a:xfrm>
                      <a:off x="0" y="0"/>
                      <a:ext cx="6105525" cy="936625"/>
                    </a:xfrm>
                    <a:prstGeom prst="rect">
                      <a:avLst/>
                    </a:prstGeom>
                    <a:noFill/>
                    <a:ln>
                      <a:noFill/>
                    </a:ln>
                  </pic:spPr>
                </pic:pic>
              </a:graphicData>
            </a:graphic>
          </wp:inline>
        </w:drawing>
      </w:r>
      <w:r>
        <w:rPr>
          <w:noProof/>
          <w:lang w:eastAsia="ro-RO"/>
        </w:rPr>
        <w:drawing>
          <wp:inline distT="0" distB="0" distL="114300" distR="114300" wp14:anchorId="41E8406B" wp14:editId="05FC1201">
            <wp:extent cx="6105525" cy="1132205"/>
            <wp:effectExtent l="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pic:cNvPicPr>
                      <a:picLocks noChangeAspect="1"/>
                    </pic:cNvPicPr>
                  </pic:nvPicPr>
                  <pic:blipFill>
                    <a:blip r:embed="rId225"/>
                    <a:srcRect l="12114" t="61268" r="6999" b="17868"/>
                    <a:stretch>
                      <a:fillRect/>
                    </a:stretch>
                  </pic:blipFill>
                  <pic:spPr>
                    <a:xfrm>
                      <a:off x="0" y="0"/>
                      <a:ext cx="6105525" cy="1132205"/>
                    </a:xfrm>
                    <a:prstGeom prst="rect">
                      <a:avLst/>
                    </a:prstGeom>
                    <a:noFill/>
                    <a:ln>
                      <a:noFill/>
                    </a:ln>
                  </pic:spPr>
                </pic:pic>
              </a:graphicData>
            </a:graphic>
          </wp:inline>
        </w:drawing>
      </w:r>
      <w:r>
        <w:rPr>
          <w:noProof/>
          <w:lang w:eastAsia="ro-RO"/>
        </w:rPr>
        <w:drawing>
          <wp:inline distT="0" distB="0" distL="114300" distR="114300" wp14:anchorId="324B6EA1" wp14:editId="12DFEE28">
            <wp:extent cx="6096000" cy="1085850"/>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
                    <pic:cNvPicPr>
                      <a:picLocks noChangeAspect="1"/>
                    </pic:cNvPicPr>
                  </pic:nvPicPr>
                  <pic:blipFill>
                    <a:blip r:embed="rId224"/>
                    <a:srcRect l="12080" t="9127" r="7159" b="70864"/>
                    <a:stretch>
                      <a:fillRect/>
                    </a:stretch>
                  </pic:blipFill>
                  <pic:spPr>
                    <a:xfrm>
                      <a:off x="0" y="0"/>
                      <a:ext cx="6096000" cy="1085850"/>
                    </a:xfrm>
                    <a:prstGeom prst="rect">
                      <a:avLst/>
                    </a:prstGeom>
                    <a:noFill/>
                    <a:ln>
                      <a:noFill/>
                    </a:ln>
                  </pic:spPr>
                </pic:pic>
              </a:graphicData>
            </a:graphic>
          </wp:inline>
        </w:drawing>
      </w:r>
      <w:r>
        <w:rPr>
          <w:noProof/>
          <w:lang w:eastAsia="ro-RO"/>
        </w:rPr>
        <w:drawing>
          <wp:inline distT="0" distB="0" distL="114300" distR="114300" wp14:anchorId="33C03BF0" wp14:editId="70C843FF">
            <wp:extent cx="6096000" cy="1081405"/>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pic:cNvPicPr>
                      <a:picLocks noChangeAspect="1"/>
                    </pic:cNvPicPr>
                  </pic:nvPicPr>
                  <pic:blipFill>
                    <a:blip r:embed="rId224"/>
                    <a:srcRect l="12080" t="29476" r="7159" b="50597"/>
                    <a:stretch>
                      <a:fillRect/>
                    </a:stretch>
                  </pic:blipFill>
                  <pic:spPr>
                    <a:xfrm>
                      <a:off x="0" y="0"/>
                      <a:ext cx="6096000" cy="1081405"/>
                    </a:xfrm>
                    <a:prstGeom prst="rect">
                      <a:avLst/>
                    </a:prstGeom>
                    <a:noFill/>
                    <a:ln>
                      <a:noFill/>
                    </a:ln>
                  </pic:spPr>
                </pic:pic>
              </a:graphicData>
            </a:graphic>
          </wp:inline>
        </w:drawing>
      </w:r>
    </w:p>
    <w:p w14:paraId="6880F1BB" w14:textId="77777777" w:rsidR="001C08A5" w:rsidRDefault="00000000">
      <w:pPr>
        <w:pStyle w:val="Caption"/>
        <w:jc w:val="center"/>
        <w:rPr>
          <w:rFonts w:cs="Times New Roman"/>
        </w:rPr>
      </w:pPr>
      <w:bookmarkStart w:id="5719" w:name="_Ref29475"/>
      <w:bookmarkStart w:id="5720" w:name="_Toc12923"/>
      <w:bookmarkStart w:id="5721" w:name="_Toc29837"/>
      <w:bookmarkStart w:id="5722" w:name="_Toc30883"/>
      <w:bookmarkStart w:id="5723" w:name="_Toc9467"/>
      <w:bookmarkStart w:id="5724" w:name="_Toc5908"/>
      <w:bookmarkStart w:id="5725" w:name="_Toc3110"/>
      <w:bookmarkStart w:id="5726" w:name="_Toc162360307"/>
      <w:r>
        <w:t xml:space="preserve">Figura </w:t>
      </w:r>
      <w:r>
        <w:fldChar w:fldCharType="begin"/>
      </w:r>
      <w:r>
        <w:instrText xml:space="preserve"> SEQ Figura \* ARABIC </w:instrText>
      </w:r>
      <w:r>
        <w:fldChar w:fldCharType="separate"/>
      </w:r>
      <w:r>
        <w:t>83</w:t>
      </w:r>
      <w:r>
        <w:fldChar w:fldCharType="end"/>
      </w:r>
      <w:bookmarkStart w:id="5727" w:name="_Toc7908"/>
      <w:bookmarkStart w:id="5728" w:name="_Toc5508"/>
      <w:bookmarkStart w:id="5729" w:name="_Toc8313"/>
      <w:bookmarkStart w:id="5730" w:name="_Toc22668"/>
      <w:bookmarkStart w:id="5731" w:name="_Toc10371"/>
      <w:bookmarkStart w:id="5732" w:name="_Toc28171"/>
      <w:bookmarkStart w:id="5733" w:name="_Toc30250"/>
      <w:bookmarkStart w:id="5734" w:name="_Toc2642"/>
      <w:bookmarkStart w:id="5735" w:name="_Toc25535"/>
      <w:bookmarkStart w:id="5736" w:name="_Toc15541"/>
      <w:bookmarkStart w:id="5737" w:name="_Toc27113"/>
      <w:bookmarkEnd w:id="5719"/>
      <w:r>
        <w:t xml:space="preserve"> - </w:t>
      </w:r>
      <w:r>
        <w:rPr>
          <w:rFonts w:cs="Times New Roman"/>
          <w:bCs/>
        </w:rPr>
        <w:t>Evacuarea fumului şi gazelor fierbinţi în caz de incendiu din circulaţiile comune orizontale, prin ventilare mecanic</w:t>
      </w:r>
      <w:bookmarkEnd w:id="5720"/>
      <w:bookmarkEnd w:id="5721"/>
      <w:bookmarkEnd w:id="5722"/>
      <w:bookmarkEnd w:id="5723"/>
      <w:bookmarkEnd w:id="5724"/>
      <w:bookmarkEnd w:id="5725"/>
      <w:bookmarkEnd w:id="5727"/>
      <w:bookmarkEnd w:id="5728"/>
      <w:bookmarkEnd w:id="5729"/>
      <w:r>
        <w:rPr>
          <w:rFonts w:cs="Times New Roman"/>
          <w:bCs/>
        </w:rPr>
        <w:t>ă</w:t>
      </w:r>
      <w:bookmarkEnd w:id="5726"/>
      <w:bookmarkEnd w:id="5730"/>
      <w:bookmarkEnd w:id="5731"/>
      <w:bookmarkEnd w:id="5732"/>
      <w:bookmarkEnd w:id="5733"/>
      <w:bookmarkEnd w:id="5734"/>
      <w:bookmarkEnd w:id="5735"/>
      <w:bookmarkEnd w:id="5736"/>
      <w:bookmarkEnd w:id="5737"/>
    </w:p>
    <w:p w14:paraId="35C68FB1" w14:textId="77777777" w:rsidR="001C08A5" w:rsidRDefault="00000000">
      <w:pPr>
        <w:ind w:firstLine="720"/>
        <w:jc w:val="both"/>
        <w:rPr>
          <w:sz w:val="24"/>
          <w:szCs w:val="24"/>
        </w:rPr>
      </w:pPr>
      <w:r>
        <w:rPr>
          <w:b/>
          <w:sz w:val="24"/>
          <w:szCs w:val="24"/>
        </w:rPr>
        <w:t xml:space="preserve">Art. 8.5.6. (1) </w:t>
      </w:r>
      <w:r>
        <w:rPr>
          <w:sz w:val="24"/>
          <w:szCs w:val="24"/>
        </w:rPr>
        <w:t>Degajamentele protejate  se pun în suprapresiune față  de încăperile adiacente cu care comunică, potrivit prevederilor normativului şi reglementărilor tehnice de specialitate.</w:t>
      </w:r>
    </w:p>
    <w:p w14:paraId="1D833D57" w14:textId="77777777" w:rsidR="001C08A5" w:rsidRDefault="00000000">
      <w:pPr>
        <w:ind w:firstLine="720"/>
        <w:jc w:val="both"/>
        <w:rPr>
          <w:sz w:val="24"/>
          <w:szCs w:val="24"/>
        </w:rPr>
      </w:pPr>
      <w:r>
        <w:rPr>
          <w:b/>
          <w:bCs/>
          <w:sz w:val="24"/>
          <w:szCs w:val="24"/>
        </w:rPr>
        <w:t xml:space="preserve">(2) </w:t>
      </w:r>
      <w:r>
        <w:rPr>
          <w:sz w:val="24"/>
          <w:szCs w:val="24"/>
        </w:rPr>
        <w:t xml:space="preserve">Circulaţiile comune orizontale care nu au ferestre directe în exterior prin care să se evacueze fumul (considerandu-se acoperitoare amplasate pe o adancime de maxim </w:t>
      </w:r>
      <w:r>
        <w:rPr>
          <w:b/>
          <w:bCs/>
          <w:sz w:val="24"/>
          <w:szCs w:val="24"/>
        </w:rPr>
        <w:t>30</w:t>
      </w:r>
      <w:r>
        <w:rPr>
          <w:sz w:val="24"/>
          <w:szCs w:val="24"/>
        </w:rPr>
        <w:t xml:space="preserve"> m), se prevad cu sistem de evacuare a fumului şi gazelor fierbinţi în caz de incendiu prin tiraj natural-organizat sau prin </w:t>
      </w:r>
      <w:r>
        <w:rPr>
          <w:iCs/>
          <w:sz w:val="24"/>
          <w:szCs w:val="24"/>
        </w:rPr>
        <w:t>ventilare mecanică</w:t>
      </w:r>
      <w:r>
        <w:rPr>
          <w:sz w:val="24"/>
          <w:szCs w:val="24"/>
        </w:rPr>
        <w:t xml:space="preserve"> ori se pun în suprapresiune față  de încăperile adiacente cu care comunică, potrivit prevederilor normativului şi reglementărilor tehnice de specialitate.</w:t>
      </w:r>
    </w:p>
    <w:p w14:paraId="4ED4E362" w14:textId="77777777" w:rsidR="001C08A5" w:rsidRDefault="001C08A5">
      <w:pPr>
        <w:ind w:firstLine="720"/>
        <w:jc w:val="both"/>
        <w:rPr>
          <w:sz w:val="24"/>
          <w:szCs w:val="24"/>
        </w:rPr>
      </w:pPr>
    </w:p>
    <w:p w14:paraId="582409F5" w14:textId="77777777" w:rsidR="001C08A5" w:rsidRDefault="00000000">
      <w:pPr>
        <w:widowControl w:val="0"/>
        <w:ind w:firstLine="720"/>
        <w:jc w:val="both"/>
        <w:rPr>
          <w:b/>
          <w:bCs/>
          <w:sz w:val="24"/>
          <w:szCs w:val="24"/>
        </w:rPr>
      </w:pPr>
      <w:r>
        <w:rPr>
          <w:b/>
          <w:sz w:val="24"/>
          <w:szCs w:val="24"/>
        </w:rPr>
        <w:t xml:space="preserve">Art. 8.5.7. (1) </w:t>
      </w:r>
      <w:r>
        <w:rPr>
          <w:sz w:val="24"/>
          <w:szCs w:val="24"/>
        </w:rPr>
        <w:t>Punerea în suprapresiune a circulaţiilor funcţionale comune orizontale trebuie astfel realizată astfel încât presiunea pe uşi să nu depăşească</w:t>
      </w:r>
      <w:r>
        <w:rPr>
          <w:b/>
          <w:sz w:val="24"/>
          <w:szCs w:val="24"/>
        </w:rPr>
        <w:t xml:space="preserve"> 80</w:t>
      </w:r>
      <w:r>
        <w:rPr>
          <w:sz w:val="24"/>
          <w:szCs w:val="24"/>
        </w:rPr>
        <w:t xml:space="preserve"> Pa.</w:t>
      </w:r>
    </w:p>
    <w:p w14:paraId="799ED04C" w14:textId="77777777" w:rsidR="001C08A5" w:rsidRDefault="00000000">
      <w:pPr>
        <w:widowControl w:val="0"/>
        <w:ind w:firstLine="720"/>
        <w:jc w:val="both"/>
        <w:rPr>
          <w:sz w:val="24"/>
          <w:szCs w:val="24"/>
        </w:rPr>
      </w:pPr>
      <w:r>
        <w:rPr>
          <w:b/>
          <w:sz w:val="24"/>
          <w:szCs w:val="24"/>
        </w:rPr>
        <w:t xml:space="preserve">(2) </w:t>
      </w:r>
      <w:r>
        <w:rPr>
          <w:sz w:val="24"/>
          <w:szCs w:val="24"/>
        </w:rPr>
        <w:t xml:space="preserve">Punerea în suprapresiune a degajamentelor orizontale protejate, încăperilor tampon şi a caselor de scări protejate, trebuie realizată astfel încât presiunea pe uşi să fie în acord cu </w:t>
      </w:r>
      <w:hyperlink r:id="rId226" w:history="1">
        <w:r>
          <w:rPr>
            <w:rStyle w:val="Strong"/>
            <w:rFonts w:eastAsia="sans-serif"/>
            <w:sz w:val="24"/>
            <w:szCs w:val="24"/>
            <w:shd w:val="clear" w:color="auto" w:fill="FFFFFF"/>
          </w:rPr>
          <w:t>SR EN 12101-13 -</w:t>
        </w:r>
      </w:hyperlink>
      <w:r>
        <w:rPr>
          <w:rStyle w:val="Strong"/>
          <w:rFonts w:eastAsia="sans-serif"/>
          <w:b w:val="0"/>
          <w:bCs w:val="0"/>
          <w:sz w:val="24"/>
          <w:szCs w:val="24"/>
          <w:shd w:val="clear" w:color="auto" w:fill="FFFFFF"/>
        </w:rPr>
        <w:t xml:space="preserve">Sisteme pentru controlul fumului și gazelor fierbinți. Partea 13: Sisteme cu presiune diferențială (SPD). Metode de proiectare și de calcul, instalare, încercări în vederea recepției, încercări periodice și mentenanță și </w:t>
      </w:r>
      <w:hyperlink r:id="rId227" w:history="1">
        <w:r>
          <w:rPr>
            <w:rStyle w:val="Strong"/>
            <w:rFonts w:eastAsia="sans-serif"/>
            <w:sz w:val="24"/>
            <w:szCs w:val="24"/>
            <w:shd w:val="clear" w:color="auto" w:fill="FFFFFF"/>
          </w:rPr>
          <w:t>SR EN 12101-6 -</w:t>
        </w:r>
      </w:hyperlink>
      <w:r>
        <w:rPr>
          <w:sz w:val="24"/>
          <w:szCs w:val="24"/>
        </w:rPr>
        <w:t>Sisteme pentru controlul fumului și gazelor fierbinți. Partea 6: Specificații pentru sisteme cu presiune diferențială. Kituri</w:t>
      </w:r>
      <w:r>
        <w:rPr>
          <w:b/>
          <w:bCs/>
          <w:sz w:val="24"/>
          <w:szCs w:val="24"/>
        </w:rPr>
        <w:t>.</w:t>
      </w:r>
    </w:p>
    <w:p w14:paraId="5CA9DAB6" w14:textId="77777777" w:rsidR="001C08A5" w:rsidRDefault="001C08A5">
      <w:pPr>
        <w:rPr>
          <w:sz w:val="24"/>
          <w:szCs w:val="24"/>
        </w:rPr>
      </w:pPr>
    </w:p>
    <w:p w14:paraId="7B384F8E" w14:textId="77777777" w:rsidR="001C08A5" w:rsidRDefault="00000000">
      <w:pPr>
        <w:ind w:firstLine="720"/>
        <w:jc w:val="both"/>
        <w:rPr>
          <w:sz w:val="24"/>
          <w:szCs w:val="24"/>
        </w:rPr>
      </w:pPr>
      <w:r>
        <w:rPr>
          <w:b/>
          <w:sz w:val="24"/>
          <w:szCs w:val="24"/>
        </w:rPr>
        <w:t xml:space="preserve">Art. 8.5.8. </w:t>
      </w:r>
      <w:r>
        <w:rPr>
          <w:sz w:val="24"/>
          <w:szCs w:val="24"/>
        </w:rPr>
        <w:t xml:space="preserve">La clădirile înalte sau foarte înalte circulaţiile comune orizontale au asigurată evacueze fumul și gazelor fierbinți potrivit prevederilor din prezentul normativ. Casele de scări închise și încăperile tampon se pun în supraprapresiune, proiectarea și calculul sistemului se face alternativ și pe baza standardelor </w:t>
      </w:r>
      <w:hyperlink r:id="rId228" w:history="1">
        <w:r>
          <w:rPr>
            <w:rStyle w:val="Strong"/>
            <w:rFonts w:eastAsia="sans-serif"/>
            <w:sz w:val="24"/>
            <w:szCs w:val="24"/>
            <w:shd w:val="clear" w:color="auto" w:fill="FFFFFF"/>
          </w:rPr>
          <w:t>SR EN 12101-13 -</w:t>
        </w:r>
      </w:hyperlink>
      <w:r>
        <w:rPr>
          <w:rStyle w:val="Strong"/>
          <w:rFonts w:eastAsia="sans-serif"/>
          <w:b w:val="0"/>
          <w:bCs w:val="0"/>
          <w:sz w:val="24"/>
          <w:szCs w:val="24"/>
          <w:shd w:val="clear" w:color="auto" w:fill="FFFFFF"/>
        </w:rPr>
        <w:t xml:space="preserve">Sisteme pentru controlul fumului și gazelor fierbinți. Partea 13: Sisteme cu presiune diferențială (SPD). Metode de proiectare și de calcul, instalare, încercări în vederea recepției, încercări periodice și mentenanță și </w:t>
      </w:r>
      <w:hyperlink r:id="rId229" w:history="1">
        <w:r>
          <w:rPr>
            <w:rStyle w:val="Strong"/>
            <w:rFonts w:eastAsia="sans-serif"/>
            <w:sz w:val="24"/>
            <w:szCs w:val="24"/>
            <w:shd w:val="clear" w:color="auto" w:fill="FFFFFF"/>
          </w:rPr>
          <w:t>SR EN 12101-6 -</w:t>
        </w:r>
      </w:hyperlink>
      <w:r>
        <w:rPr>
          <w:sz w:val="24"/>
          <w:szCs w:val="24"/>
        </w:rPr>
        <w:t>Sisteme pentru controlul fumului și gazelor fierbinți. Partea 6: Specificații pentru sisteme cu presiune diferențială. Kituri</w:t>
      </w:r>
    </w:p>
    <w:p w14:paraId="3A50F9D1" w14:textId="77777777" w:rsidR="001C08A5" w:rsidRDefault="001C08A5">
      <w:pPr>
        <w:jc w:val="both"/>
        <w:rPr>
          <w:sz w:val="24"/>
          <w:szCs w:val="24"/>
        </w:rPr>
      </w:pPr>
    </w:p>
    <w:p w14:paraId="4F8C8AE3" w14:textId="77777777" w:rsidR="001C08A5" w:rsidRDefault="00000000">
      <w:pPr>
        <w:ind w:firstLine="720"/>
        <w:jc w:val="both"/>
        <w:rPr>
          <w:sz w:val="24"/>
          <w:szCs w:val="24"/>
        </w:rPr>
      </w:pPr>
      <w:r>
        <w:rPr>
          <w:b/>
          <w:sz w:val="24"/>
          <w:szCs w:val="24"/>
        </w:rPr>
        <w:lastRenderedPageBreak/>
        <w:t>Art. 8.5.9.</w:t>
      </w:r>
      <w:r>
        <w:rPr>
          <w:b/>
          <w:bCs/>
          <w:sz w:val="24"/>
          <w:szCs w:val="24"/>
        </w:rPr>
        <w:t xml:space="preserve"> (1) </w:t>
      </w:r>
      <w:r>
        <w:rPr>
          <w:sz w:val="24"/>
          <w:szCs w:val="24"/>
        </w:rPr>
        <w:t xml:space="preserve">Pentru casele de scări închise, degajamentele protejate, tunelurile de evacuare și încăperile tampon puse în supraprapresiune, proiectarea și calculul sistemului se face alternativ și pe baza standardelor </w:t>
      </w:r>
      <w:hyperlink r:id="rId230" w:history="1">
        <w:r>
          <w:rPr>
            <w:rStyle w:val="Strong"/>
            <w:rFonts w:eastAsia="sans-serif"/>
            <w:sz w:val="24"/>
            <w:szCs w:val="24"/>
            <w:shd w:val="clear" w:color="auto" w:fill="FFFFFF"/>
          </w:rPr>
          <w:t>SR EN 12101-13 -</w:t>
        </w:r>
      </w:hyperlink>
      <w:r>
        <w:rPr>
          <w:rStyle w:val="Strong"/>
          <w:rFonts w:eastAsia="sans-serif"/>
          <w:b w:val="0"/>
          <w:bCs w:val="0"/>
          <w:sz w:val="24"/>
          <w:szCs w:val="24"/>
          <w:shd w:val="clear" w:color="auto" w:fill="FFFFFF"/>
        </w:rPr>
        <w:t xml:space="preserve">Sisteme pentru controlul fumului și gazelor fierbinți. Partea 13: Sisteme cu presiune diferențială (SPD). Metode de proiectare și de calcul, instalare, încercări în vederea recepției, încercări periodice și mentenanță și </w:t>
      </w:r>
      <w:hyperlink r:id="rId231" w:history="1">
        <w:r>
          <w:rPr>
            <w:rStyle w:val="Strong"/>
            <w:rFonts w:eastAsia="sans-serif"/>
            <w:sz w:val="24"/>
            <w:szCs w:val="24"/>
            <w:shd w:val="clear" w:color="auto" w:fill="FFFFFF"/>
          </w:rPr>
          <w:t>SR EN 12101-6 -</w:t>
        </w:r>
      </w:hyperlink>
      <w:r>
        <w:rPr>
          <w:sz w:val="24"/>
          <w:szCs w:val="24"/>
        </w:rPr>
        <w:t>Sisteme pentru controlul fumului și gazelor fierbinți. Partea 6: Specificații pentru sisteme cu presiune diferențială. Kituri</w:t>
      </w:r>
    </w:p>
    <w:p w14:paraId="5DB8F6A3" w14:textId="77777777" w:rsidR="001C08A5" w:rsidRDefault="00000000">
      <w:pPr>
        <w:pStyle w:val="Default"/>
        <w:ind w:firstLine="720"/>
        <w:jc w:val="both"/>
        <w:rPr>
          <w:rFonts w:ascii="Times New Roman" w:hAnsi="Times New Roman" w:cs="Times New Roman"/>
          <w:color w:val="auto"/>
          <w:lang w:val="ro-RO"/>
        </w:rPr>
      </w:pPr>
      <w:r>
        <w:rPr>
          <w:rFonts w:ascii="Times New Roman" w:hAnsi="Times New Roman" w:cs="Times New Roman"/>
          <w:b/>
          <w:color w:val="auto"/>
          <w:lang w:val="ro-RO"/>
        </w:rPr>
        <w:t>(2)</w:t>
      </w:r>
      <w:r>
        <w:rPr>
          <w:rFonts w:ascii="Times New Roman" w:hAnsi="Times New Roman" w:cs="Times New Roman"/>
          <w:color w:val="auto"/>
          <w:lang w:val="ro-RO"/>
        </w:rPr>
        <w:t xml:space="preserve"> Viteza aerului trebuie să fie de cel puţin </w:t>
      </w:r>
      <w:r>
        <w:rPr>
          <w:rFonts w:ascii="Times New Roman" w:hAnsi="Times New Roman" w:cs="Times New Roman"/>
          <w:b/>
          <w:color w:val="auto"/>
          <w:lang w:val="ro-RO"/>
        </w:rPr>
        <w:t>1 m/s</w:t>
      </w:r>
      <w:r>
        <w:rPr>
          <w:rFonts w:ascii="Times New Roman" w:hAnsi="Times New Roman" w:cs="Times New Roman"/>
          <w:color w:val="auto"/>
          <w:lang w:val="ro-RO"/>
        </w:rPr>
        <w:t xml:space="preserve"> în dreptul uşilor de acces la nivelul incendiat și al celor de acces în scară din exteriorul clădirii, considerând celelalte uşi închise.</w:t>
      </w:r>
    </w:p>
    <w:p w14:paraId="1BDAB2B1" w14:textId="77777777" w:rsidR="001C08A5" w:rsidRDefault="00000000">
      <w:pPr>
        <w:pStyle w:val="Default"/>
        <w:jc w:val="both"/>
        <w:rPr>
          <w:rFonts w:ascii="Times New Roman" w:hAnsi="Times New Roman" w:cs="Times New Roman"/>
          <w:b/>
          <w:i/>
          <w:color w:val="auto"/>
          <w:lang w:val="ro-RO"/>
        </w:rPr>
      </w:pPr>
      <w:r>
        <w:rPr>
          <w:rFonts w:ascii="Times New Roman" w:hAnsi="Times New Roman" w:cs="Times New Roman"/>
          <w:color w:val="auto"/>
          <w:lang w:val="ro-RO"/>
        </w:rPr>
        <w:tab/>
      </w:r>
      <w:r>
        <w:rPr>
          <w:rFonts w:ascii="Times New Roman" w:hAnsi="Times New Roman" w:cs="Times New Roman"/>
          <w:b/>
          <w:color w:val="auto"/>
          <w:lang w:val="ro-RO"/>
        </w:rPr>
        <w:t>(3)</w:t>
      </w:r>
      <w:r>
        <w:rPr>
          <w:rFonts w:ascii="Times New Roman" w:hAnsi="Times New Roman" w:cs="Times New Roman"/>
          <w:color w:val="auto"/>
          <w:lang w:val="ro-RO"/>
        </w:rPr>
        <w:t xml:space="preserve"> Degajamentele protejate, tunelurile de evacuare şi încăperile tampon se presurizează prin conductă separată de cea pentru casa scării. Presiunea în casa de scară trebuie să fie graduala, cu cel puţin </w:t>
      </w:r>
      <w:r>
        <w:rPr>
          <w:rFonts w:ascii="Times New Roman" w:hAnsi="Times New Roman" w:cs="Times New Roman"/>
          <w:b/>
          <w:color w:val="auto"/>
          <w:lang w:val="ro-RO"/>
        </w:rPr>
        <w:t>5 Pa</w:t>
      </w:r>
      <w:r>
        <w:rPr>
          <w:rFonts w:ascii="Times New Roman" w:hAnsi="Times New Roman" w:cs="Times New Roman"/>
          <w:color w:val="auto"/>
          <w:lang w:val="ro-RO"/>
        </w:rPr>
        <w:t xml:space="preserve"> mai mare faţă de presiunea din spaţiile </w:t>
      </w:r>
      <w:r>
        <w:rPr>
          <w:rFonts w:ascii="Times New Roman" w:hAnsi="Times New Roman" w:cs="Times New Roman"/>
          <w:bCs/>
          <w:color w:val="auto"/>
          <w:lang w:val="ro-RO"/>
        </w:rPr>
        <w:t>presurizate</w:t>
      </w:r>
      <w:r>
        <w:rPr>
          <w:rFonts w:ascii="Times New Roman" w:hAnsi="Times New Roman" w:cs="Times New Roman"/>
          <w:color w:val="auto"/>
          <w:lang w:val="ro-RO"/>
        </w:rPr>
        <w:t xml:space="preserve">cu care comunică direct. La celelalte spaţii </w:t>
      </w:r>
      <w:r>
        <w:rPr>
          <w:rFonts w:ascii="Times New Roman" w:hAnsi="Times New Roman" w:cs="Times New Roman"/>
          <w:bCs/>
          <w:color w:val="auto"/>
          <w:lang w:val="ro-RO"/>
        </w:rPr>
        <w:t>presurizate</w:t>
      </w:r>
      <w:r>
        <w:rPr>
          <w:rFonts w:ascii="Times New Roman" w:hAnsi="Times New Roman" w:cs="Times New Roman"/>
          <w:color w:val="auto"/>
          <w:lang w:val="ro-RO"/>
        </w:rPr>
        <w:t xml:space="preserve">cu care comunică direct trebuie mentinut gradientul de minimum </w:t>
      </w:r>
      <w:r>
        <w:rPr>
          <w:rFonts w:ascii="Times New Roman" w:hAnsi="Times New Roman" w:cs="Times New Roman"/>
          <w:b/>
          <w:color w:val="auto"/>
          <w:lang w:val="ro-RO"/>
        </w:rPr>
        <w:t>5 Pa</w:t>
      </w:r>
      <w:r>
        <w:rPr>
          <w:rFonts w:ascii="Times New Roman" w:hAnsi="Times New Roman" w:cs="Times New Roman"/>
          <w:color w:val="auto"/>
          <w:lang w:val="ro-RO"/>
        </w:rPr>
        <w:t xml:space="preserve"> mai mult faţă de presiunea din spaţiile </w:t>
      </w:r>
      <w:r>
        <w:rPr>
          <w:rFonts w:ascii="Times New Roman" w:hAnsi="Times New Roman" w:cs="Times New Roman"/>
          <w:bCs/>
          <w:color w:val="auto"/>
          <w:lang w:val="ro-RO"/>
        </w:rPr>
        <w:t>anterioare de pe circuitul caii de evacuare catre casa de scara</w:t>
      </w:r>
      <w:r>
        <w:rPr>
          <w:rFonts w:ascii="Times New Roman" w:hAnsi="Times New Roman" w:cs="Times New Roman"/>
          <w:color w:val="auto"/>
          <w:lang w:val="ro-RO"/>
        </w:rPr>
        <w:t>.</w:t>
      </w:r>
    </w:p>
    <w:p w14:paraId="30060439" w14:textId="77777777" w:rsidR="001C08A5" w:rsidRDefault="00000000">
      <w:pPr>
        <w:pStyle w:val="Heading3"/>
      </w:pPr>
      <w:bookmarkStart w:id="5738" w:name="_Toc30992"/>
      <w:bookmarkStart w:id="5739" w:name="_Toc7980"/>
      <w:bookmarkStart w:id="5740" w:name="_Toc7513"/>
      <w:bookmarkStart w:id="5741" w:name="_Toc15078"/>
      <w:bookmarkStart w:id="5742" w:name="_Toc28772"/>
      <w:bookmarkStart w:id="5743" w:name="_Toc6899"/>
      <w:bookmarkStart w:id="5744" w:name="_Toc8526"/>
      <w:bookmarkStart w:id="5745" w:name="_Toc162355383"/>
      <w:bookmarkStart w:id="5746" w:name="_Toc29617"/>
      <w:bookmarkStart w:id="5747" w:name="_Toc11424"/>
      <w:r>
        <w:t>8.6. Atriumuri</w:t>
      </w:r>
      <w:bookmarkEnd w:id="5738"/>
      <w:bookmarkEnd w:id="5739"/>
      <w:bookmarkEnd w:id="5740"/>
      <w:bookmarkEnd w:id="5741"/>
      <w:bookmarkEnd w:id="5742"/>
      <w:bookmarkEnd w:id="5743"/>
      <w:bookmarkEnd w:id="5744"/>
      <w:bookmarkEnd w:id="5745"/>
      <w:bookmarkEnd w:id="5746"/>
      <w:bookmarkEnd w:id="5747"/>
    </w:p>
    <w:p w14:paraId="71DCC2F7" w14:textId="77777777" w:rsidR="001C08A5" w:rsidRDefault="001C08A5">
      <w:pPr>
        <w:pStyle w:val="BodyText1"/>
        <w:tabs>
          <w:tab w:val="left" w:pos="1134"/>
          <w:tab w:val="left" w:pos="2268"/>
          <w:tab w:val="left" w:pos="3402"/>
          <w:tab w:val="left" w:pos="4536"/>
          <w:tab w:val="left" w:pos="5670"/>
          <w:tab w:val="left" w:pos="6804"/>
          <w:tab w:val="left" w:pos="7938"/>
          <w:tab w:val="left" w:pos="9072"/>
        </w:tabs>
        <w:rPr>
          <w:rFonts w:ascii="Times New Roman" w:hAnsi="Times New Roman" w:cs="Times New Roman"/>
          <w:b/>
          <w:color w:val="auto"/>
          <w:sz w:val="24"/>
          <w:szCs w:val="24"/>
          <w:lang w:val="ro-RO"/>
        </w:rPr>
      </w:pPr>
    </w:p>
    <w:p w14:paraId="3D3069C7" w14:textId="77777777" w:rsidR="001C08A5" w:rsidRDefault="00000000">
      <w:pPr>
        <w:pStyle w:val="BodyText1"/>
        <w:tabs>
          <w:tab w:val="left" w:pos="1134"/>
          <w:tab w:val="left" w:pos="2268"/>
          <w:tab w:val="left" w:pos="3402"/>
          <w:tab w:val="left" w:pos="4536"/>
          <w:tab w:val="left" w:pos="5670"/>
          <w:tab w:val="left" w:pos="6804"/>
          <w:tab w:val="left" w:pos="7938"/>
          <w:tab w:val="left" w:pos="9072"/>
        </w:tabs>
        <w:rPr>
          <w:rFonts w:ascii="Times New Roman" w:hAnsi="Times New Roman" w:cs="Times New Roman"/>
          <w:color w:val="auto"/>
          <w:sz w:val="24"/>
          <w:szCs w:val="24"/>
          <w:lang w:val="ro-RO"/>
        </w:rPr>
      </w:pPr>
      <w:r>
        <w:rPr>
          <w:rFonts w:ascii="Times New Roman" w:hAnsi="Times New Roman" w:cs="Times New Roman"/>
          <w:b/>
          <w:color w:val="auto"/>
          <w:sz w:val="24"/>
          <w:szCs w:val="24"/>
          <w:lang w:val="ro-RO"/>
        </w:rPr>
        <w:tab/>
        <w:t xml:space="preserve">Art. 8.6.1. </w:t>
      </w:r>
      <w:r>
        <w:rPr>
          <w:rFonts w:ascii="Times New Roman" w:hAnsi="Times New Roman" w:cs="Times New Roman"/>
          <w:color w:val="auto"/>
          <w:sz w:val="24"/>
          <w:szCs w:val="24"/>
          <w:lang w:val="ro-RO"/>
        </w:rPr>
        <w:t xml:space="preserve">Evacuarea fumului şi gazelor fierbinţi în caz de incendiu din atriumurile </w:t>
      </w:r>
      <w:r>
        <w:rPr>
          <w:rFonts w:ascii="Times New Roman" w:hAnsi="Times New Roman" w:cs="Times New Roman"/>
          <w:bCs/>
          <w:color w:val="auto"/>
          <w:sz w:val="24"/>
          <w:szCs w:val="24"/>
          <w:lang w:val="ro-RO"/>
        </w:rPr>
        <w:t>închise</w:t>
      </w:r>
      <w:r>
        <w:rPr>
          <w:rFonts w:ascii="Times New Roman" w:hAnsi="Times New Roman" w:cs="Times New Roman"/>
          <w:color w:val="auto"/>
          <w:sz w:val="24"/>
          <w:szCs w:val="24"/>
          <w:lang w:val="ro-RO"/>
        </w:rPr>
        <w:t>, trebuie asigurată astfel:</w:t>
      </w:r>
    </w:p>
    <w:p w14:paraId="0556CE70" w14:textId="77777777" w:rsidR="001C08A5" w:rsidRDefault="00000000">
      <w:pPr>
        <w:pStyle w:val="BodyText1"/>
        <w:tabs>
          <w:tab w:val="left" w:pos="1134"/>
          <w:tab w:val="left" w:pos="2268"/>
          <w:tab w:val="left" w:pos="3402"/>
          <w:tab w:val="left" w:pos="4536"/>
          <w:tab w:val="left" w:pos="5670"/>
          <w:tab w:val="left" w:pos="6804"/>
          <w:tab w:val="left" w:pos="7938"/>
          <w:tab w:val="left" w:pos="9072"/>
        </w:tabs>
        <w:ind w:left="1276"/>
        <w:rPr>
          <w:rFonts w:ascii="Times New Roman" w:hAnsi="Times New Roman" w:cs="Times New Roman"/>
          <w:color w:val="auto"/>
          <w:sz w:val="24"/>
          <w:szCs w:val="24"/>
          <w:lang w:val="ro-RO"/>
        </w:rPr>
      </w:pPr>
      <w:r>
        <w:rPr>
          <w:rFonts w:ascii="Times New Roman" w:hAnsi="Times New Roman" w:cs="Times New Roman"/>
          <w:b/>
          <w:color w:val="auto"/>
          <w:sz w:val="24"/>
          <w:szCs w:val="24"/>
          <w:lang w:val="ro-RO"/>
        </w:rPr>
        <w:t xml:space="preserve">a) </w:t>
      </w:r>
      <w:r>
        <w:rPr>
          <w:rFonts w:ascii="Times New Roman" w:hAnsi="Times New Roman" w:cs="Times New Roman"/>
          <w:color w:val="auto"/>
          <w:sz w:val="24"/>
          <w:szCs w:val="24"/>
          <w:lang w:val="ro-RO"/>
        </w:rPr>
        <w:t>când densitatea sarcinii termice (</w:t>
      </w:r>
      <w:r>
        <w:rPr>
          <w:rFonts w:ascii="Times New Roman" w:hAnsi="Times New Roman" w:cs="Times New Roman"/>
          <w:b/>
          <w:bCs/>
          <w:color w:val="auto"/>
          <w:sz w:val="24"/>
          <w:szCs w:val="24"/>
          <w:lang w:val="ro-RO"/>
        </w:rPr>
        <w:t>q</w:t>
      </w:r>
      <w:r>
        <w:rPr>
          <w:rFonts w:ascii="Times New Roman" w:hAnsi="Times New Roman" w:cs="Times New Roman"/>
          <w:color w:val="auto"/>
          <w:sz w:val="24"/>
          <w:szCs w:val="24"/>
          <w:lang w:val="ro-RO"/>
        </w:rPr>
        <w:t xml:space="preserve">) este mai mică de </w:t>
      </w:r>
      <w:r>
        <w:rPr>
          <w:rFonts w:ascii="Times New Roman" w:hAnsi="Times New Roman" w:cs="Times New Roman"/>
          <w:b/>
          <w:color w:val="auto"/>
          <w:sz w:val="24"/>
          <w:szCs w:val="24"/>
          <w:lang w:val="ro-RO"/>
        </w:rPr>
        <w:t xml:space="preserve">105 </w:t>
      </w:r>
      <w:r>
        <w:rPr>
          <w:rFonts w:ascii="Times New Roman" w:hAnsi="Times New Roman" w:cs="Times New Roman"/>
          <w:b/>
          <w:bCs/>
          <w:color w:val="auto"/>
          <w:sz w:val="24"/>
          <w:szCs w:val="24"/>
          <w:lang w:val="ro-RO"/>
        </w:rPr>
        <w:t>MJ/m²</w:t>
      </w:r>
      <w:r>
        <w:rPr>
          <w:rFonts w:ascii="Times New Roman" w:hAnsi="Times New Roman" w:cs="Times New Roman"/>
          <w:color w:val="auto"/>
          <w:sz w:val="24"/>
          <w:szCs w:val="24"/>
          <w:lang w:val="ro-RO"/>
        </w:rPr>
        <w:t xml:space="preserve">, evacuarea fumului se realizează prin sistem de evacuare a fumului  şi gazelor fierbinţi în caz de incendiu prin tiraj natural-organizat cu dispozitive cu deschidere automată, care să asigure o suprafaţă liberă de minimum </w:t>
      </w:r>
      <w:r>
        <w:rPr>
          <w:rFonts w:ascii="Times New Roman" w:hAnsi="Times New Roman" w:cs="Times New Roman"/>
          <w:b/>
          <w:color w:val="auto"/>
          <w:sz w:val="24"/>
          <w:szCs w:val="24"/>
          <w:lang w:val="ro-RO"/>
        </w:rPr>
        <w:t>1%</w:t>
      </w:r>
      <w:r>
        <w:rPr>
          <w:rFonts w:ascii="Times New Roman" w:hAnsi="Times New Roman" w:cs="Times New Roman"/>
          <w:color w:val="auto"/>
          <w:sz w:val="24"/>
          <w:szCs w:val="24"/>
          <w:lang w:val="ro-RO"/>
        </w:rPr>
        <w:t xml:space="preserve"> din aria celui mai mare nivel al atriumului delimitat de pereţi (fără a se lua în considerare cel de acces în atrium), dar minimum </w:t>
      </w:r>
      <w:r>
        <w:rPr>
          <w:rFonts w:ascii="Times New Roman" w:hAnsi="Times New Roman" w:cs="Times New Roman"/>
          <w:b/>
          <w:color w:val="auto"/>
          <w:sz w:val="24"/>
          <w:szCs w:val="24"/>
          <w:lang w:val="ro-RO"/>
        </w:rPr>
        <w:t>2</w:t>
      </w:r>
      <w:r>
        <w:rPr>
          <w:rFonts w:ascii="Times New Roman" w:hAnsi="Times New Roman" w:cs="Times New Roman"/>
          <w:color w:val="auto"/>
          <w:sz w:val="24"/>
          <w:szCs w:val="24"/>
          <w:lang w:val="ro-RO"/>
        </w:rPr>
        <w:t xml:space="preserve"> </w:t>
      </w:r>
      <w:r>
        <w:rPr>
          <w:rFonts w:ascii="Times New Roman" w:hAnsi="Times New Roman" w:cs="Times New Roman"/>
          <w:b/>
          <w:bCs/>
          <w:color w:val="auto"/>
          <w:sz w:val="24"/>
          <w:szCs w:val="24"/>
          <w:lang w:val="ro-RO"/>
        </w:rPr>
        <w:t>m²</w:t>
      </w:r>
      <w:r>
        <w:rPr>
          <w:rFonts w:ascii="Times New Roman" w:hAnsi="Times New Roman" w:cs="Times New Roman"/>
          <w:color w:val="auto"/>
          <w:sz w:val="24"/>
          <w:szCs w:val="24"/>
          <w:lang w:val="ro-RO"/>
        </w:rPr>
        <w:t xml:space="preserve"> sau prin sistem de evacuare a fumului  şi gazelor fierbinţi în caz de incendiu prin </w:t>
      </w:r>
      <w:r>
        <w:rPr>
          <w:iCs/>
          <w:color w:val="auto"/>
          <w:sz w:val="24"/>
          <w:szCs w:val="24"/>
          <w:lang w:val="ro-RO"/>
        </w:rPr>
        <w:t xml:space="preserve">ventilare </w:t>
      </w:r>
      <w:r>
        <w:rPr>
          <w:iCs/>
          <w:color w:val="auto"/>
          <w:sz w:val="24"/>
          <w:szCs w:val="24"/>
        </w:rPr>
        <w:t>mecanic</w:t>
      </w:r>
      <w:r>
        <w:rPr>
          <w:iCs/>
          <w:color w:val="auto"/>
          <w:sz w:val="24"/>
          <w:szCs w:val="24"/>
          <w:lang w:val="ro-RO"/>
        </w:rPr>
        <w:t>ă</w:t>
      </w:r>
      <w:r>
        <w:rPr>
          <w:rFonts w:ascii="Times New Roman" w:hAnsi="Times New Roman" w:cs="Times New Roman"/>
          <w:color w:val="auto"/>
          <w:sz w:val="24"/>
          <w:szCs w:val="24"/>
          <w:lang w:val="ro-RO"/>
        </w:rPr>
        <w:t xml:space="preserve">, corespunzător alcătuit şi dimensionat. </w:t>
      </w:r>
    </w:p>
    <w:p w14:paraId="6E3A5BAD" w14:textId="77777777" w:rsidR="001C08A5" w:rsidRDefault="00000000">
      <w:pPr>
        <w:pStyle w:val="BodyText1"/>
        <w:tabs>
          <w:tab w:val="left" w:pos="1134"/>
          <w:tab w:val="left" w:pos="2268"/>
          <w:tab w:val="left" w:pos="3402"/>
          <w:tab w:val="left" w:pos="4536"/>
          <w:tab w:val="left" w:pos="5670"/>
          <w:tab w:val="left" w:pos="6804"/>
          <w:tab w:val="left" w:pos="7938"/>
          <w:tab w:val="left" w:pos="9072"/>
        </w:tabs>
        <w:ind w:left="1276"/>
        <w:rPr>
          <w:rFonts w:ascii="Times New Roman" w:hAnsi="Times New Roman" w:cs="Times New Roman"/>
          <w:b/>
          <w:bCs/>
          <w:color w:val="auto"/>
          <w:sz w:val="24"/>
          <w:szCs w:val="24"/>
          <w:lang w:val="ro-RO"/>
        </w:rPr>
      </w:pPr>
      <w:r>
        <w:rPr>
          <w:rFonts w:ascii="Times New Roman" w:hAnsi="Times New Roman" w:cs="Times New Roman"/>
          <w:b/>
          <w:bCs/>
          <w:color w:val="auto"/>
          <w:sz w:val="24"/>
          <w:szCs w:val="24"/>
          <w:lang w:val="ro-RO"/>
        </w:rPr>
        <w:t xml:space="preserve">b) </w:t>
      </w:r>
      <w:r>
        <w:rPr>
          <w:rFonts w:ascii="Times New Roman" w:hAnsi="Times New Roman" w:cs="Times New Roman"/>
          <w:color w:val="auto"/>
          <w:sz w:val="24"/>
          <w:szCs w:val="24"/>
          <w:lang w:val="ro-RO"/>
        </w:rPr>
        <w:t>când densitatea sarcinii termice (</w:t>
      </w:r>
      <w:r>
        <w:rPr>
          <w:rFonts w:ascii="Times New Roman" w:hAnsi="Times New Roman" w:cs="Times New Roman"/>
          <w:b/>
          <w:bCs/>
          <w:color w:val="auto"/>
          <w:sz w:val="24"/>
          <w:szCs w:val="24"/>
          <w:lang w:val="ro-RO"/>
        </w:rPr>
        <w:t>q</w:t>
      </w:r>
      <w:r>
        <w:rPr>
          <w:rFonts w:ascii="Times New Roman" w:hAnsi="Times New Roman" w:cs="Times New Roman"/>
          <w:color w:val="auto"/>
          <w:sz w:val="24"/>
          <w:szCs w:val="24"/>
          <w:lang w:val="ro-RO"/>
        </w:rPr>
        <w:t xml:space="preserve">) este mai mare de </w:t>
      </w:r>
      <w:r>
        <w:rPr>
          <w:rFonts w:ascii="Times New Roman" w:hAnsi="Times New Roman" w:cs="Times New Roman"/>
          <w:b/>
          <w:color w:val="auto"/>
          <w:sz w:val="24"/>
          <w:szCs w:val="24"/>
          <w:lang w:val="ro-RO"/>
        </w:rPr>
        <w:t>105</w:t>
      </w:r>
      <w:r>
        <w:rPr>
          <w:rFonts w:ascii="Times New Roman" w:hAnsi="Times New Roman" w:cs="Times New Roman"/>
          <w:b/>
          <w:bCs/>
          <w:color w:val="auto"/>
          <w:sz w:val="24"/>
          <w:szCs w:val="24"/>
          <w:lang w:val="ro-RO"/>
        </w:rPr>
        <w:t xml:space="preserve"> MJ/m²</w:t>
      </w:r>
      <w:r>
        <w:rPr>
          <w:rFonts w:ascii="Times New Roman" w:hAnsi="Times New Roman" w:cs="Times New Roman"/>
          <w:color w:val="auto"/>
          <w:sz w:val="24"/>
          <w:szCs w:val="24"/>
          <w:lang w:val="ro-RO"/>
        </w:rPr>
        <w:t xml:space="preserve">, evacuarea fumului se realizează prin sistem de evacuare a fumului  şi gazelor fierbinţi în caz de incendiu prin tiraj natural-organizat cu dispozitive cu deschidere automată care să asigure o suprafaţă liberă de minimum </w:t>
      </w:r>
      <w:r>
        <w:rPr>
          <w:rFonts w:ascii="Times New Roman" w:hAnsi="Times New Roman" w:cs="Times New Roman"/>
          <w:b/>
          <w:bCs/>
          <w:color w:val="auto"/>
          <w:sz w:val="24"/>
          <w:szCs w:val="24"/>
          <w:lang w:val="ro-RO"/>
        </w:rPr>
        <w:t>5%</w:t>
      </w:r>
      <w:r>
        <w:rPr>
          <w:rFonts w:ascii="Times New Roman" w:hAnsi="Times New Roman" w:cs="Times New Roman"/>
          <w:color w:val="auto"/>
          <w:sz w:val="24"/>
          <w:szCs w:val="24"/>
          <w:lang w:val="ro-RO"/>
        </w:rPr>
        <w:t xml:space="preserve"> din aria celui mai mare nivel al atriumului delimitat de pereţi (fără a se lua în considerare cel de acces în atrium) sau prin sistem de evacuare a fumului  şi gazelor fierbinţi în caz de incendiu prin </w:t>
      </w:r>
      <w:r>
        <w:rPr>
          <w:iCs/>
          <w:color w:val="auto"/>
          <w:sz w:val="24"/>
          <w:szCs w:val="24"/>
          <w:lang w:val="ro-RO"/>
        </w:rPr>
        <w:t xml:space="preserve">ventilare </w:t>
      </w:r>
      <w:r>
        <w:rPr>
          <w:iCs/>
          <w:color w:val="auto"/>
          <w:sz w:val="24"/>
          <w:szCs w:val="24"/>
        </w:rPr>
        <w:t>mecanic</w:t>
      </w:r>
      <w:r>
        <w:rPr>
          <w:iCs/>
          <w:color w:val="auto"/>
          <w:sz w:val="24"/>
          <w:szCs w:val="24"/>
          <w:lang w:val="ro-RO"/>
        </w:rPr>
        <w:t>ă</w:t>
      </w:r>
      <w:r>
        <w:rPr>
          <w:rFonts w:ascii="Times New Roman" w:hAnsi="Times New Roman" w:cs="Times New Roman"/>
          <w:color w:val="auto"/>
          <w:sz w:val="24"/>
          <w:szCs w:val="24"/>
          <w:lang w:val="ro-RO"/>
        </w:rPr>
        <w:t xml:space="preserve">, corespunzãtor alcătuit şi dimensionat. </w:t>
      </w:r>
    </w:p>
    <w:p w14:paraId="4FDBF681" w14:textId="77777777" w:rsidR="001C08A5" w:rsidRDefault="00000000">
      <w:pPr>
        <w:ind w:left="1276"/>
        <w:jc w:val="both"/>
        <w:rPr>
          <w:sz w:val="24"/>
          <w:szCs w:val="24"/>
        </w:rPr>
      </w:pPr>
      <w:r>
        <w:rPr>
          <w:b/>
          <w:bCs/>
          <w:sz w:val="24"/>
          <w:szCs w:val="24"/>
        </w:rPr>
        <w:t xml:space="preserve">c) </w:t>
      </w:r>
      <w:r>
        <w:rPr>
          <w:sz w:val="24"/>
          <w:szCs w:val="24"/>
        </w:rPr>
        <w:t xml:space="preserve"> Atunci când adiacent atriumului se prevăd spaţii cu funcțiuni de sănătate, cazare, învățământ, comerț, indiferent de sarcina termică atriumurile se prevăd cu sisteme de evacuare a fumului şi gazelor fierbinţi în caz de incendiu prin tiraj natural-organizat cu dispozitive cu deschidere automată care să asigure o suprafaţă liberă de minimum </w:t>
      </w:r>
      <w:r>
        <w:rPr>
          <w:b/>
          <w:bCs/>
          <w:sz w:val="24"/>
          <w:szCs w:val="24"/>
        </w:rPr>
        <w:t>5%</w:t>
      </w:r>
      <w:r>
        <w:rPr>
          <w:sz w:val="24"/>
          <w:szCs w:val="24"/>
        </w:rPr>
        <w:t xml:space="preserve"> din aria celui mai mare nivel al atriumului delimitat de pereţi (fără a se lua în considerare cel de acces în atrium) dar minimum </w:t>
      </w:r>
      <w:r>
        <w:rPr>
          <w:b/>
          <w:sz w:val="24"/>
          <w:szCs w:val="24"/>
        </w:rPr>
        <w:t>2 m²</w:t>
      </w:r>
      <w:r>
        <w:rPr>
          <w:sz w:val="24"/>
          <w:szCs w:val="24"/>
        </w:rPr>
        <w:t xml:space="preserve"> sau prin sistem de evacuare a fumului  şi gazelor fierbinţi în caz de incendiu prin </w:t>
      </w:r>
      <w:r>
        <w:rPr>
          <w:iCs/>
          <w:sz w:val="24"/>
          <w:szCs w:val="24"/>
        </w:rPr>
        <w:t>ventilare mecanică</w:t>
      </w:r>
      <w:r>
        <w:rPr>
          <w:sz w:val="24"/>
          <w:szCs w:val="24"/>
        </w:rPr>
        <w:t xml:space="preserve">, corespunzãtor alcătuit şi dimensionat. </w:t>
      </w:r>
    </w:p>
    <w:p w14:paraId="448C9A0A" w14:textId="77777777" w:rsidR="001C08A5" w:rsidRDefault="001C08A5">
      <w:pPr>
        <w:pStyle w:val="BodyText1"/>
        <w:tabs>
          <w:tab w:val="left" w:pos="1134"/>
          <w:tab w:val="left" w:pos="2268"/>
          <w:tab w:val="left" w:pos="3402"/>
          <w:tab w:val="left" w:pos="4536"/>
          <w:tab w:val="left" w:pos="5670"/>
          <w:tab w:val="left" w:pos="6804"/>
          <w:tab w:val="left" w:pos="7938"/>
          <w:tab w:val="left" w:pos="9072"/>
        </w:tabs>
        <w:rPr>
          <w:rFonts w:ascii="Times New Roman" w:hAnsi="Times New Roman" w:cs="Times New Roman"/>
          <w:b/>
          <w:color w:val="auto"/>
          <w:sz w:val="24"/>
          <w:szCs w:val="24"/>
          <w:lang w:val="ro-RO"/>
        </w:rPr>
      </w:pPr>
    </w:p>
    <w:p w14:paraId="60FE500A" w14:textId="77777777" w:rsidR="001C08A5" w:rsidRDefault="00000000">
      <w:pPr>
        <w:jc w:val="both"/>
        <w:rPr>
          <w:sz w:val="24"/>
          <w:szCs w:val="24"/>
        </w:rPr>
      </w:pPr>
      <w:r>
        <w:rPr>
          <w:b/>
          <w:sz w:val="24"/>
          <w:szCs w:val="24"/>
        </w:rPr>
        <w:tab/>
        <w:t>Art. 8.6.2. (1)</w:t>
      </w:r>
      <w:r>
        <w:rPr>
          <w:sz w:val="24"/>
          <w:szCs w:val="24"/>
        </w:rPr>
        <w:t xml:space="preserve"> La partea inferioară a atriumurilor se asigură admisii de aer. </w:t>
      </w:r>
    </w:p>
    <w:p w14:paraId="17518ABE" w14:textId="77777777" w:rsidR="001C08A5" w:rsidRDefault="00000000">
      <w:pPr>
        <w:jc w:val="both"/>
        <w:rPr>
          <w:sz w:val="24"/>
          <w:szCs w:val="24"/>
        </w:rPr>
      </w:pPr>
      <w:r>
        <w:rPr>
          <w:sz w:val="24"/>
          <w:szCs w:val="24"/>
        </w:rPr>
        <w:tab/>
      </w:r>
      <w:r>
        <w:rPr>
          <w:b/>
          <w:bCs/>
          <w:sz w:val="24"/>
          <w:szCs w:val="24"/>
        </w:rPr>
        <w:t>(2)</w:t>
      </w:r>
      <w:r>
        <w:rPr>
          <w:sz w:val="24"/>
          <w:szCs w:val="24"/>
        </w:rPr>
        <w:t xml:space="preserve"> În cazul evacuării fumului prin tiraj natural-organizat, aria aerodinamică libera utilă a admisiilor de aer trebuie să sa asigure o o suprafaţă liberă de minimum </w:t>
      </w:r>
      <w:r>
        <w:rPr>
          <w:b/>
          <w:bCs/>
          <w:sz w:val="24"/>
          <w:szCs w:val="24"/>
        </w:rPr>
        <w:t>75%</w:t>
      </w:r>
      <w:r>
        <w:rPr>
          <w:sz w:val="24"/>
          <w:szCs w:val="24"/>
        </w:rPr>
        <w:t xml:space="preserve"> din suprafaţă liberă a dispozitivelor de evacuare a fumului, iar introducerea mecanică nu va depasi viteza de </w:t>
      </w:r>
      <w:r>
        <w:rPr>
          <w:b/>
          <w:bCs/>
          <w:sz w:val="24"/>
          <w:szCs w:val="24"/>
        </w:rPr>
        <w:t>5 m/s</w:t>
      </w:r>
      <w:r>
        <w:rPr>
          <w:sz w:val="24"/>
          <w:szCs w:val="24"/>
        </w:rPr>
        <w:t xml:space="preserve"> pe grila.</w:t>
      </w:r>
    </w:p>
    <w:p w14:paraId="2E445F36" w14:textId="77777777" w:rsidR="001C08A5" w:rsidRDefault="00000000">
      <w:pPr>
        <w:jc w:val="both"/>
        <w:rPr>
          <w:sz w:val="24"/>
          <w:szCs w:val="24"/>
        </w:rPr>
      </w:pPr>
      <w:r>
        <w:rPr>
          <w:sz w:val="24"/>
          <w:szCs w:val="24"/>
        </w:rPr>
        <w:tab/>
      </w:r>
      <w:r>
        <w:rPr>
          <w:b/>
          <w:bCs/>
          <w:sz w:val="24"/>
          <w:szCs w:val="24"/>
        </w:rPr>
        <w:t>(3)</w:t>
      </w:r>
      <w:r>
        <w:rPr>
          <w:sz w:val="24"/>
          <w:szCs w:val="24"/>
        </w:rPr>
        <w:t xml:space="preserve"> În cazul evacuării fumului prin </w:t>
      </w:r>
      <w:r>
        <w:rPr>
          <w:iCs/>
          <w:sz w:val="24"/>
          <w:szCs w:val="24"/>
        </w:rPr>
        <w:t>ventilare mecanică</w:t>
      </w:r>
      <w:r>
        <w:rPr>
          <w:sz w:val="24"/>
          <w:szCs w:val="24"/>
        </w:rPr>
        <w:t xml:space="preserve"> gurile de introducere mecanică a aerului trebuie să asigure minim </w:t>
      </w:r>
      <w:r>
        <w:rPr>
          <w:b/>
          <w:bCs/>
          <w:sz w:val="24"/>
          <w:szCs w:val="24"/>
        </w:rPr>
        <w:t>75%</w:t>
      </w:r>
      <w:r>
        <w:rPr>
          <w:sz w:val="24"/>
          <w:szCs w:val="24"/>
        </w:rPr>
        <w:t xml:space="preserve"> din debitul volumetric evacuat (cu o toleranță de plus sau minus </w:t>
      </w:r>
      <w:r>
        <w:rPr>
          <w:b/>
          <w:bCs/>
          <w:sz w:val="24"/>
          <w:szCs w:val="24"/>
        </w:rPr>
        <w:t>10 %</w:t>
      </w:r>
      <w:r>
        <w:rPr>
          <w:sz w:val="24"/>
          <w:szCs w:val="24"/>
        </w:rPr>
        <w:t xml:space="preserve">), iar viteza aerului la gurile de introducere nu va depăși </w:t>
      </w:r>
      <w:r>
        <w:rPr>
          <w:b/>
          <w:bCs/>
          <w:sz w:val="24"/>
          <w:szCs w:val="24"/>
        </w:rPr>
        <w:t>5 m/s</w:t>
      </w:r>
      <w:r>
        <w:rPr>
          <w:sz w:val="24"/>
          <w:szCs w:val="24"/>
        </w:rPr>
        <w:t xml:space="preserve"> pe grilă. </w:t>
      </w:r>
    </w:p>
    <w:p w14:paraId="10055956" w14:textId="77777777" w:rsidR="001C08A5" w:rsidRDefault="00000000">
      <w:pPr>
        <w:jc w:val="both"/>
        <w:rPr>
          <w:sz w:val="24"/>
          <w:szCs w:val="24"/>
        </w:rPr>
      </w:pPr>
      <w:r>
        <w:rPr>
          <w:b/>
          <w:bCs/>
          <w:sz w:val="24"/>
          <w:szCs w:val="24"/>
        </w:rPr>
        <w:tab/>
        <w:t>(4)</w:t>
      </w:r>
      <w:r>
        <w:rPr>
          <w:sz w:val="24"/>
          <w:szCs w:val="24"/>
        </w:rPr>
        <w:t xml:space="preserve"> Acţionările automate ale dispozitivelor pentru evacuarea fumului şi de admisie a aerului, trebuie să fie controlate de un sistem de detectare, semnalizare şi alertare a incendiului.</w:t>
      </w:r>
    </w:p>
    <w:p w14:paraId="3840ECFE" w14:textId="77777777" w:rsidR="001C08A5" w:rsidRDefault="00000000">
      <w:pPr>
        <w:jc w:val="both"/>
        <w:rPr>
          <w:b/>
          <w:sz w:val="24"/>
          <w:szCs w:val="24"/>
        </w:rPr>
      </w:pPr>
      <w:r>
        <w:rPr>
          <w:b/>
          <w:bCs/>
          <w:sz w:val="24"/>
          <w:szCs w:val="24"/>
        </w:rPr>
        <w:tab/>
        <w:t>(5)</w:t>
      </w:r>
      <w:r>
        <w:rPr>
          <w:sz w:val="24"/>
          <w:szCs w:val="24"/>
        </w:rPr>
        <w:t xml:space="preserve"> Acţionările automate ale dispozitivelor de evacuare a fumului şi a celor de admisie a aerului vor fi dublate de comenzi manuale dispuse la nivelul acceselor din exterior în atrium și de la serviciul pentru situaţii de urgenţă (atunci când este asigurat). </w:t>
      </w:r>
    </w:p>
    <w:p w14:paraId="2DD0A152" w14:textId="77777777" w:rsidR="001C08A5" w:rsidRDefault="00000000">
      <w:pPr>
        <w:pStyle w:val="Heading3"/>
      </w:pPr>
      <w:bookmarkStart w:id="5748" w:name="_Toc3009"/>
      <w:bookmarkStart w:id="5749" w:name="_Toc3943"/>
      <w:bookmarkStart w:id="5750" w:name="_Toc3139"/>
      <w:bookmarkStart w:id="5751" w:name="_Toc21356"/>
      <w:bookmarkStart w:id="5752" w:name="_Toc20505"/>
      <w:bookmarkStart w:id="5753" w:name="_Toc2639"/>
      <w:bookmarkStart w:id="5754" w:name="_Toc26781"/>
      <w:bookmarkStart w:id="5755" w:name="_Toc162355384"/>
      <w:bookmarkStart w:id="5756" w:name="_Toc2110"/>
      <w:bookmarkStart w:id="5757" w:name="_Toc7339"/>
      <w:r>
        <w:lastRenderedPageBreak/>
        <w:t>8.7. Metoda simplificata de calcul pentru evacuarea fumului şi a gazelor fierbinţi în caz de incendiu</w:t>
      </w:r>
      <w:bookmarkEnd w:id="5748"/>
      <w:bookmarkEnd w:id="5749"/>
      <w:bookmarkEnd w:id="5750"/>
      <w:bookmarkEnd w:id="5751"/>
      <w:bookmarkEnd w:id="5752"/>
      <w:bookmarkEnd w:id="5753"/>
      <w:bookmarkEnd w:id="5754"/>
      <w:bookmarkEnd w:id="5755"/>
      <w:bookmarkEnd w:id="5756"/>
      <w:bookmarkEnd w:id="5757"/>
    </w:p>
    <w:p w14:paraId="37C9807C" w14:textId="77777777" w:rsidR="001C08A5" w:rsidRDefault="001C08A5">
      <w:pPr>
        <w:rPr>
          <w:b/>
          <w:sz w:val="24"/>
          <w:szCs w:val="24"/>
        </w:rPr>
      </w:pPr>
    </w:p>
    <w:p w14:paraId="4852E9A4" w14:textId="77777777" w:rsidR="001C08A5" w:rsidRDefault="00000000">
      <w:pPr>
        <w:jc w:val="both"/>
        <w:rPr>
          <w:sz w:val="24"/>
          <w:szCs w:val="24"/>
        </w:rPr>
      </w:pPr>
      <w:r>
        <w:rPr>
          <w:b/>
          <w:sz w:val="24"/>
          <w:szCs w:val="24"/>
        </w:rPr>
        <w:tab/>
        <w:t xml:space="preserve">Art. </w:t>
      </w:r>
      <w:r>
        <w:rPr>
          <w:b/>
          <w:bCs/>
          <w:sz w:val="24"/>
          <w:szCs w:val="24"/>
        </w:rPr>
        <w:t>8.7.</w:t>
      </w:r>
      <w:r>
        <w:rPr>
          <w:b/>
          <w:sz w:val="24"/>
          <w:szCs w:val="24"/>
        </w:rPr>
        <w:t>1. (1)</w:t>
      </w:r>
      <w:r>
        <w:rPr>
          <w:sz w:val="24"/>
          <w:szCs w:val="24"/>
        </w:rPr>
        <w:t xml:space="preserve"> Pentru limitarea propagării incendiilor, în construcţii se prevede  sistem de evacuare a fumului şi gazelor fierbinţi, realizat conform prevederilor normativului, prevazut cu rezervoare de fum alcatuite conform </w:t>
      </w:r>
      <w:r>
        <w:rPr>
          <w:b/>
          <w:sz w:val="24"/>
          <w:szCs w:val="24"/>
        </w:rPr>
        <w:t>Art. 8.1.12. și Art. 8.1.13.</w:t>
      </w:r>
      <w:r>
        <w:rPr>
          <w:sz w:val="24"/>
          <w:szCs w:val="24"/>
        </w:rPr>
        <w:t xml:space="preserve"> și ecrane sau pereti perimetrali (ce asigura minimum acceasi performanta la foc cu cea a ecranelor),  prin metoda simplificata de calcul pentru evacuarea fumului şi a gazelor fierbinţi în caz de incendiu.</w:t>
      </w:r>
    </w:p>
    <w:p w14:paraId="2FDA1531" w14:textId="77777777" w:rsidR="001C08A5" w:rsidRDefault="00000000">
      <w:pPr>
        <w:tabs>
          <w:tab w:val="left" w:pos="1134"/>
          <w:tab w:val="left" w:pos="2268"/>
          <w:tab w:val="left" w:pos="3402"/>
          <w:tab w:val="left" w:pos="4536"/>
          <w:tab w:val="left" w:pos="5670"/>
          <w:tab w:val="left" w:pos="6804"/>
          <w:tab w:val="left" w:pos="7938"/>
          <w:tab w:val="left" w:pos="9072"/>
        </w:tabs>
        <w:jc w:val="both"/>
        <w:rPr>
          <w:b/>
          <w:sz w:val="24"/>
          <w:szCs w:val="24"/>
        </w:rPr>
      </w:pPr>
      <w:r>
        <w:rPr>
          <w:sz w:val="24"/>
          <w:szCs w:val="24"/>
        </w:rPr>
        <w:tab/>
      </w:r>
    </w:p>
    <w:p w14:paraId="5C6BBFC2" w14:textId="77777777" w:rsidR="001C08A5" w:rsidRDefault="00000000">
      <w:pPr>
        <w:ind w:firstLine="708"/>
        <w:jc w:val="both"/>
        <w:rPr>
          <w:sz w:val="24"/>
          <w:szCs w:val="24"/>
        </w:rPr>
      </w:pPr>
      <w:r>
        <w:rPr>
          <w:b/>
          <w:sz w:val="24"/>
          <w:szCs w:val="24"/>
        </w:rPr>
        <w:t xml:space="preserve">Art. </w:t>
      </w:r>
      <w:r>
        <w:rPr>
          <w:b/>
          <w:bCs/>
          <w:sz w:val="24"/>
          <w:szCs w:val="24"/>
        </w:rPr>
        <w:t>8.7.2</w:t>
      </w:r>
      <w:r>
        <w:rPr>
          <w:b/>
          <w:sz w:val="24"/>
          <w:szCs w:val="24"/>
        </w:rPr>
        <w:t xml:space="preserve">. </w:t>
      </w:r>
      <w:r>
        <w:rPr>
          <w:sz w:val="24"/>
          <w:szCs w:val="24"/>
        </w:rPr>
        <w:t xml:space="preserve">Sistemul de evacuare a fumului şi gazelor fierbinţi este constituit din guri de admisie a aerului, dispuse la partea inferioară (în treimea inferioară a pereților) a spaţiului protejat, ecrane continue rezistente la foc minimum </w:t>
      </w:r>
      <w:r>
        <w:rPr>
          <w:b/>
          <w:bCs/>
          <w:sz w:val="24"/>
          <w:szCs w:val="24"/>
        </w:rPr>
        <w:t>DH 30</w:t>
      </w:r>
      <w:r>
        <w:rPr>
          <w:sz w:val="24"/>
          <w:szCs w:val="24"/>
        </w:rPr>
        <w:t xml:space="preserve">, sau elemete constructive structurale cu rezistența la foc minimum 30 minute, coborâte sub acoperiş sau sub planşeul superior al spaţiului respectiv minimum </w:t>
      </w:r>
      <w:r>
        <w:rPr>
          <w:b/>
          <w:sz w:val="24"/>
          <w:szCs w:val="24"/>
        </w:rPr>
        <w:t>50</w:t>
      </w:r>
      <w:r>
        <w:rPr>
          <w:sz w:val="24"/>
          <w:szCs w:val="24"/>
        </w:rPr>
        <w:t xml:space="preserve"> cm și guri de evacuare a fumului şi gazelor fierbinţi, dispuse în treimea superioară a pereţilor sau în acoperiş.</w:t>
      </w:r>
    </w:p>
    <w:p w14:paraId="2CA84FD7" w14:textId="77777777" w:rsidR="001C08A5" w:rsidRDefault="00000000">
      <w:pPr>
        <w:jc w:val="both"/>
        <w:rPr>
          <w:b/>
          <w:sz w:val="24"/>
          <w:szCs w:val="24"/>
        </w:rPr>
      </w:pPr>
      <w:r>
        <w:rPr>
          <w:sz w:val="24"/>
          <w:szCs w:val="24"/>
        </w:rPr>
        <w:tab/>
      </w:r>
      <w:r>
        <w:rPr>
          <w:sz w:val="24"/>
          <w:szCs w:val="24"/>
        </w:rPr>
        <w:tab/>
      </w:r>
    </w:p>
    <w:p w14:paraId="500BC731" w14:textId="77777777" w:rsidR="001C08A5" w:rsidRDefault="00000000">
      <w:pPr>
        <w:ind w:firstLine="708"/>
        <w:jc w:val="both"/>
        <w:rPr>
          <w:b/>
          <w:sz w:val="24"/>
          <w:szCs w:val="24"/>
        </w:rPr>
      </w:pPr>
      <w:r>
        <w:rPr>
          <w:b/>
          <w:sz w:val="24"/>
          <w:szCs w:val="24"/>
        </w:rPr>
        <w:t xml:space="preserve">Art. </w:t>
      </w:r>
      <w:r>
        <w:rPr>
          <w:b/>
          <w:bCs/>
          <w:sz w:val="24"/>
          <w:szCs w:val="24"/>
        </w:rPr>
        <w:t>8.7.3</w:t>
      </w:r>
      <w:r>
        <w:rPr>
          <w:b/>
          <w:sz w:val="24"/>
          <w:szCs w:val="24"/>
        </w:rPr>
        <w:t xml:space="preserve">. (1) </w:t>
      </w:r>
      <w:r>
        <w:rPr>
          <w:sz w:val="24"/>
          <w:szCs w:val="24"/>
        </w:rPr>
        <w:t xml:space="preserve">Dispunerea ecranelor coborâte sub acoperiş sau sub planşeul superior al spaţiului protejat, în sistemul de calcul simplificat de evacuare prin tiraj natural-organizat, se realizează în funcţie de densitatea sarcinii termice din spaţiul respectiv, conform prevederilor din </w:t>
      </w:r>
      <w:r>
        <w:rPr>
          <w:b/>
          <w:bCs/>
          <w:i/>
          <w:iCs/>
          <w:sz w:val="24"/>
          <w:szCs w:val="24"/>
        </w:rPr>
        <w:fldChar w:fldCharType="begin"/>
      </w:r>
      <w:r>
        <w:rPr>
          <w:b/>
          <w:bCs/>
          <w:i/>
          <w:iCs/>
          <w:sz w:val="24"/>
          <w:szCs w:val="24"/>
        </w:rPr>
        <w:instrText xml:space="preserve"> REF _Ref20894 \h </w:instrText>
      </w:r>
      <w:r>
        <w:rPr>
          <w:b/>
          <w:bCs/>
          <w:i/>
          <w:iCs/>
          <w:sz w:val="24"/>
          <w:szCs w:val="24"/>
        </w:rPr>
      </w:r>
      <w:r>
        <w:rPr>
          <w:b/>
          <w:bCs/>
          <w:i/>
          <w:iCs/>
          <w:sz w:val="24"/>
          <w:szCs w:val="24"/>
        </w:rPr>
        <w:fldChar w:fldCharType="separate"/>
      </w:r>
      <w:r>
        <w:t>Tabelul 121</w:t>
      </w:r>
      <w:r>
        <w:rPr>
          <w:b/>
          <w:bCs/>
          <w:i/>
          <w:iCs/>
          <w:sz w:val="24"/>
          <w:szCs w:val="24"/>
        </w:rPr>
        <w:fldChar w:fldCharType="end"/>
      </w:r>
      <w:r>
        <w:rPr>
          <w:b/>
          <w:bCs/>
          <w:sz w:val="24"/>
          <w:szCs w:val="24"/>
        </w:rPr>
        <w:t>.</w:t>
      </w:r>
    </w:p>
    <w:p w14:paraId="6EE585B4" w14:textId="77777777" w:rsidR="001C08A5" w:rsidRDefault="00000000">
      <w:pPr>
        <w:ind w:firstLine="720"/>
        <w:jc w:val="both"/>
        <w:rPr>
          <w:b/>
          <w:sz w:val="24"/>
          <w:szCs w:val="24"/>
        </w:rPr>
      </w:pPr>
      <w:r>
        <w:rPr>
          <w:b/>
          <w:sz w:val="24"/>
          <w:szCs w:val="24"/>
        </w:rPr>
        <w:t xml:space="preserve">(2) </w:t>
      </w:r>
      <w:r>
        <w:rPr>
          <w:sz w:val="24"/>
          <w:szCs w:val="24"/>
        </w:rPr>
        <w:t>Ecranele continui se fixeaza de elementele de rezistenţă ale constructiei din zona riscului potenţial de incendiu</w:t>
      </w:r>
    </w:p>
    <w:p w14:paraId="76474199" w14:textId="77777777" w:rsidR="001C08A5" w:rsidRDefault="001C08A5">
      <w:pPr>
        <w:jc w:val="both"/>
        <w:rPr>
          <w:b/>
          <w:sz w:val="24"/>
          <w:szCs w:val="24"/>
        </w:rPr>
      </w:pPr>
    </w:p>
    <w:p w14:paraId="26AC8A7D" w14:textId="77777777" w:rsidR="001C08A5" w:rsidRDefault="00000000">
      <w:pPr>
        <w:pStyle w:val="Captiontabel"/>
      </w:pPr>
      <w:bookmarkStart w:id="5758" w:name="_Ref20894"/>
      <w:bookmarkStart w:id="5759" w:name="_Toc162360171"/>
      <w:r>
        <w:t xml:space="preserve">Tabelul </w:t>
      </w:r>
      <w:r>
        <w:fldChar w:fldCharType="begin"/>
      </w:r>
      <w:r>
        <w:instrText xml:space="preserve"> SEQ Tabelul \* ARABIC </w:instrText>
      </w:r>
      <w:r>
        <w:fldChar w:fldCharType="separate"/>
      </w:r>
      <w:r>
        <w:t>121</w:t>
      </w:r>
      <w:r>
        <w:fldChar w:fldCharType="end"/>
      </w:r>
      <w:bookmarkStart w:id="5760" w:name="_Toc13604"/>
      <w:bookmarkStart w:id="5761" w:name="_Toc19832"/>
      <w:bookmarkStart w:id="5762" w:name="_Toc3374"/>
      <w:bookmarkStart w:id="5763" w:name="_Toc28628"/>
      <w:bookmarkStart w:id="5764" w:name="_Toc29664"/>
      <w:bookmarkStart w:id="5765" w:name="_Toc690"/>
      <w:bookmarkStart w:id="5766" w:name="_Toc28971"/>
      <w:bookmarkStart w:id="5767" w:name="_Toc12620"/>
      <w:bookmarkStart w:id="5768" w:name="_Toc26397"/>
      <w:bookmarkStart w:id="5769" w:name="_Toc8325"/>
      <w:bookmarkStart w:id="5770" w:name="_Toc12513"/>
      <w:bookmarkStart w:id="5771" w:name="_Toc18324"/>
      <w:bookmarkStart w:id="5772" w:name="_Toc8179"/>
      <w:bookmarkStart w:id="5773" w:name="_Toc752"/>
      <w:bookmarkStart w:id="5774" w:name="_Toc1065"/>
      <w:bookmarkStart w:id="5775" w:name="_Toc10792"/>
      <w:bookmarkStart w:id="5776" w:name="_Toc3217"/>
      <w:bookmarkStart w:id="5777" w:name="_Toc30221"/>
      <w:bookmarkStart w:id="5778" w:name="_Toc23623"/>
      <w:bookmarkEnd w:id="5758"/>
      <w:r>
        <w:t>: Dispunere a ecranelor continui în sistem de evacuare a fumului şi gazelor fierbinţi prin tiraj natural-organizat</w:t>
      </w:r>
      <w:bookmarkEnd w:id="5759"/>
      <w:r>
        <w:t xml:space="preserve">   </w:t>
      </w:r>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p>
    <w:p w14:paraId="44499349" w14:textId="77777777" w:rsidR="001C08A5" w:rsidRDefault="001C08A5">
      <w:pPr>
        <w:jc w:val="both"/>
        <w:rPr>
          <w:sz w:val="24"/>
          <w:szCs w:val="24"/>
        </w:rPr>
      </w:pPr>
    </w:p>
    <w:tbl>
      <w:tblPr>
        <w:tblW w:w="6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55"/>
        <w:gridCol w:w="3150"/>
      </w:tblGrid>
      <w:tr w:rsidR="001C08A5" w14:paraId="45F0282A" w14:textId="77777777">
        <w:trPr>
          <w:trHeight w:val="908"/>
          <w:tblHeader/>
          <w:jc w:val="center"/>
        </w:trPr>
        <w:tc>
          <w:tcPr>
            <w:tcW w:w="3455" w:type="dxa"/>
            <w:shd w:val="clear" w:color="auto" w:fill="D9D9D9"/>
            <w:vAlign w:val="center"/>
          </w:tcPr>
          <w:p w14:paraId="55A421FF" w14:textId="77777777" w:rsidR="001C08A5" w:rsidRDefault="001C08A5">
            <w:pPr>
              <w:snapToGrid w:val="0"/>
              <w:jc w:val="center"/>
              <w:rPr>
                <w:b/>
                <w:i/>
                <w:iCs/>
                <w:sz w:val="22"/>
                <w:szCs w:val="22"/>
              </w:rPr>
            </w:pPr>
          </w:p>
          <w:p w14:paraId="14B9229C" w14:textId="77777777" w:rsidR="001C08A5" w:rsidRDefault="00000000">
            <w:pPr>
              <w:jc w:val="center"/>
              <w:rPr>
                <w:b/>
                <w:i/>
                <w:iCs/>
                <w:sz w:val="22"/>
                <w:szCs w:val="22"/>
              </w:rPr>
            </w:pPr>
            <w:r>
              <w:rPr>
                <w:b/>
                <w:i/>
                <w:iCs/>
                <w:sz w:val="22"/>
                <w:szCs w:val="22"/>
              </w:rPr>
              <w:t>Densitatea sarcinii termice “q” (MJ/m²)</w:t>
            </w:r>
          </w:p>
        </w:tc>
        <w:tc>
          <w:tcPr>
            <w:tcW w:w="3150" w:type="dxa"/>
            <w:shd w:val="clear" w:color="auto" w:fill="D9D9D9"/>
            <w:vAlign w:val="center"/>
          </w:tcPr>
          <w:p w14:paraId="1D716E86" w14:textId="77777777" w:rsidR="001C08A5" w:rsidRDefault="001C08A5">
            <w:pPr>
              <w:jc w:val="center"/>
              <w:rPr>
                <w:b/>
                <w:i/>
                <w:iCs/>
                <w:sz w:val="22"/>
                <w:szCs w:val="22"/>
              </w:rPr>
            </w:pPr>
          </w:p>
          <w:p w14:paraId="23A9D8D5" w14:textId="77777777" w:rsidR="001C08A5" w:rsidRDefault="00000000">
            <w:pPr>
              <w:jc w:val="center"/>
              <w:rPr>
                <w:b/>
                <w:i/>
                <w:iCs/>
                <w:sz w:val="22"/>
                <w:szCs w:val="22"/>
              </w:rPr>
            </w:pPr>
            <w:r>
              <w:rPr>
                <w:b/>
                <w:i/>
                <w:iCs/>
                <w:sz w:val="22"/>
                <w:szCs w:val="22"/>
              </w:rPr>
              <w:t>Raportul dintre suma ariilor libere ale gurilor de evacuare a fumului şi aria incăperii</w:t>
            </w:r>
          </w:p>
        </w:tc>
      </w:tr>
      <w:tr w:rsidR="001C08A5" w14:paraId="5A1624B7" w14:textId="77777777">
        <w:trPr>
          <w:jc w:val="center"/>
        </w:trPr>
        <w:tc>
          <w:tcPr>
            <w:tcW w:w="3455" w:type="dxa"/>
            <w:vAlign w:val="center"/>
          </w:tcPr>
          <w:p w14:paraId="2941A35C" w14:textId="77777777" w:rsidR="001C08A5" w:rsidRDefault="00000000">
            <w:pPr>
              <w:pStyle w:val="Contenutotabellacentrato"/>
              <w:keepNext/>
              <w:spacing w:line="360" w:lineRule="auto"/>
              <w:rPr>
                <w:b/>
                <w:i/>
                <w:iCs/>
                <w:sz w:val="22"/>
                <w:szCs w:val="22"/>
              </w:rPr>
            </w:pPr>
            <w:r>
              <w:rPr>
                <w:b/>
                <w:bCs/>
                <w:i/>
                <w:iCs/>
                <w:sz w:val="22"/>
                <w:szCs w:val="22"/>
              </w:rPr>
              <w:t>q ≤ 420 MJ/m</w:t>
            </w:r>
            <w:r>
              <w:rPr>
                <w:b/>
                <w:bCs/>
                <w:i/>
                <w:iCs/>
                <w:sz w:val="22"/>
                <w:szCs w:val="22"/>
                <w:vertAlign w:val="superscript"/>
              </w:rPr>
              <w:t>2</w:t>
            </w:r>
          </w:p>
        </w:tc>
        <w:tc>
          <w:tcPr>
            <w:tcW w:w="3150" w:type="dxa"/>
            <w:vAlign w:val="center"/>
          </w:tcPr>
          <w:p w14:paraId="5624BA91" w14:textId="77777777" w:rsidR="001C08A5" w:rsidRDefault="00000000">
            <w:pPr>
              <w:spacing w:line="360" w:lineRule="auto"/>
              <w:jc w:val="center"/>
              <w:rPr>
                <w:b/>
                <w:i/>
                <w:iCs/>
                <w:strike/>
                <w:sz w:val="22"/>
                <w:szCs w:val="22"/>
              </w:rPr>
            </w:pPr>
            <w:r>
              <w:rPr>
                <w:b/>
                <w:i/>
                <w:iCs/>
                <w:sz w:val="22"/>
                <w:szCs w:val="22"/>
              </w:rPr>
              <w:t>1 : 100</w:t>
            </w:r>
          </w:p>
        </w:tc>
      </w:tr>
      <w:tr w:rsidR="001C08A5" w14:paraId="06579751" w14:textId="77777777">
        <w:trPr>
          <w:jc w:val="center"/>
        </w:trPr>
        <w:tc>
          <w:tcPr>
            <w:tcW w:w="3455" w:type="dxa"/>
            <w:vAlign w:val="center"/>
          </w:tcPr>
          <w:p w14:paraId="1E8B6ABB" w14:textId="77777777" w:rsidR="001C08A5" w:rsidRDefault="00000000">
            <w:pPr>
              <w:pStyle w:val="Contenutotabellacentrato"/>
              <w:keepNext/>
              <w:spacing w:line="360" w:lineRule="auto"/>
              <w:rPr>
                <w:b/>
                <w:i/>
                <w:iCs/>
                <w:sz w:val="22"/>
                <w:szCs w:val="22"/>
              </w:rPr>
            </w:pPr>
            <w:r>
              <w:rPr>
                <w:b/>
                <w:bCs/>
                <w:i/>
                <w:iCs/>
                <w:sz w:val="22"/>
                <w:szCs w:val="22"/>
              </w:rPr>
              <w:t>420 MJ/m</w:t>
            </w:r>
            <w:r>
              <w:rPr>
                <w:b/>
                <w:bCs/>
                <w:i/>
                <w:iCs/>
                <w:sz w:val="22"/>
                <w:szCs w:val="22"/>
                <w:vertAlign w:val="superscript"/>
              </w:rPr>
              <w:t xml:space="preserve">2 </w:t>
            </w:r>
            <w:r>
              <w:rPr>
                <w:b/>
                <w:bCs/>
                <w:i/>
                <w:iCs/>
                <w:sz w:val="22"/>
                <w:szCs w:val="22"/>
              </w:rPr>
              <w:t>&lt;q ≤ 840 MJ/m</w:t>
            </w:r>
            <w:r>
              <w:rPr>
                <w:b/>
                <w:bCs/>
                <w:i/>
                <w:iCs/>
                <w:sz w:val="22"/>
                <w:szCs w:val="22"/>
                <w:vertAlign w:val="superscript"/>
              </w:rPr>
              <w:t>2</w:t>
            </w:r>
          </w:p>
        </w:tc>
        <w:tc>
          <w:tcPr>
            <w:tcW w:w="3150" w:type="dxa"/>
            <w:vAlign w:val="center"/>
          </w:tcPr>
          <w:p w14:paraId="658A5123" w14:textId="77777777" w:rsidR="001C08A5" w:rsidRDefault="00000000">
            <w:pPr>
              <w:spacing w:line="360" w:lineRule="auto"/>
              <w:jc w:val="center"/>
              <w:rPr>
                <w:b/>
                <w:i/>
                <w:iCs/>
                <w:strike/>
                <w:sz w:val="22"/>
                <w:szCs w:val="22"/>
              </w:rPr>
            </w:pPr>
            <w:r>
              <w:rPr>
                <w:b/>
                <w:i/>
                <w:iCs/>
                <w:sz w:val="22"/>
                <w:szCs w:val="22"/>
              </w:rPr>
              <w:t xml:space="preserve">1 : 100 </w:t>
            </w:r>
            <w:r>
              <w:rPr>
                <w:i/>
                <w:iCs/>
                <w:sz w:val="22"/>
                <w:szCs w:val="22"/>
              </w:rPr>
              <w:t>la</w:t>
            </w:r>
            <w:r>
              <w:rPr>
                <w:b/>
                <w:i/>
                <w:iCs/>
                <w:sz w:val="22"/>
                <w:szCs w:val="22"/>
              </w:rPr>
              <w:t xml:space="preserve"> 1 : 80</w:t>
            </w:r>
          </w:p>
        </w:tc>
      </w:tr>
      <w:tr w:rsidR="001C08A5" w14:paraId="1FEA076E" w14:textId="77777777">
        <w:trPr>
          <w:jc w:val="center"/>
        </w:trPr>
        <w:tc>
          <w:tcPr>
            <w:tcW w:w="3455" w:type="dxa"/>
            <w:vAlign w:val="center"/>
          </w:tcPr>
          <w:p w14:paraId="6954AB9B" w14:textId="77777777" w:rsidR="001C08A5" w:rsidRDefault="00000000">
            <w:pPr>
              <w:pStyle w:val="Contenutotabellacentrato"/>
              <w:keepNext/>
              <w:spacing w:line="360" w:lineRule="auto"/>
              <w:rPr>
                <w:b/>
                <w:i/>
                <w:iCs/>
                <w:sz w:val="22"/>
                <w:szCs w:val="22"/>
              </w:rPr>
            </w:pPr>
            <w:r>
              <w:rPr>
                <w:b/>
                <w:bCs/>
                <w:i/>
                <w:iCs/>
                <w:sz w:val="22"/>
                <w:szCs w:val="22"/>
              </w:rPr>
              <w:t>840 MJ/m</w:t>
            </w:r>
            <w:r>
              <w:rPr>
                <w:b/>
                <w:bCs/>
                <w:i/>
                <w:iCs/>
                <w:sz w:val="22"/>
                <w:szCs w:val="22"/>
                <w:vertAlign w:val="superscript"/>
              </w:rPr>
              <w:t xml:space="preserve">2 </w:t>
            </w:r>
            <w:r>
              <w:rPr>
                <w:b/>
                <w:bCs/>
                <w:i/>
                <w:iCs/>
                <w:sz w:val="22"/>
                <w:szCs w:val="22"/>
              </w:rPr>
              <w:t>&lt;q ≤ 1 680 MJ/m</w:t>
            </w:r>
            <w:r>
              <w:rPr>
                <w:b/>
                <w:bCs/>
                <w:i/>
                <w:iCs/>
                <w:sz w:val="22"/>
                <w:szCs w:val="22"/>
                <w:vertAlign w:val="superscript"/>
              </w:rPr>
              <w:t>2</w:t>
            </w:r>
          </w:p>
        </w:tc>
        <w:tc>
          <w:tcPr>
            <w:tcW w:w="3150" w:type="dxa"/>
            <w:vAlign w:val="center"/>
          </w:tcPr>
          <w:p w14:paraId="70484773" w14:textId="77777777" w:rsidR="001C08A5" w:rsidRDefault="00000000">
            <w:pPr>
              <w:spacing w:line="360" w:lineRule="auto"/>
              <w:jc w:val="center"/>
              <w:rPr>
                <w:b/>
                <w:i/>
                <w:iCs/>
                <w:strike/>
                <w:sz w:val="22"/>
                <w:szCs w:val="22"/>
              </w:rPr>
            </w:pPr>
            <w:r>
              <w:rPr>
                <w:b/>
                <w:i/>
                <w:iCs/>
                <w:sz w:val="22"/>
                <w:szCs w:val="22"/>
              </w:rPr>
              <w:t xml:space="preserve">1 : 80 </w:t>
            </w:r>
            <w:r>
              <w:rPr>
                <w:i/>
                <w:iCs/>
                <w:sz w:val="22"/>
                <w:szCs w:val="22"/>
              </w:rPr>
              <w:t>la</w:t>
            </w:r>
            <w:r>
              <w:rPr>
                <w:b/>
                <w:i/>
                <w:iCs/>
                <w:sz w:val="22"/>
                <w:szCs w:val="22"/>
              </w:rPr>
              <w:t xml:space="preserve"> 1 : 66,(6)</w:t>
            </w:r>
          </w:p>
        </w:tc>
      </w:tr>
      <w:tr w:rsidR="001C08A5" w14:paraId="5224C19C" w14:textId="77777777">
        <w:trPr>
          <w:jc w:val="center"/>
        </w:trPr>
        <w:tc>
          <w:tcPr>
            <w:tcW w:w="3455" w:type="dxa"/>
            <w:vAlign w:val="center"/>
          </w:tcPr>
          <w:p w14:paraId="702BDC27" w14:textId="77777777" w:rsidR="001C08A5" w:rsidRDefault="00000000">
            <w:pPr>
              <w:pStyle w:val="Contenutotabellacentrato"/>
              <w:keepNext/>
              <w:spacing w:line="360" w:lineRule="auto"/>
              <w:rPr>
                <w:b/>
                <w:i/>
                <w:iCs/>
                <w:sz w:val="22"/>
                <w:szCs w:val="22"/>
              </w:rPr>
            </w:pPr>
            <w:r>
              <w:rPr>
                <w:b/>
                <w:bCs/>
                <w:i/>
                <w:iCs/>
                <w:sz w:val="22"/>
                <w:szCs w:val="22"/>
              </w:rPr>
              <w:t>1680 MJ/m</w:t>
            </w:r>
            <w:r>
              <w:rPr>
                <w:b/>
                <w:bCs/>
                <w:i/>
                <w:iCs/>
                <w:sz w:val="22"/>
                <w:szCs w:val="22"/>
                <w:vertAlign w:val="superscript"/>
              </w:rPr>
              <w:t xml:space="preserve">2 </w:t>
            </w:r>
            <w:r>
              <w:rPr>
                <w:b/>
                <w:bCs/>
                <w:i/>
                <w:iCs/>
                <w:sz w:val="22"/>
                <w:szCs w:val="22"/>
              </w:rPr>
              <w:t>&lt;q ≤ 4200 MJ/m</w:t>
            </w:r>
            <w:r>
              <w:rPr>
                <w:b/>
                <w:bCs/>
                <w:i/>
                <w:iCs/>
                <w:sz w:val="22"/>
                <w:szCs w:val="22"/>
                <w:vertAlign w:val="superscript"/>
              </w:rPr>
              <w:t>2</w:t>
            </w:r>
          </w:p>
        </w:tc>
        <w:tc>
          <w:tcPr>
            <w:tcW w:w="3150" w:type="dxa"/>
            <w:vAlign w:val="center"/>
          </w:tcPr>
          <w:p w14:paraId="5DA9B229" w14:textId="77777777" w:rsidR="001C08A5" w:rsidRDefault="00000000">
            <w:pPr>
              <w:spacing w:line="360" w:lineRule="auto"/>
              <w:jc w:val="center"/>
              <w:rPr>
                <w:b/>
                <w:i/>
                <w:iCs/>
                <w:strike/>
                <w:sz w:val="22"/>
                <w:szCs w:val="22"/>
              </w:rPr>
            </w:pPr>
            <w:r>
              <w:rPr>
                <w:b/>
                <w:i/>
                <w:iCs/>
                <w:sz w:val="22"/>
                <w:szCs w:val="22"/>
              </w:rPr>
              <w:t xml:space="preserve">1 : 66,(6) </w:t>
            </w:r>
            <w:r>
              <w:rPr>
                <w:i/>
                <w:iCs/>
                <w:sz w:val="22"/>
                <w:szCs w:val="22"/>
              </w:rPr>
              <w:t>la</w:t>
            </w:r>
            <w:r>
              <w:rPr>
                <w:b/>
                <w:i/>
                <w:iCs/>
                <w:sz w:val="22"/>
                <w:szCs w:val="22"/>
              </w:rPr>
              <w:t xml:space="preserve"> 1 : 40</w:t>
            </w:r>
          </w:p>
        </w:tc>
      </w:tr>
      <w:tr w:rsidR="001C08A5" w14:paraId="3EA36A97" w14:textId="77777777">
        <w:trPr>
          <w:jc w:val="center"/>
        </w:trPr>
        <w:tc>
          <w:tcPr>
            <w:tcW w:w="3455" w:type="dxa"/>
            <w:vAlign w:val="center"/>
          </w:tcPr>
          <w:p w14:paraId="67245B08" w14:textId="77777777" w:rsidR="001C08A5" w:rsidRDefault="00000000">
            <w:pPr>
              <w:pStyle w:val="Contenutotabellacentrato"/>
              <w:keepNext/>
              <w:spacing w:line="360" w:lineRule="auto"/>
              <w:rPr>
                <w:b/>
                <w:i/>
                <w:iCs/>
                <w:sz w:val="22"/>
                <w:szCs w:val="22"/>
              </w:rPr>
            </w:pPr>
            <w:r>
              <w:rPr>
                <w:b/>
                <w:bCs/>
                <w:i/>
                <w:iCs/>
                <w:sz w:val="22"/>
                <w:szCs w:val="22"/>
              </w:rPr>
              <w:t>q &gt; 4200 MJ/m</w:t>
            </w:r>
            <w:r>
              <w:rPr>
                <w:b/>
                <w:bCs/>
                <w:i/>
                <w:iCs/>
                <w:sz w:val="22"/>
                <w:szCs w:val="22"/>
                <w:vertAlign w:val="superscript"/>
              </w:rPr>
              <w:t>2</w:t>
            </w:r>
          </w:p>
        </w:tc>
        <w:tc>
          <w:tcPr>
            <w:tcW w:w="3150" w:type="dxa"/>
            <w:vAlign w:val="center"/>
          </w:tcPr>
          <w:p w14:paraId="78C5282E" w14:textId="77777777" w:rsidR="001C08A5" w:rsidRDefault="00000000">
            <w:pPr>
              <w:spacing w:line="360" w:lineRule="auto"/>
              <w:jc w:val="center"/>
              <w:rPr>
                <w:b/>
                <w:i/>
                <w:iCs/>
                <w:sz w:val="22"/>
                <w:szCs w:val="22"/>
              </w:rPr>
            </w:pPr>
            <w:r>
              <w:rPr>
                <w:b/>
                <w:i/>
                <w:iCs/>
                <w:sz w:val="22"/>
                <w:szCs w:val="22"/>
              </w:rPr>
              <w:t>1 : 30</w:t>
            </w:r>
          </w:p>
        </w:tc>
      </w:tr>
    </w:tbl>
    <w:p w14:paraId="1E3D02B1" w14:textId="77777777" w:rsidR="001C08A5" w:rsidRDefault="00000000">
      <w:pPr>
        <w:jc w:val="both"/>
        <w:rPr>
          <w:i/>
          <w:iCs/>
          <w:sz w:val="22"/>
          <w:szCs w:val="22"/>
        </w:rPr>
      </w:pPr>
      <w:r>
        <w:rPr>
          <w:i/>
          <w:iCs/>
          <w:sz w:val="22"/>
          <w:szCs w:val="22"/>
        </w:rPr>
        <w:t xml:space="preserve">Nota: </w:t>
      </w:r>
    </w:p>
    <w:p w14:paraId="259CFFFE" w14:textId="77777777" w:rsidR="001C08A5" w:rsidRDefault="00000000">
      <w:pPr>
        <w:jc w:val="both"/>
        <w:rPr>
          <w:i/>
          <w:iCs/>
          <w:sz w:val="22"/>
          <w:szCs w:val="22"/>
        </w:rPr>
      </w:pPr>
      <w:r>
        <w:rPr>
          <w:i/>
          <w:iCs/>
          <w:sz w:val="22"/>
          <w:szCs w:val="22"/>
        </w:rPr>
        <w:t xml:space="preserve">- pentru valorile intermediare de calcul a densitatii sarcinii termice, </w:t>
      </w:r>
      <w:r>
        <w:rPr>
          <w:i/>
          <w:iCs/>
          <w:sz w:val="22"/>
          <w:szCs w:val="22"/>
          <w:u w:val="single"/>
        </w:rPr>
        <w:t>raportul se determina prin interpolare liniara</w:t>
      </w:r>
    </w:p>
    <w:p w14:paraId="131575E3" w14:textId="77777777" w:rsidR="001C08A5" w:rsidRDefault="001C08A5">
      <w:pPr>
        <w:jc w:val="both"/>
        <w:rPr>
          <w:sz w:val="24"/>
          <w:szCs w:val="24"/>
        </w:rPr>
      </w:pPr>
    </w:p>
    <w:p w14:paraId="39584B4C" w14:textId="77777777" w:rsidR="001C08A5" w:rsidRDefault="00000000">
      <w:pPr>
        <w:ind w:firstLine="708"/>
        <w:jc w:val="both"/>
        <w:rPr>
          <w:sz w:val="24"/>
          <w:szCs w:val="24"/>
        </w:rPr>
      </w:pPr>
      <w:r>
        <w:rPr>
          <w:b/>
          <w:sz w:val="24"/>
          <w:szCs w:val="24"/>
        </w:rPr>
        <w:t xml:space="preserve">Art. </w:t>
      </w:r>
      <w:r>
        <w:rPr>
          <w:b/>
          <w:bCs/>
          <w:sz w:val="24"/>
          <w:szCs w:val="24"/>
        </w:rPr>
        <w:t>8.7.4</w:t>
      </w:r>
      <w:r>
        <w:rPr>
          <w:b/>
          <w:sz w:val="24"/>
          <w:szCs w:val="24"/>
        </w:rPr>
        <w:t xml:space="preserve">. (1) </w:t>
      </w:r>
      <w:r>
        <w:rPr>
          <w:sz w:val="24"/>
          <w:szCs w:val="24"/>
        </w:rPr>
        <w:t>Golurile pentru evacuarea fumului şi a gazelor fierbinţi în caz de incendiu se distribuie cât mai uniform în spaţiul protejat şi pot fi permanent deschise sau închise (protejate cu dispozitive cu deschidere automată în caz de incendiu și cu acţionări manuale).</w:t>
      </w:r>
    </w:p>
    <w:p w14:paraId="0B4D878B" w14:textId="77777777" w:rsidR="001C08A5" w:rsidRDefault="00000000">
      <w:pPr>
        <w:ind w:firstLine="720"/>
        <w:jc w:val="both"/>
        <w:rPr>
          <w:sz w:val="24"/>
          <w:szCs w:val="24"/>
        </w:rPr>
      </w:pPr>
      <w:r>
        <w:rPr>
          <w:b/>
          <w:sz w:val="24"/>
          <w:szCs w:val="24"/>
        </w:rPr>
        <w:t xml:space="preserve">(2) </w:t>
      </w:r>
      <w:r>
        <w:rPr>
          <w:sz w:val="24"/>
          <w:szCs w:val="24"/>
        </w:rPr>
        <w:t>Deschiderea dispozitivelor de evacuare a fumului şi a gazelor fierbinţi în caz de incendiu, se poate face individual sau în grup.</w:t>
      </w:r>
    </w:p>
    <w:p w14:paraId="3855864F" w14:textId="77777777" w:rsidR="001C08A5" w:rsidRDefault="00000000">
      <w:pPr>
        <w:ind w:firstLine="720"/>
        <w:jc w:val="both"/>
        <w:rPr>
          <w:sz w:val="24"/>
          <w:szCs w:val="24"/>
        </w:rPr>
      </w:pPr>
      <w:r>
        <w:rPr>
          <w:b/>
          <w:sz w:val="24"/>
          <w:szCs w:val="24"/>
        </w:rPr>
        <w:t>(3)</w:t>
      </w:r>
      <w:r>
        <w:rPr>
          <w:sz w:val="24"/>
          <w:szCs w:val="24"/>
        </w:rPr>
        <w:t xml:space="preserve"> Atunci când există goluri pentru evacuarea fumului practicate în acoperiş, în treimea superioară a șarpantei, raportată la înălțimea maximă a șarpantei, sau în treimea superioară a pereţilor exteriori ai încăperii (atunci cand tavanul are o înclinare mai mica de </w:t>
      </w:r>
      <w:r>
        <w:rPr>
          <w:b/>
          <w:bCs/>
          <w:sz w:val="24"/>
          <w:szCs w:val="24"/>
        </w:rPr>
        <w:t>20</w:t>
      </w:r>
      <w:r>
        <w:rPr>
          <w:b/>
          <w:bCs/>
          <w:sz w:val="24"/>
          <w:szCs w:val="24"/>
          <w:vertAlign w:val="superscript"/>
        </w:rPr>
        <w:t>0</w:t>
      </w:r>
      <w:r>
        <w:rPr>
          <w:sz w:val="24"/>
          <w:szCs w:val="24"/>
        </w:rPr>
        <w:t>), acestea se însumează la suprafaţa necesară evacuării fumului şi a gazelor fierbinţi produse în caz de incendiu.</w:t>
      </w:r>
    </w:p>
    <w:p w14:paraId="440E61FC" w14:textId="77777777" w:rsidR="001C08A5" w:rsidRDefault="001C08A5">
      <w:pPr>
        <w:ind w:firstLine="720"/>
        <w:jc w:val="both"/>
        <w:rPr>
          <w:sz w:val="24"/>
          <w:szCs w:val="24"/>
        </w:rPr>
      </w:pPr>
    </w:p>
    <w:p w14:paraId="76D1DFDA" w14:textId="77777777" w:rsidR="001C08A5" w:rsidRDefault="00000000">
      <w:pPr>
        <w:ind w:firstLine="708"/>
        <w:jc w:val="both"/>
        <w:rPr>
          <w:sz w:val="24"/>
          <w:szCs w:val="24"/>
        </w:rPr>
      </w:pPr>
      <w:r>
        <w:rPr>
          <w:b/>
          <w:sz w:val="24"/>
          <w:szCs w:val="24"/>
        </w:rPr>
        <w:lastRenderedPageBreak/>
        <w:tab/>
        <w:t xml:space="preserve">Art. </w:t>
      </w:r>
      <w:r>
        <w:rPr>
          <w:b/>
          <w:bCs/>
          <w:sz w:val="24"/>
          <w:szCs w:val="24"/>
        </w:rPr>
        <w:t>8.7.5</w:t>
      </w:r>
      <w:r>
        <w:rPr>
          <w:b/>
          <w:sz w:val="24"/>
          <w:szCs w:val="24"/>
        </w:rPr>
        <w:t xml:space="preserve">. </w:t>
      </w:r>
      <w:r>
        <w:rPr>
          <w:sz w:val="24"/>
          <w:szCs w:val="24"/>
        </w:rPr>
        <w:t xml:space="preserve">Dispozitivele de evacuare prin tiraj natural-organizat a fumului şi a gazelor fierbinţi prevăzute în normativ, trebuie să îndeplinească cerinţele prevăzute în normativ și în seria de standarde europene </w:t>
      </w:r>
      <w:r>
        <w:rPr>
          <w:b/>
          <w:bCs/>
          <w:sz w:val="24"/>
          <w:szCs w:val="24"/>
        </w:rPr>
        <w:t>SR EN 12101</w:t>
      </w:r>
      <w:r>
        <w:rPr>
          <w:sz w:val="24"/>
          <w:szCs w:val="24"/>
        </w:rPr>
        <w:t xml:space="preserve"> precum și</w:t>
      </w:r>
      <w:r>
        <w:rPr>
          <w:b/>
          <w:bCs/>
          <w:sz w:val="24"/>
          <w:szCs w:val="24"/>
        </w:rPr>
        <w:t xml:space="preserve"> SR CEN/TR 12101-4 </w:t>
      </w:r>
      <w:r>
        <w:rPr>
          <w:sz w:val="24"/>
          <w:szCs w:val="24"/>
        </w:rPr>
        <w:t xml:space="preserve">și </w:t>
      </w:r>
      <w:r>
        <w:rPr>
          <w:b/>
          <w:bCs/>
          <w:sz w:val="24"/>
          <w:szCs w:val="24"/>
        </w:rPr>
        <w:t>SR CEN/TR 10101-5</w:t>
      </w:r>
      <w:r>
        <w:rPr>
          <w:sz w:val="24"/>
          <w:szCs w:val="24"/>
        </w:rPr>
        <w:t>.</w:t>
      </w:r>
    </w:p>
    <w:p w14:paraId="6C85B032" w14:textId="77777777" w:rsidR="001C08A5" w:rsidRDefault="001C08A5">
      <w:pPr>
        <w:rPr>
          <w:sz w:val="24"/>
          <w:szCs w:val="24"/>
        </w:rPr>
      </w:pPr>
    </w:p>
    <w:p w14:paraId="5FC54DB2" w14:textId="77777777" w:rsidR="001C08A5" w:rsidRDefault="00000000">
      <w:pPr>
        <w:ind w:firstLine="708"/>
        <w:jc w:val="both"/>
        <w:rPr>
          <w:sz w:val="24"/>
          <w:szCs w:val="24"/>
        </w:rPr>
      </w:pPr>
      <w:r>
        <w:rPr>
          <w:b/>
          <w:sz w:val="24"/>
          <w:szCs w:val="24"/>
        </w:rPr>
        <w:t xml:space="preserve">Art. </w:t>
      </w:r>
      <w:r>
        <w:rPr>
          <w:b/>
          <w:bCs/>
          <w:sz w:val="24"/>
          <w:szCs w:val="24"/>
        </w:rPr>
        <w:t>8.7.6</w:t>
      </w:r>
      <w:r>
        <w:rPr>
          <w:b/>
          <w:sz w:val="24"/>
          <w:szCs w:val="24"/>
        </w:rPr>
        <w:t xml:space="preserve">. </w:t>
      </w:r>
      <w:r>
        <w:rPr>
          <w:sz w:val="24"/>
          <w:szCs w:val="24"/>
        </w:rPr>
        <w:t xml:space="preserve">La evacuarea fumului şi gazelor fierbinţi prin </w:t>
      </w:r>
      <w:r>
        <w:rPr>
          <w:iCs/>
          <w:sz w:val="24"/>
          <w:szCs w:val="24"/>
        </w:rPr>
        <w:t>ventilare mecanică</w:t>
      </w:r>
      <w:r>
        <w:rPr>
          <w:sz w:val="24"/>
          <w:szCs w:val="24"/>
        </w:rPr>
        <w:t>, se respectă următoarele condiţii:</w:t>
      </w:r>
    </w:p>
    <w:p w14:paraId="2F429648" w14:textId="77777777" w:rsidR="001C08A5" w:rsidRDefault="00000000">
      <w:pPr>
        <w:ind w:left="1843"/>
        <w:jc w:val="both"/>
        <w:rPr>
          <w:sz w:val="24"/>
          <w:szCs w:val="24"/>
        </w:rPr>
      </w:pPr>
      <w:r>
        <w:rPr>
          <w:b/>
          <w:sz w:val="24"/>
          <w:szCs w:val="24"/>
        </w:rPr>
        <w:t>a)</w:t>
      </w:r>
      <w:r>
        <w:rPr>
          <w:sz w:val="24"/>
          <w:szCs w:val="24"/>
        </w:rPr>
        <w:t xml:space="preserve"> dispunerea ecranelor se realizează corespunzător prevederilor normate pentru sistemului de evacuare prin tiraj natural-organizat şi vor fi continui, alcătuite și dispuse încât să realizeze o casetare a spaţiului de sub acoperiş sau planşeul superior;</w:t>
      </w:r>
    </w:p>
    <w:p w14:paraId="288C2239" w14:textId="77777777" w:rsidR="001C08A5" w:rsidRDefault="00000000">
      <w:pPr>
        <w:ind w:left="1843"/>
        <w:jc w:val="both"/>
        <w:rPr>
          <w:sz w:val="24"/>
          <w:szCs w:val="24"/>
        </w:rPr>
      </w:pPr>
      <w:r>
        <w:rPr>
          <w:b/>
          <w:sz w:val="24"/>
          <w:szCs w:val="24"/>
        </w:rPr>
        <w:t>b)</w:t>
      </w:r>
      <w:r>
        <w:rPr>
          <w:sz w:val="24"/>
          <w:szCs w:val="24"/>
        </w:rPr>
        <w:t xml:space="preserve"> gurile de evacuare se dispun astfel încât să se asigure cel puţin o gură la maximum </w:t>
      </w:r>
      <w:r>
        <w:rPr>
          <w:b/>
          <w:sz w:val="24"/>
          <w:szCs w:val="24"/>
        </w:rPr>
        <w:t>200</w:t>
      </w:r>
      <w:r>
        <w:rPr>
          <w:sz w:val="24"/>
          <w:szCs w:val="24"/>
        </w:rPr>
        <w:t xml:space="preserve"> m</w:t>
      </w:r>
      <w:r>
        <w:rPr>
          <w:sz w:val="24"/>
          <w:szCs w:val="24"/>
          <w:vertAlign w:val="superscript"/>
        </w:rPr>
        <w:t>2</w:t>
      </w:r>
      <w:r>
        <w:rPr>
          <w:sz w:val="24"/>
          <w:szCs w:val="24"/>
        </w:rPr>
        <w:t>;</w:t>
      </w:r>
    </w:p>
    <w:p w14:paraId="2309A4EC" w14:textId="77777777" w:rsidR="001C08A5" w:rsidRDefault="00000000">
      <w:pPr>
        <w:ind w:left="1843"/>
        <w:jc w:val="both"/>
        <w:rPr>
          <w:sz w:val="24"/>
          <w:szCs w:val="24"/>
        </w:rPr>
      </w:pPr>
      <w:r>
        <w:rPr>
          <w:b/>
          <w:sz w:val="24"/>
          <w:szCs w:val="24"/>
        </w:rPr>
        <w:t>c)</w:t>
      </w:r>
      <w:r>
        <w:rPr>
          <w:sz w:val="24"/>
          <w:szCs w:val="24"/>
        </w:rPr>
        <w:t xml:space="preserve"> funcţie de densitatea sarcinii termice (</w:t>
      </w:r>
      <w:r>
        <w:rPr>
          <w:b/>
          <w:sz w:val="24"/>
          <w:szCs w:val="24"/>
        </w:rPr>
        <w:t>q</w:t>
      </w:r>
      <w:r>
        <w:rPr>
          <w:sz w:val="24"/>
          <w:szCs w:val="24"/>
        </w:rPr>
        <w:t xml:space="preserve">), debitul de extragere a unei guri va fi de cel puţin </w:t>
      </w:r>
      <w:r>
        <w:rPr>
          <w:b/>
          <w:sz w:val="24"/>
          <w:szCs w:val="24"/>
        </w:rPr>
        <w:t>1 m</w:t>
      </w:r>
      <w:r>
        <w:rPr>
          <w:b/>
          <w:sz w:val="24"/>
          <w:szCs w:val="24"/>
          <w:vertAlign w:val="superscript"/>
        </w:rPr>
        <w:t>3</w:t>
      </w:r>
      <w:r>
        <w:rPr>
          <w:b/>
          <w:sz w:val="24"/>
          <w:szCs w:val="24"/>
        </w:rPr>
        <w:t>/s</w:t>
      </w:r>
      <w:r>
        <w:rPr>
          <w:sz w:val="24"/>
          <w:szCs w:val="24"/>
        </w:rPr>
        <w:t xml:space="preserve"> și maximum </w:t>
      </w:r>
      <w:r>
        <w:rPr>
          <w:b/>
          <w:sz w:val="24"/>
          <w:szCs w:val="24"/>
        </w:rPr>
        <w:t>3 m</w:t>
      </w:r>
      <w:r>
        <w:rPr>
          <w:b/>
          <w:sz w:val="24"/>
          <w:szCs w:val="24"/>
          <w:vertAlign w:val="superscript"/>
        </w:rPr>
        <w:t>3</w:t>
      </w:r>
      <w:r>
        <w:rPr>
          <w:b/>
          <w:sz w:val="24"/>
          <w:szCs w:val="24"/>
        </w:rPr>
        <w:t>/s</w:t>
      </w:r>
      <w:r>
        <w:rPr>
          <w:sz w:val="24"/>
          <w:szCs w:val="24"/>
        </w:rPr>
        <w:t xml:space="preserve"> pentru </w:t>
      </w:r>
      <w:r>
        <w:rPr>
          <w:b/>
          <w:sz w:val="24"/>
          <w:szCs w:val="24"/>
        </w:rPr>
        <w:t>100 m</w:t>
      </w:r>
      <w:r>
        <w:rPr>
          <w:b/>
          <w:sz w:val="24"/>
          <w:szCs w:val="24"/>
          <w:vertAlign w:val="superscript"/>
        </w:rPr>
        <w:t xml:space="preserve">2 </w:t>
      </w:r>
      <w:r>
        <w:rPr>
          <w:sz w:val="24"/>
          <w:szCs w:val="24"/>
        </w:rPr>
        <w:t xml:space="preserve">delimitaţi de ecrane, conform prevederilor din </w:t>
      </w:r>
      <w:r>
        <w:rPr>
          <w:b/>
          <w:bCs/>
          <w:i/>
          <w:iCs/>
          <w:sz w:val="24"/>
          <w:szCs w:val="24"/>
        </w:rPr>
        <w:fldChar w:fldCharType="begin"/>
      </w:r>
      <w:r>
        <w:rPr>
          <w:b/>
          <w:bCs/>
          <w:i/>
          <w:iCs/>
          <w:sz w:val="24"/>
          <w:szCs w:val="24"/>
        </w:rPr>
        <w:instrText xml:space="preserve"> REF _Ref20982 \h </w:instrText>
      </w:r>
      <w:r>
        <w:rPr>
          <w:b/>
          <w:bCs/>
          <w:i/>
          <w:iCs/>
          <w:sz w:val="24"/>
          <w:szCs w:val="24"/>
        </w:rPr>
      </w:r>
      <w:r>
        <w:rPr>
          <w:b/>
          <w:bCs/>
          <w:i/>
          <w:iCs/>
          <w:sz w:val="24"/>
          <w:szCs w:val="24"/>
        </w:rPr>
        <w:fldChar w:fldCharType="separate"/>
      </w:r>
      <w:r>
        <w:t>Tabelul 122</w:t>
      </w:r>
      <w:r>
        <w:rPr>
          <w:b/>
          <w:bCs/>
          <w:i/>
          <w:iCs/>
          <w:sz w:val="24"/>
          <w:szCs w:val="24"/>
        </w:rPr>
        <w:fldChar w:fldCharType="end"/>
      </w:r>
      <w:r>
        <w:rPr>
          <w:b/>
          <w:bCs/>
          <w:sz w:val="24"/>
          <w:szCs w:val="24"/>
        </w:rPr>
        <w:t>:</w:t>
      </w:r>
    </w:p>
    <w:p w14:paraId="4408BEC3" w14:textId="77777777" w:rsidR="001C08A5" w:rsidRDefault="001C08A5">
      <w:pPr>
        <w:jc w:val="both"/>
        <w:rPr>
          <w:b/>
          <w:sz w:val="24"/>
          <w:szCs w:val="24"/>
        </w:rPr>
      </w:pPr>
    </w:p>
    <w:p w14:paraId="1E8B0E31" w14:textId="77777777" w:rsidR="001C08A5" w:rsidRDefault="00000000">
      <w:pPr>
        <w:pStyle w:val="Captiontabel"/>
      </w:pPr>
      <w:bookmarkStart w:id="5779" w:name="_Ref20982"/>
      <w:bookmarkStart w:id="5780" w:name="_Toc162360172"/>
      <w:r>
        <w:t xml:space="preserve">Tabelul </w:t>
      </w:r>
      <w:r>
        <w:fldChar w:fldCharType="begin"/>
      </w:r>
      <w:r>
        <w:instrText xml:space="preserve"> SEQ Tabelul \* ARABIC </w:instrText>
      </w:r>
      <w:r>
        <w:fldChar w:fldCharType="separate"/>
      </w:r>
      <w:r>
        <w:t>122</w:t>
      </w:r>
      <w:r>
        <w:fldChar w:fldCharType="end"/>
      </w:r>
      <w:bookmarkStart w:id="5781" w:name="_Toc25985"/>
      <w:bookmarkStart w:id="5782" w:name="_Toc27406"/>
      <w:bookmarkStart w:id="5783" w:name="_Toc22782"/>
      <w:bookmarkStart w:id="5784" w:name="_Toc6942"/>
      <w:bookmarkStart w:id="5785" w:name="_Toc13641"/>
      <w:bookmarkStart w:id="5786" w:name="_Toc18234"/>
      <w:bookmarkStart w:id="5787" w:name="_Toc6092"/>
      <w:bookmarkStart w:id="5788" w:name="_Toc31526"/>
      <w:bookmarkStart w:id="5789" w:name="_Toc30493"/>
      <w:bookmarkStart w:id="5790" w:name="_Toc4575"/>
      <w:bookmarkStart w:id="5791" w:name="_Toc3974"/>
      <w:bookmarkStart w:id="5792" w:name="_Toc21988"/>
      <w:bookmarkStart w:id="5793" w:name="_Toc222"/>
      <w:bookmarkStart w:id="5794" w:name="_Toc21084"/>
      <w:bookmarkStart w:id="5795" w:name="_Toc22120"/>
      <w:bookmarkStart w:id="5796" w:name="_Toc14515"/>
      <w:bookmarkStart w:id="5797" w:name="_Toc18233"/>
      <w:bookmarkStart w:id="5798" w:name="_Toc3448"/>
      <w:bookmarkStart w:id="5799" w:name="_Toc29168"/>
      <w:bookmarkEnd w:id="5779"/>
      <w:r>
        <w:t>: Debit de extragere a unei guri de evacuare a fumului şi gazelor fierbinţi prin ventilare mecanică</w:t>
      </w:r>
      <w:bookmarkEnd w:id="5780"/>
      <w:r>
        <w:t xml:space="preserve">  </w:t>
      </w:r>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p>
    <w:p w14:paraId="57AC2EFD" w14:textId="77777777" w:rsidR="001C08A5" w:rsidRDefault="001C08A5">
      <w:pPr>
        <w:jc w:val="both"/>
        <w:rPr>
          <w:sz w:val="24"/>
          <w:szCs w:val="24"/>
        </w:rPr>
      </w:pPr>
    </w:p>
    <w:tbl>
      <w:tblPr>
        <w:tblW w:w="27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1"/>
        <w:gridCol w:w="2078"/>
      </w:tblGrid>
      <w:tr w:rsidR="001C08A5" w14:paraId="2698FF31" w14:textId="77777777">
        <w:trPr>
          <w:jc w:val="center"/>
        </w:trPr>
        <w:tc>
          <w:tcPr>
            <w:tcW w:w="3064" w:type="pct"/>
            <w:shd w:val="clear" w:color="auto" w:fill="BFBFBF"/>
          </w:tcPr>
          <w:p w14:paraId="03937ACD" w14:textId="77777777" w:rsidR="001C08A5" w:rsidRDefault="00000000">
            <w:pPr>
              <w:jc w:val="center"/>
              <w:rPr>
                <w:b/>
                <w:bCs/>
                <w:i/>
                <w:iCs/>
                <w:sz w:val="22"/>
                <w:szCs w:val="22"/>
              </w:rPr>
            </w:pPr>
            <w:r>
              <w:rPr>
                <w:b/>
                <w:bCs/>
                <w:i/>
                <w:iCs/>
                <w:sz w:val="22"/>
                <w:szCs w:val="22"/>
              </w:rPr>
              <w:t>Densitatea sarcinii termice (q) din încăperi</w:t>
            </w:r>
          </w:p>
          <w:p w14:paraId="4BDACA9C" w14:textId="77777777" w:rsidR="001C08A5" w:rsidRDefault="00000000">
            <w:pPr>
              <w:jc w:val="center"/>
              <w:rPr>
                <w:b/>
                <w:bCs/>
                <w:i/>
                <w:iCs/>
                <w:sz w:val="22"/>
                <w:szCs w:val="22"/>
              </w:rPr>
            </w:pPr>
            <w:r>
              <w:rPr>
                <w:b/>
                <w:bCs/>
                <w:i/>
                <w:iCs/>
                <w:sz w:val="22"/>
                <w:szCs w:val="22"/>
              </w:rPr>
              <w:t>(MJ/m</w:t>
            </w:r>
            <w:r>
              <w:rPr>
                <w:b/>
                <w:bCs/>
                <w:i/>
                <w:iCs/>
                <w:sz w:val="22"/>
                <w:szCs w:val="22"/>
                <w:vertAlign w:val="superscript"/>
              </w:rPr>
              <w:t>2</w:t>
            </w:r>
            <w:r>
              <w:rPr>
                <w:b/>
                <w:bCs/>
                <w:i/>
                <w:iCs/>
                <w:sz w:val="22"/>
                <w:szCs w:val="22"/>
              </w:rPr>
              <w:t>)</w:t>
            </w:r>
          </w:p>
        </w:tc>
        <w:tc>
          <w:tcPr>
            <w:tcW w:w="1935" w:type="pct"/>
            <w:shd w:val="clear" w:color="auto" w:fill="BFBFBF"/>
          </w:tcPr>
          <w:p w14:paraId="239BAF18" w14:textId="77777777" w:rsidR="001C08A5" w:rsidRDefault="00000000">
            <w:pPr>
              <w:jc w:val="center"/>
              <w:rPr>
                <w:i/>
                <w:iCs/>
                <w:sz w:val="22"/>
                <w:szCs w:val="22"/>
              </w:rPr>
            </w:pPr>
            <w:r>
              <w:rPr>
                <w:b/>
                <w:bCs/>
                <w:i/>
                <w:iCs/>
                <w:sz w:val="22"/>
                <w:szCs w:val="22"/>
              </w:rPr>
              <w:t>Debitul de extragere a unei guri (m</w:t>
            </w:r>
            <w:r>
              <w:rPr>
                <w:b/>
                <w:bCs/>
                <w:i/>
                <w:iCs/>
                <w:sz w:val="22"/>
                <w:szCs w:val="22"/>
                <w:vertAlign w:val="superscript"/>
              </w:rPr>
              <w:t>3</w:t>
            </w:r>
            <w:r>
              <w:rPr>
                <w:b/>
                <w:bCs/>
                <w:i/>
                <w:iCs/>
                <w:sz w:val="22"/>
                <w:szCs w:val="22"/>
              </w:rPr>
              <w:t>/s)</w:t>
            </w:r>
          </w:p>
        </w:tc>
      </w:tr>
      <w:tr w:rsidR="001C08A5" w14:paraId="54086E28" w14:textId="77777777">
        <w:trPr>
          <w:jc w:val="center"/>
        </w:trPr>
        <w:tc>
          <w:tcPr>
            <w:tcW w:w="3064" w:type="pct"/>
            <w:shd w:val="clear" w:color="auto" w:fill="auto"/>
            <w:vAlign w:val="center"/>
          </w:tcPr>
          <w:p w14:paraId="5682BB9D" w14:textId="77777777" w:rsidR="001C08A5" w:rsidRDefault="00000000">
            <w:pPr>
              <w:pStyle w:val="Contenutotabellacentrato"/>
              <w:keepNext/>
              <w:spacing w:line="360" w:lineRule="auto"/>
              <w:rPr>
                <w:b/>
                <w:bCs/>
                <w:i/>
                <w:iCs/>
                <w:sz w:val="22"/>
                <w:szCs w:val="22"/>
              </w:rPr>
            </w:pPr>
            <w:r>
              <w:rPr>
                <w:b/>
                <w:bCs/>
                <w:i/>
                <w:iCs/>
                <w:sz w:val="22"/>
                <w:szCs w:val="22"/>
              </w:rPr>
              <w:t>q ≤ 420 MJ/m</w:t>
            </w:r>
            <w:r>
              <w:rPr>
                <w:b/>
                <w:bCs/>
                <w:i/>
                <w:iCs/>
                <w:sz w:val="22"/>
                <w:szCs w:val="22"/>
                <w:vertAlign w:val="superscript"/>
              </w:rPr>
              <w:t>2</w:t>
            </w:r>
          </w:p>
        </w:tc>
        <w:tc>
          <w:tcPr>
            <w:tcW w:w="1935" w:type="pct"/>
            <w:shd w:val="clear" w:color="auto" w:fill="auto"/>
            <w:vAlign w:val="center"/>
          </w:tcPr>
          <w:p w14:paraId="70645471" w14:textId="77777777" w:rsidR="001C08A5" w:rsidRDefault="00000000">
            <w:pPr>
              <w:pStyle w:val="Contenutotabellacentrato"/>
              <w:spacing w:line="360" w:lineRule="auto"/>
              <w:rPr>
                <w:b/>
                <w:bCs/>
                <w:i/>
                <w:iCs/>
                <w:sz w:val="22"/>
                <w:szCs w:val="22"/>
              </w:rPr>
            </w:pPr>
            <w:r>
              <w:rPr>
                <w:b/>
                <w:bCs/>
                <w:i/>
                <w:iCs/>
                <w:sz w:val="22"/>
                <w:szCs w:val="22"/>
              </w:rPr>
              <w:t>1</w:t>
            </w:r>
          </w:p>
        </w:tc>
      </w:tr>
      <w:tr w:rsidR="001C08A5" w14:paraId="2CF65FF9" w14:textId="77777777">
        <w:trPr>
          <w:jc w:val="center"/>
        </w:trPr>
        <w:tc>
          <w:tcPr>
            <w:tcW w:w="3064" w:type="pct"/>
            <w:shd w:val="clear" w:color="auto" w:fill="auto"/>
            <w:vAlign w:val="center"/>
          </w:tcPr>
          <w:p w14:paraId="6276DF27" w14:textId="77777777" w:rsidR="001C08A5" w:rsidRDefault="00000000">
            <w:pPr>
              <w:pStyle w:val="Contenutotabellacentrato"/>
              <w:keepNext/>
              <w:spacing w:line="360" w:lineRule="auto"/>
              <w:rPr>
                <w:b/>
                <w:bCs/>
                <w:i/>
                <w:iCs/>
                <w:sz w:val="22"/>
                <w:szCs w:val="22"/>
              </w:rPr>
            </w:pPr>
            <w:r>
              <w:rPr>
                <w:b/>
                <w:bCs/>
                <w:i/>
                <w:iCs/>
                <w:sz w:val="22"/>
                <w:szCs w:val="22"/>
              </w:rPr>
              <w:t>420 MJ/m</w:t>
            </w:r>
            <w:r>
              <w:rPr>
                <w:b/>
                <w:bCs/>
                <w:i/>
                <w:iCs/>
                <w:sz w:val="22"/>
                <w:szCs w:val="22"/>
                <w:vertAlign w:val="superscript"/>
              </w:rPr>
              <w:t xml:space="preserve">2 </w:t>
            </w:r>
            <w:r>
              <w:rPr>
                <w:b/>
                <w:bCs/>
                <w:i/>
                <w:iCs/>
                <w:sz w:val="22"/>
                <w:szCs w:val="22"/>
              </w:rPr>
              <w:t>&lt;q ≤ 840 MJ/m</w:t>
            </w:r>
            <w:r>
              <w:rPr>
                <w:b/>
                <w:bCs/>
                <w:i/>
                <w:iCs/>
                <w:sz w:val="22"/>
                <w:szCs w:val="22"/>
                <w:vertAlign w:val="superscript"/>
              </w:rPr>
              <w:t>2</w:t>
            </w:r>
          </w:p>
        </w:tc>
        <w:tc>
          <w:tcPr>
            <w:tcW w:w="1935" w:type="pct"/>
            <w:shd w:val="clear" w:color="auto" w:fill="auto"/>
            <w:vAlign w:val="center"/>
          </w:tcPr>
          <w:p w14:paraId="055BC738" w14:textId="77777777" w:rsidR="001C08A5" w:rsidRDefault="00000000">
            <w:pPr>
              <w:pStyle w:val="Contenutotabellacentrato"/>
              <w:spacing w:line="360" w:lineRule="auto"/>
              <w:rPr>
                <w:b/>
                <w:bCs/>
                <w:i/>
                <w:iCs/>
                <w:sz w:val="22"/>
                <w:szCs w:val="22"/>
              </w:rPr>
            </w:pPr>
            <w:r>
              <w:rPr>
                <w:b/>
                <w:bCs/>
                <w:i/>
                <w:iCs/>
                <w:sz w:val="22"/>
                <w:szCs w:val="22"/>
              </w:rPr>
              <w:t>De la 1 la 1.25</w:t>
            </w:r>
          </w:p>
        </w:tc>
      </w:tr>
      <w:tr w:rsidR="001C08A5" w14:paraId="01F35201" w14:textId="77777777">
        <w:trPr>
          <w:jc w:val="center"/>
        </w:trPr>
        <w:tc>
          <w:tcPr>
            <w:tcW w:w="3064" w:type="pct"/>
            <w:shd w:val="clear" w:color="auto" w:fill="auto"/>
            <w:vAlign w:val="center"/>
          </w:tcPr>
          <w:p w14:paraId="02CCA8E1" w14:textId="77777777" w:rsidR="001C08A5" w:rsidRDefault="00000000">
            <w:pPr>
              <w:pStyle w:val="Contenutotabellacentrato"/>
              <w:keepNext/>
              <w:spacing w:line="360" w:lineRule="auto"/>
              <w:rPr>
                <w:b/>
                <w:bCs/>
                <w:i/>
                <w:iCs/>
                <w:sz w:val="22"/>
                <w:szCs w:val="22"/>
              </w:rPr>
            </w:pPr>
            <w:r>
              <w:rPr>
                <w:b/>
                <w:bCs/>
                <w:i/>
                <w:iCs/>
                <w:sz w:val="22"/>
                <w:szCs w:val="22"/>
              </w:rPr>
              <w:t>840 MJ/m</w:t>
            </w:r>
            <w:r>
              <w:rPr>
                <w:b/>
                <w:bCs/>
                <w:i/>
                <w:iCs/>
                <w:sz w:val="22"/>
                <w:szCs w:val="22"/>
                <w:vertAlign w:val="superscript"/>
              </w:rPr>
              <w:t xml:space="preserve">2 </w:t>
            </w:r>
            <w:r>
              <w:rPr>
                <w:b/>
                <w:bCs/>
                <w:i/>
                <w:iCs/>
                <w:sz w:val="22"/>
                <w:szCs w:val="22"/>
              </w:rPr>
              <w:t>&lt;q ≤ 1 680 MJ/m</w:t>
            </w:r>
            <w:r>
              <w:rPr>
                <w:b/>
                <w:bCs/>
                <w:i/>
                <w:iCs/>
                <w:sz w:val="22"/>
                <w:szCs w:val="22"/>
                <w:vertAlign w:val="superscript"/>
              </w:rPr>
              <w:t>2</w:t>
            </w:r>
          </w:p>
        </w:tc>
        <w:tc>
          <w:tcPr>
            <w:tcW w:w="1935" w:type="pct"/>
            <w:shd w:val="clear" w:color="auto" w:fill="auto"/>
            <w:vAlign w:val="center"/>
          </w:tcPr>
          <w:p w14:paraId="007775EA" w14:textId="77777777" w:rsidR="001C08A5" w:rsidRDefault="00000000">
            <w:pPr>
              <w:pStyle w:val="Contenutotabellacentrato"/>
              <w:spacing w:line="360" w:lineRule="auto"/>
              <w:rPr>
                <w:b/>
                <w:bCs/>
                <w:i/>
                <w:iCs/>
                <w:sz w:val="22"/>
                <w:szCs w:val="22"/>
              </w:rPr>
            </w:pPr>
            <w:r>
              <w:rPr>
                <w:b/>
                <w:bCs/>
                <w:i/>
                <w:iCs/>
                <w:sz w:val="22"/>
                <w:szCs w:val="22"/>
              </w:rPr>
              <w:t>De la 1.25 la 1.5</w:t>
            </w:r>
          </w:p>
        </w:tc>
      </w:tr>
      <w:tr w:rsidR="001C08A5" w14:paraId="60066790" w14:textId="77777777">
        <w:trPr>
          <w:jc w:val="center"/>
        </w:trPr>
        <w:tc>
          <w:tcPr>
            <w:tcW w:w="3064" w:type="pct"/>
            <w:shd w:val="clear" w:color="auto" w:fill="auto"/>
            <w:vAlign w:val="center"/>
          </w:tcPr>
          <w:p w14:paraId="6E9D991E" w14:textId="77777777" w:rsidR="001C08A5" w:rsidRDefault="00000000">
            <w:pPr>
              <w:pStyle w:val="Contenutotabellacentrato"/>
              <w:keepNext/>
              <w:spacing w:line="360" w:lineRule="auto"/>
              <w:rPr>
                <w:b/>
                <w:bCs/>
                <w:i/>
                <w:iCs/>
                <w:sz w:val="22"/>
                <w:szCs w:val="22"/>
              </w:rPr>
            </w:pPr>
            <w:r>
              <w:rPr>
                <w:b/>
                <w:bCs/>
                <w:i/>
                <w:iCs/>
                <w:sz w:val="22"/>
                <w:szCs w:val="22"/>
              </w:rPr>
              <w:t>1680 MJ/m</w:t>
            </w:r>
            <w:r>
              <w:rPr>
                <w:b/>
                <w:bCs/>
                <w:i/>
                <w:iCs/>
                <w:sz w:val="22"/>
                <w:szCs w:val="22"/>
                <w:vertAlign w:val="superscript"/>
              </w:rPr>
              <w:t xml:space="preserve">2 </w:t>
            </w:r>
            <w:r>
              <w:rPr>
                <w:b/>
                <w:bCs/>
                <w:i/>
                <w:iCs/>
                <w:sz w:val="22"/>
                <w:szCs w:val="22"/>
              </w:rPr>
              <w:t>&lt;q ≤ 4200 MJ/m</w:t>
            </w:r>
            <w:r>
              <w:rPr>
                <w:b/>
                <w:bCs/>
                <w:i/>
                <w:iCs/>
                <w:sz w:val="22"/>
                <w:szCs w:val="22"/>
                <w:vertAlign w:val="superscript"/>
              </w:rPr>
              <w:t>2</w:t>
            </w:r>
          </w:p>
        </w:tc>
        <w:tc>
          <w:tcPr>
            <w:tcW w:w="1935" w:type="pct"/>
            <w:shd w:val="clear" w:color="auto" w:fill="auto"/>
            <w:vAlign w:val="center"/>
          </w:tcPr>
          <w:p w14:paraId="2F07F9C9" w14:textId="77777777" w:rsidR="001C08A5" w:rsidRDefault="00000000">
            <w:pPr>
              <w:pStyle w:val="Contenutotabellacentrato"/>
              <w:spacing w:line="360" w:lineRule="auto"/>
              <w:rPr>
                <w:b/>
                <w:bCs/>
                <w:i/>
                <w:iCs/>
                <w:sz w:val="22"/>
                <w:szCs w:val="22"/>
              </w:rPr>
            </w:pPr>
            <w:r>
              <w:rPr>
                <w:b/>
                <w:bCs/>
                <w:i/>
                <w:iCs/>
                <w:sz w:val="22"/>
                <w:szCs w:val="22"/>
              </w:rPr>
              <w:t>De la 1.5 la 2.5</w:t>
            </w:r>
          </w:p>
        </w:tc>
      </w:tr>
      <w:tr w:rsidR="001C08A5" w14:paraId="036AEFF2" w14:textId="77777777">
        <w:trPr>
          <w:jc w:val="center"/>
        </w:trPr>
        <w:tc>
          <w:tcPr>
            <w:tcW w:w="3064" w:type="pct"/>
            <w:shd w:val="clear" w:color="auto" w:fill="auto"/>
            <w:vAlign w:val="center"/>
          </w:tcPr>
          <w:p w14:paraId="70BFED74" w14:textId="77777777" w:rsidR="001C08A5" w:rsidRDefault="00000000">
            <w:pPr>
              <w:pStyle w:val="Contenutotabellacentrato"/>
              <w:keepNext/>
              <w:spacing w:line="360" w:lineRule="auto"/>
              <w:rPr>
                <w:b/>
                <w:bCs/>
                <w:i/>
                <w:iCs/>
                <w:sz w:val="22"/>
                <w:szCs w:val="22"/>
              </w:rPr>
            </w:pPr>
            <w:r>
              <w:rPr>
                <w:b/>
                <w:bCs/>
                <w:i/>
                <w:iCs/>
                <w:sz w:val="22"/>
                <w:szCs w:val="22"/>
              </w:rPr>
              <w:t>q &gt; 4200 MJ/m</w:t>
            </w:r>
            <w:r>
              <w:rPr>
                <w:b/>
                <w:bCs/>
                <w:i/>
                <w:iCs/>
                <w:sz w:val="22"/>
                <w:szCs w:val="22"/>
                <w:vertAlign w:val="superscript"/>
              </w:rPr>
              <w:t xml:space="preserve">2 </w:t>
            </w:r>
          </w:p>
        </w:tc>
        <w:tc>
          <w:tcPr>
            <w:tcW w:w="1935" w:type="pct"/>
            <w:shd w:val="clear" w:color="auto" w:fill="auto"/>
            <w:vAlign w:val="center"/>
          </w:tcPr>
          <w:p w14:paraId="0E057BCC" w14:textId="77777777" w:rsidR="001C08A5" w:rsidRDefault="00000000">
            <w:pPr>
              <w:pStyle w:val="Contenutotabellacentrato"/>
              <w:spacing w:line="360" w:lineRule="auto"/>
              <w:rPr>
                <w:b/>
                <w:bCs/>
                <w:i/>
                <w:iCs/>
                <w:sz w:val="22"/>
                <w:szCs w:val="22"/>
              </w:rPr>
            </w:pPr>
            <w:r>
              <w:rPr>
                <w:b/>
                <w:bCs/>
                <w:i/>
                <w:iCs/>
                <w:sz w:val="22"/>
                <w:szCs w:val="22"/>
              </w:rPr>
              <w:t>3</w:t>
            </w:r>
          </w:p>
        </w:tc>
      </w:tr>
    </w:tbl>
    <w:p w14:paraId="3883B82F" w14:textId="77777777" w:rsidR="001C08A5" w:rsidRDefault="00000000">
      <w:pPr>
        <w:jc w:val="both"/>
        <w:rPr>
          <w:i/>
          <w:iCs/>
          <w:sz w:val="22"/>
          <w:szCs w:val="22"/>
        </w:rPr>
      </w:pPr>
      <w:r>
        <w:rPr>
          <w:i/>
          <w:iCs/>
          <w:sz w:val="22"/>
          <w:szCs w:val="22"/>
        </w:rPr>
        <w:t xml:space="preserve">Nota: </w:t>
      </w:r>
    </w:p>
    <w:p w14:paraId="303DAF6D" w14:textId="77777777" w:rsidR="001C08A5" w:rsidRDefault="00000000">
      <w:pPr>
        <w:jc w:val="both"/>
        <w:rPr>
          <w:i/>
          <w:iCs/>
          <w:sz w:val="22"/>
          <w:szCs w:val="22"/>
        </w:rPr>
      </w:pPr>
      <w:r>
        <w:rPr>
          <w:i/>
          <w:iCs/>
          <w:sz w:val="22"/>
          <w:szCs w:val="22"/>
        </w:rPr>
        <w:t xml:space="preserve">- pentru valorile intermediare de calcul a densitatii sarcinii termice, </w:t>
      </w:r>
      <w:r>
        <w:rPr>
          <w:i/>
          <w:iCs/>
          <w:sz w:val="22"/>
          <w:szCs w:val="22"/>
          <w:u w:val="single"/>
        </w:rPr>
        <w:t>debitul de extragere se determina prininterpolare liniară</w:t>
      </w:r>
      <w:r>
        <w:rPr>
          <w:i/>
          <w:iCs/>
          <w:sz w:val="22"/>
          <w:szCs w:val="22"/>
        </w:rPr>
        <w:t xml:space="preserve"> sau se alege valoarea maximă</w:t>
      </w:r>
    </w:p>
    <w:p w14:paraId="497FC5F5" w14:textId="77777777" w:rsidR="001C08A5" w:rsidRDefault="001C08A5">
      <w:pPr>
        <w:jc w:val="both"/>
        <w:rPr>
          <w:sz w:val="24"/>
          <w:szCs w:val="24"/>
        </w:rPr>
      </w:pPr>
    </w:p>
    <w:p w14:paraId="45DA2E48" w14:textId="77777777" w:rsidR="001C08A5" w:rsidRDefault="00000000">
      <w:pPr>
        <w:ind w:left="1843"/>
        <w:jc w:val="both"/>
        <w:rPr>
          <w:sz w:val="24"/>
          <w:szCs w:val="24"/>
        </w:rPr>
      </w:pPr>
      <w:r>
        <w:rPr>
          <w:b/>
          <w:sz w:val="24"/>
          <w:szCs w:val="24"/>
        </w:rPr>
        <w:t>d)</w:t>
      </w:r>
      <w:r>
        <w:rPr>
          <w:sz w:val="24"/>
          <w:szCs w:val="24"/>
        </w:rPr>
        <w:t xml:space="preserve"> la un ventilator de evacuare pot fi racordate maximum două rezervoare de fum delimitate de ecrane, iar debitul ventilatorului poate fi redus la debitul necesar celui mai mare rezervor de fum racordat.</w:t>
      </w:r>
    </w:p>
    <w:p w14:paraId="5E2E57AC" w14:textId="77777777" w:rsidR="001C08A5" w:rsidRDefault="001C08A5">
      <w:pPr>
        <w:ind w:left="1843"/>
        <w:jc w:val="both"/>
        <w:rPr>
          <w:sz w:val="24"/>
          <w:szCs w:val="24"/>
        </w:rPr>
      </w:pPr>
    </w:p>
    <w:p w14:paraId="32E64152" w14:textId="77777777" w:rsidR="001C08A5" w:rsidRDefault="00000000">
      <w:pPr>
        <w:ind w:firstLine="708"/>
        <w:jc w:val="both"/>
        <w:rPr>
          <w:b/>
          <w:bCs/>
          <w:sz w:val="24"/>
          <w:szCs w:val="24"/>
        </w:rPr>
      </w:pPr>
      <w:r>
        <w:rPr>
          <w:b/>
          <w:sz w:val="24"/>
          <w:szCs w:val="24"/>
        </w:rPr>
        <w:tab/>
        <w:t xml:space="preserve">Art. </w:t>
      </w:r>
      <w:r>
        <w:rPr>
          <w:b/>
          <w:bCs/>
          <w:sz w:val="24"/>
          <w:szCs w:val="24"/>
        </w:rPr>
        <w:t>8.7.7</w:t>
      </w:r>
      <w:r>
        <w:rPr>
          <w:b/>
          <w:sz w:val="24"/>
          <w:szCs w:val="24"/>
        </w:rPr>
        <w:t xml:space="preserve">. (1) </w:t>
      </w:r>
      <w:r>
        <w:rPr>
          <w:sz w:val="24"/>
          <w:szCs w:val="24"/>
        </w:rPr>
        <w:t xml:space="preserve">Admisiile de aer pot fi naturale sau mecanice și se dispun la partea de jos în treimea inferioară a spaţiului protejat (având marginea lor superioară la cel mult </w:t>
      </w:r>
      <w:r>
        <w:rPr>
          <w:b/>
          <w:sz w:val="24"/>
          <w:szCs w:val="24"/>
        </w:rPr>
        <w:t>1</w:t>
      </w:r>
      <w:r>
        <w:rPr>
          <w:sz w:val="24"/>
          <w:szCs w:val="24"/>
        </w:rPr>
        <w:t xml:space="preserve"> m faţă de pardoseală pentru încăperi/spații cu înălțimea liberă de maxim </w:t>
      </w:r>
      <w:r>
        <w:rPr>
          <w:b/>
          <w:bCs/>
          <w:sz w:val="24"/>
          <w:szCs w:val="24"/>
        </w:rPr>
        <w:t>3 m</w:t>
      </w:r>
      <w:r>
        <w:rPr>
          <w:sz w:val="24"/>
          <w:szCs w:val="24"/>
        </w:rPr>
        <w:t>), recomandându-se amplasarea acestora în zone opuse gurilor de evacuare sau fațade.</w:t>
      </w:r>
    </w:p>
    <w:p w14:paraId="4664A67A" w14:textId="77777777" w:rsidR="001C08A5" w:rsidRDefault="00000000">
      <w:pPr>
        <w:ind w:firstLine="1843"/>
        <w:jc w:val="both"/>
        <w:rPr>
          <w:sz w:val="24"/>
          <w:szCs w:val="24"/>
        </w:rPr>
      </w:pPr>
      <w:r>
        <w:rPr>
          <w:b/>
          <w:sz w:val="24"/>
          <w:szCs w:val="24"/>
        </w:rPr>
        <w:t>(2)</w:t>
      </w:r>
      <w:r>
        <w:rPr>
          <w:sz w:val="24"/>
          <w:szCs w:val="24"/>
        </w:rPr>
        <w:t xml:space="preserve"> Nu se admite traversarea ecranelor de către elemente combustibile.</w:t>
      </w:r>
    </w:p>
    <w:p w14:paraId="1E537F4C" w14:textId="77777777" w:rsidR="001C08A5" w:rsidRDefault="001C08A5">
      <w:pPr>
        <w:jc w:val="both"/>
        <w:rPr>
          <w:b/>
          <w:sz w:val="24"/>
          <w:szCs w:val="24"/>
        </w:rPr>
      </w:pPr>
    </w:p>
    <w:p w14:paraId="04474C72" w14:textId="77777777" w:rsidR="001C08A5" w:rsidRDefault="00000000">
      <w:pPr>
        <w:ind w:firstLine="708"/>
        <w:jc w:val="both"/>
        <w:rPr>
          <w:sz w:val="24"/>
          <w:szCs w:val="24"/>
        </w:rPr>
      </w:pPr>
      <w:r>
        <w:rPr>
          <w:b/>
          <w:sz w:val="24"/>
          <w:szCs w:val="24"/>
        </w:rPr>
        <w:tab/>
        <w:t xml:space="preserve">Art. </w:t>
      </w:r>
      <w:r>
        <w:rPr>
          <w:b/>
          <w:bCs/>
          <w:sz w:val="24"/>
          <w:szCs w:val="24"/>
        </w:rPr>
        <w:t>8.7.8</w:t>
      </w:r>
      <w:r>
        <w:rPr>
          <w:b/>
          <w:sz w:val="24"/>
          <w:szCs w:val="24"/>
        </w:rPr>
        <w:t xml:space="preserve">. (1) </w:t>
      </w:r>
      <w:r>
        <w:rPr>
          <w:sz w:val="24"/>
          <w:szCs w:val="24"/>
        </w:rPr>
        <w:t xml:space="preserve">În spaţiile cu plafoane suspendate pline, ecranele ce delimiteaza rezervoarele de fum coboară de la intradosul acoperișului și depăsesc planul plafonului suspendat plin cu minimum </w:t>
      </w:r>
      <w:r>
        <w:rPr>
          <w:b/>
          <w:bCs/>
          <w:sz w:val="24"/>
          <w:szCs w:val="24"/>
        </w:rPr>
        <w:t>50 cm</w:t>
      </w:r>
      <w:r>
        <w:rPr>
          <w:sz w:val="24"/>
          <w:szCs w:val="24"/>
        </w:rPr>
        <w:t xml:space="preserve">. </w:t>
      </w:r>
    </w:p>
    <w:p w14:paraId="3E4C6FFB" w14:textId="77777777" w:rsidR="001C08A5" w:rsidRDefault="00000000">
      <w:pPr>
        <w:ind w:firstLine="720"/>
        <w:jc w:val="both"/>
        <w:rPr>
          <w:sz w:val="24"/>
          <w:szCs w:val="24"/>
        </w:rPr>
      </w:pPr>
      <w:r>
        <w:rPr>
          <w:b/>
          <w:bCs/>
          <w:sz w:val="24"/>
          <w:szCs w:val="24"/>
        </w:rPr>
        <w:t>(2)</w:t>
      </w:r>
      <w:r>
        <w:rPr>
          <w:sz w:val="24"/>
          <w:szCs w:val="24"/>
        </w:rPr>
        <w:t xml:space="preserve"> Plenumul prevăzut cu instalații automate de stingere a incendiilor cu sprinklere, delimitat de ecrane, intradosul acoperișului și plafonul suspendat plin constituie un rezervoare de fum independente de cele dispuse sub plafonul suspendat plin, care se echipează cu sisteme de evacuare a fumului și a gazelor fierbinți independent de cele de sub plafoanele suspendate pline și se dimensionează în mod corespunzător. Nu se admite trecerea fumului și a gazelor fierbinti din rezervorul de fum dispus sub plafonul suspendat plin prin rezervorul de fum dispus în plenum, decât prin canale/tubulaturi rezistente la foc potrivit normativului.</w:t>
      </w:r>
    </w:p>
    <w:p w14:paraId="1570BD5D" w14:textId="77777777" w:rsidR="001C08A5" w:rsidRDefault="001C08A5">
      <w:pPr>
        <w:ind w:firstLine="720"/>
        <w:jc w:val="both"/>
        <w:rPr>
          <w:sz w:val="24"/>
          <w:szCs w:val="24"/>
        </w:rPr>
      </w:pPr>
    </w:p>
    <w:p w14:paraId="211D4FB6" w14:textId="77777777" w:rsidR="001C08A5" w:rsidRDefault="00000000">
      <w:pPr>
        <w:ind w:firstLine="708"/>
        <w:jc w:val="both"/>
        <w:rPr>
          <w:sz w:val="24"/>
          <w:szCs w:val="24"/>
        </w:rPr>
      </w:pPr>
      <w:r>
        <w:rPr>
          <w:b/>
          <w:sz w:val="24"/>
          <w:szCs w:val="24"/>
        </w:rPr>
        <w:lastRenderedPageBreak/>
        <w:tab/>
        <w:t xml:space="preserve">Art. </w:t>
      </w:r>
      <w:r>
        <w:rPr>
          <w:b/>
          <w:bCs/>
          <w:sz w:val="24"/>
          <w:szCs w:val="24"/>
        </w:rPr>
        <w:t>8.7.9</w:t>
      </w:r>
      <w:r>
        <w:rPr>
          <w:b/>
          <w:sz w:val="24"/>
          <w:szCs w:val="24"/>
        </w:rPr>
        <w:t xml:space="preserve">. (1) </w:t>
      </w:r>
      <w:r>
        <w:rPr>
          <w:sz w:val="24"/>
          <w:szCs w:val="24"/>
        </w:rPr>
        <w:t>În toate situaţiile, acţionarea automată a dispozitivelor de evacuare a fumului şi gazelor fierbinţi (trape, cupolete, grile etc.) va fi dublată de acţionare manuală.</w:t>
      </w:r>
    </w:p>
    <w:p w14:paraId="7C87B20F" w14:textId="77777777" w:rsidR="001C08A5" w:rsidRDefault="00000000">
      <w:pPr>
        <w:ind w:firstLine="708"/>
        <w:jc w:val="both"/>
        <w:rPr>
          <w:sz w:val="24"/>
          <w:szCs w:val="24"/>
        </w:rPr>
      </w:pPr>
      <w:r>
        <w:rPr>
          <w:b/>
          <w:bCs/>
          <w:sz w:val="24"/>
          <w:szCs w:val="24"/>
        </w:rPr>
        <w:t>(2)</w:t>
      </w:r>
      <w:r>
        <w:rPr>
          <w:sz w:val="24"/>
          <w:szCs w:val="24"/>
        </w:rPr>
        <w:t xml:space="preserve"> În mod similar și concomitent cu acționarea dispozitivelor de evacuare a fumului și gazelor fierbinți se va face și acționarea dispozitivelor de introducere aer de compensare, după caz.</w:t>
      </w:r>
    </w:p>
    <w:p w14:paraId="7CC6EB72" w14:textId="77777777" w:rsidR="001C08A5" w:rsidRDefault="001C08A5">
      <w:pPr>
        <w:ind w:firstLine="708"/>
        <w:jc w:val="both"/>
        <w:rPr>
          <w:sz w:val="24"/>
          <w:szCs w:val="24"/>
        </w:rPr>
      </w:pPr>
    </w:p>
    <w:p w14:paraId="76437A4F" w14:textId="77777777" w:rsidR="001C08A5" w:rsidRDefault="00000000">
      <w:pPr>
        <w:pStyle w:val="Heading1"/>
      </w:pPr>
      <w:bookmarkStart w:id="5800" w:name="_Toc30607"/>
      <w:bookmarkStart w:id="5801" w:name="_Toc16919"/>
      <w:bookmarkStart w:id="5802" w:name="_Toc4614"/>
      <w:bookmarkStart w:id="5803" w:name="_Toc31670"/>
      <w:bookmarkStart w:id="5804" w:name="_Toc20169"/>
      <w:bookmarkStart w:id="5805" w:name="_Toc162355385"/>
      <w:bookmarkStart w:id="5806" w:name="_Toc27603"/>
      <w:bookmarkStart w:id="5807" w:name="_Toc19863"/>
      <w:bookmarkStart w:id="5808" w:name="_Toc25256"/>
      <w:bookmarkStart w:id="5809" w:name="_Toc29534"/>
      <w:r>
        <w:t>CAPITOLUL 9</w:t>
      </w:r>
      <w:bookmarkEnd w:id="5800"/>
      <w:bookmarkEnd w:id="5801"/>
      <w:bookmarkEnd w:id="5802"/>
      <w:bookmarkEnd w:id="5803"/>
      <w:bookmarkEnd w:id="5804"/>
      <w:bookmarkEnd w:id="5805"/>
      <w:bookmarkEnd w:id="5806"/>
      <w:bookmarkEnd w:id="5807"/>
      <w:bookmarkEnd w:id="5808"/>
      <w:bookmarkEnd w:id="5809"/>
    </w:p>
    <w:p w14:paraId="15B81952" w14:textId="77777777" w:rsidR="001C08A5" w:rsidRDefault="00000000">
      <w:pPr>
        <w:pStyle w:val="Heading2"/>
      </w:pPr>
      <w:bookmarkStart w:id="5810" w:name="_Toc8480"/>
      <w:bookmarkStart w:id="5811" w:name="_Toc12899"/>
      <w:bookmarkStart w:id="5812" w:name="_Toc27750"/>
      <w:bookmarkStart w:id="5813" w:name="_Toc5896"/>
      <w:bookmarkStart w:id="5814" w:name="_Toc12067"/>
      <w:bookmarkStart w:id="5815" w:name="_Toc162355386"/>
      <w:bookmarkStart w:id="5816" w:name="_Toc1494"/>
      <w:bookmarkStart w:id="5817" w:name="_Toc26391"/>
      <w:bookmarkStart w:id="5818" w:name="_Toc1386"/>
      <w:bookmarkStart w:id="5819" w:name="_Toc12736"/>
      <w:r>
        <w:t>INTERVENTII LA CONSTRUCȚII EXISTENTE</w:t>
      </w:r>
      <w:bookmarkEnd w:id="5810"/>
      <w:bookmarkEnd w:id="5811"/>
      <w:bookmarkEnd w:id="5812"/>
      <w:bookmarkEnd w:id="5813"/>
      <w:r>
        <w:t xml:space="preserve"> CARE CONSTITUIE FOND CONSTRUIT ANTERIOR DATEI INTRĂRII ÎN VIGOARE A NORMATIVULUI</w:t>
      </w:r>
      <w:bookmarkEnd w:id="5814"/>
      <w:bookmarkEnd w:id="5815"/>
      <w:bookmarkEnd w:id="5816"/>
      <w:bookmarkEnd w:id="5817"/>
      <w:bookmarkEnd w:id="5818"/>
      <w:bookmarkEnd w:id="5819"/>
    </w:p>
    <w:p w14:paraId="52B01290" w14:textId="77777777" w:rsidR="001C08A5" w:rsidRDefault="001C08A5">
      <w:pPr>
        <w:pStyle w:val="ListParagraph"/>
        <w:ind w:left="0"/>
        <w:jc w:val="both"/>
        <w:rPr>
          <w:b/>
          <w:bCs/>
        </w:rPr>
      </w:pPr>
    </w:p>
    <w:p w14:paraId="47C50BDC" w14:textId="77777777" w:rsidR="001C08A5" w:rsidRDefault="00000000">
      <w:pPr>
        <w:ind w:firstLine="720"/>
        <w:jc w:val="both"/>
        <w:rPr>
          <w:sz w:val="24"/>
          <w:szCs w:val="24"/>
        </w:rPr>
      </w:pPr>
      <w:r>
        <w:rPr>
          <w:b/>
          <w:sz w:val="24"/>
          <w:szCs w:val="24"/>
        </w:rPr>
        <w:t xml:space="preserve">Art. </w:t>
      </w:r>
      <w:r>
        <w:rPr>
          <w:b/>
          <w:bCs/>
          <w:sz w:val="24"/>
          <w:szCs w:val="24"/>
        </w:rPr>
        <w:t>9.1</w:t>
      </w:r>
      <w:r>
        <w:rPr>
          <w:b/>
          <w:sz w:val="24"/>
          <w:szCs w:val="24"/>
        </w:rPr>
        <w:t xml:space="preserve">. </w:t>
      </w:r>
      <w:r>
        <w:rPr>
          <w:sz w:val="24"/>
          <w:szCs w:val="24"/>
        </w:rPr>
        <w:t>Intervențiile la construcțiile existente care</w:t>
      </w:r>
      <w:r>
        <w:rPr>
          <w:sz w:val="24"/>
          <w:szCs w:val="24"/>
          <w:u w:val="single"/>
        </w:rPr>
        <w:t xml:space="preserve"> </w:t>
      </w:r>
      <w:r>
        <w:rPr>
          <w:b/>
          <w:bCs/>
          <w:sz w:val="24"/>
          <w:szCs w:val="24"/>
          <w:u w:val="single"/>
        </w:rPr>
        <w:t>nu</w:t>
      </w:r>
      <w:r>
        <w:rPr>
          <w:sz w:val="24"/>
          <w:szCs w:val="24"/>
          <w:u w:val="single"/>
        </w:rPr>
        <w:t xml:space="preserve"> se extind</w:t>
      </w:r>
      <w:r>
        <w:rPr>
          <w:sz w:val="24"/>
          <w:szCs w:val="24"/>
        </w:rPr>
        <w:t xml:space="preserve">, se fac păstrând performanța la foc a elementelor de construcții care se înlocuiesc în conformitate cu reglementările aplicabile la data realizării lor (în acord cu </w:t>
      </w:r>
      <w:r>
        <w:rPr>
          <w:b/>
          <w:bCs/>
          <w:i/>
          <w:iCs/>
          <w:sz w:val="24"/>
          <w:szCs w:val="24"/>
        </w:rPr>
        <w:t>Anexa 10</w:t>
      </w:r>
      <w:r>
        <w:rPr>
          <w:sz w:val="24"/>
          <w:szCs w:val="24"/>
        </w:rPr>
        <w:t xml:space="preserve"> din normativ), iar echiparea cu instalații cu rol de securitate la incendiu se face potrivit reglementărilor tehnice în vigoare.</w:t>
      </w:r>
    </w:p>
    <w:p w14:paraId="6D64BFD3" w14:textId="77777777" w:rsidR="001C08A5" w:rsidRDefault="001C08A5">
      <w:pPr>
        <w:pStyle w:val="ListParagraph"/>
        <w:ind w:left="0" w:firstLine="720"/>
        <w:jc w:val="both"/>
        <w:rPr>
          <w:iCs/>
        </w:rPr>
      </w:pPr>
    </w:p>
    <w:p w14:paraId="4D1FF7BD" w14:textId="77777777" w:rsidR="001C08A5" w:rsidRDefault="00000000">
      <w:pPr>
        <w:ind w:firstLine="720"/>
        <w:jc w:val="both"/>
        <w:rPr>
          <w:sz w:val="24"/>
          <w:szCs w:val="24"/>
        </w:rPr>
      </w:pPr>
      <w:r>
        <w:rPr>
          <w:b/>
          <w:sz w:val="24"/>
          <w:szCs w:val="24"/>
        </w:rPr>
        <w:t xml:space="preserve">Art. </w:t>
      </w:r>
      <w:r>
        <w:rPr>
          <w:b/>
          <w:bCs/>
          <w:sz w:val="24"/>
          <w:szCs w:val="24"/>
        </w:rPr>
        <w:t>9.2</w:t>
      </w:r>
      <w:r>
        <w:rPr>
          <w:b/>
          <w:sz w:val="24"/>
          <w:szCs w:val="24"/>
        </w:rPr>
        <w:t xml:space="preserve">. </w:t>
      </w:r>
      <w:r>
        <w:rPr>
          <w:sz w:val="24"/>
          <w:szCs w:val="24"/>
        </w:rPr>
        <w:t xml:space="preserve">Lucrările de extindere la construcțiile existente </w:t>
      </w:r>
      <w:r>
        <w:rPr>
          <w:strike/>
          <w:sz w:val="24"/>
          <w:szCs w:val="24"/>
        </w:rPr>
        <w:t>s</w:t>
      </w:r>
      <w:r>
        <w:rPr>
          <w:sz w:val="24"/>
          <w:szCs w:val="24"/>
        </w:rPr>
        <w:t xml:space="preserve">e realizează în concordanță cu reglementările tehnice precizate în </w:t>
      </w:r>
      <w:r>
        <w:rPr>
          <w:b/>
          <w:bCs/>
          <w:i/>
          <w:iCs/>
          <w:sz w:val="24"/>
          <w:szCs w:val="24"/>
        </w:rPr>
        <w:t>Anexa 10</w:t>
      </w:r>
      <w:r>
        <w:rPr>
          <w:sz w:val="24"/>
          <w:szCs w:val="24"/>
        </w:rPr>
        <w:t>. Echiparea cu instalații cu rol de securitate la incendiu se face potrivit reglementărilor tehnice în vigoare.</w:t>
      </w:r>
    </w:p>
    <w:p w14:paraId="5E6FF1B0" w14:textId="77777777" w:rsidR="001C08A5" w:rsidRDefault="001C08A5">
      <w:pPr>
        <w:ind w:firstLine="720"/>
        <w:rPr>
          <w:iCs/>
        </w:rPr>
      </w:pPr>
    </w:p>
    <w:p w14:paraId="0797D996" w14:textId="77777777" w:rsidR="001C08A5" w:rsidRDefault="00000000">
      <w:pPr>
        <w:ind w:firstLine="720"/>
        <w:jc w:val="both"/>
        <w:rPr>
          <w:sz w:val="24"/>
          <w:szCs w:val="24"/>
        </w:rPr>
      </w:pPr>
      <w:r>
        <w:rPr>
          <w:b/>
          <w:sz w:val="24"/>
          <w:szCs w:val="24"/>
        </w:rPr>
        <w:t xml:space="preserve">Art. </w:t>
      </w:r>
      <w:r>
        <w:rPr>
          <w:b/>
          <w:bCs/>
          <w:sz w:val="24"/>
          <w:szCs w:val="24"/>
        </w:rPr>
        <w:t>9.3</w:t>
      </w:r>
      <w:r>
        <w:rPr>
          <w:b/>
          <w:sz w:val="24"/>
          <w:szCs w:val="24"/>
        </w:rPr>
        <w:t xml:space="preserve">. </w:t>
      </w:r>
      <w:r>
        <w:rPr>
          <w:sz w:val="24"/>
          <w:szCs w:val="24"/>
        </w:rPr>
        <w:t>Pentru construcțiile existente se pot prevedea următoarele măsuri:</w:t>
      </w:r>
    </w:p>
    <w:p w14:paraId="67831180" w14:textId="77777777" w:rsidR="001C08A5" w:rsidRDefault="00000000">
      <w:pPr>
        <w:pStyle w:val="ListParagraph"/>
        <w:numPr>
          <w:ilvl w:val="0"/>
          <w:numId w:val="95"/>
        </w:numPr>
        <w:ind w:left="1402" w:hanging="142"/>
        <w:jc w:val="both"/>
      </w:pPr>
      <w:r>
        <w:t xml:space="preserve">păstrarea destinațiilor acestora și implicit a performanței la foc a elementelor structurale ale clădirii existente conform cerințelor </w:t>
      </w:r>
      <w:r>
        <w:rPr>
          <w:b/>
          <w:bCs/>
          <w:i/>
          <w:iCs/>
        </w:rPr>
        <w:t>Anexei 10</w:t>
      </w:r>
      <w:r>
        <w:rPr>
          <w:i/>
          <w:iCs/>
        </w:rPr>
        <w:t xml:space="preserve"> privind construcții existente</w:t>
      </w:r>
      <w:r>
        <w:t>; dacă destinațiile se schimbă clădirea se poate conforma potrivit reglementărilor tehnice generale privind construcțiile noi sau</w:t>
      </w:r>
      <w:r>
        <w:rPr>
          <w:rFonts w:eastAsia="Calibri"/>
          <w:iCs/>
          <w:shd w:val="clear" w:color="auto" w:fill="FFFFFF"/>
        </w:rPr>
        <w:t xml:space="preserve"> se asigură măsuri </w:t>
      </w:r>
      <w:r>
        <w:rPr>
          <w:iCs/>
        </w:rPr>
        <w:t xml:space="preserve">de îmbunătăţire a cerințelor privind securitatea la incendiu sau </w:t>
      </w:r>
      <w:r>
        <w:rPr>
          <w:rFonts w:eastAsia="Calibri"/>
          <w:iCs/>
          <w:shd w:val="clear" w:color="auto" w:fill="FFFFFF"/>
        </w:rPr>
        <w:t>alternative de protecţie</w:t>
      </w:r>
      <w:r>
        <w:rPr>
          <w:rFonts w:eastAsia="Calibri"/>
          <w:iCs/>
          <w:shd w:val="clear" w:color="auto" w:fill="FFFFFF"/>
          <w:lang w:val="en-GB"/>
        </w:rPr>
        <w:t xml:space="preserve"> (pasive, active sau combinații ale acestora) </w:t>
      </w:r>
      <w:r>
        <w:rPr>
          <w:rFonts w:eastAsia="Calibri"/>
          <w:iCs/>
          <w:shd w:val="clear" w:color="auto" w:fill="FFFFFF"/>
        </w:rPr>
        <w:t xml:space="preserve">care să vizeze îmbunătățirea cerințelor care nu pot fi respectate, </w:t>
      </w:r>
      <w:r>
        <w:rPr>
          <w:iCs/>
        </w:rPr>
        <w:t>în baza unei/ unor expertize tehnice privind cerința fundamentală securitate la incendiu (construcții și/ sau instalații). C</w:t>
      </w:r>
      <w:r>
        <w:t>hiar dacă nu se schimbă destinația, clădirea se poate conforma și cerințelor reglementărilor în vigoare privind construcțiile noi, dacă beneficiarul dorește acest lucru.</w:t>
      </w:r>
    </w:p>
    <w:p w14:paraId="2A435CAE" w14:textId="77777777" w:rsidR="001C08A5" w:rsidRDefault="00000000">
      <w:pPr>
        <w:pStyle w:val="ListParagraph"/>
        <w:numPr>
          <w:ilvl w:val="0"/>
          <w:numId w:val="95"/>
        </w:numPr>
        <w:ind w:left="1402" w:hanging="142"/>
        <w:jc w:val="both"/>
      </w:pPr>
      <w:r>
        <w:t xml:space="preserve">păstrarea gradului de rezistență prevăzut în </w:t>
      </w:r>
      <w:r>
        <w:rPr>
          <w:b/>
          <w:bCs/>
          <w:i/>
          <w:iCs/>
        </w:rPr>
        <w:t>Anexa 10</w:t>
      </w:r>
      <w:r>
        <w:t xml:space="preserve"> privind construcții existente și a celorlalte prevederi aplicabile lor, dacă nu se schimbă destinația. </w:t>
      </w:r>
    </w:p>
    <w:p w14:paraId="75473861" w14:textId="77777777" w:rsidR="001C08A5" w:rsidRDefault="00000000">
      <w:pPr>
        <w:pStyle w:val="ListParagraph"/>
        <w:numPr>
          <w:ilvl w:val="0"/>
          <w:numId w:val="95"/>
        </w:numPr>
        <w:ind w:left="1402" w:hanging="142"/>
        <w:jc w:val="both"/>
      </w:pPr>
      <w:r>
        <w:t xml:space="preserve">se admit numai modificări ale elementelor nestructurale ale clădirii care vor avea performanța la foc specifică prevederilor din </w:t>
      </w:r>
      <w:r>
        <w:rPr>
          <w:b/>
          <w:bCs/>
          <w:i/>
          <w:iCs/>
        </w:rPr>
        <w:t>Anexa 10</w:t>
      </w:r>
      <w:r>
        <w:t xml:space="preserve"> privind construcții existente;</w:t>
      </w:r>
    </w:p>
    <w:p w14:paraId="484AD1C8" w14:textId="77777777" w:rsidR="001C08A5" w:rsidRDefault="00000000">
      <w:pPr>
        <w:pStyle w:val="ListParagraph"/>
        <w:numPr>
          <w:ilvl w:val="0"/>
          <w:numId w:val="95"/>
        </w:numPr>
        <w:ind w:left="1402" w:hanging="142"/>
        <w:jc w:val="both"/>
      </w:pPr>
      <w:r>
        <w:t xml:space="preserve">conformarea la foc a clădirii se va face potrivit cerințelor </w:t>
      </w:r>
      <w:r>
        <w:rPr>
          <w:b/>
          <w:bCs/>
          <w:i/>
          <w:iCs/>
        </w:rPr>
        <w:t>Anexei 10</w:t>
      </w:r>
      <w:r>
        <w:rPr>
          <w:i/>
          <w:iCs/>
        </w:rPr>
        <w:t xml:space="preserve"> </w:t>
      </w:r>
      <w:r>
        <w:t>privind construcții existente,</w:t>
      </w:r>
      <w:r>
        <w:rPr>
          <w:i/>
          <w:iCs/>
        </w:rPr>
        <w:t xml:space="preserve"> </w:t>
      </w:r>
      <w:r>
        <w:t>dacă nu se schimbă destinația.</w:t>
      </w:r>
    </w:p>
    <w:p w14:paraId="795EB8E6" w14:textId="77777777" w:rsidR="001C08A5" w:rsidRDefault="001C08A5">
      <w:pPr>
        <w:pStyle w:val="ListParagraph"/>
        <w:ind w:left="0" w:firstLine="720"/>
        <w:jc w:val="both"/>
        <w:rPr>
          <w:iCs/>
        </w:rPr>
      </w:pPr>
    </w:p>
    <w:p w14:paraId="41E84831" w14:textId="77777777" w:rsidR="001C08A5" w:rsidRDefault="00000000">
      <w:pPr>
        <w:tabs>
          <w:tab w:val="left" w:pos="900"/>
        </w:tabs>
        <w:ind w:firstLine="810"/>
        <w:jc w:val="both"/>
        <w:rPr>
          <w:sz w:val="24"/>
          <w:szCs w:val="24"/>
        </w:rPr>
      </w:pPr>
      <w:r>
        <w:rPr>
          <w:b/>
          <w:sz w:val="24"/>
          <w:szCs w:val="24"/>
        </w:rPr>
        <w:t xml:space="preserve">Art. </w:t>
      </w:r>
      <w:r>
        <w:rPr>
          <w:b/>
          <w:bCs/>
          <w:sz w:val="24"/>
          <w:szCs w:val="24"/>
        </w:rPr>
        <w:t>9.4</w:t>
      </w:r>
      <w:r>
        <w:rPr>
          <w:b/>
          <w:sz w:val="24"/>
          <w:szCs w:val="24"/>
        </w:rPr>
        <w:t xml:space="preserve">. </w:t>
      </w:r>
      <w:r>
        <w:rPr>
          <w:sz w:val="24"/>
          <w:szCs w:val="24"/>
        </w:rPr>
        <w:t>Pentru construcțiile existente (cu excepția lucrărilor de extindere ale acestora) se pot prevedea măsuri de îmbunătățire a cerinței securitate la incendiu, precum:</w:t>
      </w:r>
    </w:p>
    <w:p w14:paraId="0726445D" w14:textId="77777777" w:rsidR="001C08A5" w:rsidRDefault="00000000">
      <w:pPr>
        <w:pStyle w:val="ListParagraph"/>
        <w:numPr>
          <w:ilvl w:val="0"/>
          <w:numId w:val="95"/>
        </w:numPr>
        <w:ind w:left="1402" w:hanging="142"/>
        <w:jc w:val="both"/>
      </w:pPr>
      <w:r>
        <w:t xml:space="preserve">utilizarea materialelor și produselor de construcții clasa de reacție la foc minim </w:t>
      </w:r>
      <w:r>
        <w:rPr>
          <w:b/>
          <w:bCs/>
        </w:rPr>
        <w:t xml:space="preserve">C-s3,d1, </w:t>
      </w:r>
      <w:r>
        <w:t>dar minimum conform prevederilor normate;</w:t>
      </w:r>
    </w:p>
    <w:p w14:paraId="62195EFA" w14:textId="77777777" w:rsidR="001C08A5" w:rsidRDefault="00000000">
      <w:pPr>
        <w:pStyle w:val="ListParagraph"/>
        <w:numPr>
          <w:ilvl w:val="0"/>
          <w:numId w:val="95"/>
        </w:numPr>
        <w:ind w:left="1402" w:hanging="142"/>
        <w:jc w:val="both"/>
      </w:pPr>
      <w:r>
        <w:t>utilizarea elementelor, materialelor și produselor de construcții cu performanță privind rezistența la foc</w:t>
      </w:r>
      <w:r>
        <w:rPr>
          <w:b/>
          <w:bCs/>
        </w:rPr>
        <w:t xml:space="preserve"> </w:t>
      </w:r>
      <w:r>
        <w:t>mai mare față de prevederile normate;</w:t>
      </w:r>
    </w:p>
    <w:p w14:paraId="025D89B2" w14:textId="77777777" w:rsidR="001C08A5" w:rsidRDefault="00000000">
      <w:pPr>
        <w:pStyle w:val="ListParagraph"/>
        <w:numPr>
          <w:ilvl w:val="0"/>
          <w:numId w:val="95"/>
        </w:numPr>
        <w:ind w:left="1402" w:hanging="142"/>
        <w:jc w:val="both"/>
      </w:pPr>
      <w:r>
        <w:t>diminuarea densității de sarcina termică în toate spațiile clădirii existente;</w:t>
      </w:r>
    </w:p>
    <w:p w14:paraId="59782237" w14:textId="77777777" w:rsidR="001C08A5" w:rsidRDefault="00000000">
      <w:pPr>
        <w:pStyle w:val="ListParagraph"/>
        <w:numPr>
          <w:ilvl w:val="0"/>
          <w:numId w:val="95"/>
        </w:numPr>
        <w:ind w:left="1402" w:hanging="142"/>
        <w:jc w:val="both"/>
      </w:pPr>
      <w:r>
        <w:t>echiparea clădirii cu instalațiile cu rol de securitate la incendiu suplimentar față de cele prevăzute în reglementările tehnice în vigoare;</w:t>
      </w:r>
    </w:p>
    <w:p w14:paraId="70C58CCB" w14:textId="77777777" w:rsidR="001C08A5" w:rsidRDefault="00000000">
      <w:pPr>
        <w:pStyle w:val="ListParagraph"/>
        <w:numPr>
          <w:ilvl w:val="0"/>
          <w:numId w:val="95"/>
        </w:numPr>
        <w:ind w:left="1402" w:hanging="142"/>
        <w:jc w:val="both"/>
      </w:pPr>
      <w:r>
        <w:t>închiderea scărilor interioare deschise în case de scări închise și prevederea de sisteme pentru evacuarea fumului şi a gazelor fierbinţi în caz de incendiu a acestora;</w:t>
      </w:r>
    </w:p>
    <w:p w14:paraId="65B73F68" w14:textId="77777777" w:rsidR="001C08A5" w:rsidRDefault="00000000">
      <w:pPr>
        <w:pStyle w:val="ListParagraph"/>
        <w:numPr>
          <w:ilvl w:val="0"/>
          <w:numId w:val="95"/>
        </w:numPr>
        <w:ind w:left="1402" w:hanging="142"/>
        <w:jc w:val="both"/>
      </w:pPr>
      <w:r>
        <w:lastRenderedPageBreak/>
        <w:t xml:space="preserve">prevederea de sisteme pentru evacuarea fumului şi a gazelor fierbinţi în caz de incendiu a circulațiilor comune orizontale de evacuare cu lungimi mai mari de </w:t>
      </w:r>
      <w:r>
        <w:rPr>
          <w:b/>
          <w:bCs/>
        </w:rPr>
        <w:t>30 m</w:t>
      </w:r>
      <w:r>
        <w:t xml:space="preserve"> în toata clădirea;</w:t>
      </w:r>
    </w:p>
    <w:p w14:paraId="420855C4" w14:textId="77777777" w:rsidR="001C08A5" w:rsidRDefault="00000000">
      <w:pPr>
        <w:pStyle w:val="ListParagraph"/>
        <w:numPr>
          <w:ilvl w:val="0"/>
          <w:numId w:val="95"/>
        </w:numPr>
        <w:ind w:left="1402" w:hanging="142"/>
        <w:jc w:val="both"/>
      </w:pPr>
      <w:r>
        <w:t xml:space="preserve">echiparea clădirii cu instalații de detectare, semnalizare și alarmare la incendiu, iar acolo unde suprafața desfășurată este mai mare de </w:t>
      </w:r>
      <w:r>
        <w:rPr>
          <w:b/>
          <w:bCs/>
        </w:rPr>
        <w:t>7000</w:t>
      </w:r>
      <w:r>
        <w:t xml:space="preserve"> mp sau clădirea este prevăzută cu mai mult de </w:t>
      </w:r>
      <w:r>
        <w:rPr>
          <w:b/>
          <w:bCs/>
        </w:rPr>
        <w:t>5</w:t>
      </w:r>
      <w:r>
        <w:t xml:space="preserve"> niveluri supraterane și în care persoanele rămân pe timpul nopții; cu excepția clădirilor de locuit,  aceasta va avea și sistem de alarmare vocală;</w:t>
      </w:r>
    </w:p>
    <w:p w14:paraId="54CF2A00" w14:textId="77777777" w:rsidR="001C08A5" w:rsidRDefault="00000000">
      <w:pPr>
        <w:pStyle w:val="ListParagraph"/>
        <w:numPr>
          <w:ilvl w:val="0"/>
          <w:numId w:val="95"/>
        </w:numPr>
        <w:ind w:left="1402" w:hanging="142"/>
        <w:jc w:val="both"/>
      </w:pPr>
      <w:r>
        <w:t xml:space="preserve">echiparea cu instalații de stingere a incendiilor cu sprinklere acolo unde suprafața desfășurată este mai mare de </w:t>
      </w:r>
      <w:r>
        <w:rPr>
          <w:b/>
          <w:bCs/>
        </w:rPr>
        <w:t>7000</w:t>
      </w:r>
      <w:r>
        <w:t xml:space="preserve"> mp sau clădirea este prevăzută cu mai mult de </w:t>
      </w:r>
      <w:r>
        <w:rPr>
          <w:b/>
          <w:bCs/>
        </w:rPr>
        <w:t xml:space="preserve">5 </w:t>
      </w:r>
      <w:r>
        <w:t>niveluri supraterane, cu excepția clădirilor de locuit, dacă aceasta nu este obligatorie potrivit reglementării specifice;</w:t>
      </w:r>
    </w:p>
    <w:p w14:paraId="2A8B2E20" w14:textId="77777777" w:rsidR="001C08A5" w:rsidRDefault="00000000">
      <w:pPr>
        <w:pStyle w:val="ListParagraph"/>
        <w:numPr>
          <w:ilvl w:val="0"/>
          <w:numId w:val="95"/>
        </w:numPr>
        <w:ind w:left="1402" w:hanging="142"/>
        <w:jc w:val="both"/>
      </w:pPr>
      <w:r>
        <w:t>echiparea construcției cu coloane uscate suplimentar cerințelor normativului specific;</w:t>
      </w:r>
    </w:p>
    <w:p w14:paraId="38753939" w14:textId="77777777" w:rsidR="001C08A5" w:rsidRDefault="00000000">
      <w:pPr>
        <w:pStyle w:val="ListParagraph"/>
        <w:numPr>
          <w:ilvl w:val="0"/>
          <w:numId w:val="95"/>
        </w:numPr>
        <w:ind w:left="1402" w:hanging="142"/>
        <w:jc w:val="both"/>
      </w:pPr>
      <w:r>
        <w:t>echiparea construcției cu ascensoare pentru evacuarea persoanelor cu dizabilități sau pentru intervenție, după caz, conformate în raport cu prevederile normativului;</w:t>
      </w:r>
    </w:p>
    <w:p w14:paraId="04211102" w14:textId="77777777" w:rsidR="001C08A5" w:rsidRDefault="00000000">
      <w:pPr>
        <w:pStyle w:val="ListParagraph"/>
        <w:numPr>
          <w:ilvl w:val="0"/>
          <w:numId w:val="95"/>
        </w:numPr>
        <w:ind w:left="1402" w:hanging="142"/>
        <w:jc w:val="both"/>
      </w:pPr>
      <w:r>
        <w:t>prevederea de dispozitive de protecție la curent diferențial rezidual (</w:t>
      </w:r>
      <w:r>
        <w:rPr>
          <w:b/>
          <w:bCs/>
        </w:rPr>
        <w:t>DDR</w:t>
      </w:r>
      <w:r>
        <w:t xml:space="preserve">) în acord cu reglementările tehnice în vigoare sau suplimentar față de cele prevăzute conform </w:t>
      </w:r>
      <w:r>
        <w:rPr>
          <w:iCs/>
        </w:rPr>
        <w:t xml:space="preserve">specificațiilor normativului de profil ”Normativ pentru proiectarea, execuția și exploatarea instalațiilor electrice aferente clădirilor”, indicativ </w:t>
      </w:r>
      <w:r>
        <w:rPr>
          <w:b/>
          <w:bCs/>
          <w:iCs/>
        </w:rPr>
        <w:t>I7</w:t>
      </w:r>
      <w:r>
        <w:t xml:space="preserve"> </w:t>
      </w:r>
    </w:p>
    <w:p w14:paraId="03963047" w14:textId="77777777" w:rsidR="001C08A5" w:rsidRDefault="00000000">
      <w:pPr>
        <w:pStyle w:val="ListParagraph"/>
        <w:numPr>
          <w:ilvl w:val="0"/>
          <w:numId w:val="95"/>
        </w:numPr>
        <w:ind w:left="1402" w:hanging="142"/>
        <w:jc w:val="both"/>
      </w:pPr>
      <w:r>
        <w:t xml:space="preserve">prevederea de dispozitive de protecție împotriva defectelor cu arc electric (prin deconectare automată la apariția unui defect de arc electric - </w:t>
      </w:r>
      <w:r>
        <w:rPr>
          <w:b/>
          <w:bCs/>
        </w:rPr>
        <w:t>AFDD</w:t>
      </w:r>
      <w:r>
        <w:t xml:space="preserve">) în acord cu reglementările tehnice în vigoare sau suplimentar față de cele prevăzute în reglementările tehnice în vigoare, </w:t>
      </w:r>
      <w:r>
        <w:rPr>
          <w:iCs/>
        </w:rPr>
        <w:t xml:space="preserve">conform recomandărilor din SR EN 62606 </w:t>
      </w:r>
      <w:r>
        <w:t xml:space="preserve">și SR HD 60364-4-42/A1 </w:t>
      </w:r>
      <w:r>
        <w:rPr>
          <w:iCs/>
        </w:rPr>
        <w:t xml:space="preserve">precum și specificațiilor normativului de profil ”Normativ pentru proiectarea, execuția și exploatarea instalațiilor electrice aferente clădirilor”, indicativ </w:t>
      </w:r>
      <w:r>
        <w:rPr>
          <w:b/>
          <w:bCs/>
          <w:iCs/>
        </w:rPr>
        <w:t>I7</w:t>
      </w:r>
      <w:r>
        <w:t>;</w:t>
      </w:r>
    </w:p>
    <w:p w14:paraId="33C6D043" w14:textId="77777777" w:rsidR="001C08A5" w:rsidRDefault="00000000">
      <w:pPr>
        <w:pStyle w:val="ListParagraph"/>
        <w:numPr>
          <w:ilvl w:val="0"/>
          <w:numId w:val="95"/>
        </w:numPr>
        <w:ind w:left="1402" w:hanging="142"/>
        <w:jc w:val="both"/>
        <w:rPr>
          <w:rFonts w:eastAsia="TimesNewRomanPSMT"/>
        </w:rPr>
      </w:pPr>
      <w:r>
        <w:t>prevederea unui sistem de protecție împotriva trăsnetului (</w:t>
      </w:r>
      <w:r>
        <w:rPr>
          <w:b/>
          <w:bCs/>
        </w:rPr>
        <w:t>SPT</w:t>
      </w:r>
      <w:r>
        <w:t xml:space="preserve">) pentru o construcție și alegerea nivelului de protecție împotriva trăsnetului prin </w:t>
      </w:r>
      <w:r>
        <w:rPr>
          <w:rFonts w:eastAsia="TimesNewRomanPS-BoldMT"/>
          <w:bCs/>
        </w:rPr>
        <w:t>instalație exterioară  și/sau instalație interioară a sistemului de protecție împotriva trăsnetului (</w:t>
      </w:r>
      <w:r>
        <w:rPr>
          <w:rFonts w:eastAsia="TimesNewRomanPS-BoldMT"/>
          <w:b/>
        </w:rPr>
        <w:t>IPT</w:t>
      </w:r>
      <w:r>
        <w:rPr>
          <w:rFonts w:eastAsia="TimesNewRomanPS-BoldMT"/>
          <w:bCs/>
        </w:rPr>
        <w:t>)</w:t>
      </w:r>
      <w:r>
        <w:t xml:space="preserve"> în acord cu reglementările tehnice în vigoare sau suplimentar față de cele prevăzute în reglementările tehnice în vigoare;</w:t>
      </w:r>
    </w:p>
    <w:p w14:paraId="6D306437" w14:textId="77777777" w:rsidR="001C08A5" w:rsidRDefault="00000000">
      <w:pPr>
        <w:pStyle w:val="ListParagraph"/>
        <w:numPr>
          <w:ilvl w:val="0"/>
          <w:numId w:val="95"/>
        </w:numPr>
        <w:ind w:left="1402" w:hanging="142"/>
        <w:jc w:val="both"/>
        <w:rPr>
          <w:rFonts w:eastAsia="TimesNewRomanPSMT"/>
        </w:rPr>
      </w:pPr>
      <w:r>
        <w:t>prevederea</w:t>
      </w:r>
      <w:r>
        <w:rPr>
          <w:rFonts w:eastAsia="TimesNewRomanPSMT"/>
        </w:rPr>
        <w:t xml:space="preserve"> de </w:t>
      </w:r>
      <w:r>
        <w:rPr>
          <w:rFonts w:eastAsia="TimesNewRomanPS-BoldMT"/>
        </w:rPr>
        <w:t xml:space="preserve">dispozitive de protecție la supratensiuni și supracurenți </w:t>
      </w:r>
      <w:r>
        <w:rPr>
          <w:rFonts w:eastAsia="TimesNewRomanPS-BoldMT"/>
          <w:b/>
        </w:rPr>
        <w:t>(</w:t>
      </w:r>
      <w:r>
        <w:rPr>
          <w:rFonts w:eastAsia="TimesNewRomanPSMT"/>
          <w:b/>
          <w:bCs/>
        </w:rPr>
        <w:t>SPD</w:t>
      </w:r>
      <w:r>
        <w:rPr>
          <w:rFonts w:eastAsia="TimesNewRomanPSMT"/>
        </w:rPr>
        <w:t>) conform recomandărilor standardului SR EN 61643-11, SR CEI/TR 62066, SR 60364-5-534, SR CEI 60364-4-44, etc.</w:t>
      </w:r>
    </w:p>
    <w:p w14:paraId="748195ED" w14:textId="77777777" w:rsidR="001C08A5" w:rsidRDefault="001C08A5">
      <w:pPr>
        <w:pStyle w:val="Heading1"/>
      </w:pPr>
      <w:bookmarkStart w:id="5820" w:name="_Toc6603"/>
      <w:bookmarkStart w:id="5821" w:name="_Toc7508"/>
      <w:bookmarkStart w:id="5822" w:name="_Toc12614"/>
      <w:bookmarkStart w:id="5823" w:name="_Toc28953"/>
      <w:bookmarkStart w:id="5824" w:name="_Toc15810"/>
      <w:bookmarkStart w:id="5825" w:name="_Toc3986"/>
      <w:bookmarkStart w:id="5826" w:name="_Toc15700"/>
      <w:bookmarkStart w:id="5827" w:name="_Toc31682"/>
      <w:bookmarkStart w:id="5828" w:name="_Toc13047"/>
      <w:bookmarkStart w:id="5829" w:name="_Toc30114"/>
      <w:bookmarkStart w:id="5830" w:name="_Toc30068"/>
      <w:bookmarkStart w:id="5831" w:name="_Toc20559"/>
      <w:bookmarkStart w:id="5832" w:name="_Toc23392"/>
      <w:bookmarkStart w:id="5833" w:name="_Toc162355387"/>
    </w:p>
    <w:p w14:paraId="2A61A05B" w14:textId="77777777" w:rsidR="001C08A5" w:rsidRDefault="00000000">
      <w:pPr>
        <w:pStyle w:val="Heading1"/>
      </w:pPr>
      <w:bookmarkStart w:id="5834" w:name="_Toc32441"/>
      <w:bookmarkStart w:id="5835" w:name="_Toc30229"/>
      <w:r>
        <w:t>ANEXE</w:t>
      </w:r>
      <w:bookmarkEnd w:id="5834"/>
      <w:bookmarkEnd w:id="5835"/>
    </w:p>
    <w:p w14:paraId="7E519540" w14:textId="77777777" w:rsidR="001C08A5" w:rsidRDefault="00000000">
      <w:pPr>
        <w:pStyle w:val="Heading2"/>
        <w:rPr>
          <w:sz w:val="28"/>
        </w:rPr>
      </w:pPr>
      <w:bookmarkStart w:id="5836" w:name="_Toc16926"/>
      <w:bookmarkStart w:id="5837" w:name="_Toc11655"/>
      <w:r>
        <w:rPr>
          <w:sz w:val="28"/>
        </w:rPr>
        <w:t>ANEXA 1  - AMPLASARE CONSTRUCȚII</w:t>
      </w:r>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6"/>
      <w:bookmarkEnd w:id="5837"/>
    </w:p>
    <w:p w14:paraId="1AD7C26C" w14:textId="77777777" w:rsidR="001C08A5" w:rsidRDefault="001C08A5"/>
    <w:p w14:paraId="624A5A9C" w14:textId="77777777" w:rsidR="001C08A5" w:rsidRDefault="00000000">
      <w:pPr>
        <w:numPr>
          <w:ilvl w:val="0"/>
          <w:numId w:val="96"/>
        </w:numPr>
        <w:tabs>
          <w:tab w:val="left" w:pos="426"/>
          <w:tab w:val="left" w:pos="993"/>
        </w:tabs>
        <w:jc w:val="both"/>
        <w:rPr>
          <w:b/>
          <w:bCs/>
          <w:i/>
          <w:iCs/>
          <w:sz w:val="24"/>
        </w:rPr>
      </w:pPr>
      <w:r>
        <w:rPr>
          <w:bCs/>
          <w:i/>
          <w:sz w:val="24"/>
        </w:rPr>
        <w:t xml:space="preserve">Condiţiile normate de limitare a posibilităţilor de propagare a incendiilor între construcţii şi compartimente de incendiu sunt obligatorii şi se realizează prin amplasarea la distanţele minime de siguranţă stabilite în </w:t>
      </w:r>
      <w:r>
        <w:rPr>
          <w:b/>
          <w:bCs/>
          <w:i/>
          <w:iCs/>
          <w:sz w:val="24"/>
          <w:szCs w:val="24"/>
        </w:rPr>
        <w:fldChar w:fldCharType="begin"/>
      </w:r>
      <w:r>
        <w:rPr>
          <w:b/>
          <w:bCs/>
          <w:i/>
          <w:iCs/>
          <w:sz w:val="24"/>
          <w:szCs w:val="24"/>
        </w:rPr>
        <w:instrText xml:space="preserve"> REF _Ref13581 \h </w:instrText>
      </w:r>
      <w:r>
        <w:rPr>
          <w:b/>
          <w:bCs/>
          <w:i/>
          <w:iCs/>
          <w:sz w:val="24"/>
          <w:szCs w:val="24"/>
        </w:rPr>
      </w:r>
      <w:r>
        <w:rPr>
          <w:b/>
          <w:bCs/>
          <w:i/>
          <w:iCs/>
          <w:sz w:val="24"/>
          <w:szCs w:val="24"/>
        </w:rPr>
        <w:fldChar w:fldCharType="separate"/>
      </w:r>
      <w:r>
        <w:rPr>
          <w:b/>
          <w:bCs/>
          <w:i/>
          <w:iCs/>
          <w:sz w:val="22"/>
          <w:szCs w:val="22"/>
        </w:rPr>
        <w:t>Tabelul 4: Distanţe minime de siguranţă între construcţii sau compartimente de incendiu supraterane (civile, de producţie şi/sau depozitare)</w:t>
      </w:r>
      <w:r>
        <w:rPr>
          <w:b/>
          <w:bCs/>
          <w:i/>
          <w:iCs/>
          <w:sz w:val="24"/>
          <w:szCs w:val="24"/>
        </w:rPr>
        <w:fldChar w:fldCharType="end"/>
      </w:r>
      <w:r>
        <w:rPr>
          <w:bCs/>
          <w:i/>
          <w:sz w:val="24"/>
        </w:rPr>
        <w:t xml:space="preserve"> sau se delimitează cu pereţi rezistenţi la foc de separare a compartimentelor de incendiu (pereţi antifoc) şi, după caz, cu planşee rezistente la foc de separare a compartimentelor de incendiu (planşee antifoc), aplicându-se prevederile stabilite la </w:t>
      </w:r>
      <w:r>
        <w:rPr>
          <w:b/>
          <w:i/>
          <w:sz w:val="24"/>
        </w:rPr>
        <w:t>Capitolul II, Secțiunea III/ 2.3.</w:t>
      </w:r>
      <w:r>
        <w:rPr>
          <w:bCs/>
          <w:i/>
          <w:sz w:val="24"/>
        </w:rPr>
        <w:t xml:space="preserve"> - ”Limitarea propagării incendiilor” / 2.3.2. - ”</w:t>
      </w:r>
      <w:r>
        <w:rPr>
          <w:b/>
          <w:i/>
          <w:sz w:val="24"/>
        </w:rPr>
        <w:t>Elemente rezistente la foc pentru separarea compartimentelor de incendiu şi protecţia golurilor funcţionale de trecere</w:t>
      </w:r>
      <w:r>
        <w:rPr>
          <w:bCs/>
          <w:i/>
          <w:sz w:val="24"/>
        </w:rPr>
        <w:t>”din normativ.</w:t>
      </w:r>
    </w:p>
    <w:p w14:paraId="59830769" w14:textId="77777777" w:rsidR="001C08A5" w:rsidRDefault="001C08A5">
      <w:pPr>
        <w:tabs>
          <w:tab w:val="left" w:pos="426"/>
          <w:tab w:val="left" w:pos="993"/>
        </w:tabs>
        <w:jc w:val="both"/>
        <w:rPr>
          <w:b/>
          <w:bCs/>
          <w:i/>
          <w:iCs/>
          <w:sz w:val="24"/>
        </w:rPr>
      </w:pPr>
    </w:p>
    <w:p w14:paraId="12C020D6" w14:textId="77777777" w:rsidR="001C08A5" w:rsidRDefault="00000000">
      <w:pPr>
        <w:numPr>
          <w:ilvl w:val="0"/>
          <w:numId w:val="96"/>
        </w:numPr>
        <w:tabs>
          <w:tab w:val="left" w:pos="426"/>
          <w:tab w:val="left" w:pos="993"/>
        </w:tabs>
        <w:jc w:val="both"/>
        <w:rPr>
          <w:bCs/>
          <w:spacing w:val="-2"/>
          <w:sz w:val="24"/>
          <w:szCs w:val="24"/>
        </w:rPr>
      </w:pPr>
      <w:r>
        <w:rPr>
          <w:bCs/>
          <w:i/>
          <w:iCs/>
          <w:spacing w:val="-2"/>
          <w:sz w:val="24"/>
          <w:szCs w:val="24"/>
        </w:rPr>
        <w:t xml:space="preserve">Pentru construcțiile existente se respectă distanțele de siguranță stabilite în </w:t>
      </w:r>
      <w:r>
        <w:rPr>
          <w:b/>
          <w:i/>
          <w:iCs/>
          <w:spacing w:val="-2"/>
          <w:sz w:val="24"/>
          <w:szCs w:val="24"/>
        </w:rPr>
        <w:t>Anexa 10</w:t>
      </w:r>
      <w:r>
        <w:rPr>
          <w:bCs/>
          <w:i/>
          <w:iCs/>
          <w:spacing w:val="-2"/>
          <w:sz w:val="24"/>
          <w:szCs w:val="24"/>
        </w:rPr>
        <w:t xml:space="preserve"> la </w:t>
      </w:r>
      <w:r>
        <w:rPr>
          <w:b/>
          <w:bCs/>
          <w:i/>
          <w:iCs/>
          <w:spacing w:val="-2"/>
          <w:sz w:val="24"/>
          <w:szCs w:val="24"/>
        </w:rPr>
        <w:fldChar w:fldCharType="begin"/>
      </w:r>
      <w:r>
        <w:rPr>
          <w:b/>
          <w:bCs/>
          <w:i/>
          <w:iCs/>
          <w:spacing w:val="-2"/>
          <w:sz w:val="24"/>
          <w:szCs w:val="24"/>
        </w:rPr>
        <w:instrText xml:space="preserve"> REF _Ref26646 \h </w:instrText>
      </w:r>
      <w:r>
        <w:rPr>
          <w:b/>
          <w:bCs/>
          <w:i/>
          <w:iCs/>
          <w:spacing w:val="-2"/>
          <w:sz w:val="24"/>
          <w:szCs w:val="24"/>
        </w:rPr>
      </w:r>
      <w:r>
        <w:rPr>
          <w:b/>
          <w:bCs/>
          <w:i/>
          <w:iCs/>
          <w:spacing w:val="-2"/>
          <w:sz w:val="24"/>
          <w:szCs w:val="24"/>
        </w:rPr>
        <w:fldChar w:fldCharType="separate"/>
      </w:r>
      <w:r>
        <w:rPr>
          <w:b/>
          <w:bCs/>
          <w:i/>
          <w:iCs/>
          <w:sz w:val="22"/>
          <w:szCs w:val="22"/>
        </w:rPr>
        <w:t xml:space="preserve">Tabelul 145: </w:t>
      </w:r>
      <w:r>
        <w:rPr>
          <w:rFonts w:eastAsia="Calibri"/>
          <w:b/>
          <w:bCs/>
          <w:i/>
          <w:iCs/>
          <w:sz w:val="22"/>
          <w:szCs w:val="22"/>
          <w:shd w:val="clear" w:color="auto" w:fill="FFFFFF"/>
        </w:rPr>
        <w:t>Distanțe de siguranță la construcții existente</w:t>
      </w:r>
      <w:r>
        <w:rPr>
          <w:b/>
          <w:bCs/>
          <w:i/>
          <w:iCs/>
          <w:spacing w:val="-2"/>
          <w:sz w:val="24"/>
          <w:szCs w:val="24"/>
        </w:rPr>
        <w:fldChar w:fldCharType="end"/>
      </w:r>
      <w:r>
        <w:rPr>
          <w:b/>
          <w:bCs/>
          <w:i/>
          <w:iCs/>
          <w:spacing w:val="-2"/>
          <w:sz w:val="24"/>
          <w:szCs w:val="24"/>
        </w:rPr>
        <w:t xml:space="preserve"> </w:t>
      </w:r>
      <w:r>
        <w:rPr>
          <w:bCs/>
          <w:i/>
          <w:iCs/>
          <w:spacing w:val="-2"/>
          <w:sz w:val="24"/>
          <w:szCs w:val="24"/>
        </w:rPr>
        <w:t>sau se delimitează</w:t>
      </w:r>
      <w:r>
        <w:rPr>
          <w:i/>
          <w:iCs/>
          <w:sz w:val="24"/>
          <w:szCs w:val="24"/>
        </w:rPr>
        <w:t xml:space="preserve"> cu pereţi rezistenţi la foc de separare a compartimentelor de incendiu (pereţi antifoc) şi, după caz, planşee rezistente la foc de separare a compartimentelor de incendiu (planşee antifoc), </w:t>
      </w:r>
      <w:r>
        <w:rPr>
          <w:bCs/>
          <w:i/>
          <w:sz w:val="24"/>
        </w:rPr>
        <w:t xml:space="preserve">aplicându-se prevederile stabilite la </w:t>
      </w:r>
      <w:r>
        <w:rPr>
          <w:bCs/>
          <w:i/>
          <w:sz w:val="24"/>
        </w:rPr>
        <w:lastRenderedPageBreak/>
        <w:t>C</w:t>
      </w:r>
      <w:r>
        <w:rPr>
          <w:i/>
          <w:sz w:val="24"/>
          <w:szCs w:val="24"/>
        </w:rPr>
        <w:t>APITOLUL 2/ CONDIȚII GENERALE DE PERFORMANȚĂ A CONSTRUCȚIILOR EXISTENTE/ A.10. 2.2. AMPLASAREA CONSTRUCȚIILOR ȘI CONFORMAREA LOR LA FOC/ Amplasare</w:t>
      </w:r>
      <w:r>
        <w:rPr>
          <w:bCs/>
          <w:i/>
          <w:spacing w:val="-2"/>
          <w:sz w:val="24"/>
          <w:szCs w:val="24"/>
        </w:rPr>
        <w:t>.</w:t>
      </w:r>
    </w:p>
    <w:p w14:paraId="6FB8757A" w14:textId="77777777" w:rsidR="001C08A5" w:rsidRDefault="001C08A5">
      <w:pPr>
        <w:tabs>
          <w:tab w:val="left" w:pos="426"/>
          <w:tab w:val="left" w:pos="993"/>
        </w:tabs>
        <w:jc w:val="both"/>
        <w:rPr>
          <w:b/>
          <w:bCs/>
          <w:i/>
          <w:iCs/>
          <w:sz w:val="24"/>
        </w:rPr>
      </w:pPr>
    </w:p>
    <w:p w14:paraId="127FAAF4" w14:textId="77777777" w:rsidR="001C08A5" w:rsidRDefault="00000000">
      <w:pPr>
        <w:pStyle w:val="Captionfiganexe"/>
      </w:pPr>
      <w:r>
        <w:rPr>
          <w:noProof/>
        </w:rPr>
        <w:drawing>
          <wp:inline distT="0" distB="0" distL="114300" distR="114300" wp14:anchorId="4DE5775C" wp14:editId="7720E9A6">
            <wp:extent cx="5896610" cy="1767205"/>
            <wp:effectExtent l="0" t="0" r="8890" b="4445"/>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pic:cNvPicPr>
                  </pic:nvPicPr>
                  <pic:blipFill>
                    <a:blip r:embed="rId232"/>
                    <a:srcRect l="12358" t="6447" r="7336" b="60075"/>
                    <a:stretch>
                      <a:fillRect/>
                    </a:stretch>
                  </pic:blipFill>
                  <pic:spPr>
                    <a:xfrm>
                      <a:off x="0" y="0"/>
                      <a:ext cx="5896610" cy="1767205"/>
                    </a:xfrm>
                    <a:prstGeom prst="rect">
                      <a:avLst/>
                    </a:prstGeom>
                    <a:noFill/>
                    <a:ln>
                      <a:noFill/>
                    </a:ln>
                  </pic:spPr>
                </pic:pic>
              </a:graphicData>
            </a:graphic>
          </wp:inline>
        </w:drawing>
      </w:r>
    </w:p>
    <w:p w14:paraId="46CE2031" w14:textId="77777777" w:rsidR="001C08A5" w:rsidRDefault="00000000">
      <w:pPr>
        <w:jc w:val="center"/>
      </w:pPr>
      <w:r>
        <w:rPr>
          <w:b/>
          <w:bCs/>
          <w:i/>
          <w:iCs/>
          <w:sz w:val="22"/>
          <w:szCs w:val="22"/>
        </w:rPr>
        <w:t xml:space="preserve">PLAN </w:t>
      </w:r>
    </w:p>
    <w:p w14:paraId="6CB5D190" w14:textId="77777777" w:rsidR="001C08A5" w:rsidRDefault="00000000">
      <w:pPr>
        <w:pStyle w:val="Captionfiganexe"/>
      </w:pPr>
      <w:r>
        <w:rPr>
          <w:noProof/>
        </w:rPr>
        <w:drawing>
          <wp:inline distT="0" distB="0" distL="114300" distR="114300" wp14:anchorId="44B06E5B" wp14:editId="3F866603">
            <wp:extent cx="5861050" cy="2675890"/>
            <wp:effectExtent l="0" t="0" r="6350" b="1016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
                    <pic:cNvPicPr>
                      <a:picLocks noChangeAspect="1"/>
                    </pic:cNvPicPr>
                  </pic:nvPicPr>
                  <pic:blipFill>
                    <a:blip r:embed="rId232"/>
                    <a:srcRect l="12358" t="40896" r="7336" b="8109"/>
                    <a:stretch>
                      <a:fillRect/>
                    </a:stretch>
                  </pic:blipFill>
                  <pic:spPr>
                    <a:xfrm>
                      <a:off x="0" y="0"/>
                      <a:ext cx="5861050" cy="2675890"/>
                    </a:xfrm>
                    <a:prstGeom prst="rect">
                      <a:avLst/>
                    </a:prstGeom>
                    <a:noFill/>
                    <a:ln>
                      <a:noFill/>
                    </a:ln>
                  </pic:spPr>
                </pic:pic>
              </a:graphicData>
            </a:graphic>
          </wp:inline>
        </w:drawing>
      </w:r>
    </w:p>
    <w:p w14:paraId="16357262" w14:textId="77777777" w:rsidR="001C08A5" w:rsidRDefault="00000000">
      <w:pPr>
        <w:jc w:val="center"/>
        <w:rPr>
          <w:rStyle w:val="CaptionfiganexeChar"/>
          <w:b/>
          <w:bCs/>
          <w:i/>
          <w:iCs/>
          <w:szCs w:val="22"/>
        </w:rPr>
      </w:pPr>
      <w:r>
        <w:rPr>
          <w:b/>
          <w:bCs/>
          <w:i/>
          <w:iCs/>
          <w:sz w:val="22"/>
          <w:szCs w:val="22"/>
        </w:rPr>
        <w:t xml:space="preserve">SECȚIUNE </w:t>
      </w:r>
    </w:p>
    <w:p w14:paraId="1B71D0D4" w14:textId="77777777" w:rsidR="001C08A5" w:rsidRDefault="00000000">
      <w:pPr>
        <w:pStyle w:val="Caption"/>
        <w:jc w:val="center"/>
        <w:rPr>
          <w:rFonts w:cs="Times New Roman"/>
          <w:bCs/>
        </w:rPr>
      </w:pPr>
      <w:bookmarkStart w:id="5838" w:name="_Ref20285"/>
      <w:bookmarkStart w:id="5839" w:name="_Toc162360308"/>
      <w:r>
        <w:t xml:space="preserve">Figura </w:t>
      </w:r>
      <w:r>
        <w:fldChar w:fldCharType="begin"/>
      </w:r>
      <w:r>
        <w:instrText xml:space="preserve"> SEQ Figura \* ARABIC </w:instrText>
      </w:r>
      <w:r>
        <w:fldChar w:fldCharType="separate"/>
      </w:r>
      <w:r>
        <w:t>84</w:t>
      </w:r>
      <w:r>
        <w:fldChar w:fldCharType="end"/>
      </w:r>
      <w:bookmarkStart w:id="5840" w:name="_Toc5761"/>
      <w:bookmarkStart w:id="5841" w:name="_Toc30646"/>
      <w:bookmarkStart w:id="5842" w:name="_Toc12365"/>
      <w:bookmarkStart w:id="5843" w:name="_Toc19840"/>
      <w:bookmarkStart w:id="5844" w:name="_Toc19517"/>
      <w:bookmarkStart w:id="5845" w:name="_Toc6759"/>
      <w:bookmarkStart w:id="5846" w:name="_Toc18970"/>
      <w:bookmarkStart w:id="5847" w:name="_Toc458"/>
      <w:bookmarkStart w:id="5848" w:name="_Toc9630"/>
      <w:bookmarkEnd w:id="5838"/>
      <w:r>
        <w:t xml:space="preserve"> - </w:t>
      </w:r>
      <w:r>
        <w:rPr>
          <w:rStyle w:val="CaptionfiganexeChar"/>
          <w:rFonts w:cs="Times New Roman"/>
          <w:bCs/>
          <w:sz w:val="24"/>
        </w:rPr>
        <w:t>Schemă a</w:t>
      </w:r>
      <w:r>
        <w:rPr>
          <w:rFonts w:cs="Times New Roman"/>
          <w:bCs/>
        </w:rPr>
        <w:t>mplasare construcții - principiu amplasare construcții la distanțe mai mici decât cele normate</w:t>
      </w:r>
      <w:bookmarkEnd w:id="5839"/>
      <w:bookmarkEnd w:id="5840"/>
      <w:bookmarkEnd w:id="5841"/>
      <w:bookmarkEnd w:id="5842"/>
      <w:bookmarkEnd w:id="5843"/>
      <w:bookmarkEnd w:id="5844"/>
      <w:bookmarkEnd w:id="5845"/>
      <w:bookmarkEnd w:id="5846"/>
      <w:bookmarkEnd w:id="5847"/>
      <w:bookmarkEnd w:id="5848"/>
    </w:p>
    <w:p w14:paraId="78650378" w14:textId="77777777" w:rsidR="001C08A5" w:rsidRDefault="00000000">
      <w:pPr>
        <w:jc w:val="center"/>
        <w:rPr>
          <w:sz w:val="24"/>
          <w:szCs w:val="24"/>
        </w:rPr>
      </w:pPr>
      <w:r>
        <w:rPr>
          <w:noProof/>
        </w:rPr>
        <w:drawing>
          <wp:inline distT="0" distB="0" distL="114300" distR="114300" wp14:anchorId="22044979" wp14:editId="19836C45">
            <wp:extent cx="6055995" cy="1823720"/>
            <wp:effectExtent l="0" t="0" r="1905" b="508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pic:cNvPicPr>
                      <a:picLocks noChangeAspect="1"/>
                    </pic:cNvPicPr>
                  </pic:nvPicPr>
                  <pic:blipFill>
                    <a:blip r:embed="rId233"/>
                    <a:srcRect l="12535" t="8027" r="7235" b="58366"/>
                    <a:stretch>
                      <a:fillRect/>
                    </a:stretch>
                  </pic:blipFill>
                  <pic:spPr>
                    <a:xfrm>
                      <a:off x="0" y="0"/>
                      <a:ext cx="6055995" cy="1823720"/>
                    </a:xfrm>
                    <a:prstGeom prst="rect">
                      <a:avLst/>
                    </a:prstGeom>
                    <a:noFill/>
                    <a:ln>
                      <a:noFill/>
                    </a:ln>
                  </pic:spPr>
                </pic:pic>
              </a:graphicData>
            </a:graphic>
          </wp:inline>
        </w:drawing>
      </w:r>
    </w:p>
    <w:p w14:paraId="5643041C" w14:textId="77777777" w:rsidR="001C08A5" w:rsidRDefault="00000000">
      <w:pPr>
        <w:jc w:val="center"/>
        <w:rPr>
          <w:b/>
          <w:bCs/>
          <w:i/>
          <w:iCs/>
          <w:sz w:val="22"/>
          <w:szCs w:val="22"/>
        </w:rPr>
      </w:pPr>
      <w:r>
        <w:rPr>
          <w:b/>
          <w:bCs/>
          <w:i/>
          <w:iCs/>
          <w:sz w:val="22"/>
          <w:szCs w:val="22"/>
        </w:rPr>
        <w:t>PLAN</w:t>
      </w:r>
    </w:p>
    <w:p w14:paraId="64018734" w14:textId="77777777" w:rsidR="001C08A5" w:rsidRDefault="00000000">
      <w:pPr>
        <w:jc w:val="center"/>
        <w:rPr>
          <w:sz w:val="24"/>
          <w:szCs w:val="24"/>
        </w:rPr>
      </w:pPr>
      <w:r>
        <w:rPr>
          <w:noProof/>
        </w:rPr>
        <w:lastRenderedPageBreak/>
        <w:drawing>
          <wp:inline distT="0" distB="0" distL="114300" distR="114300" wp14:anchorId="61DD4737" wp14:editId="0101F302">
            <wp:extent cx="6055995" cy="2245360"/>
            <wp:effectExtent l="0" t="0" r="1905" b="254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pic:cNvPicPr>
                      <a:picLocks noChangeAspect="1"/>
                    </pic:cNvPicPr>
                  </pic:nvPicPr>
                  <pic:blipFill>
                    <a:blip r:embed="rId233"/>
                    <a:srcRect l="12535" t="41751" r="7235" b="16873"/>
                    <a:stretch>
                      <a:fillRect/>
                    </a:stretch>
                  </pic:blipFill>
                  <pic:spPr>
                    <a:xfrm>
                      <a:off x="0" y="0"/>
                      <a:ext cx="6055995" cy="2245360"/>
                    </a:xfrm>
                    <a:prstGeom prst="rect">
                      <a:avLst/>
                    </a:prstGeom>
                    <a:noFill/>
                    <a:ln>
                      <a:noFill/>
                    </a:ln>
                  </pic:spPr>
                </pic:pic>
              </a:graphicData>
            </a:graphic>
          </wp:inline>
        </w:drawing>
      </w:r>
    </w:p>
    <w:p w14:paraId="29ACB859" w14:textId="77777777" w:rsidR="001C08A5" w:rsidRDefault="00000000">
      <w:pPr>
        <w:jc w:val="center"/>
        <w:rPr>
          <w:b/>
          <w:bCs/>
          <w:i/>
          <w:iCs/>
          <w:sz w:val="22"/>
          <w:szCs w:val="22"/>
        </w:rPr>
      </w:pPr>
      <w:r>
        <w:rPr>
          <w:b/>
          <w:bCs/>
          <w:i/>
          <w:iCs/>
          <w:sz w:val="22"/>
          <w:szCs w:val="22"/>
        </w:rPr>
        <w:t>SECȚIUNE</w:t>
      </w:r>
    </w:p>
    <w:p w14:paraId="6228FBBB" w14:textId="77777777" w:rsidR="001C08A5" w:rsidRDefault="00000000">
      <w:pPr>
        <w:jc w:val="center"/>
        <w:rPr>
          <w:i/>
          <w:sz w:val="24"/>
          <w:szCs w:val="24"/>
        </w:rPr>
      </w:pPr>
      <w:r>
        <w:rPr>
          <w:noProof/>
        </w:rPr>
        <w:drawing>
          <wp:inline distT="0" distB="0" distL="114300" distR="114300" wp14:anchorId="42D44807" wp14:editId="64DC0624">
            <wp:extent cx="6075680" cy="1917065"/>
            <wp:effectExtent l="0" t="0" r="1270" b="6985"/>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pic:cNvPicPr>
                  </pic:nvPicPr>
                  <pic:blipFill>
                    <a:blip r:embed="rId234"/>
                    <a:srcRect l="12266" t="12544" r="7243" b="52130"/>
                    <a:stretch>
                      <a:fillRect/>
                    </a:stretch>
                  </pic:blipFill>
                  <pic:spPr>
                    <a:xfrm>
                      <a:off x="0" y="0"/>
                      <a:ext cx="6075680" cy="1917065"/>
                    </a:xfrm>
                    <a:prstGeom prst="rect">
                      <a:avLst/>
                    </a:prstGeom>
                    <a:noFill/>
                    <a:ln>
                      <a:noFill/>
                    </a:ln>
                  </pic:spPr>
                </pic:pic>
              </a:graphicData>
            </a:graphic>
          </wp:inline>
        </w:drawing>
      </w:r>
    </w:p>
    <w:p w14:paraId="594E2720" w14:textId="77777777" w:rsidR="001C08A5" w:rsidRDefault="00000000">
      <w:pPr>
        <w:jc w:val="center"/>
        <w:rPr>
          <w:b/>
          <w:bCs/>
          <w:i/>
          <w:sz w:val="24"/>
          <w:szCs w:val="24"/>
        </w:rPr>
      </w:pPr>
      <w:r>
        <w:rPr>
          <w:b/>
          <w:bCs/>
          <w:i/>
          <w:sz w:val="24"/>
          <w:szCs w:val="24"/>
        </w:rPr>
        <w:t xml:space="preserve">varianta a) - </w:t>
      </w:r>
      <w:r>
        <w:rPr>
          <w:b/>
          <w:bCs/>
          <w:i/>
          <w:iCs/>
          <w:sz w:val="22"/>
          <w:szCs w:val="22"/>
        </w:rPr>
        <w:t xml:space="preserve">SECȚIUNE </w:t>
      </w:r>
      <w:r>
        <w:rPr>
          <w:b/>
          <w:bCs/>
          <w:i/>
          <w:sz w:val="24"/>
          <w:szCs w:val="24"/>
        </w:rPr>
        <w:t>clădire cu acoperiș tip terasă</w:t>
      </w:r>
    </w:p>
    <w:p w14:paraId="263FC993" w14:textId="77777777" w:rsidR="001C08A5" w:rsidRDefault="00000000">
      <w:pPr>
        <w:jc w:val="center"/>
        <w:rPr>
          <w:i/>
          <w:sz w:val="24"/>
          <w:szCs w:val="24"/>
        </w:rPr>
      </w:pPr>
      <w:r>
        <w:rPr>
          <w:noProof/>
        </w:rPr>
        <w:drawing>
          <wp:inline distT="0" distB="0" distL="114300" distR="114300" wp14:anchorId="67E470F6" wp14:editId="41CE7E0F">
            <wp:extent cx="6075680" cy="1908810"/>
            <wp:effectExtent l="0" t="0" r="1270" b="1524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pic:cNvPicPr>
                      <a:picLocks noChangeAspect="1"/>
                    </pic:cNvPicPr>
                  </pic:nvPicPr>
                  <pic:blipFill>
                    <a:blip r:embed="rId234"/>
                    <a:srcRect l="12266" t="49778" r="7243" b="15048"/>
                    <a:stretch>
                      <a:fillRect/>
                    </a:stretch>
                  </pic:blipFill>
                  <pic:spPr>
                    <a:xfrm>
                      <a:off x="0" y="0"/>
                      <a:ext cx="6075680" cy="1908810"/>
                    </a:xfrm>
                    <a:prstGeom prst="rect">
                      <a:avLst/>
                    </a:prstGeom>
                    <a:noFill/>
                    <a:ln>
                      <a:noFill/>
                    </a:ln>
                  </pic:spPr>
                </pic:pic>
              </a:graphicData>
            </a:graphic>
          </wp:inline>
        </w:drawing>
      </w:r>
    </w:p>
    <w:p w14:paraId="7824C2CC" w14:textId="77777777" w:rsidR="001C08A5" w:rsidRDefault="00000000">
      <w:pPr>
        <w:jc w:val="center"/>
        <w:rPr>
          <w:b/>
          <w:bCs/>
          <w:i/>
          <w:sz w:val="24"/>
          <w:szCs w:val="24"/>
        </w:rPr>
      </w:pPr>
      <w:r>
        <w:rPr>
          <w:b/>
          <w:bCs/>
          <w:i/>
          <w:sz w:val="24"/>
          <w:szCs w:val="24"/>
        </w:rPr>
        <w:t xml:space="preserve">varianta b) - </w:t>
      </w:r>
      <w:r>
        <w:rPr>
          <w:b/>
          <w:bCs/>
          <w:i/>
          <w:iCs/>
          <w:sz w:val="22"/>
          <w:szCs w:val="22"/>
        </w:rPr>
        <w:t xml:space="preserve">SECȚIUNE </w:t>
      </w:r>
      <w:r>
        <w:rPr>
          <w:b/>
          <w:bCs/>
          <w:i/>
          <w:sz w:val="24"/>
          <w:szCs w:val="24"/>
        </w:rPr>
        <w:t>clădire cu acoperiș tip șarpantă</w:t>
      </w:r>
    </w:p>
    <w:p w14:paraId="3552075E" w14:textId="77777777" w:rsidR="001C08A5" w:rsidRDefault="00000000">
      <w:pPr>
        <w:jc w:val="center"/>
        <w:rPr>
          <w:b/>
          <w:bCs/>
          <w:i/>
          <w:sz w:val="24"/>
          <w:szCs w:val="24"/>
        </w:rPr>
      </w:pPr>
      <w:r>
        <w:rPr>
          <w:b/>
          <w:bCs/>
          <w:i/>
          <w:sz w:val="24"/>
          <w:szCs w:val="24"/>
        </w:rPr>
        <w:t>Varianta 2) - amplasare construcții la distanțe mai mici decât cele normate</w:t>
      </w:r>
    </w:p>
    <w:p w14:paraId="26F17359" w14:textId="77777777" w:rsidR="001C08A5" w:rsidRDefault="00000000">
      <w:pPr>
        <w:pStyle w:val="Caption"/>
        <w:jc w:val="center"/>
      </w:pPr>
      <w:bookmarkStart w:id="5849" w:name="_Ref20298"/>
      <w:bookmarkStart w:id="5850" w:name="_Toc162360309"/>
      <w:r>
        <w:t xml:space="preserve">Figura </w:t>
      </w:r>
      <w:r>
        <w:fldChar w:fldCharType="begin"/>
      </w:r>
      <w:r>
        <w:instrText xml:space="preserve"> SEQ Figura \* ARABIC </w:instrText>
      </w:r>
      <w:r>
        <w:fldChar w:fldCharType="separate"/>
      </w:r>
      <w:r>
        <w:t>85</w:t>
      </w:r>
      <w:r>
        <w:fldChar w:fldCharType="end"/>
      </w:r>
      <w:bookmarkStart w:id="5851" w:name="_Toc30276"/>
      <w:bookmarkStart w:id="5852" w:name="_Toc20320"/>
      <w:bookmarkStart w:id="5853" w:name="_Toc21528"/>
      <w:bookmarkStart w:id="5854" w:name="_Toc30633"/>
      <w:bookmarkStart w:id="5855" w:name="_Toc24302"/>
      <w:bookmarkStart w:id="5856" w:name="_Toc29196"/>
      <w:bookmarkStart w:id="5857" w:name="_Toc25167"/>
      <w:bookmarkStart w:id="5858" w:name="_Toc24093"/>
      <w:bookmarkStart w:id="5859" w:name="_Toc19355"/>
      <w:bookmarkEnd w:id="5849"/>
      <w:r>
        <w:t xml:space="preserve"> - Amplasare construcții la distanțe mai mari sau mai mici decât cele normate</w:t>
      </w:r>
      <w:bookmarkEnd w:id="5850"/>
      <w:bookmarkEnd w:id="5851"/>
      <w:bookmarkEnd w:id="5852"/>
      <w:bookmarkEnd w:id="5853"/>
      <w:bookmarkEnd w:id="5854"/>
      <w:bookmarkEnd w:id="5855"/>
      <w:bookmarkEnd w:id="5856"/>
      <w:bookmarkEnd w:id="5857"/>
      <w:bookmarkEnd w:id="5858"/>
      <w:bookmarkEnd w:id="5859"/>
    </w:p>
    <w:p w14:paraId="17E2DAC7" w14:textId="77777777" w:rsidR="001C08A5" w:rsidRDefault="00000000">
      <w:pPr>
        <w:pStyle w:val="BodyText"/>
        <w:rPr>
          <w:sz w:val="22"/>
          <w:szCs w:val="22"/>
        </w:rPr>
      </w:pPr>
      <w:r>
        <w:rPr>
          <w:b w:val="0"/>
          <w:bCs w:val="0"/>
          <w:sz w:val="22"/>
          <w:szCs w:val="22"/>
        </w:rPr>
        <w:t>Note</w:t>
      </w:r>
      <w:r>
        <w:rPr>
          <w:sz w:val="22"/>
          <w:szCs w:val="22"/>
        </w:rPr>
        <w:t xml:space="preserve"> </w:t>
      </w:r>
      <w:r>
        <w:rPr>
          <w:sz w:val="22"/>
          <w:szCs w:val="22"/>
        </w:rPr>
        <w:fldChar w:fldCharType="begin"/>
      </w:r>
      <w:r>
        <w:rPr>
          <w:sz w:val="22"/>
          <w:szCs w:val="22"/>
        </w:rPr>
        <w:instrText xml:space="preserve"> REF _Ref20285 \h </w:instrText>
      </w:r>
      <w:r>
        <w:rPr>
          <w:sz w:val="22"/>
          <w:szCs w:val="22"/>
        </w:rPr>
      </w:r>
      <w:r>
        <w:rPr>
          <w:sz w:val="22"/>
          <w:szCs w:val="22"/>
        </w:rPr>
        <w:fldChar w:fldCharType="separate"/>
      </w:r>
      <w:r>
        <w:rPr>
          <w:sz w:val="22"/>
          <w:szCs w:val="22"/>
        </w:rPr>
        <w:t>Figura 84</w:t>
      </w:r>
      <w:r>
        <w:rPr>
          <w:sz w:val="22"/>
          <w:szCs w:val="22"/>
        </w:rPr>
        <w:fldChar w:fldCharType="end"/>
      </w:r>
      <w:r>
        <w:rPr>
          <w:sz w:val="22"/>
          <w:szCs w:val="22"/>
        </w:rPr>
        <w:t xml:space="preserve"> </w:t>
      </w:r>
      <w:r>
        <w:rPr>
          <w:b w:val="0"/>
          <w:bCs w:val="0"/>
          <w:sz w:val="22"/>
          <w:szCs w:val="22"/>
        </w:rPr>
        <w:t xml:space="preserve">și </w:t>
      </w:r>
      <w:r>
        <w:rPr>
          <w:sz w:val="22"/>
          <w:szCs w:val="22"/>
        </w:rPr>
        <w:fldChar w:fldCharType="begin"/>
      </w:r>
      <w:r>
        <w:rPr>
          <w:sz w:val="22"/>
          <w:szCs w:val="22"/>
        </w:rPr>
        <w:instrText xml:space="preserve"> REF _Ref20298 \h </w:instrText>
      </w:r>
      <w:r>
        <w:rPr>
          <w:sz w:val="22"/>
          <w:szCs w:val="22"/>
        </w:rPr>
      </w:r>
      <w:r>
        <w:rPr>
          <w:sz w:val="22"/>
          <w:szCs w:val="22"/>
        </w:rPr>
        <w:fldChar w:fldCharType="separate"/>
      </w:r>
      <w:r>
        <w:rPr>
          <w:sz w:val="22"/>
          <w:szCs w:val="22"/>
        </w:rPr>
        <w:t>Figura 85</w:t>
      </w:r>
      <w:r>
        <w:rPr>
          <w:sz w:val="22"/>
          <w:szCs w:val="22"/>
        </w:rPr>
        <w:fldChar w:fldCharType="end"/>
      </w:r>
      <w:r>
        <w:rPr>
          <w:sz w:val="22"/>
          <w:szCs w:val="22"/>
        </w:rPr>
        <w:t>:</w:t>
      </w:r>
    </w:p>
    <w:p w14:paraId="74EFB5AB" w14:textId="77777777" w:rsidR="001C08A5" w:rsidRDefault="00000000">
      <w:pPr>
        <w:pStyle w:val="BodyText"/>
        <w:rPr>
          <w:b w:val="0"/>
          <w:bCs w:val="0"/>
          <w:sz w:val="22"/>
          <w:szCs w:val="22"/>
        </w:rPr>
      </w:pPr>
      <w:r>
        <w:rPr>
          <w:b w:val="0"/>
          <w:bCs w:val="0"/>
          <w:sz w:val="22"/>
          <w:szCs w:val="22"/>
        </w:rPr>
        <w:t>Indicativul</w:t>
      </w:r>
      <w:r>
        <w:rPr>
          <w:sz w:val="22"/>
          <w:szCs w:val="22"/>
        </w:rPr>
        <w:t xml:space="preserve"> ”A” </w:t>
      </w:r>
      <w:r>
        <w:rPr>
          <w:b w:val="0"/>
          <w:bCs w:val="0"/>
          <w:sz w:val="22"/>
          <w:szCs w:val="22"/>
        </w:rPr>
        <w:t xml:space="preserve">reprezintă perete antifoc conform </w:t>
      </w:r>
      <w:r>
        <w:rPr>
          <w:sz w:val="22"/>
          <w:szCs w:val="22"/>
        </w:rPr>
        <w:t>Art. 2.3.2.1.2.</w:t>
      </w:r>
      <w:r>
        <w:rPr>
          <w:b w:val="0"/>
          <w:bCs w:val="0"/>
          <w:sz w:val="22"/>
          <w:szCs w:val="22"/>
        </w:rPr>
        <w:t xml:space="preserve"> (sau conform </w:t>
      </w:r>
      <w:r>
        <w:rPr>
          <w:rFonts w:eastAsia="Calibri"/>
          <w:sz w:val="22"/>
          <w:szCs w:val="22"/>
          <w:shd w:val="clear" w:color="auto" w:fill="FFFFFF"/>
        </w:rPr>
        <w:t xml:space="preserve">A.10. 2.3.4. (1) </w:t>
      </w:r>
      <w:r>
        <w:rPr>
          <w:rFonts w:eastAsia="Calibri"/>
          <w:b w:val="0"/>
          <w:bCs w:val="0"/>
          <w:sz w:val="22"/>
          <w:szCs w:val="22"/>
          <w:shd w:val="clear" w:color="auto" w:fill="FFFFFF"/>
        </w:rPr>
        <w:t>pentru clădiri existente</w:t>
      </w:r>
      <w:r>
        <w:rPr>
          <w:b w:val="0"/>
          <w:bCs w:val="0"/>
          <w:sz w:val="22"/>
          <w:szCs w:val="22"/>
        </w:rPr>
        <w:t>)</w:t>
      </w:r>
    </w:p>
    <w:p w14:paraId="2B1955DC" w14:textId="77777777" w:rsidR="001C08A5" w:rsidRDefault="00000000">
      <w:pPr>
        <w:pStyle w:val="BodyText"/>
        <w:rPr>
          <w:b w:val="0"/>
          <w:bCs w:val="0"/>
          <w:sz w:val="22"/>
          <w:szCs w:val="22"/>
        </w:rPr>
      </w:pPr>
      <w:r>
        <w:rPr>
          <w:b w:val="0"/>
          <w:bCs w:val="0"/>
          <w:sz w:val="22"/>
          <w:szCs w:val="22"/>
        </w:rPr>
        <w:t>Indicativul</w:t>
      </w:r>
      <w:r>
        <w:rPr>
          <w:sz w:val="22"/>
          <w:szCs w:val="22"/>
        </w:rPr>
        <w:t xml:space="preserve"> ”B” </w:t>
      </w:r>
      <w:r>
        <w:rPr>
          <w:b w:val="0"/>
          <w:bCs w:val="0"/>
          <w:sz w:val="22"/>
          <w:szCs w:val="22"/>
        </w:rPr>
        <w:t xml:space="preserve">reprezintă fâșia min </w:t>
      </w:r>
      <w:r>
        <w:rPr>
          <w:sz w:val="22"/>
          <w:szCs w:val="22"/>
        </w:rPr>
        <w:t>REI 60</w:t>
      </w:r>
      <w:r>
        <w:rPr>
          <w:b w:val="0"/>
          <w:bCs w:val="0"/>
          <w:sz w:val="22"/>
          <w:szCs w:val="22"/>
        </w:rPr>
        <w:t xml:space="preserve"> prevăzută la</w:t>
      </w:r>
      <w:r>
        <w:rPr>
          <w:sz w:val="22"/>
          <w:szCs w:val="22"/>
        </w:rPr>
        <w:t xml:space="preserve"> Art. 2.3.2.1.4. </w:t>
      </w:r>
      <w:r>
        <w:rPr>
          <w:b w:val="0"/>
          <w:bCs w:val="0"/>
          <w:sz w:val="22"/>
          <w:szCs w:val="22"/>
        </w:rPr>
        <w:t xml:space="preserve">(sau conform </w:t>
      </w:r>
      <w:r>
        <w:rPr>
          <w:i w:val="0"/>
          <w:iCs/>
          <w:sz w:val="22"/>
          <w:szCs w:val="22"/>
        </w:rPr>
        <w:t xml:space="preserve"> </w:t>
      </w:r>
      <w:r>
        <w:rPr>
          <w:rFonts w:eastAsia="Calibri"/>
          <w:sz w:val="22"/>
          <w:szCs w:val="22"/>
          <w:shd w:val="clear" w:color="auto" w:fill="FFFFFF"/>
        </w:rPr>
        <w:t xml:space="preserve">A.10. 2.3.14. </w:t>
      </w:r>
      <w:r>
        <w:rPr>
          <w:rFonts w:eastAsia="Calibri"/>
          <w:b w:val="0"/>
          <w:bCs w:val="0"/>
          <w:sz w:val="22"/>
          <w:szCs w:val="22"/>
          <w:shd w:val="clear" w:color="auto" w:fill="FFFFFF"/>
        </w:rPr>
        <w:t>pentru clădiri existente</w:t>
      </w:r>
      <w:r>
        <w:rPr>
          <w:b w:val="0"/>
          <w:bCs w:val="0"/>
          <w:sz w:val="22"/>
          <w:szCs w:val="22"/>
        </w:rPr>
        <w:t>)</w:t>
      </w:r>
    </w:p>
    <w:p w14:paraId="05FFB2C4" w14:textId="77777777" w:rsidR="001C08A5" w:rsidRDefault="00000000">
      <w:pPr>
        <w:pStyle w:val="BodyText"/>
        <w:rPr>
          <w:b w:val="0"/>
          <w:sz w:val="22"/>
          <w:szCs w:val="22"/>
          <w:lang w:eastAsia="en-GB" w:bidi="en-GB"/>
        </w:rPr>
      </w:pPr>
      <w:r>
        <w:rPr>
          <w:b w:val="0"/>
          <w:bCs w:val="0"/>
          <w:sz w:val="22"/>
          <w:szCs w:val="22"/>
        </w:rPr>
        <w:t>În pereții antifoc (”</w:t>
      </w:r>
      <w:r>
        <w:rPr>
          <w:sz w:val="22"/>
          <w:szCs w:val="22"/>
        </w:rPr>
        <w:t>A</w:t>
      </w:r>
      <w:r>
        <w:rPr>
          <w:b w:val="0"/>
          <w:bCs w:val="0"/>
          <w:sz w:val="22"/>
          <w:szCs w:val="22"/>
        </w:rPr>
        <w:t xml:space="preserve">”) dispuși la fațadele construcțiilor, golurile prevăzute se protejează prin </w:t>
      </w:r>
      <w:r>
        <w:rPr>
          <w:b w:val="0"/>
          <w:sz w:val="22"/>
          <w:szCs w:val="22"/>
          <w:lang w:eastAsia="en-GB" w:bidi="en-GB"/>
        </w:rPr>
        <w:t>uș</w:t>
      </w:r>
      <w:r>
        <w:rPr>
          <w:b w:val="0"/>
          <w:sz w:val="22"/>
          <w:szCs w:val="22"/>
          <w:lang w:val="en-GB" w:eastAsia="en-GB" w:bidi="en-GB"/>
        </w:rPr>
        <w:t xml:space="preserve">i, obloane </w:t>
      </w:r>
      <w:r>
        <w:rPr>
          <w:b w:val="0"/>
          <w:sz w:val="22"/>
          <w:szCs w:val="22"/>
          <w:lang w:eastAsia="en-GB" w:bidi="en-GB"/>
        </w:rPr>
        <w:t>șau</w:t>
      </w:r>
      <w:r>
        <w:rPr>
          <w:b w:val="0"/>
          <w:sz w:val="22"/>
          <w:szCs w:val="22"/>
          <w:lang w:val="en-GB" w:eastAsia="en-GB" w:bidi="en-GB"/>
        </w:rPr>
        <w:t xml:space="preserve"> cortine rezistente la foc </w:t>
      </w:r>
      <w:r>
        <w:rPr>
          <w:b w:val="0"/>
          <w:sz w:val="22"/>
          <w:szCs w:val="22"/>
          <w:lang w:eastAsia="en-GB" w:bidi="en-GB"/>
        </w:rPr>
        <w:t xml:space="preserve">(rezistente la foc pe o perioadă minimum jumătate din rezistența la foc a pereților antifoc, dar cel puțin </w:t>
      </w:r>
      <w:r>
        <w:rPr>
          <w:bCs w:val="0"/>
          <w:sz w:val="22"/>
          <w:szCs w:val="22"/>
          <w:lang w:eastAsia="en-GB" w:bidi="en-GB"/>
        </w:rPr>
        <w:t>1</w:t>
      </w:r>
      <w:r>
        <w:rPr>
          <w:b w:val="0"/>
          <w:sz w:val="22"/>
          <w:szCs w:val="22"/>
          <w:lang w:eastAsia="en-GB" w:bidi="en-GB"/>
        </w:rPr>
        <w:t xml:space="preserve"> oră).</w:t>
      </w:r>
    </w:p>
    <w:p w14:paraId="3D79B483" w14:textId="77777777" w:rsidR="001C08A5" w:rsidRDefault="00000000">
      <w:pPr>
        <w:pStyle w:val="BodyText"/>
        <w:rPr>
          <w:spacing w:val="-2"/>
        </w:rPr>
      </w:pPr>
      <w:r>
        <w:rPr>
          <w:b w:val="0"/>
          <w:bCs w:val="0"/>
        </w:rPr>
        <w:t xml:space="preserve"> </w:t>
      </w:r>
    </w:p>
    <w:p w14:paraId="010EDEFC" w14:textId="77777777" w:rsidR="001C08A5" w:rsidRDefault="00000000">
      <w:pPr>
        <w:numPr>
          <w:ilvl w:val="0"/>
          <w:numId w:val="96"/>
        </w:numPr>
        <w:tabs>
          <w:tab w:val="left" w:pos="426"/>
          <w:tab w:val="left" w:pos="993"/>
        </w:tabs>
        <w:jc w:val="both"/>
        <w:rPr>
          <w:bCs/>
          <w:spacing w:val="-2"/>
          <w:sz w:val="24"/>
          <w:szCs w:val="24"/>
        </w:rPr>
      </w:pPr>
      <w:r>
        <w:rPr>
          <w:bCs/>
          <w:i/>
          <w:iCs/>
          <w:spacing w:val="-2"/>
          <w:sz w:val="24"/>
          <w:szCs w:val="24"/>
        </w:rPr>
        <w:t xml:space="preserve">Clădirile comasate într-un compartiment de incendiu se amplasează faţă de alte construcţii sau compartimente de incendiu la distanţele minime de siguranţă stabilite în </w:t>
      </w:r>
      <w:r>
        <w:rPr>
          <w:b/>
          <w:bCs/>
          <w:i/>
          <w:iCs/>
          <w:spacing w:val="-2"/>
          <w:sz w:val="24"/>
          <w:szCs w:val="24"/>
        </w:rPr>
        <w:fldChar w:fldCharType="begin"/>
      </w:r>
      <w:r>
        <w:rPr>
          <w:b/>
          <w:bCs/>
          <w:i/>
          <w:iCs/>
          <w:spacing w:val="-2"/>
          <w:sz w:val="24"/>
          <w:szCs w:val="24"/>
        </w:rPr>
        <w:instrText xml:space="preserve"> REF _Ref29888 \h </w:instrText>
      </w:r>
      <w:r>
        <w:rPr>
          <w:b/>
          <w:bCs/>
          <w:i/>
          <w:iCs/>
          <w:spacing w:val="-2"/>
          <w:sz w:val="24"/>
          <w:szCs w:val="24"/>
        </w:rPr>
      </w:r>
      <w:r>
        <w:rPr>
          <w:b/>
          <w:bCs/>
          <w:i/>
          <w:iCs/>
          <w:spacing w:val="-2"/>
          <w:sz w:val="24"/>
          <w:szCs w:val="24"/>
        </w:rPr>
        <w:fldChar w:fldCharType="separate"/>
      </w:r>
      <w:r>
        <w:rPr>
          <w:b/>
          <w:bCs/>
          <w:i/>
          <w:iCs/>
          <w:sz w:val="22"/>
          <w:szCs w:val="22"/>
        </w:rPr>
        <w:t>Tabelul 4</w:t>
      </w:r>
      <w:r>
        <w:rPr>
          <w:b/>
          <w:bCs/>
          <w:i/>
          <w:iCs/>
          <w:spacing w:val="-2"/>
          <w:sz w:val="24"/>
          <w:szCs w:val="24"/>
        </w:rPr>
        <w:fldChar w:fldCharType="end"/>
      </w:r>
      <w:r>
        <w:rPr>
          <w:bCs/>
          <w:i/>
          <w:iCs/>
          <w:spacing w:val="-2"/>
          <w:sz w:val="24"/>
          <w:szCs w:val="24"/>
        </w:rPr>
        <w:t xml:space="preserve">, funcţie de nivelul de stabilitate la incendiu stabilit conform </w:t>
      </w:r>
      <w:r>
        <w:rPr>
          <w:b/>
          <w:bCs/>
          <w:i/>
          <w:iCs/>
          <w:spacing w:val="-2"/>
          <w:sz w:val="24"/>
          <w:szCs w:val="24"/>
        </w:rPr>
        <w:t xml:space="preserve">Art. </w:t>
      </w:r>
      <w:r>
        <w:rPr>
          <w:b/>
          <w:bCs/>
          <w:i/>
          <w:iCs/>
          <w:sz w:val="24"/>
          <w:szCs w:val="24"/>
        </w:rPr>
        <w:t>2.2.1.1</w:t>
      </w:r>
      <w:r>
        <w:rPr>
          <w:b/>
          <w:i/>
          <w:iCs/>
          <w:sz w:val="24"/>
          <w:szCs w:val="24"/>
        </w:rPr>
        <w:t>.</w:t>
      </w:r>
      <w:r>
        <w:rPr>
          <w:b/>
          <w:bCs/>
          <w:i/>
          <w:iCs/>
          <w:spacing w:val="-2"/>
          <w:sz w:val="24"/>
          <w:szCs w:val="24"/>
        </w:rPr>
        <w:t xml:space="preserve"> alin. (2)</w:t>
      </w:r>
      <w:r>
        <w:rPr>
          <w:bCs/>
          <w:i/>
          <w:iCs/>
          <w:spacing w:val="-2"/>
          <w:sz w:val="24"/>
          <w:szCs w:val="24"/>
        </w:rPr>
        <w:t xml:space="preserve">. La clădirile existente comasate se aplică  distanțele de siguranță stabilite în </w:t>
      </w:r>
      <w:r>
        <w:rPr>
          <w:b/>
          <w:i/>
          <w:iCs/>
          <w:spacing w:val="-2"/>
          <w:sz w:val="24"/>
          <w:szCs w:val="24"/>
        </w:rPr>
        <w:t>Anexa 10</w:t>
      </w:r>
      <w:r>
        <w:rPr>
          <w:bCs/>
          <w:i/>
          <w:iCs/>
          <w:spacing w:val="-2"/>
          <w:sz w:val="24"/>
          <w:szCs w:val="24"/>
        </w:rPr>
        <w:t xml:space="preserve"> la </w:t>
      </w:r>
      <w:r>
        <w:rPr>
          <w:b/>
          <w:bCs/>
          <w:i/>
          <w:iCs/>
          <w:spacing w:val="-2"/>
          <w:sz w:val="24"/>
          <w:szCs w:val="24"/>
        </w:rPr>
        <w:fldChar w:fldCharType="begin"/>
      </w:r>
      <w:r>
        <w:rPr>
          <w:b/>
          <w:bCs/>
          <w:i/>
          <w:iCs/>
          <w:spacing w:val="-2"/>
          <w:sz w:val="24"/>
          <w:szCs w:val="24"/>
        </w:rPr>
        <w:instrText xml:space="preserve"> REF _Ref5126 \h </w:instrText>
      </w:r>
      <w:r>
        <w:rPr>
          <w:b/>
          <w:bCs/>
          <w:i/>
          <w:iCs/>
          <w:spacing w:val="-2"/>
          <w:sz w:val="24"/>
          <w:szCs w:val="24"/>
        </w:rPr>
      </w:r>
      <w:r>
        <w:rPr>
          <w:b/>
          <w:bCs/>
          <w:i/>
          <w:iCs/>
          <w:spacing w:val="-2"/>
          <w:sz w:val="24"/>
          <w:szCs w:val="24"/>
        </w:rPr>
        <w:fldChar w:fldCharType="separate"/>
      </w:r>
      <w:r>
        <w:rPr>
          <w:b/>
          <w:bCs/>
          <w:i/>
          <w:iCs/>
          <w:sz w:val="22"/>
          <w:szCs w:val="22"/>
        </w:rPr>
        <w:t>Tabelul 145</w:t>
      </w:r>
      <w:r>
        <w:rPr>
          <w:b/>
          <w:bCs/>
          <w:i/>
          <w:iCs/>
          <w:spacing w:val="-2"/>
          <w:sz w:val="24"/>
          <w:szCs w:val="24"/>
        </w:rPr>
        <w:fldChar w:fldCharType="end"/>
      </w:r>
      <w:r>
        <w:rPr>
          <w:bCs/>
          <w:i/>
          <w:iCs/>
          <w:spacing w:val="-2"/>
          <w:sz w:val="24"/>
          <w:szCs w:val="24"/>
        </w:rPr>
        <w:t>.</w:t>
      </w:r>
    </w:p>
    <w:p w14:paraId="328D1169" w14:textId="77777777" w:rsidR="001C08A5" w:rsidRDefault="001C08A5">
      <w:pPr>
        <w:tabs>
          <w:tab w:val="left" w:pos="426"/>
          <w:tab w:val="left" w:pos="993"/>
        </w:tabs>
        <w:jc w:val="both"/>
        <w:rPr>
          <w:bCs/>
          <w:spacing w:val="-2"/>
          <w:sz w:val="24"/>
          <w:szCs w:val="24"/>
        </w:rPr>
      </w:pPr>
    </w:p>
    <w:p w14:paraId="68E1B4E5" w14:textId="77777777" w:rsidR="001C08A5" w:rsidRDefault="00000000">
      <w:pPr>
        <w:numPr>
          <w:ilvl w:val="0"/>
          <w:numId w:val="96"/>
        </w:numPr>
        <w:tabs>
          <w:tab w:val="left" w:pos="426"/>
          <w:tab w:val="left" w:pos="993"/>
        </w:tabs>
        <w:jc w:val="both"/>
        <w:rPr>
          <w:i/>
          <w:iCs/>
          <w:sz w:val="24"/>
        </w:rPr>
      </w:pPr>
      <w:r>
        <w:rPr>
          <w:i/>
          <w:iCs/>
          <w:sz w:val="24"/>
        </w:rPr>
        <w:t xml:space="preserve">Construcţiile supraterane civile (publice), de producţie şi/sau depozitare ori cele mixte se amplasează comasat sau grupat la distanţe nenormate între ele, în limitele unor compartimente de incendiu specifice, cu arii maxime admise în funcţie de destinaţie, nivelul de stabilitate la incendiu cel mai dezavantajos, riscul de incendiu cel mai mare şi numărul de niveluri normat, (luând în calcul suma ariilor construite efective). </w:t>
      </w:r>
    </w:p>
    <w:p w14:paraId="35E5B309" w14:textId="77777777" w:rsidR="001C08A5" w:rsidRDefault="001C08A5">
      <w:pPr>
        <w:tabs>
          <w:tab w:val="left" w:pos="426"/>
          <w:tab w:val="left" w:pos="993"/>
        </w:tabs>
        <w:jc w:val="both"/>
        <w:rPr>
          <w:i/>
          <w:iCs/>
          <w:sz w:val="24"/>
        </w:rPr>
      </w:pPr>
    </w:p>
    <w:p w14:paraId="48122966" w14:textId="77777777" w:rsidR="001C08A5" w:rsidRDefault="00000000">
      <w:pPr>
        <w:numPr>
          <w:ilvl w:val="0"/>
          <w:numId w:val="96"/>
        </w:numPr>
        <w:tabs>
          <w:tab w:val="left" w:pos="426"/>
          <w:tab w:val="left" w:pos="993"/>
        </w:tabs>
        <w:jc w:val="both"/>
        <w:rPr>
          <w:i/>
          <w:iCs/>
          <w:sz w:val="24"/>
        </w:rPr>
      </w:pPr>
      <w:r>
        <w:rPr>
          <w:i/>
          <w:iCs/>
          <w:sz w:val="24"/>
        </w:rPr>
        <w:t>Construcţiile destinate persoanelor care nu se pot evacua singure (definite conform terminologie), precum şi cele pentru obiecte, echipamente sau aparatură de importanţă deosebita, clădirile civile supraterane înalte şi/sau foarte înalte sau cu săli aglomerate, nu se comasează cu alte construcţii.</w:t>
      </w:r>
    </w:p>
    <w:p w14:paraId="7BCB12AE" w14:textId="77777777" w:rsidR="001C08A5" w:rsidRDefault="001C08A5">
      <w:pPr>
        <w:tabs>
          <w:tab w:val="left" w:pos="426"/>
          <w:tab w:val="left" w:pos="993"/>
        </w:tabs>
        <w:jc w:val="both"/>
        <w:rPr>
          <w:i/>
          <w:iCs/>
          <w:sz w:val="24"/>
        </w:rPr>
      </w:pPr>
    </w:p>
    <w:p w14:paraId="38989B3E" w14:textId="77777777" w:rsidR="001C08A5" w:rsidRDefault="00000000">
      <w:pPr>
        <w:numPr>
          <w:ilvl w:val="0"/>
          <w:numId w:val="96"/>
        </w:numPr>
        <w:tabs>
          <w:tab w:val="left" w:pos="426"/>
          <w:tab w:val="left" w:pos="993"/>
        </w:tabs>
        <w:jc w:val="both"/>
        <w:rPr>
          <w:i/>
          <w:iCs/>
          <w:sz w:val="24"/>
        </w:rPr>
      </w:pPr>
      <w:r>
        <w:rPr>
          <w:i/>
          <w:iCs/>
          <w:sz w:val="24"/>
        </w:rPr>
        <w:t>Comasarea cu alte construcţii sau între ele a clădirilor civile supraterane înalte şi/sau foarte înalte este interzisă în cadrul aceluiași compartiment de incendiu.</w:t>
      </w:r>
    </w:p>
    <w:p w14:paraId="51886114" w14:textId="77777777" w:rsidR="001C08A5" w:rsidRDefault="001C08A5">
      <w:pPr>
        <w:tabs>
          <w:tab w:val="left" w:pos="426"/>
          <w:tab w:val="left" w:pos="993"/>
        </w:tabs>
        <w:jc w:val="both"/>
        <w:rPr>
          <w:i/>
          <w:iCs/>
          <w:sz w:val="24"/>
        </w:rPr>
      </w:pPr>
    </w:p>
    <w:p w14:paraId="78012802" w14:textId="77777777" w:rsidR="001C08A5" w:rsidRDefault="00000000">
      <w:pPr>
        <w:numPr>
          <w:ilvl w:val="0"/>
          <w:numId w:val="96"/>
        </w:numPr>
        <w:tabs>
          <w:tab w:val="left" w:pos="426"/>
          <w:tab w:val="left" w:pos="993"/>
        </w:tabs>
        <w:jc w:val="both"/>
        <w:rPr>
          <w:i/>
          <w:iCs/>
          <w:sz w:val="24"/>
        </w:rPr>
      </w:pPr>
      <w:r>
        <w:rPr>
          <w:i/>
          <w:iCs/>
          <w:sz w:val="24"/>
        </w:rPr>
        <w:t>Clădirile civile cu înălțimi obişnuite pot fi amplasate independent sau comasate cu alte clădiri civile cu înălțimi obişnuite în limitele ariilor compartimentelor de incendiu pentru clădiri civile admise în normativ (respectiv în Anexa 10 pentru cele existente). Construcţiile de producţie şi depozitare obişnuite pot fi amplasate independent sau comasate cu alte construcţii de producţie şi/sau depozitare, în limitele ariilor compartimentelor de incendiu admise în normativ (respectiv în Anexa 10 pentru cele existente).</w:t>
      </w:r>
    </w:p>
    <w:p w14:paraId="5F68DC92" w14:textId="77777777" w:rsidR="001C08A5" w:rsidRDefault="001C08A5">
      <w:pPr>
        <w:tabs>
          <w:tab w:val="left" w:pos="426"/>
          <w:tab w:val="left" w:pos="993"/>
        </w:tabs>
        <w:jc w:val="both"/>
        <w:rPr>
          <w:i/>
          <w:iCs/>
          <w:sz w:val="24"/>
        </w:rPr>
      </w:pPr>
    </w:p>
    <w:p w14:paraId="54E2B304" w14:textId="77777777" w:rsidR="001C08A5" w:rsidRDefault="00000000">
      <w:pPr>
        <w:numPr>
          <w:ilvl w:val="0"/>
          <w:numId w:val="96"/>
        </w:numPr>
        <w:tabs>
          <w:tab w:val="left" w:pos="426"/>
          <w:tab w:val="left" w:pos="993"/>
        </w:tabs>
        <w:jc w:val="both"/>
        <w:rPr>
          <w:i/>
          <w:iCs/>
          <w:sz w:val="24"/>
        </w:rPr>
      </w:pPr>
      <w:r>
        <w:rPr>
          <w:i/>
          <w:iCs/>
          <w:sz w:val="24"/>
        </w:rPr>
        <w:t>Construcţiile de producţie și depozitare nu se comasează cu clădiri civile, fiind obligatorie compartimentarea lor cu pereţi antifoc sau dispunerea la distanțe de siguranță (între construcții de producție/ depozitare și clădiri civile). Construcţiile cu funcţiuni de producţie şi/sau depozitare pot fi comasate (între ele), asigurându-se măsurile de compartimentare și protecţie corespunzătoare fiecărei funcţiuni.</w:t>
      </w:r>
    </w:p>
    <w:p w14:paraId="17FA8276" w14:textId="77777777" w:rsidR="001C08A5" w:rsidRDefault="001C08A5">
      <w:pPr>
        <w:tabs>
          <w:tab w:val="left" w:pos="426"/>
          <w:tab w:val="left" w:pos="993"/>
        </w:tabs>
        <w:jc w:val="both"/>
        <w:rPr>
          <w:i/>
          <w:iCs/>
          <w:sz w:val="24"/>
        </w:rPr>
      </w:pPr>
    </w:p>
    <w:p w14:paraId="006BB2D3" w14:textId="77777777" w:rsidR="001C08A5" w:rsidRDefault="00000000">
      <w:pPr>
        <w:numPr>
          <w:ilvl w:val="0"/>
          <w:numId w:val="96"/>
        </w:numPr>
        <w:tabs>
          <w:tab w:val="left" w:pos="426"/>
          <w:tab w:val="left" w:pos="993"/>
        </w:tabs>
        <w:jc w:val="both"/>
        <w:rPr>
          <w:b/>
          <w:bCs/>
          <w:i/>
          <w:iCs/>
          <w:sz w:val="24"/>
        </w:rPr>
      </w:pPr>
      <w:r>
        <w:rPr>
          <w:rFonts w:eastAsia="TimesNewRomanPSMT-Identity-H"/>
          <w:i/>
          <w:iCs/>
          <w:sz w:val="24"/>
          <w:szCs w:val="24"/>
        </w:rPr>
        <w:t xml:space="preserve">Construcţiile independente precum şi grupările sau comasările de construcţii constituite conform </w:t>
      </w:r>
      <w:r>
        <w:rPr>
          <w:rFonts w:eastAsia="TimesNewRomanPSMT-Identity-H"/>
          <w:b/>
          <w:bCs/>
          <w:i/>
          <w:iCs/>
          <w:sz w:val="24"/>
          <w:szCs w:val="24"/>
        </w:rPr>
        <w:t>alin. (4)</w:t>
      </w:r>
      <w:r>
        <w:rPr>
          <w:rFonts w:eastAsia="TimesNewRomanPSMT-Identity-H"/>
          <w:i/>
          <w:iCs/>
          <w:sz w:val="24"/>
          <w:szCs w:val="24"/>
        </w:rPr>
        <w:t>, se amplasează astfel încât să nu permită propagarea incendiilor o perioadă de timp normată sau, în cazul prăbuşirii, să nu afecteze obiectele învecinate, respectându-se distanţele minime de siguranţă sau compartimentându-se față de alte construcții prin pereți antifoc.</w:t>
      </w:r>
      <w:r>
        <w:rPr>
          <w:i/>
          <w:iCs/>
          <w:sz w:val="24"/>
        </w:rPr>
        <w:t xml:space="preserve"> </w:t>
      </w:r>
      <w:r>
        <w:rPr>
          <w:i/>
          <w:iCs/>
          <w:sz w:val="24"/>
          <w:szCs w:val="24"/>
        </w:rPr>
        <w:t>Prin însumarea ariilor construite ale clădirilor respective (</w:t>
      </w:r>
      <w:r>
        <w:rPr>
          <w:b/>
          <w:bCs/>
          <w:i/>
          <w:iCs/>
          <w:sz w:val="24"/>
          <w:szCs w:val="24"/>
        </w:rPr>
        <w:t>Ac</w:t>
      </w:r>
      <w:r>
        <w:rPr>
          <w:i/>
          <w:iCs/>
          <w:sz w:val="24"/>
          <w:szCs w:val="24"/>
        </w:rPr>
        <w:t>) trebuie respectate valorile maximum admise pentru compartimentul de incendiu rezultat, în funcţie de destinaţia și nivelul cel mai defavorabil de stabilitate la incendiu asigurat, de riscul de incendiu cel mai mare şi numărul de niveluri normat. Compartimentul de incendiu rezultat din comasarea construcţiilor va avea nivelul de stabilitate la incendiu determinat de clădirea cu cel mai defavorabil nivel, riscul de incendiu cel mai mare şi numărul de niveluri normat.</w:t>
      </w:r>
    </w:p>
    <w:p w14:paraId="3EB806D8" w14:textId="77777777" w:rsidR="001C08A5" w:rsidRDefault="00000000">
      <w:pPr>
        <w:tabs>
          <w:tab w:val="left" w:pos="426"/>
          <w:tab w:val="left" w:pos="993"/>
        </w:tabs>
        <w:jc w:val="both"/>
        <w:rPr>
          <w:i/>
          <w:iCs/>
          <w:sz w:val="24"/>
          <w:szCs w:val="24"/>
        </w:rPr>
      </w:pPr>
      <w:r>
        <w:rPr>
          <w:b/>
          <w:bCs/>
          <w:i/>
          <w:iCs/>
          <w:sz w:val="24"/>
          <w:szCs w:val="24"/>
        </w:rPr>
        <w:t xml:space="preserve">Exemplu </w:t>
      </w:r>
      <w:r>
        <w:rPr>
          <w:i/>
          <w:iCs/>
          <w:sz w:val="24"/>
          <w:szCs w:val="24"/>
        </w:rPr>
        <w:t xml:space="preserve">(conform </w:t>
      </w:r>
      <w:r>
        <w:rPr>
          <w:b/>
          <w:bCs/>
          <w:i/>
          <w:iCs/>
          <w:sz w:val="24"/>
          <w:szCs w:val="24"/>
        </w:rPr>
        <w:fldChar w:fldCharType="begin"/>
      </w:r>
      <w:r>
        <w:rPr>
          <w:b/>
          <w:bCs/>
          <w:i/>
          <w:iCs/>
          <w:sz w:val="24"/>
          <w:szCs w:val="24"/>
        </w:rPr>
        <w:instrText xml:space="preserve"> REF _Ref19429 \h </w:instrText>
      </w:r>
      <w:r>
        <w:rPr>
          <w:b/>
          <w:bCs/>
          <w:i/>
          <w:iCs/>
          <w:sz w:val="24"/>
          <w:szCs w:val="24"/>
        </w:rPr>
      </w:r>
      <w:r>
        <w:rPr>
          <w:b/>
          <w:bCs/>
          <w:i/>
          <w:iCs/>
          <w:sz w:val="24"/>
          <w:szCs w:val="24"/>
        </w:rPr>
        <w:fldChar w:fldCharType="separate"/>
      </w:r>
      <w:r>
        <w:rPr>
          <w:b/>
          <w:bCs/>
          <w:i/>
          <w:iCs/>
          <w:sz w:val="22"/>
          <w:szCs w:val="22"/>
        </w:rPr>
        <w:t>Figura 86</w:t>
      </w:r>
      <w:r>
        <w:rPr>
          <w:b/>
          <w:bCs/>
          <w:i/>
          <w:iCs/>
          <w:sz w:val="24"/>
          <w:szCs w:val="24"/>
        </w:rPr>
        <w:fldChar w:fldCharType="end"/>
      </w:r>
      <w:r>
        <w:rPr>
          <w:i/>
          <w:iCs/>
          <w:sz w:val="24"/>
          <w:szCs w:val="24"/>
        </w:rPr>
        <w:t>):</w:t>
      </w:r>
    </w:p>
    <w:p w14:paraId="34EB5D2B" w14:textId="77777777" w:rsidR="001C08A5" w:rsidRDefault="00000000">
      <w:pPr>
        <w:tabs>
          <w:tab w:val="left" w:pos="426"/>
          <w:tab w:val="left" w:pos="993"/>
        </w:tabs>
        <w:jc w:val="both"/>
        <w:rPr>
          <w:i/>
          <w:iCs/>
          <w:sz w:val="24"/>
        </w:rPr>
      </w:pPr>
      <w:r>
        <w:rPr>
          <w:i/>
          <w:iCs/>
          <w:sz w:val="24"/>
        </w:rPr>
        <w:t xml:space="preserve">În cazul </w:t>
      </w:r>
      <w:r>
        <w:rPr>
          <w:b/>
          <w:bCs/>
          <w:i/>
          <w:iCs/>
          <w:sz w:val="24"/>
        </w:rPr>
        <w:t>construcțiilor noi</w:t>
      </w:r>
      <w:r>
        <w:rPr>
          <w:i/>
          <w:iCs/>
          <w:sz w:val="24"/>
        </w:rPr>
        <w:t>, comasarea rezultată din</w:t>
      </w:r>
      <w:r>
        <w:rPr>
          <w:b/>
          <w:bCs/>
          <w:i/>
          <w:iCs/>
          <w:sz w:val="24"/>
        </w:rPr>
        <w:t xml:space="preserve"> Construcție ”A” + Construcție ”B” + Construcție ”C” </w:t>
      </w:r>
      <w:r>
        <w:rPr>
          <w:i/>
          <w:iCs/>
          <w:sz w:val="24"/>
        </w:rPr>
        <w:t>(cu distanțe nenormate între ele)</w:t>
      </w:r>
      <w:r>
        <w:rPr>
          <w:b/>
          <w:bCs/>
          <w:i/>
          <w:iCs/>
          <w:sz w:val="24"/>
        </w:rPr>
        <w:t xml:space="preserve"> </w:t>
      </w:r>
      <w:r>
        <w:rPr>
          <w:i/>
          <w:iCs/>
          <w:sz w:val="24"/>
        </w:rPr>
        <w:t>va respecta:</w:t>
      </w:r>
    </w:p>
    <w:p w14:paraId="4462119D" w14:textId="77777777" w:rsidR="001C08A5" w:rsidRDefault="00000000">
      <w:pPr>
        <w:tabs>
          <w:tab w:val="left" w:pos="426"/>
          <w:tab w:val="left" w:pos="993"/>
        </w:tabs>
        <w:ind w:left="720" w:firstLine="720"/>
        <w:jc w:val="both"/>
        <w:rPr>
          <w:i/>
          <w:iCs/>
          <w:sz w:val="24"/>
        </w:rPr>
      </w:pPr>
      <w:r>
        <w:rPr>
          <w:i/>
          <w:iCs/>
          <w:sz w:val="24"/>
        </w:rPr>
        <w:t xml:space="preserve">- nivelul de stabilitate la incendiu cel mai dezavantajos, </w:t>
      </w:r>
      <w:r>
        <w:rPr>
          <w:i/>
          <w:iCs/>
          <w:sz w:val="24"/>
          <w:szCs w:val="24"/>
        </w:rPr>
        <w:t xml:space="preserve">pentru compartimentul de incendiu existent rezultat (rezultă nivelul </w:t>
      </w:r>
      <w:r>
        <w:rPr>
          <w:b/>
          <w:bCs/>
          <w:i/>
          <w:iCs/>
          <w:sz w:val="24"/>
          <w:szCs w:val="24"/>
        </w:rPr>
        <w:t xml:space="preserve">IV </w:t>
      </w:r>
      <w:r>
        <w:rPr>
          <w:i/>
          <w:iCs/>
          <w:sz w:val="24"/>
          <w:szCs w:val="24"/>
        </w:rPr>
        <w:t>de stabilitate la incendiu al compartimentului comasat)</w:t>
      </w:r>
    </w:p>
    <w:p w14:paraId="014A8975" w14:textId="77777777" w:rsidR="001C08A5" w:rsidRDefault="00000000">
      <w:pPr>
        <w:tabs>
          <w:tab w:val="left" w:pos="426"/>
          <w:tab w:val="left" w:pos="993"/>
        </w:tabs>
        <w:ind w:left="720" w:firstLine="720"/>
        <w:jc w:val="both"/>
        <w:rPr>
          <w:i/>
          <w:iCs/>
          <w:sz w:val="24"/>
          <w:szCs w:val="24"/>
        </w:rPr>
      </w:pPr>
      <w:r>
        <w:rPr>
          <w:b/>
          <w:bCs/>
          <w:i/>
          <w:iCs/>
          <w:sz w:val="24"/>
        </w:rPr>
        <w:t xml:space="preserve">- </w:t>
      </w:r>
      <w:r>
        <w:rPr>
          <w:i/>
          <w:iCs/>
          <w:sz w:val="24"/>
        </w:rPr>
        <w:t xml:space="preserve">aria maxim admisă în funcţie de destinaţie, </w:t>
      </w:r>
      <w:r>
        <w:rPr>
          <w:i/>
          <w:iCs/>
          <w:sz w:val="24"/>
          <w:szCs w:val="24"/>
        </w:rPr>
        <w:t>pentru compartimentul de incendiu existent rezultat (</w:t>
      </w:r>
      <w:r>
        <w:rPr>
          <w:i/>
          <w:iCs/>
          <w:sz w:val="24"/>
        </w:rPr>
        <w:t xml:space="preserve">aria maxim admisă în funcţie de destinaţie, </w:t>
      </w:r>
      <w:r>
        <w:rPr>
          <w:i/>
          <w:iCs/>
          <w:sz w:val="24"/>
          <w:szCs w:val="24"/>
        </w:rPr>
        <w:t xml:space="preserve">pentru compartimentul comasat cu nivelul </w:t>
      </w:r>
      <w:r>
        <w:rPr>
          <w:b/>
          <w:bCs/>
          <w:i/>
          <w:iCs/>
          <w:sz w:val="24"/>
          <w:szCs w:val="24"/>
        </w:rPr>
        <w:t xml:space="preserve">IV </w:t>
      </w:r>
      <w:r>
        <w:rPr>
          <w:i/>
          <w:iCs/>
          <w:sz w:val="24"/>
          <w:szCs w:val="24"/>
        </w:rPr>
        <w:t xml:space="preserve">de stabilitate la incendiu, conform </w:t>
      </w:r>
      <w:r>
        <w:fldChar w:fldCharType="begin"/>
      </w:r>
      <w:r>
        <w:instrText xml:space="preserve"> REF _Ref24455 \h </w:instrText>
      </w:r>
      <w:r>
        <w:fldChar w:fldCharType="separate"/>
      </w:r>
      <w:r>
        <w:t>Tabelul 41: Condiţii de corelare a ariilor construite (Ac) ale clădirilor și compartimentelor de incendiu supraterane civile cu nivelul de stabiliate la incendiu</w:t>
      </w:r>
      <w:r>
        <w:fldChar w:fldCharType="end"/>
      </w:r>
      <w:r>
        <w:rPr>
          <w:b/>
          <w:bCs/>
          <w:i/>
          <w:iCs/>
          <w:sz w:val="24"/>
          <w:szCs w:val="24"/>
        </w:rPr>
        <w:t xml:space="preserve"> </w:t>
      </w:r>
      <w:r>
        <w:rPr>
          <w:b/>
          <w:bCs/>
          <w:i/>
          <w:iCs/>
          <w:sz w:val="24"/>
          <w:szCs w:val="24"/>
          <w:u w:val="single"/>
        </w:rPr>
        <w:t>sau</w:t>
      </w:r>
      <w:r>
        <w:rPr>
          <w:b/>
          <w:bCs/>
          <w:i/>
          <w:iCs/>
          <w:sz w:val="24"/>
          <w:szCs w:val="24"/>
        </w:rPr>
        <w:t xml:space="preserve"> </w:t>
      </w:r>
      <w:r>
        <w:fldChar w:fldCharType="begin"/>
      </w:r>
      <w:r>
        <w:instrText xml:space="preserve"> REF _Ref21528 \h </w:instrText>
      </w:r>
      <w:r>
        <w:fldChar w:fldCharType="separate"/>
      </w:r>
      <w:r>
        <w:t>Tabelul 114: Condiţii de corelare a ariilor construite (Ac) şi a numărului de niveluri al construcţiilor şi compartimentelor de incendiu supraterane de producţie şi/sau depozitare</w:t>
      </w:r>
      <w:r>
        <w:fldChar w:fldCharType="end"/>
      </w:r>
      <w:r>
        <w:t>;</w:t>
      </w:r>
      <w:r>
        <w:rPr>
          <w:b/>
          <w:bCs/>
          <w:i/>
          <w:iCs/>
          <w:sz w:val="24"/>
          <w:szCs w:val="24"/>
        </w:rPr>
        <w:t xml:space="preserve"> </w:t>
      </w:r>
      <w:r>
        <w:rPr>
          <w:i/>
          <w:iCs/>
          <w:sz w:val="24"/>
          <w:szCs w:val="24"/>
        </w:rPr>
        <w:t>pentru fiecare construcție cu funcțiuni mixte (civile-civile sau producție-depozitare/ producție-producție/ depozitare-depozitare) se aplică</w:t>
      </w:r>
      <w:r>
        <w:rPr>
          <w:b/>
          <w:i/>
          <w:iCs/>
          <w:sz w:val="24"/>
          <w:szCs w:val="24"/>
        </w:rPr>
        <w:t xml:space="preserve"> Art. </w:t>
      </w:r>
      <w:r>
        <w:rPr>
          <w:b/>
          <w:i/>
          <w:iCs/>
          <w:caps/>
          <w:sz w:val="24"/>
          <w:szCs w:val="24"/>
        </w:rPr>
        <w:t>7.1.</w:t>
      </w:r>
      <w:r>
        <w:rPr>
          <w:b/>
          <w:i/>
          <w:iCs/>
          <w:sz w:val="24"/>
          <w:szCs w:val="24"/>
        </w:rPr>
        <w:t xml:space="preserve">1; </w:t>
      </w:r>
      <w:r>
        <w:rPr>
          <w:bCs/>
          <w:i/>
          <w:iCs/>
          <w:sz w:val="24"/>
          <w:szCs w:val="24"/>
        </w:rPr>
        <w:t>construcțiile de producție și/ sau depozitare nu se comasează cu clădiri civile</w:t>
      </w:r>
      <w:r>
        <w:rPr>
          <w:i/>
          <w:iCs/>
          <w:sz w:val="24"/>
          <w:szCs w:val="24"/>
        </w:rPr>
        <w:t>)</w:t>
      </w:r>
    </w:p>
    <w:p w14:paraId="238803AE" w14:textId="77777777" w:rsidR="001C08A5" w:rsidRDefault="00000000">
      <w:pPr>
        <w:ind w:left="720" w:firstLine="720"/>
        <w:jc w:val="both"/>
        <w:rPr>
          <w:i/>
          <w:iCs/>
          <w:sz w:val="24"/>
          <w:szCs w:val="24"/>
        </w:rPr>
      </w:pPr>
      <w:r>
        <w:rPr>
          <w:i/>
          <w:iCs/>
          <w:sz w:val="24"/>
          <w:szCs w:val="24"/>
        </w:rPr>
        <w:lastRenderedPageBreak/>
        <w:t>- riscul de incendiu cel mai mare</w:t>
      </w:r>
      <w:r>
        <w:rPr>
          <w:i/>
          <w:iCs/>
          <w:sz w:val="24"/>
        </w:rPr>
        <w:t xml:space="preserve"> </w:t>
      </w:r>
      <w:r>
        <w:rPr>
          <w:i/>
          <w:iCs/>
          <w:sz w:val="24"/>
          <w:szCs w:val="24"/>
        </w:rPr>
        <w:t xml:space="preserve">pentru compartimentul de incendiu existent rezultat (conform subcapitolului </w:t>
      </w:r>
      <w:r>
        <w:rPr>
          <w:b/>
          <w:bCs/>
          <w:i/>
          <w:iCs/>
          <w:sz w:val="24"/>
          <w:szCs w:val="24"/>
        </w:rPr>
        <w:t>2.1.2. Risc de incendiu (Art. 2.1.2.1. până la Art. 2.1.2.6.)</w:t>
      </w:r>
      <w:r>
        <w:rPr>
          <w:i/>
          <w:iCs/>
          <w:sz w:val="24"/>
          <w:szCs w:val="24"/>
        </w:rPr>
        <w:t xml:space="preserve"> și ale Articolelor </w:t>
      </w:r>
      <w:r>
        <w:rPr>
          <w:b/>
          <w:bCs/>
          <w:i/>
          <w:iCs/>
          <w:sz w:val="24"/>
          <w:szCs w:val="24"/>
        </w:rPr>
        <w:t>Art. 2.2.2.1., Art. 3.1.1.1.,  Art. 6.1.1.1.,  Art. 6.1.1.2., Art. 6.1.2.1., Art. 6.1.2.2. Art. 7.1.3.,</w:t>
      </w:r>
      <w:r>
        <w:rPr>
          <w:rFonts w:eastAsia="Calibri"/>
          <w:b/>
          <w:bCs/>
          <w:i/>
          <w:iCs/>
          <w:sz w:val="24"/>
          <w:szCs w:val="24"/>
          <w:shd w:val="clear" w:color="auto" w:fill="FFFFFF"/>
        </w:rPr>
        <w:t xml:space="preserve"> </w:t>
      </w:r>
      <w:r>
        <w:rPr>
          <w:rFonts w:eastAsia="Calibri"/>
          <w:i/>
          <w:iCs/>
          <w:sz w:val="24"/>
          <w:szCs w:val="24"/>
          <w:shd w:val="clear" w:color="auto" w:fill="FFFFFF"/>
        </w:rPr>
        <w:t>etc</w:t>
      </w:r>
      <w:r>
        <w:rPr>
          <w:b/>
          <w:bCs/>
          <w:i/>
          <w:iCs/>
          <w:sz w:val="24"/>
          <w:szCs w:val="24"/>
        </w:rPr>
        <w:t xml:space="preserve">; </w:t>
      </w:r>
      <w:r>
        <w:rPr>
          <w:i/>
          <w:iCs/>
          <w:sz w:val="24"/>
          <w:szCs w:val="24"/>
        </w:rPr>
        <w:t>pentru construcții cu funcțiuni mixte (civile-civile sau producție-depozitare/ producție-producție/ depozitare-depozitare) se aplică conform</w:t>
      </w:r>
      <w:r>
        <w:rPr>
          <w:b/>
          <w:i/>
          <w:iCs/>
          <w:sz w:val="24"/>
          <w:szCs w:val="24"/>
        </w:rPr>
        <w:t xml:space="preserve"> Art. 2.1.2.4.</w:t>
      </w:r>
      <w:r>
        <w:rPr>
          <w:i/>
          <w:iCs/>
          <w:sz w:val="24"/>
          <w:szCs w:val="24"/>
        </w:rPr>
        <w:t xml:space="preserve"> </w:t>
      </w:r>
      <w:r>
        <w:rPr>
          <w:b/>
          <w:i/>
          <w:iCs/>
          <w:sz w:val="24"/>
          <w:szCs w:val="24"/>
          <w:u w:val="single"/>
        </w:rPr>
        <w:t>sau</w:t>
      </w:r>
      <w:r>
        <w:rPr>
          <w:b/>
          <w:i/>
          <w:iCs/>
          <w:sz w:val="24"/>
          <w:szCs w:val="24"/>
        </w:rPr>
        <w:t xml:space="preserve"> Art. </w:t>
      </w:r>
      <w:r>
        <w:rPr>
          <w:b/>
          <w:i/>
          <w:iCs/>
          <w:caps/>
          <w:sz w:val="24"/>
          <w:szCs w:val="24"/>
        </w:rPr>
        <w:t>7.1.</w:t>
      </w:r>
      <w:r>
        <w:rPr>
          <w:b/>
          <w:i/>
          <w:iCs/>
          <w:sz w:val="24"/>
          <w:szCs w:val="24"/>
        </w:rPr>
        <w:t>3.</w:t>
      </w:r>
      <w:r>
        <w:rPr>
          <w:i/>
          <w:iCs/>
          <w:sz w:val="24"/>
          <w:szCs w:val="24"/>
        </w:rPr>
        <w:t>)</w:t>
      </w:r>
    </w:p>
    <w:p w14:paraId="3401EA34" w14:textId="77777777" w:rsidR="001C08A5" w:rsidRDefault="00000000">
      <w:pPr>
        <w:tabs>
          <w:tab w:val="left" w:pos="426"/>
          <w:tab w:val="left" w:pos="993"/>
        </w:tabs>
        <w:ind w:left="720" w:firstLine="720"/>
        <w:jc w:val="both"/>
        <w:rPr>
          <w:i/>
          <w:iCs/>
          <w:sz w:val="24"/>
          <w:szCs w:val="24"/>
        </w:rPr>
      </w:pPr>
      <w:r>
        <w:rPr>
          <w:i/>
          <w:iCs/>
          <w:sz w:val="24"/>
          <w:szCs w:val="24"/>
        </w:rPr>
        <w:t>- numărul de niveluri normat</w:t>
      </w:r>
      <w:r>
        <w:rPr>
          <w:i/>
          <w:iCs/>
          <w:sz w:val="24"/>
        </w:rPr>
        <w:t xml:space="preserve">, </w:t>
      </w:r>
      <w:r>
        <w:rPr>
          <w:i/>
          <w:iCs/>
          <w:sz w:val="24"/>
          <w:szCs w:val="24"/>
        </w:rPr>
        <w:t>pentru compartimentul de incendiu existent rezultat (</w:t>
      </w:r>
      <w:r>
        <w:rPr>
          <w:i/>
          <w:iCs/>
          <w:sz w:val="24"/>
        </w:rPr>
        <w:t xml:space="preserve">număr de niveluri în funcţie de destinaţie, </w:t>
      </w:r>
      <w:r>
        <w:rPr>
          <w:i/>
          <w:iCs/>
          <w:sz w:val="24"/>
          <w:szCs w:val="24"/>
        </w:rPr>
        <w:t xml:space="preserve">pentru compartimentul comasat cu nivelul </w:t>
      </w:r>
      <w:r>
        <w:rPr>
          <w:b/>
          <w:bCs/>
          <w:i/>
          <w:iCs/>
          <w:sz w:val="24"/>
          <w:szCs w:val="24"/>
        </w:rPr>
        <w:t xml:space="preserve">IV </w:t>
      </w:r>
      <w:r>
        <w:rPr>
          <w:i/>
          <w:iCs/>
          <w:sz w:val="24"/>
          <w:szCs w:val="24"/>
        </w:rPr>
        <w:t xml:space="preserve">de stabilitate la incendiu, conform </w:t>
      </w:r>
      <w:r>
        <w:rPr>
          <w:b/>
          <w:bCs/>
          <w:i/>
          <w:iCs/>
          <w:sz w:val="24"/>
          <w:szCs w:val="24"/>
        </w:rPr>
        <w:fldChar w:fldCharType="begin"/>
      </w:r>
      <w:r>
        <w:rPr>
          <w:b/>
          <w:bCs/>
          <w:i/>
          <w:iCs/>
          <w:sz w:val="24"/>
          <w:szCs w:val="24"/>
        </w:rPr>
        <w:instrText xml:space="preserve"> REF _Ref26891 \h </w:instrText>
      </w:r>
      <w:r>
        <w:rPr>
          <w:b/>
          <w:bCs/>
          <w:i/>
          <w:iCs/>
          <w:sz w:val="24"/>
          <w:szCs w:val="24"/>
        </w:rPr>
      </w:r>
      <w:r>
        <w:rPr>
          <w:b/>
          <w:bCs/>
          <w:i/>
          <w:iCs/>
          <w:sz w:val="24"/>
          <w:szCs w:val="24"/>
        </w:rPr>
        <w:fldChar w:fldCharType="separate"/>
      </w:r>
      <w:r>
        <w:t>Tabelul 42: Condiţii de corelare între destinaţie, capacitatea maximă simultană şi numărul de niveluri supraterane ale clădirilor civile, cu nivel de stabilitate la incendiu III, IV sau V</w:t>
      </w:r>
      <w:r>
        <w:rPr>
          <w:b/>
          <w:bCs/>
          <w:i/>
          <w:iCs/>
          <w:sz w:val="24"/>
          <w:szCs w:val="24"/>
        </w:rPr>
        <w:fldChar w:fldCharType="end"/>
      </w:r>
      <w:r>
        <w:rPr>
          <w:b/>
          <w:bCs/>
          <w:i/>
          <w:iCs/>
          <w:sz w:val="24"/>
          <w:szCs w:val="24"/>
        </w:rPr>
        <w:t xml:space="preserve"> </w:t>
      </w:r>
      <w:r>
        <w:rPr>
          <w:b/>
          <w:bCs/>
          <w:i/>
          <w:iCs/>
          <w:sz w:val="24"/>
          <w:szCs w:val="24"/>
          <w:u w:val="single"/>
        </w:rPr>
        <w:t>sau</w:t>
      </w:r>
      <w:r>
        <w:rPr>
          <w:b/>
          <w:bCs/>
          <w:i/>
          <w:iCs/>
          <w:sz w:val="24"/>
          <w:szCs w:val="24"/>
        </w:rPr>
        <w:t xml:space="preserve"> </w:t>
      </w:r>
      <w:r>
        <w:rPr>
          <w:b/>
          <w:bCs/>
          <w:i/>
          <w:iCs/>
          <w:sz w:val="24"/>
          <w:szCs w:val="24"/>
        </w:rPr>
        <w:fldChar w:fldCharType="begin"/>
      </w:r>
      <w:r>
        <w:rPr>
          <w:b/>
          <w:bCs/>
          <w:i/>
          <w:iCs/>
          <w:sz w:val="24"/>
          <w:szCs w:val="24"/>
        </w:rPr>
        <w:instrText xml:space="preserve"> REF _Ref21528 \h </w:instrText>
      </w:r>
      <w:r>
        <w:rPr>
          <w:b/>
          <w:bCs/>
          <w:i/>
          <w:iCs/>
          <w:sz w:val="24"/>
          <w:szCs w:val="24"/>
        </w:rPr>
      </w:r>
      <w:r>
        <w:rPr>
          <w:b/>
          <w:bCs/>
          <w:i/>
          <w:iCs/>
          <w:sz w:val="24"/>
          <w:szCs w:val="24"/>
        </w:rPr>
        <w:fldChar w:fldCharType="separate"/>
      </w:r>
      <w:r>
        <w:t>Tabelul 114: Condiţii de corelare a ariilor construite (Ac) şi a numărului de niveluri al construcţiilor şi compartimentelor de incendiu supraterane de producţie şi/sau depozitare</w:t>
      </w:r>
      <w:r>
        <w:rPr>
          <w:b/>
          <w:bCs/>
          <w:i/>
          <w:iCs/>
          <w:sz w:val="24"/>
          <w:szCs w:val="24"/>
        </w:rPr>
        <w:fldChar w:fldCharType="end"/>
      </w:r>
      <w:r>
        <w:rPr>
          <w:i/>
          <w:iCs/>
          <w:sz w:val="24"/>
          <w:szCs w:val="24"/>
        </w:rPr>
        <w:t>)</w:t>
      </w:r>
    </w:p>
    <w:p w14:paraId="48829083" w14:textId="77777777" w:rsidR="001C08A5" w:rsidRDefault="00000000">
      <w:pPr>
        <w:tabs>
          <w:tab w:val="left" w:pos="426"/>
          <w:tab w:val="left" w:pos="993"/>
        </w:tabs>
        <w:jc w:val="both"/>
        <w:rPr>
          <w:b/>
          <w:bCs/>
          <w:i/>
          <w:iCs/>
          <w:sz w:val="24"/>
        </w:rPr>
      </w:pPr>
      <w:r>
        <w:rPr>
          <w:i/>
          <w:iCs/>
          <w:sz w:val="24"/>
        </w:rPr>
        <w:t xml:space="preserve">În cazul construcțiilor existente, comasarea rezultată din </w:t>
      </w:r>
      <w:r>
        <w:rPr>
          <w:b/>
          <w:bCs/>
          <w:i/>
          <w:iCs/>
          <w:sz w:val="24"/>
        </w:rPr>
        <w:t xml:space="preserve">Construcție ”A” + Construcție ”B” + Construcție ”C” </w:t>
      </w:r>
      <w:r>
        <w:rPr>
          <w:i/>
          <w:iCs/>
          <w:sz w:val="24"/>
        </w:rPr>
        <w:t>va respecta:</w:t>
      </w:r>
    </w:p>
    <w:p w14:paraId="53EEDBF3" w14:textId="77777777" w:rsidR="001C08A5" w:rsidRDefault="00000000">
      <w:pPr>
        <w:tabs>
          <w:tab w:val="left" w:pos="426"/>
          <w:tab w:val="left" w:pos="993"/>
        </w:tabs>
        <w:ind w:left="720" w:firstLine="720"/>
        <w:jc w:val="both"/>
        <w:rPr>
          <w:i/>
          <w:iCs/>
          <w:sz w:val="24"/>
        </w:rPr>
      </w:pPr>
      <w:r>
        <w:rPr>
          <w:i/>
          <w:iCs/>
          <w:sz w:val="24"/>
        </w:rPr>
        <w:t xml:space="preserve">- nivelul de stabilitate la incendiu cel mai dezavantajos, </w:t>
      </w:r>
      <w:r>
        <w:rPr>
          <w:i/>
          <w:iCs/>
          <w:sz w:val="24"/>
          <w:szCs w:val="24"/>
        </w:rPr>
        <w:t xml:space="preserve">pentru compartimentul de incendiu existent rezultat (rezultă nivelul </w:t>
      </w:r>
      <w:r>
        <w:rPr>
          <w:b/>
          <w:bCs/>
          <w:i/>
          <w:iCs/>
          <w:sz w:val="24"/>
          <w:szCs w:val="24"/>
        </w:rPr>
        <w:t xml:space="preserve">IV </w:t>
      </w:r>
      <w:r>
        <w:rPr>
          <w:i/>
          <w:iCs/>
          <w:sz w:val="24"/>
          <w:szCs w:val="24"/>
        </w:rPr>
        <w:t>de stabilitate la incendiu al compartimentului comasat)</w:t>
      </w:r>
    </w:p>
    <w:p w14:paraId="0D78E015" w14:textId="77777777" w:rsidR="001C08A5" w:rsidRDefault="00000000">
      <w:pPr>
        <w:tabs>
          <w:tab w:val="left" w:pos="426"/>
          <w:tab w:val="left" w:pos="993"/>
        </w:tabs>
        <w:ind w:left="720" w:firstLine="720"/>
        <w:jc w:val="both"/>
        <w:rPr>
          <w:i/>
          <w:iCs/>
          <w:sz w:val="24"/>
          <w:szCs w:val="24"/>
        </w:rPr>
      </w:pPr>
      <w:r>
        <w:rPr>
          <w:b/>
          <w:bCs/>
          <w:i/>
          <w:iCs/>
          <w:sz w:val="24"/>
        </w:rPr>
        <w:t xml:space="preserve">- </w:t>
      </w:r>
      <w:r>
        <w:rPr>
          <w:i/>
          <w:iCs/>
          <w:sz w:val="24"/>
        </w:rPr>
        <w:t xml:space="preserve">aria maxim admisă în funcţie de destinaţie, </w:t>
      </w:r>
      <w:r>
        <w:rPr>
          <w:i/>
          <w:iCs/>
          <w:sz w:val="24"/>
          <w:szCs w:val="24"/>
        </w:rPr>
        <w:t>pentru compartimentul de incendiu existent rezultat (</w:t>
      </w:r>
      <w:r>
        <w:rPr>
          <w:i/>
          <w:iCs/>
          <w:sz w:val="24"/>
        </w:rPr>
        <w:t xml:space="preserve">aria maxim admisă în funcţie de destinaţie, </w:t>
      </w:r>
      <w:r>
        <w:rPr>
          <w:i/>
          <w:iCs/>
          <w:sz w:val="24"/>
          <w:szCs w:val="24"/>
        </w:rPr>
        <w:t xml:space="preserve">pentru compartimentul comasat cu nivelul </w:t>
      </w:r>
      <w:r>
        <w:rPr>
          <w:b/>
          <w:bCs/>
          <w:i/>
          <w:iCs/>
          <w:sz w:val="24"/>
          <w:szCs w:val="24"/>
        </w:rPr>
        <w:t xml:space="preserve">IV </w:t>
      </w:r>
      <w:r>
        <w:rPr>
          <w:i/>
          <w:iCs/>
          <w:sz w:val="24"/>
          <w:szCs w:val="24"/>
        </w:rPr>
        <w:t xml:space="preserve">de stabilitate la incendiu, conform </w:t>
      </w:r>
      <w:r>
        <w:rPr>
          <w:i/>
          <w:iCs/>
          <w:sz w:val="24"/>
          <w:szCs w:val="24"/>
        </w:rPr>
        <w:fldChar w:fldCharType="begin"/>
      </w:r>
      <w:r>
        <w:rPr>
          <w:i/>
          <w:iCs/>
          <w:sz w:val="24"/>
          <w:szCs w:val="24"/>
        </w:rPr>
        <w:instrText xml:space="preserve"> REF _Ref28145 \h </w:instrText>
      </w:r>
      <w:r>
        <w:rPr>
          <w:i/>
          <w:iCs/>
          <w:sz w:val="24"/>
          <w:szCs w:val="24"/>
        </w:rPr>
      </w:r>
      <w:r>
        <w:rPr>
          <w:i/>
          <w:iCs/>
          <w:sz w:val="24"/>
          <w:szCs w:val="24"/>
        </w:rPr>
        <w:fldChar w:fldCharType="separate"/>
      </w:r>
      <w:r>
        <w:t>Tabelul 147: Arii construite admise pentru compartimente de incendiu ale clădirilor civile existente (publice) supraterane</w:t>
      </w:r>
      <w:r>
        <w:rPr>
          <w:i/>
          <w:iCs/>
          <w:sz w:val="24"/>
          <w:szCs w:val="24"/>
        </w:rPr>
        <w:fldChar w:fldCharType="end"/>
      </w:r>
      <w:r>
        <w:rPr>
          <w:i/>
          <w:iCs/>
          <w:sz w:val="24"/>
          <w:szCs w:val="24"/>
        </w:rPr>
        <w:t xml:space="preserve">) </w:t>
      </w:r>
      <w:r>
        <w:rPr>
          <w:b/>
          <w:bCs/>
          <w:i/>
          <w:iCs/>
          <w:sz w:val="24"/>
          <w:szCs w:val="24"/>
          <w:u w:val="single"/>
        </w:rPr>
        <w:t>sau</w:t>
      </w:r>
      <w:r>
        <w:rPr>
          <w:b/>
          <w:bCs/>
          <w:i/>
          <w:iCs/>
          <w:sz w:val="24"/>
          <w:szCs w:val="24"/>
        </w:rPr>
        <w:t xml:space="preserve"> </w:t>
      </w:r>
      <w:r>
        <w:rPr>
          <w:b/>
          <w:bCs/>
          <w:i/>
          <w:iCs/>
          <w:sz w:val="24"/>
          <w:szCs w:val="24"/>
        </w:rPr>
        <w:fldChar w:fldCharType="begin"/>
      </w:r>
      <w:r>
        <w:rPr>
          <w:b/>
          <w:bCs/>
          <w:i/>
          <w:iCs/>
          <w:sz w:val="24"/>
          <w:szCs w:val="24"/>
        </w:rPr>
        <w:instrText xml:space="preserve"> REF _Ref5993 \h </w:instrText>
      </w:r>
      <w:r>
        <w:rPr>
          <w:b/>
          <w:bCs/>
          <w:i/>
          <w:iCs/>
          <w:sz w:val="24"/>
          <w:szCs w:val="24"/>
        </w:rPr>
      </w:r>
      <w:r>
        <w:rPr>
          <w:b/>
          <w:bCs/>
          <w:i/>
          <w:iCs/>
          <w:sz w:val="24"/>
          <w:szCs w:val="24"/>
        </w:rPr>
        <w:fldChar w:fldCharType="separate"/>
      </w:r>
      <w:r>
        <w:t xml:space="preserve">Tabelul 168: </w:t>
      </w:r>
      <w:r>
        <w:rPr>
          <w:rFonts w:eastAsia="Calibri"/>
          <w:bCs/>
          <w:shd w:val="clear" w:color="auto" w:fill="FFFFFF"/>
        </w:rPr>
        <w:t>Arii construite și număr de niveluri admise pentru construcții existente și compartimente de incendiu ale construcțiilor existente de producție și/sau depozitare</w:t>
      </w:r>
      <w:r>
        <w:rPr>
          <w:b/>
          <w:bCs/>
          <w:i/>
          <w:iCs/>
          <w:sz w:val="24"/>
          <w:szCs w:val="24"/>
        </w:rPr>
        <w:fldChar w:fldCharType="end"/>
      </w:r>
      <w:r>
        <w:rPr>
          <w:b/>
          <w:bCs/>
          <w:i/>
          <w:iCs/>
          <w:sz w:val="24"/>
          <w:szCs w:val="24"/>
        </w:rPr>
        <w:t xml:space="preserve">; </w:t>
      </w:r>
      <w:r>
        <w:rPr>
          <w:i/>
          <w:iCs/>
          <w:sz w:val="24"/>
          <w:szCs w:val="24"/>
        </w:rPr>
        <w:t>pentru fiecare construcție cu funcțiuni mixte (civile-civile sau producție-depozitare/ producție-producție/ depozitare-depozitare) se aplică conform</w:t>
      </w:r>
      <w:r>
        <w:rPr>
          <w:b/>
          <w:bCs/>
          <w:i/>
          <w:iCs/>
          <w:sz w:val="24"/>
          <w:szCs w:val="24"/>
        </w:rPr>
        <w:t xml:space="preserve"> </w:t>
      </w:r>
      <w:r>
        <w:rPr>
          <w:i/>
          <w:iCs/>
          <w:sz w:val="24"/>
          <w:szCs w:val="24"/>
        </w:rPr>
        <w:t xml:space="preserve">Articolelor </w:t>
      </w:r>
      <w:r>
        <w:rPr>
          <w:rFonts w:eastAsia="Calibri"/>
          <w:b/>
          <w:i/>
          <w:sz w:val="24"/>
          <w:szCs w:val="24"/>
          <w:shd w:val="clear" w:color="auto" w:fill="FFFFFF"/>
        </w:rPr>
        <w:t xml:space="preserve">A.10. </w:t>
      </w:r>
      <w:r>
        <w:rPr>
          <w:rFonts w:eastAsia="Calibri"/>
          <w:b/>
          <w:bCs/>
          <w:i/>
          <w:sz w:val="24"/>
          <w:szCs w:val="24"/>
          <w:shd w:val="clear" w:color="auto" w:fill="FFFFFF"/>
        </w:rPr>
        <w:t xml:space="preserve">7.1.3. și </w:t>
      </w:r>
      <w:r>
        <w:rPr>
          <w:rFonts w:eastAsia="Calibri"/>
          <w:b/>
          <w:i/>
          <w:sz w:val="24"/>
          <w:szCs w:val="24"/>
          <w:shd w:val="clear" w:color="auto" w:fill="FFFFFF"/>
        </w:rPr>
        <w:t xml:space="preserve">A.10. </w:t>
      </w:r>
      <w:r>
        <w:rPr>
          <w:rFonts w:eastAsia="Calibri"/>
          <w:b/>
          <w:bCs/>
          <w:i/>
          <w:sz w:val="24"/>
          <w:szCs w:val="24"/>
          <w:shd w:val="clear" w:color="auto" w:fill="FFFFFF"/>
        </w:rPr>
        <w:t>7.1.4.</w:t>
      </w:r>
      <w:r>
        <w:rPr>
          <w:b/>
          <w:i/>
          <w:iCs/>
          <w:sz w:val="24"/>
          <w:szCs w:val="24"/>
        </w:rPr>
        <w:t xml:space="preserve">; </w:t>
      </w:r>
      <w:r>
        <w:rPr>
          <w:bCs/>
          <w:i/>
          <w:iCs/>
          <w:sz w:val="24"/>
          <w:szCs w:val="24"/>
        </w:rPr>
        <w:t>construcțiile de producție și/ sau depozitare nu se comasează cu clădiri civile</w:t>
      </w:r>
      <w:r>
        <w:rPr>
          <w:rFonts w:eastAsia="Calibri"/>
          <w:b/>
          <w:bCs/>
          <w:i/>
          <w:sz w:val="24"/>
          <w:szCs w:val="24"/>
          <w:shd w:val="clear" w:color="auto" w:fill="FFFFFF"/>
        </w:rPr>
        <w:t>)</w:t>
      </w:r>
    </w:p>
    <w:p w14:paraId="71394132" w14:textId="77777777" w:rsidR="001C08A5" w:rsidRDefault="00000000">
      <w:pPr>
        <w:ind w:left="720" w:firstLine="720"/>
        <w:jc w:val="both"/>
        <w:rPr>
          <w:i/>
          <w:iCs/>
          <w:sz w:val="24"/>
          <w:szCs w:val="24"/>
        </w:rPr>
      </w:pPr>
      <w:r>
        <w:rPr>
          <w:i/>
          <w:iCs/>
          <w:sz w:val="24"/>
          <w:szCs w:val="24"/>
        </w:rPr>
        <w:t>- riscul de incendiu cel mai mare</w:t>
      </w:r>
      <w:r>
        <w:rPr>
          <w:i/>
          <w:iCs/>
          <w:sz w:val="24"/>
        </w:rPr>
        <w:t xml:space="preserve"> (respectiv categoria de pericol de incendiu rezultată) </w:t>
      </w:r>
      <w:r>
        <w:rPr>
          <w:i/>
          <w:iCs/>
          <w:sz w:val="24"/>
          <w:szCs w:val="24"/>
        </w:rPr>
        <w:t xml:space="preserve">pentru compartimentul de incendiu existent rezultat (conform Art. </w:t>
      </w:r>
      <w:r>
        <w:rPr>
          <w:rFonts w:eastAsia="Calibri"/>
          <w:b/>
          <w:i/>
          <w:iCs/>
          <w:sz w:val="24"/>
          <w:szCs w:val="24"/>
          <w:shd w:val="clear" w:color="auto" w:fill="FFFFFF"/>
        </w:rPr>
        <w:t xml:space="preserve">A.10. </w:t>
      </w:r>
      <w:r>
        <w:rPr>
          <w:rFonts w:eastAsia="Calibri"/>
          <w:b/>
          <w:bCs/>
          <w:i/>
          <w:iCs/>
          <w:sz w:val="24"/>
          <w:szCs w:val="24"/>
          <w:shd w:val="clear" w:color="auto" w:fill="FFFFFF"/>
        </w:rPr>
        <w:t>2.1.1.</w:t>
      </w:r>
      <w:r>
        <w:rPr>
          <w:rFonts w:eastAsia="Calibri"/>
          <w:i/>
          <w:iCs/>
          <w:sz w:val="24"/>
          <w:szCs w:val="24"/>
          <w:shd w:val="clear" w:color="auto" w:fill="FFFFFF"/>
        </w:rPr>
        <w:t xml:space="preserve">, </w:t>
      </w:r>
      <w:r>
        <w:rPr>
          <w:rFonts w:eastAsia="Calibri"/>
          <w:b/>
          <w:i/>
          <w:iCs/>
          <w:sz w:val="24"/>
          <w:szCs w:val="24"/>
          <w:shd w:val="clear" w:color="auto" w:fill="FFFFFF"/>
        </w:rPr>
        <w:t xml:space="preserve">A.10. </w:t>
      </w:r>
      <w:r>
        <w:rPr>
          <w:rFonts w:eastAsia="Calibri"/>
          <w:b/>
          <w:bCs/>
          <w:i/>
          <w:iCs/>
          <w:sz w:val="24"/>
          <w:szCs w:val="24"/>
          <w:shd w:val="clear" w:color="auto" w:fill="FFFFFF"/>
        </w:rPr>
        <w:t>2.1.2.</w:t>
      </w:r>
      <w:r>
        <w:rPr>
          <w:rFonts w:eastAsia="Calibri"/>
          <w:i/>
          <w:iCs/>
          <w:sz w:val="24"/>
          <w:szCs w:val="24"/>
          <w:shd w:val="clear" w:color="auto" w:fill="FFFFFF"/>
        </w:rPr>
        <w:t xml:space="preserve">, </w:t>
      </w:r>
      <w:r>
        <w:rPr>
          <w:rFonts w:eastAsia="Calibri"/>
          <w:b/>
          <w:bCs/>
          <w:i/>
          <w:iCs/>
          <w:sz w:val="24"/>
          <w:szCs w:val="24"/>
          <w:shd w:val="clear" w:color="auto" w:fill="FFFFFF"/>
        </w:rPr>
        <w:t>A.10.2.1.3</w:t>
      </w:r>
      <w:r>
        <w:rPr>
          <w:rFonts w:eastAsia="Calibri"/>
          <w:i/>
          <w:iCs/>
          <w:sz w:val="24"/>
          <w:szCs w:val="24"/>
          <w:shd w:val="clear" w:color="auto" w:fill="FFFFFF"/>
        </w:rPr>
        <w:t xml:space="preserve">, </w:t>
      </w:r>
      <w:r>
        <w:rPr>
          <w:rFonts w:eastAsia="Calibri"/>
          <w:b/>
          <w:i/>
          <w:iCs/>
          <w:sz w:val="24"/>
          <w:szCs w:val="24"/>
          <w:shd w:val="clear" w:color="auto" w:fill="FFFFFF"/>
        </w:rPr>
        <w:t xml:space="preserve">A.10. </w:t>
      </w:r>
      <w:r>
        <w:rPr>
          <w:rFonts w:eastAsia="Calibri"/>
          <w:b/>
          <w:bCs/>
          <w:i/>
          <w:iCs/>
          <w:sz w:val="24"/>
          <w:szCs w:val="24"/>
          <w:shd w:val="clear" w:color="auto" w:fill="FFFFFF"/>
        </w:rPr>
        <w:t xml:space="preserve">2.1.4., </w:t>
      </w:r>
      <w:r>
        <w:rPr>
          <w:rFonts w:eastAsia="Calibri"/>
          <w:b/>
          <w:i/>
          <w:iCs/>
          <w:sz w:val="24"/>
          <w:szCs w:val="24"/>
          <w:shd w:val="clear" w:color="auto" w:fill="FFFFFF"/>
        </w:rPr>
        <w:t xml:space="preserve">A.10. </w:t>
      </w:r>
      <w:r>
        <w:rPr>
          <w:rFonts w:eastAsia="Calibri"/>
          <w:b/>
          <w:bCs/>
          <w:i/>
          <w:iCs/>
          <w:sz w:val="24"/>
          <w:szCs w:val="24"/>
          <w:shd w:val="clear" w:color="auto" w:fill="FFFFFF"/>
        </w:rPr>
        <w:t xml:space="preserve">2.1.5., </w:t>
      </w:r>
      <w:r>
        <w:rPr>
          <w:rFonts w:eastAsia="Calibri"/>
          <w:b/>
          <w:i/>
          <w:iCs/>
          <w:sz w:val="24"/>
          <w:szCs w:val="24"/>
          <w:shd w:val="clear" w:color="auto" w:fill="FFFFFF"/>
        </w:rPr>
        <w:t xml:space="preserve">A.10. </w:t>
      </w:r>
      <w:r>
        <w:rPr>
          <w:rFonts w:eastAsia="Calibri"/>
          <w:b/>
          <w:bCs/>
          <w:i/>
          <w:iCs/>
          <w:sz w:val="24"/>
          <w:szCs w:val="24"/>
          <w:shd w:val="clear" w:color="auto" w:fill="FFFFFF"/>
        </w:rPr>
        <w:t>2.1.6.</w:t>
      </w:r>
      <w:r>
        <w:rPr>
          <w:rFonts w:eastAsia="Calibri"/>
          <w:i/>
          <w:iCs/>
          <w:sz w:val="24"/>
          <w:szCs w:val="24"/>
          <w:shd w:val="clear" w:color="auto" w:fill="FFFFFF"/>
        </w:rPr>
        <w:t>, </w:t>
      </w:r>
      <w:r>
        <w:rPr>
          <w:rFonts w:eastAsia="Calibri"/>
          <w:b/>
          <w:i/>
          <w:iCs/>
          <w:sz w:val="24"/>
          <w:szCs w:val="24"/>
          <w:shd w:val="clear" w:color="auto" w:fill="FFFFFF"/>
        </w:rPr>
        <w:t xml:space="preserve">A.10. </w:t>
      </w:r>
      <w:r>
        <w:rPr>
          <w:b/>
          <w:bCs/>
          <w:i/>
          <w:iCs/>
          <w:sz w:val="24"/>
          <w:szCs w:val="24"/>
        </w:rPr>
        <w:t>2.1.1</w:t>
      </w:r>
      <w:r>
        <w:rPr>
          <w:b/>
          <w:i/>
          <w:iCs/>
          <w:sz w:val="24"/>
          <w:szCs w:val="24"/>
        </w:rPr>
        <w:t xml:space="preserve">. (3),  </w:t>
      </w:r>
      <w:r>
        <w:rPr>
          <w:rFonts w:eastAsia="Calibri"/>
          <w:b/>
          <w:i/>
          <w:iCs/>
          <w:sz w:val="24"/>
          <w:szCs w:val="24"/>
          <w:shd w:val="clear" w:color="auto" w:fill="FFFFFF"/>
        </w:rPr>
        <w:t xml:space="preserve">A.10. </w:t>
      </w:r>
      <w:r>
        <w:rPr>
          <w:rFonts w:eastAsia="Calibri"/>
          <w:b/>
          <w:bCs/>
          <w:i/>
          <w:iCs/>
          <w:sz w:val="24"/>
          <w:szCs w:val="24"/>
          <w:shd w:val="clear" w:color="auto" w:fill="FFFFFF"/>
        </w:rPr>
        <w:t xml:space="preserve">2.2.8., </w:t>
      </w:r>
      <w:r>
        <w:rPr>
          <w:rFonts w:eastAsia="Calibri"/>
          <w:i/>
          <w:iCs/>
          <w:sz w:val="24"/>
          <w:szCs w:val="24"/>
          <w:shd w:val="clear" w:color="auto" w:fill="FFFFFF"/>
        </w:rPr>
        <w:t xml:space="preserve"> </w:t>
      </w:r>
      <w:r>
        <w:rPr>
          <w:rFonts w:eastAsia="Calibri"/>
          <w:b/>
          <w:i/>
          <w:iCs/>
          <w:sz w:val="24"/>
          <w:szCs w:val="24"/>
          <w:shd w:val="clear" w:color="auto" w:fill="FFFFFF"/>
        </w:rPr>
        <w:t xml:space="preserve">A.10. </w:t>
      </w:r>
      <w:r>
        <w:rPr>
          <w:rFonts w:eastAsia="Calibri"/>
          <w:b/>
          <w:bCs/>
          <w:i/>
          <w:iCs/>
          <w:sz w:val="24"/>
          <w:szCs w:val="24"/>
          <w:shd w:val="clear" w:color="auto" w:fill="FFFFFF"/>
        </w:rPr>
        <w:t>5.1.1.,</w:t>
      </w:r>
      <w:r>
        <w:rPr>
          <w:rFonts w:eastAsia="Calibri"/>
          <w:i/>
          <w:iCs/>
          <w:sz w:val="24"/>
          <w:szCs w:val="24"/>
          <w:shd w:val="clear" w:color="auto" w:fill="FFFFFF"/>
        </w:rPr>
        <w:t xml:space="preserve"> </w:t>
      </w:r>
      <w:r>
        <w:rPr>
          <w:i/>
          <w:iCs/>
          <w:sz w:val="24"/>
          <w:szCs w:val="24"/>
        </w:rPr>
        <w:t xml:space="preserve"> </w:t>
      </w:r>
      <w:r>
        <w:rPr>
          <w:rFonts w:eastAsia="Calibri"/>
          <w:b/>
          <w:i/>
          <w:iCs/>
          <w:sz w:val="24"/>
          <w:szCs w:val="24"/>
          <w:shd w:val="clear" w:color="auto" w:fill="FFFFFF"/>
        </w:rPr>
        <w:t xml:space="preserve">A.10. </w:t>
      </w:r>
      <w:r>
        <w:rPr>
          <w:rFonts w:eastAsia="Calibri"/>
          <w:b/>
          <w:bCs/>
          <w:i/>
          <w:iCs/>
          <w:sz w:val="24"/>
          <w:szCs w:val="24"/>
          <w:shd w:val="clear" w:color="auto" w:fill="FFFFFF"/>
        </w:rPr>
        <w:t xml:space="preserve">7.1.3. și și </w:t>
      </w:r>
      <w:r>
        <w:rPr>
          <w:rFonts w:eastAsia="Calibri"/>
          <w:b/>
          <w:i/>
          <w:iCs/>
          <w:sz w:val="24"/>
          <w:szCs w:val="24"/>
          <w:shd w:val="clear" w:color="auto" w:fill="FFFFFF"/>
        </w:rPr>
        <w:t xml:space="preserve">A.10. </w:t>
      </w:r>
      <w:r>
        <w:rPr>
          <w:rFonts w:eastAsia="Calibri"/>
          <w:b/>
          <w:bCs/>
          <w:i/>
          <w:iCs/>
          <w:sz w:val="24"/>
          <w:szCs w:val="24"/>
          <w:shd w:val="clear" w:color="auto" w:fill="FFFFFF"/>
        </w:rPr>
        <w:t xml:space="preserve">7.1.4. , </w:t>
      </w:r>
      <w:r>
        <w:rPr>
          <w:rFonts w:eastAsia="Calibri"/>
          <w:i/>
          <w:iCs/>
          <w:sz w:val="24"/>
          <w:szCs w:val="24"/>
          <w:shd w:val="clear" w:color="auto" w:fill="FFFFFF"/>
        </w:rPr>
        <w:t>etc</w:t>
      </w:r>
      <w:r>
        <w:rPr>
          <w:b/>
          <w:bCs/>
          <w:i/>
          <w:iCs/>
          <w:sz w:val="24"/>
          <w:szCs w:val="24"/>
        </w:rPr>
        <w:t xml:space="preserve">; </w:t>
      </w:r>
      <w:r>
        <w:rPr>
          <w:i/>
          <w:iCs/>
          <w:sz w:val="24"/>
          <w:szCs w:val="24"/>
        </w:rPr>
        <w:t xml:space="preserve">pentru construcții cu funcțiuni mixte (civile-civile sau producție-depozitare/ producție-producție/ depozitare-depozitare) se aplică conform Articolelor </w:t>
      </w:r>
      <w:r>
        <w:rPr>
          <w:b/>
          <w:i/>
          <w:iCs/>
          <w:sz w:val="24"/>
          <w:szCs w:val="24"/>
        </w:rPr>
        <w:t xml:space="preserve">Art. </w:t>
      </w:r>
      <w:r>
        <w:rPr>
          <w:rFonts w:eastAsia="Calibri"/>
          <w:b/>
          <w:i/>
          <w:iCs/>
          <w:sz w:val="24"/>
          <w:szCs w:val="24"/>
          <w:shd w:val="clear" w:color="auto" w:fill="FFFFFF"/>
        </w:rPr>
        <w:t xml:space="preserve">A.10. </w:t>
      </w:r>
      <w:r>
        <w:rPr>
          <w:rFonts w:eastAsia="Calibri"/>
          <w:b/>
          <w:bCs/>
          <w:i/>
          <w:iCs/>
          <w:sz w:val="24"/>
          <w:szCs w:val="24"/>
          <w:shd w:val="clear" w:color="auto" w:fill="FFFFFF"/>
        </w:rPr>
        <w:t>2.1.1.</w:t>
      </w:r>
      <w:r>
        <w:rPr>
          <w:rFonts w:eastAsia="Calibri"/>
          <w:i/>
          <w:iCs/>
          <w:sz w:val="24"/>
          <w:szCs w:val="24"/>
          <w:shd w:val="clear" w:color="auto" w:fill="FFFFFF"/>
        </w:rPr>
        <w:t xml:space="preserve">, </w:t>
      </w:r>
      <w:r>
        <w:rPr>
          <w:rFonts w:eastAsia="Calibri"/>
          <w:b/>
          <w:i/>
          <w:iCs/>
          <w:sz w:val="24"/>
          <w:szCs w:val="24"/>
          <w:shd w:val="clear" w:color="auto" w:fill="FFFFFF"/>
        </w:rPr>
        <w:t xml:space="preserve">A.10. </w:t>
      </w:r>
      <w:r>
        <w:rPr>
          <w:rFonts w:eastAsia="Calibri"/>
          <w:b/>
          <w:bCs/>
          <w:i/>
          <w:iCs/>
          <w:sz w:val="24"/>
          <w:szCs w:val="24"/>
          <w:shd w:val="clear" w:color="auto" w:fill="FFFFFF"/>
        </w:rPr>
        <w:t>2.1.2.</w:t>
      </w:r>
      <w:r>
        <w:rPr>
          <w:rFonts w:eastAsia="Calibri"/>
          <w:i/>
          <w:iCs/>
          <w:sz w:val="24"/>
          <w:szCs w:val="24"/>
          <w:shd w:val="clear" w:color="auto" w:fill="FFFFFF"/>
        </w:rPr>
        <w:t xml:space="preserve"> sau </w:t>
      </w:r>
      <w:r>
        <w:rPr>
          <w:rFonts w:eastAsia="Calibri"/>
          <w:b/>
          <w:i/>
          <w:iCs/>
          <w:sz w:val="24"/>
          <w:szCs w:val="24"/>
          <w:shd w:val="clear" w:color="auto" w:fill="FFFFFF"/>
        </w:rPr>
        <w:t xml:space="preserve">A.10. </w:t>
      </w:r>
      <w:r>
        <w:rPr>
          <w:rFonts w:eastAsia="Calibri"/>
          <w:b/>
          <w:bCs/>
          <w:i/>
          <w:iCs/>
          <w:sz w:val="24"/>
          <w:szCs w:val="24"/>
          <w:shd w:val="clear" w:color="auto" w:fill="FFFFFF"/>
        </w:rPr>
        <w:t>7.1.2.,</w:t>
      </w:r>
      <w:r>
        <w:rPr>
          <w:rFonts w:eastAsia="Calibri"/>
          <w:b/>
          <w:i/>
          <w:iCs/>
          <w:sz w:val="24"/>
          <w:szCs w:val="24"/>
          <w:shd w:val="clear" w:color="auto" w:fill="FFFFFF"/>
        </w:rPr>
        <w:t xml:space="preserve"> A.10. </w:t>
      </w:r>
      <w:r>
        <w:rPr>
          <w:rFonts w:eastAsia="Calibri"/>
          <w:b/>
          <w:bCs/>
          <w:i/>
          <w:iCs/>
          <w:sz w:val="24"/>
          <w:szCs w:val="24"/>
          <w:shd w:val="clear" w:color="auto" w:fill="FFFFFF"/>
        </w:rPr>
        <w:t xml:space="preserve">7.1.3. și </w:t>
      </w:r>
      <w:r>
        <w:rPr>
          <w:rFonts w:eastAsia="Calibri"/>
          <w:b/>
          <w:i/>
          <w:iCs/>
          <w:sz w:val="24"/>
          <w:szCs w:val="24"/>
          <w:shd w:val="clear" w:color="auto" w:fill="FFFFFF"/>
        </w:rPr>
        <w:t xml:space="preserve">A.10. </w:t>
      </w:r>
      <w:r>
        <w:rPr>
          <w:rFonts w:eastAsia="Calibri"/>
          <w:b/>
          <w:bCs/>
          <w:i/>
          <w:iCs/>
          <w:sz w:val="24"/>
          <w:szCs w:val="24"/>
          <w:shd w:val="clear" w:color="auto" w:fill="FFFFFF"/>
        </w:rPr>
        <w:t xml:space="preserve">7.1.4. </w:t>
      </w:r>
      <w:r>
        <w:rPr>
          <w:i/>
          <w:iCs/>
          <w:sz w:val="24"/>
          <w:szCs w:val="24"/>
        </w:rPr>
        <w:t>)</w:t>
      </w:r>
    </w:p>
    <w:p w14:paraId="3C870484" w14:textId="77777777" w:rsidR="001C08A5" w:rsidRDefault="00000000">
      <w:pPr>
        <w:tabs>
          <w:tab w:val="left" w:pos="426"/>
          <w:tab w:val="left" w:pos="993"/>
        </w:tabs>
        <w:ind w:left="720" w:firstLine="720"/>
        <w:jc w:val="both"/>
        <w:rPr>
          <w:i/>
          <w:iCs/>
          <w:sz w:val="24"/>
          <w:szCs w:val="24"/>
        </w:rPr>
      </w:pPr>
      <w:r>
        <w:rPr>
          <w:i/>
          <w:iCs/>
          <w:sz w:val="24"/>
          <w:szCs w:val="24"/>
        </w:rPr>
        <w:t>- numărul de niveluri normat</w:t>
      </w:r>
      <w:r>
        <w:rPr>
          <w:i/>
          <w:iCs/>
          <w:sz w:val="24"/>
        </w:rPr>
        <w:t xml:space="preserve">, </w:t>
      </w:r>
      <w:r>
        <w:rPr>
          <w:i/>
          <w:iCs/>
          <w:sz w:val="24"/>
          <w:szCs w:val="24"/>
        </w:rPr>
        <w:t>pentru compartimentul de incendiu existent rezultat (</w:t>
      </w:r>
      <w:r>
        <w:rPr>
          <w:i/>
          <w:iCs/>
          <w:sz w:val="24"/>
        </w:rPr>
        <w:t xml:space="preserve">număr de niveluri în funcţie de destinaţie, </w:t>
      </w:r>
      <w:r>
        <w:rPr>
          <w:i/>
          <w:iCs/>
          <w:sz w:val="24"/>
          <w:szCs w:val="24"/>
        </w:rPr>
        <w:t xml:space="preserve">pentru compartimentul comasat cu nivelul </w:t>
      </w:r>
      <w:r>
        <w:rPr>
          <w:b/>
          <w:bCs/>
          <w:i/>
          <w:iCs/>
          <w:sz w:val="24"/>
          <w:szCs w:val="24"/>
        </w:rPr>
        <w:t xml:space="preserve">IV </w:t>
      </w:r>
      <w:r>
        <w:rPr>
          <w:i/>
          <w:iCs/>
          <w:sz w:val="24"/>
          <w:szCs w:val="24"/>
        </w:rPr>
        <w:t xml:space="preserve">de stabilitate la incendiu, conform </w:t>
      </w:r>
      <w:r>
        <w:rPr>
          <w:b/>
          <w:bCs/>
          <w:i/>
          <w:iCs/>
          <w:sz w:val="24"/>
          <w:szCs w:val="24"/>
        </w:rPr>
        <w:fldChar w:fldCharType="begin"/>
      </w:r>
      <w:r>
        <w:rPr>
          <w:b/>
          <w:bCs/>
          <w:i/>
          <w:iCs/>
          <w:sz w:val="24"/>
          <w:szCs w:val="24"/>
        </w:rPr>
        <w:instrText xml:space="preserve"> REF _Ref27175 \h </w:instrText>
      </w:r>
      <w:r>
        <w:rPr>
          <w:b/>
          <w:bCs/>
          <w:i/>
          <w:iCs/>
          <w:sz w:val="24"/>
          <w:szCs w:val="24"/>
        </w:rPr>
      </w:r>
      <w:r>
        <w:rPr>
          <w:b/>
          <w:bCs/>
          <w:i/>
          <w:iCs/>
          <w:sz w:val="24"/>
          <w:szCs w:val="24"/>
        </w:rPr>
        <w:fldChar w:fldCharType="separate"/>
      </w:r>
      <w:r>
        <w:t>Tabelul 148 - Număr de niveluri supraterane maxim admis și capacitatea clădirilor civile existente cu nivelul de stabilitate la incendiu III, IV și V</w:t>
      </w:r>
      <w:r>
        <w:rPr>
          <w:b/>
          <w:bCs/>
          <w:i/>
          <w:iCs/>
          <w:sz w:val="24"/>
          <w:szCs w:val="24"/>
        </w:rPr>
        <w:fldChar w:fldCharType="end"/>
      </w:r>
      <w:r>
        <w:rPr>
          <w:b/>
          <w:bCs/>
          <w:i/>
          <w:iCs/>
          <w:sz w:val="24"/>
          <w:szCs w:val="24"/>
        </w:rPr>
        <w:t xml:space="preserve"> și/ </w:t>
      </w:r>
      <w:r>
        <w:rPr>
          <w:b/>
          <w:bCs/>
          <w:i/>
          <w:iCs/>
          <w:sz w:val="24"/>
          <w:szCs w:val="24"/>
          <w:u w:val="single"/>
        </w:rPr>
        <w:t>sau</w:t>
      </w:r>
      <w:r>
        <w:rPr>
          <w:b/>
          <w:bCs/>
          <w:i/>
          <w:iCs/>
          <w:sz w:val="24"/>
          <w:szCs w:val="24"/>
        </w:rPr>
        <w:t xml:space="preserve"> </w:t>
      </w:r>
      <w:r>
        <w:rPr>
          <w:b/>
          <w:bCs/>
          <w:i/>
          <w:iCs/>
          <w:sz w:val="24"/>
          <w:szCs w:val="24"/>
        </w:rPr>
        <w:fldChar w:fldCharType="begin"/>
      </w:r>
      <w:r>
        <w:rPr>
          <w:b/>
          <w:bCs/>
          <w:i/>
          <w:iCs/>
          <w:sz w:val="24"/>
          <w:szCs w:val="24"/>
        </w:rPr>
        <w:instrText xml:space="preserve"> REF _Ref5993 \h </w:instrText>
      </w:r>
      <w:r>
        <w:rPr>
          <w:b/>
          <w:bCs/>
          <w:i/>
          <w:iCs/>
          <w:sz w:val="24"/>
          <w:szCs w:val="24"/>
        </w:rPr>
      </w:r>
      <w:r>
        <w:rPr>
          <w:b/>
          <w:bCs/>
          <w:i/>
          <w:iCs/>
          <w:sz w:val="24"/>
          <w:szCs w:val="24"/>
        </w:rPr>
        <w:fldChar w:fldCharType="separate"/>
      </w:r>
      <w:r>
        <w:t xml:space="preserve">Tabelul 168: </w:t>
      </w:r>
      <w:r>
        <w:rPr>
          <w:rFonts w:eastAsia="Calibri"/>
          <w:bCs/>
          <w:shd w:val="clear" w:color="auto" w:fill="FFFFFF"/>
        </w:rPr>
        <w:t>Arii construite și număr de niveluri admise pentru construcții existente și compartimente de incendiu ale construcțiilor existente de producție și/sau depozitare</w:t>
      </w:r>
      <w:r>
        <w:rPr>
          <w:b/>
          <w:bCs/>
          <w:i/>
          <w:iCs/>
          <w:sz w:val="24"/>
          <w:szCs w:val="24"/>
        </w:rPr>
        <w:fldChar w:fldCharType="end"/>
      </w:r>
      <w:r>
        <w:rPr>
          <w:i/>
          <w:iCs/>
          <w:sz w:val="24"/>
          <w:szCs w:val="24"/>
        </w:rPr>
        <w:t>)</w:t>
      </w:r>
    </w:p>
    <w:p w14:paraId="22C4FE6B" w14:textId="77777777" w:rsidR="001C08A5" w:rsidRDefault="00000000">
      <w:pPr>
        <w:tabs>
          <w:tab w:val="left" w:pos="426"/>
          <w:tab w:val="left" w:pos="993"/>
        </w:tabs>
        <w:jc w:val="both"/>
        <w:rPr>
          <w:i/>
          <w:iCs/>
          <w:sz w:val="22"/>
          <w:szCs w:val="22"/>
        </w:rPr>
      </w:pPr>
      <w:r>
        <w:rPr>
          <w:i/>
          <w:iCs/>
          <w:sz w:val="22"/>
          <w:szCs w:val="22"/>
        </w:rPr>
        <w:t xml:space="preserve">Notă: Lungimile de evacuare se conformează în acord cu nivelul </w:t>
      </w:r>
      <w:r>
        <w:rPr>
          <w:b/>
          <w:bCs/>
          <w:i/>
          <w:iCs/>
          <w:sz w:val="22"/>
          <w:szCs w:val="22"/>
        </w:rPr>
        <w:t xml:space="preserve">IV </w:t>
      </w:r>
      <w:r>
        <w:rPr>
          <w:i/>
          <w:iCs/>
          <w:sz w:val="22"/>
          <w:szCs w:val="22"/>
        </w:rPr>
        <w:t>de stabilitate la incendiu al  compartimentului de incendiu, pentru fiecare dintre destinațiile clădirilor/ construcțiilor comasate (pentru ambele exemple, respectiv construcții noi comasate sau pentru construcții existente comasate).</w:t>
      </w:r>
    </w:p>
    <w:p w14:paraId="7A6106C4" w14:textId="77777777" w:rsidR="001C08A5" w:rsidRDefault="001C08A5">
      <w:pPr>
        <w:tabs>
          <w:tab w:val="left" w:pos="426"/>
          <w:tab w:val="left" w:pos="993"/>
        </w:tabs>
        <w:jc w:val="both"/>
        <w:rPr>
          <w:i/>
          <w:iCs/>
          <w:sz w:val="24"/>
          <w:szCs w:val="24"/>
        </w:rPr>
      </w:pPr>
    </w:p>
    <w:p w14:paraId="774D7A5F" w14:textId="77777777" w:rsidR="001C08A5" w:rsidRDefault="00000000">
      <w:pPr>
        <w:pStyle w:val="BodyText"/>
        <w:jc w:val="center"/>
        <w:rPr>
          <w:iCs/>
        </w:rPr>
      </w:pPr>
      <w:r>
        <w:rPr>
          <w:noProof/>
        </w:rPr>
        <w:lastRenderedPageBreak/>
        <w:drawing>
          <wp:inline distT="0" distB="0" distL="114300" distR="114300" wp14:anchorId="29C6E67C" wp14:editId="4E84DF24">
            <wp:extent cx="5005705" cy="3697605"/>
            <wp:effectExtent l="0" t="0" r="4445" b="1714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
                    <pic:cNvPicPr>
                      <a:picLocks noChangeAspect="1"/>
                    </pic:cNvPicPr>
                  </pic:nvPicPr>
                  <pic:blipFill>
                    <a:blip r:embed="rId235"/>
                    <a:srcRect l="19141" t="3087" r="14621" b="1797"/>
                    <a:stretch>
                      <a:fillRect/>
                    </a:stretch>
                  </pic:blipFill>
                  <pic:spPr>
                    <a:xfrm>
                      <a:off x="0" y="0"/>
                      <a:ext cx="5005705" cy="3697605"/>
                    </a:xfrm>
                    <a:prstGeom prst="rect">
                      <a:avLst/>
                    </a:prstGeom>
                    <a:noFill/>
                    <a:ln>
                      <a:noFill/>
                    </a:ln>
                  </pic:spPr>
                </pic:pic>
              </a:graphicData>
            </a:graphic>
          </wp:inline>
        </w:drawing>
      </w:r>
    </w:p>
    <w:p w14:paraId="725C8160" w14:textId="77777777" w:rsidR="001C08A5" w:rsidRDefault="00000000">
      <w:pPr>
        <w:pStyle w:val="Caption"/>
        <w:jc w:val="center"/>
        <w:rPr>
          <w:rFonts w:cs="Times New Roman"/>
          <w:bCs/>
        </w:rPr>
      </w:pPr>
      <w:bookmarkStart w:id="5860" w:name="_Ref19429"/>
      <w:bookmarkStart w:id="5861" w:name="_Ref19357"/>
      <w:bookmarkStart w:id="5862" w:name="_Toc162360310"/>
      <w:r>
        <w:t xml:space="preserve">Figura </w:t>
      </w:r>
      <w:r>
        <w:fldChar w:fldCharType="begin"/>
      </w:r>
      <w:r>
        <w:instrText xml:space="preserve"> SEQ Figura \* ARABIC </w:instrText>
      </w:r>
      <w:r>
        <w:fldChar w:fldCharType="separate"/>
      </w:r>
      <w:r>
        <w:t>86</w:t>
      </w:r>
      <w:r>
        <w:fldChar w:fldCharType="end"/>
      </w:r>
      <w:bookmarkStart w:id="5863" w:name="_Toc9523"/>
      <w:bookmarkStart w:id="5864" w:name="_Toc32028"/>
      <w:bookmarkStart w:id="5865" w:name="_Toc11198"/>
      <w:bookmarkStart w:id="5866" w:name="_Toc450"/>
      <w:bookmarkStart w:id="5867" w:name="_Toc19060"/>
      <w:bookmarkStart w:id="5868" w:name="_Toc10851"/>
      <w:bookmarkStart w:id="5869" w:name="_Toc13909"/>
      <w:bookmarkStart w:id="5870" w:name="_Toc26972"/>
      <w:bookmarkStart w:id="5871" w:name="_Toc5618"/>
      <w:bookmarkEnd w:id="5860"/>
      <w:r>
        <w:t xml:space="preserve"> - </w:t>
      </w:r>
      <w:r>
        <w:rPr>
          <w:rFonts w:cs="Times New Roman"/>
          <w:bCs/>
        </w:rPr>
        <w:t>Amplasare construcții</w:t>
      </w:r>
      <w:bookmarkEnd w:id="5861"/>
      <w:bookmarkEnd w:id="5863"/>
      <w:r>
        <w:rPr>
          <w:rFonts w:cs="Times New Roman"/>
          <w:bCs/>
        </w:rPr>
        <w:t xml:space="preserve"> comasate</w:t>
      </w:r>
      <w:bookmarkEnd w:id="5862"/>
      <w:bookmarkEnd w:id="5864"/>
      <w:bookmarkEnd w:id="5865"/>
      <w:bookmarkEnd w:id="5866"/>
      <w:bookmarkEnd w:id="5867"/>
      <w:bookmarkEnd w:id="5868"/>
      <w:bookmarkEnd w:id="5869"/>
      <w:bookmarkEnd w:id="5870"/>
      <w:bookmarkEnd w:id="5871"/>
    </w:p>
    <w:p w14:paraId="61DC2B3F" w14:textId="77777777" w:rsidR="001C08A5" w:rsidRDefault="00000000">
      <w:pPr>
        <w:pStyle w:val="BodyText"/>
        <w:rPr>
          <w:iCs/>
          <w:sz w:val="22"/>
          <w:szCs w:val="22"/>
        </w:rPr>
      </w:pPr>
      <w:r>
        <w:rPr>
          <w:b w:val="0"/>
          <w:bCs w:val="0"/>
          <w:iCs/>
          <w:sz w:val="22"/>
          <w:szCs w:val="22"/>
        </w:rPr>
        <w:t xml:space="preserve">Note </w:t>
      </w:r>
      <w:r>
        <w:rPr>
          <w:iCs/>
          <w:sz w:val="22"/>
          <w:szCs w:val="22"/>
        </w:rPr>
        <w:t xml:space="preserve">Figura 87 </w:t>
      </w:r>
      <w:r>
        <w:rPr>
          <w:b w:val="0"/>
          <w:bCs w:val="0"/>
          <w:iCs/>
          <w:sz w:val="22"/>
          <w:szCs w:val="22"/>
        </w:rPr>
        <w:t>(exemplu pentru comasare clădiri civile noi față de alte construcții/ compartimente dispuse în afara limitei de proprietate):</w:t>
      </w:r>
    </w:p>
    <w:p w14:paraId="5673F4F7" w14:textId="77777777" w:rsidR="001C08A5" w:rsidRDefault="00000000">
      <w:pPr>
        <w:pStyle w:val="BodyText"/>
        <w:rPr>
          <w:b w:val="0"/>
          <w:bCs w:val="0"/>
          <w:iCs/>
          <w:sz w:val="22"/>
          <w:szCs w:val="22"/>
        </w:rPr>
      </w:pPr>
      <w:r>
        <w:rPr>
          <w:b w:val="0"/>
          <w:bCs w:val="0"/>
          <w:iCs/>
          <w:sz w:val="22"/>
          <w:szCs w:val="22"/>
        </w:rPr>
        <w:t>În cazul în care distanța dintre compartimentul de incendiu format din</w:t>
      </w:r>
      <w:r>
        <w:rPr>
          <w:iCs/>
          <w:sz w:val="22"/>
          <w:szCs w:val="22"/>
        </w:rPr>
        <w:t xml:space="preserve"> </w:t>
      </w:r>
      <w:r>
        <w:rPr>
          <w:b w:val="0"/>
          <w:bCs w:val="0"/>
          <w:iCs/>
          <w:sz w:val="22"/>
          <w:szCs w:val="22"/>
        </w:rPr>
        <w:t xml:space="preserve">comasarea rezultată din </w:t>
      </w:r>
      <w:r>
        <w:rPr>
          <w:iCs/>
          <w:sz w:val="22"/>
          <w:szCs w:val="22"/>
        </w:rPr>
        <w:t>Clădire ”A” + Clădire ”B” + Clădire ”C”</w:t>
      </w:r>
      <w:r>
        <w:rPr>
          <w:b w:val="0"/>
          <w:bCs w:val="0"/>
          <w:iCs/>
          <w:sz w:val="22"/>
          <w:szCs w:val="22"/>
        </w:rPr>
        <w:t xml:space="preserve"> și altă construcție/ alte construcții / alt (alte) compartiment(e) de incendiu (de exemplu față de Construcția ”</w:t>
      </w:r>
      <w:r>
        <w:rPr>
          <w:iCs/>
          <w:sz w:val="22"/>
          <w:szCs w:val="22"/>
        </w:rPr>
        <w:t>E</w:t>
      </w:r>
      <w:r>
        <w:rPr>
          <w:b w:val="0"/>
          <w:bCs w:val="0"/>
          <w:iCs/>
          <w:sz w:val="22"/>
          <w:szCs w:val="22"/>
        </w:rPr>
        <w:t>”) nu respectă distanțele de siguranță normate, se prevede perete antifoc (dispus în cadrul limitei de proprietate), conform prevederi normate (sau perete antifoc dispus la clădirea/ construcția care face obiectul, inclusiv prevederea obloanelor, cortinelor, etc. la clădirea/ construcția din cadrul limitei de proprietate)</w:t>
      </w:r>
    </w:p>
    <w:p w14:paraId="398982D8" w14:textId="77777777" w:rsidR="001C08A5" w:rsidRDefault="00000000">
      <w:pPr>
        <w:pStyle w:val="BodyText"/>
        <w:rPr>
          <w:b w:val="0"/>
          <w:bCs w:val="0"/>
          <w:iCs/>
          <w:sz w:val="22"/>
          <w:szCs w:val="22"/>
        </w:rPr>
      </w:pPr>
      <w:r>
        <w:rPr>
          <w:b w:val="0"/>
          <w:bCs w:val="0"/>
          <w:iCs/>
          <w:sz w:val="22"/>
          <w:szCs w:val="22"/>
        </w:rPr>
        <w:t>”</w:t>
      </w:r>
      <w:r>
        <w:rPr>
          <w:iCs/>
          <w:sz w:val="22"/>
          <w:szCs w:val="22"/>
        </w:rPr>
        <w:t>R</w:t>
      </w:r>
      <w:r>
        <w:rPr>
          <w:b w:val="0"/>
          <w:bCs w:val="0"/>
          <w:iCs/>
          <w:sz w:val="22"/>
          <w:szCs w:val="22"/>
        </w:rPr>
        <w:t xml:space="preserve">” reprezintă distanța de siguranță normată (conform </w:t>
      </w:r>
      <w:r>
        <w:rPr>
          <w:b w:val="0"/>
          <w:bCs w:val="0"/>
          <w:i w:val="0"/>
          <w:iCs/>
          <w:sz w:val="20"/>
          <w:szCs w:val="20"/>
        </w:rPr>
        <w:fldChar w:fldCharType="begin"/>
      </w:r>
      <w:r>
        <w:rPr>
          <w:b w:val="0"/>
          <w:bCs w:val="0"/>
          <w:i w:val="0"/>
          <w:iCs/>
          <w:sz w:val="20"/>
          <w:szCs w:val="20"/>
        </w:rPr>
        <w:instrText xml:space="preserve"> REF _Ref13581 \h </w:instrText>
      </w:r>
      <w:r>
        <w:rPr>
          <w:b w:val="0"/>
          <w:bCs w:val="0"/>
          <w:i w:val="0"/>
          <w:iCs/>
          <w:sz w:val="20"/>
          <w:szCs w:val="20"/>
        </w:rPr>
      </w:r>
      <w:r>
        <w:rPr>
          <w:b w:val="0"/>
          <w:bCs w:val="0"/>
          <w:i w:val="0"/>
          <w:iCs/>
          <w:sz w:val="20"/>
          <w:szCs w:val="20"/>
        </w:rPr>
        <w:fldChar w:fldCharType="separate"/>
      </w:r>
      <w:r>
        <w:rPr>
          <w:b w:val="0"/>
          <w:bCs w:val="0"/>
          <w:i w:val="0"/>
          <w:iCs/>
          <w:sz w:val="20"/>
          <w:szCs w:val="20"/>
        </w:rPr>
        <w:t>Tabelul 4: Distanţe minime de siguranţă între construcţii sau compartimente de incendiu supraterane (civile, de producţie şi/sau depozitare)</w:t>
      </w:r>
      <w:r>
        <w:rPr>
          <w:b w:val="0"/>
          <w:bCs w:val="0"/>
          <w:i w:val="0"/>
          <w:iCs/>
          <w:sz w:val="20"/>
          <w:szCs w:val="20"/>
        </w:rPr>
        <w:fldChar w:fldCharType="end"/>
      </w:r>
      <w:r>
        <w:rPr>
          <w:b w:val="0"/>
          <w:bCs w:val="0"/>
          <w:i w:val="0"/>
          <w:iCs/>
          <w:sz w:val="20"/>
          <w:szCs w:val="20"/>
        </w:rPr>
        <w:t xml:space="preserve"> </w:t>
      </w:r>
      <w:r>
        <w:rPr>
          <w:b w:val="0"/>
          <w:bCs w:val="0"/>
          <w:sz w:val="22"/>
          <w:szCs w:val="22"/>
        </w:rPr>
        <w:t>sau</w:t>
      </w:r>
      <w:r>
        <w:rPr>
          <w:b w:val="0"/>
          <w:bCs w:val="0"/>
          <w:i w:val="0"/>
          <w:iCs/>
          <w:sz w:val="20"/>
          <w:szCs w:val="20"/>
        </w:rPr>
        <w:t xml:space="preserve"> </w:t>
      </w:r>
      <w:r>
        <w:rPr>
          <w:b w:val="0"/>
          <w:bCs w:val="0"/>
          <w:i w:val="0"/>
          <w:iCs/>
          <w:sz w:val="20"/>
          <w:szCs w:val="20"/>
        </w:rPr>
        <w:fldChar w:fldCharType="begin"/>
      </w:r>
      <w:r>
        <w:rPr>
          <w:b w:val="0"/>
          <w:bCs w:val="0"/>
          <w:i w:val="0"/>
          <w:iCs/>
          <w:sz w:val="20"/>
          <w:szCs w:val="20"/>
        </w:rPr>
        <w:instrText xml:space="preserve"> REF _Ref26646 \h </w:instrText>
      </w:r>
      <w:r>
        <w:rPr>
          <w:b w:val="0"/>
          <w:bCs w:val="0"/>
          <w:i w:val="0"/>
          <w:iCs/>
          <w:sz w:val="20"/>
          <w:szCs w:val="20"/>
        </w:rPr>
      </w:r>
      <w:r>
        <w:rPr>
          <w:b w:val="0"/>
          <w:bCs w:val="0"/>
          <w:i w:val="0"/>
          <w:iCs/>
          <w:sz w:val="20"/>
          <w:szCs w:val="20"/>
        </w:rPr>
        <w:fldChar w:fldCharType="separate"/>
      </w:r>
      <w:r>
        <w:rPr>
          <w:b w:val="0"/>
          <w:bCs w:val="0"/>
          <w:i w:val="0"/>
          <w:iCs/>
          <w:sz w:val="20"/>
          <w:szCs w:val="20"/>
        </w:rPr>
        <w:t xml:space="preserve">Tabelul 145: </w:t>
      </w:r>
      <w:r>
        <w:rPr>
          <w:rFonts w:eastAsia="Calibri"/>
          <w:b w:val="0"/>
          <w:bCs w:val="0"/>
          <w:i w:val="0"/>
          <w:iCs/>
          <w:sz w:val="20"/>
          <w:szCs w:val="20"/>
          <w:shd w:val="clear" w:color="auto" w:fill="FFFFFF"/>
        </w:rPr>
        <w:t>Distanțe de siguranță la construcții existente</w:t>
      </w:r>
      <w:r>
        <w:rPr>
          <w:b w:val="0"/>
          <w:bCs w:val="0"/>
          <w:i w:val="0"/>
          <w:iCs/>
          <w:sz w:val="20"/>
          <w:szCs w:val="20"/>
        </w:rPr>
        <w:fldChar w:fldCharType="end"/>
      </w:r>
      <w:r>
        <w:rPr>
          <w:b w:val="0"/>
          <w:bCs w:val="0"/>
          <w:i w:val="0"/>
          <w:iCs/>
          <w:sz w:val="20"/>
          <w:szCs w:val="20"/>
        </w:rPr>
        <w:t>)</w:t>
      </w:r>
    </w:p>
    <w:p w14:paraId="6B6D6D83" w14:textId="77777777" w:rsidR="001C08A5" w:rsidRDefault="00000000">
      <w:pPr>
        <w:rPr>
          <w:b/>
          <w:bCs/>
          <w:i/>
          <w:iCs/>
          <w:sz w:val="22"/>
          <w:szCs w:val="22"/>
        </w:rPr>
      </w:pPr>
      <w:r>
        <w:rPr>
          <w:i/>
          <w:iCs/>
          <w:sz w:val="22"/>
          <w:szCs w:val="22"/>
        </w:rPr>
        <w:t xml:space="preserve">În toate cazurile </w:t>
      </w:r>
      <w:r>
        <w:rPr>
          <w:b/>
          <w:bCs/>
          <w:i/>
          <w:iCs/>
          <w:sz w:val="22"/>
          <w:szCs w:val="22"/>
        </w:rPr>
        <w:t>Ac compartiment de incendiu comasat = suma Ac ale construcţiilor comasate</w:t>
      </w:r>
    </w:p>
    <w:p w14:paraId="600F1AA5" w14:textId="77777777" w:rsidR="001C08A5" w:rsidRDefault="00000000">
      <w:pPr>
        <w:pStyle w:val="Heading2"/>
        <w:ind w:left="0" w:firstLine="0"/>
        <w:rPr>
          <w:sz w:val="28"/>
        </w:rPr>
      </w:pPr>
      <w:bookmarkStart w:id="5872" w:name="_Toc30143"/>
      <w:bookmarkStart w:id="5873" w:name="_Toc4378"/>
      <w:bookmarkStart w:id="5874" w:name="_Toc22061"/>
      <w:bookmarkStart w:id="5875" w:name="_Toc8806"/>
      <w:bookmarkStart w:id="5876" w:name="_Toc11927"/>
      <w:bookmarkStart w:id="5877" w:name="_Toc16547"/>
      <w:bookmarkStart w:id="5878" w:name="_Toc18365"/>
      <w:bookmarkStart w:id="5879" w:name="_Toc20840"/>
      <w:bookmarkStart w:id="5880" w:name="_Toc9409"/>
      <w:bookmarkStart w:id="5881" w:name="_Toc19656"/>
      <w:bookmarkStart w:id="5882" w:name="_Toc196"/>
      <w:bookmarkStart w:id="5883" w:name="_Toc162355388"/>
      <w:bookmarkStart w:id="5884" w:name="_Toc2323"/>
      <w:bookmarkStart w:id="5885" w:name="_Toc15659"/>
      <w:bookmarkStart w:id="5886" w:name="_Toc31179"/>
      <w:bookmarkStart w:id="5887" w:name="_Toc20130"/>
      <w:bookmarkStart w:id="5888" w:name="_Toc11879"/>
      <w:r>
        <w:rPr>
          <w:sz w:val="28"/>
        </w:rPr>
        <w:t>ANEXA 2  - PEREŢI ANTIFOC ȘI PERETI DE SECTORIZARE</w:t>
      </w:r>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p>
    <w:p w14:paraId="3E7E270D" w14:textId="77777777" w:rsidR="001C08A5" w:rsidRDefault="00000000">
      <w:pPr>
        <w:pStyle w:val="Heading3"/>
        <w:rPr>
          <w:i/>
          <w:iCs/>
          <w:sz w:val="24"/>
          <w:szCs w:val="24"/>
        </w:rPr>
      </w:pPr>
      <w:bookmarkStart w:id="5889" w:name="_Toc28120"/>
      <w:bookmarkStart w:id="5890" w:name="_Toc5390"/>
      <w:bookmarkStart w:id="5891" w:name="_Toc14879"/>
      <w:bookmarkStart w:id="5892" w:name="_Toc16861"/>
      <w:bookmarkStart w:id="5893" w:name="_Toc11611"/>
      <w:bookmarkStart w:id="5894" w:name="_Toc22811"/>
      <w:bookmarkStart w:id="5895" w:name="_Toc17232"/>
      <w:bookmarkStart w:id="5896" w:name="_Toc162355389"/>
      <w:bookmarkStart w:id="5897" w:name="_Toc2842"/>
      <w:bookmarkStart w:id="5898" w:name="_Toc3326"/>
      <w:bookmarkStart w:id="5899" w:name="_Toc11526"/>
      <w:bookmarkStart w:id="5900" w:name="_Toc5544"/>
      <w:bookmarkStart w:id="5901" w:name="_Toc13993"/>
      <w:bookmarkStart w:id="5902" w:name="_Toc14307"/>
      <w:bookmarkStart w:id="5903" w:name="_Toc15080"/>
      <w:bookmarkStart w:id="5904" w:name="_Toc7897"/>
      <w:bookmarkStart w:id="5905" w:name="_Toc31492"/>
      <w:r>
        <w:rPr>
          <w:i/>
          <w:iCs/>
          <w:sz w:val="24"/>
          <w:szCs w:val="24"/>
        </w:rPr>
        <w:t>ANEXA 2.1 - PEREŢI ANTIFOC ȘI PROTECŢIA GOLURILOR FUNCŢIONALE DIN PEREŢII ANTIFOC</w:t>
      </w:r>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p>
    <w:p w14:paraId="08ACE1E9" w14:textId="77777777" w:rsidR="001C08A5" w:rsidRDefault="00000000">
      <w:pPr>
        <w:pStyle w:val="Heading4"/>
        <w:rPr>
          <w:sz w:val="24"/>
          <w:szCs w:val="24"/>
        </w:rPr>
      </w:pPr>
      <w:bookmarkStart w:id="5906" w:name="_Toc26082"/>
      <w:bookmarkStart w:id="5907" w:name="_Toc24545"/>
      <w:bookmarkStart w:id="5908" w:name="_Toc20049"/>
      <w:bookmarkStart w:id="5909" w:name="_Toc16866"/>
      <w:bookmarkStart w:id="5910" w:name="_Toc7930"/>
      <w:bookmarkStart w:id="5911" w:name="_Toc162355390"/>
      <w:bookmarkStart w:id="5912" w:name="_Toc11411"/>
      <w:bookmarkStart w:id="5913" w:name="_Toc19195"/>
      <w:bookmarkStart w:id="5914" w:name="_Toc12227"/>
      <w:bookmarkStart w:id="5915" w:name="_Toc24608"/>
      <w:bookmarkStart w:id="5916" w:name="_Toc28883"/>
      <w:bookmarkStart w:id="5917" w:name="_Toc12156"/>
      <w:bookmarkStart w:id="5918" w:name="_Toc23725"/>
      <w:bookmarkStart w:id="5919" w:name="_Toc26670"/>
      <w:bookmarkStart w:id="5920" w:name="_Toc11306"/>
      <w:bookmarkStart w:id="5921" w:name="_Toc2465"/>
      <w:bookmarkStart w:id="5922" w:name="_Toc30231"/>
      <w:r>
        <w:rPr>
          <w:sz w:val="24"/>
          <w:szCs w:val="24"/>
        </w:rPr>
        <w:t>Pereţi antifoc</w:t>
      </w:r>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p>
    <w:p w14:paraId="6B63665B" w14:textId="77777777" w:rsidR="001C08A5" w:rsidRDefault="00000000">
      <w:pPr>
        <w:jc w:val="center"/>
        <w:rPr>
          <w:i/>
          <w:sz w:val="24"/>
          <w:szCs w:val="24"/>
        </w:rPr>
      </w:pPr>
      <w:r>
        <w:rPr>
          <w:i/>
          <w:noProof/>
          <w:sz w:val="24"/>
          <w:szCs w:val="24"/>
          <w:lang w:eastAsia="ro-RO"/>
        </w:rPr>
        <w:drawing>
          <wp:inline distT="0" distB="0" distL="114300" distR="114300" wp14:anchorId="5A71357A" wp14:editId="441D7B83">
            <wp:extent cx="5521325" cy="2230120"/>
            <wp:effectExtent l="0" t="0" r="3175" b="1778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236"/>
                    <a:srcRect l="12201" t="4673" r="7262" b="13854"/>
                    <a:stretch>
                      <a:fillRect/>
                    </a:stretch>
                  </pic:blipFill>
                  <pic:spPr>
                    <a:xfrm>
                      <a:off x="0" y="0"/>
                      <a:ext cx="5521325" cy="2230120"/>
                    </a:xfrm>
                    <a:prstGeom prst="rect">
                      <a:avLst/>
                    </a:prstGeom>
                    <a:noFill/>
                    <a:ln>
                      <a:noFill/>
                    </a:ln>
                  </pic:spPr>
                </pic:pic>
              </a:graphicData>
            </a:graphic>
          </wp:inline>
        </w:drawing>
      </w:r>
    </w:p>
    <w:p w14:paraId="5F5AB288" w14:textId="77777777" w:rsidR="001C08A5" w:rsidRDefault="00000000">
      <w:pPr>
        <w:jc w:val="center"/>
        <w:rPr>
          <w:i/>
          <w:sz w:val="22"/>
          <w:szCs w:val="22"/>
        </w:rPr>
      </w:pPr>
      <w:r>
        <w:rPr>
          <w:b/>
          <w:bCs/>
          <w:i/>
          <w:sz w:val="22"/>
          <w:szCs w:val="22"/>
        </w:rPr>
        <w:lastRenderedPageBreak/>
        <w:t>varianta a) - clădiri cu aceeași înălțime</w:t>
      </w:r>
    </w:p>
    <w:p w14:paraId="358006D0" w14:textId="77777777" w:rsidR="001C08A5" w:rsidRDefault="00000000">
      <w:pPr>
        <w:jc w:val="center"/>
        <w:rPr>
          <w:i/>
          <w:sz w:val="24"/>
          <w:szCs w:val="24"/>
        </w:rPr>
      </w:pPr>
      <w:r>
        <w:rPr>
          <w:i/>
          <w:noProof/>
          <w:sz w:val="24"/>
          <w:szCs w:val="24"/>
          <w:lang w:eastAsia="ro-RO"/>
        </w:rPr>
        <w:drawing>
          <wp:inline distT="0" distB="0" distL="114300" distR="114300" wp14:anchorId="3A182389" wp14:editId="4B181B88">
            <wp:extent cx="5471160" cy="2856865"/>
            <wp:effectExtent l="0" t="0" r="15240" b="635"/>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3"/>
                    <pic:cNvPicPr>
                      <a:picLocks noChangeAspect="1"/>
                    </pic:cNvPicPr>
                  </pic:nvPicPr>
                  <pic:blipFill>
                    <a:blip r:embed="rId237"/>
                    <a:srcRect l="12305" t="1776" r="7468" b="9784"/>
                    <a:stretch>
                      <a:fillRect/>
                    </a:stretch>
                  </pic:blipFill>
                  <pic:spPr>
                    <a:xfrm>
                      <a:off x="0" y="0"/>
                      <a:ext cx="5471160" cy="2856865"/>
                    </a:xfrm>
                    <a:prstGeom prst="rect">
                      <a:avLst/>
                    </a:prstGeom>
                    <a:noFill/>
                    <a:ln>
                      <a:noFill/>
                    </a:ln>
                  </pic:spPr>
                </pic:pic>
              </a:graphicData>
            </a:graphic>
          </wp:inline>
        </w:drawing>
      </w:r>
    </w:p>
    <w:p w14:paraId="0B9239A0" w14:textId="77777777" w:rsidR="001C08A5" w:rsidRDefault="00000000">
      <w:pPr>
        <w:jc w:val="center"/>
        <w:rPr>
          <w:i/>
          <w:sz w:val="22"/>
          <w:szCs w:val="22"/>
        </w:rPr>
      </w:pPr>
      <w:r>
        <w:rPr>
          <w:b/>
          <w:bCs/>
          <w:i/>
          <w:sz w:val="22"/>
          <w:szCs w:val="22"/>
        </w:rPr>
        <w:t>Varianta b1) - clădiri cu înălțime diferită cu perete antifoc ce secționează integral construcția</w:t>
      </w:r>
      <w:r>
        <w:rPr>
          <w:rStyle w:val="CommentReference"/>
        </w:rPr>
        <w:t xml:space="preserve"> </w:t>
      </w:r>
      <w:r>
        <w:rPr>
          <w:rStyle w:val="CommentReference"/>
          <w:i/>
          <w:iCs/>
          <w:sz w:val="22"/>
          <w:szCs w:val="22"/>
        </w:rPr>
        <w:t xml:space="preserve">(în condițiile în care </w:t>
      </w:r>
      <w:r>
        <w:rPr>
          <w:i/>
          <w:sz w:val="22"/>
          <w:szCs w:val="22"/>
        </w:rPr>
        <w:t>înălțimea</w:t>
      </w:r>
      <w:r>
        <w:rPr>
          <w:rStyle w:val="CommentReference"/>
          <w:i/>
          <w:iCs/>
          <w:sz w:val="22"/>
          <w:szCs w:val="22"/>
        </w:rPr>
        <w:t xml:space="preserve"> dintre </w:t>
      </w:r>
      <w:r>
        <w:rPr>
          <w:i/>
          <w:sz w:val="22"/>
          <w:szCs w:val="22"/>
        </w:rPr>
        <w:t>construcții este mai mică de</w:t>
      </w:r>
      <w:r>
        <w:rPr>
          <w:b/>
          <w:bCs/>
          <w:i/>
          <w:sz w:val="22"/>
          <w:szCs w:val="22"/>
        </w:rPr>
        <w:t xml:space="preserve"> 8 m </w:t>
      </w:r>
      <w:r>
        <w:rPr>
          <w:i/>
          <w:sz w:val="22"/>
          <w:szCs w:val="22"/>
        </w:rPr>
        <w:t xml:space="preserve">și acoperişurile care nu sunt realizate exclusiv din componente substanțiale cu clasa de reacţie la foc </w:t>
      </w:r>
      <w:r>
        <w:rPr>
          <w:b/>
          <w:bCs/>
          <w:i/>
          <w:sz w:val="22"/>
          <w:szCs w:val="22"/>
        </w:rPr>
        <w:t>A1</w:t>
      </w:r>
      <w:r>
        <w:rPr>
          <w:i/>
          <w:sz w:val="22"/>
          <w:szCs w:val="22"/>
        </w:rPr>
        <w:t xml:space="preserve"> sau </w:t>
      </w:r>
      <w:r>
        <w:rPr>
          <w:b/>
          <w:bCs/>
          <w:i/>
          <w:sz w:val="22"/>
          <w:szCs w:val="22"/>
        </w:rPr>
        <w:t>A2-s1d0</w:t>
      </w:r>
      <w:r>
        <w:rPr>
          <w:rStyle w:val="CommentReference"/>
          <w:b/>
          <w:bCs/>
          <w:i/>
          <w:iCs/>
          <w:sz w:val="22"/>
          <w:szCs w:val="22"/>
        </w:rPr>
        <w:t>)</w:t>
      </w:r>
    </w:p>
    <w:p w14:paraId="03B95D5C" w14:textId="77777777" w:rsidR="001C08A5" w:rsidRDefault="00000000">
      <w:pPr>
        <w:jc w:val="center"/>
        <w:rPr>
          <w:i/>
          <w:sz w:val="24"/>
          <w:szCs w:val="24"/>
        </w:rPr>
      </w:pPr>
      <w:r>
        <w:rPr>
          <w:i/>
          <w:noProof/>
          <w:sz w:val="24"/>
          <w:szCs w:val="24"/>
          <w:lang w:eastAsia="ro-RO"/>
        </w:rPr>
        <w:drawing>
          <wp:inline distT="0" distB="0" distL="114300" distR="114300" wp14:anchorId="76E5054C" wp14:editId="4B092D18">
            <wp:extent cx="5482590" cy="3112135"/>
            <wp:effectExtent l="0" t="0" r="3810" b="12065"/>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4"/>
                    <pic:cNvPicPr>
                      <a:picLocks noChangeAspect="1"/>
                    </pic:cNvPicPr>
                  </pic:nvPicPr>
                  <pic:blipFill>
                    <a:blip r:embed="rId238"/>
                    <a:srcRect l="12366" t="4950" r="7372" b="4716"/>
                    <a:stretch>
                      <a:fillRect/>
                    </a:stretch>
                  </pic:blipFill>
                  <pic:spPr>
                    <a:xfrm>
                      <a:off x="0" y="0"/>
                      <a:ext cx="5482590" cy="3112135"/>
                    </a:xfrm>
                    <a:prstGeom prst="rect">
                      <a:avLst/>
                    </a:prstGeom>
                    <a:noFill/>
                    <a:ln>
                      <a:noFill/>
                    </a:ln>
                  </pic:spPr>
                </pic:pic>
              </a:graphicData>
            </a:graphic>
          </wp:inline>
        </w:drawing>
      </w:r>
    </w:p>
    <w:p w14:paraId="793F48AB" w14:textId="77777777" w:rsidR="001C08A5" w:rsidRDefault="00000000">
      <w:pPr>
        <w:jc w:val="center"/>
        <w:rPr>
          <w:i/>
          <w:sz w:val="22"/>
          <w:szCs w:val="22"/>
        </w:rPr>
      </w:pPr>
      <w:r>
        <w:rPr>
          <w:b/>
          <w:bCs/>
          <w:i/>
          <w:sz w:val="22"/>
          <w:szCs w:val="22"/>
        </w:rPr>
        <w:t>Varianta b2) - clădiri cu înălțime diferită cu perete antifoc ce secționează construcția pe înălțimea de 8 m</w:t>
      </w:r>
    </w:p>
    <w:p w14:paraId="0BD3B572" w14:textId="77777777" w:rsidR="001C08A5" w:rsidRDefault="00000000">
      <w:pPr>
        <w:jc w:val="center"/>
        <w:rPr>
          <w:i/>
          <w:sz w:val="24"/>
          <w:szCs w:val="24"/>
        </w:rPr>
      </w:pPr>
      <w:r>
        <w:rPr>
          <w:i/>
          <w:noProof/>
          <w:sz w:val="24"/>
          <w:szCs w:val="24"/>
          <w:lang w:eastAsia="ro-RO"/>
        </w:rPr>
        <w:lastRenderedPageBreak/>
        <w:drawing>
          <wp:inline distT="0" distB="0" distL="114300" distR="114300" wp14:anchorId="3A13CE8E" wp14:editId="24E7F973">
            <wp:extent cx="5450205" cy="2850515"/>
            <wp:effectExtent l="0" t="0" r="17145" b="6985"/>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5"/>
                    <pic:cNvPicPr>
                      <a:picLocks noChangeAspect="1"/>
                    </pic:cNvPicPr>
                  </pic:nvPicPr>
                  <pic:blipFill>
                    <a:blip r:embed="rId239"/>
                    <a:srcRect l="12392" t="5086" r="7561" b="6313"/>
                    <a:stretch>
                      <a:fillRect/>
                    </a:stretch>
                  </pic:blipFill>
                  <pic:spPr>
                    <a:xfrm>
                      <a:off x="0" y="0"/>
                      <a:ext cx="5450205" cy="2850515"/>
                    </a:xfrm>
                    <a:prstGeom prst="rect">
                      <a:avLst/>
                    </a:prstGeom>
                    <a:noFill/>
                    <a:ln>
                      <a:noFill/>
                    </a:ln>
                  </pic:spPr>
                </pic:pic>
              </a:graphicData>
            </a:graphic>
          </wp:inline>
        </w:drawing>
      </w:r>
    </w:p>
    <w:p w14:paraId="53E48A7D" w14:textId="77777777" w:rsidR="001C08A5" w:rsidRDefault="00000000">
      <w:pPr>
        <w:jc w:val="center"/>
        <w:rPr>
          <w:i/>
          <w:sz w:val="22"/>
          <w:szCs w:val="22"/>
        </w:rPr>
      </w:pPr>
      <w:r>
        <w:rPr>
          <w:b/>
          <w:bCs/>
          <w:i/>
          <w:sz w:val="22"/>
          <w:szCs w:val="22"/>
        </w:rPr>
        <w:t>Varianta b3) - clădiri cu înălțime diferită cu perete antifoc și fâșie REI60</w:t>
      </w:r>
    </w:p>
    <w:p w14:paraId="01A1C078" w14:textId="77777777" w:rsidR="001C08A5" w:rsidRDefault="00000000">
      <w:pPr>
        <w:jc w:val="center"/>
        <w:rPr>
          <w:b/>
          <w:bCs/>
          <w:i/>
          <w:iCs/>
          <w:sz w:val="24"/>
          <w:szCs w:val="24"/>
        </w:rPr>
      </w:pPr>
      <w:r>
        <w:rPr>
          <w:b/>
          <w:bCs/>
          <w:i/>
          <w:sz w:val="22"/>
          <w:szCs w:val="22"/>
        </w:rPr>
        <w:t>Varianta b) - clădiri cu înălțime diferită</w:t>
      </w:r>
    </w:p>
    <w:p w14:paraId="35617404" w14:textId="77777777" w:rsidR="001C08A5" w:rsidRDefault="00000000">
      <w:pPr>
        <w:pStyle w:val="Caption"/>
        <w:jc w:val="center"/>
        <w:rPr>
          <w:bCs/>
        </w:rPr>
      </w:pPr>
      <w:bookmarkStart w:id="5923" w:name="_Toc162360311"/>
      <w:r>
        <w:t xml:space="preserve">Figura </w:t>
      </w:r>
      <w:r>
        <w:fldChar w:fldCharType="begin"/>
      </w:r>
      <w:r>
        <w:instrText xml:space="preserve"> SEQ Figura \* ARABIC </w:instrText>
      </w:r>
      <w:r>
        <w:fldChar w:fldCharType="separate"/>
      </w:r>
      <w:r>
        <w:t>87</w:t>
      </w:r>
      <w:r>
        <w:fldChar w:fldCharType="end"/>
      </w:r>
      <w:bookmarkStart w:id="5924" w:name="_Toc14630"/>
      <w:bookmarkStart w:id="5925" w:name="_Toc1221"/>
      <w:bookmarkStart w:id="5926" w:name="_Toc21839"/>
      <w:bookmarkStart w:id="5927" w:name="_Toc30436"/>
      <w:bookmarkStart w:id="5928" w:name="_Toc26534"/>
      <w:bookmarkStart w:id="5929" w:name="_Toc10000"/>
      <w:bookmarkStart w:id="5930" w:name="_Toc14929"/>
      <w:bookmarkStart w:id="5931" w:name="_Toc27669"/>
      <w:bookmarkStart w:id="5932" w:name="_Toc12705"/>
      <w:r>
        <w:t xml:space="preserve"> - </w:t>
      </w:r>
      <w:r>
        <w:rPr>
          <w:bCs/>
        </w:rPr>
        <w:t>Pereți antifoc (de separare a compartimentelor de incendiu) - principiu de compartimentare antifoc</w:t>
      </w:r>
      <w:bookmarkEnd w:id="5923"/>
      <w:bookmarkEnd w:id="5924"/>
      <w:bookmarkEnd w:id="5925"/>
      <w:bookmarkEnd w:id="5926"/>
      <w:bookmarkEnd w:id="5927"/>
      <w:bookmarkEnd w:id="5928"/>
      <w:bookmarkEnd w:id="5929"/>
      <w:bookmarkEnd w:id="5930"/>
      <w:bookmarkEnd w:id="5931"/>
      <w:bookmarkEnd w:id="5932"/>
    </w:p>
    <w:p w14:paraId="76AC8EAC" w14:textId="77777777" w:rsidR="001C08A5" w:rsidRDefault="00000000">
      <w:pPr>
        <w:numPr>
          <w:ilvl w:val="0"/>
          <w:numId w:val="96"/>
        </w:numPr>
        <w:tabs>
          <w:tab w:val="left" w:pos="426"/>
          <w:tab w:val="left" w:pos="993"/>
        </w:tabs>
        <w:jc w:val="both"/>
        <w:rPr>
          <w:bCs/>
          <w:i/>
          <w:sz w:val="24"/>
        </w:rPr>
      </w:pPr>
      <w:r>
        <w:rPr>
          <w:bCs/>
          <w:i/>
          <w:sz w:val="24"/>
        </w:rPr>
        <w:t xml:space="preserve">Pereţii care separă compartimentele de incendiu trebuie să aibă rezistenţa la foc determinată în  funcţie de densitatea sarcinii termice conform </w:t>
      </w:r>
      <w:r>
        <w:rPr>
          <w:b/>
          <w:bCs/>
          <w:i/>
          <w:sz w:val="24"/>
        </w:rPr>
        <w:t>Art. 2.3.2.1.2.</w:t>
      </w:r>
      <w:r>
        <w:rPr>
          <w:bCs/>
          <w:i/>
          <w:sz w:val="24"/>
        </w:rPr>
        <w:t xml:space="preserve">, clasa de reactie la foc </w:t>
      </w:r>
      <w:r>
        <w:rPr>
          <w:b/>
          <w:i/>
          <w:sz w:val="24"/>
        </w:rPr>
        <w:t>A1, A2s1d0</w:t>
      </w:r>
      <w:r>
        <w:rPr>
          <w:bCs/>
          <w:i/>
          <w:sz w:val="24"/>
        </w:rPr>
        <w:t>.</w:t>
      </w:r>
    </w:p>
    <w:p w14:paraId="54EA644A" w14:textId="77777777" w:rsidR="001C08A5" w:rsidRDefault="00000000">
      <w:pPr>
        <w:tabs>
          <w:tab w:val="left" w:pos="426"/>
          <w:tab w:val="left" w:pos="993"/>
        </w:tabs>
        <w:jc w:val="both"/>
        <w:rPr>
          <w:bCs/>
          <w:i/>
          <w:sz w:val="24"/>
        </w:rPr>
      </w:pPr>
      <w:r>
        <w:rPr>
          <w:bCs/>
          <w:i/>
          <w:sz w:val="24"/>
        </w:rPr>
        <w:t xml:space="preserve">Pereţii care separă compartimente de incendiu, </w:t>
      </w:r>
      <w:r>
        <w:rPr>
          <w:b/>
          <w:i/>
          <w:sz w:val="24"/>
        </w:rPr>
        <w:t>trebuie să secţioneze construcţia pe toată înălţimea acesteia</w:t>
      </w:r>
      <w:r>
        <w:rPr>
          <w:bCs/>
          <w:i/>
          <w:sz w:val="24"/>
        </w:rPr>
        <w:t>.</w:t>
      </w:r>
    </w:p>
    <w:p w14:paraId="3F166098" w14:textId="77777777" w:rsidR="001C08A5" w:rsidRDefault="00000000">
      <w:pPr>
        <w:pStyle w:val="Heading4"/>
        <w:rPr>
          <w:sz w:val="24"/>
          <w:szCs w:val="24"/>
        </w:rPr>
      </w:pPr>
      <w:bookmarkStart w:id="5933" w:name="_Toc2434"/>
      <w:bookmarkStart w:id="5934" w:name="_Toc13233"/>
      <w:bookmarkStart w:id="5935" w:name="_Toc1316"/>
      <w:bookmarkStart w:id="5936" w:name="_Toc21854"/>
      <w:bookmarkStart w:id="5937" w:name="_Toc25627"/>
      <w:bookmarkStart w:id="5938" w:name="_Toc27695"/>
      <w:bookmarkStart w:id="5939" w:name="_Toc16995"/>
      <w:bookmarkStart w:id="5940" w:name="_Toc8032"/>
      <w:bookmarkStart w:id="5941" w:name="_Toc11725"/>
      <w:bookmarkStart w:id="5942" w:name="_Toc8247"/>
      <w:bookmarkStart w:id="5943" w:name="_Toc21888"/>
      <w:bookmarkStart w:id="5944" w:name="_Toc11726"/>
      <w:bookmarkStart w:id="5945" w:name="_Toc9033"/>
      <w:bookmarkStart w:id="5946" w:name="_Toc20469"/>
      <w:bookmarkStart w:id="5947" w:name="_Toc162355391"/>
      <w:bookmarkStart w:id="5948" w:name="_Toc16661"/>
      <w:bookmarkStart w:id="5949" w:name="_Toc6460"/>
      <w:r>
        <w:rPr>
          <w:sz w:val="24"/>
          <w:szCs w:val="24"/>
        </w:rPr>
        <w:t>Protecția golurilor funcționale prevăzute în pereții antifoc</w:t>
      </w:r>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p>
    <w:p w14:paraId="58848EC5" w14:textId="77777777" w:rsidR="001C08A5" w:rsidRDefault="00000000">
      <w:pPr>
        <w:numPr>
          <w:ilvl w:val="0"/>
          <w:numId w:val="96"/>
        </w:numPr>
        <w:tabs>
          <w:tab w:val="left" w:pos="426"/>
          <w:tab w:val="left" w:pos="993"/>
        </w:tabs>
        <w:jc w:val="both"/>
      </w:pPr>
      <w:r>
        <w:rPr>
          <w:bCs/>
          <w:i/>
          <w:sz w:val="24"/>
        </w:rPr>
        <w:t xml:space="preserve">Ușile prevăzute pentru circulația funcțională sau pentru evacuare în pereţii care separă compartimentele de incendiu din clădiri civile trebuie să aibă rezistenţa la foc conform </w:t>
      </w:r>
      <w:r>
        <w:rPr>
          <w:bCs/>
          <w:i/>
          <w:sz w:val="24"/>
        </w:rPr>
        <w:fldChar w:fldCharType="begin"/>
      </w:r>
      <w:r>
        <w:rPr>
          <w:bCs/>
          <w:i/>
          <w:sz w:val="24"/>
        </w:rPr>
        <w:instrText xml:space="preserve"> REF _Ref8452 \h </w:instrText>
      </w:r>
      <w:r>
        <w:rPr>
          <w:bCs/>
          <w:i/>
          <w:sz w:val="24"/>
        </w:rPr>
      </w:r>
      <w:r>
        <w:rPr>
          <w:bCs/>
          <w:i/>
          <w:sz w:val="24"/>
        </w:rPr>
        <w:fldChar w:fldCharType="separate"/>
      </w:r>
      <w:r>
        <w:t>Tabelul 123</w:t>
      </w:r>
      <w:r>
        <w:rPr>
          <w:bCs/>
          <w:i/>
          <w:sz w:val="24"/>
        </w:rPr>
        <w:fldChar w:fldCharType="end"/>
      </w:r>
      <w:r>
        <w:rPr>
          <w:b/>
          <w:bCs/>
          <w:i/>
          <w:iCs/>
          <w:sz w:val="24"/>
          <w:szCs w:val="24"/>
        </w:rPr>
        <w:fldChar w:fldCharType="begin"/>
      </w:r>
      <w:r>
        <w:rPr>
          <w:b/>
          <w:bCs/>
          <w:i/>
          <w:iCs/>
          <w:sz w:val="24"/>
          <w:szCs w:val="24"/>
        </w:rPr>
        <w:instrText xml:space="preserve"> REF _Ref23450 \h </w:instrText>
      </w:r>
      <w:r>
        <w:rPr>
          <w:b/>
          <w:bCs/>
          <w:i/>
          <w:iCs/>
          <w:sz w:val="24"/>
          <w:szCs w:val="24"/>
        </w:rPr>
      </w:r>
      <w:r>
        <w:rPr>
          <w:b/>
          <w:bCs/>
          <w:i/>
          <w:iCs/>
          <w:sz w:val="24"/>
          <w:szCs w:val="24"/>
        </w:rPr>
        <w:fldChar w:fldCharType="separate"/>
      </w:r>
      <w:r>
        <w:rPr>
          <w:b/>
          <w:bCs/>
          <w:i/>
          <w:iCs/>
          <w:sz w:val="24"/>
          <w:szCs w:val="24"/>
        </w:rPr>
        <w:fldChar w:fldCharType="end"/>
      </w:r>
      <w:r>
        <w:rPr>
          <w:b/>
          <w:bCs/>
          <w:i/>
          <w:iCs/>
          <w:sz w:val="24"/>
          <w:szCs w:val="24"/>
        </w:rPr>
        <w:t>.</w:t>
      </w:r>
      <w:r>
        <w:rPr>
          <w:bCs/>
          <w:i/>
          <w:sz w:val="24"/>
        </w:rPr>
        <w:t xml:space="preserve"> </w:t>
      </w:r>
      <w:bookmarkStart w:id="5950" w:name="_Ref23450"/>
      <w:bookmarkStart w:id="5951" w:name="_Ref23267"/>
    </w:p>
    <w:p w14:paraId="7065F674" w14:textId="77777777" w:rsidR="001C08A5" w:rsidRDefault="00000000">
      <w:pPr>
        <w:pStyle w:val="Caption"/>
        <w:rPr>
          <w:rFonts w:cs="Times New Roman"/>
          <w:iCs w:val="0"/>
        </w:rPr>
      </w:pPr>
      <w:bookmarkStart w:id="5952" w:name="_Ref8452"/>
      <w:bookmarkStart w:id="5953" w:name="_Ref29224"/>
      <w:bookmarkStart w:id="5954" w:name="_Toc162360173"/>
      <w:r>
        <w:t xml:space="preserve">Tabelul </w:t>
      </w:r>
      <w:r>
        <w:fldChar w:fldCharType="begin"/>
      </w:r>
      <w:r>
        <w:instrText xml:space="preserve"> SEQ Tabelul \* ARABIC </w:instrText>
      </w:r>
      <w:r>
        <w:fldChar w:fldCharType="separate"/>
      </w:r>
      <w:r>
        <w:t>123</w:t>
      </w:r>
      <w:r>
        <w:fldChar w:fldCharType="end"/>
      </w:r>
      <w:bookmarkStart w:id="5955" w:name="_Toc26346"/>
      <w:bookmarkStart w:id="5956" w:name="_Toc24257"/>
      <w:bookmarkStart w:id="5957" w:name="_Toc9729"/>
      <w:bookmarkStart w:id="5958" w:name="_Toc15617"/>
      <w:bookmarkStart w:id="5959" w:name="_Toc2633"/>
      <w:bookmarkStart w:id="5960" w:name="_Toc20828"/>
      <w:bookmarkStart w:id="5961" w:name="_Toc2959"/>
      <w:bookmarkStart w:id="5962" w:name="_Toc22562"/>
      <w:bookmarkStart w:id="5963" w:name="_Toc10294"/>
      <w:bookmarkStart w:id="5964" w:name="_Toc2188"/>
      <w:bookmarkStart w:id="5965" w:name="_Toc28648"/>
      <w:bookmarkStart w:id="5966" w:name="_Toc31368"/>
      <w:bookmarkEnd w:id="5950"/>
      <w:bookmarkEnd w:id="5952"/>
      <w:r>
        <w:t xml:space="preserve">: </w:t>
      </w:r>
      <w:r>
        <w:rPr>
          <w:rFonts w:cs="Times New Roman"/>
          <w:iCs w:val="0"/>
        </w:rPr>
        <w:t>Uși pentru circulaţie funcţională şi/ sau evacuare practicate în pereţii antifoc din clădiri civile</w:t>
      </w:r>
      <w:bookmarkEnd w:id="5951"/>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p>
    <w:p w14:paraId="12ACA6A5" w14:textId="77777777" w:rsidR="001C08A5" w:rsidRDefault="001C08A5">
      <w:pPr>
        <w:pStyle w:val="BodyText"/>
      </w:pPr>
    </w:p>
    <w:p w14:paraId="0481CE01" w14:textId="77777777" w:rsidR="001C08A5" w:rsidRDefault="001C08A5">
      <w:pPr>
        <w:pStyle w:val="BodyText"/>
      </w:pPr>
    </w:p>
    <w:p w14:paraId="02C8A979" w14:textId="77777777" w:rsidR="001C08A5" w:rsidRDefault="001C08A5">
      <w:pPr>
        <w:pStyle w:val="BodyText"/>
      </w:pPr>
    </w:p>
    <w:tbl>
      <w:tblPr>
        <w:tblW w:w="49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1"/>
        <w:gridCol w:w="1783"/>
        <w:gridCol w:w="1507"/>
        <w:gridCol w:w="1737"/>
        <w:gridCol w:w="1665"/>
      </w:tblGrid>
      <w:tr w:rsidR="001C08A5" w14:paraId="222B1925" w14:textId="77777777">
        <w:tc>
          <w:tcPr>
            <w:tcW w:w="1481" w:type="pct"/>
            <w:vMerge w:val="restart"/>
            <w:shd w:val="clear" w:color="auto" w:fill="BFBFBF"/>
          </w:tcPr>
          <w:p w14:paraId="671A47C5" w14:textId="77777777" w:rsidR="001C08A5" w:rsidRDefault="00000000">
            <w:pPr>
              <w:jc w:val="center"/>
              <w:rPr>
                <w:b/>
                <w:bCs/>
                <w:i/>
                <w:iCs/>
              </w:rPr>
            </w:pPr>
            <w:r>
              <w:rPr>
                <w:b/>
                <w:bCs/>
                <w:i/>
                <w:iCs/>
                <w:sz w:val="22"/>
                <w:szCs w:val="22"/>
              </w:rPr>
              <w:t>În cazul pereţilor antifoc  care separă compartimentele de incendiu din construcții civile (conform Art. 2.3.2.1.2.)</w:t>
            </w:r>
          </w:p>
        </w:tc>
        <w:tc>
          <w:tcPr>
            <w:tcW w:w="937" w:type="pct"/>
            <w:vMerge w:val="restart"/>
            <w:shd w:val="clear" w:color="auto" w:fill="BFBFBF"/>
          </w:tcPr>
          <w:p w14:paraId="76402EFA" w14:textId="77777777" w:rsidR="001C08A5" w:rsidRDefault="00000000">
            <w:pPr>
              <w:jc w:val="center"/>
              <w:rPr>
                <w:i/>
                <w:iCs/>
              </w:rPr>
            </w:pPr>
            <w:r>
              <w:rPr>
                <w:b/>
                <w:bCs/>
                <w:i/>
                <w:iCs/>
                <w:sz w:val="22"/>
                <w:szCs w:val="22"/>
              </w:rPr>
              <w:t>Rezistența la foc a pereţilor antifoc  care separă compartimentele de incendiu</w:t>
            </w:r>
          </w:p>
        </w:tc>
        <w:tc>
          <w:tcPr>
            <w:tcW w:w="792" w:type="pct"/>
            <w:vMerge w:val="restart"/>
            <w:shd w:val="clear" w:color="auto" w:fill="BFBFBF"/>
          </w:tcPr>
          <w:p w14:paraId="17571892" w14:textId="77777777" w:rsidR="001C08A5" w:rsidRDefault="00000000">
            <w:pPr>
              <w:jc w:val="both"/>
              <w:rPr>
                <w:b/>
                <w:bCs/>
                <w:i/>
                <w:iCs/>
                <w:sz w:val="22"/>
                <w:szCs w:val="22"/>
              </w:rPr>
            </w:pPr>
            <w:r>
              <w:rPr>
                <w:b/>
                <w:i/>
                <w:iCs/>
                <w:sz w:val="22"/>
                <w:szCs w:val="22"/>
              </w:rPr>
              <w:t>Uși rezistente la foc (care NU constituie căi de evacuare catre alt compartiment de incendiu)</w:t>
            </w:r>
          </w:p>
          <w:p w14:paraId="03565450" w14:textId="77777777" w:rsidR="001C08A5" w:rsidRDefault="001C08A5">
            <w:pPr>
              <w:jc w:val="center"/>
              <w:rPr>
                <w:i/>
                <w:iCs/>
              </w:rPr>
            </w:pPr>
          </w:p>
        </w:tc>
        <w:tc>
          <w:tcPr>
            <w:tcW w:w="1788" w:type="pct"/>
            <w:gridSpan w:val="2"/>
            <w:shd w:val="clear" w:color="auto" w:fill="BFBFBF"/>
          </w:tcPr>
          <w:p w14:paraId="21ED282D" w14:textId="77777777" w:rsidR="001C08A5" w:rsidRDefault="00000000">
            <w:pPr>
              <w:jc w:val="both"/>
              <w:rPr>
                <w:i/>
                <w:iCs/>
              </w:rPr>
            </w:pPr>
            <w:r>
              <w:rPr>
                <w:b/>
                <w:i/>
                <w:iCs/>
                <w:sz w:val="22"/>
                <w:szCs w:val="22"/>
              </w:rPr>
              <w:t>Elemente rezistente la foc (prin uși care constituie căi de evacuare catre alt compartiment de incendiu)</w:t>
            </w:r>
          </w:p>
        </w:tc>
      </w:tr>
      <w:tr w:rsidR="001C08A5" w14:paraId="300E7232" w14:textId="77777777">
        <w:tc>
          <w:tcPr>
            <w:tcW w:w="1481" w:type="pct"/>
            <w:vMerge/>
            <w:shd w:val="clear" w:color="auto" w:fill="BFBFBF"/>
          </w:tcPr>
          <w:p w14:paraId="6A706F44" w14:textId="77777777" w:rsidR="001C08A5" w:rsidRDefault="001C08A5">
            <w:pPr>
              <w:jc w:val="center"/>
              <w:rPr>
                <w:b/>
                <w:bCs/>
                <w:i/>
                <w:iCs/>
                <w:sz w:val="22"/>
                <w:szCs w:val="22"/>
              </w:rPr>
            </w:pPr>
          </w:p>
        </w:tc>
        <w:tc>
          <w:tcPr>
            <w:tcW w:w="937" w:type="pct"/>
            <w:vMerge/>
            <w:shd w:val="clear" w:color="auto" w:fill="BFBFBF"/>
          </w:tcPr>
          <w:p w14:paraId="766960D6" w14:textId="77777777" w:rsidR="001C08A5" w:rsidRDefault="001C08A5">
            <w:pPr>
              <w:jc w:val="center"/>
              <w:rPr>
                <w:b/>
                <w:bCs/>
                <w:i/>
                <w:iCs/>
                <w:sz w:val="22"/>
                <w:szCs w:val="22"/>
              </w:rPr>
            </w:pPr>
          </w:p>
        </w:tc>
        <w:tc>
          <w:tcPr>
            <w:tcW w:w="792" w:type="pct"/>
            <w:vMerge/>
            <w:shd w:val="clear" w:color="auto" w:fill="BFBFBF"/>
          </w:tcPr>
          <w:p w14:paraId="43B4E97A" w14:textId="77777777" w:rsidR="001C08A5" w:rsidRDefault="001C08A5">
            <w:pPr>
              <w:jc w:val="center"/>
              <w:rPr>
                <w:i/>
                <w:iCs/>
              </w:rPr>
            </w:pPr>
          </w:p>
        </w:tc>
        <w:tc>
          <w:tcPr>
            <w:tcW w:w="913" w:type="pct"/>
            <w:shd w:val="clear" w:color="auto" w:fill="BFBFBF"/>
          </w:tcPr>
          <w:p w14:paraId="0E6DD15A" w14:textId="77777777" w:rsidR="001C08A5" w:rsidRDefault="00000000">
            <w:pPr>
              <w:jc w:val="center"/>
              <w:rPr>
                <w:i/>
                <w:iCs/>
              </w:rPr>
            </w:pPr>
            <w:r>
              <w:rPr>
                <w:b/>
                <w:bCs/>
                <w:i/>
                <w:iCs/>
              </w:rPr>
              <w:t xml:space="preserve">Rezistenţa la foc (EI/REI) minimă a pereţilor încăperii tampon </w:t>
            </w:r>
            <w:r>
              <w:rPr>
                <w:i/>
                <w:iCs/>
              </w:rPr>
              <w:t>(minute),</w:t>
            </w:r>
            <w:r>
              <w:rPr>
                <w:b/>
                <w:bCs/>
                <w:i/>
                <w:iCs/>
              </w:rPr>
              <w:t xml:space="preserve"> cu excepția peretelui  care separă compartimentele de incendiu </w:t>
            </w:r>
          </w:p>
        </w:tc>
        <w:tc>
          <w:tcPr>
            <w:tcW w:w="874" w:type="pct"/>
            <w:shd w:val="clear" w:color="auto" w:fill="BFBFBF"/>
          </w:tcPr>
          <w:p w14:paraId="26052FFB" w14:textId="77777777" w:rsidR="001C08A5" w:rsidRDefault="00000000">
            <w:pPr>
              <w:jc w:val="center"/>
              <w:rPr>
                <w:i/>
                <w:iCs/>
              </w:rPr>
            </w:pPr>
            <w:r>
              <w:rPr>
                <w:b/>
                <w:i/>
                <w:iCs/>
              </w:rPr>
              <w:t>Uși rezistente la foc practicate în pereții antifoc (care constituie căi de evacuare catre alt compartiment de incendiu)</w:t>
            </w:r>
          </w:p>
        </w:tc>
      </w:tr>
      <w:tr w:rsidR="001C08A5" w14:paraId="46BAB1B7" w14:textId="77777777">
        <w:tc>
          <w:tcPr>
            <w:tcW w:w="1481" w:type="pct"/>
            <w:vMerge w:val="restart"/>
            <w:shd w:val="clear" w:color="auto" w:fill="auto"/>
          </w:tcPr>
          <w:p w14:paraId="353FC2FA" w14:textId="77777777" w:rsidR="001C08A5" w:rsidRDefault="00000000">
            <w:pPr>
              <w:jc w:val="both"/>
              <w:rPr>
                <w:b/>
                <w:bCs/>
                <w:i/>
                <w:iCs/>
                <w:sz w:val="22"/>
                <w:szCs w:val="22"/>
              </w:rPr>
            </w:pPr>
            <w:r>
              <w:rPr>
                <w:i/>
                <w:iCs/>
                <w:sz w:val="22"/>
                <w:szCs w:val="22"/>
              </w:rPr>
              <w:t xml:space="preserve">a) pentru construcțiile cu regim de înălțime parter, cu excepția clădirilor destinate persoanelor care nu se pot evacua singure și a clădirilor cu săli aglomerate determinată în funcţie de densitatea sarcinii termice, </w:t>
            </w:r>
            <w:r>
              <w:rPr>
                <w:i/>
                <w:iCs/>
                <w:sz w:val="22"/>
                <w:szCs w:val="22"/>
              </w:rPr>
              <w:lastRenderedPageBreak/>
              <w:t xml:space="preserve">conform </w:t>
            </w:r>
            <w:r>
              <w:rPr>
                <w:i/>
                <w:iCs/>
                <w:sz w:val="22"/>
                <w:szCs w:val="22"/>
              </w:rPr>
              <w:fldChar w:fldCharType="begin"/>
            </w:r>
            <w:r>
              <w:rPr>
                <w:i/>
                <w:iCs/>
                <w:sz w:val="22"/>
                <w:szCs w:val="22"/>
              </w:rPr>
              <w:instrText xml:space="preserve"> REF _Toc19468 \h </w:instrText>
            </w:r>
            <w:r>
              <w:rPr>
                <w:i/>
                <w:iCs/>
                <w:sz w:val="22"/>
                <w:szCs w:val="22"/>
              </w:rPr>
            </w:r>
            <w:r>
              <w:rPr>
                <w:i/>
                <w:iCs/>
                <w:sz w:val="22"/>
                <w:szCs w:val="22"/>
              </w:rPr>
              <w:fldChar w:fldCharType="separate"/>
            </w:r>
            <w:r>
              <w:t>Tabelul 6: Rezistenţe la foc normate ale pereţilor care separă compartimentele de incendiu (EI-M/REI) pentru construcțiile cu regim de înălțime parter, cu excepția clădirilor cu persoane care nu se pot evacua singure și a clădirilor cu săli aglomerate, corespunzătoare densităţilor sarcinilor termice (q) din spaţiile adiacente şi/sau densităţilor sarcinilor termice (q) cele mai mari din spaţiile pe care le despart</w:t>
            </w:r>
            <w:r>
              <w:rPr>
                <w:i/>
                <w:iCs/>
                <w:sz w:val="22"/>
                <w:szCs w:val="22"/>
              </w:rPr>
              <w:fldChar w:fldCharType="end"/>
            </w:r>
          </w:p>
        </w:tc>
        <w:tc>
          <w:tcPr>
            <w:tcW w:w="937" w:type="pct"/>
            <w:shd w:val="clear" w:color="auto" w:fill="auto"/>
            <w:vAlign w:val="center"/>
          </w:tcPr>
          <w:p w14:paraId="6A27D05A" w14:textId="77777777" w:rsidR="001C08A5" w:rsidRDefault="00000000">
            <w:pPr>
              <w:pStyle w:val="Contenutotabellacentrato"/>
              <w:rPr>
                <w:b/>
                <w:bCs/>
                <w:i/>
                <w:iCs/>
                <w:sz w:val="22"/>
                <w:szCs w:val="22"/>
              </w:rPr>
            </w:pPr>
            <w:r>
              <w:rPr>
                <w:b/>
                <w:bCs/>
                <w:i/>
                <w:iCs/>
                <w:sz w:val="22"/>
                <w:szCs w:val="22"/>
              </w:rPr>
              <w:lastRenderedPageBreak/>
              <w:t>EI-M</w:t>
            </w:r>
            <w:r>
              <w:rPr>
                <w:rFonts w:hint="eastAsia"/>
                <w:b/>
                <w:bCs/>
                <w:i/>
                <w:iCs/>
                <w:sz w:val="22"/>
                <w:szCs w:val="22"/>
              </w:rPr>
              <w:t xml:space="preserve"> 60/REI 60 (q </w:t>
            </w:r>
            <w:r>
              <w:rPr>
                <w:rFonts w:hint="eastAsia"/>
                <w:b/>
                <w:bCs/>
                <w:i/>
                <w:iCs/>
                <w:sz w:val="22"/>
                <w:szCs w:val="22"/>
              </w:rPr>
              <w:t>≤</w:t>
            </w:r>
            <w:r>
              <w:rPr>
                <w:rFonts w:hint="eastAsia"/>
                <w:b/>
                <w:bCs/>
                <w:i/>
                <w:iCs/>
                <w:sz w:val="22"/>
                <w:szCs w:val="22"/>
              </w:rPr>
              <w:t xml:space="preserve"> 420 MJ/m</w:t>
            </w:r>
            <w:r>
              <w:rPr>
                <w:b/>
                <w:bCs/>
                <w:i/>
                <w:iCs/>
                <w:sz w:val="22"/>
                <w:szCs w:val="22"/>
                <w:vertAlign w:val="superscript"/>
              </w:rPr>
              <w:t>2</w:t>
            </w:r>
            <w:r>
              <w:rPr>
                <w:b/>
                <w:bCs/>
                <w:i/>
                <w:iCs/>
                <w:sz w:val="22"/>
                <w:szCs w:val="22"/>
              </w:rPr>
              <w:t>)</w:t>
            </w:r>
          </w:p>
        </w:tc>
        <w:tc>
          <w:tcPr>
            <w:tcW w:w="792" w:type="pct"/>
            <w:shd w:val="clear" w:color="auto" w:fill="auto"/>
            <w:vAlign w:val="center"/>
          </w:tcPr>
          <w:p w14:paraId="1470FD3E" w14:textId="77777777" w:rsidR="001C08A5" w:rsidRDefault="00000000">
            <w:pPr>
              <w:pStyle w:val="Contenutotabellacentrato"/>
              <w:rPr>
                <w:i/>
                <w:iCs/>
              </w:rPr>
            </w:pPr>
            <w:r>
              <w:rPr>
                <w:b/>
                <w:bCs/>
                <w:i/>
                <w:iCs/>
                <w:sz w:val="22"/>
                <w:szCs w:val="22"/>
              </w:rPr>
              <w:t>EI</w:t>
            </w:r>
            <w:r>
              <w:rPr>
                <w:b/>
                <w:bCs/>
                <w:i/>
                <w:iCs/>
                <w:sz w:val="22"/>
                <w:szCs w:val="22"/>
                <w:vertAlign w:val="subscript"/>
              </w:rPr>
              <w:t>2</w:t>
            </w:r>
            <w:r>
              <w:rPr>
                <w:b/>
                <w:bCs/>
                <w:i/>
                <w:iCs/>
                <w:sz w:val="22"/>
                <w:szCs w:val="22"/>
              </w:rPr>
              <w:t xml:space="preserve"> 60-C5S</w:t>
            </w:r>
            <w:r>
              <w:rPr>
                <w:b/>
                <w:bCs/>
                <w:i/>
                <w:iCs/>
                <w:sz w:val="22"/>
                <w:szCs w:val="22"/>
                <w:vertAlign w:val="subscript"/>
              </w:rPr>
              <w:t>200</w:t>
            </w:r>
          </w:p>
        </w:tc>
        <w:tc>
          <w:tcPr>
            <w:tcW w:w="913" w:type="pct"/>
            <w:shd w:val="clear" w:color="auto" w:fill="auto"/>
            <w:vAlign w:val="center"/>
          </w:tcPr>
          <w:p w14:paraId="4DAFE041" w14:textId="77777777" w:rsidR="001C08A5" w:rsidRDefault="00000000">
            <w:pPr>
              <w:pStyle w:val="Contenutotabellacentrato"/>
              <w:rPr>
                <w:i/>
                <w:iCs/>
              </w:rPr>
            </w:pPr>
            <w:r>
              <w:rPr>
                <w:b/>
                <w:bCs/>
                <w:i/>
                <w:iCs/>
                <w:sz w:val="22"/>
                <w:szCs w:val="22"/>
              </w:rPr>
              <w:t xml:space="preserve">EI 60/REI 60 </w:t>
            </w:r>
          </w:p>
        </w:tc>
        <w:tc>
          <w:tcPr>
            <w:tcW w:w="874" w:type="pct"/>
            <w:shd w:val="clear" w:color="auto" w:fill="auto"/>
            <w:vAlign w:val="center"/>
          </w:tcPr>
          <w:p w14:paraId="6F3B084F"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r w:rsidR="001C08A5" w14:paraId="79C460E7" w14:textId="77777777">
        <w:tc>
          <w:tcPr>
            <w:tcW w:w="1481" w:type="pct"/>
            <w:vMerge/>
            <w:shd w:val="clear" w:color="auto" w:fill="auto"/>
          </w:tcPr>
          <w:p w14:paraId="03408C6E" w14:textId="77777777" w:rsidR="001C08A5" w:rsidRDefault="001C08A5">
            <w:pPr>
              <w:jc w:val="both"/>
              <w:rPr>
                <w:i/>
                <w:iCs/>
                <w:sz w:val="22"/>
                <w:szCs w:val="22"/>
              </w:rPr>
            </w:pPr>
          </w:p>
        </w:tc>
        <w:tc>
          <w:tcPr>
            <w:tcW w:w="937" w:type="pct"/>
            <w:shd w:val="clear" w:color="auto" w:fill="auto"/>
            <w:vAlign w:val="center"/>
          </w:tcPr>
          <w:p w14:paraId="5E580E5B" w14:textId="77777777" w:rsidR="001C08A5" w:rsidRDefault="00000000">
            <w:pPr>
              <w:pStyle w:val="Contenutotabellacentrato"/>
              <w:rPr>
                <w:b/>
                <w:bCs/>
                <w:i/>
                <w:iCs/>
                <w:sz w:val="22"/>
                <w:szCs w:val="22"/>
              </w:rPr>
            </w:pPr>
            <w:r>
              <w:rPr>
                <w:b/>
                <w:bCs/>
                <w:i/>
                <w:iCs/>
                <w:sz w:val="22"/>
                <w:szCs w:val="22"/>
              </w:rPr>
              <w:t>EI-M 90/REI 90 (420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630 MJ/m</w:t>
            </w:r>
            <w:r>
              <w:rPr>
                <w:b/>
                <w:bCs/>
                <w:i/>
                <w:iCs/>
                <w:sz w:val="22"/>
                <w:szCs w:val="22"/>
                <w:vertAlign w:val="superscript"/>
              </w:rPr>
              <w:t>2</w:t>
            </w:r>
            <w:r>
              <w:rPr>
                <w:b/>
                <w:bCs/>
                <w:i/>
                <w:iCs/>
                <w:sz w:val="22"/>
                <w:szCs w:val="22"/>
              </w:rPr>
              <w:t>)</w:t>
            </w:r>
          </w:p>
        </w:tc>
        <w:tc>
          <w:tcPr>
            <w:tcW w:w="792" w:type="pct"/>
            <w:shd w:val="clear" w:color="auto" w:fill="auto"/>
            <w:vAlign w:val="center"/>
          </w:tcPr>
          <w:p w14:paraId="732BB451" w14:textId="77777777" w:rsidR="001C08A5" w:rsidRDefault="00000000">
            <w:pPr>
              <w:pStyle w:val="Contenutotabellacentrato"/>
              <w:rPr>
                <w:b/>
                <w:bCs/>
                <w:i/>
                <w:iCs/>
                <w:sz w:val="22"/>
                <w:szCs w:val="22"/>
              </w:rPr>
            </w:pPr>
            <w:r>
              <w:rPr>
                <w:b/>
                <w:bCs/>
                <w:i/>
                <w:iCs/>
                <w:sz w:val="22"/>
                <w:szCs w:val="22"/>
              </w:rPr>
              <w:t>EI</w:t>
            </w:r>
            <w:r>
              <w:rPr>
                <w:b/>
                <w:bCs/>
                <w:i/>
                <w:iCs/>
                <w:sz w:val="22"/>
                <w:szCs w:val="22"/>
                <w:vertAlign w:val="subscript"/>
              </w:rPr>
              <w:t>2</w:t>
            </w:r>
            <w:r>
              <w:rPr>
                <w:b/>
                <w:bCs/>
                <w:i/>
                <w:iCs/>
                <w:sz w:val="22"/>
                <w:szCs w:val="22"/>
              </w:rPr>
              <w:t xml:space="preserve"> 60-C5S</w:t>
            </w:r>
            <w:r>
              <w:rPr>
                <w:b/>
                <w:bCs/>
                <w:i/>
                <w:iCs/>
                <w:sz w:val="22"/>
                <w:szCs w:val="22"/>
                <w:vertAlign w:val="subscript"/>
              </w:rPr>
              <w:t>200</w:t>
            </w:r>
          </w:p>
        </w:tc>
        <w:tc>
          <w:tcPr>
            <w:tcW w:w="913" w:type="pct"/>
            <w:shd w:val="clear" w:color="auto" w:fill="auto"/>
            <w:vAlign w:val="center"/>
          </w:tcPr>
          <w:p w14:paraId="6EB1708C" w14:textId="77777777" w:rsidR="001C08A5" w:rsidRDefault="00000000">
            <w:pPr>
              <w:pStyle w:val="Contenutotabellacentrato"/>
              <w:rPr>
                <w:b/>
                <w:bCs/>
                <w:i/>
                <w:iCs/>
                <w:sz w:val="22"/>
                <w:szCs w:val="22"/>
              </w:rPr>
            </w:pPr>
            <w:r>
              <w:rPr>
                <w:b/>
                <w:bCs/>
                <w:i/>
                <w:iCs/>
                <w:sz w:val="22"/>
                <w:szCs w:val="22"/>
              </w:rPr>
              <w:t xml:space="preserve">EI 60/REI 60 </w:t>
            </w:r>
          </w:p>
        </w:tc>
        <w:tc>
          <w:tcPr>
            <w:tcW w:w="874" w:type="pct"/>
            <w:shd w:val="clear" w:color="auto" w:fill="auto"/>
            <w:vAlign w:val="center"/>
          </w:tcPr>
          <w:p w14:paraId="2837A512"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r w:rsidR="001C08A5" w14:paraId="0307DAF8" w14:textId="77777777">
        <w:tc>
          <w:tcPr>
            <w:tcW w:w="1481" w:type="pct"/>
            <w:vMerge/>
            <w:shd w:val="clear" w:color="auto" w:fill="auto"/>
          </w:tcPr>
          <w:p w14:paraId="7DC6750D" w14:textId="77777777" w:rsidR="001C08A5" w:rsidRDefault="001C08A5">
            <w:pPr>
              <w:jc w:val="both"/>
              <w:rPr>
                <w:i/>
                <w:iCs/>
                <w:sz w:val="22"/>
                <w:szCs w:val="22"/>
              </w:rPr>
            </w:pPr>
          </w:p>
        </w:tc>
        <w:tc>
          <w:tcPr>
            <w:tcW w:w="937" w:type="pct"/>
            <w:shd w:val="clear" w:color="auto" w:fill="auto"/>
            <w:vAlign w:val="center"/>
          </w:tcPr>
          <w:p w14:paraId="41856CBB" w14:textId="77777777" w:rsidR="001C08A5" w:rsidRDefault="00000000">
            <w:pPr>
              <w:pStyle w:val="Contenutotabellacentrato"/>
              <w:rPr>
                <w:b/>
                <w:bCs/>
                <w:i/>
                <w:iCs/>
                <w:sz w:val="22"/>
                <w:szCs w:val="22"/>
              </w:rPr>
            </w:pPr>
            <w:r>
              <w:rPr>
                <w:b/>
                <w:bCs/>
                <w:i/>
                <w:iCs/>
                <w:sz w:val="22"/>
                <w:szCs w:val="22"/>
              </w:rPr>
              <w:t>EI-M 120/REI 120 (630 MJ/m</w:t>
            </w:r>
            <w:r>
              <w:rPr>
                <w:b/>
                <w:bCs/>
                <w:i/>
                <w:iCs/>
                <w:sz w:val="22"/>
                <w:szCs w:val="22"/>
                <w:vertAlign w:val="superscript"/>
              </w:rPr>
              <w:t xml:space="preserve">2 </w:t>
            </w:r>
            <w:r>
              <w:rPr>
                <w:b/>
                <w:bCs/>
                <w:i/>
                <w:iCs/>
                <w:sz w:val="22"/>
                <w:szCs w:val="22"/>
              </w:rPr>
              <w:lastRenderedPageBreak/>
              <w:t xml:space="preserve">&lt;q </w:t>
            </w:r>
            <w:r>
              <w:rPr>
                <w:rFonts w:hint="eastAsia"/>
                <w:b/>
                <w:bCs/>
                <w:i/>
                <w:iCs/>
                <w:sz w:val="22"/>
                <w:szCs w:val="22"/>
              </w:rPr>
              <w:t>≤</w:t>
            </w:r>
            <w:r>
              <w:rPr>
                <w:b/>
                <w:bCs/>
                <w:i/>
                <w:iCs/>
                <w:sz w:val="22"/>
                <w:szCs w:val="22"/>
              </w:rPr>
              <w:t xml:space="preserve"> 840 MJ/m</w:t>
            </w:r>
            <w:r>
              <w:rPr>
                <w:b/>
                <w:bCs/>
                <w:i/>
                <w:iCs/>
                <w:sz w:val="22"/>
                <w:szCs w:val="22"/>
                <w:vertAlign w:val="superscript"/>
              </w:rPr>
              <w:t>2</w:t>
            </w:r>
            <w:r>
              <w:rPr>
                <w:b/>
                <w:bCs/>
                <w:i/>
                <w:iCs/>
                <w:sz w:val="22"/>
                <w:szCs w:val="22"/>
              </w:rPr>
              <w:t>)</w:t>
            </w:r>
          </w:p>
        </w:tc>
        <w:tc>
          <w:tcPr>
            <w:tcW w:w="792" w:type="pct"/>
            <w:shd w:val="clear" w:color="auto" w:fill="auto"/>
            <w:vAlign w:val="center"/>
          </w:tcPr>
          <w:p w14:paraId="36A92943" w14:textId="77777777" w:rsidR="001C08A5" w:rsidRDefault="00000000">
            <w:pPr>
              <w:pStyle w:val="Contenutotabellacentrato"/>
              <w:rPr>
                <w:b/>
                <w:bCs/>
                <w:i/>
                <w:iCs/>
                <w:sz w:val="22"/>
                <w:szCs w:val="22"/>
              </w:rPr>
            </w:pPr>
            <w:r>
              <w:rPr>
                <w:b/>
                <w:bCs/>
                <w:i/>
                <w:iCs/>
                <w:sz w:val="22"/>
                <w:szCs w:val="22"/>
              </w:rPr>
              <w:lastRenderedPageBreak/>
              <w:t>EI</w:t>
            </w:r>
            <w:r>
              <w:rPr>
                <w:b/>
                <w:bCs/>
                <w:i/>
                <w:iCs/>
                <w:sz w:val="22"/>
                <w:szCs w:val="22"/>
                <w:vertAlign w:val="subscript"/>
              </w:rPr>
              <w:t>2</w:t>
            </w:r>
            <w:r>
              <w:rPr>
                <w:b/>
                <w:bCs/>
                <w:i/>
                <w:iCs/>
                <w:sz w:val="22"/>
                <w:szCs w:val="22"/>
              </w:rPr>
              <w:t xml:space="preserve"> 60-C5S</w:t>
            </w:r>
            <w:r>
              <w:rPr>
                <w:b/>
                <w:bCs/>
                <w:i/>
                <w:iCs/>
                <w:sz w:val="22"/>
                <w:szCs w:val="22"/>
                <w:vertAlign w:val="subscript"/>
              </w:rPr>
              <w:t>200</w:t>
            </w:r>
          </w:p>
        </w:tc>
        <w:tc>
          <w:tcPr>
            <w:tcW w:w="913" w:type="pct"/>
            <w:shd w:val="clear" w:color="auto" w:fill="auto"/>
            <w:vAlign w:val="center"/>
          </w:tcPr>
          <w:p w14:paraId="12A0B553" w14:textId="77777777" w:rsidR="001C08A5" w:rsidRDefault="00000000">
            <w:pPr>
              <w:pStyle w:val="Contenutotabellacentrato"/>
              <w:rPr>
                <w:b/>
                <w:bCs/>
                <w:i/>
                <w:iCs/>
                <w:sz w:val="22"/>
                <w:szCs w:val="22"/>
              </w:rPr>
            </w:pPr>
            <w:r>
              <w:rPr>
                <w:b/>
                <w:bCs/>
                <w:i/>
                <w:iCs/>
                <w:sz w:val="22"/>
                <w:szCs w:val="22"/>
              </w:rPr>
              <w:t>EI 60/REI 60</w:t>
            </w:r>
          </w:p>
        </w:tc>
        <w:tc>
          <w:tcPr>
            <w:tcW w:w="874" w:type="pct"/>
            <w:shd w:val="clear" w:color="auto" w:fill="auto"/>
            <w:vAlign w:val="center"/>
          </w:tcPr>
          <w:p w14:paraId="3A58FDA8"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r w:rsidR="001C08A5" w14:paraId="0E40682F" w14:textId="77777777">
        <w:tc>
          <w:tcPr>
            <w:tcW w:w="1481" w:type="pct"/>
            <w:vMerge/>
            <w:shd w:val="clear" w:color="auto" w:fill="auto"/>
          </w:tcPr>
          <w:p w14:paraId="5F6813C4" w14:textId="77777777" w:rsidR="001C08A5" w:rsidRDefault="001C08A5">
            <w:pPr>
              <w:jc w:val="both"/>
              <w:rPr>
                <w:i/>
                <w:iCs/>
                <w:sz w:val="22"/>
                <w:szCs w:val="22"/>
              </w:rPr>
            </w:pPr>
          </w:p>
        </w:tc>
        <w:tc>
          <w:tcPr>
            <w:tcW w:w="937" w:type="pct"/>
            <w:shd w:val="clear" w:color="auto" w:fill="auto"/>
            <w:vAlign w:val="center"/>
          </w:tcPr>
          <w:p w14:paraId="36CB1E79" w14:textId="77777777" w:rsidR="001C08A5" w:rsidRDefault="00000000">
            <w:pPr>
              <w:pStyle w:val="Contenutotabellacentrato"/>
              <w:rPr>
                <w:b/>
                <w:bCs/>
                <w:i/>
                <w:iCs/>
                <w:sz w:val="22"/>
                <w:szCs w:val="22"/>
              </w:rPr>
            </w:pPr>
            <w:r>
              <w:rPr>
                <w:b/>
                <w:bCs/>
                <w:i/>
                <w:iCs/>
                <w:sz w:val="22"/>
                <w:szCs w:val="22"/>
              </w:rPr>
              <w:t>EI-M 180/REI 180 (840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1 680 MJ/m</w:t>
            </w:r>
            <w:r>
              <w:rPr>
                <w:b/>
                <w:bCs/>
                <w:i/>
                <w:iCs/>
                <w:sz w:val="22"/>
                <w:szCs w:val="22"/>
                <w:vertAlign w:val="superscript"/>
              </w:rPr>
              <w:t>2</w:t>
            </w:r>
            <w:r>
              <w:rPr>
                <w:b/>
                <w:bCs/>
                <w:i/>
                <w:iCs/>
                <w:sz w:val="22"/>
                <w:szCs w:val="22"/>
              </w:rPr>
              <w:t>)</w:t>
            </w:r>
          </w:p>
        </w:tc>
        <w:tc>
          <w:tcPr>
            <w:tcW w:w="792" w:type="pct"/>
            <w:shd w:val="clear" w:color="auto" w:fill="auto"/>
            <w:vAlign w:val="center"/>
          </w:tcPr>
          <w:p w14:paraId="295CD163" w14:textId="77777777" w:rsidR="001C08A5" w:rsidRDefault="00000000">
            <w:pPr>
              <w:pStyle w:val="Contenutotabellacentrato"/>
              <w:rPr>
                <w:b/>
                <w:bCs/>
                <w:i/>
                <w:iCs/>
                <w:sz w:val="22"/>
                <w:szCs w:val="22"/>
              </w:rPr>
            </w:pPr>
            <w:r>
              <w:rPr>
                <w:b/>
                <w:bCs/>
                <w:i/>
                <w:iCs/>
                <w:sz w:val="22"/>
                <w:szCs w:val="22"/>
              </w:rPr>
              <w:t>EI</w:t>
            </w:r>
            <w:r>
              <w:rPr>
                <w:b/>
                <w:bCs/>
                <w:i/>
                <w:iCs/>
                <w:sz w:val="22"/>
                <w:szCs w:val="22"/>
                <w:vertAlign w:val="subscript"/>
              </w:rPr>
              <w:t>2</w:t>
            </w:r>
            <w:r>
              <w:rPr>
                <w:b/>
                <w:bCs/>
                <w:i/>
                <w:iCs/>
                <w:sz w:val="22"/>
                <w:szCs w:val="22"/>
              </w:rPr>
              <w:t xml:space="preserve"> 90-C5S</w:t>
            </w:r>
            <w:r>
              <w:rPr>
                <w:b/>
                <w:bCs/>
                <w:i/>
                <w:iCs/>
                <w:sz w:val="22"/>
                <w:szCs w:val="22"/>
                <w:vertAlign w:val="subscript"/>
              </w:rPr>
              <w:t>200</w:t>
            </w:r>
            <w:r>
              <w:rPr>
                <w:b/>
                <w:bCs/>
                <w:i/>
                <w:iCs/>
                <w:sz w:val="22"/>
                <w:szCs w:val="22"/>
              </w:rPr>
              <w:t xml:space="preserve"> </w:t>
            </w:r>
          </w:p>
        </w:tc>
        <w:tc>
          <w:tcPr>
            <w:tcW w:w="913" w:type="pct"/>
            <w:shd w:val="clear" w:color="auto" w:fill="auto"/>
            <w:vAlign w:val="center"/>
          </w:tcPr>
          <w:p w14:paraId="68D99D1A" w14:textId="77777777" w:rsidR="001C08A5" w:rsidRDefault="00000000">
            <w:pPr>
              <w:pStyle w:val="Contenutotabellacentrato"/>
              <w:rPr>
                <w:b/>
                <w:bCs/>
                <w:i/>
                <w:iCs/>
                <w:sz w:val="22"/>
                <w:szCs w:val="22"/>
              </w:rPr>
            </w:pPr>
            <w:r>
              <w:rPr>
                <w:b/>
                <w:bCs/>
                <w:i/>
                <w:iCs/>
                <w:sz w:val="22"/>
                <w:szCs w:val="22"/>
              </w:rPr>
              <w:t xml:space="preserve">EI 90/REI 90 </w:t>
            </w:r>
          </w:p>
        </w:tc>
        <w:tc>
          <w:tcPr>
            <w:tcW w:w="874" w:type="pct"/>
            <w:shd w:val="clear" w:color="auto" w:fill="auto"/>
            <w:vAlign w:val="center"/>
          </w:tcPr>
          <w:p w14:paraId="7F6CDBFD"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90-C5S</w:t>
            </w:r>
            <w:r>
              <w:rPr>
                <w:b/>
                <w:bCs/>
                <w:i/>
                <w:iCs/>
                <w:sz w:val="22"/>
                <w:szCs w:val="22"/>
                <w:vertAlign w:val="subscript"/>
              </w:rPr>
              <w:t>200</w:t>
            </w:r>
          </w:p>
        </w:tc>
      </w:tr>
      <w:tr w:rsidR="001C08A5" w14:paraId="1AAC0C14" w14:textId="77777777">
        <w:tc>
          <w:tcPr>
            <w:tcW w:w="1481" w:type="pct"/>
            <w:vMerge/>
            <w:shd w:val="clear" w:color="auto" w:fill="auto"/>
          </w:tcPr>
          <w:p w14:paraId="57E97C82" w14:textId="77777777" w:rsidR="001C08A5" w:rsidRDefault="001C08A5">
            <w:pPr>
              <w:jc w:val="both"/>
              <w:rPr>
                <w:i/>
                <w:iCs/>
                <w:sz w:val="22"/>
                <w:szCs w:val="22"/>
              </w:rPr>
            </w:pPr>
          </w:p>
        </w:tc>
        <w:tc>
          <w:tcPr>
            <w:tcW w:w="937" w:type="pct"/>
            <w:shd w:val="clear" w:color="auto" w:fill="auto"/>
            <w:vAlign w:val="center"/>
          </w:tcPr>
          <w:p w14:paraId="335A723A" w14:textId="77777777" w:rsidR="001C08A5" w:rsidRDefault="00000000">
            <w:pPr>
              <w:pStyle w:val="Contenutotabellacentrato"/>
              <w:rPr>
                <w:b/>
                <w:bCs/>
                <w:i/>
                <w:iCs/>
                <w:sz w:val="22"/>
                <w:szCs w:val="22"/>
              </w:rPr>
            </w:pPr>
            <w:r>
              <w:rPr>
                <w:b/>
                <w:bCs/>
                <w:i/>
                <w:iCs/>
                <w:sz w:val="22"/>
                <w:szCs w:val="22"/>
              </w:rPr>
              <w:t>EI-M 240/REI 240 (q &gt; 1 680 MJ/m</w:t>
            </w:r>
            <w:r>
              <w:rPr>
                <w:b/>
                <w:bCs/>
                <w:i/>
                <w:iCs/>
                <w:sz w:val="22"/>
                <w:szCs w:val="22"/>
                <w:vertAlign w:val="superscript"/>
              </w:rPr>
              <w:t xml:space="preserve">2 </w:t>
            </w:r>
            <w:r>
              <w:rPr>
                <w:i/>
                <w:iCs/>
                <w:sz w:val="22"/>
                <w:szCs w:val="22"/>
              </w:rPr>
              <w:t>şi/sau există pericol de explozie volumetrică)</w:t>
            </w:r>
          </w:p>
        </w:tc>
        <w:tc>
          <w:tcPr>
            <w:tcW w:w="792" w:type="pct"/>
            <w:shd w:val="clear" w:color="auto" w:fill="auto"/>
            <w:vAlign w:val="center"/>
          </w:tcPr>
          <w:p w14:paraId="2FDCDD3C" w14:textId="77777777" w:rsidR="001C08A5" w:rsidRDefault="00000000">
            <w:pPr>
              <w:pStyle w:val="Contenutotabellacentrato"/>
              <w:rPr>
                <w:b/>
                <w:bCs/>
                <w:i/>
                <w:iCs/>
                <w:sz w:val="22"/>
                <w:szCs w:val="22"/>
              </w:rPr>
            </w:pPr>
            <w:r>
              <w:rPr>
                <w:b/>
                <w:bCs/>
                <w:i/>
                <w:iCs/>
                <w:sz w:val="22"/>
                <w:szCs w:val="22"/>
              </w:rPr>
              <w:t>Obligatoriu încăpere tampon protejată prevazută cu 2 uși x EI</w:t>
            </w:r>
            <w:r>
              <w:rPr>
                <w:b/>
                <w:bCs/>
                <w:i/>
                <w:iCs/>
                <w:sz w:val="22"/>
                <w:szCs w:val="22"/>
                <w:vertAlign w:val="subscript"/>
              </w:rPr>
              <w:t>2</w:t>
            </w:r>
            <w:r>
              <w:rPr>
                <w:b/>
                <w:bCs/>
                <w:i/>
                <w:iCs/>
                <w:sz w:val="22"/>
                <w:szCs w:val="22"/>
              </w:rPr>
              <w:t xml:space="preserve"> 120-C5S</w:t>
            </w:r>
            <w:r>
              <w:rPr>
                <w:b/>
                <w:bCs/>
                <w:i/>
                <w:iCs/>
                <w:sz w:val="22"/>
                <w:szCs w:val="22"/>
                <w:vertAlign w:val="subscript"/>
              </w:rPr>
              <w:t>200</w:t>
            </w:r>
          </w:p>
        </w:tc>
        <w:tc>
          <w:tcPr>
            <w:tcW w:w="913" w:type="pct"/>
            <w:shd w:val="clear" w:color="auto" w:fill="auto"/>
            <w:vAlign w:val="center"/>
          </w:tcPr>
          <w:p w14:paraId="4720092F" w14:textId="77777777" w:rsidR="001C08A5" w:rsidRDefault="00000000">
            <w:pPr>
              <w:pStyle w:val="Contenutotabellacentrato"/>
              <w:rPr>
                <w:b/>
                <w:bCs/>
                <w:i/>
                <w:iCs/>
                <w:sz w:val="22"/>
                <w:szCs w:val="22"/>
              </w:rPr>
            </w:pPr>
            <w:r>
              <w:rPr>
                <w:b/>
                <w:bCs/>
                <w:i/>
                <w:iCs/>
                <w:sz w:val="22"/>
                <w:szCs w:val="22"/>
              </w:rPr>
              <w:t xml:space="preserve">EI-M 120/REI 120 </w:t>
            </w:r>
          </w:p>
        </w:tc>
        <w:tc>
          <w:tcPr>
            <w:tcW w:w="874" w:type="pct"/>
            <w:shd w:val="clear" w:color="auto" w:fill="auto"/>
            <w:vAlign w:val="center"/>
          </w:tcPr>
          <w:p w14:paraId="330D275E" w14:textId="77777777" w:rsidR="001C08A5" w:rsidRDefault="00000000">
            <w:pPr>
              <w:pStyle w:val="Contenutotabellacentrato"/>
              <w:rPr>
                <w:b/>
                <w:bCs/>
                <w:i/>
                <w:iCs/>
                <w:sz w:val="22"/>
                <w:szCs w:val="22"/>
              </w:rPr>
            </w:pPr>
            <w:r>
              <w:rPr>
                <w:b/>
                <w:bCs/>
                <w:i/>
                <w:iCs/>
                <w:sz w:val="22"/>
                <w:szCs w:val="22"/>
              </w:rPr>
              <w:t>Obligatoriu încăpere tampon protejată prevazută cu 2 uși x EI</w:t>
            </w:r>
            <w:r>
              <w:rPr>
                <w:b/>
                <w:bCs/>
                <w:i/>
                <w:iCs/>
                <w:sz w:val="22"/>
                <w:szCs w:val="22"/>
                <w:vertAlign w:val="subscript"/>
              </w:rPr>
              <w:t>2</w:t>
            </w:r>
            <w:r>
              <w:rPr>
                <w:b/>
                <w:bCs/>
                <w:i/>
                <w:iCs/>
                <w:sz w:val="22"/>
                <w:szCs w:val="22"/>
              </w:rPr>
              <w:t xml:space="preserve"> 120-C5S</w:t>
            </w:r>
            <w:r>
              <w:rPr>
                <w:b/>
                <w:bCs/>
                <w:i/>
                <w:iCs/>
                <w:sz w:val="22"/>
                <w:szCs w:val="22"/>
                <w:vertAlign w:val="subscript"/>
              </w:rPr>
              <w:t>200</w:t>
            </w:r>
          </w:p>
        </w:tc>
      </w:tr>
      <w:tr w:rsidR="001C08A5" w14:paraId="10DEDC38" w14:textId="77777777">
        <w:tc>
          <w:tcPr>
            <w:tcW w:w="1481" w:type="pct"/>
            <w:shd w:val="clear" w:color="auto" w:fill="auto"/>
          </w:tcPr>
          <w:p w14:paraId="55582751" w14:textId="77777777" w:rsidR="001C08A5" w:rsidRDefault="00000000">
            <w:pPr>
              <w:jc w:val="both"/>
              <w:rPr>
                <w:i/>
                <w:iCs/>
                <w:sz w:val="22"/>
                <w:szCs w:val="22"/>
              </w:rPr>
            </w:pPr>
            <w:r>
              <w:rPr>
                <w:i/>
                <w:iCs/>
                <w:sz w:val="22"/>
                <w:szCs w:val="22"/>
              </w:rPr>
              <w:t>b)pentru clădirile destinate persoanelor care nu se pot evacua singure, pentru construcțiile cu risc mare de incendiu, precum și cele pentru obiecte, echipamente sau aparatură de importanţă deosebita, pentru clădiri civile supraterane înalte şi/sau foarte înalte sau clădiri cu săli aglomerate</w:t>
            </w:r>
          </w:p>
        </w:tc>
        <w:tc>
          <w:tcPr>
            <w:tcW w:w="937" w:type="pct"/>
            <w:shd w:val="clear" w:color="auto" w:fill="auto"/>
            <w:vAlign w:val="center"/>
          </w:tcPr>
          <w:p w14:paraId="31E93647" w14:textId="77777777" w:rsidR="001C08A5" w:rsidRDefault="00000000">
            <w:pPr>
              <w:pStyle w:val="Contenutotabellacentrato"/>
              <w:keepNext/>
              <w:rPr>
                <w:b/>
                <w:bCs/>
                <w:i/>
                <w:iCs/>
                <w:sz w:val="22"/>
                <w:szCs w:val="22"/>
              </w:rPr>
            </w:pPr>
            <w:r>
              <w:rPr>
                <w:b/>
                <w:bCs/>
                <w:i/>
                <w:iCs/>
                <w:sz w:val="22"/>
                <w:szCs w:val="22"/>
              </w:rPr>
              <w:t>EI-M 180/REI 180</w:t>
            </w:r>
          </w:p>
        </w:tc>
        <w:tc>
          <w:tcPr>
            <w:tcW w:w="792" w:type="pct"/>
            <w:shd w:val="clear" w:color="auto" w:fill="auto"/>
            <w:vAlign w:val="center"/>
          </w:tcPr>
          <w:p w14:paraId="5AD41231" w14:textId="77777777" w:rsidR="001C08A5" w:rsidRDefault="00000000">
            <w:pPr>
              <w:pStyle w:val="Contenutotabellacentrato"/>
              <w:keepNext/>
              <w:rPr>
                <w:b/>
                <w:bCs/>
                <w:i/>
                <w:iCs/>
                <w:sz w:val="22"/>
                <w:szCs w:val="22"/>
              </w:rPr>
            </w:pPr>
            <w:r>
              <w:rPr>
                <w:b/>
                <w:bCs/>
                <w:i/>
                <w:iCs/>
                <w:sz w:val="22"/>
                <w:szCs w:val="22"/>
              </w:rPr>
              <w:t>EI</w:t>
            </w:r>
            <w:r>
              <w:rPr>
                <w:b/>
                <w:bCs/>
                <w:i/>
                <w:iCs/>
                <w:sz w:val="22"/>
                <w:szCs w:val="22"/>
                <w:vertAlign w:val="subscript"/>
              </w:rPr>
              <w:t>2</w:t>
            </w:r>
            <w:r>
              <w:rPr>
                <w:b/>
                <w:bCs/>
                <w:i/>
                <w:iCs/>
                <w:sz w:val="22"/>
                <w:szCs w:val="22"/>
              </w:rPr>
              <w:t xml:space="preserve"> 90-C5S</w:t>
            </w:r>
            <w:r>
              <w:rPr>
                <w:b/>
                <w:bCs/>
                <w:i/>
                <w:iCs/>
                <w:sz w:val="22"/>
                <w:szCs w:val="22"/>
                <w:vertAlign w:val="subscript"/>
              </w:rPr>
              <w:t>200</w:t>
            </w:r>
          </w:p>
        </w:tc>
        <w:tc>
          <w:tcPr>
            <w:tcW w:w="913" w:type="pct"/>
            <w:shd w:val="clear" w:color="auto" w:fill="auto"/>
            <w:vAlign w:val="center"/>
          </w:tcPr>
          <w:p w14:paraId="14CAB7D2" w14:textId="77777777" w:rsidR="001C08A5" w:rsidRDefault="00000000">
            <w:pPr>
              <w:pStyle w:val="Contenutotabellacentrato"/>
              <w:keepNext/>
              <w:rPr>
                <w:b/>
                <w:bCs/>
                <w:i/>
                <w:iCs/>
                <w:sz w:val="22"/>
                <w:szCs w:val="22"/>
              </w:rPr>
            </w:pPr>
            <w:r>
              <w:rPr>
                <w:b/>
                <w:bCs/>
                <w:i/>
                <w:iCs/>
                <w:sz w:val="22"/>
                <w:szCs w:val="22"/>
              </w:rPr>
              <w:t>EI 90/REI 90</w:t>
            </w:r>
          </w:p>
        </w:tc>
        <w:tc>
          <w:tcPr>
            <w:tcW w:w="874" w:type="pct"/>
            <w:shd w:val="clear" w:color="auto" w:fill="auto"/>
            <w:vAlign w:val="center"/>
          </w:tcPr>
          <w:p w14:paraId="3FFABAD9"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90-C5S</w:t>
            </w:r>
            <w:r>
              <w:rPr>
                <w:b/>
                <w:bCs/>
                <w:i/>
                <w:iCs/>
                <w:sz w:val="22"/>
                <w:szCs w:val="22"/>
                <w:vertAlign w:val="subscript"/>
              </w:rPr>
              <w:t>200</w:t>
            </w:r>
          </w:p>
        </w:tc>
      </w:tr>
      <w:tr w:rsidR="001C08A5" w14:paraId="3BA5C8C4" w14:textId="77777777">
        <w:tc>
          <w:tcPr>
            <w:tcW w:w="1481" w:type="pct"/>
            <w:shd w:val="clear" w:color="auto" w:fill="auto"/>
            <w:vAlign w:val="center"/>
          </w:tcPr>
          <w:p w14:paraId="50B30B76" w14:textId="77777777" w:rsidR="001C08A5" w:rsidRDefault="00000000">
            <w:pPr>
              <w:pStyle w:val="Contenutotabellacentrato"/>
              <w:keepNext/>
              <w:jc w:val="both"/>
              <w:rPr>
                <w:b/>
                <w:bCs/>
                <w:i/>
                <w:iCs/>
                <w:sz w:val="22"/>
                <w:szCs w:val="22"/>
              </w:rPr>
            </w:pPr>
            <w:r>
              <w:rPr>
                <w:i/>
                <w:iCs/>
                <w:sz w:val="22"/>
                <w:szCs w:val="22"/>
              </w:rPr>
              <w:t xml:space="preserve">c) clădirile cu alt regim de înălțime, cu excepția clădirilor definite la literele </w:t>
            </w:r>
            <w:r>
              <w:rPr>
                <w:b/>
                <w:bCs/>
                <w:i/>
                <w:iCs/>
                <w:sz w:val="22"/>
                <w:szCs w:val="22"/>
              </w:rPr>
              <w:t xml:space="preserve">(a) </w:t>
            </w:r>
            <w:r>
              <w:rPr>
                <w:i/>
                <w:iCs/>
                <w:sz w:val="22"/>
                <w:szCs w:val="22"/>
              </w:rPr>
              <w:t>și</w:t>
            </w:r>
            <w:r>
              <w:rPr>
                <w:b/>
                <w:bCs/>
                <w:i/>
                <w:iCs/>
                <w:sz w:val="22"/>
                <w:szCs w:val="22"/>
              </w:rPr>
              <w:t xml:space="preserve"> (b) </w:t>
            </w:r>
            <w:r>
              <w:rPr>
                <w:i/>
                <w:iCs/>
                <w:sz w:val="22"/>
                <w:szCs w:val="22"/>
              </w:rPr>
              <w:t>din tabel</w:t>
            </w:r>
          </w:p>
        </w:tc>
        <w:tc>
          <w:tcPr>
            <w:tcW w:w="937" w:type="pct"/>
            <w:shd w:val="clear" w:color="auto" w:fill="auto"/>
            <w:vAlign w:val="center"/>
          </w:tcPr>
          <w:p w14:paraId="7FCB93C4" w14:textId="77777777" w:rsidR="001C08A5" w:rsidRDefault="00000000">
            <w:pPr>
              <w:pStyle w:val="Contenutotabellacentrato"/>
              <w:keepNext/>
              <w:rPr>
                <w:b/>
                <w:bCs/>
                <w:i/>
                <w:iCs/>
                <w:sz w:val="22"/>
                <w:szCs w:val="22"/>
              </w:rPr>
            </w:pPr>
            <w:r>
              <w:rPr>
                <w:b/>
                <w:bCs/>
                <w:i/>
                <w:iCs/>
                <w:sz w:val="22"/>
                <w:szCs w:val="22"/>
              </w:rPr>
              <w:t>EI-M 120/REI 120</w:t>
            </w:r>
          </w:p>
        </w:tc>
        <w:tc>
          <w:tcPr>
            <w:tcW w:w="792" w:type="pct"/>
            <w:shd w:val="clear" w:color="auto" w:fill="auto"/>
            <w:vAlign w:val="center"/>
          </w:tcPr>
          <w:p w14:paraId="3FF0C79B" w14:textId="77777777" w:rsidR="001C08A5" w:rsidRDefault="00000000">
            <w:pPr>
              <w:pStyle w:val="Contenutotabellacentrato"/>
              <w:keepNext/>
              <w:rPr>
                <w:i/>
                <w:iCs/>
              </w:rPr>
            </w:pPr>
            <w:r>
              <w:rPr>
                <w:b/>
                <w:bCs/>
                <w:i/>
                <w:iCs/>
                <w:sz w:val="22"/>
                <w:szCs w:val="22"/>
              </w:rPr>
              <w:t>EI</w:t>
            </w:r>
            <w:r>
              <w:rPr>
                <w:b/>
                <w:bCs/>
                <w:i/>
                <w:iCs/>
                <w:sz w:val="22"/>
                <w:szCs w:val="22"/>
                <w:vertAlign w:val="subscript"/>
              </w:rPr>
              <w:t>2</w:t>
            </w:r>
            <w:r>
              <w:rPr>
                <w:b/>
                <w:bCs/>
                <w:i/>
                <w:iCs/>
                <w:sz w:val="22"/>
                <w:szCs w:val="22"/>
              </w:rPr>
              <w:t xml:space="preserve"> 60-C5S</w:t>
            </w:r>
            <w:r>
              <w:rPr>
                <w:b/>
                <w:bCs/>
                <w:i/>
                <w:iCs/>
                <w:sz w:val="22"/>
                <w:szCs w:val="22"/>
                <w:vertAlign w:val="subscript"/>
              </w:rPr>
              <w:t>200</w:t>
            </w:r>
          </w:p>
        </w:tc>
        <w:tc>
          <w:tcPr>
            <w:tcW w:w="913" w:type="pct"/>
            <w:shd w:val="clear" w:color="auto" w:fill="auto"/>
            <w:vAlign w:val="center"/>
          </w:tcPr>
          <w:p w14:paraId="13265376" w14:textId="77777777" w:rsidR="001C08A5" w:rsidRDefault="00000000">
            <w:pPr>
              <w:pStyle w:val="Contenutotabellacentrato"/>
              <w:keepNext/>
              <w:rPr>
                <w:i/>
                <w:iCs/>
              </w:rPr>
            </w:pPr>
            <w:r>
              <w:rPr>
                <w:b/>
                <w:bCs/>
                <w:i/>
                <w:iCs/>
                <w:sz w:val="22"/>
                <w:szCs w:val="22"/>
              </w:rPr>
              <w:t>EI 60/REI 60</w:t>
            </w:r>
          </w:p>
        </w:tc>
        <w:tc>
          <w:tcPr>
            <w:tcW w:w="874" w:type="pct"/>
            <w:shd w:val="clear" w:color="auto" w:fill="auto"/>
            <w:vAlign w:val="center"/>
          </w:tcPr>
          <w:p w14:paraId="405C9AA7" w14:textId="77777777" w:rsidR="001C08A5" w:rsidRDefault="00000000">
            <w:pPr>
              <w:pStyle w:val="Contenutotabellacentrato"/>
              <w:rPr>
                <w:b/>
                <w:bCs/>
                <w:i/>
                <w:iCs/>
                <w:sz w:val="22"/>
                <w:szCs w:val="22"/>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bl>
    <w:p w14:paraId="6213E7B6" w14:textId="77777777" w:rsidR="001C08A5" w:rsidRDefault="001C08A5">
      <w:pPr>
        <w:pStyle w:val="BodyText"/>
      </w:pPr>
    </w:p>
    <w:p w14:paraId="30AD0929" w14:textId="77777777" w:rsidR="001C08A5" w:rsidRDefault="00000000">
      <w:pPr>
        <w:numPr>
          <w:ilvl w:val="0"/>
          <w:numId w:val="96"/>
        </w:numPr>
        <w:tabs>
          <w:tab w:val="left" w:pos="426"/>
          <w:tab w:val="left" w:pos="993"/>
        </w:tabs>
        <w:jc w:val="both"/>
        <w:rPr>
          <w:b/>
          <w:i/>
          <w:iCs/>
          <w:sz w:val="24"/>
          <w:szCs w:val="24"/>
        </w:rPr>
      </w:pPr>
      <w:r>
        <w:rPr>
          <w:bCs/>
          <w:i/>
          <w:sz w:val="24"/>
        </w:rPr>
        <w:t xml:space="preserve">Ușile prevăzute pentru circulația funcțională sau pentru evacuare în pereţii care separă compartimentele de incendiu din clădiri de producție și/ sau depozitare trebuie să aibă rezistenţa la foc conform </w:t>
      </w:r>
      <w:r>
        <w:rPr>
          <w:b/>
          <w:bCs/>
          <w:i/>
          <w:iCs/>
          <w:sz w:val="24"/>
          <w:szCs w:val="24"/>
        </w:rPr>
        <w:fldChar w:fldCharType="begin"/>
      </w:r>
      <w:r>
        <w:rPr>
          <w:b/>
          <w:bCs/>
          <w:i/>
          <w:iCs/>
          <w:sz w:val="24"/>
          <w:szCs w:val="24"/>
        </w:rPr>
        <w:instrText xml:space="preserve"> REF _Ref23786 \h </w:instrText>
      </w:r>
      <w:r>
        <w:rPr>
          <w:b/>
          <w:bCs/>
          <w:i/>
          <w:iCs/>
          <w:sz w:val="24"/>
          <w:szCs w:val="24"/>
        </w:rPr>
      </w:r>
      <w:r>
        <w:rPr>
          <w:b/>
          <w:bCs/>
          <w:i/>
          <w:iCs/>
          <w:sz w:val="24"/>
          <w:szCs w:val="24"/>
        </w:rPr>
        <w:fldChar w:fldCharType="separate"/>
      </w:r>
      <w:r>
        <w:t>Tabelul 124</w:t>
      </w:r>
      <w:r>
        <w:rPr>
          <w:b/>
          <w:bCs/>
          <w:i/>
          <w:iCs/>
          <w:sz w:val="24"/>
          <w:szCs w:val="24"/>
        </w:rPr>
        <w:fldChar w:fldCharType="end"/>
      </w:r>
      <w:r>
        <w:rPr>
          <w:bCs/>
          <w:i/>
          <w:sz w:val="24"/>
        </w:rPr>
        <w:t xml:space="preserve"> . </w:t>
      </w:r>
      <w:r>
        <w:rPr>
          <w:i/>
          <w:iCs/>
          <w:sz w:val="24"/>
          <w:szCs w:val="24"/>
        </w:rPr>
        <w:t xml:space="preserve">În construcţiile de producţie şi/sau depozitare, pot fi considerate căi de evacuare a utilizatorilor și cele care trec prin </w:t>
      </w:r>
      <w:r>
        <w:rPr>
          <w:bCs/>
          <w:i/>
          <w:iCs/>
          <w:sz w:val="24"/>
        </w:rPr>
        <w:t>pereţii antifoc care separă compartimentele de incendiu</w:t>
      </w:r>
      <w:r>
        <w:rPr>
          <w:i/>
          <w:iCs/>
          <w:sz w:val="24"/>
          <w:szCs w:val="24"/>
        </w:rPr>
        <w:t>:</w:t>
      </w:r>
    </w:p>
    <w:p w14:paraId="79452DC7" w14:textId="77777777" w:rsidR="001C08A5" w:rsidRDefault="00000000">
      <w:pPr>
        <w:ind w:left="1211"/>
        <w:jc w:val="both"/>
        <w:rPr>
          <w:b/>
          <w:i/>
          <w:iCs/>
          <w:sz w:val="24"/>
          <w:szCs w:val="24"/>
        </w:rPr>
      </w:pPr>
      <w:r>
        <w:rPr>
          <w:b/>
          <w:i/>
          <w:iCs/>
          <w:sz w:val="24"/>
          <w:szCs w:val="24"/>
        </w:rPr>
        <w:t>a)</w:t>
      </w:r>
      <w:r>
        <w:rPr>
          <w:i/>
          <w:iCs/>
          <w:sz w:val="24"/>
          <w:szCs w:val="24"/>
        </w:rPr>
        <w:t xml:space="preserve"> către compartimente cu riscuri mici de incendiu, dacă servesc la evacuarea utilizatorilor spaţiilor de producţie și/ sau depozitare învecinate ;</w:t>
      </w:r>
    </w:p>
    <w:p w14:paraId="6DFA1ADC" w14:textId="77777777" w:rsidR="001C08A5" w:rsidRDefault="00000000">
      <w:pPr>
        <w:ind w:left="1211"/>
        <w:jc w:val="both"/>
        <w:rPr>
          <w:b/>
          <w:i/>
          <w:iCs/>
          <w:sz w:val="24"/>
          <w:szCs w:val="24"/>
        </w:rPr>
      </w:pPr>
      <w:r>
        <w:rPr>
          <w:b/>
          <w:i/>
          <w:iCs/>
          <w:sz w:val="24"/>
          <w:szCs w:val="24"/>
        </w:rPr>
        <w:t xml:space="preserve">b) </w:t>
      </w:r>
      <w:r>
        <w:rPr>
          <w:i/>
          <w:iCs/>
          <w:sz w:val="24"/>
          <w:szCs w:val="24"/>
        </w:rPr>
        <w:t xml:space="preserve">către compartimente cu risc mijlociu mare sau foarte mare de incendiu, fără explozie volumetrică, dacă servesc la evacuarea utilizatorilor compartimentelor învecinate și nu constituie singura lor cale de evacuare, situaţie în care a doua cale de evacuare poate fi constituită tot printr-un spaţiu cu risc mijlociu, mare sau foarte mare de incendiu dacă traseele sunt distincte şi separate între ele prin pereţi rezistenți la foc și  golurile de circulaţie practicate în aceştia sunt protejate cu elemente de închidere rezistente la foc și etanșe la fum conform </w:t>
      </w:r>
      <w:r>
        <w:rPr>
          <w:b/>
          <w:bCs/>
          <w:i/>
          <w:iCs/>
          <w:sz w:val="24"/>
          <w:szCs w:val="24"/>
        </w:rPr>
        <w:fldChar w:fldCharType="begin"/>
      </w:r>
      <w:r>
        <w:rPr>
          <w:b/>
          <w:bCs/>
          <w:i/>
          <w:iCs/>
          <w:sz w:val="24"/>
          <w:szCs w:val="24"/>
        </w:rPr>
        <w:instrText xml:space="preserve"> REF _Ref23786 \h </w:instrText>
      </w:r>
      <w:r>
        <w:rPr>
          <w:b/>
          <w:bCs/>
          <w:i/>
          <w:iCs/>
          <w:sz w:val="24"/>
          <w:szCs w:val="24"/>
        </w:rPr>
      </w:r>
      <w:r>
        <w:rPr>
          <w:b/>
          <w:bCs/>
          <w:i/>
          <w:iCs/>
          <w:sz w:val="24"/>
          <w:szCs w:val="24"/>
        </w:rPr>
        <w:fldChar w:fldCharType="separate"/>
      </w:r>
      <w:r>
        <w:t>Tabelul 124</w:t>
      </w:r>
      <w:r>
        <w:rPr>
          <w:b/>
          <w:bCs/>
          <w:i/>
          <w:iCs/>
          <w:sz w:val="24"/>
          <w:szCs w:val="24"/>
        </w:rPr>
        <w:fldChar w:fldCharType="end"/>
      </w:r>
      <w:r>
        <w:rPr>
          <w:i/>
          <w:iCs/>
          <w:sz w:val="24"/>
          <w:szCs w:val="24"/>
        </w:rPr>
        <w:t xml:space="preserve"> ;</w:t>
      </w:r>
    </w:p>
    <w:p w14:paraId="2EE55598" w14:textId="77777777" w:rsidR="001C08A5" w:rsidRDefault="00000000">
      <w:pPr>
        <w:ind w:left="1211"/>
        <w:jc w:val="both"/>
      </w:pPr>
      <w:r>
        <w:rPr>
          <w:b/>
          <w:i/>
          <w:iCs/>
          <w:sz w:val="24"/>
          <w:szCs w:val="24"/>
        </w:rPr>
        <w:t xml:space="preserve">c) </w:t>
      </w:r>
      <w:r>
        <w:rPr>
          <w:i/>
          <w:iCs/>
          <w:sz w:val="24"/>
          <w:szCs w:val="24"/>
        </w:rPr>
        <w:t>încăperi sau spaţii cu risc foarte mare de incendiu și explozie volumetrică, dacă servesc la evacuarea utilizatorilor spaţiilor de producţie sau depozitare cu acelaşi risc de incendiu şi nu constituie singura lor posibilitate de evacuare;</w:t>
      </w:r>
    </w:p>
    <w:p w14:paraId="2F1182CF" w14:textId="77777777" w:rsidR="001C08A5" w:rsidRDefault="00000000">
      <w:pPr>
        <w:pStyle w:val="Caption"/>
        <w:rPr>
          <w:rFonts w:cs="Times New Roman"/>
          <w:iCs w:val="0"/>
        </w:rPr>
      </w:pPr>
      <w:bookmarkStart w:id="5967" w:name="_Ref23786"/>
      <w:bookmarkStart w:id="5968" w:name="_Toc162360174"/>
      <w:bookmarkStart w:id="5969" w:name="_Ref29233"/>
      <w:r>
        <w:t xml:space="preserve">Tabelul </w:t>
      </w:r>
      <w:r>
        <w:fldChar w:fldCharType="begin"/>
      </w:r>
      <w:r>
        <w:instrText xml:space="preserve"> SEQ Tabelul \* ARABIC </w:instrText>
      </w:r>
      <w:r>
        <w:fldChar w:fldCharType="separate"/>
      </w:r>
      <w:r>
        <w:t>124</w:t>
      </w:r>
      <w:r>
        <w:fldChar w:fldCharType="end"/>
      </w:r>
      <w:bookmarkStart w:id="5970" w:name="_Toc4291"/>
      <w:bookmarkStart w:id="5971" w:name="_Toc1969"/>
      <w:bookmarkStart w:id="5972" w:name="_Toc9796"/>
      <w:bookmarkStart w:id="5973" w:name="_Toc3255"/>
      <w:bookmarkStart w:id="5974" w:name="_Toc17275"/>
      <w:bookmarkStart w:id="5975" w:name="_Toc25852"/>
      <w:bookmarkStart w:id="5976" w:name="_Toc23713"/>
      <w:bookmarkStart w:id="5977" w:name="_Toc2507"/>
      <w:bookmarkStart w:id="5978" w:name="_Toc6448"/>
      <w:bookmarkStart w:id="5979" w:name="_Toc17408"/>
      <w:bookmarkStart w:id="5980" w:name="_Toc23473"/>
      <w:bookmarkStart w:id="5981" w:name="_Toc11535"/>
      <w:bookmarkEnd w:id="5967"/>
      <w:r>
        <w:t xml:space="preserve">: </w:t>
      </w:r>
      <w:r>
        <w:rPr>
          <w:rFonts w:cs="Times New Roman"/>
          <w:iCs w:val="0"/>
        </w:rPr>
        <w:t>Uși pentru circulaţie funcţională şi/ sau evacuare practicate în pereţii antifoc din construcții de producție și/ sau depozitare</w:t>
      </w:r>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p>
    <w:tbl>
      <w:tblPr>
        <w:tblpPr w:leftFromText="180" w:rightFromText="180" w:vertAnchor="text" w:horzAnchor="page" w:tblpX="1425" w:tblpY="27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1802"/>
        <w:gridCol w:w="1867"/>
        <w:gridCol w:w="2086"/>
        <w:gridCol w:w="1861"/>
      </w:tblGrid>
      <w:tr w:rsidR="001C08A5" w14:paraId="5544FE08" w14:textId="77777777">
        <w:trPr>
          <w:tblHeader/>
        </w:trPr>
        <w:tc>
          <w:tcPr>
            <w:tcW w:w="2029" w:type="dxa"/>
            <w:vMerge w:val="restart"/>
            <w:shd w:val="clear" w:color="auto" w:fill="BFBFBF"/>
            <w:vAlign w:val="center"/>
          </w:tcPr>
          <w:p w14:paraId="4DD409D4" w14:textId="77777777" w:rsidR="001C08A5" w:rsidRDefault="00000000">
            <w:pPr>
              <w:jc w:val="center"/>
              <w:rPr>
                <w:b/>
                <w:bCs/>
                <w:i/>
                <w:iCs/>
                <w:sz w:val="22"/>
                <w:szCs w:val="22"/>
              </w:rPr>
            </w:pPr>
            <w:r>
              <w:rPr>
                <w:b/>
                <w:bCs/>
                <w:i/>
                <w:iCs/>
                <w:sz w:val="22"/>
                <w:szCs w:val="22"/>
              </w:rPr>
              <w:lastRenderedPageBreak/>
              <w:t xml:space="preserve">În cazul pereţilor antifoc  care separă compartimentele de incendiu </w:t>
            </w:r>
          </w:p>
        </w:tc>
        <w:tc>
          <w:tcPr>
            <w:tcW w:w="1806" w:type="dxa"/>
            <w:vMerge w:val="restart"/>
            <w:shd w:val="clear" w:color="auto" w:fill="BFBFBF"/>
            <w:vAlign w:val="center"/>
          </w:tcPr>
          <w:p w14:paraId="5A89E08E" w14:textId="77777777" w:rsidR="001C08A5" w:rsidRDefault="00000000">
            <w:pPr>
              <w:jc w:val="center"/>
              <w:rPr>
                <w:i/>
                <w:iCs/>
                <w:sz w:val="22"/>
                <w:szCs w:val="22"/>
              </w:rPr>
            </w:pPr>
            <w:r>
              <w:rPr>
                <w:b/>
                <w:bCs/>
                <w:i/>
                <w:iCs/>
                <w:sz w:val="22"/>
                <w:szCs w:val="22"/>
              </w:rPr>
              <w:t>Rezistența la foc a pereţilor antifoc care separă compartimentele de incendiu</w:t>
            </w:r>
          </w:p>
        </w:tc>
        <w:tc>
          <w:tcPr>
            <w:tcW w:w="1890" w:type="dxa"/>
            <w:vMerge w:val="restart"/>
            <w:shd w:val="clear" w:color="auto" w:fill="BFBFBF"/>
            <w:vAlign w:val="center"/>
          </w:tcPr>
          <w:p w14:paraId="76789FEB" w14:textId="77777777" w:rsidR="001C08A5" w:rsidRDefault="00000000">
            <w:pPr>
              <w:jc w:val="both"/>
              <w:rPr>
                <w:i/>
                <w:iCs/>
                <w:sz w:val="22"/>
                <w:szCs w:val="22"/>
              </w:rPr>
            </w:pPr>
            <w:r>
              <w:rPr>
                <w:b/>
                <w:i/>
                <w:iCs/>
                <w:sz w:val="22"/>
                <w:szCs w:val="22"/>
              </w:rPr>
              <w:t>Uși rezistente la foc practicate în pereții antifoc (care NU constituie căi de evacuare catre alt compartiment de incendiu)</w:t>
            </w:r>
          </w:p>
        </w:tc>
        <w:tc>
          <w:tcPr>
            <w:tcW w:w="4005" w:type="dxa"/>
            <w:gridSpan w:val="2"/>
            <w:shd w:val="clear" w:color="auto" w:fill="BFBFBF"/>
            <w:vAlign w:val="center"/>
          </w:tcPr>
          <w:p w14:paraId="0C9BEFA3" w14:textId="77777777" w:rsidR="001C08A5" w:rsidRDefault="00000000">
            <w:pPr>
              <w:jc w:val="center"/>
              <w:rPr>
                <w:b/>
                <w:i/>
                <w:iCs/>
                <w:sz w:val="22"/>
                <w:szCs w:val="22"/>
              </w:rPr>
            </w:pPr>
            <w:r>
              <w:rPr>
                <w:b/>
                <w:i/>
                <w:iCs/>
                <w:sz w:val="22"/>
                <w:szCs w:val="22"/>
              </w:rPr>
              <w:t>Elemente rezistente la foc (prin uși care constituie căi de evacuare catre alt compartiment de incendiu)</w:t>
            </w:r>
          </w:p>
        </w:tc>
      </w:tr>
      <w:tr w:rsidR="001C08A5" w14:paraId="05B339DA" w14:textId="77777777">
        <w:trPr>
          <w:tblHeader/>
        </w:trPr>
        <w:tc>
          <w:tcPr>
            <w:tcW w:w="2029" w:type="dxa"/>
            <w:vMerge/>
            <w:shd w:val="clear" w:color="auto" w:fill="BFBFBF"/>
            <w:vAlign w:val="center"/>
          </w:tcPr>
          <w:p w14:paraId="52D24D20" w14:textId="77777777" w:rsidR="001C08A5" w:rsidRDefault="001C08A5">
            <w:pPr>
              <w:jc w:val="center"/>
              <w:rPr>
                <w:b/>
                <w:bCs/>
                <w:i/>
                <w:iCs/>
                <w:sz w:val="22"/>
                <w:szCs w:val="22"/>
              </w:rPr>
            </w:pPr>
          </w:p>
        </w:tc>
        <w:tc>
          <w:tcPr>
            <w:tcW w:w="1806" w:type="dxa"/>
            <w:vMerge/>
            <w:shd w:val="clear" w:color="auto" w:fill="BFBFBF"/>
            <w:vAlign w:val="center"/>
          </w:tcPr>
          <w:p w14:paraId="68E5A4C1" w14:textId="77777777" w:rsidR="001C08A5" w:rsidRDefault="001C08A5">
            <w:pPr>
              <w:jc w:val="center"/>
              <w:rPr>
                <w:b/>
                <w:bCs/>
                <w:i/>
                <w:iCs/>
                <w:sz w:val="22"/>
                <w:szCs w:val="22"/>
              </w:rPr>
            </w:pPr>
          </w:p>
        </w:tc>
        <w:tc>
          <w:tcPr>
            <w:tcW w:w="1890" w:type="dxa"/>
            <w:vMerge/>
            <w:shd w:val="clear" w:color="auto" w:fill="BFBFBF"/>
            <w:vAlign w:val="center"/>
          </w:tcPr>
          <w:p w14:paraId="4CEE820A" w14:textId="77777777" w:rsidR="001C08A5" w:rsidRDefault="001C08A5">
            <w:pPr>
              <w:jc w:val="both"/>
              <w:rPr>
                <w:b/>
                <w:i/>
                <w:iCs/>
                <w:sz w:val="22"/>
                <w:szCs w:val="22"/>
              </w:rPr>
            </w:pPr>
          </w:p>
        </w:tc>
        <w:tc>
          <w:tcPr>
            <w:tcW w:w="2115" w:type="dxa"/>
            <w:shd w:val="clear" w:color="auto" w:fill="BFBFBF"/>
          </w:tcPr>
          <w:p w14:paraId="74FF921F" w14:textId="77777777" w:rsidR="001C08A5" w:rsidRDefault="00000000">
            <w:pPr>
              <w:jc w:val="center"/>
              <w:rPr>
                <w:b/>
                <w:i/>
                <w:iCs/>
              </w:rPr>
            </w:pPr>
            <w:r>
              <w:rPr>
                <w:b/>
                <w:bCs/>
                <w:i/>
                <w:iCs/>
              </w:rPr>
              <w:t xml:space="preserve">Rezistenţa la foc (EI/REI) minimă a pereţilor încăperii tampon </w:t>
            </w:r>
            <w:r>
              <w:rPr>
                <w:i/>
                <w:iCs/>
              </w:rPr>
              <w:t>(minute),</w:t>
            </w:r>
            <w:r>
              <w:rPr>
                <w:b/>
                <w:bCs/>
                <w:i/>
                <w:iCs/>
              </w:rPr>
              <w:t xml:space="preserve"> cu excepția peretelui  care separă compartimentele de incendiu </w:t>
            </w:r>
          </w:p>
        </w:tc>
        <w:tc>
          <w:tcPr>
            <w:tcW w:w="1890" w:type="dxa"/>
            <w:shd w:val="clear" w:color="auto" w:fill="BFBFBF"/>
          </w:tcPr>
          <w:p w14:paraId="0B959CF6" w14:textId="77777777" w:rsidR="001C08A5" w:rsidRDefault="00000000">
            <w:pPr>
              <w:jc w:val="center"/>
              <w:rPr>
                <w:b/>
                <w:i/>
                <w:iCs/>
              </w:rPr>
            </w:pPr>
            <w:r>
              <w:rPr>
                <w:b/>
                <w:i/>
                <w:iCs/>
              </w:rPr>
              <w:t>Uși rezistente la foc practicate în pereții antifoc (care constituie căi de evacuare catre alt compartiment de incendiu)</w:t>
            </w:r>
          </w:p>
        </w:tc>
      </w:tr>
      <w:tr w:rsidR="001C08A5" w14:paraId="5CBD7329" w14:textId="77777777">
        <w:trPr>
          <w:tblHeader/>
        </w:trPr>
        <w:tc>
          <w:tcPr>
            <w:tcW w:w="2029" w:type="dxa"/>
            <w:shd w:val="clear" w:color="auto" w:fill="BFBFBF"/>
            <w:vAlign w:val="center"/>
          </w:tcPr>
          <w:p w14:paraId="47BF0150" w14:textId="77777777" w:rsidR="001C08A5" w:rsidRDefault="00000000">
            <w:pPr>
              <w:jc w:val="center"/>
              <w:rPr>
                <w:b/>
                <w:bCs/>
                <w:i/>
                <w:iCs/>
                <w:sz w:val="22"/>
                <w:szCs w:val="22"/>
              </w:rPr>
            </w:pPr>
            <w:r>
              <w:rPr>
                <w:b/>
                <w:bCs/>
                <w:i/>
                <w:iCs/>
                <w:sz w:val="22"/>
                <w:szCs w:val="22"/>
              </w:rPr>
              <w:t>1</w:t>
            </w:r>
          </w:p>
        </w:tc>
        <w:tc>
          <w:tcPr>
            <w:tcW w:w="1806" w:type="dxa"/>
            <w:shd w:val="clear" w:color="auto" w:fill="BFBFBF"/>
            <w:vAlign w:val="center"/>
          </w:tcPr>
          <w:p w14:paraId="05A23ED8" w14:textId="77777777" w:rsidR="001C08A5" w:rsidRDefault="00000000">
            <w:pPr>
              <w:jc w:val="center"/>
              <w:rPr>
                <w:b/>
                <w:bCs/>
                <w:i/>
                <w:iCs/>
                <w:sz w:val="22"/>
                <w:szCs w:val="22"/>
              </w:rPr>
            </w:pPr>
            <w:r>
              <w:rPr>
                <w:b/>
                <w:bCs/>
                <w:i/>
                <w:iCs/>
                <w:sz w:val="22"/>
                <w:szCs w:val="22"/>
              </w:rPr>
              <w:t>2</w:t>
            </w:r>
          </w:p>
        </w:tc>
        <w:tc>
          <w:tcPr>
            <w:tcW w:w="1890" w:type="dxa"/>
            <w:shd w:val="clear" w:color="auto" w:fill="BFBFBF"/>
            <w:vAlign w:val="center"/>
          </w:tcPr>
          <w:p w14:paraId="3C51A3B5" w14:textId="77777777" w:rsidR="001C08A5" w:rsidRDefault="00000000">
            <w:pPr>
              <w:jc w:val="center"/>
              <w:rPr>
                <w:b/>
                <w:i/>
                <w:iCs/>
                <w:sz w:val="22"/>
                <w:szCs w:val="22"/>
              </w:rPr>
            </w:pPr>
            <w:r>
              <w:rPr>
                <w:b/>
                <w:i/>
                <w:iCs/>
                <w:sz w:val="22"/>
                <w:szCs w:val="22"/>
              </w:rPr>
              <w:t>3</w:t>
            </w:r>
          </w:p>
        </w:tc>
        <w:tc>
          <w:tcPr>
            <w:tcW w:w="2115" w:type="dxa"/>
            <w:shd w:val="clear" w:color="auto" w:fill="BFBFBF"/>
            <w:vAlign w:val="center"/>
          </w:tcPr>
          <w:p w14:paraId="23023C49" w14:textId="77777777" w:rsidR="001C08A5" w:rsidRDefault="00000000">
            <w:pPr>
              <w:jc w:val="center"/>
              <w:rPr>
                <w:b/>
                <w:i/>
                <w:iCs/>
                <w:sz w:val="22"/>
                <w:szCs w:val="22"/>
              </w:rPr>
            </w:pPr>
            <w:r>
              <w:rPr>
                <w:b/>
                <w:i/>
                <w:iCs/>
                <w:sz w:val="22"/>
                <w:szCs w:val="22"/>
              </w:rPr>
              <w:t>4</w:t>
            </w:r>
          </w:p>
        </w:tc>
        <w:tc>
          <w:tcPr>
            <w:tcW w:w="1890" w:type="dxa"/>
            <w:shd w:val="clear" w:color="auto" w:fill="BFBFBF"/>
            <w:vAlign w:val="center"/>
          </w:tcPr>
          <w:p w14:paraId="27CF74B8" w14:textId="77777777" w:rsidR="001C08A5" w:rsidRDefault="00000000">
            <w:pPr>
              <w:jc w:val="center"/>
              <w:rPr>
                <w:b/>
                <w:i/>
                <w:iCs/>
                <w:sz w:val="22"/>
                <w:szCs w:val="22"/>
              </w:rPr>
            </w:pPr>
            <w:r>
              <w:rPr>
                <w:b/>
                <w:i/>
                <w:iCs/>
                <w:sz w:val="22"/>
                <w:szCs w:val="22"/>
              </w:rPr>
              <w:t>5</w:t>
            </w:r>
          </w:p>
        </w:tc>
      </w:tr>
      <w:tr w:rsidR="001C08A5" w14:paraId="742BECAE" w14:textId="77777777">
        <w:trPr>
          <w:trHeight w:val="237"/>
        </w:trPr>
        <w:tc>
          <w:tcPr>
            <w:tcW w:w="2029" w:type="dxa"/>
            <w:vMerge w:val="restart"/>
            <w:shd w:val="clear" w:color="auto" w:fill="auto"/>
            <w:vAlign w:val="center"/>
          </w:tcPr>
          <w:p w14:paraId="6AF7CE33" w14:textId="77777777" w:rsidR="001C08A5" w:rsidRDefault="00000000">
            <w:pPr>
              <w:pStyle w:val="Contenutotabellacentrato"/>
              <w:keepNext/>
              <w:jc w:val="both"/>
              <w:rPr>
                <w:b/>
                <w:bCs/>
                <w:i/>
                <w:iCs/>
                <w:sz w:val="22"/>
                <w:szCs w:val="22"/>
              </w:rPr>
            </w:pPr>
            <w:r>
              <w:rPr>
                <w:i/>
                <w:iCs/>
                <w:sz w:val="22"/>
                <w:szCs w:val="22"/>
              </w:rPr>
              <w:t xml:space="preserve">Pentru construcțiile de productie și/ sau depozitare </w:t>
            </w:r>
          </w:p>
        </w:tc>
        <w:tc>
          <w:tcPr>
            <w:tcW w:w="1806" w:type="dxa"/>
            <w:shd w:val="clear" w:color="auto" w:fill="auto"/>
            <w:vAlign w:val="center"/>
          </w:tcPr>
          <w:p w14:paraId="3FAE605B" w14:textId="77777777" w:rsidR="001C08A5" w:rsidRDefault="00000000">
            <w:pPr>
              <w:pStyle w:val="Contenutotabellacentrato"/>
              <w:rPr>
                <w:b/>
                <w:bCs/>
                <w:i/>
                <w:iCs/>
                <w:sz w:val="22"/>
                <w:szCs w:val="22"/>
              </w:rPr>
            </w:pPr>
            <w:r>
              <w:rPr>
                <w:b/>
                <w:bCs/>
                <w:i/>
                <w:iCs/>
                <w:sz w:val="22"/>
                <w:szCs w:val="22"/>
              </w:rPr>
              <w:t>EI-M</w:t>
            </w:r>
            <w:r>
              <w:rPr>
                <w:rFonts w:hint="eastAsia"/>
                <w:b/>
                <w:bCs/>
                <w:i/>
                <w:iCs/>
                <w:sz w:val="22"/>
                <w:szCs w:val="22"/>
              </w:rPr>
              <w:t xml:space="preserve"> 60/REI 60 (q </w:t>
            </w:r>
            <w:r>
              <w:rPr>
                <w:rFonts w:hint="eastAsia"/>
                <w:b/>
                <w:bCs/>
                <w:i/>
                <w:iCs/>
                <w:sz w:val="22"/>
                <w:szCs w:val="22"/>
              </w:rPr>
              <w:t>≤</w:t>
            </w:r>
            <w:r>
              <w:rPr>
                <w:rFonts w:hint="eastAsia"/>
                <w:b/>
                <w:bCs/>
                <w:i/>
                <w:iCs/>
                <w:sz w:val="22"/>
                <w:szCs w:val="22"/>
              </w:rPr>
              <w:t xml:space="preserve"> 420 MJ/m</w:t>
            </w:r>
            <w:r>
              <w:rPr>
                <w:b/>
                <w:bCs/>
                <w:i/>
                <w:iCs/>
                <w:sz w:val="22"/>
                <w:szCs w:val="22"/>
                <w:vertAlign w:val="superscript"/>
              </w:rPr>
              <w:t>2</w:t>
            </w:r>
            <w:r>
              <w:rPr>
                <w:b/>
                <w:bCs/>
                <w:i/>
                <w:iCs/>
                <w:sz w:val="22"/>
                <w:szCs w:val="22"/>
              </w:rPr>
              <w:t>)</w:t>
            </w:r>
          </w:p>
        </w:tc>
        <w:tc>
          <w:tcPr>
            <w:tcW w:w="1890" w:type="dxa"/>
            <w:shd w:val="clear" w:color="auto" w:fill="auto"/>
            <w:vAlign w:val="center"/>
          </w:tcPr>
          <w:p w14:paraId="1FB35735" w14:textId="77777777" w:rsidR="001C08A5" w:rsidRDefault="00000000">
            <w:pPr>
              <w:pStyle w:val="Contenutotabellacentrato"/>
              <w:rPr>
                <w:b/>
                <w:bCs/>
                <w:i/>
                <w:iCs/>
                <w:sz w:val="22"/>
                <w:szCs w:val="22"/>
              </w:rPr>
            </w:pPr>
            <w:r>
              <w:rPr>
                <w:b/>
                <w:bCs/>
                <w:i/>
                <w:iCs/>
                <w:sz w:val="22"/>
                <w:szCs w:val="22"/>
              </w:rPr>
              <w:t>EI</w:t>
            </w:r>
            <w:r>
              <w:rPr>
                <w:b/>
                <w:bCs/>
                <w:i/>
                <w:iCs/>
                <w:sz w:val="22"/>
                <w:szCs w:val="22"/>
                <w:vertAlign w:val="subscript"/>
              </w:rPr>
              <w:t>2</w:t>
            </w:r>
            <w:r>
              <w:rPr>
                <w:b/>
                <w:bCs/>
                <w:i/>
                <w:iCs/>
                <w:sz w:val="22"/>
                <w:szCs w:val="22"/>
              </w:rPr>
              <w:t xml:space="preserve"> 60-C5S</w:t>
            </w:r>
            <w:r>
              <w:rPr>
                <w:b/>
                <w:bCs/>
                <w:i/>
                <w:iCs/>
                <w:sz w:val="22"/>
                <w:szCs w:val="22"/>
                <w:vertAlign w:val="subscript"/>
              </w:rPr>
              <w:t>200</w:t>
            </w:r>
          </w:p>
        </w:tc>
        <w:tc>
          <w:tcPr>
            <w:tcW w:w="2115" w:type="dxa"/>
            <w:shd w:val="clear" w:color="auto" w:fill="auto"/>
            <w:vAlign w:val="center"/>
          </w:tcPr>
          <w:p w14:paraId="3E253F0E" w14:textId="77777777" w:rsidR="001C08A5" w:rsidRDefault="00000000">
            <w:pPr>
              <w:pStyle w:val="Contenutotabellacentrato"/>
              <w:rPr>
                <w:b/>
                <w:i/>
                <w:iCs/>
                <w:sz w:val="22"/>
                <w:szCs w:val="22"/>
              </w:rPr>
            </w:pPr>
            <w:r>
              <w:rPr>
                <w:b/>
                <w:bCs/>
                <w:i/>
                <w:iCs/>
                <w:sz w:val="22"/>
                <w:szCs w:val="22"/>
              </w:rPr>
              <w:t xml:space="preserve">EI 60/REI 60 </w:t>
            </w:r>
          </w:p>
        </w:tc>
        <w:tc>
          <w:tcPr>
            <w:tcW w:w="1890" w:type="dxa"/>
            <w:shd w:val="clear" w:color="auto" w:fill="auto"/>
            <w:vAlign w:val="center"/>
          </w:tcPr>
          <w:p w14:paraId="35F0DBC5" w14:textId="77777777" w:rsidR="001C08A5" w:rsidRDefault="00000000">
            <w:pPr>
              <w:pStyle w:val="Contenutotabellacentrato"/>
              <w:rPr>
                <w:b/>
                <w:i/>
                <w:iCs/>
                <w:sz w:val="22"/>
                <w:szCs w:val="22"/>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r w:rsidR="001C08A5" w14:paraId="462A4377" w14:textId="77777777">
        <w:tc>
          <w:tcPr>
            <w:tcW w:w="2029" w:type="dxa"/>
            <w:vMerge/>
            <w:shd w:val="clear" w:color="auto" w:fill="auto"/>
            <w:vAlign w:val="center"/>
          </w:tcPr>
          <w:p w14:paraId="5423C06D" w14:textId="77777777" w:rsidR="001C08A5" w:rsidRDefault="001C08A5">
            <w:pPr>
              <w:pStyle w:val="Contenutotabellacentrato"/>
              <w:keepNext/>
              <w:rPr>
                <w:b/>
                <w:bCs/>
                <w:i/>
                <w:iCs/>
                <w:sz w:val="22"/>
                <w:szCs w:val="22"/>
              </w:rPr>
            </w:pPr>
          </w:p>
        </w:tc>
        <w:tc>
          <w:tcPr>
            <w:tcW w:w="1806" w:type="dxa"/>
            <w:shd w:val="clear" w:color="auto" w:fill="auto"/>
            <w:vAlign w:val="center"/>
          </w:tcPr>
          <w:p w14:paraId="7A9A011E" w14:textId="77777777" w:rsidR="001C08A5" w:rsidRDefault="00000000">
            <w:pPr>
              <w:pStyle w:val="Contenutotabellacentrato"/>
              <w:rPr>
                <w:b/>
                <w:bCs/>
                <w:i/>
                <w:iCs/>
                <w:sz w:val="22"/>
                <w:szCs w:val="22"/>
              </w:rPr>
            </w:pPr>
            <w:r>
              <w:rPr>
                <w:b/>
                <w:bCs/>
                <w:i/>
                <w:iCs/>
                <w:sz w:val="22"/>
                <w:szCs w:val="22"/>
              </w:rPr>
              <w:t>EI-M 90/REI 90 (420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630 MJ/m</w:t>
            </w:r>
            <w:r>
              <w:rPr>
                <w:b/>
                <w:bCs/>
                <w:i/>
                <w:iCs/>
                <w:sz w:val="22"/>
                <w:szCs w:val="22"/>
                <w:vertAlign w:val="superscript"/>
              </w:rPr>
              <w:t>2</w:t>
            </w:r>
            <w:r>
              <w:rPr>
                <w:b/>
                <w:bCs/>
                <w:i/>
                <w:iCs/>
                <w:sz w:val="22"/>
                <w:szCs w:val="22"/>
              </w:rPr>
              <w:t>)</w:t>
            </w:r>
          </w:p>
        </w:tc>
        <w:tc>
          <w:tcPr>
            <w:tcW w:w="1890" w:type="dxa"/>
            <w:shd w:val="clear" w:color="auto" w:fill="auto"/>
            <w:vAlign w:val="center"/>
          </w:tcPr>
          <w:p w14:paraId="0129CED8" w14:textId="77777777" w:rsidR="001C08A5" w:rsidRDefault="00000000">
            <w:pPr>
              <w:pStyle w:val="Contenutotabellacentrato"/>
              <w:rPr>
                <w:b/>
                <w:bCs/>
                <w:i/>
                <w:iCs/>
                <w:sz w:val="22"/>
                <w:szCs w:val="22"/>
              </w:rPr>
            </w:pPr>
            <w:r>
              <w:rPr>
                <w:b/>
                <w:bCs/>
                <w:i/>
                <w:iCs/>
                <w:sz w:val="22"/>
                <w:szCs w:val="22"/>
              </w:rPr>
              <w:t>EI</w:t>
            </w:r>
            <w:r>
              <w:rPr>
                <w:b/>
                <w:bCs/>
                <w:i/>
                <w:iCs/>
                <w:sz w:val="22"/>
                <w:szCs w:val="22"/>
                <w:vertAlign w:val="subscript"/>
              </w:rPr>
              <w:t>2</w:t>
            </w:r>
            <w:r>
              <w:rPr>
                <w:b/>
                <w:bCs/>
                <w:i/>
                <w:iCs/>
                <w:sz w:val="22"/>
                <w:szCs w:val="22"/>
              </w:rPr>
              <w:t xml:space="preserve"> 60-C5S</w:t>
            </w:r>
            <w:r>
              <w:rPr>
                <w:b/>
                <w:bCs/>
                <w:i/>
                <w:iCs/>
                <w:sz w:val="22"/>
                <w:szCs w:val="22"/>
                <w:vertAlign w:val="subscript"/>
              </w:rPr>
              <w:t>200</w:t>
            </w:r>
          </w:p>
        </w:tc>
        <w:tc>
          <w:tcPr>
            <w:tcW w:w="2115" w:type="dxa"/>
            <w:shd w:val="clear" w:color="auto" w:fill="auto"/>
            <w:vAlign w:val="center"/>
          </w:tcPr>
          <w:p w14:paraId="3BF0DA29" w14:textId="77777777" w:rsidR="001C08A5" w:rsidRDefault="00000000">
            <w:pPr>
              <w:pStyle w:val="Contenutotabellacentrato"/>
              <w:rPr>
                <w:b/>
                <w:i/>
                <w:iCs/>
                <w:sz w:val="22"/>
                <w:szCs w:val="22"/>
              </w:rPr>
            </w:pPr>
            <w:r>
              <w:rPr>
                <w:b/>
                <w:bCs/>
                <w:i/>
                <w:iCs/>
                <w:sz w:val="22"/>
                <w:szCs w:val="22"/>
              </w:rPr>
              <w:t xml:space="preserve">EI 60/REI 60 </w:t>
            </w:r>
          </w:p>
        </w:tc>
        <w:tc>
          <w:tcPr>
            <w:tcW w:w="1890" w:type="dxa"/>
            <w:shd w:val="clear" w:color="auto" w:fill="auto"/>
            <w:vAlign w:val="center"/>
          </w:tcPr>
          <w:p w14:paraId="21EE1863" w14:textId="77777777" w:rsidR="001C08A5" w:rsidRDefault="00000000">
            <w:pPr>
              <w:pStyle w:val="Contenutotabellacentrato"/>
              <w:rPr>
                <w:b/>
                <w:i/>
                <w:iCs/>
                <w:sz w:val="22"/>
                <w:szCs w:val="22"/>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r w:rsidR="001C08A5" w14:paraId="62048073" w14:textId="77777777">
        <w:tc>
          <w:tcPr>
            <w:tcW w:w="2029" w:type="dxa"/>
            <w:vMerge/>
            <w:shd w:val="clear" w:color="auto" w:fill="auto"/>
            <w:vAlign w:val="center"/>
          </w:tcPr>
          <w:p w14:paraId="5E6AFA3B" w14:textId="77777777" w:rsidR="001C08A5" w:rsidRDefault="001C08A5">
            <w:pPr>
              <w:pStyle w:val="Contenutotabellacentrato"/>
              <w:keepNext/>
              <w:rPr>
                <w:b/>
                <w:bCs/>
                <w:i/>
                <w:iCs/>
                <w:sz w:val="22"/>
                <w:szCs w:val="22"/>
              </w:rPr>
            </w:pPr>
          </w:p>
        </w:tc>
        <w:tc>
          <w:tcPr>
            <w:tcW w:w="1806" w:type="dxa"/>
            <w:shd w:val="clear" w:color="auto" w:fill="auto"/>
            <w:vAlign w:val="center"/>
          </w:tcPr>
          <w:p w14:paraId="490E86A5" w14:textId="77777777" w:rsidR="001C08A5" w:rsidRDefault="00000000">
            <w:pPr>
              <w:pStyle w:val="Contenutotabellacentrato"/>
              <w:rPr>
                <w:b/>
                <w:bCs/>
                <w:i/>
                <w:iCs/>
                <w:sz w:val="22"/>
                <w:szCs w:val="22"/>
              </w:rPr>
            </w:pPr>
            <w:r>
              <w:rPr>
                <w:b/>
                <w:bCs/>
                <w:i/>
                <w:iCs/>
                <w:sz w:val="22"/>
                <w:szCs w:val="22"/>
              </w:rPr>
              <w:t>EI-M 120/REI 120 (630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840 MJ/m</w:t>
            </w:r>
            <w:r>
              <w:rPr>
                <w:b/>
                <w:bCs/>
                <w:i/>
                <w:iCs/>
                <w:sz w:val="22"/>
                <w:szCs w:val="22"/>
                <w:vertAlign w:val="superscript"/>
              </w:rPr>
              <w:t>2</w:t>
            </w:r>
            <w:r>
              <w:rPr>
                <w:b/>
                <w:bCs/>
                <w:i/>
                <w:iCs/>
                <w:sz w:val="22"/>
                <w:szCs w:val="22"/>
              </w:rPr>
              <w:t>)</w:t>
            </w:r>
          </w:p>
        </w:tc>
        <w:tc>
          <w:tcPr>
            <w:tcW w:w="1890" w:type="dxa"/>
            <w:shd w:val="clear" w:color="auto" w:fill="auto"/>
            <w:vAlign w:val="center"/>
          </w:tcPr>
          <w:p w14:paraId="4D504048" w14:textId="77777777" w:rsidR="001C08A5" w:rsidRDefault="00000000">
            <w:pPr>
              <w:pStyle w:val="Contenutotabellacentrato"/>
              <w:rPr>
                <w:b/>
                <w:bCs/>
                <w:i/>
                <w:iCs/>
                <w:sz w:val="22"/>
                <w:szCs w:val="22"/>
              </w:rPr>
            </w:pPr>
            <w:r>
              <w:rPr>
                <w:b/>
                <w:bCs/>
                <w:i/>
                <w:iCs/>
                <w:sz w:val="22"/>
                <w:szCs w:val="22"/>
              </w:rPr>
              <w:t>EI</w:t>
            </w:r>
            <w:r>
              <w:rPr>
                <w:b/>
                <w:bCs/>
                <w:i/>
                <w:iCs/>
                <w:sz w:val="22"/>
                <w:szCs w:val="22"/>
                <w:vertAlign w:val="subscript"/>
              </w:rPr>
              <w:t>2</w:t>
            </w:r>
            <w:r>
              <w:rPr>
                <w:b/>
                <w:bCs/>
                <w:i/>
                <w:iCs/>
                <w:sz w:val="22"/>
                <w:szCs w:val="22"/>
              </w:rPr>
              <w:t xml:space="preserve"> 60-C5S</w:t>
            </w:r>
            <w:r>
              <w:rPr>
                <w:b/>
                <w:bCs/>
                <w:i/>
                <w:iCs/>
                <w:sz w:val="22"/>
                <w:szCs w:val="22"/>
                <w:vertAlign w:val="subscript"/>
              </w:rPr>
              <w:t>200</w:t>
            </w:r>
          </w:p>
        </w:tc>
        <w:tc>
          <w:tcPr>
            <w:tcW w:w="2115" w:type="dxa"/>
            <w:shd w:val="clear" w:color="auto" w:fill="auto"/>
            <w:vAlign w:val="center"/>
          </w:tcPr>
          <w:p w14:paraId="1ABEE9EB" w14:textId="77777777" w:rsidR="001C08A5" w:rsidRDefault="00000000">
            <w:pPr>
              <w:pStyle w:val="Contenutotabellacentrato"/>
              <w:rPr>
                <w:b/>
                <w:i/>
                <w:iCs/>
                <w:sz w:val="22"/>
                <w:szCs w:val="22"/>
              </w:rPr>
            </w:pPr>
            <w:r>
              <w:rPr>
                <w:b/>
                <w:bCs/>
                <w:i/>
                <w:iCs/>
                <w:sz w:val="22"/>
                <w:szCs w:val="22"/>
              </w:rPr>
              <w:t>EI 60/REI 60</w:t>
            </w:r>
          </w:p>
        </w:tc>
        <w:tc>
          <w:tcPr>
            <w:tcW w:w="1890" w:type="dxa"/>
            <w:shd w:val="clear" w:color="auto" w:fill="auto"/>
            <w:vAlign w:val="center"/>
          </w:tcPr>
          <w:p w14:paraId="29209518" w14:textId="77777777" w:rsidR="001C08A5" w:rsidRDefault="00000000">
            <w:pPr>
              <w:pStyle w:val="Contenutotabellacentrato"/>
              <w:rPr>
                <w:b/>
                <w:i/>
                <w:iCs/>
                <w:sz w:val="22"/>
                <w:szCs w:val="22"/>
              </w:rPr>
            </w:pPr>
            <w:r>
              <w:rPr>
                <w:b/>
                <w:bCs/>
                <w:i/>
                <w:iCs/>
                <w:sz w:val="22"/>
                <w:szCs w:val="22"/>
              </w:rPr>
              <w:t>2 uși x EI</w:t>
            </w:r>
            <w:r>
              <w:rPr>
                <w:b/>
                <w:bCs/>
                <w:i/>
                <w:iCs/>
                <w:sz w:val="22"/>
                <w:szCs w:val="22"/>
                <w:vertAlign w:val="subscript"/>
              </w:rPr>
              <w:t>2</w:t>
            </w:r>
            <w:r>
              <w:rPr>
                <w:b/>
                <w:bCs/>
                <w:i/>
                <w:iCs/>
                <w:sz w:val="22"/>
                <w:szCs w:val="22"/>
              </w:rPr>
              <w:t xml:space="preserve"> 60-C5S</w:t>
            </w:r>
            <w:r>
              <w:rPr>
                <w:b/>
                <w:bCs/>
                <w:i/>
                <w:iCs/>
                <w:sz w:val="22"/>
                <w:szCs w:val="22"/>
                <w:vertAlign w:val="subscript"/>
              </w:rPr>
              <w:t>200</w:t>
            </w:r>
          </w:p>
        </w:tc>
      </w:tr>
      <w:tr w:rsidR="001C08A5" w14:paraId="79C939D2" w14:textId="77777777">
        <w:tc>
          <w:tcPr>
            <w:tcW w:w="2029" w:type="dxa"/>
            <w:vMerge/>
            <w:shd w:val="clear" w:color="auto" w:fill="auto"/>
            <w:vAlign w:val="center"/>
          </w:tcPr>
          <w:p w14:paraId="61C0A799" w14:textId="77777777" w:rsidR="001C08A5" w:rsidRDefault="001C08A5">
            <w:pPr>
              <w:pStyle w:val="Contenutotabellacentrato"/>
              <w:keepNext/>
              <w:rPr>
                <w:b/>
                <w:bCs/>
                <w:i/>
                <w:iCs/>
                <w:sz w:val="22"/>
                <w:szCs w:val="22"/>
              </w:rPr>
            </w:pPr>
          </w:p>
        </w:tc>
        <w:tc>
          <w:tcPr>
            <w:tcW w:w="1806" w:type="dxa"/>
            <w:shd w:val="clear" w:color="auto" w:fill="auto"/>
            <w:vAlign w:val="center"/>
          </w:tcPr>
          <w:p w14:paraId="36EA8108" w14:textId="77777777" w:rsidR="001C08A5" w:rsidRDefault="00000000">
            <w:pPr>
              <w:pStyle w:val="Contenutotabellacentrato"/>
              <w:rPr>
                <w:b/>
                <w:bCs/>
                <w:i/>
                <w:iCs/>
                <w:sz w:val="22"/>
                <w:szCs w:val="22"/>
              </w:rPr>
            </w:pPr>
            <w:r>
              <w:rPr>
                <w:b/>
                <w:bCs/>
                <w:i/>
                <w:iCs/>
                <w:sz w:val="22"/>
                <w:szCs w:val="22"/>
              </w:rPr>
              <w:t>EI-M 180/REI 180 (840 MJ/m</w:t>
            </w:r>
            <w:r>
              <w:rPr>
                <w:b/>
                <w:bCs/>
                <w:i/>
                <w:iCs/>
                <w:sz w:val="22"/>
                <w:szCs w:val="22"/>
                <w:vertAlign w:val="superscript"/>
              </w:rPr>
              <w:t xml:space="preserve">2 </w:t>
            </w:r>
            <w:r>
              <w:rPr>
                <w:b/>
                <w:bCs/>
                <w:i/>
                <w:iCs/>
                <w:sz w:val="22"/>
                <w:szCs w:val="22"/>
              </w:rPr>
              <w:t xml:space="preserve">&lt;q </w:t>
            </w:r>
            <w:r>
              <w:rPr>
                <w:rFonts w:hint="eastAsia"/>
                <w:b/>
                <w:bCs/>
                <w:i/>
                <w:iCs/>
                <w:sz w:val="22"/>
                <w:szCs w:val="22"/>
              </w:rPr>
              <w:t>≤</w:t>
            </w:r>
            <w:r>
              <w:rPr>
                <w:b/>
                <w:bCs/>
                <w:i/>
                <w:iCs/>
                <w:sz w:val="22"/>
                <w:szCs w:val="22"/>
              </w:rPr>
              <w:t xml:space="preserve"> 1 680 MJ/m</w:t>
            </w:r>
            <w:r>
              <w:rPr>
                <w:b/>
                <w:bCs/>
                <w:i/>
                <w:iCs/>
                <w:sz w:val="22"/>
                <w:szCs w:val="22"/>
                <w:vertAlign w:val="superscript"/>
              </w:rPr>
              <w:t>2</w:t>
            </w:r>
            <w:r>
              <w:rPr>
                <w:b/>
                <w:bCs/>
                <w:i/>
                <w:iCs/>
                <w:sz w:val="22"/>
                <w:szCs w:val="22"/>
              </w:rPr>
              <w:t>)</w:t>
            </w:r>
          </w:p>
        </w:tc>
        <w:tc>
          <w:tcPr>
            <w:tcW w:w="1890" w:type="dxa"/>
            <w:shd w:val="clear" w:color="auto" w:fill="auto"/>
            <w:vAlign w:val="center"/>
          </w:tcPr>
          <w:p w14:paraId="5D64F1B0" w14:textId="77777777" w:rsidR="001C08A5" w:rsidRDefault="00000000">
            <w:pPr>
              <w:pStyle w:val="Contenutotabellacentrato"/>
              <w:rPr>
                <w:b/>
                <w:bCs/>
                <w:i/>
                <w:iCs/>
                <w:sz w:val="22"/>
                <w:szCs w:val="22"/>
              </w:rPr>
            </w:pPr>
            <w:r>
              <w:rPr>
                <w:b/>
                <w:bCs/>
                <w:i/>
                <w:iCs/>
                <w:sz w:val="22"/>
                <w:szCs w:val="22"/>
              </w:rPr>
              <w:t>EI</w:t>
            </w:r>
            <w:r>
              <w:rPr>
                <w:b/>
                <w:bCs/>
                <w:i/>
                <w:iCs/>
                <w:sz w:val="22"/>
                <w:szCs w:val="22"/>
                <w:vertAlign w:val="subscript"/>
              </w:rPr>
              <w:t>2</w:t>
            </w:r>
            <w:r>
              <w:rPr>
                <w:b/>
                <w:bCs/>
                <w:i/>
                <w:iCs/>
                <w:sz w:val="22"/>
                <w:szCs w:val="22"/>
              </w:rPr>
              <w:t xml:space="preserve"> 90-C5S</w:t>
            </w:r>
            <w:r>
              <w:rPr>
                <w:b/>
                <w:bCs/>
                <w:i/>
                <w:iCs/>
                <w:sz w:val="22"/>
                <w:szCs w:val="22"/>
                <w:vertAlign w:val="subscript"/>
              </w:rPr>
              <w:t>200</w:t>
            </w:r>
            <w:r>
              <w:rPr>
                <w:b/>
                <w:bCs/>
                <w:i/>
                <w:iCs/>
                <w:sz w:val="22"/>
                <w:szCs w:val="22"/>
              </w:rPr>
              <w:t xml:space="preserve"> </w:t>
            </w:r>
          </w:p>
        </w:tc>
        <w:tc>
          <w:tcPr>
            <w:tcW w:w="2115" w:type="dxa"/>
            <w:shd w:val="clear" w:color="auto" w:fill="auto"/>
            <w:vAlign w:val="center"/>
          </w:tcPr>
          <w:p w14:paraId="0498C85B" w14:textId="77777777" w:rsidR="001C08A5" w:rsidRDefault="00000000">
            <w:pPr>
              <w:pStyle w:val="Contenutotabellacentrato"/>
              <w:rPr>
                <w:b/>
                <w:i/>
                <w:iCs/>
                <w:sz w:val="22"/>
                <w:szCs w:val="22"/>
              </w:rPr>
            </w:pPr>
            <w:r>
              <w:rPr>
                <w:b/>
                <w:bCs/>
                <w:i/>
                <w:iCs/>
                <w:sz w:val="22"/>
                <w:szCs w:val="22"/>
              </w:rPr>
              <w:t xml:space="preserve">EI 90/REI 90 </w:t>
            </w:r>
          </w:p>
        </w:tc>
        <w:tc>
          <w:tcPr>
            <w:tcW w:w="1890" w:type="dxa"/>
            <w:shd w:val="clear" w:color="auto" w:fill="auto"/>
            <w:vAlign w:val="center"/>
          </w:tcPr>
          <w:p w14:paraId="744AEF3F" w14:textId="77777777" w:rsidR="001C08A5" w:rsidRDefault="00000000">
            <w:pPr>
              <w:pStyle w:val="Contenutotabellacentrato"/>
              <w:rPr>
                <w:b/>
                <w:i/>
                <w:iCs/>
                <w:sz w:val="22"/>
                <w:szCs w:val="22"/>
              </w:rPr>
            </w:pPr>
            <w:r>
              <w:rPr>
                <w:b/>
                <w:bCs/>
                <w:i/>
                <w:iCs/>
                <w:sz w:val="22"/>
                <w:szCs w:val="22"/>
              </w:rPr>
              <w:t>2 uși x EI</w:t>
            </w:r>
            <w:r>
              <w:rPr>
                <w:b/>
                <w:bCs/>
                <w:i/>
                <w:iCs/>
                <w:sz w:val="22"/>
                <w:szCs w:val="22"/>
                <w:vertAlign w:val="subscript"/>
              </w:rPr>
              <w:t>2</w:t>
            </w:r>
            <w:r>
              <w:rPr>
                <w:b/>
                <w:bCs/>
                <w:i/>
                <w:iCs/>
                <w:sz w:val="22"/>
                <w:szCs w:val="22"/>
              </w:rPr>
              <w:t xml:space="preserve"> 90-C5S</w:t>
            </w:r>
            <w:r>
              <w:rPr>
                <w:b/>
                <w:bCs/>
                <w:i/>
                <w:iCs/>
                <w:sz w:val="22"/>
                <w:szCs w:val="22"/>
                <w:vertAlign w:val="subscript"/>
              </w:rPr>
              <w:t>200</w:t>
            </w:r>
          </w:p>
        </w:tc>
      </w:tr>
      <w:tr w:rsidR="001C08A5" w14:paraId="0512E684" w14:textId="77777777">
        <w:tc>
          <w:tcPr>
            <w:tcW w:w="2029" w:type="dxa"/>
            <w:vMerge/>
            <w:shd w:val="clear" w:color="auto" w:fill="auto"/>
            <w:vAlign w:val="center"/>
          </w:tcPr>
          <w:p w14:paraId="37BC29E5" w14:textId="77777777" w:rsidR="001C08A5" w:rsidRDefault="001C08A5">
            <w:pPr>
              <w:pStyle w:val="Contenutotabellacentrato"/>
              <w:keepNext/>
              <w:rPr>
                <w:b/>
                <w:bCs/>
                <w:i/>
                <w:iCs/>
                <w:sz w:val="22"/>
                <w:szCs w:val="22"/>
              </w:rPr>
            </w:pPr>
          </w:p>
        </w:tc>
        <w:tc>
          <w:tcPr>
            <w:tcW w:w="1806" w:type="dxa"/>
            <w:shd w:val="clear" w:color="auto" w:fill="auto"/>
            <w:vAlign w:val="center"/>
          </w:tcPr>
          <w:p w14:paraId="48A012BA" w14:textId="77777777" w:rsidR="001C08A5" w:rsidRDefault="00000000">
            <w:pPr>
              <w:pStyle w:val="Contenutotabellacentrato"/>
              <w:rPr>
                <w:b/>
                <w:bCs/>
                <w:i/>
                <w:iCs/>
                <w:sz w:val="22"/>
                <w:szCs w:val="22"/>
              </w:rPr>
            </w:pPr>
            <w:r>
              <w:rPr>
                <w:b/>
                <w:bCs/>
                <w:i/>
                <w:iCs/>
                <w:sz w:val="22"/>
                <w:szCs w:val="22"/>
              </w:rPr>
              <w:t>EI-M 240/REI 240 (q &gt; 1 680 MJ/m</w:t>
            </w:r>
            <w:r>
              <w:rPr>
                <w:b/>
                <w:bCs/>
                <w:i/>
                <w:iCs/>
                <w:sz w:val="22"/>
                <w:szCs w:val="22"/>
                <w:vertAlign w:val="superscript"/>
              </w:rPr>
              <w:t xml:space="preserve">2 </w:t>
            </w:r>
            <w:r>
              <w:rPr>
                <w:i/>
                <w:iCs/>
                <w:sz w:val="22"/>
                <w:szCs w:val="22"/>
              </w:rPr>
              <w:t>şi/sau există pericol de explozie volumetrică)</w:t>
            </w:r>
          </w:p>
        </w:tc>
        <w:tc>
          <w:tcPr>
            <w:tcW w:w="1890" w:type="dxa"/>
            <w:shd w:val="clear" w:color="auto" w:fill="auto"/>
            <w:vAlign w:val="center"/>
          </w:tcPr>
          <w:p w14:paraId="3FFB4FEC" w14:textId="77777777" w:rsidR="001C08A5" w:rsidRDefault="00000000">
            <w:pPr>
              <w:pStyle w:val="Contenutotabellacentrato"/>
              <w:rPr>
                <w:b/>
                <w:bCs/>
                <w:i/>
                <w:iCs/>
                <w:sz w:val="22"/>
                <w:szCs w:val="22"/>
              </w:rPr>
            </w:pPr>
            <w:r>
              <w:rPr>
                <w:b/>
                <w:bCs/>
                <w:i/>
                <w:iCs/>
                <w:sz w:val="22"/>
                <w:szCs w:val="22"/>
              </w:rPr>
              <w:t>Nu se admite</w:t>
            </w:r>
          </w:p>
        </w:tc>
        <w:tc>
          <w:tcPr>
            <w:tcW w:w="2115" w:type="dxa"/>
            <w:shd w:val="clear" w:color="auto" w:fill="auto"/>
            <w:vAlign w:val="center"/>
          </w:tcPr>
          <w:p w14:paraId="2735EF39" w14:textId="77777777" w:rsidR="001C08A5" w:rsidRDefault="00000000">
            <w:pPr>
              <w:pStyle w:val="Contenutotabellacentrato"/>
              <w:rPr>
                <w:b/>
                <w:i/>
                <w:iCs/>
                <w:sz w:val="22"/>
                <w:szCs w:val="22"/>
              </w:rPr>
            </w:pPr>
            <w:r>
              <w:rPr>
                <w:b/>
                <w:bCs/>
                <w:i/>
                <w:iCs/>
                <w:sz w:val="22"/>
                <w:szCs w:val="22"/>
              </w:rPr>
              <w:t xml:space="preserve">EI-M 120/REI 120 </w:t>
            </w:r>
          </w:p>
        </w:tc>
        <w:tc>
          <w:tcPr>
            <w:tcW w:w="1890" w:type="dxa"/>
            <w:shd w:val="clear" w:color="auto" w:fill="auto"/>
            <w:vAlign w:val="center"/>
          </w:tcPr>
          <w:p w14:paraId="5B27130E" w14:textId="77777777" w:rsidR="001C08A5" w:rsidRDefault="00000000">
            <w:pPr>
              <w:pStyle w:val="Contenutotabellacentrato"/>
              <w:rPr>
                <w:b/>
                <w:i/>
                <w:iCs/>
                <w:sz w:val="22"/>
                <w:szCs w:val="22"/>
              </w:rPr>
            </w:pPr>
            <w:r>
              <w:rPr>
                <w:b/>
                <w:bCs/>
                <w:i/>
                <w:iCs/>
                <w:sz w:val="22"/>
                <w:szCs w:val="22"/>
              </w:rPr>
              <w:t>Obligatoriu încăpere tampon protejată prevazută cu 2 uși x EI</w:t>
            </w:r>
            <w:r>
              <w:rPr>
                <w:b/>
                <w:bCs/>
                <w:i/>
                <w:iCs/>
                <w:sz w:val="22"/>
                <w:szCs w:val="22"/>
                <w:vertAlign w:val="subscript"/>
              </w:rPr>
              <w:t>2</w:t>
            </w:r>
            <w:r>
              <w:rPr>
                <w:b/>
                <w:bCs/>
                <w:i/>
                <w:iCs/>
                <w:sz w:val="22"/>
                <w:szCs w:val="22"/>
              </w:rPr>
              <w:t xml:space="preserve"> 120-C5S</w:t>
            </w:r>
            <w:r>
              <w:rPr>
                <w:b/>
                <w:bCs/>
                <w:i/>
                <w:iCs/>
                <w:sz w:val="22"/>
                <w:szCs w:val="22"/>
                <w:vertAlign w:val="subscript"/>
              </w:rPr>
              <w:t>200</w:t>
            </w:r>
          </w:p>
        </w:tc>
      </w:tr>
    </w:tbl>
    <w:p w14:paraId="4122150B" w14:textId="77777777" w:rsidR="001C08A5" w:rsidRDefault="001C08A5">
      <w:pPr>
        <w:tabs>
          <w:tab w:val="left" w:pos="426"/>
          <w:tab w:val="left" w:pos="993"/>
        </w:tabs>
        <w:jc w:val="both"/>
        <w:rPr>
          <w:bCs/>
          <w:i/>
          <w:sz w:val="24"/>
        </w:rPr>
      </w:pPr>
    </w:p>
    <w:p w14:paraId="538E1E96" w14:textId="77777777" w:rsidR="001C08A5" w:rsidRDefault="00000000">
      <w:pPr>
        <w:numPr>
          <w:ilvl w:val="0"/>
          <w:numId w:val="96"/>
        </w:numPr>
        <w:tabs>
          <w:tab w:val="left" w:pos="426"/>
          <w:tab w:val="left" w:pos="993"/>
        </w:tabs>
        <w:jc w:val="both"/>
        <w:rPr>
          <w:bCs/>
          <w:i/>
          <w:sz w:val="24"/>
        </w:rPr>
      </w:pPr>
      <w:r>
        <w:rPr>
          <w:bCs/>
          <w:i/>
          <w:sz w:val="24"/>
          <w:lang w:val="en-GB" w:eastAsia="en-GB" w:bidi="en-GB"/>
        </w:rPr>
        <w:t>U</w:t>
      </w:r>
      <w:r>
        <w:rPr>
          <w:bCs/>
          <w:i/>
          <w:sz w:val="24"/>
          <w:lang w:eastAsia="en-GB" w:bidi="en-GB"/>
        </w:rPr>
        <w:t>ș</w:t>
      </w:r>
      <w:r>
        <w:rPr>
          <w:bCs/>
          <w:i/>
          <w:sz w:val="24"/>
          <w:lang w:val="en-GB" w:eastAsia="en-GB" w:bidi="en-GB"/>
        </w:rPr>
        <w:t xml:space="preserve">ile, obloanele </w:t>
      </w:r>
      <w:r>
        <w:rPr>
          <w:bCs/>
          <w:i/>
          <w:sz w:val="24"/>
          <w:lang w:eastAsia="en-GB" w:bidi="en-GB"/>
        </w:rPr>
        <w:t>ș</w:t>
      </w:r>
      <w:r>
        <w:rPr>
          <w:bCs/>
          <w:i/>
          <w:sz w:val="24"/>
          <w:lang w:val="en-GB" w:eastAsia="en-GB" w:bidi="en-GB"/>
        </w:rPr>
        <w:t>i cortinele rezistente la foc care protejaza golurile func</w:t>
      </w:r>
      <w:r>
        <w:rPr>
          <w:bCs/>
          <w:i/>
          <w:sz w:val="24"/>
          <w:lang w:eastAsia="en-GB" w:bidi="en-GB"/>
        </w:rPr>
        <w:t>ț</w:t>
      </w:r>
      <w:r>
        <w:rPr>
          <w:bCs/>
          <w:i/>
          <w:sz w:val="24"/>
          <w:lang w:val="en-GB" w:eastAsia="en-GB" w:bidi="en-GB"/>
        </w:rPr>
        <w:t>ionale din pere</w:t>
      </w:r>
      <w:r>
        <w:rPr>
          <w:bCs/>
          <w:i/>
          <w:sz w:val="24"/>
          <w:lang w:eastAsia="en-GB" w:bidi="en-GB"/>
        </w:rPr>
        <w:t>ț</w:t>
      </w:r>
      <w:r>
        <w:rPr>
          <w:bCs/>
          <w:i/>
          <w:sz w:val="24"/>
          <w:lang w:val="en-GB" w:eastAsia="en-GB" w:bidi="en-GB"/>
        </w:rPr>
        <w:t>ii antifoc</w:t>
      </w:r>
      <w:r>
        <w:rPr>
          <w:bCs/>
          <w:i/>
          <w:sz w:val="24"/>
          <w:lang w:eastAsia="en-GB" w:bidi="en-GB"/>
        </w:rPr>
        <w:t xml:space="preserve"> </w:t>
      </w:r>
      <w:r>
        <w:rPr>
          <w:b/>
          <w:bCs/>
          <w:i/>
          <w:sz w:val="24"/>
          <w:lang w:eastAsia="en-GB" w:bidi="en-GB"/>
        </w:rPr>
        <w:t xml:space="preserve">EI-M180/REI180 </w:t>
      </w:r>
      <w:r>
        <w:rPr>
          <w:i/>
          <w:sz w:val="24"/>
          <w:lang w:eastAsia="en-GB" w:bidi="en-GB"/>
        </w:rPr>
        <w:t>(exemplu)</w:t>
      </w:r>
      <w:r>
        <w:rPr>
          <w:bCs/>
          <w:i/>
          <w:sz w:val="24"/>
          <w:lang w:val="en-GB" w:eastAsia="en-GB" w:bidi="en-GB"/>
        </w:rPr>
        <w:t>, trebuie s</w:t>
      </w:r>
      <w:r>
        <w:rPr>
          <w:bCs/>
          <w:i/>
          <w:sz w:val="24"/>
          <w:lang w:eastAsia="en-GB" w:bidi="en-GB"/>
        </w:rPr>
        <w:t>ă</w:t>
      </w:r>
      <w:r>
        <w:rPr>
          <w:bCs/>
          <w:i/>
          <w:sz w:val="24"/>
          <w:lang w:val="en-GB" w:eastAsia="en-GB" w:bidi="en-GB"/>
        </w:rPr>
        <w:t xml:space="preserve"> fie rezistente la foc minimum </w:t>
      </w:r>
      <w:r>
        <w:rPr>
          <w:b/>
          <w:bCs/>
          <w:i/>
          <w:sz w:val="24"/>
          <w:lang w:val="en-GB" w:eastAsia="en-GB" w:bidi="en-GB"/>
        </w:rPr>
        <w:t>90</w:t>
      </w:r>
      <w:r>
        <w:rPr>
          <w:bCs/>
          <w:i/>
          <w:sz w:val="24"/>
          <w:lang w:val="en-GB" w:eastAsia="en-GB" w:bidi="en-GB"/>
        </w:rPr>
        <w:t xml:space="preserve"> de minute, astfel:</w:t>
      </w:r>
    </w:p>
    <w:p w14:paraId="0E38474C" w14:textId="77777777" w:rsidR="001C08A5" w:rsidRDefault="00000000">
      <w:pPr>
        <w:widowControl w:val="0"/>
        <w:numPr>
          <w:ilvl w:val="0"/>
          <w:numId w:val="97"/>
        </w:numPr>
        <w:spacing w:line="264" w:lineRule="exact"/>
        <w:ind w:hanging="780"/>
        <w:jc w:val="both"/>
        <w:rPr>
          <w:rFonts w:eastAsia="Arial"/>
          <w:i/>
          <w:sz w:val="24"/>
          <w:szCs w:val="24"/>
        </w:rPr>
      </w:pPr>
      <w:r>
        <w:rPr>
          <w:rFonts w:eastAsia="Arial"/>
          <w:i/>
          <w:sz w:val="24"/>
          <w:szCs w:val="24"/>
          <w:lang w:val="en-GB" w:eastAsia="en-GB" w:bidi="en-GB"/>
        </w:rPr>
        <w:t>U</w:t>
      </w:r>
      <w:r>
        <w:rPr>
          <w:rFonts w:eastAsia="Arial"/>
          <w:i/>
          <w:sz w:val="24"/>
          <w:szCs w:val="24"/>
          <w:lang w:eastAsia="en-GB" w:bidi="en-GB"/>
        </w:rPr>
        <w:t>ș</w:t>
      </w:r>
      <w:r>
        <w:rPr>
          <w:rFonts w:eastAsia="Arial"/>
          <w:i/>
          <w:sz w:val="24"/>
          <w:szCs w:val="24"/>
          <w:lang w:val="en-GB" w:eastAsia="en-GB" w:bidi="en-GB"/>
        </w:rPr>
        <w:t xml:space="preserve">i rezistente la foc (inclusiv dispozitivele lor de </w:t>
      </w:r>
      <w:r>
        <w:rPr>
          <w:rFonts w:eastAsia="Arial"/>
          <w:i/>
          <w:sz w:val="24"/>
          <w:szCs w:val="24"/>
          <w:lang w:eastAsia="en-GB" w:bidi="en-GB"/>
        </w:rPr>
        <w:t>î</w:t>
      </w:r>
      <w:r>
        <w:rPr>
          <w:rFonts w:eastAsia="Arial"/>
          <w:i/>
          <w:sz w:val="24"/>
          <w:szCs w:val="24"/>
          <w:lang w:val="en-GB" w:eastAsia="en-GB" w:bidi="en-GB"/>
        </w:rPr>
        <w:t>nchidere) trebuie s</w:t>
      </w:r>
      <w:r>
        <w:rPr>
          <w:rFonts w:eastAsia="Arial"/>
          <w:i/>
          <w:sz w:val="24"/>
          <w:szCs w:val="24"/>
          <w:lang w:eastAsia="en-GB" w:bidi="en-GB"/>
        </w:rPr>
        <w:t>ă</w:t>
      </w:r>
      <w:r>
        <w:rPr>
          <w:rFonts w:eastAsia="Arial"/>
          <w:i/>
          <w:sz w:val="24"/>
          <w:szCs w:val="24"/>
          <w:lang w:val="en-GB" w:eastAsia="en-GB" w:bidi="en-GB"/>
        </w:rPr>
        <w:t xml:space="preserve"> fie rezistente la foc minimum </w:t>
      </w:r>
      <w:r>
        <w:rPr>
          <w:rFonts w:eastAsia="Arial"/>
          <w:b/>
          <w:bCs/>
          <w:i/>
          <w:sz w:val="24"/>
          <w:szCs w:val="24"/>
          <w:lang w:val="en-GB" w:eastAsia="en-GB" w:bidi="en-GB"/>
        </w:rPr>
        <w:t>EI</w:t>
      </w:r>
      <w:r>
        <w:rPr>
          <w:rFonts w:eastAsia="Arial"/>
          <w:b/>
          <w:bCs/>
          <w:i/>
          <w:sz w:val="24"/>
          <w:szCs w:val="24"/>
          <w:vertAlign w:val="subscript"/>
          <w:lang w:val="en-GB" w:eastAsia="en-GB" w:bidi="en-GB"/>
        </w:rPr>
        <w:t>2</w:t>
      </w:r>
      <w:r>
        <w:rPr>
          <w:rFonts w:eastAsia="Arial"/>
          <w:b/>
          <w:bCs/>
          <w:i/>
          <w:sz w:val="24"/>
          <w:szCs w:val="24"/>
          <w:lang w:val="en-GB" w:eastAsia="en-GB" w:bidi="en-GB"/>
        </w:rPr>
        <w:t xml:space="preserve"> 90-C5S</w:t>
      </w:r>
      <w:r>
        <w:rPr>
          <w:rFonts w:eastAsia="Arial"/>
          <w:b/>
          <w:bCs/>
          <w:i/>
          <w:sz w:val="24"/>
          <w:szCs w:val="24"/>
          <w:vertAlign w:val="subscript"/>
          <w:lang w:val="en-GB" w:eastAsia="en-GB" w:bidi="en-GB"/>
        </w:rPr>
        <w:t>200</w:t>
      </w:r>
      <w:r>
        <w:rPr>
          <w:rFonts w:eastAsia="Arial"/>
          <w:i/>
          <w:sz w:val="24"/>
          <w:szCs w:val="24"/>
          <w:lang w:val="en-GB" w:eastAsia="en-GB" w:bidi="en-GB"/>
        </w:rPr>
        <w:t>.</w:t>
      </w:r>
    </w:p>
    <w:p w14:paraId="2013EA2E" w14:textId="77777777" w:rsidR="001C08A5" w:rsidRDefault="00000000">
      <w:pPr>
        <w:widowControl w:val="0"/>
        <w:numPr>
          <w:ilvl w:val="0"/>
          <w:numId w:val="97"/>
        </w:numPr>
        <w:spacing w:line="264" w:lineRule="exact"/>
        <w:ind w:hanging="780"/>
        <w:jc w:val="both"/>
        <w:rPr>
          <w:rFonts w:eastAsia="Arial"/>
          <w:i/>
          <w:sz w:val="24"/>
          <w:szCs w:val="24"/>
        </w:rPr>
      </w:pPr>
      <w:r>
        <w:rPr>
          <w:rFonts w:eastAsia="Arial"/>
          <w:i/>
          <w:sz w:val="24"/>
          <w:szCs w:val="24"/>
          <w:lang w:val="en-GB" w:eastAsia="en-GB" w:bidi="en-GB"/>
        </w:rPr>
        <w:t xml:space="preserve">Obloane rezistente la foc (inclusiv dispozitivele lor de </w:t>
      </w:r>
      <w:r>
        <w:rPr>
          <w:rFonts w:eastAsia="Arial"/>
          <w:i/>
          <w:sz w:val="24"/>
          <w:szCs w:val="24"/>
          <w:lang w:eastAsia="en-GB" w:bidi="en-GB"/>
        </w:rPr>
        <w:t>î</w:t>
      </w:r>
      <w:r>
        <w:rPr>
          <w:rFonts w:eastAsia="Arial"/>
          <w:i/>
          <w:sz w:val="24"/>
          <w:szCs w:val="24"/>
          <w:lang w:val="en-GB" w:eastAsia="en-GB" w:bidi="en-GB"/>
        </w:rPr>
        <w:t>nchidere) trebuie s</w:t>
      </w:r>
      <w:r>
        <w:rPr>
          <w:rFonts w:eastAsia="Arial"/>
          <w:i/>
          <w:sz w:val="24"/>
          <w:szCs w:val="24"/>
          <w:lang w:eastAsia="en-GB" w:bidi="en-GB"/>
        </w:rPr>
        <w:t>ă</w:t>
      </w:r>
      <w:r>
        <w:rPr>
          <w:rFonts w:eastAsia="Arial"/>
          <w:i/>
          <w:sz w:val="24"/>
          <w:szCs w:val="24"/>
          <w:lang w:val="en-GB" w:eastAsia="en-GB" w:bidi="en-GB"/>
        </w:rPr>
        <w:t xml:space="preserve"> fie rezistente la foc minimum</w:t>
      </w:r>
      <w:r>
        <w:rPr>
          <w:rFonts w:eastAsia="Arial"/>
          <w:b/>
          <w:bCs/>
          <w:i/>
          <w:sz w:val="24"/>
          <w:szCs w:val="24"/>
          <w:lang w:val="en-GB" w:eastAsia="en-GB" w:bidi="en-GB"/>
        </w:rPr>
        <w:t xml:space="preserve"> EI</w:t>
      </w:r>
      <w:r>
        <w:rPr>
          <w:rFonts w:eastAsia="Arial"/>
          <w:b/>
          <w:bCs/>
          <w:i/>
          <w:sz w:val="24"/>
          <w:szCs w:val="24"/>
          <w:vertAlign w:val="subscript"/>
          <w:lang w:val="en-GB" w:eastAsia="en-GB" w:bidi="en-GB"/>
        </w:rPr>
        <w:t>2</w:t>
      </w:r>
      <w:r>
        <w:rPr>
          <w:rFonts w:eastAsia="Arial"/>
          <w:b/>
          <w:bCs/>
          <w:i/>
          <w:sz w:val="24"/>
          <w:szCs w:val="24"/>
          <w:lang w:val="en-GB" w:eastAsia="en-GB" w:bidi="en-GB"/>
        </w:rPr>
        <w:t xml:space="preserve"> 90-C3</w:t>
      </w:r>
      <w:r>
        <w:rPr>
          <w:rFonts w:eastAsia="Arial"/>
          <w:i/>
          <w:sz w:val="24"/>
          <w:szCs w:val="24"/>
          <w:lang w:val="en-GB" w:eastAsia="en-GB" w:bidi="en-GB"/>
        </w:rPr>
        <w:t>.</w:t>
      </w:r>
    </w:p>
    <w:p w14:paraId="370BA9B3" w14:textId="77777777" w:rsidR="001C08A5" w:rsidRDefault="00000000">
      <w:pPr>
        <w:widowControl w:val="0"/>
        <w:numPr>
          <w:ilvl w:val="0"/>
          <w:numId w:val="97"/>
        </w:numPr>
        <w:spacing w:line="264" w:lineRule="exact"/>
        <w:ind w:hanging="780"/>
        <w:jc w:val="both"/>
        <w:rPr>
          <w:rFonts w:eastAsia="Arial"/>
          <w:i/>
          <w:sz w:val="24"/>
          <w:szCs w:val="24"/>
        </w:rPr>
      </w:pPr>
      <w:r>
        <w:rPr>
          <w:rFonts w:eastAsia="Arial"/>
          <w:i/>
          <w:sz w:val="24"/>
          <w:szCs w:val="24"/>
          <w:lang w:val="en-GB" w:eastAsia="en-GB" w:bidi="en-GB"/>
        </w:rPr>
        <w:t>Cortine rezistente la foc (prevazute cu ansamblu de sprinklere dac</w:t>
      </w:r>
      <w:r>
        <w:rPr>
          <w:rFonts w:eastAsia="Arial"/>
          <w:i/>
          <w:sz w:val="24"/>
          <w:szCs w:val="24"/>
          <w:lang w:eastAsia="en-GB" w:bidi="en-GB"/>
        </w:rPr>
        <w:t>ă</w:t>
      </w:r>
      <w:r>
        <w:rPr>
          <w:rFonts w:eastAsia="Arial"/>
          <w:i/>
          <w:sz w:val="24"/>
          <w:szCs w:val="24"/>
          <w:lang w:val="en-GB" w:eastAsia="en-GB" w:bidi="en-GB"/>
        </w:rPr>
        <w:t xml:space="preserve"> acestea </w:t>
      </w:r>
      <w:r>
        <w:rPr>
          <w:rFonts w:eastAsia="Arial"/>
          <w:i/>
          <w:sz w:val="24"/>
          <w:szCs w:val="24"/>
          <w:lang w:eastAsia="en-GB" w:bidi="en-GB"/>
        </w:rPr>
        <w:t>î</w:t>
      </w:r>
      <w:r>
        <w:rPr>
          <w:rFonts w:eastAsia="Arial"/>
          <w:i/>
          <w:sz w:val="24"/>
          <w:szCs w:val="24"/>
          <w:lang w:val="en-GB" w:eastAsia="en-GB" w:bidi="en-GB"/>
        </w:rPr>
        <w:t>ndeplinesc</w:t>
      </w:r>
      <w:r>
        <w:rPr>
          <w:rFonts w:eastAsia="Arial"/>
          <w:i/>
          <w:sz w:val="24"/>
          <w:szCs w:val="24"/>
        </w:rPr>
        <w:t xml:space="preserve"> </w:t>
      </w:r>
      <w:r>
        <w:rPr>
          <w:rFonts w:eastAsia="Arial"/>
          <w:i/>
          <w:sz w:val="24"/>
          <w:szCs w:val="24"/>
          <w:lang w:val="en-GB" w:eastAsia="en-GB" w:bidi="en-GB"/>
        </w:rPr>
        <w:t xml:space="preserve">doar criteriul </w:t>
      </w:r>
      <w:r>
        <w:rPr>
          <w:rFonts w:eastAsia="Arial"/>
          <w:b/>
          <w:bCs/>
          <w:i/>
          <w:sz w:val="24"/>
          <w:szCs w:val="24"/>
          <w:lang w:val="en-GB" w:eastAsia="en-GB" w:bidi="en-GB"/>
        </w:rPr>
        <w:t>E90</w:t>
      </w:r>
      <w:r>
        <w:rPr>
          <w:rFonts w:eastAsia="Arial"/>
          <w:i/>
          <w:sz w:val="24"/>
          <w:szCs w:val="24"/>
          <w:lang w:val="en-GB" w:eastAsia="en-GB" w:bidi="en-GB"/>
        </w:rPr>
        <w:t>) trebuie s</w:t>
      </w:r>
      <w:r>
        <w:rPr>
          <w:rFonts w:eastAsia="Arial"/>
          <w:i/>
          <w:sz w:val="24"/>
          <w:szCs w:val="24"/>
          <w:lang w:eastAsia="en-GB" w:bidi="en-GB"/>
        </w:rPr>
        <w:t>ă</w:t>
      </w:r>
      <w:r>
        <w:rPr>
          <w:rFonts w:eastAsia="Arial"/>
          <w:i/>
          <w:sz w:val="24"/>
          <w:szCs w:val="24"/>
          <w:lang w:val="en-GB" w:eastAsia="en-GB" w:bidi="en-GB"/>
        </w:rPr>
        <w:t xml:space="preserve"> fie rezistente la foc minimum </w:t>
      </w:r>
      <w:r>
        <w:rPr>
          <w:rFonts w:eastAsia="Arial"/>
          <w:b/>
          <w:bCs/>
          <w:i/>
          <w:sz w:val="24"/>
          <w:szCs w:val="24"/>
          <w:lang w:val="en-GB" w:eastAsia="en-GB" w:bidi="en-GB"/>
        </w:rPr>
        <w:t>EI 90</w:t>
      </w:r>
      <w:r>
        <w:rPr>
          <w:rFonts w:eastAsia="Arial"/>
          <w:i/>
          <w:sz w:val="24"/>
          <w:szCs w:val="24"/>
          <w:lang w:val="en-GB" w:eastAsia="en-GB" w:bidi="en-GB"/>
        </w:rPr>
        <w:t xml:space="preserve"> (etan</w:t>
      </w:r>
      <w:r>
        <w:rPr>
          <w:rFonts w:eastAsia="Arial"/>
          <w:i/>
          <w:sz w:val="24"/>
          <w:szCs w:val="24"/>
          <w:lang w:eastAsia="en-GB" w:bidi="en-GB"/>
        </w:rPr>
        <w:t>ș</w:t>
      </w:r>
      <w:r>
        <w:rPr>
          <w:rFonts w:eastAsia="Arial"/>
          <w:i/>
          <w:sz w:val="24"/>
          <w:szCs w:val="24"/>
          <w:lang w:val="en-GB" w:eastAsia="en-GB" w:bidi="en-GB"/>
        </w:rPr>
        <w:t xml:space="preserve">eitate la foc </w:t>
      </w:r>
      <w:r>
        <w:rPr>
          <w:rFonts w:eastAsia="Arial"/>
          <w:i/>
          <w:sz w:val="24"/>
          <w:szCs w:val="24"/>
          <w:lang w:eastAsia="en-GB" w:bidi="en-GB"/>
        </w:rPr>
        <w:t>ș</w:t>
      </w:r>
      <w:r>
        <w:rPr>
          <w:rFonts w:eastAsia="Arial"/>
          <w:i/>
          <w:sz w:val="24"/>
          <w:szCs w:val="24"/>
          <w:lang w:val="en-GB" w:eastAsia="en-GB" w:bidi="en-GB"/>
        </w:rPr>
        <w:t>i izolare termic</w:t>
      </w:r>
      <w:r>
        <w:rPr>
          <w:rFonts w:eastAsia="Arial"/>
          <w:i/>
          <w:sz w:val="24"/>
          <w:szCs w:val="24"/>
          <w:lang w:eastAsia="en-GB" w:bidi="en-GB"/>
        </w:rPr>
        <w:t>ă</w:t>
      </w:r>
      <w:r>
        <w:rPr>
          <w:rFonts w:eastAsia="Arial"/>
          <w:i/>
          <w:sz w:val="24"/>
          <w:szCs w:val="24"/>
          <w:lang w:val="en-GB" w:eastAsia="en-GB" w:bidi="en-GB"/>
        </w:rPr>
        <w:t xml:space="preserve"> 90 minute).</w:t>
      </w:r>
    </w:p>
    <w:p w14:paraId="5579FA57" w14:textId="77777777" w:rsidR="001C08A5" w:rsidRDefault="00000000">
      <w:pPr>
        <w:widowControl w:val="0"/>
        <w:spacing w:line="264" w:lineRule="exact"/>
        <w:jc w:val="both"/>
        <w:rPr>
          <w:rFonts w:eastAsia="Arial"/>
          <w:i/>
          <w:sz w:val="24"/>
          <w:szCs w:val="24"/>
        </w:rPr>
      </w:pPr>
      <w:r>
        <w:rPr>
          <w:rFonts w:eastAsia="Arial"/>
          <w:i/>
          <w:sz w:val="24"/>
          <w:szCs w:val="24"/>
          <w:lang w:val="en-GB" w:eastAsia="en-GB" w:bidi="en-GB"/>
        </w:rPr>
        <w:t xml:space="preserve">* </w:t>
      </w:r>
      <w:proofErr w:type="gramStart"/>
      <w:r>
        <w:rPr>
          <w:rFonts w:eastAsia="Arial"/>
          <w:i/>
          <w:sz w:val="24"/>
          <w:szCs w:val="24"/>
          <w:lang w:val="en-GB" w:eastAsia="en-GB" w:bidi="en-GB"/>
        </w:rPr>
        <w:t>se</w:t>
      </w:r>
      <w:proofErr w:type="gramEnd"/>
      <w:r>
        <w:rPr>
          <w:rFonts w:eastAsia="Arial"/>
          <w:i/>
          <w:sz w:val="24"/>
          <w:szCs w:val="24"/>
          <w:lang w:val="en-GB" w:eastAsia="en-GB" w:bidi="en-GB"/>
        </w:rPr>
        <w:t xml:space="preserve"> prevad cu</w:t>
      </w:r>
      <w:r>
        <w:rPr>
          <w:rFonts w:eastAsia="Arial"/>
          <w:i/>
          <w:sz w:val="24"/>
          <w:szCs w:val="24"/>
          <w:lang w:eastAsia="en-GB" w:bidi="en-GB"/>
        </w:rPr>
        <w:t xml:space="preserve"> autoînchidere</w:t>
      </w:r>
      <w:r>
        <w:rPr>
          <w:rFonts w:eastAsia="Arial"/>
          <w:i/>
          <w:sz w:val="24"/>
          <w:szCs w:val="24"/>
          <w:lang w:val="en-GB" w:eastAsia="en-GB" w:bidi="en-GB"/>
        </w:rPr>
        <w:t xml:space="preserve"> „</w:t>
      </w:r>
      <w:r>
        <w:rPr>
          <w:rFonts w:eastAsia="Arial"/>
          <w:b/>
          <w:bCs/>
          <w:i/>
          <w:sz w:val="24"/>
          <w:szCs w:val="24"/>
          <w:lang w:val="en-GB" w:eastAsia="en-GB" w:bidi="en-GB"/>
        </w:rPr>
        <w:t>C</w:t>
      </w:r>
      <w:r>
        <w:rPr>
          <w:rFonts w:eastAsia="Arial"/>
          <w:i/>
          <w:sz w:val="24"/>
          <w:szCs w:val="24"/>
          <w:lang w:val="en-GB" w:eastAsia="en-GB" w:bidi="en-GB"/>
        </w:rPr>
        <w:t>” = clasa de autoinchidere/</w:t>
      </w:r>
      <w:r>
        <w:rPr>
          <w:rFonts w:eastAsia="Arial"/>
          <w:i/>
          <w:sz w:val="24"/>
          <w:szCs w:val="24"/>
          <w:lang w:eastAsia="en-GB" w:bidi="en-GB"/>
        </w:rPr>
        <w:t>î</w:t>
      </w:r>
      <w:r>
        <w:rPr>
          <w:rFonts w:eastAsia="Arial"/>
          <w:i/>
          <w:sz w:val="24"/>
          <w:szCs w:val="24"/>
          <w:lang w:val="en-GB" w:eastAsia="en-GB" w:bidi="en-GB"/>
        </w:rPr>
        <w:t>nchidere automat</w:t>
      </w:r>
      <w:r>
        <w:rPr>
          <w:rFonts w:eastAsia="Arial"/>
          <w:i/>
          <w:sz w:val="24"/>
          <w:szCs w:val="24"/>
          <w:lang w:eastAsia="en-GB" w:bidi="en-GB"/>
        </w:rPr>
        <w:t>ă</w:t>
      </w:r>
    </w:p>
    <w:p w14:paraId="4385ABEE" w14:textId="77777777" w:rsidR="001C08A5" w:rsidRDefault="00000000">
      <w:pPr>
        <w:widowControl w:val="0"/>
        <w:spacing w:line="264" w:lineRule="exact"/>
        <w:jc w:val="both"/>
        <w:rPr>
          <w:bCs/>
          <w:i/>
          <w:sz w:val="22"/>
          <w:szCs w:val="22"/>
          <w:lang w:eastAsia="en-GB" w:bidi="en-GB"/>
        </w:rPr>
      </w:pPr>
      <w:r>
        <w:rPr>
          <w:i/>
          <w:sz w:val="24"/>
          <w:szCs w:val="24"/>
        </w:rPr>
        <w:t>Notă: În toate cazurile pentru pereți antifoc</w:t>
      </w:r>
      <w:r>
        <w:rPr>
          <w:i/>
          <w:sz w:val="22"/>
          <w:szCs w:val="22"/>
        </w:rPr>
        <w:t xml:space="preserve"> dispuși la fațadele construcțiilor cu rezistența mai mică de 3 ore (conform </w:t>
      </w:r>
      <w:r>
        <w:rPr>
          <w:b/>
          <w:bCs/>
          <w:i/>
          <w:sz w:val="22"/>
          <w:szCs w:val="22"/>
        </w:rPr>
        <w:t>Art. 2.3.2.1.2.</w:t>
      </w:r>
      <w:r>
        <w:rPr>
          <w:i/>
          <w:sz w:val="22"/>
          <w:szCs w:val="22"/>
        </w:rPr>
        <w:t xml:space="preserve">), golurile prevăzute se protejează prin </w:t>
      </w:r>
      <w:r>
        <w:rPr>
          <w:bCs/>
          <w:i/>
          <w:sz w:val="22"/>
          <w:szCs w:val="22"/>
          <w:lang w:eastAsia="en-GB" w:bidi="en-GB"/>
        </w:rPr>
        <w:t>uș</w:t>
      </w:r>
      <w:r>
        <w:rPr>
          <w:bCs/>
          <w:i/>
          <w:sz w:val="22"/>
          <w:szCs w:val="22"/>
          <w:lang w:val="en-GB" w:eastAsia="en-GB" w:bidi="en-GB"/>
        </w:rPr>
        <w:t xml:space="preserve">i, obloane </w:t>
      </w:r>
      <w:r>
        <w:rPr>
          <w:bCs/>
          <w:i/>
          <w:sz w:val="22"/>
          <w:szCs w:val="22"/>
          <w:lang w:eastAsia="en-GB" w:bidi="en-GB"/>
        </w:rPr>
        <w:t>șau</w:t>
      </w:r>
      <w:r>
        <w:rPr>
          <w:bCs/>
          <w:i/>
          <w:sz w:val="22"/>
          <w:szCs w:val="22"/>
          <w:lang w:val="en-GB" w:eastAsia="en-GB" w:bidi="en-GB"/>
        </w:rPr>
        <w:t xml:space="preserve"> cortine rezistente la foc </w:t>
      </w:r>
      <w:r>
        <w:rPr>
          <w:bCs/>
          <w:i/>
          <w:sz w:val="22"/>
          <w:szCs w:val="22"/>
          <w:lang w:eastAsia="en-GB" w:bidi="en-GB"/>
        </w:rPr>
        <w:t xml:space="preserve">(pe o perioadă minimum jumătate din rezistența la foc a pereților antifoc, dar cel puțin </w:t>
      </w:r>
      <w:r>
        <w:rPr>
          <w:b/>
          <w:i/>
          <w:sz w:val="22"/>
          <w:szCs w:val="22"/>
          <w:lang w:eastAsia="en-GB" w:bidi="en-GB"/>
        </w:rPr>
        <w:t>1</w:t>
      </w:r>
      <w:r>
        <w:rPr>
          <w:bCs/>
          <w:i/>
          <w:sz w:val="22"/>
          <w:szCs w:val="22"/>
          <w:lang w:eastAsia="en-GB" w:bidi="en-GB"/>
        </w:rPr>
        <w:t xml:space="preserve"> oră pentru pereții antifoc </w:t>
      </w:r>
      <w:r>
        <w:rPr>
          <w:b/>
          <w:i/>
          <w:sz w:val="22"/>
          <w:szCs w:val="22"/>
          <w:lang w:eastAsia="en-GB" w:bidi="en-GB"/>
        </w:rPr>
        <w:t xml:space="preserve">EI-M 60/ REI 60 </w:t>
      </w:r>
      <w:r>
        <w:rPr>
          <w:bCs/>
          <w:i/>
          <w:sz w:val="22"/>
          <w:szCs w:val="22"/>
          <w:lang w:eastAsia="en-GB" w:bidi="en-GB"/>
        </w:rPr>
        <w:t>sau</w:t>
      </w:r>
      <w:r>
        <w:rPr>
          <w:b/>
          <w:i/>
          <w:sz w:val="22"/>
          <w:szCs w:val="22"/>
          <w:lang w:eastAsia="en-GB" w:bidi="en-GB"/>
        </w:rPr>
        <w:t xml:space="preserve"> EI-M 90/ REI 90</w:t>
      </w:r>
      <w:r>
        <w:rPr>
          <w:bCs/>
          <w:i/>
          <w:sz w:val="22"/>
          <w:szCs w:val="22"/>
          <w:lang w:eastAsia="en-GB" w:bidi="en-GB"/>
        </w:rPr>
        <w:t xml:space="preserve"> și cel puțin </w:t>
      </w:r>
      <w:r>
        <w:rPr>
          <w:b/>
          <w:i/>
          <w:sz w:val="22"/>
          <w:szCs w:val="22"/>
          <w:lang w:eastAsia="en-GB" w:bidi="en-GB"/>
        </w:rPr>
        <w:t>90</w:t>
      </w:r>
      <w:r>
        <w:rPr>
          <w:bCs/>
          <w:i/>
          <w:sz w:val="22"/>
          <w:szCs w:val="22"/>
          <w:lang w:eastAsia="en-GB" w:bidi="en-GB"/>
        </w:rPr>
        <w:t xml:space="preserve"> min pentru ceilalți pereții antifoc prevăzuți la </w:t>
      </w:r>
      <w:r>
        <w:rPr>
          <w:b/>
          <w:bCs/>
          <w:i/>
          <w:sz w:val="22"/>
          <w:szCs w:val="22"/>
        </w:rPr>
        <w:t>Art. 2.3.2.1.2.,</w:t>
      </w:r>
      <w:r>
        <w:rPr>
          <w:i/>
          <w:sz w:val="22"/>
          <w:szCs w:val="22"/>
        </w:rPr>
        <w:t xml:space="preserve"> cu excepția pereților antifoc </w:t>
      </w:r>
      <w:r>
        <w:rPr>
          <w:b/>
          <w:bCs/>
          <w:i/>
          <w:sz w:val="22"/>
          <w:szCs w:val="22"/>
        </w:rPr>
        <w:t xml:space="preserve">EI-M 240/REI 240 </w:t>
      </w:r>
      <w:r>
        <w:rPr>
          <w:i/>
          <w:sz w:val="22"/>
          <w:szCs w:val="22"/>
        </w:rPr>
        <w:t xml:space="preserve">la care se protejează prin </w:t>
      </w:r>
      <w:r>
        <w:rPr>
          <w:bCs/>
          <w:i/>
          <w:sz w:val="22"/>
          <w:szCs w:val="22"/>
          <w:lang w:eastAsia="en-GB" w:bidi="en-GB"/>
        </w:rPr>
        <w:t>uș</w:t>
      </w:r>
      <w:r>
        <w:rPr>
          <w:bCs/>
          <w:i/>
          <w:sz w:val="22"/>
          <w:szCs w:val="22"/>
          <w:lang w:val="en-GB" w:eastAsia="en-GB" w:bidi="en-GB"/>
        </w:rPr>
        <w:t xml:space="preserve">i, obloane </w:t>
      </w:r>
      <w:r>
        <w:rPr>
          <w:bCs/>
          <w:i/>
          <w:sz w:val="22"/>
          <w:szCs w:val="22"/>
          <w:lang w:eastAsia="en-GB" w:bidi="en-GB"/>
        </w:rPr>
        <w:t>șau</w:t>
      </w:r>
      <w:r>
        <w:rPr>
          <w:bCs/>
          <w:i/>
          <w:sz w:val="22"/>
          <w:szCs w:val="22"/>
          <w:lang w:val="en-GB" w:eastAsia="en-GB" w:bidi="en-GB"/>
        </w:rPr>
        <w:t xml:space="preserve"> cortine rezistente la foc</w:t>
      </w:r>
      <w:r>
        <w:rPr>
          <w:bCs/>
          <w:i/>
          <w:sz w:val="22"/>
          <w:szCs w:val="22"/>
          <w:lang w:eastAsia="en-GB" w:bidi="en-GB"/>
        </w:rPr>
        <w:t xml:space="preserve"> min. </w:t>
      </w:r>
      <w:r>
        <w:rPr>
          <w:b/>
          <w:i/>
          <w:sz w:val="22"/>
          <w:szCs w:val="22"/>
          <w:lang w:eastAsia="en-GB" w:bidi="en-GB"/>
        </w:rPr>
        <w:t>120</w:t>
      </w:r>
      <w:r>
        <w:rPr>
          <w:bCs/>
          <w:i/>
          <w:sz w:val="22"/>
          <w:szCs w:val="22"/>
          <w:lang w:eastAsia="en-GB" w:bidi="en-GB"/>
        </w:rPr>
        <w:t xml:space="preserve"> min).</w:t>
      </w:r>
    </w:p>
    <w:p w14:paraId="7A219882" w14:textId="77777777" w:rsidR="001C08A5" w:rsidRDefault="00000000">
      <w:pPr>
        <w:jc w:val="center"/>
        <w:rPr>
          <w:i/>
          <w:sz w:val="24"/>
          <w:szCs w:val="24"/>
        </w:rPr>
      </w:pPr>
      <w:r>
        <w:rPr>
          <w:i/>
          <w:noProof/>
          <w:sz w:val="24"/>
          <w:szCs w:val="24"/>
          <w:lang w:eastAsia="ro-RO"/>
        </w:rPr>
        <w:drawing>
          <wp:inline distT="0" distB="0" distL="114300" distR="114300" wp14:anchorId="72597EC6" wp14:editId="6E617580">
            <wp:extent cx="5674995" cy="914400"/>
            <wp:effectExtent l="0" t="0" r="1905" b="0"/>
            <wp:docPr id="2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34"/>
                    <pic:cNvPicPr>
                      <a:picLocks noChangeAspect="1"/>
                    </pic:cNvPicPr>
                  </pic:nvPicPr>
                  <pic:blipFill>
                    <a:blip r:embed="rId240"/>
                    <a:srcRect l="13718" t="9418" r="11119" b="63837"/>
                    <a:stretch>
                      <a:fillRect/>
                    </a:stretch>
                  </pic:blipFill>
                  <pic:spPr>
                    <a:xfrm>
                      <a:off x="0" y="0"/>
                      <a:ext cx="5674995" cy="914400"/>
                    </a:xfrm>
                    <a:prstGeom prst="rect">
                      <a:avLst/>
                    </a:prstGeom>
                    <a:noFill/>
                    <a:ln>
                      <a:noFill/>
                    </a:ln>
                  </pic:spPr>
                </pic:pic>
              </a:graphicData>
            </a:graphic>
          </wp:inline>
        </w:drawing>
      </w:r>
    </w:p>
    <w:p w14:paraId="75E4A544" w14:textId="77777777" w:rsidR="001C08A5" w:rsidRDefault="00000000">
      <w:pPr>
        <w:jc w:val="center"/>
        <w:rPr>
          <w:i/>
          <w:sz w:val="22"/>
          <w:szCs w:val="22"/>
        </w:rPr>
      </w:pPr>
      <w:r>
        <w:rPr>
          <w:b/>
          <w:bCs/>
          <w:i/>
          <w:sz w:val="22"/>
          <w:szCs w:val="22"/>
        </w:rPr>
        <w:t>varianta a) - Uși prevăzute în pereții antifoc</w:t>
      </w:r>
    </w:p>
    <w:p w14:paraId="5FA50D39" w14:textId="77777777" w:rsidR="001C08A5" w:rsidRDefault="00000000">
      <w:pPr>
        <w:jc w:val="center"/>
        <w:rPr>
          <w:i/>
          <w:sz w:val="24"/>
          <w:szCs w:val="24"/>
        </w:rPr>
      </w:pPr>
      <w:r>
        <w:rPr>
          <w:i/>
          <w:noProof/>
          <w:sz w:val="24"/>
          <w:szCs w:val="24"/>
          <w:lang w:eastAsia="ro-RO"/>
        </w:rPr>
        <w:lastRenderedPageBreak/>
        <w:drawing>
          <wp:inline distT="0" distB="0" distL="114300" distR="114300" wp14:anchorId="2BE5AE35" wp14:editId="2558E0BA">
            <wp:extent cx="5674995" cy="914400"/>
            <wp:effectExtent l="0" t="0" r="1905" b="0"/>
            <wp:docPr id="2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35"/>
                    <pic:cNvPicPr>
                      <a:picLocks noChangeAspect="1"/>
                    </pic:cNvPicPr>
                  </pic:nvPicPr>
                  <pic:blipFill>
                    <a:blip r:embed="rId240"/>
                    <a:srcRect l="13718" t="36961" r="11119" b="36292"/>
                    <a:stretch>
                      <a:fillRect/>
                    </a:stretch>
                  </pic:blipFill>
                  <pic:spPr>
                    <a:xfrm>
                      <a:off x="0" y="0"/>
                      <a:ext cx="5674995" cy="914400"/>
                    </a:xfrm>
                    <a:prstGeom prst="rect">
                      <a:avLst/>
                    </a:prstGeom>
                    <a:noFill/>
                    <a:ln>
                      <a:noFill/>
                    </a:ln>
                  </pic:spPr>
                </pic:pic>
              </a:graphicData>
            </a:graphic>
          </wp:inline>
        </w:drawing>
      </w:r>
    </w:p>
    <w:p w14:paraId="59F936B8" w14:textId="77777777" w:rsidR="001C08A5" w:rsidRDefault="00000000">
      <w:pPr>
        <w:jc w:val="center"/>
        <w:rPr>
          <w:i/>
          <w:sz w:val="22"/>
          <w:szCs w:val="22"/>
        </w:rPr>
      </w:pPr>
      <w:r>
        <w:rPr>
          <w:b/>
          <w:bCs/>
          <w:i/>
          <w:sz w:val="22"/>
          <w:szCs w:val="22"/>
        </w:rPr>
        <w:t>varianta b) - Obloane prevăzute în pereții antifoc</w:t>
      </w:r>
    </w:p>
    <w:p w14:paraId="48B52A14" w14:textId="77777777" w:rsidR="001C08A5" w:rsidRDefault="00000000">
      <w:pPr>
        <w:jc w:val="center"/>
        <w:rPr>
          <w:i/>
          <w:sz w:val="24"/>
          <w:szCs w:val="24"/>
        </w:rPr>
      </w:pPr>
      <w:r>
        <w:rPr>
          <w:i/>
          <w:noProof/>
          <w:sz w:val="24"/>
          <w:szCs w:val="24"/>
          <w:lang w:eastAsia="ro-RO"/>
        </w:rPr>
        <w:drawing>
          <wp:inline distT="0" distB="0" distL="114300" distR="114300" wp14:anchorId="5DB1FF42" wp14:editId="109A6FF4">
            <wp:extent cx="5674995" cy="999490"/>
            <wp:effectExtent l="0" t="0" r="1905" b="10160"/>
            <wp:docPr id="29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36"/>
                    <pic:cNvPicPr>
                      <a:picLocks noChangeAspect="1"/>
                    </pic:cNvPicPr>
                  </pic:nvPicPr>
                  <pic:blipFill>
                    <a:blip r:embed="rId240"/>
                    <a:srcRect l="13718" t="67291" r="11119" b="3473"/>
                    <a:stretch>
                      <a:fillRect/>
                    </a:stretch>
                  </pic:blipFill>
                  <pic:spPr>
                    <a:xfrm>
                      <a:off x="0" y="0"/>
                      <a:ext cx="5674995" cy="999490"/>
                    </a:xfrm>
                    <a:prstGeom prst="rect">
                      <a:avLst/>
                    </a:prstGeom>
                    <a:noFill/>
                    <a:ln>
                      <a:noFill/>
                    </a:ln>
                  </pic:spPr>
                </pic:pic>
              </a:graphicData>
            </a:graphic>
          </wp:inline>
        </w:drawing>
      </w:r>
    </w:p>
    <w:p w14:paraId="691C170E" w14:textId="77777777" w:rsidR="001C08A5" w:rsidRDefault="00000000">
      <w:pPr>
        <w:jc w:val="center"/>
        <w:rPr>
          <w:b/>
          <w:bCs/>
          <w:i/>
          <w:sz w:val="22"/>
          <w:szCs w:val="22"/>
        </w:rPr>
      </w:pPr>
      <w:r>
        <w:rPr>
          <w:b/>
          <w:bCs/>
          <w:i/>
          <w:sz w:val="22"/>
          <w:szCs w:val="22"/>
        </w:rPr>
        <w:t>varianta c) - Cortine prevăzute în pereții antifoc</w:t>
      </w:r>
    </w:p>
    <w:p w14:paraId="75AD7376" w14:textId="77777777" w:rsidR="001C08A5" w:rsidRDefault="00000000">
      <w:pPr>
        <w:pStyle w:val="Caption"/>
        <w:jc w:val="center"/>
        <w:rPr>
          <w:rFonts w:cs="Times New Roman"/>
        </w:rPr>
      </w:pPr>
      <w:bookmarkStart w:id="5982" w:name="_Toc162360312"/>
      <w:r>
        <w:t xml:space="preserve">Figura </w:t>
      </w:r>
      <w:r>
        <w:fldChar w:fldCharType="begin"/>
      </w:r>
      <w:r>
        <w:instrText xml:space="preserve"> SEQ Figura \* ARABIC </w:instrText>
      </w:r>
      <w:r>
        <w:fldChar w:fldCharType="separate"/>
      </w:r>
      <w:r>
        <w:t>88</w:t>
      </w:r>
      <w:r>
        <w:fldChar w:fldCharType="end"/>
      </w:r>
      <w:bookmarkStart w:id="5983" w:name="_Toc28618"/>
      <w:bookmarkStart w:id="5984" w:name="_Toc11161"/>
      <w:bookmarkStart w:id="5985" w:name="_Toc13427"/>
      <w:bookmarkStart w:id="5986" w:name="_Toc6400"/>
      <w:bookmarkStart w:id="5987" w:name="_Toc23924"/>
      <w:bookmarkStart w:id="5988" w:name="_Toc4118"/>
      <w:bookmarkStart w:id="5989" w:name="_Toc22729"/>
      <w:bookmarkStart w:id="5990" w:name="_Toc5741"/>
      <w:bookmarkStart w:id="5991" w:name="_Toc14439"/>
      <w:r>
        <w:t xml:space="preserve"> - </w:t>
      </w:r>
      <w:r>
        <w:rPr>
          <w:rFonts w:cs="Times New Roman"/>
        </w:rPr>
        <w:t>Uși, obloane, cortine prevăzute în pereții antifoc</w:t>
      </w:r>
      <w:bookmarkEnd w:id="5982"/>
      <w:bookmarkEnd w:id="5983"/>
      <w:bookmarkEnd w:id="5984"/>
      <w:bookmarkEnd w:id="5985"/>
      <w:bookmarkEnd w:id="5986"/>
      <w:bookmarkEnd w:id="5987"/>
      <w:bookmarkEnd w:id="5988"/>
      <w:bookmarkEnd w:id="5989"/>
      <w:bookmarkEnd w:id="5990"/>
      <w:bookmarkEnd w:id="5991"/>
    </w:p>
    <w:p w14:paraId="1A336DFB" w14:textId="77777777" w:rsidR="001C08A5" w:rsidRDefault="00000000">
      <w:pPr>
        <w:autoSpaceDE w:val="0"/>
        <w:autoSpaceDN w:val="0"/>
        <w:adjustRightInd w:val="0"/>
        <w:jc w:val="center"/>
        <w:rPr>
          <w:sz w:val="24"/>
          <w:szCs w:val="24"/>
          <w:lang w:val="en-US" w:eastAsia="en-US"/>
        </w:rPr>
      </w:pPr>
      <w:r>
        <w:rPr>
          <w:noProof/>
          <w:sz w:val="24"/>
          <w:szCs w:val="24"/>
          <w:lang w:val="en-US" w:eastAsia="en-US"/>
        </w:rPr>
        <w:drawing>
          <wp:inline distT="0" distB="0" distL="114300" distR="114300" wp14:anchorId="0FC5A97A" wp14:editId="2D036BE3">
            <wp:extent cx="1877695" cy="1517015"/>
            <wp:effectExtent l="0" t="0" r="8255" b="6985"/>
            <wp:docPr id="2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6"/>
                    <pic:cNvPicPr>
                      <a:picLocks noChangeAspect="1"/>
                    </pic:cNvPicPr>
                  </pic:nvPicPr>
                  <pic:blipFill>
                    <a:blip r:embed="rId241"/>
                    <a:srcRect l="36065" t="63480" r="39059" b="8565"/>
                    <a:stretch>
                      <a:fillRect/>
                    </a:stretch>
                  </pic:blipFill>
                  <pic:spPr>
                    <a:xfrm>
                      <a:off x="0" y="0"/>
                      <a:ext cx="1877695" cy="1517015"/>
                    </a:xfrm>
                    <a:prstGeom prst="rect">
                      <a:avLst/>
                    </a:prstGeom>
                    <a:noFill/>
                    <a:ln>
                      <a:noFill/>
                    </a:ln>
                  </pic:spPr>
                </pic:pic>
              </a:graphicData>
            </a:graphic>
          </wp:inline>
        </w:drawing>
      </w:r>
    </w:p>
    <w:p w14:paraId="420EF041" w14:textId="77777777" w:rsidR="001C08A5" w:rsidRDefault="00000000">
      <w:pPr>
        <w:widowControl w:val="0"/>
        <w:jc w:val="center"/>
        <w:rPr>
          <w:b/>
          <w:bCs/>
          <w:i/>
          <w:sz w:val="24"/>
          <w:szCs w:val="24"/>
        </w:rPr>
      </w:pPr>
      <w:r>
        <w:rPr>
          <w:b/>
          <w:bCs/>
          <w:i/>
          <w:sz w:val="24"/>
          <w:szCs w:val="24"/>
        </w:rPr>
        <w:t>PLAN</w:t>
      </w:r>
    </w:p>
    <w:p w14:paraId="5223BEAF" w14:textId="77777777" w:rsidR="001C08A5" w:rsidRDefault="00000000">
      <w:pPr>
        <w:autoSpaceDE w:val="0"/>
        <w:autoSpaceDN w:val="0"/>
        <w:adjustRightInd w:val="0"/>
        <w:jc w:val="center"/>
        <w:rPr>
          <w:sz w:val="24"/>
          <w:szCs w:val="24"/>
          <w:lang w:val="en-US" w:eastAsia="en-US"/>
        </w:rPr>
      </w:pPr>
      <w:r>
        <w:rPr>
          <w:b/>
          <w:bCs/>
          <w:i/>
          <w:sz w:val="24"/>
          <w:szCs w:val="24"/>
          <w:lang w:val="en-US" w:eastAsia="en-US"/>
        </w:rPr>
        <w:t>a ≥ 30 cm</w:t>
      </w:r>
    </w:p>
    <w:p w14:paraId="40572DF2" w14:textId="77777777" w:rsidR="001C08A5" w:rsidRDefault="00000000">
      <w:pPr>
        <w:autoSpaceDE w:val="0"/>
        <w:autoSpaceDN w:val="0"/>
        <w:adjustRightInd w:val="0"/>
        <w:jc w:val="center"/>
        <w:rPr>
          <w:rFonts w:ascii="Arial" w:hAnsi="Arial" w:cs="Arial"/>
          <w:i/>
          <w:sz w:val="24"/>
          <w:szCs w:val="24"/>
          <w:lang w:val="en-US" w:eastAsia="en-US"/>
        </w:rPr>
      </w:pPr>
      <w:r>
        <w:rPr>
          <w:rFonts w:ascii="Arial" w:hAnsi="Arial" w:cs="Arial"/>
          <w:noProof/>
          <w:sz w:val="24"/>
          <w:szCs w:val="24"/>
          <w:lang w:val="en-US" w:eastAsia="en-US"/>
        </w:rPr>
        <w:drawing>
          <wp:inline distT="0" distB="0" distL="114300" distR="114300" wp14:anchorId="774EB0A3" wp14:editId="20DB60DE">
            <wp:extent cx="3938905" cy="1722120"/>
            <wp:effectExtent l="0" t="0" r="4445" b="11430"/>
            <wp:docPr id="2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7"/>
                    <pic:cNvPicPr>
                      <a:picLocks noChangeAspect="1"/>
                    </pic:cNvPicPr>
                  </pic:nvPicPr>
                  <pic:blipFill>
                    <a:blip r:embed="rId242"/>
                    <a:srcRect l="26600" t="26059" r="21216" b="42207"/>
                    <a:stretch>
                      <a:fillRect/>
                    </a:stretch>
                  </pic:blipFill>
                  <pic:spPr>
                    <a:xfrm>
                      <a:off x="0" y="0"/>
                      <a:ext cx="3938905" cy="1722120"/>
                    </a:xfrm>
                    <a:prstGeom prst="rect">
                      <a:avLst/>
                    </a:prstGeom>
                    <a:noFill/>
                    <a:ln>
                      <a:noFill/>
                    </a:ln>
                  </pic:spPr>
                </pic:pic>
              </a:graphicData>
            </a:graphic>
          </wp:inline>
        </w:drawing>
      </w:r>
    </w:p>
    <w:tbl>
      <w:tblPr>
        <w:tblStyle w:val="TableGrid"/>
        <w:tblW w:w="0" w:type="auto"/>
        <w:tblInd w:w="1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7"/>
        <w:gridCol w:w="3450"/>
      </w:tblGrid>
      <w:tr w:rsidR="001C08A5" w14:paraId="006E5A66" w14:textId="77777777">
        <w:tc>
          <w:tcPr>
            <w:tcW w:w="3557" w:type="dxa"/>
          </w:tcPr>
          <w:p w14:paraId="6B8A65BE" w14:textId="77777777" w:rsidR="001C08A5" w:rsidRDefault="00000000">
            <w:pPr>
              <w:jc w:val="center"/>
              <w:rPr>
                <w:b/>
                <w:bCs/>
                <w:i/>
                <w:sz w:val="22"/>
                <w:szCs w:val="22"/>
              </w:rPr>
            </w:pPr>
            <w:r>
              <w:rPr>
                <w:b/>
                <w:bCs/>
                <w:i/>
                <w:sz w:val="22"/>
                <w:szCs w:val="22"/>
              </w:rPr>
              <w:t>PLAN</w:t>
            </w:r>
          </w:p>
          <w:p w14:paraId="376E1925" w14:textId="77777777" w:rsidR="001C08A5" w:rsidRDefault="00000000">
            <w:pPr>
              <w:jc w:val="center"/>
              <w:rPr>
                <w:i/>
                <w:sz w:val="22"/>
                <w:szCs w:val="22"/>
              </w:rPr>
            </w:pPr>
            <w:r>
              <w:rPr>
                <w:b/>
                <w:bCs/>
                <w:i/>
                <w:sz w:val="22"/>
                <w:szCs w:val="22"/>
              </w:rPr>
              <w:t>a+2b ≥ 1,20 m</w:t>
            </w:r>
          </w:p>
        </w:tc>
        <w:tc>
          <w:tcPr>
            <w:tcW w:w="3450" w:type="dxa"/>
          </w:tcPr>
          <w:p w14:paraId="15C7624E" w14:textId="77777777" w:rsidR="001C08A5" w:rsidRDefault="00000000">
            <w:pPr>
              <w:jc w:val="center"/>
              <w:rPr>
                <w:b/>
                <w:bCs/>
                <w:i/>
                <w:sz w:val="22"/>
                <w:szCs w:val="22"/>
              </w:rPr>
            </w:pPr>
            <w:r>
              <w:rPr>
                <w:b/>
                <w:bCs/>
                <w:i/>
                <w:sz w:val="22"/>
                <w:szCs w:val="22"/>
              </w:rPr>
              <w:t>PLAN</w:t>
            </w:r>
          </w:p>
          <w:p w14:paraId="1D131737" w14:textId="77777777" w:rsidR="001C08A5" w:rsidRDefault="00000000">
            <w:pPr>
              <w:jc w:val="center"/>
              <w:rPr>
                <w:i/>
                <w:sz w:val="22"/>
                <w:szCs w:val="22"/>
              </w:rPr>
            </w:pPr>
            <w:r>
              <w:rPr>
                <w:b/>
                <w:bCs/>
                <w:i/>
                <w:sz w:val="22"/>
                <w:szCs w:val="22"/>
              </w:rPr>
              <w:t>a+2b ≥ 1,20 m</w:t>
            </w:r>
          </w:p>
        </w:tc>
      </w:tr>
    </w:tbl>
    <w:p w14:paraId="248E9E20" w14:textId="77777777" w:rsidR="001C08A5" w:rsidRDefault="00000000">
      <w:pPr>
        <w:jc w:val="center"/>
        <w:rPr>
          <w:i/>
          <w:sz w:val="24"/>
          <w:szCs w:val="24"/>
        </w:rPr>
      </w:pPr>
      <w:r>
        <w:rPr>
          <w:noProof/>
        </w:rPr>
        <w:drawing>
          <wp:inline distT="0" distB="0" distL="114300" distR="114300" wp14:anchorId="1B1FDDAC" wp14:editId="3087CBBA">
            <wp:extent cx="3938905" cy="1734185"/>
            <wp:effectExtent l="0" t="0" r="4445" b="18415"/>
            <wp:docPr id="3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7"/>
                    <pic:cNvPicPr>
                      <a:picLocks noChangeAspect="1"/>
                    </pic:cNvPicPr>
                  </pic:nvPicPr>
                  <pic:blipFill>
                    <a:blip r:embed="rId242"/>
                    <a:srcRect l="26600" t="62801" r="21216" b="5242"/>
                    <a:stretch>
                      <a:fillRect/>
                    </a:stretch>
                  </pic:blipFill>
                  <pic:spPr>
                    <a:xfrm>
                      <a:off x="0" y="0"/>
                      <a:ext cx="3938905" cy="1734185"/>
                    </a:xfrm>
                    <a:prstGeom prst="rect">
                      <a:avLst/>
                    </a:prstGeom>
                    <a:noFill/>
                    <a:ln>
                      <a:noFill/>
                    </a:ln>
                  </pic:spPr>
                </pic:pic>
              </a:graphicData>
            </a:graphic>
          </wp:inline>
        </w:drawing>
      </w:r>
    </w:p>
    <w:tbl>
      <w:tblPr>
        <w:tblStyle w:val="TableGrid"/>
        <w:tblW w:w="0" w:type="auto"/>
        <w:tblInd w:w="1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4"/>
        <w:gridCol w:w="3470"/>
      </w:tblGrid>
      <w:tr w:rsidR="001C08A5" w14:paraId="70D7B39C" w14:textId="77777777">
        <w:tc>
          <w:tcPr>
            <w:tcW w:w="3534" w:type="dxa"/>
          </w:tcPr>
          <w:p w14:paraId="0E54E568" w14:textId="77777777" w:rsidR="001C08A5" w:rsidRDefault="00000000">
            <w:pPr>
              <w:jc w:val="center"/>
              <w:rPr>
                <w:b/>
                <w:bCs/>
                <w:i/>
                <w:sz w:val="22"/>
                <w:szCs w:val="22"/>
              </w:rPr>
            </w:pPr>
            <w:r>
              <w:rPr>
                <w:b/>
                <w:bCs/>
                <w:i/>
                <w:sz w:val="22"/>
                <w:szCs w:val="22"/>
              </w:rPr>
              <w:t>PLAN</w:t>
            </w:r>
          </w:p>
          <w:p w14:paraId="69F17319" w14:textId="77777777" w:rsidR="001C08A5" w:rsidRDefault="00000000">
            <w:pPr>
              <w:jc w:val="center"/>
              <w:rPr>
                <w:i/>
                <w:sz w:val="22"/>
                <w:szCs w:val="22"/>
              </w:rPr>
            </w:pPr>
            <w:r>
              <w:rPr>
                <w:b/>
                <w:bCs/>
                <w:i/>
                <w:sz w:val="22"/>
                <w:szCs w:val="22"/>
              </w:rPr>
              <w:t>2b+c ≥ 1,20 m</w:t>
            </w:r>
          </w:p>
        </w:tc>
        <w:tc>
          <w:tcPr>
            <w:tcW w:w="3470" w:type="dxa"/>
          </w:tcPr>
          <w:p w14:paraId="6ED983FF" w14:textId="77777777" w:rsidR="001C08A5" w:rsidRDefault="00000000">
            <w:pPr>
              <w:jc w:val="center"/>
              <w:rPr>
                <w:b/>
                <w:bCs/>
                <w:i/>
                <w:sz w:val="22"/>
                <w:szCs w:val="22"/>
              </w:rPr>
            </w:pPr>
            <w:r>
              <w:rPr>
                <w:b/>
                <w:bCs/>
                <w:i/>
                <w:sz w:val="22"/>
                <w:szCs w:val="22"/>
              </w:rPr>
              <w:t>PLAN</w:t>
            </w:r>
          </w:p>
          <w:p w14:paraId="29A9C42D" w14:textId="77777777" w:rsidR="001C08A5" w:rsidRDefault="00000000">
            <w:pPr>
              <w:jc w:val="center"/>
              <w:rPr>
                <w:i/>
                <w:sz w:val="22"/>
                <w:szCs w:val="22"/>
              </w:rPr>
            </w:pPr>
            <w:r>
              <w:rPr>
                <w:b/>
                <w:bCs/>
                <w:i/>
                <w:sz w:val="22"/>
                <w:szCs w:val="22"/>
              </w:rPr>
              <w:t>2a+2b+c ≥ 1,20 m</w:t>
            </w:r>
          </w:p>
        </w:tc>
      </w:tr>
    </w:tbl>
    <w:p w14:paraId="1E124988" w14:textId="77777777" w:rsidR="001C08A5" w:rsidRDefault="00000000">
      <w:pPr>
        <w:pStyle w:val="Caption"/>
        <w:jc w:val="center"/>
      </w:pPr>
      <w:bookmarkStart w:id="5992" w:name="_Toc162360313"/>
      <w:r>
        <w:t xml:space="preserve">Figura </w:t>
      </w:r>
      <w:r>
        <w:fldChar w:fldCharType="begin"/>
      </w:r>
      <w:r>
        <w:instrText xml:space="preserve"> SEQ Figura \* ARABIC </w:instrText>
      </w:r>
      <w:r>
        <w:fldChar w:fldCharType="separate"/>
      </w:r>
      <w:r>
        <w:t>89</w:t>
      </w:r>
      <w:r>
        <w:fldChar w:fldCharType="end"/>
      </w:r>
      <w:bookmarkStart w:id="5993" w:name="_Toc12463"/>
      <w:bookmarkStart w:id="5994" w:name="_Toc19597"/>
      <w:bookmarkStart w:id="5995" w:name="_Toc20933"/>
      <w:bookmarkStart w:id="5996" w:name="_Toc23475"/>
      <w:bookmarkStart w:id="5997" w:name="_Toc27795"/>
      <w:bookmarkStart w:id="5998" w:name="_Toc23308"/>
      <w:bookmarkStart w:id="5999" w:name="_Toc21753"/>
      <w:bookmarkStart w:id="6000" w:name="_Toc8827"/>
      <w:bookmarkStart w:id="6001" w:name="_Toc2719"/>
      <w:r>
        <w:t xml:space="preserve"> - Exemplu - tipologii pereți de separare a compartimentelor de incendiu</w:t>
      </w:r>
      <w:bookmarkEnd w:id="5992"/>
      <w:bookmarkEnd w:id="5993"/>
      <w:bookmarkEnd w:id="5994"/>
      <w:bookmarkEnd w:id="5995"/>
      <w:bookmarkEnd w:id="5996"/>
      <w:bookmarkEnd w:id="5997"/>
      <w:bookmarkEnd w:id="5998"/>
      <w:bookmarkEnd w:id="5999"/>
      <w:bookmarkEnd w:id="6000"/>
      <w:bookmarkEnd w:id="6001"/>
    </w:p>
    <w:p w14:paraId="3E9BA293" w14:textId="77777777" w:rsidR="001C08A5" w:rsidRDefault="00000000">
      <w:pPr>
        <w:jc w:val="center"/>
        <w:rPr>
          <w:i/>
          <w:sz w:val="24"/>
          <w:szCs w:val="24"/>
          <w:lang w:eastAsia="ro-RO"/>
        </w:rPr>
      </w:pPr>
      <w:r>
        <w:rPr>
          <w:noProof/>
        </w:rPr>
        <w:lastRenderedPageBreak/>
        <w:drawing>
          <wp:inline distT="0" distB="0" distL="114300" distR="114300" wp14:anchorId="649F79E8" wp14:editId="5514A33B">
            <wp:extent cx="6061710" cy="1826260"/>
            <wp:effectExtent l="0" t="0" r="15240" b="2540"/>
            <wp:docPr id="3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8"/>
                    <pic:cNvPicPr>
                      <a:picLocks noChangeAspect="1"/>
                    </pic:cNvPicPr>
                  </pic:nvPicPr>
                  <pic:blipFill>
                    <a:blip r:embed="rId243"/>
                    <a:srcRect l="12358" t="11163" r="7336" b="55184"/>
                    <a:stretch>
                      <a:fillRect/>
                    </a:stretch>
                  </pic:blipFill>
                  <pic:spPr>
                    <a:xfrm>
                      <a:off x="0" y="0"/>
                      <a:ext cx="6061710" cy="182626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3"/>
        <w:gridCol w:w="3213"/>
        <w:gridCol w:w="3213"/>
      </w:tblGrid>
      <w:tr w:rsidR="001C08A5" w14:paraId="366B54E1" w14:textId="77777777">
        <w:tc>
          <w:tcPr>
            <w:tcW w:w="3285" w:type="dxa"/>
          </w:tcPr>
          <w:p w14:paraId="73B8B5C5" w14:textId="77777777" w:rsidR="001C08A5" w:rsidRDefault="00000000">
            <w:pPr>
              <w:jc w:val="center"/>
              <w:rPr>
                <w:i/>
                <w:sz w:val="22"/>
                <w:szCs w:val="22"/>
              </w:rPr>
            </w:pPr>
            <w:r>
              <w:rPr>
                <w:b/>
                <w:bCs/>
                <w:i/>
                <w:sz w:val="22"/>
                <w:szCs w:val="22"/>
              </w:rPr>
              <w:t>b1+b2+a1 ≥ 1,20 m</w:t>
            </w:r>
          </w:p>
        </w:tc>
        <w:tc>
          <w:tcPr>
            <w:tcW w:w="3285" w:type="dxa"/>
          </w:tcPr>
          <w:p w14:paraId="102234A4" w14:textId="77777777" w:rsidR="001C08A5" w:rsidRDefault="00000000">
            <w:pPr>
              <w:jc w:val="center"/>
              <w:rPr>
                <w:i/>
                <w:sz w:val="22"/>
                <w:szCs w:val="22"/>
              </w:rPr>
            </w:pPr>
            <w:r>
              <w:rPr>
                <w:b/>
                <w:bCs/>
                <w:i/>
                <w:sz w:val="22"/>
                <w:szCs w:val="22"/>
              </w:rPr>
              <w:t>b2+b3+a2 ≥ 1,20 m</w:t>
            </w:r>
          </w:p>
        </w:tc>
        <w:tc>
          <w:tcPr>
            <w:tcW w:w="3285" w:type="dxa"/>
          </w:tcPr>
          <w:p w14:paraId="0B4A249D" w14:textId="77777777" w:rsidR="001C08A5" w:rsidRDefault="00000000">
            <w:pPr>
              <w:jc w:val="center"/>
              <w:rPr>
                <w:i/>
                <w:sz w:val="22"/>
                <w:szCs w:val="22"/>
              </w:rPr>
            </w:pPr>
            <w:r>
              <w:rPr>
                <w:b/>
                <w:bCs/>
                <w:i/>
                <w:sz w:val="22"/>
                <w:szCs w:val="22"/>
              </w:rPr>
              <w:t>b3+b4+a3 ≥ 1,20 m</w:t>
            </w:r>
          </w:p>
        </w:tc>
      </w:tr>
    </w:tbl>
    <w:p w14:paraId="4EA41E45" w14:textId="77777777" w:rsidR="001C08A5" w:rsidRDefault="001C08A5">
      <w:pPr>
        <w:jc w:val="center"/>
        <w:rPr>
          <w:i/>
          <w:sz w:val="24"/>
          <w:szCs w:val="24"/>
        </w:rPr>
      </w:pPr>
    </w:p>
    <w:p w14:paraId="092A1170" w14:textId="77777777" w:rsidR="001C08A5" w:rsidRDefault="00000000">
      <w:pPr>
        <w:jc w:val="center"/>
        <w:rPr>
          <w:i/>
          <w:sz w:val="24"/>
          <w:szCs w:val="24"/>
        </w:rPr>
      </w:pPr>
      <w:r>
        <w:rPr>
          <w:noProof/>
        </w:rPr>
        <w:drawing>
          <wp:inline distT="0" distB="0" distL="114300" distR="114300" wp14:anchorId="13C6E222" wp14:editId="4FDDE1B5">
            <wp:extent cx="6061710" cy="1983105"/>
            <wp:effectExtent l="0" t="0" r="15240" b="17145"/>
            <wp:docPr id="1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8"/>
                    <pic:cNvPicPr>
                      <a:picLocks noChangeAspect="1"/>
                    </pic:cNvPicPr>
                  </pic:nvPicPr>
                  <pic:blipFill>
                    <a:blip r:embed="rId243"/>
                    <a:srcRect l="12358" t="49345" r="7336" b="14112"/>
                    <a:stretch>
                      <a:fillRect/>
                    </a:stretch>
                  </pic:blipFill>
                  <pic:spPr>
                    <a:xfrm>
                      <a:off x="0" y="0"/>
                      <a:ext cx="6061710" cy="198310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2"/>
        <w:gridCol w:w="3215"/>
      </w:tblGrid>
      <w:tr w:rsidR="001C08A5" w14:paraId="380AF02B" w14:textId="77777777">
        <w:tc>
          <w:tcPr>
            <w:tcW w:w="3285" w:type="dxa"/>
          </w:tcPr>
          <w:p w14:paraId="2DEBBD65" w14:textId="77777777" w:rsidR="001C08A5" w:rsidRDefault="00000000">
            <w:pPr>
              <w:jc w:val="center"/>
              <w:rPr>
                <w:i/>
                <w:sz w:val="22"/>
                <w:szCs w:val="22"/>
              </w:rPr>
            </w:pPr>
            <w:r>
              <w:rPr>
                <w:b/>
                <w:bCs/>
                <w:i/>
                <w:sz w:val="22"/>
                <w:szCs w:val="22"/>
              </w:rPr>
              <w:t>b5+b6+a4 ≥ 1,20 m</w:t>
            </w:r>
          </w:p>
        </w:tc>
        <w:tc>
          <w:tcPr>
            <w:tcW w:w="3285" w:type="dxa"/>
          </w:tcPr>
          <w:p w14:paraId="47CD9F03" w14:textId="77777777" w:rsidR="001C08A5" w:rsidRDefault="00000000">
            <w:pPr>
              <w:jc w:val="center"/>
              <w:rPr>
                <w:i/>
                <w:sz w:val="22"/>
                <w:szCs w:val="22"/>
              </w:rPr>
            </w:pPr>
            <w:r>
              <w:rPr>
                <w:b/>
                <w:bCs/>
                <w:i/>
                <w:sz w:val="22"/>
                <w:szCs w:val="22"/>
              </w:rPr>
              <w:t>b7+b8+a5 ≥ 1,20 m</w:t>
            </w:r>
          </w:p>
        </w:tc>
        <w:tc>
          <w:tcPr>
            <w:tcW w:w="3285" w:type="dxa"/>
          </w:tcPr>
          <w:p w14:paraId="365A0F55" w14:textId="77777777" w:rsidR="001C08A5" w:rsidRDefault="00000000">
            <w:pPr>
              <w:jc w:val="center"/>
              <w:rPr>
                <w:i/>
                <w:sz w:val="22"/>
                <w:szCs w:val="22"/>
              </w:rPr>
            </w:pPr>
            <w:r>
              <w:rPr>
                <w:b/>
                <w:bCs/>
                <w:i/>
                <w:sz w:val="22"/>
                <w:szCs w:val="22"/>
              </w:rPr>
              <w:t>b9+b10+a6 ≥ 1,20 m</w:t>
            </w:r>
          </w:p>
        </w:tc>
      </w:tr>
    </w:tbl>
    <w:p w14:paraId="16AC759E" w14:textId="77777777" w:rsidR="001C08A5" w:rsidRDefault="00000000">
      <w:pPr>
        <w:pStyle w:val="Caption"/>
        <w:jc w:val="center"/>
      </w:pPr>
      <w:bookmarkStart w:id="6002" w:name="_Toc162360314"/>
      <w:r>
        <w:t xml:space="preserve">Figura </w:t>
      </w:r>
      <w:r>
        <w:fldChar w:fldCharType="begin"/>
      </w:r>
      <w:r>
        <w:instrText xml:space="preserve"> SEQ Figura \* ARABIC </w:instrText>
      </w:r>
      <w:r>
        <w:fldChar w:fldCharType="separate"/>
      </w:r>
      <w:r>
        <w:t>90</w:t>
      </w:r>
      <w:r>
        <w:fldChar w:fldCharType="end"/>
      </w:r>
      <w:bookmarkStart w:id="6003" w:name="_Toc28955"/>
      <w:bookmarkStart w:id="6004" w:name="_Toc12946"/>
      <w:bookmarkStart w:id="6005" w:name="_Toc7867"/>
      <w:bookmarkStart w:id="6006" w:name="_Toc28764"/>
      <w:bookmarkStart w:id="6007" w:name="_Toc623"/>
      <w:bookmarkStart w:id="6008" w:name="_Toc8837"/>
      <w:bookmarkStart w:id="6009" w:name="_Toc7384"/>
      <w:bookmarkStart w:id="6010" w:name="_Toc3297"/>
      <w:bookmarkStart w:id="6011" w:name="_Toc1785"/>
      <w:r>
        <w:t xml:space="preserve"> - Pereți de separare a compartimentelor de incendiu - secțiune orizontală</w:t>
      </w:r>
      <w:bookmarkEnd w:id="6002"/>
      <w:bookmarkEnd w:id="6003"/>
      <w:bookmarkEnd w:id="6004"/>
      <w:bookmarkEnd w:id="6005"/>
      <w:bookmarkEnd w:id="6006"/>
      <w:bookmarkEnd w:id="6007"/>
      <w:bookmarkEnd w:id="6008"/>
      <w:bookmarkEnd w:id="6009"/>
      <w:bookmarkEnd w:id="6010"/>
      <w:bookmarkEnd w:id="6011"/>
    </w:p>
    <w:p w14:paraId="7128F9A0" w14:textId="77777777" w:rsidR="001C08A5" w:rsidRDefault="00000000">
      <w:pPr>
        <w:pStyle w:val="Heading3"/>
        <w:rPr>
          <w:i/>
          <w:iCs/>
          <w:sz w:val="24"/>
          <w:szCs w:val="24"/>
        </w:rPr>
      </w:pPr>
      <w:bookmarkStart w:id="6012" w:name="_Toc10773"/>
      <w:bookmarkStart w:id="6013" w:name="_Toc10460"/>
      <w:bookmarkStart w:id="6014" w:name="_Toc4796"/>
      <w:bookmarkStart w:id="6015" w:name="_Toc10348"/>
      <w:bookmarkStart w:id="6016" w:name="_Toc30185"/>
      <w:bookmarkStart w:id="6017" w:name="_Toc16870"/>
      <w:bookmarkStart w:id="6018" w:name="_Toc18558"/>
      <w:bookmarkStart w:id="6019" w:name="_Toc31283"/>
      <w:bookmarkStart w:id="6020" w:name="_Toc31732"/>
      <w:bookmarkStart w:id="6021" w:name="_Toc26584"/>
      <w:bookmarkStart w:id="6022" w:name="_Toc23513"/>
      <w:bookmarkStart w:id="6023" w:name="_Toc14035"/>
      <w:bookmarkStart w:id="6024" w:name="_Toc32504"/>
      <w:bookmarkStart w:id="6025" w:name="_Toc16330"/>
      <w:bookmarkStart w:id="6026" w:name="_Toc162355392"/>
      <w:r>
        <w:rPr>
          <w:i/>
          <w:iCs/>
          <w:sz w:val="24"/>
          <w:szCs w:val="24"/>
        </w:rPr>
        <w:t>ANEXA 2.2 - PEREȚI ANTIFOC ȘI PEREȚI REZISTENȚI LA FOC LA HALE</w:t>
      </w:r>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p>
    <w:p w14:paraId="4BFD570D" w14:textId="77777777" w:rsidR="001C08A5" w:rsidRDefault="00000000">
      <w:pPr>
        <w:jc w:val="center"/>
        <w:rPr>
          <w:i/>
          <w:sz w:val="24"/>
          <w:szCs w:val="24"/>
        </w:rPr>
      </w:pPr>
      <w:r>
        <w:rPr>
          <w:noProof/>
        </w:rPr>
        <w:drawing>
          <wp:inline distT="0" distB="0" distL="114300" distR="114300" wp14:anchorId="0E28AECE" wp14:editId="49C6C457">
            <wp:extent cx="6061710" cy="1489710"/>
            <wp:effectExtent l="0" t="0" r="15240" b="15240"/>
            <wp:docPr id="3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10"/>
                    <pic:cNvPicPr>
                      <a:picLocks noChangeAspect="1"/>
                    </pic:cNvPicPr>
                  </pic:nvPicPr>
                  <pic:blipFill>
                    <a:blip r:embed="rId244"/>
                    <a:srcRect l="12358" t="52399" r="7336" b="20150"/>
                    <a:stretch>
                      <a:fillRect/>
                    </a:stretch>
                  </pic:blipFill>
                  <pic:spPr>
                    <a:xfrm>
                      <a:off x="0" y="0"/>
                      <a:ext cx="6061710" cy="148971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4506F06F" w14:textId="77777777">
        <w:tc>
          <w:tcPr>
            <w:tcW w:w="4927" w:type="dxa"/>
          </w:tcPr>
          <w:p w14:paraId="5101652A" w14:textId="77777777" w:rsidR="001C08A5" w:rsidRDefault="00000000">
            <w:pPr>
              <w:jc w:val="center"/>
              <w:rPr>
                <w:b/>
                <w:bCs/>
                <w:i/>
                <w:sz w:val="22"/>
                <w:szCs w:val="22"/>
              </w:rPr>
            </w:pPr>
            <w:r>
              <w:rPr>
                <w:b/>
                <w:bCs/>
                <w:i/>
                <w:sz w:val="22"/>
                <w:szCs w:val="22"/>
              </w:rPr>
              <w:t>Varianta a) - SECȚIUNE</w:t>
            </w:r>
          </w:p>
        </w:tc>
        <w:tc>
          <w:tcPr>
            <w:tcW w:w="4928" w:type="dxa"/>
          </w:tcPr>
          <w:p w14:paraId="3D92D520" w14:textId="77777777" w:rsidR="001C08A5" w:rsidRDefault="00000000">
            <w:pPr>
              <w:jc w:val="center"/>
              <w:rPr>
                <w:b/>
                <w:bCs/>
                <w:i/>
                <w:sz w:val="22"/>
                <w:szCs w:val="22"/>
              </w:rPr>
            </w:pPr>
            <w:r>
              <w:rPr>
                <w:b/>
                <w:bCs/>
                <w:i/>
                <w:sz w:val="22"/>
                <w:szCs w:val="22"/>
              </w:rPr>
              <w:t>Varianta b) - SECȚIUNE</w:t>
            </w:r>
          </w:p>
        </w:tc>
      </w:tr>
    </w:tbl>
    <w:p w14:paraId="3642BAED" w14:textId="77777777" w:rsidR="001C08A5" w:rsidRDefault="00000000">
      <w:pPr>
        <w:jc w:val="center"/>
        <w:rPr>
          <w:i/>
          <w:sz w:val="24"/>
          <w:szCs w:val="24"/>
        </w:rPr>
      </w:pPr>
      <w:r>
        <w:rPr>
          <w:noProof/>
        </w:rPr>
        <w:drawing>
          <wp:inline distT="0" distB="0" distL="114300" distR="114300" wp14:anchorId="69671D96" wp14:editId="33E6F77B">
            <wp:extent cx="6062345" cy="2199005"/>
            <wp:effectExtent l="0" t="0" r="14605" b="10795"/>
            <wp:docPr id="1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0"/>
                    <pic:cNvPicPr>
                      <a:picLocks noChangeAspect="1"/>
                    </pic:cNvPicPr>
                  </pic:nvPicPr>
                  <pic:blipFill>
                    <a:blip r:embed="rId244"/>
                    <a:srcRect l="12442" t="9548" r="7243" b="49930"/>
                    <a:stretch>
                      <a:fillRect/>
                    </a:stretch>
                  </pic:blipFill>
                  <pic:spPr>
                    <a:xfrm>
                      <a:off x="0" y="0"/>
                      <a:ext cx="6062345" cy="219900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6453205D" w14:textId="77777777">
        <w:tc>
          <w:tcPr>
            <w:tcW w:w="4927" w:type="dxa"/>
          </w:tcPr>
          <w:p w14:paraId="3909DF74" w14:textId="77777777" w:rsidR="001C08A5" w:rsidRDefault="00000000">
            <w:pPr>
              <w:jc w:val="center"/>
              <w:rPr>
                <w:b/>
                <w:bCs/>
                <w:i/>
                <w:sz w:val="22"/>
                <w:szCs w:val="22"/>
              </w:rPr>
            </w:pPr>
            <w:r>
              <w:rPr>
                <w:b/>
                <w:bCs/>
                <w:i/>
                <w:sz w:val="22"/>
                <w:szCs w:val="22"/>
              </w:rPr>
              <w:t>Varianta a) - PLAN</w:t>
            </w:r>
          </w:p>
        </w:tc>
        <w:tc>
          <w:tcPr>
            <w:tcW w:w="4928" w:type="dxa"/>
          </w:tcPr>
          <w:p w14:paraId="4ACE3850" w14:textId="77777777" w:rsidR="001C08A5" w:rsidRDefault="00000000">
            <w:pPr>
              <w:jc w:val="center"/>
              <w:rPr>
                <w:b/>
                <w:bCs/>
                <w:i/>
                <w:sz w:val="22"/>
                <w:szCs w:val="22"/>
              </w:rPr>
            </w:pPr>
            <w:r>
              <w:rPr>
                <w:b/>
                <w:bCs/>
                <w:i/>
                <w:sz w:val="22"/>
                <w:szCs w:val="22"/>
              </w:rPr>
              <w:t>Varianta b) - PLAN</w:t>
            </w:r>
          </w:p>
        </w:tc>
      </w:tr>
    </w:tbl>
    <w:p w14:paraId="640D7EAD" w14:textId="77777777" w:rsidR="001C08A5" w:rsidRDefault="00000000">
      <w:pPr>
        <w:pStyle w:val="Caption"/>
        <w:jc w:val="center"/>
      </w:pPr>
      <w:bookmarkStart w:id="6027" w:name="_Toc162360315"/>
      <w:r>
        <w:t xml:space="preserve">Figura </w:t>
      </w:r>
      <w:r>
        <w:fldChar w:fldCharType="begin"/>
      </w:r>
      <w:r>
        <w:instrText xml:space="preserve"> SEQ Figura \* ARABIC </w:instrText>
      </w:r>
      <w:r>
        <w:fldChar w:fldCharType="separate"/>
      </w:r>
      <w:r>
        <w:t>91</w:t>
      </w:r>
      <w:r>
        <w:fldChar w:fldCharType="end"/>
      </w:r>
      <w:bookmarkStart w:id="6028" w:name="_Toc7679"/>
      <w:bookmarkStart w:id="6029" w:name="_Toc12224"/>
      <w:bookmarkStart w:id="6030" w:name="_Toc11731"/>
      <w:bookmarkStart w:id="6031" w:name="_Toc32287"/>
      <w:bookmarkStart w:id="6032" w:name="_Toc24939"/>
      <w:bookmarkStart w:id="6033" w:name="_Toc7937"/>
      <w:bookmarkStart w:id="6034" w:name="_Toc3283"/>
      <w:bookmarkStart w:id="6035" w:name="_Toc6441"/>
      <w:bookmarkStart w:id="6036" w:name="_Toc18238"/>
      <w:r>
        <w:t xml:space="preserve"> - Hale parter cu perete antifoc (de separare a compartimentelor de incendiu) sau rezistent la foc dispus între stâlpi</w:t>
      </w:r>
      <w:bookmarkEnd w:id="6027"/>
      <w:bookmarkEnd w:id="6028"/>
      <w:bookmarkEnd w:id="6029"/>
      <w:bookmarkEnd w:id="6030"/>
      <w:bookmarkEnd w:id="6031"/>
      <w:bookmarkEnd w:id="6032"/>
      <w:bookmarkEnd w:id="6033"/>
      <w:bookmarkEnd w:id="6034"/>
      <w:bookmarkEnd w:id="6035"/>
      <w:bookmarkEnd w:id="6036"/>
    </w:p>
    <w:p w14:paraId="74C1AC74" w14:textId="77777777" w:rsidR="001C08A5" w:rsidRDefault="00000000">
      <w:pPr>
        <w:jc w:val="center"/>
        <w:rPr>
          <w:i/>
          <w:sz w:val="24"/>
          <w:szCs w:val="24"/>
        </w:rPr>
      </w:pPr>
      <w:r>
        <w:rPr>
          <w:noProof/>
        </w:rPr>
        <w:lastRenderedPageBreak/>
        <w:drawing>
          <wp:inline distT="0" distB="0" distL="114300" distR="114300" wp14:anchorId="3EB10A6B" wp14:editId="28E97175">
            <wp:extent cx="6061710" cy="2255520"/>
            <wp:effectExtent l="0" t="0" r="15240" b="11430"/>
            <wp:docPr id="1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1"/>
                    <pic:cNvPicPr>
                      <a:picLocks noChangeAspect="1"/>
                    </pic:cNvPicPr>
                  </pic:nvPicPr>
                  <pic:blipFill>
                    <a:blip r:embed="rId245"/>
                    <a:srcRect l="12358" t="30529" r="7336" b="27908"/>
                    <a:stretch>
                      <a:fillRect/>
                    </a:stretch>
                  </pic:blipFill>
                  <pic:spPr>
                    <a:xfrm>
                      <a:off x="0" y="0"/>
                      <a:ext cx="6061710" cy="225552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7F5910C0" w14:textId="77777777">
        <w:tc>
          <w:tcPr>
            <w:tcW w:w="4927" w:type="dxa"/>
          </w:tcPr>
          <w:p w14:paraId="4501D6C6" w14:textId="77777777" w:rsidR="001C08A5" w:rsidRDefault="00000000">
            <w:pPr>
              <w:jc w:val="center"/>
              <w:rPr>
                <w:b/>
                <w:bCs/>
                <w:i/>
                <w:sz w:val="22"/>
                <w:szCs w:val="22"/>
              </w:rPr>
            </w:pPr>
            <w:r>
              <w:rPr>
                <w:b/>
                <w:bCs/>
                <w:i/>
                <w:sz w:val="22"/>
                <w:szCs w:val="22"/>
              </w:rPr>
              <w:t>Varianta a) - PLAN</w:t>
            </w:r>
          </w:p>
        </w:tc>
        <w:tc>
          <w:tcPr>
            <w:tcW w:w="4928" w:type="dxa"/>
          </w:tcPr>
          <w:p w14:paraId="729954D9" w14:textId="77777777" w:rsidR="001C08A5" w:rsidRDefault="00000000">
            <w:pPr>
              <w:jc w:val="center"/>
              <w:rPr>
                <w:b/>
                <w:bCs/>
                <w:i/>
                <w:sz w:val="22"/>
                <w:szCs w:val="22"/>
              </w:rPr>
            </w:pPr>
            <w:r>
              <w:rPr>
                <w:b/>
                <w:bCs/>
                <w:i/>
                <w:sz w:val="22"/>
                <w:szCs w:val="22"/>
              </w:rPr>
              <w:t>Varianta b) - PLAN</w:t>
            </w:r>
          </w:p>
        </w:tc>
      </w:tr>
    </w:tbl>
    <w:p w14:paraId="16E482C6" w14:textId="77777777" w:rsidR="001C08A5" w:rsidRDefault="00000000">
      <w:pPr>
        <w:pStyle w:val="Caption"/>
        <w:jc w:val="center"/>
      </w:pPr>
      <w:bookmarkStart w:id="6037" w:name="_Toc162360316"/>
      <w:r>
        <w:t xml:space="preserve">Figura </w:t>
      </w:r>
      <w:r>
        <w:fldChar w:fldCharType="begin"/>
      </w:r>
      <w:r>
        <w:instrText xml:space="preserve"> SEQ Figura \* ARABIC </w:instrText>
      </w:r>
      <w:r>
        <w:fldChar w:fldCharType="separate"/>
      </w:r>
      <w:r>
        <w:t>92</w:t>
      </w:r>
      <w:r>
        <w:fldChar w:fldCharType="end"/>
      </w:r>
      <w:bookmarkStart w:id="6038" w:name="_Toc11073"/>
      <w:bookmarkStart w:id="6039" w:name="_Toc8664"/>
      <w:bookmarkStart w:id="6040" w:name="_Toc2907"/>
      <w:bookmarkStart w:id="6041" w:name="_Toc21392"/>
      <w:bookmarkStart w:id="6042" w:name="_Toc21220"/>
      <w:bookmarkStart w:id="6043" w:name="_Toc2172"/>
      <w:bookmarkStart w:id="6044" w:name="_Toc19407"/>
      <w:bookmarkStart w:id="6045" w:name="_Toc11891"/>
      <w:bookmarkStart w:id="6046" w:name="_Toc511"/>
      <w:r>
        <w:t xml:space="preserve"> - Hale parter cu perete independent dispus în rost de dilatare sau tasare</w:t>
      </w:r>
      <w:bookmarkEnd w:id="6037"/>
      <w:bookmarkEnd w:id="6038"/>
      <w:bookmarkEnd w:id="6039"/>
      <w:bookmarkEnd w:id="6040"/>
      <w:bookmarkEnd w:id="6041"/>
      <w:bookmarkEnd w:id="6042"/>
      <w:bookmarkEnd w:id="6043"/>
      <w:bookmarkEnd w:id="6044"/>
      <w:bookmarkEnd w:id="6045"/>
      <w:bookmarkEnd w:id="6046"/>
    </w:p>
    <w:p w14:paraId="5779A47E" w14:textId="77777777" w:rsidR="001C08A5" w:rsidRDefault="00000000">
      <w:pPr>
        <w:jc w:val="center"/>
        <w:rPr>
          <w:i/>
          <w:sz w:val="24"/>
          <w:szCs w:val="24"/>
        </w:rPr>
      </w:pPr>
      <w:r>
        <w:rPr>
          <w:noProof/>
        </w:rPr>
        <w:drawing>
          <wp:inline distT="0" distB="0" distL="114300" distR="114300" wp14:anchorId="1EB24D07" wp14:editId="3941CFDF">
            <wp:extent cx="5645785" cy="1892935"/>
            <wp:effectExtent l="0" t="0" r="12065" b="12065"/>
            <wp:docPr id="1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2"/>
                    <pic:cNvPicPr>
                      <a:picLocks noChangeAspect="1"/>
                    </pic:cNvPicPr>
                  </pic:nvPicPr>
                  <pic:blipFill>
                    <a:blip r:embed="rId246"/>
                    <a:srcRect l="12442" t="17236" r="7243" b="45308"/>
                    <a:stretch>
                      <a:fillRect/>
                    </a:stretch>
                  </pic:blipFill>
                  <pic:spPr>
                    <a:xfrm>
                      <a:off x="0" y="0"/>
                      <a:ext cx="5645785" cy="189293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2"/>
        <w:gridCol w:w="4827"/>
      </w:tblGrid>
      <w:tr w:rsidR="001C08A5" w14:paraId="443CD8B7" w14:textId="77777777">
        <w:tc>
          <w:tcPr>
            <w:tcW w:w="4927" w:type="dxa"/>
          </w:tcPr>
          <w:p w14:paraId="70A8694F" w14:textId="77777777" w:rsidR="001C08A5" w:rsidRDefault="00000000">
            <w:pPr>
              <w:jc w:val="center"/>
              <w:rPr>
                <w:b/>
                <w:bCs/>
                <w:i/>
                <w:sz w:val="22"/>
                <w:szCs w:val="22"/>
              </w:rPr>
            </w:pPr>
            <w:r>
              <w:rPr>
                <w:b/>
                <w:bCs/>
                <w:i/>
                <w:sz w:val="22"/>
                <w:szCs w:val="22"/>
              </w:rPr>
              <w:t>PLAN</w:t>
            </w:r>
          </w:p>
        </w:tc>
        <w:tc>
          <w:tcPr>
            <w:tcW w:w="4928" w:type="dxa"/>
          </w:tcPr>
          <w:p w14:paraId="07DCFF5A" w14:textId="77777777" w:rsidR="001C08A5" w:rsidRDefault="00000000">
            <w:pPr>
              <w:jc w:val="center"/>
              <w:rPr>
                <w:b/>
                <w:bCs/>
                <w:i/>
                <w:sz w:val="22"/>
                <w:szCs w:val="22"/>
              </w:rPr>
            </w:pPr>
            <w:r>
              <w:rPr>
                <w:b/>
                <w:bCs/>
                <w:i/>
                <w:sz w:val="22"/>
                <w:szCs w:val="22"/>
              </w:rPr>
              <w:t>SECȚIUNE</w:t>
            </w:r>
          </w:p>
        </w:tc>
      </w:tr>
    </w:tbl>
    <w:p w14:paraId="6D52C715" w14:textId="77777777" w:rsidR="001C08A5" w:rsidRDefault="00000000">
      <w:pPr>
        <w:pStyle w:val="Caption"/>
        <w:jc w:val="center"/>
        <w:rPr>
          <w:rFonts w:cs="Times New Roman"/>
        </w:rPr>
      </w:pPr>
      <w:bookmarkStart w:id="6047" w:name="_Toc162360317"/>
      <w:r>
        <w:t xml:space="preserve">Figura </w:t>
      </w:r>
      <w:r>
        <w:fldChar w:fldCharType="begin"/>
      </w:r>
      <w:r>
        <w:instrText xml:space="preserve"> SEQ Figura \* ARABIC </w:instrText>
      </w:r>
      <w:r>
        <w:fldChar w:fldCharType="separate"/>
      </w:r>
      <w:r>
        <w:t>93</w:t>
      </w:r>
      <w:r>
        <w:fldChar w:fldCharType="end"/>
      </w:r>
      <w:bookmarkStart w:id="6048" w:name="_Toc32428"/>
      <w:bookmarkStart w:id="6049" w:name="_Toc687"/>
      <w:bookmarkStart w:id="6050" w:name="_Toc25131"/>
      <w:bookmarkStart w:id="6051" w:name="_Toc4221"/>
      <w:bookmarkStart w:id="6052" w:name="_Toc1038"/>
      <w:bookmarkStart w:id="6053" w:name="_Toc17951"/>
      <w:bookmarkStart w:id="6054" w:name="_Toc6607"/>
      <w:bookmarkStart w:id="6055" w:name="_Toc32629"/>
      <w:bookmarkStart w:id="6056" w:name="_Toc30554"/>
      <w:r>
        <w:t xml:space="preserve"> - </w:t>
      </w:r>
      <w:r>
        <w:rPr>
          <w:rFonts w:cs="Times New Roman"/>
        </w:rPr>
        <w:t>Hale etajate</w:t>
      </w:r>
      <w:bookmarkEnd w:id="6047"/>
      <w:bookmarkEnd w:id="6048"/>
      <w:bookmarkEnd w:id="6049"/>
      <w:bookmarkEnd w:id="6050"/>
      <w:bookmarkEnd w:id="6051"/>
      <w:bookmarkEnd w:id="6052"/>
      <w:bookmarkEnd w:id="6053"/>
      <w:bookmarkEnd w:id="6054"/>
      <w:bookmarkEnd w:id="6055"/>
      <w:bookmarkEnd w:id="6056"/>
    </w:p>
    <w:p w14:paraId="1BAC7255" w14:textId="77777777" w:rsidR="001C08A5" w:rsidRDefault="00000000">
      <w:pPr>
        <w:jc w:val="center"/>
        <w:rPr>
          <w:b/>
          <w:i/>
          <w:sz w:val="24"/>
          <w:szCs w:val="24"/>
        </w:rPr>
      </w:pPr>
      <w:r>
        <w:rPr>
          <w:i/>
          <w:noProof/>
          <w:sz w:val="24"/>
          <w:szCs w:val="24"/>
          <w:lang w:eastAsia="ro-RO"/>
        </w:rPr>
        <w:drawing>
          <wp:inline distT="0" distB="0" distL="114300" distR="114300" wp14:anchorId="2CD07F0C" wp14:editId="55A6AB73">
            <wp:extent cx="6045835" cy="3085465"/>
            <wp:effectExtent l="0" t="0" r="12065" b="635"/>
            <wp:docPr id="1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5"/>
                    <pic:cNvPicPr>
                      <a:picLocks noChangeAspect="1"/>
                    </pic:cNvPicPr>
                  </pic:nvPicPr>
                  <pic:blipFill>
                    <a:blip r:embed="rId247"/>
                    <a:srcRect l="12521" t="5408" r="7362" b="3052"/>
                    <a:stretch>
                      <a:fillRect/>
                    </a:stretch>
                  </pic:blipFill>
                  <pic:spPr>
                    <a:xfrm>
                      <a:off x="0" y="0"/>
                      <a:ext cx="6045835" cy="308546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447D85B5" w14:textId="77777777">
        <w:tc>
          <w:tcPr>
            <w:tcW w:w="4927" w:type="dxa"/>
          </w:tcPr>
          <w:p w14:paraId="41AAEA8A" w14:textId="77777777" w:rsidR="001C08A5" w:rsidRDefault="00000000">
            <w:pPr>
              <w:jc w:val="center"/>
              <w:rPr>
                <w:b/>
                <w:bCs/>
                <w:i/>
                <w:sz w:val="22"/>
                <w:szCs w:val="22"/>
              </w:rPr>
            </w:pPr>
            <w:r>
              <w:rPr>
                <w:b/>
                <w:bCs/>
                <w:i/>
                <w:sz w:val="22"/>
                <w:szCs w:val="22"/>
              </w:rPr>
              <w:t>PLAN ACOPERIȘ</w:t>
            </w:r>
          </w:p>
        </w:tc>
        <w:tc>
          <w:tcPr>
            <w:tcW w:w="4928" w:type="dxa"/>
          </w:tcPr>
          <w:p w14:paraId="54F48ACC" w14:textId="77777777" w:rsidR="001C08A5" w:rsidRDefault="00000000">
            <w:pPr>
              <w:jc w:val="center"/>
              <w:rPr>
                <w:b/>
                <w:bCs/>
                <w:i/>
                <w:sz w:val="22"/>
                <w:szCs w:val="22"/>
              </w:rPr>
            </w:pPr>
            <w:r>
              <w:rPr>
                <w:b/>
                <w:bCs/>
                <w:i/>
                <w:sz w:val="22"/>
                <w:szCs w:val="22"/>
              </w:rPr>
              <w:t>SECȚIUNE</w:t>
            </w:r>
          </w:p>
        </w:tc>
      </w:tr>
    </w:tbl>
    <w:p w14:paraId="1E7F432D" w14:textId="77777777" w:rsidR="001C08A5" w:rsidRDefault="00000000">
      <w:pPr>
        <w:pStyle w:val="Caption"/>
        <w:jc w:val="center"/>
      </w:pPr>
      <w:bookmarkStart w:id="6057" w:name="_Toc162360318"/>
      <w:r>
        <w:t xml:space="preserve">Figura </w:t>
      </w:r>
      <w:r>
        <w:fldChar w:fldCharType="begin"/>
      </w:r>
      <w:r>
        <w:instrText xml:space="preserve"> SEQ Figura \* ARABIC </w:instrText>
      </w:r>
      <w:r>
        <w:fldChar w:fldCharType="separate"/>
      </w:r>
      <w:r>
        <w:t>94</w:t>
      </w:r>
      <w:r>
        <w:fldChar w:fldCharType="end"/>
      </w:r>
      <w:bookmarkStart w:id="6058" w:name="_Toc1786"/>
      <w:bookmarkStart w:id="6059" w:name="_Toc6250"/>
      <w:bookmarkStart w:id="6060" w:name="_Toc3128"/>
      <w:bookmarkStart w:id="6061" w:name="_Toc22999"/>
      <w:bookmarkStart w:id="6062" w:name="_Toc25953"/>
      <w:bookmarkStart w:id="6063" w:name="_Toc21507"/>
      <w:bookmarkStart w:id="6064" w:name="_Toc32704"/>
      <w:bookmarkStart w:id="6065" w:name="_Toc5495"/>
      <w:bookmarkStart w:id="6066" w:name="_Toc13561"/>
      <w:r>
        <w:t xml:space="preserve"> - Hale parter - Perete antifoc care nu depăşeşte planul acoperişului</w:t>
      </w:r>
      <w:bookmarkEnd w:id="6057"/>
      <w:bookmarkEnd w:id="6058"/>
      <w:bookmarkEnd w:id="6059"/>
      <w:bookmarkEnd w:id="6060"/>
      <w:bookmarkEnd w:id="6061"/>
      <w:bookmarkEnd w:id="6062"/>
      <w:bookmarkEnd w:id="6063"/>
      <w:bookmarkEnd w:id="6064"/>
      <w:bookmarkEnd w:id="6065"/>
      <w:bookmarkEnd w:id="6066"/>
    </w:p>
    <w:p w14:paraId="1340E7B2" w14:textId="77777777" w:rsidR="001C08A5" w:rsidRDefault="00000000">
      <w:pPr>
        <w:jc w:val="center"/>
        <w:rPr>
          <w:i/>
          <w:sz w:val="24"/>
          <w:szCs w:val="24"/>
        </w:rPr>
      </w:pPr>
      <w:r>
        <w:rPr>
          <w:noProof/>
        </w:rPr>
        <w:lastRenderedPageBreak/>
        <w:drawing>
          <wp:inline distT="0" distB="0" distL="114300" distR="114300" wp14:anchorId="760C4E8A" wp14:editId="512DF653">
            <wp:extent cx="5769610" cy="1391285"/>
            <wp:effectExtent l="0" t="0" r="2540" b="18415"/>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4"/>
                    <pic:cNvPicPr>
                      <a:picLocks noChangeAspect="1"/>
                    </pic:cNvPicPr>
                  </pic:nvPicPr>
                  <pic:blipFill>
                    <a:blip r:embed="rId248"/>
                    <a:srcRect l="13797" t="10625" r="9767" b="63737"/>
                    <a:stretch>
                      <a:fillRect/>
                    </a:stretch>
                  </pic:blipFill>
                  <pic:spPr>
                    <a:xfrm>
                      <a:off x="0" y="0"/>
                      <a:ext cx="5769610" cy="139128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0C101344" w14:textId="77777777">
        <w:tc>
          <w:tcPr>
            <w:tcW w:w="4927" w:type="dxa"/>
          </w:tcPr>
          <w:p w14:paraId="3C05630B" w14:textId="77777777" w:rsidR="001C08A5" w:rsidRDefault="00000000">
            <w:pPr>
              <w:jc w:val="center"/>
              <w:rPr>
                <w:b/>
                <w:bCs/>
                <w:i/>
                <w:sz w:val="24"/>
                <w:szCs w:val="24"/>
              </w:rPr>
            </w:pPr>
            <w:r>
              <w:rPr>
                <w:b/>
                <w:bCs/>
                <w:i/>
                <w:sz w:val="24"/>
                <w:szCs w:val="24"/>
              </w:rPr>
              <w:t>PLAN</w:t>
            </w:r>
          </w:p>
        </w:tc>
        <w:tc>
          <w:tcPr>
            <w:tcW w:w="4928" w:type="dxa"/>
          </w:tcPr>
          <w:p w14:paraId="35B56C7F" w14:textId="77777777" w:rsidR="001C08A5" w:rsidRDefault="00000000">
            <w:pPr>
              <w:jc w:val="center"/>
              <w:rPr>
                <w:b/>
                <w:bCs/>
                <w:i/>
                <w:sz w:val="24"/>
                <w:szCs w:val="24"/>
              </w:rPr>
            </w:pPr>
            <w:r>
              <w:rPr>
                <w:b/>
                <w:bCs/>
                <w:i/>
                <w:sz w:val="24"/>
                <w:szCs w:val="24"/>
              </w:rPr>
              <w:t>PLAN</w:t>
            </w:r>
          </w:p>
        </w:tc>
      </w:tr>
    </w:tbl>
    <w:p w14:paraId="5FBFC3FC" w14:textId="77777777" w:rsidR="001C08A5" w:rsidRDefault="00000000">
      <w:pPr>
        <w:jc w:val="center"/>
        <w:rPr>
          <w:i/>
          <w:sz w:val="24"/>
          <w:szCs w:val="24"/>
        </w:rPr>
      </w:pPr>
      <w:r>
        <w:rPr>
          <w:noProof/>
        </w:rPr>
        <w:drawing>
          <wp:inline distT="0" distB="0" distL="114300" distR="114300" wp14:anchorId="6B4FA118" wp14:editId="68E418D7">
            <wp:extent cx="5769610" cy="2658745"/>
            <wp:effectExtent l="0" t="0" r="2540" b="8255"/>
            <wp:docPr id="1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
                    <pic:cNvPicPr>
                      <a:picLocks noChangeAspect="1"/>
                    </pic:cNvPicPr>
                  </pic:nvPicPr>
                  <pic:blipFill>
                    <a:blip r:embed="rId248"/>
                    <a:srcRect l="13797" t="39832" r="9767" b="11175"/>
                    <a:stretch>
                      <a:fillRect/>
                    </a:stretch>
                  </pic:blipFill>
                  <pic:spPr>
                    <a:xfrm>
                      <a:off x="0" y="0"/>
                      <a:ext cx="5769610" cy="265874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6DF41008" w14:textId="77777777">
        <w:tc>
          <w:tcPr>
            <w:tcW w:w="4927" w:type="dxa"/>
          </w:tcPr>
          <w:p w14:paraId="5ACE81CC" w14:textId="77777777" w:rsidR="001C08A5" w:rsidRDefault="00000000">
            <w:pPr>
              <w:jc w:val="center"/>
              <w:rPr>
                <w:b/>
                <w:bCs/>
                <w:i/>
                <w:sz w:val="24"/>
                <w:szCs w:val="24"/>
              </w:rPr>
            </w:pPr>
            <w:r>
              <w:rPr>
                <w:b/>
                <w:bCs/>
                <w:i/>
                <w:sz w:val="24"/>
                <w:szCs w:val="24"/>
              </w:rPr>
              <w:t>SECȚIUNE</w:t>
            </w:r>
          </w:p>
        </w:tc>
        <w:tc>
          <w:tcPr>
            <w:tcW w:w="4928" w:type="dxa"/>
          </w:tcPr>
          <w:p w14:paraId="3F56547D" w14:textId="77777777" w:rsidR="001C08A5" w:rsidRDefault="00000000">
            <w:pPr>
              <w:jc w:val="center"/>
              <w:rPr>
                <w:b/>
                <w:bCs/>
                <w:i/>
                <w:sz w:val="24"/>
                <w:szCs w:val="24"/>
              </w:rPr>
            </w:pPr>
            <w:r>
              <w:rPr>
                <w:b/>
                <w:bCs/>
                <w:i/>
                <w:sz w:val="24"/>
                <w:szCs w:val="24"/>
              </w:rPr>
              <w:t>SECȚIUNE</w:t>
            </w:r>
          </w:p>
        </w:tc>
      </w:tr>
    </w:tbl>
    <w:p w14:paraId="4717EDD4" w14:textId="77777777" w:rsidR="001C08A5" w:rsidRDefault="00000000">
      <w:pPr>
        <w:pStyle w:val="Caption"/>
        <w:jc w:val="center"/>
      </w:pPr>
      <w:bookmarkStart w:id="6067" w:name="_Toc162360319"/>
      <w:r>
        <w:t xml:space="preserve">Figura </w:t>
      </w:r>
      <w:r>
        <w:fldChar w:fldCharType="begin"/>
      </w:r>
      <w:r>
        <w:instrText xml:space="preserve"> SEQ Figura \* ARABIC </w:instrText>
      </w:r>
      <w:r>
        <w:fldChar w:fldCharType="separate"/>
      </w:r>
      <w:r>
        <w:t>95</w:t>
      </w:r>
      <w:r>
        <w:fldChar w:fldCharType="end"/>
      </w:r>
      <w:bookmarkStart w:id="6068" w:name="_Toc13346"/>
      <w:bookmarkStart w:id="6069" w:name="_Toc22301"/>
      <w:bookmarkStart w:id="6070" w:name="_Toc8798"/>
      <w:bookmarkStart w:id="6071" w:name="_Toc29384"/>
      <w:bookmarkStart w:id="6072" w:name="_Toc13596"/>
      <w:bookmarkStart w:id="6073" w:name="_Toc9632"/>
      <w:bookmarkStart w:id="6074" w:name="_Toc8716"/>
      <w:bookmarkStart w:id="6075" w:name="_Toc25931"/>
      <w:bookmarkStart w:id="6076" w:name="_Toc21540"/>
      <w:r>
        <w:t xml:space="preserve"> - Hale parter - Perete antifoc la hale cu înălțimi diferite</w:t>
      </w:r>
      <w:bookmarkEnd w:id="6067"/>
      <w:bookmarkEnd w:id="6068"/>
      <w:bookmarkEnd w:id="6069"/>
      <w:bookmarkEnd w:id="6070"/>
      <w:bookmarkEnd w:id="6071"/>
      <w:bookmarkEnd w:id="6072"/>
      <w:bookmarkEnd w:id="6073"/>
      <w:bookmarkEnd w:id="6074"/>
      <w:bookmarkEnd w:id="6075"/>
      <w:bookmarkEnd w:id="6076"/>
    </w:p>
    <w:p w14:paraId="7C0BBFA5" w14:textId="77777777" w:rsidR="001C08A5" w:rsidRDefault="00000000">
      <w:pPr>
        <w:jc w:val="center"/>
        <w:rPr>
          <w:i/>
          <w:sz w:val="24"/>
          <w:szCs w:val="24"/>
        </w:rPr>
      </w:pPr>
      <w:r>
        <w:rPr>
          <w:i/>
          <w:noProof/>
          <w:sz w:val="24"/>
          <w:szCs w:val="24"/>
          <w:lang w:eastAsia="ro-RO"/>
        </w:rPr>
        <w:drawing>
          <wp:inline distT="0" distB="0" distL="114300" distR="114300" wp14:anchorId="1199EB84" wp14:editId="58ECE0A6">
            <wp:extent cx="5875655" cy="1934210"/>
            <wp:effectExtent l="0" t="0" r="10795" b="889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8"/>
                    <pic:cNvPicPr>
                      <a:picLocks noChangeAspect="1"/>
                    </pic:cNvPicPr>
                  </pic:nvPicPr>
                  <pic:blipFill>
                    <a:blip r:embed="rId249"/>
                    <a:srcRect l="12405" t="4871" r="9773" b="4094"/>
                    <a:stretch>
                      <a:fillRect/>
                    </a:stretch>
                  </pic:blipFill>
                  <pic:spPr>
                    <a:xfrm>
                      <a:off x="0" y="0"/>
                      <a:ext cx="5875655" cy="1934210"/>
                    </a:xfrm>
                    <a:prstGeom prst="rect">
                      <a:avLst/>
                    </a:prstGeom>
                    <a:noFill/>
                    <a:ln>
                      <a:noFill/>
                    </a:ln>
                  </pic:spPr>
                </pic:pic>
              </a:graphicData>
            </a:graphic>
          </wp:inline>
        </w:drawing>
      </w:r>
    </w:p>
    <w:p w14:paraId="69C410C7" w14:textId="77777777" w:rsidR="001C08A5" w:rsidRDefault="00000000">
      <w:pPr>
        <w:pStyle w:val="Caption"/>
        <w:jc w:val="center"/>
      </w:pPr>
      <w:bookmarkStart w:id="6077" w:name="_Toc162360320"/>
      <w:r>
        <w:t xml:space="preserve">Figura </w:t>
      </w:r>
      <w:r>
        <w:fldChar w:fldCharType="begin"/>
      </w:r>
      <w:r>
        <w:instrText xml:space="preserve"> SEQ Figura \* ARABIC </w:instrText>
      </w:r>
      <w:r>
        <w:fldChar w:fldCharType="separate"/>
      </w:r>
      <w:r>
        <w:t>96</w:t>
      </w:r>
      <w:r>
        <w:fldChar w:fldCharType="end"/>
      </w:r>
      <w:bookmarkStart w:id="6078" w:name="_Toc5561"/>
      <w:bookmarkStart w:id="6079" w:name="_Toc441"/>
      <w:bookmarkStart w:id="6080" w:name="_Toc12857"/>
      <w:bookmarkStart w:id="6081" w:name="_Toc28816"/>
      <w:bookmarkStart w:id="6082" w:name="_Toc27117"/>
      <w:bookmarkStart w:id="6083" w:name="_Toc21178"/>
      <w:bookmarkStart w:id="6084" w:name="_Toc10822"/>
      <w:bookmarkStart w:id="6085" w:name="_Toc28717"/>
      <w:bookmarkStart w:id="6086" w:name="_Toc21892"/>
      <w:r>
        <w:t xml:space="preserve"> - Compartimentarea construcţiilor de producţie sau depozitare</w:t>
      </w:r>
      <w:bookmarkEnd w:id="6077"/>
      <w:bookmarkEnd w:id="6078"/>
      <w:bookmarkEnd w:id="6079"/>
      <w:bookmarkEnd w:id="6080"/>
      <w:bookmarkEnd w:id="6081"/>
      <w:bookmarkEnd w:id="6082"/>
      <w:bookmarkEnd w:id="6083"/>
      <w:bookmarkEnd w:id="6084"/>
      <w:bookmarkEnd w:id="6085"/>
      <w:bookmarkEnd w:id="6086"/>
    </w:p>
    <w:p w14:paraId="21C49B9B" w14:textId="77777777" w:rsidR="001C08A5" w:rsidRDefault="00000000">
      <w:pPr>
        <w:pStyle w:val="Heading3"/>
        <w:rPr>
          <w:i/>
          <w:iCs/>
          <w:sz w:val="24"/>
          <w:szCs w:val="24"/>
        </w:rPr>
      </w:pPr>
      <w:bookmarkStart w:id="6087" w:name="_Toc7030"/>
      <w:bookmarkStart w:id="6088" w:name="_Toc16850"/>
      <w:bookmarkStart w:id="6089" w:name="_Toc13631"/>
      <w:bookmarkStart w:id="6090" w:name="_Toc527"/>
      <w:bookmarkStart w:id="6091" w:name="_Toc10768"/>
      <w:bookmarkStart w:id="6092" w:name="_Toc32642"/>
      <w:bookmarkStart w:id="6093" w:name="_Toc27034"/>
      <w:bookmarkStart w:id="6094" w:name="_Toc1044"/>
      <w:bookmarkStart w:id="6095" w:name="_Toc20123"/>
      <w:bookmarkStart w:id="6096" w:name="_Toc27358"/>
      <w:bookmarkStart w:id="6097" w:name="_Toc17073"/>
      <w:bookmarkStart w:id="6098" w:name="_Toc13775"/>
      <w:bookmarkStart w:id="6099" w:name="_Toc162355393"/>
      <w:bookmarkStart w:id="6100" w:name="_Toc2896"/>
      <w:bookmarkStart w:id="6101" w:name="_Toc16934"/>
      <w:r>
        <w:rPr>
          <w:i/>
          <w:iCs/>
          <w:sz w:val="24"/>
          <w:szCs w:val="24"/>
        </w:rPr>
        <w:t>ANEXA 2.3 - PEREŢI SE SECTORIZARE CU ROL DE LIMITARE A PROPAGĂRII FOCULUI (DE PROTECŢIE CONTRA INCENDIILOR CARE LIMITEAZĂ PROPAGAREA ÎN INTERIORUL COMPARTIMENTELOR DE INCENDIU)</w:t>
      </w:r>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p>
    <w:p w14:paraId="0E923FB6" w14:textId="77777777" w:rsidR="001C08A5" w:rsidRDefault="001C08A5"/>
    <w:p w14:paraId="1BA2D7A6" w14:textId="77777777" w:rsidR="001C08A5" w:rsidRDefault="00000000">
      <w:pPr>
        <w:numPr>
          <w:ilvl w:val="0"/>
          <w:numId w:val="96"/>
        </w:numPr>
        <w:tabs>
          <w:tab w:val="left" w:pos="426"/>
          <w:tab w:val="left" w:pos="993"/>
        </w:tabs>
        <w:jc w:val="both"/>
        <w:rPr>
          <w:b/>
          <w:bCs/>
          <w:i/>
          <w:sz w:val="24"/>
        </w:rPr>
      </w:pPr>
      <w:r>
        <w:rPr>
          <w:bCs/>
          <w:i/>
          <w:sz w:val="24"/>
        </w:rPr>
        <w:t>La clădiri civile se pot prevedea următorii pereţi de sectorizare cu rol de limitare a propagării focului, având minimum următoarele niveluri de performanță:</w:t>
      </w:r>
    </w:p>
    <w:p w14:paraId="5137CD6D" w14:textId="77777777" w:rsidR="001C08A5" w:rsidRDefault="00000000">
      <w:pPr>
        <w:ind w:firstLine="720"/>
        <w:jc w:val="both"/>
        <w:rPr>
          <w:rFonts w:eastAsia="Arial"/>
          <w:b/>
          <w:bCs/>
          <w:i/>
          <w:sz w:val="24"/>
          <w:szCs w:val="24"/>
        </w:rPr>
      </w:pPr>
      <w:r>
        <w:rPr>
          <w:b/>
          <w:bCs/>
          <w:i/>
          <w:sz w:val="24"/>
          <w:szCs w:val="24"/>
        </w:rPr>
        <w:t>-</w:t>
      </w:r>
      <w:r>
        <w:rPr>
          <w:b/>
          <w:bCs/>
          <w:i/>
          <w:sz w:val="24"/>
          <w:szCs w:val="24"/>
        </w:rPr>
        <w:tab/>
        <w:t>Nivel I (125</w:t>
      </w:r>
      <w:r>
        <w:rPr>
          <w:rFonts w:eastAsia="Arial"/>
          <w:b/>
          <w:bCs/>
          <w:i/>
          <w:sz w:val="24"/>
          <w:szCs w:val="24"/>
        </w:rPr>
        <w:t>m ≥ h)</w:t>
      </w:r>
      <w:r>
        <w:rPr>
          <w:rFonts w:eastAsia="Arial"/>
          <w:b/>
          <w:bCs/>
          <w:i/>
          <w:sz w:val="24"/>
          <w:szCs w:val="24"/>
        </w:rPr>
        <w:tab/>
      </w:r>
      <w:r>
        <w:rPr>
          <w:rFonts w:eastAsia="Arial"/>
          <w:b/>
          <w:bCs/>
          <w:i/>
          <w:sz w:val="24"/>
          <w:szCs w:val="24"/>
        </w:rPr>
        <w:tab/>
        <w:t>- REI/EI 180 (A1 sau A2-s1,d0)</w:t>
      </w:r>
      <w:r>
        <w:rPr>
          <w:rFonts w:eastAsia="Arial"/>
          <w:i/>
          <w:sz w:val="24"/>
          <w:szCs w:val="24"/>
        </w:rPr>
        <w:t xml:space="preserve">, uși </w:t>
      </w:r>
      <w:r>
        <w:rPr>
          <w:rFonts w:eastAsia="Arial"/>
          <w:b/>
          <w:bCs/>
          <w:i/>
          <w:sz w:val="24"/>
          <w:szCs w:val="24"/>
        </w:rPr>
        <w:t>EI</w:t>
      </w:r>
      <w:r>
        <w:rPr>
          <w:rFonts w:eastAsia="Arial"/>
          <w:b/>
          <w:bCs/>
          <w:i/>
          <w:sz w:val="24"/>
          <w:szCs w:val="24"/>
          <w:vertAlign w:val="subscript"/>
        </w:rPr>
        <w:t>1</w:t>
      </w:r>
      <w:r>
        <w:rPr>
          <w:rFonts w:eastAsia="Arial"/>
          <w:b/>
          <w:bCs/>
          <w:i/>
          <w:sz w:val="24"/>
          <w:szCs w:val="24"/>
        </w:rPr>
        <w:t xml:space="preserve"> 90-C5S</w:t>
      </w:r>
      <w:r>
        <w:rPr>
          <w:rFonts w:eastAsia="Arial"/>
          <w:b/>
          <w:bCs/>
          <w:i/>
          <w:sz w:val="24"/>
          <w:szCs w:val="24"/>
          <w:vertAlign w:val="subscript"/>
        </w:rPr>
        <w:t>200</w:t>
      </w:r>
    </w:p>
    <w:p w14:paraId="64D0AB6F"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 (75m ≤ h &lt; 125m)</w:t>
      </w:r>
      <w:r>
        <w:rPr>
          <w:rFonts w:eastAsia="Arial"/>
          <w:b/>
          <w:bCs/>
          <w:i/>
          <w:sz w:val="24"/>
          <w:szCs w:val="24"/>
        </w:rPr>
        <w:tab/>
        <w:t>- REI/EI 180 (A1 sau A2-s1,d0)</w:t>
      </w:r>
      <w:r>
        <w:rPr>
          <w:rFonts w:eastAsia="Arial"/>
          <w:i/>
          <w:sz w:val="24"/>
          <w:szCs w:val="24"/>
        </w:rPr>
        <w:t xml:space="preserve">, uși </w:t>
      </w:r>
      <w:r>
        <w:rPr>
          <w:rFonts w:eastAsia="Arial"/>
          <w:b/>
          <w:bCs/>
          <w:i/>
          <w:sz w:val="24"/>
          <w:szCs w:val="24"/>
        </w:rPr>
        <w:t>EI</w:t>
      </w:r>
      <w:r>
        <w:rPr>
          <w:rFonts w:eastAsia="Arial"/>
          <w:b/>
          <w:bCs/>
          <w:i/>
          <w:sz w:val="24"/>
          <w:szCs w:val="24"/>
          <w:vertAlign w:val="subscript"/>
        </w:rPr>
        <w:t>2</w:t>
      </w:r>
      <w:r>
        <w:rPr>
          <w:rFonts w:eastAsia="Arial"/>
          <w:b/>
          <w:bCs/>
          <w:i/>
          <w:sz w:val="24"/>
          <w:szCs w:val="24"/>
        </w:rPr>
        <w:t xml:space="preserve"> 90-C5S</w:t>
      </w:r>
      <w:r>
        <w:rPr>
          <w:rFonts w:eastAsia="Arial"/>
          <w:b/>
          <w:bCs/>
          <w:i/>
          <w:sz w:val="24"/>
          <w:szCs w:val="24"/>
          <w:vertAlign w:val="subscript"/>
        </w:rPr>
        <w:t>200</w:t>
      </w:r>
    </w:p>
    <w:p w14:paraId="344D9D30"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 (45m ≤ h &lt; 75m)</w:t>
      </w:r>
      <w:r>
        <w:rPr>
          <w:rFonts w:eastAsia="Arial"/>
          <w:b/>
          <w:bCs/>
          <w:i/>
          <w:sz w:val="24"/>
          <w:szCs w:val="24"/>
        </w:rPr>
        <w:tab/>
        <w:t>- REI/EI 120 (A1 sau A2-s1,d0)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1</w:t>
      </w:r>
      <w:r>
        <w:rPr>
          <w:rFonts w:eastAsia="Arial"/>
          <w:b/>
          <w:bCs/>
          <w:i/>
          <w:sz w:val="24"/>
          <w:szCs w:val="24"/>
        </w:rPr>
        <w:t xml:space="preserve"> 60-C5S</w:t>
      </w:r>
      <w:r>
        <w:rPr>
          <w:rFonts w:eastAsia="Arial"/>
          <w:b/>
          <w:bCs/>
          <w:i/>
          <w:sz w:val="24"/>
          <w:szCs w:val="24"/>
          <w:vertAlign w:val="subscript"/>
        </w:rPr>
        <w:t>200</w:t>
      </w:r>
    </w:p>
    <w:p w14:paraId="20940871"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 (28m ≤ h &lt; 45m)</w:t>
      </w:r>
      <w:r>
        <w:rPr>
          <w:rFonts w:eastAsia="Arial"/>
          <w:b/>
          <w:bCs/>
          <w:i/>
          <w:sz w:val="24"/>
          <w:szCs w:val="24"/>
        </w:rPr>
        <w:tab/>
        <w:t>- REI/EI 120 (A1 sau A2-s1,d0)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2</w:t>
      </w:r>
      <w:r>
        <w:rPr>
          <w:rFonts w:eastAsia="Arial"/>
          <w:b/>
          <w:bCs/>
          <w:i/>
          <w:sz w:val="24"/>
          <w:szCs w:val="24"/>
        </w:rPr>
        <w:t xml:space="preserve"> 60-C5S</w:t>
      </w:r>
      <w:r>
        <w:rPr>
          <w:rFonts w:eastAsia="Arial"/>
          <w:b/>
          <w:bCs/>
          <w:i/>
          <w:sz w:val="24"/>
          <w:szCs w:val="24"/>
          <w:vertAlign w:val="subscript"/>
        </w:rPr>
        <w:t>200</w:t>
      </w:r>
    </w:p>
    <w:p w14:paraId="6A148DE5"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 (h &lt; 28m)</w:t>
      </w:r>
      <w:r>
        <w:rPr>
          <w:rFonts w:eastAsia="Arial"/>
          <w:b/>
          <w:bCs/>
          <w:i/>
          <w:sz w:val="24"/>
          <w:szCs w:val="24"/>
        </w:rPr>
        <w:tab/>
      </w:r>
      <w:r>
        <w:rPr>
          <w:rFonts w:eastAsia="Arial"/>
          <w:b/>
          <w:bCs/>
          <w:i/>
          <w:sz w:val="24"/>
          <w:szCs w:val="24"/>
        </w:rPr>
        <w:tab/>
        <w:t>- REI/EI 120 (A1 sau A2-s1,d0)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2</w:t>
      </w:r>
      <w:r>
        <w:rPr>
          <w:rFonts w:eastAsia="Arial"/>
          <w:b/>
          <w:bCs/>
          <w:i/>
          <w:sz w:val="24"/>
          <w:szCs w:val="24"/>
        </w:rPr>
        <w:t xml:space="preserve"> 60-C5S</w:t>
      </w:r>
      <w:r>
        <w:rPr>
          <w:rFonts w:eastAsia="Arial"/>
          <w:b/>
          <w:bCs/>
          <w:i/>
          <w:sz w:val="24"/>
          <w:szCs w:val="24"/>
          <w:vertAlign w:val="subscript"/>
        </w:rPr>
        <w:t>200</w:t>
      </w:r>
    </w:p>
    <w:p w14:paraId="319488E5"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 xml:space="preserve">Nivel II </w:t>
      </w:r>
      <w:r>
        <w:rPr>
          <w:rFonts w:eastAsia="Arial"/>
          <w:b/>
          <w:bCs/>
          <w:i/>
          <w:sz w:val="24"/>
          <w:szCs w:val="24"/>
        </w:rPr>
        <w:tab/>
      </w:r>
      <w:r>
        <w:rPr>
          <w:rFonts w:eastAsia="Arial"/>
          <w:b/>
          <w:bCs/>
          <w:i/>
          <w:sz w:val="24"/>
          <w:szCs w:val="24"/>
        </w:rPr>
        <w:tab/>
      </w:r>
      <w:r>
        <w:rPr>
          <w:rFonts w:eastAsia="Arial"/>
          <w:b/>
          <w:bCs/>
          <w:i/>
          <w:sz w:val="24"/>
          <w:szCs w:val="24"/>
        </w:rPr>
        <w:tab/>
        <w:t>- REI/EI 90 (A1 sau A2-s1,d0)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1</w:t>
      </w:r>
      <w:r>
        <w:rPr>
          <w:rFonts w:eastAsia="Arial"/>
          <w:b/>
          <w:bCs/>
          <w:i/>
          <w:sz w:val="24"/>
          <w:szCs w:val="24"/>
        </w:rPr>
        <w:t xml:space="preserve"> 45-C5S</w:t>
      </w:r>
      <w:r>
        <w:rPr>
          <w:rFonts w:eastAsia="Arial"/>
          <w:b/>
          <w:bCs/>
          <w:i/>
          <w:sz w:val="24"/>
          <w:szCs w:val="24"/>
          <w:vertAlign w:val="subscript"/>
        </w:rPr>
        <w:t>200</w:t>
      </w:r>
    </w:p>
    <w:p w14:paraId="2A5498F4"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II (+)</w:t>
      </w:r>
      <w:r>
        <w:rPr>
          <w:rFonts w:eastAsia="Arial"/>
          <w:b/>
          <w:bCs/>
          <w:i/>
          <w:sz w:val="24"/>
          <w:szCs w:val="24"/>
        </w:rPr>
        <w:tab/>
      </w:r>
      <w:r>
        <w:rPr>
          <w:rFonts w:eastAsia="Arial"/>
          <w:b/>
          <w:bCs/>
          <w:i/>
          <w:sz w:val="24"/>
          <w:szCs w:val="24"/>
        </w:rPr>
        <w:tab/>
      </w:r>
      <w:r>
        <w:rPr>
          <w:rFonts w:eastAsia="Arial"/>
          <w:b/>
          <w:bCs/>
          <w:i/>
          <w:sz w:val="24"/>
          <w:szCs w:val="24"/>
        </w:rPr>
        <w:tab/>
        <w:t>- REI/EI 90 (A1 sau A2-s1,d0)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2</w:t>
      </w:r>
      <w:r>
        <w:rPr>
          <w:rFonts w:eastAsia="Arial"/>
          <w:b/>
          <w:bCs/>
          <w:i/>
          <w:sz w:val="24"/>
          <w:szCs w:val="24"/>
        </w:rPr>
        <w:t xml:space="preserve"> 45-C5S</w:t>
      </w:r>
      <w:r>
        <w:rPr>
          <w:rFonts w:eastAsia="Arial"/>
          <w:b/>
          <w:bCs/>
          <w:i/>
          <w:sz w:val="24"/>
          <w:szCs w:val="24"/>
          <w:vertAlign w:val="subscript"/>
        </w:rPr>
        <w:t>200</w:t>
      </w:r>
      <w:r>
        <w:rPr>
          <w:rFonts w:eastAsia="Arial"/>
          <w:b/>
          <w:bCs/>
          <w:i/>
          <w:sz w:val="24"/>
          <w:szCs w:val="24"/>
        </w:rPr>
        <w:t xml:space="preserve"> </w:t>
      </w:r>
    </w:p>
    <w:p w14:paraId="0A7C815D" w14:textId="77777777" w:rsidR="001C08A5" w:rsidRDefault="00000000">
      <w:pPr>
        <w:ind w:firstLine="720"/>
        <w:jc w:val="both"/>
        <w:rPr>
          <w:rFonts w:eastAsia="Arial"/>
          <w:b/>
          <w:bCs/>
          <w:i/>
          <w:sz w:val="24"/>
          <w:szCs w:val="24"/>
        </w:rPr>
      </w:pPr>
      <w:r>
        <w:rPr>
          <w:rFonts w:eastAsia="Arial"/>
          <w:b/>
          <w:bCs/>
          <w:i/>
          <w:sz w:val="24"/>
          <w:szCs w:val="24"/>
        </w:rPr>
        <w:lastRenderedPageBreak/>
        <w:t>-</w:t>
      </w:r>
      <w:r>
        <w:rPr>
          <w:rFonts w:eastAsia="Arial"/>
          <w:b/>
          <w:bCs/>
          <w:i/>
          <w:sz w:val="24"/>
          <w:szCs w:val="24"/>
        </w:rPr>
        <w:tab/>
        <w:t>Nivel III</w:t>
      </w:r>
      <w:r>
        <w:rPr>
          <w:rFonts w:eastAsia="Arial"/>
          <w:b/>
          <w:bCs/>
          <w:i/>
          <w:sz w:val="24"/>
          <w:szCs w:val="24"/>
        </w:rPr>
        <w:tab/>
      </w:r>
      <w:r>
        <w:rPr>
          <w:rFonts w:eastAsia="Arial"/>
          <w:b/>
          <w:bCs/>
          <w:i/>
          <w:sz w:val="24"/>
          <w:szCs w:val="24"/>
        </w:rPr>
        <w:tab/>
      </w:r>
      <w:r>
        <w:rPr>
          <w:rFonts w:eastAsia="Arial"/>
          <w:b/>
          <w:bCs/>
          <w:i/>
          <w:sz w:val="24"/>
          <w:szCs w:val="24"/>
        </w:rPr>
        <w:tab/>
        <w:t>- REI/EI 60 (A1 sau A2-s1,d0)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2</w:t>
      </w:r>
      <w:r>
        <w:rPr>
          <w:rFonts w:eastAsia="Arial"/>
          <w:b/>
          <w:bCs/>
          <w:i/>
          <w:sz w:val="24"/>
          <w:szCs w:val="24"/>
        </w:rPr>
        <w:t xml:space="preserve"> 30-C5S</w:t>
      </w:r>
      <w:r>
        <w:rPr>
          <w:rFonts w:eastAsia="Arial"/>
          <w:b/>
          <w:bCs/>
          <w:i/>
          <w:sz w:val="24"/>
          <w:szCs w:val="24"/>
          <w:vertAlign w:val="subscript"/>
        </w:rPr>
        <w:t>200</w:t>
      </w:r>
      <w:r>
        <w:rPr>
          <w:rFonts w:eastAsia="Arial"/>
          <w:b/>
          <w:bCs/>
          <w:i/>
          <w:sz w:val="24"/>
          <w:szCs w:val="24"/>
        </w:rPr>
        <w:t xml:space="preserve"> </w:t>
      </w:r>
    </w:p>
    <w:p w14:paraId="657B9384"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III (+)</w:t>
      </w:r>
      <w:r>
        <w:rPr>
          <w:rFonts w:eastAsia="Arial"/>
          <w:b/>
          <w:bCs/>
          <w:i/>
          <w:sz w:val="24"/>
          <w:szCs w:val="24"/>
        </w:rPr>
        <w:tab/>
      </w:r>
      <w:r>
        <w:rPr>
          <w:rFonts w:eastAsia="Arial"/>
          <w:b/>
          <w:bCs/>
          <w:i/>
          <w:sz w:val="24"/>
          <w:szCs w:val="24"/>
        </w:rPr>
        <w:tab/>
      </w:r>
      <w:r>
        <w:rPr>
          <w:rFonts w:eastAsia="Arial"/>
          <w:b/>
          <w:bCs/>
          <w:i/>
          <w:sz w:val="24"/>
          <w:szCs w:val="24"/>
        </w:rPr>
        <w:tab/>
        <w:t>- REI/EI 45 (A1 sau A2-s1,d0)</w:t>
      </w:r>
      <w:r>
        <w:rPr>
          <w:rFonts w:eastAsia="Arial"/>
          <w:i/>
          <w:sz w:val="24"/>
          <w:szCs w:val="24"/>
        </w:rPr>
        <w:t>, uși</w:t>
      </w:r>
      <w:r>
        <w:rPr>
          <w:rFonts w:eastAsia="Arial"/>
          <w:b/>
          <w:bCs/>
          <w:i/>
          <w:sz w:val="24"/>
          <w:szCs w:val="24"/>
        </w:rPr>
        <w:t xml:space="preserve"> E 30-C5S</w:t>
      </w:r>
      <w:r>
        <w:rPr>
          <w:rFonts w:eastAsia="Arial"/>
          <w:b/>
          <w:bCs/>
          <w:i/>
          <w:sz w:val="24"/>
          <w:szCs w:val="24"/>
          <w:vertAlign w:val="subscript"/>
        </w:rPr>
        <w:t>a</w:t>
      </w:r>
      <w:r>
        <w:rPr>
          <w:rFonts w:eastAsia="Arial"/>
          <w:b/>
          <w:bCs/>
          <w:i/>
          <w:sz w:val="24"/>
          <w:szCs w:val="24"/>
        </w:rPr>
        <w:t xml:space="preserve"> </w:t>
      </w:r>
    </w:p>
    <w:p w14:paraId="50D71AC6"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IV</w:t>
      </w:r>
      <w:r>
        <w:rPr>
          <w:rFonts w:eastAsia="Arial"/>
          <w:b/>
          <w:bCs/>
          <w:i/>
          <w:sz w:val="24"/>
          <w:szCs w:val="24"/>
        </w:rPr>
        <w:tab/>
      </w:r>
      <w:r>
        <w:rPr>
          <w:rFonts w:eastAsia="Arial"/>
          <w:b/>
          <w:bCs/>
          <w:i/>
          <w:sz w:val="24"/>
          <w:szCs w:val="24"/>
        </w:rPr>
        <w:tab/>
      </w:r>
      <w:r>
        <w:rPr>
          <w:rFonts w:eastAsia="Arial"/>
          <w:b/>
          <w:bCs/>
          <w:i/>
          <w:sz w:val="24"/>
          <w:szCs w:val="24"/>
        </w:rPr>
        <w:tab/>
        <w:t>- REI/EI 30 (min B-s1,d0)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2</w:t>
      </w:r>
      <w:r>
        <w:rPr>
          <w:rFonts w:eastAsia="Arial"/>
          <w:b/>
          <w:bCs/>
          <w:i/>
          <w:sz w:val="24"/>
          <w:szCs w:val="24"/>
        </w:rPr>
        <w:t xml:space="preserve"> 15-C5S</w:t>
      </w:r>
      <w:r>
        <w:rPr>
          <w:rFonts w:eastAsia="Arial"/>
          <w:b/>
          <w:bCs/>
          <w:i/>
          <w:sz w:val="24"/>
          <w:szCs w:val="24"/>
          <w:vertAlign w:val="subscript"/>
        </w:rPr>
        <w:t>a</w:t>
      </w:r>
      <w:r>
        <w:rPr>
          <w:rFonts w:eastAsia="Arial"/>
          <w:b/>
          <w:bCs/>
          <w:i/>
          <w:sz w:val="24"/>
          <w:szCs w:val="24"/>
        </w:rPr>
        <w:t xml:space="preserve"> </w:t>
      </w:r>
    </w:p>
    <w:p w14:paraId="672B0661"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V</w:t>
      </w:r>
      <w:r>
        <w:rPr>
          <w:rFonts w:eastAsia="Arial"/>
          <w:b/>
          <w:bCs/>
          <w:i/>
          <w:sz w:val="24"/>
          <w:szCs w:val="24"/>
        </w:rPr>
        <w:tab/>
      </w:r>
      <w:r>
        <w:rPr>
          <w:rFonts w:eastAsia="Arial"/>
          <w:b/>
          <w:bCs/>
          <w:i/>
          <w:sz w:val="24"/>
          <w:szCs w:val="24"/>
        </w:rPr>
        <w:tab/>
      </w:r>
      <w:r>
        <w:rPr>
          <w:rFonts w:eastAsia="Arial"/>
          <w:b/>
          <w:bCs/>
          <w:i/>
          <w:sz w:val="24"/>
          <w:szCs w:val="24"/>
        </w:rPr>
        <w:tab/>
        <w:t>- REI/EI 15 (min C-s1,d0)</w:t>
      </w:r>
      <w:r>
        <w:rPr>
          <w:rFonts w:eastAsia="Arial"/>
          <w:i/>
          <w:sz w:val="24"/>
          <w:szCs w:val="24"/>
        </w:rPr>
        <w:t>, uși</w:t>
      </w:r>
      <w:r>
        <w:rPr>
          <w:rFonts w:eastAsia="Arial"/>
          <w:b/>
          <w:bCs/>
          <w:i/>
          <w:sz w:val="24"/>
          <w:szCs w:val="24"/>
        </w:rPr>
        <w:t xml:space="preserve"> C5</w:t>
      </w:r>
    </w:p>
    <w:p w14:paraId="78A09904" w14:textId="77777777" w:rsidR="001C08A5" w:rsidRDefault="00000000">
      <w:pPr>
        <w:numPr>
          <w:ilvl w:val="0"/>
          <w:numId w:val="96"/>
        </w:numPr>
        <w:tabs>
          <w:tab w:val="left" w:pos="426"/>
          <w:tab w:val="left" w:pos="993"/>
        </w:tabs>
        <w:jc w:val="both"/>
        <w:rPr>
          <w:b/>
          <w:bCs/>
          <w:i/>
          <w:sz w:val="24"/>
        </w:rPr>
      </w:pPr>
      <w:r>
        <w:rPr>
          <w:bCs/>
          <w:i/>
          <w:sz w:val="24"/>
        </w:rPr>
        <w:t>La clădiri de producție/ depozitare se pot prevedea următorii pereţi cu rol de limitare a propagării focului, având minimum* următoarele niveluri de performanta:</w:t>
      </w:r>
    </w:p>
    <w:p w14:paraId="441B303B"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 xml:space="preserve">Nivel I </w:t>
      </w:r>
      <w:r>
        <w:rPr>
          <w:rFonts w:eastAsia="Arial"/>
          <w:b/>
          <w:bCs/>
          <w:i/>
          <w:sz w:val="24"/>
          <w:szCs w:val="24"/>
        </w:rPr>
        <w:tab/>
      </w:r>
      <w:r>
        <w:rPr>
          <w:rFonts w:eastAsia="Arial"/>
          <w:b/>
          <w:bCs/>
          <w:i/>
          <w:sz w:val="24"/>
          <w:szCs w:val="24"/>
        </w:rPr>
        <w:tab/>
      </w:r>
      <w:r>
        <w:rPr>
          <w:rFonts w:eastAsia="Arial"/>
          <w:b/>
          <w:bCs/>
          <w:i/>
          <w:sz w:val="24"/>
          <w:szCs w:val="24"/>
        </w:rPr>
        <w:tab/>
        <w:t>- REI/EI 120 (A1 sau A2-s1,d0)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2</w:t>
      </w:r>
      <w:r>
        <w:rPr>
          <w:rFonts w:eastAsia="Arial"/>
          <w:b/>
          <w:bCs/>
          <w:i/>
          <w:sz w:val="24"/>
          <w:szCs w:val="24"/>
        </w:rPr>
        <w:t xml:space="preserve"> 60-C5S</w:t>
      </w:r>
      <w:r>
        <w:rPr>
          <w:rFonts w:eastAsia="Arial"/>
          <w:b/>
          <w:bCs/>
          <w:i/>
          <w:sz w:val="24"/>
          <w:szCs w:val="24"/>
          <w:vertAlign w:val="subscript"/>
        </w:rPr>
        <w:t>200</w:t>
      </w:r>
    </w:p>
    <w:p w14:paraId="621611FC"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 xml:space="preserve">Nivel II </w:t>
      </w:r>
      <w:r>
        <w:rPr>
          <w:rFonts w:eastAsia="Arial"/>
          <w:b/>
          <w:bCs/>
          <w:i/>
          <w:sz w:val="24"/>
          <w:szCs w:val="24"/>
        </w:rPr>
        <w:tab/>
      </w:r>
      <w:r>
        <w:rPr>
          <w:rFonts w:eastAsia="Arial"/>
          <w:b/>
          <w:bCs/>
          <w:i/>
          <w:sz w:val="24"/>
          <w:szCs w:val="24"/>
        </w:rPr>
        <w:tab/>
      </w:r>
      <w:r>
        <w:rPr>
          <w:rFonts w:eastAsia="Arial"/>
          <w:b/>
          <w:bCs/>
          <w:i/>
          <w:sz w:val="24"/>
          <w:szCs w:val="24"/>
        </w:rPr>
        <w:tab/>
        <w:t>- REI/EI 120 (A1 sau A2-s1,d0)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1</w:t>
      </w:r>
      <w:r>
        <w:rPr>
          <w:rFonts w:eastAsia="Arial"/>
          <w:b/>
          <w:bCs/>
          <w:i/>
          <w:sz w:val="24"/>
          <w:szCs w:val="24"/>
        </w:rPr>
        <w:t xml:space="preserve"> 60-C5S</w:t>
      </w:r>
      <w:r>
        <w:rPr>
          <w:rFonts w:eastAsia="Arial"/>
          <w:b/>
          <w:bCs/>
          <w:i/>
          <w:sz w:val="24"/>
          <w:szCs w:val="24"/>
          <w:vertAlign w:val="subscript"/>
        </w:rPr>
        <w:t>200</w:t>
      </w:r>
    </w:p>
    <w:p w14:paraId="03BCE67D"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II (+)</w:t>
      </w:r>
      <w:r>
        <w:rPr>
          <w:rFonts w:eastAsia="Arial"/>
          <w:b/>
          <w:bCs/>
          <w:i/>
          <w:sz w:val="24"/>
          <w:szCs w:val="24"/>
        </w:rPr>
        <w:tab/>
      </w:r>
      <w:r>
        <w:rPr>
          <w:rFonts w:eastAsia="Arial"/>
          <w:b/>
          <w:bCs/>
          <w:i/>
          <w:sz w:val="24"/>
          <w:szCs w:val="24"/>
        </w:rPr>
        <w:tab/>
      </w:r>
      <w:r>
        <w:rPr>
          <w:rFonts w:eastAsia="Arial"/>
          <w:b/>
          <w:bCs/>
          <w:i/>
          <w:sz w:val="24"/>
          <w:szCs w:val="24"/>
        </w:rPr>
        <w:tab/>
        <w:t>- REI/EI 90 (A1 sau A2-s1,d0)</w:t>
      </w:r>
      <w:r>
        <w:rPr>
          <w:rFonts w:eastAsia="Arial"/>
          <w:i/>
          <w:sz w:val="24"/>
          <w:szCs w:val="24"/>
        </w:rPr>
        <w:t>, uși</w:t>
      </w:r>
      <w:r>
        <w:rPr>
          <w:rFonts w:eastAsia="Arial"/>
          <w:b/>
          <w:bCs/>
          <w:i/>
          <w:sz w:val="24"/>
          <w:szCs w:val="24"/>
        </w:rPr>
        <w:t xml:space="preserve"> EI</w:t>
      </w:r>
      <w:r>
        <w:rPr>
          <w:rFonts w:eastAsia="Arial"/>
          <w:b/>
          <w:bCs/>
          <w:i/>
          <w:sz w:val="24"/>
          <w:szCs w:val="24"/>
          <w:vertAlign w:val="subscript"/>
        </w:rPr>
        <w:t>2</w:t>
      </w:r>
      <w:r>
        <w:rPr>
          <w:rFonts w:eastAsia="Arial"/>
          <w:b/>
          <w:bCs/>
          <w:i/>
          <w:sz w:val="24"/>
          <w:szCs w:val="24"/>
        </w:rPr>
        <w:t xml:space="preserve"> 45-C5S</w:t>
      </w:r>
      <w:r>
        <w:rPr>
          <w:rFonts w:eastAsia="Arial"/>
          <w:b/>
          <w:bCs/>
          <w:i/>
          <w:sz w:val="24"/>
          <w:szCs w:val="24"/>
          <w:vertAlign w:val="subscript"/>
        </w:rPr>
        <w:t xml:space="preserve">200 </w:t>
      </w:r>
    </w:p>
    <w:p w14:paraId="00E2F925"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III</w:t>
      </w:r>
      <w:r>
        <w:rPr>
          <w:rFonts w:eastAsia="Arial"/>
          <w:b/>
          <w:bCs/>
          <w:i/>
          <w:sz w:val="24"/>
          <w:szCs w:val="24"/>
        </w:rPr>
        <w:tab/>
      </w:r>
      <w:r>
        <w:rPr>
          <w:rFonts w:eastAsia="Arial"/>
          <w:b/>
          <w:bCs/>
          <w:i/>
          <w:sz w:val="24"/>
          <w:szCs w:val="24"/>
        </w:rPr>
        <w:tab/>
      </w:r>
      <w:r>
        <w:rPr>
          <w:rFonts w:eastAsia="Arial"/>
          <w:b/>
          <w:bCs/>
          <w:i/>
          <w:sz w:val="24"/>
          <w:szCs w:val="24"/>
        </w:rPr>
        <w:tab/>
        <w:t>- REI/EI 60, uși E 30-C5</w:t>
      </w:r>
      <w:r>
        <w:rPr>
          <w:rFonts w:eastAsia="Arial"/>
          <w:b/>
          <w:bCs/>
          <w:i/>
          <w:sz w:val="24"/>
          <w:szCs w:val="24"/>
          <w:vertAlign w:val="subscript"/>
        </w:rPr>
        <w:t>Sa</w:t>
      </w:r>
      <w:r>
        <w:rPr>
          <w:rFonts w:eastAsia="Arial"/>
          <w:b/>
          <w:bCs/>
          <w:i/>
          <w:sz w:val="24"/>
          <w:szCs w:val="24"/>
        </w:rPr>
        <w:t xml:space="preserve">  </w:t>
      </w:r>
    </w:p>
    <w:p w14:paraId="1E7CA89B"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IV</w:t>
      </w:r>
      <w:r>
        <w:rPr>
          <w:rFonts w:eastAsia="Arial"/>
          <w:b/>
          <w:bCs/>
          <w:i/>
          <w:sz w:val="24"/>
          <w:szCs w:val="24"/>
        </w:rPr>
        <w:tab/>
      </w:r>
      <w:r>
        <w:rPr>
          <w:rFonts w:eastAsia="Arial"/>
          <w:b/>
          <w:bCs/>
          <w:i/>
          <w:sz w:val="24"/>
          <w:szCs w:val="24"/>
        </w:rPr>
        <w:tab/>
      </w:r>
      <w:r>
        <w:rPr>
          <w:rFonts w:eastAsia="Arial"/>
          <w:b/>
          <w:bCs/>
          <w:i/>
          <w:sz w:val="24"/>
          <w:szCs w:val="24"/>
        </w:rPr>
        <w:tab/>
        <w:t>- REI/EI 30, uși E 15-C5</w:t>
      </w:r>
      <w:r>
        <w:rPr>
          <w:rFonts w:eastAsia="Arial"/>
          <w:b/>
          <w:bCs/>
          <w:i/>
          <w:sz w:val="24"/>
          <w:szCs w:val="24"/>
          <w:vertAlign w:val="subscript"/>
        </w:rPr>
        <w:t>Sa</w:t>
      </w:r>
      <w:r>
        <w:rPr>
          <w:rFonts w:eastAsia="Arial"/>
          <w:b/>
          <w:bCs/>
          <w:i/>
          <w:sz w:val="24"/>
          <w:szCs w:val="24"/>
        </w:rPr>
        <w:t xml:space="preserve"> </w:t>
      </w:r>
    </w:p>
    <w:p w14:paraId="2F5D0393" w14:textId="77777777" w:rsidR="001C08A5" w:rsidRDefault="00000000">
      <w:pPr>
        <w:ind w:firstLine="720"/>
        <w:jc w:val="both"/>
        <w:rPr>
          <w:rFonts w:eastAsia="Arial"/>
          <w:b/>
          <w:bCs/>
          <w:i/>
          <w:sz w:val="24"/>
          <w:szCs w:val="24"/>
        </w:rPr>
      </w:pPr>
      <w:r>
        <w:rPr>
          <w:rFonts w:eastAsia="Arial"/>
          <w:b/>
          <w:bCs/>
          <w:i/>
          <w:sz w:val="24"/>
          <w:szCs w:val="24"/>
        </w:rPr>
        <w:t>-</w:t>
      </w:r>
      <w:r>
        <w:rPr>
          <w:rFonts w:eastAsia="Arial"/>
          <w:b/>
          <w:bCs/>
          <w:i/>
          <w:sz w:val="24"/>
          <w:szCs w:val="24"/>
        </w:rPr>
        <w:tab/>
        <w:t>Nivel V</w:t>
      </w:r>
      <w:r>
        <w:rPr>
          <w:rFonts w:eastAsia="Arial"/>
          <w:b/>
          <w:bCs/>
          <w:i/>
          <w:sz w:val="24"/>
          <w:szCs w:val="24"/>
        </w:rPr>
        <w:tab/>
      </w:r>
      <w:r>
        <w:rPr>
          <w:rFonts w:eastAsia="Arial"/>
          <w:b/>
          <w:bCs/>
          <w:i/>
          <w:sz w:val="24"/>
          <w:szCs w:val="24"/>
        </w:rPr>
        <w:tab/>
      </w:r>
      <w:r>
        <w:rPr>
          <w:rFonts w:eastAsia="Arial"/>
          <w:b/>
          <w:bCs/>
          <w:i/>
          <w:sz w:val="24"/>
          <w:szCs w:val="24"/>
        </w:rPr>
        <w:tab/>
        <w:t xml:space="preserve">- </w:t>
      </w:r>
      <w:r>
        <w:rPr>
          <w:rFonts w:eastAsia="Arial"/>
          <w:i/>
          <w:sz w:val="24"/>
          <w:szCs w:val="24"/>
        </w:rPr>
        <w:t>uși</w:t>
      </w:r>
      <w:r>
        <w:rPr>
          <w:rFonts w:eastAsia="Arial"/>
          <w:b/>
          <w:bCs/>
          <w:i/>
          <w:sz w:val="24"/>
          <w:szCs w:val="24"/>
        </w:rPr>
        <w:t xml:space="preserve"> C3</w:t>
      </w:r>
    </w:p>
    <w:p w14:paraId="1E5EE566" w14:textId="77777777" w:rsidR="001C08A5" w:rsidRDefault="001C08A5">
      <w:pPr>
        <w:ind w:firstLine="720"/>
        <w:jc w:val="both"/>
        <w:rPr>
          <w:rFonts w:eastAsia="Arial"/>
          <w:b/>
          <w:bCs/>
          <w:i/>
          <w:sz w:val="24"/>
          <w:szCs w:val="24"/>
        </w:rPr>
      </w:pPr>
    </w:p>
    <w:p w14:paraId="399344B9" w14:textId="77777777" w:rsidR="001C08A5" w:rsidRDefault="00000000">
      <w:pPr>
        <w:numPr>
          <w:ilvl w:val="0"/>
          <w:numId w:val="96"/>
        </w:numPr>
        <w:tabs>
          <w:tab w:val="left" w:pos="426"/>
          <w:tab w:val="left" w:pos="993"/>
        </w:tabs>
        <w:jc w:val="both"/>
        <w:rPr>
          <w:b/>
          <w:bCs/>
          <w:i/>
          <w:sz w:val="24"/>
        </w:rPr>
      </w:pPr>
      <w:r>
        <w:rPr>
          <w:bCs/>
          <w:i/>
          <w:sz w:val="24"/>
        </w:rPr>
        <w:t>Pereții despartitori de protecţie contra incendiilor care limitează propagarea în interiorul compartimentelor de incendiu sunt folosiți pentru:</w:t>
      </w:r>
    </w:p>
    <w:p w14:paraId="61C0340D" w14:textId="77777777" w:rsidR="001C08A5" w:rsidRDefault="00000000">
      <w:pPr>
        <w:ind w:left="720" w:firstLine="720"/>
        <w:jc w:val="both"/>
        <w:rPr>
          <w:rFonts w:eastAsia="Arial"/>
          <w:i/>
          <w:sz w:val="24"/>
          <w:szCs w:val="24"/>
        </w:rPr>
      </w:pPr>
      <w:r>
        <w:rPr>
          <w:rFonts w:eastAsia="Arial"/>
          <w:i/>
          <w:sz w:val="24"/>
          <w:szCs w:val="24"/>
        </w:rPr>
        <w:t>- divizarea* zonelor extinse (de exemplu a clădirilor civile cu lungime mare;</w:t>
      </w:r>
    </w:p>
    <w:p w14:paraId="2599B9C8" w14:textId="77777777" w:rsidR="001C08A5" w:rsidRDefault="00000000">
      <w:pPr>
        <w:ind w:left="720" w:firstLine="720"/>
        <w:jc w:val="both"/>
        <w:rPr>
          <w:rFonts w:eastAsia="Arial"/>
          <w:i/>
          <w:sz w:val="24"/>
          <w:szCs w:val="24"/>
        </w:rPr>
      </w:pPr>
      <w:r>
        <w:rPr>
          <w:rFonts w:eastAsia="Arial"/>
          <w:i/>
          <w:sz w:val="24"/>
          <w:szCs w:val="24"/>
        </w:rPr>
        <w:t xml:space="preserve">- separarea minimă* a zonelor administrative față de spații de producție și depozitare (în funcție de densitatea sarcinii termice din spațiile adiacente) atunci când zonele administrative nu se constituie ca și compartimente distincte de incendiu; </w:t>
      </w:r>
    </w:p>
    <w:p w14:paraId="1578E615" w14:textId="77777777" w:rsidR="001C08A5" w:rsidRDefault="00000000">
      <w:pPr>
        <w:ind w:left="720" w:firstLine="720"/>
        <w:jc w:val="both"/>
        <w:rPr>
          <w:rFonts w:eastAsia="Arial"/>
          <w:i/>
          <w:sz w:val="24"/>
          <w:szCs w:val="24"/>
        </w:rPr>
      </w:pPr>
      <w:r>
        <w:rPr>
          <w:rFonts w:eastAsia="Arial"/>
          <w:i/>
          <w:sz w:val="24"/>
          <w:szCs w:val="24"/>
        </w:rPr>
        <w:t xml:space="preserve">- izolarea minimă* a instalațiilor de producție, a utilajelor, folosite în procesul de producție acolo când acestea sunt necesare (în funcție de densitatea sarcinii termice din spațiile adiacente); </w:t>
      </w:r>
    </w:p>
    <w:p w14:paraId="5A1F5E7D" w14:textId="77777777" w:rsidR="001C08A5" w:rsidRDefault="00000000">
      <w:pPr>
        <w:ind w:left="720" w:firstLine="720"/>
        <w:jc w:val="both"/>
        <w:rPr>
          <w:rFonts w:eastAsia="Arial"/>
          <w:i/>
          <w:sz w:val="24"/>
          <w:szCs w:val="24"/>
        </w:rPr>
      </w:pPr>
      <w:r>
        <w:rPr>
          <w:rFonts w:eastAsia="Arial"/>
          <w:i/>
          <w:sz w:val="24"/>
          <w:szCs w:val="24"/>
        </w:rPr>
        <w:t xml:space="preserve">- separarea minimă constructiva* între anumite zone de utilizare diferită (în funcție de densitatea sarcinii termice din spațiile adiacente), atunci când zonele respective nu se constituie ca și compartimente distincte de incendiu; </w:t>
      </w:r>
    </w:p>
    <w:p w14:paraId="0078B75B" w14:textId="77777777" w:rsidR="001C08A5" w:rsidRDefault="00000000">
      <w:pPr>
        <w:ind w:left="720" w:firstLine="720"/>
        <w:jc w:val="both"/>
        <w:rPr>
          <w:rFonts w:eastAsia="Arial"/>
          <w:i/>
          <w:sz w:val="24"/>
          <w:szCs w:val="24"/>
        </w:rPr>
      </w:pPr>
      <w:r>
        <w:rPr>
          <w:rFonts w:eastAsia="Arial"/>
          <w:i/>
          <w:sz w:val="24"/>
          <w:szCs w:val="24"/>
        </w:rPr>
        <w:t xml:space="preserve">- separarea minimă constructivă* între zonele protejate de sisteme de stingere automată a incendiilor și zonele neprotejate (în funcție de densitatea sarcinii termice din spațiile adiacente), </w:t>
      </w:r>
    </w:p>
    <w:p w14:paraId="321EDEA6" w14:textId="77777777" w:rsidR="001C08A5" w:rsidRDefault="00000000">
      <w:pPr>
        <w:ind w:left="720" w:firstLine="720"/>
        <w:jc w:val="both"/>
        <w:rPr>
          <w:rFonts w:eastAsia="Arial"/>
          <w:i/>
          <w:sz w:val="24"/>
          <w:szCs w:val="24"/>
        </w:rPr>
      </w:pPr>
      <w:r>
        <w:rPr>
          <w:rFonts w:eastAsia="Arial"/>
          <w:i/>
          <w:sz w:val="24"/>
          <w:szCs w:val="24"/>
        </w:rPr>
        <w:t xml:space="preserve">- separarea minimă constructivă* a spatiilor de tip "open space" atunci când ariile acestora depasesc valoarea admisă de </w:t>
      </w:r>
      <w:r>
        <w:rPr>
          <w:rFonts w:eastAsia="Arial"/>
          <w:b/>
          <w:bCs/>
          <w:i/>
          <w:sz w:val="24"/>
          <w:szCs w:val="24"/>
        </w:rPr>
        <w:t>400 m</w:t>
      </w:r>
      <w:r>
        <w:rPr>
          <w:rFonts w:eastAsia="Arial"/>
          <w:b/>
          <w:bCs/>
          <w:i/>
          <w:sz w:val="24"/>
          <w:szCs w:val="24"/>
          <w:vertAlign w:val="superscript"/>
        </w:rPr>
        <w:t>2</w:t>
      </w:r>
      <w:r>
        <w:rPr>
          <w:rFonts w:eastAsia="Arial"/>
          <w:i/>
          <w:sz w:val="24"/>
          <w:szCs w:val="24"/>
        </w:rPr>
        <w:t xml:space="preserve"> și spațiile alaturate nu generează performanțe mai restrictive (în funcție de densitatea sarcinii termice din spațiile adiacente)</w:t>
      </w:r>
    </w:p>
    <w:p w14:paraId="65504FCF" w14:textId="77777777" w:rsidR="001C08A5" w:rsidRDefault="00000000">
      <w:pPr>
        <w:jc w:val="both"/>
        <w:rPr>
          <w:rFonts w:eastAsia="Arial"/>
          <w:i/>
          <w:sz w:val="22"/>
          <w:szCs w:val="22"/>
        </w:rPr>
      </w:pPr>
      <w:r>
        <w:rPr>
          <w:rFonts w:eastAsia="Arial"/>
          <w:i/>
          <w:sz w:val="22"/>
          <w:szCs w:val="22"/>
        </w:rPr>
        <w:t>Nota generala*: cu valabilitate doar atunci când spațiile alaturate nu genereaza performante mai restrictive (nu rezulta cerințe mai mari corespunzătoare densităţilor sarcinilor termice (q) din spaţiile adiacente şi/sau densităţilor sarcinilor termice (</w:t>
      </w:r>
      <w:r>
        <w:rPr>
          <w:rFonts w:eastAsia="Arial"/>
          <w:b/>
          <w:bCs/>
          <w:i/>
          <w:sz w:val="22"/>
          <w:szCs w:val="22"/>
        </w:rPr>
        <w:t>q</w:t>
      </w:r>
      <w:r>
        <w:rPr>
          <w:rFonts w:eastAsia="Arial"/>
          <w:i/>
          <w:sz w:val="22"/>
          <w:szCs w:val="22"/>
        </w:rPr>
        <w:t>) cele mai mari din spaţiile pe care le despart) şi/sau atunci când separarea nu este constituita ca și compartiment distinct de incendiu.</w:t>
      </w:r>
    </w:p>
    <w:p w14:paraId="5512A4CF" w14:textId="77777777" w:rsidR="001C08A5" w:rsidRDefault="001C08A5">
      <w:pPr>
        <w:jc w:val="both"/>
        <w:rPr>
          <w:rFonts w:eastAsia="Arial"/>
          <w:i/>
          <w:sz w:val="22"/>
          <w:szCs w:val="22"/>
        </w:rPr>
      </w:pPr>
    </w:p>
    <w:p w14:paraId="47496ADF" w14:textId="77777777" w:rsidR="001C08A5" w:rsidRDefault="00000000">
      <w:pPr>
        <w:numPr>
          <w:ilvl w:val="0"/>
          <w:numId w:val="96"/>
        </w:numPr>
        <w:tabs>
          <w:tab w:val="left" w:pos="426"/>
          <w:tab w:val="left" w:pos="993"/>
        </w:tabs>
        <w:jc w:val="both"/>
        <w:rPr>
          <w:rFonts w:eastAsia="font1"/>
          <w:b/>
          <w:bCs/>
          <w:i/>
          <w:sz w:val="24"/>
        </w:rPr>
      </w:pPr>
      <w:r>
        <w:rPr>
          <w:bCs/>
          <w:i/>
          <w:sz w:val="24"/>
        </w:rPr>
        <w:t xml:space="preserve">Pereţii de sectorizare cu rol de limitare a propagării focului (de protecţie contra incendiilor care limitează propagarea în interiorul compartimentelor de incendiu) </w:t>
      </w:r>
      <w:r>
        <w:rPr>
          <w:b/>
          <w:bCs/>
          <w:i/>
          <w:sz w:val="24"/>
        </w:rPr>
        <w:t>NU</w:t>
      </w:r>
      <w:r>
        <w:rPr>
          <w:bCs/>
          <w:i/>
          <w:sz w:val="24"/>
        </w:rPr>
        <w:t xml:space="preserve"> trebuie să secţioneze construcţia pe toată înălţimea acesteia.</w:t>
      </w:r>
    </w:p>
    <w:p w14:paraId="6695C666" w14:textId="77777777" w:rsidR="001C08A5" w:rsidRDefault="00000000">
      <w:pPr>
        <w:suppressLineNumbers/>
        <w:spacing w:before="120" w:after="120"/>
        <w:jc w:val="center"/>
        <w:rPr>
          <w:rFonts w:cs="Mangal"/>
          <w:b/>
          <w:i/>
          <w:iCs/>
          <w:sz w:val="24"/>
          <w:szCs w:val="24"/>
        </w:rPr>
      </w:pPr>
      <w:r>
        <w:rPr>
          <w:rFonts w:cs="Mangal"/>
          <w:b/>
          <w:i/>
          <w:iCs/>
          <w:noProof/>
          <w:sz w:val="24"/>
          <w:szCs w:val="24"/>
          <w:lang w:eastAsia="ro-RO"/>
        </w:rPr>
        <w:drawing>
          <wp:inline distT="0" distB="0" distL="114300" distR="114300" wp14:anchorId="127314E7" wp14:editId="63F5982A">
            <wp:extent cx="5638800" cy="2558415"/>
            <wp:effectExtent l="0" t="0" r="0" b="13335"/>
            <wp:docPr id="1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0"/>
                    <pic:cNvPicPr>
                      <a:picLocks noChangeAspect="1"/>
                    </pic:cNvPicPr>
                  </pic:nvPicPr>
                  <pic:blipFill>
                    <a:blip r:embed="rId250"/>
                    <a:srcRect l="12411" t="7021" r="7472" b="9438"/>
                    <a:stretch>
                      <a:fillRect/>
                    </a:stretch>
                  </pic:blipFill>
                  <pic:spPr>
                    <a:xfrm>
                      <a:off x="0" y="0"/>
                      <a:ext cx="5638800" cy="2558415"/>
                    </a:xfrm>
                    <a:prstGeom prst="rect">
                      <a:avLst/>
                    </a:prstGeom>
                    <a:noFill/>
                    <a:ln>
                      <a:noFill/>
                    </a:ln>
                  </pic:spPr>
                </pic:pic>
              </a:graphicData>
            </a:graphic>
          </wp:inline>
        </w:drawing>
      </w:r>
    </w:p>
    <w:p w14:paraId="1AE92BA5" w14:textId="77777777" w:rsidR="001C08A5" w:rsidRDefault="00000000">
      <w:pPr>
        <w:pStyle w:val="Caption"/>
        <w:jc w:val="center"/>
        <w:rPr>
          <w:rFonts w:cs="Times New Roman"/>
        </w:rPr>
      </w:pPr>
      <w:bookmarkStart w:id="6102" w:name="_Toc162360321"/>
      <w:r>
        <w:lastRenderedPageBreak/>
        <w:t xml:space="preserve">Figura </w:t>
      </w:r>
      <w:r>
        <w:fldChar w:fldCharType="begin"/>
      </w:r>
      <w:r>
        <w:instrText xml:space="preserve"> SEQ Figura \* ARABIC </w:instrText>
      </w:r>
      <w:r>
        <w:fldChar w:fldCharType="separate"/>
      </w:r>
      <w:r>
        <w:t>97</w:t>
      </w:r>
      <w:r>
        <w:fldChar w:fldCharType="end"/>
      </w:r>
      <w:bookmarkStart w:id="6103" w:name="_Toc20556"/>
      <w:bookmarkStart w:id="6104" w:name="_Toc15694"/>
      <w:bookmarkStart w:id="6105" w:name="_Toc873"/>
      <w:bookmarkStart w:id="6106" w:name="_Toc15809"/>
      <w:bookmarkStart w:id="6107" w:name="_Toc2330"/>
      <w:bookmarkStart w:id="6108" w:name="_Toc4500"/>
      <w:bookmarkStart w:id="6109" w:name="_Toc9360"/>
      <w:bookmarkStart w:id="6110" w:name="_Toc8503"/>
      <w:bookmarkStart w:id="6111" w:name="_Toc30978"/>
      <w:r>
        <w:t xml:space="preserve"> - </w:t>
      </w:r>
      <w:r>
        <w:rPr>
          <w:rFonts w:cs="Times New Roman"/>
        </w:rPr>
        <w:t>Pereți antifoc și pereți de sectorizare</w:t>
      </w:r>
      <w:bookmarkEnd w:id="6102"/>
      <w:bookmarkEnd w:id="6103"/>
      <w:bookmarkEnd w:id="6104"/>
      <w:bookmarkEnd w:id="6105"/>
      <w:bookmarkEnd w:id="6106"/>
      <w:bookmarkEnd w:id="6107"/>
      <w:bookmarkEnd w:id="6108"/>
      <w:bookmarkEnd w:id="6109"/>
      <w:bookmarkEnd w:id="6110"/>
      <w:bookmarkEnd w:id="6111"/>
    </w:p>
    <w:p w14:paraId="7E3C24B1" w14:textId="77777777" w:rsidR="001C08A5" w:rsidRDefault="00000000">
      <w:pPr>
        <w:numPr>
          <w:ilvl w:val="0"/>
          <w:numId w:val="96"/>
        </w:numPr>
        <w:tabs>
          <w:tab w:val="left" w:pos="426"/>
          <w:tab w:val="left" w:pos="993"/>
        </w:tabs>
        <w:jc w:val="both"/>
        <w:rPr>
          <w:bCs/>
          <w:i/>
          <w:sz w:val="24"/>
        </w:rPr>
      </w:pPr>
      <w:r>
        <w:rPr>
          <w:bCs/>
          <w:i/>
          <w:sz w:val="24"/>
          <w:szCs w:val="24"/>
        </w:rPr>
        <w:t xml:space="preserve">Mansardarea construcţiilor civile supraterane se asigură prin realizarea de tronsoane ale clădirii conform </w:t>
      </w:r>
      <w:r>
        <w:rPr>
          <w:b/>
          <w:bCs/>
          <w:i/>
          <w:sz w:val="24"/>
          <w:szCs w:val="24"/>
        </w:rPr>
        <w:t xml:space="preserve">Art. </w:t>
      </w:r>
      <w:r>
        <w:rPr>
          <w:b/>
          <w:bCs/>
          <w:i/>
          <w:caps/>
          <w:sz w:val="24"/>
          <w:szCs w:val="24"/>
        </w:rPr>
        <w:t>3.1.2.</w:t>
      </w:r>
      <w:r>
        <w:rPr>
          <w:b/>
          <w:bCs/>
          <w:i/>
          <w:sz w:val="24"/>
          <w:szCs w:val="24"/>
        </w:rPr>
        <w:t xml:space="preserve">9. alin. (1). </w:t>
      </w:r>
      <w:r>
        <w:rPr>
          <w:bCs/>
          <w:i/>
          <w:sz w:val="24"/>
          <w:szCs w:val="24"/>
        </w:rPr>
        <w:t xml:space="preserve">Mansardarea construcţiilor civile supraterane (realizarea unui nivel funcţional în volumul podului), este admisă dacă pereţii de sectorizare rezistenţi la foc depăşesc cu minimum 30 cm, conform </w:t>
      </w:r>
      <w:r>
        <w:rPr>
          <w:b/>
          <w:bCs/>
          <w:i/>
          <w:sz w:val="24"/>
          <w:szCs w:val="24"/>
        </w:rPr>
        <w:t xml:space="preserve">Art. </w:t>
      </w:r>
      <w:r>
        <w:rPr>
          <w:b/>
          <w:bCs/>
          <w:i/>
          <w:caps/>
          <w:sz w:val="24"/>
          <w:szCs w:val="24"/>
        </w:rPr>
        <w:t>3.1.2.</w:t>
      </w:r>
      <w:r>
        <w:rPr>
          <w:b/>
          <w:bCs/>
          <w:i/>
          <w:sz w:val="24"/>
          <w:szCs w:val="24"/>
        </w:rPr>
        <w:t xml:space="preserve">9. alin.(2) </w:t>
      </w:r>
      <w:r>
        <w:rPr>
          <w:i/>
          <w:sz w:val="24"/>
          <w:szCs w:val="24"/>
        </w:rPr>
        <w:t>și a figurilor următoare:</w:t>
      </w:r>
    </w:p>
    <w:p w14:paraId="64588CA4" w14:textId="77777777" w:rsidR="001C08A5" w:rsidRDefault="001C08A5">
      <w:pPr>
        <w:tabs>
          <w:tab w:val="left" w:pos="426"/>
          <w:tab w:val="left" w:pos="993"/>
        </w:tabs>
        <w:jc w:val="both"/>
        <w:rPr>
          <w:bCs/>
          <w:i/>
          <w:sz w:val="24"/>
        </w:rPr>
      </w:pPr>
    </w:p>
    <w:p w14:paraId="3418509C" w14:textId="77777777" w:rsidR="001C08A5" w:rsidRDefault="00000000">
      <w:pPr>
        <w:autoSpaceDE w:val="0"/>
        <w:autoSpaceDN w:val="0"/>
        <w:adjustRightInd w:val="0"/>
        <w:jc w:val="center"/>
        <w:rPr>
          <w:rFonts w:ascii="Arial" w:hAnsi="Arial" w:cs="Arial"/>
          <w:sz w:val="22"/>
          <w:szCs w:val="22"/>
          <w:lang w:val="en-US" w:eastAsia="en-US"/>
        </w:rPr>
      </w:pPr>
      <w:r>
        <w:rPr>
          <w:rFonts w:ascii="Arial" w:hAnsi="Arial" w:cs="Arial"/>
          <w:noProof/>
          <w:sz w:val="22"/>
          <w:szCs w:val="22"/>
          <w:lang w:val="en-US" w:eastAsia="en-US"/>
        </w:rPr>
        <w:drawing>
          <wp:inline distT="0" distB="0" distL="114300" distR="114300" wp14:anchorId="5FDB7094" wp14:editId="007AB822">
            <wp:extent cx="4598670" cy="1911985"/>
            <wp:effectExtent l="0" t="0" r="11430" b="12065"/>
            <wp:docPr id="3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6"/>
                    <pic:cNvPicPr>
                      <a:picLocks noChangeAspect="1"/>
                    </pic:cNvPicPr>
                  </pic:nvPicPr>
                  <pic:blipFill>
                    <a:blip r:embed="rId241"/>
                    <a:srcRect l="22184" t="7653" r="16892" b="57114"/>
                    <a:stretch>
                      <a:fillRect/>
                    </a:stretch>
                  </pic:blipFill>
                  <pic:spPr>
                    <a:xfrm>
                      <a:off x="0" y="0"/>
                      <a:ext cx="4598670" cy="1911985"/>
                    </a:xfrm>
                    <a:prstGeom prst="rect">
                      <a:avLst/>
                    </a:prstGeom>
                    <a:noFill/>
                    <a:ln>
                      <a:noFill/>
                    </a:ln>
                  </pic:spPr>
                </pic:pic>
              </a:graphicData>
            </a:graphic>
          </wp:inline>
        </w:drawing>
      </w:r>
    </w:p>
    <w:p w14:paraId="23D95321" w14:textId="77777777" w:rsidR="001C08A5" w:rsidRDefault="00000000">
      <w:pPr>
        <w:autoSpaceDE w:val="0"/>
        <w:autoSpaceDN w:val="0"/>
        <w:adjustRightInd w:val="0"/>
        <w:jc w:val="center"/>
        <w:rPr>
          <w:b/>
          <w:bCs/>
          <w:i/>
          <w:iCs/>
          <w:sz w:val="22"/>
          <w:szCs w:val="22"/>
          <w:lang w:eastAsia="en-US"/>
        </w:rPr>
      </w:pPr>
      <w:r>
        <w:rPr>
          <w:b/>
          <w:bCs/>
          <w:i/>
          <w:iCs/>
          <w:sz w:val="22"/>
          <w:szCs w:val="22"/>
          <w:lang w:eastAsia="en-US"/>
        </w:rPr>
        <w:t>Secțiune</w:t>
      </w:r>
    </w:p>
    <w:p w14:paraId="6356E663" w14:textId="77777777" w:rsidR="001C08A5" w:rsidRDefault="00000000">
      <w:pPr>
        <w:pStyle w:val="BodyText"/>
        <w:rPr>
          <w:b w:val="0"/>
          <w:bCs w:val="0"/>
          <w:sz w:val="22"/>
          <w:szCs w:val="22"/>
        </w:rPr>
      </w:pPr>
      <w:r>
        <w:rPr>
          <w:b w:val="0"/>
          <w:bCs w:val="0"/>
          <w:sz w:val="22"/>
          <w:szCs w:val="22"/>
        </w:rPr>
        <w:t>Indicativul</w:t>
      </w:r>
      <w:r>
        <w:rPr>
          <w:sz w:val="22"/>
          <w:szCs w:val="22"/>
        </w:rPr>
        <w:t xml:space="preserve"> ”A” </w:t>
      </w:r>
      <w:r>
        <w:rPr>
          <w:b w:val="0"/>
          <w:bCs w:val="0"/>
          <w:sz w:val="22"/>
          <w:szCs w:val="22"/>
        </w:rPr>
        <w:t xml:space="preserve">reprezintă perete antifoc conform </w:t>
      </w:r>
      <w:r>
        <w:rPr>
          <w:sz w:val="22"/>
          <w:szCs w:val="22"/>
        </w:rPr>
        <w:t>Art. 2.3.2.1.2.</w:t>
      </w:r>
      <w:r>
        <w:rPr>
          <w:b w:val="0"/>
          <w:bCs w:val="0"/>
          <w:sz w:val="22"/>
          <w:szCs w:val="22"/>
        </w:rPr>
        <w:t xml:space="preserve"> (sau conform </w:t>
      </w:r>
      <w:r>
        <w:rPr>
          <w:rFonts w:eastAsia="Calibri"/>
          <w:sz w:val="22"/>
          <w:szCs w:val="22"/>
          <w:shd w:val="clear" w:color="auto" w:fill="FFFFFF"/>
        </w:rPr>
        <w:t xml:space="preserve">A.10. 2.3.4. (1) </w:t>
      </w:r>
      <w:r>
        <w:rPr>
          <w:rFonts w:eastAsia="Calibri"/>
          <w:b w:val="0"/>
          <w:bCs w:val="0"/>
          <w:sz w:val="22"/>
          <w:szCs w:val="22"/>
          <w:shd w:val="clear" w:color="auto" w:fill="FFFFFF"/>
        </w:rPr>
        <w:t>pentru clădiri existente</w:t>
      </w:r>
      <w:r>
        <w:rPr>
          <w:b w:val="0"/>
          <w:bCs w:val="0"/>
          <w:sz w:val="22"/>
          <w:szCs w:val="22"/>
        </w:rPr>
        <w:t>)</w:t>
      </w:r>
    </w:p>
    <w:p w14:paraId="17D15629" w14:textId="77777777" w:rsidR="001C08A5" w:rsidRDefault="00000000">
      <w:pPr>
        <w:pStyle w:val="BodyText"/>
        <w:rPr>
          <w:b w:val="0"/>
          <w:bCs w:val="0"/>
          <w:sz w:val="22"/>
          <w:szCs w:val="22"/>
        </w:rPr>
      </w:pPr>
      <w:r>
        <w:rPr>
          <w:b w:val="0"/>
          <w:bCs w:val="0"/>
          <w:sz w:val="22"/>
          <w:szCs w:val="22"/>
        </w:rPr>
        <w:t>Indicativul</w:t>
      </w:r>
      <w:r>
        <w:rPr>
          <w:sz w:val="22"/>
          <w:szCs w:val="22"/>
        </w:rPr>
        <w:t xml:space="preserve"> ”B” </w:t>
      </w:r>
      <w:r>
        <w:rPr>
          <w:b w:val="0"/>
          <w:bCs w:val="0"/>
          <w:sz w:val="22"/>
          <w:szCs w:val="22"/>
        </w:rPr>
        <w:t xml:space="preserve">reprezintă fâșia min </w:t>
      </w:r>
      <w:r>
        <w:rPr>
          <w:sz w:val="22"/>
          <w:szCs w:val="22"/>
        </w:rPr>
        <w:t>REI 60</w:t>
      </w:r>
      <w:r>
        <w:rPr>
          <w:b w:val="0"/>
          <w:bCs w:val="0"/>
          <w:sz w:val="22"/>
          <w:szCs w:val="22"/>
        </w:rPr>
        <w:t xml:space="preserve"> prevăzută la</w:t>
      </w:r>
      <w:r>
        <w:rPr>
          <w:sz w:val="22"/>
          <w:szCs w:val="22"/>
        </w:rPr>
        <w:t xml:space="preserve"> Art. 2.3.2.1.4. </w:t>
      </w:r>
      <w:r>
        <w:rPr>
          <w:b w:val="0"/>
          <w:bCs w:val="0"/>
          <w:sz w:val="22"/>
          <w:szCs w:val="22"/>
        </w:rPr>
        <w:t xml:space="preserve">(sau conform </w:t>
      </w:r>
      <w:r>
        <w:rPr>
          <w:i w:val="0"/>
          <w:iCs/>
          <w:sz w:val="22"/>
          <w:szCs w:val="22"/>
        </w:rPr>
        <w:t xml:space="preserve"> </w:t>
      </w:r>
      <w:r>
        <w:rPr>
          <w:rFonts w:eastAsia="Calibri"/>
          <w:sz w:val="22"/>
          <w:szCs w:val="22"/>
          <w:shd w:val="clear" w:color="auto" w:fill="FFFFFF"/>
        </w:rPr>
        <w:t xml:space="preserve">A.10. 2.3.14. </w:t>
      </w:r>
      <w:r>
        <w:rPr>
          <w:rFonts w:eastAsia="Calibri"/>
          <w:b w:val="0"/>
          <w:bCs w:val="0"/>
          <w:sz w:val="22"/>
          <w:szCs w:val="22"/>
          <w:shd w:val="clear" w:color="auto" w:fill="FFFFFF"/>
        </w:rPr>
        <w:t>pentru clădiri existente</w:t>
      </w:r>
      <w:r>
        <w:rPr>
          <w:b w:val="0"/>
          <w:bCs w:val="0"/>
          <w:sz w:val="22"/>
          <w:szCs w:val="22"/>
        </w:rPr>
        <w:t>)</w:t>
      </w:r>
    </w:p>
    <w:p w14:paraId="54E30F7A" w14:textId="77777777" w:rsidR="001C08A5" w:rsidRDefault="001C08A5">
      <w:pPr>
        <w:autoSpaceDE w:val="0"/>
        <w:autoSpaceDN w:val="0"/>
        <w:adjustRightInd w:val="0"/>
        <w:jc w:val="center"/>
        <w:rPr>
          <w:b/>
          <w:bCs/>
          <w:i/>
          <w:iCs/>
          <w:sz w:val="22"/>
          <w:szCs w:val="22"/>
          <w:lang w:eastAsia="en-US"/>
        </w:rPr>
      </w:pPr>
    </w:p>
    <w:p w14:paraId="25D59815" w14:textId="77777777" w:rsidR="001C08A5" w:rsidRDefault="00000000">
      <w:pPr>
        <w:autoSpaceDE w:val="0"/>
        <w:autoSpaceDN w:val="0"/>
        <w:adjustRightInd w:val="0"/>
        <w:jc w:val="center"/>
        <w:rPr>
          <w:rFonts w:ascii="Arial" w:hAnsi="Arial" w:cs="Arial"/>
          <w:sz w:val="22"/>
          <w:szCs w:val="22"/>
          <w:lang w:val="en-US" w:eastAsia="en-US"/>
        </w:rPr>
      </w:pPr>
      <w:r>
        <w:rPr>
          <w:rFonts w:ascii="Arial" w:hAnsi="Arial" w:cs="Arial"/>
          <w:noProof/>
          <w:sz w:val="22"/>
          <w:szCs w:val="22"/>
          <w:lang w:val="en-US" w:eastAsia="en-US"/>
        </w:rPr>
        <w:drawing>
          <wp:inline distT="0" distB="0" distL="114300" distR="114300" wp14:anchorId="7EF6A612" wp14:editId="574E09CF">
            <wp:extent cx="2388235" cy="1777365"/>
            <wp:effectExtent l="0" t="0" r="12065" b="13335"/>
            <wp:docPr id="3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9"/>
                    <pic:cNvPicPr>
                      <a:picLocks noChangeAspect="1"/>
                    </pic:cNvPicPr>
                  </pic:nvPicPr>
                  <pic:blipFill>
                    <a:blip r:embed="rId251"/>
                    <a:srcRect l="16951" t="4798" r="51409" b="62450"/>
                    <a:stretch>
                      <a:fillRect/>
                    </a:stretch>
                  </pic:blipFill>
                  <pic:spPr>
                    <a:xfrm>
                      <a:off x="0" y="0"/>
                      <a:ext cx="2388235" cy="1777365"/>
                    </a:xfrm>
                    <a:prstGeom prst="rect">
                      <a:avLst/>
                    </a:prstGeom>
                    <a:noFill/>
                    <a:ln>
                      <a:noFill/>
                    </a:ln>
                  </pic:spPr>
                </pic:pic>
              </a:graphicData>
            </a:graphic>
          </wp:inline>
        </w:drawing>
      </w:r>
    </w:p>
    <w:p w14:paraId="0E383287" w14:textId="77777777" w:rsidR="001C08A5" w:rsidRDefault="00000000">
      <w:pPr>
        <w:autoSpaceDE w:val="0"/>
        <w:autoSpaceDN w:val="0"/>
        <w:adjustRightInd w:val="0"/>
        <w:jc w:val="center"/>
        <w:rPr>
          <w:b/>
          <w:bCs/>
          <w:i/>
          <w:iCs/>
          <w:sz w:val="22"/>
          <w:szCs w:val="22"/>
          <w:lang w:eastAsia="en-US"/>
        </w:rPr>
      </w:pPr>
      <w:r>
        <w:rPr>
          <w:b/>
          <w:bCs/>
          <w:i/>
          <w:iCs/>
          <w:sz w:val="22"/>
          <w:szCs w:val="22"/>
          <w:lang w:eastAsia="en-US"/>
        </w:rPr>
        <w:t>Detaliu de principiu</w:t>
      </w:r>
    </w:p>
    <w:p w14:paraId="1CF710CE" w14:textId="77777777" w:rsidR="001C08A5" w:rsidRDefault="00000000">
      <w:pPr>
        <w:autoSpaceDE w:val="0"/>
        <w:autoSpaceDN w:val="0"/>
        <w:adjustRightInd w:val="0"/>
        <w:jc w:val="center"/>
        <w:rPr>
          <w:rFonts w:ascii="Arial" w:hAnsi="Arial" w:cs="Arial"/>
          <w:sz w:val="24"/>
          <w:szCs w:val="24"/>
          <w:lang w:eastAsia="en-US"/>
        </w:rPr>
      </w:pPr>
      <w:r>
        <w:rPr>
          <w:rFonts w:ascii="Arial" w:hAnsi="Arial" w:cs="Arial"/>
          <w:noProof/>
          <w:sz w:val="24"/>
          <w:szCs w:val="24"/>
          <w:lang w:val="en-US" w:eastAsia="en-US"/>
        </w:rPr>
        <w:drawing>
          <wp:inline distT="0" distB="0" distL="114300" distR="114300" wp14:anchorId="67DB2695" wp14:editId="5D6420E8">
            <wp:extent cx="5878195" cy="1774190"/>
            <wp:effectExtent l="0" t="0" r="8255" b="16510"/>
            <wp:docPr id="3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9"/>
                    <pic:cNvPicPr>
                      <a:picLocks noChangeAspect="1"/>
                    </pic:cNvPicPr>
                  </pic:nvPicPr>
                  <pic:blipFill>
                    <a:blip r:embed="rId251"/>
                    <a:srcRect l="13527" t="47075" r="8598" b="20232"/>
                    <a:stretch>
                      <a:fillRect/>
                    </a:stretch>
                  </pic:blipFill>
                  <pic:spPr>
                    <a:xfrm>
                      <a:off x="0" y="0"/>
                      <a:ext cx="5878195" cy="1774190"/>
                    </a:xfrm>
                    <a:prstGeom prst="rect">
                      <a:avLst/>
                    </a:prstGeom>
                    <a:noFill/>
                    <a:ln>
                      <a:noFill/>
                    </a:ln>
                  </pic:spPr>
                </pic:pic>
              </a:graphicData>
            </a:graphic>
          </wp:inline>
        </w:drawing>
      </w:r>
    </w:p>
    <w:p w14:paraId="4D4C654F" w14:textId="77777777" w:rsidR="001C08A5" w:rsidRDefault="00000000">
      <w:pPr>
        <w:autoSpaceDE w:val="0"/>
        <w:autoSpaceDN w:val="0"/>
        <w:adjustRightInd w:val="0"/>
        <w:jc w:val="center"/>
        <w:rPr>
          <w:b/>
          <w:bCs/>
          <w:i/>
          <w:iCs/>
          <w:sz w:val="22"/>
          <w:szCs w:val="22"/>
          <w:lang w:eastAsia="en-US"/>
        </w:rPr>
      </w:pPr>
      <w:r>
        <w:rPr>
          <w:b/>
          <w:bCs/>
          <w:i/>
          <w:iCs/>
          <w:sz w:val="22"/>
          <w:szCs w:val="22"/>
          <w:lang w:eastAsia="en-US"/>
        </w:rPr>
        <w:t>Detalii (alternative)</w:t>
      </w:r>
    </w:p>
    <w:p w14:paraId="06D76391" w14:textId="77777777" w:rsidR="001C08A5" w:rsidRDefault="00000000">
      <w:pPr>
        <w:pStyle w:val="Caption"/>
        <w:jc w:val="center"/>
        <w:rPr>
          <w:rFonts w:cs="Times New Roman"/>
          <w:bCs/>
          <w:sz w:val="22"/>
          <w:szCs w:val="22"/>
        </w:rPr>
      </w:pPr>
      <w:bookmarkStart w:id="6112" w:name="_Toc162360322"/>
      <w:r>
        <w:t xml:space="preserve">Figura </w:t>
      </w:r>
      <w:r>
        <w:fldChar w:fldCharType="begin"/>
      </w:r>
      <w:r>
        <w:instrText xml:space="preserve"> SEQ Figura \* ARABIC </w:instrText>
      </w:r>
      <w:r>
        <w:fldChar w:fldCharType="separate"/>
      </w:r>
      <w:r>
        <w:t>98</w:t>
      </w:r>
      <w:r>
        <w:fldChar w:fldCharType="end"/>
      </w:r>
      <w:bookmarkStart w:id="6113" w:name="_Toc32153"/>
      <w:bookmarkStart w:id="6114" w:name="_Toc2469"/>
      <w:bookmarkStart w:id="6115" w:name="_Toc2031"/>
      <w:bookmarkStart w:id="6116" w:name="_Toc31336"/>
      <w:bookmarkStart w:id="6117" w:name="_Toc21357"/>
      <w:bookmarkStart w:id="6118" w:name="_Toc31533"/>
      <w:bookmarkStart w:id="6119" w:name="_Toc9007"/>
      <w:bookmarkStart w:id="6120" w:name="_Toc24740"/>
      <w:bookmarkStart w:id="6121" w:name="_Toc10702"/>
      <w:r>
        <w:t xml:space="preserve"> - </w:t>
      </w:r>
      <w:r>
        <w:rPr>
          <w:rFonts w:cs="Times New Roman"/>
          <w:bCs/>
          <w:sz w:val="22"/>
          <w:szCs w:val="22"/>
        </w:rPr>
        <w:t>Perete de sectorizare care depășește streașina</w:t>
      </w:r>
      <w:bookmarkEnd w:id="6112"/>
      <w:bookmarkEnd w:id="6113"/>
      <w:bookmarkEnd w:id="6114"/>
      <w:bookmarkEnd w:id="6115"/>
      <w:bookmarkEnd w:id="6116"/>
      <w:bookmarkEnd w:id="6117"/>
      <w:bookmarkEnd w:id="6118"/>
      <w:bookmarkEnd w:id="6119"/>
      <w:bookmarkEnd w:id="6120"/>
      <w:bookmarkEnd w:id="6121"/>
    </w:p>
    <w:p w14:paraId="10135951" w14:textId="77777777" w:rsidR="001C08A5" w:rsidRDefault="00000000">
      <w:pPr>
        <w:pStyle w:val="Heading3"/>
        <w:rPr>
          <w:i/>
          <w:iCs/>
          <w:sz w:val="24"/>
          <w:szCs w:val="24"/>
        </w:rPr>
      </w:pPr>
      <w:bookmarkStart w:id="6122" w:name="_Toc555"/>
      <w:bookmarkStart w:id="6123" w:name="_Toc23855"/>
      <w:bookmarkStart w:id="6124" w:name="_Toc32497"/>
      <w:bookmarkStart w:id="6125" w:name="_Toc24992"/>
      <w:bookmarkStart w:id="6126" w:name="_Toc2394"/>
      <w:bookmarkStart w:id="6127" w:name="_Toc32240"/>
      <w:bookmarkStart w:id="6128" w:name="_Toc29604"/>
      <w:bookmarkStart w:id="6129" w:name="_Toc28464"/>
      <w:bookmarkStart w:id="6130" w:name="_Toc162355394"/>
      <w:bookmarkStart w:id="6131" w:name="_Toc16634"/>
      <w:bookmarkStart w:id="6132" w:name="_Toc22489"/>
      <w:bookmarkStart w:id="6133" w:name="_Toc24962"/>
      <w:bookmarkStart w:id="6134" w:name="_Toc15749"/>
      <w:bookmarkStart w:id="6135" w:name="_Toc6230"/>
      <w:bookmarkStart w:id="6136" w:name="_Toc6941"/>
      <w:bookmarkStart w:id="6137" w:name="_Toc22493"/>
      <w:bookmarkStart w:id="6138" w:name="_Toc4685"/>
      <w:r>
        <w:rPr>
          <w:i/>
          <w:iCs/>
          <w:sz w:val="24"/>
          <w:szCs w:val="24"/>
        </w:rPr>
        <w:t>ANEXA 2.4 - PEREȚI ANTIFOC ȘI PEREŢI  DE SECTORIZARE</w:t>
      </w:r>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p>
    <w:p w14:paraId="51562F46" w14:textId="77777777" w:rsidR="001C08A5" w:rsidRDefault="001C08A5"/>
    <w:p w14:paraId="726068C4" w14:textId="77777777" w:rsidR="001C08A5" w:rsidRDefault="00000000">
      <w:pPr>
        <w:numPr>
          <w:ilvl w:val="0"/>
          <w:numId w:val="96"/>
        </w:numPr>
        <w:tabs>
          <w:tab w:val="left" w:pos="426"/>
          <w:tab w:val="left" w:pos="993"/>
        </w:tabs>
        <w:jc w:val="both"/>
        <w:rPr>
          <w:bCs/>
          <w:i/>
          <w:sz w:val="24"/>
        </w:rPr>
      </w:pPr>
      <w:r>
        <w:rPr>
          <w:bCs/>
          <w:i/>
          <w:sz w:val="24"/>
        </w:rPr>
        <w:t xml:space="preserve">Pereţii cu rol de limitare a propagării focului (de sectorizare) trebuie amplasați în funcție de nivelul de stabilitate la incendiu al construcţiei sau al compartimentului de incendiu și de funcțiunile acestora, coroborate cu tipul construcției, conform precizărilor din </w:t>
      </w:r>
      <w:r>
        <w:rPr>
          <w:b/>
          <w:bCs/>
          <w:i/>
          <w:iCs/>
          <w:sz w:val="24"/>
          <w:szCs w:val="24"/>
        </w:rPr>
        <w:fldChar w:fldCharType="begin"/>
      </w:r>
      <w:r>
        <w:rPr>
          <w:b/>
          <w:bCs/>
          <w:i/>
          <w:iCs/>
          <w:sz w:val="24"/>
          <w:szCs w:val="24"/>
        </w:rPr>
        <w:instrText xml:space="preserve"> REF _Ref24145 \h </w:instrText>
      </w:r>
      <w:r>
        <w:rPr>
          <w:b/>
          <w:bCs/>
          <w:i/>
          <w:iCs/>
          <w:sz w:val="24"/>
          <w:szCs w:val="24"/>
        </w:rPr>
      </w:r>
      <w:r>
        <w:rPr>
          <w:b/>
          <w:bCs/>
          <w:i/>
          <w:iCs/>
          <w:sz w:val="24"/>
          <w:szCs w:val="24"/>
        </w:rPr>
        <w:fldChar w:fldCharType="separate"/>
      </w:r>
      <w:r>
        <w:t>Tabelul 125</w:t>
      </w:r>
      <w:r>
        <w:rPr>
          <w:b/>
          <w:bCs/>
          <w:i/>
          <w:iCs/>
          <w:sz w:val="24"/>
          <w:szCs w:val="24"/>
        </w:rPr>
        <w:fldChar w:fldCharType="end"/>
      </w:r>
      <w:r>
        <w:rPr>
          <w:b/>
          <w:i/>
          <w:sz w:val="24"/>
        </w:rPr>
        <w:t xml:space="preserve">. </w:t>
      </w:r>
    </w:p>
    <w:p w14:paraId="77A02D52" w14:textId="77777777" w:rsidR="001C08A5" w:rsidRDefault="001C08A5">
      <w:pPr>
        <w:tabs>
          <w:tab w:val="left" w:pos="426"/>
          <w:tab w:val="left" w:pos="993"/>
        </w:tabs>
        <w:jc w:val="both"/>
        <w:rPr>
          <w:bCs/>
          <w:i/>
          <w:sz w:val="24"/>
        </w:rPr>
      </w:pPr>
    </w:p>
    <w:p w14:paraId="56F7A863" w14:textId="77777777" w:rsidR="001C08A5" w:rsidRDefault="00000000">
      <w:pPr>
        <w:numPr>
          <w:ilvl w:val="0"/>
          <w:numId w:val="96"/>
        </w:numPr>
        <w:tabs>
          <w:tab w:val="left" w:pos="426"/>
          <w:tab w:val="left" w:pos="993"/>
        </w:tabs>
        <w:jc w:val="both"/>
        <w:rPr>
          <w:bCs/>
          <w:i/>
          <w:sz w:val="24"/>
        </w:rPr>
      </w:pPr>
      <w:r>
        <w:rPr>
          <w:bCs/>
          <w:i/>
          <w:sz w:val="24"/>
        </w:rPr>
        <w:lastRenderedPageBreak/>
        <w:t xml:space="preserve">Pereții de sectorizare sunt obligatorii în cazurile stabilite de către normativ precum și pentru situația  clădirilor încadrate în nivelul de stabilitate la incendiu </w:t>
      </w:r>
      <w:r>
        <w:rPr>
          <w:b/>
          <w:i/>
          <w:sz w:val="24"/>
        </w:rPr>
        <w:t>I</w:t>
      </w:r>
      <w:r>
        <w:rPr>
          <w:bCs/>
          <w:i/>
          <w:sz w:val="24"/>
        </w:rPr>
        <w:t xml:space="preserve"> (cu excepția clădirilor înalte și foarte înalte) sau </w:t>
      </w:r>
      <w:r>
        <w:rPr>
          <w:b/>
          <w:i/>
          <w:sz w:val="24"/>
        </w:rPr>
        <w:t>II</w:t>
      </w:r>
      <w:r>
        <w:rPr>
          <w:bCs/>
          <w:i/>
          <w:sz w:val="24"/>
        </w:rPr>
        <w:t xml:space="preserve"> (atunci când se prevăd instalaţii de detectare, semnalizare şi alarmare a incendiului cu acoperire totală, instalaţii automate de stingere a incendiilor şi evacuare a fumului din circulațiile comune orizontale respectiv coridoare/holuri și casele de scări) pentru care </w:t>
      </w:r>
      <w:r>
        <w:rPr>
          <w:b/>
          <w:i/>
          <w:sz w:val="24"/>
        </w:rPr>
        <w:t xml:space="preserve">aria construită nu se limitează, </w:t>
      </w:r>
      <w:r>
        <w:rPr>
          <w:bCs/>
          <w:i/>
          <w:sz w:val="24"/>
        </w:rPr>
        <w:t xml:space="preserve">situație prevăzută la </w:t>
      </w:r>
      <w:r>
        <w:rPr>
          <w:b/>
          <w:i/>
          <w:sz w:val="24"/>
        </w:rPr>
        <w:t>lit. c)</w:t>
      </w:r>
      <w:r>
        <w:rPr>
          <w:bCs/>
          <w:i/>
          <w:sz w:val="24"/>
        </w:rPr>
        <w:t xml:space="preserve"> din </w:t>
      </w:r>
      <w:r>
        <w:rPr>
          <w:b/>
          <w:bCs/>
          <w:i/>
          <w:iCs/>
          <w:sz w:val="24"/>
          <w:szCs w:val="24"/>
        </w:rPr>
        <w:fldChar w:fldCharType="begin"/>
      </w:r>
      <w:r>
        <w:rPr>
          <w:b/>
          <w:bCs/>
          <w:i/>
          <w:iCs/>
          <w:sz w:val="24"/>
          <w:szCs w:val="24"/>
        </w:rPr>
        <w:instrText xml:space="preserve"> REF _Ref24455 \h </w:instrText>
      </w:r>
      <w:r>
        <w:rPr>
          <w:b/>
          <w:bCs/>
          <w:i/>
          <w:iCs/>
          <w:sz w:val="24"/>
          <w:szCs w:val="24"/>
        </w:rPr>
      </w:r>
      <w:r>
        <w:rPr>
          <w:b/>
          <w:bCs/>
          <w:i/>
          <w:iCs/>
          <w:sz w:val="24"/>
          <w:szCs w:val="24"/>
        </w:rPr>
        <w:fldChar w:fldCharType="separate"/>
      </w:r>
      <w:r>
        <w:t>Tabelul 41: Condiţii de corelare a ariilor construite (Ac) ale clădirilor și compartimentelor de incendiu supraterane civile cu nivelul de stabiliate la incendiu</w:t>
      </w:r>
      <w:r>
        <w:rPr>
          <w:b/>
          <w:bCs/>
          <w:i/>
          <w:iCs/>
          <w:sz w:val="24"/>
          <w:szCs w:val="24"/>
        </w:rPr>
        <w:fldChar w:fldCharType="end"/>
      </w:r>
      <w:r>
        <w:rPr>
          <w:bCs/>
          <w:i/>
          <w:sz w:val="24"/>
        </w:rPr>
        <w:t xml:space="preserve">. </w:t>
      </w:r>
    </w:p>
    <w:p w14:paraId="7603B2B5" w14:textId="77777777" w:rsidR="001C08A5" w:rsidRDefault="001C08A5">
      <w:pPr>
        <w:tabs>
          <w:tab w:val="left" w:pos="426"/>
          <w:tab w:val="left" w:pos="993"/>
        </w:tabs>
        <w:jc w:val="both"/>
        <w:rPr>
          <w:bCs/>
          <w:i/>
          <w:sz w:val="24"/>
        </w:rPr>
      </w:pPr>
    </w:p>
    <w:p w14:paraId="06EBB44E" w14:textId="77777777" w:rsidR="001C08A5" w:rsidRDefault="00000000">
      <w:pPr>
        <w:numPr>
          <w:ilvl w:val="0"/>
          <w:numId w:val="96"/>
        </w:numPr>
        <w:tabs>
          <w:tab w:val="left" w:pos="426"/>
          <w:tab w:val="left" w:pos="993"/>
        </w:tabs>
        <w:jc w:val="both"/>
        <w:rPr>
          <w:bCs/>
          <w:i/>
          <w:sz w:val="24"/>
        </w:rPr>
      </w:pPr>
      <w:r>
        <w:rPr>
          <w:bCs/>
          <w:i/>
          <w:sz w:val="24"/>
        </w:rPr>
        <w:t xml:space="preserve">Pereții de sectorizare atunci când sunt poziționați între două sau mai multe compartimente de incendiu vor fi conformați ca pereți antifoc.    </w:t>
      </w:r>
    </w:p>
    <w:p w14:paraId="1B70D334" w14:textId="77777777" w:rsidR="001C08A5" w:rsidRDefault="00000000">
      <w:pPr>
        <w:pStyle w:val="Caption"/>
        <w:rPr>
          <w:rFonts w:cs="Times New Roman"/>
          <w:iCs w:val="0"/>
        </w:rPr>
      </w:pPr>
      <w:bookmarkStart w:id="6139" w:name="_Ref24145"/>
      <w:bookmarkStart w:id="6140" w:name="_Toc162360175"/>
      <w:r>
        <w:t xml:space="preserve">Tabelul </w:t>
      </w:r>
      <w:r>
        <w:fldChar w:fldCharType="begin"/>
      </w:r>
      <w:r>
        <w:instrText xml:space="preserve"> SEQ Tabelul \* ARABIC </w:instrText>
      </w:r>
      <w:r>
        <w:fldChar w:fldCharType="separate"/>
      </w:r>
      <w:r>
        <w:t>125</w:t>
      </w:r>
      <w:r>
        <w:fldChar w:fldCharType="end"/>
      </w:r>
      <w:bookmarkStart w:id="6141" w:name="_Toc3267"/>
      <w:bookmarkStart w:id="6142" w:name="_Toc8412"/>
      <w:bookmarkStart w:id="6143" w:name="_Toc11576"/>
      <w:bookmarkStart w:id="6144" w:name="_Toc15748"/>
      <w:bookmarkStart w:id="6145" w:name="_Toc20251"/>
      <w:bookmarkStart w:id="6146" w:name="_Toc1367"/>
      <w:bookmarkStart w:id="6147" w:name="_Toc31396"/>
      <w:bookmarkStart w:id="6148" w:name="_Toc2913"/>
      <w:bookmarkStart w:id="6149" w:name="_Toc6329"/>
      <w:bookmarkStart w:id="6150" w:name="_Toc4262"/>
      <w:bookmarkStart w:id="6151" w:name="_Toc12437"/>
      <w:bookmarkStart w:id="6152" w:name="_Toc8430"/>
      <w:bookmarkEnd w:id="6139"/>
      <w:r>
        <w:t xml:space="preserve">: </w:t>
      </w:r>
      <w:r>
        <w:rPr>
          <w:rFonts w:cs="Times New Roman"/>
          <w:iCs w:val="0"/>
        </w:rPr>
        <w:t xml:space="preserve">Suprafaţa construită maxim admisă între </w:t>
      </w:r>
      <w:r>
        <w:rPr>
          <w:rFonts w:cs="Times New Roman"/>
          <w:iCs w:val="0"/>
          <w:lang w:val="en-GB"/>
        </w:rPr>
        <w:t>spa</w:t>
      </w:r>
      <w:r>
        <w:rPr>
          <w:rFonts w:cs="Times New Roman"/>
          <w:iCs w:val="0"/>
        </w:rPr>
        <w:t>ț</w:t>
      </w:r>
      <w:r>
        <w:rPr>
          <w:rFonts w:cs="Times New Roman"/>
          <w:iCs w:val="0"/>
          <w:lang w:val="en-GB"/>
        </w:rPr>
        <w:t xml:space="preserve">ii delimitate de </w:t>
      </w:r>
      <w:r>
        <w:rPr>
          <w:rFonts w:cs="Times New Roman"/>
          <w:iCs w:val="0"/>
        </w:rPr>
        <w:t>pereţ</w:t>
      </w:r>
      <w:r>
        <w:rPr>
          <w:rFonts w:cs="Times New Roman"/>
          <w:iCs w:val="0"/>
          <w:lang w:val="en-GB"/>
        </w:rPr>
        <w:t>i</w:t>
      </w:r>
      <w:r>
        <w:rPr>
          <w:rFonts w:cs="Times New Roman"/>
          <w:iCs w:val="0"/>
        </w:rPr>
        <w:t xml:space="preserve"> de sectorizare</w:t>
      </w:r>
      <w:bookmarkEnd w:id="6140"/>
      <w:bookmarkEnd w:id="6141"/>
      <w:bookmarkEnd w:id="6142"/>
      <w:bookmarkEnd w:id="6143"/>
      <w:bookmarkEnd w:id="6144"/>
      <w:bookmarkEnd w:id="6145"/>
      <w:bookmarkEnd w:id="6146"/>
      <w:bookmarkEnd w:id="6147"/>
      <w:bookmarkEnd w:id="6148"/>
      <w:bookmarkEnd w:id="6149"/>
      <w:bookmarkEnd w:id="6150"/>
      <w:bookmarkEnd w:id="6151"/>
      <w:bookmarkEnd w:id="6152"/>
    </w:p>
    <w:tbl>
      <w:tblPr>
        <w:tblpPr w:leftFromText="180" w:rightFromText="180" w:vertAnchor="text" w:horzAnchor="page" w:tblpX="1504" w:tblpY="220"/>
        <w:tblOverlap w:val="never"/>
        <w:tblW w:w="4915"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487"/>
        <w:gridCol w:w="2103"/>
        <w:gridCol w:w="4215"/>
        <w:gridCol w:w="1081"/>
        <w:gridCol w:w="1560"/>
      </w:tblGrid>
      <w:tr w:rsidR="001C08A5" w14:paraId="42E4DE91" w14:textId="77777777">
        <w:trPr>
          <w:trHeight w:val="231"/>
        </w:trPr>
        <w:tc>
          <w:tcPr>
            <w:tcW w:w="5000" w:type="pct"/>
            <w:gridSpan w:val="5"/>
            <w:shd w:val="clear" w:color="auto" w:fill="D7D7D7"/>
          </w:tcPr>
          <w:p w14:paraId="52633493" w14:textId="77777777" w:rsidR="001C08A5" w:rsidRDefault="00000000">
            <w:pPr>
              <w:jc w:val="center"/>
              <w:rPr>
                <w:b/>
                <w:bCs/>
                <w:i/>
                <w:sz w:val="22"/>
                <w:szCs w:val="22"/>
              </w:rPr>
            </w:pPr>
            <w:r>
              <w:rPr>
                <w:b/>
                <w:bCs/>
                <w:i/>
                <w:sz w:val="22"/>
                <w:szCs w:val="22"/>
              </w:rPr>
              <w:t xml:space="preserve">Suprafaţa construită maxim admisă între </w:t>
            </w:r>
            <w:r>
              <w:rPr>
                <w:b/>
                <w:bCs/>
                <w:i/>
                <w:sz w:val="22"/>
                <w:szCs w:val="22"/>
                <w:lang w:val="en-GB"/>
              </w:rPr>
              <w:t xml:space="preserve">spatii delimitate de </w:t>
            </w:r>
            <w:r>
              <w:rPr>
                <w:b/>
                <w:bCs/>
                <w:i/>
                <w:sz w:val="22"/>
                <w:szCs w:val="22"/>
              </w:rPr>
              <w:t>pereţ</w:t>
            </w:r>
            <w:r>
              <w:rPr>
                <w:b/>
                <w:bCs/>
                <w:i/>
                <w:sz w:val="22"/>
                <w:szCs w:val="22"/>
                <w:lang w:val="en-GB"/>
              </w:rPr>
              <w:t>i</w:t>
            </w:r>
            <w:r>
              <w:rPr>
                <w:b/>
                <w:bCs/>
                <w:i/>
                <w:sz w:val="22"/>
                <w:szCs w:val="22"/>
              </w:rPr>
              <w:t xml:space="preserve"> de sectorizare, m</w:t>
            </w:r>
            <w:r>
              <w:rPr>
                <w:b/>
                <w:bCs/>
                <w:i/>
                <w:sz w:val="22"/>
                <w:szCs w:val="22"/>
                <w:vertAlign w:val="superscript"/>
              </w:rPr>
              <w:t>2</w:t>
            </w:r>
          </w:p>
        </w:tc>
      </w:tr>
      <w:tr w:rsidR="001C08A5" w14:paraId="1F91A30A" w14:textId="77777777">
        <w:tc>
          <w:tcPr>
            <w:tcW w:w="1371" w:type="pct"/>
            <w:gridSpan w:val="2"/>
            <w:shd w:val="clear" w:color="auto" w:fill="D7D7D7"/>
          </w:tcPr>
          <w:p w14:paraId="613B417B" w14:textId="77777777" w:rsidR="001C08A5" w:rsidRDefault="00000000">
            <w:pPr>
              <w:rPr>
                <w:b/>
                <w:bCs/>
                <w:i/>
                <w:sz w:val="22"/>
                <w:szCs w:val="22"/>
              </w:rPr>
            </w:pPr>
            <w:r>
              <w:rPr>
                <w:b/>
                <w:bCs/>
                <w:i/>
                <w:sz w:val="22"/>
                <w:szCs w:val="22"/>
                <w:lang w:val="en-GB"/>
              </w:rPr>
              <w:t>F</w:t>
            </w:r>
            <w:r>
              <w:rPr>
                <w:b/>
                <w:bCs/>
                <w:i/>
                <w:sz w:val="22"/>
                <w:szCs w:val="22"/>
                <w:lang w:val="it-IT"/>
              </w:rPr>
              <w:t>uncţiun</w:t>
            </w:r>
            <w:r>
              <w:rPr>
                <w:b/>
                <w:bCs/>
                <w:i/>
                <w:sz w:val="22"/>
                <w:szCs w:val="22"/>
              </w:rPr>
              <w:t>e</w:t>
            </w:r>
          </w:p>
        </w:tc>
        <w:tc>
          <w:tcPr>
            <w:tcW w:w="2231" w:type="pct"/>
            <w:shd w:val="clear" w:color="auto" w:fill="D7D7D7"/>
            <w:vAlign w:val="center"/>
          </w:tcPr>
          <w:p w14:paraId="394BFF99" w14:textId="77777777" w:rsidR="001C08A5" w:rsidRDefault="00000000">
            <w:pPr>
              <w:jc w:val="center"/>
              <w:rPr>
                <w:b/>
                <w:bCs/>
                <w:i/>
                <w:sz w:val="22"/>
                <w:szCs w:val="22"/>
              </w:rPr>
            </w:pPr>
            <w:r>
              <w:rPr>
                <w:b/>
                <w:bCs/>
                <w:i/>
                <w:sz w:val="22"/>
                <w:szCs w:val="22"/>
                <w:lang w:val="it-IT"/>
              </w:rPr>
              <w:t xml:space="preserve">Numărul de niveluri supraterane maxim admise </w:t>
            </w:r>
            <w:r>
              <w:rPr>
                <w:b/>
                <w:bCs/>
                <w:i/>
                <w:sz w:val="22"/>
                <w:szCs w:val="22"/>
                <w:lang w:val="en-GB"/>
              </w:rPr>
              <w:t xml:space="preserve">/ </w:t>
            </w:r>
            <w:r>
              <w:rPr>
                <w:b/>
                <w:bCs/>
                <w:i/>
                <w:sz w:val="22"/>
                <w:szCs w:val="22"/>
              </w:rPr>
              <w:t>înălţime totală (până la coamă)</w:t>
            </w:r>
            <w:r>
              <w:rPr>
                <w:b/>
                <w:bCs/>
                <w:i/>
                <w:sz w:val="22"/>
                <w:szCs w:val="22"/>
                <w:lang w:val="it-IT"/>
              </w:rPr>
              <w:t xml:space="preserve"> </w:t>
            </w:r>
          </w:p>
        </w:tc>
        <w:tc>
          <w:tcPr>
            <w:tcW w:w="1397" w:type="pct"/>
            <w:gridSpan w:val="2"/>
            <w:shd w:val="clear" w:color="auto" w:fill="D7D7D7"/>
            <w:vAlign w:val="center"/>
          </w:tcPr>
          <w:p w14:paraId="33996A59" w14:textId="77777777" w:rsidR="001C08A5" w:rsidRDefault="00000000">
            <w:pPr>
              <w:jc w:val="center"/>
              <w:rPr>
                <w:b/>
                <w:bCs/>
                <w:i/>
                <w:sz w:val="22"/>
                <w:szCs w:val="22"/>
              </w:rPr>
            </w:pPr>
            <w:r>
              <w:rPr>
                <w:b/>
                <w:bCs/>
                <w:i/>
                <w:sz w:val="22"/>
                <w:szCs w:val="22"/>
              </w:rPr>
              <w:t>Nivel de stabilitate la incendiu</w:t>
            </w:r>
          </w:p>
        </w:tc>
      </w:tr>
      <w:tr w:rsidR="001C08A5" w14:paraId="3B532C61" w14:textId="77777777">
        <w:tc>
          <w:tcPr>
            <w:tcW w:w="1371" w:type="pct"/>
            <w:gridSpan w:val="2"/>
            <w:shd w:val="clear" w:color="auto" w:fill="D7D7D7"/>
          </w:tcPr>
          <w:p w14:paraId="31286DC8" w14:textId="77777777" w:rsidR="001C08A5" w:rsidRDefault="001C08A5">
            <w:pPr>
              <w:rPr>
                <w:b/>
                <w:bCs/>
                <w:i/>
                <w:sz w:val="22"/>
                <w:szCs w:val="22"/>
                <w:lang w:val="it-IT"/>
              </w:rPr>
            </w:pPr>
          </w:p>
        </w:tc>
        <w:tc>
          <w:tcPr>
            <w:tcW w:w="2231" w:type="pct"/>
            <w:shd w:val="clear" w:color="auto" w:fill="D7D7D7"/>
            <w:vAlign w:val="center"/>
          </w:tcPr>
          <w:p w14:paraId="77085F81" w14:textId="77777777" w:rsidR="001C08A5" w:rsidRDefault="001C08A5">
            <w:pPr>
              <w:jc w:val="center"/>
              <w:rPr>
                <w:b/>
                <w:bCs/>
                <w:i/>
                <w:sz w:val="22"/>
                <w:szCs w:val="22"/>
              </w:rPr>
            </w:pPr>
          </w:p>
        </w:tc>
        <w:tc>
          <w:tcPr>
            <w:tcW w:w="572" w:type="pct"/>
            <w:shd w:val="clear" w:color="auto" w:fill="D7D7D7"/>
            <w:vAlign w:val="center"/>
          </w:tcPr>
          <w:p w14:paraId="1744CD81" w14:textId="77777777" w:rsidR="001C08A5" w:rsidRDefault="00000000">
            <w:pPr>
              <w:jc w:val="center"/>
              <w:rPr>
                <w:b/>
                <w:bCs/>
                <w:i/>
                <w:sz w:val="22"/>
                <w:szCs w:val="22"/>
              </w:rPr>
            </w:pPr>
            <w:r>
              <w:rPr>
                <w:b/>
                <w:bCs/>
                <w:i/>
                <w:sz w:val="22"/>
                <w:szCs w:val="22"/>
              </w:rPr>
              <w:t>I</w:t>
            </w:r>
          </w:p>
        </w:tc>
        <w:tc>
          <w:tcPr>
            <w:tcW w:w="824" w:type="pct"/>
            <w:shd w:val="clear" w:color="auto" w:fill="D7D7D7"/>
            <w:vAlign w:val="center"/>
          </w:tcPr>
          <w:p w14:paraId="458C883B" w14:textId="77777777" w:rsidR="001C08A5" w:rsidRDefault="00000000">
            <w:pPr>
              <w:jc w:val="center"/>
              <w:rPr>
                <w:b/>
                <w:bCs/>
                <w:i/>
                <w:sz w:val="22"/>
                <w:szCs w:val="22"/>
              </w:rPr>
            </w:pPr>
            <w:r>
              <w:rPr>
                <w:b/>
                <w:bCs/>
                <w:i/>
                <w:sz w:val="22"/>
                <w:szCs w:val="22"/>
              </w:rPr>
              <w:t>II</w:t>
            </w:r>
          </w:p>
        </w:tc>
      </w:tr>
      <w:tr w:rsidR="001C08A5" w14:paraId="72CCC84D" w14:textId="77777777">
        <w:tc>
          <w:tcPr>
            <w:tcW w:w="258" w:type="pct"/>
            <w:vMerge w:val="restart"/>
            <w:textDirection w:val="btLr"/>
            <w:vAlign w:val="center"/>
          </w:tcPr>
          <w:p w14:paraId="00DA6321" w14:textId="77777777" w:rsidR="001C08A5" w:rsidRDefault="00000000">
            <w:pPr>
              <w:ind w:left="113" w:right="113"/>
              <w:jc w:val="center"/>
              <w:rPr>
                <w:b/>
                <w:bCs/>
                <w:i/>
                <w:sz w:val="22"/>
                <w:szCs w:val="22"/>
                <w:lang w:val="en-GB"/>
              </w:rPr>
            </w:pPr>
            <w:r>
              <w:rPr>
                <w:b/>
                <w:bCs/>
                <w:i/>
                <w:sz w:val="22"/>
                <w:szCs w:val="22"/>
                <w:lang w:val="it-IT"/>
              </w:rPr>
              <w:t>Locuinţ</w:t>
            </w:r>
            <w:r>
              <w:rPr>
                <w:b/>
                <w:bCs/>
                <w:i/>
                <w:sz w:val="22"/>
                <w:szCs w:val="22"/>
                <w:lang w:val="en-GB"/>
              </w:rPr>
              <w:t>e</w:t>
            </w:r>
          </w:p>
        </w:tc>
        <w:tc>
          <w:tcPr>
            <w:tcW w:w="1113" w:type="pct"/>
            <w:vMerge w:val="restart"/>
            <w:vAlign w:val="center"/>
          </w:tcPr>
          <w:p w14:paraId="55198CF4" w14:textId="77777777" w:rsidR="001C08A5" w:rsidRDefault="00000000">
            <w:pPr>
              <w:jc w:val="center"/>
              <w:rPr>
                <w:b/>
                <w:bCs/>
                <w:i/>
                <w:sz w:val="22"/>
                <w:szCs w:val="22"/>
              </w:rPr>
            </w:pPr>
            <w:r>
              <w:rPr>
                <w:b/>
                <w:bCs/>
                <w:i/>
                <w:sz w:val="22"/>
                <w:szCs w:val="22"/>
                <w:lang w:val="it-IT"/>
              </w:rPr>
              <w:t>Locuinţ</w:t>
            </w:r>
            <w:r>
              <w:rPr>
                <w:b/>
                <w:bCs/>
                <w:i/>
                <w:sz w:val="22"/>
                <w:szCs w:val="22"/>
                <w:lang w:val="en-GB"/>
              </w:rPr>
              <w:t>e</w:t>
            </w:r>
            <w:r>
              <w:rPr>
                <w:b/>
                <w:bCs/>
                <w:i/>
                <w:sz w:val="22"/>
                <w:szCs w:val="22"/>
                <w:lang w:val="it-IT"/>
              </w:rPr>
              <w:t xml:space="preserve"> unifamilial</w:t>
            </w:r>
            <w:r>
              <w:rPr>
                <w:b/>
                <w:bCs/>
                <w:i/>
                <w:sz w:val="22"/>
                <w:szCs w:val="22"/>
                <w:lang w:val="en-GB"/>
              </w:rPr>
              <w:t>e</w:t>
            </w:r>
          </w:p>
        </w:tc>
        <w:tc>
          <w:tcPr>
            <w:tcW w:w="2231" w:type="pct"/>
          </w:tcPr>
          <w:p w14:paraId="50414DAC" w14:textId="77777777" w:rsidR="001C08A5" w:rsidRDefault="00000000">
            <w:pPr>
              <w:rPr>
                <w:i/>
                <w:sz w:val="22"/>
                <w:szCs w:val="22"/>
                <w:lang w:val="en-GB"/>
              </w:rPr>
            </w:pPr>
            <w:r>
              <w:rPr>
                <w:i/>
                <w:sz w:val="22"/>
                <w:szCs w:val="22"/>
                <w:lang w:val="it-IT"/>
              </w:rPr>
              <w:t>Locuinţ</w:t>
            </w:r>
            <w:r>
              <w:rPr>
                <w:i/>
                <w:sz w:val="22"/>
                <w:szCs w:val="22"/>
                <w:lang w:val="en-GB"/>
              </w:rPr>
              <w:t>e</w:t>
            </w:r>
            <w:r>
              <w:rPr>
                <w:i/>
                <w:sz w:val="22"/>
                <w:szCs w:val="22"/>
                <w:lang w:val="it-IT"/>
              </w:rPr>
              <w:t xml:space="preserve"> unifamilial</w:t>
            </w:r>
            <w:r>
              <w:rPr>
                <w:i/>
                <w:sz w:val="22"/>
                <w:szCs w:val="22"/>
                <w:lang w:val="en-GB"/>
              </w:rPr>
              <w:t xml:space="preserve">e </w:t>
            </w:r>
          </w:p>
          <w:p w14:paraId="744DAD67" w14:textId="77777777" w:rsidR="001C08A5" w:rsidRDefault="00000000">
            <w:pPr>
              <w:rPr>
                <w:b/>
                <w:bCs/>
                <w:i/>
                <w:sz w:val="22"/>
                <w:szCs w:val="22"/>
              </w:rPr>
            </w:pPr>
            <w:r>
              <w:rPr>
                <w:i/>
                <w:sz w:val="22"/>
                <w:szCs w:val="22"/>
                <w:lang w:val="it-IT"/>
              </w:rPr>
              <w:t>max. P+E</w:t>
            </w:r>
            <w:r>
              <w:rPr>
                <w:i/>
                <w:sz w:val="22"/>
                <w:szCs w:val="22"/>
                <w:lang w:val="en-GB"/>
              </w:rPr>
              <w:t xml:space="preserve"> sau P+M</w:t>
            </w:r>
            <w:r>
              <w:rPr>
                <w:i/>
                <w:sz w:val="22"/>
                <w:szCs w:val="22"/>
              </w:rPr>
              <w:t xml:space="preserve">  </w:t>
            </w:r>
          </w:p>
        </w:tc>
        <w:tc>
          <w:tcPr>
            <w:tcW w:w="572" w:type="pct"/>
            <w:vAlign w:val="center"/>
          </w:tcPr>
          <w:p w14:paraId="6302342A" w14:textId="77777777" w:rsidR="001C08A5" w:rsidRDefault="00000000">
            <w:pPr>
              <w:jc w:val="center"/>
              <w:rPr>
                <w:b/>
                <w:bCs/>
                <w:i/>
                <w:sz w:val="22"/>
                <w:szCs w:val="22"/>
              </w:rPr>
            </w:pPr>
            <w:r>
              <w:rPr>
                <w:b/>
                <w:bCs/>
                <w:i/>
                <w:sz w:val="22"/>
                <w:szCs w:val="22"/>
              </w:rPr>
              <w:t>5000</w:t>
            </w:r>
          </w:p>
        </w:tc>
        <w:tc>
          <w:tcPr>
            <w:tcW w:w="824" w:type="pct"/>
            <w:vAlign w:val="center"/>
          </w:tcPr>
          <w:p w14:paraId="669810E3" w14:textId="77777777" w:rsidR="001C08A5" w:rsidRDefault="00000000">
            <w:pPr>
              <w:jc w:val="center"/>
              <w:rPr>
                <w:b/>
                <w:bCs/>
                <w:i/>
                <w:sz w:val="22"/>
                <w:szCs w:val="22"/>
              </w:rPr>
            </w:pPr>
            <w:r>
              <w:rPr>
                <w:b/>
                <w:bCs/>
                <w:i/>
                <w:sz w:val="22"/>
                <w:szCs w:val="22"/>
              </w:rPr>
              <w:t>4000</w:t>
            </w:r>
          </w:p>
        </w:tc>
      </w:tr>
      <w:tr w:rsidR="001C08A5" w14:paraId="1A2A3308" w14:textId="77777777">
        <w:trPr>
          <w:trHeight w:val="450"/>
        </w:trPr>
        <w:tc>
          <w:tcPr>
            <w:tcW w:w="258" w:type="pct"/>
            <w:vMerge/>
            <w:textDirection w:val="btLr"/>
            <w:vAlign w:val="center"/>
          </w:tcPr>
          <w:p w14:paraId="352D2B22" w14:textId="77777777" w:rsidR="001C08A5" w:rsidRDefault="001C08A5">
            <w:pPr>
              <w:ind w:left="113" w:right="113"/>
              <w:jc w:val="center"/>
              <w:rPr>
                <w:b/>
                <w:bCs/>
                <w:i/>
                <w:sz w:val="22"/>
                <w:szCs w:val="22"/>
                <w:lang w:val="it-IT"/>
              </w:rPr>
            </w:pPr>
          </w:p>
        </w:tc>
        <w:tc>
          <w:tcPr>
            <w:tcW w:w="1113" w:type="pct"/>
            <w:vMerge/>
            <w:vAlign w:val="center"/>
          </w:tcPr>
          <w:p w14:paraId="20DC8641" w14:textId="77777777" w:rsidR="001C08A5" w:rsidRDefault="001C08A5">
            <w:pPr>
              <w:jc w:val="center"/>
              <w:rPr>
                <w:b/>
                <w:bCs/>
                <w:i/>
                <w:sz w:val="22"/>
                <w:szCs w:val="22"/>
                <w:lang w:val="it-IT"/>
              </w:rPr>
            </w:pPr>
          </w:p>
        </w:tc>
        <w:tc>
          <w:tcPr>
            <w:tcW w:w="2231" w:type="pct"/>
          </w:tcPr>
          <w:p w14:paraId="4717295B" w14:textId="77777777" w:rsidR="001C08A5" w:rsidRDefault="00000000">
            <w:pPr>
              <w:rPr>
                <w:i/>
                <w:sz w:val="22"/>
                <w:szCs w:val="22"/>
                <w:lang w:val="en-GB"/>
              </w:rPr>
            </w:pPr>
            <w:r>
              <w:rPr>
                <w:i/>
                <w:sz w:val="22"/>
                <w:szCs w:val="22"/>
                <w:lang w:val="it-IT"/>
              </w:rPr>
              <w:t>Locuinţ</w:t>
            </w:r>
            <w:r>
              <w:rPr>
                <w:i/>
                <w:sz w:val="22"/>
                <w:szCs w:val="22"/>
                <w:lang w:val="en-GB"/>
              </w:rPr>
              <w:t>e</w:t>
            </w:r>
            <w:r>
              <w:rPr>
                <w:i/>
                <w:sz w:val="22"/>
                <w:szCs w:val="22"/>
                <w:lang w:val="it-IT"/>
              </w:rPr>
              <w:t xml:space="preserve"> unifamilial</w:t>
            </w:r>
            <w:r>
              <w:rPr>
                <w:i/>
                <w:sz w:val="22"/>
                <w:szCs w:val="22"/>
                <w:lang w:val="en-GB"/>
              </w:rPr>
              <w:t xml:space="preserve">e </w:t>
            </w:r>
          </w:p>
          <w:p w14:paraId="5E9A554F" w14:textId="77777777" w:rsidR="001C08A5" w:rsidRDefault="00000000">
            <w:pPr>
              <w:rPr>
                <w:b/>
                <w:bCs/>
                <w:i/>
                <w:sz w:val="22"/>
                <w:szCs w:val="22"/>
              </w:rPr>
            </w:pPr>
            <w:r>
              <w:rPr>
                <w:i/>
                <w:sz w:val="22"/>
                <w:szCs w:val="22"/>
              </w:rPr>
              <w:t>max</w:t>
            </w:r>
            <w:r>
              <w:rPr>
                <w:i/>
                <w:sz w:val="22"/>
                <w:szCs w:val="22"/>
                <w:lang w:val="it-IT"/>
              </w:rPr>
              <w:t xml:space="preserve"> P+</w:t>
            </w:r>
            <w:r>
              <w:rPr>
                <w:i/>
                <w:sz w:val="22"/>
                <w:szCs w:val="22"/>
              </w:rPr>
              <w:t>2</w:t>
            </w:r>
            <w:r>
              <w:rPr>
                <w:i/>
                <w:sz w:val="22"/>
                <w:szCs w:val="22"/>
                <w:lang w:val="it-IT"/>
              </w:rPr>
              <w:t>E</w:t>
            </w:r>
            <w:r>
              <w:rPr>
                <w:i/>
                <w:sz w:val="22"/>
                <w:szCs w:val="22"/>
                <w:lang w:val="en-GB"/>
              </w:rPr>
              <w:t xml:space="preserve"> sau P+</w:t>
            </w:r>
            <w:r>
              <w:rPr>
                <w:i/>
                <w:sz w:val="22"/>
                <w:szCs w:val="22"/>
              </w:rPr>
              <w:t>E+</w:t>
            </w:r>
            <w:r>
              <w:rPr>
                <w:i/>
                <w:sz w:val="22"/>
                <w:szCs w:val="22"/>
                <w:lang w:val="en-GB"/>
              </w:rPr>
              <w:t>M</w:t>
            </w:r>
            <w:r>
              <w:rPr>
                <w:i/>
                <w:sz w:val="22"/>
                <w:szCs w:val="22"/>
              </w:rPr>
              <w:t xml:space="preserve"> </w:t>
            </w:r>
            <w:r>
              <w:rPr>
                <w:b/>
                <w:bCs/>
                <w:i/>
                <w:sz w:val="22"/>
                <w:szCs w:val="22"/>
                <w:vertAlign w:val="superscript"/>
                <w:lang w:val="en-GB"/>
              </w:rPr>
              <w:t xml:space="preserve"> </w:t>
            </w:r>
            <w:r>
              <w:rPr>
                <w:i/>
                <w:sz w:val="22"/>
                <w:szCs w:val="22"/>
              </w:rPr>
              <w:t xml:space="preserve"> </w:t>
            </w:r>
          </w:p>
        </w:tc>
        <w:tc>
          <w:tcPr>
            <w:tcW w:w="572" w:type="pct"/>
            <w:vAlign w:val="center"/>
          </w:tcPr>
          <w:p w14:paraId="61C79BF4"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4500</w:t>
            </w:r>
          </w:p>
        </w:tc>
        <w:tc>
          <w:tcPr>
            <w:tcW w:w="824" w:type="pct"/>
            <w:vAlign w:val="center"/>
          </w:tcPr>
          <w:p w14:paraId="41B6BAD4"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3500</w:t>
            </w:r>
          </w:p>
        </w:tc>
      </w:tr>
      <w:tr w:rsidR="001C08A5" w14:paraId="3F754E4B" w14:textId="77777777">
        <w:trPr>
          <w:trHeight w:val="986"/>
        </w:trPr>
        <w:tc>
          <w:tcPr>
            <w:tcW w:w="258" w:type="pct"/>
            <w:vMerge/>
            <w:textDirection w:val="btLr"/>
            <w:vAlign w:val="center"/>
          </w:tcPr>
          <w:p w14:paraId="5FF46F7A" w14:textId="77777777" w:rsidR="001C08A5" w:rsidRDefault="001C08A5">
            <w:pPr>
              <w:ind w:left="113" w:right="113"/>
              <w:jc w:val="center"/>
              <w:rPr>
                <w:b/>
                <w:bCs/>
                <w:i/>
                <w:sz w:val="22"/>
                <w:szCs w:val="22"/>
                <w:lang w:val="it-IT"/>
              </w:rPr>
            </w:pPr>
          </w:p>
        </w:tc>
        <w:tc>
          <w:tcPr>
            <w:tcW w:w="1113" w:type="pct"/>
            <w:vMerge/>
            <w:vAlign w:val="center"/>
          </w:tcPr>
          <w:p w14:paraId="3F6596A7" w14:textId="77777777" w:rsidR="001C08A5" w:rsidRDefault="001C08A5">
            <w:pPr>
              <w:jc w:val="center"/>
              <w:rPr>
                <w:b/>
                <w:bCs/>
                <w:i/>
                <w:sz w:val="22"/>
                <w:szCs w:val="22"/>
                <w:lang w:val="it-IT"/>
              </w:rPr>
            </w:pPr>
          </w:p>
        </w:tc>
        <w:tc>
          <w:tcPr>
            <w:tcW w:w="2231" w:type="pct"/>
          </w:tcPr>
          <w:p w14:paraId="37515DC2" w14:textId="77777777" w:rsidR="001C08A5" w:rsidRDefault="00000000">
            <w:pPr>
              <w:rPr>
                <w:i/>
                <w:sz w:val="22"/>
                <w:szCs w:val="22"/>
                <w:lang w:val="en-GB"/>
              </w:rPr>
            </w:pPr>
            <w:r>
              <w:rPr>
                <w:i/>
                <w:sz w:val="22"/>
                <w:szCs w:val="22"/>
                <w:lang w:val="it-IT"/>
              </w:rPr>
              <w:t>Locuinţ</w:t>
            </w:r>
            <w:r>
              <w:rPr>
                <w:i/>
                <w:sz w:val="22"/>
                <w:szCs w:val="22"/>
                <w:lang w:val="en-GB"/>
              </w:rPr>
              <w:t>e</w:t>
            </w:r>
            <w:r>
              <w:rPr>
                <w:i/>
                <w:sz w:val="22"/>
                <w:szCs w:val="22"/>
                <w:lang w:val="it-IT"/>
              </w:rPr>
              <w:t xml:space="preserve"> unifamilial</w:t>
            </w:r>
            <w:r>
              <w:rPr>
                <w:i/>
                <w:sz w:val="22"/>
                <w:szCs w:val="22"/>
                <w:lang w:val="en-GB"/>
              </w:rPr>
              <w:t xml:space="preserve">e </w:t>
            </w:r>
            <w:r>
              <w:rPr>
                <w:i/>
                <w:sz w:val="22"/>
                <w:szCs w:val="22"/>
              </w:rPr>
              <w:t>&gt; P+2E</w:t>
            </w:r>
            <w:r>
              <w:rPr>
                <w:i/>
                <w:sz w:val="22"/>
                <w:szCs w:val="22"/>
                <w:lang w:val="en-GB"/>
              </w:rPr>
              <w:t xml:space="preserve"> </w:t>
            </w:r>
            <w:r>
              <w:rPr>
                <w:i/>
                <w:sz w:val="22"/>
                <w:szCs w:val="22"/>
              </w:rPr>
              <w:t>şi</w:t>
            </w:r>
            <w:r>
              <w:rPr>
                <w:i/>
                <w:sz w:val="22"/>
                <w:szCs w:val="22"/>
                <w:lang w:val="en-GB"/>
              </w:rPr>
              <w:t xml:space="preserve"> </w:t>
            </w:r>
            <w:r>
              <w:rPr>
                <w:i/>
                <w:sz w:val="22"/>
                <w:szCs w:val="22"/>
              </w:rPr>
              <w:t>≤ P+5E</w:t>
            </w:r>
            <w:r>
              <w:rPr>
                <w:i/>
                <w:sz w:val="22"/>
                <w:szCs w:val="22"/>
                <w:lang w:val="en-GB"/>
              </w:rPr>
              <w:t xml:space="preserve"> </w:t>
            </w:r>
          </w:p>
          <w:p w14:paraId="4786B431" w14:textId="77777777" w:rsidR="001C08A5" w:rsidRDefault="00000000">
            <w:pPr>
              <w:rPr>
                <w:i/>
                <w:sz w:val="22"/>
                <w:szCs w:val="22"/>
                <w:lang w:val="en-GB"/>
              </w:rPr>
            </w:pPr>
            <w:r>
              <w:rPr>
                <w:i/>
                <w:sz w:val="22"/>
                <w:szCs w:val="22"/>
                <w:lang w:val="en-GB"/>
              </w:rPr>
              <w:t>s</w:t>
            </w:r>
            <w:r>
              <w:rPr>
                <w:i/>
                <w:sz w:val="22"/>
                <w:szCs w:val="22"/>
              </w:rPr>
              <w:t>au</w:t>
            </w:r>
            <w:r>
              <w:rPr>
                <w:i/>
                <w:sz w:val="22"/>
                <w:szCs w:val="22"/>
                <w:lang w:val="en-GB"/>
              </w:rPr>
              <w:t xml:space="preserve"> </w:t>
            </w:r>
          </w:p>
          <w:p w14:paraId="15BB980A" w14:textId="77777777" w:rsidR="001C08A5" w:rsidRDefault="00000000">
            <w:pPr>
              <w:rPr>
                <w:b/>
                <w:bCs/>
                <w:i/>
                <w:sz w:val="22"/>
                <w:szCs w:val="22"/>
              </w:rPr>
            </w:pPr>
            <w:r>
              <w:rPr>
                <w:i/>
                <w:sz w:val="22"/>
                <w:szCs w:val="22"/>
                <w:lang w:val="it-IT"/>
              </w:rPr>
              <w:t>Locuinţ</w:t>
            </w:r>
            <w:r>
              <w:rPr>
                <w:i/>
                <w:sz w:val="22"/>
                <w:szCs w:val="22"/>
                <w:lang w:val="en-GB"/>
              </w:rPr>
              <w:t>e</w:t>
            </w:r>
            <w:r>
              <w:rPr>
                <w:i/>
                <w:sz w:val="22"/>
                <w:szCs w:val="22"/>
                <w:lang w:val="it-IT"/>
              </w:rPr>
              <w:t xml:space="preserve"> unifamilial</w:t>
            </w:r>
            <w:r>
              <w:rPr>
                <w:i/>
                <w:sz w:val="22"/>
                <w:szCs w:val="22"/>
                <w:lang w:val="en-GB"/>
              </w:rPr>
              <w:t xml:space="preserve">e </w:t>
            </w:r>
            <w:r>
              <w:rPr>
                <w:i/>
                <w:sz w:val="22"/>
                <w:szCs w:val="22"/>
              </w:rPr>
              <w:t>cu până la 20 m înălţime totală (până la coamă/atic)</w:t>
            </w:r>
            <w:r>
              <w:rPr>
                <w:i/>
                <w:sz w:val="22"/>
                <w:szCs w:val="22"/>
                <w:lang w:val="en-GB"/>
              </w:rPr>
              <w:t xml:space="preserve"> </w:t>
            </w:r>
            <w:r>
              <w:rPr>
                <w:b/>
                <w:bCs/>
                <w:i/>
                <w:sz w:val="22"/>
                <w:szCs w:val="22"/>
                <w:vertAlign w:val="superscript"/>
                <w:lang w:val="en-GB"/>
              </w:rPr>
              <w:t xml:space="preserve">1) </w:t>
            </w:r>
          </w:p>
        </w:tc>
        <w:tc>
          <w:tcPr>
            <w:tcW w:w="572" w:type="pct"/>
            <w:vAlign w:val="center"/>
          </w:tcPr>
          <w:p w14:paraId="58C4821C"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3500</w:t>
            </w:r>
          </w:p>
        </w:tc>
        <w:tc>
          <w:tcPr>
            <w:tcW w:w="824" w:type="pct"/>
            <w:vAlign w:val="center"/>
          </w:tcPr>
          <w:p w14:paraId="05C05B25"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3000</w:t>
            </w:r>
          </w:p>
        </w:tc>
      </w:tr>
      <w:tr w:rsidR="001C08A5" w14:paraId="4458F419" w14:textId="77777777">
        <w:trPr>
          <w:trHeight w:val="933"/>
        </w:trPr>
        <w:tc>
          <w:tcPr>
            <w:tcW w:w="258" w:type="pct"/>
            <w:vMerge/>
            <w:textDirection w:val="btLr"/>
            <w:vAlign w:val="center"/>
          </w:tcPr>
          <w:p w14:paraId="12496166" w14:textId="77777777" w:rsidR="001C08A5" w:rsidRDefault="001C08A5">
            <w:pPr>
              <w:ind w:left="113" w:right="113"/>
              <w:jc w:val="center"/>
              <w:rPr>
                <w:b/>
                <w:bCs/>
                <w:i/>
                <w:sz w:val="22"/>
                <w:szCs w:val="22"/>
                <w:lang w:val="it-IT"/>
              </w:rPr>
            </w:pPr>
          </w:p>
        </w:tc>
        <w:tc>
          <w:tcPr>
            <w:tcW w:w="1113" w:type="pct"/>
            <w:vMerge/>
            <w:vAlign w:val="center"/>
          </w:tcPr>
          <w:p w14:paraId="242A4AD7" w14:textId="77777777" w:rsidR="001C08A5" w:rsidRDefault="001C08A5">
            <w:pPr>
              <w:jc w:val="center"/>
              <w:rPr>
                <w:b/>
                <w:bCs/>
                <w:i/>
                <w:sz w:val="22"/>
                <w:szCs w:val="22"/>
                <w:lang w:val="it-IT"/>
              </w:rPr>
            </w:pPr>
          </w:p>
        </w:tc>
        <w:tc>
          <w:tcPr>
            <w:tcW w:w="2231" w:type="pct"/>
          </w:tcPr>
          <w:p w14:paraId="0585EA35" w14:textId="77777777" w:rsidR="001C08A5" w:rsidRDefault="00000000">
            <w:pPr>
              <w:rPr>
                <w:i/>
                <w:sz w:val="22"/>
                <w:szCs w:val="22"/>
                <w:lang w:val="en-GB"/>
              </w:rPr>
            </w:pPr>
            <w:r>
              <w:rPr>
                <w:i/>
                <w:sz w:val="22"/>
                <w:szCs w:val="22"/>
                <w:lang w:val="it-IT"/>
              </w:rPr>
              <w:t>Locuinţ</w:t>
            </w:r>
            <w:r>
              <w:rPr>
                <w:i/>
                <w:sz w:val="22"/>
                <w:szCs w:val="22"/>
                <w:lang w:val="en-GB"/>
              </w:rPr>
              <w:t>e</w:t>
            </w:r>
            <w:r>
              <w:rPr>
                <w:i/>
                <w:sz w:val="22"/>
                <w:szCs w:val="22"/>
                <w:lang w:val="it-IT"/>
              </w:rPr>
              <w:t xml:space="preserve"> unifamilial</w:t>
            </w:r>
            <w:r>
              <w:rPr>
                <w:i/>
                <w:sz w:val="22"/>
                <w:szCs w:val="22"/>
                <w:lang w:val="en-GB"/>
              </w:rPr>
              <w:t>e</w:t>
            </w:r>
            <w:r>
              <w:rPr>
                <w:i/>
                <w:sz w:val="22"/>
                <w:szCs w:val="22"/>
              </w:rPr>
              <w:t>&gt; P+5E</w:t>
            </w:r>
            <w:r>
              <w:rPr>
                <w:i/>
                <w:sz w:val="22"/>
                <w:szCs w:val="22"/>
                <w:lang w:val="en-GB"/>
              </w:rPr>
              <w:t xml:space="preserve"> </w:t>
            </w:r>
          </w:p>
          <w:p w14:paraId="7D76AD65" w14:textId="77777777" w:rsidR="001C08A5" w:rsidRDefault="00000000">
            <w:pPr>
              <w:rPr>
                <w:i/>
                <w:sz w:val="22"/>
                <w:szCs w:val="22"/>
                <w:lang w:val="en-GB"/>
              </w:rPr>
            </w:pPr>
            <w:r>
              <w:rPr>
                <w:i/>
                <w:sz w:val="22"/>
                <w:szCs w:val="22"/>
                <w:lang w:val="en-GB"/>
              </w:rPr>
              <w:t>s</w:t>
            </w:r>
            <w:r>
              <w:rPr>
                <w:i/>
                <w:sz w:val="22"/>
                <w:szCs w:val="22"/>
              </w:rPr>
              <w:t>au</w:t>
            </w:r>
            <w:r>
              <w:rPr>
                <w:i/>
                <w:sz w:val="22"/>
                <w:szCs w:val="22"/>
                <w:lang w:val="en-GB"/>
              </w:rPr>
              <w:t xml:space="preserve"> </w:t>
            </w:r>
          </w:p>
          <w:p w14:paraId="4CE6FA18" w14:textId="77777777" w:rsidR="001C08A5" w:rsidRDefault="00000000">
            <w:pPr>
              <w:rPr>
                <w:b/>
                <w:bCs/>
                <w:i/>
                <w:sz w:val="22"/>
                <w:szCs w:val="22"/>
              </w:rPr>
            </w:pPr>
            <w:r>
              <w:rPr>
                <w:i/>
                <w:sz w:val="22"/>
                <w:szCs w:val="22"/>
                <w:lang w:val="it-IT"/>
              </w:rPr>
              <w:t>Locuinţ</w:t>
            </w:r>
            <w:r>
              <w:rPr>
                <w:i/>
                <w:sz w:val="22"/>
                <w:szCs w:val="22"/>
                <w:lang w:val="en-GB"/>
              </w:rPr>
              <w:t>e</w:t>
            </w:r>
            <w:r>
              <w:rPr>
                <w:i/>
                <w:sz w:val="22"/>
                <w:szCs w:val="22"/>
                <w:lang w:val="it-IT"/>
              </w:rPr>
              <w:t xml:space="preserve"> unifamilial</w:t>
            </w:r>
            <w:r>
              <w:rPr>
                <w:i/>
                <w:sz w:val="22"/>
                <w:szCs w:val="22"/>
                <w:lang w:val="en-GB"/>
              </w:rPr>
              <w:t xml:space="preserve">e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r>
              <w:rPr>
                <w:i/>
                <w:sz w:val="22"/>
                <w:szCs w:val="22"/>
                <w:lang w:val="en-GB"/>
              </w:rPr>
              <w:t>/</w:t>
            </w:r>
            <w:r>
              <w:rPr>
                <w:i/>
                <w:sz w:val="22"/>
                <w:szCs w:val="22"/>
              </w:rPr>
              <w:t>atic)</w:t>
            </w:r>
            <w:r>
              <w:rPr>
                <w:bCs/>
                <w:i/>
                <w:sz w:val="22"/>
                <w:szCs w:val="22"/>
              </w:rPr>
              <w:t xml:space="preserve"> </w:t>
            </w:r>
            <w:r>
              <w:rPr>
                <w:b/>
                <w:bCs/>
                <w:i/>
                <w:sz w:val="22"/>
                <w:szCs w:val="22"/>
                <w:vertAlign w:val="superscript"/>
                <w:lang w:val="en-GB"/>
              </w:rPr>
              <w:t>1) 2)</w:t>
            </w:r>
          </w:p>
        </w:tc>
        <w:tc>
          <w:tcPr>
            <w:tcW w:w="572" w:type="pct"/>
            <w:vAlign w:val="center"/>
          </w:tcPr>
          <w:p w14:paraId="5415550B"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3000</w:t>
            </w:r>
          </w:p>
        </w:tc>
        <w:tc>
          <w:tcPr>
            <w:tcW w:w="824" w:type="pct"/>
            <w:vAlign w:val="center"/>
          </w:tcPr>
          <w:p w14:paraId="516C572B"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r>
      <w:tr w:rsidR="001C08A5" w14:paraId="57D2E5C1" w14:textId="77777777">
        <w:trPr>
          <w:trHeight w:val="90"/>
        </w:trPr>
        <w:tc>
          <w:tcPr>
            <w:tcW w:w="258" w:type="pct"/>
            <w:vMerge/>
            <w:textDirection w:val="btLr"/>
            <w:vAlign w:val="center"/>
          </w:tcPr>
          <w:p w14:paraId="23993701" w14:textId="77777777" w:rsidR="001C08A5" w:rsidRDefault="001C08A5">
            <w:pPr>
              <w:ind w:left="113" w:right="113"/>
              <w:jc w:val="center"/>
              <w:rPr>
                <w:b/>
                <w:bCs/>
                <w:i/>
                <w:sz w:val="22"/>
                <w:szCs w:val="22"/>
                <w:lang w:val="it-IT"/>
              </w:rPr>
            </w:pPr>
          </w:p>
        </w:tc>
        <w:tc>
          <w:tcPr>
            <w:tcW w:w="1113" w:type="pct"/>
            <w:vMerge/>
            <w:vAlign w:val="center"/>
          </w:tcPr>
          <w:p w14:paraId="47DFE59F" w14:textId="77777777" w:rsidR="001C08A5" w:rsidRDefault="001C08A5">
            <w:pPr>
              <w:jc w:val="center"/>
              <w:rPr>
                <w:b/>
                <w:bCs/>
                <w:i/>
                <w:sz w:val="22"/>
                <w:szCs w:val="22"/>
                <w:lang w:val="it-IT"/>
              </w:rPr>
            </w:pPr>
          </w:p>
        </w:tc>
        <w:tc>
          <w:tcPr>
            <w:tcW w:w="2231" w:type="pct"/>
          </w:tcPr>
          <w:p w14:paraId="7378F0CE" w14:textId="77777777" w:rsidR="001C08A5" w:rsidRDefault="00000000">
            <w:pPr>
              <w:rPr>
                <w:i/>
                <w:sz w:val="22"/>
                <w:szCs w:val="22"/>
                <w:lang w:val="it-IT"/>
              </w:rPr>
            </w:pPr>
            <w:r>
              <w:rPr>
                <w:i/>
                <w:sz w:val="22"/>
                <w:szCs w:val="22"/>
              </w:rPr>
              <w:t>L</w:t>
            </w:r>
            <w:r>
              <w:rPr>
                <w:i/>
                <w:sz w:val="22"/>
                <w:szCs w:val="22"/>
                <w:lang w:val="en-GB"/>
              </w:rPr>
              <w:t>ocuinţe incadrate &gt;</w:t>
            </w:r>
            <w:r>
              <w:rPr>
                <w:i/>
                <w:sz w:val="22"/>
                <w:szCs w:val="22"/>
              </w:rPr>
              <w:t>12 niveluri supraterane</w:t>
            </w:r>
            <w:r>
              <w:rPr>
                <w:i/>
                <w:sz w:val="22"/>
                <w:szCs w:val="22"/>
                <w:lang w:val="en-GB"/>
              </w:rPr>
              <w:t xml:space="preserve"> (</w:t>
            </w:r>
            <w:r>
              <w:rPr>
                <w:i/>
                <w:sz w:val="22"/>
                <w:szCs w:val="22"/>
              </w:rPr>
              <w:t>înalte sau foarte înalte</w:t>
            </w:r>
            <w:r>
              <w:rPr>
                <w:i/>
                <w:sz w:val="22"/>
                <w:szCs w:val="22"/>
                <w:lang w:val="en-GB"/>
              </w:rPr>
              <w:t>)</w:t>
            </w:r>
          </w:p>
        </w:tc>
        <w:tc>
          <w:tcPr>
            <w:tcW w:w="572" w:type="pct"/>
            <w:vAlign w:val="center"/>
          </w:tcPr>
          <w:p w14:paraId="01BB0C32"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c>
          <w:tcPr>
            <w:tcW w:w="824" w:type="pct"/>
            <w:vAlign w:val="center"/>
          </w:tcPr>
          <w:p w14:paraId="7FCF894A"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Nu se admite</w:t>
            </w:r>
          </w:p>
        </w:tc>
      </w:tr>
      <w:tr w:rsidR="001C08A5" w14:paraId="190457DE" w14:textId="77777777">
        <w:trPr>
          <w:trHeight w:val="193"/>
        </w:trPr>
        <w:tc>
          <w:tcPr>
            <w:tcW w:w="258" w:type="pct"/>
            <w:vMerge/>
            <w:textDirection w:val="btLr"/>
            <w:vAlign w:val="center"/>
          </w:tcPr>
          <w:p w14:paraId="50C4F00F" w14:textId="77777777" w:rsidR="001C08A5" w:rsidRDefault="001C08A5">
            <w:pPr>
              <w:ind w:left="113" w:right="113"/>
              <w:jc w:val="center"/>
              <w:rPr>
                <w:b/>
                <w:bCs/>
                <w:i/>
                <w:sz w:val="22"/>
                <w:szCs w:val="22"/>
                <w:lang w:val="it-IT"/>
              </w:rPr>
            </w:pPr>
          </w:p>
        </w:tc>
        <w:tc>
          <w:tcPr>
            <w:tcW w:w="1113" w:type="pct"/>
            <w:vMerge w:val="restart"/>
            <w:vAlign w:val="center"/>
          </w:tcPr>
          <w:p w14:paraId="2E3A4C36" w14:textId="77777777" w:rsidR="001C08A5" w:rsidRDefault="00000000">
            <w:pPr>
              <w:jc w:val="center"/>
              <w:rPr>
                <w:b/>
                <w:bCs/>
                <w:i/>
                <w:sz w:val="22"/>
                <w:szCs w:val="22"/>
              </w:rPr>
            </w:pPr>
            <w:r>
              <w:rPr>
                <w:b/>
                <w:bCs/>
                <w:i/>
                <w:sz w:val="22"/>
                <w:szCs w:val="22"/>
              </w:rPr>
              <w:t>L</w:t>
            </w:r>
            <w:r>
              <w:rPr>
                <w:b/>
                <w:bCs/>
                <w:i/>
                <w:sz w:val="22"/>
                <w:szCs w:val="22"/>
                <w:lang w:val="pt-BR"/>
              </w:rPr>
              <w:t xml:space="preserve">ocuinţe </w:t>
            </w:r>
            <w:r>
              <w:rPr>
                <w:b/>
                <w:bCs/>
                <w:i/>
                <w:sz w:val="22"/>
                <w:szCs w:val="22"/>
                <w:lang w:val="en-GB"/>
              </w:rPr>
              <w:t>semi</w:t>
            </w:r>
            <w:r>
              <w:rPr>
                <w:b/>
                <w:bCs/>
                <w:i/>
                <w:sz w:val="22"/>
                <w:szCs w:val="22"/>
                <w:lang w:val="pt-BR"/>
              </w:rPr>
              <w:t>colective</w:t>
            </w:r>
            <w:r>
              <w:rPr>
                <w:b/>
                <w:bCs/>
                <w:i/>
                <w:sz w:val="22"/>
                <w:szCs w:val="22"/>
              </w:rPr>
              <w:t>,</w:t>
            </w:r>
          </w:p>
          <w:p w14:paraId="0D8A8884" w14:textId="77777777" w:rsidR="001C08A5" w:rsidRDefault="00000000">
            <w:pPr>
              <w:jc w:val="center"/>
              <w:rPr>
                <w:b/>
                <w:bCs/>
                <w:i/>
                <w:sz w:val="22"/>
                <w:szCs w:val="22"/>
              </w:rPr>
            </w:pPr>
            <w:r>
              <w:rPr>
                <w:b/>
                <w:bCs/>
                <w:i/>
                <w:sz w:val="22"/>
                <w:szCs w:val="22"/>
              </w:rPr>
              <w:t xml:space="preserve">individuale (familiale) sau colective (blocuri de locuinţe, </w:t>
            </w:r>
            <w:r>
              <w:rPr>
                <w:rFonts w:eastAsia="Times-Roman"/>
                <w:b/>
                <w:bCs/>
                <w:i/>
                <w:sz w:val="22"/>
                <w:szCs w:val="22"/>
              </w:rPr>
              <w:t>cămine de familişti şi nefamilişti, case locuit destinate copiilor fara adăpost</w:t>
            </w:r>
            <w:r>
              <w:rPr>
                <w:b/>
                <w:bCs/>
                <w:i/>
                <w:sz w:val="22"/>
                <w:szCs w:val="22"/>
              </w:rPr>
              <w:t>)</w:t>
            </w:r>
          </w:p>
        </w:tc>
        <w:tc>
          <w:tcPr>
            <w:tcW w:w="2231" w:type="pct"/>
          </w:tcPr>
          <w:p w14:paraId="16A3DBB7" w14:textId="77777777" w:rsidR="001C08A5" w:rsidRDefault="00000000">
            <w:pPr>
              <w:rPr>
                <w:i/>
                <w:sz w:val="22"/>
                <w:szCs w:val="22"/>
              </w:rPr>
            </w:pPr>
            <w:r>
              <w:rPr>
                <w:i/>
                <w:sz w:val="22"/>
                <w:szCs w:val="22"/>
              </w:rPr>
              <w:t>L</w:t>
            </w:r>
            <w:r>
              <w:rPr>
                <w:i/>
                <w:sz w:val="22"/>
                <w:szCs w:val="22"/>
                <w:lang w:val="pt-BR"/>
              </w:rPr>
              <w:t xml:space="preserve">ocuinţe </w:t>
            </w:r>
            <w:r>
              <w:rPr>
                <w:i/>
                <w:sz w:val="22"/>
                <w:szCs w:val="22"/>
                <w:lang w:val="en-GB"/>
              </w:rPr>
              <w:t>semi</w:t>
            </w:r>
            <w:r>
              <w:rPr>
                <w:i/>
                <w:sz w:val="22"/>
                <w:szCs w:val="22"/>
                <w:lang w:val="pt-BR"/>
              </w:rPr>
              <w:t xml:space="preserve">colective </w:t>
            </w:r>
            <w:r>
              <w:rPr>
                <w:i/>
                <w:sz w:val="22"/>
                <w:szCs w:val="22"/>
                <w:lang w:val="it-IT"/>
              </w:rPr>
              <w:t>P+E</w:t>
            </w:r>
            <w:r>
              <w:rPr>
                <w:i/>
                <w:sz w:val="22"/>
                <w:szCs w:val="22"/>
                <w:lang w:val="en-GB"/>
              </w:rPr>
              <w:t xml:space="preserve"> sau P+M</w:t>
            </w:r>
            <w:r>
              <w:rPr>
                <w:i/>
                <w:sz w:val="22"/>
                <w:szCs w:val="22"/>
              </w:rPr>
              <w:t xml:space="preserve"> </w:t>
            </w:r>
          </w:p>
        </w:tc>
        <w:tc>
          <w:tcPr>
            <w:tcW w:w="572" w:type="pct"/>
            <w:vAlign w:val="center"/>
          </w:tcPr>
          <w:p w14:paraId="2730B1F5"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4500</w:t>
            </w:r>
          </w:p>
        </w:tc>
        <w:tc>
          <w:tcPr>
            <w:tcW w:w="824" w:type="pct"/>
            <w:vAlign w:val="center"/>
          </w:tcPr>
          <w:p w14:paraId="1227B981"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4000</w:t>
            </w:r>
          </w:p>
        </w:tc>
      </w:tr>
      <w:tr w:rsidR="001C08A5" w14:paraId="73F86C6B" w14:textId="77777777">
        <w:trPr>
          <w:trHeight w:val="665"/>
        </w:trPr>
        <w:tc>
          <w:tcPr>
            <w:tcW w:w="258" w:type="pct"/>
            <w:vMerge/>
            <w:textDirection w:val="btLr"/>
            <w:vAlign w:val="center"/>
          </w:tcPr>
          <w:p w14:paraId="56AB967F" w14:textId="77777777" w:rsidR="001C08A5" w:rsidRDefault="001C08A5">
            <w:pPr>
              <w:ind w:left="113" w:right="113"/>
              <w:jc w:val="center"/>
              <w:rPr>
                <w:b/>
                <w:bCs/>
                <w:i/>
                <w:sz w:val="22"/>
                <w:szCs w:val="22"/>
                <w:lang w:val="it-IT"/>
              </w:rPr>
            </w:pPr>
          </w:p>
        </w:tc>
        <w:tc>
          <w:tcPr>
            <w:tcW w:w="1113" w:type="pct"/>
            <w:vMerge/>
            <w:vAlign w:val="center"/>
          </w:tcPr>
          <w:p w14:paraId="0FB95E7B" w14:textId="77777777" w:rsidR="001C08A5" w:rsidRDefault="001C08A5">
            <w:pPr>
              <w:jc w:val="center"/>
              <w:rPr>
                <w:b/>
                <w:bCs/>
                <w:i/>
                <w:sz w:val="22"/>
                <w:szCs w:val="22"/>
                <w:lang w:val="en-GB"/>
              </w:rPr>
            </w:pPr>
          </w:p>
        </w:tc>
        <w:tc>
          <w:tcPr>
            <w:tcW w:w="2231" w:type="pct"/>
          </w:tcPr>
          <w:p w14:paraId="556A4E14" w14:textId="77777777" w:rsidR="001C08A5" w:rsidRDefault="00000000">
            <w:pPr>
              <w:rPr>
                <w:b/>
                <w:bCs/>
                <w:i/>
                <w:sz w:val="22"/>
                <w:szCs w:val="22"/>
                <w:lang w:val="en-GB"/>
              </w:rPr>
            </w:pPr>
            <w:r>
              <w:rPr>
                <w:i/>
                <w:sz w:val="22"/>
                <w:szCs w:val="22"/>
                <w:lang w:val="pt-BR"/>
              </w:rPr>
              <w:t xml:space="preserve">Blocuri de locuinţe </w:t>
            </w:r>
            <w:r>
              <w:rPr>
                <w:i/>
                <w:sz w:val="22"/>
                <w:szCs w:val="22"/>
                <w:lang w:val="en-GB"/>
              </w:rPr>
              <w:t>semi</w:t>
            </w:r>
            <w:r>
              <w:rPr>
                <w:i/>
                <w:sz w:val="22"/>
                <w:szCs w:val="22"/>
                <w:lang w:val="pt-BR"/>
              </w:rPr>
              <w:t>colective ≤ P+2E</w:t>
            </w:r>
            <w:r>
              <w:rPr>
                <w:i/>
                <w:sz w:val="22"/>
                <w:szCs w:val="22"/>
                <w:lang w:val="en-GB"/>
              </w:rPr>
              <w:t xml:space="preserve"> (sau </w:t>
            </w:r>
            <w:r>
              <w:rPr>
                <w:i/>
                <w:sz w:val="22"/>
                <w:szCs w:val="22"/>
                <w:lang w:val="pt-BR"/>
              </w:rPr>
              <w:t xml:space="preserve">≤ </w:t>
            </w:r>
            <w:r>
              <w:rPr>
                <w:i/>
                <w:sz w:val="22"/>
                <w:szCs w:val="22"/>
                <w:lang w:val="en-GB"/>
              </w:rPr>
              <w:t>10 m înălţime totală până la coamă/atic)</w:t>
            </w:r>
            <w:r>
              <w:rPr>
                <w:i/>
                <w:sz w:val="22"/>
                <w:szCs w:val="22"/>
              </w:rPr>
              <w:t xml:space="preserve"> </w:t>
            </w:r>
            <w:r>
              <w:rPr>
                <w:b/>
                <w:bCs/>
                <w:i/>
                <w:sz w:val="22"/>
                <w:szCs w:val="22"/>
                <w:vertAlign w:val="superscript"/>
                <w:lang w:val="en-GB"/>
              </w:rPr>
              <w:t xml:space="preserve">1) </w:t>
            </w:r>
            <w:r>
              <w:rPr>
                <w:i/>
                <w:sz w:val="22"/>
                <w:szCs w:val="22"/>
              </w:rPr>
              <w:t xml:space="preserve"> </w:t>
            </w:r>
          </w:p>
        </w:tc>
        <w:tc>
          <w:tcPr>
            <w:tcW w:w="572" w:type="pct"/>
            <w:vAlign w:val="center"/>
          </w:tcPr>
          <w:p w14:paraId="6A423459"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c>
          <w:tcPr>
            <w:tcW w:w="824" w:type="pct"/>
            <w:vAlign w:val="center"/>
          </w:tcPr>
          <w:p w14:paraId="08DF276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r>
      <w:tr w:rsidR="001C08A5" w14:paraId="7631D0E5" w14:textId="77777777">
        <w:trPr>
          <w:trHeight w:val="1134"/>
        </w:trPr>
        <w:tc>
          <w:tcPr>
            <w:tcW w:w="258" w:type="pct"/>
            <w:vMerge/>
            <w:textDirection w:val="btLr"/>
            <w:vAlign w:val="center"/>
          </w:tcPr>
          <w:p w14:paraId="1C642D53" w14:textId="77777777" w:rsidR="001C08A5" w:rsidRDefault="001C08A5">
            <w:pPr>
              <w:ind w:left="113" w:right="113"/>
              <w:jc w:val="center"/>
              <w:rPr>
                <w:b/>
                <w:bCs/>
                <w:i/>
                <w:sz w:val="22"/>
                <w:szCs w:val="22"/>
                <w:lang w:val="it-IT"/>
              </w:rPr>
            </w:pPr>
          </w:p>
        </w:tc>
        <w:tc>
          <w:tcPr>
            <w:tcW w:w="1113" w:type="pct"/>
            <w:vMerge/>
            <w:vAlign w:val="center"/>
          </w:tcPr>
          <w:p w14:paraId="4A2B84B8" w14:textId="77777777" w:rsidR="001C08A5" w:rsidRDefault="001C08A5">
            <w:pPr>
              <w:jc w:val="center"/>
              <w:rPr>
                <w:b/>
                <w:bCs/>
                <w:i/>
                <w:sz w:val="22"/>
                <w:szCs w:val="22"/>
                <w:lang w:val="en-GB"/>
              </w:rPr>
            </w:pPr>
          </w:p>
        </w:tc>
        <w:tc>
          <w:tcPr>
            <w:tcW w:w="2231" w:type="pct"/>
          </w:tcPr>
          <w:p w14:paraId="028F7032" w14:textId="77777777" w:rsidR="001C08A5" w:rsidRDefault="00000000">
            <w:pPr>
              <w:rPr>
                <w:i/>
                <w:sz w:val="22"/>
                <w:szCs w:val="22"/>
                <w:lang w:val="en-GB"/>
              </w:rPr>
            </w:pPr>
            <w:r>
              <w:rPr>
                <w:i/>
                <w:sz w:val="22"/>
                <w:szCs w:val="22"/>
                <w:lang w:val="pt-BR"/>
              </w:rPr>
              <w:t>Blocuri de locuinţe colective</w:t>
            </w:r>
            <w:r>
              <w:rPr>
                <w:i/>
                <w:sz w:val="22"/>
                <w:szCs w:val="22"/>
                <w:lang w:val="en-GB"/>
              </w:rPr>
              <w:t xml:space="preserve"> &gt; P+2E şi &lt; P+5E</w:t>
            </w:r>
          </w:p>
          <w:p w14:paraId="53CFF07A" w14:textId="77777777" w:rsidR="001C08A5" w:rsidRDefault="00000000">
            <w:pPr>
              <w:rPr>
                <w:i/>
                <w:sz w:val="22"/>
                <w:szCs w:val="22"/>
                <w:lang w:val="en-GB"/>
              </w:rPr>
            </w:pPr>
            <w:r>
              <w:rPr>
                <w:i/>
                <w:sz w:val="22"/>
                <w:szCs w:val="22"/>
                <w:lang w:val="en-GB"/>
              </w:rPr>
              <w:t>sau</w:t>
            </w:r>
          </w:p>
          <w:p w14:paraId="6B4948A5" w14:textId="77777777" w:rsidR="001C08A5" w:rsidRDefault="00000000">
            <w:pPr>
              <w:rPr>
                <w:b/>
                <w:bCs/>
                <w:i/>
                <w:sz w:val="22"/>
                <w:szCs w:val="22"/>
                <w:lang w:val="en-GB"/>
              </w:rPr>
            </w:pPr>
            <w:r>
              <w:rPr>
                <w:i/>
                <w:sz w:val="22"/>
                <w:szCs w:val="22"/>
                <w:lang w:val="pt-BR"/>
              </w:rPr>
              <w:t>Blocuri de locuinţe colective</w:t>
            </w:r>
            <w:r>
              <w:rPr>
                <w:i/>
                <w:sz w:val="22"/>
                <w:szCs w:val="22"/>
                <w:lang w:val="en-GB"/>
              </w:rPr>
              <w:t xml:space="preserve"> cu până la 20 m înălţime totală (până la coamă/atic) </w:t>
            </w:r>
            <w:r>
              <w:rPr>
                <w:b/>
                <w:bCs/>
                <w:i/>
                <w:sz w:val="22"/>
                <w:szCs w:val="22"/>
                <w:vertAlign w:val="superscript"/>
                <w:lang w:val="en-GB"/>
              </w:rPr>
              <w:t xml:space="preserve">1) </w:t>
            </w:r>
            <w:r>
              <w:rPr>
                <w:i/>
                <w:sz w:val="22"/>
                <w:szCs w:val="22"/>
              </w:rPr>
              <w:t xml:space="preserve"> </w:t>
            </w:r>
          </w:p>
        </w:tc>
        <w:tc>
          <w:tcPr>
            <w:tcW w:w="572" w:type="pct"/>
            <w:vAlign w:val="center"/>
          </w:tcPr>
          <w:p w14:paraId="7574C7F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c>
          <w:tcPr>
            <w:tcW w:w="824" w:type="pct"/>
            <w:vAlign w:val="center"/>
          </w:tcPr>
          <w:p w14:paraId="1C294466"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r>
      <w:tr w:rsidR="001C08A5" w14:paraId="62D915E8" w14:textId="77777777">
        <w:trPr>
          <w:trHeight w:val="1134"/>
        </w:trPr>
        <w:tc>
          <w:tcPr>
            <w:tcW w:w="258" w:type="pct"/>
            <w:vMerge/>
            <w:textDirection w:val="btLr"/>
            <w:vAlign w:val="center"/>
          </w:tcPr>
          <w:p w14:paraId="7027EB35" w14:textId="77777777" w:rsidR="001C08A5" w:rsidRDefault="001C08A5">
            <w:pPr>
              <w:ind w:left="113" w:right="113"/>
              <w:jc w:val="center"/>
              <w:rPr>
                <w:b/>
                <w:bCs/>
                <w:i/>
                <w:sz w:val="22"/>
                <w:szCs w:val="22"/>
                <w:lang w:val="it-IT"/>
              </w:rPr>
            </w:pPr>
          </w:p>
        </w:tc>
        <w:tc>
          <w:tcPr>
            <w:tcW w:w="1113" w:type="pct"/>
            <w:vMerge/>
            <w:vAlign w:val="center"/>
          </w:tcPr>
          <w:p w14:paraId="46774092" w14:textId="77777777" w:rsidR="001C08A5" w:rsidRDefault="001C08A5">
            <w:pPr>
              <w:jc w:val="center"/>
              <w:rPr>
                <w:b/>
                <w:bCs/>
                <w:i/>
                <w:sz w:val="22"/>
                <w:szCs w:val="22"/>
                <w:lang w:val="en-GB"/>
              </w:rPr>
            </w:pPr>
          </w:p>
        </w:tc>
        <w:tc>
          <w:tcPr>
            <w:tcW w:w="2231" w:type="pct"/>
          </w:tcPr>
          <w:p w14:paraId="67F505AA" w14:textId="77777777" w:rsidR="001C08A5" w:rsidRDefault="00000000">
            <w:pPr>
              <w:rPr>
                <w:i/>
                <w:sz w:val="22"/>
                <w:szCs w:val="22"/>
                <w:lang w:val="en-GB"/>
              </w:rPr>
            </w:pPr>
            <w:r>
              <w:rPr>
                <w:i/>
                <w:sz w:val="22"/>
                <w:szCs w:val="22"/>
                <w:lang w:val="pt-BR"/>
              </w:rPr>
              <w:t xml:space="preserve">Blocuri de locuinţe </w:t>
            </w:r>
            <w:r>
              <w:rPr>
                <w:i/>
                <w:sz w:val="22"/>
                <w:szCs w:val="22"/>
                <w:lang w:val="en-GB"/>
              </w:rPr>
              <w:t>semi</w:t>
            </w:r>
            <w:r>
              <w:rPr>
                <w:i/>
                <w:sz w:val="22"/>
                <w:szCs w:val="22"/>
                <w:lang w:val="pt-BR"/>
              </w:rPr>
              <w:t>colective</w:t>
            </w:r>
            <w:r>
              <w:rPr>
                <w:i/>
                <w:sz w:val="22"/>
                <w:szCs w:val="22"/>
                <w:lang w:val="en-GB"/>
              </w:rPr>
              <w:t xml:space="preserve"> ≥ P+5E </w:t>
            </w:r>
          </w:p>
          <w:p w14:paraId="3DE748CA" w14:textId="77777777" w:rsidR="001C08A5" w:rsidRDefault="00000000">
            <w:pPr>
              <w:rPr>
                <w:i/>
                <w:sz w:val="22"/>
                <w:szCs w:val="22"/>
                <w:lang w:val="en-GB"/>
              </w:rPr>
            </w:pPr>
            <w:r>
              <w:rPr>
                <w:i/>
                <w:sz w:val="22"/>
                <w:szCs w:val="22"/>
                <w:lang w:val="en-GB"/>
              </w:rPr>
              <w:t xml:space="preserve">sau </w:t>
            </w:r>
          </w:p>
          <w:p w14:paraId="6CE034C9" w14:textId="77777777" w:rsidR="001C08A5" w:rsidRDefault="00000000">
            <w:pPr>
              <w:rPr>
                <w:b/>
                <w:bCs/>
                <w:i/>
                <w:sz w:val="22"/>
                <w:szCs w:val="22"/>
                <w:lang w:val="en-GB"/>
              </w:rPr>
            </w:pPr>
            <w:r>
              <w:rPr>
                <w:i/>
                <w:sz w:val="22"/>
                <w:szCs w:val="22"/>
                <w:lang w:val="pt-BR"/>
              </w:rPr>
              <w:t>Blocuri de locuinţe colective</w:t>
            </w:r>
            <w:r>
              <w:rPr>
                <w:i/>
                <w:sz w:val="22"/>
                <w:szCs w:val="22"/>
                <w:lang w:val="en-GB"/>
              </w:rPr>
              <w:t xml:space="preserve"> cu mai </w:t>
            </w:r>
            <w:r>
              <w:rPr>
                <w:i/>
                <w:sz w:val="22"/>
                <w:szCs w:val="22"/>
              </w:rPr>
              <w:t>puțin de</w:t>
            </w:r>
            <w:r>
              <w:rPr>
                <w:i/>
                <w:sz w:val="22"/>
                <w:szCs w:val="22"/>
                <w:lang w:val="en-GB"/>
              </w:rPr>
              <w:t xml:space="preserve"> 20 m înălţime totală (până la coamă/atic) </w:t>
            </w:r>
            <w:r>
              <w:rPr>
                <w:b/>
                <w:bCs/>
                <w:i/>
                <w:sz w:val="22"/>
                <w:szCs w:val="22"/>
                <w:vertAlign w:val="superscript"/>
                <w:lang w:val="en-GB"/>
              </w:rPr>
              <w:t>1) 2)</w:t>
            </w:r>
            <w:r>
              <w:rPr>
                <w:i/>
                <w:sz w:val="22"/>
                <w:szCs w:val="22"/>
              </w:rPr>
              <w:t xml:space="preserve"> </w:t>
            </w:r>
            <w:r>
              <w:rPr>
                <w:b/>
                <w:bCs/>
                <w:i/>
                <w:sz w:val="22"/>
                <w:szCs w:val="22"/>
                <w:vertAlign w:val="superscript"/>
                <w:lang w:val="en-GB"/>
              </w:rPr>
              <w:t xml:space="preserve"> </w:t>
            </w:r>
          </w:p>
        </w:tc>
        <w:tc>
          <w:tcPr>
            <w:tcW w:w="572" w:type="pct"/>
            <w:vAlign w:val="center"/>
          </w:tcPr>
          <w:p w14:paraId="70560731"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c>
          <w:tcPr>
            <w:tcW w:w="824" w:type="pct"/>
            <w:vAlign w:val="center"/>
          </w:tcPr>
          <w:p w14:paraId="2F5ECC87"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r>
      <w:tr w:rsidR="001C08A5" w14:paraId="32FC36B6" w14:textId="77777777">
        <w:trPr>
          <w:trHeight w:val="429"/>
        </w:trPr>
        <w:tc>
          <w:tcPr>
            <w:tcW w:w="258" w:type="pct"/>
            <w:vMerge/>
            <w:textDirection w:val="btLr"/>
            <w:vAlign w:val="center"/>
          </w:tcPr>
          <w:p w14:paraId="3D2A4E55" w14:textId="77777777" w:rsidR="001C08A5" w:rsidRDefault="001C08A5">
            <w:pPr>
              <w:ind w:left="113" w:right="113"/>
              <w:jc w:val="center"/>
              <w:rPr>
                <w:b/>
                <w:bCs/>
                <w:i/>
                <w:sz w:val="22"/>
                <w:szCs w:val="22"/>
                <w:lang w:val="it-IT"/>
              </w:rPr>
            </w:pPr>
          </w:p>
        </w:tc>
        <w:tc>
          <w:tcPr>
            <w:tcW w:w="1113" w:type="pct"/>
            <w:vMerge/>
            <w:vAlign w:val="center"/>
          </w:tcPr>
          <w:p w14:paraId="1B0BDFAF" w14:textId="77777777" w:rsidR="001C08A5" w:rsidRDefault="001C08A5">
            <w:pPr>
              <w:jc w:val="center"/>
              <w:rPr>
                <w:b/>
                <w:bCs/>
                <w:i/>
                <w:sz w:val="22"/>
                <w:szCs w:val="22"/>
                <w:lang w:val="en-GB"/>
              </w:rPr>
            </w:pPr>
          </w:p>
        </w:tc>
        <w:tc>
          <w:tcPr>
            <w:tcW w:w="2231" w:type="pct"/>
          </w:tcPr>
          <w:p w14:paraId="3190F705" w14:textId="77777777" w:rsidR="001C08A5" w:rsidRDefault="00000000">
            <w:pPr>
              <w:rPr>
                <w:b/>
                <w:bCs/>
                <w:i/>
                <w:sz w:val="22"/>
                <w:szCs w:val="22"/>
                <w:lang w:val="en-GB"/>
              </w:rPr>
            </w:pPr>
            <w:r>
              <w:rPr>
                <w:i/>
                <w:sz w:val="22"/>
                <w:szCs w:val="22"/>
                <w:lang w:val="en-GB"/>
              </w:rPr>
              <w:t>Blocuri de locuinţe incadrate &gt;</w:t>
            </w:r>
            <w:r>
              <w:rPr>
                <w:i/>
                <w:sz w:val="22"/>
                <w:szCs w:val="22"/>
              </w:rPr>
              <w:t>12 niveluri supraterane</w:t>
            </w:r>
            <w:r>
              <w:rPr>
                <w:i/>
                <w:sz w:val="22"/>
                <w:szCs w:val="22"/>
                <w:lang w:val="en-GB"/>
              </w:rPr>
              <w:t xml:space="preserve"> (</w:t>
            </w:r>
            <w:r>
              <w:rPr>
                <w:i/>
                <w:sz w:val="22"/>
                <w:szCs w:val="22"/>
              </w:rPr>
              <w:t>înalte sau foarte înalte</w:t>
            </w:r>
            <w:r>
              <w:rPr>
                <w:i/>
                <w:sz w:val="22"/>
                <w:szCs w:val="22"/>
                <w:lang w:val="en-GB"/>
              </w:rPr>
              <w:t>)</w:t>
            </w:r>
          </w:p>
        </w:tc>
        <w:tc>
          <w:tcPr>
            <w:tcW w:w="572" w:type="pct"/>
            <w:vAlign w:val="center"/>
          </w:tcPr>
          <w:p w14:paraId="2161485F"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2C2217E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13205F05" w14:textId="77777777">
        <w:trPr>
          <w:trHeight w:val="175"/>
        </w:trPr>
        <w:tc>
          <w:tcPr>
            <w:tcW w:w="258" w:type="pct"/>
            <w:vMerge w:val="restart"/>
            <w:textDirection w:val="btLr"/>
            <w:vAlign w:val="center"/>
          </w:tcPr>
          <w:p w14:paraId="10CBC1A2" w14:textId="77777777" w:rsidR="001C08A5" w:rsidRDefault="00000000">
            <w:pPr>
              <w:ind w:left="113" w:right="113"/>
              <w:jc w:val="center"/>
              <w:rPr>
                <w:b/>
                <w:bCs/>
                <w:i/>
                <w:sz w:val="22"/>
                <w:szCs w:val="22"/>
                <w:lang w:val="it-IT"/>
              </w:rPr>
            </w:pPr>
            <w:r>
              <w:rPr>
                <w:b/>
                <w:bCs/>
                <w:i/>
                <w:sz w:val="22"/>
                <w:szCs w:val="22"/>
                <w:lang w:val="en-GB"/>
              </w:rPr>
              <w:t>A</w:t>
            </w:r>
            <w:r>
              <w:rPr>
                <w:b/>
                <w:bCs/>
                <w:i/>
                <w:sz w:val="22"/>
                <w:szCs w:val="22"/>
                <w:lang w:val="it-IT"/>
              </w:rPr>
              <w:t>dministrativ</w:t>
            </w:r>
            <w:r>
              <w:rPr>
                <w:b/>
                <w:bCs/>
                <w:i/>
                <w:sz w:val="22"/>
                <w:szCs w:val="22"/>
                <w:lang w:val="en-GB"/>
              </w:rPr>
              <w:t>e</w:t>
            </w:r>
          </w:p>
        </w:tc>
        <w:tc>
          <w:tcPr>
            <w:tcW w:w="1113" w:type="pct"/>
            <w:vMerge w:val="restart"/>
            <w:vAlign w:val="center"/>
          </w:tcPr>
          <w:p w14:paraId="73D00B56" w14:textId="77777777" w:rsidR="001C08A5" w:rsidRDefault="00000000">
            <w:pPr>
              <w:jc w:val="center"/>
              <w:rPr>
                <w:b/>
                <w:bCs/>
                <w:i/>
                <w:sz w:val="22"/>
                <w:szCs w:val="22"/>
                <w:lang w:val="en-GB"/>
              </w:rPr>
            </w:pPr>
            <w:r>
              <w:rPr>
                <w:b/>
                <w:bCs/>
                <w:i/>
                <w:sz w:val="22"/>
                <w:szCs w:val="22"/>
              </w:rPr>
              <w:t xml:space="preserve">Clădiri ale autorităţilor și instituţiilor centrale sau locale, financiar-bancare, </w:t>
            </w:r>
            <w:r>
              <w:rPr>
                <w:b/>
                <w:bCs/>
                <w:i/>
                <w:sz w:val="22"/>
                <w:szCs w:val="22"/>
              </w:rPr>
              <w:lastRenderedPageBreak/>
              <w:t>sindicate, partide, birouri, etc.</w:t>
            </w:r>
          </w:p>
        </w:tc>
        <w:tc>
          <w:tcPr>
            <w:tcW w:w="2231" w:type="pct"/>
          </w:tcPr>
          <w:p w14:paraId="0F4FD7E2" w14:textId="77777777" w:rsidR="001C08A5" w:rsidRDefault="00000000">
            <w:pPr>
              <w:rPr>
                <w:b/>
                <w:bCs/>
                <w:i/>
                <w:sz w:val="22"/>
                <w:szCs w:val="22"/>
                <w:vertAlign w:val="superscript"/>
                <w:lang w:val="en-GB"/>
              </w:rPr>
            </w:pPr>
            <w:r>
              <w:rPr>
                <w:i/>
                <w:sz w:val="22"/>
                <w:szCs w:val="22"/>
                <w:lang w:val="en-GB"/>
              </w:rPr>
              <w:lastRenderedPageBreak/>
              <w:t>Cl</w:t>
            </w:r>
            <w:r>
              <w:rPr>
                <w:i/>
                <w:sz w:val="22"/>
                <w:szCs w:val="22"/>
                <w:lang w:val="it-IT"/>
              </w:rPr>
              <w:t>ă</w:t>
            </w:r>
            <w:r>
              <w:rPr>
                <w:i/>
                <w:sz w:val="22"/>
                <w:szCs w:val="22"/>
                <w:lang w:val="en-GB"/>
              </w:rPr>
              <w:t xml:space="preserve">diri </w:t>
            </w:r>
            <w:r>
              <w:rPr>
                <w:i/>
                <w:sz w:val="22"/>
                <w:szCs w:val="22"/>
                <w:lang w:val="pt-BR"/>
              </w:rPr>
              <w:t>≤ P+</w:t>
            </w:r>
            <w:r>
              <w:rPr>
                <w:i/>
                <w:sz w:val="22"/>
                <w:szCs w:val="22"/>
              </w:rPr>
              <w:t>2</w:t>
            </w:r>
            <w:r>
              <w:rPr>
                <w:i/>
                <w:sz w:val="22"/>
                <w:szCs w:val="22"/>
                <w:lang w:val="pt-BR"/>
              </w:rPr>
              <w:t>E</w:t>
            </w:r>
            <w:r>
              <w:rPr>
                <w:i/>
                <w:sz w:val="22"/>
                <w:szCs w:val="22"/>
                <w:lang w:val="en-GB"/>
              </w:rPr>
              <w:t xml:space="preserve"> </w:t>
            </w:r>
          </w:p>
        </w:tc>
        <w:tc>
          <w:tcPr>
            <w:tcW w:w="572" w:type="pct"/>
            <w:vAlign w:val="center"/>
          </w:tcPr>
          <w:p w14:paraId="0519B37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5000</w:t>
            </w:r>
          </w:p>
        </w:tc>
        <w:tc>
          <w:tcPr>
            <w:tcW w:w="824" w:type="pct"/>
            <w:vAlign w:val="center"/>
          </w:tcPr>
          <w:p w14:paraId="4606EF8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4500</w:t>
            </w:r>
          </w:p>
        </w:tc>
      </w:tr>
      <w:tr w:rsidR="001C08A5" w14:paraId="79A3C2E6" w14:textId="77777777">
        <w:trPr>
          <w:trHeight w:val="183"/>
        </w:trPr>
        <w:tc>
          <w:tcPr>
            <w:tcW w:w="258" w:type="pct"/>
            <w:vMerge/>
            <w:textDirection w:val="btLr"/>
            <w:vAlign w:val="center"/>
          </w:tcPr>
          <w:p w14:paraId="5BEA0D25" w14:textId="77777777" w:rsidR="001C08A5" w:rsidRDefault="001C08A5">
            <w:pPr>
              <w:ind w:left="113" w:right="113"/>
              <w:jc w:val="center"/>
              <w:rPr>
                <w:b/>
                <w:bCs/>
                <w:i/>
                <w:sz w:val="22"/>
                <w:szCs w:val="22"/>
                <w:lang w:val="it-IT"/>
              </w:rPr>
            </w:pPr>
          </w:p>
        </w:tc>
        <w:tc>
          <w:tcPr>
            <w:tcW w:w="1113" w:type="pct"/>
            <w:vMerge/>
            <w:vAlign w:val="center"/>
          </w:tcPr>
          <w:p w14:paraId="3D072579" w14:textId="77777777" w:rsidR="001C08A5" w:rsidRDefault="001C08A5">
            <w:pPr>
              <w:jc w:val="center"/>
              <w:rPr>
                <w:b/>
                <w:bCs/>
                <w:i/>
                <w:sz w:val="22"/>
                <w:szCs w:val="22"/>
                <w:lang w:val="en-GB"/>
              </w:rPr>
            </w:pPr>
          </w:p>
        </w:tc>
        <w:tc>
          <w:tcPr>
            <w:tcW w:w="2231" w:type="pct"/>
          </w:tcPr>
          <w:p w14:paraId="56357569"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pt-BR"/>
              </w:rPr>
              <w:t>P+</w:t>
            </w:r>
            <w:r>
              <w:rPr>
                <w:i/>
                <w:sz w:val="22"/>
                <w:szCs w:val="22"/>
                <w:lang w:val="en-GB"/>
              </w:rPr>
              <w:t>3</w:t>
            </w:r>
            <w:r>
              <w:rPr>
                <w:i/>
                <w:sz w:val="22"/>
                <w:szCs w:val="22"/>
                <w:lang w:val="pt-BR"/>
              </w:rPr>
              <w:t>E</w:t>
            </w:r>
            <w:r>
              <w:rPr>
                <w:i/>
                <w:sz w:val="22"/>
                <w:szCs w:val="22"/>
                <w:lang w:val="en-GB"/>
              </w:rPr>
              <w:t xml:space="preserve"> </w:t>
            </w:r>
          </w:p>
        </w:tc>
        <w:tc>
          <w:tcPr>
            <w:tcW w:w="572" w:type="pct"/>
            <w:vAlign w:val="center"/>
          </w:tcPr>
          <w:p w14:paraId="5BE630E8"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c>
          <w:tcPr>
            <w:tcW w:w="824" w:type="pct"/>
            <w:vAlign w:val="center"/>
          </w:tcPr>
          <w:p w14:paraId="28EF2679"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r>
      <w:tr w:rsidR="001C08A5" w14:paraId="3103B8A2" w14:textId="77777777">
        <w:trPr>
          <w:trHeight w:val="90"/>
        </w:trPr>
        <w:tc>
          <w:tcPr>
            <w:tcW w:w="258" w:type="pct"/>
            <w:vMerge/>
            <w:textDirection w:val="btLr"/>
            <w:vAlign w:val="center"/>
          </w:tcPr>
          <w:p w14:paraId="1A78F4AF" w14:textId="77777777" w:rsidR="001C08A5" w:rsidRDefault="001C08A5">
            <w:pPr>
              <w:ind w:left="113" w:right="113"/>
              <w:jc w:val="center"/>
              <w:rPr>
                <w:b/>
                <w:bCs/>
                <w:i/>
                <w:sz w:val="22"/>
                <w:szCs w:val="22"/>
                <w:lang w:val="it-IT"/>
              </w:rPr>
            </w:pPr>
          </w:p>
        </w:tc>
        <w:tc>
          <w:tcPr>
            <w:tcW w:w="1113" w:type="pct"/>
            <w:vMerge/>
            <w:vAlign w:val="center"/>
          </w:tcPr>
          <w:p w14:paraId="2D4F8C42" w14:textId="77777777" w:rsidR="001C08A5" w:rsidRDefault="001C08A5">
            <w:pPr>
              <w:jc w:val="center"/>
              <w:rPr>
                <w:b/>
                <w:bCs/>
                <w:i/>
                <w:sz w:val="22"/>
                <w:szCs w:val="22"/>
                <w:lang w:val="en-GB"/>
              </w:rPr>
            </w:pPr>
          </w:p>
        </w:tc>
        <w:tc>
          <w:tcPr>
            <w:tcW w:w="2231" w:type="pct"/>
          </w:tcPr>
          <w:p w14:paraId="5FC479AB"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&gt; P+</w:t>
            </w:r>
            <w:r>
              <w:rPr>
                <w:i/>
                <w:sz w:val="22"/>
                <w:szCs w:val="22"/>
                <w:lang w:val="en-GB"/>
              </w:rPr>
              <w:t>3</w:t>
            </w:r>
            <w:r>
              <w:rPr>
                <w:i/>
                <w:sz w:val="22"/>
                <w:szCs w:val="22"/>
              </w:rPr>
              <w:t>E</w:t>
            </w:r>
            <w:r>
              <w:rPr>
                <w:i/>
                <w:sz w:val="22"/>
                <w:szCs w:val="22"/>
                <w:lang w:val="en-GB"/>
              </w:rPr>
              <w:t xml:space="preserve"> </w:t>
            </w:r>
            <w:r>
              <w:rPr>
                <w:i/>
                <w:sz w:val="22"/>
                <w:szCs w:val="22"/>
              </w:rPr>
              <w:t>şi</w:t>
            </w:r>
            <w:r>
              <w:rPr>
                <w:i/>
                <w:sz w:val="22"/>
                <w:szCs w:val="22"/>
                <w:lang w:val="en-GB"/>
              </w:rPr>
              <w:t xml:space="preserve"> </w:t>
            </w:r>
            <w:r>
              <w:rPr>
                <w:i/>
                <w:sz w:val="22"/>
                <w:szCs w:val="22"/>
              </w:rPr>
              <w:t>≤ P+5E</w:t>
            </w:r>
            <w:r>
              <w:rPr>
                <w:i/>
                <w:sz w:val="22"/>
                <w:szCs w:val="22"/>
                <w:lang w:val="en-GB"/>
              </w:rPr>
              <w:t xml:space="preserve"> </w:t>
            </w:r>
          </w:p>
          <w:p w14:paraId="0F7C9015" w14:textId="77777777" w:rsidR="001C08A5" w:rsidRDefault="00000000">
            <w:pPr>
              <w:rPr>
                <w:i/>
                <w:sz w:val="22"/>
                <w:szCs w:val="22"/>
                <w:lang w:val="en-GB"/>
              </w:rPr>
            </w:pPr>
            <w:r>
              <w:rPr>
                <w:i/>
                <w:sz w:val="22"/>
                <w:szCs w:val="22"/>
                <w:lang w:val="en-GB"/>
              </w:rPr>
              <w:t>s</w:t>
            </w:r>
            <w:r>
              <w:rPr>
                <w:i/>
                <w:sz w:val="22"/>
                <w:szCs w:val="22"/>
              </w:rPr>
              <w:t>au</w:t>
            </w:r>
            <w:r>
              <w:rPr>
                <w:i/>
                <w:sz w:val="22"/>
                <w:szCs w:val="22"/>
                <w:lang w:val="en-GB"/>
              </w:rPr>
              <w:t xml:space="preserve"> </w:t>
            </w:r>
          </w:p>
          <w:p w14:paraId="38B02BE1"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cu până la 20 m înălţime totală (până la coamă/atic)</w:t>
            </w:r>
            <w:r>
              <w:rPr>
                <w:i/>
                <w:sz w:val="22"/>
                <w:szCs w:val="22"/>
                <w:lang w:val="en-GB"/>
              </w:rPr>
              <w:t xml:space="preserve"> </w:t>
            </w:r>
            <w:r>
              <w:rPr>
                <w:b/>
                <w:bCs/>
                <w:i/>
                <w:sz w:val="22"/>
                <w:szCs w:val="22"/>
                <w:vertAlign w:val="superscript"/>
                <w:lang w:val="en-GB"/>
              </w:rPr>
              <w:t xml:space="preserve">1) </w:t>
            </w:r>
            <w:r>
              <w:rPr>
                <w:i/>
                <w:sz w:val="22"/>
                <w:szCs w:val="22"/>
              </w:rPr>
              <w:t xml:space="preserve"> </w:t>
            </w:r>
          </w:p>
        </w:tc>
        <w:tc>
          <w:tcPr>
            <w:tcW w:w="572" w:type="pct"/>
            <w:vAlign w:val="center"/>
          </w:tcPr>
          <w:p w14:paraId="59901DB2"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c>
          <w:tcPr>
            <w:tcW w:w="824" w:type="pct"/>
            <w:vAlign w:val="center"/>
          </w:tcPr>
          <w:p w14:paraId="08D01008"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3500</w:t>
            </w:r>
          </w:p>
        </w:tc>
      </w:tr>
      <w:tr w:rsidR="001C08A5" w14:paraId="568B8078" w14:textId="77777777">
        <w:trPr>
          <w:trHeight w:val="900"/>
        </w:trPr>
        <w:tc>
          <w:tcPr>
            <w:tcW w:w="258" w:type="pct"/>
            <w:vMerge/>
            <w:textDirection w:val="btLr"/>
            <w:vAlign w:val="center"/>
          </w:tcPr>
          <w:p w14:paraId="76CEDB64" w14:textId="77777777" w:rsidR="001C08A5" w:rsidRDefault="001C08A5">
            <w:pPr>
              <w:ind w:left="113" w:right="113"/>
              <w:jc w:val="center"/>
              <w:rPr>
                <w:b/>
                <w:bCs/>
                <w:i/>
                <w:sz w:val="22"/>
                <w:szCs w:val="22"/>
                <w:lang w:val="it-IT"/>
              </w:rPr>
            </w:pPr>
          </w:p>
        </w:tc>
        <w:tc>
          <w:tcPr>
            <w:tcW w:w="1113" w:type="pct"/>
            <w:vMerge/>
            <w:vAlign w:val="center"/>
          </w:tcPr>
          <w:p w14:paraId="78C38289" w14:textId="77777777" w:rsidR="001C08A5" w:rsidRDefault="001C08A5">
            <w:pPr>
              <w:jc w:val="center"/>
              <w:rPr>
                <w:b/>
                <w:bCs/>
                <w:i/>
                <w:sz w:val="22"/>
                <w:szCs w:val="22"/>
                <w:lang w:val="en-GB"/>
              </w:rPr>
            </w:pPr>
          </w:p>
        </w:tc>
        <w:tc>
          <w:tcPr>
            <w:tcW w:w="2231" w:type="pct"/>
          </w:tcPr>
          <w:p w14:paraId="7F73C1AB" w14:textId="77777777" w:rsidR="001C08A5" w:rsidRDefault="00000000">
            <w:pPr>
              <w:rPr>
                <w:i/>
                <w:sz w:val="22"/>
                <w:szCs w:val="22"/>
                <w:lang w:val="en-GB"/>
              </w:rPr>
            </w:pPr>
            <w:r>
              <w:rPr>
                <w:i/>
                <w:sz w:val="22"/>
                <w:szCs w:val="22"/>
              </w:rPr>
              <w:t>&gt; P+5E</w:t>
            </w:r>
            <w:r>
              <w:rPr>
                <w:i/>
                <w:sz w:val="22"/>
                <w:szCs w:val="22"/>
                <w:lang w:val="en-GB"/>
              </w:rPr>
              <w:t xml:space="preserve"> </w:t>
            </w:r>
          </w:p>
          <w:p w14:paraId="16D9BFB9" w14:textId="77777777" w:rsidR="001C08A5" w:rsidRDefault="00000000">
            <w:pPr>
              <w:rPr>
                <w:i/>
                <w:sz w:val="22"/>
                <w:szCs w:val="22"/>
                <w:lang w:val="en-GB"/>
              </w:rPr>
            </w:pPr>
            <w:r>
              <w:rPr>
                <w:i/>
                <w:sz w:val="22"/>
                <w:szCs w:val="22"/>
                <w:lang w:val="en-GB"/>
              </w:rPr>
              <w:t>s</w:t>
            </w:r>
            <w:r>
              <w:rPr>
                <w:i/>
                <w:sz w:val="22"/>
                <w:szCs w:val="22"/>
              </w:rPr>
              <w:t>au</w:t>
            </w:r>
            <w:r>
              <w:rPr>
                <w:i/>
                <w:sz w:val="22"/>
                <w:szCs w:val="22"/>
                <w:lang w:val="en-GB"/>
              </w:rPr>
              <w:t xml:space="preserve"> </w:t>
            </w:r>
          </w:p>
          <w:p w14:paraId="3A9CE6C3"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r>
              <w:rPr>
                <w:i/>
                <w:sz w:val="22"/>
                <w:szCs w:val="22"/>
                <w:lang w:val="en-GB"/>
              </w:rPr>
              <w:t>/</w:t>
            </w:r>
            <w:r>
              <w:rPr>
                <w:i/>
                <w:sz w:val="22"/>
                <w:szCs w:val="22"/>
              </w:rPr>
              <w:t>atic)</w:t>
            </w:r>
            <w:r>
              <w:rPr>
                <w:bCs/>
                <w:i/>
                <w:sz w:val="22"/>
                <w:szCs w:val="22"/>
              </w:rPr>
              <w:t xml:space="preserve"> </w:t>
            </w:r>
            <w:r>
              <w:rPr>
                <w:b/>
                <w:bCs/>
                <w:i/>
                <w:sz w:val="22"/>
                <w:szCs w:val="22"/>
                <w:vertAlign w:val="superscript"/>
                <w:lang w:val="en-GB"/>
              </w:rPr>
              <w:t xml:space="preserve">1) 2) </w:t>
            </w:r>
          </w:p>
        </w:tc>
        <w:tc>
          <w:tcPr>
            <w:tcW w:w="572" w:type="pct"/>
            <w:vAlign w:val="center"/>
          </w:tcPr>
          <w:p w14:paraId="304D966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c>
          <w:tcPr>
            <w:tcW w:w="824" w:type="pct"/>
            <w:vAlign w:val="center"/>
          </w:tcPr>
          <w:p w14:paraId="2B90369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r>
      <w:tr w:rsidR="001C08A5" w14:paraId="217D1172" w14:textId="77777777">
        <w:trPr>
          <w:trHeight w:val="226"/>
        </w:trPr>
        <w:tc>
          <w:tcPr>
            <w:tcW w:w="258" w:type="pct"/>
            <w:vMerge/>
            <w:textDirection w:val="btLr"/>
            <w:vAlign w:val="center"/>
          </w:tcPr>
          <w:p w14:paraId="40CC6338" w14:textId="77777777" w:rsidR="001C08A5" w:rsidRDefault="001C08A5">
            <w:pPr>
              <w:ind w:left="113" w:right="113"/>
              <w:jc w:val="center"/>
              <w:rPr>
                <w:b/>
                <w:bCs/>
                <w:i/>
                <w:sz w:val="22"/>
                <w:szCs w:val="22"/>
                <w:lang w:val="it-IT"/>
              </w:rPr>
            </w:pPr>
          </w:p>
        </w:tc>
        <w:tc>
          <w:tcPr>
            <w:tcW w:w="1113" w:type="pct"/>
            <w:vMerge/>
            <w:vAlign w:val="center"/>
          </w:tcPr>
          <w:p w14:paraId="7C073D32" w14:textId="77777777" w:rsidR="001C08A5" w:rsidRDefault="001C08A5">
            <w:pPr>
              <w:jc w:val="center"/>
              <w:rPr>
                <w:b/>
                <w:bCs/>
                <w:i/>
                <w:sz w:val="22"/>
                <w:szCs w:val="22"/>
                <w:lang w:val="en-GB"/>
              </w:rPr>
            </w:pPr>
          </w:p>
        </w:tc>
        <w:tc>
          <w:tcPr>
            <w:tcW w:w="2231" w:type="pct"/>
          </w:tcPr>
          <w:p w14:paraId="3CC3AFE9"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3A404427"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4E836316"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3ACED192" w14:textId="77777777">
        <w:trPr>
          <w:trHeight w:val="209"/>
        </w:trPr>
        <w:tc>
          <w:tcPr>
            <w:tcW w:w="258" w:type="pct"/>
            <w:vMerge w:val="restart"/>
            <w:textDirection w:val="btLr"/>
            <w:vAlign w:val="center"/>
          </w:tcPr>
          <w:p w14:paraId="5612FCB5" w14:textId="77777777" w:rsidR="001C08A5" w:rsidRDefault="00000000">
            <w:pPr>
              <w:ind w:left="113" w:right="113"/>
              <w:jc w:val="center"/>
              <w:rPr>
                <w:b/>
                <w:bCs/>
                <w:i/>
                <w:sz w:val="22"/>
                <w:szCs w:val="22"/>
                <w:lang w:val="en-GB"/>
              </w:rPr>
            </w:pPr>
            <w:r>
              <w:rPr>
                <w:b/>
                <w:bCs/>
                <w:i/>
                <w:sz w:val="22"/>
                <w:szCs w:val="22"/>
                <w:lang w:val="en-GB"/>
              </w:rPr>
              <w:t>Comer</w:t>
            </w:r>
            <w:r>
              <w:rPr>
                <w:b/>
                <w:bCs/>
                <w:i/>
                <w:sz w:val="22"/>
                <w:szCs w:val="22"/>
              </w:rPr>
              <w:t>ţ</w:t>
            </w:r>
          </w:p>
        </w:tc>
        <w:tc>
          <w:tcPr>
            <w:tcW w:w="1113" w:type="pct"/>
            <w:vMerge w:val="restart"/>
            <w:vAlign w:val="center"/>
          </w:tcPr>
          <w:p w14:paraId="317591BC" w14:textId="77777777" w:rsidR="001C08A5" w:rsidRDefault="00000000">
            <w:pPr>
              <w:jc w:val="center"/>
              <w:rPr>
                <w:b/>
                <w:bCs/>
                <w:i/>
                <w:sz w:val="22"/>
                <w:szCs w:val="22"/>
                <w:lang w:val="en-GB"/>
              </w:rPr>
            </w:pPr>
            <w:r>
              <w:rPr>
                <w:b/>
                <w:bCs/>
                <w:i/>
                <w:sz w:val="22"/>
                <w:szCs w:val="22"/>
              </w:rPr>
              <w:t>Mall-uri, magazine, centre şi complexe comerciale, galerii comerciale, hipermarketuri, supermarketuri şi</w:t>
            </w:r>
          </w:p>
        </w:tc>
        <w:tc>
          <w:tcPr>
            <w:tcW w:w="2231" w:type="pct"/>
          </w:tcPr>
          <w:p w14:paraId="066494F2"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p>
        </w:tc>
        <w:tc>
          <w:tcPr>
            <w:tcW w:w="572" w:type="pct"/>
            <w:vAlign w:val="center"/>
          </w:tcPr>
          <w:p w14:paraId="5BB2AB81"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20000</w:t>
            </w:r>
          </w:p>
        </w:tc>
        <w:tc>
          <w:tcPr>
            <w:tcW w:w="824" w:type="pct"/>
            <w:vAlign w:val="center"/>
          </w:tcPr>
          <w:p w14:paraId="706A586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15000</w:t>
            </w:r>
          </w:p>
        </w:tc>
      </w:tr>
      <w:tr w:rsidR="001C08A5" w14:paraId="44CAF428" w14:textId="77777777">
        <w:trPr>
          <w:trHeight w:val="215"/>
        </w:trPr>
        <w:tc>
          <w:tcPr>
            <w:tcW w:w="258" w:type="pct"/>
            <w:vMerge/>
            <w:textDirection w:val="btLr"/>
            <w:vAlign w:val="center"/>
          </w:tcPr>
          <w:p w14:paraId="2B4A99A5" w14:textId="77777777" w:rsidR="001C08A5" w:rsidRDefault="001C08A5">
            <w:pPr>
              <w:ind w:left="113" w:right="113"/>
              <w:jc w:val="center"/>
              <w:rPr>
                <w:b/>
                <w:bCs/>
                <w:i/>
                <w:sz w:val="22"/>
                <w:szCs w:val="22"/>
                <w:lang w:val="en-GB"/>
              </w:rPr>
            </w:pPr>
          </w:p>
        </w:tc>
        <w:tc>
          <w:tcPr>
            <w:tcW w:w="1113" w:type="pct"/>
            <w:vMerge/>
            <w:vAlign w:val="center"/>
          </w:tcPr>
          <w:p w14:paraId="67F50CFB" w14:textId="77777777" w:rsidR="001C08A5" w:rsidRDefault="001C08A5">
            <w:pPr>
              <w:jc w:val="center"/>
              <w:rPr>
                <w:b/>
                <w:bCs/>
                <w:i/>
                <w:sz w:val="22"/>
                <w:szCs w:val="22"/>
                <w:lang w:val="en-GB"/>
              </w:rPr>
            </w:pPr>
          </w:p>
        </w:tc>
        <w:tc>
          <w:tcPr>
            <w:tcW w:w="2231" w:type="pct"/>
          </w:tcPr>
          <w:p w14:paraId="3EFFE24F" w14:textId="77777777" w:rsidR="001C08A5" w:rsidRDefault="00000000">
            <w:pPr>
              <w:rPr>
                <w:b/>
                <w:bCs/>
                <w:i/>
                <w:sz w:val="22"/>
                <w:szCs w:val="22"/>
                <w:vertAlign w:val="superscript"/>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P+1E</w:t>
            </w:r>
            <w:r>
              <w:rPr>
                <w:i/>
                <w:sz w:val="22"/>
                <w:szCs w:val="22"/>
                <w:lang w:val="en-GB"/>
              </w:rPr>
              <w:t xml:space="preserve"> </w:t>
            </w:r>
          </w:p>
        </w:tc>
        <w:tc>
          <w:tcPr>
            <w:tcW w:w="572" w:type="pct"/>
            <w:vAlign w:val="center"/>
          </w:tcPr>
          <w:p w14:paraId="7999C477"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15000</w:t>
            </w:r>
          </w:p>
        </w:tc>
        <w:tc>
          <w:tcPr>
            <w:tcW w:w="824" w:type="pct"/>
            <w:vAlign w:val="center"/>
          </w:tcPr>
          <w:p w14:paraId="1B130C48"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10000</w:t>
            </w:r>
          </w:p>
        </w:tc>
      </w:tr>
      <w:tr w:rsidR="001C08A5" w14:paraId="10519FBF" w14:textId="77777777">
        <w:trPr>
          <w:trHeight w:val="204"/>
        </w:trPr>
        <w:tc>
          <w:tcPr>
            <w:tcW w:w="258" w:type="pct"/>
            <w:vMerge/>
            <w:textDirection w:val="btLr"/>
            <w:vAlign w:val="center"/>
          </w:tcPr>
          <w:p w14:paraId="39057FBE" w14:textId="77777777" w:rsidR="001C08A5" w:rsidRDefault="001C08A5">
            <w:pPr>
              <w:ind w:left="113" w:right="113"/>
              <w:jc w:val="center"/>
              <w:rPr>
                <w:b/>
                <w:bCs/>
                <w:i/>
                <w:sz w:val="22"/>
                <w:szCs w:val="22"/>
                <w:lang w:val="en-GB"/>
              </w:rPr>
            </w:pPr>
          </w:p>
        </w:tc>
        <w:tc>
          <w:tcPr>
            <w:tcW w:w="1113" w:type="pct"/>
            <w:vMerge/>
            <w:vAlign w:val="center"/>
          </w:tcPr>
          <w:p w14:paraId="2302745E" w14:textId="77777777" w:rsidR="001C08A5" w:rsidRDefault="001C08A5">
            <w:pPr>
              <w:jc w:val="center"/>
              <w:rPr>
                <w:b/>
                <w:bCs/>
                <w:i/>
                <w:sz w:val="22"/>
                <w:szCs w:val="22"/>
                <w:lang w:val="en-GB"/>
              </w:rPr>
            </w:pPr>
          </w:p>
        </w:tc>
        <w:tc>
          <w:tcPr>
            <w:tcW w:w="2231" w:type="pct"/>
          </w:tcPr>
          <w:p w14:paraId="3036F38B"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r>
              <w:rPr>
                <w:i/>
                <w:sz w:val="22"/>
                <w:szCs w:val="22"/>
              </w:rPr>
              <w:t>2</w:t>
            </w:r>
            <w:r>
              <w:rPr>
                <w:i/>
                <w:sz w:val="22"/>
                <w:szCs w:val="22"/>
                <w:lang w:val="it-IT"/>
              </w:rPr>
              <w:t>E</w:t>
            </w:r>
          </w:p>
        </w:tc>
        <w:tc>
          <w:tcPr>
            <w:tcW w:w="572" w:type="pct"/>
            <w:vAlign w:val="center"/>
          </w:tcPr>
          <w:p w14:paraId="4729FA94"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10000</w:t>
            </w:r>
          </w:p>
        </w:tc>
        <w:tc>
          <w:tcPr>
            <w:tcW w:w="824" w:type="pct"/>
            <w:vAlign w:val="center"/>
          </w:tcPr>
          <w:p w14:paraId="307EECDD"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7000</w:t>
            </w:r>
          </w:p>
        </w:tc>
      </w:tr>
      <w:tr w:rsidR="001C08A5" w14:paraId="412033D1" w14:textId="77777777">
        <w:trPr>
          <w:trHeight w:val="965"/>
        </w:trPr>
        <w:tc>
          <w:tcPr>
            <w:tcW w:w="258" w:type="pct"/>
            <w:vMerge/>
            <w:textDirection w:val="btLr"/>
            <w:vAlign w:val="center"/>
          </w:tcPr>
          <w:p w14:paraId="266A247A" w14:textId="77777777" w:rsidR="001C08A5" w:rsidRDefault="001C08A5">
            <w:pPr>
              <w:ind w:left="113" w:right="113"/>
              <w:jc w:val="center"/>
              <w:rPr>
                <w:b/>
                <w:bCs/>
                <w:i/>
                <w:sz w:val="22"/>
                <w:szCs w:val="22"/>
                <w:lang w:val="it-IT"/>
              </w:rPr>
            </w:pPr>
          </w:p>
        </w:tc>
        <w:tc>
          <w:tcPr>
            <w:tcW w:w="1113" w:type="pct"/>
            <w:vMerge/>
            <w:vAlign w:val="center"/>
          </w:tcPr>
          <w:p w14:paraId="510617BD" w14:textId="77777777" w:rsidR="001C08A5" w:rsidRDefault="001C08A5">
            <w:pPr>
              <w:jc w:val="center"/>
              <w:rPr>
                <w:b/>
                <w:bCs/>
                <w:i/>
                <w:sz w:val="22"/>
                <w:szCs w:val="22"/>
                <w:lang w:val="en-GB"/>
              </w:rPr>
            </w:pPr>
          </w:p>
        </w:tc>
        <w:tc>
          <w:tcPr>
            <w:tcW w:w="2231" w:type="pct"/>
          </w:tcPr>
          <w:p w14:paraId="71C98912"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P+2E</w:t>
            </w:r>
            <w:r>
              <w:rPr>
                <w:i/>
                <w:sz w:val="22"/>
                <w:szCs w:val="22"/>
                <w:lang w:val="en-GB"/>
              </w:rPr>
              <w:t xml:space="preserve"> s</w:t>
            </w:r>
            <w:r>
              <w:rPr>
                <w:i/>
                <w:sz w:val="22"/>
                <w:szCs w:val="22"/>
              </w:rPr>
              <w:t>i</w:t>
            </w:r>
            <w:r>
              <w:rPr>
                <w:i/>
                <w:sz w:val="22"/>
                <w:szCs w:val="22"/>
                <w:lang w:val="en-GB"/>
              </w:rPr>
              <w:t xml:space="preserve"> </w:t>
            </w:r>
            <w:r>
              <w:rPr>
                <w:i/>
                <w:sz w:val="22"/>
                <w:szCs w:val="22"/>
              </w:rPr>
              <w:t>≤ P+5E</w:t>
            </w:r>
          </w:p>
          <w:p w14:paraId="5B9C6874" w14:textId="77777777" w:rsidR="001C08A5" w:rsidRDefault="00000000">
            <w:pPr>
              <w:rPr>
                <w:i/>
                <w:sz w:val="22"/>
                <w:szCs w:val="22"/>
              </w:rPr>
            </w:pPr>
            <w:r>
              <w:rPr>
                <w:i/>
                <w:sz w:val="22"/>
                <w:szCs w:val="22"/>
              </w:rPr>
              <w:t>sau</w:t>
            </w:r>
          </w:p>
          <w:p w14:paraId="1A602028"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xml:space="preserve">cu până la 20 m înălţime totală (până la </w:t>
            </w:r>
            <w:r>
              <w:rPr>
                <w:i/>
                <w:sz w:val="22"/>
                <w:szCs w:val="22"/>
                <w:lang w:val="en-GB"/>
              </w:rPr>
              <w:t>coamă/atic</w:t>
            </w:r>
            <w:r>
              <w:rPr>
                <w:i/>
                <w:sz w:val="22"/>
                <w:szCs w:val="22"/>
              </w:rPr>
              <w:t xml:space="preserve">) </w:t>
            </w:r>
            <w:r>
              <w:rPr>
                <w:b/>
                <w:bCs/>
                <w:i/>
                <w:sz w:val="22"/>
                <w:szCs w:val="22"/>
                <w:vertAlign w:val="superscript"/>
                <w:lang w:val="en-GB"/>
              </w:rPr>
              <w:t xml:space="preserve">1) </w:t>
            </w:r>
            <w:r>
              <w:rPr>
                <w:i/>
                <w:sz w:val="22"/>
                <w:szCs w:val="22"/>
              </w:rPr>
              <w:t xml:space="preserve"> </w:t>
            </w:r>
          </w:p>
        </w:tc>
        <w:tc>
          <w:tcPr>
            <w:tcW w:w="572" w:type="pct"/>
            <w:vAlign w:val="center"/>
          </w:tcPr>
          <w:p w14:paraId="74BE553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7000</w:t>
            </w:r>
          </w:p>
        </w:tc>
        <w:tc>
          <w:tcPr>
            <w:tcW w:w="824" w:type="pct"/>
            <w:vAlign w:val="center"/>
          </w:tcPr>
          <w:p w14:paraId="44D882D6" w14:textId="77777777" w:rsidR="001C08A5" w:rsidRDefault="00000000">
            <w:pPr>
              <w:spacing w:before="100" w:beforeAutospacing="1" w:after="100" w:afterAutospacing="1"/>
              <w:jc w:val="center"/>
              <w:rPr>
                <w:b/>
                <w:bCs/>
                <w:i/>
                <w:sz w:val="22"/>
                <w:szCs w:val="22"/>
                <w:lang w:val="en-GB" w:eastAsia="en-GB"/>
              </w:rPr>
            </w:pPr>
            <w:r>
              <w:rPr>
                <w:b/>
                <w:bCs/>
                <w:i/>
                <w:sz w:val="22"/>
                <w:szCs w:val="22"/>
                <w:lang w:val="en-GB" w:eastAsia="en-GB"/>
              </w:rPr>
              <w:t>3</w:t>
            </w:r>
            <w:r>
              <w:rPr>
                <w:b/>
                <w:bCs/>
                <w:i/>
                <w:sz w:val="22"/>
                <w:szCs w:val="22"/>
                <w:lang w:eastAsia="en-GB"/>
              </w:rPr>
              <w:t>500</w:t>
            </w:r>
          </w:p>
        </w:tc>
      </w:tr>
      <w:tr w:rsidR="001C08A5" w14:paraId="40F95B75" w14:textId="77777777">
        <w:trPr>
          <w:trHeight w:val="954"/>
        </w:trPr>
        <w:tc>
          <w:tcPr>
            <w:tcW w:w="258" w:type="pct"/>
            <w:vMerge/>
            <w:textDirection w:val="btLr"/>
            <w:vAlign w:val="center"/>
          </w:tcPr>
          <w:p w14:paraId="0B70BE3B" w14:textId="77777777" w:rsidR="001C08A5" w:rsidRDefault="001C08A5">
            <w:pPr>
              <w:ind w:left="113" w:right="113"/>
              <w:jc w:val="center"/>
              <w:rPr>
                <w:b/>
                <w:bCs/>
                <w:i/>
                <w:sz w:val="22"/>
                <w:szCs w:val="22"/>
                <w:lang w:val="it-IT"/>
              </w:rPr>
            </w:pPr>
          </w:p>
        </w:tc>
        <w:tc>
          <w:tcPr>
            <w:tcW w:w="1113" w:type="pct"/>
            <w:vMerge/>
            <w:vAlign w:val="center"/>
          </w:tcPr>
          <w:p w14:paraId="7F3EA716" w14:textId="77777777" w:rsidR="001C08A5" w:rsidRDefault="001C08A5">
            <w:pPr>
              <w:jc w:val="center"/>
              <w:rPr>
                <w:b/>
                <w:bCs/>
                <w:i/>
                <w:sz w:val="22"/>
                <w:szCs w:val="22"/>
                <w:lang w:val="en-GB"/>
              </w:rPr>
            </w:pPr>
          </w:p>
        </w:tc>
        <w:tc>
          <w:tcPr>
            <w:tcW w:w="2231" w:type="pct"/>
          </w:tcPr>
          <w:p w14:paraId="219CE60A"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1B31C89B" w14:textId="77777777" w:rsidR="001C08A5" w:rsidRDefault="00000000">
            <w:pPr>
              <w:rPr>
                <w:i/>
                <w:sz w:val="22"/>
                <w:szCs w:val="22"/>
              </w:rPr>
            </w:pPr>
            <w:r>
              <w:rPr>
                <w:i/>
                <w:sz w:val="22"/>
                <w:szCs w:val="22"/>
              </w:rPr>
              <w:t>sau</w:t>
            </w:r>
          </w:p>
          <w:p w14:paraId="5FE993E9"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w:t>
            </w:r>
            <w:r>
              <w:rPr>
                <w:b/>
                <w:bCs/>
                <w:i/>
                <w:sz w:val="22"/>
                <w:szCs w:val="22"/>
                <w:vertAlign w:val="superscript"/>
              </w:rPr>
              <w:t xml:space="preserve"> </w:t>
            </w:r>
            <w:r>
              <w:rPr>
                <w:b/>
                <w:bCs/>
                <w:i/>
                <w:sz w:val="22"/>
                <w:szCs w:val="22"/>
                <w:vertAlign w:val="superscript"/>
                <w:lang w:val="en-GB"/>
              </w:rPr>
              <w:t xml:space="preserve">2) </w:t>
            </w:r>
          </w:p>
        </w:tc>
        <w:tc>
          <w:tcPr>
            <w:tcW w:w="572" w:type="pct"/>
            <w:vAlign w:val="center"/>
          </w:tcPr>
          <w:p w14:paraId="1EDC34ED" w14:textId="77777777" w:rsidR="001C08A5" w:rsidRDefault="00000000">
            <w:pPr>
              <w:spacing w:before="100" w:beforeAutospacing="1" w:after="100" w:afterAutospacing="1"/>
              <w:jc w:val="center"/>
              <w:rPr>
                <w:b/>
                <w:bCs/>
                <w:i/>
                <w:sz w:val="22"/>
                <w:szCs w:val="22"/>
                <w:lang w:val="en-GB" w:eastAsia="en-GB"/>
              </w:rPr>
            </w:pPr>
            <w:r>
              <w:rPr>
                <w:b/>
                <w:bCs/>
                <w:i/>
                <w:sz w:val="22"/>
                <w:szCs w:val="22"/>
                <w:lang w:val="en-GB" w:eastAsia="en-GB"/>
              </w:rPr>
              <w:t>3</w:t>
            </w:r>
            <w:r>
              <w:rPr>
                <w:b/>
                <w:bCs/>
                <w:i/>
                <w:sz w:val="22"/>
                <w:szCs w:val="22"/>
                <w:lang w:eastAsia="en-GB"/>
              </w:rPr>
              <w:t>500</w:t>
            </w:r>
          </w:p>
        </w:tc>
        <w:tc>
          <w:tcPr>
            <w:tcW w:w="824" w:type="pct"/>
            <w:vAlign w:val="center"/>
          </w:tcPr>
          <w:p w14:paraId="00E7356E" w14:textId="77777777" w:rsidR="001C08A5" w:rsidRDefault="00000000">
            <w:pPr>
              <w:spacing w:before="100" w:beforeAutospacing="1" w:after="100" w:afterAutospacing="1"/>
              <w:jc w:val="center"/>
              <w:rPr>
                <w:b/>
                <w:bCs/>
                <w:i/>
                <w:sz w:val="22"/>
                <w:szCs w:val="22"/>
                <w:lang w:val="en-GB" w:eastAsia="en-GB"/>
              </w:rPr>
            </w:pPr>
            <w:r>
              <w:rPr>
                <w:b/>
                <w:bCs/>
                <w:i/>
                <w:sz w:val="22"/>
                <w:szCs w:val="22"/>
                <w:lang w:val="en-GB" w:eastAsia="en-GB"/>
              </w:rPr>
              <w:t>25</w:t>
            </w:r>
            <w:r>
              <w:rPr>
                <w:b/>
                <w:bCs/>
                <w:i/>
                <w:sz w:val="22"/>
                <w:szCs w:val="22"/>
                <w:lang w:eastAsia="en-GB"/>
              </w:rPr>
              <w:t>00</w:t>
            </w:r>
          </w:p>
        </w:tc>
      </w:tr>
      <w:tr w:rsidR="001C08A5" w14:paraId="1F6EF949" w14:textId="77777777">
        <w:trPr>
          <w:trHeight w:val="215"/>
        </w:trPr>
        <w:tc>
          <w:tcPr>
            <w:tcW w:w="258" w:type="pct"/>
            <w:vMerge/>
            <w:textDirection w:val="btLr"/>
            <w:vAlign w:val="center"/>
          </w:tcPr>
          <w:p w14:paraId="39366E93" w14:textId="77777777" w:rsidR="001C08A5" w:rsidRDefault="001C08A5">
            <w:pPr>
              <w:ind w:left="113" w:right="113"/>
              <w:jc w:val="center"/>
              <w:rPr>
                <w:b/>
                <w:bCs/>
                <w:i/>
                <w:sz w:val="22"/>
                <w:szCs w:val="22"/>
                <w:lang w:val="it-IT"/>
              </w:rPr>
            </w:pPr>
          </w:p>
        </w:tc>
        <w:tc>
          <w:tcPr>
            <w:tcW w:w="1113" w:type="pct"/>
            <w:vMerge/>
            <w:vAlign w:val="center"/>
          </w:tcPr>
          <w:p w14:paraId="783CBEE3" w14:textId="77777777" w:rsidR="001C08A5" w:rsidRDefault="001C08A5">
            <w:pPr>
              <w:jc w:val="center"/>
              <w:rPr>
                <w:b/>
                <w:bCs/>
                <w:i/>
                <w:sz w:val="22"/>
                <w:szCs w:val="22"/>
                <w:lang w:val="en-GB"/>
              </w:rPr>
            </w:pPr>
          </w:p>
        </w:tc>
        <w:tc>
          <w:tcPr>
            <w:tcW w:w="2231" w:type="pct"/>
          </w:tcPr>
          <w:p w14:paraId="4D74013A"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765FE429"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57C0EDC8"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6430A445" w14:textId="77777777">
        <w:trPr>
          <w:trHeight w:val="172"/>
        </w:trPr>
        <w:tc>
          <w:tcPr>
            <w:tcW w:w="258" w:type="pct"/>
            <w:vMerge/>
            <w:textDirection w:val="btLr"/>
            <w:vAlign w:val="center"/>
          </w:tcPr>
          <w:p w14:paraId="7F5E2102" w14:textId="77777777" w:rsidR="001C08A5" w:rsidRDefault="001C08A5">
            <w:pPr>
              <w:ind w:left="113" w:right="113"/>
              <w:jc w:val="center"/>
              <w:rPr>
                <w:b/>
                <w:bCs/>
                <w:i/>
                <w:sz w:val="22"/>
                <w:szCs w:val="22"/>
                <w:lang w:val="it-IT"/>
              </w:rPr>
            </w:pPr>
          </w:p>
        </w:tc>
        <w:tc>
          <w:tcPr>
            <w:tcW w:w="1113" w:type="pct"/>
            <w:vMerge w:val="restart"/>
            <w:vAlign w:val="center"/>
          </w:tcPr>
          <w:p w14:paraId="59255278" w14:textId="77777777" w:rsidR="001C08A5" w:rsidRDefault="00000000">
            <w:pPr>
              <w:jc w:val="center"/>
              <w:rPr>
                <w:b/>
                <w:bCs/>
                <w:i/>
                <w:sz w:val="22"/>
                <w:szCs w:val="22"/>
              </w:rPr>
            </w:pPr>
            <w:r>
              <w:rPr>
                <w:b/>
                <w:bCs/>
                <w:i/>
                <w:sz w:val="22"/>
                <w:szCs w:val="22"/>
              </w:rPr>
              <w:t>Magazine Cash &amp; Carry, DIY, magazine specializate (mobilier, electrocasnice etc.), pieţe/bazare</w:t>
            </w:r>
          </w:p>
        </w:tc>
        <w:tc>
          <w:tcPr>
            <w:tcW w:w="2231" w:type="pct"/>
          </w:tcPr>
          <w:p w14:paraId="07D9B278"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p>
        </w:tc>
        <w:tc>
          <w:tcPr>
            <w:tcW w:w="572" w:type="pct"/>
            <w:vAlign w:val="center"/>
          </w:tcPr>
          <w:p w14:paraId="45A05626"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20000</w:t>
            </w:r>
          </w:p>
        </w:tc>
        <w:tc>
          <w:tcPr>
            <w:tcW w:w="824" w:type="pct"/>
            <w:vAlign w:val="center"/>
          </w:tcPr>
          <w:p w14:paraId="3315BE41"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15000</w:t>
            </w:r>
          </w:p>
        </w:tc>
      </w:tr>
      <w:tr w:rsidR="001C08A5" w14:paraId="7224F6A0" w14:textId="77777777">
        <w:trPr>
          <w:trHeight w:val="161"/>
        </w:trPr>
        <w:tc>
          <w:tcPr>
            <w:tcW w:w="258" w:type="pct"/>
            <w:vMerge/>
            <w:textDirection w:val="btLr"/>
            <w:vAlign w:val="center"/>
          </w:tcPr>
          <w:p w14:paraId="391AD10B" w14:textId="77777777" w:rsidR="001C08A5" w:rsidRDefault="001C08A5">
            <w:pPr>
              <w:ind w:left="113" w:right="113"/>
              <w:jc w:val="center"/>
              <w:rPr>
                <w:b/>
                <w:bCs/>
                <w:i/>
                <w:sz w:val="22"/>
                <w:szCs w:val="22"/>
                <w:lang w:val="it-IT"/>
              </w:rPr>
            </w:pPr>
          </w:p>
        </w:tc>
        <w:tc>
          <w:tcPr>
            <w:tcW w:w="1113" w:type="pct"/>
            <w:vMerge/>
            <w:vAlign w:val="center"/>
          </w:tcPr>
          <w:p w14:paraId="54D27500" w14:textId="77777777" w:rsidR="001C08A5" w:rsidRDefault="001C08A5">
            <w:pPr>
              <w:jc w:val="center"/>
              <w:rPr>
                <w:b/>
                <w:bCs/>
                <w:i/>
                <w:sz w:val="22"/>
                <w:szCs w:val="22"/>
                <w:lang w:val="en-GB"/>
              </w:rPr>
            </w:pPr>
          </w:p>
        </w:tc>
        <w:tc>
          <w:tcPr>
            <w:tcW w:w="2231" w:type="pct"/>
          </w:tcPr>
          <w:p w14:paraId="28DF7152" w14:textId="77777777" w:rsidR="001C08A5" w:rsidRDefault="00000000">
            <w:pPr>
              <w:rPr>
                <w:b/>
                <w:bCs/>
                <w:i/>
                <w:sz w:val="22"/>
                <w:szCs w:val="22"/>
                <w:vertAlign w:val="superscript"/>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P+1E</w:t>
            </w:r>
            <w:r>
              <w:rPr>
                <w:i/>
                <w:sz w:val="22"/>
                <w:szCs w:val="22"/>
                <w:lang w:val="en-GB"/>
              </w:rPr>
              <w:t xml:space="preserve"> </w:t>
            </w:r>
          </w:p>
        </w:tc>
        <w:tc>
          <w:tcPr>
            <w:tcW w:w="572" w:type="pct"/>
            <w:vAlign w:val="center"/>
          </w:tcPr>
          <w:p w14:paraId="1F0B14FB"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15000</w:t>
            </w:r>
          </w:p>
        </w:tc>
        <w:tc>
          <w:tcPr>
            <w:tcW w:w="824" w:type="pct"/>
            <w:vAlign w:val="center"/>
          </w:tcPr>
          <w:p w14:paraId="0730B1E3"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10000</w:t>
            </w:r>
          </w:p>
        </w:tc>
      </w:tr>
      <w:tr w:rsidR="001C08A5" w14:paraId="34CECDA6" w14:textId="77777777">
        <w:trPr>
          <w:trHeight w:val="172"/>
        </w:trPr>
        <w:tc>
          <w:tcPr>
            <w:tcW w:w="258" w:type="pct"/>
            <w:vMerge/>
            <w:textDirection w:val="btLr"/>
            <w:vAlign w:val="center"/>
          </w:tcPr>
          <w:p w14:paraId="0F165BED" w14:textId="77777777" w:rsidR="001C08A5" w:rsidRDefault="001C08A5">
            <w:pPr>
              <w:ind w:left="113" w:right="113"/>
              <w:jc w:val="center"/>
              <w:rPr>
                <w:b/>
                <w:bCs/>
                <w:i/>
                <w:sz w:val="22"/>
                <w:szCs w:val="22"/>
                <w:lang w:val="it-IT"/>
              </w:rPr>
            </w:pPr>
          </w:p>
        </w:tc>
        <w:tc>
          <w:tcPr>
            <w:tcW w:w="1113" w:type="pct"/>
            <w:vMerge/>
            <w:vAlign w:val="center"/>
          </w:tcPr>
          <w:p w14:paraId="67D15A0D" w14:textId="77777777" w:rsidR="001C08A5" w:rsidRDefault="001C08A5">
            <w:pPr>
              <w:jc w:val="center"/>
              <w:rPr>
                <w:b/>
                <w:bCs/>
                <w:i/>
                <w:sz w:val="22"/>
                <w:szCs w:val="22"/>
                <w:lang w:val="en-GB"/>
              </w:rPr>
            </w:pPr>
          </w:p>
        </w:tc>
        <w:tc>
          <w:tcPr>
            <w:tcW w:w="2231" w:type="pct"/>
          </w:tcPr>
          <w:p w14:paraId="6578A573" w14:textId="77777777" w:rsidR="001C08A5" w:rsidRDefault="00000000">
            <w:pPr>
              <w:rPr>
                <w:i/>
                <w:sz w:val="22"/>
                <w:szCs w:val="22"/>
                <w:lang w:val="it-IT"/>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r>
              <w:rPr>
                <w:i/>
                <w:sz w:val="22"/>
                <w:szCs w:val="22"/>
              </w:rPr>
              <w:t>2</w:t>
            </w:r>
            <w:r>
              <w:rPr>
                <w:i/>
                <w:sz w:val="22"/>
                <w:szCs w:val="22"/>
                <w:lang w:val="it-IT"/>
              </w:rPr>
              <w:t>E</w:t>
            </w:r>
          </w:p>
        </w:tc>
        <w:tc>
          <w:tcPr>
            <w:tcW w:w="572" w:type="pct"/>
            <w:vAlign w:val="center"/>
          </w:tcPr>
          <w:p w14:paraId="607008DD"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10000</w:t>
            </w:r>
          </w:p>
        </w:tc>
        <w:tc>
          <w:tcPr>
            <w:tcW w:w="824" w:type="pct"/>
            <w:vAlign w:val="center"/>
          </w:tcPr>
          <w:p w14:paraId="4510E931"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7000</w:t>
            </w:r>
          </w:p>
        </w:tc>
      </w:tr>
      <w:tr w:rsidR="001C08A5" w14:paraId="3F89A92A" w14:textId="77777777">
        <w:trPr>
          <w:trHeight w:val="964"/>
        </w:trPr>
        <w:tc>
          <w:tcPr>
            <w:tcW w:w="258" w:type="pct"/>
            <w:vMerge/>
            <w:textDirection w:val="btLr"/>
            <w:vAlign w:val="center"/>
          </w:tcPr>
          <w:p w14:paraId="7CB432C4" w14:textId="77777777" w:rsidR="001C08A5" w:rsidRDefault="001C08A5">
            <w:pPr>
              <w:ind w:left="113" w:right="113"/>
              <w:jc w:val="center"/>
              <w:rPr>
                <w:b/>
                <w:bCs/>
                <w:i/>
                <w:sz w:val="22"/>
                <w:szCs w:val="22"/>
                <w:lang w:val="it-IT"/>
              </w:rPr>
            </w:pPr>
          </w:p>
        </w:tc>
        <w:tc>
          <w:tcPr>
            <w:tcW w:w="1113" w:type="pct"/>
            <w:vMerge/>
            <w:vAlign w:val="center"/>
          </w:tcPr>
          <w:p w14:paraId="280C84C3" w14:textId="77777777" w:rsidR="001C08A5" w:rsidRDefault="001C08A5">
            <w:pPr>
              <w:jc w:val="center"/>
              <w:rPr>
                <w:b/>
                <w:bCs/>
                <w:i/>
                <w:sz w:val="22"/>
                <w:szCs w:val="22"/>
                <w:lang w:val="en-GB"/>
              </w:rPr>
            </w:pPr>
          </w:p>
        </w:tc>
        <w:tc>
          <w:tcPr>
            <w:tcW w:w="2231" w:type="pct"/>
          </w:tcPr>
          <w:p w14:paraId="034DF48D"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P+2E</w:t>
            </w:r>
            <w:r>
              <w:rPr>
                <w:i/>
                <w:sz w:val="22"/>
                <w:szCs w:val="22"/>
                <w:lang w:val="en-GB"/>
              </w:rPr>
              <w:t xml:space="preserve"> s</w:t>
            </w:r>
            <w:r>
              <w:rPr>
                <w:i/>
                <w:sz w:val="22"/>
                <w:szCs w:val="22"/>
              </w:rPr>
              <w:t>i</w:t>
            </w:r>
            <w:r>
              <w:rPr>
                <w:i/>
                <w:sz w:val="22"/>
                <w:szCs w:val="22"/>
                <w:lang w:val="en-GB"/>
              </w:rPr>
              <w:t xml:space="preserve"> </w:t>
            </w:r>
            <w:r>
              <w:rPr>
                <w:i/>
                <w:sz w:val="22"/>
                <w:szCs w:val="22"/>
              </w:rPr>
              <w:t>≤ P+5E</w:t>
            </w:r>
          </w:p>
          <w:p w14:paraId="60AB722E" w14:textId="77777777" w:rsidR="001C08A5" w:rsidRDefault="00000000">
            <w:pPr>
              <w:rPr>
                <w:i/>
                <w:sz w:val="22"/>
                <w:szCs w:val="22"/>
              </w:rPr>
            </w:pPr>
            <w:r>
              <w:rPr>
                <w:i/>
                <w:sz w:val="22"/>
                <w:szCs w:val="22"/>
              </w:rPr>
              <w:t>sau</w:t>
            </w:r>
          </w:p>
          <w:p w14:paraId="2C4827F4"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 xml:space="preserve">cu până la 20 m înălţime totală (până la </w:t>
            </w:r>
            <w:r>
              <w:rPr>
                <w:i/>
                <w:sz w:val="22"/>
                <w:szCs w:val="22"/>
                <w:lang w:val="en-GB"/>
              </w:rPr>
              <w:t>coamă/atic</w:t>
            </w:r>
            <w:r>
              <w:rPr>
                <w:i/>
                <w:sz w:val="22"/>
                <w:szCs w:val="22"/>
              </w:rPr>
              <w:t xml:space="preserve">) </w:t>
            </w:r>
            <w:r>
              <w:rPr>
                <w:b/>
                <w:bCs/>
                <w:i/>
                <w:sz w:val="22"/>
                <w:szCs w:val="22"/>
                <w:vertAlign w:val="superscript"/>
                <w:lang w:val="en-GB"/>
              </w:rPr>
              <w:t xml:space="preserve">1) </w:t>
            </w:r>
            <w:r>
              <w:rPr>
                <w:i/>
                <w:sz w:val="22"/>
                <w:szCs w:val="22"/>
              </w:rPr>
              <w:t xml:space="preserve"> </w:t>
            </w:r>
          </w:p>
        </w:tc>
        <w:tc>
          <w:tcPr>
            <w:tcW w:w="572" w:type="pct"/>
            <w:vAlign w:val="center"/>
          </w:tcPr>
          <w:p w14:paraId="673192E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7000</w:t>
            </w:r>
          </w:p>
        </w:tc>
        <w:tc>
          <w:tcPr>
            <w:tcW w:w="824" w:type="pct"/>
            <w:vAlign w:val="center"/>
          </w:tcPr>
          <w:p w14:paraId="73DEA5C0" w14:textId="77777777" w:rsidR="001C08A5" w:rsidRDefault="00000000">
            <w:pPr>
              <w:spacing w:before="100" w:beforeAutospacing="1" w:after="100" w:afterAutospacing="1"/>
              <w:jc w:val="center"/>
              <w:rPr>
                <w:b/>
                <w:bCs/>
                <w:i/>
                <w:sz w:val="22"/>
                <w:szCs w:val="22"/>
                <w:lang w:val="en-GB" w:eastAsia="en-GB"/>
              </w:rPr>
            </w:pPr>
            <w:r>
              <w:rPr>
                <w:b/>
                <w:bCs/>
                <w:i/>
                <w:sz w:val="22"/>
                <w:szCs w:val="22"/>
                <w:lang w:val="en-GB" w:eastAsia="en-GB"/>
              </w:rPr>
              <w:t>3</w:t>
            </w:r>
            <w:r>
              <w:rPr>
                <w:b/>
                <w:bCs/>
                <w:i/>
                <w:sz w:val="22"/>
                <w:szCs w:val="22"/>
                <w:lang w:eastAsia="en-GB"/>
              </w:rPr>
              <w:t>500</w:t>
            </w:r>
          </w:p>
        </w:tc>
      </w:tr>
      <w:tr w:rsidR="001C08A5" w14:paraId="05233601" w14:textId="77777777">
        <w:trPr>
          <w:trHeight w:val="943"/>
        </w:trPr>
        <w:tc>
          <w:tcPr>
            <w:tcW w:w="258" w:type="pct"/>
            <w:vMerge/>
            <w:textDirection w:val="btLr"/>
            <w:vAlign w:val="center"/>
          </w:tcPr>
          <w:p w14:paraId="1F2B9830" w14:textId="77777777" w:rsidR="001C08A5" w:rsidRDefault="001C08A5">
            <w:pPr>
              <w:ind w:left="113" w:right="113"/>
              <w:jc w:val="center"/>
              <w:rPr>
                <w:b/>
                <w:bCs/>
                <w:i/>
                <w:sz w:val="22"/>
                <w:szCs w:val="22"/>
                <w:lang w:val="it-IT"/>
              </w:rPr>
            </w:pPr>
          </w:p>
        </w:tc>
        <w:tc>
          <w:tcPr>
            <w:tcW w:w="1113" w:type="pct"/>
            <w:vMerge/>
            <w:vAlign w:val="center"/>
          </w:tcPr>
          <w:p w14:paraId="667A1A70" w14:textId="77777777" w:rsidR="001C08A5" w:rsidRDefault="001C08A5">
            <w:pPr>
              <w:jc w:val="center"/>
              <w:rPr>
                <w:b/>
                <w:bCs/>
                <w:i/>
                <w:sz w:val="22"/>
                <w:szCs w:val="22"/>
                <w:lang w:val="en-GB"/>
              </w:rPr>
            </w:pPr>
          </w:p>
        </w:tc>
        <w:tc>
          <w:tcPr>
            <w:tcW w:w="2231" w:type="pct"/>
          </w:tcPr>
          <w:p w14:paraId="755532F2"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60905C35" w14:textId="77777777" w:rsidR="001C08A5" w:rsidRDefault="00000000">
            <w:pPr>
              <w:rPr>
                <w:i/>
                <w:sz w:val="22"/>
                <w:szCs w:val="22"/>
              </w:rPr>
            </w:pPr>
            <w:r>
              <w:rPr>
                <w:i/>
                <w:sz w:val="22"/>
                <w:szCs w:val="22"/>
              </w:rPr>
              <w:t>sau</w:t>
            </w:r>
          </w:p>
          <w:p w14:paraId="1D2E457B"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 2)</w:t>
            </w:r>
          </w:p>
        </w:tc>
        <w:tc>
          <w:tcPr>
            <w:tcW w:w="572" w:type="pct"/>
            <w:vAlign w:val="center"/>
          </w:tcPr>
          <w:p w14:paraId="132C4C90" w14:textId="77777777" w:rsidR="001C08A5" w:rsidRDefault="00000000">
            <w:pPr>
              <w:spacing w:before="100" w:beforeAutospacing="1" w:after="100" w:afterAutospacing="1"/>
              <w:jc w:val="center"/>
              <w:rPr>
                <w:b/>
                <w:bCs/>
                <w:i/>
                <w:sz w:val="22"/>
                <w:szCs w:val="22"/>
                <w:lang w:val="en-GB" w:eastAsia="en-GB"/>
              </w:rPr>
            </w:pPr>
            <w:r>
              <w:rPr>
                <w:b/>
                <w:bCs/>
                <w:i/>
                <w:sz w:val="22"/>
                <w:szCs w:val="22"/>
                <w:lang w:val="en-GB" w:eastAsia="en-GB"/>
              </w:rPr>
              <w:t>3</w:t>
            </w:r>
            <w:r>
              <w:rPr>
                <w:b/>
                <w:bCs/>
                <w:i/>
                <w:sz w:val="22"/>
                <w:szCs w:val="22"/>
                <w:lang w:eastAsia="en-GB"/>
              </w:rPr>
              <w:t>500</w:t>
            </w:r>
          </w:p>
        </w:tc>
        <w:tc>
          <w:tcPr>
            <w:tcW w:w="824" w:type="pct"/>
            <w:vAlign w:val="center"/>
          </w:tcPr>
          <w:p w14:paraId="2581F1BA" w14:textId="77777777" w:rsidR="001C08A5" w:rsidRDefault="00000000">
            <w:pPr>
              <w:spacing w:before="100" w:beforeAutospacing="1" w:after="100" w:afterAutospacing="1"/>
              <w:jc w:val="center"/>
              <w:rPr>
                <w:b/>
                <w:bCs/>
                <w:i/>
                <w:sz w:val="22"/>
                <w:szCs w:val="22"/>
                <w:lang w:val="en-GB" w:eastAsia="en-GB"/>
              </w:rPr>
            </w:pPr>
            <w:r>
              <w:rPr>
                <w:b/>
                <w:bCs/>
                <w:i/>
                <w:sz w:val="22"/>
                <w:szCs w:val="22"/>
                <w:lang w:val="en-GB" w:eastAsia="en-GB"/>
              </w:rPr>
              <w:t>25</w:t>
            </w:r>
            <w:r>
              <w:rPr>
                <w:b/>
                <w:bCs/>
                <w:i/>
                <w:sz w:val="22"/>
                <w:szCs w:val="22"/>
                <w:lang w:eastAsia="en-GB"/>
              </w:rPr>
              <w:t>00</w:t>
            </w:r>
          </w:p>
        </w:tc>
      </w:tr>
      <w:tr w:rsidR="001C08A5" w14:paraId="4B46D6AC" w14:textId="77777777">
        <w:trPr>
          <w:trHeight w:val="193"/>
        </w:trPr>
        <w:tc>
          <w:tcPr>
            <w:tcW w:w="258" w:type="pct"/>
            <w:vMerge/>
            <w:textDirection w:val="btLr"/>
            <w:vAlign w:val="center"/>
          </w:tcPr>
          <w:p w14:paraId="32DB7824" w14:textId="77777777" w:rsidR="001C08A5" w:rsidRDefault="001C08A5">
            <w:pPr>
              <w:ind w:left="113" w:right="113"/>
              <w:jc w:val="center"/>
              <w:rPr>
                <w:b/>
                <w:bCs/>
                <w:i/>
                <w:sz w:val="22"/>
                <w:szCs w:val="22"/>
                <w:lang w:val="it-IT"/>
              </w:rPr>
            </w:pPr>
          </w:p>
        </w:tc>
        <w:tc>
          <w:tcPr>
            <w:tcW w:w="1113" w:type="pct"/>
            <w:vMerge/>
            <w:vAlign w:val="center"/>
          </w:tcPr>
          <w:p w14:paraId="289CC443" w14:textId="77777777" w:rsidR="001C08A5" w:rsidRDefault="001C08A5">
            <w:pPr>
              <w:jc w:val="center"/>
              <w:rPr>
                <w:b/>
                <w:bCs/>
                <w:i/>
                <w:sz w:val="22"/>
                <w:szCs w:val="22"/>
                <w:lang w:val="en-GB"/>
              </w:rPr>
            </w:pPr>
          </w:p>
        </w:tc>
        <w:tc>
          <w:tcPr>
            <w:tcW w:w="2231" w:type="pct"/>
          </w:tcPr>
          <w:p w14:paraId="2122073F"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317CCB9D"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1B9C03B4"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5C8EEFB1" w14:textId="77777777">
        <w:trPr>
          <w:trHeight w:val="90"/>
        </w:trPr>
        <w:tc>
          <w:tcPr>
            <w:tcW w:w="258" w:type="pct"/>
            <w:vMerge/>
            <w:textDirection w:val="btLr"/>
            <w:vAlign w:val="center"/>
          </w:tcPr>
          <w:p w14:paraId="77A66CDB" w14:textId="77777777" w:rsidR="001C08A5" w:rsidRDefault="001C08A5">
            <w:pPr>
              <w:ind w:left="113" w:right="113"/>
              <w:jc w:val="center"/>
              <w:rPr>
                <w:b/>
                <w:bCs/>
                <w:i/>
                <w:sz w:val="22"/>
                <w:szCs w:val="22"/>
                <w:lang w:val="it-IT"/>
              </w:rPr>
            </w:pPr>
          </w:p>
        </w:tc>
        <w:tc>
          <w:tcPr>
            <w:tcW w:w="1113" w:type="pct"/>
            <w:vMerge w:val="restart"/>
            <w:vAlign w:val="center"/>
          </w:tcPr>
          <w:p w14:paraId="46AB0EBC" w14:textId="77777777" w:rsidR="001C08A5" w:rsidRDefault="00000000">
            <w:pPr>
              <w:jc w:val="center"/>
              <w:rPr>
                <w:b/>
                <w:bCs/>
                <w:i/>
                <w:sz w:val="22"/>
                <w:szCs w:val="22"/>
                <w:lang w:val="en-GB"/>
              </w:rPr>
            </w:pPr>
            <w:r>
              <w:rPr>
                <w:b/>
                <w:bCs/>
                <w:i/>
                <w:sz w:val="22"/>
                <w:szCs w:val="22"/>
              </w:rPr>
              <w:t>Fitness, întretinere corporala, spa, cabinete veterinare), service auto și altele similare, spatii de joaca pentru copii</w:t>
            </w:r>
          </w:p>
        </w:tc>
        <w:tc>
          <w:tcPr>
            <w:tcW w:w="2231" w:type="pct"/>
          </w:tcPr>
          <w:p w14:paraId="2B6121D5" w14:textId="77777777" w:rsidR="001C08A5" w:rsidRDefault="00000000">
            <w:pPr>
              <w:rPr>
                <w:i/>
                <w:sz w:val="22"/>
                <w:szCs w:val="22"/>
                <w:lang w:val="it-IT"/>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p>
        </w:tc>
        <w:tc>
          <w:tcPr>
            <w:tcW w:w="572" w:type="pct"/>
            <w:vAlign w:val="center"/>
          </w:tcPr>
          <w:p w14:paraId="485BB28F" w14:textId="77777777" w:rsidR="001C08A5" w:rsidRDefault="00000000">
            <w:pPr>
              <w:jc w:val="center"/>
              <w:rPr>
                <w:b/>
                <w:bCs/>
                <w:i/>
                <w:sz w:val="22"/>
                <w:szCs w:val="22"/>
                <w:lang w:val="en-GB"/>
              </w:rPr>
            </w:pPr>
            <w:r>
              <w:rPr>
                <w:b/>
                <w:bCs/>
                <w:i/>
                <w:sz w:val="22"/>
                <w:szCs w:val="22"/>
              </w:rPr>
              <w:t>8000</w:t>
            </w:r>
          </w:p>
        </w:tc>
        <w:tc>
          <w:tcPr>
            <w:tcW w:w="824" w:type="pct"/>
            <w:vAlign w:val="center"/>
          </w:tcPr>
          <w:p w14:paraId="00DDEB0D" w14:textId="77777777" w:rsidR="001C08A5" w:rsidRDefault="00000000">
            <w:pPr>
              <w:jc w:val="center"/>
              <w:rPr>
                <w:b/>
                <w:bCs/>
                <w:i/>
                <w:sz w:val="22"/>
                <w:szCs w:val="22"/>
                <w:lang w:val="en-GB"/>
              </w:rPr>
            </w:pPr>
            <w:r>
              <w:rPr>
                <w:b/>
                <w:bCs/>
                <w:i/>
                <w:sz w:val="22"/>
                <w:szCs w:val="22"/>
              </w:rPr>
              <w:t>5000</w:t>
            </w:r>
          </w:p>
        </w:tc>
      </w:tr>
      <w:tr w:rsidR="001C08A5" w14:paraId="3EAC958E" w14:textId="77777777">
        <w:trPr>
          <w:trHeight w:val="183"/>
        </w:trPr>
        <w:tc>
          <w:tcPr>
            <w:tcW w:w="258" w:type="pct"/>
            <w:vMerge/>
            <w:textDirection w:val="btLr"/>
            <w:vAlign w:val="center"/>
          </w:tcPr>
          <w:p w14:paraId="728E4C50" w14:textId="77777777" w:rsidR="001C08A5" w:rsidRDefault="001C08A5">
            <w:pPr>
              <w:ind w:left="113" w:right="113"/>
              <w:jc w:val="center"/>
              <w:rPr>
                <w:b/>
                <w:bCs/>
                <w:i/>
                <w:sz w:val="22"/>
                <w:szCs w:val="22"/>
                <w:lang w:val="it-IT"/>
              </w:rPr>
            </w:pPr>
          </w:p>
        </w:tc>
        <w:tc>
          <w:tcPr>
            <w:tcW w:w="1113" w:type="pct"/>
            <w:vMerge/>
            <w:vAlign w:val="center"/>
          </w:tcPr>
          <w:p w14:paraId="58129DC2" w14:textId="77777777" w:rsidR="001C08A5" w:rsidRDefault="001C08A5">
            <w:pPr>
              <w:jc w:val="center"/>
              <w:rPr>
                <w:b/>
                <w:bCs/>
                <w:i/>
                <w:sz w:val="22"/>
                <w:szCs w:val="22"/>
                <w:lang w:val="en-GB"/>
              </w:rPr>
            </w:pPr>
          </w:p>
        </w:tc>
        <w:tc>
          <w:tcPr>
            <w:tcW w:w="2231" w:type="pct"/>
          </w:tcPr>
          <w:p w14:paraId="5D3B0FB0" w14:textId="77777777" w:rsidR="001C08A5" w:rsidRDefault="00000000">
            <w:pPr>
              <w:rPr>
                <w:b/>
                <w:bCs/>
                <w:i/>
                <w:sz w:val="22"/>
                <w:szCs w:val="22"/>
                <w:vertAlign w:val="superscript"/>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P+1E</w:t>
            </w:r>
            <w:r>
              <w:rPr>
                <w:i/>
                <w:sz w:val="22"/>
                <w:szCs w:val="22"/>
                <w:lang w:val="en-GB"/>
              </w:rPr>
              <w:t xml:space="preserve"> </w:t>
            </w:r>
          </w:p>
        </w:tc>
        <w:tc>
          <w:tcPr>
            <w:tcW w:w="572" w:type="pct"/>
            <w:vAlign w:val="center"/>
          </w:tcPr>
          <w:p w14:paraId="3DD5C893" w14:textId="77777777" w:rsidR="001C08A5" w:rsidRDefault="00000000">
            <w:pPr>
              <w:spacing w:before="100" w:beforeAutospacing="1" w:after="100" w:afterAutospacing="1"/>
              <w:jc w:val="center"/>
              <w:rPr>
                <w:b/>
                <w:bCs/>
                <w:i/>
                <w:sz w:val="22"/>
                <w:szCs w:val="22"/>
                <w:lang w:val="en-GB" w:eastAsia="en-GB"/>
              </w:rPr>
            </w:pPr>
            <w:r>
              <w:rPr>
                <w:b/>
                <w:bCs/>
                <w:i/>
                <w:sz w:val="22"/>
                <w:szCs w:val="22"/>
                <w:lang w:val="en-GB" w:eastAsia="en-GB"/>
              </w:rPr>
              <w:t>5</w:t>
            </w:r>
            <w:r>
              <w:rPr>
                <w:b/>
                <w:bCs/>
                <w:i/>
                <w:sz w:val="22"/>
                <w:szCs w:val="22"/>
                <w:lang w:eastAsia="en-GB"/>
              </w:rPr>
              <w:t>000</w:t>
            </w:r>
          </w:p>
        </w:tc>
        <w:tc>
          <w:tcPr>
            <w:tcW w:w="824" w:type="pct"/>
            <w:vAlign w:val="center"/>
          </w:tcPr>
          <w:p w14:paraId="4D7C8FFC"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r>
      <w:tr w:rsidR="001C08A5" w14:paraId="1A9CFCFB" w14:textId="77777777">
        <w:trPr>
          <w:trHeight w:val="193"/>
        </w:trPr>
        <w:tc>
          <w:tcPr>
            <w:tcW w:w="258" w:type="pct"/>
            <w:vMerge/>
            <w:textDirection w:val="btLr"/>
            <w:vAlign w:val="center"/>
          </w:tcPr>
          <w:p w14:paraId="7DF24EB6" w14:textId="77777777" w:rsidR="001C08A5" w:rsidRDefault="001C08A5">
            <w:pPr>
              <w:ind w:left="113" w:right="113"/>
              <w:jc w:val="center"/>
              <w:rPr>
                <w:b/>
                <w:bCs/>
                <w:i/>
                <w:sz w:val="22"/>
                <w:szCs w:val="22"/>
                <w:lang w:val="it-IT"/>
              </w:rPr>
            </w:pPr>
          </w:p>
        </w:tc>
        <w:tc>
          <w:tcPr>
            <w:tcW w:w="1113" w:type="pct"/>
            <w:vMerge/>
            <w:vAlign w:val="center"/>
          </w:tcPr>
          <w:p w14:paraId="53C28C0F" w14:textId="77777777" w:rsidR="001C08A5" w:rsidRDefault="001C08A5">
            <w:pPr>
              <w:jc w:val="center"/>
              <w:rPr>
                <w:b/>
                <w:bCs/>
                <w:i/>
                <w:sz w:val="22"/>
                <w:szCs w:val="22"/>
                <w:lang w:val="en-GB"/>
              </w:rPr>
            </w:pPr>
          </w:p>
        </w:tc>
        <w:tc>
          <w:tcPr>
            <w:tcW w:w="2231" w:type="pct"/>
          </w:tcPr>
          <w:p w14:paraId="698403AC" w14:textId="77777777" w:rsidR="001C08A5" w:rsidRDefault="00000000">
            <w:pPr>
              <w:rPr>
                <w:i/>
                <w:sz w:val="22"/>
                <w:szCs w:val="22"/>
                <w:lang w:val="it-IT"/>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r>
              <w:rPr>
                <w:i/>
                <w:sz w:val="22"/>
                <w:szCs w:val="22"/>
              </w:rPr>
              <w:t>2</w:t>
            </w:r>
            <w:r>
              <w:rPr>
                <w:i/>
                <w:sz w:val="22"/>
                <w:szCs w:val="22"/>
                <w:lang w:val="it-IT"/>
              </w:rPr>
              <w:t>E</w:t>
            </w:r>
          </w:p>
        </w:tc>
        <w:tc>
          <w:tcPr>
            <w:tcW w:w="572" w:type="pct"/>
            <w:vAlign w:val="center"/>
          </w:tcPr>
          <w:p w14:paraId="088DD0B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c>
          <w:tcPr>
            <w:tcW w:w="824" w:type="pct"/>
            <w:vAlign w:val="center"/>
          </w:tcPr>
          <w:p w14:paraId="438D30FC"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r>
      <w:tr w:rsidR="001C08A5" w14:paraId="7B0E2208" w14:textId="77777777">
        <w:trPr>
          <w:trHeight w:val="954"/>
        </w:trPr>
        <w:tc>
          <w:tcPr>
            <w:tcW w:w="258" w:type="pct"/>
            <w:vMerge/>
            <w:textDirection w:val="btLr"/>
            <w:vAlign w:val="center"/>
          </w:tcPr>
          <w:p w14:paraId="13A1DCF6" w14:textId="77777777" w:rsidR="001C08A5" w:rsidRDefault="001C08A5">
            <w:pPr>
              <w:ind w:left="113" w:right="113"/>
              <w:jc w:val="center"/>
              <w:rPr>
                <w:b/>
                <w:bCs/>
                <w:i/>
                <w:sz w:val="22"/>
                <w:szCs w:val="22"/>
                <w:lang w:val="it-IT"/>
              </w:rPr>
            </w:pPr>
          </w:p>
        </w:tc>
        <w:tc>
          <w:tcPr>
            <w:tcW w:w="1113" w:type="pct"/>
            <w:vMerge/>
            <w:vAlign w:val="center"/>
          </w:tcPr>
          <w:p w14:paraId="43A6908D" w14:textId="77777777" w:rsidR="001C08A5" w:rsidRDefault="001C08A5">
            <w:pPr>
              <w:jc w:val="center"/>
              <w:rPr>
                <w:b/>
                <w:bCs/>
                <w:i/>
                <w:sz w:val="22"/>
                <w:szCs w:val="22"/>
                <w:lang w:val="en-GB"/>
              </w:rPr>
            </w:pPr>
          </w:p>
        </w:tc>
        <w:tc>
          <w:tcPr>
            <w:tcW w:w="2231" w:type="pct"/>
          </w:tcPr>
          <w:p w14:paraId="68043A20"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P+2E</w:t>
            </w:r>
            <w:r>
              <w:rPr>
                <w:i/>
                <w:sz w:val="22"/>
                <w:szCs w:val="22"/>
                <w:lang w:val="en-GB"/>
              </w:rPr>
              <w:t xml:space="preserve"> s</w:t>
            </w:r>
            <w:r>
              <w:rPr>
                <w:i/>
                <w:sz w:val="22"/>
                <w:szCs w:val="22"/>
              </w:rPr>
              <w:t>i</w:t>
            </w:r>
            <w:r>
              <w:rPr>
                <w:i/>
                <w:sz w:val="22"/>
                <w:szCs w:val="22"/>
                <w:lang w:val="en-GB"/>
              </w:rPr>
              <w:t xml:space="preserve"> </w:t>
            </w:r>
            <w:r>
              <w:rPr>
                <w:i/>
                <w:sz w:val="22"/>
                <w:szCs w:val="22"/>
              </w:rPr>
              <w:t>≤ P+5E</w:t>
            </w:r>
          </w:p>
          <w:p w14:paraId="0536D3B7" w14:textId="77777777" w:rsidR="001C08A5" w:rsidRDefault="00000000">
            <w:pPr>
              <w:rPr>
                <w:i/>
                <w:sz w:val="22"/>
                <w:szCs w:val="22"/>
              </w:rPr>
            </w:pPr>
            <w:r>
              <w:rPr>
                <w:i/>
                <w:sz w:val="22"/>
                <w:szCs w:val="22"/>
              </w:rPr>
              <w:t>sau</w:t>
            </w:r>
          </w:p>
          <w:p w14:paraId="2364D126"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 xml:space="preserve">cu până la 20 m înălţime totală (până la </w:t>
            </w:r>
            <w:r>
              <w:rPr>
                <w:i/>
                <w:sz w:val="22"/>
                <w:szCs w:val="22"/>
                <w:lang w:val="en-GB"/>
              </w:rPr>
              <w:t>coamă/atic</w:t>
            </w:r>
            <w:r>
              <w:rPr>
                <w:i/>
                <w:sz w:val="22"/>
                <w:szCs w:val="22"/>
              </w:rPr>
              <w:t xml:space="preserve">) </w:t>
            </w:r>
            <w:r>
              <w:rPr>
                <w:b/>
                <w:bCs/>
                <w:i/>
                <w:sz w:val="22"/>
                <w:szCs w:val="22"/>
                <w:vertAlign w:val="superscript"/>
                <w:lang w:val="en-GB"/>
              </w:rPr>
              <w:t xml:space="preserve">1) </w:t>
            </w:r>
          </w:p>
        </w:tc>
        <w:tc>
          <w:tcPr>
            <w:tcW w:w="572" w:type="pct"/>
            <w:vAlign w:val="center"/>
          </w:tcPr>
          <w:p w14:paraId="6DB86516"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c>
          <w:tcPr>
            <w:tcW w:w="824" w:type="pct"/>
            <w:vAlign w:val="center"/>
          </w:tcPr>
          <w:p w14:paraId="560AE55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r>
      <w:tr w:rsidR="001C08A5" w14:paraId="67C5A1C5" w14:textId="77777777">
        <w:trPr>
          <w:trHeight w:val="312"/>
        </w:trPr>
        <w:tc>
          <w:tcPr>
            <w:tcW w:w="258" w:type="pct"/>
            <w:vMerge/>
            <w:textDirection w:val="btLr"/>
            <w:vAlign w:val="center"/>
          </w:tcPr>
          <w:p w14:paraId="683C99C5" w14:textId="77777777" w:rsidR="001C08A5" w:rsidRDefault="001C08A5">
            <w:pPr>
              <w:ind w:left="113" w:right="113"/>
              <w:jc w:val="center"/>
              <w:rPr>
                <w:b/>
                <w:bCs/>
                <w:i/>
                <w:sz w:val="22"/>
                <w:szCs w:val="22"/>
                <w:lang w:val="en-GB"/>
              </w:rPr>
            </w:pPr>
          </w:p>
        </w:tc>
        <w:tc>
          <w:tcPr>
            <w:tcW w:w="1113" w:type="pct"/>
            <w:vMerge/>
            <w:vAlign w:val="center"/>
          </w:tcPr>
          <w:p w14:paraId="77E406FC" w14:textId="77777777" w:rsidR="001C08A5" w:rsidRDefault="001C08A5">
            <w:pPr>
              <w:jc w:val="center"/>
              <w:rPr>
                <w:b/>
                <w:bCs/>
                <w:i/>
                <w:sz w:val="22"/>
                <w:szCs w:val="22"/>
                <w:lang w:val="en-GB"/>
              </w:rPr>
            </w:pPr>
          </w:p>
        </w:tc>
        <w:tc>
          <w:tcPr>
            <w:tcW w:w="2231" w:type="pct"/>
          </w:tcPr>
          <w:p w14:paraId="01ECEB62"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790ECF90" w14:textId="77777777" w:rsidR="001C08A5" w:rsidRDefault="00000000">
            <w:pPr>
              <w:rPr>
                <w:i/>
                <w:sz w:val="22"/>
                <w:szCs w:val="22"/>
              </w:rPr>
            </w:pPr>
            <w:r>
              <w:rPr>
                <w:i/>
                <w:sz w:val="22"/>
                <w:szCs w:val="22"/>
              </w:rPr>
              <w:t>sau</w:t>
            </w:r>
          </w:p>
          <w:p w14:paraId="483DB3A9" w14:textId="77777777" w:rsidR="001C08A5" w:rsidRDefault="00000000">
            <w:pPr>
              <w:rPr>
                <w:b/>
                <w:bCs/>
                <w:i/>
                <w:sz w:val="22"/>
                <w:szCs w:val="22"/>
                <w:vertAlign w:val="superscript"/>
                <w:lang w:val="en-GB"/>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 2)</w:t>
            </w:r>
          </w:p>
        </w:tc>
        <w:tc>
          <w:tcPr>
            <w:tcW w:w="572" w:type="pct"/>
            <w:vAlign w:val="center"/>
          </w:tcPr>
          <w:p w14:paraId="02223DF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c>
          <w:tcPr>
            <w:tcW w:w="824" w:type="pct"/>
            <w:vAlign w:val="center"/>
          </w:tcPr>
          <w:p w14:paraId="76B062A7"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r>
      <w:tr w:rsidR="001C08A5" w14:paraId="404B2C27" w14:textId="77777777">
        <w:trPr>
          <w:trHeight w:val="204"/>
        </w:trPr>
        <w:tc>
          <w:tcPr>
            <w:tcW w:w="258" w:type="pct"/>
            <w:vMerge/>
            <w:textDirection w:val="btLr"/>
            <w:vAlign w:val="center"/>
          </w:tcPr>
          <w:p w14:paraId="23DBF223" w14:textId="77777777" w:rsidR="001C08A5" w:rsidRDefault="001C08A5">
            <w:pPr>
              <w:ind w:left="113" w:right="113"/>
              <w:jc w:val="center"/>
              <w:rPr>
                <w:b/>
                <w:bCs/>
                <w:i/>
                <w:sz w:val="22"/>
                <w:szCs w:val="22"/>
                <w:lang w:val="it-IT"/>
              </w:rPr>
            </w:pPr>
          </w:p>
        </w:tc>
        <w:tc>
          <w:tcPr>
            <w:tcW w:w="1113" w:type="pct"/>
            <w:vMerge/>
            <w:vAlign w:val="center"/>
          </w:tcPr>
          <w:p w14:paraId="47E4EDF3" w14:textId="77777777" w:rsidR="001C08A5" w:rsidRDefault="001C08A5">
            <w:pPr>
              <w:jc w:val="center"/>
              <w:rPr>
                <w:b/>
                <w:bCs/>
                <w:i/>
                <w:sz w:val="22"/>
                <w:szCs w:val="22"/>
                <w:lang w:val="en-GB"/>
              </w:rPr>
            </w:pPr>
          </w:p>
        </w:tc>
        <w:tc>
          <w:tcPr>
            <w:tcW w:w="2231" w:type="pct"/>
          </w:tcPr>
          <w:p w14:paraId="348956D3"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13D4A470"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5FB5109C"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6D94F409" w14:textId="77777777">
        <w:trPr>
          <w:trHeight w:val="472"/>
        </w:trPr>
        <w:tc>
          <w:tcPr>
            <w:tcW w:w="258" w:type="pct"/>
            <w:vMerge/>
            <w:textDirection w:val="btLr"/>
            <w:vAlign w:val="center"/>
          </w:tcPr>
          <w:p w14:paraId="1EE9BB32" w14:textId="77777777" w:rsidR="001C08A5" w:rsidRDefault="001C08A5">
            <w:pPr>
              <w:ind w:left="113" w:right="113"/>
              <w:jc w:val="center"/>
              <w:rPr>
                <w:b/>
                <w:bCs/>
                <w:i/>
                <w:sz w:val="22"/>
                <w:szCs w:val="22"/>
                <w:lang w:val="it-IT"/>
              </w:rPr>
            </w:pPr>
          </w:p>
        </w:tc>
        <w:tc>
          <w:tcPr>
            <w:tcW w:w="1113" w:type="pct"/>
            <w:vMerge w:val="restart"/>
            <w:vAlign w:val="center"/>
          </w:tcPr>
          <w:p w14:paraId="07BF3DA4" w14:textId="77777777" w:rsidR="001C08A5" w:rsidRDefault="00000000">
            <w:pPr>
              <w:jc w:val="center"/>
              <w:rPr>
                <w:b/>
                <w:bCs/>
                <w:i/>
                <w:sz w:val="22"/>
                <w:szCs w:val="22"/>
              </w:rPr>
            </w:pPr>
            <w:r>
              <w:rPr>
                <w:b/>
                <w:bCs/>
                <w:i/>
                <w:sz w:val="22"/>
                <w:szCs w:val="22"/>
              </w:rPr>
              <w:t>Alimentație publică</w:t>
            </w:r>
          </w:p>
          <w:p w14:paraId="4EAC7333" w14:textId="77777777" w:rsidR="001C08A5" w:rsidRDefault="001C08A5">
            <w:pPr>
              <w:jc w:val="center"/>
              <w:rPr>
                <w:b/>
                <w:bCs/>
                <w:i/>
                <w:sz w:val="22"/>
                <w:szCs w:val="22"/>
                <w:lang w:val="en-GB"/>
              </w:rPr>
            </w:pPr>
          </w:p>
        </w:tc>
        <w:tc>
          <w:tcPr>
            <w:tcW w:w="2231" w:type="pct"/>
          </w:tcPr>
          <w:p w14:paraId="48CC5553"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p>
          <w:p w14:paraId="61F23D46" w14:textId="77777777" w:rsidR="001C08A5" w:rsidRDefault="00000000">
            <w:pPr>
              <w:rPr>
                <w:b/>
                <w:bCs/>
                <w:i/>
                <w:sz w:val="22"/>
                <w:szCs w:val="22"/>
                <w:vertAlign w:val="superscript"/>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P+1E</w:t>
            </w:r>
            <w:r>
              <w:rPr>
                <w:i/>
                <w:sz w:val="22"/>
                <w:szCs w:val="22"/>
                <w:lang w:val="en-GB"/>
              </w:rPr>
              <w:t xml:space="preserve"> </w:t>
            </w:r>
          </w:p>
        </w:tc>
        <w:tc>
          <w:tcPr>
            <w:tcW w:w="572" w:type="pct"/>
            <w:vAlign w:val="center"/>
          </w:tcPr>
          <w:p w14:paraId="25258464" w14:textId="77777777" w:rsidR="001C08A5" w:rsidRDefault="00000000">
            <w:pPr>
              <w:spacing w:before="100" w:beforeAutospacing="1" w:after="100" w:afterAutospacing="1"/>
              <w:jc w:val="center"/>
              <w:rPr>
                <w:b/>
                <w:bCs/>
                <w:i/>
                <w:sz w:val="22"/>
                <w:szCs w:val="22"/>
                <w:lang w:val="en-GB" w:eastAsia="en-GB"/>
              </w:rPr>
            </w:pPr>
            <w:r>
              <w:rPr>
                <w:b/>
                <w:bCs/>
                <w:i/>
                <w:sz w:val="22"/>
                <w:szCs w:val="22"/>
                <w:lang w:val="en-GB" w:eastAsia="en-GB"/>
              </w:rPr>
              <w:t>35</w:t>
            </w:r>
            <w:r>
              <w:rPr>
                <w:b/>
                <w:bCs/>
                <w:i/>
                <w:sz w:val="22"/>
                <w:szCs w:val="22"/>
                <w:lang w:eastAsia="en-GB"/>
              </w:rPr>
              <w:t>00</w:t>
            </w:r>
          </w:p>
        </w:tc>
        <w:tc>
          <w:tcPr>
            <w:tcW w:w="824" w:type="pct"/>
            <w:vAlign w:val="center"/>
          </w:tcPr>
          <w:p w14:paraId="2B54C1A0"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3250</w:t>
            </w:r>
          </w:p>
        </w:tc>
      </w:tr>
      <w:tr w:rsidR="001C08A5" w14:paraId="246DDE12" w14:textId="77777777">
        <w:trPr>
          <w:trHeight w:val="226"/>
        </w:trPr>
        <w:tc>
          <w:tcPr>
            <w:tcW w:w="258" w:type="pct"/>
            <w:vMerge/>
            <w:textDirection w:val="btLr"/>
            <w:vAlign w:val="center"/>
          </w:tcPr>
          <w:p w14:paraId="0662E01B" w14:textId="77777777" w:rsidR="001C08A5" w:rsidRDefault="001C08A5">
            <w:pPr>
              <w:ind w:left="113" w:right="113"/>
              <w:jc w:val="center"/>
              <w:rPr>
                <w:b/>
                <w:bCs/>
                <w:i/>
                <w:sz w:val="22"/>
                <w:szCs w:val="22"/>
                <w:lang w:val="it-IT"/>
              </w:rPr>
            </w:pPr>
          </w:p>
        </w:tc>
        <w:tc>
          <w:tcPr>
            <w:tcW w:w="1113" w:type="pct"/>
            <w:vMerge/>
            <w:vAlign w:val="center"/>
          </w:tcPr>
          <w:p w14:paraId="1A3C0F67" w14:textId="77777777" w:rsidR="001C08A5" w:rsidRDefault="001C08A5">
            <w:pPr>
              <w:jc w:val="center"/>
              <w:rPr>
                <w:b/>
                <w:bCs/>
                <w:i/>
                <w:sz w:val="22"/>
                <w:szCs w:val="22"/>
                <w:lang w:val="en-GB"/>
              </w:rPr>
            </w:pPr>
          </w:p>
        </w:tc>
        <w:tc>
          <w:tcPr>
            <w:tcW w:w="2231" w:type="pct"/>
          </w:tcPr>
          <w:p w14:paraId="0D27A09D"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r>
              <w:rPr>
                <w:i/>
                <w:sz w:val="22"/>
                <w:szCs w:val="22"/>
              </w:rPr>
              <w:t>2</w:t>
            </w:r>
            <w:r>
              <w:rPr>
                <w:i/>
                <w:sz w:val="22"/>
                <w:szCs w:val="22"/>
                <w:lang w:val="it-IT"/>
              </w:rPr>
              <w:t>E</w:t>
            </w:r>
          </w:p>
        </w:tc>
        <w:tc>
          <w:tcPr>
            <w:tcW w:w="572" w:type="pct"/>
            <w:vAlign w:val="center"/>
          </w:tcPr>
          <w:p w14:paraId="4449515F"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3250</w:t>
            </w:r>
          </w:p>
        </w:tc>
        <w:tc>
          <w:tcPr>
            <w:tcW w:w="824" w:type="pct"/>
            <w:vAlign w:val="center"/>
          </w:tcPr>
          <w:p w14:paraId="4BC3750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r>
      <w:tr w:rsidR="001C08A5" w14:paraId="33F358D2" w14:textId="77777777">
        <w:trPr>
          <w:trHeight w:val="889"/>
        </w:trPr>
        <w:tc>
          <w:tcPr>
            <w:tcW w:w="258" w:type="pct"/>
            <w:vMerge/>
            <w:textDirection w:val="btLr"/>
            <w:vAlign w:val="center"/>
          </w:tcPr>
          <w:p w14:paraId="25ED1F6C" w14:textId="77777777" w:rsidR="001C08A5" w:rsidRDefault="001C08A5">
            <w:pPr>
              <w:ind w:left="113" w:right="113"/>
              <w:jc w:val="center"/>
              <w:rPr>
                <w:b/>
                <w:bCs/>
                <w:i/>
                <w:sz w:val="22"/>
                <w:szCs w:val="22"/>
                <w:lang w:val="it-IT"/>
              </w:rPr>
            </w:pPr>
          </w:p>
        </w:tc>
        <w:tc>
          <w:tcPr>
            <w:tcW w:w="1113" w:type="pct"/>
            <w:vMerge/>
            <w:vAlign w:val="center"/>
          </w:tcPr>
          <w:p w14:paraId="14DB45A2" w14:textId="77777777" w:rsidR="001C08A5" w:rsidRDefault="001C08A5">
            <w:pPr>
              <w:jc w:val="center"/>
              <w:rPr>
                <w:b/>
                <w:bCs/>
                <w:i/>
                <w:sz w:val="22"/>
                <w:szCs w:val="22"/>
                <w:lang w:val="en-GB"/>
              </w:rPr>
            </w:pPr>
          </w:p>
        </w:tc>
        <w:tc>
          <w:tcPr>
            <w:tcW w:w="2231" w:type="pct"/>
          </w:tcPr>
          <w:p w14:paraId="3B0B11B2"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P+2E</w:t>
            </w:r>
            <w:r>
              <w:rPr>
                <w:i/>
                <w:sz w:val="22"/>
                <w:szCs w:val="22"/>
                <w:lang w:val="en-GB"/>
              </w:rPr>
              <w:t xml:space="preserve"> s</w:t>
            </w:r>
            <w:r>
              <w:rPr>
                <w:i/>
                <w:sz w:val="22"/>
                <w:szCs w:val="22"/>
              </w:rPr>
              <w:t>i</w:t>
            </w:r>
            <w:r>
              <w:rPr>
                <w:i/>
                <w:sz w:val="22"/>
                <w:szCs w:val="22"/>
                <w:lang w:val="en-GB"/>
              </w:rPr>
              <w:t xml:space="preserve"> </w:t>
            </w:r>
            <w:r>
              <w:rPr>
                <w:i/>
                <w:sz w:val="22"/>
                <w:szCs w:val="22"/>
              </w:rPr>
              <w:t>≤ P+5E</w:t>
            </w:r>
          </w:p>
          <w:p w14:paraId="32B2BC32" w14:textId="77777777" w:rsidR="001C08A5" w:rsidRDefault="00000000">
            <w:pPr>
              <w:rPr>
                <w:i/>
                <w:sz w:val="22"/>
                <w:szCs w:val="22"/>
              </w:rPr>
            </w:pPr>
            <w:r>
              <w:rPr>
                <w:i/>
                <w:sz w:val="22"/>
                <w:szCs w:val="22"/>
              </w:rPr>
              <w:t>sau</w:t>
            </w:r>
          </w:p>
          <w:p w14:paraId="0DEA9E89"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xml:space="preserve">cu până la 20 m înălţime totală (până la </w:t>
            </w:r>
            <w:r>
              <w:rPr>
                <w:i/>
                <w:sz w:val="22"/>
                <w:szCs w:val="22"/>
                <w:lang w:val="en-GB"/>
              </w:rPr>
              <w:t>coamă/atic</w:t>
            </w:r>
            <w:r>
              <w:rPr>
                <w:i/>
                <w:sz w:val="22"/>
                <w:szCs w:val="22"/>
              </w:rPr>
              <w:t xml:space="preserve">) </w:t>
            </w:r>
            <w:r>
              <w:rPr>
                <w:b/>
                <w:bCs/>
                <w:i/>
                <w:sz w:val="22"/>
                <w:szCs w:val="22"/>
                <w:vertAlign w:val="superscript"/>
                <w:lang w:val="en-GB"/>
              </w:rPr>
              <w:t xml:space="preserve">1) </w:t>
            </w:r>
            <w:r>
              <w:rPr>
                <w:i/>
                <w:sz w:val="22"/>
                <w:szCs w:val="22"/>
              </w:rPr>
              <w:t xml:space="preserve"> </w:t>
            </w:r>
          </w:p>
        </w:tc>
        <w:tc>
          <w:tcPr>
            <w:tcW w:w="572" w:type="pct"/>
            <w:vAlign w:val="center"/>
          </w:tcPr>
          <w:p w14:paraId="7CD0B579"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3000</w:t>
            </w:r>
          </w:p>
        </w:tc>
        <w:tc>
          <w:tcPr>
            <w:tcW w:w="824" w:type="pct"/>
            <w:vAlign w:val="center"/>
          </w:tcPr>
          <w:p w14:paraId="6DCEDCA3"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2750</w:t>
            </w:r>
          </w:p>
        </w:tc>
      </w:tr>
      <w:tr w:rsidR="001C08A5" w14:paraId="3F54C3B1" w14:textId="77777777">
        <w:trPr>
          <w:trHeight w:val="964"/>
        </w:trPr>
        <w:tc>
          <w:tcPr>
            <w:tcW w:w="258" w:type="pct"/>
            <w:vMerge/>
            <w:textDirection w:val="btLr"/>
            <w:vAlign w:val="center"/>
          </w:tcPr>
          <w:p w14:paraId="19A330A8" w14:textId="77777777" w:rsidR="001C08A5" w:rsidRDefault="001C08A5">
            <w:pPr>
              <w:ind w:left="113" w:right="113"/>
              <w:jc w:val="center"/>
              <w:rPr>
                <w:b/>
                <w:bCs/>
                <w:i/>
                <w:sz w:val="22"/>
                <w:szCs w:val="22"/>
                <w:lang w:val="it-IT"/>
              </w:rPr>
            </w:pPr>
          </w:p>
        </w:tc>
        <w:tc>
          <w:tcPr>
            <w:tcW w:w="1113" w:type="pct"/>
            <w:vMerge/>
            <w:vAlign w:val="center"/>
          </w:tcPr>
          <w:p w14:paraId="248E51A2" w14:textId="77777777" w:rsidR="001C08A5" w:rsidRDefault="001C08A5">
            <w:pPr>
              <w:jc w:val="center"/>
              <w:rPr>
                <w:b/>
                <w:bCs/>
                <w:i/>
                <w:sz w:val="22"/>
                <w:szCs w:val="22"/>
                <w:lang w:val="en-GB"/>
              </w:rPr>
            </w:pPr>
          </w:p>
        </w:tc>
        <w:tc>
          <w:tcPr>
            <w:tcW w:w="2231" w:type="pct"/>
          </w:tcPr>
          <w:p w14:paraId="02DE7AF6"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2C1FF14E" w14:textId="77777777" w:rsidR="001C08A5" w:rsidRDefault="00000000">
            <w:pPr>
              <w:rPr>
                <w:i/>
                <w:sz w:val="22"/>
                <w:szCs w:val="22"/>
              </w:rPr>
            </w:pPr>
            <w:r>
              <w:rPr>
                <w:i/>
                <w:sz w:val="22"/>
                <w:szCs w:val="22"/>
              </w:rPr>
              <w:t>sau</w:t>
            </w:r>
          </w:p>
          <w:p w14:paraId="6079112E"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 xml:space="preserve">) 2) </w:t>
            </w:r>
          </w:p>
        </w:tc>
        <w:tc>
          <w:tcPr>
            <w:tcW w:w="572" w:type="pct"/>
            <w:vAlign w:val="center"/>
          </w:tcPr>
          <w:p w14:paraId="1F950C5F"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2750</w:t>
            </w:r>
          </w:p>
        </w:tc>
        <w:tc>
          <w:tcPr>
            <w:tcW w:w="824" w:type="pct"/>
            <w:vAlign w:val="center"/>
          </w:tcPr>
          <w:p w14:paraId="34085940"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r>
      <w:tr w:rsidR="001C08A5" w14:paraId="17680B8D" w14:textId="77777777">
        <w:trPr>
          <w:trHeight w:val="150"/>
        </w:trPr>
        <w:tc>
          <w:tcPr>
            <w:tcW w:w="258" w:type="pct"/>
            <w:vMerge/>
            <w:textDirection w:val="btLr"/>
            <w:vAlign w:val="center"/>
          </w:tcPr>
          <w:p w14:paraId="31E4362B" w14:textId="77777777" w:rsidR="001C08A5" w:rsidRDefault="001C08A5">
            <w:pPr>
              <w:ind w:left="113" w:right="113"/>
              <w:jc w:val="center"/>
              <w:rPr>
                <w:b/>
                <w:bCs/>
                <w:i/>
                <w:sz w:val="22"/>
                <w:szCs w:val="22"/>
                <w:lang w:val="it-IT"/>
              </w:rPr>
            </w:pPr>
          </w:p>
        </w:tc>
        <w:tc>
          <w:tcPr>
            <w:tcW w:w="1113" w:type="pct"/>
            <w:vMerge/>
            <w:vAlign w:val="center"/>
          </w:tcPr>
          <w:p w14:paraId="1AFED36F" w14:textId="77777777" w:rsidR="001C08A5" w:rsidRDefault="001C08A5">
            <w:pPr>
              <w:jc w:val="center"/>
              <w:rPr>
                <w:b/>
                <w:bCs/>
                <w:i/>
                <w:sz w:val="22"/>
                <w:szCs w:val="22"/>
                <w:lang w:val="en-GB"/>
              </w:rPr>
            </w:pPr>
          </w:p>
        </w:tc>
        <w:tc>
          <w:tcPr>
            <w:tcW w:w="2231" w:type="pct"/>
          </w:tcPr>
          <w:p w14:paraId="3D020B90"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12825CAC"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2E29DF4B"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59E3D66E" w14:textId="77777777">
        <w:trPr>
          <w:trHeight w:val="90"/>
        </w:trPr>
        <w:tc>
          <w:tcPr>
            <w:tcW w:w="258" w:type="pct"/>
            <w:vMerge w:val="restart"/>
            <w:textDirection w:val="btLr"/>
            <w:vAlign w:val="center"/>
          </w:tcPr>
          <w:p w14:paraId="0D8FE8C2" w14:textId="77777777" w:rsidR="001C08A5" w:rsidRDefault="00000000">
            <w:pPr>
              <w:ind w:left="113" w:right="113"/>
              <w:jc w:val="center"/>
              <w:rPr>
                <w:b/>
                <w:bCs/>
                <w:i/>
                <w:sz w:val="22"/>
                <w:szCs w:val="22"/>
                <w:lang w:val="en-GB"/>
              </w:rPr>
            </w:pPr>
            <w:r>
              <w:rPr>
                <w:b/>
                <w:bCs/>
                <w:i/>
                <w:sz w:val="22"/>
                <w:szCs w:val="22"/>
                <w:lang w:val="en-GB"/>
              </w:rPr>
              <w:t>S</w:t>
            </w:r>
            <w:r>
              <w:rPr>
                <w:b/>
                <w:bCs/>
                <w:i/>
                <w:sz w:val="22"/>
                <w:szCs w:val="22"/>
                <w:lang w:val="it-IT"/>
              </w:rPr>
              <w:t>ănătate</w:t>
            </w:r>
          </w:p>
        </w:tc>
        <w:tc>
          <w:tcPr>
            <w:tcW w:w="1113" w:type="pct"/>
            <w:vMerge w:val="restart"/>
            <w:vAlign w:val="center"/>
          </w:tcPr>
          <w:p w14:paraId="64E1075B" w14:textId="77777777" w:rsidR="001C08A5" w:rsidRDefault="00000000">
            <w:pPr>
              <w:jc w:val="center"/>
              <w:rPr>
                <w:b/>
                <w:bCs/>
                <w:i/>
                <w:sz w:val="22"/>
                <w:szCs w:val="22"/>
              </w:rPr>
            </w:pPr>
            <w:r>
              <w:rPr>
                <w:b/>
                <w:bCs/>
                <w:i/>
                <w:sz w:val="22"/>
                <w:szCs w:val="22"/>
              </w:rPr>
              <w:t xml:space="preserve">Spitale, creșe, cămine de bătrâni și </w:t>
            </w:r>
            <w:r>
              <w:rPr>
                <w:b/>
                <w:bCs/>
                <w:i/>
                <w:sz w:val="22"/>
                <w:szCs w:val="22"/>
              </w:rPr>
              <w:lastRenderedPageBreak/>
              <w:t>persoane cu dizabilități, sanatorii etc.</w:t>
            </w:r>
          </w:p>
        </w:tc>
        <w:tc>
          <w:tcPr>
            <w:tcW w:w="2231" w:type="pct"/>
          </w:tcPr>
          <w:p w14:paraId="27E426B2" w14:textId="77777777" w:rsidR="001C08A5" w:rsidRDefault="00000000">
            <w:pPr>
              <w:rPr>
                <w:b/>
                <w:bCs/>
                <w:i/>
                <w:sz w:val="22"/>
                <w:szCs w:val="22"/>
                <w:lang w:val="en-GB"/>
              </w:rPr>
            </w:pPr>
            <w:r>
              <w:rPr>
                <w:i/>
                <w:sz w:val="22"/>
                <w:szCs w:val="22"/>
                <w:lang w:val="en-GB"/>
              </w:rPr>
              <w:lastRenderedPageBreak/>
              <w:t>Cl</w:t>
            </w:r>
            <w:r>
              <w:rPr>
                <w:i/>
                <w:sz w:val="22"/>
                <w:szCs w:val="22"/>
                <w:lang w:val="it-IT"/>
              </w:rPr>
              <w:t>ă</w:t>
            </w:r>
            <w:r>
              <w:rPr>
                <w:i/>
                <w:sz w:val="22"/>
                <w:szCs w:val="22"/>
                <w:lang w:val="en-GB"/>
              </w:rPr>
              <w:t>diri</w:t>
            </w:r>
            <w:r>
              <w:rPr>
                <w:i/>
                <w:sz w:val="22"/>
                <w:szCs w:val="22"/>
              </w:rPr>
              <w:t xml:space="preserve"> </w:t>
            </w:r>
            <w:r>
              <w:rPr>
                <w:i/>
                <w:sz w:val="22"/>
                <w:szCs w:val="22"/>
                <w:lang w:val="it-IT"/>
              </w:rPr>
              <w:t>P</w:t>
            </w:r>
          </w:p>
        </w:tc>
        <w:tc>
          <w:tcPr>
            <w:tcW w:w="572" w:type="pct"/>
            <w:vAlign w:val="center"/>
          </w:tcPr>
          <w:p w14:paraId="76AD3F12" w14:textId="77777777" w:rsidR="001C08A5" w:rsidRDefault="00000000">
            <w:pPr>
              <w:jc w:val="center"/>
              <w:rPr>
                <w:b/>
                <w:bCs/>
                <w:i/>
                <w:sz w:val="22"/>
                <w:szCs w:val="22"/>
                <w:lang w:val="en-GB"/>
              </w:rPr>
            </w:pPr>
            <w:r>
              <w:rPr>
                <w:b/>
                <w:bCs/>
                <w:i/>
                <w:sz w:val="22"/>
                <w:szCs w:val="22"/>
              </w:rPr>
              <w:t>4500</w:t>
            </w:r>
          </w:p>
        </w:tc>
        <w:tc>
          <w:tcPr>
            <w:tcW w:w="824" w:type="pct"/>
            <w:vAlign w:val="center"/>
          </w:tcPr>
          <w:p w14:paraId="6F598F85" w14:textId="77777777" w:rsidR="001C08A5" w:rsidRDefault="00000000">
            <w:pPr>
              <w:jc w:val="center"/>
              <w:rPr>
                <w:b/>
                <w:bCs/>
                <w:i/>
                <w:sz w:val="22"/>
                <w:szCs w:val="22"/>
                <w:lang w:val="en-GB"/>
              </w:rPr>
            </w:pPr>
            <w:r>
              <w:rPr>
                <w:b/>
                <w:bCs/>
                <w:i/>
                <w:sz w:val="22"/>
                <w:szCs w:val="22"/>
              </w:rPr>
              <w:t>4000</w:t>
            </w:r>
          </w:p>
        </w:tc>
      </w:tr>
      <w:tr w:rsidR="001C08A5" w14:paraId="60D04A47" w14:textId="77777777">
        <w:trPr>
          <w:trHeight w:val="236"/>
        </w:trPr>
        <w:tc>
          <w:tcPr>
            <w:tcW w:w="258" w:type="pct"/>
            <w:vMerge/>
            <w:textDirection w:val="btLr"/>
            <w:vAlign w:val="center"/>
          </w:tcPr>
          <w:p w14:paraId="14A61035" w14:textId="77777777" w:rsidR="001C08A5" w:rsidRDefault="001C08A5">
            <w:pPr>
              <w:ind w:left="113" w:right="113"/>
              <w:jc w:val="center"/>
              <w:rPr>
                <w:b/>
                <w:bCs/>
                <w:i/>
                <w:sz w:val="22"/>
                <w:szCs w:val="22"/>
                <w:lang w:val="it-IT"/>
              </w:rPr>
            </w:pPr>
          </w:p>
        </w:tc>
        <w:tc>
          <w:tcPr>
            <w:tcW w:w="1113" w:type="pct"/>
            <w:vMerge/>
            <w:vAlign w:val="center"/>
          </w:tcPr>
          <w:p w14:paraId="41C8775A" w14:textId="77777777" w:rsidR="001C08A5" w:rsidRDefault="001C08A5">
            <w:pPr>
              <w:jc w:val="center"/>
              <w:rPr>
                <w:b/>
                <w:bCs/>
                <w:i/>
                <w:sz w:val="22"/>
                <w:szCs w:val="22"/>
                <w:lang w:val="en-GB"/>
              </w:rPr>
            </w:pPr>
          </w:p>
        </w:tc>
        <w:tc>
          <w:tcPr>
            <w:tcW w:w="2231" w:type="pct"/>
          </w:tcPr>
          <w:p w14:paraId="42979714"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P+1E</w:t>
            </w:r>
            <w:r>
              <w:rPr>
                <w:i/>
                <w:sz w:val="22"/>
                <w:szCs w:val="22"/>
                <w:lang w:val="en-GB"/>
              </w:rPr>
              <w:t xml:space="preserve"> </w:t>
            </w:r>
          </w:p>
        </w:tc>
        <w:tc>
          <w:tcPr>
            <w:tcW w:w="572" w:type="pct"/>
            <w:vAlign w:val="center"/>
          </w:tcPr>
          <w:p w14:paraId="4C8BBCDF"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c>
          <w:tcPr>
            <w:tcW w:w="824" w:type="pct"/>
            <w:vAlign w:val="center"/>
          </w:tcPr>
          <w:p w14:paraId="27D9925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r>
      <w:tr w:rsidR="001C08A5" w14:paraId="64FC41CA" w14:textId="77777777">
        <w:trPr>
          <w:trHeight w:val="129"/>
        </w:trPr>
        <w:tc>
          <w:tcPr>
            <w:tcW w:w="258" w:type="pct"/>
            <w:vMerge/>
            <w:textDirection w:val="btLr"/>
            <w:vAlign w:val="center"/>
          </w:tcPr>
          <w:p w14:paraId="31BE7FDA" w14:textId="77777777" w:rsidR="001C08A5" w:rsidRDefault="001C08A5">
            <w:pPr>
              <w:ind w:left="113" w:right="113"/>
              <w:jc w:val="center"/>
              <w:rPr>
                <w:b/>
                <w:bCs/>
                <w:i/>
                <w:sz w:val="22"/>
                <w:szCs w:val="22"/>
                <w:lang w:val="it-IT"/>
              </w:rPr>
            </w:pPr>
          </w:p>
        </w:tc>
        <w:tc>
          <w:tcPr>
            <w:tcW w:w="1113" w:type="pct"/>
            <w:vMerge/>
            <w:vAlign w:val="center"/>
          </w:tcPr>
          <w:p w14:paraId="743BA3E9" w14:textId="77777777" w:rsidR="001C08A5" w:rsidRDefault="001C08A5">
            <w:pPr>
              <w:jc w:val="center"/>
              <w:rPr>
                <w:b/>
                <w:bCs/>
                <w:i/>
                <w:sz w:val="22"/>
                <w:szCs w:val="22"/>
                <w:lang w:val="en-GB"/>
              </w:rPr>
            </w:pPr>
          </w:p>
        </w:tc>
        <w:tc>
          <w:tcPr>
            <w:tcW w:w="2231" w:type="pct"/>
          </w:tcPr>
          <w:p w14:paraId="2F0C1A0E"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w:t>
            </w:r>
            <w:r>
              <w:rPr>
                <w:i/>
                <w:sz w:val="22"/>
                <w:szCs w:val="22"/>
              </w:rPr>
              <w:t>2</w:t>
            </w:r>
            <w:r>
              <w:rPr>
                <w:i/>
                <w:sz w:val="22"/>
                <w:szCs w:val="22"/>
                <w:lang w:val="it-IT"/>
              </w:rPr>
              <w:t>E</w:t>
            </w:r>
            <w:r>
              <w:rPr>
                <w:i/>
                <w:sz w:val="22"/>
                <w:szCs w:val="22"/>
                <w:lang w:val="en-GB"/>
              </w:rPr>
              <w:t xml:space="preserve"> </w:t>
            </w:r>
            <w:r>
              <w:rPr>
                <w:b/>
                <w:bCs/>
                <w:i/>
                <w:sz w:val="22"/>
                <w:szCs w:val="22"/>
                <w:vertAlign w:val="superscript"/>
                <w:lang w:val="en-GB"/>
              </w:rPr>
              <w:t xml:space="preserve"> </w:t>
            </w:r>
          </w:p>
        </w:tc>
        <w:tc>
          <w:tcPr>
            <w:tcW w:w="572" w:type="pct"/>
            <w:vAlign w:val="center"/>
          </w:tcPr>
          <w:p w14:paraId="7E506106"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3750</w:t>
            </w:r>
          </w:p>
        </w:tc>
        <w:tc>
          <w:tcPr>
            <w:tcW w:w="824" w:type="pct"/>
            <w:vAlign w:val="center"/>
          </w:tcPr>
          <w:p w14:paraId="6CA7307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3250</w:t>
            </w:r>
          </w:p>
        </w:tc>
      </w:tr>
      <w:tr w:rsidR="001C08A5" w14:paraId="48D84B34" w14:textId="77777777">
        <w:trPr>
          <w:trHeight w:val="161"/>
        </w:trPr>
        <w:tc>
          <w:tcPr>
            <w:tcW w:w="258" w:type="pct"/>
            <w:vMerge/>
            <w:textDirection w:val="btLr"/>
            <w:vAlign w:val="center"/>
          </w:tcPr>
          <w:p w14:paraId="3C74D181" w14:textId="77777777" w:rsidR="001C08A5" w:rsidRDefault="001C08A5">
            <w:pPr>
              <w:ind w:left="113" w:right="113"/>
              <w:jc w:val="center"/>
              <w:rPr>
                <w:b/>
                <w:bCs/>
                <w:i/>
                <w:sz w:val="22"/>
                <w:szCs w:val="22"/>
                <w:lang w:val="it-IT"/>
              </w:rPr>
            </w:pPr>
          </w:p>
        </w:tc>
        <w:tc>
          <w:tcPr>
            <w:tcW w:w="1113" w:type="pct"/>
            <w:vMerge/>
            <w:vAlign w:val="center"/>
          </w:tcPr>
          <w:p w14:paraId="689603A6" w14:textId="77777777" w:rsidR="001C08A5" w:rsidRDefault="001C08A5">
            <w:pPr>
              <w:jc w:val="center"/>
              <w:rPr>
                <w:b/>
                <w:bCs/>
                <w:i/>
                <w:sz w:val="22"/>
                <w:szCs w:val="22"/>
                <w:lang w:val="en-GB"/>
              </w:rPr>
            </w:pPr>
          </w:p>
        </w:tc>
        <w:tc>
          <w:tcPr>
            <w:tcW w:w="2231" w:type="pct"/>
          </w:tcPr>
          <w:p w14:paraId="5E16E393"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P+3E</w:t>
            </w:r>
            <w:r>
              <w:rPr>
                <w:i/>
                <w:sz w:val="22"/>
                <w:szCs w:val="22"/>
                <w:lang w:val="en-GB"/>
              </w:rPr>
              <w:t xml:space="preserve"> </w:t>
            </w:r>
          </w:p>
        </w:tc>
        <w:tc>
          <w:tcPr>
            <w:tcW w:w="572" w:type="pct"/>
            <w:vAlign w:val="center"/>
          </w:tcPr>
          <w:p w14:paraId="2F256A4D" w14:textId="77777777" w:rsidR="001C08A5" w:rsidRDefault="00000000">
            <w:pPr>
              <w:spacing w:before="100" w:beforeAutospacing="1" w:after="100" w:afterAutospacing="1"/>
              <w:jc w:val="center"/>
              <w:rPr>
                <w:b/>
                <w:bCs/>
                <w:i/>
                <w:sz w:val="22"/>
                <w:szCs w:val="22"/>
                <w:lang w:val="en-GB"/>
              </w:rPr>
            </w:pPr>
            <w:r>
              <w:rPr>
                <w:b/>
                <w:bCs/>
                <w:i/>
                <w:sz w:val="22"/>
                <w:szCs w:val="22"/>
                <w:lang w:eastAsia="en-GB"/>
              </w:rPr>
              <w:t>3500</w:t>
            </w:r>
          </w:p>
        </w:tc>
        <w:tc>
          <w:tcPr>
            <w:tcW w:w="824" w:type="pct"/>
            <w:vAlign w:val="center"/>
          </w:tcPr>
          <w:p w14:paraId="496BD507" w14:textId="77777777" w:rsidR="001C08A5" w:rsidRDefault="00000000">
            <w:pPr>
              <w:spacing w:before="100" w:beforeAutospacing="1" w:after="100" w:afterAutospacing="1"/>
              <w:jc w:val="center"/>
              <w:rPr>
                <w:b/>
                <w:bCs/>
                <w:i/>
                <w:sz w:val="22"/>
                <w:szCs w:val="22"/>
                <w:lang w:val="en-GB"/>
              </w:rPr>
            </w:pPr>
            <w:r>
              <w:rPr>
                <w:b/>
                <w:bCs/>
                <w:i/>
                <w:sz w:val="22"/>
                <w:szCs w:val="22"/>
                <w:lang w:eastAsia="en-GB"/>
              </w:rPr>
              <w:t>3000</w:t>
            </w:r>
          </w:p>
        </w:tc>
      </w:tr>
      <w:tr w:rsidR="001C08A5" w14:paraId="43DE20BF" w14:textId="77777777">
        <w:trPr>
          <w:trHeight w:val="901"/>
        </w:trPr>
        <w:tc>
          <w:tcPr>
            <w:tcW w:w="258" w:type="pct"/>
            <w:vMerge/>
            <w:textDirection w:val="btLr"/>
            <w:vAlign w:val="center"/>
          </w:tcPr>
          <w:p w14:paraId="2CC9E5AE" w14:textId="77777777" w:rsidR="001C08A5" w:rsidRDefault="001C08A5">
            <w:pPr>
              <w:ind w:left="113" w:right="113"/>
              <w:jc w:val="center"/>
              <w:rPr>
                <w:b/>
                <w:bCs/>
                <w:i/>
                <w:sz w:val="22"/>
                <w:szCs w:val="22"/>
                <w:lang w:val="it-IT"/>
              </w:rPr>
            </w:pPr>
          </w:p>
        </w:tc>
        <w:tc>
          <w:tcPr>
            <w:tcW w:w="1113" w:type="pct"/>
            <w:vMerge/>
            <w:vAlign w:val="center"/>
          </w:tcPr>
          <w:p w14:paraId="587D0B3E" w14:textId="77777777" w:rsidR="001C08A5" w:rsidRDefault="001C08A5">
            <w:pPr>
              <w:jc w:val="center"/>
              <w:rPr>
                <w:b/>
                <w:bCs/>
                <w:i/>
                <w:sz w:val="22"/>
                <w:szCs w:val="22"/>
                <w:lang w:val="en-GB"/>
              </w:rPr>
            </w:pPr>
          </w:p>
        </w:tc>
        <w:tc>
          <w:tcPr>
            <w:tcW w:w="2231" w:type="pct"/>
          </w:tcPr>
          <w:p w14:paraId="50252ADB"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P+3E</w:t>
            </w:r>
            <w:r>
              <w:rPr>
                <w:i/>
                <w:sz w:val="22"/>
                <w:szCs w:val="22"/>
                <w:lang w:val="en-GB"/>
              </w:rPr>
              <w:t xml:space="preserve"> </w:t>
            </w:r>
            <w:r>
              <w:rPr>
                <w:i/>
                <w:sz w:val="22"/>
                <w:szCs w:val="22"/>
              </w:rPr>
              <w:t>şi</w:t>
            </w:r>
            <w:r>
              <w:rPr>
                <w:i/>
                <w:sz w:val="22"/>
                <w:szCs w:val="22"/>
                <w:lang w:val="en-GB"/>
              </w:rPr>
              <w:t xml:space="preserve"> </w:t>
            </w:r>
            <w:r>
              <w:rPr>
                <w:i/>
                <w:sz w:val="22"/>
                <w:szCs w:val="22"/>
              </w:rPr>
              <w:t>≤ P+5E</w:t>
            </w:r>
          </w:p>
          <w:p w14:paraId="3CE9EB86" w14:textId="77777777" w:rsidR="001C08A5" w:rsidRDefault="00000000">
            <w:pPr>
              <w:rPr>
                <w:i/>
                <w:sz w:val="22"/>
                <w:szCs w:val="22"/>
              </w:rPr>
            </w:pPr>
            <w:r>
              <w:rPr>
                <w:i/>
                <w:sz w:val="22"/>
                <w:szCs w:val="22"/>
              </w:rPr>
              <w:t>sau</w:t>
            </w:r>
          </w:p>
          <w:p w14:paraId="74FD56F5"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xml:space="preserve">cu până la 20 m înălţime totală (până la coamă/atic) </w:t>
            </w:r>
            <w:r>
              <w:rPr>
                <w:b/>
                <w:bCs/>
                <w:i/>
                <w:sz w:val="22"/>
                <w:szCs w:val="22"/>
                <w:vertAlign w:val="superscript"/>
                <w:lang w:val="en-GB"/>
              </w:rPr>
              <w:t xml:space="preserve">1) </w:t>
            </w:r>
          </w:p>
        </w:tc>
        <w:tc>
          <w:tcPr>
            <w:tcW w:w="572" w:type="pct"/>
            <w:vAlign w:val="center"/>
          </w:tcPr>
          <w:p w14:paraId="35FDE8B2"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3250</w:t>
            </w:r>
          </w:p>
        </w:tc>
        <w:tc>
          <w:tcPr>
            <w:tcW w:w="824" w:type="pct"/>
            <w:vAlign w:val="center"/>
          </w:tcPr>
          <w:p w14:paraId="68D4B985"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2750</w:t>
            </w:r>
          </w:p>
        </w:tc>
      </w:tr>
      <w:tr w:rsidR="001C08A5" w14:paraId="79871C9F" w14:textId="77777777">
        <w:trPr>
          <w:trHeight w:val="901"/>
        </w:trPr>
        <w:tc>
          <w:tcPr>
            <w:tcW w:w="258" w:type="pct"/>
            <w:vMerge/>
            <w:textDirection w:val="btLr"/>
            <w:vAlign w:val="center"/>
          </w:tcPr>
          <w:p w14:paraId="3B9B1BC6" w14:textId="77777777" w:rsidR="001C08A5" w:rsidRDefault="001C08A5">
            <w:pPr>
              <w:ind w:left="113" w:right="113"/>
              <w:jc w:val="center"/>
              <w:rPr>
                <w:b/>
                <w:bCs/>
                <w:i/>
                <w:sz w:val="22"/>
                <w:szCs w:val="22"/>
                <w:lang w:val="it-IT"/>
              </w:rPr>
            </w:pPr>
          </w:p>
        </w:tc>
        <w:tc>
          <w:tcPr>
            <w:tcW w:w="1113" w:type="pct"/>
            <w:vMerge/>
            <w:vAlign w:val="center"/>
          </w:tcPr>
          <w:p w14:paraId="48855358" w14:textId="77777777" w:rsidR="001C08A5" w:rsidRDefault="001C08A5">
            <w:pPr>
              <w:jc w:val="center"/>
              <w:rPr>
                <w:b/>
                <w:bCs/>
                <w:i/>
                <w:sz w:val="22"/>
                <w:szCs w:val="22"/>
                <w:lang w:val="en-GB"/>
              </w:rPr>
            </w:pPr>
          </w:p>
        </w:tc>
        <w:tc>
          <w:tcPr>
            <w:tcW w:w="2231" w:type="pct"/>
          </w:tcPr>
          <w:p w14:paraId="3DDB3DB2"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1EDAB0A1" w14:textId="77777777" w:rsidR="001C08A5" w:rsidRDefault="00000000">
            <w:pPr>
              <w:rPr>
                <w:i/>
                <w:sz w:val="22"/>
                <w:szCs w:val="22"/>
              </w:rPr>
            </w:pPr>
            <w:r>
              <w:rPr>
                <w:i/>
                <w:sz w:val="22"/>
                <w:szCs w:val="22"/>
              </w:rPr>
              <w:t>sau</w:t>
            </w:r>
          </w:p>
          <w:p w14:paraId="46B6D798"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w:t>
            </w:r>
            <w:r>
              <w:rPr>
                <w:b/>
                <w:bCs/>
                <w:i/>
                <w:sz w:val="22"/>
                <w:szCs w:val="22"/>
                <w:vertAlign w:val="superscript"/>
              </w:rPr>
              <w:t xml:space="preserve"> </w:t>
            </w:r>
            <w:r>
              <w:rPr>
                <w:b/>
                <w:bCs/>
                <w:i/>
                <w:sz w:val="22"/>
                <w:szCs w:val="22"/>
                <w:vertAlign w:val="superscript"/>
                <w:lang w:val="en-GB"/>
              </w:rPr>
              <w:t>2)</w:t>
            </w:r>
          </w:p>
        </w:tc>
        <w:tc>
          <w:tcPr>
            <w:tcW w:w="572" w:type="pct"/>
            <w:vAlign w:val="center"/>
          </w:tcPr>
          <w:p w14:paraId="6F79CA84"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3000</w:t>
            </w:r>
          </w:p>
        </w:tc>
        <w:tc>
          <w:tcPr>
            <w:tcW w:w="824" w:type="pct"/>
            <w:vAlign w:val="center"/>
          </w:tcPr>
          <w:p w14:paraId="2E5B242A"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r>
      <w:tr w:rsidR="001C08A5" w14:paraId="356A3383" w14:textId="77777777">
        <w:trPr>
          <w:trHeight w:val="139"/>
        </w:trPr>
        <w:tc>
          <w:tcPr>
            <w:tcW w:w="258" w:type="pct"/>
            <w:vMerge/>
            <w:textDirection w:val="btLr"/>
            <w:vAlign w:val="center"/>
          </w:tcPr>
          <w:p w14:paraId="4F61F6E6" w14:textId="77777777" w:rsidR="001C08A5" w:rsidRDefault="001C08A5">
            <w:pPr>
              <w:ind w:left="113" w:right="113"/>
              <w:jc w:val="center"/>
              <w:rPr>
                <w:b/>
                <w:bCs/>
                <w:i/>
                <w:sz w:val="22"/>
                <w:szCs w:val="22"/>
                <w:lang w:val="it-IT"/>
              </w:rPr>
            </w:pPr>
          </w:p>
        </w:tc>
        <w:tc>
          <w:tcPr>
            <w:tcW w:w="1113" w:type="pct"/>
            <w:vMerge/>
            <w:vAlign w:val="center"/>
          </w:tcPr>
          <w:p w14:paraId="7C49A832" w14:textId="77777777" w:rsidR="001C08A5" w:rsidRDefault="001C08A5">
            <w:pPr>
              <w:jc w:val="center"/>
              <w:rPr>
                <w:b/>
                <w:bCs/>
                <w:i/>
                <w:sz w:val="22"/>
                <w:szCs w:val="22"/>
                <w:lang w:val="en-GB"/>
              </w:rPr>
            </w:pPr>
          </w:p>
        </w:tc>
        <w:tc>
          <w:tcPr>
            <w:tcW w:w="2231" w:type="pct"/>
          </w:tcPr>
          <w:p w14:paraId="30C693C8"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4D201ED2" w14:textId="77777777" w:rsidR="001C08A5" w:rsidRDefault="00000000">
            <w:pPr>
              <w:spacing w:before="100" w:beforeAutospacing="1" w:after="100" w:afterAutospacing="1"/>
              <w:jc w:val="center"/>
              <w:rPr>
                <w:b/>
                <w:bCs/>
                <w:i/>
                <w:sz w:val="22"/>
                <w:szCs w:val="22"/>
                <w:lang w:val="en-GB"/>
              </w:rPr>
            </w:pPr>
            <w:r>
              <w:rPr>
                <w:b/>
                <w:bCs/>
                <w:i/>
                <w:sz w:val="22"/>
                <w:szCs w:val="22"/>
                <w:lang w:eastAsia="en-GB"/>
              </w:rPr>
              <w:t>2500</w:t>
            </w:r>
          </w:p>
        </w:tc>
        <w:tc>
          <w:tcPr>
            <w:tcW w:w="824" w:type="pct"/>
            <w:vAlign w:val="center"/>
          </w:tcPr>
          <w:p w14:paraId="644B3CD9"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1CC98545" w14:textId="77777777">
        <w:trPr>
          <w:trHeight w:val="150"/>
        </w:trPr>
        <w:tc>
          <w:tcPr>
            <w:tcW w:w="258" w:type="pct"/>
            <w:vMerge/>
            <w:textDirection w:val="btLr"/>
            <w:vAlign w:val="center"/>
          </w:tcPr>
          <w:p w14:paraId="46470AE5" w14:textId="77777777" w:rsidR="001C08A5" w:rsidRDefault="001C08A5">
            <w:pPr>
              <w:ind w:left="113" w:right="113"/>
              <w:jc w:val="center"/>
              <w:rPr>
                <w:b/>
                <w:bCs/>
                <w:i/>
                <w:sz w:val="22"/>
                <w:szCs w:val="22"/>
                <w:lang w:val="it-IT"/>
              </w:rPr>
            </w:pPr>
          </w:p>
        </w:tc>
        <w:tc>
          <w:tcPr>
            <w:tcW w:w="1113" w:type="pct"/>
            <w:vMerge w:val="restart"/>
            <w:vAlign w:val="center"/>
          </w:tcPr>
          <w:p w14:paraId="2E79D905" w14:textId="77777777" w:rsidR="001C08A5" w:rsidRDefault="00000000">
            <w:pPr>
              <w:jc w:val="center"/>
              <w:rPr>
                <w:b/>
                <w:bCs/>
                <w:i/>
                <w:sz w:val="22"/>
                <w:szCs w:val="22"/>
              </w:rPr>
            </w:pPr>
            <w:r>
              <w:rPr>
                <w:b/>
                <w:bCs/>
                <w:i/>
                <w:sz w:val="22"/>
                <w:szCs w:val="22"/>
              </w:rPr>
              <w:t>Clinici fără spitalizare continuă, policlinici și unități medicale ambulatorii similare policlinicilor</w:t>
            </w:r>
          </w:p>
        </w:tc>
        <w:tc>
          <w:tcPr>
            <w:tcW w:w="2231" w:type="pct"/>
          </w:tcPr>
          <w:p w14:paraId="138768E4"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p>
        </w:tc>
        <w:tc>
          <w:tcPr>
            <w:tcW w:w="572" w:type="pct"/>
            <w:vAlign w:val="center"/>
          </w:tcPr>
          <w:p w14:paraId="4CCF9EA9" w14:textId="77777777" w:rsidR="001C08A5" w:rsidRDefault="00000000">
            <w:pPr>
              <w:jc w:val="center"/>
              <w:rPr>
                <w:b/>
                <w:bCs/>
                <w:i/>
                <w:sz w:val="22"/>
                <w:szCs w:val="22"/>
                <w:lang w:eastAsia="en-GB"/>
              </w:rPr>
            </w:pPr>
            <w:r>
              <w:rPr>
                <w:b/>
                <w:bCs/>
                <w:i/>
                <w:sz w:val="22"/>
                <w:szCs w:val="22"/>
              </w:rPr>
              <w:t>5000</w:t>
            </w:r>
          </w:p>
        </w:tc>
        <w:tc>
          <w:tcPr>
            <w:tcW w:w="824" w:type="pct"/>
            <w:vAlign w:val="center"/>
          </w:tcPr>
          <w:p w14:paraId="54069D33" w14:textId="77777777" w:rsidR="001C08A5" w:rsidRDefault="00000000">
            <w:pPr>
              <w:jc w:val="center"/>
              <w:rPr>
                <w:b/>
                <w:bCs/>
                <w:i/>
                <w:sz w:val="22"/>
                <w:szCs w:val="22"/>
              </w:rPr>
            </w:pPr>
            <w:r>
              <w:rPr>
                <w:b/>
                <w:bCs/>
                <w:i/>
                <w:sz w:val="22"/>
                <w:szCs w:val="22"/>
              </w:rPr>
              <w:t>4500</w:t>
            </w:r>
          </w:p>
        </w:tc>
      </w:tr>
      <w:tr w:rsidR="001C08A5" w14:paraId="70A43610" w14:textId="77777777">
        <w:trPr>
          <w:trHeight w:val="172"/>
        </w:trPr>
        <w:tc>
          <w:tcPr>
            <w:tcW w:w="258" w:type="pct"/>
            <w:vMerge/>
            <w:textDirection w:val="btLr"/>
            <w:vAlign w:val="center"/>
          </w:tcPr>
          <w:p w14:paraId="7A0A7670" w14:textId="77777777" w:rsidR="001C08A5" w:rsidRDefault="001C08A5">
            <w:pPr>
              <w:ind w:left="113" w:right="113"/>
              <w:jc w:val="center"/>
              <w:rPr>
                <w:b/>
                <w:bCs/>
                <w:i/>
                <w:sz w:val="22"/>
                <w:szCs w:val="22"/>
                <w:lang w:val="it-IT"/>
              </w:rPr>
            </w:pPr>
          </w:p>
        </w:tc>
        <w:tc>
          <w:tcPr>
            <w:tcW w:w="1113" w:type="pct"/>
            <w:vMerge/>
            <w:vAlign w:val="center"/>
          </w:tcPr>
          <w:p w14:paraId="7E6EA6BD" w14:textId="77777777" w:rsidR="001C08A5" w:rsidRDefault="001C08A5">
            <w:pPr>
              <w:jc w:val="center"/>
              <w:rPr>
                <w:b/>
                <w:bCs/>
                <w:i/>
                <w:sz w:val="22"/>
                <w:szCs w:val="22"/>
                <w:lang w:val="en-GB"/>
              </w:rPr>
            </w:pPr>
          </w:p>
        </w:tc>
        <w:tc>
          <w:tcPr>
            <w:tcW w:w="2231" w:type="pct"/>
          </w:tcPr>
          <w:p w14:paraId="75FF8AD5"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P+1E</w:t>
            </w:r>
            <w:r>
              <w:rPr>
                <w:i/>
                <w:sz w:val="22"/>
                <w:szCs w:val="22"/>
                <w:lang w:val="en-GB"/>
              </w:rPr>
              <w:t xml:space="preserve"> </w:t>
            </w:r>
          </w:p>
        </w:tc>
        <w:tc>
          <w:tcPr>
            <w:tcW w:w="572" w:type="pct"/>
            <w:vAlign w:val="center"/>
          </w:tcPr>
          <w:p w14:paraId="677DF60D" w14:textId="77777777" w:rsidR="001C08A5" w:rsidRDefault="00000000">
            <w:pPr>
              <w:jc w:val="center"/>
              <w:rPr>
                <w:b/>
                <w:bCs/>
                <w:i/>
                <w:sz w:val="22"/>
                <w:szCs w:val="22"/>
                <w:lang w:eastAsia="en-GB"/>
              </w:rPr>
            </w:pPr>
            <w:r>
              <w:rPr>
                <w:b/>
                <w:bCs/>
                <w:i/>
                <w:sz w:val="22"/>
                <w:szCs w:val="22"/>
              </w:rPr>
              <w:t>4500</w:t>
            </w:r>
          </w:p>
        </w:tc>
        <w:tc>
          <w:tcPr>
            <w:tcW w:w="824" w:type="pct"/>
            <w:vAlign w:val="center"/>
          </w:tcPr>
          <w:p w14:paraId="6655477B" w14:textId="77777777" w:rsidR="001C08A5" w:rsidRDefault="00000000">
            <w:pPr>
              <w:jc w:val="center"/>
              <w:rPr>
                <w:b/>
                <w:bCs/>
                <w:i/>
                <w:sz w:val="22"/>
                <w:szCs w:val="22"/>
                <w:lang w:eastAsia="en-GB"/>
              </w:rPr>
            </w:pPr>
            <w:r>
              <w:rPr>
                <w:b/>
                <w:bCs/>
                <w:i/>
                <w:sz w:val="22"/>
                <w:szCs w:val="22"/>
              </w:rPr>
              <w:t>4000</w:t>
            </w:r>
          </w:p>
        </w:tc>
      </w:tr>
      <w:tr w:rsidR="001C08A5" w14:paraId="1352AEE9" w14:textId="77777777">
        <w:trPr>
          <w:trHeight w:val="172"/>
        </w:trPr>
        <w:tc>
          <w:tcPr>
            <w:tcW w:w="258" w:type="pct"/>
            <w:vMerge/>
            <w:textDirection w:val="btLr"/>
            <w:vAlign w:val="center"/>
          </w:tcPr>
          <w:p w14:paraId="66BAF1BB" w14:textId="77777777" w:rsidR="001C08A5" w:rsidRDefault="001C08A5">
            <w:pPr>
              <w:ind w:left="113" w:right="113"/>
              <w:jc w:val="center"/>
              <w:rPr>
                <w:b/>
                <w:bCs/>
                <w:i/>
                <w:sz w:val="22"/>
                <w:szCs w:val="22"/>
                <w:lang w:val="it-IT"/>
              </w:rPr>
            </w:pPr>
          </w:p>
        </w:tc>
        <w:tc>
          <w:tcPr>
            <w:tcW w:w="1113" w:type="pct"/>
            <w:vMerge/>
            <w:vAlign w:val="center"/>
          </w:tcPr>
          <w:p w14:paraId="2CD87EC2" w14:textId="77777777" w:rsidR="001C08A5" w:rsidRDefault="001C08A5">
            <w:pPr>
              <w:jc w:val="center"/>
              <w:rPr>
                <w:b/>
                <w:bCs/>
                <w:i/>
                <w:sz w:val="22"/>
                <w:szCs w:val="22"/>
                <w:lang w:val="en-GB"/>
              </w:rPr>
            </w:pPr>
          </w:p>
        </w:tc>
        <w:tc>
          <w:tcPr>
            <w:tcW w:w="2231" w:type="pct"/>
          </w:tcPr>
          <w:p w14:paraId="08839A91"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w:t>
            </w:r>
            <w:r>
              <w:rPr>
                <w:i/>
                <w:sz w:val="22"/>
                <w:szCs w:val="22"/>
              </w:rPr>
              <w:t>2</w:t>
            </w:r>
            <w:r>
              <w:rPr>
                <w:i/>
                <w:sz w:val="22"/>
                <w:szCs w:val="22"/>
                <w:lang w:val="it-IT"/>
              </w:rPr>
              <w:t>E</w:t>
            </w:r>
            <w:r>
              <w:rPr>
                <w:i/>
                <w:sz w:val="22"/>
                <w:szCs w:val="22"/>
                <w:lang w:val="en-GB"/>
              </w:rPr>
              <w:t xml:space="preserve"> </w:t>
            </w:r>
            <w:r>
              <w:rPr>
                <w:b/>
                <w:bCs/>
                <w:i/>
                <w:sz w:val="22"/>
                <w:szCs w:val="22"/>
                <w:vertAlign w:val="superscript"/>
                <w:lang w:val="en-GB"/>
              </w:rPr>
              <w:t xml:space="preserve"> </w:t>
            </w:r>
          </w:p>
        </w:tc>
        <w:tc>
          <w:tcPr>
            <w:tcW w:w="572" w:type="pct"/>
            <w:vAlign w:val="center"/>
          </w:tcPr>
          <w:p w14:paraId="3BCD6818"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4000</w:t>
            </w:r>
          </w:p>
        </w:tc>
        <w:tc>
          <w:tcPr>
            <w:tcW w:w="824" w:type="pct"/>
            <w:vAlign w:val="center"/>
          </w:tcPr>
          <w:p w14:paraId="521F3C21"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3500</w:t>
            </w:r>
          </w:p>
        </w:tc>
      </w:tr>
      <w:tr w:rsidR="001C08A5" w14:paraId="105B4B86" w14:textId="77777777">
        <w:trPr>
          <w:trHeight w:val="236"/>
        </w:trPr>
        <w:tc>
          <w:tcPr>
            <w:tcW w:w="258" w:type="pct"/>
            <w:vMerge/>
            <w:textDirection w:val="btLr"/>
            <w:vAlign w:val="center"/>
          </w:tcPr>
          <w:p w14:paraId="660CC9DA" w14:textId="77777777" w:rsidR="001C08A5" w:rsidRDefault="001C08A5">
            <w:pPr>
              <w:ind w:left="113" w:right="113"/>
              <w:jc w:val="center"/>
              <w:rPr>
                <w:b/>
                <w:bCs/>
                <w:i/>
                <w:sz w:val="22"/>
                <w:szCs w:val="22"/>
                <w:lang w:val="it-IT"/>
              </w:rPr>
            </w:pPr>
          </w:p>
        </w:tc>
        <w:tc>
          <w:tcPr>
            <w:tcW w:w="1113" w:type="pct"/>
            <w:vMerge/>
            <w:vAlign w:val="center"/>
          </w:tcPr>
          <w:p w14:paraId="13A8ACA7" w14:textId="77777777" w:rsidR="001C08A5" w:rsidRDefault="001C08A5">
            <w:pPr>
              <w:jc w:val="center"/>
              <w:rPr>
                <w:b/>
                <w:bCs/>
                <w:i/>
                <w:sz w:val="22"/>
                <w:szCs w:val="22"/>
                <w:lang w:val="en-GB"/>
              </w:rPr>
            </w:pPr>
          </w:p>
        </w:tc>
        <w:tc>
          <w:tcPr>
            <w:tcW w:w="2231" w:type="pct"/>
          </w:tcPr>
          <w:p w14:paraId="48F45131"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P+3E</w:t>
            </w:r>
            <w:r>
              <w:rPr>
                <w:i/>
                <w:sz w:val="22"/>
                <w:szCs w:val="22"/>
                <w:lang w:val="en-GB"/>
              </w:rPr>
              <w:t xml:space="preserve"> </w:t>
            </w:r>
          </w:p>
        </w:tc>
        <w:tc>
          <w:tcPr>
            <w:tcW w:w="572" w:type="pct"/>
            <w:vAlign w:val="center"/>
          </w:tcPr>
          <w:p w14:paraId="5FDBAC6D"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3750</w:t>
            </w:r>
          </w:p>
        </w:tc>
        <w:tc>
          <w:tcPr>
            <w:tcW w:w="824" w:type="pct"/>
            <w:vAlign w:val="center"/>
          </w:tcPr>
          <w:p w14:paraId="0972B375"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3250</w:t>
            </w:r>
          </w:p>
        </w:tc>
      </w:tr>
      <w:tr w:rsidR="001C08A5" w14:paraId="3F95013C" w14:textId="77777777">
        <w:trPr>
          <w:trHeight w:val="815"/>
        </w:trPr>
        <w:tc>
          <w:tcPr>
            <w:tcW w:w="258" w:type="pct"/>
            <w:vMerge/>
            <w:textDirection w:val="btLr"/>
            <w:vAlign w:val="center"/>
          </w:tcPr>
          <w:p w14:paraId="196D1A1D" w14:textId="77777777" w:rsidR="001C08A5" w:rsidRDefault="001C08A5">
            <w:pPr>
              <w:ind w:left="113" w:right="113"/>
              <w:jc w:val="center"/>
              <w:rPr>
                <w:b/>
                <w:bCs/>
                <w:i/>
                <w:sz w:val="22"/>
                <w:szCs w:val="22"/>
                <w:lang w:val="it-IT"/>
              </w:rPr>
            </w:pPr>
          </w:p>
        </w:tc>
        <w:tc>
          <w:tcPr>
            <w:tcW w:w="1113" w:type="pct"/>
            <w:vMerge/>
            <w:vAlign w:val="center"/>
          </w:tcPr>
          <w:p w14:paraId="098F9A7D" w14:textId="77777777" w:rsidR="001C08A5" w:rsidRDefault="001C08A5">
            <w:pPr>
              <w:jc w:val="center"/>
              <w:rPr>
                <w:b/>
                <w:bCs/>
                <w:i/>
                <w:sz w:val="22"/>
                <w:szCs w:val="22"/>
                <w:lang w:val="en-GB"/>
              </w:rPr>
            </w:pPr>
          </w:p>
        </w:tc>
        <w:tc>
          <w:tcPr>
            <w:tcW w:w="2231" w:type="pct"/>
          </w:tcPr>
          <w:p w14:paraId="6526599E"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P+3E</w:t>
            </w:r>
            <w:r>
              <w:rPr>
                <w:i/>
                <w:sz w:val="22"/>
                <w:szCs w:val="22"/>
                <w:lang w:val="en-GB"/>
              </w:rPr>
              <w:t xml:space="preserve"> </w:t>
            </w:r>
            <w:r>
              <w:rPr>
                <w:i/>
                <w:sz w:val="22"/>
                <w:szCs w:val="22"/>
              </w:rPr>
              <w:t>şi</w:t>
            </w:r>
            <w:r>
              <w:rPr>
                <w:i/>
                <w:sz w:val="22"/>
                <w:szCs w:val="22"/>
                <w:lang w:val="en-GB"/>
              </w:rPr>
              <w:t xml:space="preserve"> </w:t>
            </w:r>
            <w:r>
              <w:rPr>
                <w:i/>
                <w:sz w:val="22"/>
                <w:szCs w:val="22"/>
              </w:rPr>
              <w:t>≤ P+5E</w:t>
            </w:r>
          </w:p>
          <w:p w14:paraId="0B48E2AF" w14:textId="77777777" w:rsidR="001C08A5" w:rsidRDefault="00000000">
            <w:pPr>
              <w:rPr>
                <w:i/>
                <w:sz w:val="22"/>
                <w:szCs w:val="22"/>
              </w:rPr>
            </w:pPr>
            <w:r>
              <w:rPr>
                <w:i/>
                <w:sz w:val="22"/>
                <w:szCs w:val="22"/>
              </w:rPr>
              <w:t>sau</w:t>
            </w:r>
          </w:p>
          <w:p w14:paraId="062D16B7"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xml:space="preserve">cu până la 20 m înălţime totală (până la coamă/atic) </w:t>
            </w:r>
            <w:r>
              <w:rPr>
                <w:b/>
                <w:bCs/>
                <w:i/>
                <w:sz w:val="22"/>
                <w:szCs w:val="22"/>
                <w:vertAlign w:val="superscript"/>
                <w:lang w:val="en-GB"/>
              </w:rPr>
              <w:t>1)</w:t>
            </w:r>
          </w:p>
        </w:tc>
        <w:tc>
          <w:tcPr>
            <w:tcW w:w="572" w:type="pct"/>
            <w:vAlign w:val="center"/>
          </w:tcPr>
          <w:p w14:paraId="0ACD145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c>
          <w:tcPr>
            <w:tcW w:w="824" w:type="pct"/>
            <w:vAlign w:val="center"/>
          </w:tcPr>
          <w:p w14:paraId="7893223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r>
      <w:tr w:rsidR="001C08A5" w14:paraId="1C0F4F8A" w14:textId="77777777">
        <w:trPr>
          <w:trHeight w:val="182"/>
        </w:trPr>
        <w:tc>
          <w:tcPr>
            <w:tcW w:w="258" w:type="pct"/>
            <w:vMerge/>
            <w:textDirection w:val="btLr"/>
            <w:vAlign w:val="center"/>
          </w:tcPr>
          <w:p w14:paraId="525D1F81" w14:textId="77777777" w:rsidR="001C08A5" w:rsidRDefault="001C08A5">
            <w:pPr>
              <w:ind w:left="113" w:right="113"/>
              <w:jc w:val="center"/>
              <w:rPr>
                <w:b/>
                <w:bCs/>
                <w:i/>
                <w:sz w:val="22"/>
                <w:szCs w:val="22"/>
                <w:lang w:val="it-IT"/>
              </w:rPr>
            </w:pPr>
          </w:p>
        </w:tc>
        <w:tc>
          <w:tcPr>
            <w:tcW w:w="1113" w:type="pct"/>
            <w:vMerge/>
            <w:vAlign w:val="center"/>
          </w:tcPr>
          <w:p w14:paraId="598E875B" w14:textId="77777777" w:rsidR="001C08A5" w:rsidRDefault="001C08A5">
            <w:pPr>
              <w:jc w:val="center"/>
              <w:rPr>
                <w:b/>
                <w:bCs/>
                <w:i/>
                <w:sz w:val="22"/>
                <w:szCs w:val="22"/>
                <w:lang w:val="en-GB"/>
              </w:rPr>
            </w:pPr>
          </w:p>
        </w:tc>
        <w:tc>
          <w:tcPr>
            <w:tcW w:w="2231" w:type="pct"/>
          </w:tcPr>
          <w:p w14:paraId="4BEB92B0"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2767419B" w14:textId="77777777" w:rsidR="001C08A5" w:rsidRDefault="00000000">
            <w:pPr>
              <w:rPr>
                <w:i/>
                <w:sz w:val="22"/>
                <w:szCs w:val="22"/>
              </w:rPr>
            </w:pPr>
            <w:r>
              <w:rPr>
                <w:i/>
                <w:sz w:val="22"/>
                <w:szCs w:val="22"/>
              </w:rPr>
              <w:t>sau</w:t>
            </w:r>
          </w:p>
          <w:p w14:paraId="3F4C9EB7"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w:t>
            </w:r>
            <w:r>
              <w:rPr>
                <w:b/>
                <w:bCs/>
                <w:i/>
                <w:sz w:val="22"/>
                <w:szCs w:val="22"/>
                <w:vertAlign w:val="superscript"/>
              </w:rPr>
              <w:t xml:space="preserve"> </w:t>
            </w:r>
            <w:r>
              <w:rPr>
                <w:b/>
                <w:bCs/>
                <w:i/>
                <w:sz w:val="22"/>
                <w:szCs w:val="22"/>
                <w:vertAlign w:val="superscript"/>
                <w:lang w:val="en-GB"/>
              </w:rPr>
              <w:t>2)</w:t>
            </w:r>
          </w:p>
        </w:tc>
        <w:tc>
          <w:tcPr>
            <w:tcW w:w="572" w:type="pct"/>
            <w:vAlign w:val="center"/>
          </w:tcPr>
          <w:p w14:paraId="7971B04A"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3000</w:t>
            </w:r>
          </w:p>
        </w:tc>
        <w:tc>
          <w:tcPr>
            <w:tcW w:w="824" w:type="pct"/>
            <w:vAlign w:val="center"/>
          </w:tcPr>
          <w:p w14:paraId="1984F09C"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r>
      <w:tr w:rsidR="001C08A5" w14:paraId="14BFA770" w14:textId="77777777">
        <w:trPr>
          <w:trHeight w:val="182"/>
        </w:trPr>
        <w:tc>
          <w:tcPr>
            <w:tcW w:w="258" w:type="pct"/>
            <w:vMerge/>
            <w:textDirection w:val="btLr"/>
            <w:vAlign w:val="center"/>
          </w:tcPr>
          <w:p w14:paraId="126B23D2" w14:textId="77777777" w:rsidR="001C08A5" w:rsidRDefault="001C08A5">
            <w:pPr>
              <w:ind w:left="113" w:right="113"/>
              <w:jc w:val="center"/>
              <w:rPr>
                <w:b/>
                <w:bCs/>
                <w:i/>
                <w:sz w:val="22"/>
                <w:szCs w:val="22"/>
                <w:lang w:val="it-IT"/>
              </w:rPr>
            </w:pPr>
          </w:p>
        </w:tc>
        <w:tc>
          <w:tcPr>
            <w:tcW w:w="1113" w:type="pct"/>
            <w:vMerge/>
            <w:vAlign w:val="center"/>
          </w:tcPr>
          <w:p w14:paraId="3349FC17" w14:textId="77777777" w:rsidR="001C08A5" w:rsidRDefault="001C08A5">
            <w:pPr>
              <w:jc w:val="center"/>
              <w:rPr>
                <w:b/>
                <w:bCs/>
                <w:i/>
                <w:sz w:val="22"/>
                <w:szCs w:val="22"/>
                <w:lang w:val="en-GB"/>
              </w:rPr>
            </w:pPr>
          </w:p>
        </w:tc>
        <w:tc>
          <w:tcPr>
            <w:tcW w:w="2231" w:type="pct"/>
          </w:tcPr>
          <w:p w14:paraId="3858DF2A"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44761BCF"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c>
          <w:tcPr>
            <w:tcW w:w="824" w:type="pct"/>
            <w:vAlign w:val="center"/>
          </w:tcPr>
          <w:p w14:paraId="0215ADF8"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Nu se admite</w:t>
            </w:r>
          </w:p>
        </w:tc>
      </w:tr>
      <w:tr w:rsidR="001C08A5" w14:paraId="7D3F2395" w14:textId="77777777">
        <w:trPr>
          <w:trHeight w:val="90"/>
        </w:trPr>
        <w:tc>
          <w:tcPr>
            <w:tcW w:w="258" w:type="pct"/>
            <w:vMerge w:val="restart"/>
            <w:textDirection w:val="btLr"/>
            <w:vAlign w:val="center"/>
          </w:tcPr>
          <w:p w14:paraId="17872AD7" w14:textId="77777777" w:rsidR="001C08A5" w:rsidRDefault="00000000">
            <w:pPr>
              <w:ind w:left="113" w:right="113"/>
              <w:jc w:val="center"/>
              <w:rPr>
                <w:b/>
                <w:bCs/>
                <w:i/>
                <w:sz w:val="22"/>
                <w:szCs w:val="22"/>
                <w:lang w:val="en-GB"/>
              </w:rPr>
            </w:pPr>
            <w:r>
              <w:rPr>
                <w:b/>
                <w:bCs/>
                <w:i/>
                <w:sz w:val="22"/>
                <w:szCs w:val="22"/>
                <w:lang w:val="en-GB"/>
              </w:rPr>
              <w:t>Cultura</w:t>
            </w:r>
          </w:p>
        </w:tc>
        <w:tc>
          <w:tcPr>
            <w:tcW w:w="1113" w:type="pct"/>
            <w:vMerge w:val="restart"/>
            <w:vAlign w:val="center"/>
          </w:tcPr>
          <w:p w14:paraId="37833899" w14:textId="77777777" w:rsidR="001C08A5" w:rsidRDefault="00000000">
            <w:pPr>
              <w:jc w:val="center"/>
              <w:rPr>
                <w:b/>
                <w:bCs/>
                <w:i/>
                <w:sz w:val="22"/>
                <w:szCs w:val="22"/>
                <w:lang w:val="en-GB"/>
              </w:rPr>
            </w:pPr>
            <w:r>
              <w:rPr>
                <w:b/>
                <w:bCs/>
                <w:i/>
                <w:sz w:val="22"/>
                <w:szCs w:val="22"/>
              </w:rPr>
              <w:t>Expoziţii, muzee, biblioteci, cluburi, săli, centre și complexe culturale, cinematografe, teatre, săli polivalente etc.</w:t>
            </w:r>
          </w:p>
        </w:tc>
        <w:tc>
          <w:tcPr>
            <w:tcW w:w="2231" w:type="pct"/>
          </w:tcPr>
          <w:p w14:paraId="401F0BCA" w14:textId="77777777" w:rsidR="001C08A5" w:rsidRDefault="00000000">
            <w:pPr>
              <w:rPr>
                <w:b/>
                <w:bCs/>
                <w:i/>
                <w:sz w:val="22"/>
                <w:szCs w:val="22"/>
                <w:vertAlign w:val="superscript"/>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w:t>
            </w:r>
            <w:r>
              <w:rPr>
                <w:i/>
                <w:sz w:val="22"/>
                <w:szCs w:val="22"/>
              </w:rPr>
              <w:t>1E</w:t>
            </w:r>
            <w:r>
              <w:rPr>
                <w:i/>
                <w:sz w:val="22"/>
                <w:szCs w:val="22"/>
                <w:lang w:val="it-IT"/>
              </w:rPr>
              <w:t xml:space="preserve"> </w:t>
            </w:r>
          </w:p>
        </w:tc>
        <w:tc>
          <w:tcPr>
            <w:tcW w:w="572" w:type="pct"/>
            <w:vAlign w:val="center"/>
          </w:tcPr>
          <w:p w14:paraId="021425CB"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5000</w:t>
            </w:r>
          </w:p>
        </w:tc>
        <w:tc>
          <w:tcPr>
            <w:tcW w:w="824" w:type="pct"/>
            <w:vAlign w:val="center"/>
          </w:tcPr>
          <w:p w14:paraId="59FA9551"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r>
      <w:tr w:rsidR="001C08A5" w14:paraId="43E08B23" w14:textId="77777777">
        <w:trPr>
          <w:trHeight w:val="911"/>
        </w:trPr>
        <w:tc>
          <w:tcPr>
            <w:tcW w:w="258" w:type="pct"/>
            <w:vMerge/>
            <w:textDirection w:val="btLr"/>
            <w:vAlign w:val="center"/>
          </w:tcPr>
          <w:p w14:paraId="7A451631" w14:textId="77777777" w:rsidR="001C08A5" w:rsidRDefault="001C08A5">
            <w:pPr>
              <w:ind w:left="113" w:right="113"/>
              <w:jc w:val="center"/>
              <w:rPr>
                <w:b/>
                <w:bCs/>
                <w:i/>
                <w:sz w:val="22"/>
                <w:szCs w:val="22"/>
                <w:lang w:val="it-IT"/>
              </w:rPr>
            </w:pPr>
          </w:p>
        </w:tc>
        <w:tc>
          <w:tcPr>
            <w:tcW w:w="1113" w:type="pct"/>
            <w:vMerge/>
            <w:vAlign w:val="center"/>
          </w:tcPr>
          <w:p w14:paraId="47715ACC" w14:textId="77777777" w:rsidR="001C08A5" w:rsidRDefault="001C08A5">
            <w:pPr>
              <w:jc w:val="center"/>
              <w:rPr>
                <w:b/>
                <w:bCs/>
                <w:i/>
                <w:sz w:val="22"/>
                <w:szCs w:val="22"/>
                <w:lang w:val="en-GB"/>
              </w:rPr>
            </w:pPr>
          </w:p>
        </w:tc>
        <w:tc>
          <w:tcPr>
            <w:tcW w:w="2231" w:type="pct"/>
          </w:tcPr>
          <w:p w14:paraId="62B52DD5"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 P+2E</w:t>
            </w:r>
          </w:p>
          <w:p w14:paraId="5BAC2988" w14:textId="77777777" w:rsidR="001C08A5" w:rsidRDefault="00000000">
            <w:pPr>
              <w:rPr>
                <w:i/>
                <w:sz w:val="22"/>
                <w:szCs w:val="22"/>
              </w:rPr>
            </w:pPr>
            <w:r>
              <w:rPr>
                <w:i/>
                <w:sz w:val="22"/>
                <w:szCs w:val="22"/>
                <w:lang w:val="en-GB"/>
              </w:rPr>
              <w:t>s</w:t>
            </w:r>
            <w:r>
              <w:rPr>
                <w:i/>
                <w:sz w:val="22"/>
                <w:szCs w:val="22"/>
              </w:rPr>
              <w:t>i</w:t>
            </w:r>
          </w:p>
          <w:p w14:paraId="76C2287C"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xml:space="preserve">cu până la 20 m înălţime totală (până la coamă/atic) </w:t>
            </w:r>
            <w:r>
              <w:rPr>
                <w:b/>
                <w:bCs/>
                <w:i/>
                <w:sz w:val="22"/>
                <w:szCs w:val="22"/>
                <w:vertAlign w:val="superscript"/>
                <w:lang w:val="en-GB"/>
              </w:rPr>
              <w:t xml:space="preserve">1) </w:t>
            </w:r>
          </w:p>
        </w:tc>
        <w:tc>
          <w:tcPr>
            <w:tcW w:w="572" w:type="pct"/>
            <w:vAlign w:val="center"/>
          </w:tcPr>
          <w:p w14:paraId="11981456"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c>
          <w:tcPr>
            <w:tcW w:w="824" w:type="pct"/>
            <w:vAlign w:val="center"/>
          </w:tcPr>
          <w:p w14:paraId="1250E151"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r>
      <w:tr w:rsidR="001C08A5" w14:paraId="5D597039" w14:textId="77777777">
        <w:trPr>
          <w:trHeight w:val="633"/>
        </w:trPr>
        <w:tc>
          <w:tcPr>
            <w:tcW w:w="258" w:type="pct"/>
            <w:vMerge/>
            <w:textDirection w:val="btLr"/>
            <w:vAlign w:val="center"/>
          </w:tcPr>
          <w:p w14:paraId="184685B9" w14:textId="77777777" w:rsidR="001C08A5" w:rsidRDefault="001C08A5">
            <w:pPr>
              <w:ind w:left="113" w:right="113"/>
              <w:jc w:val="center"/>
              <w:rPr>
                <w:b/>
                <w:bCs/>
                <w:i/>
                <w:sz w:val="22"/>
                <w:szCs w:val="22"/>
                <w:lang w:val="it-IT"/>
              </w:rPr>
            </w:pPr>
          </w:p>
        </w:tc>
        <w:tc>
          <w:tcPr>
            <w:tcW w:w="1113" w:type="pct"/>
            <w:vMerge/>
            <w:vAlign w:val="center"/>
          </w:tcPr>
          <w:p w14:paraId="6484D309" w14:textId="77777777" w:rsidR="001C08A5" w:rsidRDefault="001C08A5">
            <w:pPr>
              <w:jc w:val="center"/>
              <w:rPr>
                <w:b/>
                <w:bCs/>
                <w:i/>
                <w:sz w:val="22"/>
                <w:szCs w:val="22"/>
                <w:lang w:val="en-GB"/>
              </w:rPr>
            </w:pPr>
          </w:p>
        </w:tc>
        <w:tc>
          <w:tcPr>
            <w:tcW w:w="2231" w:type="pct"/>
          </w:tcPr>
          <w:p w14:paraId="56A0EF63"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770C911D" w14:textId="77777777" w:rsidR="001C08A5" w:rsidRDefault="00000000">
            <w:pPr>
              <w:rPr>
                <w:b/>
                <w:bCs/>
                <w:i/>
                <w:sz w:val="22"/>
                <w:szCs w:val="22"/>
                <w:lang w:val="en-GB"/>
              </w:rPr>
            </w:pPr>
            <w:r>
              <w:rPr>
                <w:i/>
                <w:sz w:val="22"/>
                <w:szCs w:val="22"/>
              </w:rPr>
              <w:t xml:space="preserve">Sau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coamă/atic)</w:t>
            </w:r>
            <w:r>
              <w:rPr>
                <w:bCs/>
                <w:i/>
                <w:sz w:val="22"/>
                <w:szCs w:val="22"/>
              </w:rPr>
              <w:t xml:space="preserve">  </w:t>
            </w:r>
            <w:r>
              <w:rPr>
                <w:b/>
                <w:bCs/>
                <w:i/>
                <w:sz w:val="22"/>
                <w:szCs w:val="22"/>
                <w:vertAlign w:val="superscript"/>
                <w:lang w:val="en-GB"/>
              </w:rPr>
              <w:t>1)</w:t>
            </w:r>
            <w:r>
              <w:rPr>
                <w:b/>
                <w:bCs/>
                <w:i/>
                <w:sz w:val="22"/>
                <w:szCs w:val="22"/>
                <w:vertAlign w:val="superscript"/>
              </w:rPr>
              <w:t xml:space="preserve"> </w:t>
            </w:r>
            <w:r>
              <w:rPr>
                <w:b/>
                <w:bCs/>
                <w:i/>
                <w:sz w:val="22"/>
                <w:szCs w:val="22"/>
                <w:vertAlign w:val="superscript"/>
                <w:lang w:val="en-GB"/>
              </w:rPr>
              <w:t xml:space="preserve">2) </w:t>
            </w:r>
          </w:p>
        </w:tc>
        <w:tc>
          <w:tcPr>
            <w:tcW w:w="572" w:type="pct"/>
            <w:vAlign w:val="center"/>
          </w:tcPr>
          <w:p w14:paraId="3827F1CF"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c>
          <w:tcPr>
            <w:tcW w:w="824" w:type="pct"/>
            <w:vAlign w:val="center"/>
          </w:tcPr>
          <w:p w14:paraId="6F7457C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r>
      <w:tr w:rsidR="001C08A5" w14:paraId="62066B12" w14:textId="77777777">
        <w:trPr>
          <w:trHeight w:val="236"/>
        </w:trPr>
        <w:tc>
          <w:tcPr>
            <w:tcW w:w="258" w:type="pct"/>
            <w:vMerge/>
            <w:textDirection w:val="btLr"/>
            <w:vAlign w:val="center"/>
          </w:tcPr>
          <w:p w14:paraId="4B33143F" w14:textId="77777777" w:rsidR="001C08A5" w:rsidRDefault="001C08A5">
            <w:pPr>
              <w:ind w:left="113" w:right="113"/>
              <w:jc w:val="center"/>
              <w:rPr>
                <w:b/>
                <w:bCs/>
                <w:i/>
                <w:sz w:val="22"/>
                <w:szCs w:val="22"/>
                <w:lang w:val="it-IT"/>
              </w:rPr>
            </w:pPr>
          </w:p>
        </w:tc>
        <w:tc>
          <w:tcPr>
            <w:tcW w:w="1113" w:type="pct"/>
            <w:vMerge/>
            <w:vAlign w:val="center"/>
          </w:tcPr>
          <w:p w14:paraId="019C910D" w14:textId="77777777" w:rsidR="001C08A5" w:rsidRDefault="001C08A5">
            <w:pPr>
              <w:jc w:val="center"/>
              <w:rPr>
                <w:b/>
                <w:bCs/>
                <w:i/>
                <w:sz w:val="22"/>
                <w:szCs w:val="22"/>
                <w:lang w:val="en-GB"/>
              </w:rPr>
            </w:pPr>
          </w:p>
        </w:tc>
        <w:tc>
          <w:tcPr>
            <w:tcW w:w="2231" w:type="pct"/>
          </w:tcPr>
          <w:p w14:paraId="6E75633B"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286CC187"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6F49170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3C6A3079" w14:textId="77777777">
        <w:trPr>
          <w:trHeight w:val="407"/>
        </w:trPr>
        <w:tc>
          <w:tcPr>
            <w:tcW w:w="258" w:type="pct"/>
            <w:vMerge/>
            <w:textDirection w:val="btLr"/>
            <w:vAlign w:val="center"/>
          </w:tcPr>
          <w:p w14:paraId="2B467C77" w14:textId="77777777" w:rsidR="001C08A5" w:rsidRDefault="001C08A5">
            <w:pPr>
              <w:ind w:left="113" w:right="113"/>
              <w:jc w:val="center"/>
              <w:rPr>
                <w:b/>
                <w:bCs/>
                <w:i/>
                <w:sz w:val="22"/>
                <w:szCs w:val="22"/>
                <w:lang w:val="it-IT"/>
              </w:rPr>
            </w:pPr>
          </w:p>
        </w:tc>
        <w:tc>
          <w:tcPr>
            <w:tcW w:w="1113" w:type="pct"/>
            <w:vMerge/>
            <w:vAlign w:val="center"/>
          </w:tcPr>
          <w:p w14:paraId="4A219C6C" w14:textId="77777777" w:rsidR="001C08A5" w:rsidRDefault="001C08A5">
            <w:pPr>
              <w:jc w:val="center"/>
              <w:rPr>
                <w:b/>
                <w:bCs/>
                <w:i/>
                <w:sz w:val="22"/>
                <w:szCs w:val="22"/>
                <w:lang w:val="en-GB"/>
              </w:rPr>
            </w:pPr>
          </w:p>
        </w:tc>
        <w:tc>
          <w:tcPr>
            <w:tcW w:w="2231" w:type="pct"/>
          </w:tcPr>
          <w:p w14:paraId="067AC81C" w14:textId="77777777" w:rsidR="001C08A5" w:rsidRDefault="00000000">
            <w:pPr>
              <w:rPr>
                <w:b/>
                <w:bCs/>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clasificate ca monument istoric ce adapostesc valori deosebite</w:t>
            </w:r>
            <w:r>
              <w:rPr>
                <w:i/>
                <w:sz w:val="22"/>
                <w:szCs w:val="22"/>
                <w:lang w:val="en-GB"/>
              </w:rPr>
              <w:t xml:space="preserve"> (de patrimoniu)</w:t>
            </w:r>
          </w:p>
        </w:tc>
        <w:tc>
          <w:tcPr>
            <w:tcW w:w="572" w:type="pct"/>
            <w:vAlign w:val="center"/>
          </w:tcPr>
          <w:p w14:paraId="2F5B8ABA" w14:textId="77777777" w:rsidR="001C08A5" w:rsidRDefault="00000000">
            <w:pPr>
              <w:jc w:val="center"/>
              <w:rPr>
                <w:b/>
                <w:bCs/>
                <w:i/>
                <w:sz w:val="22"/>
                <w:szCs w:val="22"/>
              </w:rPr>
            </w:pPr>
            <w:r>
              <w:rPr>
                <w:b/>
                <w:bCs/>
                <w:i/>
                <w:sz w:val="22"/>
                <w:szCs w:val="22"/>
              </w:rPr>
              <w:t>3500</w:t>
            </w:r>
          </w:p>
        </w:tc>
        <w:tc>
          <w:tcPr>
            <w:tcW w:w="824" w:type="pct"/>
            <w:vAlign w:val="center"/>
          </w:tcPr>
          <w:p w14:paraId="65E5D005" w14:textId="77777777" w:rsidR="001C08A5" w:rsidRDefault="00000000">
            <w:pPr>
              <w:jc w:val="center"/>
              <w:rPr>
                <w:b/>
                <w:bCs/>
                <w:i/>
                <w:sz w:val="22"/>
                <w:szCs w:val="22"/>
              </w:rPr>
            </w:pPr>
            <w:r>
              <w:rPr>
                <w:b/>
                <w:bCs/>
                <w:i/>
                <w:sz w:val="22"/>
                <w:szCs w:val="22"/>
              </w:rPr>
              <w:t>2500</w:t>
            </w:r>
          </w:p>
        </w:tc>
      </w:tr>
      <w:tr w:rsidR="001C08A5" w14:paraId="18B1E7B6" w14:textId="77777777">
        <w:trPr>
          <w:trHeight w:val="136"/>
        </w:trPr>
        <w:tc>
          <w:tcPr>
            <w:tcW w:w="258" w:type="pct"/>
            <w:vMerge w:val="restart"/>
            <w:textDirection w:val="btLr"/>
            <w:vAlign w:val="center"/>
          </w:tcPr>
          <w:p w14:paraId="50D277EF" w14:textId="77777777" w:rsidR="001C08A5" w:rsidRDefault="00000000">
            <w:pPr>
              <w:ind w:left="113" w:right="113"/>
              <w:jc w:val="center"/>
              <w:rPr>
                <w:b/>
                <w:bCs/>
                <w:i/>
                <w:sz w:val="22"/>
                <w:szCs w:val="22"/>
                <w:lang w:val="en-GB"/>
              </w:rPr>
            </w:pPr>
            <w:r>
              <w:rPr>
                <w:b/>
                <w:bCs/>
                <w:i/>
                <w:sz w:val="22"/>
                <w:szCs w:val="22"/>
              </w:rPr>
              <w:t>Învăţământ</w:t>
            </w:r>
          </w:p>
        </w:tc>
        <w:tc>
          <w:tcPr>
            <w:tcW w:w="1113" w:type="pct"/>
            <w:vMerge w:val="restart"/>
            <w:vAlign w:val="center"/>
          </w:tcPr>
          <w:p w14:paraId="354FEDD5" w14:textId="77777777" w:rsidR="001C08A5" w:rsidRDefault="00000000">
            <w:pPr>
              <w:jc w:val="center"/>
              <w:rPr>
                <w:b/>
                <w:bCs/>
                <w:i/>
                <w:sz w:val="22"/>
                <w:szCs w:val="22"/>
              </w:rPr>
            </w:pPr>
            <w:r>
              <w:rPr>
                <w:b/>
                <w:bCs/>
                <w:i/>
                <w:sz w:val="22"/>
                <w:szCs w:val="22"/>
              </w:rPr>
              <w:t>Preșcolar</w:t>
            </w:r>
          </w:p>
        </w:tc>
        <w:tc>
          <w:tcPr>
            <w:tcW w:w="2231" w:type="pct"/>
          </w:tcPr>
          <w:p w14:paraId="5663CE55"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lang w:val="it-IT"/>
              </w:rPr>
              <w:t xml:space="preserve"> P</w:t>
            </w:r>
            <w:r>
              <w:rPr>
                <w:i/>
                <w:sz w:val="22"/>
                <w:szCs w:val="22"/>
                <w:lang w:val="en-GB"/>
              </w:rPr>
              <w:t xml:space="preserve"> </w:t>
            </w:r>
            <w:r>
              <w:rPr>
                <w:i/>
                <w:sz w:val="22"/>
                <w:szCs w:val="22"/>
                <w:lang w:val="it-IT"/>
              </w:rPr>
              <w:t xml:space="preserve"> </w:t>
            </w:r>
          </w:p>
        </w:tc>
        <w:tc>
          <w:tcPr>
            <w:tcW w:w="572" w:type="pct"/>
            <w:vAlign w:val="center"/>
          </w:tcPr>
          <w:p w14:paraId="4DEF776F"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4500</w:t>
            </w:r>
          </w:p>
        </w:tc>
        <w:tc>
          <w:tcPr>
            <w:tcW w:w="824" w:type="pct"/>
            <w:vAlign w:val="center"/>
          </w:tcPr>
          <w:p w14:paraId="76C5AE05"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r>
      <w:tr w:rsidR="001C08A5" w14:paraId="1A14CB88" w14:textId="77777777">
        <w:trPr>
          <w:trHeight w:val="183"/>
        </w:trPr>
        <w:tc>
          <w:tcPr>
            <w:tcW w:w="258" w:type="pct"/>
            <w:vMerge/>
            <w:textDirection w:val="btLr"/>
            <w:vAlign w:val="center"/>
          </w:tcPr>
          <w:p w14:paraId="7C12E830" w14:textId="77777777" w:rsidR="001C08A5" w:rsidRDefault="001C08A5">
            <w:pPr>
              <w:ind w:left="113" w:right="113"/>
              <w:jc w:val="center"/>
              <w:rPr>
                <w:b/>
                <w:bCs/>
                <w:i/>
                <w:sz w:val="22"/>
                <w:szCs w:val="22"/>
                <w:lang w:val="it-IT"/>
              </w:rPr>
            </w:pPr>
          </w:p>
        </w:tc>
        <w:tc>
          <w:tcPr>
            <w:tcW w:w="1113" w:type="pct"/>
            <w:vMerge/>
            <w:vAlign w:val="center"/>
          </w:tcPr>
          <w:p w14:paraId="7C6266AE" w14:textId="77777777" w:rsidR="001C08A5" w:rsidRDefault="001C08A5">
            <w:pPr>
              <w:jc w:val="center"/>
              <w:rPr>
                <w:b/>
                <w:bCs/>
                <w:i/>
                <w:sz w:val="22"/>
                <w:szCs w:val="22"/>
                <w:lang w:val="en-GB"/>
              </w:rPr>
            </w:pPr>
          </w:p>
        </w:tc>
        <w:tc>
          <w:tcPr>
            <w:tcW w:w="2231" w:type="pct"/>
          </w:tcPr>
          <w:p w14:paraId="660A1B1E"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lang w:val="it-IT"/>
              </w:rPr>
              <w:t xml:space="preserve"> P+</w:t>
            </w:r>
            <w:r>
              <w:rPr>
                <w:i/>
                <w:sz w:val="22"/>
                <w:szCs w:val="22"/>
              </w:rPr>
              <w:t>1E</w:t>
            </w:r>
            <w:r>
              <w:rPr>
                <w:i/>
                <w:sz w:val="22"/>
                <w:szCs w:val="22"/>
                <w:lang w:val="en-GB"/>
              </w:rPr>
              <w:t xml:space="preserve"> </w:t>
            </w:r>
            <w:r>
              <w:rPr>
                <w:i/>
                <w:sz w:val="22"/>
                <w:szCs w:val="22"/>
                <w:lang w:val="it-IT"/>
              </w:rPr>
              <w:t xml:space="preserve"> </w:t>
            </w:r>
          </w:p>
        </w:tc>
        <w:tc>
          <w:tcPr>
            <w:tcW w:w="572" w:type="pct"/>
            <w:vAlign w:val="center"/>
          </w:tcPr>
          <w:p w14:paraId="2CBF3C1F"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c>
          <w:tcPr>
            <w:tcW w:w="824" w:type="pct"/>
            <w:vAlign w:val="center"/>
          </w:tcPr>
          <w:p w14:paraId="3F722C28"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r>
      <w:tr w:rsidR="001C08A5" w14:paraId="7233634B" w14:textId="77777777">
        <w:trPr>
          <w:trHeight w:val="461"/>
        </w:trPr>
        <w:tc>
          <w:tcPr>
            <w:tcW w:w="258" w:type="pct"/>
            <w:vMerge/>
            <w:textDirection w:val="btLr"/>
            <w:vAlign w:val="center"/>
          </w:tcPr>
          <w:p w14:paraId="2AD0E172" w14:textId="77777777" w:rsidR="001C08A5" w:rsidRDefault="001C08A5">
            <w:pPr>
              <w:ind w:left="113" w:right="113"/>
              <w:jc w:val="center"/>
              <w:rPr>
                <w:b/>
                <w:bCs/>
                <w:i/>
                <w:sz w:val="22"/>
                <w:szCs w:val="22"/>
                <w:lang w:val="it-IT"/>
              </w:rPr>
            </w:pPr>
          </w:p>
        </w:tc>
        <w:tc>
          <w:tcPr>
            <w:tcW w:w="1113" w:type="pct"/>
            <w:vMerge/>
            <w:vAlign w:val="center"/>
          </w:tcPr>
          <w:p w14:paraId="2A659F5E" w14:textId="77777777" w:rsidR="001C08A5" w:rsidRDefault="001C08A5">
            <w:pPr>
              <w:jc w:val="center"/>
              <w:rPr>
                <w:b/>
                <w:bCs/>
                <w:i/>
                <w:sz w:val="22"/>
                <w:szCs w:val="22"/>
                <w:lang w:val="en-GB"/>
              </w:rPr>
            </w:pPr>
          </w:p>
        </w:tc>
        <w:tc>
          <w:tcPr>
            <w:tcW w:w="2231" w:type="pct"/>
          </w:tcPr>
          <w:p w14:paraId="179FA188"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P+2E</w:t>
            </w:r>
            <w:r>
              <w:rPr>
                <w:i/>
                <w:sz w:val="22"/>
                <w:szCs w:val="22"/>
                <w:lang w:val="en-GB"/>
              </w:rPr>
              <w:t xml:space="preserve"> (sau </w:t>
            </w:r>
            <w:r>
              <w:rPr>
                <w:i/>
                <w:sz w:val="22"/>
                <w:szCs w:val="22"/>
                <w:lang w:val="it-IT"/>
              </w:rPr>
              <w:t xml:space="preserve">≤ </w:t>
            </w:r>
            <w:r>
              <w:rPr>
                <w:i/>
                <w:sz w:val="22"/>
                <w:szCs w:val="22"/>
                <w:lang w:val="en-GB"/>
              </w:rPr>
              <w:t>8 m)</w:t>
            </w:r>
            <w:r>
              <w:rPr>
                <w:i/>
                <w:sz w:val="22"/>
                <w:szCs w:val="22"/>
              </w:rPr>
              <w:t xml:space="preserve"> şi</w:t>
            </w:r>
            <w:r>
              <w:rPr>
                <w:i/>
                <w:sz w:val="22"/>
                <w:szCs w:val="22"/>
                <w:lang w:val="en-GB"/>
              </w:rPr>
              <w:t xml:space="preserve"> </w:t>
            </w:r>
            <w:r>
              <w:rPr>
                <w:i/>
                <w:sz w:val="22"/>
                <w:szCs w:val="22"/>
              </w:rPr>
              <w:t xml:space="preserve">cu până la 20 m înălţime totală (până la </w:t>
            </w:r>
            <w:r>
              <w:rPr>
                <w:i/>
                <w:sz w:val="22"/>
                <w:szCs w:val="22"/>
                <w:lang w:val="en-GB"/>
              </w:rPr>
              <w:t>coamă/atic</w:t>
            </w:r>
            <w:r>
              <w:rPr>
                <w:i/>
                <w:sz w:val="22"/>
                <w:szCs w:val="22"/>
              </w:rPr>
              <w:t>)</w:t>
            </w:r>
            <w:r>
              <w:rPr>
                <w:b/>
                <w:bCs/>
                <w:i/>
                <w:sz w:val="22"/>
                <w:szCs w:val="22"/>
                <w:vertAlign w:val="superscript"/>
              </w:rPr>
              <w:t xml:space="preserve"> 1</w:t>
            </w:r>
            <w:r>
              <w:rPr>
                <w:b/>
                <w:bCs/>
                <w:i/>
                <w:sz w:val="22"/>
                <w:szCs w:val="22"/>
                <w:vertAlign w:val="superscript"/>
                <w:lang w:val="en-GB"/>
              </w:rPr>
              <w:t>)</w:t>
            </w:r>
            <w:r>
              <w:rPr>
                <w:i/>
                <w:sz w:val="22"/>
                <w:szCs w:val="22"/>
              </w:rPr>
              <w:t xml:space="preserve"> </w:t>
            </w:r>
            <w:r>
              <w:rPr>
                <w:b/>
                <w:bCs/>
                <w:i/>
                <w:sz w:val="22"/>
                <w:szCs w:val="22"/>
                <w:vertAlign w:val="superscript"/>
                <w:lang w:val="en-GB"/>
              </w:rPr>
              <w:t xml:space="preserve"> </w:t>
            </w:r>
            <w:r>
              <w:rPr>
                <w:i/>
                <w:sz w:val="22"/>
                <w:szCs w:val="22"/>
              </w:rPr>
              <w:t xml:space="preserve"> </w:t>
            </w:r>
          </w:p>
        </w:tc>
        <w:tc>
          <w:tcPr>
            <w:tcW w:w="572" w:type="pct"/>
            <w:vAlign w:val="center"/>
          </w:tcPr>
          <w:p w14:paraId="6204A3B7"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c>
          <w:tcPr>
            <w:tcW w:w="824" w:type="pct"/>
            <w:vAlign w:val="center"/>
          </w:tcPr>
          <w:p w14:paraId="67097DF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r>
      <w:tr w:rsidR="001C08A5" w14:paraId="7B12E64D" w14:textId="77777777">
        <w:trPr>
          <w:trHeight w:val="900"/>
        </w:trPr>
        <w:tc>
          <w:tcPr>
            <w:tcW w:w="258" w:type="pct"/>
            <w:vMerge/>
            <w:textDirection w:val="btLr"/>
            <w:vAlign w:val="center"/>
          </w:tcPr>
          <w:p w14:paraId="38753546" w14:textId="77777777" w:rsidR="001C08A5" w:rsidRDefault="001C08A5">
            <w:pPr>
              <w:ind w:left="113" w:right="113"/>
              <w:jc w:val="center"/>
              <w:rPr>
                <w:b/>
                <w:bCs/>
                <w:i/>
                <w:sz w:val="22"/>
                <w:szCs w:val="22"/>
                <w:lang w:val="it-IT"/>
              </w:rPr>
            </w:pPr>
          </w:p>
        </w:tc>
        <w:tc>
          <w:tcPr>
            <w:tcW w:w="1113" w:type="pct"/>
            <w:vMerge/>
            <w:vAlign w:val="center"/>
          </w:tcPr>
          <w:p w14:paraId="0389902E" w14:textId="77777777" w:rsidR="001C08A5" w:rsidRDefault="001C08A5">
            <w:pPr>
              <w:jc w:val="center"/>
              <w:rPr>
                <w:b/>
                <w:bCs/>
                <w:i/>
                <w:sz w:val="22"/>
                <w:szCs w:val="22"/>
                <w:lang w:val="en-GB"/>
              </w:rPr>
            </w:pPr>
          </w:p>
        </w:tc>
        <w:tc>
          <w:tcPr>
            <w:tcW w:w="2231" w:type="pct"/>
          </w:tcPr>
          <w:p w14:paraId="4F6CEEB4"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210E5FDC" w14:textId="77777777" w:rsidR="001C08A5" w:rsidRDefault="00000000">
            <w:pPr>
              <w:rPr>
                <w:i/>
                <w:sz w:val="22"/>
                <w:szCs w:val="22"/>
              </w:rPr>
            </w:pPr>
            <w:r>
              <w:rPr>
                <w:i/>
                <w:sz w:val="22"/>
                <w:szCs w:val="22"/>
              </w:rPr>
              <w:t xml:space="preserve">sau </w:t>
            </w:r>
          </w:p>
          <w:p w14:paraId="3F80470D"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w:t>
            </w:r>
            <w:r>
              <w:rPr>
                <w:b/>
                <w:bCs/>
                <w:i/>
                <w:sz w:val="22"/>
                <w:szCs w:val="22"/>
                <w:vertAlign w:val="superscript"/>
              </w:rPr>
              <w:t xml:space="preserve"> </w:t>
            </w:r>
            <w:r>
              <w:rPr>
                <w:b/>
                <w:bCs/>
                <w:i/>
                <w:sz w:val="22"/>
                <w:szCs w:val="22"/>
                <w:vertAlign w:val="superscript"/>
                <w:lang w:val="en-GB"/>
              </w:rPr>
              <w:t>2)</w:t>
            </w:r>
          </w:p>
        </w:tc>
        <w:tc>
          <w:tcPr>
            <w:tcW w:w="572" w:type="pct"/>
            <w:vAlign w:val="center"/>
          </w:tcPr>
          <w:p w14:paraId="3732862E"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c>
          <w:tcPr>
            <w:tcW w:w="824" w:type="pct"/>
            <w:vAlign w:val="center"/>
          </w:tcPr>
          <w:p w14:paraId="28525EFD"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r>
      <w:tr w:rsidR="001C08A5" w14:paraId="619D54E4" w14:textId="77777777">
        <w:trPr>
          <w:trHeight w:val="182"/>
        </w:trPr>
        <w:tc>
          <w:tcPr>
            <w:tcW w:w="258" w:type="pct"/>
            <w:vMerge/>
            <w:textDirection w:val="btLr"/>
            <w:vAlign w:val="center"/>
          </w:tcPr>
          <w:p w14:paraId="1F1A0260" w14:textId="77777777" w:rsidR="001C08A5" w:rsidRDefault="001C08A5">
            <w:pPr>
              <w:ind w:left="113" w:right="113"/>
              <w:jc w:val="center"/>
              <w:rPr>
                <w:b/>
                <w:bCs/>
                <w:i/>
                <w:sz w:val="22"/>
                <w:szCs w:val="22"/>
                <w:lang w:val="it-IT"/>
              </w:rPr>
            </w:pPr>
          </w:p>
        </w:tc>
        <w:tc>
          <w:tcPr>
            <w:tcW w:w="1113" w:type="pct"/>
            <w:vMerge/>
            <w:vAlign w:val="center"/>
          </w:tcPr>
          <w:p w14:paraId="43D9CDA7" w14:textId="77777777" w:rsidR="001C08A5" w:rsidRDefault="001C08A5">
            <w:pPr>
              <w:jc w:val="center"/>
              <w:rPr>
                <w:b/>
                <w:bCs/>
                <w:i/>
                <w:sz w:val="22"/>
                <w:szCs w:val="22"/>
                <w:lang w:val="en-GB"/>
              </w:rPr>
            </w:pPr>
          </w:p>
        </w:tc>
        <w:tc>
          <w:tcPr>
            <w:tcW w:w="2231" w:type="pct"/>
          </w:tcPr>
          <w:p w14:paraId="15B36307"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1DEAB17A"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4FA7560F"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10BFB683" w14:textId="77777777">
        <w:trPr>
          <w:trHeight w:val="193"/>
        </w:trPr>
        <w:tc>
          <w:tcPr>
            <w:tcW w:w="258" w:type="pct"/>
            <w:vMerge/>
            <w:textDirection w:val="btLr"/>
            <w:vAlign w:val="center"/>
          </w:tcPr>
          <w:p w14:paraId="6BCE87B1" w14:textId="77777777" w:rsidR="001C08A5" w:rsidRDefault="001C08A5">
            <w:pPr>
              <w:ind w:left="113" w:right="113"/>
              <w:jc w:val="center"/>
              <w:rPr>
                <w:b/>
                <w:bCs/>
                <w:i/>
                <w:sz w:val="22"/>
                <w:szCs w:val="22"/>
                <w:lang w:val="it-IT"/>
              </w:rPr>
            </w:pPr>
          </w:p>
        </w:tc>
        <w:tc>
          <w:tcPr>
            <w:tcW w:w="1113" w:type="pct"/>
            <w:vMerge w:val="restart"/>
            <w:vAlign w:val="center"/>
          </w:tcPr>
          <w:p w14:paraId="6D387B79" w14:textId="77777777" w:rsidR="001C08A5" w:rsidRDefault="00000000">
            <w:pPr>
              <w:jc w:val="center"/>
              <w:rPr>
                <w:b/>
                <w:bCs/>
                <w:i/>
                <w:sz w:val="22"/>
                <w:szCs w:val="22"/>
              </w:rPr>
            </w:pPr>
            <w:r>
              <w:rPr>
                <w:b/>
                <w:bCs/>
                <w:i/>
                <w:sz w:val="22"/>
                <w:szCs w:val="22"/>
              </w:rPr>
              <w:t xml:space="preserve"> Primar, secundar, terţiar, nonuniversitar şi universitar,</w:t>
            </w:r>
          </w:p>
          <w:p w14:paraId="2AE5B9A2" w14:textId="77777777" w:rsidR="001C08A5" w:rsidRDefault="00000000">
            <w:pPr>
              <w:jc w:val="center"/>
              <w:rPr>
                <w:b/>
                <w:bCs/>
                <w:i/>
                <w:sz w:val="22"/>
                <w:szCs w:val="22"/>
                <w:lang w:val="en-GB"/>
              </w:rPr>
            </w:pPr>
            <w:r>
              <w:rPr>
                <w:b/>
                <w:bCs/>
                <w:i/>
                <w:sz w:val="22"/>
                <w:szCs w:val="22"/>
              </w:rPr>
              <w:t>after school, spatii cazare pentru elevi si studenti, internate, cantine scolare, sali de sport aferente functiunii de invatamant, etc.</w:t>
            </w:r>
          </w:p>
        </w:tc>
        <w:tc>
          <w:tcPr>
            <w:tcW w:w="2231" w:type="pct"/>
          </w:tcPr>
          <w:p w14:paraId="4A0F4C40"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lang w:val="it-IT"/>
              </w:rPr>
              <w:t xml:space="preserve"> P</w:t>
            </w:r>
            <w:r>
              <w:rPr>
                <w:i/>
                <w:sz w:val="22"/>
                <w:szCs w:val="22"/>
                <w:lang w:val="en-GB"/>
              </w:rPr>
              <w:t xml:space="preserve"> </w:t>
            </w:r>
            <w:r>
              <w:rPr>
                <w:i/>
                <w:sz w:val="22"/>
                <w:szCs w:val="22"/>
                <w:lang w:val="it-IT"/>
              </w:rPr>
              <w:t xml:space="preserve"> </w:t>
            </w:r>
          </w:p>
        </w:tc>
        <w:tc>
          <w:tcPr>
            <w:tcW w:w="572" w:type="pct"/>
            <w:vAlign w:val="center"/>
          </w:tcPr>
          <w:p w14:paraId="47ED0944"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5000</w:t>
            </w:r>
          </w:p>
        </w:tc>
        <w:tc>
          <w:tcPr>
            <w:tcW w:w="824" w:type="pct"/>
            <w:vAlign w:val="center"/>
          </w:tcPr>
          <w:p w14:paraId="6B89639F"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4500</w:t>
            </w:r>
          </w:p>
        </w:tc>
      </w:tr>
      <w:tr w:rsidR="001C08A5" w14:paraId="39752617" w14:textId="77777777">
        <w:trPr>
          <w:trHeight w:val="161"/>
        </w:trPr>
        <w:tc>
          <w:tcPr>
            <w:tcW w:w="258" w:type="pct"/>
            <w:vMerge/>
            <w:textDirection w:val="btLr"/>
            <w:vAlign w:val="center"/>
          </w:tcPr>
          <w:p w14:paraId="25C97ADC" w14:textId="77777777" w:rsidR="001C08A5" w:rsidRDefault="001C08A5">
            <w:pPr>
              <w:ind w:left="113" w:right="113"/>
              <w:jc w:val="center"/>
              <w:rPr>
                <w:b/>
                <w:bCs/>
                <w:i/>
                <w:sz w:val="22"/>
                <w:szCs w:val="22"/>
                <w:lang w:val="it-IT"/>
              </w:rPr>
            </w:pPr>
          </w:p>
        </w:tc>
        <w:tc>
          <w:tcPr>
            <w:tcW w:w="1113" w:type="pct"/>
            <w:vMerge/>
            <w:vAlign w:val="center"/>
          </w:tcPr>
          <w:p w14:paraId="3D7B1766" w14:textId="77777777" w:rsidR="001C08A5" w:rsidRDefault="001C08A5">
            <w:pPr>
              <w:jc w:val="center"/>
              <w:rPr>
                <w:b/>
                <w:bCs/>
                <w:i/>
                <w:sz w:val="22"/>
                <w:szCs w:val="22"/>
                <w:lang w:val="en-GB"/>
              </w:rPr>
            </w:pPr>
          </w:p>
        </w:tc>
        <w:tc>
          <w:tcPr>
            <w:tcW w:w="2231" w:type="pct"/>
          </w:tcPr>
          <w:p w14:paraId="363D76DA"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lang w:val="it-IT"/>
              </w:rPr>
              <w:t xml:space="preserve"> P+</w:t>
            </w:r>
            <w:r>
              <w:rPr>
                <w:i/>
                <w:sz w:val="22"/>
                <w:szCs w:val="22"/>
              </w:rPr>
              <w:t>1E</w:t>
            </w:r>
            <w:r>
              <w:rPr>
                <w:i/>
                <w:sz w:val="22"/>
                <w:szCs w:val="22"/>
                <w:lang w:val="en-GB"/>
              </w:rPr>
              <w:t xml:space="preserve"> </w:t>
            </w:r>
            <w:r>
              <w:rPr>
                <w:i/>
                <w:sz w:val="22"/>
                <w:szCs w:val="22"/>
                <w:lang w:val="it-IT"/>
              </w:rPr>
              <w:t xml:space="preserve"> </w:t>
            </w:r>
          </w:p>
        </w:tc>
        <w:tc>
          <w:tcPr>
            <w:tcW w:w="572" w:type="pct"/>
            <w:vAlign w:val="center"/>
          </w:tcPr>
          <w:p w14:paraId="6F055804"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4500</w:t>
            </w:r>
          </w:p>
        </w:tc>
        <w:tc>
          <w:tcPr>
            <w:tcW w:w="824" w:type="pct"/>
            <w:vAlign w:val="center"/>
          </w:tcPr>
          <w:p w14:paraId="3B0E94F4"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r>
      <w:tr w:rsidR="001C08A5" w14:paraId="4EDB70F5" w14:textId="77777777">
        <w:trPr>
          <w:trHeight w:val="429"/>
        </w:trPr>
        <w:tc>
          <w:tcPr>
            <w:tcW w:w="258" w:type="pct"/>
            <w:vMerge/>
            <w:textDirection w:val="btLr"/>
            <w:vAlign w:val="center"/>
          </w:tcPr>
          <w:p w14:paraId="5E4304D7" w14:textId="77777777" w:rsidR="001C08A5" w:rsidRDefault="001C08A5">
            <w:pPr>
              <w:ind w:left="113" w:right="113"/>
              <w:jc w:val="center"/>
              <w:rPr>
                <w:b/>
                <w:bCs/>
                <w:i/>
                <w:sz w:val="22"/>
                <w:szCs w:val="22"/>
                <w:lang w:val="it-IT"/>
              </w:rPr>
            </w:pPr>
          </w:p>
        </w:tc>
        <w:tc>
          <w:tcPr>
            <w:tcW w:w="1113" w:type="pct"/>
            <w:vMerge/>
            <w:vAlign w:val="center"/>
          </w:tcPr>
          <w:p w14:paraId="4C1D86B2" w14:textId="77777777" w:rsidR="001C08A5" w:rsidRDefault="001C08A5">
            <w:pPr>
              <w:jc w:val="center"/>
              <w:rPr>
                <w:b/>
                <w:bCs/>
                <w:i/>
                <w:sz w:val="22"/>
                <w:szCs w:val="22"/>
                <w:lang w:val="en-GB"/>
              </w:rPr>
            </w:pPr>
          </w:p>
        </w:tc>
        <w:tc>
          <w:tcPr>
            <w:tcW w:w="2231" w:type="pct"/>
          </w:tcPr>
          <w:p w14:paraId="23C5254B"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P+2E</w:t>
            </w:r>
            <w:r>
              <w:rPr>
                <w:i/>
                <w:sz w:val="22"/>
                <w:szCs w:val="22"/>
                <w:lang w:val="en-GB"/>
              </w:rPr>
              <w:t xml:space="preserve"> (sau </w:t>
            </w:r>
            <w:r>
              <w:rPr>
                <w:i/>
                <w:sz w:val="22"/>
                <w:szCs w:val="22"/>
                <w:lang w:val="it-IT"/>
              </w:rPr>
              <w:t xml:space="preserve">≤ </w:t>
            </w:r>
            <w:r>
              <w:rPr>
                <w:i/>
                <w:sz w:val="22"/>
                <w:szCs w:val="22"/>
                <w:lang w:val="en-GB"/>
              </w:rPr>
              <w:t>8 m)</w:t>
            </w:r>
            <w:r>
              <w:rPr>
                <w:i/>
                <w:sz w:val="22"/>
                <w:szCs w:val="22"/>
              </w:rPr>
              <w:t xml:space="preserve"> şi</w:t>
            </w:r>
            <w:r>
              <w:rPr>
                <w:i/>
                <w:sz w:val="22"/>
                <w:szCs w:val="22"/>
                <w:lang w:val="en-GB"/>
              </w:rPr>
              <w:t xml:space="preserve"> </w:t>
            </w:r>
            <w:r>
              <w:rPr>
                <w:i/>
                <w:sz w:val="22"/>
                <w:szCs w:val="22"/>
              </w:rPr>
              <w:t xml:space="preserve">cu până la 20 m înălţime totală (până la </w:t>
            </w:r>
            <w:r>
              <w:rPr>
                <w:i/>
                <w:sz w:val="22"/>
                <w:szCs w:val="22"/>
                <w:lang w:val="en-GB"/>
              </w:rPr>
              <w:t>coamă/atic</w:t>
            </w:r>
            <w:r>
              <w:rPr>
                <w:i/>
                <w:sz w:val="22"/>
                <w:szCs w:val="22"/>
              </w:rPr>
              <w:t xml:space="preserve">) </w:t>
            </w:r>
            <w:r>
              <w:rPr>
                <w:b/>
                <w:bCs/>
                <w:i/>
                <w:sz w:val="22"/>
                <w:szCs w:val="22"/>
                <w:vertAlign w:val="superscript"/>
                <w:lang w:val="en-GB"/>
              </w:rPr>
              <w:t xml:space="preserve">1) </w:t>
            </w:r>
            <w:r>
              <w:rPr>
                <w:i/>
                <w:sz w:val="22"/>
                <w:szCs w:val="22"/>
              </w:rPr>
              <w:t xml:space="preserve"> </w:t>
            </w:r>
          </w:p>
        </w:tc>
        <w:tc>
          <w:tcPr>
            <w:tcW w:w="572" w:type="pct"/>
            <w:vAlign w:val="center"/>
          </w:tcPr>
          <w:p w14:paraId="5D3484C9"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c>
          <w:tcPr>
            <w:tcW w:w="824" w:type="pct"/>
            <w:vAlign w:val="center"/>
          </w:tcPr>
          <w:p w14:paraId="42D70B5B"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r>
      <w:tr w:rsidR="001C08A5" w14:paraId="3E98B197" w14:textId="77777777">
        <w:trPr>
          <w:trHeight w:val="729"/>
        </w:trPr>
        <w:tc>
          <w:tcPr>
            <w:tcW w:w="258" w:type="pct"/>
            <w:vMerge/>
            <w:textDirection w:val="btLr"/>
            <w:vAlign w:val="center"/>
          </w:tcPr>
          <w:p w14:paraId="53894B1B" w14:textId="77777777" w:rsidR="001C08A5" w:rsidRDefault="001C08A5">
            <w:pPr>
              <w:ind w:left="113" w:right="113"/>
              <w:jc w:val="center"/>
              <w:rPr>
                <w:b/>
                <w:bCs/>
                <w:i/>
                <w:sz w:val="22"/>
                <w:szCs w:val="22"/>
                <w:lang w:val="it-IT"/>
              </w:rPr>
            </w:pPr>
          </w:p>
        </w:tc>
        <w:tc>
          <w:tcPr>
            <w:tcW w:w="1113" w:type="pct"/>
            <w:vMerge/>
            <w:vAlign w:val="center"/>
          </w:tcPr>
          <w:p w14:paraId="55133E6C" w14:textId="77777777" w:rsidR="001C08A5" w:rsidRDefault="001C08A5">
            <w:pPr>
              <w:jc w:val="center"/>
              <w:rPr>
                <w:b/>
                <w:bCs/>
                <w:i/>
                <w:sz w:val="22"/>
                <w:szCs w:val="22"/>
                <w:lang w:val="en-GB"/>
              </w:rPr>
            </w:pPr>
          </w:p>
        </w:tc>
        <w:tc>
          <w:tcPr>
            <w:tcW w:w="2231" w:type="pct"/>
          </w:tcPr>
          <w:p w14:paraId="5E4E997D"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08632B9A" w14:textId="77777777" w:rsidR="001C08A5" w:rsidRDefault="00000000">
            <w:pPr>
              <w:rPr>
                <w:i/>
                <w:sz w:val="22"/>
                <w:szCs w:val="22"/>
              </w:rPr>
            </w:pPr>
            <w:r>
              <w:rPr>
                <w:i/>
                <w:sz w:val="22"/>
                <w:szCs w:val="22"/>
              </w:rPr>
              <w:t xml:space="preserve">sau </w:t>
            </w:r>
          </w:p>
          <w:p w14:paraId="5F8C6898"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w:t>
            </w:r>
            <w:r>
              <w:rPr>
                <w:b/>
                <w:bCs/>
                <w:i/>
                <w:sz w:val="22"/>
                <w:szCs w:val="22"/>
                <w:vertAlign w:val="superscript"/>
              </w:rPr>
              <w:t xml:space="preserve"> </w:t>
            </w:r>
            <w:r>
              <w:rPr>
                <w:b/>
                <w:bCs/>
                <w:i/>
                <w:sz w:val="22"/>
                <w:szCs w:val="22"/>
                <w:vertAlign w:val="superscript"/>
                <w:lang w:val="en-GB"/>
              </w:rPr>
              <w:t>2)</w:t>
            </w:r>
          </w:p>
        </w:tc>
        <w:tc>
          <w:tcPr>
            <w:tcW w:w="572" w:type="pct"/>
            <w:vAlign w:val="center"/>
          </w:tcPr>
          <w:p w14:paraId="28956B28"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c>
          <w:tcPr>
            <w:tcW w:w="824" w:type="pct"/>
            <w:vAlign w:val="center"/>
          </w:tcPr>
          <w:p w14:paraId="073CB281"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r>
      <w:tr w:rsidR="001C08A5" w14:paraId="44779DA1" w14:textId="77777777">
        <w:trPr>
          <w:trHeight w:val="204"/>
        </w:trPr>
        <w:tc>
          <w:tcPr>
            <w:tcW w:w="258" w:type="pct"/>
            <w:vMerge/>
            <w:textDirection w:val="btLr"/>
            <w:vAlign w:val="center"/>
          </w:tcPr>
          <w:p w14:paraId="02E1C693" w14:textId="77777777" w:rsidR="001C08A5" w:rsidRDefault="001C08A5">
            <w:pPr>
              <w:ind w:left="113" w:right="113"/>
              <w:jc w:val="center"/>
              <w:rPr>
                <w:b/>
                <w:bCs/>
                <w:i/>
                <w:sz w:val="22"/>
                <w:szCs w:val="22"/>
                <w:lang w:val="it-IT"/>
              </w:rPr>
            </w:pPr>
          </w:p>
        </w:tc>
        <w:tc>
          <w:tcPr>
            <w:tcW w:w="1113" w:type="pct"/>
            <w:vMerge/>
            <w:vAlign w:val="center"/>
          </w:tcPr>
          <w:p w14:paraId="2A8BAB47" w14:textId="77777777" w:rsidR="001C08A5" w:rsidRDefault="001C08A5">
            <w:pPr>
              <w:jc w:val="center"/>
              <w:rPr>
                <w:b/>
                <w:bCs/>
                <w:i/>
                <w:sz w:val="22"/>
                <w:szCs w:val="22"/>
                <w:lang w:val="en-GB"/>
              </w:rPr>
            </w:pPr>
          </w:p>
        </w:tc>
        <w:tc>
          <w:tcPr>
            <w:tcW w:w="2231" w:type="pct"/>
          </w:tcPr>
          <w:p w14:paraId="4B368D46"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06D6960B"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7146CEC7"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2C705C11" w14:textId="77777777">
        <w:trPr>
          <w:trHeight w:val="100"/>
        </w:trPr>
        <w:tc>
          <w:tcPr>
            <w:tcW w:w="258" w:type="pct"/>
            <w:vMerge w:val="restart"/>
            <w:textDirection w:val="btLr"/>
            <w:vAlign w:val="center"/>
          </w:tcPr>
          <w:p w14:paraId="3BE714B6" w14:textId="77777777" w:rsidR="001C08A5" w:rsidRDefault="00000000">
            <w:pPr>
              <w:ind w:left="113" w:right="113"/>
              <w:jc w:val="center"/>
              <w:rPr>
                <w:b/>
                <w:bCs/>
                <w:i/>
                <w:sz w:val="22"/>
                <w:szCs w:val="22"/>
                <w:lang w:val="en-GB"/>
              </w:rPr>
            </w:pPr>
            <w:r>
              <w:rPr>
                <w:b/>
                <w:bCs/>
                <w:i/>
                <w:sz w:val="22"/>
                <w:szCs w:val="22"/>
                <w:lang w:val="en-GB"/>
              </w:rPr>
              <w:lastRenderedPageBreak/>
              <w:t>Turism</w:t>
            </w:r>
          </w:p>
        </w:tc>
        <w:tc>
          <w:tcPr>
            <w:tcW w:w="1113" w:type="pct"/>
            <w:vMerge w:val="restart"/>
            <w:vAlign w:val="center"/>
          </w:tcPr>
          <w:p w14:paraId="2B12612F" w14:textId="77777777" w:rsidR="001C08A5" w:rsidRDefault="00000000">
            <w:pPr>
              <w:jc w:val="center"/>
              <w:rPr>
                <w:b/>
                <w:bCs/>
                <w:i/>
                <w:sz w:val="22"/>
                <w:szCs w:val="22"/>
                <w:lang w:val="en-GB"/>
              </w:rPr>
            </w:pPr>
            <w:r>
              <w:rPr>
                <w:b/>
                <w:bCs/>
                <w:i/>
                <w:sz w:val="22"/>
                <w:szCs w:val="22"/>
              </w:rPr>
              <w:t>Hoteluri, hosteluri, moteluri, vile, bungalouri, cabane, pensiuni etc.</w:t>
            </w:r>
          </w:p>
        </w:tc>
        <w:tc>
          <w:tcPr>
            <w:tcW w:w="2231" w:type="pct"/>
          </w:tcPr>
          <w:p w14:paraId="7B272475" w14:textId="77777777" w:rsidR="001C08A5" w:rsidRDefault="00000000">
            <w:pPr>
              <w:rPr>
                <w:i/>
                <w:sz w:val="22"/>
                <w:szCs w:val="22"/>
                <w:lang w:val="en-GB"/>
              </w:rPr>
            </w:pPr>
            <w:r>
              <w:rPr>
                <w:i/>
                <w:sz w:val="22"/>
                <w:szCs w:val="22"/>
                <w:lang w:val="en-GB"/>
              </w:rPr>
              <w:t>C</w:t>
            </w:r>
            <w:r>
              <w:rPr>
                <w:i/>
                <w:sz w:val="22"/>
                <w:szCs w:val="22"/>
                <w:lang w:val="pt-BR"/>
              </w:rPr>
              <w:t>aban</w:t>
            </w:r>
            <w:r>
              <w:rPr>
                <w:i/>
                <w:sz w:val="22"/>
                <w:szCs w:val="22"/>
                <w:lang w:val="en-GB"/>
              </w:rPr>
              <w:t>e</w:t>
            </w:r>
            <w:r>
              <w:rPr>
                <w:i/>
                <w:sz w:val="22"/>
                <w:szCs w:val="22"/>
                <w:lang w:val="pt-BR"/>
              </w:rPr>
              <w:t xml:space="preserve"> montan</w:t>
            </w:r>
            <w:r>
              <w:rPr>
                <w:i/>
                <w:sz w:val="22"/>
                <w:szCs w:val="22"/>
                <w:lang w:val="en-GB"/>
              </w:rPr>
              <w:t>e</w:t>
            </w:r>
            <w:r>
              <w:rPr>
                <w:i/>
                <w:sz w:val="22"/>
                <w:szCs w:val="22"/>
                <w:lang w:val="pt-BR"/>
              </w:rPr>
              <w:t xml:space="preserve"> P+</w:t>
            </w:r>
            <w:r>
              <w:rPr>
                <w:i/>
                <w:sz w:val="22"/>
                <w:szCs w:val="22"/>
              </w:rPr>
              <w:t>1E</w:t>
            </w:r>
            <w:r>
              <w:rPr>
                <w:i/>
                <w:sz w:val="22"/>
                <w:szCs w:val="22"/>
                <w:lang w:val="pt-BR"/>
              </w:rPr>
              <w:t>+M</w:t>
            </w:r>
          </w:p>
        </w:tc>
        <w:tc>
          <w:tcPr>
            <w:tcW w:w="572" w:type="pct"/>
            <w:vAlign w:val="center"/>
          </w:tcPr>
          <w:p w14:paraId="27AE9B49" w14:textId="77777777" w:rsidR="001C08A5" w:rsidRDefault="00000000">
            <w:pPr>
              <w:jc w:val="center"/>
              <w:rPr>
                <w:b/>
                <w:bCs/>
                <w:i/>
                <w:sz w:val="22"/>
                <w:szCs w:val="22"/>
              </w:rPr>
            </w:pPr>
            <w:r>
              <w:rPr>
                <w:b/>
                <w:bCs/>
                <w:i/>
                <w:sz w:val="22"/>
                <w:szCs w:val="22"/>
              </w:rPr>
              <w:t>4500</w:t>
            </w:r>
          </w:p>
        </w:tc>
        <w:tc>
          <w:tcPr>
            <w:tcW w:w="824" w:type="pct"/>
            <w:vAlign w:val="center"/>
          </w:tcPr>
          <w:p w14:paraId="7087FFE1" w14:textId="77777777" w:rsidR="001C08A5" w:rsidRDefault="00000000">
            <w:pPr>
              <w:jc w:val="center"/>
              <w:rPr>
                <w:b/>
                <w:bCs/>
                <w:i/>
                <w:sz w:val="22"/>
                <w:szCs w:val="22"/>
              </w:rPr>
            </w:pPr>
            <w:r>
              <w:rPr>
                <w:b/>
                <w:bCs/>
                <w:i/>
                <w:sz w:val="22"/>
                <w:szCs w:val="22"/>
              </w:rPr>
              <w:t>4000</w:t>
            </w:r>
          </w:p>
        </w:tc>
      </w:tr>
      <w:tr w:rsidR="001C08A5" w14:paraId="65812264" w14:textId="77777777">
        <w:trPr>
          <w:trHeight w:val="193"/>
        </w:trPr>
        <w:tc>
          <w:tcPr>
            <w:tcW w:w="258" w:type="pct"/>
            <w:vMerge/>
            <w:textDirection w:val="btLr"/>
            <w:vAlign w:val="center"/>
          </w:tcPr>
          <w:p w14:paraId="6D88BF6E" w14:textId="77777777" w:rsidR="001C08A5" w:rsidRDefault="001C08A5">
            <w:pPr>
              <w:ind w:left="113" w:right="113"/>
              <w:jc w:val="center"/>
              <w:rPr>
                <w:b/>
                <w:bCs/>
                <w:i/>
                <w:sz w:val="22"/>
                <w:szCs w:val="22"/>
                <w:lang w:val="it-IT"/>
              </w:rPr>
            </w:pPr>
          </w:p>
        </w:tc>
        <w:tc>
          <w:tcPr>
            <w:tcW w:w="1113" w:type="pct"/>
            <w:vMerge/>
            <w:vAlign w:val="center"/>
          </w:tcPr>
          <w:p w14:paraId="3224D533" w14:textId="77777777" w:rsidR="001C08A5" w:rsidRDefault="001C08A5">
            <w:pPr>
              <w:jc w:val="center"/>
              <w:rPr>
                <w:b/>
                <w:bCs/>
                <w:i/>
                <w:sz w:val="22"/>
                <w:szCs w:val="22"/>
                <w:lang w:val="en-GB"/>
              </w:rPr>
            </w:pPr>
          </w:p>
        </w:tc>
        <w:tc>
          <w:tcPr>
            <w:tcW w:w="2231" w:type="pct"/>
          </w:tcPr>
          <w:p w14:paraId="4A13D148" w14:textId="77777777" w:rsidR="001C08A5" w:rsidRDefault="00000000">
            <w:pPr>
              <w:rPr>
                <w:b/>
                <w:bCs/>
                <w:i/>
                <w:sz w:val="22"/>
                <w:szCs w:val="22"/>
                <w:vertAlign w:val="superscript"/>
                <w:lang w:val="en-GB"/>
              </w:rPr>
            </w:pPr>
            <w:r>
              <w:rPr>
                <w:i/>
                <w:sz w:val="22"/>
                <w:szCs w:val="22"/>
              </w:rPr>
              <w:t>P+1E si</w:t>
            </w:r>
            <w:r>
              <w:rPr>
                <w:i/>
                <w:sz w:val="22"/>
                <w:szCs w:val="22"/>
                <w:lang w:val="en-GB"/>
              </w:rPr>
              <w:t xml:space="preserve"> </w:t>
            </w:r>
            <w:r>
              <w:rPr>
                <w:i/>
                <w:sz w:val="22"/>
                <w:szCs w:val="22"/>
              </w:rPr>
              <w:t>≤ 50 de persoane</w:t>
            </w:r>
            <w:r>
              <w:rPr>
                <w:i/>
                <w:sz w:val="22"/>
                <w:szCs w:val="22"/>
                <w:lang w:val="en-GB"/>
              </w:rPr>
              <w:t xml:space="preserve"> </w:t>
            </w:r>
          </w:p>
        </w:tc>
        <w:tc>
          <w:tcPr>
            <w:tcW w:w="572" w:type="pct"/>
            <w:vAlign w:val="center"/>
          </w:tcPr>
          <w:p w14:paraId="75508321"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4000</w:t>
            </w:r>
          </w:p>
        </w:tc>
        <w:tc>
          <w:tcPr>
            <w:tcW w:w="824" w:type="pct"/>
            <w:vAlign w:val="center"/>
          </w:tcPr>
          <w:p w14:paraId="2CC3903C"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r>
      <w:tr w:rsidR="001C08A5" w14:paraId="3633A022" w14:textId="77777777">
        <w:trPr>
          <w:trHeight w:val="193"/>
        </w:trPr>
        <w:tc>
          <w:tcPr>
            <w:tcW w:w="258" w:type="pct"/>
            <w:vMerge/>
            <w:textDirection w:val="btLr"/>
            <w:vAlign w:val="center"/>
          </w:tcPr>
          <w:p w14:paraId="261132F1" w14:textId="77777777" w:rsidR="001C08A5" w:rsidRDefault="001C08A5">
            <w:pPr>
              <w:ind w:left="113" w:right="113"/>
              <w:jc w:val="center"/>
              <w:rPr>
                <w:b/>
                <w:bCs/>
                <w:i/>
                <w:sz w:val="22"/>
                <w:szCs w:val="22"/>
                <w:lang w:val="it-IT"/>
              </w:rPr>
            </w:pPr>
          </w:p>
        </w:tc>
        <w:tc>
          <w:tcPr>
            <w:tcW w:w="1113" w:type="pct"/>
            <w:vMerge/>
            <w:vAlign w:val="center"/>
          </w:tcPr>
          <w:p w14:paraId="7CDC0E81" w14:textId="77777777" w:rsidR="001C08A5" w:rsidRDefault="001C08A5">
            <w:pPr>
              <w:jc w:val="center"/>
              <w:rPr>
                <w:b/>
                <w:bCs/>
                <w:i/>
                <w:sz w:val="22"/>
                <w:szCs w:val="22"/>
                <w:lang w:val="en-GB"/>
              </w:rPr>
            </w:pPr>
          </w:p>
        </w:tc>
        <w:tc>
          <w:tcPr>
            <w:tcW w:w="2231" w:type="pct"/>
          </w:tcPr>
          <w:p w14:paraId="21256B98" w14:textId="77777777" w:rsidR="001C08A5" w:rsidRDefault="00000000">
            <w:pPr>
              <w:rPr>
                <w:b/>
                <w:bCs/>
                <w:i/>
                <w:sz w:val="22"/>
                <w:szCs w:val="22"/>
                <w:vertAlign w:val="superscript"/>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P+2E si</w:t>
            </w:r>
            <w:r>
              <w:rPr>
                <w:i/>
                <w:sz w:val="22"/>
                <w:szCs w:val="22"/>
                <w:lang w:val="en-GB"/>
              </w:rPr>
              <w:t xml:space="preserve"> </w:t>
            </w:r>
            <w:r>
              <w:rPr>
                <w:i/>
                <w:sz w:val="22"/>
                <w:szCs w:val="22"/>
              </w:rPr>
              <w:t>≤ 100 de persoane</w:t>
            </w:r>
            <w:r>
              <w:rPr>
                <w:i/>
                <w:sz w:val="22"/>
                <w:szCs w:val="22"/>
                <w:lang w:val="en-GB"/>
              </w:rPr>
              <w:t xml:space="preserve"> </w:t>
            </w:r>
          </w:p>
        </w:tc>
        <w:tc>
          <w:tcPr>
            <w:tcW w:w="572" w:type="pct"/>
            <w:vAlign w:val="center"/>
          </w:tcPr>
          <w:p w14:paraId="339D5C18"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3750</w:t>
            </w:r>
          </w:p>
        </w:tc>
        <w:tc>
          <w:tcPr>
            <w:tcW w:w="824" w:type="pct"/>
            <w:vAlign w:val="center"/>
          </w:tcPr>
          <w:p w14:paraId="36E2CF33"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3250</w:t>
            </w:r>
          </w:p>
        </w:tc>
      </w:tr>
      <w:tr w:rsidR="001C08A5" w14:paraId="12D26E06" w14:textId="77777777">
        <w:trPr>
          <w:trHeight w:val="686"/>
        </w:trPr>
        <w:tc>
          <w:tcPr>
            <w:tcW w:w="258" w:type="pct"/>
            <w:vMerge/>
            <w:textDirection w:val="btLr"/>
            <w:vAlign w:val="center"/>
          </w:tcPr>
          <w:p w14:paraId="75931290" w14:textId="77777777" w:rsidR="001C08A5" w:rsidRDefault="001C08A5">
            <w:pPr>
              <w:ind w:left="113" w:right="113"/>
              <w:jc w:val="center"/>
              <w:rPr>
                <w:b/>
                <w:bCs/>
                <w:i/>
                <w:sz w:val="22"/>
                <w:szCs w:val="22"/>
                <w:lang w:val="it-IT"/>
              </w:rPr>
            </w:pPr>
          </w:p>
        </w:tc>
        <w:tc>
          <w:tcPr>
            <w:tcW w:w="1113" w:type="pct"/>
            <w:vMerge/>
            <w:vAlign w:val="center"/>
          </w:tcPr>
          <w:p w14:paraId="263C12D4" w14:textId="77777777" w:rsidR="001C08A5" w:rsidRDefault="001C08A5">
            <w:pPr>
              <w:jc w:val="center"/>
              <w:rPr>
                <w:b/>
                <w:bCs/>
                <w:i/>
                <w:sz w:val="22"/>
                <w:szCs w:val="22"/>
                <w:lang w:val="en-GB"/>
              </w:rPr>
            </w:pPr>
          </w:p>
        </w:tc>
        <w:tc>
          <w:tcPr>
            <w:tcW w:w="2231" w:type="pct"/>
          </w:tcPr>
          <w:p w14:paraId="69AB13DF" w14:textId="77777777" w:rsidR="001C08A5" w:rsidRDefault="00000000">
            <w:pPr>
              <w:rPr>
                <w:i/>
                <w:sz w:val="22"/>
                <w:szCs w:val="22"/>
                <w:lang w:val="it-IT"/>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xml:space="preserve">≤ P+4E </w:t>
            </w:r>
            <w:r>
              <w:rPr>
                <w:b/>
                <w:bCs/>
                <w:i/>
                <w:sz w:val="22"/>
                <w:szCs w:val="22"/>
                <w:vertAlign w:val="superscript"/>
                <w:lang w:val="en-GB"/>
              </w:rPr>
              <w:t>2)</w:t>
            </w:r>
          </w:p>
          <w:p w14:paraId="63264F71" w14:textId="77777777" w:rsidR="001C08A5" w:rsidRDefault="00000000">
            <w:pPr>
              <w:rPr>
                <w:i/>
                <w:sz w:val="22"/>
                <w:szCs w:val="22"/>
                <w:lang w:val="it-IT"/>
              </w:rPr>
            </w:pPr>
            <w:r>
              <w:rPr>
                <w:i/>
                <w:sz w:val="22"/>
                <w:szCs w:val="22"/>
                <w:lang w:val="it-IT"/>
              </w:rPr>
              <w:t>sau</w:t>
            </w:r>
          </w:p>
          <w:p w14:paraId="4FC27E70" w14:textId="77777777" w:rsidR="001C08A5" w:rsidRDefault="00000000">
            <w:pPr>
              <w:rPr>
                <w:b/>
                <w:bCs/>
                <w:i/>
                <w:sz w:val="22"/>
                <w:szCs w:val="22"/>
                <w:lang w:val="en-GB"/>
              </w:rPr>
            </w:pPr>
            <w:r>
              <w:rPr>
                <w:i/>
                <w:sz w:val="22"/>
                <w:szCs w:val="22"/>
                <w:lang w:val="it-IT"/>
              </w:rPr>
              <w:t>&gt; 100 de persoane</w:t>
            </w:r>
          </w:p>
        </w:tc>
        <w:tc>
          <w:tcPr>
            <w:tcW w:w="572" w:type="pct"/>
            <w:vAlign w:val="center"/>
          </w:tcPr>
          <w:p w14:paraId="7379671A" w14:textId="77777777" w:rsidR="001C08A5" w:rsidRDefault="00000000">
            <w:pPr>
              <w:spacing w:before="100" w:beforeAutospacing="1" w:after="100" w:afterAutospacing="1"/>
              <w:jc w:val="center"/>
              <w:rPr>
                <w:b/>
                <w:bCs/>
                <w:i/>
                <w:sz w:val="22"/>
                <w:szCs w:val="22"/>
              </w:rPr>
            </w:pPr>
            <w:r>
              <w:rPr>
                <w:b/>
                <w:bCs/>
                <w:i/>
                <w:sz w:val="22"/>
                <w:szCs w:val="22"/>
                <w:lang w:eastAsia="en-GB"/>
              </w:rPr>
              <w:t>3500</w:t>
            </w:r>
          </w:p>
        </w:tc>
        <w:tc>
          <w:tcPr>
            <w:tcW w:w="824" w:type="pct"/>
            <w:vAlign w:val="center"/>
          </w:tcPr>
          <w:p w14:paraId="1375372D" w14:textId="77777777" w:rsidR="001C08A5" w:rsidRDefault="00000000">
            <w:pPr>
              <w:spacing w:before="100" w:beforeAutospacing="1" w:after="100" w:afterAutospacing="1"/>
              <w:jc w:val="center"/>
              <w:rPr>
                <w:b/>
                <w:bCs/>
                <w:i/>
                <w:sz w:val="22"/>
                <w:szCs w:val="22"/>
              </w:rPr>
            </w:pPr>
            <w:r>
              <w:rPr>
                <w:b/>
                <w:bCs/>
                <w:i/>
                <w:sz w:val="22"/>
                <w:szCs w:val="22"/>
                <w:lang w:eastAsia="en-GB"/>
              </w:rPr>
              <w:t>3000</w:t>
            </w:r>
          </w:p>
        </w:tc>
      </w:tr>
      <w:tr w:rsidR="001C08A5" w14:paraId="385C99E4" w14:textId="77777777">
        <w:trPr>
          <w:trHeight w:val="890"/>
        </w:trPr>
        <w:tc>
          <w:tcPr>
            <w:tcW w:w="258" w:type="pct"/>
            <w:vMerge/>
            <w:textDirection w:val="btLr"/>
            <w:vAlign w:val="center"/>
          </w:tcPr>
          <w:p w14:paraId="2DD3AA42" w14:textId="77777777" w:rsidR="001C08A5" w:rsidRDefault="001C08A5">
            <w:pPr>
              <w:ind w:left="113" w:right="113"/>
              <w:jc w:val="center"/>
              <w:rPr>
                <w:b/>
                <w:bCs/>
                <w:i/>
                <w:sz w:val="22"/>
                <w:szCs w:val="22"/>
                <w:lang w:val="it-IT"/>
              </w:rPr>
            </w:pPr>
          </w:p>
        </w:tc>
        <w:tc>
          <w:tcPr>
            <w:tcW w:w="1113" w:type="pct"/>
            <w:vMerge/>
            <w:vAlign w:val="center"/>
          </w:tcPr>
          <w:p w14:paraId="2C3763CB" w14:textId="77777777" w:rsidR="001C08A5" w:rsidRDefault="001C08A5">
            <w:pPr>
              <w:jc w:val="center"/>
              <w:rPr>
                <w:b/>
                <w:bCs/>
                <w:i/>
                <w:sz w:val="22"/>
                <w:szCs w:val="22"/>
                <w:lang w:val="en-GB"/>
              </w:rPr>
            </w:pPr>
          </w:p>
        </w:tc>
        <w:tc>
          <w:tcPr>
            <w:tcW w:w="2231" w:type="pct"/>
          </w:tcPr>
          <w:p w14:paraId="63FC36F7"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P+4E</w:t>
            </w:r>
          </w:p>
          <w:p w14:paraId="5DD581DD" w14:textId="77777777" w:rsidR="001C08A5" w:rsidRDefault="00000000">
            <w:pPr>
              <w:rPr>
                <w:i/>
                <w:sz w:val="22"/>
                <w:szCs w:val="22"/>
              </w:rPr>
            </w:pPr>
            <w:r>
              <w:rPr>
                <w:i/>
                <w:sz w:val="22"/>
                <w:szCs w:val="22"/>
              </w:rPr>
              <w:t>şi</w:t>
            </w:r>
          </w:p>
          <w:p w14:paraId="62E3D6D9"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cu până la 20 m înălţime totală (până la coamă/atic)</w:t>
            </w:r>
            <w:r>
              <w:rPr>
                <w:i/>
                <w:sz w:val="22"/>
                <w:szCs w:val="22"/>
                <w:lang w:val="en-GB"/>
              </w:rPr>
              <w:t xml:space="preserve"> </w:t>
            </w:r>
            <w:r>
              <w:rPr>
                <w:b/>
                <w:bCs/>
                <w:i/>
                <w:sz w:val="22"/>
                <w:szCs w:val="22"/>
                <w:vertAlign w:val="superscript"/>
                <w:lang w:val="en-GB"/>
              </w:rPr>
              <w:t xml:space="preserve">1) </w:t>
            </w:r>
            <w:r>
              <w:rPr>
                <w:i/>
                <w:sz w:val="22"/>
                <w:szCs w:val="22"/>
              </w:rPr>
              <w:t xml:space="preserve"> </w:t>
            </w:r>
            <w:r>
              <w:rPr>
                <w:b/>
                <w:bCs/>
                <w:i/>
                <w:sz w:val="22"/>
                <w:szCs w:val="22"/>
                <w:vertAlign w:val="superscript"/>
                <w:lang w:val="en-GB"/>
              </w:rPr>
              <w:t xml:space="preserve"> </w:t>
            </w:r>
          </w:p>
        </w:tc>
        <w:tc>
          <w:tcPr>
            <w:tcW w:w="572" w:type="pct"/>
            <w:vAlign w:val="center"/>
          </w:tcPr>
          <w:p w14:paraId="59B61B52"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3250</w:t>
            </w:r>
          </w:p>
        </w:tc>
        <w:tc>
          <w:tcPr>
            <w:tcW w:w="824" w:type="pct"/>
            <w:vAlign w:val="center"/>
          </w:tcPr>
          <w:p w14:paraId="3A43067C"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2750</w:t>
            </w:r>
          </w:p>
        </w:tc>
      </w:tr>
      <w:tr w:rsidR="001C08A5" w14:paraId="3E100F46" w14:textId="77777777">
        <w:trPr>
          <w:trHeight w:val="836"/>
        </w:trPr>
        <w:tc>
          <w:tcPr>
            <w:tcW w:w="258" w:type="pct"/>
            <w:vMerge/>
            <w:textDirection w:val="btLr"/>
            <w:vAlign w:val="center"/>
          </w:tcPr>
          <w:p w14:paraId="5388874F" w14:textId="77777777" w:rsidR="001C08A5" w:rsidRDefault="001C08A5">
            <w:pPr>
              <w:ind w:left="113" w:right="113"/>
              <w:jc w:val="center"/>
              <w:rPr>
                <w:b/>
                <w:bCs/>
                <w:i/>
                <w:sz w:val="22"/>
                <w:szCs w:val="22"/>
                <w:lang w:val="it-IT"/>
              </w:rPr>
            </w:pPr>
          </w:p>
        </w:tc>
        <w:tc>
          <w:tcPr>
            <w:tcW w:w="1113" w:type="pct"/>
            <w:vMerge/>
            <w:vAlign w:val="center"/>
          </w:tcPr>
          <w:p w14:paraId="37BBC67B" w14:textId="77777777" w:rsidR="001C08A5" w:rsidRDefault="001C08A5">
            <w:pPr>
              <w:jc w:val="center"/>
              <w:rPr>
                <w:b/>
                <w:bCs/>
                <w:i/>
                <w:sz w:val="22"/>
                <w:szCs w:val="22"/>
                <w:lang w:val="en-GB"/>
              </w:rPr>
            </w:pPr>
          </w:p>
        </w:tc>
        <w:tc>
          <w:tcPr>
            <w:tcW w:w="2231" w:type="pct"/>
          </w:tcPr>
          <w:p w14:paraId="39BA1BEC"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P+4E</w:t>
            </w:r>
          </w:p>
          <w:p w14:paraId="33CE1243" w14:textId="77777777" w:rsidR="001C08A5" w:rsidRDefault="00000000">
            <w:pPr>
              <w:rPr>
                <w:i/>
                <w:sz w:val="22"/>
                <w:szCs w:val="22"/>
              </w:rPr>
            </w:pPr>
            <w:r>
              <w:rPr>
                <w:i/>
                <w:sz w:val="22"/>
                <w:szCs w:val="22"/>
              </w:rPr>
              <w:t xml:space="preserve">sau </w:t>
            </w:r>
          </w:p>
          <w:p w14:paraId="039F72E7" w14:textId="77777777" w:rsidR="001C08A5" w:rsidRDefault="00000000">
            <w:pPr>
              <w:rPr>
                <w:b/>
                <w:bCs/>
                <w:i/>
                <w:sz w:val="22"/>
                <w:szCs w:val="22"/>
                <w:vertAlign w:val="superscript"/>
                <w:lang w:val="en-GB"/>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w:t>
            </w:r>
            <w:r>
              <w:rPr>
                <w:b/>
                <w:bCs/>
                <w:i/>
                <w:sz w:val="22"/>
                <w:szCs w:val="22"/>
                <w:vertAlign w:val="superscript"/>
              </w:rPr>
              <w:t xml:space="preserve"> </w:t>
            </w:r>
            <w:r>
              <w:rPr>
                <w:b/>
                <w:bCs/>
                <w:i/>
                <w:sz w:val="22"/>
                <w:szCs w:val="22"/>
                <w:vertAlign w:val="superscript"/>
                <w:lang w:val="en-GB"/>
              </w:rPr>
              <w:t xml:space="preserve">2) </w:t>
            </w:r>
          </w:p>
        </w:tc>
        <w:tc>
          <w:tcPr>
            <w:tcW w:w="572" w:type="pct"/>
            <w:vAlign w:val="center"/>
          </w:tcPr>
          <w:p w14:paraId="1707C43D"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c>
          <w:tcPr>
            <w:tcW w:w="824" w:type="pct"/>
            <w:vAlign w:val="center"/>
          </w:tcPr>
          <w:p w14:paraId="2000141B"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r>
      <w:tr w:rsidR="001C08A5" w14:paraId="0BF3C317" w14:textId="77777777">
        <w:trPr>
          <w:trHeight w:val="97"/>
        </w:trPr>
        <w:tc>
          <w:tcPr>
            <w:tcW w:w="258" w:type="pct"/>
            <w:vMerge/>
            <w:textDirection w:val="btLr"/>
            <w:vAlign w:val="center"/>
          </w:tcPr>
          <w:p w14:paraId="0926C481" w14:textId="77777777" w:rsidR="001C08A5" w:rsidRDefault="001C08A5">
            <w:pPr>
              <w:ind w:left="113" w:right="113"/>
              <w:jc w:val="center"/>
              <w:rPr>
                <w:b/>
                <w:bCs/>
                <w:i/>
                <w:sz w:val="22"/>
                <w:szCs w:val="22"/>
                <w:lang w:val="it-IT"/>
              </w:rPr>
            </w:pPr>
          </w:p>
        </w:tc>
        <w:tc>
          <w:tcPr>
            <w:tcW w:w="1113" w:type="pct"/>
            <w:vMerge/>
            <w:vAlign w:val="center"/>
          </w:tcPr>
          <w:p w14:paraId="2F4D34B3" w14:textId="77777777" w:rsidR="001C08A5" w:rsidRDefault="001C08A5">
            <w:pPr>
              <w:jc w:val="center"/>
              <w:rPr>
                <w:b/>
                <w:bCs/>
                <w:i/>
                <w:sz w:val="22"/>
                <w:szCs w:val="22"/>
                <w:lang w:val="en-GB"/>
              </w:rPr>
            </w:pPr>
          </w:p>
        </w:tc>
        <w:tc>
          <w:tcPr>
            <w:tcW w:w="2231" w:type="pct"/>
          </w:tcPr>
          <w:p w14:paraId="3FEB7478"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46DFF756"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c>
          <w:tcPr>
            <w:tcW w:w="824" w:type="pct"/>
            <w:vAlign w:val="center"/>
          </w:tcPr>
          <w:p w14:paraId="19206C9F"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Nu se admite</w:t>
            </w:r>
          </w:p>
        </w:tc>
      </w:tr>
      <w:tr w:rsidR="001C08A5" w14:paraId="79CA28E4" w14:textId="77777777">
        <w:trPr>
          <w:trHeight w:val="90"/>
        </w:trPr>
        <w:tc>
          <w:tcPr>
            <w:tcW w:w="258" w:type="pct"/>
            <w:vMerge w:val="restart"/>
            <w:textDirection w:val="btLr"/>
            <w:vAlign w:val="center"/>
          </w:tcPr>
          <w:p w14:paraId="21900D18" w14:textId="77777777" w:rsidR="001C08A5" w:rsidRDefault="00000000">
            <w:pPr>
              <w:ind w:left="113" w:right="113"/>
              <w:jc w:val="center"/>
              <w:rPr>
                <w:b/>
                <w:bCs/>
                <w:i/>
                <w:sz w:val="22"/>
                <w:szCs w:val="22"/>
                <w:lang w:val="en-GB"/>
              </w:rPr>
            </w:pPr>
            <w:r>
              <w:rPr>
                <w:b/>
                <w:bCs/>
                <w:i/>
                <w:sz w:val="22"/>
                <w:szCs w:val="22"/>
                <w:lang w:val="en-GB"/>
              </w:rPr>
              <w:t>Cult</w:t>
            </w:r>
          </w:p>
        </w:tc>
        <w:tc>
          <w:tcPr>
            <w:tcW w:w="1113" w:type="pct"/>
            <w:vMerge w:val="restart"/>
            <w:vAlign w:val="center"/>
          </w:tcPr>
          <w:p w14:paraId="2E530CFD" w14:textId="77777777" w:rsidR="001C08A5" w:rsidRDefault="00000000">
            <w:pPr>
              <w:jc w:val="center"/>
              <w:rPr>
                <w:b/>
                <w:bCs/>
                <w:i/>
                <w:sz w:val="22"/>
                <w:szCs w:val="22"/>
                <w:lang w:val="en-GB"/>
              </w:rPr>
            </w:pPr>
            <w:r>
              <w:rPr>
                <w:b/>
                <w:bCs/>
                <w:i/>
                <w:sz w:val="22"/>
                <w:szCs w:val="22"/>
              </w:rPr>
              <w:t>Catedrale, biserici, lăcaşuri de cult, sinagogi, temple, case de rugăciuni etc.</w:t>
            </w:r>
          </w:p>
        </w:tc>
        <w:tc>
          <w:tcPr>
            <w:tcW w:w="2231" w:type="pct"/>
          </w:tcPr>
          <w:p w14:paraId="43261363"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xml:space="preserve">≤ P+E </w:t>
            </w:r>
          </w:p>
        </w:tc>
        <w:tc>
          <w:tcPr>
            <w:tcW w:w="572" w:type="pct"/>
            <w:vAlign w:val="center"/>
          </w:tcPr>
          <w:p w14:paraId="26C28FC3" w14:textId="77777777" w:rsidR="001C08A5" w:rsidRDefault="00000000">
            <w:pPr>
              <w:spacing w:before="100" w:beforeAutospacing="1" w:after="100" w:afterAutospacing="1"/>
              <w:jc w:val="center"/>
              <w:rPr>
                <w:b/>
                <w:bCs/>
                <w:i/>
                <w:sz w:val="22"/>
                <w:szCs w:val="22"/>
                <w:lang w:val="en-GB" w:eastAsia="en-GB"/>
              </w:rPr>
            </w:pPr>
            <w:r>
              <w:rPr>
                <w:b/>
                <w:bCs/>
                <w:i/>
                <w:sz w:val="22"/>
                <w:szCs w:val="22"/>
                <w:lang w:val="en-GB" w:eastAsia="en-GB"/>
              </w:rPr>
              <w:t>5</w:t>
            </w:r>
            <w:r>
              <w:rPr>
                <w:b/>
                <w:bCs/>
                <w:i/>
                <w:sz w:val="22"/>
                <w:szCs w:val="22"/>
                <w:lang w:eastAsia="en-GB"/>
              </w:rPr>
              <w:t>000</w:t>
            </w:r>
          </w:p>
        </w:tc>
        <w:tc>
          <w:tcPr>
            <w:tcW w:w="824" w:type="pct"/>
            <w:vAlign w:val="center"/>
          </w:tcPr>
          <w:p w14:paraId="1111FAAB"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w:t>
            </w:r>
            <w:r>
              <w:rPr>
                <w:b/>
                <w:bCs/>
                <w:i/>
                <w:sz w:val="22"/>
                <w:szCs w:val="22"/>
                <w:lang w:val="en-GB" w:eastAsia="en-GB"/>
              </w:rPr>
              <w:t>5</w:t>
            </w:r>
            <w:r>
              <w:rPr>
                <w:b/>
                <w:bCs/>
                <w:i/>
                <w:sz w:val="22"/>
                <w:szCs w:val="22"/>
                <w:lang w:eastAsia="en-GB"/>
              </w:rPr>
              <w:t>00</w:t>
            </w:r>
          </w:p>
        </w:tc>
      </w:tr>
      <w:tr w:rsidR="001C08A5" w14:paraId="786CB9B8" w14:textId="77777777">
        <w:trPr>
          <w:trHeight w:val="188"/>
        </w:trPr>
        <w:tc>
          <w:tcPr>
            <w:tcW w:w="258" w:type="pct"/>
            <w:vMerge/>
            <w:textDirection w:val="btLr"/>
            <w:vAlign w:val="center"/>
          </w:tcPr>
          <w:p w14:paraId="5B8FAA90" w14:textId="77777777" w:rsidR="001C08A5" w:rsidRDefault="001C08A5">
            <w:pPr>
              <w:ind w:left="113" w:right="113"/>
              <w:jc w:val="center"/>
              <w:rPr>
                <w:b/>
                <w:bCs/>
                <w:i/>
                <w:sz w:val="22"/>
                <w:szCs w:val="22"/>
                <w:lang w:val="it-IT"/>
              </w:rPr>
            </w:pPr>
          </w:p>
        </w:tc>
        <w:tc>
          <w:tcPr>
            <w:tcW w:w="1113" w:type="pct"/>
            <w:vMerge/>
            <w:textDirection w:val="btLr"/>
            <w:vAlign w:val="center"/>
          </w:tcPr>
          <w:p w14:paraId="318F3A58" w14:textId="77777777" w:rsidR="001C08A5" w:rsidRDefault="001C08A5">
            <w:pPr>
              <w:ind w:left="113" w:right="113"/>
              <w:jc w:val="center"/>
              <w:rPr>
                <w:b/>
                <w:bCs/>
                <w:i/>
                <w:sz w:val="22"/>
                <w:szCs w:val="22"/>
                <w:lang w:val="en-GB"/>
              </w:rPr>
            </w:pPr>
          </w:p>
        </w:tc>
        <w:tc>
          <w:tcPr>
            <w:tcW w:w="2231" w:type="pct"/>
          </w:tcPr>
          <w:p w14:paraId="5EBE0840" w14:textId="77777777" w:rsidR="001C08A5" w:rsidRDefault="00000000">
            <w:pPr>
              <w:rPr>
                <w:b/>
                <w:bCs/>
                <w:i/>
                <w:sz w:val="22"/>
                <w:szCs w:val="22"/>
                <w:lang w:val="en-GB"/>
              </w:rPr>
            </w:pPr>
            <w:proofErr w:type="gramStart"/>
            <w:r>
              <w:rPr>
                <w:i/>
                <w:sz w:val="22"/>
                <w:szCs w:val="22"/>
                <w:lang w:val="en-GB"/>
              </w:rPr>
              <w:t>Cl</w:t>
            </w:r>
            <w:r>
              <w:rPr>
                <w:i/>
                <w:sz w:val="22"/>
                <w:szCs w:val="22"/>
                <w:lang w:val="it-IT"/>
              </w:rPr>
              <w:t>ă</w:t>
            </w:r>
            <w:r>
              <w:rPr>
                <w:i/>
                <w:sz w:val="22"/>
                <w:szCs w:val="22"/>
                <w:lang w:val="en-GB"/>
              </w:rPr>
              <w:t xml:space="preserve">diri </w:t>
            </w:r>
            <w:r>
              <w:rPr>
                <w:i/>
                <w:sz w:val="22"/>
                <w:szCs w:val="22"/>
              </w:rPr>
              <w:t xml:space="preserve"> P</w:t>
            </w:r>
            <w:proofErr w:type="gramEnd"/>
            <w:r>
              <w:rPr>
                <w:i/>
                <w:sz w:val="22"/>
                <w:szCs w:val="22"/>
              </w:rPr>
              <w:t>+2E</w:t>
            </w:r>
          </w:p>
        </w:tc>
        <w:tc>
          <w:tcPr>
            <w:tcW w:w="572" w:type="pct"/>
            <w:vAlign w:val="center"/>
          </w:tcPr>
          <w:p w14:paraId="3B4F67A0"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3500</w:t>
            </w:r>
          </w:p>
        </w:tc>
        <w:tc>
          <w:tcPr>
            <w:tcW w:w="824" w:type="pct"/>
            <w:vAlign w:val="center"/>
          </w:tcPr>
          <w:p w14:paraId="70473FEF"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1500</w:t>
            </w:r>
          </w:p>
        </w:tc>
      </w:tr>
      <w:tr w:rsidR="001C08A5" w14:paraId="1BDBCD73" w14:textId="77777777">
        <w:trPr>
          <w:trHeight w:val="742"/>
        </w:trPr>
        <w:tc>
          <w:tcPr>
            <w:tcW w:w="258" w:type="pct"/>
            <w:vMerge/>
            <w:textDirection w:val="btLr"/>
            <w:vAlign w:val="center"/>
          </w:tcPr>
          <w:p w14:paraId="7E1DB875" w14:textId="77777777" w:rsidR="001C08A5" w:rsidRDefault="001C08A5">
            <w:pPr>
              <w:ind w:left="113" w:right="113"/>
              <w:jc w:val="center"/>
              <w:rPr>
                <w:b/>
                <w:bCs/>
                <w:i/>
                <w:sz w:val="22"/>
                <w:szCs w:val="22"/>
                <w:lang w:val="it-IT"/>
              </w:rPr>
            </w:pPr>
          </w:p>
        </w:tc>
        <w:tc>
          <w:tcPr>
            <w:tcW w:w="1113" w:type="pct"/>
            <w:vMerge/>
            <w:textDirection w:val="btLr"/>
            <w:vAlign w:val="center"/>
          </w:tcPr>
          <w:p w14:paraId="553A6101" w14:textId="77777777" w:rsidR="001C08A5" w:rsidRDefault="001C08A5">
            <w:pPr>
              <w:ind w:left="113" w:right="113"/>
              <w:jc w:val="center"/>
              <w:rPr>
                <w:b/>
                <w:bCs/>
                <w:i/>
                <w:sz w:val="22"/>
                <w:szCs w:val="22"/>
                <w:lang w:val="en-GB"/>
              </w:rPr>
            </w:pPr>
          </w:p>
        </w:tc>
        <w:tc>
          <w:tcPr>
            <w:tcW w:w="2231" w:type="pct"/>
          </w:tcPr>
          <w:p w14:paraId="3BA850FC"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 P+2E</w:t>
            </w:r>
          </w:p>
          <w:p w14:paraId="4337A36C" w14:textId="77777777" w:rsidR="001C08A5" w:rsidRDefault="00000000">
            <w:pPr>
              <w:rPr>
                <w:i/>
                <w:sz w:val="22"/>
                <w:szCs w:val="22"/>
              </w:rPr>
            </w:pPr>
            <w:r>
              <w:rPr>
                <w:i/>
                <w:sz w:val="22"/>
                <w:szCs w:val="22"/>
                <w:lang w:val="en-GB"/>
              </w:rPr>
              <w:t>s</w:t>
            </w:r>
            <w:r>
              <w:rPr>
                <w:i/>
                <w:sz w:val="22"/>
                <w:szCs w:val="22"/>
              </w:rPr>
              <w:t>i</w:t>
            </w:r>
          </w:p>
          <w:p w14:paraId="488531D6"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xml:space="preserve">cu până la 20 m înălţime totală (până la coamă/atic) </w:t>
            </w:r>
            <w:r>
              <w:rPr>
                <w:b/>
                <w:bCs/>
                <w:i/>
                <w:sz w:val="22"/>
                <w:szCs w:val="22"/>
                <w:vertAlign w:val="superscript"/>
                <w:lang w:val="en-GB"/>
              </w:rPr>
              <w:t xml:space="preserve">1) </w:t>
            </w:r>
          </w:p>
        </w:tc>
        <w:tc>
          <w:tcPr>
            <w:tcW w:w="572" w:type="pct"/>
            <w:vAlign w:val="center"/>
          </w:tcPr>
          <w:p w14:paraId="38D5C326"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3000</w:t>
            </w:r>
          </w:p>
        </w:tc>
        <w:tc>
          <w:tcPr>
            <w:tcW w:w="824" w:type="pct"/>
            <w:vAlign w:val="center"/>
          </w:tcPr>
          <w:p w14:paraId="7BAC4B90"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2000</w:t>
            </w:r>
          </w:p>
        </w:tc>
      </w:tr>
      <w:tr w:rsidR="001C08A5" w14:paraId="0704C6DE" w14:textId="77777777">
        <w:trPr>
          <w:trHeight w:val="633"/>
        </w:trPr>
        <w:tc>
          <w:tcPr>
            <w:tcW w:w="258" w:type="pct"/>
            <w:vMerge/>
            <w:textDirection w:val="btLr"/>
            <w:vAlign w:val="center"/>
          </w:tcPr>
          <w:p w14:paraId="5A656B40" w14:textId="77777777" w:rsidR="001C08A5" w:rsidRDefault="001C08A5">
            <w:pPr>
              <w:ind w:left="113" w:right="113"/>
              <w:jc w:val="center"/>
              <w:rPr>
                <w:b/>
                <w:bCs/>
                <w:i/>
                <w:sz w:val="22"/>
                <w:szCs w:val="22"/>
                <w:lang w:val="it-IT"/>
              </w:rPr>
            </w:pPr>
          </w:p>
        </w:tc>
        <w:tc>
          <w:tcPr>
            <w:tcW w:w="1113" w:type="pct"/>
            <w:vMerge/>
            <w:textDirection w:val="btLr"/>
            <w:vAlign w:val="center"/>
          </w:tcPr>
          <w:p w14:paraId="7FD0521C" w14:textId="77777777" w:rsidR="001C08A5" w:rsidRDefault="001C08A5">
            <w:pPr>
              <w:ind w:left="113" w:right="113"/>
              <w:jc w:val="center"/>
              <w:rPr>
                <w:b/>
                <w:bCs/>
                <w:i/>
                <w:sz w:val="22"/>
                <w:szCs w:val="22"/>
                <w:lang w:val="en-GB"/>
              </w:rPr>
            </w:pPr>
          </w:p>
        </w:tc>
        <w:tc>
          <w:tcPr>
            <w:tcW w:w="2231" w:type="pct"/>
          </w:tcPr>
          <w:p w14:paraId="75EAF088" w14:textId="77777777" w:rsidR="001C08A5" w:rsidRDefault="00000000">
            <w:pPr>
              <w:rPr>
                <w:i/>
                <w:sz w:val="22"/>
                <w:szCs w:val="22"/>
              </w:rPr>
            </w:pPr>
            <w:r>
              <w:rPr>
                <w:i/>
                <w:sz w:val="22"/>
                <w:szCs w:val="22"/>
              </w:rPr>
              <w:t>&gt; P+5E</w:t>
            </w:r>
          </w:p>
          <w:p w14:paraId="511A950E" w14:textId="77777777" w:rsidR="001C08A5" w:rsidRDefault="00000000">
            <w:pPr>
              <w:rPr>
                <w:b/>
                <w:bCs/>
                <w:i/>
                <w:sz w:val="22"/>
                <w:szCs w:val="22"/>
                <w:lang w:val="en-GB"/>
              </w:rPr>
            </w:pPr>
            <w:r>
              <w:rPr>
                <w:i/>
                <w:sz w:val="22"/>
                <w:szCs w:val="22"/>
              </w:rPr>
              <w:t xml:space="preserve">Sau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coamă/atic)</w:t>
            </w:r>
            <w:r>
              <w:rPr>
                <w:bCs/>
                <w:i/>
                <w:sz w:val="22"/>
                <w:szCs w:val="22"/>
              </w:rPr>
              <w:t xml:space="preserve">  </w:t>
            </w:r>
            <w:r>
              <w:rPr>
                <w:b/>
                <w:bCs/>
                <w:i/>
                <w:sz w:val="22"/>
                <w:szCs w:val="22"/>
                <w:vertAlign w:val="superscript"/>
                <w:lang w:val="en-GB"/>
              </w:rPr>
              <w:t>1)</w:t>
            </w:r>
            <w:r>
              <w:rPr>
                <w:b/>
                <w:bCs/>
                <w:i/>
                <w:sz w:val="22"/>
                <w:szCs w:val="22"/>
                <w:vertAlign w:val="superscript"/>
              </w:rPr>
              <w:t xml:space="preserve"> </w:t>
            </w:r>
            <w:r>
              <w:rPr>
                <w:b/>
                <w:bCs/>
                <w:i/>
                <w:sz w:val="22"/>
                <w:szCs w:val="22"/>
                <w:vertAlign w:val="superscript"/>
                <w:lang w:val="en-GB"/>
              </w:rPr>
              <w:t xml:space="preserve">2) </w:t>
            </w:r>
          </w:p>
        </w:tc>
        <w:tc>
          <w:tcPr>
            <w:tcW w:w="572" w:type="pct"/>
            <w:vAlign w:val="center"/>
          </w:tcPr>
          <w:p w14:paraId="03D51979"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213EF334"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1000</w:t>
            </w:r>
          </w:p>
        </w:tc>
      </w:tr>
      <w:tr w:rsidR="001C08A5" w14:paraId="4B1BB1AA" w14:textId="77777777">
        <w:trPr>
          <w:trHeight w:val="90"/>
        </w:trPr>
        <w:tc>
          <w:tcPr>
            <w:tcW w:w="258" w:type="pct"/>
            <w:vMerge/>
            <w:textDirection w:val="btLr"/>
            <w:vAlign w:val="center"/>
          </w:tcPr>
          <w:p w14:paraId="5D4DF63B" w14:textId="77777777" w:rsidR="001C08A5" w:rsidRDefault="001C08A5">
            <w:pPr>
              <w:ind w:left="113" w:right="113"/>
              <w:jc w:val="center"/>
              <w:rPr>
                <w:b/>
                <w:bCs/>
                <w:i/>
                <w:sz w:val="22"/>
                <w:szCs w:val="22"/>
                <w:lang w:val="it-IT"/>
              </w:rPr>
            </w:pPr>
          </w:p>
        </w:tc>
        <w:tc>
          <w:tcPr>
            <w:tcW w:w="1113" w:type="pct"/>
            <w:vMerge/>
            <w:textDirection w:val="btLr"/>
            <w:vAlign w:val="center"/>
          </w:tcPr>
          <w:p w14:paraId="12EC2F7F" w14:textId="77777777" w:rsidR="001C08A5" w:rsidRDefault="001C08A5">
            <w:pPr>
              <w:ind w:left="113" w:right="113"/>
              <w:jc w:val="center"/>
              <w:rPr>
                <w:b/>
                <w:bCs/>
                <w:i/>
                <w:sz w:val="22"/>
                <w:szCs w:val="22"/>
                <w:lang w:val="en-GB"/>
              </w:rPr>
            </w:pPr>
          </w:p>
        </w:tc>
        <w:tc>
          <w:tcPr>
            <w:tcW w:w="2231" w:type="pct"/>
          </w:tcPr>
          <w:p w14:paraId="09E6CA7F" w14:textId="77777777" w:rsidR="001C08A5" w:rsidRDefault="00000000">
            <w:pPr>
              <w:rPr>
                <w:b/>
                <w:bCs/>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75F315D1"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2500</w:t>
            </w:r>
          </w:p>
        </w:tc>
        <w:tc>
          <w:tcPr>
            <w:tcW w:w="824" w:type="pct"/>
            <w:vAlign w:val="center"/>
          </w:tcPr>
          <w:p w14:paraId="0998EF29" w14:textId="77777777" w:rsidR="001C08A5" w:rsidRDefault="00000000">
            <w:pPr>
              <w:spacing w:before="100" w:beforeAutospacing="1" w:after="100" w:afterAutospacing="1"/>
              <w:jc w:val="center"/>
              <w:rPr>
                <w:b/>
                <w:bCs/>
                <w:i/>
                <w:sz w:val="22"/>
                <w:szCs w:val="22"/>
                <w:lang w:val="en-GB" w:eastAsia="en-GB"/>
              </w:rPr>
            </w:pPr>
            <w:r>
              <w:rPr>
                <w:b/>
                <w:bCs/>
                <w:i/>
                <w:sz w:val="22"/>
                <w:szCs w:val="22"/>
                <w:lang w:eastAsia="en-GB"/>
              </w:rPr>
              <w:t>Nu se admite</w:t>
            </w:r>
          </w:p>
        </w:tc>
      </w:tr>
      <w:tr w:rsidR="001C08A5" w14:paraId="3B267FAD" w14:textId="77777777">
        <w:trPr>
          <w:trHeight w:val="392"/>
        </w:trPr>
        <w:tc>
          <w:tcPr>
            <w:tcW w:w="258" w:type="pct"/>
            <w:vMerge/>
            <w:textDirection w:val="btLr"/>
            <w:vAlign w:val="center"/>
          </w:tcPr>
          <w:p w14:paraId="007BA253" w14:textId="77777777" w:rsidR="001C08A5" w:rsidRDefault="001C08A5">
            <w:pPr>
              <w:ind w:left="113" w:right="113"/>
              <w:jc w:val="center"/>
              <w:rPr>
                <w:b/>
                <w:bCs/>
                <w:i/>
                <w:sz w:val="22"/>
                <w:szCs w:val="22"/>
                <w:lang w:val="it-IT"/>
              </w:rPr>
            </w:pPr>
          </w:p>
        </w:tc>
        <w:tc>
          <w:tcPr>
            <w:tcW w:w="1113" w:type="pct"/>
            <w:vMerge/>
            <w:textDirection w:val="btLr"/>
            <w:vAlign w:val="center"/>
          </w:tcPr>
          <w:p w14:paraId="220EFC48" w14:textId="77777777" w:rsidR="001C08A5" w:rsidRDefault="001C08A5">
            <w:pPr>
              <w:ind w:left="113" w:right="113"/>
              <w:jc w:val="center"/>
              <w:rPr>
                <w:b/>
                <w:bCs/>
                <w:i/>
                <w:sz w:val="22"/>
                <w:szCs w:val="22"/>
                <w:lang w:val="en-GB"/>
              </w:rPr>
            </w:pPr>
          </w:p>
        </w:tc>
        <w:tc>
          <w:tcPr>
            <w:tcW w:w="2231" w:type="pct"/>
          </w:tcPr>
          <w:p w14:paraId="33F11D7D" w14:textId="77777777" w:rsidR="001C08A5" w:rsidRDefault="00000000">
            <w:pPr>
              <w:rPr>
                <w:b/>
                <w:bCs/>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clasificate ca monument istoric ce adapostesc valori deosebite</w:t>
            </w:r>
            <w:r>
              <w:rPr>
                <w:i/>
                <w:sz w:val="22"/>
                <w:szCs w:val="22"/>
                <w:lang w:val="en-GB"/>
              </w:rPr>
              <w:t xml:space="preserve"> (de patrimoniu)</w:t>
            </w:r>
          </w:p>
        </w:tc>
        <w:tc>
          <w:tcPr>
            <w:tcW w:w="572" w:type="pct"/>
            <w:vAlign w:val="center"/>
          </w:tcPr>
          <w:p w14:paraId="440526C1"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3500</w:t>
            </w:r>
          </w:p>
        </w:tc>
        <w:tc>
          <w:tcPr>
            <w:tcW w:w="824" w:type="pct"/>
            <w:vAlign w:val="center"/>
          </w:tcPr>
          <w:p w14:paraId="14AC903F"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r>
      <w:tr w:rsidR="001C08A5" w14:paraId="0660FA07" w14:textId="77777777">
        <w:trPr>
          <w:trHeight w:val="392"/>
        </w:trPr>
        <w:tc>
          <w:tcPr>
            <w:tcW w:w="258" w:type="pct"/>
            <w:vMerge w:val="restart"/>
            <w:textDirection w:val="btLr"/>
            <w:vAlign w:val="center"/>
          </w:tcPr>
          <w:p w14:paraId="4EFCF1EE" w14:textId="77777777" w:rsidR="001C08A5" w:rsidRDefault="00000000">
            <w:pPr>
              <w:ind w:left="113" w:right="113"/>
              <w:jc w:val="center"/>
              <w:rPr>
                <w:b/>
                <w:bCs/>
                <w:i/>
                <w:sz w:val="22"/>
                <w:szCs w:val="22"/>
              </w:rPr>
            </w:pPr>
            <w:r>
              <w:rPr>
                <w:b/>
                <w:bCs/>
                <w:i/>
                <w:sz w:val="22"/>
                <w:szCs w:val="22"/>
              </w:rPr>
              <w:t>Alte destinații</w:t>
            </w:r>
          </w:p>
        </w:tc>
        <w:tc>
          <w:tcPr>
            <w:tcW w:w="1113" w:type="pct"/>
            <w:vMerge w:val="restart"/>
            <w:vAlign w:val="center"/>
          </w:tcPr>
          <w:p w14:paraId="58DA0862" w14:textId="77777777" w:rsidR="001C08A5" w:rsidRDefault="00000000">
            <w:pPr>
              <w:jc w:val="center"/>
              <w:rPr>
                <w:b/>
                <w:bCs/>
                <w:i/>
                <w:sz w:val="22"/>
                <w:szCs w:val="22"/>
              </w:rPr>
            </w:pPr>
            <w:r>
              <w:rPr>
                <w:b/>
                <w:bCs/>
                <w:i/>
                <w:sz w:val="22"/>
                <w:szCs w:val="22"/>
              </w:rPr>
              <w:t xml:space="preserve">Terminale* în aeroporturi (săli aglomerate </w:t>
            </w:r>
            <w:r>
              <w:rPr>
                <w:b/>
                <w:bCs/>
                <w:i/>
                <w:sz w:val="22"/>
                <w:szCs w:val="22"/>
                <w:vertAlign w:val="superscript"/>
              </w:rPr>
              <w:t>vezi nota</w:t>
            </w:r>
            <w:r>
              <w:rPr>
                <w:b/>
                <w:bCs/>
                <w:i/>
                <w:sz w:val="22"/>
                <w:szCs w:val="22"/>
              </w:rPr>
              <w:t>), terminale de transport maritim și fluvial, telecabine și stații de telescaun</w:t>
            </w:r>
          </w:p>
          <w:p w14:paraId="3F807809" w14:textId="77777777" w:rsidR="001C08A5" w:rsidRDefault="001C08A5">
            <w:pPr>
              <w:jc w:val="center"/>
              <w:rPr>
                <w:b/>
                <w:bCs/>
                <w:i/>
                <w:sz w:val="22"/>
                <w:szCs w:val="22"/>
              </w:rPr>
            </w:pPr>
          </w:p>
          <w:p w14:paraId="3E89C258" w14:textId="77777777" w:rsidR="001C08A5" w:rsidRDefault="00000000">
            <w:pPr>
              <w:jc w:val="center"/>
              <w:rPr>
                <w:b/>
                <w:bCs/>
                <w:i/>
                <w:sz w:val="22"/>
                <w:szCs w:val="22"/>
              </w:rPr>
            </w:pPr>
            <w:r>
              <w:rPr>
                <w:i/>
                <w:sz w:val="18"/>
                <w:szCs w:val="18"/>
              </w:rPr>
              <w:t>(* - cu excepția înălțimii turnului de control)</w:t>
            </w:r>
          </w:p>
        </w:tc>
        <w:tc>
          <w:tcPr>
            <w:tcW w:w="2231" w:type="pct"/>
          </w:tcPr>
          <w:p w14:paraId="45F171FA"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r>
              <w:rPr>
                <w:i/>
                <w:sz w:val="22"/>
                <w:szCs w:val="22"/>
              </w:rPr>
              <w:t>*</w:t>
            </w:r>
          </w:p>
          <w:p w14:paraId="5AAE4CA6"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lang w:val="it-IT"/>
              </w:rPr>
              <w:t>≤ P+1E</w:t>
            </w:r>
            <w:r>
              <w:rPr>
                <w:i/>
                <w:sz w:val="22"/>
                <w:szCs w:val="22"/>
                <w:lang w:val="en-GB"/>
              </w:rPr>
              <w:t xml:space="preserve"> </w:t>
            </w:r>
            <w:r>
              <w:rPr>
                <w:i/>
                <w:sz w:val="22"/>
                <w:szCs w:val="22"/>
              </w:rPr>
              <w:t>*</w:t>
            </w:r>
          </w:p>
        </w:tc>
        <w:tc>
          <w:tcPr>
            <w:tcW w:w="572" w:type="pct"/>
            <w:vAlign w:val="center"/>
          </w:tcPr>
          <w:p w14:paraId="6BBF6B6C"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6000</w:t>
            </w:r>
          </w:p>
        </w:tc>
        <w:tc>
          <w:tcPr>
            <w:tcW w:w="824" w:type="pct"/>
            <w:vAlign w:val="center"/>
          </w:tcPr>
          <w:p w14:paraId="2988F663"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5000</w:t>
            </w:r>
          </w:p>
        </w:tc>
      </w:tr>
      <w:tr w:rsidR="001C08A5" w14:paraId="0D277889" w14:textId="77777777">
        <w:trPr>
          <w:trHeight w:val="115"/>
        </w:trPr>
        <w:tc>
          <w:tcPr>
            <w:tcW w:w="258" w:type="pct"/>
            <w:vMerge/>
            <w:textDirection w:val="btLr"/>
            <w:vAlign w:val="center"/>
          </w:tcPr>
          <w:p w14:paraId="51648BA6" w14:textId="77777777" w:rsidR="001C08A5" w:rsidRDefault="001C08A5">
            <w:pPr>
              <w:ind w:left="113" w:right="113"/>
              <w:jc w:val="center"/>
              <w:rPr>
                <w:b/>
                <w:bCs/>
                <w:i/>
                <w:sz w:val="22"/>
                <w:szCs w:val="22"/>
                <w:lang w:val="it-IT"/>
              </w:rPr>
            </w:pPr>
          </w:p>
        </w:tc>
        <w:tc>
          <w:tcPr>
            <w:tcW w:w="1113" w:type="pct"/>
            <w:vMerge/>
            <w:vAlign w:val="center"/>
          </w:tcPr>
          <w:p w14:paraId="194E467C" w14:textId="77777777" w:rsidR="001C08A5" w:rsidRDefault="001C08A5">
            <w:pPr>
              <w:jc w:val="center"/>
              <w:rPr>
                <w:b/>
                <w:bCs/>
                <w:i/>
                <w:sz w:val="22"/>
                <w:szCs w:val="22"/>
                <w:lang w:val="en-GB"/>
              </w:rPr>
            </w:pPr>
          </w:p>
        </w:tc>
        <w:tc>
          <w:tcPr>
            <w:tcW w:w="2231" w:type="pct"/>
          </w:tcPr>
          <w:p w14:paraId="6AF2BB17"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diri</w:t>
            </w:r>
            <w:r>
              <w:rPr>
                <w:i/>
                <w:sz w:val="22"/>
                <w:szCs w:val="22"/>
              </w:rPr>
              <w:t xml:space="preserve"> </w:t>
            </w:r>
            <w:r>
              <w:rPr>
                <w:i/>
                <w:sz w:val="22"/>
                <w:szCs w:val="22"/>
                <w:lang w:val="it-IT"/>
              </w:rPr>
              <w:t>P+</w:t>
            </w:r>
            <w:r>
              <w:rPr>
                <w:i/>
                <w:sz w:val="22"/>
                <w:szCs w:val="22"/>
              </w:rPr>
              <w:t>2</w:t>
            </w:r>
            <w:r>
              <w:rPr>
                <w:i/>
                <w:sz w:val="22"/>
                <w:szCs w:val="22"/>
                <w:lang w:val="it-IT"/>
              </w:rPr>
              <w:t>E</w:t>
            </w:r>
            <w:r>
              <w:rPr>
                <w:i/>
                <w:sz w:val="22"/>
                <w:szCs w:val="22"/>
              </w:rPr>
              <w:t>*</w:t>
            </w:r>
          </w:p>
        </w:tc>
        <w:tc>
          <w:tcPr>
            <w:tcW w:w="572" w:type="pct"/>
            <w:vAlign w:val="center"/>
          </w:tcPr>
          <w:p w14:paraId="7D005C76"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5500</w:t>
            </w:r>
          </w:p>
        </w:tc>
        <w:tc>
          <w:tcPr>
            <w:tcW w:w="824" w:type="pct"/>
            <w:vAlign w:val="center"/>
          </w:tcPr>
          <w:p w14:paraId="11E8057E"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4500</w:t>
            </w:r>
          </w:p>
        </w:tc>
      </w:tr>
      <w:tr w:rsidR="001C08A5" w14:paraId="536FED20" w14:textId="77777777">
        <w:trPr>
          <w:trHeight w:val="392"/>
        </w:trPr>
        <w:tc>
          <w:tcPr>
            <w:tcW w:w="258" w:type="pct"/>
            <w:vMerge/>
            <w:textDirection w:val="btLr"/>
            <w:vAlign w:val="center"/>
          </w:tcPr>
          <w:p w14:paraId="3E47D75E" w14:textId="77777777" w:rsidR="001C08A5" w:rsidRDefault="001C08A5">
            <w:pPr>
              <w:ind w:left="113" w:right="113"/>
              <w:jc w:val="center"/>
              <w:rPr>
                <w:b/>
                <w:bCs/>
                <w:i/>
                <w:sz w:val="22"/>
                <w:szCs w:val="22"/>
                <w:lang w:val="it-IT"/>
              </w:rPr>
            </w:pPr>
          </w:p>
        </w:tc>
        <w:tc>
          <w:tcPr>
            <w:tcW w:w="1113" w:type="pct"/>
            <w:vMerge/>
            <w:vAlign w:val="center"/>
          </w:tcPr>
          <w:p w14:paraId="651E0272" w14:textId="77777777" w:rsidR="001C08A5" w:rsidRDefault="001C08A5">
            <w:pPr>
              <w:jc w:val="center"/>
              <w:rPr>
                <w:b/>
                <w:bCs/>
                <w:i/>
                <w:sz w:val="22"/>
                <w:szCs w:val="22"/>
                <w:lang w:val="en-GB"/>
              </w:rPr>
            </w:pPr>
          </w:p>
        </w:tc>
        <w:tc>
          <w:tcPr>
            <w:tcW w:w="2231" w:type="pct"/>
          </w:tcPr>
          <w:p w14:paraId="4B50AC53"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P+2E</w:t>
            </w:r>
            <w:r>
              <w:rPr>
                <w:i/>
                <w:sz w:val="22"/>
                <w:szCs w:val="22"/>
                <w:lang w:val="en-GB"/>
              </w:rPr>
              <w:t xml:space="preserve"> s</w:t>
            </w:r>
            <w:r>
              <w:rPr>
                <w:i/>
                <w:sz w:val="22"/>
                <w:szCs w:val="22"/>
              </w:rPr>
              <w:t>i</w:t>
            </w:r>
            <w:r>
              <w:rPr>
                <w:i/>
                <w:sz w:val="22"/>
                <w:szCs w:val="22"/>
                <w:lang w:val="en-GB"/>
              </w:rPr>
              <w:t xml:space="preserve"> </w:t>
            </w:r>
            <w:r>
              <w:rPr>
                <w:i/>
                <w:sz w:val="22"/>
                <w:szCs w:val="22"/>
              </w:rPr>
              <w:t>≤ P+5E*</w:t>
            </w:r>
          </w:p>
          <w:p w14:paraId="70EFCEFB" w14:textId="77777777" w:rsidR="001C08A5" w:rsidRDefault="00000000">
            <w:pPr>
              <w:rPr>
                <w:i/>
                <w:sz w:val="22"/>
                <w:szCs w:val="22"/>
              </w:rPr>
            </w:pPr>
            <w:r>
              <w:rPr>
                <w:i/>
                <w:sz w:val="22"/>
                <w:szCs w:val="22"/>
              </w:rPr>
              <w:t>sau</w:t>
            </w:r>
          </w:p>
          <w:p w14:paraId="3AE4636D"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 xml:space="preserve">cu până la 20 m înălţime totală (până la </w:t>
            </w:r>
            <w:r>
              <w:rPr>
                <w:i/>
                <w:sz w:val="22"/>
                <w:szCs w:val="22"/>
                <w:lang w:val="en-GB"/>
              </w:rPr>
              <w:t>coamă/atic</w:t>
            </w:r>
            <w:r>
              <w:rPr>
                <w:i/>
                <w:sz w:val="22"/>
                <w:szCs w:val="22"/>
              </w:rPr>
              <w:t xml:space="preserve">) </w:t>
            </w:r>
            <w:r>
              <w:rPr>
                <w:b/>
                <w:bCs/>
                <w:i/>
                <w:sz w:val="22"/>
                <w:szCs w:val="22"/>
                <w:vertAlign w:val="superscript"/>
                <w:lang w:val="en-GB"/>
              </w:rPr>
              <w:t xml:space="preserve">1) </w:t>
            </w:r>
            <w:r>
              <w:rPr>
                <w:i/>
                <w:sz w:val="22"/>
                <w:szCs w:val="22"/>
              </w:rPr>
              <w:t>*</w:t>
            </w:r>
          </w:p>
        </w:tc>
        <w:tc>
          <w:tcPr>
            <w:tcW w:w="572" w:type="pct"/>
            <w:vAlign w:val="center"/>
          </w:tcPr>
          <w:p w14:paraId="66C72A55"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5000</w:t>
            </w:r>
          </w:p>
        </w:tc>
        <w:tc>
          <w:tcPr>
            <w:tcW w:w="824" w:type="pct"/>
            <w:vAlign w:val="center"/>
          </w:tcPr>
          <w:p w14:paraId="01AFE1A3"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4000</w:t>
            </w:r>
          </w:p>
        </w:tc>
      </w:tr>
      <w:tr w:rsidR="001C08A5" w14:paraId="6EE54C8D" w14:textId="77777777">
        <w:trPr>
          <w:trHeight w:val="392"/>
        </w:trPr>
        <w:tc>
          <w:tcPr>
            <w:tcW w:w="258" w:type="pct"/>
            <w:vMerge/>
            <w:textDirection w:val="btLr"/>
            <w:vAlign w:val="center"/>
          </w:tcPr>
          <w:p w14:paraId="07E8C656" w14:textId="77777777" w:rsidR="001C08A5" w:rsidRDefault="001C08A5">
            <w:pPr>
              <w:ind w:left="113" w:right="113"/>
              <w:jc w:val="center"/>
              <w:rPr>
                <w:b/>
                <w:bCs/>
                <w:i/>
                <w:sz w:val="22"/>
                <w:szCs w:val="22"/>
                <w:lang w:val="it-IT"/>
              </w:rPr>
            </w:pPr>
          </w:p>
        </w:tc>
        <w:tc>
          <w:tcPr>
            <w:tcW w:w="1113" w:type="pct"/>
            <w:vMerge/>
            <w:vAlign w:val="center"/>
          </w:tcPr>
          <w:p w14:paraId="080D9654" w14:textId="77777777" w:rsidR="001C08A5" w:rsidRDefault="001C08A5">
            <w:pPr>
              <w:jc w:val="center"/>
              <w:rPr>
                <w:b/>
                <w:bCs/>
                <w:i/>
                <w:sz w:val="22"/>
                <w:szCs w:val="22"/>
                <w:lang w:val="en-GB"/>
              </w:rPr>
            </w:pPr>
          </w:p>
        </w:tc>
        <w:tc>
          <w:tcPr>
            <w:tcW w:w="2231" w:type="pct"/>
          </w:tcPr>
          <w:p w14:paraId="0C4CDA21" w14:textId="77777777" w:rsidR="001C08A5" w:rsidRDefault="00000000">
            <w:pPr>
              <w:rPr>
                <w:i/>
                <w:sz w:val="22"/>
                <w:szCs w:val="22"/>
              </w:rPr>
            </w:pPr>
            <w:r>
              <w:rPr>
                <w:i/>
                <w:sz w:val="22"/>
                <w:szCs w:val="22"/>
                <w:lang w:val="en-GB"/>
              </w:rPr>
              <w:t>Cl</w:t>
            </w:r>
            <w:r>
              <w:rPr>
                <w:i/>
                <w:sz w:val="22"/>
                <w:szCs w:val="22"/>
                <w:lang w:val="it-IT"/>
              </w:rPr>
              <w:t>ă</w:t>
            </w:r>
            <w:r>
              <w:rPr>
                <w:i/>
                <w:sz w:val="22"/>
                <w:szCs w:val="22"/>
                <w:lang w:val="en-GB"/>
              </w:rPr>
              <w:t xml:space="preserve">diri </w:t>
            </w:r>
            <w:r>
              <w:rPr>
                <w:i/>
                <w:sz w:val="22"/>
                <w:szCs w:val="22"/>
              </w:rPr>
              <w:t>&gt; P+5E*</w:t>
            </w:r>
          </w:p>
          <w:p w14:paraId="7B58CDA5" w14:textId="77777777" w:rsidR="001C08A5" w:rsidRDefault="00000000">
            <w:pPr>
              <w:rPr>
                <w:i/>
                <w:sz w:val="22"/>
                <w:szCs w:val="22"/>
              </w:rPr>
            </w:pPr>
            <w:r>
              <w:rPr>
                <w:i/>
                <w:sz w:val="22"/>
                <w:szCs w:val="22"/>
              </w:rPr>
              <w:t>sau</w:t>
            </w:r>
          </w:p>
          <w:p w14:paraId="18D632D9"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cu </w:t>
            </w:r>
            <w:r>
              <w:rPr>
                <w:bCs/>
                <w:i/>
                <w:sz w:val="22"/>
                <w:szCs w:val="22"/>
              </w:rPr>
              <w:t>mai mult de 20 m în</w:t>
            </w:r>
            <w:r>
              <w:rPr>
                <w:i/>
                <w:sz w:val="22"/>
                <w:szCs w:val="22"/>
              </w:rPr>
              <w:t>ă</w:t>
            </w:r>
            <w:r>
              <w:rPr>
                <w:bCs/>
                <w:i/>
                <w:sz w:val="22"/>
                <w:szCs w:val="22"/>
              </w:rPr>
              <w:t>l</w:t>
            </w:r>
            <w:r>
              <w:rPr>
                <w:i/>
                <w:sz w:val="22"/>
                <w:szCs w:val="22"/>
              </w:rPr>
              <w:t>ţ</w:t>
            </w:r>
            <w:r>
              <w:rPr>
                <w:bCs/>
                <w:i/>
                <w:sz w:val="22"/>
                <w:szCs w:val="22"/>
              </w:rPr>
              <w:t>ime total</w:t>
            </w:r>
            <w:r>
              <w:rPr>
                <w:i/>
                <w:sz w:val="22"/>
                <w:szCs w:val="22"/>
              </w:rPr>
              <w:t>ă (până la coamă/</w:t>
            </w:r>
            <w:proofErr w:type="gramStart"/>
            <w:r>
              <w:rPr>
                <w:i/>
                <w:sz w:val="22"/>
                <w:szCs w:val="22"/>
              </w:rPr>
              <w:t>atic)</w:t>
            </w:r>
            <w:r>
              <w:rPr>
                <w:bCs/>
                <w:i/>
                <w:sz w:val="22"/>
                <w:szCs w:val="22"/>
              </w:rPr>
              <w:t xml:space="preserve"> </w:t>
            </w:r>
            <w:r>
              <w:rPr>
                <w:i/>
                <w:sz w:val="22"/>
                <w:szCs w:val="22"/>
              </w:rPr>
              <w:t xml:space="preserve"> </w:t>
            </w:r>
            <w:r>
              <w:rPr>
                <w:b/>
                <w:bCs/>
                <w:i/>
                <w:sz w:val="22"/>
                <w:szCs w:val="22"/>
                <w:vertAlign w:val="superscript"/>
                <w:lang w:val="en-GB"/>
              </w:rPr>
              <w:t>1</w:t>
            </w:r>
            <w:proofErr w:type="gramEnd"/>
            <w:r>
              <w:rPr>
                <w:b/>
                <w:bCs/>
                <w:i/>
                <w:sz w:val="22"/>
                <w:szCs w:val="22"/>
                <w:vertAlign w:val="superscript"/>
                <w:lang w:val="en-GB"/>
              </w:rPr>
              <w:t>)</w:t>
            </w:r>
            <w:r>
              <w:rPr>
                <w:b/>
                <w:bCs/>
                <w:i/>
                <w:sz w:val="22"/>
                <w:szCs w:val="22"/>
                <w:vertAlign w:val="superscript"/>
              </w:rPr>
              <w:t xml:space="preserve"> </w:t>
            </w:r>
            <w:r>
              <w:rPr>
                <w:b/>
                <w:bCs/>
                <w:i/>
                <w:sz w:val="22"/>
                <w:szCs w:val="22"/>
                <w:vertAlign w:val="superscript"/>
                <w:lang w:val="en-GB"/>
              </w:rPr>
              <w:t>2)</w:t>
            </w:r>
            <w:r>
              <w:rPr>
                <w:b/>
                <w:bCs/>
                <w:i/>
                <w:sz w:val="22"/>
                <w:szCs w:val="22"/>
                <w:vertAlign w:val="superscript"/>
              </w:rPr>
              <w:t xml:space="preserve"> </w:t>
            </w:r>
            <w:r>
              <w:rPr>
                <w:i/>
                <w:sz w:val="22"/>
                <w:szCs w:val="22"/>
              </w:rPr>
              <w:t>*</w:t>
            </w:r>
          </w:p>
        </w:tc>
        <w:tc>
          <w:tcPr>
            <w:tcW w:w="572" w:type="pct"/>
            <w:vAlign w:val="center"/>
          </w:tcPr>
          <w:p w14:paraId="6C6964B4"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3500</w:t>
            </w:r>
          </w:p>
        </w:tc>
        <w:tc>
          <w:tcPr>
            <w:tcW w:w="824" w:type="pct"/>
            <w:vAlign w:val="center"/>
          </w:tcPr>
          <w:p w14:paraId="22493E3C"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r>
      <w:tr w:rsidR="001C08A5" w14:paraId="580F78E3" w14:textId="77777777">
        <w:trPr>
          <w:trHeight w:val="189"/>
        </w:trPr>
        <w:tc>
          <w:tcPr>
            <w:tcW w:w="258" w:type="pct"/>
            <w:vMerge/>
            <w:textDirection w:val="btLr"/>
            <w:vAlign w:val="center"/>
          </w:tcPr>
          <w:p w14:paraId="6DB6A55F" w14:textId="77777777" w:rsidR="001C08A5" w:rsidRDefault="001C08A5">
            <w:pPr>
              <w:ind w:left="113" w:right="113"/>
              <w:jc w:val="center"/>
              <w:rPr>
                <w:b/>
                <w:bCs/>
                <w:i/>
                <w:sz w:val="22"/>
                <w:szCs w:val="22"/>
                <w:lang w:val="it-IT"/>
              </w:rPr>
            </w:pPr>
          </w:p>
        </w:tc>
        <w:tc>
          <w:tcPr>
            <w:tcW w:w="1113" w:type="pct"/>
            <w:vMerge/>
            <w:vAlign w:val="center"/>
          </w:tcPr>
          <w:p w14:paraId="12F319F0" w14:textId="77777777" w:rsidR="001C08A5" w:rsidRDefault="001C08A5">
            <w:pPr>
              <w:jc w:val="center"/>
              <w:rPr>
                <w:b/>
                <w:bCs/>
                <w:i/>
                <w:sz w:val="22"/>
                <w:szCs w:val="22"/>
                <w:lang w:val="en-GB"/>
              </w:rPr>
            </w:pPr>
          </w:p>
        </w:tc>
        <w:tc>
          <w:tcPr>
            <w:tcW w:w="2231" w:type="pct"/>
          </w:tcPr>
          <w:p w14:paraId="1336B95F" w14:textId="77777777" w:rsidR="001C08A5" w:rsidRDefault="00000000">
            <w:pPr>
              <w:rPr>
                <w:i/>
                <w:sz w:val="22"/>
                <w:szCs w:val="22"/>
                <w:lang w:val="en-GB"/>
              </w:rPr>
            </w:pPr>
            <w:r>
              <w:rPr>
                <w:i/>
                <w:sz w:val="22"/>
                <w:szCs w:val="22"/>
                <w:lang w:val="en-GB"/>
              </w:rPr>
              <w:t>Cl</w:t>
            </w:r>
            <w:r>
              <w:rPr>
                <w:i/>
                <w:sz w:val="22"/>
                <w:szCs w:val="22"/>
                <w:lang w:val="it-IT"/>
              </w:rPr>
              <w:t>ă</w:t>
            </w:r>
            <w:r>
              <w:rPr>
                <w:i/>
                <w:sz w:val="22"/>
                <w:szCs w:val="22"/>
                <w:lang w:val="en-GB"/>
              </w:rPr>
              <w:t xml:space="preserve">diri </w:t>
            </w:r>
            <w:r>
              <w:rPr>
                <w:i/>
                <w:sz w:val="22"/>
                <w:szCs w:val="22"/>
              </w:rPr>
              <w:t>înalte sau foarte înalte</w:t>
            </w:r>
          </w:p>
        </w:tc>
        <w:tc>
          <w:tcPr>
            <w:tcW w:w="572" w:type="pct"/>
            <w:vAlign w:val="center"/>
          </w:tcPr>
          <w:p w14:paraId="3572394B"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2500</w:t>
            </w:r>
          </w:p>
        </w:tc>
        <w:tc>
          <w:tcPr>
            <w:tcW w:w="824" w:type="pct"/>
            <w:vAlign w:val="center"/>
          </w:tcPr>
          <w:p w14:paraId="7A0CCC88" w14:textId="77777777" w:rsidR="001C08A5" w:rsidRDefault="00000000">
            <w:pPr>
              <w:spacing w:before="100" w:beforeAutospacing="1" w:after="100" w:afterAutospacing="1"/>
              <w:jc w:val="center"/>
              <w:rPr>
                <w:b/>
                <w:bCs/>
                <w:i/>
                <w:sz w:val="22"/>
                <w:szCs w:val="22"/>
                <w:lang w:eastAsia="en-GB"/>
              </w:rPr>
            </w:pPr>
            <w:r>
              <w:rPr>
                <w:b/>
                <w:bCs/>
                <w:i/>
                <w:sz w:val="22"/>
                <w:szCs w:val="22"/>
                <w:lang w:eastAsia="en-GB"/>
              </w:rPr>
              <w:t>Nu se admite</w:t>
            </w:r>
          </w:p>
        </w:tc>
      </w:tr>
    </w:tbl>
    <w:p w14:paraId="649D837D" w14:textId="77777777" w:rsidR="001C08A5" w:rsidRDefault="00000000">
      <w:pPr>
        <w:rPr>
          <w:rFonts w:eastAsia="Arial-ItalicMT"/>
          <w:i/>
          <w:sz w:val="22"/>
          <w:szCs w:val="22"/>
        </w:rPr>
      </w:pPr>
      <w:r>
        <w:rPr>
          <w:rFonts w:eastAsia="Arial-ItalicMT"/>
          <w:i/>
          <w:sz w:val="22"/>
          <w:szCs w:val="22"/>
        </w:rPr>
        <w:t>Note:</w:t>
      </w:r>
    </w:p>
    <w:p w14:paraId="09CA4940" w14:textId="77777777" w:rsidR="001C08A5" w:rsidRDefault="00000000">
      <w:pPr>
        <w:jc w:val="both"/>
        <w:rPr>
          <w:rFonts w:eastAsia="Arial-ItalicMT"/>
          <w:i/>
          <w:sz w:val="22"/>
          <w:szCs w:val="22"/>
        </w:rPr>
      </w:pPr>
      <w:r>
        <w:rPr>
          <w:rFonts w:eastAsia="Arial-BoldMT"/>
          <w:b/>
          <w:i/>
          <w:sz w:val="22"/>
          <w:szCs w:val="22"/>
        </w:rPr>
        <w:t xml:space="preserve">1) - </w:t>
      </w:r>
      <w:r>
        <w:rPr>
          <w:rFonts w:eastAsia="Arial-ItalicMT"/>
          <w:i/>
          <w:sz w:val="22"/>
          <w:szCs w:val="22"/>
        </w:rPr>
        <w:t>măsurată faţă de terenul carosabil adiacent accesibil autospecialelor de intervenţie ale pompierilor</w:t>
      </w:r>
    </w:p>
    <w:p w14:paraId="3068D2E0" w14:textId="77777777" w:rsidR="001C08A5" w:rsidRDefault="00000000">
      <w:pPr>
        <w:jc w:val="both"/>
        <w:rPr>
          <w:rFonts w:eastAsia="ArialMT"/>
          <w:i/>
          <w:sz w:val="22"/>
          <w:szCs w:val="22"/>
        </w:rPr>
      </w:pPr>
      <w:r>
        <w:rPr>
          <w:rFonts w:eastAsia="Arial-BoldMT"/>
          <w:b/>
          <w:i/>
          <w:sz w:val="22"/>
          <w:szCs w:val="22"/>
        </w:rPr>
        <w:t xml:space="preserve">2) - </w:t>
      </w:r>
      <w:r>
        <w:rPr>
          <w:rFonts w:eastAsia="ArialMT"/>
          <w:i/>
          <w:sz w:val="22"/>
          <w:szCs w:val="22"/>
        </w:rPr>
        <w:t>nu se referă la clădirile înalte sau foarte înalte</w:t>
      </w:r>
    </w:p>
    <w:p w14:paraId="406E9ED0" w14:textId="77777777" w:rsidR="001C08A5" w:rsidRDefault="00000000">
      <w:pPr>
        <w:jc w:val="both"/>
        <w:rPr>
          <w:rFonts w:eastAsia="ArialMT"/>
          <w:i/>
          <w:sz w:val="22"/>
          <w:szCs w:val="22"/>
        </w:rPr>
      </w:pPr>
      <w:r>
        <w:rPr>
          <w:rFonts w:eastAsia="Arial-BoldMT"/>
          <w:b/>
          <w:i/>
          <w:sz w:val="22"/>
          <w:szCs w:val="22"/>
        </w:rPr>
        <w:t xml:space="preserve">- </w:t>
      </w:r>
      <w:r>
        <w:rPr>
          <w:rFonts w:eastAsia="ArialMT"/>
          <w:i/>
          <w:sz w:val="22"/>
          <w:szCs w:val="22"/>
        </w:rPr>
        <w:t xml:space="preserve">pentru sălile aglomerate se corelează obligatoriu cu prevederile din </w:t>
      </w:r>
      <w:r>
        <w:rPr>
          <w:rFonts w:eastAsia="ArialMT"/>
          <w:b/>
          <w:bCs/>
          <w:i/>
          <w:iCs/>
          <w:sz w:val="22"/>
          <w:szCs w:val="22"/>
        </w:rPr>
        <w:fldChar w:fldCharType="begin"/>
      </w:r>
      <w:r>
        <w:rPr>
          <w:rFonts w:eastAsia="ArialMT"/>
          <w:b/>
          <w:bCs/>
          <w:i/>
          <w:iCs/>
          <w:sz w:val="22"/>
          <w:szCs w:val="22"/>
        </w:rPr>
        <w:instrText xml:space="preserve"> REF _Ref26402 \h </w:instrText>
      </w:r>
      <w:r>
        <w:rPr>
          <w:rFonts w:eastAsia="ArialMT"/>
          <w:b/>
          <w:bCs/>
          <w:i/>
          <w:iCs/>
          <w:sz w:val="22"/>
          <w:szCs w:val="22"/>
        </w:rPr>
      </w:r>
      <w:r>
        <w:rPr>
          <w:rFonts w:eastAsia="ArialMT"/>
          <w:b/>
          <w:bCs/>
          <w:i/>
          <w:iCs/>
          <w:sz w:val="22"/>
          <w:szCs w:val="22"/>
        </w:rPr>
        <w:fldChar w:fldCharType="separate"/>
      </w:r>
      <w:r>
        <w:t>Tabelul 99: Corelare între modul de amplasare, categoria sălii aglomerate supraterane și capacitatea maximă simultană de utilizatori admisă</w:t>
      </w:r>
      <w:r>
        <w:rPr>
          <w:rFonts w:eastAsia="ArialMT"/>
          <w:b/>
          <w:bCs/>
          <w:i/>
          <w:iCs/>
          <w:sz w:val="22"/>
          <w:szCs w:val="22"/>
        </w:rPr>
        <w:fldChar w:fldCharType="end"/>
      </w:r>
      <w:r>
        <w:rPr>
          <w:rFonts w:eastAsia="ArialMT"/>
          <w:i/>
          <w:sz w:val="22"/>
          <w:szCs w:val="22"/>
        </w:rPr>
        <w:t xml:space="preserve"> .</w:t>
      </w:r>
    </w:p>
    <w:p w14:paraId="6ECF5751" w14:textId="77777777" w:rsidR="001C08A5" w:rsidRDefault="00000000">
      <w:pPr>
        <w:jc w:val="both"/>
        <w:rPr>
          <w:rFonts w:eastAsia="ArialMT"/>
          <w:i/>
          <w:sz w:val="22"/>
          <w:szCs w:val="22"/>
        </w:rPr>
      </w:pPr>
      <w:r>
        <w:rPr>
          <w:rFonts w:eastAsia="ArialMT"/>
          <w:i/>
          <w:sz w:val="22"/>
          <w:szCs w:val="22"/>
        </w:rPr>
        <w:t xml:space="preserve">-  </w:t>
      </w:r>
      <w:r>
        <w:rPr>
          <w:rFonts w:eastAsia="ArialMT" w:hint="eastAsia"/>
          <w:i/>
          <w:sz w:val="22"/>
          <w:szCs w:val="22"/>
        </w:rPr>
        <w:t>Clădirile supraterane civile trebuie să respecte condiţii</w:t>
      </w:r>
      <w:r>
        <w:rPr>
          <w:rFonts w:eastAsia="ArialMT"/>
          <w:i/>
          <w:sz w:val="22"/>
          <w:szCs w:val="22"/>
        </w:rPr>
        <w:t>le</w:t>
      </w:r>
      <w:r>
        <w:rPr>
          <w:rFonts w:eastAsia="ArialMT" w:hint="eastAsia"/>
          <w:i/>
          <w:sz w:val="22"/>
          <w:szCs w:val="22"/>
        </w:rPr>
        <w:t xml:space="preserve"> de</w:t>
      </w:r>
      <w:r>
        <w:rPr>
          <w:rFonts w:eastAsia="ArialMT"/>
          <w:i/>
          <w:sz w:val="22"/>
          <w:szCs w:val="22"/>
        </w:rPr>
        <w:t xml:space="preserve"> </w:t>
      </w:r>
      <w:r>
        <w:rPr>
          <w:rFonts w:eastAsia="ArialMT" w:hint="eastAsia"/>
          <w:i/>
          <w:sz w:val="22"/>
          <w:szCs w:val="22"/>
        </w:rPr>
        <w:t>corelare între nivelul de stabilitate la incendiu asigurat, numărul de niveluri supraterane, destinaţie</w:t>
      </w:r>
      <w:r>
        <w:rPr>
          <w:rFonts w:eastAsia="ArialMT"/>
          <w:i/>
          <w:sz w:val="22"/>
          <w:szCs w:val="22"/>
        </w:rPr>
        <w:t xml:space="preserve"> </w:t>
      </w:r>
      <w:r>
        <w:rPr>
          <w:rFonts w:eastAsia="ArialMT" w:hint="eastAsia"/>
          <w:i/>
          <w:sz w:val="22"/>
          <w:szCs w:val="22"/>
        </w:rPr>
        <w:t>și capacitatea maximă simultană de utilizatori</w:t>
      </w:r>
      <w:r>
        <w:rPr>
          <w:rFonts w:eastAsia="ArialMT"/>
          <w:i/>
          <w:sz w:val="22"/>
          <w:szCs w:val="22"/>
        </w:rPr>
        <w:t xml:space="preserve"> </w:t>
      </w:r>
      <w:r>
        <w:rPr>
          <w:rFonts w:eastAsia="ArialMT" w:hint="eastAsia"/>
          <w:i/>
          <w:sz w:val="22"/>
          <w:szCs w:val="22"/>
        </w:rPr>
        <w:t>conform prevederilor din</w:t>
      </w:r>
      <w:r>
        <w:rPr>
          <w:rFonts w:eastAsia="ArialMT"/>
          <w:i/>
          <w:sz w:val="22"/>
          <w:szCs w:val="22"/>
        </w:rPr>
        <w:t xml:space="preserve"> </w:t>
      </w:r>
      <w:r>
        <w:rPr>
          <w:rFonts w:eastAsia="ArialMT"/>
          <w:b/>
          <w:bCs/>
          <w:i/>
          <w:iCs/>
          <w:sz w:val="22"/>
          <w:szCs w:val="22"/>
        </w:rPr>
        <w:fldChar w:fldCharType="begin"/>
      </w:r>
      <w:r>
        <w:rPr>
          <w:rFonts w:eastAsia="ArialMT"/>
          <w:b/>
          <w:bCs/>
          <w:i/>
          <w:iCs/>
          <w:sz w:val="22"/>
          <w:szCs w:val="22"/>
        </w:rPr>
        <w:instrText xml:space="preserve"> REF _Ref26891 \h </w:instrText>
      </w:r>
      <w:r>
        <w:rPr>
          <w:rFonts w:eastAsia="ArialMT"/>
          <w:b/>
          <w:bCs/>
          <w:i/>
          <w:iCs/>
          <w:sz w:val="22"/>
          <w:szCs w:val="22"/>
        </w:rPr>
      </w:r>
      <w:r>
        <w:rPr>
          <w:rFonts w:eastAsia="ArialMT"/>
          <w:b/>
          <w:bCs/>
          <w:i/>
          <w:iCs/>
          <w:sz w:val="22"/>
          <w:szCs w:val="22"/>
        </w:rPr>
        <w:fldChar w:fldCharType="separate"/>
      </w:r>
      <w:r>
        <w:t>Tabelul 42: Condiţii de corelare între destinaţie, capacitatea maximă simultană şi numărul de niveluri supraterane ale clădirilor civile, cu nivel de stabilitate la incendiu III, IV sau V</w:t>
      </w:r>
      <w:r>
        <w:rPr>
          <w:rFonts w:eastAsia="ArialMT"/>
          <w:b/>
          <w:bCs/>
          <w:i/>
          <w:iCs/>
          <w:sz w:val="22"/>
          <w:szCs w:val="22"/>
        </w:rPr>
        <w:fldChar w:fldCharType="end"/>
      </w:r>
      <w:r>
        <w:rPr>
          <w:rFonts w:eastAsia="ArialMT" w:hint="eastAsia"/>
          <w:i/>
          <w:sz w:val="22"/>
          <w:szCs w:val="22"/>
        </w:rPr>
        <w:t xml:space="preserve"> .</w:t>
      </w:r>
    </w:p>
    <w:p w14:paraId="2355C2C0" w14:textId="77777777" w:rsidR="001C08A5" w:rsidRDefault="001C08A5">
      <w:pPr>
        <w:rPr>
          <w:rFonts w:eastAsia="ArialMT"/>
          <w:i/>
          <w:sz w:val="22"/>
          <w:szCs w:val="22"/>
        </w:rPr>
      </w:pPr>
    </w:p>
    <w:p w14:paraId="2C1D1133" w14:textId="77777777" w:rsidR="001C08A5" w:rsidRDefault="00000000">
      <w:pPr>
        <w:numPr>
          <w:ilvl w:val="0"/>
          <w:numId w:val="96"/>
        </w:numPr>
        <w:tabs>
          <w:tab w:val="left" w:pos="426"/>
          <w:tab w:val="left" w:pos="993"/>
        </w:tabs>
        <w:jc w:val="both"/>
        <w:rPr>
          <w:bCs/>
          <w:i/>
          <w:sz w:val="24"/>
        </w:rPr>
      </w:pPr>
      <w:r>
        <w:rPr>
          <w:bCs/>
          <w:i/>
          <w:sz w:val="24"/>
        </w:rPr>
        <w:t xml:space="preserve">În cazurile în care construcţia proiectată se va încadra în numărul de niveluri supraterane maxim admise precizate în </w:t>
      </w:r>
      <w:r>
        <w:rPr>
          <w:b/>
          <w:bCs/>
          <w:i/>
          <w:iCs/>
          <w:sz w:val="24"/>
          <w:szCs w:val="24"/>
        </w:rPr>
        <w:fldChar w:fldCharType="begin"/>
      </w:r>
      <w:r>
        <w:rPr>
          <w:b/>
          <w:bCs/>
          <w:i/>
          <w:iCs/>
          <w:sz w:val="24"/>
          <w:szCs w:val="24"/>
        </w:rPr>
        <w:instrText xml:space="preserve"> REF _Ref24145 \h </w:instrText>
      </w:r>
      <w:r>
        <w:rPr>
          <w:b/>
          <w:bCs/>
          <w:i/>
          <w:iCs/>
          <w:sz w:val="24"/>
          <w:szCs w:val="24"/>
        </w:rPr>
      </w:r>
      <w:r>
        <w:rPr>
          <w:b/>
          <w:bCs/>
          <w:i/>
          <w:iCs/>
          <w:sz w:val="24"/>
          <w:szCs w:val="24"/>
        </w:rPr>
        <w:fldChar w:fldCharType="separate"/>
      </w:r>
      <w:r>
        <w:t>Tabelul 125</w:t>
      </w:r>
      <w:r>
        <w:rPr>
          <w:b/>
          <w:bCs/>
          <w:i/>
          <w:iCs/>
          <w:sz w:val="24"/>
          <w:szCs w:val="24"/>
        </w:rPr>
        <w:fldChar w:fldCharType="end"/>
      </w:r>
      <w:r>
        <w:rPr>
          <w:bCs/>
          <w:i/>
          <w:sz w:val="24"/>
        </w:rPr>
        <w:t>, dar nivelul de stabilitate la incendiu este superior, atunci se va opta pentru sistemele compozite de izolare termică ale faţadei pline corespunzătoare nivelului de stabilitate la incendiu proiectat, dar acestea nu se vor lua in calcul la stabilirea nivelului de stabilitate la incendiu.</w:t>
      </w:r>
    </w:p>
    <w:p w14:paraId="72299602" w14:textId="77777777" w:rsidR="001C08A5" w:rsidRDefault="001C08A5">
      <w:pPr>
        <w:numPr>
          <w:ilvl w:val="255"/>
          <w:numId w:val="0"/>
        </w:numPr>
        <w:tabs>
          <w:tab w:val="left" w:pos="426"/>
          <w:tab w:val="left" w:pos="993"/>
        </w:tabs>
        <w:jc w:val="both"/>
        <w:rPr>
          <w:bCs/>
          <w:i/>
          <w:sz w:val="24"/>
        </w:rPr>
      </w:pPr>
    </w:p>
    <w:p w14:paraId="406CCBAE" w14:textId="77777777" w:rsidR="001C08A5" w:rsidRDefault="00000000">
      <w:pPr>
        <w:pStyle w:val="Heading2"/>
        <w:rPr>
          <w:sz w:val="28"/>
        </w:rPr>
      </w:pPr>
      <w:bookmarkStart w:id="6153" w:name="_Toc32725"/>
      <w:bookmarkStart w:id="6154" w:name="_Toc22841"/>
      <w:bookmarkStart w:id="6155" w:name="_Toc20114"/>
      <w:bookmarkStart w:id="6156" w:name="_Toc28849"/>
      <w:bookmarkStart w:id="6157" w:name="_Toc27849"/>
      <w:bookmarkStart w:id="6158" w:name="_Toc8685"/>
      <w:bookmarkStart w:id="6159" w:name="_Toc162355395"/>
      <w:bookmarkStart w:id="6160" w:name="_Toc28727"/>
      <w:bookmarkStart w:id="6161" w:name="_Toc19634"/>
      <w:bookmarkStart w:id="6162" w:name="_Toc12843"/>
      <w:bookmarkStart w:id="6163" w:name="_Toc13872"/>
      <w:bookmarkStart w:id="6164" w:name="_Toc16656"/>
      <w:bookmarkStart w:id="6165" w:name="_Toc24329"/>
      <w:bookmarkStart w:id="6166" w:name="_Toc7720"/>
      <w:bookmarkStart w:id="6167" w:name="_Toc3327"/>
      <w:bookmarkStart w:id="6168" w:name="_Toc16395"/>
      <w:r>
        <w:rPr>
          <w:sz w:val="28"/>
        </w:rPr>
        <w:lastRenderedPageBreak/>
        <w:t>ANEXA 3  - LIMITAREA PROPAGĂRII INCENDIILOR</w:t>
      </w:r>
      <w:bookmarkEnd w:id="6153"/>
      <w:r>
        <w:rPr>
          <w:sz w:val="28"/>
        </w:rPr>
        <w:t xml:space="preserve"> PE FAȚADĂ</w:t>
      </w:r>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p>
    <w:p w14:paraId="28CE9CEB" w14:textId="77777777" w:rsidR="001C08A5" w:rsidRDefault="00000000">
      <w:pPr>
        <w:pStyle w:val="Heading3"/>
        <w:rPr>
          <w:i/>
          <w:iCs/>
          <w:sz w:val="24"/>
          <w:szCs w:val="24"/>
        </w:rPr>
      </w:pPr>
      <w:bookmarkStart w:id="6169" w:name="_Toc3335"/>
      <w:bookmarkStart w:id="6170" w:name="_Toc14872"/>
      <w:bookmarkStart w:id="6171" w:name="_Toc1522"/>
      <w:bookmarkStart w:id="6172" w:name="_Toc162355396"/>
      <w:bookmarkStart w:id="6173" w:name="_Toc18221"/>
      <w:bookmarkStart w:id="6174" w:name="_Toc24987"/>
      <w:bookmarkStart w:id="6175" w:name="_Toc27319"/>
      <w:bookmarkStart w:id="6176" w:name="_Toc30345"/>
      <w:bookmarkStart w:id="6177" w:name="_Toc29616"/>
      <w:bookmarkStart w:id="6178" w:name="_Toc24014"/>
      <w:bookmarkStart w:id="6179" w:name="_Toc25572"/>
      <w:bookmarkStart w:id="6180" w:name="_Toc31493"/>
      <w:bookmarkStart w:id="6181" w:name="_Toc17305"/>
      <w:bookmarkStart w:id="6182" w:name="_Toc26895"/>
      <w:bookmarkStart w:id="6183" w:name="_Toc20284"/>
      <w:bookmarkStart w:id="6184" w:name="_Toc8849"/>
      <w:bookmarkStart w:id="6185" w:name="_Toc27469"/>
      <w:bookmarkStart w:id="6186" w:name="_Toc19857"/>
      <w:r>
        <w:rPr>
          <w:i/>
          <w:iCs/>
          <w:sz w:val="24"/>
          <w:szCs w:val="24"/>
        </w:rPr>
        <w:t>ANEXA 3.1 - PREVEDERI GENERALE</w:t>
      </w:r>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p>
    <w:p w14:paraId="19669A85" w14:textId="77777777" w:rsidR="001C08A5" w:rsidRDefault="001C08A5">
      <w:pPr>
        <w:tabs>
          <w:tab w:val="left" w:pos="426"/>
          <w:tab w:val="left" w:pos="993"/>
        </w:tabs>
        <w:jc w:val="both"/>
        <w:rPr>
          <w:rFonts w:eastAsia="TimesNewRomanPSMT"/>
          <w:i/>
          <w:sz w:val="24"/>
          <w:szCs w:val="24"/>
        </w:rPr>
      </w:pPr>
    </w:p>
    <w:p w14:paraId="1042AE2C" w14:textId="77777777" w:rsidR="001C08A5" w:rsidRDefault="00000000">
      <w:pPr>
        <w:numPr>
          <w:ilvl w:val="0"/>
          <w:numId w:val="96"/>
        </w:numPr>
        <w:tabs>
          <w:tab w:val="left" w:pos="426"/>
          <w:tab w:val="left" w:pos="993"/>
        </w:tabs>
        <w:jc w:val="both"/>
        <w:rPr>
          <w:rFonts w:eastAsia="TimesNewRomanPSMT"/>
          <w:i/>
          <w:sz w:val="24"/>
          <w:szCs w:val="24"/>
        </w:rPr>
      </w:pPr>
      <w:r>
        <w:rPr>
          <w:rFonts w:eastAsia="TimesNewRomanPSMT"/>
          <w:i/>
          <w:sz w:val="24"/>
          <w:szCs w:val="24"/>
        </w:rPr>
        <w:t>Este obligatoriu ca închiderile perimetrale de orice fel ale construcţiilor să se alcătuiască şi să se realizeazeze astfel încât să întârzie propagarea incendiilor de la un nivel la altul, atât prin exteriorul închiderii perimetrale (pe faţadă), cât şi prin interiorul construcţiei, conform prevederi normate.</w:t>
      </w:r>
    </w:p>
    <w:p w14:paraId="692076E5" w14:textId="77777777" w:rsidR="001C08A5" w:rsidRDefault="001C08A5">
      <w:pPr>
        <w:tabs>
          <w:tab w:val="left" w:pos="426"/>
          <w:tab w:val="left" w:pos="993"/>
        </w:tabs>
        <w:jc w:val="both"/>
        <w:rPr>
          <w:rFonts w:eastAsia="TimesNewRomanPSMT"/>
          <w:i/>
          <w:sz w:val="24"/>
          <w:szCs w:val="24"/>
        </w:rPr>
      </w:pPr>
    </w:p>
    <w:p w14:paraId="1D7E0FC7" w14:textId="77777777" w:rsidR="001C08A5" w:rsidRDefault="00000000">
      <w:pPr>
        <w:numPr>
          <w:ilvl w:val="0"/>
          <w:numId w:val="96"/>
        </w:numPr>
        <w:tabs>
          <w:tab w:val="left" w:pos="426"/>
          <w:tab w:val="left" w:pos="993"/>
        </w:tabs>
        <w:jc w:val="both"/>
        <w:rPr>
          <w:rFonts w:eastAsia="TimesNewRomanPSMT"/>
          <w:i/>
          <w:sz w:val="24"/>
          <w:szCs w:val="24"/>
        </w:rPr>
      </w:pPr>
      <w:r>
        <w:rPr>
          <w:rFonts w:eastAsia="TimesNewRomanPSMT"/>
          <w:i/>
          <w:sz w:val="24"/>
          <w:szCs w:val="24"/>
        </w:rPr>
        <w:t>Pentru întârzierea propagării incendiilor prin interiorul construcției spaţiile libere dintre planşee și peretele cortină precum și dintre planşee și alte tipuri de pereți exteriori ancorați (prinși) de structura portantă a clădirii (exemplu: tip de fațadă din panouri sandwich) se etanşează cu sisteme de etanșare avand aceeasi rezistenta la foc cu a planșeului astfel:</w:t>
      </w:r>
    </w:p>
    <w:p w14:paraId="082FFDF1" w14:textId="77777777" w:rsidR="001C08A5" w:rsidRDefault="00000000">
      <w:pPr>
        <w:ind w:left="720" w:firstLine="720"/>
        <w:rPr>
          <w:rFonts w:eastAsia="TimesNewRomanPSMT"/>
          <w:i/>
          <w:sz w:val="24"/>
          <w:szCs w:val="24"/>
        </w:rPr>
      </w:pPr>
      <w:r>
        <w:rPr>
          <w:rFonts w:eastAsia="Calibri"/>
          <w:i/>
          <w:sz w:val="24"/>
          <w:szCs w:val="24"/>
        </w:rPr>
        <w:t xml:space="preserve">- </w:t>
      </w:r>
      <w:r>
        <w:rPr>
          <w:rFonts w:eastAsia="TimesNewRomanPSMT"/>
          <w:i/>
          <w:sz w:val="24"/>
          <w:szCs w:val="24"/>
        </w:rPr>
        <w:t>la clădiri cu înălțime obișnuită:</w:t>
      </w:r>
    </w:p>
    <w:p w14:paraId="342DC651" w14:textId="77777777" w:rsidR="001C08A5" w:rsidRDefault="00000000">
      <w:pPr>
        <w:ind w:left="1440" w:firstLine="720"/>
        <w:rPr>
          <w:rFonts w:eastAsia="TimesNewRomanPS-BoldMT"/>
          <w:b/>
          <w:i/>
          <w:sz w:val="24"/>
          <w:szCs w:val="24"/>
        </w:rPr>
      </w:pPr>
      <w:r>
        <w:rPr>
          <w:rFonts w:eastAsia="TimesNewRomanPSMT"/>
          <w:i/>
          <w:sz w:val="24"/>
          <w:szCs w:val="24"/>
        </w:rPr>
        <w:t xml:space="preserve">i. rezistența la foc minimum </w:t>
      </w:r>
      <w:r>
        <w:rPr>
          <w:rFonts w:eastAsia="TimesNewRomanPS-BoldMT"/>
          <w:b/>
          <w:i/>
          <w:sz w:val="24"/>
          <w:szCs w:val="24"/>
        </w:rPr>
        <w:t>EI 30;</w:t>
      </w:r>
    </w:p>
    <w:p w14:paraId="5B1DDB01" w14:textId="77777777" w:rsidR="001C08A5" w:rsidRDefault="00000000">
      <w:pPr>
        <w:ind w:left="720" w:firstLine="720"/>
        <w:rPr>
          <w:rFonts w:eastAsia="TimesNewRomanPSMT"/>
          <w:i/>
          <w:sz w:val="24"/>
          <w:szCs w:val="24"/>
        </w:rPr>
      </w:pPr>
      <w:r>
        <w:rPr>
          <w:rFonts w:eastAsia="Calibri"/>
          <w:i/>
          <w:sz w:val="24"/>
          <w:szCs w:val="24"/>
        </w:rPr>
        <w:t xml:space="preserve">- </w:t>
      </w:r>
      <w:r>
        <w:rPr>
          <w:rFonts w:eastAsia="TimesNewRomanPSMT"/>
          <w:i/>
          <w:sz w:val="24"/>
          <w:szCs w:val="24"/>
        </w:rPr>
        <w:t>la clădiri înalte:</w:t>
      </w:r>
    </w:p>
    <w:p w14:paraId="23679D71" w14:textId="77777777" w:rsidR="001C08A5" w:rsidRDefault="00000000">
      <w:pPr>
        <w:ind w:left="1440" w:firstLine="720"/>
        <w:rPr>
          <w:rFonts w:eastAsia="TimesNewRomanPS-BoldMT"/>
          <w:b/>
          <w:i/>
          <w:sz w:val="24"/>
          <w:szCs w:val="24"/>
        </w:rPr>
      </w:pPr>
      <w:r>
        <w:rPr>
          <w:rFonts w:eastAsia="TimesNewRomanPSMT"/>
          <w:i/>
          <w:sz w:val="24"/>
          <w:szCs w:val="24"/>
        </w:rPr>
        <w:t xml:space="preserve">i. rezistența la foc minimum </w:t>
      </w:r>
      <w:r>
        <w:rPr>
          <w:rFonts w:eastAsia="TimesNewRomanPS-BoldMT"/>
          <w:b/>
          <w:i/>
          <w:sz w:val="24"/>
          <w:szCs w:val="24"/>
        </w:rPr>
        <w:t>EI 60;</w:t>
      </w:r>
    </w:p>
    <w:p w14:paraId="590FB6FD" w14:textId="77777777" w:rsidR="001C08A5" w:rsidRDefault="00000000">
      <w:pPr>
        <w:ind w:left="720" w:firstLine="720"/>
        <w:rPr>
          <w:rFonts w:eastAsia="TimesNewRomanPSMT"/>
          <w:i/>
          <w:sz w:val="24"/>
          <w:szCs w:val="24"/>
        </w:rPr>
      </w:pPr>
      <w:r>
        <w:rPr>
          <w:rFonts w:eastAsia="Calibri"/>
          <w:i/>
          <w:sz w:val="24"/>
          <w:szCs w:val="24"/>
        </w:rPr>
        <w:t xml:space="preserve">- </w:t>
      </w:r>
      <w:r>
        <w:rPr>
          <w:rFonts w:eastAsia="TimesNewRomanPSMT"/>
          <w:i/>
          <w:sz w:val="24"/>
          <w:szCs w:val="24"/>
        </w:rPr>
        <w:t xml:space="preserve">la clădiri foarte înalte cu înălțimea mai mică de </w:t>
      </w:r>
      <w:r>
        <w:rPr>
          <w:rFonts w:eastAsia="TimesNewRomanPS-BoldMT"/>
          <w:b/>
          <w:i/>
          <w:sz w:val="24"/>
          <w:szCs w:val="24"/>
        </w:rPr>
        <w:t>125 m</w:t>
      </w:r>
      <w:r>
        <w:rPr>
          <w:rFonts w:eastAsia="TimesNewRomanPSMT"/>
          <w:i/>
          <w:sz w:val="24"/>
          <w:szCs w:val="24"/>
        </w:rPr>
        <w:t>:</w:t>
      </w:r>
    </w:p>
    <w:p w14:paraId="4AEBF7ED" w14:textId="77777777" w:rsidR="001C08A5" w:rsidRDefault="00000000">
      <w:pPr>
        <w:ind w:left="1440" w:firstLine="720"/>
        <w:rPr>
          <w:rFonts w:eastAsia="TimesNewRomanPS-BoldMT"/>
          <w:b/>
          <w:i/>
          <w:sz w:val="24"/>
          <w:szCs w:val="24"/>
        </w:rPr>
      </w:pPr>
      <w:r>
        <w:rPr>
          <w:rFonts w:eastAsia="TimesNewRomanPSMT"/>
          <w:i/>
          <w:sz w:val="24"/>
          <w:szCs w:val="24"/>
        </w:rPr>
        <w:t xml:space="preserve">i. rezistența la foc minimum </w:t>
      </w:r>
      <w:r>
        <w:rPr>
          <w:rFonts w:eastAsia="TimesNewRomanPS-BoldMT"/>
          <w:b/>
          <w:i/>
          <w:sz w:val="24"/>
          <w:szCs w:val="24"/>
        </w:rPr>
        <w:t>EI 90;</w:t>
      </w:r>
    </w:p>
    <w:p w14:paraId="59932E24" w14:textId="77777777" w:rsidR="001C08A5" w:rsidRDefault="00000000">
      <w:pPr>
        <w:ind w:left="720" w:firstLine="720"/>
        <w:rPr>
          <w:rFonts w:eastAsia="TimesNewRomanPSMT"/>
          <w:i/>
          <w:sz w:val="24"/>
          <w:szCs w:val="24"/>
        </w:rPr>
      </w:pPr>
      <w:r>
        <w:rPr>
          <w:rFonts w:eastAsia="Calibri"/>
          <w:i/>
          <w:sz w:val="24"/>
          <w:szCs w:val="24"/>
        </w:rPr>
        <w:t xml:space="preserve">- </w:t>
      </w:r>
      <w:r>
        <w:rPr>
          <w:rFonts w:eastAsia="TimesNewRomanPSMT"/>
          <w:i/>
          <w:sz w:val="24"/>
          <w:szCs w:val="24"/>
        </w:rPr>
        <w:t xml:space="preserve">la clădiri foarte înalte cu înălțimea mai mare sau egala cu </w:t>
      </w:r>
      <w:r>
        <w:rPr>
          <w:rFonts w:eastAsia="TimesNewRomanPS-BoldMT"/>
          <w:b/>
          <w:i/>
          <w:sz w:val="24"/>
          <w:szCs w:val="24"/>
        </w:rPr>
        <w:t>125 m</w:t>
      </w:r>
      <w:r>
        <w:rPr>
          <w:rFonts w:eastAsia="TimesNewRomanPSMT"/>
          <w:i/>
          <w:sz w:val="24"/>
          <w:szCs w:val="24"/>
        </w:rPr>
        <w:t>:</w:t>
      </w:r>
    </w:p>
    <w:p w14:paraId="7E5DFC42" w14:textId="77777777" w:rsidR="001C08A5" w:rsidRDefault="00000000">
      <w:pPr>
        <w:numPr>
          <w:ilvl w:val="0"/>
          <w:numId w:val="98"/>
        </w:numPr>
        <w:tabs>
          <w:tab w:val="left" w:pos="426"/>
          <w:tab w:val="left" w:pos="993"/>
        </w:tabs>
        <w:ind w:left="1440" w:firstLine="720"/>
        <w:jc w:val="both"/>
        <w:rPr>
          <w:rFonts w:eastAsia="TimesNewRomanPS-BoldMT"/>
          <w:b/>
          <w:i/>
          <w:sz w:val="24"/>
          <w:szCs w:val="24"/>
        </w:rPr>
      </w:pPr>
      <w:r>
        <w:rPr>
          <w:rFonts w:eastAsia="TimesNewRomanPSMT"/>
          <w:i/>
          <w:sz w:val="24"/>
          <w:szCs w:val="24"/>
        </w:rPr>
        <w:t xml:space="preserve">rezistența la foc minimum </w:t>
      </w:r>
      <w:r>
        <w:rPr>
          <w:rFonts w:eastAsia="TimesNewRomanPS-BoldMT"/>
          <w:b/>
          <w:i/>
          <w:sz w:val="24"/>
          <w:szCs w:val="24"/>
        </w:rPr>
        <w:t>EI 120.</w:t>
      </w:r>
    </w:p>
    <w:p w14:paraId="76A3605E" w14:textId="77777777" w:rsidR="001C08A5" w:rsidRDefault="00000000">
      <w:pPr>
        <w:tabs>
          <w:tab w:val="left" w:pos="426"/>
          <w:tab w:val="left" w:pos="993"/>
        </w:tabs>
        <w:jc w:val="center"/>
      </w:pPr>
      <w:r>
        <w:rPr>
          <w:noProof/>
        </w:rPr>
        <w:drawing>
          <wp:inline distT="0" distB="0" distL="114300" distR="114300" wp14:anchorId="654F4B02" wp14:editId="2DFD66B1">
            <wp:extent cx="5991225" cy="2516505"/>
            <wp:effectExtent l="0" t="0" r="9525" b="17145"/>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
                    <pic:cNvPicPr>
                      <a:picLocks noChangeAspect="1"/>
                    </pic:cNvPicPr>
                  </pic:nvPicPr>
                  <pic:blipFill>
                    <a:blip r:embed="rId252"/>
                    <a:srcRect l="13217" t="16710" r="7504" b="18556"/>
                    <a:stretch>
                      <a:fillRect/>
                    </a:stretch>
                  </pic:blipFill>
                  <pic:spPr>
                    <a:xfrm>
                      <a:off x="0" y="0"/>
                      <a:ext cx="5991225" cy="2516505"/>
                    </a:xfrm>
                    <a:prstGeom prst="rect">
                      <a:avLst/>
                    </a:prstGeom>
                    <a:noFill/>
                    <a:ln>
                      <a:noFill/>
                    </a:ln>
                  </pic:spPr>
                </pic:pic>
              </a:graphicData>
            </a:graphic>
          </wp:inline>
        </w:drawing>
      </w:r>
    </w:p>
    <w:p w14:paraId="74B4E1AB" w14:textId="77777777" w:rsidR="001C08A5" w:rsidRDefault="00000000">
      <w:pPr>
        <w:pStyle w:val="Caption"/>
        <w:tabs>
          <w:tab w:val="left" w:pos="426"/>
          <w:tab w:val="left" w:pos="993"/>
        </w:tabs>
        <w:jc w:val="center"/>
        <w:rPr>
          <w:rFonts w:cs="Times New Roman"/>
        </w:rPr>
      </w:pPr>
      <w:bookmarkStart w:id="6187" w:name="_Toc162360323"/>
      <w:r>
        <w:t xml:space="preserve">Figura </w:t>
      </w:r>
      <w:r>
        <w:fldChar w:fldCharType="begin"/>
      </w:r>
      <w:r>
        <w:instrText xml:space="preserve"> SEQ Figura \* ARABIC </w:instrText>
      </w:r>
      <w:r>
        <w:fldChar w:fldCharType="separate"/>
      </w:r>
      <w:r>
        <w:t>99</w:t>
      </w:r>
      <w:r>
        <w:fldChar w:fldCharType="end"/>
      </w:r>
      <w:bookmarkStart w:id="6188" w:name="_Toc15451"/>
      <w:bookmarkStart w:id="6189" w:name="_Toc29851"/>
      <w:bookmarkStart w:id="6190" w:name="_Toc5522"/>
      <w:bookmarkStart w:id="6191" w:name="_Toc18682"/>
      <w:bookmarkStart w:id="6192" w:name="_Toc25127"/>
      <w:bookmarkStart w:id="6193" w:name="_Toc30769"/>
      <w:bookmarkStart w:id="6194" w:name="_Toc25143"/>
      <w:bookmarkStart w:id="6195" w:name="_Toc15788"/>
      <w:bookmarkStart w:id="6196" w:name="_Toc19053"/>
      <w:r>
        <w:t xml:space="preserve"> - </w:t>
      </w:r>
      <w:r>
        <w:rPr>
          <w:rFonts w:eastAsia="TimesNewRomanPS-BoldItalicMT" w:cs="Times New Roman"/>
        </w:rPr>
        <w:t xml:space="preserve">Performanțe privind etanșarea spaţiilor libere dintre planşee şi </w:t>
      </w:r>
      <w:r>
        <w:rPr>
          <w:rFonts w:eastAsia="TimesNewRomanPSMT" w:cs="Times New Roman"/>
          <w:iCs w:val="0"/>
        </w:rPr>
        <w:t>peretele cortină precum și dintre planşee și alte tipuri de pereți exteriori ancorați (prinși) de structura portantă a clădirii</w:t>
      </w:r>
      <w:bookmarkEnd w:id="6187"/>
      <w:bookmarkEnd w:id="6188"/>
      <w:bookmarkEnd w:id="6189"/>
      <w:bookmarkEnd w:id="6190"/>
      <w:bookmarkEnd w:id="6191"/>
      <w:bookmarkEnd w:id="6192"/>
      <w:bookmarkEnd w:id="6193"/>
      <w:bookmarkEnd w:id="6194"/>
      <w:bookmarkEnd w:id="6195"/>
      <w:bookmarkEnd w:id="6196"/>
    </w:p>
    <w:p w14:paraId="5A425022" w14:textId="77777777" w:rsidR="001C08A5" w:rsidRDefault="00000000">
      <w:pPr>
        <w:pStyle w:val="Heading3"/>
        <w:rPr>
          <w:i/>
          <w:iCs/>
          <w:sz w:val="24"/>
          <w:szCs w:val="24"/>
        </w:rPr>
      </w:pPr>
      <w:bookmarkStart w:id="6197" w:name="_Toc2090"/>
      <w:bookmarkStart w:id="6198" w:name="_Toc1264"/>
      <w:bookmarkStart w:id="6199" w:name="_Toc19244"/>
      <w:bookmarkStart w:id="6200" w:name="_Toc20232"/>
      <w:bookmarkStart w:id="6201" w:name="_Toc26810"/>
      <w:bookmarkStart w:id="6202" w:name="_Toc15502"/>
      <w:bookmarkStart w:id="6203" w:name="_Toc22144"/>
      <w:bookmarkStart w:id="6204" w:name="_Toc20216"/>
      <w:bookmarkStart w:id="6205" w:name="_Toc9742"/>
      <w:bookmarkStart w:id="6206" w:name="_Toc162355397"/>
      <w:bookmarkStart w:id="6207" w:name="_Toc31927"/>
      <w:bookmarkStart w:id="6208" w:name="_Toc29695"/>
      <w:bookmarkStart w:id="6209" w:name="_Toc14103"/>
      <w:bookmarkStart w:id="6210" w:name="_Toc5483"/>
      <w:bookmarkStart w:id="6211" w:name="_Toc23204"/>
      <w:bookmarkStart w:id="6212" w:name="_Toc11734"/>
      <w:bookmarkStart w:id="6213" w:name="_Toc24650"/>
      <w:r>
        <w:rPr>
          <w:i/>
          <w:iCs/>
          <w:sz w:val="24"/>
          <w:szCs w:val="24"/>
        </w:rPr>
        <w:t>ANEXA 3.2 - REGULA H + L</w:t>
      </w:r>
      <w:bookmarkEnd w:id="618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p>
    <w:p w14:paraId="3D0921A9" w14:textId="77777777" w:rsidR="001C08A5" w:rsidRDefault="00000000">
      <w:pPr>
        <w:numPr>
          <w:ilvl w:val="0"/>
          <w:numId w:val="96"/>
        </w:numPr>
        <w:tabs>
          <w:tab w:val="left" w:pos="426"/>
          <w:tab w:val="left" w:pos="993"/>
        </w:tabs>
        <w:jc w:val="both"/>
        <w:rPr>
          <w:bCs/>
          <w:i/>
          <w:sz w:val="24"/>
        </w:rPr>
      </w:pPr>
      <w:r>
        <w:rPr>
          <w:i/>
          <w:iCs/>
          <w:sz w:val="24"/>
          <w:szCs w:val="24"/>
        </w:rPr>
        <w:t>În cazurile în care în Normativ se precizează explicit, se pot însuma elementele verticale cu elementele orizontale având aceeași rezistentă la foc (aceeași perioadă de timp) conform</w:t>
      </w:r>
      <w:r>
        <w:rPr>
          <w:bCs/>
        </w:rPr>
        <w:fldChar w:fldCharType="begin"/>
      </w:r>
      <w:r>
        <w:rPr>
          <w:bCs/>
        </w:rPr>
        <w:instrText xml:space="preserve"> REF _Ref26697 \h </w:instrText>
      </w:r>
      <w:r>
        <w:rPr>
          <w:bCs/>
        </w:rPr>
      </w:r>
      <w:r>
        <w:rPr>
          <w:bCs/>
        </w:rPr>
        <w:fldChar w:fldCharType="separate"/>
      </w:r>
      <w:r>
        <w:rPr>
          <w:bCs/>
        </w:rPr>
        <w:t xml:space="preserve"> Figura 42 - Concept însumare elemente verticale cu elementele orizontale având aceeași rezistentă la foc (caz general)</w:t>
      </w:r>
      <w:r>
        <w:rPr>
          <w:bCs/>
        </w:rPr>
        <w:fldChar w:fldCharType="end"/>
      </w:r>
      <w:r>
        <w:rPr>
          <w:bCs/>
        </w:rPr>
        <w:t>.</w:t>
      </w:r>
    </w:p>
    <w:p w14:paraId="225D2D28" w14:textId="77777777" w:rsidR="001C08A5" w:rsidRDefault="00000000">
      <w:pPr>
        <w:pStyle w:val="Heading4"/>
        <w:rPr>
          <w:sz w:val="24"/>
          <w:szCs w:val="24"/>
        </w:rPr>
      </w:pPr>
      <w:bookmarkStart w:id="6214" w:name="_Toc6835"/>
      <w:bookmarkStart w:id="6215" w:name="_Toc19969"/>
      <w:bookmarkStart w:id="6216" w:name="_Toc162355398"/>
      <w:bookmarkStart w:id="6217" w:name="_Toc31554"/>
      <w:bookmarkStart w:id="6218" w:name="_Toc23546"/>
      <w:bookmarkStart w:id="6219" w:name="_Toc13818"/>
      <w:bookmarkStart w:id="6220" w:name="_Toc16441"/>
      <w:bookmarkStart w:id="6221" w:name="_Toc4060"/>
      <w:bookmarkStart w:id="6222" w:name="_Toc18401"/>
      <w:bookmarkStart w:id="6223" w:name="_Toc11326"/>
      <w:bookmarkStart w:id="6224" w:name="_Toc7422"/>
      <w:bookmarkStart w:id="6225" w:name="_Toc13473"/>
      <w:bookmarkStart w:id="6226" w:name="_Toc28742"/>
      <w:bookmarkStart w:id="6227" w:name="_Toc21542"/>
      <w:bookmarkStart w:id="6228" w:name="_Toc17315"/>
      <w:bookmarkStart w:id="6229" w:name="_Toc32426"/>
      <w:bookmarkStart w:id="6230" w:name="_Toc14190"/>
      <w:r>
        <w:rPr>
          <w:sz w:val="24"/>
          <w:szCs w:val="24"/>
        </w:rPr>
        <w:t>Definirea indicilor H și L (definire)</w:t>
      </w:r>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p>
    <w:p w14:paraId="6B9A2C6C" w14:textId="77777777" w:rsidR="001C08A5" w:rsidRDefault="00000000">
      <w:pPr>
        <w:numPr>
          <w:ilvl w:val="0"/>
          <w:numId w:val="96"/>
        </w:numPr>
        <w:tabs>
          <w:tab w:val="left" w:pos="426"/>
          <w:tab w:val="left" w:pos="993"/>
        </w:tabs>
        <w:jc w:val="both"/>
        <w:rPr>
          <w:b/>
          <w:bCs/>
          <w:i/>
          <w:sz w:val="24"/>
          <w:szCs w:val="24"/>
        </w:rPr>
      </w:pPr>
      <w:r>
        <w:rPr>
          <w:bCs/>
          <w:i/>
          <w:sz w:val="24"/>
          <w:szCs w:val="24"/>
        </w:rPr>
        <w:t>Indicele ”</w:t>
      </w:r>
      <w:r>
        <w:rPr>
          <w:b/>
          <w:i/>
          <w:sz w:val="24"/>
          <w:szCs w:val="24"/>
        </w:rPr>
        <w:t>H</w:t>
      </w:r>
      <w:r>
        <w:rPr>
          <w:bCs/>
          <w:i/>
          <w:sz w:val="24"/>
          <w:szCs w:val="24"/>
        </w:rPr>
        <w:t xml:space="preserve">” în general reprezintă distanța verticală care trebuie să fie egală fie egală fie cu </w:t>
      </w:r>
      <w:r>
        <w:rPr>
          <w:b/>
          <w:i/>
          <w:sz w:val="24"/>
          <w:szCs w:val="24"/>
        </w:rPr>
        <w:t>1,20 m</w:t>
      </w:r>
      <w:r>
        <w:rPr>
          <w:bCs/>
          <w:i/>
          <w:sz w:val="24"/>
          <w:szCs w:val="24"/>
        </w:rPr>
        <w:t>, fie cu valoarea indicelui caracteristic determinat prin însumarea înălțimilor (</w:t>
      </w:r>
      <w:r>
        <w:rPr>
          <w:b/>
          <w:i/>
          <w:sz w:val="24"/>
          <w:szCs w:val="24"/>
        </w:rPr>
        <w:t>b+c+d</w:t>
      </w:r>
      <w:r>
        <w:rPr>
          <w:bCs/>
          <w:i/>
          <w:sz w:val="24"/>
          <w:szCs w:val="24"/>
        </w:rPr>
        <w:t>). Atunci când deschiderile/ ferestrele din fațadă nu sunt suprapuse, indicele H se măsoară în funcție de cea mai mică distanță dintre aceste goluri/ ferestre.</w:t>
      </w:r>
    </w:p>
    <w:p w14:paraId="14A723B9" w14:textId="77777777" w:rsidR="001C08A5" w:rsidRDefault="001C08A5">
      <w:pPr>
        <w:tabs>
          <w:tab w:val="left" w:pos="426"/>
          <w:tab w:val="left" w:pos="993"/>
        </w:tabs>
        <w:jc w:val="both"/>
        <w:rPr>
          <w:b/>
          <w:bCs/>
          <w:i/>
          <w:sz w:val="24"/>
          <w:szCs w:val="24"/>
        </w:rPr>
      </w:pPr>
    </w:p>
    <w:p w14:paraId="6B1226AD" w14:textId="77777777" w:rsidR="001C08A5" w:rsidRDefault="00000000">
      <w:pPr>
        <w:numPr>
          <w:ilvl w:val="0"/>
          <w:numId w:val="96"/>
        </w:numPr>
        <w:tabs>
          <w:tab w:val="left" w:pos="426"/>
          <w:tab w:val="left" w:pos="993"/>
        </w:tabs>
        <w:jc w:val="both"/>
        <w:rPr>
          <w:rFonts w:eastAsia="Arial"/>
          <w:b/>
          <w:bCs/>
          <w:i/>
          <w:sz w:val="24"/>
          <w:szCs w:val="24"/>
        </w:rPr>
      </w:pPr>
      <w:r>
        <w:rPr>
          <w:bCs/>
          <w:i/>
          <w:sz w:val="24"/>
          <w:szCs w:val="24"/>
        </w:rPr>
        <w:t xml:space="preserve"> Indicele ”</w:t>
      </w:r>
      <w:r>
        <w:rPr>
          <w:b/>
          <w:i/>
          <w:sz w:val="24"/>
          <w:szCs w:val="24"/>
        </w:rPr>
        <w:t>L</w:t>
      </w:r>
      <w:r>
        <w:rPr>
          <w:bCs/>
          <w:i/>
          <w:sz w:val="24"/>
          <w:szCs w:val="24"/>
        </w:rPr>
        <w:t xml:space="preserve">” reprezintă distanța orizontală între planul exterior al elementelor de delimitare și fața exterioară a elementelor de fațadă, măsurată direct deasupra deschiderilor suprapuse, inclusiv </w:t>
      </w:r>
      <w:r>
        <w:rPr>
          <w:bCs/>
          <w:i/>
          <w:sz w:val="24"/>
          <w:szCs w:val="24"/>
        </w:rPr>
        <w:lastRenderedPageBreak/>
        <w:t>copertinele, dacă acestea formează un obstacol rezistent la foc. Măsurarea trebuie fă</w:t>
      </w:r>
      <w:r>
        <w:rPr>
          <w:rFonts w:eastAsia="Arial"/>
          <w:bCs/>
          <w:i/>
          <w:sz w:val="24"/>
          <w:szCs w:val="24"/>
        </w:rPr>
        <w:t xml:space="preserve">cută pe cea mai mare lățime a golurilor suprapuse din fațade. Această valoare trebuie luată în considerare numai atunci când este mai mare sau egală cu </w:t>
      </w:r>
      <w:r>
        <w:rPr>
          <w:rFonts w:eastAsia="Arial"/>
          <w:b/>
          <w:i/>
          <w:sz w:val="24"/>
          <w:szCs w:val="24"/>
        </w:rPr>
        <w:t>15</w:t>
      </w:r>
      <w:r>
        <w:rPr>
          <w:rFonts w:eastAsia="Arial"/>
          <w:bCs/>
          <w:i/>
          <w:sz w:val="24"/>
          <w:szCs w:val="24"/>
        </w:rPr>
        <w:t xml:space="preserve"> cm.</w:t>
      </w:r>
    </w:p>
    <w:p w14:paraId="3262BD13" w14:textId="77777777" w:rsidR="001C08A5" w:rsidRDefault="001C08A5">
      <w:pPr>
        <w:tabs>
          <w:tab w:val="left" w:pos="426"/>
          <w:tab w:val="left" w:pos="993"/>
        </w:tabs>
        <w:jc w:val="both"/>
        <w:rPr>
          <w:rFonts w:eastAsia="Arial"/>
          <w:b/>
          <w:bCs/>
          <w:i/>
          <w:sz w:val="24"/>
          <w:szCs w:val="24"/>
        </w:rPr>
      </w:pPr>
    </w:p>
    <w:p w14:paraId="10FC500E" w14:textId="77777777" w:rsidR="001C08A5" w:rsidRDefault="00000000">
      <w:pPr>
        <w:numPr>
          <w:ilvl w:val="0"/>
          <w:numId w:val="96"/>
        </w:numPr>
        <w:tabs>
          <w:tab w:val="left" w:pos="426"/>
          <w:tab w:val="left" w:pos="993"/>
        </w:tabs>
        <w:jc w:val="both"/>
        <w:rPr>
          <w:bCs/>
          <w:i/>
          <w:sz w:val="24"/>
        </w:rPr>
      </w:pPr>
      <w:r>
        <w:rPr>
          <w:bCs/>
          <w:i/>
          <w:sz w:val="24"/>
        </w:rPr>
        <w:t xml:space="preserve">Exemple de măsurători </w:t>
      </w:r>
      <w:r>
        <w:rPr>
          <w:b/>
          <w:i/>
          <w:sz w:val="24"/>
        </w:rPr>
        <w:t>H</w:t>
      </w:r>
      <w:r>
        <w:rPr>
          <w:bCs/>
          <w:i/>
          <w:sz w:val="24"/>
        </w:rPr>
        <w:t xml:space="preserve"> și </w:t>
      </w:r>
      <w:r>
        <w:rPr>
          <w:b/>
          <w:i/>
          <w:sz w:val="24"/>
        </w:rPr>
        <w:t>L</w:t>
      </w:r>
      <w:r>
        <w:rPr>
          <w:bCs/>
          <w:i/>
          <w:sz w:val="24"/>
        </w:rPr>
        <w:t xml:space="preserve"> și reguli de aplicare pentru cazuri mai complexe sunt date mai jos în anexă.</w:t>
      </w:r>
    </w:p>
    <w:p w14:paraId="3A97EDDF" w14:textId="77777777" w:rsidR="001C08A5" w:rsidRDefault="00000000">
      <w:pPr>
        <w:rPr>
          <w:b/>
          <w:i/>
          <w:sz w:val="24"/>
          <w:szCs w:val="24"/>
        </w:rPr>
      </w:pPr>
      <w:r>
        <w:rPr>
          <w:noProof/>
          <w:lang w:eastAsia="ro-RO"/>
        </w:rPr>
        <w:drawing>
          <wp:anchor distT="0" distB="0" distL="114300" distR="114300" simplePos="0" relativeHeight="251661312" behindDoc="1" locked="0" layoutInCell="1" allowOverlap="1" wp14:anchorId="6D595B68" wp14:editId="18148D16">
            <wp:simplePos x="0" y="0"/>
            <wp:positionH relativeFrom="column">
              <wp:posOffset>1628775</wp:posOffset>
            </wp:positionH>
            <wp:positionV relativeFrom="paragraph">
              <wp:posOffset>2540</wp:posOffset>
            </wp:positionV>
            <wp:extent cx="2851785" cy="1158875"/>
            <wp:effectExtent l="0" t="0" r="5715" b="3175"/>
            <wp:wrapNone/>
            <wp:docPr id="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2"/>
                    <pic:cNvPicPr>
                      <a:picLocks noChangeAspect="1"/>
                    </pic:cNvPicPr>
                  </pic:nvPicPr>
                  <pic:blipFill>
                    <a:blip r:embed="rId253">
                      <a:extLst>
                        <a:ext uri="{28A0092B-C50C-407E-A947-70E740481C1C}">
                          <a14:useLocalDpi xmlns:a14="http://schemas.microsoft.com/office/drawing/2010/main" val="0"/>
                        </a:ext>
                      </a:extLst>
                    </a:blip>
                    <a:srcRect l="39891" t="26525" r="22354" b="19688"/>
                    <a:stretch>
                      <a:fillRect/>
                    </a:stretch>
                  </pic:blipFill>
                  <pic:spPr>
                    <a:xfrm>
                      <a:off x="0" y="0"/>
                      <a:ext cx="2851785" cy="1158875"/>
                    </a:xfrm>
                    <a:prstGeom prst="rect">
                      <a:avLst/>
                    </a:prstGeom>
                    <a:noFill/>
                    <a:ln>
                      <a:noFill/>
                    </a:ln>
                  </pic:spPr>
                </pic:pic>
              </a:graphicData>
            </a:graphic>
          </wp:anchor>
        </w:drawing>
      </w:r>
      <w:r>
        <w:t xml:space="preserve">                                                         </w:t>
      </w:r>
      <w:r>
        <w:rPr>
          <w:sz w:val="24"/>
          <w:szCs w:val="24"/>
        </w:rPr>
        <w:t>int.                      ext.</w:t>
      </w:r>
    </w:p>
    <w:p w14:paraId="718D541B" w14:textId="77777777" w:rsidR="001C08A5" w:rsidRDefault="001C08A5">
      <w:pPr>
        <w:pStyle w:val="Caption"/>
        <w:jc w:val="center"/>
      </w:pPr>
      <w:bookmarkStart w:id="6231" w:name="_Toc10524"/>
      <w:bookmarkStart w:id="6232" w:name="_Toc142898512"/>
      <w:bookmarkStart w:id="6233" w:name="_Toc16491"/>
    </w:p>
    <w:p w14:paraId="55E096AE" w14:textId="77777777" w:rsidR="001C08A5" w:rsidRDefault="001C08A5">
      <w:pPr>
        <w:pStyle w:val="Caption"/>
        <w:jc w:val="center"/>
      </w:pPr>
    </w:p>
    <w:p w14:paraId="24016941" w14:textId="77777777" w:rsidR="001C08A5" w:rsidRDefault="001C08A5">
      <w:pPr>
        <w:pStyle w:val="Caption"/>
        <w:jc w:val="center"/>
      </w:pPr>
    </w:p>
    <w:p w14:paraId="652FA67F" w14:textId="77777777" w:rsidR="001C08A5" w:rsidRDefault="00000000">
      <w:pPr>
        <w:pStyle w:val="Caption"/>
      </w:pPr>
      <w:r>
        <w:t xml:space="preserve">                                              </w:t>
      </w:r>
    </w:p>
    <w:p w14:paraId="701345B4" w14:textId="77777777" w:rsidR="001C08A5" w:rsidRDefault="001C08A5">
      <w:pPr>
        <w:pStyle w:val="Caption"/>
        <w:jc w:val="center"/>
      </w:pPr>
    </w:p>
    <w:p w14:paraId="2E65F5FD" w14:textId="77777777" w:rsidR="001C08A5" w:rsidRDefault="00000000">
      <w:pPr>
        <w:pStyle w:val="Caption"/>
        <w:jc w:val="center"/>
        <w:rPr>
          <w:rFonts w:eastAsia="Times New Roman" w:cs="Times New Roman"/>
        </w:rPr>
      </w:pPr>
      <w:bookmarkStart w:id="6234" w:name="_Toc162360324"/>
      <w:r>
        <w:t xml:space="preserve">Figura </w:t>
      </w:r>
      <w:r>
        <w:fldChar w:fldCharType="begin"/>
      </w:r>
      <w:r>
        <w:instrText xml:space="preserve"> SEQ Figura \* ARABIC </w:instrText>
      </w:r>
      <w:r>
        <w:fldChar w:fldCharType="separate"/>
      </w:r>
      <w:r>
        <w:t>100</w:t>
      </w:r>
      <w:r>
        <w:fldChar w:fldCharType="end"/>
      </w:r>
      <w:bookmarkStart w:id="6235" w:name="_Toc20755"/>
      <w:bookmarkStart w:id="6236" w:name="_Toc13554"/>
      <w:bookmarkStart w:id="6237" w:name="_Toc19649"/>
      <w:bookmarkStart w:id="6238" w:name="_Toc19665"/>
      <w:bookmarkStart w:id="6239" w:name="_Toc16404"/>
      <w:bookmarkStart w:id="6240" w:name="_Toc11662"/>
      <w:bookmarkStart w:id="6241" w:name="_Toc12929"/>
      <w:bookmarkStart w:id="6242" w:name="_Toc28394"/>
      <w:bookmarkStart w:id="6243" w:name="_Toc7100"/>
      <w:r>
        <w:t xml:space="preserve"> - Exemplu de măsurători H și L</w:t>
      </w:r>
      <w:r>
        <w:rPr>
          <w:rFonts w:eastAsia="Times New Roman" w:cs="Times New Roman"/>
        </w:rPr>
        <w:t xml:space="preserve"> - caz general</w:t>
      </w:r>
      <w:bookmarkEnd w:id="6231"/>
      <w:bookmarkEnd w:id="6232"/>
      <w:bookmarkEnd w:id="6233"/>
      <w:bookmarkEnd w:id="6234"/>
      <w:bookmarkEnd w:id="6235"/>
      <w:bookmarkEnd w:id="6236"/>
      <w:bookmarkEnd w:id="6237"/>
      <w:bookmarkEnd w:id="6238"/>
      <w:bookmarkEnd w:id="6239"/>
      <w:bookmarkEnd w:id="6240"/>
      <w:bookmarkEnd w:id="6241"/>
      <w:bookmarkEnd w:id="6242"/>
      <w:bookmarkEnd w:id="6243"/>
    </w:p>
    <w:p w14:paraId="189ABE75" w14:textId="77777777" w:rsidR="001C08A5" w:rsidRDefault="00000000">
      <w:pPr>
        <w:jc w:val="center"/>
        <w:rPr>
          <w:rFonts w:eastAsia="Times New Roman"/>
          <w:i/>
          <w:sz w:val="24"/>
          <w:szCs w:val="24"/>
        </w:rPr>
      </w:pPr>
      <w:r>
        <w:rPr>
          <w:i/>
          <w:noProof/>
          <w:sz w:val="24"/>
          <w:szCs w:val="24"/>
          <w:lang w:eastAsia="ro-RO"/>
        </w:rPr>
        <w:drawing>
          <wp:inline distT="0" distB="0" distL="114300" distR="114300" wp14:anchorId="67753279" wp14:editId="161E2F9D">
            <wp:extent cx="4125595" cy="1909445"/>
            <wp:effectExtent l="0" t="0" r="8255" b="14605"/>
            <wp:docPr id="30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53"/>
                    <pic:cNvPicPr>
                      <a:picLocks noChangeAspect="1"/>
                    </pic:cNvPicPr>
                  </pic:nvPicPr>
                  <pic:blipFill>
                    <a:blip r:embed="rId254"/>
                    <a:srcRect l="27367" t="53726" r="17978" b="8482"/>
                    <a:stretch>
                      <a:fillRect/>
                    </a:stretch>
                  </pic:blipFill>
                  <pic:spPr>
                    <a:xfrm>
                      <a:off x="0" y="0"/>
                      <a:ext cx="4125595" cy="1909445"/>
                    </a:xfrm>
                    <a:prstGeom prst="rect">
                      <a:avLst/>
                    </a:prstGeom>
                    <a:noFill/>
                    <a:ln>
                      <a:noFill/>
                    </a:ln>
                  </pic:spPr>
                </pic:pic>
              </a:graphicData>
            </a:graphic>
          </wp:inline>
        </w:drawing>
      </w:r>
    </w:p>
    <w:p w14:paraId="0389564A" w14:textId="77777777" w:rsidR="001C08A5" w:rsidRDefault="00000000">
      <w:pPr>
        <w:pStyle w:val="Caption"/>
        <w:jc w:val="center"/>
      </w:pPr>
      <w:bookmarkStart w:id="6244" w:name="_Toc162360325"/>
      <w:bookmarkStart w:id="6245" w:name="_Toc4442"/>
      <w:bookmarkStart w:id="6246" w:name="_Toc23645"/>
      <w:bookmarkStart w:id="6247" w:name="_Toc142898513"/>
      <w:r>
        <w:t xml:space="preserve">Figura </w:t>
      </w:r>
      <w:r>
        <w:fldChar w:fldCharType="begin"/>
      </w:r>
      <w:r>
        <w:instrText xml:space="preserve"> SEQ Figura \* ARABIC </w:instrText>
      </w:r>
      <w:r>
        <w:fldChar w:fldCharType="separate"/>
      </w:r>
      <w:r>
        <w:t>101</w:t>
      </w:r>
      <w:r>
        <w:fldChar w:fldCharType="end"/>
      </w:r>
      <w:bookmarkStart w:id="6248" w:name="_Toc15640"/>
      <w:bookmarkStart w:id="6249" w:name="_Toc27499"/>
      <w:bookmarkStart w:id="6250" w:name="_Toc24241"/>
      <w:bookmarkStart w:id="6251" w:name="_Toc8675"/>
      <w:bookmarkStart w:id="6252" w:name="_Toc16337"/>
      <w:bookmarkStart w:id="6253" w:name="_Toc442"/>
      <w:bookmarkStart w:id="6254" w:name="_Toc9023"/>
      <w:bookmarkStart w:id="6255" w:name="_Toc12580"/>
      <w:bookmarkStart w:id="6256" w:name="_Toc6859"/>
      <w:r>
        <w:t xml:space="preserve"> - Exemplu măsurare goluri care nu sunt suprapuse la deschideri în fațadă (exemplu pentru distanța normată de 1,20 m)</w:t>
      </w:r>
      <w:bookmarkEnd w:id="6244"/>
      <w:bookmarkEnd w:id="6245"/>
      <w:bookmarkEnd w:id="6246"/>
      <w:bookmarkEnd w:id="6247"/>
      <w:bookmarkEnd w:id="6248"/>
      <w:bookmarkEnd w:id="6249"/>
      <w:bookmarkEnd w:id="6250"/>
      <w:bookmarkEnd w:id="6251"/>
      <w:bookmarkEnd w:id="6252"/>
      <w:bookmarkEnd w:id="6253"/>
      <w:bookmarkEnd w:id="6254"/>
      <w:bookmarkEnd w:id="6255"/>
      <w:bookmarkEnd w:id="6256"/>
    </w:p>
    <w:p w14:paraId="46C008CF" w14:textId="77777777" w:rsidR="001C08A5" w:rsidRDefault="00000000">
      <w:pPr>
        <w:pStyle w:val="Heading4"/>
        <w:rPr>
          <w:sz w:val="24"/>
          <w:szCs w:val="24"/>
        </w:rPr>
      </w:pPr>
      <w:bookmarkStart w:id="6257" w:name="_Toc20844"/>
      <w:bookmarkStart w:id="6258" w:name="_Toc26951"/>
      <w:bookmarkStart w:id="6259" w:name="_Toc24204"/>
      <w:bookmarkStart w:id="6260" w:name="_Toc556"/>
      <w:bookmarkStart w:id="6261" w:name="_Toc16431"/>
      <w:bookmarkStart w:id="6262" w:name="_Toc7254"/>
      <w:bookmarkStart w:id="6263" w:name="_Toc4719"/>
      <w:bookmarkStart w:id="6264" w:name="_Toc4444"/>
      <w:bookmarkStart w:id="6265" w:name="_Toc162355399"/>
      <w:bookmarkStart w:id="6266" w:name="_Toc31721"/>
      <w:bookmarkStart w:id="6267" w:name="_Toc18968"/>
      <w:bookmarkStart w:id="6268" w:name="_Toc23343"/>
      <w:bookmarkStart w:id="6269" w:name="_Toc23477"/>
      <w:bookmarkStart w:id="6270" w:name="_Toc9276"/>
      <w:bookmarkStart w:id="6271" w:name="_Toc28278"/>
      <w:bookmarkStart w:id="6272" w:name="_Toc6186"/>
      <w:bookmarkStart w:id="6273" w:name="_Toc215"/>
      <w:r>
        <w:rPr>
          <w:sz w:val="24"/>
          <w:szCs w:val="24"/>
        </w:rPr>
        <w:t>Soluții constructive cu H + L</w:t>
      </w:r>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p>
    <w:p w14:paraId="501EC251" w14:textId="77777777" w:rsidR="001C08A5" w:rsidRDefault="00000000">
      <w:pPr>
        <w:jc w:val="center"/>
      </w:pPr>
      <w:r>
        <w:rPr>
          <w:noProof/>
          <w:lang w:eastAsia="ro-RO"/>
        </w:rPr>
        <w:drawing>
          <wp:inline distT="0" distB="0" distL="114300" distR="114300" wp14:anchorId="1F1563D8" wp14:editId="12A405BA">
            <wp:extent cx="6072505" cy="1775460"/>
            <wp:effectExtent l="0" t="0" r="4445" b="15240"/>
            <wp:docPr id="3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6"/>
                    <pic:cNvPicPr>
                      <a:picLocks noChangeAspect="1"/>
                    </pic:cNvPicPr>
                  </pic:nvPicPr>
                  <pic:blipFill>
                    <a:blip r:embed="rId255"/>
                    <a:srcRect l="12266" t="29802" r="7339"/>
                    <a:stretch>
                      <a:fillRect/>
                    </a:stretch>
                  </pic:blipFill>
                  <pic:spPr>
                    <a:xfrm>
                      <a:off x="0" y="0"/>
                      <a:ext cx="6072505" cy="177546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3211"/>
        <w:gridCol w:w="3211"/>
      </w:tblGrid>
      <w:tr w:rsidR="001C08A5" w14:paraId="2034D39E" w14:textId="77777777">
        <w:tc>
          <w:tcPr>
            <w:tcW w:w="3285" w:type="dxa"/>
          </w:tcPr>
          <w:p w14:paraId="47118474" w14:textId="77777777" w:rsidR="001C08A5" w:rsidRDefault="00000000">
            <w:pPr>
              <w:jc w:val="center"/>
              <w:rPr>
                <w:i/>
                <w:sz w:val="24"/>
                <w:szCs w:val="24"/>
              </w:rPr>
            </w:pPr>
            <w:r>
              <w:rPr>
                <w:b/>
                <w:bCs/>
                <w:i/>
                <w:sz w:val="24"/>
                <w:szCs w:val="24"/>
              </w:rPr>
              <w:t>L+c+d ≥ 1,20 m</w:t>
            </w:r>
          </w:p>
        </w:tc>
        <w:tc>
          <w:tcPr>
            <w:tcW w:w="3285" w:type="dxa"/>
          </w:tcPr>
          <w:p w14:paraId="0613269E" w14:textId="77777777" w:rsidR="001C08A5" w:rsidRDefault="00000000">
            <w:pPr>
              <w:jc w:val="center"/>
              <w:rPr>
                <w:i/>
                <w:sz w:val="24"/>
                <w:szCs w:val="24"/>
              </w:rPr>
            </w:pPr>
            <w:r>
              <w:rPr>
                <w:b/>
                <w:bCs/>
                <w:i/>
                <w:sz w:val="24"/>
                <w:szCs w:val="24"/>
              </w:rPr>
              <w:t>L+d ≥ 1,20 m</w:t>
            </w:r>
          </w:p>
        </w:tc>
        <w:tc>
          <w:tcPr>
            <w:tcW w:w="3285" w:type="dxa"/>
          </w:tcPr>
          <w:p w14:paraId="27BD3206" w14:textId="77777777" w:rsidR="001C08A5" w:rsidRDefault="00000000">
            <w:pPr>
              <w:jc w:val="center"/>
              <w:rPr>
                <w:i/>
                <w:sz w:val="24"/>
                <w:szCs w:val="24"/>
              </w:rPr>
            </w:pPr>
            <w:r>
              <w:rPr>
                <w:b/>
                <w:bCs/>
                <w:i/>
                <w:sz w:val="24"/>
                <w:szCs w:val="24"/>
              </w:rPr>
              <w:t>H ≥ 1,20 m</w:t>
            </w:r>
          </w:p>
        </w:tc>
      </w:tr>
    </w:tbl>
    <w:p w14:paraId="25A71A29" w14:textId="77777777" w:rsidR="001C08A5" w:rsidRDefault="001C08A5">
      <w:pPr>
        <w:jc w:val="center"/>
      </w:pPr>
    </w:p>
    <w:p w14:paraId="16A34E7F" w14:textId="77777777" w:rsidR="001C08A5" w:rsidRDefault="00000000">
      <w:pPr>
        <w:jc w:val="center"/>
      </w:pPr>
      <w:r>
        <w:rPr>
          <w:noProof/>
          <w:lang w:eastAsia="ro-RO"/>
        </w:rPr>
        <w:drawing>
          <wp:inline distT="0" distB="0" distL="114300" distR="114300" wp14:anchorId="397C6326" wp14:editId="73F47395">
            <wp:extent cx="6082665" cy="1790065"/>
            <wp:effectExtent l="0" t="0" r="13335" b="635"/>
            <wp:docPr id="3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
                    <pic:cNvPicPr>
                      <a:picLocks noChangeAspect="1"/>
                    </pic:cNvPicPr>
                  </pic:nvPicPr>
                  <pic:blipFill>
                    <a:blip r:embed="rId256"/>
                    <a:srcRect l="12264" t="54734" r="7220" b="2083"/>
                    <a:stretch>
                      <a:fillRect/>
                    </a:stretch>
                  </pic:blipFill>
                  <pic:spPr>
                    <a:xfrm>
                      <a:off x="0" y="0"/>
                      <a:ext cx="6082665" cy="179006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1"/>
        <w:gridCol w:w="3217"/>
        <w:gridCol w:w="3211"/>
      </w:tblGrid>
      <w:tr w:rsidR="001C08A5" w14:paraId="1E7E848E" w14:textId="77777777">
        <w:tc>
          <w:tcPr>
            <w:tcW w:w="3285" w:type="dxa"/>
          </w:tcPr>
          <w:p w14:paraId="12070913" w14:textId="77777777" w:rsidR="001C08A5" w:rsidRDefault="00000000">
            <w:pPr>
              <w:jc w:val="center"/>
              <w:rPr>
                <w:i/>
                <w:sz w:val="24"/>
                <w:szCs w:val="24"/>
              </w:rPr>
            </w:pPr>
            <w:r>
              <w:rPr>
                <w:b/>
                <w:bCs/>
                <w:i/>
                <w:sz w:val="24"/>
                <w:szCs w:val="24"/>
              </w:rPr>
              <w:lastRenderedPageBreak/>
              <w:t>c+d ≥ 1,20 m</w:t>
            </w:r>
          </w:p>
        </w:tc>
        <w:tc>
          <w:tcPr>
            <w:tcW w:w="3285" w:type="dxa"/>
          </w:tcPr>
          <w:p w14:paraId="32F3D474" w14:textId="77777777" w:rsidR="001C08A5" w:rsidRDefault="00000000">
            <w:pPr>
              <w:jc w:val="center"/>
              <w:rPr>
                <w:i/>
                <w:sz w:val="24"/>
                <w:szCs w:val="24"/>
              </w:rPr>
            </w:pPr>
            <w:r>
              <w:rPr>
                <w:b/>
                <w:bCs/>
                <w:i/>
                <w:sz w:val="24"/>
                <w:szCs w:val="24"/>
              </w:rPr>
              <w:t>c+b+d ≥ 1,20 m</w:t>
            </w:r>
          </w:p>
        </w:tc>
        <w:tc>
          <w:tcPr>
            <w:tcW w:w="3285" w:type="dxa"/>
          </w:tcPr>
          <w:p w14:paraId="4F2A229B" w14:textId="77777777" w:rsidR="001C08A5" w:rsidRDefault="00000000">
            <w:pPr>
              <w:jc w:val="center"/>
              <w:rPr>
                <w:i/>
                <w:sz w:val="24"/>
                <w:szCs w:val="24"/>
              </w:rPr>
            </w:pPr>
            <w:r>
              <w:rPr>
                <w:b/>
                <w:bCs/>
                <w:i/>
                <w:sz w:val="24"/>
                <w:szCs w:val="24"/>
              </w:rPr>
              <w:t>b+d ≥ 1,20 m</w:t>
            </w:r>
          </w:p>
        </w:tc>
      </w:tr>
    </w:tbl>
    <w:p w14:paraId="76AFF2CE" w14:textId="77777777" w:rsidR="001C08A5" w:rsidRDefault="001C08A5">
      <w:pPr>
        <w:jc w:val="both"/>
      </w:pPr>
    </w:p>
    <w:p w14:paraId="5702C404" w14:textId="77777777" w:rsidR="001C08A5" w:rsidRDefault="00000000">
      <w:pPr>
        <w:jc w:val="center"/>
      </w:pPr>
      <w:r>
        <w:rPr>
          <w:noProof/>
          <w:lang w:eastAsia="ro-RO"/>
        </w:rPr>
        <w:drawing>
          <wp:inline distT="0" distB="0" distL="114300" distR="114300" wp14:anchorId="0402FF9D" wp14:editId="0214CD7B">
            <wp:extent cx="6087110" cy="1779905"/>
            <wp:effectExtent l="0" t="0" r="8890" b="1079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pic:cNvPicPr>
                      <a:picLocks noChangeAspect="1"/>
                    </pic:cNvPicPr>
                  </pic:nvPicPr>
                  <pic:blipFill>
                    <a:blip r:embed="rId257"/>
                    <a:srcRect l="12256" t="1398" r="7216" b="57790"/>
                    <a:stretch>
                      <a:fillRect/>
                    </a:stretch>
                  </pic:blipFill>
                  <pic:spPr>
                    <a:xfrm>
                      <a:off x="0" y="0"/>
                      <a:ext cx="6087110" cy="177990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3215"/>
        <w:gridCol w:w="3208"/>
      </w:tblGrid>
      <w:tr w:rsidR="001C08A5" w14:paraId="22A51824" w14:textId="77777777">
        <w:tc>
          <w:tcPr>
            <w:tcW w:w="3285" w:type="dxa"/>
          </w:tcPr>
          <w:p w14:paraId="2026BEF9" w14:textId="77777777" w:rsidR="001C08A5" w:rsidRDefault="00000000">
            <w:pPr>
              <w:jc w:val="center"/>
              <w:rPr>
                <w:i/>
                <w:sz w:val="24"/>
                <w:szCs w:val="24"/>
              </w:rPr>
            </w:pPr>
            <w:r>
              <w:rPr>
                <w:b/>
                <w:bCs/>
                <w:i/>
                <w:sz w:val="24"/>
                <w:szCs w:val="24"/>
              </w:rPr>
              <w:t>L+d+b ≥ 1,20 m</w:t>
            </w:r>
          </w:p>
        </w:tc>
        <w:tc>
          <w:tcPr>
            <w:tcW w:w="3285" w:type="dxa"/>
          </w:tcPr>
          <w:p w14:paraId="0979110E" w14:textId="77777777" w:rsidR="001C08A5" w:rsidRDefault="00000000">
            <w:pPr>
              <w:jc w:val="center"/>
              <w:rPr>
                <w:i/>
                <w:sz w:val="24"/>
                <w:szCs w:val="24"/>
              </w:rPr>
            </w:pPr>
            <w:r>
              <w:rPr>
                <w:b/>
                <w:bCs/>
                <w:i/>
                <w:sz w:val="24"/>
                <w:szCs w:val="24"/>
              </w:rPr>
              <w:t>L+d+b ≥ 1,20 m</w:t>
            </w:r>
          </w:p>
        </w:tc>
        <w:tc>
          <w:tcPr>
            <w:tcW w:w="3285" w:type="dxa"/>
          </w:tcPr>
          <w:p w14:paraId="048FFB37" w14:textId="77777777" w:rsidR="001C08A5" w:rsidRDefault="00000000">
            <w:pPr>
              <w:jc w:val="center"/>
              <w:rPr>
                <w:i/>
                <w:sz w:val="24"/>
                <w:szCs w:val="24"/>
              </w:rPr>
            </w:pPr>
            <w:r>
              <w:rPr>
                <w:b/>
                <w:bCs/>
                <w:i/>
                <w:sz w:val="24"/>
                <w:szCs w:val="24"/>
              </w:rPr>
              <w:t>L+d ≥ 1,20 m</w:t>
            </w:r>
          </w:p>
        </w:tc>
      </w:tr>
    </w:tbl>
    <w:p w14:paraId="329BE888" w14:textId="77777777" w:rsidR="001C08A5" w:rsidRDefault="001C08A5">
      <w:pPr>
        <w:jc w:val="center"/>
      </w:pPr>
    </w:p>
    <w:p w14:paraId="22347FE0" w14:textId="77777777" w:rsidR="001C08A5" w:rsidRDefault="00000000">
      <w:pPr>
        <w:jc w:val="center"/>
      </w:pPr>
      <w:r>
        <w:rPr>
          <w:noProof/>
          <w:lang w:eastAsia="ro-RO"/>
        </w:rPr>
        <w:drawing>
          <wp:inline distT="0" distB="0" distL="114300" distR="114300" wp14:anchorId="731B97EF" wp14:editId="04A0AB22">
            <wp:extent cx="6099175" cy="1793240"/>
            <wp:effectExtent l="0" t="0" r="15875" b="16510"/>
            <wp:docPr id="3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7"/>
                    <pic:cNvPicPr>
                      <a:picLocks noChangeAspect="1"/>
                    </pic:cNvPicPr>
                  </pic:nvPicPr>
                  <pic:blipFill>
                    <a:blip r:embed="rId258"/>
                    <a:srcRect l="12148" t="11529" r="7104"/>
                    <a:stretch>
                      <a:fillRect/>
                    </a:stretch>
                  </pic:blipFill>
                  <pic:spPr>
                    <a:xfrm>
                      <a:off x="0" y="0"/>
                      <a:ext cx="6099175" cy="179324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15"/>
        <w:gridCol w:w="3215"/>
      </w:tblGrid>
      <w:tr w:rsidR="001C08A5" w14:paraId="731BF286" w14:textId="77777777">
        <w:tc>
          <w:tcPr>
            <w:tcW w:w="3285" w:type="dxa"/>
          </w:tcPr>
          <w:p w14:paraId="531A7F61" w14:textId="77777777" w:rsidR="001C08A5" w:rsidRDefault="00000000">
            <w:pPr>
              <w:jc w:val="center"/>
              <w:rPr>
                <w:i/>
                <w:sz w:val="24"/>
                <w:szCs w:val="24"/>
              </w:rPr>
            </w:pPr>
            <w:r>
              <w:rPr>
                <w:b/>
                <w:bCs/>
                <w:i/>
                <w:sz w:val="24"/>
                <w:szCs w:val="24"/>
              </w:rPr>
              <w:t>b+d ≥ 1,20 m</w:t>
            </w:r>
          </w:p>
        </w:tc>
        <w:tc>
          <w:tcPr>
            <w:tcW w:w="3285" w:type="dxa"/>
          </w:tcPr>
          <w:p w14:paraId="3A957F42" w14:textId="77777777" w:rsidR="001C08A5" w:rsidRDefault="00000000">
            <w:pPr>
              <w:jc w:val="center"/>
              <w:rPr>
                <w:i/>
                <w:sz w:val="24"/>
                <w:szCs w:val="24"/>
              </w:rPr>
            </w:pPr>
            <w:r>
              <w:rPr>
                <w:b/>
                <w:bCs/>
                <w:i/>
                <w:sz w:val="24"/>
                <w:szCs w:val="24"/>
              </w:rPr>
              <w:t>b+c+d ≥ 1,20 m</w:t>
            </w:r>
          </w:p>
        </w:tc>
        <w:tc>
          <w:tcPr>
            <w:tcW w:w="3285" w:type="dxa"/>
          </w:tcPr>
          <w:p w14:paraId="143FEAB6" w14:textId="77777777" w:rsidR="001C08A5" w:rsidRDefault="00000000">
            <w:pPr>
              <w:jc w:val="center"/>
              <w:rPr>
                <w:i/>
                <w:sz w:val="24"/>
                <w:szCs w:val="24"/>
              </w:rPr>
            </w:pPr>
            <w:r>
              <w:rPr>
                <w:b/>
                <w:bCs/>
                <w:i/>
                <w:sz w:val="24"/>
                <w:szCs w:val="24"/>
              </w:rPr>
              <w:t>L+c+d ≥ 1,20 m</w:t>
            </w:r>
          </w:p>
        </w:tc>
      </w:tr>
    </w:tbl>
    <w:p w14:paraId="1233F78B" w14:textId="77777777" w:rsidR="001C08A5" w:rsidRDefault="00000000">
      <w:pPr>
        <w:pStyle w:val="Caption"/>
        <w:jc w:val="center"/>
        <w:rPr>
          <w:rStyle w:val="CommentReference"/>
          <w:rFonts w:cs="Times New Roman"/>
          <w:b w:val="0"/>
          <w:i w:val="0"/>
          <w:iCs w:val="0"/>
        </w:rPr>
      </w:pPr>
      <w:bookmarkStart w:id="6274" w:name="_Toc7808"/>
      <w:bookmarkStart w:id="6275" w:name="_Toc15832"/>
      <w:bookmarkStart w:id="6276" w:name="_Toc142898514"/>
      <w:bookmarkStart w:id="6277" w:name="_Toc162360326"/>
      <w:r>
        <w:t xml:space="preserve">Figura </w:t>
      </w:r>
      <w:r>
        <w:fldChar w:fldCharType="begin"/>
      </w:r>
      <w:r>
        <w:instrText xml:space="preserve"> SEQ Figura \* ARABIC </w:instrText>
      </w:r>
      <w:r>
        <w:fldChar w:fldCharType="separate"/>
      </w:r>
      <w:r>
        <w:t>102</w:t>
      </w:r>
      <w:r>
        <w:fldChar w:fldCharType="end"/>
      </w:r>
      <w:bookmarkStart w:id="6278" w:name="_Toc29858"/>
      <w:bookmarkStart w:id="6279" w:name="_Toc25738"/>
      <w:bookmarkStart w:id="6280" w:name="_Toc23141"/>
      <w:bookmarkStart w:id="6281" w:name="_Toc6707"/>
      <w:bookmarkStart w:id="6282" w:name="_Toc22637"/>
      <w:bookmarkStart w:id="6283" w:name="_Toc16356"/>
      <w:bookmarkStart w:id="6284" w:name="_Toc31048"/>
      <w:bookmarkStart w:id="6285" w:name="_Toc2679"/>
      <w:bookmarkStart w:id="6286" w:name="_Toc8974"/>
      <w:r>
        <w:t xml:space="preserve"> - </w:t>
      </w:r>
      <w:r>
        <w:rPr>
          <w:rFonts w:eastAsia="Times New Roman" w:cs="Times New Roman"/>
          <w:bCs/>
        </w:rPr>
        <w:t>Calcul soluții  constructive cu H + L</w:t>
      </w:r>
      <w:bookmarkEnd w:id="6274"/>
      <w:bookmarkEnd w:id="6275"/>
      <w:bookmarkEnd w:id="6276"/>
      <w:bookmarkEnd w:id="6278"/>
      <w:r>
        <w:rPr>
          <w:rFonts w:eastAsia="Times New Roman" w:cs="Times New Roman"/>
          <w:bCs/>
        </w:rPr>
        <w:t xml:space="preserve"> (exemplu varianta normată de 1,20 m)</w:t>
      </w:r>
      <w:bookmarkEnd w:id="6277"/>
      <w:bookmarkEnd w:id="6279"/>
      <w:bookmarkEnd w:id="6280"/>
      <w:bookmarkEnd w:id="6281"/>
      <w:bookmarkEnd w:id="6282"/>
      <w:bookmarkEnd w:id="6283"/>
      <w:bookmarkEnd w:id="6284"/>
      <w:bookmarkEnd w:id="6285"/>
      <w:bookmarkEnd w:id="6286"/>
    </w:p>
    <w:p w14:paraId="6EAC4285" w14:textId="77777777" w:rsidR="001C08A5" w:rsidRDefault="00000000">
      <w:pPr>
        <w:pStyle w:val="BodyText"/>
        <w:rPr>
          <w:iCs/>
          <w:sz w:val="22"/>
          <w:szCs w:val="22"/>
        </w:rPr>
      </w:pPr>
      <w:r>
        <w:rPr>
          <w:rStyle w:val="CommentReference"/>
          <w:b w:val="0"/>
          <w:iCs/>
          <w:sz w:val="22"/>
          <w:szCs w:val="22"/>
        </w:rPr>
        <w:t>Notă Figura 102: toate desenele exemplificative au partea de interior a construcției prevăzută spre dreapta.</w:t>
      </w:r>
    </w:p>
    <w:p w14:paraId="6180DCE7" w14:textId="77777777" w:rsidR="001C08A5" w:rsidRDefault="00000000">
      <w:pPr>
        <w:pStyle w:val="Heading4"/>
        <w:rPr>
          <w:sz w:val="24"/>
          <w:szCs w:val="24"/>
        </w:rPr>
      </w:pPr>
      <w:bookmarkStart w:id="6287" w:name="_Toc18636"/>
      <w:bookmarkStart w:id="6288" w:name="_Toc14749"/>
      <w:bookmarkStart w:id="6289" w:name="_Toc3024"/>
      <w:bookmarkStart w:id="6290" w:name="_Toc28630"/>
      <w:bookmarkStart w:id="6291" w:name="_Toc7909"/>
      <w:bookmarkStart w:id="6292" w:name="_Toc9162"/>
      <w:bookmarkStart w:id="6293" w:name="_Toc20340"/>
      <w:bookmarkStart w:id="6294" w:name="_Toc30007"/>
      <w:bookmarkStart w:id="6295" w:name="_Toc26912"/>
      <w:bookmarkStart w:id="6296" w:name="_Toc162355400"/>
      <w:bookmarkStart w:id="6297" w:name="_Toc17665"/>
      <w:bookmarkStart w:id="6298" w:name="_Toc7888"/>
      <w:bookmarkStart w:id="6299" w:name="_Toc21299"/>
      <w:bookmarkStart w:id="6300" w:name="_Toc14373"/>
      <w:bookmarkStart w:id="6301" w:name="_Toc8004"/>
      <w:bookmarkStart w:id="6302" w:name="_Toc8963"/>
      <w:bookmarkStart w:id="6303" w:name="_Toc29304"/>
      <w:r>
        <w:rPr>
          <w:sz w:val="24"/>
          <w:szCs w:val="24"/>
        </w:rPr>
        <w:t>Exemple de măsurători H și L – general</w:t>
      </w:r>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p>
    <w:p w14:paraId="27A77C09" w14:textId="77777777" w:rsidR="001C08A5" w:rsidRDefault="001C08A5">
      <w:pPr>
        <w:rPr>
          <w:lang w:val="en-US"/>
        </w:rPr>
      </w:pPr>
    </w:p>
    <w:p w14:paraId="5F4E313F" w14:textId="77777777" w:rsidR="001C08A5" w:rsidRDefault="00000000">
      <w:pPr>
        <w:numPr>
          <w:ilvl w:val="0"/>
          <w:numId w:val="96"/>
        </w:numPr>
        <w:tabs>
          <w:tab w:val="left" w:pos="426"/>
          <w:tab w:val="left" w:pos="993"/>
        </w:tabs>
        <w:jc w:val="both"/>
        <w:rPr>
          <w:bCs/>
          <w:i/>
          <w:sz w:val="24"/>
          <w:szCs w:val="24"/>
        </w:rPr>
      </w:pPr>
      <w:r>
        <w:rPr>
          <w:bCs/>
          <w:i/>
          <w:sz w:val="24"/>
          <w:szCs w:val="24"/>
        </w:rPr>
        <w:t>Se pot lua în considerare următoarele:</w:t>
      </w:r>
    </w:p>
    <w:p w14:paraId="55C41EC5" w14:textId="77777777" w:rsidR="001C08A5" w:rsidRDefault="00000000">
      <w:pPr>
        <w:tabs>
          <w:tab w:val="left" w:pos="426"/>
          <w:tab w:val="left" w:pos="993"/>
        </w:tabs>
        <w:ind w:left="720" w:firstLine="720"/>
        <w:jc w:val="both"/>
        <w:rPr>
          <w:rFonts w:eastAsia="Arial"/>
          <w:bCs/>
          <w:sz w:val="24"/>
          <w:szCs w:val="24"/>
        </w:rPr>
      </w:pPr>
      <w:r>
        <w:rPr>
          <w:rFonts w:eastAsia="Arial"/>
          <w:bCs/>
          <w:i/>
          <w:sz w:val="24"/>
          <w:szCs w:val="24"/>
          <w:u w:val="single"/>
        </w:rPr>
        <w:t>Decroș de supralumină la o fațadă complet vitrată</w:t>
      </w:r>
      <w:r>
        <w:rPr>
          <w:rFonts w:eastAsia="Arial"/>
          <w:bCs/>
          <w:i/>
          <w:sz w:val="24"/>
          <w:szCs w:val="24"/>
        </w:rPr>
        <w:t xml:space="preserve"> </w:t>
      </w:r>
      <w:r>
        <w:rPr>
          <w:bCs/>
          <w:i/>
          <w:sz w:val="24"/>
          <w:szCs w:val="24"/>
        </w:rPr>
        <w:t xml:space="preserve">(varianta </w:t>
      </w:r>
      <w:r>
        <w:rPr>
          <w:b/>
          <w:i/>
          <w:sz w:val="24"/>
          <w:szCs w:val="24"/>
        </w:rPr>
        <w:t>a)</w:t>
      </w:r>
    </w:p>
    <w:p w14:paraId="5FDD4015" w14:textId="77777777" w:rsidR="001C08A5" w:rsidRDefault="00000000">
      <w:pPr>
        <w:ind w:left="2160" w:firstLine="720"/>
        <w:jc w:val="both"/>
        <w:rPr>
          <w:rFonts w:eastAsia="Arial"/>
          <w:i/>
          <w:sz w:val="24"/>
          <w:szCs w:val="24"/>
        </w:rPr>
      </w:pPr>
      <w:r>
        <w:rPr>
          <w:rFonts w:eastAsia="Arial"/>
          <w:i/>
          <w:sz w:val="24"/>
          <w:szCs w:val="24"/>
        </w:rPr>
        <w:t xml:space="preserve">Pentru a putea lua în considerare înălțimea unei supralumini în calculul lui </w:t>
      </w:r>
      <w:r>
        <w:rPr>
          <w:rFonts w:eastAsia="Arial"/>
          <w:b/>
          <w:bCs/>
          <w:i/>
          <w:sz w:val="24"/>
          <w:szCs w:val="24"/>
        </w:rPr>
        <w:t>H</w:t>
      </w:r>
      <w:r>
        <w:rPr>
          <w:rFonts w:eastAsia="Arial"/>
          <w:i/>
          <w:sz w:val="24"/>
          <w:szCs w:val="24"/>
        </w:rPr>
        <w:t xml:space="preserve">, retragerea </w:t>
      </w:r>
      <w:r>
        <w:rPr>
          <w:rFonts w:eastAsia="Arial"/>
          <w:b/>
          <w:bCs/>
          <w:i/>
          <w:sz w:val="24"/>
          <w:szCs w:val="24"/>
        </w:rPr>
        <w:t>L</w:t>
      </w:r>
      <w:r>
        <w:rPr>
          <w:rFonts w:eastAsia="Arial"/>
          <w:b/>
          <w:bCs/>
          <w:i/>
          <w:sz w:val="24"/>
          <w:szCs w:val="24"/>
          <w:vertAlign w:val="subscript"/>
        </w:rPr>
        <w:t>1</w:t>
      </w:r>
      <w:r>
        <w:rPr>
          <w:rFonts w:eastAsia="Arial"/>
          <w:i/>
          <w:sz w:val="24"/>
          <w:szCs w:val="24"/>
        </w:rPr>
        <w:t xml:space="preserve"> nu trebuie să depășească </w:t>
      </w:r>
      <w:r>
        <w:rPr>
          <w:rFonts w:eastAsia="Arial"/>
          <w:b/>
          <w:bCs/>
          <w:i/>
          <w:sz w:val="24"/>
          <w:szCs w:val="24"/>
        </w:rPr>
        <w:t>40</w:t>
      </w:r>
      <w:r>
        <w:rPr>
          <w:rFonts w:eastAsia="Arial"/>
          <w:i/>
          <w:sz w:val="24"/>
          <w:szCs w:val="24"/>
        </w:rPr>
        <w:t xml:space="preserve"> cm, măsurată în raport cu suprafața geamurilor interioare. </w:t>
      </w:r>
    </w:p>
    <w:p w14:paraId="45F061A3" w14:textId="77777777" w:rsidR="001C08A5" w:rsidRDefault="00000000">
      <w:pPr>
        <w:tabs>
          <w:tab w:val="left" w:pos="426"/>
          <w:tab w:val="left" w:pos="993"/>
        </w:tabs>
        <w:ind w:left="720" w:firstLine="720"/>
        <w:jc w:val="both"/>
        <w:rPr>
          <w:rFonts w:eastAsia="Arial"/>
          <w:bCs/>
          <w:sz w:val="24"/>
          <w:szCs w:val="24"/>
        </w:rPr>
      </w:pPr>
      <w:r>
        <w:rPr>
          <w:rFonts w:eastAsia="Arial"/>
          <w:bCs/>
          <w:i/>
          <w:sz w:val="24"/>
          <w:szCs w:val="24"/>
          <w:u w:val="single"/>
        </w:rPr>
        <w:t>Fațadă plană sau curbată înclinată</w:t>
      </w:r>
      <w:r>
        <w:rPr>
          <w:rFonts w:eastAsia="Arial"/>
          <w:bCs/>
          <w:i/>
          <w:sz w:val="24"/>
          <w:szCs w:val="24"/>
        </w:rPr>
        <w:t xml:space="preserve"> pe mai multe niveluri (parte opacă și parte vitrată) </w:t>
      </w:r>
      <w:r>
        <w:rPr>
          <w:bCs/>
          <w:i/>
          <w:sz w:val="24"/>
          <w:szCs w:val="24"/>
        </w:rPr>
        <w:t>(varianta b) și (varianta c)</w:t>
      </w:r>
    </w:p>
    <w:p w14:paraId="31DE754B" w14:textId="77777777" w:rsidR="001C08A5" w:rsidRDefault="00000000">
      <w:pPr>
        <w:tabs>
          <w:tab w:val="left" w:pos="426"/>
          <w:tab w:val="left" w:pos="993"/>
        </w:tabs>
        <w:ind w:left="1440" w:firstLine="720"/>
        <w:jc w:val="both"/>
        <w:rPr>
          <w:rFonts w:eastAsia="Arial"/>
          <w:bCs/>
          <w:sz w:val="24"/>
          <w:szCs w:val="24"/>
        </w:rPr>
      </w:pPr>
      <w:r>
        <w:rPr>
          <w:rFonts w:eastAsia="Arial"/>
          <w:bCs/>
          <w:i/>
          <w:sz w:val="24"/>
          <w:szCs w:val="24"/>
        </w:rPr>
        <w:t xml:space="preserve">Fațada înclinată spre interior </w:t>
      </w:r>
      <w:r>
        <w:rPr>
          <w:bCs/>
          <w:i/>
          <w:sz w:val="24"/>
          <w:szCs w:val="24"/>
        </w:rPr>
        <w:t xml:space="preserve">(varianta </w:t>
      </w:r>
      <w:r>
        <w:rPr>
          <w:b/>
          <w:i/>
          <w:sz w:val="24"/>
          <w:szCs w:val="24"/>
        </w:rPr>
        <w:t>b)</w:t>
      </w:r>
      <w:r>
        <w:rPr>
          <w:rFonts w:eastAsia="Arial"/>
          <w:bCs/>
          <w:i/>
          <w:sz w:val="24"/>
          <w:szCs w:val="24"/>
        </w:rPr>
        <w:t>:</w:t>
      </w:r>
    </w:p>
    <w:p w14:paraId="3E46983C" w14:textId="77777777" w:rsidR="001C08A5" w:rsidRDefault="00000000">
      <w:pPr>
        <w:ind w:left="2880" w:firstLine="720"/>
        <w:jc w:val="both"/>
        <w:rPr>
          <w:rFonts w:eastAsia="Arial"/>
          <w:i/>
          <w:sz w:val="24"/>
          <w:szCs w:val="24"/>
        </w:rPr>
      </w:pPr>
      <w:r>
        <w:rPr>
          <w:rFonts w:eastAsia="Arial"/>
          <w:i/>
          <w:sz w:val="24"/>
          <w:szCs w:val="24"/>
        </w:rPr>
        <w:t xml:space="preserve">Oricare ar fi valoarea unghiului </w:t>
      </w:r>
      <w:r>
        <w:rPr>
          <w:rFonts w:eastAsia="Arial"/>
          <w:b/>
          <w:bCs/>
          <w:i/>
          <w:sz w:val="24"/>
          <w:szCs w:val="24"/>
        </w:rPr>
        <w:t>α</w:t>
      </w:r>
      <w:r>
        <w:rPr>
          <w:rFonts w:eastAsia="Arial"/>
          <w:i/>
          <w:sz w:val="24"/>
          <w:szCs w:val="24"/>
        </w:rPr>
        <w:t xml:space="preserve">, se aplică regula generală </w:t>
      </w:r>
      <w:r>
        <w:rPr>
          <w:rFonts w:eastAsia="Arial"/>
          <w:b/>
          <w:bCs/>
          <w:i/>
          <w:sz w:val="24"/>
          <w:szCs w:val="24"/>
        </w:rPr>
        <w:t>H+L</w:t>
      </w:r>
      <w:r>
        <w:rPr>
          <w:rFonts w:eastAsia="Arial"/>
          <w:i/>
          <w:sz w:val="24"/>
          <w:szCs w:val="24"/>
        </w:rPr>
        <w:t xml:space="preserve"> (dacă </w:t>
      </w:r>
      <w:r>
        <w:rPr>
          <w:rFonts w:eastAsia="Arial"/>
          <w:b/>
          <w:bCs/>
          <w:i/>
          <w:sz w:val="24"/>
          <w:szCs w:val="24"/>
        </w:rPr>
        <w:t>L</w:t>
      </w:r>
      <w:r>
        <w:rPr>
          <w:rFonts w:ascii="Arial" w:eastAsia="Arial" w:hAnsi="Arial" w:cs="Arial"/>
          <w:b/>
          <w:bCs/>
          <w:i/>
          <w:sz w:val="24"/>
          <w:szCs w:val="24"/>
        </w:rPr>
        <w:t>≥</w:t>
      </w:r>
      <w:r>
        <w:rPr>
          <w:rFonts w:eastAsia="Arial"/>
          <w:b/>
          <w:bCs/>
          <w:i/>
          <w:sz w:val="24"/>
          <w:szCs w:val="24"/>
        </w:rPr>
        <w:t>15 cm</w:t>
      </w:r>
      <w:r>
        <w:rPr>
          <w:rFonts w:eastAsia="Arial"/>
          <w:i/>
          <w:sz w:val="24"/>
          <w:szCs w:val="24"/>
        </w:rPr>
        <w:t>).</w:t>
      </w:r>
    </w:p>
    <w:p w14:paraId="354B1568" w14:textId="77777777" w:rsidR="001C08A5" w:rsidRDefault="00000000">
      <w:pPr>
        <w:tabs>
          <w:tab w:val="left" w:pos="426"/>
          <w:tab w:val="left" w:pos="993"/>
        </w:tabs>
        <w:ind w:left="720" w:firstLine="720"/>
        <w:jc w:val="both"/>
        <w:rPr>
          <w:rFonts w:eastAsia="Arial"/>
          <w:bCs/>
          <w:sz w:val="24"/>
          <w:szCs w:val="24"/>
        </w:rPr>
      </w:pPr>
      <w:r>
        <w:rPr>
          <w:rFonts w:eastAsia="Arial"/>
          <w:bCs/>
          <w:i/>
          <w:sz w:val="24"/>
          <w:szCs w:val="24"/>
        </w:rPr>
        <w:t xml:space="preserve">Fațada înclinată spre exterior </w:t>
      </w:r>
      <w:r>
        <w:rPr>
          <w:bCs/>
          <w:i/>
          <w:sz w:val="24"/>
          <w:szCs w:val="24"/>
        </w:rPr>
        <w:t xml:space="preserve">(varianta </w:t>
      </w:r>
      <w:r>
        <w:rPr>
          <w:b/>
          <w:i/>
          <w:sz w:val="24"/>
          <w:szCs w:val="24"/>
        </w:rPr>
        <w:t>c)</w:t>
      </w:r>
      <w:r>
        <w:rPr>
          <w:rFonts w:eastAsia="Arial"/>
          <w:bCs/>
          <w:i/>
          <w:sz w:val="24"/>
          <w:szCs w:val="24"/>
        </w:rPr>
        <w:t>:</w:t>
      </w:r>
    </w:p>
    <w:p w14:paraId="1C8107EE" w14:textId="77777777" w:rsidR="001C08A5" w:rsidRDefault="00000000">
      <w:pPr>
        <w:ind w:left="2160" w:firstLine="720"/>
        <w:jc w:val="both"/>
        <w:rPr>
          <w:rFonts w:eastAsia="Arial"/>
          <w:i/>
          <w:sz w:val="24"/>
          <w:szCs w:val="24"/>
        </w:rPr>
      </w:pPr>
      <w:r>
        <w:rPr>
          <w:rFonts w:eastAsia="Arial"/>
          <w:i/>
          <w:sz w:val="24"/>
          <w:szCs w:val="24"/>
        </w:rPr>
        <w:t xml:space="preserve">Dacă </w:t>
      </w:r>
      <w:r>
        <w:rPr>
          <w:rFonts w:eastAsia="Arial"/>
          <w:b/>
          <w:bCs/>
          <w:i/>
          <w:sz w:val="24"/>
          <w:szCs w:val="24"/>
        </w:rPr>
        <w:t>α ≤ 15°</w:t>
      </w:r>
      <w:r>
        <w:rPr>
          <w:rFonts w:eastAsia="Arial"/>
          <w:i/>
          <w:sz w:val="24"/>
          <w:szCs w:val="24"/>
        </w:rPr>
        <w:t xml:space="preserve">: se aplică regulile fațadei, măsurand </w:t>
      </w:r>
      <w:r>
        <w:rPr>
          <w:rFonts w:eastAsia="Arial"/>
          <w:b/>
          <w:bCs/>
          <w:i/>
          <w:sz w:val="24"/>
          <w:szCs w:val="24"/>
        </w:rPr>
        <w:t>H</w:t>
      </w:r>
      <w:r>
        <w:rPr>
          <w:rFonts w:eastAsia="Arial"/>
          <w:i/>
          <w:sz w:val="24"/>
          <w:szCs w:val="24"/>
        </w:rPr>
        <w:t xml:space="preserve"> în funcție de verticală și </w:t>
      </w:r>
      <w:r>
        <w:rPr>
          <w:rFonts w:eastAsia="Arial"/>
          <w:b/>
          <w:bCs/>
          <w:i/>
          <w:sz w:val="24"/>
          <w:szCs w:val="24"/>
        </w:rPr>
        <w:t>L</w:t>
      </w:r>
      <w:r>
        <w:rPr>
          <w:rFonts w:eastAsia="Arial"/>
          <w:i/>
          <w:sz w:val="24"/>
          <w:szCs w:val="24"/>
        </w:rPr>
        <w:t xml:space="preserve"> este egal cu </w:t>
      </w:r>
      <w:r>
        <w:rPr>
          <w:rFonts w:eastAsia="Arial"/>
          <w:b/>
          <w:bCs/>
          <w:i/>
          <w:sz w:val="24"/>
          <w:szCs w:val="24"/>
        </w:rPr>
        <w:t>0</w:t>
      </w:r>
      <w:r>
        <w:rPr>
          <w:rFonts w:eastAsia="Arial"/>
          <w:i/>
          <w:sz w:val="24"/>
          <w:szCs w:val="24"/>
        </w:rPr>
        <w:t>.</w:t>
      </w:r>
    </w:p>
    <w:p w14:paraId="1D1A0470" w14:textId="77777777" w:rsidR="001C08A5" w:rsidRDefault="00000000">
      <w:pPr>
        <w:ind w:left="2160" w:firstLine="720"/>
        <w:jc w:val="both"/>
        <w:rPr>
          <w:rFonts w:eastAsia="Arial"/>
          <w:i/>
          <w:sz w:val="24"/>
          <w:szCs w:val="24"/>
        </w:rPr>
      </w:pPr>
      <w:r>
        <w:rPr>
          <w:rFonts w:eastAsia="Arial"/>
          <w:i/>
          <w:sz w:val="24"/>
          <w:szCs w:val="24"/>
        </w:rPr>
        <w:t xml:space="preserve">Dacă </w:t>
      </w:r>
      <w:r>
        <w:rPr>
          <w:rFonts w:eastAsia="Arial"/>
          <w:b/>
          <w:bCs/>
          <w:i/>
          <w:sz w:val="24"/>
          <w:szCs w:val="24"/>
        </w:rPr>
        <w:t>α &gt; 15 °</w:t>
      </w:r>
      <w:r>
        <w:rPr>
          <w:rFonts w:eastAsia="Arial"/>
          <w:i/>
          <w:sz w:val="24"/>
          <w:szCs w:val="24"/>
        </w:rPr>
        <w:t xml:space="preserve">: fațada nivelului inferior de sub nivelul înclinat trebuie să fie </w:t>
      </w:r>
      <w:r>
        <w:rPr>
          <w:rFonts w:eastAsia="Arial"/>
          <w:b/>
          <w:bCs/>
          <w:i/>
          <w:sz w:val="24"/>
          <w:szCs w:val="24"/>
        </w:rPr>
        <w:t>A1, A2s1do</w:t>
      </w:r>
      <w:r>
        <w:rPr>
          <w:rFonts w:eastAsia="Arial"/>
          <w:i/>
          <w:sz w:val="24"/>
          <w:szCs w:val="24"/>
        </w:rPr>
        <w:t xml:space="preserve">, </w:t>
      </w:r>
      <w:r>
        <w:rPr>
          <w:rFonts w:eastAsia="Arial"/>
          <w:b/>
          <w:bCs/>
          <w:i/>
          <w:sz w:val="24"/>
          <w:szCs w:val="24"/>
        </w:rPr>
        <w:t>EI i → o</w:t>
      </w:r>
      <w:r>
        <w:rPr>
          <w:rFonts w:eastAsia="Arial"/>
          <w:i/>
          <w:sz w:val="24"/>
          <w:szCs w:val="24"/>
        </w:rPr>
        <w:t xml:space="preserve"> de aeeași incadrare cu nivelul necesar pentru stabilitatea la incendiu a structurii planșeelor clădirii.</w:t>
      </w:r>
    </w:p>
    <w:p w14:paraId="0A290166" w14:textId="77777777" w:rsidR="001C08A5" w:rsidRDefault="00000000">
      <w:pPr>
        <w:tabs>
          <w:tab w:val="left" w:pos="426"/>
          <w:tab w:val="left" w:pos="993"/>
        </w:tabs>
        <w:ind w:left="720" w:firstLine="720"/>
        <w:jc w:val="both"/>
        <w:rPr>
          <w:bCs/>
          <w:i/>
          <w:sz w:val="24"/>
          <w:szCs w:val="24"/>
        </w:rPr>
      </w:pPr>
      <w:r>
        <w:rPr>
          <w:bCs/>
          <w:i/>
          <w:sz w:val="24"/>
          <w:szCs w:val="24"/>
          <w:u w:val="single"/>
        </w:rPr>
        <w:t xml:space="preserve">Etaj superior retras </w:t>
      </w:r>
      <w:r>
        <w:rPr>
          <w:bCs/>
          <w:i/>
          <w:sz w:val="24"/>
          <w:szCs w:val="24"/>
        </w:rPr>
        <w:t xml:space="preserve">(varianta </w:t>
      </w:r>
      <w:r>
        <w:rPr>
          <w:b/>
          <w:i/>
          <w:sz w:val="24"/>
          <w:szCs w:val="24"/>
        </w:rPr>
        <w:t>d)</w:t>
      </w:r>
      <w:r>
        <w:rPr>
          <w:bCs/>
          <w:i/>
          <w:sz w:val="24"/>
          <w:szCs w:val="24"/>
        </w:rPr>
        <w:t xml:space="preserve"> </w:t>
      </w:r>
    </w:p>
    <w:p w14:paraId="62276F2F" w14:textId="77777777" w:rsidR="001C08A5" w:rsidRDefault="00000000">
      <w:pPr>
        <w:tabs>
          <w:tab w:val="left" w:pos="426"/>
          <w:tab w:val="left" w:pos="993"/>
        </w:tabs>
        <w:ind w:left="2160" w:firstLine="720"/>
        <w:jc w:val="both"/>
        <w:rPr>
          <w:bCs/>
          <w:i/>
          <w:sz w:val="24"/>
          <w:szCs w:val="24"/>
        </w:rPr>
      </w:pPr>
      <w:r>
        <w:rPr>
          <w:b/>
          <w:i/>
          <w:sz w:val="24"/>
          <w:szCs w:val="24"/>
        </w:rPr>
        <w:t>L</w:t>
      </w:r>
      <w:r>
        <w:rPr>
          <w:bCs/>
          <w:i/>
          <w:sz w:val="24"/>
          <w:szCs w:val="24"/>
        </w:rPr>
        <w:t xml:space="preserve"> este luat în considerare numai dacă valoarea sa este mai mare sau egală cu </w:t>
      </w:r>
      <w:r>
        <w:rPr>
          <w:b/>
          <w:i/>
          <w:sz w:val="24"/>
          <w:szCs w:val="24"/>
        </w:rPr>
        <w:t>15 cm</w:t>
      </w:r>
      <w:r>
        <w:rPr>
          <w:bCs/>
          <w:i/>
          <w:sz w:val="24"/>
          <w:szCs w:val="24"/>
        </w:rPr>
        <w:t xml:space="preserve"> </w:t>
      </w:r>
      <w:r>
        <w:rPr>
          <w:rFonts w:eastAsia="Arial"/>
          <w:bCs/>
          <w:i/>
          <w:sz w:val="24"/>
          <w:szCs w:val="24"/>
        </w:rPr>
        <w:t xml:space="preserve">( </w:t>
      </w:r>
      <w:r>
        <w:rPr>
          <w:rFonts w:eastAsia="Arial"/>
          <w:b/>
          <w:bCs/>
          <w:i/>
          <w:sz w:val="24"/>
          <w:szCs w:val="24"/>
        </w:rPr>
        <w:t>L</w:t>
      </w:r>
      <w:r>
        <w:rPr>
          <w:rFonts w:ascii="Arial" w:eastAsia="Arial" w:hAnsi="Arial" w:cs="Arial"/>
          <w:b/>
          <w:bCs/>
          <w:i/>
          <w:sz w:val="24"/>
          <w:szCs w:val="24"/>
        </w:rPr>
        <w:t>≥</w:t>
      </w:r>
      <w:r>
        <w:rPr>
          <w:rFonts w:eastAsia="Arial"/>
          <w:b/>
          <w:bCs/>
          <w:i/>
          <w:sz w:val="24"/>
          <w:szCs w:val="24"/>
        </w:rPr>
        <w:t>15 cm</w:t>
      </w:r>
      <w:r>
        <w:rPr>
          <w:rFonts w:eastAsia="Arial"/>
          <w:bCs/>
          <w:i/>
          <w:sz w:val="24"/>
          <w:szCs w:val="24"/>
        </w:rPr>
        <w:t>)</w:t>
      </w:r>
      <w:r>
        <w:rPr>
          <w:bCs/>
          <w:i/>
          <w:sz w:val="24"/>
          <w:szCs w:val="24"/>
        </w:rPr>
        <w:t>.</w:t>
      </w:r>
    </w:p>
    <w:p w14:paraId="1DE142B5" w14:textId="77777777" w:rsidR="001C08A5" w:rsidRDefault="00000000">
      <w:pPr>
        <w:tabs>
          <w:tab w:val="left" w:pos="426"/>
          <w:tab w:val="left" w:pos="993"/>
        </w:tabs>
        <w:ind w:left="720" w:firstLine="720"/>
        <w:jc w:val="both"/>
        <w:rPr>
          <w:rFonts w:eastAsia="Arial"/>
          <w:bCs/>
          <w:i/>
          <w:sz w:val="24"/>
          <w:szCs w:val="24"/>
        </w:rPr>
      </w:pPr>
      <w:r>
        <w:rPr>
          <w:bCs/>
          <w:i/>
          <w:sz w:val="24"/>
          <w:szCs w:val="24"/>
          <w:u w:val="single"/>
        </w:rPr>
        <w:t>Etaj superior în consolă</w:t>
      </w:r>
      <w:r>
        <w:rPr>
          <w:rFonts w:eastAsia="Arial"/>
          <w:bCs/>
          <w:i/>
          <w:sz w:val="24"/>
          <w:szCs w:val="24"/>
        </w:rPr>
        <w:t xml:space="preserve"> </w:t>
      </w:r>
      <w:r>
        <w:rPr>
          <w:bCs/>
          <w:i/>
          <w:sz w:val="24"/>
          <w:szCs w:val="24"/>
        </w:rPr>
        <w:t xml:space="preserve">(varianta </w:t>
      </w:r>
      <w:r>
        <w:rPr>
          <w:b/>
          <w:i/>
          <w:sz w:val="24"/>
          <w:szCs w:val="24"/>
        </w:rPr>
        <w:t>e</w:t>
      </w:r>
      <w:r>
        <w:rPr>
          <w:bCs/>
          <w:i/>
          <w:sz w:val="24"/>
          <w:szCs w:val="24"/>
        </w:rPr>
        <w:t xml:space="preserve">) și (varianta </w:t>
      </w:r>
      <w:r>
        <w:rPr>
          <w:b/>
          <w:i/>
          <w:sz w:val="24"/>
          <w:szCs w:val="24"/>
        </w:rPr>
        <w:t>f</w:t>
      </w:r>
      <w:r>
        <w:rPr>
          <w:bCs/>
          <w:i/>
          <w:sz w:val="24"/>
          <w:szCs w:val="24"/>
        </w:rPr>
        <w:t>)</w:t>
      </w:r>
      <w:r>
        <w:rPr>
          <w:rFonts w:eastAsia="Arial"/>
          <w:bCs/>
          <w:i/>
          <w:sz w:val="24"/>
          <w:szCs w:val="24"/>
        </w:rPr>
        <w:t xml:space="preserve"> </w:t>
      </w:r>
    </w:p>
    <w:p w14:paraId="65C8CB0E" w14:textId="77777777" w:rsidR="001C08A5" w:rsidRDefault="00000000">
      <w:pPr>
        <w:tabs>
          <w:tab w:val="left" w:pos="426"/>
          <w:tab w:val="left" w:pos="993"/>
        </w:tabs>
        <w:ind w:left="2160" w:firstLine="720"/>
        <w:jc w:val="both"/>
        <w:rPr>
          <w:rFonts w:eastAsia="Arial"/>
          <w:bCs/>
          <w:i/>
          <w:sz w:val="24"/>
          <w:szCs w:val="24"/>
        </w:rPr>
      </w:pPr>
      <w:r>
        <w:rPr>
          <w:rFonts w:eastAsia="Arial"/>
          <w:bCs/>
          <w:i/>
          <w:sz w:val="24"/>
          <w:szCs w:val="24"/>
        </w:rPr>
        <w:lastRenderedPageBreak/>
        <w:t xml:space="preserve">Valoarea proiecției </w:t>
      </w:r>
      <w:r>
        <w:rPr>
          <w:rFonts w:eastAsia="Arial"/>
          <w:b/>
          <w:i/>
          <w:sz w:val="24"/>
          <w:szCs w:val="24"/>
        </w:rPr>
        <w:t>L'</w:t>
      </w:r>
      <w:r>
        <w:rPr>
          <w:rFonts w:eastAsia="Arial"/>
          <w:bCs/>
          <w:i/>
          <w:sz w:val="24"/>
          <w:szCs w:val="24"/>
        </w:rPr>
        <w:t xml:space="preserve"> trebuie luată în considerare în calculul </w:t>
      </w:r>
      <w:r>
        <w:rPr>
          <w:rFonts w:eastAsia="Arial"/>
          <w:b/>
          <w:i/>
          <w:sz w:val="24"/>
          <w:szCs w:val="24"/>
        </w:rPr>
        <w:t>L</w:t>
      </w:r>
      <w:r>
        <w:rPr>
          <w:rFonts w:eastAsia="Arial"/>
          <w:bCs/>
          <w:i/>
          <w:sz w:val="24"/>
          <w:szCs w:val="24"/>
        </w:rPr>
        <w:t xml:space="preserve">, numai dacă este mai mare de </w:t>
      </w:r>
      <w:r>
        <w:rPr>
          <w:rFonts w:eastAsia="Arial"/>
          <w:b/>
          <w:i/>
          <w:sz w:val="24"/>
          <w:szCs w:val="24"/>
        </w:rPr>
        <w:t>80</w:t>
      </w:r>
      <w:r>
        <w:rPr>
          <w:rFonts w:eastAsia="Arial"/>
          <w:bCs/>
          <w:i/>
          <w:sz w:val="24"/>
          <w:szCs w:val="24"/>
        </w:rPr>
        <w:t xml:space="preserve"> cm, iar valoarea retragerii </w:t>
      </w:r>
      <w:r>
        <w:rPr>
          <w:rFonts w:eastAsia="Arial"/>
          <w:b/>
          <w:i/>
          <w:sz w:val="24"/>
          <w:szCs w:val="24"/>
        </w:rPr>
        <w:t>d</w:t>
      </w:r>
      <w:r>
        <w:rPr>
          <w:rFonts w:ascii="Calibri" w:eastAsia="Arial" w:hAnsi="Calibri" w:cs="Calibri"/>
          <w:b/>
          <w:i/>
          <w:sz w:val="24"/>
          <w:szCs w:val="24"/>
        </w:rPr>
        <w:t>'</w:t>
      </w:r>
      <w:r>
        <w:rPr>
          <w:rFonts w:eastAsia="Arial"/>
          <w:b/>
          <w:i/>
          <w:sz w:val="24"/>
          <w:szCs w:val="24"/>
        </w:rPr>
        <w:t xml:space="preserve"> </w:t>
      </w:r>
      <w:r>
        <w:rPr>
          <w:rFonts w:eastAsia="Arial"/>
          <w:bCs/>
          <w:i/>
          <w:sz w:val="24"/>
          <w:szCs w:val="24"/>
        </w:rPr>
        <w:t xml:space="preserve">este luată în considerare numai în calculul lui </w:t>
      </w:r>
      <w:r>
        <w:rPr>
          <w:rFonts w:eastAsia="Arial"/>
          <w:b/>
          <w:i/>
          <w:sz w:val="24"/>
          <w:szCs w:val="24"/>
        </w:rPr>
        <w:t>L</w:t>
      </w:r>
      <w:r>
        <w:rPr>
          <w:rFonts w:eastAsia="Arial"/>
          <w:bCs/>
          <w:i/>
          <w:sz w:val="24"/>
          <w:szCs w:val="24"/>
        </w:rPr>
        <w:t xml:space="preserve"> numai dacă este mai mare de </w:t>
      </w:r>
      <w:r>
        <w:rPr>
          <w:rFonts w:eastAsia="Arial"/>
          <w:b/>
          <w:i/>
          <w:sz w:val="24"/>
          <w:szCs w:val="24"/>
        </w:rPr>
        <w:t>15</w:t>
      </w:r>
      <w:r>
        <w:rPr>
          <w:rFonts w:eastAsia="Arial"/>
          <w:bCs/>
          <w:i/>
          <w:sz w:val="24"/>
          <w:szCs w:val="24"/>
        </w:rPr>
        <w:t xml:space="preserve"> cm</w:t>
      </w:r>
    </w:p>
    <w:p w14:paraId="6322C5DB" w14:textId="77777777" w:rsidR="001C08A5" w:rsidRDefault="00000000">
      <w:pPr>
        <w:ind w:left="2880" w:firstLine="720"/>
        <w:jc w:val="both"/>
        <w:rPr>
          <w:rFonts w:eastAsia="Arial"/>
          <w:b/>
          <w:bCs/>
          <w:i/>
          <w:sz w:val="24"/>
          <w:szCs w:val="24"/>
        </w:rPr>
      </w:pPr>
      <w:r>
        <w:rPr>
          <w:rFonts w:eastAsia="Arial"/>
          <w:b/>
          <w:bCs/>
          <w:i/>
          <w:sz w:val="24"/>
          <w:szCs w:val="24"/>
        </w:rPr>
        <w:t xml:space="preserve">L' </w:t>
      </w:r>
      <w:r>
        <w:rPr>
          <w:rFonts w:ascii="Symbol" w:eastAsia="Arial" w:hAnsi="Symbol" w:cs="Symbol"/>
          <w:b/>
          <w:bCs/>
          <w:i/>
          <w:sz w:val="24"/>
          <w:szCs w:val="24"/>
        </w:rPr>
        <w:t></w:t>
      </w:r>
      <w:r>
        <w:rPr>
          <w:rFonts w:ascii="Symbol" w:eastAsia="Arial" w:hAnsi="Symbol" w:cs="Symbol"/>
          <w:b/>
          <w:bCs/>
          <w:i/>
          <w:sz w:val="24"/>
          <w:szCs w:val="24"/>
        </w:rPr>
        <w:t></w:t>
      </w:r>
      <w:r>
        <w:rPr>
          <w:rFonts w:eastAsia="Arial"/>
          <w:b/>
          <w:bCs/>
          <w:i/>
          <w:sz w:val="24"/>
          <w:szCs w:val="24"/>
        </w:rPr>
        <w:t xml:space="preserve">80 cm </w:t>
      </w:r>
      <w:r>
        <w:rPr>
          <w:rFonts w:eastAsia="Arial"/>
          <w:i/>
          <w:sz w:val="24"/>
          <w:szCs w:val="24"/>
        </w:rPr>
        <w:t>și</w:t>
      </w:r>
      <w:r>
        <w:rPr>
          <w:rFonts w:eastAsia="Arial"/>
          <w:b/>
          <w:bCs/>
          <w:i/>
          <w:sz w:val="24"/>
          <w:szCs w:val="24"/>
        </w:rPr>
        <w:t xml:space="preserve"> d' &lt; 15 cm =&gt; L=0</w:t>
      </w:r>
    </w:p>
    <w:p w14:paraId="480D405E" w14:textId="77777777" w:rsidR="001C08A5" w:rsidRDefault="00000000">
      <w:pPr>
        <w:ind w:left="2880" w:firstLine="720"/>
        <w:jc w:val="both"/>
        <w:rPr>
          <w:rFonts w:eastAsia="Arial"/>
          <w:b/>
          <w:bCs/>
          <w:i/>
          <w:sz w:val="24"/>
          <w:szCs w:val="24"/>
        </w:rPr>
      </w:pPr>
      <w:r>
        <w:rPr>
          <w:rFonts w:eastAsia="Arial"/>
          <w:b/>
          <w:bCs/>
          <w:i/>
          <w:sz w:val="24"/>
          <w:szCs w:val="24"/>
        </w:rPr>
        <w:t xml:space="preserve">L' </w:t>
      </w:r>
      <w:r>
        <w:rPr>
          <w:rFonts w:ascii="Symbol" w:eastAsia="Arial" w:hAnsi="Symbol" w:cs="Symbol"/>
          <w:b/>
          <w:bCs/>
          <w:i/>
          <w:sz w:val="24"/>
          <w:szCs w:val="24"/>
        </w:rPr>
        <w:t></w:t>
      </w:r>
      <w:r>
        <w:rPr>
          <w:rFonts w:ascii="Symbol" w:eastAsia="Arial" w:hAnsi="Symbol" w:cs="Symbol"/>
          <w:b/>
          <w:bCs/>
          <w:i/>
          <w:sz w:val="24"/>
          <w:szCs w:val="24"/>
        </w:rPr>
        <w:t></w:t>
      </w:r>
      <w:r>
        <w:rPr>
          <w:rFonts w:eastAsia="Arial"/>
          <w:b/>
          <w:bCs/>
          <w:i/>
          <w:sz w:val="24"/>
          <w:szCs w:val="24"/>
        </w:rPr>
        <w:t xml:space="preserve">80 cm </w:t>
      </w:r>
      <w:r>
        <w:rPr>
          <w:rFonts w:eastAsia="Arial"/>
          <w:i/>
          <w:sz w:val="24"/>
          <w:szCs w:val="24"/>
        </w:rPr>
        <w:t>și</w:t>
      </w:r>
      <w:r>
        <w:rPr>
          <w:rFonts w:eastAsia="Arial"/>
          <w:b/>
          <w:bCs/>
          <w:i/>
          <w:sz w:val="24"/>
          <w:szCs w:val="24"/>
        </w:rPr>
        <w:t xml:space="preserve"> d' </w:t>
      </w:r>
      <w:r>
        <w:rPr>
          <w:rFonts w:ascii="Symbol" w:eastAsia="Arial" w:hAnsi="Symbol" w:cs="Symbol"/>
          <w:b/>
          <w:bCs/>
          <w:i/>
          <w:sz w:val="24"/>
          <w:szCs w:val="24"/>
        </w:rPr>
        <w:t></w:t>
      </w:r>
      <w:r>
        <w:rPr>
          <w:rFonts w:ascii="Symbol" w:eastAsia="Arial" w:hAnsi="Symbol" w:cs="Symbol"/>
          <w:b/>
          <w:bCs/>
          <w:i/>
          <w:sz w:val="24"/>
          <w:szCs w:val="24"/>
        </w:rPr>
        <w:t></w:t>
      </w:r>
      <w:r>
        <w:rPr>
          <w:rFonts w:eastAsia="Arial"/>
          <w:b/>
          <w:bCs/>
          <w:i/>
          <w:sz w:val="24"/>
          <w:szCs w:val="24"/>
        </w:rPr>
        <w:t>15 cm =&gt; L=d'</w:t>
      </w:r>
    </w:p>
    <w:p w14:paraId="3F6B3FDF" w14:textId="77777777" w:rsidR="001C08A5" w:rsidRDefault="00000000">
      <w:pPr>
        <w:ind w:left="2880" w:firstLine="720"/>
        <w:jc w:val="both"/>
        <w:rPr>
          <w:rFonts w:eastAsia="Arial"/>
          <w:b/>
          <w:bCs/>
          <w:i/>
          <w:sz w:val="24"/>
          <w:szCs w:val="24"/>
        </w:rPr>
      </w:pPr>
      <w:r>
        <w:rPr>
          <w:rFonts w:eastAsia="Arial"/>
          <w:b/>
          <w:bCs/>
          <w:i/>
          <w:sz w:val="24"/>
          <w:szCs w:val="24"/>
        </w:rPr>
        <w:t xml:space="preserve">L' &gt; 80 cm </w:t>
      </w:r>
      <w:r>
        <w:rPr>
          <w:rFonts w:eastAsia="Arial"/>
          <w:i/>
          <w:sz w:val="24"/>
          <w:szCs w:val="24"/>
        </w:rPr>
        <w:t xml:space="preserve">și </w:t>
      </w:r>
      <w:r>
        <w:rPr>
          <w:rFonts w:eastAsia="Arial"/>
          <w:b/>
          <w:bCs/>
          <w:i/>
          <w:sz w:val="24"/>
          <w:szCs w:val="24"/>
        </w:rPr>
        <w:t>d' &lt; 15 cm =&gt; L'=L-80 cm</w:t>
      </w:r>
    </w:p>
    <w:p w14:paraId="107E332B" w14:textId="77777777" w:rsidR="001C08A5" w:rsidRDefault="00000000">
      <w:pPr>
        <w:ind w:left="2880" w:firstLine="720"/>
        <w:jc w:val="both"/>
        <w:rPr>
          <w:rFonts w:eastAsia="Arial"/>
          <w:b/>
          <w:bCs/>
          <w:i/>
          <w:sz w:val="24"/>
          <w:szCs w:val="24"/>
        </w:rPr>
      </w:pPr>
      <w:r>
        <w:rPr>
          <w:rFonts w:eastAsia="Arial"/>
          <w:b/>
          <w:bCs/>
          <w:i/>
          <w:sz w:val="24"/>
          <w:szCs w:val="24"/>
        </w:rPr>
        <w:t xml:space="preserve">L' &gt; 80 cm </w:t>
      </w:r>
      <w:r>
        <w:rPr>
          <w:rFonts w:eastAsia="Arial"/>
          <w:i/>
          <w:sz w:val="24"/>
          <w:szCs w:val="24"/>
        </w:rPr>
        <w:t xml:space="preserve">și </w:t>
      </w:r>
      <w:r>
        <w:rPr>
          <w:rFonts w:eastAsia="Arial"/>
          <w:b/>
          <w:bCs/>
          <w:i/>
          <w:sz w:val="24"/>
          <w:szCs w:val="24"/>
        </w:rPr>
        <w:t xml:space="preserve">d' </w:t>
      </w:r>
      <w:r>
        <w:rPr>
          <w:rFonts w:ascii="Symbol" w:eastAsia="Arial" w:hAnsi="Symbol" w:cs="Symbol"/>
          <w:b/>
          <w:bCs/>
          <w:i/>
          <w:sz w:val="24"/>
          <w:szCs w:val="24"/>
        </w:rPr>
        <w:t></w:t>
      </w:r>
      <w:r>
        <w:rPr>
          <w:rFonts w:ascii="Symbol" w:eastAsia="Arial" w:hAnsi="Symbol" w:cs="Symbol"/>
          <w:b/>
          <w:bCs/>
          <w:i/>
          <w:sz w:val="24"/>
          <w:szCs w:val="24"/>
        </w:rPr>
        <w:t></w:t>
      </w:r>
      <w:r>
        <w:rPr>
          <w:rFonts w:eastAsia="Arial"/>
          <w:b/>
          <w:bCs/>
          <w:i/>
          <w:sz w:val="24"/>
          <w:szCs w:val="24"/>
        </w:rPr>
        <w:t>15 cm =&gt; L'=(L-80 cm)+d</w:t>
      </w:r>
    </w:p>
    <w:p w14:paraId="547DB457" w14:textId="77777777" w:rsidR="001C08A5" w:rsidRDefault="001C08A5">
      <w:pPr>
        <w:jc w:val="center"/>
        <w:rPr>
          <w:rFonts w:eastAsia="Arial"/>
          <w:i/>
          <w:sz w:val="24"/>
          <w:szCs w:val="24"/>
        </w:rPr>
      </w:pPr>
    </w:p>
    <w:p w14:paraId="757C3E86" w14:textId="77777777" w:rsidR="001C08A5" w:rsidRDefault="00000000">
      <w:pPr>
        <w:jc w:val="center"/>
        <w:rPr>
          <w:i/>
          <w:sz w:val="24"/>
          <w:szCs w:val="24"/>
        </w:rPr>
      </w:pPr>
      <w:r>
        <w:rPr>
          <w:noProof/>
          <w:lang w:eastAsia="ro-RO"/>
        </w:rPr>
        <w:drawing>
          <wp:inline distT="0" distB="0" distL="114300" distR="114300" wp14:anchorId="22D1F2C6" wp14:editId="6B5B4AFA">
            <wp:extent cx="5200650" cy="4764405"/>
            <wp:effectExtent l="0" t="0" r="0" b="17145"/>
            <wp:docPr id="3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8"/>
                    <pic:cNvPicPr>
                      <a:picLocks noChangeAspect="1"/>
                    </pic:cNvPicPr>
                  </pic:nvPicPr>
                  <pic:blipFill>
                    <a:blip r:embed="rId259"/>
                    <a:srcRect l="12372" r="7220"/>
                    <a:stretch>
                      <a:fillRect/>
                    </a:stretch>
                  </pic:blipFill>
                  <pic:spPr>
                    <a:xfrm>
                      <a:off x="0" y="0"/>
                      <a:ext cx="5200650" cy="4764405"/>
                    </a:xfrm>
                    <a:prstGeom prst="rect">
                      <a:avLst/>
                    </a:prstGeom>
                    <a:noFill/>
                    <a:ln>
                      <a:noFill/>
                    </a:ln>
                  </pic:spPr>
                </pic:pic>
              </a:graphicData>
            </a:graphic>
          </wp:inline>
        </w:drawing>
      </w:r>
    </w:p>
    <w:p w14:paraId="3A77A17A" w14:textId="77777777" w:rsidR="001C08A5" w:rsidRDefault="00000000">
      <w:pPr>
        <w:pStyle w:val="Caption"/>
        <w:jc w:val="center"/>
        <w:rPr>
          <w:rFonts w:cs="Times New Roman"/>
        </w:rPr>
      </w:pPr>
      <w:bookmarkStart w:id="6304" w:name="_Toc24826"/>
      <w:bookmarkStart w:id="6305" w:name="_Toc18492"/>
      <w:bookmarkStart w:id="6306" w:name="_Toc142898515"/>
      <w:bookmarkStart w:id="6307" w:name="_Toc162360327"/>
      <w:r>
        <w:t xml:space="preserve">Figura </w:t>
      </w:r>
      <w:r>
        <w:fldChar w:fldCharType="begin"/>
      </w:r>
      <w:r>
        <w:instrText xml:space="preserve"> SEQ Figura \* ARABIC </w:instrText>
      </w:r>
      <w:r>
        <w:fldChar w:fldCharType="separate"/>
      </w:r>
      <w:r>
        <w:t>103</w:t>
      </w:r>
      <w:r>
        <w:fldChar w:fldCharType="end"/>
      </w:r>
      <w:bookmarkStart w:id="6308" w:name="_Toc19831"/>
      <w:bookmarkStart w:id="6309" w:name="_Toc13466"/>
      <w:bookmarkStart w:id="6310" w:name="_Toc11197"/>
      <w:bookmarkStart w:id="6311" w:name="_Toc16677"/>
      <w:bookmarkStart w:id="6312" w:name="_Toc15726"/>
      <w:bookmarkStart w:id="6313" w:name="_Toc26831"/>
      <w:bookmarkStart w:id="6314" w:name="_Toc16351"/>
      <w:bookmarkStart w:id="6315" w:name="_Toc23790"/>
      <w:bookmarkStart w:id="6316" w:name="_Toc657"/>
      <w:r>
        <w:t xml:space="preserve"> - </w:t>
      </w:r>
      <w:r>
        <w:rPr>
          <w:rFonts w:cs="Times New Roman"/>
        </w:rPr>
        <w:t>Exemple de măsurători H și L</w:t>
      </w:r>
      <w:bookmarkEnd w:id="6304"/>
      <w:bookmarkEnd w:id="6305"/>
      <w:bookmarkEnd w:id="6306"/>
      <w:r>
        <w:rPr>
          <w:rFonts w:cs="Times New Roman"/>
        </w:rPr>
        <w:t xml:space="preserve"> - cazuri particulare</w:t>
      </w:r>
      <w:bookmarkEnd w:id="6307"/>
      <w:bookmarkEnd w:id="6308"/>
      <w:bookmarkEnd w:id="6309"/>
      <w:bookmarkEnd w:id="6310"/>
      <w:bookmarkEnd w:id="6311"/>
      <w:bookmarkEnd w:id="6312"/>
      <w:bookmarkEnd w:id="6313"/>
      <w:bookmarkEnd w:id="6314"/>
      <w:bookmarkEnd w:id="6315"/>
      <w:bookmarkEnd w:id="6316"/>
    </w:p>
    <w:p w14:paraId="1A7A9678" w14:textId="77777777" w:rsidR="001C08A5" w:rsidRDefault="00000000">
      <w:pPr>
        <w:pStyle w:val="BodyText"/>
        <w:rPr>
          <w:iCs/>
          <w:sz w:val="22"/>
          <w:szCs w:val="22"/>
        </w:rPr>
      </w:pPr>
      <w:r>
        <w:rPr>
          <w:rStyle w:val="CommentReference"/>
          <w:b w:val="0"/>
          <w:iCs/>
          <w:sz w:val="22"/>
          <w:szCs w:val="22"/>
        </w:rPr>
        <w:t>Notă Figura 103: toate desenele exemplificative au partea de interior a construcției prevăzută spre stânga.</w:t>
      </w:r>
    </w:p>
    <w:p w14:paraId="6BEB4891" w14:textId="77777777" w:rsidR="001C08A5" w:rsidRDefault="001C08A5">
      <w:pPr>
        <w:pStyle w:val="BodyText"/>
      </w:pPr>
    </w:p>
    <w:p w14:paraId="3C4BCDC0" w14:textId="77777777" w:rsidR="001C08A5" w:rsidRDefault="00000000">
      <w:pPr>
        <w:pStyle w:val="Heading4"/>
        <w:rPr>
          <w:sz w:val="24"/>
          <w:szCs w:val="24"/>
        </w:rPr>
      </w:pPr>
      <w:bookmarkStart w:id="6317" w:name="_Toc27544"/>
      <w:bookmarkStart w:id="6318" w:name="_Toc17145"/>
      <w:bookmarkStart w:id="6319" w:name="_Toc22718"/>
      <w:bookmarkStart w:id="6320" w:name="_Toc21306"/>
      <w:bookmarkStart w:id="6321" w:name="_Toc28944"/>
      <w:bookmarkStart w:id="6322" w:name="_Toc5837"/>
      <w:bookmarkStart w:id="6323" w:name="_Toc11617"/>
      <w:bookmarkStart w:id="6324" w:name="_Toc13314"/>
      <w:bookmarkStart w:id="6325" w:name="_Toc24613"/>
      <w:bookmarkStart w:id="6326" w:name="_Toc24464"/>
      <w:bookmarkStart w:id="6327" w:name="_Toc24848"/>
      <w:bookmarkStart w:id="6328" w:name="_Toc32021"/>
      <w:bookmarkStart w:id="6329" w:name="_Toc162355401"/>
      <w:bookmarkStart w:id="6330" w:name="_Toc31873"/>
      <w:bookmarkStart w:id="6331" w:name="_Toc22479"/>
      <w:bookmarkStart w:id="6332" w:name="_Toc15925"/>
      <w:bookmarkStart w:id="6333" w:name="_Toc30284"/>
      <w:r>
        <w:rPr>
          <w:sz w:val="24"/>
          <w:szCs w:val="24"/>
        </w:rPr>
        <w:t>Ferestre și uși de balcoane/ terasă</w:t>
      </w:r>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p>
    <w:p w14:paraId="432107F4" w14:textId="77777777" w:rsidR="001C08A5" w:rsidRDefault="001C08A5"/>
    <w:p w14:paraId="653B073C" w14:textId="77777777" w:rsidR="001C08A5" w:rsidRDefault="00000000">
      <w:pPr>
        <w:numPr>
          <w:ilvl w:val="0"/>
          <w:numId w:val="96"/>
        </w:numPr>
        <w:tabs>
          <w:tab w:val="left" w:pos="426"/>
          <w:tab w:val="left" w:pos="993"/>
        </w:tabs>
        <w:jc w:val="both"/>
        <w:rPr>
          <w:bCs/>
          <w:sz w:val="24"/>
        </w:rPr>
      </w:pPr>
      <w:r>
        <w:rPr>
          <w:bCs/>
          <w:i/>
          <w:sz w:val="24"/>
        </w:rPr>
        <w:t xml:space="preserve">Părțile care se deschid (uși, ferestre, sau echivalent) și nu au aceeași clasificare de rezistență / etanșeitate la foc ca pentru zonele continui care se pot însuma pentru soluția constructivă </w:t>
      </w:r>
      <w:r>
        <w:rPr>
          <w:b/>
          <w:i/>
          <w:sz w:val="24"/>
        </w:rPr>
        <w:t>H + L</w:t>
      </w:r>
      <w:r>
        <w:rPr>
          <w:bCs/>
          <w:i/>
          <w:sz w:val="24"/>
        </w:rPr>
        <w:t xml:space="preserve"> (în general de </w:t>
      </w:r>
      <w:r>
        <w:rPr>
          <w:b/>
          <w:i/>
          <w:sz w:val="24"/>
        </w:rPr>
        <w:t>1,20</w:t>
      </w:r>
      <w:r>
        <w:rPr>
          <w:bCs/>
          <w:i/>
          <w:sz w:val="24"/>
        </w:rPr>
        <w:t xml:space="preserve"> m ale elementelor de copertină/ terasă), nu sunt luate în considerare la măsurarea indicelui </w:t>
      </w:r>
      <w:r>
        <w:rPr>
          <w:b/>
          <w:i/>
          <w:sz w:val="24"/>
        </w:rPr>
        <w:t>H</w:t>
      </w:r>
      <w:r>
        <w:rPr>
          <w:bCs/>
          <w:i/>
          <w:sz w:val="24"/>
        </w:rPr>
        <w:t>.</w:t>
      </w:r>
    </w:p>
    <w:p w14:paraId="249182B5" w14:textId="77777777" w:rsidR="001C08A5" w:rsidRDefault="001C08A5">
      <w:pPr>
        <w:numPr>
          <w:ilvl w:val="255"/>
          <w:numId w:val="0"/>
        </w:numPr>
        <w:tabs>
          <w:tab w:val="left" w:pos="426"/>
          <w:tab w:val="left" w:pos="993"/>
        </w:tabs>
        <w:jc w:val="both"/>
        <w:rPr>
          <w:bCs/>
          <w:sz w:val="24"/>
        </w:rPr>
      </w:pPr>
    </w:p>
    <w:p w14:paraId="7D502188" w14:textId="77777777" w:rsidR="001C08A5" w:rsidRDefault="00000000">
      <w:pPr>
        <w:numPr>
          <w:ilvl w:val="0"/>
          <w:numId w:val="96"/>
        </w:numPr>
        <w:tabs>
          <w:tab w:val="left" w:pos="426"/>
          <w:tab w:val="left" w:pos="993"/>
        </w:tabs>
        <w:jc w:val="both"/>
        <w:rPr>
          <w:bCs/>
          <w:sz w:val="24"/>
        </w:rPr>
      </w:pPr>
      <w:r>
        <w:rPr>
          <w:bCs/>
          <w:i/>
          <w:sz w:val="24"/>
        </w:rPr>
        <w:t>Balcoanele sau consolele, amplasate în fața unei deschideri și care îndeplinesc cerințele de rezistență (</w:t>
      </w:r>
      <w:r>
        <w:rPr>
          <w:b/>
          <w:i/>
          <w:sz w:val="24"/>
        </w:rPr>
        <w:t>R</w:t>
      </w:r>
      <w:r>
        <w:rPr>
          <w:bCs/>
          <w:i/>
          <w:sz w:val="24"/>
        </w:rPr>
        <w:t xml:space="preserve">) și reacție la foc conform prevederilor normativului sunt luate în considerare la măsurarea indicelui </w:t>
      </w:r>
      <w:r>
        <w:rPr>
          <w:b/>
          <w:i/>
          <w:sz w:val="24"/>
        </w:rPr>
        <w:t>L</w:t>
      </w:r>
      <w:r>
        <w:rPr>
          <w:bCs/>
          <w:i/>
          <w:sz w:val="24"/>
        </w:rPr>
        <w:t xml:space="preserve">. </w:t>
      </w:r>
    </w:p>
    <w:p w14:paraId="06235F10" w14:textId="77777777" w:rsidR="001C08A5" w:rsidRDefault="001C08A5">
      <w:pPr>
        <w:numPr>
          <w:ilvl w:val="255"/>
          <w:numId w:val="0"/>
        </w:numPr>
        <w:tabs>
          <w:tab w:val="left" w:pos="426"/>
          <w:tab w:val="left" w:pos="993"/>
        </w:tabs>
        <w:jc w:val="both"/>
        <w:rPr>
          <w:bCs/>
          <w:sz w:val="24"/>
        </w:rPr>
      </w:pPr>
    </w:p>
    <w:p w14:paraId="160297A5" w14:textId="77777777" w:rsidR="001C08A5" w:rsidRDefault="00000000">
      <w:pPr>
        <w:numPr>
          <w:ilvl w:val="0"/>
          <w:numId w:val="96"/>
        </w:numPr>
        <w:tabs>
          <w:tab w:val="left" w:pos="426"/>
          <w:tab w:val="left" w:pos="993"/>
        </w:tabs>
        <w:jc w:val="both"/>
      </w:pPr>
      <w:r>
        <w:rPr>
          <w:bCs/>
          <w:i/>
          <w:sz w:val="24"/>
        </w:rPr>
        <w:t>"L" reprezintă cea mai scurtă distanță a balconului/ consolei, măsurată perpendicular pe fațadă.</w:t>
      </w:r>
      <w:bookmarkStart w:id="6334" w:name="_Toc8053"/>
      <w:bookmarkStart w:id="6335" w:name="_Toc6784"/>
    </w:p>
    <w:p w14:paraId="7C805C92" w14:textId="77777777" w:rsidR="001C08A5" w:rsidRDefault="00000000">
      <w:pPr>
        <w:pStyle w:val="Heading5"/>
        <w:rPr>
          <w:sz w:val="24"/>
          <w:szCs w:val="24"/>
        </w:rPr>
      </w:pPr>
      <w:bookmarkStart w:id="6336" w:name="_Toc22706"/>
      <w:bookmarkStart w:id="6337" w:name="_Toc17759"/>
      <w:bookmarkStart w:id="6338" w:name="_Toc162355402"/>
      <w:bookmarkStart w:id="6339" w:name="_Toc8126"/>
      <w:bookmarkStart w:id="6340" w:name="_Toc21173"/>
      <w:bookmarkStart w:id="6341" w:name="_Toc142898516"/>
      <w:bookmarkStart w:id="6342" w:name="_Toc22335"/>
      <w:r>
        <w:rPr>
          <w:sz w:val="24"/>
          <w:szCs w:val="24"/>
        </w:rPr>
        <w:lastRenderedPageBreak/>
        <w:t>Tipuri de balcoane</w:t>
      </w:r>
      <w:bookmarkEnd w:id="6334"/>
      <w:bookmarkEnd w:id="6335"/>
      <w:bookmarkEnd w:id="6336"/>
      <w:bookmarkEnd w:id="6337"/>
      <w:bookmarkEnd w:id="6338"/>
      <w:bookmarkEnd w:id="6339"/>
      <w:bookmarkEnd w:id="6340"/>
      <w:bookmarkEnd w:id="6341"/>
      <w:bookmarkEnd w:id="6342"/>
    </w:p>
    <w:p w14:paraId="636C3FC1" w14:textId="77777777" w:rsidR="001C08A5" w:rsidRDefault="00000000">
      <w:pPr>
        <w:jc w:val="center"/>
        <w:rPr>
          <w:i/>
          <w:sz w:val="24"/>
          <w:szCs w:val="24"/>
        </w:rPr>
      </w:pPr>
      <w:r>
        <w:rPr>
          <w:i/>
          <w:noProof/>
          <w:sz w:val="24"/>
          <w:szCs w:val="24"/>
          <w:lang w:eastAsia="ro-RO"/>
        </w:rPr>
        <w:drawing>
          <wp:inline distT="0" distB="0" distL="114300" distR="114300" wp14:anchorId="285849BD" wp14:editId="5E11A74F">
            <wp:extent cx="6030595" cy="1165860"/>
            <wp:effectExtent l="0" t="0" r="8255" b="15240"/>
            <wp:docPr id="31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59"/>
                    <pic:cNvPicPr>
                      <a:picLocks noChangeAspect="1"/>
                    </pic:cNvPicPr>
                  </pic:nvPicPr>
                  <pic:blipFill>
                    <a:blip r:embed="rId260"/>
                    <a:srcRect l="12619" t="6120" r="7487" b="70805"/>
                    <a:stretch>
                      <a:fillRect/>
                    </a:stretch>
                  </pic:blipFill>
                  <pic:spPr>
                    <a:xfrm>
                      <a:off x="0" y="0"/>
                      <a:ext cx="6030595" cy="1165860"/>
                    </a:xfrm>
                    <a:prstGeom prst="rect">
                      <a:avLst/>
                    </a:prstGeom>
                    <a:noFill/>
                    <a:ln>
                      <a:noFill/>
                    </a:ln>
                  </pic:spPr>
                </pic:pic>
              </a:graphicData>
            </a:graphic>
          </wp:inline>
        </w:drawing>
      </w:r>
    </w:p>
    <w:p w14:paraId="4AD6AC8C" w14:textId="77777777" w:rsidR="001C08A5" w:rsidRDefault="001C08A5">
      <w:pPr>
        <w:jc w:val="center"/>
        <w:rPr>
          <w:i/>
          <w:sz w:val="24"/>
          <w:szCs w:val="24"/>
        </w:rPr>
      </w:pPr>
    </w:p>
    <w:p w14:paraId="28A6641B" w14:textId="77777777" w:rsidR="001C08A5" w:rsidRDefault="00000000">
      <w:pPr>
        <w:jc w:val="center"/>
        <w:rPr>
          <w:lang w:eastAsia="ro-RO"/>
        </w:rPr>
      </w:pPr>
      <w:r>
        <w:rPr>
          <w:noProof/>
          <w:lang w:eastAsia="ro-RO"/>
        </w:rPr>
        <w:drawing>
          <wp:inline distT="0" distB="0" distL="114300" distR="114300" wp14:anchorId="664C5EC2" wp14:editId="1ADC293F">
            <wp:extent cx="6030595" cy="980440"/>
            <wp:effectExtent l="0" t="0" r="8255" b="10160"/>
            <wp:docPr id="3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59"/>
                    <pic:cNvPicPr>
                      <a:picLocks noChangeAspect="1"/>
                    </pic:cNvPicPr>
                  </pic:nvPicPr>
                  <pic:blipFill>
                    <a:blip r:embed="rId260"/>
                    <a:srcRect l="12619" t="56203" r="7487" b="24394"/>
                    <a:stretch>
                      <a:fillRect/>
                    </a:stretch>
                  </pic:blipFill>
                  <pic:spPr>
                    <a:xfrm>
                      <a:off x="0" y="0"/>
                      <a:ext cx="6030595" cy="980440"/>
                    </a:xfrm>
                    <a:prstGeom prst="rect">
                      <a:avLst/>
                    </a:prstGeom>
                    <a:noFill/>
                    <a:ln>
                      <a:noFill/>
                    </a:ln>
                  </pic:spPr>
                </pic:pic>
              </a:graphicData>
            </a:graphic>
          </wp:inline>
        </w:drawing>
      </w:r>
    </w:p>
    <w:p w14:paraId="125B3335" w14:textId="77777777" w:rsidR="001C08A5" w:rsidRDefault="00000000">
      <w:pPr>
        <w:pStyle w:val="Caption"/>
        <w:jc w:val="center"/>
        <w:rPr>
          <w:bCs/>
          <w:lang w:val="en-US" w:eastAsia="ro-RO"/>
        </w:rPr>
      </w:pPr>
      <w:bookmarkStart w:id="6343" w:name="_Toc162360328"/>
      <w:r>
        <w:t xml:space="preserve">Figura </w:t>
      </w:r>
      <w:r>
        <w:fldChar w:fldCharType="begin"/>
      </w:r>
      <w:r>
        <w:instrText xml:space="preserve"> SEQ Figura \* ARABIC </w:instrText>
      </w:r>
      <w:r>
        <w:fldChar w:fldCharType="separate"/>
      </w:r>
      <w:r>
        <w:t>104</w:t>
      </w:r>
      <w:r>
        <w:fldChar w:fldCharType="end"/>
      </w:r>
      <w:bookmarkStart w:id="6344" w:name="_Toc6959"/>
      <w:bookmarkStart w:id="6345" w:name="_Toc1552"/>
      <w:bookmarkStart w:id="6346" w:name="_Toc5556"/>
      <w:bookmarkStart w:id="6347" w:name="_Toc25098"/>
      <w:bookmarkStart w:id="6348" w:name="_Toc15383"/>
      <w:bookmarkStart w:id="6349" w:name="_Toc6089"/>
      <w:bookmarkStart w:id="6350" w:name="_Toc29097"/>
      <w:bookmarkStart w:id="6351" w:name="_Toc18491"/>
      <w:r>
        <w:t xml:space="preserve"> - </w:t>
      </w:r>
      <w:r>
        <w:rPr>
          <w:bCs/>
          <w:lang w:val="en-US" w:eastAsia="ro-RO"/>
        </w:rPr>
        <w:t>Tipuri de balcoane</w:t>
      </w:r>
      <w:bookmarkEnd w:id="6343"/>
      <w:bookmarkEnd w:id="6344"/>
      <w:bookmarkEnd w:id="6345"/>
      <w:bookmarkEnd w:id="6346"/>
      <w:bookmarkEnd w:id="6347"/>
      <w:bookmarkEnd w:id="6348"/>
      <w:bookmarkEnd w:id="6349"/>
      <w:bookmarkEnd w:id="6350"/>
      <w:bookmarkEnd w:id="6351"/>
    </w:p>
    <w:p w14:paraId="4FC83219" w14:textId="77777777" w:rsidR="001C08A5" w:rsidRDefault="00000000">
      <w:pPr>
        <w:jc w:val="center"/>
        <w:rPr>
          <w:lang w:eastAsia="ro-RO"/>
        </w:rPr>
      </w:pPr>
      <w:r>
        <w:rPr>
          <w:i/>
          <w:noProof/>
          <w:sz w:val="24"/>
          <w:szCs w:val="24"/>
          <w:lang w:eastAsia="ro-RO"/>
        </w:rPr>
        <w:drawing>
          <wp:inline distT="0" distB="0" distL="114300" distR="114300" wp14:anchorId="0B271787" wp14:editId="75BE4E03">
            <wp:extent cx="6060440" cy="1173480"/>
            <wp:effectExtent l="0" t="0" r="16510" b="7620"/>
            <wp:docPr id="13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61"/>
                    <pic:cNvPicPr>
                      <a:picLocks noChangeAspect="1"/>
                    </pic:cNvPicPr>
                  </pic:nvPicPr>
                  <pic:blipFill>
                    <a:blip r:embed="rId261"/>
                    <a:srcRect l="12383" t="8244" r="7327" b="68531"/>
                    <a:stretch>
                      <a:fillRect/>
                    </a:stretch>
                  </pic:blipFill>
                  <pic:spPr>
                    <a:xfrm>
                      <a:off x="0" y="0"/>
                      <a:ext cx="6060440" cy="117348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6"/>
        <w:gridCol w:w="3209"/>
        <w:gridCol w:w="3224"/>
      </w:tblGrid>
      <w:tr w:rsidR="001C08A5" w14:paraId="5C9FC1BB" w14:textId="77777777">
        <w:tc>
          <w:tcPr>
            <w:tcW w:w="3285" w:type="dxa"/>
          </w:tcPr>
          <w:p w14:paraId="4E36CB9D" w14:textId="77777777" w:rsidR="001C08A5" w:rsidRDefault="00000000">
            <w:pPr>
              <w:jc w:val="center"/>
              <w:rPr>
                <w:b/>
                <w:bCs/>
                <w:i/>
                <w:sz w:val="24"/>
                <w:szCs w:val="24"/>
              </w:rPr>
            </w:pPr>
            <w:r>
              <w:rPr>
                <w:rFonts w:eastAsia="Times New Roman"/>
                <w:b/>
                <w:bCs/>
                <w:i/>
                <w:sz w:val="24"/>
                <w:szCs w:val="24"/>
              </w:rPr>
              <w:t>Varianta a1) L1+H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 m</w:t>
            </w:r>
          </w:p>
        </w:tc>
        <w:tc>
          <w:tcPr>
            <w:tcW w:w="3285" w:type="dxa"/>
          </w:tcPr>
          <w:p w14:paraId="272E1A68" w14:textId="77777777" w:rsidR="001C08A5" w:rsidRDefault="00000000">
            <w:pPr>
              <w:jc w:val="center"/>
              <w:rPr>
                <w:b/>
                <w:bCs/>
                <w:i/>
                <w:sz w:val="24"/>
                <w:szCs w:val="24"/>
              </w:rPr>
            </w:pPr>
            <w:r>
              <w:rPr>
                <w:rFonts w:eastAsia="Times New Roman"/>
                <w:b/>
                <w:bCs/>
                <w:i/>
                <w:sz w:val="24"/>
                <w:szCs w:val="24"/>
              </w:rPr>
              <w:t>Varianta a2) L1+L2+H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 m</w:t>
            </w:r>
          </w:p>
        </w:tc>
        <w:tc>
          <w:tcPr>
            <w:tcW w:w="3285" w:type="dxa"/>
          </w:tcPr>
          <w:p w14:paraId="2EB7CF7D" w14:textId="77777777" w:rsidR="001C08A5" w:rsidRDefault="00000000">
            <w:pPr>
              <w:jc w:val="center"/>
              <w:rPr>
                <w:b/>
                <w:bCs/>
                <w:i/>
                <w:sz w:val="24"/>
                <w:szCs w:val="24"/>
              </w:rPr>
            </w:pPr>
            <w:r>
              <w:rPr>
                <w:rFonts w:eastAsia="Times New Roman"/>
                <w:b/>
                <w:bCs/>
                <w:i/>
                <w:sz w:val="24"/>
                <w:szCs w:val="24"/>
              </w:rPr>
              <w:t>Varianta a3) L1+L2+L3+H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 m</w:t>
            </w:r>
          </w:p>
        </w:tc>
      </w:tr>
    </w:tbl>
    <w:p w14:paraId="77D7FC2C" w14:textId="77777777" w:rsidR="001C08A5" w:rsidRDefault="001C08A5">
      <w:pPr>
        <w:jc w:val="both"/>
        <w:rPr>
          <w:i/>
          <w:sz w:val="24"/>
          <w:szCs w:val="24"/>
        </w:rPr>
      </w:pPr>
    </w:p>
    <w:p w14:paraId="33F20AA3" w14:textId="77777777" w:rsidR="001C08A5" w:rsidRDefault="00000000">
      <w:pPr>
        <w:jc w:val="center"/>
        <w:rPr>
          <w:i/>
          <w:sz w:val="24"/>
          <w:szCs w:val="24"/>
        </w:rPr>
      </w:pPr>
      <w:r>
        <w:rPr>
          <w:i/>
          <w:noProof/>
          <w:sz w:val="24"/>
          <w:szCs w:val="24"/>
          <w:lang w:eastAsia="ro-RO"/>
        </w:rPr>
        <w:drawing>
          <wp:inline distT="0" distB="0" distL="114300" distR="114300" wp14:anchorId="20C3BD3B" wp14:editId="103F48E4">
            <wp:extent cx="6060440" cy="1267460"/>
            <wp:effectExtent l="0" t="0" r="16510" b="8890"/>
            <wp:docPr id="14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61"/>
                    <pic:cNvPicPr>
                      <a:picLocks noChangeAspect="1"/>
                    </pic:cNvPicPr>
                  </pic:nvPicPr>
                  <pic:blipFill>
                    <a:blip r:embed="rId261"/>
                    <a:srcRect l="12383" t="59143" r="7327" b="15772"/>
                    <a:stretch>
                      <a:fillRect/>
                    </a:stretch>
                  </pic:blipFill>
                  <pic:spPr>
                    <a:xfrm>
                      <a:off x="0" y="0"/>
                      <a:ext cx="6060440" cy="126746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11A36F2E" w14:textId="77777777">
        <w:tc>
          <w:tcPr>
            <w:tcW w:w="4927" w:type="dxa"/>
          </w:tcPr>
          <w:p w14:paraId="678EE35B" w14:textId="77777777" w:rsidR="001C08A5" w:rsidRDefault="00000000">
            <w:pPr>
              <w:rPr>
                <w:b/>
                <w:bCs/>
                <w:i/>
                <w:sz w:val="24"/>
                <w:szCs w:val="24"/>
              </w:rPr>
            </w:pPr>
            <w:r>
              <w:rPr>
                <w:rFonts w:eastAsia="Times New Roman"/>
                <w:b/>
                <w:bCs/>
                <w:i/>
                <w:sz w:val="24"/>
                <w:szCs w:val="24"/>
              </w:rPr>
              <w:t xml:space="preserve">Varianta a4) dacă L și L3 </w:t>
            </w:r>
            <w:r>
              <w:rPr>
                <w:rFonts w:ascii="Symbol" w:eastAsia="Times New Roman" w:hAnsi="Symbol" w:cs="Symbol"/>
                <w:b/>
                <w:bCs/>
                <w:i/>
                <w:sz w:val="24"/>
                <w:szCs w:val="24"/>
              </w:rPr>
              <w:t></w:t>
            </w:r>
            <w:r>
              <w:rPr>
                <w:rFonts w:ascii="Symbol" w:eastAsia="Times New Roman" w:hAnsi="Symbol" w:cs="Symbol"/>
                <w:b/>
                <w:bCs/>
                <w:i/>
                <w:sz w:val="24"/>
                <w:szCs w:val="24"/>
              </w:rPr>
              <w:t></w:t>
            </w:r>
            <w:r>
              <w:rPr>
                <w:rFonts w:eastAsia="Times New Roman"/>
                <w:b/>
                <w:bCs/>
                <w:i/>
                <w:sz w:val="24"/>
                <w:szCs w:val="24"/>
              </w:rPr>
              <w:t>1,20 m, indicele H nu se normează</w:t>
            </w:r>
          </w:p>
        </w:tc>
        <w:tc>
          <w:tcPr>
            <w:tcW w:w="4928" w:type="dxa"/>
          </w:tcPr>
          <w:p w14:paraId="6FB51995" w14:textId="77777777" w:rsidR="001C08A5" w:rsidRDefault="00000000">
            <w:pPr>
              <w:rPr>
                <w:b/>
                <w:bCs/>
                <w:i/>
                <w:sz w:val="24"/>
                <w:szCs w:val="24"/>
              </w:rPr>
            </w:pPr>
            <w:r>
              <w:rPr>
                <w:rFonts w:eastAsia="Times New Roman"/>
                <w:b/>
                <w:bCs/>
                <w:i/>
                <w:sz w:val="24"/>
                <w:szCs w:val="24"/>
              </w:rPr>
              <w:t xml:space="preserve">Varianta a5) dacă L și L3 </w:t>
            </w:r>
            <w:r>
              <w:rPr>
                <w:rFonts w:ascii="Symbol" w:eastAsia="Times New Roman" w:hAnsi="Symbol" w:cs="Symbol"/>
                <w:b/>
                <w:bCs/>
                <w:i/>
                <w:sz w:val="24"/>
                <w:szCs w:val="24"/>
              </w:rPr>
              <w:t></w:t>
            </w:r>
            <w:r>
              <w:rPr>
                <w:rFonts w:ascii="Symbol" w:eastAsia="Times New Roman" w:hAnsi="Symbol" w:cs="Symbol"/>
                <w:b/>
                <w:bCs/>
                <w:i/>
                <w:sz w:val="24"/>
                <w:szCs w:val="24"/>
              </w:rPr>
              <w:t></w:t>
            </w:r>
            <w:r>
              <w:rPr>
                <w:rFonts w:eastAsia="Times New Roman"/>
                <w:b/>
                <w:bCs/>
                <w:i/>
                <w:sz w:val="24"/>
                <w:szCs w:val="24"/>
              </w:rPr>
              <w:t>1,20 m, indicele H nu se normează</w:t>
            </w:r>
          </w:p>
        </w:tc>
      </w:tr>
    </w:tbl>
    <w:p w14:paraId="45ECE98A" w14:textId="77777777" w:rsidR="001C08A5" w:rsidRDefault="001C08A5">
      <w:pPr>
        <w:jc w:val="both"/>
        <w:rPr>
          <w:i/>
          <w:sz w:val="24"/>
          <w:szCs w:val="24"/>
          <w:lang w:eastAsia="ro-RO"/>
        </w:rPr>
      </w:pPr>
    </w:p>
    <w:p w14:paraId="2CC824F5" w14:textId="77777777" w:rsidR="001C08A5" w:rsidRDefault="00000000">
      <w:pPr>
        <w:jc w:val="center"/>
        <w:rPr>
          <w:i/>
          <w:sz w:val="24"/>
          <w:szCs w:val="24"/>
          <w:lang w:eastAsia="ro-RO"/>
        </w:rPr>
      </w:pPr>
      <w:r>
        <w:rPr>
          <w:i/>
          <w:noProof/>
          <w:sz w:val="24"/>
          <w:szCs w:val="24"/>
          <w:lang w:eastAsia="ro-RO"/>
        </w:rPr>
        <w:drawing>
          <wp:inline distT="0" distB="0" distL="114300" distR="114300" wp14:anchorId="66DC1F1A" wp14:editId="25A22534">
            <wp:extent cx="6059805" cy="958215"/>
            <wp:effectExtent l="0" t="0" r="17145" b="13335"/>
            <wp:docPr id="1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62"/>
                    <pic:cNvPicPr>
                      <a:picLocks noChangeAspect="1"/>
                    </pic:cNvPicPr>
                  </pic:nvPicPr>
                  <pic:blipFill>
                    <a:blip r:embed="rId262"/>
                    <a:srcRect l="12308" t="7779" r="7411" b="73256"/>
                    <a:stretch>
                      <a:fillRect/>
                    </a:stretch>
                  </pic:blipFill>
                  <pic:spPr>
                    <a:xfrm>
                      <a:off x="0" y="0"/>
                      <a:ext cx="6059805" cy="95821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6"/>
        <w:gridCol w:w="3209"/>
        <w:gridCol w:w="3224"/>
      </w:tblGrid>
      <w:tr w:rsidR="001C08A5" w14:paraId="683F3080" w14:textId="77777777">
        <w:tc>
          <w:tcPr>
            <w:tcW w:w="3285" w:type="dxa"/>
          </w:tcPr>
          <w:p w14:paraId="153E8BF8" w14:textId="77777777" w:rsidR="001C08A5" w:rsidRDefault="00000000">
            <w:pPr>
              <w:jc w:val="center"/>
              <w:rPr>
                <w:b/>
                <w:bCs/>
                <w:i/>
                <w:sz w:val="24"/>
                <w:szCs w:val="24"/>
              </w:rPr>
            </w:pPr>
            <w:r>
              <w:rPr>
                <w:rFonts w:eastAsia="Times New Roman"/>
                <w:b/>
                <w:bCs/>
                <w:i/>
                <w:sz w:val="24"/>
                <w:szCs w:val="24"/>
              </w:rPr>
              <w:t>Varianta b1) L1+H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1.20m</w:t>
            </w:r>
          </w:p>
        </w:tc>
        <w:tc>
          <w:tcPr>
            <w:tcW w:w="3285" w:type="dxa"/>
          </w:tcPr>
          <w:p w14:paraId="1B8C6F14" w14:textId="77777777" w:rsidR="001C08A5" w:rsidRDefault="00000000">
            <w:pPr>
              <w:jc w:val="center"/>
              <w:rPr>
                <w:b/>
                <w:bCs/>
                <w:i/>
                <w:sz w:val="24"/>
                <w:szCs w:val="24"/>
              </w:rPr>
            </w:pPr>
            <w:r>
              <w:rPr>
                <w:rFonts w:eastAsia="Times New Roman"/>
                <w:b/>
                <w:bCs/>
                <w:i/>
                <w:sz w:val="24"/>
                <w:szCs w:val="24"/>
              </w:rPr>
              <w:t>Varianta b2) L1+L2+H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 m</w:t>
            </w:r>
          </w:p>
        </w:tc>
        <w:tc>
          <w:tcPr>
            <w:tcW w:w="3285" w:type="dxa"/>
          </w:tcPr>
          <w:p w14:paraId="758E1EC4" w14:textId="77777777" w:rsidR="001C08A5" w:rsidRDefault="00000000">
            <w:pPr>
              <w:jc w:val="center"/>
              <w:rPr>
                <w:b/>
                <w:bCs/>
                <w:i/>
                <w:sz w:val="24"/>
                <w:szCs w:val="24"/>
              </w:rPr>
            </w:pPr>
            <w:r>
              <w:rPr>
                <w:rFonts w:eastAsia="Times New Roman"/>
                <w:b/>
                <w:bCs/>
                <w:i/>
                <w:sz w:val="24"/>
                <w:szCs w:val="24"/>
              </w:rPr>
              <w:t>Varianta b3) L1+L2+L3+H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 m</w:t>
            </w:r>
          </w:p>
        </w:tc>
      </w:tr>
    </w:tbl>
    <w:p w14:paraId="5B347C89" w14:textId="77777777" w:rsidR="001C08A5" w:rsidRDefault="001C08A5">
      <w:pPr>
        <w:jc w:val="center"/>
        <w:rPr>
          <w:i/>
          <w:sz w:val="24"/>
          <w:szCs w:val="24"/>
        </w:rPr>
      </w:pPr>
    </w:p>
    <w:p w14:paraId="079A6C0A" w14:textId="77777777" w:rsidR="001C08A5" w:rsidRDefault="00000000">
      <w:pPr>
        <w:jc w:val="center"/>
        <w:rPr>
          <w:i/>
          <w:sz w:val="24"/>
          <w:szCs w:val="24"/>
        </w:rPr>
      </w:pPr>
      <w:r>
        <w:rPr>
          <w:i/>
          <w:noProof/>
          <w:sz w:val="24"/>
          <w:szCs w:val="24"/>
          <w:lang w:eastAsia="ro-RO"/>
        </w:rPr>
        <w:drawing>
          <wp:inline distT="0" distB="0" distL="114300" distR="114300" wp14:anchorId="5879FFED" wp14:editId="5B5BFE3D">
            <wp:extent cx="6059805" cy="1215390"/>
            <wp:effectExtent l="0" t="0" r="17145" b="3810"/>
            <wp:docPr id="15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62"/>
                    <pic:cNvPicPr>
                      <a:picLocks noChangeAspect="1"/>
                    </pic:cNvPicPr>
                  </pic:nvPicPr>
                  <pic:blipFill>
                    <a:blip r:embed="rId262"/>
                    <a:srcRect l="12308" t="45595" r="7411" b="30351"/>
                    <a:stretch>
                      <a:fillRect/>
                    </a:stretch>
                  </pic:blipFill>
                  <pic:spPr>
                    <a:xfrm>
                      <a:off x="0" y="0"/>
                      <a:ext cx="6059805" cy="121539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0424AB65" w14:textId="77777777">
        <w:tc>
          <w:tcPr>
            <w:tcW w:w="4927" w:type="dxa"/>
          </w:tcPr>
          <w:p w14:paraId="4A2F6E0F" w14:textId="77777777" w:rsidR="001C08A5" w:rsidRDefault="00000000">
            <w:pPr>
              <w:rPr>
                <w:b/>
                <w:bCs/>
                <w:i/>
                <w:sz w:val="24"/>
                <w:szCs w:val="24"/>
              </w:rPr>
            </w:pPr>
            <w:r>
              <w:rPr>
                <w:rFonts w:eastAsia="Times New Roman"/>
                <w:b/>
                <w:bCs/>
                <w:i/>
                <w:sz w:val="24"/>
                <w:szCs w:val="24"/>
              </w:rPr>
              <w:t xml:space="preserve">Varianta b4) dacă L și L3 </w:t>
            </w:r>
            <w:r>
              <w:rPr>
                <w:rFonts w:ascii="Symbol" w:eastAsia="Times New Roman" w:hAnsi="Symbol" w:cs="Symbol"/>
                <w:b/>
                <w:bCs/>
                <w:i/>
                <w:sz w:val="24"/>
                <w:szCs w:val="24"/>
              </w:rPr>
              <w:t></w:t>
            </w:r>
            <w:r>
              <w:rPr>
                <w:rFonts w:ascii="Symbol" w:eastAsia="Times New Roman" w:hAnsi="Symbol" w:cs="Symbol"/>
                <w:b/>
                <w:bCs/>
                <w:i/>
                <w:sz w:val="24"/>
                <w:szCs w:val="24"/>
              </w:rPr>
              <w:t></w:t>
            </w:r>
            <w:r>
              <w:rPr>
                <w:rFonts w:eastAsia="Times New Roman"/>
                <w:b/>
                <w:bCs/>
                <w:i/>
                <w:sz w:val="24"/>
                <w:szCs w:val="24"/>
              </w:rPr>
              <w:t xml:space="preserve">1,20 m, indicele H </w:t>
            </w:r>
            <w:r>
              <w:rPr>
                <w:rFonts w:eastAsia="Times New Roman"/>
                <w:b/>
                <w:bCs/>
                <w:i/>
                <w:sz w:val="24"/>
                <w:szCs w:val="24"/>
              </w:rPr>
              <w:lastRenderedPageBreak/>
              <w:t>nu se normează</w:t>
            </w:r>
          </w:p>
        </w:tc>
        <w:tc>
          <w:tcPr>
            <w:tcW w:w="4928" w:type="dxa"/>
          </w:tcPr>
          <w:p w14:paraId="189E18A8" w14:textId="77777777" w:rsidR="001C08A5" w:rsidRDefault="00000000">
            <w:pPr>
              <w:rPr>
                <w:b/>
                <w:bCs/>
                <w:i/>
                <w:sz w:val="24"/>
                <w:szCs w:val="24"/>
              </w:rPr>
            </w:pPr>
            <w:r>
              <w:rPr>
                <w:rFonts w:eastAsia="Times New Roman"/>
                <w:b/>
                <w:bCs/>
                <w:i/>
                <w:sz w:val="24"/>
                <w:szCs w:val="24"/>
              </w:rPr>
              <w:lastRenderedPageBreak/>
              <w:t xml:space="preserve">Varianta b5) dacă L și L3 </w:t>
            </w:r>
            <w:r>
              <w:rPr>
                <w:rFonts w:ascii="Symbol" w:eastAsia="Times New Roman" w:hAnsi="Symbol" w:cs="Symbol"/>
                <w:b/>
                <w:bCs/>
                <w:i/>
                <w:sz w:val="24"/>
                <w:szCs w:val="24"/>
              </w:rPr>
              <w:t></w:t>
            </w:r>
            <w:r>
              <w:rPr>
                <w:rFonts w:ascii="Symbol" w:eastAsia="Times New Roman" w:hAnsi="Symbol" w:cs="Symbol"/>
                <w:b/>
                <w:bCs/>
                <w:i/>
                <w:sz w:val="24"/>
                <w:szCs w:val="24"/>
              </w:rPr>
              <w:t></w:t>
            </w:r>
            <w:r>
              <w:rPr>
                <w:rFonts w:eastAsia="Times New Roman"/>
                <w:b/>
                <w:bCs/>
                <w:i/>
                <w:sz w:val="24"/>
                <w:szCs w:val="24"/>
              </w:rPr>
              <w:t xml:space="preserve">1,20 m, indicele H </w:t>
            </w:r>
            <w:r>
              <w:rPr>
                <w:rFonts w:eastAsia="Times New Roman"/>
                <w:b/>
                <w:bCs/>
                <w:i/>
                <w:sz w:val="24"/>
                <w:szCs w:val="24"/>
              </w:rPr>
              <w:lastRenderedPageBreak/>
              <w:t>nu se normează</w:t>
            </w:r>
          </w:p>
        </w:tc>
      </w:tr>
    </w:tbl>
    <w:p w14:paraId="0DCFE450" w14:textId="77777777" w:rsidR="001C08A5" w:rsidRDefault="001C08A5">
      <w:pPr>
        <w:jc w:val="center"/>
        <w:rPr>
          <w:i/>
          <w:sz w:val="24"/>
          <w:szCs w:val="24"/>
        </w:rPr>
      </w:pPr>
    </w:p>
    <w:p w14:paraId="7B768163" w14:textId="77777777" w:rsidR="001C08A5" w:rsidRDefault="00000000">
      <w:pPr>
        <w:jc w:val="center"/>
        <w:rPr>
          <w:i/>
          <w:sz w:val="24"/>
          <w:szCs w:val="24"/>
          <w:lang w:eastAsia="ro-RO"/>
        </w:rPr>
      </w:pPr>
      <w:r>
        <w:rPr>
          <w:i/>
          <w:noProof/>
          <w:sz w:val="24"/>
          <w:szCs w:val="24"/>
          <w:lang w:eastAsia="ro-RO"/>
        </w:rPr>
        <w:drawing>
          <wp:inline distT="0" distB="0" distL="114300" distR="114300" wp14:anchorId="73354D83" wp14:editId="5EEB953F">
            <wp:extent cx="6054090" cy="928370"/>
            <wp:effectExtent l="0" t="0" r="3810" b="5080"/>
            <wp:docPr id="15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63"/>
                    <pic:cNvPicPr>
                      <a:picLocks noChangeAspect="1"/>
                    </pic:cNvPicPr>
                  </pic:nvPicPr>
                  <pic:blipFill>
                    <a:blip r:embed="rId263"/>
                    <a:srcRect l="12459" t="13083" r="7336" b="68543"/>
                    <a:stretch>
                      <a:fillRect/>
                    </a:stretch>
                  </pic:blipFill>
                  <pic:spPr>
                    <a:xfrm>
                      <a:off x="0" y="0"/>
                      <a:ext cx="6054090" cy="92837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6"/>
        <w:gridCol w:w="3209"/>
        <w:gridCol w:w="3224"/>
      </w:tblGrid>
      <w:tr w:rsidR="001C08A5" w14:paraId="4B46B3DD" w14:textId="77777777">
        <w:tc>
          <w:tcPr>
            <w:tcW w:w="3285" w:type="dxa"/>
          </w:tcPr>
          <w:p w14:paraId="0C4EB93D" w14:textId="77777777" w:rsidR="001C08A5" w:rsidRDefault="00000000">
            <w:pPr>
              <w:jc w:val="center"/>
              <w:rPr>
                <w:b/>
                <w:bCs/>
                <w:i/>
                <w:sz w:val="24"/>
                <w:szCs w:val="24"/>
              </w:rPr>
            </w:pPr>
            <w:r>
              <w:rPr>
                <w:rFonts w:eastAsia="Times New Roman"/>
                <w:b/>
                <w:bCs/>
                <w:i/>
                <w:sz w:val="24"/>
                <w:szCs w:val="24"/>
              </w:rPr>
              <w:t>Varianta c1) L1+H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1.20m</w:t>
            </w:r>
          </w:p>
        </w:tc>
        <w:tc>
          <w:tcPr>
            <w:tcW w:w="3285" w:type="dxa"/>
          </w:tcPr>
          <w:p w14:paraId="43251FD1" w14:textId="77777777" w:rsidR="001C08A5" w:rsidRDefault="00000000">
            <w:pPr>
              <w:jc w:val="center"/>
              <w:rPr>
                <w:b/>
                <w:bCs/>
                <w:i/>
                <w:sz w:val="24"/>
                <w:szCs w:val="24"/>
              </w:rPr>
            </w:pPr>
            <w:r>
              <w:rPr>
                <w:rFonts w:eastAsia="Times New Roman"/>
                <w:b/>
                <w:bCs/>
                <w:i/>
                <w:sz w:val="24"/>
                <w:szCs w:val="24"/>
              </w:rPr>
              <w:t>Varianta c2) L1+L2+H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 m</w:t>
            </w:r>
          </w:p>
        </w:tc>
        <w:tc>
          <w:tcPr>
            <w:tcW w:w="3285" w:type="dxa"/>
          </w:tcPr>
          <w:p w14:paraId="024279C9" w14:textId="77777777" w:rsidR="001C08A5" w:rsidRDefault="00000000">
            <w:pPr>
              <w:jc w:val="center"/>
              <w:rPr>
                <w:b/>
                <w:bCs/>
                <w:i/>
                <w:sz w:val="24"/>
                <w:szCs w:val="24"/>
              </w:rPr>
            </w:pPr>
            <w:r>
              <w:rPr>
                <w:rFonts w:eastAsia="Times New Roman"/>
                <w:b/>
                <w:bCs/>
                <w:i/>
                <w:sz w:val="24"/>
                <w:szCs w:val="24"/>
              </w:rPr>
              <w:t>Varianta c3) L1+L2+L3+H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 m</w:t>
            </w:r>
          </w:p>
        </w:tc>
      </w:tr>
    </w:tbl>
    <w:p w14:paraId="726F06B1" w14:textId="77777777" w:rsidR="001C08A5" w:rsidRDefault="00000000">
      <w:pPr>
        <w:jc w:val="center"/>
        <w:rPr>
          <w:i/>
          <w:sz w:val="24"/>
          <w:szCs w:val="24"/>
        </w:rPr>
      </w:pPr>
      <w:r>
        <w:rPr>
          <w:i/>
          <w:noProof/>
          <w:sz w:val="24"/>
          <w:szCs w:val="24"/>
          <w:lang w:eastAsia="ro-RO"/>
        </w:rPr>
        <w:drawing>
          <wp:inline distT="0" distB="0" distL="114300" distR="114300" wp14:anchorId="0EC97911" wp14:editId="62363938">
            <wp:extent cx="6054090" cy="1517650"/>
            <wp:effectExtent l="0" t="0" r="3810" b="6350"/>
            <wp:docPr id="15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63"/>
                    <pic:cNvPicPr>
                      <a:picLocks noChangeAspect="1"/>
                    </pic:cNvPicPr>
                  </pic:nvPicPr>
                  <pic:blipFill>
                    <a:blip r:embed="rId263"/>
                    <a:srcRect l="12459" t="43245" r="7336" b="26718"/>
                    <a:stretch>
                      <a:fillRect/>
                    </a:stretch>
                  </pic:blipFill>
                  <pic:spPr>
                    <a:xfrm>
                      <a:off x="0" y="0"/>
                      <a:ext cx="6054090" cy="151765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1C9B97E2" w14:textId="77777777">
        <w:tc>
          <w:tcPr>
            <w:tcW w:w="4927" w:type="dxa"/>
          </w:tcPr>
          <w:p w14:paraId="2860AA3D" w14:textId="77777777" w:rsidR="001C08A5" w:rsidRDefault="00000000">
            <w:pPr>
              <w:rPr>
                <w:b/>
                <w:bCs/>
                <w:i/>
                <w:sz w:val="24"/>
                <w:szCs w:val="24"/>
              </w:rPr>
            </w:pPr>
            <w:r>
              <w:rPr>
                <w:rFonts w:eastAsia="Times New Roman"/>
                <w:b/>
                <w:bCs/>
                <w:i/>
                <w:sz w:val="24"/>
                <w:szCs w:val="24"/>
              </w:rPr>
              <w:t xml:space="preserve">Varianta c4) dacă L și L3 </w:t>
            </w:r>
            <w:r>
              <w:rPr>
                <w:rFonts w:ascii="Symbol" w:eastAsia="Times New Roman" w:hAnsi="Symbol" w:cs="Symbol"/>
                <w:b/>
                <w:bCs/>
                <w:i/>
                <w:sz w:val="24"/>
                <w:szCs w:val="24"/>
              </w:rPr>
              <w:t></w:t>
            </w:r>
            <w:r>
              <w:rPr>
                <w:rFonts w:ascii="Symbol" w:eastAsia="Times New Roman" w:hAnsi="Symbol" w:cs="Symbol"/>
                <w:b/>
                <w:bCs/>
                <w:i/>
                <w:sz w:val="24"/>
                <w:szCs w:val="24"/>
              </w:rPr>
              <w:t></w:t>
            </w:r>
            <w:r>
              <w:rPr>
                <w:rFonts w:eastAsia="Times New Roman"/>
                <w:b/>
                <w:bCs/>
                <w:i/>
                <w:sz w:val="24"/>
                <w:szCs w:val="24"/>
              </w:rPr>
              <w:t>1,20 m, indicele H nu se normează</w:t>
            </w:r>
          </w:p>
        </w:tc>
        <w:tc>
          <w:tcPr>
            <w:tcW w:w="4928" w:type="dxa"/>
          </w:tcPr>
          <w:p w14:paraId="1F6FBC68" w14:textId="77777777" w:rsidR="001C08A5" w:rsidRDefault="00000000">
            <w:pPr>
              <w:rPr>
                <w:b/>
                <w:bCs/>
                <w:i/>
                <w:sz w:val="24"/>
                <w:szCs w:val="24"/>
              </w:rPr>
            </w:pPr>
            <w:r>
              <w:rPr>
                <w:rFonts w:eastAsia="Times New Roman"/>
                <w:b/>
                <w:bCs/>
                <w:i/>
                <w:sz w:val="24"/>
                <w:szCs w:val="24"/>
              </w:rPr>
              <w:t xml:space="preserve">Varianta c5) dacă L și L3 </w:t>
            </w:r>
            <w:r>
              <w:rPr>
                <w:rFonts w:ascii="Symbol" w:eastAsia="Times New Roman" w:hAnsi="Symbol" w:cs="Symbol"/>
                <w:b/>
                <w:bCs/>
                <w:i/>
                <w:sz w:val="24"/>
                <w:szCs w:val="24"/>
              </w:rPr>
              <w:t></w:t>
            </w:r>
            <w:r>
              <w:rPr>
                <w:rFonts w:ascii="Symbol" w:eastAsia="Times New Roman" w:hAnsi="Symbol" w:cs="Symbol"/>
                <w:b/>
                <w:bCs/>
                <w:i/>
                <w:sz w:val="24"/>
                <w:szCs w:val="24"/>
              </w:rPr>
              <w:t></w:t>
            </w:r>
            <w:r>
              <w:rPr>
                <w:rFonts w:eastAsia="Times New Roman"/>
                <w:b/>
                <w:bCs/>
                <w:i/>
                <w:sz w:val="24"/>
                <w:szCs w:val="24"/>
              </w:rPr>
              <w:t>1,20 m, indicele H nu se normează</w:t>
            </w:r>
          </w:p>
        </w:tc>
      </w:tr>
    </w:tbl>
    <w:p w14:paraId="181E7220" w14:textId="77777777" w:rsidR="001C08A5" w:rsidRDefault="001C08A5">
      <w:pPr>
        <w:jc w:val="both"/>
        <w:rPr>
          <w:i/>
          <w:sz w:val="24"/>
          <w:szCs w:val="24"/>
          <w:lang w:eastAsia="ro-RO"/>
        </w:rPr>
      </w:pPr>
    </w:p>
    <w:p w14:paraId="630CF1DE" w14:textId="77777777" w:rsidR="001C08A5" w:rsidRDefault="00000000">
      <w:pPr>
        <w:jc w:val="center"/>
        <w:rPr>
          <w:i/>
          <w:sz w:val="24"/>
          <w:szCs w:val="24"/>
          <w:lang w:eastAsia="ro-RO"/>
        </w:rPr>
      </w:pPr>
      <w:r>
        <w:rPr>
          <w:i/>
          <w:noProof/>
          <w:sz w:val="24"/>
          <w:szCs w:val="24"/>
          <w:lang w:eastAsia="ro-RO"/>
        </w:rPr>
        <w:drawing>
          <wp:inline distT="0" distB="0" distL="114300" distR="114300" wp14:anchorId="553E1473" wp14:editId="49A36A53">
            <wp:extent cx="6060440" cy="931545"/>
            <wp:effectExtent l="0" t="0" r="16510" b="1905"/>
            <wp:docPr id="15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64"/>
                    <pic:cNvPicPr>
                      <a:picLocks noChangeAspect="1"/>
                    </pic:cNvPicPr>
                  </pic:nvPicPr>
                  <pic:blipFill>
                    <a:blip r:embed="rId264"/>
                    <a:srcRect l="12383" t="7541" r="7327" b="74024"/>
                    <a:stretch>
                      <a:fillRect/>
                    </a:stretch>
                  </pic:blipFill>
                  <pic:spPr>
                    <a:xfrm>
                      <a:off x="0" y="0"/>
                      <a:ext cx="6060440" cy="93154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6"/>
        <w:gridCol w:w="3209"/>
        <w:gridCol w:w="3224"/>
      </w:tblGrid>
      <w:tr w:rsidR="001C08A5" w14:paraId="576A9819" w14:textId="77777777">
        <w:tc>
          <w:tcPr>
            <w:tcW w:w="3285" w:type="dxa"/>
          </w:tcPr>
          <w:p w14:paraId="02A7ACFD" w14:textId="77777777" w:rsidR="001C08A5" w:rsidRDefault="00000000">
            <w:pPr>
              <w:jc w:val="center"/>
              <w:rPr>
                <w:b/>
                <w:bCs/>
                <w:i/>
                <w:sz w:val="24"/>
                <w:szCs w:val="24"/>
              </w:rPr>
            </w:pPr>
            <w:r>
              <w:rPr>
                <w:rFonts w:eastAsia="Times New Roman"/>
                <w:b/>
                <w:bCs/>
                <w:i/>
                <w:sz w:val="24"/>
                <w:szCs w:val="24"/>
              </w:rPr>
              <w:t>Varianta d1) L1+H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1.20m</w:t>
            </w:r>
          </w:p>
        </w:tc>
        <w:tc>
          <w:tcPr>
            <w:tcW w:w="3285" w:type="dxa"/>
          </w:tcPr>
          <w:p w14:paraId="75A4297E" w14:textId="77777777" w:rsidR="001C08A5" w:rsidRDefault="00000000">
            <w:pPr>
              <w:jc w:val="center"/>
              <w:rPr>
                <w:b/>
                <w:bCs/>
                <w:i/>
                <w:sz w:val="24"/>
                <w:szCs w:val="24"/>
              </w:rPr>
            </w:pPr>
            <w:r>
              <w:rPr>
                <w:rFonts w:eastAsia="Times New Roman"/>
                <w:b/>
                <w:bCs/>
                <w:i/>
                <w:sz w:val="24"/>
                <w:szCs w:val="24"/>
              </w:rPr>
              <w:t>Varianta d2) L1+L2+H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 m</w:t>
            </w:r>
          </w:p>
        </w:tc>
        <w:tc>
          <w:tcPr>
            <w:tcW w:w="3285" w:type="dxa"/>
          </w:tcPr>
          <w:p w14:paraId="35D8C0D6" w14:textId="77777777" w:rsidR="001C08A5" w:rsidRDefault="00000000">
            <w:pPr>
              <w:jc w:val="center"/>
              <w:rPr>
                <w:b/>
                <w:bCs/>
                <w:i/>
                <w:sz w:val="24"/>
                <w:szCs w:val="24"/>
              </w:rPr>
            </w:pPr>
            <w:r>
              <w:rPr>
                <w:rFonts w:eastAsia="Times New Roman"/>
                <w:b/>
                <w:bCs/>
                <w:i/>
                <w:sz w:val="24"/>
                <w:szCs w:val="24"/>
              </w:rPr>
              <w:t>Varianta d3) L1+L2+L3+H</w:t>
            </w:r>
            <w:r>
              <w:rPr>
                <w:rFonts w:eastAsia="Times New Roman"/>
                <w:i/>
                <w:sz w:val="24"/>
                <w:szCs w:val="24"/>
              </w:rPr>
              <w:t xml:space="preserve"> </w:t>
            </w:r>
            <w:r>
              <w:rPr>
                <w:rFonts w:ascii="Symbol" w:eastAsia="Times New Roman" w:hAnsi="Symbol" w:cs="Symbol"/>
                <w:i/>
                <w:sz w:val="24"/>
                <w:szCs w:val="24"/>
              </w:rPr>
              <w:t></w:t>
            </w:r>
            <w:r>
              <w:rPr>
                <w:rFonts w:ascii="Symbol" w:eastAsia="Times New Roman" w:hAnsi="Symbol" w:cs="Symbol"/>
                <w:i/>
                <w:sz w:val="24"/>
                <w:szCs w:val="24"/>
              </w:rPr>
              <w:t></w:t>
            </w:r>
            <w:r>
              <w:rPr>
                <w:rFonts w:eastAsia="Times New Roman"/>
                <w:b/>
                <w:bCs/>
                <w:i/>
                <w:sz w:val="24"/>
                <w:szCs w:val="24"/>
              </w:rPr>
              <w:t>1,20 m</w:t>
            </w:r>
          </w:p>
        </w:tc>
      </w:tr>
    </w:tbl>
    <w:p w14:paraId="2F59E66D" w14:textId="77777777" w:rsidR="001C08A5" w:rsidRDefault="001C08A5">
      <w:pPr>
        <w:jc w:val="both"/>
        <w:rPr>
          <w:i/>
          <w:sz w:val="24"/>
          <w:szCs w:val="24"/>
        </w:rPr>
      </w:pPr>
    </w:p>
    <w:p w14:paraId="26E9BA4B" w14:textId="77777777" w:rsidR="001C08A5" w:rsidRDefault="00000000">
      <w:pPr>
        <w:jc w:val="center"/>
        <w:rPr>
          <w:i/>
          <w:sz w:val="24"/>
          <w:szCs w:val="24"/>
        </w:rPr>
      </w:pPr>
      <w:r>
        <w:rPr>
          <w:i/>
          <w:noProof/>
          <w:sz w:val="24"/>
          <w:szCs w:val="24"/>
          <w:lang w:eastAsia="ro-RO"/>
        </w:rPr>
        <w:drawing>
          <wp:inline distT="0" distB="0" distL="114300" distR="114300" wp14:anchorId="1D32D73C" wp14:editId="4277CD8C">
            <wp:extent cx="6060440" cy="1223645"/>
            <wp:effectExtent l="0" t="0" r="16510" b="14605"/>
            <wp:docPr id="16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64"/>
                    <pic:cNvPicPr>
                      <a:picLocks noChangeAspect="1"/>
                    </pic:cNvPicPr>
                  </pic:nvPicPr>
                  <pic:blipFill>
                    <a:blip r:embed="rId264"/>
                    <a:srcRect l="12383" t="43471" r="7327" b="32311"/>
                    <a:stretch>
                      <a:fillRect/>
                    </a:stretch>
                  </pic:blipFill>
                  <pic:spPr>
                    <a:xfrm>
                      <a:off x="0" y="0"/>
                      <a:ext cx="6060440" cy="122364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0D88465A" w14:textId="77777777">
        <w:tc>
          <w:tcPr>
            <w:tcW w:w="4927" w:type="dxa"/>
          </w:tcPr>
          <w:p w14:paraId="6F9C88CA" w14:textId="77777777" w:rsidR="001C08A5" w:rsidRDefault="00000000">
            <w:pPr>
              <w:rPr>
                <w:b/>
                <w:bCs/>
                <w:i/>
                <w:sz w:val="24"/>
                <w:szCs w:val="24"/>
              </w:rPr>
            </w:pPr>
            <w:r>
              <w:rPr>
                <w:rFonts w:eastAsia="Times New Roman"/>
                <w:b/>
                <w:bCs/>
                <w:i/>
                <w:sz w:val="24"/>
                <w:szCs w:val="24"/>
              </w:rPr>
              <w:t xml:space="preserve">Varianta d4) dacă L și L3 </w:t>
            </w:r>
            <w:r>
              <w:rPr>
                <w:rFonts w:ascii="Symbol" w:eastAsia="Times New Roman" w:hAnsi="Symbol" w:cs="Symbol"/>
                <w:b/>
                <w:bCs/>
                <w:i/>
                <w:sz w:val="24"/>
                <w:szCs w:val="24"/>
              </w:rPr>
              <w:t></w:t>
            </w:r>
            <w:r>
              <w:rPr>
                <w:rFonts w:ascii="Symbol" w:eastAsia="Times New Roman" w:hAnsi="Symbol" w:cs="Symbol"/>
                <w:b/>
                <w:bCs/>
                <w:i/>
                <w:sz w:val="24"/>
                <w:szCs w:val="24"/>
              </w:rPr>
              <w:t></w:t>
            </w:r>
            <w:r>
              <w:rPr>
                <w:rFonts w:eastAsia="Times New Roman"/>
                <w:b/>
                <w:bCs/>
                <w:i/>
                <w:sz w:val="24"/>
                <w:szCs w:val="24"/>
              </w:rPr>
              <w:t>1,20 m, indicele H nu se normează</w:t>
            </w:r>
          </w:p>
        </w:tc>
        <w:tc>
          <w:tcPr>
            <w:tcW w:w="4928" w:type="dxa"/>
          </w:tcPr>
          <w:p w14:paraId="63389A67" w14:textId="77777777" w:rsidR="001C08A5" w:rsidRDefault="00000000">
            <w:pPr>
              <w:rPr>
                <w:b/>
                <w:bCs/>
                <w:i/>
                <w:sz w:val="24"/>
                <w:szCs w:val="24"/>
              </w:rPr>
            </w:pPr>
            <w:r>
              <w:rPr>
                <w:rFonts w:eastAsia="Times New Roman"/>
                <w:b/>
                <w:bCs/>
                <w:i/>
                <w:sz w:val="24"/>
                <w:szCs w:val="24"/>
              </w:rPr>
              <w:t xml:space="preserve">Varianta d5) dacă L și L3 </w:t>
            </w:r>
            <w:r>
              <w:rPr>
                <w:rFonts w:ascii="Symbol" w:eastAsia="Times New Roman" w:hAnsi="Symbol" w:cs="Symbol"/>
                <w:b/>
                <w:bCs/>
                <w:i/>
                <w:sz w:val="24"/>
                <w:szCs w:val="24"/>
              </w:rPr>
              <w:t></w:t>
            </w:r>
            <w:r>
              <w:rPr>
                <w:rFonts w:ascii="Symbol" w:eastAsia="Times New Roman" w:hAnsi="Symbol" w:cs="Symbol"/>
                <w:b/>
                <w:bCs/>
                <w:i/>
                <w:sz w:val="24"/>
                <w:szCs w:val="24"/>
              </w:rPr>
              <w:t></w:t>
            </w:r>
            <w:r>
              <w:rPr>
                <w:rFonts w:eastAsia="Times New Roman"/>
                <w:b/>
                <w:bCs/>
                <w:i/>
                <w:sz w:val="24"/>
                <w:szCs w:val="24"/>
              </w:rPr>
              <w:t>1,20 m, indicele H nu se normează</w:t>
            </w:r>
          </w:p>
        </w:tc>
      </w:tr>
    </w:tbl>
    <w:p w14:paraId="3FFF9182" w14:textId="77777777" w:rsidR="001C08A5" w:rsidRDefault="00000000">
      <w:pPr>
        <w:pStyle w:val="Caption"/>
        <w:jc w:val="center"/>
        <w:rPr>
          <w:rFonts w:eastAsia="Times New Roman" w:cs="Times New Roman"/>
        </w:rPr>
      </w:pPr>
      <w:bookmarkStart w:id="6352" w:name="_Toc16985"/>
      <w:bookmarkStart w:id="6353" w:name="_Toc162360329"/>
      <w:bookmarkStart w:id="6354" w:name="_Toc31551"/>
      <w:bookmarkStart w:id="6355" w:name="_Toc15689"/>
      <w:bookmarkStart w:id="6356" w:name="_Toc142898517"/>
      <w:r>
        <w:t xml:space="preserve">Figura </w:t>
      </w:r>
      <w:r>
        <w:fldChar w:fldCharType="begin"/>
      </w:r>
      <w:r>
        <w:instrText xml:space="preserve"> SEQ Figura \* ARABIC </w:instrText>
      </w:r>
      <w:r>
        <w:fldChar w:fldCharType="separate"/>
      </w:r>
      <w:r>
        <w:t>105</w:t>
      </w:r>
      <w:r>
        <w:fldChar w:fldCharType="end"/>
      </w:r>
      <w:bookmarkStart w:id="6357" w:name="_Toc20935"/>
      <w:bookmarkStart w:id="6358" w:name="_Toc31954"/>
      <w:bookmarkStart w:id="6359" w:name="_Toc29925"/>
      <w:bookmarkStart w:id="6360" w:name="_Toc22146"/>
      <w:bookmarkStart w:id="6361" w:name="_Toc18010"/>
      <w:bookmarkStart w:id="6362" w:name="_Toc4356"/>
      <w:bookmarkStart w:id="6363" w:name="_Toc3379"/>
      <w:bookmarkStart w:id="6364" w:name="_Toc3459"/>
      <w:bookmarkStart w:id="6365" w:name="_Toc16542"/>
      <w:r>
        <w:t xml:space="preserve"> - </w:t>
      </w:r>
      <w:r>
        <w:rPr>
          <w:rFonts w:eastAsia="Times New Roman" w:cs="Times New Roman"/>
        </w:rPr>
        <w:t>Exemple de măsurători H + L - balcoane</w:t>
      </w:r>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p>
    <w:p w14:paraId="4A7E0583" w14:textId="77777777" w:rsidR="001C08A5" w:rsidRDefault="00000000">
      <w:pPr>
        <w:pStyle w:val="BodyText"/>
        <w:rPr>
          <w:iCs/>
          <w:sz w:val="22"/>
          <w:szCs w:val="22"/>
        </w:rPr>
      </w:pPr>
      <w:r>
        <w:rPr>
          <w:rStyle w:val="CommentReference"/>
          <w:b w:val="0"/>
          <w:iCs/>
          <w:sz w:val="22"/>
          <w:szCs w:val="22"/>
        </w:rPr>
        <w:t>Notă Figura 105: toate desenele exemplificative au partea de interior a construcției prevăzută în jos.</w:t>
      </w:r>
    </w:p>
    <w:p w14:paraId="5FA651E6" w14:textId="77777777" w:rsidR="001C08A5" w:rsidRDefault="001C08A5">
      <w:pPr>
        <w:pStyle w:val="BodyText"/>
      </w:pPr>
    </w:p>
    <w:p w14:paraId="0AA0C032" w14:textId="77777777" w:rsidR="001C08A5" w:rsidRDefault="00000000">
      <w:pPr>
        <w:keepNext/>
        <w:tabs>
          <w:tab w:val="left" w:pos="864"/>
        </w:tabs>
        <w:spacing w:before="240" w:after="60"/>
        <w:ind w:left="864" w:hanging="864"/>
        <w:outlineLvl w:val="3"/>
        <w:rPr>
          <w:rFonts w:eastAsia="Calibri" w:cs="Mangal"/>
          <w:b/>
          <w:bCs/>
          <w:i/>
          <w:sz w:val="24"/>
          <w:szCs w:val="24"/>
        </w:rPr>
      </w:pPr>
      <w:bookmarkStart w:id="6366" w:name="_Toc25886"/>
      <w:bookmarkStart w:id="6367" w:name="_Toc5311"/>
      <w:bookmarkStart w:id="6368" w:name="_Toc15168"/>
      <w:bookmarkStart w:id="6369" w:name="_Toc2806"/>
      <w:bookmarkStart w:id="6370" w:name="_Toc20958"/>
      <w:bookmarkStart w:id="6371" w:name="_Toc8944"/>
      <w:bookmarkStart w:id="6372" w:name="_Toc162355403"/>
      <w:bookmarkStart w:id="6373" w:name="_Toc24458"/>
      <w:bookmarkStart w:id="6374" w:name="_Toc25600"/>
      <w:bookmarkStart w:id="6375" w:name="_Toc14173"/>
      <w:bookmarkStart w:id="6376" w:name="_Toc602"/>
      <w:bookmarkStart w:id="6377" w:name="_Toc9002"/>
      <w:bookmarkStart w:id="6378" w:name="_Toc10499"/>
      <w:bookmarkStart w:id="6379" w:name="_Toc19046"/>
      <w:bookmarkStart w:id="6380" w:name="_Toc14932"/>
      <w:bookmarkStart w:id="6381" w:name="_Toc12549"/>
      <w:bookmarkStart w:id="6382" w:name="_Toc6593"/>
      <w:r>
        <w:rPr>
          <w:rFonts w:eastAsia="Calibri" w:cs="Mangal"/>
          <w:b/>
          <w:bCs/>
          <w:i/>
          <w:sz w:val="24"/>
          <w:szCs w:val="24"/>
        </w:rPr>
        <w:lastRenderedPageBreak/>
        <w:t>Exemple de limitare a propagării incendiului pe faţadă</w:t>
      </w:r>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p>
    <w:p w14:paraId="53F9F742" w14:textId="77777777" w:rsidR="001C08A5" w:rsidRDefault="00000000">
      <w:pPr>
        <w:jc w:val="center"/>
        <w:rPr>
          <w:b/>
          <w:i/>
          <w:sz w:val="24"/>
          <w:szCs w:val="24"/>
        </w:rPr>
      </w:pPr>
      <w:r>
        <w:rPr>
          <w:i/>
          <w:noProof/>
          <w:sz w:val="24"/>
          <w:szCs w:val="24"/>
          <w:lang w:eastAsia="ro-RO"/>
        </w:rPr>
        <w:drawing>
          <wp:inline distT="0" distB="0" distL="114300" distR="114300" wp14:anchorId="091548E8" wp14:editId="109AA5FB">
            <wp:extent cx="4398645" cy="2403475"/>
            <wp:effectExtent l="0" t="0" r="1905" b="15875"/>
            <wp:docPr id="16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65"/>
                    <pic:cNvPicPr>
                      <a:picLocks noChangeAspect="1"/>
                    </pic:cNvPicPr>
                  </pic:nvPicPr>
                  <pic:blipFill>
                    <a:blip r:embed="rId265"/>
                    <a:srcRect l="22083" t="27335" r="16328" b="22395"/>
                    <a:stretch>
                      <a:fillRect/>
                    </a:stretch>
                  </pic:blipFill>
                  <pic:spPr>
                    <a:xfrm>
                      <a:off x="0" y="0"/>
                      <a:ext cx="4398645" cy="2403475"/>
                    </a:xfrm>
                    <a:prstGeom prst="rect">
                      <a:avLst/>
                    </a:prstGeom>
                    <a:noFill/>
                    <a:ln>
                      <a:noFill/>
                    </a:ln>
                  </pic:spPr>
                </pic:pic>
              </a:graphicData>
            </a:graphic>
          </wp:inline>
        </w:drawing>
      </w:r>
    </w:p>
    <w:p w14:paraId="378F888D" w14:textId="77777777" w:rsidR="001C08A5" w:rsidRDefault="00000000">
      <w:pPr>
        <w:pStyle w:val="Caption"/>
        <w:jc w:val="center"/>
      </w:pPr>
      <w:bookmarkStart w:id="6383" w:name="_Toc162360330"/>
      <w:bookmarkStart w:id="6384" w:name="_Toc142898518"/>
      <w:r>
        <w:t xml:space="preserve">Figura </w:t>
      </w:r>
      <w:r>
        <w:fldChar w:fldCharType="begin"/>
      </w:r>
      <w:r>
        <w:instrText xml:space="preserve"> SEQ Figura \* ARABIC </w:instrText>
      </w:r>
      <w:r>
        <w:fldChar w:fldCharType="separate"/>
      </w:r>
      <w:r>
        <w:t>106</w:t>
      </w:r>
      <w:r>
        <w:fldChar w:fldCharType="end"/>
      </w:r>
      <w:bookmarkStart w:id="6385" w:name="_Toc10725"/>
      <w:bookmarkStart w:id="6386" w:name="_Toc22121"/>
      <w:bookmarkStart w:id="6387" w:name="_Toc18645"/>
      <w:bookmarkStart w:id="6388" w:name="_Toc4170"/>
      <w:bookmarkStart w:id="6389" w:name="_Toc22315"/>
      <w:bookmarkStart w:id="6390" w:name="_Toc13987"/>
      <w:bookmarkStart w:id="6391" w:name="_Toc24659"/>
      <w:bookmarkStart w:id="6392" w:name="_Toc17595"/>
      <w:bookmarkStart w:id="6393" w:name="_Toc19001"/>
      <w:r>
        <w:t xml:space="preserve"> - </w:t>
      </w:r>
      <w:r>
        <w:rPr>
          <w:rFonts w:eastAsia="Times New Roman"/>
        </w:rPr>
        <w:t xml:space="preserve">Soluție la scări exterioare </w:t>
      </w:r>
      <w:r>
        <w:t>de limitare a propagării incendiului pe faţadă</w:t>
      </w:r>
      <w:bookmarkEnd w:id="6383"/>
      <w:bookmarkEnd w:id="6384"/>
      <w:bookmarkEnd w:id="6385"/>
      <w:bookmarkEnd w:id="6386"/>
      <w:bookmarkEnd w:id="6387"/>
      <w:bookmarkEnd w:id="6388"/>
      <w:bookmarkEnd w:id="6389"/>
      <w:bookmarkEnd w:id="6390"/>
      <w:bookmarkEnd w:id="6391"/>
      <w:bookmarkEnd w:id="6392"/>
      <w:bookmarkEnd w:id="6393"/>
    </w:p>
    <w:p w14:paraId="18766071" w14:textId="77777777" w:rsidR="001C08A5" w:rsidRDefault="00000000">
      <w:pPr>
        <w:jc w:val="center"/>
        <w:rPr>
          <w:i/>
          <w:sz w:val="24"/>
          <w:szCs w:val="24"/>
        </w:rPr>
      </w:pPr>
      <w:r>
        <w:t xml:space="preserve">      </w:t>
      </w:r>
      <w:r>
        <w:rPr>
          <w:i/>
          <w:sz w:val="24"/>
          <w:szCs w:val="24"/>
        </w:rPr>
        <w:t xml:space="preserve">     </w:t>
      </w:r>
    </w:p>
    <w:p w14:paraId="105E9304" w14:textId="77777777" w:rsidR="001C08A5" w:rsidRDefault="00000000">
      <w:pPr>
        <w:jc w:val="center"/>
        <w:rPr>
          <w:i/>
          <w:sz w:val="24"/>
          <w:szCs w:val="24"/>
        </w:rPr>
      </w:pPr>
      <w:r>
        <w:rPr>
          <w:noProof/>
          <w:lang w:eastAsia="ro-RO"/>
        </w:rPr>
        <w:drawing>
          <wp:inline distT="0" distB="0" distL="114300" distR="114300" wp14:anchorId="17DE3C6B" wp14:editId="43C08B1F">
            <wp:extent cx="2026920" cy="2630805"/>
            <wp:effectExtent l="0" t="0" r="11430" b="17145"/>
            <wp:docPr id="4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8"/>
                    <pic:cNvPicPr>
                      <a:picLocks noChangeAspect="1"/>
                    </pic:cNvPicPr>
                  </pic:nvPicPr>
                  <pic:blipFill>
                    <a:blip r:embed="rId266"/>
                    <a:srcRect l="36207" t="7438" r="33006"/>
                    <a:stretch>
                      <a:fillRect/>
                    </a:stretch>
                  </pic:blipFill>
                  <pic:spPr>
                    <a:xfrm>
                      <a:off x="0" y="0"/>
                      <a:ext cx="2035336" cy="2641594"/>
                    </a:xfrm>
                    <a:prstGeom prst="rect">
                      <a:avLst/>
                    </a:prstGeom>
                    <a:noFill/>
                    <a:ln>
                      <a:noFill/>
                    </a:ln>
                  </pic:spPr>
                </pic:pic>
              </a:graphicData>
            </a:graphic>
          </wp:inline>
        </w:drawing>
      </w:r>
      <w:r>
        <w:t xml:space="preserve">      </w:t>
      </w:r>
      <w:r>
        <w:rPr>
          <w:i/>
          <w:sz w:val="24"/>
          <w:szCs w:val="24"/>
        </w:rPr>
        <w:t xml:space="preserve">     </w:t>
      </w:r>
    </w:p>
    <w:p w14:paraId="173AAA44" w14:textId="77777777" w:rsidR="001C08A5" w:rsidRDefault="00000000">
      <w:pPr>
        <w:pStyle w:val="Caption"/>
        <w:jc w:val="center"/>
      </w:pPr>
      <w:bookmarkStart w:id="6394" w:name="_Toc162360331"/>
      <w:r>
        <w:t xml:space="preserve">Figura </w:t>
      </w:r>
      <w:r>
        <w:fldChar w:fldCharType="begin"/>
      </w:r>
      <w:r>
        <w:instrText xml:space="preserve"> SEQ Figura \* ARABIC </w:instrText>
      </w:r>
      <w:r>
        <w:fldChar w:fldCharType="separate"/>
      </w:r>
      <w:r>
        <w:t>107</w:t>
      </w:r>
      <w:r>
        <w:fldChar w:fldCharType="end"/>
      </w:r>
      <w:bookmarkStart w:id="6395" w:name="_Toc16652"/>
      <w:bookmarkStart w:id="6396" w:name="_Toc28406"/>
      <w:bookmarkStart w:id="6397" w:name="_Toc20421"/>
      <w:bookmarkStart w:id="6398" w:name="_Toc17022"/>
      <w:bookmarkStart w:id="6399" w:name="_Toc30275"/>
      <w:bookmarkStart w:id="6400" w:name="_Toc963"/>
      <w:bookmarkStart w:id="6401" w:name="_Toc16947"/>
      <w:r>
        <w:t xml:space="preserve"> - </w:t>
      </w:r>
      <w:r>
        <w:rPr>
          <w:rFonts w:eastAsia="Times New Roman"/>
        </w:rPr>
        <w:t xml:space="preserve">Soluție </w:t>
      </w:r>
      <w:r>
        <w:t>de limitare a propagării incendiului pe faţadă</w:t>
      </w:r>
      <w:r>
        <w:rPr>
          <w:rStyle w:val="CommentReference"/>
          <w:rFonts w:cs="Times New Roman"/>
          <w:b w:val="0"/>
          <w:i w:val="0"/>
          <w:iCs w:val="0"/>
        </w:rPr>
        <w:t xml:space="preserve"> </w:t>
      </w:r>
      <w:r>
        <w:rPr>
          <w:rFonts w:eastAsia="Times New Roman"/>
          <w:bCs/>
        </w:rPr>
        <w:t>la intersecția cu balcoane</w:t>
      </w:r>
      <w:bookmarkEnd w:id="6394"/>
      <w:bookmarkEnd w:id="6395"/>
      <w:bookmarkEnd w:id="6396"/>
      <w:bookmarkEnd w:id="6397"/>
      <w:bookmarkEnd w:id="6398"/>
      <w:bookmarkEnd w:id="6399"/>
      <w:bookmarkEnd w:id="6400"/>
      <w:bookmarkEnd w:id="6401"/>
    </w:p>
    <w:p w14:paraId="40A2B3D1" w14:textId="77777777" w:rsidR="001C08A5" w:rsidRDefault="001C08A5">
      <w:pPr>
        <w:suppressLineNumbers/>
        <w:spacing w:before="120" w:after="120"/>
        <w:jc w:val="center"/>
        <w:rPr>
          <w:strike/>
          <w:highlight w:val="yellow"/>
        </w:rPr>
      </w:pPr>
    </w:p>
    <w:p w14:paraId="3CD92CD9" w14:textId="77777777" w:rsidR="001C08A5" w:rsidRDefault="00000000">
      <w:pPr>
        <w:pStyle w:val="Heading3"/>
        <w:rPr>
          <w:i/>
          <w:iCs/>
          <w:sz w:val="24"/>
          <w:szCs w:val="24"/>
        </w:rPr>
      </w:pPr>
      <w:bookmarkStart w:id="6402" w:name="_Toc23656"/>
      <w:bookmarkStart w:id="6403" w:name="_Toc26900"/>
      <w:bookmarkStart w:id="6404" w:name="_Toc29006"/>
      <w:bookmarkStart w:id="6405" w:name="_Toc1272"/>
      <w:bookmarkStart w:id="6406" w:name="_Toc10958"/>
      <w:bookmarkStart w:id="6407" w:name="_Toc12225"/>
      <w:bookmarkStart w:id="6408" w:name="_Toc1240"/>
      <w:bookmarkStart w:id="6409" w:name="_Toc15533"/>
      <w:bookmarkStart w:id="6410" w:name="_Toc30748"/>
      <w:bookmarkStart w:id="6411" w:name="_Toc25576"/>
      <w:bookmarkStart w:id="6412" w:name="_Toc11357"/>
      <w:bookmarkStart w:id="6413" w:name="_Toc18717"/>
      <w:bookmarkStart w:id="6414" w:name="_Toc162355404"/>
      <w:bookmarkStart w:id="6415" w:name="_Toc31560"/>
      <w:bookmarkStart w:id="6416" w:name="_Toc25482"/>
      <w:bookmarkStart w:id="6417" w:name="_Toc18229"/>
      <w:bookmarkStart w:id="6418" w:name="_Toc26933"/>
      <w:r>
        <w:rPr>
          <w:i/>
          <w:iCs/>
          <w:sz w:val="24"/>
          <w:szCs w:val="24"/>
        </w:rPr>
        <w:t>ANEXA 3.3 - FÂȘII (BENZI) PENTRU SISTEME COMPOZITE DE IZOLARE TERMICĂ - P</w:t>
      </w:r>
      <w:r>
        <w:rPr>
          <w:i/>
          <w:iCs/>
          <w:sz w:val="24"/>
          <w:szCs w:val="24"/>
          <w:lang w:val="en-GB"/>
        </w:rPr>
        <w:t xml:space="preserve">RINCIPII </w:t>
      </w:r>
      <w:r>
        <w:rPr>
          <w:i/>
          <w:iCs/>
          <w:sz w:val="24"/>
          <w:szCs w:val="24"/>
        </w:rPr>
        <w:t xml:space="preserve">DE </w:t>
      </w:r>
      <w:r>
        <w:rPr>
          <w:i/>
          <w:iCs/>
          <w:sz w:val="24"/>
          <w:szCs w:val="24"/>
          <w:lang w:val="en-GB"/>
        </w:rPr>
        <w:t>REALIZARE BORD</w:t>
      </w:r>
      <w:r>
        <w:rPr>
          <w:i/>
          <w:iCs/>
          <w:sz w:val="24"/>
          <w:szCs w:val="24"/>
        </w:rPr>
        <w:t>Ă</w:t>
      </w:r>
      <w:r>
        <w:rPr>
          <w:i/>
          <w:iCs/>
          <w:sz w:val="24"/>
          <w:szCs w:val="24"/>
          <w:lang w:val="en-GB"/>
        </w:rPr>
        <w:t xml:space="preserve">RI </w:t>
      </w:r>
      <w:r>
        <w:rPr>
          <w:i/>
          <w:iCs/>
          <w:sz w:val="24"/>
          <w:szCs w:val="24"/>
        </w:rPr>
        <w:t>Ș</w:t>
      </w:r>
      <w:r>
        <w:rPr>
          <w:i/>
          <w:iCs/>
          <w:sz w:val="24"/>
          <w:szCs w:val="24"/>
          <w:lang w:val="en-GB"/>
        </w:rPr>
        <w:t>I F</w:t>
      </w:r>
      <w:r>
        <w:rPr>
          <w:i/>
          <w:iCs/>
          <w:sz w:val="24"/>
          <w:szCs w:val="24"/>
        </w:rPr>
        <w:t>ÂȘ</w:t>
      </w:r>
      <w:r>
        <w:rPr>
          <w:i/>
          <w:iCs/>
          <w:sz w:val="24"/>
          <w:szCs w:val="24"/>
          <w:lang w:val="en-GB"/>
        </w:rPr>
        <w:t>II (BENZI) PENTRU</w:t>
      </w:r>
      <w:r>
        <w:rPr>
          <w:i/>
          <w:iCs/>
          <w:sz w:val="24"/>
          <w:szCs w:val="24"/>
        </w:rPr>
        <w:t xml:space="preserve"> TERMOIZOLANTE ȘI/ SAU </w:t>
      </w:r>
      <w:r>
        <w:rPr>
          <w:i/>
          <w:iCs/>
          <w:sz w:val="24"/>
          <w:szCs w:val="24"/>
          <w:lang w:val="en-GB"/>
        </w:rPr>
        <w:t>S</w:t>
      </w:r>
      <w:r>
        <w:rPr>
          <w:i/>
          <w:iCs/>
          <w:sz w:val="24"/>
          <w:szCs w:val="24"/>
        </w:rPr>
        <w:t xml:space="preserve">ISTEME COMPOZITE DE IZOLARE TERMICĂ EXTERIOARĂ A PEREŢILOR PERIMETRALI, </w:t>
      </w:r>
      <w:r>
        <w:rPr>
          <w:i/>
          <w:iCs/>
          <w:sz w:val="24"/>
          <w:szCs w:val="24"/>
          <w:lang w:val="en-GB"/>
        </w:rPr>
        <w:t xml:space="preserve">DIFERITE DE </w:t>
      </w:r>
      <w:r>
        <w:rPr>
          <w:i/>
          <w:iCs/>
          <w:sz w:val="24"/>
          <w:szCs w:val="24"/>
        </w:rPr>
        <w:t>A1, A2-s1d</w:t>
      </w:r>
      <w:r>
        <w:rPr>
          <w:i/>
          <w:iCs/>
          <w:sz w:val="24"/>
          <w:szCs w:val="24"/>
          <w:lang w:val="en-GB"/>
        </w:rPr>
        <w:t>0</w:t>
      </w:r>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r>
        <w:rPr>
          <w:i/>
          <w:iCs/>
          <w:sz w:val="24"/>
          <w:szCs w:val="24"/>
        </w:rPr>
        <w:t xml:space="preserve"> </w:t>
      </w:r>
    </w:p>
    <w:p w14:paraId="729A4517"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La toate construcţiile termoizolația exterioară și / sau sistemele compozite de izolare termică exterioară (sisteme compacte în condiții de utilizare finală) a pereţilor perimetrali trebuie să fie clasa de reacţie la foc conform prevederilor din </w:t>
      </w:r>
      <w:r>
        <w:rPr>
          <w:b/>
          <w:i/>
          <w:sz w:val="24"/>
          <w:szCs w:val="24"/>
        </w:rPr>
        <w:t>Art. 2.3.6.1.8.</w:t>
      </w:r>
      <w:r>
        <w:rPr>
          <w:bCs/>
          <w:i/>
          <w:sz w:val="24"/>
          <w:szCs w:val="24"/>
        </w:rPr>
        <w:t xml:space="preserve"> și </w:t>
      </w:r>
      <w:r>
        <w:rPr>
          <w:b/>
          <w:bCs/>
          <w:i/>
          <w:iCs/>
          <w:sz w:val="24"/>
          <w:szCs w:val="24"/>
        </w:rPr>
        <w:fldChar w:fldCharType="begin"/>
      </w:r>
      <w:r>
        <w:rPr>
          <w:b/>
          <w:bCs/>
          <w:i/>
          <w:iCs/>
          <w:sz w:val="24"/>
          <w:szCs w:val="24"/>
        </w:rPr>
        <w:instrText xml:space="preserve"> REF _Ref2924 \h </w:instrText>
      </w:r>
      <w:r>
        <w:rPr>
          <w:b/>
          <w:bCs/>
          <w:i/>
          <w:iCs/>
          <w:sz w:val="24"/>
          <w:szCs w:val="24"/>
        </w:rPr>
      </w:r>
      <w:r>
        <w:rPr>
          <w:b/>
          <w:bCs/>
          <w:i/>
          <w:iCs/>
          <w:sz w:val="24"/>
          <w:szCs w:val="24"/>
        </w:rPr>
        <w:fldChar w:fldCharType="separate"/>
      </w:r>
      <w:r>
        <w:t>Tabelul 16: T</w:t>
      </w:r>
      <w:r>
        <w:rPr>
          <w:rFonts w:eastAsia="Times New Roman"/>
        </w:rPr>
        <w:t>ermoizolație exterioară și / sau sisteme compozite de izolare termică (sisteme compacte în condiții de utilizare finală) pe f</w:t>
      </w:r>
      <w:r>
        <w:t>aţade pline sau prevăzute cu elemente vitrate sau alte goluri neprotejate (pentru diferite funcţiuni / tipuri de clădiri)</w:t>
      </w:r>
      <w:r>
        <w:rPr>
          <w:b/>
          <w:bCs/>
          <w:i/>
          <w:iCs/>
          <w:sz w:val="24"/>
          <w:szCs w:val="24"/>
        </w:rPr>
        <w:fldChar w:fldCharType="end"/>
      </w:r>
      <w:r>
        <w:rPr>
          <w:bCs/>
          <w:i/>
          <w:sz w:val="24"/>
          <w:szCs w:val="24"/>
        </w:rPr>
        <w:t>.</w:t>
      </w:r>
    </w:p>
    <w:p w14:paraId="23596F67" w14:textId="77777777" w:rsidR="001C08A5" w:rsidRDefault="001C08A5">
      <w:pPr>
        <w:tabs>
          <w:tab w:val="left" w:pos="426"/>
          <w:tab w:val="left" w:pos="993"/>
        </w:tabs>
        <w:jc w:val="both"/>
        <w:rPr>
          <w:bCs/>
          <w:i/>
          <w:sz w:val="24"/>
          <w:szCs w:val="24"/>
        </w:rPr>
      </w:pPr>
    </w:p>
    <w:p w14:paraId="3913998F" w14:textId="77777777" w:rsidR="001C08A5" w:rsidRDefault="00000000">
      <w:pPr>
        <w:numPr>
          <w:ilvl w:val="0"/>
          <w:numId w:val="96"/>
        </w:numPr>
        <w:tabs>
          <w:tab w:val="left" w:pos="426"/>
          <w:tab w:val="left" w:pos="993"/>
        </w:tabs>
        <w:jc w:val="both"/>
      </w:pPr>
      <w:r>
        <w:rPr>
          <w:bCs/>
          <w:i/>
          <w:sz w:val="24"/>
          <w:szCs w:val="24"/>
        </w:rPr>
        <w:t xml:space="preserve">În toate cazurile se vor avea în vedere prevederile stipulate în </w:t>
      </w:r>
      <w:r>
        <w:rPr>
          <w:b/>
          <w:i/>
          <w:sz w:val="24"/>
          <w:szCs w:val="24"/>
        </w:rPr>
        <w:t>Art. 2.3.6.1.9.</w:t>
      </w:r>
    </w:p>
    <w:p w14:paraId="3FF6E64E" w14:textId="77777777" w:rsidR="001C08A5" w:rsidRDefault="001C08A5"/>
    <w:p w14:paraId="7DEE12A0" w14:textId="77777777" w:rsidR="001C08A5" w:rsidRDefault="00000000">
      <w:pPr>
        <w:numPr>
          <w:ilvl w:val="0"/>
          <w:numId w:val="96"/>
        </w:numPr>
        <w:tabs>
          <w:tab w:val="left" w:pos="426"/>
          <w:tab w:val="left" w:pos="993"/>
        </w:tabs>
        <w:jc w:val="both"/>
        <w:rPr>
          <w:bCs/>
          <w:sz w:val="24"/>
          <w:szCs w:val="24"/>
          <w:lang w:val="en-GB"/>
        </w:rPr>
      </w:pPr>
      <w:r>
        <w:rPr>
          <w:bCs/>
          <w:i/>
          <w:sz w:val="24"/>
        </w:rPr>
        <w:t xml:space="preserve">Pentru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
          <w:i/>
          <w:sz w:val="24"/>
        </w:rPr>
        <w:t>,</w:t>
      </w:r>
      <w:r>
        <w:rPr>
          <w:bCs/>
          <w:i/>
          <w:sz w:val="24"/>
        </w:rPr>
        <w:t xml:space="preserve"> se folosesc următoarele p</w:t>
      </w:r>
      <w:r>
        <w:rPr>
          <w:bCs/>
          <w:i/>
          <w:sz w:val="24"/>
          <w:szCs w:val="24"/>
          <w:lang w:val="en-GB"/>
        </w:rPr>
        <w:t>rincipi</w:t>
      </w:r>
      <w:r>
        <w:rPr>
          <w:bCs/>
          <w:i/>
          <w:sz w:val="24"/>
          <w:szCs w:val="24"/>
        </w:rPr>
        <w:t xml:space="preserve">i (conform </w:t>
      </w:r>
      <w:r>
        <w:rPr>
          <w:bCs/>
          <w:iCs/>
        </w:rPr>
        <w:t>Figura 108</w:t>
      </w:r>
      <w:r>
        <w:rPr>
          <w:bCs/>
          <w:i/>
          <w:sz w:val="24"/>
          <w:szCs w:val="24"/>
        </w:rPr>
        <w:t>)</w:t>
      </w:r>
      <w:r>
        <w:rPr>
          <w:bCs/>
          <w:i/>
          <w:sz w:val="24"/>
          <w:szCs w:val="24"/>
          <w:lang w:val="en-GB"/>
        </w:rPr>
        <w:t>:</w:t>
      </w:r>
    </w:p>
    <w:p w14:paraId="314D9197" w14:textId="77777777" w:rsidR="001C08A5" w:rsidRDefault="00000000">
      <w:pPr>
        <w:widowControl w:val="0"/>
        <w:ind w:left="720" w:firstLine="720"/>
        <w:jc w:val="both"/>
        <w:rPr>
          <w:i/>
          <w:sz w:val="24"/>
          <w:szCs w:val="24"/>
        </w:rPr>
      </w:pPr>
      <w:r>
        <w:rPr>
          <w:i/>
          <w:sz w:val="24"/>
          <w:szCs w:val="24"/>
          <w:lang w:val="en-GB"/>
        </w:rPr>
        <w:t xml:space="preserve">- </w:t>
      </w:r>
      <w:r>
        <w:rPr>
          <w:i/>
          <w:sz w:val="24"/>
          <w:szCs w:val="24"/>
        </w:rPr>
        <w:t xml:space="preserve">Lipirea completă a </w:t>
      </w:r>
      <w:r>
        <w:rPr>
          <w:bCs/>
          <w:i/>
          <w:sz w:val="24"/>
          <w:szCs w:val="24"/>
          <w:lang w:val="en-GB"/>
        </w:rPr>
        <w:t>fa</w:t>
      </w:r>
      <w:r>
        <w:rPr>
          <w:bCs/>
          <w:i/>
          <w:sz w:val="24"/>
          <w:szCs w:val="24"/>
        </w:rPr>
        <w:t>ș</w:t>
      </w:r>
      <w:r>
        <w:rPr>
          <w:bCs/>
          <w:i/>
          <w:sz w:val="24"/>
          <w:szCs w:val="24"/>
          <w:lang w:val="en-GB"/>
        </w:rPr>
        <w:t xml:space="preserve">iei/ </w:t>
      </w:r>
      <w:r>
        <w:rPr>
          <w:i/>
          <w:sz w:val="24"/>
          <w:szCs w:val="24"/>
        </w:rPr>
        <w:t xml:space="preserve">benzii (clasa de reacție la foc </w:t>
      </w:r>
      <w:r>
        <w:rPr>
          <w:b/>
          <w:i/>
          <w:sz w:val="24"/>
        </w:rPr>
        <w:t>A1, A2-s1d</w:t>
      </w:r>
      <w:r>
        <w:rPr>
          <w:b/>
          <w:i/>
          <w:sz w:val="24"/>
          <w:lang w:val="en-GB"/>
        </w:rPr>
        <w:t>0</w:t>
      </w:r>
      <w:r>
        <w:rPr>
          <w:i/>
          <w:sz w:val="24"/>
          <w:szCs w:val="24"/>
        </w:rPr>
        <w:t>) pe suport</w:t>
      </w:r>
    </w:p>
    <w:p w14:paraId="07D7254D" w14:textId="77777777" w:rsidR="001C08A5" w:rsidRDefault="00000000">
      <w:pPr>
        <w:widowControl w:val="0"/>
        <w:ind w:left="720" w:firstLine="720"/>
        <w:jc w:val="both"/>
        <w:rPr>
          <w:i/>
          <w:sz w:val="24"/>
          <w:szCs w:val="24"/>
        </w:rPr>
      </w:pPr>
      <w:r>
        <w:rPr>
          <w:i/>
          <w:sz w:val="24"/>
          <w:szCs w:val="24"/>
          <w:lang w:val="en-GB"/>
        </w:rPr>
        <w:t xml:space="preserve">- </w:t>
      </w:r>
      <w:r>
        <w:rPr>
          <w:i/>
          <w:sz w:val="24"/>
          <w:szCs w:val="24"/>
        </w:rPr>
        <w:t>Șurub sau cui metalic</w:t>
      </w:r>
    </w:p>
    <w:p w14:paraId="63BEAD79" w14:textId="77777777" w:rsidR="001C08A5" w:rsidRDefault="00000000">
      <w:pPr>
        <w:widowControl w:val="0"/>
        <w:ind w:left="720" w:firstLine="720"/>
        <w:jc w:val="both"/>
        <w:rPr>
          <w:i/>
          <w:sz w:val="24"/>
          <w:szCs w:val="24"/>
        </w:rPr>
      </w:pPr>
      <w:r>
        <w:rPr>
          <w:i/>
          <w:sz w:val="24"/>
          <w:szCs w:val="24"/>
          <w:lang w:val="en-GB"/>
        </w:rPr>
        <w:t xml:space="preserve">- </w:t>
      </w:r>
      <w:r>
        <w:rPr>
          <w:i/>
          <w:sz w:val="24"/>
          <w:szCs w:val="24"/>
        </w:rPr>
        <w:t xml:space="preserve">Lipirea sau încastrarea </w:t>
      </w:r>
      <w:r>
        <w:rPr>
          <w:i/>
          <w:sz w:val="24"/>
          <w:szCs w:val="24"/>
          <w:lang w:val="en-GB"/>
        </w:rPr>
        <w:t>termoizolatiei</w:t>
      </w:r>
      <w:r>
        <w:rPr>
          <w:i/>
          <w:sz w:val="24"/>
          <w:szCs w:val="24"/>
        </w:rPr>
        <w:t xml:space="preserve"> pe suport</w:t>
      </w:r>
    </w:p>
    <w:p w14:paraId="2511E522" w14:textId="77777777" w:rsidR="001C08A5" w:rsidRDefault="00000000">
      <w:pPr>
        <w:widowControl w:val="0"/>
        <w:ind w:left="720" w:firstLine="720"/>
        <w:jc w:val="both"/>
        <w:rPr>
          <w:i/>
          <w:sz w:val="24"/>
          <w:szCs w:val="24"/>
        </w:rPr>
      </w:pPr>
      <w:r>
        <w:rPr>
          <w:i/>
          <w:sz w:val="24"/>
          <w:szCs w:val="24"/>
          <w:lang w:val="en-GB"/>
        </w:rPr>
        <w:lastRenderedPageBreak/>
        <w:t xml:space="preserve">- </w:t>
      </w:r>
      <w:r>
        <w:rPr>
          <w:i/>
          <w:sz w:val="24"/>
          <w:szCs w:val="24"/>
        </w:rPr>
        <w:t>Sistem de tencuială subțire sau groasă</w:t>
      </w:r>
    </w:p>
    <w:p w14:paraId="3A900B97" w14:textId="77777777" w:rsidR="001C08A5" w:rsidRDefault="00000000">
      <w:pPr>
        <w:widowControl w:val="0"/>
        <w:ind w:left="1440" w:firstLine="720"/>
        <w:jc w:val="both"/>
        <w:rPr>
          <w:i/>
          <w:sz w:val="24"/>
          <w:szCs w:val="24"/>
          <w:lang w:val="en-GB"/>
        </w:rPr>
      </w:pPr>
      <w:r>
        <w:rPr>
          <w:i/>
          <w:sz w:val="24"/>
          <w:szCs w:val="24"/>
          <w:lang w:val="en-GB"/>
        </w:rPr>
        <w:t xml:space="preserve">- </w:t>
      </w:r>
      <w:r>
        <w:rPr>
          <w:b/>
          <w:bCs/>
          <w:i/>
          <w:sz w:val="24"/>
          <w:szCs w:val="24"/>
          <w:lang w:val="en-GB"/>
        </w:rPr>
        <w:t>t</w:t>
      </w:r>
      <w:r>
        <w:rPr>
          <w:b/>
          <w:bCs/>
          <w:i/>
          <w:sz w:val="24"/>
          <w:szCs w:val="24"/>
        </w:rPr>
        <w:t xml:space="preserve"> &lt;200 mm</w:t>
      </w:r>
      <w:r>
        <w:rPr>
          <w:i/>
          <w:sz w:val="24"/>
          <w:szCs w:val="24"/>
          <w:lang w:val="en-GB"/>
        </w:rPr>
        <w:t xml:space="preserve"> - 1 </w:t>
      </w:r>
      <w:r>
        <w:rPr>
          <w:bCs/>
          <w:i/>
          <w:sz w:val="24"/>
          <w:szCs w:val="24"/>
        </w:rPr>
        <w:t>fâşi</w:t>
      </w:r>
      <w:r>
        <w:rPr>
          <w:bCs/>
          <w:i/>
          <w:sz w:val="24"/>
          <w:szCs w:val="24"/>
          <w:lang w:val="en-GB"/>
        </w:rPr>
        <w:t>e</w:t>
      </w:r>
    </w:p>
    <w:p w14:paraId="43196936"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lang w:val="en-GB"/>
        </w:rPr>
        <w:t xml:space="preserve">- </w:t>
      </w:r>
      <w:r>
        <w:rPr>
          <w:b/>
          <w:i/>
          <w:sz w:val="24"/>
          <w:szCs w:val="24"/>
          <w:lang w:val="en-GB"/>
        </w:rPr>
        <w:t>t</w:t>
      </w:r>
      <w:r>
        <w:rPr>
          <w:b/>
          <w:i/>
          <w:sz w:val="24"/>
          <w:szCs w:val="24"/>
        </w:rPr>
        <w:t xml:space="preserve"> ≥200 mm</w:t>
      </w:r>
      <w:r>
        <w:rPr>
          <w:bCs/>
          <w:i/>
          <w:sz w:val="24"/>
          <w:szCs w:val="24"/>
          <w:lang w:val="en-GB"/>
        </w:rPr>
        <w:t xml:space="preserve"> - 2 </w:t>
      </w:r>
      <w:r>
        <w:rPr>
          <w:bCs/>
          <w:i/>
          <w:sz w:val="24"/>
          <w:szCs w:val="24"/>
        </w:rPr>
        <w:t>fâşi</w:t>
      </w:r>
      <w:r>
        <w:rPr>
          <w:bCs/>
          <w:i/>
          <w:sz w:val="24"/>
          <w:szCs w:val="24"/>
          <w:lang w:val="en-GB"/>
        </w:rPr>
        <w:t>i</w:t>
      </w:r>
      <w:r>
        <w:rPr>
          <w:bCs/>
          <w:i/>
          <w:sz w:val="24"/>
          <w:szCs w:val="24"/>
        </w:rPr>
        <w:t xml:space="preserve"> (recomandare)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779"/>
      </w:tblGrid>
      <w:tr w:rsidR="001C08A5" w14:paraId="54F883AF" w14:textId="77777777">
        <w:tc>
          <w:tcPr>
            <w:tcW w:w="9855" w:type="dxa"/>
            <w:gridSpan w:val="2"/>
          </w:tcPr>
          <w:p w14:paraId="40E60FCA" w14:textId="77777777" w:rsidR="001C08A5" w:rsidRDefault="00000000">
            <w:pPr>
              <w:numPr>
                <w:ilvl w:val="255"/>
                <w:numId w:val="0"/>
              </w:numPr>
              <w:tabs>
                <w:tab w:val="left" w:pos="426"/>
                <w:tab w:val="left" w:pos="993"/>
              </w:tabs>
              <w:jc w:val="center"/>
              <w:rPr>
                <w:bCs/>
                <w:i/>
                <w:sz w:val="24"/>
                <w:szCs w:val="24"/>
              </w:rPr>
            </w:pPr>
            <w:r>
              <w:rPr>
                <w:bCs/>
                <w:i/>
                <w:noProof/>
                <w:sz w:val="24"/>
                <w:szCs w:val="24"/>
                <w:lang w:eastAsia="ro-RO"/>
              </w:rPr>
              <w:drawing>
                <wp:inline distT="0" distB="0" distL="114300" distR="114300" wp14:anchorId="4CA5EB38" wp14:editId="143D9DB6">
                  <wp:extent cx="4419600" cy="2500630"/>
                  <wp:effectExtent l="0" t="0" r="0" b="13970"/>
                  <wp:docPr id="318" name="Picture 4" descr="1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4" descr="1 nou"/>
                          <pic:cNvPicPr>
                            <a:picLocks noChangeAspect="1"/>
                          </pic:cNvPicPr>
                        </pic:nvPicPr>
                        <pic:blipFill>
                          <a:blip r:embed="rId267"/>
                          <a:stretch>
                            <a:fillRect/>
                          </a:stretch>
                        </pic:blipFill>
                        <pic:spPr>
                          <a:xfrm>
                            <a:off x="0" y="0"/>
                            <a:ext cx="4419600" cy="2500630"/>
                          </a:xfrm>
                          <a:prstGeom prst="rect">
                            <a:avLst/>
                          </a:prstGeom>
                          <a:noFill/>
                          <a:ln>
                            <a:noFill/>
                          </a:ln>
                        </pic:spPr>
                      </pic:pic>
                    </a:graphicData>
                  </a:graphic>
                </wp:inline>
              </w:drawing>
            </w:r>
          </w:p>
        </w:tc>
      </w:tr>
      <w:tr w:rsidR="001C08A5" w14:paraId="0CCB01DA" w14:textId="77777777">
        <w:tc>
          <w:tcPr>
            <w:tcW w:w="4927" w:type="dxa"/>
          </w:tcPr>
          <w:p w14:paraId="5CE0BF77" w14:textId="77777777" w:rsidR="001C08A5" w:rsidRDefault="00000000">
            <w:pPr>
              <w:rPr>
                <w:i/>
                <w:sz w:val="22"/>
                <w:szCs w:val="22"/>
              </w:rPr>
            </w:pPr>
            <w:r>
              <w:rPr>
                <w:b/>
                <w:bCs/>
                <w:i/>
                <w:sz w:val="22"/>
                <w:szCs w:val="22"/>
              </w:rPr>
              <w:t>Varianta a)</w:t>
            </w:r>
            <w:r>
              <w:rPr>
                <w:i/>
                <w:sz w:val="22"/>
                <w:szCs w:val="22"/>
              </w:rPr>
              <w:t xml:space="preserve"> - Principiul de </w:t>
            </w:r>
            <w:r>
              <w:rPr>
                <w:i/>
                <w:sz w:val="22"/>
                <w:szCs w:val="22"/>
                <w:lang w:val="en-GB"/>
              </w:rPr>
              <w:t>realizare</w:t>
            </w:r>
            <w:r>
              <w:rPr>
                <w:i/>
                <w:sz w:val="22"/>
                <w:szCs w:val="22"/>
              </w:rPr>
              <w:t xml:space="preserve"> a </w:t>
            </w:r>
            <w:r>
              <w:rPr>
                <w:bCs/>
                <w:i/>
                <w:sz w:val="22"/>
                <w:szCs w:val="22"/>
              </w:rPr>
              <w:t>fâşi</w:t>
            </w:r>
            <w:r>
              <w:rPr>
                <w:bCs/>
                <w:i/>
                <w:sz w:val="22"/>
                <w:szCs w:val="22"/>
                <w:lang w:val="en-GB"/>
              </w:rPr>
              <w:t>ei</w:t>
            </w:r>
            <w:r>
              <w:rPr>
                <w:bCs/>
                <w:i/>
                <w:sz w:val="22"/>
                <w:szCs w:val="22"/>
              </w:rPr>
              <w:t xml:space="preserve"> orizontale continui de termoizolaţie clasa de reacţie la foc </w:t>
            </w:r>
            <w:r>
              <w:rPr>
                <w:b/>
                <w:i/>
                <w:sz w:val="22"/>
                <w:szCs w:val="22"/>
              </w:rPr>
              <w:t xml:space="preserve">A1 </w:t>
            </w:r>
            <w:r>
              <w:rPr>
                <w:bCs/>
                <w:i/>
                <w:sz w:val="22"/>
                <w:szCs w:val="22"/>
              </w:rPr>
              <w:t>sau</w:t>
            </w:r>
            <w:r>
              <w:rPr>
                <w:b/>
                <w:i/>
                <w:sz w:val="22"/>
                <w:szCs w:val="22"/>
              </w:rPr>
              <w:t xml:space="preserve"> A2-s1d0</w:t>
            </w:r>
            <w:r>
              <w:rPr>
                <w:i/>
                <w:sz w:val="22"/>
                <w:szCs w:val="22"/>
              </w:rPr>
              <w:t xml:space="preserve"> (grosime </w:t>
            </w:r>
            <w:r>
              <w:rPr>
                <w:bCs/>
                <w:i/>
                <w:sz w:val="22"/>
                <w:szCs w:val="22"/>
              </w:rPr>
              <w:t xml:space="preserve"> ter</w:t>
            </w:r>
            <w:r>
              <w:rPr>
                <w:bCs/>
                <w:i/>
                <w:sz w:val="22"/>
                <w:szCs w:val="22"/>
                <w:lang w:val="en-GB"/>
              </w:rPr>
              <w:t>moizolatie</w:t>
            </w:r>
            <w:r>
              <w:rPr>
                <w:bCs/>
                <w:i/>
                <w:sz w:val="22"/>
                <w:szCs w:val="22"/>
              </w:rPr>
              <w:t xml:space="preserve"> exterioară a pereţilor perimetrali </w:t>
            </w:r>
            <w:r>
              <w:rPr>
                <w:bCs/>
                <w:i/>
                <w:sz w:val="22"/>
                <w:szCs w:val="22"/>
                <w:lang w:val="en-GB"/>
              </w:rPr>
              <w:t>diferit</w:t>
            </w:r>
            <w:r>
              <w:rPr>
                <w:bCs/>
                <w:i/>
                <w:sz w:val="22"/>
                <w:szCs w:val="22"/>
              </w:rPr>
              <w:t>ă</w:t>
            </w:r>
            <w:r>
              <w:rPr>
                <w:bCs/>
                <w:i/>
                <w:sz w:val="22"/>
                <w:szCs w:val="22"/>
                <w:lang w:val="en-GB"/>
              </w:rPr>
              <w:t xml:space="preserve"> de </w:t>
            </w:r>
            <w:r>
              <w:rPr>
                <w:b/>
                <w:bCs/>
                <w:i/>
                <w:sz w:val="22"/>
                <w:szCs w:val="22"/>
              </w:rPr>
              <w:t>A1</w:t>
            </w:r>
            <w:r>
              <w:rPr>
                <w:i/>
                <w:sz w:val="22"/>
                <w:szCs w:val="22"/>
              </w:rPr>
              <w:t xml:space="preserve">, </w:t>
            </w:r>
            <w:r>
              <w:rPr>
                <w:b/>
                <w:bCs/>
                <w:i/>
                <w:sz w:val="22"/>
                <w:szCs w:val="22"/>
              </w:rPr>
              <w:t>A2-s1d</w:t>
            </w:r>
            <w:r>
              <w:rPr>
                <w:b/>
                <w:bCs/>
                <w:i/>
                <w:sz w:val="22"/>
                <w:szCs w:val="22"/>
                <w:lang w:val="en-GB"/>
              </w:rPr>
              <w:t>0</w:t>
            </w:r>
            <w:r>
              <w:rPr>
                <w:i/>
                <w:sz w:val="22"/>
                <w:szCs w:val="22"/>
                <w:lang w:val="en-GB"/>
              </w:rPr>
              <w:t xml:space="preserve"> </w:t>
            </w:r>
            <w:r>
              <w:rPr>
                <w:i/>
                <w:sz w:val="22"/>
                <w:szCs w:val="22"/>
              </w:rPr>
              <w:t xml:space="preserve"> </w:t>
            </w:r>
            <w:r>
              <w:rPr>
                <w:i/>
                <w:sz w:val="22"/>
                <w:szCs w:val="22"/>
                <w:lang w:val="en-GB"/>
              </w:rPr>
              <w:t xml:space="preserve">&lt; </w:t>
            </w:r>
            <w:r>
              <w:rPr>
                <w:i/>
                <w:sz w:val="22"/>
                <w:szCs w:val="22"/>
              </w:rPr>
              <w:t>200 mm)</w:t>
            </w:r>
          </w:p>
          <w:p w14:paraId="351E31D7" w14:textId="77777777" w:rsidR="001C08A5" w:rsidRDefault="00000000">
            <w:pPr>
              <w:rPr>
                <w:i/>
                <w:sz w:val="22"/>
                <w:szCs w:val="22"/>
              </w:rPr>
            </w:pPr>
            <w:r>
              <w:rPr>
                <w:i/>
                <w:sz w:val="22"/>
                <w:szCs w:val="22"/>
              </w:rPr>
              <w:t xml:space="preserve">Cu condiția ca </w:t>
            </w:r>
            <w:r>
              <w:rPr>
                <w:i/>
                <w:sz w:val="22"/>
                <w:szCs w:val="22"/>
                <w:lang w:val="en-GB"/>
              </w:rPr>
              <w:t xml:space="preserve"> t</w:t>
            </w:r>
            <w:r>
              <w:rPr>
                <w:i/>
                <w:sz w:val="22"/>
                <w:szCs w:val="22"/>
              </w:rPr>
              <w:t xml:space="preserve"> &lt;200 mm</w:t>
            </w:r>
          </w:p>
          <w:p w14:paraId="626AD760" w14:textId="77777777" w:rsidR="001C08A5" w:rsidRDefault="001C08A5">
            <w:pPr>
              <w:numPr>
                <w:ilvl w:val="255"/>
                <w:numId w:val="0"/>
              </w:numPr>
              <w:tabs>
                <w:tab w:val="left" w:pos="426"/>
                <w:tab w:val="left" w:pos="993"/>
              </w:tabs>
              <w:rPr>
                <w:bCs/>
                <w:i/>
                <w:sz w:val="24"/>
                <w:szCs w:val="24"/>
              </w:rPr>
            </w:pPr>
          </w:p>
        </w:tc>
        <w:tc>
          <w:tcPr>
            <w:tcW w:w="4928" w:type="dxa"/>
          </w:tcPr>
          <w:p w14:paraId="37D568A6" w14:textId="77777777" w:rsidR="001C08A5" w:rsidRDefault="00000000">
            <w:pPr>
              <w:rPr>
                <w:i/>
                <w:sz w:val="22"/>
                <w:szCs w:val="22"/>
              </w:rPr>
            </w:pPr>
            <w:r>
              <w:rPr>
                <w:b/>
                <w:bCs/>
                <w:i/>
                <w:sz w:val="22"/>
                <w:szCs w:val="22"/>
              </w:rPr>
              <w:t xml:space="preserve">Varianta b) </w:t>
            </w:r>
            <w:r>
              <w:rPr>
                <w:i/>
                <w:sz w:val="22"/>
                <w:szCs w:val="22"/>
              </w:rPr>
              <w:t xml:space="preserve">- Principiul de </w:t>
            </w:r>
            <w:r>
              <w:rPr>
                <w:i/>
                <w:sz w:val="22"/>
                <w:szCs w:val="22"/>
                <w:lang w:val="en-GB"/>
              </w:rPr>
              <w:t>realizare</w:t>
            </w:r>
            <w:r>
              <w:rPr>
                <w:i/>
                <w:sz w:val="22"/>
                <w:szCs w:val="22"/>
              </w:rPr>
              <w:t xml:space="preserve"> a </w:t>
            </w:r>
            <w:r>
              <w:rPr>
                <w:bCs/>
                <w:i/>
                <w:sz w:val="22"/>
                <w:szCs w:val="22"/>
              </w:rPr>
              <w:t>fâşii</w:t>
            </w:r>
            <w:r>
              <w:rPr>
                <w:bCs/>
                <w:i/>
                <w:sz w:val="22"/>
                <w:szCs w:val="22"/>
                <w:lang w:val="en-GB"/>
              </w:rPr>
              <w:t>lor (2)</w:t>
            </w:r>
            <w:r>
              <w:rPr>
                <w:bCs/>
                <w:i/>
                <w:sz w:val="22"/>
                <w:szCs w:val="22"/>
              </w:rPr>
              <w:t xml:space="preserve"> orizontale continui de termoizolaţie clasa de reacţie la foc </w:t>
            </w:r>
            <w:r>
              <w:rPr>
                <w:b/>
                <w:i/>
                <w:sz w:val="22"/>
                <w:szCs w:val="22"/>
              </w:rPr>
              <w:t xml:space="preserve">A1 </w:t>
            </w:r>
            <w:r>
              <w:rPr>
                <w:bCs/>
                <w:i/>
                <w:sz w:val="22"/>
                <w:szCs w:val="22"/>
              </w:rPr>
              <w:t>sau</w:t>
            </w:r>
            <w:r>
              <w:rPr>
                <w:b/>
                <w:i/>
                <w:sz w:val="22"/>
                <w:szCs w:val="22"/>
              </w:rPr>
              <w:t xml:space="preserve"> A2-s1d0</w:t>
            </w:r>
            <w:r>
              <w:rPr>
                <w:b/>
                <w:i/>
                <w:sz w:val="22"/>
                <w:szCs w:val="22"/>
                <w:lang w:val="en-GB"/>
              </w:rPr>
              <w:t xml:space="preserve"> - </w:t>
            </w:r>
            <w:r>
              <w:rPr>
                <w:i/>
                <w:sz w:val="22"/>
                <w:szCs w:val="22"/>
              </w:rPr>
              <w:t>suprapunerea a două benzi continue (grosime</w:t>
            </w:r>
            <w:r>
              <w:rPr>
                <w:bCs/>
                <w:i/>
                <w:sz w:val="22"/>
                <w:szCs w:val="22"/>
              </w:rPr>
              <w:t xml:space="preserve"> ter</w:t>
            </w:r>
            <w:r>
              <w:rPr>
                <w:bCs/>
                <w:i/>
                <w:sz w:val="22"/>
                <w:szCs w:val="22"/>
                <w:lang w:val="en-GB"/>
              </w:rPr>
              <w:t>moizolatie</w:t>
            </w:r>
            <w:r>
              <w:rPr>
                <w:bCs/>
                <w:i/>
                <w:sz w:val="22"/>
                <w:szCs w:val="22"/>
              </w:rPr>
              <w:t xml:space="preserve"> exterioară a pereţilor perimetrali </w:t>
            </w:r>
            <w:r>
              <w:rPr>
                <w:bCs/>
                <w:i/>
                <w:sz w:val="22"/>
                <w:szCs w:val="22"/>
                <w:lang w:val="en-GB"/>
              </w:rPr>
              <w:t>diferit</w:t>
            </w:r>
            <w:r>
              <w:rPr>
                <w:bCs/>
                <w:i/>
                <w:sz w:val="22"/>
                <w:szCs w:val="22"/>
              </w:rPr>
              <w:t>ă</w:t>
            </w:r>
            <w:r>
              <w:rPr>
                <w:bCs/>
                <w:i/>
                <w:sz w:val="22"/>
                <w:szCs w:val="22"/>
                <w:lang w:val="en-GB"/>
              </w:rPr>
              <w:t xml:space="preserve"> de </w:t>
            </w:r>
            <w:r>
              <w:rPr>
                <w:b/>
                <w:bCs/>
                <w:i/>
                <w:sz w:val="22"/>
                <w:szCs w:val="22"/>
              </w:rPr>
              <w:t>A1</w:t>
            </w:r>
            <w:r>
              <w:rPr>
                <w:i/>
                <w:sz w:val="22"/>
                <w:szCs w:val="22"/>
              </w:rPr>
              <w:t xml:space="preserve">, </w:t>
            </w:r>
            <w:r>
              <w:rPr>
                <w:b/>
                <w:bCs/>
                <w:i/>
                <w:sz w:val="22"/>
                <w:szCs w:val="22"/>
              </w:rPr>
              <w:t>A2-s1d</w:t>
            </w:r>
            <w:r>
              <w:rPr>
                <w:b/>
                <w:bCs/>
                <w:i/>
                <w:sz w:val="22"/>
                <w:szCs w:val="22"/>
                <w:lang w:val="en-GB"/>
              </w:rPr>
              <w:t>0</w:t>
            </w:r>
            <w:r>
              <w:rPr>
                <w:i/>
                <w:sz w:val="22"/>
                <w:szCs w:val="22"/>
                <w:lang w:val="en-GB"/>
              </w:rPr>
              <w:t xml:space="preserve"> </w:t>
            </w:r>
            <w:r>
              <w:rPr>
                <w:b/>
                <w:bCs/>
                <w:i/>
                <w:sz w:val="22"/>
                <w:szCs w:val="22"/>
                <w:lang w:val="en-GB"/>
              </w:rPr>
              <w:t>≥</w:t>
            </w:r>
            <w:r>
              <w:rPr>
                <w:b/>
                <w:bCs/>
                <w:i/>
                <w:sz w:val="22"/>
                <w:szCs w:val="22"/>
              </w:rPr>
              <w:t xml:space="preserve"> 200 mm</w:t>
            </w:r>
            <w:r>
              <w:rPr>
                <w:i/>
                <w:sz w:val="22"/>
                <w:szCs w:val="22"/>
              </w:rPr>
              <w:t>)</w:t>
            </w:r>
          </w:p>
          <w:p w14:paraId="111C7BEE" w14:textId="77777777" w:rsidR="001C08A5" w:rsidRDefault="00000000">
            <w:pPr>
              <w:rPr>
                <w:bCs/>
                <w:i/>
                <w:sz w:val="24"/>
                <w:szCs w:val="24"/>
              </w:rPr>
            </w:pPr>
            <w:r>
              <w:rPr>
                <w:i/>
                <w:sz w:val="22"/>
                <w:szCs w:val="22"/>
              </w:rPr>
              <w:t xml:space="preserve">Cu următoalele condiții: </w:t>
            </w:r>
            <w:r>
              <w:rPr>
                <w:b/>
                <w:bCs/>
                <w:i/>
                <w:sz w:val="22"/>
                <w:szCs w:val="22"/>
                <w:lang w:val="en-GB"/>
              </w:rPr>
              <w:t>t</w:t>
            </w:r>
            <w:r>
              <w:rPr>
                <w:b/>
                <w:bCs/>
                <w:i/>
                <w:sz w:val="22"/>
                <w:szCs w:val="22"/>
              </w:rPr>
              <w:t xml:space="preserve"> ≥200 mm</w:t>
            </w:r>
            <w:r>
              <w:rPr>
                <w:i/>
                <w:sz w:val="22"/>
                <w:szCs w:val="22"/>
              </w:rPr>
              <w:t>,</w:t>
            </w:r>
            <w:r>
              <w:rPr>
                <w:b/>
                <w:bCs/>
                <w:i/>
                <w:sz w:val="22"/>
                <w:szCs w:val="22"/>
              </w:rPr>
              <w:t xml:space="preserve"> t</w:t>
            </w:r>
            <w:r>
              <w:rPr>
                <w:b/>
                <w:bCs/>
                <w:i/>
                <w:sz w:val="22"/>
                <w:szCs w:val="22"/>
                <w:lang w:val="en-GB"/>
              </w:rPr>
              <w:t>1&gt;t2</w:t>
            </w:r>
            <w:r>
              <w:rPr>
                <w:i/>
                <w:sz w:val="22"/>
                <w:szCs w:val="22"/>
              </w:rPr>
              <w:t xml:space="preserve"> și </w:t>
            </w:r>
            <w:r>
              <w:rPr>
                <w:b/>
                <w:bCs/>
                <w:i/>
                <w:sz w:val="22"/>
                <w:szCs w:val="22"/>
              </w:rPr>
              <w:t>t</w:t>
            </w:r>
            <w:r>
              <w:rPr>
                <w:b/>
                <w:bCs/>
                <w:i/>
                <w:sz w:val="22"/>
                <w:szCs w:val="22"/>
                <w:lang w:val="en-GB"/>
              </w:rPr>
              <w:t>2</w:t>
            </w:r>
            <w:r>
              <w:rPr>
                <w:b/>
                <w:bCs/>
                <w:i/>
                <w:sz w:val="22"/>
                <w:szCs w:val="22"/>
              </w:rPr>
              <w:t>≥</w:t>
            </w:r>
            <w:r>
              <w:rPr>
                <w:b/>
                <w:bCs/>
                <w:i/>
                <w:sz w:val="22"/>
                <w:szCs w:val="22"/>
                <w:lang w:val="en-GB"/>
              </w:rPr>
              <w:t>1</w:t>
            </w:r>
            <w:r>
              <w:rPr>
                <w:b/>
                <w:bCs/>
                <w:i/>
                <w:sz w:val="22"/>
                <w:szCs w:val="22"/>
              </w:rPr>
              <w:t>00 mm</w:t>
            </w:r>
          </w:p>
        </w:tc>
      </w:tr>
    </w:tbl>
    <w:p w14:paraId="6312B7FF" w14:textId="77777777" w:rsidR="001C08A5" w:rsidRDefault="00000000">
      <w:pPr>
        <w:pStyle w:val="Caption"/>
        <w:jc w:val="center"/>
        <w:rPr>
          <w:bCs/>
        </w:rPr>
      </w:pPr>
      <w:bookmarkStart w:id="6419" w:name="_Toc162360332"/>
      <w:r>
        <w:t xml:space="preserve">Figura </w:t>
      </w:r>
      <w:r>
        <w:fldChar w:fldCharType="begin"/>
      </w:r>
      <w:r>
        <w:instrText xml:space="preserve"> SEQ Figura \* ARABIC </w:instrText>
      </w:r>
      <w:r>
        <w:fldChar w:fldCharType="separate"/>
      </w:r>
      <w:r>
        <w:t>108</w:t>
      </w:r>
      <w:r>
        <w:fldChar w:fldCharType="end"/>
      </w:r>
      <w:bookmarkStart w:id="6420" w:name="_Toc21983"/>
      <w:bookmarkStart w:id="6421" w:name="_Toc13223"/>
      <w:bookmarkStart w:id="6422" w:name="_Toc12925"/>
      <w:bookmarkStart w:id="6423" w:name="_Toc30196"/>
      <w:bookmarkStart w:id="6424" w:name="_Toc32456"/>
      <w:bookmarkStart w:id="6425" w:name="_Toc30916"/>
      <w:bookmarkStart w:id="6426" w:name="_Toc3873"/>
      <w:bookmarkStart w:id="6427" w:name="_Toc24727"/>
      <w:bookmarkStart w:id="6428" w:name="_Toc23526"/>
      <w:r>
        <w:t xml:space="preserve"> - </w:t>
      </w:r>
      <w:r>
        <w:rPr>
          <w:bCs/>
        </w:rPr>
        <w:t>Principiul general de realizare a fâşiei/ benzii orizontale continui de termoizolaţie, clasa de reacţie la foc A1 sau A2-s1d0</w:t>
      </w:r>
      <w:bookmarkEnd w:id="6419"/>
      <w:bookmarkEnd w:id="6420"/>
      <w:bookmarkEnd w:id="6421"/>
      <w:bookmarkEnd w:id="6422"/>
      <w:bookmarkEnd w:id="6423"/>
      <w:bookmarkEnd w:id="6424"/>
      <w:bookmarkEnd w:id="6425"/>
      <w:bookmarkEnd w:id="6426"/>
      <w:bookmarkEnd w:id="6427"/>
      <w:bookmarkEnd w:id="6428"/>
    </w:p>
    <w:p w14:paraId="6029AD7E" w14:textId="77777777" w:rsidR="001C08A5" w:rsidRDefault="001C08A5">
      <w:pPr>
        <w:numPr>
          <w:ilvl w:val="255"/>
          <w:numId w:val="0"/>
        </w:numPr>
        <w:tabs>
          <w:tab w:val="left" w:pos="426"/>
          <w:tab w:val="left" w:pos="993"/>
        </w:tabs>
        <w:jc w:val="both"/>
        <w:rPr>
          <w:bCs/>
          <w:i/>
          <w:sz w:val="24"/>
        </w:rPr>
      </w:pPr>
    </w:p>
    <w:p w14:paraId="39F19E47" w14:textId="77777777" w:rsidR="001C08A5" w:rsidRDefault="00000000">
      <w:pPr>
        <w:numPr>
          <w:ilvl w:val="0"/>
          <w:numId w:val="96"/>
        </w:numPr>
        <w:tabs>
          <w:tab w:val="left" w:pos="426"/>
          <w:tab w:val="left" w:pos="993"/>
        </w:tabs>
        <w:jc w:val="both"/>
        <w:rPr>
          <w:bCs/>
          <w:i/>
          <w:sz w:val="24"/>
        </w:rPr>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cuprinzând gol</w:t>
      </w:r>
      <w:r>
        <w:rPr>
          <w:bCs/>
          <w:i/>
          <w:sz w:val="24"/>
          <w:lang w:val="en-GB"/>
        </w:rPr>
        <w:t>uri (u</w:t>
      </w:r>
      <w:r>
        <w:rPr>
          <w:bCs/>
          <w:i/>
          <w:sz w:val="24"/>
        </w:rPr>
        <w:t>ș</w:t>
      </w:r>
      <w:r>
        <w:rPr>
          <w:bCs/>
          <w:i/>
          <w:sz w:val="24"/>
          <w:lang w:val="en-GB"/>
        </w:rPr>
        <w:t xml:space="preserve">i </w:t>
      </w:r>
      <w:r>
        <w:rPr>
          <w:bCs/>
          <w:i/>
          <w:sz w:val="24"/>
        </w:rPr>
        <w:t>ș</w:t>
      </w:r>
      <w:r>
        <w:rPr>
          <w:bCs/>
          <w:i/>
          <w:sz w:val="24"/>
          <w:lang w:val="en-GB"/>
        </w:rPr>
        <w:t xml:space="preserve">i /sau ferestre) </w:t>
      </w:r>
      <w:r>
        <w:rPr>
          <w:bCs/>
          <w:i/>
          <w:sz w:val="24"/>
        </w:rPr>
        <w:t>î</w:t>
      </w:r>
      <w:r>
        <w:rPr>
          <w:bCs/>
          <w:i/>
          <w:sz w:val="24"/>
          <w:lang w:val="en-GB"/>
        </w:rPr>
        <w:t>n zid</w:t>
      </w:r>
      <w:r>
        <w:rPr>
          <w:bCs/>
          <w:i/>
          <w:sz w:val="24"/>
        </w:rPr>
        <w:t>ă</w:t>
      </w:r>
      <w:r>
        <w:rPr>
          <w:bCs/>
          <w:i/>
          <w:sz w:val="24"/>
          <w:lang w:val="en-GB"/>
        </w:rPr>
        <w:t>rie</w:t>
      </w:r>
      <w:r>
        <w:rPr>
          <w:bCs/>
          <w:i/>
          <w:sz w:val="24"/>
        </w:rPr>
        <w:t xml:space="preserve">, </w:t>
      </w:r>
      <w:r>
        <w:rPr>
          <w:bCs/>
          <w:i/>
          <w:sz w:val="24"/>
          <w:lang w:val="en-GB"/>
        </w:rPr>
        <w:t>realizare</w:t>
      </w:r>
      <w:r>
        <w:rPr>
          <w:bCs/>
          <w:i/>
          <w:sz w:val="24"/>
        </w:rPr>
        <w:t>a fâşii</w:t>
      </w:r>
      <w:r>
        <w:rPr>
          <w:bCs/>
          <w:i/>
          <w:sz w:val="24"/>
          <w:lang w:val="en-GB"/>
        </w:rPr>
        <w:t>lor/ benzilor</w:t>
      </w:r>
      <w:r>
        <w:rPr>
          <w:bCs/>
          <w:i/>
          <w:sz w:val="24"/>
        </w:rPr>
        <w:t xml:space="preserve"> orizontale continui de termoizolaţie clasa de reacţie la foc </w:t>
      </w:r>
      <w:r>
        <w:rPr>
          <w:b/>
          <w:i/>
          <w:sz w:val="24"/>
        </w:rPr>
        <w:t>A1</w:t>
      </w:r>
      <w:r>
        <w:rPr>
          <w:bCs/>
          <w:i/>
          <w:sz w:val="24"/>
        </w:rPr>
        <w:t xml:space="preserve"> sau </w:t>
      </w:r>
      <w:r>
        <w:rPr>
          <w:b/>
          <w:i/>
          <w:sz w:val="24"/>
        </w:rPr>
        <w:t xml:space="preserve">A2-s1d0 </w:t>
      </w:r>
      <w:r>
        <w:rPr>
          <w:bCs/>
          <w:i/>
          <w:sz w:val="24"/>
        </w:rPr>
        <w:t xml:space="preserve">se realizează conform </w:t>
      </w:r>
      <w:r>
        <w:rPr>
          <w:b/>
          <w:bCs/>
          <w:i/>
          <w:iCs/>
          <w:sz w:val="24"/>
          <w:szCs w:val="24"/>
        </w:rPr>
        <w:fldChar w:fldCharType="begin"/>
      </w:r>
      <w:r>
        <w:rPr>
          <w:b/>
          <w:bCs/>
          <w:i/>
          <w:iCs/>
          <w:sz w:val="24"/>
          <w:szCs w:val="24"/>
        </w:rPr>
        <w:instrText xml:space="preserve"> REF _Ref8009 \h </w:instrText>
      </w:r>
      <w:r>
        <w:rPr>
          <w:b/>
          <w:bCs/>
          <w:i/>
          <w:iCs/>
          <w:sz w:val="24"/>
          <w:szCs w:val="24"/>
        </w:rPr>
      </w:r>
      <w:r>
        <w:rPr>
          <w:b/>
          <w:bCs/>
          <w:i/>
          <w:iCs/>
          <w:sz w:val="24"/>
          <w:szCs w:val="24"/>
        </w:rPr>
        <w:fldChar w:fldCharType="separate"/>
      </w:r>
      <w:r>
        <w:t>Figura 109</w:t>
      </w:r>
      <w:r>
        <w:rPr>
          <w:b/>
          <w:bCs/>
          <w:i/>
          <w:iCs/>
          <w:sz w:val="24"/>
          <w:szCs w:val="24"/>
        </w:rPr>
        <w:fldChar w:fldCharType="end"/>
      </w:r>
      <w:r>
        <w:rPr>
          <w:b/>
          <w:i/>
          <w:sz w:val="24"/>
        </w:rPr>
        <w:t>.</w:t>
      </w:r>
    </w:p>
    <w:p w14:paraId="0551EC07" w14:textId="77777777" w:rsidR="001C08A5" w:rsidRDefault="00000000">
      <w:pPr>
        <w:tabs>
          <w:tab w:val="left" w:pos="426"/>
          <w:tab w:val="left" w:pos="993"/>
        </w:tabs>
        <w:jc w:val="center"/>
        <w:rPr>
          <w:bCs/>
          <w:i/>
          <w:sz w:val="24"/>
        </w:rPr>
      </w:pPr>
      <w:r>
        <w:rPr>
          <w:i/>
          <w:noProof/>
          <w:sz w:val="24"/>
          <w:szCs w:val="24"/>
          <w:lang w:eastAsia="ro-RO"/>
        </w:rPr>
        <w:drawing>
          <wp:inline distT="0" distB="0" distL="114300" distR="114300" wp14:anchorId="1AD804D8" wp14:editId="6C3E8F02">
            <wp:extent cx="2728595" cy="3002915"/>
            <wp:effectExtent l="0" t="0" r="14605" b="6985"/>
            <wp:docPr id="169" name="Picture 5" descr="blo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5" descr="bloc 1"/>
                    <pic:cNvPicPr>
                      <a:picLocks noChangeAspect="1"/>
                    </pic:cNvPicPr>
                  </pic:nvPicPr>
                  <pic:blipFill>
                    <a:blip r:embed="rId268"/>
                    <a:srcRect l="2582" r="1726"/>
                    <a:stretch>
                      <a:fillRect/>
                    </a:stretch>
                  </pic:blipFill>
                  <pic:spPr>
                    <a:xfrm>
                      <a:off x="0" y="0"/>
                      <a:ext cx="2728595" cy="3002915"/>
                    </a:xfrm>
                    <a:prstGeom prst="rect">
                      <a:avLst/>
                    </a:prstGeom>
                    <a:noFill/>
                    <a:ln>
                      <a:noFill/>
                    </a:ln>
                  </pic:spPr>
                </pic:pic>
              </a:graphicData>
            </a:graphic>
          </wp:inline>
        </w:drawing>
      </w:r>
    </w:p>
    <w:tbl>
      <w:tblPr>
        <w:tblStyle w:val="TableGrid"/>
        <w:tblW w:w="9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51"/>
        <w:gridCol w:w="4305"/>
      </w:tblGrid>
      <w:tr w:rsidR="001C08A5" w14:paraId="36DB34D3" w14:textId="77777777">
        <w:tc>
          <w:tcPr>
            <w:tcW w:w="9856" w:type="dxa"/>
            <w:gridSpan w:val="2"/>
          </w:tcPr>
          <w:p w14:paraId="32D8810A" w14:textId="77777777" w:rsidR="001C08A5" w:rsidRDefault="001C08A5">
            <w:pPr>
              <w:jc w:val="center"/>
              <w:rPr>
                <w:lang w:val="en-GB"/>
              </w:rPr>
            </w:pPr>
          </w:p>
        </w:tc>
      </w:tr>
      <w:tr w:rsidR="001C08A5" w14:paraId="28C27F29" w14:textId="77777777">
        <w:tc>
          <w:tcPr>
            <w:tcW w:w="5551" w:type="dxa"/>
          </w:tcPr>
          <w:p w14:paraId="1286547A" w14:textId="77777777" w:rsidR="001C08A5" w:rsidRDefault="00000000">
            <w:pPr>
              <w:rPr>
                <w:i/>
                <w:sz w:val="24"/>
                <w:szCs w:val="24"/>
                <w:lang w:val="en-GB"/>
              </w:rPr>
            </w:pPr>
            <w:r>
              <w:rPr>
                <w:i/>
                <w:noProof/>
                <w:sz w:val="24"/>
                <w:szCs w:val="24"/>
                <w:lang w:eastAsia="ro-RO"/>
              </w:rPr>
              <w:lastRenderedPageBreak/>
              <w:drawing>
                <wp:inline distT="0" distB="0" distL="114300" distR="114300" wp14:anchorId="370136F0" wp14:editId="44A56EBA">
                  <wp:extent cx="3422650" cy="741680"/>
                  <wp:effectExtent l="0" t="0" r="6350" b="1270"/>
                  <wp:docPr id="170" name="Picture 6" descr="2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6" descr="2 nou"/>
                          <pic:cNvPicPr>
                            <a:picLocks noChangeAspect="1"/>
                          </pic:cNvPicPr>
                        </pic:nvPicPr>
                        <pic:blipFill>
                          <a:blip r:embed="rId269"/>
                          <a:srcRect l="1005" t="14069" r="34081" b="11841"/>
                          <a:stretch>
                            <a:fillRect/>
                          </a:stretch>
                        </pic:blipFill>
                        <pic:spPr>
                          <a:xfrm>
                            <a:off x="0" y="0"/>
                            <a:ext cx="3456678" cy="749162"/>
                          </a:xfrm>
                          <a:prstGeom prst="rect">
                            <a:avLst/>
                          </a:prstGeom>
                          <a:noFill/>
                          <a:ln>
                            <a:noFill/>
                          </a:ln>
                        </pic:spPr>
                      </pic:pic>
                    </a:graphicData>
                  </a:graphic>
                </wp:inline>
              </w:drawing>
            </w:r>
          </w:p>
        </w:tc>
        <w:tc>
          <w:tcPr>
            <w:tcW w:w="4305" w:type="dxa"/>
          </w:tcPr>
          <w:p w14:paraId="46638D48" w14:textId="77777777" w:rsidR="001C08A5" w:rsidRDefault="00000000">
            <w:pPr>
              <w:rPr>
                <w:i/>
                <w:sz w:val="24"/>
                <w:szCs w:val="24"/>
                <w:lang w:val="en-GB"/>
              </w:rPr>
            </w:pPr>
            <w:r>
              <w:rPr>
                <w:i/>
                <w:sz w:val="24"/>
                <w:szCs w:val="24"/>
                <w:lang w:val="en-GB"/>
              </w:rPr>
              <w:t>g</w:t>
            </w:r>
            <w:r>
              <w:rPr>
                <w:i/>
                <w:sz w:val="24"/>
                <w:szCs w:val="24"/>
              </w:rPr>
              <w:t xml:space="preserve"> </w:t>
            </w:r>
            <w:r>
              <w:rPr>
                <w:i/>
                <w:sz w:val="24"/>
                <w:szCs w:val="24"/>
                <w:lang w:val="en-GB"/>
              </w:rPr>
              <w:t>≤</w:t>
            </w:r>
            <w:r>
              <w:rPr>
                <w:i/>
                <w:sz w:val="24"/>
                <w:szCs w:val="24"/>
              </w:rPr>
              <w:t xml:space="preserve"> </w:t>
            </w:r>
            <w:r>
              <w:rPr>
                <w:i/>
                <w:sz w:val="24"/>
                <w:szCs w:val="24"/>
                <w:lang w:val="en-GB"/>
              </w:rPr>
              <w:t xml:space="preserve">600 mm       </w:t>
            </w:r>
          </w:p>
          <w:p w14:paraId="742FEF80" w14:textId="77777777" w:rsidR="001C08A5" w:rsidRDefault="001C08A5">
            <w:pPr>
              <w:rPr>
                <w:i/>
                <w:sz w:val="24"/>
                <w:szCs w:val="24"/>
                <w:lang w:val="en-GB"/>
              </w:rPr>
            </w:pPr>
          </w:p>
          <w:p w14:paraId="6E03F45D" w14:textId="77777777" w:rsidR="001C08A5" w:rsidRDefault="00000000">
            <w:pPr>
              <w:rPr>
                <w:i/>
                <w:sz w:val="24"/>
                <w:szCs w:val="24"/>
              </w:rPr>
            </w:pPr>
            <w:r>
              <w:rPr>
                <w:i/>
                <w:sz w:val="24"/>
                <w:szCs w:val="24"/>
                <w:lang w:val="en-GB"/>
              </w:rPr>
              <w:t>200 mm</w:t>
            </w:r>
            <w:r>
              <w:rPr>
                <w:i/>
                <w:sz w:val="24"/>
                <w:szCs w:val="24"/>
              </w:rPr>
              <w:t xml:space="preserve"> </w:t>
            </w:r>
            <w:r>
              <w:rPr>
                <w:i/>
                <w:sz w:val="24"/>
                <w:szCs w:val="24"/>
                <w:lang w:val="en-GB"/>
              </w:rPr>
              <w:t>≤</w:t>
            </w:r>
            <w:r>
              <w:rPr>
                <w:i/>
                <w:sz w:val="24"/>
                <w:szCs w:val="24"/>
              </w:rPr>
              <w:t xml:space="preserve"> </w:t>
            </w:r>
            <w:r>
              <w:rPr>
                <w:i/>
                <w:sz w:val="24"/>
                <w:szCs w:val="24"/>
                <w:lang w:val="en-GB"/>
              </w:rPr>
              <w:t>h</w:t>
            </w:r>
            <w:r>
              <w:rPr>
                <w:i/>
                <w:sz w:val="24"/>
                <w:szCs w:val="24"/>
              </w:rPr>
              <w:t xml:space="preserve"> </w:t>
            </w:r>
            <w:r>
              <w:rPr>
                <w:i/>
                <w:sz w:val="24"/>
                <w:szCs w:val="24"/>
                <w:lang w:val="en-GB"/>
              </w:rPr>
              <w:t>≤</w:t>
            </w:r>
            <w:r>
              <w:rPr>
                <w:i/>
                <w:sz w:val="24"/>
                <w:szCs w:val="24"/>
              </w:rPr>
              <w:t xml:space="preserve"> </w:t>
            </w:r>
            <w:r>
              <w:rPr>
                <w:i/>
                <w:sz w:val="24"/>
                <w:szCs w:val="24"/>
                <w:lang w:val="en-GB"/>
              </w:rPr>
              <w:t xml:space="preserve">500 mm </w:t>
            </w:r>
          </w:p>
        </w:tc>
      </w:tr>
    </w:tbl>
    <w:p w14:paraId="4895069C" w14:textId="77777777" w:rsidR="001C08A5" w:rsidRDefault="00000000">
      <w:pPr>
        <w:pStyle w:val="Caption"/>
        <w:numPr>
          <w:ilvl w:val="255"/>
          <w:numId w:val="0"/>
        </w:numPr>
        <w:tabs>
          <w:tab w:val="left" w:pos="426"/>
          <w:tab w:val="left" w:pos="993"/>
        </w:tabs>
        <w:jc w:val="center"/>
        <w:rPr>
          <w:rFonts w:cs="Times New Roman"/>
          <w:lang w:val="en-GB"/>
        </w:rPr>
      </w:pPr>
      <w:bookmarkStart w:id="6429" w:name="_Ref8009"/>
      <w:bookmarkStart w:id="6430" w:name="_Toc12914"/>
      <w:bookmarkStart w:id="6431" w:name="_Toc1107"/>
      <w:bookmarkStart w:id="6432" w:name="_Toc13531"/>
      <w:bookmarkStart w:id="6433" w:name="_Toc162360333"/>
      <w:r>
        <w:t xml:space="preserve">Figura </w:t>
      </w:r>
      <w:r>
        <w:fldChar w:fldCharType="begin"/>
      </w:r>
      <w:r>
        <w:instrText xml:space="preserve"> SEQ Figura \* ARABIC </w:instrText>
      </w:r>
      <w:r>
        <w:fldChar w:fldCharType="separate"/>
      </w:r>
      <w:r>
        <w:t>109</w:t>
      </w:r>
      <w:r>
        <w:fldChar w:fldCharType="end"/>
      </w:r>
      <w:bookmarkStart w:id="6434" w:name="_Toc6055"/>
      <w:bookmarkStart w:id="6435" w:name="_Toc8600"/>
      <w:bookmarkStart w:id="6436" w:name="_Toc28605"/>
      <w:bookmarkStart w:id="6437" w:name="_Toc3325"/>
      <w:bookmarkStart w:id="6438" w:name="_Toc10490"/>
      <w:bookmarkStart w:id="6439" w:name="_Toc10462"/>
      <w:bookmarkStart w:id="6440" w:name="_Toc31723"/>
      <w:bookmarkStart w:id="6441" w:name="_Toc1580"/>
      <w:bookmarkStart w:id="6442" w:name="_Toc14421"/>
      <w:bookmarkEnd w:id="6429"/>
      <w:r>
        <w:t xml:space="preserve"> - </w:t>
      </w:r>
      <w:r>
        <w:rPr>
          <w:rFonts w:cs="Times New Roman"/>
        </w:rPr>
        <w:t xml:space="preserve">Principiul de </w:t>
      </w:r>
      <w:r>
        <w:rPr>
          <w:rFonts w:cs="Times New Roman"/>
          <w:lang w:val="en-GB"/>
        </w:rPr>
        <w:t>realizare</w:t>
      </w:r>
      <w:r>
        <w:rPr>
          <w:rFonts w:cs="Times New Roman"/>
        </w:rPr>
        <w:t xml:space="preserve"> a fâşii</w:t>
      </w:r>
      <w:r>
        <w:rPr>
          <w:rFonts w:cs="Times New Roman"/>
          <w:lang w:val="en-GB"/>
        </w:rPr>
        <w:t>lor/ benzilor</w:t>
      </w:r>
      <w:r>
        <w:rPr>
          <w:rFonts w:cs="Times New Roman"/>
        </w:rPr>
        <w:t xml:space="preserve"> orizontale continui de termoizolaţie clasa de reacţie la foc A1 sau A2-s1d0 pe fațadele cuprinzând gol</w:t>
      </w:r>
      <w:r>
        <w:rPr>
          <w:rFonts w:cs="Times New Roman"/>
          <w:lang w:val="en-GB"/>
        </w:rPr>
        <w:t>uri (u</w:t>
      </w:r>
      <w:r>
        <w:rPr>
          <w:rFonts w:cs="Times New Roman"/>
        </w:rPr>
        <w:t>ș</w:t>
      </w:r>
      <w:r>
        <w:rPr>
          <w:rFonts w:cs="Times New Roman"/>
          <w:lang w:val="en-GB"/>
        </w:rPr>
        <w:t xml:space="preserve">i </w:t>
      </w:r>
      <w:r>
        <w:rPr>
          <w:rFonts w:cs="Times New Roman"/>
        </w:rPr>
        <w:t>ș</w:t>
      </w:r>
      <w:r>
        <w:rPr>
          <w:rFonts w:cs="Times New Roman"/>
          <w:lang w:val="en-GB"/>
        </w:rPr>
        <w:t xml:space="preserve">i /sau ferestre) </w:t>
      </w:r>
      <w:r>
        <w:rPr>
          <w:rFonts w:cs="Times New Roman"/>
        </w:rPr>
        <w:t>î</w:t>
      </w:r>
      <w:r>
        <w:rPr>
          <w:rFonts w:cs="Times New Roman"/>
          <w:lang w:val="en-GB"/>
        </w:rPr>
        <w:t>n zidarie</w:t>
      </w:r>
      <w:bookmarkEnd w:id="6430"/>
      <w:bookmarkEnd w:id="6431"/>
      <w:bookmarkEnd w:id="6432"/>
      <w:bookmarkEnd w:id="6433"/>
      <w:bookmarkEnd w:id="6434"/>
      <w:bookmarkEnd w:id="6435"/>
      <w:bookmarkEnd w:id="6436"/>
      <w:bookmarkEnd w:id="6437"/>
      <w:bookmarkEnd w:id="6438"/>
      <w:bookmarkEnd w:id="6439"/>
      <w:bookmarkEnd w:id="6440"/>
      <w:bookmarkEnd w:id="6441"/>
      <w:bookmarkEnd w:id="6442"/>
    </w:p>
    <w:p w14:paraId="182B69CA" w14:textId="77777777" w:rsidR="001C08A5" w:rsidRDefault="00000000">
      <w:pPr>
        <w:numPr>
          <w:ilvl w:val="0"/>
          <w:numId w:val="96"/>
        </w:numPr>
        <w:tabs>
          <w:tab w:val="left" w:pos="426"/>
          <w:tab w:val="left" w:pos="993"/>
        </w:tabs>
        <w:jc w:val="both"/>
        <w:rPr>
          <w:bCs/>
          <w:i/>
          <w:sz w:val="24"/>
        </w:rPr>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
          <w:i/>
          <w:sz w:val="24"/>
        </w:rPr>
        <w:t xml:space="preserve">, </w:t>
      </w:r>
      <w:r>
        <w:rPr>
          <w:bCs/>
          <w:i/>
          <w:sz w:val="24"/>
        </w:rPr>
        <w:t>fără</w:t>
      </w:r>
      <w:r>
        <w:rPr>
          <w:bCs/>
          <w:i/>
          <w:sz w:val="24"/>
          <w:lang w:val="en-GB"/>
        </w:rPr>
        <w:t xml:space="preserve"> goluri </w:t>
      </w:r>
      <w:r>
        <w:rPr>
          <w:bCs/>
          <w:i/>
          <w:sz w:val="24"/>
        </w:rPr>
        <w:t>î</w:t>
      </w:r>
      <w:r>
        <w:rPr>
          <w:bCs/>
          <w:i/>
          <w:sz w:val="24"/>
          <w:lang w:val="en-GB"/>
        </w:rPr>
        <w:t>n zid</w:t>
      </w:r>
      <w:r>
        <w:rPr>
          <w:bCs/>
          <w:i/>
          <w:sz w:val="24"/>
        </w:rPr>
        <w:t>ă</w:t>
      </w:r>
      <w:r>
        <w:rPr>
          <w:bCs/>
          <w:i/>
          <w:sz w:val="24"/>
          <w:lang w:val="en-GB"/>
        </w:rPr>
        <w:t>rie</w:t>
      </w:r>
      <w:r>
        <w:rPr>
          <w:bCs/>
          <w:i/>
          <w:sz w:val="24"/>
        </w:rPr>
        <w:t xml:space="preserve">, în </w:t>
      </w:r>
      <w:r>
        <w:rPr>
          <w:bCs/>
          <w:i/>
          <w:sz w:val="24"/>
          <w:lang w:val="en-GB"/>
        </w:rPr>
        <w:t xml:space="preserve">cazul unui </w:t>
      </w:r>
      <w:r>
        <w:rPr>
          <w:bCs/>
          <w:i/>
          <w:sz w:val="24"/>
        </w:rPr>
        <w:t xml:space="preserve">sistem de tencuială groasă, </w:t>
      </w:r>
      <w:r>
        <w:rPr>
          <w:bCs/>
          <w:i/>
          <w:sz w:val="24"/>
          <w:lang w:val="en-GB"/>
        </w:rPr>
        <w:t>realizare</w:t>
      </w:r>
      <w:r>
        <w:rPr>
          <w:bCs/>
          <w:i/>
          <w:sz w:val="24"/>
        </w:rPr>
        <w:t>a fâşii</w:t>
      </w:r>
      <w:r>
        <w:rPr>
          <w:bCs/>
          <w:i/>
          <w:sz w:val="24"/>
          <w:lang w:val="en-GB"/>
        </w:rPr>
        <w:t>lor/ benzilor</w:t>
      </w:r>
      <w:r>
        <w:rPr>
          <w:bCs/>
          <w:i/>
          <w:sz w:val="24"/>
        </w:rPr>
        <w:t xml:space="preserve"> orizontale continui de termoizolaţie clasa de reacţie la foc </w:t>
      </w:r>
      <w:r>
        <w:rPr>
          <w:b/>
          <w:i/>
          <w:sz w:val="24"/>
        </w:rPr>
        <w:t>A1</w:t>
      </w:r>
      <w:r>
        <w:rPr>
          <w:bCs/>
          <w:i/>
          <w:sz w:val="24"/>
        </w:rPr>
        <w:t xml:space="preserve"> sau </w:t>
      </w:r>
      <w:r>
        <w:rPr>
          <w:b/>
          <w:i/>
          <w:sz w:val="24"/>
        </w:rPr>
        <w:t>A2-s1d0</w:t>
      </w:r>
      <w:r>
        <w:rPr>
          <w:bCs/>
          <w:i/>
          <w:sz w:val="24"/>
        </w:rPr>
        <w:t xml:space="preserve"> se realizează conform </w:t>
      </w:r>
      <w:r>
        <w:rPr>
          <w:b/>
          <w:bCs/>
          <w:i/>
          <w:iCs/>
          <w:sz w:val="24"/>
          <w:szCs w:val="24"/>
        </w:rPr>
        <w:fldChar w:fldCharType="begin"/>
      </w:r>
      <w:r>
        <w:rPr>
          <w:b/>
          <w:bCs/>
          <w:i/>
          <w:iCs/>
          <w:sz w:val="24"/>
          <w:szCs w:val="24"/>
        </w:rPr>
        <w:instrText xml:space="preserve"> REF _Ref8127 \h </w:instrText>
      </w:r>
      <w:r>
        <w:rPr>
          <w:b/>
          <w:bCs/>
          <w:i/>
          <w:iCs/>
          <w:sz w:val="24"/>
          <w:szCs w:val="24"/>
        </w:rPr>
      </w:r>
      <w:r>
        <w:rPr>
          <w:b/>
          <w:bCs/>
          <w:i/>
          <w:iCs/>
          <w:sz w:val="24"/>
          <w:szCs w:val="24"/>
        </w:rPr>
        <w:fldChar w:fldCharType="separate"/>
      </w:r>
      <w:r>
        <w:t>Figura 110</w:t>
      </w:r>
      <w:r>
        <w:rPr>
          <w:b/>
          <w:bCs/>
          <w:i/>
          <w:iCs/>
          <w:sz w:val="24"/>
          <w:szCs w:val="24"/>
        </w:rPr>
        <w:fldChar w:fldCharType="end"/>
      </w:r>
      <w:r>
        <w:rPr>
          <w:b/>
          <w:i/>
          <w:sz w:val="24"/>
        </w:rPr>
        <w:t xml:space="preserve">. </w:t>
      </w:r>
      <w:r>
        <w:rPr>
          <w:i/>
          <w:iCs/>
          <w:sz w:val="24"/>
          <w:szCs w:val="24"/>
        </w:rPr>
        <w:t>Se</w:t>
      </w:r>
      <w:r>
        <w:rPr>
          <w:bCs/>
          <w:i/>
          <w:iCs/>
          <w:sz w:val="24"/>
          <w:szCs w:val="24"/>
        </w:rPr>
        <w:t xml:space="preserve"> apli</w:t>
      </w:r>
      <w:r>
        <w:rPr>
          <w:bCs/>
          <w:i/>
          <w:sz w:val="24"/>
          <w:szCs w:val="24"/>
        </w:rPr>
        <w:t>că o singură fâşi</w:t>
      </w:r>
      <w:r>
        <w:rPr>
          <w:bCs/>
          <w:i/>
          <w:sz w:val="24"/>
          <w:szCs w:val="24"/>
          <w:lang w:val="en-GB"/>
        </w:rPr>
        <w:t>e</w:t>
      </w:r>
      <w:r>
        <w:rPr>
          <w:bCs/>
          <w:i/>
          <w:sz w:val="24"/>
          <w:szCs w:val="24"/>
        </w:rPr>
        <w:t xml:space="preserve"> la începutul inferior al</w:t>
      </w:r>
      <w:r>
        <w:rPr>
          <w:bCs/>
          <w:i/>
          <w:sz w:val="24"/>
          <w:szCs w:val="24"/>
          <w:lang w:val="en-GB"/>
        </w:rPr>
        <w:t xml:space="preserve"> termoizolatiei combustibile</w:t>
      </w:r>
      <w:r>
        <w:rPr>
          <w:bCs/>
          <w:i/>
          <w:sz w:val="24"/>
          <w:szCs w:val="24"/>
        </w:rPr>
        <w:t xml:space="preserve"> (nivelul </w:t>
      </w:r>
      <w:r>
        <w:rPr>
          <w:bCs/>
          <w:i/>
          <w:sz w:val="24"/>
          <w:szCs w:val="24"/>
          <w:lang w:val="en-GB"/>
        </w:rPr>
        <w:t xml:space="preserve">de jos al </w:t>
      </w:r>
      <w:r>
        <w:rPr>
          <w:bCs/>
          <w:i/>
          <w:sz w:val="24"/>
          <w:szCs w:val="24"/>
        </w:rPr>
        <w:t>fâşi</w:t>
      </w:r>
      <w:r>
        <w:rPr>
          <w:bCs/>
          <w:i/>
          <w:sz w:val="24"/>
          <w:szCs w:val="24"/>
          <w:lang w:val="en-GB"/>
        </w:rPr>
        <w:t>ei/ benzii,</w:t>
      </w:r>
      <w:r>
        <w:rPr>
          <w:bCs/>
          <w:i/>
          <w:sz w:val="24"/>
          <w:szCs w:val="24"/>
        </w:rPr>
        <w:t xml:space="preserve"> la o distanță maximă de 600 mm deasupra </w:t>
      </w:r>
      <w:r>
        <w:rPr>
          <w:bCs/>
          <w:i/>
          <w:sz w:val="24"/>
          <w:szCs w:val="24"/>
          <w:lang w:val="en-GB"/>
        </w:rPr>
        <w:t xml:space="preserve">cotei de </w:t>
      </w:r>
      <w:r>
        <w:rPr>
          <w:bCs/>
          <w:i/>
          <w:sz w:val="24"/>
          <w:szCs w:val="24"/>
        </w:rPr>
        <w:t>î</w:t>
      </w:r>
      <w:r>
        <w:rPr>
          <w:bCs/>
          <w:i/>
          <w:sz w:val="24"/>
          <w:szCs w:val="24"/>
          <w:lang w:val="en-GB"/>
        </w:rPr>
        <w:t>nceput a termoizolatiei)</w:t>
      </w:r>
      <w:r>
        <w:rPr>
          <w:bCs/>
          <w:i/>
          <w:sz w:val="24"/>
          <w:szCs w:val="24"/>
        </w:rPr>
        <w:t xml:space="preserve">. </w:t>
      </w:r>
    </w:p>
    <w:p w14:paraId="54861910" w14:textId="77777777" w:rsidR="001C08A5" w:rsidRDefault="00000000">
      <w:pPr>
        <w:numPr>
          <w:ilvl w:val="255"/>
          <w:numId w:val="0"/>
        </w:numPr>
        <w:tabs>
          <w:tab w:val="left" w:pos="426"/>
          <w:tab w:val="left" w:pos="993"/>
        </w:tabs>
        <w:jc w:val="center"/>
        <w:rPr>
          <w:bCs/>
          <w:i/>
          <w:sz w:val="24"/>
          <w:szCs w:val="24"/>
          <w:lang w:eastAsia="ro-RO"/>
        </w:rPr>
      </w:pPr>
      <w:r>
        <w:rPr>
          <w:bCs/>
          <w:i/>
          <w:noProof/>
          <w:sz w:val="24"/>
          <w:szCs w:val="24"/>
          <w:lang w:eastAsia="ro-RO"/>
        </w:rPr>
        <w:drawing>
          <wp:inline distT="0" distB="0" distL="114300" distR="114300" wp14:anchorId="1995B1BC" wp14:editId="1ED03CCF">
            <wp:extent cx="2609850" cy="2792095"/>
            <wp:effectExtent l="0" t="0" r="0" b="8255"/>
            <wp:docPr id="171" name="Picture 7" descr="blo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7" descr="bloc 2"/>
                    <pic:cNvPicPr>
                      <a:picLocks noChangeAspect="1"/>
                    </pic:cNvPicPr>
                  </pic:nvPicPr>
                  <pic:blipFill>
                    <a:blip r:embed="rId270"/>
                    <a:srcRect l="552" r="552"/>
                    <a:stretch>
                      <a:fillRect/>
                    </a:stretch>
                  </pic:blipFill>
                  <pic:spPr>
                    <a:xfrm>
                      <a:off x="0" y="0"/>
                      <a:ext cx="2609850" cy="2792095"/>
                    </a:xfrm>
                    <a:prstGeom prst="rect">
                      <a:avLst/>
                    </a:prstGeom>
                    <a:noFill/>
                    <a:ln>
                      <a:noFill/>
                    </a:ln>
                  </pic:spPr>
                </pic:pic>
              </a:graphicData>
            </a:graphic>
          </wp:inline>
        </w:drawing>
      </w:r>
    </w:p>
    <w:p w14:paraId="377C5ADF" w14:textId="77777777" w:rsidR="001C08A5" w:rsidRDefault="00000000">
      <w:pPr>
        <w:pStyle w:val="Caption"/>
        <w:widowControl w:val="0"/>
        <w:numPr>
          <w:ilvl w:val="255"/>
          <w:numId w:val="0"/>
        </w:numPr>
        <w:jc w:val="center"/>
      </w:pPr>
      <w:bookmarkStart w:id="6443" w:name="_Ref8127"/>
      <w:bookmarkStart w:id="6444" w:name="_Toc23881"/>
      <w:bookmarkStart w:id="6445" w:name="_Toc26928"/>
      <w:bookmarkStart w:id="6446" w:name="_Toc28233"/>
      <w:bookmarkStart w:id="6447" w:name="_Toc162360334"/>
      <w:bookmarkStart w:id="6448" w:name="_Toc14073"/>
      <w:r>
        <w:t xml:space="preserve">Figura </w:t>
      </w:r>
      <w:r>
        <w:fldChar w:fldCharType="begin"/>
      </w:r>
      <w:r>
        <w:instrText xml:space="preserve"> SEQ Figura \* ARABIC </w:instrText>
      </w:r>
      <w:r>
        <w:fldChar w:fldCharType="separate"/>
      </w:r>
      <w:r>
        <w:t>110</w:t>
      </w:r>
      <w:r>
        <w:fldChar w:fldCharType="end"/>
      </w:r>
      <w:bookmarkStart w:id="6449" w:name="_Toc31315"/>
      <w:bookmarkStart w:id="6450" w:name="_Toc11013"/>
      <w:bookmarkStart w:id="6451" w:name="_Toc14750"/>
      <w:bookmarkStart w:id="6452" w:name="_Toc12728"/>
      <w:bookmarkStart w:id="6453" w:name="_Toc3438"/>
      <w:bookmarkStart w:id="6454" w:name="_Toc20600"/>
      <w:bookmarkStart w:id="6455" w:name="_Toc23234"/>
      <w:bookmarkStart w:id="6456" w:name="_Toc12184"/>
      <w:bookmarkStart w:id="6457" w:name="_Toc21628"/>
      <w:bookmarkEnd w:id="6443"/>
      <w:r>
        <w:t xml:space="preserve"> - Principiul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fațadele </w:t>
      </w:r>
      <w:r>
        <w:rPr>
          <w:lang w:val="en-GB"/>
        </w:rPr>
        <w:t>f</w:t>
      </w:r>
      <w:r>
        <w:t>ă</w:t>
      </w:r>
      <w:r>
        <w:rPr>
          <w:lang w:val="en-GB"/>
        </w:rPr>
        <w:t>r</w:t>
      </w:r>
      <w:r>
        <w:t>ă</w:t>
      </w:r>
      <w:r>
        <w:rPr>
          <w:lang w:val="en-GB"/>
        </w:rPr>
        <w:t xml:space="preserve"> goluri </w:t>
      </w:r>
      <w:r>
        <w:t>î</w:t>
      </w:r>
      <w:r>
        <w:rPr>
          <w:lang w:val="en-GB"/>
        </w:rPr>
        <w:t>n zid</w:t>
      </w:r>
      <w:r>
        <w:t>ă</w:t>
      </w:r>
      <w:r>
        <w:rPr>
          <w:lang w:val="en-GB"/>
        </w:rPr>
        <w:t>rie</w:t>
      </w:r>
      <w:r>
        <w:t xml:space="preserve">: </w:t>
      </w:r>
      <w:r>
        <w:rPr>
          <w:lang w:val="en-GB"/>
        </w:rPr>
        <w:t xml:space="preserve">cazul unui </w:t>
      </w:r>
      <w:r>
        <w:t>sistem de tencuială groasă</w:t>
      </w:r>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p>
    <w:p w14:paraId="38B6F19B" w14:textId="77777777" w:rsidR="001C08A5" w:rsidRDefault="00000000">
      <w:pPr>
        <w:widowControl w:val="0"/>
        <w:numPr>
          <w:ilvl w:val="0"/>
          <w:numId w:val="96"/>
        </w:numPr>
        <w:tabs>
          <w:tab w:val="left" w:pos="426"/>
          <w:tab w:val="left" w:pos="993"/>
        </w:tabs>
        <w:jc w:val="both"/>
        <w:rPr>
          <w:bCs/>
          <w:sz w:val="24"/>
          <w:szCs w:val="24"/>
        </w:rPr>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
          <w:i/>
          <w:sz w:val="24"/>
        </w:rPr>
        <w:t xml:space="preserve">, </w:t>
      </w:r>
      <w:r>
        <w:rPr>
          <w:bCs/>
          <w:i/>
          <w:sz w:val="24"/>
        </w:rPr>
        <w:t>fără</w:t>
      </w:r>
      <w:r>
        <w:rPr>
          <w:bCs/>
          <w:i/>
          <w:sz w:val="24"/>
          <w:lang w:val="en-GB"/>
        </w:rPr>
        <w:t xml:space="preserve"> goluri </w:t>
      </w:r>
      <w:r>
        <w:rPr>
          <w:bCs/>
          <w:i/>
          <w:sz w:val="24"/>
        </w:rPr>
        <w:t>î</w:t>
      </w:r>
      <w:r>
        <w:rPr>
          <w:bCs/>
          <w:i/>
          <w:sz w:val="24"/>
          <w:lang w:val="en-GB"/>
        </w:rPr>
        <w:t>n zid</w:t>
      </w:r>
      <w:r>
        <w:rPr>
          <w:bCs/>
          <w:i/>
          <w:sz w:val="24"/>
        </w:rPr>
        <w:t>ă</w:t>
      </w:r>
      <w:r>
        <w:rPr>
          <w:bCs/>
          <w:i/>
          <w:sz w:val="24"/>
          <w:lang w:val="en-GB"/>
        </w:rPr>
        <w:t>rie</w:t>
      </w:r>
      <w:r>
        <w:rPr>
          <w:bCs/>
          <w:i/>
          <w:sz w:val="24"/>
        </w:rPr>
        <w:t xml:space="preserve">, în </w:t>
      </w:r>
      <w:r>
        <w:rPr>
          <w:bCs/>
          <w:i/>
          <w:sz w:val="24"/>
          <w:lang w:val="en-GB"/>
        </w:rPr>
        <w:t xml:space="preserve">cazul unui </w:t>
      </w:r>
      <w:r>
        <w:rPr>
          <w:bCs/>
          <w:i/>
          <w:sz w:val="24"/>
        </w:rPr>
        <w:t xml:space="preserve">sistem de tencuială subțire, </w:t>
      </w:r>
      <w:r>
        <w:rPr>
          <w:bCs/>
          <w:i/>
          <w:sz w:val="24"/>
          <w:lang w:val="en-GB"/>
        </w:rPr>
        <w:t>realizare</w:t>
      </w:r>
      <w:r>
        <w:rPr>
          <w:bCs/>
          <w:i/>
          <w:sz w:val="24"/>
        </w:rPr>
        <w:t>a fâşii</w:t>
      </w:r>
      <w:r>
        <w:rPr>
          <w:bCs/>
          <w:i/>
          <w:sz w:val="24"/>
          <w:lang w:val="en-GB"/>
        </w:rPr>
        <w:t>lor/ benzilor</w:t>
      </w:r>
      <w:r>
        <w:rPr>
          <w:bCs/>
          <w:i/>
          <w:sz w:val="24"/>
        </w:rPr>
        <w:t xml:space="preserve"> orizontale continui de termoizolaţie clasa de reacţie la foc </w:t>
      </w:r>
      <w:r>
        <w:rPr>
          <w:b/>
          <w:i/>
          <w:sz w:val="24"/>
        </w:rPr>
        <w:t>A1</w:t>
      </w:r>
      <w:r>
        <w:rPr>
          <w:bCs/>
          <w:i/>
          <w:sz w:val="24"/>
        </w:rPr>
        <w:t xml:space="preserve"> sau </w:t>
      </w:r>
      <w:r>
        <w:rPr>
          <w:b/>
          <w:i/>
          <w:sz w:val="24"/>
        </w:rPr>
        <w:t>A2-s1d0</w:t>
      </w:r>
      <w:r>
        <w:rPr>
          <w:bCs/>
          <w:i/>
          <w:sz w:val="24"/>
        </w:rPr>
        <w:t xml:space="preserve"> se realizează conform </w:t>
      </w:r>
      <w:r>
        <w:rPr>
          <w:b/>
          <w:bCs/>
          <w:i/>
          <w:iCs/>
          <w:sz w:val="24"/>
          <w:szCs w:val="24"/>
        </w:rPr>
        <w:fldChar w:fldCharType="begin"/>
      </w:r>
      <w:r>
        <w:rPr>
          <w:b/>
          <w:bCs/>
          <w:i/>
          <w:iCs/>
          <w:sz w:val="24"/>
          <w:szCs w:val="24"/>
        </w:rPr>
        <w:instrText xml:space="preserve"> REF _Ref8264 \h </w:instrText>
      </w:r>
      <w:r>
        <w:rPr>
          <w:b/>
          <w:bCs/>
          <w:i/>
          <w:iCs/>
          <w:sz w:val="24"/>
          <w:szCs w:val="24"/>
        </w:rPr>
      </w:r>
      <w:r>
        <w:rPr>
          <w:b/>
          <w:bCs/>
          <w:i/>
          <w:iCs/>
          <w:sz w:val="24"/>
          <w:szCs w:val="24"/>
        </w:rPr>
        <w:fldChar w:fldCharType="separate"/>
      </w:r>
      <w:r>
        <w:t>Figura 111</w:t>
      </w:r>
      <w:r>
        <w:rPr>
          <w:b/>
          <w:bCs/>
          <w:i/>
          <w:iCs/>
          <w:sz w:val="24"/>
          <w:szCs w:val="24"/>
        </w:rPr>
        <w:fldChar w:fldCharType="end"/>
      </w:r>
      <w:r>
        <w:rPr>
          <w:bCs/>
          <w:i/>
          <w:sz w:val="24"/>
        </w:rPr>
        <w:t>.</w:t>
      </w:r>
      <w:r>
        <w:rPr>
          <w:b/>
          <w:i/>
          <w:sz w:val="24"/>
        </w:rPr>
        <w:t xml:space="preserve"> </w:t>
      </w:r>
      <w:r>
        <w:rPr>
          <w:bCs/>
          <w:i/>
          <w:sz w:val="24"/>
          <w:szCs w:val="24"/>
        </w:rPr>
        <w:t>Pentru sistemele de tencuială subțire, fâşii</w:t>
      </w:r>
      <w:r>
        <w:rPr>
          <w:bCs/>
          <w:i/>
          <w:sz w:val="24"/>
          <w:szCs w:val="24"/>
          <w:lang w:val="en-GB"/>
        </w:rPr>
        <w:t>le/ benzile</w:t>
      </w:r>
      <w:r>
        <w:rPr>
          <w:bCs/>
          <w:i/>
          <w:sz w:val="24"/>
          <w:szCs w:val="24"/>
        </w:rPr>
        <w:t xml:space="preserve"> trebuie instalate după cum urmează:</w:t>
      </w:r>
    </w:p>
    <w:p w14:paraId="5D5FA3EB" w14:textId="77777777" w:rsidR="001C08A5" w:rsidRDefault="00000000">
      <w:pPr>
        <w:widowControl w:val="0"/>
        <w:ind w:left="1440" w:firstLine="720"/>
        <w:jc w:val="both"/>
        <w:rPr>
          <w:i/>
          <w:sz w:val="24"/>
          <w:szCs w:val="24"/>
        </w:rPr>
      </w:pPr>
      <w:r>
        <w:rPr>
          <w:i/>
          <w:sz w:val="24"/>
          <w:szCs w:val="24"/>
        </w:rPr>
        <w:t xml:space="preserve">- la startul inferior al </w:t>
      </w:r>
      <w:r>
        <w:rPr>
          <w:bCs/>
          <w:i/>
          <w:sz w:val="24"/>
          <w:szCs w:val="24"/>
          <w:lang w:val="en-GB"/>
        </w:rPr>
        <w:t>termoizolatiei combustibile</w:t>
      </w:r>
      <w:r>
        <w:rPr>
          <w:i/>
          <w:sz w:val="24"/>
          <w:szCs w:val="24"/>
        </w:rPr>
        <w:t xml:space="preserve"> (nivelul </w:t>
      </w:r>
      <w:r>
        <w:rPr>
          <w:i/>
          <w:sz w:val="24"/>
          <w:szCs w:val="24"/>
          <w:lang w:val="en-GB"/>
        </w:rPr>
        <w:t xml:space="preserve">de jos al </w:t>
      </w:r>
      <w:r>
        <w:rPr>
          <w:bCs/>
          <w:i/>
          <w:sz w:val="24"/>
          <w:szCs w:val="24"/>
        </w:rPr>
        <w:t>fâşi</w:t>
      </w:r>
      <w:r>
        <w:rPr>
          <w:bCs/>
          <w:i/>
          <w:sz w:val="24"/>
          <w:szCs w:val="24"/>
          <w:lang w:val="en-GB"/>
        </w:rPr>
        <w:t>ei/ benzii,</w:t>
      </w:r>
      <w:r>
        <w:rPr>
          <w:bCs/>
          <w:i/>
          <w:sz w:val="24"/>
          <w:szCs w:val="24"/>
        </w:rPr>
        <w:t xml:space="preserve"> se aplică</w:t>
      </w:r>
      <w:r>
        <w:rPr>
          <w:i/>
          <w:sz w:val="24"/>
          <w:szCs w:val="24"/>
        </w:rPr>
        <w:t xml:space="preserve"> la o distanță maximă de 600 mm deasupra </w:t>
      </w:r>
      <w:r>
        <w:rPr>
          <w:i/>
          <w:sz w:val="24"/>
          <w:szCs w:val="24"/>
          <w:lang w:val="en-GB"/>
        </w:rPr>
        <w:t xml:space="preserve">cotei de </w:t>
      </w:r>
      <w:r>
        <w:rPr>
          <w:i/>
          <w:sz w:val="24"/>
          <w:szCs w:val="24"/>
        </w:rPr>
        <w:t>î</w:t>
      </w:r>
      <w:r>
        <w:rPr>
          <w:i/>
          <w:sz w:val="24"/>
          <w:szCs w:val="24"/>
          <w:lang w:val="en-GB"/>
        </w:rPr>
        <w:t>nceput a termoizolatiei</w:t>
      </w:r>
      <w:r>
        <w:rPr>
          <w:i/>
          <w:sz w:val="24"/>
          <w:szCs w:val="24"/>
        </w:rPr>
        <w:t xml:space="preserve">/ </w:t>
      </w:r>
      <w:r>
        <w:rPr>
          <w:bCs/>
          <w:i/>
          <w:sz w:val="24"/>
          <w:lang w:val="en-GB"/>
        </w:rPr>
        <w:t>s</w:t>
      </w:r>
      <w:r>
        <w:rPr>
          <w:bCs/>
          <w:i/>
          <w:sz w:val="24"/>
        </w:rPr>
        <w:t xml:space="preserve">istemelor compozite de izolare termică </w:t>
      </w:r>
      <w:r>
        <w:rPr>
          <w:i/>
          <w:sz w:val="24"/>
          <w:szCs w:val="24"/>
          <w:lang w:val="en-GB"/>
        </w:rPr>
        <w:t>)</w:t>
      </w:r>
      <w:r>
        <w:rPr>
          <w:i/>
          <w:sz w:val="24"/>
          <w:szCs w:val="24"/>
        </w:rPr>
        <w:t>;</w:t>
      </w:r>
    </w:p>
    <w:p w14:paraId="39205BB1" w14:textId="77777777" w:rsidR="001C08A5" w:rsidRDefault="00000000">
      <w:pPr>
        <w:widowControl w:val="0"/>
        <w:numPr>
          <w:ilvl w:val="255"/>
          <w:numId w:val="0"/>
        </w:numPr>
        <w:ind w:left="1440" w:firstLine="720"/>
      </w:pPr>
      <w:r>
        <w:rPr>
          <w:i/>
          <w:sz w:val="24"/>
          <w:szCs w:val="24"/>
        </w:rPr>
        <w:t xml:space="preserve">- la nivelul 1 (între parter și etajul 1 acoperit cu </w:t>
      </w:r>
      <w:r>
        <w:rPr>
          <w:bCs/>
          <w:i/>
          <w:sz w:val="24"/>
          <w:szCs w:val="24"/>
          <w:lang w:val="en-GB"/>
        </w:rPr>
        <w:t>termoizolatie</w:t>
      </w:r>
      <w:r>
        <w:rPr>
          <w:bCs/>
          <w:i/>
          <w:sz w:val="24"/>
          <w:szCs w:val="24"/>
        </w:rPr>
        <w:t xml:space="preserve"> </w:t>
      </w:r>
      <w:r>
        <w:rPr>
          <w:bCs/>
          <w:i/>
          <w:sz w:val="24"/>
        </w:rPr>
        <w:t xml:space="preserve">sau </w:t>
      </w:r>
      <w:r>
        <w:rPr>
          <w:bCs/>
          <w:i/>
          <w:sz w:val="24"/>
          <w:lang w:val="en-GB"/>
        </w:rPr>
        <w:t>s</w:t>
      </w:r>
      <w:r>
        <w:rPr>
          <w:bCs/>
          <w:i/>
          <w:sz w:val="24"/>
        </w:rPr>
        <w:t xml:space="preserve">isteme compozite de izolare termică </w:t>
      </w:r>
      <w:r>
        <w:rPr>
          <w:bCs/>
          <w:i/>
          <w:sz w:val="24"/>
          <w:szCs w:val="24"/>
          <w:lang w:val="en-GB"/>
        </w:rPr>
        <w:t xml:space="preserve"> combustibil</w:t>
      </w:r>
      <w:r>
        <w:rPr>
          <w:bCs/>
          <w:i/>
          <w:sz w:val="24"/>
          <w:szCs w:val="24"/>
        </w:rPr>
        <w:t>ă</w:t>
      </w:r>
      <w:r>
        <w:rPr>
          <w:i/>
          <w:sz w:val="24"/>
          <w:szCs w:val="24"/>
        </w:rPr>
        <w:t xml:space="preserve">) și la nivelul 2 (între etajele 1 și 2 acoperite cu termoizolație </w:t>
      </w:r>
      <w:r>
        <w:rPr>
          <w:bCs/>
          <w:i/>
          <w:sz w:val="24"/>
        </w:rPr>
        <w:t xml:space="preserve">sau </w:t>
      </w:r>
      <w:r>
        <w:rPr>
          <w:bCs/>
          <w:i/>
          <w:sz w:val="24"/>
          <w:lang w:val="en-GB"/>
        </w:rPr>
        <w:t>s</w:t>
      </w:r>
      <w:r>
        <w:rPr>
          <w:bCs/>
          <w:i/>
          <w:sz w:val="24"/>
        </w:rPr>
        <w:t>isteme compozite de izolare termică</w:t>
      </w:r>
      <w:r>
        <w:rPr>
          <w:i/>
          <w:sz w:val="24"/>
          <w:szCs w:val="24"/>
        </w:rPr>
        <w:t xml:space="preserve"> combustibilă).</w:t>
      </w:r>
    </w:p>
    <w:p w14:paraId="296A6FAA" w14:textId="77777777" w:rsidR="001C08A5" w:rsidRDefault="00000000">
      <w:pPr>
        <w:numPr>
          <w:ilvl w:val="255"/>
          <w:numId w:val="0"/>
        </w:numPr>
        <w:tabs>
          <w:tab w:val="left" w:pos="426"/>
          <w:tab w:val="left" w:pos="993"/>
        </w:tabs>
        <w:jc w:val="center"/>
        <w:rPr>
          <w:bCs/>
          <w:i/>
          <w:sz w:val="24"/>
          <w:szCs w:val="24"/>
          <w:lang w:eastAsia="ro-RO"/>
        </w:rPr>
      </w:pPr>
      <w:r>
        <w:rPr>
          <w:bCs/>
          <w:i/>
          <w:noProof/>
          <w:sz w:val="24"/>
          <w:szCs w:val="24"/>
          <w:lang w:eastAsia="ro-RO"/>
        </w:rPr>
        <w:lastRenderedPageBreak/>
        <w:drawing>
          <wp:inline distT="0" distB="0" distL="114300" distR="114300" wp14:anchorId="35B99DED" wp14:editId="2CEC66F0">
            <wp:extent cx="2722245" cy="2874010"/>
            <wp:effectExtent l="0" t="0" r="1905" b="2540"/>
            <wp:docPr id="172" name="Picture 8" descr="blo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8" descr="bloc 3"/>
                    <pic:cNvPicPr>
                      <a:picLocks noChangeAspect="1"/>
                    </pic:cNvPicPr>
                  </pic:nvPicPr>
                  <pic:blipFill>
                    <a:blip r:embed="rId271"/>
                    <a:srcRect l="1308" r="743"/>
                    <a:stretch>
                      <a:fillRect/>
                    </a:stretch>
                  </pic:blipFill>
                  <pic:spPr>
                    <a:xfrm>
                      <a:off x="0" y="0"/>
                      <a:ext cx="2722245" cy="2874010"/>
                    </a:xfrm>
                    <a:prstGeom prst="rect">
                      <a:avLst/>
                    </a:prstGeom>
                    <a:noFill/>
                    <a:ln>
                      <a:noFill/>
                    </a:ln>
                  </pic:spPr>
                </pic:pic>
              </a:graphicData>
            </a:graphic>
          </wp:inline>
        </w:drawing>
      </w:r>
    </w:p>
    <w:p w14:paraId="734AA8D8" w14:textId="77777777" w:rsidR="001C08A5" w:rsidRDefault="00000000">
      <w:pPr>
        <w:pStyle w:val="Caption"/>
        <w:widowControl w:val="0"/>
        <w:numPr>
          <w:ilvl w:val="255"/>
          <w:numId w:val="0"/>
        </w:numPr>
        <w:ind w:left="360"/>
        <w:jc w:val="center"/>
        <w:rPr>
          <w:lang w:eastAsia="ro-RO"/>
        </w:rPr>
      </w:pPr>
      <w:bookmarkStart w:id="6458" w:name="_Ref8264"/>
      <w:bookmarkStart w:id="6459" w:name="_Toc25346"/>
      <w:bookmarkStart w:id="6460" w:name="_Toc162360335"/>
      <w:bookmarkStart w:id="6461" w:name="_Toc22126"/>
      <w:bookmarkStart w:id="6462" w:name="_Toc10777"/>
      <w:bookmarkStart w:id="6463" w:name="_Toc32338"/>
      <w:r>
        <w:t xml:space="preserve">Figura </w:t>
      </w:r>
      <w:r>
        <w:fldChar w:fldCharType="begin"/>
      </w:r>
      <w:r>
        <w:instrText xml:space="preserve"> SEQ Figura \* ARABIC </w:instrText>
      </w:r>
      <w:r>
        <w:fldChar w:fldCharType="separate"/>
      </w:r>
      <w:r>
        <w:t>111</w:t>
      </w:r>
      <w:r>
        <w:fldChar w:fldCharType="end"/>
      </w:r>
      <w:bookmarkStart w:id="6464" w:name="_Toc19480"/>
      <w:bookmarkStart w:id="6465" w:name="_Toc10837"/>
      <w:bookmarkStart w:id="6466" w:name="_Toc5174"/>
      <w:bookmarkStart w:id="6467" w:name="_Toc1875"/>
      <w:bookmarkStart w:id="6468" w:name="_Toc7324"/>
      <w:bookmarkStart w:id="6469" w:name="_Toc32298"/>
      <w:bookmarkStart w:id="6470" w:name="_Toc1752"/>
      <w:bookmarkStart w:id="6471" w:name="_Toc1194"/>
      <w:bookmarkStart w:id="6472" w:name="_Toc13685"/>
      <w:bookmarkEnd w:id="6458"/>
      <w:r>
        <w:t xml:space="preserve"> - Principiul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fațadele </w:t>
      </w:r>
      <w:r>
        <w:rPr>
          <w:lang w:val="en-GB"/>
        </w:rPr>
        <w:t>fara goluri in zidarie</w:t>
      </w:r>
      <w:r>
        <w:t>:  ca</w:t>
      </w:r>
      <w:r>
        <w:rPr>
          <w:lang w:val="en-GB"/>
        </w:rPr>
        <w:t>zul</w:t>
      </w:r>
      <w:r>
        <w:t xml:space="preserve"> unui sistem de tencuială subțire</w:t>
      </w:r>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p>
    <w:p w14:paraId="123C4961" w14:textId="77777777" w:rsidR="001C08A5" w:rsidRDefault="00000000">
      <w:pPr>
        <w:widowControl w:val="0"/>
        <w:numPr>
          <w:ilvl w:val="0"/>
          <w:numId w:val="96"/>
        </w:numPr>
        <w:tabs>
          <w:tab w:val="left" w:pos="426"/>
          <w:tab w:val="left" w:pos="993"/>
        </w:tabs>
        <w:jc w:val="both"/>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xml:space="preserve">, protecția deschiderilor prin </w:t>
      </w:r>
      <w:r>
        <w:rPr>
          <w:bCs/>
          <w:i/>
          <w:sz w:val="24"/>
          <w:lang w:val="en-GB"/>
        </w:rPr>
        <w:t>bord</w:t>
      </w:r>
      <w:r>
        <w:rPr>
          <w:bCs/>
          <w:i/>
          <w:sz w:val="24"/>
        </w:rPr>
        <w:t>ă</w:t>
      </w:r>
      <w:r>
        <w:rPr>
          <w:bCs/>
          <w:i/>
          <w:sz w:val="24"/>
          <w:lang w:val="en-GB"/>
        </w:rPr>
        <w:t xml:space="preserve">ri </w:t>
      </w:r>
      <w:r>
        <w:rPr>
          <w:bCs/>
          <w:i/>
          <w:sz w:val="24"/>
        </w:rPr>
        <w:t xml:space="preserve">de termoizolaţie clasa de reacţie la foc </w:t>
      </w:r>
      <w:r>
        <w:rPr>
          <w:b/>
          <w:i/>
          <w:sz w:val="24"/>
        </w:rPr>
        <w:t>A1</w:t>
      </w:r>
      <w:r>
        <w:rPr>
          <w:bCs/>
          <w:i/>
          <w:sz w:val="24"/>
        </w:rPr>
        <w:t xml:space="preserve"> sau </w:t>
      </w:r>
      <w:r>
        <w:rPr>
          <w:b/>
          <w:i/>
          <w:sz w:val="24"/>
        </w:rPr>
        <w:t>A2-s1d0</w:t>
      </w:r>
      <w:r>
        <w:rPr>
          <w:bCs/>
          <w:i/>
          <w:sz w:val="24"/>
        </w:rPr>
        <w:t xml:space="preserve"> (pentru tâmplărie montată pe perete), se realizează </w:t>
      </w:r>
      <w:r>
        <w:rPr>
          <w:bCs/>
          <w:i/>
          <w:sz w:val="24"/>
          <w:szCs w:val="24"/>
        </w:rPr>
        <w:t xml:space="preserve">după cum urmează, </w:t>
      </w:r>
      <w:r>
        <w:rPr>
          <w:bCs/>
          <w:i/>
          <w:sz w:val="24"/>
        </w:rPr>
        <w:t>conform</w:t>
      </w:r>
      <w:r>
        <w:rPr>
          <w:b/>
          <w:i/>
          <w:sz w:val="24"/>
          <w:szCs w:val="24"/>
        </w:rPr>
        <w:t xml:space="preserve"> </w:t>
      </w:r>
      <w:r>
        <w:rPr>
          <w:bCs/>
          <w:i/>
          <w:sz w:val="24"/>
          <w:szCs w:val="24"/>
        </w:rPr>
        <w:t xml:space="preserve"> </w:t>
      </w:r>
      <w:r>
        <w:rPr>
          <w:bCs/>
          <w:i/>
          <w:sz w:val="24"/>
          <w:szCs w:val="24"/>
        </w:rPr>
        <w:fldChar w:fldCharType="begin"/>
      </w:r>
      <w:r>
        <w:rPr>
          <w:bCs/>
          <w:i/>
          <w:sz w:val="24"/>
          <w:szCs w:val="24"/>
        </w:rPr>
        <w:instrText xml:space="preserve"> REF _Ref31737 \h </w:instrText>
      </w:r>
      <w:r>
        <w:rPr>
          <w:bCs/>
          <w:i/>
          <w:sz w:val="24"/>
          <w:szCs w:val="24"/>
        </w:rPr>
      </w:r>
      <w:r>
        <w:rPr>
          <w:bCs/>
          <w:i/>
          <w:sz w:val="24"/>
          <w:szCs w:val="24"/>
        </w:rPr>
        <w:fldChar w:fldCharType="separate"/>
      </w:r>
      <w:r>
        <w:t>Figura 112</w:t>
      </w:r>
      <w:r>
        <w:rPr>
          <w:b/>
          <w:bCs/>
          <w:i/>
          <w:iCs/>
          <w:sz w:val="24"/>
          <w:szCs w:val="24"/>
        </w:rPr>
        <w:t xml:space="preserve"> </w:t>
      </w:r>
    </w:p>
    <w:p w14:paraId="2DD7B8B9" w14:textId="77777777" w:rsidR="001C08A5" w:rsidRDefault="00000000">
      <w:pPr>
        <w:widowControl w:val="0"/>
        <w:ind w:left="720" w:firstLine="720"/>
        <w:jc w:val="both"/>
        <w:rPr>
          <w:b/>
          <w:bCs/>
          <w:i/>
          <w:sz w:val="24"/>
          <w:szCs w:val="24"/>
        </w:rPr>
      </w:pPr>
      <w:r>
        <w:rPr>
          <w:bCs/>
          <w:i/>
          <w:sz w:val="24"/>
          <w:szCs w:val="24"/>
        </w:rPr>
        <w:fldChar w:fldCharType="end"/>
      </w:r>
      <w:r>
        <w:rPr>
          <w:b/>
          <w:bCs/>
          <w:i/>
          <w:sz w:val="24"/>
          <w:szCs w:val="24"/>
        </w:rPr>
        <w:t xml:space="preserve">- </w:t>
      </w:r>
      <w:r>
        <w:rPr>
          <w:b/>
          <w:bCs/>
          <w:i/>
          <w:sz w:val="24"/>
          <w:szCs w:val="24"/>
          <w:lang w:val="en-GB"/>
        </w:rPr>
        <w:t xml:space="preserve">varianta </w:t>
      </w:r>
      <w:r>
        <w:rPr>
          <w:b/>
          <w:bCs/>
          <w:i/>
          <w:sz w:val="24"/>
          <w:szCs w:val="24"/>
        </w:rPr>
        <w:t>a)</w:t>
      </w:r>
      <w:r>
        <w:rPr>
          <w:b/>
          <w:bCs/>
          <w:i/>
          <w:sz w:val="24"/>
          <w:szCs w:val="24"/>
          <w:lang w:val="en-GB"/>
        </w:rPr>
        <w:t xml:space="preserve"> H </w:t>
      </w:r>
      <w:r>
        <w:rPr>
          <w:b/>
          <w:bCs/>
          <w:i/>
          <w:sz w:val="24"/>
          <w:szCs w:val="24"/>
        </w:rPr>
        <w:t>≥ 1</w:t>
      </w:r>
      <w:r>
        <w:rPr>
          <w:b/>
          <w:bCs/>
          <w:i/>
          <w:sz w:val="24"/>
          <w:szCs w:val="24"/>
          <w:lang w:val="en-GB"/>
        </w:rPr>
        <w:t>.</w:t>
      </w:r>
      <w:r>
        <w:rPr>
          <w:b/>
          <w:bCs/>
          <w:i/>
          <w:sz w:val="24"/>
          <w:szCs w:val="24"/>
        </w:rPr>
        <w:t>20 m</w:t>
      </w:r>
      <w:r>
        <w:rPr>
          <w:b/>
          <w:bCs/>
          <w:i/>
          <w:sz w:val="24"/>
          <w:szCs w:val="24"/>
          <w:lang w:val="en-GB"/>
        </w:rPr>
        <w:t xml:space="preserve"> </w:t>
      </w:r>
      <w:r>
        <w:rPr>
          <w:i/>
          <w:sz w:val="24"/>
          <w:szCs w:val="24"/>
          <w:lang w:val="en-GB"/>
        </w:rPr>
        <w:t>-</w:t>
      </w:r>
      <w:r>
        <w:rPr>
          <w:i/>
          <w:sz w:val="24"/>
          <w:szCs w:val="24"/>
        </w:rPr>
        <w:t xml:space="preserve"> protecția deschiderilor prin </w:t>
      </w:r>
      <w:r>
        <w:rPr>
          <w:i/>
          <w:sz w:val="24"/>
          <w:szCs w:val="24"/>
          <w:lang w:val="en-GB"/>
        </w:rPr>
        <w:t>bord</w:t>
      </w:r>
      <w:r>
        <w:rPr>
          <w:i/>
          <w:sz w:val="24"/>
          <w:szCs w:val="24"/>
        </w:rPr>
        <w:t>ă</w:t>
      </w:r>
      <w:r>
        <w:rPr>
          <w:i/>
          <w:sz w:val="24"/>
          <w:szCs w:val="24"/>
          <w:lang w:val="en-GB"/>
        </w:rPr>
        <w:t xml:space="preserve">ri </w:t>
      </w:r>
      <w:r>
        <w:rPr>
          <w:i/>
          <w:sz w:val="24"/>
          <w:szCs w:val="24"/>
        </w:rPr>
        <w:t xml:space="preserve">de termoizolaţie clasa de reacţie la foc </w:t>
      </w:r>
      <w:r>
        <w:rPr>
          <w:b/>
          <w:bCs/>
          <w:i/>
          <w:sz w:val="24"/>
          <w:szCs w:val="24"/>
        </w:rPr>
        <w:t xml:space="preserve">A1 </w:t>
      </w:r>
      <w:r>
        <w:rPr>
          <w:i/>
          <w:sz w:val="24"/>
          <w:szCs w:val="24"/>
        </w:rPr>
        <w:t xml:space="preserve">sau </w:t>
      </w:r>
      <w:r>
        <w:rPr>
          <w:b/>
          <w:bCs/>
          <w:i/>
          <w:sz w:val="24"/>
          <w:szCs w:val="24"/>
        </w:rPr>
        <w:t xml:space="preserve">A2-s1d0 </w:t>
      </w:r>
      <w:r>
        <w:rPr>
          <w:i/>
          <w:sz w:val="24"/>
          <w:szCs w:val="24"/>
        </w:rPr>
        <w:t>(tâmplărie montată pe perete)</w:t>
      </w:r>
      <w:r>
        <w:rPr>
          <w:i/>
          <w:sz w:val="24"/>
          <w:szCs w:val="24"/>
          <w:lang w:val="en-GB"/>
        </w:rPr>
        <w:t xml:space="preserve"> pentru</w:t>
      </w:r>
      <w:r>
        <w:rPr>
          <w:b/>
          <w:bCs/>
          <w:i/>
          <w:sz w:val="24"/>
          <w:szCs w:val="24"/>
          <w:lang w:val="en-GB"/>
        </w:rPr>
        <w:t xml:space="preserve"> H</w:t>
      </w:r>
      <w:r>
        <w:rPr>
          <w:b/>
          <w:bCs/>
          <w:i/>
          <w:sz w:val="24"/>
          <w:szCs w:val="24"/>
        </w:rPr>
        <w:t xml:space="preserve"> ≥ 1,20 m:</w:t>
      </w:r>
    </w:p>
    <w:p w14:paraId="47D66AAC" w14:textId="77777777" w:rsidR="001C08A5" w:rsidRDefault="00000000">
      <w:pPr>
        <w:widowControl w:val="0"/>
        <w:ind w:left="1440" w:firstLine="720"/>
        <w:jc w:val="both"/>
        <w:rPr>
          <w:i/>
          <w:sz w:val="24"/>
          <w:szCs w:val="24"/>
        </w:rPr>
      </w:pPr>
      <w:r>
        <w:rPr>
          <w:i/>
          <w:sz w:val="24"/>
          <w:szCs w:val="24"/>
          <w:lang w:val="en-GB"/>
        </w:rPr>
        <w:t xml:space="preserve">- </w:t>
      </w:r>
      <w:r>
        <w:rPr>
          <w:i/>
          <w:sz w:val="24"/>
          <w:szCs w:val="24"/>
        </w:rPr>
        <w:t xml:space="preserve">se aplică numai pe fațadele cu tâmplărie montată pe perete, indexul </w:t>
      </w:r>
      <w:r>
        <w:rPr>
          <w:i/>
          <w:sz w:val="24"/>
          <w:szCs w:val="24"/>
          <w:lang w:val="en-GB"/>
        </w:rPr>
        <w:t>H</w:t>
      </w:r>
      <w:r>
        <w:rPr>
          <w:i/>
          <w:sz w:val="24"/>
          <w:szCs w:val="24"/>
        </w:rPr>
        <w:t xml:space="preserve"> (din </w:t>
      </w:r>
      <w:r>
        <w:rPr>
          <w:i/>
          <w:sz w:val="24"/>
          <w:szCs w:val="24"/>
          <w:lang w:val="en-GB"/>
        </w:rPr>
        <w:t>H</w:t>
      </w:r>
      <w:r>
        <w:rPr>
          <w:i/>
          <w:sz w:val="24"/>
          <w:szCs w:val="24"/>
        </w:rPr>
        <w:t xml:space="preserve"> + </w:t>
      </w:r>
      <w:r>
        <w:rPr>
          <w:i/>
          <w:sz w:val="24"/>
          <w:szCs w:val="24"/>
          <w:lang w:val="en-GB"/>
        </w:rPr>
        <w:t>L</w:t>
      </w:r>
      <w:r>
        <w:rPr>
          <w:i/>
          <w:sz w:val="24"/>
          <w:szCs w:val="24"/>
        </w:rPr>
        <w:t>) fiind</w:t>
      </w:r>
      <w:r>
        <w:rPr>
          <w:i/>
          <w:sz w:val="24"/>
          <w:szCs w:val="24"/>
          <w:lang w:val="en-GB"/>
        </w:rPr>
        <w:t xml:space="preserve"> H ≥</w:t>
      </w:r>
      <w:r>
        <w:rPr>
          <w:i/>
          <w:sz w:val="24"/>
          <w:szCs w:val="24"/>
        </w:rPr>
        <w:t xml:space="preserve"> 1</w:t>
      </w:r>
      <w:r>
        <w:rPr>
          <w:i/>
          <w:sz w:val="24"/>
          <w:szCs w:val="24"/>
          <w:lang w:val="en-GB"/>
        </w:rPr>
        <w:t>.</w:t>
      </w:r>
      <w:r>
        <w:rPr>
          <w:i/>
          <w:sz w:val="24"/>
          <w:szCs w:val="24"/>
        </w:rPr>
        <w:t>20 m</w:t>
      </w:r>
    </w:p>
    <w:p w14:paraId="07C71DAE" w14:textId="77777777" w:rsidR="001C08A5" w:rsidRDefault="00000000">
      <w:pPr>
        <w:ind w:left="1440" w:firstLine="720"/>
        <w:jc w:val="both"/>
        <w:rPr>
          <w:szCs w:val="24"/>
        </w:rPr>
      </w:pPr>
      <w:r>
        <w:rPr>
          <w:i/>
          <w:sz w:val="24"/>
          <w:szCs w:val="24"/>
        </w:rPr>
        <w:t>- benzile de protecție</w:t>
      </w:r>
      <w:r>
        <w:rPr>
          <w:i/>
          <w:sz w:val="24"/>
          <w:szCs w:val="24"/>
          <w:lang w:val="en-GB"/>
        </w:rPr>
        <w:t xml:space="preserve"> ce bordeaza golurile</w:t>
      </w:r>
      <w:r>
        <w:rPr>
          <w:i/>
          <w:sz w:val="24"/>
          <w:szCs w:val="24"/>
        </w:rPr>
        <w:t xml:space="preserve"> </w:t>
      </w:r>
      <w:r>
        <w:rPr>
          <w:i/>
          <w:sz w:val="24"/>
          <w:szCs w:val="24"/>
          <w:u w:val="single"/>
          <w:lang w:val="en-GB"/>
        </w:rPr>
        <w:t>pot fi</w:t>
      </w:r>
      <w:r>
        <w:rPr>
          <w:i/>
          <w:sz w:val="24"/>
          <w:szCs w:val="24"/>
        </w:rPr>
        <w:t xml:space="preserve"> aplicate continuu între go</w:t>
      </w:r>
      <w:r>
        <w:rPr>
          <w:i/>
          <w:sz w:val="24"/>
          <w:szCs w:val="24"/>
          <w:lang w:val="en-GB"/>
        </w:rPr>
        <w:t>luri</w:t>
      </w:r>
      <w:r>
        <w:rPr>
          <w:i/>
          <w:sz w:val="24"/>
          <w:szCs w:val="24"/>
        </w:rPr>
        <w:t xml:space="preserve"> și în </w:t>
      </w:r>
      <w:r>
        <w:rPr>
          <w:i/>
          <w:sz w:val="24"/>
          <w:szCs w:val="24"/>
          <w:lang w:val="en-GB"/>
        </w:rPr>
        <w:t>lateralul</w:t>
      </w:r>
      <w:r>
        <w:rPr>
          <w:i/>
          <w:sz w:val="24"/>
          <w:szCs w:val="24"/>
        </w:rPr>
        <w:t xml:space="preserve"> </w:t>
      </w:r>
      <w:r>
        <w:rPr>
          <w:i/>
          <w:sz w:val="24"/>
          <w:szCs w:val="24"/>
          <w:lang w:val="en-GB"/>
        </w:rPr>
        <w:t>acestora</w:t>
      </w:r>
      <w:r>
        <w:rPr>
          <w:i/>
          <w:sz w:val="24"/>
          <w:szCs w:val="24"/>
        </w:rPr>
        <w:t xml:space="preserve">; aceste benzi au aceeași grosime ca </w:t>
      </w:r>
      <w:r>
        <w:rPr>
          <w:i/>
          <w:sz w:val="24"/>
          <w:szCs w:val="24"/>
          <w:lang w:val="en-GB"/>
        </w:rPr>
        <w:t>t</w:t>
      </w:r>
      <w:r>
        <w:rPr>
          <w:bCs/>
          <w:i/>
          <w:sz w:val="24"/>
          <w:szCs w:val="24"/>
        </w:rPr>
        <w:t xml:space="preserve">ermoizolaţia și/ sau sistemele compozite de izolație termică </w:t>
      </w:r>
      <w:r>
        <w:rPr>
          <w:bCs/>
          <w:i/>
          <w:sz w:val="24"/>
          <w:szCs w:val="24"/>
          <w:lang w:val="en-GB"/>
        </w:rPr>
        <w:t>diferit</w:t>
      </w:r>
      <w:r>
        <w:rPr>
          <w:bCs/>
          <w:i/>
          <w:sz w:val="24"/>
          <w:szCs w:val="24"/>
        </w:rPr>
        <w:t>ă</w:t>
      </w:r>
      <w:r>
        <w:rPr>
          <w:bCs/>
          <w:i/>
          <w:sz w:val="24"/>
          <w:szCs w:val="24"/>
          <w:lang w:val="en-GB"/>
        </w:rPr>
        <w:t xml:space="preserve"> de </w:t>
      </w:r>
      <w:r>
        <w:rPr>
          <w:bCs/>
          <w:i/>
          <w:sz w:val="24"/>
          <w:szCs w:val="24"/>
        </w:rPr>
        <w:t xml:space="preserve">clasa de reacţie la foc </w:t>
      </w:r>
      <w:r>
        <w:rPr>
          <w:b/>
          <w:i/>
          <w:sz w:val="24"/>
          <w:szCs w:val="24"/>
        </w:rPr>
        <w:t xml:space="preserve">A1 </w:t>
      </w:r>
      <w:r>
        <w:rPr>
          <w:bCs/>
          <w:i/>
          <w:sz w:val="24"/>
          <w:szCs w:val="24"/>
        </w:rPr>
        <w:t>sau</w:t>
      </w:r>
      <w:r>
        <w:rPr>
          <w:b/>
          <w:i/>
          <w:sz w:val="24"/>
          <w:szCs w:val="24"/>
        </w:rPr>
        <w:t xml:space="preserve"> A2-s1d0</w:t>
      </w:r>
      <w:r>
        <w:rPr>
          <w:i/>
          <w:sz w:val="24"/>
          <w:szCs w:val="24"/>
        </w:rPr>
        <w:t>; exemplu: caracteristicile termoizolației utilizate pentru realizarea acestor benzi</w:t>
      </w:r>
      <w:r>
        <w:rPr>
          <w:i/>
          <w:sz w:val="24"/>
          <w:szCs w:val="24"/>
          <w:lang w:val="en-GB"/>
        </w:rPr>
        <w:t xml:space="preserve"> de</w:t>
      </w:r>
      <w:r>
        <w:rPr>
          <w:i/>
          <w:sz w:val="24"/>
          <w:szCs w:val="24"/>
        </w:rPr>
        <w:t xml:space="preserve"> </w:t>
      </w:r>
      <w:r>
        <w:rPr>
          <w:i/>
          <w:sz w:val="24"/>
          <w:szCs w:val="24"/>
          <w:lang w:val="en-GB"/>
        </w:rPr>
        <w:t>bordare</w:t>
      </w:r>
      <w:r>
        <w:rPr>
          <w:i/>
          <w:sz w:val="24"/>
          <w:szCs w:val="24"/>
        </w:rPr>
        <w:t xml:space="preserve"> pot fi: vată minerală </w:t>
      </w:r>
      <w:r>
        <w:rPr>
          <w:i/>
          <w:sz w:val="24"/>
          <w:szCs w:val="24"/>
          <w:lang w:val="en-GB"/>
        </w:rPr>
        <w:t>bazaltic</w:t>
      </w:r>
      <w:r>
        <w:rPr>
          <w:i/>
          <w:sz w:val="24"/>
          <w:szCs w:val="24"/>
        </w:rPr>
        <w:t xml:space="preserve">ă conform standardului </w:t>
      </w:r>
      <w:r>
        <w:rPr>
          <w:b/>
          <w:i/>
          <w:sz w:val="24"/>
          <w:szCs w:val="24"/>
          <w:lang w:val="en-GB"/>
        </w:rPr>
        <w:t>SR</w:t>
      </w:r>
      <w:r>
        <w:rPr>
          <w:b/>
          <w:i/>
          <w:sz w:val="24"/>
          <w:szCs w:val="24"/>
        </w:rPr>
        <w:t xml:space="preserve"> EN 13162</w:t>
      </w:r>
      <w:r>
        <w:rPr>
          <w:i/>
          <w:sz w:val="24"/>
          <w:szCs w:val="24"/>
        </w:rPr>
        <w:t xml:space="preserve">, Euroclasa </w:t>
      </w:r>
      <w:r>
        <w:rPr>
          <w:b/>
          <w:i/>
          <w:sz w:val="24"/>
          <w:szCs w:val="24"/>
        </w:rPr>
        <w:t>A1</w:t>
      </w:r>
      <w:r>
        <w:rPr>
          <w:i/>
          <w:sz w:val="24"/>
          <w:szCs w:val="24"/>
        </w:rPr>
        <w:t xml:space="preserve"> (b</w:t>
      </w:r>
      <w:r>
        <w:rPr>
          <w:i/>
          <w:iCs/>
          <w:sz w:val="24"/>
          <w:szCs w:val="24"/>
        </w:rPr>
        <w:t xml:space="preserve">anda de vată minerală </w:t>
      </w:r>
      <w:r>
        <w:rPr>
          <w:i/>
          <w:iCs/>
          <w:sz w:val="24"/>
          <w:szCs w:val="24"/>
          <w:lang w:val="en-GB"/>
        </w:rPr>
        <w:t>bazaltic</w:t>
      </w:r>
      <w:r>
        <w:rPr>
          <w:i/>
          <w:iCs/>
          <w:sz w:val="24"/>
          <w:szCs w:val="24"/>
        </w:rPr>
        <w:t xml:space="preserve">ă </w:t>
      </w:r>
      <w:r>
        <w:rPr>
          <w:i/>
          <w:iCs/>
          <w:sz w:val="24"/>
          <w:szCs w:val="24"/>
          <w:lang w:val="en-GB"/>
        </w:rPr>
        <w:t xml:space="preserve">va fi </w:t>
      </w:r>
      <w:r>
        <w:rPr>
          <w:i/>
          <w:iCs/>
          <w:sz w:val="24"/>
          <w:szCs w:val="24"/>
        </w:rPr>
        <w:t>lipită în întregime pe pereții perimetrali).</w:t>
      </w:r>
    </w:p>
    <w:p w14:paraId="7CCA63D7" w14:textId="77777777" w:rsidR="001C08A5" w:rsidRDefault="00000000">
      <w:pPr>
        <w:widowControl w:val="0"/>
        <w:ind w:left="720" w:firstLine="720"/>
        <w:jc w:val="both"/>
        <w:rPr>
          <w:i/>
          <w:sz w:val="24"/>
          <w:szCs w:val="24"/>
          <w:lang w:val="en-GB"/>
        </w:rPr>
      </w:pPr>
      <w:r>
        <w:rPr>
          <w:b/>
          <w:bCs/>
          <w:i/>
          <w:sz w:val="24"/>
          <w:szCs w:val="24"/>
        </w:rPr>
        <w:t xml:space="preserve">- </w:t>
      </w:r>
      <w:r>
        <w:rPr>
          <w:b/>
          <w:bCs/>
          <w:i/>
          <w:sz w:val="24"/>
          <w:szCs w:val="24"/>
          <w:lang w:val="en-GB"/>
        </w:rPr>
        <w:t xml:space="preserve">varianta </w:t>
      </w:r>
      <w:r>
        <w:rPr>
          <w:b/>
          <w:bCs/>
          <w:i/>
          <w:sz w:val="24"/>
          <w:szCs w:val="24"/>
        </w:rPr>
        <w:t>c)</w:t>
      </w:r>
      <w:r>
        <w:rPr>
          <w:i/>
          <w:sz w:val="24"/>
          <w:szCs w:val="24"/>
          <w:lang w:val="en-GB"/>
        </w:rPr>
        <w:t xml:space="preserve"> </w:t>
      </w:r>
      <w:r>
        <w:rPr>
          <w:b/>
          <w:bCs/>
          <w:i/>
          <w:sz w:val="24"/>
          <w:szCs w:val="24"/>
          <w:lang w:val="en-GB"/>
        </w:rPr>
        <w:t>H &lt;</w:t>
      </w:r>
      <w:r>
        <w:rPr>
          <w:b/>
          <w:bCs/>
          <w:i/>
          <w:sz w:val="24"/>
          <w:szCs w:val="24"/>
        </w:rPr>
        <w:t xml:space="preserve"> 1</w:t>
      </w:r>
      <w:r>
        <w:rPr>
          <w:b/>
          <w:bCs/>
          <w:i/>
          <w:sz w:val="24"/>
          <w:szCs w:val="24"/>
          <w:lang w:val="en-GB"/>
        </w:rPr>
        <w:t>.</w:t>
      </w:r>
      <w:r>
        <w:rPr>
          <w:b/>
          <w:bCs/>
          <w:i/>
          <w:sz w:val="24"/>
          <w:szCs w:val="24"/>
        </w:rPr>
        <w:t xml:space="preserve">20 m </w:t>
      </w:r>
      <w:r>
        <w:rPr>
          <w:i/>
          <w:sz w:val="24"/>
          <w:szCs w:val="24"/>
          <w:lang w:val="en-GB"/>
        </w:rPr>
        <w:t>-</w:t>
      </w:r>
      <w:r>
        <w:rPr>
          <w:i/>
          <w:sz w:val="24"/>
          <w:szCs w:val="24"/>
        </w:rPr>
        <w:t xml:space="preserve"> protecția deschiderilor prin </w:t>
      </w:r>
      <w:r>
        <w:rPr>
          <w:i/>
          <w:sz w:val="24"/>
          <w:szCs w:val="24"/>
          <w:lang w:val="en-GB"/>
        </w:rPr>
        <w:t>bord</w:t>
      </w:r>
      <w:r>
        <w:rPr>
          <w:i/>
          <w:sz w:val="24"/>
          <w:szCs w:val="24"/>
        </w:rPr>
        <w:t>ă</w:t>
      </w:r>
      <w:r>
        <w:rPr>
          <w:i/>
          <w:sz w:val="24"/>
          <w:szCs w:val="24"/>
          <w:lang w:val="en-GB"/>
        </w:rPr>
        <w:t xml:space="preserve">ri </w:t>
      </w:r>
      <w:r>
        <w:rPr>
          <w:bCs/>
          <w:i/>
          <w:sz w:val="24"/>
          <w:szCs w:val="24"/>
        </w:rPr>
        <w:t xml:space="preserve">de termoizolaţie clasa de reacţie la foc </w:t>
      </w:r>
      <w:r>
        <w:rPr>
          <w:b/>
          <w:i/>
          <w:sz w:val="24"/>
          <w:szCs w:val="24"/>
        </w:rPr>
        <w:t xml:space="preserve">A1 </w:t>
      </w:r>
      <w:r>
        <w:rPr>
          <w:bCs/>
          <w:i/>
          <w:sz w:val="24"/>
          <w:szCs w:val="24"/>
        </w:rPr>
        <w:t>sau</w:t>
      </w:r>
      <w:r>
        <w:rPr>
          <w:b/>
          <w:i/>
          <w:sz w:val="24"/>
          <w:szCs w:val="24"/>
        </w:rPr>
        <w:t xml:space="preserve"> A2-s1d0</w:t>
      </w:r>
      <w:r>
        <w:rPr>
          <w:i/>
          <w:sz w:val="24"/>
          <w:szCs w:val="24"/>
        </w:rPr>
        <w:t xml:space="preserve"> (tâmplărie montată pe perete)</w:t>
      </w:r>
      <w:r>
        <w:rPr>
          <w:i/>
          <w:sz w:val="24"/>
          <w:szCs w:val="24"/>
          <w:lang w:val="en-GB"/>
        </w:rPr>
        <w:t xml:space="preserve"> pentru </w:t>
      </w:r>
      <w:r>
        <w:rPr>
          <w:b/>
          <w:bCs/>
          <w:i/>
          <w:sz w:val="24"/>
          <w:szCs w:val="24"/>
          <w:lang w:val="en-GB"/>
        </w:rPr>
        <w:t>H</w:t>
      </w:r>
      <w:r>
        <w:rPr>
          <w:b/>
          <w:bCs/>
          <w:i/>
          <w:sz w:val="24"/>
          <w:szCs w:val="24"/>
        </w:rPr>
        <w:t xml:space="preserve"> </w:t>
      </w:r>
      <w:r>
        <w:rPr>
          <w:b/>
          <w:bCs/>
          <w:i/>
          <w:sz w:val="24"/>
          <w:szCs w:val="24"/>
          <w:lang w:val="en-GB"/>
        </w:rPr>
        <w:t>&lt;</w:t>
      </w:r>
      <w:r>
        <w:rPr>
          <w:b/>
          <w:bCs/>
          <w:i/>
          <w:sz w:val="24"/>
          <w:szCs w:val="24"/>
        </w:rPr>
        <w:t xml:space="preserve"> 1</w:t>
      </w:r>
      <w:r>
        <w:rPr>
          <w:b/>
          <w:bCs/>
          <w:i/>
          <w:sz w:val="24"/>
          <w:szCs w:val="24"/>
          <w:lang w:val="en-GB"/>
        </w:rPr>
        <w:t>.</w:t>
      </w:r>
      <w:r>
        <w:rPr>
          <w:b/>
          <w:bCs/>
          <w:i/>
          <w:sz w:val="24"/>
          <w:szCs w:val="24"/>
        </w:rPr>
        <w:t>20 m</w:t>
      </w:r>
    </w:p>
    <w:p w14:paraId="7B6521D1" w14:textId="77777777" w:rsidR="001C08A5" w:rsidRDefault="00000000">
      <w:pPr>
        <w:numPr>
          <w:ilvl w:val="255"/>
          <w:numId w:val="0"/>
        </w:numPr>
        <w:tabs>
          <w:tab w:val="left" w:pos="426"/>
          <w:tab w:val="left" w:pos="993"/>
        </w:tabs>
        <w:ind w:left="1440" w:firstLine="720"/>
        <w:jc w:val="both"/>
        <w:rPr>
          <w:bCs/>
          <w:i/>
          <w:sz w:val="24"/>
          <w:szCs w:val="24"/>
          <w:lang w:eastAsia="ro-RO"/>
        </w:rPr>
      </w:pPr>
      <w:r>
        <w:rPr>
          <w:bCs/>
          <w:i/>
          <w:sz w:val="24"/>
          <w:szCs w:val="24"/>
          <w:lang w:val="en-GB"/>
        </w:rPr>
        <w:t xml:space="preserve">- </w:t>
      </w:r>
      <w:r>
        <w:rPr>
          <w:bCs/>
          <w:i/>
          <w:sz w:val="24"/>
          <w:szCs w:val="24"/>
        </w:rPr>
        <w:t xml:space="preserve">se aplică numai pe fațadele cu tâmplărie montată pe perete, indexul de înâlțime </w:t>
      </w:r>
      <w:r>
        <w:rPr>
          <w:b/>
          <w:i/>
          <w:sz w:val="24"/>
          <w:szCs w:val="24"/>
          <w:lang w:val="en-GB"/>
        </w:rPr>
        <w:t>H</w:t>
      </w:r>
      <w:r>
        <w:rPr>
          <w:bCs/>
          <w:i/>
          <w:sz w:val="24"/>
          <w:szCs w:val="24"/>
        </w:rPr>
        <w:t xml:space="preserve"> (din </w:t>
      </w:r>
      <w:r>
        <w:rPr>
          <w:b/>
          <w:i/>
          <w:sz w:val="24"/>
          <w:szCs w:val="24"/>
          <w:lang w:val="en-GB"/>
        </w:rPr>
        <w:t>H</w:t>
      </w:r>
      <w:r>
        <w:rPr>
          <w:b/>
          <w:i/>
          <w:sz w:val="24"/>
          <w:szCs w:val="24"/>
        </w:rPr>
        <w:t xml:space="preserve"> + </w:t>
      </w:r>
      <w:r>
        <w:rPr>
          <w:b/>
          <w:i/>
          <w:sz w:val="24"/>
          <w:szCs w:val="24"/>
          <w:lang w:val="en-GB"/>
        </w:rPr>
        <w:t>L</w:t>
      </w:r>
      <w:r>
        <w:rPr>
          <w:bCs/>
          <w:i/>
          <w:sz w:val="24"/>
          <w:szCs w:val="24"/>
        </w:rPr>
        <w:t>) fiind</w:t>
      </w:r>
      <w:r>
        <w:rPr>
          <w:bCs/>
          <w:i/>
          <w:sz w:val="24"/>
          <w:szCs w:val="24"/>
          <w:lang w:val="en-GB"/>
        </w:rPr>
        <w:t xml:space="preserve"> </w:t>
      </w:r>
      <w:r>
        <w:rPr>
          <w:b/>
          <w:i/>
          <w:sz w:val="24"/>
          <w:szCs w:val="24"/>
          <w:lang w:val="en-GB"/>
        </w:rPr>
        <w:t>H &lt;</w:t>
      </w:r>
      <w:r>
        <w:rPr>
          <w:b/>
          <w:i/>
          <w:sz w:val="24"/>
          <w:szCs w:val="24"/>
        </w:rPr>
        <w:t xml:space="preserve"> 1,20 m</w:t>
      </w:r>
    </w:p>
    <w:p w14:paraId="71CF52B9" w14:textId="77777777" w:rsidR="001C08A5" w:rsidRDefault="00000000">
      <w:pPr>
        <w:widowControl w:val="0"/>
        <w:jc w:val="center"/>
        <w:rPr>
          <w:i/>
          <w:sz w:val="24"/>
          <w:szCs w:val="24"/>
          <w:lang w:val="en-GB"/>
        </w:rPr>
      </w:pPr>
      <w:r>
        <w:rPr>
          <w:i/>
          <w:noProof/>
          <w:sz w:val="24"/>
          <w:szCs w:val="24"/>
          <w:lang w:eastAsia="ro-RO"/>
        </w:rPr>
        <w:drawing>
          <wp:inline distT="0" distB="0" distL="114300" distR="114300" wp14:anchorId="0435D6DD" wp14:editId="20808F50">
            <wp:extent cx="2889885" cy="1598295"/>
            <wp:effectExtent l="0" t="0" r="5715" b="1905"/>
            <wp:docPr id="173" name="Picture 10" descr="9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0" descr="9 nou"/>
                    <pic:cNvPicPr>
                      <a:picLocks noChangeAspect="1"/>
                    </pic:cNvPicPr>
                  </pic:nvPicPr>
                  <pic:blipFill>
                    <a:blip r:embed="rId272"/>
                    <a:srcRect l="25470"/>
                    <a:stretch>
                      <a:fillRect/>
                    </a:stretch>
                  </pic:blipFill>
                  <pic:spPr>
                    <a:xfrm>
                      <a:off x="0" y="0"/>
                      <a:ext cx="2889885" cy="1598295"/>
                    </a:xfrm>
                    <a:prstGeom prst="rect">
                      <a:avLst/>
                    </a:prstGeom>
                    <a:noFill/>
                    <a:ln>
                      <a:noFill/>
                    </a:ln>
                  </pic:spPr>
                </pic:pic>
              </a:graphicData>
            </a:graphic>
          </wp:inline>
        </w:drawing>
      </w:r>
    </w:p>
    <w:tbl>
      <w:tblPr>
        <w:tblStyle w:val="TableGrid"/>
        <w:tblW w:w="4623" w:type="dxa"/>
        <w:tblInd w:w="24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14"/>
        <w:gridCol w:w="1595"/>
        <w:gridCol w:w="1514"/>
      </w:tblGrid>
      <w:tr w:rsidR="001C08A5" w14:paraId="2FC54B72" w14:textId="77777777">
        <w:tc>
          <w:tcPr>
            <w:tcW w:w="1514" w:type="dxa"/>
          </w:tcPr>
          <w:p w14:paraId="39A57087" w14:textId="77777777" w:rsidR="001C08A5" w:rsidRDefault="00000000">
            <w:pPr>
              <w:jc w:val="center"/>
              <w:rPr>
                <w:i/>
                <w:sz w:val="24"/>
                <w:szCs w:val="24"/>
              </w:rPr>
            </w:pPr>
            <w:r>
              <w:rPr>
                <w:i/>
                <w:sz w:val="22"/>
                <w:szCs w:val="22"/>
              </w:rPr>
              <w:t>Varianta a)</w:t>
            </w:r>
          </w:p>
        </w:tc>
        <w:tc>
          <w:tcPr>
            <w:tcW w:w="1595" w:type="dxa"/>
          </w:tcPr>
          <w:p w14:paraId="1ADAC57C" w14:textId="77777777" w:rsidR="001C08A5" w:rsidRDefault="00000000">
            <w:pPr>
              <w:jc w:val="center"/>
              <w:rPr>
                <w:i/>
                <w:sz w:val="24"/>
                <w:szCs w:val="24"/>
                <w:lang w:val="en-GB"/>
              </w:rPr>
            </w:pPr>
            <w:r>
              <w:rPr>
                <w:i/>
                <w:sz w:val="22"/>
                <w:szCs w:val="22"/>
              </w:rPr>
              <w:t>Varianta b)</w:t>
            </w:r>
          </w:p>
        </w:tc>
        <w:tc>
          <w:tcPr>
            <w:tcW w:w="1514" w:type="dxa"/>
          </w:tcPr>
          <w:p w14:paraId="55D6E2BD" w14:textId="77777777" w:rsidR="001C08A5" w:rsidRDefault="00000000">
            <w:pPr>
              <w:jc w:val="center"/>
              <w:rPr>
                <w:i/>
                <w:sz w:val="24"/>
                <w:szCs w:val="24"/>
                <w:lang w:val="en-GB"/>
              </w:rPr>
            </w:pPr>
            <w:r>
              <w:rPr>
                <w:i/>
                <w:sz w:val="22"/>
                <w:szCs w:val="22"/>
              </w:rPr>
              <w:t>Varianta c)</w:t>
            </w:r>
          </w:p>
        </w:tc>
      </w:tr>
    </w:tbl>
    <w:p w14:paraId="3EEC25A3" w14:textId="77777777" w:rsidR="001C08A5" w:rsidRDefault="00000000">
      <w:pPr>
        <w:pStyle w:val="Caption"/>
        <w:numPr>
          <w:ilvl w:val="255"/>
          <w:numId w:val="0"/>
        </w:numPr>
        <w:tabs>
          <w:tab w:val="left" w:pos="426"/>
          <w:tab w:val="left" w:pos="993"/>
        </w:tabs>
        <w:jc w:val="center"/>
        <w:rPr>
          <w:rFonts w:cs="Times New Roman"/>
        </w:rPr>
      </w:pPr>
      <w:bookmarkStart w:id="6473" w:name="_Ref31737"/>
      <w:bookmarkStart w:id="6474" w:name="_Toc162360336"/>
      <w:r>
        <w:t xml:space="preserve">Figura </w:t>
      </w:r>
      <w:r>
        <w:fldChar w:fldCharType="begin"/>
      </w:r>
      <w:r>
        <w:instrText xml:space="preserve"> SEQ Figura \* ARABIC </w:instrText>
      </w:r>
      <w:r>
        <w:fldChar w:fldCharType="separate"/>
      </w:r>
      <w:r>
        <w:t>112</w:t>
      </w:r>
      <w:r>
        <w:fldChar w:fldCharType="end"/>
      </w:r>
      <w:bookmarkStart w:id="6475" w:name="_Toc15375"/>
      <w:bookmarkStart w:id="6476" w:name="_Toc32482"/>
      <w:bookmarkStart w:id="6477" w:name="_Toc23013"/>
      <w:bookmarkStart w:id="6478" w:name="_Toc5878"/>
      <w:bookmarkStart w:id="6479" w:name="_Toc6862"/>
      <w:bookmarkStart w:id="6480" w:name="_Toc6172"/>
      <w:bookmarkStart w:id="6481" w:name="_Toc96"/>
      <w:bookmarkStart w:id="6482" w:name="_Toc5575"/>
      <w:bookmarkEnd w:id="6473"/>
      <w:r>
        <w:t xml:space="preserve"> - </w:t>
      </w:r>
      <w:r>
        <w:rPr>
          <w:rFonts w:cs="Times New Roman"/>
        </w:rPr>
        <w:t xml:space="preserve">Protecția deschiderilor prin </w:t>
      </w:r>
      <w:r>
        <w:rPr>
          <w:rFonts w:cs="Times New Roman"/>
          <w:lang w:val="en-GB"/>
        </w:rPr>
        <w:t xml:space="preserve">bordari </w:t>
      </w:r>
      <w:r>
        <w:rPr>
          <w:rFonts w:cs="Times New Roman"/>
        </w:rPr>
        <w:t>de termoizolaţie clasa de reacţie la foc A1 sau A2-s1d0 (tâmplărie montată pe perete)</w:t>
      </w:r>
      <w:bookmarkEnd w:id="6474"/>
      <w:bookmarkEnd w:id="6475"/>
      <w:bookmarkEnd w:id="6476"/>
      <w:bookmarkEnd w:id="6477"/>
      <w:bookmarkEnd w:id="6478"/>
      <w:bookmarkEnd w:id="6479"/>
      <w:bookmarkEnd w:id="6480"/>
      <w:bookmarkEnd w:id="6481"/>
      <w:bookmarkEnd w:id="6482"/>
    </w:p>
    <w:p w14:paraId="046CB429" w14:textId="77777777" w:rsidR="001C08A5" w:rsidRDefault="001C08A5"/>
    <w:p w14:paraId="5948497B" w14:textId="77777777" w:rsidR="001C08A5" w:rsidRDefault="00000000">
      <w:pPr>
        <w:numPr>
          <w:ilvl w:val="0"/>
          <w:numId w:val="96"/>
        </w:numPr>
        <w:tabs>
          <w:tab w:val="left" w:pos="426"/>
          <w:tab w:val="left" w:pos="993"/>
        </w:tabs>
        <w:jc w:val="both"/>
        <w:rPr>
          <w:bCs/>
          <w:i/>
          <w:sz w:val="24"/>
          <w:szCs w:val="24"/>
        </w:rPr>
      </w:pPr>
      <w:r>
        <w:rPr>
          <w:bCs/>
          <w:i/>
          <w:sz w:val="24"/>
        </w:rPr>
        <w:lastRenderedPageBreak/>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
          <w:i/>
          <w:sz w:val="24"/>
        </w:rPr>
        <w:t>,</w:t>
      </w:r>
      <w:r>
        <w:rPr>
          <w:bCs/>
          <w:i/>
          <w:sz w:val="24"/>
        </w:rPr>
        <w:t xml:space="preserve">  pe aceeași fațadă</w:t>
      </w:r>
      <w:r>
        <w:rPr>
          <w:bCs/>
          <w:i/>
          <w:sz w:val="24"/>
          <w:lang w:val="en-GB"/>
        </w:rPr>
        <w:t xml:space="preserve">, </w:t>
      </w:r>
      <w:r>
        <w:rPr>
          <w:bCs/>
          <w:i/>
          <w:sz w:val="24"/>
        </w:rPr>
        <w:t xml:space="preserve">în condițiile în care indexul </w:t>
      </w:r>
      <w:r>
        <w:rPr>
          <w:b/>
          <w:i/>
          <w:sz w:val="24"/>
          <w:lang w:val="en-GB"/>
        </w:rPr>
        <w:t>H</w:t>
      </w:r>
      <w:r>
        <w:rPr>
          <w:bCs/>
          <w:i/>
          <w:sz w:val="24"/>
        </w:rPr>
        <w:t xml:space="preserve"> (din </w:t>
      </w:r>
      <w:r>
        <w:rPr>
          <w:bCs/>
          <w:i/>
          <w:sz w:val="24"/>
          <w:lang w:val="en-GB"/>
        </w:rPr>
        <w:t>H</w:t>
      </w:r>
      <w:r>
        <w:rPr>
          <w:bCs/>
          <w:i/>
          <w:sz w:val="24"/>
        </w:rPr>
        <w:t xml:space="preserve"> + </w:t>
      </w:r>
      <w:r>
        <w:rPr>
          <w:bCs/>
          <w:i/>
          <w:sz w:val="24"/>
          <w:lang w:val="en-GB"/>
        </w:rPr>
        <w:t>L</w:t>
      </w:r>
      <w:r>
        <w:rPr>
          <w:bCs/>
          <w:i/>
          <w:sz w:val="24"/>
        </w:rPr>
        <w:t>) este</w:t>
      </w:r>
      <w:r>
        <w:rPr>
          <w:bCs/>
          <w:i/>
          <w:sz w:val="24"/>
          <w:lang w:val="en-GB"/>
        </w:rPr>
        <w:t xml:space="preserve"> </w:t>
      </w:r>
      <w:r>
        <w:rPr>
          <w:b/>
          <w:i/>
          <w:sz w:val="24"/>
          <w:lang w:val="en-GB"/>
        </w:rPr>
        <w:t>H &lt;</w:t>
      </w:r>
      <w:r>
        <w:rPr>
          <w:b/>
          <w:i/>
          <w:sz w:val="24"/>
        </w:rPr>
        <w:t xml:space="preserve"> 1,20 m</w:t>
      </w:r>
      <w:r>
        <w:rPr>
          <w:bCs/>
          <w:i/>
          <w:sz w:val="24"/>
        </w:rPr>
        <w:t xml:space="preserve">, </w:t>
      </w:r>
      <w:r>
        <w:rPr>
          <w:bCs/>
          <w:i/>
          <w:sz w:val="24"/>
          <w:lang w:val="en-GB"/>
        </w:rPr>
        <w:t>realizare</w:t>
      </w:r>
      <w:r>
        <w:rPr>
          <w:bCs/>
          <w:i/>
          <w:sz w:val="24"/>
        </w:rPr>
        <w:t>a fâşii</w:t>
      </w:r>
      <w:r>
        <w:rPr>
          <w:bCs/>
          <w:i/>
          <w:sz w:val="24"/>
          <w:lang w:val="en-GB"/>
        </w:rPr>
        <w:t>lor/ benzilor</w:t>
      </w:r>
      <w:r>
        <w:rPr>
          <w:bCs/>
          <w:i/>
          <w:sz w:val="24"/>
        </w:rPr>
        <w:t xml:space="preserve"> orizontale continui de termoizolaţie clasa de reacţie la foc </w:t>
      </w:r>
      <w:r>
        <w:rPr>
          <w:b/>
          <w:i/>
          <w:sz w:val="24"/>
        </w:rPr>
        <w:t>A1</w:t>
      </w:r>
      <w:r>
        <w:rPr>
          <w:bCs/>
          <w:i/>
          <w:sz w:val="24"/>
        </w:rPr>
        <w:t xml:space="preserve"> sau </w:t>
      </w:r>
      <w:r>
        <w:rPr>
          <w:b/>
          <w:i/>
          <w:sz w:val="24"/>
        </w:rPr>
        <w:t>A2-s1d0</w:t>
      </w:r>
      <w:r>
        <w:rPr>
          <w:bCs/>
          <w:i/>
          <w:sz w:val="24"/>
        </w:rPr>
        <w:t xml:space="preserve"> se realizează conform </w:t>
      </w:r>
      <w:r>
        <w:rPr>
          <w:b/>
          <w:bCs/>
          <w:i/>
          <w:iCs/>
          <w:sz w:val="24"/>
          <w:szCs w:val="24"/>
        </w:rPr>
        <w:fldChar w:fldCharType="begin"/>
      </w:r>
      <w:r>
        <w:rPr>
          <w:b/>
          <w:bCs/>
          <w:i/>
          <w:iCs/>
          <w:sz w:val="24"/>
          <w:szCs w:val="24"/>
        </w:rPr>
        <w:instrText xml:space="preserve"> REF _Ref8737 \h </w:instrText>
      </w:r>
      <w:r>
        <w:rPr>
          <w:b/>
          <w:bCs/>
          <w:i/>
          <w:iCs/>
          <w:sz w:val="24"/>
          <w:szCs w:val="24"/>
        </w:rPr>
      </w:r>
      <w:r>
        <w:rPr>
          <w:b/>
          <w:bCs/>
          <w:i/>
          <w:iCs/>
          <w:sz w:val="24"/>
          <w:szCs w:val="24"/>
        </w:rPr>
        <w:fldChar w:fldCharType="separate"/>
      </w:r>
      <w:r>
        <w:t>Figura 113</w:t>
      </w:r>
      <w:r>
        <w:rPr>
          <w:b/>
          <w:bCs/>
          <w:i/>
          <w:iCs/>
          <w:sz w:val="24"/>
          <w:szCs w:val="24"/>
        </w:rPr>
        <w:fldChar w:fldCharType="end"/>
      </w:r>
      <w:r>
        <w:rPr>
          <w:b/>
          <w:bCs/>
          <w:i/>
          <w:iCs/>
          <w:sz w:val="24"/>
          <w:szCs w:val="24"/>
        </w:rPr>
        <w:t xml:space="preserve"> </w:t>
      </w:r>
      <w:r>
        <w:rPr>
          <w:b/>
          <w:i/>
          <w:sz w:val="24"/>
        </w:rPr>
        <w:t xml:space="preserve">Varianta a) </w:t>
      </w:r>
      <w:r>
        <w:rPr>
          <w:bCs/>
          <w:i/>
          <w:sz w:val="24"/>
        </w:rPr>
        <w:t>(partea din stânga a imaginii).</w:t>
      </w:r>
      <w:r>
        <w:rPr>
          <w:b/>
          <w:i/>
          <w:sz w:val="24"/>
        </w:rPr>
        <w:t xml:space="preserve"> </w:t>
      </w: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
          <w:i/>
          <w:sz w:val="24"/>
        </w:rPr>
        <w:t>,</w:t>
      </w:r>
      <w:r>
        <w:rPr>
          <w:bCs/>
          <w:i/>
          <w:sz w:val="24"/>
        </w:rPr>
        <w:t xml:space="preserve">  pe aceeași fațadă</w:t>
      </w:r>
      <w:r>
        <w:rPr>
          <w:bCs/>
          <w:i/>
          <w:sz w:val="24"/>
          <w:lang w:val="en-GB"/>
        </w:rPr>
        <w:t xml:space="preserve">, </w:t>
      </w:r>
      <w:r>
        <w:rPr>
          <w:bCs/>
          <w:i/>
          <w:sz w:val="24"/>
        </w:rPr>
        <w:t xml:space="preserve">în condițiile în care indexul </w:t>
      </w:r>
      <w:r>
        <w:rPr>
          <w:b/>
          <w:i/>
          <w:sz w:val="24"/>
          <w:lang w:val="en-GB"/>
        </w:rPr>
        <w:t>H</w:t>
      </w:r>
      <w:r>
        <w:rPr>
          <w:bCs/>
          <w:i/>
          <w:sz w:val="24"/>
        </w:rPr>
        <w:t xml:space="preserve"> (din </w:t>
      </w:r>
      <w:r>
        <w:rPr>
          <w:bCs/>
          <w:i/>
          <w:sz w:val="24"/>
          <w:lang w:val="en-GB"/>
        </w:rPr>
        <w:t>H</w:t>
      </w:r>
      <w:r>
        <w:rPr>
          <w:bCs/>
          <w:i/>
          <w:sz w:val="24"/>
        </w:rPr>
        <w:t xml:space="preserve"> + </w:t>
      </w:r>
      <w:r>
        <w:rPr>
          <w:bCs/>
          <w:i/>
          <w:sz w:val="24"/>
          <w:lang w:val="en-GB"/>
        </w:rPr>
        <w:t>L</w:t>
      </w:r>
      <w:r>
        <w:rPr>
          <w:bCs/>
          <w:i/>
          <w:sz w:val="24"/>
        </w:rPr>
        <w:t>) este</w:t>
      </w:r>
      <w:r>
        <w:rPr>
          <w:bCs/>
          <w:i/>
          <w:sz w:val="24"/>
          <w:lang w:val="en-GB"/>
        </w:rPr>
        <w:t xml:space="preserve"> </w:t>
      </w:r>
      <w:r>
        <w:rPr>
          <w:b/>
          <w:i/>
          <w:sz w:val="24"/>
          <w:lang w:val="en-GB"/>
        </w:rPr>
        <w:t>H &lt;</w:t>
      </w:r>
      <w:r>
        <w:rPr>
          <w:b/>
          <w:i/>
          <w:sz w:val="24"/>
        </w:rPr>
        <w:t xml:space="preserve"> 1,20 m</w:t>
      </w:r>
      <w:r>
        <w:rPr>
          <w:bCs/>
          <w:i/>
          <w:sz w:val="24"/>
        </w:rPr>
        <w:t xml:space="preserve">, </w:t>
      </w:r>
      <w:r>
        <w:rPr>
          <w:bCs/>
          <w:i/>
          <w:sz w:val="24"/>
          <w:lang w:val="en-GB"/>
        </w:rPr>
        <w:t>realizare</w:t>
      </w:r>
      <w:r>
        <w:rPr>
          <w:bCs/>
          <w:i/>
          <w:sz w:val="24"/>
        </w:rPr>
        <w:t>a fâşii</w:t>
      </w:r>
      <w:r>
        <w:rPr>
          <w:bCs/>
          <w:i/>
          <w:sz w:val="24"/>
          <w:lang w:val="en-GB"/>
        </w:rPr>
        <w:t>lor/ benzilor</w:t>
      </w:r>
      <w:r>
        <w:rPr>
          <w:bCs/>
          <w:i/>
          <w:sz w:val="24"/>
        </w:rPr>
        <w:t xml:space="preserve"> orizontale continui de termoizolaţie clasa de reacţie la foc </w:t>
      </w:r>
      <w:r>
        <w:rPr>
          <w:b/>
          <w:i/>
          <w:sz w:val="24"/>
        </w:rPr>
        <w:t>A1</w:t>
      </w:r>
      <w:r>
        <w:rPr>
          <w:bCs/>
          <w:i/>
          <w:sz w:val="24"/>
        </w:rPr>
        <w:t xml:space="preserve"> sau </w:t>
      </w:r>
      <w:r>
        <w:rPr>
          <w:b/>
          <w:i/>
          <w:sz w:val="24"/>
        </w:rPr>
        <w:t>A2-s1d0</w:t>
      </w:r>
      <w:r>
        <w:rPr>
          <w:bCs/>
          <w:i/>
          <w:sz w:val="24"/>
        </w:rPr>
        <w:t xml:space="preserve"> </w:t>
      </w:r>
      <w:r>
        <w:rPr>
          <w:b/>
          <w:i/>
          <w:sz w:val="24"/>
        </w:rPr>
        <w:t>la colțuri</w:t>
      </w:r>
      <w:r>
        <w:rPr>
          <w:bCs/>
          <w:i/>
          <w:sz w:val="24"/>
        </w:rPr>
        <w:t xml:space="preserve"> se realizează conform </w:t>
      </w:r>
      <w:r>
        <w:rPr>
          <w:b/>
          <w:bCs/>
          <w:i/>
          <w:iCs/>
          <w:sz w:val="24"/>
          <w:szCs w:val="24"/>
        </w:rPr>
        <w:fldChar w:fldCharType="begin"/>
      </w:r>
      <w:r>
        <w:rPr>
          <w:b/>
          <w:bCs/>
          <w:i/>
          <w:iCs/>
          <w:sz w:val="24"/>
          <w:szCs w:val="24"/>
        </w:rPr>
        <w:instrText xml:space="preserve"> REF _Ref8737 \h </w:instrText>
      </w:r>
      <w:r>
        <w:rPr>
          <w:b/>
          <w:bCs/>
          <w:i/>
          <w:iCs/>
          <w:sz w:val="24"/>
          <w:szCs w:val="24"/>
        </w:rPr>
      </w:r>
      <w:r>
        <w:rPr>
          <w:b/>
          <w:bCs/>
          <w:i/>
          <w:iCs/>
          <w:sz w:val="24"/>
          <w:szCs w:val="24"/>
        </w:rPr>
        <w:fldChar w:fldCharType="separate"/>
      </w:r>
      <w:r>
        <w:t>Figura 113</w:t>
      </w:r>
      <w:r>
        <w:rPr>
          <w:b/>
          <w:bCs/>
          <w:i/>
          <w:iCs/>
          <w:sz w:val="24"/>
          <w:szCs w:val="24"/>
        </w:rPr>
        <w:fldChar w:fldCharType="end"/>
      </w:r>
      <w:r>
        <w:rPr>
          <w:b/>
          <w:i/>
          <w:sz w:val="24"/>
        </w:rPr>
        <w:t xml:space="preserve"> Varianta b) </w:t>
      </w:r>
      <w:r>
        <w:rPr>
          <w:bCs/>
          <w:i/>
          <w:sz w:val="24"/>
        </w:rPr>
        <w:t>(partea din stânga a imaginii).</w:t>
      </w:r>
      <w:r>
        <w:rPr>
          <w:b/>
          <w:i/>
          <w:sz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5"/>
        <w:gridCol w:w="4814"/>
      </w:tblGrid>
      <w:tr w:rsidR="001C08A5" w14:paraId="7B3874F0" w14:textId="77777777">
        <w:tc>
          <w:tcPr>
            <w:tcW w:w="4927" w:type="dxa"/>
          </w:tcPr>
          <w:p w14:paraId="4537E38D" w14:textId="77777777" w:rsidR="001C08A5" w:rsidRDefault="00000000">
            <w:pPr>
              <w:numPr>
                <w:ilvl w:val="255"/>
                <w:numId w:val="0"/>
              </w:numPr>
              <w:tabs>
                <w:tab w:val="left" w:pos="426"/>
                <w:tab w:val="left" w:pos="993"/>
              </w:tabs>
              <w:jc w:val="center"/>
              <w:rPr>
                <w:b/>
                <w:i/>
                <w:sz w:val="24"/>
                <w:lang w:eastAsia="ro-RO"/>
              </w:rPr>
            </w:pPr>
            <w:r>
              <w:rPr>
                <w:bCs/>
                <w:i/>
                <w:noProof/>
                <w:sz w:val="24"/>
                <w:szCs w:val="24"/>
                <w:lang w:eastAsia="ro-RO"/>
              </w:rPr>
              <w:drawing>
                <wp:inline distT="0" distB="0" distL="114300" distR="114300" wp14:anchorId="7F06BE49" wp14:editId="40BEE8A3">
                  <wp:extent cx="2661920" cy="2790190"/>
                  <wp:effectExtent l="0" t="0" r="5080" b="10160"/>
                  <wp:docPr id="174" name="Picture 11" descr="blo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1" descr="bloc 6"/>
                          <pic:cNvPicPr>
                            <a:picLocks noChangeAspect="1"/>
                          </pic:cNvPicPr>
                        </pic:nvPicPr>
                        <pic:blipFill>
                          <a:blip r:embed="rId273"/>
                          <a:srcRect l="948" r="180" b="720"/>
                          <a:stretch>
                            <a:fillRect/>
                          </a:stretch>
                        </pic:blipFill>
                        <pic:spPr>
                          <a:xfrm>
                            <a:off x="0" y="0"/>
                            <a:ext cx="2661920" cy="2790190"/>
                          </a:xfrm>
                          <a:prstGeom prst="rect">
                            <a:avLst/>
                          </a:prstGeom>
                          <a:noFill/>
                          <a:ln>
                            <a:noFill/>
                          </a:ln>
                        </pic:spPr>
                      </pic:pic>
                    </a:graphicData>
                  </a:graphic>
                </wp:inline>
              </w:drawing>
            </w:r>
          </w:p>
        </w:tc>
        <w:tc>
          <w:tcPr>
            <w:tcW w:w="4928" w:type="dxa"/>
          </w:tcPr>
          <w:p w14:paraId="0C217955" w14:textId="77777777" w:rsidR="001C08A5" w:rsidRDefault="00000000">
            <w:pPr>
              <w:numPr>
                <w:ilvl w:val="255"/>
                <w:numId w:val="0"/>
              </w:numPr>
              <w:tabs>
                <w:tab w:val="left" w:pos="426"/>
                <w:tab w:val="left" w:pos="993"/>
              </w:tabs>
              <w:jc w:val="center"/>
              <w:rPr>
                <w:b/>
                <w:i/>
                <w:sz w:val="24"/>
                <w:lang w:eastAsia="ro-RO"/>
              </w:rPr>
            </w:pPr>
            <w:r>
              <w:rPr>
                <w:bCs/>
                <w:i/>
                <w:noProof/>
                <w:sz w:val="24"/>
                <w:szCs w:val="24"/>
                <w:lang w:eastAsia="ro-RO"/>
              </w:rPr>
              <w:drawing>
                <wp:inline distT="0" distB="0" distL="114300" distR="114300" wp14:anchorId="76EF8144" wp14:editId="5D3EF58D">
                  <wp:extent cx="2628265" cy="2791460"/>
                  <wp:effectExtent l="0" t="0" r="635" b="8890"/>
                  <wp:docPr id="175" name="Picture 12" descr="blo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2" descr="bloc 5"/>
                          <pic:cNvPicPr>
                            <a:picLocks noChangeAspect="1"/>
                          </pic:cNvPicPr>
                        </pic:nvPicPr>
                        <pic:blipFill>
                          <a:blip r:embed="rId274"/>
                          <a:srcRect l="949" r="377"/>
                          <a:stretch>
                            <a:fillRect/>
                          </a:stretch>
                        </pic:blipFill>
                        <pic:spPr>
                          <a:xfrm>
                            <a:off x="0" y="0"/>
                            <a:ext cx="2628265" cy="2791460"/>
                          </a:xfrm>
                          <a:prstGeom prst="rect">
                            <a:avLst/>
                          </a:prstGeom>
                          <a:noFill/>
                          <a:ln>
                            <a:noFill/>
                          </a:ln>
                        </pic:spPr>
                      </pic:pic>
                    </a:graphicData>
                  </a:graphic>
                </wp:inline>
              </w:drawing>
            </w:r>
          </w:p>
        </w:tc>
      </w:tr>
      <w:tr w:rsidR="001C08A5" w14:paraId="497E384B" w14:textId="77777777">
        <w:tc>
          <w:tcPr>
            <w:tcW w:w="4927" w:type="dxa"/>
          </w:tcPr>
          <w:p w14:paraId="3FEB0AD5" w14:textId="77777777" w:rsidR="001C08A5" w:rsidRDefault="00000000">
            <w:pPr>
              <w:numPr>
                <w:ilvl w:val="255"/>
                <w:numId w:val="0"/>
              </w:numPr>
              <w:tabs>
                <w:tab w:val="left" w:pos="426"/>
                <w:tab w:val="left" w:pos="993"/>
              </w:tabs>
              <w:jc w:val="center"/>
              <w:rPr>
                <w:b/>
                <w:i/>
                <w:sz w:val="24"/>
                <w:lang w:val="en-US" w:eastAsia="ro-RO"/>
              </w:rPr>
            </w:pPr>
            <w:r>
              <w:rPr>
                <w:b/>
                <w:i/>
                <w:sz w:val="24"/>
                <w:lang w:val="en-US" w:eastAsia="ro-RO"/>
              </w:rPr>
              <w:t>Varianta a): în câmp</w:t>
            </w:r>
          </w:p>
        </w:tc>
        <w:tc>
          <w:tcPr>
            <w:tcW w:w="4928" w:type="dxa"/>
          </w:tcPr>
          <w:p w14:paraId="370B59BB" w14:textId="77777777" w:rsidR="001C08A5" w:rsidRDefault="00000000">
            <w:pPr>
              <w:numPr>
                <w:ilvl w:val="255"/>
                <w:numId w:val="0"/>
              </w:numPr>
              <w:tabs>
                <w:tab w:val="left" w:pos="426"/>
                <w:tab w:val="left" w:pos="993"/>
              </w:tabs>
              <w:jc w:val="center"/>
              <w:rPr>
                <w:b/>
                <w:i/>
                <w:sz w:val="24"/>
                <w:lang w:val="en-US" w:eastAsia="ro-RO"/>
              </w:rPr>
            </w:pPr>
            <w:r>
              <w:rPr>
                <w:b/>
                <w:i/>
                <w:sz w:val="24"/>
                <w:lang w:val="en-US" w:eastAsia="ro-RO"/>
              </w:rPr>
              <w:t>Varianta b): la colțuri</w:t>
            </w:r>
          </w:p>
        </w:tc>
      </w:tr>
    </w:tbl>
    <w:p w14:paraId="0A427B87" w14:textId="77777777" w:rsidR="001C08A5" w:rsidRDefault="00000000">
      <w:pPr>
        <w:pStyle w:val="Caption"/>
        <w:widowControl w:val="0"/>
        <w:numPr>
          <w:ilvl w:val="255"/>
          <w:numId w:val="0"/>
        </w:numPr>
        <w:jc w:val="center"/>
      </w:pPr>
      <w:bookmarkStart w:id="6483" w:name="_Ref8737"/>
      <w:bookmarkStart w:id="6484" w:name="_Toc8308"/>
      <w:bookmarkStart w:id="6485" w:name="_Toc162360337"/>
      <w:bookmarkStart w:id="6486" w:name="_Toc18705"/>
      <w:r>
        <w:t xml:space="preserve">Figura </w:t>
      </w:r>
      <w:r>
        <w:fldChar w:fldCharType="begin"/>
      </w:r>
      <w:r>
        <w:instrText xml:space="preserve"> SEQ Figura \* ARABIC </w:instrText>
      </w:r>
      <w:r>
        <w:fldChar w:fldCharType="separate"/>
      </w:r>
      <w:r>
        <w:t>113</w:t>
      </w:r>
      <w:r>
        <w:fldChar w:fldCharType="end"/>
      </w:r>
      <w:bookmarkStart w:id="6487" w:name="_Toc3212"/>
      <w:bookmarkStart w:id="6488" w:name="_Toc28635"/>
      <w:bookmarkStart w:id="6489" w:name="_Toc27836"/>
      <w:bookmarkStart w:id="6490" w:name="_Toc16968"/>
      <w:bookmarkStart w:id="6491" w:name="_Toc6301"/>
      <w:bookmarkStart w:id="6492" w:name="_Toc13728"/>
      <w:bookmarkStart w:id="6493" w:name="_Toc6624"/>
      <w:bookmarkStart w:id="6494" w:name="_Toc1565"/>
      <w:bookmarkStart w:id="6495" w:name="_Toc3769"/>
      <w:bookmarkEnd w:id="6483"/>
      <w:r>
        <w:t xml:space="preserve"> - Principiul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aceeași fațadă</w:t>
      </w:r>
      <w:r>
        <w:rPr>
          <w:lang w:val="en-GB"/>
        </w:rPr>
        <w:t xml:space="preserve">, </w:t>
      </w:r>
      <w:r>
        <w:t xml:space="preserve">indexul </w:t>
      </w:r>
      <w:r>
        <w:rPr>
          <w:lang w:val="en-GB"/>
        </w:rPr>
        <w:t>H</w:t>
      </w:r>
      <w:r>
        <w:t xml:space="preserve"> (din </w:t>
      </w:r>
      <w:r>
        <w:rPr>
          <w:lang w:val="en-GB"/>
        </w:rPr>
        <w:t>H</w:t>
      </w:r>
      <w:r>
        <w:t xml:space="preserve"> + </w:t>
      </w:r>
      <w:r>
        <w:rPr>
          <w:lang w:val="en-GB"/>
        </w:rPr>
        <w:t>L</w:t>
      </w:r>
      <w:r>
        <w:t>) fiind</w:t>
      </w:r>
      <w:r>
        <w:rPr>
          <w:lang w:val="en-GB"/>
        </w:rPr>
        <w:t xml:space="preserve"> H &lt;</w:t>
      </w:r>
      <w:r>
        <w:t xml:space="preserve"> 1,20 m</w:t>
      </w:r>
      <w:bookmarkEnd w:id="6484"/>
      <w:bookmarkEnd w:id="6485"/>
      <w:bookmarkEnd w:id="6486"/>
      <w:bookmarkEnd w:id="6487"/>
      <w:bookmarkEnd w:id="6488"/>
      <w:bookmarkEnd w:id="6489"/>
      <w:bookmarkEnd w:id="6490"/>
      <w:bookmarkEnd w:id="6491"/>
      <w:bookmarkEnd w:id="6492"/>
      <w:bookmarkEnd w:id="6493"/>
      <w:bookmarkEnd w:id="6494"/>
      <w:bookmarkEnd w:id="6495"/>
    </w:p>
    <w:p w14:paraId="33899B32" w14:textId="77777777" w:rsidR="001C08A5" w:rsidRDefault="00000000">
      <w:pPr>
        <w:numPr>
          <w:ilvl w:val="0"/>
          <w:numId w:val="96"/>
        </w:numPr>
        <w:tabs>
          <w:tab w:val="left" w:pos="426"/>
          <w:tab w:val="left" w:pos="993"/>
        </w:tabs>
        <w:jc w:val="both"/>
        <w:rPr>
          <w:bCs/>
          <w:i/>
          <w:sz w:val="24"/>
        </w:rPr>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cuprinzând încastră</w:t>
      </w:r>
      <w:r>
        <w:rPr>
          <w:bCs/>
          <w:i/>
          <w:sz w:val="24"/>
          <w:lang w:val="en-GB"/>
        </w:rPr>
        <w:t>ri/ retrageri</w:t>
      </w:r>
      <w:r>
        <w:rPr>
          <w:bCs/>
          <w:i/>
          <w:sz w:val="24"/>
        </w:rPr>
        <w:t xml:space="preserve">, în cazul unui sistem de tencuială subțire, </w:t>
      </w:r>
      <w:r>
        <w:rPr>
          <w:bCs/>
          <w:i/>
          <w:sz w:val="24"/>
          <w:lang w:val="en-GB"/>
        </w:rPr>
        <w:t>realizare</w:t>
      </w:r>
      <w:r>
        <w:rPr>
          <w:bCs/>
          <w:i/>
          <w:sz w:val="24"/>
        </w:rPr>
        <w:t>a fâşii</w:t>
      </w:r>
      <w:r>
        <w:rPr>
          <w:bCs/>
          <w:i/>
          <w:sz w:val="24"/>
          <w:lang w:val="en-GB"/>
        </w:rPr>
        <w:t>lor/ benzilor</w:t>
      </w:r>
      <w:r>
        <w:rPr>
          <w:bCs/>
          <w:i/>
          <w:sz w:val="24"/>
        </w:rPr>
        <w:t xml:space="preserve"> orizontale continui de termoizolaţie clasa de reacţie la foc </w:t>
      </w:r>
      <w:r>
        <w:rPr>
          <w:b/>
          <w:i/>
          <w:sz w:val="24"/>
        </w:rPr>
        <w:t>A1</w:t>
      </w:r>
      <w:r>
        <w:rPr>
          <w:bCs/>
          <w:i/>
          <w:sz w:val="24"/>
        </w:rPr>
        <w:t xml:space="preserve"> sau </w:t>
      </w:r>
      <w:r>
        <w:rPr>
          <w:b/>
          <w:i/>
          <w:sz w:val="24"/>
        </w:rPr>
        <w:t>A2-s1d0</w:t>
      </w:r>
      <w:r>
        <w:rPr>
          <w:bCs/>
          <w:i/>
          <w:sz w:val="24"/>
        </w:rPr>
        <w:t xml:space="preserve"> se realizează conform </w:t>
      </w:r>
      <w:r>
        <w:rPr>
          <w:b/>
          <w:bCs/>
          <w:i/>
          <w:iCs/>
          <w:sz w:val="24"/>
          <w:szCs w:val="24"/>
        </w:rPr>
        <w:fldChar w:fldCharType="begin"/>
      </w:r>
      <w:r>
        <w:rPr>
          <w:b/>
          <w:bCs/>
          <w:i/>
          <w:iCs/>
          <w:sz w:val="24"/>
          <w:szCs w:val="24"/>
        </w:rPr>
        <w:instrText xml:space="preserve"> REF _Ref8956 \h </w:instrText>
      </w:r>
      <w:r>
        <w:rPr>
          <w:b/>
          <w:bCs/>
          <w:i/>
          <w:iCs/>
          <w:sz w:val="24"/>
          <w:szCs w:val="24"/>
        </w:rPr>
      </w:r>
      <w:r>
        <w:rPr>
          <w:b/>
          <w:bCs/>
          <w:i/>
          <w:iCs/>
          <w:sz w:val="24"/>
          <w:szCs w:val="24"/>
        </w:rPr>
        <w:fldChar w:fldCharType="separate"/>
      </w:r>
      <w:r>
        <w:t>Figura 114</w:t>
      </w:r>
      <w:r>
        <w:rPr>
          <w:b/>
          <w:bCs/>
          <w:i/>
          <w:iCs/>
          <w:sz w:val="24"/>
          <w:szCs w:val="24"/>
        </w:rPr>
        <w:fldChar w:fldCharType="end"/>
      </w:r>
      <w:r>
        <w:rPr>
          <w:b/>
          <w:i/>
          <w:sz w:val="24"/>
        </w:rPr>
        <w:t xml:space="preserve">. </w:t>
      </w:r>
      <w:r>
        <w:rPr>
          <w:bCs/>
          <w:i/>
          <w:sz w:val="24"/>
        </w:rPr>
        <w:t xml:space="preserve">Principiul este pentru fațadele </w:t>
      </w:r>
      <w:r>
        <w:rPr>
          <w:bCs/>
          <w:i/>
          <w:sz w:val="24"/>
          <w:lang w:val="en-GB"/>
        </w:rPr>
        <w:t>f</w:t>
      </w:r>
      <w:r>
        <w:rPr>
          <w:bCs/>
          <w:i/>
          <w:sz w:val="24"/>
        </w:rPr>
        <w:t>ă</w:t>
      </w:r>
      <w:r>
        <w:rPr>
          <w:bCs/>
          <w:i/>
          <w:sz w:val="24"/>
          <w:lang w:val="en-GB"/>
        </w:rPr>
        <w:t>r</w:t>
      </w:r>
      <w:r>
        <w:rPr>
          <w:bCs/>
          <w:i/>
          <w:sz w:val="24"/>
        </w:rPr>
        <w:t>ă</w:t>
      </w:r>
      <w:r>
        <w:rPr>
          <w:bCs/>
          <w:i/>
          <w:sz w:val="24"/>
          <w:lang w:val="en-GB"/>
        </w:rPr>
        <w:t xml:space="preserve"> goluri in zidarie</w:t>
      </w:r>
      <w:r>
        <w:rPr>
          <w:bCs/>
          <w:i/>
          <w:sz w:val="24"/>
        </w:rPr>
        <w:t>, cu excepția celei retrase</w:t>
      </w:r>
      <w:r>
        <w:rPr>
          <w:b/>
          <w:i/>
          <w:sz w:val="24"/>
        </w:rPr>
        <w:t xml:space="preserve"> </w:t>
      </w:r>
      <w:r>
        <w:rPr>
          <w:bCs/>
          <w:i/>
          <w:sz w:val="24"/>
        </w:rPr>
        <w:t>(</w:t>
      </w:r>
      <w:r>
        <w:rPr>
          <w:bCs/>
          <w:i/>
          <w:sz w:val="24"/>
          <w:lang w:val="en-GB"/>
        </w:rPr>
        <w:t>l</w:t>
      </w:r>
      <w:r>
        <w:rPr>
          <w:bCs/>
          <w:i/>
          <w:sz w:val="24"/>
        </w:rPr>
        <w:t>a fațada încastrată</w:t>
      </w:r>
      <w:r>
        <w:rPr>
          <w:bCs/>
          <w:i/>
          <w:sz w:val="24"/>
          <w:lang w:val="en-GB"/>
        </w:rPr>
        <w:t>/ cu retra</w:t>
      </w:r>
      <w:r>
        <w:rPr>
          <w:bCs/>
          <w:i/>
          <w:sz w:val="24"/>
        </w:rPr>
        <w:t>geri</w:t>
      </w:r>
      <w:r>
        <w:rPr>
          <w:bCs/>
          <w:i/>
          <w:sz w:val="24"/>
          <w:lang w:val="en-GB"/>
        </w:rPr>
        <w:t xml:space="preserve"> </w:t>
      </w:r>
      <w:r>
        <w:rPr>
          <w:bCs/>
          <w:i/>
          <w:sz w:val="24"/>
        </w:rPr>
        <w:t xml:space="preserve">indexul </w:t>
      </w:r>
      <w:r>
        <w:rPr>
          <w:b/>
          <w:i/>
          <w:sz w:val="24"/>
          <w:lang w:val="en-GB"/>
        </w:rPr>
        <w:t>H</w:t>
      </w:r>
      <w:r>
        <w:rPr>
          <w:bCs/>
          <w:i/>
          <w:sz w:val="24"/>
        </w:rPr>
        <w:t xml:space="preserve"> (din </w:t>
      </w:r>
      <w:r>
        <w:rPr>
          <w:bCs/>
          <w:i/>
          <w:sz w:val="24"/>
          <w:lang w:val="en-GB"/>
        </w:rPr>
        <w:t>H</w:t>
      </w:r>
      <w:r>
        <w:rPr>
          <w:bCs/>
          <w:i/>
          <w:sz w:val="24"/>
        </w:rPr>
        <w:t xml:space="preserve"> + </w:t>
      </w:r>
      <w:r>
        <w:rPr>
          <w:bCs/>
          <w:i/>
          <w:sz w:val="24"/>
          <w:lang w:val="en-GB"/>
        </w:rPr>
        <w:t>L</w:t>
      </w:r>
      <w:r>
        <w:rPr>
          <w:bCs/>
          <w:i/>
          <w:sz w:val="24"/>
        </w:rPr>
        <w:t>) fiind</w:t>
      </w:r>
      <w:r>
        <w:rPr>
          <w:bCs/>
          <w:i/>
          <w:sz w:val="24"/>
          <w:lang w:val="en-GB"/>
        </w:rPr>
        <w:t xml:space="preserve"> </w:t>
      </w:r>
      <w:r>
        <w:rPr>
          <w:b/>
          <w:i/>
          <w:sz w:val="24"/>
          <w:lang w:val="en-GB"/>
        </w:rPr>
        <w:t>H &lt;</w:t>
      </w:r>
      <w:r>
        <w:rPr>
          <w:b/>
          <w:i/>
          <w:sz w:val="24"/>
        </w:rPr>
        <w:t xml:space="preserve"> 1,20 m</w:t>
      </w:r>
      <w:r>
        <w:rPr>
          <w:bCs/>
          <w:i/>
          <w:sz w:val="24"/>
        </w:rPr>
        <w:t xml:space="preserve">). </w:t>
      </w:r>
      <w:r>
        <w:rPr>
          <w:bCs/>
          <w:i/>
          <w:sz w:val="24"/>
          <w:szCs w:val="24"/>
        </w:rPr>
        <w:t xml:space="preserve">Atunci când soluția </w:t>
      </w:r>
      <w:r>
        <w:rPr>
          <w:bCs/>
          <w:i/>
          <w:sz w:val="24"/>
          <w:szCs w:val="24"/>
          <w:lang w:val="en-GB"/>
        </w:rPr>
        <w:t>anterioar</w:t>
      </w:r>
      <w:r>
        <w:rPr>
          <w:bCs/>
          <w:i/>
          <w:sz w:val="24"/>
          <w:szCs w:val="24"/>
        </w:rPr>
        <w:t>ă este aplicată pe o fațadă încastrată</w:t>
      </w:r>
      <w:r>
        <w:rPr>
          <w:bCs/>
          <w:i/>
          <w:sz w:val="24"/>
          <w:szCs w:val="24"/>
          <w:lang w:val="en-GB"/>
        </w:rPr>
        <w:t>/ retras</w:t>
      </w:r>
      <w:r>
        <w:rPr>
          <w:bCs/>
          <w:i/>
          <w:sz w:val="24"/>
          <w:szCs w:val="24"/>
        </w:rPr>
        <w:t>ă</w:t>
      </w:r>
      <w:r>
        <w:rPr>
          <w:bCs/>
          <w:i/>
          <w:sz w:val="24"/>
          <w:szCs w:val="24"/>
          <w:lang w:val="en-GB"/>
        </w:rPr>
        <w:t>,</w:t>
      </w:r>
      <w:r>
        <w:rPr>
          <w:bCs/>
          <w:i/>
          <w:sz w:val="24"/>
          <w:szCs w:val="24"/>
        </w:rPr>
        <w:t xml:space="preserve"> </w:t>
      </w:r>
      <w:r>
        <w:rPr>
          <w:bCs/>
          <w:i/>
          <w:sz w:val="24"/>
          <w:szCs w:val="24"/>
          <w:lang w:val="en-GB"/>
        </w:rPr>
        <w:t xml:space="preserve">portiunea dintre ferestre si </w:t>
      </w:r>
      <w:r>
        <w:rPr>
          <w:bCs/>
          <w:i/>
          <w:sz w:val="24"/>
          <w:szCs w:val="24"/>
        </w:rPr>
        <w:t>cele două fațade adiacente trebuie de asemenea</w:t>
      </w:r>
      <w:r>
        <w:rPr>
          <w:bCs/>
          <w:i/>
          <w:sz w:val="24"/>
          <w:szCs w:val="24"/>
          <w:lang w:val="en-GB"/>
        </w:rPr>
        <w:t xml:space="preserve"> sa aib</w:t>
      </w:r>
      <w:r>
        <w:rPr>
          <w:bCs/>
          <w:i/>
          <w:sz w:val="24"/>
          <w:szCs w:val="24"/>
        </w:rPr>
        <w:t>ă</w:t>
      </w:r>
      <w:r>
        <w:rPr>
          <w:bCs/>
          <w:i/>
          <w:sz w:val="24"/>
          <w:szCs w:val="24"/>
          <w:lang w:val="en-GB"/>
        </w:rPr>
        <w:t xml:space="preserve"> aplicat</w:t>
      </w:r>
      <w:r>
        <w:rPr>
          <w:bCs/>
          <w:i/>
          <w:sz w:val="24"/>
          <w:szCs w:val="24"/>
        </w:rPr>
        <w:t>ă</w:t>
      </w:r>
      <w:r>
        <w:rPr>
          <w:bCs/>
          <w:i/>
          <w:sz w:val="24"/>
          <w:szCs w:val="24"/>
          <w:lang w:val="en-GB"/>
        </w:rPr>
        <w:t xml:space="preserve"> </w:t>
      </w:r>
      <w:r>
        <w:rPr>
          <w:bCs/>
          <w:i/>
          <w:sz w:val="24"/>
          <w:szCs w:val="24"/>
        </w:rPr>
        <w:t>continuu</w:t>
      </w:r>
      <w:r>
        <w:rPr>
          <w:bCs/>
          <w:i/>
          <w:sz w:val="24"/>
          <w:szCs w:val="24"/>
          <w:lang w:val="en-GB"/>
        </w:rPr>
        <w:t>,</w:t>
      </w:r>
      <w:r>
        <w:rPr>
          <w:bCs/>
          <w:i/>
          <w:sz w:val="24"/>
          <w:szCs w:val="24"/>
        </w:rPr>
        <w:t xml:space="preserve"> între go</w:t>
      </w:r>
      <w:r>
        <w:rPr>
          <w:bCs/>
          <w:i/>
          <w:sz w:val="24"/>
          <w:szCs w:val="24"/>
          <w:lang w:val="en-GB"/>
        </w:rPr>
        <w:t>luri</w:t>
      </w:r>
      <w:r>
        <w:rPr>
          <w:bCs/>
          <w:i/>
          <w:sz w:val="24"/>
          <w:szCs w:val="24"/>
        </w:rPr>
        <w:t xml:space="preserve"> și în </w:t>
      </w:r>
      <w:r>
        <w:rPr>
          <w:bCs/>
          <w:i/>
          <w:sz w:val="24"/>
          <w:szCs w:val="24"/>
          <w:lang w:val="en-GB"/>
        </w:rPr>
        <w:t>lateralul</w:t>
      </w:r>
      <w:r>
        <w:rPr>
          <w:bCs/>
          <w:i/>
          <w:sz w:val="24"/>
          <w:szCs w:val="24"/>
        </w:rPr>
        <w:t xml:space="preserve"> </w:t>
      </w:r>
      <w:r>
        <w:rPr>
          <w:bCs/>
          <w:i/>
          <w:sz w:val="24"/>
          <w:szCs w:val="24"/>
          <w:lang w:val="en-GB"/>
        </w:rPr>
        <w:t>acestora</w:t>
      </w:r>
      <w:r>
        <w:rPr>
          <w:bCs/>
          <w:i/>
          <w:sz w:val="24"/>
          <w:szCs w:val="24"/>
        </w:rPr>
        <w:t xml:space="preserve">, termoizolaţie clasa de reacţie la foc </w:t>
      </w:r>
      <w:r>
        <w:rPr>
          <w:b/>
          <w:bCs/>
          <w:i/>
          <w:sz w:val="24"/>
          <w:szCs w:val="24"/>
        </w:rPr>
        <w:t xml:space="preserve">A1 </w:t>
      </w:r>
      <w:r>
        <w:rPr>
          <w:bCs/>
          <w:i/>
          <w:sz w:val="24"/>
          <w:szCs w:val="24"/>
        </w:rPr>
        <w:t>sau</w:t>
      </w:r>
      <w:r>
        <w:rPr>
          <w:b/>
          <w:bCs/>
          <w:i/>
          <w:sz w:val="24"/>
          <w:szCs w:val="24"/>
        </w:rPr>
        <w:t xml:space="preserve"> A2-s1d0</w:t>
      </w:r>
      <w:r>
        <w:rPr>
          <w:bCs/>
          <w:i/>
          <w:sz w:val="24"/>
          <w:szCs w:val="24"/>
        </w:rPr>
        <w:t xml:space="preserve">, indiferent dacă sunt </w:t>
      </w:r>
      <w:r>
        <w:rPr>
          <w:bCs/>
          <w:i/>
          <w:sz w:val="24"/>
          <w:szCs w:val="24"/>
          <w:lang w:val="en-GB"/>
        </w:rPr>
        <w:t>f</w:t>
      </w:r>
      <w:r>
        <w:rPr>
          <w:bCs/>
          <w:i/>
          <w:sz w:val="24"/>
          <w:szCs w:val="24"/>
        </w:rPr>
        <w:t>ă</w:t>
      </w:r>
      <w:r>
        <w:rPr>
          <w:bCs/>
          <w:i/>
          <w:sz w:val="24"/>
          <w:szCs w:val="24"/>
          <w:lang w:val="en-GB"/>
        </w:rPr>
        <w:t>r</w:t>
      </w:r>
      <w:r>
        <w:rPr>
          <w:bCs/>
          <w:i/>
          <w:sz w:val="24"/>
          <w:szCs w:val="24"/>
        </w:rPr>
        <w:t xml:space="preserve">ă sau cu deschideri. </w:t>
      </w:r>
    </w:p>
    <w:p w14:paraId="4113ACFF" w14:textId="77777777" w:rsidR="001C08A5" w:rsidRDefault="00000000">
      <w:pPr>
        <w:numPr>
          <w:ilvl w:val="255"/>
          <w:numId w:val="0"/>
        </w:numPr>
        <w:tabs>
          <w:tab w:val="left" w:pos="426"/>
          <w:tab w:val="left" w:pos="993"/>
        </w:tabs>
        <w:jc w:val="center"/>
        <w:rPr>
          <w:bCs/>
          <w:i/>
          <w:sz w:val="24"/>
          <w:szCs w:val="24"/>
          <w:lang w:eastAsia="ro-RO"/>
        </w:rPr>
      </w:pPr>
      <w:r>
        <w:rPr>
          <w:bCs/>
          <w:i/>
          <w:noProof/>
          <w:sz w:val="24"/>
          <w:szCs w:val="24"/>
          <w:lang w:eastAsia="ro-RO"/>
        </w:rPr>
        <w:lastRenderedPageBreak/>
        <w:drawing>
          <wp:inline distT="0" distB="0" distL="114300" distR="114300" wp14:anchorId="535F1922" wp14:editId="0254114F">
            <wp:extent cx="2711450" cy="2849880"/>
            <wp:effectExtent l="0" t="0" r="12700" b="7620"/>
            <wp:docPr id="176" name="Picture 13" descr="blo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3" descr="bloc 7"/>
                    <pic:cNvPicPr>
                      <a:picLocks noChangeAspect="1"/>
                    </pic:cNvPicPr>
                  </pic:nvPicPr>
                  <pic:blipFill>
                    <a:blip r:embed="rId275"/>
                    <a:srcRect l="961" t="551" b="536"/>
                    <a:stretch>
                      <a:fillRect/>
                    </a:stretch>
                  </pic:blipFill>
                  <pic:spPr>
                    <a:xfrm>
                      <a:off x="0" y="0"/>
                      <a:ext cx="2711450" cy="2849880"/>
                    </a:xfrm>
                    <a:prstGeom prst="rect">
                      <a:avLst/>
                    </a:prstGeom>
                    <a:noFill/>
                    <a:ln>
                      <a:noFill/>
                    </a:ln>
                  </pic:spPr>
                </pic:pic>
              </a:graphicData>
            </a:graphic>
          </wp:inline>
        </w:drawing>
      </w:r>
    </w:p>
    <w:p w14:paraId="2AE098B1" w14:textId="77777777" w:rsidR="001C08A5" w:rsidRDefault="00000000">
      <w:pPr>
        <w:pStyle w:val="Caption"/>
        <w:widowControl w:val="0"/>
        <w:numPr>
          <w:ilvl w:val="255"/>
          <w:numId w:val="0"/>
        </w:numPr>
        <w:jc w:val="center"/>
      </w:pPr>
      <w:r>
        <w:t xml:space="preserve"> </w:t>
      </w:r>
      <w:bookmarkStart w:id="6496" w:name="_Ref8956"/>
      <w:bookmarkStart w:id="6497" w:name="_Toc162360338"/>
      <w:r>
        <w:t xml:space="preserve">Figura </w:t>
      </w:r>
      <w:r>
        <w:fldChar w:fldCharType="begin"/>
      </w:r>
      <w:r>
        <w:instrText xml:space="preserve"> SEQ Figura \* ARABIC </w:instrText>
      </w:r>
      <w:r>
        <w:fldChar w:fldCharType="separate"/>
      </w:r>
      <w:r>
        <w:t>114</w:t>
      </w:r>
      <w:r>
        <w:fldChar w:fldCharType="end"/>
      </w:r>
      <w:bookmarkStart w:id="6498" w:name="_Toc14575"/>
      <w:bookmarkStart w:id="6499" w:name="_Toc11862"/>
      <w:bookmarkStart w:id="6500" w:name="_Toc13128"/>
      <w:bookmarkStart w:id="6501" w:name="_Toc12898"/>
      <w:bookmarkStart w:id="6502" w:name="_Toc21624"/>
      <w:bookmarkStart w:id="6503" w:name="_Toc14817"/>
      <w:bookmarkStart w:id="6504" w:name="_Toc24285"/>
      <w:bookmarkStart w:id="6505" w:name="_Toc20521"/>
      <w:bookmarkEnd w:id="6496"/>
      <w:r>
        <w:t xml:space="preserve"> - Principiul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fațadă retrasă</w:t>
      </w:r>
      <w:r>
        <w:rPr>
          <w:lang w:val="en-GB"/>
        </w:rPr>
        <w:t xml:space="preserve">, </w:t>
      </w:r>
      <w:r>
        <w:t xml:space="preserve">indexul </w:t>
      </w:r>
      <w:r>
        <w:rPr>
          <w:lang w:val="en-GB"/>
        </w:rPr>
        <w:t>H</w:t>
      </w:r>
      <w:r>
        <w:t xml:space="preserve"> (din </w:t>
      </w:r>
      <w:r>
        <w:rPr>
          <w:lang w:val="en-GB"/>
        </w:rPr>
        <w:t>H</w:t>
      </w:r>
      <w:r>
        <w:t xml:space="preserve"> + </w:t>
      </w:r>
      <w:r>
        <w:rPr>
          <w:lang w:val="en-GB"/>
        </w:rPr>
        <w:t>L</w:t>
      </w:r>
      <w:r>
        <w:t>) fiind</w:t>
      </w:r>
      <w:r>
        <w:rPr>
          <w:lang w:val="en-GB"/>
        </w:rPr>
        <w:t xml:space="preserve"> H &lt;</w:t>
      </w:r>
      <w:r>
        <w:t xml:space="preserve"> 1,20 m</w:t>
      </w:r>
      <w:bookmarkEnd w:id="6497"/>
      <w:bookmarkEnd w:id="6498"/>
      <w:bookmarkEnd w:id="6499"/>
      <w:bookmarkEnd w:id="6500"/>
      <w:bookmarkEnd w:id="6501"/>
      <w:bookmarkEnd w:id="6502"/>
      <w:bookmarkEnd w:id="6503"/>
      <w:bookmarkEnd w:id="6504"/>
      <w:bookmarkEnd w:id="6505"/>
    </w:p>
    <w:p w14:paraId="054E80EA" w14:textId="77777777" w:rsidR="001C08A5" w:rsidRDefault="001C08A5">
      <w:pPr>
        <w:rPr>
          <w:lang w:eastAsia="ro-RO"/>
        </w:rPr>
      </w:pPr>
    </w:p>
    <w:p w14:paraId="2FB456D8" w14:textId="77777777" w:rsidR="001C08A5" w:rsidRDefault="00000000">
      <w:pPr>
        <w:widowControl w:val="0"/>
        <w:numPr>
          <w:ilvl w:val="0"/>
          <w:numId w:val="96"/>
        </w:numPr>
        <w:tabs>
          <w:tab w:val="left" w:pos="426"/>
          <w:tab w:val="left" w:pos="993"/>
        </w:tabs>
        <w:jc w:val="both"/>
        <w:rPr>
          <w:bCs/>
          <w:i/>
          <w:sz w:val="24"/>
          <w:szCs w:val="24"/>
        </w:rPr>
      </w:pPr>
      <w:r>
        <w:rPr>
          <w:bCs/>
          <w:i/>
          <w:sz w:val="24"/>
          <w:szCs w:val="24"/>
        </w:rPr>
        <w:t>Principiul realizării supra</w:t>
      </w:r>
      <w:r>
        <w:rPr>
          <w:bCs/>
          <w:i/>
          <w:sz w:val="24"/>
          <w:szCs w:val="24"/>
          <w:lang w:val="en-GB"/>
        </w:rPr>
        <w:t>-termo</w:t>
      </w:r>
      <w:r>
        <w:rPr>
          <w:bCs/>
          <w:i/>
          <w:sz w:val="24"/>
          <w:szCs w:val="24"/>
        </w:rPr>
        <w:t>izolației în</w:t>
      </w:r>
      <w:r>
        <w:rPr>
          <w:bCs/>
          <w:i/>
          <w:sz w:val="24"/>
          <w:szCs w:val="24"/>
          <w:lang w:val="en-GB"/>
        </w:rPr>
        <w:t xml:space="preserve"> s</w:t>
      </w:r>
      <w:r>
        <w:rPr>
          <w:bCs/>
          <w:i/>
          <w:sz w:val="24"/>
          <w:szCs w:val="24"/>
        </w:rPr>
        <w:t xml:space="preserve">isteme compozite de izolare termică exterioară a pereţilor perimetrali, </w:t>
      </w:r>
      <w:r>
        <w:rPr>
          <w:bCs/>
          <w:i/>
          <w:sz w:val="24"/>
        </w:rPr>
        <w:t xml:space="preserve">prevăzute cu termoizolație a pereţilor exteriori perimetrali </w:t>
      </w:r>
      <w:r>
        <w:rPr>
          <w:bCs/>
          <w:i/>
          <w:sz w:val="24"/>
          <w:lang w:val="en-GB"/>
        </w:rPr>
        <w:t xml:space="preserve">diferite de </w:t>
      </w:r>
      <w:r>
        <w:rPr>
          <w:b/>
          <w:i/>
          <w:sz w:val="24"/>
        </w:rPr>
        <w:t>A1, A2-s1d</w:t>
      </w:r>
      <w:r>
        <w:rPr>
          <w:b/>
          <w:i/>
          <w:sz w:val="24"/>
          <w:lang w:val="en-GB"/>
        </w:rPr>
        <w:t>0</w:t>
      </w:r>
      <w:r>
        <w:rPr>
          <w:bCs/>
          <w:i/>
          <w:sz w:val="24"/>
          <w:szCs w:val="24"/>
        </w:rPr>
        <w:t xml:space="preserve"> existente, implică (</w:t>
      </w:r>
      <w:r>
        <w:rPr>
          <w:bCs/>
          <w:i/>
          <w:sz w:val="24"/>
        </w:rPr>
        <w:t xml:space="preserve">conform </w:t>
      </w:r>
      <w:r>
        <w:rPr>
          <w:b/>
          <w:bCs/>
          <w:i/>
          <w:iCs/>
          <w:sz w:val="24"/>
          <w:szCs w:val="24"/>
        </w:rPr>
        <w:fldChar w:fldCharType="begin"/>
      </w:r>
      <w:r>
        <w:rPr>
          <w:b/>
          <w:bCs/>
          <w:i/>
          <w:iCs/>
          <w:sz w:val="24"/>
          <w:szCs w:val="24"/>
        </w:rPr>
        <w:instrText xml:space="preserve"> REF _Ref9054 \h </w:instrText>
      </w:r>
      <w:r>
        <w:rPr>
          <w:b/>
          <w:bCs/>
          <w:i/>
          <w:iCs/>
          <w:sz w:val="24"/>
          <w:szCs w:val="24"/>
        </w:rPr>
      </w:r>
      <w:r>
        <w:rPr>
          <w:b/>
          <w:bCs/>
          <w:i/>
          <w:iCs/>
          <w:sz w:val="24"/>
          <w:szCs w:val="24"/>
        </w:rPr>
        <w:fldChar w:fldCharType="separate"/>
      </w:r>
      <w:r>
        <w:t>Figura 115</w:t>
      </w:r>
      <w:r>
        <w:rPr>
          <w:b/>
          <w:bCs/>
          <w:i/>
          <w:iCs/>
          <w:sz w:val="24"/>
          <w:szCs w:val="24"/>
        </w:rPr>
        <w:fldChar w:fldCharType="end"/>
      </w:r>
      <w:r>
        <w:rPr>
          <w:bCs/>
          <w:i/>
          <w:sz w:val="24"/>
          <w:szCs w:val="24"/>
        </w:rPr>
        <w:t>):</w:t>
      </w:r>
    </w:p>
    <w:p w14:paraId="34745B09" w14:textId="77777777" w:rsidR="001C08A5" w:rsidRDefault="00000000">
      <w:pPr>
        <w:widowControl w:val="0"/>
        <w:ind w:left="720" w:firstLine="720"/>
        <w:jc w:val="both"/>
        <w:rPr>
          <w:i/>
          <w:sz w:val="24"/>
          <w:szCs w:val="24"/>
        </w:rPr>
      </w:pPr>
      <w:r>
        <w:rPr>
          <w:i/>
          <w:sz w:val="24"/>
          <w:szCs w:val="24"/>
          <w:lang w:val="en-GB"/>
        </w:rPr>
        <w:t xml:space="preserve">- </w:t>
      </w:r>
      <w:r>
        <w:rPr>
          <w:i/>
          <w:sz w:val="24"/>
          <w:szCs w:val="24"/>
        </w:rPr>
        <w:t>Lipirea completă a benzii pe suport</w:t>
      </w:r>
    </w:p>
    <w:p w14:paraId="6ED53571" w14:textId="77777777" w:rsidR="001C08A5" w:rsidRDefault="00000000">
      <w:pPr>
        <w:widowControl w:val="0"/>
        <w:ind w:left="720" w:firstLine="720"/>
        <w:rPr>
          <w:i/>
          <w:sz w:val="24"/>
          <w:szCs w:val="24"/>
        </w:rPr>
      </w:pPr>
      <w:r>
        <w:rPr>
          <w:i/>
          <w:sz w:val="24"/>
          <w:szCs w:val="24"/>
          <w:lang w:val="en-GB"/>
        </w:rPr>
        <w:t xml:space="preserve">- </w:t>
      </w:r>
      <w:r>
        <w:rPr>
          <w:i/>
          <w:sz w:val="24"/>
          <w:szCs w:val="24"/>
        </w:rPr>
        <w:t>Șurub sau cui metalic</w:t>
      </w:r>
    </w:p>
    <w:p w14:paraId="047033B4" w14:textId="77777777" w:rsidR="001C08A5" w:rsidRDefault="00000000">
      <w:pPr>
        <w:widowControl w:val="0"/>
        <w:ind w:left="720" w:firstLine="720"/>
        <w:rPr>
          <w:szCs w:val="24"/>
        </w:rPr>
      </w:pPr>
      <w:r>
        <w:rPr>
          <w:i/>
          <w:sz w:val="24"/>
          <w:szCs w:val="24"/>
        </w:rPr>
        <w:t xml:space="preserve">- Calibrarea pe </w:t>
      </w:r>
      <w:r>
        <w:rPr>
          <w:i/>
          <w:sz w:val="24"/>
          <w:szCs w:val="24"/>
          <w:lang w:val="en-GB"/>
        </w:rPr>
        <w:t xml:space="preserve">termoizolatia </w:t>
      </w:r>
      <w:r>
        <w:rPr>
          <w:bCs/>
          <w:i/>
          <w:sz w:val="24"/>
          <w:szCs w:val="24"/>
          <w:lang w:val="en-GB"/>
        </w:rPr>
        <w:t xml:space="preserve">diferita de </w:t>
      </w:r>
      <w:r>
        <w:rPr>
          <w:b/>
          <w:bCs/>
          <w:i/>
          <w:sz w:val="24"/>
          <w:szCs w:val="24"/>
        </w:rPr>
        <w:t>A1</w:t>
      </w:r>
      <w:r>
        <w:rPr>
          <w:i/>
          <w:sz w:val="24"/>
          <w:szCs w:val="24"/>
        </w:rPr>
        <w:t xml:space="preserve">, </w:t>
      </w:r>
      <w:r>
        <w:rPr>
          <w:b/>
          <w:bCs/>
          <w:i/>
          <w:sz w:val="24"/>
          <w:szCs w:val="24"/>
        </w:rPr>
        <w:t>A2-s1d</w:t>
      </w:r>
      <w:r>
        <w:rPr>
          <w:b/>
          <w:bCs/>
          <w:i/>
          <w:sz w:val="24"/>
          <w:szCs w:val="24"/>
          <w:lang w:val="en-GB"/>
        </w:rPr>
        <w:t>0</w:t>
      </w:r>
      <w:r>
        <w:rPr>
          <w:i/>
          <w:sz w:val="24"/>
          <w:szCs w:val="24"/>
        </w:rPr>
        <w:t xml:space="preserve"> existentă (sistem de tencuială subțire sau groasă)</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1C08A5" w14:paraId="3BB353C0" w14:textId="77777777">
        <w:tc>
          <w:tcPr>
            <w:tcW w:w="9855" w:type="dxa"/>
          </w:tcPr>
          <w:p w14:paraId="5F7C3969" w14:textId="77777777" w:rsidR="001C08A5" w:rsidRDefault="00000000">
            <w:pPr>
              <w:numPr>
                <w:ilvl w:val="255"/>
                <w:numId w:val="0"/>
              </w:numPr>
              <w:tabs>
                <w:tab w:val="left" w:pos="426"/>
                <w:tab w:val="left" w:pos="993"/>
              </w:tabs>
              <w:jc w:val="center"/>
              <w:rPr>
                <w:bCs/>
                <w:i/>
                <w:sz w:val="24"/>
                <w:szCs w:val="24"/>
                <w:lang w:eastAsia="ro-RO"/>
              </w:rPr>
            </w:pPr>
            <w:r>
              <w:rPr>
                <w:bCs/>
                <w:i/>
                <w:noProof/>
                <w:sz w:val="24"/>
                <w:szCs w:val="24"/>
                <w:lang w:eastAsia="ro-RO"/>
              </w:rPr>
              <w:drawing>
                <wp:inline distT="0" distB="0" distL="114300" distR="114300" wp14:anchorId="6E28C303" wp14:editId="2CCE3697">
                  <wp:extent cx="3346450" cy="1751330"/>
                  <wp:effectExtent l="0" t="0" r="6350" b="1270"/>
                  <wp:docPr id="177" name="Picture 14" descr="3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4" descr="3 nou"/>
                          <pic:cNvPicPr>
                            <a:picLocks noChangeAspect="1"/>
                          </pic:cNvPicPr>
                        </pic:nvPicPr>
                        <pic:blipFill>
                          <a:blip r:embed="rId276"/>
                          <a:stretch>
                            <a:fillRect/>
                          </a:stretch>
                        </pic:blipFill>
                        <pic:spPr>
                          <a:xfrm>
                            <a:off x="0" y="0"/>
                            <a:ext cx="3363527" cy="1760435"/>
                          </a:xfrm>
                          <a:prstGeom prst="rect">
                            <a:avLst/>
                          </a:prstGeom>
                          <a:noFill/>
                          <a:ln>
                            <a:noFill/>
                          </a:ln>
                        </pic:spPr>
                      </pic:pic>
                    </a:graphicData>
                  </a:graphic>
                </wp:inline>
              </w:drawing>
            </w:r>
          </w:p>
        </w:tc>
      </w:tr>
    </w:tbl>
    <w:p w14:paraId="69A0C816" w14:textId="77777777" w:rsidR="001C08A5" w:rsidRDefault="00000000">
      <w:pPr>
        <w:pStyle w:val="Caption"/>
        <w:numPr>
          <w:ilvl w:val="255"/>
          <w:numId w:val="0"/>
        </w:numPr>
        <w:tabs>
          <w:tab w:val="left" w:pos="426"/>
          <w:tab w:val="left" w:pos="993"/>
        </w:tabs>
        <w:jc w:val="center"/>
        <w:rPr>
          <w:rFonts w:cs="Times New Roman"/>
          <w:b w:val="0"/>
          <w:bCs/>
          <w:lang w:eastAsia="ro-RO"/>
        </w:rPr>
      </w:pPr>
      <w:bookmarkStart w:id="6506" w:name="_Ref9054"/>
      <w:bookmarkStart w:id="6507" w:name="_Toc162360339"/>
      <w:r>
        <w:t xml:space="preserve">Figura </w:t>
      </w:r>
      <w:r>
        <w:fldChar w:fldCharType="begin"/>
      </w:r>
      <w:r>
        <w:instrText xml:space="preserve"> SEQ Figura \* ARABIC </w:instrText>
      </w:r>
      <w:r>
        <w:fldChar w:fldCharType="separate"/>
      </w:r>
      <w:r>
        <w:t>115</w:t>
      </w:r>
      <w:r>
        <w:fldChar w:fldCharType="end"/>
      </w:r>
      <w:bookmarkStart w:id="6508" w:name="_Toc5159"/>
      <w:bookmarkStart w:id="6509" w:name="_Toc32188"/>
      <w:bookmarkStart w:id="6510" w:name="_Toc595"/>
      <w:bookmarkStart w:id="6511" w:name="_Toc7280"/>
      <w:bookmarkStart w:id="6512" w:name="_Toc27423"/>
      <w:bookmarkStart w:id="6513" w:name="_Toc16965"/>
      <w:bookmarkStart w:id="6514" w:name="_Toc17188"/>
      <w:bookmarkStart w:id="6515" w:name="_Toc18887"/>
      <w:bookmarkStart w:id="6516" w:name="_Toc25207"/>
      <w:bookmarkEnd w:id="6506"/>
      <w:r>
        <w:t xml:space="preserve"> - </w:t>
      </w:r>
      <w:r>
        <w:rPr>
          <w:rFonts w:cs="Times New Roman"/>
        </w:rPr>
        <w:t>Principiul realizării supra</w:t>
      </w:r>
      <w:r>
        <w:rPr>
          <w:rFonts w:cs="Times New Roman"/>
          <w:lang w:val="en-GB"/>
        </w:rPr>
        <w:t>-termo</w:t>
      </w:r>
      <w:r>
        <w:rPr>
          <w:rFonts w:cs="Times New Roman"/>
        </w:rPr>
        <w:t>izolației</w:t>
      </w:r>
      <w:bookmarkEnd w:id="6507"/>
      <w:bookmarkEnd w:id="6508"/>
      <w:bookmarkEnd w:id="6509"/>
      <w:bookmarkEnd w:id="6510"/>
      <w:bookmarkEnd w:id="6511"/>
      <w:bookmarkEnd w:id="6512"/>
      <w:bookmarkEnd w:id="6513"/>
      <w:bookmarkEnd w:id="6514"/>
      <w:bookmarkEnd w:id="6515"/>
      <w:bookmarkEnd w:id="6516"/>
    </w:p>
    <w:p w14:paraId="5828DDF1" w14:textId="77777777" w:rsidR="001C08A5" w:rsidRDefault="00000000">
      <w:pPr>
        <w:widowControl w:val="0"/>
        <w:numPr>
          <w:ilvl w:val="0"/>
          <w:numId w:val="96"/>
        </w:numPr>
        <w:tabs>
          <w:tab w:val="left" w:pos="426"/>
          <w:tab w:val="left" w:pos="993"/>
        </w:tabs>
        <w:jc w:val="both"/>
        <w:rPr>
          <w:bCs/>
          <w:i/>
          <w:sz w:val="24"/>
        </w:rPr>
      </w:pPr>
      <w:r>
        <w:rPr>
          <w:bCs/>
          <w:i/>
          <w:iCs/>
          <w:sz w:val="24"/>
          <w:szCs w:val="24"/>
        </w:rPr>
        <w:t>În cazul în care balconul</w:t>
      </w:r>
      <w:r>
        <w:rPr>
          <w:bCs/>
          <w:i/>
          <w:iCs/>
          <w:sz w:val="24"/>
          <w:szCs w:val="24"/>
          <w:lang w:val="en-GB"/>
        </w:rPr>
        <w:t>/ consola</w:t>
      </w:r>
      <w:r>
        <w:rPr>
          <w:bCs/>
          <w:i/>
          <w:iCs/>
          <w:sz w:val="24"/>
          <w:szCs w:val="24"/>
        </w:rPr>
        <w:t xml:space="preserve"> integrat</w:t>
      </w:r>
      <w:r>
        <w:rPr>
          <w:bCs/>
          <w:i/>
          <w:iCs/>
          <w:sz w:val="24"/>
          <w:szCs w:val="24"/>
          <w:lang w:val="en-GB"/>
        </w:rPr>
        <w:t>(</w:t>
      </w:r>
      <w:r>
        <w:rPr>
          <w:bCs/>
          <w:i/>
          <w:iCs/>
          <w:sz w:val="24"/>
          <w:szCs w:val="24"/>
        </w:rPr>
        <w:t>ă</w:t>
      </w:r>
      <w:r>
        <w:rPr>
          <w:bCs/>
          <w:i/>
          <w:iCs/>
          <w:sz w:val="24"/>
          <w:szCs w:val="24"/>
          <w:lang w:val="en-GB"/>
        </w:rPr>
        <w:t>)</w:t>
      </w:r>
      <w:r>
        <w:rPr>
          <w:bCs/>
          <w:i/>
          <w:iCs/>
          <w:sz w:val="24"/>
          <w:szCs w:val="24"/>
        </w:rPr>
        <w:t xml:space="preserve"> este integrat î</w:t>
      </w:r>
      <w:r>
        <w:rPr>
          <w:bCs/>
          <w:i/>
          <w:iCs/>
          <w:sz w:val="24"/>
          <w:szCs w:val="24"/>
          <w:lang w:val="en-GB"/>
        </w:rPr>
        <w:t xml:space="preserve">n </w:t>
      </w:r>
      <w:r>
        <w:rPr>
          <w:bCs/>
          <w:i/>
          <w:iCs/>
          <w:sz w:val="24"/>
          <w:szCs w:val="24"/>
        </w:rPr>
        <w:t xml:space="preserve">structura construcției și participă la </w:t>
      </w:r>
      <w:r>
        <w:rPr>
          <w:bCs/>
          <w:i/>
          <w:iCs/>
          <w:sz w:val="24"/>
          <w:szCs w:val="24"/>
          <w:lang w:val="en-GB"/>
        </w:rPr>
        <w:t xml:space="preserve">indicele </w:t>
      </w:r>
      <w:r>
        <w:rPr>
          <w:b/>
          <w:i/>
          <w:iCs/>
          <w:sz w:val="24"/>
          <w:szCs w:val="24"/>
          <w:lang w:val="en-GB"/>
        </w:rPr>
        <w:t>H</w:t>
      </w:r>
      <w:r>
        <w:rPr>
          <w:b/>
          <w:i/>
          <w:iCs/>
          <w:sz w:val="24"/>
          <w:szCs w:val="24"/>
        </w:rPr>
        <w:t xml:space="preserve"> + </w:t>
      </w:r>
      <w:r>
        <w:rPr>
          <w:b/>
          <w:i/>
          <w:iCs/>
          <w:sz w:val="24"/>
          <w:szCs w:val="24"/>
          <w:lang w:val="en-GB"/>
        </w:rPr>
        <w:t>L</w:t>
      </w:r>
      <w:r>
        <w:rPr>
          <w:bCs/>
          <w:i/>
          <w:iCs/>
          <w:sz w:val="24"/>
          <w:szCs w:val="24"/>
        </w:rPr>
        <w:t xml:space="preserve"> (de exemplu, atunci când respectă principiile prevăzute la </w:t>
      </w:r>
      <w:r>
        <w:rPr>
          <w:b/>
          <w:i/>
          <w:iCs/>
          <w:sz w:val="24"/>
          <w:szCs w:val="24"/>
        </w:rPr>
        <w:t>Art. 2.3.6.1.2.</w:t>
      </w:r>
      <w:r>
        <w:rPr>
          <w:bCs/>
          <w:i/>
          <w:iCs/>
          <w:sz w:val="24"/>
          <w:szCs w:val="24"/>
        </w:rPr>
        <w:t xml:space="preserve">), dispunerea </w:t>
      </w:r>
      <w:r>
        <w:rPr>
          <w:bCs/>
          <w:i/>
          <w:iCs/>
          <w:sz w:val="24"/>
          <w:szCs w:val="24"/>
          <w:lang w:val="en-GB"/>
        </w:rPr>
        <w:t>f</w:t>
      </w:r>
      <w:r>
        <w:rPr>
          <w:bCs/>
          <w:i/>
          <w:iCs/>
          <w:sz w:val="24"/>
          <w:szCs w:val="24"/>
        </w:rPr>
        <w:t>âș</w:t>
      </w:r>
      <w:r>
        <w:rPr>
          <w:bCs/>
          <w:i/>
          <w:iCs/>
          <w:sz w:val="24"/>
          <w:szCs w:val="24"/>
          <w:lang w:val="en-GB"/>
        </w:rPr>
        <w:t xml:space="preserve">iilor/ </w:t>
      </w:r>
      <w:r>
        <w:rPr>
          <w:bCs/>
          <w:i/>
          <w:iCs/>
          <w:sz w:val="24"/>
          <w:szCs w:val="24"/>
        </w:rPr>
        <w:t xml:space="preserve">benzilor continue trebuie să respecte principiile ilustrate în </w:t>
      </w:r>
      <w:r>
        <w:rPr>
          <w:b/>
          <w:bCs/>
          <w:i/>
          <w:iCs/>
          <w:sz w:val="24"/>
          <w:szCs w:val="24"/>
        </w:rPr>
        <w:fldChar w:fldCharType="begin"/>
      </w:r>
      <w:r>
        <w:rPr>
          <w:b/>
          <w:bCs/>
          <w:i/>
          <w:iCs/>
          <w:sz w:val="24"/>
          <w:szCs w:val="24"/>
        </w:rPr>
        <w:instrText xml:space="preserve"> REF _Ref9139 \h </w:instrText>
      </w:r>
      <w:r>
        <w:rPr>
          <w:b/>
          <w:bCs/>
          <w:i/>
          <w:iCs/>
          <w:sz w:val="24"/>
          <w:szCs w:val="24"/>
        </w:rPr>
      </w:r>
      <w:r>
        <w:rPr>
          <w:b/>
          <w:bCs/>
          <w:i/>
          <w:iCs/>
          <w:sz w:val="24"/>
          <w:szCs w:val="24"/>
        </w:rPr>
        <w:fldChar w:fldCharType="separate"/>
      </w:r>
      <w:r>
        <w:t>Figura 116</w:t>
      </w:r>
      <w:r>
        <w:rPr>
          <w:b/>
          <w:bCs/>
          <w:i/>
          <w:iCs/>
          <w:sz w:val="24"/>
          <w:szCs w:val="24"/>
        </w:rPr>
        <w:fldChar w:fldCharType="end"/>
      </w:r>
      <w:r>
        <w:rPr>
          <w:b/>
          <w:bCs/>
          <w:i/>
          <w:iCs/>
          <w:sz w:val="24"/>
          <w:szCs w:val="24"/>
        </w:rPr>
        <w:t xml:space="preserve"> </w:t>
      </w:r>
      <w:r>
        <w:rPr>
          <w:b/>
          <w:i/>
          <w:iCs/>
          <w:sz w:val="24"/>
          <w:szCs w:val="24"/>
        </w:rPr>
        <w:t>(Varianta a),</w:t>
      </w:r>
      <w:r>
        <w:rPr>
          <w:bCs/>
          <w:i/>
          <w:iCs/>
          <w:sz w:val="24"/>
          <w:szCs w:val="24"/>
          <w:lang w:val="en-GB"/>
        </w:rPr>
        <w:t xml:space="preserve"> </w:t>
      </w:r>
      <w:r>
        <w:rPr>
          <w:bCs/>
          <w:i/>
          <w:iCs/>
          <w:sz w:val="24"/>
          <w:szCs w:val="24"/>
        </w:rPr>
        <w:t xml:space="preserve">principiu </w:t>
      </w:r>
      <w:r>
        <w:rPr>
          <w:bCs/>
          <w:i/>
          <w:iCs/>
          <w:sz w:val="24"/>
          <w:szCs w:val="24"/>
          <w:lang w:val="en-GB"/>
        </w:rPr>
        <w:t>de</w:t>
      </w:r>
      <w:r>
        <w:rPr>
          <w:bCs/>
          <w:i/>
          <w:iCs/>
          <w:sz w:val="24"/>
          <w:szCs w:val="24"/>
        </w:rPr>
        <w:t xml:space="preserve"> </w:t>
      </w:r>
      <w:r>
        <w:rPr>
          <w:bCs/>
          <w:i/>
          <w:iCs/>
          <w:sz w:val="24"/>
          <w:szCs w:val="24"/>
          <w:lang w:val="en-GB"/>
        </w:rPr>
        <w:t>realizare</w:t>
      </w:r>
      <w:r>
        <w:rPr>
          <w:bCs/>
          <w:i/>
          <w:iCs/>
          <w:sz w:val="24"/>
          <w:szCs w:val="24"/>
        </w:rPr>
        <w:t xml:space="preserve"> a fâşii</w:t>
      </w:r>
      <w:r>
        <w:rPr>
          <w:bCs/>
          <w:i/>
          <w:iCs/>
          <w:sz w:val="24"/>
          <w:szCs w:val="24"/>
          <w:lang w:val="en-GB"/>
        </w:rPr>
        <w:t>lor/ benzilor</w:t>
      </w:r>
      <w:r>
        <w:rPr>
          <w:bCs/>
          <w:i/>
          <w:iCs/>
          <w:sz w:val="24"/>
          <w:szCs w:val="24"/>
        </w:rPr>
        <w:t xml:space="preserve"> orizontale continui de termoizolaţie clasa de reacţie la foc </w:t>
      </w:r>
      <w:r>
        <w:rPr>
          <w:b/>
          <w:bCs/>
          <w:i/>
          <w:iCs/>
          <w:sz w:val="24"/>
          <w:szCs w:val="24"/>
        </w:rPr>
        <w:t xml:space="preserve">A1 </w:t>
      </w:r>
      <w:r>
        <w:rPr>
          <w:bCs/>
          <w:i/>
          <w:iCs/>
          <w:sz w:val="24"/>
          <w:szCs w:val="24"/>
        </w:rPr>
        <w:t>sau</w:t>
      </w:r>
      <w:r>
        <w:rPr>
          <w:b/>
          <w:bCs/>
          <w:i/>
          <w:iCs/>
          <w:sz w:val="24"/>
          <w:szCs w:val="24"/>
        </w:rPr>
        <w:t xml:space="preserve"> A2-s1d0</w:t>
      </w:r>
      <w:r>
        <w:rPr>
          <w:bCs/>
          <w:i/>
          <w:iCs/>
          <w:sz w:val="24"/>
          <w:szCs w:val="24"/>
        </w:rPr>
        <w:t xml:space="preserve"> </w:t>
      </w:r>
      <w:r>
        <w:rPr>
          <w:bCs/>
          <w:i/>
          <w:iCs/>
          <w:sz w:val="24"/>
          <w:szCs w:val="24"/>
          <w:lang w:val="en-GB"/>
        </w:rPr>
        <w:t>pe</w:t>
      </w:r>
      <w:r>
        <w:rPr>
          <w:bCs/>
          <w:i/>
          <w:iCs/>
          <w:sz w:val="24"/>
          <w:szCs w:val="24"/>
        </w:rPr>
        <w:t xml:space="preserve"> înălțim</w:t>
      </w:r>
      <w:r>
        <w:rPr>
          <w:bCs/>
          <w:i/>
          <w:iCs/>
          <w:sz w:val="24"/>
          <w:szCs w:val="24"/>
          <w:lang w:val="en-GB"/>
        </w:rPr>
        <w:t>ea</w:t>
      </w:r>
      <w:r>
        <w:rPr>
          <w:bCs/>
          <w:i/>
          <w:iCs/>
          <w:sz w:val="24"/>
          <w:szCs w:val="24"/>
        </w:rPr>
        <w:t xml:space="preserve"> "H" a </w:t>
      </w:r>
      <w:bookmarkStart w:id="6517" w:name="_Toc29840"/>
      <w:bookmarkStart w:id="6518" w:name="_Toc18708"/>
      <w:bookmarkStart w:id="6519" w:name="_Toc8602"/>
      <w:bookmarkStart w:id="6520" w:name="_Toc9923"/>
      <w:r>
        <w:rPr>
          <w:bCs/>
          <w:i/>
          <w:sz w:val="24"/>
        </w:rPr>
        <w:t xml:space="preserve">balcoanelor și </w:t>
      </w:r>
      <w:r>
        <w:rPr>
          <w:bCs/>
          <w:i/>
          <w:sz w:val="24"/>
          <w:lang w:val="en-GB"/>
        </w:rPr>
        <w:t>console</w:t>
      </w:r>
      <w:r>
        <w:rPr>
          <w:bCs/>
          <w:i/>
          <w:sz w:val="24"/>
        </w:rPr>
        <w:t xml:space="preserve">lor care </w:t>
      </w:r>
      <w:r>
        <w:rPr>
          <w:bCs/>
          <w:i/>
          <w:sz w:val="24"/>
          <w:lang w:val="en-GB"/>
        </w:rPr>
        <w:t>sunt</w:t>
      </w:r>
      <w:r>
        <w:rPr>
          <w:bCs/>
          <w:i/>
          <w:sz w:val="24"/>
        </w:rPr>
        <w:t xml:space="preserve"> parte integrantă din structură</w:t>
      </w:r>
      <w:bookmarkEnd w:id="6517"/>
      <w:bookmarkEnd w:id="6518"/>
      <w:bookmarkEnd w:id="6519"/>
      <w:bookmarkEnd w:id="6520"/>
      <w:r>
        <w:rPr>
          <w:bCs/>
          <w:i/>
          <w:iCs/>
          <w:sz w:val="24"/>
          <w:szCs w:val="24"/>
        </w:rPr>
        <w:t xml:space="preserve">). </w:t>
      </w:r>
    </w:p>
    <w:p w14:paraId="32D73A3F" w14:textId="77777777" w:rsidR="001C08A5" w:rsidRDefault="001C08A5">
      <w:pPr>
        <w:widowControl w:val="0"/>
        <w:numPr>
          <w:ilvl w:val="255"/>
          <w:numId w:val="0"/>
        </w:numPr>
        <w:tabs>
          <w:tab w:val="left" w:pos="426"/>
          <w:tab w:val="left" w:pos="993"/>
        </w:tabs>
        <w:jc w:val="both"/>
        <w:rPr>
          <w:bCs/>
          <w:i/>
          <w:sz w:val="24"/>
        </w:rPr>
      </w:pPr>
    </w:p>
    <w:p w14:paraId="05E2589C" w14:textId="77777777" w:rsidR="001C08A5" w:rsidRDefault="00000000">
      <w:pPr>
        <w:numPr>
          <w:ilvl w:val="0"/>
          <w:numId w:val="96"/>
        </w:numPr>
        <w:tabs>
          <w:tab w:val="left" w:pos="426"/>
          <w:tab w:val="left" w:pos="993"/>
        </w:tabs>
        <w:jc w:val="both"/>
        <w:rPr>
          <w:bCs/>
          <w:i/>
          <w:iCs/>
          <w:sz w:val="24"/>
          <w:szCs w:val="24"/>
        </w:rPr>
      </w:pPr>
      <w:r>
        <w:rPr>
          <w:bCs/>
          <w:i/>
          <w:sz w:val="24"/>
        </w:rPr>
        <w:t>În cazul în care balconul este detașat de structur</w:t>
      </w:r>
      <w:r>
        <w:rPr>
          <w:bCs/>
          <w:i/>
          <w:sz w:val="24"/>
          <w:lang w:val="en-GB"/>
        </w:rPr>
        <w:t>a</w:t>
      </w:r>
      <w:r>
        <w:rPr>
          <w:bCs/>
          <w:i/>
          <w:sz w:val="24"/>
        </w:rPr>
        <w:t xml:space="preserve"> principală a construcției, dispunerea fâşii</w:t>
      </w:r>
      <w:r>
        <w:rPr>
          <w:bCs/>
          <w:i/>
          <w:sz w:val="24"/>
          <w:lang w:val="en-GB"/>
        </w:rPr>
        <w:t xml:space="preserve">lor/ </w:t>
      </w:r>
      <w:r>
        <w:rPr>
          <w:bCs/>
          <w:i/>
          <w:sz w:val="24"/>
        </w:rPr>
        <w:t xml:space="preserve">benzilor continue trebuie </w:t>
      </w:r>
      <w:r>
        <w:rPr>
          <w:bCs/>
          <w:i/>
          <w:iCs/>
          <w:sz w:val="24"/>
          <w:szCs w:val="24"/>
        </w:rPr>
        <w:t xml:space="preserve">să respecte principiile ilustrate în </w:t>
      </w:r>
      <w:r>
        <w:rPr>
          <w:b/>
          <w:bCs/>
          <w:i/>
          <w:iCs/>
          <w:sz w:val="24"/>
          <w:szCs w:val="24"/>
        </w:rPr>
        <w:fldChar w:fldCharType="begin"/>
      </w:r>
      <w:r>
        <w:rPr>
          <w:b/>
          <w:bCs/>
          <w:i/>
          <w:iCs/>
          <w:sz w:val="24"/>
          <w:szCs w:val="24"/>
        </w:rPr>
        <w:instrText xml:space="preserve"> REF _Ref9139 \h </w:instrText>
      </w:r>
      <w:r>
        <w:rPr>
          <w:b/>
          <w:bCs/>
          <w:i/>
          <w:iCs/>
          <w:sz w:val="24"/>
          <w:szCs w:val="24"/>
        </w:rPr>
      </w:r>
      <w:r>
        <w:rPr>
          <w:b/>
          <w:bCs/>
          <w:i/>
          <w:iCs/>
          <w:sz w:val="24"/>
          <w:szCs w:val="24"/>
        </w:rPr>
        <w:fldChar w:fldCharType="separate"/>
      </w:r>
      <w:r>
        <w:t>Figura 116</w:t>
      </w:r>
      <w:r>
        <w:rPr>
          <w:b/>
          <w:bCs/>
          <w:i/>
          <w:iCs/>
          <w:sz w:val="24"/>
          <w:szCs w:val="24"/>
        </w:rPr>
        <w:fldChar w:fldCharType="end"/>
      </w:r>
      <w:r>
        <w:rPr>
          <w:b/>
          <w:bCs/>
          <w:i/>
          <w:iCs/>
          <w:sz w:val="24"/>
          <w:szCs w:val="24"/>
        </w:rPr>
        <w:t xml:space="preserve"> </w:t>
      </w:r>
      <w:r>
        <w:rPr>
          <w:b/>
          <w:i/>
          <w:iCs/>
          <w:sz w:val="24"/>
          <w:szCs w:val="24"/>
        </w:rPr>
        <w:t>(Varianta b),</w:t>
      </w:r>
      <w:r>
        <w:rPr>
          <w:bCs/>
          <w:i/>
          <w:iCs/>
          <w:sz w:val="24"/>
          <w:szCs w:val="24"/>
          <w:lang w:val="en-GB"/>
        </w:rPr>
        <w:t xml:space="preserve"> </w:t>
      </w:r>
      <w:r>
        <w:rPr>
          <w:bCs/>
          <w:i/>
          <w:iCs/>
          <w:sz w:val="24"/>
          <w:szCs w:val="24"/>
        </w:rPr>
        <w:t xml:space="preserve">principiu </w:t>
      </w:r>
      <w:r>
        <w:rPr>
          <w:bCs/>
          <w:i/>
          <w:iCs/>
          <w:sz w:val="24"/>
          <w:szCs w:val="24"/>
          <w:lang w:val="en-GB"/>
        </w:rPr>
        <w:t>de</w:t>
      </w:r>
      <w:r>
        <w:rPr>
          <w:bCs/>
          <w:i/>
          <w:iCs/>
          <w:sz w:val="24"/>
          <w:szCs w:val="24"/>
        </w:rPr>
        <w:t xml:space="preserve"> </w:t>
      </w:r>
      <w:r>
        <w:rPr>
          <w:bCs/>
          <w:i/>
          <w:iCs/>
          <w:sz w:val="24"/>
          <w:szCs w:val="24"/>
          <w:lang w:val="en-GB"/>
        </w:rPr>
        <w:t>realizare</w:t>
      </w:r>
      <w:r>
        <w:rPr>
          <w:bCs/>
          <w:i/>
          <w:iCs/>
          <w:sz w:val="24"/>
          <w:szCs w:val="24"/>
        </w:rPr>
        <w:t xml:space="preserve"> a fâşii</w:t>
      </w:r>
      <w:r>
        <w:rPr>
          <w:bCs/>
          <w:i/>
          <w:iCs/>
          <w:sz w:val="24"/>
          <w:szCs w:val="24"/>
          <w:lang w:val="en-GB"/>
        </w:rPr>
        <w:t>lor/ benzilor</w:t>
      </w:r>
      <w:r>
        <w:rPr>
          <w:bCs/>
          <w:i/>
          <w:iCs/>
          <w:sz w:val="24"/>
          <w:szCs w:val="24"/>
        </w:rPr>
        <w:t xml:space="preserve"> orizontale continui de termoizolaţie clasa de reacţie la foc </w:t>
      </w:r>
      <w:r>
        <w:rPr>
          <w:b/>
          <w:bCs/>
          <w:i/>
          <w:iCs/>
          <w:sz w:val="24"/>
          <w:szCs w:val="24"/>
        </w:rPr>
        <w:t xml:space="preserve">A1 </w:t>
      </w:r>
      <w:r>
        <w:rPr>
          <w:bCs/>
          <w:i/>
          <w:iCs/>
          <w:sz w:val="24"/>
          <w:szCs w:val="24"/>
        </w:rPr>
        <w:t>sau</w:t>
      </w:r>
      <w:r>
        <w:rPr>
          <w:b/>
          <w:bCs/>
          <w:i/>
          <w:iCs/>
          <w:sz w:val="24"/>
          <w:szCs w:val="24"/>
        </w:rPr>
        <w:t xml:space="preserve"> A2-s1d0</w:t>
      </w:r>
      <w:r>
        <w:rPr>
          <w:bCs/>
          <w:i/>
          <w:iCs/>
          <w:sz w:val="24"/>
          <w:szCs w:val="24"/>
        </w:rPr>
        <w:t xml:space="preserve"> </w:t>
      </w:r>
      <w:r>
        <w:rPr>
          <w:bCs/>
          <w:i/>
          <w:iCs/>
          <w:sz w:val="24"/>
          <w:szCs w:val="24"/>
          <w:lang w:val="en-GB"/>
        </w:rPr>
        <w:t>pe</w:t>
      </w:r>
      <w:r>
        <w:rPr>
          <w:bCs/>
          <w:i/>
          <w:iCs/>
          <w:sz w:val="24"/>
          <w:szCs w:val="24"/>
        </w:rPr>
        <w:t xml:space="preserve"> înălțim</w:t>
      </w:r>
      <w:r>
        <w:rPr>
          <w:bCs/>
          <w:i/>
          <w:iCs/>
          <w:sz w:val="24"/>
          <w:szCs w:val="24"/>
          <w:lang w:val="en-GB"/>
        </w:rPr>
        <w:t>ea</w:t>
      </w:r>
      <w:r>
        <w:rPr>
          <w:bCs/>
          <w:i/>
          <w:iCs/>
          <w:sz w:val="24"/>
          <w:szCs w:val="24"/>
        </w:rPr>
        <w:t xml:space="preserve"> "</w:t>
      </w:r>
      <w:r>
        <w:rPr>
          <w:b/>
          <w:i/>
          <w:iCs/>
          <w:sz w:val="24"/>
          <w:szCs w:val="24"/>
        </w:rPr>
        <w:t>H</w:t>
      </w:r>
      <w:r>
        <w:rPr>
          <w:bCs/>
          <w:i/>
          <w:iCs/>
          <w:sz w:val="24"/>
          <w:szCs w:val="24"/>
        </w:rPr>
        <w:t xml:space="preserve">" a </w:t>
      </w:r>
      <w:r>
        <w:rPr>
          <w:bCs/>
          <w:i/>
          <w:sz w:val="24"/>
        </w:rPr>
        <w:t xml:space="preserve">balcoanelor și </w:t>
      </w:r>
      <w:r>
        <w:rPr>
          <w:bCs/>
          <w:i/>
          <w:sz w:val="24"/>
          <w:lang w:val="en-GB"/>
        </w:rPr>
        <w:t>console</w:t>
      </w:r>
      <w:r>
        <w:rPr>
          <w:bCs/>
          <w:i/>
          <w:sz w:val="24"/>
        </w:rPr>
        <w:t xml:space="preserve">lor care </w:t>
      </w:r>
      <w:r>
        <w:rPr>
          <w:b/>
          <w:i/>
          <w:sz w:val="24"/>
        </w:rPr>
        <w:t>nu</w:t>
      </w:r>
      <w:r>
        <w:rPr>
          <w:bCs/>
          <w:i/>
          <w:sz w:val="24"/>
        </w:rPr>
        <w:t xml:space="preserve"> </w:t>
      </w:r>
      <w:r>
        <w:rPr>
          <w:bCs/>
          <w:i/>
          <w:sz w:val="24"/>
          <w:lang w:val="en-GB"/>
        </w:rPr>
        <w:t>sunt</w:t>
      </w:r>
      <w:r>
        <w:rPr>
          <w:bCs/>
          <w:i/>
          <w:sz w:val="24"/>
        </w:rPr>
        <w:t xml:space="preserve"> parte integrantă din structură</w:t>
      </w:r>
      <w:r>
        <w:rPr>
          <w:bCs/>
          <w:i/>
          <w:iCs/>
          <w:sz w:val="24"/>
          <w:szCs w:val="24"/>
        </w:rPr>
        <w:t>). B</w:t>
      </w:r>
      <w:r>
        <w:rPr>
          <w:bCs/>
          <w:i/>
          <w:sz w:val="24"/>
          <w:szCs w:val="24"/>
        </w:rPr>
        <w:t xml:space="preserve">alconul separat de </w:t>
      </w:r>
      <w:r>
        <w:rPr>
          <w:bCs/>
          <w:i/>
          <w:sz w:val="24"/>
          <w:szCs w:val="24"/>
          <w:lang w:val="en-GB"/>
        </w:rPr>
        <w:t>structura</w:t>
      </w:r>
      <w:r>
        <w:rPr>
          <w:bCs/>
          <w:i/>
          <w:sz w:val="24"/>
          <w:szCs w:val="24"/>
        </w:rPr>
        <w:t xml:space="preserve"> nu participă la însumarea </w:t>
      </w:r>
      <w:r>
        <w:rPr>
          <w:bCs/>
          <w:i/>
          <w:sz w:val="24"/>
          <w:szCs w:val="24"/>
          <w:lang w:val="en-GB"/>
        </w:rPr>
        <w:t>indicel</w:t>
      </w:r>
      <w:r>
        <w:rPr>
          <w:bCs/>
          <w:i/>
          <w:sz w:val="24"/>
          <w:szCs w:val="24"/>
        </w:rPr>
        <w:t>or</w:t>
      </w:r>
      <w:r>
        <w:rPr>
          <w:bCs/>
          <w:i/>
          <w:sz w:val="24"/>
          <w:szCs w:val="24"/>
          <w:lang w:val="en-GB"/>
        </w:rPr>
        <w:t xml:space="preserve"> </w:t>
      </w:r>
      <w:r>
        <w:rPr>
          <w:b/>
          <w:i/>
          <w:sz w:val="24"/>
          <w:szCs w:val="24"/>
          <w:lang w:val="en-GB"/>
        </w:rPr>
        <w:t>H+L</w:t>
      </w:r>
      <w:r>
        <w:rPr>
          <w:b/>
          <w:i/>
          <w:sz w:val="24"/>
          <w:szCs w:val="24"/>
        </w:rPr>
        <w:t>.</w:t>
      </w:r>
    </w:p>
    <w:p w14:paraId="576E045B" w14:textId="77777777" w:rsidR="001C08A5" w:rsidRDefault="001C08A5">
      <w:pPr>
        <w:tabs>
          <w:tab w:val="left" w:pos="426"/>
          <w:tab w:val="left" w:pos="993"/>
        </w:tabs>
        <w:jc w:val="both"/>
        <w:rPr>
          <w:b/>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3"/>
        <w:gridCol w:w="2464"/>
        <w:gridCol w:w="2463"/>
        <w:gridCol w:w="2249"/>
      </w:tblGrid>
      <w:tr w:rsidR="001C08A5" w14:paraId="3E780559" w14:textId="77777777">
        <w:tc>
          <w:tcPr>
            <w:tcW w:w="9855" w:type="dxa"/>
            <w:gridSpan w:val="4"/>
            <w:tcBorders>
              <w:bottom w:val="nil"/>
            </w:tcBorders>
          </w:tcPr>
          <w:p w14:paraId="32A9ECED" w14:textId="77777777" w:rsidR="001C08A5" w:rsidRDefault="00000000">
            <w:pPr>
              <w:tabs>
                <w:tab w:val="left" w:pos="426"/>
                <w:tab w:val="left" w:pos="993"/>
              </w:tabs>
              <w:jc w:val="center"/>
              <w:rPr>
                <w:bCs/>
                <w:i/>
                <w:sz w:val="24"/>
                <w:szCs w:val="24"/>
                <w:lang w:eastAsia="ro-RO"/>
              </w:rPr>
            </w:pPr>
            <w:r>
              <w:rPr>
                <w:bCs/>
                <w:i/>
                <w:noProof/>
                <w:sz w:val="24"/>
                <w:szCs w:val="24"/>
                <w:lang w:eastAsia="ro-RO"/>
              </w:rPr>
              <w:lastRenderedPageBreak/>
              <w:drawing>
                <wp:inline distT="0" distB="0" distL="114300" distR="114300" wp14:anchorId="7E110A01" wp14:editId="6EB9CFAE">
                  <wp:extent cx="2950210" cy="2993390"/>
                  <wp:effectExtent l="0" t="0" r="2540" b="16510"/>
                  <wp:docPr id="410" name="Picture 15" descr="blo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15" descr="bloc 12"/>
                          <pic:cNvPicPr>
                            <a:picLocks noChangeAspect="1"/>
                          </pic:cNvPicPr>
                        </pic:nvPicPr>
                        <pic:blipFill>
                          <a:blip r:embed="rId277"/>
                          <a:srcRect l="938"/>
                          <a:stretch>
                            <a:fillRect/>
                          </a:stretch>
                        </pic:blipFill>
                        <pic:spPr>
                          <a:xfrm>
                            <a:off x="0" y="0"/>
                            <a:ext cx="2950210" cy="2993390"/>
                          </a:xfrm>
                          <a:prstGeom prst="rect">
                            <a:avLst/>
                          </a:prstGeom>
                          <a:noFill/>
                          <a:ln>
                            <a:noFill/>
                          </a:ln>
                        </pic:spPr>
                      </pic:pic>
                    </a:graphicData>
                  </a:graphic>
                </wp:inline>
              </w:drawing>
            </w:r>
          </w:p>
          <w:p w14:paraId="3BF32015" w14:textId="77777777" w:rsidR="001C08A5" w:rsidRDefault="00000000">
            <w:pPr>
              <w:tabs>
                <w:tab w:val="left" w:pos="426"/>
                <w:tab w:val="left" w:pos="993"/>
              </w:tabs>
              <w:jc w:val="center"/>
              <w:rPr>
                <w:bCs/>
                <w:i/>
                <w:sz w:val="24"/>
              </w:rPr>
            </w:pPr>
            <w:r>
              <w:rPr>
                <w:bCs/>
                <w:i/>
                <w:sz w:val="24"/>
              </w:rPr>
              <w:t xml:space="preserve">Varianta a 1): Axonometrie balcoane și </w:t>
            </w:r>
            <w:r>
              <w:rPr>
                <w:bCs/>
                <w:i/>
                <w:sz w:val="24"/>
                <w:lang w:val="en-GB"/>
              </w:rPr>
              <w:t>console</w:t>
            </w:r>
            <w:r>
              <w:rPr>
                <w:bCs/>
                <w:i/>
                <w:sz w:val="24"/>
              </w:rPr>
              <w:t xml:space="preserve"> care </w:t>
            </w:r>
            <w:r>
              <w:rPr>
                <w:bCs/>
                <w:i/>
                <w:sz w:val="24"/>
                <w:lang w:val="en-GB"/>
              </w:rPr>
              <w:t>sunt</w:t>
            </w:r>
            <w:r>
              <w:rPr>
                <w:bCs/>
                <w:i/>
                <w:sz w:val="24"/>
              </w:rPr>
              <w:t xml:space="preserve"> parte integrantă din structură</w:t>
            </w:r>
          </w:p>
          <w:p w14:paraId="79229340" w14:textId="77777777" w:rsidR="001C08A5" w:rsidRDefault="00000000">
            <w:pPr>
              <w:tabs>
                <w:tab w:val="left" w:pos="426"/>
                <w:tab w:val="left" w:pos="993"/>
              </w:tabs>
              <w:jc w:val="center"/>
              <w:rPr>
                <w:bCs/>
                <w:i/>
                <w:sz w:val="24"/>
                <w:lang w:eastAsia="ro-RO"/>
              </w:rPr>
            </w:pPr>
            <w:r>
              <w:rPr>
                <w:noProof/>
              </w:rPr>
              <w:drawing>
                <wp:inline distT="0" distB="0" distL="114300" distR="114300" wp14:anchorId="69614836" wp14:editId="541C1F26">
                  <wp:extent cx="5914390" cy="1163320"/>
                  <wp:effectExtent l="0" t="0" r="10160" b="17780"/>
                  <wp:docPr id="4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
                          <pic:cNvPicPr>
                            <a:picLocks noChangeAspect="1"/>
                          </pic:cNvPicPr>
                        </pic:nvPicPr>
                        <pic:blipFill>
                          <a:blip r:embed="rId278"/>
                          <a:srcRect l="13644" t="32444" r="8054" b="13274"/>
                          <a:stretch>
                            <a:fillRect/>
                          </a:stretch>
                        </pic:blipFill>
                        <pic:spPr>
                          <a:xfrm>
                            <a:off x="0" y="0"/>
                            <a:ext cx="5914390" cy="1163320"/>
                          </a:xfrm>
                          <a:prstGeom prst="rect">
                            <a:avLst/>
                          </a:prstGeom>
                          <a:noFill/>
                          <a:ln>
                            <a:noFill/>
                          </a:ln>
                        </pic:spPr>
                      </pic:pic>
                    </a:graphicData>
                  </a:graphic>
                </wp:inline>
              </w:drawing>
            </w:r>
          </w:p>
        </w:tc>
      </w:tr>
      <w:tr w:rsidR="001C08A5" w14:paraId="36C3E7C4" w14:textId="77777777">
        <w:tc>
          <w:tcPr>
            <w:tcW w:w="9855" w:type="dxa"/>
            <w:gridSpan w:val="4"/>
            <w:tcBorders>
              <w:top w:val="nil"/>
              <w:left w:val="nil"/>
              <w:bottom w:val="nil"/>
              <w:right w:val="nil"/>
            </w:tcBorders>
          </w:tcPr>
          <w:p w14:paraId="1D71EDFE" w14:textId="77777777" w:rsidR="001C08A5" w:rsidRDefault="001C08A5">
            <w:pPr>
              <w:tabs>
                <w:tab w:val="left" w:pos="426"/>
                <w:tab w:val="left" w:pos="993"/>
              </w:tabs>
              <w:jc w:val="center"/>
              <w:rPr>
                <w:b/>
                <w:i/>
                <w:sz w:val="10"/>
                <w:szCs w:val="10"/>
              </w:rPr>
            </w:pPr>
          </w:p>
        </w:tc>
      </w:tr>
      <w:tr w:rsidR="001C08A5" w14:paraId="4404BE00" w14:textId="77777777">
        <w:tc>
          <w:tcPr>
            <w:tcW w:w="2463" w:type="dxa"/>
            <w:tcBorders>
              <w:top w:val="nil"/>
              <w:left w:val="nil"/>
              <w:bottom w:val="nil"/>
              <w:right w:val="nil"/>
            </w:tcBorders>
          </w:tcPr>
          <w:p w14:paraId="149F106A" w14:textId="77777777" w:rsidR="001C08A5" w:rsidRDefault="001C08A5">
            <w:pPr>
              <w:suppressLineNumbers/>
              <w:spacing w:before="120" w:after="120"/>
              <w:rPr>
                <w:rFonts w:cs="Mangal"/>
                <w:b/>
                <w:i/>
                <w:iCs/>
                <w:sz w:val="10"/>
                <w:szCs w:val="10"/>
              </w:rPr>
            </w:pPr>
          </w:p>
        </w:tc>
        <w:tc>
          <w:tcPr>
            <w:tcW w:w="2464" w:type="dxa"/>
            <w:tcBorders>
              <w:top w:val="nil"/>
              <w:left w:val="nil"/>
              <w:bottom w:val="nil"/>
              <w:right w:val="nil"/>
            </w:tcBorders>
          </w:tcPr>
          <w:p w14:paraId="35456D8D" w14:textId="77777777" w:rsidR="001C08A5" w:rsidRDefault="001C08A5">
            <w:pPr>
              <w:suppressLineNumbers/>
              <w:spacing w:before="120" w:after="120"/>
              <w:rPr>
                <w:rFonts w:cs="Mangal"/>
                <w:b/>
                <w:i/>
                <w:iCs/>
                <w:sz w:val="10"/>
                <w:szCs w:val="10"/>
              </w:rPr>
            </w:pPr>
          </w:p>
        </w:tc>
        <w:tc>
          <w:tcPr>
            <w:tcW w:w="2464" w:type="dxa"/>
            <w:tcBorders>
              <w:top w:val="nil"/>
              <w:left w:val="nil"/>
              <w:bottom w:val="nil"/>
              <w:right w:val="nil"/>
            </w:tcBorders>
          </w:tcPr>
          <w:p w14:paraId="43889928" w14:textId="77777777" w:rsidR="001C08A5" w:rsidRDefault="001C08A5">
            <w:pPr>
              <w:suppressLineNumbers/>
              <w:spacing w:before="120" w:after="120"/>
              <w:rPr>
                <w:rFonts w:cs="Mangal"/>
                <w:b/>
                <w:i/>
                <w:iCs/>
                <w:sz w:val="10"/>
                <w:szCs w:val="10"/>
              </w:rPr>
            </w:pPr>
          </w:p>
        </w:tc>
        <w:tc>
          <w:tcPr>
            <w:tcW w:w="2464" w:type="dxa"/>
            <w:tcBorders>
              <w:top w:val="nil"/>
              <w:left w:val="nil"/>
              <w:bottom w:val="nil"/>
              <w:right w:val="nil"/>
            </w:tcBorders>
          </w:tcPr>
          <w:p w14:paraId="6A6872B0" w14:textId="77777777" w:rsidR="001C08A5" w:rsidRDefault="001C08A5">
            <w:pPr>
              <w:suppressLineNumbers/>
              <w:spacing w:before="120" w:after="120"/>
              <w:rPr>
                <w:rFonts w:cs="Mangal"/>
                <w:b/>
                <w:i/>
                <w:iCs/>
                <w:sz w:val="10"/>
                <w:szCs w:val="10"/>
              </w:rPr>
            </w:pPr>
          </w:p>
        </w:tc>
      </w:tr>
      <w:tr w:rsidR="001C08A5" w14:paraId="0320D4DB" w14:textId="77777777">
        <w:tc>
          <w:tcPr>
            <w:tcW w:w="9855" w:type="dxa"/>
            <w:gridSpan w:val="4"/>
            <w:tcBorders>
              <w:top w:val="nil"/>
            </w:tcBorders>
          </w:tcPr>
          <w:p w14:paraId="04F9EDB4" w14:textId="77777777" w:rsidR="001C08A5" w:rsidRDefault="00000000">
            <w:pPr>
              <w:tabs>
                <w:tab w:val="left" w:pos="426"/>
                <w:tab w:val="left" w:pos="993"/>
              </w:tabs>
              <w:jc w:val="center"/>
              <w:rPr>
                <w:b/>
                <w:i/>
                <w:sz w:val="24"/>
                <w:szCs w:val="24"/>
              </w:rPr>
            </w:pPr>
            <w:r>
              <w:rPr>
                <w:bCs/>
                <w:i/>
                <w:sz w:val="24"/>
              </w:rPr>
              <w:t xml:space="preserve">Varianta a 2): </w:t>
            </w:r>
            <w:r>
              <w:rPr>
                <w:bCs/>
                <w:i/>
                <w:sz w:val="24"/>
                <w:lang w:val="en-GB"/>
              </w:rPr>
              <w:t xml:space="preserve">Detalii </w:t>
            </w:r>
            <w:r>
              <w:rPr>
                <w:bCs/>
                <w:i/>
                <w:sz w:val="24"/>
              </w:rPr>
              <w:t xml:space="preserve">(secțiuni) </w:t>
            </w:r>
            <w:r>
              <w:rPr>
                <w:bCs/>
                <w:i/>
                <w:sz w:val="24"/>
                <w:lang w:val="en-GB"/>
              </w:rPr>
              <w:t>b</w:t>
            </w:r>
            <w:r>
              <w:rPr>
                <w:bCs/>
                <w:i/>
                <w:sz w:val="24"/>
              </w:rPr>
              <w:t xml:space="preserve">alcoane și </w:t>
            </w:r>
            <w:r>
              <w:rPr>
                <w:bCs/>
                <w:i/>
                <w:sz w:val="24"/>
                <w:lang w:val="en-GB"/>
              </w:rPr>
              <w:t>console</w:t>
            </w:r>
            <w:r>
              <w:rPr>
                <w:bCs/>
                <w:i/>
                <w:sz w:val="24"/>
              </w:rPr>
              <w:t xml:space="preserve"> care </w:t>
            </w:r>
            <w:r>
              <w:rPr>
                <w:bCs/>
                <w:i/>
                <w:sz w:val="24"/>
                <w:lang w:val="en-GB"/>
              </w:rPr>
              <w:t>sunt</w:t>
            </w:r>
            <w:r>
              <w:rPr>
                <w:bCs/>
                <w:i/>
                <w:sz w:val="24"/>
              </w:rPr>
              <w:t xml:space="preserve"> parte integrantă din structură</w:t>
            </w:r>
          </w:p>
        </w:tc>
      </w:tr>
      <w:tr w:rsidR="001C08A5" w14:paraId="1A498851" w14:textId="77777777">
        <w:tc>
          <w:tcPr>
            <w:tcW w:w="9855" w:type="dxa"/>
            <w:gridSpan w:val="4"/>
          </w:tcPr>
          <w:p w14:paraId="1D928D75" w14:textId="77777777" w:rsidR="001C08A5" w:rsidRDefault="00000000">
            <w:pPr>
              <w:tabs>
                <w:tab w:val="left" w:pos="426"/>
                <w:tab w:val="left" w:pos="993"/>
              </w:tabs>
              <w:jc w:val="center"/>
              <w:rPr>
                <w:bCs/>
                <w:i/>
                <w:sz w:val="24"/>
              </w:rPr>
            </w:pPr>
            <w:r>
              <w:rPr>
                <w:b/>
                <w:i/>
                <w:sz w:val="24"/>
              </w:rPr>
              <w:t xml:space="preserve">Varianta a): Balcoane și </w:t>
            </w:r>
            <w:r>
              <w:rPr>
                <w:b/>
                <w:i/>
                <w:sz w:val="24"/>
                <w:lang w:val="en-GB"/>
              </w:rPr>
              <w:t>console</w:t>
            </w:r>
            <w:r>
              <w:rPr>
                <w:b/>
                <w:i/>
                <w:sz w:val="24"/>
              </w:rPr>
              <w:t xml:space="preserve"> care </w:t>
            </w:r>
            <w:r>
              <w:rPr>
                <w:b/>
                <w:i/>
                <w:sz w:val="24"/>
                <w:lang w:val="en-GB"/>
              </w:rPr>
              <w:t>sunt</w:t>
            </w:r>
            <w:r>
              <w:rPr>
                <w:b/>
                <w:i/>
                <w:sz w:val="24"/>
              </w:rPr>
              <w:t xml:space="preserve"> parte integrantă din structură</w:t>
            </w:r>
          </w:p>
        </w:tc>
      </w:tr>
      <w:tr w:rsidR="001C08A5" w14:paraId="4CD14985" w14:textId="77777777">
        <w:tc>
          <w:tcPr>
            <w:tcW w:w="4927" w:type="dxa"/>
            <w:gridSpan w:val="2"/>
          </w:tcPr>
          <w:p w14:paraId="11FF487F" w14:textId="77777777" w:rsidR="001C08A5" w:rsidRDefault="00000000">
            <w:pPr>
              <w:tabs>
                <w:tab w:val="left" w:pos="426"/>
                <w:tab w:val="left" w:pos="993"/>
              </w:tabs>
              <w:rPr>
                <w:b/>
                <w:i/>
                <w:sz w:val="24"/>
                <w:szCs w:val="24"/>
              </w:rPr>
            </w:pPr>
            <w:r>
              <w:rPr>
                <w:bCs/>
                <w:i/>
                <w:noProof/>
                <w:sz w:val="24"/>
                <w:szCs w:val="24"/>
                <w:lang w:eastAsia="ro-RO"/>
              </w:rPr>
              <w:drawing>
                <wp:inline distT="0" distB="0" distL="114300" distR="114300" wp14:anchorId="55E3E559" wp14:editId="22E25A6E">
                  <wp:extent cx="2650490" cy="2849245"/>
                  <wp:effectExtent l="0" t="0" r="16510" b="8255"/>
                  <wp:docPr id="412" name="Picture 17" descr="blo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17" descr="bloc 13"/>
                          <pic:cNvPicPr>
                            <a:picLocks noChangeAspect="1"/>
                          </pic:cNvPicPr>
                        </pic:nvPicPr>
                        <pic:blipFill>
                          <a:blip r:embed="rId279"/>
                          <a:srcRect l="375"/>
                          <a:stretch>
                            <a:fillRect/>
                          </a:stretch>
                        </pic:blipFill>
                        <pic:spPr>
                          <a:xfrm>
                            <a:off x="0" y="0"/>
                            <a:ext cx="2650490" cy="2849245"/>
                          </a:xfrm>
                          <a:prstGeom prst="rect">
                            <a:avLst/>
                          </a:prstGeom>
                          <a:noFill/>
                          <a:ln>
                            <a:noFill/>
                          </a:ln>
                        </pic:spPr>
                      </pic:pic>
                    </a:graphicData>
                  </a:graphic>
                </wp:inline>
              </w:drawing>
            </w:r>
          </w:p>
        </w:tc>
        <w:tc>
          <w:tcPr>
            <w:tcW w:w="4928" w:type="dxa"/>
            <w:gridSpan w:val="2"/>
          </w:tcPr>
          <w:p w14:paraId="098CE50A" w14:textId="77777777" w:rsidR="001C08A5" w:rsidRDefault="001C08A5">
            <w:pPr>
              <w:rPr>
                <w:i/>
                <w:sz w:val="24"/>
                <w:szCs w:val="24"/>
                <w:lang w:val="en-GB"/>
              </w:rPr>
            </w:pPr>
          </w:p>
          <w:p w14:paraId="7D3B6D3F" w14:textId="77777777" w:rsidR="001C08A5" w:rsidRDefault="00000000">
            <w:pPr>
              <w:rPr>
                <w:i/>
                <w:sz w:val="24"/>
                <w:szCs w:val="24"/>
                <w:lang w:val="en-GB"/>
              </w:rPr>
            </w:pPr>
            <w:r>
              <w:rPr>
                <w:i/>
                <w:noProof/>
                <w:sz w:val="24"/>
                <w:szCs w:val="24"/>
                <w:lang w:eastAsia="ro-RO"/>
              </w:rPr>
              <w:drawing>
                <wp:inline distT="0" distB="0" distL="114300" distR="114300" wp14:anchorId="60B3F24B" wp14:editId="72631A42">
                  <wp:extent cx="1468755" cy="1114425"/>
                  <wp:effectExtent l="0" t="0" r="17145" b="9525"/>
                  <wp:docPr id="413" name="Picture 18" descr="5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18" descr="5 nou"/>
                          <pic:cNvPicPr>
                            <a:picLocks noChangeAspect="1"/>
                          </pic:cNvPicPr>
                        </pic:nvPicPr>
                        <pic:blipFill>
                          <a:blip r:embed="rId280"/>
                          <a:srcRect l="313" t="17097" r="66988" b="1558"/>
                          <a:stretch>
                            <a:fillRect/>
                          </a:stretch>
                        </pic:blipFill>
                        <pic:spPr>
                          <a:xfrm>
                            <a:off x="0" y="0"/>
                            <a:ext cx="1468755" cy="1114425"/>
                          </a:xfrm>
                          <a:prstGeom prst="rect">
                            <a:avLst/>
                          </a:prstGeom>
                          <a:noFill/>
                          <a:ln>
                            <a:noFill/>
                          </a:ln>
                        </pic:spPr>
                      </pic:pic>
                    </a:graphicData>
                  </a:graphic>
                </wp:inline>
              </w:drawing>
            </w:r>
          </w:p>
          <w:p w14:paraId="6BDB0810" w14:textId="77777777" w:rsidR="001C08A5" w:rsidRDefault="00000000">
            <w:pPr>
              <w:tabs>
                <w:tab w:val="left" w:pos="426"/>
                <w:tab w:val="left" w:pos="993"/>
              </w:tabs>
              <w:rPr>
                <w:b/>
                <w:i/>
                <w:sz w:val="24"/>
                <w:szCs w:val="24"/>
              </w:rPr>
            </w:pPr>
            <w:r>
              <w:rPr>
                <w:bCs/>
                <w:i/>
                <w:noProof/>
                <w:sz w:val="24"/>
                <w:szCs w:val="24"/>
                <w:lang w:eastAsia="ro-RO"/>
              </w:rPr>
              <w:drawing>
                <wp:inline distT="0" distB="0" distL="114300" distR="114300" wp14:anchorId="5EF34F36" wp14:editId="3732A090">
                  <wp:extent cx="1485900" cy="1102995"/>
                  <wp:effectExtent l="0" t="0" r="0" b="1905"/>
                  <wp:docPr id="414" name="Picture 18" descr="5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18" descr="5 nou"/>
                          <pic:cNvPicPr>
                            <a:picLocks noChangeAspect="1"/>
                          </pic:cNvPicPr>
                        </pic:nvPicPr>
                        <pic:blipFill>
                          <a:blip r:embed="rId280"/>
                          <a:srcRect l="33812" t="18085" r="33176" b="1558"/>
                          <a:stretch>
                            <a:fillRect/>
                          </a:stretch>
                        </pic:blipFill>
                        <pic:spPr>
                          <a:xfrm>
                            <a:off x="0" y="0"/>
                            <a:ext cx="1485900" cy="1102995"/>
                          </a:xfrm>
                          <a:prstGeom prst="rect">
                            <a:avLst/>
                          </a:prstGeom>
                          <a:noFill/>
                          <a:ln>
                            <a:noFill/>
                          </a:ln>
                        </pic:spPr>
                      </pic:pic>
                    </a:graphicData>
                  </a:graphic>
                </wp:inline>
              </w:drawing>
            </w:r>
            <w:r>
              <w:rPr>
                <w:bCs/>
                <w:i/>
                <w:noProof/>
                <w:sz w:val="24"/>
                <w:szCs w:val="24"/>
                <w:lang w:eastAsia="ro-RO"/>
              </w:rPr>
              <w:drawing>
                <wp:inline distT="0" distB="0" distL="114300" distR="114300" wp14:anchorId="2C4674E7" wp14:editId="25FF8B6D">
                  <wp:extent cx="1479550" cy="1219835"/>
                  <wp:effectExtent l="0" t="0" r="6350" b="18415"/>
                  <wp:docPr id="415" name="Picture 18" descr="5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18" descr="5 nou"/>
                          <pic:cNvPicPr>
                            <a:picLocks noChangeAspect="1"/>
                          </pic:cNvPicPr>
                        </pic:nvPicPr>
                        <pic:blipFill>
                          <a:blip r:embed="rId280"/>
                          <a:srcRect l="67162" t="12956" r="636"/>
                          <a:stretch>
                            <a:fillRect/>
                          </a:stretch>
                        </pic:blipFill>
                        <pic:spPr>
                          <a:xfrm>
                            <a:off x="0" y="0"/>
                            <a:ext cx="1479550" cy="1219835"/>
                          </a:xfrm>
                          <a:prstGeom prst="rect">
                            <a:avLst/>
                          </a:prstGeom>
                          <a:noFill/>
                          <a:ln>
                            <a:noFill/>
                          </a:ln>
                        </pic:spPr>
                      </pic:pic>
                    </a:graphicData>
                  </a:graphic>
                </wp:inline>
              </w:drawing>
            </w:r>
          </w:p>
        </w:tc>
      </w:tr>
      <w:tr w:rsidR="001C08A5" w14:paraId="00E67F68" w14:textId="77777777">
        <w:tc>
          <w:tcPr>
            <w:tcW w:w="4927" w:type="dxa"/>
            <w:gridSpan w:val="2"/>
          </w:tcPr>
          <w:p w14:paraId="13FE48F6" w14:textId="77777777" w:rsidR="001C08A5" w:rsidRDefault="00000000">
            <w:pPr>
              <w:tabs>
                <w:tab w:val="left" w:pos="426"/>
                <w:tab w:val="left" w:pos="993"/>
              </w:tabs>
              <w:jc w:val="center"/>
              <w:rPr>
                <w:i/>
                <w:sz w:val="24"/>
                <w:szCs w:val="24"/>
                <w:lang w:eastAsia="ro-RO"/>
              </w:rPr>
            </w:pPr>
            <w:r>
              <w:rPr>
                <w:i/>
                <w:sz w:val="24"/>
              </w:rPr>
              <w:t>Varianta b 1): Axonometrie balcoane separate de</w:t>
            </w:r>
            <w:r>
              <w:rPr>
                <w:i/>
                <w:sz w:val="24"/>
                <w:lang w:val="en-GB"/>
              </w:rPr>
              <w:t xml:space="preserve"> </w:t>
            </w:r>
            <w:r>
              <w:rPr>
                <w:i/>
                <w:sz w:val="24"/>
              </w:rPr>
              <w:t>structură</w:t>
            </w:r>
          </w:p>
        </w:tc>
        <w:tc>
          <w:tcPr>
            <w:tcW w:w="4928" w:type="dxa"/>
            <w:gridSpan w:val="2"/>
          </w:tcPr>
          <w:p w14:paraId="1D41D073" w14:textId="77777777" w:rsidR="001C08A5" w:rsidRDefault="00000000">
            <w:pPr>
              <w:tabs>
                <w:tab w:val="left" w:pos="426"/>
                <w:tab w:val="left" w:pos="993"/>
              </w:tabs>
              <w:jc w:val="center"/>
              <w:rPr>
                <w:i/>
                <w:sz w:val="24"/>
                <w:szCs w:val="24"/>
                <w:lang w:eastAsia="ro-RO"/>
              </w:rPr>
            </w:pPr>
            <w:r>
              <w:rPr>
                <w:i/>
                <w:iCs/>
                <w:sz w:val="24"/>
                <w:szCs w:val="24"/>
              </w:rPr>
              <w:t xml:space="preserve">Varianta b 2): </w:t>
            </w:r>
            <w:r>
              <w:rPr>
                <w:i/>
                <w:iCs/>
                <w:sz w:val="24"/>
                <w:szCs w:val="24"/>
                <w:lang w:val="en-GB"/>
              </w:rPr>
              <w:t>Detalii b</w:t>
            </w:r>
            <w:r>
              <w:rPr>
                <w:i/>
                <w:iCs/>
                <w:sz w:val="24"/>
                <w:szCs w:val="24"/>
              </w:rPr>
              <w:t>alcoane separate de</w:t>
            </w:r>
            <w:r>
              <w:rPr>
                <w:i/>
                <w:iCs/>
                <w:sz w:val="24"/>
                <w:szCs w:val="24"/>
                <w:lang w:val="en-GB"/>
              </w:rPr>
              <w:t xml:space="preserve"> </w:t>
            </w:r>
            <w:r>
              <w:rPr>
                <w:i/>
                <w:iCs/>
                <w:sz w:val="24"/>
                <w:szCs w:val="24"/>
              </w:rPr>
              <w:t>structură</w:t>
            </w:r>
          </w:p>
        </w:tc>
      </w:tr>
      <w:tr w:rsidR="001C08A5" w14:paraId="49CD47B1" w14:textId="77777777">
        <w:trPr>
          <w:trHeight w:val="270"/>
        </w:trPr>
        <w:tc>
          <w:tcPr>
            <w:tcW w:w="9855" w:type="dxa"/>
            <w:gridSpan w:val="4"/>
          </w:tcPr>
          <w:p w14:paraId="25B27207" w14:textId="77777777" w:rsidR="001C08A5" w:rsidRDefault="00000000">
            <w:pPr>
              <w:tabs>
                <w:tab w:val="left" w:pos="426"/>
                <w:tab w:val="left" w:pos="993"/>
              </w:tabs>
              <w:jc w:val="center"/>
              <w:rPr>
                <w:b/>
                <w:i/>
                <w:sz w:val="24"/>
                <w:szCs w:val="24"/>
              </w:rPr>
            </w:pPr>
            <w:r>
              <w:rPr>
                <w:b/>
                <w:i/>
                <w:sz w:val="24"/>
              </w:rPr>
              <w:t xml:space="preserve">Varianta b): Balcoane și </w:t>
            </w:r>
            <w:r>
              <w:rPr>
                <w:b/>
                <w:i/>
                <w:sz w:val="24"/>
                <w:lang w:val="en-GB"/>
              </w:rPr>
              <w:t>console</w:t>
            </w:r>
            <w:r>
              <w:rPr>
                <w:b/>
                <w:i/>
                <w:sz w:val="24"/>
              </w:rPr>
              <w:t xml:space="preserve"> care </w:t>
            </w:r>
            <w:r>
              <w:rPr>
                <w:b/>
                <w:i/>
                <w:sz w:val="24"/>
                <w:lang w:val="en-GB"/>
              </w:rPr>
              <w:t>sunt</w:t>
            </w:r>
            <w:r>
              <w:rPr>
                <w:b/>
                <w:i/>
                <w:sz w:val="24"/>
              </w:rPr>
              <w:t xml:space="preserve"> separate de structură</w:t>
            </w:r>
          </w:p>
        </w:tc>
      </w:tr>
    </w:tbl>
    <w:p w14:paraId="63442BC6" w14:textId="77777777" w:rsidR="001C08A5" w:rsidRDefault="00000000">
      <w:pPr>
        <w:pStyle w:val="Caption"/>
        <w:numPr>
          <w:ilvl w:val="255"/>
          <w:numId w:val="0"/>
        </w:numPr>
        <w:tabs>
          <w:tab w:val="left" w:pos="426"/>
          <w:tab w:val="left" w:pos="993"/>
        </w:tabs>
        <w:jc w:val="center"/>
        <w:rPr>
          <w:rFonts w:cs="Times New Roman"/>
          <w:szCs w:val="20"/>
        </w:rPr>
      </w:pPr>
      <w:bookmarkStart w:id="6521" w:name="_Ref9139"/>
      <w:bookmarkStart w:id="6522" w:name="_Toc162360340"/>
      <w:r>
        <w:lastRenderedPageBreak/>
        <w:t xml:space="preserve">Figura </w:t>
      </w:r>
      <w:r>
        <w:fldChar w:fldCharType="begin"/>
      </w:r>
      <w:r>
        <w:instrText xml:space="preserve"> SEQ Figura \* ARABIC </w:instrText>
      </w:r>
      <w:r>
        <w:fldChar w:fldCharType="separate"/>
      </w:r>
      <w:r>
        <w:t>116</w:t>
      </w:r>
      <w:r>
        <w:fldChar w:fldCharType="end"/>
      </w:r>
      <w:bookmarkStart w:id="6523" w:name="_Toc9844"/>
      <w:bookmarkStart w:id="6524" w:name="_Toc6066"/>
      <w:bookmarkStart w:id="6525" w:name="_Toc20708"/>
      <w:bookmarkStart w:id="6526" w:name="_Toc23892"/>
      <w:bookmarkStart w:id="6527" w:name="_Toc22411"/>
      <w:bookmarkStart w:id="6528" w:name="_Toc12407"/>
      <w:bookmarkStart w:id="6529" w:name="_Toc8086"/>
      <w:bookmarkStart w:id="6530" w:name="_Toc15443"/>
      <w:bookmarkStart w:id="6531" w:name="_Toc14719"/>
      <w:bookmarkEnd w:id="6521"/>
      <w:r>
        <w:t xml:space="preserve"> - </w:t>
      </w:r>
      <w:r>
        <w:rPr>
          <w:rFonts w:cs="Times New Roman"/>
        </w:rPr>
        <w:t xml:space="preserve">Balcoane și </w:t>
      </w:r>
      <w:r>
        <w:rPr>
          <w:rFonts w:cs="Times New Roman"/>
          <w:lang w:val="en-GB"/>
        </w:rPr>
        <w:t>console</w:t>
      </w:r>
      <w:r>
        <w:rPr>
          <w:rFonts w:cs="Times New Roman"/>
        </w:rPr>
        <w:t xml:space="preserve"> care </w:t>
      </w:r>
      <w:r>
        <w:rPr>
          <w:rFonts w:cs="Times New Roman"/>
          <w:lang w:val="en-GB"/>
        </w:rPr>
        <w:t>sunt</w:t>
      </w:r>
      <w:r>
        <w:rPr>
          <w:rFonts w:cs="Times New Roman"/>
        </w:rPr>
        <w:t xml:space="preserve"> parte integrantă din structură</w:t>
      </w:r>
      <w:bookmarkEnd w:id="6522"/>
      <w:bookmarkEnd w:id="6523"/>
      <w:bookmarkEnd w:id="6524"/>
      <w:bookmarkEnd w:id="6525"/>
      <w:bookmarkEnd w:id="6526"/>
      <w:bookmarkEnd w:id="6527"/>
      <w:bookmarkEnd w:id="6528"/>
      <w:bookmarkEnd w:id="6529"/>
      <w:bookmarkEnd w:id="6530"/>
      <w:bookmarkEnd w:id="6531"/>
    </w:p>
    <w:p w14:paraId="4950449D" w14:textId="77777777" w:rsidR="001C08A5" w:rsidRDefault="00000000">
      <w:pPr>
        <w:numPr>
          <w:ilvl w:val="0"/>
          <w:numId w:val="96"/>
        </w:numPr>
        <w:tabs>
          <w:tab w:val="left" w:pos="426"/>
          <w:tab w:val="left" w:pos="993"/>
        </w:tabs>
        <w:jc w:val="both"/>
        <w:rPr>
          <w:bCs/>
          <w:i/>
          <w:sz w:val="24"/>
        </w:rPr>
      </w:pPr>
      <w:r>
        <w:rPr>
          <w:bCs/>
          <w:i/>
          <w:sz w:val="24"/>
        </w:rPr>
        <w:t xml:space="preserve">Pe </w:t>
      </w:r>
      <w:r>
        <w:rPr>
          <w:bCs/>
          <w:i/>
          <w:sz w:val="24"/>
          <w:lang w:val="en-GB"/>
        </w:rPr>
        <w:t>por</w:t>
      </w:r>
      <w:r>
        <w:rPr>
          <w:bCs/>
          <w:i/>
          <w:sz w:val="24"/>
        </w:rPr>
        <w:t>ț</w:t>
      </w:r>
      <w:r>
        <w:rPr>
          <w:bCs/>
          <w:i/>
          <w:sz w:val="24"/>
          <w:lang w:val="en-GB"/>
        </w:rPr>
        <w:t>iunil</w:t>
      </w:r>
      <w:r>
        <w:rPr>
          <w:bCs/>
          <w:i/>
          <w:sz w:val="24"/>
        </w:rPr>
        <w:t>e</w:t>
      </w:r>
      <w:r>
        <w:rPr>
          <w:bCs/>
          <w:i/>
          <w:sz w:val="24"/>
          <w:lang w:val="en-GB"/>
        </w:rPr>
        <w:t xml:space="preserve"> retrase</w:t>
      </w:r>
      <w:r>
        <w:rPr>
          <w:bCs/>
          <w:i/>
          <w:sz w:val="24"/>
        </w:rPr>
        <w:t xml:space="preserve"> de </w:t>
      </w:r>
      <w:r>
        <w:rPr>
          <w:bCs/>
          <w:i/>
          <w:sz w:val="24"/>
          <w:lang w:val="en-GB"/>
        </w:rPr>
        <w:t>acces</w:t>
      </w:r>
      <w:r>
        <w:rPr>
          <w:bCs/>
          <w:i/>
          <w:sz w:val="24"/>
        </w:rPr>
        <w:t xml:space="preserve"> </w:t>
      </w:r>
      <w:r>
        <w:rPr>
          <w:bCs/>
          <w:i/>
          <w:sz w:val="24"/>
          <w:lang w:val="en-GB"/>
        </w:rPr>
        <w:t>care întrerup banda de suprapunere din partea de jos a termoizolatiei</w:t>
      </w:r>
      <w:r>
        <w:rPr>
          <w:bCs/>
          <w:i/>
          <w:sz w:val="24"/>
        </w:rPr>
        <w:t xml:space="preserve"> și/ sau a </w:t>
      </w:r>
      <w:r>
        <w:rPr>
          <w:bCs/>
          <w:i/>
          <w:sz w:val="24"/>
          <w:lang w:val="en-GB"/>
        </w:rPr>
        <w:t>s</w:t>
      </w:r>
      <w:r>
        <w:rPr>
          <w:bCs/>
          <w:i/>
          <w:sz w:val="24"/>
        </w:rPr>
        <w:t xml:space="preserve">istemelor compozite de izolare termică </w:t>
      </w:r>
      <w:r>
        <w:rPr>
          <w:bCs/>
          <w:i/>
          <w:sz w:val="24"/>
          <w:lang w:val="en-GB"/>
        </w:rPr>
        <w:t xml:space="preserve">diferite de </w:t>
      </w:r>
      <w:r>
        <w:rPr>
          <w:b/>
          <w:i/>
          <w:sz w:val="24"/>
        </w:rPr>
        <w:t>A1, A2-s1d</w:t>
      </w:r>
      <w:r>
        <w:rPr>
          <w:b/>
          <w:i/>
          <w:sz w:val="24"/>
          <w:lang w:val="en-GB"/>
        </w:rPr>
        <w:t>0</w:t>
      </w:r>
      <w:r>
        <w:rPr>
          <w:bCs/>
          <w:i/>
          <w:sz w:val="24"/>
        </w:rPr>
        <w:t xml:space="preserve"> (în funcție de adâncimea </w:t>
      </w:r>
      <w:r>
        <w:rPr>
          <w:bCs/>
          <w:i/>
          <w:sz w:val="24"/>
          <w:lang w:val="en-GB"/>
        </w:rPr>
        <w:t>acestora</w:t>
      </w:r>
      <w:r>
        <w:rPr>
          <w:bCs/>
          <w:i/>
          <w:sz w:val="24"/>
        </w:rPr>
        <w:t xml:space="preserve">) ale fațadelor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cuprinzând gol</w:t>
      </w:r>
      <w:r>
        <w:rPr>
          <w:bCs/>
          <w:i/>
          <w:sz w:val="24"/>
          <w:lang w:val="en-GB"/>
        </w:rPr>
        <w:t>uri (u</w:t>
      </w:r>
      <w:r>
        <w:rPr>
          <w:bCs/>
          <w:i/>
          <w:sz w:val="24"/>
        </w:rPr>
        <w:t>ș</w:t>
      </w:r>
      <w:r>
        <w:rPr>
          <w:bCs/>
          <w:i/>
          <w:sz w:val="24"/>
          <w:lang w:val="en-GB"/>
        </w:rPr>
        <w:t xml:space="preserve">i </w:t>
      </w:r>
      <w:r>
        <w:rPr>
          <w:bCs/>
          <w:i/>
          <w:sz w:val="24"/>
        </w:rPr>
        <w:t>ș</w:t>
      </w:r>
      <w:r>
        <w:rPr>
          <w:bCs/>
          <w:i/>
          <w:sz w:val="24"/>
          <w:lang w:val="en-GB"/>
        </w:rPr>
        <w:t xml:space="preserve">i /sau ferestre) </w:t>
      </w:r>
      <w:r>
        <w:rPr>
          <w:bCs/>
          <w:i/>
          <w:sz w:val="24"/>
        </w:rPr>
        <w:t>î</w:t>
      </w:r>
      <w:r>
        <w:rPr>
          <w:bCs/>
          <w:i/>
          <w:sz w:val="24"/>
          <w:lang w:val="en-GB"/>
        </w:rPr>
        <w:t>n zid</w:t>
      </w:r>
      <w:r>
        <w:rPr>
          <w:bCs/>
          <w:i/>
          <w:sz w:val="24"/>
        </w:rPr>
        <w:t>ă</w:t>
      </w:r>
      <w:r>
        <w:rPr>
          <w:bCs/>
          <w:i/>
          <w:sz w:val="24"/>
          <w:lang w:val="en-GB"/>
        </w:rPr>
        <w:t>rie</w:t>
      </w:r>
      <w:r>
        <w:rPr>
          <w:bCs/>
          <w:i/>
          <w:sz w:val="24"/>
        </w:rPr>
        <w:t xml:space="preserve">, se realizează prin interpunerea de termoizolaţie clasa de reacţie la foc </w:t>
      </w:r>
      <w:r>
        <w:rPr>
          <w:b/>
          <w:i/>
          <w:sz w:val="24"/>
        </w:rPr>
        <w:t>A1</w:t>
      </w:r>
      <w:r>
        <w:rPr>
          <w:bCs/>
          <w:i/>
          <w:sz w:val="24"/>
        </w:rPr>
        <w:t xml:space="preserve"> sau </w:t>
      </w:r>
      <w:r>
        <w:rPr>
          <w:b/>
          <w:i/>
          <w:sz w:val="24"/>
        </w:rPr>
        <w:t xml:space="preserve">A2-s1d0, </w:t>
      </w:r>
      <w:r>
        <w:rPr>
          <w:bCs/>
          <w:i/>
          <w:sz w:val="24"/>
        </w:rPr>
        <w:t xml:space="preserve">conform </w:t>
      </w:r>
      <w:r>
        <w:rPr>
          <w:b/>
          <w:bCs/>
          <w:i/>
          <w:iCs/>
          <w:sz w:val="24"/>
          <w:szCs w:val="24"/>
        </w:rPr>
        <w:fldChar w:fldCharType="begin"/>
      </w:r>
      <w:r>
        <w:rPr>
          <w:b/>
          <w:bCs/>
          <w:i/>
          <w:iCs/>
          <w:sz w:val="24"/>
          <w:szCs w:val="24"/>
        </w:rPr>
        <w:instrText xml:space="preserve"> REF _Ref9358 \h </w:instrText>
      </w:r>
      <w:r>
        <w:rPr>
          <w:b/>
          <w:bCs/>
          <w:i/>
          <w:iCs/>
          <w:sz w:val="24"/>
          <w:szCs w:val="24"/>
        </w:rPr>
      </w:r>
      <w:r>
        <w:rPr>
          <w:b/>
          <w:bCs/>
          <w:i/>
          <w:iCs/>
          <w:sz w:val="24"/>
          <w:szCs w:val="24"/>
        </w:rPr>
        <w:fldChar w:fldCharType="separate"/>
      </w:r>
      <w:r>
        <w:t>Figura 117</w:t>
      </w:r>
      <w:r>
        <w:rPr>
          <w:b/>
          <w:bCs/>
          <w:i/>
          <w:iCs/>
          <w:sz w:val="24"/>
          <w:szCs w:val="24"/>
        </w:rPr>
        <w:fldChar w:fldCharType="end"/>
      </w:r>
      <w:r>
        <w:rPr>
          <w:b/>
          <w:i/>
          <w:sz w:val="24"/>
        </w:rPr>
        <w:t>.</w:t>
      </w:r>
    </w:p>
    <w:tbl>
      <w:tblPr>
        <w:tblStyle w:val="TableGrid"/>
        <w:tblW w:w="9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41"/>
        <w:gridCol w:w="4915"/>
      </w:tblGrid>
      <w:tr w:rsidR="001C08A5" w14:paraId="6BC7A814" w14:textId="77777777">
        <w:tc>
          <w:tcPr>
            <w:tcW w:w="9856" w:type="dxa"/>
            <w:gridSpan w:val="2"/>
          </w:tcPr>
          <w:p w14:paraId="27651447" w14:textId="77777777" w:rsidR="001C08A5" w:rsidRDefault="00000000">
            <w:pPr>
              <w:jc w:val="center"/>
              <w:rPr>
                <w:i/>
                <w:sz w:val="24"/>
                <w:szCs w:val="24"/>
              </w:rPr>
            </w:pPr>
            <w:r>
              <w:rPr>
                <w:i/>
                <w:noProof/>
                <w:sz w:val="24"/>
                <w:szCs w:val="24"/>
                <w:lang w:eastAsia="ro-RO"/>
              </w:rPr>
              <w:drawing>
                <wp:inline distT="0" distB="0" distL="114300" distR="114300" wp14:anchorId="57948F57" wp14:editId="794BE607">
                  <wp:extent cx="2749550" cy="3063875"/>
                  <wp:effectExtent l="0" t="0" r="12700" b="3175"/>
                  <wp:docPr id="184" name="Picture 19" descr="bloc 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9" descr="bloc 19 r"/>
                          <pic:cNvPicPr>
                            <a:picLocks noChangeAspect="1"/>
                          </pic:cNvPicPr>
                        </pic:nvPicPr>
                        <pic:blipFill>
                          <a:blip r:embed="rId281"/>
                          <a:srcRect l="1453" r="1665"/>
                          <a:stretch>
                            <a:fillRect/>
                          </a:stretch>
                        </pic:blipFill>
                        <pic:spPr>
                          <a:xfrm>
                            <a:off x="0" y="0"/>
                            <a:ext cx="2749550" cy="3063875"/>
                          </a:xfrm>
                          <a:prstGeom prst="rect">
                            <a:avLst/>
                          </a:prstGeom>
                          <a:noFill/>
                          <a:ln>
                            <a:noFill/>
                          </a:ln>
                        </pic:spPr>
                      </pic:pic>
                    </a:graphicData>
                  </a:graphic>
                </wp:inline>
              </w:drawing>
            </w:r>
          </w:p>
        </w:tc>
      </w:tr>
      <w:tr w:rsidR="001C08A5" w14:paraId="2DB3226E" w14:textId="77777777">
        <w:tc>
          <w:tcPr>
            <w:tcW w:w="9856" w:type="dxa"/>
            <w:gridSpan w:val="2"/>
          </w:tcPr>
          <w:p w14:paraId="6588019F" w14:textId="77777777" w:rsidR="001C08A5" w:rsidRDefault="00000000">
            <w:pPr>
              <w:jc w:val="center"/>
              <w:rPr>
                <w:i/>
                <w:sz w:val="24"/>
                <w:szCs w:val="24"/>
              </w:rPr>
            </w:pPr>
            <w:r>
              <w:rPr>
                <w:b/>
                <w:bCs/>
                <w:i/>
                <w:sz w:val="24"/>
                <w:szCs w:val="24"/>
              </w:rPr>
              <w:t>Axonometrie</w:t>
            </w:r>
          </w:p>
        </w:tc>
      </w:tr>
      <w:tr w:rsidR="001C08A5" w14:paraId="4C991B05" w14:textId="77777777">
        <w:tc>
          <w:tcPr>
            <w:tcW w:w="9856" w:type="dxa"/>
            <w:gridSpan w:val="2"/>
          </w:tcPr>
          <w:p w14:paraId="4C3C9E7E" w14:textId="77777777" w:rsidR="001C08A5" w:rsidRDefault="00000000">
            <w:pPr>
              <w:jc w:val="center"/>
              <w:rPr>
                <w:i/>
                <w:sz w:val="24"/>
                <w:szCs w:val="24"/>
                <w:lang w:val="en-GB"/>
              </w:rPr>
            </w:pPr>
            <w:r>
              <w:rPr>
                <w:i/>
                <w:noProof/>
                <w:sz w:val="24"/>
                <w:szCs w:val="24"/>
                <w:lang w:eastAsia="ro-RO"/>
              </w:rPr>
              <w:drawing>
                <wp:inline distT="0" distB="0" distL="114300" distR="114300" wp14:anchorId="6FC48A2F" wp14:editId="61F61FCA">
                  <wp:extent cx="4749800" cy="2045970"/>
                  <wp:effectExtent l="0" t="0" r="12700" b="11430"/>
                  <wp:docPr id="319" name="Picture 20" descr="12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20" descr="12 nou"/>
                          <pic:cNvPicPr>
                            <a:picLocks noChangeAspect="1"/>
                          </pic:cNvPicPr>
                        </pic:nvPicPr>
                        <pic:blipFill>
                          <a:blip r:embed="rId282"/>
                          <a:stretch>
                            <a:fillRect/>
                          </a:stretch>
                        </pic:blipFill>
                        <pic:spPr>
                          <a:xfrm>
                            <a:off x="0" y="0"/>
                            <a:ext cx="4749800" cy="2045970"/>
                          </a:xfrm>
                          <a:prstGeom prst="rect">
                            <a:avLst/>
                          </a:prstGeom>
                          <a:noFill/>
                          <a:ln>
                            <a:noFill/>
                          </a:ln>
                        </pic:spPr>
                      </pic:pic>
                    </a:graphicData>
                  </a:graphic>
                </wp:inline>
              </w:drawing>
            </w:r>
          </w:p>
        </w:tc>
      </w:tr>
      <w:tr w:rsidR="001C08A5" w14:paraId="6598F9D2" w14:textId="77777777">
        <w:tc>
          <w:tcPr>
            <w:tcW w:w="4941" w:type="dxa"/>
          </w:tcPr>
          <w:p w14:paraId="28AE6117" w14:textId="77777777" w:rsidR="001C08A5" w:rsidRDefault="00000000">
            <w:pPr>
              <w:jc w:val="center"/>
              <w:rPr>
                <w:i/>
                <w:sz w:val="24"/>
                <w:szCs w:val="24"/>
                <w:lang w:eastAsia="ro-RO"/>
              </w:rPr>
            </w:pPr>
            <w:r>
              <w:rPr>
                <w:b/>
                <w:bCs/>
                <w:i/>
                <w:sz w:val="24"/>
                <w:szCs w:val="24"/>
              </w:rPr>
              <w:t>P ≤ 0,5 m</w:t>
            </w:r>
          </w:p>
        </w:tc>
        <w:tc>
          <w:tcPr>
            <w:tcW w:w="4915" w:type="dxa"/>
          </w:tcPr>
          <w:p w14:paraId="44CF73C4" w14:textId="77777777" w:rsidR="001C08A5" w:rsidRDefault="00000000">
            <w:pPr>
              <w:jc w:val="center"/>
              <w:rPr>
                <w:i/>
                <w:sz w:val="24"/>
                <w:szCs w:val="24"/>
                <w:lang w:val="en-GB"/>
              </w:rPr>
            </w:pPr>
            <w:r>
              <w:rPr>
                <w:b/>
                <w:bCs/>
                <w:i/>
                <w:sz w:val="24"/>
                <w:szCs w:val="24"/>
              </w:rPr>
              <w:t>P &gt; 0,5 m</w:t>
            </w:r>
          </w:p>
        </w:tc>
      </w:tr>
      <w:tr w:rsidR="001C08A5" w14:paraId="0E5E5F97" w14:textId="77777777">
        <w:trPr>
          <w:trHeight w:val="405"/>
        </w:trPr>
        <w:tc>
          <w:tcPr>
            <w:tcW w:w="9856" w:type="dxa"/>
            <w:gridSpan w:val="2"/>
          </w:tcPr>
          <w:p w14:paraId="38B4E267" w14:textId="77777777" w:rsidR="001C08A5" w:rsidRDefault="00000000">
            <w:pPr>
              <w:numPr>
                <w:ilvl w:val="255"/>
                <w:numId w:val="0"/>
              </w:numPr>
              <w:suppressLineNumbers/>
              <w:spacing w:before="120" w:after="120"/>
              <w:jc w:val="center"/>
              <w:rPr>
                <w:rFonts w:cs="Mangal"/>
                <w:b/>
                <w:i/>
                <w:iCs/>
                <w:sz w:val="24"/>
                <w:szCs w:val="24"/>
                <w:lang w:val="en-GB"/>
              </w:rPr>
            </w:pPr>
            <w:bookmarkStart w:id="6532" w:name="_Toc32602"/>
            <w:bookmarkStart w:id="6533" w:name="_Toc23241"/>
            <w:bookmarkStart w:id="6534" w:name="_Toc11499"/>
            <w:bookmarkStart w:id="6535" w:name="_Toc16286"/>
            <w:r>
              <w:rPr>
                <w:rFonts w:cs="Mangal"/>
                <w:b/>
                <w:i/>
                <w:iCs/>
                <w:sz w:val="24"/>
                <w:szCs w:val="24"/>
                <w:lang w:val="en-GB"/>
              </w:rPr>
              <w:t>Detalii p</w:t>
            </w:r>
            <w:r>
              <w:rPr>
                <w:rFonts w:cs="Mangal"/>
                <w:b/>
                <w:i/>
                <w:iCs/>
                <w:sz w:val="24"/>
                <w:szCs w:val="24"/>
              </w:rPr>
              <w:t xml:space="preserve">rincipii de </w:t>
            </w:r>
            <w:r>
              <w:rPr>
                <w:rFonts w:cs="Mangal"/>
                <w:b/>
                <w:i/>
                <w:iCs/>
                <w:sz w:val="24"/>
                <w:szCs w:val="24"/>
                <w:lang w:val="en-GB"/>
              </w:rPr>
              <w:t>realizare</w:t>
            </w:r>
            <w:r>
              <w:rPr>
                <w:rFonts w:cs="Mangal"/>
                <w:b/>
                <w:i/>
                <w:iCs/>
                <w:sz w:val="24"/>
                <w:szCs w:val="24"/>
              </w:rPr>
              <w:t xml:space="preserve"> a </w:t>
            </w:r>
            <w:r>
              <w:rPr>
                <w:rFonts w:cs="Mangal"/>
                <w:b/>
                <w:i/>
                <w:iCs/>
                <w:sz w:val="24"/>
                <w:szCs w:val="24"/>
                <w:lang w:val="en-GB"/>
              </w:rPr>
              <w:t>portiunilor retrase</w:t>
            </w:r>
            <w:r>
              <w:rPr>
                <w:rFonts w:cs="Mangal"/>
                <w:b/>
                <w:i/>
                <w:iCs/>
                <w:sz w:val="24"/>
                <w:szCs w:val="24"/>
              </w:rPr>
              <w:t xml:space="preserve"> de </w:t>
            </w:r>
            <w:r>
              <w:rPr>
                <w:rFonts w:cs="Mangal"/>
                <w:b/>
                <w:i/>
                <w:iCs/>
                <w:sz w:val="24"/>
                <w:szCs w:val="24"/>
                <w:lang w:val="en-GB"/>
              </w:rPr>
              <w:t>acces</w:t>
            </w:r>
            <w:bookmarkEnd w:id="6532"/>
            <w:bookmarkEnd w:id="6533"/>
            <w:bookmarkEnd w:id="6534"/>
            <w:bookmarkEnd w:id="6535"/>
          </w:p>
        </w:tc>
      </w:tr>
    </w:tbl>
    <w:p w14:paraId="5585D2FC" w14:textId="77777777" w:rsidR="001C08A5" w:rsidRDefault="00000000">
      <w:pPr>
        <w:pStyle w:val="Caption"/>
        <w:numPr>
          <w:ilvl w:val="255"/>
          <w:numId w:val="0"/>
        </w:numPr>
        <w:tabs>
          <w:tab w:val="left" w:pos="426"/>
          <w:tab w:val="left" w:pos="993"/>
        </w:tabs>
        <w:jc w:val="center"/>
        <w:rPr>
          <w:rFonts w:cs="Times New Roman"/>
          <w:b w:val="0"/>
          <w:bCs/>
          <w:lang w:eastAsia="ro-RO"/>
        </w:rPr>
      </w:pPr>
      <w:r>
        <w:rPr>
          <w:rFonts w:cs="Times New Roman"/>
          <w:b w:val="0"/>
          <w:bCs/>
        </w:rPr>
        <w:t xml:space="preserve"> </w:t>
      </w:r>
      <w:bookmarkStart w:id="6536" w:name="_Ref9358"/>
      <w:bookmarkStart w:id="6537" w:name="_Toc162360341"/>
      <w:r>
        <w:t xml:space="preserve">Figura </w:t>
      </w:r>
      <w:r>
        <w:fldChar w:fldCharType="begin"/>
      </w:r>
      <w:r>
        <w:instrText xml:space="preserve"> SEQ Figura \* ARABIC </w:instrText>
      </w:r>
      <w:r>
        <w:fldChar w:fldCharType="separate"/>
      </w:r>
      <w:r>
        <w:t>117</w:t>
      </w:r>
      <w:r>
        <w:fldChar w:fldCharType="end"/>
      </w:r>
      <w:bookmarkStart w:id="6538" w:name="_Toc8006"/>
      <w:bookmarkStart w:id="6539" w:name="_Toc12862"/>
      <w:bookmarkStart w:id="6540" w:name="_Toc11568"/>
      <w:bookmarkStart w:id="6541" w:name="_Toc6131"/>
      <w:bookmarkStart w:id="6542" w:name="_Toc22645"/>
      <w:bookmarkStart w:id="6543" w:name="_Toc13492"/>
      <w:bookmarkStart w:id="6544" w:name="_Toc29140"/>
      <w:bookmarkStart w:id="6545" w:name="_Toc14923"/>
      <w:bookmarkStart w:id="6546" w:name="_Toc17557"/>
      <w:bookmarkEnd w:id="6536"/>
      <w:r>
        <w:t xml:space="preserve"> - </w:t>
      </w:r>
      <w:r>
        <w:rPr>
          <w:rFonts w:cs="Times New Roman"/>
          <w:lang w:val="en-GB"/>
        </w:rPr>
        <w:t>P</w:t>
      </w:r>
      <w:r>
        <w:rPr>
          <w:rFonts w:cs="Times New Roman"/>
        </w:rPr>
        <w:t xml:space="preserve">rincipii de </w:t>
      </w:r>
      <w:r>
        <w:rPr>
          <w:rFonts w:cs="Times New Roman"/>
          <w:lang w:val="en-GB"/>
        </w:rPr>
        <w:t>realizare</w:t>
      </w:r>
      <w:r>
        <w:rPr>
          <w:rFonts w:cs="Times New Roman"/>
        </w:rPr>
        <w:t xml:space="preserve"> a </w:t>
      </w:r>
      <w:r>
        <w:rPr>
          <w:rFonts w:cs="Times New Roman"/>
          <w:lang w:val="en-GB"/>
        </w:rPr>
        <w:t>portiunilor retrase</w:t>
      </w:r>
      <w:r>
        <w:rPr>
          <w:rFonts w:cs="Times New Roman"/>
        </w:rPr>
        <w:t xml:space="preserve"> de </w:t>
      </w:r>
      <w:r>
        <w:rPr>
          <w:rFonts w:cs="Times New Roman"/>
          <w:lang w:val="en-GB"/>
        </w:rPr>
        <w:t>acces,</w:t>
      </w:r>
      <w:r>
        <w:rPr>
          <w:rFonts w:cs="Times New Roman"/>
        </w:rPr>
        <w:t xml:space="preserve"> în funcție de adâncimea </w:t>
      </w:r>
      <w:r>
        <w:rPr>
          <w:rFonts w:cs="Times New Roman"/>
          <w:lang w:val="en-GB"/>
        </w:rPr>
        <w:t>acestora</w:t>
      </w:r>
      <w:bookmarkEnd w:id="6537"/>
      <w:bookmarkEnd w:id="6538"/>
      <w:bookmarkEnd w:id="6539"/>
      <w:bookmarkEnd w:id="6540"/>
      <w:bookmarkEnd w:id="6541"/>
      <w:bookmarkEnd w:id="6542"/>
      <w:bookmarkEnd w:id="6543"/>
      <w:bookmarkEnd w:id="6544"/>
      <w:bookmarkEnd w:id="6545"/>
      <w:bookmarkEnd w:id="6546"/>
    </w:p>
    <w:p w14:paraId="09FBF10E" w14:textId="77777777" w:rsidR="001C08A5" w:rsidRDefault="00000000">
      <w:pPr>
        <w:numPr>
          <w:ilvl w:val="0"/>
          <w:numId w:val="96"/>
        </w:numPr>
        <w:tabs>
          <w:tab w:val="left" w:pos="426"/>
          <w:tab w:val="left" w:pos="993"/>
        </w:tabs>
        <w:jc w:val="both"/>
        <w:rPr>
          <w:bCs/>
          <w:i/>
          <w:sz w:val="24"/>
        </w:rPr>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cuprinzând deschideri</w:t>
      </w:r>
      <w:r>
        <w:rPr>
          <w:bCs/>
          <w:i/>
          <w:sz w:val="24"/>
          <w:lang w:val="en-GB"/>
        </w:rPr>
        <w:t xml:space="preserve"> </w:t>
      </w:r>
      <w:r>
        <w:rPr>
          <w:bCs/>
          <w:i/>
          <w:sz w:val="24"/>
        </w:rPr>
        <w:t>mari (atunci când înălțimea deschiderii depășește înălțimea planșeu</w:t>
      </w:r>
      <w:r>
        <w:rPr>
          <w:bCs/>
          <w:i/>
          <w:sz w:val="24"/>
          <w:lang w:val="en-GB"/>
        </w:rPr>
        <w:t>lui dintre</w:t>
      </w:r>
      <w:r>
        <w:rPr>
          <w:bCs/>
          <w:i/>
          <w:sz w:val="24"/>
        </w:rPr>
        <w:t xml:space="preserve"> două etaje), se realizează prin interpunerea fâşii</w:t>
      </w:r>
      <w:r>
        <w:rPr>
          <w:bCs/>
          <w:i/>
          <w:sz w:val="24"/>
          <w:lang w:val="en-GB"/>
        </w:rPr>
        <w:t>lor/ benzilor</w:t>
      </w:r>
      <w:r>
        <w:rPr>
          <w:bCs/>
          <w:i/>
          <w:sz w:val="24"/>
        </w:rPr>
        <w:t xml:space="preserve"> orizontale continui de termoizolaţie clasa de reacţie la foc </w:t>
      </w:r>
      <w:r>
        <w:rPr>
          <w:b/>
          <w:bCs/>
          <w:i/>
          <w:sz w:val="24"/>
        </w:rPr>
        <w:t xml:space="preserve">A1 </w:t>
      </w:r>
      <w:r>
        <w:rPr>
          <w:bCs/>
          <w:i/>
          <w:sz w:val="24"/>
        </w:rPr>
        <w:t>sau</w:t>
      </w:r>
      <w:r>
        <w:rPr>
          <w:b/>
          <w:bCs/>
          <w:i/>
          <w:sz w:val="24"/>
        </w:rPr>
        <w:t xml:space="preserve"> A2-s1d0</w:t>
      </w:r>
      <w:r>
        <w:rPr>
          <w:b/>
          <w:i/>
          <w:sz w:val="24"/>
        </w:rPr>
        <w:t xml:space="preserve">, </w:t>
      </w:r>
      <w:r>
        <w:rPr>
          <w:bCs/>
          <w:i/>
          <w:sz w:val="24"/>
        </w:rPr>
        <w:t xml:space="preserve">conform </w:t>
      </w:r>
      <w:r>
        <w:rPr>
          <w:b/>
          <w:bCs/>
          <w:i/>
          <w:iCs/>
          <w:sz w:val="24"/>
          <w:szCs w:val="24"/>
        </w:rPr>
        <w:fldChar w:fldCharType="begin"/>
      </w:r>
      <w:r>
        <w:rPr>
          <w:b/>
          <w:bCs/>
          <w:i/>
          <w:iCs/>
          <w:sz w:val="24"/>
          <w:szCs w:val="24"/>
        </w:rPr>
        <w:instrText xml:space="preserve"> REF _Ref9472 \h </w:instrText>
      </w:r>
      <w:r>
        <w:rPr>
          <w:b/>
          <w:bCs/>
          <w:i/>
          <w:iCs/>
          <w:sz w:val="24"/>
          <w:szCs w:val="24"/>
        </w:rPr>
      </w:r>
      <w:r>
        <w:rPr>
          <w:b/>
          <w:bCs/>
          <w:i/>
          <w:iCs/>
          <w:sz w:val="24"/>
          <w:szCs w:val="24"/>
        </w:rPr>
        <w:fldChar w:fldCharType="separate"/>
      </w:r>
      <w:r>
        <w:t>Figura 118</w:t>
      </w:r>
      <w:r>
        <w:rPr>
          <w:b/>
          <w:bCs/>
          <w:i/>
          <w:iCs/>
          <w:sz w:val="24"/>
          <w:szCs w:val="24"/>
        </w:rPr>
        <w:fldChar w:fldCharType="end"/>
      </w:r>
      <w:r>
        <w:rPr>
          <w:b/>
          <w:i/>
          <w:sz w:val="24"/>
        </w:rPr>
        <w:t>.</w:t>
      </w:r>
    </w:p>
    <w:p w14:paraId="215B61F5" w14:textId="77777777" w:rsidR="001C08A5" w:rsidRDefault="00000000">
      <w:pPr>
        <w:numPr>
          <w:ilvl w:val="255"/>
          <w:numId w:val="0"/>
        </w:numPr>
        <w:tabs>
          <w:tab w:val="left" w:pos="426"/>
          <w:tab w:val="left" w:pos="993"/>
        </w:tabs>
        <w:jc w:val="center"/>
        <w:rPr>
          <w:bCs/>
          <w:i/>
          <w:sz w:val="24"/>
          <w:szCs w:val="24"/>
          <w:lang w:eastAsia="ro-RO"/>
        </w:rPr>
      </w:pPr>
      <w:r>
        <w:rPr>
          <w:bCs/>
          <w:i/>
          <w:noProof/>
          <w:sz w:val="24"/>
          <w:szCs w:val="24"/>
          <w:lang w:eastAsia="ro-RO"/>
        </w:rPr>
        <w:lastRenderedPageBreak/>
        <w:drawing>
          <wp:inline distT="0" distB="0" distL="114300" distR="114300" wp14:anchorId="3A2E65D2" wp14:editId="2104F02C">
            <wp:extent cx="2989580" cy="3189605"/>
            <wp:effectExtent l="0" t="0" r="1270" b="10795"/>
            <wp:docPr id="186" name="Picture 21" descr="blo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21" descr="bloc 18"/>
                    <pic:cNvPicPr>
                      <a:picLocks noChangeAspect="1"/>
                    </pic:cNvPicPr>
                  </pic:nvPicPr>
                  <pic:blipFill>
                    <a:blip r:embed="rId283"/>
                    <a:srcRect l="760" r="577"/>
                    <a:stretch>
                      <a:fillRect/>
                    </a:stretch>
                  </pic:blipFill>
                  <pic:spPr>
                    <a:xfrm>
                      <a:off x="0" y="0"/>
                      <a:ext cx="2989580" cy="3189605"/>
                    </a:xfrm>
                    <a:prstGeom prst="rect">
                      <a:avLst/>
                    </a:prstGeom>
                    <a:noFill/>
                    <a:ln>
                      <a:noFill/>
                    </a:ln>
                  </pic:spPr>
                </pic:pic>
              </a:graphicData>
            </a:graphic>
          </wp:inline>
        </w:drawing>
      </w:r>
    </w:p>
    <w:p w14:paraId="49C9AC80" w14:textId="77777777" w:rsidR="001C08A5" w:rsidRDefault="00000000">
      <w:pPr>
        <w:pStyle w:val="Caption"/>
        <w:widowControl w:val="0"/>
        <w:jc w:val="center"/>
      </w:pPr>
      <w:bookmarkStart w:id="6547" w:name="_Ref9472"/>
      <w:bookmarkStart w:id="6548" w:name="_Toc25264"/>
      <w:bookmarkStart w:id="6549" w:name="_Toc12859"/>
      <w:bookmarkStart w:id="6550" w:name="_Toc162360342"/>
      <w:bookmarkStart w:id="6551" w:name="_Toc12916"/>
      <w:bookmarkStart w:id="6552" w:name="_Toc21538"/>
      <w:r>
        <w:t xml:space="preserve">Figura </w:t>
      </w:r>
      <w:r>
        <w:fldChar w:fldCharType="begin"/>
      </w:r>
      <w:r>
        <w:instrText xml:space="preserve"> SEQ Figura \* ARABIC </w:instrText>
      </w:r>
      <w:r>
        <w:fldChar w:fldCharType="separate"/>
      </w:r>
      <w:r>
        <w:t>118</w:t>
      </w:r>
      <w:r>
        <w:fldChar w:fldCharType="end"/>
      </w:r>
      <w:bookmarkStart w:id="6553" w:name="_Toc27119"/>
      <w:bookmarkStart w:id="6554" w:name="_Toc9864"/>
      <w:bookmarkStart w:id="6555" w:name="_Toc22034"/>
      <w:bookmarkStart w:id="6556" w:name="_Toc780"/>
      <w:bookmarkStart w:id="6557" w:name="_Toc7225"/>
      <w:bookmarkStart w:id="6558" w:name="_Toc7372"/>
      <w:bookmarkStart w:id="6559" w:name="_Toc8642"/>
      <w:bookmarkStart w:id="6560" w:name="_Toc5231"/>
      <w:bookmarkStart w:id="6561" w:name="_Toc13904"/>
      <w:bookmarkEnd w:id="6547"/>
      <w:r>
        <w:t xml:space="preserve"> - Principi</w:t>
      </w:r>
      <w:r>
        <w:rPr>
          <w:lang w:val="en-GB"/>
        </w:rPr>
        <w:t>i</w:t>
      </w:r>
      <w:r>
        <w:t xml:space="preserve"> de </w:t>
      </w:r>
      <w:r>
        <w:rPr>
          <w:lang w:val="en-GB"/>
        </w:rPr>
        <w:t xml:space="preserve">realizare </w:t>
      </w:r>
      <w:r>
        <w:t>î</w:t>
      </w:r>
      <w:r>
        <w:rPr>
          <w:lang w:val="en-GB"/>
        </w:rPr>
        <w:t>n cazul d</w:t>
      </w:r>
      <w:r>
        <w:t>eschideri</w:t>
      </w:r>
      <w:r>
        <w:rPr>
          <w:lang w:val="en-GB"/>
        </w:rPr>
        <w:t>lor</w:t>
      </w:r>
      <w:r>
        <w:t xml:space="preserve"> mari</w:t>
      </w:r>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p>
    <w:p w14:paraId="58EB82B0" w14:textId="77777777" w:rsidR="001C08A5" w:rsidRDefault="00000000">
      <w:pPr>
        <w:numPr>
          <w:ilvl w:val="0"/>
          <w:numId w:val="96"/>
        </w:numPr>
        <w:tabs>
          <w:tab w:val="left" w:pos="426"/>
          <w:tab w:val="left" w:pos="993"/>
        </w:tabs>
        <w:jc w:val="both"/>
        <w:rPr>
          <w:bCs/>
          <w:i/>
          <w:sz w:val="24"/>
        </w:rPr>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cuprinzând etaje inferioare retrase, se realizează prin interpunerea fâşii</w:t>
      </w:r>
      <w:r>
        <w:rPr>
          <w:bCs/>
          <w:i/>
          <w:sz w:val="24"/>
          <w:lang w:val="en-GB"/>
        </w:rPr>
        <w:t>lor/ benzilor</w:t>
      </w:r>
      <w:r>
        <w:rPr>
          <w:bCs/>
          <w:i/>
          <w:sz w:val="24"/>
        </w:rPr>
        <w:t xml:space="preserve"> orizontale continui de termoizolaţie clasa de reacţie la foc </w:t>
      </w:r>
      <w:r>
        <w:rPr>
          <w:b/>
          <w:bCs/>
          <w:i/>
          <w:sz w:val="24"/>
        </w:rPr>
        <w:t xml:space="preserve">A1 </w:t>
      </w:r>
      <w:r>
        <w:rPr>
          <w:bCs/>
          <w:i/>
          <w:sz w:val="24"/>
        </w:rPr>
        <w:t>sau</w:t>
      </w:r>
      <w:r>
        <w:rPr>
          <w:b/>
          <w:bCs/>
          <w:i/>
          <w:sz w:val="24"/>
        </w:rPr>
        <w:t xml:space="preserve"> A2-s1d0</w:t>
      </w:r>
      <w:r>
        <w:rPr>
          <w:b/>
          <w:i/>
          <w:sz w:val="24"/>
        </w:rPr>
        <w:t xml:space="preserve">, </w:t>
      </w:r>
      <w:r>
        <w:rPr>
          <w:bCs/>
          <w:i/>
          <w:sz w:val="24"/>
        </w:rPr>
        <w:t xml:space="preserve">conform </w:t>
      </w:r>
      <w:r>
        <w:rPr>
          <w:b/>
          <w:bCs/>
          <w:i/>
          <w:iCs/>
          <w:sz w:val="24"/>
          <w:szCs w:val="24"/>
        </w:rPr>
        <w:fldChar w:fldCharType="begin"/>
      </w:r>
      <w:r>
        <w:rPr>
          <w:b/>
          <w:bCs/>
          <w:i/>
          <w:iCs/>
          <w:sz w:val="24"/>
          <w:szCs w:val="24"/>
        </w:rPr>
        <w:instrText xml:space="preserve"> REF _Ref9577 \h </w:instrText>
      </w:r>
      <w:r>
        <w:rPr>
          <w:b/>
          <w:bCs/>
          <w:i/>
          <w:iCs/>
          <w:sz w:val="24"/>
          <w:szCs w:val="24"/>
        </w:rPr>
      </w:r>
      <w:r>
        <w:rPr>
          <w:b/>
          <w:bCs/>
          <w:i/>
          <w:iCs/>
          <w:sz w:val="24"/>
          <w:szCs w:val="24"/>
        </w:rPr>
        <w:fldChar w:fldCharType="separate"/>
      </w:r>
      <w:r>
        <w:t>Figura 119</w:t>
      </w:r>
      <w:r>
        <w:rPr>
          <w:b/>
          <w:bCs/>
          <w:i/>
          <w:iCs/>
          <w:sz w:val="24"/>
          <w:szCs w:val="24"/>
        </w:rPr>
        <w:fldChar w:fldCharType="end"/>
      </w:r>
      <w:r>
        <w:rPr>
          <w:b/>
          <w:i/>
          <w:sz w:val="24"/>
        </w:rPr>
        <w:t>.</w:t>
      </w:r>
    </w:p>
    <w:p w14:paraId="5E01921F" w14:textId="77777777" w:rsidR="001C08A5" w:rsidRDefault="00000000">
      <w:pPr>
        <w:numPr>
          <w:ilvl w:val="255"/>
          <w:numId w:val="0"/>
        </w:numPr>
        <w:tabs>
          <w:tab w:val="left" w:pos="426"/>
          <w:tab w:val="left" w:pos="993"/>
        </w:tabs>
        <w:jc w:val="center"/>
        <w:rPr>
          <w:bCs/>
          <w:i/>
          <w:sz w:val="24"/>
          <w:szCs w:val="24"/>
          <w:lang w:eastAsia="ro-RO"/>
        </w:rPr>
      </w:pPr>
      <w:r>
        <w:rPr>
          <w:bCs/>
          <w:i/>
          <w:noProof/>
          <w:sz w:val="24"/>
          <w:szCs w:val="24"/>
          <w:lang w:eastAsia="ro-RO"/>
        </w:rPr>
        <w:drawing>
          <wp:inline distT="0" distB="0" distL="114300" distR="114300" wp14:anchorId="557E9B61" wp14:editId="751BB871">
            <wp:extent cx="2973705" cy="3175000"/>
            <wp:effectExtent l="0" t="0" r="17145" b="6350"/>
            <wp:docPr id="187" name="Picture 22" descr="blo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22" descr="bloc 17"/>
                    <pic:cNvPicPr>
                      <a:picLocks noChangeAspect="1"/>
                    </pic:cNvPicPr>
                  </pic:nvPicPr>
                  <pic:blipFill>
                    <a:blip r:embed="rId284"/>
                    <a:srcRect l="560" r="197"/>
                    <a:stretch>
                      <a:fillRect/>
                    </a:stretch>
                  </pic:blipFill>
                  <pic:spPr>
                    <a:xfrm>
                      <a:off x="0" y="0"/>
                      <a:ext cx="2973705" cy="3175000"/>
                    </a:xfrm>
                    <a:prstGeom prst="rect">
                      <a:avLst/>
                    </a:prstGeom>
                    <a:noFill/>
                    <a:ln>
                      <a:noFill/>
                    </a:ln>
                  </pic:spPr>
                </pic:pic>
              </a:graphicData>
            </a:graphic>
          </wp:inline>
        </w:drawing>
      </w:r>
    </w:p>
    <w:p w14:paraId="7D4F9696" w14:textId="77777777" w:rsidR="001C08A5" w:rsidRDefault="00000000">
      <w:pPr>
        <w:pStyle w:val="Caption"/>
        <w:widowControl w:val="0"/>
        <w:numPr>
          <w:ilvl w:val="255"/>
          <w:numId w:val="0"/>
        </w:numPr>
        <w:jc w:val="center"/>
        <w:rPr>
          <w:lang w:val="en-GB"/>
        </w:rPr>
      </w:pPr>
      <w:bookmarkStart w:id="6562" w:name="_Ref9577"/>
      <w:bookmarkStart w:id="6563" w:name="_Toc162360343"/>
      <w:r>
        <w:t xml:space="preserve">Figura </w:t>
      </w:r>
      <w:r>
        <w:fldChar w:fldCharType="begin"/>
      </w:r>
      <w:r>
        <w:instrText xml:space="preserve"> SEQ Figura \* ARABIC </w:instrText>
      </w:r>
      <w:r>
        <w:fldChar w:fldCharType="separate"/>
      </w:r>
      <w:r>
        <w:t>119</w:t>
      </w:r>
      <w:r>
        <w:fldChar w:fldCharType="end"/>
      </w:r>
      <w:bookmarkStart w:id="6564" w:name="_Toc24433"/>
      <w:bookmarkStart w:id="6565" w:name="_Toc29107"/>
      <w:bookmarkStart w:id="6566" w:name="_Toc6989"/>
      <w:bookmarkStart w:id="6567" w:name="_Toc16461"/>
      <w:bookmarkStart w:id="6568" w:name="_Toc7595"/>
      <w:bookmarkStart w:id="6569" w:name="_Toc31606"/>
      <w:bookmarkStart w:id="6570" w:name="_Toc20344"/>
      <w:bookmarkStart w:id="6571" w:name="_Toc13950"/>
      <w:bookmarkStart w:id="6572" w:name="_Toc28342"/>
      <w:bookmarkEnd w:id="6562"/>
      <w:r>
        <w:t xml:space="preserve"> - Principi</w:t>
      </w:r>
      <w:r>
        <w:rPr>
          <w:lang w:val="en-GB"/>
        </w:rPr>
        <w:t>i</w:t>
      </w:r>
      <w:r>
        <w:t xml:space="preserve"> de </w:t>
      </w:r>
      <w:r>
        <w:rPr>
          <w:lang w:val="en-GB"/>
        </w:rPr>
        <w:t>realizare</w:t>
      </w:r>
      <w:bookmarkStart w:id="6573" w:name="_Toc1466"/>
      <w:bookmarkStart w:id="6574" w:name="_Toc17274"/>
      <w:bookmarkStart w:id="6575" w:name="_Toc23329"/>
      <w:r>
        <w:t xml:space="preserve"> pe fațade</w:t>
      </w:r>
      <w:r>
        <w:rPr>
          <w:lang w:val="en-GB"/>
        </w:rPr>
        <w:t xml:space="preserve"> cu </w:t>
      </w:r>
      <w:r>
        <w:t>etaje inferioare retra</w:t>
      </w:r>
      <w:r>
        <w:rPr>
          <w:lang w:val="en-GB"/>
        </w:rPr>
        <w:t>se</w:t>
      </w:r>
      <w:bookmarkEnd w:id="6563"/>
      <w:bookmarkEnd w:id="6564"/>
      <w:bookmarkEnd w:id="6565"/>
      <w:bookmarkEnd w:id="6566"/>
      <w:bookmarkEnd w:id="6567"/>
      <w:bookmarkEnd w:id="6568"/>
      <w:bookmarkEnd w:id="6569"/>
      <w:bookmarkEnd w:id="6570"/>
      <w:bookmarkEnd w:id="6571"/>
      <w:bookmarkEnd w:id="6572"/>
      <w:bookmarkEnd w:id="6573"/>
      <w:bookmarkEnd w:id="6574"/>
      <w:bookmarkEnd w:id="6575"/>
    </w:p>
    <w:p w14:paraId="7150E4D6" w14:textId="77777777" w:rsidR="001C08A5" w:rsidRDefault="00000000">
      <w:pPr>
        <w:numPr>
          <w:ilvl w:val="0"/>
          <w:numId w:val="96"/>
        </w:numPr>
        <w:tabs>
          <w:tab w:val="left" w:pos="426"/>
          <w:tab w:val="left" w:pos="993"/>
        </w:tabs>
        <w:jc w:val="both"/>
        <w:rPr>
          <w:bCs/>
          <w:i/>
          <w:sz w:val="24"/>
        </w:rPr>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cuprinzând fațade</w:t>
      </w:r>
      <w:r>
        <w:rPr>
          <w:bCs/>
          <w:i/>
          <w:sz w:val="24"/>
          <w:lang w:val="en-GB"/>
        </w:rPr>
        <w:t xml:space="preserve"> cu logii</w:t>
      </w:r>
      <w:r>
        <w:rPr>
          <w:bCs/>
          <w:i/>
          <w:sz w:val="24"/>
        </w:rPr>
        <w:t xml:space="preserve"> (indiferent de adâncimea acestora), se realizează prin interpunerea fâşii</w:t>
      </w:r>
      <w:r>
        <w:rPr>
          <w:bCs/>
          <w:i/>
          <w:sz w:val="24"/>
          <w:lang w:val="en-GB"/>
        </w:rPr>
        <w:t>lor/ benzilor</w:t>
      </w:r>
      <w:r>
        <w:rPr>
          <w:bCs/>
          <w:i/>
          <w:sz w:val="24"/>
        </w:rPr>
        <w:t xml:space="preserve"> orizontale continui de termoizolaţie clasa de reacţie la foc </w:t>
      </w:r>
      <w:r>
        <w:rPr>
          <w:b/>
          <w:bCs/>
          <w:i/>
          <w:sz w:val="24"/>
        </w:rPr>
        <w:t xml:space="preserve">A1 </w:t>
      </w:r>
      <w:r>
        <w:rPr>
          <w:bCs/>
          <w:i/>
          <w:sz w:val="24"/>
        </w:rPr>
        <w:t>sau</w:t>
      </w:r>
      <w:r>
        <w:rPr>
          <w:b/>
          <w:bCs/>
          <w:i/>
          <w:sz w:val="24"/>
        </w:rPr>
        <w:t xml:space="preserve"> A2-s1d0</w:t>
      </w:r>
      <w:r>
        <w:rPr>
          <w:b/>
          <w:i/>
          <w:sz w:val="24"/>
        </w:rPr>
        <w:t xml:space="preserve">, </w:t>
      </w:r>
      <w:r>
        <w:rPr>
          <w:bCs/>
          <w:i/>
          <w:sz w:val="24"/>
        </w:rPr>
        <w:t xml:space="preserve">conform </w:t>
      </w:r>
      <w:r>
        <w:rPr>
          <w:b/>
          <w:bCs/>
          <w:i/>
          <w:iCs/>
          <w:sz w:val="24"/>
          <w:szCs w:val="24"/>
        </w:rPr>
        <w:fldChar w:fldCharType="begin"/>
      </w:r>
      <w:r>
        <w:rPr>
          <w:b/>
          <w:bCs/>
          <w:i/>
          <w:iCs/>
          <w:sz w:val="24"/>
          <w:szCs w:val="24"/>
        </w:rPr>
        <w:instrText xml:space="preserve"> REF _Ref9675 \h </w:instrText>
      </w:r>
      <w:r>
        <w:rPr>
          <w:b/>
          <w:bCs/>
          <w:i/>
          <w:iCs/>
          <w:sz w:val="24"/>
          <w:szCs w:val="24"/>
        </w:rPr>
      </w:r>
      <w:r>
        <w:rPr>
          <w:b/>
          <w:bCs/>
          <w:i/>
          <w:iCs/>
          <w:sz w:val="24"/>
          <w:szCs w:val="24"/>
        </w:rPr>
        <w:fldChar w:fldCharType="separate"/>
      </w:r>
      <w:r>
        <w:t>Figura 120</w:t>
      </w:r>
      <w:r>
        <w:rPr>
          <w:b/>
          <w:bCs/>
          <w:i/>
          <w:iCs/>
          <w:sz w:val="24"/>
          <w:szCs w:val="24"/>
        </w:rPr>
        <w:fldChar w:fldCharType="end"/>
      </w:r>
      <w:r>
        <w:rPr>
          <w:b/>
          <w:i/>
          <w:sz w:val="24"/>
        </w:rPr>
        <w:t>.</w:t>
      </w:r>
    </w:p>
    <w:p w14:paraId="4767D8C2" w14:textId="77777777" w:rsidR="001C08A5" w:rsidRDefault="00000000">
      <w:pPr>
        <w:widowControl w:val="0"/>
        <w:numPr>
          <w:ilvl w:val="255"/>
          <w:numId w:val="0"/>
        </w:numPr>
        <w:suppressLineNumbers/>
        <w:spacing w:before="120" w:after="120"/>
        <w:jc w:val="center"/>
        <w:rPr>
          <w:rFonts w:cs="Mangal"/>
          <w:b/>
          <w:i/>
          <w:iCs/>
          <w:sz w:val="24"/>
          <w:szCs w:val="24"/>
          <w:lang w:eastAsia="ro-RO"/>
        </w:rPr>
      </w:pPr>
      <w:r>
        <w:rPr>
          <w:rFonts w:cs="Mangal"/>
          <w:b/>
          <w:i/>
          <w:iCs/>
          <w:noProof/>
          <w:sz w:val="24"/>
          <w:szCs w:val="24"/>
          <w:lang w:eastAsia="ro-RO"/>
        </w:rPr>
        <w:lastRenderedPageBreak/>
        <w:drawing>
          <wp:inline distT="0" distB="0" distL="114300" distR="114300" wp14:anchorId="437FCFF2" wp14:editId="19594B5C">
            <wp:extent cx="1410335" cy="2860040"/>
            <wp:effectExtent l="0" t="0" r="18415" b="16510"/>
            <wp:docPr id="188" name="Picture 23" descr="blo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23" descr="bloc 11"/>
                    <pic:cNvPicPr>
                      <a:picLocks noChangeAspect="1"/>
                    </pic:cNvPicPr>
                  </pic:nvPicPr>
                  <pic:blipFill>
                    <a:blip r:embed="rId285"/>
                    <a:srcRect r="49887"/>
                    <a:stretch>
                      <a:fillRect/>
                    </a:stretch>
                  </pic:blipFill>
                  <pic:spPr>
                    <a:xfrm>
                      <a:off x="0" y="0"/>
                      <a:ext cx="1410335" cy="2860040"/>
                    </a:xfrm>
                    <a:prstGeom prst="rect">
                      <a:avLst/>
                    </a:prstGeom>
                    <a:noFill/>
                    <a:ln>
                      <a:noFill/>
                    </a:ln>
                  </pic:spPr>
                </pic:pic>
              </a:graphicData>
            </a:graphic>
          </wp:inline>
        </w:drawing>
      </w:r>
      <w:r>
        <w:rPr>
          <w:rFonts w:cs="Mangal"/>
          <w:b/>
          <w:i/>
          <w:iCs/>
          <w:noProof/>
          <w:sz w:val="24"/>
          <w:szCs w:val="24"/>
          <w:lang w:eastAsia="ro-RO"/>
        </w:rPr>
        <w:drawing>
          <wp:inline distT="0" distB="0" distL="114300" distR="114300" wp14:anchorId="11ACD71A" wp14:editId="2EC4A948">
            <wp:extent cx="1414780" cy="2894965"/>
            <wp:effectExtent l="0" t="0" r="13970" b="635"/>
            <wp:docPr id="189" name="Picture 24" descr="blo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24" descr="bloc 10"/>
                    <pic:cNvPicPr>
                      <a:picLocks noChangeAspect="1"/>
                    </pic:cNvPicPr>
                  </pic:nvPicPr>
                  <pic:blipFill>
                    <a:blip r:embed="rId286"/>
                    <a:srcRect r="50000"/>
                    <a:stretch>
                      <a:fillRect/>
                    </a:stretch>
                  </pic:blipFill>
                  <pic:spPr>
                    <a:xfrm>
                      <a:off x="0" y="0"/>
                      <a:ext cx="1414780" cy="2894965"/>
                    </a:xfrm>
                    <a:prstGeom prst="rect">
                      <a:avLst/>
                    </a:prstGeom>
                    <a:noFill/>
                    <a:ln>
                      <a:noFill/>
                    </a:ln>
                  </pic:spPr>
                </pic:pic>
              </a:graphicData>
            </a:graphic>
          </wp:inline>
        </w:drawing>
      </w:r>
    </w:p>
    <w:p w14:paraId="75F35D6B" w14:textId="77777777" w:rsidR="001C08A5" w:rsidRDefault="00000000">
      <w:pPr>
        <w:pStyle w:val="Caption"/>
        <w:widowControl w:val="0"/>
        <w:numPr>
          <w:ilvl w:val="255"/>
          <w:numId w:val="0"/>
        </w:numPr>
        <w:jc w:val="center"/>
        <w:rPr>
          <w:lang w:val="en-GB"/>
        </w:rPr>
      </w:pPr>
      <w:bookmarkStart w:id="6576" w:name="_Ref9675"/>
      <w:bookmarkStart w:id="6577" w:name="_Toc162360344"/>
      <w:bookmarkStart w:id="6578" w:name="_Toc7052"/>
      <w:bookmarkStart w:id="6579" w:name="_Toc17238"/>
      <w:bookmarkStart w:id="6580" w:name="_Toc21915"/>
      <w:bookmarkStart w:id="6581" w:name="_Toc13323"/>
      <w:r>
        <w:t xml:space="preserve">Figura </w:t>
      </w:r>
      <w:r>
        <w:fldChar w:fldCharType="begin"/>
      </w:r>
      <w:r>
        <w:instrText xml:space="preserve"> SEQ Figura \* ARABIC </w:instrText>
      </w:r>
      <w:r>
        <w:fldChar w:fldCharType="separate"/>
      </w:r>
      <w:r>
        <w:t>120</w:t>
      </w:r>
      <w:r>
        <w:fldChar w:fldCharType="end"/>
      </w:r>
      <w:bookmarkStart w:id="6582" w:name="_Toc22075"/>
      <w:bookmarkStart w:id="6583" w:name="_Toc14728"/>
      <w:bookmarkStart w:id="6584" w:name="_Toc28221"/>
      <w:bookmarkStart w:id="6585" w:name="_Toc1869"/>
      <w:bookmarkStart w:id="6586" w:name="_Toc7522"/>
      <w:bookmarkStart w:id="6587" w:name="_Toc14100"/>
      <w:bookmarkStart w:id="6588" w:name="_Toc19012"/>
      <w:bookmarkStart w:id="6589" w:name="_Toc10968"/>
      <w:bookmarkStart w:id="6590" w:name="_Toc18098"/>
      <w:bookmarkEnd w:id="6576"/>
      <w:r>
        <w:t xml:space="preserve"> - Principi</w:t>
      </w:r>
      <w:r>
        <w:rPr>
          <w:lang w:val="en-GB"/>
        </w:rPr>
        <w:t>i</w:t>
      </w:r>
      <w:r>
        <w:t xml:space="preserve"> de </w:t>
      </w:r>
      <w:r>
        <w:rPr>
          <w:lang w:val="en-GB"/>
        </w:rPr>
        <w:t>realizare</w:t>
      </w:r>
      <w:r>
        <w:t xml:space="preserve"> pe fațade</w:t>
      </w:r>
      <w:r>
        <w:rPr>
          <w:lang w:val="en-GB"/>
        </w:rPr>
        <w:t xml:space="preserve"> cu logii</w:t>
      </w:r>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p>
    <w:p w14:paraId="1453D500" w14:textId="77777777" w:rsidR="001C08A5" w:rsidRDefault="00000000">
      <w:pPr>
        <w:numPr>
          <w:ilvl w:val="0"/>
          <w:numId w:val="96"/>
        </w:numPr>
        <w:tabs>
          <w:tab w:val="left" w:pos="426"/>
          <w:tab w:val="left" w:pos="993"/>
        </w:tabs>
        <w:jc w:val="both"/>
        <w:rPr>
          <w:bCs/>
          <w:i/>
          <w:sz w:val="24"/>
        </w:rPr>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cuprinzând fațade</w:t>
      </w:r>
      <w:r>
        <w:rPr>
          <w:bCs/>
          <w:i/>
          <w:sz w:val="24"/>
          <w:lang w:val="en-GB"/>
        </w:rPr>
        <w:t xml:space="preserve"> cu </w:t>
      </w:r>
      <w:r>
        <w:rPr>
          <w:bCs/>
          <w:i/>
          <w:sz w:val="24"/>
        </w:rPr>
        <w:t>deschideri</w:t>
      </w:r>
      <w:r>
        <w:rPr>
          <w:bCs/>
          <w:i/>
          <w:sz w:val="24"/>
          <w:lang w:val="en-GB"/>
        </w:rPr>
        <w:t xml:space="preserve"> diferite</w:t>
      </w:r>
      <w:r>
        <w:rPr>
          <w:bCs/>
          <w:i/>
          <w:sz w:val="24"/>
        </w:rPr>
        <w:t xml:space="preserve"> (fațade</w:t>
      </w:r>
      <w:r>
        <w:rPr>
          <w:bCs/>
          <w:i/>
          <w:sz w:val="24"/>
          <w:lang w:val="en-GB"/>
        </w:rPr>
        <w:t xml:space="preserve"> cu </w:t>
      </w:r>
      <w:r>
        <w:rPr>
          <w:bCs/>
          <w:i/>
          <w:sz w:val="24"/>
        </w:rPr>
        <w:t xml:space="preserve">deschideri cu înălțime mai mică </w:t>
      </w:r>
      <w:r>
        <w:rPr>
          <w:bCs/>
          <w:i/>
          <w:sz w:val="24"/>
          <w:lang w:val="en-GB"/>
        </w:rPr>
        <w:t xml:space="preserve">sau mai mare </w:t>
      </w:r>
      <w:r>
        <w:rPr>
          <w:bCs/>
          <w:i/>
          <w:sz w:val="24"/>
        </w:rPr>
        <w:t xml:space="preserve">decât celelalte cu L </w:t>
      </w:r>
      <w:r>
        <w:rPr>
          <w:rFonts w:ascii="Arial" w:hAnsi="Arial" w:cs="Arial"/>
          <w:bCs/>
          <w:i/>
          <w:sz w:val="24"/>
        </w:rPr>
        <w:t>&gt;</w:t>
      </w:r>
      <w:r>
        <w:rPr>
          <w:bCs/>
          <w:i/>
          <w:sz w:val="24"/>
          <w:szCs w:val="24"/>
        </w:rPr>
        <w:t xml:space="preserve"> 500 mm și 200 mm &lt;h &lt;500 mm</w:t>
      </w:r>
      <w:r>
        <w:rPr>
          <w:bCs/>
          <w:i/>
          <w:sz w:val="24"/>
        </w:rPr>
        <w:t>), se realizează prin interpunerea fâşii</w:t>
      </w:r>
      <w:r>
        <w:rPr>
          <w:bCs/>
          <w:i/>
          <w:sz w:val="24"/>
          <w:lang w:val="en-GB"/>
        </w:rPr>
        <w:t>lor/ benzilor</w:t>
      </w:r>
      <w:r>
        <w:rPr>
          <w:bCs/>
          <w:i/>
          <w:sz w:val="24"/>
        </w:rPr>
        <w:t xml:space="preserve"> orizontale continui de termoizolaţie clasa de reacţie la foc </w:t>
      </w:r>
      <w:r>
        <w:rPr>
          <w:b/>
          <w:bCs/>
          <w:i/>
          <w:sz w:val="24"/>
        </w:rPr>
        <w:t xml:space="preserve">A1 </w:t>
      </w:r>
      <w:r>
        <w:rPr>
          <w:bCs/>
          <w:i/>
          <w:sz w:val="24"/>
        </w:rPr>
        <w:t>sau</w:t>
      </w:r>
      <w:r>
        <w:rPr>
          <w:b/>
          <w:bCs/>
          <w:i/>
          <w:sz w:val="24"/>
        </w:rPr>
        <w:t xml:space="preserve"> A2-s1d0</w:t>
      </w:r>
      <w:r>
        <w:rPr>
          <w:b/>
          <w:i/>
          <w:sz w:val="24"/>
        </w:rPr>
        <w:t xml:space="preserve">, </w:t>
      </w:r>
      <w:r>
        <w:rPr>
          <w:bCs/>
          <w:i/>
          <w:sz w:val="24"/>
        </w:rPr>
        <w:t xml:space="preserve">conform </w:t>
      </w:r>
      <w:r>
        <w:rPr>
          <w:b/>
          <w:bCs/>
          <w:i/>
          <w:iCs/>
          <w:sz w:val="24"/>
          <w:szCs w:val="24"/>
        </w:rPr>
        <w:fldChar w:fldCharType="begin"/>
      </w:r>
      <w:r>
        <w:rPr>
          <w:b/>
          <w:bCs/>
          <w:i/>
          <w:iCs/>
          <w:sz w:val="24"/>
          <w:szCs w:val="24"/>
        </w:rPr>
        <w:instrText xml:space="preserve"> REF _Ref9756 \h </w:instrText>
      </w:r>
      <w:r>
        <w:rPr>
          <w:b/>
          <w:bCs/>
          <w:i/>
          <w:iCs/>
          <w:sz w:val="24"/>
          <w:szCs w:val="24"/>
        </w:rPr>
      </w:r>
      <w:r>
        <w:rPr>
          <w:b/>
          <w:bCs/>
          <w:i/>
          <w:iCs/>
          <w:sz w:val="24"/>
          <w:szCs w:val="24"/>
        </w:rPr>
        <w:fldChar w:fldCharType="separate"/>
      </w:r>
      <w:r>
        <w:t>Figura 121</w:t>
      </w:r>
      <w:r>
        <w:rPr>
          <w:b/>
          <w:bCs/>
          <w:i/>
          <w:iCs/>
          <w:sz w:val="24"/>
          <w:szCs w:val="24"/>
        </w:rPr>
        <w:fldChar w:fldCharType="end"/>
      </w:r>
      <w:r>
        <w:rPr>
          <w:b/>
          <w:i/>
          <w:sz w:val="24"/>
        </w:rPr>
        <w:t>.</w:t>
      </w:r>
    </w:p>
    <w:p w14:paraId="6F1F0FAE" w14:textId="77777777" w:rsidR="001C08A5" w:rsidRDefault="00000000">
      <w:pPr>
        <w:widowControl w:val="0"/>
        <w:numPr>
          <w:ilvl w:val="255"/>
          <w:numId w:val="0"/>
        </w:numPr>
        <w:suppressLineNumbers/>
        <w:spacing w:before="120" w:after="120"/>
        <w:jc w:val="center"/>
        <w:rPr>
          <w:rFonts w:cs="Mangal"/>
          <w:b/>
          <w:i/>
          <w:iCs/>
          <w:sz w:val="24"/>
          <w:szCs w:val="24"/>
          <w:lang w:eastAsia="ro-RO"/>
        </w:rPr>
      </w:pPr>
      <w:r>
        <w:rPr>
          <w:rFonts w:cs="Mangal"/>
          <w:b/>
          <w:i/>
          <w:iCs/>
          <w:noProof/>
          <w:sz w:val="24"/>
          <w:szCs w:val="24"/>
          <w:lang w:eastAsia="ro-RO"/>
        </w:rPr>
        <w:drawing>
          <wp:inline distT="0" distB="0" distL="114300" distR="114300" wp14:anchorId="499F08C5" wp14:editId="752050B2">
            <wp:extent cx="1410335" cy="2887980"/>
            <wp:effectExtent l="0" t="0" r="18415" b="7620"/>
            <wp:docPr id="190" name="Picture 25" descr="blo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25" descr="bloc 11"/>
                    <pic:cNvPicPr>
                      <a:picLocks noChangeAspect="1"/>
                    </pic:cNvPicPr>
                  </pic:nvPicPr>
                  <pic:blipFill>
                    <a:blip r:embed="rId285"/>
                    <a:srcRect l="28847" r="21500"/>
                    <a:stretch>
                      <a:fillRect/>
                    </a:stretch>
                  </pic:blipFill>
                  <pic:spPr>
                    <a:xfrm>
                      <a:off x="0" y="0"/>
                      <a:ext cx="1410335" cy="2887980"/>
                    </a:xfrm>
                    <a:prstGeom prst="rect">
                      <a:avLst/>
                    </a:prstGeom>
                    <a:noFill/>
                    <a:ln>
                      <a:noFill/>
                    </a:ln>
                  </pic:spPr>
                </pic:pic>
              </a:graphicData>
            </a:graphic>
          </wp:inline>
        </w:drawing>
      </w:r>
      <w:r>
        <w:rPr>
          <w:rFonts w:cs="Mangal"/>
          <w:b/>
          <w:i/>
          <w:iCs/>
          <w:sz w:val="24"/>
          <w:szCs w:val="24"/>
          <w:lang w:val="en-GB"/>
        </w:rPr>
        <w:t xml:space="preserve"> </w:t>
      </w:r>
      <w:r>
        <w:rPr>
          <w:rFonts w:cs="Mangal"/>
          <w:b/>
          <w:i/>
          <w:iCs/>
          <w:noProof/>
          <w:sz w:val="24"/>
          <w:szCs w:val="24"/>
          <w:lang w:eastAsia="ro-RO"/>
        </w:rPr>
        <w:drawing>
          <wp:inline distT="0" distB="0" distL="114300" distR="114300" wp14:anchorId="73C4A26A" wp14:editId="5997B01F">
            <wp:extent cx="1402715" cy="2899410"/>
            <wp:effectExtent l="0" t="0" r="6985" b="15240"/>
            <wp:docPr id="191" name="Picture 26" descr="blo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26" descr="bloc 9"/>
                    <pic:cNvPicPr>
                      <a:picLocks noChangeAspect="1"/>
                    </pic:cNvPicPr>
                  </pic:nvPicPr>
                  <pic:blipFill>
                    <a:blip r:embed="rId287"/>
                    <a:srcRect l="29861" r="20609"/>
                    <a:stretch>
                      <a:fillRect/>
                    </a:stretch>
                  </pic:blipFill>
                  <pic:spPr>
                    <a:xfrm>
                      <a:off x="0" y="0"/>
                      <a:ext cx="1402715" cy="2899410"/>
                    </a:xfrm>
                    <a:prstGeom prst="rect">
                      <a:avLst/>
                    </a:prstGeom>
                    <a:noFill/>
                    <a:ln>
                      <a:noFill/>
                    </a:ln>
                  </pic:spPr>
                </pic:pic>
              </a:graphicData>
            </a:graphic>
          </wp:inline>
        </w:drawing>
      </w:r>
      <w:r>
        <w:rPr>
          <w:rFonts w:cs="Mangal"/>
          <w:b/>
          <w:i/>
          <w:iCs/>
          <w:sz w:val="24"/>
          <w:szCs w:val="24"/>
          <w:lang w:val="en-GB"/>
        </w:rPr>
        <w:t xml:space="preserve"> </w:t>
      </w:r>
    </w:p>
    <w:p w14:paraId="15A96646" w14:textId="77777777" w:rsidR="001C08A5" w:rsidRDefault="00000000">
      <w:pPr>
        <w:widowControl w:val="0"/>
        <w:numPr>
          <w:ilvl w:val="255"/>
          <w:numId w:val="0"/>
        </w:numPr>
        <w:suppressLineNumbers/>
        <w:spacing w:before="120" w:after="120"/>
        <w:jc w:val="center"/>
        <w:rPr>
          <w:rFonts w:cs="Mangal"/>
          <w:b/>
          <w:i/>
          <w:iCs/>
          <w:sz w:val="24"/>
          <w:szCs w:val="24"/>
          <w:lang w:val="en-US" w:eastAsia="ro-RO"/>
        </w:rPr>
      </w:pPr>
      <w:r>
        <w:rPr>
          <w:rFonts w:cs="Mangal"/>
          <w:b/>
          <w:i/>
          <w:iCs/>
          <w:sz w:val="24"/>
          <w:szCs w:val="24"/>
          <w:lang w:val="en-US" w:eastAsia="ro-RO"/>
        </w:rPr>
        <w:t>Axonometrie</w:t>
      </w:r>
    </w:p>
    <w:p w14:paraId="1EC539D0" w14:textId="77777777" w:rsidR="001C08A5" w:rsidRDefault="00000000">
      <w:pPr>
        <w:widowControl w:val="0"/>
        <w:jc w:val="center"/>
        <w:rPr>
          <w:i/>
          <w:sz w:val="24"/>
          <w:szCs w:val="24"/>
          <w:lang w:val="en-GB"/>
        </w:rPr>
      </w:pPr>
      <w:r>
        <w:rPr>
          <w:i/>
          <w:noProof/>
          <w:sz w:val="24"/>
          <w:szCs w:val="24"/>
          <w:lang w:eastAsia="ro-RO"/>
        </w:rPr>
        <w:drawing>
          <wp:inline distT="0" distB="0" distL="114300" distR="114300" wp14:anchorId="2B4C7998" wp14:editId="2FE17803">
            <wp:extent cx="2566670" cy="1074420"/>
            <wp:effectExtent l="0" t="0" r="5080" b="11430"/>
            <wp:docPr id="192" name="Picture 27" descr="6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27" descr="6 nou"/>
                    <pic:cNvPicPr>
                      <a:picLocks noChangeAspect="1"/>
                    </pic:cNvPicPr>
                  </pic:nvPicPr>
                  <pic:blipFill>
                    <a:blip r:embed="rId288"/>
                    <a:stretch>
                      <a:fillRect/>
                    </a:stretch>
                  </pic:blipFill>
                  <pic:spPr>
                    <a:xfrm>
                      <a:off x="0" y="0"/>
                      <a:ext cx="2566670" cy="1074420"/>
                    </a:xfrm>
                    <a:prstGeom prst="rect">
                      <a:avLst/>
                    </a:prstGeom>
                    <a:noFill/>
                    <a:ln>
                      <a:noFill/>
                    </a:ln>
                  </pic:spPr>
                </pic:pic>
              </a:graphicData>
            </a:graphic>
          </wp:inline>
        </w:drawing>
      </w:r>
      <w:r>
        <w:rPr>
          <w:i/>
          <w:noProof/>
          <w:sz w:val="24"/>
          <w:szCs w:val="24"/>
          <w:lang w:eastAsia="ro-RO"/>
        </w:rPr>
        <w:drawing>
          <wp:inline distT="0" distB="0" distL="114300" distR="114300" wp14:anchorId="77C5E2FA" wp14:editId="7DA1937E">
            <wp:extent cx="3140710" cy="1071880"/>
            <wp:effectExtent l="0" t="0" r="2540" b="13970"/>
            <wp:docPr id="193" name="Picture 28" descr="8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28" descr="8 nou"/>
                    <pic:cNvPicPr>
                      <a:picLocks noChangeAspect="1"/>
                    </pic:cNvPicPr>
                  </pic:nvPicPr>
                  <pic:blipFill>
                    <a:blip r:embed="rId289"/>
                    <a:stretch>
                      <a:fillRect/>
                    </a:stretch>
                  </pic:blipFill>
                  <pic:spPr>
                    <a:xfrm>
                      <a:off x="0" y="0"/>
                      <a:ext cx="3140710" cy="1071880"/>
                    </a:xfrm>
                    <a:prstGeom prst="rect">
                      <a:avLst/>
                    </a:prstGeom>
                    <a:noFill/>
                    <a:ln>
                      <a:noFill/>
                    </a:ln>
                  </pic:spPr>
                </pic:pic>
              </a:graphicData>
            </a:graphic>
          </wp:inline>
        </w:drawing>
      </w:r>
    </w:p>
    <w:p w14:paraId="0F47A4C0" w14:textId="77777777" w:rsidR="001C08A5" w:rsidRDefault="00000000">
      <w:pPr>
        <w:widowControl w:val="0"/>
        <w:numPr>
          <w:ilvl w:val="255"/>
          <w:numId w:val="0"/>
        </w:numPr>
        <w:suppressLineNumbers/>
        <w:spacing w:before="120" w:after="120"/>
        <w:jc w:val="center"/>
        <w:rPr>
          <w:rFonts w:cs="Mangal"/>
          <w:b/>
          <w:i/>
          <w:iCs/>
          <w:sz w:val="24"/>
          <w:szCs w:val="24"/>
          <w:lang w:val="en-GB"/>
        </w:rPr>
      </w:pPr>
      <w:bookmarkStart w:id="6591" w:name="_Toc21127"/>
      <w:bookmarkStart w:id="6592" w:name="_Toc7616"/>
      <w:bookmarkStart w:id="6593" w:name="_Toc5663"/>
      <w:bookmarkStart w:id="6594" w:name="_Toc9189"/>
      <w:r>
        <w:rPr>
          <w:rFonts w:cs="Mangal"/>
          <w:b/>
          <w:i/>
          <w:iCs/>
          <w:sz w:val="24"/>
          <w:szCs w:val="24"/>
          <w:lang w:val="en-GB"/>
        </w:rPr>
        <w:t>Detalii p</w:t>
      </w:r>
      <w:r>
        <w:rPr>
          <w:rFonts w:cs="Mangal"/>
          <w:b/>
          <w:i/>
          <w:iCs/>
          <w:sz w:val="24"/>
          <w:szCs w:val="24"/>
        </w:rPr>
        <w:t>rincipi</w:t>
      </w:r>
      <w:r>
        <w:rPr>
          <w:rFonts w:cs="Mangal"/>
          <w:b/>
          <w:i/>
          <w:iCs/>
          <w:sz w:val="24"/>
          <w:szCs w:val="24"/>
          <w:lang w:val="en-GB"/>
        </w:rPr>
        <w:t>i</w:t>
      </w:r>
      <w:r>
        <w:rPr>
          <w:rFonts w:cs="Mangal"/>
          <w:b/>
          <w:i/>
          <w:iCs/>
          <w:sz w:val="24"/>
          <w:szCs w:val="24"/>
        </w:rPr>
        <w:t xml:space="preserve"> de </w:t>
      </w:r>
      <w:r>
        <w:rPr>
          <w:rFonts w:cs="Mangal"/>
          <w:b/>
          <w:i/>
          <w:iCs/>
          <w:sz w:val="24"/>
          <w:szCs w:val="24"/>
          <w:lang w:val="en-GB"/>
        </w:rPr>
        <w:t>realizare</w:t>
      </w:r>
      <w:r>
        <w:rPr>
          <w:rFonts w:cs="Mangal"/>
          <w:b/>
          <w:i/>
          <w:iCs/>
          <w:sz w:val="24"/>
          <w:szCs w:val="24"/>
        </w:rPr>
        <w:t xml:space="preserve"> </w:t>
      </w:r>
      <w:r>
        <w:rPr>
          <w:rFonts w:cs="Mangal"/>
          <w:b/>
          <w:i/>
          <w:iCs/>
          <w:sz w:val="24"/>
          <w:szCs w:val="24"/>
          <w:lang w:val="en-GB"/>
        </w:rPr>
        <w:t xml:space="preserve">pe </w:t>
      </w:r>
      <w:r>
        <w:rPr>
          <w:rFonts w:cs="Mangal"/>
          <w:b/>
          <w:i/>
          <w:iCs/>
          <w:sz w:val="24"/>
          <w:szCs w:val="24"/>
        </w:rPr>
        <w:t>fațade</w:t>
      </w:r>
      <w:r>
        <w:rPr>
          <w:rFonts w:cs="Mangal"/>
          <w:b/>
          <w:i/>
          <w:iCs/>
          <w:sz w:val="24"/>
          <w:szCs w:val="24"/>
          <w:lang w:val="en-GB"/>
        </w:rPr>
        <w:t xml:space="preserve"> cu </w:t>
      </w:r>
      <w:r>
        <w:rPr>
          <w:rFonts w:cs="Mangal"/>
          <w:b/>
          <w:i/>
          <w:iCs/>
          <w:sz w:val="24"/>
          <w:szCs w:val="24"/>
        </w:rPr>
        <w:t>deschideri</w:t>
      </w:r>
      <w:r>
        <w:rPr>
          <w:rFonts w:cs="Mangal"/>
          <w:b/>
          <w:i/>
          <w:iCs/>
          <w:sz w:val="24"/>
          <w:szCs w:val="24"/>
          <w:lang w:val="en-GB"/>
        </w:rPr>
        <w:t xml:space="preserve"> diferite</w:t>
      </w:r>
      <w:bookmarkEnd w:id="6591"/>
      <w:bookmarkEnd w:id="6592"/>
      <w:bookmarkEnd w:id="6593"/>
      <w:bookmarkEnd w:id="6594"/>
    </w:p>
    <w:p w14:paraId="4A881877" w14:textId="77777777" w:rsidR="001C08A5" w:rsidRDefault="00000000">
      <w:pPr>
        <w:pStyle w:val="Caption"/>
        <w:widowControl w:val="0"/>
        <w:numPr>
          <w:ilvl w:val="255"/>
          <w:numId w:val="0"/>
        </w:numPr>
        <w:jc w:val="center"/>
        <w:rPr>
          <w:lang w:val="en-GB"/>
        </w:rPr>
      </w:pPr>
      <w:bookmarkStart w:id="6595" w:name="_Ref9756"/>
      <w:bookmarkStart w:id="6596" w:name="_Toc29438"/>
      <w:bookmarkStart w:id="6597" w:name="_Toc5197"/>
      <w:bookmarkStart w:id="6598" w:name="_Toc162360345"/>
      <w:bookmarkStart w:id="6599" w:name="_Toc25679"/>
      <w:r>
        <w:t xml:space="preserve">Figura </w:t>
      </w:r>
      <w:r>
        <w:fldChar w:fldCharType="begin"/>
      </w:r>
      <w:r>
        <w:instrText xml:space="preserve"> SEQ Figura \* ARABIC </w:instrText>
      </w:r>
      <w:r>
        <w:fldChar w:fldCharType="separate"/>
      </w:r>
      <w:r>
        <w:t>121</w:t>
      </w:r>
      <w:r>
        <w:fldChar w:fldCharType="end"/>
      </w:r>
      <w:bookmarkStart w:id="6600" w:name="_Toc31428"/>
      <w:bookmarkStart w:id="6601" w:name="_Toc30223"/>
      <w:bookmarkStart w:id="6602" w:name="_Toc21979"/>
      <w:bookmarkStart w:id="6603" w:name="_Toc2433"/>
      <w:bookmarkStart w:id="6604" w:name="_Toc22866"/>
      <w:bookmarkStart w:id="6605" w:name="_Toc5997"/>
      <w:bookmarkStart w:id="6606" w:name="_Toc30817"/>
      <w:bookmarkStart w:id="6607" w:name="_Toc18942"/>
      <w:bookmarkStart w:id="6608" w:name="_Toc14221"/>
      <w:bookmarkEnd w:id="6595"/>
      <w:r>
        <w:t xml:space="preserve"> - Principi</w:t>
      </w:r>
      <w:r>
        <w:rPr>
          <w:lang w:val="en-GB"/>
        </w:rPr>
        <w:t>i</w:t>
      </w:r>
      <w:r>
        <w:t xml:space="preserve"> de </w:t>
      </w:r>
      <w:r>
        <w:rPr>
          <w:lang w:val="en-GB"/>
        </w:rPr>
        <w:t>realizare</w:t>
      </w:r>
      <w:r>
        <w:t xml:space="preserve"> </w:t>
      </w:r>
      <w:r>
        <w:rPr>
          <w:lang w:val="en-GB"/>
        </w:rPr>
        <w:t xml:space="preserve">pe </w:t>
      </w:r>
      <w:r>
        <w:t>fațade</w:t>
      </w:r>
      <w:r>
        <w:rPr>
          <w:lang w:val="en-GB"/>
        </w:rPr>
        <w:t xml:space="preserve"> cu </w:t>
      </w:r>
      <w:r>
        <w:t>deschideri</w:t>
      </w:r>
      <w:r>
        <w:rPr>
          <w:lang w:val="en-GB"/>
        </w:rPr>
        <w:t xml:space="preserve"> diferite</w:t>
      </w:r>
      <w:bookmarkEnd w:id="6596"/>
      <w:bookmarkEnd w:id="6597"/>
      <w:bookmarkEnd w:id="6598"/>
      <w:bookmarkEnd w:id="6599"/>
      <w:bookmarkEnd w:id="6600"/>
      <w:bookmarkEnd w:id="6601"/>
      <w:bookmarkEnd w:id="6602"/>
      <w:bookmarkEnd w:id="6603"/>
      <w:bookmarkEnd w:id="6604"/>
      <w:bookmarkEnd w:id="6605"/>
      <w:bookmarkEnd w:id="6606"/>
      <w:bookmarkEnd w:id="6607"/>
      <w:bookmarkEnd w:id="6608"/>
    </w:p>
    <w:p w14:paraId="621F6857" w14:textId="77777777" w:rsidR="001C08A5" w:rsidRDefault="00000000">
      <w:pPr>
        <w:numPr>
          <w:ilvl w:val="0"/>
          <w:numId w:val="96"/>
        </w:numPr>
        <w:tabs>
          <w:tab w:val="left" w:pos="426"/>
          <w:tab w:val="left" w:pos="993"/>
        </w:tabs>
        <w:jc w:val="both"/>
        <w:rPr>
          <w:bCs/>
          <w:i/>
          <w:sz w:val="24"/>
        </w:rPr>
      </w:pPr>
      <w:r>
        <w:rPr>
          <w:bCs/>
          <w:i/>
          <w:sz w:val="24"/>
        </w:rPr>
        <w:lastRenderedPageBreak/>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pe fațade</w:t>
      </w:r>
      <w:r>
        <w:rPr>
          <w:bCs/>
          <w:i/>
          <w:sz w:val="24"/>
          <w:lang w:val="en-GB"/>
        </w:rPr>
        <w:t xml:space="preserve"> decroşate cu</w:t>
      </w:r>
      <w:r>
        <w:rPr>
          <w:bCs/>
          <w:i/>
          <w:sz w:val="24"/>
        </w:rPr>
        <w:t xml:space="preserve"> înălțim</w:t>
      </w:r>
      <w:r>
        <w:rPr>
          <w:bCs/>
          <w:i/>
          <w:sz w:val="24"/>
          <w:lang w:val="en-GB"/>
        </w:rPr>
        <w:t>i diferite</w:t>
      </w:r>
      <w:r>
        <w:rPr>
          <w:bCs/>
          <w:i/>
          <w:sz w:val="24"/>
        </w:rPr>
        <w:t>, se realizează prin interpunerea fâşii</w:t>
      </w:r>
      <w:r>
        <w:rPr>
          <w:bCs/>
          <w:i/>
          <w:sz w:val="24"/>
          <w:lang w:val="en-GB"/>
        </w:rPr>
        <w:t>lor/ benzilor</w:t>
      </w:r>
      <w:r>
        <w:rPr>
          <w:bCs/>
          <w:i/>
          <w:sz w:val="24"/>
        </w:rPr>
        <w:t xml:space="preserve"> orizontale continui de termoizolaţie clasa de reacţie la foc </w:t>
      </w:r>
      <w:r>
        <w:rPr>
          <w:b/>
          <w:bCs/>
          <w:i/>
          <w:sz w:val="24"/>
        </w:rPr>
        <w:t xml:space="preserve">A1 </w:t>
      </w:r>
      <w:r>
        <w:rPr>
          <w:bCs/>
          <w:i/>
          <w:sz w:val="24"/>
        </w:rPr>
        <w:t>sau</w:t>
      </w:r>
      <w:r>
        <w:rPr>
          <w:b/>
          <w:bCs/>
          <w:i/>
          <w:sz w:val="24"/>
        </w:rPr>
        <w:t xml:space="preserve"> A2-s1d0</w:t>
      </w:r>
      <w:r>
        <w:rPr>
          <w:b/>
          <w:i/>
          <w:sz w:val="24"/>
        </w:rPr>
        <w:t xml:space="preserve">, </w:t>
      </w:r>
      <w:r>
        <w:rPr>
          <w:bCs/>
          <w:i/>
          <w:sz w:val="24"/>
        </w:rPr>
        <w:t xml:space="preserve">conform </w:t>
      </w:r>
      <w:r>
        <w:rPr>
          <w:b/>
          <w:bCs/>
          <w:i/>
          <w:iCs/>
          <w:sz w:val="24"/>
          <w:szCs w:val="24"/>
        </w:rPr>
        <w:fldChar w:fldCharType="begin"/>
      </w:r>
      <w:r>
        <w:rPr>
          <w:b/>
          <w:bCs/>
          <w:i/>
          <w:iCs/>
          <w:sz w:val="24"/>
          <w:szCs w:val="24"/>
        </w:rPr>
        <w:instrText xml:space="preserve"> REF _Ref9841 \h </w:instrText>
      </w:r>
      <w:r>
        <w:rPr>
          <w:b/>
          <w:bCs/>
          <w:i/>
          <w:iCs/>
          <w:sz w:val="24"/>
          <w:szCs w:val="24"/>
        </w:rPr>
      </w:r>
      <w:r>
        <w:rPr>
          <w:b/>
          <w:bCs/>
          <w:i/>
          <w:iCs/>
          <w:sz w:val="24"/>
          <w:szCs w:val="24"/>
        </w:rPr>
        <w:fldChar w:fldCharType="separate"/>
      </w:r>
      <w:r>
        <w:t>Figura 122</w:t>
      </w:r>
      <w:r>
        <w:rPr>
          <w:b/>
          <w:bCs/>
          <w:i/>
          <w:iCs/>
          <w:sz w:val="24"/>
          <w:szCs w:val="24"/>
        </w:rPr>
        <w:fldChar w:fldCharType="end"/>
      </w:r>
      <w:r>
        <w:rPr>
          <w:b/>
          <w:i/>
          <w:sz w:val="24"/>
        </w:rPr>
        <w:t xml:space="preserve">. </w:t>
      </w:r>
      <w:r>
        <w:rPr>
          <w:bCs/>
          <w:i/>
          <w:sz w:val="24"/>
        </w:rPr>
        <w:t xml:space="preserve">În </w:t>
      </w:r>
      <w:r>
        <w:rPr>
          <w:bCs/>
          <w:i/>
          <w:sz w:val="24"/>
          <w:lang w:val="en-GB"/>
        </w:rPr>
        <w:t>cazul existentei</w:t>
      </w:r>
      <w:r>
        <w:rPr>
          <w:bCs/>
          <w:i/>
          <w:sz w:val="24"/>
        </w:rPr>
        <w:t xml:space="preserve"> </w:t>
      </w:r>
      <w:r>
        <w:rPr>
          <w:bCs/>
          <w:i/>
          <w:sz w:val="24"/>
          <w:lang w:val="en-GB"/>
        </w:rPr>
        <w:t>decroşurilor</w:t>
      </w:r>
      <w:r>
        <w:rPr>
          <w:bCs/>
          <w:i/>
          <w:sz w:val="24"/>
        </w:rPr>
        <w:t xml:space="preserve"> între etaje, se aplică principiile de </w:t>
      </w:r>
      <w:r>
        <w:rPr>
          <w:bCs/>
          <w:i/>
          <w:sz w:val="24"/>
          <w:lang w:val="en-GB"/>
        </w:rPr>
        <w:t>realizare</w:t>
      </w:r>
      <w:r>
        <w:rPr>
          <w:bCs/>
          <w:i/>
          <w:sz w:val="24"/>
        </w:rPr>
        <w:t xml:space="preserve"> </w:t>
      </w:r>
      <w:r>
        <w:rPr>
          <w:bCs/>
          <w:i/>
          <w:sz w:val="24"/>
          <w:lang w:val="en-GB"/>
        </w:rPr>
        <w:t xml:space="preserve">pe </w:t>
      </w:r>
      <w:r>
        <w:rPr>
          <w:bCs/>
          <w:i/>
          <w:sz w:val="24"/>
        </w:rPr>
        <w:t>fațade</w:t>
      </w:r>
      <w:r>
        <w:rPr>
          <w:bCs/>
          <w:i/>
          <w:sz w:val="24"/>
          <w:lang w:val="en-GB"/>
        </w:rPr>
        <w:t xml:space="preserve"> cu </w:t>
      </w:r>
      <w:r>
        <w:rPr>
          <w:bCs/>
          <w:i/>
          <w:sz w:val="24"/>
        </w:rPr>
        <w:t>deschideri</w:t>
      </w:r>
      <w:r>
        <w:rPr>
          <w:bCs/>
          <w:i/>
          <w:sz w:val="24"/>
          <w:lang w:val="en-GB"/>
        </w:rPr>
        <w:t xml:space="preserve"> diferite</w:t>
      </w:r>
      <w:r>
        <w:rPr>
          <w:bCs/>
          <w:i/>
          <w:sz w:val="24"/>
        </w:rPr>
        <w:t>, anterioare.</w:t>
      </w:r>
    </w:p>
    <w:p w14:paraId="69F2CD03" w14:textId="77777777" w:rsidR="001C08A5" w:rsidRDefault="00000000">
      <w:pPr>
        <w:widowControl w:val="0"/>
        <w:numPr>
          <w:ilvl w:val="255"/>
          <w:numId w:val="0"/>
        </w:numPr>
        <w:suppressLineNumbers/>
        <w:spacing w:before="120" w:after="120"/>
        <w:jc w:val="center"/>
        <w:rPr>
          <w:rFonts w:cs="Mangal"/>
          <w:b/>
          <w:i/>
          <w:iCs/>
          <w:sz w:val="24"/>
          <w:szCs w:val="24"/>
          <w:lang w:val="en-GB"/>
        </w:rPr>
      </w:pPr>
      <w:r>
        <w:rPr>
          <w:rFonts w:cs="Mangal"/>
          <w:b/>
          <w:i/>
          <w:iCs/>
          <w:noProof/>
          <w:sz w:val="24"/>
          <w:szCs w:val="24"/>
          <w:lang w:eastAsia="ro-RO"/>
        </w:rPr>
        <w:drawing>
          <wp:inline distT="0" distB="0" distL="114300" distR="114300" wp14:anchorId="3AA44096" wp14:editId="4A4E7F0D">
            <wp:extent cx="3361690" cy="2553335"/>
            <wp:effectExtent l="0" t="0" r="10160" b="18415"/>
            <wp:docPr id="194" name="Picture 29" descr="14 refa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29" descr="14 refacut"/>
                    <pic:cNvPicPr>
                      <a:picLocks noChangeAspect="1"/>
                    </pic:cNvPicPr>
                  </pic:nvPicPr>
                  <pic:blipFill>
                    <a:blip r:embed="rId290"/>
                    <a:srcRect l="1122" t="1874" r="552" b="836"/>
                    <a:stretch>
                      <a:fillRect/>
                    </a:stretch>
                  </pic:blipFill>
                  <pic:spPr>
                    <a:xfrm>
                      <a:off x="0" y="0"/>
                      <a:ext cx="3361690" cy="2553335"/>
                    </a:xfrm>
                    <a:prstGeom prst="rect">
                      <a:avLst/>
                    </a:prstGeom>
                    <a:noFill/>
                    <a:ln>
                      <a:noFill/>
                    </a:ln>
                  </pic:spPr>
                </pic:pic>
              </a:graphicData>
            </a:graphic>
          </wp:inline>
        </w:drawing>
      </w:r>
    </w:p>
    <w:p w14:paraId="22AFCC26" w14:textId="77777777" w:rsidR="001C08A5" w:rsidRDefault="00000000">
      <w:pPr>
        <w:widowControl w:val="0"/>
        <w:numPr>
          <w:ilvl w:val="255"/>
          <w:numId w:val="0"/>
        </w:numPr>
        <w:suppressLineNumbers/>
        <w:spacing w:before="120" w:after="120"/>
        <w:jc w:val="center"/>
        <w:rPr>
          <w:rFonts w:cs="Mangal"/>
          <w:b/>
          <w:i/>
          <w:iCs/>
          <w:sz w:val="24"/>
          <w:szCs w:val="24"/>
          <w:lang w:val="en-US" w:eastAsia="ro-RO"/>
        </w:rPr>
      </w:pPr>
      <w:r>
        <w:rPr>
          <w:rFonts w:cs="Mangal"/>
          <w:b/>
          <w:i/>
          <w:iCs/>
          <w:sz w:val="24"/>
          <w:szCs w:val="24"/>
          <w:lang w:val="en-US" w:eastAsia="ro-RO"/>
        </w:rPr>
        <w:t>Axonometrie</w:t>
      </w:r>
    </w:p>
    <w:p w14:paraId="4D37A266" w14:textId="77777777" w:rsidR="001C08A5" w:rsidRDefault="00000000">
      <w:pPr>
        <w:widowControl w:val="0"/>
        <w:jc w:val="center"/>
        <w:rPr>
          <w:i/>
          <w:sz w:val="24"/>
          <w:szCs w:val="24"/>
          <w:lang w:val="en-GB"/>
        </w:rPr>
      </w:pPr>
      <w:r>
        <w:rPr>
          <w:i/>
          <w:noProof/>
          <w:sz w:val="24"/>
          <w:szCs w:val="24"/>
          <w:lang w:eastAsia="ro-RO"/>
        </w:rPr>
        <w:drawing>
          <wp:inline distT="0" distB="0" distL="114300" distR="114300" wp14:anchorId="406CF748" wp14:editId="2F574BAA">
            <wp:extent cx="2985770" cy="1437005"/>
            <wp:effectExtent l="0" t="0" r="5080" b="10795"/>
            <wp:docPr id="195" name="Picture 30" descr="7 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30" descr="7 nou"/>
                    <pic:cNvPicPr>
                      <a:picLocks noChangeAspect="1"/>
                    </pic:cNvPicPr>
                  </pic:nvPicPr>
                  <pic:blipFill>
                    <a:blip r:embed="rId291"/>
                    <a:stretch>
                      <a:fillRect/>
                    </a:stretch>
                  </pic:blipFill>
                  <pic:spPr>
                    <a:xfrm>
                      <a:off x="0" y="0"/>
                      <a:ext cx="2985770" cy="1437005"/>
                    </a:xfrm>
                    <a:prstGeom prst="rect">
                      <a:avLst/>
                    </a:prstGeom>
                    <a:noFill/>
                    <a:ln>
                      <a:noFill/>
                    </a:ln>
                  </pic:spPr>
                </pic:pic>
              </a:graphicData>
            </a:graphic>
          </wp:inline>
        </w:drawing>
      </w:r>
    </w:p>
    <w:p w14:paraId="6A5DFFAA" w14:textId="77777777" w:rsidR="001C08A5" w:rsidRDefault="00000000">
      <w:pPr>
        <w:widowControl w:val="0"/>
        <w:numPr>
          <w:ilvl w:val="255"/>
          <w:numId w:val="0"/>
        </w:numPr>
        <w:suppressLineNumbers/>
        <w:spacing w:before="120" w:after="120"/>
        <w:jc w:val="center"/>
        <w:rPr>
          <w:rFonts w:cs="Mangal"/>
          <w:b/>
          <w:i/>
          <w:iCs/>
          <w:sz w:val="24"/>
          <w:szCs w:val="24"/>
          <w:lang w:val="en-US" w:eastAsia="ro-RO"/>
        </w:rPr>
      </w:pPr>
      <w:bookmarkStart w:id="6609" w:name="_Toc31517"/>
      <w:bookmarkStart w:id="6610" w:name="_Toc107"/>
      <w:bookmarkStart w:id="6611" w:name="_Toc4191"/>
      <w:bookmarkStart w:id="6612" w:name="_Toc16858"/>
      <w:r>
        <w:rPr>
          <w:rFonts w:cs="Mangal"/>
          <w:b/>
          <w:i/>
          <w:iCs/>
          <w:sz w:val="24"/>
          <w:szCs w:val="24"/>
          <w:lang w:val="en-GB"/>
        </w:rPr>
        <w:t>Detalii p</w:t>
      </w:r>
      <w:r>
        <w:rPr>
          <w:rFonts w:cs="Mangal"/>
          <w:b/>
          <w:i/>
          <w:iCs/>
          <w:sz w:val="24"/>
          <w:szCs w:val="24"/>
        </w:rPr>
        <w:t>rincipi</w:t>
      </w:r>
      <w:r>
        <w:rPr>
          <w:rFonts w:cs="Mangal"/>
          <w:b/>
          <w:i/>
          <w:iCs/>
          <w:sz w:val="24"/>
          <w:szCs w:val="24"/>
          <w:lang w:val="en-GB"/>
        </w:rPr>
        <w:t>i</w:t>
      </w:r>
      <w:r>
        <w:rPr>
          <w:rFonts w:cs="Mangal"/>
          <w:b/>
          <w:i/>
          <w:iCs/>
          <w:sz w:val="24"/>
          <w:szCs w:val="24"/>
        </w:rPr>
        <w:t xml:space="preserve"> de </w:t>
      </w:r>
      <w:r>
        <w:rPr>
          <w:rFonts w:cs="Mangal"/>
          <w:b/>
          <w:i/>
          <w:iCs/>
          <w:sz w:val="24"/>
          <w:szCs w:val="24"/>
          <w:lang w:val="en-GB"/>
        </w:rPr>
        <w:t>realizare</w:t>
      </w:r>
      <w:r>
        <w:rPr>
          <w:rFonts w:cs="Mangal"/>
          <w:b/>
          <w:i/>
          <w:iCs/>
          <w:sz w:val="24"/>
          <w:szCs w:val="24"/>
        </w:rPr>
        <w:t xml:space="preserve"> pe fațade</w:t>
      </w:r>
      <w:r>
        <w:rPr>
          <w:rFonts w:cs="Mangal"/>
          <w:b/>
          <w:i/>
          <w:iCs/>
          <w:sz w:val="24"/>
          <w:szCs w:val="24"/>
          <w:lang w:val="en-GB"/>
        </w:rPr>
        <w:t xml:space="preserve"> decroşate cu</w:t>
      </w:r>
      <w:r>
        <w:rPr>
          <w:rFonts w:cs="Mangal"/>
          <w:b/>
          <w:i/>
          <w:iCs/>
          <w:sz w:val="24"/>
          <w:szCs w:val="24"/>
        </w:rPr>
        <w:t xml:space="preserve"> înălțim</w:t>
      </w:r>
      <w:r>
        <w:rPr>
          <w:rFonts w:cs="Mangal"/>
          <w:b/>
          <w:i/>
          <w:iCs/>
          <w:sz w:val="24"/>
          <w:szCs w:val="24"/>
          <w:lang w:val="en-GB"/>
        </w:rPr>
        <w:t>i diferite</w:t>
      </w:r>
      <w:bookmarkEnd w:id="6609"/>
      <w:bookmarkEnd w:id="6610"/>
      <w:bookmarkEnd w:id="6611"/>
      <w:bookmarkEnd w:id="6612"/>
    </w:p>
    <w:p w14:paraId="33260A14" w14:textId="77777777" w:rsidR="001C08A5" w:rsidRDefault="00000000">
      <w:pPr>
        <w:pStyle w:val="Caption"/>
        <w:widowControl w:val="0"/>
        <w:numPr>
          <w:ilvl w:val="255"/>
          <w:numId w:val="0"/>
        </w:numPr>
        <w:jc w:val="center"/>
      </w:pPr>
      <w:bookmarkStart w:id="6613" w:name="_Ref9841"/>
      <w:bookmarkStart w:id="6614" w:name="_Toc162360346"/>
      <w:r>
        <w:t xml:space="preserve">Figura </w:t>
      </w:r>
      <w:r>
        <w:fldChar w:fldCharType="begin"/>
      </w:r>
      <w:r>
        <w:instrText xml:space="preserve"> SEQ Figura \* ARABIC </w:instrText>
      </w:r>
      <w:r>
        <w:fldChar w:fldCharType="separate"/>
      </w:r>
      <w:r>
        <w:t>122</w:t>
      </w:r>
      <w:r>
        <w:fldChar w:fldCharType="end"/>
      </w:r>
      <w:bookmarkStart w:id="6615" w:name="_Toc1765"/>
      <w:bookmarkStart w:id="6616" w:name="_Toc2082"/>
      <w:bookmarkStart w:id="6617" w:name="_Toc11200"/>
      <w:bookmarkStart w:id="6618" w:name="_Toc25451"/>
      <w:bookmarkStart w:id="6619" w:name="_Toc16591"/>
      <w:bookmarkStart w:id="6620" w:name="_Toc25739"/>
      <w:bookmarkStart w:id="6621" w:name="_Toc22787"/>
      <w:bookmarkStart w:id="6622" w:name="_Toc2366"/>
      <w:bookmarkStart w:id="6623" w:name="_Toc29420"/>
      <w:bookmarkEnd w:id="6613"/>
      <w:r>
        <w:t xml:space="preserve"> - Principi</w:t>
      </w:r>
      <w:r>
        <w:rPr>
          <w:lang w:val="en-GB"/>
        </w:rPr>
        <w:t>i</w:t>
      </w:r>
      <w:r>
        <w:t xml:space="preserve"> de </w:t>
      </w:r>
      <w:r>
        <w:rPr>
          <w:lang w:val="en-GB"/>
        </w:rPr>
        <w:t>realizare</w:t>
      </w:r>
      <w:r>
        <w:t xml:space="preserve"> pe fațade</w:t>
      </w:r>
      <w:r>
        <w:rPr>
          <w:lang w:val="en-GB"/>
        </w:rPr>
        <w:t xml:space="preserve"> decroşate cu</w:t>
      </w:r>
      <w:r>
        <w:t xml:space="preserve"> înălțim</w:t>
      </w:r>
      <w:r>
        <w:rPr>
          <w:lang w:val="en-GB"/>
        </w:rPr>
        <w:t>i diferite</w:t>
      </w:r>
      <w:bookmarkEnd w:id="6614"/>
      <w:bookmarkEnd w:id="6615"/>
      <w:bookmarkEnd w:id="6616"/>
      <w:bookmarkEnd w:id="6617"/>
      <w:bookmarkEnd w:id="6618"/>
      <w:bookmarkEnd w:id="6619"/>
      <w:bookmarkEnd w:id="6620"/>
      <w:bookmarkEnd w:id="6621"/>
      <w:bookmarkEnd w:id="6622"/>
      <w:bookmarkEnd w:id="6623"/>
    </w:p>
    <w:p w14:paraId="555D7BA1" w14:textId="77777777" w:rsidR="001C08A5" w:rsidRDefault="00000000">
      <w:pPr>
        <w:numPr>
          <w:ilvl w:val="0"/>
          <w:numId w:val="96"/>
        </w:numPr>
        <w:tabs>
          <w:tab w:val="left" w:pos="426"/>
          <w:tab w:val="left" w:pos="993"/>
        </w:tabs>
        <w:jc w:val="both"/>
        <w:rPr>
          <w:bCs/>
          <w:i/>
          <w:sz w:val="24"/>
        </w:rPr>
      </w:pPr>
      <w:r>
        <w:rPr>
          <w:bCs/>
          <w:i/>
          <w:sz w:val="24"/>
        </w:rPr>
        <w:t xml:space="preserve">Pe fațadele pereţilor perimetrali ale construcțiilor prevăzute cu termoizolație și/ sau </w:t>
      </w:r>
      <w:r>
        <w:rPr>
          <w:bCs/>
          <w:i/>
          <w:sz w:val="24"/>
          <w:lang w:val="en-GB"/>
        </w:rPr>
        <w:t>s</w:t>
      </w:r>
      <w:r>
        <w:rPr>
          <w:bCs/>
          <w:i/>
          <w:sz w:val="24"/>
        </w:rPr>
        <w:t xml:space="preserve">isteme compozite de izolare termică exterioară a pereţilor perimetrali </w:t>
      </w:r>
      <w:r>
        <w:rPr>
          <w:bCs/>
          <w:i/>
          <w:sz w:val="24"/>
          <w:lang w:val="en-GB"/>
        </w:rPr>
        <w:t xml:space="preserve">diferite de </w:t>
      </w:r>
      <w:r>
        <w:rPr>
          <w:b/>
          <w:i/>
          <w:sz w:val="24"/>
        </w:rPr>
        <w:t>A1, A2-s1d</w:t>
      </w:r>
      <w:r>
        <w:rPr>
          <w:b/>
          <w:i/>
          <w:sz w:val="24"/>
          <w:lang w:val="en-GB"/>
        </w:rPr>
        <w:t>0</w:t>
      </w:r>
      <w:r>
        <w:rPr>
          <w:bCs/>
          <w:i/>
          <w:sz w:val="24"/>
        </w:rPr>
        <w:t>, pe teren în pantă, se realizează prin interpunerea fâşii</w:t>
      </w:r>
      <w:r>
        <w:rPr>
          <w:bCs/>
          <w:i/>
          <w:sz w:val="24"/>
          <w:lang w:val="en-GB"/>
        </w:rPr>
        <w:t>lor/ benzilor</w:t>
      </w:r>
      <w:r>
        <w:rPr>
          <w:bCs/>
          <w:i/>
          <w:sz w:val="24"/>
        </w:rPr>
        <w:t xml:space="preserve"> orizontale continui de termoizolaţie clasa de reacţie la foc </w:t>
      </w:r>
      <w:r>
        <w:rPr>
          <w:b/>
          <w:bCs/>
          <w:i/>
          <w:sz w:val="24"/>
        </w:rPr>
        <w:t xml:space="preserve">A1 </w:t>
      </w:r>
      <w:r>
        <w:rPr>
          <w:bCs/>
          <w:i/>
          <w:sz w:val="24"/>
        </w:rPr>
        <w:t>sau</w:t>
      </w:r>
      <w:r>
        <w:rPr>
          <w:b/>
          <w:bCs/>
          <w:i/>
          <w:sz w:val="24"/>
        </w:rPr>
        <w:t xml:space="preserve"> A2-s1d0</w:t>
      </w:r>
      <w:r>
        <w:rPr>
          <w:b/>
          <w:i/>
          <w:sz w:val="24"/>
        </w:rPr>
        <w:t xml:space="preserve">, </w:t>
      </w:r>
      <w:r>
        <w:rPr>
          <w:bCs/>
          <w:i/>
          <w:sz w:val="24"/>
        </w:rPr>
        <w:t xml:space="preserve">conform </w:t>
      </w:r>
      <w:r>
        <w:rPr>
          <w:b/>
          <w:bCs/>
          <w:i/>
          <w:iCs/>
          <w:sz w:val="24"/>
          <w:szCs w:val="24"/>
        </w:rPr>
        <w:fldChar w:fldCharType="begin"/>
      </w:r>
      <w:r>
        <w:rPr>
          <w:b/>
          <w:bCs/>
          <w:i/>
          <w:iCs/>
          <w:sz w:val="24"/>
          <w:szCs w:val="24"/>
        </w:rPr>
        <w:instrText xml:space="preserve"> REF _Ref9920 \h </w:instrText>
      </w:r>
      <w:r>
        <w:rPr>
          <w:b/>
          <w:bCs/>
          <w:i/>
          <w:iCs/>
          <w:sz w:val="24"/>
          <w:szCs w:val="24"/>
        </w:rPr>
      </w:r>
      <w:r>
        <w:rPr>
          <w:b/>
          <w:bCs/>
          <w:i/>
          <w:iCs/>
          <w:sz w:val="24"/>
          <w:szCs w:val="24"/>
        </w:rPr>
        <w:fldChar w:fldCharType="separate"/>
      </w:r>
      <w:r>
        <w:t>Figura 123</w:t>
      </w:r>
      <w:r>
        <w:rPr>
          <w:b/>
          <w:bCs/>
          <w:i/>
          <w:iCs/>
          <w:sz w:val="24"/>
          <w:szCs w:val="24"/>
        </w:rPr>
        <w:fldChar w:fldCharType="end"/>
      </w:r>
      <w:r>
        <w:rPr>
          <w:b/>
          <w:i/>
          <w:sz w:val="24"/>
        </w:rPr>
        <w:t xml:space="preserve">. </w:t>
      </w:r>
    </w:p>
    <w:p w14:paraId="7E5CAB92" w14:textId="77777777" w:rsidR="001C08A5" w:rsidRDefault="00000000">
      <w:pPr>
        <w:widowControl w:val="0"/>
        <w:numPr>
          <w:ilvl w:val="255"/>
          <w:numId w:val="0"/>
        </w:numPr>
        <w:suppressLineNumbers/>
        <w:spacing w:before="120" w:after="120"/>
        <w:jc w:val="center"/>
        <w:rPr>
          <w:rFonts w:cs="Mangal"/>
          <w:b/>
          <w:i/>
          <w:iCs/>
          <w:sz w:val="24"/>
          <w:szCs w:val="24"/>
          <w:lang w:eastAsia="ro-RO"/>
        </w:rPr>
      </w:pPr>
      <w:r>
        <w:rPr>
          <w:rFonts w:cs="Mangal"/>
          <w:b/>
          <w:i/>
          <w:iCs/>
          <w:noProof/>
          <w:sz w:val="24"/>
          <w:szCs w:val="24"/>
          <w:lang w:eastAsia="ro-RO"/>
        </w:rPr>
        <w:lastRenderedPageBreak/>
        <w:drawing>
          <wp:inline distT="0" distB="0" distL="114300" distR="114300" wp14:anchorId="42FE8FAD" wp14:editId="3ADAAE4C">
            <wp:extent cx="2889250" cy="3145155"/>
            <wp:effectExtent l="0" t="0" r="6350" b="17145"/>
            <wp:docPr id="196" name="Picture 31" descr="blo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31" descr="bloc 20"/>
                    <pic:cNvPicPr>
                      <a:picLocks noChangeAspect="1"/>
                    </pic:cNvPicPr>
                  </pic:nvPicPr>
                  <pic:blipFill>
                    <a:blip r:embed="rId292"/>
                    <a:stretch>
                      <a:fillRect/>
                    </a:stretch>
                  </pic:blipFill>
                  <pic:spPr>
                    <a:xfrm>
                      <a:off x="0" y="0"/>
                      <a:ext cx="2900305" cy="3156579"/>
                    </a:xfrm>
                    <a:prstGeom prst="rect">
                      <a:avLst/>
                    </a:prstGeom>
                    <a:noFill/>
                    <a:ln>
                      <a:noFill/>
                    </a:ln>
                  </pic:spPr>
                </pic:pic>
              </a:graphicData>
            </a:graphic>
          </wp:inline>
        </w:drawing>
      </w:r>
    </w:p>
    <w:p w14:paraId="442F094F" w14:textId="77777777" w:rsidR="001C08A5" w:rsidRDefault="00000000">
      <w:pPr>
        <w:pStyle w:val="Caption"/>
        <w:widowControl w:val="0"/>
        <w:numPr>
          <w:ilvl w:val="255"/>
          <w:numId w:val="0"/>
        </w:numPr>
        <w:jc w:val="center"/>
        <w:rPr>
          <w:rFonts w:cs="Times New Roman"/>
          <w:b w:val="0"/>
          <w:bCs/>
          <w:lang w:eastAsia="ro-RO"/>
        </w:rPr>
      </w:pPr>
      <w:bookmarkStart w:id="6624" w:name="_Ref9920"/>
      <w:bookmarkStart w:id="6625" w:name="_Toc29950"/>
      <w:bookmarkStart w:id="6626" w:name="_Toc162360347"/>
      <w:bookmarkStart w:id="6627" w:name="_Toc4564"/>
      <w:bookmarkStart w:id="6628" w:name="_Toc18210"/>
      <w:bookmarkStart w:id="6629" w:name="_Toc16793"/>
      <w:r>
        <w:t xml:space="preserve">Figura </w:t>
      </w:r>
      <w:r>
        <w:fldChar w:fldCharType="begin"/>
      </w:r>
      <w:r>
        <w:instrText xml:space="preserve"> SEQ Figura \* ARABIC </w:instrText>
      </w:r>
      <w:r>
        <w:fldChar w:fldCharType="separate"/>
      </w:r>
      <w:r>
        <w:t>123</w:t>
      </w:r>
      <w:r>
        <w:fldChar w:fldCharType="end"/>
      </w:r>
      <w:bookmarkStart w:id="6630" w:name="_Toc1962"/>
      <w:bookmarkStart w:id="6631" w:name="_Toc566"/>
      <w:bookmarkStart w:id="6632" w:name="_Toc1977"/>
      <w:bookmarkStart w:id="6633" w:name="_Toc14526"/>
      <w:bookmarkStart w:id="6634" w:name="_Toc29497"/>
      <w:bookmarkStart w:id="6635" w:name="_Toc12935"/>
      <w:bookmarkStart w:id="6636" w:name="_Toc15017"/>
      <w:bookmarkStart w:id="6637" w:name="_Toc11148"/>
      <w:bookmarkStart w:id="6638" w:name="_Toc8450"/>
      <w:bookmarkEnd w:id="6624"/>
      <w:r>
        <w:t xml:space="preserve"> - Principi</w:t>
      </w:r>
      <w:r>
        <w:rPr>
          <w:lang w:val="en-GB"/>
        </w:rPr>
        <w:t>i</w:t>
      </w:r>
      <w:r>
        <w:t xml:space="preserve">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w:t>
      </w:r>
      <w:r>
        <w:rPr>
          <w:lang w:val="en-GB"/>
        </w:rPr>
        <w:t>t</w:t>
      </w:r>
      <w:r>
        <w:t>eren în</w:t>
      </w:r>
      <w:r>
        <w:rPr>
          <w:lang w:val="en-GB"/>
        </w:rPr>
        <w:t xml:space="preserve"> pant</w:t>
      </w:r>
      <w:r>
        <w:t>ă</w:t>
      </w:r>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p>
    <w:p w14:paraId="5B84EC8C" w14:textId="77777777" w:rsidR="001C08A5" w:rsidRDefault="00000000">
      <w:pPr>
        <w:pStyle w:val="Heading2"/>
        <w:rPr>
          <w:sz w:val="28"/>
        </w:rPr>
      </w:pPr>
      <w:bookmarkStart w:id="6639" w:name="_Toc162355405"/>
      <w:bookmarkStart w:id="6640" w:name="_Toc9603"/>
      <w:bookmarkStart w:id="6641" w:name="_Toc22000"/>
      <w:bookmarkStart w:id="6642" w:name="_Toc24944"/>
      <w:bookmarkStart w:id="6643" w:name="_Toc2257"/>
      <w:bookmarkStart w:id="6644" w:name="_Toc29590"/>
      <w:bookmarkStart w:id="6645" w:name="_Toc15785"/>
      <w:bookmarkStart w:id="6646" w:name="_Toc26955"/>
      <w:bookmarkStart w:id="6647" w:name="_Toc24009"/>
      <w:bookmarkStart w:id="6648" w:name="_Toc23717"/>
      <w:bookmarkStart w:id="6649" w:name="_Toc12809"/>
      <w:bookmarkStart w:id="6650" w:name="_Toc2621"/>
      <w:bookmarkStart w:id="6651" w:name="_Toc31937"/>
      <w:bookmarkStart w:id="6652" w:name="_Toc14063"/>
      <w:bookmarkStart w:id="6653" w:name="_Toc19436"/>
      <w:bookmarkStart w:id="6654" w:name="_Toc26821"/>
      <w:bookmarkStart w:id="6655" w:name="_Toc26733"/>
      <w:r>
        <w:rPr>
          <w:sz w:val="28"/>
        </w:rPr>
        <w:t>ANEXA 4 -  ALCĂTUIRI CONSTRUCTIVE</w:t>
      </w:r>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p>
    <w:p w14:paraId="15739054" w14:textId="77777777" w:rsidR="001C08A5" w:rsidRDefault="00000000">
      <w:pPr>
        <w:pStyle w:val="Heading3"/>
        <w:rPr>
          <w:i/>
          <w:iCs/>
          <w:sz w:val="24"/>
          <w:szCs w:val="24"/>
        </w:rPr>
      </w:pPr>
      <w:bookmarkStart w:id="6656" w:name="_Toc31725"/>
      <w:bookmarkStart w:id="6657" w:name="_Toc24472"/>
      <w:bookmarkStart w:id="6658" w:name="_Toc7758"/>
      <w:bookmarkStart w:id="6659" w:name="_Toc16140"/>
      <w:bookmarkStart w:id="6660" w:name="_Toc30846"/>
      <w:bookmarkStart w:id="6661" w:name="_Toc3995"/>
      <w:bookmarkStart w:id="6662" w:name="_Toc26695"/>
      <w:bookmarkStart w:id="6663" w:name="_Toc14594"/>
      <w:bookmarkStart w:id="6664" w:name="_Toc3751"/>
      <w:bookmarkStart w:id="6665" w:name="_Toc28234"/>
      <w:bookmarkStart w:id="6666" w:name="_Toc7988"/>
      <w:bookmarkStart w:id="6667" w:name="_Toc17425"/>
      <w:bookmarkStart w:id="6668" w:name="_Toc23893"/>
      <w:bookmarkStart w:id="6669" w:name="_Toc6568"/>
      <w:bookmarkStart w:id="6670" w:name="_Toc32489"/>
      <w:bookmarkStart w:id="6671" w:name="_Toc162355406"/>
      <w:bookmarkStart w:id="6672" w:name="_Toc29524"/>
      <w:r>
        <w:rPr>
          <w:i/>
          <w:iCs/>
          <w:sz w:val="24"/>
          <w:szCs w:val="24"/>
        </w:rPr>
        <w:t>ANEXA 4.1 - ASCENSOARE</w:t>
      </w:r>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r>
        <w:rPr>
          <w:i/>
          <w:iCs/>
          <w:sz w:val="24"/>
          <w:szCs w:val="24"/>
        </w:rPr>
        <w:t xml:space="preserve"> </w:t>
      </w:r>
    </w:p>
    <w:p w14:paraId="0D749559" w14:textId="77777777" w:rsidR="001C08A5" w:rsidRDefault="00000000">
      <w:pPr>
        <w:pStyle w:val="Heading4"/>
        <w:rPr>
          <w:sz w:val="24"/>
          <w:szCs w:val="24"/>
        </w:rPr>
      </w:pPr>
      <w:bookmarkStart w:id="6673" w:name="_Toc6476"/>
      <w:bookmarkStart w:id="6674" w:name="_Toc16273"/>
      <w:bookmarkStart w:id="6675" w:name="_Toc29735"/>
      <w:bookmarkStart w:id="6676" w:name="_Toc22518"/>
      <w:bookmarkStart w:id="6677" w:name="_Toc16704"/>
      <w:bookmarkStart w:id="6678" w:name="_Toc29423"/>
      <w:bookmarkStart w:id="6679" w:name="_Toc2158"/>
      <w:bookmarkStart w:id="6680" w:name="_Toc21705"/>
      <w:bookmarkStart w:id="6681" w:name="_Toc162355407"/>
      <w:bookmarkStart w:id="6682" w:name="_Toc16048"/>
      <w:bookmarkStart w:id="6683" w:name="_Toc11186"/>
      <w:bookmarkStart w:id="6684" w:name="_Toc12542"/>
      <w:bookmarkStart w:id="6685" w:name="_Toc11796"/>
      <w:bookmarkStart w:id="6686" w:name="_Toc8862"/>
      <w:bookmarkStart w:id="6687" w:name="_Toc8916"/>
      <w:bookmarkStart w:id="6688" w:name="_Toc18251"/>
      <w:bookmarkStart w:id="6689" w:name="_Toc11293"/>
      <w:r>
        <w:rPr>
          <w:sz w:val="24"/>
          <w:szCs w:val="24"/>
        </w:rPr>
        <w:t>Ascensoare - Generalități</w:t>
      </w:r>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p>
    <w:p w14:paraId="4C923EF7" w14:textId="77777777" w:rsidR="001C08A5" w:rsidRDefault="001C08A5"/>
    <w:p w14:paraId="21865616"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Ascensoarele </w:t>
      </w:r>
      <w:r>
        <w:rPr>
          <w:i/>
          <w:sz w:val="24"/>
          <w:szCs w:val="24"/>
        </w:rPr>
        <w:t xml:space="preserve">pentru circulația funcțională a persoanelor și în general ale sistemelor de transport pe verticală, se separă de restul construcţiei prin elemente verticale şi după caz, orizontale, clasa de reacţie la foc </w:t>
      </w:r>
      <w:r>
        <w:rPr>
          <w:b/>
          <w:i/>
          <w:sz w:val="24"/>
          <w:szCs w:val="24"/>
        </w:rPr>
        <w:t>A1</w:t>
      </w:r>
      <w:r>
        <w:rPr>
          <w:bCs/>
          <w:i/>
          <w:sz w:val="24"/>
          <w:szCs w:val="24"/>
        </w:rPr>
        <w:t xml:space="preserve"> sau</w:t>
      </w:r>
      <w:r>
        <w:rPr>
          <w:b/>
          <w:i/>
          <w:sz w:val="24"/>
          <w:szCs w:val="24"/>
        </w:rPr>
        <w:t xml:space="preserve"> A2-s1d0</w:t>
      </w:r>
      <w:r>
        <w:rPr>
          <w:i/>
          <w:sz w:val="24"/>
          <w:szCs w:val="24"/>
        </w:rPr>
        <w:t xml:space="preserve"> și rezistente la foc corespunzător nivelului de stabilitate la incendiu asigurat, tipului de clădire și destinaţiei, </w:t>
      </w:r>
      <w:r>
        <w:rPr>
          <w:bCs/>
          <w:i/>
          <w:sz w:val="24"/>
          <w:szCs w:val="24"/>
        </w:rPr>
        <w:t xml:space="preserve">conform </w:t>
      </w:r>
      <w:r>
        <w:rPr>
          <w:b/>
          <w:i/>
          <w:sz w:val="24"/>
          <w:szCs w:val="24"/>
        </w:rPr>
        <w:t>Art. 2.4.4.2.1. alin. (1)</w:t>
      </w:r>
      <w:r>
        <w:rPr>
          <w:bCs/>
          <w:i/>
          <w:sz w:val="24"/>
          <w:szCs w:val="24"/>
        </w:rPr>
        <w:t xml:space="preserve">. În acestea sunt admise numai goluri de acces (de palier), din nivelurile construcţiei.  </w:t>
      </w:r>
      <w:r>
        <w:rPr>
          <w:i/>
          <w:sz w:val="24"/>
          <w:szCs w:val="24"/>
        </w:rPr>
        <w:t>Golurile de acces la ascensoarele prevăzute pentru circulația funcțională a persoanelor (valide sau cu dizabilități)</w:t>
      </w:r>
      <w:r>
        <w:rPr>
          <w:bCs/>
          <w:i/>
          <w:sz w:val="24"/>
          <w:szCs w:val="24"/>
        </w:rPr>
        <w:t xml:space="preserve"> se protejează cu uşi rezistente la foc conform </w:t>
      </w:r>
      <w:r>
        <w:rPr>
          <w:b/>
          <w:i/>
          <w:sz w:val="24"/>
          <w:szCs w:val="24"/>
        </w:rPr>
        <w:t>Art. 2.4.4.2.5. alin. (1)</w:t>
      </w:r>
      <w:r>
        <w:rPr>
          <w:bCs/>
          <w:iCs/>
          <w:sz w:val="24"/>
        </w:rPr>
        <w:t xml:space="preserve"> </w:t>
      </w:r>
      <w:r>
        <w:rPr>
          <w:bCs/>
          <w:i/>
          <w:sz w:val="24"/>
        </w:rPr>
        <w:t xml:space="preserve">și </w:t>
      </w:r>
      <w:r>
        <w:rPr>
          <w:b/>
          <w:i/>
          <w:sz w:val="24"/>
        </w:rPr>
        <w:t>Art. 2.4.4.2.1. alin. (2), alin. (3), alin. (4)</w:t>
      </w:r>
      <w:r>
        <w:rPr>
          <w:i/>
          <w:sz w:val="24"/>
        </w:rPr>
        <w:t xml:space="preserve"> și </w:t>
      </w:r>
      <w:r>
        <w:rPr>
          <w:b/>
          <w:bCs/>
          <w:i/>
          <w:sz w:val="24"/>
        </w:rPr>
        <w:t xml:space="preserve">alin. </w:t>
      </w:r>
      <w:r>
        <w:rPr>
          <w:b/>
          <w:i/>
          <w:sz w:val="24"/>
        </w:rPr>
        <w:t>(5)</w:t>
      </w:r>
      <w:r>
        <w:rPr>
          <w:bCs/>
          <w:i/>
          <w:sz w:val="24"/>
          <w:szCs w:val="24"/>
        </w:rPr>
        <w:t xml:space="preserve">. </w:t>
      </w:r>
      <w:r>
        <w:rPr>
          <w:i/>
          <w:sz w:val="24"/>
        </w:rPr>
        <w:t xml:space="preserve">În toate situațiile se vor avea în vedere prevederile stipulate la </w:t>
      </w:r>
      <w:r>
        <w:rPr>
          <w:b/>
          <w:i/>
          <w:sz w:val="24"/>
        </w:rPr>
        <w:t xml:space="preserve">Art. 2.4.4.2.5. alin. (2) </w:t>
      </w:r>
      <w:r>
        <w:rPr>
          <w:bCs/>
          <w:i/>
          <w:sz w:val="24"/>
        </w:rPr>
        <w:t xml:space="preserve">și </w:t>
      </w:r>
      <w:r>
        <w:rPr>
          <w:b/>
          <w:i/>
          <w:sz w:val="24"/>
        </w:rPr>
        <w:t>alin. (3) .</w:t>
      </w:r>
    </w:p>
    <w:p w14:paraId="39A140FE" w14:textId="77777777" w:rsidR="001C08A5" w:rsidRDefault="001C08A5">
      <w:pPr>
        <w:numPr>
          <w:ilvl w:val="255"/>
          <w:numId w:val="0"/>
        </w:numPr>
        <w:tabs>
          <w:tab w:val="left" w:pos="426"/>
          <w:tab w:val="left" w:pos="993"/>
        </w:tabs>
        <w:jc w:val="both"/>
        <w:rPr>
          <w:bCs/>
          <w:i/>
          <w:sz w:val="24"/>
          <w:szCs w:val="24"/>
        </w:rPr>
      </w:pPr>
    </w:p>
    <w:p w14:paraId="7A47102F" w14:textId="77777777" w:rsidR="001C08A5" w:rsidRDefault="00000000">
      <w:pPr>
        <w:numPr>
          <w:ilvl w:val="0"/>
          <w:numId w:val="96"/>
        </w:numPr>
        <w:tabs>
          <w:tab w:val="left" w:pos="426"/>
          <w:tab w:val="left" w:pos="993"/>
        </w:tabs>
        <w:jc w:val="both"/>
        <w:rPr>
          <w:bCs/>
          <w:i/>
          <w:sz w:val="24"/>
          <w:szCs w:val="24"/>
        </w:rPr>
      </w:pPr>
      <w:r>
        <w:rPr>
          <w:bCs/>
          <w:i/>
          <w:sz w:val="24"/>
          <w:szCs w:val="24"/>
        </w:rPr>
        <w:t>În clădiri civile cu înălțime obișnuită p</w:t>
      </w:r>
      <w:r>
        <w:rPr>
          <w:rFonts w:eastAsia="Times New Roman"/>
          <w:bCs/>
          <w:i/>
          <w:sz w:val="24"/>
          <w:szCs w:val="24"/>
        </w:rPr>
        <w:t xml:space="preserve">ereţii de separare faţă de restul construcţiei a ascensoarelor de marfă trebuie să fie </w:t>
      </w:r>
      <w:r>
        <w:rPr>
          <w:bCs/>
          <w:i/>
          <w:sz w:val="24"/>
          <w:szCs w:val="24"/>
        </w:rPr>
        <w:t xml:space="preserve">conform </w:t>
      </w:r>
      <w:r>
        <w:rPr>
          <w:b/>
          <w:i/>
          <w:sz w:val="24"/>
          <w:szCs w:val="24"/>
        </w:rPr>
        <w:t>Art. 2.4.4.2.4. alin. (1)</w:t>
      </w:r>
      <w:r>
        <w:rPr>
          <w:bCs/>
          <w:i/>
          <w:sz w:val="24"/>
          <w:szCs w:val="24"/>
        </w:rPr>
        <w:t xml:space="preserve">. Golurile de acces la ascensoarele mici de materiale (tip monte-charge), electrice sau hidraulice, se protejează cu uşi rezistente la foc conform </w:t>
      </w:r>
      <w:r>
        <w:rPr>
          <w:b/>
          <w:i/>
          <w:sz w:val="24"/>
          <w:szCs w:val="24"/>
        </w:rPr>
        <w:t>Art. 2.4.4.2.1. alin. (3)</w:t>
      </w:r>
      <w:r>
        <w:rPr>
          <w:bCs/>
          <w:i/>
          <w:sz w:val="24"/>
          <w:szCs w:val="24"/>
        </w:rPr>
        <w:t xml:space="preserve">. Golurile de palier prin care utilizatorii au acces la ascensoare de marfă din construcţiile civile cu înălțime obișnuită, se protejează cu uși conform </w:t>
      </w:r>
      <w:r>
        <w:rPr>
          <w:b/>
          <w:i/>
          <w:sz w:val="24"/>
          <w:szCs w:val="24"/>
        </w:rPr>
        <w:t>Art. 3.1.4.3. alin. (2)</w:t>
      </w:r>
      <w:r>
        <w:rPr>
          <w:bCs/>
          <w:i/>
          <w:sz w:val="24"/>
          <w:szCs w:val="24"/>
        </w:rPr>
        <w:t>.</w:t>
      </w:r>
    </w:p>
    <w:p w14:paraId="1344D8F5" w14:textId="77777777" w:rsidR="001C08A5" w:rsidRDefault="001C08A5">
      <w:pPr>
        <w:numPr>
          <w:ilvl w:val="255"/>
          <w:numId w:val="0"/>
        </w:numPr>
        <w:tabs>
          <w:tab w:val="left" w:pos="426"/>
          <w:tab w:val="left" w:pos="993"/>
        </w:tabs>
        <w:jc w:val="both"/>
        <w:rPr>
          <w:bCs/>
          <w:i/>
          <w:sz w:val="24"/>
          <w:szCs w:val="24"/>
        </w:rPr>
      </w:pPr>
    </w:p>
    <w:p w14:paraId="5343E879" w14:textId="77777777" w:rsidR="001C08A5" w:rsidRDefault="00000000">
      <w:pPr>
        <w:numPr>
          <w:ilvl w:val="0"/>
          <w:numId w:val="96"/>
        </w:numPr>
        <w:tabs>
          <w:tab w:val="left" w:pos="426"/>
          <w:tab w:val="left" w:pos="993"/>
        </w:tabs>
        <w:jc w:val="both"/>
        <w:rPr>
          <w:b/>
          <w:bCs/>
          <w:i/>
          <w:sz w:val="24"/>
        </w:rPr>
      </w:pPr>
      <w:r>
        <w:rPr>
          <w:bCs/>
          <w:i/>
          <w:sz w:val="24"/>
        </w:rPr>
        <w:t xml:space="preserve">Într-un singur puţ sunt admise maximum trei cabine de ascensor sau </w:t>
      </w:r>
      <w:r>
        <w:rPr>
          <w:bCs/>
          <w:i/>
          <w:sz w:val="24"/>
          <w:szCs w:val="24"/>
        </w:rPr>
        <w:t xml:space="preserve">mijloace mecanice de transport pe verticală (cabine </w:t>
      </w:r>
      <w:r>
        <w:rPr>
          <w:bCs/>
          <w:i/>
          <w:iCs/>
          <w:sz w:val="24"/>
          <w:szCs w:val="24"/>
        </w:rPr>
        <w:t>prevăzute pentru circulația funcțională a persoanelor</w:t>
      </w:r>
      <w:r>
        <w:rPr>
          <w:bCs/>
          <w:i/>
          <w:sz w:val="24"/>
          <w:szCs w:val="24"/>
        </w:rPr>
        <w:t xml:space="preserve">, de marfă, monte-charge sau platforme elevatoare etc.), conform </w:t>
      </w:r>
      <w:r>
        <w:rPr>
          <w:bCs/>
          <w:iCs/>
        </w:rPr>
        <w:t>Figura 124</w:t>
      </w:r>
      <w:r>
        <w:rPr>
          <w:bCs/>
          <w:i/>
          <w:sz w:val="24"/>
        </w:rPr>
        <w:t>.</w:t>
      </w:r>
    </w:p>
    <w:p w14:paraId="6F3A5002" w14:textId="77777777" w:rsidR="001C08A5" w:rsidRDefault="001C08A5">
      <w:pPr>
        <w:jc w:val="both"/>
        <w:rPr>
          <w:rFonts w:eastAsia="Times New Roman"/>
          <w:i/>
          <w:sz w:val="24"/>
          <w:szCs w:val="24"/>
        </w:rPr>
      </w:pPr>
    </w:p>
    <w:p w14:paraId="2B1C45B4" w14:textId="77777777" w:rsidR="001C08A5" w:rsidRDefault="00000000">
      <w:pPr>
        <w:jc w:val="center"/>
        <w:rPr>
          <w:i/>
          <w:sz w:val="24"/>
          <w:szCs w:val="24"/>
        </w:rPr>
      </w:pPr>
      <w:r>
        <w:rPr>
          <w:i/>
          <w:noProof/>
          <w:sz w:val="24"/>
          <w:szCs w:val="24"/>
          <w:lang w:eastAsia="ro-RO"/>
        </w:rPr>
        <w:lastRenderedPageBreak/>
        <w:drawing>
          <wp:inline distT="0" distB="0" distL="114300" distR="114300" wp14:anchorId="725D7A44" wp14:editId="072868AF">
            <wp:extent cx="4650740" cy="1273810"/>
            <wp:effectExtent l="0" t="0" r="16510" b="2540"/>
            <wp:docPr id="32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85"/>
                    <pic:cNvPicPr>
                      <a:picLocks noChangeAspect="1"/>
                    </pic:cNvPicPr>
                  </pic:nvPicPr>
                  <pic:blipFill>
                    <a:blip r:embed="rId293"/>
                    <a:srcRect l="14091" t="7704" r="8934" b="60802"/>
                    <a:stretch>
                      <a:fillRect/>
                    </a:stretch>
                  </pic:blipFill>
                  <pic:spPr>
                    <a:xfrm>
                      <a:off x="0" y="0"/>
                      <a:ext cx="4650740" cy="127381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819"/>
        <w:gridCol w:w="4820"/>
      </w:tblGrid>
      <w:tr w:rsidR="001C08A5" w14:paraId="065C4749" w14:textId="77777777">
        <w:tc>
          <w:tcPr>
            <w:tcW w:w="4927" w:type="dxa"/>
            <w:tcBorders>
              <w:top w:val="nil"/>
              <w:left w:val="nil"/>
              <w:bottom w:val="nil"/>
              <w:right w:val="nil"/>
            </w:tcBorders>
          </w:tcPr>
          <w:p w14:paraId="76AAD04C" w14:textId="77777777" w:rsidR="001C08A5" w:rsidRDefault="00000000">
            <w:pPr>
              <w:jc w:val="center"/>
              <w:rPr>
                <w:rFonts w:eastAsia="Times New Roman"/>
                <w:b/>
                <w:bCs/>
                <w:i/>
                <w:sz w:val="22"/>
                <w:szCs w:val="22"/>
              </w:rPr>
            </w:pPr>
            <w:r>
              <w:rPr>
                <w:rFonts w:eastAsia="Times New Roman"/>
                <w:b/>
                <w:bCs/>
                <w:i/>
                <w:sz w:val="22"/>
                <w:szCs w:val="22"/>
              </w:rPr>
              <w:t>Varianta a) - puţ pentru o cabină</w:t>
            </w:r>
          </w:p>
        </w:tc>
        <w:tc>
          <w:tcPr>
            <w:tcW w:w="4928" w:type="dxa"/>
            <w:tcBorders>
              <w:top w:val="nil"/>
              <w:left w:val="nil"/>
              <w:bottom w:val="nil"/>
              <w:right w:val="nil"/>
            </w:tcBorders>
          </w:tcPr>
          <w:p w14:paraId="1205DF82" w14:textId="77777777" w:rsidR="001C08A5" w:rsidRDefault="00000000">
            <w:pPr>
              <w:jc w:val="center"/>
              <w:rPr>
                <w:rFonts w:eastAsia="Times New Roman"/>
                <w:b/>
                <w:bCs/>
                <w:i/>
                <w:sz w:val="22"/>
                <w:szCs w:val="22"/>
              </w:rPr>
            </w:pPr>
            <w:r>
              <w:rPr>
                <w:rFonts w:eastAsia="Times New Roman"/>
                <w:b/>
                <w:bCs/>
                <w:i/>
                <w:sz w:val="22"/>
                <w:szCs w:val="22"/>
              </w:rPr>
              <w:t>Varianta b) - puţ pentru două cabine</w:t>
            </w:r>
          </w:p>
        </w:tc>
      </w:tr>
    </w:tbl>
    <w:p w14:paraId="1D2772D2" w14:textId="77777777" w:rsidR="001C08A5" w:rsidRDefault="001C08A5">
      <w:pPr>
        <w:jc w:val="both"/>
        <w:rPr>
          <w:rFonts w:eastAsia="Times New Roman"/>
          <w:i/>
          <w:sz w:val="22"/>
          <w:szCs w:val="22"/>
        </w:rPr>
      </w:pPr>
    </w:p>
    <w:p w14:paraId="0D6C97B7" w14:textId="77777777" w:rsidR="001C08A5" w:rsidRDefault="00000000">
      <w:pPr>
        <w:jc w:val="center"/>
        <w:rPr>
          <w:rFonts w:eastAsia="Times New Roman"/>
          <w:i/>
          <w:sz w:val="22"/>
          <w:szCs w:val="22"/>
        </w:rPr>
      </w:pPr>
      <w:r>
        <w:rPr>
          <w:b/>
          <w:bCs/>
          <w:i/>
          <w:noProof/>
          <w:sz w:val="22"/>
          <w:szCs w:val="22"/>
          <w:lang w:eastAsia="ro-RO"/>
        </w:rPr>
        <w:drawing>
          <wp:inline distT="0" distB="0" distL="114300" distR="114300" wp14:anchorId="3444BD4B" wp14:editId="4C1EB72B">
            <wp:extent cx="4589780" cy="1257300"/>
            <wp:effectExtent l="0" t="0" r="1270" b="0"/>
            <wp:docPr id="32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85"/>
                    <pic:cNvPicPr>
                      <a:picLocks noChangeAspect="1"/>
                    </pic:cNvPicPr>
                  </pic:nvPicPr>
                  <pic:blipFill>
                    <a:blip r:embed="rId293"/>
                    <a:srcRect l="14091" t="57195" r="8934" b="11311"/>
                    <a:stretch>
                      <a:fillRect/>
                    </a:stretch>
                  </pic:blipFill>
                  <pic:spPr>
                    <a:xfrm>
                      <a:off x="0" y="0"/>
                      <a:ext cx="4589780" cy="1257300"/>
                    </a:xfrm>
                    <a:prstGeom prst="rect">
                      <a:avLst/>
                    </a:prstGeom>
                    <a:noFill/>
                    <a:ln>
                      <a:noFill/>
                    </a:ln>
                  </pic:spPr>
                </pic:pic>
              </a:graphicData>
            </a:graphic>
          </wp:inline>
        </w:drawing>
      </w:r>
    </w:p>
    <w:p w14:paraId="1A050E84" w14:textId="77777777" w:rsidR="001C08A5" w:rsidRDefault="00000000">
      <w:pPr>
        <w:jc w:val="center"/>
        <w:rPr>
          <w:rFonts w:eastAsia="Times New Roman"/>
          <w:i/>
          <w:sz w:val="22"/>
          <w:szCs w:val="22"/>
        </w:rPr>
      </w:pPr>
      <w:r>
        <w:rPr>
          <w:rFonts w:eastAsia="Times New Roman"/>
          <w:b/>
          <w:bCs/>
          <w:i/>
          <w:sz w:val="22"/>
          <w:szCs w:val="22"/>
        </w:rPr>
        <w:t>Varianta c) - puţ pentru trei cabine</w:t>
      </w:r>
    </w:p>
    <w:p w14:paraId="4F0A98EC" w14:textId="77777777" w:rsidR="001C08A5" w:rsidRDefault="00000000">
      <w:pPr>
        <w:pStyle w:val="Caption"/>
        <w:jc w:val="center"/>
      </w:pPr>
      <w:bookmarkStart w:id="6690" w:name="_Toc142898523"/>
      <w:bookmarkStart w:id="6691" w:name="_Toc16052"/>
      <w:bookmarkStart w:id="6692" w:name="_Toc32689"/>
      <w:r>
        <w:t xml:space="preserve"> </w:t>
      </w:r>
      <w:bookmarkStart w:id="6693" w:name="_Toc162360348"/>
      <w:r>
        <w:t xml:space="preserve">Figura </w:t>
      </w:r>
      <w:r>
        <w:fldChar w:fldCharType="begin"/>
      </w:r>
      <w:r>
        <w:instrText xml:space="preserve"> SEQ Figura \* ARABIC </w:instrText>
      </w:r>
      <w:r>
        <w:fldChar w:fldCharType="separate"/>
      </w:r>
      <w:r>
        <w:t>124</w:t>
      </w:r>
      <w:r>
        <w:fldChar w:fldCharType="end"/>
      </w:r>
      <w:bookmarkStart w:id="6694" w:name="_Toc8111"/>
      <w:bookmarkStart w:id="6695" w:name="_Toc2483"/>
      <w:bookmarkStart w:id="6696" w:name="_Toc19540"/>
      <w:bookmarkStart w:id="6697" w:name="_Toc6516"/>
      <w:bookmarkStart w:id="6698" w:name="_Toc8846"/>
      <w:bookmarkStart w:id="6699" w:name="_Toc23932"/>
      <w:bookmarkStart w:id="6700" w:name="_Toc14835"/>
      <w:bookmarkStart w:id="6701" w:name="_Toc17726"/>
      <w:bookmarkStart w:id="6702" w:name="_Toc31282"/>
      <w:r>
        <w:t xml:space="preserve"> - Cabine de ascensor</w:t>
      </w:r>
      <w:bookmarkEnd w:id="6690"/>
      <w:bookmarkEnd w:id="6691"/>
      <w:bookmarkEnd w:id="6692"/>
      <w:bookmarkEnd w:id="6693"/>
      <w:bookmarkEnd w:id="6694"/>
      <w:bookmarkEnd w:id="6695"/>
      <w:bookmarkEnd w:id="6696"/>
      <w:bookmarkEnd w:id="6697"/>
      <w:bookmarkEnd w:id="6698"/>
      <w:bookmarkEnd w:id="6699"/>
      <w:bookmarkEnd w:id="6700"/>
      <w:bookmarkEnd w:id="6701"/>
      <w:bookmarkEnd w:id="6702"/>
    </w:p>
    <w:p w14:paraId="64996DB3" w14:textId="77777777" w:rsidR="001C08A5" w:rsidRDefault="00000000">
      <w:pPr>
        <w:pStyle w:val="Heading4"/>
        <w:rPr>
          <w:sz w:val="24"/>
          <w:szCs w:val="24"/>
        </w:rPr>
      </w:pPr>
      <w:bookmarkStart w:id="6703" w:name="_Toc8429"/>
      <w:bookmarkStart w:id="6704" w:name="_Toc474"/>
      <w:bookmarkStart w:id="6705" w:name="_Toc25818"/>
      <w:bookmarkStart w:id="6706" w:name="_Toc25160"/>
      <w:bookmarkStart w:id="6707" w:name="_Toc27668"/>
      <w:bookmarkStart w:id="6708" w:name="_Toc162355408"/>
      <w:bookmarkStart w:id="6709" w:name="_Toc23301"/>
      <w:bookmarkStart w:id="6710" w:name="_Toc10302"/>
      <w:bookmarkStart w:id="6711" w:name="_Toc1938"/>
      <w:bookmarkStart w:id="6712" w:name="_Toc1412"/>
      <w:bookmarkStart w:id="6713" w:name="_Toc3065"/>
      <w:bookmarkStart w:id="6714" w:name="_Toc16987"/>
      <w:bookmarkStart w:id="6715" w:name="_Toc8320"/>
      <w:bookmarkStart w:id="6716" w:name="_Toc11223"/>
      <w:bookmarkStart w:id="6717" w:name="_Toc5702"/>
      <w:bookmarkStart w:id="6718" w:name="_Toc6814"/>
      <w:bookmarkStart w:id="6719" w:name="_Toc3153"/>
      <w:r>
        <w:rPr>
          <w:sz w:val="24"/>
          <w:szCs w:val="24"/>
        </w:rPr>
        <w:t>Ascensoare pentru evacuarea persoanelor cu dizabilități și ascensoare pentru intervenție</w:t>
      </w:r>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r>
        <w:rPr>
          <w:sz w:val="24"/>
          <w:szCs w:val="24"/>
        </w:rPr>
        <w:t xml:space="preserve"> </w:t>
      </w:r>
    </w:p>
    <w:p w14:paraId="6D124F4E" w14:textId="77777777" w:rsidR="001C08A5" w:rsidRDefault="00000000">
      <w:pPr>
        <w:pStyle w:val="Heading5"/>
        <w:rPr>
          <w:sz w:val="24"/>
          <w:szCs w:val="24"/>
          <w:lang w:val="ro-RO"/>
        </w:rPr>
      </w:pPr>
      <w:bookmarkStart w:id="6720" w:name="_Toc7161"/>
      <w:bookmarkStart w:id="6721" w:name="_Toc5674"/>
      <w:bookmarkStart w:id="6722" w:name="_Toc20884"/>
      <w:bookmarkStart w:id="6723" w:name="_Toc30580"/>
      <w:bookmarkStart w:id="6724" w:name="_Toc2349"/>
      <w:bookmarkStart w:id="6725" w:name="_Toc27875"/>
      <w:bookmarkStart w:id="6726" w:name="_Toc25136"/>
      <w:bookmarkStart w:id="6727" w:name="_Toc29557"/>
      <w:bookmarkStart w:id="6728" w:name="_Toc27789"/>
      <w:bookmarkStart w:id="6729" w:name="_Toc22094"/>
      <w:bookmarkStart w:id="6730" w:name="_Toc10485"/>
      <w:bookmarkStart w:id="6731" w:name="_Toc162355409"/>
      <w:bookmarkStart w:id="6732" w:name="_Toc1442"/>
      <w:bookmarkStart w:id="6733" w:name="_Toc11841"/>
      <w:bookmarkStart w:id="6734" w:name="_Toc4313"/>
      <w:bookmarkStart w:id="6735" w:name="_Toc240"/>
      <w:bookmarkStart w:id="6736" w:name="_Toc23327"/>
      <w:r>
        <w:rPr>
          <w:sz w:val="24"/>
          <w:szCs w:val="24"/>
        </w:rPr>
        <w:t>Ascensoare p</w:t>
      </w:r>
      <w:bookmarkEnd w:id="6720"/>
      <w:bookmarkEnd w:id="6721"/>
      <w:bookmarkEnd w:id="6722"/>
      <w:bookmarkEnd w:id="6723"/>
      <w:bookmarkEnd w:id="6724"/>
      <w:bookmarkEnd w:id="6725"/>
      <w:bookmarkEnd w:id="6726"/>
      <w:bookmarkEnd w:id="6727"/>
      <w:bookmarkEnd w:id="6728"/>
      <w:bookmarkEnd w:id="6729"/>
      <w:bookmarkEnd w:id="6730"/>
      <w:r>
        <w:rPr>
          <w:sz w:val="24"/>
          <w:szCs w:val="24"/>
          <w:lang w:val="ro-RO"/>
        </w:rPr>
        <w:t xml:space="preserve">revăzute pentru transportul persoanelor cu căruciorul sau a persoanelor cu dizabilităţi care pot fi utilizate şi pentru evacuarea asistată </w:t>
      </w:r>
      <w:proofErr w:type="gramStart"/>
      <w:r>
        <w:rPr>
          <w:sz w:val="24"/>
          <w:szCs w:val="24"/>
          <w:lang w:val="ro-RO"/>
        </w:rPr>
        <w:t>a</w:t>
      </w:r>
      <w:proofErr w:type="gramEnd"/>
      <w:r>
        <w:rPr>
          <w:sz w:val="24"/>
          <w:szCs w:val="24"/>
          <w:lang w:val="ro-RO"/>
        </w:rPr>
        <w:t xml:space="preserve"> acestora în caz de incendiu</w:t>
      </w:r>
      <w:bookmarkEnd w:id="6731"/>
      <w:bookmarkEnd w:id="6732"/>
      <w:bookmarkEnd w:id="6733"/>
      <w:bookmarkEnd w:id="6734"/>
      <w:bookmarkEnd w:id="6735"/>
      <w:bookmarkEnd w:id="6736"/>
    </w:p>
    <w:p w14:paraId="72795706" w14:textId="77777777" w:rsidR="001C08A5" w:rsidRDefault="001C08A5">
      <w:pPr>
        <w:autoSpaceDE w:val="0"/>
        <w:autoSpaceDN w:val="0"/>
        <w:adjustRightInd w:val="0"/>
        <w:rPr>
          <w:b/>
          <w:bCs/>
          <w:i/>
          <w:iCs/>
          <w:sz w:val="24"/>
          <w:szCs w:val="24"/>
          <w:lang w:val="en-US" w:eastAsia="en-US"/>
        </w:rPr>
      </w:pPr>
    </w:p>
    <w:p w14:paraId="340C6C67"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Ascensoarele pentru transportul persoanelor cu căruciorul sau a persoanelor cu dizabilităţi care pot fi utilizate şi pentru evacuarea asistată a acestora în caz de incendiu se prevăd obligatoriu la clădiri cu persoane care nu se pot evacua singure (definite conform terminologie) și suplimentar conform </w:t>
      </w:r>
      <w:r>
        <w:rPr>
          <w:b/>
          <w:i/>
          <w:sz w:val="24"/>
          <w:szCs w:val="24"/>
        </w:rPr>
        <w:t>Art. 2.4.4.3.3.</w:t>
      </w:r>
      <w:r>
        <w:rPr>
          <w:bCs/>
          <w:i/>
          <w:sz w:val="24"/>
          <w:szCs w:val="24"/>
        </w:rPr>
        <w:t xml:space="preserve"> </w:t>
      </w:r>
    </w:p>
    <w:p w14:paraId="5BA7828F" w14:textId="77777777" w:rsidR="001C08A5" w:rsidRDefault="001C08A5">
      <w:pPr>
        <w:autoSpaceDE w:val="0"/>
        <w:autoSpaceDN w:val="0"/>
        <w:adjustRightInd w:val="0"/>
        <w:rPr>
          <w:rFonts w:ascii="Arial" w:hAnsi="Arial" w:cs="Arial"/>
          <w:sz w:val="24"/>
          <w:szCs w:val="24"/>
          <w:lang w:eastAsia="en-US"/>
        </w:rPr>
      </w:pPr>
    </w:p>
    <w:p w14:paraId="44488B4E" w14:textId="77777777" w:rsidR="001C08A5" w:rsidRDefault="00000000">
      <w:pPr>
        <w:numPr>
          <w:ilvl w:val="0"/>
          <w:numId w:val="96"/>
        </w:numPr>
        <w:tabs>
          <w:tab w:val="left" w:pos="426"/>
          <w:tab w:val="left" w:pos="993"/>
        </w:tabs>
        <w:jc w:val="both"/>
        <w:rPr>
          <w:bCs/>
          <w:i/>
          <w:sz w:val="24"/>
          <w:szCs w:val="24"/>
        </w:rPr>
      </w:pPr>
      <w:r>
        <w:rPr>
          <w:bCs/>
          <w:i/>
          <w:sz w:val="24"/>
          <w:szCs w:val="24"/>
        </w:rPr>
        <w:t>Ascensoarele prevăzute pentru transportul bolnavilor cu patul cu rotile, cu targa ori căruciorul sau a persoanelor cu dizabilităţi care pot fi utilizate şi pentru evacuarea asistată a acestora în caz de incendiu se prevăd obligatoriu la clădiri pentru sănătate sau mixte cu funcțiuni de sănătate în care evacuarea utilizatorilor în caz de incendiu trebuie efectuată cu patul cu rotile, targa sau căruciorul</w:t>
      </w:r>
      <w:r>
        <w:rPr>
          <w:b/>
          <w:i/>
          <w:sz w:val="24"/>
          <w:szCs w:val="24"/>
        </w:rPr>
        <w:t>.</w:t>
      </w:r>
      <w:r>
        <w:rPr>
          <w:bCs/>
          <w:i/>
          <w:sz w:val="24"/>
          <w:szCs w:val="24"/>
        </w:rPr>
        <w:t xml:space="preserve"> </w:t>
      </w:r>
    </w:p>
    <w:p w14:paraId="2E1503A2" w14:textId="77777777" w:rsidR="001C08A5" w:rsidRDefault="001C08A5">
      <w:pPr>
        <w:numPr>
          <w:ilvl w:val="255"/>
          <w:numId w:val="0"/>
        </w:numPr>
        <w:tabs>
          <w:tab w:val="left" w:pos="426"/>
          <w:tab w:val="left" w:pos="993"/>
        </w:tabs>
        <w:jc w:val="both"/>
        <w:rPr>
          <w:bCs/>
          <w:i/>
          <w:sz w:val="24"/>
          <w:szCs w:val="24"/>
        </w:rPr>
      </w:pPr>
    </w:p>
    <w:p w14:paraId="77391E96"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Ascensoarele prevăzute pentru transportul persoanelor cu căruciorul sau a persoanelor cu dizabilităţi care pot fi utilizate şi pentru evacuarea asistată a acestora în caz de incendiu se dispun în puţ propriu separat de restul construcţiei prin pereţi rezistenţi la foc și planșee rezistente la foc conform: </w:t>
      </w:r>
    </w:p>
    <w:p w14:paraId="65575E4B"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3.1.4.4. alin. (2) </w:t>
      </w:r>
      <w:r>
        <w:rPr>
          <w:bCs/>
          <w:i/>
          <w:sz w:val="24"/>
          <w:szCs w:val="24"/>
        </w:rPr>
        <w:t>pentru clădiri cu înălțime obișnuită;</w:t>
      </w:r>
    </w:p>
    <w:p w14:paraId="63C9628C"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4.1.4.13. alin. (1) lit. a) </w:t>
      </w:r>
      <w:r>
        <w:rPr>
          <w:bCs/>
          <w:i/>
          <w:sz w:val="24"/>
          <w:szCs w:val="24"/>
        </w:rPr>
        <w:t>pentru clădiri înalte;</w:t>
      </w:r>
    </w:p>
    <w:p w14:paraId="3FD68600"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4.2.4.13. alin. (1) lit. a) </w:t>
      </w:r>
      <w:r>
        <w:rPr>
          <w:bCs/>
          <w:i/>
          <w:sz w:val="24"/>
          <w:szCs w:val="24"/>
        </w:rPr>
        <w:t>pentru clădiri foarte înalte.</w:t>
      </w:r>
    </w:p>
    <w:p w14:paraId="23DF927B" w14:textId="77777777" w:rsidR="001C08A5" w:rsidRDefault="001C08A5">
      <w:pPr>
        <w:numPr>
          <w:ilvl w:val="255"/>
          <w:numId w:val="0"/>
        </w:numPr>
        <w:tabs>
          <w:tab w:val="left" w:pos="426"/>
          <w:tab w:val="left" w:pos="993"/>
        </w:tabs>
        <w:jc w:val="both"/>
        <w:rPr>
          <w:bCs/>
          <w:i/>
          <w:sz w:val="24"/>
          <w:szCs w:val="24"/>
        </w:rPr>
      </w:pPr>
    </w:p>
    <w:p w14:paraId="5303426A"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Ascensoarele prevăzute pentru transportul persoanelor cu căruciorul sau a persoanelor cu dizabilităţi care pot fi utilizate şi pentru evacuarea asistată a acestora în caz de incendiu trebuie să respecte simultan prevederile: </w:t>
      </w:r>
    </w:p>
    <w:p w14:paraId="3F17AC28"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3.1.4.4. </w:t>
      </w:r>
      <w:r>
        <w:rPr>
          <w:b/>
          <w:bCs/>
          <w:i/>
          <w:sz w:val="24"/>
          <w:szCs w:val="24"/>
        </w:rPr>
        <w:t xml:space="preserve">alin. (3), lit. (c), (d), (e), (f) și (g) </w:t>
      </w:r>
      <w:r>
        <w:rPr>
          <w:bCs/>
          <w:i/>
          <w:sz w:val="24"/>
          <w:szCs w:val="24"/>
        </w:rPr>
        <w:t xml:space="preserve">pentru clădiri cu înălțime obișnuită; </w:t>
      </w:r>
    </w:p>
    <w:p w14:paraId="0A345799"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Art. 4.1.4.13. alin. (1) lit. b)</w:t>
      </w:r>
      <w:r>
        <w:rPr>
          <w:bCs/>
          <w:i/>
          <w:sz w:val="24"/>
          <w:szCs w:val="24"/>
        </w:rPr>
        <w:t xml:space="preserve"> și</w:t>
      </w:r>
      <w:r>
        <w:rPr>
          <w:b/>
          <w:i/>
          <w:sz w:val="24"/>
          <w:szCs w:val="24"/>
        </w:rPr>
        <w:t xml:space="preserve"> </w:t>
      </w:r>
      <w:r>
        <w:rPr>
          <w:b/>
          <w:bCs/>
          <w:i/>
          <w:sz w:val="24"/>
          <w:szCs w:val="24"/>
        </w:rPr>
        <w:t>Art. 3.1.4.4. alin. (3), lit. (c), (d), (e), (f) și (g)</w:t>
      </w:r>
      <w:r>
        <w:rPr>
          <w:b/>
          <w:i/>
          <w:sz w:val="24"/>
          <w:szCs w:val="24"/>
        </w:rPr>
        <w:t xml:space="preserve"> </w:t>
      </w:r>
      <w:r>
        <w:rPr>
          <w:bCs/>
          <w:i/>
          <w:sz w:val="24"/>
          <w:szCs w:val="24"/>
        </w:rPr>
        <w:t>pentru clădiri înalte;</w:t>
      </w:r>
    </w:p>
    <w:p w14:paraId="15112CA0"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Art. 4.2.4.13. alin. (1) lit. b)</w:t>
      </w:r>
      <w:r>
        <w:rPr>
          <w:bCs/>
          <w:i/>
          <w:sz w:val="24"/>
          <w:szCs w:val="24"/>
        </w:rPr>
        <w:t xml:space="preserve"> și</w:t>
      </w:r>
      <w:r>
        <w:rPr>
          <w:b/>
          <w:i/>
          <w:sz w:val="24"/>
          <w:szCs w:val="24"/>
        </w:rPr>
        <w:t xml:space="preserve"> </w:t>
      </w:r>
      <w:r>
        <w:rPr>
          <w:b/>
          <w:bCs/>
          <w:i/>
          <w:sz w:val="24"/>
          <w:szCs w:val="24"/>
        </w:rPr>
        <w:t xml:space="preserve">Art. 3.1.4.4. alin. (3), lit. (c), (d), (e), (f) și (g) </w:t>
      </w:r>
      <w:r>
        <w:rPr>
          <w:bCs/>
          <w:i/>
          <w:sz w:val="24"/>
          <w:szCs w:val="24"/>
        </w:rPr>
        <w:t>pentru clădiri foarte înalte.</w:t>
      </w:r>
    </w:p>
    <w:p w14:paraId="4EE9B7C3" w14:textId="77777777" w:rsidR="001C08A5" w:rsidRDefault="001C08A5">
      <w:pPr>
        <w:numPr>
          <w:ilvl w:val="255"/>
          <w:numId w:val="0"/>
        </w:numPr>
        <w:tabs>
          <w:tab w:val="left" w:pos="426"/>
          <w:tab w:val="left" w:pos="993"/>
        </w:tabs>
        <w:jc w:val="both"/>
        <w:rPr>
          <w:bCs/>
          <w:i/>
          <w:sz w:val="24"/>
          <w:szCs w:val="24"/>
        </w:rPr>
      </w:pPr>
    </w:p>
    <w:p w14:paraId="773B922C" w14:textId="77777777" w:rsidR="001C08A5" w:rsidRDefault="00000000">
      <w:pPr>
        <w:numPr>
          <w:ilvl w:val="0"/>
          <w:numId w:val="96"/>
        </w:numPr>
        <w:tabs>
          <w:tab w:val="left" w:pos="426"/>
          <w:tab w:val="left" w:pos="993"/>
        </w:tabs>
        <w:jc w:val="both"/>
        <w:rPr>
          <w:bCs/>
          <w:i/>
          <w:sz w:val="24"/>
          <w:szCs w:val="24"/>
        </w:rPr>
      </w:pPr>
      <w:r>
        <w:rPr>
          <w:bCs/>
          <w:i/>
          <w:sz w:val="24"/>
          <w:szCs w:val="24"/>
        </w:rPr>
        <w:lastRenderedPageBreak/>
        <w:t xml:space="preserve">Accesul la ascensoarele prevăzute pentru transportul persoanelor cu căruciorul sau a persoanelor cu dizabilităţi care pot fi utilizate şi pentru evacuarea asistată a acestora în caz de incendiu trebuie să respecte prevederile: </w:t>
      </w:r>
    </w:p>
    <w:p w14:paraId="43639620"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3.1.4.5. alin. (1) </w:t>
      </w:r>
      <w:r>
        <w:rPr>
          <w:rFonts w:ascii="Arial" w:hAnsi="Arial" w:cs="Arial"/>
          <w:b/>
          <w:i/>
          <w:sz w:val="24"/>
          <w:szCs w:val="24"/>
        </w:rPr>
        <w:t>÷</w:t>
      </w:r>
      <w:r>
        <w:rPr>
          <w:rFonts w:ascii="Arial"/>
          <w:b/>
          <w:i/>
          <w:sz w:val="24"/>
          <w:szCs w:val="24"/>
        </w:rPr>
        <w:t xml:space="preserve"> </w:t>
      </w:r>
      <w:r>
        <w:rPr>
          <w:b/>
          <w:i/>
          <w:sz w:val="24"/>
          <w:szCs w:val="24"/>
        </w:rPr>
        <w:t xml:space="preserve">alin. (4) </w:t>
      </w:r>
      <w:r>
        <w:rPr>
          <w:bCs/>
          <w:i/>
          <w:sz w:val="24"/>
          <w:szCs w:val="24"/>
        </w:rPr>
        <w:t xml:space="preserve">pentru clădiri cu înălțime obișnuită; </w:t>
      </w:r>
    </w:p>
    <w:p w14:paraId="5E831214"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4.1.4.13. alin. (2) </w:t>
      </w:r>
      <w:r>
        <w:rPr>
          <w:rFonts w:ascii="Arial" w:hAnsi="Arial" w:cs="Arial"/>
          <w:b/>
          <w:i/>
          <w:sz w:val="24"/>
          <w:szCs w:val="24"/>
        </w:rPr>
        <w:t>÷</w:t>
      </w:r>
      <w:r>
        <w:rPr>
          <w:rFonts w:ascii="Arial"/>
          <w:b/>
          <w:i/>
          <w:sz w:val="24"/>
          <w:szCs w:val="24"/>
        </w:rPr>
        <w:t xml:space="preserve"> </w:t>
      </w:r>
      <w:r>
        <w:rPr>
          <w:b/>
          <w:i/>
          <w:sz w:val="24"/>
          <w:szCs w:val="24"/>
        </w:rPr>
        <w:t xml:space="preserve">alin. (7) </w:t>
      </w:r>
      <w:r>
        <w:rPr>
          <w:bCs/>
          <w:i/>
          <w:sz w:val="24"/>
          <w:szCs w:val="24"/>
        </w:rPr>
        <w:t>pentru clădiri înalte;</w:t>
      </w:r>
    </w:p>
    <w:p w14:paraId="65597BE7"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4.2.4.13. alin. (2) </w:t>
      </w:r>
      <w:r>
        <w:rPr>
          <w:rFonts w:ascii="Arial" w:hAnsi="Arial" w:cs="Arial"/>
          <w:b/>
          <w:i/>
          <w:sz w:val="24"/>
          <w:szCs w:val="24"/>
        </w:rPr>
        <w:t>÷</w:t>
      </w:r>
      <w:r>
        <w:rPr>
          <w:rFonts w:ascii="Arial"/>
          <w:b/>
          <w:i/>
          <w:sz w:val="24"/>
          <w:szCs w:val="24"/>
        </w:rPr>
        <w:t xml:space="preserve"> </w:t>
      </w:r>
      <w:r>
        <w:rPr>
          <w:b/>
          <w:i/>
          <w:sz w:val="24"/>
          <w:szCs w:val="24"/>
        </w:rPr>
        <w:t xml:space="preserve">alin. (7) </w:t>
      </w:r>
      <w:r>
        <w:rPr>
          <w:bCs/>
          <w:i/>
          <w:sz w:val="24"/>
          <w:szCs w:val="24"/>
        </w:rPr>
        <w:t>pentru clădiri foarte înalte.</w:t>
      </w:r>
    </w:p>
    <w:p w14:paraId="34F349AD" w14:textId="77777777" w:rsidR="001C08A5" w:rsidRDefault="001C08A5">
      <w:pPr>
        <w:autoSpaceDE w:val="0"/>
        <w:autoSpaceDN w:val="0"/>
        <w:adjustRightInd w:val="0"/>
        <w:rPr>
          <w:rFonts w:ascii="Arial" w:hAnsi="Arial" w:cs="Arial"/>
          <w:sz w:val="24"/>
          <w:szCs w:val="24"/>
          <w:lang w:eastAsia="en-US"/>
        </w:rPr>
      </w:pPr>
    </w:p>
    <w:p w14:paraId="745E35E1"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5165CD0E" wp14:editId="49786328">
            <wp:extent cx="2837815" cy="2607310"/>
            <wp:effectExtent l="0" t="0" r="635" b="2540"/>
            <wp:docPr id="1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8"/>
                    <pic:cNvPicPr>
                      <a:picLocks noChangeAspect="1"/>
                    </pic:cNvPicPr>
                  </pic:nvPicPr>
                  <pic:blipFill>
                    <a:blip r:embed="rId294"/>
                    <a:srcRect l="12560" t="29956" r="49844" b="21999"/>
                    <a:stretch>
                      <a:fillRect/>
                    </a:stretch>
                  </pic:blipFill>
                  <pic:spPr>
                    <a:xfrm>
                      <a:off x="0" y="0"/>
                      <a:ext cx="2837815" cy="2607310"/>
                    </a:xfrm>
                    <a:prstGeom prst="rect">
                      <a:avLst/>
                    </a:prstGeom>
                    <a:noFill/>
                    <a:ln>
                      <a:noFill/>
                    </a:ln>
                  </pic:spPr>
                </pic:pic>
              </a:graphicData>
            </a:graphic>
          </wp:inline>
        </w:drawing>
      </w:r>
    </w:p>
    <w:p w14:paraId="5D45F63E" w14:textId="77777777" w:rsidR="001C08A5" w:rsidRDefault="00000000">
      <w:pPr>
        <w:autoSpaceDE w:val="0"/>
        <w:autoSpaceDN w:val="0"/>
        <w:adjustRightInd w:val="0"/>
        <w:jc w:val="center"/>
        <w:rPr>
          <w:b/>
          <w:bCs/>
          <w:i/>
          <w:iCs/>
          <w:sz w:val="22"/>
          <w:szCs w:val="22"/>
          <w:lang w:eastAsia="en-US"/>
        </w:rPr>
      </w:pPr>
      <w:r>
        <w:rPr>
          <w:b/>
          <w:bCs/>
          <w:i/>
          <w:iCs/>
          <w:sz w:val="22"/>
          <w:szCs w:val="22"/>
          <w:lang w:eastAsia="en-US"/>
        </w:rPr>
        <w:t>Varianta a.1) la clădiri cu înălțime obișnuită</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1C08A5" w14:paraId="30EB895F" w14:textId="77777777">
        <w:tc>
          <w:tcPr>
            <w:tcW w:w="5000" w:type="pct"/>
          </w:tcPr>
          <w:p w14:paraId="60048BF4"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2979EAE8"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60</w:t>
            </w:r>
          </w:p>
          <w:p w14:paraId="453582E6" w14:textId="77777777" w:rsidR="001C08A5" w:rsidRDefault="00000000">
            <w:pPr>
              <w:autoSpaceDE w:val="0"/>
              <w:autoSpaceDN w:val="0"/>
              <w:adjustRightInd w:val="0"/>
              <w:jc w:val="left"/>
              <w:rPr>
                <w:i/>
                <w:iCs/>
                <w:sz w:val="22"/>
                <w:szCs w:val="22"/>
                <w:lang w:eastAsia="en-US"/>
              </w:rPr>
            </w:pPr>
            <w:r>
              <w:rPr>
                <w:i/>
                <w:iCs/>
                <w:sz w:val="22"/>
                <w:szCs w:val="22"/>
                <w:lang w:val="en-US" w:eastAsia="en-US"/>
              </w:rPr>
              <w:t xml:space="preserve">Notă: </w:t>
            </w:r>
            <w:r>
              <w:rPr>
                <w:i/>
                <w:iCs/>
                <w:sz w:val="22"/>
                <w:szCs w:val="22"/>
                <w:u w:val="single"/>
                <w:lang w:val="en-US" w:eastAsia="en-US"/>
              </w:rPr>
              <w:t>atunci când debușează în spații ferite de fum</w:t>
            </w:r>
          </w:p>
        </w:tc>
      </w:tr>
      <w:tr w:rsidR="001C08A5" w14:paraId="7C9C6520" w14:textId="77777777">
        <w:trPr>
          <w:trHeight w:val="90"/>
        </w:trPr>
        <w:tc>
          <w:tcPr>
            <w:tcW w:w="5000" w:type="pct"/>
          </w:tcPr>
          <w:p w14:paraId="5701D6DB" w14:textId="77777777" w:rsidR="001C08A5" w:rsidRDefault="00000000">
            <w:pPr>
              <w:autoSpaceDE w:val="0"/>
              <w:autoSpaceDN w:val="0"/>
              <w:adjustRightInd w:val="0"/>
              <w:jc w:val="left"/>
              <w:rPr>
                <w:i/>
                <w:iCs/>
                <w:sz w:val="22"/>
                <w:szCs w:val="22"/>
                <w:lang w:eastAsia="en-US"/>
              </w:rPr>
            </w:pPr>
            <w:r>
              <w:rPr>
                <w:i/>
                <w:iCs/>
                <w:sz w:val="22"/>
                <w:szCs w:val="22"/>
                <w:lang w:val="en-US" w:eastAsia="en-US"/>
              </w:rPr>
              <w:t xml:space="preserve">Notă: </w:t>
            </w:r>
            <w:r>
              <w:rPr>
                <w:bCs/>
                <w:i/>
                <w:iCs/>
                <w:sz w:val="22"/>
                <w:szCs w:val="22"/>
                <w:lang w:eastAsia="en-US"/>
              </w:rPr>
              <w:t>toate ușile spațiilor în care debușează</w:t>
            </w:r>
            <w:r>
              <w:rPr>
                <w:bCs/>
                <w:i/>
                <w:iCs/>
                <w:sz w:val="22"/>
                <w:szCs w:val="22"/>
                <w:lang w:val="en-US" w:eastAsia="en-US"/>
              </w:rPr>
              <w:t xml:space="preserve"> sunt rezisten</w:t>
            </w:r>
            <w:r>
              <w:rPr>
                <w:bCs/>
                <w:i/>
                <w:iCs/>
                <w:sz w:val="22"/>
                <w:szCs w:val="22"/>
                <w:lang w:eastAsia="en-US"/>
              </w:rPr>
              <w:t>te</w:t>
            </w:r>
            <w:r>
              <w:rPr>
                <w:bCs/>
                <w:i/>
                <w:iCs/>
                <w:sz w:val="22"/>
                <w:szCs w:val="22"/>
                <w:lang w:val="en-US" w:eastAsia="en-US"/>
              </w:rPr>
              <w:t xml:space="preserve"> la foc min </w:t>
            </w:r>
            <w:r>
              <w:rPr>
                <w:b/>
                <w:i/>
                <w:iCs/>
                <w:sz w:val="22"/>
                <w:szCs w:val="22"/>
                <w:lang w:val="en-US" w:eastAsia="en-US"/>
              </w:rPr>
              <w:t>EI</w:t>
            </w:r>
            <w:r>
              <w:rPr>
                <w:b/>
                <w:i/>
                <w:iCs/>
                <w:sz w:val="22"/>
                <w:szCs w:val="22"/>
                <w:vertAlign w:val="subscript"/>
                <w:lang w:val="en-US" w:eastAsia="en-US"/>
              </w:rPr>
              <w:t>2</w:t>
            </w:r>
            <w:r>
              <w:rPr>
                <w:b/>
                <w:i/>
                <w:iCs/>
                <w:sz w:val="22"/>
                <w:szCs w:val="22"/>
                <w:vertAlign w:val="subscript"/>
                <w:lang w:eastAsia="en-US"/>
              </w:rPr>
              <w:t xml:space="preserve"> </w:t>
            </w:r>
            <w:r>
              <w:rPr>
                <w:b/>
                <w:i/>
                <w:iCs/>
                <w:sz w:val="22"/>
                <w:szCs w:val="22"/>
                <w:lang w:eastAsia="en-US"/>
              </w:rPr>
              <w:t>3</w:t>
            </w:r>
            <w:r>
              <w:rPr>
                <w:b/>
                <w:i/>
                <w:iCs/>
                <w:sz w:val="22"/>
                <w:szCs w:val="22"/>
                <w:lang w:val="en-US" w:eastAsia="en-US"/>
              </w:rPr>
              <w:t>0-C5S</w:t>
            </w:r>
            <w:r>
              <w:rPr>
                <w:b/>
                <w:bCs/>
                <w:i/>
                <w:iCs/>
                <w:sz w:val="22"/>
                <w:szCs w:val="22"/>
                <w:vertAlign w:val="subscript"/>
                <w:lang w:val="en-US" w:eastAsia="en-US"/>
              </w:rPr>
              <w:t>200</w:t>
            </w:r>
            <w:r>
              <w:rPr>
                <w:b/>
                <w:bCs/>
                <w:i/>
                <w:iCs/>
                <w:sz w:val="22"/>
                <w:szCs w:val="22"/>
                <w:vertAlign w:val="subscript"/>
                <w:lang w:eastAsia="en-US"/>
              </w:rPr>
              <w:t xml:space="preserve"> </w:t>
            </w:r>
            <w:r>
              <w:rPr>
                <w:i/>
                <w:iCs/>
                <w:sz w:val="22"/>
                <w:szCs w:val="22"/>
                <w:lang w:eastAsia="en-US"/>
              </w:rPr>
              <w:t xml:space="preserve">și pereții min </w:t>
            </w:r>
            <w:r>
              <w:rPr>
                <w:b/>
                <w:bCs/>
                <w:i/>
                <w:iCs/>
                <w:sz w:val="22"/>
                <w:szCs w:val="22"/>
                <w:lang w:eastAsia="en-US"/>
              </w:rPr>
              <w:t>EI60</w:t>
            </w:r>
          </w:p>
        </w:tc>
      </w:tr>
    </w:tbl>
    <w:p w14:paraId="16E0671A" w14:textId="77777777" w:rsidR="001C08A5" w:rsidRDefault="001C08A5">
      <w:pPr>
        <w:autoSpaceDE w:val="0"/>
        <w:autoSpaceDN w:val="0"/>
        <w:adjustRightInd w:val="0"/>
        <w:rPr>
          <w:rFonts w:ascii="Arial" w:hAnsi="Arial" w:cs="Arial"/>
          <w:sz w:val="24"/>
          <w:szCs w:val="24"/>
          <w:lang w:eastAsia="en-US"/>
        </w:rPr>
      </w:pPr>
    </w:p>
    <w:p w14:paraId="39E00845"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2A80E3E7" wp14:editId="2DB3DDC0">
            <wp:extent cx="3252470" cy="2321560"/>
            <wp:effectExtent l="0" t="0" r="5080" b="2540"/>
            <wp:docPr id="2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8"/>
                    <pic:cNvPicPr>
                      <a:picLocks noChangeAspect="1"/>
                    </pic:cNvPicPr>
                  </pic:nvPicPr>
                  <pic:blipFill>
                    <a:blip r:embed="rId294"/>
                    <a:srcRect l="49651" t="29956" r="7260" b="27265"/>
                    <a:stretch>
                      <a:fillRect/>
                    </a:stretch>
                  </pic:blipFill>
                  <pic:spPr>
                    <a:xfrm>
                      <a:off x="0" y="0"/>
                      <a:ext cx="3252470" cy="2321560"/>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2EA4DAD5" w14:textId="77777777">
        <w:tc>
          <w:tcPr>
            <w:tcW w:w="5000" w:type="pct"/>
            <w:gridSpan w:val="2"/>
          </w:tcPr>
          <w:p w14:paraId="62A9FEE7"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a.2) la clădiri cu înălțime obișnuită</w:t>
            </w:r>
          </w:p>
        </w:tc>
      </w:tr>
      <w:tr w:rsidR="001C08A5" w14:paraId="290B1C87" w14:textId="77777777">
        <w:tc>
          <w:tcPr>
            <w:tcW w:w="4924" w:type="dxa"/>
          </w:tcPr>
          <w:p w14:paraId="056BDAF9"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5BC41C6"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60</w:t>
            </w:r>
          </w:p>
          <w:p w14:paraId="72340F0F"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tc>
        <w:tc>
          <w:tcPr>
            <w:tcW w:w="4931" w:type="dxa"/>
          </w:tcPr>
          <w:p w14:paraId="5232B34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7E138160"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60</w:t>
            </w:r>
          </w:p>
          <w:p w14:paraId="4D574BFE"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r>
      <w:tr w:rsidR="001C08A5" w14:paraId="70560F19" w14:textId="77777777">
        <w:tc>
          <w:tcPr>
            <w:tcW w:w="2498" w:type="pct"/>
          </w:tcPr>
          <w:p w14:paraId="2A5224EF"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6</w:t>
            </w:r>
            <w:r>
              <w:rPr>
                <w:b/>
                <w:i/>
                <w:iCs/>
                <w:sz w:val="22"/>
                <w:szCs w:val="22"/>
                <w:lang w:val="en-US" w:eastAsia="en-US"/>
              </w:rPr>
              <w:t>0</w:t>
            </w:r>
          </w:p>
        </w:tc>
        <w:tc>
          <w:tcPr>
            <w:tcW w:w="2501" w:type="pct"/>
          </w:tcPr>
          <w:p w14:paraId="2C5FC003"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6</w:t>
            </w:r>
            <w:r>
              <w:rPr>
                <w:b/>
                <w:i/>
                <w:iCs/>
                <w:sz w:val="22"/>
                <w:szCs w:val="22"/>
                <w:lang w:val="en-US" w:eastAsia="en-US"/>
              </w:rPr>
              <w:t>0</w:t>
            </w:r>
          </w:p>
        </w:tc>
      </w:tr>
      <w:tr w:rsidR="001C08A5" w14:paraId="5A7C68A5" w14:textId="77777777">
        <w:trPr>
          <w:trHeight w:val="220"/>
        </w:trPr>
        <w:tc>
          <w:tcPr>
            <w:tcW w:w="5000" w:type="pct"/>
            <w:gridSpan w:val="2"/>
          </w:tcPr>
          <w:p w14:paraId="308E3462"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4020A31E" w14:textId="77777777">
        <w:tc>
          <w:tcPr>
            <w:tcW w:w="4924" w:type="dxa"/>
          </w:tcPr>
          <w:p w14:paraId="71C761F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09076E99"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7D2A99E7"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tc>
        <w:tc>
          <w:tcPr>
            <w:tcW w:w="4931" w:type="dxa"/>
          </w:tcPr>
          <w:p w14:paraId="665F2734"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6B6FF27E"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40B6CE99"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r>
      <w:tr w:rsidR="001C08A5" w14:paraId="5C787E1E" w14:textId="77777777">
        <w:tc>
          <w:tcPr>
            <w:tcW w:w="2498" w:type="pct"/>
          </w:tcPr>
          <w:p w14:paraId="3F1E8014"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1024525D"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18ECDEE2" w14:textId="77777777">
        <w:tc>
          <w:tcPr>
            <w:tcW w:w="5000" w:type="pct"/>
            <w:gridSpan w:val="2"/>
          </w:tcPr>
          <w:p w14:paraId="158B37EB"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6C677DA2" w14:textId="77777777">
        <w:tc>
          <w:tcPr>
            <w:tcW w:w="4924" w:type="dxa"/>
          </w:tcPr>
          <w:p w14:paraId="522F338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77D8C16B" w14:textId="77777777" w:rsidR="001C08A5" w:rsidRDefault="00000000">
            <w:pPr>
              <w:autoSpaceDE w:val="0"/>
              <w:autoSpaceDN w:val="0"/>
              <w:adjustRightInd w:val="0"/>
              <w:jc w:val="left"/>
              <w:rPr>
                <w:b/>
                <w:i/>
                <w:iCs/>
                <w:sz w:val="22"/>
                <w:szCs w:val="22"/>
                <w:lang w:eastAsia="en-US"/>
              </w:rPr>
            </w:pPr>
            <w:r>
              <w:rPr>
                <w:b/>
                <w:bCs/>
                <w:i/>
                <w:iCs/>
                <w:sz w:val="22"/>
                <w:szCs w:val="22"/>
                <w:lang w:eastAsia="en-US"/>
              </w:rPr>
              <w:lastRenderedPageBreak/>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1811DFB"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c>
          <w:tcPr>
            <w:tcW w:w="4931" w:type="dxa"/>
          </w:tcPr>
          <w:p w14:paraId="6168069D"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lastRenderedPageBreak/>
              <w:t>În subteran:</w:t>
            </w:r>
          </w:p>
          <w:p w14:paraId="6ED2AC78" w14:textId="77777777" w:rsidR="001C08A5" w:rsidRDefault="00000000">
            <w:pPr>
              <w:autoSpaceDE w:val="0"/>
              <w:autoSpaceDN w:val="0"/>
              <w:adjustRightInd w:val="0"/>
              <w:jc w:val="left"/>
              <w:rPr>
                <w:b/>
                <w:i/>
                <w:iCs/>
                <w:sz w:val="22"/>
                <w:szCs w:val="22"/>
                <w:lang w:eastAsia="en-US"/>
              </w:rPr>
            </w:pPr>
            <w:r>
              <w:rPr>
                <w:b/>
                <w:bCs/>
                <w:i/>
                <w:iCs/>
                <w:sz w:val="22"/>
                <w:szCs w:val="22"/>
                <w:lang w:eastAsia="en-US"/>
              </w:rPr>
              <w:lastRenderedPageBreak/>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232F65F7"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r>
      <w:tr w:rsidR="001C08A5" w14:paraId="4C8C46A0" w14:textId="77777777">
        <w:tc>
          <w:tcPr>
            <w:tcW w:w="2498" w:type="pct"/>
          </w:tcPr>
          <w:p w14:paraId="594BA5F0"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4629CC37"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54E31950" w14:textId="77777777">
        <w:tc>
          <w:tcPr>
            <w:tcW w:w="5000" w:type="pct"/>
            <w:gridSpan w:val="2"/>
          </w:tcPr>
          <w:p w14:paraId="3C7E5080"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4F5FD90B" w14:textId="77777777">
        <w:tc>
          <w:tcPr>
            <w:tcW w:w="4924" w:type="dxa"/>
          </w:tcPr>
          <w:p w14:paraId="274EF199"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A9744C3"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835BFF0" w14:textId="77777777" w:rsidR="001C08A5" w:rsidRDefault="00000000">
            <w:pPr>
              <w:autoSpaceDE w:val="0"/>
              <w:autoSpaceDN w:val="0"/>
              <w:adjustRightInd w:val="0"/>
              <w:jc w:val="left"/>
              <w:rPr>
                <w:i/>
                <w:iCs/>
                <w:sz w:val="22"/>
                <w:szCs w:val="22"/>
                <w:lang w:val="en-US" w:eastAsia="en-US"/>
              </w:rPr>
            </w:pPr>
            <w:r>
              <w:rPr>
                <w:b/>
                <w:bCs/>
                <w:i/>
                <w:iCs/>
                <w:sz w:val="22"/>
                <w:szCs w:val="22"/>
                <w:lang w:val="en-US"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c>
          <w:tcPr>
            <w:tcW w:w="4931" w:type="dxa"/>
          </w:tcPr>
          <w:p w14:paraId="01111E87"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08CCC756"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307DAC0" w14:textId="77777777" w:rsidR="001C08A5" w:rsidRDefault="00000000">
            <w:pPr>
              <w:autoSpaceDE w:val="0"/>
              <w:autoSpaceDN w:val="0"/>
              <w:adjustRightInd w:val="0"/>
              <w:jc w:val="left"/>
              <w:rPr>
                <w:i/>
                <w:iCs/>
                <w:sz w:val="22"/>
                <w:szCs w:val="22"/>
                <w:lang w:val="en-US" w:eastAsia="en-US"/>
              </w:rPr>
            </w:pPr>
            <w:r>
              <w:rPr>
                <w:b/>
                <w:bCs/>
                <w:i/>
                <w:iCs/>
                <w:sz w:val="22"/>
                <w:szCs w:val="22"/>
                <w:lang w:val="en-US" w:eastAsia="en-US"/>
              </w:rPr>
              <w:t>F</w:t>
            </w:r>
            <w:r>
              <w:rPr>
                <w:i/>
                <w:iCs/>
                <w:sz w:val="22"/>
                <w:szCs w:val="22"/>
                <w:lang w:val="en-US" w:eastAsia="en-US"/>
              </w:rPr>
              <w:t xml:space="preserve"> -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r>
      <w:tr w:rsidR="001C08A5" w14:paraId="1A6707CB" w14:textId="77777777">
        <w:tc>
          <w:tcPr>
            <w:tcW w:w="2498" w:type="pct"/>
          </w:tcPr>
          <w:p w14:paraId="2B1662A9"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14D3BF85"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7DA2AC3E" w14:textId="77777777" w:rsidR="001C08A5" w:rsidRDefault="001C08A5">
      <w:pPr>
        <w:autoSpaceDE w:val="0"/>
        <w:autoSpaceDN w:val="0"/>
        <w:adjustRightInd w:val="0"/>
        <w:jc w:val="center"/>
        <w:rPr>
          <w:rFonts w:ascii="Arial" w:hAnsi="Arial" w:cs="Arial"/>
          <w:sz w:val="24"/>
          <w:szCs w:val="24"/>
          <w:lang w:val="en-US" w:eastAsia="en-US"/>
        </w:rPr>
      </w:pPr>
    </w:p>
    <w:p w14:paraId="64B6BAE3" w14:textId="77777777" w:rsidR="001C08A5" w:rsidRDefault="00000000">
      <w:pPr>
        <w:pStyle w:val="Caption"/>
        <w:autoSpaceDE w:val="0"/>
        <w:autoSpaceDN w:val="0"/>
        <w:adjustRightInd w:val="0"/>
        <w:jc w:val="center"/>
        <w:rPr>
          <w:rFonts w:ascii="Arial" w:hAnsi="Arial" w:cs="Arial"/>
          <w:lang w:val="en-US" w:eastAsia="en-US"/>
        </w:rPr>
      </w:pPr>
      <w:bookmarkStart w:id="6737" w:name="_Toc162360349"/>
      <w:r>
        <w:t xml:space="preserve">Figura </w:t>
      </w:r>
      <w:r>
        <w:fldChar w:fldCharType="begin"/>
      </w:r>
      <w:r>
        <w:instrText xml:space="preserve"> SEQ Figura \* ARABIC </w:instrText>
      </w:r>
      <w:r>
        <w:fldChar w:fldCharType="separate"/>
      </w:r>
      <w:r>
        <w:t>125</w:t>
      </w:r>
      <w:r>
        <w:fldChar w:fldCharType="end"/>
      </w:r>
      <w:bookmarkStart w:id="6738" w:name="_Toc19473"/>
      <w:bookmarkStart w:id="6739" w:name="_Toc23244"/>
      <w:bookmarkStart w:id="6740" w:name="_Toc18803"/>
      <w:bookmarkStart w:id="6741" w:name="_Toc6687"/>
      <w:bookmarkStart w:id="6742" w:name="_Toc23952"/>
      <w:bookmarkStart w:id="6743" w:name="_Toc19152"/>
      <w:bookmarkStart w:id="6744" w:name="_Toc27490"/>
      <w:bookmarkStart w:id="6745" w:name="_Toc21958"/>
      <w:bookmarkStart w:id="6746" w:name="_Toc30562"/>
      <w:r>
        <w:t xml:space="preserve"> - Caz general goluri de acces la ascensoare prevăzute pentru transportul persoanelor cu căruciorul sau a persoanelor cu dizabilităţi care pot fi utilizate şi pentru evacuarea asistată a acestora în caz de incendiu</w:t>
      </w:r>
      <w:bookmarkEnd w:id="6737"/>
      <w:bookmarkEnd w:id="6738"/>
      <w:bookmarkEnd w:id="6739"/>
      <w:bookmarkEnd w:id="6740"/>
      <w:bookmarkEnd w:id="6741"/>
      <w:bookmarkEnd w:id="6742"/>
      <w:bookmarkEnd w:id="6743"/>
      <w:bookmarkEnd w:id="6744"/>
      <w:bookmarkEnd w:id="6745"/>
      <w:bookmarkEnd w:id="6746"/>
    </w:p>
    <w:p w14:paraId="512C73C0" w14:textId="77777777" w:rsidR="001C08A5" w:rsidRDefault="001C08A5">
      <w:pPr>
        <w:autoSpaceDE w:val="0"/>
        <w:autoSpaceDN w:val="0"/>
        <w:adjustRightInd w:val="0"/>
        <w:jc w:val="center"/>
        <w:rPr>
          <w:b/>
          <w:i/>
          <w:iCs/>
          <w:sz w:val="24"/>
          <w:szCs w:val="24"/>
        </w:rPr>
      </w:pPr>
    </w:p>
    <w:p w14:paraId="31616C0F" w14:textId="77777777" w:rsidR="001C08A5" w:rsidRDefault="00000000">
      <w:pPr>
        <w:autoSpaceDE w:val="0"/>
        <w:autoSpaceDN w:val="0"/>
        <w:adjustRightInd w:val="0"/>
        <w:jc w:val="center"/>
        <w:rPr>
          <w:b/>
          <w:i/>
          <w:iCs/>
          <w:sz w:val="24"/>
          <w:szCs w:val="24"/>
        </w:rPr>
      </w:pPr>
      <w:r>
        <w:rPr>
          <w:rFonts w:ascii="Arial" w:hAnsi="Arial" w:cs="Arial"/>
          <w:noProof/>
          <w:sz w:val="24"/>
          <w:szCs w:val="24"/>
          <w:lang w:val="en-US" w:eastAsia="en-US"/>
        </w:rPr>
        <w:drawing>
          <wp:inline distT="0" distB="0" distL="114300" distR="114300" wp14:anchorId="684ED781" wp14:editId="33AE5804">
            <wp:extent cx="2363470" cy="3464560"/>
            <wp:effectExtent l="0" t="0" r="17780" b="2540"/>
            <wp:docPr id="2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12"/>
                    <pic:cNvPicPr>
                      <a:picLocks noChangeAspect="1"/>
                    </pic:cNvPicPr>
                  </pic:nvPicPr>
                  <pic:blipFill>
                    <a:blip r:embed="rId295"/>
                    <a:srcRect l="57155" t="4973" r="11534" b="31184"/>
                    <a:stretch>
                      <a:fillRect/>
                    </a:stretch>
                  </pic:blipFill>
                  <pic:spPr>
                    <a:xfrm>
                      <a:off x="0" y="0"/>
                      <a:ext cx="2363470" cy="3464560"/>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73C8C673" w14:textId="77777777">
        <w:tc>
          <w:tcPr>
            <w:tcW w:w="5000" w:type="pct"/>
            <w:gridSpan w:val="2"/>
          </w:tcPr>
          <w:p w14:paraId="017B5717"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a.1) la clădiri cu înălțime obișnuită</w:t>
            </w:r>
          </w:p>
        </w:tc>
      </w:tr>
      <w:tr w:rsidR="001C08A5" w14:paraId="2E814F93" w14:textId="77777777">
        <w:tc>
          <w:tcPr>
            <w:tcW w:w="2498" w:type="pct"/>
          </w:tcPr>
          <w:p w14:paraId="78721359"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B5D4686"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546772FF"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p>
          <w:p w14:paraId="1FB38531"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60</w:t>
            </w:r>
          </w:p>
        </w:tc>
        <w:tc>
          <w:tcPr>
            <w:tcW w:w="2501" w:type="pct"/>
          </w:tcPr>
          <w:p w14:paraId="4509798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1786EF08"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E8CBCFB"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p>
          <w:p w14:paraId="683AB010"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60</w:t>
            </w:r>
          </w:p>
        </w:tc>
      </w:tr>
      <w:tr w:rsidR="001C08A5" w14:paraId="4390183E" w14:textId="77777777">
        <w:tc>
          <w:tcPr>
            <w:tcW w:w="2498" w:type="pct"/>
          </w:tcPr>
          <w:p w14:paraId="31D67440"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6</w:t>
            </w:r>
            <w:r>
              <w:rPr>
                <w:b/>
                <w:i/>
                <w:iCs/>
                <w:sz w:val="22"/>
                <w:szCs w:val="22"/>
                <w:lang w:val="en-US" w:eastAsia="en-US"/>
              </w:rPr>
              <w:t>0</w:t>
            </w:r>
          </w:p>
        </w:tc>
        <w:tc>
          <w:tcPr>
            <w:tcW w:w="2501" w:type="pct"/>
          </w:tcPr>
          <w:p w14:paraId="0B36776C"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6</w:t>
            </w:r>
            <w:r>
              <w:rPr>
                <w:b/>
                <w:i/>
                <w:iCs/>
                <w:sz w:val="22"/>
                <w:szCs w:val="22"/>
                <w:lang w:val="en-US" w:eastAsia="en-US"/>
              </w:rPr>
              <w:t>0</w:t>
            </w:r>
          </w:p>
        </w:tc>
      </w:tr>
      <w:tr w:rsidR="001C08A5" w14:paraId="0EA10CC2" w14:textId="77777777">
        <w:trPr>
          <w:trHeight w:val="220"/>
        </w:trPr>
        <w:tc>
          <w:tcPr>
            <w:tcW w:w="5000" w:type="pct"/>
            <w:gridSpan w:val="2"/>
          </w:tcPr>
          <w:p w14:paraId="09FECA3C"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1D29040B" w14:textId="77777777">
        <w:tc>
          <w:tcPr>
            <w:tcW w:w="2498" w:type="pct"/>
          </w:tcPr>
          <w:p w14:paraId="5373215A"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02D3605A"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02240A55"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3BAD03BF"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77758EF2"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73F9C6E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051A3C1"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6703F05D"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744EA7E8" w14:textId="77777777">
        <w:tc>
          <w:tcPr>
            <w:tcW w:w="2498" w:type="pct"/>
          </w:tcPr>
          <w:p w14:paraId="498CCED2"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39E72A4D"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0DE2E247" w14:textId="77777777">
        <w:tc>
          <w:tcPr>
            <w:tcW w:w="5000" w:type="pct"/>
            <w:gridSpan w:val="2"/>
          </w:tcPr>
          <w:p w14:paraId="088C6A9E"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555DB852" w14:textId="77777777">
        <w:tc>
          <w:tcPr>
            <w:tcW w:w="2498" w:type="pct"/>
          </w:tcPr>
          <w:p w14:paraId="540F7E15"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7164BF9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118285A"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56D0EC9F"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28126721"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650B2EE2"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9128265"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562144EA"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1F5062C8" w14:textId="77777777">
        <w:tc>
          <w:tcPr>
            <w:tcW w:w="2498" w:type="pct"/>
          </w:tcPr>
          <w:p w14:paraId="07751089"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w:t>
            </w:r>
            <w:r>
              <w:rPr>
                <w:bCs/>
                <w:i/>
                <w:iCs/>
                <w:sz w:val="22"/>
                <w:szCs w:val="22"/>
                <w:lang w:val="en-US" w:eastAsia="en-US"/>
              </w:rPr>
              <w:lastRenderedPageBreak/>
              <w:t xml:space="preserve">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31081D14"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lastRenderedPageBreak/>
              <w:t xml:space="preserve">Notă: </w:t>
            </w:r>
            <w:r>
              <w:rPr>
                <w:bCs/>
                <w:i/>
                <w:iCs/>
                <w:sz w:val="22"/>
                <w:szCs w:val="22"/>
                <w:lang w:val="en-US" w:eastAsia="en-US"/>
              </w:rPr>
              <w:t xml:space="preserve">pereții încăperii tampon ventilată în </w:t>
            </w:r>
            <w:r>
              <w:rPr>
                <w:bCs/>
                <w:i/>
                <w:iCs/>
                <w:sz w:val="22"/>
                <w:szCs w:val="22"/>
                <w:lang w:val="en-US" w:eastAsia="en-US"/>
              </w:rPr>
              <w:lastRenderedPageBreak/>
              <w:t xml:space="preserve">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5DFE3C16" w14:textId="77777777">
        <w:tc>
          <w:tcPr>
            <w:tcW w:w="5000" w:type="pct"/>
            <w:gridSpan w:val="2"/>
          </w:tcPr>
          <w:p w14:paraId="69EA5650"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41111CD9" w14:textId="77777777">
        <w:tc>
          <w:tcPr>
            <w:tcW w:w="4924" w:type="dxa"/>
          </w:tcPr>
          <w:p w14:paraId="7D540FF3"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CF4D610"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7C4F628"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5A244E45"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4931" w:type="dxa"/>
          </w:tcPr>
          <w:p w14:paraId="3DDBA314"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2E0C1354"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04E47EC"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7629EA5E"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74E03B69" w14:textId="77777777">
        <w:tc>
          <w:tcPr>
            <w:tcW w:w="2498" w:type="pct"/>
          </w:tcPr>
          <w:p w14:paraId="488C7EAF"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50E4CED9"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59543084" w14:textId="77777777" w:rsidR="001C08A5" w:rsidRDefault="001C08A5">
      <w:pPr>
        <w:autoSpaceDE w:val="0"/>
        <w:autoSpaceDN w:val="0"/>
        <w:adjustRightInd w:val="0"/>
        <w:jc w:val="center"/>
        <w:rPr>
          <w:b/>
          <w:i/>
          <w:iCs/>
          <w:sz w:val="24"/>
          <w:szCs w:val="24"/>
        </w:rPr>
      </w:pPr>
    </w:p>
    <w:p w14:paraId="0DD61E15" w14:textId="77777777" w:rsidR="001C08A5" w:rsidRDefault="00000000">
      <w:pPr>
        <w:pStyle w:val="Caption"/>
        <w:autoSpaceDE w:val="0"/>
        <w:autoSpaceDN w:val="0"/>
        <w:adjustRightInd w:val="0"/>
        <w:jc w:val="center"/>
        <w:rPr>
          <w:rFonts w:ascii="Arial" w:hAnsi="Arial" w:cs="Arial"/>
          <w:lang w:val="en-US" w:eastAsia="en-US"/>
        </w:rPr>
      </w:pPr>
      <w:bookmarkStart w:id="6747" w:name="_Toc162360350"/>
      <w:r>
        <w:t xml:space="preserve">Figura </w:t>
      </w:r>
      <w:r>
        <w:fldChar w:fldCharType="begin"/>
      </w:r>
      <w:r>
        <w:instrText xml:space="preserve"> SEQ Figura \* ARABIC </w:instrText>
      </w:r>
      <w:r>
        <w:fldChar w:fldCharType="separate"/>
      </w:r>
      <w:r>
        <w:t>126</w:t>
      </w:r>
      <w:r>
        <w:fldChar w:fldCharType="end"/>
      </w:r>
      <w:bookmarkStart w:id="6748" w:name="_Toc30632"/>
      <w:bookmarkStart w:id="6749" w:name="_Toc21420"/>
      <w:bookmarkStart w:id="6750" w:name="_Toc4424"/>
      <w:bookmarkStart w:id="6751" w:name="_Toc27400"/>
      <w:bookmarkStart w:id="6752" w:name="_Toc31357"/>
      <w:bookmarkStart w:id="6753" w:name="_Toc23956"/>
      <w:bookmarkStart w:id="6754" w:name="_Toc18177"/>
      <w:bookmarkStart w:id="6755" w:name="_Toc27770"/>
      <w:bookmarkStart w:id="6756" w:name="_Toc21510"/>
      <w:r>
        <w:t xml:space="preserve"> - Goluri de acces la ascensoare prevăzute pentru transportul persoanelor cu căruciorul sau a persoanelor cu dizabilităţi care pot fi utilizate şi pentru evacuarea asistată a acestora în caz de incendiu și la scări de evacuare a persoanelor atunci când debușează într-o încăpere tampon ventilată în suprapresiune comună</w:t>
      </w:r>
      <w:bookmarkEnd w:id="6747"/>
      <w:bookmarkEnd w:id="6748"/>
      <w:bookmarkEnd w:id="6749"/>
      <w:bookmarkEnd w:id="6750"/>
      <w:bookmarkEnd w:id="6751"/>
      <w:bookmarkEnd w:id="6752"/>
      <w:bookmarkEnd w:id="6753"/>
      <w:bookmarkEnd w:id="6754"/>
      <w:bookmarkEnd w:id="6755"/>
      <w:bookmarkEnd w:id="6756"/>
    </w:p>
    <w:p w14:paraId="6A4CD535" w14:textId="77777777" w:rsidR="001C08A5" w:rsidRDefault="001C08A5">
      <w:pPr>
        <w:autoSpaceDE w:val="0"/>
        <w:autoSpaceDN w:val="0"/>
        <w:adjustRightInd w:val="0"/>
        <w:rPr>
          <w:rFonts w:ascii="Arial" w:hAnsi="Arial" w:cs="Arial"/>
          <w:sz w:val="24"/>
          <w:szCs w:val="24"/>
          <w:lang w:val="en-US" w:eastAsia="en-US"/>
        </w:rPr>
      </w:pPr>
    </w:p>
    <w:p w14:paraId="209C3A55" w14:textId="77777777" w:rsidR="001C08A5" w:rsidRDefault="00000000">
      <w:pPr>
        <w:autoSpaceDE w:val="0"/>
        <w:autoSpaceDN w:val="0"/>
        <w:adjustRightInd w:val="0"/>
        <w:jc w:val="center"/>
        <w:rPr>
          <w:b/>
          <w:i/>
          <w:iCs/>
          <w:sz w:val="24"/>
          <w:szCs w:val="24"/>
        </w:rPr>
      </w:pPr>
      <w:r>
        <w:rPr>
          <w:rFonts w:ascii="Arial" w:hAnsi="Arial" w:cs="Arial"/>
          <w:noProof/>
          <w:sz w:val="24"/>
          <w:szCs w:val="24"/>
          <w:lang w:val="en-US" w:eastAsia="en-US"/>
        </w:rPr>
        <w:drawing>
          <wp:inline distT="0" distB="0" distL="114300" distR="114300" wp14:anchorId="4273575D" wp14:editId="5DEB5051">
            <wp:extent cx="1900555" cy="2944495"/>
            <wp:effectExtent l="0" t="0" r="4445" b="8255"/>
            <wp:docPr id="2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13"/>
                    <pic:cNvPicPr>
                      <a:picLocks noChangeAspect="1"/>
                    </pic:cNvPicPr>
                  </pic:nvPicPr>
                  <pic:blipFill>
                    <a:blip r:embed="rId296"/>
                    <a:srcRect l="14798" t="7536" r="60024" b="38205"/>
                    <a:stretch>
                      <a:fillRect/>
                    </a:stretch>
                  </pic:blipFill>
                  <pic:spPr>
                    <a:xfrm>
                      <a:off x="0" y="0"/>
                      <a:ext cx="1900555" cy="2944495"/>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732B7AF1" w14:textId="77777777">
        <w:tc>
          <w:tcPr>
            <w:tcW w:w="5000" w:type="pct"/>
            <w:gridSpan w:val="2"/>
          </w:tcPr>
          <w:p w14:paraId="24768DD2"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a.1) la clădiri cu înălțime obișnuită</w:t>
            </w:r>
          </w:p>
        </w:tc>
      </w:tr>
      <w:tr w:rsidR="001C08A5" w14:paraId="45D2AEF2" w14:textId="77777777">
        <w:tc>
          <w:tcPr>
            <w:tcW w:w="2498" w:type="pct"/>
          </w:tcPr>
          <w:p w14:paraId="66185E9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FF1CE8D"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0A8DCF31"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60</w:t>
            </w:r>
          </w:p>
          <w:p w14:paraId="7D5247B7"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60</w:t>
            </w:r>
          </w:p>
        </w:tc>
        <w:tc>
          <w:tcPr>
            <w:tcW w:w="2501" w:type="pct"/>
          </w:tcPr>
          <w:p w14:paraId="58962B2B"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1402FBD9"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1846489"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60</w:t>
            </w:r>
          </w:p>
          <w:p w14:paraId="5F11B828"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60</w:t>
            </w:r>
          </w:p>
        </w:tc>
      </w:tr>
      <w:tr w:rsidR="001C08A5" w14:paraId="60B7F19A" w14:textId="77777777">
        <w:tc>
          <w:tcPr>
            <w:tcW w:w="2498" w:type="pct"/>
          </w:tcPr>
          <w:p w14:paraId="3E8E60A4"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6</w:t>
            </w:r>
            <w:r>
              <w:rPr>
                <w:b/>
                <w:i/>
                <w:iCs/>
                <w:sz w:val="22"/>
                <w:szCs w:val="22"/>
                <w:lang w:val="en-US" w:eastAsia="en-US"/>
              </w:rPr>
              <w:t>0</w:t>
            </w:r>
          </w:p>
        </w:tc>
        <w:tc>
          <w:tcPr>
            <w:tcW w:w="2501" w:type="pct"/>
          </w:tcPr>
          <w:p w14:paraId="771E4E8A"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6</w:t>
            </w:r>
            <w:r>
              <w:rPr>
                <w:b/>
                <w:i/>
                <w:iCs/>
                <w:sz w:val="22"/>
                <w:szCs w:val="22"/>
                <w:lang w:val="en-US" w:eastAsia="en-US"/>
              </w:rPr>
              <w:t>0</w:t>
            </w:r>
          </w:p>
        </w:tc>
      </w:tr>
      <w:tr w:rsidR="001C08A5" w14:paraId="5AECE99A" w14:textId="77777777">
        <w:trPr>
          <w:trHeight w:val="220"/>
        </w:trPr>
        <w:tc>
          <w:tcPr>
            <w:tcW w:w="5000" w:type="pct"/>
            <w:gridSpan w:val="2"/>
          </w:tcPr>
          <w:p w14:paraId="0BBC8953"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5DF59362" w14:textId="77777777">
        <w:tc>
          <w:tcPr>
            <w:tcW w:w="2498" w:type="pct"/>
          </w:tcPr>
          <w:p w14:paraId="4DCA987A"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704870DC"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261EA162"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0021F104"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3127D3B6"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5FF1BBDE"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7C11833"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25CA5397"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3A129D59" w14:textId="77777777">
        <w:tc>
          <w:tcPr>
            <w:tcW w:w="2498" w:type="pct"/>
          </w:tcPr>
          <w:p w14:paraId="3123F40A"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4B55EA84"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513173AA" w14:textId="77777777">
        <w:tc>
          <w:tcPr>
            <w:tcW w:w="5000" w:type="pct"/>
            <w:gridSpan w:val="2"/>
          </w:tcPr>
          <w:p w14:paraId="772B3F89"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3D557583" w14:textId="77777777">
        <w:tc>
          <w:tcPr>
            <w:tcW w:w="2498" w:type="pct"/>
          </w:tcPr>
          <w:p w14:paraId="712F1533"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64D3A91"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BCC9C06"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038A79BC"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726CD5D2"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5453BFCA"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BF194CE"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6DE6764E"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74A89A76" w14:textId="77777777">
        <w:tc>
          <w:tcPr>
            <w:tcW w:w="2498" w:type="pct"/>
          </w:tcPr>
          <w:p w14:paraId="128A0114"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5358119D"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773FCF87" w14:textId="77777777">
        <w:tc>
          <w:tcPr>
            <w:tcW w:w="5000" w:type="pct"/>
            <w:gridSpan w:val="2"/>
          </w:tcPr>
          <w:p w14:paraId="033A8653"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3BD7E651" w14:textId="77777777">
        <w:tc>
          <w:tcPr>
            <w:tcW w:w="4924" w:type="dxa"/>
          </w:tcPr>
          <w:p w14:paraId="660962C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11F836D"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101AE3D" w14:textId="77777777" w:rsidR="001C08A5" w:rsidRDefault="00000000">
            <w:pPr>
              <w:autoSpaceDE w:val="0"/>
              <w:autoSpaceDN w:val="0"/>
              <w:adjustRightInd w:val="0"/>
              <w:jc w:val="left"/>
              <w:rPr>
                <w:b/>
                <w:i/>
                <w:iCs/>
                <w:sz w:val="22"/>
                <w:szCs w:val="22"/>
                <w:lang w:eastAsia="en-US"/>
              </w:rPr>
            </w:pPr>
            <w:r>
              <w:rPr>
                <w:b/>
                <w:bCs/>
                <w:i/>
                <w:iCs/>
                <w:sz w:val="22"/>
                <w:szCs w:val="22"/>
                <w:lang w:eastAsia="en-US"/>
              </w:rPr>
              <w:lastRenderedPageBreak/>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8861222"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4931" w:type="dxa"/>
          </w:tcPr>
          <w:p w14:paraId="0A727022"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lastRenderedPageBreak/>
              <w:t>În subteran:</w:t>
            </w:r>
          </w:p>
          <w:p w14:paraId="634475C2"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4667029" w14:textId="77777777" w:rsidR="001C08A5" w:rsidRDefault="00000000">
            <w:pPr>
              <w:autoSpaceDE w:val="0"/>
              <w:autoSpaceDN w:val="0"/>
              <w:adjustRightInd w:val="0"/>
              <w:jc w:val="left"/>
              <w:rPr>
                <w:b/>
                <w:i/>
                <w:iCs/>
                <w:sz w:val="22"/>
                <w:szCs w:val="22"/>
                <w:lang w:eastAsia="en-US"/>
              </w:rPr>
            </w:pPr>
            <w:r>
              <w:rPr>
                <w:b/>
                <w:bCs/>
                <w:i/>
                <w:iCs/>
                <w:sz w:val="22"/>
                <w:szCs w:val="22"/>
                <w:lang w:eastAsia="en-US"/>
              </w:rPr>
              <w:lastRenderedPageBreak/>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78E9C92E"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43F8FD54" w14:textId="77777777">
        <w:tc>
          <w:tcPr>
            <w:tcW w:w="2498" w:type="pct"/>
          </w:tcPr>
          <w:p w14:paraId="64AB8DF6"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2471FCB9"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421B5B3A" w14:textId="77777777" w:rsidR="001C08A5" w:rsidRDefault="001C08A5">
      <w:pPr>
        <w:autoSpaceDE w:val="0"/>
        <w:autoSpaceDN w:val="0"/>
        <w:adjustRightInd w:val="0"/>
        <w:jc w:val="center"/>
        <w:rPr>
          <w:b/>
          <w:i/>
          <w:iCs/>
          <w:sz w:val="24"/>
          <w:szCs w:val="24"/>
        </w:rPr>
      </w:pPr>
    </w:p>
    <w:p w14:paraId="2E87A680" w14:textId="77777777" w:rsidR="001C08A5" w:rsidRDefault="00000000">
      <w:pPr>
        <w:pStyle w:val="Caption"/>
        <w:autoSpaceDE w:val="0"/>
        <w:autoSpaceDN w:val="0"/>
        <w:adjustRightInd w:val="0"/>
        <w:jc w:val="center"/>
        <w:rPr>
          <w:rFonts w:ascii="Arial" w:hAnsi="Arial" w:cs="Arial"/>
          <w:lang w:val="en-US" w:eastAsia="en-US"/>
        </w:rPr>
      </w:pPr>
      <w:bookmarkStart w:id="6757" w:name="_Toc162360351"/>
      <w:r>
        <w:t xml:space="preserve">Figura </w:t>
      </w:r>
      <w:r>
        <w:fldChar w:fldCharType="begin"/>
      </w:r>
      <w:r>
        <w:instrText xml:space="preserve"> SEQ Figura \* ARABIC </w:instrText>
      </w:r>
      <w:r>
        <w:fldChar w:fldCharType="separate"/>
      </w:r>
      <w:r>
        <w:t>127</w:t>
      </w:r>
      <w:r>
        <w:fldChar w:fldCharType="end"/>
      </w:r>
      <w:bookmarkStart w:id="6758" w:name="_Toc17150"/>
      <w:bookmarkStart w:id="6759" w:name="_Toc4024"/>
      <w:bookmarkStart w:id="6760" w:name="_Toc6229"/>
      <w:bookmarkStart w:id="6761" w:name="_Toc11478"/>
      <w:bookmarkStart w:id="6762" w:name="_Toc15030"/>
      <w:bookmarkStart w:id="6763" w:name="_Toc31001"/>
      <w:bookmarkStart w:id="6764" w:name="_Toc11083"/>
      <w:bookmarkStart w:id="6765" w:name="_Toc6897"/>
      <w:bookmarkStart w:id="6766" w:name="_Toc26315"/>
      <w:r>
        <w:t xml:space="preserve"> - Goluri de acces la ascensoare prevăzute pentru transportul persoanelor cu căruciorul sau a persoanelor cu dizabilităţi care pot fi utilizate şi pentru evacuarea asistată a acestora în caz de incendiu și la ascensoare prevăzute pentru circulația funcțională a persoanelor și la atunci când debușează într-o încăpere tampon ventilată în suprapresiune comună</w:t>
      </w:r>
      <w:bookmarkEnd w:id="6757"/>
      <w:bookmarkEnd w:id="6758"/>
      <w:bookmarkEnd w:id="6759"/>
      <w:bookmarkEnd w:id="6760"/>
      <w:bookmarkEnd w:id="6761"/>
      <w:bookmarkEnd w:id="6762"/>
      <w:bookmarkEnd w:id="6763"/>
      <w:bookmarkEnd w:id="6764"/>
      <w:bookmarkEnd w:id="6765"/>
      <w:bookmarkEnd w:id="6766"/>
    </w:p>
    <w:p w14:paraId="250B3B97" w14:textId="77777777" w:rsidR="001C08A5" w:rsidRDefault="001C08A5">
      <w:pPr>
        <w:autoSpaceDE w:val="0"/>
        <w:autoSpaceDN w:val="0"/>
        <w:adjustRightInd w:val="0"/>
        <w:rPr>
          <w:rFonts w:ascii="Arial" w:hAnsi="Arial" w:cs="Arial"/>
          <w:sz w:val="24"/>
          <w:szCs w:val="24"/>
          <w:lang w:val="en-US" w:eastAsia="en-US"/>
        </w:rPr>
      </w:pPr>
    </w:p>
    <w:p w14:paraId="3AF9E773" w14:textId="77777777" w:rsidR="001C08A5" w:rsidRDefault="00000000">
      <w:pPr>
        <w:autoSpaceDE w:val="0"/>
        <w:autoSpaceDN w:val="0"/>
        <w:adjustRightInd w:val="0"/>
        <w:jc w:val="center"/>
        <w:rPr>
          <w:b/>
          <w:i/>
          <w:iCs/>
          <w:sz w:val="24"/>
          <w:szCs w:val="24"/>
        </w:rPr>
      </w:pPr>
      <w:r>
        <w:rPr>
          <w:rFonts w:ascii="Arial" w:hAnsi="Arial" w:cs="Arial"/>
          <w:noProof/>
          <w:sz w:val="24"/>
          <w:szCs w:val="24"/>
          <w:lang w:val="en-US" w:eastAsia="en-US"/>
        </w:rPr>
        <w:drawing>
          <wp:inline distT="0" distB="0" distL="114300" distR="114300" wp14:anchorId="277522D9" wp14:editId="53C69621">
            <wp:extent cx="3836035" cy="2944495"/>
            <wp:effectExtent l="0" t="0" r="12065" b="8255"/>
            <wp:docPr id="2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13"/>
                    <pic:cNvPicPr>
                      <a:picLocks noChangeAspect="1"/>
                    </pic:cNvPicPr>
                  </pic:nvPicPr>
                  <pic:blipFill>
                    <a:blip r:embed="rId296"/>
                    <a:srcRect l="41340" t="7536" r="7840" b="38205"/>
                    <a:stretch>
                      <a:fillRect/>
                    </a:stretch>
                  </pic:blipFill>
                  <pic:spPr>
                    <a:xfrm>
                      <a:off x="0" y="0"/>
                      <a:ext cx="3836035" cy="2944495"/>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0F230AEA" w14:textId="77777777">
        <w:tc>
          <w:tcPr>
            <w:tcW w:w="5000" w:type="pct"/>
            <w:gridSpan w:val="2"/>
          </w:tcPr>
          <w:p w14:paraId="2030E738"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a.1) la clădiri cu înălțime obișnuită</w:t>
            </w:r>
          </w:p>
        </w:tc>
      </w:tr>
      <w:tr w:rsidR="001C08A5" w14:paraId="6810000A" w14:textId="77777777">
        <w:tc>
          <w:tcPr>
            <w:tcW w:w="2498" w:type="pct"/>
          </w:tcPr>
          <w:p w14:paraId="4E6675FE"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BC979F3"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0B582F9B"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p>
          <w:p w14:paraId="5126F5FE"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60</w:t>
            </w:r>
          </w:p>
          <w:p w14:paraId="5EB80350"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60</w:t>
            </w:r>
          </w:p>
        </w:tc>
        <w:tc>
          <w:tcPr>
            <w:tcW w:w="2501" w:type="pct"/>
          </w:tcPr>
          <w:p w14:paraId="5463FF6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1B4B2A55"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DA3ACA9"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p>
          <w:p w14:paraId="7B23A88E"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60</w:t>
            </w:r>
          </w:p>
          <w:p w14:paraId="220655A3"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60</w:t>
            </w:r>
          </w:p>
        </w:tc>
      </w:tr>
      <w:tr w:rsidR="001C08A5" w14:paraId="4823A799" w14:textId="77777777">
        <w:tc>
          <w:tcPr>
            <w:tcW w:w="2498" w:type="pct"/>
          </w:tcPr>
          <w:p w14:paraId="48DE77D1"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6</w:t>
            </w:r>
            <w:r>
              <w:rPr>
                <w:b/>
                <w:i/>
                <w:iCs/>
                <w:sz w:val="22"/>
                <w:szCs w:val="22"/>
                <w:lang w:val="en-US" w:eastAsia="en-US"/>
              </w:rPr>
              <w:t>0</w:t>
            </w:r>
          </w:p>
        </w:tc>
        <w:tc>
          <w:tcPr>
            <w:tcW w:w="2501" w:type="pct"/>
          </w:tcPr>
          <w:p w14:paraId="19A77441"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6</w:t>
            </w:r>
            <w:r>
              <w:rPr>
                <w:b/>
                <w:i/>
                <w:iCs/>
                <w:sz w:val="22"/>
                <w:szCs w:val="22"/>
                <w:lang w:val="en-US" w:eastAsia="en-US"/>
              </w:rPr>
              <w:t>0</w:t>
            </w:r>
          </w:p>
        </w:tc>
      </w:tr>
      <w:tr w:rsidR="001C08A5" w14:paraId="53EFC1ED" w14:textId="77777777">
        <w:trPr>
          <w:trHeight w:val="220"/>
        </w:trPr>
        <w:tc>
          <w:tcPr>
            <w:tcW w:w="5000" w:type="pct"/>
            <w:gridSpan w:val="2"/>
          </w:tcPr>
          <w:p w14:paraId="1AE16516"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6ADCD0B6" w14:textId="77777777">
        <w:tc>
          <w:tcPr>
            <w:tcW w:w="2498" w:type="pct"/>
          </w:tcPr>
          <w:p w14:paraId="2FEF7F22"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1ED139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4F166D30"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2A67ADA5"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667D594C"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71D7A7F3"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79531254"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2F326DE"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4526B9FC"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79B9E03F"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25DE6BB0" w14:textId="77777777">
        <w:tc>
          <w:tcPr>
            <w:tcW w:w="2498" w:type="pct"/>
          </w:tcPr>
          <w:p w14:paraId="343FD1D3"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0F61614C"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10871BB6" w14:textId="77777777">
        <w:tc>
          <w:tcPr>
            <w:tcW w:w="5000" w:type="pct"/>
            <w:gridSpan w:val="2"/>
          </w:tcPr>
          <w:p w14:paraId="60D618ED"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55093334" w14:textId="77777777">
        <w:tc>
          <w:tcPr>
            <w:tcW w:w="2498" w:type="pct"/>
          </w:tcPr>
          <w:p w14:paraId="2A3EBFE7"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454CFE4"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4B848E8"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2CD18F0D"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7E69A3FC"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35C4F894"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60810D52"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1E8EE89"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7013DF40"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45688027"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32D7C8E2" w14:textId="77777777">
        <w:tc>
          <w:tcPr>
            <w:tcW w:w="2498" w:type="pct"/>
          </w:tcPr>
          <w:p w14:paraId="5CFE4654"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21DCE8B2"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5D58E75C" w14:textId="77777777">
        <w:tc>
          <w:tcPr>
            <w:tcW w:w="5000" w:type="pct"/>
            <w:gridSpan w:val="2"/>
          </w:tcPr>
          <w:p w14:paraId="1B42663D"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385A4673" w14:textId="77777777">
        <w:tc>
          <w:tcPr>
            <w:tcW w:w="4924" w:type="dxa"/>
          </w:tcPr>
          <w:p w14:paraId="36B08CEA"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2E1AB457"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1854472"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lastRenderedPageBreak/>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009FB743"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0A4643C2"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4931" w:type="dxa"/>
          </w:tcPr>
          <w:p w14:paraId="44A228B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lastRenderedPageBreak/>
              <w:t>În subteran:</w:t>
            </w:r>
          </w:p>
          <w:p w14:paraId="1C00E583"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9719978"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lastRenderedPageBreak/>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46198A5A"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CDD7EE7"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6DAA57FC" w14:textId="77777777">
        <w:tc>
          <w:tcPr>
            <w:tcW w:w="2498" w:type="pct"/>
          </w:tcPr>
          <w:p w14:paraId="7A4D7E25"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09ED3F84"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3AFE3EC1" w14:textId="77777777" w:rsidR="001C08A5" w:rsidRDefault="001C08A5">
      <w:pPr>
        <w:autoSpaceDE w:val="0"/>
        <w:autoSpaceDN w:val="0"/>
        <w:adjustRightInd w:val="0"/>
        <w:jc w:val="center"/>
        <w:rPr>
          <w:b/>
          <w:i/>
          <w:iCs/>
          <w:sz w:val="24"/>
          <w:szCs w:val="24"/>
        </w:rPr>
      </w:pPr>
    </w:p>
    <w:p w14:paraId="46BA54A5" w14:textId="77777777" w:rsidR="001C08A5" w:rsidRDefault="00000000">
      <w:pPr>
        <w:pStyle w:val="Caption"/>
        <w:autoSpaceDE w:val="0"/>
        <w:autoSpaceDN w:val="0"/>
        <w:adjustRightInd w:val="0"/>
        <w:jc w:val="center"/>
        <w:rPr>
          <w:rFonts w:ascii="Arial" w:hAnsi="Arial" w:cs="Arial"/>
          <w:lang w:val="en-US" w:eastAsia="en-US"/>
        </w:rPr>
      </w:pPr>
      <w:bookmarkStart w:id="6767" w:name="_Toc162360352"/>
      <w:r>
        <w:t xml:space="preserve">Figura </w:t>
      </w:r>
      <w:r>
        <w:fldChar w:fldCharType="begin"/>
      </w:r>
      <w:r>
        <w:instrText xml:space="preserve"> SEQ Figura \* ARABIC </w:instrText>
      </w:r>
      <w:r>
        <w:fldChar w:fldCharType="separate"/>
      </w:r>
      <w:r>
        <w:t>128</w:t>
      </w:r>
      <w:r>
        <w:fldChar w:fldCharType="end"/>
      </w:r>
      <w:bookmarkStart w:id="6768" w:name="_Toc4045"/>
      <w:bookmarkStart w:id="6769" w:name="_Toc26041"/>
      <w:bookmarkStart w:id="6770" w:name="_Toc14902"/>
      <w:bookmarkStart w:id="6771" w:name="_Toc12848"/>
      <w:bookmarkStart w:id="6772" w:name="_Toc15982"/>
      <w:bookmarkStart w:id="6773" w:name="_Toc23535"/>
      <w:bookmarkStart w:id="6774" w:name="_Toc26240"/>
      <w:bookmarkStart w:id="6775" w:name="_Toc19696"/>
      <w:bookmarkStart w:id="6776" w:name="_Toc17701"/>
      <w:r>
        <w:t xml:space="preserve"> - Goluri de acces la ascensoare prevăzute pentru transportul persoanelor cu căruciorul sau a persoanelor cu dizabilităţi care pot fi utilizate şi pentru evacuarea asistată a acestora în caz de incendiu, la ascensoare prevăzute pentru circulația funcțională a persoanelor și la scări de evacuare a persoanelor atunci când debușează într-o încăpere tampon ventilată în suprapresiune comună</w:t>
      </w:r>
      <w:bookmarkEnd w:id="6767"/>
      <w:bookmarkEnd w:id="6768"/>
      <w:bookmarkEnd w:id="6769"/>
      <w:bookmarkEnd w:id="6770"/>
      <w:bookmarkEnd w:id="6771"/>
      <w:bookmarkEnd w:id="6772"/>
      <w:bookmarkEnd w:id="6773"/>
      <w:bookmarkEnd w:id="6774"/>
      <w:bookmarkEnd w:id="6775"/>
      <w:bookmarkEnd w:id="6776"/>
    </w:p>
    <w:p w14:paraId="754E124F" w14:textId="77777777" w:rsidR="001C08A5" w:rsidRDefault="00000000">
      <w:pPr>
        <w:pStyle w:val="Heading5"/>
        <w:rPr>
          <w:sz w:val="24"/>
          <w:szCs w:val="24"/>
          <w:lang w:val="ro-RO"/>
        </w:rPr>
      </w:pPr>
      <w:bookmarkStart w:id="6777" w:name="_Toc162355410"/>
      <w:bookmarkStart w:id="6778" w:name="_Toc11855"/>
      <w:bookmarkStart w:id="6779" w:name="_Toc17681"/>
      <w:bookmarkStart w:id="6780" w:name="_Toc26413"/>
      <w:bookmarkStart w:id="6781" w:name="_Toc11313"/>
      <w:bookmarkStart w:id="6782" w:name="_Toc18506"/>
      <w:r>
        <w:rPr>
          <w:sz w:val="24"/>
          <w:szCs w:val="24"/>
        </w:rPr>
        <w:t>Ascensoare p</w:t>
      </w:r>
      <w:r>
        <w:rPr>
          <w:sz w:val="24"/>
          <w:szCs w:val="24"/>
          <w:lang w:val="ro-RO"/>
        </w:rPr>
        <w:t xml:space="preserve">revăzute pentru transportul bolnavilor cu patul cu rotile, cu targa ori căruciorul sau a persoanelor cu dizabilităţi care pot fi utilizate şi pentru evacuarea asistată </w:t>
      </w:r>
      <w:proofErr w:type="gramStart"/>
      <w:r>
        <w:rPr>
          <w:sz w:val="24"/>
          <w:szCs w:val="24"/>
          <w:lang w:val="ro-RO"/>
        </w:rPr>
        <w:t>a</w:t>
      </w:r>
      <w:proofErr w:type="gramEnd"/>
      <w:r>
        <w:rPr>
          <w:sz w:val="24"/>
          <w:szCs w:val="24"/>
          <w:lang w:val="ro-RO"/>
        </w:rPr>
        <w:t xml:space="preserve"> acestora în caz de incendiu</w:t>
      </w:r>
      <w:bookmarkEnd w:id="6777"/>
      <w:bookmarkEnd w:id="6778"/>
      <w:bookmarkEnd w:id="6779"/>
      <w:bookmarkEnd w:id="6780"/>
      <w:bookmarkEnd w:id="6781"/>
      <w:bookmarkEnd w:id="6782"/>
    </w:p>
    <w:p w14:paraId="4F214EC5" w14:textId="77777777" w:rsidR="001C08A5" w:rsidRDefault="001C08A5">
      <w:pPr>
        <w:autoSpaceDE w:val="0"/>
        <w:autoSpaceDN w:val="0"/>
        <w:adjustRightInd w:val="0"/>
        <w:rPr>
          <w:rFonts w:ascii="Arial" w:hAnsi="Arial" w:cs="Arial"/>
          <w:sz w:val="24"/>
          <w:szCs w:val="24"/>
          <w:lang w:eastAsia="en-US"/>
        </w:rPr>
      </w:pPr>
    </w:p>
    <w:p w14:paraId="4BD7AEF6" w14:textId="77777777" w:rsidR="001C08A5" w:rsidRDefault="00000000">
      <w:pPr>
        <w:numPr>
          <w:ilvl w:val="0"/>
          <w:numId w:val="96"/>
        </w:numPr>
        <w:tabs>
          <w:tab w:val="left" w:pos="426"/>
          <w:tab w:val="left" w:pos="993"/>
        </w:tabs>
        <w:jc w:val="both"/>
        <w:rPr>
          <w:bCs/>
          <w:i/>
          <w:sz w:val="24"/>
          <w:szCs w:val="24"/>
        </w:rPr>
      </w:pPr>
      <w:r>
        <w:rPr>
          <w:bCs/>
          <w:i/>
          <w:sz w:val="24"/>
          <w:szCs w:val="24"/>
        </w:rPr>
        <w:t>Ascensoarele prevăzute pentru transportul bolnavilor cu patul cu rotile, cu targa ori căruciorul sau a persoanelor cu dizabilităţi care pot fi utilizate şi pentru evacuarea asistată a acestora în caz de incendiu se prevăd obligatoriu la clădiri pentru sănătate sau mixte cu funcțiuni de sănătate în care evacuarea utilizatorilor în caz de incendiu trebuie efectuată cu patul cu rotile, targa sau căruciorul</w:t>
      </w:r>
      <w:r>
        <w:rPr>
          <w:b/>
          <w:i/>
          <w:sz w:val="24"/>
          <w:szCs w:val="24"/>
        </w:rPr>
        <w:t>.</w:t>
      </w:r>
      <w:r>
        <w:rPr>
          <w:bCs/>
          <w:i/>
          <w:sz w:val="24"/>
          <w:szCs w:val="24"/>
        </w:rPr>
        <w:t xml:space="preserve"> </w:t>
      </w:r>
    </w:p>
    <w:p w14:paraId="2C5FF394" w14:textId="77777777" w:rsidR="001C08A5" w:rsidRDefault="001C08A5">
      <w:pPr>
        <w:numPr>
          <w:ilvl w:val="255"/>
          <w:numId w:val="0"/>
        </w:numPr>
        <w:tabs>
          <w:tab w:val="left" w:pos="426"/>
          <w:tab w:val="left" w:pos="993"/>
        </w:tabs>
        <w:jc w:val="both"/>
        <w:rPr>
          <w:bCs/>
          <w:i/>
          <w:sz w:val="24"/>
          <w:szCs w:val="24"/>
        </w:rPr>
      </w:pPr>
    </w:p>
    <w:p w14:paraId="781030EE" w14:textId="77777777" w:rsidR="001C08A5" w:rsidRDefault="00000000">
      <w:pPr>
        <w:numPr>
          <w:ilvl w:val="0"/>
          <w:numId w:val="96"/>
        </w:numPr>
        <w:tabs>
          <w:tab w:val="left" w:pos="426"/>
          <w:tab w:val="left" w:pos="993"/>
        </w:tabs>
        <w:jc w:val="both"/>
        <w:rPr>
          <w:bCs/>
          <w:i/>
          <w:sz w:val="24"/>
          <w:szCs w:val="24"/>
        </w:rPr>
      </w:pPr>
      <w:r>
        <w:rPr>
          <w:bCs/>
          <w:i/>
          <w:sz w:val="24"/>
          <w:szCs w:val="24"/>
        </w:rPr>
        <w:t>Ascensoarele prevăzute pentru transportul bolnavilor cu patul cu rotile, cu targa ori căruciorul sau a persoanelor cu dizabilităţi care pot fi utilizate şi pentru evacuarea asistată a acestora în caz de incendiu la clădiri pentru sănătate (sau mixte cu funcțiuni de sănătate în care evacuarea utilizatorilor în caz de incendiu trebuie efectuată cu patul cu rotile, targa sau căruciorul) se dispun în puţ propriu separat de restul construcţiei prin pereţi rezistenţi la foc și planșee rezistente la foc  conform:</w:t>
      </w:r>
    </w:p>
    <w:p w14:paraId="20321532"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3.2.4.4. alin. (6) </w:t>
      </w:r>
      <w:r>
        <w:rPr>
          <w:bCs/>
          <w:i/>
          <w:sz w:val="24"/>
          <w:szCs w:val="24"/>
        </w:rPr>
        <w:t>pentru clădiri cu înălțime obișnuită;</w:t>
      </w:r>
    </w:p>
    <w:p w14:paraId="3C63E705"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4.1.4.13. alin. (1) lit. a) </w:t>
      </w:r>
      <w:r>
        <w:rPr>
          <w:bCs/>
          <w:i/>
          <w:sz w:val="24"/>
          <w:szCs w:val="24"/>
        </w:rPr>
        <w:t>pentru clădiri înalte;</w:t>
      </w:r>
    </w:p>
    <w:p w14:paraId="5FA28C12"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4.2.4.13. alin. (1) lit. a) </w:t>
      </w:r>
      <w:r>
        <w:rPr>
          <w:bCs/>
          <w:i/>
          <w:sz w:val="24"/>
          <w:szCs w:val="24"/>
        </w:rPr>
        <w:t>pentru clădiri foarte înalte.</w:t>
      </w:r>
    </w:p>
    <w:p w14:paraId="79E485E6" w14:textId="77777777" w:rsidR="001C08A5" w:rsidRDefault="001C08A5">
      <w:pPr>
        <w:numPr>
          <w:ilvl w:val="255"/>
          <w:numId w:val="0"/>
        </w:numPr>
        <w:tabs>
          <w:tab w:val="left" w:pos="426"/>
          <w:tab w:val="left" w:pos="993"/>
        </w:tabs>
        <w:jc w:val="both"/>
        <w:rPr>
          <w:bCs/>
          <w:i/>
          <w:sz w:val="24"/>
          <w:szCs w:val="24"/>
        </w:rPr>
      </w:pPr>
    </w:p>
    <w:p w14:paraId="4EF1AFF5"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Ascensoarele prevăzute pentru transportul bolnavilor cu patul cu rotile, cu targa ori căruciorul sau a persoanelor cu dizabilităţi care pot fi utilizate şi pentru evacuarea asistată a acestora în caz de incendiu la clădiri pentru sănătate (sau mixte cu funcțiuni de sănătate în care evacuarea utilizatorilor în caz de incendiu trebuie efectuată cu patul cu rotile, targa sau căruciorul) trebuie să respecte simultan prevederile: </w:t>
      </w:r>
    </w:p>
    <w:p w14:paraId="28F816F5"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Art. 3.2.4.4. alin. (6) lit. b)</w:t>
      </w:r>
      <w:r>
        <w:rPr>
          <w:bCs/>
          <w:i/>
          <w:sz w:val="24"/>
          <w:szCs w:val="24"/>
        </w:rPr>
        <w:t xml:space="preserve"> și</w:t>
      </w:r>
      <w:r>
        <w:rPr>
          <w:b/>
          <w:i/>
          <w:sz w:val="24"/>
          <w:szCs w:val="24"/>
        </w:rPr>
        <w:t xml:space="preserve"> </w:t>
      </w:r>
      <w:r>
        <w:rPr>
          <w:b/>
          <w:bCs/>
          <w:i/>
          <w:sz w:val="24"/>
          <w:szCs w:val="24"/>
        </w:rPr>
        <w:t xml:space="preserve">Art. 3.1.4.4. alin. (3), lit. (c), (d), (e), (f) și (g) </w:t>
      </w:r>
      <w:r>
        <w:rPr>
          <w:bCs/>
          <w:i/>
          <w:sz w:val="24"/>
          <w:szCs w:val="24"/>
        </w:rPr>
        <w:t xml:space="preserve">pentru clădiri cu înălțime obișnuită; </w:t>
      </w:r>
    </w:p>
    <w:p w14:paraId="50957D62"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Art. 4.1.4.13. alin. (1) lit. b)</w:t>
      </w:r>
      <w:r>
        <w:rPr>
          <w:bCs/>
          <w:i/>
          <w:sz w:val="24"/>
          <w:szCs w:val="24"/>
        </w:rPr>
        <w:t xml:space="preserve"> și</w:t>
      </w:r>
      <w:r>
        <w:rPr>
          <w:b/>
          <w:i/>
          <w:sz w:val="24"/>
          <w:szCs w:val="24"/>
        </w:rPr>
        <w:t xml:space="preserve"> </w:t>
      </w:r>
      <w:r>
        <w:rPr>
          <w:b/>
          <w:bCs/>
          <w:i/>
          <w:sz w:val="24"/>
          <w:szCs w:val="24"/>
        </w:rPr>
        <w:t>Art. 3.1.4.4. alin. (3), lit. (c), (d), (e), (f) și (g)</w:t>
      </w:r>
      <w:r>
        <w:rPr>
          <w:b/>
          <w:i/>
          <w:sz w:val="24"/>
          <w:szCs w:val="24"/>
        </w:rPr>
        <w:t xml:space="preserve"> </w:t>
      </w:r>
      <w:r>
        <w:rPr>
          <w:bCs/>
          <w:i/>
          <w:sz w:val="24"/>
          <w:szCs w:val="24"/>
        </w:rPr>
        <w:t>pentru clădiri înalte;</w:t>
      </w:r>
    </w:p>
    <w:p w14:paraId="11F80447"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Art. 4.2.4.13. alin. (1) lit. b)</w:t>
      </w:r>
      <w:r>
        <w:rPr>
          <w:bCs/>
          <w:i/>
          <w:sz w:val="24"/>
          <w:szCs w:val="24"/>
        </w:rPr>
        <w:t xml:space="preserve"> și</w:t>
      </w:r>
      <w:r>
        <w:rPr>
          <w:b/>
          <w:i/>
          <w:sz w:val="24"/>
          <w:szCs w:val="24"/>
        </w:rPr>
        <w:t xml:space="preserve"> </w:t>
      </w:r>
      <w:r>
        <w:rPr>
          <w:b/>
          <w:bCs/>
          <w:i/>
          <w:sz w:val="24"/>
          <w:szCs w:val="24"/>
        </w:rPr>
        <w:t xml:space="preserve">Art. 3.1.4.4. alin. (3), lit. (c), (d), (e), (f) și (g) </w:t>
      </w:r>
      <w:r>
        <w:rPr>
          <w:bCs/>
          <w:i/>
          <w:sz w:val="24"/>
          <w:szCs w:val="24"/>
        </w:rPr>
        <w:t>pentru clădiri foarte înalte.</w:t>
      </w:r>
    </w:p>
    <w:p w14:paraId="72C8CBF1" w14:textId="77777777" w:rsidR="001C08A5" w:rsidRDefault="001C08A5">
      <w:pPr>
        <w:numPr>
          <w:ilvl w:val="255"/>
          <w:numId w:val="0"/>
        </w:numPr>
        <w:tabs>
          <w:tab w:val="left" w:pos="426"/>
          <w:tab w:val="left" w:pos="993"/>
        </w:tabs>
        <w:jc w:val="both"/>
        <w:rPr>
          <w:bCs/>
          <w:i/>
          <w:sz w:val="24"/>
          <w:szCs w:val="24"/>
        </w:rPr>
      </w:pPr>
    </w:p>
    <w:p w14:paraId="1C44C694"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Accesul la ascensoarele prevăzute pentru transportul bolnavilor cu patul cu rotile, cu targa ori căruciorul sau a persoanelor cu dizabilităţi care pot fi utilizate şi pentru evacuarea asistată a acestora în caz de incendiu la clădiri pentru sănătate (sau mixte cu funcțiuni de sănătate în care evacuarea utilizatorilor în caz de incendiu trebuie efectuată cu patul cu rotile, targa sau căruciorul) trebuie să respecte prevederile: </w:t>
      </w:r>
    </w:p>
    <w:p w14:paraId="1582D025"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3.2.4.4. alin. (7), alin. (8) și alin. (9) </w:t>
      </w:r>
      <w:r>
        <w:rPr>
          <w:bCs/>
          <w:i/>
          <w:sz w:val="24"/>
          <w:szCs w:val="24"/>
        </w:rPr>
        <w:t xml:space="preserve">pentru clădiri cu înălțime obișnuită; </w:t>
      </w:r>
    </w:p>
    <w:p w14:paraId="5677CDA4"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4.1.4.13. alin. (8) </w:t>
      </w:r>
      <w:r>
        <w:rPr>
          <w:bCs/>
          <w:i/>
          <w:sz w:val="24"/>
          <w:szCs w:val="24"/>
        </w:rPr>
        <w:t>și</w:t>
      </w:r>
      <w:r>
        <w:rPr>
          <w:b/>
          <w:i/>
          <w:sz w:val="24"/>
          <w:szCs w:val="24"/>
        </w:rPr>
        <w:t xml:space="preserve"> alin. (9) </w:t>
      </w:r>
      <w:r>
        <w:rPr>
          <w:bCs/>
          <w:i/>
          <w:sz w:val="24"/>
          <w:szCs w:val="24"/>
        </w:rPr>
        <w:t>pentru clădiri înalte;</w:t>
      </w:r>
    </w:p>
    <w:p w14:paraId="4D19013E"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4.2.4.13. alin. (8) </w:t>
      </w:r>
      <w:r>
        <w:rPr>
          <w:bCs/>
          <w:i/>
          <w:sz w:val="24"/>
          <w:szCs w:val="24"/>
        </w:rPr>
        <w:t>și</w:t>
      </w:r>
      <w:r>
        <w:rPr>
          <w:b/>
          <w:i/>
          <w:sz w:val="24"/>
          <w:szCs w:val="24"/>
        </w:rPr>
        <w:t xml:space="preserve"> alin. (9) </w:t>
      </w:r>
      <w:r>
        <w:rPr>
          <w:bCs/>
          <w:i/>
          <w:sz w:val="24"/>
          <w:szCs w:val="24"/>
        </w:rPr>
        <w:t>pentru clădiri foarte înalte.</w:t>
      </w:r>
    </w:p>
    <w:p w14:paraId="53517A3E" w14:textId="77777777" w:rsidR="001C08A5" w:rsidRDefault="001C08A5">
      <w:pPr>
        <w:autoSpaceDE w:val="0"/>
        <w:autoSpaceDN w:val="0"/>
        <w:adjustRightInd w:val="0"/>
        <w:rPr>
          <w:rFonts w:ascii="Arial" w:hAnsi="Arial" w:cs="Arial"/>
          <w:sz w:val="24"/>
          <w:szCs w:val="24"/>
          <w:lang w:eastAsia="en-US"/>
        </w:rPr>
      </w:pPr>
    </w:p>
    <w:p w14:paraId="77CB8ABD" w14:textId="77777777" w:rsidR="001C08A5" w:rsidRDefault="00000000">
      <w:pPr>
        <w:autoSpaceDE w:val="0"/>
        <w:autoSpaceDN w:val="0"/>
        <w:adjustRightInd w:val="0"/>
        <w:jc w:val="center"/>
        <w:rPr>
          <w:rFonts w:ascii="Arial" w:hAnsi="Arial" w:cs="Arial"/>
          <w:sz w:val="24"/>
          <w:szCs w:val="24"/>
          <w:lang w:eastAsia="en-US"/>
        </w:rPr>
      </w:pPr>
      <w:r>
        <w:rPr>
          <w:rFonts w:ascii="Arial" w:hAnsi="Arial" w:cs="Arial"/>
          <w:noProof/>
          <w:sz w:val="24"/>
          <w:szCs w:val="24"/>
          <w:lang w:val="en-US" w:eastAsia="en-US"/>
        </w:rPr>
        <w:drawing>
          <wp:inline distT="0" distB="0" distL="114300" distR="114300" wp14:anchorId="047A4BC8" wp14:editId="62B9D853">
            <wp:extent cx="2904490" cy="2967990"/>
            <wp:effectExtent l="0" t="0" r="10160" b="3810"/>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6"/>
                    <pic:cNvPicPr>
                      <a:picLocks noChangeAspect="1"/>
                    </pic:cNvPicPr>
                  </pic:nvPicPr>
                  <pic:blipFill>
                    <a:blip r:embed="rId297"/>
                    <a:srcRect l="12560" t="15539" r="48961" b="29768"/>
                    <a:stretch>
                      <a:fillRect/>
                    </a:stretch>
                  </pic:blipFill>
                  <pic:spPr>
                    <a:xfrm>
                      <a:off x="0" y="0"/>
                      <a:ext cx="2904490" cy="2967990"/>
                    </a:xfrm>
                    <a:prstGeom prst="rect">
                      <a:avLst/>
                    </a:prstGeom>
                    <a:noFill/>
                    <a:ln>
                      <a:noFill/>
                    </a:ln>
                  </pic:spPr>
                </pic:pic>
              </a:graphicData>
            </a:graphic>
          </wp:inline>
        </w:drawing>
      </w:r>
      <w:r>
        <w:rPr>
          <w:rFonts w:ascii="Arial" w:hAnsi="Arial" w:cs="Arial"/>
          <w:noProof/>
          <w:sz w:val="24"/>
          <w:szCs w:val="24"/>
          <w:lang w:val="en-US" w:eastAsia="en-US"/>
        </w:rPr>
        <w:drawing>
          <wp:inline distT="0" distB="0" distL="114300" distR="114300" wp14:anchorId="0EACC97D" wp14:editId="15BA7204">
            <wp:extent cx="2912110" cy="2969895"/>
            <wp:effectExtent l="0" t="0" r="2540" b="1905"/>
            <wp:docPr id="1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7"/>
                    <pic:cNvPicPr>
                      <a:picLocks noChangeAspect="1"/>
                    </pic:cNvPicPr>
                  </pic:nvPicPr>
                  <pic:blipFill>
                    <a:blip r:embed="rId298"/>
                    <a:srcRect l="12467" t="23274" r="48953" b="21999"/>
                    <a:stretch>
                      <a:fillRect/>
                    </a:stretch>
                  </pic:blipFill>
                  <pic:spPr>
                    <a:xfrm>
                      <a:off x="0" y="0"/>
                      <a:ext cx="2912110" cy="2969895"/>
                    </a:xfrm>
                    <a:prstGeom prst="rect">
                      <a:avLst/>
                    </a:prstGeom>
                    <a:noFill/>
                    <a:ln>
                      <a:noFill/>
                    </a:ln>
                  </pic:spPr>
                </pic:pic>
              </a:graphicData>
            </a:graphic>
          </wp:inline>
        </w:drawing>
      </w:r>
    </w:p>
    <w:p w14:paraId="56967C48" w14:textId="77777777" w:rsidR="001C08A5" w:rsidRDefault="001C08A5">
      <w:pPr>
        <w:autoSpaceDE w:val="0"/>
        <w:autoSpaceDN w:val="0"/>
        <w:adjustRightInd w:val="0"/>
        <w:jc w:val="center"/>
        <w:rPr>
          <w:rFonts w:ascii="Arial" w:hAnsi="Arial" w:cs="Arial"/>
          <w:sz w:val="24"/>
          <w:szCs w:val="24"/>
          <w:lang w:val="en-US" w:eastAsia="en-US"/>
        </w:rPr>
      </w:pPr>
    </w:p>
    <w:p w14:paraId="662AA74D" w14:textId="77777777" w:rsidR="001C08A5" w:rsidRDefault="00000000">
      <w:pPr>
        <w:autoSpaceDE w:val="0"/>
        <w:autoSpaceDN w:val="0"/>
        <w:adjustRightInd w:val="0"/>
        <w:jc w:val="center"/>
        <w:rPr>
          <w:b/>
          <w:bCs/>
          <w:i/>
          <w:iCs/>
          <w:sz w:val="22"/>
          <w:szCs w:val="22"/>
          <w:lang w:eastAsia="en-US"/>
        </w:rPr>
      </w:pPr>
      <w:r>
        <w:rPr>
          <w:b/>
          <w:bCs/>
          <w:i/>
          <w:iCs/>
          <w:sz w:val="22"/>
          <w:szCs w:val="22"/>
          <w:lang w:eastAsia="en-US"/>
        </w:rPr>
        <w:t>Varianta a.1) la clădiri de sănătate cu înălțime obișnuită</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1C08A5" w14:paraId="1C7C0015" w14:textId="77777777">
        <w:tc>
          <w:tcPr>
            <w:tcW w:w="5000" w:type="pct"/>
          </w:tcPr>
          <w:p w14:paraId="0D612A5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63A103C5"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331A8C10" w14:textId="77777777" w:rsidR="001C08A5" w:rsidRDefault="00000000">
            <w:pPr>
              <w:autoSpaceDE w:val="0"/>
              <w:autoSpaceDN w:val="0"/>
              <w:adjustRightInd w:val="0"/>
              <w:jc w:val="left"/>
              <w:rPr>
                <w:i/>
                <w:iCs/>
                <w:sz w:val="22"/>
                <w:szCs w:val="22"/>
                <w:lang w:eastAsia="en-US"/>
              </w:rPr>
            </w:pPr>
            <w:r>
              <w:rPr>
                <w:i/>
                <w:iCs/>
                <w:sz w:val="22"/>
                <w:szCs w:val="22"/>
                <w:lang w:val="en-US" w:eastAsia="en-US"/>
              </w:rPr>
              <w:t xml:space="preserve">Notă: </w:t>
            </w:r>
            <w:r>
              <w:rPr>
                <w:i/>
                <w:iCs/>
                <w:sz w:val="22"/>
                <w:szCs w:val="22"/>
                <w:u w:val="single"/>
                <w:lang w:val="en-US" w:eastAsia="en-US"/>
              </w:rPr>
              <w:t>atunci când debușează în spații ferite de fum</w:t>
            </w:r>
          </w:p>
        </w:tc>
      </w:tr>
      <w:tr w:rsidR="001C08A5" w14:paraId="3311563B" w14:textId="77777777">
        <w:tc>
          <w:tcPr>
            <w:tcW w:w="5000" w:type="pct"/>
          </w:tcPr>
          <w:p w14:paraId="5C1BD6EE" w14:textId="77777777" w:rsidR="001C08A5" w:rsidRDefault="00000000">
            <w:pPr>
              <w:autoSpaceDE w:val="0"/>
              <w:autoSpaceDN w:val="0"/>
              <w:adjustRightInd w:val="0"/>
              <w:jc w:val="left"/>
              <w:rPr>
                <w:i/>
                <w:iCs/>
                <w:sz w:val="22"/>
                <w:szCs w:val="22"/>
                <w:lang w:eastAsia="en-US"/>
              </w:rPr>
            </w:pPr>
            <w:r>
              <w:rPr>
                <w:i/>
                <w:iCs/>
                <w:sz w:val="22"/>
                <w:szCs w:val="22"/>
                <w:lang w:val="en-US" w:eastAsia="en-US"/>
              </w:rPr>
              <w:t xml:space="preserve">Notă: </w:t>
            </w:r>
            <w:r>
              <w:rPr>
                <w:bCs/>
                <w:i/>
                <w:iCs/>
                <w:sz w:val="22"/>
                <w:szCs w:val="22"/>
                <w:lang w:eastAsia="en-US"/>
              </w:rPr>
              <w:t>toate ușile spațiilor în care debușează</w:t>
            </w:r>
            <w:r>
              <w:rPr>
                <w:bCs/>
                <w:i/>
                <w:iCs/>
                <w:sz w:val="22"/>
                <w:szCs w:val="22"/>
                <w:lang w:val="en-US" w:eastAsia="en-US"/>
              </w:rPr>
              <w:t xml:space="preserve"> sunt rezisten</w:t>
            </w:r>
            <w:r>
              <w:rPr>
                <w:bCs/>
                <w:i/>
                <w:iCs/>
                <w:sz w:val="22"/>
                <w:szCs w:val="22"/>
                <w:lang w:eastAsia="en-US"/>
              </w:rPr>
              <w:t>te</w:t>
            </w:r>
            <w:r>
              <w:rPr>
                <w:bCs/>
                <w:i/>
                <w:iCs/>
                <w:sz w:val="22"/>
                <w:szCs w:val="22"/>
                <w:lang w:val="en-US" w:eastAsia="en-US"/>
              </w:rPr>
              <w:t xml:space="preserve"> la foc min </w:t>
            </w:r>
            <w:r>
              <w:rPr>
                <w:b/>
                <w:i/>
                <w:iCs/>
                <w:sz w:val="22"/>
                <w:szCs w:val="22"/>
                <w:lang w:val="en-US" w:eastAsia="en-US"/>
              </w:rPr>
              <w:t>EI</w:t>
            </w:r>
            <w:r>
              <w:rPr>
                <w:b/>
                <w:i/>
                <w:iCs/>
                <w:sz w:val="22"/>
                <w:szCs w:val="22"/>
                <w:vertAlign w:val="subscript"/>
                <w:lang w:val="en-US" w:eastAsia="en-US"/>
              </w:rPr>
              <w:t>2</w:t>
            </w:r>
            <w:r>
              <w:rPr>
                <w:b/>
                <w:i/>
                <w:iCs/>
                <w:sz w:val="22"/>
                <w:szCs w:val="22"/>
                <w:vertAlign w:val="subscript"/>
                <w:lang w:eastAsia="en-US"/>
              </w:rPr>
              <w:t xml:space="preserve"> </w:t>
            </w:r>
            <w:r>
              <w:rPr>
                <w:b/>
                <w:i/>
                <w:iCs/>
                <w:sz w:val="22"/>
                <w:szCs w:val="22"/>
                <w:lang w:eastAsia="en-US"/>
              </w:rPr>
              <w:t>3</w:t>
            </w:r>
            <w:r>
              <w:rPr>
                <w:b/>
                <w:i/>
                <w:iCs/>
                <w:sz w:val="22"/>
                <w:szCs w:val="22"/>
                <w:lang w:val="en-US" w:eastAsia="en-US"/>
              </w:rPr>
              <w:t>0-C5S</w:t>
            </w:r>
            <w:r>
              <w:rPr>
                <w:b/>
                <w:bCs/>
                <w:i/>
                <w:iCs/>
                <w:sz w:val="22"/>
                <w:szCs w:val="22"/>
                <w:vertAlign w:val="subscript"/>
                <w:lang w:val="en-US" w:eastAsia="en-US"/>
              </w:rPr>
              <w:t>200</w:t>
            </w:r>
            <w:r>
              <w:rPr>
                <w:b/>
                <w:bCs/>
                <w:i/>
                <w:iCs/>
                <w:sz w:val="22"/>
                <w:szCs w:val="22"/>
                <w:lang w:eastAsia="en-US"/>
              </w:rPr>
              <w:t xml:space="preserve"> </w:t>
            </w:r>
            <w:r>
              <w:rPr>
                <w:i/>
                <w:iCs/>
                <w:sz w:val="22"/>
                <w:szCs w:val="22"/>
                <w:lang w:eastAsia="en-US"/>
              </w:rPr>
              <w:t xml:space="preserve">și pereții min </w:t>
            </w:r>
            <w:r>
              <w:rPr>
                <w:b/>
                <w:bCs/>
                <w:i/>
                <w:iCs/>
                <w:sz w:val="22"/>
                <w:szCs w:val="22"/>
                <w:lang w:eastAsia="en-US"/>
              </w:rPr>
              <w:t>EI90</w:t>
            </w:r>
          </w:p>
        </w:tc>
      </w:tr>
    </w:tbl>
    <w:p w14:paraId="3B25F33F" w14:textId="77777777" w:rsidR="001C08A5" w:rsidRDefault="001C08A5">
      <w:pPr>
        <w:autoSpaceDE w:val="0"/>
        <w:autoSpaceDN w:val="0"/>
        <w:adjustRightInd w:val="0"/>
        <w:rPr>
          <w:rFonts w:ascii="Arial" w:hAnsi="Arial" w:cs="Arial"/>
          <w:sz w:val="24"/>
          <w:szCs w:val="24"/>
          <w:lang w:val="en-US" w:eastAsia="en-US"/>
        </w:rPr>
      </w:pPr>
    </w:p>
    <w:p w14:paraId="39F17B3F"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2CB4C05F" wp14:editId="2D44C9D7">
            <wp:extent cx="2984500" cy="2538730"/>
            <wp:effectExtent l="0" t="0" r="6350" b="13970"/>
            <wp:docPr id="1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6"/>
                    <pic:cNvPicPr>
                      <a:picLocks noChangeAspect="1"/>
                    </pic:cNvPicPr>
                  </pic:nvPicPr>
                  <pic:blipFill>
                    <a:blip r:embed="rId297"/>
                    <a:srcRect l="50652" t="15539" r="7159" b="34542"/>
                    <a:stretch>
                      <a:fillRect/>
                    </a:stretch>
                  </pic:blipFill>
                  <pic:spPr>
                    <a:xfrm>
                      <a:off x="0" y="0"/>
                      <a:ext cx="2984500" cy="2538730"/>
                    </a:xfrm>
                    <a:prstGeom prst="rect">
                      <a:avLst/>
                    </a:prstGeom>
                    <a:noFill/>
                    <a:ln>
                      <a:noFill/>
                    </a:ln>
                  </pic:spPr>
                </pic:pic>
              </a:graphicData>
            </a:graphic>
          </wp:inline>
        </w:drawing>
      </w:r>
      <w:r>
        <w:rPr>
          <w:rFonts w:ascii="Arial" w:hAnsi="Arial" w:cs="Arial"/>
          <w:noProof/>
          <w:sz w:val="24"/>
          <w:szCs w:val="24"/>
          <w:lang w:val="en-US" w:eastAsia="en-US"/>
        </w:rPr>
        <w:drawing>
          <wp:inline distT="0" distB="0" distL="114300" distR="114300" wp14:anchorId="430001F7" wp14:editId="725837CB">
            <wp:extent cx="3042285" cy="2566035"/>
            <wp:effectExtent l="0" t="0" r="5715" b="5715"/>
            <wp:docPr id="1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7"/>
                    <pic:cNvPicPr>
                      <a:picLocks noChangeAspect="1"/>
                    </pic:cNvPicPr>
                  </pic:nvPicPr>
                  <pic:blipFill>
                    <a:blip r:embed="rId298"/>
                    <a:srcRect l="50652" t="23274" r="7159" b="27229"/>
                    <a:stretch>
                      <a:fillRect/>
                    </a:stretch>
                  </pic:blipFill>
                  <pic:spPr>
                    <a:xfrm>
                      <a:off x="0" y="0"/>
                      <a:ext cx="3042285" cy="2566035"/>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4E5832B7" w14:textId="77777777">
        <w:tc>
          <w:tcPr>
            <w:tcW w:w="5000" w:type="pct"/>
            <w:gridSpan w:val="2"/>
          </w:tcPr>
          <w:p w14:paraId="0012050B"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a.2) la clădiri de sănătate cu înălțime obișnuită</w:t>
            </w:r>
          </w:p>
        </w:tc>
      </w:tr>
      <w:tr w:rsidR="001C08A5" w14:paraId="5336DED8" w14:textId="77777777">
        <w:tc>
          <w:tcPr>
            <w:tcW w:w="4924" w:type="dxa"/>
          </w:tcPr>
          <w:p w14:paraId="289E676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5FF1C87C"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59A536BB"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tc>
        <w:tc>
          <w:tcPr>
            <w:tcW w:w="4931" w:type="dxa"/>
          </w:tcPr>
          <w:p w14:paraId="32317D2D"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2F9BE7A3"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0B122C37"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r>
      <w:tr w:rsidR="001C08A5" w14:paraId="10112F80" w14:textId="77777777">
        <w:tc>
          <w:tcPr>
            <w:tcW w:w="2498" w:type="pct"/>
          </w:tcPr>
          <w:p w14:paraId="7B0FEC64"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2CECB60F"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0EC5935A" w14:textId="77777777">
        <w:trPr>
          <w:trHeight w:val="220"/>
        </w:trPr>
        <w:tc>
          <w:tcPr>
            <w:tcW w:w="5000" w:type="pct"/>
            <w:gridSpan w:val="2"/>
          </w:tcPr>
          <w:p w14:paraId="7E57F100"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7E240277" w14:textId="77777777">
        <w:tc>
          <w:tcPr>
            <w:tcW w:w="4924" w:type="dxa"/>
          </w:tcPr>
          <w:p w14:paraId="4CB28B0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788C999B"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44EDB822"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tc>
        <w:tc>
          <w:tcPr>
            <w:tcW w:w="4931" w:type="dxa"/>
          </w:tcPr>
          <w:p w14:paraId="6EBDCEA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02AF03B8"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0F2E4BF0"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t>F</w:t>
            </w:r>
            <w:r>
              <w:rPr>
                <w:i/>
                <w:iCs/>
                <w:sz w:val="22"/>
                <w:szCs w:val="22"/>
                <w:lang w:val="en-US" w:eastAsia="en-US"/>
              </w:rPr>
              <w:t xml:space="preserve"> -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r>
      <w:tr w:rsidR="001C08A5" w14:paraId="6CA84B78" w14:textId="77777777">
        <w:tc>
          <w:tcPr>
            <w:tcW w:w="2498" w:type="pct"/>
          </w:tcPr>
          <w:p w14:paraId="467F7CA0"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23DCE775"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0EDAE7C7" w14:textId="77777777">
        <w:tc>
          <w:tcPr>
            <w:tcW w:w="5000" w:type="pct"/>
            <w:gridSpan w:val="2"/>
          </w:tcPr>
          <w:p w14:paraId="0F641DE1"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6B863540" w14:textId="77777777">
        <w:tc>
          <w:tcPr>
            <w:tcW w:w="4924" w:type="dxa"/>
          </w:tcPr>
          <w:p w14:paraId="7EFA891E"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6C6B3D34"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6917F716"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lastRenderedPageBreak/>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c>
          <w:tcPr>
            <w:tcW w:w="4931" w:type="dxa"/>
          </w:tcPr>
          <w:p w14:paraId="576F094B"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lastRenderedPageBreak/>
              <w:t>În subteran:</w:t>
            </w:r>
          </w:p>
          <w:p w14:paraId="59C45737"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C52B212" w14:textId="77777777" w:rsidR="001C08A5" w:rsidRDefault="00000000">
            <w:pPr>
              <w:autoSpaceDE w:val="0"/>
              <w:autoSpaceDN w:val="0"/>
              <w:adjustRightInd w:val="0"/>
              <w:jc w:val="left"/>
              <w:rPr>
                <w:i/>
                <w:iCs/>
                <w:sz w:val="24"/>
                <w:szCs w:val="24"/>
                <w:lang w:val="en-US" w:eastAsia="en-US"/>
              </w:rPr>
            </w:pPr>
            <w:r>
              <w:rPr>
                <w:b/>
                <w:bCs/>
                <w:i/>
                <w:iCs/>
                <w:sz w:val="22"/>
                <w:szCs w:val="22"/>
                <w:lang w:val="en-US" w:eastAsia="en-US"/>
              </w:rPr>
              <w:lastRenderedPageBreak/>
              <w:t>F</w:t>
            </w:r>
            <w:r>
              <w:rPr>
                <w:i/>
                <w:iCs/>
                <w:sz w:val="22"/>
                <w:szCs w:val="22"/>
                <w:lang w:val="en-US" w:eastAsia="en-US"/>
              </w:rPr>
              <w:t xml:space="preserve"> -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r>
      <w:tr w:rsidR="001C08A5" w14:paraId="76C54052" w14:textId="77777777">
        <w:tc>
          <w:tcPr>
            <w:tcW w:w="2498" w:type="pct"/>
          </w:tcPr>
          <w:p w14:paraId="16B5DADA"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5999A7BF"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54C7ED7C" w14:textId="77777777">
        <w:tc>
          <w:tcPr>
            <w:tcW w:w="5000" w:type="pct"/>
            <w:gridSpan w:val="2"/>
          </w:tcPr>
          <w:p w14:paraId="08418640"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335C207F" w14:textId="77777777">
        <w:tc>
          <w:tcPr>
            <w:tcW w:w="4924" w:type="dxa"/>
          </w:tcPr>
          <w:p w14:paraId="14EE9CA5"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20FC1D51"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02FD68D2" w14:textId="77777777" w:rsidR="001C08A5" w:rsidRDefault="00000000">
            <w:pPr>
              <w:autoSpaceDE w:val="0"/>
              <w:autoSpaceDN w:val="0"/>
              <w:adjustRightInd w:val="0"/>
              <w:jc w:val="left"/>
              <w:rPr>
                <w:i/>
                <w:iCs/>
                <w:sz w:val="22"/>
                <w:szCs w:val="22"/>
                <w:lang w:val="en-US" w:eastAsia="en-US"/>
              </w:rPr>
            </w:pPr>
            <w:r>
              <w:rPr>
                <w:b/>
                <w:bCs/>
                <w:i/>
                <w:iCs/>
                <w:sz w:val="22"/>
                <w:szCs w:val="22"/>
                <w:lang w:val="en-US"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c>
          <w:tcPr>
            <w:tcW w:w="4931" w:type="dxa"/>
          </w:tcPr>
          <w:p w14:paraId="4EAB0333"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11A69D3D"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FEAF23F" w14:textId="77777777" w:rsidR="001C08A5" w:rsidRDefault="00000000">
            <w:pPr>
              <w:autoSpaceDE w:val="0"/>
              <w:autoSpaceDN w:val="0"/>
              <w:adjustRightInd w:val="0"/>
              <w:jc w:val="left"/>
              <w:rPr>
                <w:i/>
                <w:iCs/>
                <w:sz w:val="22"/>
                <w:szCs w:val="22"/>
                <w:lang w:val="en-US" w:eastAsia="en-US"/>
              </w:rPr>
            </w:pPr>
            <w:r>
              <w:rPr>
                <w:b/>
                <w:bCs/>
                <w:i/>
                <w:iCs/>
                <w:sz w:val="22"/>
                <w:szCs w:val="22"/>
                <w:lang w:val="en-US" w:eastAsia="en-US"/>
              </w:rPr>
              <w:t>F</w:t>
            </w:r>
            <w:r>
              <w:rPr>
                <w:i/>
                <w:iCs/>
                <w:sz w:val="22"/>
                <w:szCs w:val="22"/>
                <w:lang w:val="en-US" w:eastAsia="en-US"/>
              </w:rPr>
              <w:t xml:space="preserve"> -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tc>
      </w:tr>
      <w:tr w:rsidR="001C08A5" w14:paraId="12FCFC90" w14:textId="77777777">
        <w:tc>
          <w:tcPr>
            <w:tcW w:w="2498" w:type="pct"/>
          </w:tcPr>
          <w:p w14:paraId="70577828"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66A9966F"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0E71EACB" w14:textId="77777777" w:rsidR="001C08A5" w:rsidRDefault="001C08A5">
      <w:pPr>
        <w:autoSpaceDE w:val="0"/>
        <w:autoSpaceDN w:val="0"/>
        <w:adjustRightInd w:val="0"/>
        <w:jc w:val="center"/>
        <w:rPr>
          <w:rFonts w:ascii="Arial" w:hAnsi="Arial" w:cs="Arial"/>
          <w:sz w:val="24"/>
          <w:szCs w:val="24"/>
          <w:lang w:val="en-US" w:eastAsia="en-US"/>
        </w:rPr>
      </w:pPr>
    </w:p>
    <w:p w14:paraId="4349365A" w14:textId="77777777" w:rsidR="001C08A5" w:rsidRDefault="00000000">
      <w:pPr>
        <w:pStyle w:val="Caption"/>
        <w:autoSpaceDE w:val="0"/>
        <w:autoSpaceDN w:val="0"/>
        <w:adjustRightInd w:val="0"/>
        <w:jc w:val="center"/>
        <w:rPr>
          <w:rFonts w:ascii="Arial" w:hAnsi="Arial" w:cs="Arial"/>
          <w:lang w:val="en-US" w:eastAsia="en-US"/>
        </w:rPr>
      </w:pPr>
      <w:bookmarkStart w:id="6783" w:name="_Toc162360353"/>
      <w:r>
        <w:t xml:space="preserve">Figura </w:t>
      </w:r>
      <w:r>
        <w:fldChar w:fldCharType="begin"/>
      </w:r>
      <w:r>
        <w:instrText xml:space="preserve"> SEQ Figura \* ARABIC </w:instrText>
      </w:r>
      <w:r>
        <w:fldChar w:fldCharType="separate"/>
      </w:r>
      <w:r>
        <w:t>129</w:t>
      </w:r>
      <w:r>
        <w:fldChar w:fldCharType="end"/>
      </w:r>
      <w:bookmarkStart w:id="6784" w:name="_Toc20725"/>
      <w:bookmarkStart w:id="6785" w:name="_Toc12926"/>
      <w:bookmarkStart w:id="6786" w:name="_Toc10049"/>
      <w:bookmarkStart w:id="6787" w:name="_Toc391"/>
      <w:bookmarkStart w:id="6788" w:name="_Toc27350"/>
      <w:bookmarkStart w:id="6789" w:name="_Toc17731"/>
      <w:bookmarkStart w:id="6790" w:name="_Toc3870"/>
      <w:bookmarkStart w:id="6791" w:name="_Toc30712"/>
      <w:bookmarkStart w:id="6792" w:name="_Toc1339"/>
      <w:r>
        <w:t xml:space="preserve"> - Caz general goluri de acces la ascensoare prevăzute pentru transportul bolnavilor cu patul cu rotile, cu targa ori căruciorul sau a persoanelor cu dizabilităţi care pot fi utilizate şi pentru evacuarea asistată a acestora în caz de incendiu</w:t>
      </w:r>
      <w:bookmarkEnd w:id="6783"/>
      <w:bookmarkEnd w:id="6784"/>
      <w:bookmarkEnd w:id="6785"/>
      <w:bookmarkEnd w:id="6786"/>
      <w:bookmarkEnd w:id="6787"/>
      <w:bookmarkEnd w:id="6788"/>
      <w:bookmarkEnd w:id="6789"/>
      <w:bookmarkEnd w:id="6790"/>
      <w:bookmarkEnd w:id="6791"/>
      <w:bookmarkEnd w:id="6792"/>
    </w:p>
    <w:p w14:paraId="6AB6F4E8" w14:textId="77777777" w:rsidR="001C08A5" w:rsidRDefault="001C08A5">
      <w:pPr>
        <w:autoSpaceDE w:val="0"/>
        <w:autoSpaceDN w:val="0"/>
        <w:adjustRightInd w:val="0"/>
        <w:rPr>
          <w:rFonts w:ascii="Arial" w:hAnsi="Arial" w:cs="Arial"/>
          <w:sz w:val="24"/>
          <w:szCs w:val="24"/>
          <w:lang w:val="en-US" w:eastAsia="en-US"/>
        </w:rPr>
      </w:pPr>
    </w:p>
    <w:p w14:paraId="07DE5CCC"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3D61697F" wp14:editId="5D1905A0">
            <wp:extent cx="2706370" cy="3503295"/>
            <wp:effectExtent l="0" t="0" r="17780" b="1905"/>
            <wp:docPr id="2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14"/>
                    <pic:cNvPicPr>
                      <a:picLocks noChangeAspect="1"/>
                    </pic:cNvPicPr>
                  </pic:nvPicPr>
                  <pic:blipFill>
                    <a:blip r:embed="rId299"/>
                    <a:srcRect l="13435" t="11116" r="50711" b="24327"/>
                    <a:stretch>
                      <a:fillRect/>
                    </a:stretch>
                  </pic:blipFill>
                  <pic:spPr>
                    <a:xfrm>
                      <a:off x="0" y="0"/>
                      <a:ext cx="2706370" cy="3503295"/>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64339B4A" w14:textId="77777777">
        <w:tc>
          <w:tcPr>
            <w:tcW w:w="5000" w:type="pct"/>
            <w:gridSpan w:val="2"/>
          </w:tcPr>
          <w:p w14:paraId="789AC2E4"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a.1) la clădiri de sănătate cu înălțime obișnuită</w:t>
            </w:r>
          </w:p>
        </w:tc>
      </w:tr>
      <w:tr w:rsidR="001C08A5" w14:paraId="15CFFC7C" w14:textId="77777777">
        <w:tc>
          <w:tcPr>
            <w:tcW w:w="2498" w:type="pct"/>
          </w:tcPr>
          <w:p w14:paraId="2AD9467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6C71223D"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4B3B6449"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4083348A"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04835AD1"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3E3FBEB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E856F6B"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50102107"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7F843070" w14:textId="77777777">
        <w:tc>
          <w:tcPr>
            <w:tcW w:w="2498" w:type="pct"/>
          </w:tcPr>
          <w:p w14:paraId="6715ECF2"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4F300031"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663AFC89" w14:textId="77777777">
        <w:trPr>
          <w:trHeight w:val="220"/>
        </w:trPr>
        <w:tc>
          <w:tcPr>
            <w:tcW w:w="5000" w:type="pct"/>
            <w:gridSpan w:val="2"/>
          </w:tcPr>
          <w:p w14:paraId="0D433453"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27B303DE" w14:textId="77777777">
        <w:tc>
          <w:tcPr>
            <w:tcW w:w="2498" w:type="pct"/>
          </w:tcPr>
          <w:p w14:paraId="7FF7104C"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4392F77"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60DECBCF"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5E3DAD66"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7F31FCCA"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3BBBD050"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F335B84"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604A913F"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6ACE2314" w14:textId="77777777">
        <w:tc>
          <w:tcPr>
            <w:tcW w:w="2498" w:type="pct"/>
          </w:tcPr>
          <w:p w14:paraId="19A8174B"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60926233"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771A3B1E" w14:textId="77777777">
        <w:tc>
          <w:tcPr>
            <w:tcW w:w="5000" w:type="pct"/>
            <w:gridSpan w:val="2"/>
          </w:tcPr>
          <w:p w14:paraId="0124AD55"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709B292D" w14:textId="77777777">
        <w:tc>
          <w:tcPr>
            <w:tcW w:w="2498" w:type="pct"/>
          </w:tcPr>
          <w:p w14:paraId="445AD24E"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6B42C8A2"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C17E7EF"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3C29AA0B"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256D4954"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6CA2F37B"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26398F7"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01F00923"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306A79F0" w14:textId="77777777">
        <w:tc>
          <w:tcPr>
            <w:tcW w:w="2498" w:type="pct"/>
          </w:tcPr>
          <w:p w14:paraId="0B879CAA"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6C91CCCB"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1FB5581D" w14:textId="77777777">
        <w:tc>
          <w:tcPr>
            <w:tcW w:w="5000" w:type="pct"/>
            <w:gridSpan w:val="2"/>
          </w:tcPr>
          <w:p w14:paraId="7FD4BF21"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lastRenderedPageBreak/>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41561204" w14:textId="77777777">
        <w:tc>
          <w:tcPr>
            <w:tcW w:w="4924" w:type="dxa"/>
          </w:tcPr>
          <w:p w14:paraId="0B022595"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6C687ED2"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FD6393E"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585F0292"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4931" w:type="dxa"/>
          </w:tcPr>
          <w:p w14:paraId="4FF28F67"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27743FA1"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31B9DBD4"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423333C6"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001251A5" w14:textId="77777777">
        <w:tc>
          <w:tcPr>
            <w:tcW w:w="2498" w:type="pct"/>
          </w:tcPr>
          <w:p w14:paraId="1DFDEA30"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310DF8E6"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59D2E25C" w14:textId="77777777" w:rsidR="001C08A5" w:rsidRDefault="001C08A5">
      <w:pPr>
        <w:autoSpaceDE w:val="0"/>
        <w:autoSpaceDN w:val="0"/>
        <w:adjustRightInd w:val="0"/>
        <w:jc w:val="center"/>
        <w:rPr>
          <w:b/>
          <w:i/>
          <w:iCs/>
          <w:sz w:val="24"/>
          <w:szCs w:val="24"/>
        </w:rPr>
      </w:pPr>
    </w:p>
    <w:p w14:paraId="0A42BED7" w14:textId="77777777" w:rsidR="001C08A5" w:rsidRDefault="00000000">
      <w:pPr>
        <w:pStyle w:val="Caption"/>
        <w:autoSpaceDE w:val="0"/>
        <w:autoSpaceDN w:val="0"/>
        <w:adjustRightInd w:val="0"/>
        <w:jc w:val="center"/>
        <w:rPr>
          <w:rFonts w:ascii="Arial" w:hAnsi="Arial" w:cs="Arial"/>
          <w:lang w:val="en-US" w:eastAsia="en-US"/>
        </w:rPr>
      </w:pPr>
      <w:bookmarkStart w:id="6793" w:name="_Toc162360354"/>
      <w:r>
        <w:t xml:space="preserve">Figura </w:t>
      </w:r>
      <w:r>
        <w:fldChar w:fldCharType="begin"/>
      </w:r>
      <w:r>
        <w:instrText xml:space="preserve"> SEQ Figura \* ARABIC </w:instrText>
      </w:r>
      <w:r>
        <w:fldChar w:fldCharType="separate"/>
      </w:r>
      <w:r>
        <w:t>130</w:t>
      </w:r>
      <w:r>
        <w:fldChar w:fldCharType="end"/>
      </w:r>
      <w:bookmarkStart w:id="6794" w:name="_Toc16512"/>
      <w:bookmarkStart w:id="6795" w:name="_Toc8509"/>
      <w:bookmarkStart w:id="6796" w:name="_Toc11426"/>
      <w:bookmarkStart w:id="6797" w:name="_Toc18475"/>
      <w:bookmarkStart w:id="6798" w:name="_Toc27562"/>
      <w:bookmarkStart w:id="6799" w:name="_Toc13165"/>
      <w:bookmarkStart w:id="6800" w:name="_Toc21307"/>
      <w:bookmarkStart w:id="6801" w:name="_Toc21529"/>
      <w:bookmarkStart w:id="6802" w:name="_Toc23549"/>
      <w:r>
        <w:t xml:space="preserve"> - Goluri de acces la ascensoare prevăzute pentru transportul bolnavilor cu patul cu rotile, cu targa ori căruciorul sau a persoanelor cu dizabilităţi care pot fi utilizate şi pentru evacuarea asistată a acestora în caz de incendiu și la scări de evacuare a persoanelor atunci când debușează într-o încăpere tampon ventilată în suprapresiune comună</w:t>
      </w:r>
      <w:bookmarkEnd w:id="6793"/>
      <w:bookmarkEnd w:id="6794"/>
      <w:bookmarkEnd w:id="6795"/>
      <w:bookmarkEnd w:id="6796"/>
      <w:bookmarkEnd w:id="6797"/>
      <w:bookmarkEnd w:id="6798"/>
      <w:bookmarkEnd w:id="6799"/>
      <w:bookmarkEnd w:id="6800"/>
      <w:bookmarkEnd w:id="6801"/>
      <w:bookmarkEnd w:id="6802"/>
    </w:p>
    <w:p w14:paraId="3D9FEFEF" w14:textId="77777777" w:rsidR="001C08A5" w:rsidRDefault="001C08A5">
      <w:pPr>
        <w:autoSpaceDE w:val="0"/>
        <w:autoSpaceDN w:val="0"/>
        <w:adjustRightInd w:val="0"/>
        <w:rPr>
          <w:rFonts w:ascii="Arial" w:hAnsi="Arial" w:cs="Arial"/>
          <w:sz w:val="24"/>
          <w:szCs w:val="24"/>
          <w:lang w:val="en-US" w:eastAsia="en-US"/>
        </w:rPr>
      </w:pPr>
    </w:p>
    <w:p w14:paraId="3BC475A6"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23F9B8D2" wp14:editId="3E342722">
            <wp:extent cx="2715260" cy="3548380"/>
            <wp:effectExtent l="0" t="0" r="8890" b="13970"/>
            <wp:docPr id="2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14"/>
                    <pic:cNvPicPr>
                      <a:picLocks noChangeAspect="1"/>
                    </pic:cNvPicPr>
                  </pic:nvPicPr>
                  <pic:blipFill>
                    <a:blip r:embed="rId299"/>
                    <a:srcRect l="52595" t="11116" r="11433" b="23496"/>
                    <a:stretch>
                      <a:fillRect/>
                    </a:stretch>
                  </pic:blipFill>
                  <pic:spPr>
                    <a:xfrm>
                      <a:off x="0" y="0"/>
                      <a:ext cx="2715260" cy="3548380"/>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5049770C" w14:textId="77777777">
        <w:tc>
          <w:tcPr>
            <w:tcW w:w="5000" w:type="pct"/>
            <w:gridSpan w:val="2"/>
          </w:tcPr>
          <w:p w14:paraId="7AE22244"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a.1) la clădiri cu înălțime obișnuită</w:t>
            </w:r>
          </w:p>
        </w:tc>
      </w:tr>
      <w:tr w:rsidR="001C08A5" w14:paraId="00C88A00" w14:textId="77777777">
        <w:tc>
          <w:tcPr>
            <w:tcW w:w="2498" w:type="pct"/>
          </w:tcPr>
          <w:p w14:paraId="2D68FA6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2F5A07B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2BE8002E"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7E5BBDB9"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208A5A52"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6B7B5DB"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0225A8F9" w14:textId="77777777">
        <w:tc>
          <w:tcPr>
            <w:tcW w:w="2498" w:type="pct"/>
          </w:tcPr>
          <w:p w14:paraId="2862C3CB"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6FFE1983"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3C1EF03E" w14:textId="77777777">
        <w:trPr>
          <w:trHeight w:val="220"/>
        </w:trPr>
        <w:tc>
          <w:tcPr>
            <w:tcW w:w="5000" w:type="pct"/>
            <w:gridSpan w:val="2"/>
          </w:tcPr>
          <w:p w14:paraId="79D00363"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66A6A84C" w14:textId="77777777">
        <w:tc>
          <w:tcPr>
            <w:tcW w:w="2498" w:type="pct"/>
          </w:tcPr>
          <w:p w14:paraId="09F34E12"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5606D052"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5E72B413"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71733862"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6C46EEA0"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83D6708"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52D9379D" w14:textId="77777777">
        <w:tc>
          <w:tcPr>
            <w:tcW w:w="2498" w:type="pct"/>
          </w:tcPr>
          <w:p w14:paraId="22935855"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09B07DDD"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51B54792" w14:textId="77777777">
        <w:tc>
          <w:tcPr>
            <w:tcW w:w="5000" w:type="pct"/>
            <w:gridSpan w:val="2"/>
          </w:tcPr>
          <w:p w14:paraId="723761F1"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39BCE1F3" w14:textId="77777777">
        <w:tc>
          <w:tcPr>
            <w:tcW w:w="2498" w:type="pct"/>
          </w:tcPr>
          <w:p w14:paraId="328790F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5D14746"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8A7FF5B"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7FFBFF0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0172A501"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630D089"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7520476B" w14:textId="77777777">
        <w:tc>
          <w:tcPr>
            <w:tcW w:w="2498" w:type="pct"/>
          </w:tcPr>
          <w:p w14:paraId="1E3505E0"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732F3565"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065BBE2C" w14:textId="77777777">
        <w:tc>
          <w:tcPr>
            <w:tcW w:w="5000" w:type="pct"/>
            <w:gridSpan w:val="2"/>
          </w:tcPr>
          <w:p w14:paraId="7260CB14"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7216C1A8" w14:textId="77777777">
        <w:tc>
          <w:tcPr>
            <w:tcW w:w="4924" w:type="dxa"/>
          </w:tcPr>
          <w:p w14:paraId="089B53DD"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9ECE966"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0C2DD07"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4931" w:type="dxa"/>
          </w:tcPr>
          <w:p w14:paraId="6EA60964"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72C335D7"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5F56454"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7E51A1E4" w14:textId="77777777">
        <w:tc>
          <w:tcPr>
            <w:tcW w:w="2498" w:type="pct"/>
          </w:tcPr>
          <w:p w14:paraId="6E102D62"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lastRenderedPageBreak/>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7DAA0368"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1CBCA470" w14:textId="77777777" w:rsidR="001C08A5" w:rsidRDefault="001C08A5">
      <w:pPr>
        <w:autoSpaceDE w:val="0"/>
        <w:autoSpaceDN w:val="0"/>
        <w:adjustRightInd w:val="0"/>
        <w:jc w:val="center"/>
        <w:rPr>
          <w:b/>
          <w:i/>
          <w:iCs/>
          <w:sz w:val="24"/>
          <w:szCs w:val="24"/>
        </w:rPr>
      </w:pPr>
    </w:p>
    <w:p w14:paraId="0BFD12DD" w14:textId="77777777" w:rsidR="001C08A5" w:rsidRDefault="00000000">
      <w:pPr>
        <w:pStyle w:val="Caption"/>
        <w:autoSpaceDE w:val="0"/>
        <w:autoSpaceDN w:val="0"/>
        <w:adjustRightInd w:val="0"/>
        <w:jc w:val="center"/>
      </w:pPr>
      <w:bookmarkStart w:id="6803" w:name="_Toc162360355"/>
      <w:r>
        <w:t xml:space="preserve">Figura </w:t>
      </w:r>
      <w:r>
        <w:fldChar w:fldCharType="begin"/>
      </w:r>
      <w:r>
        <w:instrText xml:space="preserve"> SEQ Figura \* ARABIC </w:instrText>
      </w:r>
      <w:r>
        <w:fldChar w:fldCharType="separate"/>
      </w:r>
      <w:r>
        <w:t>131</w:t>
      </w:r>
      <w:r>
        <w:fldChar w:fldCharType="end"/>
      </w:r>
      <w:bookmarkStart w:id="6804" w:name="_Toc26703"/>
      <w:bookmarkStart w:id="6805" w:name="_Toc20811"/>
      <w:bookmarkStart w:id="6806" w:name="_Toc16172"/>
      <w:bookmarkStart w:id="6807" w:name="_Toc6669"/>
      <w:bookmarkStart w:id="6808" w:name="_Toc30031"/>
      <w:bookmarkStart w:id="6809" w:name="_Toc8222"/>
      <w:bookmarkStart w:id="6810" w:name="_Toc4471"/>
      <w:bookmarkStart w:id="6811" w:name="_Toc4608"/>
      <w:bookmarkStart w:id="6812" w:name="_Toc10620"/>
      <w:r>
        <w:t xml:space="preserve"> - Goluri de acces la ascensoare prevăzute pentru transportul bolnavilor cu patul cu rotile, cu targa ori căruciorul sau a persoanelor cu dizabilităţi care pot fi utilizate şi pentru evacuarea asistată a acestora în caz de incendiu și la scări de evacuare a persoaneloratunci când NU debușează într-o încăpere tampon ventilată în suprapresiune comună</w:t>
      </w:r>
      <w:bookmarkEnd w:id="6803"/>
      <w:bookmarkEnd w:id="6804"/>
      <w:bookmarkEnd w:id="6805"/>
      <w:bookmarkEnd w:id="6806"/>
      <w:bookmarkEnd w:id="6807"/>
      <w:bookmarkEnd w:id="6808"/>
      <w:bookmarkEnd w:id="6809"/>
      <w:bookmarkEnd w:id="6810"/>
      <w:bookmarkEnd w:id="6811"/>
      <w:bookmarkEnd w:id="6812"/>
    </w:p>
    <w:p w14:paraId="06C96847" w14:textId="77777777" w:rsidR="001C08A5" w:rsidRDefault="00000000">
      <w:pPr>
        <w:pStyle w:val="BodyText"/>
        <w:rPr>
          <w:b w:val="0"/>
          <w:sz w:val="22"/>
          <w:szCs w:val="22"/>
          <w:lang w:eastAsia="en-US"/>
        </w:rPr>
      </w:pPr>
      <w:r>
        <w:rPr>
          <w:b w:val="0"/>
          <w:iCs/>
          <w:sz w:val="22"/>
          <w:szCs w:val="22"/>
        </w:rPr>
        <w:t>Notă Figura 131: Ușile la încăperea tampon aferentă scării de evacuare se protejează obligatoriu conform condiții specifice (la clădiri înalte sau foarte înalte); la alte tipuri de construcții nu este obligatorie prevederea încăperii tampon ventilată în suprapresiune la partea supraterană a construcției (în porțiunile subterane se vor prevedea conform prevederi generale și specifice).</w:t>
      </w:r>
    </w:p>
    <w:p w14:paraId="77B223E9" w14:textId="77777777" w:rsidR="001C08A5" w:rsidRDefault="001C08A5">
      <w:pPr>
        <w:autoSpaceDE w:val="0"/>
        <w:autoSpaceDN w:val="0"/>
        <w:adjustRightInd w:val="0"/>
        <w:rPr>
          <w:rFonts w:ascii="Arial" w:hAnsi="Arial" w:cs="Arial"/>
          <w:sz w:val="24"/>
          <w:szCs w:val="24"/>
          <w:lang w:val="en-US" w:eastAsia="en-US"/>
        </w:rPr>
      </w:pPr>
    </w:p>
    <w:p w14:paraId="0818A3B9"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71CE0AD5" wp14:editId="08827229">
            <wp:extent cx="2435860" cy="3031490"/>
            <wp:effectExtent l="0" t="0" r="2540" b="16510"/>
            <wp:docPr id="2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15"/>
                    <pic:cNvPicPr>
                      <a:picLocks noChangeAspect="1"/>
                    </pic:cNvPicPr>
                  </pic:nvPicPr>
                  <pic:blipFill>
                    <a:blip r:embed="rId300"/>
                    <a:srcRect l="12854" t="24807" r="54875" b="19331"/>
                    <a:stretch>
                      <a:fillRect/>
                    </a:stretch>
                  </pic:blipFill>
                  <pic:spPr>
                    <a:xfrm>
                      <a:off x="0" y="0"/>
                      <a:ext cx="2435860" cy="3031490"/>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23702C85" w14:textId="77777777">
        <w:tc>
          <w:tcPr>
            <w:tcW w:w="5000" w:type="pct"/>
            <w:gridSpan w:val="2"/>
          </w:tcPr>
          <w:p w14:paraId="344DB046"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a.1) la clădiri cu înălțime obișnuită</w:t>
            </w:r>
          </w:p>
        </w:tc>
      </w:tr>
      <w:tr w:rsidR="001C08A5" w14:paraId="24AEE1F3" w14:textId="77777777">
        <w:tc>
          <w:tcPr>
            <w:tcW w:w="2498" w:type="pct"/>
          </w:tcPr>
          <w:p w14:paraId="2168C1E9"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AE3C815"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1F7FAF90"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007EEA4D"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1FEF4E49"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3A9B16D8"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AC83704"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1DF3952F"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72FEC7D7" w14:textId="77777777">
        <w:tc>
          <w:tcPr>
            <w:tcW w:w="2498" w:type="pct"/>
          </w:tcPr>
          <w:p w14:paraId="641EF1C1"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122D6816"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0B0AD3A0" w14:textId="77777777">
        <w:trPr>
          <w:trHeight w:val="220"/>
        </w:trPr>
        <w:tc>
          <w:tcPr>
            <w:tcW w:w="5000" w:type="pct"/>
            <w:gridSpan w:val="2"/>
          </w:tcPr>
          <w:p w14:paraId="3345779F"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1043B2D6" w14:textId="77777777">
        <w:tc>
          <w:tcPr>
            <w:tcW w:w="2498" w:type="pct"/>
          </w:tcPr>
          <w:p w14:paraId="396551D4"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7F010E66"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66925DD5"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18269B1C"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1C1935C6"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0E30B40A"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D77A591"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7217A5E2"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2FBE94F7" w14:textId="77777777">
        <w:tc>
          <w:tcPr>
            <w:tcW w:w="2498" w:type="pct"/>
          </w:tcPr>
          <w:p w14:paraId="1030663B"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2BCE9889"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7C39AF22" w14:textId="77777777">
        <w:tc>
          <w:tcPr>
            <w:tcW w:w="5000" w:type="pct"/>
            <w:gridSpan w:val="2"/>
          </w:tcPr>
          <w:p w14:paraId="3D658F5D"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30C20313" w14:textId="77777777">
        <w:tc>
          <w:tcPr>
            <w:tcW w:w="2498" w:type="pct"/>
          </w:tcPr>
          <w:p w14:paraId="4C00AF13"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51495254"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4E845F9"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DD112AF"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38C6AA6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388306C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5A8F630"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0DF951C1"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3566A8CD" w14:textId="77777777">
        <w:tc>
          <w:tcPr>
            <w:tcW w:w="2498" w:type="pct"/>
          </w:tcPr>
          <w:p w14:paraId="1DFCBEF4"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04366252"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7D274FAD" w14:textId="77777777">
        <w:tc>
          <w:tcPr>
            <w:tcW w:w="5000" w:type="pct"/>
            <w:gridSpan w:val="2"/>
          </w:tcPr>
          <w:p w14:paraId="3E667F1D"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39CF3014" w14:textId="77777777">
        <w:tc>
          <w:tcPr>
            <w:tcW w:w="4924" w:type="dxa"/>
          </w:tcPr>
          <w:p w14:paraId="68289F6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797705B5"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622D6CE"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619785F5"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4931" w:type="dxa"/>
          </w:tcPr>
          <w:p w14:paraId="0CFB0224"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148DD567"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0409E58"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6A076C35"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399A7DFC" w14:textId="77777777">
        <w:tc>
          <w:tcPr>
            <w:tcW w:w="2498" w:type="pct"/>
          </w:tcPr>
          <w:p w14:paraId="5C744EA6"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lastRenderedPageBreak/>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74FA18E8"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76DFF034" w14:textId="77777777" w:rsidR="001C08A5" w:rsidRDefault="001C08A5">
      <w:pPr>
        <w:autoSpaceDE w:val="0"/>
        <w:autoSpaceDN w:val="0"/>
        <w:adjustRightInd w:val="0"/>
        <w:jc w:val="center"/>
        <w:rPr>
          <w:b/>
          <w:i/>
          <w:iCs/>
          <w:sz w:val="24"/>
          <w:szCs w:val="24"/>
        </w:rPr>
      </w:pPr>
    </w:p>
    <w:p w14:paraId="080EFBEC" w14:textId="77777777" w:rsidR="001C08A5" w:rsidRDefault="00000000">
      <w:pPr>
        <w:pStyle w:val="Caption"/>
        <w:autoSpaceDE w:val="0"/>
        <w:autoSpaceDN w:val="0"/>
        <w:adjustRightInd w:val="0"/>
        <w:jc w:val="center"/>
        <w:rPr>
          <w:rFonts w:ascii="Arial" w:hAnsi="Arial" w:cs="Arial"/>
          <w:lang w:val="en-US" w:eastAsia="en-US"/>
        </w:rPr>
      </w:pPr>
      <w:bookmarkStart w:id="6813" w:name="_Toc162360356"/>
      <w:r>
        <w:t xml:space="preserve">Figura </w:t>
      </w:r>
      <w:r>
        <w:fldChar w:fldCharType="begin"/>
      </w:r>
      <w:r>
        <w:instrText xml:space="preserve"> SEQ Figura \* ARABIC </w:instrText>
      </w:r>
      <w:r>
        <w:fldChar w:fldCharType="separate"/>
      </w:r>
      <w:r>
        <w:t>132</w:t>
      </w:r>
      <w:r>
        <w:fldChar w:fldCharType="end"/>
      </w:r>
      <w:bookmarkStart w:id="6814" w:name="_Toc10243"/>
      <w:bookmarkStart w:id="6815" w:name="_Toc5539"/>
      <w:bookmarkStart w:id="6816" w:name="_Toc21246"/>
      <w:bookmarkStart w:id="6817" w:name="_Toc16165"/>
      <w:bookmarkStart w:id="6818" w:name="_Toc3874"/>
      <w:bookmarkStart w:id="6819" w:name="_Toc12938"/>
      <w:bookmarkStart w:id="6820" w:name="_Toc10477"/>
      <w:bookmarkStart w:id="6821" w:name="_Toc15858"/>
      <w:bookmarkStart w:id="6822" w:name="_Toc18831"/>
      <w:r>
        <w:t xml:space="preserve"> - Goluri de acces la ascensoare prevăzute pentru transportul bolnavilor cu patul cu rotile, cu targa ori căruciorul sau a persoanelor cu dizabilităţi care pot fi utilizate şi pentru evacuarea asistată a acestora în caz de incendiu și la ascensoare prevăzute pentru circulația funcțională a persoanelor atunci când debușează într-o încăpere tampon ventilată în suprapresiune comună</w:t>
      </w:r>
      <w:bookmarkEnd w:id="6813"/>
      <w:r>
        <w:t xml:space="preserve"> </w:t>
      </w:r>
      <w:bookmarkEnd w:id="6814"/>
      <w:bookmarkEnd w:id="6815"/>
      <w:bookmarkEnd w:id="6816"/>
      <w:bookmarkEnd w:id="6817"/>
      <w:bookmarkEnd w:id="6818"/>
      <w:bookmarkEnd w:id="6819"/>
      <w:bookmarkEnd w:id="6820"/>
      <w:bookmarkEnd w:id="6821"/>
      <w:bookmarkEnd w:id="6822"/>
    </w:p>
    <w:p w14:paraId="41E3381E" w14:textId="77777777" w:rsidR="001C08A5" w:rsidRDefault="001C08A5">
      <w:pPr>
        <w:autoSpaceDE w:val="0"/>
        <w:autoSpaceDN w:val="0"/>
        <w:adjustRightInd w:val="0"/>
        <w:rPr>
          <w:rFonts w:ascii="Arial" w:hAnsi="Arial" w:cs="Arial"/>
          <w:sz w:val="24"/>
          <w:szCs w:val="24"/>
          <w:lang w:val="en-US" w:eastAsia="en-US"/>
        </w:rPr>
      </w:pPr>
    </w:p>
    <w:p w14:paraId="44ECB742" w14:textId="77777777" w:rsidR="001C08A5" w:rsidRDefault="00000000">
      <w:pPr>
        <w:autoSpaceDE w:val="0"/>
        <w:autoSpaceDN w:val="0"/>
        <w:adjustRightInd w:val="0"/>
        <w:jc w:val="center"/>
        <w:rPr>
          <w:b/>
          <w:i/>
          <w:sz w:val="24"/>
          <w:szCs w:val="24"/>
        </w:rPr>
      </w:pPr>
      <w:r>
        <w:rPr>
          <w:rFonts w:ascii="Arial" w:hAnsi="Arial" w:cs="Arial"/>
          <w:noProof/>
          <w:sz w:val="24"/>
          <w:szCs w:val="24"/>
          <w:lang w:val="en-US" w:eastAsia="en-US"/>
        </w:rPr>
        <w:drawing>
          <wp:inline distT="0" distB="0" distL="114300" distR="114300" wp14:anchorId="0F624E36" wp14:editId="495F33C0">
            <wp:extent cx="3498850" cy="3031490"/>
            <wp:effectExtent l="0" t="0" r="6350" b="16510"/>
            <wp:docPr id="2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15"/>
                    <pic:cNvPicPr>
                      <a:picLocks noChangeAspect="1"/>
                    </pic:cNvPicPr>
                  </pic:nvPicPr>
                  <pic:blipFill>
                    <a:blip r:embed="rId300"/>
                    <a:srcRect l="45705" t="24807" r="7941" b="19331"/>
                    <a:stretch>
                      <a:fillRect/>
                    </a:stretch>
                  </pic:blipFill>
                  <pic:spPr>
                    <a:xfrm>
                      <a:off x="0" y="0"/>
                      <a:ext cx="3498850" cy="3031490"/>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3A17D6C2" w14:textId="77777777">
        <w:tc>
          <w:tcPr>
            <w:tcW w:w="5000" w:type="pct"/>
            <w:gridSpan w:val="2"/>
          </w:tcPr>
          <w:p w14:paraId="483F2915"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a.1) la clădiri cu înălțime obișnuită</w:t>
            </w:r>
          </w:p>
        </w:tc>
      </w:tr>
      <w:tr w:rsidR="001C08A5" w14:paraId="3E0FA29E" w14:textId="77777777">
        <w:tc>
          <w:tcPr>
            <w:tcW w:w="2498" w:type="pct"/>
          </w:tcPr>
          <w:p w14:paraId="3F9698E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0F75D51B"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367D1CD7"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78C82823"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31B8C439"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184C7BC7"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49353631"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96CD8C9"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7FC54878"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4E7A1F4D"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4B8C7262" w14:textId="77777777">
        <w:tc>
          <w:tcPr>
            <w:tcW w:w="2498" w:type="pct"/>
          </w:tcPr>
          <w:p w14:paraId="78DE5279"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040EEC50"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19A1EAB3" w14:textId="77777777">
        <w:trPr>
          <w:trHeight w:val="220"/>
        </w:trPr>
        <w:tc>
          <w:tcPr>
            <w:tcW w:w="5000" w:type="pct"/>
            <w:gridSpan w:val="2"/>
          </w:tcPr>
          <w:p w14:paraId="660CF1B7"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35DC801A" w14:textId="77777777">
        <w:tc>
          <w:tcPr>
            <w:tcW w:w="2498" w:type="pct"/>
          </w:tcPr>
          <w:p w14:paraId="73B59A1C"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8E61025"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4D062B8A"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00C12DA5"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0E00C49F"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c>
          <w:tcPr>
            <w:tcW w:w="2501" w:type="pct"/>
          </w:tcPr>
          <w:p w14:paraId="4E83CBA6"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31287403"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7F76B02"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p>
          <w:p w14:paraId="69D11659"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90</w:t>
            </w:r>
          </w:p>
          <w:p w14:paraId="15534075"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90</w:t>
            </w:r>
          </w:p>
        </w:tc>
      </w:tr>
      <w:tr w:rsidR="001C08A5" w14:paraId="4D9DFAA7" w14:textId="77777777">
        <w:tc>
          <w:tcPr>
            <w:tcW w:w="2498" w:type="pct"/>
          </w:tcPr>
          <w:p w14:paraId="672B36BE"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c>
          <w:tcPr>
            <w:tcW w:w="2501" w:type="pct"/>
          </w:tcPr>
          <w:p w14:paraId="7FDFF3EE"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9</w:t>
            </w:r>
            <w:r>
              <w:rPr>
                <w:b/>
                <w:i/>
                <w:iCs/>
                <w:sz w:val="22"/>
                <w:szCs w:val="22"/>
                <w:lang w:val="en-US" w:eastAsia="en-US"/>
              </w:rPr>
              <w:t>0</w:t>
            </w:r>
          </w:p>
        </w:tc>
      </w:tr>
      <w:tr w:rsidR="001C08A5" w14:paraId="331C501A" w14:textId="77777777">
        <w:tc>
          <w:tcPr>
            <w:tcW w:w="5000" w:type="pct"/>
            <w:gridSpan w:val="2"/>
          </w:tcPr>
          <w:p w14:paraId="40A5C8FC"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47FB3007" w14:textId="77777777">
        <w:tc>
          <w:tcPr>
            <w:tcW w:w="2498" w:type="pct"/>
          </w:tcPr>
          <w:p w14:paraId="6039C624"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237344F9"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829BB88"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140C174B"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2EE64548"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52FC950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3EED0388"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5AD4CC7"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04673601"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068F7153" w14:textId="77777777" w:rsidR="001C08A5" w:rsidRDefault="00000000">
            <w:pPr>
              <w:autoSpaceDE w:val="0"/>
              <w:autoSpaceDN w:val="0"/>
              <w:adjustRightInd w:val="0"/>
              <w:jc w:val="left"/>
              <w:rPr>
                <w:b/>
                <w:bCs/>
                <w:i/>
                <w:iCs/>
                <w:sz w:val="22"/>
                <w:szCs w:val="22"/>
                <w:lang w:val="en-US" w:eastAsia="en-US"/>
              </w:rPr>
            </w:pPr>
            <w:r>
              <w:rPr>
                <w:b/>
                <w:bCs/>
                <w:i/>
                <w:iCs/>
                <w:sz w:val="22"/>
                <w:szCs w:val="22"/>
                <w:lang w:eastAsia="en-US"/>
              </w:rPr>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02637520" w14:textId="77777777">
        <w:tc>
          <w:tcPr>
            <w:tcW w:w="2498" w:type="pct"/>
          </w:tcPr>
          <w:p w14:paraId="0A6E6333"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47E04929"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23DA1ECF" w14:textId="77777777">
        <w:tc>
          <w:tcPr>
            <w:tcW w:w="5000" w:type="pct"/>
            <w:gridSpan w:val="2"/>
          </w:tcPr>
          <w:p w14:paraId="3C910E30"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673EAB3E" w14:textId="77777777">
        <w:tc>
          <w:tcPr>
            <w:tcW w:w="4924" w:type="dxa"/>
          </w:tcPr>
          <w:p w14:paraId="01DCADBD"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0A01EA87"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68EFFBC"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36F58CBB"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0524AA6C"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lastRenderedPageBreak/>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4931" w:type="dxa"/>
          </w:tcPr>
          <w:p w14:paraId="6AAA9E9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lastRenderedPageBreak/>
              <w:t>În subteran:</w:t>
            </w:r>
          </w:p>
          <w:p w14:paraId="2E91F665"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30A652BD" w14:textId="77777777" w:rsidR="001C08A5" w:rsidRDefault="00000000">
            <w:pPr>
              <w:autoSpaceDE w:val="0"/>
              <w:autoSpaceDN w:val="0"/>
              <w:adjustRightInd w:val="0"/>
              <w:jc w:val="left"/>
              <w:rPr>
                <w:b/>
                <w:bCs/>
                <w:i/>
                <w:iCs/>
                <w:sz w:val="22"/>
                <w:szCs w:val="22"/>
                <w:vertAlign w:val="subscript"/>
                <w:lang w:val="en-US"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p>
          <w:p w14:paraId="77C0F286"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40250507"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lastRenderedPageBreak/>
              <w:t>E</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01269FAC" w14:textId="77777777">
        <w:tc>
          <w:tcPr>
            <w:tcW w:w="2498" w:type="pct"/>
          </w:tcPr>
          <w:p w14:paraId="6A3C5139"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2704E089"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41C829EE" w14:textId="77777777" w:rsidR="001C08A5" w:rsidRDefault="001C08A5">
      <w:pPr>
        <w:autoSpaceDE w:val="0"/>
        <w:autoSpaceDN w:val="0"/>
        <w:adjustRightInd w:val="0"/>
        <w:jc w:val="center"/>
        <w:rPr>
          <w:b/>
          <w:i/>
          <w:iCs/>
          <w:sz w:val="24"/>
          <w:szCs w:val="24"/>
        </w:rPr>
      </w:pPr>
    </w:p>
    <w:p w14:paraId="36FD5BE4" w14:textId="77777777" w:rsidR="001C08A5" w:rsidRDefault="00000000">
      <w:pPr>
        <w:pStyle w:val="Caption"/>
        <w:autoSpaceDE w:val="0"/>
        <w:autoSpaceDN w:val="0"/>
        <w:adjustRightInd w:val="0"/>
        <w:jc w:val="center"/>
        <w:rPr>
          <w:rFonts w:cs="Times New Roman"/>
          <w:iCs w:val="0"/>
        </w:rPr>
      </w:pPr>
      <w:bookmarkStart w:id="6823" w:name="_Toc162360357"/>
      <w:r>
        <w:t xml:space="preserve">Figura </w:t>
      </w:r>
      <w:r>
        <w:fldChar w:fldCharType="begin"/>
      </w:r>
      <w:r>
        <w:instrText xml:space="preserve"> SEQ Figura \* ARABIC </w:instrText>
      </w:r>
      <w:r>
        <w:fldChar w:fldCharType="separate"/>
      </w:r>
      <w:r>
        <w:t>133</w:t>
      </w:r>
      <w:r>
        <w:fldChar w:fldCharType="end"/>
      </w:r>
      <w:bookmarkStart w:id="6824" w:name="_Toc24173"/>
      <w:bookmarkStart w:id="6825" w:name="_Toc11248"/>
      <w:bookmarkStart w:id="6826" w:name="_Toc4399"/>
      <w:bookmarkStart w:id="6827" w:name="_Toc12557"/>
      <w:bookmarkStart w:id="6828" w:name="_Toc10993"/>
      <w:bookmarkStart w:id="6829" w:name="_Toc13485"/>
      <w:bookmarkStart w:id="6830" w:name="_Toc23709"/>
      <w:bookmarkStart w:id="6831" w:name="_Toc5293"/>
      <w:bookmarkStart w:id="6832" w:name="_Toc19673"/>
      <w:r>
        <w:t xml:space="preserve"> - Goluri de acces la ascensoare prevăzute pentru transportul bolnavilor cu patul cu rotile, cu targa ori căruciorul sau a persoanelor cu dizabilităţi care pot fi utilizate şi pentru evacuarea asistată a acestora în caz de incendiu, la ascensoare prevăzute pentru circulația funcțională a persoanelor și la scări de evacuare a persoaneloratunci când debușează într-o încăpere tampon ventilată în suprapresiune comună</w:t>
      </w:r>
      <w:bookmarkEnd w:id="6823"/>
      <w:bookmarkEnd w:id="6824"/>
      <w:bookmarkEnd w:id="6825"/>
      <w:bookmarkEnd w:id="6826"/>
      <w:bookmarkEnd w:id="6827"/>
      <w:bookmarkEnd w:id="6828"/>
      <w:bookmarkEnd w:id="6829"/>
      <w:bookmarkEnd w:id="6830"/>
      <w:bookmarkEnd w:id="6831"/>
      <w:bookmarkEnd w:id="6832"/>
    </w:p>
    <w:p w14:paraId="30BB0342" w14:textId="77777777" w:rsidR="001C08A5" w:rsidRDefault="00000000">
      <w:pPr>
        <w:pStyle w:val="Heading5"/>
        <w:rPr>
          <w:sz w:val="24"/>
          <w:szCs w:val="24"/>
          <w:lang w:val="ro-RO"/>
        </w:rPr>
      </w:pPr>
      <w:bookmarkStart w:id="6833" w:name="_Toc11194"/>
      <w:bookmarkStart w:id="6834" w:name="_Toc162355411"/>
      <w:bookmarkStart w:id="6835" w:name="_Toc32701"/>
      <w:bookmarkStart w:id="6836" w:name="_Toc29613"/>
      <w:bookmarkStart w:id="6837" w:name="_Toc5112"/>
      <w:bookmarkStart w:id="6838" w:name="_Toc1212"/>
      <w:bookmarkStart w:id="6839" w:name="_Toc8034"/>
      <w:bookmarkStart w:id="6840" w:name="_Toc6724"/>
      <w:bookmarkStart w:id="6841" w:name="_Toc22915"/>
      <w:bookmarkStart w:id="6842" w:name="_Toc3485"/>
      <w:bookmarkStart w:id="6843" w:name="_Toc24190"/>
      <w:bookmarkStart w:id="6844" w:name="_Toc29174"/>
      <w:bookmarkStart w:id="6845" w:name="_Toc22683"/>
      <w:bookmarkStart w:id="6846" w:name="_Toc20084"/>
      <w:bookmarkStart w:id="6847" w:name="_Toc23816"/>
      <w:bookmarkStart w:id="6848" w:name="_Toc6349"/>
      <w:bookmarkStart w:id="6849" w:name="_Toc12777"/>
      <w:r>
        <w:rPr>
          <w:sz w:val="24"/>
          <w:szCs w:val="24"/>
        </w:rPr>
        <w:t xml:space="preserve">Ascensoare </w:t>
      </w:r>
      <w:r>
        <w:rPr>
          <w:sz w:val="24"/>
          <w:szCs w:val="24"/>
          <w:lang w:val="ro-RO"/>
        </w:rPr>
        <w:t>pentru intervenție</w:t>
      </w:r>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p>
    <w:p w14:paraId="1178D51E" w14:textId="77777777" w:rsidR="001C08A5" w:rsidRDefault="00000000">
      <w:pPr>
        <w:pStyle w:val="Heading6"/>
        <w:rPr>
          <w:i/>
          <w:iCs/>
        </w:rPr>
      </w:pPr>
      <w:bookmarkStart w:id="6850" w:name="_Toc29751"/>
      <w:bookmarkStart w:id="6851" w:name="_Toc14367"/>
      <w:bookmarkStart w:id="6852" w:name="_Toc15341"/>
      <w:bookmarkStart w:id="6853" w:name="_Toc28484"/>
      <w:bookmarkStart w:id="6854" w:name="_Toc14631"/>
      <w:bookmarkStart w:id="6855" w:name="_Toc162355412"/>
      <w:r>
        <w:rPr>
          <w:i/>
          <w:iCs/>
        </w:rPr>
        <w:t>Prevederi generale</w:t>
      </w:r>
      <w:bookmarkEnd w:id="6850"/>
      <w:bookmarkEnd w:id="6851"/>
      <w:bookmarkEnd w:id="6852"/>
      <w:bookmarkEnd w:id="6853"/>
      <w:bookmarkEnd w:id="6854"/>
      <w:bookmarkEnd w:id="6855"/>
    </w:p>
    <w:p w14:paraId="6394A714" w14:textId="77777777" w:rsidR="001C08A5" w:rsidRDefault="00000000">
      <w:pPr>
        <w:numPr>
          <w:ilvl w:val="0"/>
          <w:numId w:val="96"/>
        </w:numPr>
        <w:tabs>
          <w:tab w:val="left" w:pos="426"/>
          <w:tab w:val="left" w:pos="993"/>
        </w:tabs>
        <w:jc w:val="both"/>
        <w:rPr>
          <w:bCs/>
          <w:i/>
          <w:sz w:val="24"/>
          <w:szCs w:val="24"/>
        </w:rPr>
      </w:pPr>
      <w:r>
        <w:rPr>
          <w:bCs/>
          <w:i/>
          <w:sz w:val="24"/>
          <w:szCs w:val="24"/>
        </w:rPr>
        <w:t>Ascensoarele</w:t>
      </w:r>
      <w:r>
        <w:rPr>
          <w:bCs/>
          <w:i/>
          <w:sz w:val="24"/>
        </w:rPr>
        <w:t xml:space="preserve"> pentru  intervenţie în caz de incendiu (de pompieri), se prevăd obligatoriu în situaţiile stabilite în normativ şi suplimentar conform </w:t>
      </w:r>
      <w:r>
        <w:rPr>
          <w:b/>
          <w:bCs/>
          <w:i/>
          <w:iCs/>
          <w:sz w:val="24"/>
        </w:rPr>
        <w:t>Art. 2.4.4.4.2</w:t>
      </w:r>
      <w:r>
        <w:rPr>
          <w:bCs/>
          <w:i/>
          <w:sz w:val="24"/>
        </w:rPr>
        <w:t xml:space="preserve"> </w:t>
      </w:r>
      <w:r>
        <w:rPr>
          <w:b/>
          <w:i/>
          <w:sz w:val="24"/>
          <w:szCs w:val="24"/>
        </w:rPr>
        <w:t>.</w:t>
      </w:r>
      <w:r>
        <w:rPr>
          <w:bCs/>
          <w:i/>
          <w:sz w:val="24"/>
          <w:szCs w:val="24"/>
        </w:rPr>
        <w:t xml:space="preserve"> </w:t>
      </w:r>
    </w:p>
    <w:p w14:paraId="58DA9988" w14:textId="77777777" w:rsidR="001C08A5" w:rsidRDefault="001C08A5">
      <w:pPr>
        <w:numPr>
          <w:ilvl w:val="255"/>
          <w:numId w:val="0"/>
        </w:numPr>
        <w:tabs>
          <w:tab w:val="left" w:pos="426"/>
          <w:tab w:val="left" w:pos="993"/>
        </w:tabs>
        <w:jc w:val="both"/>
        <w:rPr>
          <w:bCs/>
          <w:i/>
          <w:sz w:val="24"/>
          <w:szCs w:val="24"/>
        </w:rPr>
      </w:pPr>
    </w:p>
    <w:p w14:paraId="5540EC7E"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Ascensoarele prevăzute </w:t>
      </w:r>
      <w:r>
        <w:rPr>
          <w:bCs/>
          <w:i/>
          <w:sz w:val="24"/>
        </w:rPr>
        <w:t>pentru intervenţie în caz de incendiu (de pompieri),</w:t>
      </w:r>
      <w:r>
        <w:rPr>
          <w:bCs/>
          <w:i/>
          <w:sz w:val="24"/>
          <w:szCs w:val="24"/>
        </w:rPr>
        <w:t xml:space="preserve"> se dispun în puţ propriu separat de restul construcţiei prin pereţi rezistenţi la foc și planșee rezistente la foc  conform:</w:t>
      </w:r>
    </w:p>
    <w:p w14:paraId="36BD81CE"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3.1.4.7. alin. (1) </w:t>
      </w:r>
      <w:r>
        <w:rPr>
          <w:bCs/>
          <w:i/>
          <w:sz w:val="24"/>
          <w:szCs w:val="24"/>
        </w:rPr>
        <w:t>pentru clădiri cu înălțime obișnuită;</w:t>
      </w:r>
    </w:p>
    <w:p w14:paraId="1F29821F"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4.1.4.15. alin. (2) </w:t>
      </w:r>
      <w:r>
        <w:rPr>
          <w:bCs/>
          <w:i/>
          <w:sz w:val="24"/>
          <w:szCs w:val="24"/>
        </w:rPr>
        <w:t>pentru clădiri înalte;</w:t>
      </w:r>
    </w:p>
    <w:p w14:paraId="1671A147"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4.2.4.15. alin. (2) </w:t>
      </w:r>
      <w:r>
        <w:rPr>
          <w:bCs/>
          <w:i/>
          <w:sz w:val="24"/>
          <w:szCs w:val="24"/>
        </w:rPr>
        <w:t>pentru clădiri foarte înalte.</w:t>
      </w:r>
    </w:p>
    <w:p w14:paraId="2044D53F" w14:textId="77777777" w:rsidR="001C08A5" w:rsidRDefault="001C08A5">
      <w:pPr>
        <w:numPr>
          <w:ilvl w:val="255"/>
          <w:numId w:val="0"/>
        </w:numPr>
        <w:tabs>
          <w:tab w:val="left" w:pos="426"/>
          <w:tab w:val="left" w:pos="993"/>
        </w:tabs>
        <w:jc w:val="both"/>
        <w:rPr>
          <w:bCs/>
          <w:i/>
          <w:sz w:val="24"/>
          <w:szCs w:val="24"/>
        </w:rPr>
      </w:pPr>
    </w:p>
    <w:p w14:paraId="0BB58B0F"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Ascensoarele prevăzute </w:t>
      </w:r>
      <w:r>
        <w:rPr>
          <w:bCs/>
          <w:i/>
          <w:sz w:val="24"/>
        </w:rPr>
        <w:t>pentru  intervenţie în caz de incendiu (de pompieri),</w:t>
      </w:r>
      <w:r>
        <w:rPr>
          <w:bCs/>
          <w:i/>
          <w:sz w:val="24"/>
          <w:szCs w:val="24"/>
        </w:rPr>
        <w:t xml:space="preserve"> trebuie să respecte prevederile: </w:t>
      </w:r>
    </w:p>
    <w:p w14:paraId="4EA488A1"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3.1.4.8. alin. (5) </w:t>
      </w:r>
      <w:r>
        <w:rPr>
          <w:rFonts w:ascii="Arial" w:hAnsi="Arial" w:cs="Arial"/>
          <w:b/>
          <w:i/>
          <w:sz w:val="24"/>
          <w:szCs w:val="24"/>
        </w:rPr>
        <w:t>÷</w:t>
      </w:r>
      <w:r>
        <w:rPr>
          <w:b/>
          <w:bCs/>
          <w:i/>
          <w:sz w:val="24"/>
          <w:szCs w:val="24"/>
        </w:rPr>
        <w:t xml:space="preserve"> alin. (14) </w:t>
      </w:r>
      <w:r>
        <w:rPr>
          <w:bCs/>
          <w:i/>
          <w:sz w:val="24"/>
          <w:szCs w:val="24"/>
        </w:rPr>
        <w:t xml:space="preserve">pentru clădiri cu înălțime obișnuită; </w:t>
      </w:r>
    </w:p>
    <w:p w14:paraId="191A5B96"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3.1.4.8. alin. (3) </w:t>
      </w:r>
      <w:r>
        <w:rPr>
          <w:rFonts w:ascii="Arial" w:hAnsi="Arial" w:cs="Arial"/>
          <w:b/>
          <w:i/>
          <w:sz w:val="24"/>
          <w:szCs w:val="24"/>
        </w:rPr>
        <w:t>÷</w:t>
      </w:r>
      <w:r>
        <w:rPr>
          <w:b/>
          <w:bCs/>
          <w:i/>
          <w:sz w:val="24"/>
          <w:szCs w:val="24"/>
        </w:rPr>
        <w:t xml:space="preserve"> alin. (8), </w:t>
      </w:r>
      <w:r>
        <w:rPr>
          <w:b/>
          <w:i/>
          <w:sz w:val="24"/>
          <w:szCs w:val="24"/>
        </w:rPr>
        <w:t xml:space="preserve">Art. 3.1.4.8. alin. (11) </w:t>
      </w:r>
      <w:r>
        <w:rPr>
          <w:rFonts w:ascii="Arial" w:hAnsi="Arial" w:cs="Arial"/>
          <w:b/>
          <w:i/>
          <w:sz w:val="24"/>
          <w:szCs w:val="24"/>
        </w:rPr>
        <w:t>÷</w:t>
      </w:r>
      <w:r>
        <w:rPr>
          <w:b/>
          <w:bCs/>
          <w:i/>
          <w:sz w:val="24"/>
          <w:szCs w:val="24"/>
        </w:rPr>
        <w:t xml:space="preserve"> alin. (14) </w:t>
      </w:r>
      <w:r>
        <w:rPr>
          <w:i/>
          <w:sz w:val="24"/>
          <w:szCs w:val="24"/>
        </w:rPr>
        <w:t>și</w:t>
      </w:r>
      <w:r>
        <w:rPr>
          <w:b/>
          <w:bCs/>
          <w:i/>
          <w:sz w:val="24"/>
          <w:szCs w:val="24"/>
        </w:rPr>
        <w:t xml:space="preserve"> </w:t>
      </w:r>
      <w:r>
        <w:rPr>
          <w:b/>
          <w:i/>
          <w:sz w:val="24"/>
          <w:szCs w:val="24"/>
        </w:rPr>
        <w:t xml:space="preserve">Art. 4.1.4.14. </w:t>
      </w:r>
      <w:r>
        <w:rPr>
          <w:bCs/>
          <w:i/>
          <w:sz w:val="24"/>
          <w:szCs w:val="24"/>
        </w:rPr>
        <w:t xml:space="preserve">și </w:t>
      </w:r>
      <w:r>
        <w:rPr>
          <w:b/>
          <w:i/>
          <w:sz w:val="24"/>
          <w:szCs w:val="24"/>
        </w:rPr>
        <w:t xml:space="preserve">Art. 4.1.4.15. alin. (1) </w:t>
      </w:r>
      <w:r>
        <w:rPr>
          <w:bCs/>
          <w:i/>
          <w:sz w:val="24"/>
          <w:szCs w:val="24"/>
        </w:rPr>
        <w:t>și</w:t>
      </w:r>
      <w:r>
        <w:rPr>
          <w:b/>
          <w:i/>
          <w:sz w:val="24"/>
          <w:szCs w:val="24"/>
        </w:rPr>
        <w:t xml:space="preserve"> alin. (5) </w:t>
      </w:r>
      <w:r>
        <w:rPr>
          <w:rFonts w:ascii="Arial" w:hAnsi="Arial" w:cs="Arial"/>
          <w:b/>
          <w:i/>
          <w:sz w:val="24"/>
          <w:szCs w:val="24"/>
        </w:rPr>
        <w:t>÷</w:t>
      </w:r>
      <w:r>
        <w:rPr>
          <w:b/>
          <w:bCs/>
          <w:i/>
          <w:sz w:val="24"/>
          <w:szCs w:val="24"/>
        </w:rPr>
        <w:t xml:space="preserve"> alin. (7)</w:t>
      </w:r>
      <w:r>
        <w:rPr>
          <w:b/>
          <w:i/>
          <w:sz w:val="24"/>
          <w:szCs w:val="24"/>
        </w:rPr>
        <w:t xml:space="preserve"> </w:t>
      </w:r>
      <w:r>
        <w:rPr>
          <w:bCs/>
          <w:i/>
          <w:sz w:val="24"/>
          <w:szCs w:val="24"/>
        </w:rPr>
        <w:t>pentru clădiri înalte;</w:t>
      </w:r>
    </w:p>
    <w:p w14:paraId="23384DD4"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3.1.4.8. alin. (3) </w:t>
      </w:r>
      <w:r>
        <w:rPr>
          <w:rFonts w:ascii="Arial" w:hAnsi="Arial" w:cs="Arial"/>
          <w:b/>
          <w:i/>
          <w:sz w:val="24"/>
          <w:szCs w:val="24"/>
        </w:rPr>
        <w:t>÷</w:t>
      </w:r>
      <w:r>
        <w:rPr>
          <w:b/>
          <w:bCs/>
          <w:i/>
          <w:sz w:val="24"/>
          <w:szCs w:val="24"/>
        </w:rPr>
        <w:t xml:space="preserve"> alin. (8), </w:t>
      </w:r>
      <w:r>
        <w:rPr>
          <w:b/>
          <w:i/>
          <w:sz w:val="24"/>
          <w:szCs w:val="24"/>
        </w:rPr>
        <w:t xml:space="preserve">Art. 3.1.4.8. alin. (11) </w:t>
      </w:r>
      <w:r>
        <w:rPr>
          <w:rFonts w:ascii="Arial" w:hAnsi="Arial" w:cs="Arial"/>
          <w:b/>
          <w:i/>
          <w:sz w:val="24"/>
          <w:szCs w:val="24"/>
        </w:rPr>
        <w:t>÷</w:t>
      </w:r>
      <w:r>
        <w:rPr>
          <w:b/>
          <w:bCs/>
          <w:i/>
          <w:sz w:val="24"/>
          <w:szCs w:val="24"/>
        </w:rPr>
        <w:t xml:space="preserve"> alin. (14) </w:t>
      </w:r>
      <w:r>
        <w:rPr>
          <w:i/>
          <w:sz w:val="24"/>
          <w:szCs w:val="24"/>
        </w:rPr>
        <w:t>și</w:t>
      </w:r>
      <w:r>
        <w:rPr>
          <w:b/>
          <w:bCs/>
          <w:i/>
          <w:sz w:val="24"/>
          <w:szCs w:val="24"/>
        </w:rPr>
        <w:t xml:space="preserve"> </w:t>
      </w:r>
      <w:r>
        <w:rPr>
          <w:b/>
          <w:i/>
          <w:sz w:val="24"/>
          <w:szCs w:val="24"/>
        </w:rPr>
        <w:t xml:space="preserve">Art. 4.2.4.14. </w:t>
      </w:r>
      <w:r>
        <w:rPr>
          <w:bCs/>
          <w:i/>
          <w:sz w:val="24"/>
          <w:szCs w:val="24"/>
        </w:rPr>
        <w:t xml:space="preserve">și </w:t>
      </w:r>
      <w:r>
        <w:rPr>
          <w:b/>
          <w:i/>
          <w:sz w:val="24"/>
          <w:szCs w:val="24"/>
        </w:rPr>
        <w:t xml:space="preserve">Art. 4.2.4.15. alin. (1) </w:t>
      </w:r>
      <w:r>
        <w:rPr>
          <w:bCs/>
          <w:i/>
          <w:sz w:val="24"/>
          <w:szCs w:val="24"/>
        </w:rPr>
        <w:t>și</w:t>
      </w:r>
      <w:r>
        <w:rPr>
          <w:b/>
          <w:i/>
          <w:sz w:val="24"/>
          <w:szCs w:val="24"/>
        </w:rPr>
        <w:t xml:space="preserve"> alin. (5) </w:t>
      </w:r>
      <w:r>
        <w:rPr>
          <w:rFonts w:ascii="Arial" w:hAnsi="Arial" w:cs="Arial"/>
          <w:b/>
          <w:i/>
          <w:sz w:val="24"/>
          <w:szCs w:val="24"/>
        </w:rPr>
        <w:t>÷</w:t>
      </w:r>
      <w:r>
        <w:rPr>
          <w:b/>
          <w:bCs/>
          <w:i/>
          <w:sz w:val="24"/>
          <w:szCs w:val="24"/>
        </w:rPr>
        <w:t xml:space="preserve"> alin. (7) </w:t>
      </w:r>
      <w:r>
        <w:rPr>
          <w:bCs/>
          <w:i/>
          <w:sz w:val="24"/>
          <w:szCs w:val="24"/>
        </w:rPr>
        <w:t>pentru clădiri foarte înalte.</w:t>
      </w:r>
    </w:p>
    <w:p w14:paraId="420E8AAB" w14:textId="77777777" w:rsidR="001C08A5" w:rsidRDefault="001C08A5">
      <w:pPr>
        <w:numPr>
          <w:ilvl w:val="255"/>
          <w:numId w:val="0"/>
        </w:numPr>
        <w:tabs>
          <w:tab w:val="left" w:pos="426"/>
          <w:tab w:val="left" w:pos="993"/>
        </w:tabs>
        <w:jc w:val="both"/>
        <w:rPr>
          <w:bCs/>
          <w:i/>
          <w:sz w:val="24"/>
          <w:szCs w:val="24"/>
        </w:rPr>
      </w:pPr>
    </w:p>
    <w:p w14:paraId="42EA94FE" w14:textId="77777777" w:rsidR="001C08A5" w:rsidRDefault="00000000">
      <w:pPr>
        <w:numPr>
          <w:ilvl w:val="0"/>
          <w:numId w:val="96"/>
        </w:numPr>
        <w:tabs>
          <w:tab w:val="left" w:pos="426"/>
          <w:tab w:val="left" w:pos="993"/>
        </w:tabs>
        <w:jc w:val="both"/>
        <w:rPr>
          <w:bCs/>
          <w:i/>
          <w:sz w:val="24"/>
          <w:szCs w:val="24"/>
        </w:rPr>
      </w:pPr>
      <w:r>
        <w:rPr>
          <w:bCs/>
          <w:i/>
          <w:sz w:val="24"/>
          <w:szCs w:val="24"/>
        </w:rPr>
        <w:t xml:space="preserve">Accesul la ascensoarele prevăzute </w:t>
      </w:r>
      <w:r>
        <w:rPr>
          <w:bCs/>
          <w:i/>
          <w:sz w:val="24"/>
        </w:rPr>
        <w:t>pentru  intervenţie în caz de incendiu (de pompieri</w:t>
      </w:r>
      <w:r>
        <w:rPr>
          <w:bCs/>
          <w:i/>
          <w:sz w:val="24"/>
          <w:szCs w:val="24"/>
        </w:rPr>
        <w:t xml:space="preserve">) trebuie să respecte prevederile: </w:t>
      </w:r>
    </w:p>
    <w:p w14:paraId="3C62AA11"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3.2.4.4. alin. (7), alin. (8) </w:t>
      </w:r>
      <w:r>
        <w:rPr>
          <w:bCs/>
          <w:i/>
          <w:sz w:val="24"/>
          <w:szCs w:val="24"/>
        </w:rPr>
        <w:t>și</w:t>
      </w:r>
      <w:r>
        <w:rPr>
          <w:b/>
          <w:i/>
          <w:sz w:val="24"/>
          <w:szCs w:val="24"/>
        </w:rPr>
        <w:t xml:space="preserve"> alin. (9) </w:t>
      </w:r>
      <w:r>
        <w:rPr>
          <w:bCs/>
          <w:i/>
          <w:sz w:val="24"/>
          <w:szCs w:val="24"/>
        </w:rPr>
        <w:t xml:space="preserve">pentru clădiri cu înălțime obișnuită; </w:t>
      </w:r>
    </w:p>
    <w:p w14:paraId="30232731" w14:textId="77777777" w:rsidR="001C08A5" w:rsidRDefault="00000000">
      <w:pPr>
        <w:numPr>
          <w:ilvl w:val="255"/>
          <w:numId w:val="0"/>
        </w:num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4.1.4.15. alin. (3) </w:t>
      </w:r>
      <w:r>
        <w:rPr>
          <w:bCs/>
          <w:i/>
          <w:sz w:val="24"/>
          <w:szCs w:val="24"/>
        </w:rPr>
        <w:t>și</w:t>
      </w:r>
      <w:r>
        <w:rPr>
          <w:b/>
          <w:i/>
          <w:sz w:val="24"/>
          <w:szCs w:val="24"/>
        </w:rPr>
        <w:t xml:space="preserve"> alin. (8) </w:t>
      </w:r>
      <w:r>
        <w:rPr>
          <w:bCs/>
          <w:i/>
          <w:sz w:val="24"/>
          <w:szCs w:val="24"/>
        </w:rPr>
        <w:t>pentru clădiri înalte;</w:t>
      </w:r>
    </w:p>
    <w:p w14:paraId="4FA3548C" w14:textId="77777777" w:rsidR="001C08A5" w:rsidRDefault="00000000">
      <w:pPr>
        <w:tabs>
          <w:tab w:val="left" w:pos="426"/>
          <w:tab w:val="left" w:pos="993"/>
        </w:tabs>
        <w:ind w:left="1440" w:firstLine="720"/>
        <w:jc w:val="both"/>
        <w:rPr>
          <w:bCs/>
          <w:i/>
          <w:sz w:val="24"/>
          <w:szCs w:val="24"/>
        </w:rPr>
      </w:pPr>
      <w:r>
        <w:rPr>
          <w:bCs/>
          <w:i/>
          <w:sz w:val="24"/>
          <w:szCs w:val="24"/>
        </w:rPr>
        <w:t xml:space="preserve">- </w:t>
      </w:r>
      <w:r>
        <w:rPr>
          <w:b/>
          <w:i/>
          <w:sz w:val="24"/>
          <w:szCs w:val="24"/>
        </w:rPr>
        <w:t xml:space="preserve">Art. 4.2.4.15. alin. (3) </w:t>
      </w:r>
      <w:r>
        <w:rPr>
          <w:bCs/>
          <w:i/>
          <w:sz w:val="24"/>
          <w:szCs w:val="24"/>
        </w:rPr>
        <w:t>și</w:t>
      </w:r>
      <w:r>
        <w:rPr>
          <w:b/>
          <w:i/>
          <w:sz w:val="24"/>
          <w:szCs w:val="24"/>
        </w:rPr>
        <w:t xml:space="preserve"> alin. (8) </w:t>
      </w:r>
      <w:r>
        <w:rPr>
          <w:bCs/>
          <w:i/>
          <w:sz w:val="24"/>
          <w:szCs w:val="24"/>
        </w:rPr>
        <w:t>pentru clădiri foarte înalte.</w:t>
      </w:r>
    </w:p>
    <w:p w14:paraId="47EF5F38" w14:textId="77777777" w:rsidR="001C08A5" w:rsidRDefault="001C08A5">
      <w:pPr>
        <w:tabs>
          <w:tab w:val="left" w:pos="426"/>
          <w:tab w:val="left" w:pos="993"/>
        </w:tabs>
        <w:ind w:left="1440" w:firstLine="720"/>
        <w:jc w:val="both"/>
        <w:rPr>
          <w:bCs/>
          <w:i/>
          <w:sz w:val="24"/>
          <w:szCs w:val="24"/>
        </w:rPr>
      </w:pPr>
    </w:p>
    <w:p w14:paraId="4524B173"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64512730" wp14:editId="18593F7F">
            <wp:extent cx="3058160" cy="1939925"/>
            <wp:effectExtent l="0" t="0" r="8890" b="3175"/>
            <wp:docPr id="1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6"/>
                    <pic:cNvPicPr>
                      <a:picLocks noChangeAspect="1"/>
                    </pic:cNvPicPr>
                  </pic:nvPicPr>
                  <pic:blipFill>
                    <a:blip r:embed="rId301"/>
                    <a:srcRect l="13628" t="27136" r="45857" b="37117"/>
                    <a:stretch>
                      <a:fillRect/>
                    </a:stretch>
                  </pic:blipFill>
                  <pic:spPr>
                    <a:xfrm>
                      <a:off x="0" y="0"/>
                      <a:ext cx="3058160" cy="1939925"/>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599E10BC" w14:textId="77777777">
        <w:tc>
          <w:tcPr>
            <w:tcW w:w="5000" w:type="pct"/>
            <w:gridSpan w:val="2"/>
          </w:tcPr>
          <w:p w14:paraId="2BB854E8"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 la clădiri cu înălțime obișnuită</w:t>
            </w:r>
          </w:p>
        </w:tc>
      </w:tr>
      <w:tr w:rsidR="001C08A5" w14:paraId="00BBD4CB" w14:textId="77777777">
        <w:tc>
          <w:tcPr>
            <w:tcW w:w="2498" w:type="pct"/>
          </w:tcPr>
          <w:p w14:paraId="1FF4EEF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27F4395" w14:textId="77777777" w:rsidR="001C08A5" w:rsidRDefault="00000000">
            <w:pPr>
              <w:autoSpaceDE w:val="0"/>
              <w:autoSpaceDN w:val="0"/>
              <w:adjustRightInd w:val="0"/>
              <w:jc w:val="left"/>
              <w:rPr>
                <w:i/>
                <w:iCs/>
                <w:sz w:val="22"/>
                <w:szCs w:val="22"/>
                <w:lang w:eastAsia="en-US"/>
              </w:rPr>
            </w:pPr>
            <w:r>
              <w:rPr>
                <w:b/>
                <w:bCs/>
                <w:i/>
                <w:iCs/>
                <w:sz w:val="22"/>
                <w:szCs w:val="22"/>
                <w:lang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37506F2A"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23C57567"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6935AD68" w14:textId="77777777" w:rsidR="001C08A5" w:rsidRDefault="00000000">
            <w:pPr>
              <w:autoSpaceDE w:val="0"/>
              <w:autoSpaceDN w:val="0"/>
              <w:adjustRightInd w:val="0"/>
              <w:jc w:val="left"/>
              <w:rPr>
                <w:i/>
                <w:iCs/>
                <w:sz w:val="22"/>
                <w:szCs w:val="22"/>
                <w:lang w:eastAsia="en-US"/>
              </w:rPr>
            </w:pPr>
            <w:r>
              <w:rPr>
                <w:b/>
                <w:bCs/>
                <w:i/>
                <w:iCs/>
                <w:sz w:val="22"/>
                <w:szCs w:val="22"/>
                <w:lang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B4A6970"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1DC21898" w14:textId="77777777">
        <w:tc>
          <w:tcPr>
            <w:tcW w:w="2498" w:type="pct"/>
          </w:tcPr>
          <w:p w14:paraId="40DF20D3"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w:t>
            </w:r>
            <w:r>
              <w:rPr>
                <w:bCs/>
                <w:i/>
                <w:iCs/>
                <w:sz w:val="22"/>
                <w:szCs w:val="22"/>
                <w:lang w:val="en-US" w:eastAsia="en-US"/>
              </w:rPr>
              <w:lastRenderedPageBreak/>
              <w:t xml:space="preserve">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4AFB1785"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lastRenderedPageBreak/>
              <w:t xml:space="preserve">Notă: </w:t>
            </w:r>
            <w:r>
              <w:rPr>
                <w:bCs/>
                <w:i/>
                <w:iCs/>
                <w:sz w:val="22"/>
                <w:szCs w:val="22"/>
                <w:lang w:val="en-US" w:eastAsia="en-US"/>
              </w:rPr>
              <w:t xml:space="preserve">pereții încăperii tampon ventilată în </w:t>
            </w:r>
            <w:r>
              <w:rPr>
                <w:bCs/>
                <w:i/>
                <w:iCs/>
                <w:sz w:val="22"/>
                <w:szCs w:val="22"/>
                <w:lang w:val="en-US" w:eastAsia="en-US"/>
              </w:rPr>
              <w:lastRenderedPageBreak/>
              <w:t xml:space="preserve">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4D465CB2" w14:textId="77777777">
        <w:trPr>
          <w:trHeight w:val="220"/>
        </w:trPr>
        <w:tc>
          <w:tcPr>
            <w:tcW w:w="5000" w:type="pct"/>
            <w:gridSpan w:val="2"/>
          </w:tcPr>
          <w:p w14:paraId="3A363970"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lastRenderedPageBreak/>
              <w:t>Varianta b) la clădiri înalte</w:t>
            </w:r>
          </w:p>
        </w:tc>
      </w:tr>
      <w:tr w:rsidR="001C08A5" w14:paraId="0371A02E" w14:textId="77777777">
        <w:tc>
          <w:tcPr>
            <w:tcW w:w="2498" w:type="pct"/>
          </w:tcPr>
          <w:p w14:paraId="1F5EFECB"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A617B54" w14:textId="77777777" w:rsidR="001C08A5" w:rsidRDefault="00000000">
            <w:pPr>
              <w:autoSpaceDE w:val="0"/>
              <w:autoSpaceDN w:val="0"/>
              <w:adjustRightInd w:val="0"/>
              <w:jc w:val="left"/>
              <w:rPr>
                <w:i/>
                <w:iCs/>
                <w:sz w:val="22"/>
                <w:szCs w:val="22"/>
                <w:lang w:eastAsia="en-US"/>
              </w:rPr>
            </w:pPr>
            <w:r>
              <w:rPr>
                <w:b/>
                <w:bCs/>
                <w:i/>
                <w:iCs/>
                <w:sz w:val="22"/>
                <w:szCs w:val="22"/>
                <w:lang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8C5073B"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29B3216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58142987" w14:textId="77777777" w:rsidR="001C08A5" w:rsidRDefault="00000000">
            <w:pPr>
              <w:autoSpaceDE w:val="0"/>
              <w:autoSpaceDN w:val="0"/>
              <w:adjustRightInd w:val="0"/>
              <w:jc w:val="left"/>
              <w:rPr>
                <w:i/>
                <w:iCs/>
                <w:sz w:val="22"/>
                <w:szCs w:val="22"/>
                <w:lang w:eastAsia="en-US"/>
              </w:rPr>
            </w:pPr>
            <w:r>
              <w:rPr>
                <w:b/>
                <w:bCs/>
                <w:i/>
                <w:iCs/>
                <w:sz w:val="22"/>
                <w:szCs w:val="22"/>
                <w:lang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88A0F17"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5D9153A1" w14:textId="77777777">
        <w:tc>
          <w:tcPr>
            <w:tcW w:w="2498" w:type="pct"/>
          </w:tcPr>
          <w:p w14:paraId="391AA861"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4EBA5666"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26AE7B07" w14:textId="77777777">
        <w:tc>
          <w:tcPr>
            <w:tcW w:w="5000" w:type="pct"/>
            <w:gridSpan w:val="2"/>
          </w:tcPr>
          <w:p w14:paraId="2B4239C1"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3A8D8C8C" w14:textId="77777777">
        <w:tc>
          <w:tcPr>
            <w:tcW w:w="2498" w:type="pct"/>
          </w:tcPr>
          <w:p w14:paraId="0EB2943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73EBA457" w14:textId="77777777" w:rsidR="001C08A5" w:rsidRDefault="00000000">
            <w:pPr>
              <w:autoSpaceDE w:val="0"/>
              <w:autoSpaceDN w:val="0"/>
              <w:adjustRightInd w:val="0"/>
              <w:jc w:val="left"/>
              <w:rPr>
                <w:i/>
                <w:iCs/>
                <w:sz w:val="22"/>
                <w:szCs w:val="22"/>
                <w:lang w:eastAsia="en-US"/>
              </w:rPr>
            </w:pPr>
            <w:r>
              <w:rPr>
                <w:b/>
                <w:bCs/>
                <w:i/>
                <w:iCs/>
                <w:sz w:val="22"/>
                <w:szCs w:val="22"/>
                <w:lang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320C9292"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275FB359"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1D701BAD" w14:textId="77777777" w:rsidR="001C08A5" w:rsidRDefault="00000000">
            <w:pPr>
              <w:autoSpaceDE w:val="0"/>
              <w:autoSpaceDN w:val="0"/>
              <w:adjustRightInd w:val="0"/>
              <w:jc w:val="left"/>
              <w:rPr>
                <w:i/>
                <w:iCs/>
                <w:sz w:val="22"/>
                <w:szCs w:val="22"/>
                <w:lang w:eastAsia="en-US"/>
              </w:rPr>
            </w:pPr>
            <w:r>
              <w:rPr>
                <w:b/>
                <w:bCs/>
                <w:i/>
                <w:iCs/>
                <w:sz w:val="22"/>
                <w:szCs w:val="22"/>
                <w:lang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0E2741E"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449E41DB" w14:textId="77777777">
        <w:tc>
          <w:tcPr>
            <w:tcW w:w="2498" w:type="pct"/>
          </w:tcPr>
          <w:p w14:paraId="6355B531"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6A150CF0"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78F40FF9" w14:textId="77777777">
        <w:tc>
          <w:tcPr>
            <w:tcW w:w="5000" w:type="pct"/>
            <w:gridSpan w:val="2"/>
          </w:tcPr>
          <w:p w14:paraId="06515344"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5F200B25" w14:textId="77777777">
        <w:tc>
          <w:tcPr>
            <w:tcW w:w="2498" w:type="pct"/>
          </w:tcPr>
          <w:p w14:paraId="4615AD1B"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89EC325" w14:textId="77777777" w:rsidR="001C08A5" w:rsidRDefault="00000000">
            <w:pPr>
              <w:autoSpaceDE w:val="0"/>
              <w:autoSpaceDN w:val="0"/>
              <w:adjustRightInd w:val="0"/>
              <w:jc w:val="left"/>
              <w:rPr>
                <w:i/>
                <w:iCs/>
                <w:sz w:val="22"/>
                <w:szCs w:val="22"/>
                <w:lang w:eastAsia="en-US"/>
              </w:rPr>
            </w:pPr>
            <w:r>
              <w:rPr>
                <w:b/>
                <w:bCs/>
                <w:i/>
                <w:iCs/>
                <w:sz w:val="22"/>
                <w:szCs w:val="22"/>
                <w:lang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DB13038"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61939CA6"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76ED7101" w14:textId="77777777" w:rsidR="001C08A5" w:rsidRDefault="00000000">
            <w:pPr>
              <w:autoSpaceDE w:val="0"/>
              <w:autoSpaceDN w:val="0"/>
              <w:adjustRightInd w:val="0"/>
              <w:jc w:val="left"/>
              <w:rPr>
                <w:i/>
                <w:iCs/>
                <w:sz w:val="22"/>
                <w:szCs w:val="22"/>
                <w:lang w:eastAsia="en-US"/>
              </w:rPr>
            </w:pPr>
            <w:r>
              <w:rPr>
                <w:b/>
                <w:bCs/>
                <w:i/>
                <w:iCs/>
                <w:sz w:val="22"/>
                <w:szCs w:val="22"/>
                <w:lang w:eastAsia="en-US"/>
              </w:rPr>
              <w:t>F</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E15385D"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2584E6F9" w14:textId="77777777">
        <w:tc>
          <w:tcPr>
            <w:tcW w:w="2498" w:type="pct"/>
          </w:tcPr>
          <w:p w14:paraId="6B586F98"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3ABDFC4D"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769D9F7E" w14:textId="77777777" w:rsidR="001C08A5" w:rsidRDefault="001C08A5">
      <w:pPr>
        <w:autoSpaceDE w:val="0"/>
        <w:autoSpaceDN w:val="0"/>
        <w:adjustRightInd w:val="0"/>
        <w:jc w:val="center"/>
        <w:rPr>
          <w:b/>
          <w:i/>
          <w:iCs/>
          <w:sz w:val="24"/>
          <w:szCs w:val="24"/>
        </w:rPr>
      </w:pPr>
    </w:p>
    <w:p w14:paraId="17FC9817" w14:textId="77777777" w:rsidR="001C08A5" w:rsidRDefault="00000000">
      <w:pPr>
        <w:pStyle w:val="Caption"/>
        <w:autoSpaceDE w:val="0"/>
        <w:autoSpaceDN w:val="0"/>
        <w:adjustRightInd w:val="0"/>
        <w:jc w:val="center"/>
      </w:pPr>
      <w:bookmarkStart w:id="6856" w:name="_Toc162360358"/>
      <w:r>
        <w:t xml:space="preserve">Figura </w:t>
      </w:r>
      <w:r>
        <w:fldChar w:fldCharType="begin"/>
      </w:r>
      <w:r>
        <w:instrText xml:space="preserve"> SEQ Figura \* ARABIC </w:instrText>
      </w:r>
      <w:r>
        <w:fldChar w:fldCharType="separate"/>
      </w:r>
      <w:r>
        <w:t>134</w:t>
      </w:r>
      <w:r>
        <w:fldChar w:fldCharType="end"/>
      </w:r>
      <w:bookmarkStart w:id="6857" w:name="_Toc20540"/>
      <w:bookmarkStart w:id="6858" w:name="_Toc14419"/>
      <w:bookmarkStart w:id="6859" w:name="_Toc5591"/>
      <w:bookmarkStart w:id="6860" w:name="_Toc6387"/>
      <w:bookmarkStart w:id="6861" w:name="_Toc25875"/>
      <w:bookmarkStart w:id="6862" w:name="_Toc23462"/>
      <w:bookmarkStart w:id="6863" w:name="_Toc19456"/>
      <w:bookmarkStart w:id="6864" w:name="_Toc32765"/>
      <w:bookmarkStart w:id="6865" w:name="_Toc31306"/>
      <w:r>
        <w:t xml:space="preserve"> - Caz general goluri de acces la ascensoare de intervenție</w:t>
      </w:r>
      <w:bookmarkEnd w:id="6856"/>
      <w:bookmarkEnd w:id="6857"/>
      <w:bookmarkEnd w:id="6858"/>
      <w:bookmarkEnd w:id="6859"/>
      <w:bookmarkEnd w:id="6860"/>
      <w:bookmarkEnd w:id="6861"/>
      <w:bookmarkEnd w:id="6862"/>
      <w:bookmarkEnd w:id="6863"/>
      <w:bookmarkEnd w:id="6864"/>
      <w:bookmarkEnd w:id="6865"/>
    </w:p>
    <w:p w14:paraId="506372CF" w14:textId="77777777" w:rsidR="001C08A5" w:rsidRDefault="001C08A5">
      <w:pPr>
        <w:autoSpaceDE w:val="0"/>
        <w:autoSpaceDN w:val="0"/>
        <w:adjustRightInd w:val="0"/>
        <w:jc w:val="center"/>
        <w:rPr>
          <w:b/>
          <w:i/>
          <w:iCs/>
          <w:sz w:val="24"/>
          <w:szCs w:val="24"/>
        </w:rPr>
      </w:pPr>
    </w:p>
    <w:p w14:paraId="123861D8" w14:textId="77777777" w:rsidR="001C08A5" w:rsidRDefault="00000000">
      <w:pPr>
        <w:autoSpaceDE w:val="0"/>
        <w:autoSpaceDN w:val="0"/>
        <w:adjustRightInd w:val="0"/>
        <w:jc w:val="center"/>
        <w:rPr>
          <w:b/>
          <w:i/>
          <w:iCs/>
          <w:sz w:val="24"/>
          <w:szCs w:val="24"/>
        </w:rPr>
      </w:pPr>
      <w:r>
        <w:rPr>
          <w:rFonts w:ascii="Arial" w:hAnsi="Arial" w:cs="Arial"/>
          <w:noProof/>
          <w:sz w:val="24"/>
          <w:szCs w:val="24"/>
          <w:lang w:val="en-US" w:eastAsia="en-US"/>
        </w:rPr>
        <w:drawing>
          <wp:inline distT="0" distB="0" distL="114300" distR="114300" wp14:anchorId="32E5A38F" wp14:editId="2EC0762C">
            <wp:extent cx="2371090" cy="3474720"/>
            <wp:effectExtent l="0" t="0" r="10160" b="11430"/>
            <wp:docPr id="2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16"/>
                    <pic:cNvPicPr>
                      <a:picLocks noChangeAspect="1"/>
                    </pic:cNvPicPr>
                  </pic:nvPicPr>
                  <pic:blipFill>
                    <a:blip r:embed="rId301"/>
                    <a:srcRect l="57054" t="4891" r="11534" b="31079"/>
                    <a:stretch>
                      <a:fillRect/>
                    </a:stretch>
                  </pic:blipFill>
                  <pic:spPr>
                    <a:xfrm>
                      <a:off x="0" y="0"/>
                      <a:ext cx="2371090" cy="3474720"/>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77733188" w14:textId="77777777">
        <w:tc>
          <w:tcPr>
            <w:tcW w:w="5000" w:type="pct"/>
            <w:gridSpan w:val="2"/>
          </w:tcPr>
          <w:p w14:paraId="180E4B80"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a) la clădiri cu înălțime obișnuită</w:t>
            </w:r>
          </w:p>
        </w:tc>
      </w:tr>
      <w:tr w:rsidR="001C08A5" w14:paraId="6CF727BC" w14:textId="77777777">
        <w:tc>
          <w:tcPr>
            <w:tcW w:w="2498" w:type="pct"/>
          </w:tcPr>
          <w:p w14:paraId="19402BEA"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DE16D13"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5C224D2A"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AF7273D"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66A926F9"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02491A2B"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97D92D3"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1769320"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719DC57D" w14:textId="77777777">
        <w:tc>
          <w:tcPr>
            <w:tcW w:w="2498" w:type="pct"/>
          </w:tcPr>
          <w:p w14:paraId="60BC53E7"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33EBA175"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56702CC3" w14:textId="77777777">
        <w:trPr>
          <w:trHeight w:val="220"/>
        </w:trPr>
        <w:tc>
          <w:tcPr>
            <w:tcW w:w="5000" w:type="pct"/>
            <w:gridSpan w:val="2"/>
          </w:tcPr>
          <w:p w14:paraId="4CAE5142"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Varianta b) la clădiri înalte</w:t>
            </w:r>
          </w:p>
        </w:tc>
      </w:tr>
      <w:tr w:rsidR="001C08A5" w14:paraId="1D5D1917" w14:textId="77777777">
        <w:tc>
          <w:tcPr>
            <w:tcW w:w="2498" w:type="pct"/>
          </w:tcPr>
          <w:p w14:paraId="2872223D"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D983921"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3D47EF5"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A1739EB"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4815E00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0A418AAD"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F71BF8E"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9CE609D"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6504244E" w14:textId="77777777">
        <w:tc>
          <w:tcPr>
            <w:tcW w:w="2498" w:type="pct"/>
          </w:tcPr>
          <w:p w14:paraId="179847B9"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w:t>
            </w:r>
            <w:r>
              <w:rPr>
                <w:bCs/>
                <w:i/>
                <w:iCs/>
                <w:sz w:val="22"/>
                <w:szCs w:val="22"/>
                <w:lang w:val="en-US" w:eastAsia="en-US"/>
              </w:rPr>
              <w:lastRenderedPageBreak/>
              <w:t xml:space="preserve">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480438CE" w14:textId="77777777" w:rsidR="001C08A5" w:rsidRDefault="00000000">
            <w:pPr>
              <w:autoSpaceDE w:val="0"/>
              <w:autoSpaceDN w:val="0"/>
              <w:adjustRightInd w:val="0"/>
              <w:jc w:val="left"/>
              <w:rPr>
                <w:i/>
                <w:iCs/>
                <w:sz w:val="24"/>
                <w:szCs w:val="24"/>
                <w:lang w:val="en-US" w:eastAsia="en-US"/>
              </w:rPr>
            </w:pPr>
            <w:r>
              <w:rPr>
                <w:i/>
                <w:iCs/>
                <w:sz w:val="22"/>
                <w:szCs w:val="22"/>
                <w:lang w:val="en-US" w:eastAsia="en-US"/>
              </w:rPr>
              <w:lastRenderedPageBreak/>
              <w:t xml:space="preserve">Notă: </w:t>
            </w:r>
            <w:r>
              <w:rPr>
                <w:bCs/>
                <w:i/>
                <w:iCs/>
                <w:sz w:val="22"/>
                <w:szCs w:val="22"/>
                <w:lang w:val="en-US" w:eastAsia="en-US"/>
              </w:rPr>
              <w:t xml:space="preserve">pereții încăperii tampon ventilată în </w:t>
            </w:r>
            <w:r>
              <w:rPr>
                <w:bCs/>
                <w:i/>
                <w:iCs/>
                <w:sz w:val="22"/>
                <w:szCs w:val="22"/>
                <w:lang w:val="en-US" w:eastAsia="en-US"/>
              </w:rPr>
              <w:lastRenderedPageBreak/>
              <w:t xml:space="preserve">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5478BD0F" w14:textId="77777777">
        <w:tc>
          <w:tcPr>
            <w:tcW w:w="5000" w:type="pct"/>
            <w:gridSpan w:val="2"/>
          </w:tcPr>
          <w:p w14:paraId="6AF1ACA2"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lastRenderedPageBreak/>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4EACE247" w14:textId="77777777">
        <w:tc>
          <w:tcPr>
            <w:tcW w:w="2498" w:type="pct"/>
          </w:tcPr>
          <w:p w14:paraId="36F9CC2E"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281AD17C"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7E3548B"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72F31CF"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4896BFD2"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5A49AB29"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73835DC"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2771D54" w14:textId="77777777" w:rsidR="001C08A5" w:rsidRDefault="00000000">
            <w:pPr>
              <w:autoSpaceDE w:val="0"/>
              <w:autoSpaceDN w:val="0"/>
              <w:adjustRightInd w:val="0"/>
              <w:jc w:val="left"/>
              <w:rPr>
                <w:i/>
                <w:iCs/>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548DB3ED" w14:textId="77777777">
        <w:tc>
          <w:tcPr>
            <w:tcW w:w="2498" w:type="pct"/>
          </w:tcPr>
          <w:p w14:paraId="59719190"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74EA1DFF"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366F2311" w14:textId="77777777">
        <w:tc>
          <w:tcPr>
            <w:tcW w:w="5000" w:type="pct"/>
            <w:gridSpan w:val="2"/>
          </w:tcPr>
          <w:p w14:paraId="5B3C6157" w14:textId="77777777" w:rsidR="001C08A5" w:rsidRDefault="00000000">
            <w:pPr>
              <w:autoSpaceDE w:val="0"/>
              <w:autoSpaceDN w:val="0"/>
              <w:adjustRightInd w:val="0"/>
              <w:jc w:val="center"/>
              <w:rPr>
                <w:i/>
                <w:iCs/>
                <w:sz w:val="24"/>
                <w:szCs w:val="24"/>
                <w:lang w:val="en-US"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4117D0FB" w14:textId="77777777">
        <w:tc>
          <w:tcPr>
            <w:tcW w:w="2498" w:type="pct"/>
          </w:tcPr>
          <w:p w14:paraId="60A1228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20B7AA8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116E4EC"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6591BAF"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4387DC45"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4E1A18C9"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A35A911"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7A3C70B" w14:textId="77777777" w:rsidR="001C08A5" w:rsidRDefault="00000000">
            <w:pPr>
              <w:autoSpaceDE w:val="0"/>
              <w:autoSpaceDN w:val="0"/>
              <w:adjustRightInd w:val="0"/>
              <w:jc w:val="left"/>
              <w:rPr>
                <w:i/>
                <w:iCs/>
                <w:sz w:val="22"/>
                <w:szCs w:val="22"/>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76EF1267" w14:textId="77777777">
        <w:tc>
          <w:tcPr>
            <w:tcW w:w="2498" w:type="pct"/>
          </w:tcPr>
          <w:p w14:paraId="49B8FACF"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587AB7EE" w14:textId="77777777" w:rsidR="001C08A5" w:rsidRDefault="00000000">
            <w:pPr>
              <w:autoSpaceDE w:val="0"/>
              <w:autoSpaceDN w:val="0"/>
              <w:adjustRightInd w:val="0"/>
              <w:jc w:val="left"/>
              <w:rPr>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4CA1FDAA" w14:textId="77777777" w:rsidR="001C08A5" w:rsidRDefault="001C08A5">
      <w:pPr>
        <w:autoSpaceDE w:val="0"/>
        <w:autoSpaceDN w:val="0"/>
        <w:adjustRightInd w:val="0"/>
        <w:jc w:val="center"/>
        <w:rPr>
          <w:b/>
          <w:i/>
          <w:iCs/>
          <w:sz w:val="24"/>
          <w:szCs w:val="24"/>
        </w:rPr>
      </w:pPr>
    </w:p>
    <w:p w14:paraId="7D8D5385" w14:textId="77777777" w:rsidR="001C08A5" w:rsidRDefault="00000000">
      <w:pPr>
        <w:pStyle w:val="Caption"/>
        <w:autoSpaceDE w:val="0"/>
        <w:autoSpaceDN w:val="0"/>
        <w:adjustRightInd w:val="0"/>
        <w:jc w:val="center"/>
        <w:rPr>
          <w:rFonts w:ascii="Arial" w:hAnsi="Arial" w:cs="Arial"/>
          <w:lang w:val="en-US" w:eastAsia="en-US"/>
        </w:rPr>
      </w:pPr>
      <w:bookmarkStart w:id="6866" w:name="_Toc162360359"/>
      <w:r>
        <w:t xml:space="preserve">Figura </w:t>
      </w:r>
      <w:r>
        <w:fldChar w:fldCharType="begin"/>
      </w:r>
      <w:r>
        <w:instrText xml:space="preserve"> SEQ Figura \* ARABIC </w:instrText>
      </w:r>
      <w:r>
        <w:fldChar w:fldCharType="separate"/>
      </w:r>
      <w:r>
        <w:t>135</w:t>
      </w:r>
      <w:r>
        <w:fldChar w:fldCharType="end"/>
      </w:r>
      <w:bookmarkStart w:id="6867" w:name="_Toc5465"/>
      <w:bookmarkStart w:id="6868" w:name="_Toc1327"/>
      <w:bookmarkStart w:id="6869" w:name="_Toc5415"/>
      <w:bookmarkStart w:id="6870" w:name="_Toc2861"/>
      <w:bookmarkStart w:id="6871" w:name="_Toc22104"/>
      <w:bookmarkStart w:id="6872" w:name="_Toc27995"/>
      <w:bookmarkStart w:id="6873" w:name="_Toc15922"/>
      <w:bookmarkStart w:id="6874" w:name="_Toc10234"/>
      <w:bookmarkStart w:id="6875" w:name="_Toc1741"/>
      <w:r>
        <w:t xml:space="preserve"> - Goluri de acces la ascensoare de intervenție și la scări de evacuare a persoanelor atunci când debușează într-o încăpere tampon ventilată în suprapresiune comună</w:t>
      </w:r>
      <w:bookmarkEnd w:id="6866"/>
      <w:bookmarkEnd w:id="6867"/>
      <w:bookmarkEnd w:id="6868"/>
      <w:bookmarkEnd w:id="6869"/>
      <w:bookmarkEnd w:id="6870"/>
      <w:bookmarkEnd w:id="6871"/>
      <w:bookmarkEnd w:id="6872"/>
      <w:bookmarkEnd w:id="6873"/>
      <w:bookmarkEnd w:id="6874"/>
      <w:bookmarkEnd w:id="6875"/>
    </w:p>
    <w:p w14:paraId="31CA23AE" w14:textId="77777777" w:rsidR="001C08A5" w:rsidRDefault="001C08A5">
      <w:pPr>
        <w:autoSpaceDE w:val="0"/>
        <w:autoSpaceDN w:val="0"/>
        <w:adjustRightInd w:val="0"/>
        <w:rPr>
          <w:rFonts w:ascii="Arial" w:hAnsi="Arial" w:cs="Arial"/>
          <w:sz w:val="24"/>
          <w:szCs w:val="24"/>
          <w:lang w:val="en-US" w:eastAsia="en-US"/>
        </w:rPr>
      </w:pPr>
    </w:p>
    <w:p w14:paraId="32C7A88C" w14:textId="77777777" w:rsidR="001C08A5" w:rsidRDefault="00000000">
      <w:pPr>
        <w:autoSpaceDE w:val="0"/>
        <w:autoSpaceDN w:val="0"/>
        <w:adjustRightInd w:val="0"/>
        <w:jc w:val="center"/>
        <w:rPr>
          <w:b/>
          <w:i/>
          <w:iCs/>
          <w:sz w:val="24"/>
          <w:szCs w:val="24"/>
        </w:rPr>
      </w:pPr>
      <w:r>
        <w:rPr>
          <w:rFonts w:ascii="Arial" w:hAnsi="Arial" w:cs="Arial"/>
          <w:noProof/>
          <w:sz w:val="24"/>
          <w:szCs w:val="24"/>
          <w:lang w:val="en-US" w:eastAsia="en-US"/>
        </w:rPr>
        <w:drawing>
          <wp:inline distT="0" distB="0" distL="114300" distR="114300" wp14:anchorId="28824BEE" wp14:editId="29A7AA0D">
            <wp:extent cx="2747645" cy="3518535"/>
            <wp:effectExtent l="0" t="0" r="14605" b="5715"/>
            <wp:docPr id="2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18"/>
                    <pic:cNvPicPr>
                      <a:picLocks noChangeAspect="1"/>
                    </pic:cNvPicPr>
                  </pic:nvPicPr>
                  <pic:blipFill>
                    <a:blip r:embed="rId302"/>
                    <a:srcRect l="51678" t="14346" r="11921" b="20817"/>
                    <a:stretch>
                      <a:fillRect/>
                    </a:stretch>
                  </pic:blipFill>
                  <pic:spPr>
                    <a:xfrm>
                      <a:off x="0" y="0"/>
                      <a:ext cx="2747645" cy="3518535"/>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17E5C586" w14:textId="77777777">
        <w:tc>
          <w:tcPr>
            <w:tcW w:w="5000" w:type="pct"/>
            <w:gridSpan w:val="2"/>
          </w:tcPr>
          <w:p w14:paraId="3099D0A3" w14:textId="77777777" w:rsidR="001C08A5" w:rsidRDefault="00000000">
            <w:pPr>
              <w:autoSpaceDE w:val="0"/>
              <w:autoSpaceDN w:val="0"/>
              <w:adjustRightInd w:val="0"/>
              <w:jc w:val="center"/>
              <w:rPr>
                <w:rFonts w:ascii="Arial" w:hAnsi="Arial" w:cs="Arial"/>
                <w:sz w:val="24"/>
                <w:szCs w:val="24"/>
                <w:lang w:val="en-US" w:eastAsia="en-US"/>
              </w:rPr>
            </w:pPr>
            <w:r>
              <w:rPr>
                <w:b/>
                <w:bCs/>
                <w:i/>
                <w:iCs/>
                <w:sz w:val="22"/>
                <w:szCs w:val="22"/>
                <w:lang w:eastAsia="en-US"/>
              </w:rPr>
              <w:t>Varianta a) la clădiri cu înălțime obișnuită</w:t>
            </w:r>
          </w:p>
        </w:tc>
      </w:tr>
      <w:tr w:rsidR="001C08A5" w14:paraId="65D4138C" w14:textId="77777777">
        <w:tc>
          <w:tcPr>
            <w:tcW w:w="2498" w:type="pct"/>
          </w:tcPr>
          <w:p w14:paraId="64D76405"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624F274"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42760F6D"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463AA6C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531D2CDC"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14EC479"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326B6E25" w14:textId="77777777">
        <w:tc>
          <w:tcPr>
            <w:tcW w:w="2498" w:type="pct"/>
          </w:tcPr>
          <w:p w14:paraId="13FEC78A"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3039BF44"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1FF57D23" w14:textId="77777777">
        <w:trPr>
          <w:trHeight w:val="220"/>
        </w:trPr>
        <w:tc>
          <w:tcPr>
            <w:tcW w:w="5000" w:type="pct"/>
            <w:gridSpan w:val="2"/>
          </w:tcPr>
          <w:p w14:paraId="5E6D3E22" w14:textId="77777777" w:rsidR="001C08A5" w:rsidRDefault="00000000">
            <w:pPr>
              <w:autoSpaceDE w:val="0"/>
              <w:autoSpaceDN w:val="0"/>
              <w:adjustRightInd w:val="0"/>
              <w:jc w:val="center"/>
              <w:rPr>
                <w:rFonts w:ascii="Arial" w:hAnsi="Arial" w:cs="Arial"/>
                <w:sz w:val="24"/>
                <w:szCs w:val="24"/>
                <w:lang w:val="en-US" w:eastAsia="en-US"/>
              </w:rPr>
            </w:pPr>
            <w:r>
              <w:rPr>
                <w:b/>
                <w:bCs/>
                <w:i/>
                <w:iCs/>
                <w:sz w:val="22"/>
                <w:szCs w:val="22"/>
                <w:lang w:eastAsia="en-US"/>
              </w:rPr>
              <w:t>Varianta b) la clădiri înalte</w:t>
            </w:r>
          </w:p>
        </w:tc>
      </w:tr>
      <w:tr w:rsidR="001C08A5" w14:paraId="72FB273D" w14:textId="77777777">
        <w:tc>
          <w:tcPr>
            <w:tcW w:w="2498" w:type="pct"/>
          </w:tcPr>
          <w:p w14:paraId="27CE78F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7026522"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1EE89F0"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672EAC0E"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048B7646"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544FF18"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2F6C9902" w14:textId="77777777">
        <w:tc>
          <w:tcPr>
            <w:tcW w:w="2498" w:type="pct"/>
          </w:tcPr>
          <w:p w14:paraId="281D422D" w14:textId="77777777" w:rsidR="001C08A5" w:rsidRDefault="00000000">
            <w:pPr>
              <w:autoSpaceDE w:val="0"/>
              <w:autoSpaceDN w:val="0"/>
              <w:adjustRightInd w:val="0"/>
              <w:jc w:val="left"/>
              <w:rPr>
                <w:rFonts w:ascii="Arial" w:hAnsi="Arial" w:cs="Arial"/>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05808B4C" w14:textId="77777777" w:rsidR="001C08A5" w:rsidRDefault="00000000">
            <w:pPr>
              <w:autoSpaceDE w:val="0"/>
              <w:autoSpaceDN w:val="0"/>
              <w:adjustRightInd w:val="0"/>
              <w:jc w:val="left"/>
              <w:rPr>
                <w:rFonts w:ascii="Arial" w:hAnsi="Arial" w:cs="Arial"/>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7208C3E1" w14:textId="77777777">
        <w:tc>
          <w:tcPr>
            <w:tcW w:w="5000" w:type="pct"/>
            <w:gridSpan w:val="2"/>
          </w:tcPr>
          <w:p w14:paraId="7436B69E" w14:textId="77777777" w:rsidR="001C08A5" w:rsidRDefault="00000000">
            <w:pPr>
              <w:autoSpaceDE w:val="0"/>
              <w:autoSpaceDN w:val="0"/>
              <w:adjustRightInd w:val="0"/>
              <w:jc w:val="center"/>
              <w:rPr>
                <w:rFonts w:ascii="Arial" w:hAnsi="Arial" w:cs="Arial"/>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779516DD" w14:textId="77777777">
        <w:tc>
          <w:tcPr>
            <w:tcW w:w="2498" w:type="pct"/>
          </w:tcPr>
          <w:p w14:paraId="554F91F0"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689E801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3A62099"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373D404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43D8EF6A"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46591BE"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2435C4D2" w14:textId="77777777">
        <w:tc>
          <w:tcPr>
            <w:tcW w:w="2498" w:type="pct"/>
          </w:tcPr>
          <w:p w14:paraId="2D9B0B68"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lastRenderedPageBreak/>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301156A5"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66995BD1" w14:textId="77777777">
        <w:tc>
          <w:tcPr>
            <w:tcW w:w="5000" w:type="pct"/>
            <w:gridSpan w:val="2"/>
          </w:tcPr>
          <w:p w14:paraId="3DCC6DB4" w14:textId="77777777" w:rsidR="001C08A5" w:rsidRDefault="00000000">
            <w:pPr>
              <w:autoSpaceDE w:val="0"/>
              <w:autoSpaceDN w:val="0"/>
              <w:adjustRightInd w:val="0"/>
              <w:jc w:val="center"/>
              <w:rPr>
                <w:b/>
                <w:bCs/>
                <w:i/>
                <w:iCs/>
                <w:sz w:val="22"/>
                <w:szCs w:val="22"/>
                <w:lang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77035515" w14:textId="77777777">
        <w:tc>
          <w:tcPr>
            <w:tcW w:w="2498" w:type="pct"/>
          </w:tcPr>
          <w:p w14:paraId="2464616E"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9FA8025"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A12D458" w14:textId="77777777" w:rsidR="001C08A5" w:rsidRDefault="00000000">
            <w:pPr>
              <w:autoSpaceDE w:val="0"/>
              <w:autoSpaceDN w:val="0"/>
              <w:adjustRightInd w:val="0"/>
              <w:jc w:val="left"/>
              <w:rPr>
                <w:b/>
                <w:bCs/>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c>
          <w:tcPr>
            <w:tcW w:w="2501" w:type="pct"/>
          </w:tcPr>
          <w:p w14:paraId="1F692A0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207F3F1E"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CA5282E" w14:textId="77777777" w:rsidR="001C08A5" w:rsidRDefault="00000000">
            <w:pPr>
              <w:autoSpaceDE w:val="0"/>
              <w:autoSpaceDN w:val="0"/>
              <w:adjustRightInd w:val="0"/>
              <w:jc w:val="left"/>
              <w:rPr>
                <w:b/>
                <w:bCs/>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tc>
      </w:tr>
      <w:tr w:rsidR="001C08A5" w14:paraId="7A678BB0" w14:textId="77777777">
        <w:tc>
          <w:tcPr>
            <w:tcW w:w="2498" w:type="pct"/>
          </w:tcPr>
          <w:p w14:paraId="55E407CE" w14:textId="77777777" w:rsidR="001C08A5" w:rsidRDefault="00000000">
            <w:pPr>
              <w:autoSpaceDE w:val="0"/>
              <w:autoSpaceDN w:val="0"/>
              <w:adjustRightInd w:val="0"/>
              <w:jc w:val="left"/>
              <w:rPr>
                <w:rFonts w:ascii="Arial" w:hAnsi="Arial" w:cs="Arial"/>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280C495F" w14:textId="77777777" w:rsidR="001C08A5" w:rsidRDefault="00000000">
            <w:pPr>
              <w:autoSpaceDE w:val="0"/>
              <w:autoSpaceDN w:val="0"/>
              <w:adjustRightInd w:val="0"/>
              <w:jc w:val="left"/>
              <w:rPr>
                <w:rFonts w:ascii="Arial" w:hAnsi="Arial" w:cs="Arial"/>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7166D865" w14:textId="77777777" w:rsidR="001C08A5" w:rsidRDefault="001C08A5">
      <w:pPr>
        <w:autoSpaceDE w:val="0"/>
        <w:autoSpaceDN w:val="0"/>
        <w:adjustRightInd w:val="0"/>
        <w:jc w:val="center"/>
        <w:rPr>
          <w:b/>
          <w:i/>
          <w:iCs/>
          <w:sz w:val="24"/>
          <w:szCs w:val="24"/>
        </w:rPr>
      </w:pPr>
    </w:p>
    <w:p w14:paraId="11888578" w14:textId="77777777" w:rsidR="001C08A5" w:rsidRDefault="00000000">
      <w:pPr>
        <w:pStyle w:val="Caption"/>
        <w:autoSpaceDE w:val="0"/>
        <w:autoSpaceDN w:val="0"/>
        <w:adjustRightInd w:val="0"/>
        <w:jc w:val="center"/>
      </w:pPr>
      <w:bookmarkStart w:id="6876" w:name="_Toc162360360"/>
      <w:r>
        <w:t xml:space="preserve">Figura </w:t>
      </w:r>
      <w:r>
        <w:fldChar w:fldCharType="begin"/>
      </w:r>
      <w:r>
        <w:instrText xml:space="preserve"> SEQ Figura \* ARABIC </w:instrText>
      </w:r>
      <w:r>
        <w:fldChar w:fldCharType="separate"/>
      </w:r>
      <w:r>
        <w:t>136</w:t>
      </w:r>
      <w:r>
        <w:fldChar w:fldCharType="end"/>
      </w:r>
      <w:bookmarkStart w:id="6877" w:name="_Toc15034"/>
      <w:bookmarkStart w:id="6878" w:name="_Toc2017"/>
      <w:bookmarkStart w:id="6879" w:name="_Toc18152"/>
      <w:bookmarkStart w:id="6880" w:name="_Toc4664"/>
      <w:bookmarkStart w:id="6881" w:name="_Toc19847"/>
      <w:bookmarkStart w:id="6882" w:name="_Toc9928"/>
      <w:bookmarkStart w:id="6883" w:name="_Toc18424"/>
      <w:bookmarkStart w:id="6884" w:name="_Toc13060"/>
      <w:bookmarkStart w:id="6885" w:name="_Toc22818"/>
      <w:r>
        <w:t xml:space="preserve"> - Goluri de acces la ascensoare de intervenție și la scări de evacuare a persoanelor atunci când NU debușează într-o încăpere tampon ventilată în suprapresiune comună</w:t>
      </w:r>
      <w:bookmarkEnd w:id="6876"/>
      <w:bookmarkEnd w:id="6877"/>
      <w:bookmarkEnd w:id="6878"/>
      <w:bookmarkEnd w:id="6879"/>
      <w:bookmarkEnd w:id="6880"/>
      <w:bookmarkEnd w:id="6881"/>
      <w:bookmarkEnd w:id="6882"/>
      <w:bookmarkEnd w:id="6883"/>
      <w:bookmarkEnd w:id="6884"/>
      <w:bookmarkEnd w:id="6885"/>
    </w:p>
    <w:p w14:paraId="3D74F9ED" w14:textId="77777777" w:rsidR="001C08A5" w:rsidRDefault="00000000">
      <w:pPr>
        <w:pStyle w:val="BodyText"/>
        <w:rPr>
          <w:b w:val="0"/>
          <w:sz w:val="22"/>
          <w:szCs w:val="22"/>
          <w:lang w:eastAsia="en-US"/>
        </w:rPr>
      </w:pPr>
      <w:r>
        <w:rPr>
          <w:b w:val="0"/>
          <w:iCs/>
          <w:sz w:val="22"/>
          <w:szCs w:val="22"/>
        </w:rPr>
        <w:t>Notă Figura 138: Ușile la încăperea tampon aferentă scării de evacuare se protejează obligatoriu conform condiții specifice (la clădiri înalte sau foarte înalte); la alte tipuri de construcții nu este obligatorie prevederea încăperii tampon ventilată în suprapresiune la partea supraterană a construcției (în porțiunile subterane se vor prevedea conform prevederi generale și specifice)</w:t>
      </w:r>
    </w:p>
    <w:p w14:paraId="4BA4CED1" w14:textId="77777777" w:rsidR="001C08A5" w:rsidRDefault="001C08A5">
      <w:pPr>
        <w:autoSpaceDE w:val="0"/>
        <w:autoSpaceDN w:val="0"/>
        <w:adjustRightInd w:val="0"/>
        <w:jc w:val="both"/>
        <w:rPr>
          <w:b/>
          <w:i/>
          <w:iCs/>
          <w:sz w:val="24"/>
          <w:szCs w:val="24"/>
          <w:lang w:val="en-US" w:eastAsia="en-US"/>
        </w:rPr>
      </w:pPr>
    </w:p>
    <w:p w14:paraId="0C9EF9FA" w14:textId="77777777" w:rsidR="001C08A5" w:rsidRDefault="00000000">
      <w:pPr>
        <w:autoSpaceDE w:val="0"/>
        <w:autoSpaceDN w:val="0"/>
        <w:adjustRightInd w:val="0"/>
        <w:jc w:val="center"/>
        <w:rPr>
          <w:b/>
          <w:i/>
          <w:iCs/>
          <w:sz w:val="24"/>
          <w:szCs w:val="24"/>
        </w:rPr>
      </w:pPr>
      <w:r>
        <w:rPr>
          <w:rFonts w:ascii="Arial" w:hAnsi="Arial" w:cs="Arial"/>
          <w:noProof/>
          <w:sz w:val="24"/>
          <w:szCs w:val="24"/>
          <w:lang w:val="en-US" w:eastAsia="en-US"/>
        </w:rPr>
        <w:drawing>
          <wp:inline distT="0" distB="0" distL="114300" distR="114300" wp14:anchorId="20337E3B" wp14:editId="727E582D">
            <wp:extent cx="1908175" cy="2947670"/>
            <wp:effectExtent l="0" t="0" r="15875" b="5080"/>
            <wp:docPr id="2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17"/>
                    <pic:cNvPicPr>
                      <a:picLocks noChangeAspect="1"/>
                    </pic:cNvPicPr>
                  </pic:nvPicPr>
                  <pic:blipFill>
                    <a:blip r:embed="rId303"/>
                    <a:srcRect l="14697" t="2176" r="60024" b="43506"/>
                    <a:stretch>
                      <a:fillRect/>
                    </a:stretch>
                  </pic:blipFill>
                  <pic:spPr>
                    <a:xfrm>
                      <a:off x="0" y="0"/>
                      <a:ext cx="1908175" cy="2947670"/>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1C08A5" w14:paraId="7B9B9F22" w14:textId="77777777">
        <w:tc>
          <w:tcPr>
            <w:tcW w:w="5000" w:type="pct"/>
            <w:gridSpan w:val="2"/>
          </w:tcPr>
          <w:p w14:paraId="49E89B53" w14:textId="77777777" w:rsidR="001C08A5" w:rsidRDefault="00000000">
            <w:pPr>
              <w:autoSpaceDE w:val="0"/>
              <w:autoSpaceDN w:val="0"/>
              <w:adjustRightInd w:val="0"/>
              <w:jc w:val="center"/>
              <w:rPr>
                <w:rFonts w:ascii="Arial" w:hAnsi="Arial" w:cs="Arial"/>
                <w:sz w:val="24"/>
                <w:szCs w:val="24"/>
                <w:lang w:val="en-US" w:eastAsia="en-US"/>
              </w:rPr>
            </w:pPr>
            <w:r>
              <w:rPr>
                <w:b/>
                <w:bCs/>
                <w:i/>
                <w:iCs/>
                <w:sz w:val="22"/>
                <w:szCs w:val="22"/>
                <w:lang w:eastAsia="en-US"/>
              </w:rPr>
              <w:t>Varianta a) la clădiri cu înălțime obișnuită</w:t>
            </w:r>
          </w:p>
        </w:tc>
      </w:tr>
      <w:tr w:rsidR="001C08A5" w14:paraId="47C6176D" w14:textId="77777777">
        <w:tc>
          <w:tcPr>
            <w:tcW w:w="2498" w:type="pct"/>
          </w:tcPr>
          <w:p w14:paraId="1C34CF5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1031D57"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5F895930"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32F6453"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2501" w:type="pct"/>
          </w:tcPr>
          <w:p w14:paraId="3C288E7B"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7AEEE5B6"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39EF7FF0"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40BE7BD"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5A9B60E5" w14:textId="77777777">
        <w:tc>
          <w:tcPr>
            <w:tcW w:w="2498" w:type="pct"/>
          </w:tcPr>
          <w:p w14:paraId="157D7B4E"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09F0167D" w14:textId="77777777" w:rsidR="001C08A5" w:rsidRDefault="00000000">
            <w:pPr>
              <w:autoSpaceDE w:val="0"/>
              <w:autoSpaceDN w:val="0"/>
              <w:adjustRightInd w:val="0"/>
              <w:jc w:val="left"/>
              <w:rPr>
                <w:b/>
                <w:bCs/>
                <w:i/>
                <w:iCs/>
                <w:sz w:val="22"/>
                <w:szCs w:val="22"/>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799B7398" w14:textId="77777777">
        <w:trPr>
          <w:trHeight w:val="220"/>
        </w:trPr>
        <w:tc>
          <w:tcPr>
            <w:tcW w:w="5000" w:type="pct"/>
            <w:gridSpan w:val="2"/>
          </w:tcPr>
          <w:p w14:paraId="15E126D5" w14:textId="77777777" w:rsidR="001C08A5" w:rsidRDefault="00000000">
            <w:pPr>
              <w:autoSpaceDE w:val="0"/>
              <w:autoSpaceDN w:val="0"/>
              <w:adjustRightInd w:val="0"/>
              <w:jc w:val="center"/>
              <w:rPr>
                <w:rFonts w:ascii="Arial" w:hAnsi="Arial" w:cs="Arial"/>
                <w:sz w:val="24"/>
                <w:szCs w:val="24"/>
                <w:lang w:val="en-US" w:eastAsia="en-US"/>
              </w:rPr>
            </w:pPr>
            <w:r>
              <w:rPr>
                <w:b/>
                <w:bCs/>
                <w:i/>
                <w:iCs/>
                <w:sz w:val="22"/>
                <w:szCs w:val="22"/>
                <w:lang w:eastAsia="en-US"/>
              </w:rPr>
              <w:t>Varianta b) la clădiri înalte</w:t>
            </w:r>
          </w:p>
        </w:tc>
      </w:tr>
      <w:tr w:rsidR="001C08A5" w14:paraId="07936666" w14:textId="77777777">
        <w:tc>
          <w:tcPr>
            <w:tcW w:w="2498" w:type="pct"/>
          </w:tcPr>
          <w:p w14:paraId="5BAE9397"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5360EDFB"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896A620"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67001B3"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2501" w:type="pct"/>
          </w:tcPr>
          <w:p w14:paraId="21FE1555"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2B852789"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E4A7B74"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7A6ECBF5"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6230D7DA" w14:textId="77777777">
        <w:tc>
          <w:tcPr>
            <w:tcW w:w="2498" w:type="pct"/>
          </w:tcPr>
          <w:p w14:paraId="3CCC1C37" w14:textId="77777777" w:rsidR="001C08A5" w:rsidRDefault="00000000">
            <w:pPr>
              <w:autoSpaceDE w:val="0"/>
              <w:autoSpaceDN w:val="0"/>
              <w:adjustRightInd w:val="0"/>
              <w:jc w:val="left"/>
              <w:rPr>
                <w:rFonts w:ascii="Arial" w:hAnsi="Arial" w:cs="Arial"/>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7D63368E" w14:textId="77777777" w:rsidR="001C08A5" w:rsidRDefault="00000000">
            <w:pPr>
              <w:autoSpaceDE w:val="0"/>
              <w:autoSpaceDN w:val="0"/>
              <w:adjustRightInd w:val="0"/>
              <w:jc w:val="left"/>
              <w:rPr>
                <w:rFonts w:ascii="Arial" w:hAnsi="Arial" w:cs="Arial"/>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4C6F0AAF" w14:textId="77777777">
        <w:tc>
          <w:tcPr>
            <w:tcW w:w="5000" w:type="pct"/>
            <w:gridSpan w:val="2"/>
          </w:tcPr>
          <w:p w14:paraId="06D5A030" w14:textId="77777777" w:rsidR="001C08A5" w:rsidRDefault="00000000">
            <w:pPr>
              <w:autoSpaceDE w:val="0"/>
              <w:autoSpaceDN w:val="0"/>
              <w:adjustRightInd w:val="0"/>
              <w:jc w:val="center"/>
              <w:rPr>
                <w:rFonts w:ascii="Arial" w:hAnsi="Arial" w:cs="Arial"/>
                <w:sz w:val="24"/>
                <w:szCs w:val="24"/>
                <w:lang w:val="en-US" w:eastAsia="en-US"/>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33E92B8B" w14:textId="77777777">
        <w:tc>
          <w:tcPr>
            <w:tcW w:w="2498" w:type="pct"/>
          </w:tcPr>
          <w:p w14:paraId="5AF9ACB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764042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30143C9"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2923F27"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2501" w:type="pct"/>
          </w:tcPr>
          <w:p w14:paraId="2F8D796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61786EFD"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446CDAE"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0B4D6A06" w14:textId="77777777" w:rsidR="001C08A5" w:rsidRDefault="00000000">
            <w:pPr>
              <w:autoSpaceDE w:val="0"/>
              <w:autoSpaceDN w:val="0"/>
              <w:adjustRightInd w:val="0"/>
              <w:jc w:val="left"/>
              <w:rPr>
                <w:rFonts w:ascii="Arial" w:hAnsi="Arial" w:cs="Arial"/>
                <w:sz w:val="24"/>
                <w:szCs w:val="24"/>
                <w:lang w:val="en-US" w:eastAsia="en-US"/>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5E0070DE" w14:textId="77777777">
        <w:tc>
          <w:tcPr>
            <w:tcW w:w="2498" w:type="pct"/>
          </w:tcPr>
          <w:p w14:paraId="1338324A"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6DEDFC99" w14:textId="77777777" w:rsidR="001C08A5" w:rsidRDefault="00000000">
            <w:pPr>
              <w:autoSpaceDE w:val="0"/>
              <w:autoSpaceDN w:val="0"/>
              <w:adjustRightInd w:val="0"/>
              <w:jc w:val="left"/>
              <w:rPr>
                <w:b/>
                <w:bCs/>
                <w:i/>
                <w:iCs/>
                <w:sz w:val="22"/>
                <w:szCs w:val="22"/>
                <w:lang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055957B5" w14:textId="77777777">
        <w:tc>
          <w:tcPr>
            <w:tcW w:w="5000" w:type="pct"/>
            <w:gridSpan w:val="2"/>
          </w:tcPr>
          <w:p w14:paraId="51F6D515" w14:textId="77777777" w:rsidR="001C08A5" w:rsidRDefault="00000000">
            <w:pPr>
              <w:autoSpaceDE w:val="0"/>
              <w:autoSpaceDN w:val="0"/>
              <w:adjustRightInd w:val="0"/>
              <w:jc w:val="center"/>
              <w:rPr>
                <w:b/>
                <w:bCs/>
                <w:i/>
                <w:iCs/>
                <w:sz w:val="22"/>
                <w:szCs w:val="22"/>
                <w:lang w:eastAsia="en-US"/>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7EBC1EF4" w14:textId="77777777">
        <w:tc>
          <w:tcPr>
            <w:tcW w:w="2498" w:type="pct"/>
          </w:tcPr>
          <w:p w14:paraId="4F865C65"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70937DE2" w14:textId="77777777" w:rsidR="001C08A5" w:rsidRDefault="00000000">
            <w:pPr>
              <w:autoSpaceDE w:val="0"/>
              <w:autoSpaceDN w:val="0"/>
              <w:adjustRightInd w:val="0"/>
              <w:jc w:val="left"/>
              <w:rPr>
                <w:i/>
                <w:iCs/>
                <w:sz w:val="22"/>
                <w:szCs w:val="22"/>
                <w:lang w:eastAsia="en-US"/>
              </w:rPr>
            </w:pPr>
            <w:r>
              <w:rPr>
                <w:b/>
                <w:bCs/>
                <w:i/>
                <w:iCs/>
                <w:sz w:val="22"/>
                <w:szCs w:val="22"/>
                <w:lang w:eastAsia="en-US"/>
              </w:rPr>
              <w:lastRenderedPageBreak/>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5513638"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7799EA91" w14:textId="77777777" w:rsidR="001C08A5" w:rsidRDefault="00000000">
            <w:pPr>
              <w:autoSpaceDE w:val="0"/>
              <w:autoSpaceDN w:val="0"/>
              <w:adjustRightInd w:val="0"/>
              <w:jc w:val="left"/>
              <w:rPr>
                <w:b/>
                <w:bCs/>
                <w:i/>
                <w:iCs/>
                <w:sz w:val="22"/>
                <w:szCs w:val="22"/>
                <w:lang w:eastAsia="en-US"/>
              </w:rPr>
            </w:pPr>
            <w:r>
              <w:rPr>
                <w:b/>
                <w:bCs/>
                <w:i/>
                <w:iCs/>
                <w:sz w:val="22"/>
                <w:szCs w:val="22"/>
                <w:lang w:eastAsia="en-US"/>
              </w:rPr>
              <w:t>E</w:t>
            </w:r>
            <w:r>
              <w:rPr>
                <w:i/>
                <w:iCs/>
                <w:sz w:val="22"/>
                <w:szCs w:val="22"/>
                <w:lang w:val="en-US" w:eastAsia="en-US"/>
              </w:rPr>
              <w:t xml:space="preserve"> - 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2501" w:type="pct"/>
          </w:tcPr>
          <w:p w14:paraId="66C8AFEA"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lastRenderedPageBreak/>
              <w:t>În subteran:</w:t>
            </w:r>
          </w:p>
          <w:p w14:paraId="3C118BEF" w14:textId="77777777" w:rsidR="001C08A5" w:rsidRDefault="00000000">
            <w:pPr>
              <w:autoSpaceDE w:val="0"/>
              <w:autoSpaceDN w:val="0"/>
              <w:adjustRightInd w:val="0"/>
              <w:jc w:val="left"/>
              <w:rPr>
                <w:i/>
                <w:iCs/>
                <w:sz w:val="22"/>
                <w:szCs w:val="22"/>
                <w:lang w:eastAsia="en-US"/>
              </w:rPr>
            </w:pPr>
            <w:r>
              <w:rPr>
                <w:b/>
                <w:bCs/>
                <w:i/>
                <w:iCs/>
                <w:sz w:val="22"/>
                <w:szCs w:val="22"/>
                <w:lang w:eastAsia="en-US"/>
              </w:rPr>
              <w:lastRenderedPageBreak/>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8322732"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071654B4" w14:textId="77777777" w:rsidR="001C08A5" w:rsidRDefault="00000000">
            <w:pPr>
              <w:autoSpaceDE w:val="0"/>
              <w:autoSpaceDN w:val="0"/>
              <w:adjustRightInd w:val="0"/>
              <w:jc w:val="left"/>
              <w:rPr>
                <w:b/>
                <w:bCs/>
                <w:i/>
                <w:iCs/>
                <w:sz w:val="22"/>
                <w:szCs w:val="22"/>
                <w:lang w:eastAsia="en-US"/>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70C59F58" w14:textId="77777777">
        <w:tc>
          <w:tcPr>
            <w:tcW w:w="2498" w:type="pct"/>
          </w:tcPr>
          <w:p w14:paraId="11FC853B" w14:textId="77777777" w:rsidR="001C08A5" w:rsidRDefault="00000000">
            <w:pPr>
              <w:autoSpaceDE w:val="0"/>
              <w:autoSpaceDN w:val="0"/>
              <w:adjustRightInd w:val="0"/>
              <w:jc w:val="left"/>
              <w:rPr>
                <w:rFonts w:ascii="Arial" w:hAnsi="Arial" w:cs="Arial"/>
                <w:sz w:val="24"/>
                <w:szCs w:val="24"/>
                <w:lang w:val="en-US" w:eastAsia="en-US"/>
              </w:rPr>
            </w:pPr>
            <w:r>
              <w:rPr>
                <w:i/>
                <w:iCs/>
                <w:sz w:val="22"/>
                <w:szCs w:val="22"/>
                <w:lang w:val="en-US" w:eastAsia="en-US"/>
              </w:rPr>
              <w:lastRenderedPageBreak/>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1" w:type="pct"/>
          </w:tcPr>
          <w:p w14:paraId="1F8FF563" w14:textId="77777777" w:rsidR="001C08A5" w:rsidRDefault="00000000">
            <w:pPr>
              <w:autoSpaceDE w:val="0"/>
              <w:autoSpaceDN w:val="0"/>
              <w:adjustRightInd w:val="0"/>
              <w:jc w:val="left"/>
              <w:rPr>
                <w:rFonts w:ascii="Arial" w:hAnsi="Arial" w:cs="Arial"/>
                <w:sz w:val="24"/>
                <w:szCs w:val="24"/>
                <w:lang w:val="en-US" w:eastAsia="en-US"/>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687EDEA3" w14:textId="77777777" w:rsidR="001C08A5" w:rsidRDefault="001C08A5">
      <w:pPr>
        <w:autoSpaceDE w:val="0"/>
        <w:autoSpaceDN w:val="0"/>
        <w:adjustRightInd w:val="0"/>
        <w:jc w:val="center"/>
        <w:rPr>
          <w:b/>
          <w:i/>
          <w:iCs/>
          <w:sz w:val="24"/>
          <w:szCs w:val="24"/>
        </w:rPr>
      </w:pPr>
    </w:p>
    <w:p w14:paraId="6630142A" w14:textId="77777777" w:rsidR="001C08A5" w:rsidRDefault="00000000">
      <w:pPr>
        <w:pStyle w:val="Caption"/>
        <w:autoSpaceDE w:val="0"/>
        <w:autoSpaceDN w:val="0"/>
        <w:adjustRightInd w:val="0"/>
        <w:jc w:val="center"/>
        <w:rPr>
          <w:rFonts w:ascii="Arial" w:hAnsi="Arial" w:cs="Arial"/>
          <w:lang w:val="en-US" w:eastAsia="en-US"/>
        </w:rPr>
      </w:pPr>
      <w:bookmarkStart w:id="6886" w:name="_Toc162360361"/>
      <w:r>
        <w:t xml:space="preserve">Figura </w:t>
      </w:r>
      <w:r>
        <w:fldChar w:fldCharType="begin"/>
      </w:r>
      <w:r>
        <w:instrText xml:space="preserve"> SEQ Figura \* ARABIC </w:instrText>
      </w:r>
      <w:r>
        <w:fldChar w:fldCharType="separate"/>
      </w:r>
      <w:r>
        <w:t>137</w:t>
      </w:r>
      <w:r>
        <w:fldChar w:fldCharType="end"/>
      </w:r>
      <w:bookmarkStart w:id="6887" w:name="_Toc20589"/>
      <w:bookmarkStart w:id="6888" w:name="_Toc29065"/>
      <w:bookmarkStart w:id="6889" w:name="_Toc30680"/>
      <w:bookmarkStart w:id="6890" w:name="_Toc17043"/>
      <w:bookmarkStart w:id="6891" w:name="_Toc11740"/>
      <w:bookmarkStart w:id="6892" w:name="_Toc24817"/>
      <w:bookmarkStart w:id="6893" w:name="_Toc14694"/>
      <w:bookmarkStart w:id="6894" w:name="_Toc2042"/>
      <w:bookmarkStart w:id="6895" w:name="_Toc19302"/>
      <w:r>
        <w:t xml:space="preserve"> - Goluri de acces la ascensoare de intervenție și la ascensoare prevăzute pentru circulația funcțională a persoanelor atunci când debușează într-o încăpere tampon ventilată în suprapresiune comună</w:t>
      </w:r>
      <w:bookmarkEnd w:id="6886"/>
      <w:r>
        <w:t xml:space="preserve"> </w:t>
      </w:r>
      <w:bookmarkEnd w:id="6887"/>
      <w:bookmarkEnd w:id="6888"/>
      <w:bookmarkEnd w:id="6889"/>
      <w:bookmarkEnd w:id="6890"/>
      <w:bookmarkEnd w:id="6891"/>
      <w:bookmarkEnd w:id="6892"/>
      <w:bookmarkEnd w:id="6893"/>
      <w:bookmarkEnd w:id="6894"/>
      <w:bookmarkEnd w:id="6895"/>
    </w:p>
    <w:p w14:paraId="5D828040" w14:textId="77777777" w:rsidR="001C08A5" w:rsidRDefault="001C08A5">
      <w:pPr>
        <w:autoSpaceDE w:val="0"/>
        <w:autoSpaceDN w:val="0"/>
        <w:adjustRightInd w:val="0"/>
        <w:rPr>
          <w:rFonts w:ascii="Arial" w:hAnsi="Arial" w:cs="Arial"/>
          <w:sz w:val="24"/>
          <w:szCs w:val="24"/>
          <w:lang w:val="en-US" w:eastAsia="en-US"/>
        </w:rPr>
      </w:pPr>
    </w:p>
    <w:p w14:paraId="727EEDCA"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74099FC5" wp14:editId="30433849">
            <wp:extent cx="3829050" cy="2947670"/>
            <wp:effectExtent l="0" t="0" r="0" b="5080"/>
            <wp:docPr id="2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17"/>
                    <pic:cNvPicPr>
                      <a:picLocks noChangeAspect="1"/>
                    </pic:cNvPicPr>
                  </pic:nvPicPr>
                  <pic:blipFill>
                    <a:blip r:embed="rId303"/>
                    <a:srcRect l="41331" t="2176" r="7941" b="43506"/>
                    <a:stretch>
                      <a:fillRect/>
                    </a:stretch>
                  </pic:blipFill>
                  <pic:spPr>
                    <a:xfrm>
                      <a:off x="0" y="0"/>
                      <a:ext cx="3829050" cy="2947670"/>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21"/>
      </w:tblGrid>
      <w:tr w:rsidR="001C08A5" w14:paraId="528C9FE4" w14:textId="77777777">
        <w:tc>
          <w:tcPr>
            <w:tcW w:w="5000" w:type="pct"/>
            <w:gridSpan w:val="2"/>
          </w:tcPr>
          <w:p w14:paraId="0A7556B9" w14:textId="77777777" w:rsidR="001C08A5" w:rsidRDefault="00000000">
            <w:pPr>
              <w:autoSpaceDE w:val="0"/>
              <w:autoSpaceDN w:val="0"/>
              <w:adjustRightInd w:val="0"/>
              <w:jc w:val="center"/>
              <w:rPr>
                <w:bCs/>
                <w:i/>
                <w:sz w:val="24"/>
                <w:szCs w:val="24"/>
              </w:rPr>
            </w:pPr>
            <w:r>
              <w:rPr>
                <w:b/>
                <w:bCs/>
                <w:i/>
                <w:iCs/>
                <w:sz w:val="22"/>
                <w:szCs w:val="22"/>
                <w:lang w:eastAsia="en-US"/>
              </w:rPr>
              <w:t>Varianta a) la clădiri cu înălțime obișnuită</w:t>
            </w:r>
          </w:p>
        </w:tc>
      </w:tr>
      <w:tr w:rsidR="001C08A5" w14:paraId="26379712" w14:textId="77777777">
        <w:tc>
          <w:tcPr>
            <w:tcW w:w="2499" w:type="pct"/>
          </w:tcPr>
          <w:p w14:paraId="77DEDFDE"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C3F3305"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5F952BE5"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8C1CB4D"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DA14461"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2500" w:type="pct"/>
          </w:tcPr>
          <w:p w14:paraId="6EC91D5E"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3478A113"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2C82E8C"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4AE5FC4"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09CB0CD"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2C940F55" w14:textId="77777777">
        <w:tc>
          <w:tcPr>
            <w:tcW w:w="2499" w:type="pct"/>
          </w:tcPr>
          <w:p w14:paraId="3DAB44E9"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0" w:type="pct"/>
          </w:tcPr>
          <w:p w14:paraId="6E7F8166"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3B7B9E06" w14:textId="77777777">
        <w:tc>
          <w:tcPr>
            <w:tcW w:w="5000" w:type="pct"/>
            <w:gridSpan w:val="2"/>
          </w:tcPr>
          <w:p w14:paraId="471CEB4C" w14:textId="77777777" w:rsidR="001C08A5" w:rsidRDefault="00000000">
            <w:pPr>
              <w:autoSpaceDE w:val="0"/>
              <w:autoSpaceDN w:val="0"/>
              <w:adjustRightInd w:val="0"/>
              <w:jc w:val="center"/>
              <w:rPr>
                <w:bCs/>
                <w:i/>
                <w:sz w:val="24"/>
                <w:szCs w:val="24"/>
              </w:rPr>
            </w:pPr>
            <w:r>
              <w:rPr>
                <w:b/>
                <w:bCs/>
                <w:i/>
                <w:iCs/>
                <w:sz w:val="22"/>
                <w:szCs w:val="22"/>
                <w:lang w:eastAsia="en-US"/>
              </w:rPr>
              <w:t>Varianta b) la clădiri înalte</w:t>
            </w:r>
          </w:p>
        </w:tc>
      </w:tr>
      <w:tr w:rsidR="001C08A5" w14:paraId="469D04D6" w14:textId="77777777">
        <w:tc>
          <w:tcPr>
            <w:tcW w:w="4926" w:type="dxa"/>
          </w:tcPr>
          <w:p w14:paraId="106A16BD"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50F6F9DF"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DDCB61B"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742F856"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2F3DBC82"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4929" w:type="dxa"/>
          </w:tcPr>
          <w:p w14:paraId="6E7582B8"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2D24AF3A"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3630A93"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3999A6AF"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69C5606"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23F19C27" w14:textId="77777777">
        <w:tc>
          <w:tcPr>
            <w:tcW w:w="2499" w:type="pct"/>
          </w:tcPr>
          <w:p w14:paraId="10CF6BB9"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0" w:type="pct"/>
          </w:tcPr>
          <w:p w14:paraId="006453DB"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2FFEA282" w14:textId="77777777">
        <w:tc>
          <w:tcPr>
            <w:tcW w:w="5000" w:type="pct"/>
            <w:gridSpan w:val="2"/>
          </w:tcPr>
          <w:p w14:paraId="0700425D" w14:textId="77777777" w:rsidR="001C08A5" w:rsidRDefault="00000000">
            <w:pPr>
              <w:autoSpaceDE w:val="0"/>
              <w:autoSpaceDN w:val="0"/>
              <w:adjustRightInd w:val="0"/>
              <w:jc w:val="center"/>
              <w:rPr>
                <w:bCs/>
                <w:i/>
                <w:sz w:val="24"/>
                <w:szCs w:val="24"/>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64383AD0" w14:textId="77777777">
        <w:tc>
          <w:tcPr>
            <w:tcW w:w="4926" w:type="dxa"/>
          </w:tcPr>
          <w:p w14:paraId="56AD1BF5"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4A1671D3"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A19941A"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2538B3B"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7A110B7B"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4929" w:type="dxa"/>
          </w:tcPr>
          <w:p w14:paraId="7AF25E99"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3F240998"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490E95A"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655196F"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29BD74D8"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5A41B681" w14:textId="77777777">
        <w:tc>
          <w:tcPr>
            <w:tcW w:w="2499" w:type="pct"/>
          </w:tcPr>
          <w:p w14:paraId="5C352E2E"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0" w:type="pct"/>
          </w:tcPr>
          <w:p w14:paraId="7F3974C5"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6B797AD5" w14:textId="77777777">
        <w:tc>
          <w:tcPr>
            <w:tcW w:w="5000" w:type="pct"/>
            <w:gridSpan w:val="2"/>
          </w:tcPr>
          <w:p w14:paraId="26036654" w14:textId="77777777" w:rsidR="001C08A5" w:rsidRDefault="00000000">
            <w:pPr>
              <w:autoSpaceDE w:val="0"/>
              <w:autoSpaceDN w:val="0"/>
              <w:adjustRightInd w:val="0"/>
              <w:jc w:val="center"/>
              <w:rPr>
                <w:bCs/>
                <w:i/>
                <w:sz w:val="24"/>
                <w:szCs w:val="24"/>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2F97A64A" w14:textId="77777777">
        <w:tc>
          <w:tcPr>
            <w:tcW w:w="2499" w:type="pct"/>
          </w:tcPr>
          <w:p w14:paraId="2E6A20CF"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879808A"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844F1B8"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7F9F389" w14:textId="77777777" w:rsidR="001C08A5" w:rsidRDefault="00000000">
            <w:pPr>
              <w:autoSpaceDE w:val="0"/>
              <w:autoSpaceDN w:val="0"/>
              <w:adjustRightInd w:val="0"/>
              <w:jc w:val="left"/>
              <w:rPr>
                <w:b/>
                <w:i/>
                <w:iCs/>
                <w:sz w:val="22"/>
                <w:szCs w:val="22"/>
                <w:lang w:eastAsia="en-US"/>
              </w:rPr>
            </w:pPr>
            <w:r>
              <w:rPr>
                <w:b/>
                <w:bCs/>
                <w:i/>
                <w:iCs/>
                <w:sz w:val="22"/>
                <w:szCs w:val="22"/>
                <w:lang w:eastAsia="en-US"/>
              </w:rPr>
              <w:lastRenderedPageBreak/>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4B00CADA"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2500" w:type="pct"/>
          </w:tcPr>
          <w:p w14:paraId="7872DF3D"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lastRenderedPageBreak/>
              <w:t>În subteran:</w:t>
            </w:r>
          </w:p>
          <w:p w14:paraId="69EB2364"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CB99375"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65AF16D" w14:textId="77777777" w:rsidR="001C08A5" w:rsidRDefault="00000000">
            <w:pPr>
              <w:autoSpaceDE w:val="0"/>
              <w:autoSpaceDN w:val="0"/>
              <w:adjustRightInd w:val="0"/>
              <w:jc w:val="left"/>
              <w:rPr>
                <w:b/>
                <w:i/>
                <w:iCs/>
                <w:sz w:val="22"/>
                <w:szCs w:val="22"/>
                <w:lang w:eastAsia="en-US"/>
              </w:rPr>
            </w:pPr>
            <w:r>
              <w:rPr>
                <w:b/>
                <w:bCs/>
                <w:i/>
                <w:iCs/>
                <w:sz w:val="22"/>
                <w:szCs w:val="22"/>
                <w:lang w:eastAsia="en-US"/>
              </w:rPr>
              <w:lastRenderedPageBreak/>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19ECE19B"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2B58CD5D" w14:textId="77777777">
        <w:tc>
          <w:tcPr>
            <w:tcW w:w="2499" w:type="pct"/>
          </w:tcPr>
          <w:p w14:paraId="67D33A73"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0" w:type="pct"/>
          </w:tcPr>
          <w:p w14:paraId="2D763840"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08CB21A9" w14:textId="77777777" w:rsidR="001C08A5" w:rsidRDefault="001C08A5">
      <w:pPr>
        <w:autoSpaceDE w:val="0"/>
        <w:autoSpaceDN w:val="0"/>
        <w:adjustRightInd w:val="0"/>
        <w:jc w:val="center"/>
        <w:rPr>
          <w:rFonts w:ascii="Arial" w:hAnsi="Arial" w:cs="Arial"/>
          <w:sz w:val="24"/>
          <w:szCs w:val="24"/>
          <w:lang w:eastAsia="en-US"/>
        </w:rPr>
      </w:pPr>
    </w:p>
    <w:p w14:paraId="73D6FEB3" w14:textId="77777777" w:rsidR="001C08A5" w:rsidRDefault="00000000">
      <w:pPr>
        <w:pStyle w:val="Caption"/>
        <w:autoSpaceDE w:val="0"/>
        <w:autoSpaceDN w:val="0"/>
        <w:adjustRightInd w:val="0"/>
        <w:jc w:val="center"/>
        <w:rPr>
          <w:rFonts w:ascii="Arial" w:hAnsi="Arial" w:cs="Arial"/>
          <w:lang w:val="en-US" w:eastAsia="en-US"/>
        </w:rPr>
      </w:pPr>
      <w:bookmarkStart w:id="6896" w:name="_Toc162360362"/>
      <w:r>
        <w:t xml:space="preserve">Figura </w:t>
      </w:r>
      <w:r>
        <w:fldChar w:fldCharType="begin"/>
      </w:r>
      <w:r>
        <w:instrText xml:space="preserve"> SEQ Figura \* ARABIC </w:instrText>
      </w:r>
      <w:r>
        <w:fldChar w:fldCharType="separate"/>
      </w:r>
      <w:r>
        <w:t>138</w:t>
      </w:r>
      <w:r>
        <w:fldChar w:fldCharType="end"/>
      </w:r>
      <w:bookmarkStart w:id="6897" w:name="_Toc21938"/>
      <w:bookmarkStart w:id="6898" w:name="_Toc32256"/>
      <w:bookmarkStart w:id="6899" w:name="_Toc6546"/>
      <w:bookmarkStart w:id="6900" w:name="_Toc29575"/>
      <w:bookmarkStart w:id="6901" w:name="_Toc22898"/>
      <w:bookmarkStart w:id="6902" w:name="_Toc23810"/>
      <w:bookmarkStart w:id="6903" w:name="_Toc12671"/>
      <w:bookmarkStart w:id="6904" w:name="_Toc10988"/>
      <w:bookmarkStart w:id="6905" w:name="_Toc12928"/>
      <w:r>
        <w:t xml:space="preserve"> - Goluri de acces la ascensoare de intervenție, la ascensoare prevăzute pentru circulația funcțională a persoanelor și la scări de evacuare a persoanelor atunci când debușează într-o încăpere tampon ventilată în suprapresiune comună</w:t>
      </w:r>
      <w:bookmarkEnd w:id="6896"/>
      <w:bookmarkEnd w:id="6897"/>
      <w:bookmarkEnd w:id="6898"/>
      <w:bookmarkEnd w:id="6899"/>
      <w:bookmarkEnd w:id="6900"/>
      <w:bookmarkEnd w:id="6901"/>
      <w:bookmarkEnd w:id="6902"/>
      <w:bookmarkEnd w:id="6903"/>
      <w:bookmarkEnd w:id="6904"/>
      <w:bookmarkEnd w:id="6905"/>
    </w:p>
    <w:p w14:paraId="19F5FC9C" w14:textId="77777777" w:rsidR="001C08A5" w:rsidRDefault="001C08A5">
      <w:pPr>
        <w:numPr>
          <w:ilvl w:val="255"/>
          <w:numId w:val="0"/>
        </w:numPr>
        <w:tabs>
          <w:tab w:val="left" w:pos="426"/>
          <w:tab w:val="left" w:pos="993"/>
        </w:tabs>
        <w:jc w:val="both"/>
        <w:rPr>
          <w:bCs/>
          <w:i/>
          <w:sz w:val="24"/>
          <w:szCs w:val="24"/>
        </w:rPr>
      </w:pPr>
    </w:p>
    <w:p w14:paraId="0CE8AF96" w14:textId="77777777" w:rsidR="001C08A5" w:rsidRDefault="00000000">
      <w:pPr>
        <w:numPr>
          <w:ilvl w:val="255"/>
          <w:numId w:val="0"/>
        </w:numPr>
        <w:tabs>
          <w:tab w:val="left" w:pos="426"/>
          <w:tab w:val="left" w:pos="993"/>
        </w:tabs>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1DD31BC4" wp14:editId="46DD0079">
            <wp:extent cx="4909185" cy="3042920"/>
            <wp:effectExtent l="0" t="0" r="5715" b="5080"/>
            <wp:docPr id="2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1"/>
                    <pic:cNvPicPr>
                      <a:picLocks noChangeAspect="1"/>
                    </pic:cNvPicPr>
                  </pic:nvPicPr>
                  <pic:blipFill>
                    <a:blip r:embed="rId304"/>
                    <a:srcRect l="20619" t="18675" r="14343" b="25252"/>
                    <a:stretch>
                      <a:fillRect/>
                    </a:stretch>
                  </pic:blipFill>
                  <pic:spPr>
                    <a:xfrm>
                      <a:off x="0" y="0"/>
                      <a:ext cx="4909185" cy="3042920"/>
                    </a:xfrm>
                    <a:prstGeom prst="rect">
                      <a:avLst/>
                    </a:prstGeom>
                    <a:noFill/>
                    <a:ln>
                      <a:noFill/>
                    </a:ln>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21"/>
      </w:tblGrid>
      <w:tr w:rsidR="001C08A5" w14:paraId="2DB98E30" w14:textId="77777777">
        <w:tc>
          <w:tcPr>
            <w:tcW w:w="5000" w:type="pct"/>
            <w:gridSpan w:val="2"/>
          </w:tcPr>
          <w:p w14:paraId="55A4C8D6" w14:textId="77777777" w:rsidR="001C08A5" w:rsidRDefault="00000000">
            <w:pPr>
              <w:autoSpaceDE w:val="0"/>
              <w:autoSpaceDN w:val="0"/>
              <w:adjustRightInd w:val="0"/>
              <w:jc w:val="center"/>
              <w:rPr>
                <w:bCs/>
                <w:i/>
                <w:sz w:val="24"/>
                <w:szCs w:val="24"/>
              </w:rPr>
            </w:pPr>
            <w:r>
              <w:rPr>
                <w:b/>
                <w:bCs/>
                <w:i/>
                <w:iCs/>
                <w:sz w:val="22"/>
                <w:szCs w:val="22"/>
                <w:lang w:eastAsia="en-US"/>
              </w:rPr>
              <w:t>Varianta a) la clădiri cu înălțime obișnuită</w:t>
            </w:r>
          </w:p>
        </w:tc>
      </w:tr>
      <w:tr w:rsidR="001C08A5" w14:paraId="434AEFC3" w14:textId="77777777">
        <w:tc>
          <w:tcPr>
            <w:tcW w:w="2499" w:type="pct"/>
          </w:tcPr>
          <w:p w14:paraId="4290961D"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3FDBA5BC"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val="en-US" w:eastAsia="en-US"/>
              </w:rPr>
              <w:t>30-C5S</w:t>
            </w:r>
            <w:r>
              <w:rPr>
                <w:b/>
                <w:bCs/>
                <w:i/>
                <w:iCs/>
                <w:sz w:val="22"/>
                <w:szCs w:val="22"/>
                <w:vertAlign w:val="subscript"/>
                <w:lang w:val="en-US" w:eastAsia="en-US"/>
              </w:rPr>
              <w:t>200</w:t>
            </w:r>
            <w:r>
              <w:rPr>
                <w:i/>
                <w:iCs/>
                <w:sz w:val="22"/>
                <w:szCs w:val="22"/>
                <w:lang w:eastAsia="en-US"/>
              </w:rPr>
              <w:t xml:space="preserve"> </w:t>
            </w:r>
          </w:p>
          <w:p w14:paraId="6871F6E9"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71A2BC6"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420E30AF"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56E76D4"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2500" w:type="pct"/>
          </w:tcPr>
          <w:p w14:paraId="69D160E7"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207F7F79"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5649FA9B"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F1FE83E"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61D8DDB"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26D7E3CD"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4E341505" w14:textId="77777777">
        <w:tc>
          <w:tcPr>
            <w:tcW w:w="2499" w:type="pct"/>
          </w:tcPr>
          <w:p w14:paraId="2CDCDFD6"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0" w:type="pct"/>
          </w:tcPr>
          <w:p w14:paraId="3083DFF9"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78D334F8" w14:textId="77777777">
        <w:tc>
          <w:tcPr>
            <w:tcW w:w="5000" w:type="pct"/>
            <w:gridSpan w:val="2"/>
          </w:tcPr>
          <w:p w14:paraId="3F17382F" w14:textId="77777777" w:rsidR="001C08A5" w:rsidRDefault="00000000">
            <w:pPr>
              <w:autoSpaceDE w:val="0"/>
              <w:autoSpaceDN w:val="0"/>
              <w:adjustRightInd w:val="0"/>
              <w:jc w:val="center"/>
              <w:rPr>
                <w:bCs/>
                <w:i/>
                <w:sz w:val="24"/>
                <w:szCs w:val="24"/>
              </w:rPr>
            </w:pPr>
            <w:r>
              <w:rPr>
                <w:b/>
                <w:bCs/>
                <w:i/>
                <w:iCs/>
                <w:sz w:val="22"/>
                <w:szCs w:val="22"/>
                <w:lang w:eastAsia="en-US"/>
              </w:rPr>
              <w:t>Varianta b) la clădiri înalte</w:t>
            </w:r>
          </w:p>
        </w:tc>
      </w:tr>
      <w:tr w:rsidR="001C08A5" w14:paraId="6E2D45A2" w14:textId="77777777">
        <w:tc>
          <w:tcPr>
            <w:tcW w:w="4926" w:type="dxa"/>
          </w:tcPr>
          <w:p w14:paraId="59A3FC63"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03164A32"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92906AE"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5F202A1"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305B948D"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445EA70A"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4929" w:type="dxa"/>
          </w:tcPr>
          <w:p w14:paraId="7E3AF7F5"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37475D3A"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47D05136"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DC867F9"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2C498FC1"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1D1C9FDB"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3F3D6507" w14:textId="77777777">
        <w:tc>
          <w:tcPr>
            <w:tcW w:w="2499" w:type="pct"/>
          </w:tcPr>
          <w:p w14:paraId="59D55714"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0" w:type="pct"/>
          </w:tcPr>
          <w:p w14:paraId="687A8496"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571C84BC" w14:textId="77777777">
        <w:tc>
          <w:tcPr>
            <w:tcW w:w="5000" w:type="pct"/>
            <w:gridSpan w:val="2"/>
          </w:tcPr>
          <w:p w14:paraId="3159A505" w14:textId="77777777" w:rsidR="001C08A5" w:rsidRDefault="00000000">
            <w:pPr>
              <w:autoSpaceDE w:val="0"/>
              <w:autoSpaceDN w:val="0"/>
              <w:adjustRightInd w:val="0"/>
              <w:jc w:val="center"/>
              <w:rPr>
                <w:bCs/>
                <w:i/>
                <w:sz w:val="24"/>
                <w:szCs w:val="24"/>
              </w:rPr>
            </w:pPr>
            <w:r>
              <w:rPr>
                <w:b/>
                <w:bCs/>
                <w:i/>
                <w:iCs/>
                <w:sz w:val="22"/>
                <w:szCs w:val="22"/>
                <w:lang w:eastAsia="en-US"/>
              </w:rPr>
              <w:t xml:space="preserve">Varianta c) la clădiri foarte înalte cu </w:t>
            </w:r>
            <w:r>
              <w:rPr>
                <w:b/>
                <w:bCs/>
                <w:i/>
                <w:iCs/>
                <w:sz w:val="22"/>
                <w:szCs w:val="22"/>
              </w:rPr>
              <w:t>înălțimea</w:t>
            </w:r>
            <w:r>
              <w:rPr>
                <w:i/>
                <w:iCs/>
                <w:sz w:val="22"/>
                <w:szCs w:val="22"/>
              </w:rPr>
              <w:t xml:space="preserve"> </w:t>
            </w:r>
            <w:r>
              <w:rPr>
                <w:b/>
                <w:bCs/>
                <w:i/>
                <w:iCs/>
                <w:sz w:val="22"/>
                <w:szCs w:val="22"/>
              </w:rPr>
              <w:t>mai mică de 75 m</w:t>
            </w:r>
          </w:p>
        </w:tc>
      </w:tr>
      <w:tr w:rsidR="001C08A5" w14:paraId="12EC3B22" w14:textId="77777777">
        <w:tc>
          <w:tcPr>
            <w:tcW w:w="4926" w:type="dxa"/>
          </w:tcPr>
          <w:p w14:paraId="7C1D0AEB"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0138C56C"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6</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79FA7102"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17CE6373"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63C9EC3F"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47912F0"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4929" w:type="dxa"/>
          </w:tcPr>
          <w:p w14:paraId="43D86A2A"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subteran:</w:t>
            </w:r>
          </w:p>
          <w:p w14:paraId="606D9317" w14:textId="77777777" w:rsidR="001C08A5" w:rsidRDefault="00000000">
            <w:pPr>
              <w:autoSpaceDE w:val="0"/>
              <w:autoSpaceDN w:val="0"/>
              <w:adjustRightInd w:val="0"/>
              <w:jc w:val="left"/>
              <w:rPr>
                <w:i/>
                <w:iCs/>
                <w:sz w:val="22"/>
                <w:szCs w:val="22"/>
                <w:lang w:eastAsia="en-US"/>
              </w:rPr>
            </w:pPr>
            <w:r>
              <w:rPr>
                <w:b/>
                <w:bCs/>
                <w:i/>
                <w:iCs/>
                <w:sz w:val="22"/>
                <w:szCs w:val="22"/>
                <w:lang w:eastAsia="en-US"/>
              </w:rPr>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6B0BE48"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580C3B3"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7E060F3"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5F42996"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4DCB4720" w14:textId="77777777">
        <w:tc>
          <w:tcPr>
            <w:tcW w:w="2499" w:type="pct"/>
          </w:tcPr>
          <w:p w14:paraId="0BA54073"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0" w:type="pct"/>
          </w:tcPr>
          <w:p w14:paraId="5DA63EFD"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r w:rsidR="001C08A5" w14:paraId="3283BA74" w14:textId="77777777">
        <w:tc>
          <w:tcPr>
            <w:tcW w:w="5000" w:type="pct"/>
            <w:gridSpan w:val="2"/>
          </w:tcPr>
          <w:p w14:paraId="0A7480F4" w14:textId="77777777" w:rsidR="001C08A5" w:rsidRDefault="00000000">
            <w:pPr>
              <w:autoSpaceDE w:val="0"/>
              <w:autoSpaceDN w:val="0"/>
              <w:adjustRightInd w:val="0"/>
              <w:jc w:val="center"/>
              <w:rPr>
                <w:bCs/>
                <w:i/>
                <w:sz w:val="24"/>
                <w:szCs w:val="24"/>
              </w:rPr>
            </w:pPr>
            <w:r>
              <w:rPr>
                <w:b/>
                <w:bCs/>
                <w:i/>
                <w:iCs/>
                <w:sz w:val="22"/>
                <w:szCs w:val="22"/>
                <w:lang w:eastAsia="en-US"/>
              </w:rPr>
              <w:t xml:space="preserve">Varianta d) la clădiri foarte înalte cu </w:t>
            </w:r>
            <w:r>
              <w:rPr>
                <w:b/>
                <w:bCs/>
                <w:i/>
                <w:iCs/>
                <w:sz w:val="22"/>
                <w:szCs w:val="22"/>
              </w:rPr>
              <w:t>înălțimea</w:t>
            </w:r>
            <w:r>
              <w:rPr>
                <w:i/>
                <w:iCs/>
                <w:sz w:val="22"/>
                <w:szCs w:val="22"/>
              </w:rPr>
              <w:t xml:space="preserve"> </w:t>
            </w:r>
            <w:r>
              <w:rPr>
                <w:b/>
                <w:bCs/>
                <w:i/>
                <w:iCs/>
                <w:sz w:val="22"/>
                <w:szCs w:val="22"/>
              </w:rPr>
              <w:t>mai mare sau egală de 75 m</w:t>
            </w:r>
          </w:p>
        </w:tc>
      </w:tr>
      <w:tr w:rsidR="001C08A5" w14:paraId="54915601" w14:textId="77777777">
        <w:tc>
          <w:tcPr>
            <w:tcW w:w="2499" w:type="pct"/>
          </w:tcPr>
          <w:p w14:paraId="0294B542"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t>În suprateran:</w:t>
            </w:r>
          </w:p>
          <w:p w14:paraId="1DFA5289" w14:textId="77777777" w:rsidR="001C08A5" w:rsidRDefault="00000000">
            <w:pPr>
              <w:autoSpaceDE w:val="0"/>
              <w:autoSpaceDN w:val="0"/>
              <w:adjustRightInd w:val="0"/>
              <w:jc w:val="left"/>
              <w:rPr>
                <w:i/>
                <w:iCs/>
                <w:sz w:val="22"/>
                <w:szCs w:val="22"/>
                <w:lang w:eastAsia="en-US"/>
              </w:rPr>
            </w:pPr>
            <w:r>
              <w:rPr>
                <w:b/>
                <w:bCs/>
                <w:i/>
                <w:iCs/>
                <w:sz w:val="22"/>
                <w:szCs w:val="22"/>
                <w:lang w:eastAsia="en-US"/>
              </w:rPr>
              <w:lastRenderedPageBreak/>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9</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273D1609"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D830D97"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7AD4E25"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2E9BB7AF"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uși </w:t>
            </w:r>
            <w:r>
              <w:rPr>
                <w:b/>
                <w:i/>
                <w:iCs/>
                <w:sz w:val="22"/>
                <w:szCs w:val="22"/>
                <w:lang w:val="en-US" w:eastAsia="en-US"/>
              </w:rPr>
              <w:t>EI</w:t>
            </w:r>
            <w:r>
              <w:rPr>
                <w:b/>
                <w:i/>
                <w:iCs/>
                <w:sz w:val="22"/>
                <w:szCs w:val="22"/>
                <w:lang w:eastAsia="en-US"/>
              </w:rPr>
              <w:t>12</w:t>
            </w:r>
            <w:r>
              <w:rPr>
                <w:b/>
                <w:i/>
                <w:iCs/>
                <w:sz w:val="22"/>
                <w:szCs w:val="22"/>
                <w:lang w:val="en-US" w:eastAsia="en-US"/>
              </w:rPr>
              <w:t>0</w:t>
            </w:r>
          </w:p>
        </w:tc>
        <w:tc>
          <w:tcPr>
            <w:tcW w:w="2500" w:type="pct"/>
          </w:tcPr>
          <w:p w14:paraId="26E2910A" w14:textId="77777777" w:rsidR="001C08A5" w:rsidRDefault="00000000">
            <w:pPr>
              <w:widowControl/>
              <w:autoSpaceDE w:val="0"/>
              <w:autoSpaceDN w:val="0"/>
              <w:adjustRightInd w:val="0"/>
              <w:jc w:val="left"/>
              <w:rPr>
                <w:b/>
                <w:bCs/>
                <w:i/>
                <w:iCs/>
                <w:sz w:val="22"/>
                <w:szCs w:val="22"/>
                <w:lang w:eastAsia="en-US"/>
              </w:rPr>
            </w:pPr>
            <w:r>
              <w:rPr>
                <w:b/>
                <w:bCs/>
                <w:i/>
                <w:iCs/>
                <w:sz w:val="22"/>
                <w:szCs w:val="22"/>
                <w:lang w:eastAsia="en-US"/>
              </w:rPr>
              <w:lastRenderedPageBreak/>
              <w:t>În subteran:</w:t>
            </w:r>
          </w:p>
          <w:p w14:paraId="5CE2E5A7" w14:textId="77777777" w:rsidR="001C08A5" w:rsidRDefault="00000000">
            <w:pPr>
              <w:autoSpaceDE w:val="0"/>
              <w:autoSpaceDN w:val="0"/>
              <w:adjustRightInd w:val="0"/>
              <w:jc w:val="left"/>
              <w:rPr>
                <w:i/>
                <w:iCs/>
                <w:sz w:val="22"/>
                <w:szCs w:val="22"/>
                <w:lang w:eastAsia="en-US"/>
              </w:rPr>
            </w:pPr>
            <w:r>
              <w:rPr>
                <w:b/>
                <w:bCs/>
                <w:i/>
                <w:iCs/>
                <w:sz w:val="22"/>
                <w:szCs w:val="22"/>
                <w:lang w:eastAsia="en-US"/>
              </w:rPr>
              <w:lastRenderedPageBreak/>
              <w:t>A</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07911A47" w14:textId="77777777" w:rsidR="001C08A5" w:rsidRDefault="00000000">
            <w:pPr>
              <w:autoSpaceDE w:val="0"/>
              <w:autoSpaceDN w:val="0"/>
              <w:adjustRightInd w:val="0"/>
              <w:jc w:val="left"/>
              <w:rPr>
                <w:i/>
                <w:iCs/>
                <w:sz w:val="22"/>
                <w:szCs w:val="22"/>
                <w:lang w:eastAsia="en-US"/>
              </w:rPr>
            </w:pPr>
            <w:r>
              <w:rPr>
                <w:b/>
                <w:bCs/>
                <w:i/>
                <w:iCs/>
                <w:sz w:val="22"/>
                <w:szCs w:val="22"/>
                <w:lang w:eastAsia="en-US"/>
              </w:rPr>
              <w:t>B</w:t>
            </w:r>
            <w:r>
              <w:rPr>
                <w:i/>
                <w:iCs/>
                <w:sz w:val="22"/>
                <w:szCs w:val="22"/>
                <w:lang w:val="en-US" w:eastAsia="en-US"/>
              </w:rPr>
              <w:t xml:space="preserve"> - uși </w:t>
            </w:r>
            <w:r>
              <w:rPr>
                <w:b/>
                <w:i/>
                <w:iCs/>
                <w:sz w:val="22"/>
                <w:szCs w:val="22"/>
                <w:lang w:val="en-US" w:eastAsia="en-US"/>
              </w:rPr>
              <w:t>EI</w:t>
            </w:r>
            <w:r>
              <w:rPr>
                <w:b/>
                <w:i/>
                <w:iCs/>
                <w:sz w:val="22"/>
                <w:szCs w:val="22"/>
                <w:vertAlign w:val="subscript"/>
                <w:lang w:val="en-US" w:eastAsia="en-US"/>
              </w:rPr>
              <w:t xml:space="preserve">2 </w:t>
            </w:r>
            <w:r>
              <w:rPr>
                <w:b/>
                <w:i/>
                <w:iCs/>
                <w:sz w:val="22"/>
                <w:szCs w:val="22"/>
                <w:lang w:eastAsia="en-US"/>
              </w:rPr>
              <w:t>12</w:t>
            </w:r>
            <w:r>
              <w:rPr>
                <w:b/>
                <w:i/>
                <w:iCs/>
                <w:sz w:val="22"/>
                <w:szCs w:val="22"/>
                <w:lang w:val="en-US" w:eastAsia="en-US"/>
              </w:rPr>
              <w:t>0-C5S</w:t>
            </w:r>
            <w:r>
              <w:rPr>
                <w:b/>
                <w:bCs/>
                <w:i/>
                <w:iCs/>
                <w:sz w:val="22"/>
                <w:szCs w:val="22"/>
                <w:vertAlign w:val="subscript"/>
                <w:lang w:val="en-US" w:eastAsia="en-US"/>
              </w:rPr>
              <w:t>200</w:t>
            </w:r>
            <w:r>
              <w:rPr>
                <w:i/>
                <w:iCs/>
                <w:sz w:val="22"/>
                <w:szCs w:val="22"/>
                <w:lang w:eastAsia="en-US"/>
              </w:rPr>
              <w:t xml:space="preserve"> </w:t>
            </w:r>
          </w:p>
          <w:p w14:paraId="64A9CAC4" w14:textId="77777777" w:rsidR="001C08A5" w:rsidRDefault="00000000">
            <w:pPr>
              <w:autoSpaceDE w:val="0"/>
              <w:autoSpaceDN w:val="0"/>
              <w:adjustRightInd w:val="0"/>
              <w:jc w:val="left"/>
              <w:rPr>
                <w:b/>
                <w:i/>
                <w:iCs/>
                <w:sz w:val="22"/>
                <w:szCs w:val="22"/>
                <w:lang w:eastAsia="en-US"/>
              </w:rPr>
            </w:pPr>
            <w:r>
              <w:rPr>
                <w:b/>
                <w:bCs/>
                <w:i/>
                <w:iCs/>
                <w:sz w:val="22"/>
                <w:szCs w:val="22"/>
                <w:lang w:eastAsia="en-US"/>
              </w:rPr>
              <w:t>C</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60D4AB26" w14:textId="77777777" w:rsidR="001C08A5" w:rsidRDefault="00000000">
            <w:pPr>
              <w:autoSpaceDE w:val="0"/>
              <w:autoSpaceDN w:val="0"/>
              <w:adjustRightInd w:val="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en-US" w:eastAsia="en-US"/>
              </w:rPr>
              <w:t>EI</w:t>
            </w:r>
            <w:r>
              <w:rPr>
                <w:b/>
                <w:i/>
                <w:iCs/>
                <w:sz w:val="22"/>
                <w:szCs w:val="22"/>
                <w:lang w:eastAsia="en-US"/>
              </w:rPr>
              <w:t>120</w:t>
            </w:r>
          </w:p>
          <w:p w14:paraId="59B6CADD" w14:textId="77777777" w:rsidR="001C08A5" w:rsidRDefault="00000000">
            <w:pPr>
              <w:autoSpaceDE w:val="0"/>
              <w:autoSpaceDN w:val="0"/>
              <w:adjustRightInd w:val="0"/>
              <w:jc w:val="left"/>
              <w:rPr>
                <w:bCs/>
                <w:i/>
                <w:sz w:val="24"/>
                <w:szCs w:val="24"/>
              </w:rPr>
            </w:pPr>
            <w:r>
              <w:rPr>
                <w:b/>
                <w:bCs/>
                <w:i/>
                <w:iCs/>
                <w:sz w:val="22"/>
                <w:szCs w:val="22"/>
                <w:lang w:eastAsia="en-US"/>
              </w:rPr>
              <w:t>E</w:t>
            </w:r>
            <w:r>
              <w:rPr>
                <w:i/>
                <w:iCs/>
                <w:sz w:val="22"/>
                <w:szCs w:val="22"/>
                <w:lang w:val="en-US" w:eastAsia="en-US"/>
              </w:rPr>
              <w:t xml:space="preserve"> - </w:t>
            </w:r>
            <w:r>
              <w:rPr>
                <w:i/>
                <w:iCs/>
                <w:sz w:val="22"/>
                <w:szCs w:val="22"/>
                <w:lang w:eastAsia="en-US"/>
              </w:rPr>
              <w:t xml:space="preserve">uși </w:t>
            </w:r>
            <w:r>
              <w:rPr>
                <w:b/>
                <w:i/>
                <w:iCs/>
                <w:sz w:val="22"/>
                <w:szCs w:val="22"/>
                <w:lang w:val="en-US" w:eastAsia="en-US"/>
              </w:rPr>
              <w:t>EI</w:t>
            </w:r>
            <w:r>
              <w:rPr>
                <w:b/>
                <w:i/>
                <w:iCs/>
                <w:sz w:val="22"/>
                <w:szCs w:val="22"/>
                <w:lang w:eastAsia="en-US"/>
              </w:rPr>
              <w:t>12</w:t>
            </w:r>
            <w:r>
              <w:rPr>
                <w:b/>
                <w:i/>
                <w:iCs/>
                <w:sz w:val="22"/>
                <w:szCs w:val="22"/>
                <w:lang w:val="en-US" w:eastAsia="en-US"/>
              </w:rPr>
              <w:t>0</w:t>
            </w:r>
          </w:p>
        </w:tc>
      </w:tr>
      <w:tr w:rsidR="001C08A5" w14:paraId="1E67C313" w14:textId="77777777">
        <w:tc>
          <w:tcPr>
            <w:tcW w:w="2499" w:type="pct"/>
          </w:tcPr>
          <w:p w14:paraId="669D3668" w14:textId="77777777" w:rsidR="001C08A5" w:rsidRDefault="00000000">
            <w:pPr>
              <w:autoSpaceDE w:val="0"/>
              <w:autoSpaceDN w:val="0"/>
              <w:adjustRightInd w:val="0"/>
              <w:jc w:val="left"/>
              <w:rPr>
                <w:bCs/>
                <w:i/>
                <w:sz w:val="24"/>
                <w:szCs w:val="24"/>
              </w:rPr>
            </w:pPr>
            <w:r>
              <w:rPr>
                <w:i/>
                <w:iCs/>
                <w:sz w:val="22"/>
                <w:szCs w:val="22"/>
                <w:lang w:val="en-US" w:eastAsia="en-US"/>
              </w:rPr>
              <w:lastRenderedPageBreak/>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c>
          <w:tcPr>
            <w:tcW w:w="2500" w:type="pct"/>
          </w:tcPr>
          <w:p w14:paraId="383D3003" w14:textId="77777777" w:rsidR="001C08A5" w:rsidRDefault="00000000">
            <w:pPr>
              <w:autoSpaceDE w:val="0"/>
              <w:autoSpaceDN w:val="0"/>
              <w:adjustRightInd w:val="0"/>
              <w:jc w:val="left"/>
              <w:rPr>
                <w:bCs/>
                <w:i/>
                <w:sz w:val="24"/>
                <w:szCs w:val="24"/>
              </w:rPr>
            </w:pPr>
            <w:r>
              <w:rPr>
                <w:i/>
                <w:iCs/>
                <w:sz w:val="22"/>
                <w:szCs w:val="22"/>
                <w:lang w:val="en-US" w:eastAsia="en-US"/>
              </w:rPr>
              <w:t xml:space="preserve">Notă: </w:t>
            </w:r>
            <w:r>
              <w:rPr>
                <w:bCs/>
                <w:i/>
                <w:iCs/>
                <w:sz w:val="22"/>
                <w:szCs w:val="22"/>
                <w:lang w:val="en-US" w:eastAsia="en-US"/>
              </w:rPr>
              <w:t xml:space="preserve">pereții încăperii tampon ventilată în suprapresiune sunt rezistenți la foc min </w:t>
            </w:r>
            <w:r>
              <w:rPr>
                <w:b/>
                <w:i/>
                <w:iCs/>
                <w:sz w:val="22"/>
                <w:szCs w:val="22"/>
                <w:lang w:val="en-US" w:eastAsia="en-US"/>
              </w:rPr>
              <w:t xml:space="preserve">EI/REI </w:t>
            </w:r>
            <w:r>
              <w:rPr>
                <w:b/>
                <w:i/>
                <w:iCs/>
                <w:sz w:val="22"/>
                <w:szCs w:val="22"/>
                <w:lang w:eastAsia="en-US"/>
              </w:rPr>
              <w:t>12</w:t>
            </w:r>
            <w:r>
              <w:rPr>
                <w:b/>
                <w:i/>
                <w:iCs/>
                <w:sz w:val="22"/>
                <w:szCs w:val="22"/>
                <w:lang w:val="en-US" w:eastAsia="en-US"/>
              </w:rPr>
              <w:t>0</w:t>
            </w:r>
          </w:p>
        </w:tc>
      </w:tr>
    </w:tbl>
    <w:p w14:paraId="0DB37D88" w14:textId="77777777" w:rsidR="001C08A5" w:rsidRDefault="001C08A5">
      <w:pPr>
        <w:autoSpaceDE w:val="0"/>
        <w:autoSpaceDN w:val="0"/>
        <w:adjustRightInd w:val="0"/>
        <w:rPr>
          <w:rFonts w:ascii="Arial" w:hAnsi="Arial" w:cs="Arial"/>
          <w:sz w:val="24"/>
          <w:szCs w:val="24"/>
          <w:lang w:val="en-US" w:eastAsia="en-US"/>
        </w:rPr>
      </w:pPr>
    </w:p>
    <w:p w14:paraId="39E384C7" w14:textId="77777777" w:rsidR="001C08A5" w:rsidRDefault="00000000">
      <w:pPr>
        <w:pStyle w:val="Caption"/>
        <w:numPr>
          <w:ilvl w:val="255"/>
          <w:numId w:val="0"/>
        </w:numPr>
        <w:tabs>
          <w:tab w:val="left" w:pos="426"/>
          <w:tab w:val="left" w:pos="993"/>
        </w:tabs>
        <w:jc w:val="center"/>
        <w:rPr>
          <w:u w:val="single"/>
        </w:rPr>
      </w:pPr>
      <w:bookmarkStart w:id="6906" w:name="_Toc162360363"/>
      <w:r>
        <w:t xml:space="preserve">Figura </w:t>
      </w:r>
      <w:r>
        <w:fldChar w:fldCharType="begin"/>
      </w:r>
      <w:r>
        <w:instrText xml:space="preserve"> SEQ Figura \* ARABIC </w:instrText>
      </w:r>
      <w:r>
        <w:fldChar w:fldCharType="separate"/>
      </w:r>
      <w:r>
        <w:t>139</w:t>
      </w:r>
      <w:r>
        <w:fldChar w:fldCharType="end"/>
      </w:r>
      <w:bookmarkStart w:id="6907" w:name="_Toc9949"/>
      <w:bookmarkStart w:id="6908" w:name="_Toc8920"/>
      <w:bookmarkStart w:id="6909" w:name="_Toc10297"/>
      <w:bookmarkStart w:id="6910" w:name="_Toc21263"/>
      <w:bookmarkStart w:id="6911" w:name="_Toc19189"/>
      <w:bookmarkStart w:id="6912" w:name="_Toc14288"/>
      <w:bookmarkStart w:id="6913" w:name="_Toc28972"/>
      <w:bookmarkStart w:id="6914" w:name="_Toc27608"/>
      <w:bookmarkStart w:id="6915" w:name="_Toc27697"/>
      <w:r>
        <w:t xml:space="preserve"> - Goluri de acces la ascensoare de intervenție, la ascensoare prevăzute pentru circulația funcțională a persoanelor, la scări de evacuare a persoanelor și la </w:t>
      </w:r>
      <w:r>
        <w:rPr>
          <w:rFonts w:cs="Times New Roman"/>
        </w:rPr>
        <w:t xml:space="preserve">ascensoare prevăzute pentru transportul bolnavilor cu patul cu rotile, cu targa ori căruciorul sau a persoanelor cu dizabilităţi care pot fi utilizate şi pentru evacuarea asistată a acestora în caz de incendiu </w:t>
      </w:r>
      <w:r>
        <w:t>atunci când debușează într-o încăpere tampon ventilată în suprapresiune comună</w:t>
      </w:r>
      <w:bookmarkEnd w:id="6906"/>
      <w:bookmarkEnd w:id="6907"/>
      <w:bookmarkEnd w:id="6908"/>
      <w:bookmarkEnd w:id="6909"/>
      <w:bookmarkEnd w:id="6910"/>
      <w:bookmarkEnd w:id="6911"/>
      <w:bookmarkEnd w:id="6912"/>
      <w:bookmarkEnd w:id="6913"/>
      <w:bookmarkEnd w:id="6914"/>
      <w:bookmarkEnd w:id="6915"/>
    </w:p>
    <w:p w14:paraId="68698CE0" w14:textId="77777777" w:rsidR="001C08A5" w:rsidRDefault="001C08A5">
      <w:pPr>
        <w:numPr>
          <w:ilvl w:val="255"/>
          <w:numId w:val="0"/>
        </w:numPr>
        <w:tabs>
          <w:tab w:val="left" w:pos="426"/>
          <w:tab w:val="left" w:pos="993"/>
        </w:tabs>
        <w:jc w:val="center"/>
        <w:rPr>
          <w:b/>
          <w:i/>
          <w:iCs/>
          <w:sz w:val="24"/>
          <w:szCs w:val="24"/>
        </w:rPr>
      </w:pPr>
    </w:p>
    <w:p w14:paraId="344E4B43" w14:textId="77777777" w:rsidR="001C08A5" w:rsidRDefault="00000000">
      <w:pPr>
        <w:numPr>
          <w:ilvl w:val="255"/>
          <w:numId w:val="0"/>
        </w:numPr>
        <w:tabs>
          <w:tab w:val="left" w:pos="426"/>
          <w:tab w:val="left" w:pos="993"/>
        </w:tabs>
        <w:jc w:val="center"/>
        <w:rPr>
          <w:b/>
          <w:i/>
          <w:iCs/>
          <w:sz w:val="24"/>
          <w:szCs w:val="24"/>
          <w:lang w:eastAsia="en-US"/>
        </w:rPr>
      </w:pPr>
      <w:r>
        <w:rPr>
          <w:b/>
          <w:i/>
          <w:iCs/>
          <w:sz w:val="24"/>
          <w:szCs w:val="24"/>
        </w:rPr>
        <w:t>Ascensoare de intervenție</w:t>
      </w:r>
    </w:p>
    <w:p w14:paraId="3AAA13AB" w14:textId="77777777" w:rsidR="001C08A5" w:rsidRDefault="001C08A5">
      <w:pPr>
        <w:autoSpaceDE w:val="0"/>
        <w:autoSpaceDN w:val="0"/>
        <w:adjustRightInd w:val="0"/>
        <w:rPr>
          <w:rFonts w:ascii="Arial" w:hAnsi="Arial" w:cs="Arial"/>
          <w:sz w:val="24"/>
          <w:szCs w:val="24"/>
          <w:lang w:val="en-US"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5"/>
        <w:gridCol w:w="4744"/>
      </w:tblGrid>
      <w:tr w:rsidR="001C08A5" w14:paraId="013ABBBA" w14:textId="77777777">
        <w:tc>
          <w:tcPr>
            <w:tcW w:w="4927" w:type="dxa"/>
          </w:tcPr>
          <w:p w14:paraId="29C16828" w14:textId="77777777" w:rsidR="001C08A5" w:rsidRDefault="00000000">
            <w:pPr>
              <w:rPr>
                <w:sz w:val="24"/>
                <w:szCs w:val="24"/>
              </w:rPr>
            </w:pPr>
            <w:r>
              <w:rPr>
                <w:noProof/>
              </w:rPr>
              <w:drawing>
                <wp:inline distT="0" distB="0" distL="114300" distR="114300" wp14:anchorId="27680CBB" wp14:editId="5DBD358D">
                  <wp:extent cx="2580005" cy="3463925"/>
                  <wp:effectExtent l="0" t="0" r="10795" b="317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a:picLocks noChangeAspect="1"/>
                          </pic:cNvPicPr>
                        </pic:nvPicPr>
                        <pic:blipFill>
                          <a:blip r:embed="rId203"/>
                          <a:srcRect l="15329" t="4100" r="50488" b="3864"/>
                          <a:stretch>
                            <a:fillRect/>
                          </a:stretch>
                        </pic:blipFill>
                        <pic:spPr>
                          <a:xfrm>
                            <a:off x="0" y="0"/>
                            <a:ext cx="2580005" cy="3463925"/>
                          </a:xfrm>
                          <a:prstGeom prst="rect">
                            <a:avLst/>
                          </a:prstGeom>
                          <a:noFill/>
                          <a:ln>
                            <a:noFill/>
                          </a:ln>
                        </pic:spPr>
                      </pic:pic>
                    </a:graphicData>
                  </a:graphic>
                </wp:inline>
              </w:drawing>
            </w:r>
          </w:p>
        </w:tc>
        <w:tc>
          <w:tcPr>
            <w:tcW w:w="4928" w:type="dxa"/>
          </w:tcPr>
          <w:p w14:paraId="7BC5829F" w14:textId="77777777" w:rsidR="001C08A5" w:rsidRDefault="00000000">
            <w:pPr>
              <w:autoSpaceDE w:val="0"/>
              <w:autoSpaceDN w:val="0"/>
              <w:adjustRightInd w:val="0"/>
              <w:jc w:val="left"/>
              <w:rPr>
                <w:i/>
                <w:iCs/>
                <w:sz w:val="22"/>
                <w:szCs w:val="22"/>
                <w:lang w:eastAsia="en-US"/>
              </w:rPr>
            </w:pPr>
            <w:r>
              <w:rPr>
                <w:i/>
                <w:iCs/>
                <w:sz w:val="22"/>
                <w:szCs w:val="22"/>
                <w:lang w:eastAsia="en-US"/>
              </w:rPr>
              <w:t>LEGENDĂ:</w:t>
            </w:r>
          </w:p>
          <w:p w14:paraId="63310186" w14:textId="77777777" w:rsidR="001C08A5" w:rsidRDefault="00000000">
            <w:pPr>
              <w:autoSpaceDE w:val="0"/>
              <w:autoSpaceDN w:val="0"/>
              <w:adjustRightInd w:val="0"/>
              <w:ind w:firstLine="720"/>
              <w:jc w:val="left"/>
              <w:rPr>
                <w:b/>
                <w:i/>
                <w:iCs/>
                <w:sz w:val="22"/>
                <w:szCs w:val="22"/>
                <w:lang w:eastAsia="en-US"/>
              </w:rPr>
            </w:pPr>
            <w:r>
              <w:rPr>
                <w:b/>
                <w:bCs/>
                <w:i/>
                <w:iCs/>
                <w:sz w:val="22"/>
                <w:szCs w:val="22"/>
                <w:lang w:eastAsia="en-US"/>
              </w:rPr>
              <w:t>D</w:t>
            </w:r>
            <w:r>
              <w:rPr>
                <w:i/>
                <w:iCs/>
                <w:sz w:val="22"/>
                <w:szCs w:val="22"/>
                <w:lang w:eastAsia="en-US"/>
              </w:rPr>
              <w:t xml:space="preserve"> - uși </w:t>
            </w:r>
            <w:r>
              <w:rPr>
                <w:b/>
                <w:i/>
                <w:iCs/>
                <w:sz w:val="22"/>
                <w:szCs w:val="22"/>
                <w:lang w:val="pt-PT" w:eastAsia="en-US"/>
              </w:rPr>
              <w:t xml:space="preserve">EI </w:t>
            </w:r>
            <w:r>
              <w:rPr>
                <w:b/>
                <w:i/>
                <w:iCs/>
                <w:sz w:val="22"/>
                <w:szCs w:val="22"/>
                <w:lang w:eastAsia="en-US"/>
              </w:rPr>
              <w:t>12</w:t>
            </w:r>
            <w:r>
              <w:rPr>
                <w:b/>
                <w:i/>
                <w:iCs/>
                <w:sz w:val="22"/>
                <w:szCs w:val="22"/>
                <w:lang w:val="pt-PT" w:eastAsia="en-US"/>
              </w:rPr>
              <w:t>0</w:t>
            </w:r>
          </w:p>
          <w:p w14:paraId="6A1463F1" w14:textId="77777777" w:rsidR="001C08A5" w:rsidRDefault="00000000">
            <w:pPr>
              <w:ind w:firstLine="720"/>
              <w:jc w:val="left"/>
              <w:rPr>
                <w:b/>
                <w:bCs/>
                <w:i/>
                <w:iCs/>
                <w:sz w:val="22"/>
                <w:szCs w:val="22"/>
                <w:vertAlign w:val="subscript"/>
              </w:rPr>
            </w:pPr>
            <w:r>
              <w:rPr>
                <w:b/>
                <w:bCs/>
                <w:i/>
                <w:iCs/>
                <w:sz w:val="22"/>
                <w:szCs w:val="22"/>
              </w:rPr>
              <w:t>A</w:t>
            </w:r>
            <w:r>
              <w:rPr>
                <w:i/>
                <w:iCs/>
                <w:sz w:val="22"/>
                <w:szCs w:val="22"/>
              </w:rPr>
              <w:t xml:space="preserve"> - uși </w:t>
            </w:r>
            <w:r>
              <w:rPr>
                <w:b/>
                <w:i/>
                <w:iCs/>
                <w:sz w:val="22"/>
                <w:szCs w:val="22"/>
              </w:rPr>
              <w:t>EI</w:t>
            </w:r>
            <w:r>
              <w:rPr>
                <w:b/>
                <w:i/>
                <w:iCs/>
                <w:sz w:val="22"/>
                <w:szCs w:val="22"/>
                <w:vertAlign w:val="subscript"/>
              </w:rPr>
              <w:t>2</w:t>
            </w:r>
            <w:r>
              <w:rPr>
                <w:b/>
                <w:i/>
                <w:iCs/>
                <w:sz w:val="22"/>
                <w:szCs w:val="22"/>
              </w:rPr>
              <w:t>120-C5S</w:t>
            </w:r>
            <w:r>
              <w:rPr>
                <w:b/>
                <w:bCs/>
                <w:i/>
                <w:iCs/>
                <w:sz w:val="22"/>
                <w:szCs w:val="22"/>
                <w:vertAlign w:val="subscript"/>
              </w:rPr>
              <w:t>200</w:t>
            </w:r>
          </w:p>
          <w:p w14:paraId="2B4B14D4" w14:textId="77777777" w:rsidR="001C08A5" w:rsidRDefault="00000000">
            <w:pPr>
              <w:ind w:firstLine="720"/>
              <w:jc w:val="left"/>
              <w:rPr>
                <w:b/>
                <w:bCs/>
                <w:i/>
                <w:iCs/>
                <w:sz w:val="22"/>
                <w:szCs w:val="22"/>
                <w:vertAlign w:val="subscript"/>
              </w:rPr>
            </w:pPr>
            <w:r>
              <w:rPr>
                <w:b/>
                <w:bCs/>
                <w:i/>
                <w:iCs/>
                <w:sz w:val="22"/>
                <w:szCs w:val="22"/>
              </w:rPr>
              <w:t>B</w:t>
            </w:r>
            <w:r>
              <w:rPr>
                <w:i/>
                <w:iCs/>
                <w:sz w:val="22"/>
                <w:szCs w:val="22"/>
              </w:rPr>
              <w:t xml:space="preserve"> - uși </w:t>
            </w:r>
            <w:r>
              <w:rPr>
                <w:b/>
                <w:i/>
                <w:iCs/>
                <w:sz w:val="22"/>
                <w:szCs w:val="22"/>
              </w:rPr>
              <w:t>EI</w:t>
            </w:r>
            <w:r>
              <w:rPr>
                <w:b/>
                <w:i/>
                <w:iCs/>
                <w:sz w:val="22"/>
                <w:szCs w:val="22"/>
                <w:vertAlign w:val="subscript"/>
              </w:rPr>
              <w:t>2</w:t>
            </w:r>
            <w:r>
              <w:rPr>
                <w:b/>
                <w:i/>
                <w:iCs/>
                <w:sz w:val="22"/>
                <w:szCs w:val="22"/>
              </w:rPr>
              <w:t>120-C5S</w:t>
            </w:r>
            <w:r>
              <w:rPr>
                <w:b/>
                <w:bCs/>
                <w:i/>
                <w:iCs/>
                <w:sz w:val="22"/>
                <w:szCs w:val="22"/>
                <w:vertAlign w:val="subscript"/>
              </w:rPr>
              <w:t>200</w:t>
            </w:r>
          </w:p>
          <w:p w14:paraId="7A6AE1A7" w14:textId="77777777" w:rsidR="001C08A5" w:rsidRDefault="001C08A5">
            <w:pPr>
              <w:ind w:firstLine="720"/>
              <w:jc w:val="left"/>
              <w:rPr>
                <w:b/>
                <w:bCs/>
                <w:i/>
                <w:iCs/>
                <w:sz w:val="22"/>
                <w:szCs w:val="22"/>
                <w:vertAlign w:val="subscript"/>
              </w:rPr>
            </w:pPr>
          </w:p>
          <w:p w14:paraId="715FBF4C" w14:textId="77777777" w:rsidR="001C08A5" w:rsidRDefault="001C08A5">
            <w:pPr>
              <w:rPr>
                <w:i/>
                <w:iCs/>
                <w:sz w:val="24"/>
                <w:szCs w:val="24"/>
              </w:rPr>
            </w:pPr>
          </w:p>
        </w:tc>
      </w:tr>
    </w:tbl>
    <w:p w14:paraId="45407E73" w14:textId="77777777" w:rsidR="001C08A5" w:rsidRDefault="00000000">
      <w:pPr>
        <w:jc w:val="center"/>
        <w:rPr>
          <w:b/>
          <w:bCs/>
          <w:i/>
          <w:iCs/>
          <w:sz w:val="24"/>
          <w:szCs w:val="24"/>
        </w:rPr>
      </w:pPr>
      <w:r>
        <w:rPr>
          <w:b/>
          <w:bCs/>
          <w:i/>
          <w:iCs/>
          <w:sz w:val="24"/>
          <w:szCs w:val="24"/>
        </w:rPr>
        <w:t xml:space="preserve"> </w:t>
      </w:r>
    </w:p>
    <w:p w14:paraId="563FDE3D" w14:textId="77777777" w:rsidR="001C08A5" w:rsidRDefault="00000000">
      <w:pPr>
        <w:pStyle w:val="Caption"/>
        <w:jc w:val="center"/>
        <w:rPr>
          <w:rFonts w:ascii="Arial" w:hAnsi="Arial" w:cs="Arial"/>
          <w:lang w:val="en-US" w:eastAsia="en-US"/>
        </w:rPr>
      </w:pPr>
      <w:bookmarkStart w:id="6916" w:name="_Toc162360364"/>
      <w:r>
        <w:t xml:space="preserve">Figura </w:t>
      </w:r>
      <w:r>
        <w:fldChar w:fldCharType="begin"/>
      </w:r>
      <w:r>
        <w:instrText xml:space="preserve"> SEQ Figura \* ARABIC </w:instrText>
      </w:r>
      <w:r>
        <w:fldChar w:fldCharType="separate"/>
      </w:r>
      <w:r>
        <w:t>140</w:t>
      </w:r>
      <w:r>
        <w:fldChar w:fldCharType="end"/>
      </w:r>
      <w:bookmarkStart w:id="6917" w:name="_Toc12617"/>
      <w:bookmarkStart w:id="6918" w:name="_Toc7634"/>
      <w:bookmarkStart w:id="6919" w:name="_Toc5729"/>
      <w:bookmarkStart w:id="6920" w:name="_Toc8597"/>
      <w:bookmarkStart w:id="6921" w:name="_Toc23622"/>
      <w:bookmarkStart w:id="6922" w:name="_Toc3076"/>
      <w:bookmarkStart w:id="6923" w:name="_Toc23759"/>
      <w:bookmarkStart w:id="6924" w:name="_Toc20641"/>
      <w:bookmarkStart w:id="6925" w:name="_Toc21290"/>
      <w:r>
        <w:t xml:space="preserve"> - </w:t>
      </w:r>
      <w:r>
        <w:rPr>
          <w:bCs/>
        </w:rPr>
        <w:t>Acces comun la ascensoare de intervenție și casa scării COMUNĂ (scară prevăzută pentru evacuarea persoanelor precum și pentru accesul forțelor de intervenție) - acces al pompierilor prin aceeași scară de evacuare în clădirile înalte sau foarte înalte</w:t>
      </w:r>
      <w:bookmarkEnd w:id="6916"/>
      <w:bookmarkEnd w:id="6917"/>
      <w:bookmarkEnd w:id="6918"/>
      <w:bookmarkEnd w:id="6919"/>
      <w:bookmarkEnd w:id="6920"/>
      <w:bookmarkEnd w:id="6921"/>
      <w:bookmarkEnd w:id="6922"/>
      <w:bookmarkEnd w:id="6923"/>
      <w:bookmarkEnd w:id="6924"/>
      <w:bookmarkEnd w:id="6925"/>
    </w:p>
    <w:p w14:paraId="6B3DB501" w14:textId="77777777" w:rsidR="001C08A5" w:rsidRDefault="00000000">
      <w:pPr>
        <w:numPr>
          <w:ilvl w:val="0"/>
          <w:numId w:val="96"/>
        </w:numPr>
        <w:tabs>
          <w:tab w:val="left" w:pos="426"/>
          <w:tab w:val="left" w:pos="993"/>
        </w:tabs>
        <w:jc w:val="both"/>
        <w:rPr>
          <w:i/>
          <w:iCs/>
          <w:sz w:val="24"/>
          <w:szCs w:val="24"/>
        </w:rPr>
      </w:pPr>
      <w:bookmarkStart w:id="6926" w:name="_Toc31219"/>
      <w:bookmarkStart w:id="6927" w:name="_Toc28676"/>
      <w:r>
        <w:rPr>
          <w:bCs/>
          <w:i/>
          <w:sz w:val="24"/>
          <w:szCs w:val="24"/>
        </w:rPr>
        <w:t xml:space="preserve"> </w:t>
      </w:r>
      <w:r>
        <w:rPr>
          <w:i/>
          <w:iCs/>
          <w:sz w:val="24"/>
          <w:szCs w:val="24"/>
        </w:rPr>
        <w:t xml:space="preserve">Fluxurile de evacuare în situația în care scara este prevăzută pentru evacuare precum și pentru accesul forțelor de intervenție vor fi conformate conform </w:t>
      </w:r>
      <w:r>
        <w:rPr>
          <w:b/>
          <w:bCs/>
          <w:i/>
          <w:iCs/>
          <w:sz w:val="24"/>
          <w:szCs w:val="24"/>
        </w:rPr>
        <w:fldChar w:fldCharType="begin"/>
      </w:r>
      <w:r>
        <w:rPr>
          <w:b/>
          <w:bCs/>
          <w:i/>
          <w:iCs/>
          <w:sz w:val="24"/>
          <w:szCs w:val="24"/>
        </w:rPr>
        <w:instrText xml:space="preserve"> REF _Ref3587 \h </w:instrText>
      </w:r>
      <w:r>
        <w:rPr>
          <w:b/>
          <w:bCs/>
          <w:i/>
          <w:iCs/>
          <w:sz w:val="24"/>
          <w:szCs w:val="24"/>
        </w:rPr>
      </w:r>
      <w:r>
        <w:rPr>
          <w:b/>
          <w:bCs/>
          <w:i/>
          <w:iCs/>
          <w:sz w:val="24"/>
          <w:szCs w:val="24"/>
        </w:rPr>
        <w:fldChar w:fldCharType="separate"/>
      </w:r>
      <w:r>
        <w:t>Tabelul 126</w:t>
      </w:r>
      <w:r>
        <w:rPr>
          <w:b/>
          <w:bCs/>
          <w:i/>
          <w:iCs/>
          <w:sz w:val="24"/>
          <w:szCs w:val="24"/>
        </w:rPr>
        <w:fldChar w:fldCharType="end"/>
      </w:r>
      <w:r>
        <w:rPr>
          <w:i/>
          <w:iCs/>
          <w:sz w:val="24"/>
          <w:szCs w:val="24"/>
        </w:rPr>
        <w:t>.</w:t>
      </w:r>
    </w:p>
    <w:p w14:paraId="3955E851" w14:textId="77777777" w:rsidR="001C08A5" w:rsidRDefault="00000000">
      <w:pPr>
        <w:pStyle w:val="Caption"/>
        <w:widowControl w:val="0"/>
        <w:jc w:val="both"/>
        <w:rPr>
          <w:bCs/>
        </w:rPr>
      </w:pPr>
      <w:bookmarkStart w:id="6928" w:name="_Ref3587"/>
      <w:bookmarkStart w:id="6929" w:name="_Toc162360176"/>
      <w:r>
        <w:t xml:space="preserve">Tabelul </w:t>
      </w:r>
      <w:r>
        <w:fldChar w:fldCharType="begin"/>
      </w:r>
      <w:r>
        <w:instrText xml:space="preserve"> SEQ Tabelul \* ARABIC </w:instrText>
      </w:r>
      <w:r>
        <w:fldChar w:fldCharType="separate"/>
      </w:r>
      <w:r>
        <w:t>126</w:t>
      </w:r>
      <w:r>
        <w:fldChar w:fldCharType="end"/>
      </w:r>
      <w:bookmarkStart w:id="6930" w:name="_Toc15121"/>
      <w:bookmarkStart w:id="6931" w:name="_Toc24052"/>
      <w:bookmarkStart w:id="6932" w:name="_Toc5753"/>
      <w:bookmarkStart w:id="6933" w:name="_Toc13159"/>
      <w:bookmarkStart w:id="6934" w:name="_Toc4800"/>
      <w:bookmarkStart w:id="6935" w:name="_Toc21302"/>
      <w:bookmarkStart w:id="6936" w:name="_Toc11361"/>
      <w:bookmarkStart w:id="6937" w:name="_Toc7211"/>
      <w:bookmarkStart w:id="6938" w:name="_Toc8786"/>
      <w:bookmarkStart w:id="6939" w:name="_Toc19651"/>
      <w:bookmarkStart w:id="6940" w:name="_Toc6986"/>
      <w:bookmarkStart w:id="6941" w:name="_Toc19777"/>
      <w:bookmarkEnd w:id="6928"/>
      <w:r>
        <w:t xml:space="preserve">: </w:t>
      </w:r>
      <w:r>
        <w:rPr>
          <w:bCs/>
        </w:rPr>
        <w:t>Fluxuri de evacuare ale scării prevăzute pentru evacuarea persoanelor precum și pentru accesul forțelor de intervenție</w:t>
      </w:r>
      <w:bookmarkEnd w:id="6929"/>
      <w:bookmarkEnd w:id="6930"/>
      <w:bookmarkEnd w:id="6931"/>
      <w:bookmarkEnd w:id="6932"/>
      <w:bookmarkEnd w:id="6933"/>
      <w:bookmarkEnd w:id="6934"/>
      <w:bookmarkEnd w:id="6935"/>
      <w:bookmarkEnd w:id="6936"/>
      <w:bookmarkEnd w:id="6937"/>
      <w:bookmarkEnd w:id="6938"/>
      <w:bookmarkEnd w:id="6939"/>
      <w:bookmarkEnd w:id="6940"/>
      <w:bookmarkEnd w:id="6941"/>
    </w:p>
    <w:tbl>
      <w:tblPr>
        <w:tblStyle w:val="TableGrid"/>
        <w:tblW w:w="0" w:type="auto"/>
        <w:jc w:val="center"/>
        <w:tblLook w:val="04A0" w:firstRow="1" w:lastRow="0" w:firstColumn="1" w:lastColumn="0" w:noHBand="0" w:noVBand="1"/>
      </w:tblPr>
      <w:tblGrid>
        <w:gridCol w:w="4360"/>
        <w:gridCol w:w="3015"/>
      </w:tblGrid>
      <w:tr w:rsidR="001C08A5" w14:paraId="4988955A" w14:textId="77777777">
        <w:trPr>
          <w:jc w:val="center"/>
        </w:trPr>
        <w:tc>
          <w:tcPr>
            <w:tcW w:w="4360" w:type="dxa"/>
          </w:tcPr>
          <w:p w14:paraId="2FBE3621" w14:textId="77777777" w:rsidR="001C08A5" w:rsidRDefault="00000000">
            <w:pPr>
              <w:rPr>
                <w:i/>
                <w:iCs/>
                <w:sz w:val="24"/>
                <w:szCs w:val="24"/>
              </w:rPr>
            </w:pPr>
            <w:r>
              <w:rPr>
                <w:i/>
                <w:iCs/>
                <w:sz w:val="24"/>
                <w:szCs w:val="24"/>
              </w:rPr>
              <w:t xml:space="preserve">Lățimi libere uși </w:t>
            </w:r>
            <w:r>
              <w:rPr>
                <w:b/>
                <w:bCs/>
                <w:i/>
                <w:iCs/>
                <w:sz w:val="24"/>
                <w:szCs w:val="24"/>
              </w:rPr>
              <w:t>A</w:t>
            </w:r>
            <w:r>
              <w:rPr>
                <w:i/>
                <w:iCs/>
                <w:sz w:val="24"/>
                <w:szCs w:val="24"/>
              </w:rPr>
              <w:t xml:space="preserve"> și </w:t>
            </w:r>
            <w:r>
              <w:rPr>
                <w:b/>
                <w:bCs/>
                <w:i/>
                <w:iCs/>
                <w:sz w:val="24"/>
                <w:szCs w:val="24"/>
              </w:rPr>
              <w:t xml:space="preserve">B </w:t>
            </w:r>
            <w:r>
              <w:rPr>
                <w:i/>
                <w:iCs/>
                <w:sz w:val="24"/>
                <w:szCs w:val="24"/>
              </w:rPr>
              <w:t>și lațime liberă a rampelor și podestelor scării (m)</w:t>
            </w:r>
          </w:p>
        </w:tc>
        <w:tc>
          <w:tcPr>
            <w:tcW w:w="3015" w:type="dxa"/>
          </w:tcPr>
          <w:p w14:paraId="2F2F6D80" w14:textId="77777777" w:rsidR="001C08A5" w:rsidRDefault="00000000">
            <w:pPr>
              <w:rPr>
                <w:i/>
                <w:iCs/>
                <w:sz w:val="24"/>
                <w:szCs w:val="24"/>
              </w:rPr>
            </w:pPr>
            <w:r>
              <w:rPr>
                <w:i/>
                <w:iCs/>
                <w:sz w:val="24"/>
                <w:szCs w:val="24"/>
              </w:rPr>
              <w:t>Fluxuri de persoane posibil de evacuat</w:t>
            </w:r>
          </w:p>
        </w:tc>
      </w:tr>
      <w:tr w:rsidR="001C08A5" w14:paraId="02E739DC" w14:textId="77777777">
        <w:trPr>
          <w:jc w:val="center"/>
        </w:trPr>
        <w:tc>
          <w:tcPr>
            <w:tcW w:w="4360" w:type="dxa"/>
          </w:tcPr>
          <w:p w14:paraId="17D66CF9" w14:textId="77777777" w:rsidR="001C08A5" w:rsidRDefault="00000000">
            <w:pPr>
              <w:jc w:val="center"/>
              <w:rPr>
                <w:b/>
                <w:bCs/>
                <w:i/>
                <w:iCs/>
                <w:sz w:val="24"/>
                <w:szCs w:val="24"/>
              </w:rPr>
            </w:pPr>
            <w:r>
              <w:rPr>
                <w:b/>
                <w:bCs/>
                <w:i/>
                <w:iCs/>
                <w:sz w:val="24"/>
                <w:szCs w:val="24"/>
              </w:rPr>
              <w:t>minimum 1,20</w:t>
            </w:r>
          </w:p>
        </w:tc>
        <w:tc>
          <w:tcPr>
            <w:tcW w:w="3015" w:type="dxa"/>
          </w:tcPr>
          <w:p w14:paraId="181F46AE" w14:textId="77777777" w:rsidR="001C08A5" w:rsidRDefault="00000000">
            <w:pPr>
              <w:jc w:val="center"/>
              <w:rPr>
                <w:b/>
                <w:bCs/>
                <w:i/>
                <w:iCs/>
                <w:sz w:val="24"/>
                <w:szCs w:val="24"/>
              </w:rPr>
            </w:pPr>
            <w:r>
              <w:rPr>
                <w:b/>
                <w:bCs/>
                <w:i/>
                <w:iCs/>
                <w:sz w:val="24"/>
                <w:szCs w:val="24"/>
              </w:rPr>
              <w:t>1 flux</w:t>
            </w:r>
          </w:p>
        </w:tc>
      </w:tr>
      <w:tr w:rsidR="001C08A5" w14:paraId="167C781C" w14:textId="77777777">
        <w:trPr>
          <w:jc w:val="center"/>
        </w:trPr>
        <w:tc>
          <w:tcPr>
            <w:tcW w:w="4360" w:type="dxa"/>
          </w:tcPr>
          <w:p w14:paraId="7BA36CAF" w14:textId="77777777" w:rsidR="001C08A5" w:rsidRDefault="00000000">
            <w:pPr>
              <w:jc w:val="center"/>
              <w:rPr>
                <w:b/>
                <w:bCs/>
                <w:i/>
                <w:iCs/>
                <w:sz w:val="24"/>
                <w:szCs w:val="24"/>
              </w:rPr>
            </w:pPr>
            <w:r>
              <w:rPr>
                <w:b/>
                <w:bCs/>
                <w:i/>
                <w:iCs/>
                <w:sz w:val="24"/>
                <w:szCs w:val="24"/>
              </w:rPr>
              <w:t>1,60</w:t>
            </w:r>
          </w:p>
        </w:tc>
        <w:tc>
          <w:tcPr>
            <w:tcW w:w="3015" w:type="dxa"/>
          </w:tcPr>
          <w:p w14:paraId="478D6585" w14:textId="77777777" w:rsidR="001C08A5" w:rsidRDefault="00000000">
            <w:pPr>
              <w:jc w:val="center"/>
              <w:rPr>
                <w:b/>
                <w:bCs/>
                <w:i/>
                <w:iCs/>
                <w:sz w:val="24"/>
                <w:szCs w:val="24"/>
              </w:rPr>
            </w:pPr>
            <w:r>
              <w:rPr>
                <w:b/>
                <w:bCs/>
                <w:i/>
                <w:iCs/>
                <w:sz w:val="24"/>
                <w:szCs w:val="24"/>
              </w:rPr>
              <w:t>2 fluxuri</w:t>
            </w:r>
          </w:p>
        </w:tc>
      </w:tr>
      <w:tr w:rsidR="001C08A5" w14:paraId="130E768C" w14:textId="77777777">
        <w:trPr>
          <w:jc w:val="center"/>
        </w:trPr>
        <w:tc>
          <w:tcPr>
            <w:tcW w:w="4360" w:type="dxa"/>
          </w:tcPr>
          <w:p w14:paraId="40188704" w14:textId="77777777" w:rsidR="001C08A5" w:rsidRDefault="00000000">
            <w:pPr>
              <w:jc w:val="center"/>
              <w:rPr>
                <w:b/>
                <w:bCs/>
                <w:i/>
                <w:iCs/>
                <w:sz w:val="24"/>
                <w:szCs w:val="24"/>
              </w:rPr>
            </w:pPr>
            <w:r>
              <w:rPr>
                <w:b/>
                <w:bCs/>
                <w:i/>
                <w:iCs/>
                <w:sz w:val="24"/>
                <w:szCs w:val="24"/>
              </w:rPr>
              <w:t>2,10</w:t>
            </w:r>
          </w:p>
        </w:tc>
        <w:tc>
          <w:tcPr>
            <w:tcW w:w="3015" w:type="dxa"/>
          </w:tcPr>
          <w:p w14:paraId="08006AD1" w14:textId="77777777" w:rsidR="001C08A5" w:rsidRDefault="00000000">
            <w:pPr>
              <w:jc w:val="center"/>
              <w:rPr>
                <w:b/>
                <w:bCs/>
                <w:i/>
                <w:iCs/>
                <w:sz w:val="24"/>
                <w:szCs w:val="24"/>
              </w:rPr>
            </w:pPr>
            <w:r>
              <w:rPr>
                <w:b/>
                <w:bCs/>
                <w:i/>
                <w:iCs/>
                <w:sz w:val="24"/>
                <w:szCs w:val="24"/>
              </w:rPr>
              <w:t>3 fluxuri</w:t>
            </w:r>
          </w:p>
        </w:tc>
      </w:tr>
      <w:tr w:rsidR="001C08A5" w14:paraId="1710DAFE" w14:textId="77777777">
        <w:trPr>
          <w:jc w:val="center"/>
        </w:trPr>
        <w:tc>
          <w:tcPr>
            <w:tcW w:w="4360" w:type="dxa"/>
          </w:tcPr>
          <w:p w14:paraId="2CE68931" w14:textId="77777777" w:rsidR="001C08A5" w:rsidRDefault="00000000">
            <w:pPr>
              <w:jc w:val="center"/>
              <w:rPr>
                <w:b/>
                <w:bCs/>
                <w:i/>
                <w:iCs/>
                <w:sz w:val="24"/>
                <w:szCs w:val="24"/>
              </w:rPr>
            </w:pPr>
            <w:r>
              <w:rPr>
                <w:b/>
                <w:bCs/>
                <w:i/>
                <w:iCs/>
                <w:sz w:val="24"/>
                <w:szCs w:val="24"/>
              </w:rPr>
              <w:t>2,50</w:t>
            </w:r>
          </w:p>
        </w:tc>
        <w:tc>
          <w:tcPr>
            <w:tcW w:w="3015" w:type="dxa"/>
          </w:tcPr>
          <w:p w14:paraId="2329D659" w14:textId="77777777" w:rsidR="001C08A5" w:rsidRDefault="00000000">
            <w:pPr>
              <w:jc w:val="center"/>
              <w:rPr>
                <w:b/>
                <w:bCs/>
                <w:i/>
                <w:iCs/>
                <w:sz w:val="24"/>
                <w:szCs w:val="24"/>
              </w:rPr>
            </w:pPr>
            <w:r>
              <w:rPr>
                <w:b/>
                <w:bCs/>
                <w:i/>
                <w:iCs/>
                <w:sz w:val="24"/>
                <w:szCs w:val="24"/>
              </w:rPr>
              <w:t>4 fluxuri</w:t>
            </w:r>
          </w:p>
        </w:tc>
      </w:tr>
    </w:tbl>
    <w:p w14:paraId="7CAE00C3" w14:textId="77777777" w:rsidR="001C08A5" w:rsidRDefault="00000000">
      <w:pPr>
        <w:pStyle w:val="Heading6"/>
        <w:rPr>
          <w:i/>
          <w:iCs/>
          <w:lang w:val="en-US"/>
        </w:rPr>
      </w:pPr>
      <w:bookmarkStart w:id="6942" w:name="_Toc12299"/>
      <w:bookmarkStart w:id="6943" w:name="_Toc18416"/>
      <w:bookmarkStart w:id="6944" w:name="_Toc15022"/>
      <w:bookmarkStart w:id="6945" w:name="_Toc24824"/>
      <w:bookmarkStart w:id="6946" w:name="_Toc4355"/>
      <w:bookmarkStart w:id="6947" w:name="_Toc18376"/>
      <w:bookmarkStart w:id="6948" w:name="_Toc29263"/>
      <w:bookmarkStart w:id="6949" w:name="_Toc12213"/>
      <w:bookmarkStart w:id="6950" w:name="_Toc12088"/>
      <w:bookmarkStart w:id="6951" w:name="_Toc28966"/>
      <w:bookmarkStart w:id="6952" w:name="_Toc27814"/>
      <w:bookmarkStart w:id="6953" w:name="_Toc16383"/>
      <w:bookmarkStart w:id="6954" w:name="_Toc16733"/>
      <w:bookmarkStart w:id="6955" w:name="_Toc162355413"/>
      <w:r>
        <w:rPr>
          <w:i/>
          <w:iCs/>
          <w:lang w:val="en-US"/>
        </w:rPr>
        <w:lastRenderedPageBreak/>
        <w:t>Puț protejat de acces și intervenție a pompierilor</w:t>
      </w:r>
      <w:bookmarkEnd w:id="6849"/>
      <w:bookmarkEnd w:id="6926"/>
      <w:bookmarkEnd w:id="6927"/>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p>
    <w:p w14:paraId="3A602569" w14:textId="77777777" w:rsidR="001C08A5" w:rsidRDefault="00000000">
      <w:pPr>
        <w:numPr>
          <w:ilvl w:val="0"/>
          <w:numId w:val="96"/>
        </w:numPr>
        <w:tabs>
          <w:tab w:val="left" w:pos="426"/>
          <w:tab w:val="left" w:pos="993"/>
        </w:tabs>
        <w:jc w:val="both"/>
        <w:rPr>
          <w:rFonts w:eastAsia="Times New Roman"/>
          <w:b/>
          <w:i/>
          <w:sz w:val="24"/>
        </w:rPr>
      </w:pPr>
      <w:r>
        <w:rPr>
          <w:bCs/>
          <w:i/>
          <w:sz w:val="24"/>
          <w:szCs w:val="24"/>
        </w:rPr>
        <w:t xml:space="preserve"> La construcțiile cu înalțimea mai mare sau egală de</w:t>
      </w:r>
      <w:r>
        <w:rPr>
          <w:b/>
          <w:bCs/>
          <w:i/>
          <w:sz w:val="24"/>
          <w:szCs w:val="24"/>
        </w:rPr>
        <w:t xml:space="preserve"> 75 m</w:t>
      </w:r>
      <w:r>
        <w:rPr>
          <w:bCs/>
          <w:i/>
          <w:sz w:val="24"/>
          <w:szCs w:val="24"/>
        </w:rPr>
        <w:t xml:space="preserve"> se prevede obligatoriu ca cel puțin un ascensor de intervenție să fie prevazut cu acces din încăperea tampon aferentă casei de scară destinată numai intervenției pompierilor.</w:t>
      </w:r>
    </w:p>
    <w:p w14:paraId="15880EA1" w14:textId="77777777" w:rsidR="001C08A5" w:rsidRDefault="001C08A5">
      <w:pPr>
        <w:numPr>
          <w:ilvl w:val="255"/>
          <w:numId w:val="0"/>
        </w:numPr>
        <w:tabs>
          <w:tab w:val="left" w:pos="426"/>
          <w:tab w:val="left" w:pos="993"/>
        </w:tabs>
        <w:jc w:val="both"/>
        <w:rPr>
          <w:rFonts w:eastAsia="Times New Roman"/>
          <w:b/>
          <w:i/>
          <w:sz w:val="24"/>
        </w:rPr>
      </w:pPr>
    </w:p>
    <w:p w14:paraId="1FA5F608"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„Puț protejat de acces și intervenție a pompierilor” se referă la o încăpere tampon ventilată în suprapresiune din care se accesează un ascensor de intervenție și care are acces direct către o scară protejată în scopul stingerii incendiilor (</w:t>
      </w:r>
      <w:r>
        <w:rPr>
          <w:bCs/>
          <w:i/>
          <w:sz w:val="24"/>
          <w:szCs w:val="24"/>
        </w:rPr>
        <w:t>destinată numai intervenției pompierilor</w:t>
      </w:r>
      <w:r>
        <w:rPr>
          <w:rFonts w:eastAsia="Times New Roman"/>
          <w:i/>
          <w:sz w:val="24"/>
        </w:rPr>
        <w:t xml:space="preserve">). Este obligatoriu la clădiri foarte înalte cu înălțimea mai mare de </w:t>
      </w:r>
      <w:r>
        <w:rPr>
          <w:rFonts w:eastAsia="Times New Roman"/>
          <w:b/>
          <w:bCs/>
          <w:i/>
          <w:sz w:val="24"/>
        </w:rPr>
        <w:t>75</w:t>
      </w:r>
      <w:r>
        <w:rPr>
          <w:rFonts w:eastAsia="Times New Roman"/>
          <w:i/>
          <w:sz w:val="24"/>
        </w:rPr>
        <w:t xml:space="preserve"> m și are caracter de recomandare la clădiri înalte și la clădiri foarte înalte cu înălțimea mai mică sau egală de </w:t>
      </w:r>
      <w:r>
        <w:rPr>
          <w:rFonts w:eastAsia="Times New Roman"/>
          <w:b/>
          <w:bCs/>
          <w:i/>
          <w:sz w:val="24"/>
        </w:rPr>
        <w:t>75</w:t>
      </w:r>
      <w:r>
        <w:rPr>
          <w:rFonts w:eastAsia="Times New Roman"/>
          <w:i/>
          <w:sz w:val="24"/>
        </w:rPr>
        <w:t xml:space="preserve"> m precum și la clădiri spitalicești cu înălțimea mai mare de </w:t>
      </w:r>
      <w:r>
        <w:rPr>
          <w:rFonts w:eastAsia="Times New Roman"/>
          <w:b/>
          <w:bCs/>
          <w:i/>
          <w:sz w:val="24"/>
        </w:rPr>
        <w:t>4</w:t>
      </w:r>
      <w:r>
        <w:rPr>
          <w:rFonts w:eastAsia="Times New Roman"/>
          <w:i/>
          <w:sz w:val="24"/>
        </w:rPr>
        <w:t xml:space="preserve"> niveluri supraterane cu utilizatori care nu se pot evacua singuri și la alte tipuri/ funcțiuni de clădiri. </w:t>
      </w:r>
    </w:p>
    <w:p w14:paraId="3CDC4595" w14:textId="77777777" w:rsidR="001C08A5" w:rsidRDefault="001C08A5">
      <w:pPr>
        <w:numPr>
          <w:ilvl w:val="255"/>
          <w:numId w:val="0"/>
        </w:numPr>
        <w:tabs>
          <w:tab w:val="left" w:pos="426"/>
          <w:tab w:val="left" w:pos="993"/>
        </w:tabs>
        <w:jc w:val="both"/>
        <w:rPr>
          <w:rFonts w:eastAsia="Times New Roman"/>
          <w:b/>
          <w:i/>
          <w:sz w:val="24"/>
        </w:rPr>
      </w:pPr>
    </w:p>
    <w:p w14:paraId="69663334"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Podeaua încăperii tampon ventilată în suprapresiune trebuie să fie gradată de la ușa  ascensorului spre ușa/ ușile încăperii tampon ventilate în suprapresiune, cu o pantă de maximum </w:t>
      </w:r>
      <w:r>
        <w:rPr>
          <w:rFonts w:eastAsia="Times New Roman"/>
          <w:b/>
          <w:i/>
          <w:sz w:val="24"/>
        </w:rPr>
        <w:t>1: 200</w:t>
      </w:r>
      <w:r>
        <w:rPr>
          <w:rFonts w:eastAsia="Times New Roman"/>
          <w:i/>
          <w:sz w:val="24"/>
        </w:rPr>
        <w:t xml:space="preserve"> pentru a preveni scurgerea apei în puțul liftului. Încăperea tampon ventilată în suprapresiune oferă o zonă tampon pentru a preveni intrarea fumului în scara protejată. Aceasta acționează ca o zonă de lucru pentru pompieri în desfășurarea operațiunilor de stingere a incendiilor și este necesar să se limiteze dimensiunea la max. </w:t>
      </w:r>
      <w:r>
        <w:rPr>
          <w:rFonts w:eastAsia="Times New Roman"/>
          <w:b/>
          <w:bCs/>
          <w:i/>
          <w:sz w:val="24"/>
        </w:rPr>
        <w:t>10 m</w:t>
      </w:r>
      <w:r>
        <w:rPr>
          <w:rFonts w:eastAsia="Times New Roman"/>
          <w:b/>
          <w:bCs/>
          <w:i/>
          <w:sz w:val="24"/>
          <w:vertAlign w:val="superscript"/>
        </w:rPr>
        <w:t>2</w:t>
      </w:r>
      <w:r>
        <w:rPr>
          <w:rFonts w:eastAsia="Times New Roman"/>
          <w:i/>
          <w:sz w:val="24"/>
        </w:rPr>
        <w:t> pentru a preveni utilizarea încăperii tampon ventilată în suprapresiune în alte scopuri. </w:t>
      </w:r>
    </w:p>
    <w:p w14:paraId="10C73613" w14:textId="77777777" w:rsidR="001C08A5" w:rsidRDefault="00000000">
      <w:pPr>
        <w:ind w:left="1440" w:firstLine="720"/>
        <w:jc w:val="both"/>
        <w:rPr>
          <w:rFonts w:eastAsia="Times New Roman"/>
          <w:i/>
          <w:sz w:val="24"/>
          <w:szCs w:val="24"/>
        </w:rPr>
      </w:pPr>
      <w:r>
        <w:rPr>
          <w:rFonts w:eastAsia="Times New Roman"/>
          <w:i/>
          <w:sz w:val="24"/>
          <w:szCs w:val="24"/>
        </w:rPr>
        <w:t xml:space="preserve">1). Puțul trebuie protejat integral minimum </w:t>
      </w:r>
      <w:r>
        <w:rPr>
          <w:rFonts w:eastAsia="Times New Roman"/>
          <w:b/>
          <w:bCs/>
          <w:i/>
          <w:sz w:val="24"/>
          <w:szCs w:val="24"/>
        </w:rPr>
        <w:t xml:space="preserve">REI 240 </w:t>
      </w:r>
      <w:r>
        <w:rPr>
          <w:rFonts w:eastAsia="Times New Roman"/>
          <w:bCs/>
          <w:i/>
          <w:sz w:val="24"/>
          <w:szCs w:val="24"/>
        </w:rPr>
        <w:t xml:space="preserve">la clădiri foarte înalte cu înălțimea mai mare de </w:t>
      </w:r>
      <w:r>
        <w:rPr>
          <w:rFonts w:eastAsia="Times New Roman"/>
          <w:b/>
          <w:bCs/>
          <w:i/>
          <w:sz w:val="24"/>
          <w:szCs w:val="24"/>
        </w:rPr>
        <w:t>75</w:t>
      </w:r>
      <w:r>
        <w:rPr>
          <w:rFonts w:eastAsia="Times New Roman"/>
          <w:b/>
          <w:i/>
          <w:sz w:val="24"/>
          <w:szCs w:val="24"/>
        </w:rPr>
        <w:t xml:space="preserve"> m</w:t>
      </w:r>
      <w:r>
        <w:rPr>
          <w:rFonts w:eastAsia="Times New Roman"/>
          <w:i/>
          <w:sz w:val="24"/>
          <w:szCs w:val="24"/>
        </w:rPr>
        <w:t xml:space="preserve"> (sau </w:t>
      </w:r>
      <w:r>
        <w:rPr>
          <w:rFonts w:eastAsia="Times New Roman"/>
          <w:b/>
          <w:bCs/>
          <w:i/>
          <w:sz w:val="24"/>
          <w:szCs w:val="24"/>
        </w:rPr>
        <w:t>REI 180/ REI 120</w:t>
      </w:r>
      <w:r>
        <w:rPr>
          <w:rFonts w:eastAsia="Times New Roman"/>
          <w:i/>
          <w:sz w:val="24"/>
          <w:szCs w:val="24"/>
        </w:rPr>
        <w:t xml:space="preserve"> dacă se prevede la alte tipuri/ funcțiuni de clădiri), protecția implicând ascensorul, încăperea tampon ventilată în suprapresiune și scara protejată.</w:t>
      </w:r>
    </w:p>
    <w:p w14:paraId="457224C2" w14:textId="77777777" w:rsidR="001C08A5" w:rsidRDefault="00000000">
      <w:pPr>
        <w:ind w:left="1440" w:firstLine="720"/>
        <w:jc w:val="both"/>
        <w:rPr>
          <w:rFonts w:eastAsia="Times New Roman"/>
          <w:i/>
          <w:sz w:val="24"/>
          <w:szCs w:val="24"/>
        </w:rPr>
      </w:pPr>
      <w:r>
        <w:rPr>
          <w:rFonts w:eastAsia="Times New Roman"/>
          <w:i/>
          <w:sz w:val="24"/>
          <w:szCs w:val="24"/>
        </w:rPr>
        <w:t xml:space="preserve">2) Scara trebuie conformată ca scară de intervenție ce se presurizează conform </w:t>
      </w:r>
      <w:r>
        <w:rPr>
          <w:rFonts w:eastAsia="Times New Roman"/>
          <w:b/>
          <w:bCs/>
          <w:i/>
          <w:sz w:val="24"/>
          <w:szCs w:val="24"/>
        </w:rPr>
        <w:t>SR EN 12101-13</w:t>
      </w:r>
      <w:r>
        <w:rPr>
          <w:rFonts w:eastAsia="Times New Roman"/>
          <w:i/>
          <w:sz w:val="24"/>
          <w:szCs w:val="24"/>
        </w:rPr>
        <w:t>, cu clasa de presurizare necesară intervenției (aceasta putând necesita uși deschise în timpul intervenției).</w:t>
      </w:r>
    </w:p>
    <w:p w14:paraId="46F9069C" w14:textId="77777777" w:rsidR="001C08A5" w:rsidRDefault="00000000">
      <w:pPr>
        <w:ind w:left="1440" w:firstLine="720"/>
        <w:jc w:val="both"/>
        <w:rPr>
          <w:rFonts w:eastAsia="Times New Roman"/>
          <w:i/>
          <w:sz w:val="24"/>
          <w:szCs w:val="24"/>
        </w:rPr>
      </w:pPr>
      <w:r>
        <w:rPr>
          <w:rFonts w:eastAsia="Times New Roman"/>
          <w:i/>
          <w:sz w:val="24"/>
          <w:szCs w:val="24"/>
        </w:rPr>
        <w:t xml:space="preserve">3) În cazul în care ascensorul este folosit doar pentru accesul forțelor de intervenție, lățimea liberă a rampei scării și cea a ușilor de acces către aceasta au dimensiunile libere de min </w:t>
      </w:r>
      <w:r>
        <w:rPr>
          <w:rFonts w:eastAsia="Times New Roman"/>
          <w:b/>
          <w:bCs/>
          <w:i/>
          <w:sz w:val="24"/>
          <w:szCs w:val="24"/>
        </w:rPr>
        <w:t>90</w:t>
      </w:r>
      <w:r>
        <w:rPr>
          <w:rFonts w:eastAsia="Times New Roman"/>
          <w:i/>
          <w:sz w:val="24"/>
          <w:szCs w:val="24"/>
        </w:rPr>
        <w:t xml:space="preserve"> cm, iar ușa de la ascensorul de intervenție are dimensiunile libere de min </w:t>
      </w:r>
      <w:r>
        <w:rPr>
          <w:rFonts w:eastAsia="Times New Roman"/>
          <w:b/>
          <w:bCs/>
          <w:i/>
          <w:sz w:val="24"/>
          <w:szCs w:val="24"/>
        </w:rPr>
        <w:t>80</w:t>
      </w:r>
      <w:r>
        <w:rPr>
          <w:rFonts w:eastAsia="Times New Roman"/>
          <w:i/>
          <w:sz w:val="24"/>
          <w:szCs w:val="24"/>
        </w:rPr>
        <w:t xml:space="preserve"> cm .</w:t>
      </w:r>
    </w:p>
    <w:p w14:paraId="5A7F6A3C" w14:textId="77777777" w:rsidR="001C08A5" w:rsidRDefault="001C08A5">
      <w:pPr>
        <w:jc w:val="both"/>
        <w:rPr>
          <w:i/>
          <w:iCs/>
          <w:sz w:val="24"/>
          <w:szCs w:val="24"/>
        </w:rPr>
      </w:pPr>
    </w:p>
    <w:p w14:paraId="651B5849" w14:textId="77777777" w:rsidR="001C08A5" w:rsidRDefault="00000000">
      <w:pPr>
        <w:numPr>
          <w:ilvl w:val="0"/>
          <w:numId w:val="96"/>
        </w:numPr>
        <w:tabs>
          <w:tab w:val="left" w:pos="426"/>
          <w:tab w:val="left" w:pos="993"/>
        </w:tabs>
        <w:jc w:val="both"/>
        <w:rPr>
          <w:rFonts w:eastAsia="Times New Roman"/>
          <w:b/>
          <w:bCs/>
          <w:i/>
          <w:sz w:val="24"/>
          <w:szCs w:val="24"/>
        </w:rPr>
      </w:pPr>
      <w:r>
        <w:rPr>
          <w:bCs/>
          <w:i/>
          <w:iCs/>
          <w:sz w:val="24"/>
          <w:szCs w:val="24"/>
        </w:rPr>
        <w:t xml:space="preserve">Ascensorul trebuie proiectat astfel încât pentru a functiona corect în condițiile prevăzute de SR </w:t>
      </w:r>
      <w:r>
        <w:rPr>
          <w:b/>
          <w:i/>
          <w:iCs/>
          <w:sz w:val="24"/>
          <w:szCs w:val="24"/>
        </w:rPr>
        <w:t>EN 81-72</w:t>
      </w:r>
      <w:r>
        <w:rPr>
          <w:bCs/>
          <w:i/>
          <w:iCs/>
          <w:sz w:val="24"/>
          <w:szCs w:val="24"/>
        </w:rPr>
        <w:t>. Echipamentul electric din puțul ascensorului de pompieri și de pe cabină situat pâna la 1,0 m de un perete care conține o ușă de palier trebuie protejat împotriva picăturilor și stropilor de apă sau trebuie echipat cu carcase cu o protecție de cel puțin IP X3 conform EN 60529. Întregul echipament electric situat la mai puțin de 1,0 m de planșeul fundăturii trebuie sa aibă un grad de protecție de IP 67. Echipamentul situat în spațiul mașinilor din exteriorul puțului și din fundatură trebuie protejat împotriva disfuncționalităților provocate de apă. Puțul trebuie echipat cu mijloace corespunzătoare pentru ca nivelul apei să nu urce deasupra nivelului tampoanelor complet comprimate ale cabinei. Trebuie furnizate mijloace pentru a împiedica ca nivelul apei din fundatură să ajungă la un echipament care ar putea crea o disfuncționalitate ascensorului de pompieri.</w:t>
      </w:r>
    </w:p>
    <w:p w14:paraId="6516D636" w14:textId="77777777" w:rsidR="001C08A5" w:rsidRDefault="00000000">
      <w:pPr>
        <w:suppressLineNumbers/>
        <w:spacing w:before="120" w:after="120"/>
        <w:jc w:val="center"/>
        <w:rPr>
          <w:rFonts w:cs="Mangal"/>
          <w:b/>
          <w:i/>
          <w:iCs/>
          <w:sz w:val="24"/>
          <w:szCs w:val="24"/>
        </w:rPr>
      </w:pPr>
      <w:bookmarkStart w:id="6956" w:name="_Toc142898525"/>
      <w:bookmarkStart w:id="6957" w:name="_Toc16684"/>
      <w:bookmarkStart w:id="6958" w:name="_Toc19541"/>
      <w:r>
        <w:rPr>
          <w:rFonts w:cs="Mangal"/>
          <w:b/>
          <w:i/>
          <w:iCs/>
          <w:noProof/>
          <w:sz w:val="24"/>
          <w:szCs w:val="24"/>
        </w:rPr>
        <w:lastRenderedPageBreak/>
        <w:drawing>
          <wp:inline distT="0" distB="0" distL="114300" distR="114300" wp14:anchorId="3EBC5756" wp14:editId="5A6F5469">
            <wp:extent cx="2447290" cy="2610485"/>
            <wp:effectExtent l="0" t="0" r="10160" b="18415"/>
            <wp:docPr id="2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0"/>
                    <pic:cNvPicPr>
                      <a:picLocks noChangeAspect="1"/>
                    </pic:cNvPicPr>
                  </pic:nvPicPr>
                  <pic:blipFill>
                    <a:blip r:embed="rId305"/>
                    <a:srcRect l="39059" t="11385" r="28519" b="40510"/>
                    <a:stretch>
                      <a:fillRect/>
                    </a:stretch>
                  </pic:blipFill>
                  <pic:spPr>
                    <a:xfrm>
                      <a:off x="0" y="0"/>
                      <a:ext cx="2447290" cy="2610485"/>
                    </a:xfrm>
                    <a:prstGeom prst="rect">
                      <a:avLst/>
                    </a:prstGeom>
                    <a:noFill/>
                    <a:ln>
                      <a:noFill/>
                    </a:ln>
                  </pic:spPr>
                </pic:pic>
              </a:graphicData>
            </a:graphic>
          </wp:inline>
        </w:drawing>
      </w:r>
    </w:p>
    <w:p w14:paraId="3824D2D3" w14:textId="77777777" w:rsidR="001C08A5" w:rsidRDefault="00000000">
      <w:pPr>
        <w:pStyle w:val="Caption"/>
        <w:jc w:val="center"/>
      </w:pPr>
      <w:bookmarkStart w:id="6959" w:name="_Toc162360365"/>
      <w:r>
        <w:t xml:space="preserve">Figura </w:t>
      </w:r>
      <w:r>
        <w:fldChar w:fldCharType="begin"/>
      </w:r>
      <w:r>
        <w:instrText xml:space="preserve"> SEQ Figura \* ARABIC </w:instrText>
      </w:r>
      <w:r>
        <w:fldChar w:fldCharType="separate"/>
      </w:r>
      <w:r>
        <w:t>141</w:t>
      </w:r>
      <w:r>
        <w:fldChar w:fldCharType="end"/>
      </w:r>
      <w:bookmarkStart w:id="6960" w:name="_Toc7852"/>
      <w:bookmarkStart w:id="6961" w:name="_Toc24681"/>
      <w:bookmarkStart w:id="6962" w:name="_Toc2204"/>
      <w:bookmarkStart w:id="6963" w:name="_Toc25720"/>
      <w:bookmarkStart w:id="6964" w:name="_Toc4922"/>
      <w:bookmarkStart w:id="6965" w:name="_Toc22073"/>
      <w:bookmarkStart w:id="6966" w:name="_Toc2643"/>
      <w:bookmarkStart w:id="6967" w:name="_Toc24596"/>
      <w:bookmarkStart w:id="6968" w:name="_Toc22522"/>
      <w:r>
        <w:t xml:space="preserve"> - Puț protejat de acces și intervenție a pompierilor</w:t>
      </w:r>
      <w:bookmarkEnd w:id="6956"/>
      <w:bookmarkEnd w:id="6957"/>
      <w:bookmarkEnd w:id="6958"/>
      <w:bookmarkEnd w:id="6959"/>
      <w:bookmarkEnd w:id="6960"/>
      <w:bookmarkEnd w:id="6961"/>
      <w:bookmarkEnd w:id="6962"/>
      <w:bookmarkEnd w:id="6963"/>
      <w:bookmarkEnd w:id="6964"/>
      <w:bookmarkEnd w:id="6965"/>
      <w:bookmarkEnd w:id="6966"/>
      <w:bookmarkEnd w:id="6967"/>
      <w:bookmarkEnd w:id="69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4"/>
        <w:gridCol w:w="4675"/>
      </w:tblGrid>
      <w:tr w:rsidR="001C08A5" w14:paraId="0349ED22" w14:textId="77777777">
        <w:trPr>
          <w:trHeight w:val="5601"/>
        </w:trPr>
        <w:tc>
          <w:tcPr>
            <w:tcW w:w="9855" w:type="dxa"/>
            <w:gridSpan w:val="2"/>
          </w:tcPr>
          <w:p w14:paraId="77B8B022" w14:textId="77777777" w:rsidR="001C08A5" w:rsidRDefault="00000000">
            <w:pPr>
              <w:jc w:val="center"/>
              <w:rPr>
                <w:i/>
                <w:iCs/>
                <w:sz w:val="24"/>
                <w:szCs w:val="24"/>
              </w:rPr>
            </w:pPr>
            <w:r>
              <w:rPr>
                <w:noProof/>
                <w:lang w:eastAsia="ro-RO"/>
              </w:rPr>
              <w:drawing>
                <wp:inline distT="0" distB="0" distL="114300" distR="114300" wp14:anchorId="7C0615A2" wp14:editId="1078F1B9">
                  <wp:extent cx="2379345" cy="3482975"/>
                  <wp:effectExtent l="0" t="0" r="1905" b="317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pic:cNvPicPr>
                            <a:picLocks noChangeAspect="1"/>
                          </pic:cNvPicPr>
                        </pic:nvPicPr>
                        <pic:blipFill>
                          <a:blip r:embed="rId203"/>
                          <a:srcRect l="52558" t="3965" r="15918" b="3492"/>
                          <a:stretch>
                            <a:fillRect/>
                          </a:stretch>
                        </pic:blipFill>
                        <pic:spPr>
                          <a:xfrm>
                            <a:off x="0" y="0"/>
                            <a:ext cx="2379345" cy="3482975"/>
                          </a:xfrm>
                          <a:prstGeom prst="rect">
                            <a:avLst/>
                          </a:prstGeom>
                          <a:noFill/>
                          <a:ln>
                            <a:noFill/>
                          </a:ln>
                        </pic:spPr>
                      </pic:pic>
                    </a:graphicData>
                  </a:graphic>
                </wp:inline>
              </w:drawing>
            </w:r>
          </w:p>
        </w:tc>
      </w:tr>
      <w:tr w:rsidR="001C08A5" w14:paraId="3DEF3994" w14:textId="77777777">
        <w:trPr>
          <w:trHeight w:val="184"/>
        </w:trPr>
        <w:tc>
          <w:tcPr>
            <w:tcW w:w="5076" w:type="dxa"/>
          </w:tcPr>
          <w:p w14:paraId="461AF0AA" w14:textId="77777777" w:rsidR="001C08A5" w:rsidRDefault="00000000">
            <w:pPr>
              <w:ind w:firstLine="720"/>
              <w:rPr>
                <w:i/>
                <w:iCs/>
                <w:sz w:val="22"/>
                <w:szCs w:val="22"/>
              </w:rPr>
            </w:pPr>
            <w:r>
              <w:rPr>
                <w:i/>
                <w:iCs/>
                <w:sz w:val="22"/>
                <w:szCs w:val="22"/>
              </w:rPr>
              <w:t xml:space="preserve">Pentru înălțimea </w:t>
            </w:r>
            <w:r>
              <w:rPr>
                <w:b/>
                <w:bCs/>
                <w:i/>
                <w:iCs/>
                <w:sz w:val="22"/>
                <w:szCs w:val="22"/>
              </w:rPr>
              <w:t>mai mică de 75 m</w:t>
            </w:r>
            <w:r>
              <w:rPr>
                <w:i/>
                <w:iCs/>
                <w:sz w:val="22"/>
                <w:szCs w:val="22"/>
              </w:rPr>
              <w:t xml:space="preserve"> (recomandabil) în partea supraterană vor îndeplini următoarele condiții:</w:t>
            </w:r>
          </w:p>
          <w:p w14:paraId="128F9642" w14:textId="77777777" w:rsidR="001C08A5" w:rsidRDefault="00000000">
            <w:pPr>
              <w:ind w:firstLineChars="150" w:firstLine="331"/>
              <w:rPr>
                <w:b/>
                <w:i/>
                <w:iCs/>
                <w:sz w:val="22"/>
                <w:szCs w:val="22"/>
              </w:rPr>
            </w:pPr>
            <w:r>
              <w:rPr>
                <w:b/>
                <w:bCs/>
                <w:i/>
                <w:iCs/>
                <w:sz w:val="22"/>
                <w:szCs w:val="22"/>
              </w:rPr>
              <w:t>D</w:t>
            </w:r>
            <w:r>
              <w:rPr>
                <w:i/>
                <w:iCs/>
                <w:sz w:val="22"/>
                <w:szCs w:val="22"/>
              </w:rPr>
              <w:t xml:space="preserve"> - ușă </w:t>
            </w:r>
            <w:r>
              <w:rPr>
                <w:b/>
                <w:i/>
                <w:iCs/>
                <w:sz w:val="22"/>
                <w:szCs w:val="22"/>
              </w:rPr>
              <w:t xml:space="preserve">EI 120, </w:t>
            </w:r>
            <w:r>
              <w:rPr>
                <w:rFonts w:eastAsia="Times New Roman"/>
                <w:i/>
                <w:iCs/>
                <w:sz w:val="22"/>
                <w:szCs w:val="22"/>
              </w:rPr>
              <w:t xml:space="preserve">dimensiune liberă de min </w:t>
            </w:r>
            <w:r>
              <w:rPr>
                <w:rFonts w:eastAsia="Times New Roman"/>
                <w:b/>
                <w:bCs/>
                <w:i/>
                <w:iCs/>
                <w:sz w:val="22"/>
                <w:szCs w:val="22"/>
              </w:rPr>
              <w:t>80</w:t>
            </w:r>
            <w:r>
              <w:rPr>
                <w:rFonts w:eastAsia="Times New Roman"/>
                <w:i/>
                <w:iCs/>
                <w:sz w:val="22"/>
                <w:szCs w:val="22"/>
              </w:rPr>
              <w:t xml:space="preserve"> cm</w:t>
            </w:r>
          </w:p>
          <w:p w14:paraId="29842D0E" w14:textId="77777777" w:rsidR="001C08A5" w:rsidRDefault="00000000">
            <w:pPr>
              <w:ind w:firstLineChars="150" w:firstLine="331"/>
              <w:jc w:val="left"/>
              <w:rPr>
                <w:b/>
                <w:bCs/>
                <w:i/>
                <w:iCs/>
                <w:sz w:val="22"/>
                <w:szCs w:val="22"/>
                <w:vertAlign w:val="subscript"/>
              </w:rPr>
            </w:pPr>
            <w:r>
              <w:rPr>
                <w:b/>
                <w:bCs/>
                <w:i/>
                <w:iCs/>
                <w:sz w:val="22"/>
                <w:szCs w:val="22"/>
              </w:rPr>
              <w:t>A</w:t>
            </w:r>
            <w:r>
              <w:rPr>
                <w:i/>
                <w:iCs/>
                <w:sz w:val="22"/>
                <w:szCs w:val="22"/>
              </w:rPr>
              <w:t xml:space="preserve"> - ușă </w:t>
            </w:r>
            <w:r>
              <w:rPr>
                <w:b/>
                <w:i/>
                <w:iCs/>
                <w:sz w:val="22"/>
                <w:szCs w:val="22"/>
              </w:rPr>
              <w:t>EI</w:t>
            </w:r>
            <w:r>
              <w:rPr>
                <w:b/>
                <w:i/>
                <w:iCs/>
                <w:sz w:val="22"/>
                <w:szCs w:val="22"/>
                <w:vertAlign w:val="subscript"/>
              </w:rPr>
              <w:t>2</w:t>
            </w:r>
            <w:r>
              <w:rPr>
                <w:b/>
                <w:i/>
                <w:iCs/>
                <w:sz w:val="22"/>
                <w:szCs w:val="22"/>
              </w:rPr>
              <w:t>60-C5S</w:t>
            </w:r>
            <w:r>
              <w:rPr>
                <w:b/>
                <w:bCs/>
                <w:i/>
                <w:iCs/>
                <w:sz w:val="22"/>
                <w:szCs w:val="22"/>
                <w:vertAlign w:val="subscript"/>
              </w:rPr>
              <w:t>200</w:t>
            </w:r>
            <w:r>
              <w:rPr>
                <w:b/>
                <w:i/>
                <w:iCs/>
                <w:sz w:val="22"/>
                <w:szCs w:val="22"/>
              </w:rPr>
              <w:t xml:space="preserve">, </w:t>
            </w:r>
            <w:r>
              <w:rPr>
                <w:rFonts w:eastAsia="Times New Roman"/>
                <w:i/>
                <w:iCs/>
                <w:sz w:val="22"/>
                <w:szCs w:val="22"/>
              </w:rPr>
              <w:t xml:space="preserve">dimensiune liberă de min </w:t>
            </w:r>
            <w:r>
              <w:rPr>
                <w:rFonts w:eastAsia="Times New Roman"/>
                <w:b/>
                <w:bCs/>
                <w:i/>
                <w:iCs/>
                <w:sz w:val="22"/>
                <w:szCs w:val="22"/>
              </w:rPr>
              <w:t>90</w:t>
            </w:r>
            <w:r>
              <w:rPr>
                <w:rFonts w:eastAsia="Times New Roman"/>
                <w:i/>
                <w:iCs/>
                <w:sz w:val="22"/>
                <w:szCs w:val="22"/>
              </w:rPr>
              <w:t xml:space="preserve"> cm</w:t>
            </w:r>
          </w:p>
          <w:p w14:paraId="4EC14C13" w14:textId="77777777" w:rsidR="001C08A5" w:rsidRDefault="00000000">
            <w:pPr>
              <w:ind w:firstLineChars="150" w:firstLine="331"/>
              <w:jc w:val="left"/>
              <w:rPr>
                <w:b/>
                <w:bCs/>
                <w:i/>
                <w:iCs/>
                <w:sz w:val="22"/>
                <w:szCs w:val="22"/>
                <w:vertAlign w:val="subscript"/>
              </w:rPr>
            </w:pPr>
            <w:r>
              <w:rPr>
                <w:b/>
                <w:bCs/>
                <w:i/>
                <w:iCs/>
                <w:sz w:val="22"/>
                <w:szCs w:val="22"/>
              </w:rPr>
              <w:t>B</w:t>
            </w:r>
            <w:r>
              <w:rPr>
                <w:i/>
                <w:iCs/>
                <w:sz w:val="22"/>
                <w:szCs w:val="22"/>
              </w:rPr>
              <w:t xml:space="preserve"> - ușă </w:t>
            </w:r>
            <w:r>
              <w:rPr>
                <w:b/>
                <w:i/>
                <w:iCs/>
                <w:sz w:val="22"/>
                <w:szCs w:val="22"/>
              </w:rPr>
              <w:t>EI</w:t>
            </w:r>
            <w:r>
              <w:rPr>
                <w:b/>
                <w:i/>
                <w:iCs/>
                <w:sz w:val="22"/>
                <w:szCs w:val="22"/>
                <w:vertAlign w:val="subscript"/>
              </w:rPr>
              <w:t xml:space="preserve">2 </w:t>
            </w:r>
            <w:r>
              <w:rPr>
                <w:b/>
                <w:i/>
                <w:iCs/>
                <w:sz w:val="22"/>
                <w:szCs w:val="22"/>
              </w:rPr>
              <w:t>120-C5S</w:t>
            </w:r>
            <w:r>
              <w:rPr>
                <w:b/>
                <w:bCs/>
                <w:i/>
                <w:iCs/>
                <w:sz w:val="22"/>
                <w:szCs w:val="22"/>
                <w:vertAlign w:val="subscript"/>
              </w:rPr>
              <w:t>200</w:t>
            </w:r>
            <w:r>
              <w:rPr>
                <w:b/>
                <w:i/>
                <w:iCs/>
                <w:sz w:val="22"/>
                <w:szCs w:val="22"/>
              </w:rPr>
              <w:t xml:space="preserve">, </w:t>
            </w:r>
            <w:r>
              <w:rPr>
                <w:rFonts w:eastAsia="Times New Roman"/>
                <w:i/>
                <w:iCs/>
                <w:sz w:val="22"/>
                <w:szCs w:val="22"/>
              </w:rPr>
              <w:t xml:space="preserve">dimensiune liberă de min </w:t>
            </w:r>
            <w:r>
              <w:rPr>
                <w:rFonts w:eastAsia="Times New Roman"/>
                <w:b/>
                <w:bCs/>
                <w:i/>
                <w:iCs/>
                <w:sz w:val="22"/>
                <w:szCs w:val="22"/>
              </w:rPr>
              <w:t>90</w:t>
            </w:r>
            <w:r>
              <w:rPr>
                <w:rFonts w:eastAsia="Times New Roman"/>
                <w:i/>
                <w:iCs/>
                <w:sz w:val="22"/>
                <w:szCs w:val="22"/>
              </w:rPr>
              <w:t xml:space="preserve"> cm</w:t>
            </w:r>
          </w:p>
          <w:p w14:paraId="68905482" w14:textId="77777777" w:rsidR="001C08A5" w:rsidRDefault="001C08A5">
            <w:pPr>
              <w:ind w:firstLine="720"/>
              <w:rPr>
                <w:i/>
                <w:iCs/>
                <w:sz w:val="22"/>
                <w:szCs w:val="22"/>
              </w:rPr>
            </w:pPr>
          </w:p>
          <w:p w14:paraId="0406F6BE" w14:textId="77777777" w:rsidR="001C08A5" w:rsidRDefault="00000000">
            <w:pPr>
              <w:ind w:firstLine="720"/>
              <w:rPr>
                <w:i/>
                <w:iCs/>
                <w:sz w:val="22"/>
                <w:szCs w:val="22"/>
              </w:rPr>
            </w:pPr>
            <w:r>
              <w:rPr>
                <w:i/>
                <w:iCs/>
                <w:sz w:val="22"/>
                <w:szCs w:val="22"/>
              </w:rPr>
              <w:t xml:space="preserve">Pentru înălțimea </w:t>
            </w:r>
            <w:r>
              <w:rPr>
                <w:b/>
                <w:bCs/>
                <w:i/>
                <w:iCs/>
                <w:sz w:val="22"/>
                <w:szCs w:val="22"/>
              </w:rPr>
              <w:t>mai mică de 75 m</w:t>
            </w:r>
            <w:r>
              <w:rPr>
                <w:i/>
                <w:iCs/>
                <w:sz w:val="22"/>
                <w:szCs w:val="22"/>
              </w:rPr>
              <w:t xml:space="preserve"> (recomandabil) în partea subterană vor îndeplini următoarele condiții:</w:t>
            </w:r>
          </w:p>
          <w:p w14:paraId="1A347FA3" w14:textId="77777777" w:rsidR="001C08A5" w:rsidRDefault="00000000">
            <w:pPr>
              <w:ind w:firstLineChars="150" w:firstLine="331"/>
              <w:jc w:val="left"/>
              <w:rPr>
                <w:b/>
                <w:i/>
                <w:iCs/>
                <w:sz w:val="22"/>
                <w:szCs w:val="22"/>
              </w:rPr>
            </w:pPr>
            <w:r>
              <w:rPr>
                <w:b/>
                <w:bCs/>
                <w:i/>
                <w:iCs/>
                <w:sz w:val="22"/>
                <w:szCs w:val="22"/>
              </w:rPr>
              <w:t>D</w:t>
            </w:r>
            <w:r>
              <w:rPr>
                <w:i/>
                <w:iCs/>
                <w:sz w:val="22"/>
                <w:szCs w:val="22"/>
              </w:rPr>
              <w:t xml:space="preserve"> - ușă </w:t>
            </w:r>
            <w:r>
              <w:rPr>
                <w:b/>
                <w:i/>
                <w:iCs/>
                <w:sz w:val="22"/>
                <w:szCs w:val="22"/>
              </w:rPr>
              <w:t xml:space="preserve">EI 120, </w:t>
            </w:r>
            <w:r>
              <w:rPr>
                <w:rFonts w:eastAsia="Times New Roman"/>
                <w:i/>
                <w:iCs/>
                <w:sz w:val="22"/>
                <w:szCs w:val="22"/>
              </w:rPr>
              <w:t xml:space="preserve">dimensiune liberă de min </w:t>
            </w:r>
            <w:r>
              <w:rPr>
                <w:rFonts w:eastAsia="Times New Roman"/>
                <w:b/>
                <w:bCs/>
                <w:i/>
                <w:iCs/>
                <w:sz w:val="22"/>
                <w:szCs w:val="22"/>
              </w:rPr>
              <w:t>80</w:t>
            </w:r>
            <w:r>
              <w:rPr>
                <w:rFonts w:eastAsia="Times New Roman"/>
                <w:i/>
                <w:iCs/>
                <w:sz w:val="22"/>
                <w:szCs w:val="22"/>
              </w:rPr>
              <w:t xml:space="preserve"> cm</w:t>
            </w:r>
          </w:p>
          <w:p w14:paraId="6B1154EC" w14:textId="77777777" w:rsidR="001C08A5" w:rsidRDefault="00000000">
            <w:pPr>
              <w:ind w:firstLineChars="150" w:firstLine="331"/>
              <w:jc w:val="left"/>
              <w:rPr>
                <w:b/>
                <w:bCs/>
                <w:i/>
                <w:iCs/>
                <w:sz w:val="22"/>
                <w:szCs w:val="22"/>
                <w:vertAlign w:val="subscript"/>
              </w:rPr>
            </w:pPr>
            <w:r>
              <w:rPr>
                <w:b/>
                <w:bCs/>
                <w:i/>
                <w:iCs/>
                <w:sz w:val="22"/>
                <w:szCs w:val="22"/>
              </w:rPr>
              <w:t>A</w:t>
            </w:r>
            <w:r>
              <w:rPr>
                <w:i/>
                <w:iCs/>
                <w:sz w:val="22"/>
                <w:szCs w:val="22"/>
              </w:rPr>
              <w:t xml:space="preserve"> - ușă </w:t>
            </w:r>
            <w:r>
              <w:rPr>
                <w:b/>
                <w:i/>
                <w:iCs/>
                <w:sz w:val="22"/>
                <w:szCs w:val="22"/>
              </w:rPr>
              <w:t>EI</w:t>
            </w:r>
            <w:r>
              <w:rPr>
                <w:b/>
                <w:i/>
                <w:iCs/>
                <w:sz w:val="22"/>
                <w:szCs w:val="22"/>
                <w:vertAlign w:val="subscript"/>
              </w:rPr>
              <w:t>2</w:t>
            </w:r>
            <w:r>
              <w:rPr>
                <w:b/>
                <w:i/>
                <w:iCs/>
                <w:sz w:val="22"/>
                <w:szCs w:val="22"/>
              </w:rPr>
              <w:t>90-C5S</w:t>
            </w:r>
            <w:r>
              <w:rPr>
                <w:b/>
                <w:bCs/>
                <w:i/>
                <w:iCs/>
                <w:sz w:val="22"/>
                <w:szCs w:val="22"/>
                <w:vertAlign w:val="subscript"/>
              </w:rPr>
              <w:t>200</w:t>
            </w:r>
            <w:r>
              <w:rPr>
                <w:b/>
                <w:i/>
                <w:iCs/>
                <w:sz w:val="22"/>
                <w:szCs w:val="22"/>
              </w:rPr>
              <w:t xml:space="preserve">, </w:t>
            </w:r>
            <w:r>
              <w:rPr>
                <w:rFonts w:eastAsia="Times New Roman"/>
                <w:i/>
                <w:iCs/>
                <w:sz w:val="22"/>
                <w:szCs w:val="22"/>
              </w:rPr>
              <w:t xml:space="preserve">dimensiune liberă de min </w:t>
            </w:r>
            <w:r>
              <w:rPr>
                <w:rFonts w:eastAsia="Times New Roman"/>
                <w:b/>
                <w:bCs/>
                <w:i/>
                <w:iCs/>
                <w:sz w:val="22"/>
                <w:szCs w:val="22"/>
              </w:rPr>
              <w:t>90</w:t>
            </w:r>
            <w:r>
              <w:rPr>
                <w:rFonts w:eastAsia="Times New Roman"/>
                <w:i/>
                <w:iCs/>
                <w:sz w:val="22"/>
                <w:szCs w:val="22"/>
              </w:rPr>
              <w:t xml:space="preserve"> cm</w:t>
            </w:r>
          </w:p>
          <w:p w14:paraId="12F3D13B" w14:textId="77777777" w:rsidR="001C08A5" w:rsidRDefault="00000000">
            <w:pPr>
              <w:ind w:firstLineChars="150" w:firstLine="331"/>
              <w:jc w:val="left"/>
              <w:rPr>
                <w:b/>
                <w:bCs/>
                <w:i/>
                <w:iCs/>
                <w:sz w:val="22"/>
                <w:szCs w:val="22"/>
                <w:vertAlign w:val="subscript"/>
              </w:rPr>
            </w:pPr>
            <w:r>
              <w:rPr>
                <w:b/>
                <w:bCs/>
                <w:i/>
                <w:iCs/>
                <w:sz w:val="22"/>
                <w:szCs w:val="22"/>
              </w:rPr>
              <w:t>B</w:t>
            </w:r>
            <w:r>
              <w:rPr>
                <w:i/>
                <w:iCs/>
                <w:sz w:val="22"/>
                <w:szCs w:val="22"/>
              </w:rPr>
              <w:t xml:space="preserve"> - ușă </w:t>
            </w:r>
            <w:r>
              <w:rPr>
                <w:b/>
                <w:i/>
                <w:iCs/>
                <w:sz w:val="22"/>
                <w:szCs w:val="22"/>
              </w:rPr>
              <w:t>EI</w:t>
            </w:r>
            <w:r>
              <w:rPr>
                <w:b/>
                <w:i/>
                <w:iCs/>
                <w:sz w:val="22"/>
                <w:szCs w:val="22"/>
                <w:vertAlign w:val="subscript"/>
              </w:rPr>
              <w:t xml:space="preserve">2 </w:t>
            </w:r>
            <w:r>
              <w:rPr>
                <w:b/>
                <w:i/>
                <w:iCs/>
                <w:sz w:val="22"/>
                <w:szCs w:val="22"/>
              </w:rPr>
              <w:t>120-C5S</w:t>
            </w:r>
            <w:r>
              <w:rPr>
                <w:b/>
                <w:bCs/>
                <w:i/>
                <w:iCs/>
                <w:sz w:val="22"/>
                <w:szCs w:val="22"/>
                <w:vertAlign w:val="subscript"/>
              </w:rPr>
              <w:t>200</w:t>
            </w:r>
            <w:r>
              <w:rPr>
                <w:b/>
                <w:i/>
                <w:iCs/>
                <w:sz w:val="22"/>
                <w:szCs w:val="22"/>
              </w:rPr>
              <w:t xml:space="preserve">, </w:t>
            </w:r>
            <w:r>
              <w:rPr>
                <w:rFonts w:eastAsia="Times New Roman"/>
                <w:i/>
                <w:iCs/>
                <w:sz w:val="22"/>
                <w:szCs w:val="22"/>
              </w:rPr>
              <w:t xml:space="preserve">dimensiune liberă de min </w:t>
            </w:r>
            <w:r>
              <w:rPr>
                <w:rFonts w:eastAsia="Times New Roman"/>
                <w:b/>
                <w:bCs/>
                <w:i/>
                <w:iCs/>
                <w:sz w:val="22"/>
                <w:szCs w:val="22"/>
              </w:rPr>
              <w:t>90</w:t>
            </w:r>
            <w:r>
              <w:rPr>
                <w:rFonts w:eastAsia="Times New Roman"/>
                <w:i/>
                <w:iCs/>
                <w:sz w:val="22"/>
                <w:szCs w:val="22"/>
              </w:rPr>
              <w:t xml:space="preserve"> cm</w:t>
            </w:r>
          </w:p>
          <w:p w14:paraId="2EAE82B3" w14:textId="77777777" w:rsidR="001C08A5" w:rsidRDefault="001C08A5">
            <w:pPr>
              <w:ind w:firstLine="720"/>
              <w:jc w:val="left"/>
              <w:rPr>
                <w:lang w:eastAsia="ro-RO"/>
              </w:rPr>
            </w:pPr>
          </w:p>
        </w:tc>
        <w:tc>
          <w:tcPr>
            <w:tcW w:w="4779" w:type="dxa"/>
          </w:tcPr>
          <w:p w14:paraId="77D8E4B1" w14:textId="77777777" w:rsidR="001C08A5" w:rsidRDefault="00000000">
            <w:pPr>
              <w:ind w:firstLineChars="150" w:firstLine="330"/>
              <w:rPr>
                <w:i/>
                <w:iCs/>
                <w:sz w:val="22"/>
                <w:szCs w:val="22"/>
              </w:rPr>
            </w:pPr>
            <w:r>
              <w:rPr>
                <w:i/>
                <w:iCs/>
                <w:sz w:val="22"/>
                <w:szCs w:val="22"/>
              </w:rPr>
              <w:t xml:space="preserve">Pentru înălțimea </w:t>
            </w:r>
            <w:r>
              <w:rPr>
                <w:b/>
                <w:bCs/>
                <w:i/>
                <w:iCs/>
                <w:sz w:val="22"/>
                <w:szCs w:val="22"/>
              </w:rPr>
              <w:t>mai mare sau egală de 75 m (obligatoriu)</w:t>
            </w:r>
            <w:r>
              <w:rPr>
                <w:i/>
                <w:iCs/>
                <w:sz w:val="22"/>
                <w:szCs w:val="22"/>
              </w:rPr>
              <w:t xml:space="preserve"> în partea supraterană vor îndeplini următoarele condiții:</w:t>
            </w:r>
          </w:p>
          <w:p w14:paraId="56CA4812" w14:textId="77777777" w:rsidR="001C08A5" w:rsidRDefault="00000000">
            <w:pPr>
              <w:ind w:firstLineChars="150" w:firstLine="331"/>
              <w:jc w:val="left"/>
              <w:rPr>
                <w:b/>
                <w:i/>
                <w:iCs/>
                <w:sz w:val="22"/>
                <w:szCs w:val="22"/>
              </w:rPr>
            </w:pPr>
            <w:r>
              <w:rPr>
                <w:b/>
                <w:bCs/>
                <w:i/>
                <w:iCs/>
                <w:sz w:val="22"/>
                <w:szCs w:val="22"/>
              </w:rPr>
              <w:t>D</w:t>
            </w:r>
            <w:r>
              <w:rPr>
                <w:i/>
                <w:iCs/>
                <w:sz w:val="22"/>
                <w:szCs w:val="22"/>
              </w:rPr>
              <w:t xml:space="preserve"> - ușă </w:t>
            </w:r>
            <w:r>
              <w:rPr>
                <w:b/>
                <w:i/>
                <w:iCs/>
                <w:sz w:val="22"/>
                <w:szCs w:val="22"/>
              </w:rPr>
              <w:t xml:space="preserve">EI 120, </w:t>
            </w:r>
            <w:r>
              <w:rPr>
                <w:rFonts w:eastAsia="Times New Roman"/>
                <w:i/>
                <w:iCs/>
                <w:sz w:val="22"/>
                <w:szCs w:val="22"/>
              </w:rPr>
              <w:t xml:space="preserve">dimensiune liberă de min </w:t>
            </w:r>
            <w:r>
              <w:rPr>
                <w:rFonts w:eastAsia="Times New Roman"/>
                <w:b/>
                <w:bCs/>
                <w:i/>
                <w:iCs/>
                <w:sz w:val="22"/>
                <w:szCs w:val="22"/>
              </w:rPr>
              <w:t>80</w:t>
            </w:r>
            <w:r>
              <w:rPr>
                <w:rFonts w:eastAsia="Times New Roman"/>
                <w:i/>
                <w:iCs/>
                <w:sz w:val="22"/>
                <w:szCs w:val="22"/>
              </w:rPr>
              <w:t xml:space="preserve"> cm</w:t>
            </w:r>
          </w:p>
          <w:p w14:paraId="293BB86D" w14:textId="77777777" w:rsidR="001C08A5" w:rsidRDefault="00000000">
            <w:pPr>
              <w:ind w:firstLineChars="150" w:firstLine="331"/>
              <w:jc w:val="left"/>
              <w:rPr>
                <w:b/>
                <w:bCs/>
                <w:i/>
                <w:iCs/>
                <w:sz w:val="22"/>
                <w:szCs w:val="22"/>
                <w:vertAlign w:val="subscript"/>
              </w:rPr>
            </w:pPr>
            <w:r>
              <w:rPr>
                <w:b/>
                <w:bCs/>
                <w:i/>
                <w:iCs/>
                <w:sz w:val="22"/>
                <w:szCs w:val="22"/>
              </w:rPr>
              <w:t>A</w:t>
            </w:r>
            <w:r>
              <w:rPr>
                <w:i/>
                <w:iCs/>
                <w:sz w:val="22"/>
                <w:szCs w:val="22"/>
              </w:rPr>
              <w:t xml:space="preserve"> - ușă </w:t>
            </w:r>
            <w:r>
              <w:rPr>
                <w:b/>
                <w:i/>
                <w:iCs/>
                <w:sz w:val="22"/>
                <w:szCs w:val="22"/>
              </w:rPr>
              <w:t>EI</w:t>
            </w:r>
            <w:r>
              <w:rPr>
                <w:b/>
                <w:i/>
                <w:iCs/>
                <w:sz w:val="22"/>
                <w:szCs w:val="22"/>
                <w:vertAlign w:val="subscript"/>
              </w:rPr>
              <w:t>2</w:t>
            </w:r>
            <w:r>
              <w:rPr>
                <w:b/>
                <w:i/>
                <w:iCs/>
                <w:sz w:val="22"/>
                <w:szCs w:val="22"/>
              </w:rPr>
              <w:t>90-C5S</w:t>
            </w:r>
            <w:r>
              <w:rPr>
                <w:b/>
                <w:bCs/>
                <w:i/>
                <w:iCs/>
                <w:sz w:val="22"/>
                <w:szCs w:val="22"/>
                <w:vertAlign w:val="subscript"/>
              </w:rPr>
              <w:t>200</w:t>
            </w:r>
            <w:r>
              <w:rPr>
                <w:b/>
                <w:i/>
                <w:iCs/>
                <w:sz w:val="22"/>
                <w:szCs w:val="22"/>
              </w:rPr>
              <w:t xml:space="preserve">, </w:t>
            </w:r>
            <w:r>
              <w:rPr>
                <w:rFonts w:eastAsia="Times New Roman"/>
                <w:i/>
                <w:iCs/>
                <w:sz w:val="22"/>
                <w:szCs w:val="22"/>
              </w:rPr>
              <w:t xml:space="preserve">dimensiune liberă de min </w:t>
            </w:r>
            <w:r>
              <w:rPr>
                <w:rFonts w:eastAsia="Times New Roman"/>
                <w:b/>
                <w:bCs/>
                <w:i/>
                <w:iCs/>
                <w:sz w:val="22"/>
                <w:szCs w:val="22"/>
              </w:rPr>
              <w:t>90</w:t>
            </w:r>
            <w:r>
              <w:rPr>
                <w:rFonts w:eastAsia="Times New Roman"/>
                <w:i/>
                <w:iCs/>
                <w:sz w:val="22"/>
                <w:szCs w:val="22"/>
              </w:rPr>
              <w:t xml:space="preserve"> cm</w:t>
            </w:r>
          </w:p>
          <w:p w14:paraId="731EF7EC" w14:textId="77777777" w:rsidR="001C08A5" w:rsidRDefault="00000000">
            <w:pPr>
              <w:ind w:firstLineChars="150" w:firstLine="331"/>
              <w:jc w:val="left"/>
              <w:rPr>
                <w:b/>
                <w:bCs/>
                <w:i/>
                <w:iCs/>
                <w:sz w:val="22"/>
                <w:szCs w:val="22"/>
                <w:vertAlign w:val="subscript"/>
              </w:rPr>
            </w:pPr>
            <w:r>
              <w:rPr>
                <w:b/>
                <w:bCs/>
                <w:i/>
                <w:iCs/>
                <w:sz w:val="22"/>
                <w:szCs w:val="22"/>
              </w:rPr>
              <w:t>B</w:t>
            </w:r>
            <w:r>
              <w:rPr>
                <w:i/>
                <w:iCs/>
                <w:sz w:val="22"/>
                <w:szCs w:val="22"/>
              </w:rPr>
              <w:t xml:space="preserve"> - ușă </w:t>
            </w:r>
            <w:r>
              <w:rPr>
                <w:b/>
                <w:i/>
                <w:iCs/>
                <w:sz w:val="22"/>
                <w:szCs w:val="22"/>
              </w:rPr>
              <w:t>EI</w:t>
            </w:r>
            <w:r>
              <w:rPr>
                <w:b/>
                <w:i/>
                <w:iCs/>
                <w:sz w:val="22"/>
                <w:szCs w:val="22"/>
                <w:vertAlign w:val="subscript"/>
              </w:rPr>
              <w:t xml:space="preserve">2 </w:t>
            </w:r>
            <w:r>
              <w:rPr>
                <w:b/>
                <w:i/>
                <w:iCs/>
                <w:sz w:val="22"/>
                <w:szCs w:val="22"/>
              </w:rPr>
              <w:t>120-C5S</w:t>
            </w:r>
            <w:r>
              <w:rPr>
                <w:b/>
                <w:bCs/>
                <w:i/>
                <w:iCs/>
                <w:sz w:val="22"/>
                <w:szCs w:val="22"/>
                <w:vertAlign w:val="subscript"/>
              </w:rPr>
              <w:t>200</w:t>
            </w:r>
            <w:r>
              <w:rPr>
                <w:b/>
                <w:i/>
                <w:iCs/>
                <w:sz w:val="22"/>
                <w:szCs w:val="22"/>
              </w:rPr>
              <w:t xml:space="preserve">, </w:t>
            </w:r>
            <w:r>
              <w:rPr>
                <w:rFonts w:eastAsia="Times New Roman"/>
                <w:i/>
                <w:iCs/>
                <w:sz w:val="22"/>
                <w:szCs w:val="22"/>
              </w:rPr>
              <w:t xml:space="preserve">dimensiune liberă de min </w:t>
            </w:r>
            <w:r>
              <w:rPr>
                <w:rFonts w:eastAsia="Times New Roman"/>
                <w:b/>
                <w:bCs/>
                <w:i/>
                <w:iCs/>
                <w:sz w:val="22"/>
                <w:szCs w:val="22"/>
              </w:rPr>
              <w:t>90</w:t>
            </w:r>
            <w:r>
              <w:rPr>
                <w:rFonts w:eastAsia="Times New Roman"/>
                <w:i/>
                <w:iCs/>
                <w:sz w:val="22"/>
                <w:szCs w:val="22"/>
              </w:rPr>
              <w:t xml:space="preserve"> cm</w:t>
            </w:r>
          </w:p>
          <w:p w14:paraId="061A2022" w14:textId="77777777" w:rsidR="001C08A5" w:rsidRDefault="001C08A5">
            <w:pPr>
              <w:ind w:firstLineChars="150" w:firstLine="330"/>
              <w:rPr>
                <w:i/>
                <w:iCs/>
                <w:sz w:val="22"/>
                <w:szCs w:val="22"/>
              </w:rPr>
            </w:pPr>
          </w:p>
          <w:p w14:paraId="334F7485" w14:textId="77777777" w:rsidR="001C08A5" w:rsidRDefault="00000000">
            <w:pPr>
              <w:ind w:firstLineChars="150" w:firstLine="330"/>
              <w:rPr>
                <w:i/>
                <w:iCs/>
                <w:sz w:val="22"/>
                <w:szCs w:val="22"/>
              </w:rPr>
            </w:pPr>
            <w:r>
              <w:rPr>
                <w:i/>
                <w:iCs/>
                <w:sz w:val="22"/>
                <w:szCs w:val="22"/>
              </w:rPr>
              <w:t xml:space="preserve">Pentru înălțimea </w:t>
            </w:r>
            <w:r>
              <w:rPr>
                <w:b/>
                <w:bCs/>
                <w:i/>
                <w:iCs/>
                <w:sz w:val="22"/>
                <w:szCs w:val="22"/>
              </w:rPr>
              <w:t>mai mare sau egală de 75 m(obligatoriu)</w:t>
            </w:r>
            <w:r>
              <w:rPr>
                <w:i/>
                <w:iCs/>
                <w:sz w:val="22"/>
                <w:szCs w:val="22"/>
              </w:rPr>
              <w:t xml:space="preserve"> în parteasubterană vor îndeplini următoarele condiții:</w:t>
            </w:r>
          </w:p>
          <w:p w14:paraId="0A35E6B0" w14:textId="77777777" w:rsidR="001C08A5" w:rsidRDefault="00000000">
            <w:pPr>
              <w:ind w:firstLineChars="150" w:firstLine="331"/>
              <w:jc w:val="left"/>
              <w:rPr>
                <w:b/>
                <w:i/>
                <w:iCs/>
                <w:sz w:val="22"/>
                <w:szCs w:val="22"/>
              </w:rPr>
            </w:pPr>
            <w:r>
              <w:rPr>
                <w:b/>
                <w:bCs/>
                <w:i/>
                <w:iCs/>
                <w:sz w:val="22"/>
                <w:szCs w:val="22"/>
              </w:rPr>
              <w:t>D</w:t>
            </w:r>
            <w:r>
              <w:rPr>
                <w:i/>
                <w:iCs/>
                <w:sz w:val="22"/>
                <w:szCs w:val="22"/>
              </w:rPr>
              <w:t xml:space="preserve"> - ușă </w:t>
            </w:r>
            <w:r>
              <w:rPr>
                <w:b/>
                <w:i/>
                <w:iCs/>
                <w:sz w:val="22"/>
                <w:szCs w:val="22"/>
              </w:rPr>
              <w:t xml:space="preserve">EI 120, </w:t>
            </w:r>
            <w:r>
              <w:rPr>
                <w:rFonts w:eastAsia="Times New Roman"/>
                <w:i/>
                <w:iCs/>
                <w:sz w:val="22"/>
                <w:szCs w:val="22"/>
              </w:rPr>
              <w:t xml:space="preserve">dimensiune liberă de min </w:t>
            </w:r>
            <w:r>
              <w:rPr>
                <w:rFonts w:eastAsia="Times New Roman"/>
                <w:b/>
                <w:bCs/>
                <w:i/>
                <w:iCs/>
                <w:sz w:val="22"/>
                <w:szCs w:val="22"/>
              </w:rPr>
              <w:t>80</w:t>
            </w:r>
            <w:r>
              <w:rPr>
                <w:rFonts w:eastAsia="Times New Roman"/>
                <w:i/>
                <w:iCs/>
                <w:sz w:val="22"/>
                <w:szCs w:val="22"/>
              </w:rPr>
              <w:t xml:space="preserve"> cm</w:t>
            </w:r>
          </w:p>
          <w:p w14:paraId="50DFB5A5" w14:textId="77777777" w:rsidR="001C08A5" w:rsidRDefault="00000000">
            <w:pPr>
              <w:ind w:firstLineChars="150" w:firstLine="331"/>
              <w:jc w:val="left"/>
              <w:rPr>
                <w:b/>
                <w:bCs/>
                <w:i/>
                <w:iCs/>
                <w:sz w:val="22"/>
                <w:szCs w:val="22"/>
                <w:vertAlign w:val="subscript"/>
              </w:rPr>
            </w:pPr>
            <w:r>
              <w:rPr>
                <w:b/>
                <w:bCs/>
                <w:i/>
                <w:iCs/>
                <w:sz w:val="22"/>
                <w:szCs w:val="22"/>
              </w:rPr>
              <w:t>A</w:t>
            </w:r>
            <w:r>
              <w:rPr>
                <w:i/>
                <w:iCs/>
                <w:sz w:val="22"/>
                <w:szCs w:val="22"/>
              </w:rPr>
              <w:t xml:space="preserve"> - ușă </w:t>
            </w:r>
            <w:r>
              <w:rPr>
                <w:b/>
                <w:i/>
                <w:iCs/>
                <w:sz w:val="22"/>
                <w:szCs w:val="22"/>
              </w:rPr>
              <w:t>EI</w:t>
            </w:r>
            <w:r>
              <w:rPr>
                <w:b/>
                <w:i/>
                <w:iCs/>
                <w:sz w:val="22"/>
                <w:szCs w:val="22"/>
                <w:vertAlign w:val="subscript"/>
              </w:rPr>
              <w:t>2</w:t>
            </w:r>
            <w:r>
              <w:rPr>
                <w:b/>
                <w:i/>
                <w:iCs/>
                <w:sz w:val="22"/>
                <w:szCs w:val="22"/>
              </w:rPr>
              <w:t>120-C5S</w:t>
            </w:r>
            <w:r>
              <w:rPr>
                <w:b/>
                <w:bCs/>
                <w:i/>
                <w:iCs/>
                <w:sz w:val="22"/>
                <w:szCs w:val="22"/>
                <w:vertAlign w:val="subscript"/>
              </w:rPr>
              <w:t>200</w:t>
            </w:r>
            <w:r>
              <w:rPr>
                <w:b/>
                <w:i/>
                <w:iCs/>
                <w:sz w:val="22"/>
                <w:szCs w:val="22"/>
              </w:rPr>
              <w:t xml:space="preserve">, </w:t>
            </w:r>
            <w:r>
              <w:rPr>
                <w:rFonts w:eastAsia="Times New Roman"/>
                <w:i/>
                <w:iCs/>
                <w:sz w:val="22"/>
                <w:szCs w:val="22"/>
              </w:rPr>
              <w:t xml:space="preserve">dimensiune liberă de min </w:t>
            </w:r>
            <w:r>
              <w:rPr>
                <w:rFonts w:eastAsia="Times New Roman"/>
                <w:b/>
                <w:bCs/>
                <w:i/>
                <w:iCs/>
                <w:sz w:val="22"/>
                <w:szCs w:val="22"/>
              </w:rPr>
              <w:t>90</w:t>
            </w:r>
            <w:r>
              <w:rPr>
                <w:rFonts w:eastAsia="Times New Roman"/>
                <w:i/>
                <w:iCs/>
                <w:sz w:val="22"/>
                <w:szCs w:val="22"/>
              </w:rPr>
              <w:t xml:space="preserve"> cm</w:t>
            </w:r>
          </w:p>
          <w:p w14:paraId="31484E43" w14:textId="77777777" w:rsidR="001C08A5" w:rsidRDefault="00000000">
            <w:pPr>
              <w:ind w:firstLineChars="150" w:firstLine="331"/>
              <w:jc w:val="left"/>
              <w:rPr>
                <w:i/>
                <w:iCs/>
                <w:sz w:val="24"/>
                <w:szCs w:val="24"/>
              </w:rPr>
            </w:pPr>
            <w:r>
              <w:rPr>
                <w:b/>
                <w:bCs/>
                <w:i/>
                <w:iCs/>
                <w:sz w:val="22"/>
                <w:szCs w:val="22"/>
              </w:rPr>
              <w:t>B</w:t>
            </w:r>
            <w:r>
              <w:rPr>
                <w:i/>
                <w:iCs/>
                <w:sz w:val="22"/>
                <w:szCs w:val="22"/>
              </w:rPr>
              <w:t xml:space="preserve"> - ușă </w:t>
            </w:r>
            <w:r>
              <w:rPr>
                <w:b/>
                <w:i/>
                <w:iCs/>
                <w:sz w:val="22"/>
                <w:szCs w:val="22"/>
              </w:rPr>
              <w:t>EI</w:t>
            </w:r>
            <w:r>
              <w:rPr>
                <w:b/>
                <w:i/>
                <w:iCs/>
                <w:sz w:val="22"/>
                <w:szCs w:val="22"/>
                <w:vertAlign w:val="subscript"/>
              </w:rPr>
              <w:t xml:space="preserve">2 </w:t>
            </w:r>
            <w:r>
              <w:rPr>
                <w:b/>
                <w:i/>
                <w:iCs/>
                <w:sz w:val="22"/>
                <w:szCs w:val="22"/>
              </w:rPr>
              <w:t>120-C5S</w:t>
            </w:r>
            <w:r>
              <w:rPr>
                <w:b/>
                <w:bCs/>
                <w:i/>
                <w:iCs/>
                <w:sz w:val="22"/>
                <w:szCs w:val="22"/>
                <w:vertAlign w:val="subscript"/>
              </w:rPr>
              <w:t>200</w:t>
            </w:r>
            <w:r>
              <w:rPr>
                <w:b/>
                <w:i/>
                <w:iCs/>
                <w:sz w:val="22"/>
                <w:szCs w:val="22"/>
              </w:rPr>
              <w:t xml:space="preserve">, </w:t>
            </w:r>
            <w:r>
              <w:rPr>
                <w:rFonts w:eastAsia="Times New Roman"/>
                <w:i/>
                <w:iCs/>
                <w:sz w:val="22"/>
                <w:szCs w:val="22"/>
              </w:rPr>
              <w:t xml:space="preserve">dimensiune liberă de </w:t>
            </w:r>
            <w:r>
              <w:rPr>
                <w:rFonts w:eastAsia="Times New Roman"/>
                <w:i/>
                <w:iCs/>
                <w:sz w:val="22"/>
                <w:szCs w:val="22"/>
              </w:rPr>
              <w:lastRenderedPageBreak/>
              <w:t xml:space="preserve">min </w:t>
            </w:r>
            <w:r>
              <w:rPr>
                <w:rFonts w:eastAsia="Times New Roman"/>
                <w:b/>
                <w:bCs/>
                <w:i/>
                <w:iCs/>
                <w:sz w:val="22"/>
                <w:szCs w:val="22"/>
              </w:rPr>
              <w:t>90</w:t>
            </w:r>
            <w:r>
              <w:rPr>
                <w:rFonts w:eastAsia="Times New Roman"/>
                <w:i/>
                <w:iCs/>
                <w:sz w:val="22"/>
                <w:szCs w:val="22"/>
              </w:rPr>
              <w:t xml:space="preserve"> cm</w:t>
            </w:r>
          </w:p>
        </w:tc>
      </w:tr>
    </w:tbl>
    <w:p w14:paraId="1D80C96B" w14:textId="77777777" w:rsidR="001C08A5" w:rsidRDefault="00000000">
      <w:pPr>
        <w:pStyle w:val="Caption"/>
        <w:jc w:val="center"/>
      </w:pPr>
      <w:bookmarkStart w:id="6969" w:name="_Toc162360366"/>
      <w:r>
        <w:t xml:space="preserve">Figura </w:t>
      </w:r>
      <w:r>
        <w:fldChar w:fldCharType="begin"/>
      </w:r>
      <w:r>
        <w:instrText xml:space="preserve"> SEQ Figura \* ARABIC </w:instrText>
      </w:r>
      <w:r>
        <w:fldChar w:fldCharType="separate"/>
      </w:r>
      <w:r>
        <w:t>142</w:t>
      </w:r>
      <w:r>
        <w:fldChar w:fldCharType="end"/>
      </w:r>
      <w:bookmarkStart w:id="6970" w:name="_Toc23603"/>
      <w:bookmarkStart w:id="6971" w:name="_Toc16617"/>
      <w:bookmarkStart w:id="6972" w:name="_Toc14308"/>
      <w:bookmarkStart w:id="6973" w:name="_Toc18548"/>
      <w:bookmarkStart w:id="6974" w:name="_Toc30920"/>
      <w:bookmarkStart w:id="6975" w:name="_Toc31565"/>
      <w:bookmarkStart w:id="6976" w:name="_Toc18783"/>
      <w:bookmarkStart w:id="6977" w:name="_Toc25974"/>
      <w:bookmarkStart w:id="6978" w:name="_Toc9786"/>
      <w:r>
        <w:t xml:space="preserve"> - </w:t>
      </w:r>
      <w:r>
        <w:rPr>
          <w:bCs/>
        </w:rPr>
        <w:t>Ascensor dedicat intervenției (obligatoriu la clădiri cu înălțimea mai mare sau egală de 75 m) prevazut cu acces dedicat din încăperea tampon aferentă casei de scara destinată numai intervenției pompierilor</w:t>
      </w:r>
      <w:bookmarkEnd w:id="6969"/>
      <w:bookmarkEnd w:id="6970"/>
      <w:bookmarkEnd w:id="6971"/>
      <w:bookmarkEnd w:id="6972"/>
      <w:bookmarkEnd w:id="6973"/>
      <w:bookmarkEnd w:id="6974"/>
      <w:bookmarkEnd w:id="6975"/>
      <w:bookmarkEnd w:id="6976"/>
      <w:bookmarkEnd w:id="6977"/>
      <w:bookmarkEnd w:id="6978"/>
    </w:p>
    <w:p w14:paraId="70BBE1DD" w14:textId="77777777" w:rsidR="001C08A5" w:rsidRDefault="00000000">
      <w:pPr>
        <w:pStyle w:val="Heading3"/>
        <w:rPr>
          <w:i/>
          <w:iCs/>
          <w:sz w:val="24"/>
          <w:szCs w:val="24"/>
        </w:rPr>
      </w:pPr>
      <w:bookmarkStart w:id="6979" w:name="_Toc9439"/>
      <w:bookmarkStart w:id="6980" w:name="_Toc31399"/>
      <w:bookmarkStart w:id="6981" w:name="_Toc162355414"/>
      <w:bookmarkStart w:id="6982" w:name="_Toc1763"/>
      <w:bookmarkStart w:id="6983" w:name="_Toc3860"/>
      <w:bookmarkStart w:id="6984" w:name="_Toc12932"/>
      <w:bookmarkStart w:id="6985" w:name="_Toc1094"/>
      <w:bookmarkStart w:id="6986" w:name="_Toc10687"/>
      <w:bookmarkStart w:id="6987" w:name="_Toc30182"/>
      <w:bookmarkStart w:id="6988" w:name="_Toc16301"/>
      <w:bookmarkStart w:id="6989" w:name="_Toc23108"/>
      <w:bookmarkStart w:id="6990" w:name="_Toc12390"/>
      <w:bookmarkStart w:id="6991" w:name="_Toc10611"/>
      <w:bookmarkStart w:id="6992" w:name="_Toc20336"/>
      <w:bookmarkStart w:id="6993" w:name="_Toc13708"/>
      <w:bookmarkStart w:id="6994" w:name="_Toc22059"/>
      <w:bookmarkStart w:id="6995" w:name="_Toc9927"/>
      <w:r>
        <w:rPr>
          <w:i/>
          <w:iCs/>
          <w:sz w:val="24"/>
          <w:szCs w:val="24"/>
        </w:rPr>
        <w:t>ANEXA 4.2 - ATRIUMURI</w:t>
      </w:r>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r>
        <w:rPr>
          <w:i/>
          <w:iCs/>
          <w:sz w:val="24"/>
          <w:szCs w:val="24"/>
        </w:rPr>
        <w:t xml:space="preserve"> </w:t>
      </w:r>
    </w:p>
    <w:p w14:paraId="72D4CCE0" w14:textId="77777777" w:rsidR="001C08A5" w:rsidRDefault="00000000">
      <w:pPr>
        <w:pStyle w:val="Heading4"/>
        <w:rPr>
          <w:sz w:val="24"/>
          <w:szCs w:val="24"/>
        </w:rPr>
      </w:pPr>
      <w:bookmarkStart w:id="6996" w:name="_Toc27300"/>
      <w:bookmarkStart w:id="6997" w:name="_Toc2416"/>
      <w:bookmarkStart w:id="6998" w:name="_Toc13666"/>
      <w:bookmarkStart w:id="6999" w:name="_Toc2295"/>
      <w:bookmarkStart w:id="7000" w:name="_Toc8284"/>
      <w:bookmarkStart w:id="7001" w:name="_Toc20416"/>
      <w:bookmarkStart w:id="7002" w:name="_Toc31255"/>
      <w:bookmarkStart w:id="7003" w:name="_Toc27728"/>
      <w:bookmarkStart w:id="7004" w:name="_Toc30432"/>
      <w:bookmarkStart w:id="7005" w:name="_Toc6196"/>
      <w:bookmarkStart w:id="7006" w:name="_Toc162355415"/>
      <w:bookmarkStart w:id="7007" w:name="_Toc22261"/>
      <w:bookmarkStart w:id="7008" w:name="_Toc9003"/>
      <w:bookmarkStart w:id="7009" w:name="_Toc395"/>
      <w:bookmarkStart w:id="7010" w:name="_Toc30709"/>
      <w:bookmarkStart w:id="7011" w:name="_Toc7190"/>
      <w:r>
        <w:rPr>
          <w:sz w:val="24"/>
          <w:szCs w:val="24"/>
        </w:rPr>
        <w:t>Generalități atriumuri</w:t>
      </w:r>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p>
    <w:p w14:paraId="68C4954C" w14:textId="77777777" w:rsidR="001C08A5" w:rsidRDefault="00000000">
      <w:pPr>
        <w:numPr>
          <w:ilvl w:val="0"/>
          <w:numId w:val="96"/>
        </w:numPr>
        <w:tabs>
          <w:tab w:val="left" w:pos="426"/>
          <w:tab w:val="left" w:pos="993"/>
        </w:tabs>
        <w:jc w:val="both"/>
        <w:rPr>
          <w:rFonts w:eastAsia="Times New Roman"/>
          <w:bCs/>
          <w:sz w:val="24"/>
          <w:szCs w:val="24"/>
        </w:rPr>
      </w:pPr>
      <w:r>
        <w:rPr>
          <w:bCs/>
          <w:i/>
          <w:sz w:val="24"/>
          <w:szCs w:val="24"/>
        </w:rPr>
        <w:t xml:space="preserve"> Atriumul al cărui volum liber este închis pe toate feţele laterale şi a cărui lăţime minimă este mai mică sau egală cu înălţimea faţadei celei mai înalte şi care este deschis la partea superioară cel puţin </w:t>
      </w:r>
      <w:r>
        <w:rPr>
          <w:b/>
          <w:i/>
          <w:sz w:val="24"/>
          <w:szCs w:val="24"/>
        </w:rPr>
        <w:t>90%</w:t>
      </w:r>
      <w:r>
        <w:rPr>
          <w:bCs/>
          <w:i/>
          <w:sz w:val="24"/>
          <w:szCs w:val="24"/>
        </w:rPr>
        <w:t>, este considerat atrium descoperit.</w:t>
      </w:r>
    </w:p>
    <w:p w14:paraId="58A0826A" w14:textId="77777777" w:rsidR="001C08A5" w:rsidRDefault="001C08A5">
      <w:pPr>
        <w:tabs>
          <w:tab w:val="left" w:pos="426"/>
          <w:tab w:val="left" w:pos="567"/>
          <w:tab w:val="left" w:pos="993"/>
        </w:tabs>
        <w:jc w:val="both"/>
        <w:rPr>
          <w:rFonts w:eastAsia="Times New Roman"/>
          <w:bCs/>
          <w:sz w:val="24"/>
          <w:szCs w:val="24"/>
        </w:rPr>
      </w:pPr>
    </w:p>
    <w:p w14:paraId="20B7F560" w14:textId="77777777" w:rsidR="001C08A5" w:rsidRDefault="00000000">
      <w:pPr>
        <w:numPr>
          <w:ilvl w:val="0"/>
          <w:numId w:val="96"/>
        </w:numPr>
        <w:tabs>
          <w:tab w:val="left" w:pos="426"/>
          <w:tab w:val="left" w:pos="993"/>
        </w:tabs>
        <w:jc w:val="both"/>
        <w:rPr>
          <w:bCs/>
          <w:i/>
          <w:sz w:val="24"/>
        </w:rPr>
      </w:pPr>
      <w:r>
        <w:rPr>
          <w:bCs/>
          <w:i/>
          <w:sz w:val="24"/>
        </w:rPr>
        <w:t xml:space="preserve"> Cea mai mică dimensiune a unui atrium este definită ca fiind diametrul cilindrului drept inscripționat pe întreaga înălțime a atriului, în spațiul liber dintre:</w:t>
      </w:r>
    </w:p>
    <w:p w14:paraId="4C4D27AF" w14:textId="77777777" w:rsidR="001C08A5" w:rsidRDefault="00000000">
      <w:pPr>
        <w:spacing w:after="120"/>
        <w:ind w:left="1415"/>
        <w:contextualSpacing/>
        <w:rPr>
          <w:i/>
          <w:iCs/>
          <w:sz w:val="24"/>
          <w:szCs w:val="24"/>
        </w:rPr>
      </w:pPr>
      <w:r>
        <w:rPr>
          <w:i/>
          <w:iCs/>
          <w:sz w:val="24"/>
          <w:szCs w:val="24"/>
        </w:rPr>
        <w:t>-</w:t>
      </w:r>
      <w:r>
        <w:rPr>
          <w:i/>
          <w:iCs/>
          <w:sz w:val="24"/>
          <w:szCs w:val="24"/>
        </w:rPr>
        <w:tab/>
        <w:t>extremitățile balcoanelor pentru atriumuri deschise;</w:t>
      </w:r>
    </w:p>
    <w:p w14:paraId="46F84D2D" w14:textId="77777777" w:rsidR="001C08A5" w:rsidRDefault="00000000">
      <w:pPr>
        <w:spacing w:after="120"/>
        <w:ind w:left="1415"/>
        <w:contextualSpacing/>
        <w:rPr>
          <w:i/>
          <w:iCs/>
          <w:sz w:val="24"/>
          <w:szCs w:val="24"/>
        </w:rPr>
      </w:pPr>
      <w:r>
        <w:rPr>
          <w:i/>
          <w:iCs/>
          <w:sz w:val="24"/>
          <w:szCs w:val="24"/>
        </w:rPr>
        <w:t>-</w:t>
      </w:r>
      <w:r>
        <w:rPr>
          <w:i/>
          <w:iCs/>
          <w:sz w:val="24"/>
          <w:szCs w:val="24"/>
        </w:rPr>
        <w:tab/>
        <w:t>pereți verticali pentru atriumuri închise;</w:t>
      </w:r>
    </w:p>
    <w:p w14:paraId="3EB580B4" w14:textId="77777777" w:rsidR="001C08A5" w:rsidRDefault="00000000">
      <w:pPr>
        <w:spacing w:after="120"/>
        <w:ind w:left="1415"/>
        <w:contextualSpacing/>
        <w:rPr>
          <w:i/>
          <w:iCs/>
          <w:sz w:val="24"/>
          <w:szCs w:val="24"/>
        </w:rPr>
      </w:pPr>
      <w:r>
        <w:rPr>
          <w:i/>
          <w:iCs/>
          <w:sz w:val="24"/>
          <w:szCs w:val="24"/>
        </w:rPr>
        <w:t>-</w:t>
      </w:r>
      <w:r>
        <w:rPr>
          <w:i/>
          <w:iCs/>
          <w:sz w:val="24"/>
          <w:szCs w:val="24"/>
        </w:rPr>
        <w:tab/>
        <w:t>extremități ale balcoanelor și pereți verticali pentru atriumuri deschise pe o parte și închise pe cealaltă parte</w:t>
      </w:r>
    </w:p>
    <w:p w14:paraId="54174C8F" w14:textId="77777777" w:rsidR="001C08A5" w:rsidRDefault="00000000">
      <w:pPr>
        <w:numPr>
          <w:ilvl w:val="0"/>
          <w:numId w:val="96"/>
        </w:numPr>
        <w:tabs>
          <w:tab w:val="left" w:pos="426"/>
          <w:tab w:val="left" w:pos="993"/>
        </w:tabs>
        <w:jc w:val="both"/>
        <w:rPr>
          <w:bCs/>
          <w:i/>
          <w:sz w:val="24"/>
        </w:rPr>
      </w:pPr>
      <w:r>
        <w:rPr>
          <w:bCs/>
          <w:i/>
          <w:sz w:val="24"/>
        </w:rPr>
        <w:t xml:space="preserve"> Secțiunea de bază a atriumului este cea mai mare dintre secțiunile orizontale incluse între elementele de construcție care delimitează atriumul (conform alineatului precedent). La fiecare nivel, secțiunea decalajului dintre elementele de construcție trebuie să fie cel puțin egală cu jumătate din această secțiune de bază.</w:t>
      </w:r>
    </w:p>
    <w:p w14:paraId="1CE0FB9E" w14:textId="77777777" w:rsidR="001C08A5" w:rsidRDefault="001C08A5">
      <w:pPr>
        <w:tabs>
          <w:tab w:val="left" w:pos="426"/>
          <w:tab w:val="left" w:pos="567"/>
          <w:tab w:val="left" w:pos="993"/>
        </w:tabs>
        <w:jc w:val="both"/>
        <w:rPr>
          <w:bCs/>
          <w:i/>
          <w:sz w:val="24"/>
        </w:rPr>
      </w:pPr>
    </w:p>
    <w:p w14:paraId="7E21A4ED" w14:textId="77777777" w:rsidR="001C08A5" w:rsidRDefault="00000000">
      <w:pPr>
        <w:numPr>
          <w:ilvl w:val="0"/>
          <w:numId w:val="96"/>
        </w:numPr>
        <w:tabs>
          <w:tab w:val="left" w:pos="426"/>
          <w:tab w:val="left" w:pos="993"/>
        </w:tabs>
        <w:jc w:val="both"/>
        <w:rPr>
          <w:rFonts w:eastAsia="Arial"/>
          <w:bCs/>
          <w:i/>
          <w:sz w:val="24"/>
        </w:rPr>
      </w:pPr>
      <w:r>
        <w:rPr>
          <w:bCs/>
          <w:i/>
          <w:sz w:val="24"/>
        </w:rPr>
        <w:t xml:space="preserve"> Volumul de bază al atriumului este produsul secțiunii de bază înmulțită</w:t>
      </w:r>
      <w:r>
        <w:rPr>
          <w:rFonts w:eastAsia="Arial"/>
          <w:bCs/>
          <w:i/>
          <w:sz w:val="24"/>
        </w:rPr>
        <w:t xml:space="preserve"> cu înălțimea totală a atriului, măsurată la plafonul ultimului nivel.</w:t>
      </w:r>
    </w:p>
    <w:p w14:paraId="6BC111B4" w14:textId="77777777" w:rsidR="001C08A5" w:rsidRDefault="001C08A5">
      <w:pPr>
        <w:jc w:val="both"/>
        <w:rPr>
          <w:rFonts w:eastAsia="Arial"/>
          <w:i/>
          <w:sz w:val="24"/>
          <w:szCs w:val="24"/>
        </w:rPr>
      </w:pPr>
    </w:p>
    <w:p w14:paraId="68D11F19" w14:textId="77777777" w:rsidR="001C08A5" w:rsidRDefault="00000000">
      <w:pPr>
        <w:numPr>
          <w:ilvl w:val="0"/>
          <w:numId w:val="96"/>
        </w:numPr>
        <w:tabs>
          <w:tab w:val="left" w:pos="426"/>
          <w:tab w:val="left" w:pos="993"/>
        </w:tabs>
        <w:jc w:val="both"/>
        <w:rPr>
          <w:bCs/>
          <w:i/>
          <w:sz w:val="24"/>
        </w:rPr>
      </w:pPr>
      <w:r>
        <w:rPr>
          <w:bCs/>
          <w:i/>
          <w:sz w:val="24"/>
        </w:rPr>
        <w:t xml:space="preserve"> Atriumul ale cărui dimensiuni sunt precizate anterior şi care este acoperit total sau parţial (</w:t>
      </w:r>
      <w:r>
        <w:rPr>
          <w:b/>
          <w:i/>
          <w:sz w:val="24"/>
        </w:rPr>
        <w:t>mai mult de 10%</w:t>
      </w:r>
      <w:r>
        <w:rPr>
          <w:bCs/>
          <w:i/>
          <w:sz w:val="24"/>
        </w:rPr>
        <w:t>) este considerat  atrium acoperit. La această categorie se disting două tipuri de atriumuri acoperite:</w:t>
      </w:r>
    </w:p>
    <w:p w14:paraId="39A2F3E6" w14:textId="77777777" w:rsidR="001C08A5" w:rsidRDefault="00000000">
      <w:pPr>
        <w:numPr>
          <w:ilvl w:val="0"/>
          <w:numId w:val="99"/>
        </w:numPr>
        <w:jc w:val="both"/>
        <w:rPr>
          <w:i/>
          <w:sz w:val="24"/>
          <w:szCs w:val="24"/>
        </w:rPr>
      </w:pPr>
      <w:r>
        <w:rPr>
          <w:i/>
          <w:sz w:val="24"/>
          <w:szCs w:val="24"/>
        </w:rPr>
        <w:t>atriumurile acoperite deschise sunt volume în care unul sau mai multe niveluri sunt deschise permanent către volumul central.</w:t>
      </w:r>
    </w:p>
    <w:p w14:paraId="3B739506" w14:textId="77777777" w:rsidR="001C08A5" w:rsidRDefault="00000000">
      <w:pPr>
        <w:numPr>
          <w:ilvl w:val="0"/>
          <w:numId w:val="99"/>
        </w:numPr>
        <w:jc w:val="both"/>
        <w:rPr>
          <w:i/>
          <w:sz w:val="24"/>
          <w:szCs w:val="24"/>
        </w:rPr>
      </w:pPr>
      <w:r>
        <w:rPr>
          <w:i/>
          <w:sz w:val="24"/>
          <w:szCs w:val="24"/>
        </w:rPr>
        <w:t>atriumurile acoperite închise sunt volume unde toate nivelurile (cu excepția nivelului inferior) sunt închise lateral prin pereţi, chiar dacă în aceşti pereţi de la nivelul inferior există goluri, sau dacă nivelurile au balcoane sau o circulaţie orizontală deschisă între pereţi şi volumul atriumului .</w:t>
      </w:r>
    </w:p>
    <w:p w14:paraId="5C28D22E" w14:textId="77777777" w:rsidR="001C08A5" w:rsidRDefault="001C08A5">
      <w:pPr>
        <w:jc w:val="both"/>
        <w:rPr>
          <w:i/>
          <w:sz w:val="24"/>
          <w:szCs w:val="24"/>
        </w:rPr>
      </w:pPr>
    </w:p>
    <w:p w14:paraId="25142819" w14:textId="77777777" w:rsidR="001C08A5" w:rsidRDefault="00000000">
      <w:pPr>
        <w:numPr>
          <w:ilvl w:val="0"/>
          <w:numId w:val="96"/>
        </w:numPr>
        <w:tabs>
          <w:tab w:val="left" w:pos="426"/>
          <w:tab w:val="left" w:pos="993"/>
        </w:tabs>
        <w:jc w:val="both"/>
        <w:rPr>
          <w:bCs/>
          <w:i/>
          <w:sz w:val="24"/>
        </w:rPr>
      </w:pPr>
      <w:r>
        <w:rPr>
          <w:bCs/>
          <w:i/>
          <w:sz w:val="24"/>
        </w:rPr>
        <w:tab/>
        <w:t xml:space="preserve">Prevederile din normativ se referă la acele atriumuri acoperite care au lațimea minimă de cel puţin </w:t>
      </w:r>
      <w:r>
        <w:rPr>
          <w:b/>
          <w:i/>
          <w:position w:val="-8"/>
          <w:sz w:val="24"/>
          <w:szCs w:val="24"/>
        </w:rPr>
        <w:object w:dxaOrig="570" w:dyaOrig="435" w14:anchorId="0ADE0214">
          <v:shape id="_x0000_i1031" type="#_x0000_t75" style="width:28.5pt;height:21.75pt" o:ole="">
            <v:imagedata r:id="rId153" o:title="" embosscolor="white"/>
          </v:shape>
          <o:OLEObject Type="Embed" ProgID="Equation.3" ShapeID="_x0000_i1031" DrawAspect="Content" ObjectID="_1773212712" r:id="rId306"/>
        </w:object>
      </w:r>
      <w:r>
        <w:rPr>
          <w:i/>
          <w:sz w:val="24"/>
          <w:szCs w:val="24"/>
        </w:rPr>
        <w:t>din înălţimea lor</w:t>
      </w:r>
      <w:r>
        <w:rPr>
          <w:bCs/>
          <w:i/>
          <w:sz w:val="24"/>
        </w:rPr>
        <w:t xml:space="preserve"> (în care </w:t>
      </w:r>
      <w:r>
        <w:rPr>
          <w:b/>
          <w:i/>
          <w:sz w:val="24"/>
        </w:rPr>
        <w:t>H</w:t>
      </w:r>
      <w:r>
        <w:rPr>
          <w:bCs/>
          <w:i/>
          <w:sz w:val="24"/>
        </w:rPr>
        <w:t xml:space="preserve"> este cea mai mică înălţime a atriumului) şi care au cel puţin patru niveluri pe una sau mai multe laturi ale clădirii adiacente atriumului.</w:t>
      </w:r>
    </w:p>
    <w:p w14:paraId="11530474" w14:textId="77777777" w:rsidR="001C08A5" w:rsidRDefault="001C08A5">
      <w:pPr>
        <w:jc w:val="both"/>
        <w:rPr>
          <w:i/>
          <w:sz w:val="24"/>
          <w:szCs w:val="24"/>
        </w:rPr>
      </w:pPr>
    </w:p>
    <w:p w14:paraId="38DE808D" w14:textId="77777777" w:rsidR="001C08A5" w:rsidRDefault="00000000">
      <w:pPr>
        <w:numPr>
          <w:ilvl w:val="0"/>
          <w:numId w:val="96"/>
        </w:numPr>
        <w:tabs>
          <w:tab w:val="left" w:pos="426"/>
          <w:tab w:val="left" w:pos="993"/>
        </w:tabs>
        <w:jc w:val="both"/>
        <w:rPr>
          <w:bCs/>
          <w:i/>
          <w:sz w:val="24"/>
        </w:rPr>
      </w:pPr>
      <w:r>
        <w:rPr>
          <w:bCs/>
          <w:i/>
          <w:sz w:val="24"/>
        </w:rPr>
        <w:tab/>
        <w:t xml:space="preserve">La realizarea unor atriumuri, patio sau curţi de lumină pe mai puţin de </w:t>
      </w:r>
      <w:r>
        <w:rPr>
          <w:b/>
          <w:i/>
          <w:sz w:val="24"/>
        </w:rPr>
        <w:t>4 niveluri</w:t>
      </w:r>
      <w:r>
        <w:rPr>
          <w:bCs/>
          <w:i/>
          <w:sz w:val="24"/>
        </w:rPr>
        <w:t xml:space="preserve"> şi acoperite, zonele pline cu înălţimea de cel puţin </w:t>
      </w:r>
      <w:r>
        <w:rPr>
          <w:b/>
          <w:i/>
          <w:sz w:val="24"/>
        </w:rPr>
        <w:t>1,20 m</w:t>
      </w:r>
      <w:r>
        <w:rPr>
          <w:bCs/>
          <w:i/>
          <w:sz w:val="24"/>
        </w:rPr>
        <w:t xml:space="preserve">, dintre niveluri, în dreptul planşeelor, trebuie să fie </w:t>
      </w:r>
      <w:r>
        <w:rPr>
          <w:b/>
          <w:i/>
          <w:sz w:val="24"/>
        </w:rPr>
        <w:t>E 30</w:t>
      </w:r>
      <w:r>
        <w:rPr>
          <w:bCs/>
          <w:i/>
          <w:sz w:val="24"/>
        </w:rPr>
        <w:t xml:space="preserve"> .</w:t>
      </w:r>
    </w:p>
    <w:p w14:paraId="4AF673B8" w14:textId="77777777" w:rsidR="001C08A5" w:rsidRDefault="00000000">
      <w:pPr>
        <w:jc w:val="center"/>
        <w:rPr>
          <w:rFonts w:eastAsia="Times New Roman"/>
          <w:i/>
          <w:sz w:val="24"/>
          <w:szCs w:val="24"/>
        </w:rPr>
      </w:pPr>
      <w:r>
        <w:rPr>
          <w:i/>
          <w:noProof/>
          <w:sz w:val="24"/>
          <w:szCs w:val="24"/>
          <w:lang w:eastAsia="ro-RO"/>
        </w:rPr>
        <w:lastRenderedPageBreak/>
        <w:drawing>
          <wp:inline distT="0" distB="0" distL="114300" distR="114300" wp14:anchorId="020271C4" wp14:editId="32D31E08">
            <wp:extent cx="2371725" cy="2491740"/>
            <wp:effectExtent l="0" t="0" r="9525" b="3810"/>
            <wp:docPr id="20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69"/>
                    <pic:cNvPicPr>
                      <a:picLocks noChangeAspect="1"/>
                    </pic:cNvPicPr>
                  </pic:nvPicPr>
                  <pic:blipFill>
                    <a:blip r:embed="rId307"/>
                    <a:srcRect l="34172" t="24030" r="30075" b="19856"/>
                    <a:stretch>
                      <a:fillRect/>
                    </a:stretch>
                  </pic:blipFill>
                  <pic:spPr>
                    <a:xfrm>
                      <a:off x="0" y="0"/>
                      <a:ext cx="2374540" cy="2494624"/>
                    </a:xfrm>
                    <a:prstGeom prst="rect">
                      <a:avLst/>
                    </a:prstGeom>
                    <a:noFill/>
                    <a:ln>
                      <a:noFill/>
                    </a:ln>
                  </pic:spPr>
                </pic:pic>
              </a:graphicData>
            </a:graphic>
          </wp:inline>
        </w:drawing>
      </w:r>
    </w:p>
    <w:p w14:paraId="6BC23328" w14:textId="77777777" w:rsidR="001C08A5" w:rsidRDefault="00000000">
      <w:pPr>
        <w:pStyle w:val="Caption"/>
        <w:jc w:val="center"/>
      </w:pPr>
      <w:bookmarkStart w:id="7012" w:name="_Toc3832"/>
      <w:bookmarkStart w:id="7013" w:name="_Toc162360367"/>
      <w:bookmarkStart w:id="7014" w:name="_Toc28939"/>
      <w:bookmarkStart w:id="7015" w:name="_Toc142898526"/>
      <w:bookmarkStart w:id="7016" w:name="_Toc13411"/>
      <w:r>
        <w:t xml:space="preserve">Figura </w:t>
      </w:r>
      <w:r>
        <w:fldChar w:fldCharType="begin"/>
      </w:r>
      <w:r>
        <w:instrText xml:space="preserve"> SEQ Figura \* ARABIC </w:instrText>
      </w:r>
      <w:r>
        <w:fldChar w:fldCharType="separate"/>
      </w:r>
      <w:r>
        <w:t>143</w:t>
      </w:r>
      <w:r>
        <w:fldChar w:fldCharType="end"/>
      </w:r>
      <w:bookmarkStart w:id="7017" w:name="_Toc17470"/>
      <w:bookmarkStart w:id="7018" w:name="_Toc4258"/>
      <w:bookmarkStart w:id="7019" w:name="_Toc3998"/>
      <w:bookmarkStart w:id="7020" w:name="_Toc30160"/>
      <w:bookmarkStart w:id="7021" w:name="_Toc28789"/>
      <w:bookmarkStart w:id="7022" w:name="_Toc26735"/>
      <w:bookmarkStart w:id="7023" w:name="_Toc31909"/>
      <w:bookmarkStart w:id="7024" w:name="_Toc22944"/>
      <w:bookmarkStart w:id="7025" w:name="_Toc22096"/>
      <w:r>
        <w:t xml:space="preserve"> - Atrium - secțiune și volum</w:t>
      </w:r>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p>
    <w:p w14:paraId="14317328" w14:textId="77777777" w:rsidR="001C08A5" w:rsidRDefault="00000000">
      <w:pPr>
        <w:pStyle w:val="Heading4"/>
        <w:rPr>
          <w:sz w:val="24"/>
          <w:szCs w:val="24"/>
        </w:rPr>
      </w:pPr>
      <w:bookmarkStart w:id="7026" w:name="_Toc10427"/>
      <w:bookmarkStart w:id="7027" w:name="_Toc9662"/>
      <w:bookmarkStart w:id="7028" w:name="_Toc27236"/>
      <w:bookmarkStart w:id="7029" w:name="_Toc4276"/>
      <w:bookmarkStart w:id="7030" w:name="_Toc1933"/>
      <w:bookmarkStart w:id="7031" w:name="_Toc23878"/>
      <w:bookmarkStart w:id="7032" w:name="_Toc11278"/>
      <w:bookmarkStart w:id="7033" w:name="_Toc2303"/>
      <w:bookmarkStart w:id="7034" w:name="_Toc30016"/>
      <w:bookmarkStart w:id="7035" w:name="_Toc26412"/>
      <w:bookmarkStart w:id="7036" w:name="_Toc10311"/>
      <w:bookmarkStart w:id="7037" w:name="_Toc32162"/>
      <w:bookmarkStart w:id="7038" w:name="_Toc16912"/>
      <w:bookmarkStart w:id="7039" w:name="_Toc19237"/>
      <w:bookmarkStart w:id="7040" w:name="_Toc162355416"/>
      <w:r>
        <w:rPr>
          <w:sz w:val="24"/>
          <w:szCs w:val="24"/>
        </w:rPr>
        <w:t>Tipuri de atrium</w:t>
      </w:r>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p>
    <w:p w14:paraId="481B6F1E" w14:textId="77777777" w:rsidR="001C08A5" w:rsidRDefault="00000000">
      <w:pPr>
        <w:numPr>
          <w:ilvl w:val="0"/>
          <w:numId w:val="96"/>
        </w:numPr>
        <w:tabs>
          <w:tab w:val="left" w:pos="426"/>
          <w:tab w:val="left" w:pos="993"/>
        </w:tabs>
        <w:jc w:val="both"/>
        <w:rPr>
          <w:b/>
          <w:bCs/>
          <w:i/>
          <w:sz w:val="24"/>
        </w:rPr>
      </w:pPr>
      <w:bookmarkStart w:id="7041" w:name="_Toc26343"/>
      <w:r>
        <w:rPr>
          <w:bCs/>
          <w:i/>
          <w:sz w:val="24"/>
        </w:rPr>
        <w:t>VARIANTA 1 Clădirea are atrium, zona etajată având minimum 4 niveluri.</w:t>
      </w:r>
      <w:bookmarkEnd w:id="7041"/>
    </w:p>
    <w:p w14:paraId="5F82A478" w14:textId="77777777" w:rsidR="001C08A5" w:rsidRDefault="00000000">
      <w:pPr>
        <w:jc w:val="center"/>
        <w:rPr>
          <w:b/>
          <w:bCs/>
          <w:i/>
          <w:sz w:val="24"/>
          <w:szCs w:val="24"/>
        </w:rPr>
      </w:pPr>
      <w:r>
        <w:rPr>
          <w:b/>
          <w:bCs/>
          <w:i/>
          <w:noProof/>
          <w:sz w:val="24"/>
          <w:szCs w:val="24"/>
        </w:rPr>
        <w:drawing>
          <wp:inline distT="0" distB="0" distL="114300" distR="114300" wp14:anchorId="6833EABA" wp14:editId="2AC0DFE7">
            <wp:extent cx="5943600" cy="2352040"/>
            <wp:effectExtent l="0" t="0" r="0" b="10160"/>
            <wp:docPr id="1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5"/>
                    <pic:cNvPicPr>
                      <a:picLocks noChangeAspect="1"/>
                    </pic:cNvPicPr>
                  </pic:nvPicPr>
                  <pic:blipFill>
                    <a:blip r:embed="rId308"/>
                    <a:srcRect l="13931" t="9080" r="7327" b="47578"/>
                    <a:stretch>
                      <a:fillRect/>
                    </a:stretch>
                  </pic:blipFill>
                  <pic:spPr>
                    <a:xfrm>
                      <a:off x="0" y="0"/>
                      <a:ext cx="5943600" cy="235204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72C2DA9F" w14:textId="77777777">
        <w:tc>
          <w:tcPr>
            <w:tcW w:w="4927" w:type="dxa"/>
          </w:tcPr>
          <w:p w14:paraId="31EC6FE1" w14:textId="77777777" w:rsidR="001C08A5" w:rsidRDefault="00000000">
            <w:pPr>
              <w:jc w:val="center"/>
              <w:rPr>
                <w:b/>
                <w:bCs/>
                <w:i/>
                <w:sz w:val="24"/>
                <w:szCs w:val="24"/>
              </w:rPr>
            </w:pPr>
            <w:r>
              <w:rPr>
                <w:b/>
                <w:bCs/>
                <w:i/>
                <w:sz w:val="24"/>
                <w:szCs w:val="24"/>
              </w:rPr>
              <w:t>Varianta a) - PLAN</w:t>
            </w:r>
          </w:p>
        </w:tc>
        <w:tc>
          <w:tcPr>
            <w:tcW w:w="4928" w:type="dxa"/>
          </w:tcPr>
          <w:p w14:paraId="568CCDDF" w14:textId="77777777" w:rsidR="001C08A5" w:rsidRDefault="00000000">
            <w:pPr>
              <w:jc w:val="center"/>
              <w:rPr>
                <w:b/>
                <w:bCs/>
                <w:i/>
                <w:sz w:val="24"/>
                <w:szCs w:val="24"/>
              </w:rPr>
            </w:pPr>
            <w:r>
              <w:rPr>
                <w:b/>
                <w:bCs/>
                <w:i/>
                <w:sz w:val="24"/>
                <w:szCs w:val="24"/>
              </w:rPr>
              <w:t>Varianta b) - PLAN</w:t>
            </w:r>
          </w:p>
        </w:tc>
      </w:tr>
    </w:tbl>
    <w:p w14:paraId="3849F435" w14:textId="77777777" w:rsidR="001C08A5" w:rsidRDefault="00000000">
      <w:pPr>
        <w:jc w:val="center"/>
        <w:rPr>
          <w:b/>
          <w:bCs/>
          <w:i/>
          <w:sz w:val="24"/>
          <w:szCs w:val="24"/>
        </w:rPr>
      </w:pPr>
      <w:r>
        <w:rPr>
          <w:b/>
          <w:bCs/>
          <w:i/>
          <w:noProof/>
          <w:sz w:val="24"/>
          <w:szCs w:val="24"/>
        </w:rPr>
        <w:drawing>
          <wp:inline distT="0" distB="0" distL="114300" distR="114300" wp14:anchorId="445A5DD6" wp14:editId="59CEA811">
            <wp:extent cx="5943600" cy="2044700"/>
            <wp:effectExtent l="0" t="0" r="0" b="12700"/>
            <wp:docPr id="3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15"/>
                    <pic:cNvPicPr>
                      <a:picLocks noChangeAspect="1"/>
                    </pic:cNvPicPr>
                  </pic:nvPicPr>
                  <pic:blipFill>
                    <a:blip r:embed="rId308"/>
                    <a:srcRect l="13931" t="57372" r="7327" b="4950"/>
                    <a:stretch>
                      <a:fillRect/>
                    </a:stretch>
                  </pic:blipFill>
                  <pic:spPr>
                    <a:xfrm>
                      <a:off x="0" y="0"/>
                      <a:ext cx="5943600" cy="204470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21BC9C96" w14:textId="77777777">
        <w:tc>
          <w:tcPr>
            <w:tcW w:w="4927" w:type="dxa"/>
          </w:tcPr>
          <w:p w14:paraId="082A6535" w14:textId="77777777" w:rsidR="001C08A5" w:rsidRDefault="00000000">
            <w:pPr>
              <w:jc w:val="center"/>
              <w:rPr>
                <w:b/>
                <w:bCs/>
                <w:i/>
                <w:sz w:val="24"/>
                <w:szCs w:val="24"/>
              </w:rPr>
            </w:pPr>
            <w:r>
              <w:rPr>
                <w:b/>
                <w:bCs/>
                <w:i/>
                <w:sz w:val="24"/>
                <w:szCs w:val="24"/>
              </w:rPr>
              <w:t>Varianta a) - SECȚIUNE (I) A-A</w:t>
            </w:r>
          </w:p>
          <w:p w14:paraId="5D794E76" w14:textId="77777777" w:rsidR="001C08A5" w:rsidRDefault="00000000">
            <w:pPr>
              <w:jc w:val="center"/>
              <w:rPr>
                <w:b/>
                <w:bCs/>
                <w:i/>
                <w:sz w:val="24"/>
                <w:szCs w:val="24"/>
              </w:rPr>
            </w:pPr>
            <w:r>
              <w:rPr>
                <w:b/>
                <w:bCs/>
                <w:i/>
                <w:sz w:val="24"/>
                <w:szCs w:val="24"/>
              </w:rPr>
              <w:t xml:space="preserve">Condiție: l </w:t>
            </w:r>
            <w:r>
              <w:rPr>
                <w:rFonts w:ascii="Arial" w:eastAsia="Times New Roman" w:hAnsi="Arial" w:cs="Arial"/>
                <w:i/>
                <w:sz w:val="24"/>
                <w:szCs w:val="24"/>
              </w:rPr>
              <w:t>≥</w:t>
            </w:r>
            <w:r>
              <w:rPr>
                <w:b/>
                <w:bCs/>
                <w:i/>
                <w:sz w:val="24"/>
                <w:szCs w:val="24"/>
              </w:rPr>
              <w:t>√7H (H&gt;7.0m)</w:t>
            </w:r>
          </w:p>
        </w:tc>
        <w:tc>
          <w:tcPr>
            <w:tcW w:w="4928" w:type="dxa"/>
          </w:tcPr>
          <w:p w14:paraId="11C3E527" w14:textId="77777777" w:rsidR="001C08A5" w:rsidRDefault="00000000">
            <w:pPr>
              <w:jc w:val="center"/>
              <w:rPr>
                <w:b/>
                <w:bCs/>
                <w:i/>
                <w:sz w:val="24"/>
                <w:szCs w:val="24"/>
              </w:rPr>
            </w:pPr>
            <w:r>
              <w:rPr>
                <w:b/>
                <w:bCs/>
                <w:i/>
                <w:sz w:val="24"/>
                <w:szCs w:val="24"/>
              </w:rPr>
              <w:t>Varianta b) - SECȚIUNE (I) B-B</w:t>
            </w:r>
          </w:p>
          <w:p w14:paraId="233ACC4E" w14:textId="77777777" w:rsidR="001C08A5" w:rsidRDefault="00000000">
            <w:pPr>
              <w:jc w:val="center"/>
              <w:rPr>
                <w:b/>
                <w:bCs/>
                <w:i/>
                <w:sz w:val="24"/>
                <w:szCs w:val="24"/>
              </w:rPr>
            </w:pPr>
            <w:r>
              <w:rPr>
                <w:b/>
                <w:bCs/>
                <w:i/>
                <w:sz w:val="24"/>
                <w:szCs w:val="24"/>
              </w:rPr>
              <w:t xml:space="preserve">Condiție: l </w:t>
            </w:r>
            <w:r>
              <w:rPr>
                <w:rFonts w:ascii="Arial" w:eastAsia="Times New Roman" w:hAnsi="Arial" w:cs="Arial"/>
                <w:i/>
                <w:sz w:val="24"/>
                <w:szCs w:val="24"/>
              </w:rPr>
              <w:t>≥</w:t>
            </w:r>
            <w:r>
              <w:rPr>
                <w:b/>
                <w:bCs/>
                <w:i/>
                <w:sz w:val="24"/>
                <w:szCs w:val="24"/>
              </w:rPr>
              <w:t>√7H (H&gt;7.0m)</w:t>
            </w:r>
          </w:p>
        </w:tc>
      </w:tr>
      <w:tr w:rsidR="001C08A5" w14:paraId="4D9E8886" w14:textId="77777777">
        <w:tc>
          <w:tcPr>
            <w:tcW w:w="4927" w:type="dxa"/>
          </w:tcPr>
          <w:p w14:paraId="5BCFEE92" w14:textId="77777777" w:rsidR="001C08A5" w:rsidRDefault="00000000">
            <w:pPr>
              <w:jc w:val="center"/>
              <w:rPr>
                <w:b/>
                <w:bCs/>
                <w:i/>
                <w:sz w:val="24"/>
                <w:szCs w:val="24"/>
              </w:rPr>
            </w:pPr>
            <w:r>
              <w:rPr>
                <w:b/>
                <w:bCs/>
                <w:i/>
                <w:sz w:val="24"/>
                <w:szCs w:val="24"/>
              </w:rPr>
              <w:t xml:space="preserve">Varianta a) </w:t>
            </w:r>
          </w:p>
        </w:tc>
        <w:tc>
          <w:tcPr>
            <w:tcW w:w="4928" w:type="dxa"/>
          </w:tcPr>
          <w:p w14:paraId="53004D33" w14:textId="77777777" w:rsidR="001C08A5" w:rsidRDefault="00000000">
            <w:pPr>
              <w:jc w:val="center"/>
              <w:rPr>
                <w:b/>
                <w:bCs/>
                <w:i/>
                <w:sz w:val="24"/>
                <w:szCs w:val="24"/>
              </w:rPr>
            </w:pPr>
            <w:r>
              <w:rPr>
                <w:b/>
                <w:bCs/>
                <w:i/>
                <w:sz w:val="24"/>
                <w:szCs w:val="24"/>
              </w:rPr>
              <w:t xml:space="preserve">Varianta b) </w:t>
            </w:r>
          </w:p>
        </w:tc>
      </w:tr>
    </w:tbl>
    <w:p w14:paraId="55E86534" w14:textId="77777777" w:rsidR="001C08A5" w:rsidRDefault="00000000">
      <w:pPr>
        <w:pStyle w:val="Caption"/>
        <w:jc w:val="center"/>
      </w:pPr>
      <w:bookmarkStart w:id="7042" w:name="_Toc142898527"/>
      <w:bookmarkStart w:id="7043" w:name="_Toc28414"/>
      <w:bookmarkStart w:id="7044" w:name="_Toc162360368"/>
      <w:bookmarkStart w:id="7045" w:name="_Toc6116"/>
      <w:bookmarkStart w:id="7046" w:name="_Toc18936"/>
      <w:r>
        <w:t xml:space="preserve">Figura </w:t>
      </w:r>
      <w:r>
        <w:fldChar w:fldCharType="begin"/>
      </w:r>
      <w:r>
        <w:instrText xml:space="preserve"> SEQ Figura \* ARABIC </w:instrText>
      </w:r>
      <w:r>
        <w:fldChar w:fldCharType="separate"/>
      </w:r>
      <w:r>
        <w:t>144</w:t>
      </w:r>
      <w:r>
        <w:fldChar w:fldCharType="end"/>
      </w:r>
      <w:bookmarkStart w:id="7047" w:name="_Toc3440"/>
      <w:bookmarkStart w:id="7048" w:name="_Toc10625"/>
      <w:bookmarkStart w:id="7049" w:name="_Toc18898"/>
      <w:bookmarkStart w:id="7050" w:name="_Toc24801"/>
      <w:bookmarkStart w:id="7051" w:name="_Toc2819"/>
      <w:bookmarkStart w:id="7052" w:name="_Toc6611"/>
      <w:bookmarkStart w:id="7053" w:name="_Toc9315"/>
      <w:bookmarkStart w:id="7054" w:name="_Toc4067"/>
      <w:bookmarkStart w:id="7055" w:name="_Toc426"/>
      <w:r>
        <w:t xml:space="preserve"> - Clădiri cu atrium - variante</w:t>
      </w:r>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p>
    <w:p w14:paraId="4F7F64A4" w14:textId="77777777" w:rsidR="001C08A5" w:rsidRDefault="001C08A5">
      <w:pPr>
        <w:ind w:firstLine="720"/>
        <w:jc w:val="both"/>
        <w:rPr>
          <w:b/>
          <w:bCs/>
          <w:i/>
          <w:sz w:val="24"/>
          <w:szCs w:val="24"/>
        </w:rPr>
      </w:pPr>
      <w:bookmarkStart w:id="7056" w:name="_Toc15024"/>
    </w:p>
    <w:p w14:paraId="6544BEDE" w14:textId="77777777" w:rsidR="001C08A5" w:rsidRDefault="00000000">
      <w:pPr>
        <w:numPr>
          <w:ilvl w:val="0"/>
          <w:numId w:val="96"/>
        </w:numPr>
        <w:tabs>
          <w:tab w:val="left" w:pos="426"/>
          <w:tab w:val="left" w:pos="993"/>
        </w:tabs>
        <w:jc w:val="both"/>
        <w:rPr>
          <w:iCs/>
          <w:sz w:val="24"/>
        </w:rPr>
      </w:pPr>
      <w:r>
        <w:rPr>
          <w:bCs/>
          <w:i/>
          <w:sz w:val="24"/>
        </w:rPr>
        <w:lastRenderedPageBreak/>
        <w:t xml:space="preserve">VARIANTA 2: clădirea se considera fara atrium, avand mai puțin de </w:t>
      </w:r>
      <w:r>
        <w:rPr>
          <w:b/>
          <w:i/>
          <w:sz w:val="24"/>
        </w:rPr>
        <w:t>4</w:t>
      </w:r>
      <w:r>
        <w:rPr>
          <w:bCs/>
          <w:i/>
          <w:sz w:val="24"/>
        </w:rPr>
        <w:t xml:space="preserve"> niveluri.</w:t>
      </w:r>
      <w:bookmarkEnd w:id="7056"/>
      <w:r>
        <w:rPr>
          <w:bCs/>
          <w:i/>
          <w:sz w:val="24"/>
        </w:rPr>
        <w:t xml:space="preserve"> </w:t>
      </w:r>
      <w:r>
        <w:rPr>
          <w:i/>
          <w:sz w:val="24"/>
        </w:rPr>
        <w:t xml:space="preserve">La realizarea unor atriumuri, patio sau curţi de lumină pe mai puţin de </w:t>
      </w:r>
      <w:r>
        <w:rPr>
          <w:b/>
          <w:i/>
          <w:sz w:val="24"/>
        </w:rPr>
        <w:t>4</w:t>
      </w:r>
      <w:r>
        <w:rPr>
          <w:i/>
          <w:sz w:val="24"/>
        </w:rPr>
        <w:t xml:space="preserve"> niveluri și acoperite, zonele pline cu înălţimea de cel puţin </w:t>
      </w:r>
      <w:r>
        <w:rPr>
          <w:b/>
          <w:i/>
          <w:sz w:val="24"/>
        </w:rPr>
        <w:t>1,20 m</w:t>
      </w:r>
      <w:r>
        <w:rPr>
          <w:i/>
          <w:sz w:val="24"/>
        </w:rPr>
        <w:t xml:space="preserve">, dintre niveluri, în dreptul planşeelor, trebuie să fie </w:t>
      </w:r>
      <w:r>
        <w:rPr>
          <w:b/>
          <w:bCs/>
          <w:i/>
          <w:sz w:val="24"/>
        </w:rPr>
        <w:t>E 30</w:t>
      </w:r>
      <w:r>
        <w:rPr>
          <w:i/>
          <w:sz w:val="24"/>
        </w:rPr>
        <w:t xml:space="preserve"> .</w:t>
      </w:r>
    </w:p>
    <w:p w14:paraId="195B3BF1" w14:textId="77777777" w:rsidR="001C08A5" w:rsidRDefault="001C08A5">
      <w:pPr>
        <w:numPr>
          <w:ilvl w:val="255"/>
          <w:numId w:val="0"/>
        </w:numPr>
        <w:tabs>
          <w:tab w:val="left" w:pos="426"/>
          <w:tab w:val="left" w:pos="993"/>
        </w:tabs>
        <w:jc w:val="both"/>
        <w:rPr>
          <w:b/>
          <w:bCs/>
          <w:i/>
          <w:sz w:val="24"/>
        </w:rPr>
      </w:pPr>
    </w:p>
    <w:p w14:paraId="5C17589A"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68127F65" wp14:editId="28AE4320">
            <wp:extent cx="5905500" cy="1429385"/>
            <wp:effectExtent l="0" t="0" r="0" b="18415"/>
            <wp:docPr id="1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7"/>
                    <pic:cNvPicPr>
                      <a:picLocks noChangeAspect="1"/>
                    </pic:cNvPicPr>
                  </pic:nvPicPr>
                  <pic:blipFill>
                    <a:blip r:embed="rId309"/>
                    <a:srcRect l="13553" t="30166" r="8211" b="43494"/>
                    <a:stretch>
                      <a:fillRect/>
                    </a:stretch>
                  </pic:blipFill>
                  <pic:spPr>
                    <a:xfrm>
                      <a:off x="0" y="0"/>
                      <a:ext cx="5905500" cy="1429385"/>
                    </a:xfrm>
                    <a:prstGeom prst="rect">
                      <a:avLst/>
                    </a:prstGeom>
                    <a:noFill/>
                    <a:ln>
                      <a:noFill/>
                    </a:ln>
                  </pic:spPr>
                </pic:pic>
              </a:graphicData>
            </a:graphic>
          </wp:inline>
        </w:drawing>
      </w:r>
    </w:p>
    <w:p w14:paraId="06AEF3CD"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SECȚIUNI (variante)</w:t>
      </w:r>
    </w:p>
    <w:p w14:paraId="00CBA983"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4051D8A6" wp14:editId="1EF130B9">
            <wp:extent cx="5905500" cy="2086610"/>
            <wp:effectExtent l="0" t="0" r="0" b="8890"/>
            <wp:docPr id="1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7"/>
                    <pic:cNvPicPr>
                      <a:picLocks noChangeAspect="1"/>
                    </pic:cNvPicPr>
                  </pic:nvPicPr>
                  <pic:blipFill>
                    <a:blip r:embed="rId309"/>
                    <a:srcRect l="13553" t="58308" r="8211" b="3241"/>
                    <a:stretch>
                      <a:fillRect/>
                    </a:stretch>
                  </pic:blipFill>
                  <pic:spPr>
                    <a:xfrm>
                      <a:off x="0" y="0"/>
                      <a:ext cx="5905500" cy="2086610"/>
                    </a:xfrm>
                    <a:prstGeom prst="rect">
                      <a:avLst/>
                    </a:prstGeom>
                    <a:noFill/>
                    <a:ln>
                      <a:noFill/>
                    </a:ln>
                  </pic:spPr>
                </pic:pic>
              </a:graphicData>
            </a:graphic>
          </wp:inline>
        </w:drawing>
      </w:r>
    </w:p>
    <w:p w14:paraId="2032B63F" w14:textId="77777777" w:rsidR="001C08A5" w:rsidRDefault="00000000">
      <w:pPr>
        <w:jc w:val="center"/>
        <w:rPr>
          <w:b/>
          <w:bCs/>
          <w:i/>
          <w:sz w:val="24"/>
          <w:szCs w:val="24"/>
        </w:rPr>
      </w:pPr>
      <w:r>
        <w:rPr>
          <w:b/>
          <w:bCs/>
          <w:i/>
          <w:sz w:val="24"/>
          <w:szCs w:val="24"/>
        </w:rPr>
        <w:t>PLAN</w:t>
      </w:r>
    </w:p>
    <w:p w14:paraId="54865672" w14:textId="77777777" w:rsidR="001C08A5" w:rsidRDefault="00000000">
      <w:pPr>
        <w:pStyle w:val="Caption"/>
        <w:jc w:val="center"/>
      </w:pPr>
      <w:bookmarkStart w:id="7057" w:name="_Toc142898528"/>
      <w:bookmarkStart w:id="7058" w:name="_Toc25148"/>
      <w:bookmarkStart w:id="7059" w:name="_Toc162360369"/>
      <w:bookmarkStart w:id="7060" w:name="_Toc30476"/>
      <w:bookmarkStart w:id="7061" w:name="_Toc16701"/>
      <w:r>
        <w:t xml:space="preserve">Figura </w:t>
      </w:r>
      <w:r>
        <w:fldChar w:fldCharType="begin"/>
      </w:r>
      <w:r>
        <w:instrText xml:space="preserve"> SEQ Figura \* ARABIC </w:instrText>
      </w:r>
      <w:r>
        <w:fldChar w:fldCharType="separate"/>
      </w:r>
      <w:r>
        <w:t>145</w:t>
      </w:r>
      <w:r>
        <w:fldChar w:fldCharType="end"/>
      </w:r>
      <w:bookmarkStart w:id="7062" w:name="_Toc31747"/>
      <w:bookmarkStart w:id="7063" w:name="_Toc2344"/>
      <w:bookmarkStart w:id="7064" w:name="_Toc9918"/>
      <w:bookmarkStart w:id="7065" w:name="_Toc6709"/>
      <w:bookmarkStart w:id="7066" w:name="_Toc31987"/>
      <w:bookmarkStart w:id="7067" w:name="_Toc19909"/>
      <w:bookmarkStart w:id="7068" w:name="_Toc29079"/>
      <w:bookmarkStart w:id="7069" w:name="_Toc15985"/>
      <w:bookmarkStart w:id="7070" w:name="_Toc20634"/>
      <w:r>
        <w:t xml:space="preserve"> - Clădire fără atrium</w:t>
      </w:r>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p>
    <w:p w14:paraId="40AF244D" w14:textId="77777777" w:rsidR="001C08A5" w:rsidRDefault="00000000">
      <w:pPr>
        <w:numPr>
          <w:ilvl w:val="0"/>
          <w:numId w:val="96"/>
        </w:numPr>
        <w:tabs>
          <w:tab w:val="left" w:pos="426"/>
          <w:tab w:val="left" w:pos="993"/>
        </w:tabs>
        <w:jc w:val="both"/>
        <w:rPr>
          <w:b/>
          <w:bCs/>
          <w:i/>
          <w:sz w:val="24"/>
        </w:rPr>
      </w:pPr>
      <w:bookmarkStart w:id="7071" w:name="_Toc14397"/>
      <w:r>
        <w:rPr>
          <w:bCs/>
          <w:i/>
          <w:sz w:val="24"/>
        </w:rPr>
        <w:t>ATRIUM (PATIO, CURTE DE LUMINA) incinta închisă din interiorul unei construct, delimitată pe una sau mai multe laturi de cel pujin patru niveluri ale construcției.</w:t>
      </w:r>
      <w:bookmarkEnd w:id="7071"/>
    </w:p>
    <w:p w14:paraId="1A1067B4" w14:textId="77777777" w:rsidR="001C08A5" w:rsidRDefault="001C08A5">
      <w:pPr>
        <w:numPr>
          <w:ilvl w:val="255"/>
          <w:numId w:val="0"/>
        </w:numPr>
        <w:tabs>
          <w:tab w:val="left" w:pos="426"/>
          <w:tab w:val="left" w:pos="993"/>
        </w:tabs>
        <w:jc w:val="both"/>
        <w:rPr>
          <w:b/>
          <w:bCs/>
          <w:i/>
          <w:sz w:val="24"/>
        </w:rPr>
      </w:pPr>
    </w:p>
    <w:p w14:paraId="0267340B" w14:textId="77777777" w:rsidR="001C08A5" w:rsidRDefault="00000000">
      <w:pPr>
        <w:numPr>
          <w:ilvl w:val="0"/>
          <w:numId w:val="96"/>
        </w:numPr>
        <w:tabs>
          <w:tab w:val="left" w:pos="426"/>
          <w:tab w:val="left" w:pos="993"/>
        </w:tabs>
        <w:jc w:val="both"/>
        <w:rPr>
          <w:b/>
          <w:bCs/>
          <w:i/>
          <w:sz w:val="24"/>
        </w:rPr>
      </w:pPr>
      <w:bookmarkStart w:id="7072" w:name="_Toc8524"/>
      <w:r>
        <w:rPr>
          <w:bCs/>
          <w:i/>
          <w:sz w:val="24"/>
        </w:rPr>
        <w:t>Atriumurile pot fi neacoperite sau acoperite</w:t>
      </w:r>
      <w:bookmarkEnd w:id="7072"/>
      <w:r>
        <w:rPr>
          <w:bCs/>
          <w:i/>
          <w:sz w:val="24"/>
        </w:rPr>
        <w:t>.</w:t>
      </w:r>
    </w:p>
    <w:p w14:paraId="4C4440B1" w14:textId="77777777" w:rsidR="001C08A5" w:rsidRDefault="00000000">
      <w:pPr>
        <w:jc w:val="center"/>
        <w:rPr>
          <w:b/>
          <w:bCs/>
          <w:i/>
          <w:sz w:val="24"/>
          <w:szCs w:val="24"/>
        </w:rPr>
      </w:pPr>
      <w:r>
        <w:rPr>
          <w:b/>
          <w:bCs/>
          <w:i/>
          <w:noProof/>
          <w:sz w:val="24"/>
          <w:szCs w:val="24"/>
          <w:lang w:eastAsia="ro-RO"/>
        </w:rPr>
        <w:drawing>
          <wp:inline distT="0" distB="0" distL="114300" distR="114300" wp14:anchorId="25E6E993" wp14:editId="269B6101">
            <wp:extent cx="6063615" cy="1877695"/>
            <wp:effectExtent l="0" t="0" r="13335" b="8255"/>
            <wp:docPr id="20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75"/>
                    <pic:cNvPicPr>
                      <a:picLocks noChangeAspect="1"/>
                    </pic:cNvPicPr>
                  </pic:nvPicPr>
                  <pic:blipFill>
                    <a:blip r:embed="rId310"/>
                    <a:srcRect l="12308" t="39124" r="7361" b="23715"/>
                    <a:stretch>
                      <a:fillRect/>
                    </a:stretch>
                  </pic:blipFill>
                  <pic:spPr>
                    <a:xfrm>
                      <a:off x="0" y="0"/>
                      <a:ext cx="6063615" cy="1877695"/>
                    </a:xfrm>
                    <a:prstGeom prst="rect">
                      <a:avLst/>
                    </a:prstGeom>
                    <a:noFill/>
                    <a:ln>
                      <a:noFill/>
                    </a:ln>
                  </pic:spPr>
                </pic:pic>
              </a:graphicData>
            </a:graphic>
          </wp:inline>
        </w:drawing>
      </w:r>
    </w:p>
    <w:p w14:paraId="7172B711" w14:textId="77777777" w:rsidR="001C08A5" w:rsidRDefault="00000000">
      <w:pPr>
        <w:pStyle w:val="Caption"/>
        <w:jc w:val="center"/>
      </w:pPr>
      <w:bookmarkStart w:id="7073" w:name="_Toc23722"/>
      <w:bookmarkStart w:id="7074" w:name="_Toc24983"/>
      <w:bookmarkStart w:id="7075" w:name="_Toc162360370"/>
      <w:bookmarkStart w:id="7076" w:name="_Toc142898529"/>
      <w:r>
        <w:t xml:space="preserve">Figura </w:t>
      </w:r>
      <w:r>
        <w:fldChar w:fldCharType="begin"/>
      </w:r>
      <w:r>
        <w:instrText xml:space="preserve"> SEQ Figura \* ARABIC </w:instrText>
      </w:r>
      <w:r>
        <w:fldChar w:fldCharType="separate"/>
      </w:r>
      <w:r>
        <w:t>146</w:t>
      </w:r>
      <w:r>
        <w:fldChar w:fldCharType="end"/>
      </w:r>
      <w:bookmarkStart w:id="7077" w:name="_Toc25493"/>
      <w:bookmarkStart w:id="7078" w:name="_Toc18499"/>
      <w:bookmarkStart w:id="7079" w:name="_Toc29964"/>
      <w:bookmarkStart w:id="7080" w:name="_Toc13361"/>
      <w:bookmarkStart w:id="7081" w:name="_Toc11529"/>
      <w:bookmarkStart w:id="7082" w:name="_Toc32628"/>
      <w:bookmarkStart w:id="7083" w:name="_Toc7877"/>
      <w:bookmarkStart w:id="7084" w:name="_Toc14102"/>
      <w:bookmarkStart w:id="7085" w:name="_Toc6503"/>
      <w:r>
        <w:t xml:space="preserve"> - Atrium acoperit sau neacoperit</w:t>
      </w:r>
      <w:bookmarkEnd w:id="7073"/>
      <w:bookmarkEnd w:id="7074"/>
      <w:bookmarkEnd w:id="7075"/>
      <w:bookmarkEnd w:id="7076"/>
      <w:bookmarkEnd w:id="7077"/>
      <w:bookmarkEnd w:id="7078"/>
      <w:bookmarkEnd w:id="7079"/>
      <w:bookmarkEnd w:id="7080"/>
      <w:bookmarkEnd w:id="7081"/>
      <w:bookmarkEnd w:id="7082"/>
      <w:bookmarkEnd w:id="7083"/>
      <w:bookmarkEnd w:id="7084"/>
      <w:bookmarkEnd w:id="7085"/>
    </w:p>
    <w:p w14:paraId="58E6062E" w14:textId="77777777" w:rsidR="001C08A5" w:rsidRDefault="00000000">
      <w:pPr>
        <w:numPr>
          <w:ilvl w:val="0"/>
          <w:numId w:val="96"/>
        </w:numPr>
        <w:tabs>
          <w:tab w:val="left" w:pos="426"/>
          <w:tab w:val="left" w:pos="993"/>
        </w:tabs>
        <w:jc w:val="both"/>
        <w:rPr>
          <w:b/>
          <w:bCs/>
          <w:i/>
          <w:sz w:val="24"/>
        </w:rPr>
      </w:pPr>
      <w:r>
        <w:rPr>
          <w:bCs/>
          <w:i/>
          <w:sz w:val="24"/>
        </w:rPr>
        <w:t>Atriumurile tratate în normativ sunt cele care îndeplinesc condițiile:</w:t>
      </w:r>
    </w:p>
    <w:p w14:paraId="0B87E80F" w14:textId="77777777" w:rsidR="001C08A5" w:rsidRDefault="00000000">
      <w:pPr>
        <w:ind w:left="720" w:firstLine="720"/>
        <w:jc w:val="both"/>
        <w:rPr>
          <w:rFonts w:eastAsia="Times New Roman"/>
          <w:i/>
          <w:sz w:val="24"/>
          <w:szCs w:val="24"/>
        </w:rPr>
      </w:pPr>
      <w:r>
        <w:rPr>
          <w:rFonts w:eastAsia="Times New Roman"/>
          <w:i/>
          <w:sz w:val="24"/>
          <w:szCs w:val="24"/>
        </w:rPr>
        <w:t>1) sunt delimitate pe una sau mai multe laturi de minimum patru niveluri ale clădirii;</w:t>
      </w:r>
    </w:p>
    <w:p w14:paraId="77DE36A7" w14:textId="77777777" w:rsidR="001C08A5" w:rsidRDefault="00000000">
      <w:pPr>
        <w:ind w:left="720" w:firstLine="720"/>
        <w:jc w:val="both"/>
        <w:rPr>
          <w:rFonts w:eastAsia="Times New Roman"/>
          <w:i/>
          <w:sz w:val="24"/>
          <w:szCs w:val="24"/>
        </w:rPr>
      </w:pPr>
      <w:r>
        <w:rPr>
          <w:rFonts w:eastAsia="Times New Roman"/>
          <w:i/>
          <w:sz w:val="24"/>
          <w:szCs w:val="24"/>
        </w:rPr>
        <w:t xml:space="preserve">2) sunt acoperite și au lațimea cel puțin </w:t>
      </w:r>
      <w:r>
        <w:rPr>
          <w:b/>
          <w:bCs/>
          <w:i/>
          <w:position w:val="-8"/>
          <w:sz w:val="24"/>
          <w:szCs w:val="24"/>
        </w:rPr>
        <w:object w:dxaOrig="570" w:dyaOrig="435" w14:anchorId="31E52A79">
          <v:shape id="_x0000_i1032" type="#_x0000_t75" style="width:28.5pt;height:21.75pt" o:ole="">
            <v:imagedata r:id="rId311" o:title=""/>
          </v:shape>
          <o:OLEObject Type="Embed" ProgID="Equation.3" ShapeID="_x0000_i1032" DrawAspect="Content" ObjectID="_1773212713" r:id="rId312"/>
        </w:object>
      </w:r>
      <w:r>
        <w:rPr>
          <w:rFonts w:eastAsia="Times New Roman"/>
          <w:i/>
          <w:sz w:val="24"/>
          <w:szCs w:val="24"/>
        </w:rPr>
        <w:t xml:space="preserve"> (H fiind cea mai mica înălțime a atriumului).</w:t>
      </w:r>
    </w:p>
    <w:p w14:paraId="22E38F25" w14:textId="77777777" w:rsidR="001C08A5" w:rsidRDefault="00000000">
      <w:pPr>
        <w:ind w:left="720" w:firstLine="720"/>
        <w:jc w:val="both"/>
        <w:rPr>
          <w:rFonts w:eastAsia="Times New Roman"/>
          <w:i/>
          <w:sz w:val="24"/>
          <w:szCs w:val="24"/>
        </w:rPr>
      </w:pPr>
      <w:r>
        <w:rPr>
          <w:rFonts w:eastAsia="Times New Roman"/>
          <w:i/>
          <w:sz w:val="24"/>
          <w:szCs w:val="24"/>
        </w:rPr>
        <w:t xml:space="preserve">3) îndeplinesc condiția l </w:t>
      </w:r>
      <w:r>
        <w:rPr>
          <w:rFonts w:ascii="Arial" w:eastAsia="Times New Roman" w:hAnsi="Arial" w:cs="Arial"/>
          <w:i/>
          <w:sz w:val="24"/>
          <w:szCs w:val="24"/>
        </w:rPr>
        <w:t>≥</w:t>
      </w:r>
      <w:r>
        <w:rPr>
          <w:rFonts w:eastAsia="Times New Roman"/>
          <w:i/>
          <w:sz w:val="24"/>
          <w:szCs w:val="24"/>
        </w:rPr>
        <w:t xml:space="preserve"> </w:t>
      </w:r>
      <w:r>
        <w:rPr>
          <w:b/>
          <w:bCs/>
          <w:i/>
          <w:position w:val="-8"/>
          <w:sz w:val="24"/>
          <w:szCs w:val="24"/>
        </w:rPr>
        <w:object w:dxaOrig="570" w:dyaOrig="435" w14:anchorId="3F9B25E5">
          <v:shape id="_x0000_i1033" type="#_x0000_t75" style="width:28.5pt;height:21.75pt" o:ole="">
            <v:imagedata r:id="rId311" o:title=""/>
          </v:shape>
          <o:OLEObject Type="Embed" ProgID="Equation.3" ShapeID="_x0000_i1033" DrawAspect="Content" ObjectID="_1773212714" r:id="rId313"/>
        </w:object>
      </w:r>
      <w:r>
        <w:rPr>
          <w:rFonts w:eastAsia="Times New Roman"/>
          <w:i/>
          <w:sz w:val="24"/>
          <w:szCs w:val="24"/>
        </w:rPr>
        <w:t xml:space="preserve"> .</w:t>
      </w:r>
    </w:p>
    <w:p w14:paraId="0EF73644"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3E099609" wp14:editId="10CDBAED">
            <wp:extent cx="5041265" cy="1862455"/>
            <wp:effectExtent l="0" t="0" r="6985" b="4445"/>
            <wp:docPr id="20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76"/>
                    <pic:cNvPicPr>
                      <a:picLocks noChangeAspect="1"/>
                    </pic:cNvPicPr>
                  </pic:nvPicPr>
                  <pic:blipFill>
                    <a:blip r:embed="rId314"/>
                    <a:srcRect l="12939" t="25763" r="7782" b="30476"/>
                    <a:stretch>
                      <a:fillRect/>
                    </a:stretch>
                  </pic:blipFill>
                  <pic:spPr>
                    <a:xfrm>
                      <a:off x="0" y="0"/>
                      <a:ext cx="5041265" cy="1862455"/>
                    </a:xfrm>
                    <a:prstGeom prst="rect">
                      <a:avLst/>
                    </a:prstGeom>
                    <a:noFill/>
                    <a:ln>
                      <a:noFill/>
                    </a:ln>
                  </pic:spPr>
                </pic:pic>
              </a:graphicData>
            </a:graphic>
          </wp:inline>
        </w:drawing>
      </w:r>
    </w:p>
    <w:p w14:paraId="3CE98E8B" w14:textId="77777777" w:rsidR="001C08A5" w:rsidRDefault="00000000">
      <w:pPr>
        <w:pStyle w:val="Caption"/>
        <w:jc w:val="center"/>
        <w:rPr>
          <w:rFonts w:eastAsia="Times New Roman"/>
        </w:rPr>
      </w:pPr>
      <w:bookmarkStart w:id="7086" w:name="_Toc6804"/>
      <w:bookmarkStart w:id="7087" w:name="_Toc142898530"/>
      <w:bookmarkStart w:id="7088" w:name="_Toc23278"/>
      <w:bookmarkStart w:id="7089" w:name="_Toc20432"/>
      <w:bookmarkStart w:id="7090" w:name="_Toc162360371"/>
      <w:r>
        <w:t xml:space="preserve">Figura </w:t>
      </w:r>
      <w:r>
        <w:fldChar w:fldCharType="begin"/>
      </w:r>
      <w:r>
        <w:instrText xml:space="preserve"> SEQ Figura \* ARABIC </w:instrText>
      </w:r>
      <w:r>
        <w:fldChar w:fldCharType="separate"/>
      </w:r>
      <w:r>
        <w:t>147</w:t>
      </w:r>
      <w:r>
        <w:fldChar w:fldCharType="end"/>
      </w:r>
      <w:bookmarkStart w:id="7091" w:name="_Toc7084"/>
      <w:bookmarkStart w:id="7092" w:name="_Toc22698"/>
      <w:bookmarkStart w:id="7093" w:name="_Toc24092"/>
      <w:bookmarkStart w:id="7094" w:name="_Toc21471"/>
      <w:bookmarkStart w:id="7095" w:name="_Toc26017"/>
      <w:bookmarkStart w:id="7096" w:name="_Toc3801"/>
      <w:bookmarkStart w:id="7097" w:name="_Toc26903"/>
      <w:bookmarkStart w:id="7098" w:name="_Toc31003"/>
      <w:bookmarkStart w:id="7099" w:name="_Toc13907"/>
      <w:r>
        <w:t xml:space="preserve"> - Condiții atrium</w:t>
      </w:r>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p>
    <w:p w14:paraId="670E3B0B" w14:textId="77777777" w:rsidR="001C08A5" w:rsidRDefault="00000000">
      <w:pPr>
        <w:jc w:val="both"/>
        <w:rPr>
          <w:rFonts w:eastAsia="Times New Roman"/>
          <w:i/>
          <w:sz w:val="22"/>
          <w:szCs w:val="22"/>
        </w:rPr>
      </w:pPr>
      <w:r>
        <w:rPr>
          <w:rFonts w:eastAsia="Times New Roman"/>
          <w:i/>
          <w:sz w:val="22"/>
          <w:szCs w:val="22"/>
        </w:rPr>
        <w:t xml:space="preserve">Notă: </w:t>
      </w:r>
    </w:p>
    <w:p w14:paraId="27FBF8F4" w14:textId="77777777" w:rsidR="001C08A5" w:rsidRDefault="00000000">
      <w:pPr>
        <w:jc w:val="both"/>
        <w:rPr>
          <w:rFonts w:eastAsia="Times New Roman"/>
          <w:b/>
          <w:bCs/>
          <w:i/>
          <w:sz w:val="22"/>
          <w:szCs w:val="22"/>
        </w:rPr>
      </w:pPr>
      <w:r>
        <w:rPr>
          <w:rFonts w:eastAsia="Times New Roman"/>
          <w:i/>
          <w:sz w:val="22"/>
          <w:szCs w:val="22"/>
        </w:rPr>
        <w:t xml:space="preserve">Atriumurile care nu îndeplinesc raportul </w:t>
      </w:r>
      <w:r>
        <w:rPr>
          <w:b/>
          <w:bCs/>
          <w:i/>
          <w:position w:val="-8"/>
          <w:sz w:val="24"/>
          <w:szCs w:val="24"/>
        </w:rPr>
        <w:object w:dxaOrig="570" w:dyaOrig="435" w14:anchorId="3F88DFE7">
          <v:shape id="_x0000_i1034" type="#_x0000_t75" style="width:28.5pt;height:21.75pt" o:ole="">
            <v:imagedata r:id="rId311" o:title=""/>
          </v:shape>
          <o:OLEObject Type="Embed" ProgID="Equation.3" ShapeID="_x0000_i1034" DrawAspect="Content" ObjectID="_1773212715" r:id="rId315"/>
        </w:object>
      </w:r>
      <w:r>
        <w:rPr>
          <w:rFonts w:eastAsia="Times New Roman"/>
          <w:i/>
          <w:sz w:val="22"/>
          <w:szCs w:val="22"/>
        </w:rPr>
        <w:t xml:space="preserve">, prezintă efectul de "COŞ" în caz de incendiu şi nu sunt recomandate. Atunci când se folosesc trebuie să îndeplinească condițiile prevăzute de </w:t>
      </w:r>
      <w:r>
        <w:rPr>
          <w:rFonts w:eastAsia="Times New Roman"/>
          <w:b/>
          <w:bCs/>
          <w:i/>
          <w:sz w:val="22"/>
          <w:szCs w:val="22"/>
        </w:rPr>
        <w:t>Art. 2.4.9.1. (2)</w:t>
      </w:r>
      <w:r>
        <w:rPr>
          <w:rFonts w:eastAsia="Times New Roman"/>
          <w:i/>
          <w:sz w:val="22"/>
          <w:szCs w:val="22"/>
        </w:rPr>
        <w:t xml:space="preserve">  și </w:t>
      </w:r>
      <w:r>
        <w:rPr>
          <w:rFonts w:eastAsia="Times New Roman"/>
          <w:b/>
          <w:bCs/>
          <w:i/>
          <w:sz w:val="22"/>
          <w:szCs w:val="22"/>
        </w:rPr>
        <w:t>Art. 2.4.9.11. (2).</w:t>
      </w:r>
    </w:p>
    <w:p w14:paraId="088A67F5" w14:textId="77777777" w:rsidR="001C08A5" w:rsidRDefault="001C08A5">
      <w:pPr>
        <w:jc w:val="both"/>
        <w:rPr>
          <w:rFonts w:eastAsia="Times New Roman"/>
          <w:b/>
          <w:bCs/>
          <w:i/>
          <w:sz w:val="22"/>
          <w:szCs w:val="22"/>
        </w:rPr>
      </w:pPr>
    </w:p>
    <w:p w14:paraId="40C2E823" w14:textId="77777777" w:rsidR="001C08A5" w:rsidRDefault="00000000">
      <w:pPr>
        <w:numPr>
          <w:ilvl w:val="0"/>
          <w:numId w:val="96"/>
        </w:numPr>
        <w:tabs>
          <w:tab w:val="left" w:pos="426"/>
          <w:tab w:val="left" w:pos="993"/>
        </w:tabs>
        <w:jc w:val="both"/>
        <w:rPr>
          <w:i/>
          <w:sz w:val="24"/>
        </w:rPr>
      </w:pPr>
      <w:r>
        <w:rPr>
          <w:i/>
          <w:sz w:val="24"/>
        </w:rPr>
        <w:t xml:space="preserve">La realizarea unor atriumuri acoperite mai înguste (lăţimea mai mică de </w:t>
      </w:r>
      <w:r>
        <w:rPr>
          <w:bCs/>
          <w:i/>
          <w:position w:val="-8"/>
          <w:sz w:val="24"/>
        </w:rPr>
        <w:object w:dxaOrig="570" w:dyaOrig="435" w14:anchorId="0102778A">
          <v:shape id="_x0000_i1035" type="#_x0000_t75" style="width:28.5pt;height:21.75pt" o:ole="">
            <v:imagedata r:id="rId153" o:title="" embosscolor="white"/>
          </v:shape>
          <o:OLEObject Type="Embed" ProgID="Equation.3" ShapeID="_x0000_i1035" DrawAspect="Content" ObjectID="_1773212716" r:id="rId316"/>
        </w:object>
      </w:r>
      <w:r>
        <w:rPr>
          <w:i/>
          <w:sz w:val="24"/>
        </w:rPr>
        <w:t xml:space="preserve">), efectul de coş în caz de incendiu se măreşte şi este necesar să se ia una din următoarele măsuri suplimentare precizate la </w:t>
      </w:r>
      <w:r>
        <w:rPr>
          <w:b/>
          <w:bCs/>
          <w:i/>
          <w:sz w:val="24"/>
        </w:rPr>
        <w:t>Art. 2.4.9.11. alin. (2)</w:t>
      </w:r>
      <w:r>
        <w:rPr>
          <w:i/>
          <w:sz w:val="24"/>
        </w:rPr>
        <w:t xml:space="preserve">. </w:t>
      </w:r>
    </w:p>
    <w:p w14:paraId="10506128" w14:textId="77777777" w:rsidR="001C08A5" w:rsidRDefault="00000000">
      <w:pPr>
        <w:jc w:val="center"/>
        <w:rPr>
          <w:rFonts w:eastAsia="Times New Roman"/>
          <w:b/>
          <w:bCs/>
          <w:i/>
          <w:sz w:val="24"/>
          <w:szCs w:val="24"/>
        </w:rPr>
      </w:pPr>
      <w:r>
        <w:rPr>
          <w:b/>
          <w:bCs/>
          <w:i/>
          <w:noProof/>
          <w:sz w:val="24"/>
          <w:szCs w:val="24"/>
        </w:rPr>
        <w:drawing>
          <wp:inline distT="0" distB="0" distL="114300" distR="114300" wp14:anchorId="56B09BB5" wp14:editId="50525FE5">
            <wp:extent cx="5895975" cy="3999230"/>
            <wp:effectExtent l="0" t="0" r="9525" b="1270"/>
            <wp:docPr id="1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
                    <pic:cNvPicPr>
                      <a:picLocks noChangeAspect="1"/>
                    </pic:cNvPicPr>
                  </pic:nvPicPr>
                  <pic:blipFill>
                    <a:blip r:embed="rId317"/>
                    <a:srcRect l="14562" t="8963" r="7327" b="17341"/>
                    <a:stretch>
                      <a:fillRect/>
                    </a:stretch>
                  </pic:blipFill>
                  <pic:spPr>
                    <a:xfrm>
                      <a:off x="0" y="0"/>
                      <a:ext cx="5895975" cy="3999230"/>
                    </a:xfrm>
                    <a:prstGeom prst="rect">
                      <a:avLst/>
                    </a:prstGeom>
                    <a:noFill/>
                    <a:ln>
                      <a:noFill/>
                    </a:ln>
                  </pic:spPr>
                </pic:pic>
              </a:graphicData>
            </a:graphic>
          </wp:inline>
        </w:drawing>
      </w:r>
    </w:p>
    <w:p w14:paraId="76ABF838" w14:textId="77777777" w:rsidR="001C08A5" w:rsidRDefault="00000000">
      <w:pPr>
        <w:pStyle w:val="Caption"/>
        <w:jc w:val="center"/>
        <w:rPr>
          <w:rFonts w:eastAsia="Times New Roman" w:cs="Times New Roman"/>
          <w:bCs/>
          <w:sz w:val="22"/>
          <w:szCs w:val="22"/>
        </w:rPr>
      </w:pPr>
      <w:bookmarkStart w:id="7100" w:name="_Toc162360372"/>
      <w:r>
        <w:t xml:space="preserve">Figura </w:t>
      </w:r>
      <w:r>
        <w:fldChar w:fldCharType="begin"/>
      </w:r>
      <w:r>
        <w:instrText xml:space="preserve"> SEQ Figura \* ARABIC </w:instrText>
      </w:r>
      <w:r>
        <w:fldChar w:fldCharType="separate"/>
      </w:r>
      <w:r>
        <w:t>148</w:t>
      </w:r>
      <w:r>
        <w:fldChar w:fldCharType="end"/>
      </w:r>
      <w:bookmarkStart w:id="7101" w:name="_Toc10070"/>
      <w:bookmarkStart w:id="7102" w:name="_Toc7632"/>
      <w:bookmarkStart w:id="7103" w:name="_Toc21515"/>
      <w:bookmarkStart w:id="7104" w:name="_Toc11111"/>
      <w:bookmarkStart w:id="7105" w:name="_Toc31542"/>
      <w:bookmarkStart w:id="7106" w:name="_Toc27605"/>
      <w:bookmarkStart w:id="7107" w:name="_Toc13721"/>
      <w:bookmarkStart w:id="7108" w:name="_Toc22808"/>
      <w:bookmarkStart w:id="7109" w:name="_Toc30703"/>
      <w:r>
        <w:t xml:space="preserve"> - </w:t>
      </w:r>
      <w:r>
        <w:rPr>
          <w:rFonts w:eastAsia="Times New Roman"/>
          <w:bCs/>
        </w:rPr>
        <w:t>Atriumuri cu efect de coș</w:t>
      </w:r>
      <w:bookmarkEnd w:id="7100"/>
      <w:bookmarkEnd w:id="7101"/>
      <w:bookmarkEnd w:id="7102"/>
      <w:bookmarkEnd w:id="7103"/>
      <w:bookmarkEnd w:id="7104"/>
      <w:bookmarkEnd w:id="7105"/>
      <w:bookmarkEnd w:id="7106"/>
      <w:bookmarkEnd w:id="7107"/>
      <w:bookmarkEnd w:id="7108"/>
      <w:bookmarkEnd w:id="7109"/>
    </w:p>
    <w:p w14:paraId="3E5E817E" w14:textId="77777777" w:rsidR="001C08A5" w:rsidRDefault="00000000">
      <w:pPr>
        <w:pStyle w:val="Heading4"/>
        <w:rPr>
          <w:sz w:val="24"/>
          <w:szCs w:val="24"/>
        </w:rPr>
      </w:pPr>
      <w:bookmarkStart w:id="7110" w:name="_Toc13905"/>
      <w:bookmarkStart w:id="7111" w:name="_Toc28646"/>
      <w:bookmarkStart w:id="7112" w:name="_Toc953"/>
      <w:bookmarkStart w:id="7113" w:name="_Toc21498"/>
      <w:bookmarkStart w:id="7114" w:name="_Toc6367"/>
      <w:bookmarkStart w:id="7115" w:name="_Toc4762"/>
      <w:bookmarkStart w:id="7116" w:name="_Toc16370"/>
      <w:bookmarkStart w:id="7117" w:name="_Toc30434"/>
      <w:bookmarkStart w:id="7118" w:name="_Toc2544"/>
      <w:bookmarkStart w:id="7119" w:name="_Toc30274"/>
      <w:bookmarkStart w:id="7120" w:name="_Toc28408"/>
      <w:bookmarkStart w:id="7121" w:name="_Toc23373"/>
      <w:bookmarkStart w:id="7122" w:name="_Toc10357"/>
      <w:bookmarkStart w:id="7123" w:name="_Toc9322"/>
      <w:bookmarkStart w:id="7124" w:name="_Toc30234"/>
      <w:bookmarkStart w:id="7125" w:name="_Toc29465"/>
      <w:bookmarkStart w:id="7126" w:name="_Toc162355417"/>
      <w:r>
        <w:rPr>
          <w:sz w:val="24"/>
          <w:szCs w:val="24"/>
        </w:rPr>
        <w:t>Amplasare atrium</w:t>
      </w:r>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p>
    <w:p w14:paraId="4A9A901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Amplasarea atriumurilor în raport cu clădirea, poate fi adiacentă (pe una până la trei laturi) sau înglobată.</w:t>
      </w:r>
    </w:p>
    <w:p w14:paraId="2695DF74" w14:textId="77777777" w:rsidR="001C08A5" w:rsidRDefault="00000000">
      <w:pPr>
        <w:jc w:val="center"/>
        <w:rPr>
          <w:i/>
          <w:sz w:val="24"/>
          <w:szCs w:val="24"/>
        </w:rPr>
      </w:pPr>
      <w:r>
        <w:rPr>
          <w:i/>
          <w:noProof/>
          <w:sz w:val="24"/>
          <w:szCs w:val="24"/>
          <w:lang w:eastAsia="ro-RO"/>
        </w:rPr>
        <w:lastRenderedPageBreak/>
        <w:drawing>
          <wp:inline distT="0" distB="0" distL="114300" distR="114300" wp14:anchorId="0335C423" wp14:editId="40B2346D">
            <wp:extent cx="5210175" cy="1608455"/>
            <wp:effectExtent l="0" t="0" r="9525" b="10795"/>
            <wp:docPr id="21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77"/>
                    <pic:cNvPicPr>
                      <a:picLocks noChangeAspect="1"/>
                    </pic:cNvPicPr>
                  </pic:nvPicPr>
                  <pic:blipFill>
                    <a:blip r:embed="rId318"/>
                    <a:srcRect l="12619" t="11938" r="7471" b="51213"/>
                    <a:stretch>
                      <a:fillRect/>
                    </a:stretch>
                  </pic:blipFill>
                  <pic:spPr>
                    <a:xfrm>
                      <a:off x="0" y="0"/>
                      <a:ext cx="5210175" cy="1608455"/>
                    </a:xfrm>
                    <a:prstGeom prst="rect">
                      <a:avLst/>
                    </a:prstGeom>
                    <a:noFill/>
                    <a:ln>
                      <a:noFill/>
                    </a:ln>
                  </pic:spPr>
                </pic:pic>
              </a:graphicData>
            </a:graphic>
          </wp:inline>
        </w:drawing>
      </w:r>
    </w:p>
    <w:p w14:paraId="5EAA219B" w14:textId="77777777" w:rsidR="001C08A5" w:rsidRDefault="00000000">
      <w:pPr>
        <w:jc w:val="center"/>
        <w:rPr>
          <w:i/>
          <w:sz w:val="24"/>
          <w:szCs w:val="24"/>
        </w:rPr>
      </w:pPr>
      <w:r>
        <w:rPr>
          <w:i/>
          <w:noProof/>
          <w:sz w:val="24"/>
          <w:szCs w:val="24"/>
          <w:lang w:eastAsia="ro-RO"/>
        </w:rPr>
        <w:drawing>
          <wp:inline distT="0" distB="0" distL="114300" distR="114300" wp14:anchorId="0F921EE8" wp14:editId="73B86493">
            <wp:extent cx="5243830" cy="1142365"/>
            <wp:effectExtent l="0" t="0" r="13970" b="635"/>
            <wp:docPr id="21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77"/>
                    <pic:cNvPicPr>
                      <a:picLocks noChangeAspect="1"/>
                    </pic:cNvPicPr>
                  </pic:nvPicPr>
                  <pic:blipFill>
                    <a:blip r:embed="rId318"/>
                    <a:srcRect l="12619" t="62059" r="7471" b="11938"/>
                    <a:stretch>
                      <a:fillRect/>
                    </a:stretch>
                  </pic:blipFill>
                  <pic:spPr>
                    <a:xfrm>
                      <a:off x="0" y="0"/>
                      <a:ext cx="5243830" cy="1142365"/>
                    </a:xfrm>
                    <a:prstGeom prst="rect">
                      <a:avLst/>
                    </a:prstGeom>
                    <a:noFill/>
                    <a:ln>
                      <a:noFill/>
                    </a:ln>
                  </pic:spPr>
                </pic:pic>
              </a:graphicData>
            </a:graphic>
          </wp:inline>
        </w:drawing>
      </w:r>
    </w:p>
    <w:p w14:paraId="3FD8278D" w14:textId="77777777" w:rsidR="001C08A5" w:rsidRDefault="00000000">
      <w:pPr>
        <w:pStyle w:val="Caption"/>
        <w:jc w:val="center"/>
      </w:pPr>
      <w:bookmarkStart w:id="7127" w:name="_Toc142898531"/>
      <w:bookmarkStart w:id="7128" w:name="_Toc162360373"/>
      <w:bookmarkStart w:id="7129" w:name="_Toc23460"/>
      <w:bookmarkStart w:id="7130" w:name="_Toc31393"/>
      <w:bookmarkStart w:id="7131" w:name="_Toc3554"/>
      <w:r>
        <w:t xml:space="preserve">Figura </w:t>
      </w:r>
      <w:r>
        <w:fldChar w:fldCharType="begin"/>
      </w:r>
      <w:r>
        <w:instrText xml:space="preserve"> SEQ Figura \* ARABIC </w:instrText>
      </w:r>
      <w:r>
        <w:fldChar w:fldCharType="separate"/>
      </w:r>
      <w:r>
        <w:t>149</w:t>
      </w:r>
      <w:r>
        <w:fldChar w:fldCharType="end"/>
      </w:r>
      <w:bookmarkStart w:id="7132" w:name="_Toc7486"/>
      <w:bookmarkStart w:id="7133" w:name="_Toc16059"/>
      <w:bookmarkStart w:id="7134" w:name="_Toc8171"/>
      <w:bookmarkStart w:id="7135" w:name="_Toc6278"/>
      <w:bookmarkStart w:id="7136" w:name="_Toc7111"/>
      <w:bookmarkStart w:id="7137" w:name="_Toc5050"/>
      <w:bookmarkStart w:id="7138" w:name="_Toc27723"/>
      <w:bookmarkStart w:id="7139" w:name="_Toc30401"/>
      <w:bookmarkStart w:id="7140" w:name="_Toc5079"/>
      <w:r>
        <w:t xml:space="preserve"> - Amplasarea atriumurilor în raport cu clădirea</w:t>
      </w:r>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p>
    <w:p w14:paraId="627229CE"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Faţă de nivelurile clădirii atriumul poate fi închis cu pereţi plini, pereţi vitraţi sau neînchis.</w:t>
      </w:r>
    </w:p>
    <w:p w14:paraId="50BABF04"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03F74162" wp14:editId="3F940852">
            <wp:extent cx="5943600" cy="3799205"/>
            <wp:effectExtent l="0" t="0" r="0" b="10795"/>
            <wp:docPr id="3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9"/>
                    <pic:cNvPicPr>
                      <a:picLocks noChangeAspect="1"/>
                    </pic:cNvPicPr>
                  </pic:nvPicPr>
                  <pic:blipFill>
                    <a:blip r:embed="rId319"/>
                    <a:srcRect l="13805" t="17002" r="7454" b="12989"/>
                    <a:stretch>
                      <a:fillRect/>
                    </a:stretch>
                  </pic:blipFill>
                  <pic:spPr>
                    <a:xfrm>
                      <a:off x="0" y="0"/>
                      <a:ext cx="5943600" cy="3799205"/>
                    </a:xfrm>
                    <a:prstGeom prst="rect">
                      <a:avLst/>
                    </a:prstGeom>
                    <a:noFill/>
                    <a:ln>
                      <a:noFill/>
                    </a:ln>
                  </pic:spPr>
                </pic:pic>
              </a:graphicData>
            </a:graphic>
          </wp:inline>
        </w:drawing>
      </w:r>
    </w:p>
    <w:p w14:paraId="273EEDF9" w14:textId="77777777" w:rsidR="001C08A5" w:rsidRDefault="00000000">
      <w:pPr>
        <w:pStyle w:val="Caption"/>
        <w:jc w:val="center"/>
        <w:rPr>
          <w:rFonts w:cs="Times New Roman"/>
          <w:bCs/>
        </w:rPr>
      </w:pPr>
      <w:bookmarkStart w:id="7141" w:name="_Toc142898532"/>
      <w:bookmarkStart w:id="7142" w:name="_Toc162360374"/>
      <w:bookmarkStart w:id="7143" w:name="_Toc12109"/>
      <w:bookmarkStart w:id="7144" w:name="_Toc3019"/>
      <w:r>
        <w:t xml:space="preserve">Figura </w:t>
      </w:r>
      <w:r>
        <w:fldChar w:fldCharType="begin"/>
      </w:r>
      <w:r>
        <w:instrText xml:space="preserve"> SEQ Figura \* ARABIC </w:instrText>
      </w:r>
      <w:r>
        <w:fldChar w:fldCharType="separate"/>
      </w:r>
      <w:r>
        <w:t>150</w:t>
      </w:r>
      <w:r>
        <w:fldChar w:fldCharType="end"/>
      </w:r>
      <w:bookmarkStart w:id="7145" w:name="_Toc15963"/>
      <w:bookmarkStart w:id="7146" w:name="_Toc29849"/>
      <w:bookmarkStart w:id="7147" w:name="_Toc10340"/>
      <w:bookmarkStart w:id="7148" w:name="_Toc31922"/>
      <w:bookmarkStart w:id="7149" w:name="_Toc3199"/>
      <w:bookmarkStart w:id="7150" w:name="_Toc8583"/>
      <w:bookmarkStart w:id="7151" w:name="_Toc20639"/>
      <w:bookmarkStart w:id="7152" w:name="_Toc22374"/>
      <w:bookmarkStart w:id="7153" w:name="_Toc8932"/>
      <w:r>
        <w:t xml:space="preserve"> - </w:t>
      </w:r>
      <w:r>
        <w:rPr>
          <w:rFonts w:cs="Times New Roman"/>
          <w:bCs/>
        </w:rPr>
        <w:t>Închidere atrium - Atriumuri cu pereți plini</w:t>
      </w:r>
      <w:bookmarkEnd w:id="7141"/>
      <w:bookmarkEnd w:id="7142"/>
      <w:r>
        <w:rPr>
          <w:rFonts w:cs="Times New Roman"/>
          <w:bCs/>
        </w:rPr>
        <w:t xml:space="preserve"> </w:t>
      </w:r>
      <w:bookmarkEnd w:id="7143"/>
      <w:bookmarkEnd w:id="7144"/>
      <w:bookmarkEnd w:id="7145"/>
      <w:bookmarkEnd w:id="7146"/>
      <w:bookmarkEnd w:id="7147"/>
      <w:bookmarkEnd w:id="7148"/>
      <w:bookmarkEnd w:id="7149"/>
      <w:bookmarkEnd w:id="7150"/>
      <w:bookmarkEnd w:id="7151"/>
      <w:bookmarkEnd w:id="7152"/>
      <w:bookmarkEnd w:id="7153"/>
    </w:p>
    <w:p w14:paraId="343C240D" w14:textId="77777777" w:rsidR="001C08A5" w:rsidRDefault="00000000">
      <w:pPr>
        <w:jc w:val="center"/>
        <w:rPr>
          <w:rFonts w:eastAsia="Times New Roman"/>
          <w:i/>
          <w:sz w:val="24"/>
          <w:szCs w:val="24"/>
        </w:rPr>
      </w:pPr>
      <w:r>
        <w:rPr>
          <w:b/>
          <w:bCs/>
          <w:i/>
          <w:noProof/>
          <w:sz w:val="24"/>
          <w:szCs w:val="24"/>
        </w:rPr>
        <w:lastRenderedPageBreak/>
        <w:drawing>
          <wp:inline distT="0" distB="0" distL="114300" distR="114300" wp14:anchorId="2D1002B7" wp14:editId="5A44E08C">
            <wp:extent cx="4486275" cy="3340735"/>
            <wp:effectExtent l="0" t="0" r="9525" b="12065"/>
            <wp:docPr id="3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10"/>
                    <pic:cNvPicPr>
                      <a:picLocks noChangeAspect="1"/>
                    </pic:cNvPicPr>
                  </pic:nvPicPr>
                  <pic:blipFill>
                    <a:blip r:embed="rId320"/>
                    <a:srcRect l="24026" t="33267" r="16539" b="5172"/>
                    <a:stretch>
                      <a:fillRect/>
                    </a:stretch>
                  </pic:blipFill>
                  <pic:spPr>
                    <a:xfrm>
                      <a:off x="0" y="0"/>
                      <a:ext cx="4486275" cy="3340735"/>
                    </a:xfrm>
                    <a:prstGeom prst="rect">
                      <a:avLst/>
                    </a:prstGeom>
                    <a:noFill/>
                    <a:ln>
                      <a:noFill/>
                    </a:ln>
                  </pic:spPr>
                </pic:pic>
              </a:graphicData>
            </a:graphic>
          </wp:inline>
        </w:drawing>
      </w:r>
    </w:p>
    <w:p w14:paraId="023FE237" w14:textId="77777777" w:rsidR="001C08A5" w:rsidRDefault="00000000">
      <w:pPr>
        <w:pStyle w:val="Caption"/>
        <w:jc w:val="center"/>
      </w:pPr>
      <w:bookmarkStart w:id="7154" w:name="_Toc3653"/>
      <w:bookmarkStart w:id="7155" w:name="_Toc31728"/>
      <w:bookmarkStart w:id="7156" w:name="_Toc10382"/>
      <w:bookmarkStart w:id="7157" w:name="_Toc162360375"/>
      <w:bookmarkStart w:id="7158" w:name="_Toc142898533"/>
      <w:r>
        <w:t xml:space="preserve">Figura </w:t>
      </w:r>
      <w:r>
        <w:fldChar w:fldCharType="begin"/>
      </w:r>
      <w:r>
        <w:instrText xml:space="preserve"> SEQ Figura \* ARABIC </w:instrText>
      </w:r>
      <w:r>
        <w:fldChar w:fldCharType="separate"/>
      </w:r>
      <w:r>
        <w:t>151</w:t>
      </w:r>
      <w:r>
        <w:fldChar w:fldCharType="end"/>
      </w:r>
      <w:bookmarkStart w:id="7159" w:name="_Toc13885"/>
      <w:bookmarkStart w:id="7160" w:name="_Toc31458"/>
      <w:bookmarkStart w:id="7161" w:name="_Toc4578"/>
      <w:bookmarkStart w:id="7162" w:name="_Toc24758"/>
      <w:bookmarkStart w:id="7163" w:name="_Toc17248"/>
      <w:bookmarkStart w:id="7164" w:name="_Toc12318"/>
      <w:bookmarkStart w:id="7165" w:name="_Toc23607"/>
      <w:bookmarkStart w:id="7166" w:name="_Toc11988"/>
      <w:bookmarkStart w:id="7167" w:name="_Toc7361"/>
      <w:r>
        <w:t xml:space="preserve"> - Închidere atrium - Atriumuri cu pereți vitrați</w:t>
      </w:r>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p>
    <w:p w14:paraId="67D60323" w14:textId="77777777" w:rsidR="001C08A5" w:rsidRDefault="00000000">
      <w:pPr>
        <w:jc w:val="center"/>
        <w:rPr>
          <w:rFonts w:eastAsia="Times New Roman"/>
          <w:b/>
          <w:bCs/>
          <w:i/>
          <w:sz w:val="24"/>
          <w:szCs w:val="24"/>
        </w:rPr>
      </w:pPr>
      <w:r>
        <w:rPr>
          <w:b/>
          <w:bCs/>
          <w:i/>
          <w:noProof/>
          <w:sz w:val="24"/>
          <w:szCs w:val="24"/>
        </w:rPr>
        <w:drawing>
          <wp:inline distT="0" distB="0" distL="114300" distR="114300" wp14:anchorId="1F67524C" wp14:editId="59CCF59D">
            <wp:extent cx="6010275" cy="3018790"/>
            <wp:effectExtent l="0" t="0" r="9525" b="10160"/>
            <wp:docPr id="1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1"/>
                    <pic:cNvPicPr>
                      <a:picLocks noChangeAspect="1"/>
                    </pic:cNvPicPr>
                  </pic:nvPicPr>
                  <pic:blipFill>
                    <a:blip r:embed="rId321"/>
                    <a:srcRect l="12543" t="19635" r="7832" b="24737"/>
                    <a:stretch>
                      <a:fillRect/>
                    </a:stretch>
                  </pic:blipFill>
                  <pic:spPr>
                    <a:xfrm>
                      <a:off x="0" y="0"/>
                      <a:ext cx="6010275" cy="3018790"/>
                    </a:xfrm>
                    <a:prstGeom prst="rect">
                      <a:avLst/>
                    </a:prstGeom>
                    <a:noFill/>
                    <a:ln>
                      <a:noFill/>
                    </a:ln>
                  </pic:spPr>
                </pic:pic>
              </a:graphicData>
            </a:graphic>
          </wp:inline>
        </w:drawing>
      </w:r>
    </w:p>
    <w:p w14:paraId="18434789" w14:textId="77777777" w:rsidR="001C08A5" w:rsidRDefault="00000000">
      <w:pPr>
        <w:pStyle w:val="Caption"/>
        <w:jc w:val="center"/>
      </w:pPr>
      <w:bookmarkStart w:id="7168" w:name="_Toc162360376"/>
      <w:bookmarkStart w:id="7169" w:name="_Toc28979"/>
      <w:bookmarkStart w:id="7170" w:name="_Toc142898534"/>
      <w:bookmarkStart w:id="7171" w:name="_Toc31735"/>
      <w:r>
        <w:t xml:space="preserve">Figura </w:t>
      </w:r>
      <w:r>
        <w:fldChar w:fldCharType="begin"/>
      </w:r>
      <w:r>
        <w:instrText xml:space="preserve"> SEQ Figura \* ARABIC </w:instrText>
      </w:r>
      <w:r>
        <w:fldChar w:fldCharType="separate"/>
      </w:r>
      <w:r>
        <w:t>152</w:t>
      </w:r>
      <w:r>
        <w:fldChar w:fldCharType="end"/>
      </w:r>
      <w:bookmarkStart w:id="7172" w:name="_Toc23728"/>
      <w:bookmarkStart w:id="7173" w:name="_Toc17980"/>
      <w:bookmarkStart w:id="7174" w:name="_Toc8389"/>
      <w:bookmarkStart w:id="7175" w:name="_Toc26916"/>
      <w:bookmarkStart w:id="7176" w:name="_Toc31072"/>
      <w:bookmarkStart w:id="7177" w:name="_Toc14917"/>
      <w:bookmarkStart w:id="7178" w:name="_Toc32703"/>
      <w:bookmarkStart w:id="7179" w:name="_Toc25944"/>
      <w:bookmarkStart w:id="7180" w:name="_Toc24015"/>
      <w:r>
        <w:t xml:space="preserve"> - Închidere atrium - Atriumuri nedelimitate cu perete</w:t>
      </w:r>
      <w:bookmarkEnd w:id="7168"/>
      <w:bookmarkEnd w:id="7169"/>
      <w:bookmarkEnd w:id="7170"/>
      <w:bookmarkEnd w:id="7171"/>
      <w:bookmarkEnd w:id="7172"/>
      <w:bookmarkEnd w:id="7173"/>
      <w:bookmarkEnd w:id="7174"/>
      <w:bookmarkEnd w:id="7175"/>
      <w:bookmarkEnd w:id="7176"/>
      <w:bookmarkEnd w:id="7177"/>
      <w:bookmarkEnd w:id="7178"/>
      <w:bookmarkEnd w:id="7179"/>
      <w:bookmarkEnd w:id="7180"/>
    </w:p>
    <w:p w14:paraId="681C19E0"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Depozitele de materiale şi/sau substanţe combustibile, neseparate de atrium NU SUNT ADMISE.</w:t>
      </w:r>
    </w:p>
    <w:p w14:paraId="19198EAE" w14:textId="77777777" w:rsidR="001C08A5" w:rsidRDefault="001C08A5">
      <w:pPr>
        <w:numPr>
          <w:ilvl w:val="255"/>
          <w:numId w:val="0"/>
        </w:numPr>
        <w:tabs>
          <w:tab w:val="left" w:pos="426"/>
          <w:tab w:val="left" w:pos="993"/>
        </w:tabs>
        <w:jc w:val="both"/>
        <w:rPr>
          <w:rFonts w:eastAsia="Times New Roman"/>
          <w:b/>
          <w:i/>
          <w:sz w:val="24"/>
        </w:rPr>
      </w:pPr>
    </w:p>
    <w:p w14:paraId="048356B2"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26F7773B" wp14:editId="7EA5DB2F">
            <wp:extent cx="5200650" cy="2969895"/>
            <wp:effectExtent l="0" t="0" r="0" b="1905"/>
            <wp:docPr id="1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2"/>
                    <pic:cNvPicPr>
                      <a:picLocks noChangeAspect="1"/>
                    </pic:cNvPicPr>
                  </pic:nvPicPr>
                  <pic:blipFill>
                    <a:blip r:embed="rId322"/>
                    <a:srcRect l="15445" t="9466" r="15656" b="35806"/>
                    <a:stretch>
                      <a:fillRect/>
                    </a:stretch>
                  </pic:blipFill>
                  <pic:spPr>
                    <a:xfrm>
                      <a:off x="0" y="0"/>
                      <a:ext cx="5200650" cy="2969895"/>
                    </a:xfrm>
                    <a:prstGeom prst="rect">
                      <a:avLst/>
                    </a:prstGeom>
                    <a:noFill/>
                    <a:ln>
                      <a:noFill/>
                    </a:ln>
                  </pic:spPr>
                </pic:pic>
              </a:graphicData>
            </a:graphic>
          </wp:inline>
        </w:drawing>
      </w:r>
    </w:p>
    <w:p w14:paraId="3DA1A7F5"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SECȚIUNE</w:t>
      </w:r>
    </w:p>
    <w:p w14:paraId="7DB52BCE"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3BD6A897" wp14:editId="350E6EEA">
            <wp:extent cx="4457700" cy="3131185"/>
            <wp:effectExtent l="0" t="0" r="0" b="12065"/>
            <wp:docPr id="1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3"/>
                    <pic:cNvPicPr>
                      <a:picLocks noChangeAspect="1"/>
                    </pic:cNvPicPr>
                  </pic:nvPicPr>
                  <pic:blipFill>
                    <a:blip r:embed="rId323"/>
                    <a:srcRect l="25288" t="19670" r="15656" b="22630"/>
                    <a:stretch>
                      <a:fillRect/>
                    </a:stretch>
                  </pic:blipFill>
                  <pic:spPr>
                    <a:xfrm>
                      <a:off x="0" y="0"/>
                      <a:ext cx="4457700" cy="3131185"/>
                    </a:xfrm>
                    <a:prstGeom prst="rect">
                      <a:avLst/>
                    </a:prstGeom>
                    <a:noFill/>
                    <a:ln>
                      <a:noFill/>
                    </a:ln>
                  </pic:spPr>
                </pic:pic>
              </a:graphicData>
            </a:graphic>
          </wp:inline>
        </w:drawing>
      </w:r>
    </w:p>
    <w:p w14:paraId="2A5E7AD1"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PLAN</w:t>
      </w:r>
    </w:p>
    <w:p w14:paraId="059A7CDF" w14:textId="77777777" w:rsidR="001C08A5" w:rsidRDefault="00000000">
      <w:pPr>
        <w:pStyle w:val="Caption"/>
        <w:jc w:val="center"/>
        <w:rPr>
          <w:rFonts w:eastAsia="Times New Roman" w:cs="Times New Roman"/>
          <w:bCs/>
        </w:rPr>
      </w:pPr>
      <w:bookmarkStart w:id="7181" w:name="_Toc3116"/>
      <w:bookmarkStart w:id="7182" w:name="_Toc162360377"/>
      <w:bookmarkStart w:id="7183" w:name="_Toc16900"/>
      <w:bookmarkStart w:id="7184" w:name="_Toc26158"/>
      <w:bookmarkStart w:id="7185" w:name="_Toc142898535"/>
      <w:r>
        <w:t xml:space="preserve">Figura </w:t>
      </w:r>
      <w:r>
        <w:fldChar w:fldCharType="begin"/>
      </w:r>
      <w:r>
        <w:instrText xml:space="preserve"> SEQ Figura \* ARABIC </w:instrText>
      </w:r>
      <w:r>
        <w:fldChar w:fldCharType="separate"/>
      </w:r>
      <w:r>
        <w:t>153</w:t>
      </w:r>
      <w:r>
        <w:fldChar w:fldCharType="end"/>
      </w:r>
      <w:bookmarkStart w:id="7186" w:name="_Toc6753"/>
      <w:bookmarkStart w:id="7187" w:name="_Toc14676"/>
      <w:bookmarkStart w:id="7188" w:name="_Toc16944"/>
      <w:bookmarkStart w:id="7189" w:name="_Toc21190"/>
      <w:bookmarkStart w:id="7190" w:name="_Toc16734"/>
      <w:bookmarkStart w:id="7191" w:name="_Toc15396"/>
      <w:bookmarkStart w:id="7192" w:name="_Toc8645"/>
      <w:bookmarkStart w:id="7193" w:name="_Toc4194"/>
      <w:bookmarkStart w:id="7194" w:name="_Toc11562"/>
      <w:r>
        <w:t xml:space="preserve"> - </w:t>
      </w:r>
      <w:r>
        <w:rPr>
          <w:rFonts w:eastAsia="Times New Roman" w:cs="Times New Roman"/>
          <w:bCs/>
        </w:rPr>
        <w:t>Atrium - spaţii cu risc mare de incendiu</w:t>
      </w:r>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p>
    <w:p w14:paraId="12B51B6E" w14:textId="77777777" w:rsidR="001C08A5" w:rsidRDefault="001C08A5">
      <w:pPr>
        <w:jc w:val="center"/>
        <w:rPr>
          <w:rFonts w:eastAsia="Times New Roman"/>
          <w:b/>
          <w:bCs/>
          <w:i/>
          <w:sz w:val="24"/>
          <w:szCs w:val="24"/>
        </w:rPr>
      </w:pPr>
    </w:p>
    <w:p w14:paraId="48EA0914"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 construcţiile cu atrium nu se recomandă dispunerea adiacentă, neseparată de atrium, a unor spaţii cu risc mare de incendiu, iar când acestea se prevăd (comerţ, expoziţii şi altele similare cu densitatea sarcinii termice - q peste </w:t>
      </w:r>
      <w:r>
        <w:rPr>
          <w:rFonts w:eastAsia="Times New Roman"/>
          <w:b/>
          <w:bCs/>
          <w:i/>
          <w:sz w:val="24"/>
        </w:rPr>
        <w:t>840 MJ/m</w:t>
      </w:r>
      <w:r>
        <w:rPr>
          <w:rFonts w:eastAsia="Times New Roman"/>
          <w:b/>
          <w:bCs/>
          <w:i/>
          <w:sz w:val="24"/>
          <w:vertAlign w:val="superscript"/>
        </w:rPr>
        <w:t>2</w:t>
      </w:r>
      <w:r>
        <w:rPr>
          <w:rFonts w:eastAsia="Times New Roman"/>
          <w:i/>
          <w:sz w:val="24"/>
        </w:rPr>
        <w:t>), aceste spaţii se echipează obligatoriu cu instalaţii de detectare, semnalizare și alarmare, precum şi automate de stingere a incendiilor. Atunci când adiacent atriumului se prevăd spaţii cu funcțiuni de sănătate, cazare învățământ, comerț, expoziții și altele similare atriumurile se prevăd cu sisteme de evacuare a fumului şi gazelor fierbinţi în caz de incendiu.</w:t>
      </w:r>
    </w:p>
    <w:p w14:paraId="556B0DFE" w14:textId="77777777" w:rsidR="001C08A5" w:rsidRDefault="001C08A5">
      <w:pPr>
        <w:numPr>
          <w:ilvl w:val="255"/>
          <w:numId w:val="0"/>
        </w:numPr>
        <w:tabs>
          <w:tab w:val="left" w:pos="426"/>
          <w:tab w:val="left" w:pos="993"/>
        </w:tabs>
        <w:jc w:val="both"/>
        <w:rPr>
          <w:rFonts w:eastAsia="Times New Roman"/>
          <w:b/>
          <w:i/>
          <w:sz w:val="24"/>
        </w:rPr>
      </w:pPr>
    </w:p>
    <w:p w14:paraId="0704BF4A"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Depozitele de materiale şi/sau substanţe combustibile se separă faţă de atriumuri cu elemente rezistente la foc, alcătuite şi dimensionate corespunzător densităţii sarcinii termice (</w:t>
      </w:r>
      <w:r>
        <w:rPr>
          <w:rFonts w:eastAsia="Times New Roman"/>
          <w:b/>
          <w:bCs/>
          <w:i/>
          <w:sz w:val="24"/>
        </w:rPr>
        <w:t>q</w:t>
      </w:r>
      <w:r>
        <w:rPr>
          <w:rFonts w:eastAsia="Times New Roman"/>
          <w:i/>
          <w:sz w:val="24"/>
        </w:rPr>
        <w:t xml:space="preserve">) din depozitele respective, dar minimum </w:t>
      </w:r>
      <w:r>
        <w:rPr>
          <w:rFonts w:eastAsia="Times New Roman"/>
          <w:b/>
          <w:bCs/>
          <w:i/>
          <w:sz w:val="24"/>
        </w:rPr>
        <w:t>EI 120</w:t>
      </w:r>
      <w:r>
        <w:rPr>
          <w:rFonts w:eastAsia="Times New Roman"/>
          <w:i/>
          <w:sz w:val="24"/>
        </w:rPr>
        <w:t xml:space="preserve">. </w:t>
      </w:r>
    </w:p>
    <w:p w14:paraId="5C2B3094" w14:textId="77777777" w:rsidR="001C08A5" w:rsidRDefault="00000000">
      <w:pPr>
        <w:pStyle w:val="Heading4"/>
        <w:rPr>
          <w:sz w:val="24"/>
          <w:szCs w:val="24"/>
        </w:rPr>
      </w:pPr>
      <w:bookmarkStart w:id="7195" w:name="_Toc14111"/>
      <w:bookmarkStart w:id="7196" w:name="_Toc10683"/>
      <w:bookmarkStart w:id="7197" w:name="_Toc9546"/>
      <w:bookmarkStart w:id="7198" w:name="_Toc28410"/>
      <w:bookmarkStart w:id="7199" w:name="_Toc21476"/>
      <w:bookmarkStart w:id="7200" w:name="_Toc162355418"/>
      <w:bookmarkStart w:id="7201" w:name="_Toc9688"/>
      <w:bookmarkStart w:id="7202" w:name="_Toc25861"/>
      <w:bookmarkStart w:id="7203" w:name="_Toc6649"/>
      <w:bookmarkStart w:id="7204" w:name="_Toc16443"/>
      <w:bookmarkStart w:id="7205" w:name="_Toc2780"/>
      <w:bookmarkStart w:id="7206" w:name="_Toc24865"/>
      <w:bookmarkStart w:id="7207" w:name="_Toc21530"/>
      <w:bookmarkStart w:id="7208" w:name="_Toc2958"/>
      <w:bookmarkStart w:id="7209" w:name="_Toc7978"/>
      <w:bookmarkStart w:id="7210" w:name="_Toc7395"/>
      <w:r>
        <w:rPr>
          <w:sz w:val="24"/>
          <w:szCs w:val="24"/>
        </w:rPr>
        <w:t>Circulaţii comune orizontale deschise spre atrium</w:t>
      </w:r>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p>
    <w:p w14:paraId="7FF38E87" w14:textId="77777777" w:rsidR="001C08A5" w:rsidRDefault="001C08A5"/>
    <w:p w14:paraId="3DAFDF68"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lastRenderedPageBreak/>
        <w:t xml:space="preserve">Circulaţiile comune orizontale deschise spre atrium, se prevăd la limita lor spre atrium (sub planşee) cu ecrane continui având înălţimea de cel puţin </w:t>
      </w:r>
      <w:r>
        <w:rPr>
          <w:rFonts w:eastAsia="Times New Roman"/>
          <w:b/>
          <w:bCs/>
          <w:i/>
          <w:sz w:val="24"/>
        </w:rPr>
        <w:t>50 cm</w:t>
      </w:r>
      <w:r>
        <w:rPr>
          <w:rFonts w:eastAsia="Times New Roman"/>
          <w:i/>
          <w:sz w:val="24"/>
        </w:rPr>
        <w:t xml:space="preserve"> şi rezistenţa la foc minimum </w:t>
      </w:r>
      <w:r>
        <w:rPr>
          <w:rFonts w:eastAsia="Times New Roman"/>
          <w:b/>
          <w:bCs/>
          <w:i/>
          <w:sz w:val="24"/>
        </w:rPr>
        <w:t>DH 60</w:t>
      </w:r>
      <w:r>
        <w:rPr>
          <w:rFonts w:eastAsia="Times New Roman"/>
          <w:i/>
          <w:sz w:val="24"/>
        </w:rPr>
        <w:t xml:space="preserve"> pentru nivelul </w:t>
      </w:r>
      <w:r>
        <w:rPr>
          <w:rFonts w:eastAsia="Times New Roman"/>
          <w:b/>
          <w:bCs/>
          <w:i/>
          <w:sz w:val="24"/>
        </w:rPr>
        <w:t>I</w:t>
      </w:r>
      <w:r>
        <w:rPr>
          <w:rFonts w:eastAsia="Times New Roman"/>
          <w:i/>
          <w:sz w:val="24"/>
        </w:rPr>
        <w:t xml:space="preserve"> şi </w:t>
      </w:r>
      <w:r>
        <w:rPr>
          <w:rFonts w:eastAsia="Times New Roman"/>
          <w:b/>
          <w:bCs/>
          <w:i/>
          <w:sz w:val="24"/>
        </w:rPr>
        <w:t>II</w:t>
      </w:r>
      <w:r>
        <w:rPr>
          <w:rFonts w:eastAsia="Times New Roman"/>
          <w:i/>
          <w:sz w:val="24"/>
        </w:rPr>
        <w:t xml:space="preserve"> de stabilitate la foc, respectiv minimum </w:t>
      </w:r>
      <w:r>
        <w:rPr>
          <w:rFonts w:eastAsia="Times New Roman"/>
          <w:b/>
          <w:bCs/>
          <w:i/>
          <w:sz w:val="24"/>
        </w:rPr>
        <w:t>DH 30</w:t>
      </w:r>
      <w:r>
        <w:rPr>
          <w:rFonts w:eastAsia="Times New Roman"/>
          <w:i/>
          <w:sz w:val="24"/>
        </w:rPr>
        <w:t xml:space="preserve"> pentru celelalte niveluri de stabilitate la foc şi cu sprinklere amplasate corespunzător având durata de funcţionare de minimum 60 minute, dacă spaţiile adiacente sunt echipate cu astfel de instalaţii; pot constitui ecrane continue grinzile structurii care au înălţimea de cel puţin </w:t>
      </w:r>
      <w:r>
        <w:rPr>
          <w:rFonts w:eastAsia="Times New Roman"/>
          <w:b/>
          <w:bCs/>
          <w:i/>
          <w:sz w:val="24"/>
        </w:rPr>
        <w:t>50 cm</w:t>
      </w:r>
      <w:r>
        <w:rPr>
          <w:rFonts w:eastAsia="Times New Roman"/>
          <w:i/>
          <w:sz w:val="24"/>
        </w:rPr>
        <w:t xml:space="preserve"> sub planșeu, dedesuptul cărora se pot continua cu ecrane continue. Circulaţiile comune orizontale închise spre atrium, se prevăd la limita lor spre atrium cu panouri de tâmplărie care se separă prin zone continue pline (parapete), rezistente la foc cel puţin </w:t>
      </w:r>
      <w:r>
        <w:rPr>
          <w:rFonts w:eastAsia="Times New Roman"/>
          <w:b/>
          <w:bCs/>
          <w:i/>
          <w:sz w:val="24"/>
        </w:rPr>
        <w:t>EI 60</w:t>
      </w:r>
      <w:r>
        <w:rPr>
          <w:rFonts w:eastAsia="Times New Roman"/>
          <w:i/>
          <w:sz w:val="24"/>
        </w:rPr>
        <w:t xml:space="preserve"> pentru nivelul I şi II de stabilitate la foc, respectiv minimum </w:t>
      </w:r>
      <w:r>
        <w:rPr>
          <w:rFonts w:eastAsia="Times New Roman"/>
          <w:b/>
          <w:bCs/>
          <w:i/>
          <w:sz w:val="24"/>
        </w:rPr>
        <w:t>EI 30</w:t>
      </w:r>
      <w:r>
        <w:rPr>
          <w:rFonts w:eastAsia="Times New Roman"/>
          <w:i/>
          <w:sz w:val="24"/>
        </w:rPr>
        <w:t xml:space="preserve"> pentru celelalte niveluri de stabilitate la foc şi înălţimea minimă de </w:t>
      </w:r>
      <w:r>
        <w:rPr>
          <w:rFonts w:eastAsia="Times New Roman"/>
          <w:b/>
          <w:bCs/>
          <w:i/>
          <w:sz w:val="24"/>
        </w:rPr>
        <w:t>1,20 m</w:t>
      </w:r>
      <w:r>
        <w:rPr>
          <w:rFonts w:eastAsia="Times New Roman"/>
          <w:i/>
          <w:sz w:val="24"/>
        </w:rPr>
        <w:t xml:space="preserve"> sau conform </w:t>
      </w:r>
      <w:r>
        <w:rPr>
          <w:rFonts w:eastAsia="Times New Roman"/>
          <w:b/>
          <w:bCs/>
          <w:i/>
          <w:sz w:val="24"/>
        </w:rPr>
        <w:t>Art. 2.4.9.4. (2)</w:t>
      </w:r>
      <w:r>
        <w:rPr>
          <w:rFonts w:eastAsia="Times New Roman"/>
          <w:i/>
          <w:sz w:val="24"/>
        </w:rPr>
        <w:t>.</w:t>
      </w:r>
    </w:p>
    <w:p w14:paraId="1F1A771E" w14:textId="77777777" w:rsidR="001C08A5" w:rsidRDefault="00000000">
      <w:pPr>
        <w:jc w:val="center"/>
        <w:rPr>
          <w:b/>
          <w:bCs/>
          <w:i/>
          <w:sz w:val="24"/>
          <w:szCs w:val="24"/>
        </w:rPr>
      </w:pPr>
      <w:r>
        <w:rPr>
          <w:b/>
          <w:bCs/>
          <w:i/>
          <w:noProof/>
          <w:sz w:val="24"/>
          <w:szCs w:val="24"/>
        </w:rPr>
        <w:drawing>
          <wp:inline distT="0" distB="0" distL="114300" distR="114300" wp14:anchorId="05C1DA7B" wp14:editId="78E7617E">
            <wp:extent cx="6038850" cy="3163570"/>
            <wp:effectExtent l="0" t="0" r="0" b="17780"/>
            <wp:docPr id="3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14"/>
                    <pic:cNvPicPr>
                      <a:picLocks noChangeAspect="1"/>
                    </pic:cNvPicPr>
                  </pic:nvPicPr>
                  <pic:blipFill>
                    <a:blip r:embed="rId324"/>
                    <a:srcRect l="12543" t="3487" r="7454" b="38217"/>
                    <a:stretch>
                      <a:fillRect/>
                    </a:stretch>
                  </pic:blipFill>
                  <pic:spPr>
                    <a:xfrm>
                      <a:off x="0" y="0"/>
                      <a:ext cx="6038850" cy="316357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3"/>
        <w:gridCol w:w="3213"/>
        <w:gridCol w:w="3213"/>
      </w:tblGrid>
      <w:tr w:rsidR="001C08A5" w14:paraId="421C55A5" w14:textId="77777777">
        <w:tc>
          <w:tcPr>
            <w:tcW w:w="3285" w:type="dxa"/>
          </w:tcPr>
          <w:p w14:paraId="555887AC" w14:textId="77777777" w:rsidR="001C08A5" w:rsidRDefault="00000000">
            <w:pPr>
              <w:jc w:val="center"/>
              <w:rPr>
                <w:b/>
                <w:bCs/>
                <w:i/>
                <w:sz w:val="24"/>
                <w:szCs w:val="24"/>
              </w:rPr>
            </w:pPr>
            <w:r>
              <w:rPr>
                <w:b/>
                <w:bCs/>
                <w:i/>
                <w:sz w:val="24"/>
                <w:szCs w:val="24"/>
              </w:rPr>
              <w:t>Varianta a)</w:t>
            </w:r>
          </w:p>
        </w:tc>
        <w:tc>
          <w:tcPr>
            <w:tcW w:w="3285" w:type="dxa"/>
          </w:tcPr>
          <w:p w14:paraId="4059C027" w14:textId="77777777" w:rsidR="001C08A5" w:rsidRDefault="00000000">
            <w:pPr>
              <w:jc w:val="center"/>
              <w:rPr>
                <w:b/>
                <w:bCs/>
                <w:i/>
                <w:sz w:val="24"/>
                <w:szCs w:val="24"/>
              </w:rPr>
            </w:pPr>
            <w:r>
              <w:rPr>
                <w:b/>
                <w:bCs/>
                <w:i/>
                <w:sz w:val="24"/>
                <w:szCs w:val="24"/>
              </w:rPr>
              <w:t>Varianta b)</w:t>
            </w:r>
          </w:p>
        </w:tc>
        <w:tc>
          <w:tcPr>
            <w:tcW w:w="3285" w:type="dxa"/>
          </w:tcPr>
          <w:p w14:paraId="4E2D7CDF" w14:textId="77777777" w:rsidR="001C08A5" w:rsidRDefault="00000000">
            <w:pPr>
              <w:jc w:val="center"/>
              <w:rPr>
                <w:b/>
                <w:bCs/>
                <w:i/>
                <w:sz w:val="24"/>
                <w:szCs w:val="24"/>
              </w:rPr>
            </w:pPr>
            <w:r>
              <w:rPr>
                <w:b/>
                <w:bCs/>
                <w:i/>
                <w:sz w:val="24"/>
                <w:szCs w:val="24"/>
              </w:rPr>
              <w:t>Varianta c)</w:t>
            </w:r>
          </w:p>
        </w:tc>
      </w:tr>
    </w:tbl>
    <w:p w14:paraId="540E8497" w14:textId="77777777" w:rsidR="001C08A5" w:rsidRDefault="00000000">
      <w:pPr>
        <w:pStyle w:val="Caption"/>
        <w:jc w:val="center"/>
      </w:pPr>
      <w:bookmarkStart w:id="7211" w:name="_Toc142898536"/>
      <w:bookmarkStart w:id="7212" w:name="_Toc17130"/>
      <w:bookmarkStart w:id="7213" w:name="_Toc24130"/>
      <w:bookmarkStart w:id="7214" w:name="_Toc162360378"/>
      <w:bookmarkStart w:id="7215" w:name="_Toc26681"/>
      <w:r>
        <w:t xml:space="preserve">Figura </w:t>
      </w:r>
      <w:r>
        <w:fldChar w:fldCharType="begin"/>
      </w:r>
      <w:r>
        <w:instrText xml:space="preserve"> SEQ Figura \* ARABIC </w:instrText>
      </w:r>
      <w:r>
        <w:fldChar w:fldCharType="separate"/>
      </w:r>
      <w:r>
        <w:t>154</w:t>
      </w:r>
      <w:r>
        <w:fldChar w:fldCharType="end"/>
      </w:r>
      <w:bookmarkStart w:id="7216" w:name="_Toc16553"/>
      <w:bookmarkStart w:id="7217" w:name="_Toc25263"/>
      <w:bookmarkStart w:id="7218" w:name="_Toc1591"/>
      <w:bookmarkStart w:id="7219" w:name="_Toc21691"/>
      <w:bookmarkStart w:id="7220" w:name="_Toc6220"/>
      <w:bookmarkStart w:id="7221" w:name="_Toc7239"/>
      <w:bookmarkStart w:id="7222" w:name="_Toc20514"/>
      <w:bookmarkStart w:id="7223" w:name="_Toc20048"/>
      <w:bookmarkStart w:id="7224" w:name="_Toc9764"/>
      <w:r>
        <w:t xml:space="preserve"> - Circulaţiile comune orizontale deschise (variante a și b) și închise (varianta c)</w:t>
      </w:r>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p>
    <w:p w14:paraId="4C01730A" w14:textId="77777777" w:rsidR="001C08A5" w:rsidRDefault="00000000">
      <w:pPr>
        <w:pStyle w:val="Heading3"/>
        <w:rPr>
          <w:i/>
          <w:iCs/>
          <w:sz w:val="24"/>
          <w:szCs w:val="24"/>
        </w:rPr>
      </w:pPr>
      <w:bookmarkStart w:id="7225" w:name="_Toc2386"/>
      <w:bookmarkStart w:id="7226" w:name="_Toc545"/>
      <w:bookmarkStart w:id="7227" w:name="_Toc162355419"/>
      <w:bookmarkStart w:id="7228" w:name="_Toc28004"/>
      <w:bookmarkStart w:id="7229" w:name="_Toc19157"/>
      <w:bookmarkStart w:id="7230" w:name="_Toc16028"/>
      <w:bookmarkStart w:id="7231" w:name="_Toc19177"/>
      <w:bookmarkStart w:id="7232" w:name="_Toc11458"/>
      <w:bookmarkStart w:id="7233" w:name="_Toc16470"/>
      <w:bookmarkStart w:id="7234" w:name="_Toc28798"/>
      <w:bookmarkStart w:id="7235" w:name="_Toc26973"/>
      <w:bookmarkStart w:id="7236" w:name="_Toc23538"/>
      <w:bookmarkStart w:id="7237" w:name="_Toc7404"/>
      <w:bookmarkStart w:id="7238" w:name="_Toc27168"/>
      <w:bookmarkStart w:id="7239" w:name="_Toc4761"/>
      <w:bookmarkStart w:id="7240" w:name="_Toc30796"/>
      <w:bookmarkStart w:id="7241" w:name="_Toc18276"/>
      <w:r>
        <w:rPr>
          <w:i/>
          <w:iCs/>
          <w:sz w:val="24"/>
          <w:szCs w:val="24"/>
        </w:rPr>
        <w:t>ANEXA 4.3 - ALCĂTUIRI CONSTRUCTIVE SPECIFICE RISCULUI DE EXPLOZIE VOLUMETRICĂ</w:t>
      </w:r>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p>
    <w:p w14:paraId="6EA72CD5" w14:textId="77777777" w:rsidR="001C08A5" w:rsidRDefault="00000000">
      <w:pPr>
        <w:pStyle w:val="Heading4"/>
        <w:rPr>
          <w:sz w:val="24"/>
          <w:szCs w:val="24"/>
        </w:rPr>
      </w:pPr>
      <w:bookmarkStart w:id="7242" w:name="_Toc162355420"/>
      <w:bookmarkStart w:id="7243" w:name="_Toc9845"/>
      <w:bookmarkStart w:id="7244" w:name="_Toc6247"/>
      <w:bookmarkStart w:id="7245" w:name="_Toc17730"/>
      <w:bookmarkStart w:id="7246" w:name="_Toc20564"/>
      <w:bookmarkStart w:id="7247" w:name="_Toc29916"/>
      <w:bookmarkStart w:id="7248" w:name="_Toc20403"/>
      <w:bookmarkStart w:id="7249" w:name="_Toc27521"/>
      <w:bookmarkStart w:id="7250" w:name="_Toc31519"/>
      <w:bookmarkStart w:id="7251" w:name="_Toc19825"/>
      <w:bookmarkStart w:id="7252" w:name="_Toc16823"/>
      <w:bookmarkStart w:id="7253" w:name="_Toc4072"/>
      <w:bookmarkStart w:id="7254" w:name="_Toc1883"/>
      <w:bookmarkStart w:id="7255" w:name="_Toc2296"/>
      <w:bookmarkStart w:id="7256" w:name="_Toc32599"/>
      <w:bookmarkStart w:id="7257" w:name="_Toc18129"/>
      <w:bookmarkStart w:id="7258" w:name="_Toc8556"/>
      <w:r>
        <w:rPr>
          <w:sz w:val="24"/>
          <w:szCs w:val="24"/>
        </w:rPr>
        <w:t>Încăperi și spații cu pericol de explozie</w:t>
      </w:r>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p>
    <w:p w14:paraId="1E6FDE4B" w14:textId="77777777" w:rsidR="001C08A5" w:rsidRDefault="00000000">
      <w:pPr>
        <w:pStyle w:val="Heading5"/>
        <w:rPr>
          <w:sz w:val="24"/>
          <w:szCs w:val="24"/>
        </w:rPr>
      </w:pPr>
      <w:bookmarkStart w:id="7259" w:name="_Toc29406"/>
      <w:bookmarkStart w:id="7260" w:name="_Toc22248"/>
      <w:bookmarkStart w:id="7261" w:name="_Toc4799"/>
      <w:bookmarkStart w:id="7262" w:name="_Toc2012"/>
      <w:bookmarkStart w:id="7263" w:name="_Toc11490"/>
      <w:bookmarkStart w:id="7264" w:name="_Toc13091"/>
      <w:bookmarkStart w:id="7265" w:name="_Toc16445"/>
      <w:bookmarkStart w:id="7266" w:name="_Toc12302"/>
      <w:bookmarkStart w:id="7267" w:name="_Toc18996"/>
      <w:bookmarkStart w:id="7268" w:name="_Toc4268"/>
      <w:bookmarkStart w:id="7269" w:name="_Toc28372"/>
      <w:bookmarkStart w:id="7270" w:name="_Toc9900"/>
      <w:bookmarkStart w:id="7271" w:name="_Toc162355421"/>
      <w:bookmarkStart w:id="7272" w:name="_Toc8139"/>
      <w:bookmarkStart w:id="7273" w:name="_Toc31555"/>
      <w:bookmarkStart w:id="7274" w:name="_Toc4712"/>
      <w:r>
        <w:rPr>
          <w:sz w:val="24"/>
          <w:szCs w:val="24"/>
        </w:rPr>
        <w:t>Terminologie:</w:t>
      </w:r>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p>
    <w:p w14:paraId="44AFA0EA" w14:textId="77777777" w:rsidR="001C08A5" w:rsidRDefault="001C08A5">
      <w:pPr>
        <w:jc w:val="both"/>
        <w:rPr>
          <w:rFonts w:eastAsia="font1"/>
          <w:b/>
          <w:bCs/>
          <w:i/>
          <w:sz w:val="24"/>
          <w:szCs w:val="24"/>
        </w:rPr>
      </w:pPr>
    </w:p>
    <w:p w14:paraId="20BCF74B" w14:textId="77777777" w:rsidR="001C08A5" w:rsidRDefault="00000000">
      <w:pPr>
        <w:numPr>
          <w:ilvl w:val="0"/>
          <w:numId w:val="96"/>
        </w:numPr>
        <w:tabs>
          <w:tab w:val="left" w:pos="426"/>
          <w:tab w:val="left" w:pos="993"/>
        </w:tabs>
        <w:jc w:val="both"/>
        <w:rPr>
          <w:rFonts w:eastAsia="font1"/>
          <w:bCs/>
          <w:sz w:val="24"/>
          <w:szCs w:val="24"/>
        </w:rPr>
      </w:pPr>
      <w:r>
        <w:rPr>
          <w:rFonts w:eastAsia="font1"/>
          <w:b/>
          <w:bCs/>
          <w:i/>
          <w:sz w:val="24"/>
          <w:szCs w:val="24"/>
        </w:rPr>
        <w:t>Explozie</w:t>
      </w:r>
      <w:r>
        <w:rPr>
          <w:rFonts w:eastAsia="font1"/>
          <w:bCs/>
          <w:i/>
          <w:sz w:val="24"/>
          <w:szCs w:val="24"/>
        </w:rPr>
        <w:t xml:space="preserve"> (a unei atmosfere explozive) - Cresterea brusca a presiunii si temperaturii, datorata oxidarii sau altei reactii exoterme.</w:t>
      </w:r>
    </w:p>
    <w:p w14:paraId="0C67BA43" w14:textId="77777777" w:rsidR="001C08A5" w:rsidRDefault="001C08A5">
      <w:pPr>
        <w:jc w:val="both"/>
        <w:rPr>
          <w:rFonts w:eastAsia="font1"/>
          <w:i/>
          <w:sz w:val="24"/>
          <w:szCs w:val="24"/>
        </w:rPr>
      </w:pPr>
    </w:p>
    <w:p w14:paraId="026150CB" w14:textId="77777777" w:rsidR="001C08A5" w:rsidRDefault="00000000">
      <w:pPr>
        <w:ind w:left="720" w:firstLine="720"/>
        <w:jc w:val="both"/>
        <w:rPr>
          <w:rFonts w:eastAsia="font1"/>
          <w:i/>
          <w:sz w:val="24"/>
          <w:szCs w:val="24"/>
        </w:rPr>
      </w:pPr>
      <w:r>
        <w:rPr>
          <w:rFonts w:eastAsia="font1"/>
          <w:b/>
          <w:bCs/>
          <w:i/>
          <w:sz w:val="24"/>
          <w:szCs w:val="24"/>
        </w:rPr>
        <w:t>Atmosfera exploziva gazoasa</w:t>
      </w:r>
      <w:r>
        <w:rPr>
          <w:rFonts w:eastAsia="font1"/>
          <w:i/>
          <w:sz w:val="24"/>
          <w:szCs w:val="24"/>
        </w:rPr>
        <w:t xml:space="preserve"> - Amestec cu aerul, in conditii atmosferice normale, a substantelor inflamabile sub forma de gaz, vapori sau ceata in care, dupa aprindere, combustia se propaga in ansamblul amestecului neconsumat.</w:t>
      </w:r>
    </w:p>
    <w:p w14:paraId="6A6534EA" w14:textId="77777777" w:rsidR="001C08A5" w:rsidRDefault="001C08A5">
      <w:pPr>
        <w:ind w:left="720" w:firstLine="720"/>
        <w:jc w:val="both"/>
        <w:rPr>
          <w:rFonts w:eastAsia="font1"/>
          <w:i/>
          <w:sz w:val="24"/>
          <w:szCs w:val="24"/>
        </w:rPr>
      </w:pPr>
    </w:p>
    <w:p w14:paraId="47ABE58D" w14:textId="77777777" w:rsidR="001C08A5" w:rsidRDefault="00000000">
      <w:pPr>
        <w:ind w:left="720" w:firstLine="720"/>
        <w:jc w:val="both"/>
        <w:rPr>
          <w:rFonts w:eastAsia="font1"/>
          <w:i/>
          <w:sz w:val="24"/>
          <w:szCs w:val="24"/>
        </w:rPr>
      </w:pPr>
      <w:r>
        <w:rPr>
          <w:rFonts w:eastAsia="font1"/>
          <w:b/>
          <w:bCs/>
          <w:i/>
          <w:sz w:val="24"/>
          <w:szCs w:val="24"/>
        </w:rPr>
        <w:t>Atmosfera exploziva cu praf</w:t>
      </w:r>
      <w:r>
        <w:rPr>
          <w:rFonts w:eastAsia="font1"/>
          <w:i/>
          <w:sz w:val="24"/>
          <w:szCs w:val="24"/>
        </w:rPr>
        <w:t xml:space="preserve"> - Amestec cu aerul, in conditii atmosferice normale, a substantelor inflamabile sub forma de praf sau fibre in care, dupa aprindere, combustia se propaga in ansamblul amestecului neconsumat.</w:t>
      </w:r>
    </w:p>
    <w:p w14:paraId="28923C53" w14:textId="77777777" w:rsidR="001C08A5" w:rsidRDefault="001C08A5">
      <w:pPr>
        <w:jc w:val="both"/>
        <w:rPr>
          <w:rFonts w:eastAsia="font1"/>
          <w:i/>
          <w:sz w:val="24"/>
          <w:szCs w:val="24"/>
        </w:rPr>
      </w:pPr>
    </w:p>
    <w:p w14:paraId="0D20F76D" w14:textId="77777777" w:rsidR="001C08A5" w:rsidRDefault="00000000">
      <w:pPr>
        <w:numPr>
          <w:ilvl w:val="0"/>
          <w:numId w:val="96"/>
        </w:numPr>
        <w:tabs>
          <w:tab w:val="left" w:pos="426"/>
          <w:tab w:val="left" w:pos="993"/>
        </w:tabs>
        <w:jc w:val="both"/>
        <w:rPr>
          <w:rFonts w:eastAsia="font1"/>
          <w:bCs/>
          <w:sz w:val="24"/>
          <w:szCs w:val="24"/>
        </w:rPr>
      </w:pPr>
      <w:r>
        <w:rPr>
          <w:rFonts w:eastAsia="font1"/>
          <w:b/>
          <w:bCs/>
          <w:i/>
          <w:sz w:val="24"/>
          <w:szCs w:val="24"/>
        </w:rPr>
        <w:t xml:space="preserve">Arie periculoasa (datorata atmosferelor explozive gazoase) - </w:t>
      </w:r>
      <w:r>
        <w:rPr>
          <w:rFonts w:eastAsia="font1"/>
          <w:bCs/>
          <w:i/>
          <w:sz w:val="24"/>
          <w:szCs w:val="24"/>
        </w:rPr>
        <w:t>Arie in care exista sau ar putea sa fie prezenta o atmosfera exploziva gazoasa in asemenea cantitati incat sa necesite precautii speciale pentru constructia, instalarea si utilizarea aparaturii electrice.</w:t>
      </w:r>
    </w:p>
    <w:p w14:paraId="44C0B7B6" w14:textId="77777777" w:rsidR="001C08A5" w:rsidRDefault="001C08A5">
      <w:pPr>
        <w:jc w:val="both"/>
        <w:rPr>
          <w:rFonts w:eastAsia="font1"/>
          <w:i/>
          <w:sz w:val="24"/>
          <w:szCs w:val="24"/>
        </w:rPr>
      </w:pPr>
    </w:p>
    <w:p w14:paraId="305493EA" w14:textId="77777777" w:rsidR="001C08A5" w:rsidRDefault="00000000">
      <w:pPr>
        <w:numPr>
          <w:ilvl w:val="0"/>
          <w:numId w:val="96"/>
        </w:numPr>
        <w:tabs>
          <w:tab w:val="left" w:pos="426"/>
          <w:tab w:val="left" w:pos="993"/>
        </w:tabs>
        <w:jc w:val="both"/>
        <w:rPr>
          <w:rFonts w:eastAsia="font1"/>
          <w:bCs/>
          <w:sz w:val="24"/>
          <w:szCs w:val="24"/>
        </w:rPr>
      </w:pPr>
      <w:r>
        <w:rPr>
          <w:rFonts w:eastAsia="font1"/>
          <w:b/>
          <w:bCs/>
          <w:i/>
          <w:sz w:val="24"/>
          <w:szCs w:val="24"/>
        </w:rPr>
        <w:lastRenderedPageBreak/>
        <w:t>Arie periculoasa (de praf)</w:t>
      </w:r>
      <w:r>
        <w:rPr>
          <w:rFonts w:eastAsia="font1"/>
          <w:bCs/>
          <w:i/>
          <w:sz w:val="24"/>
          <w:szCs w:val="24"/>
        </w:rPr>
        <w:t xml:space="preserve"> - Arie in care praful combustibil sub forma de nor sau de strat este, sau poate fi anticipat sa fie prezent in asemenea cantitati incat sa necesite masuri speciale pentru constructia si utilizarea aparaturii electrice, pentru a preveni aprinderea unui amestec exploziv de praf/aer sau a unui strat de praf combustibil.</w:t>
      </w:r>
    </w:p>
    <w:p w14:paraId="37BB46D5" w14:textId="77777777" w:rsidR="001C08A5" w:rsidRDefault="001C08A5">
      <w:pPr>
        <w:jc w:val="both"/>
        <w:rPr>
          <w:rFonts w:eastAsia="font1"/>
          <w:i/>
          <w:sz w:val="24"/>
          <w:szCs w:val="24"/>
        </w:rPr>
      </w:pPr>
    </w:p>
    <w:p w14:paraId="26993684" w14:textId="77777777" w:rsidR="001C08A5" w:rsidRDefault="00000000">
      <w:pPr>
        <w:numPr>
          <w:ilvl w:val="0"/>
          <w:numId w:val="96"/>
        </w:numPr>
        <w:tabs>
          <w:tab w:val="left" w:pos="426"/>
          <w:tab w:val="left" w:pos="993"/>
        </w:tabs>
        <w:jc w:val="both"/>
        <w:rPr>
          <w:rFonts w:eastAsia="font1"/>
          <w:bCs/>
          <w:sz w:val="24"/>
          <w:szCs w:val="24"/>
        </w:rPr>
      </w:pPr>
      <w:r>
        <w:rPr>
          <w:rFonts w:eastAsia="font1"/>
          <w:b/>
          <w:bCs/>
          <w:i/>
          <w:sz w:val="24"/>
          <w:szCs w:val="24"/>
        </w:rPr>
        <w:t>Arie nepericuloasa (datorata atmosferelor explozive gazoase)</w:t>
      </w:r>
      <w:r>
        <w:rPr>
          <w:rFonts w:eastAsia="font1"/>
          <w:bCs/>
          <w:i/>
          <w:sz w:val="24"/>
          <w:szCs w:val="24"/>
        </w:rPr>
        <w:t xml:space="preserve"> - Arie in care nu poate fi prezenta o atmosfera exploziva gazoasa sau cu praf combustibil in asemenea cantitati incat sa necesite precautii speciale pentru constructia, instalarea si utilizarea aparaturii electrice.</w:t>
      </w:r>
    </w:p>
    <w:p w14:paraId="5ECD3753" w14:textId="77777777" w:rsidR="001C08A5" w:rsidRDefault="001C08A5">
      <w:pPr>
        <w:jc w:val="both"/>
        <w:rPr>
          <w:rFonts w:eastAsia="font1"/>
          <w:i/>
          <w:sz w:val="24"/>
          <w:szCs w:val="24"/>
        </w:rPr>
      </w:pPr>
    </w:p>
    <w:p w14:paraId="01D04F09" w14:textId="77777777" w:rsidR="001C08A5" w:rsidRDefault="00000000">
      <w:pPr>
        <w:numPr>
          <w:ilvl w:val="0"/>
          <w:numId w:val="96"/>
        </w:numPr>
        <w:tabs>
          <w:tab w:val="left" w:pos="426"/>
          <w:tab w:val="left" w:pos="993"/>
        </w:tabs>
        <w:jc w:val="both"/>
        <w:rPr>
          <w:rFonts w:eastAsia="font1"/>
          <w:bCs/>
          <w:sz w:val="24"/>
          <w:szCs w:val="24"/>
        </w:rPr>
      </w:pPr>
      <w:r>
        <w:rPr>
          <w:rFonts w:eastAsia="font1"/>
          <w:b/>
          <w:bCs/>
          <w:i/>
          <w:sz w:val="24"/>
          <w:szCs w:val="24"/>
        </w:rPr>
        <w:t>Arie nepericuloasa (de praf)</w:t>
      </w:r>
      <w:r>
        <w:rPr>
          <w:rFonts w:eastAsia="font1"/>
          <w:bCs/>
          <w:i/>
          <w:sz w:val="24"/>
          <w:szCs w:val="24"/>
        </w:rPr>
        <w:t xml:space="preserve"> - Arie in care praful combustibil nu este prezent in cantitate suficienta pentru a permite formarea unor amestecuri explozive semnificative de praf/aer si/sau a unor straturi de praf combustibil.</w:t>
      </w:r>
    </w:p>
    <w:p w14:paraId="2F74C49E" w14:textId="77777777" w:rsidR="001C08A5" w:rsidRDefault="001C08A5">
      <w:pPr>
        <w:jc w:val="both"/>
        <w:rPr>
          <w:rFonts w:eastAsia="font1"/>
          <w:i/>
          <w:sz w:val="24"/>
          <w:szCs w:val="24"/>
        </w:rPr>
      </w:pPr>
    </w:p>
    <w:p w14:paraId="2DA7ABA8" w14:textId="77777777" w:rsidR="001C08A5" w:rsidRDefault="00000000">
      <w:pPr>
        <w:ind w:left="720" w:firstLine="720"/>
        <w:jc w:val="both"/>
        <w:rPr>
          <w:rFonts w:eastAsia="font1"/>
          <w:i/>
          <w:sz w:val="24"/>
          <w:szCs w:val="24"/>
        </w:rPr>
      </w:pPr>
      <w:r>
        <w:rPr>
          <w:rFonts w:eastAsia="font1"/>
          <w:b/>
          <w:bCs/>
          <w:i/>
          <w:sz w:val="24"/>
          <w:szCs w:val="24"/>
        </w:rPr>
        <w:t>Zona 0</w:t>
      </w:r>
      <w:r>
        <w:rPr>
          <w:rFonts w:eastAsia="font1"/>
          <w:i/>
          <w:sz w:val="24"/>
          <w:szCs w:val="24"/>
        </w:rPr>
        <w:t xml:space="preserve"> - Arie in care este prezenta in permanenta, sau pe perioade lungi de timp, o atmosfera exploziva gazoasa.</w:t>
      </w:r>
    </w:p>
    <w:p w14:paraId="147116BD" w14:textId="77777777" w:rsidR="001C08A5" w:rsidRDefault="001C08A5">
      <w:pPr>
        <w:ind w:left="720" w:firstLine="720"/>
        <w:jc w:val="both"/>
        <w:rPr>
          <w:rFonts w:eastAsia="font1"/>
          <w:i/>
          <w:sz w:val="24"/>
          <w:szCs w:val="24"/>
        </w:rPr>
      </w:pPr>
    </w:p>
    <w:p w14:paraId="518207CE" w14:textId="77777777" w:rsidR="001C08A5" w:rsidRDefault="00000000">
      <w:pPr>
        <w:ind w:left="720" w:firstLine="720"/>
        <w:jc w:val="both"/>
        <w:rPr>
          <w:rFonts w:eastAsia="font1"/>
          <w:i/>
          <w:sz w:val="24"/>
          <w:szCs w:val="24"/>
        </w:rPr>
      </w:pPr>
      <w:r>
        <w:rPr>
          <w:rFonts w:eastAsia="font1"/>
          <w:b/>
          <w:bCs/>
          <w:i/>
          <w:sz w:val="24"/>
          <w:szCs w:val="24"/>
        </w:rPr>
        <w:t>Zona 1</w:t>
      </w:r>
      <w:r>
        <w:rPr>
          <w:rFonts w:eastAsia="font1"/>
          <w:i/>
          <w:sz w:val="24"/>
          <w:szCs w:val="24"/>
        </w:rPr>
        <w:t xml:space="preserve"> - Arie in care este probabila aparitia unei atmosfere explozive gazoase in timpul functionarii normale.</w:t>
      </w:r>
    </w:p>
    <w:p w14:paraId="04725E0E" w14:textId="77777777" w:rsidR="001C08A5" w:rsidRDefault="001C08A5">
      <w:pPr>
        <w:ind w:left="720" w:firstLine="720"/>
        <w:jc w:val="both"/>
        <w:rPr>
          <w:rFonts w:eastAsia="font1"/>
          <w:i/>
          <w:sz w:val="24"/>
          <w:szCs w:val="24"/>
        </w:rPr>
      </w:pPr>
    </w:p>
    <w:p w14:paraId="328EE7FF" w14:textId="77777777" w:rsidR="001C08A5" w:rsidRDefault="00000000">
      <w:pPr>
        <w:ind w:left="720" w:firstLine="720"/>
        <w:jc w:val="both"/>
        <w:rPr>
          <w:rFonts w:eastAsia="font1"/>
          <w:i/>
          <w:sz w:val="24"/>
          <w:szCs w:val="24"/>
        </w:rPr>
      </w:pPr>
      <w:r>
        <w:rPr>
          <w:rFonts w:eastAsia="font1"/>
          <w:b/>
          <w:bCs/>
          <w:i/>
          <w:sz w:val="24"/>
          <w:szCs w:val="24"/>
        </w:rPr>
        <w:t>Zona 2</w:t>
      </w:r>
      <w:r>
        <w:rPr>
          <w:rFonts w:eastAsia="font1"/>
          <w:i/>
          <w:sz w:val="24"/>
          <w:szCs w:val="24"/>
        </w:rPr>
        <w:t xml:space="preserve"> - Arie in care nu este probabila aparitia unei atmosfere explozive gazoase la functionarea normala si, daca totusi apare, este probabil ca aceasta sa se intample numai rareori si doar pentru o perioada scurta de timp.</w:t>
      </w:r>
    </w:p>
    <w:p w14:paraId="2F670238" w14:textId="77777777" w:rsidR="001C08A5" w:rsidRDefault="00000000">
      <w:pPr>
        <w:ind w:left="720" w:firstLine="720"/>
        <w:jc w:val="both"/>
        <w:rPr>
          <w:rFonts w:eastAsia="font1"/>
          <w:i/>
          <w:sz w:val="24"/>
          <w:szCs w:val="24"/>
        </w:rPr>
      </w:pPr>
      <w:r>
        <w:rPr>
          <w:rFonts w:eastAsia="font1"/>
          <w:i/>
          <w:sz w:val="24"/>
          <w:szCs w:val="24"/>
        </w:rPr>
        <w:t>Se pot obtine indicatii privind frecventa de aparitie si durata din codurile proprii anumitor industrii sau aplicatii.</w:t>
      </w:r>
    </w:p>
    <w:p w14:paraId="1DCCFD5B" w14:textId="77777777" w:rsidR="001C08A5" w:rsidRDefault="001C08A5">
      <w:pPr>
        <w:ind w:left="720" w:firstLine="720"/>
        <w:jc w:val="both"/>
        <w:rPr>
          <w:rFonts w:eastAsia="font1"/>
          <w:i/>
          <w:sz w:val="24"/>
          <w:szCs w:val="24"/>
        </w:rPr>
      </w:pPr>
    </w:p>
    <w:p w14:paraId="5C204BD2" w14:textId="77777777" w:rsidR="001C08A5" w:rsidRDefault="00000000">
      <w:pPr>
        <w:ind w:left="720" w:firstLine="720"/>
        <w:jc w:val="both"/>
        <w:rPr>
          <w:rFonts w:eastAsia="font1"/>
          <w:i/>
          <w:sz w:val="24"/>
          <w:szCs w:val="24"/>
        </w:rPr>
      </w:pPr>
      <w:r>
        <w:rPr>
          <w:rFonts w:eastAsia="font1"/>
          <w:b/>
          <w:bCs/>
          <w:i/>
          <w:sz w:val="24"/>
          <w:szCs w:val="24"/>
        </w:rPr>
        <w:t>Zona 20</w:t>
      </w:r>
      <w:r>
        <w:rPr>
          <w:rFonts w:eastAsia="font1"/>
          <w:i/>
          <w:sz w:val="24"/>
          <w:szCs w:val="24"/>
        </w:rPr>
        <w:t xml:space="preserve"> - Arie in care praful combustibil, sub forma de nor, este prezent in permanenta sau in mod frecvent in cantitate suficienta pentru a produce o concentratie exploziva de praf combustibil in amestec cu aerul, si/sau in care stratul de praf se poate forma cu o grosime excesiva si necontrolata in timpul functionarii normale.</w:t>
      </w:r>
    </w:p>
    <w:p w14:paraId="5E09A73B" w14:textId="77777777" w:rsidR="001C08A5" w:rsidRDefault="00000000">
      <w:pPr>
        <w:ind w:left="720" w:firstLine="720"/>
        <w:jc w:val="both"/>
        <w:rPr>
          <w:rFonts w:eastAsia="font1"/>
          <w:i/>
          <w:sz w:val="24"/>
          <w:szCs w:val="24"/>
        </w:rPr>
      </w:pPr>
      <w:r>
        <w:rPr>
          <w:rFonts w:eastAsia="font1"/>
          <w:i/>
          <w:sz w:val="24"/>
          <w:szCs w:val="24"/>
        </w:rPr>
        <w:t>Aceasta se poate intampla in interiorul unui spatiu limitat pentru praf in care praful poate forma amestecuri explozive, in mod frecvent sau perioade lungi. Aceasta apare tipic in interiorul echipamentului.</w:t>
      </w:r>
    </w:p>
    <w:p w14:paraId="33616A83" w14:textId="77777777" w:rsidR="001C08A5" w:rsidRDefault="001C08A5">
      <w:pPr>
        <w:ind w:left="720" w:firstLine="720"/>
        <w:jc w:val="both"/>
        <w:rPr>
          <w:rFonts w:eastAsia="font1"/>
          <w:i/>
          <w:sz w:val="24"/>
          <w:szCs w:val="24"/>
        </w:rPr>
      </w:pPr>
    </w:p>
    <w:p w14:paraId="3B3FE288" w14:textId="77777777" w:rsidR="001C08A5" w:rsidRDefault="00000000">
      <w:pPr>
        <w:ind w:left="720" w:firstLine="720"/>
        <w:jc w:val="both"/>
        <w:rPr>
          <w:rFonts w:eastAsia="font1"/>
          <w:i/>
          <w:sz w:val="24"/>
          <w:szCs w:val="24"/>
        </w:rPr>
      </w:pPr>
      <w:r>
        <w:rPr>
          <w:rFonts w:eastAsia="font1"/>
          <w:b/>
          <w:bCs/>
          <w:i/>
          <w:sz w:val="24"/>
          <w:szCs w:val="24"/>
        </w:rPr>
        <w:t>Zona 21</w:t>
      </w:r>
      <w:r>
        <w:rPr>
          <w:rFonts w:eastAsia="font1"/>
          <w:i/>
          <w:sz w:val="24"/>
          <w:szCs w:val="24"/>
        </w:rPr>
        <w:t xml:space="preserve"> - Arie neclasificata ca zona 20, in care, in timpul functionarii normale, praf combustibil sub forma de nor este probabil sa apara in cantitate suficienta pentru a fi capabil sa produca o concentratie exploziva in amestec cu aerul.</w:t>
      </w:r>
    </w:p>
    <w:p w14:paraId="1CE24510" w14:textId="77777777" w:rsidR="001C08A5" w:rsidRDefault="00000000">
      <w:pPr>
        <w:ind w:left="720" w:firstLine="720"/>
        <w:jc w:val="both"/>
        <w:rPr>
          <w:rFonts w:eastAsia="font1"/>
          <w:i/>
          <w:sz w:val="24"/>
          <w:szCs w:val="24"/>
        </w:rPr>
      </w:pPr>
      <w:r>
        <w:rPr>
          <w:rFonts w:eastAsia="font1"/>
          <w:i/>
          <w:sz w:val="24"/>
          <w:szCs w:val="24"/>
        </w:rPr>
        <w:t>Aceasta zona poate cuprinde, intre altele, imediata vecinatate a punctelor de alimentare sau de evacuare a produselor pulverulente si arii in care se formeaza straturi de praf si este probabil ca in timpul functionarii normale sa genereze o concentratie exploziva de praf combustibil in amestec cu aerul.</w:t>
      </w:r>
    </w:p>
    <w:p w14:paraId="2F803F7F" w14:textId="77777777" w:rsidR="001C08A5" w:rsidRDefault="001C08A5">
      <w:pPr>
        <w:ind w:left="720" w:firstLine="720"/>
        <w:jc w:val="both"/>
        <w:rPr>
          <w:rFonts w:eastAsia="font1"/>
          <w:i/>
          <w:sz w:val="24"/>
          <w:szCs w:val="24"/>
        </w:rPr>
      </w:pPr>
    </w:p>
    <w:p w14:paraId="6610A5F4" w14:textId="77777777" w:rsidR="001C08A5" w:rsidRDefault="00000000">
      <w:pPr>
        <w:ind w:left="720" w:firstLine="720"/>
        <w:jc w:val="both"/>
        <w:rPr>
          <w:rFonts w:eastAsia="font1"/>
          <w:i/>
          <w:sz w:val="24"/>
          <w:szCs w:val="24"/>
        </w:rPr>
      </w:pPr>
      <w:r>
        <w:rPr>
          <w:rFonts w:eastAsia="font1"/>
          <w:b/>
          <w:bCs/>
          <w:i/>
          <w:sz w:val="24"/>
          <w:szCs w:val="24"/>
        </w:rPr>
        <w:t>Zona 22</w:t>
      </w:r>
      <w:r>
        <w:rPr>
          <w:rFonts w:eastAsia="font1"/>
          <w:i/>
          <w:sz w:val="24"/>
          <w:szCs w:val="24"/>
        </w:rPr>
        <w:t xml:space="preserve"> - Arie neclasificata ca zona 21, in care nori de praf se pot produce rar si se mentin perioade scurte sau in care acumularile sau straturile de praf combustibil pot fi prezente in conditii anormale si pot genera amestecuri explozive de praf in aer. Atunci cand inlaturarea acumularilor sau straturilor de praf nu poate fi asigurata, datorita conditiilor anormale, aceasta arie se clasifica zona 21.</w:t>
      </w:r>
    </w:p>
    <w:p w14:paraId="27BB7209" w14:textId="77777777" w:rsidR="001C08A5" w:rsidRDefault="00000000">
      <w:pPr>
        <w:ind w:left="720" w:firstLine="720"/>
        <w:jc w:val="both"/>
        <w:rPr>
          <w:rFonts w:eastAsia="font1"/>
          <w:i/>
          <w:sz w:val="24"/>
          <w:szCs w:val="24"/>
        </w:rPr>
      </w:pPr>
      <w:r>
        <w:rPr>
          <w:rFonts w:eastAsia="font1"/>
          <w:i/>
          <w:sz w:val="24"/>
          <w:szCs w:val="24"/>
        </w:rPr>
        <w:t>Aceasta zona poate cuprinde, intre altele, arii din apropierea unui echipament care contine praf ce poate scapa prin scurgeri si poate forma depozite (sali de concasare, de exemplu, in care praful poate scapa de la concasare si se poate depune).</w:t>
      </w:r>
    </w:p>
    <w:p w14:paraId="5D12886D" w14:textId="77777777" w:rsidR="001C08A5" w:rsidRDefault="001C08A5">
      <w:pPr>
        <w:ind w:left="720" w:firstLine="720"/>
        <w:jc w:val="both"/>
        <w:rPr>
          <w:rFonts w:eastAsia="font1"/>
          <w:i/>
          <w:sz w:val="24"/>
          <w:szCs w:val="24"/>
        </w:rPr>
      </w:pPr>
    </w:p>
    <w:p w14:paraId="2B08B08A" w14:textId="77777777" w:rsidR="001C08A5" w:rsidRDefault="00000000">
      <w:pPr>
        <w:ind w:left="720" w:firstLine="720"/>
        <w:jc w:val="both"/>
        <w:rPr>
          <w:rFonts w:eastAsia="font1"/>
          <w:i/>
          <w:sz w:val="24"/>
          <w:szCs w:val="24"/>
        </w:rPr>
      </w:pPr>
      <w:r>
        <w:rPr>
          <w:rFonts w:eastAsia="font1"/>
          <w:b/>
          <w:bCs/>
          <w:i/>
          <w:sz w:val="24"/>
          <w:szCs w:val="24"/>
        </w:rPr>
        <w:t>Limita inferioara exploziva LEL (abreviere)</w:t>
      </w:r>
      <w:r>
        <w:rPr>
          <w:rFonts w:eastAsia="font1"/>
          <w:i/>
          <w:sz w:val="24"/>
          <w:szCs w:val="24"/>
        </w:rPr>
        <w:t xml:space="preserve"> - Concentratie de gaz, vapori sau ceturi inflamabile, in aer pana la care nu se formeaza o atmosfera exploziva gazoasa.</w:t>
      </w:r>
    </w:p>
    <w:p w14:paraId="07696A0A" w14:textId="77777777" w:rsidR="001C08A5" w:rsidRDefault="001C08A5">
      <w:pPr>
        <w:jc w:val="both"/>
        <w:rPr>
          <w:i/>
          <w:sz w:val="24"/>
          <w:szCs w:val="24"/>
        </w:rPr>
      </w:pPr>
    </w:p>
    <w:p w14:paraId="7215B52E" w14:textId="77777777" w:rsidR="001C08A5" w:rsidRDefault="00000000">
      <w:pPr>
        <w:numPr>
          <w:ilvl w:val="0"/>
          <w:numId w:val="96"/>
        </w:numPr>
        <w:tabs>
          <w:tab w:val="left" w:pos="426"/>
          <w:tab w:val="left" w:pos="993"/>
        </w:tabs>
        <w:jc w:val="both"/>
        <w:rPr>
          <w:rFonts w:eastAsia="font1"/>
          <w:bCs/>
          <w:sz w:val="24"/>
          <w:szCs w:val="24"/>
        </w:rPr>
      </w:pPr>
      <w:r>
        <w:rPr>
          <w:bCs/>
          <w:i/>
          <w:sz w:val="24"/>
          <w:szCs w:val="24"/>
        </w:rPr>
        <w:lastRenderedPageBreak/>
        <w:t>Clasificarea zonelor ATEX depinde de prezența amestecurilor explozive în zonă.</w:t>
      </w:r>
    </w:p>
    <w:p w14:paraId="45D4A4B7" w14:textId="77777777" w:rsidR="001C08A5" w:rsidRDefault="001C08A5">
      <w:pPr>
        <w:widowControl w:val="0"/>
        <w:jc w:val="both"/>
        <w:rPr>
          <w:i/>
          <w:sz w:val="24"/>
          <w:szCs w:val="24"/>
          <w:lang w:val="en-US" w:eastAsia="zh-CN"/>
        </w:rPr>
      </w:pPr>
    </w:p>
    <w:p w14:paraId="09BFD5D4" w14:textId="77777777" w:rsidR="001C08A5" w:rsidRDefault="00000000">
      <w:pPr>
        <w:widowControl w:val="0"/>
        <w:jc w:val="both"/>
        <w:rPr>
          <w:i/>
          <w:sz w:val="24"/>
          <w:szCs w:val="24"/>
        </w:rPr>
      </w:pPr>
      <w:r>
        <w:rPr>
          <w:i/>
          <w:sz w:val="24"/>
          <w:szCs w:val="24"/>
          <w:lang w:val="en-US" w:eastAsia="zh-CN"/>
        </w:rPr>
        <w:t>Zone ATEX pentru gaze si vapori</w:t>
      </w:r>
    </w:p>
    <w:p w14:paraId="1F7AD539" w14:textId="77777777" w:rsidR="001C08A5" w:rsidRDefault="00000000">
      <w:pPr>
        <w:widowControl w:val="0"/>
        <w:ind w:firstLine="720"/>
        <w:jc w:val="both"/>
        <w:rPr>
          <w:i/>
          <w:sz w:val="24"/>
          <w:szCs w:val="24"/>
        </w:rPr>
      </w:pPr>
      <w:r>
        <w:rPr>
          <w:i/>
          <w:sz w:val="24"/>
          <w:szCs w:val="24"/>
        </w:rPr>
        <w:t>Zona 0 / Categoria 1G</w:t>
      </w:r>
    </w:p>
    <w:p w14:paraId="4652AFD1" w14:textId="77777777" w:rsidR="001C08A5" w:rsidRDefault="00000000">
      <w:pPr>
        <w:widowControl w:val="0"/>
        <w:ind w:firstLine="720"/>
        <w:jc w:val="both"/>
        <w:rPr>
          <w:i/>
          <w:sz w:val="24"/>
          <w:szCs w:val="24"/>
        </w:rPr>
      </w:pPr>
      <w:r>
        <w:rPr>
          <w:i/>
          <w:sz w:val="24"/>
          <w:szCs w:val="24"/>
        </w:rPr>
        <w:t>Zona 1 / Categoria 2G</w:t>
      </w:r>
    </w:p>
    <w:p w14:paraId="6D2FC309" w14:textId="77777777" w:rsidR="001C08A5" w:rsidRDefault="00000000">
      <w:pPr>
        <w:widowControl w:val="0"/>
        <w:ind w:firstLine="720"/>
        <w:jc w:val="both"/>
        <w:rPr>
          <w:i/>
          <w:sz w:val="24"/>
          <w:szCs w:val="24"/>
        </w:rPr>
      </w:pPr>
      <w:r>
        <w:rPr>
          <w:i/>
          <w:sz w:val="24"/>
          <w:szCs w:val="24"/>
        </w:rPr>
        <w:t>Zona 2 / Categoria 3G</w:t>
      </w:r>
    </w:p>
    <w:p w14:paraId="5C5A0F81" w14:textId="77777777" w:rsidR="001C08A5" w:rsidRDefault="001C08A5">
      <w:pPr>
        <w:widowControl w:val="0"/>
        <w:jc w:val="both"/>
        <w:rPr>
          <w:i/>
          <w:sz w:val="24"/>
          <w:szCs w:val="24"/>
        </w:rPr>
      </w:pPr>
    </w:p>
    <w:p w14:paraId="06119C9C" w14:textId="77777777" w:rsidR="001C08A5" w:rsidRDefault="00000000">
      <w:pPr>
        <w:widowControl w:val="0"/>
        <w:jc w:val="both"/>
        <w:rPr>
          <w:i/>
          <w:sz w:val="24"/>
          <w:szCs w:val="24"/>
        </w:rPr>
      </w:pPr>
      <w:r>
        <w:rPr>
          <w:i/>
          <w:sz w:val="24"/>
          <w:szCs w:val="24"/>
        </w:rPr>
        <w:t>Zone ATEX pentru praf</w:t>
      </w:r>
    </w:p>
    <w:p w14:paraId="6CB1D0DB" w14:textId="77777777" w:rsidR="001C08A5" w:rsidRDefault="00000000">
      <w:pPr>
        <w:widowControl w:val="0"/>
        <w:ind w:firstLine="720"/>
        <w:jc w:val="both"/>
        <w:rPr>
          <w:i/>
          <w:sz w:val="24"/>
          <w:szCs w:val="24"/>
        </w:rPr>
      </w:pPr>
      <w:r>
        <w:rPr>
          <w:i/>
          <w:sz w:val="24"/>
          <w:szCs w:val="24"/>
        </w:rPr>
        <w:t>Zona 20 / Categoria 1D</w:t>
      </w:r>
    </w:p>
    <w:p w14:paraId="7CA646A2" w14:textId="77777777" w:rsidR="001C08A5" w:rsidRDefault="00000000">
      <w:pPr>
        <w:widowControl w:val="0"/>
        <w:ind w:firstLine="720"/>
        <w:jc w:val="both"/>
        <w:rPr>
          <w:i/>
          <w:sz w:val="24"/>
          <w:szCs w:val="24"/>
        </w:rPr>
      </w:pPr>
      <w:r>
        <w:rPr>
          <w:i/>
          <w:sz w:val="24"/>
          <w:szCs w:val="24"/>
        </w:rPr>
        <w:t>Zona 21 / Categoria 2D</w:t>
      </w:r>
    </w:p>
    <w:p w14:paraId="11F0B668" w14:textId="77777777" w:rsidR="001C08A5" w:rsidRDefault="00000000">
      <w:pPr>
        <w:widowControl w:val="0"/>
        <w:ind w:firstLine="720"/>
        <w:jc w:val="both"/>
        <w:rPr>
          <w:i/>
          <w:sz w:val="24"/>
          <w:szCs w:val="24"/>
        </w:rPr>
      </w:pPr>
      <w:r>
        <w:rPr>
          <w:i/>
          <w:sz w:val="24"/>
          <w:szCs w:val="24"/>
        </w:rPr>
        <w:t>Zona 22 / Categoria 3D</w:t>
      </w:r>
    </w:p>
    <w:p w14:paraId="5A926981" w14:textId="77777777" w:rsidR="001C08A5" w:rsidRDefault="001C08A5">
      <w:pPr>
        <w:widowControl w:val="0"/>
        <w:jc w:val="both"/>
        <w:rPr>
          <w:i/>
          <w:sz w:val="24"/>
          <w:szCs w:val="24"/>
        </w:rPr>
      </w:pPr>
    </w:p>
    <w:p w14:paraId="3DE65CC5" w14:textId="77777777" w:rsidR="001C08A5" w:rsidRDefault="00000000">
      <w:pPr>
        <w:pStyle w:val="Heading4"/>
        <w:rPr>
          <w:szCs w:val="24"/>
        </w:rPr>
      </w:pPr>
      <w:bookmarkStart w:id="7275" w:name="_Toc9921"/>
      <w:bookmarkStart w:id="7276" w:name="_Toc7580"/>
      <w:bookmarkStart w:id="7277" w:name="_Toc21765"/>
      <w:bookmarkStart w:id="7278" w:name="_Toc13122"/>
      <w:bookmarkStart w:id="7279" w:name="_Toc1499"/>
      <w:bookmarkStart w:id="7280" w:name="_Toc30724"/>
      <w:bookmarkStart w:id="7281" w:name="_Toc24380"/>
      <w:bookmarkStart w:id="7282" w:name="_Toc31401"/>
      <w:bookmarkStart w:id="7283" w:name="_Toc2949"/>
      <w:bookmarkStart w:id="7284" w:name="_Toc30716"/>
      <w:bookmarkStart w:id="7285" w:name="_Toc22740"/>
      <w:bookmarkStart w:id="7286" w:name="_Toc20584"/>
      <w:bookmarkStart w:id="7287" w:name="_Toc14220"/>
      <w:bookmarkStart w:id="7288" w:name="_Toc30828"/>
      <w:bookmarkStart w:id="7289" w:name="_Toc13800"/>
      <w:bookmarkStart w:id="7290" w:name="_Toc162355422"/>
      <w:r>
        <w:rPr>
          <w:sz w:val="24"/>
          <w:szCs w:val="24"/>
        </w:rPr>
        <w:t>Încăperi şi spaţii cu pericol de explozie</w:t>
      </w:r>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p>
    <w:p w14:paraId="4981C26A" w14:textId="77777777" w:rsidR="001C08A5" w:rsidRDefault="00000000">
      <w:pPr>
        <w:pStyle w:val="Heading5"/>
        <w:rPr>
          <w:sz w:val="24"/>
          <w:szCs w:val="24"/>
        </w:rPr>
      </w:pPr>
      <w:bookmarkStart w:id="7291" w:name="_Toc29292"/>
      <w:bookmarkStart w:id="7292" w:name="_Toc12487"/>
      <w:bookmarkStart w:id="7293" w:name="_Toc24499"/>
      <w:bookmarkStart w:id="7294" w:name="_Toc28499"/>
      <w:bookmarkStart w:id="7295" w:name="_Toc162355423"/>
      <w:bookmarkStart w:id="7296" w:name="_Toc32478"/>
      <w:bookmarkStart w:id="7297" w:name="_Toc4246"/>
      <w:bookmarkStart w:id="7298" w:name="_Toc18845"/>
      <w:bookmarkStart w:id="7299" w:name="_Toc26783"/>
      <w:bookmarkStart w:id="7300" w:name="_Toc29014"/>
      <w:bookmarkStart w:id="7301" w:name="_Toc9296"/>
      <w:bookmarkStart w:id="7302" w:name="_Toc30919"/>
      <w:bookmarkStart w:id="7303" w:name="_Toc2037"/>
      <w:bookmarkStart w:id="7304" w:name="_Toc20264"/>
      <w:bookmarkStart w:id="7305" w:name="_Toc26975"/>
      <w:bookmarkStart w:id="7306" w:name="_Toc10599"/>
      <w:bookmarkStart w:id="7307" w:name="_Toc8948"/>
      <w:r>
        <w:rPr>
          <w:sz w:val="24"/>
          <w:szCs w:val="24"/>
        </w:rPr>
        <w:t>Măsuri constructive la spaţii cu pericol de explozie</w:t>
      </w:r>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p>
    <w:p w14:paraId="120C35FA"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5F94238B" wp14:editId="5124869A">
            <wp:extent cx="5658485" cy="2256790"/>
            <wp:effectExtent l="0" t="0" r="18415" b="1016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a:picLocks noChangeAspect="1"/>
                    </pic:cNvPicPr>
                  </pic:nvPicPr>
                  <pic:blipFill>
                    <a:blip r:embed="rId325"/>
                    <a:srcRect l="12727" t="31419" r="7782" b="21214"/>
                    <a:stretch>
                      <a:fillRect/>
                    </a:stretch>
                  </pic:blipFill>
                  <pic:spPr>
                    <a:xfrm>
                      <a:off x="0" y="0"/>
                      <a:ext cx="5692975" cy="2270804"/>
                    </a:xfrm>
                    <a:prstGeom prst="rect">
                      <a:avLst/>
                    </a:prstGeom>
                    <a:noFill/>
                    <a:ln>
                      <a:noFill/>
                    </a:ln>
                  </pic:spPr>
                </pic:pic>
              </a:graphicData>
            </a:graphic>
          </wp:inline>
        </w:drawing>
      </w:r>
    </w:p>
    <w:p w14:paraId="797F66A6" w14:textId="77777777" w:rsidR="001C08A5" w:rsidRDefault="00000000">
      <w:pPr>
        <w:pStyle w:val="Caption"/>
        <w:jc w:val="center"/>
      </w:pPr>
      <w:bookmarkStart w:id="7308" w:name="_Toc13014"/>
      <w:bookmarkStart w:id="7309" w:name="_Toc162360379"/>
      <w:bookmarkStart w:id="7310" w:name="_Toc16649"/>
      <w:bookmarkStart w:id="7311" w:name="_Toc142898537"/>
      <w:bookmarkStart w:id="7312" w:name="_Toc14683"/>
      <w:r>
        <w:t xml:space="preserve">Figura </w:t>
      </w:r>
      <w:r>
        <w:fldChar w:fldCharType="begin"/>
      </w:r>
      <w:r>
        <w:instrText xml:space="preserve"> SEQ Figura \* ARABIC </w:instrText>
      </w:r>
      <w:r>
        <w:fldChar w:fldCharType="separate"/>
      </w:r>
      <w:r>
        <w:t>155</w:t>
      </w:r>
      <w:r>
        <w:fldChar w:fldCharType="end"/>
      </w:r>
      <w:bookmarkStart w:id="7313" w:name="_Toc28335"/>
      <w:bookmarkStart w:id="7314" w:name="_Toc14773"/>
      <w:bookmarkStart w:id="7315" w:name="_Toc22673"/>
      <w:bookmarkStart w:id="7316" w:name="_Toc18757"/>
      <w:bookmarkStart w:id="7317" w:name="_Toc11196"/>
      <w:bookmarkStart w:id="7318" w:name="_Toc21473"/>
      <w:bookmarkStart w:id="7319" w:name="_Toc21320"/>
      <w:bookmarkStart w:id="7320" w:name="_Toc23673"/>
      <w:bookmarkStart w:id="7321" w:name="_Toc13751"/>
      <w:r>
        <w:t xml:space="preserve"> - Construcţiile cu pericol de explozie se realizează din materiale şi elemente de construcţie clasa de reacție la foc A1</w:t>
      </w:r>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p>
    <w:p w14:paraId="2791DC4D"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014CAC7F" wp14:editId="758242D9">
            <wp:extent cx="5114925" cy="2557145"/>
            <wp:effectExtent l="0" t="0" r="9525" b="1460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a:picLocks noChangeAspect="1"/>
                    </pic:cNvPicPr>
                  </pic:nvPicPr>
                  <pic:blipFill>
                    <a:blip r:embed="rId326"/>
                    <a:srcRect l="18188" t="20900" r="13148" b="27812"/>
                    <a:stretch>
                      <a:fillRect/>
                    </a:stretch>
                  </pic:blipFill>
                  <pic:spPr>
                    <a:xfrm>
                      <a:off x="0" y="0"/>
                      <a:ext cx="5129371" cy="2564686"/>
                    </a:xfrm>
                    <a:prstGeom prst="rect">
                      <a:avLst/>
                    </a:prstGeom>
                    <a:noFill/>
                    <a:ln>
                      <a:noFill/>
                    </a:ln>
                  </pic:spPr>
                </pic:pic>
              </a:graphicData>
            </a:graphic>
          </wp:inline>
        </w:drawing>
      </w:r>
    </w:p>
    <w:p w14:paraId="21BD4254" w14:textId="77777777" w:rsidR="001C08A5" w:rsidRDefault="00000000">
      <w:pPr>
        <w:pStyle w:val="Caption"/>
        <w:jc w:val="center"/>
      </w:pPr>
      <w:bookmarkStart w:id="7322" w:name="_Toc25570"/>
      <w:bookmarkStart w:id="7323" w:name="_Toc11739"/>
      <w:bookmarkStart w:id="7324" w:name="_Toc20032"/>
      <w:bookmarkStart w:id="7325" w:name="_Toc142898538"/>
      <w:bookmarkStart w:id="7326" w:name="_Toc162360380"/>
      <w:r>
        <w:t xml:space="preserve">Figura </w:t>
      </w:r>
      <w:r>
        <w:fldChar w:fldCharType="begin"/>
      </w:r>
      <w:r>
        <w:instrText xml:space="preserve"> SEQ Figura \* ARABIC </w:instrText>
      </w:r>
      <w:r>
        <w:fldChar w:fldCharType="separate"/>
      </w:r>
      <w:r>
        <w:t>156</w:t>
      </w:r>
      <w:r>
        <w:fldChar w:fldCharType="end"/>
      </w:r>
      <w:bookmarkStart w:id="7327" w:name="_Toc3434"/>
      <w:bookmarkStart w:id="7328" w:name="_Toc24128"/>
      <w:bookmarkStart w:id="7329" w:name="_Toc31005"/>
      <w:bookmarkStart w:id="7330" w:name="_Toc9875"/>
      <w:bookmarkStart w:id="7331" w:name="_Toc2023"/>
      <w:bookmarkStart w:id="7332" w:name="_Toc24495"/>
      <w:bookmarkStart w:id="7333" w:name="_Toc3233"/>
      <w:bookmarkStart w:id="7334" w:name="_Toc3476"/>
      <w:bookmarkStart w:id="7335" w:name="_Toc27551"/>
      <w:r>
        <w:t xml:space="preserve"> - Nu sunt admise materiale și elemente de construcție combustibile (diferite de A1, A2s1d0)</w:t>
      </w:r>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p>
    <w:p w14:paraId="74A64783"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214B8050" wp14:editId="68863748">
            <wp:extent cx="6024245" cy="2163445"/>
            <wp:effectExtent l="0" t="0" r="14605" b="825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a:picLocks noChangeAspect="1"/>
                    </pic:cNvPicPr>
                  </pic:nvPicPr>
                  <pic:blipFill>
                    <a:blip r:embed="rId327"/>
                    <a:srcRect l="12619" t="15080" r="7571" b="42101"/>
                    <a:stretch>
                      <a:fillRect/>
                    </a:stretch>
                  </pic:blipFill>
                  <pic:spPr>
                    <a:xfrm>
                      <a:off x="0" y="0"/>
                      <a:ext cx="6024245" cy="2163445"/>
                    </a:xfrm>
                    <a:prstGeom prst="rect">
                      <a:avLst/>
                    </a:prstGeom>
                    <a:noFill/>
                    <a:ln>
                      <a:noFill/>
                    </a:ln>
                  </pic:spPr>
                </pic:pic>
              </a:graphicData>
            </a:graphic>
          </wp:inline>
        </w:drawing>
      </w:r>
    </w:p>
    <w:p w14:paraId="2A1252DE" w14:textId="77777777" w:rsidR="001C08A5" w:rsidRDefault="00000000">
      <w:pPr>
        <w:pStyle w:val="Caption"/>
        <w:jc w:val="center"/>
      </w:pPr>
      <w:bookmarkStart w:id="7336" w:name="_Toc26111"/>
      <w:bookmarkStart w:id="7337" w:name="_Toc20021"/>
      <w:bookmarkStart w:id="7338" w:name="_Toc142898539"/>
      <w:bookmarkStart w:id="7339" w:name="_Toc10544"/>
      <w:bookmarkStart w:id="7340" w:name="_Toc162360381"/>
      <w:r>
        <w:t xml:space="preserve">Figura </w:t>
      </w:r>
      <w:r>
        <w:fldChar w:fldCharType="begin"/>
      </w:r>
      <w:r>
        <w:instrText xml:space="preserve"> SEQ Figura \* ARABIC </w:instrText>
      </w:r>
      <w:r>
        <w:fldChar w:fldCharType="separate"/>
      </w:r>
      <w:r>
        <w:t>157</w:t>
      </w:r>
      <w:r>
        <w:fldChar w:fldCharType="end"/>
      </w:r>
      <w:bookmarkStart w:id="7341" w:name="_Toc5823"/>
      <w:bookmarkStart w:id="7342" w:name="_Toc11282"/>
      <w:bookmarkStart w:id="7343" w:name="_Toc4702"/>
      <w:bookmarkStart w:id="7344" w:name="_Toc2518"/>
      <w:bookmarkStart w:id="7345" w:name="_Toc5301"/>
      <w:bookmarkStart w:id="7346" w:name="_Toc32068"/>
      <w:bookmarkStart w:id="7347" w:name="_Toc12360"/>
      <w:bookmarkStart w:id="7348" w:name="_Toc24912"/>
      <w:bookmarkStart w:id="7349" w:name="_Toc27932"/>
      <w:r>
        <w:t xml:space="preserve"> - Construcţiile independente cu pericol de explozie, nu vor avea pod (indiferent de materiale şi elementele din care sunt alcătuite)</w:t>
      </w:r>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p>
    <w:p w14:paraId="1C01E63E"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0003A42B" wp14:editId="26BDC563">
            <wp:extent cx="3499485" cy="2148205"/>
            <wp:effectExtent l="0" t="0" r="5715" b="444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a:picLocks noChangeAspect="1"/>
                    </pic:cNvPicPr>
                  </pic:nvPicPr>
                  <pic:blipFill>
                    <a:blip r:embed="rId328"/>
                    <a:srcRect l="29343" t="9576" r="24295" b="47908"/>
                    <a:stretch>
                      <a:fillRect/>
                    </a:stretch>
                  </pic:blipFill>
                  <pic:spPr>
                    <a:xfrm>
                      <a:off x="0" y="0"/>
                      <a:ext cx="3499485" cy="2148205"/>
                    </a:xfrm>
                    <a:prstGeom prst="rect">
                      <a:avLst/>
                    </a:prstGeom>
                    <a:noFill/>
                    <a:ln>
                      <a:noFill/>
                    </a:ln>
                  </pic:spPr>
                </pic:pic>
              </a:graphicData>
            </a:graphic>
          </wp:inline>
        </w:drawing>
      </w:r>
    </w:p>
    <w:p w14:paraId="0FEA98F7" w14:textId="77777777" w:rsidR="001C08A5" w:rsidRDefault="00000000">
      <w:pPr>
        <w:pStyle w:val="Caption"/>
        <w:jc w:val="center"/>
      </w:pPr>
      <w:bookmarkStart w:id="7350" w:name="_Toc12766"/>
      <w:bookmarkStart w:id="7351" w:name="_Toc162360382"/>
      <w:bookmarkStart w:id="7352" w:name="_Toc142898540"/>
      <w:bookmarkStart w:id="7353" w:name="_Toc29109"/>
      <w:bookmarkStart w:id="7354" w:name="_Toc18507"/>
      <w:r>
        <w:t xml:space="preserve">Figura </w:t>
      </w:r>
      <w:r>
        <w:fldChar w:fldCharType="begin"/>
      </w:r>
      <w:r>
        <w:instrText xml:space="preserve"> SEQ Figura \* ARABIC </w:instrText>
      </w:r>
      <w:r>
        <w:fldChar w:fldCharType="separate"/>
      </w:r>
      <w:r>
        <w:t>158</w:t>
      </w:r>
      <w:r>
        <w:fldChar w:fldCharType="end"/>
      </w:r>
      <w:bookmarkStart w:id="7355" w:name="_Toc26364"/>
      <w:bookmarkStart w:id="7356" w:name="_Toc4901"/>
      <w:bookmarkStart w:id="7357" w:name="_Toc32735"/>
      <w:bookmarkStart w:id="7358" w:name="_Toc26761"/>
      <w:bookmarkStart w:id="7359" w:name="_Toc24253"/>
      <w:bookmarkStart w:id="7360" w:name="_Toc17353"/>
      <w:bookmarkStart w:id="7361" w:name="_Toc27308"/>
      <w:bookmarkStart w:id="7362" w:name="_Toc16216"/>
      <w:bookmarkStart w:id="7363" w:name="_Toc30625"/>
      <w:r>
        <w:t xml:space="preserve"> - Dispunerea încăperilor şi spaţiilor cu pericol de explozie este recomandată în afara construcţiilor cu alte destinaţii (amplasate la  distanţe de siguranţă normate - D)</w:t>
      </w:r>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p>
    <w:p w14:paraId="35FAF74D" w14:textId="77777777" w:rsidR="001C08A5" w:rsidRDefault="00000000">
      <w:pPr>
        <w:jc w:val="center"/>
        <w:rPr>
          <w:rFonts w:eastAsia="Times New Roman"/>
          <w:i/>
          <w:sz w:val="24"/>
          <w:szCs w:val="24"/>
        </w:rPr>
      </w:pPr>
      <w:r>
        <w:rPr>
          <w:b/>
          <w:bCs/>
          <w:i/>
          <w:noProof/>
          <w:sz w:val="24"/>
          <w:szCs w:val="24"/>
        </w:rPr>
        <w:drawing>
          <wp:inline distT="0" distB="0" distL="114300" distR="114300" wp14:anchorId="594A308B" wp14:editId="0E353A66">
            <wp:extent cx="5962650" cy="2402840"/>
            <wp:effectExtent l="0" t="0" r="0" b="16510"/>
            <wp:docPr id="3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18"/>
                    <pic:cNvPicPr>
                      <a:picLocks noChangeAspect="1"/>
                    </pic:cNvPicPr>
                  </pic:nvPicPr>
                  <pic:blipFill>
                    <a:blip r:embed="rId329"/>
                    <a:srcRect l="12922" t="30938" r="8084" b="24784"/>
                    <a:stretch>
                      <a:fillRect/>
                    </a:stretch>
                  </pic:blipFill>
                  <pic:spPr>
                    <a:xfrm>
                      <a:off x="0" y="0"/>
                      <a:ext cx="5962650" cy="2402840"/>
                    </a:xfrm>
                    <a:prstGeom prst="rect">
                      <a:avLst/>
                    </a:prstGeom>
                    <a:noFill/>
                    <a:ln>
                      <a:noFill/>
                    </a:ln>
                  </pic:spPr>
                </pic:pic>
              </a:graphicData>
            </a:graphic>
          </wp:inline>
        </w:drawing>
      </w:r>
    </w:p>
    <w:p w14:paraId="77EE07F5" w14:textId="77777777" w:rsidR="001C08A5" w:rsidRDefault="00000000">
      <w:pPr>
        <w:pStyle w:val="Caption"/>
        <w:jc w:val="center"/>
      </w:pPr>
      <w:bookmarkStart w:id="7364" w:name="_Toc142898541"/>
      <w:bookmarkStart w:id="7365" w:name="_Toc162360383"/>
      <w:bookmarkStart w:id="7366" w:name="_Toc5826"/>
      <w:bookmarkStart w:id="7367" w:name="_Toc27143"/>
      <w:bookmarkStart w:id="7368" w:name="_Toc19629"/>
      <w:r>
        <w:t xml:space="preserve">Figura </w:t>
      </w:r>
      <w:r>
        <w:fldChar w:fldCharType="begin"/>
      </w:r>
      <w:r>
        <w:instrText xml:space="preserve"> SEQ Figura \* ARABIC </w:instrText>
      </w:r>
      <w:r>
        <w:fldChar w:fldCharType="separate"/>
      </w:r>
      <w:r>
        <w:t>159</w:t>
      </w:r>
      <w:r>
        <w:fldChar w:fldCharType="end"/>
      </w:r>
      <w:bookmarkStart w:id="7369" w:name="_Toc4690"/>
      <w:bookmarkStart w:id="7370" w:name="_Toc18833"/>
      <w:bookmarkStart w:id="7371" w:name="_Toc23040"/>
      <w:bookmarkStart w:id="7372" w:name="_Toc5771"/>
      <w:bookmarkStart w:id="7373" w:name="_Toc26327"/>
      <w:bookmarkStart w:id="7374" w:name="_Toc28457"/>
      <w:bookmarkStart w:id="7375" w:name="_Toc5135"/>
      <w:bookmarkStart w:id="7376" w:name="_Toc28531"/>
      <w:bookmarkStart w:id="7377" w:name="_Toc7401"/>
      <w:r>
        <w:t xml:space="preserve"> - Dispunerea încăperilor cu pericol de explozie</w:t>
      </w:r>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p>
    <w:p w14:paraId="01B42AAF"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Atunci când încăperile (spaţiile) cu pericol de explozie (risc foarte mare și explozie volumetrică) nu pot fi dispuse în afara construcţiilor cu alte destinaţii, se iau măsurile de protecţie prevăzute în reglementările tehnice, având în vedere că dispunerea încăperilor cu pericol de explozie nu este recomandată la nivelurile inferioare ale unei construcţii etajate cu altă destinaţie.</w:t>
      </w:r>
    </w:p>
    <w:p w14:paraId="77D6259B" w14:textId="77777777" w:rsidR="001C08A5" w:rsidRDefault="00000000">
      <w:pPr>
        <w:jc w:val="center"/>
        <w:rPr>
          <w:b/>
          <w:bCs/>
          <w:i/>
          <w:sz w:val="24"/>
          <w:szCs w:val="24"/>
          <w:lang w:eastAsia="ro-RO"/>
        </w:rPr>
      </w:pPr>
      <w:r>
        <w:rPr>
          <w:b/>
          <w:bCs/>
          <w:i/>
          <w:noProof/>
          <w:sz w:val="24"/>
          <w:szCs w:val="24"/>
        </w:rPr>
        <w:lastRenderedPageBreak/>
        <w:drawing>
          <wp:inline distT="0" distB="0" distL="114300" distR="114300" wp14:anchorId="2B0E1A72" wp14:editId="57195484">
            <wp:extent cx="5715000" cy="2741930"/>
            <wp:effectExtent l="0" t="0" r="0" b="1270"/>
            <wp:docPr id="33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
                    <pic:cNvPicPr>
                      <a:picLocks noChangeAspect="1"/>
                    </pic:cNvPicPr>
                  </pic:nvPicPr>
                  <pic:blipFill>
                    <a:blip r:embed="rId330"/>
                    <a:srcRect l="15824" t="36356" r="8463" b="13117"/>
                    <a:stretch>
                      <a:fillRect/>
                    </a:stretch>
                  </pic:blipFill>
                  <pic:spPr>
                    <a:xfrm>
                      <a:off x="0" y="0"/>
                      <a:ext cx="5715000" cy="2741930"/>
                    </a:xfrm>
                    <a:prstGeom prst="rect">
                      <a:avLst/>
                    </a:prstGeom>
                    <a:noFill/>
                    <a:ln>
                      <a:noFill/>
                    </a:ln>
                  </pic:spPr>
                </pic:pic>
              </a:graphicData>
            </a:graphic>
          </wp:inline>
        </w:drawing>
      </w:r>
    </w:p>
    <w:p w14:paraId="6D6DA7B1" w14:textId="77777777" w:rsidR="001C08A5" w:rsidRDefault="00000000">
      <w:pPr>
        <w:pStyle w:val="Caption"/>
        <w:jc w:val="center"/>
      </w:pPr>
      <w:bookmarkStart w:id="7378" w:name="_Toc6633"/>
      <w:bookmarkStart w:id="7379" w:name="_Toc22741"/>
      <w:bookmarkStart w:id="7380" w:name="_Toc162360384"/>
      <w:bookmarkStart w:id="7381" w:name="_Toc142898542"/>
      <w:bookmarkStart w:id="7382" w:name="_Toc32663"/>
      <w:r>
        <w:t xml:space="preserve">Figura </w:t>
      </w:r>
      <w:r>
        <w:fldChar w:fldCharType="begin"/>
      </w:r>
      <w:r>
        <w:instrText xml:space="preserve"> SEQ Figura \* ARABIC </w:instrText>
      </w:r>
      <w:r>
        <w:fldChar w:fldCharType="separate"/>
      </w:r>
      <w:r>
        <w:t>160</w:t>
      </w:r>
      <w:r>
        <w:fldChar w:fldCharType="end"/>
      </w:r>
      <w:bookmarkStart w:id="7383" w:name="_Toc479"/>
      <w:bookmarkStart w:id="7384" w:name="_Toc22039"/>
      <w:bookmarkStart w:id="7385" w:name="_Toc12802"/>
      <w:bookmarkStart w:id="7386" w:name="_Toc3507"/>
      <w:bookmarkStart w:id="7387" w:name="_Toc25266"/>
      <w:bookmarkStart w:id="7388" w:name="_Toc17384"/>
      <w:bookmarkStart w:id="7389" w:name="_Toc2376"/>
      <w:bookmarkStart w:id="7390" w:name="_Toc20795"/>
      <w:bookmarkStart w:id="7391" w:name="_Toc18668"/>
      <w:r>
        <w:t xml:space="preserve"> - Separare prin elemente rezistente la explozie</w:t>
      </w:r>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p>
    <w:p w14:paraId="22C70FF0" w14:textId="77777777" w:rsidR="001C08A5" w:rsidRDefault="00000000">
      <w:pPr>
        <w:numPr>
          <w:ilvl w:val="0"/>
          <w:numId w:val="96"/>
        </w:numPr>
        <w:tabs>
          <w:tab w:val="left" w:pos="426"/>
          <w:tab w:val="left" w:pos="993"/>
        </w:tabs>
        <w:jc w:val="both"/>
        <w:rPr>
          <w:rFonts w:eastAsia="Times New Roman"/>
          <w:i/>
          <w:sz w:val="22"/>
          <w:szCs w:val="22"/>
        </w:rPr>
      </w:pPr>
      <w:r>
        <w:rPr>
          <w:rFonts w:eastAsia="Times New Roman"/>
          <w:i/>
          <w:sz w:val="24"/>
        </w:rPr>
        <w:t xml:space="preserve">Atunci când încăperile cu pericol de explozie sunt dispuse în construcţii cu alte destinaţii, se separă prin elemente rezistente la explozie (pereţi, planşee). </w:t>
      </w:r>
      <w:r>
        <w:rPr>
          <w:rFonts w:eastAsia="Times New Roman"/>
          <w:i/>
          <w:sz w:val="22"/>
          <w:szCs w:val="22"/>
        </w:rPr>
        <w:t>Planşeele rezistente la explozie trebuie să îndeplinească condiţiile pereţilor respectivi, rezistenţi la explozie.</w:t>
      </w:r>
    </w:p>
    <w:p w14:paraId="49BB2D8C" w14:textId="77777777" w:rsidR="001C08A5" w:rsidRDefault="001C08A5">
      <w:pPr>
        <w:numPr>
          <w:ilvl w:val="255"/>
          <w:numId w:val="0"/>
        </w:numPr>
        <w:tabs>
          <w:tab w:val="left" w:pos="426"/>
          <w:tab w:val="left" w:pos="993"/>
        </w:tabs>
        <w:jc w:val="both"/>
        <w:rPr>
          <w:rFonts w:eastAsia="Times New Roman"/>
          <w:i/>
          <w:sz w:val="22"/>
          <w:szCs w:val="22"/>
        </w:rPr>
      </w:pPr>
    </w:p>
    <w:p w14:paraId="2CCF3904"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Elementele rezistente la explozie trebuie să asigure şi împiedicarea propagării incendiilor din spaţiile adiacente spre cel cu pericol de explozie (rezistenţă la foc conform densităţii sarcinii termice).</w:t>
      </w:r>
    </w:p>
    <w:p w14:paraId="24CB0A2C" w14:textId="77777777" w:rsidR="001C08A5" w:rsidRDefault="001C08A5">
      <w:pPr>
        <w:numPr>
          <w:ilvl w:val="255"/>
          <w:numId w:val="0"/>
        </w:numPr>
        <w:tabs>
          <w:tab w:val="left" w:pos="426"/>
          <w:tab w:val="left" w:pos="993"/>
        </w:tabs>
        <w:jc w:val="both"/>
        <w:rPr>
          <w:rFonts w:eastAsia="Times New Roman"/>
          <w:b/>
          <w:i/>
          <w:sz w:val="24"/>
        </w:rPr>
      </w:pPr>
    </w:p>
    <w:p w14:paraId="1C520AE9"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Golurile de comunicare funcţională din pereţii rezistenţi la explozie se protejează prin încăperi tampon protejate, prevăzute cu pereți rezistenți la foc </w:t>
      </w:r>
      <w:r>
        <w:rPr>
          <w:rFonts w:eastAsia="Times New Roman"/>
          <w:b/>
          <w:bCs/>
          <w:i/>
          <w:sz w:val="24"/>
        </w:rPr>
        <w:t>EI/REI 120</w:t>
      </w:r>
      <w:r>
        <w:rPr>
          <w:rFonts w:eastAsia="Times New Roman"/>
          <w:i/>
          <w:sz w:val="24"/>
        </w:rPr>
        <w:t xml:space="preserve"> (cu excepția peretelui către încăperea cu risc foarte mare de incendiu și explozie volumetrică care trebuie sa fie minimum </w:t>
      </w:r>
      <w:r>
        <w:rPr>
          <w:rFonts w:eastAsia="Times New Roman"/>
          <w:b/>
          <w:bCs/>
          <w:i/>
          <w:sz w:val="24"/>
        </w:rPr>
        <w:t>REI 180</w:t>
      </w:r>
      <w:r>
        <w:rPr>
          <w:rFonts w:eastAsia="Times New Roman"/>
          <w:i/>
          <w:sz w:val="24"/>
        </w:rPr>
        <w:t xml:space="preserve">) și uși </w:t>
      </w:r>
      <w:r>
        <w:rPr>
          <w:b/>
          <w:bCs/>
          <w:i/>
          <w:iCs/>
          <w:sz w:val="22"/>
          <w:szCs w:val="22"/>
        </w:rPr>
        <w:t>2 uși x EI</w:t>
      </w:r>
      <w:r>
        <w:rPr>
          <w:b/>
          <w:bCs/>
          <w:i/>
          <w:iCs/>
          <w:sz w:val="22"/>
          <w:szCs w:val="22"/>
          <w:vertAlign w:val="subscript"/>
        </w:rPr>
        <w:t>2</w:t>
      </w:r>
      <w:r>
        <w:rPr>
          <w:b/>
          <w:bCs/>
          <w:i/>
          <w:iCs/>
          <w:sz w:val="22"/>
          <w:szCs w:val="22"/>
        </w:rPr>
        <w:t xml:space="preserve"> 90-C5S</w:t>
      </w:r>
      <w:r>
        <w:rPr>
          <w:b/>
          <w:bCs/>
          <w:i/>
          <w:iCs/>
          <w:sz w:val="22"/>
          <w:szCs w:val="22"/>
          <w:vertAlign w:val="subscript"/>
        </w:rPr>
        <w:t>200</w:t>
      </w:r>
      <w:r>
        <w:rPr>
          <w:rFonts w:eastAsia="Times New Roman"/>
          <w:i/>
          <w:sz w:val="24"/>
        </w:rPr>
        <w:t>..</w:t>
      </w:r>
    </w:p>
    <w:p w14:paraId="127946B8" w14:textId="77777777" w:rsidR="001C08A5" w:rsidRDefault="00000000">
      <w:pPr>
        <w:jc w:val="center"/>
        <w:rPr>
          <w:rFonts w:eastAsia="Times New Roman"/>
          <w:i/>
          <w:sz w:val="24"/>
          <w:szCs w:val="24"/>
        </w:rPr>
      </w:pPr>
      <w:r>
        <w:rPr>
          <w:b/>
          <w:bCs/>
          <w:i/>
          <w:noProof/>
          <w:sz w:val="24"/>
          <w:szCs w:val="24"/>
        </w:rPr>
        <w:drawing>
          <wp:inline distT="0" distB="0" distL="114300" distR="114300" wp14:anchorId="01CC2246" wp14:editId="0F4B9480">
            <wp:extent cx="5953125" cy="3068320"/>
            <wp:effectExtent l="0" t="0" r="9525" b="17780"/>
            <wp:docPr id="3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19"/>
                    <pic:cNvPicPr>
                      <a:picLocks noChangeAspect="1"/>
                    </pic:cNvPicPr>
                  </pic:nvPicPr>
                  <pic:blipFill>
                    <a:blip r:embed="rId331"/>
                    <a:srcRect l="12720" t="21191" r="8413" b="22268"/>
                    <a:stretch>
                      <a:fillRect/>
                    </a:stretch>
                  </pic:blipFill>
                  <pic:spPr>
                    <a:xfrm>
                      <a:off x="0" y="0"/>
                      <a:ext cx="5953125" cy="3068320"/>
                    </a:xfrm>
                    <a:prstGeom prst="rect">
                      <a:avLst/>
                    </a:prstGeom>
                    <a:noFill/>
                    <a:ln>
                      <a:noFill/>
                    </a:ln>
                  </pic:spPr>
                </pic:pic>
              </a:graphicData>
            </a:graphic>
          </wp:inline>
        </w:drawing>
      </w:r>
    </w:p>
    <w:p w14:paraId="519AAB8D" w14:textId="77777777" w:rsidR="001C08A5" w:rsidRDefault="00000000">
      <w:pPr>
        <w:pStyle w:val="Caption"/>
        <w:jc w:val="center"/>
      </w:pPr>
      <w:bookmarkStart w:id="7392" w:name="_Toc27397"/>
      <w:bookmarkStart w:id="7393" w:name="_Toc162360385"/>
      <w:bookmarkStart w:id="7394" w:name="_Toc27215"/>
      <w:r>
        <w:t xml:space="preserve">Figura </w:t>
      </w:r>
      <w:r>
        <w:fldChar w:fldCharType="begin"/>
      </w:r>
      <w:r>
        <w:instrText xml:space="preserve"> SEQ Figura \* ARABIC </w:instrText>
      </w:r>
      <w:r>
        <w:fldChar w:fldCharType="separate"/>
      </w:r>
      <w:r>
        <w:t>161</w:t>
      </w:r>
      <w:r>
        <w:fldChar w:fldCharType="end"/>
      </w:r>
      <w:bookmarkStart w:id="7395" w:name="_Toc4957"/>
      <w:bookmarkStart w:id="7396" w:name="_Toc15373"/>
      <w:bookmarkStart w:id="7397" w:name="_Toc2675"/>
      <w:bookmarkStart w:id="7398" w:name="_Toc15480"/>
      <w:bookmarkStart w:id="7399" w:name="_Toc17881"/>
      <w:bookmarkStart w:id="7400" w:name="_Toc20807"/>
      <w:bookmarkStart w:id="7401" w:name="_Toc21541"/>
      <w:bookmarkStart w:id="7402" w:name="_Toc25874"/>
      <w:bookmarkStart w:id="7403" w:name="_Toc11371"/>
      <w:r>
        <w:t xml:space="preserve"> - Încăpere tampon</w:t>
      </w:r>
      <w:bookmarkEnd w:id="7392"/>
      <w:bookmarkEnd w:id="7393"/>
      <w:bookmarkEnd w:id="7394"/>
      <w:bookmarkEnd w:id="7395"/>
      <w:bookmarkEnd w:id="7396"/>
      <w:bookmarkEnd w:id="7397"/>
      <w:bookmarkEnd w:id="7398"/>
      <w:bookmarkEnd w:id="7399"/>
      <w:bookmarkEnd w:id="7400"/>
      <w:bookmarkEnd w:id="7401"/>
      <w:bookmarkEnd w:id="7402"/>
      <w:bookmarkEnd w:id="7403"/>
    </w:p>
    <w:p w14:paraId="35B42E98" w14:textId="77777777" w:rsidR="001C08A5" w:rsidRDefault="001C08A5">
      <w:pPr>
        <w:jc w:val="center"/>
        <w:rPr>
          <w:rFonts w:eastAsia="Times New Roman"/>
          <w:i/>
          <w:sz w:val="24"/>
          <w:szCs w:val="24"/>
        </w:rPr>
      </w:pPr>
    </w:p>
    <w:p w14:paraId="5C6C460C"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Încăperile cu pericol de explozie nu vor avea tavane suspendate şi zone neventilate.</w:t>
      </w:r>
    </w:p>
    <w:p w14:paraId="40C8297A" w14:textId="77777777" w:rsidR="001C08A5" w:rsidRDefault="001C08A5">
      <w:pPr>
        <w:jc w:val="both"/>
        <w:rPr>
          <w:rFonts w:eastAsia="Times New Roman"/>
          <w:i/>
          <w:sz w:val="24"/>
          <w:szCs w:val="24"/>
        </w:rPr>
      </w:pPr>
    </w:p>
    <w:p w14:paraId="59EC1578"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618CA766" wp14:editId="6BFEEE09">
            <wp:extent cx="6024245" cy="1830070"/>
            <wp:effectExtent l="0" t="0" r="14605" b="177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pic:cNvPicPr>
                  </pic:nvPicPr>
                  <pic:blipFill>
                    <a:blip r:embed="rId332"/>
                    <a:srcRect l="12619" t="25449" r="7571" b="38332"/>
                    <a:stretch>
                      <a:fillRect/>
                    </a:stretch>
                  </pic:blipFill>
                  <pic:spPr>
                    <a:xfrm>
                      <a:off x="0" y="0"/>
                      <a:ext cx="6024245" cy="1830070"/>
                    </a:xfrm>
                    <a:prstGeom prst="rect">
                      <a:avLst/>
                    </a:prstGeom>
                    <a:noFill/>
                    <a:ln>
                      <a:noFill/>
                    </a:ln>
                  </pic:spPr>
                </pic:pic>
              </a:graphicData>
            </a:graphic>
          </wp:inline>
        </w:drawing>
      </w:r>
    </w:p>
    <w:p w14:paraId="510088DD" w14:textId="77777777" w:rsidR="001C08A5" w:rsidRDefault="00000000">
      <w:pPr>
        <w:pStyle w:val="Caption"/>
        <w:jc w:val="center"/>
      </w:pPr>
      <w:bookmarkStart w:id="7404" w:name="_Toc162360386"/>
      <w:bookmarkStart w:id="7405" w:name="_Toc142898544"/>
      <w:bookmarkStart w:id="7406" w:name="_Toc16885"/>
      <w:bookmarkStart w:id="7407" w:name="_Toc8209"/>
      <w:bookmarkStart w:id="7408" w:name="_Toc13965"/>
      <w:r>
        <w:t xml:space="preserve">Figura </w:t>
      </w:r>
      <w:r>
        <w:fldChar w:fldCharType="begin"/>
      </w:r>
      <w:r>
        <w:instrText xml:space="preserve"> SEQ Figura \* ARABIC </w:instrText>
      </w:r>
      <w:r>
        <w:fldChar w:fldCharType="separate"/>
      </w:r>
      <w:r>
        <w:t>162</w:t>
      </w:r>
      <w:r>
        <w:fldChar w:fldCharType="end"/>
      </w:r>
      <w:bookmarkStart w:id="7409" w:name="_Toc17460"/>
      <w:bookmarkStart w:id="7410" w:name="_Toc9455"/>
      <w:bookmarkStart w:id="7411" w:name="_Toc5586"/>
      <w:bookmarkStart w:id="7412" w:name="_Toc24453"/>
      <w:bookmarkStart w:id="7413" w:name="_Toc26555"/>
      <w:bookmarkStart w:id="7414" w:name="_Toc28466"/>
      <w:bookmarkStart w:id="7415" w:name="_Toc22192"/>
      <w:bookmarkStart w:id="7416" w:name="_Toc4869"/>
      <w:bookmarkStart w:id="7417" w:name="_Toc27327"/>
      <w:r>
        <w:t xml:space="preserve"> - Încăpere cu pericol de explozie - fără plafoane (tavane) suspendate</w:t>
      </w:r>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p>
    <w:p w14:paraId="1C8F722F" w14:textId="77777777" w:rsidR="001C08A5" w:rsidRDefault="001C08A5">
      <w:pPr>
        <w:jc w:val="both"/>
        <w:rPr>
          <w:rFonts w:eastAsia="Times New Roman"/>
          <w:i/>
          <w:sz w:val="24"/>
          <w:szCs w:val="24"/>
        </w:rPr>
      </w:pPr>
    </w:p>
    <w:p w14:paraId="461C3E21"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Încăperile şi spaţiile închise cu pericol de explozie se prevăd cu goluri de decomprimare în caz de explozie.</w:t>
      </w:r>
    </w:p>
    <w:p w14:paraId="448855A6" w14:textId="77777777" w:rsidR="001C08A5" w:rsidRDefault="001C08A5">
      <w:pPr>
        <w:tabs>
          <w:tab w:val="left" w:pos="426"/>
          <w:tab w:val="left" w:pos="993"/>
        </w:tabs>
        <w:jc w:val="both"/>
        <w:rPr>
          <w:rFonts w:eastAsia="Times New Roman"/>
          <w:b/>
          <w:i/>
          <w:sz w:val="24"/>
        </w:rPr>
      </w:pPr>
    </w:p>
    <w:p w14:paraId="3D4A9D18"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ab/>
        <w:t xml:space="preserve">Încăperile centralelor termice echipate cu electrovană și detector automat de gaz se prevăd cu goluri de decomprimare în caz de explozie cu aria de cel puţin </w:t>
      </w:r>
      <w:r>
        <w:rPr>
          <w:rFonts w:eastAsia="Times New Roman"/>
          <w:b/>
          <w:bCs/>
          <w:i/>
          <w:sz w:val="24"/>
        </w:rPr>
        <w:t>0,02 m</w:t>
      </w:r>
      <w:r>
        <w:rPr>
          <w:rFonts w:eastAsia="Times New Roman"/>
          <w:b/>
          <w:bCs/>
          <w:i/>
          <w:sz w:val="24"/>
          <w:vertAlign w:val="superscript"/>
        </w:rPr>
        <w:t>2</w:t>
      </w:r>
      <w:r>
        <w:rPr>
          <w:rFonts w:eastAsia="Times New Roman"/>
          <w:i/>
          <w:sz w:val="24"/>
        </w:rPr>
        <w:t xml:space="preserve"> la </w:t>
      </w:r>
      <w:r>
        <w:rPr>
          <w:rFonts w:eastAsia="Times New Roman"/>
          <w:b/>
          <w:bCs/>
          <w:i/>
          <w:sz w:val="24"/>
        </w:rPr>
        <w:t>1 m</w:t>
      </w:r>
      <w:r>
        <w:rPr>
          <w:rFonts w:eastAsia="Times New Roman"/>
          <w:b/>
          <w:bCs/>
          <w:i/>
          <w:sz w:val="24"/>
          <w:vertAlign w:val="superscript"/>
        </w:rPr>
        <w:t>3</w:t>
      </w:r>
      <w:r>
        <w:rPr>
          <w:rFonts w:eastAsia="Times New Roman"/>
          <w:i/>
          <w:sz w:val="24"/>
        </w:rPr>
        <w:t xml:space="preserve"> din volumul încăperii.</w:t>
      </w:r>
    </w:p>
    <w:p w14:paraId="727968BF" w14:textId="77777777" w:rsidR="001C08A5" w:rsidRDefault="00000000">
      <w:pPr>
        <w:jc w:val="both"/>
        <w:rPr>
          <w:rFonts w:eastAsia="Times New Roman"/>
          <w:i/>
          <w:sz w:val="24"/>
          <w:szCs w:val="24"/>
        </w:rPr>
      </w:pPr>
      <w:r>
        <w:rPr>
          <w:rFonts w:eastAsia="Times New Roman"/>
          <w:i/>
          <w:sz w:val="24"/>
          <w:szCs w:val="24"/>
        </w:rPr>
        <w:t>Determinarea dimensiunilor suprafeței zonelor de descărcare a presiunii (a golurilor de decomprimare în caz de explozie) se face conform următoarei formule (cu excepția spațiilor de la alineatul anterior):</w:t>
      </w:r>
    </w:p>
    <w:p w14:paraId="36B46F15" w14:textId="77777777" w:rsidR="001C08A5" w:rsidRDefault="001C08A5">
      <w:pPr>
        <w:jc w:val="both"/>
        <w:rPr>
          <w:rFonts w:eastAsia="Times New Roman"/>
          <w:i/>
          <w:sz w:val="24"/>
          <w:szCs w:val="24"/>
        </w:rPr>
      </w:pPr>
    </w:p>
    <w:p w14:paraId="431650AB" w14:textId="77777777" w:rsidR="001C08A5" w:rsidRDefault="00000000">
      <w:pPr>
        <w:jc w:val="both"/>
        <w:rPr>
          <w:rFonts w:eastAsia="Times New Roman"/>
          <w:b/>
          <w:bCs/>
          <w:i/>
          <w:sz w:val="24"/>
          <w:szCs w:val="24"/>
        </w:rPr>
      </w:pPr>
      <w:r>
        <w:rPr>
          <w:rFonts w:eastAsia="Times New Roman"/>
          <w:i/>
          <w:sz w:val="24"/>
          <w:szCs w:val="24"/>
        </w:rPr>
        <w:t xml:space="preserve">                                               </w:t>
      </w:r>
      <w:r>
        <w:rPr>
          <w:rFonts w:eastAsia="Times New Roman"/>
          <w:b/>
          <w:bCs/>
          <w:i/>
          <w:sz w:val="24"/>
          <w:szCs w:val="24"/>
        </w:rPr>
        <w:t xml:space="preserve">  A</w:t>
      </w:r>
      <w:r>
        <w:rPr>
          <w:rFonts w:eastAsia="Times New Roman"/>
          <w:b/>
          <w:bCs/>
          <w:i/>
          <w:sz w:val="24"/>
          <w:szCs w:val="24"/>
          <w:vertAlign w:val="subscript"/>
        </w:rPr>
        <w:t>ex</w:t>
      </w:r>
      <w:r>
        <w:rPr>
          <w:rFonts w:eastAsia="Times New Roman"/>
          <w:b/>
          <w:bCs/>
          <w:i/>
          <w:sz w:val="24"/>
          <w:szCs w:val="24"/>
        </w:rPr>
        <w:t xml:space="preserve">= </w:t>
      </w:r>
      <w:r>
        <w:rPr>
          <w:rFonts w:eastAsia="TimesNewRomanPSMT-Identity-H"/>
          <w:b/>
          <w:bCs/>
          <w:i/>
          <w:sz w:val="24"/>
          <w:szCs w:val="24"/>
        </w:rPr>
        <w:t xml:space="preserve">0,05xV </w:t>
      </w:r>
    </w:p>
    <w:p w14:paraId="4A219A5E" w14:textId="77777777" w:rsidR="001C08A5" w:rsidRDefault="00000000">
      <w:pPr>
        <w:jc w:val="both"/>
        <w:rPr>
          <w:rFonts w:eastAsia="Times New Roman"/>
          <w:i/>
          <w:sz w:val="24"/>
          <w:szCs w:val="24"/>
        </w:rPr>
      </w:pPr>
      <w:r>
        <w:rPr>
          <w:rFonts w:eastAsia="Times New Roman"/>
          <w:i/>
          <w:sz w:val="24"/>
          <w:szCs w:val="24"/>
        </w:rPr>
        <w:t>Unde:</w:t>
      </w:r>
    </w:p>
    <w:p w14:paraId="062BF7B8" w14:textId="77777777" w:rsidR="001C08A5" w:rsidRDefault="00000000">
      <w:pPr>
        <w:jc w:val="both"/>
        <w:rPr>
          <w:rFonts w:eastAsia="Times New Roman"/>
          <w:i/>
          <w:sz w:val="24"/>
          <w:szCs w:val="24"/>
        </w:rPr>
      </w:pPr>
      <w:r>
        <w:rPr>
          <w:rFonts w:eastAsia="Times New Roman"/>
          <w:i/>
          <w:sz w:val="24"/>
          <w:szCs w:val="24"/>
        </w:rPr>
        <w:t>Agex - dimensiunea suprafeței golului pentru decomprimare în caz de explozie, exprimată în m</w:t>
      </w:r>
      <w:r>
        <w:rPr>
          <w:rFonts w:eastAsia="Times New Roman"/>
          <w:i/>
          <w:sz w:val="24"/>
          <w:szCs w:val="24"/>
          <w:vertAlign w:val="superscript"/>
        </w:rPr>
        <w:t>2</w:t>
      </w:r>
      <w:r>
        <w:rPr>
          <w:rFonts w:eastAsia="Times New Roman"/>
          <w:i/>
          <w:sz w:val="24"/>
          <w:szCs w:val="24"/>
        </w:rPr>
        <w:t>;</w:t>
      </w:r>
    </w:p>
    <w:p w14:paraId="5FCB1313" w14:textId="77777777" w:rsidR="001C08A5" w:rsidRDefault="00000000">
      <w:pPr>
        <w:jc w:val="both"/>
        <w:rPr>
          <w:rFonts w:eastAsia="Times New Roman"/>
          <w:i/>
          <w:sz w:val="24"/>
          <w:szCs w:val="24"/>
        </w:rPr>
      </w:pPr>
      <w:r>
        <w:rPr>
          <w:rFonts w:eastAsia="Times New Roman"/>
          <w:i/>
          <w:sz w:val="24"/>
          <w:szCs w:val="24"/>
        </w:rPr>
        <w:t>f</w:t>
      </w:r>
      <w:r>
        <w:rPr>
          <w:rFonts w:eastAsia="Times New Roman"/>
          <w:i/>
          <w:sz w:val="24"/>
          <w:szCs w:val="24"/>
          <w:vertAlign w:val="subscript"/>
        </w:rPr>
        <w:t>ex</w:t>
      </w:r>
      <w:r>
        <w:rPr>
          <w:rFonts w:eastAsia="Times New Roman"/>
          <w:i/>
          <w:sz w:val="24"/>
          <w:szCs w:val="24"/>
        </w:rPr>
        <w:t xml:space="preserve"> = </w:t>
      </w:r>
      <w:r>
        <w:rPr>
          <w:rFonts w:eastAsia="Times New Roman"/>
          <w:b/>
          <w:bCs/>
          <w:i/>
          <w:sz w:val="24"/>
          <w:szCs w:val="24"/>
        </w:rPr>
        <w:t>0,05</w:t>
      </w:r>
      <w:r>
        <w:rPr>
          <w:rFonts w:eastAsia="Times New Roman"/>
          <w:i/>
          <w:sz w:val="24"/>
          <w:szCs w:val="24"/>
        </w:rPr>
        <w:t xml:space="preserve"> - factor specific de suprafață a golului pentru decomprimare în caz de explozie, exprimat în </w:t>
      </w:r>
      <w:r>
        <w:rPr>
          <w:rFonts w:eastAsia="Times New Roman"/>
          <w:b/>
          <w:bCs/>
          <w:i/>
          <w:sz w:val="24"/>
          <w:szCs w:val="24"/>
        </w:rPr>
        <w:t>m</w:t>
      </w:r>
      <w:r>
        <w:rPr>
          <w:rFonts w:eastAsia="Times New Roman"/>
          <w:b/>
          <w:bCs/>
          <w:i/>
          <w:sz w:val="24"/>
          <w:szCs w:val="24"/>
          <w:vertAlign w:val="superscript"/>
        </w:rPr>
        <w:t>2</w:t>
      </w:r>
      <w:r>
        <w:rPr>
          <w:rFonts w:eastAsia="Times New Roman"/>
          <w:b/>
          <w:bCs/>
          <w:i/>
          <w:sz w:val="24"/>
          <w:szCs w:val="24"/>
        </w:rPr>
        <w:t>/</w:t>
      </w:r>
      <w:r>
        <w:rPr>
          <w:rFonts w:eastAsia="TimesNewRomanPSMT-Identity-H"/>
          <w:b/>
          <w:bCs/>
          <w:i/>
          <w:sz w:val="24"/>
          <w:szCs w:val="24"/>
        </w:rPr>
        <w:t>m</w:t>
      </w:r>
      <w:r>
        <w:rPr>
          <w:rFonts w:eastAsia="TimesNewRomanPSMT-Identity-H"/>
          <w:b/>
          <w:bCs/>
          <w:i/>
          <w:sz w:val="24"/>
          <w:szCs w:val="24"/>
          <w:vertAlign w:val="superscript"/>
        </w:rPr>
        <w:t>3</w:t>
      </w:r>
      <w:r>
        <w:rPr>
          <w:rFonts w:eastAsia="Times New Roman"/>
          <w:i/>
          <w:sz w:val="24"/>
          <w:szCs w:val="24"/>
        </w:rPr>
        <w:t>;</w:t>
      </w:r>
    </w:p>
    <w:p w14:paraId="0CA7B9D0" w14:textId="77777777" w:rsidR="001C08A5" w:rsidRDefault="00000000">
      <w:pPr>
        <w:jc w:val="both"/>
        <w:rPr>
          <w:rFonts w:eastAsia="Times New Roman"/>
          <w:i/>
          <w:sz w:val="24"/>
          <w:szCs w:val="24"/>
        </w:rPr>
      </w:pPr>
      <w:r>
        <w:rPr>
          <w:rFonts w:eastAsia="Times New Roman"/>
          <w:i/>
          <w:sz w:val="24"/>
          <w:szCs w:val="24"/>
        </w:rPr>
        <w:t xml:space="preserve">V - volumul de aer interior al incintei, exprimat în </w:t>
      </w:r>
      <w:r>
        <w:rPr>
          <w:rFonts w:eastAsia="Times New Roman"/>
          <w:b/>
          <w:bCs/>
          <w:i/>
          <w:sz w:val="24"/>
          <w:szCs w:val="24"/>
        </w:rPr>
        <w:t>m</w:t>
      </w:r>
      <w:r>
        <w:rPr>
          <w:rFonts w:eastAsia="Times New Roman"/>
          <w:b/>
          <w:bCs/>
          <w:i/>
          <w:sz w:val="24"/>
          <w:szCs w:val="24"/>
          <w:vertAlign w:val="superscript"/>
        </w:rPr>
        <w:t>3</w:t>
      </w:r>
      <w:r>
        <w:rPr>
          <w:rFonts w:eastAsia="Times New Roman"/>
          <w:i/>
          <w:sz w:val="24"/>
          <w:szCs w:val="24"/>
        </w:rPr>
        <w:t>.</w:t>
      </w:r>
    </w:p>
    <w:p w14:paraId="19902859" w14:textId="77777777" w:rsidR="001C08A5" w:rsidRDefault="00000000">
      <w:pPr>
        <w:jc w:val="center"/>
        <w:rPr>
          <w:rFonts w:eastAsia="Times New Roman"/>
          <w:i/>
          <w:sz w:val="24"/>
          <w:szCs w:val="24"/>
        </w:rPr>
      </w:pPr>
      <w:r>
        <w:rPr>
          <w:b/>
          <w:bCs/>
          <w:i/>
          <w:noProof/>
          <w:sz w:val="24"/>
          <w:szCs w:val="24"/>
        </w:rPr>
        <w:drawing>
          <wp:inline distT="0" distB="0" distL="114300" distR="114300" wp14:anchorId="2DFEC462" wp14:editId="21C0B9D9">
            <wp:extent cx="3352800" cy="2805430"/>
            <wp:effectExtent l="0" t="0" r="0" b="13970"/>
            <wp:docPr id="3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22"/>
                    <pic:cNvPicPr>
                      <a:picLocks noChangeAspect="1"/>
                    </pic:cNvPicPr>
                  </pic:nvPicPr>
                  <pic:blipFill>
                    <a:blip r:embed="rId333"/>
                    <a:srcRect l="25667" t="33677" r="29915" b="14627"/>
                    <a:stretch>
                      <a:fillRect/>
                    </a:stretch>
                  </pic:blipFill>
                  <pic:spPr>
                    <a:xfrm>
                      <a:off x="0" y="0"/>
                      <a:ext cx="3352800" cy="2805430"/>
                    </a:xfrm>
                    <a:prstGeom prst="rect">
                      <a:avLst/>
                    </a:prstGeom>
                    <a:noFill/>
                    <a:ln>
                      <a:noFill/>
                    </a:ln>
                  </pic:spPr>
                </pic:pic>
              </a:graphicData>
            </a:graphic>
          </wp:inline>
        </w:drawing>
      </w:r>
    </w:p>
    <w:p w14:paraId="4A689242" w14:textId="77777777" w:rsidR="001C08A5" w:rsidRDefault="00000000">
      <w:pPr>
        <w:pStyle w:val="Caption"/>
        <w:jc w:val="center"/>
      </w:pPr>
      <w:bookmarkStart w:id="7418" w:name="_Toc162360387"/>
      <w:bookmarkStart w:id="7419" w:name="_Toc23358"/>
      <w:bookmarkStart w:id="7420" w:name="_Toc142898545"/>
      <w:bookmarkStart w:id="7421" w:name="_Toc12311"/>
      <w:r>
        <w:t xml:space="preserve">Figura </w:t>
      </w:r>
      <w:r>
        <w:fldChar w:fldCharType="begin"/>
      </w:r>
      <w:r>
        <w:instrText xml:space="preserve"> SEQ Figura \* ARABIC </w:instrText>
      </w:r>
      <w:r>
        <w:fldChar w:fldCharType="separate"/>
      </w:r>
      <w:r>
        <w:t>163</w:t>
      </w:r>
      <w:r>
        <w:fldChar w:fldCharType="end"/>
      </w:r>
      <w:bookmarkStart w:id="7422" w:name="_Toc29602"/>
      <w:bookmarkStart w:id="7423" w:name="_Toc16873"/>
      <w:bookmarkStart w:id="7424" w:name="_Toc25633"/>
      <w:bookmarkStart w:id="7425" w:name="_Toc4078"/>
      <w:bookmarkStart w:id="7426" w:name="_Toc31099"/>
      <w:bookmarkStart w:id="7427" w:name="_Toc20941"/>
      <w:bookmarkStart w:id="7428" w:name="_Toc18537"/>
      <w:bookmarkStart w:id="7429" w:name="_Toc23233"/>
      <w:bookmarkStart w:id="7430" w:name="_Toc14299"/>
      <w:r>
        <w:t xml:space="preserve"> - Goluri de decomprimare în caz de explozie la CT</w:t>
      </w:r>
      <w:bookmarkEnd w:id="7418"/>
      <w:bookmarkEnd w:id="7419"/>
      <w:bookmarkEnd w:id="7420"/>
      <w:bookmarkEnd w:id="7421"/>
      <w:bookmarkEnd w:id="7422"/>
      <w:bookmarkEnd w:id="7423"/>
      <w:bookmarkEnd w:id="7424"/>
      <w:bookmarkEnd w:id="7425"/>
      <w:bookmarkEnd w:id="7426"/>
      <w:bookmarkEnd w:id="7427"/>
      <w:bookmarkEnd w:id="7428"/>
      <w:bookmarkEnd w:id="7429"/>
      <w:bookmarkEnd w:id="7430"/>
    </w:p>
    <w:p w14:paraId="28BFC319" w14:textId="77777777" w:rsidR="001C08A5" w:rsidRDefault="00000000">
      <w:pPr>
        <w:jc w:val="both"/>
        <w:rPr>
          <w:rFonts w:eastAsia="Times New Roman"/>
          <w:i/>
          <w:sz w:val="24"/>
          <w:szCs w:val="24"/>
        </w:rPr>
      </w:pPr>
      <w:r>
        <w:rPr>
          <w:rFonts w:eastAsia="Times New Roman"/>
          <w:i/>
          <w:sz w:val="24"/>
          <w:szCs w:val="24"/>
        </w:rPr>
        <w:t>Exemplu:</w:t>
      </w:r>
    </w:p>
    <w:p w14:paraId="5FAC56BE" w14:textId="77777777" w:rsidR="001C08A5" w:rsidRDefault="00000000">
      <w:pPr>
        <w:jc w:val="both"/>
        <w:rPr>
          <w:rFonts w:eastAsia="Times New Roman"/>
          <w:i/>
          <w:sz w:val="24"/>
          <w:szCs w:val="24"/>
        </w:rPr>
      </w:pPr>
      <w:r>
        <w:rPr>
          <w:rFonts w:eastAsia="Times New Roman"/>
          <w:b/>
          <w:bCs/>
          <w:i/>
          <w:sz w:val="24"/>
          <w:szCs w:val="24"/>
        </w:rPr>
        <w:t>6,00 x 4,00 x 3,00 = 72,00 m</w:t>
      </w:r>
      <w:r>
        <w:rPr>
          <w:rFonts w:eastAsia="Times New Roman"/>
          <w:b/>
          <w:bCs/>
          <w:i/>
          <w:sz w:val="24"/>
          <w:szCs w:val="24"/>
          <w:vertAlign w:val="superscript"/>
        </w:rPr>
        <w:t>3</w:t>
      </w:r>
      <w:r>
        <w:rPr>
          <w:rFonts w:eastAsia="Times New Roman"/>
          <w:i/>
          <w:sz w:val="24"/>
          <w:szCs w:val="24"/>
        </w:rPr>
        <w:t xml:space="preserve"> volum cameră CT</w:t>
      </w:r>
    </w:p>
    <w:p w14:paraId="7188ADDB" w14:textId="77777777" w:rsidR="001C08A5" w:rsidRDefault="00000000">
      <w:pPr>
        <w:jc w:val="both"/>
        <w:rPr>
          <w:rFonts w:eastAsia="Times New Roman"/>
          <w:b/>
          <w:bCs/>
          <w:i/>
          <w:sz w:val="24"/>
          <w:szCs w:val="24"/>
        </w:rPr>
      </w:pPr>
      <w:r>
        <w:rPr>
          <w:rFonts w:eastAsia="Times New Roman"/>
          <w:b/>
          <w:bCs/>
          <w:i/>
          <w:sz w:val="24"/>
          <w:szCs w:val="24"/>
        </w:rPr>
        <w:t>72,00 m</w:t>
      </w:r>
      <w:r>
        <w:rPr>
          <w:rFonts w:eastAsia="Times New Roman"/>
          <w:b/>
          <w:bCs/>
          <w:i/>
          <w:sz w:val="24"/>
          <w:szCs w:val="24"/>
          <w:vertAlign w:val="superscript"/>
        </w:rPr>
        <w:t xml:space="preserve">3 </w:t>
      </w:r>
      <w:r>
        <w:rPr>
          <w:rFonts w:eastAsia="Times New Roman"/>
          <w:b/>
          <w:bCs/>
          <w:i/>
          <w:sz w:val="24"/>
          <w:szCs w:val="24"/>
        </w:rPr>
        <w:t>x 0,05 m</w:t>
      </w:r>
      <w:r>
        <w:rPr>
          <w:rFonts w:eastAsia="Times New Roman"/>
          <w:b/>
          <w:bCs/>
          <w:i/>
          <w:sz w:val="24"/>
          <w:szCs w:val="24"/>
          <w:vertAlign w:val="superscript"/>
        </w:rPr>
        <w:t>2</w:t>
      </w:r>
      <w:r>
        <w:rPr>
          <w:rFonts w:eastAsia="Times New Roman"/>
          <w:b/>
          <w:bCs/>
          <w:i/>
          <w:sz w:val="24"/>
          <w:szCs w:val="24"/>
        </w:rPr>
        <w:t>/</w:t>
      </w:r>
      <w:r>
        <w:rPr>
          <w:rFonts w:eastAsia="TimesNewRomanPSMT-Identity-H"/>
          <w:b/>
          <w:bCs/>
          <w:i/>
          <w:sz w:val="24"/>
          <w:szCs w:val="24"/>
        </w:rPr>
        <w:t>m</w:t>
      </w:r>
      <w:r>
        <w:rPr>
          <w:rFonts w:eastAsia="TimesNewRomanPSMT-Identity-H"/>
          <w:b/>
          <w:bCs/>
          <w:i/>
          <w:sz w:val="24"/>
          <w:szCs w:val="24"/>
          <w:vertAlign w:val="superscript"/>
        </w:rPr>
        <w:t xml:space="preserve">3 </w:t>
      </w:r>
      <w:r>
        <w:rPr>
          <w:rFonts w:eastAsia="TimesNewRomanPSMT-Identity-H"/>
          <w:b/>
          <w:bCs/>
          <w:i/>
          <w:sz w:val="24"/>
          <w:szCs w:val="24"/>
        </w:rPr>
        <w:t xml:space="preserve">= 3,60 </w:t>
      </w:r>
      <w:r>
        <w:rPr>
          <w:rFonts w:eastAsia="Times New Roman"/>
          <w:b/>
          <w:bCs/>
          <w:i/>
          <w:sz w:val="24"/>
          <w:szCs w:val="24"/>
        </w:rPr>
        <w:t>m</w:t>
      </w:r>
      <w:r>
        <w:rPr>
          <w:rFonts w:eastAsia="Times New Roman"/>
          <w:b/>
          <w:bCs/>
          <w:i/>
          <w:sz w:val="24"/>
          <w:szCs w:val="24"/>
          <w:vertAlign w:val="superscript"/>
        </w:rPr>
        <w:t>2</w:t>
      </w:r>
    </w:p>
    <w:p w14:paraId="2382ADE9" w14:textId="77777777" w:rsidR="001C08A5" w:rsidRDefault="00000000">
      <w:pPr>
        <w:jc w:val="both"/>
        <w:rPr>
          <w:rFonts w:eastAsia="Times New Roman"/>
          <w:i/>
          <w:sz w:val="24"/>
          <w:szCs w:val="24"/>
        </w:rPr>
      </w:pPr>
      <w:r>
        <w:rPr>
          <w:rFonts w:eastAsia="Times New Roman"/>
          <w:b/>
          <w:bCs/>
          <w:i/>
          <w:sz w:val="24"/>
          <w:szCs w:val="24"/>
        </w:rPr>
        <w:t>3,00 x 1,30 = 3,90 m</w:t>
      </w:r>
      <w:r>
        <w:rPr>
          <w:rFonts w:eastAsia="Times New Roman"/>
          <w:b/>
          <w:bCs/>
          <w:i/>
          <w:sz w:val="24"/>
          <w:szCs w:val="24"/>
          <w:vertAlign w:val="superscript"/>
        </w:rPr>
        <w:t>2</w:t>
      </w:r>
      <w:r>
        <w:rPr>
          <w:rFonts w:eastAsia="Times New Roman"/>
          <w:i/>
          <w:sz w:val="24"/>
          <w:szCs w:val="24"/>
        </w:rPr>
        <w:t xml:space="preserve"> - gol decomprimare </w:t>
      </w:r>
    </w:p>
    <w:p w14:paraId="67568727" w14:textId="77777777" w:rsidR="001C08A5" w:rsidRDefault="00000000">
      <w:pPr>
        <w:jc w:val="both"/>
        <w:rPr>
          <w:rFonts w:eastAsia="Times New Roman"/>
          <w:i/>
          <w:sz w:val="24"/>
          <w:szCs w:val="24"/>
        </w:rPr>
      </w:pPr>
      <w:r>
        <w:rPr>
          <w:rFonts w:eastAsia="Times New Roman"/>
          <w:b/>
          <w:bCs/>
          <w:i/>
          <w:sz w:val="24"/>
          <w:szCs w:val="24"/>
        </w:rPr>
        <w:t>3,90 m</w:t>
      </w:r>
      <w:r>
        <w:rPr>
          <w:rFonts w:eastAsia="Times New Roman"/>
          <w:b/>
          <w:bCs/>
          <w:i/>
          <w:sz w:val="24"/>
          <w:szCs w:val="24"/>
          <w:vertAlign w:val="superscript"/>
        </w:rPr>
        <w:t>2</w:t>
      </w:r>
      <w:r>
        <w:rPr>
          <w:rFonts w:eastAsia="Times New Roman"/>
          <w:i/>
          <w:sz w:val="24"/>
          <w:szCs w:val="24"/>
        </w:rPr>
        <w:t xml:space="preserve"> gol prevazut de decomprimare &gt; </w:t>
      </w:r>
      <w:r>
        <w:rPr>
          <w:rFonts w:eastAsia="Times New Roman"/>
          <w:b/>
          <w:bCs/>
          <w:i/>
          <w:sz w:val="24"/>
          <w:szCs w:val="24"/>
        </w:rPr>
        <w:t>3,60 m</w:t>
      </w:r>
      <w:r>
        <w:rPr>
          <w:rFonts w:eastAsia="Times New Roman"/>
          <w:b/>
          <w:bCs/>
          <w:i/>
          <w:sz w:val="24"/>
          <w:szCs w:val="24"/>
          <w:vertAlign w:val="superscript"/>
        </w:rPr>
        <w:t xml:space="preserve">2 </w:t>
      </w:r>
      <w:r>
        <w:rPr>
          <w:rFonts w:eastAsia="Times New Roman"/>
          <w:b/>
          <w:bCs/>
          <w:i/>
          <w:sz w:val="24"/>
          <w:szCs w:val="24"/>
        </w:rPr>
        <w:t>(</w:t>
      </w:r>
      <w:r>
        <w:rPr>
          <w:rFonts w:eastAsia="Times New Roman"/>
          <w:i/>
          <w:sz w:val="24"/>
          <w:szCs w:val="24"/>
        </w:rPr>
        <w:t>gol necesar de decomprimare)</w:t>
      </w:r>
    </w:p>
    <w:p w14:paraId="7D8BD641" w14:textId="77777777" w:rsidR="001C08A5" w:rsidRDefault="001C08A5">
      <w:pPr>
        <w:jc w:val="both"/>
        <w:rPr>
          <w:rFonts w:eastAsia="Times New Roman"/>
          <w:i/>
          <w:sz w:val="24"/>
          <w:szCs w:val="24"/>
        </w:rPr>
      </w:pPr>
    </w:p>
    <w:p w14:paraId="78A77BD0"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lastRenderedPageBreak/>
        <w:t xml:space="preserve"> Golurile de decomprimare pot fi prevăzute în pereţii exteriori sau în acoperiş.</w:t>
      </w:r>
    </w:p>
    <w:p w14:paraId="4C45D2AC" w14:textId="77777777" w:rsidR="001C08A5" w:rsidRDefault="00000000">
      <w:pPr>
        <w:jc w:val="center"/>
        <w:rPr>
          <w:rFonts w:eastAsia="Times New Roman"/>
          <w:i/>
          <w:sz w:val="24"/>
          <w:szCs w:val="24"/>
        </w:rPr>
      </w:pPr>
      <w:r>
        <w:rPr>
          <w:b/>
          <w:bCs/>
          <w:i/>
          <w:noProof/>
          <w:sz w:val="24"/>
          <w:szCs w:val="24"/>
        </w:rPr>
        <w:drawing>
          <wp:inline distT="0" distB="0" distL="114300" distR="114300" wp14:anchorId="79A66FED" wp14:editId="0120DCD9">
            <wp:extent cx="5924550" cy="2482215"/>
            <wp:effectExtent l="0" t="0" r="0" b="13335"/>
            <wp:docPr id="3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23"/>
                    <pic:cNvPicPr>
                      <a:picLocks noChangeAspect="1"/>
                    </pic:cNvPicPr>
                  </pic:nvPicPr>
                  <pic:blipFill>
                    <a:blip r:embed="rId334"/>
                    <a:srcRect l="13048" t="43985" r="8463" b="10274"/>
                    <a:stretch>
                      <a:fillRect/>
                    </a:stretch>
                  </pic:blipFill>
                  <pic:spPr>
                    <a:xfrm>
                      <a:off x="0" y="0"/>
                      <a:ext cx="5924550" cy="2482215"/>
                    </a:xfrm>
                    <a:prstGeom prst="rect">
                      <a:avLst/>
                    </a:prstGeom>
                    <a:noFill/>
                    <a:ln>
                      <a:noFill/>
                    </a:ln>
                  </pic:spPr>
                </pic:pic>
              </a:graphicData>
            </a:graphic>
          </wp:inline>
        </w:drawing>
      </w:r>
    </w:p>
    <w:p w14:paraId="2DAFF0EB" w14:textId="77777777" w:rsidR="001C08A5" w:rsidRDefault="00000000">
      <w:pPr>
        <w:pStyle w:val="Caption"/>
        <w:jc w:val="center"/>
      </w:pPr>
      <w:bookmarkStart w:id="7431" w:name="_Toc142898546"/>
      <w:bookmarkStart w:id="7432" w:name="_Toc162360388"/>
      <w:bookmarkStart w:id="7433" w:name="_Toc16712"/>
      <w:bookmarkStart w:id="7434" w:name="_Toc28564"/>
      <w:bookmarkStart w:id="7435" w:name="_Toc1293"/>
      <w:r>
        <w:t xml:space="preserve">Figura </w:t>
      </w:r>
      <w:r>
        <w:fldChar w:fldCharType="begin"/>
      </w:r>
      <w:r>
        <w:instrText xml:space="preserve"> SEQ Figura \* ARABIC </w:instrText>
      </w:r>
      <w:r>
        <w:fldChar w:fldCharType="separate"/>
      </w:r>
      <w:r>
        <w:t>164</w:t>
      </w:r>
      <w:r>
        <w:fldChar w:fldCharType="end"/>
      </w:r>
      <w:bookmarkStart w:id="7436" w:name="_Toc32503"/>
      <w:bookmarkStart w:id="7437" w:name="_Toc3249"/>
      <w:bookmarkStart w:id="7438" w:name="_Toc24364"/>
      <w:bookmarkStart w:id="7439" w:name="_Toc3243"/>
      <w:bookmarkStart w:id="7440" w:name="_Toc31629"/>
      <w:bookmarkStart w:id="7441" w:name="_Toc7523"/>
      <w:bookmarkStart w:id="7442" w:name="_Toc20850"/>
      <w:bookmarkStart w:id="7443" w:name="_Toc17321"/>
      <w:bookmarkStart w:id="7444" w:name="_Toc26300"/>
      <w:r>
        <w:t xml:space="preserve"> - Goluri de decomprimare în pereţii exteriori sau în acoperiş</w:t>
      </w:r>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p>
    <w:p w14:paraId="51BA3871"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Nu sunt admise goluri de decomprimare în pereţii şi planşeele de separare faţă de restul construcţiei. În cazul în care este realizat un tambur deschis se prevăd de asemnenea goluri de decomprimare în partea opusă tamburului deschis, iar spre acesta se prevede perete deflector realizat similar celui de la </w:t>
      </w:r>
      <w:r>
        <w:rPr>
          <w:rFonts w:eastAsia="Times New Roman"/>
          <w:b/>
          <w:i/>
          <w:sz w:val="24"/>
        </w:rPr>
        <w:t xml:space="preserve">Art. 2.3.4.1.5. </w:t>
      </w:r>
      <w:r>
        <w:rPr>
          <w:rFonts w:eastAsia="Times New Roman"/>
          <w:i/>
          <w:sz w:val="24"/>
        </w:rPr>
        <w:t>.</w:t>
      </w:r>
    </w:p>
    <w:p w14:paraId="7014356B"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64C52D26" wp14:editId="7B61ED1C">
            <wp:extent cx="5715000" cy="2211070"/>
            <wp:effectExtent l="0" t="0" r="0" b="1778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pic:cNvPicPr>
                  </pic:nvPicPr>
                  <pic:blipFill>
                    <a:blip r:embed="rId335"/>
                    <a:srcRect l="16295" t="16023" r="7993" b="40216"/>
                    <a:stretch>
                      <a:fillRect/>
                    </a:stretch>
                  </pic:blipFill>
                  <pic:spPr>
                    <a:xfrm>
                      <a:off x="0" y="0"/>
                      <a:ext cx="5715000" cy="2211070"/>
                    </a:xfrm>
                    <a:prstGeom prst="rect">
                      <a:avLst/>
                    </a:prstGeom>
                    <a:noFill/>
                    <a:ln>
                      <a:noFill/>
                    </a:ln>
                  </pic:spPr>
                </pic:pic>
              </a:graphicData>
            </a:graphic>
          </wp:inline>
        </w:drawing>
      </w:r>
    </w:p>
    <w:p w14:paraId="52523910" w14:textId="77777777" w:rsidR="001C08A5" w:rsidRDefault="00000000">
      <w:pPr>
        <w:pStyle w:val="Caption"/>
        <w:jc w:val="center"/>
      </w:pPr>
      <w:bookmarkStart w:id="7445" w:name="_Toc142898547"/>
      <w:bookmarkStart w:id="7446" w:name="_Toc26899"/>
      <w:bookmarkStart w:id="7447" w:name="_Toc19982"/>
      <w:bookmarkStart w:id="7448" w:name="_Toc23635"/>
      <w:bookmarkStart w:id="7449" w:name="_Toc162360389"/>
      <w:r>
        <w:t xml:space="preserve">Figura </w:t>
      </w:r>
      <w:r>
        <w:fldChar w:fldCharType="begin"/>
      </w:r>
      <w:r>
        <w:instrText xml:space="preserve"> SEQ Figura \* ARABIC </w:instrText>
      </w:r>
      <w:r>
        <w:fldChar w:fldCharType="separate"/>
      </w:r>
      <w:r>
        <w:t>165</w:t>
      </w:r>
      <w:r>
        <w:fldChar w:fldCharType="end"/>
      </w:r>
      <w:bookmarkStart w:id="7450" w:name="_Toc15821"/>
      <w:bookmarkStart w:id="7451" w:name="_Toc27045"/>
      <w:bookmarkStart w:id="7452" w:name="_Toc10103"/>
      <w:bookmarkStart w:id="7453" w:name="_Toc13187"/>
      <w:bookmarkStart w:id="7454" w:name="_Toc23429"/>
      <w:bookmarkStart w:id="7455" w:name="_Toc26680"/>
      <w:bookmarkStart w:id="7456" w:name="_Toc10754"/>
      <w:bookmarkStart w:id="7457" w:name="_Toc15350"/>
      <w:bookmarkStart w:id="7458" w:name="_Toc12199"/>
      <w:r>
        <w:t xml:space="preserve"> - Soluții neadmise la goluri de decomprimare</w:t>
      </w:r>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p>
    <w:p w14:paraId="376409EF"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Golurile prevăzute pentru decomprimare în caz de explozie pot fi neînchise sau închise cu elemente de închidere care să cedeze la presiunea provocată de explozie (panouri sau porţiuni de perete sau acoperiş de tip uşor dislocabile sau rabatabile, ferestre, luminatoare cu geam simplu).</w:t>
      </w:r>
    </w:p>
    <w:p w14:paraId="13DDD79D" w14:textId="77777777" w:rsidR="001C08A5" w:rsidRDefault="001C08A5">
      <w:pPr>
        <w:autoSpaceDE w:val="0"/>
        <w:autoSpaceDN w:val="0"/>
        <w:adjustRightInd w:val="0"/>
        <w:rPr>
          <w:rFonts w:ascii="Arial" w:hAnsi="Arial" w:cs="Arial"/>
          <w:sz w:val="24"/>
          <w:szCs w:val="24"/>
          <w:lang w:val="en-US" w:eastAsia="en-US"/>
        </w:rPr>
      </w:pPr>
    </w:p>
    <w:p w14:paraId="40A567F2"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76D23C76" wp14:editId="7A666D48">
            <wp:extent cx="5715000" cy="1062990"/>
            <wp:effectExtent l="0" t="0" r="0" b="3810"/>
            <wp:docPr id="3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24"/>
                    <pic:cNvPicPr>
                      <a:picLocks noChangeAspect="1"/>
                    </pic:cNvPicPr>
                  </pic:nvPicPr>
                  <pic:blipFill>
                    <a:blip r:embed="rId336"/>
                    <a:srcRect l="14310" t="11736" r="9977" b="68675"/>
                    <a:stretch>
                      <a:fillRect/>
                    </a:stretch>
                  </pic:blipFill>
                  <pic:spPr>
                    <a:xfrm>
                      <a:off x="0" y="0"/>
                      <a:ext cx="5715000" cy="1062990"/>
                    </a:xfrm>
                    <a:prstGeom prst="rect">
                      <a:avLst/>
                    </a:prstGeom>
                    <a:noFill/>
                    <a:ln>
                      <a:noFill/>
                    </a:ln>
                  </pic:spPr>
                </pic:pic>
              </a:graphicData>
            </a:graphic>
          </wp:inline>
        </w:drawing>
      </w:r>
    </w:p>
    <w:p w14:paraId="24917473" w14:textId="77777777" w:rsidR="001C08A5" w:rsidRDefault="00000000">
      <w:pPr>
        <w:jc w:val="center"/>
        <w:rPr>
          <w:i/>
          <w:sz w:val="24"/>
          <w:szCs w:val="24"/>
        </w:rPr>
      </w:pPr>
      <w:r>
        <w:rPr>
          <w:noProof/>
        </w:rPr>
        <w:lastRenderedPageBreak/>
        <w:drawing>
          <wp:inline distT="0" distB="0" distL="114300" distR="114300" wp14:anchorId="467B4B15" wp14:editId="02FC3C13">
            <wp:extent cx="5715000" cy="1722755"/>
            <wp:effectExtent l="0" t="0" r="0" b="10795"/>
            <wp:docPr id="3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24"/>
                    <pic:cNvPicPr>
                      <a:picLocks noChangeAspect="1"/>
                    </pic:cNvPicPr>
                  </pic:nvPicPr>
                  <pic:blipFill>
                    <a:blip r:embed="rId336"/>
                    <a:srcRect l="14310" t="48596" r="9977" b="19658"/>
                    <a:stretch>
                      <a:fillRect/>
                    </a:stretch>
                  </pic:blipFill>
                  <pic:spPr>
                    <a:xfrm>
                      <a:off x="0" y="0"/>
                      <a:ext cx="5715000" cy="1722755"/>
                    </a:xfrm>
                    <a:prstGeom prst="rect">
                      <a:avLst/>
                    </a:prstGeom>
                    <a:noFill/>
                    <a:ln>
                      <a:noFill/>
                    </a:ln>
                  </pic:spPr>
                </pic:pic>
              </a:graphicData>
            </a:graphic>
          </wp:inline>
        </w:drawing>
      </w:r>
    </w:p>
    <w:p w14:paraId="7B2D28D4" w14:textId="77777777" w:rsidR="001C08A5" w:rsidRDefault="001C08A5">
      <w:pPr>
        <w:jc w:val="center"/>
        <w:rPr>
          <w:i/>
          <w:sz w:val="24"/>
          <w:szCs w:val="24"/>
        </w:rPr>
      </w:pPr>
    </w:p>
    <w:p w14:paraId="0E84510B" w14:textId="77777777" w:rsidR="001C08A5" w:rsidRDefault="00000000">
      <w:pPr>
        <w:pStyle w:val="Caption"/>
        <w:jc w:val="center"/>
      </w:pPr>
      <w:bookmarkStart w:id="7459" w:name="_Toc20865"/>
      <w:bookmarkStart w:id="7460" w:name="_Toc7180"/>
      <w:bookmarkStart w:id="7461" w:name="_Toc142898548"/>
      <w:bookmarkStart w:id="7462" w:name="_Toc162360390"/>
      <w:bookmarkStart w:id="7463" w:name="_Toc29732"/>
      <w:r>
        <w:t xml:space="preserve">Figura </w:t>
      </w:r>
      <w:r>
        <w:fldChar w:fldCharType="begin"/>
      </w:r>
      <w:r>
        <w:instrText xml:space="preserve"> SEQ Figura \* ARABIC </w:instrText>
      </w:r>
      <w:r>
        <w:fldChar w:fldCharType="separate"/>
      </w:r>
      <w:r>
        <w:t>166</w:t>
      </w:r>
      <w:r>
        <w:fldChar w:fldCharType="end"/>
      </w:r>
      <w:bookmarkStart w:id="7464" w:name="_Toc5461"/>
      <w:bookmarkStart w:id="7465" w:name="_Toc10458"/>
      <w:bookmarkStart w:id="7466" w:name="_Toc18439"/>
      <w:bookmarkStart w:id="7467" w:name="_Toc12142"/>
      <w:bookmarkStart w:id="7468" w:name="_Toc15986"/>
      <w:bookmarkStart w:id="7469" w:name="_Toc23530"/>
      <w:bookmarkStart w:id="7470" w:name="_Toc18103"/>
      <w:bookmarkStart w:id="7471" w:name="_Toc4376"/>
      <w:bookmarkStart w:id="7472" w:name="_Toc4941"/>
      <w:r>
        <w:t xml:space="preserve"> - Goluri de decomprimare închise sau deschise</w:t>
      </w:r>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p>
    <w:p w14:paraId="0525C893" w14:textId="77777777" w:rsidR="001C08A5" w:rsidRDefault="00000000">
      <w:pPr>
        <w:jc w:val="center"/>
        <w:rPr>
          <w:b/>
          <w:bCs/>
          <w:i/>
          <w:sz w:val="24"/>
          <w:szCs w:val="24"/>
        </w:rPr>
      </w:pPr>
      <w:r>
        <w:rPr>
          <w:b/>
          <w:bCs/>
          <w:i/>
          <w:noProof/>
          <w:sz w:val="24"/>
          <w:szCs w:val="24"/>
        </w:rPr>
        <w:drawing>
          <wp:inline distT="0" distB="0" distL="114300" distR="114300" wp14:anchorId="21995768" wp14:editId="12BAF499">
            <wp:extent cx="5553075" cy="2593975"/>
            <wp:effectExtent l="0" t="0" r="9525" b="15875"/>
            <wp:docPr id="3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25"/>
                    <pic:cNvPicPr>
                      <a:picLocks noChangeAspect="1"/>
                    </pic:cNvPicPr>
                  </pic:nvPicPr>
                  <pic:blipFill>
                    <a:blip r:embed="rId337"/>
                    <a:srcRect l="15067" t="11116" r="11365" b="41084"/>
                    <a:stretch>
                      <a:fillRect/>
                    </a:stretch>
                  </pic:blipFill>
                  <pic:spPr>
                    <a:xfrm>
                      <a:off x="0" y="0"/>
                      <a:ext cx="5553075" cy="259397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243D94D1" w14:textId="77777777">
        <w:tc>
          <w:tcPr>
            <w:tcW w:w="4927" w:type="dxa"/>
          </w:tcPr>
          <w:p w14:paraId="158C5E03" w14:textId="77777777" w:rsidR="001C08A5" w:rsidRDefault="00000000">
            <w:pPr>
              <w:rPr>
                <w:rFonts w:eastAsia="Times New Roman"/>
                <w:i/>
                <w:sz w:val="24"/>
                <w:szCs w:val="24"/>
              </w:rPr>
            </w:pPr>
            <w:r>
              <w:rPr>
                <w:rFonts w:eastAsia="Times New Roman"/>
                <w:i/>
                <w:sz w:val="24"/>
                <w:szCs w:val="24"/>
              </w:rPr>
              <w:t>Varianta a) - Goluri prevăzute pentru decomprimare în peretele exterior</w:t>
            </w:r>
          </w:p>
          <w:p w14:paraId="44FF4BD1" w14:textId="77777777" w:rsidR="001C08A5" w:rsidRDefault="001C08A5">
            <w:pPr>
              <w:jc w:val="center"/>
              <w:rPr>
                <w:b/>
                <w:bCs/>
                <w:i/>
                <w:sz w:val="24"/>
                <w:szCs w:val="24"/>
              </w:rPr>
            </w:pPr>
          </w:p>
        </w:tc>
        <w:tc>
          <w:tcPr>
            <w:tcW w:w="4928" w:type="dxa"/>
          </w:tcPr>
          <w:p w14:paraId="110C69A5" w14:textId="77777777" w:rsidR="001C08A5" w:rsidRDefault="00000000">
            <w:pPr>
              <w:rPr>
                <w:b/>
                <w:bCs/>
                <w:i/>
                <w:sz w:val="24"/>
                <w:szCs w:val="24"/>
              </w:rPr>
            </w:pPr>
            <w:r>
              <w:rPr>
                <w:rFonts w:eastAsia="Times New Roman"/>
                <w:i/>
                <w:sz w:val="24"/>
                <w:szCs w:val="24"/>
              </w:rPr>
              <w:t>Varianta b) - Panou dislocabil/ fereastră simplă (geam float) pentru decomprimare în peretele exterior</w:t>
            </w:r>
          </w:p>
        </w:tc>
      </w:tr>
    </w:tbl>
    <w:p w14:paraId="6982E067" w14:textId="77777777" w:rsidR="001C08A5" w:rsidRDefault="00000000">
      <w:pPr>
        <w:pStyle w:val="Caption"/>
        <w:jc w:val="center"/>
      </w:pPr>
      <w:bookmarkStart w:id="7473" w:name="_Toc142898549"/>
      <w:bookmarkStart w:id="7474" w:name="_Toc18320"/>
      <w:bookmarkStart w:id="7475" w:name="_Toc162360391"/>
      <w:bookmarkStart w:id="7476" w:name="_Toc3044"/>
      <w:bookmarkStart w:id="7477" w:name="_Toc12711"/>
      <w:r>
        <w:t xml:space="preserve">Figura </w:t>
      </w:r>
      <w:r>
        <w:fldChar w:fldCharType="begin"/>
      </w:r>
      <w:r>
        <w:instrText xml:space="preserve"> SEQ Figura \* ARABIC </w:instrText>
      </w:r>
      <w:r>
        <w:fldChar w:fldCharType="separate"/>
      </w:r>
      <w:r>
        <w:t>167</w:t>
      </w:r>
      <w:r>
        <w:fldChar w:fldCharType="end"/>
      </w:r>
      <w:bookmarkStart w:id="7478" w:name="_Toc12550"/>
      <w:bookmarkStart w:id="7479" w:name="_Toc22568"/>
      <w:bookmarkStart w:id="7480" w:name="_Toc14913"/>
      <w:bookmarkStart w:id="7481" w:name="_Toc10211"/>
      <w:bookmarkStart w:id="7482" w:name="_Toc10201"/>
      <w:bookmarkStart w:id="7483" w:name="_Toc975"/>
      <w:bookmarkStart w:id="7484" w:name="_Toc7620"/>
      <w:bookmarkStart w:id="7485" w:name="_Toc18727"/>
      <w:bookmarkStart w:id="7486" w:name="_Toc9707"/>
      <w:r>
        <w:t xml:space="preserve"> - Goluri prevăzute pentru decomprimare în caz de explozie neînchise sau închise</w:t>
      </w:r>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p>
    <w:p w14:paraId="5CE7BE63" w14:textId="77777777" w:rsidR="001C08A5" w:rsidRDefault="00000000">
      <w:pPr>
        <w:jc w:val="center"/>
        <w:rPr>
          <w:rFonts w:eastAsia="Times New Roman"/>
          <w:i/>
          <w:sz w:val="24"/>
          <w:szCs w:val="24"/>
        </w:rPr>
      </w:pPr>
      <w:r>
        <w:rPr>
          <w:rFonts w:eastAsia="Times New Roman"/>
          <w:i/>
          <w:sz w:val="24"/>
          <w:szCs w:val="24"/>
        </w:rPr>
        <w:t xml:space="preserve">Notă: presiunea la care trebuie să cedeze este de max. </w:t>
      </w:r>
      <w:r>
        <w:rPr>
          <w:rFonts w:eastAsia="Times New Roman"/>
          <w:b/>
          <w:bCs/>
          <w:i/>
          <w:sz w:val="24"/>
          <w:szCs w:val="24"/>
        </w:rPr>
        <w:t>118 daN/m</w:t>
      </w:r>
      <w:r>
        <w:rPr>
          <w:rFonts w:eastAsia="Times New Roman"/>
          <w:b/>
          <w:bCs/>
          <w:i/>
          <w:sz w:val="24"/>
          <w:szCs w:val="24"/>
          <w:vertAlign w:val="superscript"/>
        </w:rPr>
        <w:t>2</w:t>
      </w:r>
    </w:p>
    <w:p w14:paraId="417FB62E" w14:textId="77777777" w:rsidR="001C08A5" w:rsidRDefault="001C08A5">
      <w:pPr>
        <w:jc w:val="both"/>
        <w:rPr>
          <w:rFonts w:eastAsia="Times New Roman"/>
          <w:i/>
          <w:sz w:val="24"/>
          <w:szCs w:val="24"/>
        </w:rPr>
      </w:pPr>
    </w:p>
    <w:p w14:paraId="5B7CD0DC"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Panourile rabatabile pot fi cu balamale (axe), orizontale sau verticale.</w:t>
      </w:r>
    </w:p>
    <w:p w14:paraId="5E657311" w14:textId="77777777" w:rsidR="001C08A5" w:rsidRDefault="00000000">
      <w:pPr>
        <w:jc w:val="center"/>
        <w:rPr>
          <w:b/>
          <w:bCs/>
          <w:i/>
          <w:sz w:val="24"/>
          <w:szCs w:val="24"/>
        </w:rPr>
      </w:pPr>
      <w:r>
        <w:rPr>
          <w:b/>
          <w:bCs/>
          <w:i/>
          <w:noProof/>
          <w:sz w:val="24"/>
          <w:szCs w:val="24"/>
          <w:lang w:eastAsia="ro-RO"/>
        </w:rPr>
        <w:drawing>
          <wp:inline distT="0" distB="0" distL="114300" distR="114300" wp14:anchorId="29464476" wp14:editId="07BD2329">
            <wp:extent cx="6024245" cy="1813560"/>
            <wp:effectExtent l="0" t="0" r="14605" b="15240"/>
            <wp:docPr id="23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110"/>
                    <pic:cNvPicPr>
                      <a:picLocks noChangeAspect="1"/>
                    </pic:cNvPicPr>
                  </pic:nvPicPr>
                  <pic:blipFill>
                    <a:blip r:embed="rId338"/>
                    <a:srcRect l="12830" t="23413" r="7361" b="40694"/>
                    <a:stretch>
                      <a:fillRect/>
                    </a:stretch>
                  </pic:blipFill>
                  <pic:spPr>
                    <a:xfrm>
                      <a:off x="0" y="0"/>
                      <a:ext cx="6024245" cy="181356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213"/>
        <w:gridCol w:w="3213"/>
        <w:gridCol w:w="3213"/>
      </w:tblGrid>
      <w:tr w:rsidR="001C08A5" w14:paraId="5870EA22" w14:textId="77777777">
        <w:tc>
          <w:tcPr>
            <w:tcW w:w="3285" w:type="dxa"/>
            <w:tcBorders>
              <w:top w:val="nil"/>
              <w:left w:val="nil"/>
              <w:bottom w:val="nil"/>
              <w:right w:val="nil"/>
            </w:tcBorders>
          </w:tcPr>
          <w:p w14:paraId="74FC49A2" w14:textId="77777777" w:rsidR="001C08A5" w:rsidRDefault="00000000">
            <w:pPr>
              <w:jc w:val="center"/>
              <w:rPr>
                <w:b/>
                <w:bCs/>
                <w:i/>
                <w:sz w:val="24"/>
                <w:szCs w:val="24"/>
              </w:rPr>
            </w:pPr>
            <w:r>
              <w:rPr>
                <w:rFonts w:eastAsia="Times New Roman"/>
                <w:b/>
                <w:bCs/>
                <w:i/>
                <w:sz w:val="24"/>
                <w:szCs w:val="24"/>
              </w:rPr>
              <w:t>Axonometrie ax balamale orizontale deschidere în sus</w:t>
            </w:r>
          </w:p>
        </w:tc>
        <w:tc>
          <w:tcPr>
            <w:tcW w:w="3285" w:type="dxa"/>
            <w:tcBorders>
              <w:top w:val="nil"/>
              <w:left w:val="nil"/>
              <w:bottom w:val="nil"/>
              <w:right w:val="nil"/>
            </w:tcBorders>
          </w:tcPr>
          <w:p w14:paraId="0DA1D2BA" w14:textId="77777777" w:rsidR="001C08A5" w:rsidRDefault="00000000">
            <w:pPr>
              <w:jc w:val="center"/>
              <w:rPr>
                <w:b/>
                <w:bCs/>
                <w:i/>
                <w:sz w:val="24"/>
                <w:szCs w:val="24"/>
              </w:rPr>
            </w:pPr>
            <w:r>
              <w:rPr>
                <w:rFonts w:eastAsia="Times New Roman"/>
                <w:b/>
                <w:bCs/>
                <w:i/>
                <w:sz w:val="24"/>
                <w:szCs w:val="24"/>
              </w:rPr>
              <w:t>Axonometrie ax balamale orizontale deschidere în jos</w:t>
            </w:r>
          </w:p>
        </w:tc>
        <w:tc>
          <w:tcPr>
            <w:tcW w:w="3285" w:type="dxa"/>
            <w:tcBorders>
              <w:top w:val="nil"/>
              <w:left w:val="nil"/>
              <w:bottom w:val="nil"/>
              <w:right w:val="nil"/>
            </w:tcBorders>
          </w:tcPr>
          <w:p w14:paraId="141DDB40" w14:textId="77777777" w:rsidR="001C08A5" w:rsidRDefault="00000000">
            <w:pPr>
              <w:jc w:val="center"/>
              <w:rPr>
                <w:b/>
                <w:bCs/>
                <w:i/>
                <w:sz w:val="24"/>
                <w:szCs w:val="24"/>
              </w:rPr>
            </w:pPr>
            <w:r>
              <w:rPr>
                <w:rFonts w:eastAsia="Times New Roman"/>
                <w:b/>
                <w:bCs/>
                <w:i/>
                <w:sz w:val="24"/>
                <w:szCs w:val="24"/>
              </w:rPr>
              <w:t>Axonometrie ax balamale verticale</w:t>
            </w:r>
          </w:p>
        </w:tc>
      </w:tr>
    </w:tbl>
    <w:p w14:paraId="7ED309EB" w14:textId="77777777" w:rsidR="001C08A5" w:rsidRDefault="00000000">
      <w:pPr>
        <w:jc w:val="center"/>
        <w:rPr>
          <w:rFonts w:eastAsia="Times New Roman"/>
          <w:i/>
          <w:sz w:val="24"/>
          <w:szCs w:val="24"/>
        </w:rPr>
      </w:pPr>
      <w:r>
        <w:rPr>
          <w:b/>
          <w:bCs/>
          <w:i/>
          <w:noProof/>
          <w:sz w:val="24"/>
          <w:szCs w:val="24"/>
        </w:rPr>
        <w:lastRenderedPageBreak/>
        <w:drawing>
          <wp:inline distT="0" distB="0" distL="114300" distR="114300" wp14:anchorId="7DFA8986" wp14:editId="0F7ACB46">
            <wp:extent cx="5953125" cy="3096895"/>
            <wp:effectExtent l="0" t="0" r="9525" b="8255"/>
            <wp:docPr id="3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26"/>
                    <pic:cNvPicPr>
                      <a:picLocks noChangeAspect="1"/>
                    </pic:cNvPicPr>
                  </pic:nvPicPr>
                  <pic:blipFill>
                    <a:blip r:embed="rId339"/>
                    <a:srcRect l="13174" t="10941" r="7958" b="31992"/>
                    <a:stretch>
                      <a:fillRect/>
                    </a:stretch>
                  </pic:blipFill>
                  <pic:spPr>
                    <a:xfrm>
                      <a:off x="0" y="0"/>
                      <a:ext cx="5953125" cy="3096895"/>
                    </a:xfrm>
                    <a:prstGeom prst="rect">
                      <a:avLst/>
                    </a:prstGeom>
                    <a:noFill/>
                    <a:ln>
                      <a:noFill/>
                    </a:ln>
                  </pic:spPr>
                </pic:pic>
              </a:graphicData>
            </a:graphic>
          </wp:inline>
        </w:drawing>
      </w:r>
    </w:p>
    <w:p w14:paraId="013067F9" w14:textId="77777777" w:rsidR="001C08A5" w:rsidRDefault="00000000">
      <w:pPr>
        <w:pStyle w:val="Caption"/>
        <w:jc w:val="center"/>
      </w:pPr>
      <w:bookmarkStart w:id="7487" w:name="_Toc26747"/>
      <w:bookmarkStart w:id="7488" w:name="_Toc142898550"/>
      <w:bookmarkStart w:id="7489" w:name="_Toc26317"/>
      <w:bookmarkStart w:id="7490" w:name="_Toc162360392"/>
      <w:bookmarkStart w:id="7491" w:name="_Toc4103"/>
      <w:r>
        <w:t xml:space="preserve">Figura </w:t>
      </w:r>
      <w:r>
        <w:fldChar w:fldCharType="begin"/>
      </w:r>
      <w:r>
        <w:instrText xml:space="preserve"> SEQ Figura \* ARABIC </w:instrText>
      </w:r>
      <w:r>
        <w:fldChar w:fldCharType="separate"/>
      </w:r>
      <w:r>
        <w:t>168</w:t>
      </w:r>
      <w:r>
        <w:fldChar w:fldCharType="end"/>
      </w:r>
      <w:bookmarkStart w:id="7492" w:name="_Toc5333"/>
      <w:bookmarkStart w:id="7493" w:name="_Toc16932"/>
      <w:bookmarkStart w:id="7494" w:name="_Toc29658"/>
      <w:bookmarkStart w:id="7495" w:name="_Toc20384"/>
      <w:bookmarkStart w:id="7496" w:name="_Toc8720"/>
      <w:bookmarkStart w:id="7497" w:name="_Toc27878"/>
      <w:bookmarkStart w:id="7498" w:name="_Toc16927"/>
      <w:bookmarkStart w:id="7499" w:name="_Toc9867"/>
      <w:bookmarkStart w:id="7500" w:name="_Toc4786"/>
      <w:r>
        <w:t xml:space="preserve"> - Panouri rabatabile cu balamale (axe)</w:t>
      </w:r>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p>
    <w:p w14:paraId="391168A4" w14:textId="77777777" w:rsidR="001C08A5" w:rsidRDefault="00000000">
      <w:pPr>
        <w:suppressLineNumbers/>
        <w:spacing w:before="120" w:after="120"/>
        <w:jc w:val="center"/>
        <w:rPr>
          <w:rFonts w:cs="Mangal"/>
          <w:b/>
          <w:i/>
          <w:iCs/>
          <w:sz w:val="24"/>
          <w:szCs w:val="24"/>
        </w:rPr>
      </w:pPr>
      <w:r>
        <w:rPr>
          <w:rFonts w:cs="Mangal"/>
          <w:b/>
          <w:i/>
          <w:iCs/>
          <w:noProof/>
          <w:sz w:val="24"/>
          <w:szCs w:val="24"/>
        </w:rPr>
        <w:drawing>
          <wp:inline distT="0" distB="0" distL="114300" distR="114300" wp14:anchorId="74D4FDFD" wp14:editId="2A20D0A4">
            <wp:extent cx="5429250" cy="2192020"/>
            <wp:effectExtent l="0" t="0" r="0" b="17780"/>
            <wp:docPr id="3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21"/>
                    <pic:cNvPicPr>
                      <a:picLocks noChangeAspect="1"/>
                    </pic:cNvPicPr>
                  </pic:nvPicPr>
                  <pic:blipFill>
                    <a:blip r:embed="rId340"/>
                    <a:srcRect l="16076" t="45343" r="11996" b="14264"/>
                    <a:stretch>
                      <a:fillRect/>
                    </a:stretch>
                  </pic:blipFill>
                  <pic:spPr>
                    <a:xfrm>
                      <a:off x="0" y="0"/>
                      <a:ext cx="5429250" cy="2192020"/>
                    </a:xfrm>
                    <a:prstGeom prst="rect">
                      <a:avLst/>
                    </a:prstGeom>
                    <a:noFill/>
                    <a:ln>
                      <a:noFill/>
                    </a:ln>
                  </pic:spPr>
                </pic:pic>
              </a:graphicData>
            </a:graphic>
          </wp:inline>
        </w:drawing>
      </w:r>
    </w:p>
    <w:p w14:paraId="6BE8235C" w14:textId="77777777" w:rsidR="001C08A5" w:rsidRDefault="00000000">
      <w:pPr>
        <w:pStyle w:val="Caption"/>
        <w:jc w:val="center"/>
      </w:pPr>
      <w:bookmarkStart w:id="7501" w:name="_Toc162360393"/>
      <w:r>
        <w:t xml:space="preserve">Figura </w:t>
      </w:r>
      <w:r>
        <w:fldChar w:fldCharType="begin"/>
      </w:r>
      <w:r>
        <w:instrText xml:space="preserve"> SEQ Figura \* ARABIC </w:instrText>
      </w:r>
      <w:r>
        <w:fldChar w:fldCharType="separate"/>
      </w:r>
      <w:r>
        <w:t>169</w:t>
      </w:r>
      <w:r>
        <w:fldChar w:fldCharType="end"/>
      </w:r>
      <w:bookmarkStart w:id="7502" w:name="_Toc19611"/>
      <w:bookmarkStart w:id="7503" w:name="_Toc28884"/>
      <w:bookmarkStart w:id="7504" w:name="_Toc3867"/>
      <w:bookmarkStart w:id="7505" w:name="_Toc17643"/>
      <w:bookmarkStart w:id="7506" w:name="_Toc5242"/>
      <w:bookmarkStart w:id="7507" w:name="_Toc1453"/>
      <w:bookmarkStart w:id="7508" w:name="_Toc22070"/>
      <w:bookmarkStart w:id="7509" w:name="_Toc17599"/>
      <w:bookmarkStart w:id="7510" w:name="_Toc27539"/>
      <w:r>
        <w:t xml:space="preserve"> - Panou de decomprimare la spații cu pericol de explozie (oxigen) la clădiri cu funcțiuni sanitare</w:t>
      </w:r>
      <w:bookmarkEnd w:id="7501"/>
      <w:bookmarkEnd w:id="7502"/>
      <w:bookmarkEnd w:id="7503"/>
      <w:bookmarkEnd w:id="7504"/>
      <w:bookmarkEnd w:id="7505"/>
      <w:bookmarkEnd w:id="7506"/>
      <w:bookmarkEnd w:id="7507"/>
      <w:bookmarkEnd w:id="7508"/>
      <w:bookmarkEnd w:id="7509"/>
      <w:bookmarkEnd w:id="7510"/>
    </w:p>
    <w:p w14:paraId="43A1662D" w14:textId="77777777" w:rsidR="001C08A5" w:rsidRDefault="00000000">
      <w:pPr>
        <w:numPr>
          <w:ilvl w:val="0"/>
          <w:numId w:val="96"/>
        </w:numPr>
        <w:tabs>
          <w:tab w:val="left" w:pos="426"/>
          <w:tab w:val="left" w:pos="993"/>
        </w:tabs>
        <w:jc w:val="both"/>
        <w:rPr>
          <w:i/>
          <w:iCs/>
          <w:sz w:val="24"/>
          <w:szCs w:val="24"/>
        </w:rPr>
      </w:pPr>
      <w:r>
        <w:rPr>
          <w:i/>
          <w:iCs/>
          <w:sz w:val="24"/>
          <w:szCs w:val="24"/>
        </w:rPr>
        <w:t xml:space="preserve">Depozitele de azotat de amoniu se realizează numai din materiale de construcţii fără goluri, clasa de reacţie la foc </w:t>
      </w:r>
      <w:r>
        <w:rPr>
          <w:b/>
          <w:i/>
          <w:iCs/>
          <w:sz w:val="24"/>
          <w:szCs w:val="24"/>
        </w:rPr>
        <w:t>A1</w:t>
      </w:r>
      <w:r>
        <w:rPr>
          <w:bCs/>
          <w:i/>
          <w:iCs/>
          <w:sz w:val="24"/>
          <w:szCs w:val="24"/>
        </w:rPr>
        <w:t>,</w:t>
      </w:r>
      <w:r>
        <w:rPr>
          <w:b/>
          <w:i/>
          <w:iCs/>
          <w:sz w:val="24"/>
          <w:szCs w:val="24"/>
        </w:rPr>
        <w:t xml:space="preserve"> </w:t>
      </w:r>
      <w:r>
        <w:rPr>
          <w:bCs/>
          <w:i/>
          <w:sz w:val="24"/>
          <w:szCs w:val="24"/>
        </w:rPr>
        <w:t>având în vedere măsurile specifice de combatere a incendiului din Fișa cu date de securitate</w:t>
      </w:r>
      <w:r>
        <w:rPr>
          <w:b/>
          <w:i/>
          <w:iCs/>
          <w:sz w:val="24"/>
          <w:szCs w:val="24"/>
        </w:rPr>
        <w:t xml:space="preserve"> </w:t>
      </w:r>
      <w:r>
        <w:rPr>
          <w:bCs/>
          <w:i/>
          <w:iCs/>
          <w:sz w:val="24"/>
          <w:szCs w:val="24"/>
        </w:rPr>
        <w:t>și de regulă</w:t>
      </w:r>
      <w:r>
        <w:rPr>
          <w:b/>
          <w:i/>
          <w:iCs/>
          <w:sz w:val="24"/>
          <w:szCs w:val="24"/>
        </w:rPr>
        <w:t xml:space="preserve"> </w:t>
      </w:r>
      <w:r>
        <w:rPr>
          <w:i/>
          <w:iCs/>
          <w:sz w:val="24"/>
          <w:szCs w:val="24"/>
        </w:rPr>
        <w:t>se amplasează faţă de alte construcţii la distanţe minime stabilite cu formulele:</w:t>
      </w:r>
    </w:p>
    <w:p w14:paraId="21D9999A" w14:textId="77777777" w:rsidR="001C08A5" w:rsidRDefault="00000000">
      <w:pPr>
        <w:ind w:left="720" w:firstLine="720"/>
        <w:jc w:val="both"/>
        <w:rPr>
          <w:rFonts w:eastAsia="Noto Sans"/>
          <w:i/>
          <w:iCs/>
          <w:sz w:val="24"/>
          <w:szCs w:val="24"/>
        </w:rPr>
      </w:pPr>
      <w:r>
        <w:rPr>
          <w:rFonts w:eastAsia="Noto Sans"/>
          <w:i/>
          <w:iCs/>
          <w:sz w:val="24"/>
          <w:szCs w:val="24"/>
        </w:rPr>
        <w:t xml:space="preserve">– </w:t>
      </w:r>
      <w:r>
        <w:rPr>
          <w:rFonts w:eastAsia="Noto Sans"/>
          <w:b/>
          <w:bCs/>
          <w:i/>
          <w:iCs/>
          <w:sz w:val="24"/>
          <w:szCs w:val="24"/>
        </w:rPr>
        <w:t>D=22,2(0,25Q)</w:t>
      </w:r>
      <w:r>
        <w:rPr>
          <w:rFonts w:eastAsia="Noto Sans"/>
          <w:b/>
          <w:bCs/>
          <w:i/>
          <w:iCs/>
          <w:sz w:val="24"/>
          <w:szCs w:val="24"/>
          <w:vertAlign w:val="superscript"/>
        </w:rPr>
        <w:t>1/3</w:t>
      </w:r>
      <w:r>
        <w:rPr>
          <w:rFonts w:eastAsia="Noto Sans"/>
          <w:i/>
          <w:iCs/>
          <w:sz w:val="24"/>
          <w:szCs w:val="24"/>
        </w:rPr>
        <w:t xml:space="preserve"> față de instalații vulnerabile și infrastructură critică (corespunzătoare unei suprapresiuni de explozie de 5,5 kPa) </w:t>
      </w:r>
    </w:p>
    <w:p w14:paraId="33E666D6" w14:textId="77777777" w:rsidR="001C08A5" w:rsidRDefault="00000000">
      <w:pPr>
        <w:ind w:left="720" w:firstLine="720"/>
        <w:jc w:val="both"/>
        <w:rPr>
          <w:rFonts w:eastAsia="Noto Sans"/>
          <w:i/>
          <w:iCs/>
          <w:sz w:val="24"/>
          <w:szCs w:val="24"/>
        </w:rPr>
      </w:pPr>
      <w:r>
        <w:rPr>
          <w:rFonts w:eastAsia="Noto Sans"/>
          <w:i/>
          <w:iCs/>
          <w:sz w:val="24"/>
          <w:szCs w:val="24"/>
        </w:rPr>
        <w:t xml:space="preserve">– </w:t>
      </w:r>
      <w:r>
        <w:rPr>
          <w:rFonts w:eastAsia="Noto Sans"/>
          <w:b/>
          <w:bCs/>
          <w:i/>
          <w:iCs/>
          <w:sz w:val="24"/>
          <w:szCs w:val="24"/>
        </w:rPr>
        <w:t>D=17,8(0,25Q)</w:t>
      </w:r>
      <w:r>
        <w:rPr>
          <w:rFonts w:eastAsia="Noto Sans"/>
          <w:b/>
          <w:bCs/>
          <w:i/>
          <w:iCs/>
          <w:sz w:val="24"/>
          <w:szCs w:val="24"/>
          <w:vertAlign w:val="superscript"/>
        </w:rPr>
        <w:t>1/3</w:t>
      </w:r>
      <w:r>
        <w:rPr>
          <w:rFonts w:eastAsia="Noto Sans"/>
          <w:b/>
          <w:bCs/>
          <w:i/>
          <w:iCs/>
          <w:sz w:val="24"/>
          <w:szCs w:val="24"/>
        </w:rPr>
        <w:t xml:space="preserve"> </w:t>
      </w:r>
      <w:r>
        <w:rPr>
          <w:rFonts w:eastAsia="Noto Sans"/>
          <w:i/>
          <w:iCs/>
          <w:sz w:val="24"/>
          <w:szCs w:val="24"/>
        </w:rPr>
        <w:t>față de clădiri rezidențiale, inclusiv hoteluri, moteluri și alte locuri de cazare (corespunzătoare unei suprapresiuni de explozie de 7 kPa)</w:t>
      </w:r>
    </w:p>
    <w:p w14:paraId="2903FAEF" w14:textId="77777777" w:rsidR="001C08A5" w:rsidRDefault="00000000">
      <w:pPr>
        <w:ind w:left="720" w:firstLine="720"/>
        <w:jc w:val="both"/>
        <w:rPr>
          <w:rFonts w:eastAsia="Noto Sans"/>
          <w:i/>
          <w:iCs/>
          <w:sz w:val="24"/>
          <w:szCs w:val="24"/>
        </w:rPr>
      </w:pPr>
      <w:r>
        <w:rPr>
          <w:rFonts w:eastAsia="Noto Sans"/>
          <w:i/>
          <w:iCs/>
          <w:sz w:val="24"/>
          <w:szCs w:val="24"/>
        </w:rPr>
        <w:t xml:space="preserve">– </w:t>
      </w:r>
      <w:r>
        <w:rPr>
          <w:rFonts w:eastAsia="Noto Sans"/>
          <w:b/>
          <w:bCs/>
          <w:i/>
          <w:iCs/>
          <w:sz w:val="24"/>
          <w:szCs w:val="24"/>
        </w:rPr>
        <w:t>D=10,4(0,25Q)</w:t>
      </w:r>
      <w:r>
        <w:rPr>
          <w:rFonts w:eastAsia="Noto Sans"/>
          <w:b/>
          <w:bCs/>
          <w:i/>
          <w:iCs/>
          <w:sz w:val="24"/>
          <w:szCs w:val="24"/>
          <w:vertAlign w:val="superscript"/>
        </w:rPr>
        <w:t>1/3</w:t>
      </w:r>
      <w:r>
        <w:rPr>
          <w:rFonts w:eastAsia="Noto Sans"/>
          <w:b/>
          <w:bCs/>
          <w:i/>
          <w:iCs/>
          <w:sz w:val="24"/>
          <w:szCs w:val="24"/>
        </w:rPr>
        <w:t xml:space="preserve"> </w:t>
      </w:r>
      <w:r>
        <w:rPr>
          <w:rFonts w:eastAsia="Noto Sans"/>
          <w:i/>
          <w:iCs/>
          <w:sz w:val="24"/>
          <w:szCs w:val="24"/>
        </w:rPr>
        <w:t xml:space="preserve">față de dezvoltări comerciale, inclusiv magazine, birouri și centre de divertisment (corespunzătoare unei suprapresiuni de explozie de 14 kPa) </w:t>
      </w:r>
    </w:p>
    <w:p w14:paraId="18BE587A" w14:textId="77777777" w:rsidR="001C08A5" w:rsidRDefault="00000000">
      <w:pPr>
        <w:ind w:left="720" w:firstLine="720"/>
        <w:jc w:val="both"/>
        <w:rPr>
          <w:rFonts w:eastAsia="Noto Sans"/>
          <w:i/>
          <w:iCs/>
          <w:sz w:val="24"/>
          <w:szCs w:val="24"/>
        </w:rPr>
      </w:pPr>
      <w:r>
        <w:rPr>
          <w:rFonts w:eastAsia="Noto Sans"/>
          <w:i/>
          <w:iCs/>
          <w:sz w:val="24"/>
          <w:szCs w:val="24"/>
        </w:rPr>
        <w:t xml:space="preserve">– </w:t>
      </w:r>
      <w:r>
        <w:rPr>
          <w:rFonts w:eastAsia="Noto Sans"/>
          <w:b/>
          <w:bCs/>
          <w:i/>
          <w:iCs/>
          <w:sz w:val="24"/>
          <w:szCs w:val="24"/>
        </w:rPr>
        <w:t>D=7,8(0,25Q)</w:t>
      </w:r>
      <w:r>
        <w:rPr>
          <w:rFonts w:eastAsia="Noto Sans"/>
          <w:b/>
          <w:bCs/>
          <w:i/>
          <w:iCs/>
          <w:sz w:val="24"/>
          <w:szCs w:val="24"/>
          <w:vertAlign w:val="superscript"/>
        </w:rPr>
        <w:t>1/3</w:t>
      </w:r>
      <w:r>
        <w:rPr>
          <w:rFonts w:eastAsia="Noto Sans"/>
          <w:i/>
          <w:iCs/>
          <w:sz w:val="24"/>
          <w:szCs w:val="24"/>
        </w:rPr>
        <w:t xml:space="preserve"> față de alte clădiri industriale (corespunzătoare unei suprapresiuni de explozie de 21 kPa),</w:t>
      </w:r>
    </w:p>
    <w:p w14:paraId="5954F5E5" w14:textId="77777777" w:rsidR="001C08A5" w:rsidRDefault="00000000">
      <w:pPr>
        <w:tabs>
          <w:tab w:val="left" w:pos="426"/>
          <w:tab w:val="left" w:pos="993"/>
        </w:tabs>
        <w:jc w:val="both"/>
        <w:rPr>
          <w:i/>
          <w:iCs/>
          <w:sz w:val="24"/>
          <w:szCs w:val="24"/>
        </w:rPr>
      </w:pPr>
      <w:r>
        <w:rPr>
          <w:i/>
          <w:iCs/>
          <w:sz w:val="24"/>
          <w:szCs w:val="24"/>
        </w:rPr>
        <w:t>unde:</w:t>
      </w:r>
    </w:p>
    <w:p w14:paraId="2B6A2729" w14:textId="77777777" w:rsidR="001C08A5" w:rsidRDefault="00000000">
      <w:pPr>
        <w:ind w:firstLine="720"/>
        <w:jc w:val="both"/>
        <w:rPr>
          <w:i/>
          <w:iCs/>
          <w:sz w:val="24"/>
          <w:szCs w:val="24"/>
        </w:rPr>
      </w:pPr>
      <w:r>
        <w:rPr>
          <w:b/>
          <w:bCs/>
          <w:i/>
          <w:iCs/>
          <w:sz w:val="24"/>
          <w:szCs w:val="24"/>
        </w:rPr>
        <w:t>D</w:t>
      </w:r>
      <w:r>
        <w:rPr>
          <w:i/>
          <w:iCs/>
          <w:sz w:val="24"/>
          <w:szCs w:val="24"/>
        </w:rPr>
        <w:t xml:space="preserve"> = distanţa între depozit și orice altă construcţie vecină, exprimată în metri; </w:t>
      </w:r>
    </w:p>
    <w:p w14:paraId="226D28FD" w14:textId="77777777" w:rsidR="001C08A5" w:rsidRDefault="00000000">
      <w:pPr>
        <w:ind w:firstLine="720"/>
        <w:jc w:val="both"/>
        <w:rPr>
          <w:i/>
          <w:iCs/>
          <w:sz w:val="24"/>
          <w:szCs w:val="24"/>
          <w:vertAlign w:val="superscript"/>
        </w:rPr>
      </w:pPr>
      <w:r>
        <w:rPr>
          <w:b/>
          <w:bCs/>
          <w:i/>
          <w:iCs/>
          <w:sz w:val="24"/>
          <w:szCs w:val="24"/>
        </w:rPr>
        <w:t>Q</w:t>
      </w:r>
      <w:r>
        <w:rPr>
          <w:i/>
          <w:iCs/>
          <w:sz w:val="24"/>
          <w:szCs w:val="24"/>
        </w:rPr>
        <w:t xml:space="preserve"> = cantitatea de azotat de amoniu exprimată în kilograme.</w:t>
      </w:r>
    </w:p>
    <w:p w14:paraId="50CA2443" w14:textId="77777777" w:rsidR="001C08A5" w:rsidRDefault="00000000">
      <w:pPr>
        <w:pStyle w:val="BodyText"/>
        <w:rPr>
          <w:b w:val="0"/>
          <w:bCs w:val="0"/>
          <w:iCs/>
          <w:sz w:val="22"/>
          <w:szCs w:val="22"/>
        </w:rPr>
      </w:pPr>
      <w:r>
        <w:rPr>
          <w:b w:val="0"/>
          <w:bCs w:val="0"/>
          <w:iCs/>
          <w:sz w:val="22"/>
          <w:szCs w:val="22"/>
        </w:rPr>
        <w:t>Notă: Distanțele se rotunjesc la cel mai apropiat multiplu superior de 10 m si se utilizează exclusiv pentru c</w:t>
      </w:r>
      <w:r>
        <w:rPr>
          <w:b w:val="0"/>
          <w:bCs w:val="0"/>
          <w:iCs/>
          <w:sz w:val="22"/>
          <w:szCs w:val="22"/>
          <w:lang w:val="en-US" w:eastAsia="zh-CN"/>
        </w:rPr>
        <w:t xml:space="preserve">antități </w:t>
      </w:r>
      <w:r>
        <w:rPr>
          <w:iCs/>
          <w:sz w:val="22"/>
          <w:szCs w:val="22"/>
          <w:lang w:eastAsia="zh-CN"/>
        </w:rPr>
        <w:t>mai mici decât</w:t>
      </w:r>
      <w:r>
        <w:rPr>
          <w:b w:val="0"/>
          <w:bCs w:val="0"/>
          <w:iCs/>
          <w:sz w:val="22"/>
          <w:szCs w:val="22"/>
          <w:lang w:eastAsia="zh-CN"/>
        </w:rPr>
        <w:t xml:space="preserve"> cantitățile relevante </w:t>
      </w:r>
      <w:r>
        <w:rPr>
          <w:b w:val="0"/>
          <w:bCs w:val="0"/>
          <w:iCs/>
          <w:sz w:val="22"/>
          <w:szCs w:val="22"/>
          <w:lang w:val="en-US" w:eastAsia="zh-CN"/>
        </w:rPr>
        <w:t>relevante (în tone) ale substanțelor pentru</w:t>
      </w:r>
      <w:r>
        <w:rPr>
          <w:b w:val="0"/>
          <w:bCs w:val="0"/>
          <w:iCs/>
          <w:sz w:val="22"/>
          <w:szCs w:val="22"/>
          <w:lang w:eastAsia="zh-CN"/>
        </w:rPr>
        <w:t xml:space="preserve"> </w:t>
      </w:r>
      <w:r>
        <w:rPr>
          <w:b w:val="0"/>
          <w:bCs w:val="0"/>
          <w:iCs/>
          <w:sz w:val="22"/>
          <w:szCs w:val="22"/>
          <w:lang w:val="en-US" w:eastAsia="zh-CN"/>
        </w:rPr>
        <w:t xml:space="preserve">încadrarea amplasamentelor </w:t>
      </w:r>
      <w:r>
        <w:rPr>
          <w:b w:val="0"/>
          <w:bCs w:val="0"/>
          <w:iCs/>
          <w:sz w:val="22"/>
          <w:szCs w:val="22"/>
          <w:lang w:eastAsia="zh-CN"/>
        </w:rPr>
        <w:t xml:space="preserve">conform Legii nr. 59 din 11 aprilie 2016 (cu modificările și completările ulterioare). Pentru locații cu densitate mare a populației (de exemplu in apropierea unei săli aglomerate, unui stadion de sport, </w:t>
      </w:r>
      <w:r>
        <w:rPr>
          <w:b w:val="0"/>
          <w:bCs w:val="0"/>
          <w:iCs/>
          <w:sz w:val="22"/>
          <w:szCs w:val="22"/>
          <w:lang w:eastAsia="zh-CN"/>
        </w:rPr>
        <w:lastRenderedPageBreak/>
        <w:t xml:space="preserve">un centru comercial mare sau a unei clădiri înalte/ foarte înalte) distanţele minime vor fi stabilite cu formula: </w:t>
      </w:r>
      <w:r>
        <w:rPr>
          <w:iCs/>
          <w:sz w:val="22"/>
          <w:szCs w:val="22"/>
          <w:lang w:eastAsia="zh-CN"/>
        </w:rPr>
        <w:t>D=44,4(0,25Q)</w:t>
      </w:r>
      <w:r>
        <w:rPr>
          <w:iCs/>
          <w:sz w:val="22"/>
          <w:szCs w:val="22"/>
          <w:vertAlign w:val="superscript"/>
          <w:lang w:eastAsia="zh-CN"/>
        </w:rPr>
        <w:t>1/3</w:t>
      </w:r>
    </w:p>
    <w:p w14:paraId="75DDFA93" w14:textId="77777777" w:rsidR="001C08A5" w:rsidRDefault="00000000">
      <w:pPr>
        <w:pStyle w:val="Heading5"/>
        <w:rPr>
          <w:sz w:val="24"/>
          <w:szCs w:val="24"/>
        </w:rPr>
      </w:pPr>
      <w:bookmarkStart w:id="7511" w:name="_Toc18487"/>
      <w:bookmarkStart w:id="7512" w:name="_Toc7082"/>
      <w:bookmarkStart w:id="7513" w:name="_Toc29345"/>
      <w:bookmarkStart w:id="7514" w:name="_Toc11057"/>
      <w:bookmarkStart w:id="7515" w:name="_Toc12518"/>
      <w:bookmarkStart w:id="7516" w:name="_Toc162355424"/>
      <w:bookmarkStart w:id="7517" w:name="_Toc10113"/>
      <w:bookmarkStart w:id="7518" w:name="_Toc16621"/>
      <w:bookmarkStart w:id="7519" w:name="_Toc31384"/>
      <w:bookmarkStart w:id="7520" w:name="_Toc21457"/>
      <w:bookmarkStart w:id="7521" w:name="_Toc30259"/>
      <w:bookmarkStart w:id="7522" w:name="_Toc27872"/>
      <w:bookmarkStart w:id="7523" w:name="_Toc24862"/>
      <w:bookmarkStart w:id="7524" w:name="_Toc3165"/>
      <w:bookmarkStart w:id="7525" w:name="_Toc12990"/>
      <w:bookmarkStart w:id="7526" w:name="_Toc26882"/>
      <w:bookmarkStart w:id="7527" w:name="_Toc8266"/>
      <w:bookmarkStart w:id="7528" w:name="_Toc8900"/>
      <w:proofErr w:type="gramStart"/>
      <w:r>
        <w:rPr>
          <w:sz w:val="24"/>
          <w:szCs w:val="24"/>
        </w:rPr>
        <w:t>”Prevederi</w:t>
      </w:r>
      <w:proofErr w:type="gramEnd"/>
      <w:r>
        <w:rPr>
          <w:sz w:val="24"/>
          <w:szCs w:val="24"/>
        </w:rPr>
        <w:t xml:space="preserve"> împotriva pericolelor de explozie</w:t>
      </w:r>
      <w:r>
        <w:rPr>
          <w:sz w:val="24"/>
          <w:szCs w:val="24"/>
          <w:lang w:val="ro-RO"/>
        </w:rPr>
        <w:t>”</w:t>
      </w:r>
      <w:r>
        <w:rPr>
          <w:sz w:val="24"/>
          <w:szCs w:val="24"/>
        </w:rPr>
        <w:t xml:space="preserve"> pentru baterii staţionare</w:t>
      </w:r>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p>
    <w:p w14:paraId="5FE2CA3E" w14:textId="77777777" w:rsidR="001C08A5" w:rsidRDefault="00000000">
      <w:pPr>
        <w:jc w:val="both"/>
        <w:rPr>
          <w:rFonts w:eastAsia="TimesNewRomanPSMT-Identity-H"/>
          <w:b/>
          <w:bCs/>
          <w:i/>
          <w:sz w:val="24"/>
          <w:szCs w:val="24"/>
          <w:lang w:val="en-US"/>
        </w:rPr>
      </w:pPr>
      <w:bookmarkStart w:id="7529" w:name="_Toc23842"/>
      <w:bookmarkStart w:id="7530" w:name="_Toc3474"/>
      <w:bookmarkStart w:id="7531" w:name="_Toc162355425"/>
      <w:bookmarkStart w:id="7532" w:name="_Toc16580"/>
      <w:bookmarkStart w:id="7533" w:name="_Toc12727"/>
      <w:bookmarkStart w:id="7534" w:name="_Toc28122"/>
      <w:bookmarkStart w:id="7535" w:name="_Toc6059"/>
      <w:bookmarkStart w:id="7536" w:name="_Toc8084"/>
      <w:r>
        <w:rPr>
          <w:rFonts w:eastAsia="TimesNewRomanPSMT-Identity-H"/>
          <w:b/>
          <w:bCs/>
          <w:i/>
          <w:sz w:val="24"/>
          <w:szCs w:val="24"/>
          <w:lang w:val="en-US"/>
        </w:rPr>
        <w:t xml:space="preserve">Similar cu: SR EN IEC 62485-2:2019 </w:t>
      </w:r>
      <w:proofErr w:type="gramStart"/>
      <w:r>
        <w:rPr>
          <w:rFonts w:eastAsia="TimesNewRomanPSMT-Identity-H"/>
          <w:b/>
          <w:bCs/>
          <w:i/>
          <w:sz w:val="24"/>
          <w:szCs w:val="24"/>
          <w:lang w:val="en-US"/>
        </w:rPr>
        <w:t>(”Prescripţii</w:t>
      </w:r>
      <w:proofErr w:type="gramEnd"/>
      <w:r>
        <w:rPr>
          <w:rFonts w:eastAsia="TimesNewRomanPSMT-Identity-H"/>
          <w:b/>
          <w:bCs/>
          <w:i/>
          <w:sz w:val="24"/>
          <w:szCs w:val="24"/>
          <w:lang w:val="en-US"/>
        </w:rPr>
        <w:t xml:space="preserve"> de securitate pentru baterii de acumulatoare şi instalaţii pentru baterii. Partea 2: Baterii staţionare”) - Capitolul </w:t>
      </w:r>
      <w:proofErr w:type="gramStart"/>
      <w:r>
        <w:rPr>
          <w:rFonts w:eastAsia="TimesNewRomanPSMT-Identity-H"/>
          <w:b/>
          <w:bCs/>
          <w:i/>
          <w:sz w:val="24"/>
          <w:szCs w:val="24"/>
          <w:lang w:val="en-US"/>
        </w:rPr>
        <w:t>7 ”Prevederi</w:t>
      </w:r>
      <w:proofErr w:type="gramEnd"/>
      <w:r>
        <w:rPr>
          <w:rFonts w:eastAsia="TimesNewRomanPSMT-Identity-H"/>
          <w:b/>
          <w:bCs/>
          <w:i/>
          <w:sz w:val="24"/>
          <w:szCs w:val="24"/>
          <w:lang w:val="en-US"/>
        </w:rPr>
        <w:t xml:space="preserve"> împotriva pericolelor de explozie”</w:t>
      </w:r>
      <w:bookmarkEnd w:id="7529"/>
      <w:bookmarkEnd w:id="7530"/>
      <w:bookmarkEnd w:id="7531"/>
      <w:bookmarkEnd w:id="7532"/>
      <w:bookmarkEnd w:id="7533"/>
      <w:bookmarkEnd w:id="7534"/>
      <w:bookmarkEnd w:id="7535"/>
      <w:bookmarkEnd w:id="7536"/>
    </w:p>
    <w:p w14:paraId="1A759BA5" w14:textId="77777777" w:rsidR="001C08A5" w:rsidRDefault="001C08A5">
      <w:pPr>
        <w:rPr>
          <w:i/>
          <w:sz w:val="24"/>
          <w:szCs w:val="24"/>
        </w:rPr>
      </w:pPr>
    </w:p>
    <w:p w14:paraId="2CE0CABB" w14:textId="77777777" w:rsidR="001C08A5" w:rsidRDefault="00000000">
      <w:pPr>
        <w:rPr>
          <w:i/>
          <w:sz w:val="24"/>
          <w:szCs w:val="24"/>
        </w:rPr>
      </w:pPr>
      <w:r>
        <w:rPr>
          <w:i/>
          <w:sz w:val="24"/>
          <w:szCs w:val="24"/>
        </w:rPr>
        <w:t>7 Prevederi împotriva pericolelor de explozie</w:t>
      </w:r>
    </w:p>
    <w:p w14:paraId="46CE2DD7" w14:textId="77777777" w:rsidR="001C08A5" w:rsidRDefault="00000000">
      <w:pPr>
        <w:ind w:firstLine="720"/>
        <w:rPr>
          <w:i/>
          <w:sz w:val="24"/>
          <w:szCs w:val="24"/>
        </w:rPr>
      </w:pPr>
      <w:r>
        <w:rPr>
          <w:i/>
          <w:sz w:val="24"/>
          <w:szCs w:val="24"/>
        </w:rPr>
        <w:t>7.1 Emisii de gaz</w:t>
      </w:r>
    </w:p>
    <w:p w14:paraId="6EC17D00" w14:textId="77777777" w:rsidR="001C08A5" w:rsidRDefault="00000000">
      <w:pPr>
        <w:ind w:firstLine="720"/>
        <w:rPr>
          <w:i/>
          <w:sz w:val="24"/>
          <w:szCs w:val="24"/>
        </w:rPr>
      </w:pPr>
      <w:r>
        <w:rPr>
          <w:i/>
          <w:sz w:val="24"/>
          <w:szCs w:val="24"/>
        </w:rPr>
        <w:t>7.2 Cerințe de ventilare</w:t>
      </w:r>
    </w:p>
    <w:p w14:paraId="0FE5586C" w14:textId="77777777" w:rsidR="001C08A5" w:rsidRDefault="00000000">
      <w:pPr>
        <w:ind w:firstLine="720"/>
        <w:rPr>
          <w:i/>
          <w:sz w:val="24"/>
          <w:szCs w:val="24"/>
        </w:rPr>
      </w:pPr>
      <w:r>
        <w:rPr>
          <w:i/>
          <w:sz w:val="24"/>
          <w:szCs w:val="24"/>
        </w:rPr>
        <w:t>7.3 Ventilare naturală</w:t>
      </w:r>
    </w:p>
    <w:p w14:paraId="6C7DDE9B" w14:textId="77777777" w:rsidR="001C08A5" w:rsidRDefault="00000000">
      <w:pPr>
        <w:ind w:firstLine="720"/>
        <w:rPr>
          <w:i/>
          <w:sz w:val="24"/>
          <w:szCs w:val="24"/>
        </w:rPr>
      </w:pPr>
      <w:r>
        <w:rPr>
          <w:i/>
          <w:sz w:val="24"/>
          <w:szCs w:val="24"/>
        </w:rPr>
        <w:t>7.4 Ventilare forțată</w:t>
      </w:r>
    </w:p>
    <w:p w14:paraId="33D1C311" w14:textId="77777777" w:rsidR="001C08A5" w:rsidRDefault="00000000">
      <w:pPr>
        <w:ind w:firstLine="720"/>
        <w:rPr>
          <w:i/>
          <w:sz w:val="24"/>
          <w:szCs w:val="24"/>
        </w:rPr>
      </w:pPr>
      <w:r>
        <w:rPr>
          <w:i/>
          <w:sz w:val="24"/>
          <w:szCs w:val="24"/>
        </w:rPr>
        <w:t>7.5 Moduri de încărcare</w:t>
      </w:r>
    </w:p>
    <w:p w14:paraId="1135263D" w14:textId="77777777" w:rsidR="001C08A5" w:rsidRDefault="00000000">
      <w:pPr>
        <w:ind w:firstLine="720"/>
        <w:rPr>
          <w:i/>
          <w:sz w:val="24"/>
          <w:szCs w:val="24"/>
        </w:rPr>
      </w:pPr>
      <w:r>
        <w:rPr>
          <w:i/>
          <w:sz w:val="24"/>
          <w:szCs w:val="24"/>
        </w:rPr>
        <w:t>7.6 Supraîncărcare în condiții de defecțiune</w:t>
      </w:r>
    </w:p>
    <w:p w14:paraId="3F08BB71" w14:textId="77777777" w:rsidR="001C08A5" w:rsidRDefault="00000000">
      <w:pPr>
        <w:ind w:firstLine="720"/>
        <w:rPr>
          <w:i/>
          <w:sz w:val="24"/>
          <w:szCs w:val="24"/>
        </w:rPr>
      </w:pPr>
      <w:r>
        <w:rPr>
          <w:i/>
          <w:sz w:val="24"/>
          <w:szCs w:val="24"/>
        </w:rPr>
        <w:t>7.7 În apropierea bateriei</w:t>
      </w:r>
    </w:p>
    <w:p w14:paraId="4D0BAA41" w14:textId="77777777" w:rsidR="001C08A5" w:rsidRDefault="00000000">
      <w:pPr>
        <w:ind w:firstLine="720"/>
        <w:rPr>
          <w:i/>
          <w:sz w:val="24"/>
          <w:szCs w:val="24"/>
        </w:rPr>
      </w:pPr>
      <w:r>
        <w:rPr>
          <w:i/>
          <w:sz w:val="24"/>
          <w:szCs w:val="24"/>
        </w:rPr>
        <w:t>7.8 Prevenirea descărcărilor electrostatice în utilizarea bateriilor</w:t>
      </w:r>
    </w:p>
    <w:p w14:paraId="538F4F09" w14:textId="77777777" w:rsidR="001C08A5" w:rsidRDefault="001C08A5">
      <w:pPr>
        <w:rPr>
          <w:i/>
          <w:sz w:val="24"/>
          <w:szCs w:val="24"/>
        </w:rPr>
      </w:pPr>
    </w:p>
    <w:p w14:paraId="3BD7FACA" w14:textId="77777777" w:rsidR="001C08A5" w:rsidRDefault="00000000">
      <w:pPr>
        <w:jc w:val="both"/>
        <w:rPr>
          <w:rFonts w:eastAsia="NotoSans-Bold"/>
          <w:b/>
          <w:i/>
          <w:sz w:val="24"/>
          <w:szCs w:val="24"/>
        </w:rPr>
      </w:pPr>
      <w:r>
        <w:rPr>
          <w:rFonts w:eastAsia="NotoSans-Bold"/>
          <w:b/>
          <w:i/>
          <w:sz w:val="24"/>
          <w:szCs w:val="24"/>
        </w:rPr>
        <w:t>7 Prevederi împotriva pericolelor de explozie</w:t>
      </w:r>
    </w:p>
    <w:p w14:paraId="67BCEE26" w14:textId="77777777" w:rsidR="001C08A5" w:rsidRDefault="001C08A5">
      <w:pPr>
        <w:ind w:firstLine="720"/>
        <w:jc w:val="both"/>
        <w:rPr>
          <w:rFonts w:eastAsia="TimesNewRomanPSMT-Identity-H"/>
          <w:b/>
          <w:bCs/>
          <w:i/>
          <w:sz w:val="24"/>
          <w:szCs w:val="24"/>
          <w:u w:val="single"/>
        </w:rPr>
      </w:pPr>
    </w:p>
    <w:p w14:paraId="56090EAE" w14:textId="77777777" w:rsidR="001C08A5" w:rsidRDefault="00000000">
      <w:pPr>
        <w:ind w:firstLine="720"/>
        <w:jc w:val="both"/>
        <w:rPr>
          <w:rFonts w:eastAsia="TimesNewRomanPSMT-Identity-H"/>
          <w:b/>
          <w:bCs/>
          <w:i/>
          <w:sz w:val="24"/>
          <w:szCs w:val="24"/>
          <w:u w:val="single"/>
        </w:rPr>
      </w:pPr>
      <w:r>
        <w:rPr>
          <w:rFonts w:eastAsia="NotoSans-Bold"/>
          <w:b/>
          <w:i/>
          <w:sz w:val="24"/>
          <w:szCs w:val="24"/>
        </w:rPr>
        <w:t xml:space="preserve">7.1 </w:t>
      </w:r>
      <w:r>
        <w:rPr>
          <w:rFonts w:eastAsia="TimesNewRomanPSMT-Identity-H"/>
          <w:b/>
          <w:bCs/>
          <w:i/>
          <w:sz w:val="24"/>
          <w:szCs w:val="24"/>
          <w:u w:val="single"/>
        </w:rPr>
        <w:t>Emisii de gaz</w:t>
      </w:r>
    </w:p>
    <w:p w14:paraId="3485121D" w14:textId="77777777" w:rsidR="001C08A5" w:rsidRDefault="00000000">
      <w:pPr>
        <w:ind w:firstLine="720"/>
        <w:jc w:val="both"/>
        <w:rPr>
          <w:rFonts w:eastAsia="TimesNewRomanPSMT-Identity-H"/>
          <w:i/>
          <w:sz w:val="24"/>
          <w:szCs w:val="24"/>
        </w:rPr>
      </w:pPr>
      <w:r>
        <w:rPr>
          <w:rFonts w:eastAsia="TimesNewRomanPSMT-Identity-H"/>
          <w:i/>
          <w:sz w:val="24"/>
          <w:szCs w:val="24"/>
        </w:rPr>
        <w:t>În timpul încărcării, încărcării flotante și supraîncărcării, se emit gaze din toate bateriile și celulele secundare, cu excepția celulelor secundare care sunt sigilate etanș la gaz. Acesta este rezultatul electrolizei apei prin curentul de supraîncărcare. Gazele produse sunt hidrogen și oxigen. Când este emis în atmosferă, se poate crea un amestec exploziv dacă concentrația de hidrogen în aer depășește 4%.</w:t>
      </w:r>
    </w:p>
    <w:p w14:paraId="7014A166" w14:textId="77777777" w:rsidR="001C08A5" w:rsidRDefault="00000000">
      <w:pPr>
        <w:ind w:firstLine="720"/>
        <w:jc w:val="both"/>
        <w:rPr>
          <w:rFonts w:eastAsia="TimesNewRomanPSMT-Identity-H"/>
          <w:i/>
          <w:sz w:val="24"/>
          <w:szCs w:val="24"/>
        </w:rPr>
      </w:pPr>
      <w:r>
        <w:rPr>
          <w:rFonts w:eastAsia="TimesNewRomanPSMT-Identity-H"/>
          <w:i/>
          <w:sz w:val="24"/>
          <w:szCs w:val="24"/>
        </w:rPr>
        <w:t>Când emisia de gaz este determinată experimental în baza standardelor de testare a bateriilor și valoarea rezultată este mai mică decât cea utilizată în prezentul standard, atunci nu va fi admisa nici o reducere a cerințelor de ventilare.</w:t>
      </w:r>
    </w:p>
    <w:p w14:paraId="6280AF1A" w14:textId="77777777" w:rsidR="001C08A5" w:rsidRDefault="00000000">
      <w:pPr>
        <w:ind w:firstLine="720"/>
        <w:jc w:val="both"/>
        <w:rPr>
          <w:rFonts w:eastAsia="TimesNewRomanPSMT-Identity-H"/>
          <w:i/>
          <w:sz w:val="24"/>
          <w:szCs w:val="24"/>
        </w:rPr>
      </w:pPr>
      <w:r>
        <w:rPr>
          <w:rFonts w:eastAsia="TimesNewRomanPSMT-Identity-H"/>
          <w:i/>
          <w:sz w:val="24"/>
          <w:szCs w:val="24"/>
        </w:rPr>
        <w:t xml:space="preserve">Dacă valoarea experimentală a emisiei de gaz este mai mare decât valoarea presupusă în prezentul standard, atunci cerințele de ventilare vor fi adaptate, implicit crescute. </w:t>
      </w:r>
    </w:p>
    <w:p w14:paraId="7DCA6BC2" w14:textId="77777777" w:rsidR="001C08A5" w:rsidRDefault="00000000">
      <w:pPr>
        <w:ind w:firstLine="720"/>
        <w:jc w:val="both"/>
        <w:rPr>
          <w:rFonts w:eastAsia="TimesNewRomanPSMT-Identity-H"/>
          <w:i/>
          <w:sz w:val="24"/>
          <w:szCs w:val="24"/>
        </w:rPr>
      </w:pPr>
      <w:r>
        <w:rPr>
          <w:rFonts w:eastAsia="TimesNewRomanPSMT-Identity-H"/>
          <w:i/>
          <w:sz w:val="24"/>
          <w:szCs w:val="24"/>
        </w:rPr>
        <w:t>Când o celulă ajunge la starea de încărcare completă, electroliza apei are loc conform legii Faraday. În condiții standard, adică la 0 °C și 1 013 hPA (temperatura și presiune standard sub Uniunea Internațională de Chimie Pură și Aplicată):</w:t>
      </w:r>
    </w:p>
    <w:p w14:paraId="5994E038" w14:textId="77777777" w:rsidR="001C08A5" w:rsidRDefault="00000000">
      <w:pPr>
        <w:ind w:firstLine="720"/>
        <w:jc w:val="both"/>
        <w:rPr>
          <w:rFonts w:eastAsia="TimesNewRomanPSMT-Identity-H"/>
          <w:i/>
          <w:sz w:val="24"/>
          <w:szCs w:val="24"/>
        </w:rPr>
      </w:pPr>
      <w:r>
        <w:rPr>
          <w:rFonts w:eastAsia="TimesNewRomanPSMT-Identity-H"/>
          <w:i/>
          <w:sz w:val="24"/>
          <w:szCs w:val="24"/>
        </w:rPr>
        <w:t>− 1 Ah descompune 0,336g H</w:t>
      </w:r>
      <w:r>
        <w:rPr>
          <w:rFonts w:eastAsia="TimesNewRomanPSMT-Identity-H"/>
          <w:i/>
          <w:sz w:val="24"/>
          <w:szCs w:val="24"/>
          <w:vertAlign w:val="subscript"/>
        </w:rPr>
        <w:t>2</w:t>
      </w:r>
      <w:r>
        <w:rPr>
          <w:rFonts w:eastAsia="TimesNewRomanPSMT-Identity-H"/>
          <w:i/>
          <w:sz w:val="24"/>
          <w:szCs w:val="24"/>
        </w:rPr>
        <w:t>O în 0,42 l H</w:t>
      </w:r>
      <w:r>
        <w:rPr>
          <w:rFonts w:eastAsia="TimesNewRomanPSMT-Identity-H"/>
          <w:i/>
          <w:sz w:val="24"/>
          <w:szCs w:val="24"/>
          <w:vertAlign w:val="subscript"/>
        </w:rPr>
        <w:t>2</w:t>
      </w:r>
      <w:r>
        <w:rPr>
          <w:rFonts w:eastAsia="TimesNewRomanPSMT-Identity-H"/>
          <w:i/>
          <w:sz w:val="24"/>
          <w:szCs w:val="24"/>
        </w:rPr>
        <w:t xml:space="preserve"> + 0,21 l O</w:t>
      </w:r>
      <w:r>
        <w:rPr>
          <w:rFonts w:eastAsia="TimesNewRomanPSMT-Identity-H"/>
          <w:i/>
          <w:sz w:val="24"/>
          <w:szCs w:val="24"/>
          <w:vertAlign w:val="subscript"/>
        </w:rPr>
        <w:t>2</w:t>
      </w:r>
      <w:r>
        <w:rPr>
          <w:rFonts w:eastAsia="TimesNewRomanPSMT-Identity-H"/>
          <w:i/>
          <w:sz w:val="24"/>
          <w:szCs w:val="24"/>
        </w:rPr>
        <w:t>;</w:t>
      </w:r>
    </w:p>
    <w:p w14:paraId="3F6AB02A" w14:textId="77777777" w:rsidR="001C08A5" w:rsidRDefault="00000000">
      <w:pPr>
        <w:ind w:firstLine="720"/>
        <w:jc w:val="both"/>
        <w:rPr>
          <w:rFonts w:eastAsia="TimesNewRomanPSMT-Identity-H"/>
          <w:i/>
          <w:sz w:val="24"/>
          <w:szCs w:val="24"/>
        </w:rPr>
      </w:pPr>
      <w:r>
        <w:rPr>
          <w:rFonts w:eastAsia="TimesNewRomanPSMT-Identity-H"/>
          <w:i/>
          <w:sz w:val="24"/>
          <w:szCs w:val="24"/>
        </w:rPr>
        <w:t>− 3 Ah descompune 1 cm</w:t>
      </w:r>
      <w:r>
        <w:rPr>
          <w:rFonts w:eastAsia="TimesNewRomanPSMT-Identity-H"/>
          <w:i/>
          <w:sz w:val="24"/>
          <w:szCs w:val="24"/>
          <w:vertAlign w:val="superscript"/>
        </w:rPr>
        <w:t>3</w:t>
      </w:r>
      <w:r>
        <w:rPr>
          <w:rFonts w:eastAsia="TimesNewRomanPSMT-Identity-H"/>
          <w:i/>
          <w:sz w:val="24"/>
          <w:szCs w:val="24"/>
        </w:rPr>
        <w:t xml:space="preserve"> (1 g) de H</w:t>
      </w:r>
      <w:r>
        <w:rPr>
          <w:rFonts w:eastAsia="TimesNewRomanPSMT-Identity-H"/>
          <w:i/>
          <w:sz w:val="24"/>
          <w:szCs w:val="24"/>
          <w:vertAlign w:val="subscript"/>
        </w:rPr>
        <w:t>2</w:t>
      </w:r>
      <w:r>
        <w:rPr>
          <w:rFonts w:eastAsia="TimesNewRomanPSMT-Identity-H"/>
          <w:i/>
          <w:sz w:val="24"/>
          <w:szCs w:val="24"/>
        </w:rPr>
        <w:t>O ;</w:t>
      </w:r>
    </w:p>
    <w:p w14:paraId="7AF523B4" w14:textId="77777777" w:rsidR="001C08A5" w:rsidRDefault="00000000">
      <w:pPr>
        <w:ind w:firstLine="720"/>
        <w:jc w:val="both"/>
        <w:rPr>
          <w:rFonts w:eastAsia="TimesNewRomanPSMT-Identity-H"/>
          <w:i/>
          <w:sz w:val="24"/>
          <w:szCs w:val="24"/>
        </w:rPr>
      </w:pPr>
      <w:r>
        <w:rPr>
          <w:rFonts w:eastAsia="TimesNewRomanPSMT-Identity-H"/>
          <w:i/>
          <w:sz w:val="24"/>
          <w:szCs w:val="24"/>
        </w:rPr>
        <w:t>− 26,8 Ah descompun 9 g H</w:t>
      </w:r>
      <w:r>
        <w:rPr>
          <w:rFonts w:eastAsia="TimesNewRomanPSMT-Identity-H"/>
          <w:i/>
          <w:sz w:val="24"/>
          <w:szCs w:val="24"/>
          <w:vertAlign w:val="subscript"/>
        </w:rPr>
        <w:t>2</w:t>
      </w:r>
      <w:r>
        <w:rPr>
          <w:rFonts w:eastAsia="TimesNewRomanPSMT-Identity-H"/>
          <w:i/>
          <w:sz w:val="24"/>
          <w:szCs w:val="24"/>
        </w:rPr>
        <w:t>O în 1 g H</w:t>
      </w:r>
      <w:r>
        <w:rPr>
          <w:rFonts w:eastAsia="TimesNewRomanPSMT-Identity-H"/>
          <w:i/>
          <w:sz w:val="24"/>
          <w:szCs w:val="24"/>
          <w:vertAlign w:val="subscript"/>
        </w:rPr>
        <w:t>2</w:t>
      </w:r>
      <w:r>
        <w:rPr>
          <w:rFonts w:eastAsia="TimesNewRomanPSMT-Identity-H"/>
          <w:i/>
          <w:sz w:val="24"/>
          <w:szCs w:val="24"/>
        </w:rPr>
        <w:t xml:space="preserve"> + 8 g O</w:t>
      </w:r>
      <w:r>
        <w:rPr>
          <w:rFonts w:eastAsia="TimesNewRomanPSMT-Identity-H"/>
          <w:i/>
          <w:sz w:val="24"/>
          <w:szCs w:val="24"/>
          <w:vertAlign w:val="subscript"/>
        </w:rPr>
        <w:t>2</w:t>
      </w:r>
      <w:r>
        <w:rPr>
          <w:rFonts w:eastAsia="TimesNewRomanPSMT-Identity-H"/>
          <w:i/>
          <w:sz w:val="24"/>
          <w:szCs w:val="24"/>
        </w:rPr>
        <w:t>.</w:t>
      </w:r>
    </w:p>
    <w:p w14:paraId="2967B889" w14:textId="77777777" w:rsidR="001C08A5" w:rsidRDefault="00000000">
      <w:pPr>
        <w:ind w:firstLine="720"/>
        <w:jc w:val="both"/>
        <w:rPr>
          <w:rFonts w:eastAsia="TimesNewRomanPSMT-Identity-H"/>
          <w:i/>
          <w:sz w:val="24"/>
          <w:szCs w:val="24"/>
        </w:rPr>
      </w:pPr>
      <w:r>
        <w:rPr>
          <w:rFonts w:eastAsia="TimesNewRomanPSMT-Identity-H"/>
          <w:i/>
          <w:sz w:val="24"/>
          <w:szCs w:val="24"/>
        </w:rPr>
        <w:t>Când funcționarea echipamentului de încărcare este oprită, se poate considera că emisia de gaz din celule s-a încheiat la aproximativ o oră după oprirea alimentării cu curent.</w:t>
      </w:r>
    </w:p>
    <w:p w14:paraId="0B1F3B43" w14:textId="77777777" w:rsidR="001C08A5" w:rsidRDefault="001C08A5">
      <w:pPr>
        <w:ind w:firstLine="720"/>
        <w:jc w:val="both"/>
        <w:rPr>
          <w:rFonts w:eastAsia="TimesNewRomanPSMT-Identity-H"/>
          <w:i/>
          <w:sz w:val="24"/>
          <w:szCs w:val="24"/>
        </w:rPr>
      </w:pPr>
    </w:p>
    <w:p w14:paraId="48312480" w14:textId="77777777" w:rsidR="001C08A5" w:rsidRDefault="00000000">
      <w:pPr>
        <w:ind w:firstLine="720"/>
        <w:jc w:val="both"/>
        <w:rPr>
          <w:rFonts w:eastAsia="TimesNewRomanPSMT-Identity-H"/>
          <w:b/>
          <w:bCs/>
          <w:i/>
          <w:sz w:val="24"/>
          <w:szCs w:val="24"/>
          <w:u w:val="single"/>
        </w:rPr>
      </w:pPr>
      <w:r>
        <w:rPr>
          <w:rFonts w:eastAsia="NotoSans-Bold"/>
          <w:b/>
          <w:i/>
          <w:sz w:val="24"/>
          <w:szCs w:val="24"/>
        </w:rPr>
        <w:t xml:space="preserve">7.2 </w:t>
      </w:r>
      <w:r>
        <w:rPr>
          <w:rFonts w:eastAsia="TimesNewRomanPSMT-Identity-H"/>
          <w:b/>
          <w:bCs/>
          <w:i/>
          <w:sz w:val="24"/>
          <w:szCs w:val="24"/>
          <w:u w:val="single"/>
        </w:rPr>
        <w:t>Cerințe de ventilare</w:t>
      </w:r>
    </w:p>
    <w:p w14:paraId="20520DF4" w14:textId="77777777" w:rsidR="001C08A5" w:rsidRDefault="00000000">
      <w:pPr>
        <w:ind w:firstLine="720"/>
        <w:jc w:val="both"/>
        <w:rPr>
          <w:rFonts w:eastAsia="TimesNewRomanPSMT-Identity-H"/>
          <w:i/>
          <w:sz w:val="24"/>
          <w:szCs w:val="24"/>
        </w:rPr>
      </w:pPr>
      <w:r>
        <w:rPr>
          <w:rFonts w:eastAsia="TimesNewRomanPSMT-Identity-H"/>
          <w:i/>
          <w:sz w:val="24"/>
          <w:szCs w:val="24"/>
        </w:rPr>
        <w:t>Scopul ventilării spațiilor sau incintelor în care sunt amplasate bateriile este de a menține concentrația hidrogenului sub pragul de de 4%vol, prag denumit Limită Inferioară de Explozie (LIE). Spațiile sau incintele în care sunt amplasate bateriile pot fi considerate sigure la explozie, atunci când, prin ventilare naturală sau artificială, concentrația de hidrogen este menținută sub această limită de siguranță.</w:t>
      </w:r>
    </w:p>
    <w:p w14:paraId="06EE201D" w14:textId="77777777" w:rsidR="001C08A5" w:rsidRDefault="00000000">
      <w:pPr>
        <w:ind w:firstLine="720"/>
        <w:jc w:val="both"/>
        <w:rPr>
          <w:rFonts w:eastAsia="TimesNewRomanPSMT-Identity-H"/>
          <w:i/>
          <w:sz w:val="24"/>
          <w:szCs w:val="24"/>
        </w:rPr>
      </w:pPr>
      <w:r>
        <w:rPr>
          <w:rFonts w:eastAsia="TimesNewRomanPSMT-Identity-H"/>
          <w:i/>
          <w:sz w:val="24"/>
          <w:szCs w:val="24"/>
        </w:rPr>
        <w:t>Debitul minim de aer pentru ventilarea spațiului sau incintei bateriei se va calcula cu următoarea formulă:</w:t>
      </w:r>
    </w:p>
    <w:p w14:paraId="78529D2C" w14:textId="77777777" w:rsidR="001C08A5" w:rsidRDefault="001C08A5">
      <w:pPr>
        <w:ind w:firstLine="720"/>
        <w:jc w:val="both"/>
        <w:rPr>
          <w:rFonts w:eastAsia="TimesNewRomanPSMT-Identity-H"/>
          <w:i/>
          <w:sz w:val="24"/>
          <w:szCs w:val="24"/>
        </w:rPr>
      </w:pPr>
    </w:p>
    <w:p w14:paraId="14649A5F" w14:textId="77777777" w:rsidR="001C08A5" w:rsidRDefault="00000000">
      <w:pPr>
        <w:jc w:val="center"/>
        <w:rPr>
          <w:rFonts w:eastAsia="ABBvoice-Regular"/>
          <w:b/>
          <w:bCs/>
          <w:i/>
          <w:sz w:val="24"/>
          <w:szCs w:val="24"/>
        </w:rPr>
      </w:pPr>
      <w:r>
        <w:rPr>
          <w:rFonts w:eastAsia="ABBvoice-Regular"/>
          <w:b/>
          <w:bCs/>
          <w:i/>
          <w:sz w:val="24"/>
          <w:szCs w:val="24"/>
        </w:rPr>
        <w:t>Q =v×q×s×n×l</w:t>
      </w:r>
      <w:r>
        <w:rPr>
          <w:rFonts w:eastAsia="ABBvoice-Regular"/>
          <w:b/>
          <w:bCs/>
          <w:i/>
          <w:sz w:val="24"/>
          <w:szCs w:val="24"/>
          <w:vertAlign w:val="subscript"/>
        </w:rPr>
        <w:t>gas</w:t>
      </w:r>
      <w:r>
        <w:rPr>
          <w:rFonts w:eastAsia="ABBvoice-Regular"/>
          <w:b/>
          <w:bCs/>
          <w:i/>
          <w:sz w:val="24"/>
          <w:szCs w:val="24"/>
        </w:rPr>
        <w:t>×C</w:t>
      </w:r>
      <w:r>
        <w:rPr>
          <w:rFonts w:eastAsia="ABBvoice-Regular"/>
          <w:b/>
          <w:bCs/>
          <w:i/>
          <w:sz w:val="24"/>
          <w:szCs w:val="24"/>
          <w:vertAlign w:val="subscript"/>
        </w:rPr>
        <w:t>rt</w:t>
      </w:r>
      <w:r>
        <w:rPr>
          <w:rFonts w:eastAsia="ABBvoice-Regular"/>
          <w:b/>
          <w:bCs/>
          <w:i/>
          <w:sz w:val="24"/>
          <w:szCs w:val="24"/>
        </w:rPr>
        <w:t>×10</w:t>
      </w:r>
      <w:r>
        <w:rPr>
          <w:rFonts w:eastAsia="ABBvoice-Regular"/>
          <w:b/>
          <w:bCs/>
          <w:i/>
          <w:sz w:val="24"/>
          <w:szCs w:val="24"/>
          <w:vertAlign w:val="superscript"/>
        </w:rPr>
        <w:t>–3</w:t>
      </w:r>
      <w:r>
        <w:rPr>
          <w:rFonts w:eastAsia="ABBvoice-Regular"/>
          <w:b/>
          <w:bCs/>
          <w:i/>
          <w:sz w:val="24"/>
          <w:szCs w:val="24"/>
        </w:rPr>
        <w:t>(m</w:t>
      </w:r>
      <w:r>
        <w:rPr>
          <w:rFonts w:eastAsia="ABBvoice-Regular"/>
          <w:b/>
          <w:bCs/>
          <w:i/>
          <w:sz w:val="24"/>
          <w:szCs w:val="24"/>
          <w:vertAlign w:val="superscript"/>
        </w:rPr>
        <w:t>3</w:t>
      </w:r>
      <w:r>
        <w:rPr>
          <w:rFonts w:eastAsia="ABBvoice-Regular"/>
          <w:b/>
          <w:bCs/>
          <w:i/>
          <w:sz w:val="24"/>
          <w:szCs w:val="24"/>
        </w:rPr>
        <w:t>/h)</w:t>
      </w:r>
    </w:p>
    <w:p w14:paraId="7282EBE0" w14:textId="77777777" w:rsidR="001C08A5" w:rsidRDefault="001C08A5">
      <w:pPr>
        <w:ind w:firstLine="720"/>
        <w:jc w:val="both"/>
        <w:rPr>
          <w:rFonts w:eastAsia="ABBvoice-Regular"/>
          <w:i/>
          <w:sz w:val="24"/>
          <w:szCs w:val="24"/>
        </w:rPr>
      </w:pPr>
    </w:p>
    <w:p w14:paraId="239FE783" w14:textId="77777777" w:rsidR="001C08A5" w:rsidRDefault="00000000">
      <w:pPr>
        <w:ind w:firstLine="720"/>
        <w:jc w:val="both"/>
        <w:rPr>
          <w:rFonts w:eastAsia="ABBvoice-Regular"/>
          <w:i/>
          <w:sz w:val="24"/>
          <w:szCs w:val="24"/>
        </w:rPr>
      </w:pPr>
      <w:r>
        <w:rPr>
          <w:rFonts w:eastAsia="ABBvoice-Regular"/>
          <w:b/>
          <w:bCs/>
          <w:i/>
          <w:sz w:val="24"/>
          <w:szCs w:val="24"/>
        </w:rPr>
        <w:t>Q</w:t>
      </w:r>
      <w:r>
        <w:rPr>
          <w:rFonts w:eastAsia="ABBvoice-Regular"/>
          <w:i/>
          <w:sz w:val="24"/>
          <w:szCs w:val="24"/>
        </w:rPr>
        <w:t xml:space="preserve"> - este debitul de aer de ventilare în m</w:t>
      </w:r>
      <w:r>
        <w:rPr>
          <w:rFonts w:eastAsia="ABBvoice-Regular"/>
          <w:i/>
          <w:sz w:val="24"/>
          <w:szCs w:val="24"/>
          <w:vertAlign w:val="superscript"/>
        </w:rPr>
        <w:t>3</w:t>
      </w:r>
      <w:r>
        <w:rPr>
          <w:rFonts w:eastAsia="ABBvoice-Regular"/>
          <w:i/>
          <w:sz w:val="24"/>
          <w:szCs w:val="24"/>
        </w:rPr>
        <w:t>/h;</w:t>
      </w:r>
    </w:p>
    <w:p w14:paraId="48815F3C" w14:textId="77777777" w:rsidR="001C08A5" w:rsidRDefault="00000000">
      <w:pPr>
        <w:ind w:firstLine="720"/>
        <w:jc w:val="both"/>
        <w:rPr>
          <w:rFonts w:eastAsia="ABBvoice-Regular"/>
          <w:i/>
          <w:sz w:val="24"/>
          <w:szCs w:val="24"/>
        </w:rPr>
      </w:pPr>
      <w:r>
        <w:rPr>
          <w:rFonts w:eastAsia="ABBvoice-Regular"/>
          <w:b/>
          <w:bCs/>
          <w:i/>
          <w:sz w:val="24"/>
          <w:szCs w:val="24"/>
        </w:rPr>
        <w:t>v</w:t>
      </w:r>
      <w:r>
        <w:rPr>
          <w:rFonts w:eastAsia="ABBvoice-Regular"/>
          <w:i/>
          <w:sz w:val="24"/>
          <w:szCs w:val="24"/>
        </w:rPr>
        <w:t xml:space="preserve"> - este diluția necesară a hidrogenului: (100% − 4%) / 4 %=24;</w:t>
      </w:r>
    </w:p>
    <w:p w14:paraId="262F680D" w14:textId="77777777" w:rsidR="001C08A5" w:rsidRDefault="00000000">
      <w:pPr>
        <w:ind w:firstLine="720"/>
        <w:jc w:val="both"/>
        <w:rPr>
          <w:rFonts w:eastAsia="ABBvoice-Regular"/>
          <w:i/>
          <w:sz w:val="24"/>
          <w:szCs w:val="24"/>
        </w:rPr>
      </w:pPr>
      <w:r>
        <w:rPr>
          <w:rFonts w:eastAsia="ABBvoice-Regular"/>
          <w:b/>
          <w:bCs/>
          <w:i/>
          <w:sz w:val="24"/>
          <w:szCs w:val="24"/>
        </w:rPr>
        <w:lastRenderedPageBreak/>
        <w:t>q</w:t>
      </w:r>
      <w:r>
        <w:rPr>
          <w:rFonts w:eastAsia="ABBvoice-Regular"/>
          <w:i/>
          <w:sz w:val="24"/>
          <w:szCs w:val="24"/>
        </w:rPr>
        <w:t xml:space="preserve"> = 0,42×10</w:t>
      </w:r>
      <w:r>
        <w:rPr>
          <w:rFonts w:eastAsia="ABBvoice-Regular"/>
          <w:i/>
          <w:sz w:val="24"/>
          <w:szCs w:val="24"/>
          <w:vertAlign w:val="superscript"/>
        </w:rPr>
        <w:t>–3</w:t>
      </w:r>
      <w:r>
        <w:rPr>
          <w:rFonts w:eastAsia="ABBvoice-Regular"/>
          <w:i/>
          <w:sz w:val="24"/>
          <w:szCs w:val="24"/>
        </w:rPr>
        <w:t>m</w:t>
      </w:r>
      <w:r>
        <w:rPr>
          <w:rFonts w:eastAsia="ABBvoice-Regular"/>
          <w:i/>
          <w:sz w:val="24"/>
          <w:szCs w:val="24"/>
          <w:vertAlign w:val="superscript"/>
        </w:rPr>
        <w:t>3</w:t>
      </w:r>
      <w:r>
        <w:rPr>
          <w:rFonts w:eastAsia="ABBvoice-Regular"/>
          <w:i/>
          <w:sz w:val="24"/>
          <w:szCs w:val="24"/>
        </w:rPr>
        <w:t>/Ah hidrogen generat la 0° C;</w:t>
      </w:r>
    </w:p>
    <w:p w14:paraId="03B779BE" w14:textId="77777777" w:rsidR="001C08A5" w:rsidRDefault="00000000">
      <w:pPr>
        <w:ind w:firstLine="720"/>
        <w:jc w:val="both"/>
        <w:rPr>
          <w:rFonts w:eastAsia="ABBvoice-Regular"/>
          <w:i/>
          <w:sz w:val="24"/>
          <w:szCs w:val="24"/>
        </w:rPr>
      </w:pPr>
      <w:r>
        <w:rPr>
          <w:rFonts w:eastAsia="ABBvoice-Regular"/>
          <w:i/>
          <w:sz w:val="24"/>
          <w:szCs w:val="24"/>
        </w:rPr>
        <w:t xml:space="preserve">Observație: pentru calcule la temperatura de 25° C, valoarea </w:t>
      </w:r>
      <w:r>
        <w:rPr>
          <w:rFonts w:eastAsia="ABBvoice-Regular"/>
          <w:b/>
          <w:bCs/>
          <w:i/>
          <w:sz w:val="24"/>
          <w:szCs w:val="24"/>
        </w:rPr>
        <w:t>q</w:t>
      </w:r>
      <w:r>
        <w:rPr>
          <w:rFonts w:eastAsia="ABBvoice-Regular"/>
          <w:i/>
          <w:sz w:val="24"/>
          <w:szCs w:val="24"/>
        </w:rPr>
        <w:t xml:space="preserve"> la temperatura de 0 °C se înmulțește cu factorul 1.095.</w:t>
      </w:r>
    </w:p>
    <w:p w14:paraId="30C61849" w14:textId="77777777" w:rsidR="001C08A5" w:rsidRDefault="00000000">
      <w:pPr>
        <w:ind w:firstLine="720"/>
        <w:jc w:val="both"/>
        <w:rPr>
          <w:rFonts w:eastAsia="ABBvoice-Regular"/>
          <w:i/>
          <w:sz w:val="24"/>
          <w:szCs w:val="24"/>
        </w:rPr>
      </w:pPr>
      <w:r>
        <w:rPr>
          <w:rFonts w:eastAsia="ABBvoice-Regular"/>
          <w:i/>
          <w:sz w:val="24"/>
          <w:szCs w:val="24"/>
        </w:rPr>
        <w:t>S = 5, factor general de siguranță;</w:t>
      </w:r>
    </w:p>
    <w:p w14:paraId="3A9E6D14" w14:textId="77777777" w:rsidR="001C08A5" w:rsidRDefault="00000000">
      <w:pPr>
        <w:ind w:firstLine="720"/>
        <w:jc w:val="both"/>
        <w:rPr>
          <w:rFonts w:eastAsia="ABBvoice-Regular"/>
          <w:i/>
          <w:sz w:val="24"/>
          <w:szCs w:val="24"/>
        </w:rPr>
      </w:pPr>
      <w:r>
        <w:rPr>
          <w:rFonts w:eastAsia="ABBvoice-Regular"/>
          <w:i/>
          <w:sz w:val="24"/>
          <w:szCs w:val="24"/>
        </w:rPr>
        <w:t>s - este numărul de celule;</w:t>
      </w:r>
    </w:p>
    <w:p w14:paraId="6ACB79D2" w14:textId="77777777" w:rsidR="001C08A5" w:rsidRDefault="00000000">
      <w:pPr>
        <w:ind w:firstLine="720"/>
        <w:jc w:val="both"/>
        <w:rPr>
          <w:rFonts w:eastAsia="ABBvoice-Regular"/>
          <w:i/>
          <w:sz w:val="24"/>
          <w:szCs w:val="24"/>
        </w:rPr>
      </w:pPr>
      <w:r>
        <w:rPr>
          <w:rFonts w:eastAsia="ABBvoice-Regular"/>
          <w:i/>
          <w:sz w:val="24"/>
          <w:szCs w:val="24"/>
        </w:rPr>
        <w:t>I</w:t>
      </w:r>
      <w:r>
        <w:rPr>
          <w:rFonts w:eastAsia="ABBvoice-Regular"/>
          <w:i/>
          <w:sz w:val="24"/>
          <w:szCs w:val="24"/>
          <w:vertAlign w:val="subscript"/>
        </w:rPr>
        <w:t>gas</w:t>
      </w:r>
      <w:r>
        <w:rPr>
          <w:rFonts w:eastAsia="ABBvoice-Regular"/>
          <w:i/>
          <w:sz w:val="24"/>
          <w:szCs w:val="24"/>
        </w:rPr>
        <w:t xml:space="preserve"> - este curentul care produce gaz în capacitatea nominală mA/Ah pentru curentul de încărcare flotant I</w:t>
      </w:r>
      <w:r>
        <w:rPr>
          <w:rFonts w:eastAsia="ABBvoice-Regular"/>
          <w:i/>
          <w:sz w:val="24"/>
          <w:szCs w:val="24"/>
          <w:vertAlign w:val="subscript"/>
        </w:rPr>
        <w:t>flot</w:t>
      </w:r>
      <w:r>
        <w:rPr>
          <w:rFonts w:eastAsia="ABBvoice-Regular"/>
          <w:i/>
          <w:sz w:val="24"/>
          <w:szCs w:val="24"/>
        </w:rPr>
        <w:t xml:space="preserve"> sau curentul de încărcare de amplificare I</w:t>
      </w:r>
      <w:r>
        <w:rPr>
          <w:rFonts w:eastAsia="ABBvoice-Regular"/>
          <w:i/>
          <w:sz w:val="24"/>
          <w:szCs w:val="24"/>
          <w:vertAlign w:val="subscript"/>
        </w:rPr>
        <w:t>impuls</w:t>
      </w:r>
      <w:r>
        <w:rPr>
          <w:rFonts w:eastAsia="ABBvoice-Regular"/>
          <w:i/>
          <w:sz w:val="24"/>
          <w:szCs w:val="24"/>
        </w:rPr>
        <w:t>;</w:t>
      </w:r>
    </w:p>
    <w:p w14:paraId="1B0D5A2A" w14:textId="77777777" w:rsidR="001C08A5" w:rsidRDefault="00000000">
      <w:pPr>
        <w:ind w:firstLine="720"/>
        <w:jc w:val="both"/>
        <w:rPr>
          <w:rFonts w:eastAsia="ABBvoice-Regular"/>
          <w:i/>
          <w:sz w:val="24"/>
          <w:szCs w:val="24"/>
        </w:rPr>
      </w:pPr>
      <w:r>
        <w:rPr>
          <w:rFonts w:eastAsia="ABBvoice-Regular"/>
          <w:i/>
          <w:sz w:val="24"/>
          <w:szCs w:val="24"/>
        </w:rPr>
        <w:t>Crt - este capacitatea C</w:t>
      </w:r>
      <w:r>
        <w:rPr>
          <w:rFonts w:eastAsia="ABBvoice-Regular"/>
          <w:i/>
          <w:sz w:val="24"/>
          <w:szCs w:val="24"/>
          <w:vertAlign w:val="subscript"/>
        </w:rPr>
        <w:t xml:space="preserve">10 </w:t>
      </w:r>
      <w:r>
        <w:rPr>
          <w:rFonts w:eastAsia="ABBvoice-Regular"/>
          <w:i/>
          <w:sz w:val="24"/>
          <w:szCs w:val="24"/>
        </w:rPr>
        <w:t>a celulelor din plumb cu acid (Ah), Uf= 1,80 V/celula la 20 °C sau capacitatea C5 pentru celule NiCd (Ah), Uf= 1,00 V/celula la 20 °C.</w:t>
      </w:r>
    </w:p>
    <w:p w14:paraId="6A48ADE2" w14:textId="77777777" w:rsidR="001C08A5" w:rsidRDefault="001C08A5">
      <w:pPr>
        <w:ind w:firstLine="720"/>
        <w:jc w:val="both"/>
        <w:rPr>
          <w:rFonts w:eastAsia="ABBvoice-Regular"/>
          <w:i/>
          <w:sz w:val="24"/>
          <w:szCs w:val="24"/>
        </w:rPr>
      </w:pPr>
    </w:p>
    <w:p w14:paraId="0143B2E3" w14:textId="77777777" w:rsidR="001C08A5" w:rsidRDefault="00000000">
      <w:pPr>
        <w:ind w:firstLine="720"/>
        <w:jc w:val="both"/>
        <w:rPr>
          <w:rFonts w:eastAsia="ABBvoice-Regular"/>
          <w:i/>
          <w:sz w:val="24"/>
          <w:szCs w:val="24"/>
        </w:rPr>
      </w:pPr>
      <w:r>
        <w:rPr>
          <w:rFonts w:eastAsia="ABBvoice-Regular"/>
          <w:i/>
          <w:sz w:val="24"/>
          <w:szCs w:val="24"/>
        </w:rPr>
        <w:t>Pentru: v×q×s=0,05 m</w:t>
      </w:r>
      <w:r>
        <w:rPr>
          <w:rFonts w:eastAsia="ABBvoice-Regular"/>
          <w:i/>
          <w:sz w:val="24"/>
          <w:szCs w:val="24"/>
          <w:vertAlign w:val="superscript"/>
        </w:rPr>
        <w:t>3</w:t>
      </w:r>
      <w:r>
        <w:rPr>
          <w:rFonts w:eastAsia="ABBvoice-Regular"/>
          <w:i/>
          <w:sz w:val="24"/>
          <w:szCs w:val="24"/>
        </w:rPr>
        <w:t>/Ah  formula de calcul al debitului de aer de ventilare este:</w:t>
      </w:r>
    </w:p>
    <w:p w14:paraId="1D3264A4" w14:textId="77777777" w:rsidR="001C08A5" w:rsidRDefault="001C08A5">
      <w:pPr>
        <w:ind w:firstLine="720"/>
        <w:jc w:val="both"/>
        <w:rPr>
          <w:rFonts w:eastAsia="ABBvoice-Regular"/>
          <w:i/>
          <w:sz w:val="24"/>
          <w:szCs w:val="24"/>
        </w:rPr>
      </w:pPr>
    </w:p>
    <w:p w14:paraId="314BA792" w14:textId="77777777" w:rsidR="001C08A5" w:rsidRDefault="00000000">
      <w:pPr>
        <w:jc w:val="center"/>
        <w:rPr>
          <w:rFonts w:eastAsia="ABBvoice-Regular"/>
          <w:b/>
          <w:bCs/>
          <w:i/>
          <w:sz w:val="24"/>
          <w:szCs w:val="24"/>
        </w:rPr>
      </w:pPr>
      <w:r>
        <w:rPr>
          <w:rFonts w:eastAsia="ABBvoice-Regular"/>
          <w:b/>
          <w:bCs/>
          <w:i/>
          <w:sz w:val="24"/>
          <w:szCs w:val="24"/>
        </w:rPr>
        <w:t>Q =0,05 × n × l</w:t>
      </w:r>
      <w:r>
        <w:rPr>
          <w:rFonts w:eastAsia="ABBvoice-Regular"/>
          <w:b/>
          <w:bCs/>
          <w:i/>
          <w:sz w:val="24"/>
          <w:szCs w:val="24"/>
          <w:vertAlign w:val="subscript"/>
        </w:rPr>
        <w:t xml:space="preserve">gas </w:t>
      </w:r>
      <w:r>
        <w:rPr>
          <w:rFonts w:eastAsia="ABBvoice-Regular"/>
          <w:b/>
          <w:bCs/>
          <w:i/>
          <w:sz w:val="24"/>
          <w:szCs w:val="24"/>
        </w:rPr>
        <w:t>× C</w:t>
      </w:r>
      <w:r>
        <w:rPr>
          <w:rFonts w:eastAsia="ABBvoice-Regular"/>
          <w:b/>
          <w:bCs/>
          <w:i/>
          <w:sz w:val="24"/>
          <w:szCs w:val="24"/>
          <w:vertAlign w:val="subscript"/>
        </w:rPr>
        <w:t xml:space="preserve">rt </w:t>
      </w:r>
      <w:r>
        <w:rPr>
          <w:rFonts w:eastAsia="ABBvoice-Regular"/>
          <w:b/>
          <w:bCs/>
          <w:i/>
          <w:sz w:val="24"/>
          <w:szCs w:val="24"/>
        </w:rPr>
        <w:t>× 10</w:t>
      </w:r>
      <w:r>
        <w:rPr>
          <w:rFonts w:eastAsia="ABBvoice-Regular"/>
          <w:b/>
          <w:bCs/>
          <w:i/>
          <w:sz w:val="24"/>
          <w:szCs w:val="24"/>
          <w:vertAlign w:val="superscript"/>
        </w:rPr>
        <w:t xml:space="preserve">–3 </w:t>
      </w:r>
      <w:r>
        <w:rPr>
          <w:rFonts w:eastAsia="ABBvoice-Regular"/>
          <w:b/>
          <w:bCs/>
          <w:i/>
          <w:sz w:val="24"/>
          <w:szCs w:val="24"/>
        </w:rPr>
        <w:t>(m</w:t>
      </w:r>
      <w:r>
        <w:rPr>
          <w:rFonts w:eastAsia="ABBvoice-Regular"/>
          <w:b/>
          <w:bCs/>
          <w:i/>
          <w:sz w:val="24"/>
          <w:szCs w:val="24"/>
          <w:vertAlign w:val="superscript"/>
        </w:rPr>
        <w:t>3</w:t>
      </w:r>
      <w:r>
        <w:rPr>
          <w:rFonts w:eastAsia="ABBvoice-Regular"/>
          <w:b/>
          <w:bCs/>
          <w:i/>
          <w:sz w:val="24"/>
          <w:szCs w:val="24"/>
        </w:rPr>
        <w:t>/h)</w:t>
      </w:r>
    </w:p>
    <w:p w14:paraId="3E684FAA" w14:textId="77777777" w:rsidR="001C08A5" w:rsidRDefault="001C08A5">
      <w:pPr>
        <w:ind w:left="2880" w:firstLine="720"/>
        <w:jc w:val="both"/>
        <w:rPr>
          <w:rFonts w:eastAsia="ABBvoice-Regular"/>
          <w:b/>
          <w:bCs/>
          <w:i/>
          <w:sz w:val="24"/>
          <w:szCs w:val="24"/>
        </w:rPr>
      </w:pPr>
    </w:p>
    <w:p w14:paraId="42C4F0C1" w14:textId="77777777" w:rsidR="001C08A5" w:rsidRDefault="00000000">
      <w:pPr>
        <w:ind w:firstLine="720"/>
        <w:jc w:val="both"/>
        <w:rPr>
          <w:rFonts w:eastAsia="ABBvoice-Regular"/>
          <w:i/>
          <w:sz w:val="24"/>
          <w:szCs w:val="24"/>
        </w:rPr>
      </w:pPr>
      <w:r>
        <w:rPr>
          <w:rFonts w:eastAsia="ABBvoice-Regular"/>
          <w:i/>
          <w:sz w:val="24"/>
          <w:szCs w:val="24"/>
        </w:rPr>
        <w:t>I</w:t>
      </w:r>
      <w:r>
        <w:rPr>
          <w:rFonts w:eastAsia="ABBvoice-Regular"/>
          <w:i/>
          <w:sz w:val="24"/>
          <w:szCs w:val="24"/>
          <w:vertAlign w:val="subscript"/>
        </w:rPr>
        <w:t>gas</w:t>
      </w:r>
      <w:r>
        <w:rPr>
          <w:rFonts w:eastAsia="ABBvoice-Regular"/>
          <w:i/>
          <w:sz w:val="24"/>
          <w:szCs w:val="24"/>
        </w:rPr>
        <w:t xml:space="preserve"> - producerea de gaz este determinată de următoarea formulă:</w:t>
      </w:r>
    </w:p>
    <w:p w14:paraId="185502EB" w14:textId="77777777" w:rsidR="001C08A5" w:rsidRDefault="00000000">
      <w:pPr>
        <w:ind w:firstLine="720"/>
        <w:jc w:val="center"/>
        <w:rPr>
          <w:rFonts w:eastAsia="ABBvoice-Regular"/>
          <w:i/>
          <w:sz w:val="24"/>
          <w:szCs w:val="24"/>
        </w:rPr>
      </w:pPr>
      <w:r>
        <w:rPr>
          <w:rFonts w:eastAsia="ABBvoice-Regular"/>
          <w:b/>
          <w:bCs/>
          <w:i/>
          <w:sz w:val="24"/>
          <w:szCs w:val="24"/>
        </w:rPr>
        <w:t>l</w:t>
      </w:r>
      <w:r>
        <w:rPr>
          <w:rFonts w:eastAsia="ABBvoice-Regular"/>
          <w:b/>
          <w:bCs/>
          <w:i/>
          <w:sz w:val="24"/>
          <w:szCs w:val="24"/>
          <w:vertAlign w:val="subscript"/>
        </w:rPr>
        <w:t>gas</w:t>
      </w:r>
      <w:r>
        <w:rPr>
          <w:rFonts w:eastAsia="ABBvoice-Regular"/>
          <w:i/>
          <w:sz w:val="24"/>
          <w:szCs w:val="24"/>
        </w:rPr>
        <w:t xml:space="preserve"> = I</w:t>
      </w:r>
      <w:r>
        <w:rPr>
          <w:rFonts w:eastAsia="ABBvoice-Regular"/>
          <w:i/>
          <w:sz w:val="24"/>
          <w:szCs w:val="24"/>
          <w:vertAlign w:val="subscript"/>
        </w:rPr>
        <w:t>flot</w:t>
      </w:r>
      <w:r>
        <w:rPr>
          <w:rFonts w:eastAsia="ABBvoice-Regular"/>
          <w:i/>
          <w:sz w:val="24"/>
          <w:szCs w:val="24"/>
        </w:rPr>
        <w:t>/</w:t>
      </w:r>
      <w:r>
        <w:rPr>
          <w:rFonts w:eastAsia="ABBvoice-Regular"/>
          <w:i/>
          <w:sz w:val="24"/>
          <w:szCs w:val="24"/>
          <w:vertAlign w:val="subscript"/>
        </w:rPr>
        <w:t xml:space="preserve">ampl </w:t>
      </w:r>
      <w:r>
        <w:rPr>
          <w:rFonts w:eastAsia="ABBvoice-Regular"/>
          <w:i/>
          <w:sz w:val="24"/>
          <w:szCs w:val="24"/>
        </w:rPr>
        <w:t>× fg × fs  (mA/Ah)</w:t>
      </w:r>
    </w:p>
    <w:p w14:paraId="105DACF1" w14:textId="77777777" w:rsidR="001C08A5" w:rsidRDefault="00000000">
      <w:pPr>
        <w:ind w:firstLine="720"/>
        <w:jc w:val="both"/>
        <w:rPr>
          <w:rFonts w:eastAsia="ABBvoice-Regular"/>
          <w:i/>
          <w:sz w:val="24"/>
          <w:szCs w:val="24"/>
        </w:rPr>
      </w:pPr>
      <w:r>
        <w:rPr>
          <w:rFonts w:eastAsia="ABBvoice-Regular"/>
          <w:i/>
          <w:sz w:val="24"/>
          <w:szCs w:val="24"/>
        </w:rPr>
        <w:t>Unde:</w:t>
      </w:r>
    </w:p>
    <w:p w14:paraId="74C05C89" w14:textId="77777777" w:rsidR="001C08A5" w:rsidRDefault="00000000">
      <w:pPr>
        <w:ind w:firstLine="720"/>
        <w:jc w:val="both"/>
        <w:rPr>
          <w:rFonts w:eastAsia="ABBvoice-Regular"/>
          <w:i/>
          <w:sz w:val="24"/>
          <w:szCs w:val="24"/>
        </w:rPr>
      </w:pPr>
      <w:r>
        <w:rPr>
          <w:rFonts w:eastAsia="ABBvoice-Regular"/>
          <w:i/>
          <w:sz w:val="24"/>
          <w:szCs w:val="24"/>
        </w:rPr>
        <w:t>I</w:t>
      </w:r>
      <w:r>
        <w:rPr>
          <w:rFonts w:eastAsia="ABBvoice-Regular"/>
          <w:i/>
          <w:sz w:val="24"/>
          <w:szCs w:val="24"/>
          <w:vertAlign w:val="subscript"/>
        </w:rPr>
        <w:t>flot</w:t>
      </w:r>
      <w:r>
        <w:rPr>
          <w:rFonts w:eastAsia="ABBvoice-Regular"/>
          <w:i/>
          <w:sz w:val="24"/>
          <w:szCs w:val="24"/>
        </w:rPr>
        <w:t xml:space="preserve"> - este curentul de încărcare flotantă în condiții de încărcare completă la o tensiune de încărcare float definită la 20 °C;</w:t>
      </w:r>
    </w:p>
    <w:p w14:paraId="12AADC73" w14:textId="77777777" w:rsidR="001C08A5" w:rsidRDefault="00000000">
      <w:pPr>
        <w:ind w:firstLine="720"/>
        <w:jc w:val="both"/>
        <w:rPr>
          <w:rFonts w:eastAsia="ABBvoice-Regular"/>
          <w:i/>
          <w:sz w:val="24"/>
          <w:szCs w:val="24"/>
        </w:rPr>
      </w:pPr>
      <w:r>
        <w:rPr>
          <w:rFonts w:eastAsia="ABBvoice-Regular"/>
          <w:i/>
          <w:sz w:val="24"/>
          <w:szCs w:val="24"/>
        </w:rPr>
        <w:t>I</w:t>
      </w:r>
      <w:r>
        <w:rPr>
          <w:rFonts w:eastAsia="ABBvoice-Regular"/>
          <w:i/>
          <w:sz w:val="24"/>
          <w:szCs w:val="24"/>
          <w:vertAlign w:val="subscript"/>
        </w:rPr>
        <w:t>ampl</w:t>
      </w:r>
      <w:r>
        <w:rPr>
          <w:rFonts w:eastAsia="ABBvoice-Regular"/>
          <w:i/>
          <w:sz w:val="24"/>
          <w:szCs w:val="24"/>
        </w:rPr>
        <w:t xml:space="preserve"> - este curentul de încărcare de amplificare în condiții de încărcare completă la o tensiune de încărcare de amplificare definită la 20 °C;</w:t>
      </w:r>
    </w:p>
    <w:p w14:paraId="3FD7D1D0" w14:textId="77777777" w:rsidR="001C08A5" w:rsidRDefault="00000000">
      <w:pPr>
        <w:ind w:firstLine="720"/>
        <w:jc w:val="both"/>
        <w:rPr>
          <w:rFonts w:eastAsia="ABBvoice-Regular"/>
          <w:i/>
          <w:sz w:val="24"/>
          <w:szCs w:val="24"/>
        </w:rPr>
      </w:pPr>
      <w:r>
        <w:rPr>
          <w:rFonts w:eastAsia="ABBvoice-Regular"/>
          <w:i/>
          <w:sz w:val="24"/>
          <w:szCs w:val="24"/>
        </w:rPr>
        <w:t>f</w:t>
      </w:r>
      <w:r>
        <w:rPr>
          <w:rFonts w:eastAsia="ABBvoice-Regular"/>
          <w:i/>
          <w:sz w:val="24"/>
          <w:szCs w:val="24"/>
          <w:vertAlign w:val="subscript"/>
        </w:rPr>
        <w:t>g</w:t>
      </w:r>
      <w:r>
        <w:rPr>
          <w:rFonts w:eastAsia="ABBvoice-Regular"/>
          <w:i/>
          <w:sz w:val="24"/>
          <w:szCs w:val="24"/>
        </w:rPr>
        <w:t xml:space="preserve"> - este factorul de emisie a gazului, proporția de curent în stare complet încărcată care produce hidrogen;</w:t>
      </w:r>
    </w:p>
    <w:p w14:paraId="5598EE94" w14:textId="77777777" w:rsidR="001C08A5" w:rsidRDefault="00000000">
      <w:pPr>
        <w:ind w:firstLine="720"/>
        <w:jc w:val="both"/>
        <w:rPr>
          <w:rFonts w:eastAsia="ABBvoice-Regular"/>
          <w:i/>
          <w:sz w:val="24"/>
          <w:szCs w:val="24"/>
        </w:rPr>
      </w:pPr>
      <w:r>
        <w:rPr>
          <w:rFonts w:eastAsia="ABBvoice-Regular"/>
          <w:i/>
          <w:sz w:val="24"/>
          <w:szCs w:val="24"/>
        </w:rPr>
        <w:t>f</w:t>
      </w:r>
      <w:r>
        <w:rPr>
          <w:rFonts w:eastAsia="ABBvoice-Regular"/>
          <w:i/>
          <w:sz w:val="24"/>
          <w:szCs w:val="24"/>
          <w:vertAlign w:val="subscript"/>
        </w:rPr>
        <w:t>s</w:t>
      </w:r>
      <w:r>
        <w:rPr>
          <w:rFonts w:eastAsia="ABBvoice-Regular"/>
          <w:i/>
          <w:sz w:val="24"/>
          <w:szCs w:val="24"/>
        </w:rPr>
        <w:t xml:space="preserve"> - este factorul de siguranță, pentru a lua în considerare posibile celulele defecte care s-ar putea găsi într-un șir de baterii sau o baterii mai vechi.</w:t>
      </w:r>
    </w:p>
    <w:p w14:paraId="670591AF" w14:textId="77777777" w:rsidR="001C08A5" w:rsidRDefault="00000000">
      <w:pPr>
        <w:ind w:firstLine="720"/>
        <w:jc w:val="both"/>
        <w:rPr>
          <w:rFonts w:eastAsia="TimesNewRomanPSMT-Identity-H"/>
          <w:b/>
          <w:bCs/>
          <w:i/>
          <w:sz w:val="24"/>
          <w:szCs w:val="24"/>
        </w:rPr>
      </w:pPr>
      <w:r>
        <w:rPr>
          <w:rFonts w:eastAsia="ABBvoice-Regular"/>
          <w:i/>
          <w:sz w:val="24"/>
          <w:szCs w:val="24"/>
        </w:rPr>
        <w:t>Dacă nu se specifică altfel de către producător, valorile pentru I</w:t>
      </w:r>
      <w:r>
        <w:rPr>
          <w:rFonts w:eastAsia="ABBvoice-Regular"/>
          <w:i/>
          <w:sz w:val="24"/>
          <w:szCs w:val="24"/>
          <w:vertAlign w:val="subscript"/>
        </w:rPr>
        <w:t>flot</w:t>
      </w:r>
      <w:r>
        <w:rPr>
          <w:rFonts w:eastAsia="ABBvoice-Regular"/>
          <w:i/>
          <w:sz w:val="24"/>
          <w:szCs w:val="24"/>
        </w:rPr>
        <w:t xml:space="preserve"> și I</w:t>
      </w:r>
      <w:r>
        <w:rPr>
          <w:rFonts w:eastAsia="ABBvoice-Regular"/>
          <w:i/>
          <w:sz w:val="24"/>
          <w:szCs w:val="24"/>
          <w:vertAlign w:val="subscript"/>
        </w:rPr>
        <w:t>ampl</w:t>
      </w:r>
      <w:r>
        <w:rPr>
          <w:rFonts w:eastAsia="ABBvoice-Regular"/>
          <w:i/>
          <w:sz w:val="24"/>
          <w:szCs w:val="24"/>
        </w:rPr>
        <w:t xml:space="preserve">  cu datele justificative sunt prezentate în </w:t>
      </w:r>
      <w:r>
        <w:rPr>
          <w:rFonts w:eastAsia="ABBvoice-Regular"/>
          <w:b/>
          <w:bCs/>
          <w:i/>
          <w:iCs/>
          <w:sz w:val="24"/>
          <w:szCs w:val="24"/>
        </w:rPr>
        <w:fldChar w:fldCharType="begin"/>
      </w:r>
      <w:r>
        <w:rPr>
          <w:rFonts w:eastAsia="ABBvoice-Regular"/>
          <w:b/>
          <w:bCs/>
          <w:i/>
          <w:iCs/>
          <w:sz w:val="24"/>
          <w:szCs w:val="24"/>
        </w:rPr>
        <w:instrText xml:space="preserve"> REF _Ref3956 \h </w:instrText>
      </w:r>
      <w:r>
        <w:rPr>
          <w:rFonts w:eastAsia="ABBvoice-Regular"/>
          <w:b/>
          <w:bCs/>
          <w:i/>
          <w:iCs/>
          <w:sz w:val="24"/>
          <w:szCs w:val="24"/>
        </w:rPr>
      </w:r>
      <w:r>
        <w:rPr>
          <w:rFonts w:eastAsia="ABBvoice-Regular"/>
          <w:b/>
          <w:bCs/>
          <w:i/>
          <w:iCs/>
          <w:sz w:val="24"/>
          <w:szCs w:val="24"/>
        </w:rPr>
        <w:fldChar w:fldCharType="separate"/>
      </w:r>
      <w:r>
        <w:t>Tabelul 127</w:t>
      </w:r>
      <w:r>
        <w:rPr>
          <w:rFonts w:eastAsia="ABBvoice-Regular"/>
          <w:b/>
          <w:bCs/>
          <w:i/>
          <w:iCs/>
          <w:sz w:val="24"/>
          <w:szCs w:val="24"/>
        </w:rPr>
        <w:fldChar w:fldCharType="end"/>
      </w:r>
      <w:r>
        <w:rPr>
          <w:rFonts w:eastAsia="ABBvoice-Regular"/>
          <w:i/>
          <w:sz w:val="24"/>
          <w:szCs w:val="24"/>
        </w:rPr>
        <w:t xml:space="preserve"> (echivalent cu tabel 1 din </w:t>
      </w:r>
      <w:r>
        <w:rPr>
          <w:rFonts w:eastAsia="ABBvoice-Regular"/>
          <w:b/>
          <w:bCs/>
          <w:i/>
          <w:sz w:val="24"/>
          <w:szCs w:val="24"/>
        </w:rPr>
        <w:t xml:space="preserve">SR EN </w:t>
      </w:r>
      <w:r>
        <w:rPr>
          <w:rFonts w:eastAsia="TimesNewRomanPSMT-Identity-H"/>
          <w:b/>
          <w:bCs/>
          <w:i/>
          <w:sz w:val="24"/>
          <w:szCs w:val="24"/>
        </w:rPr>
        <w:t>IEC 62485-2</w:t>
      </w:r>
      <w:r>
        <w:rPr>
          <w:rFonts w:eastAsia="TimesNewRomanPSMT-Identity-H"/>
          <w:i/>
          <w:sz w:val="24"/>
          <w:szCs w:val="24"/>
        </w:rPr>
        <w:t>)</w:t>
      </w:r>
      <w:r>
        <w:rPr>
          <w:rFonts w:eastAsia="TimesNewRomanPSMT-Identity-H"/>
          <w:b/>
          <w:bCs/>
          <w:i/>
          <w:sz w:val="24"/>
          <w:szCs w:val="24"/>
        </w:rPr>
        <w:t>:</w:t>
      </w:r>
    </w:p>
    <w:p w14:paraId="5BB2D252" w14:textId="77777777" w:rsidR="001C08A5" w:rsidRDefault="001C08A5">
      <w:pPr>
        <w:ind w:firstLine="720"/>
        <w:jc w:val="both"/>
        <w:rPr>
          <w:rFonts w:eastAsia="ABBvoice-Regular"/>
          <w:i/>
          <w:sz w:val="24"/>
          <w:szCs w:val="24"/>
        </w:rPr>
      </w:pPr>
    </w:p>
    <w:p w14:paraId="763B7545" w14:textId="77777777" w:rsidR="001C08A5" w:rsidRDefault="00000000">
      <w:pPr>
        <w:pStyle w:val="Caption"/>
        <w:rPr>
          <w:rFonts w:eastAsia="ABBvoice-Regular"/>
          <w:i w:val="0"/>
        </w:rPr>
      </w:pPr>
      <w:bookmarkStart w:id="7537" w:name="_Ref3956"/>
      <w:bookmarkStart w:id="7538" w:name="_Toc162360177"/>
      <w:bookmarkStart w:id="7539" w:name="_Toc142898430"/>
      <w:r>
        <w:t xml:space="preserve">Tabelul </w:t>
      </w:r>
      <w:r>
        <w:fldChar w:fldCharType="begin"/>
      </w:r>
      <w:r>
        <w:instrText xml:space="preserve"> SEQ Tabelul \* ARABIC </w:instrText>
      </w:r>
      <w:r>
        <w:fldChar w:fldCharType="separate"/>
      </w:r>
      <w:r>
        <w:t>127</w:t>
      </w:r>
      <w:r>
        <w:fldChar w:fldCharType="end"/>
      </w:r>
      <w:bookmarkStart w:id="7540" w:name="_Toc32650"/>
      <w:bookmarkStart w:id="7541" w:name="_Toc14573"/>
      <w:bookmarkStart w:id="7542" w:name="_Toc7824"/>
      <w:bookmarkStart w:id="7543" w:name="_Toc4167"/>
      <w:bookmarkStart w:id="7544" w:name="_Toc20382"/>
      <w:bookmarkStart w:id="7545" w:name="_Toc30431"/>
      <w:bookmarkStart w:id="7546" w:name="_Toc7887"/>
      <w:bookmarkStart w:id="7547" w:name="_Toc1939"/>
      <w:bookmarkStart w:id="7548" w:name="_Toc30762"/>
      <w:bookmarkStart w:id="7549" w:name="_Toc29987"/>
      <w:bookmarkStart w:id="7550" w:name="_Toc27691"/>
      <w:bookmarkStart w:id="7551" w:name="_Toc23222"/>
      <w:bookmarkEnd w:id="7537"/>
      <w:r>
        <w:t>:</w:t>
      </w:r>
      <w:r>
        <w:rPr>
          <w:rFonts w:eastAsia="ABBvoice-Regular"/>
        </w:rPr>
        <w:t xml:space="preserve"> (</w:t>
      </w:r>
      <w:r>
        <w:rPr>
          <w:rFonts w:eastAsia="ABBvoice-Regular"/>
          <w:b w:val="0"/>
          <w:bCs/>
        </w:rPr>
        <w:t>echivalent cu</w:t>
      </w:r>
      <w:r>
        <w:rPr>
          <w:rFonts w:eastAsia="ABBvoice-Regular"/>
        </w:rPr>
        <w:t xml:space="preserve"> </w:t>
      </w:r>
      <w:r>
        <w:rPr>
          <w:rFonts w:eastAsia="ABBvoice-Regular"/>
          <w:bCs/>
        </w:rPr>
        <w:t xml:space="preserve">tabel 1 </w:t>
      </w:r>
      <w:r>
        <w:rPr>
          <w:rFonts w:eastAsia="ABBvoice-Regular"/>
        </w:rPr>
        <w:t xml:space="preserve">din </w:t>
      </w:r>
      <w:r>
        <w:rPr>
          <w:rFonts w:eastAsia="ABBvoice-Regular"/>
          <w:bCs/>
        </w:rPr>
        <w:t xml:space="preserve">SR EN </w:t>
      </w:r>
      <w:r>
        <w:rPr>
          <w:rFonts w:eastAsia="TimesNewRomanPSMT-Identity-H"/>
          <w:bCs/>
        </w:rPr>
        <w:t>IEC 62485-2</w:t>
      </w:r>
      <w:r>
        <w:rPr>
          <w:rFonts w:eastAsia="ABBvoice-Regular"/>
        </w:rPr>
        <w:t>) - Valori pentru curentul I la încărcare cu profiluri de încărcare IU sau U</w:t>
      </w:r>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p>
    <w:tbl>
      <w:tblPr>
        <w:tblStyle w:val="TableGrid"/>
        <w:tblW w:w="0" w:type="auto"/>
        <w:tblLook w:val="04A0" w:firstRow="1" w:lastRow="0" w:firstColumn="1" w:lastColumn="0" w:noHBand="0" w:noVBand="1"/>
      </w:tblPr>
      <w:tblGrid>
        <w:gridCol w:w="5035"/>
        <w:gridCol w:w="1717"/>
        <w:gridCol w:w="1665"/>
        <w:gridCol w:w="1212"/>
      </w:tblGrid>
      <w:tr w:rsidR="001C08A5" w14:paraId="340F5783" w14:textId="77777777">
        <w:trPr>
          <w:tblHeader/>
        </w:trPr>
        <w:tc>
          <w:tcPr>
            <w:tcW w:w="5119" w:type="dxa"/>
            <w:shd w:val="clear" w:color="auto" w:fill="BEBEBE"/>
          </w:tcPr>
          <w:p w14:paraId="620EBDF8" w14:textId="77777777" w:rsidR="001C08A5" w:rsidRDefault="00000000">
            <w:pPr>
              <w:rPr>
                <w:rFonts w:eastAsia="ABBvoice-Regular"/>
                <w:i/>
                <w:sz w:val="24"/>
                <w:szCs w:val="24"/>
              </w:rPr>
            </w:pPr>
            <w:r>
              <w:rPr>
                <w:rFonts w:eastAsia="ABBvoice-Regular"/>
                <w:i/>
                <w:sz w:val="24"/>
                <w:szCs w:val="24"/>
              </w:rPr>
              <w:t>Parametri</w:t>
            </w:r>
          </w:p>
        </w:tc>
        <w:tc>
          <w:tcPr>
            <w:tcW w:w="1733" w:type="dxa"/>
            <w:shd w:val="clear" w:color="auto" w:fill="BEBEBE"/>
          </w:tcPr>
          <w:p w14:paraId="6A9AAE21" w14:textId="77777777" w:rsidR="001C08A5" w:rsidRDefault="00000000">
            <w:pPr>
              <w:rPr>
                <w:rFonts w:eastAsia="ABBvoice-Regular"/>
                <w:i/>
                <w:sz w:val="24"/>
                <w:szCs w:val="24"/>
              </w:rPr>
            </w:pPr>
            <w:r>
              <w:rPr>
                <w:rFonts w:eastAsia="ABBvoice-Regular"/>
                <w:i/>
                <w:sz w:val="24"/>
                <w:szCs w:val="24"/>
              </w:rPr>
              <w:t>Baterii cu celule ventilate din plumb cu acid</w:t>
            </w:r>
          </w:p>
        </w:tc>
        <w:tc>
          <w:tcPr>
            <w:tcW w:w="1684" w:type="dxa"/>
            <w:shd w:val="clear" w:color="auto" w:fill="BEBEBE"/>
          </w:tcPr>
          <w:p w14:paraId="4B171C6D" w14:textId="77777777" w:rsidR="001C08A5" w:rsidRDefault="00000000">
            <w:pPr>
              <w:rPr>
                <w:rFonts w:eastAsia="ABBvoice-Regular"/>
                <w:i/>
                <w:sz w:val="24"/>
                <w:szCs w:val="24"/>
              </w:rPr>
            </w:pPr>
            <w:r>
              <w:rPr>
                <w:rFonts w:eastAsia="ABBvoice-Regular"/>
                <w:i/>
                <w:sz w:val="24"/>
                <w:szCs w:val="24"/>
              </w:rPr>
              <w:t>Baterii cu celule VRLA din plumb cu acid</w:t>
            </w:r>
          </w:p>
        </w:tc>
        <w:tc>
          <w:tcPr>
            <w:tcW w:w="1216" w:type="dxa"/>
            <w:shd w:val="clear" w:color="auto" w:fill="BEBEBE"/>
          </w:tcPr>
          <w:p w14:paraId="50AA65C7" w14:textId="77777777" w:rsidR="001C08A5" w:rsidRDefault="00000000">
            <w:pPr>
              <w:rPr>
                <w:rFonts w:eastAsia="ABBvoice-Regular"/>
                <w:i/>
                <w:sz w:val="24"/>
                <w:szCs w:val="24"/>
              </w:rPr>
            </w:pPr>
            <w:r>
              <w:rPr>
                <w:rFonts w:eastAsia="ABBvoice-Regular"/>
                <w:i/>
                <w:sz w:val="24"/>
                <w:szCs w:val="24"/>
              </w:rPr>
              <w:t>Baterii NiCd cu celule ventilate</w:t>
            </w:r>
          </w:p>
        </w:tc>
      </w:tr>
      <w:tr w:rsidR="001C08A5" w14:paraId="289474FC" w14:textId="77777777">
        <w:tc>
          <w:tcPr>
            <w:tcW w:w="5119" w:type="dxa"/>
          </w:tcPr>
          <w:p w14:paraId="4B9D1CB9" w14:textId="77777777" w:rsidR="001C08A5" w:rsidRDefault="00000000">
            <w:pPr>
              <w:jc w:val="center"/>
              <w:rPr>
                <w:rFonts w:eastAsia="ABBvoice-Regular"/>
                <w:i/>
                <w:sz w:val="24"/>
                <w:szCs w:val="24"/>
              </w:rPr>
            </w:pPr>
            <w:r>
              <w:rPr>
                <w:rFonts w:eastAsia="ABBvoice-Regular"/>
                <w:i/>
                <w:sz w:val="24"/>
                <w:szCs w:val="24"/>
              </w:rPr>
              <w:t>Factorul de emisie a gazului</w:t>
            </w:r>
          </w:p>
          <w:p w14:paraId="6563C0C4" w14:textId="77777777" w:rsidR="001C08A5" w:rsidRDefault="00000000">
            <w:pPr>
              <w:jc w:val="center"/>
              <w:rPr>
                <w:rFonts w:eastAsia="ABBvoice-Regular"/>
                <w:i/>
                <w:sz w:val="24"/>
                <w:szCs w:val="24"/>
              </w:rPr>
            </w:pPr>
            <w:r>
              <w:rPr>
                <w:rFonts w:eastAsia="ABBvoice-Regular"/>
                <w:i/>
                <w:sz w:val="24"/>
                <w:szCs w:val="24"/>
              </w:rPr>
              <w:t>f</w:t>
            </w:r>
            <w:r>
              <w:rPr>
                <w:rFonts w:eastAsia="ABBvoice-Regular"/>
                <w:i/>
                <w:sz w:val="24"/>
                <w:szCs w:val="24"/>
                <w:vertAlign w:val="subscript"/>
              </w:rPr>
              <w:t>g</w:t>
            </w:r>
          </w:p>
        </w:tc>
        <w:tc>
          <w:tcPr>
            <w:tcW w:w="1733" w:type="dxa"/>
          </w:tcPr>
          <w:p w14:paraId="3EE71E0F" w14:textId="77777777" w:rsidR="001C08A5" w:rsidRDefault="00000000">
            <w:pPr>
              <w:jc w:val="center"/>
              <w:rPr>
                <w:rFonts w:eastAsia="ABBvoice-Regular"/>
                <w:i/>
                <w:sz w:val="24"/>
                <w:szCs w:val="24"/>
              </w:rPr>
            </w:pPr>
            <w:r>
              <w:rPr>
                <w:rFonts w:eastAsia="ABBvoice-Regular"/>
                <w:i/>
                <w:sz w:val="24"/>
                <w:szCs w:val="24"/>
              </w:rPr>
              <w:t>1</w:t>
            </w:r>
          </w:p>
        </w:tc>
        <w:tc>
          <w:tcPr>
            <w:tcW w:w="1684" w:type="dxa"/>
          </w:tcPr>
          <w:p w14:paraId="4378ECC8" w14:textId="77777777" w:rsidR="001C08A5" w:rsidRDefault="00000000">
            <w:pPr>
              <w:jc w:val="center"/>
              <w:rPr>
                <w:rFonts w:eastAsia="ABBvoice-Regular"/>
                <w:i/>
                <w:sz w:val="24"/>
                <w:szCs w:val="24"/>
              </w:rPr>
            </w:pPr>
            <w:r>
              <w:rPr>
                <w:rFonts w:eastAsia="ABBvoice-Regular"/>
                <w:i/>
                <w:sz w:val="24"/>
                <w:szCs w:val="24"/>
              </w:rPr>
              <w:t>0,2</w:t>
            </w:r>
          </w:p>
        </w:tc>
        <w:tc>
          <w:tcPr>
            <w:tcW w:w="1216" w:type="dxa"/>
          </w:tcPr>
          <w:p w14:paraId="11208B80" w14:textId="77777777" w:rsidR="001C08A5" w:rsidRDefault="00000000">
            <w:pPr>
              <w:jc w:val="center"/>
              <w:rPr>
                <w:rFonts w:eastAsia="ABBvoice-Regular"/>
                <w:i/>
                <w:sz w:val="24"/>
                <w:szCs w:val="24"/>
              </w:rPr>
            </w:pPr>
            <w:r>
              <w:rPr>
                <w:rFonts w:eastAsia="ABBvoice-Regular"/>
                <w:i/>
                <w:sz w:val="24"/>
                <w:szCs w:val="24"/>
              </w:rPr>
              <w:t>1</w:t>
            </w:r>
          </w:p>
        </w:tc>
      </w:tr>
      <w:tr w:rsidR="001C08A5" w14:paraId="4BAEF296" w14:textId="77777777">
        <w:tc>
          <w:tcPr>
            <w:tcW w:w="5119" w:type="dxa"/>
          </w:tcPr>
          <w:p w14:paraId="6258A5F6" w14:textId="77777777" w:rsidR="001C08A5" w:rsidRDefault="00000000">
            <w:pPr>
              <w:jc w:val="center"/>
              <w:rPr>
                <w:rFonts w:eastAsia="ABBvoice-Regular"/>
                <w:i/>
                <w:sz w:val="24"/>
                <w:szCs w:val="24"/>
              </w:rPr>
            </w:pPr>
            <w:r>
              <w:rPr>
                <w:rFonts w:eastAsia="ABBvoice-Regular"/>
                <w:i/>
                <w:sz w:val="24"/>
                <w:szCs w:val="24"/>
              </w:rPr>
              <w:t>Factorul de siguranță</w:t>
            </w:r>
          </w:p>
          <w:p w14:paraId="7DE3B3F7" w14:textId="77777777" w:rsidR="001C08A5" w:rsidRDefault="00000000">
            <w:pPr>
              <w:jc w:val="center"/>
              <w:rPr>
                <w:rFonts w:eastAsia="ABBvoice-Regular"/>
                <w:i/>
                <w:sz w:val="24"/>
                <w:szCs w:val="24"/>
                <w:vertAlign w:val="subscript"/>
              </w:rPr>
            </w:pPr>
            <w:r>
              <w:rPr>
                <w:rFonts w:eastAsia="ABBvoice-Regular"/>
                <w:i/>
                <w:sz w:val="24"/>
                <w:szCs w:val="24"/>
              </w:rPr>
              <w:t>f</w:t>
            </w:r>
            <w:r>
              <w:rPr>
                <w:rFonts w:eastAsia="ABBvoice-Regular"/>
                <w:i/>
                <w:sz w:val="24"/>
                <w:szCs w:val="24"/>
                <w:vertAlign w:val="subscript"/>
              </w:rPr>
              <w:t>s</w:t>
            </w:r>
          </w:p>
          <w:p w14:paraId="237C16A0" w14:textId="77777777" w:rsidR="001C08A5" w:rsidRDefault="00000000">
            <w:pPr>
              <w:jc w:val="center"/>
              <w:rPr>
                <w:rFonts w:eastAsia="ABBvoice-Regular"/>
                <w:i/>
                <w:sz w:val="24"/>
                <w:szCs w:val="24"/>
              </w:rPr>
            </w:pPr>
            <w:r>
              <w:rPr>
                <w:rFonts w:eastAsia="ABBvoice-Regular"/>
                <w:i/>
                <w:sz w:val="24"/>
                <w:szCs w:val="24"/>
              </w:rPr>
              <w:t>(include 10% celule defecte sau învechite)</w:t>
            </w:r>
          </w:p>
        </w:tc>
        <w:tc>
          <w:tcPr>
            <w:tcW w:w="1733" w:type="dxa"/>
          </w:tcPr>
          <w:p w14:paraId="6A7CB065" w14:textId="77777777" w:rsidR="001C08A5" w:rsidRDefault="00000000">
            <w:pPr>
              <w:jc w:val="center"/>
              <w:rPr>
                <w:rFonts w:eastAsia="ABBvoice-Regular"/>
                <w:i/>
                <w:sz w:val="24"/>
                <w:szCs w:val="24"/>
              </w:rPr>
            </w:pPr>
            <w:r>
              <w:rPr>
                <w:rFonts w:eastAsia="ABBvoice-Regular"/>
                <w:i/>
                <w:sz w:val="24"/>
                <w:szCs w:val="24"/>
              </w:rPr>
              <w:t>5</w:t>
            </w:r>
          </w:p>
        </w:tc>
        <w:tc>
          <w:tcPr>
            <w:tcW w:w="1684" w:type="dxa"/>
          </w:tcPr>
          <w:p w14:paraId="4C87FC57" w14:textId="77777777" w:rsidR="001C08A5" w:rsidRDefault="00000000">
            <w:pPr>
              <w:jc w:val="center"/>
              <w:rPr>
                <w:rFonts w:eastAsia="ABBvoice-Regular"/>
                <w:i/>
                <w:sz w:val="24"/>
                <w:szCs w:val="24"/>
              </w:rPr>
            </w:pPr>
            <w:r>
              <w:rPr>
                <w:rFonts w:eastAsia="ABBvoice-Regular"/>
                <w:i/>
                <w:sz w:val="24"/>
                <w:szCs w:val="24"/>
              </w:rPr>
              <w:t>5</w:t>
            </w:r>
          </w:p>
        </w:tc>
        <w:tc>
          <w:tcPr>
            <w:tcW w:w="1216" w:type="dxa"/>
          </w:tcPr>
          <w:p w14:paraId="17E873CB" w14:textId="77777777" w:rsidR="001C08A5" w:rsidRDefault="00000000">
            <w:pPr>
              <w:jc w:val="center"/>
              <w:rPr>
                <w:rFonts w:eastAsia="ABBvoice-Regular"/>
                <w:i/>
                <w:sz w:val="24"/>
                <w:szCs w:val="24"/>
              </w:rPr>
            </w:pPr>
            <w:r>
              <w:rPr>
                <w:rFonts w:eastAsia="ABBvoice-Regular"/>
                <w:i/>
                <w:sz w:val="24"/>
                <w:szCs w:val="24"/>
              </w:rPr>
              <w:t>5</w:t>
            </w:r>
          </w:p>
        </w:tc>
      </w:tr>
      <w:tr w:rsidR="001C08A5" w14:paraId="28A6E7AF" w14:textId="77777777">
        <w:tc>
          <w:tcPr>
            <w:tcW w:w="5119" w:type="dxa"/>
          </w:tcPr>
          <w:p w14:paraId="119D350B" w14:textId="77777777" w:rsidR="001C08A5" w:rsidRDefault="00000000">
            <w:pPr>
              <w:jc w:val="center"/>
              <w:rPr>
                <w:rFonts w:eastAsia="ABBvoice-Regular"/>
                <w:i/>
                <w:sz w:val="24"/>
                <w:szCs w:val="24"/>
              </w:rPr>
            </w:pPr>
            <w:r>
              <w:rPr>
                <w:rFonts w:eastAsia="ABBvoice-Regular"/>
                <w:i/>
                <w:sz w:val="24"/>
                <w:szCs w:val="24"/>
              </w:rPr>
              <w:t>Tensiunea de încărcare flotantă</w:t>
            </w:r>
          </w:p>
          <w:p w14:paraId="5708A496" w14:textId="77777777" w:rsidR="001C08A5" w:rsidRDefault="00000000">
            <w:pPr>
              <w:jc w:val="center"/>
              <w:rPr>
                <w:rFonts w:eastAsia="ABBvoice-Regular"/>
                <w:b/>
                <w:bCs/>
                <w:i/>
                <w:sz w:val="24"/>
                <w:szCs w:val="24"/>
                <w:vertAlign w:val="superscript"/>
              </w:rPr>
            </w:pPr>
            <w:r>
              <w:rPr>
                <w:rFonts w:eastAsia="ABBvoice-Regular"/>
                <w:i/>
                <w:sz w:val="24"/>
                <w:szCs w:val="24"/>
              </w:rPr>
              <w:t>U</w:t>
            </w:r>
            <w:r>
              <w:rPr>
                <w:rFonts w:eastAsia="ABBvoice-Regular"/>
                <w:i/>
                <w:sz w:val="24"/>
                <w:szCs w:val="24"/>
                <w:vertAlign w:val="subscript"/>
              </w:rPr>
              <w:t>flot</w:t>
            </w:r>
            <w:r>
              <w:rPr>
                <w:rFonts w:eastAsia="ABBvoice-Regular"/>
                <w:b/>
                <w:bCs/>
                <w:i/>
                <w:sz w:val="24"/>
                <w:szCs w:val="24"/>
                <w:vertAlign w:val="superscript"/>
              </w:rPr>
              <w:t>c</w:t>
            </w:r>
          </w:p>
          <w:p w14:paraId="019EF42D" w14:textId="77777777" w:rsidR="001C08A5" w:rsidRDefault="00000000">
            <w:pPr>
              <w:jc w:val="center"/>
              <w:rPr>
                <w:rFonts w:eastAsia="ABBvoice-Regular"/>
                <w:i/>
                <w:sz w:val="24"/>
                <w:szCs w:val="24"/>
              </w:rPr>
            </w:pPr>
            <w:r>
              <w:rPr>
                <w:rFonts w:eastAsia="ABBvoice-Regular"/>
                <w:i/>
                <w:sz w:val="24"/>
                <w:szCs w:val="24"/>
              </w:rPr>
              <w:t>V/cell</w:t>
            </w:r>
          </w:p>
        </w:tc>
        <w:tc>
          <w:tcPr>
            <w:tcW w:w="1733" w:type="dxa"/>
          </w:tcPr>
          <w:p w14:paraId="4A0A021E" w14:textId="77777777" w:rsidR="001C08A5" w:rsidRDefault="00000000">
            <w:pPr>
              <w:jc w:val="center"/>
              <w:rPr>
                <w:rFonts w:eastAsia="ABBvoice-Regular"/>
                <w:i/>
                <w:sz w:val="24"/>
                <w:szCs w:val="24"/>
              </w:rPr>
            </w:pPr>
            <w:r>
              <w:rPr>
                <w:rFonts w:eastAsia="ABBvoice-Regular"/>
                <w:i/>
                <w:sz w:val="24"/>
                <w:szCs w:val="24"/>
              </w:rPr>
              <w:t>2,23</w:t>
            </w:r>
          </w:p>
        </w:tc>
        <w:tc>
          <w:tcPr>
            <w:tcW w:w="1684" w:type="dxa"/>
          </w:tcPr>
          <w:p w14:paraId="7D001356" w14:textId="77777777" w:rsidR="001C08A5" w:rsidRDefault="00000000">
            <w:pPr>
              <w:jc w:val="center"/>
              <w:rPr>
                <w:rFonts w:eastAsia="ABBvoice-Regular"/>
                <w:i/>
                <w:sz w:val="24"/>
                <w:szCs w:val="24"/>
              </w:rPr>
            </w:pPr>
            <w:r>
              <w:rPr>
                <w:rFonts w:eastAsia="ABBvoice-Regular"/>
                <w:i/>
                <w:sz w:val="24"/>
                <w:szCs w:val="24"/>
              </w:rPr>
              <w:t>2,27</w:t>
            </w:r>
          </w:p>
        </w:tc>
        <w:tc>
          <w:tcPr>
            <w:tcW w:w="1216" w:type="dxa"/>
          </w:tcPr>
          <w:p w14:paraId="06F2B8C4" w14:textId="77777777" w:rsidR="001C08A5" w:rsidRDefault="00000000">
            <w:pPr>
              <w:jc w:val="center"/>
              <w:rPr>
                <w:rFonts w:eastAsia="ABBvoice-Regular"/>
                <w:i/>
                <w:sz w:val="24"/>
                <w:szCs w:val="24"/>
              </w:rPr>
            </w:pPr>
            <w:r>
              <w:rPr>
                <w:rFonts w:eastAsia="ABBvoice-Regular"/>
                <w:i/>
                <w:sz w:val="24"/>
                <w:szCs w:val="24"/>
              </w:rPr>
              <w:t>1,40</w:t>
            </w:r>
          </w:p>
        </w:tc>
      </w:tr>
      <w:tr w:rsidR="001C08A5" w14:paraId="2C9FDA93" w14:textId="77777777">
        <w:tc>
          <w:tcPr>
            <w:tcW w:w="5119" w:type="dxa"/>
          </w:tcPr>
          <w:p w14:paraId="2612EC0F" w14:textId="77777777" w:rsidR="001C08A5" w:rsidRDefault="00000000">
            <w:pPr>
              <w:jc w:val="center"/>
              <w:rPr>
                <w:rFonts w:eastAsia="ABBvoice-Regular"/>
                <w:i/>
                <w:sz w:val="24"/>
                <w:szCs w:val="24"/>
              </w:rPr>
            </w:pPr>
            <w:r>
              <w:rPr>
                <w:rFonts w:eastAsia="ABBvoice-Regular"/>
                <w:i/>
                <w:sz w:val="24"/>
                <w:szCs w:val="24"/>
              </w:rPr>
              <w:t>Curentul de încărcare flotantă reprezentativ</w:t>
            </w:r>
          </w:p>
          <w:p w14:paraId="3EF6B9DD" w14:textId="77777777" w:rsidR="001C08A5" w:rsidRDefault="00000000">
            <w:pPr>
              <w:jc w:val="center"/>
              <w:rPr>
                <w:rFonts w:eastAsia="ABBvoice-Regular"/>
                <w:i/>
                <w:sz w:val="24"/>
                <w:szCs w:val="24"/>
              </w:rPr>
            </w:pPr>
            <w:r>
              <w:rPr>
                <w:rFonts w:eastAsia="ABBvoice-Regular"/>
                <w:i/>
                <w:sz w:val="24"/>
                <w:szCs w:val="24"/>
              </w:rPr>
              <w:t>I</w:t>
            </w:r>
            <w:r>
              <w:rPr>
                <w:rFonts w:eastAsia="ABBvoice-Regular"/>
                <w:i/>
                <w:sz w:val="24"/>
                <w:szCs w:val="24"/>
                <w:vertAlign w:val="subscript"/>
              </w:rPr>
              <w:t>flot</w:t>
            </w:r>
          </w:p>
          <w:p w14:paraId="1A4538E4" w14:textId="77777777" w:rsidR="001C08A5" w:rsidRDefault="00000000">
            <w:pPr>
              <w:jc w:val="center"/>
              <w:rPr>
                <w:rFonts w:eastAsia="ABBvoice-Regular"/>
                <w:i/>
                <w:sz w:val="24"/>
                <w:szCs w:val="24"/>
              </w:rPr>
            </w:pPr>
            <w:r>
              <w:rPr>
                <w:rFonts w:eastAsia="ABBvoice-Regular"/>
                <w:i/>
                <w:sz w:val="24"/>
                <w:szCs w:val="24"/>
              </w:rPr>
              <w:t>mA/Ah</w:t>
            </w:r>
          </w:p>
        </w:tc>
        <w:tc>
          <w:tcPr>
            <w:tcW w:w="1733" w:type="dxa"/>
          </w:tcPr>
          <w:p w14:paraId="6CA441FE" w14:textId="77777777" w:rsidR="001C08A5" w:rsidRDefault="00000000">
            <w:pPr>
              <w:jc w:val="center"/>
              <w:rPr>
                <w:rFonts w:eastAsia="ABBvoice-Regular"/>
                <w:i/>
                <w:sz w:val="24"/>
                <w:szCs w:val="24"/>
              </w:rPr>
            </w:pPr>
            <w:r>
              <w:rPr>
                <w:rFonts w:eastAsia="ABBvoice-Regular"/>
                <w:i/>
                <w:sz w:val="24"/>
                <w:szCs w:val="24"/>
              </w:rPr>
              <w:t>1</w:t>
            </w:r>
          </w:p>
        </w:tc>
        <w:tc>
          <w:tcPr>
            <w:tcW w:w="1684" w:type="dxa"/>
          </w:tcPr>
          <w:p w14:paraId="74848BD4" w14:textId="77777777" w:rsidR="001C08A5" w:rsidRDefault="00000000">
            <w:pPr>
              <w:jc w:val="center"/>
              <w:rPr>
                <w:rFonts w:eastAsia="ABBvoice-Regular"/>
                <w:i/>
                <w:sz w:val="24"/>
                <w:szCs w:val="24"/>
              </w:rPr>
            </w:pPr>
            <w:r>
              <w:rPr>
                <w:rFonts w:eastAsia="ABBvoice-Regular"/>
                <w:i/>
                <w:sz w:val="24"/>
                <w:szCs w:val="24"/>
              </w:rPr>
              <w:t>1</w:t>
            </w:r>
          </w:p>
        </w:tc>
        <w:tc>
          <w:tcPr>
            <w:tcW w:w="1216" w:type="dxa"/>
          </w:tcPr>
          <w:p w14:paraId="1BF54D36" w14:textId="77777777" w:rsidR="001C08A5" w:rsidRDefault="00000000">
            <w:pPr>
              <w:jc w:val="center"/>
              <w:rPr>
                <w:rFonts w:eastAsia="ABBvoice-Regular"/>
                <w:i/>
                <w:sz w:val="24"/>
                <w:szCs w:val="24"/>
              </w:rPr>
            </w:pPr>
            <w:r>
              <w:rPr>
                <w:rFonts w:eastAsia="ABBvoice-Regular"/>
                <w:i/>
                <w:sz w:val="24"/>
                <w:szCs w:val="24"/>
              </w:rPr>
              <w:t>1</w:t>
            </w:r>
          </w:p>
        </w:tc>
      </w:tr>
      <w:tr w:rsidR="001C08A5" w14:paraId="6D2EA2DD" w14:textId="77777777">
        <w:tc>
          <w:tcPr>
            <w:tcW w:w="5119" w:type="dxa"/>
          </w:tcPr>
          <w:p w14:paraId="0B90F799" w14:textId="77777777" w:rsidR="001C08A5" w:rsidRDefault="00000000">
            <w:pPr>
              <w:jc w:val="center"/>
              <w:rPr>
                <w:rFonts w:eastAsia="ABBvoice-Regular"/>
                <w:i/>
                <w:sz w:val="24"/>
                <w:szCs w:val="24"/>
                <w:lang w:val="it-CH"/>
              </w:rPr>
            </w:pPr>
            <w:r>
              <w:rPr>
                <w:rFonts w:eastAsia="ABBvoice-Regular"/>
                <w:i/>
                <w:sz w:val="24"/>
                <w:szCs w:val="24"/>
                <w:lang w:val="it-CH"/>
              </w:rPr>
              <w:t>Curentul (flotant)</w:t>
            </w:r>
          </w:p>
          <w:p w14:paraId="537752EA" w14:textId="77777777" w:rsidR="001C08A5" w:rsidRDefault="00000000">
            <w:pPr>
              <w:jc w:val="center"/>
              <w:rPr>
                <w:rFonts w:eastAsia="ABBvoice-Regular"/>
                <w:i/>
                <w:sz w:val="24"/>
                <w:szCs w:val="24"/>
                <w:vertAlign w:val="subscript"/>
              </w:rPr>
            </w:pPr>
            <w:r>
              <w:rPr>
                <w:rFonts w:eastAsia="ABBvoice-Regular"/>
                <w:i/>
                <w:sz w:val="24"/>
                <w:szCs w:val="24"/>
              </w:rPr>
              <w:t>I</w:t>
            </w:r>
            <w:r>
              <w:rPr>
                <w:rFonts w:eastAsia="ABBvoice-Regular"/>
                <w:i/>
                <w:sz w:val="24"/>
                <w:szCs w:val="24"/>
                <w:vertAlign w:val="subscript"/>
              </w:rPr>
              <w:t>gas</w:t>
            </w:r>
          </w:p>
          <w:p w14:paraId="23B4CCE7" w14:textId="77777777" w:rsidR="001C08A5" w:rsidRDefault="00000000">
            <w:pPr>
              <w:jc w:val="center"/>
              <w:rPr>
                <w:rFonts w:eastAsia="ABBvoice-Regular"/>
                <w:i/>
                <w:sz w:val="24"/>
                <w:szCs w:val="24"/>
                <w:lang w:val="it-CH"/>
              </w:rPr>
            </w:pPr>
            <w:r>
              <w:rPr>
                <w:rFonts w:eastAsia="ABBvoice-Regular"/>
                <w:i/>
                <w:sz w:val="24"/>
                <w:szCs w:val="24"/>
              </w:rPr>
              <w:t>mA/Ah</w:t>
            </w:r>
          </w:p>
          <w:p w14:paraId="6A2570FD" w14:textId="77777777" w:rsidR="001C08A5" w:rsidRDefault="00000000">
            <w:pPr>
              <w:jc w:val="center"/>
              <w:rPr>
                <w:rFonts w:eastAsia="ABBvoice-Regular"/>
                <w:i/>
                <w:sz w:val="24"/>
                <w:szCs w:val="24"/>
                <w:lang w:val="it-CH"/>
              </w:rPr>
            </w:pPr>
            <w:r>
              <w:rPr>
                <w:rFonts w:eastAsia="ABBvoice-Regular"/>
                <w:i/>
                <w:sz w:val="24"/>
                <w:szCs w:val="24"/>
                <w:lang w:val="it-CH"/>
              </w:rPr>
              <w:t>(în condiții de încărcare flotantă relevante pentru calculul debitului de aer)</w:t>
            </w:r>
          </w:p>
        </w:tc>
        <w:tc>
          <w:tcPr>
            <w:tcW w:w="1733" w:type="dxa"/>
          </w:tcPr>
          <w:p w14:paraId="396C8728" w14:textId="77777777" w:rsidR="001C08A5" w:rsidRDefault="00000000">
            <w:pPr>
              <w:jc w:val="center"/>
              <w:rPr>
                <w:rFonts w:eastAsia="ABBvoice-Regular"/>
                <w:i/>
                <w:sz w:val="24"/>
                <w:szCs w:val="24"/>
              </w:rPr>
            </w:pPr>
            <w:r>
              <w:rPr>
                <w:rFonts w:eastAsia="ABBvoice-Regular"/>
                <w:i/>
                <w:sz w:val="24"/>
                <w:szCs w:val="24"/>
              </w:rPr>
              <w:t>5</w:t>
            </w:r>
          </w:p>
        </w:tc>
        <w:tc>
          <w:tcPr>
            <w:tcW w:w="1684" w:type="dxa"/>
          </w:tcPr>
          <w:p w14:paraId="1389DCEE" w14:textId="77777777" w:rsidR="001C08A5" w:rsidRDefault="00000000">
            <w:pPr>
              <w:jc w:val="center"/>
              <w:rPr>
                <w:rFonts w:eastAsia="ABBvoice-Regular"/>
                <w:i/>
                <w:sz w:val="24"/>
                <w:szCs w:val="24"/>
              </w:rPr>
            </w:pPr>
            <w:r>
              <w:rPr>
                <w:rFonts w:eastAsia="ABBvoice-Regular"/>
                <w:i/>
                <w:sz w:val="24"/>
                <w:szCs w:val="24"/>
              </w:rPr>
              <w:t>1</w:t>
            </w:r>
          </w:p>
        </w:tc>
        <w:tc>
          <w:tcPr>
            <w:tcW w:w="1216" w:type="dxa"/>
          </w:tcPr>
          <w:p w14:paraId="2AED504F" w14:textId="77777777" w:rsidR="001C08A5" w:rsidRDefault="00000000">
            <w:pPr>
              <w:jc w:val="center"/>
              <w:rPr>
                <w:rFonts w:eastAsia="ABBvoice-Regular"/>
                <w:i/>
                <w:sz w:val="24"/>
                <w:szCs w:val="24"/>
              </w:rPr>
            </w:pPr>
            <w:r>
              <w:rPr>
                <w:rFonts w:eastAsia="ABBvoice-Regular"/>
                <w:i/>
                <w:sz w:val="24"/>
                <w:szCs w:val="24"/>
              </w:rPr>
              <w:t>5</w:t>
            </w:r>
          </w:p>
        </w:tc>
      </w:tr>
      <w:tr w:rsidR="001C08A5" w14:paraId="0FBD96FE" w14:textId="77777777">
        <w:tc>
          <w:tcPr>
            <w:tcW w:w="5119" w:type="dxa"/>
          </w:tcPr>
          <w:p w14:paraId="312AF305" w14:textId="77777777" w:rsidR="001C08A5" w:rsidRDefault="00000000">
            <w:pPr>
              <w:jc w:val="center"/>
              <w:rPr>
                <w:rFonts w:eastAsia="ABBvoice-Regular"/>
                <w:i/>
                <w:sz w:val="24"/>
                <w:szCs w:val="24"/>
              </w:rPr>
            </w:pPr>
            <w:r>
              <w:rPr>
                <w:rFonts w:eastAsia="ABBvoice-Regular"/>
                <w:i/>
                <w:sz w:val="24"/>
                <w:szCs w:val="24"/>
              </w:rPr>
              <w:t>Tensiunea de încărcare de amplificare</w:t>
            </w:r>
          </w:p>
          <w:p w14:paraId="57B9CEAC" w14:textId="77777777" w:rsidR="001C08A5" w:rsidRDefault="00000000">
            <w:pPr>
              <w:jc w:val="center"/>
              <w:rPr>
                <w:rFonts w:eastAsia="ABBvoice-Regular"/>
                <w:b/>
                <w:bCs/>
                <w:i/>
                <w:sz w:val="24"/>
                <w:szCs w:val="24"/>
                <w:vertAlign w:val="superscript"/>
              </w:rPr>
            </w:pPr>
            <w:r>
              <w:rPr>
                <w:rFonts w:eastAsia="ABBvoice-Regular"/>
                <w:i/>
                <w:sz w:val="24"/>
                <w:szCs w:val="24"/>
              </w:rPr>
              <w:t>U</w:t>
            </w:r>
            <w:r>
              <w:rPr>
                <w:rFonts w:eastAsia="ABBvoice-Regular"/>
                <w:i/>
                <w:sz w:val="24"/>
                <w:szCs w:val="24"/>
                <w:vertAlign w:val="subscript"/>
              </w:rPr>
              <w:t>ampl</w:t>
            </w:r>
            <w:r>
              <w:rPr>
                <w:rFonts w:eastAsia="ABBvoice-Regular"/>
                <w:b/>
                <w:bCs/>
                <w:i/>
                <w:sz w:val="24"/>
                <w:szCs w:val="24"/>
                <w:vertAlign w:val="superscript"/>
              </w:rPr>
              <w:t>c</w:t>
            </w:r>
          </w:p>
          <w:p w14:paraId="0E3A7DBF" w14:textId="77777777" w:rsidR="001C08A5" w:rsidRDefault="00000000">
            <w:pPr>
              <w:jc w:val="center"/>
              <w:rPr>
                <w:rFonts w:eastAsia="ABBvoice-Regular"/>
                <w:i/>
                <w:sz w:val="24"/>
                <w:szCs w:val="24"/>
              </w:rPr>
            </w:pPr>
            <w:r>
              <w:rPr>
                <w:rFonts w:eastAsia="ABBvoice-Regular"/>
                <w:i/>
                <w:sz w:val="24"/>
                <w:szCs w:val="24"/>
              </w:rPr>
              <w:lastRenderedPageBreak/>
              <w:t>V/cell</w:t>
            </w:r>
          </w:p>
        </w:tc>
        <w:tc>
          <w:tcPr>
            <w:tcW w:w="1733" w:type="dxa"/>
          </w:tcPr>
          <w:p w14:paraId="74F6B305" w14:textId="77777777" w:rsidR="001C08A5" w:rsidRDefault="00000000">
            <w:pPr>
              <w:jc w:val="center"/>
              <w:rPr>
                <w:rFonts w:eastAsia="ABBvoice-Regular"/>
                <w:i/>
                <w:sz w:val="24"/>
                <w:szCs w:val="24"/>
              </w:rPr>
            </w:pPr>
            <w:r>
              <w:rPr>
                <w:rFonts w:eastAsia="ABBvoice-Regular"/>
                <w:i/>
                <w:sz w:val="24"/>
                <w:szCs w:val="24"/>
              </w:rPr>
              <w:lastRenderedPageBreak/>
              <w:t>2,40</w:t>
            </w:r>
          </w:p>
        </w:tc>
        <w:tc>
          <w:tcPr>
            <w:tcW w:w="1684" w:type="dxa"/>
          </w:tcPr>
          <w:p w14:paraId="373EAE38" w14:textId="77777777" w:rsidR="001C08A5" w:rsidRDefault="00000000">
            <w:pPr>
              <w:jc w:val="center"/>
              <w:rPr>
                <w:rFonts w:eastAsia="ABBvoice-Regular"/>
                <w:i/>
                <w:sz w:val="24"/>
                <w:szCs w:val="24"/>
              </w:rPr>
            </w:pPr>
            <w:r>
              <w:rPr>
                <w:rFonts w:eastAsia="ABBvoice-Regular"/>
                <w:i/>
                <w:sz w:val="24"/>
                <w:szCs w:val="24"/>
              </w:rPr>
              <w:t>2,40</w:t>
            </w:r>
          </w:p>
        </w:tc>
        <w:tc>
          <w:tcPr>
            <w:tcW w:w="1216" w:type="dxa"/>
          </w:tcPr>
          <w:p w14:paraId="7AAE674B" w14:textId="77777777" w:rsidR="001C08A5" w:rsidRDefault="00000000">
            <w:pPr>
              <w:jc w:val="center"/>
              <w:rPr>
                <w:rFonts w:eastAsia="ABBvoice-Regular"/>
                <w:i/>
                <w:sz w:val="24"/>
                <w:szCs w:val="24"/>
              </w:rPr>
            </w:pPr>
            <w:r>
              <w:rPr>
                <w:rFonts w:eastAsia="ABBvoice-Regular"/>
                <w:i/>
                <w:sz w:val="24"/>
                <w:szCs w:val="24"/>
              </w:rPr>
              <w:t>1,55</w:t>
            </w:r>
          </w:p>
        </w:tc>
      </w:tr>
      <w:tr w:rsidR="001C08A5" w14:paraId="022147CF" w14:textId="77777777">
        <w:tc>
          <w:tcPr>
            <w:tcW w:w="5119" w:type="dxa"/>
          </w:tcPr>
          <w:p w14:paraId="775653BB" w14:textId="77777777" w:rsidR="001C08A5" w:rsidRDefault="00000000">
            <w:pPr>
              <w:jc w:val="center"/>
              <w:rPr>
                <w:rFonts w:eastAsia="ABBvoice-Regular"/>
                <w:i/>
                <w:sz w:val="24"/>
                <w:szCs w:val="24"/>
              </w:rPr>
            </w:pPr>
            <w:r>
              <w:rPr>
                <w:rFonts w:eastAsia="ABBvoice-Regular"/>
                <w:i/>
                <w:sz w:val="24"/>
                <w:szCs w:val="24"/>
              </w:rPr>
              <w:t>Curentul de încărcare de amplificare reprezentativ</w:t>
            </w:r>
          </w:p>
          <w:p w14:paraId="45D71562" w14:textId="77777777" w:rsidR="001C08A5" w:rsidRDefault="00000000">
            <w:pPr>
              <w:jc w:val="center"/>
              <w:rPr>
                <w:rFonts w:eastAsia="ABBvoice-Regular"/>
                <w:i/>
                <w:sz w:val="24"/>
                <w:szCs w:val="24"/>
              </w:rPr>
            </w:pPr>
            <w:r>
              <w:rPr>
                <w:rFonts w:eastAsia="ABBvoice-Regular"/>
                <w:i/>
                <w:sz w:val="24"/>
                <w:szCs w:val="24"/>
              </w:rPr>
              <w:t>I</w:t>
            </w:r>
            <w:r>
              <w:rPr>
                <w:rFonts w:eastAsia="ABBvoice-Regular"/>
                <w:i/>
                <w:sz w:val="24"/>
                <w:szCs w:val="24"/>
                <w:vertAlign w:val="subscript"/>
              </w:rPr>
              <w:t>ampl</w:t>
            </w:r>
          </w:p>
          <w:p w14:paraId="675C3288" w14:textId="77777777" w:rsidR="001C08A5" w:rsidRDefault="00000000">
            <w:pPr>
              <w:jc w:val="center"/>
              <w:rPr>
                <w:rFonts w:eastAsia="ABBvoice-Regular"/>
                <w:i/>
                <w:sz w:val="24"/>
                <w:szCs w:val="24"/>
              </w:rPr>
            </w:pPr>
            <w:r>
              <w:rPr>
                <w:rFonts w:eastAsia="ABBvoice-Regular"/>
                <w:i/>
                <w:sz w:val="24"/>
                <w:szCs w:val="24"/>
              </w:rPr>
              <w:t>mA/Ah</w:t>
            </w:r>
          </w:p>
        </w:tc>
        <w:tc>
          <w:tcPr>
            <w:tcW w:w="1733" w:type="dxa"/>
          </w:tcPr>
          <w:p w14:paraId="570B74C1" w14:textId="77777777" w:rsidR="001C08A5" w:rsidRDefault="00000000">
            <w:pPr>
              <w:jc w:val="center"/>
              <w:rPr>
                <w:rFonts w:eastAsia="ABBvoice-Regular"/>
                <w:i/>
                <w:sz w:val="24"/>
                <w:szCs w:val="24"/>
              </w:rPr>
            </w:pPr>
            <w:r>
              <w:rPr>
                <w:rFonts w:eastAsia="ABBvoice-Regular"/>
                <w:i/>
                <w:sz w:val="24"/>
                <w:szCs w:val="24"/>
              </w:rPr>
              <w:t>4</w:t>
            </w:r>
          </w:p>
        </w:tc>
        <w:tc>
          <w:tcPr>
            <w:tcW w:w="1684" w:type="dxa"/>
          </w:tcPr>
          <w:p w14:paraId="6D8AF8C9" w14:textId="77777777" w:rsidR="001C08A5" w:rsidRDefault="00000000">
            <w:pPr>
              <w:jc w:val="center"/>
              <w:rPr>
                <w:rFonts w:eastAsia="ABBvoice-Regular"/>
                <w:i/>
                <w:sz w:val="24"/>
                <w:szCs w:val="24"/>
              </w:rPr>
            </w:pPr>
            <w:r>
              <w:rPr>
                <w:rFonts w:eastAsia="ABBvoice-Regular"/>
                <w:i/>
                <w:sz w:val="24"/>
                <w:szCs w:val="24"/>
              </w:rPr>
              <w:t>8</w:t>
            </w:r>
          </w:p>
        </w:tc>
        <w:tc>
          <w:tcPr>
            <w:tcW w:w="1216" w:type="dxa"/>
          </w:tcPr>
          <w:p w14:paraId="07772DB6" w14:textId="77777777" w:rsidR="001C08A5" w:rsidRDefault="00000000">
            <w:pPr>
              <w:jc w:val="center"/>
              <w:rPr>
                <w:rFonts w:eastAsia="ABBvoice-Regular"/>
                <w:i/>
                <w:sz w:val="24"/>
                <w:szCs w:val="24"/>
              </w:rPr>
            </w:pPr>
            <w:r>
              <w:rPr>
                <w:rFonts w:eastAsia="ABBvoice-Regular"/>
                <w:i/>
                <w:sz w:val="24"/>
                <w:szCs w:val="24"/>
              </w:rPr>
              <w:t>10</w:t>
            </w:r>
          </w:p>
        </w:tc>
      </w:tr>
      <w:tr w:rsidR="001C08A5" w14:paraId="0E2F594D" w14:textId="77777777">
        <w:tc>
          <w:tcPr>
            <w:tcW w:w="5119" w:type="dxa"/>
          </w:tcPr>
          <w:p w14:paraId="51CC7583" w14:textId="77777777" w:rsidR="001C08A5" w:rsidRDefault="00000000">
            <w:pPr>
              <w:jc w:val="center"/>
              <w:rPr>
                <w:rFonts w:eastAsia="ABBvoice-Regular"/>
                <w:i/>
                <w:sz w:val="24"/>
                <w:szCs w:val="24"/>
                <w:lang w:val="it-CH"/>
              </w:rPr>
            </w:pPr>
            <w:r>
              <w:rPr>
                <w:rFonts w:eastAsia="ABBvoice-Regular"/>
                <w:i/>
                <w:sz w:val="24"/>
                <w:szCs w:val="24"/>
                <w:lang w:val="it-CH"/>
              </w:rPr>
              <w:t>Curentul (de amplificare)</w:t>
            </w:r>
          </w:p>
          <w:p w14:paraId="2BC50DF7" w14:textId="77777777" w:rsidR="001C08A5" w:rsidRDefault="00000000">
            <w:pPr>
              <w:jc w:val="center"/>
              <w:rPr>
                <w:rFonts w:eastAsia="ABBvoice-Regular"/>
                <w:i/>
                <w:sz w:val="24"/>
                <w:szCs w:val="24"/>
                <w:vertAlign w:val="subscript"/>
              </w:rPr>
            </w:pPr>
            <w:r>
              <w:rPr>
                <w:rFonts w:eastAsia="ABBvoice-Regular"/>
                <w:i/>
                <w:sz w:val="24"/>
                <w:szCs w:val="24"/>
              </w:rPr>
              <w:t>I</w:t>
            </w:r>
            <w:r>
              <w:rPr>
                <w:rFonts w:eastAsia="ABBvoice-Regular"/>
                <w:i/>
                <w:sz w:val="24"/>
                <w:szCs w:val="24"/>
                <w:vertAlign w:val="subscript"/>
              </w:rPr>
              <w:t>gas</w:t>
            </w:r>
          </w:p>
          <w:p w14:paraId="41B59260" w14:textId="77777777" w:rsidR="001C08A5" w:rsidRDefault="00000000">
            <w:pPr>
              <w:jc w:val="center"/>
              <w:rPr>
                <w:rFonts w:eastAsia="ABBvoice-Regular"/>
                <w:i/>
                <w:sz w:val="24"/>
                <w:szCs w:val="24"/>
                <w:lang w:val="it-CH"/>
              </w:rPr>
            </w:pPr>
            <w:r>
              <w:rPr>
                <w:rFonts w:eastAsia="ABBvoice-Regular"/>
                <w:i/>
                <w:sz w:val="24"/>
                <w:szCs w:val="24"/>
              </w:rPr>
              <w:t>mA/Ah</w:t>
            </w:r>
          </w:p>
          <w:p w14:paraId="6DBD37F3" w14:textId="77777777" w:rsidR="001C08A5" w:rsidRDefault="00000000">
            <w:pPr>
              <w:rPr>
                <w:rFonts w:eastAsia="ABBvoice-Regular"/>
                <w:i/>
                <w:sz w:val="24"/>
                <w:szCs w:val="24"/>
              </w:rPr>
            </w:pPr>
            <w:r>
              <w:rPr>
                <w:rFonts w:eastAsia="ABBvoice-Regular"/>
                <w:i/>
                <w:sz w:val="24"/>
                <w:szCs w:val="24"/>
                <w:lang w:val="it-CH"/>
              </w:rPr>
              <w:t>(în condiții de încărcare flotantă relevante pentru calculul debitului de aer)</w:t>
            </w:r>
          </w:p>
        </w:tc>
        <w:tc>
          <w:tcPr>
            <w:tcW w:w="1733" w:type="dxa"/>
          </w:tcPr>
          <w:p w14:paraId="0F1865A2" w14:textId="77777777" w:rsidR="001C08A5" w:rsidRDefault="00000000">
            <w:pPr>
              <w:jc w:val="center"/>
              <w:rPr>
                <w:rFonts w:eastAsia="ABBvoice-Regular"/>
                <w:i/>
                <w:sz w:val="24"/>
                <w:szCs w:val="24"/>
              </w:rPr>
            </w:pPr>
            <w:r>
              <w:rPr>
                <w:rFonts w:eastAsia="ABBvoice-Regular"/>
                <w:i/>
                <w:sz w:val="24"/>
                <w:szCs w:val="24"/>
              </w:rPr>
              <w:t>20</w:t>
            </w:r>
          </w:p>
        </w:tc>
        <w:tc>
          <w:tcPr>
            <w:tcW w:w="1684" w:type="dxa"/>
          </w:tcPr>
          <w:p w14:paraId="35FFB12C" w14:textId="77777777" w:rsidR="001C08A5" w:rsidRDefault="00000000">
            <w:pPr>
              <w:jc w:val="center"/>
              <w:rPr>
                <w:rFonts w:eastAsia="ABBvoice-Regular"/>
                <w:i/>
                <w:sz w:val="24"/>
                <w:szCs w:val="24"/>
              </w:rPr>
            </w:pPr>
            <w:r>
              <w:rPr>
                <w:rFonts w:eastAsia="ABBvoice-Regular"/>
                <w:i/>
                <w:sz w:val="24"/>
                <w:szCs w:val="24"/>
              </w:rPr>
              <w:t>8</w:t>
            </w:r>
          </w:p>
        </w:tc>
        <w:tc>
          <w:tcPr>
            <w:tcW w:w="1216" w:type="dxa"/>
          </w:tcPr>
          <w:p w14:paraId="2D3CBD1A" w14:textId="77777777" w:rsidR="001C08A5" w:rsidRDefault="00000000">
            <w:pPr>
              <w:jc w:val="center"/>
              <w:rPr>
                <w:rFonts w:eastAsia="ABBvoice-Regular"/>
                <w:i/>
                <w:sz w:val="24"/>
                <w:szCs w:val="24"/>
              </w:rPr>
            </w:pPr>
            <w:r>
              <w:rPr>
                <w:rFonts w:eastAsia="ABBvoice-Regular"/>
                <w:i/>
                <w:sz w:val="24"/>
                <w:szCs w:val="24"/>
              </w:rPr>
              <w:t>50</w:t>
            </w:r>
          </w:p>
        </w:tc>
      </w:tr>
      <w:tr w:rsidR="001C08A5" w14:paraId="1FF58F80" w14:textId="77777777">
        <w:tc>
          <w:tcPr>
            <w:tcW w:w="9752" w:type="dxa"/>
            <w:gridSpan w:val="4"/>
          </w:tcPr>
          <w:p w14:paraId="4981A40E" w14:textId="77777777" w:rsidR="001C08A5" w:rsidRDefault="00000000">
            <w:pPr>
              <w:rPr>
                <w:rFonts w:eastAsia="ABBvoice-Regular"/>
                <w:i/>
                <w:sz w:val="24"/>
                <w:szCs w:val="24"/>
              </w:rPr>
            </w:pPr>
            <w:r>
              <w:rPr>
                <w:rFonts w:eastAsia="ABBvoice-Regular"/>
                <w:i/>
                <w:sz w:val="24"/>
                <w:szCs w:val="24"/>
              </w:rPr>
              <w:t>Pentru un conținut de stibiu (Sb) mai mare de 3%, valoarea curentului utilizat pentru calcule trebuie să fie dublată.</w:t>
            </w:r>
          </w:p>
          <w:p w14:paraId="0D7F9910" w14:textId="77777777" w:rsidR="001C08A5" w:rsidRDefault="00000000">
            <w:pPr>
              <w:rPr>
                <w:rFonts w:eastAsia="ABBvoice-Regular"/>
                <w:i/>
                <w:sz w:val="24"/>
                <w:szCs w:val="24"/>
              </w:rPr>
            </w:pPr>
            <w:r>
              <w:rPr>
                <w:rFonts w:eastAsia="ABBvoice-Regular"/>
                <w:i/>
                <w:sz w:val="24"/>
                <w:szCs w:val="24"/>
              </w:rPr>
              <w:t>Pentru celulele de recombinare tip NiCd și NiMH, consultați producătorul.</w:t>
            </w:r>
          </w:p>
          <w:p w14:paraId="731FA478" w14:textId="77777777" w:rsidR="001C08A5" w:rsidRDefault="00000000">
            <w:pPr>
              <w:rPr>
                <w:rFonts w:eastAsia="ABBvoice-Regular"/>
                <w:i/>
                <w:sz w:val="24"/>
                <w:szCs w:val="24"/>
              </w:rPr>
            </w:pPr>
            <w:r>
              <w:rPr>
                <w:rFonts w:eastAsia="ABBvoice-Regular"/>
                <w:i/>
                <w:sz w:val="24"/>
                <w:szCs w:val="24"/>
              </w:rPr>
              <w:t>Tensiunile de încărcare flotantă și de amplificare pot varia în funcție de greutatea specifică a electrolitului din celulele din plumb cu acid.</w:t>
            </w:r>
          </w:p>
        </w:tc>
      </w:tr>
    </w:tbl>
    <w:p w14:paraId="2A8ED760" w14:textId="77777777" w:rsidR="001C08A5" w:rsidRDefault="00000000">
      <w:pPr>
        <w:ind w:firstLine="720"/>
        <w:jc w:val="both"/>
        <w:rPr>
          <w:rFonts w:eastAsia="ABBvoice-Regular"/>
          <w:i/>
          <w:sz w:val="22"/>
          <w:szCs w:val="22"/>
        </w:rPr>
      </w:pPr>
      <w:r>
        <w:rPr>
          <w:rFonts w:eastAsia="ABBvoice-Regular"/>
          <w:i/>
          <w:sz w:val="22"/>
          <w:szCs w:val="22"/>
        </w:rPr>
        <w:t xml:space="preserve">NOTA 1: Valorile curentului de încărcare flotantă și de amplificare cresc o dată cu temperatura. Consecințele unor creșteri în temperatură, până la maximum 40 °C, au fost considerate în calculul valorilor din </w:t>
      </w:r>
      <w:r>
        <w:rPr>
          <w:rFonts w:eastAsia="ABBvoice-Regular"/>
          <w:b/>
          <w:bCs/>
          <w:i/>
          <w:iCs/>
          <w:sz w:val="22"/>
          <w:szCs w:val="22"/>
        </w:rPr>
        <w:fldChar w:fldCharType="begin"/>
      </w:r>
      <w:r>
        <w:rPr>
          <w:rFonts w:eastAsia="ABBvoice-Regular"/>
          <w:b/>
          <w:bCs/>
          <w:i/>
          <w:iCs/>
          <w:sz w:val="22"/>
          <w:szCs w:val="22"/>
        </w:rPr>
        <w:instrText xml:space="preserve"> REF _Ref3956 \h </w:instrText>
      </w:r>
      <w:r>
        <w:rPr>
          <w:rFonts w:eastAsia="ABBvoice-Regular"/>
          <w:b/>
          <w:bCs/>
          <w:i/>
          <w:iCs/>
          <w:sz w:val="22"/>
          <w:szCs w:val="22"/>
        </w:rPr>
      </w:r>
      <w:r>
        <w:rPr>
          <w:rFonts w:eastAsia="ABBvoice-Regular"/>
          <w:b/>
          <w:bCs/>
          <w:i/>
          <w:iCs/>
          <w:sz w:val="22"/>
          <w:szCs w:val="22"/>
        </w:rPr>
        <w:fldChar w:fldCharType="separate"/>
      </w:r>
      <w:r>
        <w:t>Tabelul 127</w:t>
      </w:r>
      <w:r>
        <w:rPr>
          <w:rFonts w:eastAsia="ABBvoice-Regular"/>
          <w:b/>
          <w:bCs/>
          <w:i/>
          <w:iCs/>
          <w:sz w:val="22"/>
          <w:szCs w:val="22"/>
        </w:rPr>
        <w:fldChar w:fldCharType="end"/>
      </w:r>
      <w:r>
        <w:rPr>
          <w:rFonts w:eastAsia="ABBvoice-Regular"/>
          <w:i/>
          <w:sz w:val="22"/>
          <w:szCs w:val="22"/>
        </w:rPr>
        <w:t xml:space="preserve"> (echivalent cu tabel 1 din </w:t>
      </w:r>
      <w:r>
        <w:rPr>
          <w:rFonts w:eastAsia="ABBvoice-Regular"/>
          <w:b/>
          <w:bCs/>
          <w:i/>
          <w:sz w:val="22"/>
          <w:szCs w:val="22"/>
        </w:rPr>
        <w:t xml:space="preserve">SR EN </w:t>
      </w:r>
      <w:r>
        <w:rPr>
          <w:rFonts w:eastAsia="TimesNewRomanPSMT-Identity-H"/>
          <w:b/>
          <w:bCs/>
          <w:i/>
          <w:sz w:val="22"/>
          <w:szCs w:val="22"/>
        </w:rPr>
        <w:t>IEC 62485-2</w:t>
      </w:r>
      <w:r>
        <w:rPr>
          <w:rFonts w:eastAsia="TimesNewRomanPSMT-Identity-H"/>
          <w:i/>
          <w:sz w:val="22"/>
          <w:szCs w:val="22"/>
        </w:rPr>
        <w:t>)</w:t>
      </w:r>
      <w:r>
        <w:rPr>
          <w:rFonts w:eastAsia="ABBvoice-Regular"/>
          <w:i/>
          <w:sz w:val="22"/>
          <w:szCs w:val="22"/>
        </w:rPr>
        <w:t>.</w:t>
      </w:r>
    </w:p>
    <w:p w14:paraId="44E9485B" w14:textId="77777777" w:rsidR="001C08A5" w:rsidRDefault="00000000">
      <w:pPr>
        <w:ind w:firstLine="720"/>
        <w:jc w:val="both"/>
        <w:rPr>
          <w:rFonts w:eastAsia="ABBvoice-Regular"/>
          <w:i/>
          <w:sz w:val="22"/>
          <w:szCs w:val="22"/>
        </w:rPr>
      </w:pPr>
      <w:r>
        <w:rPr>
          <w:rFonts w:eastAsia="ABBvoice-Regular"/>
          <w:i/>
          <w:sz w:val="22"/>
          <w:szCs w:val="22"/>
        </w:rPr>
        <w:t>NOTA 2: În cazul în care se utilizează dopuri de aerisire pentru recombinarea gazului, valoarea curentului de producere a gazului I</w:t>
      </w:r>
      <w:r>
        <w:rPr>
          <w:rFonts w:eastAsia="ABBvoice-Regular"/>
          <w:i/>
          <w:sz w:val="22"/>
          <w:szCs w:val="22"/>
          <w:vertAlign w:val="subscript"/>
        </w:rPr>
        <w:t>gas</w:t>
      </w:r>
      <w:r>
        <w:rPr>
          <w:rFonts w:eastAsia="ABBvoice-Regular"/>
          <w:i/>
          <w:sz w:val="22"/>
          <w:szCs w:val="22"/>
        </w:rPr>
        <w:t xml:space="preserve"> poate fi redus la 50% din valorile pentru celulele ventilate.</w:t>
      </w:r>
    </w:p>
    <w:p w14:paraId="448993AA" w14:textId="77777777" w:rsidR="001C08A5" w:rsidRDefault="00000000">
      <w:pPr>
        <w:ind w:firstLine="720"/>
        <w:jc w:val="both"/>
        <w:rPr>
          <w:rFonts w:eastAsia="ABBvoice-Regular"/>
          <w:i/>
          <w:sz w:val="22"/>
          <w:szCs w:val="22"/>
        </w:rPr>
      </w:pPr>
      <w:r>
        <w:rPr>
          <w:rFonts w:eastAsia="ABBvoice-Regular"/>
          <w:i/>
          <w:sz w:val="22"/>
          <w:szCs w:val="22"/>
        </w:rPr>
        <w:t>NOTA 3: Cerințele privind volumul de aer de ventilare, de exemplu, pentru două șiruri de 48V de celule VRLA din același spațiu în care se află bateria sau în același dulap pentru baterii și fiecare cu o capacitate nominală de 120 Ah C10, în condiții de service de încărcare flotantă sau de amplificare</w:t>
      </w:r>
    </w:p>
    <w:p w14:paraId="6CF2BAF8" w14:textId="77777777" w:rsidR="001C08A5" w:rsidRDefault="001C08A5">
      <w:pPr>
        <w:ind w:firstLine="720"/>
        <w:jc w:val="both"/>
        <w:rPr>
          <w:rFonts w:eastAsia="ABBvoice-Regular"/>
          <w:i/>
          <w:sz w:val="22"/>
          <w:szCs w:val="22"/>
        </w:rPr>
      </w:pPr>
    </w:p>
    <w:p w14:paraId="36FBB09C" w14:textId="77777777" w:rsidR="001C08A5" w:rsidRDefault="00000000">
      <w:pPr>
        <w:jc w:val="both"/>
        <w:rPr>
          <w:rFonts w:eastAsia="NotoSans-Regular"/>
          <w:i/>
          <w:sz w:val="22"/>
          <w:szCs w:val="22"/>
        </w:rPr>
      </w:pPr>
      <w:r>
        <w:rPr>
          <w:rFonts w:eastAsia="NotoSans-Regular"/>
          <w:i/>
          <w:sz w:val="22"/>
          <w:szCs w:val="22"/>
        </w:rPr>
        <w:t>Doar cu condiție de încărcare flotantă Q=0,05×24×1×120×0,001= 0,144 m/h per șir sau 288 l/h total</w:t>
      </w:r>
    </w:p>
    <w:p w14:paraId="70B31587" w14:textId="77777777" w:rsidR="001C08A5" w:rsidRDefault="00000000">
      <w:pPr>
        <w:jc w:val="both"/>
        <w:rPr>
          <w:rFonts w:eastAsia="NotoSans-Regular"/>
          <w:i/>
          <w:sz w:val="22"/>
          <w:szCs w:val="22"/>
        </w:rPr>
      </w:pPr>
      <w:r>
        <w:rPr>
          <w:rFonts w:eastAsia="NotoSans-Regular"/>
          <w:i/>
          <w:sz w:val="22"/>
          <w:szCs w:val="22"/>
        </w:rPr>
        <w:t>Cu condiție de încărcare de amplificare Q=0,05×24×8×120×0,001 = 1,15 m3/h per șir sau 2 300 l/h total</w:t>
      </w:r>
    </w:p>
    <w:p w14:paraId="214DD97A" w14:textId="77777777" w:rsidR="001C08A5" w:rsidRDefault="001C08A5">
      <w:pPr>
        <w:ind w:firstLine="720"/>
        <w:jc w:val="both"/>
        <w:rPr>
          <w:rFonts w:eastAsia="ABBvoice-Regular"/>
          <w:i/>
          <w:sz w:val="24"/>
          <w:szCs w:val="24"/>
        </w:rPr>
      </w:pPr>
    </w:p>
    <w:p w14:paraId="429CD37E" w14:textId="77777777" w:rsidR="001C08A5" w:rsidRDefault="00000000">
      <w:pPr>
        <w:ind w:firstLine="720"/>
        <w:jc w:val="both"/>
        <w:rPr>
          <w:rFonts w:eastAsia="TimesNewRomanPSMT-Identity-H"/>
          <w:b/>
          <w:bCs/>
          <w:i/>
          <w:sz w:val="24"/>
          <w:szCs w:val="24"/>
          <w:u w:val="single"/>
        </w:rPr>
      </w:pPr>
      <w:r>
        <w:rPr>
          <w:rFonts w:eastAsia="NotoSans-Bold"/>
          <w:b/>
          <w:i/>
          <w:sz w:val="24"/>
          <w:szCs w:val="24"/>
        </w:rPr>
        <w:t xml:space="preserve">7.3 </w:t>
      </w:r>
      <w:r>
        <w:rPr>
          <w:rFonts w:eastAsia="TimesNewRomanPSMT-Identity-H"/>
          <w:b/>
          <w:bCs/>
          <w:i/>
          <w:sz w:val="24"/>
          <w:szCs w:val="24"/>
          <w:u w:val="single"/>
        </w:rPr>
        <w:t>Ventilare naturală</w:t>
      </w:r>
    </w:p>
    <w:p w14:paraId="156A6F21" w14:textId="77777777" w:rsidR="001C08A5" w:rsidRDefault="00000000">
      <w:pPr>
        <w:ind w:firstLine="720"/>
        <w:jc w:val="both"/>
        <w:rPr>
          <w:rFonts w:eastAsia="ABBvoice-Regular"/>
          <w:i/>
          <w:sz w:val="24"/>
          <w:szCs w:val="24"/>
        </w:rPr>
      </w:pPr>
      <w:r>
        <w:rPr>
          <w:rFonts w:eastAsia="ABBvoice-Regular"/>
          <w:i/>
          <w:sz w:val="24"/>
          <w:szCs w:val="24"/>
        </w:rPr>
        <w:t xml:space="preserve">Este preferabil ca necesarul de ventilare să fie asigurat prin ventilare naturală. În cazul în care ventilarea naturală nu este posibilă, se va implementa ventilarea forțată (artificială, mecanică). </w:t>
      </w:r>
    </w:p>
    <w:p w14:paraId="2F35FD1C" w14:textId="77777777" w:rsidR="001C08A5" w:rsidRDefault="00000000">
      <w:pPr>
        <w:ind w:firstLine="720"/>
        <w:jc w:val="both"/>
        <w:rPr>
          <w:rFonts w:eastAsia="ABBvoice-Regular"/>
          <w:i/>
          <w:sz w:val="24"/>
          <w:szCs w:val="24"/>
        </w:rPr>
      </w:pPr>
      <w:r>
        <w:rPr>
          <w:rFonts w:eastAsia="ABBvoice-Regular"/>
          <w:i/>
          <w:sz w:val="24"/>
          <w:szCs w:val="24"/>
        </w:rPr>
        <w:t>Încăperile sau incintele în care sunt amplasate baterii necesită, în condiții de ventilare naturală, o admisie și o evacuare a aerului cu suprafețe libere minime de deschidere calculate după următoarea formulă:</w:t>
      </w:r>
    </w:p>
    <w:p w14:paraId="453BF6E2" w14:textId="77777777" w:rsidR="001C08A5" w:rsidRDefault="00000000">
      <w:pPr>
        <w:jc w:val="center"/>
        <w:rPr>
          <w:rFonts w:eastAsia="NotoSans-Regular"/>
          <w:i/>
          <w:sz w:val="24"/>
          <w:szCs w:val="24"/>
        </w:rPr>
      </w:pPr>
      <w:r>
        <w:rPr>
          <w:rFonts w:eastAsia="NotoSans-Regular"/>
          <w:i/>
          <w:sz w:val="24"/>
          <w:szCs w:val="24"/>
        </w:rPr>
        <w:t>A = 28×Q</w:t>
      </w:r>
    </w:p>
    <w:p w14:paraId="287B2288" w14:textId="77777777" w:rsidR="001C08A5" w:rsidRDefault="00000000">
      <w:pPr>
        <w:jc w:val="both"/>
        <w:rPr>
          <w:rFonts w:eastAsia="NotoSans-Regular"/>
          <w:i/>
          <w:sz w:val="24"/>
          <w:szCs w:val="24"/>
        </w:rPr>
      </w:pPr>
      <w:r>
        <w:rPr>
          <w:rFonts w:eastAsia="NotoSans-Regular"/>
          <w:i/>
          <w:sz w:val="24"/>
          <w:szCs w:val="24"/>
        </w:rPr>
        <w:t>Unde</w:t>
      </w:r>
    </w:p>
    <w:p w14:paraId="16E87A80" w14:textId="77777777" w:rsidR="001C08A5" w:rsidRDefault="00000000">
      <w:pPr>
        <w:jc w:val="both"/>
        <w:rPr>
          <w:rFonts w:eastAsia="NotoSans-Regular"/>
          <w:i/>
          <w:sz w:val="24"/>
          <w:szCs w:val="24"/>
        </w:rPr>
      </w:pPr>
      <w:r>
        <w:rPr>
          <w:rFonts w:eastAsia="NotoSans-Regular"/>
          <w:i/>
          <w:sz w:val="24"/>
          <w:szCs w:val="24"/>
        </w:rPr>
        <w:t>Q - este debitul aerului proaspăt de ventilare (m</w:t>
      </w:r>
      <w:r>
        <w:rPr>
          <w:rFonts w:eastAsia="NotoSans-Regular"/>
          <w:i/>
          <w:sz w:val="24"/>
          <w:szCs w:val="24"/>
          <w:vertAlign w:val="superscript"/>
        </w:rPr>
        <w:t>3</w:t>
      </w:r>
      <w:r>
        <w:rPr>
          <w:rFonts w:eastAsia="NotoSans-Regular"/>
          <w:i/>
          <w:sz w:val="24"/>
          <w:szCs w:val="24"/>
        </w:rPr>
        <w:t>/h);</w:t>
      </w:r>
    </w:p>
    <w:p w14:paraId="6FB031BA" w14:textId="77777777" w:rsidR="001C08A5" w:rsidRDefault="00000000">
      <w:pPr>
        <w:jc w:val="both"/>
        <w:rPr>
          <w:rFonts w:eastAsia="NotoSans-Regular"/>
          <w:i/>
          <w:sz w:val="24"/>
          <w:szCs w:val="24"/>
        </w:rPr>
      </w:pPr>
      <w:r>
        <w:rPr>
          <w:rFonts w:eastAsia="NotoSans-Regular"/>
          <w:i/>
          <w:sz w:val="24"/>
          <w:szCs w:val="24"/>
        </w:rPr>
        <w:t>A - este zona liberă a deschiderii în admisia și evacuarea aerului (cm</w:t>
      </w:r>
      <w:r>
        <w:rPr>
          <w:rFonts w:eastAsia="NotoSans-Regular"/>
          <w:i/>
          <w:sz w:val="24"/>
          <w:szCs w:val="24"/>
          <w:vertAlign w:val="superscript"/>
        </w:rPr>
        <w:t>2</w:t>
      </w:r>
      <w:r>
        <w:rPr>
          <w:rFonts w:eastAsia="NotoSans-Regular"/>
          <w:i/>
          <w:sz w:val="24"/>
          <w:szCs w:val="24"/>
        </w:rPr>
        <w:t>).</w:t>
      </w:r>
    </w:p>
    <w:p w14:paraId="5570935F" w14:textId="77777777" w:rsidR="001C08A5" w:rsidRDefault="00000000">
      <w:pPr>
        <w:jc w:val="both"/>
        <w:rPr>
          <w:rFonts w:eastAsia="NotoSans-Regular"/>
          <w:i/>
          <w:sz w:val="24"/>
          <w:szCs w:val="24"/>
        </w:rPr>
      </w:pPr>
      <w:r>
        <w:rPr>
          <w:rFonts w:eastAsia="NotoSans-Regular"/>
          <w:i/>
          <w:sz w:val="24"/>
          <w:szCs w:val="24"/>
        </w:rPr>
        <w:t>NOTĂ În scopul acestui calcul, se presupune că viteza aerului este de 0,1 m/s.</w:t>
      </w:r>
    </w:p>
    <w:p w14:paraId="5AD28571" w14:textId="77777777" w:rsidR="001C08A5" w:rsidRDefault="001C08A5">
      <w:pPr>
        <w:ind w:firstLine="720"/>
        <w:jc w:val="both"/>
        <w:rPr>
          <w:rFonts w:eastAsia="ABBvoice-Regular"/>
          <w:i/>
          <w:sz w:val="24"/>
          <w:szCs w:val="24"/>
        </w:rPr>
      </w:pPr>
    </w:p>
    <w:p w14:paraId="59562966" w14:textId="77777777" w:rsidR="001C08A5" w:rsidRDefault="00000000">
      <w:pPr>
        <w:ind w:firstLine="720"/>
        <w:jc w:val="both"/>
        <w:rPr>
          <w:rFonts w:eastAsia="ABBvoice-Regular"/>
          <w:i/>
          <w:sz w:val="24"/>
          <w:szCs w:val="24"/>
        </w:rPr>
      </w:pPr>
      <w:r>
        <w:rPr>
          <w:rFonts w:eastAsia="ABBvoice-Regular"/>
          <w:i/>
          <w:sz w:val="24"/>
          <w:szCs w:val="24"/>
        </w:rPr>
        <w:t>Admisia și evacuarea aerului trebuie să fie amplasate într-un loc optim pentru a crea cele mai bune condiții pentru schimbul de aer, adică cu</w:t>
      </w:r>
    </w:p>
    <w:p w14:paraId="597F16BA" w14:textId="77777777" w:rsidR="001C08A5" w:rsidRDefault="00000000">
      <w:pPr>
        <w:ind w:firstLine="720"/>
        <w:jc w:val="both"/>
        <w:rPr>
          <w:rFonts w:eastAsia="ABBvoice-Regular"/>
          <w:i/>
          <w:sz w:val="24"/>
          <w:szCs w:val="24"/>
        </w:rPr>
      </w:pPr>
      <w:r>
        <w:rPr>
          <w:rFonts w:eastAsia="ABBvoice-Regular"/>
          <w:i/>
          <w:sz w:val="24"/>
          <w:szCs w:val="24"/>
        </w:rPr>
        <w:t>− deschideri pe pereții opuși;</w:t>
      </w:r>
    </w:p>
    <w:p w14:paraId="7B97D441" w14:textId="77777777" w:rsidR="001C08A5" w:rsidRDefault="00000000">
      <w:pPr>
        <w:ind w:firstLine="720"/>
        <w:jc w:val="both"/>
        <w:rPr>
          <w:rFonts w:eastAsia="ABBvoice-Regular"/>
          <w:i/>
          <w:sz w:val="24"/>
          <w:szCs w:val="24"/>
        </w:rPr>
      </w:pPr>
      <w:r>
        <w:rPr>
          <w:rFonts w:eastAsia="ABBvoice-Regular"/>
          <w:i/>
          <w:sz w:val="24"/>
          <w:szCs w:val="24"/>
        </w:rPr>
        <w:t>− distanta minima de separare de 2 m la deschiderile pe acelasi perete.</w:t>
      </w:r>
    </w:p>
    <w:p w14:paraId="0AB6B708" w14:textId="77777777" w:rsidR="001C08A5" w:rsidRDefault="00000000">
      <w:pPr>
        <w:ind w:firstLine="720"/>
        <w:jc w:val="both"/>
        <w:rPr>
          <w:rFonts w:eastAsia="ABBvoice-Regular"/>
          <w:i/>
          <w:sz w:val="24"/>
          <w:szCs w:val="24"/>
        </w:rPr>
      </w:pPr>
      <w:r>
        <w:rPr>
          <w:rFonts w:eastAsia="ABBvoice-Regular"/>
          <w:i/>
          <w:sz w:val="24"/>
          <w:szCs w:val="24"/>
        </w:rPr>
        <w:t>Bateriile echipate cu sisteme de evacuare a hidrogenului bazate pe capace de colectare a gazelor si tuburi nu sunt acoperite de nici un standard de produs, de testare sau de siguranță. Prin urmare, sunt obligatorii prevederile din prezentul standard privind ventilarea spațiilor sau a incintelor unde sunt instalate bateriile.</w:t>
      </w:r>
    </w:p>
    <w:p w14:paraId="1E98534C" w14:textId="77777777" w:rsidR="001C08A5" w:rsidRDefault="001C08A5">
      <w:pPr>
        <w:ind w:firstLine="720"/>
        <w:jc w:val="both"/>
        <w:rPr>
          <w:rFonts w:eastAsia="ABBvoice-Regular"/>
          <w:i/>
          <w:sz w:val="24"/>
          <w:szCs w:val="24"/>
        </w:rPr>
      </w:pPr>
    </w:p>
    <w:p w14:paraId="54C05696" w14:textId="77777777" w:rsidR="001C08A5" w:rsidRDefault="00000000">
      <w:pPr>
        <w:ind w:firstLine="720"/>
        <w:jc w:val="both"/>
        <w:rPr>
          <w:rFonts w:eastAsia="TimesNewRomanPSMT-Identity-H"/>
          <w:b/>
          <w:bCs/>
          <w:i/>
          <w:sz w:val="24"/>
          <w:szCs w:val="24"/>
          <w:u w:val="single"/>
        </w:rPr>
      </w:pPr>
      <w:r>
        <w:rPr>
          <w:rFonts w:eastAsia="NotoSans-Bold"/>
          <w:b/>
          <w:i/>
          <w:sz w:val="24"/>
          <w:szCs w:val="24"/>
        </w:rPr>
        <w:t xml:space="preserve">7.4 </w:t>
      </w:r>
      <w:r>
        <w:rPr>
          <w:rFonts w:eastAsia="TimesNewRomanPSMT-Identity-H"/>
          <w:b/>
          <w:bCs/>
          <w:i/>
          <w:sz w:val="24"/>
          <w:szCs w:val="24"/>
          <w:u w:val="single"/>
        </w:rPr>
        <w:t>Ventilare forțată</w:t>
      </w:r>
    </w:p>
    <w:p w14:paraId="71C6995F" w14:textId="77777777" w:rsidR="001C08A5" w:rsidRDefault="00000000">
      <w:pPr>
        <w:ind w:firstLine="720"/>
        <w:jc w:val="both"/>
        <w:rPr>
          <w:rFonts w:eastAsia="ABBvoice-Regular"/>
          <w:i/>
          <w:sz w:val="24"/>
          <w:szCs w:val="24"/>
        </w:rPr>
      </w:pPr>
      <w:r>
        <w:rPr>
          <w:rFonts w:eastAsia="ABBvoice-Regular"/>
          <w:i/>
          <w:sz w:val="24"/>
          <w:szCs w:val="24"/>
        </w:rPr>
        <w:lastRenderedPageBreak/>
        <w:t>Acolo unde un flux de aer adecvat - Q nu poate fi obținut prin ventilare naturală și se utilizează ventilarea forțată, sistemul de încărcare trebuie să fie conectat cu sistemul de ventilare sau să fie acționată o alarmă atunci când debitul de aer necesar nu este asigurat, pentru modul de încărcare selectat,.</w:t>
      </w:r>
    </w:p>
    <w:p w14:paraId="6AF6CC64" w14:textId="77777777" w:rsidR="001C08A5" w:rsidRDefault="00000000">
      <w:pPr>
        <w:ind w:firstLine="720"/>
        <w:jc w:val="both"/>
        <w:rPr>
          <w:rFonts w:eastAsia="ABBvoice-Regular"/>
          <w:i/>
          <w:sz w:val="24"/>
          <w:szCs w:val="24"/>
        </w:rPr>
      </w:pPr>
      <w:r>
        <w:rPr>
          <w:rFonts w:eastAsia="ABBvoice-Regular"/>
          <w:i/>
          <w:sz w:val="24"/>
          <w:szCs w:val="24"/>
        </w:rPr>
        <w:t>Aerul extras din camera bateriei va fi evacuat în exteriorul clădirii.</w:t>
      </w:r>
    </w:p>
    <w:p w14:paraId="190C1456" w14:textId="77777777" w:rsidR="001C08A5" w:rsidRDefault="001C08A5">
      <w:pPr>
        <w:ind w:firstLine="720"/>
        <w:jc w:val="both"/>
        <w:rPr>
          <w:rFonts w:eastAsia="ABBvoice-Regular"/>
          <w:i/>
          <w:sz w:val="24"/>
          <w:szCs w:val="24"/>
        </w:rPr>
      </w:pPr>
    </w:p>
    <w:p w14:paraId="7F74F264" w14:textId="77777777" w:rsidR="001C08A5" w:rsidRDefault="00000000">
      <w:pPr>
        <w:ind w:firstLine="720"/>
        <w:jc w:val="both"/>
        <w:rPr>
          <w:rFonts w:eastAsia="TimesNewRomanPSMT-Identity-H"/>
          <w:b/>
          <w:bCs/>
          <w:i/>
          <w:sz w:val="24"/>
          <w:szCs w:val="24"/>
          <w:u w:val="single"/>
        </w:rPr>
      </w:pPr>
      <w:r>
        <w:rPr>
          <w:rFonts w:eastAsia="NotoSans-Bold"/>
          <w:b/>
          <w:i/>
          <w:sz w:val="24"/>
          <w:szCs w:val="24"/>
        </w:rPr>
        <w:t xml:space="preserve">7.5 </w:t>
      </w:r>
      <w:r>
        <w:rPr>
          <w:rFonts w:eastAsia="TimesNewRomanPSMT-Identity-H"/>
          <w:b/>
          <w:bCs/>
          <w:i/>
          <w:sz w:val="24"/>
          <w:szCs w:val="24"/>
          <w:u w:val="single"/>
        </w:rPr>
        <w:t>Moduri de încărcare</w:t>
      </w:r>
    </w:p>
    <w:p w14:paraId="4483EDA6" w14:textId="77777777" w:rsidR="001C08A5" w:rsidRDefault="00000000">
      <w:pPr>
        <w:ind w:firstLine="720"/>
        <w:jc w:val="both"/>
        <w:rPr>
          <w:rFonts w:eastAsia="ABBvoice-Regular"/>
          <w:i/>
          <w:sz w:val="24"/>
          <w:szCs w:val="24"/>
          <w:lang w:val="it-CH"/>
        </w:rPr>
      </w:pPr>
      <w:r>
        <w:rPr>
          <w:rFonts w:eastAsia="ABBvoice-Regular"/>
          <w:i/>
          <w:sz w:val="24"/>
          <w:szCs w:val="24"/>
          <w:lang w:val="it-CH"/>
        </w:rPr>
        <w:t>Modul obișnuit de încărcare pentru bateriile staționare este încărcarea cu curentul continuu/tensiune constantă (IU caracteristic, vezi A.3).</w:t>
      </w:r>
    </w:p>
    <w:p w14:paraId="1440D4F2" w14:textId="77777777" w:rsidR="001C08A5" w:rsidRDefault="00000000">
      <w:pPr>
        <w:ind w:firstLine="720"/>
        <w:jc w:val="both"/>
        <w:rPr>
          <w:rFonts w:eastAsia="ABBvoice-Regular"/>
          <w:i/>
          <w:sz w:val="24"/>
          <w:szCs w:val="24"/>
          <w:lang w:val="it-CH"/>
        </w:rPr>
      </w:pPr>
      <w:r>
        <w:rPr>
          <w:rFonts w:eastAsia="ABBvoice-Regular"/>
          <w:i/>
          <w:sz w:val="24"/>
          <w:szCs w:val="24"/>
          <w:lang w:val="it-CH"/>
        </w:rPr>
        <w:t>În cazul în care se folosesc alte metode de încărcare decât IU caracteristic sau U caracteristic în limitele specificate în</w:t>
      </w:r>
      <w:r>
        <w:rPr>
          <w:rFonts w:eastAsia="ABBvoice-Regular"/>
          <w:i/>
          <w:sz w:val="24"/>
          <w:szCs w:val="24"/>
        </w:rPr>
        <w:t xml:space="preserve"> </w:t>
      </w:r>
      <w:r>
        <w:rPr>
          <w:rFonts w:eastAsia="ABBvoice-Regular"/>
          <w:b/>
          <w:bCs/>
          <w:i/>
          <w:iCs/>
          <w:sz w:val="24"/>
          <w:szCs w:val="24"/>
        </w:rPr>
        <w:fldChar w:fldCharType="begin"/>
      </w:r>
      <w:r>
        <w:rPr>
          <w:rFonts w:eastAsia="ABBvoice-Regular"/>
          <w:b/>
          <w:bCs/>
          <w:i/>
          <w:iCs/>
          <w:sz w:val="24"/>
          <w:szCs w:val="24"/>
        </w:rPr>
        <w:instrText xml:space="preserve"> REF _Ref3956 \h </w:instrText>
      </w:r>
      <w:r>
        <w:rPr>
          <w:rFonts w:eastAsia="ABBvoice-Regular"/>
          <w:b/>
          <w:bCs/>
          <w:i/>
          <w:iCs/>
          <w:sz w:val="24"/>
          <w:szCs w:val="24"/>
        </w:rPr>
      </w:r>
      <w:r>
        <w:rPr>
          <w:rFonts w:eastAsia="ABBvoice-Regular"/>
          <w:b/>
          <w:bCs/>
          <w:i/>
          <w:iCs/>
          <w:sz w:val="24"/>
          <w:szCs w:val="24"/>
        </w:rPr>
        <w:fldChar w:fldCharType="separate"/>
      </w:r>
      <w:r>
        <w:t>Tabelul 127</w:t>
      </w:r>
      <w:r>
        <w:rPr>
          <w:rFonts w:eastAsia="ABBvoice-Regular"/>
          <w:b/>
          <w:bCs/>
          <w:i/>
          <w:iCs/>
          <w:sz w:val="24"/>
          <w:szCs w:val="24"/>
        </w:rPr>
        <w:fldChar w:fldCharType="end"/>
      </w:r>
      <w:r>
        <w:rPr>
          <w:rFonts w:eastAsia="ABBvoice-Regular"/>
          <w:i/>
          <w:sz w:val="24"/>
          <w:szCs w:val="24"/>
        </w:rPr>
        <w:t xml:space="preserve"> (echivalent cu tabel 1 din </w:t>
      </w:r>
      <w:r>
        <w:rPr>
          <w:rFonts w:eastAsia="ABBvoice-Regular"/>
          <w:b/>
          <w:bCs/>
          <w:i/>
          <w:sz w:val="24"/>
          <w:szCs w:val="24"/>
        </w:rPr>
        <w:t xml:space="preserve">SR EN </w:t>
      </w:r>
      <w:r>
        <w:rPr>
          <w:rFonts w:eastAsia="TimesNewRomanPSMT-Identity-H"/>
          <w:b/>
          <w:bCs/>
          <w:i/>
          <w:sz w:val="24"/>
          <w:szCs w:val="24"/>
        </w:rPr>
        <w:t>IEC 62485-2</w:t>
      </w:r>
      <w:r>
        <w:rPr>
          <w:rFonts w:eastAsia="TimesNewRomanPSMT-Identity-H"/>
          <w:i/>
          <w:sz w:val="24"/>
          <w:szCs w:val="24"/>
        </w:rPr>
        <w:t>)</w:t>
      </w:r>
      <w:r>
        <w:rPr>
          <w:rFonts w:eastAsia="ABBvoice-Regular"/>
          <w:i/>
          <w:sz w:val="24"/>
          <w:szCs w:val="24"/>
          <w:lang w:val="it-CH"/>
        </w:rPr>
        <w:t>, debitul de aer Q pentru ventila</w:t>
      </w:r>
      <w:r>
        <w:rPr>
          <w:rFonts w:eastAsia="ABBvoice-Regular"/>
          <w:i/>
          <w:sz w:val="24"/>
          <w:szCs w:val="24"/>
        </w:rPr>
        <w:t>r</w:t>
      </w:r>
      <w:r>
        <w:rPr>
          <w:rFonts w:eastAsia="ABBvoice-Regular"/>
          <w:i/>
          <w:sz w:val="24"/>
          <w:szCs w:val="24"/>
          <w:lang w:val="it-CH"/>
        </w:rPr>
        <w:t>e va fi dimensionat conform curentului maxim de ieșire al încărcătorului. În cazul în care se utilizează echipamente de încărcare cu o caracteristică variabilă, atunci pentru calculul necesarului de ventila</w:t>
      </w:r>
      <w:r>
        <w:rPr>
          <w:rFonts w:eastAsia="ABBvoice-Regular"/>
          <w:i/>
          <w:sz w:val="24"/>
          <w:szCs w:val="24"/>
        </w:rPr>
        <w:t>r</w:t>
      </w:r>
      <w:r>
        <w:rPr>
          <w:rFonts w:eastAsia="ABBvoice-Regular"/>
          <w:i/>
          <w:sz w:val="24"/>
          <w:szCs w:val="24"/>
          <w:lang w:val="it-CH"/>
        </w:rPr>
        <w:t>e va fi utilizat curentul de sfârșit de încărcare considerat 25% din curentul nominal al încărcătorului.</w:t>
      </w:r>
    </w:p>
    <w:p w14:paraId="16360103" w14:textId="77777777" w:rsidR="001C08A5" w:rsidRDefault="00000000">
      <w:pPr>
        <w:ind w:firstLine="720"/>
        <w:jc w:val="both"/>
        <w:rPr>
          <w:rFonts w:eastAsia="ABBvoice-Regular"/>
          <w:i/>
          <w:sz w:val="24"/>
          <w:szCs w:val="24"/>
          <w:lang w:val="it-CH"/>
        </w:rPr>
      </w:pPr>
      <w:r>
        <w:rPr>
          <w:rFonts w:eastAsia="ABBvoice-Regular"/>
          <w:i/>
          <w:sz w:val="24"/>
          <w:szCs w:val="24"/>
          <w:lang w:val="it-CH"/>
        </w:rPr>
        <w:t>NOTĂ Un încărcător cu caracteristică variabilă este un încărcător cu rezistență constantă cu un curent în scădere atunci când tensiunea crește datorită stării de încărcare în creștere a bateriei.</w:t>
      </w:r>
    </w:p>
    <w:p w14:paraId="30D1934D" w14:textId="77777777" w:rsidR="001C08A5" w:rsidRDefault="001C08A5">
      <w:pPr>
        <w:jc w:val="both"/>
        <w:rPr>
          <w:rFonts w:eastAsia="NotoSans-Regular"/>
          <w:i/>
          <w:sz w:val="24"/>
          <w:szCs w:val="24"/>
        </w:rPr>
      </w:pPr>
    </w:p>
    <w:p w14:paraId="730CC830" w14:textId="77777777" w:rsidR="001C08A5" w:rsidRDefault="00000000">
      <w:pPr>
        <w:ind w:firstLine="720"/>
        <w:jc w:val="both"/>
        <w:rPr>
          <w:rFonts w:eastAsia="TimesNewRomanPSMT-Identity-H"/>
          <w:b/>
          <w:bCs/>
          <w:i/>
          <w:sz w:val="24"/>
          <w:szCs w:val="24"/>
          <w:u w:val="single"/>
        </w:rPr>
      </w:pPr>
      <w:r>
        <w:rPr>
          <w:rFonts w:eastAsia="NotoSans-Bold"/>
          <w:b/>
          <w:i/>
          <w:sz w:val="24"/>
          <w:szCs w:val="24"/>
        </w:rPr>
        <w:t xml:space="preserve">7.6 </w:t>
      </w:r>
      <w:r>
        <w:rPr>
          <w:rFonts w:eastAsia="TimesNewRomanPSMT-Identity-H"/>
          <w:b/>
          <w:bCs/>
          <w:i/>
          <w:sz w:val="24"/>
          <w:szCs w:val="24"/>
          <w:u w:val="single"/>
        </w:rPr>
        <w:t>Supraîncărcare în condiții de defecțiune</w:t>
      </w:r>
    </w:p>
    <w:p w14:paraId="4C68C3C3" w14:textId="77777777" w:rsidR="001C08A5" w:rsidRDefault="00000000">
      <w:pPr>
        <w:ind w:firstLine="720"/>
        <w:jc w:val="both"/>
        <w:rPr>
          <w:rFonts w:eastAsia="ABBvoice-Regular"/>
          <w:i/>
          <w:sz w:val="24"/>
          <w:szCs w:val="24"/>
          <w:lang w:val="it-CH"/>
        </w:rPr>
      </w:pPr>
      <w:r>
        <w:rPr>
          <w:rFonts w:eastAsia="ABBvoice-Regular"/>
          <w:i/>
          <w:sz w:val="24"/>
          <w:szCs w:val="24"/>
          <w:lang w:val="it-CH"/>
        </w:rPr>
        <w:t>Pot exista și alte circumstanțe, de ex. funcționarea defectuoasă a încărcătorului sau condiții de evaporare termică, cazuri în care bateria poate produce mai mult gaz decât valorile luate în calcul la proiectarea ventil</w:t>
      </w:r>
      <w:r>
        <w:rPr>
          <w:rFonts w:eastAsia="ABBvoice-Regular"/>
          <w:i/>
          <w:sz w:val="24"/>
          <w:szCs w:val="24"/>
        </w:rPr>
        <w:t>ări</w:t>
      </w:r>
      <w:r>
        <w:rPr>
          <w:rFonts w:eastAsia="ABBvoice-Regular"/>
          <w:i/>
          <w:sz w:val="24"/>
          <w:szCs w:val="24"/>
          <w:lang w:val="it-CH"/>
        </w:rPr>
        <w:t>i.</w:t>
      </w:r>
    </w:p>
    <w:p w14:paraId="6A2AE016" w14:textId="77777777" w:rsidR="001C08A5" w:rsidRDefault="00000000">
      <w:pPr>
        <w:ind w:firstLine="720"/>
        <w:jc w:val="both"/>
        <w:rPr>
          <w:rFonts w:eastAsia="ABBvoice-Regular"/>
          <w:i/>
          <w:sz w:val="24"/>
          <w:szCs w:val="24"/>
          <w:lang w:val="it-CH"/>
        </w:rPr>
      </w:pPr>
      <w:r>
        <w:rPr>
          <w:rFonts w:eastAsia="ABBvoice-Regular"/>
          <w:i/>
          <w:sz w:val="24"/>
          <w:szCs w:val="24"/>
          <w:lang w:val="it-CH"/>
        </w:rPr>
        <w:t>Trebuie luate măsuri de precauție împotriva funcționării defectuoase a încărcătorului sau a evaporării termice, de ex. prin coborare tensiunea de încărcare sub tensiunea în circuit deschis sau prin deconectarea automată a alimentării electrice. Alternativ, ventila</w:t>
      </w:r>
      <w:r>
        <w:rPr>
          <w:rFonts w:eastAsia="ABBvoice-Regular"/>
          <w:i/>
          <w:sz w:val="24"/>
          <w:szCs w:val="24"/>
        </w:rPr>
        <w:t>re</w:t>
      </w:r>
      <w:r>
        <w:rPr>
          <w:rFonts w:eastAsia="ABBvoice-Regular"/>
          <w:i/>
          <w:sz w:val="24"/>
          <w:szCs w:val="24"/>
          <w:lang w:val="it-CH"/>
        </w:rPr>
        <w:t>a ar trebui calculată pentru a corespunde curentului de ieșire maxim al încărcătorului.</w:t>
      </w:r>
    </w:p>
    <w:p w14:paraId="09E39A71" w14:textId="77777777" w:rsidR="001C08A5" w:rsidRDefault="001C08A5">
      <w:pPr>
        <w:jc w:val="both"/>
        <w:rPr>
          <w:rFonts w:eastAsia="NotoSans-Regular"/>
          <w:i/>
          <w:sz w:val="24"/>
          <w:szCs w:val="24"/>
          <w:lang w:val="en-US"/>
        </w:rPr>
      </w:pPr>
    </w:p>
    <w:p w14:paraId="7BA88A7C" w14:textId="77777777" w:rsidR="001C08A5" w:rsidRDefault="00000000">
      <w:pPr>
        <w:ind w:firstLine="720"/>
        <w:jc w:val="both"/>
        <w:rPr>
          <w:rFonts w:eastAsia="TimesNewRomanPSMT-Identity-H"/>
          <w:b/>
          <w:bCs/>
          <w:i/>
          <w:sz w:val="24"/>
          <w:szCs w:val="24"/>
          <w:u w:val="single"/>
        </w:rPr>
      </w:pPr>
      <w:r>
        <w:rPr>
          <w:rFonts w:eastAsia="NotoSans-Bold"/>
          <w:b/>
          <w:i/>
          <w:sz w:val="24"/>
          <w:szCs w:val="24"/>
        </w:rPr>
        <w:t xml:space="preserve">7.7 </w:t>
      </w:r>
      <w:r>
        <w:rPr>
          <w:rFonts w:eastAsia="TimesNewRomanPSMT-Identity-H"/>
          <w:b/>
          <w:bCs/>
          <w:i/>
          <w:sz w:val="24"/>
          <w:szCs w:val="24"/>
          <w:u w:val="single"/>
        </w:rPr>
        <w:t>În apropierea bateriei</w:t>
      </w:r>
    </w:p>
    <w:p w14:paraId="0BD5A20C" w14:textId="77777777" w:rsidR="001C08A5" w:rsidRDefault="00000000">
      <w:pPr>
        <w:jc w:val="both"/>
        <w:rPr>
          <w:rFonts w:eastAsia="NotoSans-Regular"/>
          <w:i/>
          <w:sz w:val="24"/>
          <w:szCs w:val="24"/>
        </w:rPr>
      </w:pPr>
      <w:r>
        <w:rPr>
          <w:rFonts w:eastAsia="NotoSans-Regular"/>
          <w:i/>
          <w:sz w:val="24"/>
          <w:szCs w:val="24"/>
        </w:rPr>
        <w:t xml:space="preserve">În imediata apropiere a bateriei, diluția gazelor explozive nu este întotdeauna asigurată. Prin urmare, trebuie respectată o distanță de siguranță în cadrul căreia dispozitivele incandescente (temperatura maxima a suprafetei 300 °C) care pot produce scântei. Dispersia gazului exploziv depinde de viteza de emanare a gazului și de ventilarea din apropierea sursei de emanare. Pentru calcularea distanței de siguranță d de la sursa de emanare, se va aplica următoarea formulă, presupunând o dispersie emisferică a gazului. Distanța de siguranță d se regăsește și în  B.1. din </w:t>
      </w:r>
      <w:r>
        <w:rPr>
          <w:rFonts w:eastAsia="sans-serif"/>
          <w:bCs/>
          <w:i/>
          <w:spacing w:val="-2"/>
          <w:sz w:val="24"/>
          <w:szCs w:val="24"/>
        </w:rPr>
        <w:t>SR EN IEC 62485-2:2019 .</w:t>
      </w:r>
      <w:r>
        <w:rPr>
          <w:rFonts w:eastAsia="NotoSans-Regular"/>
          <w:i/>
          <w:sz w:val="24"/>
          <w:szCs w:val="24"/>
        </w:rPr>
        <w:t xml:space="preserve"> Pentru informații detaliate despre calculul distanței de siguranță, consultați Anexa B.</w:t>
      </w:r>
    </w:p>
    <w:p w14:paraId="1DB66886" w14:textId="77777777" w:rsidR="001C08A5" w:rsidRDefault="00000000">
      <w:pPr>
        <w:jc w:val="center"/>
        <w:rPr>
          <w:rFonts w:eastAsia="NotoSans-Regular"/>
          <w:i/>
          <w:sz w:val="24"/>
          <w:szCs w:val="24"/>
        </w:rPr>
      </w:pPr>
      <w:r>
        <w:rPr>
          <w:rFonts w:eastAsia="NotoSans-Regular"/>
          <w:i/>
          <w:sz w:val="24"/>
          <w:szCs w:val="24"/>
        </w:rPr>
        <w:t>d=28,8×3</w:t>
      </w:r>
      <w:r>
        <w:rPr>
          <w:rFonts w:eastAsia="NotoSans-Regular"/>
          <w:i/>
          <w:position w:val="-12"/>
          <w:sz w:val="24"/>
          <w:szCs w:val="24"/>
        </w:rPr>
        <w:object w:dxaOrig="720" w:dyaOrig="435" w14:anchorId="47F0F5A0">
          <v:shape id="_x0000_i1036" type="#_x0000_t75" style="width:36pt;height:21.75pt" o:ole="">
            <v:imagedata r:id="rId341" o:title=""/>
          </v:shape>
          <o:OLEObject Type="Embed" ProgID="Equation.3" ShapeID="_x0000_i1036" DrawAspect="Content" ObjectID="_1773212717" r:id="rId342"/>
        </w:object>
      </w:r>
      <w:r>
        <w:rPr>
          <w:rFonts w:eastAsia="NotoSans-Regular"/>
          <w:i/>
          <w:sz w:val="24"/>
          <w:szCs w:val="24"/>
        </w:rPr>
        <w:t>x ×</w:t>
      </w:r>
      <w:r>
        <w:rPr>
          <w:rFonts w:eastAsia="NotoSans-Regular"/>
          <w:i/>
          <w:position w:val="-8"/>
          <w:sz w:val="24"/>
          <w:szCs w:val="24"/>
        </w:rPr>
        <w:object w:dxaOrig="570" w:dyaOrig="435" w14:anchorId="020BD0FF">
          <v:shape id="_x0000_i1037" type="#_x0000_t75" style="width:28.5pt;height:21.75pt" o:ole="">
            <v:imagedata r:id="rId343" o:title=""/>
          </v:shape>
          <o:OLEObject Type="Embed" ProgID="Equation.3" ShapeID="_x0000_i1037" DrawAspect="Content" ObjectID="_1773212718" r:id="rId344"/>
        </w:object>
      </w:r>
      <w:r>
        <w:rPr>
          <w:rFonts w:eastAsia="NotoSans-Regular"/>
          <w:i/>
          <w:sz w:val="24"/>
          <w:szCs w:val="24"/>
        </w:rPr>
        <w:t>3 mm</w:t>
      </w:r>
    </w:p>
    <w:p w14:paraId="79D49F10" w14:textId="77777777" w:rsidR="001C08A5" w:rsidRDefault="00000000">
      <w:pPr>
        <w:jc w:val="both"/>
        <w:rPr>
          <w:rFonts w:eastAsia="NotoSans-Regular"/>
          <w:i/>
          <w:sz w:val="24"/>
          <w:szCs w:val="24"/>
        </w:rPr>
      </w:pPr>
      <w:r>
        <w:rPr>
          <w:rFonts w:eastAsia="NotoSans-Regular"/>
          <w:i/>
          <w:sz w:val="24"/>
          <w:szCs w:val="24"/>
        </w:rPr>
        <w:t>Unde:</w:t>
      </w:r>
    </w:p>
    <w:p w14:paraId="6CE72677" w14:textId="77777777" w:rsidR="001C08A5" w:rsidRDefault="00000000">
      <w:pPr>
        <w:rPr>
          <w:rFonts w:eastAsia="NotoSans-Regular"/>
          <w:i/>
          <w:sz w:val="24"/>
          <w:szCs w:val="24"/>
        </w:rPr>
      </w:pPr>
      <w:r>
        <w:rPr>
          <w:rFonts w:eastAsia="ABBvoice-Regular"/>
          <w:i/>
          <w:sz w:val="24"/>
          <w:szCs w:val="24"/>
        </w:rPr>
        <w:t>I</w:t>
      </w:r>
      <w:r>
        <w:rPr>
          <w:rFonts w:eastAsia="ABBvoice-Regular"/>
          <w:i/>
          <w:sz w:val="24"/>
          <w:szCs w:val="24"/>
          <w:vertAlign w:val="subscript"/>
        </w:rPr>
        <w:t>gas</w:t>
      </w:r>
      <w:r>
        <w:rPr>
          <w:rFonts w:eastAsia="NotoSans-Regular"/>
          <w:i/>
          <w:sz w:val="24"/>
          <w:szCs w:val="24"/>
        </w:rPr>
        <w:t xml:space="preserve"> - este curentul care produce gaz (mA per Ah); </w:t>
      </w:r>
    </w:p>
    <w:p w14:paraId="7ABB9498" w14:textId="77777777" w:rsidR="001C08A5" w:rsidRDefault="00000000">
      <w:pPr>
        <w:jc w:val="both"/>
        <w:rPr>
          <w:rFonts w:eastAsia="NotoSans-Regular"/>
          <w:i/>
          <w:sz w:val="24"/>
          <w:szCs w:val="24"/>
        </w:rPr>
      </w:pPr>
      <w:r>
        <w:rPr>
          <w:rFonts w:eastAsia="NotoSans-Regular"/>
          <w:i/>
          <w:sz w:val="24"/>
          <w:szCs w:val="24"/>
        </w:rPr>
        <w:t>C</w:t>
      </w:r>
      <w:r>
        <w:rPr>
          <w:rFonts w:eastAsia="NotoSans-Regular"/>
          <w:i/>
          <w:sz w:val="24"/>
          <w:szCs w:val="24"/>
          <w:vertAlign w:val="subscript"/>
        </w:rPr>
        <w:t>rt</w:t>
      </w:r>
      <w:r>
        <w:rPr>
          <w:rFonts w:eastAsia="NotoSans-Regular"/>
          <w:i/>
          <w:sz w:val="24"/>
          <w:szCs w:val="24"/>
        </w:rPr>
        <w:t xml:space="preserve"> - Este capacitatea nominală (Ah).</w:t>
      </w:r>
    </w:p>
    <w:p w14:paraId="094084AE" w14:textId="77777777" w:rsidR="001C08A5" w:rsidRDefault="00000000">
      <w:pPr>
        <w:jc w:val="both"/>
        <w:rPr>
          <w:rFonts w:eastAsia="NotoSans-Regular"/>
          <w:i/>
          <w:sz w:val="24"/>
          <w:szCs w:val="24"/>
        </w:rPr>
      </w:pPr>
      <w:r>
        <w:rPr>
          <w:rFonts w:eastAsia="NotoSans-Regular"/>
          <w:i/>
          <w:sz w:val="24"/>
          <w:szCs w:val="24"/>
        </w:rPr>
        <w:t>NOTĂ: Distanța de siguranță necesară poate fi realizată prin utilizarea unui perete despărțitor între baterie și dispozitivul incandescent.</w:t>
      </w:r>
    </w:p>
    <w:p w14:paraId="0B2ECBA0" w14:textId="77777777" w:rsidR="001C08A5" w:rsidRDefault="001C08A5">
      <w:pPr>
        <w:jc w:val="both"/>
        <w:rPr>
          <w:rFonts w:eastAsia="NotoSans-Regular"/>
          <w:i/>
          <w:sz w:val="24"/>
          <w:szCs w:val="24"/>
        </w:rPr>
      </w:pPr>
    </w:p>
    <w:p w14:paraId="1D466662" w14:textId="77777777" w:rsidR="001C08A5" w:rsidRDefault="00000000">
      <w:pPr>
        <w:jc w:val="both"/>
        <w:rPr>
          <w:rFonts w:eastAsia="NotoSans-Regular"/>
          <w:i/>
          <w:sz w:val="24"/>
          <w:szCs w:val="24"/>
        </w:rPr>
      </w:pPr>
      <w:r>
        <w:rPr>
          <w:rFonts w:eastAsia="NotoSans-Regular"/>
          <w:i/>
          <w:sz w:val="24"/>
          <w:szCs w:val="24"/>
        </w:rPr>
        <w:t>În cazul în care bateriile fac parte integrantă dintr-un sistem de alimentare cu energie electrică, de exemplu într-un sistem UPS, distanța de siguranță d poate fi redusă conform calculelor sau măsurătorilor de siguranță ale producătorilor de echipamente. Nivelul ratei de ventilare a aerului trebuie să asigure că nu există riscul de explozie prin menținerea conținutului de hidrogen din aer sub 1%vol plus o marjă de siguranță la sursa potențială de aprindere.</w:t>
      </w:r>
    </w:p>
    <w:p w14:paraId="30D28C5A" w14:textId="77777777" w:rsidR="001C08A5" w:rsidRDefault="00000000">
      <w:pPr>
        <w:jc w:val="both"/>
        <w:rPr>
          <w:rFonts w:eastAsia="NotoSans-Regular"/>
          <w:i/>
          <w:sz w:val="24"/>
          <w:szCs w:val="24"/>
        </w:rPr>
      </w:pPr>
      <w:r>
        <w:rPr>
          <w:rFonts w:eastAsia="NotoSans-Regular"/>
          <w:i/>
          <w:sz w:val="24"/>
          <w:szCs w:val="24"/>
        </w:rPr>
        <w:t>Când gazele sunt eliberate dintr-o baterie monobloc cu n celule printr-o singură deschidere de ventilare sau capac sau tub, atunci valoarea capacității utilizată pentru calcularea distanței de siguranță de la această deschidere trebuie să fie Crt=n×Crt baterie monobloc.</w:t>
      </w:r>
    </w:p>
    <w:p w14:paraId="185F2EDE" w14:textId="77777777" w:rsidR="001C08A5" w:rsidRDefault="001C08A5">
      <w:pPr>
        <w:jc w:val="both"/>
        <w:rPr>
          <w:rFonts w:eastAsia="NotoSans-Regular"/>
          <w:i/>
          <w:sz w:val="24"/>
          <w:szCs w:val="24"/>
        </w:rPr>
      </w:pPr>
    </w:p>
    <w:p w14:paraId="1695A9C8" w14:textId="77777777" w:rsidR="001C08A5" w:rsidRDefault="00000000">
      <w:pPr>
        <w:ind w:firstLine="720"/>
        <w:jc w:val="both"/>
        <w:rPr>
          <w:rFonts w:eastAsia="TimesNewRomanPSMT-Identity-H"/>
          <w:b/>
          <w:bCs/>
          <w:i/>
          <w:sz w:val="24"/>
          <w:szCs w:val="24"/>
          <w:u w:val="single"/>
        </w:rPr>
      </w:pPr>
      <w:r>
        <w:rPr>
          <w:rFonts w:eastAsia="NotoSans-Bold"/>
          <w:b/>
          <w:i/>
          <w:sz w:val="24"/>
          <w:szCs w:val="24"/>
        </w:rPr>
        <w:t xml:space="preserve">7.8 </w:t>
      </w:r>
      <w:r>
        <w:rPr>
          <w:rFonts w:eastAsia="TimesNewRomanPSMT-Identity-H"/>
          <w:b/>
          <w:bCs/>
          <w:i/>
          <w:sz w:val="24"/>
          <w:szCs w:val="24"/>
          <w:u w:val="single"/>
        </w:rPr>
        <w:t>Prevenirea descărcărilor electrostatice în utilizarea bateriilor</w:t>
      </w:r>
    </w:p>
    <w:p w14:paraId="069F1ACD" w14:textId="77777777" w:rsidR="001C08A5" w:rsidRDefault="00000000">
      <w:pPr>
        <w:jc w:val="both"/>
        <w:rPr>
          <w:rFonts w:eastAsia="NotoSans-Regular"/>
          <w:i/>
          <w:sz w:val="24"/>
          <w:szCs w:val="24"/>
        </w:rPr>
      </w:pPr>
      <w:r>
        <w:rPr>
          <w:rFonts w:eastAsia="NotoSans-Regular"/>
          <w:i/>
          <w:sz w:val="24"/>
          <w:szCs w:val="24"/>
        </w:rPr>
        <w:lastRenderedPageBreak/>
        <w:t>Se interzice purtarea hainelor și a încălțămintei care pot genera încărcări electrostatice (vezi și 9.2 f).</w:t>
      </w:r>
    </w:p>
    <w:p w14:paraId="20D3E658" w14:textId="77777777" w:rsidR="001C08A5" w:rsidRDefault="00000000">
      <w:r>
        <w:rPr>
          <w:rFonts w:eastAsia="NotoSans-Regular"/>
          <w:i/>
          <w:sz w:val="24"/>
          <w:szCs w:val="24"/>
        </w:rPr>
        <w:t>Pentru curățarea bateriei se va folosi numai material textil din bumbac umezit cu apă. Alte metode de curățare precum lichidele și pulverizatoarele duc la acumularea de încărcare electrostatică sau deteriorarea exteriorului bateriei.</w:t>
      </w:r>
    </w:p>
    <w:p w14:paraId="7C387676" w14:textId="77777777" w:rsidR="001C08A5" w:rsidRDefault="00000000">
      <w:pPr>
        <w:pStyle w:val="Heading3"/>
        <w:rPr>
          <w:i/>
          <w:iCs/>
          <w:sz w:val="24"/>
          <w:szCs w:val="24"/>
        </w:rPr>
      </w:pPr>
      <w:bookmarkStart w:id="7552" w:name="_Toc31234"/>
      <w:bookmarkStart w:id="7553" w:name="_Toc27886"/>
      <w:bookmarkStart w:id="7554" w:name="_Toc22490"/>
      <w:bookmarkStart w:id="7555" w:name="_Toc11525"/>
      <w:bookmarkStart w:id="7556" w:name="_Toc30225"/>
      <w:bookmarkStart w:id="7557" w:name="_Toc20438"/>
      <w:bookmarkStart w:id="7558" w:name="_Toc2645"/>
      <w:bookmarkStart w:id="7559" w:name="_Toc4629"/>
      <w:bookmarkStart w:id="7560" w:name="_Toc28020"/>
      <w:bookmarkStart w:id="7561" w:name="_Toc162355426"/>
      <w:bookmarkStart w:id="7562" w:name="_Toc17520"/>
      <w:bookmarkStart w:id="7563" w:name="_Toc31024"/>
      <w:bookmarkStart w:id="7564" w:name="_Toc4295"/>
      <w:bookmarkStart w:id="7565" w:name="_Toc4278"/>
      <w:bookmarkStart w:id="7566" w:name="_Toc30984"/>
      <w:r>
        <w:rPr>
          <w:i/>
          <w:iCs/>
          <w:sz w:val="24"/>
          <w:szCs w:val="24"/>
        </w:rPr>
        <w:t>ANEXA 4.4 - ÎNCĂPERI ŞI SPAŢII DESTINATE INSTALAŢIILOR UTILITARE AFERENTE CONSTRUCŢIILOR (Stații de pompare)</w:t>
      </w:r>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p>
    <w:p w14:paraId="1D258B6C" w14:textId="77777777" w:rsidR="001C08A5" w:rsidRDefault="001C08A5"/>
    <w:p w14:paraId="4462802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Stația de pompare care asigură un debit de stingere mai mare de </w:t>
      </w:r>
      <w:r>
        <w:rPr>
          <w:rFonts w:eastAsia="Times New Roman"/>
          <w:b/>
          <w:bCs/>
          <w:i/>
          <w:sz w:val="24"/>
        </w:rPr>
        <w:t>4.2 l/s</w:t>
      </w:r>
      <w:r>
        <w:rPr>
          <w:rFonts w:eastAsia="Times New Roman"/>
          <w:i/>
          <w:sz w:val="24"/>
        </w:rPr>
        <w:t>, se separă cu elemente clasa de reacţie la foc</w:t>
      </w:r>
      <w:r>
        <w:rPr>
          <w:rFonts w:eastAsia="Times New Roman"/>
          <w:b/>
          <w:bCs/>
          <w:i/>
          <w:sz w:val="24"/>
        </w:rPr>
        <w:t xml:space="preserve"> A1</w:t>
      </w:r>
      <w:r>
        <w:rPr>
          <w:rFonts w:eastAsia="Times New Roman"/>
          <w:i/>
          <w:sz w:val="24"/>
        </w:rPr>
        <w:t xml:space="preserve"> sau </w:t>
      </w:r>
      <w:r>
        <w:rPr>
          <w:rFonts w:eastAsia="Times New Roman"/>
          <w:b/>
          <w:bCs/>
          <w:i/>
          <w:sz w:val="24"/>
        </w:rPr>
        <w:t>A2-s1d0</w:t>
      </w:r>
      <w:r>
        <w:rPr>
          <w:rFonts w:eastAsia="Times New Roman"/>
          <w:i/>
          <w:sz w:val="24"/>
        </w:rPr>
        <w:t>, rezistente la foc corespunzător densităţii sarcinii termice (</w:t>
      </w:r>
      <w:r>
        <w:rPr>
          <w:rFonts w:eastAsia="Times New Roman"/>
          <w:b/>
          <w:bCs/>
          <w:i/>
          <w:sz w:val="24"/>
        </w:rPr>
        <w:t>q</w:t>
      </w:r>
      <w:r>
        <w:rPr>
          <w:rFonts w:eastAsia="Times New Roman"/>
          <w:i/>
          <w:sz w:val="24"/>
        </w:rPr>
        <w:t xml:space="preserve">) din încăperile adiacente, dar minimum </w:t>
      </w:r>
      <w:r>
        <w:rPr>
          <w:rFonts w:eastAsia="Times New Roman"/>
          <w:b/>
          <w:bCs/>
          <w:i/>
          <w:sz w:val="24"/>
        </w:rPr>
        <w:t>EI/REI 180</w:t>
      </w:r>
      <w:r>
        <w:rPr>
          <w:rFonts w:eastAsia="Times New Roman"/>
          <w:i/>
          <w:sz w:val="24"/>
        </w:rPr>
        <w:t xml:space="preserve"> pentru pereţi şi minimum </w:t>
      </w:r>
      <w:r>
        <w:rPr>
          <w:rFonts w:eastAsia="Times New Roman"/>
          <w:b/>
          <w:bCs/>
          <w:i/>
          <w:sz w:val="24"/>
        </w:rPr>
        <w:t>REI 90</w:t>
      </w:r>
      <w:r>
        <w:rPr>
          <w:rFonts w:eastAsia="Times New Roman"/>
          <w:i/>
          <w:sz w:val="24"/>
        </w:rPr>
        <w:t xml:space="preserve"> pentru planşee.</w:t>
      </w:r>
    </w:p>
    <w:p w14:paraId="11DA6049" w14:textId="77777777" w:rsidR="001C08A5" w:rsidRDefault="001C08A5">
      <w:pPr>
        <w:numPr>
          <w:ilvl w:val="255"/>
          <w:numId w:val="0"/>
        </w:numPr>
        <w:tabs>
          <w:tab w:val="left" w:pos="426"/>
          <w:tab w:val="left" w:pos="993"/>
        </w:tabs>
        <w:jc w:val="both"/>
        <w:rPr>
          <w:rFonts w:eastAsia="Times New Roman"/>
          <w:b/>
          <w:i/>
          <w:sz w:val="24"/>
        </w:rPr>
      </w:pPr>
    </w:p>
    <w:p w14:paraId="01AC9263"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Staţia de pompare cu debit mai mare de </w:t>
      </w:r>
      <w:r>
        <w:rPr>
          <w:rFonts w:eastAsia="Times New Roman"/>
          <w:b/>
          <w:bCs/>
          <w:i/>
          <w:sz w:val="24"/>
        </w:rPr>
        <w:t>4.2 l/s</w:t>
      </w:r>
      <w:r>
        <w:rPr>
          <w:rFonts w:eastAsia="Times New Roman"/>
          <w:i/>
          <w:sz w:val="24"/>
        </w:rPr>
        <w:t xml:space="preserve"> poate să comunice cu restul construcţiei printr-un gol funcţional protejat cu uşă rezistentă la foc </w:t>
      </w:r>
      <w:r>
        <w:rPr>
          <w:rFonts w:eastAsia="Times New Roman"/>
          <w:b/>
          <w:bCs/>
          <w:i/>
          <w:sz w:val="24"/>
        </w:rPr>
        <w:t>EI</w:t>
      </w:r>
      <w:r>
        <w:rPr>
          <w:rFonts w:eastAsia="Times New Roman"/>
          <w:b/>
          <w:bCs/>
          <w:i/>
          <w:sz w:val="24"/>
          <w:vertAlign w:val="subscript"/>
        </w:rPr>
        <w:t>2</w:t>
      </w:r>
      <w:r>
        <w:rPr>
          <w:rFonts w:eastAsia="Times New Roman"/>
          <w:b/>
          <w:bCs/>
          <w:i/>
          <w:sz w:val="24"/>
        </w:rPr>
        <w:t xml:space="preserve"> 90-C3</w:t>
      </w:r>
      <w:r>
        <w:rPr>
          <w:rFonts w:eastAsia="Times New Roman"/>
          <w:i/>
          <w:sz w:val="24"/>
        </w:rPr>
        <w:t xml:space="preserve"> sau prin încăpere tampon protejată, (dacă nu are ferestre directe spre exterior) şi prevăzută cu uşi rezistente la foc </w:t>
      </w:r>
      <w:r>
        <w:rPr>
          <w:rFonts w:eastAsia="Times New Roman"/>
          <w:b/>
          <w:bCs/>
          <w:i/>
          <w:sz w:val="24"/>
        </w:rPr>
        <w:t>EI</w:t>
      </w:r>
      <w:r>
        <w:rPr>
          <w:rFonts w:eastAsia="Times New Roman"/>
          <w:b/>
          <w:bCs/>
          <w:i/>
          <w:sz w:val="24"/>
          <w:vertAlign w:val="subscript"/>
        </w:rPr>
        <w:t>2</w:t>
      </w:r>
      <w:r>
        <w:rPr>
          <w:rFonts w:eastAsia="Times New Roman"/>
          <w:b/>
          <w:bCs/>
          <w:i/>
          <w:sz w:val="24"/>
        </w:rPr>
        <w:t xml:space="preserve"> 45-C3</w:t>
      </w:r>
      <w:r>
        <w:rPr>
          <w:rFonts w:eastAsia="Times New Roman"/>
          <w:i/>
          <w:sz w:val="24"/>
        </w:rPr>
        <w:t>. În încăpere se pot monta numai instalaţiile, dispozitivele şi aparatele specifice acestei funcţiuni şi va avea asigurată o cale de acces din exterior (uşă directă din exterior sau dintr-o scară comună de circulaţie).</w:t>
      </w:r>
    </w:p>
    <w:p w14:paraId="5478867A"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1A5D8042" wp14:editId="100E319C">
            <wp:extent cx="6063615" cy="2850515"/>
            <wp:effectExtent l="0" t="0" r="13335" b="6985"/>
            <wp:docPr id="23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90"/>
                    <pic:cNvPicPr>
                      <a:picLocks noChangeAspect="1"/>
                    </pic:cNvPicPr>
                  </pic:nvPicPr>
                  <pic:blipFill>
                    <a:blip r:embed="rId345"/>
                    <a:srcRect l="12408" t="1659" r="7260" b="41925"/>
                    <a:stretch>
                      <a:fillRect/>
                    </a:stretch>
                  </pic:blipFill>
                  <pic:spPr>
                    <a:xfrm>
                      <a:off x="0" y="0"/>
                      <a:ext cx="6063615" cy="2850515"/>
                    </a:xfrm>
                    <a:prstGeom prst="rect">
                      <a:avLst/>
                    </a:prstGeom>
                    <a:noFill/>
                    <a:ln>
                      <a:noFill/>
                    </a:ln>
                  </pic:spPr>
                </pic:pic>
              </a:graphicData>
            </a:graphic>
          </wp:inline>
        </w:drawing>
      </w:r>
    </w:p>
    <w:p w14:paraId="2ECBDE1A" w14:textId="77777777" w:rsidR="001C08A5" w:rsidRDefault="00000000">
      <w:pPr>
        <w:pStyle w:val="Caption"/>
        <w:jc w:val="center"/>
      </w:pPr>
      <w:bookmarkStart w:id="7567" w:name="_Toc142898551"/>
      <w:bookmarkStart w:id="7568" w:name="_Toc162360394"/>
      <w:bookmarkStart w:id="7569" w:name="_Toc6438"/>
      <w:bookmarkStart w:id="7570" w:name="_Toc5881"/>
      <w:bookmarkStart w:id="7571" w:name="_Toc8834"/>
      <w:r>
        <w:t xml:space="preserve">Figura </w:t>
      </w:r>
      <w:r>
        <w:fldChar w:fldCharType="begin"/>
      </w:r>
      <w:r>
        <w:instrText xml:space="preserve"> SEQ Figura \* ARABIC </w:instrText>
      </w:r>
      <w:r>
        <w:fldChar w:fldCharType="separate"/>
      </w:r>
      <w:r>
        <w:t>170</w:t>
      </w:r>
      <w:r>
        <w:fldChar w:fldCharType="end"/>
      </w:r>
      <w:bookmarkStart w:id="7572" w:name="_Toc10194"/>
      <w:bookmarkStart w:id="7573" w:name="_Toc5646"/>
      <w:bookmarkStart w:id="7574" w:name="_Toc17776"/>
      <w:bookmarkStart w:id="7575" w:name="_Toc23561"/>
      <w:bookmarkStart w:id="7576" w:name="_Toc2588"/>
      <w:bookmarkStart w:id="7577" w:name="_Toc7354"/>
      <w:bookmarkStart w:id="7578" w:name="_Toc31815"/>
      <w:bookmarkStart w:id="7579" w:name="_Toc26186"/>
      <w:bookmarkStart w:id="7580" w:name="_Toc1600"/>
      <w:r>
        <w:t xml:space="preserve"> - Stație de pompare separată de restul construcţiei şi numai cu acces direct din exterior (la subsol având curte de lumină)</w:t>
      </w:r>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p>
    <w:p w14:paraId="5E144583"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0B91D8AF" wp14:editId="75326F16">
            <wp:extent cx="6048375" cy="2600960"/>
            <wp:effectExtent l="0" t="0" r="9525" b="8890"/>
            <wp:docPr id="23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91"/>
                    <pic:cNvPicPr>
                      <a:picLocks noChangeAspect="1"/>
                    </pic:cNvPicPr>
                  </pic:nvPicPr>
                  <pic:blipFill>
                    <a:blip r:embed="rId346"/>
                    <a:srcRect l="12509" t="15231" r="7361" b="33292"/>
                    <a:stretch>
                      <a:fillRect/>
                    </a:stretch>
                  </pic:blipFill>
                  <pic:spPr>
                    <a:xfrm>
                      <a:off x="0" y="0"/>
                      <a:ext cx="6048375" cy="2600960"/>
                    </a:xfrm>
                    <a:prstGeom prst="rect">
                      <a:avLst/>
                    </a:prstGeom>
                    <a:noFill/>
                    <a:ln>
                      <a:noFill/>
                    </a:ln>
                  </pic:spPr>
                </pic:pic>
              </a:graphicData>
            </a:graphic>
          </wp:inline>
        </w:drawing>
      </w:r>
    </w:p>
    <w:p w14:paraId="4ABBAA06" w14:textId="77777777" w:rsidR="001C08A5" w:rsidRDefault="00000000">
      <w:pPr>
        <w:pStyle w:val="Caption"/>
        <w:jc w:val="center"/>
      </w:pPr>
      <w:bookmarkStart w:id="7581" w:name="_Toc142898552"/>
      <w:bookmarkStart w:id="7582" w:name="_Toc8537"/>
      <w:bookmarkStart w:id="7583" w:name="_Toc162360395"/>
      <w:bookmarkStart w:id="7584" w:name="_Toc8090"/>
      <w:bookmarkStart w:id="7585" w:name="_Toc28256"/>
      <w:r>
        <w:lastRenderedPageBreak/>
        <w:t xml:space="preserve">Figura </w:t>
      </w:r>
      <w:r>
        <w:fldChar w:fldCharType="begin"/>
      </w:r>
      <w:r>
        <w:instrText xml:space="preserve"> SEQ Figura \* ARABIC </w:instrText>
      </w:r>
      <w:r>
        <w:fldChar w:fldCharType="separate"/>
      </w:r>
      <w:r>
        <w:t>171</w:t>
      </w:r>
      <w:r>
        <w:fldChar w:fldCharType="end"/>
      </w:r>
      <w:bookmarkStart w:id="7586" w:name="_Toc29680"/>
      <w:bookmarkStart w:id="7587" w:name="_Toc2027"/>
      <w:bookmarkStart w:id="7588" w:name="_Toc3679"/>
      <w:bookmarkStart w:id="7589" w:name="_Toc18271"/>
      <w:bookmarkStart w:id="7590" w:name="_Toc31839"/>
      <w:bookmarkStart w:id="7591" w:name="_Toc32524"/>
      <w:bookmarkStart w:id="7592" w:name="_Toc26845"/>
      <w:bookmarkStart w:id="7593" w:name="_Toc22041"/>
      <w:bookmarkStart w:id="7594" w:name="_Toc9426"/>
      <w:r>
        <w:t xml:space="preserve"> - Stație de pompare cu acces direct din exterior (la stațiile de pompare cu debit mai mic de 4.2 l/s nu este obligatoriu) şi o comunicare funcţională din interior</w:t>
      </w:r>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8"/>
        <w:gridCol w:w="3591"/>
      </w:tblGrid>
      <w:tr w:rsidR="001C08A5" w14:paraId="5EAAFAE2" w14:textId="77777777">
        <w:tc>
          <w:tcPr>
            <w:tcW w:w="6042" w:type="dxa"/>
          </w:tcPr>
          <w:p w14:paraId="1C76968D" w14:textId="77777777" w:rsidR="001C08A5" w:rsidRDefault="00000000">
            <w:pPr>
              <w:jc w:val="center"/>
              <w:rPr>
                <w:b/>
                <w:bCs/>
                <w:i/>
                <w:sz w:val="24"/>
                <w:szCs w:val="24"/>
              </w:rPr>
            </w:pPr>
            <w:r>
              <w:rPr>
                <w:b/>
                <w:bCs/>
                <w:i/>
                <w:noProof/>
                <w:sz w:val="24"/>
                <w:szCs w:val="24"/>
                <w:lang w:eastAsia="ro-RO"/>
              </w:rPr>
              <w:drawing>
                <wp:inline distT="0" distB="0" distL="114300" distR="114300" wp14:anchorId="2ADCA411" wp14:editId="6D8EEA6D">
                  <wp:extent cx="3743960" cy="3003550"/>
                  <wp:effectExtent l="0" t="0" r="8890" b="6350"/>
                  <wp:docPr id="23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93"/>
                          <pic:cNvPicPr>
                            <a:picLocks noChangeAspect="1"/>
                          </pic:cNvPicPr>
                        </pic:nvPicPr>
                        <pic:blipFill>
                          <a:blip r:embed="rId347"/>
                          <a:srcRect l="11668" t="12279" r="38731" b="28278"/>
                          <a:stretch>
                            <a:fillRect/>
                          </a:stretch>
                        </pic:blipFill>
                        <pic:spPr>
                          <a:xfrm>
                            <a:off x="0" y="0"/>
                            <a:ext cx="3743960" cy="3003550"/>
                          </a:xfrm>
                          <a:prstGeom prst="rect">
                            <a:avLst/>
                          </a:prstGeom>
                          <a:noFill/>
                          <a:ln>
                            <a:noFill/>
                          </a:ln>
                        </pic:spPr>
                      </pic:pic>
                    </a:graphicData>
                  </a:graphic>
                </wp:inline>
              </w:drawing>
            </w:r>
          </w:p>
          <w:p w14:paraId="0C7A680E" w14:textId="77777777" w:rsidR="001C08A5" w:rsidRDefault="00000000">
            <w:pPr>
              <w:suppressLineNumbers/>
              <w:spacing w:before="120" w:after="120"/>
              <w:jc w:val="center"/>
              <w:rPr>
                <w:rFonts w:cs="Mangal"/>
                <w:b/>
                <w:i/>
                <w:iCs/>
                <w:sz w:val="24"/>
                <w:szCs w:val="24"/>
              </w:rPr>
            </w:pPr>
            <w:bookmarkStart w:id="7595" w:name="_Toc5825"/>
            <w:bookmarkStart w:id="7596" w:name="_Toc26542"/>
            <w:bookmarkStart w:id="7597" w:name="_Toc24630"/>
            <w:bookmarkStart w:id="7598" w:name="_Toc142898553"/>
            <w:r>
              <w:rPr>
                <w:rFonts w:cs="Mangal"/>
                <w:b/>
                <w:i/>
                <w:iCs/>
                <w:sz w:val="24"/>
                <w:szCs w:val="24"/>
              </w:rPr>
              <w:t xml:space="preserve"> Rezolvare corespunzătoare - Acces din exterior</w:t>
            </w:r>
            <w:bookmarkEnd w:id="7595"/>
            <w:bookmarkEnd w:id="7596"/>
            <w:bookmarkEnd w:id="7597"/>
            <w:bookmarkEnd w:id="7598"/>
          </w:p>
        </w:tc>
        <w:tc>
          <w:tcPr>
            <w:tcW w:w="3587" w:type="dxa"/>
          </w:tcPr>
          <w:p w14:paraId="4EF6A9D7" w14:textId="77777777" w:rsidR="001C08A5" w:rsidRDefault="00000000">
            <w:pPr>
              <w:jc w:val="center"/>
              <w:rPr>
                <w:b/>
                <w:bCs/>
                <w:i/>
                <w:sz w:val="24"/>
                <w:szCs w:val="24"/>
              </w:rPr>
            </w:pPr>
            <w:r>
              <w:rPr>
                <w:b/>
                <w:bCs/>
                <w:i/>
                <w:noProof/>
                <w:sz w:val="24"/>
                <w:szCs w:val="24"/>
                <w:lang w:eastAsia="ro-RO"/>
              </w:rPr>
              <w:drawing>
                <wp:inline distT="0" distB="0" distL="114300" distR="114300" wp14:anchorId="1EC45807" wp14:editId="6D71C4E7">
                  <wp:extent cx="2171700" cy="3202305"/>
                  <wp:effectExtent l="0" t="0" r="0" b="17145"/>
                  <wp:docPr id="23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93"/>
                          <pic:cNvPicPr>
                            <a:picLocks noChangeAspect="1"/>
                          </pic:cNvPicPr>
                        </pic:nvPicPr>
                        <pic:blipFill>
                          <a:blip r:embed="rId347"/>
                          <a:srcRect l="61723" t="3545" r="7327" b="28278"/>
                          <a:stretch>
                            <a:fillRect/>
                          </a:stretch>
                        </pic:blipFill>
                        <pic:spPr>
                          <a:xfrm>
                            <a:off x="0" y="0"/>
                            <a:ext cx="2171700" cy="3202305"/>
                          </a:xfrm>
                          <a:prstGeom prst="rect">
                            <a:avLst/>
                          </a:prstGeom>
                          <a:noFill/>
                          <a:ln>
                            <a:noFill/>
                          </a:ln>
                        </pic:spPr>
                      </pic:pic>
                    </a:graphicData>
                  </a:graphic>
                </wp:inline>
              </w:drawing>
            </w:r>
          </w:p>
          <w:p w14:paraId="67DE8541" w14:textId="77777777" w:rsidR="001C08A5" w:rsidRDefault="00000000">
            <w:pPr>
              <w:suppressLineNumbers/>
              <w:spacing w:before="120" w:after="120"/>
              <w:jc w:val="center"/>
              <w:rPr>
                <w:rFonts w:cs="Mangal"/>
                <w:b/>
                <w:i/>
                <w:iCs/>
                <w:sz w:val="24"/>
                <w:szCs w:val="24"/>
              </w:rPr>
            </w:pPr>
            <w:bookmarkStart w:id="7599" w:name="_Toc10280"/>
            <w:bookmarkStart w:id="7600" w:name="_Toc198"/>
            <w:bookmarkStart w:id="7601" w:name="_Toc6108"/>
            <w:bookmarkStart w:id="7602" w:name="_Toc142898554"/>
            <w:r>
              <w:rPr>
                <w:rFonts w:cs="Mangal"/>
                <w:b/>
                <w:i/>
                <w:iCs/>
                <w:sz w:val="24"/>
                <w:szCs w:val="24"/>
              </w:rPr>
              <w:t xml:space="preserve"> Rezolvare necorespunzătoare (legătura directa cu centrala termică)</w:t>
            </w:r>
            <w:bookmarkEnd w:id="7599"/>
            <w:bookmarkEnd w:id="7600"/>
            <w:bookmarkEnd w:id="7601"/>
            <w:bookmarkEnd w:id="7602"/>
          </w:p>
        </w:tc>
      </w:tr>
    </w:tbl>
    <w:p w14:paraId="60679BFF" w14:textId="77777777" w:rsidR="001C08A5" w:rsidRDefault="00000000">
      <w:pPr>
        <w:pStyle w:val="Caption"/>
        <w:tabs>
          <w:tab w:val="left" w:pos="426"/>
          <w:tab w:val="left" w:pos="993"/>
        </w:tabs>
        <w:jc w:val="center"/>
        <w:rPr>
          <w:rFonts w:eastAsia="Times New Roman" w:cs="Times New Roman"/>
        </w:rPr>
      </w:pPr>
      <w:bookmarkStart w:id="7603" w:name="_Toc162360396"/>
      <w:r>
        <w:t xml:space="preserve">Figura </w:t>
      </w:r>
      <w:r>
        <w:fldChar w:fldCharType="begin"/>
      </w:r>
      <w:r>
        <w:instrText xml:space="preserve"> SEQ Figura \* ARABIC </w:instrText>
      </w:r>
      <w:r>
        <w:fldChar w:fldCharType="separate"/>
      </w:r>
      <w:r>
        <w:t>172</w:t>
      </w:r>
      <w:r>
        <w:fldChar w:fldCharType="end"/>
      </w:r>
      <w:bookmarkStart w:id="7604" w:name="_Toc9612"/>
      <w:bookmarkStart w:id="7605" w:name="_Toc13154"/>
      <w:bookmarkStart w:id="7606" w:name="_Toc13252"/>
      <w:bookmarkStart w:id="7607" w:name="_Toc21450"/>
      <w:bookmarkStart w:id="7608" w:name="_Toc4978"/>
      <w:bookmarkStart w:id="7609" w:name="_Toc21620"/>
      <w:bookmarkStart w:id="7610" w:name="_Toc26836"/>
      <w:bookmarkStart w:id="7611" w:name="_Toc17742"/>
      <w:bookmarkStart w:id="7612" w:name="_Toc10054"/>
      <w:r>
        <w:t xml:space="preserve"> - </w:t>
      </w:r>
      <w:r>
        <w:rPr>
          <w:rFonts w:eastAsia="Times New Roman" w:cs="Times New Roman"/>
        </w:rPr>
        <w:t>Amplasare stație de pompare</w:t>
      </w:r>
      <w:bookmarkEnd w:id="7603"/>
      <w:bookmarkEnd w:id="7604"/>
      <w:bookmarkEnd w:id="7605"/>
      <w:bookmarkEnd w:id="7606"/>
      <w:bookmarkEnd w:id="7607"/>
      <w:bookmarkEnd w:id="7608"/>
      <w:bookmarkEnd w:id="7609"/>
      <w:bookmarkEnd w:id="7610"/>
      <w:bookmarkEnd w:id="7611"/>
      <w:bookmarkEnd w:id="7612"/>
    </w:p>
    <w:p w14:paraId="01D8750F" w14:textId="77777777" w:rsidR="001C08A5" w:rsidRDefault="001C08A5">
      <w:pPr>
        <w:tabs>
          <w:tab w:val="left" w:pos="426"/>
          <w:tab w:val="left" w:pos="993"/>
        </w:tabs>
        <w:jc w:val="center"/>
        <w:rPr>
          <w:rFonts w:eastAsia="Times New Roman"/>
          <w:b/>
          <w:i/>
          <w:sz w:val="24"/>
        </w:rPr>
      </w:pPr>
    </w:p>
    <w:p w14:paraId="680F77BF"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Staţia de pompare cu debit mai mic de </w:t>
      </w:r>
      <w:r>
        <w:rPr>
          <w:rFonts w:eastAsia="Times New Roman"/>
          <w:b/>
          <w:bCs/>
          <w:i/>
          <w:sz w:val="24"/>
        </w:rPr>
        <w:t>4.2 l/s</w:t>
      </w:r>
      <w:r>
        <w:rPr>
          <w:rFonts w:eastAsia="Times New Roman"/>
          <w:i/>
          <w:sz w:val="24"/>
        </w:rPr>
        <w:t xml:space="preserve">, se separă de restul construcţiei cu elemente clasa de reacţie la foc </w:t>
      </w:r>
      <w:r>
        <w:rPr>
          <w:rFonts w:eastAsia="Times New Roman"/>
          <w:b/>
          <w:bCs/>
          <w:i/>
          <w:sz w:val="24"/>
        </w:rPr>
        <w:t>A1</w:t>
      </w:r>
      <w:r>
        <w:rPr>
          <w:rFonts w:eastAsia="Times New Roman"/>
          <w:i/>
          <w:sz w:val="24"/>
        </w:rPr>
        <w:t xml:space="preserve"> sau </w:t>
      </w:r>
      <w:r>
        <w:rPr>
          <w:rFonts w:eastAsia="Times New Roman"/>
          <w:b/>
          <w:bCs/>
          <w:i/>
          <w:sz w:val="24"/>
        </w:rPr>
        <w:t>A2-s1d0</w:t>
      </w:r>
      <w:r>
        <w:rPr>
          <w:rFonts w:eastAsia="Times New Roman"/>
          <w:i/>
          <w:sz w:val="24"/>
        </w:rPr>
        <w:t xml:space="preserve">, min </w:t>
      </w:r>
      <w:r>
        <w:rPr>
          <w:rFonts w:eastAsia="Times New Roman"/>
          <w:b/>
          <w:bCs/>
          <w:i/>
          <w:sz w:val="24"/>
        </w:rPr>
        <w:t>EI/REI 60</w:t>
      </w:r>
      <w:r>
        <w:rPr>
          <w:rFonts w:eastAsia="Times New Roman"/>
          <w:i/>
          <w:sz w:val="24"/>
        </w:rPr>
        <w:t xml:space="preserve"> pentru pereţi şi minimum </w:t>
      </w:r>
      <w:r>
        <w:rPr>
          <w:rFonts w:eastAsia="Times New Roman"/>
          <w:b/>
          <w:bCs/>
          <w:i/>
          <w:sz w:val="24"/>
        </w:rPr>
        <w:t>REI 45</w:t>
      </w:r>
      <w:r>
        <w:rPr>
          <w:rFonts w:eastAsia="Times New Roman"/>
          <w:i/>
          <w:sz w:val="24"/>
        </w:rPr>
        <w:t xml:space="preserve"> pentru planşee. Staţia poate să comunice cu restul construcţiei printr-un gol funcţional protejat cu uşă rezistentă la foc </w:t>
      </w:r>
      <w:r>
        <w:rPr>
          <w:rFonts w:eastAsia="Times New Roman"/>
          <w:b/>
          <w:bCs/>
          <w:i/>
          <w:sz w:val="24"/>
        </w:rPr>
        <w:t>EI</w:t>
      </w:r>
      <w:r>
        <w:rPr>
          <w:rFonts w:eastAsia="Times New Roman"/>
          <w:b/>
          <w:bCs/>
          <w:i/>
          <w:sz w:val="24"/>
          <w:vertAlign w:val="subscript"/>
        </w:rPr>
        <w:t>2</w:t>
      </w:r>
      <w:r>
        <w:rPr>
          <w:rFonts w:eastAsia="Times New Roman"/>
          <w:b/>
          <w:bCs/>
          <w:i/>
          <w:sz w:val="24"/>
        </w:rPr>
        <w:t>30-C3</w:t>
      </w:r>
      <w:r>
        <w:rPr>
          <w:rFonts w:eastAsia="Times New Roman"/>
          <w:i/>
          <w:sz w:val="24"/>
        </w:rPr>
        <w:t xml:space="preserve"> fără a fi obligatoriu accesul din exterior (ușă directă din exterior sau dintr-o scară comună de circulație). Stația poate să aibă acces dintr-un hol/coridor aflat în legătură directă cu o ieșire spre exterior sau cu o scară de evacuare având debușare directă spre exterior.)</w:t>
      </w:r>
    </w:p>
    <w:p w14:paraId="3471B62D" w14:textId="77777777" w:rsidR="001C08A5" w:rsidRDefault="00000000">
      <w:pPr>
        <w:jc w:val="center"/>
        <w:rPr>
          <w:b/>
          <w:bCs/>
          <w:i/>
          <w:sz w:val="24"/>
          <w:szCs w:val="24"/>
        </w:rPr>
      </w:pPr>
      <w:r>
        <w:rPr>
          <w:b/>
          <w:bCs/>
          <w:i/>
          <w:noProof/>
          <w:sz w:val="24"/>
          <w:szCs w:val="24"/>
          <w:lang w:eastAsia="ro-RO"/>
        </w:rPr>
        <w:drawing>
          <wp:inline distT="0" distB="0" distL="114300" distR="114300" wp14:anchorId="409BD33F" wp14:editId="3503DF25">
            <wp:extent cx="5083810" cy="3239135"/>
            <wp:effectExtent l="0" t="0" r="2540" b="18415"/>
            <wp:docPr id="2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94"/>
                    <pic:cNvPicPr>
                      <a:picLocks noChangeAspect="1"/>
                    </pic:cNvPicPr>
                  </pic:nvPicPr>
                  <pic:blipFill>
                    <a:blip r:embed="rId348"/>
                    <a:srcRect l="12383" t="2789" r="7100" b="20573"/>
                    <a:stretch>
                      <a:fillRect/>
                    </a:stretch>
                  </pic:blipFill>
                  <pic:spPr>
                    <a:xfrm>
                      <a:off x="0" y="0"/>
                      <a:ext cx="5083810" cy="3239135"/>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811"/>
        <w:gridCol w:w="4828"/>
      </w:tblGrid>
      <w:tr w:rsidR="001C08A5" w14:paraId="09323271" w14:textId="77777777">
        <w:tc>
          <w:tcPr>
            <w:tcW w:w="4927" w:type="dxa"/>
            <w:tcBorders>
              <w:top w:val="nil"/>
              <w:left w:val="nil"/>
              <w:bottom w:val="nil"/>
              <w:right w:val="nil"/>
            </w:tcBorders>
          </w:tcPr>
          <w:p w14:paraId="0966BA63" w14:textId="77777777" w:rsidR="001C08A5" w:rsidRDefault="00000000">
            <w:pPr>
              <w:jc w:val="center"/>
              <w:rPr>
                <w:b/>
                <w:bCs/>
                <w:i/>
                <w:sz w:val="24"/>
                <w:szCs w:val="24"/>
              </w:rPr>
            </w:pPr>
            <w:r>
              <w:rPr>
                <w:rFonts w:eastAsia="Times New Roman"/>
                <w:b/>
                <w:bCs/>
                <w:i/>
                <w:sz w:val="24"/>
                <w:szCs w:val="24"/>
              </w:rPr>
              <w:t>PLAN</w:t>
            </w:r>
          </w:p>
        </w:tc>
        <w:tc>
          <w:tcPr>
            <w:tcW w:w="4928" w:type="dxa"/>
            <w:tcBorders>
              <w:top w:val="nil"/>
              <w:left w:val="nil"/>
              <w:bottom w:val="nil"/>
              <w:right w:val="nil"/>
            </w:tcBorders>
          </w:tcPr>
          <w:p w14:paraId="450919DE" w14:textId="77777777" w:rsidR="001C08A5" w:rsidRDefault="00000000">
            <w:pPr>
              <w:jc w:val="center"/>
              <w:rPr>
                <w:b/>
                <w:bCs/>
                <w:i/>
                <w:sz w:val="24"/>
                <w:szCs w:val="24"/>
              </w:rPr>
            </w:pPr>
            <w:r>
              <w:rPr>
                <w:rFonts w:eastAsia="Times New Roman"/>
                <w:b/>
                <w:bCs/>
                <w:i/>
                <w:sz w:val="24"/>
                <w:szCs w:val="24"/>
              </w:rPr>
              <w:t>SECȚIUNE</w:t>
            </w:r>
          </w:p>
        </w:tc>
      </w:tr>
    </w:tbl>
    <w:p w14:paraId="65C5D5E4" w14:textId="77777777" w:rsidR="001C08A5" w:rsidRDefault="00000000">
      <w:pPr>
        <w:pStyle w:val="Caption"/>
        <w:jc w:val="center"/>
      </w:pPr>
      <w:bookmarkStart w:id="7613" w:name="_Toc26622"/>
      <w:bookmarkStart w:id="7614" w:name="_Toc30370"/>
      <w:bookmarkStart w:id="7615" w:name="_Toc162360397"/>
      <w:bookmarkStart w:id="7616" w:name="_Toc142898555"/>
      <w:bookmarkStart w:id="7617" w:name="_Toc20380"/>
      <w:r>
        <w:lastRenderedPageBreak/>
        <w:t xml:space="preserve">Figura </w:t>
      </w:r>
      <w:r>
        <w:fldChar w:fldCharType="begin"/>
      </w:r>
      <w:r>
        <w:instrText xml:space="preserve"> SEQ Figura \* ARABIC </w:instrText>
      </w:r>
      <w:r>
        <w:fldChar w:fldCharType="separate"/>
      </w:r>
      <w:r>
        <w:t>173</w:t>
      </w:r>
      <w:r>
        <w:fldChar w:fldCharType="end"/>
      </w:r>
      <w:bookmarkStart w:id="7618" w:name="_Toc2576"/>
      <w:bookmarkStart w:id="7619" w:name="_Toc16476"/>
      <w:bookmarkStart w:id="7620" w:name="_Toc5033"/>
      <w:bookmarkStart w:id="7621" w:name="_Toc18382"/>
      <w:bookmarkStart w:id="7622" w:name="_Toc12102"/>
      <w:bookmarkStart w:id="7623" w:name="_Toc16119"/>
      <w:bookmarkStart w:id="7624" w:name="_Toc32494"/>
      <w:bookmarkStart w:id="7625" w:name="_Toc25940"/>
      <w:bookmarkStart w:id="7626" w:name="_Toc32636"/>
      <w:r>
        <w:t xml:space="preserve"> - Stație de pompare - Acces pe scara verticală</w:t>
      </w:r>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p>
    <w:p w14:paraId="71AB788C" w14:textId="77777777" w:rsidR="001C08A5" w:rsidRDefault="00000000">
      <w:pPr>
        <w:pStyle w:val="Heading3"/>
        <w:rPr>
          <w:i/>
          <w:iCs/>
          <w:sz w:val="24"/>
          <w:szCs w:val="24"/>
        </w:rPr>
      </w:pPr>
      <w:bookmarkStart w:id="7627" w:name="_Toc17346"/>
      <w:bookmarkStart w:id="7628" w:name="_Toc25967"/>
      <w:bookmarkStart w:id="7629" w:name="_Toc4613"/>
      <w:bookmarkStart w:id="7630" w:name="_Toc162355427"/>
      <w:bookmarkStart w:id="7631" w:name="_Toc28959"/>
      <w:bookmarkStart w:id="7632" w:name="_Toc7664"/>
      <w:bookmarkStart w:id="7633" w:name="_Toc27037"/>
      <w:bookmarkStart w:id="7634" w:name="_Toc25929"/>
      <w:bookmarkStart w:id="7635" w:name="_Toc9862"/>
      <w:bookmarkStart w:id="7636" w:name="_Toc3959"/>
      <w:bookmarkStart w:id="7637" w:name="_Toc12628"/>
      <w:bookmarkStart w:id="7638" w:name="_Toc3083"/>
      <w:bookmarkStart w:id="7639" w:name="_Toc19481"/>
      <w:bookmarkStart w:id="7640" w:name="_Toc19713"/>
      <w:bookmarkStart w:id="7641" w:name="_Toc14972"/>
      <w:bookmarkStart w:id="7642" w:name="_Toc13749"/>
      <w:r>
        <w:rPr>
          <w:i/>
          <w:iCs/>
          <w:sz w:val="24"/>
          <w:szCs w:val="24"/>
        </w:rPr>
        <w:t>ANEXA 4.5 - ÎNCĂPERI DE DEPOZITARE</w:t>
      </w:r>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p>
    <w:p w14:paraId="5A3C8234" w14:textId="77777777" w:rsidR="001C08A5" w:rsidRDefault="001C08A5">
      <w:pPr>
        <w:jc w:val="both"/>
        <w:rPr>
          <w:b/>
          <w:bCs/>
          <w:i/>
          <w:sz w:val="24"/>
          <w:szCs w:val="24"/>
        </w:rPr>
      </w:pPr>
    </w:p>
    <w:p w14:paraId="5E5BDBBB"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Încăperile de depozitare a materialelor şi substanţelor combustibile solide, cu aria mai mare de </w:t>
      </w:r>
      <w:r>
        <w:rPr>
          <w:rFonts w:eastAsia="Times New Roman"/>
          <w:b/>
          <w:bCs/>
          <w:i/>
          <w:sz w:val="24"/>
        </w:rPr>
        <w:t>36</w:t>
      </w:r>
      <w:r>
        <w:rPr>
          <w:rFonts w:eastAsia="Times New Roman"/>
          <w:i/>
          <w:sz w:val="24"/>
        </w:rPr>
        <w:t xml:space="preserve"> m</w:t>
      </w:r>
      <w:r>
        <w:rPr>
          <w:rFonts w:eastAsia="Times New Roman"/>
          <w:i/>
          <w:sz w:val="24"/>
          <w:vertAlign w:val="superscript"/>
        </w:rPr>
        <w:t>2</w:t>
      </w:r>
      <w:r>
        <w:rPr>
          <w:rFonts w:eastAsia="Times New Roman"/>
          <w:i/>
          <w:sz w:val="24"/>
        </w:rPr>
        <w:t xml:space="preserve"> situate în construcţii cu alte destinaţii, trebuie să aibă asigurate conform normativului:</w:t>
      </w:r>
    </w:p>
    <w:p w14:paraId="050982C8" w14:textId="77777777" w:rsidR="001C08A5" w:rsidRDefault="00000000">
      <w:pPr>
        <w:ind w:left="720" w:firstLine="720"/>
        <w:jc w:val="both"/>
        <w:rPr>
          <w:rFonts w:eastAsia="Times New Roman"/>
          <w:i/>
          <w:sz w:val="24"/>
          <w:szCs w:val="24"/>
        </w:rPr>
      </w:pPr>
      <w:r>
        <w:rPr>
          <w:rFonts w:eastAsia="Times New Roman"/>
          <w:i/>
          <w:sz w:val="24"/>
          <w:szCs w:val="24"/>
        </w:rPr>
        <w:t xml:space="preserve">a) separări faţă de restul construcţiei, cu pereţi şi planşee </w:t>
      </w:r>
      <w:r>
        <w:rPr>
          <w:rFonts w:eastAsia="Times New Roman"/>
          <w:b/>
          <w:bCs/>
          <w:i/>
          <w:sz w:val="24"/>
          <w:szCs w:val="24"/>
        </w:rPr>
        <w:t>A1, A2s1d0</w:t>
      </w:r>
      <w:r>
        <w:rPr>
          <w:rFonts w:eastAsia="Times New Roman"/>
          <w:i/>
          <w:sz w:val="24"/>
          <w:szCs w:val="24"/>
        </w:rPr>
        <w:t>, rezistente la foc corespunzător densităţii sarcinii termice şi claselor de periculozitate a materialelor depozitate;</w:t>
      </w:r>
    </w:p>
    <w:p w14:paraId="58EAF112" w14:textId="77777777" w:rsidR="001C08A5" w:rsidRDefault="00000000">
      <w:pPr>
        <w:ind w:left="720" w:firstLine="720"/>
        <w:jc w:val="both"/>
        <w:rPr>
          <w:rFonts w:eastAsia="Times New Roman"/>
          <w:i/>
          <w:sz w:val="24"/>
          <w:szCs w:val="24"/>
        </w:rPr>
      </w:pPr>
      <w:r>
        <w:rPr>
          <w:rFonts w:eastAsia="Times New Roman"/>
          <w:i/>
          <w:sz w:val="24"/>
          <w:szCs w:val="24"/>
        </w:rPr>
        <w:t>b) protecţia golurilor de comunicare funcţională practicate în elementele de separare;</w:t>
      </w:r>
    </w:p>
    <w:p w14:paraId="482F2524" w14:textId="77777777" w:rsidR="001C08A5" w:rsidRDefault="00000000">
      <w:pPr>
        <w:ind w:left="720" w:firstLine="720"/>
        <w:jc w:val="both"/>
        <w:rPr>
          <w:rFonts w:eastAsia="Times New Roman"/>
          <w:i/>
          <w:sz w:val="24"/>
          <w:szCs w:val="24"/>
        </w:rPr>
      </w:pPr>
      <w:r>
        <w:rPr>
          <w:rFonts w:eastAsia="Times New Roman"/>
          <w:i/>
          <w:sz w:val="24"/>
          <w:szCs w:val="24"/>
        </w:rPr>
        <w:t>c) evacuarea fumului, în caz de incendiu.</w:t>
      </w:r>
    </w:p>
    <w:p w14:paraId="53B0BB9B" w14:textId="77777777" w:rsidR="001C08A5" w:rsidRDefault="00000000">
      <w:pPr>
        <w:jc w:val="center"/>
        <w:rPr>
          <w:b/>
          <w:bCs/>
          <w:i/>
          <w:sz w:val="24"/>
          <w:szCs w:val="24"/>
        </w:rPr>
      </w:pPr>
      <w:r>
        <w:rPr>
          <w:b/>
          <w:bCs/>
          <w:i/>
          <w:noProof/>
          <w:sz w:val="24"/>
          <w:szCs w:val="24"/>
        </w:rPr>
        <w:drawing>
          <wp:inline distT="0" distB="0" distL="114300" distR="114300" wp14:anchorId="70945E50" wp14:editId="06F31508">
            <wp:extent cx="6021070" cy="3552190"/>
            <wp:effectExtent l="0" t="0" r="17780" b="10160"/>
            <wp:docPr id="3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21"/>
                    <pic:cNvPicPr>
                      <a:picLocks noChangeAspect="1"/>
                    </pic:cNvPicPr>
                  </pic:nvPicPr>
                  <pic:blipFill>
                    <a:blip r:embed="rId349"/>
                    <a:srcRect l="12627" t="7348" r="7605" b="27194"/>
                    <a:stretch>
                      <a:fillRect/>
                    </a:stretch>
                  </pic:blipFill>
                  <pic:spPr>
                    <a:xfrm>
                      <a:off x="0" y="0"/>
                      <a:ext cx="6021070" cy="3552190"/>
                    </a:xfrm>
                    <a:prstGeom prst="rect">
                      <a:avLst/>
                    </a:prstGeom>
                    <a:noFill/>
                    <a:ln>
                      <a:noFill/>
                    </a:ln>
                  </pic:spPr>
                </pic:pic>
              </a:graphicData>
            </a:graphic>
          </wp:inline>
        </w:drawing>
      </w:r>
    </w:p>
    <w:p w14:paraId="3E1A07DE" w14:textId="77777777" w:rsidR="001C08A5" w:rsidRDefault="00000000">
      <w:pPr>
        <w:pStyle w:val="Caption"/>
        <w:jc w:val="center"/>
      </w:pPr>
      <w:bookmarkStart w:id="7643" w:name="_Toc142898556"/>
      <w:bookmarkStart w:id="7644" w:name="_Toc1504"/>
      <w:bookmarkStart w:id="7645" w:name="_Toc162360398"/>
      <w:bookmarkStart w:id="7646" w:name="_Toc21534"/>
      <w:bookmarkStart w:id="7647" w:name="_Toc29757"/>
      <w:r>
        <w:t xml:space="preserve">Figura </w:t>
      </w:r>
      <w:r>
        <w:fldChar w:fldCharType="begin"/>
      </w:r>
      <w:r>
        <w:instrText xml:space="preserve"> SEQ Figura \* ARABIC </w:instrText>
      </w:r>
      <w:r>
        <w:fldChar w:fldCharType="separate"/>
      </w:r>
      <w:r>
        <w:t>174</w:t>
      </w:r>
      <w:r>
        <w:fldChar w:fldCharType="end"/>
      </w:r>
      <w:bookmarkStart w:id="7648" w:name="_Toc23761"/>
      <w:bookmarkStart w:id="7649" w:name="_Toc24743"/>
      <w:bookmarkStart w:id="7650" w:name="_Toc20812"/>
      <w:bookmarkStart w:id="7651" w:name="_Toc4519"/>
      <w:bookmarkStart w:id="7652" w:name="_Toc11991"/>
      <w:bookmarkStart w:id="7653" w:name="_Toc1550"/>
      <w:bookmarkStart w:id="7654" w:name="_Toc27553"/>
      <w:bookmarkStart w:id="7655" w:name="_Toc1201"/>
      <w:bookmarkStart w:id="7656" w:name="_Toc22699"/>
      <w:r>
        <w:t xml:space="preserve"> - Încăpere de depozitare (exemplu)</w:t>
      </w:r>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p>
    <w:p w14:paraId="07ACB255" w14:textId="77777777" w:rsidR="001C08A5" w:rsidRDefault="00000000">
      <w:pPr>
        <w:suppressLineNumbers/>
        <w:spacing w:before="120" w:after="120"/>
        <w:jc w:val="both"/>
        <w:rPr>
          <w:rFonts w:cs="Mangal"/>
          <w:bCs/>
          <w:i/>
          <w:iCs/>
          <w:sz w:val="22"/>
          <w:szCs w:val="22"/>
        </w:rPr>
      </w:pPr>
      <w:r>
        <w:rPr>
          <w:rFonts w:cs="Mangal"/>
          <w:bCs/>
          <w:i/>
          <w:iCs/>
          <w:sz w:val="22"/>
          <w:szCs w:val="22"/>
        </w:rPr>
        <w:t>Notă: Golurile de introducere pentru aportul de aer (natural organizat) vor fi protejate cu voleți sau grile expandabile (cu rezistența la foc minimum jumătate cât a peretelui străpuns)</w:t>
      </w:r>
    </w:p>
    <w:p w14:paraId="074222D3" w14:textId="77777777" w:rsidR="001C08A5" w:rsidRDefault="00000000">
      <w:pPr>
        <w:jc w:val="center"/>
        <w:rPr>
          <w:b/>
          <w:bCs/>
          <w:i/>
          <w:sz w:val="24"/>
          <w:szCs w:val="24"/>
        </w:rPr>
      </w:pPr>
      <w:r>
        <w:rPr>
          <w:b/>
          <w:bCs/>
          <w:i/>
          <w:noProof/>
          <w:sz w:val="24"/>
          <w:szCs w:val="24"/>
        </w:rPr>
        <w:drawing>
          <wp:inline distT="0" distB="0" distL="114300" distR="114300" wp14:anchorId="367A9206" wp14:editId="1740B9E9">
            <wp:extent cx="6007100" cy="2723515"/>
            <wp:effectExtent l="0" t="0" r="12700" b="635"/>
            <wp:docPr id="3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22"/>
                    <pic:cNvPicPr>
                      <a:picLocks noChangeAspect="1"/>
                    </pic:cNvPicPr>
                  </pic:nvPicPr>
                  <pic:blipFill>
                    <a:blip r:embed="rId350"/>
                    <a:srcRect l="12720" t="23040" r="7697" b="26773"/>
                    <a:stretch>
                      <a:fillRect/>
                    </a:stretch>
                  </pic:blipFill>
                  <pic:spPr>
                    <a:xfrm>
                      <a:off x="0" y="0"/>
                      <a:ext cx="6007100" cy="2723515"/>
                    </a:xfrm>
                    <a:prstGeom prst="rect">
                      <a:avLst/>
                    </a:prstGeom>
                    <a:noFill/>
                    <a:ln>
                      <a:noFill/>
                    </a:ln>
                  </pic:spPr>
                </pic:pic>
              </a:graphicData>
            </a:graphic>
          </wp:inline>
        </w:drawing>
      </w:r>
    </w:p>
    <w:p w14:paraId="0F3EB81F" w14:textId="77777777" w:rsidR="001C08A5" w:rsidRDefault="00000000">
      <w:pPr>
        <w:pStyle w:val="Caption"/>
        <w:jc w:val="center"/>
        <w:rPr>
          <w:rFonts w:cs="Times New Roman"/>
          <w:bCs/>
        </w:rPr>
      </w:pPr>
      <w:bookmarkStart w:id="7657" w:name="_Toc162360399"/>
      <w:r>
        <w:t xml:space="preserve">Figura </w:t>
      </w:r>
      <w:r>
        <w:fldChar w:fldCharType="begin"/>
      </w:r>
      <w:r>
        <w:instrText xml:space="preserve"> SEQ Figura \* ARABIC </w:instrText>
      </w:r>
      <w:r>
        <w:fldChar w:fldCharType="separate"/>
      </w:r>
      <w:r>
        <w:t>175</w:t>
      </w:r>
      <w:r>
        <w:fldChar w:fldCharType="end"/>
      </w:r>
      <w:bookmarkStart w:id="7658" w:name="_Toc6651"/>
      <w:bookmarkStart w:id="7659" w:name="_Toc28096"/>
      <w:bookmarkStart w:id="7660" w:name="_Toc27197"/>
      <w:bookmarkStart w:id="7661" w:name="_Toc26813"/>
      <w:bookmarkStart w:id="7662" w:name="_Toc25802"/>
      <w:bookmarkStart w:id="7663" w:name="_Toc6541"/>
      <w:bookmarkStart w:id="7664" w:name="_Toc18497"/>
      <w:bookmarkStart w:id="7665" w:name="_Toc20760"/>
      <w:bookmarkStart w:id="7666" w:name="_Toc22277"/>
      <w:r>
        <w:t xml:space="preserve"> - </w:t>
      </w:r>
      <w:r>
        <w:rPr>
          <w:rFonts w:cs="Times New Roman"/>
          <w:bCs/>
        </w:rPr>
        <w:t>Încăperi și spații de depozitare (exemplu)</w:t>
      </w:r>
      <w:bookmarkEnd w:id="7657"/>
      <w:bookmarkEnd w:id="7658"/>
      <w:bookmarkEnd w:id="7659"/>
      <w:bookmarkEnd w:id="7660"/>
      <w:bookmarkEnd w:id="7661"/>
      <w:bookmarkEnd w:id="7662"/>
      <w:bookmarkEnd w:id="7663"/>
      <w:bookmarkEnd w:id="7664"/>
      <w:bookmarkEnd w:id="7665"/>
      <w:bookmarkEnd w:id="7666"/>
    </w:p>
    <w:p w14:paraId="742A2AF7" w14:textId="77777777" w:rsidR="001C08A5" w:rsidRDefault="00000000">
      <w:pPr>
        <w:pStyle w:val="Heading3"/>
        <w:rPr>
          <w:i/>
          <w:iCs/>
          <w:sz w:val="24"/>
          <w:szCs w:val="24"/>
        </w:rPr>
      </w:pPr>
      <w:bookmarkStart w:id="7667" w:name="_Toc14890"/>
      <w:bookmarkStart w:id="7668" w:name="_Toc22529"/>
      <w:bookmarkStart w:id="7669" w:name="_Toc31213"/>
      <w:bookmarkStart w:id="7670" w:name="_Toc5475"/>
      <w:bookmarkStart w:id="7671" w:name="_Toc162355428"/>
      <w:bookmarkStart w:id="7672" w:name="_Toc25462"/>
      <w:bookmarkStart w:id="7673" w:name="_Toc1823"/>
      <w:bookmarkStart w:id="7674" w:name="_Toc5229"/>
      <w:bookmarkStart w:id="7675" w:name="_Toc31648"/>
      <w:bookmarkStart w:id="7676" w:name="_Toc9726"/>
      <w:bookmarkStart w:id="7677" w:name="_Toc17142"/>
      <w:bookmarkStart w:id="7678" w:name="_Toc7295"/>
      <w:bookmarkStart w:id="7679" w:name="_Toc16070"/>
      <w:bookmarkStart w:id="7680" w:name="_Toc225"/>
      <w:bookmarkStart w:id="7681" w:name="_Toc27159"/>
      <w:r>
        <w:rPr>
          <w:i/>
          <w:iCs/>
          <w:sz w:val="24"/>
          <w:szCs w:val="24"/>
        </w:rPr>
        <w:lastRenderedPageBreak/>
        <w:t>ANEXA 4.6 - INSTALAŢII ŞI ECHIPAMENTE SPECIFICE ENERGIEI REGENERABILE</w:t>
      </w:r>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p>
    <w:p w14:paraId="10BF3E4B" w14:textId="77777777" w:rsidR="001C08A5" w:rsidRDefault="001C08A5">
      <w:pPr>
        <w:jc w:val="both"/>
        <w:rPr>
          <w:rFonts w:eastAsia="Times New Roman"/>
          <w:i/>
          <w:sz w:val="24"/>
          <w:szCs w:val="24"/>
        </w:rPr>
      </w:pPr>
    </w:p>
    <w:p w14:paraId="13C580C4"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Faţadele și acoperișurile pe care sunt aplicate dispozitive fotovoltaice, vor avea: </w:t>
      </w:r>
    </w:p>
    <w:p w14:paraId="1AE9978D" w14:textId="77777777" w:rsidR="001C08A5" w:rsidRDefault="00000000">
      <w:pPr>
        <w:widowControl w:val="0"/>
        <w:ind w:left="993"/>
        <w:jc w:val="both"/>
        <w:rPr>
          <w:rFonts w:eastAsia="Calibri"/>
          <w:i/>
          <w:iCs/>
          <w:sz w:val="24"/>
          <w:szCs w:val="24"/>
          <w:lang w:val="en-GB" w:eastAsia="en-GB"/>
        </w:rPr>
      </w:pPr>
      <w:r>
        <w:rPr>
          <w:rFonts w:eastAsia="Calibri"/>
          <w:b/>
          <w:i/>
          <w:iCs/>
          <w:sz w:val="24"/>
          <w:szCs w:val="24"/>
        </w:rPr>
        <w:t xml:space="preserve">a) </w:t>
      </w:r>
      <w:r>
        <w:rPr>
          <w:rFonts w:eastAsia="Calibri"/>
          <w:i/>
          <w:iCs/>
          <w:sz w:val="24"/>
          <w:szCs w:val="24"/>
        </w:rPr>
        <w:t>termoizolaţia faţadei incombustibilă, indiferent de destinaţie şi/sau de regimul de înălţime al clădirii;</w:t>
      </w:r>
    </w:p>
    <w:p w14:paraId="0E67C67B" w14:textId="77777777" w:rsidR="001C08A5" w:rsidRDefault="00000000">
      <w:pPr>
        <w:widowControl w:val="0"/>
        <w:ind w:left="993"/>
        <w:jc w:val="both"/>
        <w:rPr>
          <w:rFonts w:eastAsia="Calibri"/>
          <w:i/>
          <w:iCs/>
          <w:sz w:val="24"/>
          <w:szCs w:val="24"/>
        </w:rPr>
      </w:pPr>
      <w:r>
        <w:rPr>
          <w:rFonts w:eastAsia="Calibri"/>
          <w:b/>
          <w:i/>
          <w:iCs/>
          <w:sz w:val="24"/>
          <w:szCs w:val="24"/>
        </w:rPr>
        <w:t xml:space="preserve">b) </w:t>
      </w:r>
      <w:r>
        <w:rPr>
          <w:rFonts w:eastAsia="Calibri"/>
          <w:i/>
          <w:iCs/>
          <w:sz w:val="24"/>
          <w:szCs w:val="24"/>
        </w:rPr>
        <w:t>ancorări şi asamblări incombustibile, indiferent de destinaţie şi/sau de regimul de înălţime al clădirii;</w:t>
      </w:r>
    </w:p>
    <w:p w14:paraId="3E361062" w14:textId="77777777" w:rsidR="001C08A5" w:rsidRDefault="00000000">
      <w:pPr>
        <w:widowControl w:val="0"/>
        <w:ind w:left="993"/>
        <w:jc w:val="both"/>
        <w:rPr>
          <w:rFonts w:eastAsia="Calibri"/>
          <w:i/>
          <w:iCs/>
          <w:sz w:val="24"/>
          <w:szCs w:val="24"/>
        </w:rPr>
      </w:pPr>
      <w:r>
        <w:rPr>
          <w:b/>
          <w:i/>
          <w:iCs/>
          <w:sz w:val="24"/>
          <w:szCs w:val="24"/>
        </w:rPr>
        <w:t xml:space="preserve">c) </w:t>
      </w:r>
      <w:r>
        <w:rPr>
          <w:i/>
          <w:iCs/>
          <w:sz w:val="24"/>
          <w:szCs w:val="24"/>
        </w:rPr>
        <w:t>legături de echipotenţializare şi legare la pământ, în conformitate cu normativele de specialitate</w:t>
      </w:r>
      <w:r>
        <w:rPr>
          <w:rFonts w:eastAsia="Calibri"/>
          <w:i/>
          <w:iCs/>
          <w:sz w:val="24"/>
          <w:szCs w:val="24"/>
        </w:rPr>
        <w:t>.</w:t>
      </w:r>
    </w:p>
    <w:p w14:paraId="3B1F662E" w14:textId="77777777" w:rsidR="001C08A5" w:rsidRDefault="00000000">
      <w:pPr>
        <w:widowControl w:val="0"/>
        <w:ind w:left="993"/>
        <w:jc w:val="both"/>
        <w:rPr>
          <w:rFonts w:eastAsia="Calibri"/>
          <w:i/>
          <w:iCs/>
          <w:sz w:val="24"/>
          <w:szCs w:val="24"/>
        </w:rPr>
      </w:pPr>
      <w:r>
        <w:rPr>
          <w:rFonts w:eastAsia="TimesNewRomanPSMT-Identity-H"/>
          <w:b/>
          <w:bCs/>
          <w:i/>
          <w:iCs/>
          <w:sz w:val="24"/>
          <w:szCs w:val="24"/>
        </w:rPr>
        <w:t>d)</w:t>
      </w:r>
      <w:r>
        <w:rPr>
          <w:rFonts w:eastAsia="TimesNewRomanPSMT-Identity-H"/>
          <w:i/>
          <w:iCs/>
          <w:sz w:val="24"/>
          <w:szCs w:val="24"/>
        </w:rPr>
        <w:t xml:space="preserve"> pe acoperiș, </w:t>
      </w:r>
      <w:r>
        <w:rPr>
          <w:rFonts w:eastAsia="Calibri"/>
          <w:i/>
          <w:iCs/>
          <w:sz w:val="24"/>
          <w:szCs w:val="24"/>
        </w:rPr>
        <w:t>stratul pe care se aplica :</w:t>
      </w:r>
    </w:p>
    <w:p w14:paraId="3E9FBFBD" w14:textId="77777777" w:rsidR="001C08A5" w:rsidRDefault="00000000">
      <w:pPr>
        <w:widowControl w:val="0"/>
        <w:ind w:left="2160" w:firstLine="720"/>
        <w:jc w:val="both"/>
        <w:rPr>
          <w:rFonts w:eastAsia="Calibri"/>
          <w:i/>
          <w:iCs/>
          <w:sz w:val="24"/>
          <w:szCs w:val="24"/>
        </w:rPr>
      </w:pPr>
      <w:r>
        <w:rPr>
          <w:rFonts w:eastAsia="Calibri"/>
          <w:i/>
          <w:iCs/>
          <w:sz w:val="24"/>
          <w:szCs w:val="24"/>
        </w:rPr>
        <w:t xml:space="preserve">- trebuie sa indeplineasca performanta la foc exterior prevăzuta în </w:t>
      </w:r>
      <w:r>
        <w:rPr>
          <w:rFonts w:eastAsia="Calibri"/>
          <w:i/>
          <w:iCs/>
          <w:sz w:val="24"/>
          <w:szCs w:val="24"/>
        </w:rPr>
        <w:fldChar w:fldCharType="begin"/>
      </w:r>
      <w:r>
        <w:rPr>
          <w:rFonts w:eastAsia="Calibri"/>
          <w:i/>
          <w:iCs/>
          <w:sz w:val="24"/>
          <w:szCs w:val="24"/>
        </w:rPr>
        <w:instrText xml:space="preserve"> REF _Ref4440 \h </w:instrText>
      </w:r>
      <w:r>
        <w:rPr>
          <w:rFonts w:eastAsia="Calibri"/>
          <w:i/>
          <w:iCs/>
          <w:sz w:val="24"/>
          <w:szCs w:val="24"/>
        </w:rPr>
      </w:r>
      <w:r>
        <w:rPr>
          <w:rFonts w:eastAsia="Calibri"/>
          <w:i/>
          <w:iCs/>
          <w:sz w:val="24"/>
          <w:szCs w:val="24"/>
        </w:rPr>
        <w:fldChar w:fldCharType="separate"/>
      </w:r>
      <w:r>
        <w:t>Tabelul 2: Condiţii minime pentru încadrarea construcţiei sau a compartimentului de incendiu în niveluri de stabilitate la incendiu pentru construcții civile</w:t>
      </w:r>
      <w:r>
        <w:rPr>
          <w:rFonts w:eastAsia="Calibri"/>
          <w:i/>
          <w:iCs/>
          <w:sz w:val="24"/>
          <w:szCs w:val="24"/>
        </w:rPr>
        <w:fldChar w:fldCharType="end"/>
      </w:r>
      <w:r>
        <w:rPr>
          <w:rFonts w:eastAsia="Times-Roman"/>
          <w:i/>
          <w:iCs/>
          <w:sz w:val="24"/>
          <w:szCs w:val="24"/>
        </w:rPr>
        <w:t xml:space="preserve"> și/ sau </w:t>
      </w:r>
      <w:r>
        <w:rPr>
          <w:rFonts w:eastAsia="Times-Roman"/>
          <w:i/>
          <w:iCs/>
          <w:sz w:val="24"/>
          <w:szCs w:val="24"/>
        </w:rPr>
        <w:fldChar w:fldCharType="begin"/>
      </w:r>
      <w:r>
        <w:rPr>
          <w:rFonts w:eastAsia="Times-Roman"/>
          <w:i/>
          <w:iCs/>
          <w:sz w:val="24"/>
          <w:szCs w:val="24"/>
        </w:rPr>
        <w:instrText xml:space="preserve"> REF _Ref22312 \h </w:instrText>
      </w:r>
      <w:r>
        <w:rPr>
          <w:rFonts w:eastAsia="Times-Roman"/>
          <w:i/>
          <w:iCs/>
          <w:sz w:val="24"/>
          <w:szCs w:val="24"/>
        </w:rPr>
      </w:r>
      <w:r>
        <w:rPr>
          <w:rFonts w:eastAsia="Times-Roman"/>
          <w:i/>
          <w:iCs/>
          <w:sz w:val="24"/>
          <w:szCs w:val="24"/>
        </w:rPr>
        <w:fldChar w:fldCharType="separate"/>
      </w:r>
      <w:r>
        <w:t>Tabelul 3: Condiţii minime pentru încadrarea construcţiei sau a compartimentului de incendiu în niveluri de stabilitate la incendiu pentru construcții de productie și /sau depozitare</w:t>
      </w:r>
      <w:r>
        <w:rPr>
          <w:rFonts w:eastAsia="Times-Roman"/>
          <w:i/>
          <w:iCs/>
          <w:sz w:val="24"/>
          <w:szCs w:val="24"/>
        </w:rPr>
        <w:fldChar w:fldCharType="end"/>
      </w:r>
      <w:r>
        <w:rPr>
          <w:rFonts w:eastAsia="Times-Roman"/>
          <w:i/>
          <w:iCs/>
          <w:sz w:val="24"/>
          <w:szCs w:val="24"/>
        </w:rPr>
        <w:t xml:space="preserve"> </w:t>
      </w:r>
      <w:r>
        <w:rPr>
          <w:rFonts w:eastAsia="Calibri"/>
          <w:b/>
          <w:bCs/>
          <w:i/>
          <w:iCs/>
          <w:sz w:val="24"/>
          <w:szCs w:val="24"/>
        </w:rPr>
        <w:t>din normativ</w:t>
      </w:r>
      <w:r>
        <w:rPr>
          <w:rFonts w:eastAsia="Calibri"/>
          <w:i/>
          <w:iCs/>
          <w:sz w:val="24"/>
          <w:szCs w:val="24"/>
        </w:rPr>
        <w:t xml:space="preserve"> sau </w:t>
      </w:r>
      <w:r>
        <w:rPr>
          <w:rFonts w:eastAsia="Calibri"/>
          <w:b/>
          <w:bCs/>
          <w:i/>
          <w:iCs/>
          <w:sz w:val="24"/>
          <w:szCs w:val="24"/>
        </w:rPr>
        <w:fldChar w:fldCharType="begin"/>
      </w:r>
      <w:r>
        <w:rPr>
          <w:rFonts w:eastAsia="Calibri"/>
          <w:b/>
          <w:bCs/>
          <w:i/>
          <w:iCs/>
          <w:sz w:val="24"/>
          <w:szCs w:val="24"/>
        </w:rPr>
        <w:instrText xml:space="preserve"> REF _Ref22995 \h </w:instrText>
      </w:r>
      <w:r>
        <w:rPr>
          <w:rFonts w:eastAsia="Calibri"/>
          <w:b/>
          <w:bCs/>
          <w:i/>
          <w:iCs/>
          <w:sz w:val="24"/>
          <w:szCs w:val="24"/>
        </w:rPr>
      </w:r>
      <w:r>
        <w:rPr>
          <w:rFonts w:eastAsia="Calibri"/>
          <w:b/>
          <w:bCs/>
          <w:i/>
          <w:iCs/>
          <w:sz w:val="24"/>
          <w:szCs w:val="24"/>
        </w:rPr>
        <w:fldChar w:fldCharType="separate"/>
      </w:r>
      <w:r>
        <w:t xml:space="preserve">Tabelul 144: </w:t>
      </w:r>
      <w:r>
        <w:rPr>
          <w:rFonts w:eastAsia="Calibri"/>
          <w:bCs/>
          <w:shd w:val="clear" w:color="auto" w:fill="FFFFFF"/>
        </w:rPr>
        <w:t>Condiții minime pentru încadrarea construcțiilor existente în nivel de stabilitate la incendiu</w:t>
      </w:r>
      <w:r>
        <w:rPr>
          <w:rFonts w:eastAsia="Calibri"/>
          <w:b/>
          <w:bCs/>
          <w:i/>
          <w:iCs/>
          <w:sz w:val="24"/>
          <w:szCs w:val="24"/>
        </w:rPr>
        <w:fldChar w:fldCharType="end"/>
      </w:r>
      <w:r>
        <w:rPr>
          <w:rFonts w:eastAsia="Calibri"/>
          <w:i/>
          <w:iCs/>
          <w:sz w:val="24"/>
          <w:szCs w:val="24"/>
        </w:rPr>
        <w:t xml:space="preserve"> din</w:t>
      </w:r>
      <w:r>
        <w:rPr>
          <w:rFonts w:eastAsia="Calibri"/>
          <w:b/>
          <w:bCs/>
          <w:i/>
          <w:iCs/>
          <w:sz w:val="24"/>
          <w:szCs w:val="24"/>
        </w:rPr>
        <w:t xml:space="preserve"> Anexa 10 </w:t>
      </w:r>
      <w:r>
        <w:rPr>
          <w:rFonts w:eastAsia="Calibri"/>
          <w:i/>
          <w:iCs/>
          <w:sz w:val="24"/>
          <w:szCs w:val="24"/>
        </w:rPr>
        <w:t>(pentru construcții existente)</w:t>
      </w:r>
      <w:r>
        <w:rPr>
          <w:rFonts w:eastAsia="Calibri"/>
          <w:b/>
          <w:bCs/>
          <w:i/>
          <w:iCs/>
          <w:sz w:val="24"/>
          <w:szCs w:val="24"/>
        </w:rPr>
        <w:t xml:space="preserve"> </w:t>
      </w:r>
      <w:r>
        <w:rPr>
          <w:rFonts w:eastAsia="Calibri"/>
          <w:i/>
          <w:iCs/>
          <w:sz w:val="24"/>
          <w:szCs w:val="24"/>
        </w:rPr>
        <w:t xml:space="preserve">pentru sistemele de invelitoare (Panouri/ sisteme de învelitoare ale acoperişurilor în pantă cu  încărcări suplimentare provenite din PV) </w:t>
      </w:r>
    </w:p>
    <w:p w14:paraId="118B8503" w14:textId="77777777" w:rsidR="001C08A5" w:rsidRDefault="00000000">
      <w:pPr>
        <w:widowControl w:val="0"/>
        <w:ind w:left="2160" w:firstLine="720"/>
        <w:jc w:val="both"/>
        <w:rPr>
          <w:rFonts w:eastAsia="Calibri"/>
          <w:i/>
          <w:iCs/>
          <w:sz w:val="24"/>
          <w:szCs w:val="24"/>
        </w:rPr>
      </w:pPr>
      <w:r>
        <w:rPr>
          <w:rFonts w:eastAsia="Calibri"/>
          <w:i/>
          <w:iCs/>
          <w:sz w:val="24"/>
          <w:szCs w:val="24"/>
        </w:rPr>
        <w:t xml:space="preserve">sau </w:t>
      </w:r>
    </w:p>
    <w:p w14:paraId="307A8547" w14:textId="77777777" w:rsidR="001C08A5" w:rsidRDefault="00000000">
      <w:pPr>
        <w:widowControl w:val="0"/>
        <w:ind w:left="2160" w:firstLine="720"/>
        <w:jc w:val="both"/>
        <w:rPr>
          <w:rFonts w:eastAsia="Calibri"/>
          <w:i/>
          <w:iCs/>
          <w:sz w:val="24"/>
          <w:szCs w:val="24"/>
        </w:rPr>
      </w:pPr>
      <w:r>
        <w:rPr>
          <w:rFonts w:eastAsia="Calibri"/>
          <w:i/>
          <w:iCs/>
          <w:sz w:val="24"/>
          <w:szCs w:val="24"/>
        </w:rPr>
        <w:t xml:space="preserve">- în cazul dispunerii panourilor fotovoltaice peste un planșeu tip terasă, stratul component exterior al acoperişurilor cu rol de asigurare a etanşeităţii construcţiei faţă de intemperii (de cele mai multe ori hidroizolația) sa indeplineasca performanta la foc exterior prevăzuta în </w:t>
      </w:r>
      <w:r>
        <w:rPr>
          <w:rFonts w:eastAsia="Calibri"/>
          <w:i/>
          <w:iCs/>
          <w:sz w:val="24"/>
          <w:szCs w:val="24"/>
        </w:rPr>
        <w:fldChar w:fldCharType="begin"/>
      </w:r>
      <w:r>
        <w:rPr>
          <w:rFonts w:eastAsia="Calibri"/>
          <w:i/>
          <w:iCs/>
          <w:sz w:val="24"/>
          <w:szCs w:val="24"/>
        </w:rPr>
        <w:instrText xml:space="preserve"> REF _Ref4440 \h </w:instrText>
      </w:r>
      <w:r>
        <w:rPr>
          <w:rFonts w:eastAsia="Calibri"/>
          <w:i/>
          <w:iCs/>
          <w:sz w:val="24"/>
          <w:szCs w:val="24"/>
        </w:rPr>
      </w:r>
      <w:r>
        <w:rPr>
          <w:rFonts w:eastAsia="Calibri"/>
          <w:i/>
          <w:iCs/>
          <w:sz w:val="24"/>
          <w:szCs w:val="24"/>
        </w:rPr>
        <w:fldChar w:fldCharType="separate"/>
      </w:r>
      <w:r>
        <w:t>Tabelul 2: Condiţii minime pentru încadrarea construcţiei sau a compartimentului de incendiu în niveluri de stabilitate la incendiu pentru construcții civile</w:t>
      </w:r>
      <w:r>
        <w:rPr>
          <w:rFonts w:eastAsia="Calibri"/>
          <w:i/>
          <w:iCs/>
          <w:sz w:val="24"/>
          <w:szCs w:val="24"/>
        </w:rPr>
        <w:fldChar w:fldCharType="end"/>
      </w:r>
      <w:r>
        <w:rPr>
          <w:rFonts w:eastAsia="Times-Roman"/>
          <w:i/>
          <w:iCs/>
          <w:sz w:val="24"/>
          <w:szCs w:val="24"/>
        </w:rPr>
        <w:t xml:space="preserve"> și/ sau </w:t>
      </w:r>
      <w:r>
        <w:rPr>
          <w:rFonts w:eastAsia="Times-Roman"/>
          <w:i/>
          <w:iCs/>
          <w:sz w:val="24"/>
          <w:szCs w:val="24"/>
        </w:rPr>
        <w:fldChar w:fldCharType="begin"/>
      </w:r>
      <w:r>
        <w:rPr>
          <w:rFonts w:eastAsia="Times-Roman"/>
          <w:i/>
          <w:iCs/>
          <w:sz w:val="24"/>
          <w:szCs w:val="24"/>
        </w:rPr>
        <w:instrText xml:space="preserve"> REF _Ref22312 \h </w:instrText>
      </w:r>
      <w:r>
        <w:rPr>
          <w:rFonts w:eastAsia="Times-Roman"/>
          <w:i/>
          <w:iCs/>
          <w:sz w:val="24"/>
          <w:szCs w:val="24"/>
        </w:rPr>
      </w:r>
      <w:r>
        <w:rPr>
          <w:rFonts w:eastAsia="Times-Roman"/>
          <w:i/>
          <w:iCs/>
          <w:sz w:val="24"/>
          <w:szCs w:val="24"/>
        </w:rPr>
        <w:fldChar w:fldCharType="separate"/>
      </w:r>
      <w:r>
        <w:t>Tabelul 3: Condiţii minime pentru încadrarea construcţiei sau a compartimentului de incendiu în niveluri de stabilitate la incendiu pentru construcții de productie și /sau depozitare</w:t>
      </w:r>
      <w:r>
        <w:rPr>
          <w:rFonts w:eastAsia="Times-Roman"/>
          <w:i/>
          <w:iCs/>
          <w:sz w:val="24"/>
          <w:szCs w:val="24"/>
        </w:rPr>
        <w:fldChar w:fldCharType="end"/>
      </w:r>
      <w:r>
        <w:rPr>
          <w:rFonts w:eastAsia="Calibri"/>
          <w:i/>
          <w:iCs/>
          <w:sz w:val="24"/>
          <w:szCs w:val="24"/>
        </w:rPr>
        <w:t xml:space="preserve"> </w:t>
      </w:r>
      <w:r>
        <w:rPr>
          <w:rFonts w:eastAsia="Calibri"/>
          <w:b/>
          <w:bCs/>
          <w:i/>
          <w:iCs/>
          <w:sz w:val="24"/>
          <w:szCs w:val="24"/>
        </w:rPr>
        <w:t>din normativ</w:t>
      </w:r>
      <w:r>
        <w:rPr>
          <w:rFonts w:eastAsia="Calibri"/>
          <w:i/>
          <w:iCs/>
          <w:sz w:val="24"/>
          <w:szCs w:val="24"/>
        </w:rPr>
        <w:t xml:space="preserve"> sau </w:t>
      </w:r>
      <w:r>
        <w:rPr>
          <w:rFonts w:eastAsia="Calibri"/>
          <w:b/>
          <w:bCs/>
          <w:i/>
          <w:iCs/>
          <w:sz w:val="24"/>
          <w:szCs w:val="24"/>
        </w:rPr>
        <w:fldChar w:fldCharType="begin"/>
      </w:r>
      <w:r>
        <w:rPr>
          <w:rFonts w:eastAsia="Calibri"/>
          <w:b/>
          <w:bCs/>
          <w:i/>
          <w:iCs/>
          <w:sz w:val="24"/>
          <w:szCs w:val="24"/>
        </w:rPr>
        <w:instrText xml:space="preserve"> REF _Ref22995 \h </w:instrText>
      </w:r>
      <w:r>
        <w:rPr>
          <w:rFonts w:eastAsia="Calibri"/>
          <w:b/>
          <w:bCs/>
          <w:i/>
          <w:iCs/>
          <w:sz w:val="24"/>
          <w:szCs w:val="24"/>
        </w:rPr>
      </w:r>
      <w:r>
        <w:rPr>
          <w:rFonts w:eastAsia="Calibri"/>
          <w:b/>
          <w:bCs/>
          <w:i/>
          <w:iCs/>
          <w:sz w:val="24"/>
          <w:szCs w:val="24"/>
        </w:rPr>
        <w:fldChar w:fldCharType="separate"/>
      </w:r>
      <w:r>
        <w:t xml:space="preserve">Tabelul 144: </w:t>
      </w:r>
      <w:r>
        <w:rPr>
          <w:rFonts w:eastAsia="Calibri"/>
          <w:bCs/>
          <w:shd w:val="clear" w:color="auto" w:fill="FFFFFF"/>
        </w:rPr>
        <w:t>Condiții minime pentru încadrarea construcțiilor existente în nivel de stabilitate la incendiu</w:t>
      </w:r>
      <w:r>
        <w:rPr>
          <w:rFonts w:eastAsia="Calibri"/>
          <w:b/>
          <w:bCs/>
          <w:i/>
          <w:iCs/>
          <w:sz w:val="24"/>
          <w:szCs w:val="24"/>
        </w:rPr>
        <w:fldChar w:fldCharType="end"/>
      </w:r>
      <w:r>
        <w:rPr>
          <w:rFonts w:eastAsia="Calibri"/>
          <w:i/>
          <w:iCs/>
          <w:sz w:val="24"/>
          <w:szCs w:val="24"/>
        </w:rPr>
        <w:t xml:space="preserve"> din</w:t>
      </w:r>
      <w:r>
        <w:rPr>
          <w:rFonts w:eastAsia="Calibri"/>
          <w:b/>
          <w:bCs/>
          <w:i/>
          <w:iCs/>
          <w:sz w:val="24"/>
          <w:szCs w:val="24"/>
        </w:rPr>
        <w:t xml:space="preserve"> Anexa 10 </w:t>
      </w:r>
      <w:r>
        <w:rPr>
          <w:rFonts w:eastAsia="Calibri"/>
          <w:i/>
          <w:iCs/>
          <w:sz w:val="24"/>
          <w:szCs w:val="24"/>
        </w:rPr>
        <w:t>(pentru construcții existente)</w:t>
      </w:r>
      <w:r>
        <w:rPr>
          <w:rFonts w:eastAsia="Calibri"/>
          <w:b/>
          <w:bCs/>
          <w:i/>
          <w:iCs/>
          <w:sz w:val="24"/>
          <w:szCs w:val="24"/>
        </w:rPr>
        <w:t xml:space="preserve"> </w:t>
      </w:r>
      <w:r>
        <w:rPr>
          <w:rFonts w:eastAsia="Calibri"/>
          <w:i/>
          <w:iCs/>
          <w:sz w:val="24"/>
          <w:szCs w:val="24"/>
        </w:rPr>
        <w:t>pentru sistemele de invelitoare (Panouri/ sisteme de învelitoare ale acoperişurilor în pantă cu  încărcări suplimentare provenite din PV) conform încadrarii in nivel de stabilitate la incendiu a construcției;</w:t>
      </w:r>
    </w:p>
    <w:p w14:paraId="6757CFAE" w14:textId="77777777" w:rsidR="001C08A5" w:rsidRDefault="00000000">
      <w:pPr>
        <w:widowControl w:val="0"/>
        <w:ind w:left="993"/>
        <w:jc w:val="both"/>
        <w:rPr>
          <w:rFonts w:eastAsia="TimesNewRomanPSMT-Identity-H"/>
          <w:b/>
          <w:bCs/>
          <w:i/>
          <w:iCs/>
          <w:sz w:val="24"/>
          <w:szCs w:val="24"/>
        </w:rPr>
      </w:pPr>
      <w:r>
        <w:rPr>
          <w:rFonts w:eastAsia="TimesNewRomanPSMT-Identity-H"/>
          <w:b/>
          <w:bCs/>
          <w:i/>
          <w:iCs/>
          <w:sz w:val="24"/>
          <w:szCs w:val="24"/>
        </w:rPr>
        <w:t>e)</w:t>
      </w:r>
      <w:r>
        <w:rPr>
          <w:rFonts w:eastAsia="TimesNewRomanPSMT-Identity-H"/>
          <w:i/>
          <w:iCs/>
          <w:sz w:val="24"/>
          <w:szCs w:val="24"/>
        </w:rPr>
        <w:t xml:space="preserve"> pe fațade, </w:t>
      </w:r>
      <w:r>
        <w:rPr>
          <w:rFonts w:eastAsia="Calibri"/>
          <w:i/>
          <w:iCs/>
          <w:sz w:val="24"/>
          <w:szCs w:val="24"/>
        </w:rPr>
        <w:t>stratul pe care se aplică trebuie să indeplinească performanța la foc de</w:t>
      </w:r>
      <w:r>
        <w:rPr>
          <w:rFonts w:eastAsia="TimesNewRomanPSMT-Identity-H"/>
          <w:i/>
          <w:iCs/>
          <w:sz w:val="24"/>
          <w:szCs w:val="24"/>
        </w:rPr>
        <w:t xml:space="preserve"> minimum </w:t>
      </w:r>
      <w:r>
        <w:rPr>
          <w:rFonts w:eastAsia="TimesNewRomanPSMT-Identity-H"/>
          <w:b/>
          <w:bCs/>
          <w:i/>
          <w:iCs/>
          <w:sz w:val="24"/>
          <w:szCs w:val="24"/>
        </w:rPr>
        <w:t>EI 30</w:t>
      </w:r>
    </w:p>
    <w:p w14:paraId="2EC72CB7" w14:textId="77777777" w:rsidR="001C08A5" w:rsidRDefault="00000000">
      <w:pPr>
        <w:jc w:val="center"/>
        <w:rPr>
          <w:i/>
          <w:sz w:val="24"/>
          <w:szCs w:val="24"/>
        </w:rPr>
      </w:pPr>
      <w:r>
        <w:rPr>
          <w:i/>
          <w:noProof/>
          <w:sz w:val="24"/>
          <w:szCs w:val="24"/>
          <w:lang w:eastAsia="ro-RO"/>
        </w:rPr>
        <w:drawing>
          <wp:inline distT="0" distB="0" distL="114300" distR="114300" wp14:anchorId="2928EF4C" wp14:editId="2270ED4F">
            <wp:extent cx="3157220" cy="3033395"/>
            <wp:effectExtent l="0" t="0" r="5080" b="14605"/>
            <wp:docPr id="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6"/>
                    <pic:cNvPicPr>
                      <a:picLocks noChangeAspect="1"/>
                    </pic:cNvPicPr>
                  </pic:nvPicPr>
                  <pic:blipFill>
                    <a:blip r:embed="rId351"/>
                    <a:srcRect l="12401" t="4582" r="10190" b="2876"/>
                    <a:stretch>
                      <a:fillRect/>
                    </a:stretch>
                  </pic:blipFill>
                  <pic:spPr>
                    <a:xfrm>
                      <a:off x="0" y="0"/>
                      <a:ext cx="3164092" cy="3040194"/>
                    </a:xfrm>
                    <a:prstGeom prst="rect">
                      <a:avLst/>
                    </a:prstGeom>
                    <a:noFill/>
                    <a:ln>
                      <a:noFill/>
                    </a:ln>
                  </pic:spPr>
                </pic:pic>
              </a:graphicData>
            </a:graphic>
          </wp:inline>
        </w:drawing>
      </w:r>
    </w:p>
    <w:p w14:paraId="2A0B2E8A" w14:textId="77777777" w:rsidR="001C08A5" w:rsidRDefault="00000000">
      <w:pPr>
        <w:pStyle w:val="Caption"/>
        <w:jc w:val="center"/>
      </w:pPr>
      <w:bookmarkStart w:id="7682" w:name="_Toc19815"/>
      <w:bookmarkStart w:id="7683" w:name="_Toc17571"/>
      <w:bookmarkStart w:id="7684" w:name="_Toc12836"/>
      <w:bookmarkStart w:id="7685" w:name="_Toc142898557"/>
      <w:bookmarkStart w:id="7686" w:name="_Toc162360400"/>
      <w:r>
        <w:t xml:space="preserve">Figura </w:t>
      </w:r>
      <w:r>
        <w:fldChar w:fldCharType="begin"/>
      </w:r>
      <w:r>
        <w:instrText xml:space="preserve"> SEQ Figura \* ARABIC </w:instrText>
      </w:r>
      <w:r>
        <w:fldChar w:fldCharType="separate"/>
      </w:r>
      <w:r>
        <w:t>176</w:t>
      </w:r>
      <w:r>
        <w:fldChar w:fldCharType="end"/>
      </w:r>
      <w:bookmarkStart w:id="7687" w:name="_Toc32609"/>
      <w:bookmarkStart w:id="7688" w:name="_Toc15654"/>
      <w:bookmarkStart w:id="7689" w:name="_Toc11685"/>
      <w:bookmarkStart w:id="7690" w:name="_Toc7416"/>
      <w:bookmarkStart w:id="7691" w:name="_Toc20485"/>
      <w:bookmarkStart w:id="7692" w:name="_Toc16229"/>
      <w:bookmarkStart w:id="7693" w:name="_Toc24724"/>
      <w:bookmarkStart w:id="7694" w:name="_Toc20385"/>
      <w:bookmarkStart w:id="7695" w:name="_Toc3777"/>
      <w:r>
        <w:t xml:space="preserve"> - Dispozitive fotovoltaice</w:t>
      </w:r>
      <w:bookmarkEnd w:id="7682"/>
      <w:bookmarkEnd w:id="7683"/>
      <w:bookmarkEnd w:id="7684"/>
      <w:bookmarkEnd w:id="7685"/>
      <w:r>
        <w:t xml:space="preserve"> (conform prevederi normate)</w:t>
      </w:r>
      <w:bookmarkEnd w:id="7686"/>
      <w:bookmarkEnd w:id="7687"/>
      <w:bookmarkEnd w:id="7688"/>
      <w:bookmarkEnd w:id="7689"/>
      <w:bookmarkEnd w:id="7690"/>
      <w:bookmarkEnd w:id="7691"/>
      <w:bookmarkEnd w:id="7692"/>
      <w:bookmarkEnd w:id="7693"/>
      <w:bookmarkEnd w:id="7694"/>
      <w:bookmarkEnd w:id="7695"/>
    </w:p>
    <w:p w14:paraId="0A05379B" w14:textId="77777777" w:rsidR="001C08A5" w:rsidRDefault="00000000">
      <w:pPr>
        <w:jc w:val="center"/>
        <w:rPr>
          <w:i/>
          <w:sz w:val="24"/>
          <w:szCs w:val="24"/>
          <w:lang w:eastAsia="ro-RO"/>
        </w:rPr>
      </w:pPr>
      <w:r>
        <w:rPr>
          <w:i/>
          <w:noProof/>
          <w:sz w:val="24"/>
          <w:szCs w:val="24"/>
          <w:lang w:eastAsia="ro-RO"/>
        </w:rPr>
        <w:lastRenderedPageBreak/>
        <w:drawing>
          <wp:inline distT="0" distB="0" distL="114300" distR="114300" wp14:anchorId="614CBA1A" wp14:editId="578C5F72">
            <wp:extent cx="4856480" cy="2412365"/>
            <wp:effectExtent l="0" t="0" r="1270" b="6985"/>
            <wp:docPr id="2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4"/>
                    <pic:cNvPicPr>
                      <a:picLocks noChangeAspect="1"/>
                    </pic:cNvPicPr>
                  </pic:nvPicPr>
                  <pic:blipFill>
                    <a:blip r:embed="rId352"/>
                    <a:srcRect l="16515" t="9176" r="9995" b="36282"/>
                    <a:stretch>
                      <a:fillRect/>
                    </a:stretch>
                  </pic:blipFill>
                  <pic:spPr>
                    <a:xfrm>
                      <a:off x="0" y="0"/>
                      <a:ext cx="4889062" cy="2428803"/>
                    </a:xfrm>
                    <a:prstGeom prst="rect">
                      <a:avLst/>
                    </a:prstGeom>
                    <a:noFill/>
                    <a:ln>
                      <a:noFill/>
                    </a:ln>
                  </pic:spPr>
                </pic:pic>
              </a:graphicData>
            </a:graphic>
          </wp:inline>
        </w:drawing>
      </w:r>
    </w:p>
    <w:p w14:paraId="0532F620" w14:textId="77777777" w:rsidR="001C08A5" w:rsidRDefault="00000000">
      <w:pPr>
        <w:jc w:val="center"/>
        <w:rPr>
          <w:i/>
          <w:sz w:val="24"/>
          <w:szCs w:val="24"/>
          <w:lang w:eastAsia="ro-RO"/>
        </w:rPr>
      </w:pPr>
      <w:r>
        <w:rPr>
          <w:i/>
          <w:noProof/>
          <w:sz w:val="24"/>
          <w:szCs w:val="24"/>
          <w:lang w:eastAsia="ro-RO"/>
        </w:rPr>
        <w:drawing>
          <wp:inline distT="0" distB="0" distL="114300" distR="114300" wp14:anchorId="3F3676C0" wp14:editId="27767187">
            <wp:extent cx="4864735" cy="3150235"/>
            <wp:effectExtent l="0" t="0" r="12065" b="12065"/>
            <wp:docPr id="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3"/>
                    <pic:cNvPicPr>
                      <a:picLocks noChangeAspect="1"/>
                    </pic:cNvPicPr>
                  </pic:nvPicPr>
                  <pic:blipFill>
                    <a:blip r:embed="rId353"/>
                    <a:srcRect l="16505" t="11912" r="9985" b="16966"/>
                    <a:stretch>
                      <a:fillRect/>
                    </a:stretch>
                  </pic:blipFill>
                  <pic:spPr>
                    <a:xfrm>
                      <a:off x="0" y="0"/>
                      <a:ext cx="4878543" cy="3159543"/>
                    </a:xfrm>
                    <a:prstGeom prst="rect">
                      <a:avLst/>
                    </a:prstGeom>
                    <a:noFill/>
                    <a:ln>
                      <a:noFill/>
                    </a:ln>
                  </pic:spPr>
                </pic:pic>
              </a:graphicData>
            </a:graphic>
          </wp:inline>
        </w:drawing>
      </w:r>
    </w:p>
    <w:p w14:paraId="0F18E1AD" w14:textId="77777777" w:rsidR="001C08A5" w:rsidRDefault="00000000">
      <w:pPr>
        <w:pStyle w:val="Caption"/>
        <w:jc w:val="center"/>
      </w:pPr>
      <w:bookmarkStart w:id="7696" w:name="_Toc1586"/>
      <w:bookmarkStart w:id="7697" w:name="_Toc162360401"/>
      <w:bookmarkStart w:id="7698" w:name="_Toc142898558"/>
      <w:r>
        <w:t xml:space="preserve">Figura </w:t>
      </w:r>
      <w:r>
        <w:fldChar w:fldCharType="begin"/>
      </w:r>
      <w:r>
        <w:instrText xml:space="preserve"> SEQ Figura \* ARABIC </w:instrText>
      </w:r>
      <w:r>
        <w:fldChar w:fldCharType="separate"/>
      </w:r>
      <w:r>
        <w:t>177</w:t>
      </w:r>
      <w:r>
        <w:fldChar w:fldCharType="end"/>
      </w:r>
      <w:bookmarkStart w:id="7699" w:name="_Toc8749"/>
      <w:bookmarkStart w:id="7700" w:name="_Toc9499"/>
      <w:bookmarkStart w:id="7701" w:name="_Toc31442"/>
      <w:bookmarkStart w:id="7702" w:name="_Toc5474"/>
      <w:bookmarkStart w:id="7703" w:name="_Toc17050"/>
      <w:bookmarkStart w:id="7704" w:name="_Toc18818"/>
      <w:bookmarkStart w:id="7705" w:name="_Toc25269"/>
      <w:bookmarkStart w:id="7706" w:name="_Toc29365"/>
      <w:bookmarkStart w:id="7707" w:name="_Toc28292"/>
      <w:r>
        <w:t xml:space="preserve"> - Exemplu amplasare dispozitive fotovoltaice pe terasă - distanțe</w:t>
      </w:r>
      <w:bookmarkEnd w:id="7696"/>
      <w:bookmarkEnd w:id="7697"/>
      <w:bookmarkEnd w:id="7698"/>
      <w:bookmarkEnd w:id="7699"/>
      <w:bookmarkEnd w:id="7700"/>
      <w:bookmarkEnd w:id="7701"/>
      <w:bookmarkEnd w:id="7702"/>
      <w:bookmarkEnd w:id="7703"/>
      <w:bookmarkEnd w:id="7704"/>
      <w:bookmarkEnd w:id="7705"/>
      <w:bookmarkEnd w:id="7706"/>
      <w:bookmarkEnd w:id="7707"/>
    </w:p>
    <w:p w14:paraId="4896583A" w14:textId="77777777" w:rsidR="001C08A5" w:rsidRDefault="00000000">
      <w:pPr>
        <w:jc w:val="center"/>
        <w:rPr>
          <w:i/>
          <w:sz w:val="24"/>
          <w:szCs w:val="24"/>
        </w:rPr>
      </w:pPr>
      <w:r>
        <w:rPr>
          <w:i/>
          <w:noProof/>
          <w:sz w:val="24"/>
          <w:szCs w:val="24"/>
          <w:lang w:eastAsia="ro-RO"/>
        </w:rPr>
        <w:drawing>
          <wp:inline distT="0" distB="0" distL="114300" distR="114300" wp14:anchorId="05EE105A" wp14:editId="18F60B0A">
            <wp:extent cx="5071110" cy="1869440"/>
            <wp:effectExtent l="0" t="0" r="15240" b="16510"/>
            <wp:docPr id="2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5"/>
                    <pic:cNvPicPr>
                      <a:picLocks noChangeAspect="1"/>
                    </pic:cNvPicPr>
                  </pic:nvPicPr>
                  <pic:blipFill>
                    <a:blip r:embed="rId354"/>
                    <a:srcRect l="15253" t="39436" r="17564" b="23564"/>
                    <a:stretch>
                      <a:fillRect/>
                    </a:stretch>
                  </pic:blipFill>
                  <pic:spPr>
                    <a:xfrm>
                      <a:off x="0" y="0"/>
                      <a:ext cx="5071110" cy="1869440"/>
                    </a:xfrm>
                    <a:prstGeom prst="rect">
                      <a:avLst/>
                    </a:prstGeom>
                    <a:noFill/>
                    <a:ln>
                      <a:noFill/>
                    </a:ln>
                  </pic:spPr>
                </pic:pic>
              </a:graphicData>
            </a:graphic>
          </wp:inline>
        </w:drawing>
      </w:r>
    </w:p>
    <w:p w14:paraId="4AC3939E" w14:textId="77777777" w:rsidR="001C08A5" w:rsidRDefault="00000000">
      <w:pPr>
        <w:pStyle w:val="Caption"/>
        <w:jc w:val="center"/>
        <w:rPr>
          <w:rFonts w:eastAsia="Times New Roman"/>
        </w:rPr>
      </w:pPr>
      <w:bookmarkStart w:id="7708" w:name="_Toc142898559"/>
      <w:bookmarkStart w:id="7709" w:name="_Toc6489"/>
      <w:bookmarkStart w:id="7710" w:name="_Toc162360402"/>
      <w:bookmarkStart w:id="7711" w:name="_Toc25327"/>
      <w:bookmarkStart w:id="7712" w:name="_Toc22742"/>
      <w:r>
        <w:t xml:space="preserve">Figura </w:t>
      </w:r>
      <w:r>
        <w:fldChar w:fldCharType="begin"/>
      </w:r>
      <w:r>
        <w:instrText xml:space="preserve"> SEQ Figura \* ARABIC </w:instrText>
      </w:r>
      <w:r>
        <w:fldChar w:fldCharType="separate"/>
      </w:r>
      <w:r>
        <w:t>178</w:t>
      </w:r>
      <w:r>
        <w:fldChar w:fldCharType="end"/>
      </w:r>
      <w:bookmarkStart w:id="7713" w:name="_Toc15461"/>
      <w:bookmarkStart w:id="7714" w:name="_Toc5684"/>
      <w:bookmarkStart w:id="7715" w:name="_Toc22492"/>
      <w:bookmarkStart w:id="7716" w:name="_Toc14158"/>
      <w:bookmarkStart w:id="7717" w:name="_Toc72"/>
      <w:bookmarkStart w:id="7718" w:name="_Toc16093"/>
      <w:bookmarkStart w:id="7719" w:name="_Toc14716"/>
      <w:bookmarkStart w:id="7720" w:name="_Toc18277"/>
      <w:bookmarkStart w:id="7721" w:name="_Toc23883"/>
      <w:r>
        <w:t xml:space="preserve"> - Exemplu amplasare - traversare pereti antifoc</w:t>
      </w:r>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p>
    <w:p w14:paraId="4C02F97A" w14:textId="77777777" w:rsidR="001C08A5" w:rsidRDefault="001C08A5">
      <w:pPr>
        <w:jc w:val="both"/>
        <w:rPr>
          <w:b/>
          <w:bCs/>
          <w:i/>
          <w:sz w:val="24"/>
          <w:szCs w:val="24"/>
        </w:rPr>
      </w:pPr>
    </w:p>
    <w:p w14:paraId="2929986F" w14:textId="77777777" w:rsidR="001C08A5" w:rsidRDefault="00000000">
      <w:pPr>
        <w:pStyle w:val="Heading3"/>
        <w:rPr>
          <w:i/>
          <w:iCs/>
          <w:sz w:val="24"/>
          <w:szCs w:val="24"/>
        </w:rPr>
      </w:pPr>
      <w:bookmarkStart w:id="7722" w:name="_Toc17036"/>
      <w:bookmarkStart w:id="7723" w:name="_Toc29419"/>
      <w:bookmarkStart w:id="7724" w:name="_Toc8956"/>
      <w:bookmarkStart w:id="7725" w:name="_Toc28730"/>
      <w:bookmarkStart w:id="7726" w:name="_Toc1718"/>
      <w:bookmarkStart w:id="7727" w:name="_Toc5503"/>
      <w:bookmarkStart w:id="7728" w:name="_Toc121"/>
      <w:bookmarkStart w:id="7729" w:name="_Toc676"/>
      <w:bookmarkStart w:id="7730" w:name="_Toc15923"/>
      <w:bookmarkStart w:id="7731" w:name="_Toc14464"/>
      <w:bookmarkStart w:id="7732" w:name="_Toc16630"/>
      <w:bookmarkStart w:id="7733" w:name="_Toc18832"/>
      <w:bookmarkStart w:id="7734" w:name="_Toc14971"/>
      <w:bookmarkStart w:id="7735" w:name="_Toc11900"/>
      <w:bookmarkStart w:id="7736" w:name="_Toc162355429"/>
      <w:bookmarkStart w:id="7737" w:name="_Toc31869"/>
      <w:r>
        <w:rPr>
          <w:i/>
          <w:iCs/>
          <w:sz w:val="24"/>
          <w:szCs w:val="24"/>
        </w:rPr>
        <w:t>ANEXA 4.7 - AGENTI FRIGORIFICI</w:t>
      </w:r>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p>
    <w:p w14:paraId="3BC9AF5E" w14:textId="77777777" w:rsidR="001C08A5" w:rsidRDefault="001C08A5">
      <w:pPr>
        <w:jc w:val="both"/>
        <w:rPr>
          <w:b/>
          <w:bCs/>
          <w:sz w:val="24"/>
          <w:szCs w:val="24"/>
        </w:rPr>
      </w:pPr>
    </w:p>
    <w:p w14:paraId="43598935" w14:textId="77777777" w:rsidR="001C08A5" w:rsidRDefault="00000000">
      <w:pPr>
        <w:numPr>
          <w:ilvl w:val="0"/>
          <w:numId w:val="96"/>
        </w:numPr>
        <w:tabs>
          <w:tab w:val="left" w:pos="426"/>
          <w:tab w:val="left" w:pos="993"/>
        </w:tabs>
        <w:jc w:val="both"/>
        <w:rPr>
          <w:bCs/>
          <w:i/>
          <w:iCs/>
          <w:sz w:val="24"/>
          <w:szCs w:val="24"/>
        </w:rPr>
      </w:pPr>
      <w:r>
        <w:rPr>
          <w:bCs/>
          <w:i/>
          <w:iCs/>
          <w:sz w:val="24"/>
          <w:szCs w:val="24"/>
        </w:rPr>
        <w:t xml:space="preserve">În conformitate cu seria de standarde </w:t>
      </w:r>
      <w:r>
        <w:rPr>
          <w:b/>
          <w:i/>
          <w:iCs/>
          <w:sz w:val="24"/>
          <w:szCs w:val="24"/>
        </w:rPr>
        <w:t>SR EN 378</w:t>
      </w:r>
      <w:r>
        <w:rPr>
          <w:bCs/>
          <w:i/>
          <w:iCs/>
          <w:sz w:val="24"/>
          <w:szCs w:val="24"/>
        </w:rPr>
        <w:t xml:space="preserve">, proiectantul atestat va ține cont de </w:t>
      </w:r>
      <w:r>
        <w:rPr>
          <w:rFonts w:eastAsia="Helvetica"/>
          <w:bCs/>
          <w:i/>
          <w:iCs/>
          <w:sz w:val="24"/>
          <w:szCs w:val="24"/>
        </w:rPr>
        <w:t xml:space="preserve">clasificarea agenților frigorifici în funcție de inflamabilitate, de cantitatea maximă admisă de agent frigorific în funcție de categoriile de ocupare. </w:t>
      </w:r>
      <w:r>
        <w:rPr>
          <w:bCs/>
          <w:i/>
          <w:sz w:val="24"/>
          <w:szCs w:val="24"/>
        </w:rPr>
        <w:t xml:space="preserve">Răspunderea privind măsurile de conformare pe linia </w:t>
      </w:r>
      <w:r>
        <w:rPr>
          <w:bCs/>
          <w:i/>
          <w:sz w:val="24"/>
          <w:szCs w:val="24"/>
        </w:rPr>
        <w:lastRenderedPageBreak/>
        <w:t xml:space="preserve">securității la incendiu în ceea ce privește agenții frigorifici, în vederea adoptării acestora, funcție de </w:t>
      </w:r>
      <w:r>
        <w:rPr>
          <w:rFonts w:eastAsia="Helvetica"/>
          <w:bCs/>
          <w:i/>
          <w:iCs/>
          <w:sz w:val="24"/>
          <w:szCs w:val="24"/>
        </w:rPr>
        <w:t>clasificarea agenților frigorifici și de cantitatea maximă admisă</w:t>
      </w:r>
      <w:r>
        <w:rPr>
          <w:bCs/>
          <w:i/>
          <w:sz w:val="24"/>
          <w:szCs w:val="24"/>
        </w:rPr>
        <w:t xml:space="preserve"> cade în sarcina proiectantului și a investitorului/ beneficiarului.</w:t>
      </w:r>
    </w:p>
    <w:p w14:paraId="5CF18AD9" w14:textId="77777777" w:rsidR="001C08A5" w:rsidRDefault="00000000">
      <w:pPr>
        <w:jc w:val="both"/>
        <w:rPr>
          <w:rFonts w:eastAsia="Helvetica"/>
          <w:i/>
          <w:iCs/>
          <w:sz w:val="22"/>
          <w:szCs w:val="22"/>
        </w:rPr>
      </w:pPr>
      <w:r>
        <w:rPr>
          <w:rFonts w:eastAsia="Helvetica"/>
          <w:i/>
          <w:iCs/>
          <w:sz w:val="22"/>
          <w:szCs w:val="22"/>
        </w:rPr>
        <w:t xml:space="preserve">Note: </w:t>
      </w:r>
    </w:p>
    <w:p w14:paraId="39688372" w14:textId="77777777" w:rsidR="001C08A5" w:rsidRDefault="00000000">
      <w:pPr>
        <w:jc w:val="both"/>
        <w:rPr>
          <w:rFonts w:eastAsia="Helvetica"/>
          <w:i/>
          <w:iCs/>
          <w:sz w:val="22"/>
          <w:szCs w:val="22"/>
        </w:rPr>
      </w:pPr>
      <w:r>
        <w:rPr>
          <w:rFonts w:eastAsia="Helvetica"/>
          <w:i/>
          <w:iCs/>
          <w:sz w:val="22"/>
          <w:szCs w:val="22"/>
        </w:rPr>
        <w:t>- Pentru sistemele care utilizeaz</w:t>
      </w:r>
      <w:r>
        <w:rPr>
          <w:rFonts w:eastAsia="Helvetica-Bold"/>
          <w:i/>
          <w:iCs/>
          <w:sz w:val="22"/>
          <w:szCs w:val="22"/>
        </w:rPr>
        <w:t xml:space="preserve">ă </w:t>
      </w:r>
      <w:r>
        <w:rPr>
          <w:rFonts w:eastAsia="Helvetica"/>
          <w:i/>
          <w:iCs/>
          <w:sz w:val="22"/>
          <w:szCs w:val="22"/>
        </w:rPr>
        <w:t>agen</w:t>
      </w:r>
      <w:r>
        <w:rPr>
          <w:rFonts w:eastAsia="Helvetica-Bold"/>
          <w:i/>
          <w:iCs/>
          <w:sz w:val="22"/>
          <w:szCs w:val="22"/>
        </w:rPr>
        <w:t>ț</w:t>
      </w:r>
      <w:r>
        <w:rPr>
          <w:rFonts w:eastAsia="Helvetica"/>
          <w:i/>
          <w:iCs/>
          <w:sz w:val="22"/>
          <w:szCs w:val="22"/>
        </w:rPr>
        <w:t>i frigorifici inflamabili, sistemele frigorifice trebuie construite astfel încât sc</w:t>
      </w:r>
      <w:r>
        <w:rPr>
          <w:rFonts w:eastAsia="Helvetica-Bold"/>
          <w:i/>
          <w:iCs/>
          <w:sz w:val="22"/>
          <w:szCs w:val="22"/>
        </w:rPr>
        <w:t>ă</w:t>
      </w:r>
      <w:r>
        <w:rPr>
          <w:rFonts w:eastAsia="Helvetica"/>
          <w:i/>
          <w:iCs/>
          <w:sz w:val="22"/>
          <w:szCs w:val="22"/>
        </w:rPr>
        <w:t>p</w:t>
      </w:r>
      <w:r>
        <w:rPr>
          <w:rFonts w:eastAsia="Helvetica-Bold"/>
          <w:i/>
          <w:iCs/>
          <w:sz w:val="22"/>
          <w:szCs w:val="22"/>
        </w:rPr>
        <w:t>ă</w:t>
      </w:r>
      <w:r>
        <w:rPr>
          <w:rFonts w:eastAsia="Helvetica"/>
          <w:i/>
          <w:iCs/>
          <w:sz w:val="22"/>
          <w:szCs w:val="22"/>
        </w:rPr>
        <w:t>rile de agent frigorific s</w:t>
      </w:r>
      <w:r>
        <w:rPr>
          <w:rFonts w:eastAsia="Helvetica-Bold"/>
          <w:i/>
          <w:iCs/>
          <w:sz w:val="22"/>
          <w:szCs w:val="22"/>
        </w:rPr>
        <w:t xml:space="preserve">ă </w:t>
      </w:r>
      <w:r>
        <w:rPr>
          <w:rFonts w:eastAsia="Helvetica"/>
          <w:i/>
          <w:iCs/>
          <w:sz w:val="22"/>
          <w:szCs w:val="22"/>
        </w:rPr>
        <w:t>nu se scurg</w:t>
      </w:r>
      <w:r>
        <w:rPr>
          <w:rFonts w:eastAsia="Helvetica-Bold"/>
          <w:i/>
          <w:iCs/>
          <w:sz w:val="22"/>
          <w:szCs w:val="22"/>
        </w:rPr>
        <w:t xml:space="preserve">ă </w:t>
      </w:r>
      <w:r>
        <w:rPr>
          <w:rFonts w:eastAsia="Helvetica"/>
          <w:i/>
          <w:iCs/>
          <w:sz w:val="22"/>
          <w:szCs w:val="22"/>
        </w:rPr>
        <w:t>sau s</w:t>
      </w:r>
      <w:r>
        <w:rPr>
          <w:rFonts w:eastAsia="Helvetica-Bold"/>
          <w:i/>
          <w:iCs/>
          <w:sz w:val="22"/>
          <w:szCs w:val="22"/>
        </w:rPr>
        <w:t xml:space="preserve">ă </w:t>
      </w:r>
      <w:r>
        <w:rPr>
          <w:rFonts w:eastAsia="Helvetica"/>
          <w:i/>
          <w:iCs/>
          <w:sz w:val="22"/>
          <w:szCs w:val="22"/>
        </w:rPr>
        <w:t xml:space="preserve">nu stagneze, generând astfel pericolul de incendiu sau explozie în zonele din interiorul echipamentului unde sunt instalate componente </w:t>
      </w:r>
      <w:r>
        <w:rPr>
          <w:rFonts w:eastAsia="Helvetica-Bold"/>
          <w:i/>
          <w:iCs/>
          <w:sz w:val="22"/>
          <w:szCs w:val="22"/>
        </w:rPr>
        <w:t>ș</w:t>
      </w:r>
      <w:r>
        <w:rPr>
          <w:rFonts w:eastAsia="Helvetica"/>
          <w:i/>
          <w:iCs/>
          <w:sz w:val="22"/>
          <w:szCs w:val="22"/>
        </w:rPr>
        <w:t>i aparate care ar putea constitui o surs</w:t>
      </w:r>
      <w:r>
        <w:rPr>
          <w:rFonts w:eastAsia="Helvetica-Bold"/>
          <w:i/>
          <w:iCs/>
          <w:sz w:val="22"/>
          <w:szCs w:val="22"/>
        </w:rPr>
        <w:t xml:space="preserve">ă </w:t>
      </w:r>
      <w:r>
        <w:rPr>
          <w:rFonts w:eastAsia="Helvetica"/>
          <w:i/>
          <w:iCs/>
          <w:sz w:val="22"/>
          <w:szCs w:val="22"/>
        </w:rPr>
        <w:t xml:space="preserve">de aprindere </w:t>
      </w:r>
      <w:r>
        <w:rPr>
          <w:rFonts w:eastAsia="Helvetica-Bold"/>
          <w:i/>
          <w:iCs/>
          <w:sz w:val="22"/>
          <w:szCs w:val="22"/>
        </w:rPr>
        <w:t>ș</w:t>
      </w:r>
      <w:r>
        <w:rPr>
          <w:rFonts w:eastAsia="Helvetica"/>
          <w:i/>
          <w:iCs/>
          <w:sz w:val="22"/>
          <w:szCs w:val="22"/>
        </w:rPr>
        <w:t>i care ar putea func</w:t>
      </w:r>
      <w:r>
        <w:rPr>
          <w:rFonts w:eastAsia="Helvetica-Bold"/>
          <w:i/>
          <w:iCs/>
          <w:sz w:val="22"/>
          <w:szCs w:val="22"/>
        </w:rPr>
        <w:t>ț</w:t>
      </w:r>
      <w:r>
        <w:rPr>
          <w:rFonts w:eastAsia="Helvetica"/>
          <w:i/>
          <w:iCs/>
          <w:sz w:val="22"/>
          <w:szCs w:val="22"/>
        </w:rPr>
        <w:t>iona în condi</w:t>
      </w:r>
      <w:r>
        <w:rPr>
          <w:rFonts w:eastAsia="Helvetica-Bold"/>
          <w:i/>
          <w:iCs/>
          <w:sz w:val="22"/>
          <w:szCs w:val="22"/>
        </w:rPr>
        <w:t>ț</w:t>
      </w:r>
      <w:r>
        <w:rPr>
          <w:rFonts w:eastAsia="Helvetica"/>
          <w:i/>
          <w:iCs/>
          <w:sz w:val="22"/>
          <w:szCs w:val="22"/>
        </w:rPr>
        <w:t>ii normale sau în eventualitatea unei sc</w:t>
      </w:r>
      <w:r>
        <w:rPr>
          <w:rFonts w:eastAsia="Helvetica-Bold"/>
          <w:i/>
          <w:iCs/>
          <w:sz w:val="22"/>
          <w:szCs w:val="22"/>
        </w:rPr>
        <w:t>ă</w:t>
      </w:r>
      <w:r>
        <w:rPr>
          <w:rFonts w:eastAsia="Helvetica"/>
          <w:i/>
          <w:iCs/>
          <w:sz w:val="22"/>
          <w:szCs w:val="22"/>
        </w:rPr>
        <w:t>p</w:t>
      </w:r>
      <w:r>
        <w:rPr>
          <w:rFonts w:eastAsia="Helvetica-Bold"/>
          <w:i/>
          <w:iCs/>
          <w:sz w:val="22"/>
          <w:szCs w:val="22"/>
        </w:rPr>
        <w:t>ă</w:t>
      </w:r>
      <w:r>
        <w:rPr>
          <w:rFonts w:eastAsia="Helvetica"/>
          <w:i/>
          <w:iCs/>
          <w:sz w:val="22"/>
          <w:szCs w:val="22"/>
        </w:rPr>
        <w:t xml:space="preserve">ri, în conformitate cu </w:t>
      </w:r>
      <w:r>
        <w:rPr>
          <w:rFonts w:eastAsia="Helvetica-Bold"/>
          <w:b/>
          <w:i/>
          <w:iCs/>
          <w:sz w:val="22"/>
          <w:szCs w:val="22"/>
        </w:rPr>
        <w:t>SR EN 378-2.</w:t>
      </w:r>
    </w:p>
    <w:p w14:paraId="7987735E" w14:textId="77777777" w:rsidR="001C08A5" w:rsidRDefault="00000000">
      <w:pPr>
        <w:jc w:val="both"/>
        <w:rPr>
          <w:rFonts w:eastAsia="Helvetica-Bold"/>
          <w:b/>
          <w:i/>
          <w:iCs/>
          <w:sz w:val="22"/>
          <w:szCs w:val="22"/>
        </w:rPr>
      </w:pPr>
      <w:r>
        <w:rPr>
          <w:rFonts w:eastAsia="Helvetica"/>
          <w:i/>
          <w:iCs/>
          <w:sz w:val="22"/>
          <w:szCs w:val="22"/>
        </w:rPr>
        <w:t xml:space="preserve">- Componentele și aparatele nu sunt considerate o sursă de aprindere, cu condiția ca acestea să fie conforme cu cel puțin una dintre cerințele prevăzute în </w:t>
      </w:r>
      <w:r>
        <w:rPr>
          <w:rFonts w:eastAsia="Helvetica-Bold"/>
          <w:b/>
          <w:i/>
          <w:iCs/>
          <w:sz w:val="22"/>
          <w:szCs w:val="22"/>
        </w:rPr>
        <w:t>SR EN 378-2.</w:t>
      </w:r>
    </w:p>
    <w:p w14:paraId="5C61DDE0" w14:textId="77777777" w:rsidR="001C08A5" w:rsidRDefault="00000000">
      <w:pPr>
        <w:jc w:val="both"/>
        <w:rPr>
          <w:rFonts w:eastAsia="Helvetica"/>
          <w:i/>
          <w:iCs/>
          <w:sz w:val="22"/>
          <w:szCs w:val="22"/>
        </w:rPr>
      </w:pPr>
      <w:r>
        <w:rPr>
          <w:rFonts w:eastAsia="Helvetica"/>
          <w:i/>
          <w:iCs/>
          <w:sz w:val="22"/>
          <w:szCs w:val="22"/>
        </w:rPr>
        <w:t xml:space="preserve">- Agenții frigorifici se clasifică pe grupe în funcție de influența lor asupra securității și sănătatii, în categorii de ocupare conform </w:t>
      </w:r>
      <w:r>
        <w:rPr>
          <w:rFonts w:eastAsia="Helvetica-Bold"/>
          <w:b/>
          <w:i/>
          <w:iCs/>
          <w:sz w:val="22"/>
          <w:szCs w:val="22"/>
        </w:rPr>
        <w:t>SR EN 378-2</w:t>
      </w:r>
      <w:r>
        <w:rPr>
          <w:rFonts w:eastAsia="Helvetica"/>
          <w:i/>
          <w:iCs/>
          <w:sz w:val="22"/>
          <w:szCs w:val="22"/>
        </w:rPr>
        <w:t>.</w:t>
      </w:r>
    </w:p>
    <w:p w14:paraId="3189B69D" w14:textId="77777777" w:rsidR="001C08A5" w:rsidRDefault="00000000">
      <w:pPr>
        <w:jc w:val="both"/>
        <w:rPr>
          <w:rFonts w:eastAsia="Helvetica"/>
          <w:i/>
          <w:iCs/>
          <w:sz w:val="22"/>
          <w:szCs w:val="22"/>
        </w:rPr>
      </w:pPr>
      <w:r>
        <w:rPr>
          <w:rFonts w:eastAsia="Helvetica"/>
          <w:i/>
          <w:iCs/>
          <w:sz w:val="22"/>
          <w:szCs w:val="22"/>
        </w:rPr>
        <w:t>- Agenții frigorifici trebuie repartizați conform clasificării în funcție de inflamabilitate în una din cele trei grupe 1, 2 și 3 pe baza limitei inferioare de inflamabilitate la presiunea atmosferică și temperatura ambientală:</w:t>
      </w:r>
    </w:p>
    <w:p w14:paraId="0B2F6F84" w14:textId="77777777" w:rsidR="001C08A5" w:rsidRDefault="00000000">
      <w:pPr>
        <w:ind w:left="720" w:firstLine="720"/>
        <w:jc w:val="both"/>
        <w:rPr>
          <w:rFonts w:eastAsia="Helvetica"/>
          <w:i/>
          <w:iCs/>
          <w:sz w:val="22"/>
          <w:szCs w:val="22"/>
        </w:rPr>
      </w:pPr>
      <w:r>
        <w:rPr>
          <w:rFonts w:eastAsia="Helvetica"/>
          <w:i/>
          <w:iCs/>
          <w:sz w:val="22"/>
          <w:szCs w:val="22"/>
        </w:rPr>
        <w:t>grupa 1 - Agenți frigorifici care nu sunt inflamabili în stare de vapori la orice concentrație în aer;</w:t>
      </w:r>
    </w:p>
    <w:p w14:paraId="35D5E38F" w14:textId="77777777" w:rsidR="001C08A5" w:rsidRDefault="00000000">
      <w:pPr>
        <w:ind w:left="720" w:firstLine="720"/>
        <w:jc w:val="both"/>
        <w:rPr>
          <w:rFonts w:eastAsia="Helvetica"/>
          <w:i/>
          <w:iCs/>
          <w:sz w:val="22"/>
          <w:szCs w:val="22"/>
        </w:rPr>
      </w:pPr>
      <w:r>
        <w:rPr>
          <w:rFonts w:eastAsia="Helvetica"/>
          <w:i/>
          <w:iCs/>
          <w:sz w:val="22"/>
          <w:szCs w:val="22"/>
        </w:rPr>
        <w:t>grupa 2 - Agenți frigorifici a căror limită inferioară de inflamabilitate este egală sau mai mare de 3,5 % VA/ când formează un amestec cu aerul;</w:t>
      </w:r>
    </w:p>
    <w:p w14:paraId="6987BF29" w14:textId="77777777" w:rsidR="001C08A5" w:rsidRDefault="00000000">
      <w:pPr>
        <w:ind w:left="720" w:firstLine="720"/>
        <w:jc w:val="both"/>
        <w:rPr>
          <w:rFonts w:eastAsia="Helvetica"/>
          <w:i/>
          <w:iCs/>
          <w:sz w:val="22"/>
          <w:szCs w:val="22"/>
        </w:rPr>
      </w:pPr>
      <w:r>
        <w:rPr>
          <w:rFonts w:eastAsia="Helvetica"/>
          <w:i/>
          <w:iCs/>
          <w:sz w:val="22"/>
          <w:szCs w:val="22"/>
        </w:rPr>
        <w:t>grupa 3 - Agenți frigorifici a căror limită inferioară de inflamabilitate este mai mică de 3,5 % VA/ când formează un amestec cu aerul;</w:t>
      </w:r>
    </w:p>
    <w:p w14:paraId="17BD7C69" w14:textId="77777777" w:rsidR="001C08A5" w:rsidRDefault="00000000">
      <w:pPr>
        <w:jc w:val="both"/>
        <w:rPr>
          <w:rFonts w:eastAsia="Helvetica"/>
          <w:i/>
          <w:iCs/>
          <w:sz w:val="22"/>
          <w:szCs w:val="22"/>
        </w:rPr>
      </w:pPr>
      <w:r>
        <w:rPr>
          <w:rFonts w:eastAsia="Helvetica"/>
          <w:i/>
          <w:iCs/>
          <w:sz w:val="22"/>
          <w:szCs w:val="22"/>
        </w:rPr>
        <w:t xml:space="preserve">- Sunt trei tipuri de locații pentru sistemele frigorifice. Locația potrivită trebuie aleasă în conformitate cu </w:t>
      </w:r>
      <w:r>
        <w:rPr>
          <w:rFonts w:eastAsia="Helvetica-Bold"/>
          <w:b/>
          <w:i/>
          <w:iCs/>
          <w:sz w:val="22"/>
          <w:szCs w:val="22"/>
        </w:rPr>
        <w:t>SR EN 378-2</w:t>
      </w:r>
      <w:r>
        <w:rPr>
          <w:rFonts w:eastAsia="Helvetica"/>
          <w:i/>
          <w:iCs/>
          <w:sz w:val="22"/>
          <w:szCs w:val="22"/>
        </w:rPr>
        <w:t xml:space="preserve"> care ia în considerare riscurile posibile. Aceste trei tipuri de locații sunt:</w:t>
      </w:r>
    </w:p>
    <w:p w14:paraId="5B5A8CED" w14:textId="77777777" w:rsidR="001C08A5" w:rsidRDefault="00000000">
      <w:pPr>
        <w:ind w:left="720" w:firstLine="720"/>
        <w:jc w:val="both"/>
        <w:rPr>
          <w:rFonts w:eastAsia="Helvetica"/>
          <w:i/>
          <w:iCs/>
          <w:sz w:val="22"/>
          <w:szCs w:val="22"/>
        </w:rPr>
      </w:pPr>
      <w:r>
        <w:rPr>
          <w:rFonts w:eastAsia="Helvetica"/>
          <w:i/>
          <w:iCs/>
          <w:sz w:val="22"/>
          <w:szCs w:val="22"/>
        </w:rPr>
        <w:t>a)un sistem frigorific care se gasește într-un spațiu ocupat de oameni, dar care nu este o sală de mașini specială;</w:t>
      </w:r>
    </w:p>
    <w:p w14:paraId="3BDD568F" w14:textId="77777777" w:rsidR="001C08A5" w:rsidRDefault="00000000">
      <w:pPr>
        <w:ind w:left="720" w:firstLine="720"/>
        <w:jc w:val="both"/>
        <w:rPr>
          <w:rFonts w:eastAsia="Helvetica"/>
          <w:i/>
          <w:iCs/>
          <w:sz w:val="22"/>
          <w:szCs w:val="22"/>
        </w:rPr>
      </w:pPr>
      <w:r>
        <w:rPr>
          <w:rFonts w:eastAsia="Helvetica"/>
          <w:i/>
          <w:iCs/>
          <w:sz w:val="22"/>
          <w:szCs w:val="22"/>
        </w:rPr>
        <w:t xml:space="preserve">b)un sistem frigorific care are partea de presiune înaltă (exceptând condensatoarele răcite cu aer) instalată într-o sală de mașini specială (a se vedea </w:t>
      </w:r>
      <w:r>
        <w:rPr>
          <w:rFonts w:eastAsia="Helvetica"/>
          <w:b/>
          <w:bCs/>
          <w:i/>
          <w:iCs/>
          <w:sz w:val="22"/>
          <w:szCs w:val="22"/>
        </w:rPr>
        <w:t>SR EN 378-3</w:t>
      </w:r>
      <w:r>
        <w:rPr>
          <w:rFonts w:eastAsia="Helvetica"/>
          <w:i/>
          <w:iCs/>
          <w:sz w:val="22"/>
          <w:szCs w:val="22"/>
        </w:rPr>
        <w:t>) sau în aer liber;</w:t>
      </w:r>
    </w:p>
    <w:p w14:paraId="354E8C75" w14:textId="77777777" w:rsidR="001C08A5" w:rsidRDefault="00000000">
      <w:pPr>
        <w:ind w:left="720" w:firstLine="720"/>
        <w:jc w:val="both"/>
        <w:rPr>
          <w:rFonts w:eastAsia="Helvetica"/>
          <w:i/>
          <w:iCs/>
          <w:sz w:val="22"/>
          <w:szCs w:val="22"/>
        </w:rPr>
      </w:pPr>
      <w:r>
        <w:rPr>
          <w:rFonts w:eastAsia="Helvetica"/>
          <w:i/>
          <w:iCs/>
          <w:sz w:val="22"/>
          <w:szCs w:val="22"/>
        </w:rPr>
        <w:t xml:space="preserve">c)un sistem frigorific care are toate părțile componente instalate într-o sală de mașini specială (a se vedea </w:t>
      </w:r>
      <w:r>
        <w:rPr>
          <w:rFonts w:eastAsia="Helvetica"/>
          <w:b/>
          <w:bCs/>
          <w:i/>
          <w:iCs/>
          <w:sz w:val="22"/>
          <w:szCs w:val="22"/>
        </w:rPr>
        <w:t>SR EN 378-3</w:t>
      </w:r>
      <w:r>
        <w:rPr>
          <w:rFonts w:eastAsia="Helvetica"/>
          <w:i/>
          <w:iCs/>
          <w:sz w:val="22"/>
          <w:szCs w:val="22"/>
        </w:rPr>
        <w:t>) sau în aer liber.</w:t>
      </w:r>
    </w:p>
    <w:p w14:paraId="216F3C8C" w14:textId="77777777" w:rsidR="001C08A5" w:rsidRDefault="00000000">
      <w:pPr>
        <w:jc w:val="both"/>
        <w:rPr>
          <w:rFonts w:eastAsia="Helvetica"/>
          <w:b/>
          <w:bCs/>
          <w:i/>
          <w:iCs/>
          <w:sz w:val="22"/>
          <w:szCs w:val="22"/>
        </w:rPr>
      </w:pPr>
      <w:r>
        <w:rPr>
          <w:rFonts w:eastAsia="Helvetica"/>
          <w:i/>
          <w:iCs/>
          <w:sz w:val="22"/>
          <w:szCs w:val="22"/>
        </w:rPr>
        <w:t>- Cantitatea maximă de agent frigorific din grupa specifică în funcție de categoria de ocupare va fi conformă cu prevederile din</w:t>
      </w:r>
      <w:r>
        <w:rPr>
          <w:rFonts w:eastAsia="Helvetica"/>
          <w:b/>
          <w:bCs/>
          <w:i/>
          <w:iCs/>
          <w:sz w:val="22"/>
          <w:szCs w:val="22"/>
        </w:rPr>
        <w:t xml:space="preserve">  </w:t>
      </w:r>
      <w:r>
        <w:rPr>
          <w:rFonts w:eastAsia="Helvetica-Bold"/>
          <w:b/>
          <w:i/>
          <w:iCs/>
          <w:sz w:val="22"/>
          <w:szCs w:val="22"/>
        </w:rPr>
        <w:t>SR EN 378-1.</w:t>
      </w:r>
    </w:p>
    <w:p w14:paraId="43728ABF" w14:textId="77777777" w:rsidR="001C08A5" w:rsidRDefault="001C08A5">
      <w:pPr>
        <w:jc w:val="both"/>
        <w:rPr>
          <w:b/>
          <w:bCs/>
          <w:i/>
          <w:sz w:val="24"/>
          <w:szCs w:val="24"/>
        </w:rPr>
      </w:pPr>
    </w:p>
    <w:p w14:paraId="1C418A98" w14:textId="77777777" w:rsidR="001C08A5" w:rsidRDefault="00000000">
      <w:pPr>
        <w:pStyle w:val="Heading2"/>
        <w:rPr>
          <w:sz w:val="28"/>
        </w:rPr>
      </w:pPr>
      <w:bookmarkStart w:id="7738" w:name="_Toc3285"/>
      <w:bookmarkStart w:id="7739" w:name="_Toc162355430"/>
      <w:bookmarkStart w:id="7740" w:name="_Toc5700"/>
      <w:bookmarkStart w:id="7741" w:name="_Toc18446"/>
      <w:bookmarkStart w:id="7742" w:name="_Toc4202"/>
      <w:bookmarkStart w:id="7743" w:name="_Toc3108"/>
      <w:bookmarkStart w:id="7744" w:name="_Toc25524"/>
      <w:bookmarkStart w:id="7745" w:name="_Toc14006"/>
      <w:bookmarkStart w:id="7746" w:name="_Toc13812"/>
      <w:bookmarkStart w:id="7747" w:name="_Toc2154"/>
      <w:bookmarkStart w:id="7748" w:name="_Toc26050"/>
      <w:bookmarkStart w:id="7749" w:name="_Toc3619"/>
      <w:bookmarkStart w:id="7750" w:name="_Toc4039"/>
      <w:bookmarkStart w:id="7751" w:name="_Toc4235"/>
      <w:bookmarkStart w:id="7752" w:name="_Toc26720"/>
      <w:bookmarkStart w:id="7753" w:name="_Toc29454"/>
      <w:r>
        <w:rPr>
          <w:sz w:val="28"/>
        </w:rPr>
        <w:t>ANEXA 5 -  CĂI DE EVACUARE A UTILIZATORILOR ÎN CAZ DE INCENDIU</w:t>
      </w:r>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p>
    <w:p w14:paraId="196EAE75" w14:textId="77777777" w:rsidR="001C08A5" w:rsidRDefault="00000000">
      <w:pPr>
        <w:keepNext/>
        <w:tabs>
          <w:tab w:val="left" w:pos="720"/>
        </w:tabs>
        <w:spacing w:before="240" w:after="60"/>
        <w:ind w:left="720" w:hanging="720"/>
        <w:outlineLvl w:val="2"/>
        <w:rPr>
          <w:rFonts w:eastAsia="Microsoft YaHei" w:cs="Cambria"/>
          <w:b/>
          <w:bCs/>
          <w:sz w:val="24"/>
          <w:szCs w:val="24"/>
        </w:rPr>
      </w:pPr>
      <w:bookmarkStart w:id="7754" w:name="_Toc20112"/>
      <w:bookmarkStart w:id="7755" w:name="_Toc6163"/>
      <w:bookmarkStart w:id="7756" w:name="_Toc22765"/>
      <w:bookmarkStart w:id="7757" w:name="_Toc19950"/>
      <w:bookmarkStart w:id="7758" w:name="_Toc16416"/>
      <w:bookmarkStart w:id="7759" w:name="_Toc11968"/>
      <w:bookmarkStart w:id="7760" w:name="_Toc24134"/>
      <w:bookmarkStart w:id="7761" w:name="_Toc18384"/>
      <w:bookmarkStart w:id="7762" w:name="_Toc23025"/>
      <w:bookmarkStart w:id="7763" w:name="_Toc11945"/>
      <w:bookmarkStart w:id="7764" w:name="_Toc2093"/>
      <w:bookmarkStart w:id="7765" w:name="_Toc4680"/>
      <w:bookmarkStart w:id="7766" w:name="_Toc14707"/>
      <w:bookmarkStart w:id="7767" w:name="_Toc7315"/>
      <w:bookmarkStart w:id="7768" w:name="_Toc31286"/>
      <w:bookmarkStart w:id="7769" w:name="_Toc162355431"/>
      <w:bookmarkStart w:id="7770" w:name="_Toc21976"/>
      <w:r>
        <w:rPr>
          <w:rStyle w:val="Heading3Char"/>
          <w:i/>
          <w:iCs/>
          <w:sz w:val="24"/>
          <w:szCs w:val="24"/>
        </w:rPr>
        <w:t>ANEXA 5.1 - UŞI</w:t>
      </w:r>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r>
        <w:rPr>
          <w:rFonts w:eastAsia="Microsoft YaHei" w:cs="Cambria"/>
          <w:b/>
          <w:bCs/>
          <w:sz w:val="24"/>
          <w:szCs w:val="24"/>
        </w:rPr>
        <w:tab/>
      </w:r>
    </w:p>
    <w:p w14:paraId="46276BB0" w14:textId="77777777" w:rsidR="001C08A5" w:rsidRDefault="00000000">
      <w:pPr>
        <w:pStyle w:val="Heading4"/>
        <w:rPr>
          <w:sz w:val="24"/>
          <w:szCs w:val="24"/>
        </w:rPr>
      </w:pPr>
      <w:bookmarkStart w:id="7771" w:name="_Toc30230"/>
      <w:bookmarkStart w:id="7772" w:name="_Toc3382"/>
      <w:bookmarkStart w:id="7773" w:name="_Toc9542"/>
      <w:bookmarkStart w:id="7774" w:name="_Toc18319"/>
      <w:bookmarkStart w:id="7775" w:name="_Toc25012"/>
      <w:bookmarkStart w:id="7776" w:name="_Toc20805"/>
      <w:bookmarkStart w:id="7777" w:name="_Toc17636"/>
      <w:bookmarkStart w:id="7778" w:name="_Toc5969"/>
      <w:bookmarkStart w:id="7779" w:name="_Toc19927"/>
      <w:bookmarkStart w:id="7780" w:name="_Toc5966"/>
      <w:bookmarkStart w:id="7781" w:name="_Toc26230"/>
      <w:bookmarkStart w:id="7782" w:name="_Toc15323"/>
      <w:bookmarkStart w:id="7783" w:name="_Toc7615"/>
      <w:bookmarkStart w:id="7784" w:name="_Toc20436"/>
      <w:bookmarkStart w:id="7785" w:name="_Toc5277"/>
      <w:bookmarkStart w:id="7786" w:name="_Toc162355432"/>
      <w:r>
        <w:rPr>
          <w:sz w:val="24"/>
          <w:szCs w:val="24"/>
        </w:rPr>
        <w:t>Generalități</w:t>
      </w:r>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p>
    <w:p w14:paraId="715B06B7"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ab/>
        <w:t>„Ușă” se referă la o formă de protecție a unei deschideri în orice perete sau în structura care înconjoară un puț protejat de incendiu (cu excepția formelor de protecție denumite cortine şi obloane*), indiferent dacă ușa este construită din una sau mai multe canate. Ușile folosite pentru evacuare, în general, pot fi:</w:t>
      </w:r>
    </w:p>
    <w:p w14:paraId="4C1D9B22" w14:textId="77777777" w:rsidR="001C08A5" w:rsidRDefault="00000000">
      <w:pPr>
        <w:ind w:left="1440"/>
        <w:jc w:val="both"/>
        <w:rPr>
          <w:rFonts w:eastAsia="Times New Roman"/>
          <w:i/>
          <w:sz w:val="24"/>
          <w:szCs w:val="24"/>
        </w:rPr>
      </w:pPr>
      <w:r>
        <w:rPr>
          <w:rFonts w:eastAsia="Times New Roman"/>
          <w:i/>
          <w:sz w:val="24"/>
          <w:szCs w:val="24"/>
        </w:rPr>
        <w:t xml:space="preserve">- uși (cu deschidere normală, fără sisteme de închidere) </w:t>
      </w:r>
      <w:r>
        <w:rPr>
          <w:rFonts w:eastAsia="Times New Roman"/>
          <w:b/>
          <w:bCs/>
          <w:i/>
          <w:sz w:val="24"/>
          <w:szCs w:val="24"/>
        </w:rPr>
        <w:t xml:space="preserve">pe balamale sau pivoți </w:t>
      </w:r>
      <w:r>
        <w:rPr>
          <w:rFonts w:eastAsia="Times New Roman"/>
          <w:i/>
          <w:sz w:val="24"/>
          <w:szCs w:val="24"/>
        </w:rPr>
        <w:t xml:space="preserve">conform </w:t>
      </w:r>
      <w:r>
        <w:rPr>
          <w:b/>
          <w:bCs/>
          <w:i/>
          <w:sz w:val="24"/>
          <w:szCs w:val="24"/>
        </w:rPr>
        <w:t xml:space="preserve">Art. 1.2.1. </w:t>
      </w:r>
      <w:r>
        <w:rPr>
          <w:rFonts w:eastAsia="Times New Roman"/>
          <w:b/>
          <w:bCs/>
          <w:i/>
          <w:sz w:val="24"/>
          <w:szCs w:val="24"/>
        </w:rPr>
        <w:t xml:space="preserve">alin. 90 lit.a) </w:t>
      </w:r>
      <w:r>
        <w:rPr>
          <w:rFonts w:eastAsia="Times New Roman"/>
          <w:i/>
          <w:sz w:val="24"/>
          <w:szCs w:val="24"/>
        </w:rPr>
        <w:t>din normativ;</w:t>
      </w:r>
    </w:p>
    <w:p w14:paraId="26D53C8C" w14:textId="77777777" w:rsidR="001C08A5" w:rsidRDefault="00000000">
      <w:pPr>
        <w:ind w:left="1440"/>
        <w:rPr>
          <w:i/>
          <w:iCs/>
          <w:sz w:val="24"/>
          <w:szCs w:val="24"/>
          <w:lang w:val="en-GB" w:eastAsia="en-GB"/>
        </w:rPr>
      </w:pPr>
      <w:r>
        <w:rPr>
          <w:rFonts w:eastAsia="Times New Roman"/>
          <w:i/>
          <w:iCs/>
          <w:sz w:val="24"/>
          <w:szCs w:val="24"/>
        </w:rPr>
        <w:t xml:space="preserve">- uși </w:t>
      </w:r>
      <w:r>
        <w:rPr>
          <w:rFonts w:eastAsia="Times New Roman"/>
          <w:b/>
          <w:bCs/>
          <w:i/>
          <w:iCs/>
          <w:sz w:val="24"/>
          <w:szCs w:val="24"/>
        </w:rPr>
        <w:t>echipate cu sisteme de încuiere și dispozitive de ieșire</w:t>
      </w:r>
      <w:r>
        <w:rPr>
          <w:rFonts w:eastAsia="Times New Roman"/>
          <w:i/>
          <w:iCs/>
          <w:sz w:val="24"/>
          <w:szCs w:val="24"/>
        </w:rPr>
        <w:t xml:space="preserve"> (uși antipanică în acord </w:t>
      </w:r>
      <w:r>
        <w:rPr>
          <w:rFonts w:eastAsia="Times New Roman"/>
          <w:b/>
          <w:bCs/>
          <w:i/>
          <w:iCs/>
          <w:sz w:val="24"/>
          <w:szCs w:val="24"/>
        </w:rPr>
        <w:t>SR EN 1125</w:t>
      </w:r>
      <w:r>
        <w:rPr>
          <w:rFonts w:eastAsia="Times New Roman"/>
          <w:i/>
          <w:iCs/>
          <w:sz w:val="24"/>
          <w:szCs w:val="24"/>
        </w:rPr>
        <w:t xml:space="preserve"> sau </w:t>
      </w:r>
      <w:r>
        <w:rPr>
          <w:i/>
          <w:iCs/>
          <w:sz w:val="24"/>
          <w:szCs w:val="24"/>
        </w:rPr>
        <w:t xml:space="preserve">uși de </w:t>
      </w:r>
      <w:r>
        <w:rPr>
          <w:rFonts w:eastAsia="Arial-ItalicMT"/>
          <w:i/>
          <w:iCs/>
          <w:sz w:val="24"/>
          <w:szCs w:val="24"/>
        </w:rPr>
        <w:t xml:space="preserve">ieșire de urgență conform </w:t>
      </w:r>
      <w:r>
        <w:rPr>
          <w:rFonts w:eastAsia="Arial-ItalicMT"/>
          <w:b/>
          <w:bCs/>
          <w:i/>
          <w:iCs/>
          <w:sz w:val="24"/>
          <w:szCs w:val="24"/>
        </w:rPr>
        <w:t>SR EN 179</w:t>
      </w:r>
      <w:r>
        <w:rPr>
          <w:rFonts w:eastAsia="Arial-ItalicMT"/>
          <w:i/>
          <w:iCs/>
          <w:sz w:val="24"/>
          <w:szCs w:val="24"/>
        </w:rPr>
        <w:t xml:space="preserve">) </w:t>
      </w:r>
      <w:r>
        <w:rPr>
          <w:rFonts w:eastAsia="Times New Roman"/>
          <w:i/>
          <w:iCs/>
          <w:sz w:val="24"/>
          <w:szCs w:val="24"/>
        </w:rPr>
        <w:t xml:space="preserve">conform </w:t>
      </w:r>
      <w:r>
        <w:rPr>
          <w:b/>
          <w:bCs/>
          <w:i/>
          <w:iCs/>
          <w:sz w:val="24"/>
          <w:szCs w:val="24"/>
        </w:rPr>
        <w:t xml:space="preserve">Art. 1.2.1. </w:t>
      </w:r>
      <w:r>
        <w:rPr>
          <w:rFonts w:eastAsia="Times New Roman"/>
          <w:b/>
          <w:bCs/>
          <w:i/>
          <w:iCs/>
          <w:sz w:val="24"/>
          <w:szCs w:val="24"/>
        </w:rPr>
        <w:t>alin.</w:t>
      </w:r>
      <w:r>
        <w:rPr>
          <w:rFonts w:eastAsia="Times New Roman"/>
          <w:i/>
          <w:iCs/>
          <w:sz w:val="24"/>
          <w:szCs w:val="24"/>
        </w:rPr>
        <w:t xml:space="preserve"> </w:t>
      </w:r>
      <w:r>
        <w:rPr>
          <w:rFonts w:eastAsia="Times New Roman"/>
          <w:b/>
          <w:bCs/>
          <w:i/>
          <w:iCs/>
          <w:sz w:val="24"/>
          <w:szCs w:val="24"/>
        </w:rPr>
        <w:t>90 lit.b)</w:t>
      </w:r>
      <w:r>
        <w:rPr>
          <w:rFonts w:eastAsia="Times New Roman"/>
          <w:i/>
          <w:iCs/>
          <w:sz w:val="24"/>
          <w:szCs w:val="24"/>
        </w:rPr>
        <w:t xml:space="preserve"> din normativ</w:t>
      </w:r>
      <w:r>
        <w:rPr>
          <w:rFonts w:eastAsia="Arial-ItalicMT"/>
          <w:i/>
          <w:iCs/>
          <w:sz w:val="24"/>
          <w:szCs w:val="24"/>
        </w:rPr>
        <w:t>;</w:t>
      </w:r>
    </w:p>
    <w:p w14:paraId="5D808E7D" w14:textId="77777777" w:rsidR="001C08A5" w:rsidRDefault="00000000">
      <w:pPr>
        <w:ind w:left="1440"/>
        <w:jc w:val="both"/>
        <w:rPr>
          <w:rFonts w:eastAsia="Times New Roman"/>
          <w:i/>
          <w:sz w:val="24"/>
          <w:szCs w:val="24"/>
        </w:rPr>
      </w:pPr>
      <w:r>
        <w:rPr>
          <w:rFonts w:eastAsia="Times New Roman"/>
          <w:i/>
          <w:sz w:val="24"/>
          <w:szCs w:val="24"/>
        </w:rPr>
        <w:t xml:space="preserve">- uşi de evacuare </w:t>
      </w:r>
      <w:r>
        <w:rPr>
          <w:rFonts w:eastAsia="Times New Roman"/>
          <w:b/>
          <w:bCs/>
          <w:i/>
          <w:sz w:val="24"/>
          <w:szCs w:val="24"/>
        </w:rPr>
        <w:t>culisante</w:t>
      </w:r>
      <w:r>
        <w:rPr>
          <w:rFonts w:eastAsia="Times New Roman"/>
          <w:i/>
          <w:sz w:val="24"/>
          <w:szCs w:val="24"/>
        </w:rPr>
        <w:t xml:space="preserve"> prevăzute şi cu deschidere pe balamale sau pivoți (uşi culisant-pivotante = uși </w:t>
      </w:r>
      <w:r>
        <w:rPr>
          <w:rFonts w:eastAsia="Times New Roman"/>
          <w:b/>
          <w:bCs/>
          <w:i/>
          <w:sz w:val="24"/>
          <w:szCs w:val="24"/>
        </w:rPr>
        <w:t>cu “break-out”</w:t>
      </w:r>
      <w:r>
        <w:rPr>
          <w:rFonts w:eastAsia="Times New Roman"/>
          <w:i/>
          <w:sz w:val="24"/>
          <w:szCs w:val="24"/>
        </w:rPr>
        <w:t xml:space="preserve"> și uși </w:t>
      </w:r>
      <w:r>
        <w:rPr>
          <w:rFonts w:eastAsia="Times New Roman"/>
          <w:b/>
          <w:bCs/>
          <w:i/>
          <w:sz w:val="24"/>
          <w:szCs w:val="24"/>
        </w:rPr>
        <w:t xml:space="preserve">culisante automate redundante </w:t>
      </w:r>
      <w:r>
        <w:rPr>
          <w:rFonts w:eastAsia="Times New Roman"/>
          <w:i/>
          <w:sz w:val="24"/>
          <w:szCs w:val="24"/>
        </w:rPr>
        <w:t xml:space="preserve">conform </w:t>
      </w:r>
      <w:r>
        <w:rPr>
          <w:b/>
          <w:bCs/>
          <w:i/>
          <w:sz w:val="24"/>
          <w:szCs w:val="24"/>
        </w:rPr>
        <w:t xml:space="preserve">Art. 1.2.1. </w:t>
      </w:r>
      <w:r>
        <w:rPr>
          <w:rFonts w:eastAsia="Times New Roman"/>
          <w:b/>
          <w:bCs/>
          <w:i/>
          <w:sz w:val="24"/>
          <w:szCs w:val="24"/>
        </w:rPr>
        <w:t xml:space="preserve">alin. 90 lit. c) și  lit. d) </w:t>
      </w:r>
      <w:r>
        <w:rPr>
          <w:rFonts w:eastAsia="Times New Roman"/>
          <w:i/>
          <w:sz w:val="24"/>
          <w:szCs w:val="24"/>
        </w:rPr>
        <w:t xml:space="preserve">din normativ) </w:t>
      </w:r>
    </w:p>
    <w:p w14:paraId="27E74421" w14:textId="77777777" w:rsidR="001C08A5" w:rsidRDefault="00000000">
      <w:pPr>
        <w:ind w:left="2160"/>
        <w:jc w:val="both"/>
        <w:rPr>
          <w:rFonts w:eastAsia="Times New Roman"/>
          <w:i/>
          <w:sz w:val="24"/>
          <w:szCs w:val="24"/>
        </w:rPr>
      </w:pPr>
      <w:r>
        <w:rPr>
          <w:rFonts w:eastAsia="Times New Roman"/>
          <w:i/>
          <w:sz w:val="24"/>
          <w:szCs w:val="24"/>
        </w:rPr>
        <w:t xml:space="preserve">- uşi de evacuare culisant-pivotante (usi cu “break-out”) sunt uşile culisante care au atât mișcare culisantă pentru deschidere automată prin sensor de prezenţă, cât şi posibilitatea de a fi deschise pivotant prin împingerea lor de către fluxul de persoane, în sensul evacuării. Panoul culisant-pivotant trebuie amplasat astfel încât să nu existe posibilitatea situării într-o poziţie </w:t>
      </w:r>
      <w:r>
        <w:rPr>
          <w:rFonts w:eastAsia="Times New Roman"/>
          <w:i/>
          <w:sz w:val="24"/>
          <w:szCs w:val="24"/>
        </w:rPr>
        <w:lastRenderedPageBreak/>
        <w:t xml:space="preserve">intermediară şi să existe spațiul necesar deschiderii prin pivotare. Se recomandă utilizarea uşilor culisant-pivotante compuse din două panouri cuplate; sau </w:t>
      </w:r>
    </w:p>
    <w:p w14:paraId="6E2D5CFC" w14:textId="77777777" w:rsidR="001C08A5" w:rsidRDefault="00000000">
      <w:pPr>
        <w:ind w:left="2160"/>
        <w:jc w:val="both"/>
        <w:rPr>
          <w:rFonts w:eastAsia="Times New Roman"/>
          <w:i/>
          <w:sz w:val="24"/>
          <w:szCs w:val="24"/>
        </w:rPr>
      </w:pPr>
      <w:r>
        <w:rPr>
          <w:rFonts w:eastAsia="Times New Roman"/>
          <w:i/>
          <w:sz w:val="24"/>
          <w:szCs w:val="24"/>
        </w:rPr>
        <w:t>- uși de evacuare culisante redundante, utilizate pentru închiderea golurilor din pereţi şi destinate circulaţiei funcţionale şi de evacuare a utilizatorilor sunt uși acționate de un sistem complet de automatizare în care pentru fiecare echipament component esențial (motor, procesor, detector de mișcare, acumulator, etc.) există constituită o sursă de energie electrică (baterii proprii, grup electrogen,etc.) de rezervă în cazul unei pene de curent, defect sau incendiu, ușa culisantă se va deschide automat în siguranță fără să fie necesară acționarea mecanică</w:t>
      </w:r>
    </w:p>
    <w:p w14:paraId="5D5515D3" w14:textId="77777777" w:rsidR="001C08A5" w:rsidRDefault="00000000">
      <w:pPr>
        <w:tabs>
          <w:tab w:val="left" w:pos="426"/>
          <w:tab w:val="left" w:pos="567"/>
          <w:tab w:val="left" w:pos="993"/>
        </w:tabs>
        <w:jc w:val="both"/>
        <w:rPr>
          <w:rFonts w:eastAsia="Times New Roman"/>
          <w:b/>
          <w:i/>
          <w:sz w:val="22"/>
          <w:szCs w:val="22"/>
        </w:rPr>
      </w:pPr>
      <w:r>
        <w:rPr>
          <w:rFonts w:eastAsia="Times New Roman"/>
          <w:i/>
          <w:sz w:val="22"/>
          <w:szCs w:val="22"/>
        </w:rPr>
        <w:t xml:space="preserve">Observație: Uşile culisante automate pot fi folosite pe căile de evacuare dacă îndeplinesc următoarele condiţii: </w:t>
      </w:r>
    </w:p>
    <w:p w14:paraId="2433173F" w14:textId="77777777" w:rsidR="001C08A5" w:rsidRDefault="00000000">
      <w:pPr>
        <w:ind w:left="2160"/>
        <w:jc w:val="both"/>
        <w:rPr>
          <w:rFonts w:eastAsia="Times New Roman"/>
          <w:i/>
          <w:sz w:val="22"/>
          <w:szCs w:val="22"/>
        </w:rPr>
      </w:pPr>
      <w:r>
        <w:rPr>
          <w:rFonts w:eastAsia="Times New Roman"/>
          <w:i/>
          <w:sz w:val="22"/>
          <w:szCs w:val="22"/>
        </w:rPr>
        <w:t>- în caz de defect, de întrerupere a alimentării cu energie electrică sau incendiu, ușile să se deschidă automat și trebuie să rămână deschise; uşile pot fi deschise prin pivotare, pliere sau deschidere laterală (doar ușile glisante redundante), pe toată lăţimea normată pentru asigurarea unităţilor de trecere (fluxurilor) de evacuare rezultate din calcul;</w:t>
      </w:r>
    </w:p>
    <w:p w14:paraId="570F8C53" w14:textId="77777777" w:rsidR="001C08A5" w:rsidRDefault="00000000">
      <w:pPr>
        <w:ind w:left="2160"/>
        <w:jc w:val="both"/>
        <w:rPr>
          <w:rFonts w:eastAsia="Times New Roman"/>
          <w:i/>
          <w:sz w:val="22"/>
          <w:szCs w:val="22"/>
        </w:rPr>
      </w:pPr>
      <w:r>
        <w:rPr>
          <w:rFonts w:eastAsia="Times New Roman"/>
          <w:i/>
          <w:sz w:val="22"/>
          <w:szCs w:val="22"/>
        </w:rPr>
        <w:t xml:space="preserve">- deschiderea uşilor este asigurată şi manual, prin împingere în sensul evacuării spre exterior sau prin deschidere laterală cu dispozitiv de energie mecanică intrinsecă; </w:t>
      </w:r>
    </w:p>
    <w:p w14:paraId="0A872E16" w14:textId="77777777" w:rsidR="001C08A5" w:rsidRDefault="00000000">
      <w:pPr>
        <w:ind w:left="720" w:firstLine="720"/>
        <w:jc w:val="both"/>
        <w:rPr>
          <w:rFonts w:eastAsia="Times New Roman"/>
          <w:i/>
          <w:sz w:val="24"/>
          <w:szCs w:val="24"/>
        </w:rPr>
      </w:pPr>
      <w:r>
        <w:rPr>
          <w:rFonts w:eastAsia="Times New Roman"/>
          <w:i/>
          <w:sz w:val="24"/>
          <w:szCs w:val="24"/>
        </w:rPr>
        <w:t xml:space="preserve">- uși </w:t>
      </w:r>
      <w:r>
        <w:rPr>
          <w:rFonts w:eastAsia="Times New Roman"/>
          <w:b/>
          <w:bCs/>
          <w:i/>
          <w:sz w:val="24"/>
          <w:szCs w:val="24"/>
        </w:rPr>
        <w:t>carusel</w:t>
      </w:r>
      <w:r>
        <w:rPr>
          <w:rFonts w:eastAsia="Times New Roman"/>
          <w:i/>
          <w:sz w:val="24"/>
          <w:szCs w:val="24"/>
        </w:rPr>
        <w:t xml:space="preserve"> (cu tambur) / </w:t>
      </w:r>
      <w:r>
        <w:rPr>
          <w:rFonts w:eastAsia="Times New Roman"/>
          <w:b/>
          <w:bCs/>
          <w:i/>
          <w:sz w:val="24"/>
          <w:szCs w:val="24"/>
        </w:rPr>
        <w:t xml:space="preserve">turnante </w:t>
      </w:r>
      <w:r>
        <w:rPr>
          <w:rFonts w:eastAsia="Times New Roman"/>
          <w:i/>
          <w:sz w:val="24"/>
          <w:szCs w:val="24"/>
        </w:rPr>
        <w:t xml:space="preserve">conform </w:t>
      </w:r>
      <w:r>
        <w:rPr>
          <w:b/>
          <w:bCs/>
          <w:i/>
          <w:sz w:val="24"/>
          <w:szCs w:val="24"/>
        </w:rPr>
        <w:t xml:space="preserve">Art. 1.2.1. </w:t>
      </w:r>
      <w:r>
        <w:rPr>
          <w:rFonts w:eastAsia="Times New Roman"/>
          <w:b/>
          <w:bCs/>
          <w:i/>
          <w:sz w:val="24"/>
          <w:szCs w:val="24"/>
        </w:rPr>
        <w:t xml:space="preserve">alin. 90 lit. e) </w:t>
      </w:r>
      <w:r>
        <w:rPr>
          <w:rFonts w:eastAsia="Times New Roman"/>
          <w:i/>
          <w:sz w:val="24"/>
          <w:szCs w:val="24"/>
        </w:rPr>
        <w:t xml:space="preserve">din normativ  </w:t>
      </w:r>
    </w:p>
    <w:p w14:paraId="7EFFC4F9" w14:textId="77777777" w:rsidR="001C08A5" w:rsidRDefault="00000000">
      <w:pPr>
        <w:tabs>
          <w:tab w:val="left" w:pos="426"/>
          <w:tab w:val="left" w:pos="567"/>
          <w:tab w:val="left" w:pos="993"/>
        </w:tabs>
        <w:jc w:val="both"/>
        <w:rPr>
          <w:rFonts w:eastAsia="Times New Roman"/>
          <w:b/>
          <w:i/>
          <w:sz w:val="22"/>
          <w:szCs w:val="22"/>
        </w:rPr>
      </w:pPr>
      <w:r>
        <w:rPr>
          <w:rFonts w:eastAsia="Times New Roman"/>
          <w:i/>
          <w:sz w:val="22"/>
          <w:szCs w:val="22"/>
        </w:rPr>
        <w:t>Observație: Uşile carusel (turnante) pot fi folosite pe căile de evacuare a utilizatorilor numai dacă sunt prevăzute cu posibilitatea plierii uşoare a foilor de uşă şi prin aceasta se asigură unităţile de trecere (lățimea liberă necesară evacuării fluxurilor) de evacuare rezultate din calcul. Atunci când uşile turnante nu îndeplinesc aceste condiții, în imediata lor apropiere se prevăd uşi cu deschidere de tip obişnuit, pe balamale sau pivoţi, care să asigure condiţiile normate de evacuare.</w:t>
      </w:r>
    </w:p>
    <w:p w14:paraId="3534937F" w14:textId="77777777" w:rsidR="001C08A5" w:rsidRDefault="001C08A5">
      <w:pPr>
        <w:jc w:val="both"/>
        <w:rPr>
          <w:rFonts w:eastAsia="Times New Roman"/>
          <w:i/>
          <w:sz w:val="24"/>
          <w:szCs w:val="24"/>
        </w:rPr>
      </w:pPr>
    </w:p>
    <w:p w14:paraId="3D0B3F89"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Deschiderea uşilor de evacuare pe balamale sau pivoţi dispuse pe traseele de evacuare a mai mult de </w:t>
      </w:r>
      <w:r>
        <w:rPr>
          <w:rFonts w:eastAsia="Times New Roman"/>
          <w:b/>
          <w:bCs/>
          <w:i/>
          <w:sz w:val="24"/>
        </w:rPr>
        <w:t>30</w:t>
      </w:r>
      <w:r>
        <w:rPr>
          <w:rFonts w:eastAsia="Times New Roman"/>
          <w:i/>
          <w:sz w:val="24"/>
        </w:rPr>
        <w:t xml:space="preserve"> de utilizatori capabili să se evacueze singuri, trebuie să se facă în sensul deplasării acestora spre exterior (cu excepția deschiderii uşilor de intrare în clădirile de locuit care nu sunt înalte sau foarte înalte, la care se poate realiza spre interior).</w:t>
      </w:r>
    </w:p>
    <w:p w14:paraId="739140C9" w14:textId="77777777" w:rsidR="001C08A5" w:rsidRDefault="001C08A5">
      <w:pPr>
        <w:tabs>
          <w:tab w:val="left" w:pos="426"/>
          <w:tab w:val="left" w:pos="567"/>
          <w:tab w:val="left" w:pos="993"/>
        </w:tabs>
        <w:jc w:val="both"/>
        <w:rPr>
          <w:rFonts w:eastAsia="Times New Roman"/>
          <w:b/>
          <w:i/>
          <w:sz w:val="24"/>
        </w:rPr>
      </w:pPr>
    </w:p>
    <w:p w14:paraId="266F4CF1"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Prin deschidere, uşile de evacuare nu trebuie să se împiedice una de alta sau să reducă lăţimea normată libera ("</w:t>
      </w:r>
      <w:r>
        <w:rPr>
          <w:rFonts w:eastAsia="Times New Roman"/>
          <w:b/>
          <w:bCs/>
          <w:i/>
          <w:sz w:val="24"/>
        </w:rPr>
        <w:t>L</w:t>
      </w:r>
      <w:r>
        <w:rPr>
          <w:rFonts w:eastAsia="Times New Roman"/>
          <w:i/>
          <w:sz w:val="24"/>
        </w:rPr>
        <w:t>") a căilor de evacuare a utilizatorilor.</w:t>
      </w:r>
    </w:p>
    <w:p w14:paraId="16E77F03" w14:textId="77777777" w:rsidR="001C08A5" w:rsidRDefault="001C08A5">
      <w:pPr>
        <w:jc w:val="both"/>
        <w:rPr>
          <w:rFonts w:eastAsia="Times New Roman"/>
          <w:i/>
          <w:sz w:val="24"/>
          <w:szCs w:val="24"/>
        </w:rPr>
      </w:pPr>
    </w:p>
    <w:p w14:paraId="4A00582D"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Uşile de acces în casele de scări de evacuare închise vor avea asigurate sisteme de autoînchidere (</w:t>
      </w:r>
      <w:r>
        <w:rPr>
          <w:rFonts w:eastAsia="Times New Roman"/>
          <w:b/>
          <w:bCs/>
          <w:i/>
          <w:sz w:val="24"/>
        </w:rPr>
        <w:t>C</w:t>
      </w:r>
      <w:r>
        <w:rPr>
          <w:rFonts w:eastAsia="Times New Roman"/>
          <w:i/>
          <w:sz w:val="24"/>
        </w:rPr>
        <w:t>), cu excepţia uşilor de acces din apartamentele de locuit, iar toate uşile rezistente la foc sau etanșe la foc și/sau etanșe la fum se prevăd cu sisteme de autoînchidere (</w:t>
      </w:r>
      <w:r>
        <w:rPr>
          <w:rFonts w:eastAsia="Times New Roman"/>
          <w:b/>
          <w:bCs/>
          <w:i/>
          <w:sz w:val="24"/>
        </w:rPr>
        <w:t>C</w:t>
      </w:r>
      <w:r>
        <w:rPr>
          <w:rFonts w:eastAsia="Times New Roman"/>
          <w:i/>
          <w:sz w:val="24"/>
        </w:rPr>
        <w:t>) sau, după caz, cu închidere automată în caz de incendiu.</w:t>
      </w:r>
    </w:p>
    <w:p w14:paraId="0A439822" w14:textId="77777777" w:rsidR="001C08A5" w:rsidRDefault="001C08A5">
      <w:pPr>
        <w:tabs>
          <w:tab w:val="left" w:pos="426"/>
          <w:tab w:val="left" w:pos="567"/>
          <w:tab w:val="left" w:pos="993"/>
        </w:tabs>
        <w:jc w:val="both"/>
        <w:rPr>
          <w:rFonts w:eastAsia="Times New Roman"/>
          <w:b/>
          <w:i/>
          <w:sz w:val="24"/>
        </w:rPr>
      </w:pPr>
    </w:p>
    <w:p w14:paraId="5E300566"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Uşile de acces în/ din spațiile prevăzute cu suprapresiune, vor fi echipate obligatoriu cu sisteme/ dispozitive de autoînchidere (</w:t>
      </w:r>
      <w:r>
        <w:rPr>
          <w:rFonts w:eastAsia="Times New Roman"/>
          <w:b/>
          <w:bCs/>
          <w:i/>
          <w:sz w:val="24"/>
        </w:rPr>
        <w:t>C</w:t>
      </w:r>
      <w:r>
        <w:rPr>
          <w:rFonts w:eastAsia="Times New Roman"/>
          <w:i/>
          <w:sz w:val="24"/>
        </w:rPr>
        <w:t>), indiferent de caracteristicile de performanță de rezistență la foc a acestora.</w:t>
      </w:r>
    </w:p>
    <w:p w14:paraId="734C0AF8" w14:textId="77777777" w:rsidR="001C08A5" w:rsidRDefault="00000000">
      <w:pPr>
        <w:jc w:val="center"/>
        <w:rPr>
          <w:b/>
          <w:bCs/>
          <w:i/>
          <w:sz w:val="24"/>
          <w:szCs w:val="24"/>
        </w:rPr>
      </w:pPr>
      <w:r>
        <w:rPr>
          <w:b/>
          <w:bCs/>
          <w:i/>
          <w:noProof/>
          <w:sz w:val="24"/>
          <w:szCs w:val="24"/>
          <w:lang w:eastAsia="ro-RO"/>
        </w:rPr>
        <w:lastRenderedPageBreak/>
        <w:drawing>
          <wp:inline distT="0" distB="0" distL="114300" distR="114300" wp14:anchorId="321236E8" wp14:editId="7FD12590">
            <wp:extent cx="5833745" cy="2898140"/>
            <wp:effectExtent l="0" t="0" r="14605" b="16510"/>
            <wp:docPr id="24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112"/>
                    <pic:cNvPicPr>
                      <a:picLocks noChangeAspect="1"/>
                    </pic:cNvPicPr>
                  </pic:nvPicPr>
                  <pic:blipFill>
                    <a:blip r:embed="rId355"/>
                    <a:srcRect l="14276" t="20612" r="8438" b="22031"/>
                    <a:stretch>
                      <a:fillRect/>
                    </a:stretch>
                  </pic:blipFill>
                  <pic:spPr>
                    <a:xfrm>
                      <a:off x="0" y="0"/>
                      <a:ext cx="5833745" cy="289814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26C92545" w14:textId="77777777">
        <w:tc>
          <w:tcPr>
            <w:tcW w:w="4927" w:type="dxa"/>
          </w:tcPr>
          <w:p w14:paraId="474DC208" w14:textId="77777777" w:rsidR="001C08A5" w:rsidRDefault="00000000">
            <w:pPr>
              <w:jc w:val="center"/>
              <w:rPr>
                <w:b/>
                <w:bCs/>
                <w:i/>
                <w:sz w:val="24"/>
                <w:szCs w:val="24"/>
              </w:rPr>
            </w:pPr>
            <w:r>
              <w:rPr>
                <w:rFonts w:eastAsia="Times New Roman"/>
                <w:b/>
                <w:bCs/>
                <w:i/>
                <w:sz w:val="24"/>
                <w:szCs w:val="24"/>
              </w:rPr>
              <w:t>Varianta a) - uși de evacuare cu deschidere spre interior, la 90°, din încăperi cu maximum 30 de persoane</w:t>
            </w:r>
          </w:p>
        </w:tc>
        <w:tc>
          <w:tcPr>
            <w:tcW w:w="4928" w:type="dxa"/>
          </w:tcPr>
          <w:p w14:paraId="0D198327" w14:textId="77777777" w:rsidR="001C08A5" w:rsidRDefault="00000000">
            <w:pPr>
              <w:jc w:val="center"/>
              <w:rPr>
                <w:b/>
                <w:bCs/>
                <w:i/>
                <w:sz w:val="24"/>
                <w:szCs w:val="24"/>
              </w:rPr>
            </w:pPr>
            <w:r>
              <w:rPr>
                <w:rFonts w:eastAsia="Times New Roman"/>
                <w:b/>
                <w:bCs/>
                <w:i/>
                <w:sz w:val="24"/>
                <w:szCs w:val="24"/>
              </w:rPr>
              <w:t>Varianta b) - uși de evacuare cu deschidere spre interior și exterior, la 90°, din încăperi cu nr. de persoane conform schiță</w:t>
            </w:r>
          </w:p>
        </w:tc>
      </w:tr>
    </w:tbl>
    <w:p w14:paraId="0DA78117" w14:textId="77777777" w:rsidR="001C08A5" w:rsidRDefault="001C08A5">
      <w:pPr>
        <w:jc w:val="both"/>
        <w:rPr>
          <w:b/>
          <w:bCs/>
          <w:i/>
          <w:sz w:val="24"/>
          <w:szCs w:val="24"/>
        </w:rPr>
      </w:pPr>
    </w:p>
    <w:p w14:paraId="6E100B98" w14:textId="77777777" w:rsidR="001C08A5" w:rsidRDefault="00000000">
      <w:pPr>
        <w:jc w:val="center"/>
        <w:rPr>
          <w:b/>
          <w:bCs/>
          <w:i/>
          <w:sz w:val="24"/>
          <w:szCs w:val="24"/>
        </w:rPr>
      </w:pPr>
      <w:r>
        <w:rPr>
          <w:b/>
          <w:bCs/>
          <w:i/>
          <w:noProof/>
          <w:sz w:val="24"/>
          <w:szCs w:val="24"/>
          <w:lang w:eastAsia="ro-RO"/>
        </w:rPr>
        <w:drawing>
          <wp:inline distT="0" distB="0" distL="114300" distR="114300" wp14:anchorId="159B09DD" wp14:editId="77D62332">
            <wp:extent cx="5828030" cy="2832735"/>
            <wp:effectExtent l="0" t="0" r="1270" b="5715"/>
            <wp:docPr id="24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113"/>
                    <pic:cNvPicPr>
                      <a:picLocks noChangeAspect="1"/>
                    </pic:cNvPicPr>
                  </pic:nvPicPr>
                  <pic:blipFill>
                    <a:blip r:embed="rId356"/>
                    <a:srcRect l="14276" t="14590" r="8514" b="29346"/>
                    <a:stretch>
                      <a:fillRect/>
                    </a:stretch>
                  </pic:blipFill>
                  <pic:spPr>
                    <a:xfrm>
                      <a:off x="0" y="0"/>
                      <a:ext cx="5828030" cy="283273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5226396E" w14:textId="77777777">
        <w:tc>
          <w:tcPr>
            <w:tcW w:w="4927" w:type="dxa"/>
          </w:tcPr>
          <w:p w14:paraId="7899C7EB" w14:textId="77777777" w:rsidR="001C08A5" w:rsidRDefault="00000000">
            <w:pPr>
              <w:jc w:val="center"/>
              <w:rPr>
                <w:b/>
                <w:bCs/>
                <w:i/>
                <w:sz w:val="24"/>
                <w:szCs w:val="24"/>
              </w:rPr>
            </w:pPr>
            <w:r>
              <w:rPr>
                <w:rFonts w:eastAsia="Times New Roman"/>
                <w:b/>
                <w:bCs/>
                <w:i/>
                <w:sz w:val="24"/>
                <w:szCs w:val="24"/>
              </w:rPr>
              <w:t>Varianta c) - uși de evacuare cu deschidere spre interior și exterior, la 90°, din încăperi cu mai mult de 30 de persoane</w:t>
            </w:r>
          </w:p>
        </w:tc>
        <w:tc>
          <w:tcPr>
            <w:tcW w:w="4928" w:type="dxa"/>
          </w:tcPr>
          <w:p w14:paraId="3E976C65" w14:textId="77777777" w:rsidR="001C08A5" w:rsidRDefault="00000000">
            <w:pPr>
              <w:jc w:val="center"/>
              <w:rPr>
                <w:b/>
                <w:bCs/>
                <w:i/>
                <w:sz w:val="24"/>
                <w:szCs w:val="24"/>
              </w:rPr>
            </w:pPr>
            <w:r>
              <w:rPr>
                <w:rFonts w:eastAsia="Times New Roman"/>
                <w:b/>
                <w:bCs/>
                <w:i/>
                <w:sz w:val="24"/>
                <w:szCs w:val="24"/>
              </w:rPr>
              <w:t>Varianta d) - uși de evacuare cu deschidere spre interior la 90° și spre exterior la 180°, din încăperi cu nr. de persoane conform schiță</w:t>
            </w:r>
          </w:p>
        </w:tc>
      </w:tr>
    </w:tbl>
    <w:p w14:paraId="1F760987" w14:textId="77777777" w:rsidR="001C08A5" w:rsidRDefault="001C08A5">
      <w:pPr>
        <w:jc w:val="both"/>
        <w:rPr>
          <w:b/>
          <w:bCs/>
          <w:i/>
          <w:sz w:val="24"/>
          <w:szCs w:val="24"/>
        </w:rPr>
      </w:pPr>
    </w:p>
    <w:p w14:paraId="0E584E59" w14:textId="77777777" w:rsidR="001C08A5" w:rsidRDefault="00000000">
      <w:pPr>
        <w:jc w:val="center"/>
        <w:rPr>
          <w:b/>
          <w:bCs/>
          <w:i/>
          <w:sz w:val="24"/>
          <w:szCs w:val="24"/>
        </w:rPr>
      </w:pPr>
      <w:r>
        <w:rPr>
          <w:b/>
          <w:bCs/>
          <w:i/>
          <w:noProof/>
          <w:sz w:val="24"/>
          <w:szCs w:val="24"/>
          <w:lang w:eastAsia="ro-RO"/>
        </w:rPr>
        <w:lastRenderedPageBreak/>
        <w:drawing>
          <wp:inline distT="0" distB="0" distL="114300" distR="114300" wp14:anchorId="6D11330B" wp14:editId="47E00CD4">
            <wp:extent cx="3458845" cy="2838450"/>
            <wp:effectExtent l="0" t="0" r="8255" b="0"/>
            <wp:docPr id="246"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114"/>
                    <pic:cNvPicPr>
                      <a:picLocks noChangeAspect="1"/>
                    </pic:cNvPicPr>
                  </pic:nvPicPr>
                  <pic:blipFill>
                    <a:blip r:embed="rId357"/>
                    <a:srcRect l="28392" t="13661" r="25784" b="30162"/>
                    <a:stretch>
                      <a:fillRect/>
                    </a:stretch>
                  </pic:blipFill>
                  <pic:spPr>
                    <a:xfrm>
                      <a:off x="0" y="0"/>
                      <a:ext cx="3458845" cy="2838450"/>
                    </a:xfrm>
                    <a:prstGeom prst="rect">
                      <a:avLst/>
                    </a:prstGeom>
                    <a:noFill/>
                    <a:ln>
                      <a:noFill/>
                    </a:ln>
                  </pic:spPr>
                </pic:pic>
              </a:graphicData>
            </a:graphic>
          </wp:inline>
        </w:drawing>
      </w:r>
    </w:p>
    <w:p w14:paraId="6CC258B0" w14:textId="77777777" w:rsidR="001C08A5" w:rsidRDefault="00000000">
      <w:pPr>
        <w:jc w:val="both"/>
        <w:rPr>
          <w:rFonts w:eastAsia="Times New Roman"/>
          <w:b/>
          <w:bCs/>
          <w:i/>
          <w:sz w:val="24"/>
          <w:szCs w:val="24"/>
        </w:rPr>
      </w:pPr>
      <w:r>
        <w:rPr>
          <w:rFonts w:eastAsia="Times New Roman"/>
          <w:b/>
          <w:bCs/>
          <w:i/>
          <w:sz w:val="24"/>
          <w:szCs w:val="24"/>
        </w:rPr>
        <w:t>Varianta e) - uși de evacuare cu deschidere spre exterior la 180°, din încăperi cu mai mult de 30 de persoane</w:t>
      </w:r>
    </w:p>
    <w:p w14:paraId="76D14627" w14:textId="77777777" w:rsidR="001C08A5" w:rsidRDefault="00000000">
      <w:pPr>
        <w:pStyle w:val="Caption"/>
        <w:jc w:val="center"/>
      </w:pPr>
      <w:bookmarkStart w:id="7787" w:name="_Toc15987"/>
      <w:bookmarkStart w:id="7788" w:name="_Toc142898560"/>
      <w:bookmarkStart w:id="7789" w:name="_Toc28899"/>
      <w:bookmarkStart w:id="7790" w:name="_Toc1034"/>
      <w:bookmarkStart w:id="7791" w:name="_Toc162360403"/>
      <w:r>
        <w:t xml:space="preserve">Figura </w:t>
      </w:r>
      <w:r>
        <w:fldChar w:fldCharType="begin"/>
      </w:r>
      <w:r>
        <w:instrText xml:space="preserve"> SEQ Figura \* ARABIC </w:instrText>
      </w:r>
      <w:r>
        <w:fldChar w:fldCharType="separate"/>
      </w:r>
      <w:r>
        <w:t>179</w:t>
      </w:r>
      <w:r>
        <w:fldChar w:fldCharType="end"/>
      </w:r>
      <w:bookmarkStart w:id="7792" w:name="_Toc23822"/>
      <w:bookmarkStart w:id="7793" w:name="_Toc5677"/>
      <w:bookmarkStart w:id="7794" w:name="_Toc22928"/>
      <w:bookmarkStart w:id="7795" w:name="_Toc20710"/>
      <w:bookmarkStart w:id="7796" w:name="_Toc32480"/>
      <w:bookmarkStart w:id="7797" w:name="_Toc10864"/>
      <w:bookmarkStart w:id="7798" w:name="_Toc15766"/>
      <w:bookmarkStart w:id="7799" w:name="_Toc21992"/>
      <w:bookmarkStart w:id="7800" w:name="_Toc6974"/>
      <w:r>
        <w:t xml:space="preserve"> - Uși de evacuare pe balamale sau pivoţi cu deschidere la 90° și la 180° (cu balamale aruncătoare) amplasate pe circulații comune de evacuare</w:t>
      </w:r>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p>
    <w:p w14:paraId="557D4DDD" w14:textId="77777777" w:rsidR="001C08A5" w:rsidRDefault="00000000">
      <w:pPr>
        <w:numPr>
          <w:ilvl w:val="0"/>
          <w:numId w:val="96"/>
        </w:numPr>
        <w:tabs>
          <w:tab w:val="left" w:pos="426"/>
          <w:tab w:val="left" w:pos="993"/>
        </w:tabs>
        <w:jc w:val="both"/>
        <w:rPr>
          <w:rFonts w:eastAsia="Times New Roman"/>
          <w:bCs/>
          <w:i/>
          <w:sz w:val="24"/>
        </w:rPr>
      </w:pPr>
      <w:r>
        <w:rPr>
          <w:rFonts w:eastAsia="Times New Roman"/>
          <w:i/>
          <w:sz w:val="24"/>
        </w:rPr>
        <w:t xml:space="preserve">Montarea feroneriei, a barelor antipanică, etc. pe uși sau unghiul de deschidere a ușilor pe traseul de evacuare nu trebuie să îngusteze lățimea liberă necesară evacuării fluxurilor de evacuare rezultate din calcul, conform Variantele </w:t>
      </w:r>
      <w:r>
        <w:rPr>
          <w:rFonts w:eastAsia="Times New Roman"/>
          <w:bCs/>
          <w:i/>
          <w:sz w:val="24"/>
        </w:rPr>
        <w:t xml:space="preserve">a </w:t>
      </w:r>
      <w:r>
        <w:rPr>
          <w:rFonts w:eastAsia="Times New Roman"/>
          <w:i/>
          <w:sz w:val="24"/>
        </w:rPr>
        <w:t>și</w:t>
      </w:r>
      <w:r>
        <w:rPr>
          <w:rFonts w:eastAsia="Times New Roman"/>
          <w:bCs/>
          <w:i/>
          <w:sz w:val="24"/>
        </w:rPr>
        <w:t xml:space="preserve"> b </w:t>
      </w:r>
      <w:r>
        <w:rPr>
          <w:rFonts w:eastAsia="Times New Roman"/>
          <w:i/>
          <w:sz w:val="24"/>
        </w:rPr>
        <w:t>din normativ ( privind ”Lățimi și înălțimi libere ale ușilor de evacuare”) și  de mai jos.</w:t>
      </w:r>
    </w:p>
    <w:tbl>
      <w:tblPr>
        <w:tblStyle w:val="TableGrid"/>
        <w:tblW w:w="98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3201"/>
        <w:gridCol w:w="3393"/>
      </w:tblGrid>
      <w:tr w:rsidR="001C08A5" w14:paraId="0CFC91A0" w14:textId="77777777">
        <w:tc>
          <w:tcPr>
            <w:tcW w:w="3261" w:type="dxa"/>
          </w:tcPr>
          <w:p w14:paraId="4320EF53" w14:textId="77777777" w:rsidR="001C08A5" w:rsidRDefault="00000000">
            <w:pPr>
              <w:jc w:val="center"/>
              <w:rPr>
                <w:i/>
                <w:sz w:val="24"/>
                <w:szCs w:val="24"/>
              </w:rPr>
            </w:pPr>
            <w:r>
              <w:rPr>
                <w:i/>
                <w:noProof/>
                <w:sz w:val="24"/>
                <w:szCs w:val="24"/>
                <w:lang w:eastAsia="ro-RO"/>
              </w:rPr>
              <w:drawing>
                <wp:inline distT="0" distB="0" distL="114300" distR="114300" wp14:anchorId="79590724" wp14:editId="6773E005">
                  <wp:extent cx="1925955" cy="1678305"/>
                  <wp:effectExtent l="0" t="0" r="17145" b="17145"/>
                  <wp:docPr id="247"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15"/>
                          <pic:cNvPicPr>
                            <a:picLocks noChangeAspect="1"/>
                          </pic:cNvPicPr>
                        </pic:nvPicPr>
                        <pic:blipFill>
                          <a:blip r:embed="rId358"/>
                          <a:srcRect l="64836" t="4601" r="9648" b="62184"/>
                          <a:stretch>
                            <a:fillRect/>
                          </a:stretch>
                        </pic:blipFill>
                        <pic:spPr>
                          <a:xfrm>
                            <a:off x="0" y="0"/>
                            <a:ext cx="1925955" cy="1678305"/>
                          </a:xfrm>
                          <a:prstGeom prst="rect">
                            <a:avLst/>
                          </a:prstGeom>
                          <a:noFill/>
                          <a:ln>
                            <a:noFill/>
                          </a:ln>
                        </pic:spPr>
                      </pic:pic>
                    </a:graphicData>
                  </a:graphic>
                </wp:inline>
              </w:drawing>
            </w:r>
          </w:p>
        </w:tc>
        <w:tc>
          <w:tcPr>
            <w:tcW w:w="6594" w:type="dxa"/>
            <w:gridSpan w:val="2"/>
          </w:tcPr>
          <w:p w14:paraId="618A2D66" w14:textId="77777777" w:rsidR="001C08A5" w:rsidRDefault="00000000">
            <w:pPr>
              <w:jc w:val="center"/>
              <w:rPr>
                <w:i/>
                <w:sz w:val="24"/>
                <w:szCs w:val="24"/>
              </w:rPr>
            </w:pPr>
            <w:r>
              <w:rPr>
                <w:i/>
                <w:noProof/>
                <w:sz w:val="24"/>
                <w:szCs w:val="24"/>
                <w:lang w:eastAsia="ro-RO"/>
              </w:rPr>
              <w:drawing>
                <wp:inline distT="0" distB="0" distL="114300" distR="114300" wp14:anchorId="6366080A" wp14:editId="5C4F5ADF">
                  <wp:extent cx="4053205" cy="1657985"/>
                  <wp:effectExtent l="0" t="0" r="4445" b="18415"/>
                  <wp:docPr id="24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115"/>
                          <pic:cNvPicPr>
                            <a:picLocks noChangeAspect="1"/>
                          </pic:cNvPicPr>
                        </pic:nvPicPr>
                        <pic:blipFill>
                          <a:blip r:embed="rId358"/>
                          <a:srcRect l="26416" t="53023" r="19887" b="14163"/>
                          <a:stretch>
                            <a:fillRect/>
                          </a:stretch>
                        </pic:blipFill>
                        <pic:spPr>
                          <a:xfrm>
                            <a:off x="0" y="0"/>
                            <a:ext cx="4053205" cy="1657985"/>
                          </a:xfrm>
                          <a:prstGeom prst="rect">
                            <a:avLst/>
                          </a:prstGeom>
                          <a:noFill/>
                          <a:ln>
                            <a:noFill/>
                          </a:ln>
                        </pic:spPr>
                      </pic:pic>
                    </a:graphicData>
                  </a:graphic>
                </wp:inline>
              </w:drawing>
            </w:r>
          </w:p>
        </w:tc>
      </w:tr>
      <w:tr w:rsidR="001C08A5" w14:paraId="39A290AA" w14:textId="77777777">
        <w:tc>
          <w:tcPr>
            <w:tcW w:w="3261" w:type="dxa"/>
          </w:tcPr>
          <w:p w14:paraId="506B6C5C" w14:textId="77777777" w:rsidR="001C08A5" w:rsidRDefault="00000000">
            <w:pPr>
              <w:jc w:val="center"/>
              <w:rPr>
                <w:b/>
                <w:bCs/>
                <w:i/>
                <w:sz w:val="24"/>
                <w:szCs w:val="24"/>
              </w:rPr>
            </w:pPr>
            <w:r>
              <w:rPr>
                <w:rFonts w:eastAsia="Times New Roman"/>
                <w:b/>
                <w:bCs/>
                <w:i/>
                <w:sz w:val="24"/>
                <w:szCs w:val="24"/>
              </w:rPr>
              <w:t>Varianta a) - îngustare lățime liberă de evacuare prin prevederea feroneriei și a mânerelor/ barelor antipanică</w:t>
            </w:r>
          </w:p>
        </w:tc>
        <w:tc>
          <w:tcPr>
            <w:tcW w:w="3201" w:type="dxa"/>
          </w:tcPr>
          <w:p w14:paraId="4428D8F8" w14:textId="77777777" w:rsidR="001C08A5" w:rsidRDefault="00000000">
            <w:pPr>
              <w:jc w:val="center"/>
              <w:rPr>
                <w:b/>
                <w:bCs/>
                <w:i/>
                <w:sz w:val="24"/>
                <w:szCs w:val="24"/>
              </w:rPr>
            </w:pPr>
            <w:r>
              <w:rPr>
                <w:rFonts w:eastAsia="Times New Roman"/>
                <w:b/>
                <w:bCs/>
                <w:i/>
                <w:sz w:val="24"/>
                <w:szCs w:val="24"/>
              </w:rPr>
              <w:t>Varianta b) - îngustare lățime liberă de evacuare prin prevederea feroneriei și a decroșurilor de perete</w:t>
            </w:r>
          </w:p>
        </w:tc>
        <w:tc>
          <w:tcPr>
            <w:tcW w:w="3393" w:type="dxa"/>
          </w:tcPr>
          <w:p w14:paraId="6E1869DF" w14:textId="77777777" w:rsidR="001C08A5" w:rsidRDefault="00000000">
            <w:pPr>
              <w:jc w:val="center"/>
              <w:rPr>
                <w:b/>
                <w:bCs/>
                <w:i/>
                <w:sz w:val="24"/>
                <w:szCs w:val="24"/>
              </w:rPr>
            </w:pPr>
            <w:r>
              <w:rPr>
                <w:rFonts w:eastAsia="Times New Roman"/>
                <w:b/>
                <w:bCs/>
                <w:i/>
                <w:sz w:val="24"/>
                <w:szCs w:val="24"/>
              </w:rPr>
              <w:t>Varianta c) - îngustare lățime liberă de evacuare prin prevederea mânerelor/ barelor antipanică și a decroșurilor de perete</w:t>
            </w:r>
          </w:p>
        </w:tc>
      </w:tr>
    </w:tbl>
    <w:p w14:paraId="2C949EF4" w14:textId="77777777" w:rsidR="001C08A5" w:rsidRDefault="00000000">
      <w:pPr>
        <w:pStyle w:val="Caption"/>
        <w:jc w:val="center"/>
      </w:pPr>
      <w:bookmarkStart w:id="7801" w:name="_Toc2440"/>
      <w:bookmarkStart w:id="7802" w:name="_Toc18852"/>
      <w:bookmarkStart w:id="7803" w:name="_Toc13908"/>
      <w:bookmarkStart w:id="7804" w:name="_Toc142898561"/>
      <w:bookmarkStart w:id="7805" w:name="_Toc162360404"/>
      <w:r>
        <w:t xml:space="preserve">Figura </w:t>
      </w:r>
      <w:r>
        <w:fldChar w:fldCharType="begin"/>
      </w:r>
      <w:r>
        <w:instrText xml:space="preserve"> SEQ Figura \* ARABIC </w:instrText>
      </w:r>
      <w:r>
        <w:fldChar w:fldCharType="separate"/>
      </w:r>
      <w:r>
        <w:t>180</w:t>
      </w:r>
      <w:r>
        <w:fldChar w:fldCharType="end"/>
      </w:r>
      <w:bookmarkStart w:id="7806" w:name="_Toc15592"/>
      <w:bookmarkStart w:id="7807" w:name="_Toc26224"/>
      <w:bookmarkStart w:id="7808" w:name="_Toc20565"/>
      <w:bookmarkStart w:id="7809" w:name="_Toc32237"/>
      <w:bookmarkStart w:id="7810" w:name="_Toc10233"/>
      <w:bookmarkStart w:id="7811" w:name="_Toc345"/>
      <w:bookmarkStart w:id="7812" w:name="_Toc32527"/>
      <w:bookmarkStart w:id="7813" w:name="_Toc19498"/>
      <w:bookmarkStart w:id="7814" w:name="_Toc31754"/>
      <w:r>
        <w:t xml:space="preserve"> - Îngustare lățime liberă de evacuare</w:t>
      </w:r>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p>
    <w:p w14:paraId="5CA2BE45"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 dreptul uşilor de evacuare pentru mai mult de </w:t>
      </w:r>
      <w:r>
        <w:rPr>
          <w:rFonts w:eastAsia="Times New Roman"/>
          <w:b/>
          <w:bCs/>
          <w:i/>
          <w:sz w:val="24"/>
        </w:rPr>
        <w:t>5</w:t>
      </w:r>
      <w:r>
        <w:rPr>
          <w:rFonts w:eastAsia="Times New Roman"/>
          <w:i/>
          <w:sz w:val="24"/>
        </w:rPr>
        <w:t xml:space="preserve"> utilizatori capabili să se evacueze singuri nu se prevăd praguri cu înălţimea mai mare de </w:t>
      </w:r>
      <w:r>
        <w:rPr>
          <w:rFonts w:eastAsia="Times New Roman"/>
          <w:b/>
          <w:bCs/>
          <w:i/>
          <w:sz w:val="24"/>
        </w:rPr>
        <w:t>2,5</w:t>
      </w:r>
      <w:r>
        <w:rPr>
          <w:rFonts w:eastAsia="Times New Roman"/>
          <w:i/>
          <w:sz w:val="24"/>
        </w:rPr>
        <w:t xml:space="preserve"> cm, iar cele cu înălţimea mai mare se racordează prin pante la pardoseală (pante cu înclinare de max. </w:t>
      </w:r>
      <w:r>
        <w:rPr>
          <w:rFonts w:eastAsia="Times New Roman"/>
          <w:b/>
          <w:bCs/>
          <w:i/>
          <w:sz w:val="24"/>
        </w:rPr>
        <w:t>8 %</w:t>
      </w:r>
      <w:r>
        <w:rPr>
          <w:rFonts w:eastAsia="Times New Roman"/>
          <w:i/>
          <w:sz w:val="24"/>
        </w:rPr>
        <w:t>).</w:t>
      </w:r>
    </w:p>
    <w:p w14:paraId="6A6A4FC8" w14:textId="77777777" w:rsidR="001C08A5" w:rsidRDefault="00000000">
      <w:pPr>
        <w:jc w:val="center"/>
        <w:rPr>
          <w:rFonts w:eastAsia="Times New Roman"/>
          <w:i/>
          <w:sz w:val="24"/>
          <w:szCs w:val="24"/>
        </w:rPr>
      </w:pPr>
      <w:r>
        <w:rPr>
          <w:b/>
          <w:bCs/>
          <w:i/>
          <w:noProof/>
          <w:sz w:val="24"/>
          <w:szCs w:val="24"/>
        </w:rPr>
        <w:lastRenderedPageBreak/>
        <w:drawing>
          <wp:inline distT="0" distB="0" distL="114300" distR="114300" wp14:anchorId="6B5E04C9" wp14:editId="10EA82D1">
            <wp:extent cx="4620260" cy="1656715"/>
            <wp:effectExtent l="0" t="0" r="8890" b="635"/>
            <wp:docPr id="3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25"/>
                    <pic:cNvPicPr>
                      <a:picLocks noChangeAspect="1"/>
                    </pic:cNvPicPr>
                  </pic:nvPicPr>
                  <pic:blipFill>
                    <a:blip r:embed="rId359"/>
                    <a:srcRect l="12358" t="17646" r="7243" b="36122"/>
                    <a:stretch>
                      <a:fillRect/>
                    </a:stretch>
                  </pic:blipFill>
                  <pic:spPr>
                    <a:xfrm>
                      <a:off x="0" y="0"/>
                      <a:ext cx="4620260" cy="1656715"/>
                    </a:xfrm>
                    <a:prstGeom prst="rect">
                      <a:avLst/>
                    </a:prstGeom>
                    <a:noFill/>
                    <a:ln>
                      <a:noFill/>
                    </a:ln>
                  </pic:spPr>
                </pic:pic>
              </a:graphicData>
            </a:graphic>
          </wp:inline>
        </w:drawing>
      </w:r>
    </w:p>
    <w:p w14:paraId="0B838905" w14:textId="77777777" w:rsidR="001C08A5" w:rsidRDefault="00000000">
      <w:pPr>
        <w:pStyle w:val="Caption"/>
        <w:jc w:val="center"/>
      </w:pPr>
      <w:bookmarkStart w:id="7815" w:name="_Toc27404"/>
      <w:bookmarkStart w:id="7816" w:name="_Toc14824"/>
      <w:bookmarkStart w:id="7817" w:name="_Toc25536"/>
      <w:bookmarkStart w:id="7818" w:name="_Toc142898562"/>
      <w:bookmarkStart w:id="7819" w:name="_Toc162360405"/>
      <w:r>
        <w:t xml:space="preserve">Figura </w:t>
      </w:r>
      <w:r>
        <w:fldChar w:fldCharType="begin"/>
      </w:r>
      <w:r>
        <w:instrText xml:space="preserve"> SEQ Figura \* ARABIC </w:instrText>
      </w:r>
      <w:r>
        <w:fldChar w:fldCharType="separate"/>
      </w:r>
      <w:r>
        <w:t>181</w:t>
      </w:r>
      <w:r>
        <w:fldChar w:fldCharType="end"/>
      </w:r>
      <w:bookmarkStart w:id="7820" w:name="_Toc13540"/>
      <w:bookmarkStart w:id="7821" w:name="_Toc30178"/>
      <w:bookmarkStart w:id="7822" w:name="_Toc27301"/>
      <w:bookmarkStart w:id="7823" w:name="_Toc8047"/>
      <w:bookmarkStart w:id="7824" w:name="_Toc16369"/>
      <w:bookmarkStart w:id="7825" w:name="_Toc32394"/>
      <w:bookmarkStart w:id="7826" w:name="_Toc17331"/>
      <w:bookmarkStart w:id="7827" w:name="_Toc29773"/>
      <w:bookmarkStart w:id="7828" w:name="_Toc9226"/>
      <w:r>
        <w:t xml:space="preserve"> - Secțiune ușa de evacuare pe balamale sau pivoți - racordare la praguri &gt;2,5 cm</w:t>
      </w:r>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p>
    <w:p w14:paraId="502C44BB" w14:textId="77777777" w:rsidR="001C08A5" w:rsidRDefault="00000000">
      <w:pPr>
        <w:pStyle w:val="Heading4"/>
        <w:rPr>
          <w:sz w:val="24"/>
          <w:szCs w:val="24"/>
        </w:rPr>
      </w:pPr>
      <w:bookmarkStart w:id="7829" w:name="_Hlk142896858"/>
      <w:bookmarkStart w:id="7830" w:name="_Toc16669"/>
      <w:bookmarkStart w:id="7831" w:name="_Toc11289"/>
      <w:bookmarkStart w:id="7832" w:name="_Toc162355433"/>
      <w:bookmarkStart w:id="7833" w:name="_Toc27732"/>
      <w:bookmarkStart w:id="7834" w:name="_Toc28754"/>
      <w:bookmarkStart w:id="7835" w:name="_Toc25422"/>
      <w:bookmarkStart w:id="7836" w:name="_Toc13366"/>
      <w:bookmarkStart w:id="7837" w:name="_Toc2577"/>
      <w:bookmarkStart w:id="7838" w:name="_Toc15752"/>
      <w:bookmarkStart w:id="7839" w:name="_Toc7489"/>
      <w:bookmarkStart w:id="7840" w:name="_Toc7607"/>
      <w:bookmarkStart w:id="7841" w:name="_Toc11642"/>
      <w:bookmarkStart w:id="7842" w:name="_Toc27249"/>
      <w:bookmarkStart w:id="7843" w:name="_Toc16849"/>
      <w:bookmarkStart w:id="7844" w:name="_Toc8531"/>
      <w:bookmarkStart w:id="7845" w:name="_Toc6359"/>
      <w:r>
        <w:rPr>
          <w:sz w:val="24"/>
          <w:szCs w:val="24"/>
        </w:rPr>
        <w:t>Uși cu deschidere normală pe balamale sau pivoţi</w:t>
      </w:r>
      <w:bookmarkEnd w:id="7829"/>
      <w:r>
        <w:rPr>
          <w:sz w:val="24"/>
          <w:szCs w:val="24"/>
        </w:rPr>
        <w:t>, utilizate pe căile de evacuare</w:t>
      </w:r>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r>
        <w:rPr>
          <w:sz w:val="24"/>
          <w:szCs w:val="24"/>
        </w:rPr>
        <w:t xml:space="preserve"> </w:t>
      </w:r>
    </w:p>
    <w:p w14:paraId="4D559173"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Usile pe balamale sau pivoți care se pot folosi pe căile de evacuare (cele care nu sunt echipate cu dispozitive de evacuare) pot fi într-un canat sau în două canate. Ambele canate ale ușilor duble (în două canate) se consideră a fi de evacuare doar atunci când lățimea liberă a fiecareia dintre acestea respectă rezultatele încercărilor standardizate (în medie atunci când lățimea liberă a fiecarui canat este mai mare sau egală cu </w:t>
      </w:r>
      <w:r>
        <w:rPr>
          <w:rFonts w:eastAsia="Times New Roman"/>
          <w:b/>
          <w:bCs/>
          <w:i/>
          <w:sz w:val="24"/>
        </w:rPr>
        <w:t>50 cm</w:t>
      </w:r>
      <w:r>
        <w:rPr>
          <w:rFonts w:eastAsia="Times New Roman"/>
          <w:i/>
          <w:sz w:val="24"/>
        </w:rPr>
        <w:t xml:space="preserve">, lățime care poate fi contrazisă prin rezultatele încercărilor standardizate) lățimea de evacuare a celor două canate însumându-se. În caz contrar, doar canatul mai mare se poate lua în calcul pentru evacuare. </w:t>
      </w:r>
    </w:p>
    <w:p w14:paraId="66B9C89C" w14:textId="77777777" w:rsidR="001C08A5" w:rsidRDefault="00000000">
      <w:pPr>
        <w:tabs>
          <w:tab w:val="left" w:pos="426"/>
          <w:tab w:val="left" w:pos="567"/>
          <w:tab w:val="left" w:pos="993"/>
        </w:tabs>
        <w:jc w:val="center"/>
        <w:rPr>
          <w:rFonts w:eastAsia="Times New Roman"/>
          <w:b/>
          <w:i/>
          <w:sz w:val="24"/>
        </w:rPr>
      </w:pPr>
      <w:r>
        <w:rPr>
          <w:bCs/>
          <w:i/>
          <w:noProof/>
          <w:sz w:val="24"/>
          <w:lang w:eastAsia="ro-RO"/>
        </w:rPr>
        <w:drawing>
          <wp:inline distT="0" distB="0" distL="0" distR="0" wp14:anchorId="0FA93FB4" wp14:editId="6AFDA392">
            <wp:extent cx="3096260" cy="1812925"/>
            <wp:effectExtent l="0" t="0" r="8890" b="15875"/>
            <wp:docPr id="298028424" name="Picture 29802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28424" name="Picture 298028424"/>
                    <pic:cNvPicPr>
                      <a:picLocks noChangeAspect="1"/>
                    </pic:cNvPicPr>
                  </pic:nvPicPr>
                  <pic:blipFill>
                    <a:blip r:embed="rId360"/>
                    <a:srcRect l="32207" t="17413" r="22236"/>
                    <a:stretch>
                      <a:fillRect/>
                    </a:stretch>
                  </pic:blipFill>
                  <pic:spPr>
                    <a:xfrm>
                      <a:off x="0" y="0"/>
                      <a:ext cx="3105827" cy="1818562"/>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2912"/>
        <w:gridCol w:w="2633"/>
      </w:tblGrid>
      <w:tr w:rsidR="001C08A5" w14:paraId="4FEC88E9" w14:textId="77777777">
        <w:trPr>
          <w:jc w:val="center"/>
        </w:trPr>
        <w:tc>
          <w:tcPr>
            <w:tcW w:w="2912" w:type="dxa"/>
            <w:tcBorders>
              <w:top w:val="nil"/>
              <w:left w:val="nil"/>
              <w:bottom w:val="nil"/>
              <w:right w:val="nil"/>
            </w:tcBorders>
          </w:tcPr>
          <w:p w14:paraId="0051EEBA" w14:textId="77777777" w:rsidR="001C08A5" w:rsidRDefault="00000000">
            <w:pPr>
              <w:jc w:val="center"/>
              <w:rPr>
                <w:b/>
                <w:bCs/>
                <w:i/>
                <w:sz w:val="24"/>
                <w:szCs w:val="24"/>
              </w:rPr>
            </w:pPr>
            <w:r>
              <w:rPr>
                <w:b/>
                <w:bCs/>
                <w:i/>
                <w:sz w:val="24"/>
                <w:szCs w:val="24"/>
              </w:rPr>
              <w:t>Canat activ</w:t>
            </w:r>
          </w:p>
        </w:tc>
        <w:tc>
          <w:tcPr>
            <w:tcW w:w="2633" w:type="dxa"/>
            <w:tcBorders>
              <w:top w:val="nil"/>
              <w:left w:val="nil"/>
              <w:bottom w:val="nil"/>
              <w:right w:val="nil"/>
            </w:tcBorders>
          </w:tcPr>
          <w:p w14:paraId="6240182E" w14:textId="77777777" w:rsidR="001C08A5" w:rsidRDefault="00000000">
            <w:pPr>
              <w:jc w:val="center"/>
              <w:rPr>
                <w:b/>
                <w:bCs/>
                <w:i/>
                <w:sz w:val="24"/>
                <w:szCs w:val="24"/>
              </w:rPr>
            </w:pPr>
            <w:r>
              <w:rPr>
                <w:b/>
                <w:bCs/>
                <w:i/>
                <w:sz w:val="24"/>
                <w:szCs w:val="24"/>
              </w:rPr>
              <w:t>Canat inactiv</w:t>
            </w:r>
          </w:p>
        </w:tc>
      </w:tr>
    </w:tbl>
    <w:p w14:paraId="404D1F99" w14:textId="77777777" w:rsidR="001C08A5" w:rsidRDefault="00000000">
      <w:pPr>
        <w:jc w:val="both"/>
      </w:pPr>
      <w:r>
        <w:rPr>
          <w:rFonts w:eastAsia="Times New Roman"/>
          <w:i/>
          <w:sz w:val="22"/>
          <w:szCs w:val="22"/>
        </w:rPr>
        <w:t xml:space="preserve">Notă Figura 182: canatul ”x”este considerat întotdeauna a fi activ când respectă rezultatele încercărilor standardizate (în funcție de feroneria utilizată, tip și sens de deschidere, amplasare, etc.) și de posibilitatea de deschidere a ambelor canaturi,, în medie </w:t>
      </w:r>
      <w:r>
        <w:rPr>
          <w:rFonts w:eastAsia="Times New Roman"/>
          <w:bCs/>
          <w:i/>
          <w:sz w:val="22"/>
          <w:szCs w:val="22"/>
        </w:rPr>
        <w:t xml:space="preserve">atunci când lățimea liberă a fiecarui canat este mai mare sau egală cu </w:t>
      </w:r>
      <w:r>
        <w:rPr>
          <w:rFonts w:eastAsia="Times New Roman"/>
          <w:b/>
          <w:bCs/>
          <w:i/>
          <w:sz w:val="22"/>
          <w:szCs w:val="22"/>
        </w:rPr>
        <w:t>50 cm.</w:t>
      </w:r>
      <w:bookmarkStart w:id="7846" w:name="_Toc142898563"/>
    </w:p>
    <w:p w14:paraId="69C1F8F6" w14:textId="77777777" w:rsidR="001C08A5" w:rsidRDefault="00000000">
      <w:pPr>
        <w:pStyle w:val="Caption"/>
        <w:jc w:val="center"/>
        <w:rPr>
          <w:rFonts w:eastAsia="Times New Roman"/>
          <w:bCs/>
        </w:rPr>
      </w:pPr>
      <w:bookmarkStart w:id="7847" w:name="_Toc162360406"/>
      <w:r>
        <w:t xml:space="preserve">Figura </w:t>
      </w:r>
      <w:r>
        <w:fldChar w:fldCharType="begin"/>
      </w:r>
      <w:r>
        <w:instrText xml:space="preserve"> SEQ Figura \* ARABIC </w:instrText>
      </w:r>
      <w:r>
        <w:fldChar w:fldCharType="separate"/>
      </w:r>
      <w:r>
        <w:t>182</w:t>
      </w:r>
      <w:r>
        <w:fldChar w:fldCharType="end"/>
      </w:r>
      <w:bookmarkStart w:id="7848" w:name="_Toc2219"/>
      <w:bookmarkStart w:id="7849" w:name="_Toc11947"/>
      <w:bookmarkStart w:id="7850" w:name="_Toc11078"/>
      <w:bookmarkStart w:id="7851" w:name="_Toc21807"/>
      <w:bookmarkStart w:id="7852" w:name="_Toc12061"/>
      <w:bookmarkStart w:id="7853" w:name="_Toc30291"/>
      <w:bookmarkStart w:id="7854" w:name="_Toc20275"/>
      <w:bookmarkStart w:id="7855" w:name="_Toc29885"/>
      <w:bookmarkStart w:id="7856" w:name="_Toc20146"/>
      <w:r>
        <w:t xml:space="preserve"> - Uși cu deschidere normală pe balamale sau pivoţi – canat activ sau inactiv</w:t>
      </w:r>
      <w:bookmarkEnd w:id="7846"/>
      <w:bookmarkEnd w:id="7847"/>
      <w:bookmarkEnd w:id="7848"/>
      <w:bookmarkEnd w:id="7849"/>
      <w:bookmarkEnd w:id="7850"/>
      <w:bookmarkEnd w:id="7851"/>
      <w:bookmarkEnd w:id="7852"/>
      <w:bookmarkEnd w:id="7853"/>
      <w:bookmarkEnd w:id="7854"/>
      <w:bookmarkEnd w:id="7855"/>
      <w:bookmarkEnd w:id="7856"/>
    </w:p>
    <w:p w14:paraId="5178E10A" w14:textId="77777777" w:rsidR="001C08A5" w:rsidRDefault="00000000">
      <w:pPr>
        <w:pStyle w:val="Heading4"/>
        <w:rPr>
          <w:sz w:val="24"/>
          <w:szCs w:val="24"/>
        </w:rPr>
      </w:pPr>
      <w:bookmarkStart w:id="7857" w:name="_Toc23032"/>
      <w:bookmarkStart w:id="7858" w:name="_Toc2380"/>
      <w:bookmarkStart w:id="7859" w:name="_Toc16396"/>
      <w:bookmarkStart w:id="7860" w:name="_Toc11043"/>
      <w:bookmarkStart w:id="7861" w:name="_Toc10531"/>
      <w:bookmarkStart w:id="7862" w:name="_Toc5122"/>
      <w:bookmarkStart w:id="7863" w:name="_Toc162355434"/>
      <w:bookmarkStart w:id="7864" w:name="_Toc7641"/>
      <w:bookmarkStart w:id="7865" w:name="_Toc24947"/>
      <w:bookmarkStart w:id="7866" w:name="_Toc18254"/>
      <w:bookmarkStart w:id="7867" w:name="_Toc21226"/>
      <w:bookmarkStart w:id="7868" w:name="_Toc5362"/>
      <w:bookmarkStart w:id="7869" w:name="_Toc20346"/>
      <w:bookmarkStart w:id="7870" w:name="_Toc11473"/>
      <w:bookmarkStart w:id="7871" w:name="_Toc28826"/>
      <w:bookmarkStart w:id="7872" w:name="_Toc31397"/>
      <w:bookmarkStart w:id="7873" w:name="_Toc30689"/>
      <w:r>
        <w:rPr>
          <w:sz w:val="24"/>
          <w:szCs w:val="24"/>
        </w:rPr>
        <w:t>Uși echipate cu sisteme de încuiere și dispozitive de ieșire (uși antipanică conform SR EN 1125 sau uși de ieșire de urgență conform SR EN 179)</w:t>
      </w:r>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p>
    <w:p w14:paraId="255E1726" w14:textId="77777777" w:rsidR="001C08A5" w:rsidRDefault="00000000">
      <w:pPr>
        <w:numPr>
          <w:ilvl w:val="0"/>
          <w:numId w:val="96"/>
        </w:numPr>
        <w:tabs>
          <w:tab w:val="left" w:pos="426"/>
          <w:tab w:val="left" w:pos="993"/>
        </w:tabs>
        <w:jc w:val="both"/>
        <w:rPr>
          <w:i/>
          <w:sz w:val="24"/>
          <w:szCs w:val="24"/>
        </w:rPr>
      </w:pPr>
      <w:r>
        <w:rPr>
          <w:rFonts w:eastAsia="Times New Roman"/>
          <w:i/>
          <w:sz w:val="24"/>
          <w:szCs w:val="24"/>
        </w:rPr>
        <w:t xml:space="preserve">Ușile cu dispozitive de ieșire de urgență </w:t>
      </w:r>
      <w:r>
        <w:rPr>
          <w:rFonts w:eastAsia="Times New Roman"/>
          <w:b/>
          <w:bCs/>
          <w:i/>
          <w:sz w:val="24"/>
          <w:szCs w:val="24"/>
        </w:rPr>
        <w:t>nu</w:t>
      </w:r>
      <w:r>
        <w:rPr>
          <w:rFonts w:eastAsia="Times New Roman"/>
          <w:i/>
          <w:sz w:val="24"/>
          <w:szCs w:val="24"/>
        </w:rPr>
        <w:t xml:space="preserve"> se pot amplasa în locul ușilor cu dispozitive de ieșire împotriva panicii, dar ușile cu dispozitive de ieșire împotriva panicii se pot amplasa în locul ușilor cu dispozitive de ieșire de urgență.</w:t>
      </w:r>
    </w:p>
    <w:p w14:paraId="25AAD078" w14:textId="77777777" w:rsidR="001C08A5" w:rsidRDefault="00000000">
      <w:pPr>
        <w:jc w:val="center"/>
        <w:rPr>
          <w:i/>
          <w:sz w:val="24"/>
          <w:szCs w:val="24"/>
        </w:rPr>
      </w:pPr>
      <w:r>
        <w:rPr>
          <w:noProof/>
        </w:rPr>
        <w:drawing>
          <wp:inline distT="0" distB="0" distL="114300" distR="114300" wp14:anchorId="1F79074F" wp14:editId="011A3181">
            <wp:extent cx="5762625" cy="1503045"/>
            <wp:effectExtent l="0" t="0" r="9525" b="1905"/>
            <wp:docPr id="3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27"/>
                    <pic:cNvPicPr>
                      <a:picLocks noChangeAspect="1"/>
                    </pic:cNvPicPr>
                  </pic:nvPicPr>
                  <pic:blipFill>
                    <a:blip r:embed="rId361"/>
                    <a:srcRect l="15058" t="34975" r="8598" b="37327"/>
                    <a:stretch>
                      <a:fillRect/>
                    </a:stretch>
                  </pic:blipFill>
                  <pic:spPr>
                    <a:xfrm>
                      <a:off x="0" y="0"/>
                      <a:ext cx="5762625" cy="1503045"/>
                    </a:xfrm>
                    <a:prstGeom prst="rect">
                      <a:avLst/>
                    </a:prstGeom>
                    <a:noFill/>
                    <a:ln>
                      <a:noFill/>
                    </a:ln>
                  </pic:spPr>
                </pic:pic>
              </a:graphicData>
            </a:graphic>
          </wp:inline>
        </w:drawing>
      </w:r>
    </w:p>
    <w:p w14:paraId="250C3FE5" w14:textId="77777777" w:rsidR="001C08A5" w:rsidRDefault="00000000">
      <w:pPr>
        <w:jc w:val="center"/>
        <w:rPr>
          <w:rFonts w:eastAsia="Times New Roman"/>
          <w:b/>
          <w:bCs/>
          <w:i/>
          <w:sz w:val="24"/>
          <w:szCs w:val="24"/>
          <w:lang w:val="en-US"/>
        </w:rPr>
      </w:pPr>
      <w:r>
        <w:rPr>
          <w:rFonts w:eastAsia="Times New Roman"/>
          <w:b/>
          <w:bCs/>
          <w:i/>
          <w:sz w:val="24"/>
          <w:szCs w:val="24"/>
        </w:rPr>
        <w:t xml:space="preserve">Varianta a) - Uși echipate cu dispozitive de ieșire împotriva panicii (“uși antipanică”) - respectă cerințele din SR EN 1125, </w:t>
      </w:r>
      <w:r>
        <w:rPr>
          <w:b/>
          <w:bCs/>
          <w:i/>
          <w:iCs/>
          <w:sz w:val="24"/>
          <w:szCs w:val="24"/>
          <w:lang w:eastAsia="ro-RO"/>
        </w:rPr>
        <w:t>uș</w:t>
      </w:r>
      <w:r>
        <w:rPr>
          <w:b/>
          <w:bCs/>
          <w:i/>
          <w:iCs/>
          <w:sz w:val="24"/>
          <w:szCs w:val="24"/>
          <w:lang w:val="en-US" w:eastAsia="ro-RO"/>
        </w:rPr>
        <w:t>ile</w:t>
      </w:r>
      <w:r>
        <w:rPr>
          <w:b/>
          <w:bCs/>
          <w:i/>
          <w:iCs/>
          <w:sz w:val="24"/>
          <w:szCs w:val="24"/>
          <w:lang w:eastAsia="ro-RO"/>
        </w:rPr>
        <w:t xml:space="preserve"> v</w:t>
      </w:r>
      <w:r>
        <w:rPr>
          <w:b/>
          <w:bCs/>
          <w:i/>
          <w:iCs/>
          <w:sz w:val="24"/>
          <w:szCs w:val="24"/>
          <w:lang w:val="en-US" w:eastAsia="ro-RO"/>
        </w:rPr>
        <w:t>or</w:t>
      </w:r>
      <w:r>
        <w:rPr>
          <w:b/>
          <w:bCs/>
          <w:i/>
          <w:iCs/>
          <w:sz w:val="24"/>
          <w:szCs w:val="24"/>
          <w:lang w:eastAsia="ro-RO"/>
        </w:rPr>
        <w:t xml:space="preserve"> fi echipat</w:t>
      </w:r>
      <w:r>
        <w:rPr>
          <w:b/>
          <w:bCs/>
          <w:i/>
          <w:iCs/>
          <w:sz w:val="24"/>
          <w:szCs w:val="24"/>
          <w:lang w:val="en-US" w:eastAsia="ro-RO"/>
        </w:rPr>
        <w:t>e</w:t>
      </w:r>
      <w:r>
        <w:rPr>
          <w:b/>
          <w:bCs/>
          <w:i/>
          <w:iCs/>
          <w:sz w:val="24"/>
          <w:szCs w:val="24"/>
          <w:lang w:eastAsia="ro-RO"/>
        </w:rPr>
        <w:t xml:space="preserve"> cu dispozitiv</w:t>
      </w:r>
      <w:r>
        <w:rPr>
          <w:b/>
          <w:bCs/>
          <w:i/>
          <w:iCs/>
          <w:sz w:val="24"/>
          <w:szCs w:val="24"/>
          <w:lang w:val="en-US" w:eastAsia="ro-RO"/>
        </w:rPr>
        <w:t>e</w:t>
      </w:r>
      <w:r>
        <w:rPr>
          <w:b/>
          <w:bCs/>
          <w:i/>
          <w:iCs/>
          <w:sz w:val="24"/>
          <w:szCs w:val="24"/>
          <w:lang w:eastAsia="ro-RO"/>
        </w:rPr>
        <w:t xml:space="preserve"> de ieşire antipanică, acţionat</w:t>
      </w:r>
      <w:r>
        <w:rPr>
          <w:b/>
          <w:bCs/>
          <w:i/>
          <w:iCs/>
          <w:sz w:val="24"/>
          <w:szCs w:val="24"/>
          <w:lang w:val="en-US" w:eastAsia="ro-RO"/>
        </w:rPr>
        <w:t>e</w:t>
      </w:r>
      <w:r>
        <w:rPr>
          <w:b/>
          <w:bCs/>
          <w:i/>
          <w:iCs/>
          <w:sz w:val="24"/>
          <w:szCs w:val="24"/>
          <w:lang w:eastAsia="ro-RO"/>
        </w:rPr>
        <w:t xml:space="preserve"> </w:t>
      </w:r>
      <w:r>
        <w:rPr>
          <w:b/>
          <w:bCs/>
          <w:i/>
          <w:iCs/>
          <w:sz w:val="24"/>
          <w:szCs w:val="24"/>
          <w:lang w:eastAsia="ro-RO"/>
        </w:rPr>
        <w:lastRenderedPageBreak/>
        <w:t>mecanic, fie printr-o bară orizontală de împingere, fie printr-o bară orizontală de apăsare, ca dispozitiv de acționare pe fața interioară</w:t>
      </w:r>
      <w:r>
        <w:rPr>
          <w:b/>
          <w:bCs/>
          <w:i/>
          <w:iCs/>
          <w:sz w:val="24"/>
          <w:szCs w:val="24"/>
          <w:lang w:val="en-US" w:eastAsia="ro-RO"/>
        </w:rPr>
        <w:t xml:space="preserve"> (cu feroneria aplicată varianta a) și b) sau integrată varianta c), vedere dinspre interior)</w:t>
      </w:r>
    </w:p>
    <w:p w14:paraId="61FC05C9" w14:textId="77777777" w:rsidR="001C08A5" w:rsidRDefault="00000000">
      <w:pPr>
        <w:jc w:val="center"/>
        <w:rPr>
          <w:b/>
          <w:bCs/>
          <w:i/>
          <w:sz w:val="24"/>
          <w:szCs w:val="24"/>
        </w:rPr>
      </w:pPr>
      <w:r>
        <w:rPr>
          <w:b/>
          <w:bCs/>
          <w:i/>
          <w:noProof/>
          <w:sz w:val="24"/>
          <w:szCs w:val="24"/>
          <w:lang w:eastAsia="ro-RO"/>
        </w:rPr>
        <w:drawing>
          <wp:inline distT="0" distB="0" distL="114300" distR="114300" wp14:anchorId="64E9C022" wp14:editId="767CC0E0">
            <wp:extent cx="2749550" cy="1820545"/>
            <wp:effectExtent l="0" t="0" r="12700" b="8255"/>
            <wp:docPr id="25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119"/>
                    <pic:cNvPicPr>
                      <a:picLocks noChangeAspect="1"/>
                    </pic:cNvPicPr>
                  </pic:nvPicPr>
                  <pic:blipFill>
                    <a:blip r:embed="rId362"/>
                    <a:srcRect l="36754" t="10481" r="26819" b="53487"/>
                    <a:stretch>
                      <a:fillRect/>
                    </a:stretch>
                  </pic:blipFill>
                  <pic:spPr>
                    <a:xfrm>
                      <a:off x="0" y="0"/>
                      <a:ext cx="2749550" cy="1820545"/>
                    </a:xfrm>
                    <a:prstGeom prst="rect">
                      <a:avLst/>
                    </a:prstGeom>
                    <a:noFill/>
                    <a:ln>
                      <a:noFill/>
                    </a:ln>
                  </pic:spPr>
                </pic:pic>
              </a:graphicData>
            </a:graphic>
          </wp:inline>
        </w:drawing>
      </w:r>
    </w:p>
    <w:p w14:paraId="1C76E8CE" w14:textId="77777777" w:rsidR="001C08A5" w:rsidRDefault="00000000">
      <w:pPr>
        <w:jc w:val="center"/>
        <w:rPr>
          <w:rFonts w:eastAsia="Times New Roman"/>
          <w:b/>
          <w:bCs/>
          <w:i/>
          <w:sz w:val="24"/>
          <w:szCs w:val="24"/>
        </w:rPr>
      </w:pPr>
      <w:r>
        <w:rPr>
          <w:rFonts w:eastAsia="Times New Roman"/>
          <w:b/>
          <w:bCs/>
          <w:i/>
          <w:sz w:val="24"/>
          <w:szCs w:val="24"/>
        </w:rPr>
        <w:t>Varianta b) - Uși  echipate cu dispozitive de ieșire de urgență (“uși pentru ieșire de urgență”) - respectă cerințele din  SR EN 179, echipate cu tampon de împingere sau mâner tip clanță (</w:t>
      </w:r>
      <w:r>
        <w:rPr>
          <w:b/>
          <w:bCs/>
          <w:i/>
          <w:iCs/>
          <w:sz w:val="24"/>
          <w:szCs w:val="24"/>
          <w:lang w:val="en-US" w:eastAsia="ro-RO"/>
        </w:rPr>
        <w:t>vedere dinspre interior)</w:t>
      </w:r>
    </w:p>
    <w:p w14:paraId="18CDF92F" w14:textId="77777777" w:rsidR="001C08A5" w:rsidRDefault="00000000">
      <w:pPr>
        <w:pStyle w:val="Caption"/>
        <w:jc w:val="center"/>
      </w:pPr>
      <w:bookmarkStart w:id="7874" w:name="_Toc15284"/>
      <w:bookmarkStart w:id="7875" w:name="_Toc12479"/>
      <w:bookmarkStart w:id="7876" w:name="_Toc11392"/>
      <w:bookmarkStart w:id="7877" w:name="_Toc142898564"/>
      <w:bookmarkStart w:id="7878" w:name="_Toc162360407"/>
      <w:r>
        <w:t xml:space="preserve">Figura </w:t>
      </w:r>
      <w:r>
        <w:fldChar w:fldCharType="begin"/>
      </w:r>
      <w:r>
        <w:instrText xml:space="preserve"> SEQ Figura \* ARABIC </w:instrText>
      </w:r>
      <w:r>
        <w:fldChar w:fldCharType="separate"/>
      </w:r>
      <w:r>
        <w:t>183</w:t>
      </w:r>
      <w:r>
        <w:fldChar w:fldCharType="end"/>
      </w:r>
      <w:bookmarkStart w:id="7879" w:name="_Toc24339"/>
      <w:bookmarkStart w:id="7880" w:name="_Toc26289"/>
      <w:bookmarkStart w:id="7881" w:name="_Toc15270"/>
      <w:bookmarkStart w:id="7882" w:name="_Toc4208"/>
      <w:bookmarkStart w:id="7883" w:name="_Toc18972"/>
      <w:bookmarkStart w:id="7884" w:name="_Toc9481"/>
      <w:bookmarkStart w:id="7885" w:name="_Toc20845"/>
      <w:bookmarkStart w:id="7886" w:name="_Toc4916"/>
      <w:bookmarkStart w:id="7887" w:name="_Toc32242"/>
      <w:r>
        <w:t xml:space="preserve"> - Exemple uși </w:t>
      </w:r>
      <w:bookmarkEnd w:id="7874"/>
      <w:bookmarkEnd w:id="7875"/>
      <w:bookmarkEnd w:id="7876"/>
      <w:r>
        <w:t>echipate cu sisteme de încuiere și dispozitive de ieșire</w:t>
      </w:r>
      <w:bookmarkEnd w:id="7877"/>
      <w:bookmarkEnd w:id="7878"/>
      <w:bookmarkEnd w:id="7879"/>
      <w:bookmarkEnd w:id="7880"/>
      <w:bookmarkEnd w:id="7881"/>
      <w:bookmarkEnd w:id="7882"/>
      <w:bookmarkEnd w:id="7883"/>
      <w:bookmarkEnd w:id="7884"/>
      <w:bookmarkEnd w:id="7885"/>
      <w:bookmarkEnd w:id="7886"/>
      <w:bookmarkEnd w:id="7887"/>
    </w:p>
    <w:p w14:paraId="30DD4B74" w14:textId="77777777" w:rsidR="001C08A5" w:rsidRDefault="00000000">
      <w:pPr>
        <w:jc w:val="center"/>
        <w:rPr>
          <w:b/>
          <w:bCs/>
          <w:i/>
          <w:sz w:val="24"/>
          <w:szCs w:val="24"/>
        </w:rPr>
      </w:pPr>
      <w:r>
        <w:rPr>
          <w:b/>
          <w:bCs/>
          <w:i/>
          <w:noProof/>
          <w:sz w:val="24"/>
          <w:szCs w:val="24"/>
        </w:rPr>
        <w:drawing>
          <wp:inline distT="0" distB="0" distL="114300" distR="114300" wp14:anchorId="2B004597" wp14:editId="447A8134">
            <wp:extent cx="6034405" cy="1924685"/>
            <wp:effectExtent l="0" t="0" r="4445" b="18415"/>
            <wp:docPr id="3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26"/>
                    <pic:cNvPicPr>
                      <a:picLocks noChangeAspect="1"/>
                    </pic:cNvPicPr>
                  </pic:nvPicPr>
                  <pic:blipFill>
                    <a:blip r:embed="rId363"/>
                    <a:srcRect l="12627" t="14962" r="7428" b="47558"/>
                    <a:stretch>
                      <a:fillRect/>
                    </a:stretch>
                  </pic:blipFill>
                  <pic:spPr>
                    <a:xfrm>
                      <a:off x="0" y="0"/>
                      <a:ext cx="6034405" cy="192468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8"/>
        <w:gridCol w:w="2411"/>
        <w:gridCol w:w="2409"/>
        <w:gridCol w:w="2411"/>
      </w:tblGrid>
      <w:tr w:rsidR="001C08A5" w14:paraId="1A4399B2" w14:textId="77777777">
        <w:tc>
          <w:tcPr>
            <w:tcW w:w="2463" w:type="dxa"/>
          </w:tcPr>
          <w:p w14:paraId="34A470A4" w14:textId="77777777" w:rsidR="001C08A5" w:rsidRDefault="00000000">
            <w:pPr>
              <w:jc w:val="center"/>
              <w:rPr>
                <w:b/>
                <w:bCs/>
                <w:i/>
                <w:sz w:val="24"/>
                <w:szCs w:val="24"/>
              </w:rPr>
            </w:pPr>
            <w:r>
              <w:rPr>
                <w:b/>
                <w:bCs/>
                <w:i/>
                <w:sz w:val="24"/>
                <w:szCs w:val="24"/>
              </w:rPr>
              <w:t>Canat activ</w:t>
            </w:r>
          </w:p>
        </w:tc>
        <w:tc>
          <w:tcPr>
            <w:tcW w:w="2464" w:type="dxa"/>
          </w:tcPr>
          <w:p w14:paraId="238212B4" w14:textId="77777777" w:rsidR="001C08A5" w:rsidRDefault="00000000">
            <w:pPr>
              <w:jc w:val="center"/>
              <w:rPr>
                <w:b/>
                <w:bCs/>
                <w:i/>
                <w:sz w:val="24"/>
                <w:szCs w:val="24"/>
              </w:rPr>
            </w:pPr>
            <w:r>
              <w:rPr>
                <w:b/>
                <w:bCs/>
                <w:i/>
                <w:sz w:val="24"/>
                <w:szCs w:val="24"/>
              </w:rPr>
              <w:t>Canat inactiv</w:t>
            </w:r>
          </w:p>
        </w:tc>
        <w:tc>
          <w:tcPr>
            <w:tcW w:w="2464" w:type="dxa"/>
          </w:tcPr>
          <w:p w14:paraId="50145609" w14:textId="77777777" w:rsidR="001C08A5" w:rsidRDefault="00000000">
            <w:pPr>
              <w:jc w:val="center"/>
              <w:rPr>
                <w:b/>
                <w:bCs/>
                <w:i/>
                <w:sz w:val="24"/>
                <w:szCs w:val="24"/>
              </w:rPr>
            </w:pPr>
            <w:r>
              <w:rPr>
                <w:b/>
                <w:bCs/>
                <w:i/>
                <w:sz w:val="24"/>
                <w:szCs w:val="24"/>
              </w:rPr>
              <w:t>Canat activ</w:t>
            </w:r>
          </w:p>
        </w:tc>
        <w:tc>
          <w:tcPr>
            <w:tcW w:w="2464" w:type="dxa"/>
          </w:tcPr>
          <w:p w14:paraId="37357E86" w14:textId="77777777" w:rsidR="001C08A5" w:rsidRDefault="00000000">
            <w:pPr>
              <w:jc w:val="center"/>
              <w:rPr>
                <w:b/>
                <w:bCs/>
                <w:i/>
                <w:sz w:val="24"/>
                <w:szCs w:val="24"/>
              </w:rPr>
            </w:pPr>
            <w:r>
              <w:rPr>
                <w:b/>
                <w:bCs/>
                <w:i/>
                <w:sz w:val="24"/>
                <w:szCs w:val="24"/>
              </w:rPr>
              <w:t>Canat inactiv</w:t>
            </w:r>
          </w:p>
        </w:tc>
      </w:tr>
    </w:tbl>
    <w:p w14:paraId="2E6C124A" w14:textId="77777777" w:rsidR="001C08A5" w:rsidRDefault="001C08A5">
      <w:pPr>
        <w:jc w:val="center"/>
        <w:rPr>
          <w:b/>
          <w:bCs/>
          <w:i/>
          <w:sz w:val="24"/>
          <w:szCs w:val="24"/>
        </w:rPr>
      </w:pPr>
    </w:p>
    <w:p w14:paraId="03066572" w14:textId="77777777" w:rsidR="001C08A5" w:rsidRDefault="00000000">
      <w:pPr>
        <w:jc w:val="both"/>
        <w:rPr>
          <w:rFonts w:eastAsia="Times New Roman"/>
          <w:i/>
          <w:sz w:val="22"/>
          <w:szCs w:val="22"/>
        </w:rPr>
      </w:pPr>
      <w:bookmarkStart w:id="7888" w:name="_Hlk142896744"/>
      <w:r>
        <w:rPr>
          <w:rFonts w:eastAsia="Times New Roman"/>
          <w:i/>
          <w:sz w:val="22"/>
          <w:szCs w:val="22"/>
        </w:rPr>
        <w:t>Notă* Figura 184: canatul ”x”este considerat întotdeauna a fi activ când respectă rezultatele încercărilor standardizate (în funcție de feroneria utilizată, tip și sens de deschidere, amplasare, etc.) și de posibilitatea de deschidere a ambelor canaturi, conform încercări (diferit față de ușile cu deschidere normală, pe balamale sau pivoţi)</w:t>
      </w:r>
    </w:p>
    <w:p w14:paraId="276E819C" w14:textId="77777777" w:rsidR="001C08A5" w:rsidRDefault="00000000">
      <w:pPr>
        <w:pStyle w:val="Caption"/>
        <w:jc w:val="center"/>
        <w:rPr>
          <w:rFonts w:eastAsia="Times New Roman"/>
          <w:bCs/>
        </w:rPr>
      </w:pPr>
      <w:bookmarkStart w:id="7889" w:name="_Toc142898565"/>
      <w:bookmarkStart w:id="7890" w:name="_Toc162360408"/>
      <w:r>
        <w:t xml:space="preserve">Figura </w:t>
      </w:r>
      <w:r>
        <w:fldChar w:fldCharType="begin"/>
      </w:r>
      <w:r>
        <w:instrText xml:space="preserve"> SEQ Figura \* ARABIC </w:instrText>
      </w:r>
      <w:r>
        <w:fldChar w:fldCharType="separate"/>
      </w:r>
      <w:r>
        <w:t>184</w:t>
      </w:r>
      <w:r>
        <w:fldChar w:fldCharType="end"/>
      </w:r>
      <w:bookmarkStart w:id="7891" w:name="_Toc610"/>
      <w:bookmarkStart w:id="7892" w:name="_Toc952"/>
      <w:bookmarkStart w:id="7893" w:name="_Toc26428"/>
      <w:bookmarkStart w:id="7894" w:name="_Toc233"/>
      <w:bookmarkStart w:id="7895" w:name="_Toc16433"/>
      <w:bookmarkStart w:id="7896" w:name="_Toc9371"/>
      <w:bookmarkStart w:id="7897" w:name="_Toc25782"/>
      <w:bookmarkStart w:id="7898" w:name="_Toc22088"/>
      <w:bookmarkStart w:id="7899" w:name="_Toc8908"/>
      <w:r>
        <w:t xml:space="preserve"> - Uși echipate cu sisteme de încuiere și dispozitive de ieșire – canat activ sau inactiv</w:t>
      </w:r>
      <w:bookmarkEnd w:id="7889"/>
      <w:bookmarkEnd w:id="7890"/>
      <w:bookmarkEnd w:id="7891"/>
      <w:bookmarkEnd w:id="7892"/>
      <w:bookmarkEnd w:id="7893"/>
      <w:bookmarkEnd w:id="7894"/>
      <w:bookmarkEnd w:id="7895"/>
      <w:bookmarkEnd w:id="7896"/>
      <w:bookmarkEnd w:id="7897"/>
      <w:bookmarkEnd w:id="7898"/>
      <w:bookmarkEnd w:id="7899"/>
    </w:p>
    <w:p w14:paraId="556F042E" w14:textId="77777777" w:rsidR="001C08A5" w:rsidRDefault="00000000">
      <w:pPr>
        <w:pStyle w:val="Heading5"/>
        <w:rPr>
          <w:sz w:val="24"/>
          <w:szCs w:val="24"/>
        </w:rPr>
      </w:pPr>
      <w:bookmarkStart w:id="7900" w:name="_Toc29038"/>
      <w:bookmarkStart w:id="7901" w:name="_Toc16296"/>
      <w:bookmarkStart w:id="7902" w:name="_Toc25443"/>
      <w:bookmarkStart w:id="7903" w:name="_Toc27166"/>
      <w:bookmarkStart w:id="7904" w:name="_Toc18359"/>
      <w:bookmarkStart w:id="7905" w:name="_Toc12233"/>
      <w:bookmarkStart w:id="7906" w:name="_Toc18390"/>
      <w:bookmarkStart w:id="7907" w:name="_Toc15192"/>
      <w:bookmarkStart w:id="7908" w:name="_Toc18472"/>
      <w:bookmarkStart w:id="7909" w:name="_Toc32300"/>
      <w:bookmarkStart w:id="7910" w:name="_Toc4896"/>
      <w:bookmarkStart w:id="7911" w:name="_Toc7996"/>
      <w:bookmarkStart w:id="7912" w:name="_Toc20187"/>
      <w:bookmarkStart w:id="7913" w:name="_Toc162355435"/>
      <w:bookmarkStart w:id="7914" w:name="_Toc9240"/>
      <w:bookmarkStart w:id="7915" w:name="_Toc27834"/>
      <w:bookmarkStart w:id="7916" w:name="_Toc13415"/>
      <w:bookmarkEnd w:id="7888"/>
      <w:r>
        <w:rPr>
          <w:sz w:val="24"/>
          <w:szCs w:val="24"/>
        </w:rPr>
        <w:t>Uși cu dispozitive de ieșire împotriva panicii - “uși antipanică”</w:t>
      </w:r>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p>
    <w:p w14:paraId="1F0046A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Ușile prevăzute cu dispozitive de ieșire împotriva panicii sunt destinate evacuării din spații și clădiri unde un număr mare de utilizatori, care nu cunosc spațiile, poate fi prezent în același timp. Exemple: obligatoriu săli aglomerate, clădiri înalte și foarte înalte precum și cele explicit detaliate în cadrul normativului, centre comerciale, spitale, teatre, discoteci, funcțiuni sportive și alimentație publică, etc.. Trebuie să se ia în considerare tipul clădirii și al spațiilor, precum și numărul căilor de evacuare și caracteristicile acestora. Sunt obligatorii prevederile din textul normativului referitoare la uși echipate cu bare antipanică, acestea trebuind realizate conform cu standardul.  Echiparea acestor uși se referă la dispozitivele de ieșire de panică care respectă cerințele din standardul european </w:t>
      </w:r>
      <w:r>
        <w:rPr>
          <w:rFonts w:eastAsia="Times New Roman"/>
          <w:b/>
          <w:bCs/>
          <w:i/>
          <w:sz w:val="24"/>
        </w:rPr>
        <w:t>SR EN 1125</w:t>
      </w:r>
      <w:r>
        <w:rPr>
          <w:rFonts w:eastAsia="Times New Roman"/>
          <w:i/>
          <w:sz w:val="24"/>
        </w:rPr>
        <w:t>.</w:t>
      </w:r>
    </w:p>
    <w:p w14:paraId="68A27A3C" w14:textId="77777777" w:rsidR="001C08A5" w:rsidRDefault="00000000">
      <w:pPr>
        <w:pStyle w:val="Heading5"/>
        <w:rPr>
          <w:sz w:val="24"/>
          <w:szCs w:val="24"/>
        </w:rPr>
      </w:pPr>
      <w:bookmarkStart w:id="7917" w:name="_Toc4571"/>
      <w:bookmarkStart w:id="7918" w:name="_Toc3735"/>
      <w:bookmarkStart w:id="7919" w:name="_Toc28640"/>
      <w:bookmarkStart w:id="7920" w:name="_Toc22321"/>
      <w:bookmarkStart w:id="7921" w:name="_Toc162355436"/>
      <w:bookmarkStart w:id="7922" w:name="_Toc25069"/>
      <w:bookmarkStart w:id="7923" w:name="_Toc24710"/>
      <w:bookmarkStart w:id="7924" w:name="_Toc6423"/>
      <w:bookmarkStart w:id="7925" w:name="_Toc836"/>
      <w:bookmarkStart w:id="7926" w:name="_Toc18249"/>
      <w:bookmarkStart w:id="7927" w:name="_Toc13948"/>
      <w:bookmarkStart w:id="7928" w:name="_Toc21009"/>
      <w:bookmarkStart w:id="7929" w:name="_Toc23361"/>
      <w:bookmarkStart w:id="7930" w:name="_Toc807"/>
      <w:bookmarkStart w:id="7931" w:name="_Toc22244"/>
      <w:bookmarkStart w:id="7932" w:name="_Toc5427"/>
      <w:r>
        <w:rPr>
          <w:sz w:val="24"/>
          <w:szCs w:val="24"/>
        </w:rPr>
        <w:t>Uși cu dispozitive de ieșire de urgență - “uși pentru ieșire de urgență”</w:t>
      </w:r>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p>
    <w:p w14:paraId="3C383147"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Ușile prevăzute cu dispozitive de ieșire de urgență sunt destinate evacuării din clădiri în care este puțin probabil ca publicul să fie prezent în număr mare și în care personalul din clădire a fost instruit atât în procedurile de urgență, cât și în utilizarea dispozitivelor de ieșire de urgență specifice montate. Exemple sunt birourile și încăperile fără aglomerări de persoane și fără acces al </w:t>
      </w:r>
      <w:r>
        <w:rPr>
          <w:rFonts w:eastAsia="Times New Roman"/>
          <w:i/>
          <w:sz w:val="24"/>
        </w:rPr>
        <w:lastRenderedPageBreak/>
        <w:t>vizitatorilor (exemplu către scara exterioară de evacuare). Acestea sunt recomandate ca cel mai scăzut nivel pentru ușile de ieșire în care nu sunt necesare dispozitive de ieșire împotriva panicii. Echiparea acestor uși se referă la dispozitivele de ieșire de urgență cu acționare simplă, care respectă cerințele din standardul european SR EN 179.</w:t>
      </w:r>
    </w:p>
    <w:p w14:paraId="52C756B2" w14:textId="77777777" w:rsidR="001C08A5" w:rsidRDefault="00000000">
      <w:pPr>
        <w:jc w:val="center"/>
        <w:rPr>
          <w:rFonts w:eastAsia="Times New Roman"/>
          <w:i/>
          <w:sz w:val="24"/>
          <w:szCs w:val="24"/>
        </w:rPr>
      </w:pPr>
      <w:r>
        <w:rPr>
          <w:i/>
          <w:noProof/>
          <w:sz w:val="24"/>
          <w:szCs w:val="24"/>
          <w:lang w:eastAsia="ro-RO"/>
        </w:rPr>
        <w:drawing>
          <wp:inline distT="0" distB="0" distL="114300" distR="114300" wp14:anchorId="2ABB8F71" wp14:editId="787ABCF0">
            <wp:extent cx="1504315" cy="1212215"/>
            <wp:effectExtent l="0" t="0" r="635" b="6985"/>
            <wp:docPr id="253"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119"/>
                    <pic:cNvPicPr>
                      <a:picLocks noChangeAspect="1"/>
                    </pic:cNvPicPr>
                  </pic:nvPicPr>
                  <pic:blipFill>
                    <a:blip r:embed="rId362"/>
                    <a:srcRect l="12383" t="59746" r="67688" b="16261"/>
                    <a:stretch>
                      <a:fillRect/>
                    </a:stretch>
                  </pic:blipFill>
                  <pic:spPr>
                    <a:xfrm>
                      <a:off x="0" y="0"/>
                      <a:ext cx="1504315" cy="1212215"/>
                    </a:xfrm>
                    <a:prstGeom prst="rect">
                      <a:avLst/>
                    </a:prstGeom>
                    <a:noFill/>
                    <a:ln>
                      <a:noFill/>
                    </a:ln>
                  </pic:spPr>
                </pic:pic>
              </a:graphicData>
            </a:graphic>
          </wp:inline>
        </w:drawing>
      </w:r>
    </w:p>
    <w:p w14:paraId="4455C5B4" w14:textId="77777777" w:rsidR="001C08A5" w:rsidRDefault="00000000">
      <w:pPr>
        <w:pStyle w:val="Caption"/>
        <w:jc w:val="center"/>
      </w:pPr>
      <w:bookmarkStart w:id="7933" w:name="_Toc23372"/>
      <w:bookmarkStart w:id="7934" w:name="_Toc162360409"/>
      <w:bookmarkStart w:id="7935" w:name="_Toc409"/>
      <w:bookmarkStart w:id="7936" w:name="_Toc7092"/>
      <w:bookmarkStart w:id="7937" w:name="_Toc142898566"/>
      <w:r>
        <w:t xml:space="preserve">Figura </w:t>
      </w:r>
      <w:r>
        <w:fldChar w:fldCharType="begin"/>
      </w:r>
      <w:r>
        <w:instrText xml:space="preserve"> SEQ Figura \* ARABIC </w:instrText>
      </w:r>
      <w:r>
        <w:fldChar w:fldCharType="separate"/>
      </w:r>
      <w:r>
        <w:t>185</w:t>
      </w:r>
      <w:r>
        <w:fldChar w:fldCharType="end"/>
      </w:r>
      <w:bookmarkStart w:id="7938" w:name="_Toc20067"/>
      <w:bookmarkStart w:id="7939" w:name="_Toc1747"/>
      <w:bookmarkStart w:id="7940" w:name="_Toc22909"/>
      <w:bookmarkStart w:id="7941" w:name="_Toc12426"/>
      <w:bookmarkStart w:id="7942" w:name="_Toc25222"/>
      <w:bookmarkStart w:id="7943" w:name="_Toc15"/>
      <w:bookmarkStart w:id="7944" w:name="_Toc18343"/>
      <w:bookmarkStart w:id="7945" w:name="_Toc12493"/>
      <w:bookmarkStart w:id="7946" w:name="_Toc2352"/>
      <w:r>
        <w:t xml:space="preserve"> - Dispozitive de ieșire de urgență</w:t>
      </w:r>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p>
    <w:p w14:paraId="298E5878" w14:textId="77777777" w:rsidR="001C08A5" w:rsidRDefault="00000000">
      <w:pPr>
        <w:jc w:val="center"/>
        <w:rPr>
          <w:rFonts w:eastAsia="Times New Roman"/>
          <w:i/>
          <w:sz w:val="24"/>
          <w:szCs w:val="24"/>
        </w:rPr>
      </w:pPr>
      <w:r>
        <w:rPr>
          <w:i/>
          <w:noProof/>
          <w:sz w:val="24"/>
          <w:szCs w:val="24"/>
          <w:lang w:eastAsia="ro-RO"/>
        </w:rPr>
        <w:drawing>
          <wp:inline distT="0" distB="0" distL="114300" distR="114300" wp14:anchorId="17AF29B1" wp14:editId="35DF315C">
            <wp:extent cx="4563110" cy="1212215"/>
            <wp:effectExtent l="0" t="0" r="8890" b="6985"/>
            <wp:docPr id="25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119"/>
                    <pic:cNvPicPr>
                      <a:picLocks noChangeAspect="1"/>
                    </pic:cNvPicPr>
                  </pic:nvPicPr>
                  <pic:blipFill>
                    <a:blip r:embed="rId362"/>
                    <a:srcRect l="32288" t="59746" r="7260" b="16261"/>
                    <a:stretch>
                      <a:fillRect/>
                    </a:stretch>
                  </pic:blipFill>
                  <pic:spPr>
                    <a:xfrm>
                      <a:off x="0" y="0"/>
                      <a:ext cx="4563110" cy="1212215"/>
                    </a:xfrm>
                    <a:prstGeom prst="rect">
                      <a:avLst/>
                    </a:prstGeom>
                    <a:noFill/>
                    <a:ln>
                      <a:noFill/>
                    </a:ln>
                  </pic:spPr>
                </pic:pic>
              </a:graphicData>
            </a:graphic>
          </wp:inline>
        </w:drawing>
      </w:r>
    </w:p>
    <w:p w14:paraId="54E4B169" w14:textId="77777777" w:rsidR="001C08A5" w:rsidRDefault="00000000">
      <w:pPr>
        <w:pStyle w:val="Caption"/>
        <w:jc w:val="center"/>
      </w:pPr>
      <w:bookmarkStart w:id="7947" w:name="_Toc24072"/>
      <w:bookmarkStart w:id="7948" w:name="_Toc14449"/>
      <w:bookmarkStart w:id="7949" w:name="_Toc142898567"/>
      <w:bookmarkStart w:id="7950" w:name="_Toc162360410"/>
      <w:bookmarkStart w:id="7951" w:name="_Toc13983"/>
      <w:r>
        <w:t xml:space="preserve">Figura </w:t>
      </w:r>
      <w:r>
        <w:fldChar w:fldCharType="begin"/>
      </w:r>
      <w:r>
        <w:instrText xml:space="preserve"> SEQ Figura \* ARABIC </w:instrText>
      </w:r>
      <w:r>
        <w:fldChar w:fldCharType="separate"/>
      </w:r>
      <w:r>
        <w:t>186</w:t>
      </w:r>
      <w:r>
        <w:fldChar w:fldCharType="end"/>
      </w:r>
      <w:bookmarkStart w:id="7952" w:name="_Toc12458"/>
      <w:bookmarkStart w:id="7953" w:name="_Toc13407"/>
      <w:bookmarkStart w:id="7954" w:name="_Toc12013"/>
      <w:bookmarkStart w:id="7955" w:name="_Toc15905"/>
      <w:bookmarkStart w:id="7956" w:name="_Toc24605"/>
      <w:bookmarkStart w:id="7957" w:name="_Toc32102"/>
      <w:bookmarkStart w:id="7958" w:name="_Toc16635"/>
      <w:bookmarkStart w:id="7959" w:name="_Toc11523"/>
      <w:bookmarkStart w:id="7960" w:name="_Toc17300"/>
      <w:r>
        <w:t xml:space="preserve"> - Dispozitive de ieșire împotriva panicii</w:t>
      </w:r>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p>
    <w:p w14:paraId="6476DD5D" w14:textId="77777777" w:rsidR="001C08A5" w:rsidRDefault="00000000">
      <w:pPr>
        <w:jc w:val="center"/>
        <w:rPr>
          <w:b/>
          <w:bCs/>
          <w:i/>
          <w:sz w:val="24"/>
          <w:szCs w:val="24"/>
        </w:rPr>
      </w:pPr>
      <w:r>
        <w:rPr>
          <w:b/>
          <w:bCs/>
          <w:i/>
          <w:noProof/>
          <w:sz w:val="24"/>
          <w:szCs w:val="24"/>
        </w:rPr>
        <w:drawing>
          <wp:inline distT="0" distB="0" distL="114300" distR="114300" wp14:anchorId="4E7569E4" wp14:editId="096C3702">
            <wp:extent cx="5892165" cy="1487805"/>
            <wp:effectExtent l="0" t="0" r="13335" b="17145"/>
            <wp:docPr id="3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28"/>
                    <pic:cNvPicPr>
                      <a:picLocks noChangeAspect="1"/>
                    </pic:cNvPicPr>
                  </pic:nvPicPr>
                  <pic:blipFill>
                    <a:blip r:embed="rId364"/>
                    <a:srcRect l="13704" t="39200" r="8236" b="33384"/>
                    <a:stretch>
                      <a:fillRect/>
                    </a:stretch>
                  </pic:blipFill>
                  <pic:spPr>
                    <a:xfrm>
                      <a:off x="0" y="0"/>
                      <a:ext cx="5892165" cy="148780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483"/>
        <w:gridCol w:w="6156"/>
      </w:tblGrid>
      <w:tr w:rsidR="001C08A5" w14:paraId="1C2D0B51" w14:textId="77777777">
        <w:tc>
          <w:tcPr>
            <w:tcW w:w="3553" w:type="dxa"/>
          </w:tcPr>
          <w:p w14:paraId="3F1718EB" w14:textId="77777777" w:rsidR="001C08A5" w:rsidRDefault="00000000">
            <w:pPr>
              <w:jc w:val="center"/>
              <w:rPr>
                <w:b/>
                <w:bCs/>
                <w:i/>
                <w:sz w:val="24"/>
                <w:szCs w:val="24"/>
              </w:rPr>
            </w:pPr>
            <w:r>
              <w:rPr>
                <w:rFonts w:eastAsia="Times New Roman"/>
                <w:b/>
                <w:bCs/>
                <w:i/>
                <w:sz w:val="24"/>
                <w:szCs w:val="24"/>
              </w:rPr>
              <w:t>Varianta a) - ieșire de urgență</w:t>
            </w:r>
          </w:p>
        </w:tc>
        <w:tc>
          <w:tcPr>
            <w:tcW w:w="6302" w:type="dxa"/>
          </w:tcPr>
          <w:p w14:paraId="7423CAEE" w14:textId="77777777" w:rsidR="001C08A5" w:rsidRDefault="00000000">
            <w:pPr>
              <w:jc w:val="center"/>
              <w:rPr>
                <w:b/>
                <w:bCs/>
                <w:i/>
                <w:sz w:val="24"/>
                <w:szCs w:val="24"/>
              </w:rPr>
            </w:pPr>
            <w:r>
              <w:rPr>
                <w:rFonts w:eastAsia="Times New Roman"/>
                <w:b/>
                <w:bCs/>
                <w:i/>
                <w:sz w:val="24"/>
                <w:szCs w:val="24"/>
              </w:rPr>
              <w:t>Varianta b) - împotriva panicii</w:t>
            </w:r>
          </w:p>
        </w:tc>
      </w:tr>
    </w:tbl>
    <w:p w14:paraId="0717E9D6" w14:textId="77777777" w:rsidR="001C08A5" w:rsidRDefault="00000000">
      <w:pPr>
        <w:pStyle w:val="Caption"/>
        <w:jc w:val="center"/>
      </w:pPr>
      <w:bookmarkStart w:id="7961" w:name="_Toc11147"/>
      <w:bookmarkStart w:id="7962" w:name="_Toc142898568"/>
      <w:bookmarkStart w:id="7963" w:name="_Toc20461"/>
      <w:bookmarkStart w:id="7964" w:name="_Toc32537"/>
      <w:bookmarkStart w:id="7965" w:name="_Toc162360411"/>
      <w:r>
        <w:t xml:space="preserve">Figura </w:t>
      </w:r>
      <w:r>
        <w:fldChar w:fldCharType="begin"/>
      </w:r>
      <w:r>
        <w:instrText xml:space="preserve"> SEQ Figura \* ARABIC </w:instrText>
      </w:r>
      <w:r>
        <w:fldChar w:fldCharType="separate"/>
      </w:r>
      <w:r>
        <w:t>187</w:t>
      </w:r>
      <w:r>
        <w:fldChar w:fldCharType="end"/>
      </w:r>
      <w:bookmarkStart w:id="7966" w:name="_Toc922"/>
      <w:bookmarkStart w:id="7967" w:name="_Toc20409"/>
      <w:bookmarkStart w:id="7968" w:name="_Toc9433"/>
      <w:bookmarkStart w:id="7969" w:name="_Toc19487"/>
      <w:bookmarkStart w:id="7970" w:name="_Toc12166"/>
      <w:bookmarkStart w:id="7971" w:name="_Toc32576"/>
      <w:bookmarkStart w:id="7972" w:name="_Toc10209"/>
      <w:bookmarkStart w:id="7973" w:name="_Toc8346"/>
      <w:bookmarkStart w:id="7974" w:name="_Toc15240"/>
      <w:r>
        <w:t xml:space="preserve"> - Dispozitive de ieșire de urgență și bare împotriva panicii (exemple)</w:t>
      </w:r>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p>
    <w:p w14:paraId="3B726E31" w14:textId="77777777" w:rsidR="001C08A5" w:rsidRDefault="00000000">
      <w:pPr>
        <w:pStyle w:val="Heading4"/>
        <w:rPr>
          <w:sz w:val="24"/>
          <w:szCs w:val="24"/>
        </w:rPr>
      </w:pPr>
      <w:bookmarkStart w:id="7975" w:name="_Toc32468"/>
      <w:bookmarkStart w:id="7976" w:name="_Toc15498"/>
      <w:bookmarkStart w:id="7977" w:name="_Toc30599"/>
      <w:bookmarkStart w:id="7978" w:name="_Toc18742"/>
      <w:bookmarkStart w:id="7979" w:name="_Toc5017"/>
      <w:bookmarkStart w:id="7980" w:name="_Toc12272"/>
      <w:bookmarkStart w:id="7981" w:name="_Toc30084"/>
      <w:bookmarkStart w:id="7982" w:name="_Toc9835"/>
      <w:bookmarkStart w:id="7983" w:name="_Toc162355437"/>
      <w:bookmarkStart w:id="7984" w:name="_Toc25019"/>
      <w:bookmarkStart w:id="7985" w:name="_Toc24099"/>
      <w:bookmarkStart w:id="7986" w:name="_Toc19373"/>
      <w:bookmarkStart w:id="7987" w:name="_Toc19139"/>
      <w:bookmarkStart w:id="7988" w:name="_Toc18091"/>
      <w:bookmarkStart w:id="7989" w:name="_Toc32049"/>
      <w:bookmarkStart w:id="7990" w:name="_Toc1526"/>
      <w:r>
        <w:rPr>
          <w:sz w:val="24"/>
          <w:szCs w:val="24"/>
        </w:rPr>
        <w:t>Uși cu sisteme de evacuare actionate/ controlate electric (pentru utilizarea pe căile de evacuare)</w:t>
      </w:r>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p>
    <w:p w14:paraId="2FFA112A"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Proiectarea unui sistem de ieșire controlat electric trebuie să fie facut astfel încât orice defecțiune a unei componente incluse într-un singur element electric, cum ar fi elementul de declanșare, elementul de comandă, elementul de blocare electrică, dispozitivul cu comandă centralizată, etc.) să ducă la deblocarea automată imediată a ușii .</w:t>
      </w:r>
    </w:p>
    <w:p w14:paraId="2771370D" w14:textId="77777777" w:rsidR="001C08A5" w:rsidRDefault="001C08A5">
      <w:pPr>
        <w:numPr>
          <w:ilvl w:val="255"/>
          <w:numId w:val="0"/>
        </w:numPr>
        <w:tabs>
          <w:tab w:val="left" w:pos="426"/>
          <w:tab w:val="left" w:pos="993"/>
        </w:tabs>
        <w:jc w:val="both"/>
        <w:rPr>
          <w:rFonts w:eastAsia="Times New Roman"/>
          <w:b/>
          <w:i/>
          <w:sz w:val="24"/>
        </w:rPr>
      </w:pPr>
    </w:p>
    <w:p w14:paraId="3D59A971"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 spații și clădiri unde un număr mare de utilizatori, care nu cunosc spațiile pot fi prezente în același timp (de exemplu săli aglomerate sau număr mare de persoane), sistemul electric controlat prevăzut pentru evacuare prevede soluții în care ușile trebuie să fie  prevăzute cu dispozitive de ieșire împotriva panicii/ bare de împingere. Echiparea acestor uși se poate referi la sistemele de evacuare cu componente care îndeplinesc și cerințele standardului european SR EN 13637.</w:t>
      </w:r>
    </w:p>
    <w:p w14:paraId="33C624F9" w14:textId="77777777" w:rsidR="001C08A5" w:rsidRDefault="001C08A5">
      <w:pPr>
        <w:tabs>
          <w:tab w:val="left" w:pos="426"/>
          <w:tab w:val="left" w:pos="993"/>
        </w:tabs>
        <w:jc w:val="both"/>
        <w:rPr>
          <w:rFonts w:eastAsia="Times New Roman"/>
          <w:b/>
          <w:i/>
          <w:sz w:val="24"/>
        </w:rPr>
      </w:pPr>
    </w:p>
    <w:p w14:paraId="538544E4" w14:textId="77777777" w:rsidR="001C08A5" w:rsidRDefault="00000000">
      <w:pPr>
        <w:numPr>
          <w:ilvl w:val="0"/>
          <w:numId w:val="96"/>
        </w:numPr>
        <w:tabs>
          <w:tab w:val="left" w:pos="426"/>
          <w:tab w:val="left" w:pos="993"/>
        </w:tabs>
        <w:jc w:val="both"/>
      </w:pPr>
      <w:r>
        <w:rPr>
          <w:rFonts w:eastAsia="Times New Roman"/>
          <w:i/>
          <w:sz w:val="24"/>
        </w:rPr>
        <w:t>Pentru spațiile cu un număr mai mic de utilizatori și în care nu toată lumea are cunoștințe asupra tuturor posibilităților de evacuare din clădiri și spații, ușile trebuie să fie prevăzute cu dispozitive de ieșire de urgență . Echiparea acestor uși se referă la sistemele de evacuare cu componente care îndeplinesc cerințele standardului european SR EN 179.</w:t>
      </w:r>
    </w:p>
    <w:p w14:paraId="3AB0AFE7" w14:textId="77777777" w:rsidR="001C08A5" w:rsidRDefault="00000000">
      <w:pPr>
        <w:pStyle w:val="Heading4"/>
        <w:rPr>
          <w:sz w:val="24"/>
          <w:szCs w:val="24"/>
        </w:rPr>
      </w:pPr>
      <w:bookmarkStart w:id="7991" w:name="_Toc32718"/>
      <w:bookmarkStart w:id="7992" w:name="_Toc16871"/>
      <w:bookmarkStart w:id="7993" w:name="_Toc15092"/>
      <w:bookmarkStart w:id="7994" w:name="_Toc31866"/>
      <w:bookmarkStart w:id="7995" w:name="_Toc30844"/>
      <w:bookmarkStart w:id="7996" w:name="_Toc10047"/>
      <w:bookmarkStart w:id="7997" w:name="_Toc16653"/>
      <w:bookmarkStart w:id="7998" w:name="_Toc27970"/>
      <w:bookmarkStart w:id="7999" w:name="_Toc12875"/>
      <w:bookmarkStart w:id="8000" w:name="_Toc14565"/>
      <w:bookmarkStart w:id="8001" w:name="_Toc4248"/>
      <w:bookmarkStart w:id="8002" w:name="_Toc21519"/>
      <w:bookmarkStart w:id="8003" w:name="_Toc25479"/>
      <w:bookmarkStart w:id="8004" w:name="_Toc162355438"/>
      <w:bookmarkStart w:id="8005" w:name="_Toc6125"/>
      <w:bookmarkStart w:id="8006" w:name="_Toc23843"/>
      <w:bookmarkStart w:id="8007" w:name="_Toc29511"/>
      <w:r>
        <w:rPr>
          <w:sz w:val="24"/>
          <w:szCs w:val="24"/>
        </w:rPr>
        <w:lastRenderedPageBreak/>
        <w:t>Uși culisante prevăzute şi cu deschidere pe balamale</w:t>
      </w:r>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p>
    <w:p w14:paraId="2758F8ED" w14:textId="77777777" w:rsidR="001C08A5" w:rsidRDefault="00000000">
      <w:pPr>
        <w:jc w:val="center"/>
        <w:rPr>
          <w:i/>
          <w:sz w:val="24"/>
          <w:szCs w:val="24"/>
        </w:rPr>
      </w:pPr>
      <w:r>
        <w:rPr>
          <w:i/>
          <w:noProof/>
          <w:sz w:val="24"/>
          <w:szCs w:val="24"/>
          <w:lang w:eastAsia="ro-RO"/>
        </w:rPr>
        <w:drawing>
          <wp:inline distT="0" distB="0" distL="114300" distR="114300" wp14:anchorId="1786FFC7" wp14:editId="310F23AD">
            <wp:extent cx="4202430" cy="2689860"/>
            <wp:effectExtent l="0" t="0" r="7620" b="15240"/>
            <wp:docPr id="256"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125"/>
                    <pic:cNvPicPr>
                      <a:picLocks noChangeAspect="1"/>
                    </pic:cNvPicPr>
                  </pic:nvPicPr>
                  <pic:blipFill>
                    <a:blip r:embed="rId365"/>
                    <a:srcRect l="15067" t="24507" r="29259" b="22256"/>
                    <a:stretch>
                      <a:fillRect/>
                    </a:stretch>
                  </pic:blipFill>
                  <pic:spPr>
                    <a:xfrm>
                      <a:off x="0" y="0"/>
                      <a:ext cx="4202430" cy="2689860"/>
                    </a:xfrm>
                    <a:prstGeom prst="rect">
                      <a:avLst/>
                    </a:prstGeom>
                    <a:noFill/>
                    <a:ln>
                      <a:noFill/>
                    </a:ln>
                  </pic:spPr>
                </pic:pic>
              </a:graphicData>
            </a:graphic>
          </wp:inline>
        </w:drawing>
      </w:r>
    </w:p>
    <w:p w14:paraId="1B5264EE" w14:textId="77777777" w:rsidR="001C08A5" w:rsidRDefault="00000000">
      <w:pPr>
        <w:jc w:val="center"/>
        <w:rPr>
          <w:rFonts w:eastAsia="Times New Roman"/>
          <w:b/>
          <w:bCs/>
          <w:i/>
          <w:sz w:val="24"/>
          <w:szCs w:val="24"/>
        </w:rPr>
      </w:pPr>
      <w:r>
        <w:rPr>
          <w:b/>
          <w:bCs/>
          <w:i/>
          <w:sz w:val="24"/>
          <w:szCs w:val="24"/>
        </w:rPr>
        <w:t>Varianta a) cu două foi</w:t>
      </w:r>
    </w:p>
    <w:p w14:paraId="42F6C737" w14:textId="77777777" w:rsidR="001C08A5" w:rsidRDefault="00000000">
      <w:pPr>
        <w:jc w:val="center"/>
        <w:rPr>
          <w:b/>
          <w:bCs/>
          <w:i/>
          <w:sz w:val="24"/>
          <w:szCs w:val="24"/>
        </w:rPr>
      </w:pPr>
      <w:r>
        <w:rPr>
          <w:b/>
          <w:bCs/>
          <w:i/>
          <w:noProof/>
          <w:sz w:val="24"/>
          <w:szCs w:val="24"/>
        </w:rPr>
        <w:drawing>
          <wp:inline distT="0" distB="0" distL="114300" distR="114300" wp14:anchorId="2CD86809" wp14:editId="051BDFFD">
            <wp:extent cx="5361305" cy="2624455"/>
            <wp:effectExtent l="0" t="0" r="10795" b="4445"/>
            <wp:docPr id="3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29"/>
                    <pic:cNvPicPr>
                      <a:picLocks noChangeAspect="1"/>
                    </pic:cNvPicPr>
                  </pic:nvPicPr>
                  <pic:blipFill>
                    <a:blip r:embed="rId366"/>
                    <a:srcRect l="15058" t="14264" r="13914" b="37374"/>
                    <a:stretch>
                      <a:fillRect/>
                    </a:stretch>
                  </pic:blipFill>
                  <pic:spPr>
                    <a:xfrm>
                      <a:off x="0" y="0"/>
                      <a:ext cx="5361305" cy="2624455"/>
                    </a:xfrm>
                    <a:prstGeom prst="rect">
                      <a:avLst/>
                    </a:prstGeom>
                    <a:noFill/>
                    <a:ln>
                      <a:noFill/>
                    </a:ln>
                  </pic:spPr>
                </pic:pic>
              </a:graphicData>
            </a:graphic>
          </wp:inline>
        </w:drawing>
      </w:r>
    </w:p>
    <w:p w14:paraId="10457122" w14:textId="77777777" w:rsidR="001C08A5" w:rsidRDefault="00000000">
      <w:pPr>
        <w:jc w:val="center"/>
        <w:rPr>
          <w:b/>
          <w:bCs/>
          <w:i/>
          <w:sz w:val="24"/>
          <w:szCs w:val="24"/>
        </w:rPr>
      </w:pPr>
      <w:r>
        <w:rPr>
          <w:b/>
          <w:bCs/>
          <w:i/>
          <w:sz w:val="24"/>
          <w:szCs w:val="24"/>
        </w:rPr>
        <w:t>Varianta b) cu patru foi</w:t>
      </w:r>
    </w:p>
    <w:p w14:paraId="5311EB42" w14:textId="77777777" w:rsidR="001C08A5" w:rsidRDefault="00000000">
      <w:pPr>
        <w:jc w:val="center"/>
        <w:rPr>
          <w:i/>
          <w:sz w:val="24"/>
          <w:szCs w:val="24"/>
        </w:rPr>
      </w:pPr>
      <w:r>
        <w:rPr>
          <w:i/>
          <w:noProof/>
          <w:sz w:val="24"/>
          <w:szCs w:val="24"/>
          <w:lang w:eastAsia="ro-RO"/>
        </w:rPr>
        <w:drawing>
          <wp:inline distT="0" distB="0" distL="114300" distR="114300" wp14:anchorId="196CA1AA" wp14:editId="7782A56F">
            <wp:extent cx="6006465" cy="2838450"/>
            <wp:effectExtent l="0" t="0" r="13335" b="0"/>
            <wp:docPr id="258"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124"/>
                    <pic:cNvPicPr>
                      <a:picLocks noChangeAspect="1"/>
                    </pic:cNvPicPr>
                  </pic:nvPicPr>
                  <pic:blipFill>
                    <a:blip r:embed="rId367"/>
                    <a:srcRect l="12779" t="13901" r="7648" b="29922"/>
                    <a:stretch>
                      <a:fillRect/>
                    </a:stretch>
                  </pic:blipFill>
                  <pic:spPr>
                    <a:xfrm>
                      <a:off x="0" y="0"/>
                      <a:ext cx="6006465" cy="2838450"/>
                    </a:xfrm>
                    <a:prstGeom prst="rect">
                      <a:avLst/>
                    </a:prstGeom>
                    <a:noFill/>
                    <a:ln>
                      <a:noFill/>
                    </a:ln>
                  </pic:spPr>
                </pic:pic>
              </a:graphicData>
            </a:graphic>
          </wp:inline>
        </w:drawing>
      </w:r>
    </w:p>
    <w:p w14:paraId="717B2EDF" w14:textId="77777777" w:rsidR="001C08A5" w:rsidRDefault="00000000">
      <w:pPr>
        <w:jc w:val="center"/>
        <w:rPr>
          <w:i/>
          <w:sz w:val="24"/>
          <w:szCs w:val="24"/>
        </w:rPr>
      </w:pPr>
      <w:r>
        <w:rPr>
          <w:b/>
          <w:bCs/>
          <w:i/>
          <w:sz w:val="24"/>
          <w:szCs w:val="24"/>
        </w:rPr>
        <w:t>Varianta c) cu șase foi</w:t>
      </w:r>
    </w:p>
    <w:p w14:paraId="1DC2106F" w14:textId="77777777" w:rsidR="001C08A5" w:rsidRDefault="00000000">
      <w:pPr>
        <w:pStyle w:val="Caption"/>
        <w:jc w:val="center"/>
      </w:pPr>
      <w:bookmarkStart w:id="8008" w:name="_Toc15183"/>
      <w:bookmarkStart w:id="8009" w:name="_Toc142898569"/>
      <w:bookmarkStart w:id="8010" w:name="_Toc162360412"/>
      <w:bookmarkStart w:id="8011" w:name="_Toc29918"/>
      <w:r>
        <w:t xml:space="preserve">Figura </w:t>
      </w:r>
      <w:r>
        <w:fldChar w:fldCharType="begin"/>
      </w:r>
      <w:r>
        <w:instrText xml:space="preserve"> SEQ Figura \* ARABIC </w:instrText>
      </w:r>
      <w:r>
        <w:fldChar w:fldCharType="separate"/>
      </w:r>
      <w:r>
        <w:t>188</w:t>
      </w:r>
      <w:r>
        <w:fldChar w:fldCharType="end"/>
      </w:r>
      <w:bookmarkStart w:id="8012" w:name="_Toc22605"/>
      <w:bookmarkStart w:id="8013" w:name="_Toc12737"/>
      <w:bookmarkStart w:id="8014" w:name="_Toc27813"/>
      <w:bookmarkStart w:id="8015" w:name="_Toc21546"/>
      <w:bookmarkStart w:id="8016" w:name="_Toc5809"/>
      <w:bookmarkStart w:id="8017" w:name="_Toc6797"/>
      <w:bookmarkStart w:id="8018" w:name="_Toc28363"/>
      <w:bookmarkStart w:id="8019" w:name="_Toc6594"/>
      <w:bookmarkStart w:id="8020" w:name="_Toc21627"/>
      <w:r>
        <w:t xml:space="preserve"> - Exemple uşi culisante prevăzute şi cu deschidere pe balamale (uși cu break out)</w:t>
      </w:r>
      <w:bookmarkEnd w:id="8008"/>
      <w:bookmarkEnd w:id="8009"/>
      <w:bookmarkEnd w:id="8010"/>
      <w:bookmarkEnd w:id="8011"/>
      <w:bookmarkEnd w:id="8012"/>
      <w:bookmarkEnd w:id="8013"/>
      <w:bookmarkEnd w:id="8014"/>
      <w:bookmarkEnd w:id="8015"/>
      <w:bookmarkEnd w:id="8016"/>
      <w:bookmarkEnd w:id="8017"/>
      <w:bookmarkEnd w:id="8018"/>
      <w:bookmarkEnd w:id="8019"/>
      <w:bookmarkEnd w:id="8020"/>
    </w:p>
    <w:p w14:paraId="38FD29B2" w14:textId="77777777" w:rsidR="001C08A5" w:rsidRDefault="001C08A5">
      <w:pPr>
        <w:jc w:val="center"/>
        <w:rPr>
          <w:i/>
          <w:sz w:val="24"/>
          <w:szCs w:val="24"/>
        </w:rPr>
      </w:pPr>
    </w:p>
    <w:p w14:paraId="6335746B" w14:textId="77777777" w:rsidR="001C08A5" w:rsidRDefault="00000000">
      <w:pPr>
        <w:jc w:val="center"/>
        <w:rPr>
          <w:i/>
          <w:sz w:val="24"/>
          <w:szCs w:val="24"/>
        </w:rPr>
      </w:pPr>
      <w:r>
        <w:rPr>
          <w:i/>
          <w:noProof/>
          <w:sz w:val="24"/>
          <w:szCs w:val="24"/>
          <w:lang w:eastAsia="ro-RO"/>
        </w:rPr>
        <w:lastRenderedPageBreak/>
        <w:drawing>
          <wp:inline distT="0" distB="0" distL="114300" distR="114300" wp14:anchorId="6A1199BE" wp14:editId="40440922">
            <wp:extent cx="6054090" cy="2409825"/>
            <wp:effectExtent l="0" t="0" r="3810" b="9525"/>
            <wp:docPr id="259"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126"/>
                    <pic:cNvPicPr>
                      <a:picLocks noChangeAspect="1"/>
                    </pic:cNvPicPr>
                  </pic:nvPicPr>
                  <pic:blipFill>
                    <a:blip r:embed="rId368"/>
                    <a:srcRect l="12383" t="8482" r="7411" b="43823"/>
                    <a:stretch>
                      <a:fillRect/>
                    </a:stretch>
                  </pic:blipFill>
                  <pic:spPr>
                    <a:xfrm>
                      <a:off x="0" y="0"/>
                      <a:ext cx="6054090" cy="2409825"/>
                    </a:xfrm>
                    <a:prstGeom prst="rect">
                      <a:avLst/>
                    </a:prstGeom>
                    <a:noFill/>
                    <a:ln>
                      <a:noFill/>
                    </a:ln>
                  </pic:spPr>
                </pic:pic>
              </a:graphicData>
            </a:graphic>
          </wp:inline>
        </w:drawing>
      </w:r>
    </w:p>
    <w:p w14:paraId="14C01626" w14:textId="77777777" w:rsidR="001C08A5" w:rsidRDefault="00000000">
      <w:pPr>
        <w:jc w:val="center"/>
        <w:rPr>
          <w:i/>
          <w:sz w:val="24"/>
          <w:szCs w:val="24"/>
        </w:rPr>
      </w:pPr>
      <w:r>
        <w:rPr>
          <w:i/>
          <w:noProof/>
          <w:sz w:val="24"/>
          <w:szCs w:val="24"/>
          <w:lang w:eastAsia="ro-RO"/>
        </w:rPr>
        <w:drawing>
          <wp:inline distT="0" distB="0" distL="114300" distR="114300" wp14:anchorId="0D1F218A" wp14:editId="7E5669D8">
            <wp:extent cx="6054090" cy="1748790"/>
            <wp:effectExtent l="0" t="0" r="3810" b="3810"/>
            <wp:docPr id="26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126"/>
                    <pic:cNvPicPr>
                      <a:picLocks noChangeAspect="1"/>
                    </pic:cNvPicPr>
                  </pic:nvPicPr>
                  <pic:blipFill>
                    <a:blip r:embed="rId368"/>
                    <a:srcRect l="12383" t="59972" r="7411" b="5417"/>
                    <a:stretch>
                      <a:fillRect/>
                    </a:stretch>
                  </pic:blipFill>
                  <pic:spPr>
                    <a:xfrm>
                      <a:off x="0" y="0"/>
                      <a:ext cx="6054090" cy="1748790"/>
                    </a:xfrm>
                    <a:prstGeom prst="rect">
                      <a:avLst/>
                    </a:prstGeom>
                    <a:noFill/>
                    <a:ln>
                      <a:noFill/>
                    </a:ln>
                  </pic:spPr>
                </pic:pic>
              </a:graphicData>
            </a:graphic>
          </wp:inline>
        </w:drawing>
      </w:r>
    </w:p>
    <w:p w14:paraId="281E6B26" w14:textId="77777777" w:rsidR="001C08A5" w:rsidRDefault="00000000">
      <w:pPr>
        <w:jc w:val="center"/>
        <w:rPr>
          <w:i/>
          <w:sz w:val="24"/>
          <w:szCs w:val="24"/>
        </w:rPr>
      </w:pPr>
      <w:r>
        <w:rPr>
          <w:i/>
          <w:noProof/>
          <w:sz w:val="24"/>
          <w:szCs w:val="24"/>
          <w:lang w:eastAsia="ro-RO"/>
        </w:rPr>
        <w:drawing>
          <wp:inline distT="0" distB="0" distL="114300" distR="114300" wp14:anchorId="542784F2" wp14:editId="0B240CF6">
            <wp:extent cx="6047740" cy="1873885"/>
            <wp:effectExtent l="0" t="0" r="10160" b="12065"/>
            <wp:docPr id="26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127"/>
                    <pic:cNvPicPr>
                      <a:picLocks noChangeAspect="1"/>
                    </pic:cNvPicPr>
                  </pic:nvPicPr>
                  <pic:blipFill>
                    <a:blip r:embed="rId369"/>
                    <a:srcRect l="12466" t="2477" r="7411" b="60437"/>
                    <a:stretch>
                      <a:fillRect/>
                    </a:stretch>
                  </pic:blipFill>
                  <pic:spPr>
                    <a:xfrm>
                      <a:off x="0" y="0"/>
                      <a:ext cx="6047740" cy="1873885"/>
                    </a:xfrm>
                    <a:prstGeom prst="rect">
                      <a:avLst/>
                    </a:prstGeom>
                    <a:noFill/>
                    <a:ln>
                      <a:noFill/>
                    </a:ln>
                  </pic:spPr>
                </pic:pic>
              </a:graphicData>
            </a:graphic>
          </wp:inline>
        </w:drawing>
      </w:r>
    </w:p>
    <w:p w14:paraId="32016540" w14:textId="77777777" w:rsidR="001C08A5" w:rsidRDefault="00000000">
      <w:pPr>
        <w:jc w:val="center"/>
        <w:rPr>
          <w:i/>
          <w:sz w:val="24"/>
          <w:szCs w:val="24"/>
        </w:rPr>
      </w:pPr>
      <w:r>
        <w:rPr>
          <w:i/>
          <w:noProof/>
          <w:sz w:val="24"/>
          <w:szCs w:val="24"/>
          <w:lang w:eastAsia="ro-RO"/>
        </w:rPr>
        <w:drawing>
          <wp:inline distT="0" distB="0" distL="114300" distR="114300" wp14:anchorId="0111F311" wp14:editId="28A68169">
            <wp:extent cx="6054725" cy="2407920"/>
            <wp:effectExtent l="0" t="0" r="3175" b="11430"/>
            <wp:docPr id="26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127"/>
                    <pic:cNvPicPr>
                      <a:picLocks noChangeAspect="1"/>
                    </pic:cNvPicPr>
                  </pic:nvPicPr>
                  <pic:blipFill>
                    <a:blip r:embed="rId369"/>
                    <a:srcRect l="12459" t="42566" r="7327" b="9778"/>
                    <a:stretch>
                      <a:fillRect/>
                    </a:stretch>
                  </pic:blipFill>
                  <pic:spPr>
                    <a:xfrm>
                      <a:off x="0" y="0"/>
                      <a:ext cx="6054725" cy="2407920"/>
                    </a:xfrm>
                    <a:prstGeom prst="rect">
                      <a:avLst/>
                    </a:prstGeom>
                    <a:noFill/>
                    <a:ln>
                      <a:noFill/>
                    </a:ln>
                  </pic:spPr>
                </pic:pic>
              </a:graphicData>
            </a:graphic>
          </wp:inline>
        </w:drawing>
      </w:r>
    </w:p>
    <w:p w14:paraId="7A9616EC" w14:textId="77777777" w:rsidR="001C08A5" w:rsidRDefault="001C08A5">
      <w:pPr>
        <w:jc w:val="both"/>
        <w:rPr>
          <w:b/>
          <w:bCs/>
          <w:i/>
          <w:sz w:val="24"/>
          <w:szCs w:val="24"/>
        </w:rPr>
      </w:pPr>
    </w:p>
    <w:p w14:paraId="6AFA514B" w14:textId="77777777" w:rsidR="001C08A5" w:rsidRDefault="00000000">
      <w:pPr>
        <w:jc w:val="both"/>
        <w:rPr>
          <w:b/>
          <w:bCs/>
          <w:i/>
          <w:sz w:val="24"/>
          <w:szCs w:val="24"/>
        </w:rPr>
      </w:pPr>
      <w:r>
        <w:rPr>
          <w:b/>
          <w:bCs/>
          <w:i/>
          <w:noProof/>
          <w:sz w:val="24"/>
          <w:szCs w:val="24"/>
          <w:lang w:eastAsia="ro-RO"/>
        </w:rPr>
        <w:lastRenderedPageBreak/>
        <w:drawing>
          <wp:inline distT="0" distB="0" distL="114300" distR="114300" wp14:anchorId="16BF4F66" wp14:editId="4455A826">
            <wp:extent cx="6047740" cy="2338070"/>
            <wp:effectExtent l="0" t="0" r="10160" b="5080"/>
            <wp:docPr id="2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8"/>
                    <pic:cNvPicPr>
                      <a:picLocks noChangeAspect="1"/>
                    </pic:cNvPicPr>
                  </pic:nvPicPr>
                  <pic:blipFill>
                    <a:blip r:embed="rId370"/>
                    <a:srcRect l="12518" t="20900" r="7361" b="32826"/>
                    <a:stretch>
                      <a:fillRect/>
                    </a:stretch>
                  </pic:blipFill>
                  <pic:spPr>
                    <a:xfrm>
                      <a:off x="0" y="0"/>
                      <a:ext cx="6047740" cy="2338070"/>
                    </a:xfrm>
                    <a:prstGeom prst="rect">
                      <a:avLst/>
                    </a:prstGeom>
                    <a:noFill/>
                    <a:ln>
                      <a:noFill/>
                    </a:ln>
                  </pic:spPr>
                </pic:pic>
              </a:graphicData>
            </a:graphic>
          </wp:inline>
        </w:drawing>
      </w:r>
    </w:p>
    <w:p w14:paraId="200DAA4D" w14:textId="77777777" w:rsidR="001C08A5" w:rsidRDefault="00000000">
      <w:pPr>
        <w:pStyle w:val="Caption"/>
        <w:jc w:val="center"/>
      </w:pPr>
      <w:bookmarkStart w:id="8021" w:name="_Toc3482"/>
      <w:bookmarkStart w:id="8022" w:name="_Toc2827"/>
      <w:bookmarkStart w:id="8023" w:name="_Toc142898570"/>
      <w:bookmarkStart w:id="8024" w:name="_Toc2288"/>
      <w:bookmarkStart w:id="8025" w:name="_Toc162360413"/>
      <w:r>
        <w:t xml:space="preserve">Figura </w:t>
      </w:r>
      <w:r>
        <w:fldChar w:fldCharType="begin"/>
      </w:r>
      <w:r>
        <w:instrText xml:space="preserve"> SEQ Figura \* ARABIC </w:instrText>
      </w:r>
      <w:r>
        <w:fldChar w:fldCharType="separate"/>
      </w:r>
      <w:r>
        <w:t>189</w:t>
      </w:r>
      <w:r>
        <w:fldChar w:fldCharType="end"/>
      </w:r>
      <w:bookmarkStart w:id="8026" w:name="_Toc11995"/>
      <w:bookmarkStart w:id="8027" w:name="_Toc31161"/>
      <w:bookmarkStart w:id="8028" w:name="_Toc5933"/>
      <w:bookmarkStart w:id="8029" w:name="_Toc13658"/>
      <w:bookmarkStart w:id="8030" w:name="_Toc13150"/>
      <w:bookmarkStart w:id="8031" w:name="_Toc9566"/>
      <w:bookmarkStart w:id="8032" w:name="_Toc6291"/>
      <w:bookmarkStart w:id="8033" w:name="_Toc20220"/>
      <w:bookmarkStart w:id="8034" w:name="_Toc29213"/>
      <w:r>
        <w:t xml:space="preserve"> - Exemple tipuri de uși turnante folosite ca și căi de evacuare</w:t>
      </w:r>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p>
    <w:p w14:paraId="474B0FC8" w14:textId="77777777" w:rsidR="001C08A5" w:rsidRDefault="00000000">
      <w:pPr>
        <w:pStyle w:val="Heading4"/>
        <w:rPr>
          <w:sz w:val="24"/>
          <w:szCs w:val="24"/>
        </w:rPr>
      </w:pPr>
      <w:bookmarkStart w:id="8035" w:name="_Toc6705"/>
      <w:bookmarkStart w:id="8036" w:name="_Toc14501"/>
      <w:bookmarkStart w:id="8037" w:name="_Toc3"/>
      <w:bookmarkStart w:id="8038" w:name="_Toc26088"/>
      <w:bookmarkStart w:id="8039" w:name="_Toc30411"/>
      <w:bookmarkStart w:id="8040" w:name="_Toc8426"/>
      <w:bookmarkStart w:id="8041" w:name="_Toc20401"/>
      <w:bookmarkStart w:id="8042" w:name="_Toc2619"/>
      <w:bookmarkStart w:id="8043" w:name="_Toc18344"/>
      <w:bookmarkStart w:id="8044" w:name="_Toc15608"/>
      <w:bookmarkStart w:id="8045" w:name="_Toc12561"/>
      <w:bookmarkStart w:id="8046" w:name="_Toc17785"/>
      <w:bookmarkStart w:id="8047" w:name="_Toc27092"/>
      <w:bookmarkStart w:id="8048" w:name="_Toc11975"/>
      <w:bookmarkStart w:id="8049" w:name="_Toc162355439"/>
      <w:bookmarkStart w:id="8050" w:name="_Toc9041"/>
      <w:bookmarkStart w:id="8051" w:name="_Toc5603"/>
      <w:r>
        <w:rPr>
          <w:sz w:val="24"/>
          <w:szCs w:val="24"/>
        </w:rPr>
        <w:t>Caz special: uși  de evacuare pe balamale sau pivoți care pot fi menținute deschise de dispozitivul electromagnetic sau electromecanic în timpul funcționării normale</w:t>
      </w:r>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p>
    <w:p w14:paraId="25A9544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Dispozitiv electromagnetic sau electromecanic de fixare a ușii - „Dispozitiv electromagnetic sau electromecanic de fixare a ușilor” se referă la un dispozitiv care ține ușile deschise. Acest dispozitiv este conceput pentru a închide automat ușile în caz de incendiu, contribuind astfel la limitarea răspândirii focului și a fumului. Evenimentele care determină declanșarea acestor dispozitive includ detectarea fumului, întreruperea alimentării cu energie electrică a ușii, declanșarea unei alarme de incendiu și declanșarea manuală.</w:t>
      </w:r>
    </w:p>
    <w:p w14:paraId="6C123154" w14:textId="77777777" w:rsidR="001C08A5" w:rsidRDefault="00000000">
      <w:pPr>
        <w:jc w:val="both"/>
        <w:rPr>
          <w:rFonts w:eastAsia="Times New Roman"/>
          <w:i/>
          <w:sz w:val="24"/>
          <w:szCs w:val="24"/>
        </w:rPr>
      </w:pPr>
      <w:r>
        <w:rPr>
          <w:rFonts w:eastAsia="Times New Roman"/>
          <w:i/>
          <w:sz w:val="24"/>
          <w:szCs w:val="24"/>
        </w:rPr>
        <w:t>-</w:t>
      </w:r>
      <w:r>
        <w:rPr>
          <w:rFonts w:eastAsia="Times New Roman"/>
          <w:i/>
          <w:sz w:val="24"/>
          <w:szCs w:val="24"/>
        </w:rPr>
        <w:tab/>
        <w:t xml:space="preserve">dispozitiv de fixare a ușilor electromagnetic / mecanic - a se vedea </w:t>
      </w:r>
    </w:p>
    <w:p w14:paraId="10FB5D0D" w14:textId="77777777" w:rsidR="001C08A5" w:rsidRDefault="00000000">
      <w:pPr>
        <w:jc w:val="both"/>
        <w:rPr>
          <w:rFonts w:eastAsia="Times New Roman"/>
          <w:i/>
          <w:sz w:val="24"/>
          <w:szCs w:val="24"/>
        </w:rPr>
      </w:pPr>
      <w:r>
        <w:rPr>
          <w:rFonts w:eastAsia="Times New Roman"/>
          <w:i/>
          <w:sz w:val="24"/>
          <w:szCs w:val="24"/>
        </w:rPr>
        <w:t>-</w:t>
      </w:r>
      <w:r>
        <w:rPr>
          <w:rFonts w:eastAsia="Times New Roman"/>
          <w:i/>
          <w:sz w:val="24"/>
          <w:szCs w:val="24"/>
        </w:rPr>
        <w:tab/>
        <w:t>folosite pentru uși care poate fi menținute deschise de dispozitivul electromagnetic sau electromecanic în timpul funcționării normale.</w:t>
      </w:r>
    </w:p>
    <w:p w14:paraId="162D872E" w14:textId="77777777" w:rsidR="001C08A5" w:rsidRDefault="001C08A5">
      <w:pPr>
        <w:jc w:val="both"/>
        <w:rPr>
          <w:rFonts w:eastAsia="Times New Roman"/>
          <w:i/>
          <w:sz w:val="24"/>
          <w:szCs w:val="24"/>
        </w:rPr>
      </w:pPr>
    </w:p>
    <w:p w14:paraId="6BA79FD0"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Dispozitiv de deblocare electromagnetică sau electromecanică a ușii - „Dispozitiv de blocare electromagnetic sau electromecanic” se referă la un dispozitiv care asigură controlul accesului și implicit al evacuării și care ține ușile închise. Acest dispozitiv este conceput și pentru a debloca automat ușile în caz de incendiu, contribuind astfel la facilitarea evacuării. Un dispozitiv de deblocare electromagnetică / electromecanică trebuie să fie prevăzut cu un mijloc de anulare manuală (de deblocare cu anulare a oricărei alte comenzi) situat în spațiul din care se face evacuarea.</w:t>
      </w:r>
    </w:p>
    <w:p w14:paraId="18AADFEF" w14:textId="77777777" w:rsidR="001C08A5" w:rsidRDefault="00000000">
      <w:pPr>
        <w:jc w:val="both"/>
        <w:rPr>
          <w:rFonts w:eastAsia="Times New Roman"/>
          <w:i/>
          <w:sz w:val="22"/>
          <w:szCs w:val="22"/>
        </w:rPr>
      </w:pPr>
      <w:r>
        <w:rPr>
          <w:rFonts w:eastAsia="Times New Roman"/>
          <w:i/>
          <w:sz w:val="22"/>
          <w:szCs w:val="22"/>
        </w:rPr>
        <w:t>Notă: Trebuie folosite cu control acces în timpul funcționării normale, cu deblocare automată a dispozitivului de fixare deschisă a ușii în caz de incendiu</w:t>
      </w:r>
    </w:p>
    <w:p w14:paraId="6E5D808E"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2520A2D2" wp14:editId="70130862">
            <wp:extent cx="5875655" cy="2042795"/>
            <wp:effectExtent l="0" t="0" r="10795" b="14605"/>
            <wp:docPr id="26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129"/>
                    <pic:cNvPicPr>
                      <a:picLocks noChangeAspect="1"/>
                    </pic:cNvPicPr>
                  </pic:nvPicPr>
                  <pic:blipFill>
                    <a:blip r:embed="rId371"/>
                    <a:srcRect l="14587" t="39186" r="7571" b="20384"/>
                    <a:stretch>
                      <a:fillRect/>
                    </a:stretch>
                  </pic:blipFill>
                  <pic:spPr>
                    <a:xfrm>
                      <a:off x="0" y="0"/>
                      <a:ext cx="5875655" cy="2042795"/>
                    </a:xfrm>
                    <a:prstGeom prst="rect">
                      <a:avLst/>
                    </a:prstGeom>
                    <a:noFill/>
                    <a:ln>
                      <a:noFill/>
                    </a:ln>
                  </pic:spPr>
                </pic:pic>
              </a:graphicData>
            </a:graphic>
          </wp:inline>
        </w:drawing>
      </w:r>
    </w:p>
    <w:p w14:paraId="1419B249" w14:textId="77777777" w:rsidR="001C08A5" w:rsidRDefault="00000000">
      <w:pPr>
        <w:pStyle w:val="Caption"/>
        <w:jc w:val="center"/>
      </w:pPr>
      <w:bookmarkStart w:id="8052" w:name="_Toc23615"/>
      <w:bookmarkStart w:id="8053" w:name="_Toc162360414"/>
      <w:bookmarkStart w:id="8054" w:name="_Toc27801"/>
      <w:bookmarkStart w:id="8055" w:name="_Toc142898571"/>
      <w:r>
        <w:t xml:space="preserve">Figura </w:t>
      </w:r>
      <w:r>
        <w:fldChar w:fldCharType="begin"/>
      </w:r>
      <w:r>
        <w:instrText xml:space="preserve"> SEQ Figura \* ARABIC </w:instrText>
      </w:r>
      <w:r>
        <w:fldChar w:fldCharType="separate"/>
      </w:r>
      <w:r>
        <w:t>190</w:t>
      </w:r>
      <w:r>
        <w:fldChar w:fldCharType="end"/>
      </w:r>
      <w:bookmarkStart w:id="8056" w:name="_Toc1839"/>
      <w:bookmarkStart w:id="8057" w:name="_Toc335"/>
      <w:bookmarkStart w:id="8058" w:name="_Toc25228"/>
      <w:bookmarkStart w:id="8059" w:name="_Toc7723"/>
      <w:bookmarkStart w:id="8060" w:name="_Toc195"/>
      <w:bookmarkStart w:id="8061" w:name="_Toc27476"/>
      <w:bookmarkStart w:id="8062" w:name="_Toc14877"/>
      <w:bookmarkStart w:id="8063" w:name="_Toc21195"/>
      <w:bookmarkStart w:id="8064" w:name="_Toc5304"/>
      <w:r>
        <w:t xml:space="preserve"> - Ușă ținută deschisă de dispozitivul electromagnetic sau electromecanic, cu inchidere în caz de incendiu</w:t>
      </w:r>
      <w:bookmarkEnd w:id="8052"/>
      <w:bookmarkEnd w:id="8053"/>
      <w:bookmarkEnd w:id="8054"/>
      <w:bookmarkEnd w:id="8055"/>
      <w:bookmarkEnd w:id="8056"/>
      <w:bookmarkEnd w:id="8057"/>
      <w:bookmarkEnd w:id="8058"/>
      <w:bookmarkEnd w:id="8059"/>
      <w:bookmarkEnd w:id="8060"/>
      <w:bookmarkEnd w:id="8061"/>
      <w:bookmarkEnd w:id="8062"/>
      <w:bookmarkEnd w:id="8063"/>
      <w:bookmarkEnd w:id="8064"/>
    </w:p>
    <w:p w14:paraId="38D9672C" w14:textId="77777777" w:rsidR="001C08A5" w:rsidRDefault="00000000">
      <w:pPr>
        <w:pStyle w:val="BodyText"/>
        <w:rPr>
          <w:rFonts w:eastAsia="Times New Roman"/>
          <w:b w:val="0"/>
          <w:bCs w:val="0"/>
        </w:rPr>
      </w:pPr>
      <w:r>
        <w:rPr>
          <w:rFonts w:eastAsia="Times New Roman"/>
          <w:b w:val="0"/>
          <w:bCs w:val="0"/>
        </w:rPr>
        <w:t xml:space="preserve"> </w:t>
      </w:r>
    </w:p>
    <w:p w14:paraId="0757D5DC"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lastRenderedPageBreak/>
        <w:t xml:space="preserve">Ușile prevăzute cu dispozitive de ieșire împotriva panicii se prevaă obligatoriu în situațiile prevăzute în normativ. Uși prevăzute cu dispozitive de ieșire împotriva panicii precum și uși prevăzute cu dispozitive de ieșire de urgență se pot prevedea și suplimentar (din considerente anti furt sau alte considerente) conform prevederi din </w:t>
      </w:r>
      <w:r>
        <w:rPr>
          <w:rFonts w:eastAsia="Times New Roman"/>
          <w:b/>
          <w:bCs/>
          <w:i/>
          <w:iCs/>
          <w:sz w:val="24"/>
          <w:szCs w:val="24"/>
        </w:rPr>
        <w:fldChar w:fldCharType="begin"/>
      </w:r>
      <w:r>
        <w:rPr>
          <w:rFonts w:eastAsia="Times New Roman"/>
          <w:b/>
          <w:bCs/>
          <w:i/>
          <w:iCs/>
          <w:sz w:val="24"/>
          <w:szCs w:val="24"/>
        </w:rPr>
        <w:instrText xml:space="preserve"> REF _Ref6516 \h </w:instrText>
      </w:r>
      <w:r>
        <w:rPr>
          <w:rFonts w:eastAsia="Times New Roman"/>
          <w:b/>
          <w:bCs/>
          <w:i/>
          <w:iCs/>
          <w:sz w:val="24"/>
          <w:szCs w:val="24"/>
        </w:rPr>
      </w:r>
      <w:r>
        <w:rPr>
          <w:rFonts w:eastAsia="Times New Roman"/>
          <w:b/>
          <w:bCs/>
          <w:i/>
          <w:iCs/>
          <w:sz w:val="24"/>
          <w:szCs w:val="24"/>
        </w:rPr>
        <w:fldChar w:fldCharType="separate"/>
      </w:r>
      <w:r>
        <w:t>Tabelul 128</w:t>
      </w:r>
      <w:r>
        <w:rPr>
          <w:rFonts w:eastAsia="Times New Roman"/>
          <w:b/>
          <w:bCs/>
          <w:i/>
          <w:iCs/>
          <w:sz w:val="24"/>
          <w:szCs w:val="24"/>
        </w:rPr>
        <w:fldChar w:fldCharType="end"/>
      </w:r>
      <w:r>
        <w:rPr>
          <w:rFonts w:eastAsia="Times New Roman"/>
          <w:i/>
          <w:sz w:val="24"/>
        </w:rPr>
        <w:t>.</w:t>
      </w:r>
    </w:p>
    <w:p w14:paraId="4FB4085A" w14:textId="77777777" w:rsidR="001C08A5" w:rsidRDefault="001C08A5">
      <w:pPr>
        <w:pStyle w:val="BodyText"/>
        <w:rPr>
          <w:rFonts w:eastAsia="Times New Roman"/>
          <w:b w:val="0"/>
          <w:bCs w:val="0"/>
        </w:rPr>
      </w:pPr>
    </w:p>
    <w:p w14:paraId="48B13DB6" w14:textId="77777777" w:rsidR="001C08A5" w:rsidRDefault="00000000">
      <w:pPr>
        <w:pStyle w:val="Caption"/>
        <w:rPr>
          <w:bCs/>
          <w:lang w:val="en-GB" w:eastAsia="en-GB"/>
        </w:rPr>
      </w:pPr>
      <w:bookmarkStart w:id="8065" w:name="_Ref6516"/>
      <w:bookmarkStart w:id="8066" w:name="_Toc162360178"/>
      <w:r>
        <w:t xml:space="preserve">Tabelul </w:t>
      </w:r>
      <w:r>
        <w:fldChar w:fldCharType="begin"/>
      </w:r>
      <w:r>
        <w:instrText xml:space="preserve"> SEQ Tabelul \* ARABIC </w:instrText>
      </w:r>
      <w:r>
        <w:fldChar w:fldCharType="separate"/>
      </w:r>
      <w:r>
        <w:t>128</w:t>
      </w:r>
      <w:r>
        <w:fldChar w:fldCharType="end"/>
      </w:r>
      <w:bookmarkStart w:id="8067" w:name="_Toc3265"/>
      <w:bookmarkStart w:id="8068" w:name="_Toc30792"/>
      <w:bookmarkStart w:id="8069" w:name="_Toc12823"/>
      <w:bookmarkStart w:id="8070" w:name="_Toc23121"/>
      <w:bookmarkStart w:id="8071" w:name="_Toc23520"/>
      <w:bookmarkStart w:id="8072" w:name="_Toc11063"/>
      <w:bookmarkStart w:id="8073" w:name="_Toc26950"/>
      <w:bookmarkStart w:id="8074" w:name="_Toc29433"/>
      <w:bookmarkStart w:id="8075" w:name="_Toc3491"/>
      <w:bookmarkStart w:id="8076" w:name="_Toc12583"/>
      <w:bookmarkStart w:id="8077" w:name="_Toc10317"/>
      <w:bookmarkEnd w:id="8065"/>
      <w:r>
        <w:t xml:space="preserve">: </w:t>
      </w:r>
      <w:r>
        <w:rPr>
          <w:bCs/>
          <w:lang w:val="en-GB" w:eastAsia="en-GB"/>
        </w:rPr>
        <w:t>Alegerea dispozitivului de ieșire pentru uși de evacuare în funcție de utilizare</w:t>
      </w:r>
      <w:bookmarkEnd w:id="8066"/>
      <w:bookmarkEnd w:id="8067"/>
      <w:bookmarkEnd w:id="8068"/>
      <w:bookmarkEnd w:id="8069"/>
      <w:bookmarkEnd w:id="8070"/>
      <w:bookmarkEnd w:id="8071"/>
      <w:bookmarkEnd w:id="8072"/>
      <w:bookmarkEnd w:id="8073"/>
      <w:bookmarkEnd w:id="8074"/>
      <w:bookmarkEnd w:id="8075"/>
      <w:bookmarkEnd w:id="8076"/>
      <w:bookmarkEnd w:id="8077"/>
    </w:p>
    <w:p w14:paraId="529940DD" w14:textId="77777777" w:rsidR="001C08A5" w:rsidRDefault="001C08A5">
      <w:pPr>
        <w:rPr>
          <w:lang w:val="en-GB" w:eastAsia="en-GB"/>
        </w:rPr>
      </w:pPr>
    </w:p>
    <w:tbl>
      <w:tblPr>
        <w:tblStyle w:val="TableGrid"/>
        <w:tblW w:w="0" w:type="auto"/>
        <w:tblInd w:w="180" w:type="dxa"/>
        <w:tblLook w:val="04A0" w:firstRow="1" w:lastRow="0" w:firstColumn="1" w:lastColumn="0" w:noHBand="0" w:noVBand="1"/>
      </w:tblPr>
      <w:tblGrid>
        <w:gridCol w:w="1714"/>
        <w:gridCol w:w="2054"/>
        <w:gridCol w:w="2559"/>
        <w:gridCol w:w="1561"/>
        <w:gridCol w:w="1561"/>
      </w:tblGrid>
      <w:tr w:rsidR="001C08A5" w14:paraId="69304633" w14:textId="77777777">
        <w:trPr>
          <w:tblHeader/>
        </w:trPr>
        <w:tc>
          <w:tcPr>
            <w:tcW w:w="3846" w:type="dxa"/>
            <w:gridSpan w:val="2"/>
            <w:shd w:val="clear" w:color="auto" w:fill="BEBEBE"/>
            <w:vAlign w:val="center"/>
          </w:tcPr>
          <w:p w14:paraId="5C5A3EA4" w14:textId="77777777" w:rsidR="001C08A5" w:rsidRDefault="00000000">
            <w:pPr>
              <w:jc w:val="center"/>
              <w:rPr>
                <w:rFonts w:eastAsia="Verdana"/>
                <w:i/>
                <w:sz w:val="22"/>
                <w:szCs w:val="22"/>
              </w:rPr>
            </w:pPr>
            <w:r>
              <w:rPr>
                <w:rFonts w:eastAsia="Verdana"/>
                <w:b/>
                <w:bCs/>
                <w:i/>
                <w:sz w:val="22"/>
                <w:szCs w:val="22"/>
                <w:lang w:val="en-US" w:eastAsia="en-GB" w:bidi="en-GB"/>
              </w:rPr>
              <w:t>Functiune</w:t>
            </w:r>
          </w:p>
        </w:tc>
        <w:tc>
          <w:tcPr>
            <w:tcW w:w="2707" w:type="dxa"/>
            <w:shd w:val="clear" w:color="auto" w:fill="BEBEBE"/>
            <w:vAlign w:val="center"/>
          </w:tcPr>
          <w:p w14:paraId="0D220A0D" w14:textId="77777777" w:rsidR="001C08A5" w:rsidRDefault="00000000">
            <w:pPr>
              <w:jc w:val="center"/>
              <w:rPr>
                <w:rFonts w:eastAsia="Verdana"/>
                <w:i/>
                <w:sz w:val="22"/>
                <w:szCs w:val="22"/>
              </w:rPr>
            </w:pPr>
            <w:r>
              <w:rPr>
                <w:rFonts w:eastAsia="Verdana"/>
                <w:b/>
                <w:bCs/>
                <w:i/>
                <w:sz w:val="22"/>
                <w:szCs w:val="22"/>
                <w:lang w:val="en-GB" w:eastAsia="en-GB" w:bidi="en-GB"/>
              </w:rPr>
              <w:t>Poziția ușii</w:t>
            </w:r>
          </w:p>
          <w:p w14:paraId="6DE83A7C" w14:textId="77777777" w:rsidR="001C08A5" w:rsidRDefault="001C08A5">
            <w:pPr>
              <w:jc w:val="center"/>
              <w:rPr>
                <w:rFonts w:eastAsia="Verdana"/>
                <w:i/>
                <w:sz w:val="22"/>
                <w:szCs w:val="22"/>
              </w:rPr>
            </w:pPr>
          </w:p>
          <w:p w14:paraId="011895DF" w14:textId="77777777" w:rsidR="001C08A5" w:rsidRDefault="001C08A5">
            <w:pPr>
              <w:jc w:val="center"/>
              <w:rPr>
                <w:rFonts w:eastAsia="Verdana"/>
                <w:i/>
                <w:sz w:val="22"/>
                <w:szCs w:val="22"/>
              </w:rPr>
            </w:pPr>
          </w:p>
        </w:tc>
        <w:tc>
          <w:tcPr>
            <w:tcW w:w="1561" w:type="dxa"/>
            <w:shd w:val="clear" w:color="auto" w:fill="BEBEBE"/>
            <w:vAlign w:val="center"/>
          </w:tcPr>
          <w:p w14:paraId="273A3201" w14:textId="77777777" w:rsidR="001C08A5" w:rsidRDefault="00000000">
            <w:pPr>
              <w:jc w:val="center"/>
              <w:rPr>
                <w:rFonts w:eastAsia="Verdana"/>
                <w:i/>
                <w:sz w:val="22"/>
                <w:szCs w:val="22"/>
              </w:rPr>
            </w:pPr>
            <w:r>
              <w:rPr>
                <w:rFonts w:eastAsia="Verdana"/>
                <w:b/>
                <w:bCs/>
                <w:i/>
                <w:sz w:val="22"/>
                <w:szCs w:val="22"/>
                <w:lang w:val="en-GB" w:eastAsia="en-GB" w:bidi="en-GB"/>
              </w:rPr>
              <w:t>Dispozitiv de ieșire la panică (</w:t>
            </w:r>
            <w:r>
              <w:rPr>
                <w:rFonts w:eastAsia="Verdana"/>
                <w:b/>
                <w:bCs/>
                <w:i/>
                <w:sz w:val="22"/>
                <w:szCs w:val="22"/>
                <w:lang w:eastAsia="en-GB" w:bidi="en-GB"/>
              </w:rPr>
              <w:t xml:space="preserve">SR </w:t>
            </w:r>
            <w:r>
              <w:rPr>
                <w:rFonts w:eastAsia="Verdana"/>
                <w:b/>
                <w:bCs/>
                <w:i/>
                <w:sz w:val="22"/>
                <w:szCs w:val="22"/>
                <w:lang w:val="en-GB" w:eastAsia="en-GB" w:bidi="en-GB"/>
              </w:rPr>
              <w:t>EN 1125)</w:t>
            </w:r>
          </w:p>
        </w:tc>
        <w:tc>
          <w:tcPr>
            <w:tcW w:w="1561" w:type="dxa"/>
            <w:shd w:val="clear" w:color="auto" w:fill="BEBEBE"/>
            <w:vAlign w:val="center"/>
          </w:tcPr>
          <w:p w14:paraId="7E9D075C" w14:textId="77777777" w:rsidR="001C08A5" w:rsidRDefault="00000000">
            <w:pPr>
              <w:jc w:val="center"/>
              <w:rPr>
                <w:rFonts w:eastAsia="Verdana"/>
                <w:i/>
                <w:sz w:val="22"/>
                <w:szCs w:val="22"/>
              </w:rPr>
            </w:pPr>
            <w:r>
              <w:rPr>
                <w:rFonts w:eastAsia="Verdana"/>
                <w:b/>
                <w:bCs/>
                <w:i/>
                <w:sz w:val="22"/>
                <w:szCs w:val="22"/>
                <w:lang w:val="en-GB" w:eastAsia="en-GB" w:bidi="en-GB"/>
              </w:rPr>
              <w:t>Dispozitiv de ieșire de urgență (</w:t>
            </w:r>
            <w:r>
              <w:rPr>
                <w:rFonts w:eastAsia="Verdana"/>
                <w:b/>
                <w:bCs/>
                <w:i/>
                <w:sz w:val="22"/>
                <w:szCs w:val="22"/>
                <w:lang w:eastAsia="en-GB" w:bidi="en-GB"/>
              </w:rPr>
              <w:t xml:space="preserve">SR </w:t>
            </w:r>
            <w:r>
              <w:rPr>
                <w:rFonts w:eastAsia="Verdana"/>
                <w:b/>
                <w:bCs/>
                <w:i/>
                <w:sz w:val="22"/>
                <w:szCs w:val="22"/>
                <w:lang w:val="en-GB" w:eastAsia="en-GB" w:bidi="en-GB"/>
              </w:rPr>
              <w:t>EN 179)</w:t>
            </w:r>
          </w:p>
        </w:tc>
      </w:tr>
      <w:tr w:rsidR="001C08A5" w14:paraId="7B329C62" w14:textId="77777777">
        <w:tc>
          <w:tcPr>
            <w:tcW w:w="1738" w:type="dxa"/>
            <w:vAlign w:val="center"/>
          </w:tcPr>
          <w:p w14:paraId="7C01F8CD"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GB" w:eastAsia="en-GB" w:bidi="en-GB"/>
              </w:rPr>
              <w:t>Clădiri de locuit supraterane</w:t>
            </w:r>
          </w:p>
        </w:tc>
        <w:tc>
          <w:tcPr>
            <w:tcW w:w="2108" w:type="dxa"/>
            <w:vAlign w:val="center"/>
          </w:tcPr>
          <w:p w14:paraId="72B2CE59"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Locuințe alternative (Cămine / dormitoare comune ori camere de cămin / internat</w:t>
            </w:r>
            <w:r>
              <w:rPr>
                <w:rFonts w:eastAsia="Verdana"/>
                <w:b/>
                <w:bCs/>
                <w:i/>
                <w:sz w:val="22"/>
                <w:szCs w:val="22"/>
                <w:lang w:val="en-GB" w:eastAsia="en-GB" w:bidi="en-GB"/>
              </w:rPr>
              <w:t xml:space="preserve">, </w:t>
            </w:r>
            <w:r>
              <w:rPr>
                <w:rFonts w:eastAsia="Verdana"/>
                <w:b/>
                <w:bCs/>
                <w:i/>
                <w:sz w:val="22"/>
                <w:szCs w:val="22"/>
                <w:lang w:val="en-US" w:eastAsia="en-GB" w:bidi="en-GB"/>
              </w:rPr>
              <w:t>apartamente de serviciu)</w:t>
            </w:r>
          </w:p>
        </w:tc>
        <w:tc>
          <w:tcPr>
            <w:tcW w:w="2707" w:type="dxa"/>
            <w:vAlign w:val="center"/>
          </w:tcPr>
          <w:p w14:paraId="50A33287"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La scară/ fiecare nivel și spre exterior*</w:t>
            </w:r>
          </w:p>
        </w:tc>
        <w:tc>
          <w:tcPr>
            <w:tcW w:w="1561" w:type="dxa"/>
            <w:vAlign w:val="center"/>
          </w:tcPr>
          <w:p w14:paraId="1FD64B2C" w14:textId="77777777" w:rsidR="001C08A5" w:rsidRDefault="001C08A5">
            <w:pPr>
              <w:spacing w:after="60" w:line="240" w:lineRule="exact"/>
              <w:jc w:val="center"/>
              <w:rPr>
                <w:rFonts w:eastAsia="Verdana"/>
                <w:i/>
                <w:sz w:val="22"/>
                <w:szCs w:val="22"/>
              </w:rPr>
            </w:pPr>
          </w:p>
        </w:tc>
        <w:tc>
          <w:tcPr>
            <w:tcW w:w="1561" w:type="dxa"/>
            <w:vAlign w:val="center"/>
          </w:tcPr>
          <w:p w14:paraId="7B0EA090"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X</w:t>
            </w:r>
          </w:p>
        </w:tc>
      </w:tr>
      <w:tr w:rsidR="001C08A5" w14:paraId="5DF351AD" w14:textId="77777777">
        <w:tc>
          <w:tcPr>
            <w:tcW w:w="1738" w:type="dxa"/>
            <w:vMerge w:val="restart"/>
            <w:vAlign w:val="center"/>
          </w:tcPr>
          <w:p w14:paraId="5FA66757"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GB" w:eastAsia="en-GB" w:bidi="en-GB"/>
              </w:rPr>
              <w:t>Clădiri administrative supraterane</w:t>
            </w:r>
          </w:p>
        </w:tc>
        <w:tc>
          <w:tcPr>
            <w:tcW w:w="2108" w:type="dxa"/>
            <w:vMerge w:val="restart"/>
            <w:vAlign w:val="center"/>
          </w:tcPr>
          <w:p w14:paraId="0DD76BAB"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&lt;2000 m</w:t>
            </w:r>
            <w:r>
              <w:rPr>
                <w:rFonts w:eastAsia="Verdana"/>
                <w:b/>
                <w:bCs/>
                <w:i/>
                <w:sz w:val="22"/>
                <w:szCs w:val="22"/>
                <w:vertAlign w:val="superscript"/>
                <w:lang w:val="en-US" w:eastAsia="en-GB" w:bidi="en-GB"/>
              </w:rPr>
              <w:t>2</w:t>
            </w:r>
            <w:r>
              <w:rPr>
                <w:rFonts w:eastAsia="Verdana"/>
                <w:b/>
                <w:bCs/>
                <w:i/>
                <w:sz w:val="22"/>
                <w:szCs w:val="22"/>
                <w:lang w:val="en-US" w:eastAsia="en-GB" w:bidi="en-GB"/>
              </w:rPr>
              <w:t xml:space="preserve"> (Ad)</w:t>
            </w:r>
          </w:p>
        </w:tc>
        <w:tc>
          <w:tcPr>
            <w:tcW w:w="2707" w:type="dxa"/>
            <w:vAlign w:val="bottom"/>
          </w:tcPr>
          <w:p w14:paraId="1C4A4AA7"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 fiecare nivel</w:t>
            </w:r>
          </w:p>
        </w:tc>
        <w:tc>
          <w:tcPr>
            <w:tcW w:w="1561" w:type="dxa"/>
            <w:vAlign w:val="center"/>
          </w:tcPr>
          <w:p w14:paraId="691E9FBD" w14:textId="77777777" w:rsidR="001C08A5" w:rsidRDefault="001C08A5">
            <w:pPr>
              <w:spacing w:after="60" w:line="240" w:lineRule="exact"/>
              <w:jc w:val="center"/>
              <w:rPr>
                <w:rFonts w:eastAsia="Verdana"/>
                <w:i/>
                <w:sz w:val="22"/>
                <w:szCs w:val="22"/>
              </w:rPr>
            </w:pPr>
          </w:p>
        </w:tc>
        <w:tc>
          <w:tcPr>
            <w:tcW w:w="1561" w:type="dxa"/>
            <w:vAlign w:val="center"/>
          </w:tcPr>
          <w:p w14:paraId="56E302E8"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X (recomandare)</w:t>
            </w:r>
          </w:p>
        </w:tc>
      </w:tr>
      <w:tr w:rsidR="001C08A5" w14:paraId="335245FE" w14:textId="77777777">
        <w:tc>
          <w:tcPr>
            <w:tcW w:w="1738" w:type="dxa"/>
            <w:vMerge/>
            <w:vAlign w:val="center"/>
          </w:tcPr>
          <w:p w14:paraId="5A913A0E" w14:textId="77777777" w:rsidR="001C08A5" w:rsidRDefault="001C08A5">
            <w:pPr>
              <w:jc w:val="center"/>
              <w:rPr>
                <w:rFonts w:eastAsia="Verdana"/>
                <w:i/>
                <w:sz w:val="22"/>
                <w:szCs w:val="22"/>
              </w:rPr>
            </w:pPr>
          </w:p>
        </w:tc>
        <w:tc>
          <w:tcPr>
            <w:tcW w:w="2108" w:type="dxa"/>
            <w:vMerge/>
            <w:vAlign w:val="center"/>
          </w:tcPr>
          <w:p w14:paraId="106D0D9F" w14:textId="77777777" w:rsidR="001C08A5" w:rsidRDefault="001C08A5">
            <w:pPr>
              <w:spacing w:after="60" w:line="240" w:lineRule="exact"/>
              <w:jc w:val="center"/>
              <w:rPr>
                <w:rFonts w:eastAsia="Verdana"/>
                <w:i/>
                <w:sz w:val="22"/>
                <w:szCs w:val="22"/>
                <w:lang w:val="en-US"/>
              </w:rPr>
            </w:pPr>
          </w:p>
        </w:tc>
        <w:tc>
          <w:tcPr>
            <w:tcW w:w="2707" w:type="dxa"/>
            <w:vAlign w:val="bottom"/>
          </w:tcPr>
          <w:p w14:paraId="42B03AC5"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De la scară spre exterior*</w:t>
            </w:r>
          </w:p>
        </w:tc>
        <w:tc>
          <w:tcPr>
            <w:tcW w:w="1561" w:type="dxa"/>
            <w:vAlign w:val="center"/>
          </w:tcPr>
          <w:p w14:paraId="7DCB5F45" w14:textId="77777777" w:rsidR="001C08A5" w:rsidRDefault="001C08A5">
            <w:pPr>
              <w:jc w:val="center"/>
              <w:rPr>
                <w:rFonts w:eastAsia="Verdana"/>
                <w:i/>
                <w:sz w:val="22"/>
                <w:szCs w:val="22"/>
              </w:rPr>
            </w:pPr>
          </w:p>
        </w:tc>
        <w:tc>
          <w:tcPr>
            <w:tcW w:w="1561" w:type="dxa"/>
            <w:vAlign w:val="center"/>
          </w:tcPr>
          <w:p w14:paraId="7E12D3BF" w14:textId="77777777" w:rsidR="001C08A5" w:rsidRDefault="00000000">
            <w:pPr>
              <w:spacing w:line="190" w:lineRule="exact"/>
              <w:jc w:val="center"/>
              <w:rPr>
                <w:rFonts w:eastAsia="Verdana"/>
                <w:i/>
                <w:sz w:val="22"/>
                <w:szCs w:val="22"/>
                <w:lang w:val="en-US"/>
              </w:rPr>
            </w:pPr>
            <w:r>
              <w:rPr>
                <w:rFonts w:eastAsia="Verdana"/>
                <w:b/>
                <w:bCs/>
                <w:i/>
                <w:sz w:val="22"/>
                <w:szCs w:val="22"/>
                <w:lang w:val="en-US" w:eastAsia="en-GB" w:bidi="en-GB"/>
              </w:rPr>
              <w:t>X (recomandare)</w:t>
            </w:r>
          </w:p>
        </w:tc>
      </w:tr>
      <w:tr w:rsidR="001C08A5" w14:paraId="7F027F10" w14:textId="77777777">
        <w:tc>
          <w:tcPr>
            <w:tcW w:w="1738" w:type="dxa"/>
            <w:vMerge/>
            <w:vAlign w:val="center"/>
          </w:tcPr>
          <w:p w14:paraId="7653E1A2" w14:textId="77777777" w:rsidR="001C08A5" w:rsidRDefault="001C08A5">
            <w:pPr>
              <w:jc w:val="center"/>
              <w:rPr>
                <w:rFonts w:eastAsia="Verdana"/>
                <w:i/>
                <w:sz w:val="22"/>
                <w:szCs w:val="22"/>
              </w:rPr>
            </w:pPr>
          </w:p>
        </w:tc>
        <w:tc>
          <w:tcPr>
            <w:tcW w:w="2108" w:type="dxa"/>
            <w:vMerge/>
            <w:vAlign w:val="center"/>
          </w:tcPr>
          <w:p w14:paraId="0B04052E" w14:textId="77777777" w:rsidR="001C08A5" w:rsidRDefault="001C08A5">
            <w:pPr>
              <w:spacing w:after="60" w:line="240" w:lineRule="exact"/>
              <w:jc w:val="center"/>
              <w:rPr>
                <w:rFonts w:eastAsia="Verdana"/>
                <w:i/>
                <w:sz w:val="22"/>
                <w:szCs w:val="22"/>
                <w:lang w:val="en-US"/>
              </w:rPr>
            </w:pPr>
          </w:p>
        </w:tc>
        <w:tc>
          <w:tcPr>
            <w:tcW w:w="2707" w:type="dxa"/>
            <w:vAlign w:val="bottom"/>
          </w:tcPr>
          <w:p w14:paraId="34477CF8"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Spre exterior*</w:t>
            </w:r>
          </w:p>
        </w:tc>
        <w:tc>
          <w:tcPr>
            <w:tcW w:w="1561" w:type="dxa"/>
            <w:vAlign w:val="center"/>
          </w:tcPr>
          <w:p w14:paraId="359205F8" w14:textId="77777777" w:rsidR="001C08A5" w:rsidRDefault="001C08A5">
            <w:pPr>
              <w:jc w:val="center"/>
              <w:rPr>
                <w:rFonts w:eastAsia="Verdana"/>
                <w:i/>
                <w:sz w:val="22"/>
                <w:szCs w:val="22"/>
              </w:rPr>
            </w:pPr>
          </w:p>
        </w:tc>
        <w:tc>
          <w:tcPr>
            <w:tcW w:w="1561" w:type="dxa"/>
            <w:vAlign w:val="center"/>
          </w:tcPr>
          <w:p w14:paraId="3DFBC6B2" w14:textId="77777777" w:rsidR="001C08A5" w:rsidRDefault="00000000">
            <w:pPr>
              <w:spacing w:line="190" w:lineRule="exact"/>
              <w:jc w:val="center"/>
              <w:rPr>
                <w:rFonts w:eastAsia="Verdana"/>
                <w:i/>
                <w:sz w:val="22"/>
                <w:szCs w:val="22"/>
                <w:lang w:val="en-US"/>
              </w:rPr>
            </w:pPr>
            <w:r>
              <w:rPr>
                <w:rFonts w:eastAsia="Verdana"/>
                <w:b/>
                <w:bCs/>
                <w:i/>
                <w:sz w:val="22"/>
                <w:szCs w:val="22"/>
                <w:lang w:val="en-US" w:eastAsia="en-GB" w:bidi="en-GB"/>
              </w:rPr>
              <w:t>X (recomandare)</w:t>
            </w:r>
          </w:p>
        </w:tc>
      </w:tr>
      <w:tr w:rsidR="001C08A5" w14:paraId="35CCE5FE" w14:textId="77777777">
        <w:tc>
          <w:tcPr>
            <w:tcW w:w="1738" w:type="dxa"/>
            <w:vMerge/>
            <w:vAlign w:val="center"/>
          </w:tcPr>
          <w:p w14:paraId="1DD1984D" w14:textId="77777777" w:rsidR="001C08A5" w:rsidRDefault="001C08A5">
            <w:pPr>
              <w:spacing w:after="60" w:line="240" w:lineRule="exact"/>
              <w:jc w:val="center"/>
              <w:rPr>
                <w:rFonts w:eastAsia="Verdana"/>
                <w:i/>
                <w:sz w:val="22"/>
                <w:szCs w:val="22"/>
              </w:rPr>
            </w:pPr>
          </w:p>
        </w:tc>
        <w:tc>
          <w:tcPr>
            <w:tcW w:w="2108" w:type="dxa"/>
            <w:vMerge w:val="restart"/>
            <w:vAlign w:val="center"/>
          </w:tcPr>
          <w:p w14:paraId="0CCC95D2"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&gt; 2000 m</w:t>
            </w:r>
            <w:r>
              <w:rPr>
                <w:rFonts w:eastAsia="Verdana"/>
                <w:b/>
                <w:bCs/>
                <w:i/>
                <w:sz w:val="22"/>
                <w:szCs w:val="22"/>
                <w:vertAlign w:val="superscript"/>
                <w:lang w:val="en-US" w:eastAsia="en-GB" w:bidi="en-GB"/>
              </w:rPr>
              <w:t>2</w:t>
            </w:r>
            <w:r>
              <w:rPr>
                <w:rFonts w:eastAsia="Verdana"/>
                <w:b/>
                <w:bCs/>
                <w:i/>
                <w:sz w:val="22"/>
                <w:szCs w:val="22"/>
                <w:lang w:val="en-US" w:eastAsia="en-GB" w:bidi="en-GB"/>
              </w:rPr>
              <w:t xml:space="preserve"> (Ad)</w:t>
            </w:r>
          </w:p>
        </w:tc>
        <w:tc>
          <w:tcPr>
            <w:tcW w:w="2707" w:type="dxa"/>
            <w:vAlign w:val="bottom"/>
          </w:tcPr>
          <w:p w14:paraId="1F9C5695"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 fiecare nivel</w:t>
            </w:r>
          </w:p>
        </w:tc>
        <w:tc>
          <w:tcPr>
            <w:tcW w:w="1561" w:type="dxa"/>
            <w:vAlign w:val="center"/>
          </w:tcPr>
          <w:p w14:paraId="4BB25BEF" w14:textId="77777777" w:rsidR="001C08A5" w:rsidRDefault="001C08A5">
            <w:pPr>
              <w:spacing w:after="60" w:line="240" w:lineRule="exact"/>
              <w:jc w:val="center"/>
              <w:rPr>
                <w:rFonts w:eastAsia="Verdana"/>
                <w:i/>
                <w:sz w:val="22"/>
                <w:szCs w:val="22"/>
              </w:rPr>
            </w:pPr>
          </w:p>
        </w:tc>
        <w:tc>
          <w:tcPr>
            <w:tcW w:w="1561" w:type="dxa"/>
            <w:vAlign w:val="center"/>
          </w:tcPr>
          <w:p w14:paraId="147DB672"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X (recomandare)</w:t>
            </w:r>
          </w:p>
        </w:tc>
      </w:tr>
      <w:tr w:rsidR="001C08A5" w14:paraId="47E9D2A8" w14:textId="77777777">
        <w:tc>
          <w:tcPr>
            <w:tcW w:w="1738" w:type="dxa"/>
            <w:vMerge/>
          </w:tcPr>
          <w:p w14:paraId="10A00C0E" w14:textId="77777777" w:rsidR="001C08A5" w:rsidRDefault="001C08A5">
            <w:pPr>
              <w:jc w:val="center"/>
              <w:rPr>
                <w:rFonts w:eastAsia="Verdana"/>
                <w:i/>
                <w:sz w:val="22"/>
                <w:szCs w:val="22"/>
              </w:rPr>
            </w:pPr>
          </w:p>
        </w:tc>
        <w:tc>
          <w:tcPr>
            <w:tcW w:w="2108" w:type="dxa"/>
            <w:vMerge/>
            <w:vAlign w:val="bottom"/>
          </w:tcPr>
          <w:p w14:paraId="66FB3333" w14:textId="77777777" w:rsidR="001C08A5" w:rsidRDefault="001C08A5">
            <w:pPr>
              <w:spacing w:after="60" w:line="240" w:lineRule="exact"/>
              <w:jc w:val="center"/>
              <w:rPr>
                <w:rFonts w:eastAsia="Verdana"/>
                <w:i/>
                <w:sz w:val="22"/>
                <w:szCs w:val="22"/>
                <w:lang w:val="en-US"/>
              </w:rPr>
            </w:pPr>
          </w:p>
        </w:tc>
        <w:tc>
          <w:tcPr>
            <w:tcW w:w="2707" w:type="dxa"/>
            <w:vAlign w:val="bottom"/>
          </w:tcPr>
          <w:p w14:paraId="4DE81B9F"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De la scară spre exterior*</w:t>
            </w:r>
          </w:p>
        </w:tc>
        <w:tc>
          <w:tcPr>
            <w:tcW w:w="1561" w:type="dxa"/>
            <w:vAlign w:val="center"/>
          </w:tcPr>
          <w:p w14:paraId="5C787269" w14:textId="77777777" w:rsidR="001C08A5" w:rsidRDefault="00000000">
            <w:pPr>
              <w:spacing w:line="190" w:lineRule="exact"/>
              <w:jc w:val="center"/>
              <w:rPr>
                <w:rFonts w:eastAsia="Verdana"/>
                <w:i/>
                <w:sz w:val="22"/>
                <w:szCs w:val="22"/>
                <w:lang w:val="en-US"/>
              </w:rPr>
            </w:pPr>
            <w:r>
              <w:rPr>
                <w:rFonts w:eastAsia="Verdana"/>
                <w:b/>
                <w:bCs/>
                <w:i/>
                <w:sz w:val="22"/>
                <w:szCs w:val="22"/>
                <w:lang w:val="en-US" w:eastAsia="en-GB" w:bidi="en-GB"/>
              </w:rPr>
              <w:t>X (recomandare)</w:t>
            </w:r>
          </w:p>
        </w:tc>
        <w:tc>
          <w:tcPr>
            <w:tcW w:w="1561" w:type="dxa"/>
            <w:vAlign w:val="center"/>
          </w:tcPr>
          <w:p w14:paraId="13CA0335" w14:textId="77777777" w:rsidR="001C08A5" w:rsidRDefault="001C08A5">
            <w:pPr>
              <w:jc w:val="center"/>
              <w:rPr>
                <w:rFonts w:eastAsia="Verdana"/>
                <w:i/>
                <w:sz w:val="22"/>
                <w:szCs w:val="22"/>
              </w:rPr>
            </w:pPr>
          </w:p>
        </w:tc>
      </w:tr>
      <w:tr w:rsidR="001C08A5" w14:paraId="486F4CF9" w14:textId="77777777">
        <w:tc>
          <w:tcPr>
            <w:tcW w:w="1738" w:type="dxa"/>
            <w:vMerge/>
          </w:tcPr>
          <w:p w14:paraId="70435F07" w14:textId="77777777" w:rsidR="001C08A5" w:rsidRDefault="001C08A5">
            <w:pPr>
              <w:jc w:val="center"/>
              <w:rPr>
                <w:rFonts w:eastAsia="Verdana"/>
                <w:i/>
                <w:sz w:val="22"/>
                <w:szCs w:val="22"/>
              </w:rPr>
            </w:pPr>
          </w:p>
        </w:tc>
        <w:tc>
          <w:tcPr>
            <w:tcW w:w="2108" w:type="dxa"/>
            <w:vMerge/>
            <w:vAlign w:val="bottom"/>
          </w:tcPr>
          <w:p w14:paraId="63A1943D" w14:textId="77777777" w:rsidR="001C08A5" w:rsidRDefault="001C08A5">
            <w:pPr>
              <w:spacing w:after="60" w:line="240" w:lineRule="exact"/>
              <w:jc w:val="center"/>
              <w:rPr>
                <w:rFonts w:eastAsia="Verdana"/>
                <w:i/>
                <w:sz w:val="22"/>
                <w:szCs w:val="22"/>
                <w:lang w:val="en-US"/>
              </w:rPr>
            </w:pPr>
          </w:p>
        </w:tc>
        <w:tc>
          <w:tcPr>
            <w:tcW w:w="2707" w:type="dxa"/>
            <w:vAlign w:val="bottom"/>
          </w:tcPr>
          <w:p w14:paraId="48C0DC60"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Spre exterior*</w:t>
            </w:r>
          </w:p>
        </w:tc>
        <w:tc>
          <w:tcPr>
            <w:tcW w:w="1561" w:type="dxa"/>
            <w:vAlign w:val="center"/>
          </w:tcPr>
          <w:p w14:paraId="29D31E27" w14:textId="77777777" w:rsidR="001C08A5" w:rsidRDefault="00000000">
            <w:pPr>
              <w:jc w:val="center"/>
              <w:rPr>
                <w:rFonts w:eastAsia="Verdana"/>
                <w:i/>
                <w:sz w:val="22"/>
                <w:szCs w:val="22"/>
                <w:lang w:val="en-US"/>
              </w:rPr>
            </w:pPr>
            <w:r>
              <w:rPr>
                <w:rFonts w:eastAsia="Verdana"/>
                <w:b/>
                <w:bCs/>
                <w:i/>
                <w:sz w:val="22"/>
                <w:szCs w:val="22"/>
                <w:lang w:val="en-US" w:eastAsia="en-GB" w:bidi="en-GB"/>
              </w:rPr>
              <w:t>X (recomandare)</w:t>
            </w:r>
          </w:p>
        </w:tc>
        <w:tc>
          <w:tcPr>
            <w:tcW w:w="1561" w:type="dxa"/>
            <w:vAlign w:val="center"/>
          </w:tcPr>
          <w:p w14:paraId="23387864" w14:textId="77777777" w:rsidR="001C08A5" w:rsidRDefault="001C08A5">
            <w:pPr>
              <w:spacing w:line="190" w:lineRule="exact"/>
              <w:jc w:val="center"/>
              <w:rPr>
                <w:rFonts w:eastAsia="Verdana"/>
                <w:i/>
                <w:sz w:val="22"/>
                <w:szCs w:val="22"/>
              </w:rPr>
            </w:pPr>
          </w:p>
        </w:tc>
      </w:tr>
      <w:tr w:rsidR="001C08A5" w14:paraId="2C41D886" w14:textId="77777777">
        <w:trPr>
          <w:trHeight w:val="448"/>
        </w:trPr>
        <w:tc>
          <w:tcPr>
            <w:tcW w:w="1738" w:type="dxa"/>
            <w:vMerge w:val="restart"/>
            <w:vAlign w:val="center"/>
          </w:tcPr>
          <w:p w14:paraId="70E8D295"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GB" w:eastAsia="en-GB" w:bidi="en-GB"/>
              </w:rPr>
              <w:t>Clădiri pentru comerţ supraterane</w:t>
            </w:r>
          </w:p>
        </w:tc>
        <w:tc>
          <w:tcPr>
            <w:tcW w:w="2108" w:type="dxa"/>
            <w:vAlign w:val="center"/>
          </w:tcPr>
          <w:p w14:paraId="2EE38E13"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Centru comercial sau magazin</w:t>
            </w:r>
          </w:p>
          <w:p w14:paraId="6ACE30C3"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&lt; 300 m</w:t>
            </w:r>
            <w:r>
              <w:rPr>
                <w:rFonts w:eastAsia="Verdana"/>
                <w:b/>
                <w:bCs/>
                <w:i/>
                <w:sz w:val="22"/>
                <w:szCs w:val="22"/>
                <w:vertAlign w:val="superscript"/>
                <w:lang w:val="en-US" w:eastAsia="en-GB" w:bidi="en-GB"/>
              </w:rPr>
              <w:t>2</w:t>
            </w:r>
            <w:r>
              <w:rPr>
                <w:rFonts w:eastAsia="Verdana"/>
                <w:b/>
                <w:bCs/>
                <w:i/>
                <w:sz w:val="22"/>
                <w:szCs w:val="22"/>
                <w:lang w:val="en-US" w:eastAsia="en-GB" w:bidi="en-GB"/>
              </w:rPr>
              <w:t xml:space="preserve"> (A utila)</w:t>
            </w:r>
          </w:p>
        </w:tc>
        <w:tc>
          <w:tcPr>
            <w:tcW w:w="2707" w:type="dxa"/>
          </w:tcPr>
          <w:p w14:paraId="03319C15"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Spre exterior* sau degajament protejat</w:t>
            </w:r>
          </w:p>
        </w:tc>
        <w:tc>
          <w:tcPr>
            <w:tcW w:w="1561" w:type="dxa"/>
            <w:vAlign w:val="center"/>
          </w:tcPr>
          <w:p w14:paraId="213D9332" w14:textId="77777777" w:rsidR="001C08A5" w:rsidRDefault="001C08A5">
            <w:pPr>
              <w:spacing w:after="60" w:line="240" w:lineRule="exact"/>
              <w:jc w:val="center"/>
              <w:rPr>
                <w:rFonts w:eastAsia="Verdana"/>
                <w:i/>
                <w:sz w:val="22"/>
                <w:szCs w:val="22"/>
              </w:rPr>
            </w:pPr>
          </w:p>
        </w:tc>
        <w:tc>
          <w:tcPr>
            <w:tcW w:w="1561" w:type="dxa"/>
            <w:vAlign w:val="center"/>
          </w:tcPr>
          <w:p w14:paraId="5244962B"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w:t>
            </w:r>
          </w:p>
        </w:tc>
      </w:tr>
      <w:tr w:rsidR="001C08A5" w14:paraId="6611925E" w14:textId="77777777">
        <w:tc>
          <w:tcPr>
            <w:tcW w:w="1738" w:type="dxa"/>
            <w:vMerge/>
            <w:vAlign w:val="bottom"/>
          </w:tcPr>
          <w:p w14:paraId="751C4B8B" w14:textId="77777777" w:rsidR="001C08A5" w:rsidRDefault="001C08A5">
            <w:pPr>
              <w:spacing w:after="60" w:line="240" w:lineRule="exact"/>
              <w:jc w:val="center"/>
              <w:rPr>
                <w:rFonts w:eastAsia="Verdana"/>
                <w:i/>
                <w:sz w:val="22"/>
                <w:szCs w:val="22"/>
                <w:lang w:val="en-US"/>
              </w:rPr>
            </w:pPr>
          </w:p>
        </w:tc>
        <w:tc>
          <w:tcPr>
            <w:tcW w:w="2108" w:type="dxa"/>
            <w:vMerge w:val="restart"/>
            <w:vAlign w:val="center"/>
          </w:tcPr>
          <w:p w14:paraId="598AFC8B"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Centru comercial sau magazin</w:t>
            </w:r>
          </w:p>
          <w:p w14:paraId="440753D0"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&gt; 300 m</w:t>
            </w:r>
            <w:r>
              <w:rPr>
                <w:rFonts w:eastAsia="Verdana"/>
                <w:b/>
                <w:bCs/>
                <w:i/>
                <w:sz w:val="22"/>
                <w:szCs w:val="22"/>
                <w:vertAlign w:val="superscript"/>
                <w:lang w:val="en-US" w:eastAsia="en-GB" w:bidi="en-GB"/>
              </w:rPr>
              <w:t>2</w:t>
            </w:r>
            <w:r>
              <w:rPr>
                <w:rFonts w:eastAsia="Verdana"/>
                <w:b/>
                <w:bCs/>
                <w:i/>
                <w:sz w:val="22"/>
                <w:szCs w:val="22"/>
                <w:lang w:val="en-US" w:eastAsia="en-GB" w:bidi="en-GB"/>
              </w:rPr>
              <w:t xml:space="preserve"> (A utila)</w:t>
            </w:r>
          </w:p>
        </w:tc>
        <w:tc>
          <w:tcPr>
            <w:tcW w:w="2707" w:type="dxa"/>
          </w:tcPr>
          <w:p w14:paraId="68271AF1"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Spre exterior* sau degajament protejat</w:t>
            </w:r>
          </w:p>
        </w:tc>
        <w:tc>
          <w:tcPr>
            <w:tcW w:w="1561" w:type="dxa"/>
            <w:vAlign w:val="center"/>
          </w:tcPr>
          <w:p w14:paraId="3F417B39"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4E211438" w14:textId="77777777" w:rsidR="001C08A5" w:rsidRDefault="001C08A5">
            <w:pPr>
              <w:spacing w:after="60" w:line="240" w:lineRule="exact"/>
              <w:jc w:val="center"/>
              <w:rPr>
                <w:rFonts w:eastAsia="Verdana"/>
                <w:i/>
                <w:sz w:val="22"/>
                <w:szCs w:val="22"/>
              </w:rPr>
            </w:pPr>
          </w:p>
        </w:tc>
      </w:tr>
      <w:tr w:rsidR="001C08A5" w14:paraId="4D3C1033" w14:textId="77777777">
        <w:tc>
          <w:tcPr>
            <w:tcW w:w="1738" w:type="dxa"/>
            <w:vMerge/>
          </w:tcPr>
          <w:p w14:paraId="4B28FAD0" w14:textId="77777777" w:rsidR="001C08A5" w:rsidRDefault="001C08A5">
            <w:pPr>
              <w:jc w:val="center"/>
              <w:rPr>
                <w:rFonts w:eastAsia="Verdana"/>
                <w:i/>
                <w:sz w:val="22"/>
                <w:szCs w:val="22"/>
              </w:rPr>
            </w:pPr>
          </w:p>
        </w:tc>
        <w:tc>
          <w:tcPr>
            <w:tcW w:w="2108" w:type="dxa"/>
            <w:vMerge/>
            <w:vAlign w:val="center"/>
          </w:tcPr>
          <w:p w14:paraId="7E2ACF28" w14:textId="77777777" w:rsidR="001C08A5" w:rsidRDefault="001C08A5">
            <w:pPr>
              <w:spacing w:after="60" w:line="240" w:lineRule="exact"/>
              <w:jc w:val="center"/>
              <w:rPr>
                <w:rFonts w:eastAsia="Verdana"/>
                <w:i/>
                <w:sz w:val="22"/>
                <w:szCs w:val="22"/>
                <w:lang w:val="en-US"/>
              </w:rPr>
            </w:pPr>
          </w:p>
        </w:tc>
        <w:tc>
          <w:tcPr>
            <w:tcW w:w="2707" w:type="dxa"/>
            <w:vAlign w:val="center"/>
          </w:tcPr>
          <w:p w14:paraId="4B5A2A51"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Din galeria comerciala comună spre exterior</w:t>
            </w:r>
          </w:p>
        </w:tc>
        <w:tc>
          <w:tcPr>
            <w:tcW w:w="1561" w:type="dxa"/>
            <w:vAlign w:val="center"/>
          </w:tcPr>
          <w:p w14:paraId="5D1637C5"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3866724F" w14:textId="77777777" w:rsidR="001C08A5" w:rsidRDefault="001C08A5">
            <w:pPr>
              <w:spacing w:line="190" w:lineRule="exact"/>
              <w:jc w:val="center"/>
              <w:rPr>
                <w:rFonts w:eastAsia="Verdana"/>
                <w:i/>
                <w:sz w:val="22"/>
                <w:szCs w:val="22"/>
              </w:rPr>
            </w:pPr>
          </w:p>
        </w:tc>
      </w:tr>
      <w:tr w:rsidR="001C08A5" w14:paraId="74C42A67" w14:textId="77777777">
        <w:tc>
          <w:tcPr>
            <w:tcW w:w="1738" w:type="dxa"/>
            <w:vMerge w:val="restart"/>
            <w:vAlign w:val="center"/>
          </w:tcPr>
          <w:p w14:paraId="144643A8" w14:textId="77777777" w:rsidR="001C08A5" w:rsidRDefault="00000000">
            <w:pPr>
              <w:spacing w:after="60" w:line="240" w:lineRule="exact"/>
              <w:jc w:val="center"/>
              <w:rPr>
                <w:rFonts w:eastAsia="Verdana"/>
                <w:i/>
                <w:sz w:val="22"/>
                <w:szCs w:val="22"/>
              </w:rPr>
            </w:pPr>
            <w:r>
              <w:rPr>
                <w:rFonts w:eastAsia="Verdana"/>
                <w:b/>
                <w:bCs/>
                <w:i/>
                <w:sz w:val="22"/>
                <w:szCs w:val="22"/>
                <w:lang w:val="en-GB" w:eastAsia="en-GB" w:bidi="en-GB"/>
              </w:rPr>
              <w:t>Clădiri pentru sănătate supraterane</w:t>
            </w:r>
          </w:p>
        </w:tc>
        <w:tc>
          <w:tcPr>
            <w:tcW w:w="2108" w:type="dxa"/>
            <w:vMerge w:val="restart"/>
            <w:vAlign w:val="center"/>
          </w:tcPr>
          <w:p w14:paraId="669E3050"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&lt;200 de paturi</w:t>
            </w:r>
          </w:p>
        </w:tc>
        <w:tc>
          <w:tcPr>
            <w:tcW w:w="2707" w:type="dxa"/>
          </w:tcPr>
          <w:p w14:paraId="5DB05450"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509F6671" w14:textId="77777777" w:rsidR="001C08A5" w:rsidRDefault="001C08A5">
            <w:pPr>
              <w:spacing w:after="60" w:line="240" w:lineRule="exact"/>
              <w:jc w:val="center"/>
              <w:rPr>
                <w:rFonts w:eastAsia="Verdana"/>
                <w:i/>
                <w:sz w:val="22"/>
                <w:szCs w:val="22"/>
              </w:rPr>
            </w:pPr>
          </w:p>
        </w:tc>
        <w:tc>
          <w:tcPr>
            <w:tcW w:w="1561" w:type="dxa"/>
            <w:vAlign w:val="center"/>
          </w:tcPr>
          <w:p w14:paraId="0E29CDAD"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X (recomandare)</w:t>
            </w:r>
          </w:p>
        </w:tc>
      </w:tr>
      <w:tr w:rsidR="001C08A5" w14:paraId="5F68C34E" w14:textId="77777777">
        <w:tc>
          <w:tcPr>
            <w:tcW w:w="1738" w:type="dxa"/>
            <w:vMerge/>
          </w:tcPr>
          <w:p w14:paraId="249BB957" w14:textId="77777777" w:rsidR="001C08A5" w:rsidRDefault="001C08A5">
            <w:pPr>
              <w:jc w:val="center"/>
              <w:rPr>
                <w:rFonts w:eastAsia="Verdana"/>
                <w:i/>
                <w:sz w:val="22"/>
                <w:szCs w:val="22"/>
              </w:rPr>
            </w:pPr>
          </w:p>
        </w:tc>
        <w:tc>
          <w:tcPr>
            <w:tcW w:w="2108" w:type="dxa"/>
            <w:vMerge/>
            <w:vAlign w:val="center"/>
          </w:tcPr>
          <w:p w14:paraId="05220544" w14:textId="77777777" w:rsidR="001C08A5" w:rsidRDefault="001C08A5">
            <w:pPr>
              <w:spacing w:after="60" w:line="240" w:lineRule="exact"/>
              <w:jc w:val="center"/>
              <w:rPr>
                <w:rFonts w:eastAsia="Verdana"/>
                <w:i/>
                <w:sz w:val="22"/>
                <w:szCs w:val="22"/>
                <w:lang w:val="en-US"/>
              </w:rPr>
            </w:pPr>
          </w:p>
        </w:tc>
        <w:tc>
          <w:tcPr>
            <w:tcW w:w="2707" w:type="dxa"/>
            <w:vAlign w:val="bottom"/>
          </w:tcPr>
          <w:p w14:paraId="0530C032"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3A4A045F" w14:textId="77777777" w:rsidR="001C08A5" w:rsidRDefault="001C08A5">
            <w:pPr>
              <w:jc w:val="center"/>
              <w:rPr>
                <w:rFonts w:eastAsia="Verdana"/>
                <w:i/>
                <w:sz w:val="22"/>
                <w:szCs w:val="22"/>
              </w:rPr>
            </w:pPr>
          </w:p>
        </w:tc>
        <w:tc>
          <w:tcPr>
            <w:tcW w:w="1561" w:type="dxa"/>
            <w:vAlign w:val="center"/>
          </w:tcPr>
          <w:p w14:paraId="449691EB"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232A8606" w14:textId="77777777">
        <w:tc>
          <w:tcPr>
            <w:tcW w:w="1738" w:type="dxa"/>
            <w:vMerge/>
            <w:vAlign w:val="center"/>
          </w:tcPr>
          <w:p w14:paraId="5119667F" w14:textId="77777777" w:rsidR="001C08A5" w:rsidRDefault="001C08A5">
            <w:pPr>
              <w:spacing w:after="60" w:line="240" w:lineRule="exact"/>
              <w:jc w:val="center"/>
              <w:rPr>
                <w:rFonts w:eastAsia="Verdana"/>
                <w:i/>
                <w:sz w:val="22"/>
                <w:szCs w:val="22"/>
              </w:rPr>
            </w:pPr>
          </w:p>
        </w:tc>
        <w:tc>
          <w:tcPr>
            <w:tcW w:w="2108" w:type="dxa"/>
            <w:vMerge w:val="restart"/>
            <w:vAlign w:val="center"/>
          </w:tcPr>
          <w:p w14:paraId="567DE3D6"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&gt; 200 de paturi</w:t>
            </w:r>
          </w:p>
        </w:tc>
        <w:tc>
          <w:tcPr>
            <w:tcW w:w="2707" w:type="dxa"/>
          </w:tcPr>
          <w:p w14:paraId="369A7072"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5DD887E0" w14:textId="77777777" w:rsidR="001C08A5" w:rsidRDefault="001C08A5">
            <w:pPr>
              <w:spacing w:after="60" w:line="240" w:lineRule="exact"/>
              <w:jc w:val="center"/>
              <w:rPr>
                <w:rFonts w:eastAsia="Verdana"/>
                <w:i/>
                <w:sz w:val="22"/>
                <w:szCs w:val="22"/>
              </w:rPr>
            </w:pPr>
          </w:p>
        </w:tc>
        <w:tc>
          <w:tcPr>
            <w:tcW w:w="1561" w:type="dxa"/>
            <w:vAlign w:val="center"/>
          </w:tcPr>
          <w:p w14:paraId="56E17AA2"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2193872A" w14:textId="77777777">
        <w:tc>
          <w:tcPr>
            <w:tcW w:w="1738" w:type="dxa"/>
            <w:vMerge/>
          </w:tcPr>
          <w:p w14:paraId="3164609C" w14:textId="77777777" w:rsidR="001C08A5" w:rsidRDefault="001C08A5">
            <w:pPr>
              <w:jc w:val="center"/>
              <w:rPr>
                <w:rFonts w:eastAsia="Verdana"/>
                <w:i/>
                <w:sz w:val="22"/>
                <w:szCs w:val="22"/>
              </w:rPr>
            </w:pPr>
          </w:p>
        </w:tc>
        <w:tc>
          <w:tcPr>
            <w:tcW w:w="2108" w:type="dxa"/>
            <w:vMerge/>
            <w:vAlign w:val="bottom"/>
          </w:tcPr>
          <w:p w14:paraId="72DAFEA3" w14:textId="77777777" w:rsidR="001C08A5" w:rsidRDefault="001C08A5">
            <w:pPr>
              <w:spacing w:after="60" w:line="240" w:lineRule="exact"/>
              <w:jc w:val="center"/>
              <w:rPr>
                <w:rFonts w:eastAsia="Verdana"/>
                <w:i/>
                <w:sz w:val="22"/>
                <w:szCs w:val="22"/>
                <w:lang w:val="en-US"/>
              </w:rPr>
            </w:pPr>
          </w:p>
        </w:tc>
        <w:tc>
          <w:tcPr>
            <w:tcW w:w="2707" w:type="dxa"/>
            <w:vAlign w:val="bottom"/>
          </w:tcPr>
          <w:p w14:paraId="5667955F"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5EDA358D"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74454C78" w14:textId="77777777" w:rsidR="001C08A5" w:rsidRDefault="001C08A5">
            <w:pPr>
              <w:jc w:val="center"/>
              <w:rPr>
                <w:rFonts w:eastAsia="Verdana"/>
                <w:i/>
                <w:sz w:val="22"/>
                <w:szCs w:val="22"/>
              </w:rPr>
            </w:pPr>
          </w:p>
        </w:tc>
      </w:tr>
      <w:tr w:rsidR="001C08A5" w14:paraId="57F63BC9" w14:textId="77777777">
        <w:tc>
          <w:tcPr>
            <w:tcW w:w="1738" w:type="dxa"/>
            <w:vMerge/>
            <w:vAlign w:val="bottom"/>
          </w:tcPr>
          <w:p w14:paraId="33B51B91" w14:textId="77777777" w:rsidR="001C08A5" w:rsidRDefault="001C08A5">
            <w:pPr>
              <w:spacing w:after="60" w:line="240" w:lineRule="exact"/>
              <w:jc w:val="center"/>
              <w:rPr>
                <w:rFonts w:eastAsia="Verdana"/>
                <w:i/>
                <w:sz w:val="22"/>
                <w:szCs w:val="22"/>
              </w:rPr>
            </w:pPr>
          </w:p>
        </w:tc>
        <w:tc>
          <w:tcPr>
            <w:tcW w:w="2108" w:type="dxa"/>
            <w:vAlign w:val="bottom"/>
          </w:tcPr>
          <w:p w14:paraId="45EF6430"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Centru de îngrijire de zi</w:t>
            </w:r>
          </w:p>
        </w:tc>
        <w:tc>
          <w:tcPr>
            <w:tcW w:w="2707" w:type="dxa"/>
            <w:vAlign w:val="bottom"/>
          </w:tcPr>
          <w:p w14:paraId="0BE36F77"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Spre exterior*</w:t>
            </w:r>
          </w:p>
        </w:tc>
        <w:tc>
          <w:tcPr>
            <w:tcW w:w="1561" w:type="dxa"/>
            <w:vAlign w:val="center"/>
          </w:tcPr>
          <w:p w14:paraId="2F37DC88" w14:textId="77777777" w:rsidR="001C08A5" w:rsidRDefault="001C08A5">
            <w:pPr>
              <w:spacing w:after="60" w:line="240" w:lineRule="exact"/>
              <w:jc w:val="center"/>
              <w:rPr>
                <w:rFonts w:eastAsia="Verdana"/>
                <w:i/>
                <w:sz w:val="22"/>
                <w:szCs w:val="22"/>
                <w:lang w:val="en-US"/>
              </w:rPr>
            </w:pPr>
          </w:p>
        </w:tc>
        <w:tc>
          <w:tcPr>
            <w:tcW w:w="1561" w:type="dxa"/>
            <w:vAlign w:val="center"/>
          </w:tcPr>
          <w:p w14:paraId="0D141F02"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1A778909" w14:textId="77777777">
        <w:tc>
          <w:tcPr>
            <w:tcW w:w="1738" w:type="dxa"/>
            <w:vMerge w:val="restart"/>
            <w:vAlign w:val="center"/>
          </w:tcPr>
          <w:p w14:paraId="1C60605E" w14:textId="77777777" w:rsidR="001C08A5" w:rsidRDefault="00000000">
            <w:pPr>
              <w:jc w:val="center"/>
              <w:rPr>
                <w:rFonts w:eastAsia="Verdana"/>
                <w:i/>
                <w:sz w:val="22"/>
                <w:szCs w:val="22"/>
                <w:lang w:val="en-US"/>
              </w:rPr>
            </w:pPr>
            <w:r>
              <w:rPr>
                <w:rFonts w:eastAsia="Verdana"/>
                <w:b/>
                <w:bCs/>
                <w:i/>
                <w:sz w:val="22"/>
                <w:szCs w:val="22"/>
                <w:lang w:val="en-GB" w:eastAsia="en-GB" w:bidi="en-GB"/>
              </w:rPr>
              <w:t>Clădiri pentru cultură supraterane</w:t>
            </w:r>
          </w:p>
        </w:tc>
        <w:tc>
          <w:tcPr>
            <w:tcW w:w="2108" w:type="dxa"/>
            <w:vMerge w:val="restart"/>
            <w:vAlign w:val="bottom"/>
          </w:tcPr>
          <w:p w14:paraId="385DC187"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 xml:space="preserve">&lt; 200 de </w:t>
            </w:r>
            <w:r>
              <w:rPr>
                <w:rFonts w:eastAsia="Arial"/>
                <w:b/>
                <w:bCs/>
                <w:i/>
                <w:sz w:val="22"/>
                <w:szCs w:val="22"/>
                <w:lang w:val="en-US" w:eastAsia="en-GB" w:bidi="en-GB"/>
              </w:rPr>
              <w:t>utilizatori</w:t>
            </w:r>
          </w:p>
        </w:tc>
        <w:tc>
          <w:tcPr>
            <w:tcW w:w="2707" w:type="dxa"/>
            <w:vAlign w:val="bottom"/>
          </w:tcPr>
          <w:p w14:paraId="7FD6278A"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Spre foaier sau scară</w:t>
            </w:r>
          </w:p>
        </w:tc>
        <w:tc>
          <w:tcPr>
            <w:tcW w:w="1561" w:type="dxa"/>
            <w:vAlign w:val="center"/>
          </w:tcPr>
          <w:p w14:paraId="55B7CE9F" w14:textId="77777777" w:rsidR="001C08A5" w:rsidRDefault="001C08A5">
            <w:pPr>
              <w:spacing w:after="60" w:line="240" w:lineRule="exact"/>
              <w:jc w:val="center"/>
              <w:rPr>
                <w:rFonts w:eastAsia="Verdana"/>
                <w:i/>
                <w:sz w:val="22"/>
                <w:szCs w:val="22"/>
              </w:rPr>
            </w:pPr>
          </w:p>
        </w:tc>
        <w:tc>
          <w:tcPr>
            <w:tcW w:w="1561" w:type="dxa"/>
            <w:vAlign w:val="center"/>
          </w:tcPr>
          <w:p w14:paraId="077E7C69"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530CA66B" w14:textId="77777777">
        <w:tc>
          <w:tcPr>
            <w:tcW w:w="1738" w:type="dxa"/>
            <w:vMerge/>
          </w:tcPr>
          <w:p w14:paraId="76D0DD48" w14:textId="77777777" w:rsidR="001C08A5" w:rsidRDefault="001C08A5">
            <w:pPr>
              <w:jc w:val="center"/>
              <w:rPr>
                <w:rFonts w:eastAsia="Verdana"/>
                <w:i/>
                <w:sz w:val="22"/>
                <w:szCs w:val="22"/>
              </w:rPr>
            </w:pPr>
          </w:p>
        </w:tc>
        <w:tc>
          <w:tcPr>
            <w:tcW w:w="2108" w:type="dxa"/>
            <w:vMerge/>
            <w:vAlign w:val="bottom"/>
          </w:tcPr>
          <w:p w14:paraId="45C60A24" w14:textId="77777777" w:rsidR="001C08A5" w:rsidRDefault="001C08A5">
            <w:pPr>
              <w:spacing w:line="190" w:lineRule="exact"/>
              <w:jc w:val="center"/>
              <w:rPr>
                <w:rFonts w:eastAsia="Verdana"/>
                <w:i/>
                <w:sz w:val="22"/>
                <w:szCs w:val="22"/>
              </w:rPr>
            </w:pPr>
          </w:p>
        </w:tc>
        <w:tc>
          <w:tcPr>
            <w:tcW w:w="2707" w:type="dxa"/>
            <w:vAlign w:val="center"/>
          </w:tcPr>
          <w:p w14:paraId="597FF200"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Spre exterior*</w:t>
            </w:r>
          </w:p>
        </w:tc>
        <w:tc>
          <w:tcPr>
            <w:tcW w:w="1561" w:type="dxa"/>
            <w:vAlign w:val="center"/>
          </w:tcPr>
          <w:p w14:paraId="1C73CB8F" w14:textId="77777777" w:rsidR="001C08A5" w:rsidRDefault="001C08A5">
            <w:pPr>
              <w:spacing w:line="190" w:lineRule="exact"/>
              <w:jc w:val="center"/>
              <w:rPr>
                <w:rFonts w:eastAsia="Verdana"/>
                <w:i/>
                <w:sz w:val="22"/>
                <w:szCs w:val="22"/>
              </w:rPr>
            </w:pPr>
          </w:p>
        </w:tc>
        <w:tc>
          <w:tcPr>
            <w:tcW w:w="1561" w:type="dxa"/>
            <w:vAlign w:val="center"/>
          </w:tcPr>
          <w:p w14:paraId="2154F375" w14:textId="77777777" w:rsidR="001C08A5" w:rsidRDefault="00000000">
            <w:pPr>
              <w:jc w:val="center"/>
              <w:rPr>
                <w:rFonts w:eastAsia="Verdana"/>
                <w:i/>
                <w:sz w:val="22"/>
                <w:szCs w:val="22"/>
              </w:rPr>
            </w:pPr>
            <w:r>
              <w:rPr>
                <w:rFonts w:eastAsia="Verdana"/>
                <w:b/>
                <w:bCs/>
                <w:i/>
                <w:sz w:val="22"/>
                <w:szCs w:val="22"/>
                <w:lang w:val="en-US" w:eastAsia="en-GB" w:bidi="en-GB"/>
              </w:rPr>
              <w:t>X (recomandare)</w:t>
            </w:r>
          </w:p>
        </w:tc>
      </w:tr>
      <w:tr w:rsidR="001C08A5" w14:paraId="6C35CBD0" w14:textId="77777777">
        <w:tc>
          <w:tcPr>
            <w:tcW w:w="1738" w:type="dxa"/>
            <w:vMerge/>
          </w:tcPr>
          <w:p w14:paraId="27594BB0" w14:textId="77777777" w:rsidR="001C08A5" w:rsidRDefault="001C08A5">
            <w:pPr>
              <w:jc w:val="center"/>
              <w:rPr>
                <w:rFonts w:eastAsia="Verdana"/>
                <w:i/>
                <w:sz w:val="22"/>
                <w:szCs w:val="22"/>
              </w:rPr>
            </w:pPr>
          </w:p>
        </w:tc>
        <w:tc>
          <w:tcPr>
            <w:tcW w:w="2108" w:type="dxa"/>
            <w:vMerge w:val="restart"/>
            <w:vAlign w:val="bottom"/>
          </w:tcPr>
          <w:p w14:paraId="27B9593C"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 xml:space="preserve">≥ 200 de </w:t>
            </w:r>
            <w:r>
              <w:rPr>
                <w:rFonts w:eastAsia="Arial"/>
                <w:b/>
                <w:bCs/>
                <w:i/>
                <w:sz w:val="22"/>
                <w:szCs w:val="22"/>
                <w:lang w:val="en-US" w:eastAsia="en-GB" w:bidi="en-GB"/>
              </w:rPr>
              <w:t>utilizatori</w:t>
            </w:r>
          </w:p>
        </w:tc>
        <w:tc>
          <w:tcPr>
            <w:tcW w:w="2707" w:type="dxa"/>
            <w:vAlign w:val="bottom"/>
          </w:tcPr>
          <w:p w14:paraId="0CA1126A"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Spre exterior* sau la scară</w:t>
            </w:r>
          </w:p>
        </w:tc>
        <w:tc>
          <w:tcPr>
            <w:tcW w:w="1561" w:type="dxa"/>
            <w:vAlign w:val="center"/>
          </w:tcPr>
          <w:p w14:paraId="1A4C2827" w14:textId="77777777" w:rsidR="001C08A5" w:rsidRDefault="001C08A5">
            <w:pPr>
              <w:spacing w:after="60" w:line="240" w:lineRule="exact"/>
              <w:jc w:val="center"/>
              <w:rPr>
                <w:rFonts w:eastAsia="Verdana"/>
                <w:i/>
                <w:sz w:val="22"/>
                <w:szCs w:val="22"/>
              </w:rPr>
            </w:pPr>
          </w:p>
        </w:tc>
        <w:tc>
          <w:tcPr>
            <w:tcW w:w="1561" w:type="dxa"/>
            <w:vAlign w:val="center"/>
          </w:tcPr>
          <w:p w14:paraId="76AD2A1F"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4C7EB70E" w14:textId="77777777">
        <w:tc>
          <w:tcPr>
            <w:tcW w:w="1738" w:type="dxa"/>
            <w:vMerge/>
          </w:tcPr>
          <w:p w14:paraId="66D8E1C5" w14:textId="77777777" w:rsidR="001C08A5" w:rsidRDefault="001C08A5">
            <w:pPr>
              <w:jc w:val="center"/>
              <w:rPr>
                <w:rFonts w:eastAsia="Verdana"/>
                <w:i/>
                <w:sz w:val="22"/>
                <w:szCs w:val="22"/>
              </w:rPr>
            </w:pPr>
          </w:p>
        </w:tc>
        <w:tc>
          <w:tcPr>
            <w:tcW w:w="2108" w:type="dxa"/>
            <w:vMerge/>
            <w:vAlign w:val="bottom"/>
          </w:tcPr>
          <w:p w14:paraId="295A4279" w14:textId="77777777" w:rsidR="001C08A5" w:rsidRDefault="001C08A5">
            <w:pPr>
              <w:spacing w:line="190" w:lineRule="exact"/>
              <w:jc w:val="center"/>
              <w:rPr>
                <w:rFonts w:eastAsia="Verdana"/>
                <w:i/>
                <w:sz w:val="22"/>
                <w:szCs w:val="22"/>
              </w:rPr>
            </w:pPr>
          </w:p>
        </w:tc>
        <w:tc>
          <w:tcPr>
            <w:tcW w:w="2707" w:type="dxa"/>
            <w:vAlign w:val="bottom"/>
          </w:tcPr>
          <w:p w14:paraId="06B4D1C2"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61DFC2FC"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c>
          <w:tcPr>
            <w:tcW w:w="1561" w:type="dxa"/>
            <w:vAlign w:val="center"/>
          </w:tcPr>
          <w:p w14:paraId="604830A3" w14:textId="77777777" w:rsidR="001C08A5" w:rsidRDefault="001C08A5">
            <w:pPr>
              <w:jc w:val="center"/>
              <w:rPr>
                <w:rFonts w:eastAsia="Verdana"/>
                <w:i/>
                <w:sz w:val="22"/>
                <w:szCs w:val="22"/>
              </w:rPr>
            </w:pPr>
          </w:p>
        </w:tc>
      </w:tr>
      <w:tr w:rsidR="001C08A5" w14:paraId="5B34489D" w14:textId="77777777">
        <w:tc>
          <w:tcPr>
            <w:tcW w:w="1738" w:type="dxa"/>
            <w:vMerge w:val="restart"/>
            <w:vAlign w:val="center"/>
          </w:tcPr>
          <w:p w14:paraId="344165C2" w14:textId="77777777" w:rsidR="001C08A5" w:rsidRDefault="00000000">
            <w:pPr>
              <w:spacing w:line="180" w:lineRule="exact"/>
              <w:jc w:val="center"/>
              <w:rPr>
                <w:rFonts w:eastAsia="Verdana"/>
                <w:i/>
                <w:sz w:val="22"/>
                <w:szCs w:val="22"/>
              </w:rPr>
            </w:pPr>
            <w:r>
              <w:rPr>
                <w:rFonts w:eastAsia="Verdana"/>
                <w:b/>
                <w:bCs/>
                <w:i/>
                <w:sz w:val="22"/>
                <w:szCs w:val="22"/>
                <w:lang w:val="en-GB" w:eastAsia="en-GB" w:bidi="en-GB"/>
              </w:rPr>
              <w:t>Clădiri pentru învăţămînt supraterane</w:t>
            </w:r>
          </w:p>
        </w:tc>
        <w:tc>
          <w:tcPr>
            <w:tcW w:w="2108" w:type="dxa"/>
            <w:vMerge w:val="restart"/>
            <w:vAlign w:val="bottom"/>
          </w:tcPr>
          <w:p w14:paraId="4BE99CDE" w14:textId="77777777" w:rsidR="001C08A5" w:rsidRDefault="00000000">
            <w:pPr>
              <w:spacing w:line="190" w:lineRule="exact"/>
              <w:jc w:val="center"/>
              <w:rPr>
                <w:rFonts w:eastAsia="Verdana"/>
                <w:i/>
                <w:sz w:val="22"/>
                <w:szCs w:val="22"/>
                <w:lang w:val="en-US"/>
              </w:rPr>
            </w:pPr>
            <w:r>
              <w:rPr>
                <w:rFonts w:eastAsia="Verdana"/>
                <w:b/>
                <w:bCs/>
                <w:i/>
                <w:sz w:val="22"/>
                <w:szCs w:val="22"/>
                <w:lang w:val="en-US" w:eastAsia="en-GB" w:bidi="en-GB"/>
              </w:rPr>
              <w:t>&lt; 200 de persoane</w:t>
            </w:r>
          </w:p>
        </w:tc>
        <w:tc>
          <w:tcPr>
            <w:tcW w:w="2707" w:type="dxa"/>
            <w:vAlign w:val="bottom"/>
          </w:tcPr>
          <w:p w14:paraId="5C33BEDF"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482E6321" w14:textId="77777777" w:rsidR="001C08A5" w:rsidRDefault="001C08A5">
            <w:pPr>
              <w:jc w:val="center"/>
              <w:rPr>
                <w:rFonts w:eastAsia="Verdana"/>
                <w:i/>
                <w:sz w:val="22"/>
                <w:szCs w:val="22"/>
              </w:rPr>
            </w:pPr>
          </w:p>
        </w:tc>
        <w:tc>
          <w:tcPr>
            <w:tcW w:w="1561" w:type="dxa"/>
            <w:vAlign w:val="center"/>
          </w:tcPr>
          <w:p w14:paraId="369DB4F7"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26F8EE3A" w14:textId="77777777">
        <w:tc>
          <w:tcPr>
            <w:tcW w:w="1738" w:type="dxa"/>
            <w:vMerge/>
            <w:vAlign w:val="center"/>
          </w:tcPr>
          <w:p w14:paraId="7FD2838D" w14:textId="77777777" w:rsidR="001C08A5" w:rsidRDefault="001C08A5">
            <w:pPr>
              <w:jc w:val="center"/>
              <w:rPr>
                <w:rFonts w:eastAsia="Verdana"/>
                <w:i/>
                <w:sz w:val="22"/>
                <w:szCs w:val="22"/>
              </w:rPr>
            </w:pPr>
          </w:p>
        </w:tc>
        <w:tc>
          <w:tcPr>
            <w:tcW w:w="2108" w:type="dxa"/>
            <w:vMerge/>
            <w:vAlign w:val="center"/>
          </w:tcPr>
          <w:p w14:paraId="4A0DB43B" w14:textId="77777777" w:rsidR="001C08A5" w:rsidRDefault="001C08A5">
            <w:pPr>
              <w:spacing w:line="190" w:lineRule="exact"/>
              <w:jc w:val="center"/>
              <w:rPr>
                <w:rFonts w:eastAsia="Verdana"/>
                <w:i/>
                <w:sz w:val="22"/>
                <w:szCs w:val="22"/>
                <w:lang w:val="en-US"/>
              </w:rPr>
            </w:pPr>
          </w:p>
        </w:tc>
        <w:tc>
          <w:tcPr>
            <w:tcW w:w="2707" w:type="dxa"/>
            <w:vAlign w:val="center"/>
          </w:tcPr>
          <w:p w14:paraId="0AC80697"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36B18973" w14:textId="77777777" w:rsidR="001C08A5" w:rsidRDefault="001C08A5">
            <w:pPr>
              <w:jc w:val="center"/>
              <w:rPr>
                <w:rFonts w:eastAsia="Verdana"/>
                <w:i/>
                <w:sz w:val="22"/>
                <w:szCs w:val="22"/>
              </w:rPr>
            </w:pPr>
          </w:p>
        </w:tc>
        <w:tc>
          <w:tcPr>
            <w:tcW w:w="1561" w:type="dxa"/>
            <w:vAlign w:val="center"/>
          </w:tcPr>
          <w:p w14:paraId="53F2DC44"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3EABBAAD" w14:textId="77777777">
        <w:tc>
          <w:tcPr>
            <w:tcW w:w="1738" w:type="dxa"/>
            <w:vMerge/>
            <w:vAlign w:val="center"/>
          </w:tcPr>
          <w:p w14:paraId="36D7F286" w14:textId="77777777" w:rsidR="001C08A5" w:rsidRDefault="001C08A5">
            <w:pPr>
              <w:spacing w:line="180" w:lineRule="exact"/>
              <w:jc w:val="center"/>
              <w:rPr>
                <w:rFonts w:eastAsia="Verdana"/>
                <w:i/>
                <w:sz w:val="22"/>
                <w:szCs w:val="22"/>
              </w:rPr>
            </w:pPr>
          </w:p>
        </w:tc>
        <w:tc>
          <w:tcPr>
            <w:tcW w:w="2108" w:type="dxa"/>
            <w:vMerge w:val="restart"/>
            <w:vAlign w:val="bottom"/>
          </w:tcPr>
          <w:p w14:paraId="157FD526" w14:textId="77777777" w:rsidR="001C08A5" w:rsidRDefault="00000000">
            <w:pPr>
              <w:spacing w:line="190" w:lineRule="exact"/>
              <w:jc w:val="center"/>
              <w:rPr>
                <w:rFonts w:eastAsia="Verdana"/>
                <w:i/>
                <w:sz w:val="22"/>
                <w:szCs w:val="22"/>
                <w:lang w:val="en-US"/>
              </w:rPr>
            </w:pPr>
            <w:r>
              <w:rPr>
                <w:rFonts w:eastAsia="Verdana"/>
                <w:b/>
                <w:bCs/>
                <w:i/>
                <w:sz w:val="22"/>
                <w:szCs w:val="22"/>
                <w:lang w:val="en-US" w:eastAsia="en-GB" w:bidi="en-GB"/>
              </w:rPr>
              <w:t>≥ 200 de persoane</w:t>
            </w:r>
          </w:p>
        </w:tc>
        <w:tc>
          <w:tcPr>
            <w:tcW w:w="2707" w:type="dxa"/>
            <w:vAlign w:val="bottom"/>
          </w:tcPr>
          <w:p w14:paraId="6420DDCE"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5BEA2138" w14:textId="77777777" w:rsidR="001C08A5" w:rsidRDefault="001C08A5">
            <w:pPr>
              <w:jc w:val="center"/>
              <w:rPr>
                <w:rFonts w:eastAsia="Verdana"/>
                <w:i/>
                <w:sz w:val="22"/>
                <w:szCs w:val="22"/>
              </w:rPr>
            </w:pPr>
          </w:p>
        </w:tc>
        <w:tc>
          <w:tcPr>
            <w:tcW w:w="1561" w:type="dxa"/>
            <w:vAlign w:val="center"/>
          </w:tcPr>
          <w:p w14:paraId="40094513"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34D3FCF3" w14:textId="77777777">
        <w:tc>
          <w:tcPr>
            <w:tcW w:w="1738" w:type="dxa"/>
            <w:vMerge/>
          </w:tcPr>
          <w:p w14:paraId="5D255158" w14:textId="77777777" w:rsidR="001C08A5" w:rsidRDefault="001C08A5">
            <w:pPr>
              <w:jc w:val="center"/>
              <w:rPr>
                <w:rFonts w:eastAsia="Verdana"/>
                <w:i/>
                <w:sz w:val="22"/>
                <w:szCs w:val="22"/>
              </w:rPr>
            </w:pPr>
          </w:p>
        </w:tc>
        <w:tc>
          <w:tcPr>
            <w:tcW w:w="2108" w:type="dxa"/>
            <w:vMerge/>
            <w:vAlign w:val="bottom"/>
          </w:tcPr>
          <w:p w14:paraId="7BAE7648" w14:textId="77777777" w:rsidR="001C08A5" w:rsidRDefault="001C08A5">
            <w:pPr>
              <w:spacing w:line="190" w:lineRule="exact"/>
              <w:jc w:val="center"/>
              <w:rPr>
                <w:rFonts w:eastAsia="Verdana"/>
                <w:i/>
                <w:sz w:val="22"/>
                <w:szCs w:val="22"/>
                <w:lang w:val="en-US"/>
              </w:rPr>
            </w:pPr>
          </w:p>
        </w:tc>
        <w:tc>
          <w:tcPr>
            <w:tcW w:w="2707" w:type="dxa"/>
            <w:vAlign w:val="bottom"/>
          </w:tcPr>
          <w:p w14:paraId="6EFC95C6"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6B0AC33D"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16F0F42C" w14:textId="77777777" w:rsidR="001C08A5" w:rsidRDefault="001C08A5">
            <w:pPr>
              <w:jc w:val="center"/>
              <w:rPr>
                <w:rFonts w:eastAsia="Verdana"/>
                <w:i/>
                <w:sz w:val="22"/>
                <w:szCs w:val="22"/>
              </w:rPr>
            </w:pPr>
          </w:p>
        </w:tc>
      </w:tr>
      <w:tr w:rsidR="001C08A5" w14:paraId="01FA6693" w14:textId="77777777">
        <w:tc>
          <w:tcPr>
            <w:tcW w:w="1738" w:type="dxa"/>
            <w:vMerge w:val="restart"/>
            <w:vAlign w:val="center"/>
          </w:tcPr>
          <w:p w14:paraId="439BBC43" w14:textId="77777777" w:rsidR="001C08A5" w:rsidRDefault="00000000">
            <w:pPr>
              <w:spacing w:after="60" w:line="240" w:lineRule="exact"/>
              <w:jc w:val="center"/>
              <w:rPr>
                <w:rFonts w:eastAsia="Verdana"/>
                <w:i/>
                <w:sz w:val="22"/>
                <w:szCs w:val="22"/>
              </w:rPr>
            </w:pPr>
            <w:r>
              <w:rPr>
                <w:rFonts w:eastAsia="Verdana"/>
                <w:b/>
                <w:bCs/>
                <w:i/>
                <w:sz w:val="22"/>
                <w:szCs w:val="22"/>
                <w:lang w:val="en-GB" w:eastAsia="en-GB" w:bidi="en-GB"/>
              </w:rPr>
              <w:t>Clădiri pentru turism supraterane</w:t>
            </w:r>
          </w:p>
        </w:tc>
        <w:tc>
          <w:tcPr>
            <w:tcW w:w="2108" w:type="dxa"/>
            <w:vMerge w:val="restart"/>
          </w:tcPr>
          <w:p w14:paraId="489222D7"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 xml:space="preserve">&lt; 200 de </w:t>
            </w:r>
            <w:r>
              <w:rPr>
                <w:rFonts w:eastAsia="Arial"/>
                <w:b/>
                <w:bCs/>
                <w:i/>
                <w:sz w:val="22"/>
                <w:szCs w:val="22"/>
              </w:rPr>
              <w:t xml:space="preserve">locuri </w:t>
            </w:r>
            <w:r>
              <w:rPr>
                <w:rFonts w:eastAsia="Arial"/>
                <w:b/>
                <w:bCs/>
                <w:i/>
                <w:sz w:val="22"/>
                <w:szCs w:val="22"/>
                <w:lang w:val="en-GB"/>
              </w:rPr>
              <w:t xml:space="preserve">de </w:t>
            </w:r>
            <w:r>
              <w:rPr>
                <w:rFonts w:eastAsia="Arial"/>
                <w:b/>
                <w:bCs/>
                <w:i/>
                <w:sz w:val="22"/>
                <w:szCs w:val="22"/>
              </w:rPr>
              <w:t>cazare</w:t>
            </w:r>
            <w:r>
              <w:rPr>
                <w:rFonts w:eastAsia="Verdana"/>
                <w:b/>
                <w:bCs/>
                <w:i/>
                <w:sz w:val="22"/>
                <w:szCs w:val="22"/>
                <w:lang w:val="en-US" w:eastAsia="en-GB" w:bidi="en-GB"/>
              </w:rPr>
              <w:t xml:space="preserve"> (cu excepția restaurantului, etc.)</w:t>
            </w:r>
          </w:p>
        </w:tc>
        <w:tc>
          <w:tcPr>
            <w:tcW w:w="2707" w:type="dxa"/>
          </w:tcPr>
          <w:p w14:paraId="294F7D68"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698AB673" w14:textId="77777777" w:rsidR="001C08A5" w:rsidRDefault="001C08A5">
            <w:pPr>
              <w:spacing w:after="60" w:line="240" w:lineRule="exact"/>
              <w:jc w:val="center"/>
              <w:rPr>
                <w:rFonts w:eastAsia="Verdana"/>
                <w:i/>
                <w:sz w:val="22"/>
                <w:szCs w:val="22"/>
              </w:rPr>
            </w:pPr>
          </w:p>
        </w:tc>
        <w:tc>
          <w:tcPr>
            <w:tcW w:w="1561" w:type="dxa"/>
            <w:vAlign w:val="center"/>
          </w:tcPr>
          <w:p w14:paraId="09865869"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147502DD" w14:textId="77777777">
        <w:tc>
          <w:tcPr>
            <w:tcW w:w="1738" w:type="dxa"/>
            <w:vMerge/>
            <w:vAlign w:val="center"/>
          </w:tcPr>
          <w:p w14:paraId="7E3DD23E" w14:textId="77777777" w:rsidR="001C08A5" w:rsidRDefault="001C08A5">
            <w:pPr>
              <w:jc w:val="center"/>
              <w:rPr>
                <w:rFonts w:eastAsia="Verdana"/>
                <w:i/>
                <w:sz w:val="22"/>
                <w:szCs w:val="22"/>
              </w:rPr>
            </w:pPr>
          </w:p>
        </w:tc>
        <w:tc>
          <w:tcPr>
            <w:tcW w:w="2108" w:type="dxa"/>
            <w:vMerge/>
            <w:vAlign w:val="bottom"/>
          </w:tcPr>
          <w:p w14:paraId="24B78140" w14:textId="77777777" w:rsidR="001C08A5" w:rsidRDefault="001C08A5">
            <w:pPr>
              <w:spacing w:line="190" w:lineRule="exact"/>
              <w:jc w:val="center"/>
              <w:rPr>
                <w:rFonts w:eastAsia="Verdana"/>
                <w:i/>
                <w:sz w:val="22"/>
                <w:szCs w:val="22"/>
                <w:lang w:val="en-US"/>
              </w:rPr>
            </w:pPr>
          </w:p>
        </w:tc>
        <w:tc>
          <w:tcPr>
            <w:tcW w:w="2707" w:type="dxa"/>
            <w:vAlign w:val="bottom"/>
          </w:tcPr>
          <w:p w14:paraId="2EE62DDF"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4F7A91A3" w14:textId="77777777" w:rsidR="001C08A5" w:rsidRDefault="001C08A5">
            <w:pPr>
              <w:jc w:val="center"/>
              <w:rPr>
                <w:rFonts w:eastAsia="Verdana"/>
                <w:i/>
                <w:sz w:val="22"/>
                <w:szCs w:val="22"/>
              </w:rPr>
            </w:pPr>
          </w:p>
        </w:tc>
        <w:tc>
          <w:tcPr>
            <w:tcW w:w="1561" w:type="dxa"/>
            <w:vAlign w:val="center"/>
          </w:tcPr>
          <w:p w14:paraId="2C31FAF3" w14:textId="77777777" w:rsidR="001C08A5" w:rsidRDefault="00000000">
            <w:pPr>
              <w:spacing w:line="190" w:lineRule="exact"/>
              <w:jc w:val="center"/>
              <w:rPr>
                <w:rFonts w:eastAsia="Verdana"/>
                <w:i/>
                <w:sz w:val="22"/>
                <w:szCs w:val="22"/>
                <w:lang w:val="en-US"/>
              </w:rPr>
            </w:pPr>
            <w:r>
              <w:rPr>
                <w:rFonts w:eastAsia="Verdana"/>
                <w:b/>
                <w:bCs/>
                <w:i/>
                <w:sz w:val="22"/>
                <w:szCs w:val="22"/>
                <w:lang w:val="en-US" w:eastAsia="en-GB" w:bidi="en-GB"/>
              </w:rPr>
              <w:t>X (recomandare)</w:t>
            </w:r>
          </w:p>
        </w:tc>
      </w:tr>
      <w:tr w:rsidR="001C08A5" w14:paraId="22FBA98F" w14:textId="77777777">
        <w:tc>
          <w:tcPr>
            <w:tcW w:w="1738" w:type="dxa"/>
            <w:vMerge/>
            <w:vAlign w:val="center"/>
          </w:tcPr>
          <w:p w14:paraId="67FB8FCE" w14:textId="77777777" w:rsidR="001C08A5" w:rsidRDefault="001C08A5">
            <w:pPr>
              <w:spacing w:after="60" w:line="240" w:lineRule="exact"/>
              <w:jc w:val="center"/>
              <w:rPr>
                <w:rFonts w:eastAsia="Verdana"/>
                <w:i/>
                <w:sz w:val="22"/>
                <w:szCs w:val="22"/>
              </w:rPr>
            </w:pPr>
          </w:p>
        </w:tc>
        <w:tc>
          <w:tcPr>
            <w:tcW w:w="2108" w:type="dxa"/>
            <w:vMerge w:val="restart"/>
          </w:tcPr>
          <w:p w14:paraId="38C8C287" w14:textId="77777777" w:rsidR="001C08A5" w:rsidRDefault="00000000">
            <w:pPr>
              <w:spacing w:after="60" w:line="240" w:lineRule="exact"/>
              <w:jc w:val="center"/>
              <w:rPr>
                <w:rFonts w:eastAsia="Verdana"/>
                <w:i/>
                <w:sz w:val="22"/>
                <w:szCs w:val="22"/>
                <w:lang w:val="en-US"/>
              </w:rPr>
            </w:pPr>
            <w:proofErr w:type="gramStart"/>
            <w:r>
              <w:rPr>
                <w:rFonts w:eastAsia="Verdana"/>
                <w:b/>
                <w:bCs/>
                <w:i/>
                <w:sz w:val="22"/>
                <w:szCs w:val="22"/>
                <w:lang w:val="en-US" w:eastAsia="en-GB" w:bidi="en-GB"/>
              </w:rPr>
              <w:t>≥  200</w:t>
            </w:r>
            <w:proofErr w:type="gramEnd"/>
            <w:r>
              <w:rPr>
                <w:rFonts w:eastAsia="Verdana"/>
                <w:b/>
                <w:bCs/>
                <w:i/>
                <w:sz w:val="22"/>
                <w:szCs w:val="22"/>
                <w:lang w:val="en-US" w:eastAsia="en-GB" w:bidi="en-GB"/>
              </w:rPr>
              <w:t xml:space="preserve"> de </w:t>
            </w:r>
            <w:r>
              <w:rPr>
                <w:rFonts w:eastAsia="Arial"/>
                <w:b/>
                <w:bCs/>
                <w:i/>
                <w:sz w:val="22"/>
                <w:szCs w:val="22"/>
              </w:rPr>
              <w:t xml:space="preserve">locuri </w:t>
            </w:r>
            <w:r>
              <w:rPr>
                <w:rFonts w:eastAsia="Arial"/>
                <w:b/>
                <w:bCs/>
                <w:i/>
                <w:sz w:val="22"/>
                <w:szCs w:val="22"/>
                <w:lang w:val="en-GB"/>
              </w:rPr>
              <w:t xml:space="preserve">de </w:t>
            </w:r>
            <w:r>
              <w:rPr>
                <w:rFonts w:eastAsia="Arial"/>
                <w:b/>
                <w:bCs/>
                <w:i/>
                <w:sz w:val="22"/>
                <w:szCs w:val="22"/>
              </w:rPr>
              <w:t>cazare</w:t>
            </w:r>
            <w:r>
              <w:rPr>
                <w:rFonts w:eastAsia="Verdana"/>
                <w:b/>
                <w:bCs/>
                <w:i/>
                <w:sz w:val="22"/>
                <w:szCs w:val="22"/>
                <w:lang w:val="en-US" w:eastAsia="en-GB" w:bidi="en-GB"/>
              </w:rPr>
              <w:t xml:space="preserve"> (cu excepția restaurantului, etc.)</w:t>
            </w:r>
          </w:p>
        </w:tc>
        <w:tc>
          <w:tcPr>
            <w:tcW w:w="2707" w:type="dxa"/>
          </w:tcPr>
          <w:p w14:paraId="08DB9614"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6B19395B" w14:textId="77777777" w:rsidR="001C08A5" w:rsidRDefault="001C08A5">
            <w:pPr>
              <w:spacing w:after="60" w:line="240" w:lineRule="exact"/>
              <w:jc w:val="center"/>
              <w:rPr>
                <w:rFonts w:eastAsia="Verdana"/>
                <w:i/>
                <w:sz w:val="22"/>
                <w:szCs w:val="22"/>
              </w:rPr>
            </w:pPr>
          </w:p>
        </w:tc>
        <w:tc>
          <w:tcPr>
            <w:tcW w:w="1561" w:type="dxa"/>
            <w:vAlign w:val="center"/>
          </w:tcPr>
          <w:p w14:paraId="41BA4BD3"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X (recomandare)</w:t>
            </w:r>
          </w:p>
        </w:tc>
      </w:tr>
      <w:tr w:rsidR="001C08A5" w14:paraId="6AE396B1" w14:textId="77777777">
        <w:tc>
          <w:tcPr>
            <w:tcW w:w="1738" w:type="dxa"/>
            <w:vMerge/>
          </w:tcPr>
          <w:p w14:paraId="2BA48680" w14:textId="77777777" w:rsidR="001C08A5" w:rsidRDefault="001C08A5">
            <w:pPr>
              <w:jc w:val="center"/>
              <w:rPr>
                <w:rFonts w:eastAsia="Verdana"/>
                <w:i/>
                <w:sz w:val="22"/>
                <w:szCs w:val="22"/>
              </w:rPr>
            </w:pPr>
          </w:p>
        </w:tc>
        <w:tc>
          <w:tcPr>
            <w:tcW w:w="2108" w:type="dxa"/>
            <w:vMerge/>
            <w:vAlign w:val="bottom"/>
          </w:tcPr>
          <w:p w14:paraId="61C8B523" w14:textId="77777777" w:rsidR="001C08A5" w:rsidRDefault="001C08A5">
            <w:pPr>
              <w:spacing w:line="190" w:lineRule="exact"/>
              <w:jc w:val="center"/>
              <w:rPr>
                <w:rFonts w:eastAsia="Verdana"/>
                <w:i/>
                <w:sz w:val="22"/>
                <w:szCs w:val="22"/>
                <w:lang w:val="en-US"/>
              </w:rPr>
            </w:pPr>
          </w:p>
        </w:tc>
        <w:tc>
          <w:tcPr>
            <w:tcW w:w="2707" w:type="dxa"/>
            <w:vAlign w:val="bottom"/>
          </w:tcPr>
          <w:p w14:paraId="6BD9FB58"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248C53EF" w14:textId="77777777" w:rsidR="001C08A5" w:rsidRDefault="00000000">
            <w:pPr>
              <w:spacing w:line="190" w:lineRule="exact"/>
              <w:jc w:val="center"/>
              <w:rPr>
                <w:rFonts w:eastAsia="Verdana"/>
                <w:i/>
                <w:sz w:val="22"/>
                <w:szCs w:val="22"/>
                <w:lang w:val="en-US"/>
              </w:rPr>
            </w:pPr>
            <w:r>
              <w:rPr>
                <w:rFonts w:eastAsia="Verdana"/>
                <w:b/>
                <w:bCs/>
                <w:i/>
                <w:sz w:val="22"/>
                <w:szCs w:val="22"/>
                <w:lang w:val="en-US" w:eastAsia="en-GB" w:bidi="en-GB"/>
              </w:rPr>
              <w:t>X</w:t>
            </w:r>
          </w:p>
        </w:tc>
        <w:tc>
          <w:tcPr>
            <w:tcW w:w="1561" w:type="dxa"/>
            <w:vAlign w:val="center"/>
          </w:tcPr>
          <w:p w14:paraId="367CC022" w14:textId="77777777" w:rsidR="001C08A5" w:rsidRDefault="001C08A5">
            <w:pPr>
              <w:jc w:val="center"/>
              <w:rPr>
                <w:rFonts w:eastAsia="Verdana"/>
                <w:i/>
                <w:sz w:val="22"/>
                <w:szCs w:val="22"/>
              </w:rPr>
            </w:pPr>
          </w:p>
        </w:tc>
      </w:tr>
      <w:tr w:rsidR="001C08A5" w14:paraId="502D9DB7" w14:textId="77777777">
        <w:tc>
          <w:tcPr>
            <w:tcW w:w="1738" w:type="dxa"/>
          </w:tcPr>
          <w:p w14:paraId="3818E2F0" w14:textId="77777777" w:rsidR="001C08A5" w:rsidRDefault="00000000">
            <w:pPr>
              <w:jc w:val="center"/>
              <w:rPr>
                <w:rFonts w:eastAsia="Verdana"/>
                <w:i/>
                <w:sz w:val="22"/>
                <w:szCs w:val="22"/>
              </w:rPr>
            </w:pPr>
            <w:r>
              <w:rPr>
                <w:rFonts w:eastAsia="Verdana"/>
                <w:b/>
                <w:bCs/>
                <w:i/>
                <w:sz w:val="22"/>
                <w:szCs w:val="22"/>
                <w:lang w:val="en-GB" w:eastAsia="en-GB" w:bidi="en-GB"/>
              </w:rPr>
              <w:t>Clădirile de cult supraterane</w:t>
            </w:r>
          </w:p>
        </w:tc>
        <w:tc>
          <w:tcPr>
            <w:tcW w:w="2108" w:type="dxa"/>
            <w:vAlign w:val="bottom"/>
          </w:tcPr>
          <w:p w14:paraId="2DC6D48D"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&lt; 200 de utilizatori</w:t>
            </w:r>
          </w:p>
        </w:tc>
        <w:tc>
          <w:tcPr>
            <w:tcW w:w="2707" w:type="dxa"/>
            <w:vAlign w:val="bottom"/>
          </w:tcPr>
          <w:p w14:paraId="3FD4E403"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Spre exterior*</w:t>
            </w:r>
          </w:p>
        </w:tc>
        <w:tc>
          <w:tcPr>
            <w:tcW w:w="1561" w:type="dxa"/>
            <w:vAlign w:val="center"/>
          </w:tcPr>
          <w:p w14:paraId="653C292B" w14:textId="77777777" w:rsidR="001C08A5" w:rsidRDefault="001C08A5">
            <w:pPr>
              <w:jc w:val="center"/>
              <w:rPr>
                <w:rFonts w:eastAsia="Verdana"/>
                <w:i/>
                <w:sz w:val="22"/>
                <w:szCs w:val="22"/>
              </w:rPr>
            </w:pPr>
          </w:p>
        </w:tc>
        <w:tc>
          <w:tcPr>
            <w:tcW w:w="1561" w:type="dxa"/>
            <w:vAlign w:val="center"/>
          </w:tcPr>
          <w:p w14:paraId="50044DE8" w14:textId="77777777" w:rsidR="001C08A5" w:rsidRDefault="001C08A5">
            <w:pPr>
              <w:jc w:val="center"/>
              <w:rPr>
                <w:rFonts w:eastAsia="Verdana"/>
                <w:i/>
                <w:sz w:val="22"/>
                <w:szCs w:val="22"/>
              </w:rPr>
            </w:pPr>
          </w:p>
        </w:tc>
      </w:tr>
      <w:tr w:rsidR="001C08A5" w14:paraId="79625122" w14:textId="77777777">
        <w:tc>
          <w:tcPr>
            <w:tcW w:w="1738" w:type="dxa"/>
          </w:tcPr>
          <w:p w14:paraId="0108468F" w14:textId="77777777" w:rsidR="001C08A5" w:rsidRDefault="001C08A5">
            <w:pPr>
              <w:jc w:val="center"/>
              <w:rPr>
                <w:rFonts w:eastAsia="Verdana"/>
                <w:i/>
                <w:sz w:val="22"/>
                <w:szCs w:val="22"/>
              </w:rPr>
            </w:pPr>
          </w:p>
        </w:tc>
        <w:tc>
          <w:tcPr>
            <w:tcW w:w="2108" w:type="dxa"/>
            <w:vAlign w:val="bottom"/>
          </w:tcPr>
          <w:p w14:paraId="35877D98"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 200 de utilizatori</w:t>
            </w:r>
          </w:p>
        </w:tc>
        <w:tc>
          <w:tcPr>
            <w:tcW w:w="2707" w:type="dxa"/>
            <w:vAlign w:val="bottom"/>
          </w:tcPr>
          <w:p w14:paraId="29E9F90D"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Spre exterior*</w:t>
            </w:r>
          </w:p>
        </w:tc>
        <w:tc>
          <w:tcPr>
            <w:tcW w:w="1561" w:type="dxa"/>
            <w:vAlign w:val="center"/>
          </w:tcPr>
          <w:p w14:paraId="10043BF2" w14:textId="77777777" w:rsidR="001C08A5" w:rsidRDefault="001C08A5">
            <w:pPr>
              <w:jc w:val="center"/>
              <w:rPr>
                <w:rFonts w:eastAsia="Verdana"/>
                <w:i/>
                <w:sz w:val="22"/>
                <w:szCs w:val="22"/>
              </w:rPr>
            </w:pPr>
          </w:p>
        </w:tc>
        <w:tc>
          <w:tcPr>
            <w:tcW w:w="1561" w:type="dxa"/>
            <w:vAlign w:val="center"/>
          </w:tcPr>
          <w:p w14:paraId="0D7C6CB0" w14:textId="77777777" w:rsidR="001C08A5" w:rsidRDefault="001C08A5">
            <w:pPr>
              <w:jc w:val="center"/>
              <w:rPr>
                <w:rFonts w:eastAsia="Verdana"/>
                <w:i/>
                <w:sz w:val="22"/>
                <w:szCs w:val="22"/>
              </w:rPr>
            </w:pPr>
          </w:p>
        </w:tc>
      </w:tr>
      <w:tr w:rsidR="001C08A5" w14:paraId="36830485" w14:textId="77777777">
        <w:tc>
          <w:tcPr>
            <w:tcW w:w="1738" w:type="dxa"/>
            <w:vMerge w:val="restart"/>
            <w:vAlign w:val="center"/>
          </w:tcPr>
          <w:p w14:paraId="4BCF8434" w14:textId="77777777" w:rsidR="001C08A5" w:rsidRDefault="00000000">
            <w:pPr>
              <w:spacing w:line="180" w:lineRule="exact"/>
              <w:jc w:val="center"/>
              <w:rPr>
                <w:rFonts w:eastAsia="Verdana"/>
                <w:i/>
                <w:sz w:val="22"/>
                <w:szCs w:val="22"/>
              </w:rPr>
            </w:pPr>
            <w:r>
              <w:rPr>
                <w:rFonts w:eastAsia="Verdana"/>
                <w:b/>
                <w:bCs/>
                <w:i/>
                <w:sz w:val="22"/>
                <w:szCs w:val="22"/>
                <w:lang w:val="en-GB" w:eastAsia="en-GB" w:bidi="en-GB"/>
              </w:rPr>
              <w:t>Clădiri de sport supraterane</w:t>
            </w:r>
          </w:p>
        </w:tc>
        <w:tc>
          <w:tcPr>
            <w:tcW w:w="2108" w:type="dxa"/>
            <w:vMerge w:val="restart"/>
            <w:vAlign w:val="bottom"/>
          </w:tcPr>
          <w:p w14:paraId="730FACA8"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&lt; 200 de utilizatori</w:t>
            </w:r>
          </w:p>
        </w:tc>
        <w:tc>
          <w:tcPr>
            <w:tcW w:w="2707" w:type="dxa"/>
            <w:vAlign w:val="bottom"/>
          </w:tcPr>
          <w:p w14:paraId="3B5FAD35"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60848D9D" w14:textId="77777777" w:rsidR="001C08A5" w:rsidRDefault="001C08A5">
            <w:pPr>
              <w:jc w:val="center"/>
              <w:rPr>
                <w:rFonts w:eastAsia="Verdana"/>
                <w:i/>
                <w:sz w:val="22"/>
                <w:szCs w:val="22"/>
              </w:rPr>
            </w:pPr>
          </w:p>
        </w:tc>
        <w:tc>
          <w:tcPr>
            <w:tcW w:w="1561" w:type="dxa"/>
            <w:vAlign w:val="center"/>
          </w:tcPr>
          <w:p w14:paraId="5839A530"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7364EC2B" w14:textId="77777777">
        <w:tc>
          <w:tcPr>
            <w:tcW w:w="1738" w:type="dxa"/>
            <w:vMerge/>
            <w:vAlign w:val="center"/>
          </w:tcPr>
          <w:p w14:paraId="5B51333D" w14:textId="77777777" w:rsidR="001C08A5" w:rsidRDefault="001C08A5">
            <w:pPr>
              <w:jc w:val="center"/>
              <w:rPr>
                <w:rFonts w:eastAsia="Verdana"/>
                <w:i/>
                <w:sz w:val="22"/>
                <w:szCs w:val="22"/>
              </w:rPr>
            </w:pPr>
          </w:p>
        </w:tc>
        <w:tc>
          <w:tcPr>
            <w:tcW w:w="2108" w:type="dxa"/>
            <w:vMerge/>
            <w:vAlign w:val="center"/>
          </w:tcPr>
          <w:p w14:paraId="55278B98" w14:textId="77777777" w:rsidR="001C08A5" w:rsidRDefault="001C08A5">
            <w:pPr>
              <w:spacing w:after="60" w:line="240" w:lineRule="exact"/>
              <w:jc w:val="center"/>
              <w:rPr>
                <w:rFonts w:eastAsia="Verdana"/>
                <w:i/>
                <w:sz w:val="22"/>
                <w:szCs w:val="22"/>
                <w:lang w:val="en-US"/>
              </w:rPr>
            </w:pPr>
          </w:p>
        </w:tc>
        <w:tc>
          <w:tcPr>
            <w:tcW w:w="2707" w:type="dxa"/>
            <w:vAlign w:val="center"/>
          </w:tcPr>
          <w:p w14:paraId="6923174A"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02416042" w14:textId="77777777" w:rsidR="001C08A5" w:rsidRDefault="001C08A5">
            <w:pPr>
              <w:jc w:val="center"/>
              <w:rPr>
                <w:rFonts w:eastAsia="Verdana"/>
                <w:i/>
                <w:sz w:val="22"/>
                <w:szCs w:val="22"/>
              </w:rPr>
            </w:pPr>
          </w:p>
        </w:tc>
        <w:tc>
          <w:tcPr>
            <w:tcW w:w="1561" w:type="dxa"/>
            <w:vAlign w:val="center"/>
          </w:tcPr>
          <w:p w14:paraId="21166672"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48AA0F2B" w14:textId="77777777">
        <w:tc>
          <w:tcPr>
            <w:tcW w:w="1738" w:type="dxa"/>
            <w:vMerge/>
            <w:vAlign w:val="center"/>
          </w:tcPr>
          <w:p w14:paraId="01C52CC7" w14:textId="77777777" w:rsidR="001C08A5" w:rsidRDefault="001C08A5">
            <w:pPr>
              <w:spacing w:line="180" w:lineRule="exact"/>
              <w:jc w:val="center"/>
              <w:rPr>
                <w:rFonts w:eastAsia="Verdana"/>
                <w:i/>
                <w:sz w:val="22"/>
                <w:szCs w:val="22"/>
              </w:rPr>
            </w:pPr>
          </w:p>
        </w:tc>
        <w:tc>
          <w:tcPr>
            <w:tcW w:w="2108" w:type="dxa"/>
            <w:vMerge w:val="restart"/>
            <w:vAlign w:val="bottom"/>
          </w:tcPr>
          <w:p w14:paraId="04538B37"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 200 de utilizatori</w:t>
            </w:r>
          </w:p>
        </w:tc>
        <w:tc>
          <w:tcPr>
            <w:tcW w:w="2707" w:type="dxa"/>
            <w:vAlign w:val="bottom"/>
          </w:tcPr>
          <w:p w14:paraId="141063F3"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53D716C4" w14:textId="77777777" w:rsidR="001C08A5" w:rsidRDefault="001C08A5">
            <w:pPr>
              <w:jc w:val="center"/>
              <w:rPr>
                <w:rFonts w:eastAsia="Verdana"/>
                <w:i/>
                <w:sz w:val="22"/>
                <w:szCs w:val="22"/>
              </w:rPr>
            </w:pPr>
          </w:p>
        </w:tc>
        <w:tc>
          <w:tcPr>
            <w:tcW w:w="1561" w:type="dxa"/>
            <w:vAlign w:val="center"/>
          </w:tcPr>
          <w:p w14:paraId="7D914251"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734F7358" w14:textId="77777777">
        <w:tc>
          <w:tcPr>
            <w:tcW w:w="1738" w:type="dxa"/>
            <w:vMerge/>
          </w:tcPr>
          <w:p w14:paraId="3F14B445" w14:textId="77777777" w:rsidR="001C08A5" w:rsidRDefault="001C08A5">
            <w:pPr>
              <w:jc w:val="center"/>
              <w:rPr>
                <w:rFonts w:eastAsia="Verdana"/>
                <w:i/>
                <w:sz w:val="22"/>
                <w:szCs w:val="22"/>
              </w:rPr>
            </w:pPr>
          </w:p>
        </w:tc>
        <w:tc>
          <w:tcPr>
            <w:tcW w:w="2108" w:type="dxa"/>
            <w:vMerge/>
            <w:vAlign w:val="bottom"/>
          </w:tcPr>
          <w:p w14:paraId="18549821" w14:textId="77777777" w:rsidR="001C08A5" w:rsidRDefault="001C08A5">
            <w:pPr>
              <w:spacing w:after="60" w:line="240" w:lineRule="exact"/>
              <w:jc w:val="center"/>
              <w:rPr>
                <w:rFonts w:eastAsia="Verdana"/>
                <w:i/>
                <w:sz w:val="22"/>
                <w:szCs w:val="22"/>
                <w:lang w:val="en-US"/>
              </w:rPr>
            </w:pPr>
          </w:p>
        </w:tc>
        <w:tc>
          <w:tcPr>
            <w:tcW w:w="2707" w:type="dxa"/>
            <w:vAlign w:val="bottom"/>
          </w:tcPr>
          <w:p w14:paraId="005CF465"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09188855"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0D32DCDB" w14:textId="77777777" w:rsidR="001C08A5" w:rsidRDefault="001C08A5">
            <w:pPr>
              <w:jc w:val="center"/>
              <w:rPr>
                <w:rFonts w:eastAsia="Verdana"/>
                <w:i/>
                <w:sz w:val="22"/>
                <w:szCs w:val="22"/>
              </w:rPr>
            </w:pPr>
          </w:p>
        </w:tc>
      </w:tr>
      <w:tr w:rsidR="001C08A5" w14:paraId="590E29D0" w14:textId="77777777">
        <w:tc>
          <w:tcPr>
            <w:tcW w:w="1738" w:type="dxa"/>
            <w:vMerge w:val="restart"/>
            <w:vAlign w:val="center"/>
          </w:tcPr>
          <w:p w14:paraId="4A08F7F3" w14:textId="77777777" w:rsidR="001C08A5" w:rsidRDefault="00000000">
            <w:pPr>
              <w:spacing w:after="60" w:line="240" w:lineRule="exact"/>
              <w:jc w:val="center"/>
              <w:rPr>
                <w:rFonts w:eastAsia="Verdana"/>
                <w:i/>
                <w:sz w:val="22"/>
                <w:szCs w:val="22"/>
              </w:rPr>
            </w:pPr>
            <w:r>
              <w:rPr>
                <w:rFonts w:eastAsia="Verdana"/>
                <w:b/>
                <w:bCs/>
                <w:i/>
                <w:sz w:val="22"/>
                <w:szCs w:val="22"/>
                <w:lang w:val="en-GB" w:eastAsia="en-GB" w:bidi="en-GB"/>
              </w:rPr>
              <w:t>Construcţii civile supraterane, montane sau din Delta Dunării, amplasate izolat</w:t>
            </w:r>
          </w:p>
        </w:tc>
        <w:tc>
          <w:tcPr>
            <w:tcW w:w="2108" w:type="dxa"/>
            <w:vMerge w:val="restart"/>
          </w:tcPr>
          <w:p w14:paraId="551CF753"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 xml:space="preserve">≤ 150 de locuri </w:t>
            </w:r>
            <w:r>
              <w:rPr>
                <w:rFonts w:eastAsia="Verdana"/>
                <w:b/>
                <w:bCs/>
                <w:i/>
                <w:sz w:val="22"/>
                <w:szCs w:val="22"/>
                <w:lang w:val="en-GB" w:eastAsia="en-GB" w:bidi="en-GB"/>
              </w:rPr>
              <w:t xml:space="preserve">de </w:t>
            </w:r>
            <w:r>
              <w:rPr>
                <w:rFonts w:eastAsia="Verdana"/>
                <w:b/>
                <w:bCs/>
                <w:i/>
                <w:sz w:val="22"/>
                <w:szCs w:val="22"/>
                <w:lang w:val="en-US" w:eastAsia="en-GB" w:bidi="en-GB"/>
              </w:rPr>
              <w:t>cazare (cu excepția restaurantului, etc.)</w:t>
            </w:r>
          </w:p>
        </w:tc>
        <w:tc>
          <w:tcPr>
            <w:tcW w:w="2707" w:type="dxa"/>
          </w:tcPr>
          <w:p w14:paraId="53490105"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32B8FCCD" w14:textId="77777777" w:rsidR="001C08A5" w:rsidRDefault="001C08A5">
            <w:pPr>
              <w:spacing w:after="60" w:line="240" w:lineRule="exact"/>
              <w:jc w:val="center"/>
              <w:rPr>
                <w:rFonts w:eastAsia="Verdana"/>
                <w:i/>
                <w:sz w:val="22"/>
                <w:szCs w:val="22"/>
              </w:rPr>
            </w:pPr>
          </w:p>
        </w:tc>
        <w:tc>
          <w:tcPr>
            <w:tcW w:w="1561" w:type="dxa"/>
            <w:vAlign w:val="center"/>
          </w:tcPr>
          <w:p w14:paraId="7DC71218"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0151EC4E" w14:textId="77777777">
        <w:tc>
          <w:tcPr>
            <w:tcW w:w="1738" w:type="dxa"/>
            <w:vMerge/>
            <w:vAlign w:val="center"/>
          </w:tcPr>
          <w:p w14:paraId="0F66FD96" w14:textId="77777777" w:rsidR="001C08A5" w:rsidRDefault="001C08A5">
            <w:pPr>
              <w:jc w:val="center"/>
              <w:rPr>
                <w:rFonts w:eastAsia="Verdana"/>
                <w:i/>
                <w:sz w:val="22"/>
                <w:szCs w:val="22"/>
              </w:rPr>
            </w:pPr>
          </w:p>
        </w:tc>
        <w:tc>
          <w:tcPr>
            <w:tcW w:w="2108" w:type="dxa"/>
            <w:vMerge/>
            <w:vAlign w:val="bottom"/>
          </w:tcPr>
          <w:p w14:paraId="7D1B21FB" w14:textId="77777777" w:rsidR="001C08A5" w:rsidRDefault="001C08A5">
            <w:pPr>
              <w:spacing w:after="60" w:line="240" w:lineRule="exact"/>
              <w:jc w:val="center"/>
              <w:rPr>
                <w:rFonts w:eastAsia="Verdana"/>
                <w:i/>
                <w:sz w:val="22"/>
                <w:szCs w:val="22"/>
                <w:lang w:val="en-US"/>
              </w:rPr>
            </w:pPr>
          </w:p>
        </w:tc>
        <w:tc>
          <w:tcPr>
            <w:tcW w:w="2707" w:type="dxa"/>
            <w:vAlign w:val="bottom"/>
          </w:tcPr>
          <w:p w14:paraId="14F386C2"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5D857B98" w14:textId="77777777" w:rsidR="001C08A5" w:rsidRDefault="001C08A5">
            <w:pPr>
              <w:jc w:val="center"/>
              <w:rPr>
                <w:rFonts w:eastAsia="Verdana"/>
                <w:i/>
                <w:sz w:val="22"/>
                <w:szCs w:val="22"/>
              </w:rPr>
            </w:pPr>
          </w:p>
        </w:tc>
        <w:tc>
          <w:tcPr>
            <w:tcW w:w="1561" w:type="dxa"/>
            <w:vAlign w:val="center"/>
          </w:tcPr>
          <w:p w14:paraId="64E35C1F"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62420F5A" w14:textId="77777777">
        <w:tc>
          <w:tcPr>
            <w:tcW w:w="1738" w:type="dxa"/>
            <w:vMerge/>
            <w:vAlign w:val="center"/>
          </w:tcPr>
          <w:p w14:paraId="3EE3140C" w14:textId="77777777" w:rsidR="001C08A5" w:rsidRDefault="001C08A5">
            <w:pPr>
              <w:spacing w:after="60" w:line="240" w:lineRule="exact"/>
              <w:jc w:val="center"/>
              <w:rPr>
                <w:rFonts w:eastAsia="Verdana"/>
                <w:i/>
                <w:sz w:val="22"/>
                <w:szCs w:val="22"/>
              </w:rPr>
            </w:pPr>
          </w:p>
        </w:tc>
        <w:tc>
          <w:tcPr>
            <w:tcW w:w="2108" w:type="dxa"/>
            <w:vMerge w:val="restart"/>
          </w:tcPr>
          <w:p w14:paraId="2884F48B" w14:textId="77777777" w:rsidR="001C08A5" w:rsidRDefault="00000000">
            <w:pPr>
              <w:spacing w:after="60" w:line="240" w:lineRule="exact"/>
              <w:jc w:val="center"/>
              <w:rPr>
                <w:rFonts w:eastAsia="Verdana"/>
                <w:i/>
                <w:sz w:val="22"/>
                <w:szCs w:val="22"/>
                <w:lang w:val="en-US"/>
              </w:rPr>
            </w:pPr>
            <w:proofErr w:type="gramStart"/>
            <w:r>
              <w:rPr>
                <w:rFonts w:eastAsia="Verdana"/>
                <w:b/>
                <w:bCs/>
                <w:i/>
                <w:sz w:val="22"/>
                <w:szCs w:val="22"/>
                <w:lang w:val="en-US" w:eastAsia="en-GB" w:bidi="en-GB"/>
              </w:rPr>
              <w:t>&gt;  150</w:t>
            </w:r>
            <w:proofErr w:type="gramEnd"/>
            <w:r>
              <w:rPr>
                <w:rFonts w:eastAsia="Verdana"/>
                <w:b/>
                <w:bCs/>
                <w:i/>
                <w:sz w:val="22"/>
                <w:szCs w:val="22"/>
                <w:lang w:val="en-US" w:eastAsia="en-GB" w:bidi="en-GB"/>
              </w:rPr>
              <w:t xml:space="preserve"> de locuri </w:t>
            </w:r>
            <w:r>
              <w:rPr>
                <w:rFonts w:eastAsia="Verdana"/>
                <w:b/>
                <w:bCs/>
                <w:i/>
                <w:sz w:val="22"/>
                <w:szCs w:val="22"/>
                <w:lang w:val="en-GB" w:eastAsia="en-GB" w:bidi="en-GB"/>
              </w:rPr>
              <w:t xml:space="preserve">de </w:t>
            </w:r>
            <w:r>
              <w:rPr>
                <w:rFonts w:eastAsia="Verdana"/>
                <w:b/>
                <w:bCs/>
                <w:i/>
                <w:sz w:val="22"/>
                <w:szCs w:val="22"/>
                <w:lang w:val="en-US" w:eastAsia="en-GB" w:bidi="en-GB"/>
              </w:rPr>
              <w:t>cazare (cu excepția restaurantului, etc.)</w:t>
            </w:r>
          </w:p>
        </w:tc>
        <w:tc>
          <w:tcPr>
            <w:tcW w:w="2707" w:type="dxa"/>
          </w:tcPr>
          <w:p w14:paraId="0FA631D2"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75D1F70A" w14:textId="77777777" w:rsidR="001C08A5" w:rsidRDefault="001C08A5">
            <w:pPr>
              <w:spacing w:after="60" w:line="240" w:lineRule="exact"/>
              <w:jc w:val="center"/>
              <w:rPr>
                <w:rFonts w:eastAsia="Verdana"/>
                <w:i/>
                <w:sz w:val="22"/>
                <w:szCs w:val="22"/>
              </w:rPr>
            </w:pPr>
          </w:p>
        </w:tc>
        <w:tc>
          <w:tcPr>
            <w:tcW w:w="1561" w:type="dxa"/>
            <w:vAlign w:val="center"/>
          </w:tcPr>
          <w:p w14:paraId="12FF2BDA"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33E0925E" w14:textId="77777777">
        <w:tc>
          <w:tcPr>
            <w:tcW w:w="1738" w:type="dxa"/>
            <w:vMerge/>
          </w:tcPr>
          <w:p w14:paraId="1B53E2A3" w14:textId="77777777" w:rsidR="001C08A5" w:rsidRDefault="001C08A5">
            <w:pPr>
              <w:jc w:val="center"/>
              <w:rPr>
                <w:rFonts w:eastAsia="Verdana"/>
                <w:i/>
                <w:sz w:val="22"/>
                <w:szCs w:val="22"/>
              </w:rPr>
            </w:pPr>
          </w:p>
        </w:tc>
        <w:tc>
          <w:tcPr>
            <w:tcW w:w="2108" w:type="dxa"/>
            <w:vMerge/>
            <w:vAlign w:val="bottom"/>
          </w:tcPr>
          <w:p w14:paraId="7C2A531D" w14:textId="77777777" w:rsidR="001C08A5" w:rsidRDefault="001C08A5">
            <w:pPr>
              <w:spacing w:line="190" w:lineRule="exact"/>
              <w:jc w:val="center"/>
              <w:rPr>
                <w:rFonts w:eastAsia="Verdana"/>
                <w:i/>
                <w:sz w:val="22"/>
                <w:szCs w:val="22"/>
                <w:lang w:val="en-US"/>
              </w:rPr>
            </w:pPr>
          </w:p>
        </w:tc>
        <w:tc>
          <w:tcPr>
            <w:tcW w:w="2707" w:type="dxa"/>
            <w:vAlign w:val="bottom"/>
          </w:tcPr>
          <w:p w14:paraId="7EC37FCF"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2D0B2734"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1FEBCB3C" w14:textId="77777777" w:rsidR="001C08A5" w:rsidRDefault="001C08A5">
            <w:pPr>
              <w:jc w:val="center"/>
              <w:rPr>
                <w:rFonts w:eastAsia="Verdana"/>
                <w:i/>
                <w:sz w:val="22"/>
                <w:szCs w:val="22"/>
              </w:rPr>
            </w:pPr>
          </w:p>
        </w:tc>
      </w:tr>
      <w:tr w:rsidR="001C08A5" w14:paraId="5F9AA939" w14:textId="77777777">
        <w:tc>
          <w:tcPr>
            <w:tcW w:w="3846" w:type="dxa"/>
            <w:gridSpan w:val="2"/>
            <w:vAlign w:val="center"/>
          </w:tcPr>
          <w:p w14:paraId="495BE442" w14:textId="77777777" w:rsidR="001C08A5" w:rsidRDefault="00000000">
            <w:pPr>
              <w:jc w:val="center"/>
              <w:rPr>
                <w:rFonts w:eastAsia="Verdana"/>
                <w:i/>
                <w:sz w:val="22"/>
                <w:szCs w:val="22"/>
              </w:rPr>
            </w:pPr>
            <w:r>
              <w:rPr>
                <w:rFonts w:eastAsia="Verdana"/>
                <w:b/>
                <w:bCs/>
                <w:i/>
                <w:sz w:val="22"/>
                <w:szCs w:val="22"/>
                <w:lang w:val="en-GB" w:eastAsia="en-GB" w:bidi="en-GB"/>
              </w:rPr>
              <w:t>Parcaje pentru autoturisme</w:t>
            </w:r>
          </w:p>
        </w:tc>
        <w:tc>
          <w:tcPr>
            <w:tcW w:w="5829" w:type="dxa"/>
            <w:gridSpan w:val="3"/>
            <w:vAlign w:val="center"/>
          </w:tcPr>
          <w:p w14:paraId="65509616"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 / Bariere cu deschidere automata</w:t>
            </w:r>
          </w:p>
        </w:tc>
      </w:tr>
      <w:tr w:rsidR="001C08A5" w14:paraId="7636655B" w14:textId="77777777">
        <w:tc>
          <w:tcPr>
            <w:tcW w:w="3846" w:type="dxa"/>
            <w:gridSpan w:val="2"/>
            <w:vAlign w:val="center"/>
          </w:tcPr>
          <w:p w14:paraId="4B5AEABD" w14:textId="77777777" w:rsidR="001C08A5" w:rsidRDefault="00000000">
            <w:pPr>
              <w:jc w:val="center"/>
              <w:rPr>
                <w:rFonts w:eastAsia="Verdana"/>
                <w:i/>
                <w:sz w:val="22"/>
                <w:szCs w:val="22"/>
              </w:rPr>
            </w:pPr>
            <w:r>
              <w:rPr>
                <w:rFonts w:eastAsia="Verdana"/>
                <w:b/>
                <w:bCs/>
                <w:i/>
                <w:sz w:val="22"/>
                <w:szCs w:val="22"/>
                <w:lang w:val="en-GB" w:eastAsia="en-GB" w:bidi="en-GB"/>
              </w:rPr>
              <w:t>Stadioane, arene sportive</w:t>
            </w:r>
          </w:p>
        </w:tc>
        <w:tc>
          <w:tcPr>
            <w:tcW w:w="5829" w:type="dxa"/>
            <w:gridSpan w:val="3"/>
            <w:vAlign w:val="center"/>
          </w:tcPr>
          <w:p w14:paraId="79EC383D"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 / turnicheti</w:t>
            </w:r>
          </w:p>
        </w:tc>
      </w:tr>
      <w:tr w:rsidR="001C08A5" w14:paraId="1E8C030A" w14:textId="77777777">
        <w:tc>
          <w:tcPr>
            <w:tcW w:w="3846" w:type="dxa"/>
            <w:gridSpan w:val="2"/>
            <w:vAlign w:val="center"/>
          </w:tcPr>
          <w:p w14:paraId="1FDB552A" w14:textId="77777777" w:rsidR="001C08A5" w:rsidRDefault="00000000">
            <w:pPr>
              <w:jc w:val="center"/>
              <w:rPr>
                <w:rFonts w:eastAsia="Verdana"/>
                <w:i/>
                <w:sz w:val="22"/>
                <w:szCs w:val="22"/>
              </w:rPr>
            </w:pPr>
            <w:r>
              <w:rPr>
                <w:rFonts w:eastAsia="Verdana"/>
                <w:b/>
                <w:bCs/>
                <w:i/>
                <w:sz w:val="22"/>
                <w:szCs w:val="22"/>
                <w:lang w:val="en-GB" w:eastAsia="en-GB" w:bidi="en-GB"/>
              </w:rPr>
              <w:t>Amenajări pentru spectacole în aer liber şi corturi</w:t>
            </w:r>
          </w:p>
        </w:tc>
        <w:tc>
          <w:tcPr>
            <w:tcW w:w="5829" w:type="dxa"/>
            <w:gridSpan w:val="3"/>
            <w:vAlign w:val="center"/>
          </w:tcPr>
          <w:p w14:paraId="3C5EDE89"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 / bariere de dirijare a circulaţiei</w:t>
            </w:r>
            <w:r>
              <w:rPr>
                <w:rFonts w:eastAsia="Verdana"/>
                <w:b/>
                <w:bCs/>
                <w:i/>
                <w:sz w:val="22"/>
                <w:szCs w:val="22"/>
                <w:lang w:val="en-GB" w:eastAsia="en-GB" w:bidi="en-GB"/>
              </w:rPr>
              <w:t xml:space="preserve"> </w:t>
            </w:r>
            <w:r>
              <w:rPr>
                <w:rFonts w:eastAsia="Verdana"/>
                <w:b/>
                <w:bCs/>
                <w:i/>
                <w:sz w:val="22"/>
                <w:szCs w:val="22"/>
                <w:lang w:val="en-US" w:eastAsia="en-GB" w:bidi="en-GB"/>
              </w:rPr>
              <w:t>realizate şi amplasate</w:t>
            </w:r>
            <w:r>
              <w:rPr>
                <w:rFonts w:eastAsia="Verdana"/>
                <w:b/>
                <w:bCs/>
                <w:i/>
                <w:sz w:val="22"/>
                <w:szCs w:val="22"/>
                <w:lang w:val="en-GB" w:eastAsia="en-GB" w:bidi="en-GB"/>
              </w:rPr>
              <w:t xml:space="preserve"> astfel </w:t>
            </w:r>
            <w:r>
              <w:rPr>
                <w:rFonts w:eastAsia="Verdana"/>
                <w:b/>
                <w:bCs/>
                <w:i/>
                <w:sz w:val="22"/>
                <w:szCs w:val="22"/>
                <w:lang w:val="en-US" w:eastAsia="en-GB" w:bidi="en-GB"/>
              </w:rPr>
              <w:t>încât să nu împiedice circulaţia şi evacuarea</w:t>
            </w:r>
            <w:r>
              <w:rPr>
                <w:rFonts w:eastAsia="Verdana"/>
                <w:b/>
                <w:bCs/>
                <w:i/>
                <w:sz w:val="22"/>
                <w:szCs w:val="22"/>
                <w:lang w:val="en-GB" w:eastAsia="en-GB" w:bidi="en-GB"/>
              </w:rPr>
              <w:t xml:space="preserve"> </w:t>
            </w:r>
            <w:r>
              <w:rPr>
                <w:rFonts w:eastAsia="Verdana"/>
                <w:b/>
                <w:bCs/>
                <w:i/>
                <w:sz w:val="22"/>
                <w:szCs w:val="22"/>
                <w:lang w:val="en-US" w:eastAsia="en-GB" w:bidi="en-GB"/>
              </w:rPr>
              <w:t>utilizatorilor</w:t>
            </w:r>
          </w:p>
        </w:tc>
      </w:tr>
      <w:tr w:rsidR="001C08A5" w14:paraId="21402548" w14:textId="77777777">
        <w:tc>
          <w:tcPr>
            <w:tcW w:w="3846" w:type="dxa"/>
            <w:gridSpan w:val="2"/>
            <w:vAlign w:val="center"/>
          </w:tcPr>
          <w:p w14:paraId="7C5D653B" w14:textId="77777777" w:rsidR="001C08A5" w:rsidRDefault="00000000">
            <w:pPr>
              <w:jc w:val="center"/>
              <w:rPr>
                <w:rFonts w:eastAsia="Verdana"/>
                <w:i/>
                <w:sz w:val="22"/>
                <w:szCs w:val="22"/>
              </w:rPr>
            </w:pPr>
            <w:r>
              <w:rPr>
                <w:rFonts w:eastAsia="Verdana"/>
                <w:b/>
                <w:bCs/>
                <w:i/>
                <w:sz w:val="22"/>
                <w:szCs w:val="22"/>
                <w:lang w:val="en-GB" w:eastAsia="en-GB" w:bidi="en-GB"/>
              </w:rPr>
              <w:t>Campinguri</w:t>
            </w:r>
          </w:p>
        </w:tc>
        <w:tc>
          <w:tcPr>
            <w:tcW w:w="5829" w:type="dxa"/>
            <w:gridSpan w:val="3"/>
            <w:vAlign w:val="center"/>
          </w:tcPr>
          <w:p w14:paraId="26017708" w14:textId="77777777" w:rsidR="001C08A5" w:rsidRDefault="00000000">
            <w:pPr>
              <w:jc w:val="center"/>
              <w:rPr>
                <w:rFonts w:eastAsia="Verdana"/>
                <w:i/>
                <w:sz w:val="22"/>
                <w:szCs w:val="22"/>
                <w:lang w:val="en-US"/>
              </w:rPr>
            </w:pPr>
            <w:r>
              <w:rPr>
                <w:rFonts w:eastAsia="Verdana"/>
                <w:b/>
                <w:bCs/>
                <w:i/>
                <w:sz w:val="22"/>
                <w:szCs w:val="22"/>
                <w:lang w:val="en-US" w:eastAsia="en-GB" w:bidi="en-GB"/>
              </w:rPr>
              <w:t>-</w:t>
            </w:r>
          </w:p>
        </w:tc>
      </w:tr>
      <w:tr w:rsidR="001C08A5" w14:paraId="05A082DF" w14:textId="77777777">
        <w:tc>
          <w:tcPr>
            <w:tcW w:w="3846" w:type="dxa"/>
            <w:gridSpan w:val="2"/>
            <w:vMerge w:val="restart"/>
            <w:vAlign w:val="center"/>
          </w:tcPr>
          <w:p w14:paraId="34E2F78D" w14:textId="77777777" w:rsidR="001C08A5" w:rsidRDefault="00000000">
            <w:pPr>
              <w:spacing w:line="190" w:lineRule="exact"/>
              <w:jc w:val="center"/>
              <w:rPr>
                <w:rFonts w:eastAsia="Verdana"/>
                <w:i/>
                <w:sz w:val="22"/>
                <w:szCs w:val="22"/>
                <w:lang w:val="en-US"/>
              </w:rPr>
            </w:pPr>
            <w:r>
              <w:rPr>
                <w:rFonts w:eastAsia="Verdana"/>
                <w:b/>
                <w:bCs/>
                <w:i/>
                <w:sz w:val="22"/>
                <w:szCs w:val="22"/>
                <w:lang w:val="en-US" w:eastAsia="en-GB" w:bidi="en-GB"/>
              </w:rPr>
              <w:t>Clădiri civile supraterane înalte</w:t>
            </w:r>
          </w:p>
        </w:tc>
        <w:tc>
          <w:tcPr>
            <w:tcW w:w="2707" w:type="dxa"/>
          </w:tcPr>
          <w:p w14:paraId="023F9F23"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Încăperi tampon</w:t>
            </w:r>
            <w:r>
              <w:rPr>
                <w:rFonts w:eastAsia="Verdana"/>
                <w:b/>
                <w:bCs/>
                <w:i/>
                <w:sz w:val="22"/>
                <w:szCs w:val="22"/>
                <w:lang w:val="en-GB" w:eastAsia="en-GB" w:bidi="en-GB"/>
              </w:rPr>
              <w:t xml:space="preserve"> l</w:t>
            </w:r>
            <w:r>
              <w:rPr>
                <w:rFonts w:eastAsia="Verdana"/>
                <w:b/>
                <w:bCs/>
                <w:i/>
                <w:sz w:val="22"/>
                <w:szCs w:val="22"/>
                <w:lang w:val="en-US" w:eastAsia="en-GB" w:bidi="en-GB"/>
              </w:rPr>
              <w:t>a scară</w:t>
            </w:r>
          </w:p>
        </w:tc>
        <w:tc>
          <w:tcPr>
            <w:tcW w:w="1561" w:type="dxa"/>
            <w:vAlign w:val="center"/>
          </w:tcPr>
          <w:p w14:paraId="5DC8BD0E"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7909BCE5" w14:textId="77777777" w:rsidR="001C08A5" w:rsidRDefault="001C08A5">
            <w:pPr>
              <w:spacing w:after="60" w:line="240" w:lineRule="exact"/>
              <w:jc w:val="center"/>
              <w:rPr>
                <w:rFonts w:eastAsia="Verdana"/>
                <w:i/>
                <w:sz w:val="22"/>
                <w:szCs w:val="22"/>
              </w:rPr>
            </w:pPr>
          </w:p>
        </w:tc>
      </w:tr>
      <w:tr w:rsidR="001C08A5" w14:paraId="0F822A00" w14:textId="77777777">
        <w:tc>
          <w:tcPr>
            <w:tcW w:w="3846" w:type="dxa"/>
            <w:gridSpan w:val="2"/>
            <w:vMerge/>
            <w:vAlign w:val="center"/>
          </w:tcPr>
          <w:p w14:paraId="79C96B37" w14:textId="77777777" w:rsidR="001C08A5" w:rsidRDefault="001C08A5">
            <w:pPr>
              <w:spacing w:line="190" w:lineRule="exact"/>
              <w:jc w:val="center"/>
              <w:rPr>
                <w:rFonts w:eastAsia="Verdana"/>
                <w:i/>
                <w:sz w:val="22"/>
                <w:szCs w:val="22"/>
                <w:lang w:val="en-US"/>
              </w:rPr>
            </w:pPr>
          </w:p>
        </w:tc>
        <w:tc>
          <w:tcPr>
            <w:tcW w:w="2707" w:type="dxa"/>
            <w:vAlign w:val="bottom"/>
          </w:tcPr>
          <w:p w14:paraId="3F2324C0"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 xml:space="preserve">De la </w:t>
            </w:r>
            <w:r>
              <w:rPr>
                <w:rFonts w:eastAsia="Verdana"/>
                <w:b/>
                <w:bCs/>
                <w:i/>
                <w:sz w:val="22"/>
                <w:szCs w:val="22"/>
                <w:lang w:val="en-GB" w:eastAsia="en-GB" w:bidi="en-GB"/>
              </w:rPr>
              <w:t>i</w:t>
            </w:r>
            <w:r>
              <w:rPr>
                <w:rFonts w:eastAsia="Verdana"/>
                <w:b/>
                <w:bCs/>
                <w:i/>
                <w:sz w:val="22"/>
                <w:szCs w:val="22"/>
                <w:lang w:val="en-US" w:eastAsia="en-GB" w:bidi="en-GB"/>
              </w:rPr>
              <w:t>ncăperi tampon</w:t>
            </w:r>
            <w:r>
              <w:rPr>
                <w:rFonts w:eastAsia="Verdana"/>
                <w:b/>
                <w:bCs/>
                <w:i/>
                <w:sz w:val="22"/>
                <w:szCs w:val="22"/>
                <w:lang w:val="en-GB" w:eastAsia="en-GB" w:bidi="en-GB"/>
              </w:rPr>
              <w:t xml:space="preserve"> l</w:t>
            </w:r>
            <w:r>
              <w:rPr>
                <w:rFonts w:eastAsia="Verdana"/>
                <w:b/>
                <w:bCs/>
                <w:i/>
                <w:sz w:val="22"/>
                <w:szCs w:val="22"/>
                <w:lang w:val="en-US" w:eastAsia="en-GB" w:bidi="en-GB"/>
              </w:rPr>
              <w:t>a scară spre exterior*</w:t>
            </w:r>
          </w:p>
        </w:tc>
        <w:tc>
          <w:tcPr>
            <w:tcW w:w="1561" w:type="dxa"/>
            <w:vAlign w:val="center"/>
          </w:tcPr>
          <w:p w14:paraId="4245B8AF" w14:textId="77777777" w:rsidR="001C08A5" w:rsidRDefault="00000000">
            <w:pPr>
              <w:jc w:val="center"/>
              <w:rPr>
                <w:rFonts w:eastAsia="Verdana"/>
                <w:i/>
                <w:sz w:val="22"/>
                <w:szCs w:val="22"/>
              </w:rPr>
            </w:pPr>
            <w:r>
              <w:rPr>
                <w:rFonts w:eastAsia="Verdana"/>
                <w:b/>
                <w:bCs/>
                <w:i/>
                <w:sz w:val="22"/>
                <w:szCs w:val="22"/>
                <w:lang w:val="en-US" w:eastAsia="en-GB" w:bidi="en-GB"/>
              </w:rPr>
              <w:t>X</w:t>
            </w:r>
          </w:p>
        </w:tc>
        <w:tc>
          <w:tcPr>
            <w:tcW w:w="1561" w:type="dxa"/>
            <w:vAlign w:val="center"/>
          </w:tcPr>
          <w:p w14:paraId="07CAF0BD" w14:textId="77777777" w:rsidR="001C08A5" w:rsidRDefault="001C08A5">
            <w:pPr>
              <w:spacing w:line="190" w:lineRule="exact"/>
              <w:jc w:val="center"/>
              <w:rPr>
                <w:rFonts w:eastAsia="Verdana"/>
                <w:i/>
                <w:sz w:val="22"/>
                <w:szCs w:val="22"/>
              </w:rPr>
            </w:pPr>
          </w:p>
        </w:tc>
      </w:tr>
      <w:tr w:rsidR="001C08A5" w14:paraId="36C3304E" w14:textId="77777777">
        <w:tc>
          <w:tcPr>
            <w:tcW w:w="3846" w:type="dxa"/>
            <w:gridSpan w:val="2"/>
            <w:vMerge/>
            <w:vAlign w:val="center"/>
          </w:tcPr>
          <w:p w14:paraId="0F920357" w14:textId="77777777" w:rsidR="001C08A5" w:rsidRDefault="001C08A5">
            <w:pPr>
              <w:spacing w:after="60" w:line="240" w:lineRule="exact"/>
              <w:jc w:val="center"/>
              <w:rPr>
                <w:rFonts w:eastAsia="Verdana"/>
                <w:i/>
                <w:sz w:val="22"/>
                <w:szCs w:val="22"/>
                <w:lang w:val="en-US"/>
              </w:rPr>
            </w:pPr>
          </w:p>
        </w:tc>
        <w:tc>
          <w:tcPr>
            <w:tcW w:w="2707" w:type="dxa"/>
          </w:tcPr>
          <w:p w14:paraId="6F96E310"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Orice spatiu &gt; 50 persoane</w:t>
            </w:r>
          </w:p>
        </w:tc>
        <w:tc>
          <w:tcPr>
            <w:tcW w:w="1561" w:type="dxa"/>
            <w:vAlign w:val="center"/>
          </w:tcPr>
          <w:p w14:paraId="0A91E170"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19824CA6" w14:textId="77777777" w:rsidR="001C08A5" w:rsidRDefault="001C08A5">
            <w:pPr>
              <w:spacing w:after="60" w:line="240" w:lineRule="exact"/>
              <w:jc w:val="center"/>
              <w:rPr>
                <w:rFonts w:eastAsia="Verdana"/>
                <w:i/>
                <w:sz w:val="22"/>
                <w:szCs w:val="22"/>
              </w:rPr>
            </w:pPr>
          </w:p>
        </w:tc>
      </w:tr>
      <w:tr w:rsidR="001C08A5" w14:paraId="23E1F0F9" w14:textId="77777777">
        <w:tc>
          <w:tcPr>
            <w:tcW w:w="3846" w:type="dxa"/>
            <w:gridSpan w:val="2"/>
            <w:vMerge w:val="restart"/>
            <w:vAlign w:val="center"/>
          </w:tcPr>
          <w:p w14:paraId="7920FC6B"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Clădiri civile supraterane foarte înalte</w:t>
            </w:r>
          </w:p>
        </w:tc>
        <w:tc>
          <w:tcPr>
            <w:tcW w:w="2707" w:type="dxa"/>
          </w:tcPr>
          <w:p w14:paraId="01809E25" w14:textId="77777777" w:rsidR="001C08A5" w:rsidRDefault="00000000">
            <w:pPr>
              <w:spacing w:after="60" w:line="240" w:lineRule="exact"/>
              <w:jc w:val="center"/>
              <w:rPr>
                <w:rFonts w:eastAsia="Verdana"/>
                <w:i/>
                <w:sz w:val="22"/>
                <w:szCs w:val="22"/>
              </w:rPr>
            </w:pPr>
            <w:r>
              <w:rPr>
                <w:rFonts w:eastAsia="Arial"/>
                <w:b/>
                <w:bCs/>
                <w:i/>
                <w:sz w:val="22"/>
                <w:szCs w:val="22"/>
              </w:rPr>
              <w:t>Încăperi tampon</w:t>
            </w:r>
            <w:r>
              <w:rPr>
                <w:rFonts w:eastAsia="Arial"/>
                <w:b/>
                <w:bCs/>
                <w:i/>
                <w:sz w:val="22"/>
                <w:szCs w:val="22"/>
                <w:lang w:val="en-GB"/>
              </w:rPr>
              <w:t xml:space="preserve"> l</w:t>
            </w:r>
            <w:r>
              <w:rPr>
                <w:rFonts w:eastAsia="Verdana"/>
                <w:b/>
                <w:bCs/>
                <w:i/>
                <w:sz w:val="22"/>
                <w:szCs w:val="22"/>
                <w:lang w:val="en-US" w:eastAsia="en-GB" w:bidi="en-GB"/>
              </w:rPr>
              <w:t>a scară</w:t>
            </w:r>
          </w:p>
        </w:tc>
        <w:tc>
          <w:tcPr>
            <w:tcW w:w="1561" w:type="dxa"/>
            <w:vAlign w:val="center"/>
          </w:tcPr>
          <w:p w14:paraId="3E3F9BED"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294DAC91" w14:textId="77777777" w:rsidR="001C08A5" w:rsidRDefault="001C08A5">
            <w:pPr>
              <w:spacing w:after="60" w:line="240" w:lineRule="exact"/>
              <w:jc w:val="center"/>
              <w:rPr>
                <w:rFonts w:eastAsia="Verdana"/>
                <w:i/>
                <w:sz w:val="22"/>
                <w:szCs w:val="22"/>
              </w:rPr>
            </w:pPr>
          </w:p>
        </w:tc>
      </w:tr>
      <w:tr w:rsidR="001C08A5" w14:paraId="47550777" w14:textId="77777777">
        <w:tc>
          <w:tcPr>
            <w:tcW w:w="3846" w:type="dxa"/>
            <w:gridSpan w:val="2"/>
            <w:vMerge/>
            <w:vAlign w:val="center"/>
          </w:tcPr>
          <w:p w14:paraId="2DE64013" w14:textId="77777777" w:rsidR="001C08A5" w:rsidRDefault="001C08A5">
            <w:pPr>
              <w:spacing w:line="190" w:lineRule="exact"/>
              <w:jc w:val="center"/>
              <w:rPr>
                <w:rFonts w:eastAsia="Verdana"/>
                <w:i/>
                <w:sz w:val="22"/>
                <w:szCs w:val="22"/>
              </w:rPr>
            </w:pPr>
          </w:p>
        </w:tc>
        <w:tc>
          <w:tcPr>
            <w:tcW w:w="2707" w:type="dxa"/>
            <w:vAlign w:val="bottom"/>
          </w:tcPr>
          <w:p w14:paraId="7534D48B"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 xml:space="preserve">De la </w:t>
            </w:r>
            <w:r>
              <w:rPr>
                <w:rFonts w:eastAsia="Verdana"/>
                <w:b/>
                <w:bCs/>
                <w:i/>
                <w:sz w:val="22"/>
                <w:szCs w:val="22"/>
                <w:lang w:val="en-GB" w:eastAsia="en-GB" w:bidi="en-GB"/>
              </w:rPr>
              <w:t>i</w:t>
            </w:r>
            <w:r>
              <w:rPr>
                <w:rFonts w:eastAsia="Verdana"/>
                <w:b/>
                <w:bCs/>
                <w:i/>
                <w:sz w:val="22"/>
                <w:szCs w:val="22"/>
                <w:lang w:val="en-US" w:eastAsia="en-GB" w:bidi="en-GB"/>
              </w:rPr>
              <w:t>ncăperi tampon</w:t>
            </w:r>
            <w:r>
              <w:rPr>
                <w:rFonts w:eastAsia="Verdana"/>
                <w:b/>
                <w:bCs/>
                <w:i/>
                <w:sz w:val="22"/>
                <w:szCs w:val="22"/>
                <w:lang w:val="en-GB" w:eastAsia="en-GB" w:bidi="en-GB"/>
              </w:rPr>
              <w:t xml:space="preserve"> l</w:t>
            </w:r>
            <w:r>
              <w:rPr>
                <w:rFonts w:eastAsia="Verdana"/>
                <w:b/>
                <w:bCs/>
                <w:i/>
                <w:sz w:val="22"/>
                <w:szCs w:val="22"/>
                <w:lang w:val="en-US" w:eastAsia="en-GB" w:bidi="en-GB"/>
              </w:rPr>
              <w:t>a scară spre exterior*</w:t>
            </w:r>
          </w:p>
        </w:tc>
        <w:tc>
          <w:tcPr>
            <w:tcW w:w="1561" w:type="dxa"/>
            <w:vAlign w:val="center"/>
          </w:tcPr>
          <w:p w14:paraId="06CAC8D1" w14:textId="77777777" w:rsidR="001C08A5" w:rsidRDefault="00000000">
            <w:pPr>
              <w:jc w:val="center"/>
              <w:rPr>
                <w:rFonts w:eastAsia="Verdana"/>
                <w:i/>
                <w:sz w:val="22"/>
                <w:szCs w:val="22"/>
              </w:rPr>
            </w:pPr>
            <w:r>
              <w:rPr>
                <w:rFonts w:eastAsia="Verdana"/>
                <w:b/>
                <w:bCs/>
                <w:i/>
                <w:sz w:val="22"/>
                <w:szCs w:val="22"/>
                <w:lang w:val="en-US" w:eastAsia="en-GB" w:bidi="en-GB"/>
              </w:rPr>
              <w:t>X</w:t>
            </w:r>
          </w:p>
        </w:tc>
        <w:tc>
          <w:tcPr>
            <w:tcW w:w="1561" w:type="dxa"/>
            <w:vAlign w:val="center"/>
          </w:tcPr>
          <w:p w14:paraId="2C86B831" w14:textId="77777777" w:rsidR="001C08A5" w:rsidRDefault="001C08A5">
            <w:pPr>
              <w:jc w:val="center"/>
              <w:rPr>
                <w:rFonts w:eastAsia="Verdana"/>
                <w:i/>
                <w:sz w:val="22"/>
                <w:szCs w:val="22"/>
              </w:rPr>
            </w:pPr>
          </w:p>
        </w:tc>
      </w:tr>
      <w:tr w:rsidR="001C08A5" w14:paraId="580CBDB2" w14:textId="77777777">
        <w:tc>
          <w:tcPr>
            <w:tcW w:w="3846" w:type="dxa"/>
            <w:gridSpan w:val="2"/>
            <w:vMerge/>
            <w:vAlign w:val="center"/>
          </w:tcPr>
          <w:p w14:paraId="240C4E01" w14:textId="77777777" w:rsidR="001C08A5" w:rsidRDefault="001C08A5">
            <w:pPr>
              <w:spacing w:line="190" w:lineRule="exact"/>
              <w:jc w:val="center"/>
              <w:rPr>
                <w:rFonts w:eastAsia="Verdana"/>
                <w:i/>
                <w:sz w:val="22"/>
                <w:szCs w:val="22"/>
              </w:rPr>
            </w:pPr>
          </w:p>
        </w:tc>
        <w:tc>
          <w:tcPr>
            <w:tcW w:w="2707" w:type="dxa"/>
          </w:tcPr>
          <w:p w14:paraId="071933D0"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Orice spatiu &gt; 50 persoane</w:t>
            </w:r>
          </w:p>
        </w:tc>
        <w:tc>
          <w:tcPr>
            <w:tcW w:w="1561" w:type="dxa"/>
            <w:vAlign w:val="center"/>
          </w:tcPr>
          <w:p w14:paraId="6CE575EC"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39E9C3E3" w14:textId="77777777" w:rsidR="001C08A5" w:rsidRDefault="001C08A5">
            <w:pPr>
              <w:jc w:val="center"/>
              <w:rPr>
                <w:rFonts w:eastAsia="Verdana"/>
                <w:i/>
                <w:sz w:val="22"/>
                <w:szCs w:val="22"/>
              </w:rPr>
            </w:pPr>
          </w:p>
        </w:tc>
      </w:tr>
      <w:tr w:rsidR="001C08A5" w14:paraId="5A4CC5A0" w14:textId="77777777">
        <w:tc>
          <w:tcPr>
            <w:tcW w:w="3846" w:type="dxa"/>
            <w:gridSpan w:val="2"/>
            <w:vMerge w:val="restart"/>
            <w:vAlign w:val="center"/>
          </w:tcPr>
          <w:p w14:paraId="7BD63485"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 xml:space="preserve">Clădiri civile cu săli aglomerate / </w:t>
            </w:r>
            <w:r>
              <w:rPr>
                <w:rFonts w:eastAsia="Arial"/>
                <w:b/>
                <w:bCs/>
                <w:i/>
                <w:sz w:val="22"/>
                <w:szCs w:val="22"/>
                <w:lang w:val="en-GB"/>
              </w:rPr>
              <w:t>u</w:t>
            </w:r>
            <w:r>
              <w:rPr>
                <w:rFonts w:eastAsia="Arial"/>
                <w:b/>
                <w:bCs/>
                <w:i/>
                <w:sz w:val="22"/>
                <w:szCs w:val="22"/>
              </w:rPr>
              <w:t>şile de pe traseul evacuării</w:t>
            </w:r>
          </w:p>
        </w:tc>
        <w:tc>
          <w:tcPr>
            <w:tcW w:w="2707" w:type="dxa"/>
            <w:vAlign w:val="bottom"/>
          </w:tcPr>
          <w:p w14:paraId="63A9D0DE"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Spre foaier sau scară</w:t>
            </w:r>
          </w:p>
        </w:tc>
        <w:tc>
          <w:tcPr>
            <w:tcW w:w="1561" w:type="dxa"/>
            <w:vAlign w:val="center"/>
          </w:tcPr>
          <w:p w14:paraId="04BECCEA"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26C7CE94" w14:textId="77777777" w:rsidR="001C08A5" w:rsidRDefault="001C08A5">
            <w:pPr>
              <w:spacing w:after="60" w:line="240" w:lineRule="exact"/>
              <w:jc w:val="center"/>
              <w:rPr>
                <w:rFonts w:eastAsia="Verdana"/>
                <w:i/>
                <w:sz w:val="22"/>
                <w:szCs w:val="22"/>
              </w:rPr>
            </w:pPr>
          </w:p>
        </w:tc>
      </w:tr>
      <w:tr w:rsidR="001C08A5" w14:paraId="63C95B0D" w14:textId="77777777">
        <w:tc>
          <w:tcPr>
            <w:tcW w:w="3846" w:type="dxa"/>
            <w:gridSpan w:val="2"/>
            <w:vMerge/>
            <w:vAlign w:val="center"/>
          </w:tcPr>
          <w:p w14:paraId="4E467E5D" w14:textId="77777777" w:rsidR="001C08A5" w:rsidRDefault="001C08A5">
            <w:pPr>
              <w:spacing w:line="190" w:lineRule="exact"/>
              <w:jc w:val="center"/>
              <w:rPr>
                <w:rFonts w:eastAsia="Verdana"/>
                <w:i/>
                <w:sz w:val="22"/>
                <w:szCs w:val="22"/>
                <w:lang w:val="en-US"/>
              </w:rPr>
            </w:pPr>
          </w:p>
        </w:tc>
        <w:tc>
          <w:tcPr>
            <w:tcW w:w="2707" w:type="dxa"/>
            <w:vAlign w:val="center"/>
          </w:tcPr>
          <w:p w14:paraId="016A9D91"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Spre exterior*</w:t>
            </w:r>
          </w:p>
        </w:tc>
        <w:tc>
          <w:tcPr>
            <w:tcW w:w="1561" w:type="dxa"/>
            <w:vAlign w:val="center"/>
          </w:tcPr>
          <w:p w14:paraId="722B66BD"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0611612B" w14:textId="77777777" w:rsidR="001C08A5" w:rsidRDefault="001C08A5">
            <w:pPr>
              <w:jc w:val="center"/>
              <w:rPr>
                <w:rFonts w:eastAsia="Verdana"/>
                <w:i/>
                <w:sz w:val="22"/>
                <w:szCs w:val="22"/>
              </w:rPr>
            </w:pPr>
          </w:p>
        </w:tc>
      </w:tr>
      <w:tr w:rsidR="001C08A5" w14:paraId="13479106" w14:textId="77777777">
        <w:tc>
          <w:tcPr>
            <w:tcW w:w="3846" w:type="dxa"/>
            <w:gridSpan w:val="2"/>
            <w:vMerge w:val="restart"/>
            <w:vAlign w:val="center"/>
          </w:tcPr>
          <w:p w14:paraId="3EB6F6E9"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 xml:space="preserve">Clădiri civile cu </w:t>
            </w:r>
            <w:r>
              <w:rPr>
                <w:rFonts w:eastAsia="Verdana"/>
                <w:b/>
                <w:bCs/>
                <w:i/>
                <w:sz w:val="22"/>
                <w:szCs w:val="22"/>
                <w:lang w:val="en-GB" w:eastAsia="en-GB" w:bidi="en-GB"/>
              </w:rPr>
              <w:t>incaperi cu</w:t>
            </w:r>
            <w:r>
              <w:rPr>
                <w:rFonts w:eastAsia="Verdana"/>
                <w:b/>
                <w:bCs/>
                <w:i/>
                <w:sz w:val="22"/>
                <w:szCs w:val="22"/>
                <w:lang w:val="en-US" w:eastAsia="en-GB" w:bidi="en-GB"/>
              </w:rPr>
              <w:t xml:space="preserve"> aglomer</w:t>
            </w:r>
            <w:r>
              <w:rPr>
                <w:rFonts w:eastAsia="Verdana"/>
                <w:b/>
                <w:bCs/>
                <w:i/>
                <w:sz w:val="22"/>
                <w:szCs w:val="22"/>
                <w:lang w:val="en-GB" w:eastAsia="en-GB" w:bidi="en-GB"/>
              </w:rPr>
              <w:t>ari de persoane</w:t>
            </w:r>
          </w:p>
        </w:tc>
        <w:tc>
          <w:tcPr>
            <w:tcW w:w="2707" w:type="dxa"/>
            <w:vAlign w:val="bottom"/>
          </w:tcPr>
          <w:p w14:paraId="0C2B25C9"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Spre exterior* sau la scară</w:t>
            </w:r>
          </w:p>
        </w:tc>
        <w:tc>
          <w:tcPr>
            <w:tcW w:w="1561" w:type="dxa"/>
            <w:vAlign w:val="center"/>
          </w:tcPr>
          <w:p w14:paraId="6E553B07" w14:textId="77777777" w:rsidR="001C08A5" w:rsidRDefault="001C08A5">
            <w:pPr>
              <w:spacing w:after="60" w:line="240" w:lineRule="exact"/>
              <w:jc w:val="center"/>
              <w:rPr>
                <w:rFonts w:eastAsia="Verdana"/>
                <w:i/>
                <w:sz w:val="22"/>
                <w:szCs w:val="22"/>
              </w:rPr>
            </w:pPr>
          </w:p>
        </w:tc>
        <w:tc>
          <w:tcPr>
            <w:tcW w:w="1561" w:type="dxa"/>
            <w:vAlign w:val="center"/>
          </w:tcPr>
          <w:p w14:paraId="56C65F6C"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73BDD66B" w14:textId="77777777">
        <w:tc>
          <w:tcPr>
            <w:tcW w:w="3846" w:type="dxa"/>
            <w:gridSpan w:val="2"/>
            <w:vMerge/>
          </w:tcPr>
          <w:p w14:paraId="3B933E0A" w14:textId="77777777" w:rsidR="001C08A5" w:rsidRDefault="001C08A5">
            <w:pPr>
              <w:spacing w:line="190" w:lineRule="exact"/>
              <w:jc w:val="center"/>
              <w:rPr>
                <w:rFonts w:eastAsia="Verdana"/>
                <w:i/>
                <w:sz w:val="22"/>
                <w:szCs w:val="22"/>
                <w:lang w:val="en-US"/>
              </w:rPr>
            </w:pPr>
          </w:p>
        </w:tc>
        <w:tc>
          <w:tcPr>
            <w:tcW w:w="2707" w:type="dxa"/>
            <w:vAlign w:val="bottom"/>
          </w:tcPr>
          <w:p w14:paraId="1ABFDB94"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4D577D5A"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c>
          <w:tcPr>
            <w:tcW w:w="1561" w:type="dxa"/>
            <w:vAlign w:val="center"/>
          </w:tcPr>
          <w:p w14:paraId="3070D591" w14:textId="77777777" w:rsidR="001C08A5" w:rsidRDefault="001C08A5">
            <w:pPr>
              <w:jc w:val="center"/>
              <w:rPr>
                <w:rFonts w:eastAsia="Verdana"/>
                <w:i/>
                <w:sz w:val="22"/>
                <w:szCs w:val="22"/>
              </w:rPr>
            </w:pPr>
          </w:p>
        </w:tc>
      </w:tr>
      <w:tr w:rsidR="001C08A5" w14:paraId="6AF96D2F" w14:textId="77777777">
        <w:tc>
          <w:tcPr>
            <w:tcW w:w="1738" w:type="dxa"/>
            <w:vMerge w:val="restart"/>
            <w:vAlign w:val="center"/>
          </w:tcPr>
          <w:p w14:paraId="54D7B04B" w14:textId="77777777" w:rsidR="001C08A5" w:rsidRDefault="00000000">
            <w:pPr>
              <w:jc w:val="center"/>
              <w:rPr>
                <w:rFonts w:eastAsia="Verdana"/>
                <w:i/>
                <w:sz w:val="22"/>
                <w:szCs w:val="22"/>
              </w:rPr>
            </w:pPr>
            <w:r>
              <w:rPr>
                <w:rFonts w:eastAsia="Verdana"/>
                <w:b/>
                <w:bCs/>
                <w:i/>
                <w:sz w:val="22"/>
                <w:szCs w:val="22"/>
                <w:lang w:val="en-US" w:eastAsia="en-GB" w:bidi="en-GB"/>
              </w:rPr>
              <w:t>Clădiri civile subterane</w:t>
            </w:r>
          </w:p>
        </w:tc>
        <w:tc>
          <w:tcPr>
            <w:tcW w:w="2108" w:type="dxa"/>
            <w:vMerge w:val="restart"/>
            <w:vAlign w:val="bottom"/>
          </w:tcPr>
          <w:p w14:paraId="71931CF6"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&lt; 50 de utilizatori</w:t>
            </w:r>
          </w:p>
        </w:tc>
        <w:tc>
          <w:tcPr>
            <w:tcW w:w="2707" w:type="dxa"/>
            <w:vAlign w:val="bottom"/>
          </w:tcPr>
          <w:p w14:paraId="33CB02E7"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0E3B2360" w14:textId="77777777" w:rsidR="001C08A5" w:rsidRDefault="001C08A5">
            <w:pPr>
              <w:jc w:val="center"/>
              <w:rPr>
                <w:rFonts w:eastAsia="Verdana"/>
                <w:i/>
                <w:sz w:val="22"/>
                <w:szCs w:val="22"/>
              </w:rPr>
            </w:pPr>
          </w:p>
        </w:tc>
        <w:tc>
          <w:tcPr>
            <w:tcW w:w="1561" w:type="dxa"/>
            <w:vAlign w:val="center"/>
          </w:tcPr>
          <w:p w14:paraId="0DC8C9FB"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5B52B673" w14:textId="77777777">
        <w:tc>
          <w:tcPr>
            <w:tcW w:w="1738" w:type="dxa"/>
            <w:vMerge/>
          </w:tcPr>
          <w:p w14:paraId="7DDE9D74" w14:textId="77777777" w:rsidR="001C08A5" w:rsidRDefault="001C08A5">
            <w:pPr>
              <w:jc w:val="center"/>
              <w:rPr>
                <w:rFonts w:eastAsia="Verdana"/>
                <w:i/>
                <w:sz w:val="22"/>
                <w:szCs w:val="22"/>
              </w:rPr>
            </w:pPr>
          </w:p>
        </w:tc>
        <w:tc>
          <w:tcPr>
            <w:tcW w:w="2108" w:type="dxa"/>
            <w:vMerge/>
            <w:vAlign w:val="center"/>
          </w:tcPr>
          <w:p w14:paraId="604B753B" w14:textId="77777777" w:rsidR="001C08A5" w:rsidRDefault="001C08A5">
            <w:pPr>
              <w:spacing w:after="60" w:line="240" w:lineRule="exact"/>
              <w:jc w:val="center"/>
              <w:rPr>
                <w:rFonts w:eastAsia="Verdana"/>
                <w:i/>
                <w:sz w:val="22"/>
                <w:szCs w:val="22"/>
              </w:rPr>
            </w:pPr>
          </w:p>
        </w:tc>
        <w:tc>
          <w:tcPr>
            <w:tcW w:w="2707" w:type="dxa"/>
            <w:vAlign w:val="center"/>
          </w:tcPr>
          <w:p w14:paraId="49DD4FA5"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4A454668" w14:textId="77777777" w:rsidR="001C08A5" w:rsidRDefault="001C08A5">
            <w:pPr>
              <w:jc w:val="center"/>
              <w:rPr>
                <w:rFonts w:eastAsia="Verdana"/>
                <w:i/>
                <w:sz w:val="22"/>
                <w:szCs w:val="22"/>
              </w:rPr>
            </w:pPr>
          </w:p>
        </w:tc>
        <w:tc>
          <w:tcPr>
            <w:tcW w:w="1561" w:type="dxa"/>
            <w:vAlign w:val="center"/>
          </w:tcPr>
          <w:p w14:paraId="5EAAD8F9"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 (recomandare)</w:t>
            </w:r>
          </w:p>
        </w:tc>
      </w:tr>
      <w:tr w:rsidR="001C08A5" w14:paraId="5F55D50D" w14:textId="77777777">
        <w:tc>
          <w:tcPr>
            <w:tcW w:w="1738" w:type="dxa"/>
            <w:vMerge/>
          </w:tcPr>
          <w:p w14:paraId="0F2E4C7F" w14:textId="77777777" w:rsidR="001C08A5" w:rsidRDefault="001C08A5">
            <w:pPr>
              <w:jc w:val="center"/>
              <w:rPr>
                <w:rFonts w:eastAsia="Verdana"/>
                <w:i/>
                <w:sz w:val="22"/>
                <w:szCs w:val="22"/>
              </w:rPr>
            </w:pPr>
          </w:p>
        </w:tc>
        <w:tc>
          <w:tcPr>
            <w:tcW w:w="2108" w:type="dxa"/>
            <w:vMerge w:val="restart"/>
            <w:vAlign w:val="bottom"/>
          </w:tcPr>
          <w:p w14:paraId="7E395B21"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 50 de utilizatori</w:t>
            </w:r>
          </w:p>
        </w:tc>
        <w:tc>
          <w:tcPr>
            <w:tcW w:w="2707" w:type="dxa"/>
            <w:vAlign w:val="bottom"/>
          </w:tcPr>
          <w:p w14:paraId="796A0DA0"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La scară</w:t>
            </w:r>
          </w:p>
        </w:tc>
        <w:tc>
          <w:tcPr>
            <w:tcW w:w="1561" w:type="dxa"/>
            <w:vAlign w:val="center"/>
          </w:tcPr>
          <w:p w14:paraId="7499B114" w14:textId="77777777" w:rsidR="001C08A5" w:rsidRDefault="00000000">
            <w:pPr>
              <w:jc w:val="center"/>
              <w:rPr>
                <w:rFonts w:eastAsia="Verdana"/>
                <w:i/>
                <w:sz w:val="22"/>
                <w:szCs w:val="22"/>
              </w:rPr>
            </w:pPr>
            <w:r>
              <w:rPr>
                <w:rFonts w:eastAsia="Verdana"/>
                <w:b/>
                <w:bCs/>
                <w:i/>
                <w:sz w:val="22"/>
                <w:szCs w:val="22"/>
                <w:lang w:val="en-US" w:eastAsia="en-GB" w:bidi="en-GB"/>
              </w:rPr>
              <w:t>X</w:t>
            </w:r>
          </w:p>
        </w:tc>
        <w:tc>
          <w:tcPr>
            <w:tcW w:w="1561" w:type="dxa"/>
            <w:vAlign w:val="center"/>
          </w:tcPr>
          <w:p w14:paraId="472B3324" w14:textId="77777777" w:rsidR="001C08A5" w:rsidRDefault="001C08A5">
            <w:pPr>
              <w:spacing w:line="190" w:lineRule="exact"/>
              <w:jc w:val="center"/>
              <w:rPr>
                <w:rFonts w:eastAsia="Verdana"/>
                <w:i/>
                <w:sz w:val="22"/>
                <w:szCs w:val="22"/>
              </w:rPr>
            </w:pPr>
          </w:p>
        </w:tc>
      </w:tr>
      <w:tr w:rsidR="001C08A5" w14:paraId="64CAFB6A" w14:textId="77777777">
        <w:tc>
          <w:tcPr>
            <w:tcW w:w="1738" w:type="dxa"/>
            <w:vMerge/>
          </w:tcPr>
          <w:p w14:paraId="7ADB3FEA" w14:textId="77777777" w:rsidR="001C08A5" w:rsidRDefault="001C08A5">
            <w:pPr>
              <w:jc w:val="center"/>
              <w:rPr>
                <w:rFonts w:eastAsia="Verdana"/>
                <w:i/>
                <w:sz w:val="22"/>
                <w:szCs w:val="22"/>
              </w:rPr>
            </w:pPr>
          </w:p>
        </w:tc>
        <w:tc>
          <w:tcPr>
            <w:tcW w:w="2108" w:type="dxa"/>
            <w:vMerge/>
            <w:vAlign w:val="bottom"/>
          </w:tcPr>
          <w:p w14:paraId="482FFF4D" w14:textId="77777777" w:rsidR="001C08A5" w:rsidRDefault="001C08A5">
            <w:pPr>
              <w:spacing w:line="190" w:lineRule="exact"/>
              <w:jc w:val="center"/>
              <w:rPr>
                <w:rFonts w:eastAsia="Verdana"/>
                <w:i/>
                <w:sz w:val="22"/>
                <w:szCs w:val="22"/>
              </w:rPr>
            </w:pPr>
          </w:p>
        </w:tc>
        <w:tc>
          <w:tcPr>
            <w:tcW w:w="2707" w:type="dxa"/>
            <w:vAlign w:val="bottom"/>
          </w:tcPr>
          <w:p w14:paraId="7461FA39"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 la scară spre exterior*</w:t>
            </w:r>
          </w:p>
        </w:tc>
        <w:tc>
          <w:tcPr>
            <w:tcW w:w="1561" w:type="dxa"/>
            <w:vAlign w:val="center"/>
          </w:tcPr>
          <w:p w14:paraId="6DC940F5" w14:textId="77777777" w:rsidR="001C08A5" w:rsidRDefault="00000000">
            <w:pPr>
              <w:spacing w:line="19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5CCDF8B4" w14:textId="77777777" w:rsidR="001C08A5" w:rsidRDefault="001C08A5">
            <w:pPr>
              <w:jc w:val="center"/>
              <w:rPr>
                <w:rFonts w:eastAsia="Verdana"/>
                <w:i/>
                <w:sz w:val="22"/>
                <w:szCs w:val="22"/>
              </w:rPr>
            </w:pPr>
          </w:p>
        </w:tc>
      </w:tr>
      <w:tr w:rsidR="001C08A5" w14:paraId="75ED125E" w14:textId="77777777">
        <w:tc>
          <w:tcPr>
            <w:tcW w:w="1738" w:type="dxa"/>
            <w:vMerge w:val="restart"/>
            <w:vAlign w:val="center"/>
          </w:tcPr>
          <w:p w14:paraId="5A1BEC2B"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GB" w:eastAsia="en-GB" w:bidi="en-GB"/>
              </w:rPr>
              <w:t>Construcţii de producţie şi/sau depozitare</w:t>
            </w:r>
          </w:p>
        </w:tc>
        <w:tc>
          <w:tcPr>
            <w:tcW w:w="2108" w:type="dxa"/>
          </w:tcPr>
          <w:p w14:paraId="7C402594"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Productie</w:t>
            </w:r>
          </w:p>
        </w:tc>
        <w:tc>
          <w:tcPr>
            <w:tcW w:w="2707" w:type="dxa"/>
          </w:tcPr>
          <w:p w14:paraId="43EE978D"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Spre exterior*</w:t>
            </w:r>
          </w:p>
        </w:tc>
        <w:tc>
          <w:tcPr>
            <w:tcW w:w="1561" w:type="dxa"/>
            <w:vAlign w:val="center"/>
          </w:tcPr>
          <w:p w14:paraId="3338CE92" w14:textId="77777777" w:rsidR="001C08A5" w:rsidRDefault="001C08A5">
            <w:pPr>
              <w:spacing w:after="60" w:line="240" w:lineRule="exact"/>
              <w:jc w:val="center"/>
              <w:rPr>
                <w:rFonts w:eastAsia="Verdana"/>
                <w:i/>
                <w:sz w:val="22"/>
                <w:szCs w:val="22"/>
              </w:rPr>
            </w:pPr>
          </w:p>
        </w:tc>
        <w:tc>
          <w:tcPr>
            <w:tcW w:w="1561" w:type="dxa"/>
            <w:vAlign w:val="center"/>
          </w:tcPr>
          <w:p w14:paraId="2559826B"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741F98FF" w14:textId="77777777">
        <w:tc>
          <w:tcPr>
            <w:tcW w:w="1738" w:type="dxa"/>
            <w:vMerge/>
            <w:vAlign w:val="center"/>
          </w:tcPr>
          <w:p w14:paraId="22E695A3" w14:textId="77777777" w:rsidR="001C08A5" w:rsidRDefault="001C08A5">
            <w:pPr>
              <w:spacing w:after="60" w:line="240" w:lineRule="exact"/>
              <w:jc w:val="center"/>
              <w:rPr>
                <w:rFonts w:eastAsia="Verdana"/>
                <w:i/>
                <w:sz w:val="22"/>
                <w:szCs w:val="22"/>
                <w:lang w:val="en-US"/>
              </w:rPr>
            </w:pPr>
          </w:p>
        </w:tc>
        <w:tc>
          <w:tcPr>
            <w:tcW w:w="2108" w:type="dxa"/>
          </w:tcPr>
          <w:p w14:paraId="030760DD"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Laboratoare etc. cu activitate care prezintă pericol de explozie</w:t>
            </w:r>
          </w:p>
        </w:tc>
        <w:tc>
          <w:tcPr>
            <w:tcW w:w="2707" w:type="dxa"/>
          </w:tcPr>
          <w:p w14:paraId="4D1BBF2C"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Spre exterior*</w:t>
            </w:r>
          </w:p>
        </w:tc>
        <w:tc>
          <w:tcPr>
            <w:tcW w:w="1561" w:type="dxa"/>
            <w:vAlign w:val="center"/>
          </w:tcPr>
          <w:p w14:paraId="3C81E05D"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5D893769" w14:textId="77777777" w:rsidR="001C08A5" w:rsidRDefault="001C08A5">
            <w:pPr>
              <w:spacing w:after="60" w:line="240" w:lineRule="exact"/>
              <w:jc w:val="center"/>
              <w:rPr>
                <w:rFonts w:eastAsia="Verdana"/>
                <w:i/>
                <w:sz w:val="22"/>
                <w:szCs w:val="22"/>
                <w:lang w:val="en-US"/>
              </w:rPr>
            </w:pPr>
          </w:p>
        </w:tc>
      </w:tr>
      <w:tr w:rsidR="001C08A5" w14:paraId="494B5128" w14:textId="77777777">
        <w:tc>
          <w:tcPr>
            <w:tcW w:w="1738" w:type="dxa"/>
            <w:vAlign w:val="center"/>
          </w:tcPr>
          <w:p w14:paraId="7B3D7761" w14:textId="77777777" w:rsidR="001C08A5" w:rsidRDefault="001C08A5">
            <w:pPr>
              <w:spacing w:after="60" w:line="240" w:lineRule="exact"/>
              <w:jc w:val="center"/>
              <w:rPr>
                <w:rFonts w:eastAsia="Verdana"/>
                <w:i/>
                <w:sz w:val="22"/>
                <w:szCs w:val="22"/>
                <w:lang w:val="en-US"/>
              </w:rPr>
            </w:pPr>
          </w:p>
        </w:tc>
        <w:tc>
          <w:tcPr>
            <w:tcW w:w="2108" w:type="dxa"/>
          </w:tcPr>
          <w:p w14:paraId="0019B11D"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Depozitare</w:t>
            </w:r>
          </w:p>
        </w:tc>
        <w:tc>
          <w:tcPr>
            <w:tcW w:w="2707" w:type="dxa"/>
          </w:tcPr>
          <w:p w14:paraId="74AC5629" w14:textId="77777777" w:rsidR="001C08A5" w:rsidRDefault="001C08A5">
            <w:pPr>
              <w:spacing w:after="60" w:line="240" w:lineRule="exact"/>
              <w:jc w:val="center"/>
              <w:rPr>
                <w:rFonts w:eastAsia="Verdana"/>
                <w:i/>
                <w:sz w:val="22"/>
                <w:szCs w:val="22"/>
              </w:rPr>
            </w:pPr>
          </w:p>
        </w:tc>
        <w:tc>
          <w:tcPr>
            <w:tcW w:w="1561" w:type="dxa"/>
            <w:vAlign w:val="center"/>
          </w:tcPr>
          <w:p w14:paraId="12725EAE" w14:textId="77777777" w:rsidR="001C08A5" w:rsidRDefault="001C08A5">
            <w:pPr>
              <w:spacing w:after="60" w:line="240" w:lineRule="exact"/>
              <w:jc w:val="center"/>
              <w:rPr>
                <w:rFonts w:eastAsia="Verdana"/>
                <w:i/>
                <w:sz w:val="22"/>
                <w:szCs w:val="22"/>
              </w:rPr>
            </w:pPr>
          </w:p>
        </w:tc>
        <w:tc>
          <w:tcPr>
            <w:tcW w:w="1561" w:type="dxa"/>
            <w:vAlign w:val="center"/>
          </w:tcPr>
          <w:p w14:paraId="48A6FD2C"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 (recomandare)</w:t>
            </w:r>
          </w:p>
        </w:tc>
      </w:tr>
      <w:tr w:rsidR="001C08A5" w14:paraId="3A0F6F91" w14:textId="77777777">
        <w:tc>
          <w:tcPr>
            <w:tcW w:w="1738" w:type="dxa"/>
            <w:vAlign w:val="center"/>
          </w:tcPr>
          <w:p w14:paraId="69755301" w14:textId="77777777" w:rsidR="001C08A5" w:rsidRDefault="00000000">
            <w:pPr>
              <w:jc w:val="center"/>
              <w:rPr>
                <w:rFonts w:eastAsia="Verdana"/>
                <w:i/>
                <w:sz w:val="22"/>
                <w:szCs w:val="22"/>
              </w:rPr>
            </w:pPr>
            <w:r>
              <w:rPr>
                <w:rFonts w:eastAsia="Verdana"/>
                <w:b/>
                <w:bCs/>
                <w:i/>
                <w:sz w:val="22"/>
                <w:szCs w:val="22"/>
                <w:lang w:val="en-US" w:eastAsia="en-GB" w:bidi="en-GB"/>
              </w:rPr>
              <w:t>Construcţii</w:t>
            </w:r>
            <w:r>
              <w:rPr>
                <w:rFonts w:eastAsia="Verdana"/>
                <w:b/>
                <w:bCs/>
                <w:i/>
                <w:sz w:val="22"/>
                <w:szCs w:val="22"/>
                <w:lang w:val="en-GB" w:eastAsia="en-GB" w:bidi="en-GB"/>
              </w:rPr>
              <w:t xml:space="preserve"> civile</w:t>
            </w:r>
            <w:r>
              <w:rPr>
                <w:rFonts w:eastAsia="Verdana"/>
                <w:b/>
                <w:bCs/>
                <w:i/>
                <w:sz w:val="22"/>
                <w:szCs w:val="22"/>
                <w:lang w:val="en-US" w:eastAsia="en-GB" w:bidi="en-GB"/>
              </w:rPr>
              <w:t xml:space="preserve"> cu funcţiuni mixte</w:t>
            </w:r>
          </w:p>
        </w:tc>
        <w:tc>
          <w:tcPr>
            <w:tcW w:w="7937" w:type="dxa"/>
            <w:gridSpan w:val="4"/>
            <w:vAlign w:val="center"/>
          </w:tcPr>
          <w:p w14:paraId="54FE47A5"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 xml:space="preserve">Functie de spatii si/ sau tip de </w:t>
            </w:r>
            <w:r>
              <w:rPr>
                <w:rFonts w:eastAsia="Verdana"/>
                <w:b/>
                <w:bCs/>
                <w:i/>
                <w:sz w:val="22"/>
                <w:szCs w:val="22"/>
                <w:lang w:eastAsia="en-GB" w:bidi="en-GB"/>
              </w:rPr>
              <w:t>clădir</w:t>
            </w:r>
            <w:r>
              <w:rPr>
                <w:rFonts w:eastAsia="Verdana"/>
                <w:b/>
                <w:bCs/>
                <w:i/>
                <w:sz w:val="22"/>
                <w:szCs w:val="22"/>
                <w:lang w:val="en-US" w:eastAsia="en-GB" w:bidi="en-GB"/>
              </w:rPr>
              <w:t>e</w:t>
            </w:r>
          </w:p>
        </w:tc>
      </w:tr>
      <w:tr w:rsidR="001C08A5" w14:paraId="27B23CA8" w14:textId="77777777">
        <w:tc>
          <w:tcPr>
            <w:tcW w:w="1738" w:type="dxa"/>
            <w:vMerge w:val="restart"/>
            <w:vAlign w:val="center"/>
          </w:tcPr>
          <w:p w14:paraId="7D37D35B"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US" w:eastAsia="en-GB" w:bidi="en-GB"/>
              </w:rPr>
              <w:t xml:space="preserve">Orice functiune; orice tip de </w:t>
            </w:r>
            <w:r>
              <w:rPr>
                <w:rFonts w:eastAsia="Verdana"/>
                <w:b/>
                <w:bCs/>
                <w:i/>
                <w:sz w:val="22"/>
                <w:szCs w:val="22"/>
                <w:lang w:eastAsia="en-GB" w:bidi="en-GB"/>
              </w:rPr>
              <w:t>clădir</w:t>
            </w:r>
            <w:r>
              <w:rPr>
                <w:rFonts w:eastAsia="Verdana"/>
                <w:b/>
                <w:bCs/>
                <w:i/>
                <w:sz w:val="22"/>
                <w:szCs w:val="22"/>
                <w:lang w:val="en-US" w:eastAsia="en-GB" w:bidi="en-GB"/>
              </w:rPr>
              <w:t>e</w:t>
            </w:r>
          </w:p>
        </w:tc>
        <w:tc>
          <w:tcPr>
            <w:tcW w:w="2108" w:type="dxa"/>
            <w:vAlign w:val="bottom"/>
          </w:tcPr>
          <w:p w14:paraId="61B44769" w14:textId="77777777" w:rsidR="001C08A5" w:rsidRDefault="00000000">
            <w:pPr>
              <w:spacing w:after="60" w:line="240" w:lineRule="exact"/>
              <w:jc w:val="center"/>
              <w:rPr>
                <w:rFonts w:eastAsia="Verdana"/>
                <w:i/>
                <w:sz w:val="22"/>
                <w:szCs w:val="22"/>
                <w:lang w:val="en-US"/>
              </w:rPr>
            </w:pPr>
            <w:r>
              <w:rPr>
                <w:rFonts w:eastAsia="Verdana"/>
                <w:b/>
                <w:bCs/>
                <w:i/>
                <w:sz w:val="22"/>
                <w:szCs w:val="22"/>
                <w:lang w:val="en-GB" w:eastAsia="en-GB" w:bidi="en-GB"/>
              </w:rPr>
              <w:t xml:space="preserve">Usi </w:t>
            </w:r>
            <w:r>
              <w:rPr>
                <w:rFonts w:eastAsia="Verdana"/>
                <w:b/>
                <w:bCs/>
                <w:i/>
                <w:sz w:val="22"/>
                <w:szCs w:val="22"/>
                <w:lang w:val="en-US" w:eastAsia="en-GB" w:bidi="en-GB"/>
              </w:rPr>
              <w:t>neutilizate în circulaţia funcţională curentă</w:t>
            </w:r>
          </w:p>
        </w:tc>
        <w:tc>
          <w:tcPr>
            <w:tcW w:w="2707" w:type="dxa"/>
            <w:vAlign w:val="bottom"/>
          </w:tcPr>
          <w:p w14:paraId="5C248300"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Spre exterior*</w:t>
            </w:r>
          </w:p>
        </w:tc>
        <w:tc>
          <w:tcPr>
            <w:tcW w:w="1561" w:type="dxa"/>
            <w:vAlign w:val="center"/>
          </w:tcPr>
          <w:p w14:paraId="7FC27A80" w14:textId="77777777" w:rsidR="001C08A5" w:rsidRDefault="00000000">
            <w:pPr>
              <w:spacing w:after="60" w:line="240" w:lineRule="exact"/>
              <w:jc w:val="center"/>
              <w:rPr>
                <w:rFonts w:eastAsia="Verdana"/>
                <w:i/>
                <w:sz w:val="22"/>
                <w:szCs w:val="22"/>
              </w:rPr>
            </w:pPr>
            <w:r>
              <w:rPr>
                <w:rFonts w:eastAsia="Verdana"/>
                <w:b/>
                <w:bCs/>
                <w:i/>
                <w:sz w:val="22"/>
                <w:szCs w:val="22"/>
                <w:lang w:val="en-US" w:eastAsia="en-GB" w:bidi="en-GB"/>
              </w:rPr>
              <w:t>X</w:t>
            </w:r>
          </w:p>
        </w:tc>
        <w:tc>
          <w:tcPr>
            <w:tcW w:w="1561" w:type="dxa"/>
            <w:vAlign w:val="center"/>
          </w:tcPr>
          <w:p w14:paraId="62E28918" w14:textId="77777777" w:rsidR="001C08A5" w:rsidRDefault="001C08A5">
            <w:pPr>
              <w:spacing w:after="60" w:line="240" w:lineRule="exact"/>
              <w:jc w:val="center"/>
              <w:rPr>
                <w:rFonts w:eastAsia="Verdana"/>
                <w:i/>
                <w:sz w:val="22"/>
                <w:szCs w:val="22"/>
              </w:rPr>
            </w:pPr>
          </w:p>
        </w:tc>
      </w:tr>
      <w:tr w:rsidR="001C08A5" w14:paraId="39C897EC" w14:textId="77777777">
        <w:trPr>
          <w:trHeight w:val="255"/>
        </w:trPr>
        <w:tc>
          <w:tcPr>
            <w:tcW w:w="1738" w:type="dxa"/>
            <w:vMerge/>
          </w:tcPr>
          <w:p w14:paraId="7BCDB1D3" w14:textId="77777777" w:rsidR="001C08A5" w:rsidRDefault="001C08A5">
            <w:pPr>
              <w:spacing w:after="60" w:line="240" w:lineRule="exact"/>
              <w:jc w:val="center"/>
              <w:rPr>
                <w:rFonts w:eastAsia="Verdana"/>
                <w:i/>
                <w:sz w:val="22"/>
                <w:szCs w:val="22"/>
              </w:rPr>
            </w:pPr>
          </w:p>
        </w:tc>
        <w:tc>
          <w:tcPr>
            <w:tcW w:w="2108" w:type="dxa"/>
            <w:vAlign w:val="bottom"/>
          </w:tcPr>
          <w:p w14:paraId="1D2BDFB8" w14:textId="77777777" w:rsidR="001C08A5" w:rsidRDefault="00000000">
            <w:pPr>
              <w:spacing w:after="60" w:line="240" w:lineRule="exact"/>
              <w:jc w:val="center"/>
              <w:rPr>
                <w:rFonts w:eastAsia="Verdana"/>
                <w:i/>
                <w:strike/>
                <w:sz w:val="22"/>
                <w:szCs w:val="22"/>
                <w:lang w:val="en-US"/>
              </w:rPr>
            </w:pPr>
            <w:r>
              <w:rPr>
                <w:rFonts w:eastAsia="Verdana"/>
                <w:b/>
                <w:bCs/>
                <w:i/>
                <w:sz w:val="22"/>
                <w:szCs w:val="22"/>
                <w:lang w:val="en-GB" w:eastAsia="en-GB" w:bidi="en-GB"/>
              </w:rPr>
              <w:t>Sc</w:t>
            </w:r>
            <w:r>
              <w:rPr>
                <w:rFonts w:eastAsia="Verdana"/>
                <w:b/>
                <w:bCs/>
                <w:i/>
                <w:sz w:val="22"/>
                <w:szCs w:val="22"/>
                <w:lang w:eastAsia="en-GB" w:bidi="en-GB"/>
              </w:rPr>
              <w:t>ă</w:t>
            </w:r>
            <w:r>
              <w:rPr>
                <w:rFonts w:eastAsia="Verdana"/>
                <w:b/>
                <w:bCs/>
                <w:i/>
                <w:sz w:val="22"/>
                <w:szCs w:val="22"/>
                <w:lang w:val="en-GB" w:eastAsia="en-GB" w:bidi="en-GB"/>
              </w:rPr>
              <w:t xml:space="preserve">ri exterioare </w:t>
            </w:r>
          </w:p>
        </w:tc>
        <w:tc>
          <w:tcPr>
            <w:tcW w:w="2707" w:type="dxa"/>
            <w:vAlign w:val="bottom"/>
          </w:tcPr>
          <w:p w14:paraId="37325742" w14:textId="77777777" w:rsidR="001C08A5" w:rsidRDefault="001C08A5">
            <w:pPr>
              <w:spacing w:after="60" w:line="240" w:lineRule="exact"/>
              <w:rPr>
                <w:rFonts w:eastAsia="Verdana"/>
                <w:i/>
                <w:strike/>
                <w:sz w:val="22"/>
                <w:szCs w:val="22"/>
                <w:lang w:val="en-US"/>
              </w:rPr>
            </w:pPr>
          </w:p>
        </w:tc>
        <w:tc>
          <w:tcPr>
            <w:tcW w:w="3122" w:type="dxa"/>
            <w:gridSpan w:val="2"/>
            <w:vAlign w:val="center"/>
          </w:tcPr>
          <w:p w14:paraId="214A4869" w14:textId="77777777" w:rsidR="001C08A5" w:rsidRDefault="00000000">
            <w:pPr>
              <w:spacing w:after="60" w:line="240" w:lineRule="exact"/>
              <w:jc w:val="center"/>
              <w:rPr>
                <w:rFonts w:eastAsia="Verdana"/>
                <w:i/>
                <w:strike/>
                <w:sz w:val="22"/>
                <w:szCs w:val="22"/>
                <w:lang w:val="en-US"/>
              </w:rPr>
            </w:pPr>
            <w:r>
              <w:rPr>
                <w:rFonts w:eastAsia="Verdana"/>
                <w:b/>
                <w:bCs/>
                <w:i/>
                <w:sz w:val="22"/>
                <w:szCs w:val="22"/>
                <w:lang w:val="en-US" w:eastAsia="en-GB" w:bidi="en-GB"/>
              </w:rPr>
              <w:t>X</w:t>
            </w:r>
          </w:p>
        </w:tc>
      </w:tr>
      <w:tr w:rsidR="001C08A5" w14:paraId="3FFEA347" w14:textId="77777777">
        <w:tc>
          <w:tcPr>
            <w:tcW w:w="9675" w:type="dxa"/>
            <w:gridSpan w:val="5"/>
          </w:tcPr>
          <w:p w14:paraId="5F78FFEA" w14:textId="77777777" w:rsidR="001C08A5" w:rsidRDefault="00000000">
            <w:pPr>
              <w:jc w:val="center"/>
              <w:rPr>
                <w:rFonts w:eastAsia="Verdana"/>
                <w:i/>
                <w:sz w:val="22"/>
                <w:szCs w:val="22"/>
                <w:lang w:val="en-US"/>
              </w:rPr>
            </w:pPr>
            <w:r>
              <w:rPr>
                <w:b/>
                <w:bCs/>
                <w:i/>
                <w:sz w:val="22"/>
                <w:szCs w:val="22"/>
                <w:lang w:val="en-US" w:eastAsia="en-GB"/>
              </w:rPr>
              <w:t>Nota* (</w:t>
            </w:r>
            <w:r>
              <w:rPr>
                <w:rFonts w:eastAsia="Arial"/>
                <w:b/>
                <w:bCs/>
                <w:i/>
                <w:sz w:val="22"/>
                <w:szCs w:val="22"/>
                <w:lang w:val="en-US" w:eastAsia="en-GB" w:bidi="en-GB"/>
              </w:rPr>
              <w:t>spre</w:t>
            </w:r>
            <w:r>
              <w:rPr>
                <w:rFonts w:eastAsia="Arial"/>
                <w:b/>
                <w:bCs/>
                <w:i/>
                <w:sz w:val="22"/>
                <w:szCs w:val="22"/>
                <w:lang w:val="en-GB" w:eastAsia="en-GB" w:bidi="en-GB"/>
              </w:rPr>
              <w:t xml:space="preserve"> </w:t>
            </w:r>
            <w:r>
              <w:rPr>
                <w:rFonts w:eastAsia="Arial"/>
                <w:b/>
                <w:bCs/>
                <w:i/>
                <w:sz w:val="22"/>
                <w:szCs w:val="22"/>
                <w:lang w:val="en-US" w:eastAsia="en-GB" w:bidi="en-GB"/>
              </w:rPr>
              <w:t>exterior</w:t>
            </w:r>
            <w:r>
              <w:rPr>
                <w:b/>
                <w:bCs/>
                <w:i/>
                <w:sz w:val="22"/>
                <w:szCs w:val="22"/>
                <w:lang w:val="en-US" w:eastAsia="en-GB"/>
              </w:rPr>
              <w:t xml:space="preserve">): </w:t>
            </w:r>
            <w:r>
              <w:rPr>
                <w:b/>
                <w:bCs/>
                <w:i/>
                <w:sz w:val="22"/>
                <w:szCs w:val="22"/>
                <w:lang w:val="en-GB"/>
              </w:rPr>
              <w:t>u</w:t>
            </w:r>
            <w:r>
              <w:rPr>
                <w:b/>
                <w:bCs/>
                <w:i/>
                <w:sz w:val="22"/>
                <w:szCs w:val="22"/>
              </w:rPr>
              <w:t>şile prin care se asigură evacuarea utilizatorilor în caz de incendiu la nivelul terenului sau al unei suprafeţe carosabile</w:t>
            </w:r>
          </w:p>
        </w:tc>
      </w:tr>
    </w:tbl>
    <w:p w14:paraId="26CAAA85" w14:textId="77777777" w:rsidR="001C08A5" w:rsidRDefault="001C08A5">
      <w:pPr>
        <w:rPr>
          <w:b/>
          <w:bCs/>
          <w:i/>
          <w:sz w:val="24"/>
          <w:szCs w:val="24"/>
        </w:rPr>
      </w:pPr>
    </w:p>
    <w:p w14:paraId="47FC6DFB" w14:textId="77777777" w:rsidR="001C08A5" w:rsidRDefault="00000000">
      <w:pPr>
        <w:keepNext/>
        <w:tabs>
          <w:tab w:val="left" w:pos="720"/>
        </w:tabs>
        <w:spacing w:before="240" w:after="60"/>
        <w:ind w:left="720" w:hanging="720"/>
        <w:outlineLvl w:val="2"/>
        <w:rPr>
          <w:rFonts w:eastAsia="Times New Roman" w:cs="Cambria"/>
          <w:b/>
          <w:bCs/>
          <w:sz w:val="32"/>
          <w:szCs w:val="26"/>
        </w:rPr>
      </w:pPr>
      <w:bookmarkStart w:id="8078" w:name="_Toc19491"/>
      <w:bookmarkStart w:id="8079" w:name="_Toc7379"/>
      <w:bookmarkStart w:id="8080" w:name="_Toc4933"/>
      <w:bookmarkStart w:id="8081" w:name="_Toc3428"/>
      <w:bookmarkStart w:id="8082" w:name="_Toc24405"/>
      <w:bookmarkStart w:id="8083" w:name="_Toc18963"/>
      <w:bookmarkStart w:id="8084" w:name="_Toc162355440"/>
      <w:bookmarkStart w:id="8085" w:name="_Toc15237"/>
      <w:bookmarkStart w:id="8086" w:name="_Toc773"/>
      <w:bookmarkStart w:id="8087" w:name="_Toc6443"/>
      <w:bookmarkStart w:id="8088" w:name="_Toc22505"/>
      <w:bookmarkStart w:id="8089" w:name="_Toc14482"/>
      <w:bookmarkStart w:id="8090" w:name="_Toc29337"/>
      <w:bookmarkStart w:id="8091" w:name="_Toc17452"/>
      <w:bookmarkStart w:id="8092" w:name="_Toc23926"/>
      <w:bookmarkStart w:id="8093" w:name="_Toc3879"/>
      <w:r>
        <w:rPr>
          <w:rStyle w:val="Heading3Char"/>
          <w:i/>
          <w:iCs/>
          <w:sz w:val="24"/>
          <w:szCs w:val="24"/>
        </w:rPr>
        <w:t>ANEXA 5.2 - CIRCULAŢII COMUNE VERTICALE (SCĂRI)</w:t>
      </w:r>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r>
        <w:rPr>
          <w:rFonts w:eastAsia="Times New Roman" w:cs="Cambria"/>
          <w:b/>
          <w:bCs/>
          <w:sz w:val="32"/>
          <w:szCs w:val="26"/>
        </w:rPr>
        <w:tab/>
      </w:r>
    </w:p>
    <w:p w14:paraId="3A1422D5" w14:textId="77777777" w:rsidR="001C08A5" w:rsidRDefault="00000000">
      <w:pPr>
        <w:pStyle w:val="Heading4"/>
        <w:rPr>
          <w:sz w:val="24"/>
          <w:szCs w:val="24"/>
        </w:rPr>
      </w:pPr>
      <w:bookmarkStart w:id="8094" w:name="_Toc22751"/>
      <w:bookmarkStart w:id="8095" w:name="_Toc30257"/>
      <w:bookmarkStart w:id="8096" w:name="_Toc25618"/>
      <w:bookmarkStart w:id="8097" w:name="_Toc26825"/>
      <w:bookmarkStart w:id="8098" w:name="_Toc5589"/>
      <w:bookmarkStart w:id="8099" w:name="_Toc31126"/>
      <w:bookmarkStart w:id="8100" w:name="_Toc22848"/>
      <w:bookmarkStart w:id="8101" w:name="_Toc14726"/>
      <w:bookmarkStart w:id="8102" w:name="_Toc7925"/>
      <w:bookmarkStart w:id="8103" w:name="_Toc30318"/>
      <w:bookmarkStart w:id="8104" w:name="_Toc21395"/>
      <w:bookmarkStart w:id="8105" w:name="_Toc24761"/>
      <w:bookmarkStart w:id="8106" w:name="_Toc19290"/>
      <w:bookmarkStart w:id="8107" w:name="_Toc162355441"/>
      <w:bookmarkStart w:id="8108" w:name="_Toc11107"/>
      <w:bookmarkStart w:id="8109" w:name="_Toc15217"/>
      <w:bookmarkStart w:id="8110" w:name="_Toc16117"/>
      <w:r>
        <w:rPr>
          <w:sz w:val="24"/>
          <w:szCs w:val="24"/>
        </w:rPr>
        <w:t>Scări cu rampe drepte</w:t>
      </w:r>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p>
    <w:p w14:paraId="31890764" w14:textId="77777777" w:rsidR="001C08A5" w:rsidRDefault="00000000">
      <w:pPr>
        <w:jc w:val="center"/>
        <w:rPr>
          <w:b/>
          <w:bCs/>
          <w:i/>
          <w:sz w:val="24"/>
          <w:szCs w:val="24"/>
        </w:rPr>
      </w:pPr>
      <w:r>
        <w:rPr>
          <w:b/>
          <w:bCs/>
          <w:i/>
          <w:noProof/>
          <w:sz w:val="24"/>
          <w:szCs w:val="24"/>
          <w:lang w:eastAsia="ro-RO"/>
        </w:rPr>
        <w:drawing>
          <wp:inline distT="0" distB="0" distL="114300" distR="114300" wp14:anchorId="25359D5A" wp14:editId="14E24204">
            <wp:extent cx="5127625" cy="1113155"/>
            <wp:effectExtent l="0" t="0" r="15875" b="10795"/>
            <wp:docPr id="265"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152"/>
                    <pic:cNvPicPr>
                      <a:picLocks noChangeAspect="1"/>
                    </pic:cNvPicPr>
                  </pic:nvPicPr>
                  <pic:blipFill>
                    <a:blip r:embed="rId372"/>
                    <a:srcRect l="18929" t="17281" r="9355" b="59464"/>
                    <a:stretch>
                      <a:fillRect/>
                    </a:stretch>
                  </pic:blipFill>
                  <pic:spPr>
                    <a:xfrm>
                      <a:off x="0" y="0"/>
                      <a:ext cx="5127625" cy="111315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309AF74A" w14:textId="77777777">
        <w:tc>
          <w:tcPr>
            <w:tcW w:w="4927" w:type="dxa"/>
          </w:tcPr>
          <w:p w14:paraId="70ED6223" w14:textId="77777777" w:rsidR="001C08A5" w:rsidRDefault="00000000">
            <w:pPr>
              <w:jc w:val="center"/>
              <w:rPr>
                <w:b/>
                <w:bCs/>
                <w:i/>
                <w:sz w:val="24"/>
                <w:szCs w:val="24"/>
              </w:rPr>
            </w:pPr>
            <w:r>
              <w:rPr>
                <w:b/>
                <w:bCs/>
                <w:i/>
                <w:sz w:val="24"/>
                <w:szCs w:val="24"/>
              </w:rPr>
              <w:t>Varianta a) Plan</w:t>
            </w:r>
          </w:p>
        </w:tc>
        <w:tc>
          <w:tcPr>
            <w:tcW w:w="4928" w:type="dxa"/>
          </w:tcPr>
          <w:p w14:paraId="5DDADE9C" w14:textId="77777777" w:rsidR="001C08A5" w:rsidRDefault="00000000">
            <w:pPr>
              <w:jc w:val="center"/>
              <w:rPr>
                <w:b/>
                <w:bCs/>
                <w:i/>
                <w:sz w:val="24"/>
                <w:szCs w:val="24"/>
              </w:rPr>
            </w:pPr>
            <w:r>
              <w:rPr>
                <w:b/>
                <w:bCs/>
                <w:i/>
                <w:sz w:val="24"/>
                <w:szCs w:val="24"/>
              </w:rPr>
              <w:t>Varianta b) Plan</w:t>
            </w:r>
          </w:p>
        </w:tc>
      </w:tr>
    </w:tbl>
    <w:p w14:paraId="440DABF2" w14:textId="77777777" w:rsidR="001C08A5" w:rsidRDefault="00000000">
      <w:pPr>
        <w:jc w:val="center"/>
        <w:rPr>
          <w:b/>
          <w:bCs/>
          <w:i/>
          <w:sz w:val="24"/>
          <w:szCs w:val="24"/>
        </w:rPr>
      </w:pPr>
      <w:r>
        <w:rPr>
          <w:b/>
          <w:bCs/>
          <w:i/>
          <w:noProof/>
          <w:sz w:val="24"/>
          <w:szCs w:val="24"/>
          <w:lang w:eastAsia="ro-RO"/>
        </w:rPr>
        <w:drawing>
          <wp:inline distT="0" distB="0" distL="114300" distR="114300" wp14:anchorId="470B4F65" wp14:editId="17F1BB86">
            <wp:extent cx="5127625" cy="1581150"/>
            <wp:effectExtent l="0" t="0" r="15875" b="0"/>
            <wp:docPr id="26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152"/>
                    <pic:cNvPicPr>
                      <a:picLocks noChangeAspect="1"/>
                    </pic:cNvPicPr>
                  </pic:nvPicPr>
                  <pic:blipFill>
                    <a:blip r:embed="rId372"/>
                    <a:srcRect l="18929" t="43867" r="9355" b="23099"/>
                    <a:stretch>
                      <a:fillRect/>
                    </a:stretch>
                  </pic:blipFill>
                  <pic:spPr>
                    <a:xfrm>
                      <a:off x="0" y="0"/>
                      <a:ext cx="5127625" cy="158115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17FA0ED3" w14:textId="77777777">
        <w:tc>
          <w:tcPr>
            <w:tcW w:w="4927" w:type="dxa"/>
          </w:tcPr>
          <w:p w14:paraId="5B8A497D" w14:textId="77777777" w:rsidR="001C08A5" w:rsidRDefault="00000000">
            <w:pPr>
              <w:jc w:val="center"/>
              <w:rPr>
                <w:b/>
                <w:bCs/>
                <w:i/>
                <w:sz w:val="24"/>
                <w:szCs w:val="24"/>
              </w:rPr>
            </w:pPr>
            <w:r>
              <w:rPr>
                <w:b/>
                <w:bCs/>
                <w:i/>
                <w:sz w:val="24"/>
                <w:szCs w:val="24"/>
              </w:rPr>
              <w:t>Varianta a) Secțiune</w:t>
            </w:r>
          </w:p>
        </w:tc>
        <w:tc>
          <w:tcPr>
            <w:tcW w:w="4928" w:type="dxa"/>
          </w:tcPr>
          <w:p w14:paraId="633233CC" w14:textId="77777777" w:rsidR="001C08A5" w:rsidRDefault="00000000">
            <w:pPr>
              <w:jc w:val="center"/>
              <w:rPr>
                <w:b/>
                <w:bCs/>
                <w:i/>
                <w:sz w:val="24"/>
                <w:szCs w:val="24"/>
              </w:rPr>
            </w:pPr>
            <w:r>
              <w:rPr>
                <w:b/>
                <w:bCs/>
                <w:i/>
                <w:sz w:val="24"/>
                <w:szCs w:val="24"/>
              </w:rPr>
              <w:t>Varianta b) Secțiune</w:t>
            </w:r>
          </w:p>
        </w:tc>
      </w:tr>
    </w:tbl>
    <w:p w14:paraId="6F1775D6" w14:textId="77777777" w:rsidR="001C08A5" w:rsidRDefault="00000000">
      <w:pPr>
        <w:pStyle w:val="Caption"/>
        <w:jc w:val="center"/>
      </w:pPr>
      <w:bookmarkStart w:id="8111" w:name="_Toc142898572"/>
      <w:bookmarkStart w:id="8112" w:name="_Toc23778"/>
      <w:bookmarkStart w:id="8113" w:name="_Toc12573"/>
      <w:bookmarkStart w:id="8114" w:name="_Toc23453"/>
      <w:bookmarkStart w:id="8115" w:name="_Toc162360415"/>
      <w:r>
        <w:t xml:space="preserve">Figura </w:t>
      </w:r>
      <w:r>
        <w:fldChar w:fldCharType="begin"/>
      </w:r>
      <w:r>
        <w:instrText xml:space="preserve"> SEQ Figura \* ARABIC </w:instrText>
      </w:r>
      <w:r>
        <w:fldChar w:fldCharType="separate"/>
      </w:r>
      <w:r>
        <w:t>191</w:t>
      </w:r>
      <w:r>
        <w:fldChar w:fldCharType="end"/>
      </w:r>
      <w:bookmarkStart w:id="8116" w:name="_Toc11471"/>
      <w:bookmarkStart w:id="8117" w:name="_Toc10241"/>
      <w:bookmarkStart w:id="8118" w:name="_Toc21374"/>
      <w:bookmarkStart w:id="8119" w:name="_Toc23648"/>
      <w:bookmarkStart w:id="8120" w:name="_Toc29541"/>
      <w:bookmarkStart w:id="8121" w:name="_Toc14186"/>
      <w:bookmarkStart w:id="8122" w:name="_Toc16382"/>
      <w:bookmarkStart w:id="8123" w:name="_Toc20736"/>
      <w:bookmarkStart w:id="8124" w:name="_Toc26480"/>
      <w:r>
        <w:t xml:space="preserve"> - Scări cu o rampă dreaptă</w:t>
      </w:r>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p>
    <w:p w14:paraId="721093FE" w14:textId="77777777" w:rsidR="001C08A5" w:rsidRDefault="00000000">
      <w:pPr>
        <w:jc w:val="center"/>
        <w:rPr>
          <w:b/>
          <w:bCs/>
          <w:i/>
          <w:sz w:val="24"/>
          <w:szCs w:val="24"/>
        </w:rPr>
      </w:pPr>
      <w:r>
        <w:rPr>
          <w:b/>
          <w:bCs/>
          <w:i/>
          <w:noProof/>
          <w:sz w:val="24"/>
          <w:szCs w:val="24"/>
          <w:lang w:eastAsia="ro-RO"/>
        </w:rPr>
        <w:lastRenderedPageBreak/>
        <w:drawing>
          <wp:inline distT="0" distB="0" distL="114300" distR="114300" wp14:anchorId="2FB3B163" wp14:editId="1BA8F52A">
            <wp:extent cx="3979545" cy="1489075"/>
            <wp:effectExtent l="0" t="0" r="1905" b="15875"/>
            <wp:docPr id="267"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154"/>
                    <pic:cNvPicPr>
                      <a:picLocks noChangeAspect="1"/>
                    </pic:cNvPicPr>
                  </pic:nvPicPr>
                  <pic:blipFill>
                    <a:blip r:embed="rId373"/>
                    <a:srcRect l="25027" t="13661" r="18929" b="55009"/>
                    <a:stretch>
                      <a:fillRect/>
                    </a:stretch>
                  </pic:blipFill>
                  <pic:spPr>
                    <a:xfrm>
                      <a:off x="0" y="0"/>
                      <a:ext cx="3979545" cy="148907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1538D6EE" w14:textId="77777777">
        <w:tc>
          <w:tcPr>
            <w:tcW w:w="4927" w:type="dxa"/>
          </w:tcPr>
          <w:p w14:paraId="010A5DDB" w14:textId="77777777" w:rsidR="001C08A5" w:rsidRDefault="00000000">
            <w:pPr>
              <w:jc w:val="center"/>
              <w:rPr>
                <w:b/>
                <w:bCs/>
                <w:i/>
                <w:sz w:val="24"/>
                <w:szCs w:val="24"/>
              </w:rPr>
            </w:pPr>
            <w:r>
              <w:rPr>
                <w:b/>
                <w:bCs/>
                <w:i/>
                <w:sz w:val="24"/>
                <w:szCs w:val="24"/>
              </w:rPr>
              <w:t>Varianta a) Plan</w:t>
            </w:r>
          </w:p>
        </w:tc>
        <w:tc>
          <w:tcPr>
            <w:tcW w:w="4928" w:type="dxa"/>
          </w:tcPr>
          <w:p w14:paraId="05BF414D" w14:textId="77777777" w:rsidR="001C08A5" w:rsidRDefault="00000000">
            <w:pPr>
              <w:jc w:val="center"/>
              <w:rPr>
                <w:b/>
                <w:bCs/>
                <w:i/>
                <w:sz w:val="24"/>
                <w:szCs w:val="24"/>
              </w:rPr>
            </w:pPr>
            <w:r>
              <w:rPr>
                <w:b/>
                <w:bCs/>
                <w:i/>
                <w:sz w:val="24"/>
                <w:szCs w:val="24"/>
              </w:rPr>
              <w:t>Varianta b) Plan</w:t>
            </w:r>
          </w:p>
        </w:tc>
      </w:tr>
    </w:tbl>
    <w:p w14:paraId="409A3106" w14:textId="77777777" w:rsidR="001C08A5" w:rsidRDefault="001C08A5">
      <w:pPr>
        <w:jc w:val="center"/>
        <w:rPr>
          <w:b/>
          <w:bCs/>
          <w:i/>
          <w:sz w:val="24"/>
          <w:szCs w:val="24"/>
        </w:rPr>
      </w:pPr>
    </w:p>
    <w:p w14:paraId="76579577" w14:textId="77777777" w:rsidR="001C08A5" w:rsidRDefault="00000000">
      <w:pPr>
        <w:jc w:val="center"/>
        <w:rPr>
          <w:b/>
          <w:bCs/>
          <w:i/>
          <w:sz w:val="24"/>
          <w:szCs w:val="24"/>
        </w:rPr>
      </w:pPr>
      <w:r>
        <w:rPr>
          <w:b/>
          <w:bCs/>
          <w:i/>
          <w:noProof/>
          <w:sz w:val="24"/>
          <w:szCs w:val="24"/>
          <w:lang w:eastAsia="ro-RO"/>
        </w:rPr>
        <w:drawing>
          <wp:inline distT="0" distB="0" distL="114300" distR="114300" wp14:anchorId="3BD209B3" wp14:editId="03CAEFC6">
            <wp:extent cx="3979545" cy="1809115"/>
            <wp:effectExtent l="0" t="0" r="1905" b="635"/>
            <wp:docPr id="268"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154"/>
                    <pic:cNvPicPr>
                      <a:picLocks noChangeAspect="1"/>
                    </pic:cNvPicPr>
                  </pic:nvPicPr>
                  <pic:blipFill>
                    <a:blip r:embed="rId373"/>
                    <a:srcRect l="25027" t="45914" r="18929" b="16023"/>
                    <a:stretch>
                      <a:fillRect/>
                    </a:stretch>
                  </pic:blipFill>
                  <pic:spPr>
                    <a:xfrm>
                      <a:off x="0" y="0"/>
                      <a:ext cx="3979545" cy="180911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729BD208" w14:textId="77777777">
        <w:tc>
          <w:tcPr>
            <w:tcW w:w="4927" w:type="dxa"/>
          </w:tcPr>
          <w:p w14:paraId="190DE3EE" w14:textId="77777777" w:rsidR="001C08A5" w:rsidRDefault="00000000">
            <w:pPr>
              <w:jc w:val="center"/>
              <w:rPr>
                <w:b/>
                <w:bCs/>
                <w:i/>
                <w:sz w:val="24"/>
                <w:szCs w:val="24"/>
              </w:rPr>
            </w:pPr>
            <w:r>
              <w:rPr>
                <w:b/>
                <w:bCs/>
                <w:i/>
                <w:sz w:val="24"/>
                <w:szCs w:val="24"/>
              </w:rPr>
              <w:t>Varianta a) Secțiune</w:t>
            </w:r>
          </w:p>
        </w:tc>
        <w:tc>
          <w:tcPr>
            <w:tcW w:w="4928" w:type="dxa"/>
          </w:tcPr>
          <w:p w14:paraId="44EDD1F1" w14:textId="77777777" w:rsidR="001C08A5" w:rsidRDefault="00000000">
            <w:pPr>
              <w:jc w:val="center"/>
              <w:rPr>
                <w:b/>
                <w:bCs/>
                <w:i/>
                <w:sz w:val="24"/>
                <w:szCs w:val="24"/>
              </w:rPr>
            </w:pPr>
            <w:r>
              <w:rPr>
                <w:b/>
                <w:bCs/>
                <w:i/>
                <w:sz w:val="24"/>
                <w:szCs w:val="24"/>
              </w:rPr>
              <w:t>Varianta b) Secțiune</w:t>
            </w:r>
          </w:p>
        </w:tc>
      </w:tr>
    </w:tbl>
    <w:p w14:paraId="5ED561AF" w14:textId="77777777" w:rsidR="001C08A5" w:rsidRDefault="00000000">
      <w:pPr>
        <w:pStyle w:val="Caption"/>
        <w:jc w:val="center"/>
      </w:pPr>
      <w:bookmarkStart w:id="8125" w:name="_Toc31592"/>
      <w:bookmarkStart w:id="8126" w:name="_Toc162360416"/>
      <w:bookmarkStart w:id="8127" w:name="_Toc13552"/>
      <w:bookmarkStart w:id="8128" w:name="_Toc8799"/>
      <w:bookmarkStart w:id="8129" w:name="_Toc142898573"/>
      <w:r>
        <w:t xml:space="preserve">Figura </w:t>
      </w:r>
      <w:r>
        <w:fldChar w:fldCharType="begin"/>
      </w:r>
      <w:r>
        <w:instrText xml:space="preserve"> SEQ Figura \* ARABIC </w:instrText>
      </w:r>
      <w:r>
        <w:fldChar w:fldCharType="separate"/>
      </w:r>
      <w:r>
        <w:t>192</w:t>
      </w:r>
      <w:r>
        <w:fldChar w:fldCharType="end"/>
      </w:r>
      <w:bookmarkStart w:id="8130" w:name="_Toc31559"/>
      <w:bookmarkStart w:id="8131" w:name="_Toc29459"/>
      <w:bookmarkStart w:id="8132" w:name="_Toc10073"/>
      <w:bookmarkStart w:id="8133" w:name="_Toc28288"/>
      <w:bookmarkStart w:id="8134" w:name="_Toc21403"/>
      <w:bookmarkStart w:id="8135" w:name="_Toc10045"/>
      <w:bookmarkStart w:id="8136" w:name="_Toc29240"/>
      <w:bookmarkStart w:id="8137" w:name="_Toc6526"/>
      <w:bookmarkStart w:id="8138" w:name="_Toc24341"/>
      <w:r>
        <w:t xml:space="preserve"> - Scări cu două rampe drepte</w:t>
      </w:r>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p>
    <w:p w14:paraId="3B115C41"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1B5D26F2" wp14:editId="5FABC53D">
            <wp:extent cx="6095365" cy="1997075"/>
            <wp:effectExtent l="0" t="0" r="635" b="3175"/>
            <wp:docPr id="269"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153"/>
                    <pic:cNvPicPr>
                      <a:picLocks noChangeAspect="1"/>
                    </pic:cNvPicPr>
                  </pic:nvPicPr>
                  <pic:blipFill>
                    <a:blip r:embed="rId374"/>
                    <a:srcRect l="12198" t="21992" r="7050" b="38483"/>
                    <a:stretch>
                      <a:fillRect/>
                    </a:stretch>
                  </pic:blipFill>
                  <pic:spPr>
                    <a:xfrm>
                      <a:off x="0" y="0"/>
                      <a:ext cx="6095365" cy="1997075"/>
                    </a:xfrm>
                    <a:prstGeom prst="rect">
                      <a:avLst/>
                    </a:prstGeom>
                    <a:noFill/>
                    <a:ln>
                      <a:noFill/>
                    </a:ln>
                  </pic:spPr>
                </pic:pic>
              </a:graphicData>
            </a:graphic>
          </wp:inline>
        </w:drawing>
      </w:r>
    </w:p>
    <w:p w14:paraId="240CEFC0" w14:textId="77777777" w:rsidR="001C08A5" w:rsidRDefault="00000000">
      <w:pPr>
        <w:pStyle w:val="Caption"/>
        <w:jc w:val="center"/>
      </w:pPr>
      <w:bookmarkStart w:id="8139" w:name="_Toc162360417"/>
      <w:bookmarkStart w:id="8140" w:name="_Toc3475"/>
      <w:bookmarkStart w:id="8141" w:name="_Toc4507"/>
      <w:bookmarkStart w:id="8142" w:name="_Toc142898574"/>
      <w:r>
        <w:t xml:space="preserve">Figura </w:t>
      </w:r>
      <w:r>
        <w:fldChar w:fldCharType="begin"/>
      </w:r>
      <w:r>
        <w:instrText xml:space="preserve"> SEQ Figura \* ARABIC </w:instrText>
      </w:r>
      <w:r>
        <w:fldChar w:fldCharType="separate"/>
      </w:r>
      <w:r>
        <w:t>193</w:t>
      </w:r>
      <w:r>
        <w:fldChar w:fldCharType="end"/>
      </w:r>
      <w:bookmarkStart w:id="8143" w:name="_Toc7343"/>
      <w:bookmarkStart w:id="8144" w:name="_Toc16665"/>
      <w:bookmarkStart w:id="8145" w:name="_Toc25423"/>
      <w:bookmarkStart w:id="8146" w:name="_Toc13719"/>
      <w:bookmarkStart w:id="8147" w:name="_Toc24354"/>
      <w:bookmarkStart w:id="8148" w:name="_Toc12090"/>
      <w:bookmarkStart w:id="8149" w:name="_Toc22382"/>
      <w:bookmarkStart w:id="8150" w:name="_Toc21240"/>
      <w:bookmarkStart w:id="8151" w:name="_Toc9703"/>
      <w:r>
        <w:t xml:space="preserve"> - Scări cu trei rampe drepte - se pot realiza cu una sau mai multe rampe</w:t>
      </w:r>
      <w:bookmarkEnd w:id="8139"/>
      <w:bookmarkEnd w:id="8140"/>
      <w:bookmarkEnd w:id="8141"/>
      <w:bookmarkEnd w:id="8142"/>
      <w:bookmarkEnd w:id="8143"/>
      <w:bookmarkEnd w:id="8144"/>
      <w:bookmarkEnd w:id="8145"/>
      <w:bookmarkEnd w:id="8146"/>
      <w:bookmarkEnd w:id="8147"/>
      <w:bookmarkEnd w:id="8148"/>
      <w:bookmarkEnd w:id="8149"/>
      <w:bookmarkEnd w:id="8150"/>
      <w:bookmarkEnd w:id="8151"/>
    </w:p>
    <w:p w14:paraId="1F564CD4"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5BBA9F42" wp14:editId="217C889C">
            <wp:extent cx="1913255" cy="2228215"/>
            <wp:effectExtent l="0" t="0" r="10795" b="635"/>
            <wp:docPr id="270"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155"/>
                    <pic:cNvPicPr>
                      <a:picLocks noChangeAspect="1"/>
                    </pic:cNvPicPr>
                  </pic:nvPicPr>
                  <pic:blipFill>
                    <a:blip r:embed="rId375"/>
                    <a:srcRect l="38487" t="23564" r="32388" b="25763"/>
                    <a:stretch>
                      <a:fillRect/>
                    </a:stretch>
                  </pic:blipFill>
                  <pic:spPr>
                    <a:xfrm>
                      <a:off x="0" y="0"/>
                      <a:ext cx="1913255" cy="2228215"/>
                    </a:xfrm>
                    <a:prstGeom prst="rect">
                      <a:avLst/>
                    </a:prstGeom>
                    <a:noFill/>
                    <a:ln>
                      <a:noFill/>
                    </a:ln>
                  </pic:spPr>
                </pic:pic>
              </a:graphicData>
            </a:graphic>
          </wp:inline>
        </w:drawing>
      </w:r>
    </w:p>
    <w:p w14:paraId="4CCE1DB5" w14:textId="77777777" w:rsidR="001C08A5" w:rsidRDefault="00000000">
      <w:pPr>
        <w:pStyle w:val="Caption"/>
        <w:jc w:val="center"/>
      </w:pPr>
      <w:bookmarkStart w:id="8152" w:name="_Toc19164"/>
      <w:bookmarkStart w:id="8153" w:name="_Toc30721"/>
      <w:bookmarkStart w:id="8154" w:name="_Toc162360418"/>
      <w:bookmarkStart w:id="8155" w:name="_Toc12324"/>
      <w:bookmarkStart w:id="8156" w:name="_Toc142898575"/>
      <w:r>
        <w:t xml:space="preserve">Figura </w:t>
      </w:r>
      <w:r>
        <w:fldChar w:fldCharType="begin"/>
      </w:r>
      <w:r>
        <w:instrText xml:space="preserve"> SEQ Figura \* ARABIC </w:instrText>
      </w:r>
      <w:r>
        <w:fldChar w:fldCharType="separate"/>
      </w:r>
      <w:r>
        <w:t>194</w:t>
      </w:r>
      <w:r>
        <w:fldChar w:fldCharType="end"/>
      </w:r>
      <w:bookmarkStart w:id="8157" w:name="_Toc31103"/>
      <w:bookmarkStart w:id="8158" w:name="_Toc19017"/>
      <w:bookmarkStart w:id="8159" w:name="_Toc27312"/>
      <w:bookmarkStart w:id="8160" w:name="_Toc27922"/>
      <w:bookmarkStart w:id="8161" w:name="_Toc31925"/>
      <w:bookmarkStart w:id="8162" w:name="_Toc18551"/>
      <w:bookmarkStart w:id="8163" w:name="_Toc5863"/>
      <w:bookmarkStart w:id="8164" w:name="_Toc31865"/>
      <w:bookmarkStart w:id="8165" w:name="_Toc15369"/>
      <w:r>
        <w:t xml:space="preserve"> - Scări cu patru rampe drepte</w:t>
      </w:r>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p>
    <w:p w14:paraId="1A56878A"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Rampele scărilor închise de evacuare ale nivelurilor supraterane se separă de rampele subterane conform prevederilor stipulate la</w:t>
      </w:r>
      <w:r>
        <w:rPr>
          <w:rFonts w:eastAsia="Times New Roman"/>
          <w:b/>
          <w:bCs/>
          <w:i/>
          <w:sz w:val="24"/>
        </w:rPr>
        <w:t xml:space="preserve"> </w:t>
      </w:r>
      <w:r>
        <w:rPr>
          <w:b/>
          <w:bCs/>
          <w:i/>
          <w:sz w:val="24"/>
          <w:szCs w:val="24"/>
        </w:rPr>
        <w:t xml:space="preserve">Art. 2.5.6.2.3. alin. (1) </w:t>
      </w:r>
      <w:r>
        <w:rPr>
          <w:i/>
          <w:sz w:val="24"/>
          <w:szCs w:val="24"/>
        </w:rPr>
        <w:t>și</w:t>
      </w:r>
      <w:r>
        <w:rPr>
          <w:b/>
          <w:bCs/>
          <w:i/>
          <w:sz w:val="24"/>
          <w:szCs w:val="24"/>
        </w:rPr>
        <w:t xml:space="preserve"> (2), Art. 3.2.11.8., Art. </w:t>
      </w:r>
      <w:r>
        <w:rPr>
          <w:b/>
          <w:bCs/>
          <w:i/>
          <w:sz w:val="24"/>
          <w:szCs w:val="24"/>
        </w:rPr>
        <w:lastRenderedPageBreak/>
        <w:t xml:space="preserve">4.1.5.10., Art. 4.2.5.10., Art. 5.5.4., Art. 6.1.5.12., Art. 7.5.6. </w:t>
      </w:r>
      <w:r>
        <w:rPr>
          <w:i/>
          <w:sz w:val="24"/>
          <w:szCs w:val="24"/>
        </w:rPr>
        <w:t>și a celorlalte prevederi stipulate în normativ</w:t>
      </w:r>
      <w:r>
        <w:rPr>
          <w:b/>
          <w:bCs/>
          <w:i/>
          <w:sz w:val="24"/>
          <w:szCs w:val="24"/>
        </w:rPr>
        <w:t>.</w:t>
      </w:r>
      <w:r>
        <w:rPr>
          <w:rFonts w:eastAsia="Times New Roman"/>
          <w:i/>
          <w:sz w:val="24"/>
        </w:rPr>
        <w:t>.</w:t>
      </w:r>
      <w:r>
        <w:rPr>
          <w:rFonts w:eastAsia="Times New Roman"/>
          <w:b/>
          <w:bCs/>
          <w:i/>
          <w:sz w:val="24"/>
        </w:rPr>
        <w:t xml:space="preserve"> </w:t>
      </w:r>
      <w:r>
        <w:rPr>
          <w:rFonts w:eastAsia="Times New Roman"/>
          <w:i/>
          <w:sz w:val="24"/>
        </w:rPr>
        <w:t>Fac excepție situațiile prevăzute la</w:t>
      </w:r>
      <w:r>
        <w:rPr>
          <w:rFonts w:eastAsia="Times New Roman"/>
          <w:b/>
          <w:bCs/>
          <w:i/>
          <w:sz w:val="24"/>
        </w:rPr>
        <w:t xml:space="preserve"> </w:t>
      </w:r>
      <w:r>
        <w:rPr>
          <w:b/>
          <w:bCs/>
          <w:i/>
          <w:sz w:val="24"/>
          <w:szCs w:val="24"/>
        </w:rPr>
        <w:t xml:space="preserve">Art. 2.5.6.2.3. alin. (3) </w:t>
      </w:r>
      <w:r>
        <w:rPr>
          <w:i/>
          <w:sz w:val="24"/>
          <w:szCs w:val="24"/>
        </w:rPr>
        <w:t>și</w:t>
      </w:r>
      <w:r>
        <w:rPr>
          <w:b/>
          <w:bCs/>
          <w:i/>
          <w:sz w:val="24"/>
          <w:szCs w:val="24"/>
        </w:rPr>
        <w:t xml:space="preserve"> (4) </w:t>
      </w:r>
      <w:r>
        <w:rPr>
          <w:i/>
          <w:sz w:val="24"/>
          <w:szCs w:val="24"/>
        </w:rPr>
        <w:t>și a celorlalte prevederi stipulate în normativ</w:t>
      </w:r>
      <w:r>
        <w:rPr>
          <w:b/>
          <w:bCs/>
          <w:i/>
          <w:sz w:val="24"/>
          <w:szCs w:val="24"/>
        </w:rPr>
        <w:t>.</w:t>
      </w:r>
    </w:p>
    <w:p w14:paraId="049A8A5C" w14:textId="77777777" w:rsidR="001C08A5" w:rsidRDefault="001C08A5">
      <w:pPr>
        <w:numPr>
          <w:ilvl w:val="255"/>
          <w:numId w:val="0"/>
        </w:numPr>
        <w:tabs>
          <w:tab w:val="left" w:pos="426"/>
          <w:tab w:val="left" w:pos="993"/>
        </w:tabs>
        <w:jc w:val="both"/>
        <w:rPr>
          <w:rFonts w:eastAsia="Times New Roman"/>
          <w:b/>
          <w:i/>
          <w:sz w:val="24"/>
        </w:rPr>
      </w:pPr>
    </w:p>
    <w:p w14:paraId="37BA9B01"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ab/>
        <w:t xml:space="preserve">Rampele subterane ale scărilor închise interioare dispuse în continuarea rampelor supraterane, se separă de rampele aferente nivelurilor supraterane prin pereţi rezistenţi la foc minimum </w:t>
      </w:r>
      <w:r>
        <w:rPr>
          <w:rFonts w:eastAsia="Times New Roman"/>
          <w:b/>
          <w:bCs/>
          <w:i/>
          <w:sz w:val="24"/>
        </w:rPr>
        <w:t>EI/REI 120</w:t>
      </w:r>
      <w:r>
        <w:rPr>
          <w:rFonts w:eastAsia="Times New Roman"/>
          <w:i/>
          <w:sz w:val="24"/>
        </w:rPr>
        <w:t xml:space="preserve"> şi planşee rezistente la foc minimum </w:t>
      </w:r>
      <w:r>
        <w:rPr>
          <w:rFonts w:eastAsia="Times New Roman"/>
          <w:b/>
          <w:bCs/>
          <w:i/>
          <w:sz w:val="24"/>
        </w:rPr>
        <w:t>REI 60</w:t>
      </w:r>
      <w:r>
        <w:rPr>
          <w:rFonts w:eastAsia="Times New Roman"/>
          <w:i/>
          <w:sz w:val="24"/>
        </w:rPr>
        <w:t xml:space="preserve">. Comunicarea funcţională dintre rampele scărilor subterane şi rampele scărilor supraterane ale clădirii este admisă numai printr-o uşă rezistentă la foc </w:t>
      </w:r>
      <w:r>
        <w:rPr>
          <w:rFonts w:eastAsia="Times New Roman"/>
          <w:b/>
          <w:bCs/>
          <w:i/>
          <w:sz w:val="24"/>
        </w:rPr>
        <w:t>EI</w:t>
      </w:r>
      <w:r>
        <w:rPr>
          <w:rFonts w:eastAsia="Times New Roman"/>
          <w:b/>
          <w:bCs/>
          <w:i/>
          <w:sz w:val="24"/>
          <w:vertAlign w:val="subscript"/>
        </w:rPr>
        <w:t>2</w:t>
      </w:r>
      <w:r>
        <w:rPr>
          <w:rFonts w:eastAsia="Times New Roman"/>
          <w:b/>
          <w:bCs/>
          <w:i/>
          <w:sz w:val="24"/>
        </w:rPr>
        <w:t xml:space="preserve"> 90-C5S</w:t>
      </w:r>
      <w:r>
        <w:rPr>
          <w:rFonts w:eastAsia="Times New Roman"/>
          <w:b/>
          <w:bCs/>
          <w:i/>
          <w:sz w:val="24"/>
          <w:vertAlign w:val="subscript"/>
        </w:rPr>
        <w:t>200</w:t>
      </w:r>
      <w:r>
        <w:rPr>
          <w:rFonts w:eastAsia="Times New Roman"/>
          <w:i/>
          <w:sz w:val="24"/>
        </w:rPr>
        <w:t xml:space="preserve">, dispusă la cota parterului sau a palierului intermediar dintre subsol şi parter, cu deschidere în sensul de evacuare. Atunci când nu există comunicare între rampele subterane şi cele supraterane, golul de ieşire în holul de la parter al rampei subterane se protejază cu uşă rezistentă la foc minimum </w:t>
      </w:r>
      <w:r>
        <w:rPr>
          <w:rFonts w:eastAsia="Times New Roman"/>
          <w:b/>
          <w:bCs/>
          <w:i/>
          <w:sz w:val="24"/>
        </w:rPr>
        <w:t>EI</w:t>
      </w:r>
      <w:r>
        <w:rPr>
          <w:rFonts w:eastAsia="Times New Roman"/>
          <w:b/>
          <w:bCs/>
          <w:i/>
          <w:sz w:val="24"/>
          <w:vertAlign w:val="subscript"/>
        </w:rPr>
        <w:t>2</w:t>
      </w:r>
      <w:r>
        <w:rPr>
          <w:rFonts w:eastAsia="Times New Roman"/>
          <w:b/>
          <w:bCs/>
          <w:i/>
          <w:sz w:val="24"/>
        </w:rPr>
        <w:t xml:space="preserve"> 30-C5S</w:t>
      </w:r>
      <w:r>
        <w:rPr>
          <w:rFonts w:eastAsia="Times New Roman"/>
          <w:b/>
          <w:bCs/>
          <w:i/>
          <w:sz w:val="24"/>
          <w:vertAlign w:val="subscript"/>
        </w:rPr>
        <w:t>200</w:t>
      </w:r>
      <w:r>
        <w:rPr>
          <w:rFonts w:eastAsia="Times New Roman"/>
          <w:i/>
          <w:sz w:val="24"/>
        </w:rPr>
        <w:t xml:space="preserve"> (daca normativul nu stabilește valori mai mari)</w:t>
      </w:r>
    </w:p>
    <w:p w14:paraId="0CD935F4"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41919626" wp14:editId="093A029B">
            <wp:extent cx="3669030" cy="2082800"/>
            <wp:effectExtent l="0" t="0" r="7620" b="12700"/>
            <wp:docPr id="271"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156"/>
                    <pic:cNvPicPr>
                      <a:picLocks noChangeAspect="1"/>
                    </pic:cNvPicPr>
                  </pic:nvPicPr>
                  <pic:blipFill>
                    <a:blip r:embed="rId376"/>
                    <a:srcRect l="21974" t="16966" r="21242" b="34875"/>
                    <a:stretch>
                      <a:fillRect/>
                    </a:stretch>
                  </pic:blipFill>
                  <pic:spPr>
                    <a:xfrm>
                      <a:off x="0" y="0"/>
                      <a:ext cx="3669030" cy="2082800"/>
                    </a:xfrm>
                    <a:prstGeom prst="rect">
                      <a:avLst/>
                    </a:prstGeom>
                    <a:noFill/>
                    <a:ln>
                      <a:noFill/>
                    </a:ln>
                  </pic:spPr>
                </pic:pic>
              </a:graphicData>
            </a:graphic>
          </wp:inline>
        </w:drawing>
      </w:r>
    </w:p>
    <w:p w14:paraId="03F79B26" w14:textId="77777777" w:rsidR="001C08A5" w:rsidRDefault="00000000">
      <w:pPr>
        <w:pStyle w:val="Caption"/>
        <w:jc w:val="center"/>
      </w:pPr>
      <w:bookmarkStart w:id="8166" w:name="_Toc142898576"/>
      <w:bookmarkStart w:id="8167" w:name="_Toc162360419"/>
      <w:bookmarkStart w:id="8168" w:name="_Toc6903"/>
      <w:bookmarkStart w:id="8169" w:name="_Toc15275"/>
      <w:bookmarkStart w:id="8170" w:name="_Toc29351"/>
      <w:r>
        <w:t xml:space="preserve">Figura </w:t>
      </w:r>
      <w:r>
        <w:fldChar w:fldCharType="begin"/>
      </w:r>
      <w:r>
        <w:instrText xml:space="preserve"> SEQ Figura \* ARABIC </w:instrText>
      </w:r>
      <w:r>
        <w:fldChar w:fldCharType="separate"/>
      </w:r>
      <w:r>
        <w:t>195</w:t>
      </w:r>
      <w:r>
        <w:fldChar w:fldCharType="end"/>
      </w:r>
      <w:bookmarkStart w:id="8171" w:name="_Toc9079"/>
      <w:bookmarkStart w:id="8172" w:name="_Toc31121"/>
      <w:bookmarkStart w:id="8173" w:name="_Toc8561"/>
      <w:bookmarkStart w:id="8174" w:name="_Toc24382"/>
      <w:bookmarkStart w:id="8175" w:name="_Toc1370"/>
      <w:bookmarkStart w:id="8176" w:name="_Toc20995"/>
      <w:bookmarkStart w:id="8177" w:name="_Toc645"/>
      <w:bookmarkStart w:id="8178" w:name="_Toc16506"/>
      <w:bookmarkStart w:id="8179" w:name="_Toc13523"/>
      <w:r>
        <w:t xml:space="preserve"> - Separarea rampelor supraterane de cele subterane</w:t>
      </w:r>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p>
    <w:p w14:paraId="4D07BB8C" w14:textId="77777777" w:rsidR="001C08A5" w:rsidRDefault="00000000">
      <w:pPr>
        <w:jc w:val="center"/>
        <w:rPr>
          <w:b/>
          <w:bCs/>
          <w:i/>
          <w:sz w:val="24"/>
          <w:szCs w:val="24"/>
        </w:rPr>
      </w:pPr>
      <w:r>
        <w:rPr>
          <w:b/>
          <w:bCs/>
          <w:i/>
          <w:noProof/>
          <w:sz w:val="24"/>
          <w:szCs w:val="24"/>
        </w:rPr>
        <w:drawing>
          <wp:inline distT="0" distB="0" distL="114300" distR="114300" wp14:anchorId="11829CC6" wp14:editId="5AC50EB3">
            <wp:extent cx="5829300" cy="2736850"/>
            <wp:effectExtent l="0" t="0" r="0" b="6350"/>
            <wp:docPr id="3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27"/>
                    <pic:cNvPicPr>
                      <a:picLocks noChangeAspect="1"/>
                    </pic:cNvPicPr>
                  </pic:nvPicPr>
                  <pic:blipFill>
                    <a:blip r:embed="rId377"/>
                    <a:srcRect l="15193" t="17611" r="7580" b="31956"/>
                    <a:stretch>
                      <a:fillRect/>
                    </a:stretch>
                  </pic:blipFill>
                  <pic:spPr>
                    <a:xfrm>
                      <a:off x="0" y="0"/>
                      <a:ext cx="5829300" cy="2736850"/>
                    </a:xfrm>
                    <a:prstGeom prst="rect">
                      <a:avLst/>
                    </a:prstGeom>
                    <a:noFill/>
                    <a:ln>
                      <a:noFill/>
                    </a:ln>
                  </pic:spPr>
                </pic:pic>
              </a:graphicData>
            </a:graphic>
          </wp:inline>
        </w:drawing>
      </w:r>
    </w:p>
    <w:p w14:paraId="3CB2D349" w14:textId="77777777" w:rsidR="001C08A5" w:rsidRDefault="00000000">
      <w:pPr>
        <w:pStyle w:val="Caption"/>
        <w:jc w:val="center"/>
      </w:pPr>
      <w:bookmarkStart w:id="8180" w:name="_Toc1863"/>
      <w:bookmarkStart w:id="8181" w:name="_Toc11584"/>
      <w:bookmarkStart w:id="8182" w:name="_Toc142898577"/>
      <w:bookmarkStart w:id="8183" w:name="_Toc9250"/>
      <w:bookmarkStart w:id="8184" w:name="_Toc162360420"/>
      <w:r>
        <w:t xml:space="preserve">Figura </w:t>
      </w:r>
      <w:r>
        <w:fldChar w:fldCharType="begin"/>
      </w:r>
      <w:r>
        <w:instrText xml:space="preserve"> SEQ Figura \* ARABIC </w:instrText>
      </w:r>
      <w:r>
        <w:fldChar w:fldCharType="separate"/>
      </w:r>
      <w:r>
        <w:t>196</w:t>
      </w:r>
      <w:r>
        <w:fldChar w:fldCharType="end"/>
      </w:r>
      <w:bookmarkStart w:id="8185" w:name="_Toc26166"/>
      <w:bookmarkStart w:id="8186" w:name="_Toc16589"/>
      <w:bookmarkStart w:id="8187" w:name="_Toc17876"/>
      <w:bookmarkStart w:id="8188" w:name="_Toc31504"/>
      <w:bookmarkStart w:id="8189" w:name="_Toc32117"/>
      <w:bookmarkStart w:id="8190" w:name="_Toc12635"/>
      <w:bookmarkStart w:id="8191" w:name="_Toc25705"/>
      <w:bookmarkStart w:id="8192" w:name="_Toc5574"/>
      <w:bookmarkStart w:id="8193" w:name="_Toc10488"/>
      <w:r>
        <w:t xml:space="preserve"> - Tipologii scări</w:t>
      </w:r>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p>
    <w:p w14:paraId="336060CD" w14:textId="77777777" w:rsidR="001C08A5" w:rsidRDefault="00000000">
      <w:pPr>
        <w:pStyle w:val="Heading4"/>
        <w:ind w:left="0" w:firstLine="0"/>
        <w:rPr>
          <w:sz w:val="24"/>
          <w:szCs w:val="24"/>
        </w:rPr>
      </w:pPr>
      <w:bookmarkStart w:id="8194" w:name="_Toc8168"/>
      <w:bookmarkStart w:id="8195" w:name="_Toc2160"/>
      <w:bookmarkStart w:id="8196" w:name="_Toc32128"/>
      <w:bookmarkStart w:id="8197" w:name="_Toc162355442"/>
      <w:bookmarkStart w:id="8198" w:name="_Toc26647"/>
      <w:bookmarkStart w:id="8199" w:name="_Toc9925"/>
      <w:bookmarkStart w:id="8200" w:name="_Toc28567"/>
      <w:bookmarkStart w:id="8201" w:name="_Toc10577"/>
      <w:bookmarkStart w:id="8202" w:name="_Toc24689"/>
      <w:bookmarkStart w:id="8203" w:name="_Toc14137"/>
      <w:bookmarkStart w:id="8204" w:name="_Toc19715"/>
      <w:bookmarkStart w:id="8205" w:name="_Toc11277"/>
      <w:bookmarkStart w:id="8206" w:name="_Toc7235"/>
      <w:bookmarkStart w:id="8207" w:name="_Toc23789"/>
      <w:bookmarkStart w:id="8208" w:name="_Toc24174"/>
      <w:bookmarkStart w:id="8209" w:name="_Toc4406"/>
      <w:bookmarkStart w:id="8210" w:name="_Toc8773"/>
      <w:r>
        <w:rPr>
          <w:sz w:val="24"/>
          <w:szCs w:val="24"/>
        </w:rPr>
        <w:t>Scări cu rampe încrucişate</w:t>
      </w:r>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p>
    <w:p w14:paraId="136E64AE" w14:textId="77777777" w:rsidR="001C08A5" w:rsidRDefault="001C08A5">
      <w:pPr>
        <w:jc w:val="center"/>
        <w:rPr>
          <w:i/>
          <w:sz w:val="24"/>
          <w:szCs w:val="24"/>
          <w:lang w:eastAsia="ro-RO"/>
        </w:rPr>
      </w:pPr>
    </w:p>
    <w:p w14:paraId="0D191046" w14:textId="77777777" w:rsidR="001C08A5" w:rsidRDefault="00000000">
      <w:pPr>
        <w:jc w:val="center"/>
        <w:rPr>
          <w:i/>
          <w:sz w:val="24"/>
          <w:szCs w:val="24"/>
          <w:lang w:eastAsia="ro-RO"/>
        </w:rPr>
      </w:pPr>
      <w:r>
        <w:rPr>
          <w:noProof/>
        </w:rPr>
        <w:lastRenderedPageBreak/>
        <w:drawing>
          <wp:inline distT="0" distB="0" distL="114300" distR="114300" wp14:anchorId="54D1E0C3" wp14:editId="12A87CB9">
            <wp:extent cx="5281930" cy="1435100"/>
            <wp:effectExtent l="0" t="0" r="13970" b="12700"/>
            <wp:docPr id="4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7"/>
                    <pic:cNvPicPr>
                      <a:picLocks noChangeAspect="1"/>
                    </pic:cNvPicPr>
                  </pic:nvPicPr>
                  <pic:blipFill>
                    <a:blip r:embed="rId378"/>
                    <a:srcRect l="15949" t="5614" r="14081" b="15088"/>
                    <a:stretch>
                      <a:fillRect/>
                    </a:stretch>
                  </pic:blipFill>
                  <pic:spPr>
                    <a:xfrm>
                      <a:off x="0" y="0"/>
                      <a:ext cx="5281930" cy="1435100"/>
                    </a:xfrm>
                    <a:prstGeom prst="rect">
                      <a:avLst/>
                    </a:prstGeom>
                    <a:noFill/>
                    <a:ln>
                      <a:noFill/>
                    </a:ln>
                  </pic:spPr>
                </pic:pic>
              </a:graphicData>
            </a:graphic>
          </wp:inline>
        </w:drawing>
      </w:r>
    </w:p>
    <w:p w14:paraId="15921597" w14:textId="77777777" w:rsidR="001C08A5" w:rsidRDefault="00000000">
      <w:pPr>
        <w:jc w:val="center"/>
        <w:rPr>
          <w:b/>
          <w:bCs/>
          <w:i/>
          <w:sz w:val="24"/>
          <w:szCs w:val="24"/>
        </w:rPr>
      </w:pPr>
      <w:r>
        <w:rPr>
          <w:b/>
          <w:bCs/>
          <w:i/>
          <w:sz w:val="24"/>
          <w:szCs w:val="24"/>
        </w:rPr>
        <w:t>Varianta a) - PLAN</w:t>
      </w:r>
    </w:p>
    <w:p w14:paraId="2052F243" w14:textId="77777777" w:rsidR="001C08A5" w:rsidRDefault="00000000">
      <w:pPr>
        <w:jc w:val="center"/>
        <w:rPr>
          <w:rFonts w:eastAsia="Times New Roman"/>
          <w:b/>
          <w:bCs/>
          <w:i/>
          <w:sz w:val="24"/>
          <w:szCs w:val="24"/>
        </w:rPr>
      </w:pPr>
      <w:r>
        <w:rPr>
          <w:noProof/>
        </w:rPr>
        <w:drawing>
          <wp:inline distT="0" distB="0" distL="114300" distR="114300" wp14:anchorId="64C57D8D" wp14:editId="076E7AD8">
            <wp:extent cx="5290820" cy="3062605"/>
            <wp:effectExtent l="0" t="0" r="5080" b="4445"/>
            <wp:docPr id="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8"/>
                    <pic:cNvPicPr>
                      <a:picLocks noChangeAspect="1"/>
                    </pic:cNvPicPr>
                  </pic:nvPicPr>
                  <pic:blipFill>
                    <a:blip r:embed="rId379"/>
                    <a:srcRect l="16069" t="9133" r="13831" b="4834"/>
                    <a:stretch>
                      <a:fillRect/>
                    </a:stretch>
                  </pic:blipFill>
                  <pic:spPr>
                    <a:xfrm>
                      <a:off x="0" y="0"/>
                      <a:ext cx="5290820" cy="3062605"/>
                    </a:xfrm>
                    <a:prstGeom prst="rect">
                      <a:avLst/>
                    </a:prstGeom>
                    <a:noFill/>
                    <a:ln>
                      <a:noFill/>
                    </a:ln>
                  </pic:spPr>
                </pic:pic>
              </a:graphicData>
            </a:graphic>
          </wp:inline>
        </w:drawing>
      </w:r>
    </w:p>
    <w:p w14:paraId="2924B4DB" w14:textId="77777777" w:rsidR="001C08A5" w:rsidRDefault="00000000">
      <w:pPr>
        <w:jc w:val="center"/>
        <w:rPr>
          <w:b/>
          <w:bCs/>
          <w:i/>
          <w:sz w:val="24"/>
          <w:szCs w:val="24"/>
        </w:rPr>
      </w:pPr>
      <w:r>
        <w:rPr>
          <w:b/>
          <w:bCs/>
          <w:i/>
          <w:sz w:val="24"/>
          <w:szCs w:val="24"/>
        </w:rPr>
        <w:t>Varianta a) - SECȚIUNE</w:t>
      </w:r>
    </w:p>
    <w:p w14:paraId="003AF819" w14:textId="77777777" w:rsidR="001C08A5" w:rsidRDefault="001C08A5">
      <w:pPr>
        <w:jc w:val="center"/>
        <w:rPr>
          <w:b/>
          <w:bCs/>
          <w:i/>
          <w:sz w:val="24"/>
          <w:szCs w:val="24"/>
        </w:rPr>
      </w:pPr>
    </w:p>
    <w:p w14:paraId="714C95F2" w14:textId="77777777" w:rsidR="001C08A5" w:rsidRDefault="00000000">
      <w:pPr>
        <w:jc w:val="center"/>
        <w:rPr>
          <w:i/>
          <w:sz w:val="24"/>
          <w:szCs w:val="24"/>
          <w:lang w:eastAsia="ro-RO"/>
        </w:rPr>
      </w:pPr>
      <w:r>
        <w:rPr>
          <w:noProof/>
        </w:rPr>
        <w:drawing>
          <wp:inline distT="0" distB="0" distL="114300" distR="114300" wp14:anchorId="346B642C" wp14:editId="16EEAC33">
            <wp:extent cx="6052820" cy="1276985"/>
            <wp:effectExtent l="0" t="0" r="5080" b="18415"/>
            <wp:docPr id="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5"/>
                    <pic:cNvPicPr>
                      <a:picLocks noChangeAspect="1"/>
                    </pic:cNvPicPr>
                  </pic:nvPicPr>
                  <pic:blipFill>
                    <a:blip r:embed="rId380"/>
                    <a:srcRect l="12508" t="9866" r="7310" b="19024"/>
                    <a:stretch>
                      <a:fillRect/>
                    </a:stretch>
                  </pic:blipFill>
                  <pic:spPr>
                    <a:xfrm>
                      <a:off x="0" y="0"/>
                      <a:ext cx="6052820" cy="1276985"/>
                    </a:xfrm>
                    <a:prstGeom prst="rect">
                      <a:avLst/>
                    </a:prstGeom>
                    <a:noFill/>
                    <a:ln>
                      <a:noFill/>
                    </a:ln>
                  </pic:spPr>
                </pic:pic>
              </a:graphicData>
            </a:graphic>
          </wp:inline>
        </w:drawing>
      </w:r>
    </w:p>
    <w:p w14:paraId="22214DF8" w14:textId="77777777" w:rsidR="001C08A5" w:rsidRDefault="00000000">
      <w:pPr>
        <w:jc w:val="center"/>
        <w:rPr>
          <w:b/>
          <w:bCs/>
          <w:i/>
          <w:sz w:val="24"/>
          <w:szCs w:val="24"/>
        </w:rPr>
      </w:pPr>
      <w:r>
        <w:rPr>
          <w:b/>
          <w:bCs/>
          <w:i/>
          <w:sz w:val="24"/>
          <w:szCs w:val="24"/>
        </w:rPr>
        <w:t>Varianta b) - PLAN</w:t>
      </w:r>
    </w:p>
    <w:p w14:paraId="72B8D7EA" w14:textId="77777777" w:rsidR="001C08A5" w:rsidRDefault="001C08A5">
      <w:pPr>
        <w:jc w:val="center"/>
        <w:rPr>
          <w:b/>
          <w:bCs/>
          <w:i/>
          <w:sz w:val="24"/>
          <w:szCs w:val="24"/>
        </w:rPr>
      </w:pPr>
    </w:p>
    <w:p w14:paraId="38402E62" w14:textId="77777777" w:rsidR="001C08A5" w:rsidRDefault="00000000">
      <w:pPr>
        <w:jc w:val="center"/>
        <w:rPr>
          <w:i/>
          <w:sz w:val="24"/>
          <w:szCs w:val="24"/>
        </w:rPr>
      </w:pPr>
      <w:r>
        <w:rPr>
          <w:noProof/>
        </w:rPr>
        <w:lastRenderedPageBreak/>
        <w:drawing>
          <wp:inline distT="0" distB="0" distL="114300" distR="114300" wp14:anchorId="5D50ED8D" wp14:editId="04B62FF0">
            <wp:extent cx="6052820" cy="2900680"/>
            <wp:effectExtent l="0" t="0" r="5080" b="13970"/>
            <wp:docPr id="4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6"/>
                    <pic:cNvPicPr>
                      <a:picLocks noChangeAspect="1"/>
                    </pic:cNvPicPr>
                  </pic:nvPicPr>
                  <pic:blipFill>
                    <a:blip r:embed="rId381"/>
                    <a:srcRect l="12508" t="6735" r="7310" b="3042"/>
                    <a:stretch>
                      <a:fillRect/>
                    </a:stretch>
                  </pic:blipFill>
                  <pic:spPr>
                    <a:xfrm>
                      <a:off x="0" y="0"/>
                      <a:ext cx="6052820" cy="2900680"/>
                    </a:xfrm>
                    <a:prstGeom prst="rect">
                      <a:avLst/>
                    </a:prstGeom>
                    <a:noFill/>
                    <a:ln>
                      <a:noFill/>
                    </a:ln>
                  </pic:spPr>
                </pic:pic>
              </a:graphicData>
            </a:graphic>
          </wp:inline>
        </w:drawing>
      </w:r>
    </w:p>
    <w:p w14:paraId="1140418B" w14:textId="77777777" w:rsidR="001C08A5" w:rsidRDefault="00000000">
      <w:pPr>
        <w:jc w:val="center"/>
        <w:rPr>
          <w:i/>
          <w:sz w:val="24"/>
          <w:szCs w:val="24"/>
          <w:lang w:eastAsia="ro-RO"/>
        </w:rPr>
      </w:pPr>
      <w:r>
        <w:rPr>
          <w:b/>
          <w:bCs/>
          <w:i/>
          <w:sz w:val="24"/>
          <w:szCs w:val="24"/>
        </w:rPr>
        <w:t>Varianta b) - SECȚIUNE</w:t>
      </w:r>
    </w:p>
    <w:p w14:paraId="691F2019" w14:textId="77777777" w:rsidR="001C08A5" w:rsidRDefault="00000000">
      <w:pPr>
        <w:pStyle w:val="Caption"/>
        <w:jc w:val="center"/>
      </w:pPr>
      <w:bookmarkStart w:id="8211" w:name="_Toc7319"/>
      <w:bookmarkStart w:id="8212" w:name="_Toc162360421"/>
      <w:bookmarkStart w:id="8213" w:name="_Toc8935"/>
      <w:bookmarkStart w:id="8214" w:name="_Toc4279"/>
      <w:bookmarkStart w:id="8215" w:name="_Toc142898578"/>
      <w:r>
        <w:t xml:space="preserve">Figura </w:t>
      </w:r>
      <w:r>
        <w:fldChar w:fldCharType="begin"/>
      </w:r>
      <w:r>
        <w:instrText xml:space="preserve"> SEQ Figura \* ARABIC </w:instrText>
      </w:r>
      <w:r>
        <w:fldChar w:fldCharType="separate"/>
      </w:r>
      <w:r>
        <w:t>197</w:t>
      </w:r>
      <w:r>
        <w:fldChar w:fldCharType="end"/>
      </w:r>
      <w:bookmarkStart w:id="8216" w:name="_Toc31930"/>
      <w:bookmarkStart w:id="8217" w:name="_Toc25909"/>
      <w:bookmarkStart w:id="8218" w:name="_Toc29852"/>
      <w:bookmarkStart w:id="8219" w:name="_Toc21435"/>
      <w:bookmarkStart w:id="8220" w:name="_Toc28395"/>
      <w:bookmarkStart w:id="8221" w:name="_Toc32709"/>
      <w:bookmarkStart w:id="8222" w:name="_Toc14523"/>
      <w:bookmarkStart w:id="8223" w:name="_Toc27100"/>
      <w:bookmarkStart w:id="8224" w:name="_Toc20244"/>
      <w:r>
        <w:t xml:space="preserve"> - Scări cu rampe încrucişate la clădiri înalte/ foarte înalte și în subteran</w:t>
      </w:r>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p>
    <w:p w14:paraId="6A1F5E88"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Scările cu rampe încrucişate sunt constituite dintr-o combinaţie între două scări cu rampe drepte (fiecare) şi care conduce la realizarea a două scări (două căi de evacuare distincte).</w:t>
      </w:r>
    </w:p>
    <w:p w14:paraId="507A867C" w14:textId="77777777" w:rsidR="001C08A5" w:rsidRDefault="00000000">
      <w:pPr>
        <w:pStyle w:val="Heading4"/>
        <w:rPr>
          <w:sz w:val="24"/>
          <w:szCs w:val="24"/>
        </w:rPr>
      </w:pPr>
      <w:bookmarkStart w:id="8225" w:name="_Toc162355443"/>
      <w:bookmarkStart w:id="8226" w:name="_Toc23579"/>
      <w:bookmarkStart w:id="8227" w:name="_Toc23196"/>
      <w:bookmarkStart w:id="8228" w:name="_Toc4403"/>
      <w:bookmarkStart w:id="8229" w:name="_Toc4479"/>
      <w:bookmarkStart w:id="8230" w:name="_Toc31932"/>
      <w:bookmarkStart w:id="8231" w:name="_Toc548"/>
      <w:bookmarkStart w:id="8232" w:name="_Toc23075"/>
      <w:bookmarkStart w:id="8233" w:name="_Toc3350"/>
      <w:bookmarkStart w:id="8234" w:name="_Toc28712"/>
      <w:bookmarkStart w:id="8235" w:name="_Toc19354"/>
      <w:bookmarkStart w:id="8236" w:name="_Toc23089"/>
      <w:bookmarkStart w:id="8237" w:name="_Toc7079"/>
      <w:bookmarkStart w:id="8238" w:name="_Toc21341"/>
      <w:bookmarkStart w:id="8239" w:name="_Toc15594"/>
      <w:r>
        <w:rPr>
          <w:sz w:val="24"/>
          <w:szCs w:val="24"/>
        </w:rPr>
        <w:t>Scări cu rampe elicoidale</w:t>
      </w:r>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p>
    <w:p w14:paraId="07861F4A"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Scările cu rampe elicoidale, cu una sau mai multe rampe pot fi </w:t>
      </w:r>
      <w:r>
        <w:rPr>
          <w:rFonts w:eastAsia="Times New Roman"/>
          <w:bCs/>
          <w:i/>
          <w:sz w:val="24"/>
        </w:rPr>
        <w:t>curbe</w:t>
      </w:r>
      <w:r>
        <w:rPr>
          <w:rFonts w:eastAsia="Times New Roman"/>
          <w:i/>
          <w:sz w:val="24"/>
        </w:rPr>
        <w:t xml:space="preserve"> sau </w:t>
      </w:r>
      <w:r>
        <w:rPr>
          <w:rFonts w:eastAsia="Times New Roman"/>
          <w:bCs/>
          <w:i/>
          <w:sz w:val="24"/>
        </w:rPr>
        <w:t>în spirală</w:t>
      </w:r>
      <w:r>
        <w:rPr>
          <w:rFonts w:eastAsia="Times New Roman"/>
          <w:i/>
          <w:sz w:val="24"/>
        </w:rPr>
        <w:t>.</w:t>
      </w:r>
    </w:p>
    <w:p w14:paraId="3F6AFE00" w14:textId="77777777" w:rsidR="001C08A5" w:rsidRDefault="001C08A5">
      <w:pPr>
        <w:numPr>
          <w:ilvl w:val="255"/>
          <w:numId w:val="0"/>
        </w:numPr>
        <w:tabs>
          <w:tab w:val="left" w:pos="426"/>
          <w:tab w:val="left" w:pos="993"/>
        </w:tabs>
        <w:jc w:val="both"/>
        <w:rPr>
          <w:rFonts w:eastAsia="Times New Roman"/>
          <w:b/>
          <w:i/>
          <w:sz w:val="24"/>
        </w:rPr>
      </w:pPr>
    </w:p>
    <w:p w14:paraId="069F0E9C"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Caracteristica acestor scări elicoidale, o constituie convergenţa muchiilor treptelor într-un singur punct.</w:t>
      </w:r>
    </w:p>
    <w:p w14:paraId="1F002A86" w14:textId="77777777" w:rsidR="001C08A5" w:rsidRDefault="001C08A5">
      <w:pPr>
        <w:numPr>
          <w:ilvl w:val="255"/>
          <w:numId w:val="0"/>
        </w:numPr>
        <w:tabs>
          <w:tab w:val="left" w:pos="426"/>
          <w:tab w:val="left" w:pos="993"/>
        </w:tabs>
        <w:jc w:val="both"/>
        <w:rPr>
          <w:rFonts w:eastAsia="Times New Roman"/>
          <w:b/>
          <w:i/>
          <w:sz w:val="24"/>
        </w:rPr>
      </w:pPr>
    </w:p>
    <w:p w14:paraId="646C24D4"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 cazul scărilor cu rampe elicoidale, indiferent de lăţimea rampei realizată din considerente arhitecturale, poate constitui cale de evacuare numai porţiunea de rampă în care lăţimea minimă a treptei este de </w:t>
      </w:r>
      <w:r>
        <w:rPr>
          <w:rFonts w:eastAsia="Times New Roman"/>
          <w:b/>
          <w:bCs/>
          <w:i/>
          <w:sz w:val="24"/>
        </w:rPr>
        <w:t>18 cm</w:t>
      </w:r>
      <w:r>
        <w:rPr>
          <w:rFonts w:eastAsia="Times New Roman"/>
          <w:i/>
          <w:sz w:val="24"/>
        </w:rPr>
        <w:t xml:space="preserve"> (respectiv </w:t>
      </w:r>
      <w:r>
        <w:rPr>
          <w:rFonts w:eastAsia="Times New Roman"/>
          <w:b/>
          <w:bCs/>
          <w:i/>
          <w:sz w:val="24"/>
        </w:rPr>
        <w:t>20 cm</w:t>
      </w:r>
      <w:r>
        <w:rPr>
          <w:rFonts w:eastAsia="Times New Roman"/>
          <w:i/>
          <w:sz w:val="24"/>
        </w:rPr>
        <w:t xml:space="preserve"> la săli aglomerate), iar lăţimea maximă de </w:t>
      </w:r>
      <w:r>
        <w:rPr>
          <w:rFonts w:eastAsia="Times New Roman"/>
          <w:b/>
          <w:bCs/>
          <w:i/>
          <w:sz w:val="24"/>
        </w:rPr>
        <w:t>40 cm</w:t>
      </w:r>
      <w:r>
        <w:rPr>
          <w:rFonts w:eastAsia="Times New Roman"/>
          <w:i/>
          <w:sz w:val="24"/>
        </w:rPr>
        <w:t>.</w:t>
      </w:r>
    </w:p>
    <w:p w14:paraId="23CDC42A" w14:textId="77777777" w:rsidR="001C08A5" w:rsidRDefault="001C08A5">
      <w:pPr>
        <w:numPr>
          <w:ilvl w:val="255"/>
          <w:numId w:val="0"/>
        </w:numPr>
        <w:tabs>
          <w:tab w:val="left" w:pos="426"/>
          <w:tab w:val="left" w:pos="567"/>
          <w:tab w:val="left" w:pos="993"/>
        </w:tabs>
        <w:jc w:val="both"/>
        <w:rPr>
          <w:rFonts w:eastAsia="Times New Roman"/>
          <w:b/>
          <w:i/>
          <w:sz w:val="24"/>
        </w:rPr>
      </w:pPr>
    </w:p>
    <w:p w14:paraId="27EB4F5C"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O scară cu  formă  mixtă, compusă din rampe elicoidale combinată cu porţiuni de rampe drepte, din punct de vedere al securității la incendiu se consideră scară cu trepte balansate.</w:t>
      </w:r>
    </w:p>
    <w:p w14:paraId="09503692" w14:textId="77777777" w:rsidR="001C08A5" w:rsidRDefault="00000000">
      <w:pPr>
        <w:jc w:val="center"/>
        <w:rPr>
          <w:i/>
          <w:sz w:val="24"/>
          <w:szCs w:val="24"/>
        </w:rPr>
      </w:pPr>
      <w:r>
        <w:rPr>
          <w:i/>
          <w:noProof/>
          <w:sz w:val="24"/>
          <w:szCs w:val="24"/>
          <w:lang w:eastAsia="ro-RO"/>
        </w:rPr>
        <w:drawing>
          <wp:inline distT="0" distB="0" distL="114300" distR="114300" wp14:anchorId="5C59CB60" wp14:editId="7BDBFCC2">
            <wp:extent cx="4589145" cy="2180590"/>
            <wp:effectExtent l="0" t="0" r="1905" b="10160"/>
            <wp:docPr id="27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107"/>
                    <pic:cNvPicPr>
                      <a:picLocks noChangeAspect="1"/>
                    </pic:cNvPicPr>
                  </pic:nvPicPr>
                  <pic:blipFill>
                    <a:blip r:embed="rId382"/>
                    <a:srcRect l="12946" t="30490" r="17297" b="15059"/>
                    <a:stretch>
                      <a:fillRect/>
                    </a:stretch>
                  </pic:blipFill>
                  <pic:spPr>
                    <a:xfrm>
                      <a:off x="0" y="0"/>
                      <a:ext cx="4589145" cy="2180590"/>
                    </a:xfrm>
                    <a:prstGeom prst="rect">
                      <a:avLst/>
                    </a:prstGeom>
                    <a:noFill/>
                    <a:ln>
                      <a:noFill/>
                    </a:ln>
                  </pic:spPr>
                </pic:pic>
              </a:graphicData>
            </a:graphic>
          </wp:inline>
        </w:drawing>
      </w:r>
    </w:p>
    <w:p w14:paraId="654A30B7" w14:textId="77777777" w:rsidR="001C08A5" w:rsidRDefault="00000000">
      <w:pPr>
        <w:pStyle w:val="Caption"/>
        <w:jc w:val="center"/>
      </w:pPr>
      <w:bookmarkStart w:id="8240" w:name="_Toc27187"/>
      <w:bookmarkStart w:id="8241" w:name="_Toc162360422"/>
      <w:bookmarkStart w:id="8242" w:name="_Toc18769"/>
      <w:bookmarkStart w:id="8243" w:name="_Toc142898579"/>
      <w:bookmarkStart w:id="8244" w:name="_Toc29145"/>
      <w:r>
        <w:t xml:space="preserve">Figura </w:t>
      </w:r>
      <w:r>
        <w:fldChar w:fldCharType="begin"/>
      </w:r>
      <w:r>
        <w:instrText xml:space="preserve"> SEQ Figura \* ARABIC </w:instrText>
      </w:r>
      <w:r>
        <w:fldChar w:fldCharType="separate"/>
      </w:r>
      <w:r>
        <w:t>198</w:t>
      </w:r>
      <w:r>
        <w:fldChar w:fldCharType="end"/>
      </w:r>
      <w:bookmarkStart w:id="8245" w:name="_Toc13822"/>
      <w:bookmarkStart w:id="8246" w:name="_Toc16928"/>
      <w:bookmarkStart w:id="8247" w:name="_Toc17292"/>
      <w:bookmarkStart w:id="8248" w:name="_Toc20248"/>
      <w:bookmarkStart w:id="8249" w:name="_Toc31247"/>
      <w:bookmarkStart w:id="8250" w:name="_Toc11368"/>
      <w:bookmarkStart w:id="8251" w:name="_Toc13893"/>
      <w:bookmarkStart w:id="8252" w:name="_Toc14964"/>
      <w:bookmarkStart w:id="8253" w:name="_Toc22611"/>
      <w:r>
        <w:t xml:space="preserve"> - Scară în spirală (un flux de evacuare)</w:t>
      </w:r>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p>
    <w:p w14:paraId="6A3BC6BA" w14:textId="77777777" w:rsidR="001C08A5" w:rsidRDefault="00000000">
      <w:pPr>
        <w:jc w:val="center"/>
        <w:rPr>
          <w:i/>
          <w:sz w:val="24"/>
          <w:szCs w:val="24"/>
        </w:rPr>
      </w:pPr>
      <w:r>
        <w:rPr>
          <w:i/>
          <w:noProof/>
          <w:sz w:val="24"/>
          <w:szCs w:val="24"/>
          <w:lang w:eastAsia="ro-RO"/>
        </w:rPr>
        <w:lastRenderedPageBreak/>
        <w:drawing>
          <wp:inline distT="0" distB="0" distL="114300" distR="114300" wp14:anchorId="417CAB58" wp14:editId="66C61506">
            <wp:extent cx="6181725" cy="1924685"/>
            <wp:effectExtent l="0" t="0" r="9525" b="18415"/>
            <wp:docPr id="27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108"/>
                    <pic:cNvPicPr>
                      <a:picLocks noChangeAspect="1"/>
                    </pic:cNvPicPr>
                  </pic:nvPicPr>
                  <pic:blipFill>
                    <a:blip r:embed="rId383"/>
                    <a:srcRect l="11687" t="34438" r="6528" b="23727"/>
                    <a:stretch>
                      <a:fillRect/>
                    </a:stretch>
                  </pic:blipFill>
                  <pic:spPr>
                    <a:xfrm>
                      <a:off x="0" y="0"/>
                      <a:ext cx="6181725" cy="1924685"/>
                    </a:xfrm>
                    <a:prstGeom prst="rect">
                      <a:avLst/>
                    </a:prstGeom>
                    <a:noFill/>
                    <a:ln>
                      <a:noFill/>
                    </a:ln>
                  </pic:spPr>
                </pic:pic>
              </a:graphicData>
            </a:graphic>
          </wp:inline>
        </w:drawing>
      </w:r>
    </w:p>
    <w:p w14:paraId="1243BD24" w14:textId="77777777" w:rsidR="001C08A5" w:rsidRDefault="00000000">
      <w:pPr>
        <w:pStyle w:val="Caption"/>
        <w:jc w:val="center"/>
      </w:pPr>
      <w:bookmarkStart w:id="8254" w:name="_Toc162360423"/>
      <w:bookmarkStart w:id="8255" w:name="_Toc142898580"/>
      <w:bookmarkStart w:id="8256" w:name="_Toc25626"/>
      <w:bookmarkStart w:id="8257" w:name="_Toc10813"/>
      <w:bookmarkStart w:id="8258" w:name="_Toc16484"/>
      <w:r>
        <w:t xml:space="preserve">Figura </w:t>
      </w:r>
      <w:r>
        <w:fldChar w:fldCharType="begin"/>
      </w:r>
      <w:r>
        <w:instrText xml:space="preserve"> SEQ Figura \* ARABIC </w:instrText>
      </w:r>
      <w:r>
        <w:fldChar w:fldCharType="separate"/>
      </w:r>
      <w:r>
        <w:t>199</w:t>
      </w:r>
      <w:r>
        <w:fldChar w:fldCharType="end"/>
      </w:r>
      <w:bookmarkStart w:id="8259" w:name="_Toc28455"/>
      <w:bookmarkStart w:id="8260" w:name="_Toc7710"/>
      <w:bookmarkStart w:id="8261" w:name="_Toc17217"/>
      <w:bookmarkStart w:id="8262" w:name="_Toc6886"/>
      <w:bookmarkStart w:id="8263" w:name="_Toc756"/>
      <w:bookmarkStart w:id="8264" w:name="_Toc21352"/>
      <w:bookmarkStart w:id="8265" w:name="_Toc23016"/>
      <w:bookmarkStart w:id="8266" w:name="_Toc9961"/>
      <w:bookmarkStart w:id="8267" w:name="_Toc2113"/>
      <w:r>
        <w:t xml:space="preserve"> - Scară cu rampa curbă</w:t>
      </w:r>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p>
    <w:p w14:paraId="4BBBD350"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Înclinarea rampelor scărilor de evacuare, suprafaţa şi forma treptelor şi a podestelor, trebuie să permită circulaţia uşoară şi sigură a utilizatorilor, potrivit prevederilor reglementărilor tehnice aplicabile.</w:t>
      </w:r>
    </w:p>
    <w:p w14:paraId="7FA6779B" w14:textId="77777777" w:rsidR="001C08A5" w:rsidRDefault="00000000">
      <w:pPr>
        <w:pStyle w:val="Heading4"/>
        <w:rPr>
          <w:sz w:val="24"/>
          <w:szCs w:val="24"/>
        </w:rPr>
      </w:pPr>
      <w:bookmarkStart w:id="8268" w:name="_Toc31521"/>
      <w:bookmarkStart w:id="8269" w:name="_Toc12548"/>
      <w:bookmarkStart w:id="8270" w:name="_Toc10607"/>
      <w:bookmarkStart w:id="8271" w:name="_Toc22599"/>
      <w:bookmarkStart w:id="8272" w:name="_Toc3667"/>
      <w:bookmarkStart w:id="8273" w:name="_Toc8049"/>
      <w:bookmarkStart w:id="8274" w:name="_Toc32550"/>
      <w:bookmarkStart w:id="8275" w:name="_Toc22583"/>
      <w:bookmarkStart w:id="8276" w:name="_Toc6287"/>
      <w:bookmarkStart w:id="8277" w:name="_Toc14325"/>
      <w:bookmarkStart w:id="8278" w:name="_Toc22628"/>
      <w:bookmarkStart w:id="8279" w:name="_Toc32420"/>
      <w:bookmarkStart w:id="8280" w:name="_Toc98"/>
      <w:bookmarkStart w:id="8281" w:name="_Toc26006"/>
      <w:bookmarkStart w:id="8282" w:name="_Toc162355444"/>
      <w:bookmarkStart w:id="8283" w:name="_Toc13219"/>
      <w:r>
        <w:rPr>
          <w:sz w:val="24"/>
          <w:szCs w:val="24"/>
        </w:rPr>
        <w:t>Scări cu trepte balansate</w:t>
      </w:r>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p>
    <w:p w14:paraId="30476374" w14:textId="77777777" w:rsidR="001C08A5" w:rsidRDefault="001C08A5">
      <w:pPr>
        <w:numPr>
          <w:ilvl w:val="255"/>
          <w:numId w:val="0"/>
        </w:numPr>
        <w:tabs>
          <w:tab w:val="left" w:pos="426"/>
          <w:tab w:val="left" w:pos="993"/>
        </w:tabs>
        <w:jc w:val="both"/>
        <w:rPr>
          <w:rFonts w:eastAsia="Times New Roman"/>
          <w:b/>
          <w:i/>
          <w:sz w:val="24"/>
        </w:rPr>
      </w:pPr>
    </w:p>
    <w:p w14:paraId="3DBF3394"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Scările cu trepte balansate, indiferent de gabaritul acestora, pot fi considerate căi de evacuare numai pentru o unitate de trecere (flux) de evacuare a utilizatorilor, atunci când îndeplinesc condiţiile de alcătuire şi dimensionare prevăzute în normativ şi reglementările tehnice specifice scărilor.</w:t>
      </w:r>
    </w:p>
    <w:p w14:paraId="6B2A97D2" w14:textId="77777777" w:rsidR="001C08A5" w:rsidRDefault="001C08A5">
      <w:pPr>
        <w:numPr>
          <w:ilvl w:val="255"/>
          <w:numId w:val="0"/>
        </w:numPr>
        <w:tabs>
          <w:tab w:val="left" w:pos="426"/>
          <w:tab w:val="left" w:pos="993"/>
        </w:tabs>
        <w:jc w:val="both"/>
        <w:rPr>
          <w:rFonts w:eastAsia="Times New Roman"/>
          <w:b/>
          <w:i/>
          <w:sz w:val="24"/>
        </w:rPr>
      </w:pPr>
    </w:p>
    <w:p w14:paraId="5C0F321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Scara cu trepte balansate se deosebeşte de celelalte scări prin forma diferită în plan a treptelor.</w:t>
      </w:r>
    </w:p>
    <w:p w14:paraId="4E00D433" w14:textId="77777777" w:rsidR="001C08A5" w:rsidRDefault="00000000">
      <w:pPr>
        <w:pStyle w:val="Heading4"/>
        <w:rPr>
          <w:sz w:val="24"/>
          <w:szCs w:val="24"/>
        </w:rPr>
      </w:pPr>
      <w:bookmarkStart w:id="8284" w:name="_Toc23934"/>
      <w:bookmarkStart w:id="8285" w:name="_Toc162355445"/>
      <w:bookmarkStart w:id="8286" w:name="_Toc19916"/>
      <w:bookmarkStart w:id="8287" w:name="_Toc8622"/>
      <w:bookmarkStart w:id="8288" w:name="_Toc1440"/>
      <w:bookmarkStart w:id="8289" w:name="_Toc232"/>
      <w:bookmarkStart w:id="8290" w:name="_Toc15195"/>
      <w:bookmarkStart w:id="8291" w:name="_Toc1084"/>
      <w:bookmarkStart w:id="8292" w:name="_Toc5792"/>
      <w:bookmarkStart w:id="8293" w:name="_Toc725"/>
      <w:bookmarkStart w:id="8294" w:name="_Toc16642"/>
      <w:bookmarkStart w:id="8295" w:name="_Toc525"/>
      <w:bookmarkStart w:id="8296" w:name="_Toc32247"/>
      <w:bookmarkStart w:id="8297" w:name="_Toc19550"/>
      <w:bookmarkStart w:id="8298" w:name="_Toc17873"/>
      <w:bookmarkStart w:id="8299" w:name="_Toc30511"/>
      <w:r>
        <w:rPr>
          <w:sz w:val="24"/>
          <w:szCs w:val="24"/>
        </w:rPr>
        <w:t>Conformare scări</w:t>
      </w:r>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p>
    <w:p w14:paraId="10D98571"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 funcţie de înălţimea nivelurilor clădirii, rampele unei scări pot fi fără sau cu paliere intermediare.</w:t>
      </w:r>
    </w:p>
    <w:p w14:paraId="03E0FC86" w14:textId="77777777" w:rsidR="001C08A5" w:rsidRDefault="001C08A5">
      <w:pPr>
        <w:numPr>
          <w:ilvl w:val="255"/>
          <w:numId w:val="0"/>
        </w:numPr>
        <w:tabs>
          <w:tab w:val="left" w:pos="426"/>
          <w:tab w:val="left" w:pos="993"/>
        </w:tabs>
        <w:jc w:val="both"/>
        <w:rPr>
          <w:rFonts w:eastAsia="Times New Roman"/>
          <w:b/>
          <w:i/>
          <w:sz w:val="24"/>
        </w:rPr>
      </w:pPr>
    </w:p>
    <w:p w14:paraId="6944443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Golurile de acces la scară se protejează, de regulă, cu uşi sau, după caz încăperi tampon la clădirile înalte şi foarte înalte. În afară de condiţiile normate pe care trebuie să le îndeplinească uşile respective, ele trebuie echipate şi cu dispozitive de autoînchidere. </w:t>
      </w:r>
    </w:p>
    <w:p w14:paraId="7AF90FBF" w14:textId="77777777" w:rsidR="001C08A5" w:rsidRDefault="001C08A5">
      <w:pPr>
        <w:numPr>
          <w:ilvl w:val="255"/>
          <w:numId w:val="0"/>
        </w:numPr>
        <w:tabs>
          <w:tab w:val="left" w:pos="426"/>
          <w:tab w:val="left" w:pos="993"/>
        </w:tabs>
        <w:jc w:val="both"/>
        <w:rPr>
          <w:rFonts w:eastAsia="Times New Roman"/>
          <w:b/>
          <w:i/>
          <w:sz w:val="24"/>
        </w:rPr>
      </w:pPr>
    </w:p>
    <w:p w14:paraId="3FDE0D9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Prin deschidere, uşile de acces în casele de scări nu trebuie să reducă lăţimea normală a podestelor.</w:t>
      </w:r>
    </w:p>
    <w:p w14:paraId="44BB6531" w14:textId="77777777" w:rsidR="001C08A5" w:rsidRDefault="001C08A5">
      <w:pPr>
        <w:jc w:val="both"/>
        <w:rPr>
          <w:rFonts w:eastAsia="Times New Roman"/>
          <w:i/>
          <w:sz w:val="24"/>
          <w:szCs w:val="24"/>
        </w:rPr>
      </w:pPr>
    </w:p>
    <w:p w14:paraId="6425E9C2" w14:textId="77777777" w:rsidR="001C08A5" w:rsidRDefault="00000000">
      <w:pPr>
        <w:jc w:val="center"/>
        <w:rPr>
          <w:b/>
          <w:bCs/>
          <w:i/>
          <w:sz w:val="24"/>
          <w:szCs w:val="24"/>
        </w:rPr>
      </w:pPr>
      <w:r>
        <w:rPr>
          <w:b/>
          <w:bCs/>
          <w:i/>
          <w:noProof/>
          <w:sz w:val="24"/>
          <w:szCs w:val="24"/>
          <w:lang w:eastAsia="ro-RO"/>
        </w:rPr>
        <w:drawing>
          <wp:inline distT="0" distB="0" distL="114300" distR="114300" wp14:anchorId="58218103" wp14:editId="185F3745">
            <wp:extent cx="4921250" cy="1465580"/>
            <wp:effectExtent l="0" t="0" r="12700" b="1270"/>
            <wp:docPr id="279"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160"/>
                    <pic:cNvPicPr>
                      <a:picLocks noChangeAspect="1"/>
                    </pic:cNvPicPr>
                  </pic:nvPicPr>
                  <pic:blipFill>
                    <a:blip r:embed="rId384"/>
                    <a:srcRect l="18188" t="22458" r="16615" b="48537"/>
                    <a:stretch>
                      <a:fillRect/>
                    </a:stretch>
                  </pic:blipFill>
                  <pic:spPr>
                    <a:xfrm>
                      <a:off x="0" y="0"/>
                      <a:ext cx="4921250" cy="1465580"/>
                    </a:xfrm>
                    <a:prstGeom prst="rect">
                      <a:avLst/>
                    </a:prstGeom>
                    <a:noFill/>
                    <a:ln>
                      <a:noFill/>
                    </a:ln>
                  </pic:spPr>
                </pic:pic>
              </a:graphicData>
            </a:graphic>
          </wp:inline>
        </w:drawing>
      </w:r>
    </w:p>
    <w:p w14:paraId="1D8592F7" w14:textId="77777777" w:rsidR="001C08A5" w:rsidRDefault="00000000">
      <w:pPr>
        <w:pStyle w:val="Caption"/>
        <w:jc w:val="center"/>
      </w:pPr>
      <w:bookmarkStart w:id="8300" w:name="_Toc26997"/>
      <w:bookmarkStart w:id="8301" w:name="_Toc142898581"/>
      <w:bookmarkStart w:id="8302" w:name="_Toc18958"/>
      <w:bookmarkStart w:id="8303" w:name="_Toc162360424"/>
      <w:bookmarkStart w:id="8304" w:name="_Toc32319"/>
      <w:r>
        <w:t xml:space="preserve">Figura </w:t>
      </w:r>
      <w:r>
        <w:fldChar w:fldCharType="begin"/>
      </w:r>
      <w:r>
        <w:instrText xml:space="preserve"> SEQ Figura \* ARABIC </w:instrText>
      </w:r>
      <w:r>
        <w:fldChar w:fldCharType="separate"/>
      </w:r>
      <w:r>
        <w:t>200</w:t>
      </w:r>
      <w:r>
        <w:fldChar w:fldCharType="end"/>
      </w:r>
      <w:bookmarkStart w:id="8305" w:name="_Toc6627"/>
      <w:bookmarkStart w:id="8306" w:name="_Toc26214"/>
      <w:bookmarkStart w:id="8307" w:name="_Toc3343"/>
      <w:bookmarkStart w:id="8308" w:name="_Toc24487"/>
      <w:bookmarkStart w:id="8309" w:name="_Toc8665"/>
      <w:bookmarkStart w:id="8310" w:name="_Toc20923"/>
      <w:bookmarkStart w:id="8311" w:name="_Toc12659"/>
      <w:bookmarkStart w:id="8312" w:name="_Toc18433"/>
      <w:bookmarkStart w:id="8313" w:name="_Toc15265"/>
      <w:r>
        <w:t xml:space="preserve"> - Schema principiu uşi de acces în casele de scări (scara cu două rampe)</w:t>
      </w:r>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p>
    <w:p w14:paraId="2863DF41" w14:textId="77777777" w:rsidR="001C08A5" w:rsidRDefault="00000000">
      <w:pPr>
        <w:jc w:val="center"/>
        <w:rPr>
          <w:b/>
          <w:bCs/>
          <w:i/>
          <w:sz w:val="24"/>
          <w:szCs w:val="24"/>
          <w:lang w:eastAsia="ro-RO"/>
        </w:rPr>
      </w:pPr>
      <w:r>
        <w:rPr>
          <w:b/>
          <w:bCs/>
          <w:i/>
          <w:noProof/>
          <w:sz w:val="24"/>
          <w:szCs w:val="24"/>
          <w:lang w:eastAsia="ro-RO"/>
        </w:rPr>
        <w:lastRenderedPageBreak/>
        <w:drawing>
          <wp:inline distT="0" distB="0" distL="114300" distR="114300" wp14:anchorId="17D80A1E" wp14:editId="5608CF47">
            <wp:extent cx="5984240" cy="2663190"/>
            <wp:effectExtent l="0" t="0" r="16510" b="3810"/>
            <wp:docPr id="280"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162"/>
                    <pic:cNvPicPr>
                      <a:picLocks noChangeAspect="1"/>
                    </pic:cNvPicPr>
                  </pic:nvPicPr>
                  <pic:blipFill>
                    <a:blip r:embed="rId385"/>
                    <a:srcRect l="12939" t="1421" r="7782" b="45872"/>
                    <a:stretch>
                      <a:fillRect/>
                    </a:stretch>
                  </pic:blipFill>
                  <pic:spPr>
                    <a:xfrm>
                      <a:off x="0" y="0"/>
                      <a:ext cx="5984240" cy="2663190"/>
                    </a:xfrm>
                    <a:prstGeom prst="rect">
                      <a:avLst/>
                    </a:prstGeom>
                    <a:noFill/>
                    <a:ln>
                      <a:noFill/>
                    </a:ln>
                  </pic:spPr>
                </pic:pic>
              </a:graphicData>
            </a:graphic>
          </wp:inline>
        </w:drawing>
      </w:r>
    </w:p>
    <w:p w14:paraId="1A788C12" w14:textId="77777777" w:rsidR="001C08A5" w:rsidRDefault="00000000">
      <w:pPr>
        <w:jc w:val="center"/>
        <w:rPr>
          <w:b/>
          <w:bCs/>
          <w:i/>
          <w:sz w:val="24"/>
          <w:szCs w:val="24"/>
          <w:lang w:eastAsia="ro-RO"/>
        </w:rPr>
      </w:pPr>
      <w:r>
        <w:rPr>
          <w:b/>
          <w:bCs/>
          <w:i/>
          <w:noProof/>
          <w:sz w:val="24"/>
          <w:szCs w:val="24"/>
          <w:lang w:eastAsia="ro-RO"/>
        </w:rPr>
        <w:drawing>
          <wp:inline distT="0" distB="0" distL="114300" distR="114300" wp14:anchorId="2B04C158" wp14:editId="707A0BAE">
            <wp:extent cx="2099310" cy="3316605"/>
            <wp:effectExtent l="0" t="0" r="17145" b="15240"/>
            <wp:docPr id="349"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163"/>
                    <pic:cNvPicPr>
                      <a:picLocks noChangeAspect="1"/>
                    </pic:cNvPicPr>
                  </pic:nvPicPr>
                  <pic:blipFill>
                    <a:blip r:embed="rId386"/>
                    <a:srcRect l="20821" t="10796" r="51367" b="23564"/>
                    <a:stretch>
                      <a:fillRect/>
                    </a:stretch>
                  </pic:blipFill>
                  <pic:spPr>
                    <a:xfrm rot="5400000">
                      <a:off x="0" y="0"/>
                      <a:ext cx="2099310" cy="3316605"/>
                    </a:xfrm>
                    <a:prstGeom prst="rect">
                      <a:avLst/>
                    </a:prstGeom>
                    <a:noFill/>
                    <a:ln>
                      <a:noFill/>
                    </a:ln>
                  </pic:spPr>
                </pic:pic>
              </a:graphicData>
            </a:graphic>
          </wp:inline>
        </w:drawing>
      </w:r>
    </w:p>
    <w:p w14:paraId="1DA23EA5" w14:textId="77777777" w:rsidR="001C08A5" w:rsidRDefault="00000000">
      <w:pPr>
        <w:pStyle w:val="Caption"/>
        <w:jc w:val="center"/>
      </w:pPr>
      <w:bookmarkStart w:id="8314" w:name="_Toc162360425"/>
      <w:bookmarkStart w:id="8315" w:name="_Toc5071"/>
      <w:bookmarkStart w:id="8316" w:name="_Toc14202"/>
      <w:bookmarkStart w:id="8317" w:name="_Toc7088"/>
      <w:bookmarkStart w:id="8318" w:name="_Toc142898582"/>
      <w:r>
        <w:t xml:space="preserve">Figura </w:t>
      </w:r>
      <w:r>
        <w:fldChar w:fldCharType="begin"/>
      </w:r>
      <w:r>
        <w:instrText xml:space="preserve"> SEQ Figura \* ARABIC </w:instrText>
      </w:r>
      <w:r>
        <w:fldChar w:fldCharType="separate"/>
      </w:r>
      <w:r>
        <w:t>201</w:t>
      </w:r>
      <w:r>
        <w:fldChar w:fldCharType="end"/>
      </w:r>
      <w:bookmarkStart w:id="8319" w:name="_Toc10461"/>
      <w:bookmarkStart w:id="8320" w:name="_Toc13826"/>
      <w:bookmarkStart w:id="8321" w:name="_Toc20459"/>
      <w:bookmarkStart w:id="8322" w:name="_Toc26110"/>
      <w:bookmarkStart w:id="8323" w:name="_Toc29996"/>
      <w:bookmarkStart w:id="8324" w:name="_Toc16024"/>
      <w:bookmarkStart w:id="8325" w:name="_Toc28594"/>
      <w:bookmarkStart w:id="8326" w:name="_Toc14564"/>
      <w:bookmarkStart w:id="8327" w:name="_Toc10790"/>
      <w:r>
        <w:t xml:space="preserve"> - Clădiri cu înălțime obișnuită - suprateran (prin deschidere, uşile de acces în casele de scări nu trebuie să reducă lăţimea normată a podestelor)</w:t>
      </w:r>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p>
    <w:p w14:paraId="744A0AF1" w14:textId="77777777" w:rsidR="001C08A5" w:rsidRDefault="00000000">
      <w:pPr>
        <w:jc w:val="center"/>
        <w:rPr>
          <w:b/>
          <w:bCs/>
          <w:i/>
          <w:sz w:val="24"/>
          <w:szCs w:val="24"/>
        </w:rPr>
      </w:pPr>
      <w:r>
        <w:rPr>
          <w:b/>
          <w:bCs/>
          <w:i/>
          <w:noProof/>
          <w:sz w:val="24"/>
          <w:szCs w:val="24"/>
        </w:rPr>
        <w:drawing>
          <wp:inline distT="0" distB="0" distL="114300" distR="114300" wp14:anchorId="151F13B1" wp14:editId="64431BFB">
            <wp:extent cx="3462655" cy="2630805"/>
            <wp:effectExtent l="0" t="0" r="4445" b="17145"/>
            <wp:docPr id="3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42"/>
                    <pic:cNvPicPr>
                      <a:picLocks noChangeAspect="1"/>
                    </pic:cNvPicPr>
                  </pic:nvPicPr>
                  <pic:blipFill>
                    <a:blip r:embed="rId387"/>
                    <a:srcRect l="33810" t="33173" r="20316" b="18348"/>
                    <a:stretch>
                      <a:fillRect/>
                    </a:stretch>
                  </pic:blipFill>
                  <pic:spPr>
                    <a:xfrm>
                      <a:off x="0" y="0"/>
                      <a:ext cx="3462655" cy="2630805"/>
                    </a:xfrm>
                    <a:prstGeom prst="rect">
                      <a:avLst/>
                    </a:prstGeom>
                    <a:noFill/>
                    <a:ln>
                      <a:noFill/>
                    </a:ln>
                  </pic:spPr>
                </pic:pic>
              </a:graphicData>
            </a:graphic>
          </wp:inline>
        </w:drawing>
      </w:r>
    </w:p>
    <w:p w14:paraId="5792B8EF" w14:textId="77777777" w:rsidR="001C08A5" w:rsidRDefault="00000000">
      <w:pPr>
        <w:jc w:val="center"/>
        <w:rPr>
          <w:rFonts w:eastAsia="Times New Roman"/>
          <w:b/>
          <w:bCs/>
          <w:i/>
          <w:sz w:val="24"/>
          <w:szCs w:val="24"/>
        </w:rPr>
      </w:pPr>
      <w:r>
        <w:rPr>
          <w:rFonts w:eastAsia="Times New Roman"/>
          <w:b/>
          <w:bCs/>
          <w:i/>
          <w:sz w:val="24"/>
          <w:szCs w:val="24"/>
        </w:rPr>
        <w:t>varianta a) - Încăpere tampon de protecție a golului de acces la scară prevăzută cu suprapresiune</w:t>
      </w:r>
    </w:p>
    <w:p w14:paraId="32CD8C8E" w14:textId="77777777" w:rsidR="001C08A5" w:rsidRDefault="00000000">
      <w:pPr>
        <w:jc w:val="center"/>
        <w:rPr>
          <w:b/>
          <w:bCs/>
          <w:i/>
          <w:sz w:val="24"/>
          <w:szCs w:val="24"/>
        </w:rPr>
      </w:pPr>
      <w:r>
        <w:rPr>
          <w:b/>
          <w:bCs/>
          <w:i/>
          <w:noProof/>
          <w:sz w:val="24"/>
          <w:szCs w:val="24"/>
        </w:rPr>
        <w:lastRenderedPageBreak/>
        <w:drawing>
          <wp:inline distT="0" distB="0" distL="114300" distR="114300" wp14:anchorId="7D954C3D" wp14:editId="639ABB1E">
            <wp:extent cx="5654040" cy="2865120"/>
            <wp:effectExtent l="0" t="0" r="3810" b="11430"/>
            <wp:docPr id="35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43"/>
                    <pic:cNvPicPr>
                      <a:picLocks noChangeAspect="1"/>
                    </pic:cNvPicPr>
                  </pic:nvPicPr>
                  <pic:blipFill>
                    <a:blip r:embed="rId388"/>
                    <a:srcRect l="16051" t="26117" r="9043" b="21086"/>
                    <a:stretch>
                      <a:fillRect/>
                    </a:stretch>
                  </pic:blipFill>
                  <pic:spPr>
                    <a:xfrm>
                      <a:off x="0" y="0"/>
                      <a:ext cx="5654040" cy="2865120"/>
                    </a:xfrm>
                    <a:prstGeom prst="rect">
                      <a:avLst/>
                    </a:prstGeom>
                    <a:noFill/>
                    <a:ln>
                      <a:noFill/>
                    </a:ln>
                  </pic:spPr>
                </pic:pic>
              </a:graphicData>
            </a:graphic>
          </wp:inline>
        </w:drawing>
      </w:r>
    </w:p>
    <w:p w14:paraId="1295F45D" w14:textId="77777777" w:rsidR="001C08A5" w:rsidRDefault="00000000">
      <w:pPr>
        <w:jc w:val="center"/>
        <w:rPr>
          <w:b/>
          <w:bCs/>
          <w:i/>
          <w:sz w:val="24"/>
          <w:szCs w:val="24"/>
        </w:rPr>
      </w:pPr>
      <w:r>
        <w:rPr>
          <w:rFonts w:eastAsia="Times New Roman"/>
          <w:b/>
          <w:bCs/>
          <w:i/>
          <w:sz w:val="24"/>
          <w:szCs w:val="24"/>
        </w:rPr>
        <w:t>Varianta b) - Încăperi tampon la scări cu rampe încrucișate</w:t>
      </w:r>
    </w:p>
    <w:p w14:paraId="1DCC3FEC" w14:textId="77777777" w:rsidR="001C08A5" w:rsidRDefault="00000000">
      <w:pPr>
        <w:pStyle w:val="Caption"/>
        <w:jc w:val="center"/>
        <w:rPr>
          <w:rFonts w:eastAsia="Times New Roman"/>
        </w:rPr>
      </w:pPr>
      <w:bookmarkStart w:id="8328" w:name="_Toc142898583"/>
      <w:bookmarkStart w:id="8329" w:name="_Toc29357"/>
      <w:bookmarkStart w:id="8330" w:name="_Toc9336"/>
      <w:bookmarkStart w:id="8331" w:name="_Toc162360426"/>
      <w:bookmarkStart w:id="8332" w:name="_Toc10329"/>
      <w:r>
        <w:t xml:space="preserve">Figura </w:t>
      </w:r>
      <w:r>
        <w:fldChar w:fldCharType="begin"/>
      </w:r>
      <w:r>
        <w:instrText xml:space="preserve"> SEQ Figura \* ARABIC </w:instrText>
      </w:r>
      <w:r>
        <w:fldChar w:fldCharType="separate"/>
      </w:r>
      <w:r>
        <w:t>202</w:t>
      </w:r>
      <w:r>
        <w:fldChar w:fldCharType="end"/>
      </w:r>
      <w:bookmarkStart w:id="8333" w:name="_Toc11449"/>
      <w:bookmarkStart w:id="8334" w:name="_Toc5713"/>
      <w:bookmarkStart w:id="8335" w:name="_Toc23960"/>
      <w:bookmarkStart w:id="8336" w:name="_Toc2078"/>
      <w:bookmarkStart w:id="8337" w:name="_Toc2399"/>
      <w:bookmarkStart w:id="8338" w:name="_Toc12750"/>
      <w:bookmarkStart w:id="8339" w:name="_Toc6965"/>
      <w:bookmarkStart w:id="8340" w:name="_Toc12392"/>
      <w:bookmarkStart w:id="8341" w:name="_Toc19007"/>
      <w:r>
        <w:t xml:space="preserve"> - Clădiri înalte/ foarte  înalte - golurile de acces la scările de evacuare se protejează obligatoriu cu încăperi tampon la clădirile înalte şi foarte înalte (prin deschidere, uşile de acces în casele de scări nu trebuie să reducă lăţimea normată a podestelor)</w:t>
      </w:r>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p>
    <w:p w14:paraId="3FBCF3B0" w14:textId="77777777" w:rsidR="001C08A5" w:rsidRDefault="00000000">
      <w:pPr>
        <w:pStyle w:val="Heading4"/>
        <w:rPr>
          <w:sz w:val="24"/>
          <w:szCs w:val="24"/>
        </w:rPr>
      </w:pPr>
      <w:bookmarkStart w:id="8342" w:name="_Toc26822"/>
      <w:bookmarkStart w:id="8343" w:name="_Toc2126"/>
      <w:bookmarkStart w:id="8344" w:name="_Toc17112"/>
      <w:bookmarkStart w:id="8345" w:name="_Toc19205"/>
      <w:bookmarkStart w:id="8346" w:name="_Toc9581"/>
      <w:bookmarkStart w:id="8347" w:name="_Toc21289"/>
      <w:bookmarkStart w:id="8348" w:name="_Toc7871"/>
      <w:bookmarkStart w:id="8349" w:name="_Toc162355446"/>
      <w:bookmarkStart w:id="8350" w:name="_Toc16821"/>
      <w:bookmarkStart w:id="8351" w:name="_Toc31658"/>
      <w:bookmarkStart w:id="8352" w:name="_Toc17570"/>
      <w:bookmarkStart w:id="8353" w:name="_Toc22905"/>
      <w:bookmarkStart w:id="8354" w:name="_Toc21011"/>
      <w:bookmarkStart w:id="8355" w:name="_Toc21575"/>
      <w:bookmarkStart w:id="8356" w:name="_Toc6685"/>
      <w:bookmarkStart w:id="8357" w:name="_Toc16011"/>
      <w:bookmarkStart w:id="8358" w:name="_Toc15125"/>
      <w:r>
        <w:rPr>
          <w:sz w:val="24"/>
          <w:szCs w:val="24"/>
        </w:rPr>
        <w:t>Scări exterioare</w:t>
      </w:r>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p>
    <w:p w14:paraId="4EDD6E32" w14:textId="77777777" w:rsidR="001C08A5" w:rsidRDefault="00000000">
      <w:pPr>
        <w:pStyle w:val="BodyText"/>
      </w:pPr>
      <w:r>
        <w:rPr>
          <w:noProof/>
          <w:lang w:eastAsia="ro-RO"/>
        </w:rPr>
        <w:drawing>
          <wp:inline distT="0" distB="0" distL="114300" distR="114300" wp14:anchorId="42094A96" wp14:editId="797F2A6A">
            <wp:extent cx="6018530" cy="1797050"/>
            <wp:effectExtent l="0" t="0" r="0" b="0"/>
            <wp:docPr id="9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165"/>
                    <pic:cNvPicPr>
                      <a:picLocks noChangeAspect="1"/>
                    </pic:cNvPicPr>
                  </pic:nvPicPr>
                  <pic:blipFill>
                    <a:blip r:embed="rId389"/>
                    <a:srcRect l="12543" t="9550" r="7722" b="54883"/>
                    <a:stretch>
                      <a:fillRect/>
                    </a:stretch>
                  </pic:blipFill>
                  <pic:spPr>
                    <a:xfrm>
                      <a:off x="0" y="0"/>
                      <a:ext cx="6018530" cy="1797050"/>
                    </a:xfrm>
                    <a:prstGeom prst="rect">
                      <a:avLst/>
                    </a:prstGeom>
                    <a:noFill/>
                    <a:ln>
                      <a:noFill/>
                    </a:ln>
                  </pic:spPr>
                </pic:pic>
              </a:graphicData>
            </a:graphic>
          </wp:inline>
        </w:drawing>
      </w:r>
    </w:p>
    <w:p w14:paraId="1FD9440A" w14:textId="77777777" w:rsidR="001C08A5" w:rsidRDefault="00000000">
      <w:pPr>
        <w:jc w:val="center"/>
        <w:rPr>
          <w:b/>
          <w:bCs/>
          <w:i/>
          <w:sz w:val="24"/>
          <w:szCs w:val="24"/>
          <w:lang w:eastAsia="ro-RO"/>
        </w:rPr>
      </w:pPr>
      <w:r>
        <w:rPr>
          <w:b/>
          <w:bCs/>
          <w:i/>
          <w:noProof/>
          <w:sz w:val="24"/>
          <w:szCs w:val="24"/>
          <w:lang w:eastAsia="ro-RO"/>
        </w:rPr>
        <w:drawing>
          <wp:inline distT="0" distB="0" distL="114300" distR="114300" wp14:anchorId="1E8B211E" wp14:editId="5A823212">
            <wp:extent cx="6018530" cy="1962785"/>
            <wp:effectExtent l="0" t="0" r="0" b="0"/>
            <wp:docPr id="283"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165"/>
                    <pic:cNvPicPr>
                      <a:picLocks noChangeAspect="1"/>
                    </pic:cNvPicPr>
                  </pic:nvPicPr>
                  <pic:blipFill>
                    <a:blip r:embed="rId389"/>
                    <a:srcRect l="12543" t="46550" r="7722" b="14603"/>
                    <a:stretch>
                      <a:fillRect/>
                    </a:stretch>
                  </pic:blipFill>
                  <pic:spPr>
                    <a:xfrm>
                      <a:off x="0" y="0"/>
                      <a:ext cx="6018530" cy="1962785"/>
                    </a:xfrm>
                    <a:prstGeom prst="rect">
                      <a:avLst/>
                    </a:prstGeom>
                    <a:noFill/>
                    <a:ln>
                      <a:noFill/>
                    </a:ln>
                  </pic:spPr>
                </pic:pic>
              </a:graphicData>
            </a:graphic>
          </wp:inline>
        </w:drawing>
      </w:r>
    </w:p>
    <w:p w14:paraId="6D13FF3C" w14:textId="77777777" w:rsidR="001C08A5" w:rsidRDefault="00000000">
      <w:pPr>
        <w:jc w:val="center"/>
        <w:rPr>
          <w:b/>
          <w:bCs/>
          <w:i/>
          <w:sz w:val="24"/>
          <w:szCs w:val="24"/>
        </w:rPr>
      </w:pPr>
      <w:r>
        <w:rPr>
          <w:b/>
          <w:bCs/>
          <w:i/>
          <w:noProof/>
          <w:sz w:val="24"/>
          <w:szCs w:val="24"/>
          <w:lang w:eastAsia="ro-RO"/>
        </w:rPr>
        <w:lastRenderedPageBreak/>
        <w:drawing>
          <wp:inline distT="0" distB="0" distL="114300" distR="114300" wp14:anchorId="4FC7C2E4" wp14:editId="3D8C8350">
            <wp:extent cx="6018530" cy="4034155"/>
            <wp:effectExtent l="0" t="0" r="1270" b="4445"/>
            <wp:docPr id="284"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166"/>
                    <pic:cNvPicPr>
                      <a:picLocks noChangeAspect="1"/>
                    </pic:cNvPicPr>
                  </pic:nvPicPr>
                  <pic:blipFill>
                    <a:blip r:embed="rId390"/>
                    <a:srcRect l="12535" t="7426" r="7732" b="12730"/>
                    <a:stretch>
                      <a:fillRect/>
                    </a:stretch>
                  </pic:blipFill>
                  <pic:spPr>
                    <a:xfrm>
                      <a:off x="0" y="0"/>
                      <a:ext cx="6018530" cy="4034155"/>
                    </a:xfrm>
                    <a:prstGeom prst="rect">
                      <a:avLst/>
                    </a:prstGeom>
                    <a:noFill/>
                    <a:ln>
                      <a:noFill/>
                    </a:ln>
                  </pic:spPr>
                </pic:pic>
              </a:graphicData>
            </a:graphic>
          </wp:inline>
        </w:drawing>
      </w:r>
    </w:p>
    <w:p w14:paraId="33338534" w14:textId="77777777" w:rsidR="001C08A5" w:rsidRDefault="00000000">
      <w:pPr>
        <w:pStyle w:val="Caption"/>
        <w:jc w:val="center"/>
      </w:pPr>
      <w:bookmarkStart w:id="8359" w:name="_Toc162360427"/>
      <w:bookmarkStart w:id="8360" w:name="_Toc26769"/>
      <w:bookmarkStart w:id="8361" w:name="_Toc142898584"/>
      <w:bookmarkStart w:id="8362" w:name="_Toc24494"/>
      <w:bookmarkStart w:id="8363" w:name="_Toc4088"/>
      <w:r>
        <w:t xml:space="preserve">Figura </w:t>
      </w:r>
      <w:r>
        <w:fldChar w:fldCharType="begin"/>
      </w:r>
      <w:r>
        <w:instrText xml:space="preserve"> SEQ Figura \* ARABIC </w:instrText>
      </w:r>
      <w:r>
        <w:fldChar w:fldCharType="separate"/>
      </w:r>
      <w:r>
        <w:t>203</w:t>
      </w:r>
      <w:r>
        <w:fldChar w:fldCharType="end"/>
      </w:r>
      <w:bookmarkStart w:id="8364" w:name="_Toc13365"/>
      <w:bookmarkStart w:id="8365" w:name="_Toc26487"/>
      <w:bookmarkStart w:id="8366" w:name="_Toc217"/>
      <w:bookmarkStart w:id="8367" w:name="_Toc7576"/>
      <w:bookmarkStart w:id="8368" w:name="_Toc31530"/>
      <w:bookmarkStart w:id="8369" w:name="_Toc29348"/>
      <w:bookmarkStart w:id="8370" w:name="_Toc12069"/>
      <w:bookmarkStart w:id="8371" w:name="_Toc13229"/>
      <w:bookmarkStart w:id="8372" w:name="_Toc16605"/>
      <w:r>
        <w:t xml:space="preserve"> - Scări exterioare</w:t>
      </w:r>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p>
    <w:p w14:paraId="5A89DEA7" w14:textId="77777777" w:rsidR="001C08A5" w:rsidRDefault="00000000">
      <w:pPr>
        <w:jc w:val="both"/>
        <w:rPr>
          <w:rFonts w:eastAsia="Times New Roman"/>
          <w:i/>
          <w:sz w:val="22"/>
          <w:szCs w:val="22"/>
        </w:rPr>
      </w:pPr>
      <w:r>
        <w:rPr>
          <w:rFonts w:eastAsia="Times New Roman"/>
          <w:i/>
          <w:sz w:val="22"/>
          <w:szCs w:val="22"/>
        </w:rPr>
        <w:t>Note:</w:t>
      </w:r>
    </w:p>
    <w:p w14:paraId="762F806F" w14:textId="77777777" w:rsidR="001C08A5" w:rsidRDefault="00000000">
      <w:pPr>
        <w:jc w:val="both"/>
        <w:rPr>
          <w:rFonts w:eastAsia="Times New Roman"/>
          <w:i/>
          <w:sz w:val="22"/>
          <w:szCs w:val="22"/>
        </w:rPr>
      </w:pPr>
      <w:r>
        <w:rPr>
          <w:rFonts w:eastAsia="Times New Roman"/>
          <w:i/>
          <w:sz w:val="22"/>
          <w:szCs w:val="22"/>
        </w:rPr>
        <w:t xml:space="preserve">1 - În cazul în care scările exterioare sunt amplasate la colţurile intrânde ale clădirilor civile în formă de </w:t>
      </w:r>
      <w:r>
        <w:rPr>
          <w:rFonts w:eastAsia="Times New Roman"/>
          <w:b/>
          <w:bCs/>
          <w:i/>
          <w:sz w:val="22"/>
          <w:szCs w:val="22"/>
        </w:rPr>
        <w:t>L</w:t>
      </w:r>
      <w:r>
        <w:rPr>
          <w:rFonts w:eastAsia="Times New Roman"/>
          <w:i/>
          <w:sz w:val="22"/>
          <w:szCs w:val="22"/>
        </w:rPr>
        <w:t xml:space="preserve">, </w:t>
      </w:r>
      <w:r>
        <w:rPr>
          <w:rFonts w:eastAsia="Times New Roman"/>
          <w:b/>
          <w:bCs/>
          <w:i/>
          <w:sz w:val="22"/>
          <w:szCs w:val="22"/>
        </w:rPr>
        <w:t>T</w:t>
      </w:r>
      <w:r>
        <w:rPr>
          <w:rFonts w:eastAsia="Times New Roman"/>
          <w:i/>
          <w:sz w:val="22"/>
          <w:szCs w:val="22"/>
        </w:rPr>
        <w:t xml:space="preserve"> sau </w:t>
      </w:r>
      <w:r>
        <w:rPr>
          <w:rFonts w:eastAsia="Times New Roman"/>
          <w:b/>
          <w:bCs/>
          <w:i/>
          <w:sz w:val="22"/>
          <w:szCs w:val="22"/>
        </w:rPr>
        <w:t>U</w:t>
      </w:r>
      <w:r>
        <w:rPr>
          <w:rFonts w:eastAsia="Times New Roman"/>
          <w:i/>
          <w:sz w:val="22"/>
          <w:szCs w:val="22"/>
        </w:rPr>
        <w:t xml:space="preserve"> sub un unghi </w:t>
      </w:r>
      <w:r>
        <w:rPr>
          <w:rFonts w:eastAsia="Times New Roman"/>
          <w:b/>
          <w:bCs/>
          <w:i/>
          <w:sz w:val="22"/>
          <w:szCs w:val="22"/>
        </w:rPr>
        <w:t>α</w:t>
      </w:r>
      <w:r>
        <w:rPr>
          <w:rFonts w:eastAsia="Times New Roman"/>
          <w:i/>
          <w:sz w:val="22"/>
          <w:szCs w:val="22"/>
        </w:rPr>
        <w:t xml:space="preserve">, golurile din pereţii exteriori adiacenţi se dispun astfel încât distanţa dintre ele să fie în funcție de nivelul de stabilitate la incendiu al compartimentelor pe care le desparte (se aplică conform </w:t>
      </w:r>
      <w:r>
        <w:rPr>
          <w:rFonts w:eastAsia="Times New Roman"/>
          <w:b/>
          <w:bCs/>
          <w:i/>
          <w:sz w:val="22"/>
          <w:szCs w:val="22"/>
        </w:rPr>
        <w:t xml:space="preserve">Art. 2.3.2.1.9. </w:t>
      </w:r>
      <w:r>
        <w:rPr>
          <w:rFonts w:eastAsia="Times New Roman"/>
          <w:i/>
          <w:sz w:val="22"/>
          <w:szCs w:val="22"/>
        </w:rPr>
        <w:t xml:space="preserve">).  </w:t>
      </w:r>
    </w:p>
    <w:p w14:paraId="175F2560" w14:textId="77777777" w:rsidR="001C08A5" w:rsidRDefault="00000000">
      <w:pPr>
        <w:jc w:val="both"/>
        <w:rPr>
          <w:rFonts w:eastAsia="Times New Roman"/>
          <w:i/>
          <w:sz w:val="22"/>
          <w:szCs w:val="22"/>
        </w:rPr>
      </w:pPr>
      <w:r>
        <w:rPr>
          <w:rFonts w:eastAsia="Times New Roman"/>
          <w:i/>
          <w:sz w:val="22"/>
          <w:szCs w:val="22"/>
        </w:rPr>
        <w:t xml:space="preserve">2 - Se aplică conform </w:t>
      </w:r>
      <w:r>
        <w:rPr>
          <w:rFonts w:eastAsia="Times New Roman"/>
          <w:b/>
          <w:bCs/>
          <w:i/>
          <w:sz w:val="22"/>
          <w:szCs w:val="22"/>
        </w:rPr>
        <w:t xml:space="preserve">Art. 2.5.6.4.1. </w:t>
      </w:r>
      <w:r>
        <w:rPr>
          <w:rFonts w:eastAsia="Times New Roman"/>
          <w:i/>
          <w:sz w:val="22"/>
          <w:szCs w:val="22"/>
        </w:rPr>
        <w:t xml:space="preserve">Se vor avea în vedere și prevederea distanței de min. </w:t>
      </w:r>
      <w:r>
        <w:rPr>
          <w:rFonts w:eastAsia="Times New Roman"/>
          <w:b/>
          <w:bCs/>
          <w:i/>
          <w:sz w:val="22"/>
          <w:szCs w:val="22"/>
        </w:rPr>
        <w:t>1,20 m</w:t>
      </w:r>
      <w:r>
        <w:rPr>
          <w:rFonts w:eastAsia="Times New Roman"/>
          <w:i/>
          <w:sz w:val="22"/>
          <w:szCs w:val="22"/>
        </w:rPr>
        <w:t xml:space="preserve"> precum și a celorlalte prevederi normate în cazul în cazul în care pereţii antifoc sunt amplasaţi pe fațade, sub un unghi </w:t>
      </w:r>
      <w:r>
        <w:rPr>
          <w:rFonts w:eastAsia="Times New Roman"/>
          <w:b/>
          <w:bCs/>
          <w:i/>
          <w:sz w:val="22"/>
          <w:szCs w:val="22"/>
        </w:rPr>
        <w:t>α</w:t>
      </w:r>
      <w:r>
        <w:rPr>
          <w:rFonts w:eastAsia="Times New Roman"/>
          <w:i/>
          <w:sz w:val="22"/>
          <w:szCs w:val="22"/>
        </w:rPr>
        <w:t xml:space="preserve">, </w:t>
      </w:r>
      <w:r>
        <w:rPr>
          <w:rFonts w:eastAsia="Times New Roman"/>
          <w:b/>
          <w:bCs/>
          <w:i/>
          <w:sz w:val="22"/>
          <w:szCs w:val="22"/>
        </w:rPr>
        <w:t>α =180°</w:t>
      </w:r>
      <w:r>
        <w:rPr>
          <w:rFonts w:eastAsia="Times New Roman"/>
          <w:i/>
          <w:sz w:val="22"/>
          <w:szCs w:val="22"/>
        </w:rPr>
        <w:t>.</w:t>
      </w:r>
    </w:p>
    <w:p w14:paraId="3829A1E0" w14:textId="77777777" w:rsidR="001C08A5" w:rsidRDefault="00000000">
      <w:pPr>
        <w:jc w:val="both"/>
        <w:rPr>
          <w:rFonts w:eastAsia="Times New Roman"/>
          <w:i/>
          <w:sz w:val="22"/>
          <w:szCs w:val="22"/>
        </w:rPr>
      </w:pPr>
      <w:r>
        <w:rPr>
          <w:rFonts w:eastAsia="Times New Roman"/>
          <w:i/>
          <w:sz w:val="22"/>
          <w:szCs w:val="22"/>
        </w:rPr>
        <w:t xml:space="preserve">Scările trebuie executate din materiale </w:t>
      </w:r>
      <w:r>
        <w:rPr>
          <w:rFonts w:eastAsia="Times New Roman"/>
          <w:b/>
          <w:bCs/>
          <w:i/>
          <w:sz w:val="22"/>
          <w:szCs w:val="22"/>
        </w:rPr>
        <w:t>A1</w:t>
      </w:r>
      <w:r>
        <w:rPr>
          <w:rFonts w:eastAsia="Times New Roman"/>
          <w:i/>
          <w:sz w:val="22"/>
          <w:szCs w:val="22"/>
        </w:rPr>
        <w:t xml:space="preserve"> sau </w:t>
      </w:r>
      <w:r>
        <w:rPr>
          <w:rFonts w:eastAsia="Times New Roman"/>
          <w:b/>
          <w:bCs/>
          <w:i/>
          <w:sz w:val="22"/>
          <w:szCs w:val="22"/>
        </w:rPr>
        <w:t>A2-s1,d0</w:t>
      </w:r>
      <w:r>
        <w:rPr>
          <w:rFonts w:eastAsia="Times New Roman"/>
          <w:i/>
          <w:sz w:val="22"/>
          <w:szCs w:val="22"/>
        </w:rPr>
        <w:t xml:space="preserve">, rezistente la foc minimum </w:t>
      </w:r>
      <w:r>
        <w:rPr>
          <w:rFonts w:eastAsia="Times New Roman"/>
          <w:b/>
          <w:bCs/>
          <w:i/>
          <w:sz w:val="22"/>
          <w:szCs w:val="22"/>
        </w:rPr>
        <w:t>R 15</w:t>
      </w:r>
      <w:r>
        <w:rPr>
          <w:rFonts w:eastAsia="Times New Roman"/>
          <w:i/>
          <w:sz w:val="22"/>
          <w:szCs w:val="22"/>
        </w:rPr>
        <w:t xml:space="preserve">  (</w:t>
      </w:r>
      <w:r>
        <w:rPr>
          <w:rFonts w:eastAsia="Times New Roman"/>
          <w:b/>
          <w:bCs/>
          <w:i/>
          <w:sz w:val="22"/>
          <w:szCs w:val="22"/>
        </w:rPr>
        <w:t>R 30</w:t>
      </w:r>
      <w:r>
        <w:rPr>
          <w:rFonts w:eastAsia="Times New Roman"/>
          <w:i/>
          <w:sz w:val="22"/>
          <w:szCs w:val="22"/>
        </w:rPr>
        <w:t xml:space="preserve">  la clădiri înalte și/ sau foarte înalte și </w:t>
      </w:r>
      <w:r>
        <w:rPr>
          <w:rFonts w:eastAsia="Times New Roman"/>
          <w:b/>
          <w:bCs/>
          <w:i/>
          <w:sz w:val="22"/>
          <w:szCs w:val="22"/>
        </w:rPr>
        <w:t>R 60</w:t>
      </w:r>
      <w:r>
        <w:rPr>
          <w:rFonts w:eastAsia="Times New Roman"/>
          <w:i/>
          <w:sz w:val="22"/>
          <w:szCs w:val="22"/>
        </w:rPr>
        <w:t xml:space="preserve"> la clădiri foarte înalte cu înălțimea </w:t>
      </w:r>
      <w:r>
        <w:rPr>
          <w:rFonts w:eastAsia="Times New Roman"/>
          <w:b/>
          <w:bCs/>
          <w:i/>
          <w:sz w:val="22"/>
          <w:szCs w:val="22"/>
        </w:rPr>
        <w:t>≥ 125 m</w:t>
      </w:r>
      <w:r>
        <w:rPr>
          <w:rFonts w:eastAsia="Times New Roman"/>
          <w:i/>
          <w:sz w:val="22"/>
          <w:szCs w:val="22"/>
        </w:rPr>
        <w:t xml:space="preserve">). </w:t>
      </w:r>
    </w:p>
    <w:p w14:paraId="3033EB96" w14:textId="77777777" w:rsidR="001C08A5" w:rsidRDefault="00000000">
      <w:pPr>
        <w:jc w:val="both"/>
        <w:rPr>
          <w:rFonts w:eastAsia="Times New Roman"/>
          <w:i/>
          <w:sz w:val="22"/>
          <w:szCs w:val="22"/>
        </w:rPr>
      </w:pPr>
      <w:r>
        <w:rPr>
          <w:rFonts w:eastAsia="Times New Roman"/>
          <w:i/>
          <w:sz w:val="22"/>
          <w:szCs w:val="22"/>
        </w:rPr>
        <w:t>3 – Ușile de evacuare prevăzute spre scările exterioare deschise vor avea rezistența la foc (</w:t>
      </w:r>
      <w:r>
        <w:rPr>
          <w:rFonts w:eastAsia="Times New Roman"/>
          <w:b/>
          <w:bCs/>
          <w:i/>
          <w:sz w:val="22"/>
          <w:szCs w:val="22"/>
        </w:rPr>
        <w:t>EI</w:t>
      </w:r>
      <w:r>
        <w:rPr>
          <w:rFonts w:eastAsia="Times New Roman"/>
          <w:i/>
          <w:sz w:val="22"/>
          <w:szCs w:val="22"/>
        </w:rPr>
        <w:t xml:space="preserve">) de aceeași valoare cât a fațadelor în care sunt integrate (conform Capitol </w:t>
      </w:r>
      <w:r>
        <w:rPr>
          <w:rFonts w:eastAsia="Times New Roman"/>
          <w:b/>
          <w:bCs/>
          <w:i/>
          <w:sz w:val="22"/>
          <w:szCs w:val="22"/>
        </w:rPr>
        <w:t>2.3.6.1. Prevederi generale privind limitarea propagării pe faţadă</w:t>
      </w:r>
      <w:r>
        <w:rPr>
          <w:rFonts w:eastAsia="Times New Roman"/>
          <w:i/>
          <w:sz w:val="22"/>
          <w:szCs w:val="22"/>
        </w:rPr>
        <w:t xml:space="preserve"> din normativ ), fără a fi mai mici de </w:t>
      </w:r>
      <w:r>
        <w:rPr>
          <w:rFonts w:eastAsia="Times New Roman"/>
          <w:b/>
          <w:bCs/>
          <w:i/>
          <w:sz w:val="22"/>
          <w:szCs w:val="22"/>
        </w:rPr>
        <w:t>EI</w:t>
      </w:r>
      <w:r>
        <w:rPr>
          <w:rFonts w:eastAsia="Times New Roman"/>
          <w:b/>
          <w:bCs/>
          <w:i/>
          <w:sz w:val="22"/>
          <w:szCs w:val="22"/>
          <w:vertAlign w:val="subscript"/>
        </w:rPr>
        <w:t>2</w:t>
      </w:r>
      <w:r>
        <w:rPr>
          <w:rFonts w:eastAsia="Times New Roman"/>
          <w:b/>
          <w:bCs/>
          <w:i/>
          <w:sz w:val="22"/>
          <w:szCs w:val="22"/>
        </w:rPr>
        <w:t>15-C5S</w:t>
      </w:r>
      <w:r>
        <w:rPr>
          <w:rFonts w:eastAsia="Times New Roman"/>
          <w:b/>
          <w:bCs/>
          <w:i/>
          <w:sz w:val="22"/>
          <w:szCs w:val="22"/>
          <w:vertAlign w:val="subscript"/>
        </w:rPr>
        <w:t>a</w:t>
      </w:r>
      <w:r>
        <w:rPr>
          <w:rFonts w:eastAsia="Times New Roman"/>
          <w:i/>
          <w:sz w:val="22"/>
          <w:szCs w:val="22"/>
        </w:rPr>
        <w:t>.</w:t>
      </w:r>
    </w:p>
    <w:p w14:paraId="52E1B1D5" w14:textId="77777777" w:rsidR="001C08A5" w:rsidRDefault="001C08A5">
      <w:pPr>
        <w:jc w:val="both"/>
        <w:rPr>
          <w:b/>
          <w:bCs/>
          <w:i/>
          <w:iCs/>
          <w:sz w:val="24"/>
          <w:szCs w:val="24"/>
        </w:rPr>
      </w:pPr>
    </w:p>
    <w:p w14:paraId="37701823" w14:textId="77777777" w:rsidR="001C08A5" w:rsidRDefault="00000000">
      <w:pPr>
        <w:pStyle w:val="Heading3"/>
        <w:rPr>
          <w:i/>
          <w:iCs/>
          <w:sz w:val="24"/>
          <w:szCs w:val="24"/>
        </w:rPr>
      </w:pPr>
      <w:bookmarkStart w:id="8373" w:name="_Toc8258"/>
      <w:bookmarkStart w:id="8374" w:name="_Toc6035"/>
      <w:bookmarkStart w:id="8375" w:name="_Toc14210"/>
      <w:bookmarkStart w:id="8376" w:name="_Toc19021"/>
      <w:bookmarkStart w:id="8377" w:name="_Toc31758"/>
      <w:bookmarkStart w:id="8378" w:name="_Toc4484"/>
      <w:bookmarkStart w:id="8379" w:name="_Toc25278"/>
      <w:bookmarkStart w:id="8380" w:name="_Toc20561"/>
      <w:bookmarkStart w:id="8381" w:name="_Toc22253"/>
      <w:bookmarkStart w:id="8382" w:name="_Toc28235"/>
      <w:bookmarkStart w:id="8383" w:name="_Toc162355447"/>
      <w:bookmarkStart w:id="8384" w:name="_Toc5917"/>
      <w:bookmarkStart w:id="8385" w:name="_Toc26608"/>
      <w:bookmarkStart w:id="8386" w:name="_Toc19176"/>
      <w:bookmarkStart w:id="8387" w:name="_Toc19317"/>
      <w:r>
        <w:rPr>
          <w:i/>
          <w:iCs/>
          <w:sz w:val="24"/>
          <w:szCs w:val="24"/>
        </w:rPr>
        <w:t>ANEXA 5.3 - CORIDOARE</w:t>
      </w:r>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p>
    <w:p w14:paraId="625AD5CC" w14:textId="77777777" w:rsidR="001C08A5" w:rsidRDefault="00000000">
      <w:pPr>
        <w:pStyle w:val="Heading4"/>
        <w:rPr>
          <w:sz w:val="24"/>
          <w:szCs w:val="24"/>
        </w:rPr>
      </w:pPr>
      <w:bookmarkStart w:id="8388" w:name="_Toc17252"/>
      <w:bookmarkStart w:id="8389" w:name="_Toc4239"/>
      <w:bookmarkStart w:id="8390" w:name="_Toc2357"/>
      <w:bookmarkStart w:id="8391" w:name="_Toc21294"/>
      <w:bookmarkStart w:id="8392" w:name="_Toc17955"/>
      <w:bookmarkStart w:id="8393" w:name="_Toc4409"/>
      <w:bookmarkStart w:id="8394" w:name="_Toc13524"/>
      <w:bookmarkStart w:id="8395" w:name="_Toc162355448"/>
      <w:bookmarkStart w:id="8396" w:name="_Toc32142"/>
      <w:bookmarkStart w:id="8397" w:name="_Toc18554"/>
      <w:bookmarkStart w:id="8398" w:name="_Toc28922"/>
      <w:bookmarkStart w:id="8399" w:name="_Toc5609"/>
      <w:bookmarkStart w:id="8400" w:name="_Toc16302"/>
      <w:bookmarkStart w:id="8401" w:name="_Toc16043"/>
      <w:bookmarkStart w:id="8402" w:name="_Toc25541"/>
      <w:bookmarkStart w:id="8403" w:name="_Toc15767"/>
      <w:r>
        <w:rPr>
          <w:sz w:val="24"/>
          <w:szCs w:val="24"/>
        </w:rPr>
        <w:t>Generalități</w:t>
      </w:r>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p>
    <w:p w14:paraId="51C8E034" w14:textId="77777777" w:rsidR="001C08A5" w:rsidRDefault="001C08A5">
      <w:pPr>
        <w:jc w:val="both"/>
        <w:rPr>
          <w:b/>
          <w:bCs/>
          <w:i/>
          <w:iCs/>
          <w:sz w:val="24"/>
          <w:szCs w:val="24"/>
        </w:rPr>
      </w:pPr>
    </w:p>
    <w:p w14:paraId="224E16B7"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„Coridor” se referă la o circulație liberă care oferă mijloace de evacuare dintre camere sau spații către o ieșire (ieșire în exterior finală, scară, încăpere tampon ventilată în suprapresiune, degajament protejat, etc.), fiind o încăpere lungă și îngustă (cu lungimea de cel puțin două ori cât lățimea), de-a lungul unei serii de încăperi care servește ca loc de trecere și legătură cu acestea.</w:t>
      </w:r>
    </w:p>
    <w:p w14:paraId="28CA2C92" w14:textId="77777777" w:rsidR="001C08A5" w:rsidRDefault="00000000">
      <w:pPr>
        <w:numPr>
          <w:ilvl w:val="255"/>
          <w:numId w:val="0"/>
        </w:numPr>
        <w:tabs>
          <w:tab w:val="left" w:pos="426"/>
          <w:tab w:val="left" w:pos="993"/>
        </w:tabs>
        <w:jc w:val="both"/>
        <w:rPr>
          <w:rFonts w:eastAsia="Times New Roman"/>
          <w:b/>
          <w:i/>
          <w:sz w:val="24"/>
        </w:rPr>
      </w:pPr>
      <w:r>
        <w:rPr>
          <w:rFonts w:eastAsia="Times New Roman"/>
          <w:i/>
          <w:sz w:val="24"/>
        </w:rPr>
        <w:t xml:space="preserve"> </w:t>
      </w:r>
    </w:p>
    <w:p w14:paraId="6F1C9874"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Coridoarele pot fi interioare și exterioare ("cursivă") sau o combinație dintre cele două.</w:t>
      </w:r>
    </w:p>
    <w:p w14:paraId="37119BEB"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52966FC6" wp14:editId="704AE55B">
            <wp:extent cx="5718810" cy="2249805"/>
            <wp:effectExtent l="0" t="0" r="15240" b="17145"/>
            <wp:docPr id="285"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130"/>
                    <pic:cNvPicPr>
                      <a:picLocks noChangeAspect="1"/>
                    </pic:cNvPicPr>
                  </pic:nvPicPr>
                  <pic:blipFill>
                    <a:blip r:embed="rId391"/>
                    <a:srcRect l="12383" t="17670" r="10339" b="36917"/>
                    <a:stretch>
                      <a:fillRect/>
                    </a:stretch>
                  </pic:blipFill>
                  <pic:spPr>
                    <a:xfrm>
                      <a:off x="0" y="0"/>
                      <a:ext cx="5727134" cy="2252939"/>
                    </a:xfrm>
                    <a:prstGeom prst="rect">
                      <a:avLst/>
                    </a:prstGeom>
                    <a:noFill/>
                    <a:ln>
                      <a:noFill/>
                    </a:ln>
                  </pic:spPr>
                </pic:pic>
              </a:graphicData>
            </a:graphic>
          </wp:inline>
        </w:drawing>
      </w:r>
    </w:p>
    <w:p w14:paraId="399750ED" w14:textId="77777777" w:rsidR="001C08A5" w:rsidRDefault="00000000">
      <w:pPr>
        <w:suppressLineNumbers/>
        <w:spacing w:before="120" w:after="120"/>
        <w:jc w:val="center"/>
        <w:rPr>
          <w:rFonts w:cs="Mangal"/>
          <w:b/>
          <w:i/>
          <w:iCs/>
          <w:sz w:val="24"/>
          <w:szCs w:val="24"/>
        </w:rPr>
      </w:pPr>
      <w:bookmarkStart w:id="8404" w:name="_Toc6717"/>
      <w:bookmarkStart w:id="8405" w:name="_Toc1223"/>
      <w:bookmarkStart w:id="8406" w:name="_Toc16764"/>
      <w:r>
        <w:rPr>
          <w:rFonts w:cs="Mangal"/>
          <w:b/>
          <w:i/>
          <w:iCs/>
          <w:sz w:val="24"/>
          <w:szCs w:val="24"/>
        </w:rPr>
        <w:t>Varianta a) Coridor interior</w:t>
      </w:r>
      <w:bookmarkEnd w:id="8404"/>
      <w:bookmarkEnd w:id="8405"/>
      <w:bookmarkEnd w:id="8406"/>
    </w:p>
    <w:p w14:paraId="7D0863AB" w14:textId="77777777" w:rsidR="001C08A5" w:rsidRDefault="00000000">
      <w:pPr>
        <w:jc w:val="center"/>
        <w:rPr>
          <w:rFonts w:eastAsia="Times New Roman"/>
          <w:i/>
          <w:sz w:val="24"/>
          <w:szCs w:val="24"/>
        </w:rPr>
      </w:pPr>
      <w:r>
        <w:rPr>
          <w:b/>
          <w:bCs/>
          <w:i/>
          <w:noProof/>
          <w:sz w:val="24"/>
          <w:szCs w:val="24"/>
        </w:rPr>
        <w:drawing>
          <wp:inline distT="0" distB="0" distL="114300" distR="114300" wp14:anchorId="044DB984" wp14:editId="34D2AE55">
            <wp:extent cx="5701665" cy="2315210"/>
            <wp:effectExtent l="0" t="0" r="13335" b="8890"/>
            <wp:docPr id="38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0"/>
                    <pic:cNvPicPr>
                      <a:picLocks noChangeAspect="1"/>
                    </pic:cNvPicPr>
                  </pic:nvPicPr>
                  <pic:blipFill>
                    <a:blip r:embed="rId392"/>
                    <a:srcRect l="13704" t="22221" r="10760" b="35116"/>
                    <a:stretch>
                      <a:fillRect/>
                    </a:stretch>
                  </pic:blipFill>
                  <pic:spPr>
                    <a:xfrm>
                      <a:off x="0" y="0"/>
                      <a:ext cx="5701665" cy="2315210"/>
                    </a:xfrm>
                    <a:prstGeom prst="rect">
                      <a:avLst/>
                    </a:prstGeom>
                    <a:noFill/>
                    <a:ln>
                      <a:noFill/>
                    </a:ln>
                  </pic:spPr>
                </pic:pic>
              </a:graphicData>
            </a:graphic>
          </wp:inline>
        </w:drawing>
      </w:r>
    </w:p>
    <w:p w14:paraId="45E49394" w14:textId="77777777" w:rsidR="001C08A5" w:rsidRDefault="00000000">
      <w:pPr>
        <w:suppressLineNumbers/>
        <w:spacing w:before="120" w:after="120"/>
        <w:jc w:val="center"/>
        <w:rPr>
          <w:rFonts w:cs="Mangal"/>
          <w:b/>
          <w:i/>
          <w:iCs/>
          <w:sz w:val="24"/>
          <w:szCs w:val="24"/>
        </w:rPr>
      </w:pPr>
      <w:bookmarkStart w:id="8407" w:name="_Toc20056"/>
      <w:bookmarkStart w:id="8408" w:name="_Toc15471"/>
      <w:bookmarkStart w:id="8409" w:name="_Toc15998"/>
      <w:r>
        <w:rPr>
          <w:rFonts w:cs="Mangal"/>
          <w:b/>
          <w:i/>
          <w:iCs/>
          <w:sz w:val="24"/>
          <w:szCs w:val="24"/>
        </w:rPr>
        <w:t>Varianta b) Coridor interior + exterior</w:t>
      </w:r>
      <w:bookmarkEnd w:id="8407"/>
      <w:bookmarkEnd w:id="8408"/>
      <w:bookmarkEnd w:id="8409"/>
    </w:p>
    <w:p w14:paraId="6CFE635D" w14:textId="77777777" w:rsidR="001C08A5" w:rsidRDefault="00000000">
      <w:pPr>
        <w:jc w:val="center"/>
        <w:rPr>
          <w:rFonts w:eastAsia="Times New Roman"/>
          <w:i/>
          <w:sz w:val="24"/>
          <w:szCs w:val="24"/>
        </w:rPr>
      </w:pPr>
      <w:r>
        <w:rPr>
          <w:b/>
          <w:bCs/>
          <w:i/>
          <w:noProof/>
          <w:sz w:val="24"/>
          <w:szCs w:val="24"/>
        </w:rPr>
        <w:drawing>
          <wp:inline distT="0" distB="0" distL="114300" distR="114300" wp14:anchorId="1176C142" wp14:editId="13E0B44E">
            <wp:extent cx="5701665" cy="1849120"/>
            <wp:effectExtent l="0" t="0" r="13335" b="17780"/>
            <wp:docPr id="3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1"/>
                    <pic:cNvPicPr>
                      <a:picLocks noChangeAspect="1"/>
                    </pic:cNvPicPr>
                  </pic:nvPicPr>
                  <pic:blipFill>
                    <a:blip r:embed="rId393"/>
                    <a:srcRect l="13797" t="21753" r="10667" b="44173"/>
                    <a:stretch>
                      <a:fillRect/>
                    </a:stretch>
                  </pic:blipFill>
                  <pic:spPr>
                    <a:xfrm>
                      <a:off x="0" y="0"/>
                      <a:ext cx="5701665" cy="1849120"/>
                    </a:xfrm>
                    <a:prstGeom prst="rect">
                      <a:avLst/>
                    </a:prstGeom>
                    <a:noFill/>
                    <a:ln>
                      <a:noFill/>
                    </a:ln>
                  </pic:spPr>
                </pic:pic>
              </a:graphicData>
            </a:graphic>
          </wp:inline>
        </w:drawing>
      </w:r>
    </w:p>
    <w:p w14:paraId="7636D560" w14:textId="77777777" w:rsidR="001C08A5" w:rsidRDefault="00000000">
      <w:pPr>
        <w:suppressLineNumbers/>
        <w:spacing w:before="120" w:after="120"/>
        <w:jc w:val="center"/>
        <w:rPr>
          <w:rFonts w:cs="Mangal"/>
          <w:b/>
          <w:i/>
          <w:iCs/>
          <w:sz w:val="24"/>
          <w:szCs w:val="24"/>
        </w:rPr>
      </w:pPr>
      <w:bookmarkStart w:id="8410" w:name="_Toc13059"/>
      <w:bookmarkStart w:id="8411" w:name="_Toc27053"/>
      <w:r>
        <w:rPr>
          <w:rFonts w:cs="Mangal"/>
          <w:b/>
          <w:i/>
          <w:iCs/>
          <w:sz w:val="24"/>
          <w:szCs w:val="24"/>
        </w:rPr>
        <w:t>Varianta c) Coridor exterior</w:t>
      </w:r>
      <w:bookmarkEnd w:id="8410"/>
      <w:bookmarkEnd w:id="8411"/>
      <w:r>
        <w:rPr>
          <w:rFonts w:cs="Mangal"/>
          <w:b/>
          <w:i/>
          <w:iCs/>
          <w:sz w:val="24"/>
          <w:szCs w:val="24"/>
        </w:rPr>
        <w:t xml:space="preserve"> (cursivă)</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1C08A5" w14:paraId="4131A6C3" w14:textId="77777777">
        <w:tc>
          <w:tcPr>
            <w:tcW w:w="4814" w:type="dxa"/>
          </w:tcPr>
          <w:p w14:paraId="30A4C7FA" w14:textId="77777777" w:rsidR="001C08A5" w:rsidRDefault="00000000">
            <w:pPr>
              <w:suppressLineNumbers/>
              <w:spacing w:before="120" w:after="120"/>
              <w:jc w:val="center"/>
              <w:rPr>
                <w:rFonts w:cs="Mangal"/>
                <w:b/>
                <w:i/>
                <w:iCs/>
                <w:sz w:val="24"/>
                <w:szCs w:val="24"/>
              </w:rPr>
            </w:pPr>
            <w:r>
              <w:rPr>
                <w:rFonts w:cs="Mangal"/>
                <w:b/>
                <w:i/>
                <w:iCs/>
                <w:sz w:val="24"/>
                <w:szCs w:val="24"/>
              </w:rPr>
              <w:t xml:space="preserve">Legendă figură: </w:t>
            </w:r>
          </w:p>
        </w:tc>
        <w:tc>
          <w:tcPr>
            <w:tcW w:w="4815" w:type="dxa"/>
          </w:tcPr>
          <w:p w14:paraId="3C987E4A" w14:textId="77777777" w:rsidR="001C08A5" w:rsidRDefault="00000000">
            <w:pPr>
              <w:suppressLineNumbers/>
              <w:spacing w:before="120" w:after="120"/>
              <w:jc w:val="center"/>
              <w:rPr>
                <w:rFonts w:cs="Mangal"/>
                <w:b/>
                <w:i/>
                <w:iCs/>
                <w:sz w:val="24"/>
                <w:szCs w:val="24"/>
              </w:rPr>
            </w:pPr>
            <w:r>
              <w:rPr>
                <w:rFonts w:cs="Mangal"/>
                <w:b/>
                <w:i/>
                <w:iCs/>
                <w:noProof/>
                <w:sz w:val="24"/>
                <w:szCs w:val="24"/>
                <w:lang w:eastAsia="ro-RO"/>
              </w:rPr>
              <w:drawing>
                <wp:inline distT="0" distB="0" distL="114300" distR="114300" wp14:anchorId="2E71D813" wp14:editId="607B0C2B">
                  <wp:extent cx="2889250" cy="353060"/>
                  <wp:effectExtent l="0" t="0" r="6350" b="8890"/>
                  <wp:docPr id="837784509" name="Picture 83778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84509" name="Picture 837784509"/>
                          <pic:cNvPicPr>
                            <a:picLocks noChangeAspect="1"/>
                          </pic:cNvPicPr>
                        </pic:nvPicPr>
                        <pic:blipFill>
                          <a:blip r:embed="rId394"/>
                          <a:srcRect l="12383" t="51330" r="49237" b="41654"/>
                          <a:stretch>
                            <a:fillRect/>
                          </a:stretch>
                        </pic:blipFill>
                        <pic:spPr>
                          <a:xfrm>
                            <a:off x="0" y="0"/>
                            <a:ext cx="2896972" cy="354458"/>
                          </a:xfrm>
                          <a:prstGeom prst="rect">
                            <a:avLst/>
                          </a:prstGeom>
                          <a:noFill/>
                          <a:ln>
                            <a:noFill/>
                          </a:ln>
                        </pic:spPr>
                      </pic:pic>
                    </a:graphicData>
                  </a:graphic>
                </wp:inline>
              </w:drawing>
            </w:r>
          </w:p>
        </w:tc>
      </w:tr>
    </w:tbl>
    <w:p w14:paraId="28D7646D" w14:textId="77777777" w:rsidR="001C08A5" w:rsidRDefault="00000000">
      <w:pPr>
        <w:pStyle w:val="Caption"/>
        <w:jc w:val="center"/>
        <w:rPr>
          <w:rFonts w:eastAsia="Times New Roman"/>
        </w:rPr>
      </w:pPr>
      <w:bookmarkStart w:id="8412" w:name="_Toc162360428"/>
      <w:bookmarkStart w:id="8413" w:name="_Toc142898585"/>
      <w:r>
        <w:t xml:space="preserve">Figura </w:t>
      </w:r>
      <w:r>
        <w:fldChar w:fldCharType="begin"/>
      </w:r>
      <w:r>
        <w:instrText xml:space="preserve"> SEQ Figura \* ARABIC </w:instrText>
      </w:r>
      <w:r>
        <w:fldChar w:fldCharType="separate"/>
      </w:r>
      <w:r>
        <w:t>204</w:t>
      </w:r>
      <w:r>
        <w:fldChar w:fldCharType="end"/>
      </w:r>
      <w:bookmarkStart w:id="8414" w:name="_Toc7246"/>
      <w:bookmarkStart w:id="8415" w:name="_Toc29598"/>
      <w:bookmarkStart w:id="8416" w:name="_Toc16488"/>
      <w:bookmarkStart w:id="8417" w:name="_Toc13961"/>
      <w:bookmarkStart w:id="8418" w:name="_Toc19750"/>
      <w:bookmarkStart w:id="8419" w:name="_Toc18767"/>
      <w:bookmarkStart w:id="8420" w:name="_Toc21993"/>
      <w:bookmarkStart w:id="8421" w:name="_Toc1489"/>
      <w:bookmarkStart w:id="8422" w:name="_Toc18672"/>
      <w:r>
        <w:t xml:space="preserve"> - </w:t>
      </w:r>
      <w:r>
        <w:rPr>
          <w:rFonts w:eastAsia="Times New Roman"/>
        </w:rPr>
        <w:t>Coridoare</w:t>
      </w:r>
      <w:bookmarkEnd w:id="8412"/>
      <w:bookmarkEnd w:id="8413"/>
      <w:bookmarkEnd w:id="8414"/>
      <w:bookmarkEnd w:id="8415"/>
      <w:bookmarkEnd w:id="8416"/>
      <w:bookmarkEnd w:id="8417"/>
      <w:bookmarkEnd w:id="8418"/>
      <w:bookmarkEnd w:id="8419"/>
      <w:bookmarkEnd w:id="8420"/>
      <w:bookmarkEnd w:id="8421"/>
      <w:bookmarkEnd w:id="8422"/>
    </w:p>
    <w:p w14:paraId="6A347E6A" w14:textId="77777777" w:rsidR="001C08A5" w:rsidRDefault="00000000">
      <w:pPr>
        <w:pStyle w:val="Heading4"/>
        <w:rPr>
          <w:sz w:val="24"/>
          <w:szCs w:val="24"/>
        </w:rPr>
      </w:pPr>
      <w:bookmarkStart w:id="8423" w:name="_Toc4488"/>
      <w:bookmarkStart w:id="8424" w:name="_Toc11982"/>
      <w:bookmarkStart w:id="8425" w:name="_Toc457"/>
      <w:bookmarkStart w:id="8426" w:name="_Toc24800"/>
      <w:bookmarkStart w:id="8427" w:name="_Toc29279"/>
      <w:bookmarkStart w:id="8428" w:name="_Toc18809"/>
      <w:bookmarkStart w:id="8429" w:name="_Toc4987"/>
      <w:bookmarkStart w:id="8430" w:name="_Toc14007"/>
      <w:bookmarkStart w:id="8431" w:name="_Toc23841"/>
      <w:bookmarkStart w:id="8432" w:name="_Toc13284"/>
      <w:bookmarkStart w:id="8433" w:name="_Toc18306"/>
      <w:bookmarkStart w:id="8434" w:name="_Toc911"/>
      <w:bookmarkStart w:id="8435" w:name="_Toc162355449"/>
      <w:bookmarkStart w:id="8436" w:name="_Toc29479"/>
      <w:bookmarkStart w:id="8437" w:name="_Toc6166"/>
      <w:bookmarkStart w:id="8438" w:name="_Toc31274"/>
      <w:r>
        <w:rPr>
          <w:sz w:val="24"/>
          <w:szCs w:val="24"/>
        </w:rPr>
        <w:t>Spațiu de circulație și evacuare (Cale de evacuare)</w:t>
      </w:r>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p>
    <w:p w14:paraId="7AE29A05" w14:textId="77777777" w:rsidR="001C08A5" w:rsidRDefault="001C08A5">
      <w:pPr>
        <w:jc w:val="both"/>
        <w:rPr>
          <w:rFonts w:eastAsia="Times New Roman"/>
          <w:b/>
          <w:bCs/>
          <w:i/>
          <w:sz w:val="24"/>
          <w:szCs w:val="24"/>
        </w:rPr>
      </w:pPr>
    </w:p>
    <w:p w14:paraId="623BB923" w14:textId="77777777" w:rsidR="001C08A5" w:rsidRDefault="00000000">
      <w:pPr>
        <w:numPr>
          <w:ilvl w:val="0"/>
          <w:numId w:val="96"/>
        </w:numPr>
        <w:tabs>
          <w:tab w:val="left" w:pos="426"/>
          <w:tab w:val="left" w:pos="993"/>
        </w:tabs>
        <w:jc w:val="both"/>
        <w:rPr>
          <w:rFonts w:eastAsia="Times New Roman"/>
          <w:i/>
          <w:sz w:val="24"/>
          <w:szCs w:val="24"/>
        </w:rPr>
      </w:pPr>
      <w:r>
        <w:rPr>
          <w:rFonts w:eastAsia="Times New Roman"/>
          <w:i/>
          <w:sz w:val="24"/>
        </w:rPr>
        <w:t>„Spațiu de circulație” (utilizat pentru evacuare, ) se referă la accesul neobstrucționat dintre o încăpere și o ieșire din clădire sau compartiment. Nu include zone utilizate pentru activități comerciale, ghișee de informații sau de recepție, zone utilizate pentru expoziții, etc.</w:t>
      </w:r>
    </w:p>
    <w:p w14:paraId="283A4F5B" w14:textId="77777777" w:rsidR="001C08A5" w:rsidRDefault="001C08A5">
      <w:pPr>
        <w:tabs>
          <w:tab w:val="left" w:pos="426"/>
          <w:tab w:val="left" w:pos="993"/>
        </w:tabs>
        <w:jc w:val="both"/>
        <w:rPr>
          <w:rFonts w:eastAsia="Times New Roman"/>
          <w:i/>
          <w:sz w:val="24"/>
          <w:szCs w:val="24"/>
        </w:rPr>
      </w:pPr>
    </w:p>
    <w:p w14:paraId="60030F27" w14:textId="77777777" w:rsidR="001C08A5" w:rsidRDefault="00000000">
      <w:pPr>
        <w:numPr>
          <w:ilvl w:val="0"/>
          <w:numId w:val="96"/>
        </w:numPr>
        <w:tabs>
          <w:tab w:val="left" w:pos="426"/>
          <w:tab w:val="left" w:pos="993"/>
        </w:tabs>
        <w:jc w:val="both"/>
        <w:rPr>
          <w:rFonts w:eastAsia="Times New Roman"/>
          <w:i/>
          <w:sz w:val="24"/>
          <w:szCs w:val="24"/>
        </w:rPr>
      </w:pPr>
      <w:r>
        <w:rPr>
          <w:rFonts w:eastAsia="Times New Roman"/>
          <w:i/>
          <w:sz w:val="24"/>
          <w:szCs w:val="24"/>
        </w:rPr>
        <w:t>În general, spațiul de circulație și evacuare se referă la circulații comune verticale (scări) sau orizontale (coridoare, holuri, încăperi tampon ventilate în suprapresiune, degajamente protejate, etc.) de evacuare  Este o zonă comună a traseului utilizatorilor dintr-o încăpere către o ieșire finală. Astfel de zone comune sunt separate de alte zone cu pereți despărțitori rezistenți la foc sau echivalent (cu excepțiile permise de normativ).</w:t>
      </w:r>
    </w:p>
    <w:p w14:paraId="706934BD" w14:textId="77777777" w:rsidR="001C08A5" w:rsidRDefault="001C08A5">
      <w:pPr>
        <w:tabs>
          <w:tab w:val="left" w:pos="426"/>
          <w:tab w:val="left" w:pos="993"/>
        </w:tabs>
        <w:jc w:val="both"/>
        <w:rPr>
          <w:rFonts w:eastAsia="Times New Roman"/>
          <w:i/>
          <w:sz w:val="24"/>
          <w:szCs w:val="24"/>
        </w:rPr>
      </w:pPr>
    </w:p>
    <w:p w14:paraId="0F19343E" w14:textId="77777777" w:rsidR="001C08A5" w:rsidRDefault="00000000">
      <w:pPr>
        <w:numPr>
          <w:ilvl w:val="0"/>
          <w:numId w:val="96"/>
        </w:numPr>
        <w:tabs>
          <w:tab w:val="left" w:pos="426"/>
          <w:tab w:val="left" w:pos="993"/>
        </w:tabs>
        <w:jc w:val="both"/>
        <w:rPr>
          <w:rFonts w:eastAsia="Times New Roman"/>
          <w:i/>
          <w:sz w:val="24"/>
          <w:szCs w:val="24"/>
        </w:rPr>
      </w:pPr>
      <w:r>
        <w:rPr>
          <w:rFonts w:eastAsia="Times New Roman"/>
          <w:i/>
          <w:sz w:val="24"/>
          <w:szCs w:val="24"/>
        </w:rPr>
        <w:t>Parcarea nu este considerată spațiu comun de circulație de evacuare.</w:t>
      </w:r>
    </w:p>
    <w:p w14:paraId="54F5F27C" w14:textId="77777777" w:rsidR="001C08A5" w:rsidRDefault="001C08A5">
      <w:pPr>
        <w:jc w:val="center"/>
        <w:rPr>
          <w:b/>
          <w:bCs/>
          <w:i/>
          <w:sz w:val="24"/>
          <w:szCs w:val="24"/>
        </w:rPr>
      </w:pPr>
    </w:p>
    <w:p w14:paraId="7A644F38" w14:textId="77777777" w:rsidR="001C08A5" w:rsidRDefault="00000000">
      <w:pPr>
        <w:jc w:val="center"/>
        <w:rPr>
          <w:b/>
          <w:bCs/>
          <w:i/>
          <w:sz w:val="24"/>
          <w:szCs w:val="24"/>
        </w:rPr>
      </w:pPr>
      <w:r>
        <w:rPr>
          <w:b/>
          <w:bCs/>
          <w:i/>
          <w:noProof/>
          <w:sz w:val="24"/>
          <w:szCs w:val="24"/>
        </w:rPr>
        <w:drawing>
          <wp:inline distT="0" distB="0" distL="114300" distR="114300" wp14:anchorId="6B8EC175" wp14:editId="5EA09EA9">
            <wp:extent cx="5915025" cy="2774950"/>
            <wp:effectExtent l="0" t="0" r="9525" b="6350"/>
            <wp:docPr id="38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73"/>
                    <pic:cNvPicPr>
                      <a:picLocks noChangeAspect="1"/>
                    </pic:cNvPicPr>
                  </pic:nvPicPr>
                  <pic:blipFill>
                    <a:blip r:embed="rId395"/>
                    <a:srcRect l="12737" t="21472" r="8900" b="27393"/>
                    <a:stretch>
                      <a:fillRect/>
                    </a:stretch>
                  </pic:blipFill>
                  <pic:spPr>
                    <a:xfrm>
                      <a:off x="0" y="0"/>
                      <a:ext cx="5915025" cy="2774950"/>
                    </a:xfrm>
                    <a:prstGeom prst="rect">
                      <a:avLst/>
                    </a:prstGeom>
                    <a:noFill/>
                    <a:ln>
                      <a:noFill/>
                    </a:ln>
                  </pic:spPr>
                </pic:pic>
              </a:graphicData>
            </a:graphic>
          </wp:inline>
        </w:drawing>
      </w:r>
    </w:p>
    <w:p w14:paraId="753FFED1" w14:textId="77777777" w:rsidR="001C08A5" w:rsidRDefault="001C08A5">
      <w:pPr>
        <w:jc w:val="center"/>
        <w:rPr>
          <w:b/>
          <w:bCs/>
          <w:i/>
          <w:sz w:val="24"/>
          <w:szCs w:val="24"/>
        </w:rPr>
      </w:pPr>
    </w:p>
    <w:p w14:paraId="331F9249" w14:textId="77777777" w:rsidR="001C08A5" w:rsidRDefault="00000000">
      <w:pPr>
        <w:jc w:val="center"/>
        <w:rPr>
          <w:i/>
          <w:sz w:val="24"/>
          <w:szCs w:val="24"/>
        </w:rPr>
      </w:pPr>
      <w:r>
        <w:rPr>
          <w:noProof/>
        </w:rPr>
        <w:drawing>
          <wp:inline distT="0" distB="0" distL="114300" distR="114300" wp14:anchorId="52F3AEA8" wp14:editId="69804722">
            <wp:extent cx="6035040" cy="3026410"/>
            <wp:effectExtent l="0" t="0" r="3810" b="2540"/>
            <wp:docPr id="38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2"/>
                    <pic:cNvPicPr>
                      <a:picLocks noChangeAspect="1"/>
                    </pic:cNvPicPr>
                  </pic:nvPicPr>
                  <pic:blipFill>
                    <a:blip r:embed="rId396"/>
                    <a:srcRect l="12535" t="21414" r="7512" b="22818"/>
                    <a:stretch>
                      <a:fillRect/>
                    </a:stretch>
                  </pic:blipFill>
                  <pic:spPr>
                    <a:xfrm>
                      <a:off x="0" y="0"/>
                      <a:ext cx="6035040" cy="3026410"/>
                    </a:xfrm>
                    <a:prstGeom prst="rect">
                      <a:avLst/>
                    </a:prstGeom>
                    <a:noFill/>
                    <a:ln>
                      <a:noFill/>
                    </a:ln>
                  </pic:spPr>
                </pic:pic>
              </a:graphicData>
            </a:graphic>
          </wp:inline>
        </w:drawing>
      </w:r>
    </w:p>
    <w:p w14:paraId="5D3BC5D2" w14:textId="77777777" w:rsidR="001C08A5" w:rsidRDefault="001C08A5">
      <w:pPr>
        <w:jc w:val="center"/>
        <w:rPr>
          <w:i/>
          <w:sz w:val="24"/>
          <w:szCs w:val="24"/>
        </w:rPr>
      </w:pPr>
    </w:p>
    <w:p w14:paraId="5920F82F" w14:textId="77777777" w:rsidR="001C08A5" w:rsidRDefault="00000000">
      <w:pPr>
        <w:jc w:val="center"/>
        <w:rPr>
          <w:rFonts w:eastAsia="Times New Roman"/>
          <w:i/>
          <w:sz w:val="24"/>
          <w:szCs w:val="24"/>
        </w:rPr>
      </w:pPr>
      <w:r>
        <w:rPr>
          <w:noProof/>
        </w:rPr>
        <w:lastRenderedPageBreak/>
        <w:drawing>
          <wp:inline distT="0" distB="0" distL="114300" distR="114300" wp14:anchorId="7935D6F6" wp14:editId="2184A5FD">
            <wp:extent cx="6055360" cy="3376295"/>
            <wp:effectExtent l="0" t="0" r="2540" b="14605"/>
            <wp:docPr id="3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4"/>
                    <pic:cNvPicPr>
                      <a:picLocks noChangeAspect="1"/>
                    </pic:cNvPicPr>
                  </pic:nvPicPr>
                  <pic:blipFill>
                    <a:blip r:embed="rId397"/>
                    <a:srcRect l="12442" t="9396" r="7336" b="28388"/>
                    <a:stretch>
                      <a:fillRect/>
                    </a:stretch>
                  </pic:blipFill>
                  <pic:spPr>
                    <a:xfrm>
                      <a:off x="0" y="0"/>
                      <a:ext cx="6055360" cy="3376295"/>
                    </a:xfrm>
                    <a:prstGeom prst="rect">
                      <a:avLst/>
                    </a:prstGeom>
                    <a:noFill/>
                    <a:ln>
                      <a:noFill/>
                    </a:ln>
                  </pic:spPr>
                </pic:pic>
              </a:graphicData>
            </a:graphic>
          </wp:inline>
        </w:drawing>
      </w:r>
    </w:p>
    <w:p w14:paraId="60DDF651" w14:textId="77777777" w:rsidR="001C08A5" w:rsidRDefault="00000000">
      <w:pPr>
        <w:pStyle w:val="Caption"/>
        <w:jc w:val="center"/>
      </w:pPr>
      <w:bookmarkStart w:id="8439" w:name="_Toc142898586"/>
      <w:bookmarkStart w:id="8440" w:name="_Toc162360429"/>
      <w:bookmarkStart w:id="8441" w:name="_Toc14827"/>
      <w:bookmarkStart w:id="8442" w:name="_Toc22342"/>
      <w:bookmarkStart w:id="8443" w:name="_Toc6392"/>
      <w:r>
        <w:t xml:space="preserve">Figura </w:t>
      </w:r>
      <w:r>
        <w:fldChar w:fldCharType="begin"/>
      </w:r>
      <w:r>
        <w:instrText xml:space="preserve"> SEQ Figura \* ARABIC </w:instrText>
      </w:r>
      <w:r>
        <w:fldChar w:fldCharType="separate"/>
      </w:r>
      <w:r>
        <w:t>205</w:t>
      </w:r>
      <w:r>
        <w:fldChar w:fldCharType="end"/>
      </w:r>
      <w:bookmarkStart w:id="8444" w:name="_Toc24791"/>
      <w:bookmarkStart w:id="8445" w:name="_Toc12350"/>
      <w:bookmarkStart w:id="8446" w:name="_Toc10161"/>
      <w:bookmarkStart w:id="8447" w:name="_Toc27112"/>
      <w:bookmarkStart w:id="8448" w:name="_Toc28141"/>
      <w:bookmarkStart w:id="8449" w:name="_Toc1106"/>
      <w:bookmarkStart w:id="8450" w:name="_Toc15555"/>
      <w:bookmarkStart w:id="8451" w:name="_Toc3223"/>
      <w:bookmarkStart w:id="8452" w:name="_Toc31814"/>
      <w:r>
        <w:t xml:space="preserve"> - Circulații de evacuare - exemple</w:t>
      </w:r>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p>
    <w:p w14:paraId="3E3F7A10" w14:textId="77777777" w:rsidR="001C08A5" w:rsidRDefault="00000000">
      <w:pPr>
        <w:pStyle w:val="Heading4"/>
        <w:rPr>
          <w:sz w:val="24"/>
          <w:szCs w:val="24"/>
        </w:rPr>
      </w:pPr>
      <w:bookmarkStart w:id="8453" w:name="_Toc26485"/>
      <w:bookmarkStart w:id="8454" w:name="_Toc1400"/>
      <w:bookmarkStart w:id="8455" w:name="_Toc18600"/>
      <w:bookmarkStart w:id="8456" w:name="_Toc6345"/>
      <w:bookmarkStart w:id="8457" w:name="_Toc7763"/>
      <w:bookmarkStart w:id="8458" w:name="_Toc12942"/>
      <w:bookmarkStart w:id="8459" w:name="_Toc11079"/>
      <w:bookmarkStart w:id="8460" w:name="_Toc6313"/>
      <w:bookmarkStart w:id="8461" w:name="_Toc14065"/>
      <w:bookmarkStart w:id="8462" w:name="_Toc21525"/>
      <w:bookmarkStart w:id="8463" w:name="_Toc17718"/>
      <w:bookmarkStart w:id="8464" w:name="_Toc10130"/>
      <w:bookmarkStart w:id="8465" w:name="_Toc2060"/>
      <w:bookmarkStart w:id="8466" w:name="_Toc14955"/>
      <w:bookmarkStart w:id="8467" w:name="_Toc15247"/>
      <w:bookmarkStart w:id="8468" w:name="_Toc26038"/>
      <w:bookmarkStart w:id="8469" w:name="_Toc162355450"/>
      <w:r>
        <w:rPr>
          <w:sz w:val="24"/>
          <w:szCs w:val="24"/>
        </w:rPr>
        <w:t>Coridor înfundat</w:t>
      </w:r>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r>
        <w:rPr>
          <w:sz w:val="24"/>
          <w:szCs w:val="24"/>
        </w:rPr>
        <w:t xml:space="preserve"> </w:t>
      </w:r>
    </w:p>
    <w:p w14:paraId="243A7C39" w14:textId="77777777" w:rsidR="001C08A5" w:rsidRDefault="00000000">
      <w:pPr>
        <w:numPr>
          <w:ilvl w:val="0"/>
          <w:numId w:val="96"/>
        </w:numPr>
        <w:tabs>
          <w:tab w:val="left" w:pos="426"/>
          <w:tab w:val="left" w:pos="993"/>
        </w:tabs>
        <w:jc w:val="both"/>
        <w:rPr>
          <w:b/>
          <w:bCs/>
          <w:i/>
          <w:sz w:val="24"/>
        </w:rPr>
      </w:pPr>
      <w:r>
        <w:rPr>
          <w:bCs/>
          <w:i/>
          <w:sz w:val="24"/>
        </w:rPr>
        <w:t>Coridorul înfundat se referă la o situație dintr-o zonă de circulație comună/ coridor de evacuare, unde ieșirea spre scări (sau direct afară) este posibilă doar într-un capăt (către o singură direcție/ scară sau către o singură ieșire spre exterior), fără a se putea evacua spre celălalt capăt.</w:t>
      </w:r>
    </w:p>
    <w:p w14:paraId="72BC6A53" w14:textId="77777777" w:rsidR="001C08A5" w:rsidRDefault="00000000">
      <w:pPr>
        <w:pStyle w:val="Heading3"/>
        <w:rPr>
          <w:i/>
          <w:iCs/>
          <w:sz w:val="24"/>
          <w:szCs w:val="24"/>
        </w:rPr>
      </w:pPr>
      <w:bookmarkStart w:id="8470" w:name="_Toc20005"/>
      <w:bookmarkStart w:id="8471" w:name="_Toc13665"/>
      <w:bookmarkStart w:id="8472" w:name="_Toc10014"/>
      <w:bookmarkStart w:id="8473" w:name="_Toc21995"/>
      <w:bookmarkStart w:id="8474" w:name="_Toc162355451"/>
      <w:bookmarkStart w:id="8475" w:name="_Toc10535"/>
      <w:bookmarkStart w:id="8476" w:name="_Toc1104"/>
      <w:bookmarkStart w:id="8477" w:name="_Toc23171"/>
      <w:bookmarkStart w:id="8478" w:name="_Toc357"/>
      <w:bookmarkStart w:id="8479" w:name="_Toc5255"/>
      <w:bookmarkStart w:id="8480" w:name="_Toc21183"/>
      <w:bookmarkStart w:id="8481" w:name="_Toc24565"/>
      <w:bookmarkStart w:id="8482" w:name="_Toc28636"/>
      <w:bookmarkStart w:id="8483" w:name="_Toc2592"/>
      <w:bookmarkStart w:id="8484" w:name="_Toc25662"/>
      <w:bookmarkStart w:id="8485" w:name="_Toc20753"/>
      <w:bookmarkStart w:id="8486" w:name="_Toc26578"/>
      <w:r>
        <w:rPr>
          <w:i/>
          <w:iCs/>
          <w:sz w:val="24"/>
          <w:szCs w:val="24"/>
        </w:rPr>
        <w:t>ANEXA 5.4 - EVACUARE</w:t>
      </w:r>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p>
    <w:p w14:paraId="4147E744" w14:textId="77777777" w:rsidR="001C08A5" w:rsidRDefault="00000000">
      <w:pPr>
        <w:pStyle w:val="Heading4"/>
        <w:rPr>
          <w:sz w:val="24"/>
          <w:szCs w:val="24"/>
        </w:rPr>
      </w:pPr>
      <w:bookmarkStart w:id="8487" w:name="_Toc19430"/>
      <w:bookmarkStart w:id="8488" w:name="_Toc15120"/>
      <w:bookmarkStart w:id="8489" w:name="_Toc11126"/>
      <w:bookmarkStart w:id="8490" w:name="_Toc24147"/>
      <w:bookmarkStart w:id="8491" w:name="_Toc19045"/>
      <w:bookmarkStart w:id="8492" w:name="_Toc28947"/>
      <w:bookmarkStart w:id="8493" w:name="_Toc2255"/>
      <w:bookmarkStart w:id="8494" w:name="_Toc18329"/>
      <w:bookmarkStart w:id="8495" w:name="_Toc191"/>
      <w:bookmarkStart w:id="8496" w:name="_Toc21618"/>
      <w:bookmarkStart w:id="8497" w:name="_Toc31902"/>
      <w:bookmarkStart w:id="8498" w:name="_Toc1710"/>
      <w:bookmarkStart w:id="8499" w:name="_Toc32307"/>
      <w:bookmarkStart w:id="8500" w:name="_Toc162355452"/>
      <w:bookmarkStart w:id="8501" w:name="_Toc1361"/>
      <w:bookmarkStart w:id="8502" w:name="_Toc20528"/>
      <w:r>
        <w:rPr>
          <w:sz w:val="24"/>
          <w:szCs w:val="24"/>
        </w:rPr>
        <w:t>Generalități</w:t>
      </w:r>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p>
    <w:p w14:paraId="7E7FF1F1"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„Evacuare într-o singură direcție” se referă la o situație în care utilizatorii dintr-un spațiu au doar un singur traseu / o singură direcție, din punctul cel mai îndepărtat (sau de la ușa încăperii), până la o ieșire sau până la un punct de despărțire (conform prevederi), pentru a ajunge la mai multe ieșiri.</w:t>
      </w:r>
    </w:p>
    <w:p w14:paraId="0D71AD61" w14:textId="77777777" w:rsidR="001C08A5" w:rsidRDefault="001C08A5">
      <w:pPr>
        <w:numPr>
          <w:ilvl w:val="255"/>
          <w:numId w:val="0"/>
        </w:numPr>
        <w:tabs>
          <w:tab w:val="left" w:pos="426"/>
          <w:tab w:val="left" w:pos="993"/>
        </w:tabs>
        <w:jc w:val="both"/>
        <w:rPr>
          <w:rFonts w:eastAsia="Times New Roman"/>
          <w:b/>
          <w:i/>
          <w:sz w:val="24"/>
        </w:rPr>
      </w:pPr>
    </w:p>
    <w:p w14:paraId="5D151B68"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„Evacuare în două direcții” se referă la o situație în care utilizatorii dintr-un spațiu au posibilitatea de a alege două direcții dintr-un punct pentru a ajunge la două ieșiri diferite (uși direct în exterior, degajamente protejate, încăperi tampon ventilate în suprapresiune, scări).</w:t>
      </w:r>
    </w:p>
    <w:p w14:paraId="0DC95554" w14:textId="77777777" w:rsidR="001C08A5" w:rsidRDefault="001C08A5">
      <w:pPr>
        <w:numPr>
          <w:ilvl w:val="255"/>
          <w:numId w:val="0"/>
        </w:numPr>
        <w:tabs>
          <w:tab w:val="left" w:pos="426"/>
          <w:tab w:val="left" w:pos="993"/>
        </w:tabs>
        <w:jc w:val="both"/>
        <w:rPr>
          <w:rFonts w:eastAsia="Times New Roman"/>
          <w:b/>
          <w:i/>
          <w:sz w:val="24"/>
        </w:rPr>
      </w:pPr>
    </w:p>
    <w:p w14:paraId="7FDB243F" w14:textId="77777777" w:rsidR="001C08A5" w:rsidRDefault="00000000">
      <w:pPr>
        <w:numPr>
          <w:ilvl w:val="0"/>
          <w:numId w:val="96"/>
        </w:numPr>
        <w:tabs>
          <w:tab w:val="left" w:pos="426"/>
          <w:tab w:val="left" w:pos="993"/>
        </w:tabs>
        <w:jc w:val="both"/>
        <w:rPr>
          <w:b/>
          <w:i/>
          <w:sz w:val="24"/>
          <w:lang w:val="en-US" w:eastAsia="zh-CN" w:bidi="ar"/>
        </w:rPr>
      </w:pPr>
      <w:r>
        <w:rPr>
          <w:rFonts w:eastAsia="Times New Roman"/>
          <w:i/>
          <w:sz w:val="24"/>
        </w:rPr>
        <w:t>„Evacuare în multiple direcții” se referă la o situație în care utilizatorii dintr-un spațiu au posibilitatea de a alege multiple direcții dintr-un punct pentru a ajunge la ieșiri diferite (uși direct în exterior, scări, degajamente protejate, încăperi tampon ventilate în suprapresiune, etc.).</w:t>
      </w:r>
      <w:r>
        <w:rPr>
          <w:rFonts w:eastAsia="Times New Roman"/>
          <w:bCs/>
          <w:iCs/>
          <w:sz w:val="24"/>
        </w:rPr>
        <w:t xml:space="preserve"> </w:t>
      </w:r>
      <w:r>
        <w:rPr>
          <w:i/>
          <w:sz w:val="24"/>
          <w:lang w:eastAsia="zh-CN" w:bidi="ar"/>
        </w:rPr>
        <w:t>În acest caz se consideră</w:t>
      </w:r>
      <w:r>
        <w:rPr>
          <w:i/>
          <w:sz w:val="24"/>
          <w:lang w:val="en-GB" w:eastAsia="zh-CN" w:bidi="ar"/>
        </w:rPr>
        <w:t xml:space="preserve"> direc</w:t>
      </w:r>
      <w:r>
        <w:rPr>
          <w:i/>
          <w:sz w:val="24"/>
          <w:lang w:eastAsia="zh-CN" w:bidi="ar"/>
        </w:rPr>
        <w:t>ț</w:t>
      </w:r>
      <w:r>
        <w:rPr>
          <w:i/>
          <w:sz w:val="24"/>
          <w:lang w:val="en-GB" w:eastAsia="zh-CN" w:bidi="ar"/>
        </w:rPr>
        <w:t>ia cea mai scurt</w:t>
      </w:r>
      <w:r>
        <w:rPr>
          <w:i/>
          <w:sz w:val="24"/>
          <w:lang w:eastAsia="zh-CN" w:bidi="ar"/>
        </w:rPr>
        <w:t>ă (doar una dintre lungimile căii de evacuare trebuie să îndeplinească condițiile normate) atunci când evacuarea se face către mai multe direcții diferite, dintre care minimum două trebuie să fie opuse (într-un unghi de minimum 90</w:t>
      </w:r>
      <w:r>
        <w:rPr>
          <w:rFonts w:eastAsia="ArialMT"/>
          <w:i/>
          <w:sz w:val="24"/>
        </w:rPr>
        <w:t>°</w:t>
      </w:r>
      <w:r>
        <w:rPr>
          <w:i/>
          <w:sz w:val="24"/>
          <w:lang w:eastAsia="zh-CN" w:bidi="ar"/>
        </w:rPr>
        <w:t>)</w:t>
      </w:r>
      <w:r>
        <w:rPr>
          <w:i/>
          <w:sz w:val="24"/>
          <w:lang w:val="en-US" w:eastAsia="zh-CN" w:bidi="ar"/>
        </w:rPr>
        <w:t xml:space="preserve">, </w:t>
      </w:r>
      <w:r>
        <w:rPr>
          <w:i/>
          <w:sz w:val="24"/>
          <w:lang w:val="en-GB" w:eastAsia="zh-CN" w:bidi="ar"/>
        </w:rPr>
        <w:t xml:space="preserve">de la locul cel </w:t>
      </w:r>
      <w:r>
        <w:rPr>
          <w:i/>
          <w:sz w:val="24"/>
          <w:lang w:val="en-US" w:eastAsia="zh-CN" w:bidi="ar"/>
        </w:rPr>
        <w:t>mai</w:t>
      </w:r>
      <w:r>
        <w:rPr>
          <w:i/>
          <w:sz w:val="24"/>
          <w:lang w:val="en-GB" w:eastAsia="zh-CN" w:bidi="ar"/>
        </w:rPr>
        <w:t xml:space="preserve"> </w:t>
      </w:r>
      <w:r>
        <w:rPr>
          <w:i/>
          <w:sz w:val="24"/>
          <w:lang w:val="en-US" w:eastAsia="zh-CN" w:bidi="ar"/>
        </w:rPr>
        <w:t>îndepartat</w:t>
      </w:r>
      <w:r>
        <w:rPr>
          <w:i/>
          <w:sz w:val="24"/>
          <w:lang w:eastAsia="zh-CN" w:bidi="ar"/>
        </w:rPr>
        <w:t xml:space="preserve"> considerat,</w:t>
      </w:r>
      <w:r>
        <w:rPr>
          <w:i/>
          <w:sz w:val="24"/>
          <w:lang w:val="en-US" w:eastAsia="zh-CN" w:bidi="ar"/>
        </w:rPr>
        <w:t xml:space="preserve"> pâna la u</w:t>
      </w:r>
      <w:r>
        <w:rPr>
          <w:i/>
          <w:sz w:val="24"/>
          <w:lang w:eastAsia="zh-CN" w:bidi="ar"/>
        </w:rPr>
        <w:t>ș</w:t>
      </w:r>
      <w:r>
        <w:rPr>
          <w:i/>
          <w:sz w:val="24"/>
          <w:lang w:val="en-US" w:eastAsia="zh-CN" w:bidi="ar"/>
        </w:rPr>
        <w:t xml:space="preserve">a </w:t>
      </w:r>
      <w:r>
        <w:rPr>
          <w:i/>
          <w:sz w:val="24"/>
          <w:lang w:val="en-GB" w:eastAsia="zh-CN" w:bidi="ar"/>
        </w:rPr>
        <w:t>sc</w:t>
      </w:r>
      <w:r>
        <w:rPr>
          <w:i/>
          <w:sz w:val="24"/>
          <w:lang w:eastAsia="zh-CN" w:bidi="ar"/>
        </w:rPr>
        <w:t>ă</w:t>
      </w:r>
      <w:r>
        <w:rPr>
          <w:i/>
          <w:sz w:val="24"/>
          <w:lang w:val="en-GB" w:eastAsia="zh-CN" w:bidi="ar"/>
        </w:rPr>
        <w:t>rii,</w:t>
      </w:r>
      <w:r>
        <w:rPr>
          <w:i/>
          <w:sz w:val="24"/>
          <w:lang w:val="en-US" w:eastAsia="zh-CN" w:bidi="ar"/>
        </w:rPr>
        <w:t xml:space="preserve"> a</w:t>
      </w:r>
      <w:r>
        <w:rPr>
          <w:i/>
          <w:sz w:val="24"/>
          <w:lang w:val="en-GB" w:eastAsia="zh-CN" w:bidi="ar"/>
        </w:rPr>
        <w:t xml:space="preserve"> </w:t>
      </w:r>
      <w:r>
        <w:rPr>
          <w:i/>
          <w:sz w:val="24"/>
          <w:lang w:val="en-US" w:eastAsia="zh-CN" w:bidi="ar"/>
        </w:rPr>
        <w:t xml:space="preserve">degajamentului protejat </w:t>
      </w:r>
      <w:r>
        <w:rPr>
          <w:i/>
          <w:sz w:val="24"/>
          <w:lang w:val="en-GB" w:eastAsia="zh-CN" w:bidi="ar"/>
        </w:rPr>
        <w:t xml:space="preserve">sau a a </w:t>
      </w:r>
      <w:r>
        <w:rPr>
          <w:i/>
          <w:sz w:val="24"/>
          <w:lang w:val="en-US" w:eastAsia="zh-CN" w:bidi="ar"/>
        </w:rPr>
        <w:t>încaperii</w:t>
      </w:r>
      <w:r>
        <w:rPr>
          <w:i/>
          <w:sz w:val="24"/>
          <w:lang w:val="en-GB" w:eastAsia="zh-CN" w:bidi="ar"/>
        </w:rPr>
        <w:t xml:space="preserve"> </w:t>
      </w:r>
      <w:r>
        <w:rPr>
          <w:i/>
          <w:sz w:val="24"/>
          <w:lang w:val="en-US" w:eastAsia="zh-CN" w:bidi="ar"/>
        </w:rPr>
        <w:t xml:space="preserve">tampon </w:t>
      </w:r>
      <w:r>
        <w:rPr>
          <w:i/>
          <w:sz w:val="24"/>
          <w:lang w:eastAsia="zh-CN" w:bidi="ar"/>
        </w:rPr>
        <w:t xml:space="preserve">protejată </w:t>
      </w:r>
      <w:r>
        <w:rPr>
          <w:i/>
          <w:sz w:val="24"/>
          <w:lang w:val="en-US" w:eastAsia="zh-CN" w:bidi="ar"/>
        </w:rPr>
        <w:t xml:space="preserve">de acces la cea mai </w:t>
      </w:r>
      <w:r>
        <w:rPr>
          <w:i/>
          <w:sz w:val="24"/>
          <w:lang w:val="en-GB" w:eastAsia="zh-CN" w:bidi="ar"/>
        </w:rPr>
        <w:t xml:space="preserve"> </w:t>
      </w:r>
      <w:r>
        <w:rPr>
          <w:i/>
          <w:sz w:val="24"/>
          <w:lang w:val="en-US" w:eastAsia="zh-CN" w:bidi="ar"/>
        </w:rPr>
        <w:t>apropiat</w:t>
      </w:r>
      <w:r>
        <w:rPr>
          <w:i/>
          <w:sz w:val="24"/>
          <w:lang w:eastAsia="zh-CN" w:bidi="ar"/>
        </w:rPr>
        <w:t>ă</w:t>
      </w:r>
      <w:r>
        <w:rPr>
          <w:i/>
          <w:sz w:val="24"/>
          <w:lang w:val="en-US" w:eastAsia="zh-CN" w:bidi="ar"/>
        </w:rPr>
        <w:t xml:space="preserve"> scar</w:t>
      </w:r>
      <w:r>
        <w:rPr>
          <w:i/>
          <w:sz w:val="24"/>
          <w:lang w:eastAsia="zh-CN" w:bidi="ar"/>
        </w:rPr>
        <w:t>ă</w:t>
      </w:r>
      <w:r>
        <w:rPr>
          <w:i/>
          <w:sz w:val="24"/>
          <w:lang w:val="en-US" w:eastAsia="zh-CN" w:bidi="ar"/>
        </w:rPr>
        <w:t xml:space="preserve"> de evacuare ori o</w:t>
      </w:r>
      <w:r>
        <w:rPr>
          <w:i/>
          <w:sz w:val="24"/>
          <w:lang w:val="en-GB" w:eastAsia="zh-CN" w:bidi="ar"/>
        </w:rPr>
        <w:t xml:space="preserve"> la o</w:t>
      </w:r>
      <w:r>
        <w:rPr>
          <w:i/>
          <w:sz w:val="24"/>
          <w:lang w:val="en-US" w:eastAsia="zh-CN" w:bidi="ar"/>
        </w:rPr>
        <w:t xml:space="preserve"> u</w:t>
      </w:r>
      <w:r>
        <w:rPr>
          <w:i/>
          <w:sz w:val="24"/>
          <w:lang w:eastAsia="zh-CN" w:bidi="ar"/>
        </w:rPr>
        <w:t>șă/ ieșire</w:t>
      </w:r>
      <w:r>
        <w:rPr>
          <w:i/>
          <w:sz w:val="24"/>
          <w:lang w:val="en-US" w:eastAsia="zh-CN" w:bidi="ar"/>
        </w:rPr>
        <w:t xml:space="preserve"> direct în exterior.</w:t>
      </w:r>
    </w:p>
    <w:p w14:paraId="150A6F96" w14:textId="77777777" w:rsidR="001C08A5" w:rsidRDefault="001C08A5">
      <w:pPr>
        <w:numPr>
          <w:ilvl w:val="255"/>
          <w:numId w:val="0"/>
        </w:numPr>
        <w:tabs>
          <w:tab w:val="left" w:pos="426"/>
          <w:tab w:val="left" w:pos="993"/>
        </w:tabs>
        <w:jc w:val="both"/>
        <w:rPr>
          <w:b/>
          <w:i/>
          <w:sz w:val="24"/>
          <w:lang w:val="en-US" w:eastAsia="zh-CN" w:bidi="ar"/>
        </w:rPr>
      </w:pPr>
    </w:p>
    <w:p w14:paraId="4C679A25" w14:textId="77777777" w:rsidR="001C08A5" w:rsidRDefault="00000000">
      <w:pPr>
        <w:numPr>
          <w:ilvl w:val="0"/>
          <w:numId w:val="96"/>
        </w:numPr>
        <w:tabs>
          <w:tab w:val="left" w:pos="426"/>
          <w:tab w:val="left" w:pos="993"/>
        </w:tabs>
        <w:jc w:val="both"/>
        <w:rPr>
          <w:bCs/>
          <w:i/>
          <w:sz w:val="24"/>
          <w:lang w:val="en-US" w:eastAsia="zh-CN" w:bidi="ar"/>
        </w:rPr>
      </w:pPr>
      <w:r>
        <w:rPr>
          <w:i/>
          <w:sz w:val="24"/>
          <w:lang w:eastAsia="zh-CN" w:bidi="ar"/>
        </w:rPr>
        <w:t xml:space="preserve">Evacuarea dintr-un compartiment de incendiu </w:t>
      </w:r>
      <w:r>
        <w:rPr>
          <w:bCs/>
          <w:i/>
          <w:sz w:val="24"/>
          <w:lang w:val="en-US" w:eastAsia="zh-CN" w:bidi="ar"/>
        </w:rPr>
        <w:t xml:space="preserve">prin spaţii </w:t>
      </w:r>
      <w:r>
        <w:rPr>
          <w:bCs/>
          <w:i/>
          <w:sz w:val="24"/>
          <w:lang w:eastAsia="zh-CN" w:bidi="ar"/>
        </w:rPr>
        <w:t>aparținând unui alt compartiment de incendiu se</w:t>
      </w:r>
      <w:r>
        <w:rPr>
          <w:bCs/>
          <w:i/>
          <w:sz w:val="24"/>
          <w:lang w:val="en-US" w:eastAsia="zh-CN" w:bidi="ar"/>
        </w:rPr>
        <w:t xml:space="preserve"> poate face numai dacă circulaţia nu poate fi blocată datorită flăcărilor sau a fumului.</w:t>
      </w:r>
    </w:p>
    <w:p w14:paraId="3D915050" w14:textId="77777777" w:rsidR="001C08A5" w:rsidRDefault="001C08A5">
      <w:pPr>
        <w:numPr>
          <w:ilvl w:val="255"/>
          <w:numId w:val="0"/>
        </w:numPr>
        <w:tabs>
          <w:tab w:val="left" w:pos="426"/>
          <w:tab w:val="left" w:pos="993"/>
        </w:tabs>
        <w:jc w:val="both"/>
        <w:rPr>
          <w:b/>
          <w:i/>
          <w:sz w:val="24"/>
          <w:lang w:val="en-US" w:eastAsia="zh-CN" w:bidi="ar"/>
        </w:rPr>
      </w:pPr>
    </w:p>
    <w:p w14:paraId="0AC2E2DC" w14:textId="77777777" w:rsidR="001C08A5" w:rsidRDefault="00000000">
      <w:pPr>
        <w:numPr>
          <w:ilvl w:val="0"/>
          <w:numId w:val="96"/>
        </w:numPr>
        <w:tabs>
          <w:tab w:val="left" w:pos="426"/>
          <w:tab w:val="left" w:pos="993"/>
        </w:tabs>
        <w:jc w:val="both"/>
        <w:rPr>
          <w:bCs/>
          <w:i/>
          <w:sz w:val="24"/>
          <w:lang w:val="en-US" w:eastAsia="zh-CN" w:bidi="ar"/>
        </w:rPr>
      </w:pPr>
      <w:r>
        <w:rPr>
          <w:bCs/>
          <w:i/>
          <w:sz w:val="24"/>
          <w:lang w:val="en-US" w:eastAsia="zh-CN" w:bidi="ar"/>
        </w:rPr>
        <w:t>În construcţii, compartimente de incendiu sau porţiuni de construcţii independente din</w:t>
      </w:r>
      <w:r>
        <w:rPr>
          <w:bCs/>
          <w:i/>
          <w:sz w:val="24"/>
          <w:lang w:eastAsia="zh-CN" w:bidi="ar"/>
        </w:rPr>
        <w:t xml:space="preserve"> </w:t>
      </w:r>
      <w:r>
        <w:rPr>
          <w:bCs/>
          <w:i/>
          <w:sz w:val="24"/>
          <w:lang w:val="en-US" w:eastAsia="zh-CN" w:bidi="ar"/>
        </w:rPr>
        <w:t xml:space="preserve">punctul de vedere al circulaţiei, de regulă, persoanele trebuie să aibă acces la cel puţin </w:t>
      </w:r>
      <w:r>
        <w:rPr>
          <w:bCs/>
          <w:i/>
          <w:sz w:val="24"/>
          <w:lang w:eastAsia="zh-CN" w:bidi="ar"/>
        </w:rPr>
        <w:t xml:space="preserve">o cale de evacuare, </w:t>
      </w:r>
      <w:r>
        <w:rPr>
          <w:bCs/>
          <w:i/>
          <w:sz w:val="24"/>
          <w:lang w:eastAsia="zh-CN" w:bidi="ar"/>
        </w:rPr>
        <w:lastRenderedPageBreak/>
        <w:t>cea de-a doua cale de evacuare (atunci când aceasta este obligatorie) trebuie să ducă</w:t>
      </w:r>
      <w:r>
        <w:rPr>
          <w:bCs/>
          <w:i/>
          <w:sz w:val="24"/>
          <w:lang w:val="en-US" w:eastAsia="zh-CN" w:bidi="ar"/>
        </w:rPr>
        <w:t>, pe cât posibil, în direcţii opuse</w:t>
      </w:r>
      <w:r>
        <w:rPr>
          <w:bCs/>
          <w:i/>
          <w:sz w:val="24"/>
          <w:lang w:eastAsia="zh-CN" w:bidi="ar"/>
        </w:rPr>
        <w:t xml:space="preserve"> și poatte aparține unui alt compartiment de incendiu</w:t>
      </w:r>
      <w:r>
        <w:rPr>
          <w:bCs/>
          <w:i/>
          <w:sz w:val="24"/>
          <w:lang w:val="en-US" w:eastAsia="zh-CN" w:bidi="ar"/>
        </w:rPr>
        <w:t>.</w:t>
      </w:r>
    </w:p>
    <w:p w14:paraId="7185C492" w14:textId="77777777" w:rsidR="001C08A5" w:rsidRDefault="001C08A5">
      <w:pPr>
        <w:numPr>
          <w:ilvl w:val="255"/>
          <w:numId w:val="0"/>
        </w:numPr>
        <w:tabs>
          <w:tab w:val="left" w:pos="426"/>
          <w:tab w:val="left" w:pos="993"/>
        </w:tabs>
        <w:jc w:val="both"/>
        <w:rPr>
          <w:bCs/>
          <w:i/>
          <w:sz w:val="24"/>
          <w:lang w:val="en-US" w:eastAsia="zh-CN" w:bidi="ar"/>
        </w:rPr>
      </w:pPr>
    </w:p>
    <w:p w14:paraId="33D30D26" w14:textId="77777777" w:rsidR="001C08A5" w:rsidRDefault="00000000">
      <w:pPr>
        <w:numPr>
          <w:ilvl w:val="0"/>
          <w:numId w:val="96"/>
        </w:numPr>
        <w:tabs>
          <w:tab w:val="left" w:pos="426"/>
          <w:tab w:val="left" w:pos="993"/>
        </w:tabs>
        <w:jc w:val="both"/>
        <w:rPr>
          <w:bCs/>
          <w:i/>
          <w:sz w:val="24"/>
          <w:lang w:val="en-US" w:eastAsia="zh-CN" w:bidi="ar"/>
        </w:rPr>
      </w:pPr>
      <w:r>
        <w:rPr>
          <w:bCs/>
          <w:i/>
          <w:sz w:val="24"/>
          <w:lang w:val="en-US" w:eastAsia="zh-CN" w:bidi="ar"/>
        </w:rPr>
        <w:t>Căile de evacuare, nu trebuie să conducă spre exterior prin locuri în care circulaţia poate</w:t>
      </w:r>
      <w:r>
        <w:rPr>
          <w:bCs/>
          <w:i/>
          <w:sz w:val="24"/>
          <w:lang w:eastAsia="zh-CN" w:bidi="ar"/>
        </w:rPr>
        <w:t xml:space="preserve"> </w:t>
      </w:r>
      <w:r>
        <w:rPr>
          <w:bCs/>
          <w:i/>
          <w:sz w:val="24"/>
          <w:lang w:val="en-US" w:eastAsia="zh-CN" w:bidi="ar"/>
        </w:rPr>
        <w:t>fi blocată în caz de incendiu datorită flăcărilor, fumului, radiaţiilor termice, etc.</w:t>
      </w:r>
    </w:p>
    <w:p w14:paraId="42AC4B3D" w14:textId="77777777" w:rsidR="001C08A5" w:rsidRDefault="001C08A5">
      <w:pPr>
        <w:numPr>
          <w:ilvl w:val="255"/>
          <w:numId w:val="0"/>
        </w:numPr>
        <w:tabs>
          <w:tab w:val="left" w:pos="426"/>
          <w:tab w:val="left" w:pos="993"/>
        </w:tabs>
        <w:jc w:val="both"/>
        <w:rPr>
          <w:bCs/>
          <w:i/>
          <w:sz w:val="24"/>
          <w:lang w:val="en-US" w:eastAsia="zh-CN" w:bidi="ar"/>
        </w:rPr>
      </w:pPr>
    </w:p>
    <w:p w14:paraId="66CF343B" w14:textId="77777777" w:rsidR="001C08A5" w:rsidRDefault="001C08A5">
      <w:pPr>
        <w:numPr>
          <w:ilvl w:val="255"/>
          <w:numId w:val="0"/>
        </w:numPr>
        <w:tabs>
          <w:tab w:val="left" w:pos="426"/>
          <w:tab w:val="left" w:pos="993"/>
        </w:tabs>
        <w:jc w:val="both"/>
        <w:rPr>
          <w:bCs/>
          <w:i/>
          <w:sz w:val="24"/>
          <w:lang w:val="en-US" w:eastAsia="zh-CN" w:bidi="ar"/>
        </w:rPr>
      </w:pPr>
    </w:p>
    <w:p w14:paraId="3613A9CE"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78E08FE2" wp14:editId="59FCBB0D">
            <wp:extent cx="6029325" cy="2800985"/>
            <wp:effectExtent l="0" t="0" r="9525" b="18415"/>
            <wp:docPr id="3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8"/>
                    <pic:cNvPicPr>
                      <a:picLocks noChangeAspect="1"/>
                    </pic:cNvPicPr>
                  </pic:nvPicPr>
                  <pic:blipFill>
                    <a:blip r:embed="rId398"/>
                    <a:srcRect l="12669" t="6108" r="7454" b="42277"/>
                    <a:stretch>
                      <a:fillRect/>
                    </a:stretch>
                  </pic:blipFill>
                  <pic:spPr>
                    <a:xfrm>
                      <a:off x="0" y="0"/>
                      <a:ext cx="6029325" cy="2800985"/>
                    </a:xfrm>
                    <a:prstGeom prst="rect">
                      <a:avLst/>
                    </a:prstGeom>
                    <a:noFill/>
                    <a:ln>
                      <a:noFill/>
                    </a:ln>
                  </pic:spPr>
                </pic:pic>
              </a:graphicData>
            </a:graphic>
          </wp:inline>
        </w:drawing>
      </w:r>
    </w:p>
    <w:p w14:paraId="2B660CAB"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Varianta a.1)</w:t>
      </w:r>
    </w:p>
    <w:p w14:paraId="0500C4E1"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4FA0B591" wp14:editId="63625F54">
            <wp:extent cx="6010275" cy="2416810"/>
            <wp:effectExtent l="0" t="0" r="9525" b="2540"/>
            <wp:docPr id="2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9"/>
                    <pic:cNvPicPr>
                      <a:picLocks noChangeAspect="1"/>
                    </pic:cNvPicPr>
                  </pic:nvPicPr>
                  <pic:blipFill>
                    <a:blip r:embed="rId399"/>
                    <a:srcRect l="12795" t="18652" r="7580" b="36813"/>
                    <a:stretch>
                      <a:fillRect/>
                    </a:stretch>
                  </pic:blipFill>
                  <pic:spPr>
                    <a:xfrm>
                      <a:off x="0" y="0"/>
                      <a:ext cx="6010275" cy="2416810"/>
                    </a:xfrm>
                    <a:prstGeom prst="rect">
                      <a:avLst/>
                    </a:prstGeom>
                    <a:noFill/>
                    <a:ln>
                      <a:noFill/>
                    </a:ln>
                  </pic:spPr>
                </pic:pic>
              </a:graphicData>
            </a:graphic>
          </wp:inline>
        </w:drawing>
      </w:r>
    </w:p>
    <w:p w14:paraId="098DAD87"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a.2)</w:t>
      </w:r>
    </w:p>
    <w:p w14:paraId="1B46D9F4"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4FF009AF" wp14:editId="46B05531">
            <wp:extent cx="6019800" cy="2407285"/>
            <wp:effectExtent l="0" t="0" r="0" b="12065"/>
            <wp:docPr id="3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10"/>
                    <pic:cNvPicPr>
                      <a:picLocks noChangeAspect="1"/>
                    </pic:cNvPicPr>
                  </pic:nvPicPr>
                  <pic:blipFill>
                    <a:blip r:embed="rId400"/>
                    <a:srcRect l="12669" t="41399" r="7580" b="14241"/>
                    <a:stretch>
                      <a:fillRect/>
                    </a:stretch>
                  </pic:blipFill>
                  <pic:spPr>
                    <a:xfrm>
                      <a:off x="0" y="0"/>
                      <a:ext cx="6019800" cy="2407285"/>
                    </a:xfrm>
                    <a:prstGeom prst="rect">
                      <a:avLst/>
                    </a:prstGeom>
                    <a:noFill/>
                    <a:ln>
                      <a:noFill/>
                    </a:ln>
                  </pic:spPr>
                </pic:pic>
              </a:graphicData>
            </a:graphic>
          </wp:inline>
        </w:drawing>
      </w:r>
    </w:p>
    <w:p w14:paraId="08242B2E"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a.3)</w:t>
      </w:r>
    </w:p>
    <w:p w14:paraId="6E992666"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75C111BD" wp14:editId="0AD270CE">
            <wp:extent cx="6010275" cy="2785745"/>
            <wp:effectExtent l="0" t="0" r="9525" b="14605"/>
            <wp:docPr id="3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11"/>
                    <pic:cNvPicPr>
                      <a:picLocks noChangeAspect="1"/>
                    </pic:cNvPicPr>
                  </pic:nvPicPr>
                  <pic:blipFill>
                    <a:blip r:embed="rId401"/>
                    <a:srcRect l="12795" t="11397" r="7580" b="37269"/>
                    <a:stretch>
                      <a:fillRect/>
                    </a:stretch>
                  </pic:blipFill>
                  <pic:spPr>
                    <a:xfrm>
                      <a:off x="0" y="0"/>
                      <a:ext cx="6010275" cy="2785745"/>
                    </a:xfrm>
                    <a:prstGeom prst="rect">
                      <a:avLst/>
                    </a:prstGeom>
                    <a:noFill/>
                    <a:ln>
                      <a:noFill/>
                    </a:ln>
                  </pic:spPr>
                </pic:pic>
              </a:graphicData>
            </a:graphic>
          </wp:inline>
        </w:drawing>
      </w:r>
    </w:p>
    <w:p w14:paraId="04631B15"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a.4)</w:t>
      </w:r>
    </w:p>
    <w:p w14:paraId="6912AA33"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463E4D1A" wp14:editId="5F20B61C">
            <wp:extent cx="6019800" cy="2417445"/>
            <wp:effectExtent l="0" t="0" r="0" b="1905"/>
            <wp:docPr id="3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12"/>
                    <pic:cNvPicPr>
                      <a:picLocks noChangeAspect="1"/>
                    </pic:cNvPicPr>
                  </pic:nvPicPr>
                  <pic:blipFill>
                    <a:blip r:embed="rId402"/>
                    <a:srcRect l="12669" t="23871" r="7580" b="31582"/>
                    <a:stretch>
                      <a:fillRect/>
                    </a:stretch>
                  </pic:blipFill>
                  <pic:spPr>
                    <a:xfrm>
                      <a:off x="0" y="0"/>
                      <a:ext cx="6019800" cy="2417445"/>
                    </a:xfrm>
                    <a:prstGeom prst="rect">
                      <a:avLst/>
                    </a:prstGeom>
                    <a:noFill/>
                    <a:ln>
                      <a:noFill/>
                    </a:ln>
                  </pic:spPr>
                </pic:pic>
              </a:graphicData>
            </a:graphic>
          </wp:inline>
        </w:drawing>
      </w:r>
    </w:p>
    <w:p w14:paraId="0C1861DD"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a.5)</w:t>
      </w:r>
    </w:p>
    <w:p w14:paraId="1E6F0E04"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04F73DF2" wp14:editId="1C10245D">
            <wp:extent cx="6010275" cy="2369185"/>
            <wp:effectExtent l="0" t="0" r="9525" b="12065"/>
            <wp:docPr id="3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13"/>
                    <pic:cNvPicPr>
                      <a:picLocks noChangeAspect="1"/>
                    </pic:cNvPicPr>
                  </pic:nvPicPr>
                  <pic:blipFill>
                    <a:blip r:embed="rId403"/>
                    <a:srcRect l="12795" t="46969" r="7580" b="9373"/>
                    <a:stretch>
                      <a:fillRect/>
                    </a:stretch>
                  </pic:blipFill>
                  <pic:spPr>
                    <a:xfrm>
                      <a:off x="0" y="0"/>
                      <a:ext cx="6010275" cy="2369185"/>
                    </a:xfrm>
                    <a:prstGeom prst="rect">
                      <a:avLst/>
                    </a:prstGeom>
                    <a:noFill/>
                    <a:ln>
                      <a:noFill/>
                    </a:ln>
                  </pic:spPr>
                </pic:pic>
              </a:graphicData>
            </a:graphic>
          </wp:inline>
        </w:drawing>
      </w:r>
    </w:p>
    <w:p w14:paraId="257961CF"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a.6)</w:t>
      </w:r>
    </w:p>
    <w:p w14:paraId="3CA9F813"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324FC726" wp14:editId="3997BB98">
            <wp:extent cx="6019800" cy="2802255"/>
            <wp:effectExtent l="0" t="0" r="0" b="17145"/>
            <wp:docPr id="3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14"/>
                    <pic:cNvPicPr>
                      <a:picLocks noChangeAspect="1"/>
                    </pic:cNvPicPr>
                  </pic:nvPicPr>
                  <pic:blipFill>
                    <a:blip r:embed="rId404"/>
                    <a:srcRect l="12795" t="11350" r="7454" b="37011"/>
                    <a:stretch>
                      <a:fillRect/>
                    </a:stretch>
                  </pic:blipFill>
                  <pic:spPr>
                    <a:xfrm>
                      <a:off x="0" y="0"/>
                      <a:ext cx="6019800" cy="2802255"/>
                    </a:xfrm>
                    <a:prstGeom prst="rect">
                      <a:avLst/>
                    </a:prstGeom>
                    <a:noFill/>
                    <a:ln>
                      <a:noFill/>
                    </a:ln>
                  </pic:spPr>
                </pic:pic>
              </a:graphicData>
            </a:graphic>
          </wp:inline>
        </w:drawing>
      </w:r>
    </w:p>
    <w:p w14:paraId="5F9EBB61"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a.7)</w:t>
      </w:r>
    </w:p>
    <w:p w14:paraId="67876734"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0D04984E" wp14:editId="045392E6">
            <wp:extent cx="6010275" cy="2426335"/>
            <wp:effectExtent l="0" t="0" r="9525" b="12065"/>
            <wp:docPr id="3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15"/>
                    <pic:cNvPicPr>
                      <a:picLocks noChangeAspect="1"/>
                    </pic:cNvPicPr>
                  </pic:nvPicPr>
                  <pic:blipFill>
                    <a:blip r:embed="rId405"/>
                    <a:srcRect l="12795" t="39890" r="7580" b="15399"/>
                    <a:stretch>
                      <a:fillRect/>
                    </a:stretch>
                  </pic:blipFill>
                  <pic:spPr>
                    <a:xfrm>
                      <a:off x="0" y="0"/>
                      <a:ext cx="6010275" cy="2426335"/>
                    </a:xfrm>
                    <a:prstGeom prst="rect">
                      <a:avLst/>
                    </a:prstGeom>
                    <a:noFill/>
                    <a:ln>
                      <a:noFill/>
                    </a:ln>
                  </pic:spPr>
                </pic:pic>
              </a:graphicData>
            </a:graphic>
          </wp:inline>
        </w:drawing>
      </w:r>
    </w:p>
    <w:p w14:paraId="508F3678"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a.8)</w:t>
      </w:r>
    </w:p>
    <w:p w14:paraId="212967BF"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15373BA1" wp14:editId="02F73A34">
            <wp:extent cx="6010275" cy="2390775"/>
            <wp:effectExtent l="0" t="0" r="9525" b="9525"/>
            <wp:docPr id="1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6"/>
                    <pic:cNvPicPr>
                      <a:picLocks noChangeAspect="1"/>
                    </pic:cNvPicPr>
                  </pic:nvPicPr>
                  <pic:blipFill>
                    <a:blip r:embed="rId406"/>
                    <a:srcRect l="12795" t="36391" r="7580" b="19553"/>
                    <a:stretch>
                      <a:fillRect/>
                    </a:stretch>
                  </pic:blipFill>
                  <pic:spPr>
                    <a:xfrm>
                      <a:off x="0" y="0"/>
                      <a:ext cx="6010275" cy="2390775"/>
                    </a:xfrm>
                    <a:prstGeom prst="rect">
                      <a:avLst/>
                    </a:prstGeom>
                    <a:noFill/>
                    <a:ln>
                      <a:noFill/>
                    </a:ln>
                  </pic:spPr>
                </pic:pic>
              </a:graphicData>
            </a:graphic>
          </wp:inline>
        </w:drawing>
      </w:r>
    </w:p>
    <w:p w14:paraId="4C7DCF2C"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a.9)</w:t>
      </w:r>
    </w:p>
    <w:p w14:paraId="11819B16"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61807E88" wp14:editId="1983169B">
            <wp:extent cx="6029325" cy="2783205"/>
            <wp:effectExtent l="0" t="0" r="9525" b="17145"/>
            <wp:docPr id="1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7"/>
                    <pic:cNvPicPr>
                      <a:picLocks noChangeAspect="1"/>
                    </pic:cNvPicPr>
                  </pic:nvPicPr>
                  <pic:blipFill>
                    <a:blip r:embed="rId407"/>
                    <a:srcRect l="12543" t="11655" r="7580" b="37058"/>
                    <a:stretch>
                      <a:fillRect/>
                    </a:stretch>
                  </pic:blipFill>
                  <pic:spPr>
                    <a:xfrm>
                      <a:off x="0" y="0"/>
                      <a:ext cx="6029325" cy="2783205"/>
                    </a:xfrm>
                    <a:prstGeom prst="rect">
                      <a:avLst/>
                    </a:prstGeom>
                    <a:noFill/>
                    <a:ln>
                      <a:noFill/>
                    </a:ln>
                  </pic:spPr>
                </pic:pic>
              </a:graphicData>
            </a:graphic>
          </wp:inline>
        </w:drawing>
      </w:r>
    </w:p>
    <w:p w14:paraId="34275523"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a.10)</w:t>
      </w:r>
    </w:p>
    <w:p w14:paraId="63F9F7C1"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5506F1B4" wp14:editId="0673657A">
            <wp:extent cx="6019800" cy="2412365"/>
            <wp:effectExtent l="0" t="0" r="0" b="6985"/>
            <wp:docPr id="1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8"/>
                    <pic:cNvPicPr>
                      <a:picLocks noChangeAspect="1"/>
                    </pic:cNvPicPr>
                  </pic:nvPicPr>
                  <pic:blipFill>
                    <a:blip r:embed="rId408"/>
                    <a:srcRect l="12795" t="34788" r="7454" b="20758"/>
                    <a:stretch>
                      <a:fillRect/>
                    </a:stretch>
                  </pic:blipFill>
                  <pic:spPr>
                    <a:xfrm>
                      <a:off x="0" y="0"/>
                      <a:ext cx="6019800" cy="2412365"/>
                    </a:xfrm>
                    <a:prstGeom prst="rect">
                      <a:avLst/>
                    </a:prstGeom>
                    <a:noFill/>
                    <a:ln>
                      <a:noFill/>
                    </a:ln>
                  </pic:spPr>
                </pic:pic>
              </a:graphicData>
            </a:graphic>
          </wp:inline>
        </w:drawing>
      </w:r>
    </w:p>
    <w:p w14:paraId="07A2915E"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a.11)</w:t>
      </w:r>
    </w:p>
    <w:p w14:paraId="02AF65FF"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1408C00E" wp14:editId="2EBC9E8C">
            <wp:extent cx="6010275" cy="2404745"/>
            <wp:effectExtent l="0" t="0" r="9525" b="14605"/>
            <wp:docPr id="1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9"/>
                    <pic:cNvPicPr>
                      <a:picLocks noChangeAspect="1"/>
                    </pic:cNvPicPr>
                  </pic:nvPicPr>
                  <pic:blipFill>
                    <a:blip r:embed="rId409"/>
                    <a:srcRect l="12795" t="41481" r="7580" b="14205"/>
                    <a:stretch>
                      <a:fillRect/>
                    </a:stretch>
                  </pic:blipFill>
                  <pic:spPr>
                    <a:xfrm>
                      <a:off x="0" y="0"/>
                      <a:ext cx="6010275" cy="2404745"/>
                    </a:xfrm>
                    <a:prstGeom prst="rect">
                      <a:avLst/>
                    </a:prstGeom>
                    <a:noFill/>
                    <a:ln>
                      <a:noFill/>
                    </a:ln>
                  </pic:spPr>
                </pic:pic>
              </a:graphicData>
            </a:graphic>
          </wp:inline>
        </w:drawing>
      </w:r>
    </w:p>
    <w:p w14:paraId="1DE88682"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Varianta a.12)</w:t>
      </w:r>
    </w:p>
    <w:p w14:paraId="7C7CFCC5"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 xml:space="preserve">Varianta a) - EVACUARE ÎNTR-UN SENS </w:t>
      </w:r>
    </w:p>
    <w:p w14:paraId="61FA16B6" w14:textId="77777777" w:rsidR="001C08A5" w:rsidRDefault="00000000">
      <w:pPr>
        <w:pStyle w:val="BodyText"/>
        <w:rPr>
          <w:b w:val="0"/>
          <w:bCs w:val="0"/>
          <w:iCs/>
          <w:sz w:val="22"/>
          <w:szCs w:val="22"/>
        </w:rPr>
      </w:pPr>
      <w:r>
        <w:rPr>
          <w:b w:val="0"/>
          <w:bCs w:val="0"/>
          <w:sz w:val="22"/>
          <w:szCs w:val="22"/>
        </w:rPr>
        <w:t>Note Figura 206 varianta a)</w:t>
      </w:r>
      <w:r>
        <w:rPr>
          <w:sz w:val="22"/>
          <w:szCs w:val="22"/>
        </w:rPr>
        <w:t xml:space="preserve">: </w:t>
      </w:r>
      <w:r>
        <w:rPr>
          <w:b w:val="0"/>
          <w:bCs w:val="0"/>
          <w:iCs/>
          <w:sz w:val="22"/>
          <w:szCs w:val="22"/>
          <w:lang w:eastAsia="en-US"/>
        </w:rPr>
        <w:t xml:space="preserve">Evacuarea se realizează din Compartimentul 1 de incendiu din stânga imaginilor în Compartimentul 2 de incendiu din dreapta imaginilor (prin încăperi tampon ventilate în suprapresiune aparținând Compartimentului 2 de incendiu) sau prin cursive (coridor exterior). </w:t>
      </w:r>
      <w:r>
        <w:rPr>
          <w:b w:val="0"/>
          <w:bCs w:val="0"/>
          <w:iCs/>
          <w:sz w:val="22"/>
          <w:szCs w:val="22"/>
        </w:rPr>
        <w:t xml:space="preserve">Circulațiile comune orizontale din compartimentul de incendiu către care se realizează evacuarea (din </w:t>
      </w:r>
      <w:r>
        <w:rPr>
          <w:b w:val="0"/>
          <w:bCs w:val="0"/>
          <w:iCs/>
          <w:sz w:val="22"/>
          <w:szCs w:val="22"/>
          <w:lang w:eastAsia="en-US"/>
        </w:rPr>
        <w:t>Compartimentul 2 de incendiu din dreapta imaginilor</w:t>
      </w:r>
      <w:r>
        <w:rPr>
          <w:b w:val="0"/>
          <w:bCs w:val="0"/>
          <w:iCs/>
          <w:sz w:val="22"/>
          <w:szCs w:val="22"/>
        </w:rPr>
        <w:t xml:space="preserve">) se prevăd cu SPD sau sisteme de evacuare a fumului și a gazelor fierbinți </w:t>
      </w:r>
      <w:r>
        <w:rPr>
          <w:b w:val="0"/>
          <w:bCs w:val="0"/>
          <w:iCs/>
          <w:sz w:val="22"/>
          <w:szCs w:val="22"/>
          <w:lang w:eastAsia="en-US"/>
        </w:rPr>
        <w:t>(din considerente de evacuare dintr-un compartiment de incendiu în altul)</w:t>
      </w:r>
      <w:r>
        <w:rPr>
          <w:b w:val="0"/>
          <w:bCs w:val="0"/>
          <w:iCs/>
          <w:sz w:val="22"/>
          <w:szCs w:val="22"/>
        </w:rPr>
        <w:t xml:space="preserve">. Atunci când evacuarea se </w:t>
      </w:r>
      <w:r>
        <w:rPr>
          <w:b w:val="0"/>
          <w:bCs w:val="0"/>
          <w:iCs/>
          <w:sz w:val="22"/>
          <w:szCs w:val="22"/>
        </w:rPr>
        <w:lastRenderedPageBreak/>
        <w:t xml:space="preserve">realizează prin încăperi tampon, se prevăd SPD în încăperile tampon precum și pe circulațiile comune orizontale din compartimentul de incendiu către care se realizează evacuarea. Se admite neprevederea SPD pe circulațiile comune orizontale din compartimentul de incendiu către care se realizează evacuarea atunci când evacuarea se realizează printr-o cursivă exterioară, justificându-se această neprevedere. </w:t>
      </w:r>
    </w:p>
    <w:p w14:paraId="52463BC7" w14:textId="77777777" w:rsidR="001C08A5" w:rsidRDefault="001C08A5">
      <w:pPr>
        <w:autoSpaceDE w:val="0"/>
        <w:autoSpaceDN w:val="0"/>
        <w:adjustRightInd w:val="0"/>
        <w:jc w:val="both"/>
        <w:rPr>
          <w:i/>
          <w:iCs/>
          <w:sz w:val="22"/>
          <w:szCs w:val="22"/>
          <w:lang w:eastAsia="en-US"/>
        </w:rPr>
      </w:pPr>
    </w:p>
    <w:p w14:paraId="6B701E34" w14:textId="77777777" w:rsidR="001C08A5" w:rsidRDefault="00000000">
      <w:pPr>
        <w:numPr>
          <w:ilvl w:val="255"/>
          <w:numId w:val="0"/>
        </w:numPr>
        <w:tabs>
          <w:tab w:val="left" w:pos="426"/>
          <w:tab w:val="left" w:pos="993"/>
        </w:tabs>
        <w:jc w:val="center"/>
        <w:rPr>
          <w:bCs/>
          <w:i/>
          <w:sz w:val="24"/>
        </w:rPr>
      </w:pPr>
      <w:r>
        <w:rPr>
          <w:bCs/>
          <w:i/>
          <w:noProof/>
          <w:sz w:val="24"/>
        </w:rPr>
        <w:drawing>
          <wp:inline distT="0" distB="0" distL="114300" distR="114300" wp14:anchorId="151B22F3" wp14:editId="4D187FB2">
            <wp:extent cx="6076950" cy="4556125"/>
            <wp:effectExtent l="0" t="0" r="0" b="15875"/>
            <wp:docPr id="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6"/>
                    <pic:cNvPicPr>
                      <a:picLocks noChangeAspect="1"/>
                    </pic:cNvPicPr>
                  </pic:nvPicPr>
                  <pic:blipFill>
                    <a:blip r:embed="rId410"/>
                    <a:srcRect l="12281" t="2039" r="7271" b="3565"/>
                    <a:stretch>
                      <a:fillRect/>
                    </a:stretch>
                  </pic:blipFill>
                  <pic:spPr>
                    <a:xfrm>
                      <a:off x="0" y="0"/>
                      <a:ext cx="6076950" cy="4556125"/>
                    </a:xfrm>
                    <a:prstGeom prst="rect">
                      <a:avLst/>
                    </a:prstGeom>
                    <a:noFill/>
                    <a:ln>
                      <a:noFill/>
                    </a:ln>
                  </pic:spPr>
                </pic:pic>
              </a:graphicData>
            </a:graphic>
          </wp:inline>
        </w:drawing>
      </w:r>
    </w:p>
    <w:p w14:paraId="474393B9"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 xml:space="preserve">Varianta b) - EVACUARE DINTR-UN COMPARTIMENT DE INCENDIU ÎN ALTUL </w:t>
      </w:r>
    </w:p>
    <w:p w14:paraId="0686EA2A" w14:textId="77777777" w:rsidR="001C08A5" w:rsidRDefault="00000000">
      <w:pPr>
        <w:autoSpaceDE w:val="0"/>
        <w:autoSpaceDN w:val="0"/>
        <w:adjustRightInd w:val="0"/>
        <w:jc w:val="both"/>
        <w:rPr>
          <w:i/>
          <w:iCs/>
          <w:sz w:val="22"/>
          <w:szCs w:val="22"/>
        </w:rPr>
      </w:pPr>
      <w:r>
        <w:rPr>
          <w:i/>
          <w:iCs/>
          <w:sz w:val="22"/>
          <w:szCs w:val="22"/>
          <w:lang w:eastAsia="en-US"/>
        </w:rPr>
        <w:t xml:space="preserve">Note </w:t>
      </w:r>
      <w:r>
        <w:rPr>
          <w:i/>
          <w:iCs/>
          <w:sz w:val="22"/>
          <w:szCs w:val="22"/>
        </w:rPr>
        <w:t>Figura 206 varianta b)</w:t>
      </w:r>
      <w:r>
        <w:rPr>
          <w:i/>
          <w:iCs/>
          <w:sz w:val="22"/>
          <w:szCs w:val="22"/>
          <w:lang w:eastAsia="en-US"/>
        </w:rPr>
        <w:t xml:space="preserve">: Evacuarea se realizează din Compartimentul 2 de incendiu în Compartimentul 1 de incendiu (prin încăperi tampon ventilate în suprapresiune aparținând Compartimentului 1 de incendiu) și din Compartimentul 4 de incendiu în Compartimentul 3 de incendiu (prin încăperi tampon ventilate în suprapresiune aparținând Compartimentului 3 de incendiu). </w:t>
      </w:r>
      <w:r>
        <w:rPr>
          <w:i/>
          <w:iCs/>
          <w:sz w:val="22"/>
          <w:szCs w:val="22"/>
        </w:rPr>
        <w:t xml:space="preserve">Nu este obligatorie prevederea SPD pe circulațiile comune orizontale din compartimentul de incendiu către care se realizează evacuarea precum și din cel din cere se realizează evacuarea (din considerente de evacuare către alt compartiment de incendiu) atunci când evacuarea se realizează printr-o încăpere tampon comună direct către o scară de evacuare sau direct în exterior (încăperea tampon comună aparținând compartimentului de incendiu prin care se realizează evacuarea). </w:t>
      </w:r>
    </w:p>
    <w:p w14:paraId="00D20B74" w14:textId="77777777" w:rsidR="001C08A5" w:rsidRDefault="00000000">
      <w:pPr>
        <w:pStyle w:val="BodyText"/>
        <w:rPr>
          <w:b w:val="0"/>
          <w:bCs w:val="0"/>
          <w:iCs/>
          <w:sz w:val="22"/>
          <w:szCs w:val="22"/>
          <w:lang w:eastAsia="en-US"/>
        </w:rPr>
      </w:pPr>
      <w:r>
        <w:rPr>
          <w:b w:val="0"/>
          <w:bCs w:val="0"/>
          <w:iCs/>
          <w:sz w:val="22"/>
          <w:szCs w:val="22"/>
        </w:rPr>
        <w:t>Note Figura 208 varianta a) și varianta b): Compartimentele de incendiu prevăzute cu SPD trebuie prevăzute de asemenea cu instalație automată de</w:t>
      </w:r>
      <w:r>
        <w:rPr>
          <w:sz w:val="22"/>
          <w:szCs w:val="22"/>
        </w:rPr>
        <w:t xml:space="preserve"> </w:t>
      </w:r>
      <w:r>
        <w:rPr>
          <w:b w:val="0"/>
          <w:bCs w:val="0"/>
          <w:sz w:val="22"/>
          <w:szCs w:val="22"/>
        </w:rPr>
        <w:t xml:space="preserve">detectare, semnalizare şi alarmare a incendiului cu acoperire totală. </w:t>
      </w:r>
      <w:r>
        <w:rPr>
          <w:b w:val="0"/>
          <w:bCs w:val="0"/>
          <w:iCs/>
          <w:sz w:val="22"/>
          <w:szCs w:val="22"/>
          <w:lang w:eastAsia="en-US"/>
        </w:rPr>
        <w:t xml:space="preserve">În toate cazurile se va ține cont de prevederile </w:t>
      </w:r>
      <w:r>
        <w:rPr>
          <w:iCs/>
          <w:sz w:val="22"/>
          <w:szCs w:val="22"/>
          <w:lang w:val="en-US" w:eastAsia="en-US"/>
        </w:rPr>
        <w:t xml:space="preserve">Art. 8.1.8. (1) </w:t>
      </w:r>
      <w:r>
        <w:rPr>
          <w:b w:val="0"/>
          <w:iCs/>
          <w:sz w:val="22"/>
          <w:szCs w:val="22"/>
          <w:lang w:eastAsia="en-US"/>
        </w:rPr>
        <w:t xml:space="preserve">din normativ. </w:t>
      </w:r>
      <w:r>
        <w:rPr>
          <w:b w:val="0"/>
          <w:bCs w:val="0"/>
          <w:iCs/>
          <w:sz w:val="22"/>
          <w:szCs w:val="22"/>
        </w:rPr>
        <w:t xml:space="preserve">Ușile încăperilor tampon prin care se realizează evacuarea către alt compartiment de incendiu din clădiri civile se vor prevedea conform </w:t>
      </w:r>
      <w:r>
        <w:rPr>
          <w:b w:val="0"/>
          <w:bCs w:val="0"/>
          <w:i w:val="0"/>
          <w:iCs/>
          <w:sz w:val="20"/>
          <w:szCs w:val="20"/>
        </w:rPr>
        <w:fldChar w:fldCharType="begin"/>
      </w:r>
      <w:r>
        <w:rPr>
          <w:b w:val="0"/>
          <w:bCs w:val="0"/>
          <w:i w:val="0"/>
          <w:iCs/>
          <w:sz w:val="20"/>
          <w:szCs w:val="20"/>
        </w:rPr>
        <w:instrText xml:space="preserve"> REF _Ref29224 \h </w:instrText>
      </w:r>
      <w:r>
        <w:rPr>
          <w:b w:val="0"/>
          <w:bCs w:val="0"/>
          <w:i w:val="0"/>
          <w:iCs/>
          <w:sz w:val="20"/>
          <w:szCs w:val="20"/>
        </w:rPr>
      </w:r>
      <w:r>
        <w:rPr>
          <w:b w:val="0"/>
          <w:bCs w:val="0"/>
          <w:i w:val="0"/>
          <w:iCs/>
          <w:sz w:val="20"/>
          <w:szCs w:val="20"/>
        </w:rPr>
        <w:fldChar w:fldCharType="separate"/>
      </w:r>
      <w:r>
        <w:rPr>
          <w:b w:val="0"/>
          <w:bCs w:val="0"/>
          <w:i w:val="0"/>
          <w:iCs/>
          <w:sz w:val="20"/>
          <w:szCs w:val="20"/>
        </w:rPr>
        <w:t>Tabelul 123: Uși pentru circulaţie funcţională şi/ sau evacuare practicate în pereţii antifoc din clădiri civile</w:t>
      </w:r>
      <w:r>
        <w:rPr>
          <w:b w:val="0"/>
          <w:bCs w:val="0"/>
          <w:i w:val="0"/>
          <w:iCs/>
          <w:sz w:val="20"/>
          <w:szCs w:val="20"/>
        </w:rPr>
        <w:fldChar w:fldCharType="end"/>
      </w:r>
      <w:r>
        <w:rPr>
          <w:b w:val="0"/>
          <w:bCs w:val="0"/>
          <w:i w:val="0"/>
          <w:iCs/>
          <w:sz w:val="20"/>
          <w:szCs w:val="20"/>
        </w:rPr>
        <w:t xml:space="preserve"> </w:t>
      </w:r>
      <w:r>
        <w:rPr>
          <w:iCs/>
          <w:sz w:val="22"/>
          <w:szCs w:val="22"/>
        </w:rPr>
        <w:t>.</w:t>
      </w:r>
    </w:p>
    <w:p w14:paraId="150E0B7A" w14:textId="77777777" w:rsidR="001C08A5" w:rsidRDefault="00000000">
      <w:pPr>
        <w:pStyle w:val="Caption"/>
        <w:numPr>
          <w:ilvl w:val="255"/>
          <w:numId w:val="0"/>
        </w:numPr>
        <w:tabs>
          <w:tab w:val="left" w:pos="426"/>
          <w:tab w:val="left" w:pos="993"/>
        </w:tabs>
        <w:jc w:val="center"/>
        <w:rPr>
          <w:rFonts w:cs="Times New Roman"/>
          <w:bCs/>
        </w:rPr>
      </w:pPr>
      <w:bookmarkStart w:id="8503" w:name="_Toc162360430"/>
      <w:r>
        <w:t xml:space="preserve">Figura </w:t>
      </w:r>
      <w:r>
        <w:fldChar w:fldCharType="begin"/>
      </w:r>
      <w:r>
        <w:instrText xml:space="preserve"> SEQ Figura \* ARABIC </w:instrText>
      </w:r>
      <w:r>
        <w:fldChar w:fldCharType="separate"/>
      </w:r>
      <w:r>
        <w:t>206</w:t>
      </w:r>
      <w:r>
        <w:fldChar w:fldCharType="end"/>
      </w:r>
      <w:bookmarkStart w:id="8504" w:name="_Toc24948"/>
      <w:bookmarkStart w:id="8505" w:name="_Toc931"/>
      <w:bookmarkStart w:id="8506" w:name="_Toc25590"/>
      <w:bookmarkStart w:id="8507" w:name="_Toc19391"/>
      <w:bookmarkStart w:id="8508" w:name="_Toc23685"/>
      <w:bookmarkStart w:id="8509" w:name="_Toc27761"/>
      <w:bookmarkStart w:id="8510" w:name="_Toc18505"/>
      <w:bookmarkStart w:id="8511" w:name="_Toc4945"/>
      <w:bookmarkStart w:id="8512" w:name="_Toc1789"/>
      <w:r>
        <w:t xml:space="preserve"> - </w:t>
      </w:r>
      <w:r>
        <w:rPr>
          <w:rFonts w:cs="Times New Roman"/>
          <w:bCs/>
        </w:rPr>
        <w:t>Evacuarea într-un sens (dintr-un compartiment de incendiu în altul)</w:t>
      </w:r>
      <w:bookmarkEnd w:id="8503"/>
      <w:bookmarkEnd w:id="8504"/>
      <w:bookmarkEnd w:id="8505"/>
      <w:bookmarkEnd w:id="8506"/>
      <w:bookmarkEnd w:id="8507"/>
      <w:bookmarkEnd w:id="8508"/>
      <w:bookmarkEnd w:id="8509"/>
      <w:bookmarkEnd w:id="8510"/>
      <w:bookmarkEnd w:id="8511"/>
      <w:bookmarkEnd w:id="8512"/>
    </w:p>
    <w:p w14:paraId="56DB12D9" w14:textId="77777777" w:rsidR="001C08A5" w:rsidRDefault="00000000">
      <w:pPr>
        <w:autoSpaceDE w:val="0"/>
        <w:autoSpaceDN w:val="0"/>
        <w:adjustRightInd w:val="0"/>
        <w:jc w:val="center"/>
        <w:rPr>
          <w:rFonts w:ascii="Arial" w:hAnsi="Arial" w:cs="Arial"/>
          <w:sz w:val="24"/>
          <w:szCs w:val="24"/>
          <w:lang w:val="en-US" w:eastAsia="en-US"/>
        </w:rPr>
      </w:pPr>
      <w:r>
        <w:rPr>
          <w:noProof/>
        </w:rPr>
        <w:lastRenderedPageBreak/>
        <w:drawing>
          <wp:inline distT="0" distB="0" distL="114300" distR="114300" wp14:anchorId="3FE7AB14" wp14:editId="359AE8D2">
            <wp:extent cx="6032500" cy="2790190"/>
            <wp:effectExtent l="0" t="0" r="6350" b="10160"/>
            <wp:docPr id="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3"/>
                    <pic:cNvPicPr>
                      <a:picLocks noChangeAspect="1"/>
                    </pic:cNvPicPr>
                  </pic:nvPicPr>
                  <pic:blipFill>
                    <a:blip r:embed="rId411"/>
                    <a:srcRect l="12705" t="14603" r="7470" b="13623"/>
                    <a:stretch>
                      <a:fillRect/>
                    </a:stretch>
                  </pic:blipFill>
                  <pic:spPr>
                    <a:xfrm>
                      <a:off x="0" y="0"/>
                      <a:ext cx="6032500" cy="2790190"/>
                    </a:xfrm>
                    <a:prstGeom prst="rect">
                      <a:avLst/>
                    </a:prstGeom>
                    <a:noFill/>
                    <a:ln>
                      <a:noFill/>
                    </a:ln>
                  </pic:spPr>
                </pic:pic>
              </a:graphicData>
            </a:graphic>
          </wp:inline>
        </w:drawing>
      </w:r>
    </w:p>
    <w:p w14:paraId="2D6EF7C5"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Varianta a)</w:t>
      </w:r>
    </w:p>
    <w:p w14:paraId="15241623" w14:textId="77777777" w:rsidR="001C08A5" w:rsidRDefault="00000000">
      <w:pPr>
        <w:autoSpaceDE w:val="0"/>
        <w:autoSpaceDN w:val="0"/>
        <w:adjustRightInd w:val="0"/>
        <w:jc w:val="center"/>
        <w:rPr>
          <w:rFonts w:ascii="Arial" w:hAnsi="Arial" w:cs="Arial"/>
          <w:sz w:val="24"/>
          <w:szCs w:val="24"/>
          <w:lang w:val="en-US" w:eastAsia="en-US"/>
        </w:rPr>
      </w:pPr>
      <w:r>
        <w:rPr>
          <w:noProof/>
        </w:rPr>
        <w:drawing>
          <wp:inline distT="0" distB="0" distL="114300" distR="114300" wp14:anchorId="12E28FDE" wp14:editId="18B5E761">
            <wp:extent cx="6042660" cy="3397250"/>
            <wp:effectExtent l="0" t="0" r="15240" b="12700"/>
            <wp:docPr id="1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4"/>
                    <pic:cNvPicPr>
                      <a:picLocks noChangeAspect="1"/>
                    </pic:cNvPicPr>
                  </pic:nvPicPr>
                  <pic:blipFill>
                    <a:blip r:embed="rId412"/>
                    <a:srcRect l="12705" t="2320" r="7336" b="10291"/>
                    <a:stretch>
                      <a:fillRect/>
                    </a:stretch>
                  </pic:blipFill>
                  <pic:spPr>
                    <a:xfrm>
                      <a:off x="0" y="0"/>
                      <a:ext cx="6042660" cy="3397250"/>
                    </a:xfrm>
                    <a:prstGeom prst="rect">
                      <a:avLst/>
                    </a:prstGeom>
                    <a:noFill/>
                    <a:ln>
                      <a:noFill/>
                    </a:ln>
                  </pic:spPr>
                </pic:pic>
              </a:graphicData>
            </a:graphic>
          </wp:inline>
        </w:drawing>
      </w:r>
    </w:p>
    <w:p w14:paraId="247200D4"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Varianta b)</w:t>
      </w:r>
    </w:p>
    <w:p w14:paraId="44967CC3" w14:textId="77777777" w:rsidR="001C08A5" w:rsidRDefault="00000000">
      <w:pPr>
        <w:autoSpaceDE w:val="0"/>
        <w:autoSpaceDN w:val="0"/>
        <w:adjustRightInd w:val="0"/>
        <w:jc w:val="center"/>
        <w:rPr>
          <w:rFonts w:ascii="Arial" w:hAnsi="Arial" w:cs="Arial"/>
          <w:sz w:val="24"/>
          <w:szCs w:val="24"/>
          <w:lang w:val="en-US" w:eastAsia="en-US"/>
        </w:rPr>
      </w:pPr>
      <w:r>
        <w:rPr>
          <w:noProof/>
        </w:rPr>
        <w:lastRenderedPageBreak/>
        <w:drawing>
          <wp:inline distT="0" distB="0" distL="114300" distR="114300" wp14:anchorId="157A42C4" wp14:editId="0E601A78">
            <wp:extent cx="6021705" cy="3887470"/>
            <wp:effectExtent l="0" t="0" r="17145" b="17780"/>
            <wp:docPr id="1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5"/>
                    <pic:cNvPicPr>
                      <a:picLocks noChangeAspect="1"/>
                    </pic:cNvPicPr>
                  </pic:nvPicPr>
                  <pic:blipFill>
                    <a:blip r:embed="rId413"/>
                    <a:srcRect l="12705" r="7613"/>
                    <a:stretch>
                      <a:fillRect/>
                    </a:stretch>
                  </pic:blipFill>
                  <pic:spPr>
                    <a:xfrm>
                      <a:off x="0" y="0"/>
                      <a:ext cx="6021705" cy="3887470"/>
                    </a:xfrm>
                    <a:prstGeom prst="rect">
                      <a:avLst/>
                    </a:prstGeom>
                    <a:noFill/>
                    <a:ln>
                      <a:noFill/>
                    </a:ln>
                  </pic:spPr>
                </pic:pic>
              </a:graphicData>
            </a:graphic>
          </wp:inline>
        </w:drawing>
      </w:r>
    </w:p>
    <w:p w14:paraId="5C3D2413"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Varianta c)</w:t>
      </w:r>
    </w:p>
    <w:p w14:paraId="309DC193" w14:textId="77777777" w:rsidR="001C08A5" w:rsidRDefault="00000000">
      <w:pPr>
        <w:autoSpaceDE w:val="0"/>
        <w:autoSpaceDN w:val="0"/>
        <w:adjustRightInd w:val="0"/>
        <w:jc w:val="both"/>
        <w:rPr>
          <w:b/>
          <w:bCs/>
          <w:i/>
          <w:iCs/>
          <w:sz w:val="24"/>
          <w:szCs w:val="24"/>
          <w:lang w:eastAsia="en-US"/>
        </w:rPr>
      </w:pPr>
      <w:r>
        <w:rPr>
          <w:i/>
          <w:iCs/>
          <w:sz w:val="22"/>
          <w:szCs w:val="22"/>
        </w:rPr>
        <w:t>Note Figura 207 varianta c)</w:t>
      </w:r>
      <w:r>
        <w:rPr>
          <w:sz w:val="22"/>
          <w:szCs w:val="22"/>
        </w:rPr>
        <w:t xml:space="preserve">: </w:t>
      </w:r>
      <w:r>
        <w:rPr>
          <w:i/>
          <w:iCs/>
          <w:sz w:val="22"/>
          <w:szCs w:val="22"/>
          <w:lang w:eastAsia="en-US"/>
        </w:rPr>
        <w:t xml:space="preserve">Evacuarea se realizează din Compartimentul 1 de incendiu în Compartimentul 2 de incendiu (prin încăpere tampon ventilată în suprapresiune denumită ”ITVS 2” aparținând Compartimentului 2 de incendiu) precum și din Compartimentul 2 de incendiu în Compartimentul 1 de incendiu (prin încăpere tampon ventilată în suprapresiune denumită ”ITVS 1” aparținând Compartimentului 1 de incendiu). </w:t>
      </w:r>
      <w:r>
        <w:rPr>
          <w:i/>
          <w:iCs/>
          <w:sz w:val="22"/>
          <w:szCs w:val="22"/>
        </w:rPr>
        <w:t>Nu este obligatorie prevederea SPD pe circulațiile comune orizontale din compartimentele de incendiu (către care se realizează evacuarea precum și din cel din cere se realizează evacuarea) din considerente de evacuare către alt compartiment de incendiu atunci când evacuarea se realizează printr-o încăpere tampon comună (</w:t>
      </w:r>
      <w:r>
        <w:rPr>
          <w:i/>
          <w:iCs/>
          <w:sz w:val="22"/>
          <w:szCs w:val="22"/>
          <w:lang w:eastAsia="en-US"/>
        </w:rPr>
        <w:t>”ITVS 1” și ”ITVS 2”</w:t>
      </w:r>
      <w:r>
        <w:rPr>
          <w:i/>
          <w:iCs/>
          <w:sz w:val="22"/>
          <w:szCs w:val="22"/>
        </w:rPr>
        <w:t>) direct către o scară de evacuare sau direct în exterior (fiecare ”ITVS” comună aparține compartimentului de incendiu prin care se realizează evacuarea).</w:t>
      </w:r>
    </w:p>
    <w:p w14:paraId="2F17E19F" w14:textId="77777777" w:rsidR="001C08A5" w:rsidRDefault="00000000">
      <w:pPr>
        <w:autoSpaceDE w:val="0"/>
        <w:autoSpaceDN w:val="0"/>
        <w:adjustRightInd w:val="0"/>
        <w:jc w:val="both"/>
        <w:rPr>
          <w:rFonts w:ascii="Arial" w:hAnsi="Arial" w:cs="Arial"/>
          <w:sz w:val="24"/>
          <w:szCs w:val="24"/>
          <w:lang w:val="en-US" w:eastAsia="en-US"/>
        </w:rPr>
      </w:pPr>
      <w:r>
        <w:rPr>
          <w:noProof/>
        </w:rPr>
        <w:drawing>
          <wp:inline distT="0" distB="0" distL="114300" distR="114300" wp14:anchorId="17E42917" wp14:editId="27091360">
            <wp:extent cx="6021705" cy="3846195"/>
            <wp:effectExtent l="0" t="0" r="17145" b="1905"/>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
                    <pic:cNvPicPr>
                      <a:picLocks noChangeAspect="1"/>
                    </pic:cNvPicPr>
                  </pic:nvPicPr>
                  <pic:blipFill>
                    <a:blip r:embed="rId414"/>
                    <a:srcRect l="12772" r="7546" b="1062"/>
                    <a:stretch>
                      <a:fillRect/>
                    </a:stretch>
                  </pic:blipFill>
                  <pic:spPr>
                    <a:xfrm>
                      <a:off x="0" y="0"/>
                      <a:ext cx="6021705" cy="3846195"/>
                    </a:xfrm>
                    <a:prstGeom prst="rect">
                      <a:avLst/>
                    </a:prstGeom>
                    <a:noFill/>
                    <a:ln>
                      <a:noFill/>
                    </a:ln>
                  </pic:spPr>
                </pic:pic>
              </a:graphicData>
            </a:graphic>
          </wp:inline>
        </w:drawing>
      </w:r>
    </w:p>
    <w:p w14:paraId="42375399"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lastRenderedPageBreak/>
        <w:t>Varianta d)</w:t>
      </w:r>
    </w:p>
    <w:p w14:paraId="5F8EEF52" w14:textId="77777777" w:rsidR="001C08A5" w:rsidRDefault="00000000">
      <w:pPr>
        <w:autoSpaceDE w:val="0"/>
        <w:autoSpaceDN w:val="0"/>
        <w:adjustRightInd w:val="0"/>
        <w:jc w:val="both"/>
        <w:rPr>
          <w:i/>
          <w:sz w:val="22"/>
          <w:szCs w:val="22"/>
        </w:rPr>
      </w:pPr>
      <w:r>
        <w:rPr>
          <w:i/>
          <w:iCs/>
          <w:sz w:val="22"/>
          <w:szCs w:val="22"/>
        </w:rPr>
        <w:t>Note Figura 207 varianta d)</w:t>
      </w:r>
      <w:r>
        <w:rPr>
          <w:sz w:val="22"/>
          <w:szCs w:val="22"/>
        </w:rPr>
        <w:t xml:space="preserve">: </w:t>
      </w:r>
      <w:r>
        <w:rPr>
          <w:i/>
          <w:iCs/>
          <w:sz w:val="22"/>
          <w:szCs w:val="22"/>
          <w:lang w:eastAsia="en-US"/>
        </w:rPr>
        <w:t xml:space="preserve">Evacuarea se realizează din Compartimentul 1 de incendiu în Compartimentul 2 de incendiu (prin încăpere tampon ventilată în suprapresiune denumită ”ITVS 2” aparținând Compartimentului 2 de incendiu) precum și din Compartimentul 2 de incendiu în Compartimentul 1 de incendiu (prin încăpere tampon ventilată în suprapresiune denumită ”ITVS 1” aparținând Compartimentului 1 de incendiu). </w:t>
      </w:r>
      <w:r>
        <w:rPr>
          <w:i/>
          <w:iCs/>
          <w:sz w:val="22"/>
          <w:szCs w:val="22"/>
        </w:rPr>
        <w:t xml:space="preserve">Atunci când evacuarea se realizează prin încăperi tampon, se prevăd obligatoriu SPD în încăperile tampon precum și pe circulațiile comune orizontale din compartimentul de incendiu către care se realizează evacuarea. În cazul specific prezentat în imagine căile de evacuare din ambele compartimente de incendiu (denumite ”Căi ev.1” și ”Căi ev. 2”) precum și încăperile tampon din ambele compartimente se prevăd cu SPD. Este obligatoriu ca din matricea de incendiu să se automatizeze SPD din Compartimentul 2 de incendiu (al încăperii tampon denumită </w:t>
      </w:r>
      <w:r>
        <w:rPr>
          <w:i/>
          <w:iCs/>
          <w:sz w:val="22"/>
          <w:szCs w:val="22"/>
          <w:lang w:eastAsia="en-US"/>
        </w:rPr>
        <w:t>”ITVS 2” precum și al/ ale circulațiilor comune orizontale denumite ”Căi ev. 2” în directă legătură cu scara protejată către care se face evacuarea din Compartimentul 2 de incendiu denumită ”S2”</w:t>
      </w:r>
      <w:r>
        <w:rPr>
          <w:i/>
          <w:iCs/>
          <w:sz w:val="22"/>
          <w:szCs w:val="22"/>
        </w:rPr>
        <w:t xml:space="preserve">), atunci când se detectează incendiu în Compartimentul 1 de incendiu. Similar, este obligatoriu ca din matricea de incendiu să se automatizeze SPD din Compartimentul 1 de incendiu (al încăperii tampon denumită </w:t>
      </w:r>
      <w:r>
        <w:rPr>
          <w:i/>
          <w:iCs/>
          <w:sz w:val="22"/>
          <w:szCs w:val="22"/>
          <w:lang w:eastAsia="en-US"/>
        </w:rPr>
        <w:t>”ITVS 1” precum și al/ ale circulațiilor comune orizontale denumite ”Căi ev. 1” în directă legătură cu scara protejată către care se face evacuarea din Compartimentul 1 de incendiu denumită ”S1”</w:t>
      </w:r>
      <w:r>
        <w:rPr>
          <w:i/>
          <w:iCs/>
          <w:sz w:val="22"/>
          <w:szCs w:val="22"/>
        </w:rPr>
        <w:t>), atunci când se detectează incendiu în Compartimentul 2 de incendiu. Ambele compartimente de incendiu trebuie prevăzute cu instalație automată de</w:t>
      </w:r>
      <w:r>
        <w:rPr>
          <w:i/>
          <w:sz w:val="22"/>
          <w:szCs w:val="22"/>
        </w:rPr>
        <w:t xml:space="preserve"> detectare, semnalizare şi alarmare a incendiului cu acoperire totală.</w:t>
      </w:r>
    </w:p>
    <w:p w14:paraId="097FF55C" w14:textId="77777777" w:rsidR="001C08A5" w:rsidRDefault="001C08A5">
      <w:pPr>
        <w:autoSpaceDE w:val="0"/>
        <w:autoSpaceDN w:val="0"/>
        <w:adjustRightInd w:val="0"/>
        <w:jc w:val="both"/>
        <w:rPr>
          <w:i/>
          <w:iCs/>
          <w:sz w:val="22"/>
          <w:szCs w:val="22"/>
        </w:rPr>
      </w:pPr>
    </w:p>
    <w:p w14:paraId="0CF4725D" w14:textId="77777777" w:rsidR="001C08A5" w:rsidRDefault="00000000">
      <w:pPr>
        <w:pStyle w:val="BodyText"/>
        <w:rPr>
          <w:sz w:val="22"/>
          <w:szCs w:val="22"/>
        </w:rPr>
      </w:pPr>
      <w:r>
        <w:rPr>
          <w:b w:val="0"/>
          <w:bCs w:val="0"/>
          <w:iCs/>
          <w:sz w:val="22"/>
          <w:szCs w:val="22"/>
        </w:rPr>
        <w:t>Note Figura 207 variantele a), c) și d)</w:t>
      </w:r>
      <w:r>
        <w:rPr>
          <w:sz w:val="22"/>
          <w:szCs w:val="22"/>
        </w:rPr>
        <w:t xml:space="preserve">: </w:t>
      </w:r>
      <w:r>
        <w:rPr>
          <w:b w:val="0"/>
          <w:bCs w:val="0"/>
          <w:iCs/>
          <w:sz w:val="22"/>
          <w:szCs w:val="22"/>
        </w:rPr>
        <w:t>Compartimentele de incendiu prevăzute cu SPD trebuie prevăzute de asemenea cu instalație automată de</w:t>
      </w:r>
      <w:r>
        <w:rPr>
          <w:sz w:val="22"/>
          <w:szCs w:val="22"/>
        </w:rPr>
        <w:t xml:space="preserve"> </w:t>
      </w:r>
      <w:r>
        <w:rPr>
          <w:b w:val="0"/>
          <w:bCs w:val="0"/>
          <w:sz w:val="22"/>
          <w:szCs w:val="22"/>
        </w:rPr>
        <w:t xml:space="preserve">detectare, semnalizare şi alarmare a incendiului cu acoperire totală. </w:t>
      </w:r>
      <w:r>
        <w:rPr>
          <w:b w:val="0"/>
          <w:bCs w:val="0"/>
          <w:iCs/>
          <w:sz w:val="22"/>
          <w:szCs w:val="22"/>
          <w:lang w:eastAsia="en-US"/>
        </w:rPr>
        <w:t xml:space="preserve">În toate cazurile se va ține cont de prevederile </w:t>
      </w:r>
      <w:r>
        <w:rPr>
          <w:iCs/>
          <w:sz w:val="22"/>
          <w:szCs w:val="22"/>
          <w:lang w:val="en-US" w:eastAsia="en-US"/>
        </w:rPr>
        <w:t xml:space="preserve">Art. 8.1.8. (1) </w:t>
      </w:r>
      <w:r>
        <w:rPr>
          <w:b w:val="0"/>
          <w:iCs/>
          <w:sz w:val="22"/>
          <w:szCs w:val="22"/>
          <w:lang w:eastAsia="en-US"/>
        </w:rPr>
        <w:t xml:space="preserve">din normativ. </w:t>
      </w:r>
      <w:r>
        <w:rPr>
          <w:b w:val="0"/>
          <w:bCs w:val="0"/>
          <w:iCs/>
          <w:sz w:val="22"/>
          <w:szCs w:val="22"/>
        </w:rPr>
        <w:t xml:space="preserve">Ușile încăperilor tampon prin care se realizează evacuarea către alt compartiment de incendiu din clădiri civile se vor prevedea conform </w:t>
      </w:r>
      <w:r>
        <w:rPr>
          <w:b w:val="0"/>
          <w:bCs w:val="0"/>
          <w:i w:val="0"/>
          <w:iCs/>
          <w:sz w:val="20"/>
          <w:szCs w:val="20"/>
        </w:rPr>
        <w:fldChar w:fldCharType="begin"/>
      </w:r>
      <w:r>
        <w:rPr>
          <w:b w:val="0"/>
          <w:bCs w:val="0"/>
          <w:i w:val="0"/>
          <w:iCs/>
          <w:sz w:val="20"/>
          <w:szCs w:val="20"/>
        </w:rPr>
        <w:instrText xml:space="preserve"> REF _Ref29224 \h </w:instrText>
      </w:r>
      <w:r>
        <w:rPr>
          <w:b w:val="0"/>
          <w:bCs w:val="0"/>
          <w:i w:val="0"/>
          <w:iCs/>
          <w:sz w:val="20"/>
          <w:szCs w:val="20"/>
        </w:rPr>
      </w:r>
      <w:r>
        <w:rPr>
          <w:b w:val="0"/>
          <w:bCs w:val="0"/>
          <w:i w:val="0"/>
          <w:iCs/>
          <w:sz w:val="20"/>
          <w:szCs w:val="20"/>
        </w:rPr>
        <w:fldChar w:fldCharType="separate"/>
      </w:r>
      <w:r>
        <w:rPr>
          <w:b w:val="0"/>
          <w:bCs w:val="0"/>
          <w:i w:val="0"/>
          <w:iCs/>
          <w:sz w:val="20"/>
          <w:szCs w:val="20"/>
        </w:rPr>
        <w:t>Tabelul 123: Uși pentru circulaţie funcţională şi/ sau evacuare practicate în pereţii antifoc din clădiri civile</w:t>
      </w:r>
      <w:r>
        <w:rPr>
          <w:b w:val="0"/>
          <w:bCs w:val="0"/>
          <w:i w:val="0"/>
          <w:iCs/>
          <w:sz w:val="20"/>
          <w:szCs w:val="20"/>
        </w:rPr>
        <w:fldChar w:fldCharType="end"/>
      </w:r>
      <w:r>
        <w:rPr>
          <w:b w:val="0"/>
          <w:bCs w:val="0"/>
          <w:i w:val="0"/>
          <w:iCs/>
          <w:sz w:val="20"/>
          <w:szCs w:val="20"/>
        </w:rPr>
        <w:t xml:space="preserve"> </w:t>
      </w:r>
      <w:r>
        <w:rPr>
          <w:iCs/>
          <w:sz w:val="22"/>
          <w:szCs w:val="22"/>
        </w:rPr>
        <w:t>.</w:t>
      </w:r>
    </w:p>
    <w:p w14:paraId="18D40625" w14:textId="77777777" w:rsidR="001C08A5" w:rsidRDefault="00000000">
      <w:pPr>
        <w:pStyle w:val="Caption"/>
        <w:numPr>
          <w:ilvl w:val="255"/>
          <w:numId w:val="0"/>
        </w:numPr>
        <w:tabs>
          <w:tab w:val="left" w:pos="426"/>
          <w:tab w:val="left" w:pos="993"/>
        </w:tabs>
        <w:jc w:val="center"/>
        <w:rPr>
          <w:rFonts w:cs="Times New Roman"/>
          <w:bCs/>
          <w:lang w:val="en-US" w:eastAsia="zh-CN"/>
        </w:rPr>
      </w:pPr>
      <w:bookmarkStart w:id="8513" w:name="_Toc162360431"/>
      <w:r>
        <w:t xml:space="preserve">Figura </w:t>
      </w:r>
      <w:r>
        <w:fldChar w:fldCharType="begin"/>
      </w:r>
      <w:r>
        <w:instrText xml:space="preserve"> SEQ Figura \* ARABIC </w:instrText>
      </w:r>
      <w:r>
        <w:fldChar w:fldCharType="separate"/>
      </w:r>
      <w:r>
        <w:t>207</w:t>
      </w:r>
      <w:r>
        <w:fldChar w:fldCharType="end"/>
      </w:r>
      <w:bookmarkStart w:id="8514" w:name="_Toc1562"/>
      <w:bookmarkStart w:id="8515" w:name="_Toc25560"/>
      <w:bookmarkStart w:id="8516" w:name="_Toc21852"/>
      <w:bookmarkStart w:id="8517" w:name="_Toc28612"/>
      <w:bookmarkStart w:id="8518" w:name="_Toc16314"/>
      <w:bookmarkStart w:id="8519" w:name="_Toc223"/>
      <w:bookmarkStart w:id="8520" w:name="_Toc20696"/>
      <w:bookmarkStart w:id="8521" w:name="_Toc9697"/>
      <w:bookmarkStart w:id="8522" w:name="_Toc22393"/>
      <w:r>
        <w:t xml:space="preserve"> - </w:t>
      </w:r>
      <w:r>
        <w:rPr>
          <w:rFonts w:cs="Times New Roman"/>
          <w:bCs/>
        </w:rPr>
        <w:t>Evacuarea în ambele sensuri (dintr-un compartiment de incendiu în altul)</w:t>
      </w:r>
      <w:bookmarkEnd w:id="8513"/>
      <w:bookmarkEnd w:id="8514"/>
      <w:bookmarkEnd w:id="8515"/>
      <w:bookmarkEnd w:id="8516"/>
      <w:bookmarkEnd w:id="8517"/>
      <w:bookmarkEnd w:id="8518"/>
      <w:bookmarkEnd w:id="8519"/>
      <w:bookmarkEnd w:id="8520"/>
      <w:bookmarkEnd w:id="8521"/>
      <w:bookmarkEnd w:id="8522"/>
    </w:p>
    <w:p w14:paraId="18FC814D" w14:textId="77777777" w:rsidR="001C08A5" w:rsidRDefault="00000000">
      <w:pPr>
        <w:pStyle w:val="Heading4"/>
        <w:rPr>
          <w:sz w:val="24"/>
          <w:szCs w:val="24"/>
        </w:rPr>
      </w:pPr>
      <w:bookmarkStart w:id="8523" w:name="_Toc24274"/>
      <w:bookmarkStart w:id="8524" w:name="_Toc26080"/>
      <w:bookmarkStart w:id="8525" w:name="_Toc19926"/>
      <w:bookmarkStart w:id="8526" w:name="_Toc162355453"/>
      <w:bookmarkStart w:id="8527" w:name="_Toc14530"/>
      <w:bookmarkStart w:id="8528" w:name="_Toc29848"/>
      <w:bookmarkStart w:id="8529" w:name="_Toc6848"/>
      <w:bookmarkStart w:id="8530" w:name="_Toc5680"/>
      <w:bookmarkStart w:id="8531" w:name="_Toc8844"/>
      <w:bookmarkStart w:id="8532" w:name="_Toc5140"/>
      <w:bookmarkStart w:id="8533" w:name="_Toc10276"/>
      <w:bookmarkStart w:id="8534" w:name="_Toc21959"/>
      <w:bookmarkStart w:id="8535" w:name="_Toc11949"/>
      <w:bookmarkStart w:id="8536" w:name="_Toc27075"/>
      <w:bookmarkStart w:id="8537" w:name="_Toc4837"/>
      <w:bookmarkStart w:id="8538" w:name="_Toc1547"/>
      <w:bookmarkStart w:id="8539" w:name="_Toc9660"/>
      <w:r>
        <w:rPr>
          <w:sz w:val="24"/>
          <w:szCs w:val="24"/>
        </w:rPr>
        <w:t>Lungimea căii de evacuare</w:t>
      </w:r>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r>
        <w:rPr>
          <w:sz w:val="24"/>
          <w:szCs w:val="24"/>
        </w:rPr>
        <w:t xml:space="preserve"> </w:t>
      </w:r>
    </w:p>
    <w:p w14:paraId="29F921DE"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Lungimea căii de evacuare a utilizatorilor construcţiilor, se determină pe traseul ce trebuie parcurs în axul căilor de evacuare, de la punctul de plecare al utilizatorului până la cea mai apropiată uşă de evacuare (directă în exterior, de acces într-o scară de evacuare sau de acces într-un degajament protejat) ori prima treaptă a scării deschise, ţinând seama de poziţia diferitelor echipamente sau obiecte cu amplasament fix şi care trebuie ocolite. Schimbările de direcție de pe traseul parcurs se vor realiza în unghiuri cu grade funcție de axul caii de evacuare.</w:t>
      </w:r>
    </w:p>
    <w:p w14:paraId="559512A5" w14:textId="77777777" w:rsidR="001C08A5" w:rsidRDefault="00000000">
      <w:pPr>
        <w:keepNext/>
        <w:tabs>
          <w:tab w:val="left" w:pos="864"/>
        </w:tabs>
        <w:spacing w:before="240" w:after="60"/>
        <w:ind w:left="864" w:hanging="864"/>
        <w:outlineLvl w:val="3"/>
        <w:rPr>
          <w:rFonts w:eastAsia="Calibri" w:cs="Mangal"/>
          <w:b/>
          <w:bCs/>
          <w:i/>
          <w:sz w:val="24"/>
          <w:szCs w:val="24"/>
        </w:rPr>
      </w:pPr>
      <w:bookmarkStart w:id="8540" w:name="_Toc17262"/>
      <w:bookmarkStart w:id="8541" w:name="_Toc11136"/>
      <w:bookmarkStart w:id="8542" w:name="_Toc25430"/>
      <w:bookmarkStart w:id="8543" w:name="_Toc5338"/>
      <w:bookmarkStart w:id="8544" w:name="_Toc3839"/>
      <w:bookmarkStart w:id="8545" w:name="_Toc27522"/>
      <w:bookmarkStart w:id="8546" w:name="_Toc19737"/>
      <w:bookmarkStart w:id="8547" w:name="_Toc274"/>
      <w:bookmarkStart w:id="8548" w:name="_Toc162355454"/>
      <w:bookmarkStart w:id="8549" w:name="_Toc22257"/>
      <w:bookmarkStart w:id="8550" w:name="_Toc2669"/>
      <w:bookmarkStart w:id="8551" w:name="_Toc18"/>
      <w:bookmarkStart w:id="8552" w:name="_Toc10053"/>
      <w:bookmarkStart w:id="8553" w:name="_Toc16550"/>
      <w:bookmarkStart w:id="8554" w:name="_Toc16233"/>
      <w:bookmarkStart w:id="8555" w:name="_Toc6024"/>
      <w:bookmarkStart w:id="8556" w:name="_Toc31332"/>
      <w:r>
        <w:rPr>
          <w:rFonts w:eastAsia="Calibri" w:cs="Mangal"/>
          <w:b/>
          <w:bCs/>
          <w:i/>
          <w:sz w:val="24"/>
          <w:szCs w:val="24"/>
        </w:rPr>
        <w:t>Coridoare</w:t>
      </w:r>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p>
    <w:p w14:paraId="52F92B57"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Distanțele pe căile de evacuare se măsoară pe orizontală în axul căilor de circulație și evacuare și în direcția cea mai scurtă, după caz, de la ușa încăperii sau spațiului (atunci când în interiorul încăperilor/ spațiilor lungimea căii de evacuare este mai mică decât lungimea de coridor înfundat specifică fiecărei funcțiuni sau tip de construcție)  până la ușa scării, a degajamentului protejat sau a încăperii tampon de acces la cea mai  apropiată scară de evacuare ori la o ușă directă în exterior.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653"/>
      </w:tblGrid>
      <w:tr w:rsidR="001C08A5" w14:paraId="483C983C" w14:textId="77777777">
        <w:tc>
          <w:tcPr>
            <w:tcW w:w="4927" w:type="dxa"/>
          </w:tcPr>
          <w:p w14:paraId="3C009BEC" w14:textId="77777777" w:rsidR="001C08A5" w:rsidRDefault="001C08A5">
            <w:pPr>
              <w:jc w:val="center"/>
            </w:pPr>
          </w:p>
          <w:p w14:paraId="7E6A751D" w14:textId="77777777" w:rsidR="001C08A5" w:rsidRDefault="00000000">
            <w:pPr>
              <w:jc w:val="center"/>
              <w:rPr>
                <w:rFonts w:eastAsia="Times New Roman"/>
                <w:i/>
                <w:sz w:val="24"/>
                <w:szCs w:val="24"/>
              </w:rPr>
            </w:pPr>
            <w:r>
              <w:rPr>
                <w:noProof/>
                <w:lang w:eastAsia="ro-RO"/>
              </w:rPr>
              <w:drawing>
                <wp:inline distT="0" distB="0" distL="114300" distR="114300" wp14:anchorId="2239104F" wp14:editId="023376A7">
                  <wp:extent cx="3014980" cy="1419225"/>
                  <wp:effectExtent l="0" t="0" r="13970" b="9525"/>
                  <wp:docPr id="4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20"/>
                          <pic:cNvPicPr>
                            <a:picLocks noChangeAspect="1"/>
                          </pic:cNvPicPr>
                        </pic:nvPicPr>
                        <pic:blipFill>
                          <a:blip r:embed="rId415"/>
                          <a:srcRect l="17350" t="12805" r="42758" b="25249"/>
                          <a:stretch>
                            <a:fillRect/>
                          </a:stretch>
                        </pic:blipFill>
                        <pic:spPr>
                          <a:xfrm>
                            <a:off x="0" y="0"/>
                            <a:ext cx="3014980" cy="1419225"/>
                          </a:xfrm>
                          <a:prstGeom prst="rect">
                            <a:avLst/>
                          </a:prstGeom>
                          <a:noFill/>
                          <a:ln>
                            <a:noFill/>
                          </a:ln>
                        </pic:spPr>
                      </pic:pic>
                    </a:graphicData>
                  </a:graphic>
                </wp:inline>
              </w:drawing>
            </w:r>
            <w:r>
              <w:rPr>
                <w:b/>
                <w:bCs/>
                <w:i/>
                <w:sz w:val="22"/>
                <w:szCs w:val="22"/>
              </w:rPr>
              <w:t>Principiu</w:t>
            </w:r>
          </w:p>
        </w:tc>
        <w:tc>
          <w:tcPr>
            <w:tcW w:w="4928" w:type="dxa"/>
          </w:tcPr>
          <w:p w14:paraId="551BC535" w14:textId="77777777" w:rsidR="001C08A5" w:rsidRDefault="00000000">
            <w:pPr>
              <w:widowControl/>
              <w:jc w:val="center"/>
              <w:rPr>
                <w:b/>
                <w:bCs/>
                <w:i/>
                <w:iCs/>
                <w:sz w:val="22"/>
                <w:szCs w:val="22"/>
              </w:rPr>
            </w:pPr>
            <w:r>
              <w:rPr>
                <w:b/>
                <w:bCs/>
                <w:i/>
                <w:iCs/>
                <w:sz w:val="22"/>
                <w:szCs w:val="22"/>
              </w:rPr>
              <w:t>PRINCIPIU</w:t>
            </w:r>
          </w:p>
          <w:p w14:paraId="25695CD8" w14:textId="77777777" w:rsidR="001C08A5" w:rsidRDefault="00000000">
            <w:pPr>
              <w:widowControl/>
              <w:jc w:val="center"/>
              <w:rPr>
                <w:b/>
                <w:bCs/>
                <w:i/>
                <w:iCs/>
                <w:sz w:val="22"/>
                <w:szCs w:val="22"/>
              </w:rPr>
            </w:pPr>
            <w:r>
              <w:rPr>
                <w:b/>
                <w:bCs/>
                <w:i/>
                <w:iCs/>
                <w:sz w:val="22"/>
                <w:szCs w:val="22"/>
              </w:rPr>
              <w:t>În axul din punctul A' este prevăzut perete cu rezistență la foc (si ușă conform prevederi normate)</w:t>
            </w:r>
          </w:p>
          <w:p w14:paraId="561B9519" w14:textId="77777777" w:rsidR="001C08A5" w:rsidRDefault="00000000">
            <w:pPr>
              <w:widowControl/>
              <w:jc w:val="center"/>
              <w:rPr>
                <w:b/>
                <w:bCs/>
                <w:i/>
                <w:iCs/>
                <w:sz w:val="22"/>
                <w:szCs w:val="22"/>
              </w:rPr>
            </w:pPr>
            <w:r>
              <w:rPr>
                <w:b/>
                <w:bCs/>
                <w:i/>
                <w:iCs/>
                <w:sz w:val="22"/>
                <w:szCs w:val="22"/>
              </w:rPr>
              <w:t>Dacă (AA') &lt; l</w:t>
            </w:r>
          </w:p>
          <w:p w14:paraId="7B33B69F" w14:textId="77777777" w:rsidR="001C08A5" w:rsidRDefault="00000000">
            <w:pPr>
              <w:jc w:val="center"/>
              <w:rPr>
                <w:b/>
                <w:bCs/>
                <w:i/>
                <w:iCs/>
                <w:sz w:val="22"/>
                <w:szCs w:val="22"/>
              </w:rPr>
            </w:pPr>
            <w:r>
              <w:rPr>
                <w:b/>
                <w:bCs/>
                <w:i/>
                <w:iCs/>
                <w:sz w:val="22"/>
                <w:szCs w:val="22"/>
              </w:rPr>
              <w:t>(A'D)+(BD) sau (A'D)+(CD) ≤ L</w:t>
            </w:r>
          </w:p>
          <w:p w14:paraId="09F1EA1A" w14:textId="77777777" w:rsidR="001C08A5" w:rsidRDefault="00000000">
            <w:pPr>
              <w:jc w:val="center"/>
              <w:rPr>
                <w:b/>
                <w:bCs/>
                <w:i/>
                <w:iCs/>
                <w:sz w:val="22"/>
                <w:szCs w:val="22"/>
              </w:rPr>
            </w:pPr>
            <w:r>
              <w:rPr>
                <w:b/>
                <w:bCs/>
                <w:i/>
                <w:iCs/>
                <w:sz w:val="22"/>
                <w:szCs w:val="22"/>
              </w:rPr>
              <w:t>EXEMPLU</w:t>
            </w:r>
          </w:p>
          <w:p w14:paraId="20AE9022" w14:textId="77777777" w:rsidR="001C08A5" w:rsidRDefault="00000000">
            <w:pPr>
              <w:jc w:val="center"/>
              <w:rPr>
                <w:b/>
                <w:bCs/>
                <w:i/>
                <w:iCs/>
                <w:sz w:val="22"/>
                <w:szCs w:val="22"/>
              </w:rPr>
            </w:pPr>
            <w:r>
              <w:rPr>
                <w:b/>
                <w:bCs/>
                <w:i/>
                <w:iCs/>
                <w:sz w:val="22"/>
                <w:szCs w:val="22"/>
              </w:rPr>
              <w:t>L1+L2+L3 ≤  L</w:t>
            </w:r>
          </w:p>
          <w:p w14:paraId="63DC3407" w14:textId="77777777" w:rsidR="001C08A5" w:rsidRDefault="00000000">
            <w:pPr>
              <w:jc w:val="center"/>
              <w:rPr>
                <w:b/>
                <w:bCs/>
                <w:i/>
                <w:iCs/>
                <w:sz w:val="22"/>
                <w:szCs w:val="22"/>
                <w:u w:val="single"/>
              </w:rPr>
            </w:pPr>
            <w:r>
              <w:rPr>
                <w:b/>
                <w:bCs/>
                <w:i/>
                <w:iCs/>
                <w:sz w:val="22"/>
                <w:szCs w:val="22"/>
                <w:u w:val="single"/>
              </w:rPr>
              <w:t>nu este necesar ca</w:t>
            </w:r>
          </w:p>
          <w:p w14:paraId="11C4DBEB" w14:textId="77777777" w:rsidR="001C08A5" w:rsidRDefault="00000000">
            <w:pPr>
              <w:jc w:val="center"/>
              <w:rPr>
                <w:b/>
                <w:bCs/>
                <w:i/>
                <w:iCs/>
                <w:sz w:val="22"/>
                <w:szCs w:val="22"/>
              </w:rPr>
            </w:pPr>
            <w:r>
              <w:rPr>
                <w:b/>
                <w:bCs/>
                <w:i/>
                <w:iCs/>
                <w:sz w:val="22"/>
                <w:szCs w:val="22"/>
              </w:rPr>
              <w:t>L1+L7+L6 ≤  L</w:t>
            </w:r>
          </w:p>
          <w:p w14:paraId="48358503" w14:textId="77777777" w:rsidR="001C08A5" w:rsidRDefault="001C08A5">
            <w:pPr>
              <w:jc w:val="center"/>
              <w:rPr>
                <w:b/>
                <w:bCs/>
                <w:i/>
                <w:iCs/>
                <w:sz w:val="22"/>
                <w:szCs w:val="22"/>
              </w:rPr>
            </w:pPr>
          </w:p>
        </w:tc>
      </w:tr>
    </w:tbl>
    <w:p w14:paraId="57A90EF6" w14:textId="77777777" w:rsidR="001C08A5" w:rsidRDefault="00000000">
      <w:pPr>
        <w:jc w:val="center"/>
      </w:pPr>
      <w:r>
        <w:rPr>
          <w:noProof/>
          <w:lang w:eastAsia="ro-RO"/>
        </w:rPr>
        <w:lastRenderedPageBreak/>
        <w:drawing>
          <wp:inline distT="0" distB="0" distL="114300" distR="114300" wp14:anchorId="0B5B90E1" wp14:editId="52D1C1A9">
            <wp:extent cx="6094730" cy="2872105"/>
            <wp:effectExtent l="0" t="0" r="1270" b="4445"/>
            <wp:docPr id="4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19"/>
                    <pic:cNvPicPr>
                      <a:picLocks noChangeAspect="1"/>
                    </pic:cNvPicPr>
                  </pic:nvPicPr>
                  <pic:blipFill>
                    <a:blip r:embed="rId416"/>
                    <a:srcRect l="12417" t="15302" r="6894" b="4688"/>
                    <a:stretch>
                      <a:fillRect/>
                    </a:stretch>
                  </pic:blipFill>
                  <pic:spPr>
                    <a:xfrm>
                      <a:off x="0" y="0"/>
                      <a:ext cx="6094730" cy="2872105"/>
                    </a:xfrm>
                    <a:prstGeom prst="rect">
                      <a:avLst/>
                    </a:prstGeom>
                    <a:noFill/>
                    <a:ln>
                      <a:noFill/>
                    </a:ln>
                  </pic:spPr>
                </pic:pic>
              </a:graphicData>
            </a:graphic>
          </wp:inline>
        </w:drawing>
      </w:r>
    </w:p>
    <w:p w14:paraId="0BAFD30E" w14:textId="77777777" w:rsidR="001C08A5" w:rsidRDefault="00000000">
      <w:pPr>
        <w:jc w:val="center"/>
      </w:pPr>
      <w:r>
        <w:rPr>
          <w:b/>
          <w:bCs/>
          <w:i/>
          <w:iCs/>
          <w:sz w:val="22"/>
          <w:szCs w:val="22"/>
        </w:rPr>
        <w:t>Exemplu</w:t>
      </w:r>
    </w:p>
    <w:p w14:paraId="734071D6" w14:textId="77777777" w:rsidR="001C08A5" w:rsidRDefault="001C08A5">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563"/>
      </w:tblGrid>
      <w:tr w:rsidR="001C08A5" w14:paraId="7FFDC044" w14:textId="77777777">
        <w:tc>
          <w:tcPr>
            <w:tcW w:w="4927" w:type="dxa"/>
          </w:tcPr>
          <w:p w14:paraId="0A5C0FF6" w14:textId="77777777" w:rsidR="001C08A5" w:rsidRDefault="001C08A5">
            <w:pPr>
              <w:jc w:val="center"/>
            </w:pPr>
          </w:p>
          <w:p w14:paraId="08DD1588" w14:textId="77777777" w:rsidR="001C08A5" w:rsidRDefault="00000000">
            <w:pPr>
              <w:jc w:val="center"/>
              <w:rPr>
                <w:b/>
                <w:bCs/>
                <w:i/>
                <w:sz w:val="24"/>
                <w:szCs w:val="24"/>
              </w:rPr>
            </w:pPr>
            <w:r>
              <w:rPr>
                <w:noProof/>
                <w:lang w:eastAsia="ro-RO"/>
              </w:rPr>
              <w:drawing>
                <wp:inline distT="0" distB="0" distL="114300" distR="114300" wp14:anchorId="53FF4A86" wp14:editId="03DAD4F2">
                  <wp:extent cx="3068955" cy="1423035"/>
                  <wp:effectExtent l="0" t="0" r="17145" b="5715"/>
                  <wp:docPr id="4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22"/>
                          <pic:cNvPicPr>
                            <a:picLocks noChangeAspect="1"/>
                          </pic:cNvPicPr>
                        </pic:nvPicPr>
                        <pic:blipFill>
                          <a:blip r:embed="rId417"/>
                          <a:srcRect l="13190" t="17136" r="46179" b="15017"/>
                          <a:stretch>
                            <a:fillRect/>
                          </a:stretch>
                        </pic:blipFill>
                        <pic:spPr>
                          <a:xfrm>
                            <a:off x="0" y="0"/>
                            <a:ext cx="3068955" cy="1423035"/>
                          </a:xfrm>
                          <a:prstGeom prst="rect">
                            <a:avLst/>
                          </a:prstGeom>
                          <a:noFill/>
                          <a:ln>
                            <a:noFill/>
                          </a:ln>
                        </pic:spPr>
                      </pic:pic>
                    </a:graphicData>
                  </a:graphic>
                </wp:inline>
              </w:drawing>
            </w:r>
            <w:r>
              <w:rPr>
                <w:b/>
                <w:bCs/>
                <w:i/>
                <w:sz w:val="22"/>
                <w:szCs w:val="22"/>
              </w:rPr>
              <w:t>Principiu</w:t>
            </w:r>
          </w:p>
        </w:tc>
        <w:tc>
          <w:tcPr>
            <w:tcW w:w="4928" w:type="dxa"/>
          </w:tcPr>
          <w:p w14:paraId="248FA89F" w14:textId="77777777" w:rsidR="001C08A5" w:rsidRDefault="00000000">
            <w:pPr>
              <w:widowControl/>
              <w:jc w:val="center"/>
              <w:rPr>
                <w:b/>
                <w:bCs/>
                <w:i/>
                <w:iCs/>
                <w:sz w:val="22"/>
                <w:szCs w:val="22"/>
              </w:rPr>
            </w:pPr>
            <w:r>
              <w:rPr>
                <w:b/>
                <w:bCs/>
                <w:i/>
                <w:iCs/>
                <w:sz w:val="22"/>
                <w:szCs w:val="22"/>
              </w:rPr>
              <w:t>PRINCIPIU</w:t>
            </w:r>
          </w:p>
          <w:p w14:paraId="3644A7AA" w14:textId="77777777" w:rsidR="001C08A5" w:rsidRDefault="00000000">
            <w:pPr>
              <w:widowControl/>
              <w:jc w:val="center"/>
              <w:rPr>
                <w:b/>
                <w:bCs/>
                <w:i/>
                <w:iCs/>
                <w:sz w:val="22"/>
                <w:szCs w:val="22"/>
              </w:rPr>
            </w:pPr>
            <w:r>
              <w:rPr>
                <w:b/>
                <w:bCs/>
                <w:i/>
                <w:iCs/>
                <w:sz w:val="22"/>
                <w:szCs w:val="22"/>
              </w:rPr>
              <w:t>În axul din punctul A' este prevăzut perete cu rezistență la foc (si ușă conform prevederi normate)</w:t>
            </w:r>
          </w:p>
          <w:p w14:paraId="02E0FEAD" w14:textId="77777777" w:rsidR="001C08A5" w:rsidRDefault="00000000">
            <w:pPr>
              <w:widowControl/>
              <w:jc w:val="center"/>
              <w:rPr>
                <w:b/>
                <w:bCs/>
                <w:i/>
                <w:iCs/>
                <w:sz w:val="22"/>
                <w:szCs w:val="22"/>
              </w:rPr>
            </w:pPr>
            <w:r>
              <w:rPr>
                <w:b/>
                <w:bCs/>
                <w:i/>
                <w:iCs/>
                <w:sz w:val="22"/>
                <w:szCs w:val="22"/>
              </w:rPr>
              <w:t>Dacă (AA') &lt; l</w:t>
            </w:r>
          </w:p>
          <w:p w14:paraId="0C96E521" w14:textId="77777777" w:rsidR="001C08A5" w:rsidRDefault="00000000">
            <w:pPr>
              <w:jc w:val="center"/>
              <w:rPr>
                <w:b/>
                <w:bCs/>
                <w:i/>
                <w:iCs/>
                <w:sz w:val="22"/>
                <w:szCs w:val="22"/>
              </w:rPr>
            </w:pPr>
            <w:r>
              <w:rPr>
                <w:b/>
                <w:bCs/>
                <w:i/>
                <w:iCs/>
                <w:sz w:val="22"/>
                <w:szCs w:val="22"/>
              </w:rPr>
              <w:t>(A'D)+(BD) sau (A'D)+(CD) ≤ L</w:t>
            </w:r>
          </w:p>
          <w:p w14:paraId="13E0D1E6" w14:textId="77777777" w:rsidR="001C08A5" w:rsidRDefault="00000000">
            <w:pPr>
              <w:jc w:val="center"/>
              <w:rPr>
                <w:b/>
                <w:bCs/>
                <w:i/>
                <w:iCs/>
                <w:sz w:val="22"/>
                <w:szCs w:val="22"/>
              </w:rPr>
            </w:pPr>
            <w:r>
              <w:rPr>
                <w:b/>
                <w:bCs/>
                <w:i/>
                <w:iCs/>
                <w:sz w:val="22"/>
                <w:szCs w:val="22"/>
              </w:rPr>
              <w:t>EXEMPLU</w:t>
            </w:r>
          </w:p>
          <w:p w14:paraId="32E123C9" w14:textId="77777777" w:rsidR="001C08A5" w:rsidRDefault="00000000">
            <w:pPr>
              <w:jc w:val="center"/>
              <w:rPr>
                <w:b/>
                <w:bCs/>
                <w:i/>
                <w:iCs/>
                <w:sz w:val="22"/>
                <w:szCs w:val="22"/>
              </w:rPr>
            </w:pPr>
            <w:r>
              <w:rPr>
                <w:b/>
                <w:bCs/>
                <w:i/>
                <w:iCs/>
                <w:sz w:val="22"/>
                <w:szCs w:val="22"/>
              </w:rPr>
              <w:t>L1+L2 ≤  L</w:t>
            </w:r>
          </w:p>
          <w:p w14:paraId="0226AC4E" w14:textId="77777777" w:rsidR="001C08A5" w:rsidRDefault="00000000">
            <w:pPr>
              <w:jc w:val="center"/>
              <w:rPr>
                <w:b/>
                <w:bCs/>
                <w:i/>
                <w:iCs/>
                <w:sz w:val="22"/>
                <w:szCs w:val="22"/>
                <w:u w:val="single"/>
              </w:rPr>
            </w:pPr>
            <w:r>
              <w:rPr>
                <w:b/>
                <w:bCs/>
                <w:i/>
                <w:iCs/>
                <w:sz w:val="22"/>
                <w:szCs w:val="22"/>
                <w:u w:val="single"/>
              </w:rPr>
              <w:t>nu este necesar ca</w:t>
            </w:r>
          </w:p>
          <w:p w14:paraId="20ACD2BD" w14:textId="77777777" w:rsidR="001C08A5" w:rsidRDefault="00000000">
            <w:pPr>
              <w:jc w:val="center"/>
              <w:rPr>
                <w:b/>
                <w:bCs/>
                <w:i/>
                <w:iCs/>
                <w:sz w:val="22"/>
                <w:szCs w:val="22"/>
              </w:rPr>
            </w:pPr>
            <w:r>
              <w:rPr>
                <w:b/>
                <w:bCs/>
                <w:i/>
                <w:iCs/>
                <w:sz w:val="22"/>
                <w:szCs w:val="22"/>
              </w:rPr>
              <w:t>L3 ≤  L</w:t>
            </w:r>
          </w:p>
          <w:p w14:paraId="211D66CE" w14:textId="77777777" w:rsidR="001C08A5" w:rsidRDefault="001C08A5">
            <w:pPr>
              <w:jc w:val="center"/>
              <w:rPr>
                <w:b/>
                <w:bCs/>
                <w:i/>
                <w:iCs/>
                <w:sz w:val="22"/>
                <w:szCs w:val="22"/>
              </w:rPr>
            </w:pPr>
          </w:p>
        </w:tc>
      </w:tr>
    </w:tbl>
    <w:p w14:paraId="44C5E794" w14:textId="77777777" w:rsidR="001C08A5" w:rsidRDefault="001C08A5">
      <w:pPr>
        <w:jc w:val="center"/>
      </w:pPr>
    </w:p>
    <w:p w14:paraId="7751E62A" w14:textId="77777777" w:rsidR="001C08A5" w:rsidRDefault="00000000">
      <w:pPr>
        <w:jc w:val="center"/>
      </w:pPr>
      <w:r>
        <w:rPr>
          <w:noProof/>
          <w:lang w:eastAsia="ro-RO"/>
        </w:rPr>
        <w:drawing>
          <wp:inline distT="0" distB="0" distL="114300" distR="114300" wp14:anchorId="7D27E85B" wp14:editId="7F09DDD8">
            <wp:extent cx="6161405" cy="2861945"/>
            <wp:effectExtent l="0" t="0" r="10795" b="14605"/>
            <wp:docPr id="4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21"/>
                    <pic:cNvPicPr>
                      <a:picLocks noChangeAspect="1"/>
                    </pic:cNvPicPr>
                  </pic:nvPicPr>
                  <pic:blipFill>
                    <a:blip r:embed="rId418"/>
                    <a:srcRect l="11653" t="8932" r="6706" b="1608"/>
                    <a:stretch>
                      <a:fillRect/>
                    </a:stretch>
                  </pic:blipFill>
                  <pic:spPr>
                    <a:xfrm>
                      <a:off x="0" y="0"/>
                      <a:ext cx="6161405" cy="2861945"/>
                    </a:xfrm>
                    <a:prstGeom prst="rect">
                      <a:avLst/>
                    </a:prstGeom>
                    <a:noFill/>
                    <a:ln>
                      <a:noFill/>
                    </a:ln>
                  </pic:spPr>
                </pic:pic>
              </a:graphicData>
            </a:graphic>
          </wp:inline>
        </w:drawing>
      </w:r>
    </w:p>
    <w:p w14:paraId="1BF7CB73" w14:textId="77777777" w:rsidR="001C08A5" w:rsidRDefault="00000000">
      <w:pPr>
        <w:jc w:val="center"/>
        <w:rPr>
          <w:b/>
          <w:bCs/>
          <w:i/>
          <w:iCs/>
          <w:sz w:val="22"/>
          <w:szCs w:val="22"/>
        </w:rPr>
      </w:pPr>
      <w:r>
        <w:rPr>
          <w:b/>
          <w:bCs/>
          <w:i/>
          <w:iCs/>
          <w:sz w:val="22"/>
          <w:szCs w:val="22"/>
        </w:rPr>
        <w:t>Exemplu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683"/>
      </w:tblGrid>
      <w:tr w:rsidR="001C08A5" w14:paraId="40F523C4" w14:textId="77777777">
        <w:tc>
          <w:tcPr>
            <w:tcW w:w="4927" w:type="dxa"/>
          </w:tcPr>
          <w:p w14:paraId="0C44CDBA" w14:textId="77777777" w:rsidR="001C08A5" w:rsidRDefault="001C08A5">
            <w:pPr>
              <w:jc w:val="center"/>
            </w:pPr>
          </w:p>
          <w:p w14:paraId="46950EF8" w14:textId="77777777" w:rsidR="001C08A5" w:rsidRDefault="00000000">
            <w:pPr>
              <w:jc w:val="center"/>
              <w:rPr>
                <w:b/>
                <w:bCs/>
                <w:i/>
                <w:iCs/>
                <w:sz w:val="22"/>
                <w:szCs w:val="22"/>
              </w:rPr>
            </w:pPr>
            <w:r>
              <w:rPr>
                <w:noProof/>
                <w:lang w:eastAsia="ro-RO"/>
              </w:rPr>
              <w:lastRenderedPageBreak/>
              <w:drawing>
                <wp:inline distT="0" distB="0" distL="114300" distR="114300" wp14:anchorId="3890B229" wp14:editId="220FB121">
                  <wp:extent cx="2998470" cy="1668780"/>
                  <wp:effectExtent l="0" t="0" r="11430" b="7620"/>
                  <wp:docPr id="4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24"/>
                          <pic:cNvPicPr>
                            <a:picLocks noChangeAspect="1"/>
                          </pic:cNvPicPr>
                        </pic:nvPicPr>
                        <pic:blipFill>
                          <a:blip r:embed="rId419"/>
                          <a:srcRect l="25506" t="22915" r="34810" b="15001"/>
                          <a:stretch>
                            <a:fillRect/>
                          </a:stretch>
                        </pic:blipFill>
                        <pic:spPr>
                          <a:xfrm>
                            <a:off x="0" y="0"/>
                            <a:ext cx="2998470" cy="1668780"/>
                          </a:xfrm>
                          <a:prstGeom prst="rect">
                            <a:avLst/>
                          </a:prstGeom>
                          <a:noFill/>
                          <a:ln>
                            <a:noFill/>
                          </a:ln>
                        </pic:spPr>
                      </pic:pic>
                    </a:graphicData>
                  </a:graphic>
                </wp:inline>
              </w:drawing>
            </w:r>
            <w:r>
              <w:rPr>
                <w:b/>
                <w:bCs/>
                <w:i/>
                <w:sz w:val="22"/>
                <w:szCs w:val="22"/>
              </w:rPr>
              <w:t>Principiu</w:t>
            </w:r>
          </w:p>
        </w:tc>
        <w:tc>
          <w:tcPr>
            <w:tcW w:w="4928" w:type="dxa"/>
          </w:tcPr>
          <w:p w14:paraId="5F6C14FC" w14:textId="77777777" w:rsidR="001C08A5" w:rsidRDefault="001C08A5">
            <w:pPr>
              <w:widowControl/>
              <w:jc w:val="center"/>
              <w:rPr>
                <w:b/>
                <w:bCs/>
                <w:i/>
                <w:iCs/>
                <w:sz w:val="22"/>
                <w:szCs w:val="22"/>
              </w:rPr>
            </w:pPr>
          </w:p>
          <w:p w14:paraId="506E0008" w14:textId="77777777" w:rsidR="001C08A5" w:rsidRDefault="001C08A5">
            <w:pPr>
              <w:widowControl/>
              <w:jc w:val="center"/>
              <w:rPr>
                <w:b/>
                <w:bCs/>
                <w:i/>
                <w:iCs/>
                <w:sz w:val="22"/>
                <w:szCs w:val="22"/>
              </w:rPr>
            </w:pPr>
          </w:p>
          <w:p w14:paraId="27040FBF" w14:textId="77777777" w:rsidR="001C08A5" w:rsidRDefault="001C08A5">
            <w:pPr>
              <w:widowControl/>
              <w:jc w:val="center"/>
              <w:rPr>
                <w:b/>
                <w:bCs/>
                <w:i/>
                <w:iCs/>
                <w:sz w:val="22"/>
                <w:szCs w:val="22"/>
              </w:rPr>
            </w:pPr>
          </w:p>
          <w:p w14:paraId="61DCC7E2" w14:textId="77777777" w:rsidR="001C08A5" w:rsidRDefault="001C08A5">
            <w:pPr>
              <w:widowControl/>
              <w:jc w:val="center"/>
              <w:rPr>
                <w:b/>
                <w:bCs/>
                <w:i/>
                <w:iCs/>
                <w:sz w:val="22"/>
                <w:szCs w:val="22"/>
              </w:rPr>
            </w:pPr>
          </w:p>
          <w:p w14:paraId="6DED1D76" w14:textId="77777777" w:rsidR="001C08A5" w:rsidRDefault="001C08A5">
            <w:pPr>
              <w:widowControl/>
              <w:jc w:val="center"/>
              <w:rPr>
                <w:b/>
                <w:bCs/>
                <w:i/>
                <w:iCs/>
                <w:sz w:val="22"/>
                <w:szCs w:val="22"/>
              </w:rPr>
            </w:pPr>
          </w:p>
          <w:p w14:paraId="3C903B71" w14:textId="77777777" w:rsidR="001C08A5" w:rsidRDefault="001C08A5">
            <w:pPr>
              <w:widowControl/>
              <w:jc w:val="center"/>
              <w:rPr>
                <w:b/>
                <w:bCs/>
                <w:i/>
                <w:iCs/>
                <w:sz w:val="22"/>
                <w:szCs w:val="22"/>
              </w:rPr>
            </w:pPr>
          </w:p>
          <w:p w14:paraId="04453665" w14:textId="77777777" w:rsidR="001C08A5" w:rsidRDefault="001C08A5">
            <w:pPr>
              <w:widowControl/>
              <w:jc w:val="center"/>
              <w:rPr>
                <w:b/>
                <w:bCs/>
                <w:i/>
                <w:iCs/>
                <w:sz w:val="22"/>
                <w:szCs w:val="22"/>
              </w:rPr>
            </w:pPr>
          </w:p>
          <w:p w14:paraId="6E447A15" w14:textId="77777777" w:rsidR="001C08A5" w:rsidRDefault="001C08A5">
            <w:pPr>
              <w:widowControl/>
              <w:jc w:val="center"/>
              <w:rPr>
                <w:b/>
                <w:bCs/>
                <w:i/>
                <w:iCs/>
                <w:sz w:val="22"/>
                <w:szCs w:val="22"/>
              </w:rPr>
            </w:pPr>
          </w:p>
          <w:p w14:paraId="540C7D13" w14:textId="77777777" w:rsidR="001C08A5" w:rsidRDefault="00000000">
            <w:pPr>
              <w:widowControl/>
              <w:jc w:val="center"/>
              <w:rPr>
                <w:b/>
                <w:bCs/>
                <w:i/>
                <w:iCs/>
                <w:sz w:val="22"/>
                <w:szCs w:val="22"/>
              </w:rPr>
            </w:pPr>
            <w:r>
              <w:rPr>
                <w:b/>
                <w:bCs/>
                <w:i/>
                <w:iCs/>
                <w:sz w:val="22"/>
                <w:szCs w:val="22"/>
              </w:rPr>
              <w:lastRenderedPageBreak/>
              <w:t>PRINCIPIU</w:t>
            </w:r>
          </w:p>
          <w:p w14:paraId="7E272F12" w14:textId="77777777" w:rsidR="001C08A5" w:rsidRDefault="00000000">
            <w:pPr>
              <w:widowControl/>
              <w:jc w:val="center"/>
              <w:rPr>
                <w:b/>
                <w:bCs/>
                <w:i/>
                <w:iCs/>
                <w:sz w:val="22"/>
                <w:szCs w:val="22"/>
              </w:rPr>
            </w:pPr>
            <w:r>
              <w:rPr>
                <w:b/>
                <w:bCs/>
                <w:i/>
                <w:iCs/>
                <w:sz w:val="22"/>
                <w:szCs w:val="22"/>
              </w:rPr>
              <w:t>În axul din punctul A' este prevăzut perete cu rezistență la foc (si ușă conform prevederi normate)</w:t>
            </w:r>
          </w:p>
          <w:p w14:paraId="4045B854" w14:textId="77777777" w:rsidR="001C08A5" w:rsidRDefault="00000000">
            <w:pPr>
              <w:widowControl/>
              <w:jc w:val="center"/>
              <w:rPr>
                <w:b/>
                <w:bCs/>
                <w:i/>
                <w:iCs/>
                <w:sz w:val="22"/>
                <w:szCs w:val="22"/>
              </w:rPr>
            </w:pPr>
            <w:r>
              <w:rPr>
                <w:b/>
                <w:bCs/>
                <w:i/>
                <w:iCs/>
                <w:sz w:val="22"/>
                <w:szCs w:val="22"/>
              </w:rPr>
              <w:t>Dacă (AA') &lt; l</w:t>
            </w:r>
          </w:p>
          <w:p w14:paraId="4DBD52D8" w14:textId="77777777" w:rsidR="001C08A5" w:rsidRDefault="00000000">
            <w:pPr>
              <w:widowControl/>
              <w:jc w:val="center"/>
              <w:rPr>
                <w:b/>
                <w:bCs/>
                <w:i/>
                <w:iCs/>
                <w:sz w:val="22"/>
                <w:szCs w:val="22"/>
              </w:rPr>
            </w:pPr>
            <w:r>
              <w:rPr>
                <w:b/>
                <w:bCs/>
                <w:i/>
                <w:iCs/>
                <w:sz w:val="22"/>
                <w:szCs w:val="22"/>
              </w:rPr>
              <w:t>(A'D)+(BD) sau (A'D)+(CD) ≤ L</w:t>
            </w:r>
          </w:p>
          <w:p w14:paraId="73200A9F" w14:textId="77777777" w:rsidR="001C08A5" w:rsidRDefault="00000000">
            <w:pPr>
              <w:jc w:val="center"/>
              <w:rPr>
                <w:b/>
                <w:bCs/>
                <w:i/>
                <w:iCs/>
                <w:sz w:val="22"/>
                <w:szCs w:val="22"/>
              </w:rPr>
            </w:pPr>
            <w:r>
              <w:rPr>
                <w:b/>
                <w:bCs/>
                <w:i/>
                <w:iCs/>
                <w:sz w:val="22"/>
                <w:szCs w:val="22"/>
              </w:rPr>
              <w:t>Cu condiția ca (A'D) &lt; l</w:t>
            </w:r>
          </w:p>
          <w:p w14:paraId="2F447404" w14:textId="77777777" w:rsidR="001C08A5" w:rsidRDefault="00000000">
            <w:pPr>
              <w:jc w:val="center"/>
              <w:rPr>
                <w:b/>
                <w:bCs/>
                <w:i/>
                <w:iCs/>
                <w:sz w:val="22"/>
                <w:szCs w:val="22"/>
              </w:rPr>
            </w:pPr>
            <w:r>
              <w:rPr>
                <w:b/>
                <w:bCs/>
                <w:i/>
                <w:iCs/>
                <w:sz w:val="22"/>
                <w:szCs w:val="22"/>
              </w:rPr>
              <w:t>EXEMPLU</w:t>
            </w:r>
          </w:p>
          <w:p w14:paraId="702399D6" w14:textId="77777777" w:rsidR="001C08A5" w:rsidRDefault="00000000">
            <w:pPr>
              <w:jc w:val="center"/>
              <w:rPr>
                <w:b/>
                <w:bCs/>
                <w:i/>
                <w:iCs/>
                <w:sz w:val="22"/>
                <w:szCs w:val="22"/>
              </w:rPr>
            </w:pPr>
            <w:r>
              <w:rPr>
                <w:b/>
                <w:bCs/>
                <w:i/>
                <w:iCs/>
                <w:sz w:val="22"/>
                <w:szCs w:val="22"/>
              </w:rPr>
              <w:t>L5+L6+L7 ≤  L</w:t>
            </w:r>
          </w:p>
          <w:p w14:paraId="20D1A586" w14:textId="77777777" w:rsidR="001C08A5" w:rsidRDefault="00000000">
            <w:pPr>
              <w:jc w:val="center"/>
              <w:rPr>
                <w:b/>
                <w:bCs/>
                <w:i/>
                <w:iCs/>
                <w:sz w:val="22"/>
                <w:szCs w:val="22"/>
                <w:u w:val="single"/>
              </w:rPr>
            </w:pPr>
            <w:r>
              <w:rPr>
                <w:b/>
                <w:bCs/>
                <w:i/>
                <w:iCs/>
                <w:sz w:val="22"/>
                <w:szCs w:val="22"/>
                <w:u w:val="single"/>
              </w:rPr>
              <w:t>nu este necesar ca</w:t>
            </w:r>
          </w:p>
          <w:p w14:paraId="25C7C60C" w14:textId="77777777" w:rsidR="001C08A5" w:rsidRDefault="00000000">
            <w:pPr>
              <w:jc w:val="center"/>
              <w:rPr>
                <w:b/>
                <w:bCs/>
                <w:i/>
                <w:iCs/>
                <w:sz w:val="22"/>
                <w:szCs w:val="22"/>
              </w:rPr>
            </w:pPr>
            <w:r>
              <w:rPr>
                <w:b/>
                <w:bCs/>
                <w:i/>
                <w:iCs/>
                <w:sz w:val="22"/>
                <w:szCs w:val="22"/>
              </w:rPr>
              <w:t>L5+L8+L9 ≤  L</w:t>
            </w:r>
          </w:p>
          <w:p w14:paraId="7C056EF5" w14:textId="77777777" w:rsidR="001C08A5" w:rsidRDefault="00000000">
            <w:pPr>
              <w:jc w:val="center"/>
              <w:rPr>
                <w:b/>
                <w:bCs/>
                <w:i/>
                <w:iCs/>
                <w:sz w:val="22"/>
                <w:szCs w:val="22"/>
              </w:rPr>
            </w:pPr>
            <w:r>
              <w:rPr>
                <w:b/>
                <w:bCs/>
                <w:i/>
                <w:iCs/>
                <w:sz w:val="22"/>
                <w:szCs w:val="22"/>
              </w:rPr>
              <w:t>este necesar ca</w:t>
            </w:r>
          </w:p>
          <w:p w14:paraId="777E9A79" w14:textId="77777777" w:rsidR="001C08A5" w:rsidRDefault="00000000">
            <w:pPr>
              <w:jc w:val="center"/>
              <w:rPr>
                <w:b/>
                <w:bCs/>
                <w:i/>
                <w:iCs/>
                <w:sz w:val="22"/>
                <w:szCs w:val="22"/>
              </w:rPr>
            </w:pPr>
            <w:r>
              <w:rPr>
                <w:b/>
                <w:bCs/>
                <w:i/>
                <w:iCs/>
                <w:sz w:val="22"/>
                <w:szCs w:val="22"/>
              </w:rPr>
              <w:t>L1+L2+L3+L4 &lt; l</w:t>
            </w:r>
          </w:p>
          <w:p w14:paraId="4EF8FC55" w14:textId="77777777" w:rsidR="001C08A5" w:rsidRDefault="00000000">
            <w:pPr>
              <w:jc w:val="center"/>
              <w:rPr>
                <w:b/>
                <w:bCs/>
                <w:i/>
                <w:iCs/>
                <w:sz w:val="22"/>
                <w:szCs w:val="22"/>
              </w:rPr>
            </w:pPr>
            <w:r>
              <w:rPr>
                <w:b/>
                <w:bCs/>
                <w:i/>
                <w:iCs/>
                <w:sz w:val="22"/>
                <w:szCs w:val="22"/>
              </w:rPr>
              <w:t>L5 &lt; l</w:t>
            </w:r>
          </w:p>
        </w:tc>
      </w:tr>
    </w:tbl>
    <w:p w14:paraId="1769FCB5" w14:textId="77777777" w:rsidR="001C08A5" w:rsidRDefault="001C08A5">
      <w:pPr>
        <w:jc w:val="center"/>
        <w:rPr>
          <w:b/>
          <w:bCs/>
          <w:i/>
          <w:iCs/>
          <w:sz w:val="22"/>
          <w:szCs w:val="22"/>
        </w:rPr>
      </w:pPr>
    </w:p>
    <w:p w14:paraId="581071D0" w14:textId="77777777" w:rsidR="001C08A5" w:rsidRDefault="00000000">
      <w:pPr>
        <w:jc w:val="center"/>
      </w:pPr>
      <w:r>
        <w:rPr>
          <w:noProof/>
          <w:lang w:eastAsia="ro-RO"/>
        </w:rPr>
        <w:drawing>
          <wp:inline distT="0" distB="0" distL="114300" distR="114300" wp14:anchorId="4F0AF77C" wp14:editId="72C5283C">
            <wp:extent cx="6163310" cy="3804285"/>
            <wp:effectExtent l="0" t="0" r="8890" b="5715"/>
            <wp:docPr id="4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23"/>
                    <pic:cNvPicPr>
                      <a:picLocks noChangeAspect="1"/>
                    </pic:cNvPicPr>
                  </pic:nvPicPr>
                  <pic:blipFill>
                    <a:blip r:embed="rId420"/>
                    <a:srcRect l="11845" t="4332" r="6503" b="1986"/>
                    <a:stretch>
                      <a:fillRect/>
                    </a:stretch>
                  </pic:blipFill>
                  <pic:spPr>
                    <a:xfrm>
                      <a:off x="0" y="0"/>
                      <a:ext cx="6163310" cy="3804285"/>
                    </a:xfrm>
                    <a:prstGeom prst="rect">
                      <a:avLst/>
                    </a:prstGeom>
                    <a:noFill/>
                    <a:ln>
                      <a:noFill/>
                    </a:ln>
                  </pic:spPr>
                </pic:pic>
              </a:graphicData>
            </a:graphic>
          </wp:inline>
        </w:drawing>
      </w:r>
    </w:p>
    <w:p w14:paraId="09EB0C09" w14:textId="77777777" w:rsidR="001C08A5" w:rsidRDefault="00000000">
      <w:pPr>
        <w:jc w:val="center"/>
        <w:rPr>
          <w:b/>
          <w:bCs/>
          <w:i/>
          <w:iCs/>
          <w:sz w:val="22"/>
          <w:szCs w:val="22"/>
        </w:rPr>
      </w:pPr>
      <w:r>
        <w:rPr>
          <w:b/>
          <w:bCs/>
          <w:i/>
          <w:iCs/>
          <w:sz w:val="22"/>
          <w:szCs w:val="22"/>
        </w:rPr>
        <w:t>Exemplu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563"/>
      </w:tblGrid>
      <w:tr w:rsidR="001C08A5" w14:paraId="035962DD" w14:textId="77777777">
        <w:tc>
          <w:tcPr>
            <w:tcW w:w="4927" w:type="dxa"/>
          </w:tcPr>
          <w:p w14:paraId="19397616" w14:textId="77777777" w:rsidR="001C08A5" w:rsidRDefault="001C08A5">
            <w:pPr>
              <w:jc w:val="center"/>
            </w:pPr>
          </w:p>
          <w:p w14:paraId="4C73E20A" w14:textId="77777777" w:rsidR="001C08A5" w:rsidRDefault="00000000">
            <w:pPr>
              <w:jc w:val="center"/>
              <w:rPr>
                <w:b/>
                <w:bCs/>
                <w:i/>
                <w:sz w:val="24"/>
                <w:szCs w:val="24"/>
              </w:rPr>
            </w:pPr>
            <w:r>
              <w:rPr>
                <w:noProof/>
                <w:lang w:eastAsia="ro-RO"/>
              </w:rPr>
              <w:drawing>
                <wp:inline distT="0" distB="0" distL="114300" distR="114300" wp14:anchorId="10A57DFC" wp14:editId="37DEED83">
                  <wp:extent cx="3081020" cy="1701165"/>
                  <wp:effectExtent l="0" t="0" r="5080" b="13335"/>
                  <wp:docPr id="4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26"/>
                          <pic:cNvPicPr>
                            <a:picLocks noChangeAspect="1"/>
                          </pic:cNvPicPr>
                        </pic:nvPicPr>
                        <pic:blipFill>
                          <a:blip r:embed="rId421"/>
                          <a:srcRect l="21425" t="19951" r="37809" b="14866"/>
                          <a:stretch>
                            <a:fillRect/>
                          </a:stretch>
                        </pic:blipFill>
                        <pic:spPr>
                          <a:xfrm>
                            <a:off x="0" y="0"/>
                            <a:ext cx="3081020" cy="1701165"/>
                          </a:xfrm>
                          <a:prstGeom prst="rect">
                            <a:avLst/>
                          </a:prstGeom>
                          <a:noFill/>
                          <a:ln>
                            <a:noFill/>
                          </a:ln>
                        </pic:spPr>
                      </pic:pic>
                    </a:graphicData>
                  </a:graphic>
                </wp:inline>
              </w:drawing>
            </w:r>
            <w:r>
              <w:rPr>
                <w:b/>
                <w:bCs/>
                <w:i/>
                <w:sz w:val="22"/>
                <w:szCs w:val="22"/>
              </w:rPr>
              <w:t>Principiu</w:t>
            </w:r>
          </w:p>
        </w:tc>
        <w:tc>
          <w:tcPr>
            <w:tcW w:w="4928" w:type="dxa"/>
          </w:tcPr>
          <w:p w14:paraId="14B36E61" w14:textId="77777777" w:rsidR="001C08A5" w:rsidRDefault="00000000">
            <w:pPr>
              <w:widowControl/>
              <w:jc w:val="center"/>
              <w:rPr>
                <w:b/>
                <w:bCs/>
                <w:i/>
                <w:iCs/>
                <w:sz w:val="22"/>
                <w:szCs w:val="22"/>
              </w:rPr>
            </w:pPr>
            <w:r>
              <w:rPr>
                <w:b/>
                <w:bCs/>
                <w:i/>
                <w:iCs/>
                <w:sz w:val="22"/>
                <w:szCs w:val="22"/>
              </w:rPr>
              <w:t>PRINCIPIU</w:t>
            </w:r>
          </w:p>
          <w:p w14:paraId="429E436C" w14:textId="77777777" w:rsidR="001C08A5" w:rsidRDefault="00000000">
            <w:pPr>
              <w:widowControl/>
              <w:jc w:val="center"/>
              <w:rPr>
                <w:b/>
                <w:bCs/>
                <w:i/>
                <w:iCs/>
                <w:sz w:val="22"/>
                <w:szCs w:val="22"/>
              </w:rPr>
            </w:pPr>
            <w:r>
              <w:rPr>
                <w:b/>
                <w:bCs/>
                <w:i/>
                <w:iCs/>
                <w:sz w:val="22"/>
                <w:szCs w:val="22"/>
              </w:rPr>
              <w:t>În axul din punctul A' este prevăzut perete cu rezistență la foc (si ușă conform prevederi normate)</w:t>
            </w:r>
          </w:p>
          <w:p w14:paraId="4C8D6B50" w14:textId="77777777" w:rsidR="001C08A5" w:rsidRDefault="00000000">
            <w:pPr>
              <w:widowControl/>
              <w:jc w:val="center"/>
              <w:rPr>
                <w:b/>
                <w:bCs/>
                <w:i/>
                <w:iCs/>
                <w:sz w:val="22"/>
                <w:szCs w:val="22"/>
              </w:rPr>
            </w:pPr>
            <w:r>
              <w:rPr>
                <w:b/>
                <w:bCs/>
                <w:i/>
                <w:iCs/>
                <w:sz w:val="22"/>
                <w:szCs w:val="22"/>
              </w:rPr>
              <w:t>Dacă (AA') &lt; l</w:t>
            </w:r>
          </w:p>
          <w:p w14:paraId="685AB72C" w14:textId="77777777" w:rsidR="001C08A5" w:rsidRDefault="00000000">
            <w:pPr>
              <w:widowControl/>
              <w:jc w:val="center"/>
              <w:rPr>
                <w:b/>
                <w:bCs/>
                <w:i/>
                <w:iCs/>
                <w:sz w:val="22"/>
                <w:szCs w:val="22"/>
              </w:rPr>
            </w:pPr>
            <w:r>
              <w:rPr>
                <w:b/>
                <w:bCs/>
                <w:i/>
                <w:iCs/>
                <w:sz w:val="22"/>
                <w:szCs w:val="22"/>
              </w:rPr>
              <w:t>(A'D)+(BD) sau (A'D)+(CD) ≤ L</w:t>
            </w:r>
          </w:p>
          <w:p w14:paraId="7B320E63" w14:textId="77777777" w:rsidR="001C08A5" w:rsidRDefault="00000000">
            <w:pPr>
              <w:jc w:val="center"/>
              <w:rPr>
                <w:b/>
                <w:bCs/>
                <w:i/>
                <w:iCs/>
                <w:sz w:val="22"/>
                <w:szCs w:val="22"/>
              </w:rPr>
            </w:pPr>
            <w:r>
              <w:rPr>
                <w:b/>
                <w:bCs/>
                <w:i/>
                <w:iCs/>
                <w:sz w:val="22"/>
                <w:szCs w:val="22"/>
              </w:rPr>
              <w:t>Cu condiția ca (A'D) &lt; l</w:t>
            </w:r>
          </w:p>
          <w:p w14:paraId="4A5EF263" w14:textId="77777777" w:rsidR="001C08A5" w:rsidRDefault="00000000">
            <w:pPr>
              <w:jc w:val="center"/>
              <w:rPr>
                <w:b/>
                <w:bCs/>
                <w:i/>
                <w:iCs/>
                <w:sz w:val="22"/>
                <w:szCs w:val="22"/>
              </w:rPr>
            </w:pPr>
            <w:r>
              <w:rPr>
                <w:b/>
                <w:bCs/>
                <w:i/>
                <w:iCs/>
                <w:sz w:val="22"/>
                <w:szCs w:val="22"/>
              </w:rPr>
              <w:t>EXEMPLU</w:t>
            </w:r>
          </w:p>
          <w:p w14:paraId="378594B6" w14:textId="77777777" w:rsidR="001C08A5" w:rsidRDefault="00000000">
            <w:pPr>
              <w:jc w:val="center"/>
              <w:rPr>
                <w:b/>
                <w:bCs/>
                <w:i/>
                <w:iCs/>
                <w:sz w:val="22"/>
                <w:szCs w:val="22"/>
              </w:rPr>
            </w:pPr>
            <w:r>
              <w:rPr>
                <w:b/>
                <w:bCs/>
                <w:i/>
                <w:iCs/>
                <w:sz w:val="22"/>
                <w:szCs w:val="22"/>
              </w:rPr>
              <w:t>L5+L6 ≤  L</w:t>
            </w:r>
          </w:p>
          <w:p w14:paraId="1AA6CE4E" w14:textId="77777777" w:rsidR="001C08A5" w:rsidRDefault="00000000">
            <w:pPr>
              <w:jc w:val="center"/>
              <w:rPr>
                <w:b/>
                <w:bCs/>
                <w:i/>
                <w:iCs/>
                <w:sz w:val="22"/>
                <w:szCs w:val="22"/>
                <w:u w:val="single"/>
              </w:rPr>
            </w:pPr>
            <w:r>
              <w:rPr>
                <w:b/>
                <w:bCs/>
                <w:i/>
                <w:iCs/>
                <w:sz w:val="22"/>
                <w:szCs w:val="22"/>
                <w:u w:val="single"/>
              </w:rPr>
              <w:t>nu este necesar ca</w:t>
            </w:r>
          </w:p>
          <w:p w14:paraId="0C45450E" w14:textId="77777777" w:rsidR="001C08A5" w:rsidRDefault="00000000">
            <w:pPr>
              <w:jc w:val="center"/>
              <w:rPr>
                <w:b/>
                <w:bCs/>
                <w:i/>
                <w:iCs/>
                <w:sz w:val="22"/>
                <w:szCs w:val="22"/>
              </w:rPr>
            </w:pPr>
            <w:r>
              <w:rPr>
                <w:b/>
                <w:bCs/>
                <w:i/>
                <w:iCs/>
                <w:sz w:val="22"/>
                <w:szCs w:val="22"/>
              </w:rPr>
              <w:t>L5+L7 ≤  L</w:t>
            </w:r>
          </w:p>
          <w:p w14:paraId="5876DED6" w14:textId="77777777" w:rsidR="001C08A5" w:rsidRDefault="00000000">
            <w:pPr>
              <w:jc w:val="center"/>
              <w:rPr>
                <w:b/>
                <w:bCs/>
                <w:i/>
                <w:iCs/>
                <w:sz w:val="22"/>
                <w:szCs w:val="22"/>
              </w:rPr>
            </w:pPr>
            <w:r>
              <w:rPr>
                <w:b/>
                <w:bCs/>
                <w:i/>
                <w:iCs/>
                <w:sz w:val="22"/>
                <w:szCs w:val="22"/>
              </w:rPr>
              <w:t>este necesar ca</w:t>
            </w:r>
          </w:p>
          <w:p w14:paraId="634F8CC9" w14:textId="77777777" w:rsidR="001C08A5" w:rsidRDefault="00000000">
            <w:pPr>
              <w:jc w:val="center"/>
              <w:rPr>
                <w:b/>
                <w:bCs/>
                <w:i/>
                <w:iCs/>
                <w:sz w:val="22"/>
                <w:szCs w:val="22"/>
              </w:rPr>
            </w:pPr>
            <w:r>
              <w:rPr>
                <w:b/>
                <w:bCs/>
                <w:i/>
                <w:iCs/>
                <w:sz w:val="22"/>
                <w:szCs w:val="22"/>
              </w:rPr>
              <w:t>L1+L2+L3+L4 &lt; l</w:t>
            </w:r>
          </w:p>
          <w:p w14:paraId="7DD8DB13" w14:textId="77777777" w:rsidR="001C08A5" w:rsidRDefault="00000000">
            <w:pPr>
              <w:jc w:val="center"/>
            </w:pPr>
            <w:r>
              <w:rPr>
                <w:b/>
                <w:bCs/>
                <w:i/>
                <w:iCs/>
                <w:sz w:val="22"/>
                <w:szCs w:val="22"/>
              </w:rPr>
              <w:t>L5 &lt; l</w:t>
            </w:r>
          </w:p>
        </w:tc>
      </w:tr>
    </w:tbl>
    <w:p w14:paraId="17326E9C" w14:textId="77777777" w:rsidR="001C08A5" w:rsidRDefault="001C08A5">
      <w:pPr>
        <w:jc w:val="center"/>
      </w:pPr>
    </w:p>
    <w:p w14:paraId="04CA249A" w14:textId="77777777" w:rsidR="001C08A5" w:rsidRDefault="00000000">
      <w:pPr>
        <w:jc w:val="center"/>
      </w:pPr>
      <w:r>
        <w:rPr>
          <w:noProof/>
          <w:lang w:eastAsia="ro-RO"/>
        </w:rPr>
        <w:lastRenderedPageBreak/>
        <w:drawing>
          <wp:inline distT="0" distB="0" distL="114300" distR="114300" wp14:anchorId="7E4A8092" wp14:editId="0B3353E8">
            <wp:extent cx="6172835" cy="3841750"/>
            <wp:effectExtent l="0" t="0" r="18415" b="6350"/>
            <wp:docPr id="4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25"/>
                    <pic:cNvPicPr>
                      <a:picLocks noChangeAspect="1"/>
                    </pic:cNvPicPr>
                  </pic:nvPicPr>
                  <pic:blipFill>
                    <a:blip r:embed="rId422"/>
                    <a:srcRect l="11637" t="3308" r="6688"/>
                    <a:stretch>
                      <a:fillRect/>
                    </a:stretch>
                  </pic:blipFill>
                  <pic:spPr>
                    <a:xfrm>
                      <a:off x="0" y="0"/>
                      <a:ext cx="6172835" cy="3841750"/>
                    </a:xfrm>
                    <a:prstGeom prst="rect">
                      <a:avLst/>
                    </a:prstGeom>
                    <a:noFill/>
                    <a:ln>
                      <a:noFill/>
                    </a:ln>
                  </pic:spPr>
                </pic:pic>
              </a:graphicData>
            </a:graphic>
          </wp:inline>
        </w:drawing>
      </w:r>
    </w:p>
    <w:p w14:paraId="59EAD7D3" w14:textId="77777777" w:rsidR="001C08A5" w:rsidRDefault="00000000">
      <w:pPr>
        <w:jc w:val="center"/>
        <w:rPr>
          <w:b/>
          <w:bCs/>
          <w:i/>
          <w:sz w:val="22"/>
          <w:szCs w:val="22"/>
        </w:rPr>
      </w:pPr>
      <w:r>
        <w:rPr>
          <w:b/>
          <w:bCs/>
          <w:i/>
          <w:sz w:val="22"/>
          <w:szCs w:val="22"/>
        </w:rPr>
        <w:t>Exemplu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1"/>
        <w:gridCol w:w="4768"/>
      </w:tblGrid>
      <w:tr w:rsidR="001C08A5" w14:paraId="7B9DA1EA" w14:textId="77777777">
        <w:tc>
          <w:tcPr>
            <w:tcW w:w="4927" w:type="dxa"/>
          </w:tcPr>
          <w:p w14:paraId="2166961E" w14:textId="77777777" w:rsidR="001C08A5" w:rsidRDefault="001C08A5">
            <w:pPr>
              <w:jc w:val="center"/>
            </w:pPr>
          </w:p>
          <w:p w14:paraId="7799B5EA" w14:textId="77777777" w:rsidR="001C08A5" w:rsidRDefault="00000000">
            <w:pPr>
              <w:jc w:val="center"/>
              <w:rPr>
                <w:lang w:eastAsia="ro-RO"/>
              </w:rPr>
            </w:pPr>
            <w:r>
              <w:rPr>
                <w:noProof/>
                <w:lang w:eastAsia="ro-RO"/>
              </w:rPr>
              <w:drawing>
                <wp:inline distT="0" distB="0" distL="114300" distR="114300" wp14:anchorId="4B26B04A" wp14:editId="2645EBE3">
                  <wp:extent cx="2235200" cy="2447925"/>
                  <wp:effectExtent l="0" t="0" r="12700" b="9525"/>
                  <wp:docPr id="43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31"/>
                          <pic:cNvPicPr>
                            <a:picLocks noChangeAspect="1"/>
                          </pic:cNvPicPr>
                        </pic:nvPicPr>
                        <pic:blipFill>
                          <a:blip r:embed="rId423"/>
                          <a:srcRect l="25242" t="27581" r="45141" b="15894"/>
                          <a:stretch>
                            <a:fillRect/>
                          </a:stretch>
                        </pic:blipFill>
                        <pic:spPr>
                          <a:xfrm>
                            <a:off x="0" y="0"/>
                            <a:ext cx="2235200" cy="2447925"/>
                          </a:xfrm>
                          <a:prstGeom prst="rect">
                            <a:avLst/>
                          </a:prstGeom>
                          <a:noFill/>
                          <a:ln>
                            <a:noFill/>
                          </a:ln>
                        </pic:spPr>
                      </pic:pic>
                    </a:graphicData>
                  </a:graphic>
                </wp:inline>
              </w:drawing>
            </w:r>
          </w:p>
          <w:p w14:paraId="5EE4DAFA" w14:textId="77777777" w:rsidR="001C08A5" w:rsidRDefault="00000000">
            <w:pPr>
              <w:jc w:val="center"/>
              <w:rPr>
                <w:b/>
                <w:bCs/>
                <w:i/>
                <w:sz w:val="24"/>
                <w:szCs w:val="24"/>
              </w:rPr>
            </w:pPr>
            <w:r>
              <w:rPr>
                <w:b/>
                <w:bCs/>
                <w:i/>
                <w:sz w:val="22"/>
                <w:szCs w:val="22"/>
              </w:rPr>
              <w:t>Principiu</w:t>
            </w:r>
          </w:p>
          <w:p w14:paraId="0CB18429" w14:textId="77777777" w:rsidR="001C08A5" w:rsidRDefault="001C08A5">
            <w:pPr>
              <w:jc w:val="center"/>
              <w:rPr>
                <w:b/>
                <w:bCs/>
                <w:i/>
                <w:sz w:val="22"/>
                <w:szCs w:val="22"/>
              </w:rPr>
            </w:pPr>
          </w:p>
        </w:tc>
        <w:tc>
          <w:tcPr>
            <w:tcW w:w="4928" w:type="dxa"/>
          </w:tcPr>
          <w:p w14:paraId="1127DC7C" w14:textId="77777777" w:rsidR="001C08A5" w:rsidRDefault="00000000">
            <w:pPr>
              <w:widowControl/>
              <w:jc w:val="center"/>
              <w:rPr>
                <w:b/>
                <w:bCs/>
                <w:i/>
                <w:iCs/>
                <w:sz w:val="22"/>
                <w:szCs w:val="22"/>
              </w:rPr>
            </w:pPr>
            <w:r>
              <w:rPr>
                <w:b/>
                <w:bCs/>
                <w:i/>
                <w:iCs/>
                <w:sz w:val="22"/>
                <w:szCs w:val="22"/>
              </w:rPr>
              <w:t>PRINCIPIU</w:t>
            </w:r>
          </w:p>
          <w:p w14:paraId="41422E61" w14:textId="77777777" w:rsidR="001C08A5" w:rsidRDefault="00000000">
            <w:pPr>
              <w:widowControl/>
              <w:jc w:val="center"/>
              <w:rPr>
                <w:b/>
                <w:bCs/>
                <w:i/>
                <w:iCs/>
                <w:sz w:val="22"/>
                <w:szCs w:val="22"/>
              </w:rPr>
            </w:pPr>
            <w:r>
              <w:rPr>
                <w:b/>
                <w:bCs/>
                <w:i/>
                <w:iCs/>
                <w:sz w:val="22"/>
                <w:szCs w:val="22"/>
              </w:rPr>
              <w:t>În axul din punctul A' este prevăzut perete cu rezistență la foc (si ușă conform prevederi normate)</w:t>
            </w:r>
          </w:p>
          <w:p w14:paraId="22FA14F5" w14:textId="77777777" w:rsidR="001C08A5" w:rsidRDefault="00000000">
            <w:pPr>
              <w:widowControl/>
              <w:jc w:val="center"/>
              <w:rPr>
                <w:b/>
                <w:bCs/>
                <w:i/>
                <w:iCs/>
                <w:sz w:val="22"/>
                <w:szCs w:val="22"/>
              </w:rPr>
            </w:pPr>
            <w:r>
              <w:rPr>
                <w:b/>
                <w:bCs/>
                <w:i/>
                <w:iCs/>
                <w:sz w:val="22"/>
                <w:szCs w:val="22"/>
              </w:rPr>
              <w:t>Dacă (AA') &lt; l</w:t>
            </w:r>
          </w:p>
          <w:p w14:paraId="6F02CD0C" w14:textId="77777777" w:rsidR="001C08A5" w:rsidRDefault="00000000">
            <w:pPr>
              <w:widowControl/>
              <w:jc w:val="center"/>
              <w:rPr>
                <w:b/>
                <w:bCs/>
                <w:i/>
                <w:iCs/>
                <w:sz w:val="22"/>
                <w:szCs w:val="22"/>
              </w:rPr>
            </w:pPr>
            <w:r>
              <w:rPr>
                <w:b/>
                <w:bCs/>
                <w:i/>
                <w:iCs/>
                <w:sz w:val="22"/>
                <w:szCs w:val="22"/>
              </w:rPr>
              <w:t>(A'D)+(BD) sau (A'D)+(CD) ≤ L</w:t>
            </w:r>
          </w:p>
          <w:p w14:paraId="59814197" w14:textId="77777777" w:rsidR="001C08A5" w:rsidRDefault="00000000">
            <w:pPr>
              <w:jc w:val="center"/>
              <w:rPr>
                <w:b/>
                <w:bCs/>
                <w:i/>
                <w:iCs/>
                <w:sz w:val="22"/>
                <w:szCs w:val="22"/>
              </w:rPr>
            </w:pPr>
            <w:r>
              <w:rPr>
                <w:b/>
                <w:bCs/>
                <w:i/>
                <w:iCs/>
                <w:sz w:val="22"/>
                <w:szCs w:val="22"/>
              </w:rPr>
              <w:t>Cu condiția ca (A'D) &lt; l</w:t>
            </w:r>
          </w:p>
          <w:p w14:paraId="4EBE1DFD" w14:textId="77777777" w:rsidR="001C08A5" w:rsidRDefault="00000000">
            <w:pPr>
              <w:jc w:val="center"/>
              <w:rPr>
                <w:b/>
                <w:bCs/>
                <w:i/>
                <w:iCs/>
                <w:sz w:val="22"/>
                <w:szCs w:val="22"/>
              </w:rPr>
            </w:pPr>
            <w:r>
              <w:rPr>
                <w:b/>
                <w:bCs/>
                <w:i/>
                <w:iCs/>
                <w:sz w:val="22"/>
                <w:szCs w:val="22"/>
              </w:rPr>
              <w:t>EXEMPLU</w:t>
            </w:r>
          </w:p>
          <w:p w14:paraId="6E914E78" w14:textId="77777777" w:rsidR="001C08A5" w:rsidRDefault="00000000">
            <w:pPr>
              <w:jc w:val="center"/>
              <w:rPr>
                <w:b/>
                <w:bCs/>
                <w:i/>
                <w:iCs/>
                <w:sz w:val="22"/>
                <w:szCs w:val="22"/>
              </w:rPr>
            </w:pPr>
            <w:r>
              <w:rPr>
                <w:b/>
                <w:bCs/>
                <w:i/>
                <w:iCs/>
                <w:sz w:val="22"/>
                <w:szCs w:val="22"/>
              </w:rPr>
              <w:t>L5+L6+L7 ≤  L</w:t>
            </w:r>
          </w:p>
          <w:p w14:paraId="577C5072" w14:textId="77777777" w:rsidR="001C08A5" w:rsidRDefault="00000000">
            <w:pPr>
              <w:jc w:val="center"/>
              <w:rPr>
                <w:b/>
                <w:bCs/>
                <w:i/>
                <w:iCs/>
                <w:sz w:val="22"/>
                <w:szCs w:val="22"/>
                <w:u w:val="single"/>
              </w:rPr>
            </w:pPr>
            <w:r>
              <w:rPr>
                <w:b/>
                <w:bCs/>
                <w:i/>
                <w:iCs/>
                <w:sz w:val="22"/>
                <w:szCs w:val="22"/>
                <w:u w:val="single"/>
              </w:rPr>
              <w:t>nu este necesar ca</w:t>
            </w:r>
          </w:p>
          <w:p w14:paraId="5727132F" w14:textId="77777777" w:rsidR="001C08A5" w:rsidRDefault="00000000">
            <w:pPr>
              <w:jc w:val="center"/>
              <w:rPr>
                <w:b/>
                <w:bCs/>
                <w:i/>
                <w:iCs/>
                <w:sz w:val="22"/>
                <w:szCs w:val="22"/>
              </w:rPr>
            </w:pPr>
            <w:r>
              <w:rPr>
                <w:b/>
                <w:bCs/>
                <w:i/>
                <w:iCs/>
                <w:sz w:val="22"/>
                <w:szCs w:val="22"/>
              </w:rPr>
              <w:t>L5+L8+L9 ≤  L</w:t>
            </w:r>
          </w:p>
          <w:p w14:paraId="1117CFE3" w14:textId="77777777" w:rsidR="001C08A5" w:rsidRDefault="00000000">
            <w:pPr>
              <w:jc w:val="center"/>
              <w:rPr>
                <w:b/>
                <w:bCs/>
                <w:i/>
                <w:iCs/>
                <w:sz w:val="22"/>
                <w:szCs w:val="22"/>
              </w:rPr>
            </w:pPr>
            <w:r>
              <w:rPr>
                <w:b/>
                <w:bCs/>
                <w:i/>
                <w:iCs/>
                <w:sz w:val="22"/>
                <w:szCs w:val="22"/>
              </w:rPr>
              <w:t>este necesar ca</w:t>
            </w:r>
          </w:p>
          <w:p w14:paraId="598EFAD3" w14:textId="77777777" w:rsidR="001C08A5" w:rsidRDefault="00000000">
            <w:pPr>
              <w:jc w:val="center"/>
              <w:rPr>
                <w:b/>
                <w:bCs/>
                <w:i/>
                <w:iCs/>
                <w:sz w:val="22"/>
                <w:szCs w:val="22"/>
              </w:rPr>
            </w:pPr>
            <w:r>
              <w:rPr>
                <w:b/>
                <w:bCs/>
                <w:i/>
                <w:iCs/>
                <w:sz w:val="22"/>
                <w:szCs w:val="22"/>
              </w:rPr>
              <w:t>L1+L2+L3+L4 &lt; l</w:t>
            </w:r>
          </w:p>
          <w:p w14:paraId="5D3955CE" w14:textId="77777777" w:rsidR="001C08A5" w:rsidRDefault="00000000">
            <w:pPr>
              <w:jc w:val="center"/>
              <w:rPr>
                <w:b/>
                <w:bCs/>
                <w:i/>
                <w:iCs/>
                <w:sz w:val="22"/>
                <w:szCs w:val="22"/>
              </w:rPr>
            </w:pPr>
            <w:r>
              <w:rPr>
                <w:b/>
                <w:bCs/>
                <w:i/>
                <w:iCs/>
                <w:sz w:val="22"/>
                <w:szCs w:val="22"/>
              </w:rPr>
              <w:t>L5 &lt; l</w:t>
            </w:r>
          </w:p>
        </w:tc>
      </w:tr>
    </w:tbl>
    <w:p w14:paraId="6959854B" w14:textId="77777777" w:rsidR="001C08A5" w:rsidRDefault="00000000">
      <w:pPr>
        <w:jc w:val="center"/>
      </w:pPr>
      <w:r>
        <w:rPr>
          <w:noProof/>
          <w:lang w:eastAsia="ro-RO"/>
        </w:rPr>
        <w:lastRenderedPageBreak/>
        <w:drawing>
          <wp:inline distT="0" distB="0" distL="114300" distR="114300" wp14:anchorId="6377379C" wp14:editId="6F9D34D5">
            <wp:extent cx="5927725" cy="4330700"/>
            <wp:effectExtent l="0" t="0" r="15875" b="12700"/>
            <wp:docPr id="43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30"/>
                    <pic:cNvPicPr>
                      <a:picLocks noChangeAspect="1"/>
                    </pic:cNvPicPr>
                  </pic:nvPicPr>
                  <pic:blipFill>
                    <a:blip r:embed="rId424"/>
                    <a:srcRect l="13883" r="7573"/>
                    <a:stretch>
                      <a:fillRect/>
                    </a:stretch>
                  </pic:blipFill>
                  <pic:spPr>
                    <a:xfrm>
                      <a:off x="0" y="0"/>
                      <a:ext cx="5927725" cy="4330700"/>
                    </a:xfrm>
                    <a:prstGeom prst="rect">
                      <a:avLst/>
                    </a:prstGeom>
                    <a:noFill/>
                    <a:ln>
                      <a:noFill/>
                    </a:ln>
                  </pic:spPr>
                </pic:pic>
              </a:graphicData>
            </a:graphic>
          </wp:inline>
        </w:drawing>
      </w:r>
    </w:p>
    <w:p w14:paraId="2A5B6EAE" w14:textId="77777777" w:rsidR="001C08A5" w:rsidRDefault="00000000">
      <w:pPr>
        <w:jc w:val="center"/>
        <w:rPr>
          <w:b/>
          <w:bCs/>
          <w:i/>
          <w:sz w:val="22"/>
          <w:szCs w:val="22"/>
        </w:rPr>
      </w:pPr>
      <w:r>
        <w:rPr>
          <w:b/>
          <w:bCs/>
          <w:i/>
          <w:sz w:val="22"/>
          <w:szCs w:val="22"/>
        </w:rPr>
        <w:t>Exemplu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9"/>
        <w:gridCol w:w="4760"/>
      </w:tblGrid>
      <w:tr w:rsidR="001C08A5" w14:paraId="70D0C237" w14:textId="77777777">
        <w:tc>
          <w:tcPr>
            <w:tcW w:w="4927" w:type="dxa"/>
          </w:tcPr>
          <w:p w14:paraId="10B1DA49" w14:textId="77777777" w:rsidR="001C08A5" w:rsidRDefault="001C08A5">
            <w:pPr>
              <w:jc w:val="center"/>
            </w:pPr>
          </w:p>
          <w:p w14:paraId="120FEA87" w14:textId="77777777" w:rsidR="001C08A5" w:rsidRDefault="00000000">
            <w:pPr>
              <w:jc w:val="center"/>
              <w:rPr>
                <w:lang w:eastAsia="ro-RO"/>
              </w:rPr>
            </w:pPr>
            <w:r>
              <w:rPr>
                <w:noProof/>
                <w:lang w:eastAsia="ro-RO"/>
              </w:rPr>
              <w:drawing>
                <wp:inline distT="0" distB="0" distL="114300" distR="114300" wp14:anchorId="7D00D56C" wp14:editId="24088ECA">
                  <wp:extent cx="2374265" cy="2535555"/>
                  <wp:effectExtent l="0" t="0" r="6985" b="17145"/>
                  <wp:docPr id="4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32"/>
                          <pic:cNvPicPr>
                            <a:picLocks noChangeAspect="1"/>
                          </pic:cNvPicPr>
                        </pic:nvPicPr>
                        <pic:blipFill>
                          <a:blip r:embed="rId425"/>
                          <a:srcRect l="17476" t="9311" r="51064" b="32141"/>
                          <a:stretch>
                            <a:fillRect/>
                          </a:stretch>
                        </pic:blipFill>
                        <pic:spPr>
                          <a:xfrm>
                            <a:off x="0" y="0"/>
                            <a:ext cx="2374265" cy="2535555"/>
                          </a:xfrm>
                          <a:prstGeom prst="rect">
                            <a:avLst/>
                          </a:prstGeom>
                          <a:noFill/>
                          <a:ln>
                            <a:noFill/>
                          </a:ln>
                        </pic:spPr>
                      </pic:pic>
                    </a:graphicData>
                  </a:graphic>
                </wp:inline>
              </w:drawing>
            </w:r>
          </w:p>
          <w:p w14:paraId="07A505E1" w14:textId="77777777" w:rsidR="001C08A5" w:rsidRDefault="00000000">
            <w:pPr>
              <w:jc w:val="center"/>
              <w:rPr>
                <w:b/>
                <w:bCs/>
                <w:i/>
                <w:sz w:val="24"/>
                <w:szCs w:val="24"/>
              </w:rPr>
            </w:pPr>
            <w:r>
              <w:rPr>
                <w:b/>
                <w:bCs/>
                <w:i/>
                <w:sz w:val="22"/>
                <w:szCs w:val="22"/>
              </w:rPr>
              <w:t>Principiu</w:t>
            </w:r>
          </w:p>
          <w:p w14:paraId="60DF2B21" w14:textId="77777777" w:rsidR="001C08A5" w:rsidRDefault="001C08A5">
            <w:pPr>
              <w:jc w:val="center"/>
              <w:rPr>
                <w:b/>
                <w:bCs/>
                <w:i/>
                <w:sz w:val="22"/>
                <w:szCs w:val="22"/>
              </w:rPr>
            </w:pPr>
          </w:p>
        </w:tc>
        <w:tc>
          <w:tcPr>
            <w:tcW w:w="4928" w:type="dxa"/>
          </w:tcPr>
          <w:p w14:paraId="6C867923" w14:textId="77777777" w:rsidR="001C08A5" w:rsidRDefault="00000000">
            <w:pPr>
              <w:widowControl/>
              <w:jc w:val="center"/>
              <w:rPr>
                <w:b/>
                <w:bCs/>
                <w:i/>
                <w:iCs/>
                <w:sz w:val="22"/>
                <w:szCs w:val="22"/>
              </w:rPr>
            </w:pPr>
            <w:r>
              <w:rPr>
                <w:b/>
                <w:bCs/>
                <w:i/>
                <w:iCs/>
                <w:sz w:val="22"/>
                <w:szCs w:val="22"/>
              </w:rPr>
              <w:t>PRINCIPIU</w:t>
            </w:r>
          </w:p>
          <w:p w14:paraId="7DE21FFC" w14:textId="77777777" w:rsidR="001C08A5" w:rsidRDefault="00000000">
            <w:pPr>
              <w:widowControl/>
              <w:jc w:val="center"/>
              <w:rPr>
                <w:b/>
                <w:bCs/>
                <w:i/>
                <w:iCs/>
                <w:sz w:val="22"/>
                <w:szCs w:val="22"/>
              </w:rPr>
            </w:pPr>
            <w:r>
              <w:rPr>
                <w:b/>
                <w:bCs/>
                <w:i/>
                <w:iCs/>
                <w:sz w:val="22"/>
                <w:szCs w:val="22"/>
              </w:rPr>
              <w:t>În axul din punctul A' este prevăzut perete cu rezistență la foc (si ușă conform prevederi normate)</w:t>
            </w:r>
          </w:p>
          <w:p w14:paraId="66F1F284" w14:textId="77777777" w:rsidR="001C08A5" w:rsidRDefault="00000000">
            <w:pPr>
              <w:widowControl/>
              <w:jc w:val="center"/>
              <w:rPr>
                <w:b/>
                <w:bCs/>
                <w:i/>
                <w:iCs/>
                <w:sz w:val="22"/>
                <w:szCs w:val="22"/>
              </w:rPr>
            </w:pPr>
            <w:r>
              <w:rPr>
                <w:b/>
                <w:bCs/>
                <w:i/>
                <w:iCs/>
                <w:sz w:val="22"/>
                <w:szCs w:val="22"/>
              </w:rPr>
              <w:t>Dacă (AA') &lt; l</w:t>
            </w:r>
          </w:p>
          <w:p w14:paraId="6AF1A86A" w14:textId="77777777" w:rsidR="001C08A5" w:rsidRDefault="00000000">
            <w:pPr>
              <w:widowControl/>
              <w:jc w:val="center"/>
              <w:rPr>
                <w:b/>
                <w:bCs/>
                <w:i/>
                <w:iCs/>
                <w:sz w:val="22"/>
                <w:szCs w:val="22"/>
              </w:rPr>
            </w:pPr>
            <w:r>
              <w:rPr>
                <w:b/>
                <w:bCs/>
                <w:i/>
                <w:iCs/>
                <w:sz w:val="22"/>
                <w:szCs w:val="22"/>
              </w:rPr>
              <w:t>(A'D)+(BD) sau (A'D)+(CD) ≤ L</w:t>
            </w:r>
          </w:p>
          <w:p w14:paraId="53D6CB04" w14:textId="77777777" w:rsidR="001C08A5" w:rsidRDefault="00000000">
            <w:pPr>
              <w:jc w:val="center"/>
              <w:rPr>
                <w:b/>
                <w:bCs/>
                <w:i/>
                <w:iCs/>
                <w:sz w:val="22"/>
                <w:szCs w:val="22"/>
              </w:rPr>
            </w:pPr>
            <w:r>
              <w:rPr>
                <w:b/>
                <w:bCs/>
                <w:i/>
                <w:iCs/>
                <w:sz w:val="22"/>
                <w:szCs w:val="22"/>
              </w:rPr>
              <w:t>Cu condiția ca (A'D) &lt; l</w:t>
            </w:r>
          </w:p>
          <w:p w14:paraId="7237307E" w14:textId="77777777" w:rsidR="001C08A5" w:rsidRDefault="00000000">
            <w:pPr>
              <w:jc w:val="center"/>
              <w:rPr>
                <w:b/>
                <w:bCs/>
                <w:i/>
                <w:iCs/>
                <w:sz w:val="22"/>
                <w:szCs w:val="22"/>
              </w:rPr>
            </w:pPr>
            <w:r>
              <w:rPr>
                <w:b/>
                <w:bCs/>
                <w:i/>
                <w:iCs/>
                <w:sz w:val="22"/>
                <w:szCs w:val="22"/>
              </w:rPr>
              <w:t>EXEMPLU</w:t>
            </w:r>
          </w:p>
          <w:p w14:paraId="4A4C3C05" w14:textId="77777777" w:rsidR="001C08A5" w:rsidRDefault="00000000">
            <w:pPr>
              <w:jc w:val="center"/>
              <w:rPr>
                <w:b/>
                <w:bCs/>
                <w:i/>
                <w:iCs/>
                <w:sz w:val="22"/>
                <w:szCs w:val="22"/>
              </w:rPr>
            </w:pPr>
            <w:r>
              <w:rPr>
                <w:b/>
                <w:bCs/>
                <w:i/>
                <w:iCs/>
                <w:sz w:val="22"/>
                <w:szCs w:val="22"/>
              </w:rPr>
              <w:t>L5+L6 ≤  L</w:t>
            </w:r>
          </w:p>
          <w:p w14:paraId="69A77B88" w14:textId="77777777" w:rsidR="001C08A5" w:rsidRDefault="00000000">
            <w:pPr>
              <w:jc w:val="center"/>
              <w:rPr>
                <w:b/>
                <w:bCs/>
                <w:i/>
                <w:iCs/>
                <w:sz w:val="22"/>
                <w:szCs w:val="22"/>
                <w:u w:val="single"/>
              </w:rPr>
            </w:pPr>
            <w:r>
              <w:rPr>
                <w:b/>
                <w:bCs/>
                <w:i/>
                <w:iCs/>
                <w:sz w:val="22"/>
                <w:szCs w:val="22"/>
                <w:u w:val="single"/>
              </w:rPr>
              <w:t>nu este necesar ca</w:t>
            </w:r>
          </w:p>
          <w:p w14:paraId="593B09F0" w14:textId="77777777" w:rsidR="001C08A5" w:rsidRDefault="00000000">
            <w:pPr>
              <w:jc w:val="center"/>
              <w:rPr>
                <w:b/>
                <w:bCs/>
                <w:i/>
                <w:iCs/>
                <w:sz w:val="22"/>
                <w:szCs w:val="22"/>
              </w:rPr>
            </w:pPr>
            <w:r>
              <w:rPr>
                <w:b/>
                <w:bCs/>
                <w:i/>
                <w:iCs/>
                <w:sz w:val="22"/>
                <w:szCs w:val="22"/>
              </w:rPr>
              <w:t>L5+L7 ≤  L</w:t>
            </w:r>
          </w:p>
          <w:p w14:paraId="48F92DDA" w14:textId="77777777" w:rsidR="001C08A5" w:rsidRDefault="00000000">
            <w:pPr>
              <w:jc w:val="center"/>
              <w:rPr>
                <w:b/>
                <w:bCs/>
                <w:i/>
                <w:iCs/>
                <w:sz w:val="22"/>
                <w:szCs w:val="22"/>
              </w:rPr>
            </w:pPr>
            <w:r>
              <w:rPr>
                <w:b/>
                <w:bCs/>
                <w:i/>
                <w:iCs/>
                <w:sz w:val="22"/>
                <w:szCs w:val="22"/>
              </w:rPr>
              <w:t>este necesar ca</w:t>
            </w:r>
          </w:p>
          <w:p w14:paraId="1A60F318" w14:textId="77777777" w:rsidR="001C08A5" w:rsidRDefault="00000000">
            <w:pPr>
              <w:jc w:val="center"/>
              <w:rPr>
                <w:b/>
                <w:bCs/>
                <w:i/>
                <w:iCs/>
                <w:sz w:val="22"/>
                <w:szCs w:val="22"/>
              </w:rPr>
            </w:pPr>
            <w:r>
              <w:rPr>
                <w:b/>
                <w:bCs/>
                <w:i/>
                <w:iCs/>
                <w:sz w:val="22"/>
                <w:szCs w:val="22"/>
              </w:rPr>
              <w:t>L1+L2+L3+L4 &lt; l</w:t>
            </w:r>
          </w:p>
          <w:p w14:paraId="145A8C9B" w14:textId="77777777" w:rsidR="001C08A5" w:rsidRDefault="00000000">
            <w:pPr>
              <w:jc w:val="center"/>
              <w:rPr>
                <w:b/>
                <w:bCs/>
                <w:i/>
                <w:iCs/>
                <w:sz w:val="22"/>
                <w:szCs w:val="22"/>
              </w:rPr>
            </w:pPr>
            <w:r>
              <w:rPr>
                <w:b/>
                <w:bCs/>
                <w:i/>
                <w:iCs/>
                <w:sz w:val="22"/>
                <w:szCs w:val="22"/>
              </w:rPr>
              <w:t>L5 &lt; l</w:t>
            </w:r>
          </w:p>
        </w:tc>
      </w:tr>
    </w:tbl>
    <w:p w14:paraId="13B7A2C2" w14:textId="77777777" w:rsidR="001C08A5" w:rsidRDefault="00000000">
      <w:pPr>
        <w:jc w:val="center"/>
      </w:pPr>
      <w:r>
        <w:rPr>
          <w:noProof/>
          <w:lang w:eastAsia="ro-RO"/>
        </w:rPr>
        <w:lastRenderedPageBreak/>
        <w:drawing>
          <wp:inline distT="0" distB="0" distL="114300" distR="114300" wp14:anchorId="775AAD47" wp14:editId="6CB66B16">
            <wp:extent cx="5854700" cy="4030345"/>
            <wp:effectExtent l="0" t="0" r="12700" b="8255"/>
            <wp:docPr id="4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29"/>
                    <pic:cNvPicPr>
                      <a:picLocks noChangeAspect="1"/>
                    </pic:cNvPicPr>
                  </pic:nvPicPr>
                  <pic:blipFill>
                    <a:blip r:embed="rId426"/>
                    <a:srcRect l="14363" t="1862" r="8061" b="5073"/>
                    <a:stretch>
                      <a:fillRect/>
                    </a:stretch>
                  </pic:blipFill>
                  <pic:spPr>
                    <a:xfrm>
                      <a:off x="0" y="0"/>
                      <a:ext cx="5854700" cy="4030345"/>
                    </a:xfrm>
                    <a:prstGeom prst="rect">
                      <a:avLst/>
                    </a:prstGeom>
                    <a:noFill/>
                    <a:ln>
                      <a:noFill/>
                    </a:ln>
                  </pic:spPr>
                </pic:pic>
              </a:graphicData>
            </a:graphic>
          </wp:inline>
        </w:drawing>
      </w:r>
    </w:p>
    <w:p w14:paraId="06EB99D0" w14:textId="77777777" w:rsidR="001C08A5" w:rsidRDefault="00000000">
      <w:pPr>
        <w:jc w:val="center"/>
        <w:rPr>
          <w:b/>
          <w:bCs/>
          <w:i/>
          <w:sz w:val="22"/>
          <w:szCs w:val="22"/>
        </w:rPr>
      </w:pPr>
      <w:r>
        <w:rPr>
          <w:b/>
          <w:bCs/>
          <w:i/>
          <w:sz w:val="22"/>
          <w:szCs w:val="22"/>
        </w:rPr>
        <w:t>Exemplu</w:t>
      </w:r>
    </w:p>
    <w:p w14:paraId="17786FEC" w14:textId="77777777" w:rsidR="001C08A5" w:rsidRDefault="00000000">
      <w:pPr>
        <w:pStyle w:val="Caption"/>
        <w:jc w:val="center"/>
        <w:rPr>
          <w:sz w:val="22"/>
          <w:szCs w:val="22"/>
        </w:rPr>
      </w:pPr>
      <w:bookmarkStart w:id="8557" w:name="_Toc162360432"/>
      <w:bookmarkStart w:id="8558" w:name="_Toc142898587"/>
      <w:r>
        <w:t xml:space="preserve">Figura </w:t>
      </w:r>
      <w:r>
        <w:fldChar w:fldCharType="begin"/>
      </w:r>
      <w:r>
        <w:instrText xml:space="preserve"> SEQ Figura \* ARABIC </w:instrText>
      </w:r>
      <w:r>
        <w:fldChar w:fldCharType="separate"/>
      </w:r>
      <w:r>
        <w:t>208</w:t>
      </w:r>
      <w:r>
        <w:fldChar w:fldCharType="end"/>
      </w:r>
      <w:bookmarkStart w:id="8559" w:name="_Toc3823"/>
      <w:bookmarkStart w:id="8560" w:name="_Toc6421"/>
      <w:bookmarkStart w:id="8561" w:name="_Toc16614"/>
      <w:bookmarkStart w:id="8562" w:name="_Toc26693"/>
      <w:bookmarkStart w:id="8563" w:name="_Toc8402"/>
      <w:bookmarkStart w:id="8564" w:name="_Toc20961"/>
      <w:bookmarkStart w:id="8565" w:name="_Toc28597"/>
      <w:bookmarkStart w:id="8566" w:name="_Toc462"/>
      <w:bookmarkStart w:id="8567" w:name="_Toc26594"/>
      <w:r>
        <w:t xml:space="preserve"> - Principii privind lungimea căii de evacuare pe coridoare</w:t>
      </w:r>
      <w:bookmarkEnd w:id="8557"/>
      <w:bookmarkEnd w:id="8558"/>
      <w:bookmarkEnd w:id="8559"/>
      <w:bookmarkEnd w:id="8560"/>
      <w:bookmarkEnd w:id="8561"/>
      <w:bookmarkEnd w:id="8562"/>
      <w:bookmarkEnd w:id="8563"/>
      <w:bookmarkEnd w:id="8564"/>
      <w:bookmarkEnd w:id="8565"/>
      <w:bookmarkEnd w:id="8566"/>
      <w:bookmarkEnd w:id="8567"/>
    </w:p>
    <w:p w14:paraId="026A5C6C" w14:textId="77777777" w:rsidR="001C08A5" w:rsidRDefault="00000000">
      <w:pPr>
        <w:pStyle w:val="Heading4"/>
        <w:rPr>
          <w:sz w:val="24"/>
          <w:szCs w:val="24"/>
        </w:rPr>
      </w:pPr>
      <w:bookmarkStart w:id="8568" w:name="_Toc5996"/>
      <w:bookmarkStart w:id="8569" w:name="_Toc28163"/>
      <w:bookmarkStart w:id="8570" w:name="_Toc27349"/>
      <w:bookmarkStart w:id="8571" w:name="_Toc4046"/>
      <w:bookmarkStart w:id="8572" w:name="_Toc26620"/>
      <w:bookmarkStart w:id="8573" w:name="_Toc17862"/>
      <w:bookmarkStart w:id="8574" w:name="_Toc15503"/>
      <w:bookmarkStart w:id="8575" w:name="_Toc162355455"/>
      <w:bookmarkStart w:id="8576" w:name="_Toc21825"/>
      <w:bookmarkStart w:id="8577" w:name="_Toc30429"/>
      <w:bookmarkStart w:id="8578" w:name="_Toc30613"/>
      <w:bookmarkStart w:id="8579" w:name="_Toc17693"/>
      <w:bookmarkStart w:id="8580" w:name="_Toc23917"/>
      <w:bookmarkStart w:id="8581" w:name="_Toc7310"/>
      <w:bookmarkStart w:id="8582" w:name="_Toc17927"/>
      <w:bookmarkStart w:id="8583" w:name="_Toc28914"/>
      <w:r>
        <w:rPr>
          <w:sz w:val="24"/>
          <w:szCs w:val="24"/>
        </w:rPr>
        <w:t>Open space</w:t>
      </w:r>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p>
    <w:p w14:paraId="45684ABD"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Distanțele pe căile de evacuare se măsoară pe orizontală în axul căilor de circulație și evacare și în direcția cea mai scurtă, după caz, de la locul cel mai  îndepărtat dintr-o încăpere sau spațiu (atunci când în interiorul încăperilor/ spațiilor lungimea căii de evacuare este mai mare decât lungimea de coridor înfundat specifică fiecărei funcțiuni sau tip de construcție) pâna la ușa scării, a degajamentului protejat sau a încăperii tampon de acces la cea mai  apropiată scară de evacuare ori la o ușă directă în exterior.</w:t>
      </w:r>
    </w:p>
    <w:p w14:paraId="4D0814A5" w14:textId="77777777" w:rsidR="001C08A5" w:rsidRDefault="001C08A5">
      <w:pPr>
        <w:ind w:firstLine="720"/>
        <w:jc w:val="both"/>
        <w:rPr>
          <w:rFonts w:eastAsia="Times New Roman"/>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6"/>
        <w:gridCol w:w="4633"/>
      </w:tblGrid>
      <w:tr w:rsidR="001C08A5" w14:paraId="13511A48" w14:textId="77777777">
        <w:tc>
          <w:tcPr>
            <w:tcW w:w="5046" w:type="dxa"/>
          </w:tcPr>
          <w:p w14:paraId="4A0CE292" w14:textId="77777777" w:rsidR="001C08A5" w:rsidRDefault="001C08A5">
            <w:pPr>
              <w:jc w:val="center"/>
              <w:rPr>
                <w:b/>
                <w:bCs/>
                <w:i/>
                <w:sz w:val="24"/>
                <w:szCs w:val="24"/>
              </w:rPr>
            </w:pPr>
          </w:p>
          <w:p w14:paraId="6B5CD2B4" w14:textId="77777777" w:rsidR="001C08A5" w:rsidRDefault="00000000">
            <w:pPr>
              <w:jc w:val="center"/>
              <w:rPr>
                <w:b/>
                <w:bCs/>
                <w:i/>
                <w:sz w:val="24"/>
                <w:szCs w:val="24"/>
              </w:rPr>
            </w:pPr>
            <w:r>
              <w:rPr>
                <w:b/>
                <w:bCs/>
                <w:i/>
                <w:noProof/>
                <w:sz w:val="24"/>
                <w:szCs w:val="24"/>
              </w:rPr>
              <w:drawing>
                <wp:inline distT="0" distB="0" distL="114300" distR="114300" wp14:anchorId="2D371338" wp14:editId="34E9184C">
                  <wp:extent cx="2741295" cy="1902460"/>
                  <wp:effectExtent l="0" t="0" r="1905" b="2540"/>
                  <wp:docPr id="3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6"/>
                          <pic:cNvPicPr>
                            <a:picLocks noChangeAspect="1"/>
                          </pic:cNvPicPr>
                        </pic:nvPicPr>
                        <pic:blipFill>
                          <a:blip r:embed="rId427"/>
                          <a:srcRect l="16017" t="38404" r="47666" b="26539"/>
                          <a:stretch>
                            <a:fillRect/>
                          </a:stretch>
                        </pic:blipFill>
                        <pic:spPr>
                          <a:xfrm>
                            <a:off x="0" y="0"/>
                            <a:ext cx="2741295" cy="1902460"/>
                          </a:xfrm>
                          <a:prstGeom prst="rect">
                            <a:avLst/>
                          </a:prstGeom>
                          <a:noFill/>
                          <a:ln>
                            <a:noFill/>
                          </a:ln>
                        </pic:spPr>
                      </pic:pic>
                    </a:graphicData>
                  </a:graphic>
                </wp:inline>
              </w:drawing>
            </w:r>
          </w:p>
          <w:p w14:paraId="630C3129" w14:textId="77777777" w:rsidR="001C08A5" w:rsidRDefault="00000000">
            <w:pPr>
              <w:jc w:val="center"/>
              <w:rPr>
                <w:rFonts w:eastAsia="Times New Roman"/>
                <w:i/>
                <w:sz w:val="24"/>
                <w:szCs w:val="24"/>
              </w:rPr>
            </w:pPr>
            <w:r>
              <w:rPr>
                <w:b/>
                <w:bCs/>
                <w:i/>
                <w:sz w:val="24"/>
                <w:szCs w:val="24"/>
              </w:rPr>
              <w:t>Principiu</w:t>
            </w:r>
          </w:p>
        </w:tc>
        <w:tc>
          <w:tcPr>
            <w:tcW w:w="4809" w:type="dxa"/>
          </w:tcPr>
          <w:p w14:paraId="65C6CFC7" w14:textId="77777777" w:rsidR="001C08A5" w:rsidRDefault="00000000">
            <w:pPr>
              <w:widowControl/>
              <w:jc w:val="center"/>
              <w:rPr>
                <w:b/>
                <w:bCs/>
                <w:i/>
                <w:iCs/>
                <w:sz w:val="22"/>
                <w:szCs w:val="22"/>
              </w:rPr>
            </w:pPr>
            <w:r>
              <w:rPr>
                <w:b/>
                <w:bCs/>
                <w:i/>
                <w:iCs/>
                <w:sz w:val="22"/>
                <w:szCs w:val="22"/>
              </w:rPr>
              <w:t>PRINCIPIU</w:t>
            </w:r>
          </w:p>
          <w:p w14:paraId="171DF5FD" w14:textId="77777777" w:rsidR="001C08A5" w:rsidRDefault="00000000">
            <w:pPr>
              <w:widowControl/>
              <w:jc w:val="center"/>
              <w:rPr>
                <w:b/>
                <w:bCs/>
                <w:i/>
                <w:iCs/>
                <w:sz w:val="22"/>
                <w:szCs w:val="22"/>
              </w:rPr>
            </w:pPr>
            <w:r>
              <w:rPr>
                <w:b/>
                <w:bCs/>
                <w:i/>
                <w:iCs/>
                <w:sz w:val="22"/>
                <w:szCs w:val="22"/>
              </w:rPr>
              <w:t>În axul din punctul A' este prevăzut minimum perete de sectorizare cu rezistență la foc (si ușă conform prevederi normate)</w:t>
            </w:r>
          </w:p>
          <w:p w14:paraId="7372A594" w14:textId="77777777" w:rsidR="001C08A5" w:rsidRDefault="00000000">
            <w:pPr>
              <w:widowControl/>
              <w:jc w:val="center"/>
              <w:rPr>
                <w:b/>
                <w:bCs/>
                <w:i/>
                <w:iCs/>
                <w:sz w:val="22"/>
                <w:szCs w:val="22"/>
              </w:rPr>
            </w:pPr>
            <w:r>
              <w:rPr>
                <w:b/>
                <w:bCs/>
                <w:i/>
                <w:iCs/>
                <w:sz w:val="22"/>
                <w:szCs w:val="22"/>
              </w:rPr>
              <w:t>Dacă (AA') &lt; l</w:t>
            </w:r>
          </w:p>
          <w:p w14:paraId="1047013A" w14:textId="77777777" w:rsidR="001C08A5" w:rsidRDefault="00000000">
            <w:pPr>
              <w:widowControl/>
              <w:jc w:val="center"/>
              <w:rPr>
                <w:b/>
                <w:bCs/>
                <w:i/>
                <w:iCs/>
                <w:sz w:val="22"/>
                <w:szCs w:val="22"/>
              </w:rPr>
            </w:pPr>
            <w:r>
              <w:rPr>
                <w:b/>
                <w:bCs/>
                <w:i/>
                <w:iCs/>
                <w:sz w:val="22"/>
                <w:szCs w:val="22"/>
              </w:rPr>
              <w:t>(A'D)+(DD</w:t>
            </w:r>
            <w:r>
              <w:rPr>
                <w:b/>
                <w:bCs/>
                <w:i/>
                <w:iCs/>
                <w:sz w:val="22"/>
                <w:szCs w:val="22"/>
                <w:vertAlign w:val="subscript"/>
              </w:rPr>
              <w:t>1</w:t>
            </w:r>
            <w:r>
              <w:rPr>
                <w:b/>
                <w:bCs/>
                <w:i/>
                <w:iCs/>
                <w:sz w:val="22"/>
                <w:szCs w:val="22"/>
              </w:rPr>
              <w:t>)+(BD</w:t>
            </w:r>
            <w:r>
              <w:rPr>
                <w:b/>
                <w:bCs/>
                <w:i/>
                <w:iCs/>
                <w:sz w:val="22"/>
                <w:szCs w:val="22"/>
                <w:vertAlign w:val="subscript"/>
              </w:rPr>
              <w:t>1</w:t>
            </w:r>
            <w:r>
              <w:rPr>
                <w:b/>
                <w:bCs/>
                <w:i/>
                <w:iCs/>
                <w:sz w:val="22"/>
                <w:szCs w:val="22"/>
              </w:rPr>
              <w:t>) sau (A'D)+(DD</w:t>
            </w:r>
            <w:r>
              <w:rPr>
                <w:b/>
                <w:bCs/>
                <w:i/>
                <w:iCs/>
                <w:sz w:val="22"/>
                <w:szCs w:val="22"/>
                <w:vertAlign w:val="subscript"/>
              </w:rPr>
              <w:t>2</w:t>
            </w:r>
            <w:r>
              <w:rPr>
                <w:b/>
                <w:bCs/>
                <w:i/>
                <w:iCs/>
                <w:sz w:val="22"/>
                <w:szCs w:val="22"/>
              </w:rPr>
              <w:t>)+(CD</w:t>
            </w:r>
            <w:r>
              <w:rPr>
                <w:b/>
                <w:bCs/>
                <w:i/>
                <w:iCs/>
                <w:sz w:val="22"/>
                <w:szCs w:val="22"/>
                <w:vertAlign w:val="subscript"/>
              </w:rPr>
              <w:t>2</w:t>
            </w:r>
            <w:r>
              <w:rPr>
                <w:b/>
                <w:bCs/>
                <w:i/>
                <w:iCs/>
                <w:sz w:val="22"/>
                <w:szCs w:val="22"/>
              </w:rPr>
              <w:t>) ≤ L</w:t>
            </w:r>
          </w:p>
          <w:p w14:paraId="0F06B543" w14:textId="77777777" w:rsidR="001C08A5" w:rsidRDefault="00000000">
            <w:pPr>
              <w:jc w:val="center"/>
              <w:rPr>
                <w:b/>
                <w:bCs/>
                <w:i/>
                <w:iCs/>
                <w:sz w:val="22"/>
                <w:szCs w:val="22"/>
              </w:rPr>
            </w:pPr>
            <w:r>
              <w:rPr>
                <w:b/>
                <w:bCs/>
                <w:i/>
                <w:iCs/>
                <w:sz w:val="22"/>
                <w:szCs w:val="22"/>
              </w:rPr>
              <w:t>Cu condiția ca (A'D) &lt; l</w:t>
            </w:r>
          </w:p>
          <w:p w14:paraId="0F647EBE" w14:textId="77777777" w:rsidR="001C08A5" w:rsidRDefault="00000000">
            <w:pPr>
              <w:jc w:val="center"/>
              <w:rPr>
                <w:b/>
                <w:bCs/>
                <w:i/>
                <w:iCs/>
                <w:sz w:val="22"/>
                <w:szCs w:val="22"/>
              </w:rPr>
            </w:pPr>
            <w:r>
              <w:rPr>
                <w:b/>
                <w:bCs/>
                <w:i/>
                <w:iCs/>
                <w:sz w:val="22"/>
                <w:szCs w:val="22"/>
              </w:rPr>
              <w:t>EXEMPLU</w:t>
            </w:r>
          </w:p>
          <w:p w14:paraId="1D5F09BB" w14:textId="77777777" w:rsidR="001C08A5" w:rsidRDefault="00000000">
            <w:pPr>
              <w:jc w:val="center"/>
              <w:rPr>
                <w:b/>
                <w:bCs/>
                <w:i/>
                <w:iCs/>
                <w:sz w:val="22"/>
                <w:szCs w:val="22"/>
              </w:rPr>
            </w:pPr>
            <w:r>
              <w:rPr>
                <w:b/>
                <w:bCs/>
                <w:i/>
                <w:iCs/>
                <w:sz w:val="22"/>
                <w:szCs w:val="22"/>
              </w:rPr>
              <w:t>L5+L6+L7 ≤  L</w:t>
            </w:r>
          </w:p>
          <w:p w14:paraId="62050214" w14:textId="77777777" w:rsidR="001C08A5" w:rsidRDefault="00000000">
            <w:pPr>
              <w:jc w:val="center"/>
              <w:rPr>
                <w:b/>
                <w:bCs/>
                <w:i/>
                <w:iCs/>
                <w:sz w:val="22"/>
                <w:szCs w:val="22"/>
                <w:u w:val="single"/>
              </w:rPr>
            </w:pPr>
            <w:r>
              <w:rPr>
                <w:b/>
                <w:bCs/>
                <w:i/>
                <w:iCs/>
                <w:sz w:val="22"/>
                <w:szCs w:val="22"/>
                <w:u w:val="single"/>
              </w:rPr>
              <w:t>nu este necesar ca</w:t>
            </w:r>
          </w:p>
          <w:p w14:paraId="752DAD7A" w14:textId="77777777" w:rsidR="001C08A5" w:rsidRDefault="00000000">
            <w:pPr>
              <w:jc w:val="center"/>
              <w:rPr>
                <w:b/>
                <w:bCs/>
                <w:i/>
                <w:iCs/>
                <w:sz w:val="22"/>
                <w:szCs w:val="22"/>
              </w:rPr>
            </w:pPr>
            <w:r>
              <w:rPr>
                <w:b/>
                <w:bCs/>
                <w:i/>
                <w:iCs/>
                <w:sz w:val="22"/>
                <w:szCs w:val="22"/>
              </w:rPr>
              <w:t>L5+L8+L9 ≤  L</w:t>
            </w:r>
          </w:p>
          <w:p w14:paraId="746516F4" w14:textId="77777777" w:rsidR="001C08A5" w:rsidRDefault="00000000">
            <w:pPr>
              <w:jc w:val="center"/>
              <w:rPr>
                <w:b/>
                <w:bCs/>
                <w:i/>
                <w:iCs/>
                <w:sz w:val="22"/>
                <w:szCs w:val="22"/>
              </w:rPr>
            </w:pPr>
            <w:r>
              <w:rPr>
                <w:b/>
                <w:bCs/>
                <w:i/>
                <w:iCs/>
                <w:sz w:val="22"/>
                <w:szCs w:val="22"/>
              </w:rPr>
              <w:t>este necesar ca</w:t>
            </w:r>
          </w:p>
          <w:p w14:paraId="652E95BC" w14:textId="77777777" w:rsidR="001C08A5" w:rsidRDefault="00000000">
            <w:pPr>
              <w:jc w:val="center"/>
              <w:rPr>
                <w:b/>
                <w:bCs/>
                <w:i/>
                <w:iCs/>
                <w:sz w:val="22"/>
                <w:szCs w:val="22"/>
              </w:rPr>
            </w:pPr>
            <w:r>
              <w:rPr>
                <w:b/>
                <w:bCs/>
                <w:i/>
                <w:iCs/>
                <w:sz w:val="22"/>
                <w:szCs w:val="22"/>
              </w:rPr>
              <w:t>L1+L2+L3+L4 &lt; l</w:t>
            </w:r>
          </w:p>
          <w:p w14:paraId="47333A51" w14:textId="77777777" w:rsidR="001C08A5" w:rsidRDefault="00000000">
            <w:pPr>
              <w:jc w:val="center"/>
              <w:rPr>
                <w:b/>
                <w:bCs/>
                <w:i/>
                <w:iCs/>
                <w:sz w:val="22"/>
                <w:szCs w:val="22"/>
              </w:rPr>
            </w:pPr>
            <w:r>
              <w:rPr>
                <w:b/>
                <w:bCs/>
                <w:i/>
                <w:iCs/>
                <w:sz w:val="22"/>
                <w:szCs w:val="22"/>
              </w:rPr>
              <w:t>L5 &lt; l</w:t>
            </w:r>
          </w:p>
        </w:tc>
      </w:tr>
      <w:tr w:rsidR="001C08A5" w14:paraId="43E7299D" w14:textId="77777777">
        <w:tc>
          <w:tcPr>
            <w:tcW w:w="5046" w:type="dxa"/>
          </w:tcPr>
          <w:p w14:paraId="296A025E" w14:textId="77777777" w:rsidR="001C08A5" w:rsidRDefault="001C08A5">
            <w:pPr>
              <w:jc w:val="center"/>
              <w:rPr>
                <w:b/>
                <w:bCs/>
                <w:i/>
                <w:sz w:val="24"/>
                <w:szCs w:val="24"/>
              </w:rPr>
            </w:pPr>
          </w:p>
          <w:p w14:paraId="62E98B31" w14:textId="77777777" w:rsidR="001C08A5" w:rsidRDefault="00000000">
            <w:pPr>
              <w:jc w:val="center"/>
              <w:rPr>
                <w:b/>
                <w:bCs/>
                <w:i/>
                <w:sz w:val="24"/>
                <w:szCs w:val="24"/>
              </w:rPr>
            </w:pPr>
            <w:r>
              <w:rPr>
                <w:b/>
                <w:bCs/>
                <w:i/>
                <w:noProof/>
                <w:sz w:val="24"/>
                <w:szCs w:val="24"/>
              </w:rPr>
              <w:lastRenderedPageBreak/>
              <w:drawing>
                <wp:inline distT="0" distB="0" distL="114300" distR="114300" wp14:anchorId="6D55E3FD" wp14:editId="13184C96">
                  <wp:extent cx="2748280" cy="1902460"/>
                  <wp:effectExtent l="0" t="0" r="13970" b="2540"/>
                  <wp:docPr id="4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6"/>
                          <pic:cNvPicPr>
                            <a:picLocks noChangeAspect="1"/>
                          </pic:cNvPicPr>
                        </pic:nvPicPr>
                        <pic:blipFill>
                          <a:blip r:embed="rId427"/>
                          <a:srcRect l="54976" t="38404" r="8614" b="26539"/>
                          <a:stretch>
                            <a:fillRect/>
                          </a:stretch>
                        </pic:blipFill>
                        <pic:spPr>
                          <a:xfrm>
                            <a:off x="0" y="0"/>
                            <a:ext cx="2748280" cy="1902460"/>
                          </a:xfrm>
                          <a:prstGeom prst="rect">
                            <a:avLst/>
                          </a:prstGeom>
                          <a:noFill/>
                          <a:ln>
                            <a:noFill/>
                          </a:ln>
                        </pic:spPr>
                      </pic:pic>
                    </a:graphicData>
                  </a:graphic>
                </wp:inline>
              </w:drawing>
            </w:r>
          </w:p>
          <w:p w14:paraId="348DB5BC" w14:textId="77777777" w:rsidR="001C08A5" w:rsidRDefault="00000000">
            <w:pPr>
              <w:jc w:val="center"/>
              <w:rPr>
                <w:b/>
                <w:bCs/>
                <w:i/>
                <w:sz w:val="24"/>
                <w:szCs w:val="24"/>
              </w:rPr>
            </w:pPr>
            <w:r>
              <w:rPr>
                <w:b/>
                <w:bCs/>
                <w:i/>
                <w:sz w:val="24"/>
                <w:szCs w:val="24"/>
              </w:rPr>
              <w:t>Principiu</w:t>
            </w:r>
          </w:p>
        </w:tc>
        <w:tc>
          <w:tcPr>
            <w:tcW w:w="4809" w:type="dxa"/>
          </w:tcPr>
          <w:p w14:paraId="3B81CC75" w14:textId="77777777" w:rsidR="001C08A5" w:rsidRDefault="001C08A5">
            <w:pPr>
              <w:widowControl/>
              <w:jc w:val="center"/>
              <w:rPr>
                <w:b/>
                <w:bCs/>
                <w:i/>
                <w:iCs/>
                <w:sz w:val="22"/>
                <w:szCs w:val="22"/>
              </w:rPr>
            </w:pPr>
          </w:p>
          <w:p w14:paraId="7D8D7233" w14:textId="77777777" w:rsidR="001C08A5" w:rsidRDefault="001C08A5">
            <w:pPr>
              <w:widowControl/>
              <w:jc w:val="center"/>
              <w:rPr>
                <w:b/>
                <w:bCs/>
                <w:i/>
                <w:iCs/>
                <w:sz w:val="22"/>
                <w:szCs w:val="22"/>
              </w:rPr>
            </w:pPr>
          </w:p>
          <w:p w14:paraId="36631C98" w14:textId="77777777" w:rsidR="001C08A5" w:rsidRDefault="001C08A5">
            <w:pPr>
              <w:widowControl/>
              <w:jc w:val="center"/>
              <w:rPr>
                <w:b/>
                <w:bCs/>
                <w:i/>
                <w:iCs/>
                <w:sz w:val="22"/>
                <w:szCs w:val="22"/>
              </w:rPr>
            </w:pPr>
          </w:p>
          <w:p w14:paraId="134CB5AF" w14:textId="77777777" w:rsidR="001C08A5" w:rsidRDefault="001C08A5">
            <w:pPr>
              <w:widowControl/>
              <w:jc w:val="center"/>
              <w:rPr>
                <w:b/>
                <w:bCs/>
                <w:i/>
                <w:iCs/>
                <w:sz w:val="22"/>
                <w:szCs w:val="22"/>
              </w:rPr>
            </w:pPr>
          </w:p>
          <w:p w14:paraId="00E2B27A" w14:textId="77777777" w:rsidR="001C08A5" w:rsidRDefault="001C08A5">
            <w:pPr>
              <w:widowControl/>
              <w:jc w:val="center"/>
              <w:rPr>
                <w:b/>
                <w:bCs/>
                <w:i/>
                <w:iCs/>
                <w:sz w:val="22"/>
                <w:szCs w:val="22"/>
              </w:rPr>
            </w:pPr>
          </w:p>
          <w:p w14:paraId="13E592C4" w14:textId="77777777" w:rsidR="001C08A5" w:rsidRDefault="001C08A5">
            <w:pPr>
              <w:widowControl/>
              <w:jc w:val="center"/>
              <w:rPr>
                <w:b/>
                <w:bCs/>
                <w:i/>
                <w:iCs/>
                <w:sz w:val="22"/>
                <w:szCs w:val="22"/>
              </w:rPr>
            </w:pPr>
          </w:p>
          <w:p w14:paraId="693C35A1" w14:textId="77777777" w:rsidR="001C08A5" w:rsidRDefault="001C08A5">
            <w:pPr>
              <w:widowControl/>
              <w:jc w:val="center"/>
              <w:rPr>
                <w:b/>
                <w:bCs/>
                <w:i/>
                <w:iCs/>
                <w:sz w:val="22"/>
                <w:szCs w:val="22"/>
              </w:rPr>
            </w:pPr>
          </w:p>
          <w:p w14:paraId="45E25152" w14:textId="77777777" w:rsidR="001C08A5" w:rsidRDefault="00000000">
            <w:pPr>
              <w:widowControl/>
              <w:jc w:val="center"/>
              <w:rPr>
                <w:b/>
                <w:bCs/>
                <w:i/>
                <w:iCs/>
                <w:sz w:val="22"/>
                <w:szCs w:val="22"/>
              </w:rPr>
            </w:pPr>
            <w:r>
              <w:rPr>
                <w:b/>
                <w:bCs/>
                <w:i/>
                <w:iCs/>
                <w:sz w:val="22"/>
                <w:szCs w:val="22"/>
              </w:rPr>
              <w:t>PRINCIPIU</w:t>
            </w:r>
          </w:p>
          <w:p w14:paraId="16568145" w14:textId="77777777" w:rsidR="001C08A5" w:rsidRDefault="00000000">
            <w:pPr>
              <w:widowControl/>
              <w:jc w:val="center"/>
              <w:rPr>
                <w:b/>
                <w:bCs/>
                <w:i/>
                <w:iCs/>
                <w:sz w:val="22"/>
                <w:szCs w:val="22"/>
              </w:rPr>
            </w:pPr>
            <w:r>
              <w:rPr>
                <w:b/>
                <w:bCs/>
                <w:i/>
                <w:iCs/>
                <w:sz w:val="22"/>
                <w:szCs w:val="22"/>
              </w:rPr>
              <w:t>Dacă în axul din punctul A' NU este prevăzut minimum perete de sectorizare cu rezistență la foc</w:t>
            </w:r>
          </w:p>
          <w:p w14:paraId="0FA9FCAD" w14:textId="77777777" w:rsidR="001C08A5" w:rsidRDefault="00000000">
            <w:pPr>
              <w:widowControl/>
              <w:jc w:val="center"/>
              <w:rPr>
                <w:b/>
                <w:bCs/>
                <w:i/>
                <w:iCs/>
                <w:sz w:val="22"/>
                <w:szCs w:val="22"/>
              </w:rPr>
            </w:pPr>
            <w:r>
              <w:rPr>
                <w:b/>
                <w:bCs/>
                <w:i/>
                <w:iCs/>
                <w:sz w:val="22"/>
                <w:szCs w:val="22"/>
              </w:rPr>
              <w:t>Dacă (AA') ≥ l, nu este admis</w:t>
            </w:r>
          </w:p>
          <w:p w14:paraId="074F2CB4" w14:textId="77777777" w:rsidR="001C08A5" w:rsidRDefault="00000000">
            <w:pPr>
              <w:widowControl/>
              <w:jc w:val="center"/>
              <w:rPr>
                <w:b/>
                <w:bCs/>
                <w:i/>
                <w:iCs/>
                <w:sz w:val="22"/>
                <w:szCs w:val="22"/>
              </w:rPr>
            </w:pPr>
            <w:r>
              <w:rPr>
                <w:b/>
                <w:bCs/>
                <w:i/>
                <w:iCs/>
                <w:sz w:val="22"/>
                <w:szCs w:val="22"/>
              </w:rPr>
              <w:t>Maximum admis (AD) &lt; l</w:t>
            </w:r>
          </w:p>
          <w:p w14:paraId="03729D2E" w14:textId="77777777" w:rsidR="001C08A5" w:rsidRDefault="00000000">
            <w:pPr>
              <w:widowControl/>
              <w:jc w:val="center"/>
              <w:rPr>
                <w:b/>
                <w:bCs/>
                <w:i/>
                <w:iCs/>
                <w:sz w:val="22"/>
                <w:szCs w:val="22"/>
              </w:rPr>
            </w:pPr>
            <w:r>
              <w:rPr>
                <w:b/>
                <w:bCs/>
                <w:i/>
                <w:iCs/>
                <w:sz w:val="22"/>
                <w:szCs w:val="22"/>
              </w:rPr>
              <w:t>(AD)+(DD</w:t>
            </w:r>
            <w:r>
              <w:rPr>
                <w:b/>
                <w:bCs/>
                <w:i/>
                <w:iCs/>
                <w:sz w:val="22"/>
                <w:szCs w:val="22"/>
                <w:vertAlign w:val="subscript"/>
              </w:rPr>
              <w:t>1</w:t>
            </w:r>
            <w:r>
              <w:rPr>
                <w:b/>
                <w:bCs/>
                <w:i/>
                <w:iCs/>
                <w:sz w:val="22"/>
                <w:szCs w:val="22"/>
              </w:rPr>
              <w:t>)+(BD</w:t>
            </w:r>
            <w:r>
              <w:rPr>
                <w:b/>
                <w:bCs/>
                <w:i/>
                <w:iCs/>
                <w:sz w:val="22"/>
                <w:szCs w:val="22"/>
                <w:vertAlign w:val="subscript"/>
              </w:rPr>
              <w:t>1</w:t>
            </w:r>
            <w:r>
              <w:rPr>
                <w:b/>
                <w:bCs/>
                <w:i/>
                <w:iCs/>
                <w:sz w:val="22"/>
                <w:szCs w:val="22"/>
              </w:rPr>
              <w:t>) sau (AD)+(DD</w:t>
            </w:r>
            <w:r>
              <w:rPr>
                <w:b/>
                <w:bCs/>
                <w:i/>
                <w:iCs/>
                <w:sz w:val="22"/>
                <w:szCs w:val="22"/>
                <w:vertAlign w:val="subscript"/>
              </w:rPr>
              <w:t>2</w:t>
            </w:r>
            <w:r>
              <w:rPr>
                <w:b/>
                <w:bCs/>
                <w:i/>
                <w:iCs/>
                <w:sz w:val="22"/>
                <w:szCs w:val="22"/>
              </w:rPr>
              <w:t>)+(CD</w:t>
            </w:r>
            <w:r>
              <w:rPr>
                <w:b/>
                <w:bCs/>
                <w:i/>
                <w:iCs/>
                <w:sz w:val="22"/>
                <w:szCs w:val="22"/>
                <w:vertAlign w:val="subscript"/>
              </w:rPr>
              <w:t>2</w:t>
            </w:r>
            <w:r>
              <w:rPr>
                <w:b/>
                <w:bCs/>
                <w:i/>
                <w:iCs/>
                <w:sz w:val="22"/>
                <w:szCs w:val="22"/>
              </w:rPr>
              <w:t>) ≤ L</w:t>
            </w:r>
          </w:p>
          <w:p w14:paraId="5F04B27E" w14:textId="77777777" w:rsidR="001C08A5" w:rsidRDefault="00000000">
            <w:pPr>
              <w:jc w:val="center"/>
              <w:rPr>
                <w:b/>
                <w:bCs/>
                <w:i/>
                <w:iCs/>
                <w:sz w:val="22"/>
                <w:szCs w:val="22"/>
              </w:rPr>
            </w:pPr>
            <w:r>
              <w:rPr>
                <w:b/>
                <w:bCs/>
                <w:i/>
                <w:iCs/>
                <w:sz w:val="22"/>
                <w:szCs w:val="22"/>
              </w:rPr>
              <w:t>EXEMPLU (Dacă în axul din punctul A' NU este prevăzut minimum perete de sectorizare)</w:t>
            </w:r>
          </w:p>
          <w:p w14:paraId="5240823C" w14:textId="77777777" w:rsidR="001C08A5" w:rsidRDefault="00000000">
            <w:pPr>
              <w:jc w:val="center"/>
              <w:rPr>
                <w:b/>
                <w:bCs/>
                <w:i/>
                <w:iCs/>
                <w:sz w:val="22"/>
                <w:szCs w:val="22"/>
              </w:rPr>
            </w:pPr>
            <w:r>
              <w:rPr>
                <w:b/>
                <w:bCs/>
                <w:i/>
                <w:iCs/>
                <w:sz w:val="22"/>
                <w:szCs w:val="22"/>
              </w:rPr>
              <w:t>L1+L2+L3+L4+L5+L6+L7 ≤  L</w:t>
            </w:r>
          </w:p>
          <w:p w14:paraId="0FD1184F" w14:textId="77777777" w:rsidR="001C08A5" w:rsidRDefault="00000000">
            <w:pPr>
              <w:jc w:val="center"/>
              <w:rPr>
                <w:b/>
                <w:bCs/>
                <w:i/>
                <w:iCs/>
                <w:sz w:val="22"/>
                <w:szCs w:val="22"/>
                <w:u w:val="single"/>
              </w:rPr>
            </w:pPr>
            <w:r>
              <w:rPr>
                <w:b/>
                <w:bCs/>
                <w:i/>
                <w:iCs/>
                <w:sz w:val="22"/>
                <w:szCs w:val="22"/>
                <w:u w:val="single"/>
              </w:rPr>
              <w:t>nu este necesar ca</w:t>
            </w:r>
          </w:p>
          <w:p w14:paraId="639E4060" w14:textId="77777777" w:rsidR="001C08A5" w:rsidRDefault="00000000">
            <w:pPr>
              <w:jc w:val="center"/>
              <w:rPr>
                <w:b/>
                <w:bCs/>
                <w:i/>
                <w:iCs/>
                <w:sz w:val="22"/>
                <w:szCs w:val="22"/>
              </w:rPr>
            </w:pPr>
            <w:r>
              <w:rPr>
                <w:b/>
                <w:bCs/>
                <w:i/>
                <w:iCs/>
                <w:sz w:val="22"/>
                <w:szCs w:val="22"/>
              </w:rPr>
              <w:t>L1+L2+L3+L4+L5+L8+L9 ≤  L</w:t>
            </w:r>
          </w:p>
          <w:p w14:paraId="49188D20" w14:textId="77777777" w:rsidR="001C08A5" w:rsidRDefault="00000000">
            <w:pPr>
              <w:jc w:val="center"/>
              <w:rPr>
                <w:b/>
                <w:bCs/>
                <w:i/>
                <w:iCs/>
                <w:sz w:val="22"/>
                <w:szCs w:val="22"/>
              </w:rPr>
            </w:pPr>
            <w:r>
              <w:rPr>
                <w:b/>
                <w:bCs/>
                <w:i/>
                <w:iCs/>
                <w:sz w:val="22"/>
                <w:szCs w:val="22"/>
              </w:rPr>
              <w:t>este necesar ca</w:t>
            </w:r>
          </w:p>
          <w:p w14:paraId="4DEACDD4" w14:textId="77777777" w:rsidR="001C08A5" w:rsidRDefault="00000000">
            <w:pPr>
              <w:jc w:val="center"/>
              <w:rPr>
                <w:b/>
                <w:bCs/>
                <w:i/>
                <w:iCs/>
                <w:sz w:val="22"/>
                <w:szCs w:val="22"/>
              </w:rPr>
            </w:pPr>
            <w:r>
              <w:rPr>
                <w:b/>
                <w:bCs/>
                <w:i/>
                <w:iCs/>
                <w:sz w:val="22"/>
                <w:szCs w:val="22"/>
              </w:rPr>
              <w:t>L1+L2+L3+L4+L5 &lt; l</w:t>
            </w:r>
          </w:p>
        </w:tc>
      </w:tr>
      <w:tr w:rsidR="001C08A5" w14:paraId="6D77FEE8" w14:textId="77777777">
        <w:tc>
          <w:tcPr>
            <w:tcW w:w="9855" w:type="dxa"/>
            <w:gridSpan w:val="2"/>
          </w:tcPr>
          <w:p w14:paraId="16343F95" w14:textId="77777777" w:rsidR="001C08A5" w:rsidRDefault="001C08A5">
            <w:pPr>
              <w:jc w:val="center"/>
              <w:rPr>
                <w:b/>
                <w:bCs/>
                <w:i/>
                <w:iCs/>
                <w:sz w:val="22"/>
                <w:szCs w:val="22"/>
              </w:rPr>
            </w:pPr>
          </w:p>
        </w:tc>
      </w:tr>
    </w:tbl>
    <w:p w14:paraId="2F7B0AEF" w14:textId="77777777" w:rsidR="001C08A5" w:rsidRDefault="001C08A5"/>
    <w:p w14:paraId="1E5F4805" w14:textId="77777777" w:rsidR="001C08A5" w:rsidRDefault="00000000">
      <w:pPr>
        <w:jc w:val="center"/>
      </w:pPr>
      <w:r>
        <w:rPr>
          <w:noProof/>
          <w:lang w:eastAsia="ro-RO"/>
        </w:rPr>
        <w:drawing>
          <wp:inline distT="0" distB="0" distL="114300" distR="114300" wp14:anchorId="263ECAB8" wp14:editId="51F3BF79">
            <wp:extent cx="6155055" cy="4090670"/>
            <wp:effectExtent l="0" t="0" r="17145" b="5080"/>
            <wp:docPr id="42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33"/>
                    <pic:cNvPicPr>
                      <a:picLocks noChangeAspect="1"/>
                    </pic:cNvPicPr>
                  </pic:nvPicPr>
                  <pic:blipFill>
                    <a:blip r:embed="rId428"/>
                    <a:srcRect l="11746" t="709" r="6698" b="2097"/>
                    <a:stretch>
                      <a:fillRect/>
                    </a:stretch>
                  </pic:blipFill>
                  <pic:spPr>
                    <a:xfrm>
                      <a:off x="0" y="0"/>
                      <a:ext cx="6155055" cy="4090670"/>
                    </a:xfrm>
                    <a:prstGeom prst="rect">
                      <a:avLst/>
                    </a:prstGeom>
                    <a:noFill/>
                    <a:ln>
                      <a:noFill/>
                    </a:ln>
                  </pic:spPr>
                </pic:pic>
              </a:graphicData>
            </a:graphic>
          </wp:inline>
        </w:drawing>
      </w:r>
    </w:p>
    <w:p w14:paraId="485AAF73" w14:textId="77777777" w:rsidR="001C08A5" w:rsidRDefault="00000000">
      <w:pPr>
        <w:jc w:val="center"/>
        <w:rPr>
          <w:b/>
          <w:bCs/>
          <w:i/>
          <w:sz w:val="24"/>
          <w:szCs w:val="24"/>
        </w:rPr>
      </w:pPr>
      <w:r>
        <w:rPr>
          <w:b/>
          <w:bCs/>
          <w:i/>
          <w:sz w:val="24"/>
          <w:szCs w:val="24"/>
        </w:rPr>
        <w:t>Exemplu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4"/>
        <w:gridCol w:w="4625"/>
      </w:tblGrid>
      <w:tr w:rsidR="001C08A5" w14:paraId="5AFBD0E7" w14:textId="77777777">
        <w:tc>
          <w:tcPr>
            <w:tcW w:w="5046" w:type="dxa"/>
          </w:tcPr>
          <w:p w14:paraId="5A099B21" w14:textId="77777777" w:rsidR="001C08A5" w:rsidRDefault="001C08A5">
            <w:pPr>
              <w:jc w:val="center"/>
              <w:rPr>
                <w:b/>
                <w:bCs/>
                <w:i/>
                <w:sz w:val="24"/>
                <w:szCs w:val="24"/>
              </w:rPr>
            </w:pPr>
          </w:p>
          <w:p w14:paraId="3D911E59" w14:textId="77777777" w:rsidR="001C08A5" w:rsidRDefault="00000000">
            <w:pPr>
              <w:jc w:val="center"/>
              <w:rPr>
                <w:b/>
                <w:bCs/>
                <w:i/>
                <w:sz w:val="24"/>
                <w:szCs w:val="24"/>
              </w:rPr>
            </w:pPr>
            <w:r>
              <w:rPr>
                <w:b/>
                <w:bCs/>
                <w:i/>
                <w:noProof/>
                <w:sz w:val="24"/>
                <w:szCs w:val="24"/>
              </w:rPr>
              <w:drawing>
                <wp:inline distT="0" distB="0" distL="114300" distR="114300" wp14:anchorId="0F055B81" wp14:editId="5B940F78">
                  <wp:extent cx="2740025" cy="1907540"/>
                  <wp:effectExtent l="0" t="0" r="3175" b="16510"/>
                  <wp:docPr id="4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5"/>
                          <pic:cNvPicPr>
                            <a:picLocks noChangeAspect="1"/>
                          </pic:cNvPicPr>
                        </pic:nvPicPr>
                        <pic:blipFill>
                          <a:blip r:embed="rId429"/>
                          <a:srcRect l="54968" t="45998" r="8732" b="18851"/>
                          <a:stretch>
                            <a:fillRect/>
                          </a:stretch>
                        </pic:blipFill>
                        <pic:spPr>
                          <a:xfrm>
                            <a:off x="0" y="0"/>
                            <a:ext cx="2740025" cy="1907540"/>
                          </a:xfrm>
                          <a:prstGeom prst="rect">
                            <a:avLst/>
                          </a:prstGeom>
                          <a:noFill/>
                          <a:ln>
                            <a:noFill/>
                          </a:ln>
                        </pic:spPr>
                      </pic:pic>
                    </a:graphicData>
                  </a:graphic>
                </wp:inline>
              </w:drawing>
            </w:r>
          </w:p>
          <w:p w14:paraId="0346229D" w14:textId="77777777" w:rsidR="001C08A5" w:rsidRDefault="00000000">
            <w:pPr>
              <w:jc w:val="center"/>
              <w:rPr>
                <w:b/>
                <w:bCs/>
                <w:i/>
                <w:sz w:val="24"/>
                <w:szCs w:val="24"/>
              </w:rPr>
            </w:pPr>
            <w:r>
              <w:rPr>
                <w:b/>
                <w:bCs/>
                <w:i/>
                <w:sz w:val="24"/>
                <w:szCs w:val="24"/>
              </w:rPr>
              <w:t>Principiu</w:t>
            </w:r>
          </w:p>
        </w:tc>
        <w:tc>
          <w:tcPr>
            <w:tcW w:w="4809" w:type="dxa"/>
          </w:tcPr>
          <w:p w14:paraId="34AA9230" w14:textId="77777777" w:rsidR="001C08A5" w:rsidRDefault="00000000">
            <w:pPr>
              <w:widowControl/>
              <w:jc w:val="center"/>
              <w:rPr>
                <w:b/>
                <w:bCs/>
                <w:i/>
                <w:iCs/>
                <w:sz w:val="22"/>
                <w:szCs w:val="22"/>
              </w:rPr>
            </w:pPr>
            <w:r>
              <w:rPr>
                <w:b/>
                <w:bCs/>
                <w:i/>
                <w:iCs/>
                <w:sz w:val="22"/>
                <w:szCs w:val="22"/>
              </w:rPr>
              <w:t>PRINCIPIU</w:t>
            </w:r>
          </w:p>
          <w:p w14:paraId="0EB71B47" w14:textId="77777777" w:rsidR="001C08A5" w:rsidRDefault="00000000">
            <w:pPr>
              <w:widowControl/>
              <w:jc w:val="center"/>
              <w:rPr>
                <w:b/>
                <w:bCs/>
                <w:i/>
                <w:iCs/>
                <w:sz w:val="22"/>
                <w:szCs w:val="22"/>
              </w:rPr>
            </w:pPr>
            <w:r>
              <w:rPr>
                <w:b/>
                <w:bCs/>
                <w:i/>
                <w:iCs/>
                <w:sz w:val="22"/>
                <w:szCs w:val="22"/>
              </w:rPr>
              <w:t>Dacă în axul din punctul A' NU este prevăzut minimum perete de sectorizare cu rezistență la foc</w:t>
            </w:r>
          </w:p>
          <w:p w14:paraId="219E2320" w14:textId="77777777" w:rsidR="001C08A5" w:rsidRDefault="00000000">
            <w:pPr>
              <w:widowControl/>
              <w:jc w:val="center"/>
              <w:rPr>
                <w:b/>
                <w:bCs/>
                <w:i/>
                <w:iCs/>
                <w:sz w:val="22"/>
                <w:szCs w:val="22"/>
              </w:rPr>
            </w:pPr>
            <w:r>
              <w:rPr>
                <w:b/>
                <w:bCs/>
                <w:i/>
                <w:iCs/>
                <w:sz w:val="22"/>
                <w:szCs w:val="22"/>
              </w:rPr>
              <w:t>Dacă (AA') ≥ l, nu este admis</w:t>
            </w:r>
          </w:p>
          <w:p w14:paraId="4AB63C2B" w14:textId="77777777" w:rsidR="001C08A5" w:rsidRDefault="00000000">
            <w:pPr>
              <w:widowControl/>
              <w:jc w:val="center"/>
              <w:rPr>
                <w:b/>
                <w:bCs/>
                <w:i/>
                <w:iCs/>
                <w:sz w:val="22"/>
                <w:szCs w:val="22"/>
              </w:rPr>
            </w:pPr>
            <w:r>
              <w:rPr>
                <w:b/>
                <w:bCs/>
                <w:i/>
                <w:iCs/>
                <w:sz w:val="22"/>
                <w:szCs w:val="22"/>
              </w:rPr>
              <w:t>Maximum admis (AA’) &lt; l</w:t>
            </w:r>
          </w:p>
          <w:p w14:paraId="4C2F2AA4" w14:textId="77777777" w:rsidR="001C08A5" w:rsidRDefault="00000000">
            <w:pPr>
              <w:widowControl/>
              <w:jc w:val="center"/>
              <w:rPr>
                <w:b/>
                <w:bCs/>
                <w:i/>
                <w:iCs/>
                <w:sz w:val="22"/>
                <w:szCs w:val="22"/>
              </w:rPr>
            </w:pPr>
            <w:r>
              <w:rPr>
                <w:b/>
                <w:bCs/>
                <w:i/>
                <w:iCs/>
                <w:sz w:val="22"/>
                <w:szCs w:val="22"/>
              </w:rPr>
              <w:t>(AA’)+(A'D</w:t>
            </w:r>
            <w:r>
              <w:rPr>
                <w:b/>
                <w:bCs/>
                <w:i/>
                <w:iCs/>
                <w:sz w:val="22"/>
                <w:szCs w:val="22"/>
                <w:vertAlign w:val="subscript"/>
              </w:rPr>
              <w:t>1</w:t>
            </w:r>
            <w:r>
              <w:rPr>
                <w:b/>
                <w:bCs/>
                <w:i/>
                <w:iCs/>
                <w:sz w:val="22"/>
                <w:szCs w:val="22"/>
              </w:rPr>
              <w:t>)+(BD</w:t>
            </w:r>
            <w:r>
              <w:rPr>
                <w:b/>
                <w:bCs/>
                <w:i/>
                <w:iCs/>
                <w:sz w:val="22"/>
                <w:szCs w:val="22"/>
                <w:vertAlign w:val="subscript"/>
              </w:rPr>
              <w:t>1</w:t>
            </w:r>
            <w:r>
              <w:rPr>
                <w:b/>
                <w:bCs/>
                <w:i/>
                <w:iCs/>
                <w:sz w:val="22"/>
                <w:szCs w:val="22"/>
              </w:rPr>
              <w:t xml:space="preserve">) ≤ L sau </w:t>
            </w:r>
          </w:p>
          <w:p w14:paraId="4883BA6E" w14:textId="77777777" w:rsidR="001C08A5" w:rsidRDefault="00000000">
            <w:pPr>
              <w:jc w:val="center"/>
              <w:rPr>
                <w:b/>
                <w:bCs/>
                <w:i/>
                <w:iCs/>
                <w:sz w:val="22"/>
                <w:szCs w:val="22"/>
              </w:rPr>
            </w:pPr>
            <w:r>
              <w:rPr>
                <w:b/>
                <w:bCs/>
                <w:i/>
                <w:iCs/>
                <w:sz w:val="22"/>
                <w:szCs w:val="22"/>
              </w:rPr>
              <w:t>(AA’)+(A'D</w:t>
            </w:r>
            <w:r>
              <w:rPr>
                <w:b/>
                <w:bCs/>
                <w:i/>
                <w:iCs/>
                <w:sz w:val="22"/>
                <w:szCs w:val="22"/>
                <w:vertAlign w:val="subscript"/>
              </w:rPr>
              <w:t>2</w:t>
            </w:r>
            <w:r>
              <w:rPr>
                <w:b/>
                <w:bCs/>
                <w:i/>
                <w:iCs/>
                <w:sz w:val="22"/>
                <w:szCs w:val="22"/>
              </w:rPr>
              <w:t>)+( D</w:t>
            </w:r>
            <w:r>
              <w:rPr>
                <w:b/>
                <w:bCs/>
                <w:i/>
                <w:iCs/>
                <w:sz w:val="22"/>
                <w:szCs w:val="22"/>
                <w:vertAlign w:val="subscript"/>
              </w:rPr>
              <w:t>2</w:t>
            </w:r>
            <w:r>
              <w:rPr>
                <w:b/>
                <w:bCs/>
                <w:i/>
                <w:iCs/>
                <w:sz w:val="22"/>
                <w:szCs w:val="22"/>
              </w:rPr>
              <w:t>C) ≤ L</w:t>
            </w:r>
          </w:p>
          <w:p w14:paraId="0093FA89" w14:textId="77777777" w:rsidR="001C08A5" w:rsidRDefault="00000000">
            <w:pPr>
              <w:jc w:val="center"/>
              <w:rPr>
                <w:b/>
                <w:bCs/>
                <w:i/>
                <w:iCs/>
                <w:sz w:val="22"/>
                <w:szCs w:val="22"/>
              </w:rPr>
            </w:pPr>
            <w:r>
              <w:rPr>
                <w:b/>
                <w:bCs/>
                <w:i/>
                <w:iCs/>
                <w:sz w:val="22"/>
                <w:szCs w:val="22"/>
              </w:rPr>
              <w:t>EXEMPLU (Dacă în axul din punctul A' NU este prevăzut minimum perete de sectorizare)</w:t>
            </w:r>
          </w:p>
          <w:p w14:paraId="47FF14D0" w14:textId="77777777" w:rsidR="001C08A5" w:rsidRDefault="00000000">
            <w:pPr>
              <w:jc w:val="center"/>
              <w:rPr>
                <w:b/>
                <w:bCs/>
                <w:i/>
                <w:iCs/>
                <w:sz w:val="22"/>
                <w:szCs w:val="22"/>
              </w:rPr>
            </w:pPr>
            <w:r>
              <w:rPr>
                <w:b/>
                <w:bCs/>
                <w:i/>
                <w:iCs/>
                <w:sz w:val="22"/>
                <w:szCs w:val="22"/>
              </w:rPr>
              <w:t>L1+L2+L3+L4+L5 ≤  L</w:t>
            </w:r>
          </w:p>
          <w:p w14:paraId="1FCE4E80" w14:textId="77777777" w:rsidR="001C08A5" w:rsidRDefault="00000000">
            <w:pPr>
              <w:jc w:val="center"/>
              <w:rPr>
                <w:b/>
                <w:bCs/>
                <w:i/>
                <w:iCs/>
                <w:sz w:val="22"/>
                <w:szCs w:val="22"/>
                <w:u w:val="single"/>
              </w:rPr>
            </w:pPr>
            <w:r>
              <w:rPr>
                <w:b/>
                <w:bCs/>
                <w:i/>
                <w:iCs/>
                <w:sz w:val="22"/>
                <w:szCs w:val="22"/>
                <w:u w:val="single"/>
              </w:rPr>
              <w:t>nu este necesar ca</w:t>
            </w:r>
          </w:p>
          <w:p w14:paraId="48A648C2" w14:textId="77777777" w:rsidR="001C08A5" w:rsidRDefault="00000000">
            <w:pPr>
              <w:jc w:val="center"/>
              <w:rPr>
                <w:b/>
                <w:bCs/>
                <w:i/>
                <w:iCs/>
                <w:sz w:val="22"/>
                <w:szCs w:val="22"/>
              </w:rPr>
            </w:pPr>
            <w:r>
              <w:rPr>
                <w:b/>
                <w:bCs/>
                <w:i/>
                <w:iCs/>
                <w:sz w:val="22"/>
                <w:szCs w:val="22"/>
              </w:rPr>
              <w:t>L1+L2+L3+L6+L7 ≤  L</w:t>
            </w:r>
          </w:p>
          <w:p w14:paraId="2E422686" w14:textId="77777777" w:rsidR="001C08A5" w:rsidRDefault="00000000">
            <w:pPr>
              <w:jc w:val="center"/>
              <w:rPr>
                <w:b/>
                <w:bCs/>
                <w:i/>
                <w:iCs/>
                <w:sz w:val="22"/>
                <w:szCs w:val="22"/>
              </w:rPr>
            </w:pPr>
            <w:r>
              <w:rPr>
                <w:b/>
                <w:bCs/>
                <w:i/>
                <w:iCs/>
                <w:sz w:val="22"/>
                <w:szCs w:val="22"/>
              </w:rPr>
              <w:t>este necesar ca</w:t>
            </w:r>
          </w:p>
          <w:p w14:paraId="3ACCB9AC" w14:textId="77777777" w:rsidR="001C08A5" w:rsidRDefault="00000000">
            <w:pPr>
              <w:jc w:val="center"/>
              <w:rPr>
                <w:b/>
                <w:bCs/>
                <w:i/>
                <w:sz w:val="24"/>
                <w:szCs w:val="24"/>
              </w:rPr>
            </w:pPr>
            <w:r>
              <w:rPr>
                <w:b/>
                <w:bCs/>
                <w:i/>
                <w:iCs/>
                <w:sz w:val="22"/>
                <w:szCs w:val="22"/>
              </w:rPr>
              <w:t>L1+L2+L3 &lt; l</w:t>
            </w:r>
          </w:p>
        </w:tc>
      </w:tr>
      <w:tr w:rsidR="001C08A5" w14:paraId="63356877" w14:textId="77777777">
        <w:tc>
          <w:tcPr>
            <w:tcW w:w="5046" w:type="dxa"/>
          </w:tcPr>
          <w:p w14:paraId="098A0A75" w14:textId="77777777" w:rsidR="001C08A5" w:rsidRDefault="001C08A5">
            <w:pPr>
              <w:jc w:val="center"/>
              <w:rPr>
                <w:b/>
                <w:bCs/>
                <w:i/>
                <w:sz w:val="24"/>
                <w:szCs w:val="24"/>
              </w:rPr>
            </w:pPr>
          </w:p>
          <w:p w14:paraId="0FBFEA7F" w14:textId="77777777" w:rsidR="001C08A5" w:rsidRDefault="00000000">
            <w:pPr>
              <w:jc w:val="center"/>
              <w:rPr>
                <w:b/>
                <w:bCs/>
                <w:i/>
                <w:sz w:val="24"/>
                <w:szCs w:val="24"/>
              </w:rPr>
            </w:pPr>
            <w:r>
              <w:rPr>
                <w:b/>
                <w:bCs/>
                <w:i/>
                <w:noProof/>
                <w:sz w:val="24"/>
                <w:szCs w:val="24"/>
              </w:rPr>
              <w:drawing>
                <wp:inline distT="0" distB="0" distL="114300" distR="114300" wp14:anchorId="5A2263DB" wp14:editId="745DACA9">
                  <wp:extent cx="2750185" cy="1907540"/>
                  <wp:effectExtent l="0" t="0" r="12065" b="16510"/>
                  <wp:docPr id="4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5"/>
                          <pic:cNvPicPr>
                            <a:picLocks noChangeAspect="1"/>
                          </pic:cNvPicPr>
                        </pic:nvPicPr>
                        <pic:blipFill>
                          <a:blip r:embed="rId429"/>
                          <a:srcRect l="15900" t="45998" r="47665" b="18851"/>
                          <a:stretch>
                            <a:fillRect/>
                          </a:stretch>
                        </pic:blipFill>
                        <pic:spPr>
                          <a:xfrm>
                            <a:off x="0" y="0"/>
                            <a:ext cx="2750185" cy="1907540"/>
                          </a:xfrm>
                          <a:prstGeom prst="rect">
                            <a:avLst/>
                          </a:prstGeom>
                          <a:noFill/>
                          <a:ln>
                            <a:noFill/>
                          </a:ln>
                        </pic:spPr>
                      </pic:pic>
                    </a:graphicData>
                  </a:graphic>
                </wp:inline>
              </w:drawing>
            </w:r>
          </w:p>
          <w:p w14:paraId="5093C242" w14:textId="77777777" w:rsidR="001C08A5" w:rsidRDefault="00000000">
            <w:pPr>
              <w:jc w:val="center"/>
              <w:rPr>
                <w:b/>
                <w:bCs/>
                <w:i/>
                <w:sz w:val="24"/>
                <w:szCs w:val="24"/>
              </w:rPr>
            </w:pPr>
            <w:r>
              <w:rPr>
                <w:b/>
                <w:bCs/>
                <w:i/>
                <w:sz w:val="24"/>
                <w:szCs w:val="24"/>
              </w:rPr>
              <w:t>Principiu</w:t>
            </w:r>
          </w:p>
        </w:tc>
        <w:tc>
          <w:tcPr>
            <w:tcW w:w="4809" w:type="dxa"/>
          </w:tcPr>
          <w:p w14:paraId="4F9039B0" w14:textId="77777777" w:rsidR="001C08A5" w:rsidRDefault="001C08A5">
            <w:pPr>
              <w:jc w:val="center"/>
              <w:rPr>
                <w:b/>
                <w:bCs/>
                <w:i/>
                <w:iCs/>
                <w:sz w:val="22"/>
                <w:szCs w:val="22"/>
              </w:rPr>
            </w:pPr>
          </w:p>
          <w:p w14:paraId="6B01FB5D" w14:textId="77777777" w:rsidR="001C08A5" w:rsidRDefault="001C08A5">
            <w:pPr>
              <w:jc w:val="center"/>
              <w:rPr>
                <w:b/>
                <w:bCs/>
                <w:i/>
                <w:iCs/>
                <w:sz w:val="22"/>
                <w:szCs w:val="22"/>
              </w:rPr>
            </w:pPr>
          </w:p>
          <w:p w14:paraId="4615043D" w14:textId="77777777" w:rsidR="001C08A5" w:rsidRDefault="001C08A5">
            <w:pPr>
              <w:jc w:val="center"/>
              <w:rPr>
                <w:b/>
                <w:bCs/>
                <w:i/>
                <w:iCs/>
                <w:sz w:val="22"/>
                <w:szCs w:val="22"/>
              </w:rPr>
            </w:pPr>
          </w:p>
          <w:p w14:paraId="2F506FE7" w14:textId="77777777" w:rsidR="001C08A5" w:rsidRDefault="001C08A5">
            <w:pPr>
              <w:jc w:val="center"/>
              <w:rPr>
                <w:b/>
                <w:bCs/>
                <w:i/>
                <w:iCs/>
                <w:sz w:val="22"/>
                <w:szCs w:val="22"/>
              </w:rPr>
            </w:pPr>
          </w:p>
          <w:p w14:paraId="3BE1BF4B" w14:textId="77777777" w:rsidR="001C08A5" w:rsidRDefault="00000000">
            <w:pPr>
              <w:jc w:val="center"/>
              <w:rPr>
                <w:b/>
                <w:bCs/>
                <w:i/>
                <w:iCs/>
                <w:sz w:val="22"/>
                <w:szCs w:val="22"/>
              </w:rPr>
            </w:pPr>
            <w:r>
              <w:rPr>
                <w:b/>
                <w:bCs/>
                <w:i/>
                <w:iCs/>
                <w:sz w:val="22"/>
                <w:szCs w:val="22"/>
              </w:rPr>
              <w:t>PRINCIPIU</w:t>
            </w:r>
          </w:p>
          <w:p w14:paraId="5E7479EF" w14:textId="77777777" w:rsidR="001C08A5" w:rsidRDefault="00000000">
            <w:pPr>
              <w:jc w:val="center"/>
              <w:rPr>
                <w:b/>
                <w:bCs/>
                <w:i/>
                <w:iCs/>
                <w:sz w:val="22"/>
                <w:szCs w:val="22"/>
              </w:rPr>
            </w:pPr>
            <w:r>
              <w:rPr>
                <w:b/>
                <w:bCs/>
                <w:i/>
                <w:iCs/>
                <w:sz w:val="22"/>
                <w:szCs w:val="22"/>
              </w:rPr>
              <w:t>În axul din punctul A' este prevăzut minimum perete de sectorizare cu rezistență la foc (si ușă conform prevederi normate)</w:t>
            </w:r>
          </w:p>
          <w:p w14:paraId="3576AFEC" w14:textId="77777777" w:rsidR="001C08A5" w:rsidRDefault="00000000">
            <w:pPr>
              <w:jc w:val="center"/>
              <w:rPr>
                <w:b/>
                <w:bCs/>
                <w:i/>
                <w:iCs/>
                <w:sz w:val="22"/>
                <w:szCs w:val="22"/>
              </w:rPr>
            </w:pPr>
            <w:r>
              <w:rPr>
                <w:b/>
                <w:bCs/>
                <w:i/>
                <w:iCs/>
                <w:sz w:val="22"/>
                <w:szCs w:val="22"/>
              </w:rPr>
              <w:t>Dacă (AA') &lt; l</w:t>
            </w:r>
          </w:p>
          <w:p w14:paraId="2547D25E" w14:textId="77777777" w:rsidR="001C08A5" w:rsidRDefault="00000000">
            <w:pPr>
              <w:jc w:val="center"/>
              <w:rPr>
                <w:b/>
                <w:bCs/>
                <w:i/>
                <w:iCs/>
                <w:sz w:val="22"/>
                <w:szCs w:val="22"/>
              </w:rPr>
            </w:pPr>
            <w:r>
              <w:rPr>
                <w:b/>
                <w:bCs/>
                <w:i/>
                <w:iCs/>
                <w:sz w:val="22"/>
                <w:szCs w:val="22"/>
              </w:rPr>
              <w:t>(A’D</w:t>
            </w:r>
            <w:r>
              <w:rPr>
                <w:b/>
                <w:bCs/>
                <w:i/>
                <w:iCs/>
                <w:sz w:val="22"/>
                <w:szCs w:val="22"/>
                <w:vertAlign w:val="subscript"/>
              </w:rPr>
              <w:t>1</w:t>
            </w:r>
            <w:r>
              <w:rPr>
                <w:b/>
                <w:bCs/>
                <w:i/>
                <w:iCs/>
                <w:sz w:val="22"/>
                <w:szCs w:val="22"/>
              </w:rPr>
              <w:t>)+(BD</w:t>
            </w:r>
            <w:r>
              <w:rPr>
                <w:b/>
                <w:bCs/>
                <w:i/>
                <w:iCs/>
                <w:sz w:val="22"/>
                <w:szCs w:val="22"/>
                <w:vertAlign w:val="subscript"/>
              </w:rPr>
              <w:t>1</w:t>
            </w:r>
            <w:r>
              <w:rPr>
                <w:b/>
                <w:bCs/>
                <w:i/>
                <w:iCs/>
                <w:sz w:val="22"/>
                <w:szCs w:val="22"/>
              </w:rPr>
              <w:t>) sau (A’D</w:t>
            </w:r>
            <w:r>
              <w:rPr>
                <w:b/>
                <w:bCs/>
                <w:i/>
                <w:iCs/>
                <w:sz w:val="22"/>
                <w:szCs w:val="22"/>
                <w:vertAlign w:val="subscript"/>
              </w:rPr>
              <w:t>2</w:t>
            </w:r>
            <w:r>
              <w:rPr>
                <w:b/>
                <w:bCs/>
                <w:i/>
                <w:iCs/>
                <w:sz w:val="22"/>
                <w:szCs w:val="22"/>
              </w:rPr>
              <w:t>)+(CD</w:t>
            </w:r>
            <w:r>
              <w:rPr>
                <w:b/>
                <w:bCs/>
                <w:i/>
                <w:iCs/>
                <w:sz w:val="22"/>
                <w:szCs w:val="22"/>
                <w:vertAlign w:val="subscript"/>
              </w:rPr>
              <w:t>2</w:t>
            </w:r>
            <w:r>
              <w:rPr>
                <w:b/>
                <w:bCs/>
                <w:i/>
                <w:iCs/>
                <w:sz w:val="22"/>
                <w:szCs w:val="22"/>
              </w:rPr>
              <w:t>) ≤ L</w:t>
            </w:r>
          </w:p>
          <w:p w14:paraId="4F5E2DA0" w14:textId="77777777" w:rsidR="001C08A5" w:rsidRDefault="00000000">
            <w:pPr>
              <w:jc w:val="center"/>
              <w:rPr>
                <w:b/>
                <w:bCs/>
                <w:i/>
                <w:iCs/>
                <w:sz w:val="22"/>
                <w:szCs w:val="22"/>
              </w:rPr>
            </w:pPr>
            <w:r>
              <w:rPr>
                <w:b/>
                <w:bCs/>
                <w:i/>
                <w:iCs/>
                <w:sz w:val="22"/>
                <w:szCs w:val="22"/>
              </w:rPr>
              <w:t>EXEMPLU</w:t>
            </w:r>
          </w:p>
          <w:p w14:paraId="6B0925EB" w14:textId="77777777" w:rsidR="001C08A5" w:rsidRDefault="00000000">
            <w:pPr>
              <w:jc w:val="center"/>
              <w:rPr>
                <w:b/>
                <w:bCs/>
                <w:i/>
                <w:iCs/>
                <w:sz w:val="22"/>
                <w:szCs w:val="22"/>
              </w:rPr>
            </w:pPr>
            <w:r>
              <w:rPr>
                <w:b/>
                <w:bCs/>
                <w:i/>
                <w:iCs/>
                <w:sz w:val="22"/>
                <w:szCs w:val="22"/>
              </w:rPr>
              <w:t>L4+L5 ≤  L</w:t>
            </w:r>
          </w:p>
          <w:p w14:paraId="59009D8F" w14:textId="77777777" w:rsidR="001C08A5" w:rsidRDefault="00000000">
            <w:pPr>
              <w:jc w:val="center"/>
              <w:rPr>
                <w:b/>
                <w:bCs/>
                <w:i/>
                <w:iCs/>
                <w:sz w:val="22"/>
                <w:szCs w:val="22"/>
                <w:u w:val="single"/>
              </w:rPr>
            </w:pPr>
            <w:r>
              <w:rPr>
                <w:b/>
                <w:bCs/>
                <w:i/>
                <w:iCs/>
                <w:sz w:val="22"/>
                <w:szCs w:val="22"/>
                <w:u w:val="single"/>
              </w:rPr>
              <w:t>nu este necesar ca</w:t>
            </w:r>
          </w:p>
          <w:p w14:paraId="07A95417" w14:textId="77777777" w:rsidR="001C08A5" w:rsidRDefault="00000000">
            <w:pPr>
              <w:jc w:val="center"/>
              <w:rPr>
                <w:b/>
                <w:bCs/>
                <w:i/>
                <w:iCs/>
                <w:sz w:val="22"/>
                <w:szCs w:val="22"/>
              </w:rPr>
            </w:pPr>
            <w:r>
              <w:rPr>
                <w:b/>
                <w:bCs/>
                <w:i/>
                <w:iCs/>
                <w:sz w:val="22"/>
                <w:szCs w:val="22"/>
              </w:rPr>
              <w:t>L6+L7 ≤  L</w:t>
            </w:r>
          </w:p>
          <w:p w14:paraId="060BA15E" w14:textId="77777777" w:rsidR="001C08A5" w:rsidRDefault="00000000">
            <w:pPr>
              <w:jc w:val="center"/>
              <w:rPr>
                <w:b/>
                <w:bCs/>
                <w:i/>
                <w:iCs/>
                <w:sz w:val="22"/>
                <w:szCs w:val="22"/>
              </w:rPr>
            </w:pPr>
            <w:r>
              <w:rPr>
                <w:b/>
                <w:bCs/>
                <w:i/>
                <w:iCs/>
                <w:sz w:val="22"/>
                <w:szCs w:val="22"/>
              </w:rPr>
              <w:t>este necesar ca</w:t>
            </w:r>
          </w:p>
          <w:p w14:paraId="073A50AB" w14:textId="77777777" w:rsidR="001C08A5" w:rsidRDefault="00000000">
            <w:pPr>
              <w:jc w:val="center"/>
              <w:rPr>
                <w:b/>
                <w:bCs/>
                <w:i/>
                <w:iCs/>
                <w:sz w:val="22"/>
                <w:szCs w:val="22"/>
              </w:rPr>
            </w:pPr>
            <w:r>
              <w:rPr>
                <w:b/>
                <w:bCs/>
                <w:i/>
                <w:iCs/>
                <w:sz w:val="22"/>
                <w:szCs w:val="22"/>
              </w:rPr>
              <w:t>L1+L2+L3 &lt; l</w:t>
            </w:r>
          </w:p>
        </w:tc>
      </w:tr>
      <w:tr w:rsidR="001C08A5" w14:paraId="714F97E5" w14:textId="77777777">
        <w:tc>
          <w:tcPr>
            <w:tcW w:w="9855" w:type="dxa"/>
            <w:gridSpan w:val="2"/>
          </w:tcPr>
          <w:p w14:paraId="12F58DDA" w14:textId="77777777" w:rsidR="001C08A5" w:rsidRDefault="001C08A5">
            <w:pPr>
              <w:rPr>
                <w:b/>
                <w:bCs/>
                <w:i/>
                <w:iCs/>
                <w:sz w:val="22"/>
                <w:szCs w:val="22"/>
              </w:rPr>
            </w:pPr>
          </w:p>
        </w:tc>
      </w:tr>
    </w:tbl>
    <w:p w14:paraId="158312C5" w14:textId="77777777" w:rsidR="001C08A5" w:rsidRDefault="00000000">
      <w:pPr>
        <w:jc w:val="both"/>
      </w:pPr>
      <w:r>
        <w:rPr>
          <w:noProof/>
          <w:lang w:eastAsia="ro-RO"/>
        </w:rPr>
        <w:drawing>
          <wp:inline distT="0" distB="0" distL="114300" distR="114300" wp14:anchorId="48B5C302" wp14:editId="0007080F">
            <wp:extent cx="6161405" cy="3072130"/>
            <wp:effectExtent l="0" t="0" r="10795" b="13970"/>
            <wp:docPr id="4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35"/>
                    <pic:cNvPicPr>
                      <a:picLocks noChangeAspect="1"/>
                    </pic:cNvPicPr>
                  </pic:nvPicPr>
                  <pic:blipFill>
                    <a:blip r:embed="rId430"/>
                    <a:srcRect l="11754" t="10109" r="6605" b="16898"/>
                    <a:stretch>
                      <a:fillRect/>
                    </a:stretch>
                  </pic:blipFill>
                  <pic:spPr>
                    <a:xfrm>
                      <a:off x="0" y="0"/>
                      <a:ext cx="6161405" cy="3072130"/>
                    </a:xfrm>
                    <a:prstGeom prst="rect">
                      <a:avLst/>
                    </a:prstGeom>
                    <a:noFill/>
                    <a:ln>
                      <a:noFill/>
                    </a:ln>
                  </pic:spPr>
                </pic:pic>
              </a:graphicData>
            </a:graphic>
          </wp:inline>
        </w:drawing>
      </w:r>
    </w:p>
    <w:p w14:paraId="6073DCAA" w14:textId="77777777" w:rsidR="001C08A5" w:rsidRDefault="00000000">
      <w:pPr>
        <w:jc w:val="center"/>
        <w:rPr>
          <w:b/>
          <w:bCs/>
          <w:i/>
          <w:sz w:val="24"/>
          <w:szCs w:val="24"/>
        </w:rPr>
      </w:pPr>
      <w:r>
        <w:rPr>
          <w:b/>
          <w:bCs/>
          <w:i/>
          <w:sz w:val="24"/>
          <w:szCs w:val="24"/>
        </w:rPr>
        <w:t>Exemplu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1"/>
        <w:gridCol w:w="4738"/>
      </w:tblGrid>
      <w:tr w:rsidR="001C08A5" w14:paraId="7695D078" w14:textId="77777777">
        <w:tc>
          <w:tcPr>
            <w:tcW w:w="4927" w:type="dxa"/>
          </w:tcPr>
          <w:p w14:paraId="57E56270" w14:textId="77777777" w:rsidR="001C08A5" w:rsidRDefault="00000000">
            <w:pPr>
              <w:jc w:val="center"/>
            </w:pPr>
            <w:r>
              <w:rPr>
                <w:noProof/>
              </w:rPr>
              <w:drawing>
                <wp:inline distT="0" distB="0" distL="114300" distR="114300" wp14:anchorId="28CCE33E" wp14:editId="5736996A">
                  <wp:extent cx="2740025" cy="1899920"/>
                  <wp:effectExtent l="0" t="0" r="3175" b="5080"/>
                  <wp:docPr id="4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5"/>
                          <pic:cNvPicPr>
                            <a:picLocks noChangeAspect="1"/>
                          </pic:cNvPicPr>
                        </pic:nvPicPr>
                        <pic:blipFill>
                          <a:blip r:embed="rId429"/>
                          <a:srcRect l="54968" t="1158" r="8732" b="63831"/>
                          <a:stretch>
                            <a:fillRect/>
                          </a:stretch>
                        </pic:blipFill>
                        <pic:spPr>
                          <a:xfrm>
                            <a:off x="0" y="0"/>
                            <a:ext cx="2740025" cy="1899920"/>
                          </a:xfrm>
                          <a:prstGeom prst="rect">
                            <a:avLst/>
                          </a:prstGeom>
                          <a:noFill/>
                          <a:ln>
                            <a:noFill/>
                          </a:ln>
                        </pic:spPr>
                      </pic:pic>
                    </a:graphicData>
                  </a:graphic>
                </wp:inline>
              </w:drawing>
            </w:r>
          </w:p>
          <w:p w14:paraId="15FE461F" w14:textId="77777777" w:rsidR="001C08A5" w:rsidRDefault="00000000">
            <w:pPr>
              <w:jc w:val="center"/>
              <w:rPr>
                <w:b/>
                <w:bCs/>
                <w:i/>
                <w:sz w:val="24"/>
                <w:szCs w:val="24"/>
              </w:rPr>
            </w:pPr>
            <w:r>
              <w:rPr>
                <w:b/>
                <w:bCs/>
                <w:i/>
                <w:sz w:val="24"/>
                <w:szCs w:val="24"/>
              </w:rPr>
              <w:t>Principiu</w:t>
            </w:r>
          </w:p>
        </w:tc>
        <w:tc>
          <w:tcPr>
            <w:tcW w:w="4928" w:type="dxa"/>
          </w:tcPr>
          <w:p w14:paraId="56D4C829" w14:textId="77777777" w:rsidR="001C08A5" w:rsidRDefault="00000000">
            <w:pPr>
              <w:widowControl/>
              <w:jc w:val="center"/>
              <w:rPr>
                <w:b/>
                <w:bCs/>
                <w:i/>
                <w:iCs/>
                <w:sz w:val="22"/>
                <w:szCs w:val="22"/>
              </w:rPr>
            </w:pPr>
            <w:r>
              <w:rPr>
                <w:b/>
                <w:bCs/>
                <w:i/>
                <w:iCs/>
                <w:sz w:val="22"/>
                <w:szCs w:val="22"/>
              </w:rPr>
              <w:t>PRINCIPIU</w:t>
            </w:r>
          </w:p>
          <w:p w14:paraId="3C0FAFE0" w14:textId="77777777" w:rsidR="001C08A5" w:rsidRDefault="00000000">
            <w:pPr>
              <w:widowControl/>
              <w:jc w:val="center"/>
              <w:rPr>
                <w:b/>
                <w:bCs/>
                <w:i/>
                <w:iCs/>
                <w:sz w:val="22"/>
                <w:szCs w:val="22"/>
              </w:rPr>
            </w:pPr>
            <w:r>
              <w:rPr>
                <w:b/>
                <w:bCs/>
                <w:i/>
                <w:iCs/>
                <w:sz w:val="22"/>
                <w:szCs w:val="22"/>
              </w:rPr>
              <w:t>În axul din punctul A' NU este prevăzut minimum perete de sectorizare cu rezistență la foc (si ușă conform prevederi normate)</w:t>
            </w:r>
          </w:p>
          <w:p w14:paraId="40DAFC31" w14:textId="77777777" w:rsidR="001C08A5" w:rsidRDefault="00000000">
            <w:pPr>
              <w:widowControl/>
              <w:jc w:val="center"/>
              <w:rPr>
                <w:b/>
                <w:bCs/>
                <w:i/>
                <w:iCs/>
                <w:sz w:val="22"/>
                <w:szCs w:val="22"/>
              </w:rPr>
            </w:pPr>
            <w:r>
              <w:rPr>
                <w:b/>
                <w:bCs/>
                <w:i/>
                <w:iCs/>
                <w:sz w:val="22"/>
                <w:szCs w:val="22"/>
              </w:rPr>
              <w:t>Dacă (AD) &lt; l</w:t>
            </w:r>
          </w:p>
          <w:p w14:paraId="2C09B925" w14:textId="77777777" w:rsidR="001C08A5" w:rsidRDefault="00000000">
            <w:pPr>
              <w:widowControl/>
              <w:jc w:val="center"/>
              <w:rPr>
                <w:iCs/>
                <w:sz w:val="22"/>
                <w:szCs w:val="22"/>
              </w:rPr>
            </w:pPr>
            <w:r>
              <w:rPr>
                <w:b/>
                <w:bCs/>
                <w:i/>
                <w:iCs/>
                <w:sz w:val="22"/>
                <w:szCs w:val="22"/>
              </w:rPr>
              <w:t>(AD)+(BD) sau (AD)+(CD) ≤ L</w:t>
            </w:r>
          </w:p>
          <w:p w14:paraId="0C109603" w14:textId="77777777" w:rsidR="001C08A5" w:rsidRDefault="00000000">
            <w:pPr>
              <w:jc w:val="center"/>
              <w:rPr>
                <w:b/>
                <w:bCs/>
                <w:i/>
                <w:iCs/>
                <w:sz w:val="22"/>
                <w:szCs w:val="22"/>
              </w:rPr>
            </w:pPr>
            <w:r>
              <w:rPr>
                <w:b/>
                <w:bCs/>
                <w:i/>
                <w:iCs/>
                <w:sz w:val="22"/>
                <w:szCs w:val="22"/>
              </w:rPr>
              <w:t>EXEMPLU</w:t>
            </w:r>
          </w:p>
          <w:p w14:paraId="7357B532" w14:textId="77777777" w:rsidR="001C08A5" w:rsidRDefault="00000000">
            <w:pPr>
              <w:jc w:val="center"/>
              <w:rPr>
                <w:b/>
                <w:bCs/>
                <w:i/>
                <w:iCs/>
                <w:sz w:val="22"/>
                <w:szCs w:val="22"/>
              </w:rPr>
            </w:pPr>
            <w:r>
              <w:rPr>
                <w:b/>
                <w:bCs/>
                <w:i/>
                <w:iCs/>
                <w:sz w:val="22"/>
                <w:szCs w:val="22"/>
              </w:rPr>
              <w:t>L1+L2+L3+L4+L5+L6 ≤  L</w:t>
            </w:r>
          </w:p>
          <w:p w14:paraId="06CF43A4" w14:textId="77777777" w:rsidR="001C08A5" w:rsidRDefault="00000000">
            <w:pPr>
              <w:jc w:val="center"/>
              <w:rPr>
                <w:b/>
                <w:bCs/>
                <w:i/>
                <w:iCs/>
                <w:sz w:val="22"/>
                <w:szCs w:val="22"/>
                <w:u w:val="single"/>
              </w:rPr>
            </w:pPr>
            <w:r>
              <w:rPr>
                <w:b/>
                <w:bCs/>
                <w:i/>
                <w:iCs/>
                <w:sz w:val="22"/>
                <w:szCs w:val="22"/>
                <w:u w:val="single"/>
              </w:rPr>
              <w:t>nu este necesar ca</w:t>
            </w:r>
          </w:p>
          <w:p w14:paraId="5862A373" w14:textId="77777777" w:rsidR="001C08A5" w:rsidRDefault="00000000">
            <w:pPr>
              <w:jc w:val="center"/>
              <w:rPr>
                <w:b/>
                <w:bCs/>
                <w:i/>
                <w:iCs/>
                <w:sz w:val="22"/>
                <w:szCs w:val="22"/>
              </w:rPr>
            </w:pPr>
            <w:r>
              <w:rPr>
                <w:b/>
                <w:bCs/>
                <w:i/>
                <w:iCs/>
                <w:sz w:val="22"/>
                <w:szCs w:val="22"/>
              </w:rPr>
              <w:t>L1+L2+L3+L4+L5+L7 ≤  L</w:t>
            </w:r>
          </w:p>
          <w:p w14:paraId="5B254772" w14:textId="77777777" w:rsidR="001C08A5" w:rsidRDefault="00000000">
            <w:pPr>
              <w:jc w:val="center"/>
              <w:rPr>
                <w:b/>
                <w:bCs/>
                <w:i/>
                <w:iCs/>
                <w:sz w:val="22"/>
                <w:szCs w:val="22"/>
              </w:rPr>
            </w:pPr>
            <w:r>
              <w:rPr>
                <w:b/>
                <w:bCs/>
                <w:i/>
                <w:iCs/>
                <w:sz w:val="22"/>
                <w:szCs w:val="22"/>
              </w:rPr>
              <w:t>este necesar ca</w:t>
            </w:r>
          </w:p>
          <w:p w14:paraId="4032C3FE" w14:textId="77777777" w:rsidR="001C08A5" w:rsidRDefault="00000000">
            <w:pPr>
              <w:jc w:val="center"/>
              <w:rPr>
                <w:b/>
                <w:bCs/>
                <w:i/>
                <w:iCs/>
                <w:sz w:val="22"/>
                <w:szCs w:val="22"/>
              </w:rPr>
            </w:pPr>
            <w:r>
              <w:rPr>
                <w:b/>
                <w:bCs/>
                <w:i/>
                <w:iCs/>
                <w:sz w:val="22"/>
                <w:szCs w:val="22"/>
              </w:rPr>
              <w:t>L1+L2+L3+L4+L5 &lt; l</w:t>
            </w:r>
          </w:p>
        </w:tc>
      </w:tr>
      <w:tr w:rsidR="001C08A5" w14:paraId="4BCFE684" w14:textId="77777777">
        <w:tc>
          <w:tcPr>
            <w:tcW w:w="4927" w:type="dxa"/>
          </w:tcPr>
          <w:p w14:paraId="6C6B8CB1" w14:textId="77777777" w:rsidR="001C08A5" w:rsidRDefault="00000000">
            <w:pPr>
              <w:jc w:val="center"/>
              <w:rPr>
                <w:b/>
                <w:bCs/>
                <w:i/>
                <w:sz w:val="24"/>
                <w:szCs w:val="24"/>
              </w:rPr>
            </w:pPr>
            <w:r>
              <w:rPr>
                <w:b/>
                <w:bCs/>
                <w:i/>
                <w:noProof/>
                <w:sz w:val="24"/>
                <w:szCs w:val="24"/>
              </w:rPr>
              <w:lastRenderedPageBreak/>
              <w:drawing>
                <wp:inline distT="0" distB="0" distL="114300" distR="114300" wp14:anchorId="64A86174" wp14:editId="2AAF9933">
                  <wp:extent cx="2750185" cy="1899920"/>
                  <wp:effectExtent l="0" t="0" r="12065" b="5080"/>
                  <wp:docPr id="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5"/>
                          <pic:cNvPicPr>
                            <a:picLocks noChangeAspect="1"/>
                          </pic:cNvPicPr>
                        </pic:nvPicPr>
                        <pic:blipFill>
                          <a:blip r:embed="rId429"/>
                          <a:srcRect l="15900" t="1158" r="47666" b="63831"/>
                          <a:stretch>
                            <a:fillRect/>
                          </a:stretch>
                        </pic:blipFill>
                        <pic:spPr>
                          <a:xfrm>
                            <a:off x="0" y="0"/>
                            <a:ext cx="2750185" cy="1899920"/>
                          </a:xfrm>
                          <a:prstGeom prst="rect">
                            <a:avLst/>
                          </a:prstGeom>
                          <a:noFill/>
                          <a:ln>
                            <a:noFill/>
                          </a:ln>
                        </pic:spPr>
                      </pic:pic>
                    </a:graphicData>
                  </a:graphic>
                </wp:inline>
              </w:drawing>
            </w:r>
          </w:p>
          <w:p w14:paraId="7501614D" w14:textId="77777777" w:rsidR="001C08A5" w:rsidRDefault="00000000">
            <w:pPr>
              <w:jc w:val="center"/>
              <w:rPr>
                <w:b/>
                <w:bCs/>
                <w:i/>
                <w:sz w:val="24"/>
                <w:szCs w:val="24"/>
              </w:rPr>
            </w:pPr>
            <w:r>
              <w:rPr>
                <w:b/>
                <w:bCs/>
                <w:i/>
                <w:sz w:val="24"/>
                <w:szCs w:val="24"/>
              </w:rPr>
              <w:t>Principiu</w:t>
            </w:r>
          </w:p>
        </w:tc>
        <w:tc>
          <w:tcPr>
            <w:tcW w:w="4928" w:type="dxa"/>
          </w:tcPr>
          <w:p w14:paraId="50FEC2AE" w14:textId="77777777" w:rsidR="001C08A5" w:rsidRDefault="00000000">
            <w:pPr>
              <w:widowControl/>
              <w:jc w:val="center"/>
              <w:rPr>
                <w:b/>
                <w:bCs/>
                <w:i/>
                <w:iCs/>
                <w:sz w:val="22"/>
                <w:szCs w:val="22"/>
              </w:rPr>
            </w:pPr>
            <w:r>
              <w:rPr>
                <w:b/>
                <w:bCs/>
                <w:i/>
                <w:iCs/>
                <w:sz w:val="22"/>
                <w:szCs w:val="22"/>
              </w:rPr>
              <w:t>PRINCIPIU</w:t>
            </w:r>
          </w:p>
          <w:p w14:paraId="587F62DA" w14:textId="77777777" w:rsidR="001C08A5" w:rsidRDefault="00000000">
            <w:pPr>
              <w:widowControl/>
              <w:jc w:val="center"/>
              <w:rPr>
                <w:b/>
                <w:bCs/>
                <w:i/>
                <w:iCs/>
                <w:sz w:val="22"/>
                <w:szCs w:val="22"/>
              </w:rPr>
            </w:pPr>
            <w:r>
              <w:rPr>
                <w:b/>
                <w:bCs/>
                <w:i/>
                <w:iCs/>
                <w:sz w:val="22"/>
                <w:szCs w:val="22"/>
              </w:rPr>
              <w:t>În axul din punctul A' este prevăzut minimum perete de sectorizare cu rezistență la foc (si ușă conform prevederi normate)</w:t>
            </w:r>
          </w:p>
          <w:p w14:paraId="2A0036A3" w14:textId="77777777" w:rsidR="001C08A5" w:rsidRDefault="00000000">
            <w:pPr>
              <w:widowControl/>
              <w:jc w:val="center"/>
              <w:rPr>
                <w:b/>
                <w:bCs/>
                <w:i/>
                <w:iCs/>
                <w:sz w:val="22"/>
                <w:szCs w:val="22"/>
              </w:rPr>
            </w:pPr>
            <w:r>
              <w:rPr>
                <w:b/>
                <w:bCs/>
                <w:i/>
                <w:iCs/>
                <w:sz w:val="22"/>
                <w:szCs w:val="22"/>
              </w:rPr>
              <w:t>Dacă (AA') &lt; l</w:t>
            </w:r>
          </w:p>
          <w:p w14:paraId="653CE534" w14:textId="77777777" w:rsidR="001C08A5" w:rsidRDefault="00000000">
            <w:pPr>
              <w:widowControl/>
              <w:jc w:val="center"/>
              <w:rPr>
                <w:b/>
                <w:bCs/>
                <w:i/>
                <w:iCs/>
                <w:sz w:val="22"/>
                <w:szCs w:val="22"/>
              </w:rPr>
            </w:pPr>
            <w:r>
              <w:rPr>
                <w:b/>
                <w:bCs/>
                <w:i/>
                <w:iCs/>
                <w:sz w:val="22"/>
                <w:szCs w:val="22"/>
              </w:rPr>
              <w:t>(A'D)+(BD) sau (A'D)+(CD) ≤ L</w:t>
            </w:r>
          </w:p>
          <w:p w14:paraId="6C31DB7F" w14:textId="77777777" w:rsidR="001C08A5" w:rsidRDefault="00000000">
            <w:pPr>
              <w:jc w:val="center"/>
              <w:rPr>
                <w:b/>
                <w:bCs/>
                <w:i/>
                <w:iCs/>
                <w:sz w:val="22"/>
                <w:szCs w:val="22"/>
              </w:rPr>
            </w:pPr>
            <w:r>
              <w:rPr>
                <w:b/>
                <w:bCs/>
                <w:i/>
                <w:iCs/>
                <w:sz w:val="22"/>
                <w:szCs w:val="22"/>
              </w:rPr>
              <w:t>Cu condiția ca (A'D) &lt; l</w:t>
            </w:r>
          </w:p>
          <w:p w14:paraId="4FBE8EA6" w14:textId="77777777" w:rsidR="001C08A5" w:rsidRDefault="00000000">
            <w:pPr>
              <w:jc w:val="center"/>
              <w:rPr>
                <w:b/>
                <w:bCs/>
                <w:i/>
                <w:iCs/>
                <w:sz w:val="22"/>
                <w:szCs w:val="22"/>
              </w:rPr>
            </w:pPr>
            <w:r>
              <w:rPr>
                <w:b/>
                <w:bCs/>
                <w:i/>
                <w:iCs/>
                <w:sz w:val="22"/>
                <w:szCs w:val="22"/>
              </w:rPr>
              <w:t>EXEMPLU</w:t>
            </w:r>
          </w:p>
          <w:p w14:paraId="5C73455A" w14:textId="77777777" w:rsidR="001C08A5" w:rsidRDefault="00000000">
            <w:pPr>
              <w:jc w:val="center"/>
              <w:rPr>
                <w:b/>
                <w:bCs/>
                <w:i/>
                <w:iCs/>
                <w:sz w:val="22"/>
                <w:szCs w:val="22"/>
              </w:rPr>
            </w:pPr>
            <w:r>
              <w:rPr>
                <w:b/>
                <w:bCs/>
                <w:i/>
                <w:iCs/>
                <w:sz w:val="22"/>
                <w:szCs w:val="22"/>
              </w:rPr>
              <w:t>L5+L6 ≤  L</w:t>
            </w:r>
          </w:p>
          <w:p w14:paraId="4D387FBC" w14:textId="77777777" w:rsidR="001C08A5" w:rsidRDefault="00000000">
            <w:pPr>
              <w:jc w:val="center"/>
              <w:rPr>
                <w:b/>
                <w:bCs/>
                <w:i/>
                <w:iCs/>
                <w:sz w:val="22"/>
                <w:szCs w:val="22"/>
                <w:u w:val="single"/>
              </w:rPr>
            </w:pPr>
            <w:r>
              <w:rPr>
                <w:b/>
                <w:bCs/>
                <w:i/>
                <w:iCs/>
                <w:sz w:val="22"/>
                <w:szCs w:val="22"/>
                <w:u w:val="single"/>
              </w:rPr>
              <w:t>nu este necesar ca</w:t>
            </w:r>
          </w:p>
          <w:p w14:paraId="0B893AAC" w14:textId="77777777" w:rsidR="001C08A5" w:rsidRDefault="00000000">
            <w:pPr>
              <w:jc w:val="center"/>
              <w:rPr>
                <w:b/>
                <w:bCs/>
                <w:i/>
                <w:iCs/>
                <w:sz w:val="22"/>
                <w:szCs w:val="22"/>
              </w:rPr>
            </w:pPr>
            <w:r>
              <w:rPr>
                <w:b/>
                <w:bCs/>
                <w:i/>
                <w:iCs/>
                <w:sz w:val="22"/>
                <w:szCs w:val="22"/>
              </w:rPr>
              <w:t>L5+L7 ≤  L</w:t>
            </w:r>
          </w:p>
          <w:p w14:paraId="2A9C9720" w14:textId="77777777" w:rsidR="001C08A5" w:rsidRDefault="00000000">
            <w:pPr>
              <w:jc w:val="center"/>
              <w:rPr>
                <w:b/>
                <w:bCs/>
                <w:i/>
                <w:iCs/>
                <w:sz w:val="22"/>
                <w:szCs w:val="22"/>
              </w:rPr>
            </w:pPr>
            <w:r>
              <w:rPr>
                <w:b/>
                <w:bCs/>
                <w:i/>
                <w:iCs/>
                <w:sz w:val="22"/>
                <w:szCs w:val="22"/>
              </w:rPr>
              <w:t>este necesar ca</w:t>
            </w:r>
          </w:p>
          <w:p w14:paraId="545E7AC5" w14:textId="77777777" w:rsidR="001C08A5" w:rsidRDefault="00000000">
            <w:pPr>
              <w:jc w:val="center"/>
              <w:rPr>
                <w:b/>
                <w:bCs/>
                <w:i/>
                <w:iCs/>
                <w:sz w:val="22"/>
                <w:szCs w:val="22"/>
              </w:rPr>
            </w:pPr>
            <w:r>
              <w:rPr>
                <w:b/>
                <w:bCs/>
                <w:i/>
                <w:iCs/>
                <w:sz w:val="22"/>
                <w:szCs w:val="22"/>
              </w:rPr>
              <w:t>L1+L2+L3+L4 &lt; l</w:t>
            </w:r>
          </w:p>
          <w:p w14:paraId="4798B0BB" w14:textId="77777777" w:rsidR="001C08A5" w:rsidRDefault="00000000">
            <w:pPr>
              <w:jc w:val="center"/>
              <w:rPr>
                <w:b/>
                <w:bCs/>
                <w:i/>
                <w:iCs/>
                <w:sz w:val="22"/>
                <w:szCs w:val="22"/>
              </w:rPr>
            </w:pPr>
            <w:r>
              <w:rPr>
                <w:b/>
                <w:bCs/>
                <w:i/>
                <w:iCs/>
                <w:sz w:val="22"/>
                <w:szCs w:val="22"/>
              </w:rPr>
              <w:t>și</w:t>
            </w:r>
          </w:p>
          <w:p w14:paraId="47C0D59E" w14:textId="77777777" w:rsidR="001C08A5" w:rsidRDefault="00000000">
            <w:pPr>
              <w:jc w:val="center"/>
              <w:rPr>
                <w:b/>
                <w:bCs/>
                <w:i/>
                <w:iCs/>
                <w:sz w:val="22"/>
                <w:szCs w:val="22"/>
              </w:rPr>
            </w:pPr>
            <w:r>
              <w:rPr>
                <w:b/>
                <w:bCs/>
                <w:i/>
                <w:iCs/>
                <w:sz w:val="22"/>
                <w:szCs w:val="22"/>
              </w:rPr>
              <w:t>L5 &lt; l</w:t>
            </w:r>
          </w:p>
        </w:tc>
      </w:tr>
    </w:tbl>
    <w:p w14:paraId="01CB20D0" w14:textId="77777777" w:rsidR="001C08A5" w:rsidRDefault="001C08A5">
      <w:pPr>
        <w:jc w:val="both"/>
      </w:pPr>
    </w:p>
    <w:p w14:paraId="68B66A48" w14:textId="77777777" w:rsidR="001C08A5" w:rsidRDefault="00000000">
      <w:pPr>
        <w:jc w:val="center"/>
      </w:pPr>
      <w:r>
        <w:rPr>
          <w:noProof/>
          <w:lang w:eastAsia="ro-RO"/>
        </w:rPr>
        <w:drawing>
          <wp:inline distT="0" distB="0" distL="114300" distR="114300" wp14:anchorId="2D950F3F" wp14:editId="4A76B5EF">
            <wp:extent cx="6161405" cy="3557270"/>
            <wp:effectExtent l="0" t="0" r="10795" b="5080"/>
            <wp:docPr id="42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37"/>
                    <pic:cNvPicPr>
                      <a:picLocks noChangeAspect="1"/>
                    </pic:cNvPicPr>
                  </pic:nvPicPr>
                  <pic:blipFill>
                    <a:blip r:embed="rId431"/>
                    <a:srcRect l="11754" t="7302" r="6605" b="8177"/>
                    <a:stretch>
                      <a:fillRect/>
                    </a:stretch>
                  </pic:blipFill>
                  <pic:spPr>
                    <a:xfrm>
                      <a:off x="0" y="0"/>
                      <a:ext cx="6161405" cy="3557270"/>
                    </a:xfrm>
                    <a:prstGeom prst="rect">
                      <a:avLst/>
                    </a:prstGeom>
                    <a:noFill/>
                    <a:ln>
                      <a:noFill/>
                    </a:ln>
                  </pic:spPr>
                </pic:pic>
              </a:graphicData>
            </a:graphic>
          </wp:inline>
        </w:drawing>
      </w:r>
    </w:p>
    <w:p w14:paraId="39183822" w14:textId="77777777" w:rsidR="001C08A5" w:rsidRDefault="00000000">
      <w:pPr>
        <w:jc w:val="center"/>
        <w:rPr>
          <w:b/>
          <w:bCs/>
          <w:i/>
          <w:sz w:val="24"/>
          <w:szCs w:val="24"/>
        </w:rPr>
      </w:pPr>
      <w:r>
        <w:rPr>
          <w:b/>
          <w:bCs/>
          <w:i/>
          <w:sz w:val="24"/>
          <w:szCs w:val="24"/>
        </w:rPr>
        <w:t>Exemplu</w:t>
      </w:r>
    </w:p>
    <w:p w14:paraId="712E3103" w14:textId="77777777" w:rsidR="001C08A5" w:rsidRDefault="001C08A5">
      <w:pPr>
        <w:jc w:val="center"/>
        <w:rPr>
          <w:b/>
          <w:bCs/>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4"/>
        <w:gridCol w:w="4605"/>
      </w:tblGrid>
      <w:tr w:rsidR="001C08A5" w14:paraId="654CA144" w14:textId="77777777">
        <w:tc>
          <w:tcPr>
            <w:tcW w:w="5076" w:type="dxa"/>
          </w:tcPr>
          <w:p w14:paraId="141B36EE" w14:textId="77777777" w:rsidR="001C08A5" w:rsidRDefault="001C08A5">
            <w:pPr>
              <w:jc w:val="center"/>
            </w:pPr>
          </w:p>
          <w:p w14:paraId="7316FF3B" w14:textId="77777777" w:rsidR="001C08A5" w:rsidRDefault="00000000">
            <w:pPr>
              <w:jc w:val="center"/>
            </w:pPr>
            <w:r>
              <w:rPr>
                <w:noProof/>
              </w:rPr>
              <w:drawing>
                <wp:inline distT="0" distB="0" distL="114300" distR="114300" wp14:anchorId="472E67B1" wp14:editId="5A4CD148">
                  <wp:extent cx="2740025" cy="1899920"/>
                  <wp:effectExtent l="0" t="0" r="3175" b="5080"/>
                  <wp:docPr id="4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5"/>
                          <pic:cNvPicPr>
                            <a:picLocks noChangeAspect="1"/>
                          </pic:cNvPicPr>
                        </pic:nvPicPr>
                        <pic:blipFill>
                          <a:blip r:embed="rId429"/>
                          <a:srcRect l="54968" t="1158" r="8732" b="63831"/>
                          <a:stretch>
                            <a:fillRect/>
                          </a:stretch>
                        </pic:blipFill>
                        <pic:spPr>
                          <a:xfrm>
                            <a:off x="0" y="0"/>
                            <a:ext cx="2740025" cy="1899920"/>
                          </a:xfrm>
                          <a:prstGeom prst="rect">
                            <a:avLst/>
                          </a:prstGeom>
                          <a:noFill/>
                          <a:ln>
                            <a:noFill/>
                          </a:ln>
                        </pic:spPr>
                      </pic:pic>
                    </a:graphicData>
                  </a:graphic>
                </wp:inline>
              </w:drawing>
            </w:r>
          </w:p>
          <w:p w14:paraId="544A722B" w14:textId="77777777" w:rsidR="001C08A5" w:rsidRDefault="00000000">
            <w:pPr>
              <w:jc w:val="center"/>
              <w:rPr>
                <w:b/>
                <w:bCs/>
                <w:i/>
                <w:sz w:val="24"/>
                <w:szCs w:val="24"/>
              </w:rPr>
            </w:pPr>
            <w:r>
              <w:rPr>
                <w:b/>
                <w:bCs/>
                <w:i/>
                <w:sz w:val="24"/>
                <w:szCs w:val="24"/>
              </w:rPr>
              <w:t>Principiu</w:t>
            </w:r>
          </w:p>
          <w:p w14:paraId="470ABFA6" w14:textId="77777777" w:rsidR="001C08A5" w:rsidRDefault="001C08A5">
            <w:pPr>
              <w:jc w:val="center"/>
              <w:rPr>
                <w:b/>
                <w:bCs/>
                <w:i/>
                <w:sz w:val="24"/>
                <w:szCs w:val="24"/>
              </w:rPr>
            </w:pPr>
          </w:p>
        </w:tc>
        <w:tc>
          <w:tcPr>
            <w:tcW w:w="4779" w:type="dxa"/>
          </w:tcPr>
          <w:p w14:paraId="02672FF4" w14:textId="77777777" w:rsidR="001C08A5" w:rsidRDefault="00000000">
            <w:pPr>
              <w:widowControl/>
              <w:jc w:val="center"/>
              <w:rPr>
                <w:b/>
                <w:bCs/>
                <w:i/>
                <w:iCs/>
                <w:sz w:val="22"/>
                <w:szCs w:val="22"/>
              </w:rPr>
            </w:pPr>
            <w:r>
              <w:rPr>
                <w:b/>
                <w:bCs/>
                <w:i/>
                <w:iCs/>
                <w:sz w:val="22"/>
                <w:szCs w:val="22"/>
              </w:rPr>
              <w:t>PRINCIPIU</w:t>
            </w:r>
          </w:p>
          <w:p w14:paraId="4BA765A7" w14:textId="77777777" w:rsidR="001C08A5" w:rsidRDefault="00000000">
            <w:pPr>
              <w:widowControl/>
              <w:jc w:val="center"/>
              <w:rPr>
                <w:b/>
                <w:bCs/>
                <w:i/>
                <w:iCs/>
                <w:sz w:val="22"/>
                <w:szCs w:val="22"/>
              </w:rPr>
            </w:pPr>
            <w:r>
              <w:rPr>
                <w:b/>
                <w:bCs/>
                <w:i/>
                <w:iCs/>
                <w:sz w:val="22"/>
                <w:szCs w:val="22"/>
              </w:rPr>
              <w:t>Dacă în axul din punctul A' NU este prevăzut minimum perete de sectorizare cu rezistență la foc</w:t>
            </w:r>
          </w:p>
          <w:p w14:paraId="6FF3927B" w14:textId="77777777" w:rsidR="001C08A5" w:rsidRDefault="00000000">
            <w:pPr>
              <w:widowControl/>
              <w:jc w:val="center"/>
              <w:rPr>
                <w:b/>
                <w:bCs/>
                <w:i/>
                <w:iCs/>
                <w:sz w:val="22"/>
                <w:szCs w:val="22"/>
              </w:rPr>
            </w:pPr>
            <w:r>
              <w:rPr>
                <w:b/>
                <w:bCs/>
                <w:i/>
                <w:iCs/>
                <w:sz w:val="22"/>
                <w:szCs w:val="22"/>
              </w:rPr>
              <w:t>Dacă (AA') sau (AD)≥ l, nu este admis</w:t>
            </w:r>
          </w:p>
          <w:p w14:paraId="6E476F38" w14:textId="77777777" w:rsidR="001C08A5" w:rsidRDefault="00000000">
            <w:pPr>
              <w:widowControl/>
              <w:jc w:val="center"/>
              <w:rPr>
                <w:b/>
                <w:bCs/>
                <w:i/>
                <w:iCs/>
                <w:sz w:val="22"/>
                <w:szCs w:val="22"/>
              </w:rPr>
            </w:pPr>
            <w:r>
              <w:rPr>
                <w:b/>
                <w:bCs/>
                <w:i/>
                <w:iCs/>
                <w:sz w:val="22"/>
                <w:szCs w:val="22"/>
              </w:rPr>
              <w:t>Maximum admis (AD) &lt; l</w:t>
            </w:r>
          </w:p>
          <w:p w14:paraId="45829EF8" w14:textId="77777777" w:rsidR="001C08A5" w:rsidRDefault="00000000">
            <w:pPr>
              <w:widowControl/>
              <w:jc w:val="center"/>
              <w:rPr>
                <w:b/>
                <w:bCs/>
                <w:i/>
                <w:iCs/>
                <w:sz w:val="22"/>
                <w:szCs w:val="22"/>
              </w:rPr>
            </w:pPr>
            <w:r>
              <w:rPr>
                <w:b/>
                <w:bCs/>
                <w:i/>
                <w:iCs/>
                <w:sz w:val="22"/>
                <w:szCs w:val="22"/>
              </w:rPr>
              <w:t>(AA’)+(A'D)+(DD</w:t>
            </w:r>
            <w:r>
              <w:rPr>
                <w:b/>
                <w:bCs/>
                <w:i/>
                <w:iCs/>
                <w:sz w:val="22"/>
                <w:szCs w:val="22"/>
                <w:vertAlign w:val="subscript"/>
              </w:rPr>
              <w:t>1</w:t>
            </w:r>
            <w:r>
              <w:rPr>
                <w:b/>
                <w:bCs/>
                <w:i/>
                <w:iCs/>
                <w:sz w:val="22"/>
                <w:szCs w:val="22"/>
              </w:rPr>
              <w:t>)+(BD</w:t>
            </w:r>
            <w:r>
              <w:rPr>
                <w:b/>
                <w:bCs/>
                <w:i/>
                <w:iCs/>
                <w:sz w:val="22"/>
                <w:szCs w:val="22"/>
                <w:vertAlign w:val="subscript"/>
              </w:rPr>
              <w:t>1</w:t>
            </w:r>
            <w:r>
              <w:rPr>
                <w:b/>
                <w:bCs/>
                <w:i/>
                <w:iCs/>
                <w:sz w:val="22"/>
                <w:szCs w:val="22"/>
              </w:rPr>
              <w:t>) sau (AA’)+(A'D)+(DD</w:t>
            </w:r>
            <w:r>
              <w:rPr>
                <w:b/>
                <w:bCs/>
                <w:i/>
                <w:iCs/>
                <w:sz w:val="22"/>
                <w:szCs w:val="22"/>
                <w:vertAlign w:val="subscript"/>
              </w:rPr>
              <w:t>2</w:t>
            </w:r>
            <w:r>
              <w:rPr>
                <w:b/>
                <w:bCs/>
                <w:i/>
                <w:iCs/>
                <w:sz w:val="22"/>
                <w:szCs w:val="22"/>
              </w:rPr>
              <w:t>)+(CD</w:t>
            </w:r>
            <w:r>
              <w:rPr>
                <w:b/>
                <w:bCs/>
                <w:i/>
                <w:iCs/>
                <w:sz w:val="22"/>
                <w:szCs w:val="22"/>
                <w:vertAlign w:val="subscript"/>
              </w:rPr>
              <w:t>2</w:t>
            </w:r>
            <w:r>
              <w:rPr>
                <w:b/>
                <w:bCs/>
                <w:i/>
                <w:iCs/>
                <w:sz w:val="22"/>
                <w:szCs w:val="22"/>
              </w:rPr>
              <w:t>) ≤ L</w:t>
            </w:r>
          </w:p>
          <w:p w14:paraId="3F197207" w14:textId="77777777" w:rsidR="001C08A5" w:rsidRDefault="00000000">
            <w:pPr>
              <w:jc w:val="center"/>
              <w:rPr>
                <w:b/>
                <w:bCs/>
                <w:i/>
                <w:iCs/>
                <w:sz w:val="22"/>
                <w:szCs w:val="22"/>
              </w:rPr>
            </w:pPr>
            <w:r>
              <w:rPr>
                <w:b/>
                <w:bCs/>
                <w:i/>
                <w:iCs/>
                <w:sz w:val="22"/>
                <w:szCs w:val="22"/>
              </w:rPr>
              <w:t>EXEMPLU (Dacă în axul din punctul A' NU este prevăzut minimum perete de sectorizare)</w:t>
            </w:r>
          </w:p>
          <w:p w14:paraId="4E383987" w14:textId="77777777" w:rsidR="001C08A5" w:rsidRDefault="00000000">
            <w:pPr>
              <w:jc w:val="center"/>
              <w:rPr>
                <w:b/>
                <w:bCs/>
                <w:i/>
                <w:iCs/>
                <w:sz w:val="22"/>
                <w:szCs w:val="22"/>
              </w:rPr>
            </w:pPr>
            <w:r>
              <w:rPr>
                <w:b/>
                <w:bCs/>
                <w:i/>
                <w:iCs/>
                <w:sz w:val="22"/>
                <w:szCs w:val="22"/>
              </w:rPr>
              <w:t>L1+L2+L3+L4+L5+L6+L7 ≤  L</w:t>
            </w:r>
          </w:p>
          <w:p w14:paraId="5E03D8B7" w14:textId="77777777" w:rsidR="001C08A5" w:rsidRDefault="00000000">
            <w:pPr>
              <w:jc w:val="center"/>
              <w:rPr>
                <w:b/>
                <w:bCs/>
                <w:i/>
                <w:iCs/>
                <w:sz w:val="22"/>
                <w:szCs w:val="22"/>
                <w:u w:val="single"/>
              </w:rPr>
            </w:pPr>
            <w:r>
              <w:rPr>
                <w:b/>
                <w:bCs/>
                <w:i/>
                <w:iCs/>
                <w:sz w:val="22"/>
                <w:szCs w:val="22"/>
                <w:u w:val="single"/>
              </w:rPr>
              <w:t>nu este necesar ca</w:t>
            </w:r>
          </w:p>
          <w:p w14:paraId="549DDB2A" w14:textId="77777777" w:rsidR="001C08A5" w:rsidRDefault="00000000">
            <w:pPr>
              <w:jc w:val="center"/>
              <w:rPr>
                <w:b/>
                <w:bCs/>
                <w:i/>
                <w:iCs/>
                <w:sz w:val="22"/>
                <w:szCs w:val="22"/>
              </w:rPr>
            </w:pPr>
            <w:r>
              <w:rPr>
                <w:b/>
                <w:bCs/>
                <w:i/>
                <w:iCs/>
                <w:sz w:val="22"/>
                <w:szCs w:val="22"/>
              </w:rPr>
              <w:t>L1+L2+L3+L4+L5+L8+L9 ≤  L</w:t>
            </w:r>
          </w:p>
          <w:p w14:paraId="46EDCFAC" w14:textId="77777777" w:rsidR="001C08A5" w:rsidRDefault="00000000">
            <w:pPr>
              <w:jc w:val="center"/>
              <w:rPr>
                <w:b/>
                <w:bCs/>
                <w:i/>
                <w:iCs/>
                <w:sz w:val="22"/>
                <w:szCs w:val="22"/>
              </w:rPr>
            </w:pPr>
            <w:r>
              <w:rPr>
                <w:b/>
                <w:bCs/>
                <w:i/>
                <w:iCs/>
                <w:sz w:val="22"/>
                <w:szCs w:val="22"/>
              </w:rPr>
              <w:t>este necesar ca</w:t>
            </w:r>
          </w:p>
          <w:p w14:paraId="2C44C52A" w14:textId="77777777" w:rsidR="001C08A5" w:rsidRDefault="00000000">
            <w:pPr>
              <w:jc w:val="center"/>
              <w:rPr>
                <w:b/>
                <w:bCs/>
                <w:i/>
                <w:sz w:val="24"/>
                <w:szCs w:val="24"/>
              </w:rPr>
            </w:pPr>
            <w:r>
              <w:rPr>
                <w:b/>
                <w:bCs/>
                <w:i/>
                <w:iCs/>
                <w:sz w:val="22"/>
                <w:szCs w:val="22"/>
              </w:rPr>
              <w:t>L1+L2+L3+L4+L5 &lt; l</w:t>
            </w:r>
          </w:p>
        </w:tc>
      </w:tr>
      <w:tr w:rsidR="001C08A5" w14:paraId="720B9838" w14:textId="77777777">
        <w:tc>
          <w:tcPr>
            <w:tcW w:w="5076" w:type="dxa"/>
          </w:tcPr>
          <w:p w14:paraId="47D392B5" w14:textId="77777777" w:rsidR="001C08A5" w:rsidRDefault="001C08A5">
            <w:pPr>
              <w:jc w:val="center"/>
              <w:rPr>
                <w:b/>
                <w:bCs/>
                <w:i/>
                <w:sz w:val="24"/>
                <w:szCs w:val="24"/>
              </w:rPr>
            </w:pPr>
          </w:p>
          <w:p w14:paraId="1AAFFDE7" w14:textId="77777777" w:rsidR="001C08A5" w:rsidRDefault="00000000">
            <w:pPr>
              <w:jc w:val="center"/>
              <w:rPr>
                <w:b/>
                <w:bCs/>
                <w:i/>
                <w:sz w:val="24"/>
                <w:szCs w:val="24"/>
              </w:rPr>
            </w:pPr>
            <w:r>
              <w:rPr>
                <w:b/>
                <w:bCs/>
                <w:i/>
                <w:noProof/>
                <w:sz w:val="24"/>
                <w:szCs w:val="24"/>
              </w:rPr>
              <w:lastRenderedPageBreak/>
              <w:drawing>
                <wp:inline distT="0" distB="0" distL="114300" distR="114300" wp14:anchorId="5005AB25" wp14:editId="04838B2E">
                  <wp:extent cx="2750185" cy="1899920"/>
                  <wp:effectExtent l="0" t="0" r="12065" b="5080"/>
                  <wp:docPr id="4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5"/>
                          <pic:cNvPicPr>
                            <a:picLocks noChangeAspect="1"/>
                          </pic:cNvPicPr>
                        </pic:nvPicPr>
                        <pic:blipFill>
                          <a:blip r:embed="rId429"/>
                          <a:srcRect l="15900" t="1158" r="47666" b="63831"/>
                          <a:stretch>
                            <a:fillRect/>
                          </a:stretch>
                        </pic:blipFill>
                        <pic:spPr>
                          <a:xfrm>
                            <a:off x="0" y="0"/>
                            <a:ext cx="2750185" cy="1899920"/>
                          </a:xfrm>
                          <a:prstGeom prst="rect">
                            <a:avLst/>
                          </a:prstGeom>
                          <a:noFill/>
                          <a:ln>
                            <a:noFill/>
                          </a:ln>
                        </pic:spPr>
                      </pic:pic>
                    </a:graphicData>
                  </a:graphic>
                </wp:inline>
              </w:drawing>
            </w:r>
          </w:p>
          <w:p w14:paraId="6CAC39B8" w14:textId="77777777" w:rsidR="001C08A5" w:rsidRDefault="00000000">
            <w:pPr>
              <w:jc w:val="center"/>
              <w:rPr>
                <w:b/>
                <w:bCs/>
                <w:i/>
                <w:sz w:val="24"/>
                <w:szCs w:val="24"/>
              </w:rPr>
            </w:pPr>
            <w:r>
              <w:rPr>
                <w:b/>
                <w:bCs/>
                <w:i/>
                <w:sz w:val="24"/>
                <w:szCs w:val="24"/>
              </w:rPr>
              <w:t>Principiu</w:t>
            </w:r>
          </w:p>
        </w:tc>
        <w:tc>
          <w:tcPr>
            <w:tcW w:w="4779" w:type="dxa"/>
          </w:tcPr>
          <w:p w14:paraId="262F2787" w14:textId="77777777" w:rsidR="001C08A5" w:rsidRDefault="001C08A5">
            <w:pPr>
              <w:widowControl/>
              <w:jc w:val="center"/>
              <w:rPr>
                <w:b/>
                <w:bCs/>
                <w:i/>
                <w:iCs/>
                <w:sz w:val="22"/>
                <w:szCs w:val="22"/>
              </w:rPr>
            </w:pPr>
          </w:p>
          <w:p w14:paraId="7A0C3E3B" w14:textId="77777777" w:rsidR="001C08A5" w:rsidRDefault="001C08A5">
            <w:pPr>
              <w:widowControl/>
              <w:jc w:val="center"/>
              <w:rPr>
                <w:b/>
                <w:bCs/>
                <w:i/>
                <w:iCs/>
                <w:sz w:val="22"/>
                <w:szCs w:val="22"/>
              </w:rPr>
            </w:pPr>
          </w:p>
          <w:p w14:paraId="42BC559E" w14:textId="77777777" w:rsidR="001C08A5" w:rsidRDefault="001C08A5">
            <w:pPr>
              <w:widowControl/>
              <w:jc w:val="center"/>
              <w:rPr>
                <w:b/>
                <w:bCs/>
                <w:i/>
                <w:iCs/>
                <w:sz w:val="22"/>
                <w:szCs w:val="22"/>
              </w:rPr>
            </w:pPr>
          </w:p>
          <w:p w14:paraId="4E2D75B9" w14:textId="77777777" w:rsidR="001C08A5" w:rsidRDefault="001C08A5">
            <w:pPr>
              <w:widowControl/>
              <w:jc w:val="center"/>
              <w:rPr>
                <w:b/>
                <w:bCs/>
                <w:i/>
                <w:iCs/>
                <w:sz w:val="22"/>
                <w:szCs w:val="22"/>
              </w:rPr>
            </w:pPr>
          </w:p>
          <w:p w14:paraId="410A268E" w14:textId="77777777" w:rsidR="001C08A5" w:rsidRDefault="00000000">
            <w:pPr>
              <w:widowControl/>
              <w:jc w:val="center"/>
              <w:rPr>
                <w:b/>
                <w:bCs/>
                <w:i/>
                <w:iCs/>
                <w:sz w:val="22"/>
                <w:szCs w:val="22"/>
              </w:rPr>
            </w:pPr>
            <w:r>
              <w:rPr>
                <w:b/>
                <w:bCs/>
                <w:i/>
                <w:iCs/>
                <w:sz w:val="22"/>
                <w:szCs w:val="22"/>
              </w:rPr>
              <w:t>PRINCIPIU</w:t>
            </w:r>
          </w:p>
          <w:p w14:paraId="3D75E217" w14:textId="77777777" w:rsidR="001C08A5" w:rsidRDefault="00000000">
            <w:pPr>
              <w:widowControl/>
              <w:jc w:val="center"/>
              <w:rPr>
                <w:b/>
                <w:bCs/>
                <w:i/>
                <w:iCs/>
                <w:sz w:val="22"/>
                <w:szCs w:val="22"/>
              </w:rPr>
            </w:pPr>
            <w:r>
              <w:rPr>
                <w:b/>
                <w:bCs/>
                <w:i/>
                <w:iCs/>
                <w:sz w:val="22"/>
                <w:szCs w:val="22"/>
              </w:rPr>
              <w:t>În axul din punctul A' este prevăzut minimum perete de sectorizare cu rezistență la foc (si ușă conform prevederi normate)</w:t>
            </w:r>
          </w:p>
          <w:p w14:paraId="6E6F5149" w14:textId="77777777" w:rsidR="001C08A5" w:rsidRDefault="00000000">
            <w:pPr>
              <w:widowControl/>
              <w:jc w:val="center"/>
              <w:rPr>
                <w:b/>
                <w:bCs/>
                <w:i/>
                <w:iCs/>
                <w:sz w:val="22"/>
                <w:szCs w:val="22"/>
              </w:rPr>
            </w:pPr>
            <w:r>
              <w:rPr>
                <w:b/>
                <w:bCs/>
                <w:i/>
                <w:iCs/>
                <w:sz w:val="22"/>
                <w:szCs w:val="22"/>
              </w:rPr>
              <w:t>Dacă (AA') &lt; l</w:t>
            </w:r>
          </w:p>
          <w:p w14:paraId="3F8E61EB" w14:textId="77777777" w:rsidR="001C08A5" w:rsidRDefault="00000000">
            <w:pPr>
              <w:widowControl/>
              <w:jc w:val="center"/>
              <w:rPr>
                <w:b/>
                <w:bCs/>
                <w:i/>
                <w:iCs/>
                <w:sz w:val="22"/>
                <w:szCs w:val="22"/>
              </w:rPr>
            </w:pPr>
            <w:r>
              <w:rPr>
                <w:b/>
                <w:bCs/>
                <w:i/>
                <w:iCs/>
                <w:sz w:val="22"/>
                <w:szCs w:val="22"/>
              </w:rPr>
              <w:t>(A'D)+(DD</w:t>
            </w:r>
            <w:r>
              <w:rPr>
                <w:b/>
                <w:bCs/>
                <w:i/>
                <w:iCs/>
                <w:sz w:val="22"/>
                <w:szCs w:val="22"/>
                <w:vertAlign w:val="subscript"/>
              </w:rPr>
              <w:t>1</w:t>
            </w:r>
            <w:r>
              <w:rPr>
                <w:b/>
                <w:bCs/>
                <w:i/>
                <w:iCs/>
                <w:sz w:val="22"/>
                <w:szCs w:val="22"/>
              </w:rPr>
              <w:t>)+(BD</w:t>
            </w:r>
            <w:r>
              <w:rPr>
                <w:b/>
                <w:bCs/>
                <w:i/>
                <w:iCs/>
                <w:sz w:val="22"/>
                <w:szCs w:val="22"/>
                <w:vertAlign w:val="subscript"/>
              </w:rPr>
              <w:t>1</w:t>
            </w:r>
            <w:r>
              <w:rPr>
                <w:b/>
                <w:bCs/>
                <w:i/>
                <w:iCs/>
                <w:sz w:val="22"/>
                <w:szCs w:val="22"/>
              </w:rPr>
              <w:t>) sau (A'D)+(DD</w:t>
            </w:r>
            <w:r>
              <w:rPr>
                <w:b/>
                <w:bCs/>
                <w:i/>
                <w:iCs/>
                <w:sz w:val="22"/>
                <w:szCs w:val="22"/>
                <w:vertAlign w:val="subscript"/>
              </w:rPr>
              <w:t>2</w:t>
            </w:r>
            <w:r>
              <w:rPr>
                <w:b/>
                <w:bCs/>
                <w:i/>
                <w:iCs/>
                <w:sz w:val="22"/>
                <w:szCs w:val="22"/>
              </w:rPr>
              <w:t>)+(CD</w:t>
            </w:r>
            <w:r>
              <w:rPr>
                <w:b/>
                <w:bCs/>
                <w:i/>
                <w:iCs/>
                <w:sz w:val="22"/>
                <w:szCs w:val="22"/>
                <w:vertAlign w:val="subscript"/>
              </w:rPr>
              <w:t>2</w:t>
            </w:r>
            <w:r>
              <w:rPr>
                <w:b/>
                <w:bCs/>
                <w:i/>
                <w:iCs/>
                <w:sz w:val="22"/>
                <w:szCs w:val="22"/>
              </w:rPr>
              <w:t>) ≤ L</w:t>
            </w:r>
          </w:p>
          <w:p w14:paraId="544F4CB6" w14:textId="77777777" w:rsidR="001C08A5" w:rsidRDefault="00000000">
            <w:pPr>
              <w:jc w:val="center"/>
              <w:rPr>
                <w:b/>
                <w:bCs/>
                <w:i/>
                <w:iCs/>
                <w:sz w:val="22"/>
                <w:szCs w:val="22"/>
              </w:rPr>
            </w:pPr>
            <w:r>
              <w:rPr>
                <w:b/>
                <w:bCs/>
                <w:i/>
                <w:iCs/>
                <w:sz w:val="22"/>
                <w:szCs w:val="22"/>
              </w:rPr>
              <w:t>Cu condiția ca (A'D) &lt; l</w:t>
            </w:r>
          </w:p>
          <w:p w14:paraId="013EC1E1" w14:textId="77777777" w:rsidR="001C08A5" w:rsidRDefault="00000000">
            <w:pPr>
              <w:jc w:val="center"/>
              <w:rPr>
                <w:b/>
                <w:bCs/>
                <w:i/>
                <w:iCs/>
                <w:sz w:val="22"/>
                <w:szCs w:val="22"/>
              </w:rPr>
            </w:pPr>
            <w:r>
              <w:rPr>
                <w:b/>
                <w:bCs/>
                <w:i/>
                <w:iCs/>
                <w:sz w:val="22"/>
                <w:szCs w:val="22"/>
              </w:rPr>
              <w:t>EXEMPLU</w:t>
            </w:r>
          </w:p>
          <w:p w14:paraId="5FA08D75" w14:textId="77777777" w:rsidR="001C08A5" w:rsidRDefault="00000000">
            <w:pPr>
              <w:jc w:val="center"/>
              <w:rPr>
                <w:b/>
                <w:bCs/>
                <w:i/>
                <w:iCs/>
                <w:sz w:val="22"/>
                <w:szCs w:val="22"/>
              </w:rPr>
            </w:pPr>
            <w:r>
              <w:rPr>
                <w:b/>
                <w:bCs/>
                <w:i/>
                <w:iCs/>
                <w:sz w:val="22"/>
                <w:szCs w:val="22"/>
              </w:rPr>
              <w:t>L5+L6+L7 ≤  L</w:t>
            </w:r>
          </w:p>
          <w:p w14:paraId="2D5FAE9A" w14:textId="77777777" w:rsidR="001C08A5" w:rsidRDefault="00000000">
            <w:pPr>
              <w:jc w:val="center"/>
              <w:rPr>
                <w:b/>
                <w:bCs/>
                <w:i/>
                <w:iCs/>
                <w:sz w:val="22"/>
                <w:szCs w:val="22"/>
                <w:u w:val="single"/>
              </w:rPr>
            </w:pPr>
            <w:r>
              <w:rPr>
                <w:b/>
                <w:bCs/>
                <w:i/>
                <w:iCs/>
                <w:sz w:val="22"/>
                <w:szCs w:val="22"/>
                <w:u w:val="single"/>
              </w:rPr>
              <w:t>nu este necesar ca</w:t>
            </w:r>
          </w:p>
          <w:p w14:paraId="4ABA1ADE" w14:textId="77777777" w:rsidR="001C08A5" w:rsidRDefault="00000000">
            <w:pPr>
              <w:jc w:val="center"/>
              <w:rPr>
                <w:b/>
                <w:bCs/>
                <w:i/>
                <w:iCs/>
                <w:sz w:val="22"/>
                <w:szCs w:val="22"/>
              </w:rPr>
            </w:pPr>
            <w:r>
              <w:rPr>
                <w:b/>
                <w:bCs/>
                <w:i/>
                <w:iCs/>
                <w:sz w:val="22"/>
                <w:szCs w:val="22"/>
              </w:rPr>
              <w:t>L5+L8+L9 ≤  L</w:t>
            </w:r>
          </w:p>
          <w:p w14:paraId="60A59714" w14:textId="77777777" w:rsidR="001C08A5" w:rsidRDefault="00000000">
            <w:pPr>
              <w:jc w:val="center"/>
              <w:rPr>
                <w:b/>
                <w:bCs/>
                <w:i/>
                <w:iCs/>
                <w:sz w:val="22"/>
                <w:szCs w:val="22"/>
              </w:rPr>
            </w:pPr>
            <w:r>
              <w:rPr>
                <w:b/>
                <w:bCs/>
                <w:i/>
                <w:iCs/>
                <w:sz w:val="22"/>
                <w:szCs w:val="22"/>
              </w:rPr>
              <w:t>este necesar ca</w:t>
            </w:r>
          </w:p>
          <w:p w14:paraId="4BA1D1B3" w14:textId="77777777" w:rsidR="001C08A5" w:rsidRDefault="00000000">
            <w:pPr>
              <w:jc w:val="center"/>
              <w:rPr>
                <w:b/>
                <w:bCs/>
                <w:i/>
                <w:iCs/>
                <w:sz w:val="22"/>
                <w:szCs w:val="22"/>
              </w:rPr>
            </w:pPr>
            <w:r>
              <w:rPr>
                <w:b/>
                <w:bCs/>
                <w:i/>
                <w:iCs/>
                <w:sz w:val="22"/>
                <w:szCs w:val="22"/>
              </w:rPr>
              <w:t>L1+L2+L3+L4 &lt; l</w:t>
            </w:r>
          </w:p>
          <w:p w14:paraId="19F6AE66" w14:textId="77777777" w:rsidR="001C08A5" w:rsidRDefault="00000000">
            <w:pPr>
              <w:jc w:val="center"/>
              <w:rPr>
                <w:b/>
                <w:bCs/>
                <w:i/>
                <w:iCs/>
                <w:sz w:val="22"/>
                <w:szCs w:val="22"/>
              </w:rPr>
            </w:pPr>
            <w:r>
              <w:rPr>
                <w:b/>
                <w:bCs/>
                <w:i/>
                <w:iCs/>
                <w:sz w:val="22"/>
                <w:szCs w:val="22"/>
              </w:rPr>
              <w:t>și</w:t>
            </w:r>
          </w:p>
          <w:p w14:paraId="278D47E3" w14:textId="77777777" w:rsidR="001C08A5" w:rsidRDefault="00000000">
            <w:pPr>
              <w:jc w:val="center"/>
              <w:rPr>
                <w:b/>
                <w:bCs/>
                <w:i/>
                <w:iCs/>
                <w:sz w:val="22"/>
                <w:szCs w:val="22"/>
              </w:rPr>
            </w:pPr>
            <w:r>
              <w:rPr>
                <w:b/>
                <w:bCs/>
                <w:i/>
                <w:iCs/>
                <w:sz w:val="22"/>
                <w:szCs w:val="22"/>
              </w:rPr>
              <w:t>L5 &lt; l</w:t>
            </w:r>
          </w:p>
        </w:tc>
      </w:tr>
      <w:tr w:rsidR="001C08A5" w14:paraId="1D76C232" w14:textId="77777777">
        <w:tc>
          <w:tcPr>
            <w:tcW w:w="9855" w:type="dxa"/>
            <w:gridSpan w:val="2"/>
          </w:tcPr>
          <w:p w14:paraId="41DB847F" w14:textId="77777777" w:rsidR="001C08A5" w:rsidRDefault="001C08A5">
            <w:pPr>
              <w:jc w:val="center"/>
              <w:rPr>
                <w:b/>
                <w:bCs/>
                <w:i/>
                <w:iCs/>
                <w:sz w:val="22"/>
                <w:szCs w:val="22"/>
              </w:rPr>
            </w:pPr>
          </w:p>
        </w:tc>
      </w:tr>
    </w:tbl>
    <w:p w14:paraId="7004CBA2" w14:textId="77777777" w:rsidR="001C08A5" w:rsidRDefault="00000000">
      <w:pPr>
        <w:jc w:val="center"/>
        <w:rPr>
          <w:b/>
          <w:bCs/>
          <w:i/>
          <w:sz w:val="24"/>
          <w:szCs w:val="24"/>
        </w:rPr>
      </w:pPr>
      <w:r>
        <w:rPr>
          <w:noProof/>
          <w:lang w:eastAsia="ro-RO"/>
        </w:rPr>
        <w:drawing>
          <wp:inline distT="0" distB="0" distL="114300" distR="114300" wp14:anchorId="457F03EE" wp14:editId="34C69F59">
            <wp:extent cx="6154420" cy="3476625"/>
            <wp:effectExtent l="0" t="0" r="17780" b="9525"/>
            <wp:docPr id="42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39"/>
                    <pic:cNvPicPr>
                      <a:picLocks noChangeAspect="1"/>
                    </pic:cNvPicPr>
                  </pic:nvPicPr>
                  <pic:blipFill>
                    <a:blip r:embed="rId432"/>
                    <a:srcRect l="11754" t="3470" r="6698" b="13926"/>
                    <a:stretch>
                      <a:fillRect/>
                    </a:stretch>
                  </pic:blipFill>
                  <pic:spPr>
                    <a:xfrm>
                      <a:off x="0" y="0"/>
                      <a:ext cx="6154420" cy="3476625"/>
                    </a:xfrm>
                    <a:prstGeom prst="rect">
                      <a:avLst/>
                    </a:prstGeom>
                    <a:noFill/>
                    <a:ln>
                      <a:noFill/>
                    </a:ln>
                  </pic:spPr>
                </pic:pic>
              </a:graphicData>
            </a:graphic>
          </wp:inline>
        </w:drawing>
      </w:r>
    </w:p>
    <w:p w14:paraId="0304ED08" w14:textId="77777777" w:rsidR="001C08A5" w:rsidRDefault="00000000">
      <w:pPr>
        <w:jc w:val="center"/>
      </w:pPr>
      <w:r>
        <w:rPr>
          <w:b/>
          <w:bCs/>
          <w:i/>
          <w:sz w:val="24"/>
          <w:szCs w:val="24"/>
        </w:rPr>
        <w:t>Exemplu</w:t>
      </w:r>
    </w:p>
    <w:p w14:paraId="6F060406" w14:textId="77777777" w:rsidR="001C08A5" w:rsidRDefault="00000000">
      <w:pPr>
        <w:pStyle w:val="Caption"/>
        <w:widowControl w:val="0"/>
        <w:jc w:val="center"/>
        <w:rPr>
          <w:rFonts w:cs="Times New Roman"/>
        </w:rPr>
      </w:pPr>
      <w:bookmarkStart w:id="8584" w:name="_Toc142898588"/>
      <w:bookmarkStart w:id="8585" w:name="_Toc162360433"/>
      <w:r>
        <w:t xml:space="preserve">Figura </w:t>
      </w:r>
      <w:r>
        <w:fldChar w:fldCharType="begin"/>
      </w:r>
      <w:r>
        <w:instrText xml:space="preserve"> SEQ Figura \* ARABIC </w:instrText>
      </w:r>
      <w:r>
        <w:fldChar w:fldCharType="separate"/>
      </w:r>
      <w:r>
        <w:t>209</w:t>
      </w:r>
      <w:r>
        <w:fldChar w:fldCharType="end"/>
      </w:r>
      <w:bookmarkStart w:id="8586" w:name="_Toc32720"/>
      <w:bookmarkStart w:id="8587" w:name="_Toc8035"/>
      <w:bookmarkStart w:id="8588" w:name="_Toc10781"/>
      <w:bookmarkStart w:id="8589" w:name="_Toc897"/>
      <w:bookmarkStart w:id="8590" w:name="_Toc29934"/>
      <w:bookmarkStart w:id="8591" w:name="_Toc29721"/>
      <w:bookmarkStart w:id="8592" w:name="_Toc5328"/>
      <w:bookmarkStart w:id="8593" w:name="_Toc31473"/>
      <w:bookmarkStart w:id="8594" w:name="_Toc28059"/>
      <w:r>
        <w:t xml:space="preserve"> - </w:t>
      </w:r>
      <w:r>
        <w:rPr>
          <w:rFonts w:cs="Times New Roman"/>
        </w:rPr>
        <w:t>Principii privind lungimea căii de evacuare în interiorul spațiilor de tip open space</w:t>
      </w:r>
      <w:bookmarkEnd w:id="8584"/>
      <w:bookmarkEnd w:id="8585"/>
      <w:bookmarkEnd w:id="8586"/>
      <w:bookmarkEnd w:id="8587"/>
      <w:bookmarkEnd w:id="8588"/>
      <w:bookmarkEnd w:id="8589"/>
      <w:bookmarkEnd w:id="8590"/>
      <w:bookmarkEnd w:id="8591"/>
      <w:bookmarkEnd w:id="8592"/>
      <w:bookmarkEnd w:id="8593"/>
      <w:bookmarkEnd w:id="8594"/>
    </w:p>
    <w:p w14:paraId="54D55C42"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42DBE3A9" wp14:editId="08B9AB6E">
            <wp:extent cx="4338955" cy="1769110"/>
            <wp:effectExtent l="0" t="0" r="4445" b="2540"/>
            <wp:docPr id="293"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138"/>
                    <pic:cNvPicPr>
                      <a:picLocks noChangeAspect="1"/>
                    </pic:cNvPicPr>
                  </pic:nvPicPr>
                  <pic:blipFill>
                    <a:blip r:embed="rId433"/>
                    <a:srcRect l="14116" t="18851" r="7732" b="33543"/>
                    <a:stretch>
                      <a:fillRect/>
                    </a:stretch>
                  </pic:blipFill>
                  <pic:spPr>
                    <a:xfrm>
                      <a:off x="0" y="0"/>
                      <a:ext cx="4423059" cy="1803503"/>
                    </a:xfrm>
                    <a:prstGeom prst="rect">
                      <a:avLst/>
                    </a:prstGeom>
                    <a:noFill/>
                    <a:ln>
                      <a:noFill/>
                    </a:ln>
                  </pic:spPr>
                </pic:pic>
              </a:graphicData>
            </a:graphic>
          </wp:inline>
        </w:drawing>
      </w:r>
    </w:p>
    <w:p w14:paraId="1841271F" w14:textId="77777777" w:rsidR="001C08A5" w:rsidRDefault="00000000">
      <w:pPr>
        <w:pStyle w:val="Caption"/>
        <w:jc w:val="center"/>
      </w:pPr>
      <w:bookmarkStart w:id="8595" w:name="_Toc142898589"/>
      <w:bookmarkStart w:id="8596" w:name="_Toc30621"/>
      <w:bookmarkStart w:id="8597" w:name="_Toc162360434"/>
      <w:r>
        <w:t xml:space="preserve">Figura </w:t>
      </w:r>
      <w:r>
        <w:fldChar w:fldCharType="begin"/>
      </w:r>
      <w:r>
        <w:instrText xml:space="preserve"> SEQ Figura \* ARABIC </w:instrText>
      </w:r>
      <w:r>
        <w:fldChar w:fldCharType="separate"/>
      </w:r>
      <w:r>
        <w:t>210</w:t>
      </w:r>
      <w:r>
        <w:fldChar w:fldCharType="end"/>
      </w:r>
      <w:bookmarkStart w:id="8598" w:name="_Toc30364"/>
      <w:bookmarkStart w:id="8599" w:name="_Toc24562"/>
      <w:bookmarkStart w:id="8600" w:name="_Toc31064"/>
      <w:bookmarkStart w:id="8601" w:name="_Toc23166"/>
      <w:bookmarkStart w:id="8602" w:name="_Toc2662"/>
      <w:bookmarkStart w:id="8603" w:name="_Toc30905"/>
      <w:bookmarkStart w:id="8604" w:name="_Toc12131"/>
      <w:bookmarkStart w:id="8605" w:name="_Toc24989"/>
      <w:bookmarkStart w:id="8606" w:name="_Toc28537"/>
      <w:r>
        <w:t xml:space="preserve"> - Distanțe pe căi  de evacuare (lungimea căii de evacuare)</w:t>
      </w:r>
      <w:bookmarkEnd w:id="8595"/>
      <w:bookmarkEnd w:id="8596"/>
      <w:bookmarkEnd w:id="8597"/>
      <w:bookmarkEnd w:id="8598"/>
      <w:bookmarkEnd w:id="8599"/>
      <w:bookmarkEnd w:id="8600"/>
      <w:bookmarkEnd w:id="8601"/>
      <w:bookmarkEnd w:id="8602"/>
      <w:bookmarkEnd w:id="8603"/>
      <w:bookmarkEnd w:id="8604"/>
      <w:bookmarkEnd w:id="8605"/>
      <w:bookmarkEnd w:id="8606"/>
    </w:p>
    <w:p w14:paraId="16868D42"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55F2570D" wp14:editId="4D02817D">
            <wp:extent cx="4321810" cy="3152140"/>
            <wp:effectExtent l="0" t="0" r="2540" b="10160"/>
            <wp:docPr id="291"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136"/>
                    <pic:cNvPicPr>
                      <a:picLocks noChangeAspect="1"/>
                    </pic:cNvPicPr>
                  </pic:nvPicPr>
                  <pic:blipFill>
                    <a:blip r:embed="rId434"/>
                    <a:srcRect l="13560" t="3896" r="7967" b="10606"/>
                    <a:stretch>
                      <a:fillRect/>
                    </a:stretch>
                  </pic:blipFill>
                  <pic:spPr>
                    <a:xfrm>
                      <a:off x="0" y="0"/>
                      <a:ext cx="4321810" cy="3152140"/>
                    </a:xfrm>
                    <a:prstGeom prst="rect">
                      <a:avLst/>
                    </a:prstGeom>
                    <a:noFill/>
                    <a:ln>
                      <a:noFill/>
                    </a:ln>
                  </pic:spPr>
                </pic:pic>
              </a:graphicData>
            </a:graphic>
          </wp:inline>
        </w:drawing>
      </w:r>
    </w:p>
    <w:p w14:paraId="42E5CAE8" w14:textId="77777777" w:rsidR="001C08A5" w:rsidRDefault="00000000">
      <w:pPr>
        <w:pStyle w:val="Caption"/>
        <w:jc w:val="center"/>
      </w:pPr>
      <w:bookmarkStart w:id="8607" w:name="_Toc2673"/>
      <w:bookmarkStart w:id="8608" w:name="_Toc16772"/>
      <w:bookmarkStart w:id="8609" w:name="_Toc142898590"/>
      <w:bookmarkStart w:id="8610" w:name="_Toc162360435"/>
      <w:r>
        <w:t xml:space="preserve">Figura </w:t>
      </w:r>
      <w:r>
        <w:fldChar w:fldCharType="begin"/>
      </w:r>
      <w:r>
        <w:instrText xml:space="preserve"> SEQ Figura \* ARABIC </w:instrText>
      </w:r>
      <w:r>
        <w:fldChar w:fldCharType="separate"/>
      </w:r>
      <w:r>
        <w:t>211</w:t>
      </w:r>
      <w:r>
        <w:fldChar w:fldCharType="end"/>
      </w:r>
      <w:bookmarkStart w:id="8611" w:name="_Toc6243"/>
      <w:bookmarkStart w:id="8612" w:name="_Toc25995"/>
      <w:bookmarkStart w:id="8613" w:name="_Toc9823"/>
      <w:bookmarkStart w:id="8614" w:name="_Toc13078"/>
      <w:bookmarkStart w:id="8615" w:name="_Toc16158"/>
      <w:bookmarkStart w:id="8616" w:name="_Toc1865"/>
      <w:bookmarkStart w:id="8617" w:name="_Toc31237"/>
      <w:bookmarkStart w:id="8618" w:name="_Toc25845"/>
      <w:bookmarkStart w:id="8619" w:name="_Toc29044"/>
      <w:r>
        <w:t xml:space="preserve"> - Joncțiune în "T" cu coridorul principal de evacuare</w:t>
      </w:r>
      <w:bookmarkEnd w:id="8607"/>
      <w:bookmarkEnd w:id="8608"/>
      <w:bookmarkEnd w:id="8609"/>
      <w:r>
        <w:t xml:space="preserve"> (în cazul coridoarelor delimitate de pereți rezistenți la foc conform condiții normate)</w:t>
      </w:r>
      <w:bookmarkEnd w:id="8610"/>
      <w:bookmarkEnd w:id="8611"/>
      <w:bookmarkEnd w:id="8612"/>
      <w:bookmarkEnd w:id="8613"/>
      <w:bookmarkEnd w:id="8614"/>
      <w:bookmarkEnd w:id="8615"/>
      <w:bookmarkEnd w:id="8616"/>
      <w:bookmarkEnd w:id="8617"/>
      <w:bookmarkEnd w:id="8618"/>
      <w:bookmarkEnd w:id="8619"/>
    </w:p>
    <w:p w14:paraId="04A60D63" w14:textId="77777777" w:rsidR="001C08A5" w:rsidRDefault="00000000">
      <w:pPr>
        <w:jc w:val="center"/>
        <w:rPr>
          <w:rFonts w:eastAsia="Times New Roman"/>
          <w:i/>
          <w:sz w:val="24"/>
          <w:szCs w:val="24"/>
        </w:rPr>
      </w:pPr>
      <w:r>
        <w:rPr>
          <w:b/>
          <w:bCs/>
          <w:i/>
          <w:noProof/>
          <w:sz w:val="24"/>
          <w:szCs w:val="24"/>
        </w:rPr>
        <w:drawing>
          <wp:inline distT="0" distB="0" distL="114300" distR="114300" wp14:anchorId="742E643C" wp14:editId="32C84B1B">
            <wp:extent cx="4381500" cy="2787015"/>
            <wp:effectExtent l="0" t="0" r="0" b="13335"/>
            <wp:docPr id="40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35"/>
                    <pic:cNvPicPr>
                      <a:picLocks noChangeAspect="1"/>
                    </pic:cNvPicPr>
                  </pic:nvPicPr>
                  <pic:blipFill>
                    <a:blip r:embed="rId435"/>
                    <a:srcRect l="23084" t="16499" r="18869" b="32144"/>
                    <a:stretch>
                      <a:fillRect/>
                    </a:stretch>
                  </pic:blipFill>
                  <pic:spPr>
                    <a:xfrm>
                      <a:off x="0" y="0"/>
                      <a:ext cx="4381500" cy="2787015"/>
                    </a:xfrm>
                    <a:prstGeom prst="rect">
                      <a:avLst/>
                    </a:prstGeom>
                    <a:noFill/>
                    <a:ln>
                      <a:noFill/>
                    </a:ln>
                  </pic:spPr>
                </pic:pic>
              </a:graphicData>
            </a:graphic>
          </wp:inline>
        </w:drawing>
      </w:r>
    </w:p>
    <w:p w14:paraId="715C400A" w14:textId="77777777" w:rsidR="001C08A5" w:rsidRDefault="00000000">
      <w:pPr>
        <w:pStyle w:val="Caption"/>
        <w:jc w:val="center"/>
      </w:pPr>
      <w:bookmarkStart w:id="8620" w:name="_Toc24088"/>
      <w:bookmarkStart w:id="8621" w:name="_Toc142898591"/>
      <w:bookmarkStart w:id="8622" w:name="_Toc21168"/>
      <w:bookmarkStart w:id="8623" w:name="_Toc162360436"/>
      <w:r>
        <w:t xml:space="preserve">Figura </w:t>
      </w:r>
      <w:r>
        <w:fldChar w:fldCharType="begin"/>
      </w:r>
      <w:r>
        <w:instrText xml:space="preserve"> SEQ Figura \* ARABIC </w:instrText>
      </w:r>
      <w:r>
        <w:fldChar w:fldCharType="separate"/>
      </w:r>
      <w:r>
        <w:t>212</w:t>
      </w:r>
      <w:r>
        <w:fldChar w:fldCharType="end"/>
      </w:r>
      <w:bookmarkStart w:id="8624" w:name="_Toc6170"/>
      <w:bookmarkStart w:id="8625" w:name="_Toc1721"/>
      <w:bookmarkStart w:id="8626" w:name="_Toc7151"/>
      <w:bookmarkStart w:id="8627" w:name="_Toc220"/>
      <w:bookmarkStart w:id="8628" w:name="_Toc5520"/>
      <w:bookmarkStart w:id="8629" w:name="_Toc14285"/>
      <w:bookmarkStart w:id="8630" w:name="_Toc4254"/>
      <w:bookmarkStart w:id="8631" w:name="_Toc8327"/>
      <w:bookmarkStart w:id="8632" w:name="_Toc8187"/>
      <w:r>
        <w:t xml:space="preserve"> - Diagramă joncțiune în "T" cu coridor principal de evacuare</w:t>
      </w:r>
      <w:bookmarkEnd w:id="8620"/>
      <w:bookmarkEnd w:id="8621"/>
      <w:bookmarkEnd w:id="8622"/>
      <w:bookmarkEnd w:id="8623"/>
      <w:bookmarkEnd w:id="8624"/>
      <w:bookmarkEnd w:id="8625"/>
      <w:bookmarkEnd w:id="8626"/>
      <w:bookmarkEnd w:id="8627"/>
      <w:bookmarkEnd w:id="8628"/>
      <w:bookmarkEnd w:id="8629"/>
      <w:bookmarkEnd w:id="8630"/>
      <w:bookmarkEnd w:id="8631"/>
      <w:bookmarkEnd w:id="8632"/>
    </w:p>
    <w:p w14:paraId="7B11BEDC" w14:textId="77777777" w:rsidR="001C08A5" w:rsidRDefault="00000000">
      <w:pPr>
        <w:pStyle w:val="BodyText"/>
        <w:rPr>
          <w:rFonts w:cs="Mangal"/>
          <w:iCs/>
        </w:rPr>
      </w:pPr>
      <w:r>
        <w:rPr>
          <w:rFonts w:cs="Mangal"/>
          <w:b w:val="0"/>
          <w:bCs w:val="0"/>
          <w:iCs/>
        </w:rPr>
        <w:t>Note Figura 212:</w:t>
      </w:r>
      <w:r>
        <w:rPr>
          <w:rFonts w:cs="Mangal"/>
          <w:iCs/>
        </w:rPr>
        <w:t xml:space="preserve"> </w:t>
      </w:r>
    </w:p>
    <w:p w14:paraId="72D3E83E" w14:textId="77777777" w:rsidR="001C08A5" w:rsidRDefault="00000000">
      <w:pPr>
        <w:pStyle w:val="BodyText"/>
        <w:rPr>
          <w:rFonts w:cs="Mangal"/>
          <w:iCs/>
        </w:rPr>
      </w:pPr>
      <w:r>
        <w:rPr>
          <w:rFonts w:cs="Mangal"/>
          <w:b w:val="0"/>
          <w:bCs w:val="0"/>
          <w:iCs/>
        </w:rPr>
        <w:t>Lungimea de evacuare într-o direcție este lungimea maximă însumată a segmentelor</w:t>
      </w:r>
      <w:r>
        <w:rPr>
          <w:rFonts w:cs="Mangal"/>
          <w:iCs/>
        </w:rPr>
        <w:t xml:space="preserve"> </w:t>
      </w:r>
      <w:r>
        <w:rPr>
          <w:iCs/>
          <w:sz w:val="22"/>
          <w:szCs w:val="22"/>
        </w:rPr>
        <w:t>(CC')+(C'B)</w:t>
      </w:r>
    </w:p>
    <w:p w14:paraId="46818923" w14:textId="77777777" w:rsidR="001C08A5" w:rsidRDefault="00000000">
      <w:pPr>
        <w:pStyle w:val="BodyText"/>
        <w:ind w:left="720" w:firstLine="720"/>
        <w:rPr>
          <w:iCs/>
          <w:sz w:val="22"/>
          <w:szCs w:val="22"/>
        </w:rPr>
      </w:pPr>
      <w:r>
        <w:rPr>
          <w:rFonts w:cs="Mangal"/>
          <w:iCs/>
        </w:rPr>
        <w:t>l=</w:t>
      </w:r>
      <w:r>
        <w:rPr>
          <w:iCs/>
          <w:sz w:val="22"/>
          <w:szCs w:val="22"/>
        </w:rPr>
        <w:t>(CC')+(C'B)</w:t>
      </w:r>
    </w:p>
    <w:p w14:paraId="7276CBDE" w14:textId="77777777" w:rsidR="001C08A5" w:rsidRDefault="00000000">
      <w:pPr>
        <w:pStyle w:val="BodyText"/>
        <w:rPr>
          <w:rFonts w:cs="Mangal"/>
          <w:iCs/>
        </w:rPr>
      </w:pPr>
      <w:r>
        <w:rPr>
          <w:rFonts w:cs="Mangal"/>
          <w:b w:val="0"/>
          <w:bCs w:val="0"/>
          <w:iCs/>
        </w:rPr>
        <w:t xml:space="preserve">Lungimea de evacuare în două direcții este lungimea maximă însumată a segmentelor </w:t>
      </w:r>
      <w:r>
        <w:rPr>
          <w:iCs/>
          <w:sz w:val="22"/>
          <w:szCs w:val="22"/>
        </w:rPr>
        <w:t>(CC')+(C'B)+(BA')+(A'A)</w:t>
      </w:r>
    </w:p>
    <w:p w14:paraId="527800C7" w14:textId="77777777" w:rsidR="001C08A5" w:rsidRDefault="00000000">
      <w:pPr>
        <w:pStyle w:val="BodyText"/>
        <w:ind w:left="720" w:firstLine="720"/>
        <w:rPr>
          <w:rFonts w:cs="Mangal"/>
          <w:iCs/>
        </w:rPr>
      </w:pPr>
      <w:r>
        <w:rPr>
          <w:rFonts w:cs="Mangal"/>
          <w:iCs/>
        </w:rPr>
        <w:t>L=</w:t>
      </w:r>
      <w:r>
        <w:rPr>
          <w:iCs/>
          <w:sz w:val="22"/>
          <w:szCs w:val="22"/>
        </w:rPr>
        <w:t>(CC')+(C'B)+(BA')+(A'A)</w:t>
      </w:r>
    </w:p>
    <w:p w14:paraId="60C2B951" w14:textId="77777777" w:rsidR="001C08A5" w:rsidRDefault="001C08A5">
      <w:pPr>
        <w:pStyle w:val="BodyText"/>
        <w:ind w:left="720" w:firstLine="720"/>
        <w:rPr>
          <w:iCs/>
          <w:sz w:val="22"/>
          <w:szCs w:val="22"/>
        </w:rPr>
      </w:pPr>
    </w:p>
    <w:p w14:paraId="294C4F44" w14:textId="77777777" w:rsidR="001C08A5" w:rsidRDefault="00000000">
      <w:pPr>
        <w:pStyle w:val="Heading4"/>
        <w:rPr>
          <w:sz w:val="24"/>
          <w:szCs w:val="24"/>
        </w:rPr>
      </w:pPr>
      <w:bookmarkStart w:id="8633" w:name="_Toc25402"/>
      <w:bookmarkStart w:id="8634" w:name="_Toc3160"/>
      <w:bookmarkStart w:id="8635" w:name="_Toc28949"/>
      <w:bookmarkStart w:id="8636" w:name="_Toc31697"/>
      <w:bookmarkStart w:id="8637" w:name="_Toc3299"/>
      <w:bookmarkStart w:id="8638" w:name="_Toc24189"/>
      <w:bookmarkStart w:id="8639" w:name="_Toc6283"/>
      <w:bookmarkStart w:id="8640" w:name="_Toc162355456"/>
      <w:bookmarkStart w:id="8641" w:name="_Toc13386"/>
      <w:bookmarkStart w:id="8642" w:name="_Toc26359"/>
      <w:bookmarkStart w:id="8643" w:name="_Toc23065"/>
      <w:bookmarkStart w:id="8644" w:name="_Toc22894"/>
      <w:bookmarkStart w:id="8645" w:name="_Toc29281"/>
      <w:bookmarkStart w:id="8646" w:name="_Toc15332"/>
      <w:bookmarkStart w:id="8647" w:name="_Toc9906"/>
      <w:bookmarkStart w:id="8648" w:name="_Toc24269"/>
      <w:r>
        <w:rPr>
          <w:sz w:val="24"/>
          <w:szCs w:val="24"/>
        </w:rPr>
        <w:t>Caz particular - coridoare cu evacuare în "Y"</w:t>
      </w:r>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p>
    <w:p w14:paraId="6F899A53"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Lungimea măsurată până la o scară de acces în două direcții diferite, amplasate în direcții diferite, este considerată cale de evacuare admisă dacă distanța totală a fiecarei lungimi până la o ușă a scării nu depășește lungimea normată în două direcții.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9"/>
        <w:gridCol w:w="5776"/>
      </w:tblGrid>
      <w:tr w:rsidR="001C08A5" w14:paraId="46589566" w14:textId="77777777">
        <w:tc>
          <w:tcPr>
            <w:tcW w:w="9855" w:type="dxa"/>
            <w:gridSpan w:val="2"/>
          </w:tcPr>
          <w:p w14:paraId="0CF24BF4" w14:textId="77777777" w:rsidR="001C08A5" w:rsidRDefault="00000000">
            <w:pPr>
              <w:jc w:val="center"/>
              <w:rPr>
                <w:rFonts w:eastAsia="Times New Roman"/>
                <w:i/>
                <w:sz w:val="24"/>
                <w:szCs w:val="24"/>
              </w:rPr>
            </w:pPr>
            <w:r>
              <w:rPr>
                <w:b/>
                <w:bCs/>
                <w:i/>
                <w:noProof/>
                <w:sz w:val="24"/>
                <w:szCs w:val="24"/>
              </w:rPr>
              <w:lastRenderedPageBreak/>
              <w:drawing>
                <wp:inline distT="0" distB="0" distL="114300" distR="114300" wp14:anchorId="48F627A5" wp14:editId="265BC0CE">
                  <wp:extent cx="6048375" cy="3508375"/>
                  <wp:effectExtent l="0" t="0" r="9525" b="15875"/>
                  <wp:docPr id="40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36"/>
                          <pic:cNvPicPr>
                            <a:picLocks noChangeAspect="1"/>
                          </pic:cNvPicPr>
                        </pic:nvPicPr>
                        <pic:blipFill>
                          <a:blip r:embed="rId436"/>
                          <a:srcRect l="12535" t="13995" r="7336" b="21355"/>
                          <a:stretch>
                            <a:fillRect/>
                          </a:stretch>
                        </pic:blipFill>
                        <pic:spPr>
                          <a:xfrm>
                            <a:off x="0" y="0"/>
                            <a:ext cx="6048375" cy="3508375"/>
                          </a:xfrm>
                          <a:prstGeom prst="rect">
                            <a:avLst/>
                          </a:prstGeom>
                          <a:noFill/>
                          <a:ln>
                            <a:noFill/>
                          </a:ln>
                        </pic:spPr>
                      </pic:pic>
                    </a:graphicData>
                  </a:graphic>
                </wp:inline>
              </w:drawing>
            </w:r>
          </w:p>
        </w:tc>
      </w:tr>
      <w:tr w:rsidR="001C08A5" w14:paraId="7ACDACA8" w14:textId="77777777">
        <w:tc>
          <w:tcPr>
            <w:tcW w:w="4079" w:type="dxa"/>
          </w:tcPr>
          <w:p w14:paraId="4F684804" w14:textId="77777777" w:rsidR="001C08A5" w:rsidRDefault="00000000">
            <w:pPr>
              <w:jc w:val="center"/>
              <w:rPr>
                <w:b/>
                <w:bCs/>
                <w:i/>
                <w:sz w:val="24"/>
                <w:szCs w:val="24"/>
              </w:rPr>
            </w:pPr>
            <w:r>
              <w:rPr>
                <w:rFonts w:eastAsia="Times New Roman"/>
                <w:b/>
                <w:bCs/>
                <w:i/>
                <w:sz w:val="24"/>
                <w:szCs w:val="24"/>
              </w:rPr>
              <w:t>Varianta a - lungime de evacuare in doua directii sub un unghi &lt; 90°- în axul căilor de evacuare - se acceptă</w:t>
            </w:r>
          </w:p>
        </w:tc>
        <w:tc>
          <w:tcPr>
            <w:tcW w:w="5776" w:type="dxa"/>
          </w:tcPr>
          <w:p w14:paraId="6E9F92BF" w14:textId="77777777" w:rsidR="001C08A5" w:rsidRDefault="00000000">
            <w:pPr>
              <w:jc w:val="center"/>
              <w:rPr>
                <w:b/>
                <w:bCs/>
                <w:i/>
                <w:sz w:val="24"/>
                <w:szCs w:val="24"/>
              </w:rPr>
            </w:pPr>
            <w:r>
              <w:rPr>
                <w:rFonts w:eastAsia="Times New Roman"/>
                <w:b/>
                <w:bCs/>
                <w:i/>
                <w:sz w:val="24"/>
                <w:szCs w:val="24"/>
              </w:rPr>
              <w:t>Varianta b - lungime de evacuare in doua directii - se acceptă</w:t>
            </w:r>
          </w:p>
        </w:tc>
      </w:tr>
    </w:tbl>
    <w:p w14:paraId="3F65B23A" w14:textId="77777777" w:rsidR="001C08A5" w:rsidRDefault="00000000">
      <w:pPr>
        <w:pStyle w:val="Caption"/>
        <w:jc w:val="center"/>
      </w:pPr>
      <w:bookmarkStart w:id="8649" w:name="_Toc142898592"/>
      <w:bookmarkStart w:id="8650" w:name="_Toc10863"/>
      <w:bookmarkStart w:id="8651" w:name="_Toc162360437"/>
      <w:bookmarkStart w:id="8652" w:name="_Toc14982"/>
      <w:r>
        <w:t xml:space="preserve">Figura </w:t>
      </w:r>
      <w:r>
        <w:fldChar w:fldCharType="begin"/>
      </w:r>
      <w:r>
        <w:instrText xml:space="preserve"> SEQ Figura \* ARABIC </w:instrText>
      </w:r>
      <w:r>
        <w:fldChar w:fldCharType="separate"/>
      </w:r>
      <w:r>
        <w:t>213</w:t>
      </w:r>
      <w:r>
        <w:fldChar w:fldCharType="end"/>
      </w:r>
      <w:bookmarkStart w:id="8653" w:name="_Toc23047"/>
      <w:bookmarkStart w:id="8654" w:name="_Toc22963"/>
      <w:bookmarkStart w:id="8655" w:name="_Toc32439"/>
      <w:bookmarkStart w:id="8656" w:name="_Toc28774"/>
      <w:bookmarkStart w:id="8657" w:name="_Toc28161"/>
      <w:bookmarkStart w:id="8658" w:name="_Toc26862"/>
      <w:bookmarkStart w:id="8659" w:name="_Toc13389"/>
      <w:bookmarkStart w:id="8660" w:name="_Toc31661"/>
      <w:bookmarkStart w:id="8661" w:name="_Toc27091"/>
      <w:r>
        <w:t xml:space="preserve"> - Distanțe pe căi  de evacuare (lungimea căii de evacuare)</w:t>
      </w:r>
      <w:bookmarkEnd w:id="8649"/>
      <w:bookmarkEnd w:id="8650"/>
      <w:bookmarkEnd w:id="8651"/>
      <w:bookmarkEnd w:id="8652"/>
      <w:bookmarkEnd w:id="8653"/>
      <w:bookmarkEnd w:id="8654"/>
      <w:bookmarkEnd w:id="8655"/>
      <w:bookmarkEnd w:id="8656"/>
      <w:bookmarkEnd w:id="8657"/>
      <w:bookmarkEnd w:id="8658"/>
      <w:bookmarkEnd w:id="8659"/>
      <w:bookmarkEnd w:id="8660"/>
      <w:bookmarkEnd w:id="8661"/>
    </w:p>
    <w:p w14:paraId="3B732506"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Un coridor înfundat cu lungimea mai mică decât cea normată pentru fiecare funcțiune / tip de clădire, măsurată de la o cale de evacuare cu acces la două scări, încăperi tampon, degajamente protejate sau ieșiri în exterior amplasate în direcții opuse, este considerat cale de evacuare admisă dacă distanța totală până la o scară, încăpere tampon, degajament protejat sau ieșire în exterior nu depășește lungimea de evacuare  în două direcții. </w:t>
      </w:r>
    </w:p>
    <w:p w14:paraId="4B603BBC" w14:textId="77777777" w:rsidR="001C08A5" w:rsidRDefault="00000000">
      <w:pPr>
        <w:jc w:val="center"/>
        <w:rPr>
          <w:b/>
          <w:bCs/>
          <w:i/>
          <w:sz w:val="24"/>
          <w:szCs w:val="24"/>
        </w:rPr>
      </w:pPr>
      <w:r>
        <w:rPr>
          <w:b/>
          <w:bCs/>
          <w:i/>
          <w:noProof/>
          <w:sz w:val="24"/>
          <w:szCs w:val="24"/>
          <w:lang w:eastAsia="ro-RO"/>
        </w:rPr>
        <w:drawing>
          <wp:inline distT="0" distB="0" distL="114300" distR="114300" wp14:anchorId="29006CD7" wp14:editId="105C2AF5">
            <wp:extent cx="6060440" cy="2260600"/>
            <wp:effectExtent l="0" t="0" r="16510" b="6350"/>
            <wp:docPr id="408"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141"/>
                    <pic:cNvPicPr>
                      <a:picLocks noChangeAspect="1"/>
                    </pic:cNvPicPr>
                  </pic:nvPicPr>
                  <pic:blipFill>
                    <a:blip r:embed="rId437"/>
                    <a:srcRect l="12383" t="22157" r="7327" b="33102"/>
                    <a:stretch>
                      <a:fillRect/>
                    </a:stretch>
                  </pic:blipFill>
                  <pic:spPr>
                    <a:xfrm>
                      <a:off x="0" y="0"/>
                      <a:ext cx="6060440" cy="2260600"/>
                    </a:xfrm>
                    <a:prstGeom prst="rect">
                      <a:avLst/>
                    </a:prstGeom>
                    <a:noFill/>
                    <a:ln>
                      <a:noFill/>
                    </a:ln>
                  </pic:spPr>
                </pic:pic>
              </a:graphicData>
            </a:graphic>
          </wp:inline>
        </w:drawing>
      </w:r>
    </w:p>
    <w:p w14:paraId="45E06BFF" w14:textId="77777777" w:rsidR="001C08A5" w:rsidRDefault="00000000">
      <w:pPr>
        <w:pStyle w:val="Caption"/>
        <w:jc w:val="center"/>
      </w:pPr>
      <w:bookmarkStart w:id="8662" w:name="_Toc142898593"/>
      <w:bookmarkStart w:id="8663" w:name="_Toc162360438"/>
      <w:bookmarkStart w:id="8664" w:name="_Toc12476"/>
      <w:bookmarkStart w:id="8665" w:name="_Toc23413"/>
      <w:r>
        <w:t xml:space="preserve">Figura </w:t>
      </w:r>
      <w:r>
        <w:fldChar w:fldCharType="begin"/>
      </w:r>
      <w:r>
        <w:instrText xml:space="preserve"> SEQ Figura \* ARABIC </w:instrText>
      </w:r>
      <w:r>
        <w:fldChar w:fldCharType="separate"/>
      </w:r>
      <w:r>
        <w:t>214</w:t>
      </w:r>
      <w:r>
        <w:fldChar w:fldCharType="end"/>
      </w:r>
      <w:bookmarkStart w:id="8666" w:name="_Toc28327"/>
      <w:bookmarkStart w:id="8667" w:name="_Toc22405"/>
      <w:bookmarkStart w:id="8668" w:name="_Toc28261"/>
      <w:bookmarkStart w:id="8669" w:name="_Toc5237"/>
      <w:bookmarkStart w:id="8670" w:name="_Toc6447"/>
      <w:bookmarkStart w:id="8671" w:name="_Toc22250"/>
      <w:bookmarkStart w:id="8672" w:name="_Toc15590"/>
      <w:bookmarkStart w:id="8673" w:name="_Toc1090"/>
      <w:bookmarkStart w:id="8674" w:name="_Toc18137"/>
      <w:r>
        <w:t xml:space="preserve"> - Caz particular - coridoare înfundate (lungime de evacuare într-o singură direcție), evacuare în "T" (un unghi = 180°) - se acceptă</w:t>
      </w:r>
      <w:bookmarkEnd w:id="8662"/>
      <w:bookmarkEnd w:id="8663"/>
      <w:bookmarkEnd w:id="8664"/>
      <w:bookmarkEnd w:id="8665"/>
      <w:bookmarkEnd w:id="8666"/>
      <w:bookmarkEnd w:id="8667"/>
      <w:bookmarkEnd w:id="8668"/>
      <w:bookmarkEnd w:id="8669"/>
      <w:bookmarkEnd w:id="8670"/>
      <w:bookmarkEnd w:id="8671"/>
      <w:bookmarkEnd w:id="8672"/>
      <w:bookmarkEnd w:id="8673"/>
      <w:bookmarkEnd w:id="8674"/>
    </w:p>
    <w:p w14:paraId="4D9BE12A" w14:textId="77777777" w:rsidR="001C08A5" w:rsidRDefault="00000000">
      <w:pPr>
        <w:suppressLineNumbers/>
        <w:spacing w:before="120" w:after="120"/>
        <w:jc w:val="center"/>
        <w:rPr>
          <w:rFonts w:cs="Mangal"/>
          <w:b/>
          <w:i/>
          <w:iCs/>
          <w:sz w:val="24"/>
          <w:szCs w:val="24"/>
        </w:rPr>
      </w:pPr>
      <w:r>
        <w:rPr>
          <w:rFonts w:cs="Mangal"/>
          <w:b/>
          <w:i/>
          <w:iCs/>
          <w:noProof/>
          <w:sz w:val="24"/>
          <w:szCs w:val="24"/>
        </w:rPr>
        <w:lastRenderedPageBreak/>
        <w:drawing>
          <wp:inline distT="0" distB="0" distL="114300" distR="114300" wp14:anchorId="3AE8AAFB" wp14:editId="0AF43EF2">
            <wp:extent cx="6042025" cy="3564890"/>
            <wp:effectExtent l="0" t="0" r="15875" b="16510"/>
            <wp:docPr id="4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37"/>
                    <pic:cNvPicPr>
                      <a:picLocks noChangeAspect="1"/>
                    </pic:cNvPicPr>
                  </pic:nvPicPr>
                  <pic:blipFill>
                    <a:blip r:embed="rId438"/>
                    <a:srcRect l="12442" t="21566" r="7512" b="12743"/>
                    <a:stretch>
                      <a:fillRect/>
                    </a:stretch>
                  </pic:blipFill>
                  <pic:spPr>
                    <a:xfrm>
                      <a:off x="0" y="0"/>
                      <a:ext cx="6042025" cy="356489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2"/>
        <w:gridCol w:w="5893"/>
      </w:tblGrid>
      <w:tr w:rsidR="001C08A5" w14:paraId="50EE6267" w14:textId="77777777">
        <w:tc>
          <w:tcPr>
            <w:tcW w:w="3962" w:type="dxa"/>
          </w:tcPr>
          <w:p w14:paraId="7019E5B1" w14:textId="77777777" w:rsidR="001C08A5" w:rsidRDefault="00000000">
            <w:pPr>
              <w:jc w:val="center"/>
              <w:rPr>
                <w:b/>
                <w:bCs/>
                <w:i/>
                <w:sz w:val="24"/>
                <w:szCs w:val="24"/>
              </w:rPr>
            </w:pPr>
            <w:r>
              <w:rPr>
                <w:rFonts w:eastAsia="Times New Roman"/>
                <w:b/>
                <w:bCs/>
                <w:i/>
                <w:sz w:val="24"/>
                <w:szCs w:val="24"/>
              </w:rPr>
              <w:t>Varianta a - coridor înfundat si evacuare in doua directii, evacuare în "Y" sub un unghi &lt; 90°- în axul căilor de evacuare -  se acceptă</w:t>
            </w:r>
          </w:p>
        </w:tc>
        <w:tc>
          <w:tcPr>
            <w:tcW w:w="5893" w:type="dxa"/>
          </w:tcPr>
          <w:p w14:paraId="2C8DA48C" w14:textId="77777777" w:rsidR="001C08A5" w:rsidRDefault="00000000">
            <w:pPr>
              <w:jc w:val="center"/>
              <w:rPr>
                <w:b/>
                <w:bCs/>
                <w:i/>
                <w:sz w:val="24"/>
                <w:szCs w:val="24"/>
              </w:rPr>
            </w:pPr>
            <w:r>
              <w:rPr>
                <w:rFonts w:eastAsia="Times New Roman"/>
                <w:b/>
                <w:bCs/>
                <w:i/>
                <w:sz w:val="24"/>
                <w:szCs w:val="24"/>
              </w:rPr>
              <w:t xml:space="preserve">Varianta b - coridor înfundat (lungime de evacuare într-o singură direcție), evacuare în "Y" sub un unghi </w:t>
            </w:r>
            <w:r>
              <w:rPr>
                <w:rFonts w:ascii="Symbol" w:eastAsia="Times New Roman" w:hAnsi="Symbol" w:cs="Symbol"/>
                <w:b/>
                <w:bCs/>
                <w:i/>
                <w:sz w:val="24"/>
                <w:szCs w:val="24"/>
              </w:rPr>
              <w:t>³</w:t>
            </w:r>
            <w:r>
              <w:rPr>
                <w:rFonts w:eastAsia="Times New Roman"/>
                <w:b/>
                <w:bCs/>
                <w:i/>
                <w:sz w:val="24"/>
                <w:szCs w:val="24"/>
              </w:rPr>
              <w:t xml:space="preserve"> 90°- în axul căilor de evacuare - se acceptă</w:t>
            </w:r>
          </w:p>
        </w:tc>
      </w:tr>
    </w:tbl>
    <w:p w14:paraId="6441F790" w14:textId="77777777" w:rsidR="001C08A5" w:rsidRDefault="00000000">
      <w:pPr>
        <w:pStyle w:val="Caption"/>
        <w:jc w:val="center"/>
      </w:pPr>
      <w:bookmarkStart w:id="8675" w:name="_Toc10180"/>
      <w:bookmarkStart w:id="8676" w:name="_Toc142898594"/>
      <w:bookmarkStart w:id="8677" w:name="_Toc162360439"/>
      <w:bookmarkStart w:id="8678" w:name="_Toc10909"/>
      <w:r>
        <w:t xml:space="preserve">Figura </w:t>
      </w:r>
      <w:r>
        <w:fldChar w:fldCharType="begin"/>
      </w:r>
      <w:r>
        <w:instrText xml:space="preserve"> SEQ Figura \* ARABIC </w:instrText>
      </w:r>
      <w:r>
        <w:fldChar w:fldCharType="separate"/>
      </w:r>
      <w:r>
        <w:t>215</w:t>
      </w:r>
      <w:r>
        <w:fldChar w:fldCharType="end"/>
      </w:r>
      <w:bookmarkStart w:id="8679" w:name="_Toc28115"/>
      <w:bookmarkStart w:id="8680" w:name="_Toc10074"/>
      <w:bookmarkStart w:id="8681" w:name="_Toc8454"/>
      <w:bookmarkStart w:id="8682" w:name="_Toc26915"/>
      <w:bookmarkStart w:id="8683" w:name="_Toc14986"/>
      <w:bookmarkStart w:id="8684" w:name="_Toc8870"/>
      <w:bookmarkStart w:id="8685" w:name="_Toc4698"/>
      <w:bookmarkStart w:id="8686" w:name="_Toc20730"/>
      <w:bookmarkStart w:id="8687" w:name="_Toc8161"/>
      <w:r>
        <w:t xml:space="preserve"> - Caz particular - coridoare înfundate (lungime de evacuare într-o singură direcție), evacuare în "Y" - în axul căilor de evacuare</w:t>
      </w:r>
      <w:bookmarkEnd w:id="8675"/>
      <w:bookmarkEnd w:id="8676"/>
      <w:bookmarkEnd w:id="8677"/>
      <w:bookmarkEnd w:id="8678"/>
      <w:r>
        <w:t xml:space="preserve"> </w:t>
      </w:r>
      <w:bookmarkEnd w:id="8679"/>
      <w:bookmarkEnd w:id="8680"/>
      <w:bookmarkEnd w:id="8681"/>
      <w:bookmarkEnd w:id="8682"/>
      <w:bookmarkEnd w:id="8683"/>
      <w:bookmarkEnd w:id="8684"/>
      <w:bookmarkEnd w:id="8685"/>
      <w:bookmarkEnd w:id="8686"/>
      <w:bookmarkEnd w:id="8687"/>
    </w:p>
    <w:p w14:paraId="51C3299A" w14:textId="77777777" w:rsidR="001C08A5" w:rsidRDefault="00000000">
      <w:pPr>
        <w:pStyle w:val="Heading4"/>
        <w:rPr>
          <w:sz w:val="24"/>
          <w:szCs w:val="24"/>
        </w:rPr>
      </w:pPr>
      <w:bookmarkStart w:id="8688" w:name="_Toc9791"/>
      <w:bookmarkStart w:id="8689" w:name="_Toc10135"/>
      <w:bookmarkStart w:id="8690" w:name="_Toc12352"/>
      <w:bookmarkStart w:id="8691" w:name="_Toc23366"/>
      <w:bookmarkStart w:id="8692" w:name="_Toc18414"/>
      <w:bookmarkStart w:id="8693" w:name="_Toc18019"/>
      <w:bookmarkStart w:id="8694" w:name="_Toc16576"/>
      <w:bookmarkStart w:id="8695" w:name="_Toc21818"/>
      <w:bookmarkStart w:id="8696" w:name="_Toc30454"/>
      <w:bookmarkStart w:id="8697" w:name="_Toc10257"/>
      <w:bookmarkStart w:id="8698" w:name="_Toc15621"/>
      <w:bookmarkStart w:id="8699" w:name="_Toc2100"/>
      <w:bookmarkStart w:id="8700" w:name="_Toc26040"/>
      <w:bookmarkStart w:id="8701" w:name="_Toc12896"/>
      <w:bookmarkStart w:id="8702" w:name="_Toc162355457"/>
      <w:bookmarkStart w:id="8703" w:name="_Toc17291"/>
      <w:r>
        <w:rPr>
          <w:sz w:val="24"/>
          <w:szCs w:val="24"/>
        </w:rPr>
        <w:t>Lungimea căii de evacuare</w:t>
      </w:r>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r>
        <w:rPr>
          <w:sz w:val="24"/>
          <w:szCs w:val="24"/>
        </w:rPr>
        <w:t xml:space="preserve"> </w:t>
      </w:r>
    </w:p>
    <w:p w14:paraId="471FCE10"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Lungimea căii de evacuare („distanța de evacuare”) se referă la distanța necesară pentru a fi parcursă de la cel mai îndepărtat punct din orice cameră sau spațiu (cu excepția celor stipulate explicit în normativ) sau de la ușile camerelor sau spațiilor (în condițiile în care lungimea de evacuare din interiorul acestora este mai mică decât lungimea de coridor înfundat pentru fiecare funcțiune sau tip înalt sau foarte înalt de construcție în parte), până la marginea deschiderii ușii, direct la:</w:t>
      </w:r>
    </w:p>
    <w:p w14:paraId="2A3122D7" w14:textId="77777777" w:rsidR="001C08A5" w:rsidRDefault="00000000">
      <w:pPr>
        <w:numPr>
          <w:ilvl w:val="0"/>
          <w:numId w:val="100"/>
        </w:numPr>
        <w:tabs>
          <w:tab w:val="clear" w:pos="1260"/>
          <w:tab w:val="left" w:pos="420"/>
        </w:tabs>
        <w:jc w:val="both"/>
        <w:rPr>
          <w:rFonts w:eastAsia="Times New Roman"/>
          <w:i/>
          <w:sz w:val="24"/>
          <w:szCs w:val="24"/>
        </w:rPr>
      </w:pPr>
      <w:r>
        <w:rPr>
          <w:rFonts w:eastAsia="Times New Roman"/>
          <w:i/>
          <w:sz w:val="24"/>
          <w:szCs w:val="24"/>
        </w:rPr>
        <w:t>o scară de evacuare închisă sau o încăpere tampon protejată (ventilată în suprapresiune) a unei scări de evacuare, sau</w:t>
      </w:r>
    </w:p>
    <w:p w14:paraId="3A126294" w14:textId="77777777" w:rsidR="001C08A5" w:rsidRDefault="00000000">
      <w:pPr>
        <w:numPr>
          <w:ilvl w:val="0"/>
          <w:numId w:val="100"/>
        </w:numPr>
        <w:tabs>
          <w:tab w:val="clear" w:pos="1260"/>
          <w:tab w:val="left" w:pos="420"/>
        </w:tabs>
        <w:jc w:val="both"/>
        <w:rPr>
          <w:rFonts w:eastAsia="Times New Roman"/>
          <w:i/>
          <w:sz w:val="24"/>
          <w:szCs w:val="24"/>
        </w:rPr>
      </w:pPr>
      <w:r>
        <w:rPr>
          <w:rFonts w:eastAsia="Times New Roman"/>
          <w:i/>
          <w:sz w:val="24"/>
          <w:szCs w:val="24"/>
        </w:rPr>
        <w:t>o scară exterioară, sau</w:t>
      </w:r>
    </w:p>
    <w:p w14:paraId="6E5CA4C0" w14:textId="77777777" w:rsidR="001C08A5" w:rsidRDefault="00000000">
      <w:pPr>
        <w:numPr>
          <w:ilvl w:val="0"/>
          <w:numId w:val="100"/>
        </w:numPr>
        <w:tabs>
          <w:tab w:val="clear" w:pos="1260"/>
          <w:tab w:val="left" w:pos="420"/>
        </w:tabs>
        <w:jc w:val="both"/>
        <w:rPr>
          <w:rFonts w:eastAsia="Times New Roman"/>
          <w:i/>
          <w:sz w:val="24"/>
          <w:szCs w:val="24"/>
        </w:rPr>
      </w:pPr>
      <w:r>
        <w:rPr>
          <w:rFonts w:eastAsia="Times New Roman"/>
          <w:i/>
          <w:sz w:val="24"/>
          <w:szCs w:val="24"/>
        </w:rPr>
        <w:t>un degajament protejat, tunel sau</w:t>
      </w:r>
    </w:p>
    <w:p w14:paraId="7329438C" w14:textId="77777777" w:rsidR="001C08A5" w:rsidRDefault="00000000">
      <w:pPr>
        <w:numPr>
          <w:ilvl w:val="0"/>
          <w:numId w:val="100"/>
        </w:numPr>
        <w:tabs>
          <w:tab w:val="clear" w:pos="1260"/>
          <w:tab w:val="left" w:pos="420"/>
        </w:tabs>
        <w:jc w:val="both"/>
        <w:rPr>
          <w:rFonts w:eastAsia="Times New Roman"/>
          <w:i/>
          <w:sz w:val="24"/>
          <w:szCs w:val="24"/>
        </w:rPr>
      </w:pPr>
      <w:r>
        <w:rPr>
          <w:rFonts w:eastAsia="Times New Roman"/>
          <w:i/>
          <w:sz w:val="24"/>
          <w:szCs w:val="24"/>
        </w:rPr>
        <w:t>direct în exterior, sau</w:t>
      </w:r>
    </w:p>
    <w:p w14:paraId="11113DFC" w14:textId="77777777" w:rsidR="001C08A5" w:rsidRDefault="00000000">
      <w:pPr>
        <w:numPr>
          <w:ilvl w:val="0"/>
          <w:numId w:val="100"/>
        </w:numPr>
        <w:tabs>
          <w:tab w:val="clear" w:pos="1260"/>
          <w:tab w:val="left" w:pos="420"/>
        </w:tabs>
        <w:jc w:val="both"/>
        <w:rPr>
          <w:rFonts w:eastAsia="Times New Roman"/>
          <w:i/>
          <w:sz w:val="24"/>
          <w:szCs w:val="24"/>
        </w:rPr>
      </w:pPr>
      <w:r>
        <w:rPr>
          <w:rFonts w:eastAsia="Times New Roman"/>
          <w:i/>
          <w:sz w:val="24"/>
          <w:szCs w:val="24"/>
        </w:rPr>
        <w:t xml:space="preserve">până la prima treaptă a scării deschise </w:t>
      </w:r>
    </w:p>
    <w:p w14:paraId="5D83A438" w14:textId="77777777" w:rsidR="001C08A5" w:rsidRDefault="00000000">
      <w:pPr>
        <w:jc w:val="both"/>
        <w:rPr>
          <w:rFonts w:eastAsia="Times New Roman"/>
          <w:i/>
          <w:sz w:val="24"/>
          <w:szCs w:val="24"/>
        </w:rPr>
      </w:pPr>
      <w:r>
        <w:rPr>
          <w:rFonts w:eastAsia="Times New Roman"/>
          <w:i/>
          <w:sz w:val="24"/>
          <w:szCs w:val="24"/>
        </w:rPr>
        <w:t>cu excepția cazului în care se permite altfel în temeiul prezentului normativ (precum în cazul ieșirilor în zonele de refugiu)</w:t>
      </w:r>
    </w:p>
    <w:p w14:paraId="1E3FD09D" w14:textId="77777777" w:rsidR="001C08A5" w:rsidRDefault="001C08A5">
      <w:pPr>
        <w:jc w:val="both"/>
        <w:rPr>
          <w:rFonts w:eastAsia="Times New Roman"/>
          <w:i/>
          <w:sz w:val="24"/>
          <w:szCs w:val="24"/>
        </w:rPr>
      </w:pPr>
    </w:p>
    <w:p w14:paraId="1132C977"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Măsurarea începe de la </w:t>
      </w:r>
      <w:r>
        <w:rPr>
          <w:rFonts w:eastAsia="Times New Roman"/>
          <w:b/>
          <w:bCs/>
          <w:i/>
          <w:sz w:val="24"/>
        </w:rPr>
        <w:t>40</w:t>
      </w:r>
      <w:r>
        <w:rPr>
          <w:rFonts w:eastAsia="Times New Roman"/>
          <w:i/>
          <w:sz w:val="24"/>
        </w:rPr>
        <w:t xml:space="preserve"> cm de la partea interioară a peretelui în cazul în care se spcifică "cel mai îndepărtat loc/punct" sau "punctul de plecare" din orice cameră/ încăpere sau spațiu.</w:t>
      </w:r>
    </w:p>
    <w:p w14:paraId="64679712" w14:textId="77777777" w:rsidR="001C08A5" w:rsidRDefault="00000000">
      <w:pPr>
        <w:jc w:val="center"/>
        <w:rPr>
          <w:rFonts w:eastAsia="Times New Roman"/>
          <w:i/>
          <w:sz w:val="24"/>
          <w:szCs w:val="24"/>
        </w:rPr>
      </w:pPr>
      <w:r>
        <w:rPr>
          <w:b/>
          <w:bCs/>
          <w:i/>
          <w:noProof/>
          <w:sz w:val="24"/>
          <w:szCs w:val="24"/>
        </w:rPr>
        <w:lastRenderedPageBreak/>
        <w:drawing>
          <wp:inline distT="0" distB="0" distL="114300" distR="114300" wp14:anchorId="571F82A2" wp14:editId="6EE36DF2">
            <wp:extent cx="5619750" cy="2153920"/>
            <wp:effectExtent l="0" t="0" r="0" b="17780"/>
            <wp:docPr id="41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0"/>
                    <pic:cNvPicPr>
                      <a:picLocks noChangeAspect="1"/>
                    </pic:cNvPicPr>
                  </pic:nvPicPr>
                  <pic:blipFill>
                    <a:blip r:embed="rId439"/>
                    <a:srcRect l="15058" t="21882" r="10490" b="38427"/>
                    <a:stretch>
                      <a:fillRect/>
                    </a:stretch>
                  </pic:blipFill>
                  <pic:spPr>
                    <a:xfrm>
                      <a:off x="0" y="0"/>
                      <a:ext cx="5619750" cy="2153920"/>
                    </a:xfrm>
                    <a:prstGeom prst="rect">
                      <a:avLst/>
                    </a:prstGeom>
                    <a:noFill/>
                    <a:ln>
                      <a:noFill/>
                    </a:ln>
                  </pic:spPr>
                </pic:pic>
              </a:graphicData>
            </a:graphic>
          </wp:inline>
        </w:drawing>
      </w:r>
    </w:p>
    <w:p w14:paraId="751B7A42" w14:textId="77777777" w:rsidR="001C08A5" w:rsidRDefault="00000000">
      <w:pPr>
        <w:pStyle w:val="Caption"/>
        <w:jc w:val="center"/>
      </w:pPr>
      <w:bookmarkStart w:id="8704" w:name="_Toc162360440"/>
      <w:bookmarkStart w:id="8705" w:name="_Toc22089"/>
      <w:bookmarkStart w:id="8706" w:name="_Toc142898595"/>
      <w:bookmarkStart w:id="8707" w:name="_Toc26533"/>
      <w:r>
        <w:t xml:space="preserve">Figura </w:t>
      </w:r>
      <w:r>
        <w:fldChar w:fldCharType="begin"/>
      </w:r>
      <w:r>
        <w:instrText xml:space="preserve"> SEQ Figura \* ARABIC </w:instrText>
      </w:r>
      <w:r>
        <w:fldChar w:fldCharType="separate"/>
      </w:r>
      <w:r>
        <w:t>216</w:t>
      </w:r>
      <w:r>
        <w:fldChar w:fldCharType="end"/>
      </w:r>
      <w:bookmarkStart w:id="8708" w:name="_Toc2346"/>
      <w:bookmarkStart w:id="8709" w:name="_Toc1677"/>
      <w:bookmarkStart w:id="8710" w:name="_Toc21666"/>
      <w:bookmarkStart w:id="8711" w:name="_Toc30056"/>
      <w:bookmarkStart w:id="8712" w:name="_Toc19204"/>
      <w:bookmarkStart w:id="8713" w:name="_Toc15049"/>
      <w:bookmarkStart w:id="8714" w:name="_Toc4315"/>
      <w:bookmarkStart w:id="8715" w:name="_Toc5391"/>
      <w:bookmarkStart w:id="8716" w:name="_Toc6502"/>
      <w:r>
        <w:t xml:space="preserve"> - Măsurare distanța de evacuare</w:t>
      </w:r>
      <w:bookmarkEnd w:id="8704"/>
      <w:bookmarkEnd w:id="8705"/>
      <w:bookmarkEnd w:id="8706"/>
      <w:bookmarkEnd w:id="8707"/>
      <w:bookmarkEnd w:id="8708"/>
      <w:bookmarkEnd w:id="8709"/>
      <w:bookmarkEnd w:id="8710"/>
      <w:bookmarkEnd w:id="8711"/>
      <w:bookmarkEnd w:id="8712"/>
      <w:bookmarkEnd w:id="8713"/>
      <w:bookmarkEnd w:id="8714"/>
      <w:bookmarkEnd w:id="8715"/>
      <w:bookmarkEnd w:id="8716"/>
    </w:p>
    <w:p w14:paraId="3A2E255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 interiorul încăperilor acolo unde este necesar, lungimea măsurată până la o cale de evacuare cu acces în două direcții diferite, amplasate în direcții opuse, este considerată cale de evacuare admisă dacă distanța totală a fiecarei lungimi până la o ușa nu depășește lungimea normată într-o direcție iar unghiul format între cele două direcții  trebuie să fie mai mare sau egal de 90° de grade.</w:t>
      </w:r>
    </w:p>
    <w:p w14:paraId="175A91A2" w14:textId="77777777" w:rsidR="001C08A5" w:rsidRDefault="00000000">
      <w:pPr>
        <w:jc w:val="center"/>
        <w:rPr>
          <w:rFonts w:eastAsia="Times New Roman"/>
          <w:i/>
          <w:sz w:val="24"/>
          <w:szCs w:val="24"/>
        </w:rPr>
      </w:pPr>
      <w:r>
        <w:rPr>
          <w:b/>
          <w:bCs/>
          <w:i/>
          <w:noProof/>
          <w:sz w:val="24"/>
          <w:szCs w:val="24"/>
        </w:rPr>
        <w:drawing>
          <wp:inline distT="0" distB="0" distL="114300" distR="114300" wp14:anchorId="25FDC8BD" wp14:editId="140ABCD3">
            <wp:extent cx="6014085" cy="2127885"/>
            <wp:effectExtent l="0" t="0" r="5715" b="5715"/>
            <wp:docPr id="41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39"/>
                    <pic:cNvPicPr>
                      <a:picLocks noChangeAspect="1"/>
                    </pic:cNvPicPr>
                  </pic:nvPicPr>
                  <pic:blipFill>
                    <a:blip r:embed="rId440"/>
                    <a:srcRect l="12627" t="40522" r="7697" b="20267"/>
                    <a:stretch>
                      <a:fillRect/>
                    </a:stretch>
                  </pic:blipFill>
                  <pic:spPr>
                    <a:xfrm>
                      <a:off x="0" y="0"/>
                      <a:ext cx="6014085" cy="2127885"/>
                    </a:xfrm>
                    <a:prstGeom prst="rect">
                      <a:avLst/>
                    </a:prstGeom>
                    <a:noFill/>
                    <a:ln>
                      <a:noFill/>
                    </a:ln>
                  </pic:spPr>
                </pic:pic>
              </a:graphicData>
            </a:graphic>
          </wp:inline>
        </w:drawing>
      </w:r>
    </w:p>
    <w:p w14:paraId="0891BB56" w14:textId="77777777" w:rsidR="001C08A5" w:rsidRDefault="00000000">
      <w:pPr>
        <w:pStyle w:val="Caption"/>
        <w:jc w:val="center"/>
      </w:pPr>
      <w:bookmarkStart w:id="8717" w:name="_Toc5874"/>
      <w:bookmarkStart w:id="8718" w:name="_Toc14413"/>
      <w:bookmarkStart w:id="8719" w:name="_Toc142898596"/>
      <w:bookmarkStart w:id="8720" w:name="_Toc162360441"/>
      <w:r>
        <w:t xml:space="preserve">Figura </w:t>
      </w:r>
      <w:r>
        <w:fldChar w:fldCharType="begin"/>
      </w:r>
      <w:r>
        <w:instrText xml:space="preserve"> SEQ Figura \* ARABIC </w:instrText>
      </w:r>
      <w:r>
        <w:fldChar w:fldCharType="separate"/>
      </w:r>
      <w:r>
        <w:t>217</w:t>
      </w:r>
      <w:r>
        <w:fldChar w:fldCharType="end"/>
      </w:r>
      <w:bookmarkStart w:id="8721" w:name="_Toc24187"/>
      <w:bookmarkStart w:id="8722" w:name="_Toc31438"/>
      <w:bookmarkStart w:id="8723" w:name="_Toc27157"/>
      <w:bookmarkStart w:id="8724" w:name="_Toc3380"/>
      <w:bookmarkStart w:id="8725" w:name="_Toc4082"/>
      <w:bookmarkStart w:id="8726" w:name="_Toc4899"/>
      <w:bookmarkStart w:id="8727" w:name="_Toc32168"/>
      <w:bookmarkStart w:id="8728" w:name="_Toc26927"/>
      <w:bookmarkStart w:id="8729" w:name="_Toc28715"/>
      <w:r>
        <w:t xml:space="preserve"> - Evacuare mai mică sau egală sau mai mare de 90</w:t>
      </w:r>
      <w:r>
        <w:rPr>
          <w:rFonts w:ascii="Arial" w:hAnsi="Arial" w:cs="Arial"/>
        </w:rPr>
        <w:t>°</w:t>
      </w:r>
      <w:r>
        <w:t xml:space="preserve"> în interiorul încăperilor </w:t>
      </w:r>
      <w:bookmarkEnd w:id="8717"/>
      <w:bookmarkEnd w:id="8718"/>
      <w:bookmarkEnd w:id="8719"/>
      <w:r>
        <w:t>clădirilor noi</w:t>
      </w:r>
      <w:bookmarkEnd w:id="8720"/>
      <w:bookmarkEnd w:id="8721"/>
      <w:bookmarkEnd w:id="8722"/>
      <w:bookmarkEnd w:id="8723"/>
      <w:bookmarkEnd w:id="8724"/>
      <w:bookmarkEnd w:id="8725"/>
      <w:bookmarkEnd w:id="8726"/>
      <w:bookmarkEnd w:id="8727"/>
      <w:bookmarkEnd w:id="8728"/>
      <w:bookmarkEnd w:id="8729"/>
    </w:p>
    <w:p w14:paraId="59CC90A8" w14:textId="77777777" w:rsidR="001C08A5" w:rsidRDefault="00000000">
      <w:pPr>
        <w:suppressLineNumbers/>
        <w:spacing w:before="120" w:after="120"/>
        <w:jc w:val="center"/>
        <w:rPr>
          <w:rFonts w:cs="Mangal"/>
          <w:b/>
          <w:i/>
          <w:iCs/>
          <w:sz w:val="24"/>
          <w:szCs w:val="24"/>
        </w:rPr>
      </w:pPr>
      <w:r>
        <w:rPr>
          <w:rFonts w:cs="Mangal"/>
          <w:b/>
          <w:i/>
          <w:iCs/>
          <w:noProof/>
          <w:sz w:val="24"/>
          <w:szCs w:val="24"/>
        </w:rPr>
        <w:drawing>
          <wp:inline distT="0" distB="0" distL="114300" distR="114300" wp14:anchorId="7AFAAD09" wp14:editId="7DCD2FEC">
            <wp:extent cx="2740025" cy="1907540"/>
            <wp:effectExtent l="0" t="0" r="3175" b="16510"/>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5"/>
                    <pic:cNvPicPr>
                      <a:picLocks noChangeAspect="1"/>
                    </pic:cNvPicPr>
                  </pic:nvPicPr>
                  <pic:blipFill>
                    <a:blip r:embed="rId429"/>
                    <a:srcRect l="54968" t="45998" r="8732" b="18851"/>
                    <a:stretch>
                      <a:fillRect/>
                    </a:stretch>
                  </pic:blipFill>
                  <pic:spPr>
                    <a:xfrm>
                      <a:off x="0" y="0"/>
                      <a:ext cx="2740025" cy="1907540"/>
                    </a:xfrm>
                    <a:prstGeom prst="rect">
                      <a:avLst/>
                    </a:prstGeom>
                    <a:noFill/>
                    <a:ln>
                      <a:noFill/>
                    </a:ln>
                  </pic:spPr>
                </pic:pic>
              </a:graphicData>
            </a:graphic>
          </wp:inline>
        </w:drawing>
      </w:r>
      <w:r>
        <w:rPr>
          <w:rFonts w:cs="Mangal"/>
          <w:b/>
          <w:i/>
          <w:iCs/>
          <w:noProof/>
          <w:sz w:val="24"/>
          <w:szCs w:val="24"/>
        </w:rPr>
        <w:drawing>
          <wp:inline distT="0" distB="0" distL="114300" distR="114300" wp14:anchorId="43B4621A" wp14:editId="7A24528A">
            <wp:extent cx="2740025" cy="1899920"/>
            <wp:effectExtent l="0" t="0" r="3175" b="5080"/>
            <wp:docPr id="4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5"/>
                    <pic:cNvPicPr>
                      <a:picLocks noChangeAspect="1"/>
                    </pic:cNvPicPr>
                  </pic:nvPicPr>
                  <pic:blipFill>
                    <a:blip r:embed="rId429"/>
                    <a:srcRect l="54968" t="1158" r="8732" b="63831"/>
                    <a:stretch>
                      <a:fillRect/>
                    </a:stretch>
                  </pic:blipFill>
                  <pic:spPr>
                    <a:xfrm>
                      <a:off x="0" y="0"/>
                      <a:ext cx="2740025" cy="1899920"/>
                    </a:xfrm>
                    <a:prstGeom prst="rect">
                      <a:avLst/>
                    </a:prstGeom>
                    <a:noFill/>
                    <a:ln>
                      <a:noFill/>
                    </a:ln>
                  </pic:spPr>
                </pic:pic>
              </a:graphicData>
            </a:graphic>
          </wp:inline>
        </w:drawing>
      </w:r>
    </w:p>
    <w:p w14:paraId="17D662A3" w14:textId="77777777" w:rsidR="001C08A5" w:rsidRDefault="00000000">
      <w:pPr>
        <w:pStyle w:val="Caption"/>
        <w:jc w:val="center"/>
      </w:pPr>
      <w:bookmarkStart w:id="8730" w:name="_Toc162360442"/>
      <w:r>
        <w:t xml:space="preserve">Figura </w:t>
      </w:r>
      <w:r>
        <w:fldChar w:fldCharType="begin"/>
      </w:r>
      <w:r>
        <w:instrText xml:space="preserve"> SEQ Figura \* ARABIC </w:instrText>
      </w:r>
      <w:r>
        <w:fldChar w:fldCharType="separate"/>
      </w:r>
      <w:r>
        <w:t>218</w:t>
      </w:r>
      <w:r>
        <w:fldChar w:fldCharType="end"/>
      </w:r>
      <w:bookmarkStart w:id="8731" w:name="_Toc11142"/>
      <w:bookmarkStart w:id="8732" w:name="_Toc26660"/>
      <w:bookmarkStart w:id="8733" w:name="_Toc1492"/>
      <w:bookmarkStart w:id="8734" w:name="_Toc7991"/>
      <w:bookmarkStart w:id="8735" w:name="_Toc4633"/>
      <w:bookmarkStart w:id="8736" w:name="_Toc22344"/>
      <w:bookmarkStart w:id="8737" w:name="_Toc31741"/>
      <w:bookmarkStart w:id="8738" w:name="_Toc31362"/>
      <w:bookmarkStart w:id="8739" w:name="_Toc29180"/>
      <w:r>
        <w:t xml:space="preserve"> - Evacuare la 90</w:t>
      </w:r>
      <w:r>
        <w:rPr>
          <w:rFonts w:ascii="Arial" w:hAnsi="Arial" w:cs="Arial"/>
        </w:rPr>
        <w:t>°</w:t>
      </w:r>
      <w:r>
        <w:t xml:space="preserve"> în interiorul încăperilor (spațiilor) de tip open space</w:t>
      </w:r>
      <w:bookmarkEnd w:id="8730"/>
      <w:bookmarkEnd w:id="8731"/>
      <w:bookmarkEnd w:id="8732"/>
      <w:bookmarkEnd w:id="8733"/>
      <w:bookmarkEnd w:id="8734"/>
      <w:bookmarkEnd w:id="8735"/>
      <w:bookmarkEnd w:id="8736"/>
      <w:bookmarkEnd w:id="8737"/>
      <w:bookmarkEnd w:id="8738"/>
      <w:bookmarkEnd w:id="8739"/>
    </w:p>
    <w:p w14:paraId="1692C662" w14:textId="77777777" w:rsidR="001C08A5" w:rsidRDefault="00000000">
      <w:pPr>
        <w:jc w:val="center"/>
        <w:rPr>
          <w:rFonts w:eastAsia="Times New Roman"/>
          <w:b/>
          <w:bCs/>
          <w:i/>
          <w:sz w:val="22"/>
          <w:szCs w:val="22"/>
        </w:rPr>
      </w:pPr>
      <w:r>
        <w:rPr>
          <w:rFonts w:eastAsia="Times New Roman"/>
          <w:i/>
          <w:sz w:val="22"/>
          <w:szCs w:val="22"/>
        </w:rPr>
        <w:t>(* Sensul deschiderii ușilor din desene este pur informativ )</w:t>
      </w:r>
      <w:r>
        <w:rPr>
          <w:rFonts w:eastAsia="Times New Roman"/>
          <w:b/>
          <w:bCs/>
          <w:i/>
          <w:sz w:val="22"/>
          <w:szCs w:val="22"/>
        </w:rPr>
        <w:t xml:space="preserve"> </w:t>
      </w:r>
    </w:p>
    <w:p w14:paraId="17D155CD" w14:textId="77777777" w:rsidR="001C08A5" w:rsidRDefault="00000000">
      <w:pPr>
        <w:jc w:val="both"/>
        <w:rPr>
          <w:rFonts w:eastAsia="Times New Roman"/>
          <w:i/>
          <w:sz w:val="22"/>
          <w:szCs w:val="22"/>
        </w:rPr>
      </w:pPr>
      <w:r>
        <w:rPr>
          <w:rFonts w:eastAsia="Times New Roman"/>
          <w:i/>
          <w:sz w:val="22"/>
          <w:szCs w:val="22"/>
        </w:rPr>
        <w:t>Notă: În toate încaperile din clădiri noi unde sunt necesare două căi de evacuare precum și la clădirile înalte, foarte înalte (unde sunt necesare două căi de evacuare, obligatoriu la open space) sau cu săli aglomerate (unde sunt obligatorii două căi de evacuare), este obligatoriu ca evacuarea să se realizeze doar într-un unghi de minimum 90 de grade (către două direcții diferite).</w:t>
      </w:r>
    </w:p>
    <w:p w14:paraId="54D555CA" w14:textId="77777777" w:rsidR="001C08A5" w:rsidRDefault="001C08A5">
      <w:pPr>
        <w:jc w:val="both"/>
        <w:rPr>
          <w:rFonts w:eastAsia="Times New Roman"/>
          <w:i/>
          <w:sz w:val="22"/>
          <w:szCs w:val="22"/>
        </w:rPr>
      </w:pPr>
    </w:p>
    <w:p w14:paraId="174908B1" w14:textId="77777777" w:rsidR="001C08A5" w:rsidRDefault="00000000">
      <w:pPr>
        <w:pStyle w:val="Heading4"/>
        <w:rPr>
          <w:sz w:val="24"/>
          <w:szCs w:val="24"/>
        </w:rPr>
      </w:pPr>
      <w:bookmarkStart w:id="8740" w:name="_Toc7323"/>
      <w:bookmarkStart w:id="8741" w:name="_Toc10483"/>
      <w:bookmarkStart w:id="8742" w:name="_Toc355"/>
      <w:bookmarkStart w:id="8743" w:name="_Toc30262"/>
      <w:bookmarkStart w:id="8744" w:name="_Toc12558"/>
      <w:bookmarkStart w:id="8745" w:name="_Toc24767"/>
      <w:bookmarkStart w:id="8746" w:name="_Toc31921"/>
      <w:bookmarkStart w:id="8747" w:name="_Toc19228"/>
      <w:bookmarkStart w:id="8748" w:name="_Toc162355458"/>
      <w:bookmarkStart w:id="8749" w:name="_Toc10474"/>
      <w:bookmarkStart w:id="8750" w:name="_Toc2402"/>
      <w:bookmarkStart w:id="8751" w:name="_Toc6939"/>
      <w:bookmarkStart w:id="8752" w:name="_Toc27030"/>
      <w:bookmarkStart w:id="8753" w:name="_Toc19535"/>
      <w:bookmarkStart w:id="8754" w:name="_Toc9050"/>
      <w:r>
        <w:rPr>
          <w:sz w:val="24"/>
          <w:szCs w:val="24"/>
        </w:rPr>
        <w:lastRenderedPageBreak/>
        <w:t>Evacuare la clădiri existente</w:t>
      </w:r>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p>
    <w:p w14:paraId="67DF2DC3" w14:textId="77777777" w:rsidR="001C08A5" w:rsidRDefault="00000000">
      <w:pPr>
        <w:numPr>
          <w:ilvl w:val="0"/>
          <w:numId w:val="96"/>
        </w:numPr>
        <w:tabs>
          <w:tab w:val="left" w:pos="426"/>
          <w:tab w:val="left" w:pos="993"/>
        </w:tabs>
        <w:jc w:val="both"/>
        <w:rPr>
          <w:rFonts w:eastAsia="Times New Roman"/>
        </w:rPr>
      </w:pPr>
      <w:r>
        <w:rPr>
          <w:bCs/>
          <w:i/>
          <w:iCs/>
          <w:sz w:val="24"/>
          <w:szCs w:val="24"/>
        </w:rPr>
        <w:t>La clădiri existente se pot aplica și prevederile</w:t>
      </w:r>
      <w:r>
        <w:rPr>
          <w:b/>
          <w:i/>
          <w:iCs/>
          <w:sz w:val="24"/>
          <w:szCs w:val="24"/>
        </w:rPr>
        <w:t xml:space="preserve"> Art. 2.5.14.1.</w:t>
      </w:r>
      <w:r>
        <w:rPr>
          <w:b/>
          <w:i/>
          <w:iCs/>
          <w:sz w:val="24"/>
          <w:szCs w:val="24"/>
          <w:lang w:val="en-GB"/>
        </w:rPr>
        <w:t xml:space="preserve"> </w:t>
      </w:r>
      <w:r>
        <w:rPr>
          <w:i/>
          <w:iCs/>
          <w:sz w:val="24"/>
          <w:szCs w:val="24"/>
        </w:rPr>
        <w:t>din normativ.</w:t>
      </w:r>
    </w:p>
    <w:p w14:paraId="77EB8C45" w14:textId="77777777" w:rsidR="001C08A5" w:rsidRDefault="001C08A5">
      <w:pPr>
        <w:jc w:val="center"/>
      </w:pPr>
    </w:p>
    <w:p w14:paraId="22712BA1" w14:textId="77777777" w:rsidR="001C08A5" w:rsidRDefault="00000000">
      <w:pPr>
        <w:jc w:val="center"/>
      </w:pPr>
      <w:r>
        <w:rPr>
          <w:noProof/>
        </w:rPr>
        <w:drawing>
          <wp:inline distT="0" distB="0" distL="114300" distR="114300" wp14:anchorId="5E7F62D4" wp14:editId="57FF5208">
            <wp:extent cx="6048375" cy="3508375"/>
            <wp:effectExtent l="0" t="0" r="9525" b="15875"/>
            <wp:docPr id="4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36"/>
                    <pic:cNvPicPr>
                      <a:picLocks noChangeAspect="1"/>
                    </pic:cNvPicPr>
                  </pic:nvPicPr>
                  <pic:blipFill>
                    <a:blip r:embed="rId436"/>
                    <a:srcRect l="12535" t="13995" r="7336" b="21355"/>
                    <a:stretch>
                      <a:fillRect/>
                    </a:stretch>
                  </pic:blipFill>
                  <pic:spPr>
                    <a:xfrm>
                      <a:off x="0" y="0"/>
                      <a:ext cx="6048375" cy="3508375"/>
                    </a:xfrm>
                    <a:prstGeom prst="rect">
                      <a:avLst/>
                    </a:prstGeom>
                    <a:noFill/>
                    <a:ln>
                      <a:noFill/>
                    </a:ln>
                  </pic:spPr>
                </pic:pic>
              </a:graphicData>
            </a:graphic>
          </wp:inline>
        </w:drawing>
      </w:r>
    </w:p>
    <w:p w14:paraId="6AA37D01" w14:textId="77777777" w:rsidR="001C08A5" w:rsidRDefault="00000000">
      <w:pPr>
        <w:jc w:val="center"/>
      </w:pPr>
      <w:r>
        <w:rPr>
          <w:noProof/>
        </w:rPr>
        <w:drawing>
          <wp:inline distT="0" distB="0" distL="114300" distR="114300" wp14:anchorId="78FACFC6" wp14:editId="4901DB16">
            <wp:extent cx="6042025" cy="3564890"/>
            <wp:effectExtent l="0" t="0" r="15875" b="16510"/>
            <wp:docPr id="4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37"/>
                    <pic:cNvPicPr>
                      <a:picLocks noChangeAspect="1"/>
                    </pic:cNvPicPr>
                  </pic:nvPicPr>
                  <pic:blipFill>
                    <a:blip r:embed="rId438"/>
                    <a:srcRect l="12442" t="21566" r="7512" b="12743"/>
                    <a:stretch>
                      <a:fillRect/>
                    </a:stretch>
                  </pic:blipFill>
                  <pic:spPr>
                    <a:xfrm>
                      <a:off x="0" y="0"/>
                      <a:ext cx="6042025" cy="3564890"/>
                    </a:xfrm>
                    <a:prstGeom prst="rect">
                      <a:avLst/>
                    </a:prstGeom>
                    <a:noFill/>
                    <a:ln>
                      <a:noFill/>
                    </a:ln>
                  </pic:spPr>
                </pic:pic>
              </a:graphicData>
            </a:graphic>
          </wp:inline>
        </w:drawing>
      </w:r>
    </w:p>
    <w:p w14:paraId="1CFF6E13" w14:textId="77777777" w:rsidR="001C08A5" w:rsidRDefault="001C08A5">
      <w:pPr>
        <w:jc w:val="center"/>
      </w:pPr>
    </w:p>
    <w:p w14:paraId="0E2E9929" w14:textId="77777777" w:rsidR="001C08A5" w:rsidRDefault="00000000">
      <w:pPr>
        <w:pStyle w:val="Caption"/>
        <w:jc w:val="center"/>
        <w:rPr>
          <w:bCs/>
        </w:rPr>
      </w:pPr>
      <w:bookmarkStart w:id="8755" w:name="_Toc162360443"/>
      <w:bookmarkStart w:id="8756" w:name="_Toc142898598"/>
      <w:r>
        <w:t xml:space="preserve">Figura </w:t>
      </w:r>
      <w:r>
        <w:fldChar w:fldCharType="begin"/>
      </w:r>
      <w:r>
        <w:instrText xml:space="preserve"> SEQ Figura \* ARABIC </w:instrText>
      </w:r>
      <w:r>
        <w:fldChar w:fldCharType="separate"/>
      </w:r>
      <w:r>
        <w:t>219</w:t>
      </w:r>
      <w:r>
        <w:fldChar w:fldCharType="end"/>
      </w:r>
      <w:bookmarkStart w:id="8757" w:name="_Toc1578"/>
      <w:bookmarkStart w:id="8758" w:name="_Toc23114"/>
      <w:bookmarkStart w:id="8759" w:name="_Toc4964"/>
      <w:bookmarkStart w:id="8760" w:name="_Toc26989"/>
      <w:bookmarkStart w:id="8761" w:name="_Toc4012"/>
      <w:bookmarkStart w:id="8762" w:name="_Toc28012"/>
      <w:bookmarkStart w:id="8763" w:name="_Toc30534"/>
      <w:bookmarkStart w:id="8764" w:name="_Toc3996"/>
      <w:bookmarkStart w:id="8765" w:name="_Toc21174"/>
      <w:r>
        <w:t xml:space="preserve"> - </w:t>
      </w:r>
      <w:r>
        <w:rPr>
          <w:bCs/>
        </w:rPr>
        <w:t>Caz particular - coridoare înfundate (lungime de evacuare într-o singură direcție), evacuare în "Y" - în axul căilor de evacuare la clădiri existente</w:t>
      </w:r>
      <w:bookmarkEnd w:id="8755"/>
      <w:bookmarkEnd w:id="8756"/>
      <w:bookmarkEnd w:id="8757"/>
      <w:bookmarkEnd w:id="8758"/>
      <w:bookmarkEnd w:id="8759"/>
      <w:bookmarkEnd w:id="8760"/>
      <w:bookmarkEnd w:id="8761"/>
      <w:bookmarkEnd w:id="8762"/>
      <w:bookmarkEnd w:id="8763"/>
      <w:bookmarkEnd w:id="8764"/>
      <w:bookmarkEnd w:id="8765"/>
    </w:p>
    <w:p w14:paraId="2CB66D99" w14:textId="77777777" w:rsidR="001C08A5" w:rsidRDefault="00000000">
      <w:pPr>
        <w:keepNext/>
        <w:tabs>
          <w:tab w:val="left" w:pos="864"/>
        </w:tabs>
        <w:spacing w:before="240" w:after="60"/>
        <w:ind w:left="864" w:hanging="864"/>
        <w:outlineLvl w:val="3"/>
        <w:rPr>
          <w:rFonts w:eastAsia="Calibri" w:cs="Mangal"/>
          <w:b/>
          <w:bCs/>
          <w:i/>
          <w:sz w:val="24"/>
          <w:szCs w:val="24"/>
        </w:rPr>
      </w:pPr>
      <w:bookmarkStart w:id="8766" w:name="_Toc14188"/>
      <w:bookmarkStart w:id="8767" w:name="_Toc13703"/>
      <w:bookmarkStart w:id="8768" w:name="_Toc21695"/>
      <w:bookmarkStart w:id="8769" w:name="_Toc23281"/>
      <w:bookmarkStart w:id="8770" w:name="_Toc20969"/>
      <w:bookmarkStart w:id="8771" w:name="_Toc7462"/>
      <w:bookmarkStart w:id="8772" w:name="_Toc7783"/>
      <w:bookmarkStart w:id="8773" w:name="_Toc20136"/>
      <w:bookmarkStart w:id="8774" w:name="_Toc162355459"/>
      <w:bookmarkStart w:id="8775" w:name="_Toc1928"/>
      <w:bookmarkStart w:id="8776" w:name="_Toc11192"/>
      <w:bookmarkStart w:id="8777" w:name="_Toc7124"/>
      <w:bookmarkStart w:id="8778" w:name="_Toc6791"/>
      <w:bookmarkStart w:id="8779" w:name="_Toc13864"/>
      <w:bookmarkStart w:id="8780" w:name="_Toc30822"/>
      <w:bookmarkStart w:id="8781" w:name="_Toc1650"/>
      <w:bookmarkStart w:id="8782" w:name="_Toc5225"/>
      <w:r>
        <w:rPr>
          <w:rFonts w:eastAsia="Calibri" w:cs="Mangal"/>
          <w:b/>
          <w:bCs/>
          <w:i/>
          <w:sz w:val="24"/>
          <w:szCs w:val="24"/>
        </w:rPr>
        <w:t>Lungimea de evacuare</w:t>
      </w:r>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r>
        <w:rPr>
          <w:rFonts w:eastAsia="Calibri" w:cs="Mangal"/>
          <w:b/>
          <w:bCs/>
          <w:i/>
          <w:sz w:val="24"/>
          <w:szCs w:val="24"/>
        </w:rPr>
        <w:t xml:space="preserve"> </w:t>
      </w:r>
    </w:p>
    <w:p w14:paraId="6D9746CB"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„Lungime de evacuare” înseamnă distanța reală pe care trebuie să o parcurgă o persoană din orice punct al unei suprafețe de pardoseală a unei camere (sau de la ușa acesteia atunci când în interiorul încăperii nu se depășește lungimea de evacuare de coridor înfundat) până la ieșirea relevantă (scară, încăpere tampon, degajament protejat, tunel, ieșire direct în exterior), ținând cont </w:t>
      </w:r>
      <w:r>
        <w:rPr>
          <w:rFonts w:eastAsia="Times New Roman"/>
          <w:i/>
          <w:sz w:val="24"/>
        </w:rPr>
        <w:lastRenderedPageBreak/>
        <w:t>de dispunerea pereților, a pereților despărțitori, a ușilor intermediare și a amplasamentelor fixe specifice amenajării.</w:t>
      </w:r>
    </w:p>
    <w:p w14:paraId="5F83CD22" w14:textId="77777777" w:rsidR="001C08A5" w:rsidRDefault="001C08A5">
      <w:pPr>
        <w:tabs>
          <w:tab w:val="left" w:pos="426"/>
          <w:tab w:val="left" w:pos="993"/>
        </w:tabs>
        <w:jc w:val="both"/>
        <w:rPr>
          <w:rFonts w:eastAsia="Times New Roman"/>
          <w:b/>
          <w:i/>
          <w:sz w:val="24"/>
        </w:rPr>
      </w:pPr>
    </w:p>
    <w:p w14:paraId="5E618710" w14:textId="77777777" w:rsidR="001C08A5" w:rsidRDefault="00000000">
      <w:pPr>
        <w:numPr>
          <w:ilvl w:val="0"/>
          <w:numId w:val="96"/>
        </w:numPr>
        <w:tabs>
          <w:tab w:val="left" w:pos="426"/>
          <w:tab w:val="left" w:pos="993"/>
        </w:tabs>
        <w:jc w:val="both"/>
        <w:rPr>
          <w:rFonts w:eastAsia="Times New Roman"/>
          <w:b/>
          <w:i/>
          <w:sz w:val="24"/>
        </w:rPr>
      </w:pPr>
      <w:r>
        <w:rPr>
          <w:bCs/>
          <w:i/>
          <w:sz w:val="24"/>
          <w:szCs w:val="24"/>
        </w:rPr>
        <w:t xml:space="preserve">Lungimea căii de evacuare a utilizatorilor construcţiilor, se determină pe traseul ce trebuie parcurs - </w:t>
      </w:r>
      <w:r>
        <w:rPr>
          <w:b/>
          <w:i/>
          <w:sz w:val="24"/>
          <w:szCs w:val="24"/>
        </w:rPr>
        <w:t>în axul căilor de evacuare</w:t>
      </w:r>
      <w:r>
        <w:rPr>
          <w:bCs/>
          <w:i/>
          <w:sz w:val="24"/>
          <w:szCs w:val="24"/>
        </w:rPr>
        <w:t xml:space="preserve">, de la punctul de plecare al utilizatorului până la cea mai apropiată uşă de evacuare (directă în exterior, de acces într-o scară de evacuare, încăpere tampon sau de acces într-un degajament protejat), ori prima treapta a scării deschise, ţinând seama de poziţia diferitelor echipamente sau obiecte cu amplasament fix sau mobilier şi care trebuie ocolite conform </w:t>
      </w:r>
      <w:r>
        <w:rPr>
          <w:b/>
          <w:bCs/>
          <w:i/>
          <w:sz w:val="24"/>
          <w:szCs w:val="24"/>
        </w:rPr>
        <w:t xml:space="preserve">subcapitolului 2.5.14. Lungimea căii de evacuare </w:t>
      </w:r>
      <w:r>
        <w:rPr>
          <w:i/>
          <w:sz w:val="24"/>
          <w:szCs w:val="24"/>
        </w:rPr>
        <w:t>(din normativ).</w:t>
      </w:r>
    </w:p>
    <w:p w14:paraId="5E87585D"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673EB414" wp14:editId="6B8F6257">
            <wp:extent cx="6041390" cy="1962150"/>
            <wp:effectExtent l="0" t="0" r="16510" b="0"/>
            <wp:docPr id="42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149"/>
                    <pic:cNvPicPr>
                      <a:picLocks noChangeAspect="1"/>
                    </pic:cNvPicPr>
                  </pic:nvPicPr>
                  <pic:blipFill>
                    <a:blip r:embed="rId441"/>
                    <a:srcRect l="12466" t="27925" r="7497" b="33241"/>
                    <a:stretch>
                      <a:fillRect/>
                    </a:stretch>
                  </pic:blipFill>
                  <pic:spPr>
                    <a:xfrm>
                      <a:off x="0" y="0"/>
                      <a:ext cx="6041390" cy="1962150"/>
                    </a:xfrm>
                    <a:prstGeom prst="rect">
                      <a:avLst/>
                    </a:prstGeom>
                    <a:noFill/>
                    <a:ln>
                      <a:noFill/>
                    </a:ln>
                  </pic:spPr>
                </pic:pic>
              </a:graphicData>
            </a:graphic>
          </wp:inline>
        </w:drawing>
      </w:r>
    </w:p>
    <w:p w14:paraId="0955C2AD" w14:textId="77777777" w:rsidR="001C08A5" w:rsidRDefault="00000000">
      <w:pPr>
        <w:pStyle w:val="Caption"/>
        <w:jc w:val="center"/>
        <w:rPr>
          <w:rFonts w:eastAsia="Times New Roman"/>
          <w:b w:val="0"/>
        </w:rPr>
      </w:pPr>
      <w:bookmarkStart w:id="8783" w:name="_Toc142898599"/>
      <w:bookmarkStart w:id="8784" w:name="_Toc3887"/>
      <w:bookmarkStart w:id="8785" w:name="_Toc25153"/>
      <w:bookmarkStart w:id="8786" w:name="_Toc162360444"/>
      <w:r>
        <w:t xml:space="preserve">Figura </w:t>
      </w:r>
      <w:r>
        <w:fldChar w:fldCharType="begin"/>
      </w:r>
      <w:r>
        <w:instrText xml:space="preserve"> SEQ Figura \* ARABIC </w:instrText>
      </w:r>
      <w:r>
        <w:fldChar w:fldCharType="separate"/>
      </w:r>
      <w:r>
        <w:t>220</w:t>
      </w:r>
      <w:r>
        <w:fldChar w:fldCharType="end"/>
      </w:r>
      <w:bookmarkStart w:id="8787" w:name="_Toc29636"/>
      <w:bookmarkStart w:id="8788" w:name="_Toc1089"/>
      <w:bookmarkStart w:id="8789" w:name="_Toc20144"/>
      <w:bookmarkStart w:id="8790" w:name="_Toc29692"/>
      <w:bookmarkStart w:id="8791" w:name="_Toc17845"/>
      <w:bookmarkStart w:id="8792" w:name="_Toc19855"/>
      <w:bookmarkStart w:id="8793" w:name="_Toc13479"/>
      <w:bookmarkStart w:id="8794" w:name="_Toc29461"/>
      <w:bookmarkStart w:id="8795" w:name="_Toc26610"/>
      <w:r>
        <w:t xml:space="preserve"> - Lungime de evacuare</w:t>
      </w:r>
      <w:bookmarkEnd w:id="8783"/>
      <w:bookmarkEnd w:id="8784"/>
      <w:bookmarkEnd w:id="8785"/>
      <w:bookmarkEnd w:id="8786"/>
      <w:bookmarkEnd w:id="8787"/>
      <w:bookmarkEnd w:id="8788"/>
      <w:bookmarkEnd w:id="8789"/>
      <w:bookmarkEnd w:id="8790"/>
      <w:bookmarkEnd w:id="8791"/>
      <w:bookmarkEnd w:id="8792"/>
      <w:bookmarkEnd w:id="8793"/>
      <w:bookmarkEnd w:id="8794"/>
      <w:bookmarkEnd w:id="8795"/>
    </w:p>
    <w:p w14:paraId="3A1A26FD" w14:textId="77777777" w:rsidR="001C08A5" w:rsidRDefault="00000000">
      <w:pPr>
        <w:pStyle w:val="Heading3"/>
        <w:rPr>
          <w:i/>
          <w:iCs/>
          <w:sz w:val="24"/>
          <w:szCs w:val="24"/>
        </w:rPr>
      </w:pPr>
      <w:bookmarkStart w:id="8796" w:name="_Toc9031"/>
      <w:bookmarkStart w:id="8797" w:name="_Toc25417"/>
      <w:bookmarkStart w:id="8798" w:name="_Toc16255"/>
      <w:bookmarkStart w:id="8799" w:name="_Toc27945"/>
      <w:bookmarkStart w:id="8800" w:name="_Toc21258"/>
      <w:bookmarkStart w:id="8801" w:name="_Toc162355460"/>
      <w:bookmarkStart w:id="8802" w:name="_Toc14990"/>
      <w:bookmarkStart w:id="8803" w:name="_Toc18008"/>
      <w:bookmarkStart w:id="8804" w:name="_Toc2263"/>
      <w:bookmarkStart w:id="8805" w:name="_Toc13676"/>
      <w:bookmarkStart w:id="8806" w:name="_Toc22509"/>
      <w:bookmarkStart w:id="8807" w:name="_Toc24395"/>
      <w:bookmarkStart w:id="8808" w:name="_Toc23058"/>
      <w:bookmarkStart w:id="8809" w:name="_Toc10956"/>
      <w:bookmarkStart w:id="8810" w:name="_Toc21544"/>
      <w:bookmarkStart w:id="8811" w:name="_Toc10825"/>
      <w:r>
        <w:rPr>
          <w:i/>
          <w:iCs/>
          <w:sz w:val="24"/>
          <w:szCs w:val="24"/>
        </w:rPr>
        <w:t>ANEXA 5.5 - CERINȚE SPECIALE PENTRU EVACUAREA PERSOANELOR CU DIZABILITĂȚI</w:t>
      </w:r>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p>
    <w:p w14:paraId="18567DF9" w14:textId="77777777" w:rsidR="001C08A5" w:rsidRDefault="00000000">
      <w:pPr>
        <w:pStyle w:val="Heading4"/>
        <w:rPr>
          <w:sz w:val="24"/>
          <w:szCs w:val="24"/>
        </w:rPr>
      </w:pPr>
      <w:bookmarkStart w:id="8812" w:name="_Toc4646"/>
      <w:bookmarkStart w:id="8813" w:name="_Toc9125"/>
      <w:bookmarkStart w:id="8814" w:name="_Toc26125"/>
      <w:bookmarkStart w:id="8815" w:name="_Toc16267"/>
      <w:bookmarkStart w:id="8816" w:name="_Toc12730"/>
      <w:bookmarkStart w:id="8817" w:name="_Toc9053"/>
      <w:bookmarkStart w:id="8818" w:name="_Toc162355461"/>
      <w:bookmarkStart w:id="8819" w:name="_Toc29733"/>
      <w:bookmarkStart w:id="8820" w:name="_Toc4312"/>
      <w:bookmarkStart w:id="8821" w:name="_Toc7698"/>
      <w:bookmarkStart w:id="8822" w:name="_Toc26146"/>
      <w:bookmarkStart w:id="8823" w:name="_Toc13748"/>
      <w:bookmarkStart w:id="8824" w:name="_Toc18552"/>
      <w:bookmarkStart w:id="8825" w:name="_Toc21523"/>
      <w:bookmarkStart w:id="8826" w:name="_Toc18435"/>
      <w:bookmarkStart w:id="8827" w:name="_Toc21745"/>
      <w:r>
        <w:rPr>
          <w:sz w:val="24"/>
          <w:szCs w:val="24"/>
        </w:rPr>
        <w:t>Terminologie</w:t>
      </w:r>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p>
    <w:p w14:paraId="492B6690" w14:textId="77777777" w:rsidR="001C08A5" w:rsidRDefault="001C08A5">
      <w:pPr>
        <w:jc w:val="both"/>
        <w:rPr>
          <w:b/>
          <w:bCs/>
          <w:i/>
          <w:sz w:val="24"/>
          <w:szCs w:val="24"/>
        </w:rPr>
      </w:pPr>
    </w:p>
    <w:p w14:paraId="210A897E" w14:textId="77777777" w:rsidR="001C08A5" w:rsidRDefault="00000000">
      <w:pPr>
        <w:numPr>
          <w:ilvl w:val="0"/>
          <w:numId w:val="96"/>
        </w:numPr>
        <w:tabs>
          <w:tab w:val="left" w:pos="426"/>
          <w:tab w:val="left" w:pos="993"/>
        </w:tabs>
        <w:jc w:val="both"/>
        <w:rPr>
          <w:bCs/>
          <w:i/>
          <w:sz w:val="24"/>
        </w:rPr>
      </w:pPr>
      <w:r>
        <w:rPr>
          <w:bCs/>
          <w:i/>
          <w:sz w:val="24"/>
        </w:rPr>
        <w:t xml:space="preserve">Se utilizează următoarea terminologie, în acord cu </w:t>
      </w:r>
      <w:r>
        <w:rPr>
          <w:bCs/>
          <w:i/>
          <w:sz w:val="24"/>
          <w:lang w:val="en-US" w:eastAsia="zh-CN"/>
        </w:rPr>
        <w:t>L</w:t>
      </w:r>
      <w:r>
        <w:rPr>
          <w:bCs/>
          <w:i/>
          <w:sz w:val="24"/>
          <w:lang w:eastAsia="zh-CN"/>
        </w:rPr>
        <w:t>egea</w:t>
      </w:r>
      <w:r>
        <w:rPr>
          <w:bCs/>
          <w:i/>
          <w:sz w:val="24"/>
          <w:lang w:val="en-US" w:eastAsia="zh-CN"/>
        </w:rPr>
        <w:t xml:space="preserve"> nr. 448 din 6 decembrie 2006</w:t>
      </w:r>
      <w:r>
        <w:rPr>
          <w:bCs/>
          <w:i/>
          <w:sz w:val="24"/>
          <w:lang w:eastAsia="zh-CN"/>
        </w:rPr>
        <w:t xml:space="preserve"> </w:t>
      </w:r>
      <w:r>
        <w:rPr>
          <w:bCs/>
          <w:i/>
          <w:sz w:val="24"/>
          <w:lang w:val="en-US" w:eastAsia="zh-CN"/>
        </w:rPr>
        <w:t>privind protecţia şi promovarea drepturilor persoanelor cu handicap</w:t>
      </w:r>
      <w:r>
        <w:rPr>
          <w:bCs/>
          <w:i/>
          <w:sz w:val="24"/>
          <w:lang w:eastAsia="zh-CN"/>
        </w:rPr>
        <w:t xml:space="preserve"> și "Normativ privind adaptarea clădirilor civile şi spaţiului urban la nevoile individuale ale persoanelor cu handicap, indicativ NP 051 2012 Revizuire NP 051/2000</w:t>
      </w:r>
      <w:proofErr w:type="gramStart"/>
      <w:r>
        <w:rPr>
          <w:bCs/>
          <w:i/>
          <w:sz w:val="24"/>
          <w:lang w:eastAsia="zh-CN"/>
        </w:rPr>
        <w:t xml:space="preserve">" </w:t>
      </w:r>
      <w:r>
        <w:rPr>
          <w:bCs/>
          <w:i/>
          <w:sz w:val="24"/>
        </w:rPr>
        <w:t>:</w:t>
      </w:r>
      <w:proofErr w:type="gramEnd"/>
    </w:p>
    <w:p w14:paraId="2C495ED2" w14:textId="77777777" w:rsidR="001C08A5" w:rsidRDefault="00000000">
      <w:pPr>
        <w:jc w:val="both"/>
        <w:rPr>
          <w:b/>
          <w:bCs/>
          <w:i/>
          <w:sz w:val="24"/>
          <w:szCs w:val="24"/>
        </w:rPr>
      </w:pPr>
      <w:r>
        <w:rPr>
          <w:b/>
          <w:bCs/>
          <w:i/>
          <w:sz w:val="24"/>
          <w:szCs w:val="24"/>
        </w:rPr>
        <w:t xml:space="preserve">Căi şi mijloace de acces </w:t>
      </w:r>
      <w:r>
        <w:rPr>
          <w:i/>
          <w:sz w:val="24"/>
          <w:szCs w:val="24"/>
        </w:rPr>
        <w:t>- elementele prin care se asigură accesul în clădirile publice şi care asigură posibilitatea deplasării persoanelor cu handicap în interiorul clădirii;</w:t>
      </w:r>
    </w:p>
    <w:p w14:paraId="15C77309" w14:textId="77777777" w:rsidR="001C08A5" w:rsidRDefault="00000000">
      <w:pPr>
        <w:jc w:val="both"/>
        <w:rPr>
          <w:b/>
          <w:bCs/>
          <w:i/>
          <w:sz w:val="24"/>
          <w:szCs w:val="24"/>
        </w:rPr>
      </w:pPr>
      <w:r>
        <w:rPr>
          <w:b/>
          <w:bCs/>
          <w:i/>
          <w:sz w:val="24"/>
          <w:szCs w:val="24"/>
        </w:rPr>
        <w:t xml:space="preserve">Clădiri de utilitate publică </w:t>
      </w:r>
      <w:r>
        <w:rPr>
          <w:i/>
          <w:sz w:val="24"/>
          <w:szCs w:val="24"/>
        </w:rPr>
        <w:t>- clădirile aparţinând instituţiilor publice şi private care oferă populaţiei diferite tipuri de servicii;</w:t>
      </w:r>
    </w:p>
    <w:p w14:paraId="1F94E475" w14:textId="77777777" w:rsidR="001C08A5" w:rsidRDefault="00000000">
      <w:pPr>
        <w:pStyle w:val="Heading4"/>
        <w:rPr>
          <w:sz w:val="24"/>
          <w:szCs w:val="24"/>
        </w:rPr>
      </w:pPr>
      <w:bookmarkStart w:id="8828" w:name="_Toc30674"/>
      <w:bookmarkStart w:id="8829" w:name="_Toc20356"/>
      <w:bookmarkStart w:id="8830" w:name="_Toc2370"/>
      <w:bookmarkStart w:id="8831" w:name="_Toc9734"/>
      <w:bookmarkStart w:id="8832" w:name="_Toc24702"/>
      <w:bookmarkStart w:id="8833" w:name="_Toc18581"/>
      <w:bookmarkStart w:id="8834" w:name="_Toc162355462"/>
      <w:bookmarkStart w:id="8835" w:name="_Toc20298"/>
      <w:bookmarkStart w:id="8836" w:name="_Toc25512"/>
      <w:bookmarkStart w:id="8837" w:name="_Toc13065"/>
      <w:bookmarkStart w:id="8838" w:name="_Toc5378"/>
      <w:bookmarkStart w:id="8839" w:name="_Toc9834"/>
      <w:bookmarkStart w:id="8840" w:name="_Toc28176"/>
      <w:bookmarkStart w:id="8841" w:name="_Toc19734"/>
      <w:r>
        <w:rPr>
          <w:sz w:val="24"/>
          <w:szCs w:val="24"/>
        </w:rPr>
        <w:t>Prevederi generale</w:t>
      </w:r>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p>
    <w:p w14:paraId="2E0D1B38" w14:textId="77777777" w:rsidR="001C08A5" w:rsidRDefault="00000000">
      <w:pPr>
        <w:numPr>
          <w:ilvl w:val="0"/>
          <w:numId w:val="96"/>
        </w:numPr>
        <w:tabs>
          <w:tab w:val="left" w:pos="426"/>
          <w:tab w:val="left" w:pos="993"/>
        </w:tabs>
        <w:jc w:val="both"/>
        <w:rPr>
          <w:b/>
          <w:i/>
          <w:sz w:val="24"/>
        </w:rPr>
      </w:pPr>
      <w:r>
        <w:rPr>
          <w:i/>
          <w:sz w:val="24"/>
        </w:rPr>
        <w:t xml:space="preserve">Clădirile de utilitate publică, căile de acces, clădirile de locuit, staţiile de transport în comun, peroanele principalelor staţii de transport feroviar, spaţiile de parcare precum și celelalte funcțiuni/ destinații prevăzute de </w:t>
      </w:r>
      <w:r>
        <w:rPr>
          <w:bCs/>
          <w:i/>
          <w:sz w:val="24"/>
          <w:lang w:val="en-US" w:eastAsia="zh-CN"/>
        </w:rPr>
        <w:t>L</w:t>
      </w:r>
      <w:r>
        <w:rPr>
          <w:bCs/>
          <w:i/>
          <w:sz w:val="24"/>
          <w:lang w:eastAsia="zh-CN"/>
        </w:rPr>
        <w:t>egea</w:t>
      </w:r>
      <w:r>
        <w:rPr>
          <w:bCs/>
          <w:i/>
          <w:sz w:val="24"/>
          <w:lang w:val="en-US" w:eastAsia="zh-CN"/>
        </w:rPr>
        <w:t xml:space="preserve"> nr. 448</w:t>
      </w:r>
      <w:r>
        <w:rPr>
          <w:i/>
          <w:sz w:val="24"/>
        </w:rPr>
        <w:t xml:space="preserve">, vor fi adaptate conform prevederilor legale în domeniu, astfel încât să permită accesul neîngrădit al persoanelor cu handicap precum și evacuarea acestora. </w:t>
      </w:r>
    </w:p>
    <w:p w14:paraId="47DA0E75" w14:textId="77777777" w:rsidR="001C08A5" w:rsidRDefault="001C08A5">
      <w:pPr>
        <w:numPr>
          <w:ilvl w:val="255"/>
          <w:numId w:val="0"/>
        </w:numPr>
        <w:tabs>
          <w:tab w:val="left" w:pos="426"/>
          <w:tab w:val="left" w:pos="993"/>
        </w:tabs>
        <w:jc w:val="both"/>
        <w:rPr>
          <w:b/>
          <w:i/>
          <w:sz w:val="24"/>
        </w:rPr>
      </w:pPr>
    </w:p>
    <w:p w14:paraId="1369738D" w14:textId="77777777" w:rsidR="001C08A5" w:rsidRDefault="00000000">
      <w:pPr>
        <w:numPr>
          <w:ilvl w:val="0"/>
          <w:numId w:val="96"/>
        </w:numPr>
        <w:tabs>
          <w:tab w:val="left" w:pos="426"/>
          <w:tab w:val="left" w:pos="993"/>
        </w:tabs>
        <w:jc w:val="both"/>
        <w:rPr>
          <w:b/>
          <w:i/>
          <w:sz w:val="24"/>
        </w:rPr>
      </w:pPr>
      <w:r>
        <w:rPr>
          <w:i/>
          <w:sz w:val="24"/>
        </w:rPr>
        <w:t xml:space="preserve">Clădirile de patrimoniu şi cele istorice (monumente istorice) se vor adapta, cu respectarea caracteristicilor arhitectonice, conform prevederilor legale în domeniu. </w:t>
      </w:r>
    </w:p>
    <w:p w14:paraId="4F82A1EB" w14:textId="77777777" w:rsidR="001C08A5" w:rsidRDefault="001C08A5">
      <w:pPr>
        <w:numPr>
          <w:ilvl w:val="255"/>
          <w:numId w:val="0"/>
        </w:numPr>
        <w:tabs>
          <w:tab w:val="left" w:pos="426"/>
          <w:tab w:val="left" w:pos="993"/>
        </w:tabs>
        <w:jc w:val="both"/>
        <w:rPr>
          <w:rFonts w:eastAsia="Times New Roman"/>
          <w:b/>
          <w:i/>
          <w:sz w:val="24"/>
        </w:rPr>
      </w:pPr>
    </w:p>
    <w:p w14:paraId="618A88F7"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Următoarele clădiri / funcțiuni sunt exceptate de la </w:t>
      </w:r>
      <w:r>
        <w:rPr>
          <w:rFonts w:eastAsia="Times New Roman"/>
          <w:i/>
          <w:sz w:val="24"/>
          <w:szCs w:val="24"/>
        </w:rPr>
        <w:t>modalitățile normate (ascensoare sau puncte de staționare în casa scării) de evacuare a persoanelor cu dizabilități</w:t>
      </w:r>
      <w:r>
        <w:rPr>
          <w:rFonts w:eastAsia="Times New Roman"/>
          <w:i/>
          <w:sz w:val="24"/>
        </w:rPr>
        <w:t>:</w:t>
      </w:r>
    </w:p>
    <w:p w14:paraId="1AB54858" w14:textId="77777777" w:rsidR="001C08A5" w:rsidRDefault="00000000">
      <w:pPr>
        <w:ind w:left="1440" w:firstLine="720"/>
        <w:jc w:val="both"/>
        <w:rPr>
          <w:rFonts w:eastAsia="Times New Roman"/>
          <w:i/>
          <w:sz w:val="24"/>
          <w:szCs w:val="24"/>
        </w:rPr>
      </w:pPr>
      <w:r>
        <w:rPr>
          <w:rFonts w:eastAsia="Times New Roman"/>
          <w:i/>
          <w:sz w:val="24"/>
          <w:szCs w:val="24"/>
        </w:rPr>
        <w:t>(1)</w:t>
      </w:r>
      <w:r>
        <w:rPr>
          <w:rFonts w:eastAsia="Times New Roman"/>
          <w:i/>
          <w:sz w:val="24"/>
          <w:szCs w:val="24"/>
        </w:rPr>
        <w:tab/>
        <w:t>anumite clădiri de producție / funcțiunile de producție care sunt exceptate de la respectarea accesibilității pentru persoane cu dizabilități, conform cerințelor normate cu privire la accesibilitatea în mediul construit; </w:t>
      </w:r>
    </w:p>
    <w:p w14:paraId="37A51EED" w14:textId="77777777" w:rsidR="001C08A5" w:rsidRDefault="00000000">
      <w:pPr>
        <w:ind w:left="1440" w:firstLine="720"/>
        <w:jc w:val="both"/>
        <w:rPr>
          <w:rFonts w:eastAsia="Times New Roman"/>
          <w:i/>
          <w:sz w:val="24"/>
          <w:szCs w:val="24"/>
        </w:rPr>
      </w:pPr>
      <w:r>
        <w:rPr>
          <w:rFonts w:eastAsia="Times New Roman"/>
          <w:i/>
          <w:sz w:val="24"/>
          <w:szCs w:val="24"/>
        </w:rPr>
        <w:t>(2)</w:t>
      </w:r>
      <w:r>
        <w:rPr>
          <w:rFonts w:eastAsia="Times New Roman"/>
          <w:i/>
          <w:sz w:val="24"/>
          <w:szCs w:val="24"/>
        </w:rPr>
        <w:tab/>
        <w:t xml:space="preserve">clădirile parter cu sau fără niveluri de subsol/ demisol (subsolul/ demisolul fără activități permanente de muncă, la care nu se prevăd ascensoare sau </w:t>
      </w:r>
      <w:r>
        <w:rPr>
          <w:rFonts w:eastAsia="Times New Roman"/>
          <w:i/>
          <w:sz w:val="24"/>
          <w:szCs w:val="24"/>
        </w:rPr>
        <w:lastRenderedPageBreak/>
        <w:t>puncte de staționare în casa scării, dar la parter se prevăd celelalte modalități normate de evacuare, ca de exemplu rampe).</w:t>
      </w:r>
    </w:p>
    <w:p w14:paraId="54A04476" w14:textId="77777777" w:rsidR="001C08A5" w:rsidRDefault="001C08A5">
      <w:pPr>
        <w:numPr>
          <w:ilvl w:val="255"/>
          <w:numId w:val="0"/>
        </w:numPr>
        <w:tabs>
          <w:tab w:val="left" w:pos="426"/>
          <w:tab w:val="left" w:pos="993"/>
        </w:tabs>
        <w:jc w:val="both"/>
        <w:rPr>
          <w:b/>
          <w:i/>
          <w:sz w:val="24"/>
        </w:rPr>
      </w:pPr>
    </w:p>
    <w:p w14:paraId="236F3EF5" w14:textId="77777777" w:rsidR="001C08A5" w:rsidRDefault="00000000">
      <w:pPr>
        <w:numPr>
          <w:ilvl w:val="0"/>
          <w:numId w:val="96"/>
        </w:numPr>
        <w:tabs>
          <w:tab w:val="left" w:pos="426"/>
          <w:tab w:val="left" w:pos="993"/>
        </w:tabs>
        <w:jc w:val="both"/>
        <w:rPr>
          <w:b/>
          <w:i/>
          <w:sz w:val="24"/>
        </w:rPr>
      </w:pPr>
      <w:r>
        <w:rPr>
          <w:rFonts w:eastAsia="Times New Roman"/>
          <w:i/>
          <w:sz w:val="22"/>
          <w:szCs w:val="22"/>
        </w:rPr>
        <w:t>Clădirile cu funcțiune medicală (spitale, instituții de îngrijire medicală, etc.) se prevăd obligatoriu cu ascensoare de evacuare a persoanelor cu dizabilități.</w:t>
      </w:r>
    </w:p>
    <w:p w14:paraId="7DCEF98B" w14:textId="77777777" w:rsidR="001C08A5" w:rsidRDefault="001C08A5">
      <w:pPr>
        <w:jc w:val="both"/>
        <w:rPr>
          <w:rFonts w:eastAsia="Times New Roman"/>
          <w:i/>
          <w:sz w:val="24"/>
          <w:szCs w:val="24"/>
        </w:rPr>
      </w:pPr>
    </w:p>
    <w:p w14:paraId="084840B6"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Căile de evacuare trebuie să fie libere de orice obstacol care poate cauza întârzieri nejustificate în timpul evacuării  persoanelor cu dizabilităti, de exemplu praguri ridicate sau trepte. </w:t>
      </w:r>
    </w:p>
    <w:p w14:paraId="56E7394B" w14:textId="77777777" w:rsidR="001C08A5" w:rsidRDefault="001C08A5">
      <w:pPr>
        <w:numPr>
          <w:ilvl w:val="255"/>
          <w:numId w:val="0"/>
        </w:numPr>
        <w:tabs>
          <w:tab w:val="left" w:pos="426"/>
          <w:tab w:val="left" w:pos="993"/>
        </w:tabs>
        <w:jc w:val="both"/>
        <w:rPr>
          <w:rFonts w:eastAsia="Times New Roman"/>
          <w:b/>
          <w:i/>
          <w:sz w:val="24"/>
        </w:rPr>
      </w:pPr>
    </w:p>
    <w:p w14:paraId="7F8DCE68"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Sunt interzise rampe de scară cu mai puțin de 3 trepte în conformitate cu prevederile din</w:t>
      </w:r>
      <w:r>
        <w:rPr>
          <w:rFonts w:eastAsia="Times New Roman"/>
          <w:b/>
          <w:bCs/>
          <w:i/>
          <w:sz w:val="24"/>
        </w:rPr>
        <w:t xml:space="preserve"> NP 063</w:t>
      </w:r>
      <w:r>
        <w:rPr>
          <w:rFonts w:eastAsia="Times New Roman"/>
          <w:i/>
          <w:sz w:val="24"/>
        </w:rPr>
        <w:t xml:space="preserve"> coroborat cu </w:t>
      </w:r>
      <w:r>
        <w:rPr>
          <w:rFonts w:eastAsia="Times New Roman"/>
          <w:b/>
          <w:bCs/>
          <w:i/>
          <w:sz w:val="24"/>
        </w:rPr>
        <w:t>Art. 2.5.6.1.1. alin. (3)</w:t>
      </w:r>
      <w:r>
        <w:rPr>
          <w:rFonts w:eastAsia="Times New Roman"/>
          <w:i/>
          <w:sz w:val="24"/>
        </w:rPr>
        <w:t xml:space="preserve"> din normativ.</w:t>
      </w:r>
    </w:p>
    <w:p w14:paraId="7E3455A7" w14:textId="77777777" w:rsidR="001C08A5" w:rsidRDefault="00000000">
      <w:pPr>
        <w:pStyle w:val="Heading4"/>
        <w:rPr>
          <w:sz w:val="24"/>
          <w:szCs w:val="24"/>
        </w:rPr>
      </w:pPr>
      <w:bookmarkStart w:id="8842" w:name="_Toc25695"/>
      <w:bookmarkStart w:id="8843" w:name="_Toc8148"/>
      <w:bookmarkStart w:id="8844" w:name="_Toc17485"/>
      <w:bookmarkStart w:id="8845" w:name="_Toc162355463"/>
      <w:bookmarkStart w:id="8846" w:name="_Toc20487"/>
      <w:bookmarkStart w:id="8847" w:name="_Toc32144"/>
      <w:bookmarkStart w:id="8848" w:name="_Toc31707"/>
      <w:bookmarkStart w:id="8849" w:name="_Toc2934"/>
      <w:bookmarkStart w:id="8850" w:name="_Toc25521"/>
      <w:bookmarkStart w:id="8851" w:name="_Toc30604"/>
      <w:bookmarkStart w:id="8852" w:name="_Toc8973"/>
      <w:bookmarkStart w:id="8853" w:name="_Toc9541"/>
      <w:bookmarkStart w:id="8854" w:name="_Toc20717"/>
      <w:bookmarkStart w:id="8855" w:name="_Toc32000"/>
      <w:bookmarkStart w:id="8856" w:name="_Toc29239"/>
      <w:bookmarkStart w:id="8857" w:name="_Toc22801"/>
      <w:bookmarkStart w:id="8858" w:name="_Toc11341"/>
      <w:r>
        <w:rPr>
          <w:sz w:val="24"/>
          <w:szCs w:val="24"/>
        </w:rPr>
        <w:t>Cerințe generale a punctelor de staționare a persoanelor cu dizabilități</w:t>
      </w:r>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p>
    <w:p w14:paraId="38C6DAD5"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Un punct de staționare a persoanelor cu dizabilități trebuie prevăzut pe toate etajele, inclusiv toate nivelurile subsolului (cu excepția subsolului tehnic), cu excepția parterului, pentru ca persoanele cu dizabilități să aștepte în siguranță asistența pentru evacuare.</w:t>
      </w:r>
    </w:p>
    <w:p w14:paraId="3FC5FE43" w14:textId="77777777" w:rsidR="001C08A5" w:rsidRDefault="001C08A5">
      <w:pPr>
        <w:jc w:val="both"/>
        <w:rPr>
          <w:rFonts w:eastAsia="Times New Roman"/>
          <w:i/>
          <w:sz w:val="24"/>
          <w:szCs w:val="24"/>
        </w:rPr>
      </w:pPr>
    </w:p>
    <w:p w14:paraId="29B824DC"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Se recomandă să existe cel puțin două puncte de staționare a persoanelor cu dizabilități pe fiecare etaj al unei clădiri/ compartiment de incendiu, cu excepția unei clădiri/ compartiment proiectate cu o singură scară de evacuare permisă în temeiul prezentului normativ. Coridorul care este cale de evacuare a persoanelor cu dizabilități (cu căruciorul) se recomandă să aibă o lățime liberă minimă de </w:t>
      </w:r>
      <w:r>
        <w:rPr>
          <w:rFonts w:eastAsia="Times New Roman"/>
          <w:b/>
          <w:bCs/>
          <w:i/>
          <w:sz w:val="24"/>
        </w:rPr>
        <w:t>1,20 m</w:t>
      </w:r>
      <w:r>
        <w:rPr>
          <w:rFonts w:eastAsia="Times New Roman"/>
          <w:i/>
          <w:sz w:val="24"/>
        </w:rPr>
        <w:t xml:space="preserve"> (1,30 m la clădiri cu funcțiune sanitară) și să respecte reglementarile tehnice în vigoare. Se recomandă să fie prevăzute de asemenea buzunare de manevră și așteptare cu lățime minim </w:t>
      </w:r>
      <w:r>
        <w:rPr>
          <w:rFonts w:eastAsia="Times New Roman"/>
          <w:b/>
          <w:bCs/>
          <w:i/>
          <w:sz w:val="24"/>
        </w:rPr>
        <w:t>1.80 m</w:t>
      </w:r>
      <w:r>
        <w:rPr>
          <w:rFonts w:eastAsia="Times New Roman"/>
          <w:i/>
          <w:sz w:val="24"/>
        </w:rPr>
        <w:t xml:space="preserve"> și lungime min. </w:t>
      </w:r>
      <w:r>
        <w:rPr>
          <w:rFonts w:eastAsia="Times New Roman"/>
          <w:b/>
          <w:bCs/>
          <w:i/>
          <w:sz w:val="24"/>
        </w:rPr>
        <w:t>2.00 m</w:t>
      </w:r>
      <w:r>
        <w:rPr>
          <w:rFonts w:eastAsia="Times New Roman"/>
          <w:i/>
          <w:sz w:val="24"/>
        </w:rPr>
        <w:t xml:space="preserve">. În cazul în care acestea nu se prevăd, se va avea în vedere </w:t>
      </w:r>
      <w:r>
        <w:rPr>
          <w:b/>
          <w:bCs/>
          <w:i/>
          <w:sz w:val="24"/>
          <w:szCs w:val="24"/>
        </w:rPr>
        <w:t xml:space="preserve">Art. 2.4.4.3.3. </w:t>
      </w:r>
      <w:r>
        <w:rPr>
          <w:i/>
          <w:sz w:val="24"/>
          <w:szCs w:val="24"/>
        </w:rPr>
        <w:t>din normativ.</w:t>
      </w:r>
    </w:p>
    <w:p w14:paraId="186AE191" w14:textId="77777777" w:rsidR="001C08A5" w:rsidRDefault="00000000">
      <w:pPr>
        <w:pStyle w:val="Heading4"/>
        <w:rPr>
          <w:sz w:val="24"/>
          <w:szCs w:val="24"/>
        </w:rPr>
      </w:pPr>
      <w:bookmarkStart w:id="8859" w:name="_Toc20375"/>
      <w:bookmarkStart w:id="8860" w:name="_Toc9543"/>
      <w:bookmarkStart w:id="8861" w:name="_Toc30579"/>
      <w:bookmarkStart w:id="8862" w:name="_Toc10430"/>
      <w:bookmarkStart w:id="8863" w:name="_Toc25606"/>
      <w:bookmarkStart w:id="8864" w:name="_Toc4410"/>
      <w:bookmarkStart w:id="8865" w:name="_Toc25041"/>
      <w:bookmarkStart w:id="8866" w:name="_Toc18379"/>
      <w:bookmarkStart w:id="8867" w:name="_Toc28476"/>
      <w:bookmarkStart w:id="8868" w:name="_Toc24217"/>
      <w:bookmarkStart w:id="8869" w:name="_Toc440"/>
      <w:bookmarkStart w:id="8870" w:name="_Toc9568"/>
      <w:bookmarkStart w:id="8871" w:name="_Toc29932"/>
      <w:bookmarkStart w:id="8872" w:name="_Toc27923"/>
      <w:bookmarkStart w:id="8873" w:name="_Toc17801"/>
      <w:bookmarkStart w:id="8874" w:name="_Toc3389"/>
      <w:bookmarkStart w:id="8875" w:name="_Toc162355464"/>
      <w:r>
        <w:rPr>
          <w:rStyle w:val="Heading5Char"/>
          <w:b/>
          <w:bCs/>
          <w:i/>
          <w:sz w:val="24"/>
          <w:szCs w:val="24"/>
          <w:lang w:val="ro-RO"/>
        </w:rPr>
        <w:t>Cerințe speciale pentru evacuarea persoanelor cu disabilități</w:t>
      </w:r>
      <w:bookmarkEnd w:id="8859"/>
      <w:bookmarkEnd w:id="8860"/>
      <w:bookmarkEnd w:id="8861"/>
      <w:bookmarkEnd w:id="8862"/>
      <w:bookmarkEnd w:id="8863"/>
      <w:bookmarkEnd w:id="8864"/>
      <w:bookmarkEnd w:id="8865"/>
      <w:bookmarkEnd w:id="8866"/>
      <w:bookmarkEnd w:id="8867"/>
      <w:bookmarkEnd w:id="8868"/>
      <w:bookmarkEnd w:id="8869"/>
      <w:r>
        <w:rPr>
          <w:rStyle w:val="Heading5Char"/>
          <w:b/>
          <w:bCs/>
          <w:i/>
          <w:sz w:val="24"/>
          <w:szCs w:val="24"/>
          <w:lang w:val="ro-RO"/>
        </w:rPr>
        <w:t xml:space="preserve"> a punctelor de staționare</w:t>
      </w:r>
      <w:bookmarkEnd w:id="8870"/>
      <w:bookmarkEnd w:id="8871"/>
      <w:bookmarkEnd w:id="8872"/>
      <w:bookmarkEnd w:id="8873"/>
      <w:bookmarkEnd w:id="8874"/>
      <w:bookmarkEnd w:id="8875"/>
      <w:r>
        <w:rPr>
          <w:sz w:val="24"/>
          <w:szCs w:val="24"/>
        </w:rPr>
        <w:t xml:space="preserve"> </w:t>
      </w:r>
    </w:p>
    <w:p w14:paraId="575C42C1"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Punctul de staționare a persoanelor cu dizabilități trebuie amplasat și păstrat în timpul exploatării fără elemente care să-l obstrucționeze și poate fi amplasat în următoarele locații / zone: </w:t>
      </w:r>
    </w:p>
    <w:p w14:paraId="0979C01B" w14:textId="77777777" w:rsidR="001C08A5" w:rsidRDefault="00000000">
      <w:pPr>
        <w:ind w:left="720" w:firstLine="720"/>
        <w:jc w:val="both"/>
        <w:rPr>
          <w:rFonts w:eastAsia="Times New Roman"/>
          <w:i/>
          <w:sz w:val="24"/>
          <w:szCs w:val="24"/>
        </w:rPr>
      </w:pPr>
      <w:r>
        <w:rPr>
          <w:rFonts w:eastAsia="Times New Roman"/>
          <w:i/>
          <w:sz w:val="24"/>
          <w:szCs w:val="24"/>
        </w:rPr>
        <w:t>(a)</w:t>
      </w:r>
      <w:r>
        <w:rPr>
          <w:rFonts w:eastAsia="Times New Roman"/>
          <w:i/>
          <w:sz w:val="24"/>
          <w:szCs w:val="24"/>
        </w:rPr>
        <w:tab/>
        <w:t xml:space="preserve">Încăperea tampon ventilată în suprapresiune a ascensorului prevăzut </w:t>
      </w:r>
      <w:r>
        <w:rPr>
          <w:i/>
          <w:sz w:val="24"/>
          <w:szCs w:val="24"/>
        </w:rPr>
        <w:t>pentru transportul persoanelor cu căruciorul sau a persoanelor cu dizabilităţi care pot fi utilizate şi pentru evacuarea asistată a acestora în caz de incendiu</w:t>
      </w:r>
      <w:r>
        <w:rPr>
          <w:rFonts w:eastAsia="Times New Roman"/>
          <w:i/>
          <w:sz w:val="24"/>
          <w:szCs w:val="24"/>
        </w:rPr>
        <w:t>;</w:t>
      </w:r>
    </w:p>
    <w:p w14:paraId="1ECB850E" w14:textId="77777777" w:rsidR="001C08A5" w:rsidRDefault="00000000">
      <w:pPr>
        <w:ind w:left="720" w:firstLine="720"/>
        <w:jc w:val="both"/>
        <w:rPr>
          <w:rFonts w:eastAsia="Times New Roman"/>
          <w:i/>
          <w:sz w:val="24"/>
          <w:szCs w:val="24"/>
        </w:rPr>
      </w:pPr>
      <w:r>
        <w:rPr>
          <w:rFonts w:eastAsia="Times New Roman"/>
          <w:i/>
          <w:sz w:val="24"/>
          <w:szCs w:val="24"/>
        </w:rPr>
        <w:t>(b)</w:t>
      </w:r>
      <w:r>
        <w:rPr>
          <w:rFonts w:eastAsia="Times New Roman"/>
          <w:i/>
          <w:sz w:val="24"/>
          <w:szCs w:val="24"/>
        </w:rPr>
        <w:tab/>
        <w:t>Încăperea tampon ventilată în suprapresiune a ascensorului de intervenție (de pompieri);</w:t>
      </w:r>
    </w:p>
    <w:p w14:paraId="00BC3B3D" w14:textId="77777777" w:rsidR="001C08A5" w:rsidRDefault="00000000">
      <w:pPr>
        <w:ind w:left="720" w:firstLine="720"/>
        <w:jc w:val="both"/>
        <w:rPr>
          <w:rFonts w:eastAsia="Times New Roman"/>
          <w:i/>
          <w:sz w:val="24"/>
          <w:szCs w:val="24"/>
        </w:rPr>
      </w:pPr>
      <w:r>
        <w:rPr>
          <w:rFonts w:eastAsia="Times New Roman"/>
          <w:i/>
          <w:sz w:val="24"/>
          <w:szCs w:val="24"/>
        </w:rPr>
        <w:t>(c)</w:t>
      </w:r>
      <w:r>
        <w:rPr>
          <w:rFonts w:eastAsia="Times New Roman"/>
          <w:i/>
          <w:sz w:val="24"/>
          <w:szCs w:val="24"/>
        </w:rPr>
        <w:tab/>
        <w:t>Într-un coridor prevăzut cu sisteme de evacuare a fumului și a gazelor fierbinti sau ventilat în suprapresiune, într-un degajament protejat  sau într-un coridor exterior, într-un buzunar de manevră așteptare pentru a nu reduce gabaritul de evacuare al coridorului/degajamentului protejat;</w:t>
      </w:r>
    </w:p>
    <w:p w14:paraId="50393BC5" w14:textId="77777777" w:rsidR="001C08A5" w:rsidRDefault="00000000">
      <w:pPr>
        <w:ind w:left="720" w:firstLine="720"/>
        <w:jc w:val="both"/>
        <w:rPr>
          <w:rFonts w:eastAsia="Times New Roman"/>
          <w:i/>
          <w:sz w:val="24"/>
          <w:szCs w:val="24"/>
        </w:rPr>
      </w:pPr>
      <w:r>
        <w:rPr>
          <w:rFonts w:eastAsia="Times New Roman"/>
          <w:i/>
          <w:sz w:val="24"/>
          <w:szCs w:val="24"/>
        </w:rPr>
        <w:t>(d)</w:t>
      </w:r>
      <w:r>
        <w:rPr>
          <w:rFonts w:eastAsia="Times New Roman"/>
          <w:i/>
          <w:sz w:val="24"/>
          <w:szCs w:val="24"/>
        </w:rPr>
        <w:tab/>
        <w:t>În incinta unei încăperi tampon ventilată în suprapresiune dacă nu reduce gabaritul de evacuare a acesteia;</w:t>
      </w:r>
    </w:p>
    <w:p w14:paraId="3EB6DFA4" w14:textId="77777777" w:rsidR="001C08A5" w:rsidRDefault="00000000">
      <w:pPr>
        <w:ind w:left="720" w:firstLine="720"/>
        <w:jc w:val="both"/>
        <w:rPr>
          <w:rFonts w:eastAsia="Times New Roman"/>
          <w:i/>
          <w:sz w:val="24"/>
          <w:szCs w:val="24"/>
        </w:rPr>
      </w:pPr>
      <w:r>
        <w:rPr>
          <w:rFonts w:eastAsia="Times New Roman"/>
          <w:i/>
          <w:sz w:val="24"/>
          <w:szCs w:val="24"/>
        </w:rPr>
        <w:t>(e)</w:t>
      </w:r>
      <w:r>
        <w:rPr>
          <w:rFonts w:eastAsia="Times New Roman"/>
          <w:i/>
          <w:sz w:val="24"/>
          <w:szCs w:val="24"/>
        </w:rPr>
        <w:tab/>
        <w:t>În incinta unei scări de evacuare dacă nu reduce gabaritul de evacuare a acesteia.</w:t>
      </w:r>
    </w:p>
    <w:p w14:paraId="08AE6B2D" w14:textId="77777777" w:rsidR="001C08A5" w:rsidRDefault="001C08A5">
      <w:pPr>
        <w:ind w:left="720" w:firstLine="720"/>
        <w:jc w:val="both"/>
        <w:rPr>
          <w:rFonts w:eastAsia="Times New Roman"/>
          <w:i/>
          <w:sz w:val="24"/>
          <w:szCs w:val="24"/>
        </w:rPr>
      </w:pPr>
    </w:p>
    <w:p w14:paraId="26525399"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Punctul de staționare a persoanelor cu dizabilități situat în incinta unei scări de evacuare trebuie să fie poziționat departe de marginea primei trepte a scării de evacuare și în toate cazurile trebuie să nu influențeze lățimea normată rezultată din calcul a căii de evacuare a persoanelor. </w:t>
      </w:r>
    </w:p>
    <w:p w14:paraId="3F5DDB8A"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76BCA634" wp14:editId="3E4109CF">
            <wp:extent cx="4896485" cy="1861820"/>
            <wp:effectExtent l="0" t="0" r="18415" b="5080"/>
            <wp:docPr id="423"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177"/>
                    <pic:cNvPicPr>
                      <a:picLocks noChangeAspect="1"/>
                    </pic:cNvPicPr>
                  </pic:nvPicPr>
                  <pic:blipFill>
                    <a:blip r:embed="rId442"/>
                    <a:srcRect l="21771" t="29533" r="13359" b="33618"/>
                    <a:stretch>
                      <a:fillRect/>
                    </a:stretch>
                  </pic:blipFill>
                  <pic:spPr>
                    <a:xfrm>
                      <a:off x="0" y="0"/>
                      <a:ext cx="4896485" cy="1861820"/>
                    </a:xfrm>
                    <a:prstGeom prst="rect">
                      <a:avLst/>
                    </a:prstGeom>
                    <a:noFill/>
                    <a:ln>
                      <a:noFill/>
                    </a:ln>
                  </pic:spPr>
                </pic:pic>
              </a:graphicData>
            </a:graphic>
          </wp:inline>
        </w:drawing>
      </w:r>
    </w:p>
    <w:p w14:paraId="0EBC1780" w14:textId="77777777" w:rsidR="001C08A5" w:rsidRDefault="00000000">
      <w:pPr>
        <w:pStyle w:val="Caption"/>
        <w:jc w:val="center"/>
      </w:pPr>
      <w:bookmarkStart w:id="8876" w:name="_Toc162360445"/>
      <w:r>
        <w:t xml:space="preserve">Figura </w:t>
      </w:r>
      <w:r>
        <w:fldChar w:fldCharType="begin"/>
      </w:r>
      <w:r>
        <w:instrText xml:space="preserve"> SEQ Figura \* ARABIC </w:instrText>
      </w:r>
      <w:r>
        <w:fldChar w:fldCharType="separate"/>
      </w:r>
      <w:r>
        <w:t>221</w:t>
      </w:r>
      <w:r>
        <w:fldChar w:fldCharType="end"/>
      </w:r>
      <w:bookmarkStart w:id="8877" w:name="_Toc10046"/>
      <w:bookmarkStart w:id="8878" w:name="_Toc10446"/>
      <w:bookmarkStart w:id="8879" w:name="_Toc32387"/>
      <w:bookmarkStart w:id="8880" w:name="_Toc5107"/>
      <w:bookmarkStart w:id="8881" w:name="_Toc4567"/>
      <w:bookmarkStart w:id="8882" w:name="_Toc10426"/>
      <w:bookmarkStart w:id="8883" w:name="_Toc29771"/>
      <w:bookmarkStart w:id="8884" w:name="_Toc3005"/>
      <w:bookmarkStart w:id="8885" w:name="_Toc1416"/>
      <w:r>
        <w:t xml:space="preserve"> - Gabarit punct de staționare a persoanelor cu dizabilități - amplasare în scara de evacuare.</w:t>
      </w:r>
      <w:bookmarkEnd w:id="8876"/>
      <w:bookmarkEnd w:id="8877"/>
      <w:bookmarkEnd w:id="8878"/>
      <w:bookmarkEnd w:id="8879"/>
      <w:bookmarkEnd w:id="8880"/>
      <w:bookmarkEnd w:id="8881"/>
      <w:bookmarkEnd w:id="8882"/>
      <w:bookmarkEnd w:id="8883"/>
      <w:bookmarkEnd w:id="8884"/>
      <w:bookmarkEnd w:id="8885"/>
    </w:p>
    <w:p w14:paraId="60DE3F39" w14:textId="77777777" w:rsidR="001C08A5" w:rsidRDefault="001C08A5">
      <w:pPr>
        <w:numPr>
          <w:ilvl w:val="255"/>
          <w:numId w:val="0"/>
        </w:numPr>
        <w:tabs>
          <w:tab w:val="left" w:pos="426"/>
          <w:tab w:val="left" w:pos="993"/>
        </w:tabs>
        <w:jc w:val="both"/>
        <w:rPr>
          <w:rFonts w:eastAsia="Times New Roman"/>
          <w:b/>
          <w:i/>
          <w:sz w:val="24"/>
        </w:rPr>
      </w:pPr>
    </w:p>
    <w:p w14:paraId="492C509D"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Punctul de staționare a persoanelor cu dizabilități situat în orice zonă permisă conform (140) lit. (a), (b), (c), (d) nu trebuie să se reducă / să pătrundă în dimensiunile / spațiile necesare evacuării pentru zonele mai sus amintite).</w:t>
      </w:r>
    </w:p>
    <w:p w14:paraId="441D67E2" w14:textId="77777777" w:rsidR="001C08A5" w:rsidRDefault="001C08A5">
      <w:pPr>
        <w:jc w:val="center"/>
        <w:rPr>
          <w:b/>
          <w:bCs/>
          <w:i/>
          <w:sz w:val="24"/>
          <w:szCs w:val="24"/>
        </w:rPr>
      </w:pPr>
    </w:p>
    <w:p w14:paraId="37272291" w14:textId="77777777" w:rsidR="001C08A5" w:rsidRDefault="00000000">
      <w:pPr>
        <w:jc w:val="center"/>
        <w:rPr>
          <w:b/>
          <w:bCs/>
          <w:i/>
          <w:sz w:val="24"/>
          <w:szCs w:val="24"/>
        </w:rPr>
      </w:pPr>
      <w:r>
        <w:rPr>
          <w:b/>
          <w:bCs/>
          <w:i/>
          <w:noProof/>
          <w:sz w:val="24"/>
          <w:szCs w:val="24"/>
          <w:lang w:eastAsia="ro-RO"/>
        </w:rPr>
        <w:drawing>
          <wp:inline distT="0" distB="0" distL="114300" distR="114300" wp14:anchorId="602219D9" wp14:editId="174676E5">
            <wp:extent cx="5793740" cy="2103120"/>
            <wp:effectExtent l="0" t="0" r="16510" b="11430"/>
            <wp:docPr id="425"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167"/>
                    <pic:cNvPicPr>
                      <a:picLocks noChangeAspect="1"/>
                    </pic:cNvPicPr>
                  </pic:nvPicPr>
                  <pic:blipFill>
                    <a:blip r:embed="rId443"/>
                    <a:srcRect l="14301" t="6749" r="8943" b="51627"/>
                    <a:stretch>
                      <a:fillRect/>
                    </a:stretch>
                  </pic:blipFill>
                  <pic:spPr>
                    <a:xfrm>
                      <a:off x="0" y="0"/>
                      <a:ext cx="5793740" cy="2103120"/>
                    </a:xfrm>
                    <a:prstGeom prst="rect">
                      <a:avLst/>
                    </a:prstGeom>
                    <a:noFill/>
                    <a:ln>
                      <a:noFill/>
                    </a:ln>
                  </pic:spPr>
                </pic:pic>
              </a:graphicData>
            </a:graphic>
          </wp:inline>
        </w:drawing>
      </w:r>
    </w:p>
    <w:p w14:paraId="7365E9DE" w14:textId="77777777" w:rsidR="001C08A5" w:rsidRDefault="00000000">
      <w:pPr>
        <w:jc w:val="center"/>
        <w:rPr>
          <w:b/>
          <w:bCs/>
          <w:i/>
          <w:sz w:val="24"/>
          <w:szCs w:val="24"/>
        </w:rPr>
      </w:pPr>
      <w:r>
        <w:rPr>
          <w:b/>
          <w:bCs/>
          <w:i/>
          <w:noProof/>
          <w:sz w:val="24"/>
          <w:szCs w:val="24"/>
          <w:lang w:eastAsia="ro-RO"/>
        </w:rPr>
        <w:drawing>
          <wp:inline distT="0" distB="0" distL="114300" distR="114300" wp14:anchorId="054BF999" wp14:editId="4EB32438">
            <wp:extent cx="5793740" cy="2060575"/>
            <wp:effectExtent l="0" t="0" r="16510" b="15875"/>
            <wp:docPr id="42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167"/>
                    <pic:cNvPicPr>
                      <a:picLocks noChangeAspect="1"/>
                    </pic:cNvPicPr>
                  </pic:nvPicPr>
                  <pic:blipFill>
                    <a:blip r:embed="rId443"/>
                    <a:srcRect l="14301" t="50735" r="8943" b="8482"/>
                    <a:stretch>
                      <a:fillRect/>
                    </a:stretch>
                  </pic:blipFill>
                  <pic:spPr>
                    <a:xfrm>
                      <a:off x="0" y="0"/>
                      <a:ext cx="5793740" cy="2060575"/>
                    </a:xfrm>
                    <a:prstGeom prst="rect">
                      <a:avLst/>
                    </a:prstGeom>
                    <a:noFill/>
                    <a:ln>
                      <a:noFill/>
                    </a:ln>
                  </pic:spPr>
                </pic:pic>
              </a:graphicData>
            </a:graphic>
          </wp:inline>
        </w:drawing>
      </w:r>
    </w:p>
    <w:p w14:paraId="27C9D7A5" w14:textId="77777777" w:rsidR="001C08A5" w:rsidRDefault="00000000">
      <w:pPr>
        <w:pStyle w:val="Caption"/>
        <w:jc w:val="center"/>
        <w:rPr>
          <w:rFonts w:eastAsia="Times New Roman"/>
        </w:rPr>
      </w:pPr>
      <w:bookmarkStart w:id="8886" w:name="_Toc142898603"/>
      <w:bookmarkStart w:id="8887" w:name="_Toc17320"/>
      <w:bookmarkStart w:id="8888" w:name="_Toc16110"/>
      <w:bookmarkStart w:id="8889" w:name="_Toc162360446"/>
      <w:r>
        <w:t xml:space="preserve">Figura </w:t>
      </w:r>
      <w:r>
        <w:fldChar w:fldCharType="begin"/>
      </w:r>
      <w:r>
        <w:instrText xml:space="preserve"> SEQ Figura \* ARABIC </w:instrText>
      </w:r>
      <w:r>
        <w:fldChar w:fldCharType="separate"/>
      </w:r>
      <w:r>
        <w:t>222</w:t>
      </w:r>
      <w:r>
        <w:fldChar w:fldCharType="end"/>
      </w:r>
      <w:bookmarkStart w:id="8890" w:name="_Toc24687"/>
      <w:bookmarkStart w:id="8891" w:name="_Toc30465"/>
      <w:bookmarkStart w:id="8892" w:name="_Toc18048"/>
      <w:bookmarkStart w:id="8893" w:name="_Toc18063"/>
      <w:bookmarkStart w:id="8894" w:name="_Toc24421"/>
      <w:bookmarkStart w:id="8895" w:name="_Toc31023"/>
      <w:bookmarkStart w:id="8896" w:name="_Toc5184"/>
      <w:bookmarkStart w:id="8897" w:name="_Toc2435"/>
      <w:bookmarkStart w:id="8898" w:name="_Toc7359"/>
      <w:r>
        <w:t xml:space="preserve"> - Punct de staționare a persoanelor cu dizabilități - amplasare în încapere tampon ventilată în suprapresiune</w:t>
      </w:r>
      <w:bookmarkEnd w:id="8886"/>
      <w:bookmarkEnd w:id="8887"/>
      <w:bookmarkEnd w:id="8888"/>
      <w:bookmarkEnd w:id="8889"/>
      <w:bookmarkEnd w:id="8890"/>
      <w:bookmarkEnd w:id="8891"/>
      <w:bookmarkEnd w:id="8892"/>
      <w:bookmarkEnd w:id="8893"/>
      <w:bookmarkEnd w:id="8894"/>
      <w:bookmarkEnd w:id="8895"/>
      <w:bookmarkEnd w:id="8896"/>
      <w:bookmarkEnd w:id="8897"/>
      <w:bookmarkEnd w:id="8898"/>
    </w:p>
    <w:p w14:paraId="0562A14C"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 cazul în care se află un punct de staționare a persoanelor cu dizabilități, trebuie afișat în mod vizibil un marcaj cu „Punct de staționare a persoanelor cu dizabilități”/ "(Zona de refugiu a persoanelor cu dizabilități"</w:t>
      </w:r>
    </w:p>
    <w:p w14:paraId="33D2979C" w14:textId="77777777" w:rsidR="001C08A5" w:rsidRDefault="001C08A5">
      <w:pPr>
        <w:ind w:firstLine="720"/>
        <w:jc w:val="both"/>
        <w:rPr>
          <w:rFonts w:eastAsia="Times New Roman"/>
          <w:i/>
          <w:sz w:val="24"/>
          <w:szCs w:val="24"/>
        </w:rPr>
      </w:pPr>
    </w:p>
    <w:p w14:paraId="310EFB96"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Trebuie prevăzut un mijloc de comunicare/ alarmare, pentru ca persoanele cu dizabilități să apeleze pentru asistență în caz de urgență de incendiu. Mijloacele de comunicare trebuie:</w:t>
      </w:r>
    </w:p>
    <w:p w14:paraId="26D68103" w14:textId="77777777" w:rsidR="001C08A5" w:rsidRDefault="00000000">
      <w:pPr>
        <w:ind w:left="720" w:firstLine="720"/>
        <w:jc w:val="both"/>
        <w:rPr>
          <w:rFonts w:eastAsia="Times New Roman"/>
          <w:i/>
          <w:sz w:val="24"/>
          <w:szCs w:val="24"/>
        </w:rPr>
      </w:pPr>
      <w:r>
        <w:rPr>
          <w:rFonts w:eastAsia="Times New Roman"/>
          <w:i/>
          <w:sz w:val="24"/>
          <w:szCs w:val="24"/>
        </w:rPr>
        <w:t>a.</w:t>
      </w:r>
      <w:r>
        <w:rPr>
          <w:rFonts w:eastAsia="Times New Roman"/>
          <w:i/>
          <w:sz w:val="24"/>
          <w:szCs w:val="24"/>
        </w:rPr>
        <w:tab/>
        <w:t xml:space="preserve">să fie situate între </w:t>
      </w:r>
      <w:r>
        <w:rPr>
          <w:rFonts w:eastAsia="Times New Roman"/>
          <w:b/>
          <w:bCs/>
          <w:i/>
          <w:sz w:val="24"/>
          <w:szCs w:val="24"/>
        </w:rPr>
        <w:t>80</w:t>
      </w:r>
      <w:r>
        <w:rPr>
          <w:rFonts w:eastAsia="Times New Roman"/>
          <w:i/>
          <w:sz w:val="24"/>
          <w:szCs w:val="24"/>
        </w:rPr>
        <w:t xml:space="preserve"> cm și </w:t>
      </w:r>
      <w:r>
        <w:rPr>
          <w:rFonts w:eastAsia="Times New Roman"/>
          <w:b/>
          <w:bCs/>
          <w:i/>
          <w:sz w:val="24"/>
          <w:szCs w:val="24"/>
        </w:rPr>
        <w:t>1,20</w:t>
      </w:r>
      <w:r>
        <w:rPr>
          <w:rFonts w:eastAsia="Times New Roman"/>
          <w:i/>
          <w:sz w:val="24"/>
          <w:szCs w:val="24"/>
        </w:rPr>
        <w:t xml:space="preserve"> m deasupra nivelului finit al pardoselii;</w:t>
      </w:r>
    </w:p>
    <w:p w14:paraId="0E200990" w14:textId="77777777" w:rsidR="001C08A5" w:rsidRDefault="00000000">
      <w:pPr>
        <w:ind w:left="720" w:firstLine="720"/>
        <w:jc w:val="both"/>
        <w:rPr>
          <w:rFonts w:eastAsia="Times New Roman"/>
          <w:i/>
          <w:sz w:val="24"/>
          <w:szCs w:val="24"/>
        </w:rPr>
      </w:pPr>
      <w:r>
        <w:rPr>
          <w:rFonts w:eastAsia="Times New Roman"/>
          <w:i/>
          <w:sz w:val="24"/>
          <w:szCs w:val="24"/>
        </w:rPr>
        <w:t>b.</w:t>
      </w:r>
      <w:r>
        <w:rPr>
          <w:rFonts w:eastAsia="Times New Roman"/>
          <w:i/>
          <w:sz w:val="24"/>
          <w:szCs w:val="24"/>
        </w:rPr>
        <w:tab/>
        <w:t>să fie etichetate corespunzător;</w:t>
      </w:r>
    </w:p>
    <w:p w14:paraId="7E1B9900" w14:textId="77777777" w:rsidR="001C08A5" w:rsidRDefault="00000000">
      <w:pPr>
        <w:ind w:left="720" w:firstLine="720"/>
        <w:jc w:val="both"/>
        <w:rPr>
          <w:rFonts w:eastAsia="Times New Roman"/>
          <w:i/>
          <w:sz w:val="24"/>
          <w:szCs w:val="24"/>
        </w:rPr>
      </w:pPr>
      <w:r>
        <w:rPr>
          <w:rFonts w:eastAsia="Times New Roman"/>
          <w:i/>
          <w:sz w:val="24"/>
          <w:szCs w:val="24"/>
        </w:rPr>
        <w:lastRenderedPageBreak/>
        <w:t>c.</w:t>
      </w:r>
      <w:r>
        <w:rPr>
          <w:rFonts w:eastAsia="Times New Roman"/>
          <w:i/>
          <w:sz w:val="24"/>
          <w:szCs w:val="24"/>
        </w:rPr>
        <w:tab/>
        <w:t>să fie prevăzute cu un semn de instrucțiuni clar afișat în mod vizibil asupra funcționării; și</w:t>
      </w:r>
    </w:p>
    <w:p w14:paraId="03C97DFB" w14:textId="77777777" w:rsidR="001C08A5" w:rsidRDefault="00000000">
      <w:pPr>
        <w:ind w:left="720" w:firstLine="720"/>
        <w:jc w:val="both"/>
        <w:rPr>
          <w:rFonts w:eastAsia="Times New Roman"/>
          <w:i/>
          <w:sz w:val="24"/>
          <w:szCs w:val="24"/>
        </w:rPr>
      </w:pPr>
      <w:r>
        <w:rPr>
          <w:rFonts w:eastAsia="Times New Roman"/>
          <w:i/>
          <w:sz w:val="24"/>
          <w:szCs w:val="24"/>
        </w:rPr>
        <w:t>d.</w:t>
      </w:r>
      <w:r>
        <w:rPr>
          <w:rFonts w:eastAsia="Times New Roman"/>
          <w:i/>
          <w:sz w:val="24"/>
          <w:szCs w:val="24"/>
        </w:rPr>
        <w:tab/>
        <w:t>să genereze o indicație vizuală clară pentru a indica faptul că semnalul de primejdie a fost transmis.</w:t>
      </w:r>
    </w:p>
    <w:p w14:paraId="63F2A5BA" w14:textId="77777777" w:rsidR="001C08A5" w:rsidRDefault="00000000">
      <w:pPr>
        <w:pStyle w:val="Heading5"/>
        <w:rPr>
          <w:sz w:val="24"/>
          <w:szCs w:val="24"/>
          <w:lang w:val="ro-RO"/>
        </w:rPr>
      </w:pPr>
      <w:bookmarkStart w:id="8899" w:name="_Toc162355465"/>
      <w:bookmarkStart w:id="8900" w:name="_Toc9275"/>
      <w:bookmarkStart w:id="8901" w:name="_Toc7854"/>
      <w:bookmarkStart w:id="8902" w:name="_Toc11219"/>
      <w:bookmarkStart w:id="8903" w:name="_Toc25315"/>
      <w:bookmarkStart w:id="8904" w:name="_Toc13553"/>
      <w:bookmarkStart w:id="8905" w:name="_Toc29303"/>
      <w:bookmarkStart w:id="8906" w:name="_Toc16724"/>
      <w:bookmarkStart w:id="8907" w:name="_Toc2148"/>
      <w:bookmarkStart w:id="8908" w:name="_Toc31353"/>
      <w:bookmarkStart w:id="8909" w:name="_Toc12774"/>
      <w:bookmarkStart w:id="8910" w:name="_Toc6248"/>
      <w:bookmarkStart w:id="8911" w:name="_Toc28015"/>
      <w:bookmarkStart w:id="8912" w:name="_Toc19125"/>
      <w:bookmarkStart w:id="8913" w:name="_Toc28829"/>
      <w:bookmarkStart w:id="8914" w:name="_Toc14846"/>
      <w:bookmarkStart w:id="8915" w:name="_Toc27443"/>
      <w:r>
        <w:rPr>
          <w:sz w:val="24"/>
          <w:szCs w:val="24"/>
          <w:lang w:val="ro-RO"/>
        </w:rPr>
        <w:t>Cerințe suplimentare a punctelor de staționare a persoanelor cu dizabilități</w:t>
      </w:r>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p>
    <w:p w14:paraId="6ECCBC77" w14:textId="77777777" w:rsidR="001C08A5" w:rsidRDefault="001C08A5">
      <w:pPr>
        <w:jc w:val="both"/>
        <w:rPr>
          <w:rFonts w:eastAsia="Times New Roman"/>
          <w:i/>
          <w:sz w:val="24"/>
          <w:szCs w:val="24"/>
        </w:rPr>
      </w:pPr>
    </w:p>
    <w:p w14:paraId="3F6710A6"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Un punct de staționare a persoanelor cu dizabilități trebuie să fie dimensionat corespunzător, astfel încât să poată oferi spațiu unui utilizator de scaun cu rotile și să permită utilizatorului să manevreze cu ușurință scaunul cu rotile. </w:t>
      </w:r>
    </w:p>
    <w:p w14:paraId="6FF68E0A" w14:textId="77777777" w:rsidR="001C08A5" w:rsidRDefault="001C08A5">
      <w:pPr>
        <w:numPr>
          <w:ilvl w:val="255"/>
          <w:numId w:val="0"/>
        </w:numPr>
        <w:tabs>
          <w:tab w:val="left" w:pos="426"/>
          <w:tab w:val="left" w:pos="993"/>
        </w:tabs>
        <w:jc w:val="both"/>
        <w:rPr>
          <w:rFonts w:eastAsia="Times New Roman"/>
          <w:b/>
          <w:i/>
          <w:sz w:val="24"/>
        </w:rPr>
      </w:pPr>
    </w:p>
    <w:p w14:paraId="60B3F863"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Punctul de staționare a persoanelor cu dizabilități trebuie îndeplinească cumulativ următoarele cerințe: </w:t>
      </w:r>
    </w:p>
    <w:p w14:paraId="734CD763" w14:textId="77777777" w:rsidR="001C08A5" w:rsidRDefault="00000000">
      <w:pPr>
        <w:ind w:left="720" w:firstLine="720"/>
        <w:jc w:val="both"/>
        <w:rPr>
          <w:rFonts w:eastAsia="Times New Roman"/>
          <w:i/>
          <w:sz w:val="24"/>
          <w:szCs w:val="24"/>
        </w:rPr>
      </w:pPr>
      <w:r>
        <w:rPr>
          <w:rFonts w:eastAsia="Times New Roman"/>
          <w:i/>
          <w:sz w:val="24"/>
          <w:szCs w:val="24"/>
        </w:rPr>
        <w:t>a.</w:t>
      </w:r>
      <w:r>
        <w:rPr>
          <w:rFonts w:eastAsia="Times New Roman"/>
          <w:i/>
          <w:sz w:val="24"/>
          <w:szCs w:val="24"/>
        </w:rPr>
        <w:tab/>
        <w:t xml:space="preserve">spațiul prevăzut pentru un scaun cu rotile într-un punct de staționare a persoanelor cu dizabilități trebuie să fie de cel puțin </w:t>
      </w:r>
      <w:r>
        <w:rPr>
          <w:rFonts w:eastAsia="Times New Roman"/>
          <w:b/>
          <w:bCs/>
          <w:i/>
          <w:sz w:val="24"/>
          <w:szCs w:val="24"/>
        </w:rPr>
        <w:t>1,50</w:t>
      </w:r>
      <w:r>
        <w:rPr>
          <w:rFonts w:eastAsia="Times New Roman"/>
          <w:i/>
          <w:sz w:val="24"/>
          <w:szCs w:val="24"/>
        </w:rPr>
        <w:t xml:space="preserve"> m X </w:t>
      </w:r>
      <w:r>
        <w:rPr>
          <w:rFonts w:eastAsia="Times New Roman"/>
          <w:b/>
          <w:bCs/>
          <w:i/>
          <w:sz w:val="24"/>
          <w:szCs w:val="24"/>
        </w:rPr>
        <w:t>1,50</w:t>
      </w:r>
      <w:r>
        <w:rPr>
          <w:rFonts w:eastAsia="Times New Roman"/>
          <w:i/>
          <w:sz w:val="24"/>
          <w:szCs w:val="24"/>
        </w:rPr>
        <w:t xml:space="preserve"> m pentru a permite manevrarea scaunului cu rotile;</w:t>
      </w:r>
    </w:p>
    <w:p w14:paraId="65EFE09B" w14:textId="77777777" w:rsidR="001C08A5" w:rsidRDefault="00000000">
      <w:pPr>
        <w:ind w:left="720" w:firstLine="720"/>
        <w:jc w:val="both"/>
        <w:rPr>
          <w:rFonts w:eastAsia="Times New Roman"/>
          <w:i/>
          <w:sz w:val="24"/>
          <w:szCs w:val="24"/>
        </w:rPr>
      </w:pPr>
      <w:r>
        <w:rPr>
          <w:rFonts w:eastAsia="Times New Roman"/>
          <w:i/>
          <w:sz w:val="24"/>
          <w:szCs w:val="24"/>
        </w:rPr>
        <w:t>b.</w:t>
      </w:r>
      <w:r>
        <w:rPr>
          <w:rFonts w:eastAsia="Times New Roman"/>
          <w:i/>
          <w:sz w:val="24"/>
          <w:szCs w:val="24"/>
        </w:rPr>
        <w:tab/>
        <w:t xml:space="preserve">în cazul în care un punct de staționare a persoanelor cu dizabilități este amplasat în interiorul unei scări de evacuare protejate, a unei încăperi tampon prevăzută cu suprapresiune sau a unei încăperi tampon ventilată în suprapresiune a ascensorului de intervenție sau a ascensorului prevăzut </w:t>
      </w:r>
      <w:r>
        <w:rPr>
          <w:i/>
          <w:sz w:val="24"/>
          <w:szCs w:val="24"/>
        </w:rPr>
        <w:t>pentru transportul persoanelor cu căruciorul sau a persoanelor cu dizabilităţi care pot fi utilizate şi pentru evacuarea asistată a acestora în caz de incendiu</w:t>
      </w:r>
      <w:r>
        <w:rPr>
          <w:rFonts w:eastAsia="Times New Roman"/>
          <w:i/>
          <w:sz w:val="24"/>
          <w:szCs w:val="24"/>
        </w:rPr>
        <w:t>, spațiul pentru scaunul cu rotile nu va micșora dimensiunile rezultate prin calculul necesar evacuării sau intervenției ale acestor spații și accesul persoanelor în scaunul cu rotile  nu trebuie să obstrucționeze fluxul de evacuare; și</w:t>
      </w:r>
    </w:p>
    <w:p w14:paraId="3E888D06" w14:textId="77777777" w:rsidR="001C08A5" w:rsidRDefault="00000000">
      <w:pPr>
        <w:ind w:left="720" w:firstLine="720"/>
        <w:jc w:val="both"/>
        <w:rPr>
          <w:rFonts w:eastAsia="Times New Roman"/>
          <w:i/>
          <w:sz w:val="24"/>
          <w:szCs w:val="24"/>
        </w:rPr>
      </w:pPr>
      <w:r>
        <w:rPr>
          <w:rFonts w:eastAsia="Times New Roman"/>
          <w:i/>
          <w:sz w:val="24"/>
          <w:szCs w:val="24"/>
        </w:rPr>
        <w:t>c.</w:t>
      </w:r>
      <w:r>
        <w:rPr>
          <w:rFonts w:eastAsia="Times New Roman"/>
          <w:i/>
          <w:sz w:val="24"/>
          <w:szCs w:val="24"/>
        </w:rPr>
        <w:tab/>
        <w:t>Punctul de staționare a persoanelor cu dizabilități trebuie marcat la sol cu un simbol al scaunului cu rotile în alb pe fundal contrastant, cu un contur dreptunghiular vizibil (de obicei alb) punctat.</w:t>
      </w:r>
    </w:p>
    <w:p w14:paraId="1796FC8B" w14:textId="77777777" w:rsidR="001C08A5" w:rsidRDefault="001C08A5">
      <w:pPr>
        <w:jc w:val="both"/>
        <w:rPr>
          <w:rFonts w:eastAsia="Times New Roman"/>
          <w:i/>
          <w:sz w:val="24"/>
          <w:szCs w:val="24"/>
        </w:rPr>
      </w:pPr>
    </w:p>
    <w:p w14:paraId="1663206A"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Un punct de staționare a persoanelor cu dizabilități trebuie să fie închis cu o construcție rezistentă la foc conform prevederilor normate (pereți și planșee rezistente la foc ale scărilor, coridoarelor ventilate în suprapresiune, încăperilor tampon ventilate în suprapresiune sau a altor încăperi ventilate în suprapresiune, cu excepția pereților exteriori ai unei clădiri care trebuie să indeplinească doar condițiile normate proprii) și trebuie deservit direct de o cale de evacuare către o ieșire din etaj, scară, ascensor utilizat și pentru evacuare sau ieșire finală la parter.</w:t>
      </w:r>
    </w:p>
    <w:p w14:paraId="73DF33A8" w14:textId="77777777" w:rsidR="001C08A5" w:rsidRDefault="001C08A5">
      <w:pPr>
        <w:jc w:val="both"/>
        <w:rPr>
          <w:rFonts w:eastAsia="Times New Roman"/>
          <w:i/>
          <w:sz w:val="24"/>
          <w:szCs w:val="24"/>
        </w:rPr>
      </w:pPr>
    </w:p>
    <w:p w14:paraId="54CDBA3A"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Balustradele din ochiul interior al unei scări de evacuare protejate trebuie să fie continue.</w:t>
      </w:r>
    </w:p>
    <w:p w14:paraId="736E2932" w14:textId="77777777" w:rsidR="001C08A5" w:rsidRDefault="001C08A5">
      <w:pPr>
        <w:jc w:val="both"/>
        <w:rPr>
          <w:rFonts w:eastAsia="Times New Roman"/>
          <w:i/>
          <w:sz w:val="24"/>
          <w:szCs w:val="24"/>
        </w:rPr>
      </w:pPr>
    </w:p>
    <w:p w14:paraId="642F531B"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Un ascensor dedicat pentru utilizatorii de scaun cu rotile (prevăzut </w:t>
      </w:r>
      <w:r>
        <w:rPr>
          <w:i/>
          <w:sz w:val="24"/>
          <w:szCs w:val="24"/>
        </w:rPr>
        <w:t>pentru transportul persoanelor cu căruciorul sau a persoanelor cu dizabilităţi care poate fi utilizat şi pentru evacuarea asistată a acestora în caz de incendiu)</w:t>
      </w:r>
      <w:r>
        <w:rPr>
          <w:rFonts w:eastAsia="Times New Roman"/>
          <w:i/>
          <w:sz w:val="24"/>
        </w:rPr>
        <w:t>, acolo unde este instalat, trebuie amplasat conform prevederilor normate. Un astfel de ascensor, atunci când se află în poziția de funcționare, nu trebuie să micșoreze dimensiunile normate ale căii de evacuare a utilizatorilor clădirii.</w:t>
      </w:r>
    </w:p>
    <w:p w14:paraId="06941B0A" w14:textId="77777777" w:rsidR="001C08A5" w:rsidRDefault="001C08A5">
      <w:pPr>
        <w:numPr>
          <w:ilvl w:val="255"/>
          <w:numId w:val="0"/>
        </w:numPr>
        <w:tabs>
          <w:tab w:val="left" w:pos="426"/>
          <w:tab w:val="left" w:pos="993"/>
        </w:tabs>
        <w:jc w:val="both"/>
        <w:rPr>
          <w:rFonts w:eastAsia="Times New Roman"/>
          <w:b/>
          <w:i/>
          <w:sz w:val="24"/>
        </w:rPr>
      </w:pPr>
    </w:p>
    <w:p w14:paraId="7ADDF525"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Rampele de ieșire interioare și exterioare pot fi utilizate ca ieșiri de evacuare în locul scărilor de evacuare interioare și exterioare sau a ascensoarelor folosite și pentru evacuarea persoanelor cu dizabilități, dacă respectă prevederile normativelor specifice și rampele interioare au performanța echivalentă acestora.</w:t>
      </w:r>
    </w:p>
    <w:p w14:paraId="30127438"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498156AE" wp14:editId="01E71EFE">
            <wp:extent cx="2513965" cy="1722755"/>
            <wp:effectExtent l="0" t="0" r="635" b="10795"/>
            <wp:docPr id="4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9"/>
                    <pic:cNvPicPr>
                      <a:picLocks noChangeAspect="1"/>
                    </pic:cNvPicPr>
                  </pic:nvPicPr>
                  <pic:blipFill>
                    <a:blip r:embed="rId444"/>
                    <a:srcRect l="14552" t="28944" r="52165" b="26740"/>
                    <a:stretch>
                      <a:fillRect/>
                    </a:stretch>
                  </pic:blipFill>
                  <pic:spPr>
                    <a:xfrm>
                      <a:off x="0" y="0"/>
                      <a:ext cx="2513965" cy="1722755"/>
                    </a:xfrm>
                    <a:prstGeom prst="rect">
                      <a:avLst/>
                    </a:prstGeom>
                    <a:noFill/>
                    <a:ln>
                      <a:noFill/>
                    </a:ln>
                  </pic:spPr>
                </pic:pic>
              </a:graphicData>
            </a:graphic>
          </wp:inline>
        </w:drawing>
      </w:r>
    </w:p>
    <w:p w14:paraId="4F0151D9" w14:textId="77777777" w:rsidR="001C08A5" w:rsidRDefault="00000000">
      <w:pPr>
        <w:pStyle w:val="Caption"/>
        <w:jc w:val="center"/>
      </w:pPr>
      <w:bookmarkStart w:id="8916" w:name="_Toc162360447"/>
      <w:r>
        <w:t xml:space="preserve">Figura </w:t>
      </w:r>
      <w:r>
        <w:fldChar w:fldCharType="begin"/>
      </w:r>
      <w:r>
        <w:instrText xml:space="preserve"> SEQ Figura \* ARABIC </w:instrText>
      </w:r>
      <w:r>
        <w:fldChar w:fldCharType="separate"/>
      </w:r>
      <w:r>
        <w:t>223</w:t>
      </w:r>
      <w:r>
        <w:fldChar w:fldCharType="end"/>
      </w:r>
      <w:bookmarkStart w:id="8917" w:name="_Toc22851"/>
      <w:bookmarkStart w:id="8918" w:name="_Toc15598"/>
      <w:bookmarkStart w:id="8919" w:name="_Toc24988"/>
      <w:bookmarkStart w:id="8920" w:name="_Toc276"/>
      <w:bookmarkStart w:id="8921" w:name="_Toc24940"/>
      <w:bookmarkStart w:id="8922" w:name="_Toc23970"/>
      <w:bookmarkStart w:id="8923" w:name="_Toc13490"/>
      <w:bookmarkStart w:id="8924" w:name="_Toc5510"/>
      <w:bookmarkStart w:id="8925" w:name="_Toc29780"/>
      <w:r>
        <w:t xml:space="preserve"> - Punct de staționare a persoanelor cu dizabilități</w:t>
      </w:r>
      <w:bookmarkEnd w:id="8916"/>
      <w:bookmarkEnd w:id="8917"/>
      <w:bookmarkEnd w:id="8918"/>
      <w:bookmarkEnd w:id="8919"/>
      <w:bookmarkEnd w:id="8920"/>
      <w:bookmarkEnd w:id="8921"/>
      <w:bookmarkEnd w:id="8922"/>
      <w:bookmarkEnd w:id="8923"/>
      <w:bookmarkEnd w:id="8924"/>
      <w:bookmarkEnd w:id="8925"/>
    </w:p>
    <w:p w14:paraId="00ADD2F1" w14:textId="77777777" w:rsidR="001C08A5" w:rsidRDefault="00000000">
      <w:pPr>
        <w:jc w:val="both"/>
        <w:rPr>
          <w:rFonts w:eastAsia="Times New Roman"/>
          <w:i/>
          <w:sz w:val="22"/>
          <w:szCs w:val="22"/>
        </w:rPr>
      </w:pPr>
      <w:r>
        <w:rPr>
          <w:rFonts w:eastAsia="Times New Roman"/>
          <w:i/>
          <w:sz w:val="22"/>
          <w:szCs w:val="22"/>
        </w:rPr>
        <w:t>Notă: amplasare în incinta unei încăperi tampon ventilată în suprapresiune (la clădirile pentru sănătate supraterane cu înălţimi obişnuite în care evacuarea utilizatorilor în caz de incendiu trebuie efectuată cu targa sau căruciorul, lăţimile libere ale căilor de circulaţie funcţională şi de evacuare, vor fi de minimum 2,20 m** pentru coridoare)</w:t>
      </w:r>
    </w:p>
    <w:p w14:paraId="27822A9D" w14:textId="77777777" w:rsidR="001C08A5" w:rsidRDefault="001C08A5">
      <w:pPr>
        <w:jc w:val="both"/>
        <w:rPr>
          <w:rFonts w:eastAsia="Times New Roman"/>
          <w:i/>
          <w:sz w:val="22"/>
          <w:szCs w:val="22"/>
        </w:rPr>
      </w:pPr>
    </w:p>
    <w:p w14:paraId="47A99251" w14:textId="77777777" w:rsidR="001C08A5" w:rsidRDefault="00000000">
      <w:pPr>
        <w:tabs>
          <w:tab w:val="left" w:pos="426"/>
          <w:tab w:val="left" w:pos="993"/>
        </w:tabs>
        <w:jc w:val="both"/>
        <w:rPr>
          <w:rFonts w:eastAsia="Times New Roman"/>
          <w:b/>
          <w:i/>
          <w:sz w:val="24"/>
        </w:rPr>
      </w:pPr>
      <w:r>
        <w:rPr>
          <w:rFonts w:eastAsia="Times New Roman"/>
          <w:bCs/>
          <w:i/>
          <w:sz w:val="22"/>
          <w:szCs w:val="22"/>
        </w:rPr>
        <w:t xml:space="preserve">Notă generala Figuri 221-223: Latimea libera a coridoarelor va fi: minim 1.20 m în clădirile de utilitate publică. </w:t>
      </w:r>
      <w:r>
        <w:rPr>
          <w:bCs/>
          <w:i/>
          <w:sz w:val="22"/>
          <w:szCs w:val="22"/>
        </w:rPr>
        <w:t>Pentru ca un coridor cu latimea de 1.20 m sa poata fi utilizat de catre o persoana care se deplaseaza in fotoliu rulant fara insotitor vor fi prevazute in mod obligatoriu buzunare de manevra si asteptare cu o latime de 1.80 m si o lungime de 2.00 m, la fiecare 20.00 m. Un coridor cu o latime libera de 1.50 m permite circulația unul pe lângă celalalt a unui utilizator de fotoliu rulant fără însotitor și a unei persoane care se deplasează normal. Pentru ca un coridor cu lațime de 1.50 m să permită deplasarea a două persoane în fotoliu rulant sau a două persoane în carje una pe langă cealaltă, vor fi prevazute buzunare de manevră și așteptare cu lațime de 1.80 m și lungime de 2.00 m, la fiecare 20,00 m. Un coridor cu o lațime liberă de 1.80 m permite circulația unul pe langă celălalt a doi utilizatori ai fotoliului rulant, fără însoțitor. La coridoare înfundate trebuie realizată o lărgire cu dimensiunile de 1.50 m lațime și 2.00 m lungime, pentru crearea spațiului de manevră necesar intoarcerii la 180</w:t>
      </w:r>
      <w:r>
        <w:rPr>
          <w:rFonts w:ascii="Arial" w:hAnsi="Arial" w:cs="Arial"/>
          <w:bCs/>
          <w:i/>
          <w:sz w:val="22"/>
          <w:szCs w:val="22"/>
        </w:rPr>
        <w:t>°</w:t>
      </w:r>
      <w:r>
        <w:rPr>
          <w:bCs/>
          <w:i/>
          <w:sz w:val="22"/>
          <w:szCs w:val="22"/>
        </w:rPr>
        <w:t xml:space="preserve"> a fotoliului rulant.</w:t>
      </w:r>
    </w:p>
    <w:p w14:paraId="4F5F0521" w14:textId="77777777" w:rsidR="001C08A5" w:rsidRDefault="00000000">
      <w:pPr>
        <w:pStyle w:val="Heading4"/>
        <w:rPr>
          <w:sz w:val="24"/>
          <w:szCs w:val="24"/>
        </w:rPr>
      </w:pPr>
      <w:bookmarkStart w:id="8926" w:name="_Toc7966"/>
      <w:bookmarkStart w:id="8927" w:name="_Toc312"/>
      <w:bookmarkStart w:id="8928" w:name="_Toc13692"/>
      <w:bookmarkStart w:id="8929" w:name="_Toc3259"/>
      <w:bookmarkStart w:id="8930" w:name="_Toc6323"/>
      <w:bookmarkStart w:id="8931" w:name="_Toc29521"/>
      <w:bookmarkStart w:id="8932" w:name="_Toc13922"/>
      <w:bookmarkStart w:id="8933" w:name="_Toc20507"/>
      <w:bookmarkStart w:id="8934" w:name="_Toc10652"/>
      <w:bookmarkStart w:id="8935" w:name="_Toc6923"/>
      <w:bookmarkStart w:id="8936" w:name="_Toc16631"/>
      <w:bookmarkStart w:id="8937" w:name="_Toc25107"/>
      <w:bookmarkStart w:id="8938" w:name="_Toc12235"/>
      <w:bookmarkStart w:id="8939" w:name="_Toc27893"/>
      <w:bookmarkStart w:id="8940" w:name="_Toc162355466"/>
      <w:bookmarkStart w:id="8941" w:name="_Toc9301"/>
      <w:r>
        <w:rPr>
          <w:sz w:val="24"/>
          <w:szCs w:val="24"/>
        </w:rPr>
        <w:t>Zona de refugiu - caz general</w:t>
      </w:r>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p>
    <w:p w14:paraId="0B54A11A"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Punctele de staționare a persoanelor cu dizabilități pot fi situate în incinta:</w:t>
      </w:r>
    </w:p>
    <w:p w14:paraId="48B51B51" w14:textId="77777777" w:rsidR="001C08A5" w:rsidRDefault="00000000">
      <w:pPr>
        <w:numPr>
          <w:ilvl w:val="255"/>
          <w:numId w:val="0"/>
        </w:numPr>
        <w:ind w:left="720" w:firstLine="720"/>
        <w:jc w:val="both"/>
        <w:rPr>
          <w:rFonts w:eastAsia="Times New Roman"/>
          <w:i/>
          <w:sz w:val="24"/>
          <w:szCs w:val="24"/>
        </w:rPr>
      </w:pPr>
      <w:r>
        <w:rPr>
          <w:rFonts w:eastAsia="Times New Roman"/>
          <w:i/>
          <w:sz w:val="24"/>
          <w:szCs w:val="24"/>
        </w:rPr>
        <w:t>- caselor de scară</w:t>
      </w:r>
    </w:p>
    <w:p w14:paraId="66E5C718" w14:textId="77777777" w:rsidR="001C08A5" w:rsidRDefault="00000000">
      <w:pPr>
        <w:numPr>
          <w:ilvl w:val="255"/>
          <w:numId w:val="0"/>
        </w:numPr>
        <w:ind w:left="720" w:firstLine="720"/>
        <w:jc w:val="both"/>
        <w:rPr>
          <w:rFonts w:eastAsia="Times New Roman"/>
          <w:i/>
          <w:sz w:val="24"/>
          <w:szCs w:val="24"/>
        </w:rPr>
      </w:pPr>
      <w:r>
        <w:rPr>
          <w:rFonts w:eastAsia="Times New Roman"/>
          <w:i/>
          <w:sz w:val="24"/>
          <w:szCs w:val="24"/>
        </w:rPr>
        <w:t>- încaperilor tampon protejate</w:t>
      </w:r>
    </w:p>
    <w:p w14:paraId="1813C74D" w14:textId="77777777" w:rsidR="001C08A5" w:rsidRDefault="00000000">
      <w:pPr>
        <w:numPr>
          <w:ilvl w:val="255"/>
          <w:numId w:val="0"/>
        </w:numPr>
        <w:ind w:left="720" w:firstLine="720"/>
        <w:jc w:val="both"/>
        <w:rPr>
          <w:rFonts w:eastAsia="Times New Roman"/>
          <w:i/>
          <w:sz w:val="24"/>
          <w:szCs w:val="24"/>
        </w:rPr>
      </w:pPr>
      <w:r>
        <w:rPr>
          <w:rFonts w:eastAsia="Times New Roman"/>
          <w:i/>
          <w:sz w:val="24"/>
          <w:szCs w:val="24"/>
        </w:rPr>
        <w:t>- degajamentelor protejate</w:t>
      </w:r>
    </w:p>
    <w:p w14:paraId="49D197CF" w14:textId="77777777" w:rsidR="001C08A5" w:rsidRDefault="00000000">
      <w:pPr>
        <w:ind w:left="720" w:firstLine="720"/>
        <w:jc w:val="both"/>
        <w:rPr>
          <w:rFonts w:eastAsia="Times New Roman"/>
          <w:i/>
          <w:sz w:val="24"/>
          <w:szCs w:val="24"/>
        </w:rPr>
      </w:pPr>
      <w:r>
        <w:rPr>
          <w:rFonts w:eastAsia="Times New Roman"/>
          <w:i/>
          <w:sz w:val="24"/>
          <w:szCs w:val="24"/>
        </w:rPr>
        <w:t>- coridoarelor/holurilor protejate impotriva fumului</w:t>
      </w:r>
    </w:p>
    <w:p w14:paraId="08B9BAF1" w14:textId="77777777" w:rsidR="001C08A5" w:rsidRDefault="00000000">
      <w:pPr>
        <w:ind w:left="720" w:firstLine="720"/>
        <w:jc w:val="both"/>
        <w:rPr>
          <w:rFonts w:eastAsia="Times New Roman"/>
          <w:i/>
          <w:sz w:val="24"/>
          <w:szCs w:val="24"/>
        </w:rPr>
      </w:pPr>
      <w:r>
        <w:rPr>
          <w:rFonts w:eastAsia="Times New Roman"/>
          <w:i/>
          <w:sz w:val="24"/>
          <w:szCs w:val="24"/>
        </w:rPr>
        <w:t>- circulațiilor comune a unui compartiment adiacent cu care comunică</w:t>
      </w:r>
    </w:p>
    <w:p w14:paraId="584561C0" w14:textId="77777777" w:rsidR="001C08A5" w:rsidRDefault="00000000">
      <w:pPr>
        <w:jc w:val="both"/>
        <w:rPr>
          <w:rFonts w:eastAsia="Times New Roman"/>
          <w:i/>
          <w:sz w:val="24"/>
          <w:szCs w:val="24"/>
        </w:rPr>
      </w:pPr>
      <w:r>
        <w:rPr>
          <w:rFonts w:eastAsia="Times New Roman"/>
          <w:i/>
          <w:sz w:val="24"/>
          <w:szCs w:val="24"/>
        </w:rPr>
        <w:t xml:space="preserve">Nota. Prin realizarea punctelor de staționare pentru persoanele cu dizabilități se va avea în vedere sa nu se îngusteze lățimea normată a căii de evacuare. Fiecare punct de staționare va trebui sa asigure dimensiunile de </w:t>
      </w:r>
      <w:r>
        <w:rPr>
          <w:rFonts w:eastAsia="Times New Roman"/>
          <w:b/>
          <w:bCs/>
          <w:i/>
          <w:sz w:val="24"/>
          <w:szCs w:val="24"/>
        </w:rPr>
        <w:t>1,50m x 1,50m</w:t>
      </w:r>
      <w:r>
        <w:rPr>
          <w:rFonts w:eastAsia="Times New Roman"/>
          <w:i/>
          <w:sz w:val="24"/>
          <w:szCs w:val="24"/>
        </w:rPr>
        <w:t>.</w:t>
      </w:r>
    </w:p>
    <w:p w14:paraId="78C3F769" w14:textId="77777777" w:rsidR="001C08A5" w:rsidRDefault="001C08A5">
      <w:pPr>
        <w:numPr>
          <w:ilvl w:val="255"/>
          <w:numId w:val="0"/>
        </w:numPr>
        <w:tabs>
          <w:tab w:val="left" w:pos="426"/>
          <w:tab w:val="left" w:pos="993"/>
        </w:tabs>
        <w:jc w:val="both"/>
        <w:rPr>
          <w:rFonts w:eastAsia="Times New Roman"/>
          <w:i/>
          <w:sz w:val="24"/>
        </w:rPr>
      </w:pPr>
    </w:p>
    <w:p w14:paraId="10F7703B"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Zona de refugiu (în cazul în care la clădiri existente, cu excepția funcțiunii de sănătate, nu se prevăd puncte de staționare a persoanelor cu dizabilități) poate fi:</w:t>
      </w:r>
    </w:p>
    <w:p w14:paraId="7F994F49" w14:textId="77777777" w:rsidR="001C08A5" w:rsidRDefault="00000000">
      <w:pPr>
        <w:numPr>
          <w:ilvl w:val="255"/>
          <w:numId w:val="0"/>
        </w:numPr>
        <w:tabs>
          <w:tab w:val="left" w:pos="426"/>
          <w:tab w:val="left" w:pos="993"/>
        </w:tabs>
        <w:ind w:left="720" w:firstLine="720"/>
        <w:jc w:val="both"/>
        <w:rPr>
          <w:rFonts w:eastAsia="Times New Roman"/>
          <w:i/>
          <w:sz w:val="24"/>
        </w:rPr>
      </w:pPr>
      <w:r>
        <w:rPr>
          <w:rFonts w:eastAsia="Times New Roman"/>
          <w:i/>
          <w:sz w:val="24"/>
        </w:rPr>
        <w:t xml:space="preserve">- o încăpere din interiorul unei clădiri (în cadrul aceluiași compartiment de incendiu) sau </w:t>
      </w:r>
    </w:p>
    <w:p w14:paraId="3783AB24" w14:textId="77777777" w:rsidR="001C08A5" w:rsidRDefault="00000000">
      <w:pPr>
        <w:numPr>
          <w:ilvl w:val="255"/>
          <w:numId w:val="0"/>
        </w:numPr>
        <w:tabs>
          <w:tab w:val="left" w:pos="426"/>
          <w:tab w:val="left" w:pos="993"/>
        </w:tabs>
        <w:ind w:left="720" w:firstLine="720"/>
        <w:jc w:val="both"/>
        <w:rPr>
          <w:rFonts w:eastAsia="Times New Roman"/>
          <w:i/>
          <w:sz w:val="24"/>
        </w:rPr>
      </w:pPr>
      <w:r>
        <w:rPr>
          <w:rFonts w:eastAsia="Times New Roman"/>
          <w:i/>
          <w:sz w:val="24"/>
        </w:rPr>
        <w:t xml:space="preserve">- o zonă din interiorul unei alte clădiri aparținând aceluiași compartiment de incendiu sau </w:t>
      </w:r>
    </w:p>
    <w:p w14:paraId="5149553A" w14:textId="77777777" w:rsidR="001C08A5" w:rsidRDefault="00000000">
      <w:pPr>
        <w:numPr>
          <w:ilvl w:val="255"/>
          <w:numId w:val="0"/>
        </w:numPr>
        <w:tabs>
          <w:tab w:val="left" w:pos="426"/>
          <w:tab w:val="left" w:pos="993"/>
        </w:tabs>
        <w:ind w:left="720" w:firstLine="720"/>
        <w:jc w:val="both"/>
        <w:rPr>
          <w:rFonts w:eastAsia="Times New Roman"/>
          <w:i/>
          <w:sz w:val="24"/>
        </w:rPr>
      </w:pPr>
      <w:r>
        <w:rPr>
          <w:rFonts w:eastAsia="Times New Roman"/>
          <w:i/>
          <w:sz w:val="24"/>
        </w:rPr>
        <w:t>- o zonă (determinată ca și încăpere distinctă sau nu) din interiorul unui compartiment distinct de incendiu alăturat.</w:t>
      </w:r>
    </w:p>
    <w:p w14:paraId="0557610C" w14:textId="77777777" w:rsidR="001C08A5" w:rsidRDefault="00000000">
      <w:pPr>
        <w:pStyle w:val="BodyText"/>
        <w:jc w:val="center"/>
        <w:rPr>
          <w:rFonts w:eastAsia="Times New Roman"/>
          <w:b w:val="0"/>
          <w:bCs w:val="0"/>
        </w:rPr>
      </w:pPr>
      <w:r>
        <w:rPr>
          <w:noProof/>
        </w:rPr>
        <w:lastRenderedPageBreak/>
        <w:drawing>
          <wp:inline distT="0" distB="0" distL="114300" distR="114300" wp14:anchorId="1A9C9838" wp14:editId="04885AB1">
            <wp:extent cx="4333875" cy="1970405"/>
            <wp:effectExtent l="0" t="0" r="9525" b="10795"/>
            <wp:docPr id="59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60"/>
                    <pic:cNvPicPr>
                      <a:picLocks noChangeAspect="1"/>
                    </pic:cNvPicPr>
                  </pic:nvPicPr>
                  <pic:blipFill>
                    <a:blip r:embed="rId445"/>
                    <a:srcRect l="24657" t="20230" r="17927" b="32141"/>
                    <a:stretch>
                      <a:fillRect/>
                    </a:stretch>
                  </pic:blipFill>
                  <pic:spPr>
                    <a:xfrm>
                      <a:off x="0" y="0"/>
                      <a:ext cx="4333875" cy="1970405"/>
                    </a:xfrm>
                    <a:prstGeom prst="rect">
                      <a:avLst/>
                    </a:prstGeom>
                    <a:noFill/>
                    <a:ln>
                      <a:noFill/>
                    </a:ln>
                  </pic:spPr>
                </pic:pic>
              </a:graphicData>
            </a:graphic>
          </wp:inline>
        </w:drawing>
      </w:r>
    </w:p>
    <w:p w14:paraId="0432CE13" w14:textId="77777777" w:rsidR="001C08A5" w:rsidRDefault="00000000">
      <w:pPr>
        <w:pStyle w:val="Captionfiganexe"/>
        <w:rPr>
          <w:sz w:val="24"/>
        </w:rPr>
      </w:pPr>
      <w:r>
        <w:rPr>
          <w:sz w:val="24"/>
        </w:rPr>
        <w:t>Varianta a) - Coridor 1.20 m prevăzut cu buzunare de așteptare și intoarcere la fiecare 25 m precum și în capetele coridoarelor care reprezintă coridoare înfundate</w:t>
      </w:r>
    </w:p>
    <w:p w14:paraId="2C1851AC" w14:textId="77777777" w:rsidR="001C08A5" w:rsidRDefault="00000000">
      <w:pPr>
        <w:pStyle w:val="BodyText"/>
        <w:jc w:val="center"/>
        <w:rPr>
          <w:rFonts w:eastAsia="Times New Roman"/>
          <w:b w:val="0"/>
          <w:bCs w:val="0"/>
        </w:rPr>
      </w:pPr>
      <w:r>
        <w:rPr>
          <w:noProof/>
        </w:rPr>
        <w:drawing>
          <wp:inline distT="0" distB="0" distL="114300" distR="114300" wp14:anchorId="7E0BE135" wp14:editId="28CBB534">
            <wp:extent cx="4362450" cy="1803400"/>
            <wp:effectExtent l="0" t="0" r="0" b="6350"/>
            <wp:docPr id="59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61"/>
                    <pic:cNvPicPr>
                      <a:picLocks noChangeAspect="1"/>
                    </pic:cNvPicPr>
                  </pic:nvPicPr>
                  <pic:blipFill>
                    <a:blip r:embed="rId446"/>
                    <a:srcRect l="24531" t="36965" r="17675" b="29803"/>
                    <a:stretch>
                      <a:fillRect/>
                    </a:stretch>
                  </pic:blipFill>
                  <pic:spPr>
                    <a:xfrm>
                      <a:off x="0" y="0"/>
                      <a:ext cx="4362450" cy="1803400"/>
                    </a:xfrm>
                    <a:prstGeom prst="rect">
                      <a:avLst/>
                    </a:prstGeom>
                    <a:noFill/>
                    <a:ln>
                      <a:noFill/>
                    </a:ln>
                  </pic:spPr>
                </pic:pic>
              </a:graphicData>
            </a:graphic>
          </wp:inline>
        </w:drawing>
      </w:r>
    </w:p>
    <w:p w14:paraId="3C01F1C0" w14:textId="77777777" w:rsidR="001C08A5" w:rsidRDefault="00000000">
      <w:pPr>
        <w:pStyle w:val="BodyText"/>
        <w:jc w:val="center"/>
        <w:rPr>
          <w:rFonts w:eastAsia="Times New Roman"/>
        </w:rPr>
      </w:pPr>
      <w:r>
        <w:rPr>
          <w:rFonts w:eastAsia="Times New Roman"/>
        </w:rPr>
        <w:t>Varianta b) Coridor - recomandabil doar pentru 1 flux de evacuare cu scaunul rulant (amplasare persoane cu dizabilități pe coridor)</w:t>
      </w:r>
    </w:p>
    <w:p w14:paraId="31A42A6B" w14:textId="77777777" w:rsidR="001C08A5" w:rsidRDefault="00000000">
      <w:pPr>
        <w:pStyle w:val="BodyText"/>
        <w:jc w:val="center"/>
        <w:rPr>
          <w:rFonts w:eastAsia="Times New Roman"/>
          <w:b w:val="0"/>
          <w:bCs w:val="0"/>
        </w:rPr>
      </w:pPr>
      <w:r>
        <w:rPr>
          <w:noProof/>
        </w:rPr>
        <w:drawing>
          <wp:inline distT="0" distB="0" distL="114300" distR="114300" wp14:anchorId="29F3449D" wp14:editId="749C01C4">
            <wp:extent cx="4362450" cy="1656715"/>
            <wp:effectExtent l="0" t="0" r="0" b="635"/>
            <wp:docPr id="59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icture 62"/>
                    <pic:cNvPicPr>
                      <a:picLocks noChangeAspect="1"/>
                    </pic:cNvPicPr>
                  </pic:nvPicPr>
                  <pic:blipFill>
                    <a:blip r:embed="rId447"/>
                    <a:srcRect l="24279" t="34519" r="17927" b="34952"/>
                    <a:stretch>
                      <a:fillRect/>
                    </a:stretch>
                  </pic:blipFill>
                  <pic:spPr>
                    <a:xfrm>
                      <a:off x="0" y="0"/>
                      <a:ext cx="4362450" cy="1656715"/>
                    </a:xfrm>
                    <a:prstGeom prst="rect">
                      <a:avLst/>
                    </a:prstGeom>
                    <a:noFill/>
                    <a:ln>
                      <a:noFill/>
                    </a:ln>
                  </pic:spPr>
                </pic:pic>
              </a:graphicData>
            </a:graphic>
          </wp:inline>
        </w:drawing>
      </w:r>
    </w:p>
    <w:p w14:paraId="01FC1248" w14:textId="77777777" w:rsidR="001C08A5" w:rsidRDefault="00000000">
      <w:pPr>
        <w:pStyle w:val="BodyText"/>
        <w:jc w:val="center"/>
      </w:pPr>
      <w:r>
        <w:rPr>
          <w:rFonts w:eastAsia="Times New Roman"/>
        </w:rPr>
        <w:t>Varianta c) - Coridor - variantă nerecomandată dar posibilă la clădiri existente doar pentru 1 flux de evacuare cu scaunul rulant (amplasare persoane cu dizabilități pe coridor)</w:t>
      </w:r>
    </w:p>
    <w:p w14:paraId="3E560B9B" w14:textId="77777777" w:rsidR="001C08A5" w:rsidRDefault="00000000">
      <w:pPr>
        <w:pStyle w:val="Caption"/>
        <w:numPr>
          <w:ilvl w:val="255"/>
          <w:numId w:val="0"/>
        </w:numPr>
        <w:tabs>
          <w:tab w:val="left" w:pos="426"/>
          <w:tab w:val="left" w:pos="993"/>
        </w:tabs>
        <w:jc w:val="center"/>
        <w:rPr>
          <w:rFonts w:eastAsia="Times New Roman" w:cs="Times New Roman"/>
          <w:bCs/>
        </w:rPr>
      </w:pPr>
      <w:bookmarkStart w:id="8942" w:name="_Toc162360448"/>
      <w:r>
        <w:t xml:space="preserve">Figura </w:t>
      </w:r>
      <w:r>
        <w:fldChar w:fldCharType="begin"/>
      </w:r>
      <w:r>
        <w:instrText xml:space="preserve"> SEQ Figura \* ARABIC </w:instrText>
      </w:r>
      <w:r>
        <w:fldChar w:fldCharType="separate"/>
      </w:r>
      <w:r>
        <w:t>224</w:t>
      </w:r>
      <w:r>
        <w:fldChar w:fldCharType="end"/>
      </w:r>
      <w:bookmarkStart w:id="8943" w:name="_Toc25735"/>
      <w:bookmarkStart w:id="8944" w:name="_Toc10749"/>
      <w:bookmarkStart w:id="8945" w:name="_Toc10102"/>
      <w:bookmarkStart w:id="8946" w:name="_Toc1775"/>
      <w:bookmarkStart w:id="8947" w:name="_Toc308"/>
      <w:bookmarkStart w:id="8948" w:name="_Toc26601"/>
      <w:bookmarkStart w:id="8949" w:name="_Toc6656"/>
      <w:bookmarkStart w:id="8950" w:name="_Toc22419"/>
      <w:bookmarkStart w:id="8951" w:name="_Toc26938"/>
      <w:r>
        <w:t xml:space="preserve"> - </w:t>
      </w:r>
      <w:r>
        <w:rPr>
          <w:rFonts w:eastAsia="Times New Roman" w:cs="Times New Roman"/>
          <w:bCs/>
        </w:rPr>
        <w:t>Zonă de refugiu</w:t>
      </w:r>
      <w:bookmarkEnd w:id="8942"/>
      <w:bookmarkEnd w:id="8943"/>
      <w:bookmarkEnd w:id="8944"/>
      <w:bookmarkEnd w:id="8945"/>
      <w:bookmarkEnd w:id="8946"/>
      <w:bookmarkEnd w:id="8947"/>
      <w:bookmarkEnd w:id="8948"/>
      <w:bookmarkEnd w:id="8949"/>
      <w:bookmarkEnd w:id="8950"/>
      <w:bookmarkEnd w:id="8951"/>
    </w:p>
    <w:p w14:paraId="0607FCAD" w14:textId="77777777" w:rsidR="001C08A5" w:rsidRDefault="001C08A5">
      <w:pPr>
        <w:numPr>
          <w:ilvl w:val="255"/>
          <w:numId w:val="0"/>
        </w:numPr>
        <w:tabs>
          <w:tab w:val="left" w:pos="426"/>
          <w:tab w:val="left" w:pos="993"/>
        </w:tabs>
        <w:jc w:val="center"/>
        <w:rPr>
          <w:rFonts w:eastAsia="Times New Roman"/>
          <w:b/>
          <w:bCs/>
          <w:i/>
          <w:sz w:val="24"/>
        </w:rPr>
      </w:pPr>
    </w:p>
    <w:p w14:paraId="7B752846" w14:textId="77777777" w:rsidR="001C08A5" w:rsidRDefault="00000000">
      <w:pPr>
        <w:numPr>
          <w:ilvl w:val="0"/>
          <w:numId w:val="96"/>
        </w:numPr>
        <w:tabs>
          <w:tab w:val="left" w:pos="426"/>
          <w:tab w:val="left" w:pos="993"/>
        </w:tabs>
        <w:jc w:val="both"/>
        <w:rPr>
          <w:rFonts w:eastAsia="Times New Roman"/>
          <w:bCs/>
          <w:i/>
          <w:sz w:val="24"/>
        </w:rPr>
      </w:pPr>
      <w:r>
        <w:rPr>
          <w:rFonts w:eastAsia="Times New Roman"/>
          <w:i/>
          <w:sz w:val="24"/>
        </w:rPr>
        <w:t>„Zona de refugiu” se referă la o zonă unde persoanele evacuate se pot refugia temporar, zonă la care se ajunge printr-un coridor (protejat sau nu) interior sau coridor exterior sau printr-o încăpere tampon (protejată sau nu).</w:t>
      </w:r>
    </w:p>
    <w:p w14:paraId="589704CE" w14:textId="77777777" w:rsidR="001C08A5" w:rsidRDefault="00000000">
      <w:pPr>
        <w:numPr>
          <w:ilvl w:val="255"/>
          <w:numId w:val="0"/>
        </w:numPr>
        <w:tabs>
          <w:tab w:val="left" w:pos="426"/>
          <w:tab w:val="left" w:pos="993"/>
        </w:tabs>
        <w:jc w:val="both"/>
        <w:rPr>
          <w:rFonts w:eastAsia="Times New Roman"/>
          <w:bCs/>
          <w:i/>
          <w:sz w:val="24"/>
        </w:rPr>
      </w:pPr>
      <w:r>
        <w:rPr>
          <w:rFonts w:eastAsia="Times New Roman"/>
          <w:i/>
          <w:sz w:val="24"/>
        </w:rPr>
        <w:t xml:space="preserve"> </w:t>
      </w:r>
    </w:p>
    <w:p w14:paraId="34A04AF2" w14:textId="77777777" w:rsidR="001C08A5" w:rsidRDefault="00000000">
      <w:pPr>
        <w:numPr>
          <w:ilvl w:val="0"/>
          <w:numId w:val="96"/>
        </w:numPr>
        <w:tabs>
          <w:tab w:val="left" w:pos="426"/>
          <w:tab w:val="left" w:pos="993"/>
        </w:tabs>
        <w:jc w:val="both"/>
        <w:rPr>
          <w:rFonts w:eastAsia="Times New Roman"/>
          <w:bCs/>
          <w:i/>
          <w:sz w:val="24"/>
        </w:rPr>
      </w:pPr>
      <w:r>
        <w:rPr>
          <w:rFonts w:eastAsia="Times New Roman"/>
          <w:bCs/>
          <w:i/>
          <w:sz w:val="24"/>
        </w:rPr>
        <w:t>Atunci când evacuarea către zona de refugiu se realizează într-un singur sens, sunt necesare urmatoarele condiții:</w:t>
      </w:r>
    </w:p>
    <w:p w14:paraId="04680647" w14:textId="77777777" w:rsidR="001C08A5" w:rsidRDefault="00000000">
      <w:pPr>
        <w:ind w:left="720" w:firstLine="720"/>
        <w:jc w:val="both"/>
        <w:rPr>
          <w:rFonts w:eastAsia="Times New Roman"/>
          <w:i/>
          <w:sz w:val="24"/>
          <w:szCs w:val="24"/>
        </w:rPr>
      </w:pPr>
      <w:r>
        <w:rPr>
          <w:rFonts w:eastAsia="Times New Roman"/>
          <w:i/>
          <w:sz w:val="24"/>
          <w:szCs w:val="24"/>
        </w:rPr>
        <w:t>- zona de refugiu are realizat un ascensor pentru evacuare a pesoanelor cu dizabilitati</w:t>
      </w:r>
    </w:p>
    <w:p w14:paraId="25C57589" w14:textId="77777777" w:rsidR="001C08A5" w:rsidRDefault="00000000">
      <w:pPr>
        <w:ind w:left="720" w:firstLine="720"/>
        <w:jc w:val="both"/>
        <w:rPr>
          <w:rFonts w:eastAsia="Times New Roman"/>
          <w:i/>
          <w:sz w:val="24"/>
          <w:szCs w:val="24"/>
        </w:rPr>
      </w:pPr>
      <w:r>
        <w:rPr>
          <w:rFonts w:eastAsia="Times New Roman"/>
          <w:i/>
          <w:sz w:val="24"/>
          <w:szCs w:val="24"/>
        </w:rPr>
        <w:t xml:space="preserve">- există încăpere dedicată pentru refugiu cu urmatoarele caracteristici: pereti </w:t>
      </w:r>
      <w:r>
        <w:rPr>
          <w:rFonts w:eastAsia="Times New Roman"/>
          <w:b/>
          <w:bCs/>
          <w:i/>
          <w:sz w:val="24"/>
          <w:szCs w:val="24"/>
        </w:rPr>
        <w:t>EI180</w:t>
      </w:r>
      <w:r>
        <w:rPr>
          <w:rFonts w:eastAsia="Times New Roman"/>
          <w:i/>
          <w:sz w:val="24"/>
          <w:szCs w:val="24"/>
        </w:rPr>
        <w:t xml:space="preserve">, ușă </w:t>
      </w:r>
      <w:r>
        <w:rPr>
          <w:rFonts w:eastAsia="Times New Roman"/>
          <w:b/>
          <w:bCs/>
          <w:i/>
          <w:sz w:val="24"/>
          <w:szCs w:val="24"/>
        </w:rPr>
        <w:t>EI90-C5S</w:t>
      </w:r>
      <w:r>
        <w:rPr>
          <w:rFonts w:eastAsia="Times New Roman"/>
          <w:b/>
          <w:bCs/>
          <w:i/>
          <w:sz w:val="24"/>
          <w:szCs w:val="24"/>
          <w:vertAlign w:val="subscript"/>
        </w:rPr>
        <w:t>200</w:t>
      </w:r>
    </w:p>
    <w:p w14:paraId="233AD4E6" w14:textId="77777777" w:rsidR="001C08A5" w:rsidRDefault="00000000">
      <w:pPr>
        <w:ind w:left="720" w:firstLine="720"/>
        <w:jc w:val="both"/>
        <w:rPr>
          <w:rFonts w:eastAsia="Times New Roman"/>
          <w:i/>
          <w:sz w:val="24"/>
          <w:szCs w:val="24"/>
        </w:rPr>
      </w:pPr>
      <w:r>
        <w:rPr>
          <w:rFonts w:eastAsia="Times New Roman"/>
          <w:i/>
          <w:sz w:val="24"/>
          <w:szCs w:val="24"/>
        </w:rPr>
        <w:t>Aceasta trebuie poziționată astfel încât să fie cât mai apropiată de casa de scară</w:t>
      </w:r>
    </w:p>
    <w:p w14:paraId="23064403" w14:textId="77777777" w:rsidR="001C08A5" w:rsidRDefault="00000000">
      <w:pPr>
        <w:ind w:left="720" w:firstLine="720"/>
        <w:jc w:val="both"/>
        <w:rPr>
          <w:rFonts w:eastAsia="Times New Roman"/>
          <w:i/>
          <w:sz w:val="24"/>
          <w:szCs w:val="24"/>
        </w:rPr>
      </w:pPr>
      <w:r>
        <w:rPr>
          <w:rFonts w:eastAsia="Times New Roman"/>
          <w:i/>
          <w:sz w:val="24"/>
          <w:szCs w:val="24"/>
        </w:rPr>
        <w:lastRenderedPageBreak/>
        <w:t xml:space="preserve"> - încăperea dedicată pentru refugiu trebuie să poată fi accesibilă din exterior printr-o fereastră cu posibilitatea accesului echipelor de intervenție pentru salvarea persoanelor de la înălțime</w:t>
      </w:r>
    </w:p>
    <w:p w14:paraId="426BF35E" w14:textId="77777777" w:rsidR="001C08A5" w:rsidRDefault="00000000">
      <w:pPr>
        <w:numPr>
          <w:ilvl w:val="255"/>
          <w:numId w:val="0"/>
        </w:numPr>
        <w:ind w:left="720" w:firstLine="720"/>
        <w:jc w:val="both"/>
        <w:rPr>
          <w:rFonts w:eastAsia="Times New Roman"/>
          <w:i/>
          <w:sz w:val="24"/>
          <w:szCs w:val="24"/>
        </w:rPr>
      </w:pPr>
      <w:r>
        <w:rPr>
          <w:rFonts w:eastAsia="Times New Roman"/>
          <w:i/>
          <w:sz w:val="24"/>
          <w:szCs w:val="24"/>
        </w:rPr>
        <w:t xml:space="preserve">- numarul de paturi stabilit se calculează ținându-se cont de </w:t>
      </w:r>
      <w:r>
        <w:rPr>
          <w:rFonts w:eastAsia="Times New Roman"/>
          <w:b/>
          <w:bCs/>
          <w:i/>
          <w:sz w:val="24"/>
          <w:szCs w:val="24"/>
        </w:rPr>
        <w:t>2/3</w:t>
      </w:r>
      <w:r>
        <w:rPr>
          <w:rFonts w:eastAsia="Times New Roman"/>
          <w:i/>
          <w:sz w:val="24"/>
          <w:szCs w:val="24"/>
        </w:rPr>
        <w:t xml:space="preserve"> (două treimi) din numarul total de paturi, iar pentru fiecare pat se va aloca o suprafață de </w:t>
      </w:r>
      <w:r>
        <w:rPr>
          <w:rFonts w:eastAsia="Times New Roman"/>
          <w:b/>
          <w:bCs/>
          <w:i/>
          <w:sz w:val="24"/>
          <w:szCs w:val="24"/>
        </w:rPr>
        <w:t>1m x 2m</w:t>
      </w:r>
      <w:r>
        <w:rPr>
          <w:rFonts w:eastAsia="Times New Roman"/>
          <w:i/>
          <w:sz w:val="24"/>
          <w:szCs w:val="24"/>
        </w:rPr>
        <w:t>.</w:t>
      </w:r>
    </w:p>
    <w:p w14:paraId="4264338A" w14:textId="77777777" w:rsidR="001C08A5" w:rsidRDefault="001C08A5">
      <w:pPr>
        <w:numPr>
          <w:ilvl w:val="255"/>
          <w:numId w:val="0"/>
        </w:numPr>
        <w:tabs>
          <w:tab w:val="left" w:pos="426"/>
          <w:tab w:val="left" w:pos="993"/>
        </w:tabs>
        <w:jc w:val="both"/>
        <w:rPr>
          <w:rFonts w:eastAsia="Times New Roman"/>
          <w:i/>
          <w:sz w:val="24"/>
        </w:rPr>
      </w:pPr>
    </w:p>
    <w:p w14:paraId="191A1F89" w14:textId="77777777" w:rsidR="001C08A5" w:rsidRDefault="00000000">
      <w:pPr>
        <w:pStyle w:val="Heading4"/>
        <w:rPr>
          <w:sz w:val="24"/>
          <w:szCs w:val="24"/>
        </w:rPr>
      </w:pPr>
      <w:bookmarkStart w:id="8952" w:name="_Toc19542"/>
      <w:bookmarkStart w:id="8953" w:name="_Toc10203"/>
      <w:bookmarkStart w:id="8954" w:name="_Toc18939"/>
      <w:bookmarkStart w:id="8955" w:name="_Toc26929"/>
      <w:bookmarkStart w:id="8956" w:name="_Toc12459"/>
      <w:bookmarkStart w:id="8957" w:name="_Toc1850"/>
      <w:bookmarkStart w:id="8958" w:name="_Toc13519"/>
      <w:bookmarkStart w:id="8959" w:name="_Toc28958"/>
      <w:bookmarkStart w:id="8960" w:name="_Toc26033"/>
      <w:bookmarkStart w:id="8961" w:name="_Toc31557"/>
      <w:bookmarkStart w:id="8962" w:name="_Toc162355467"/>
      <w:bookmarkStart w:id="8963" w:name="_Toc5202"/>
      <w:bookmarkStart w:id="8964" w:name="_Toc5945"/>
      <w:bookmarkStart w:id="8965" w:name="_Toc15877"/>
      <w:bookmarkStart w:id="8966" w:name="_Toc6716"/>
      <w:bookmarkStart w:id="8967" w:name="_Toc4497"/>
      <w:bookmarkStart w:id="8968" w:name="_Toc688"/>
      <w:r>
        <w:rPr>
          <w:sz w:val="24"/>
          <w:szCs w:val="24"/>
        </w:rPr>
        <w:t>Ascensoare prevăzute pentru persoane cu dizabilități</w:t>
      </w:r>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p>
    <w:p w14:paraId="1A387B8D" w14:textId="77777777" w:rsidR="001C08A5" w:rsidRDefault="00000000">
      <w:pPr>
        <w:numPr>
          <w:ilvl w:val="0"/>
          <w:numId w:val="96"/>
        </w:numPr>
        <w:tabs>
          <w:tab w:val="left" w:pos="426"/>
          <w:tab w:val="left" w:pos="993"/>
        </w:tabs>
        <w:jc w:val="both"/>
        <w:rPr>
          <w:bCs/>
          <w:iCs/>
          <w:sz w:val="24"/>
          <w:szCs w:val="24"/>
          <w:lang w:val="en-US"/>
        </w:rPr>
      </w:pPr>
      <w:r>
        <w:rPr>
          <w:bCs/>
          <w:i/>
          <w:iCs/>
          <w:sz w:val="24"/>
          <w:szCs w:val="24"/>
        </w:rPr>
        <w:t>Pentru a corespunde nevoilor persoanelor cu dizabilități, ascensoarele folosite și pentru evacuarea acestora trebuie sa fie proiectate  (în clădiri care nu au funcțiune medicală), astfel:</w:t>
      </w:r>
    </w:p>
    <w:p w14:paraId="03E88D38" w14:textId="77777777" w:rsidR="001C08A5" w:rsidRDefault="00000000">
      <w:pPr>
        <w:ind w:left="1440" w:firstLine="720"/>
        <w:jc w:val="both"/>
        <w:rPr>
          <w:i/>
          <w:iCs/>
          <w:sz w:val="24"/>
          <w:szCs w:val="24"/>
          <w:lang w:val="en-US"/>
        </w:rPr>
      </w:pPr>
      <w:r>
        <w:rPr>
          <w:i/>
          <w:iCs/>
          <w:sz w:val="24"/>
          <w:szCs w:val="24"/>
        </w:rPr>
        <w:t xml:space="preserve">- dimensiunile minime ale cabinei ascensorului accesibil utilizat pentru o persoana utilizatoare de fotoliu rulant, cu insotitor sau pentru o persoana care foloseste alte obiecte ajutatoare pentru a se deplasa si are un insotitor sunt </w:t>
      </w:r>
      <w:r>
        <w:rPr>
          <w:b/>
          <w:bCs/>
          <w:i/>
          <w:iCs/>
          <w:sz w:val="24"/>
          <w:szCs w:val="24"/>
        </w:rPr>
        <w:t>1,10</w:t>
      </w:r>
      <w:r>
        <w:rPr>
          <w:i/>
          <w:iCs/>
          <w:sz w:val="24"/>
          <w:szCs w:val="24"/>
        </w:rPr>
        <w:t xml:space="preserve"> m x </w:t>
      </w:r>
      <w:r>
        <w:rPr>
          <w:b/>
          <w:bCs/>
          <w:i/>
          <w:iCs/>
          <w:sz w:val="24"/>
          <w:szCs w:val="24"/>
        </w:rPr>
        <w:t>1,40</w:t>
      </w:r>
      <w:r>
        <w:rPr>
          <w:i/>
          <w:iCs/>
          <w:sz w:val="24"/>
          <w:szCs w:val="24"/>
        </w:rPr>
        <w:t xml:space="preserve"> m, fiind recomandată o deschidere libera a ușii de min </w:t>
      </w:r>
      <w:r>
        <w:rPr>
          <w:b/>
          <w:bCs/>
          <w:i/>
          <w:iCs/>
          <w:sz w:val="24"/>
          <w:szCs w:val="24"/>
        </w:rPr>
        <w:t>90</w:t>
      </w:r>
      <w:r>
        <w:rPr>
          <w:i/>
          <w:iCs/>
          <w:sz w:val="24"/>
          <w:szCs w:val="24"/>
        </w:rPr>
        <w:t xml:space="preserve"> cm. Ușa trebuie pozitionată pe</w:t>
      </w:r>
      <w:r>
        <w:rPr>
          <w:i/>
          <w:iCs/>
          <w:sz w:val="24"/>
          <w:szCs w:val="24"/>
          <w:lang w:val="en-US"/>
        </w:rPr>
        <w:t xml:space="preserve"> latura </w:t>
      </w:r>
      <w:r>
        <w:rPr>
          <w:i/>
          <w:iCs/>
          <w:sz w:val="24"/>
          <w:szCs w:val="24"/>
        </w:rPr>
        <w:t>î</w:t>
      </w:r>
      <w:r>
        <w:rPr>
          <w:i/>
          <w:iCs/>
          <w:sz w:val="24"/>
          <w:szCs w:val="24"/>
          <w:lang w:val="en-US"/>
        </w:rPr>
        <w:t>ngust</w:t>
      </w:r>
      <w:r>
        <w:rPr>
          <w:i/>
          <w:iCs/>
          <w:sz w:val="24"/>
          <w:szCs w:val="24"/>
        </w:rPr>
        <w:t>ă</w:t>
      </w:r>
      <w:r>
        <w:rPr>
          <w:i/>
          <w:iCs/>
          <w:sz w:val="24"/>
          <w:szCs w:val="24"/>
          <w:lang w:val="en-US"/>
        </w:rPr>
        <w:t xml:space="preserve"> a cabinei.</w:t>
      </w:r>
    </w:p>
    <w:p w14:paraId="0B7E4B47" w14:textId="77777777" w:rsidR="001C08A5" w:rsidRDefault="00000000">
      <w:pPr>
        <w:ind w:left="1440" w:firstLine="720"/>
        <w:jc w:val="both"/>
        <w:rPr>
          <w:i/>
          <w:iCs/>
          <w:sz w:val="24"/>
          <w:szCs w:val="24"/>
          <w:lang w:val="en-US"/>
        </w:rPr>
      </w:pPr>
      <w:r>
        <w:rPr>
          <w:i/>
          <w:iCs/>
          <w:sz w:val="24"/>
          <w:szCs w:val="24"/>
        </w:rPr>
        <w:t xml:space="preserve">- dimensiunile minime ale cabinei ascensorului accesibil utilizat pentru două persoane utilizatoare de fotoliu rulant este de </w:t>
      </w:r>
      <w:r>
        <w:rPr>
          <w:b/>
          <w:bCs/>
          <w:i/>
          <w:iCs/>
          <w:sz w:val="24"/>
          <w:szCs w:val="24"/>
        </w:rPr>
        <w:t>1,10</w:t>
      </w:r>
      <w:r>
        <w:rPr>
          <w:i/>
          <w:iCs/>
          <w:sz w:val="24"/>
          <w:szCs w:val="24"/>
        </w:rPr>
        <w:t xml:space="preserve"> m x </w:t>
      </w:r>
      <w:r>
        <w:rPr>
          <w:b/>
          <w:bCs/>
          <w:i/>
          <w:iCs/>
          <w:sz w:val="24"/>
          <w:szCs w:val="24"/>
        </w:rPr>
        <w:t>2,10</w:t>
      </w:r>
      <w:r>
        <w:rPr>
          <w:i/>
          <w:iCs/>
          <w:sz w:val="24"/>
          <w:szCs w:val="24"/>
        </w:rPr>
        <w:t xml:space="preserve"> m, fiind recomandată o deschidere libera a ușii de min </w:t>
      </w:r>
      <w:r>
        <w:rPr>
          <w:b/>
          <w:bCs/>
          <w:i/>
          <w:iCs/>
          <w:sz w:val="24"/>
          <w:szCs w:val="24"/>
        </w:rPr>
        <w:t>90</w:t>
      </w:r>
      <w:r>
        <w:rPr>
          <w:i/>
          <w:iCs/>
          <w:sz w:val="24"/>
          <w:szCs w:val="24"/>
        </w:rPr>
        <w:t xml:space="preserve"> cm. Ușa trebuie pozitionată pe</w:t>
      </w:r>
      <w:r>
        <w:rPr>
          <w:i/>
          <w:iCs/>
          <w:sz w:val="24"/>
          <w:szCs w:val="24"/>
          <w:lang w:val="en-US"/>
        </w:rPr>
        <w:t xml:space="preserve"> latura ingusta a cabinei.</w:t>
      </w:r>
    </w:p>
    <w:p w14:paraId="071AA389" w14:textId="77777777" w:rsidR="001C08A5" w:rsidRDefault="001C08A5">
      <w:pPr>
        <w:jc w:val="both"/>
        <w:rPr>
          <w:i/>
          <w:iCs/>
          <w:sz w:val="24"/>
          <w:szCs w:val="24"/>
          <w:lang w:val="en-US"/>
        </w:rPr>
      </w:pPr>
    </w:p>
    <w:p w14:paraId="24006FD9" w14:textId="77777777" w:rsidR="001C08A5" w:rsidRDefault="00000000">
      <w:pPr>
        <w:numPr>
          <w:ilvl w:val="0"/>
          <w:numId w:val="96"/>
        </w:numPr>
        <w:tabs>
          <w:tab w:val="left" w:pos="426"/>
          <w:tab w:val="left" w:pos="993"/>
        </w:tabs>
        <w:jc w:val="both"/>
        <w:rPr>
          <w:bCs/>
          <w:iCs/>
          <w:sz w:val="24"/>
          <w:szCs w:val="24"/>
        </w:rPr>
      </w:pPr>
      <w:r>
        <w:rPr>
          <w:bCs/>
          <w:i/>
          <w:iCs/>
          <w:sz w:val="24"/>
          <w:szCs w:val="24"/>
        </w:rPr>
        <w:t xml:space="preserve">În cazul în care cabina ascensorului are două uși poziționate pe pereți alaturați, dimensiunea minimă a cabinei utilizată pentru o persoană utilizatoare de fotoliu rulant este </w:t>
      </w:r>
      <w:r>
        <w:rPr>
          <w:b/>
          <w:i/>
          <w:iCs/>
          <w:sz w:val="24"/>
          <w:szCs w:val="24"/>
        </w:rPr>
        <w:t>1,60</w:t>
      </w:r>
      <w:r>
        <w:rPr>
          <w:bCs/>
          <w:i/>
          <w:iCs/>
          <w:sz w:val="24"/>
          <w:szCs w:val="24"/>
        </w:rPr>
        <w:t xml:space="preserve"> m x </w:t>
      </w:r>
      <w:r>
        <w:rPr>
          <w:b/>
          <w:i/>
          <w:iCs/>
          <w:sz w:val="24"/>
          <w:szCs w:val="24"/>
        </w:rPr>
        <w:t>1,40</w:t>
      </w:r>
      <w:r>
        <w:rPr>
          <w:bCs/>
          <w:i/>
          <w:iCs/>
          <w:sz w:val="24"/>
          <w:szCs w:val="24"/>
        </w:rPr>
        <w:t xml:space="preserve"> m, cu deschidere liberă a ușii de </w:t>
      </w:r>
      <w:r>
        <w:rPr>
          <w:b/>
          <w:i/>
          <w:iCs/>
          <w:sz w:val="24"/>
          <w:szCs w:val="24"/>
        </w:rPr>
        <w:t>1,10</w:t>
      </w:r>
      <w:r>
        <w:rPr>
          <w:bCs/>
          <w:i/>
          <w:iCs/>
          <w:sz w:val="24"/>
          <w:szCs w:val="24"/>
        </w:rPr>
        <w:t xml:space="preserve"> m.</w:t>
      </w:r>
    </w:p>
    <w:p w14:paraId="3FCFB0B3" w14:textId="77777777" w:rsidR="001C08A5" w:rsidRDefault="001C08A5">
      <w:pPr>
        <w:jc w:val="both"/>
        <w:rPr>
          <w:i/>
          <w:sz w:val="24"/>
          <w:szCs w:val="24"/>
        </w:rPr>
      </w:pPr>
    </w:p>
    <w:p w14:paraId="1DBA86D7" w14:textId="77777777" w:rsidR="001C08A5" w:rsidRDefault="00000000">
      <w:pPr>
        <w:pStyle w:val="Heading2"/>
        <w:rPr>
          <w:sz w:val="28"/>
        </w:rPr>
      </w:pPr>
      <w:bookmarkStart w:id="8969" w:name="_Toc32157"/>
      <w:bookmarkStart w:id="8970" w:name="_Toc18454"/>
      <w:bookmarkStart w:id="8971" w:name="_Toc8141"/>
      <w:bookmarkStart w:id="8972" w:name="_Toc162355468"/>
      <w:bookmarkStart w:id="8973" w:name="_Toc24170"/>
      <w:bookmarkStart w:id="8974" w:name="_Toc22275"/>
      <w:bookmarkStart w:id="8975" w:name="_Toc28236"/>
      <w:bookmarkStart w:id="8976" w:name="_Toc14891"/>
      <w:bookmarkStart w:id="8977" w:name="_Toc27153"/>
      <w:bookmarkStart w:id="8978" w:name="_Toc26113"/>
      <w:bookmarkStart w:id="8979" w:name="_Toc20197"/>
      <w:bookmarkStart w:id="8980" w:name="_Toc6893"/>
      <w:bookmarkStart w:id="8981" w:name="_Toc8677"/>
      <w:bookmarkStart w:id="8982" w:name="_Toc28459"/>
      <w:bookmarkStart w:id="8983" w:name="_Toc29476"/>
      <w:bookmarkStart w:id="8984" w:name="_Toc15826"/>
      <w:bookmarkStart w:id="8985" w:name="_Toc5130"/>
      <w:bookmarkStart w:id="8986" w:name="_Toc11702"/>
      <w:r>
        <w:rPr>
          <w:sz w:val="28"/>
        </w:rPr>
        <w:t>ANEXA 6 - CĂI  DE ACCES, INTERVENŢIE ŞI SALVARE ÎN CAZ DE INCENDIU</w:t>
      </w:r>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p>
    <w:p w14:paraId="17D3A858" w14:textId="77777777" w:rsidR="001C08A5" w:rsidRDefault="00000000">
      <w:pPr>
        <w:pStyle w:val="Heading3"/>
        <w:rPr>
          <w:i/>
          <w:iCs/>
          <w:sz w:val="24"/>
          <w:szCs w:val="24"/>
        </w:rPr>
      </w:pPr>
      <w:bookmarkStart w:id="8987" w:name="_Toc17947"/>
      <w:bookmarkStart w:id="8988" w:name="_Toc26308"/>
      <w:bookmarkStart w:id="8989" w:name="_Toc23987"/>
      <w:bookmarkStart w:id="8990" w:name="_Toc8988"/>
      <w:bookmarkStart w:id="8991" w:name="_Toc31883"/>
      <w:bookmarkStart w:id="8992" w:name="_Toc6032"/>
      <w:bookmarkStart w:id="8993" w:name="_Toc30252"/>
      <w:bookmarkStart w:id="8994" w:name="_Toc162355469"/>
      <w:bookmarkStart w:id="8995" w:name="_Toc407"/>
      <w:bookmarkStart w:id="8996" w:name="_Toc20465"/>
      <w:bookmarkStart w:id="8997" w:name="_Toc12918"/>
      <w:bookmarkStart w:id="8998" w:name="_Toc28719"/>
      <w:bookmarkStart w:id="8999" w:name="_Toc29184"/>
      <w:bookmarkStart w:id="9000" w:name="_Toc9444"/>
      <w:bookmarkStart w:id="9001" w:name="_Toc14357"/>
      <w:bookmarkStart w:id="9002" w:name="_Toc11420"/>
      <w:bookmarkStart w:id="9003" w:name="_Toc709"/>
      <w:r>
        <w:rPr>
          <w:i/>
          <w:iCs/>
          <w:sz w:val="24"/>
          <w:szCs w:val="24"/>
        </w:rPr>
        <w:t>ANEXA 6.1 - CĂI DE CIRCULAŢIE</w:t>
      </w:r>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p>
    <w:p w14:paraId="2DEE0153" w14:textId="77777777" w:rsidR="001C08A5" w:rsidRDefault="001C08A5">
      <w:pPr>
        <w:jc w:val="both"/>
        <w:rPr>
          <w:b/>
          <w:bCs/>
          <w:i/>
          <w:sz w:val="24"/>
          <w:szCs w:val="24"/>
        </w:rPr>
      </w:pPr>
    </w:p>
    <w:p w14:paraId="1EB5A053"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Căile de circulaţie carosabile care trec peste construcţii subterane (subsoluri, canale, galerii etc.) sau prin construcții supraterane, vor corespunde condiţiilor de trafic greu, fiind dimensionate astfel încât să asigure:</w:t>
      </w:r>
    </w:p>
    <w:p w14:paraId="38D45B75" w14:textId="77777777" w:rsidR="001C08A5" w:rsidRDefault="00000000">
      <w:pPr>
        <w:numPr>
          <w:ilvl w:val="255"/>
          <w:numId w:val="0"/>
        </w:numPr>
        <w:tabs>
          <w:tab w:val="left" w:pos="426"/>
          <w:tab w:val="left" w:pos="993"/>
        </w:tabs>
        <w:ind w:left="720" w:firstLine="720"/>
        <w:jc w:val="both"/>
        <w:rPr>
          <w:rFonts w:eastAsia="Times New Roman"/>
          <w:i/>
          <w:sz w:val="24"/>
        </w:rPr>
      </w:pPr>
      <w:r>
        <w:rPr>
          <w:rFonts w:eastAsia="Times New Roman"/>
          <w:i/>
          <w:sz w:val="24"/>
        </w:rPr>
        <w:t>- masa în tone pe care trebuie să o suporte carosabilul pe o punte:</w:t>
      </w:r>
    </w:p>
    <w:p w14:paraId="45C56009" w14:textId="77777777" w:rsidR="001C08A5" w:rsidRDefault="00000000">
      <w:pPr>
        <w:numPr>
          <w:ilvl w:val="255"/>
          <w:numId w:val="0"/>
        </w:numPr>
        <w:tabs>
          <w:tab w:val="left" w:pos="426"/>
          <w:tab w:val="left" w:pos="993"/>
        </w:tabs>
        <w:ind w:left="2160" w:firstLine="720"/>
        <w:jc w:val="both"/>
        <w:rPr>
          <w:rFonts w:eastAsia="Times New Roman"/>
          <w:i/>
          <w:sz w:val="24"/>
        </w:rPr>
      </w:pPr>
      <w:r>
        <w:rPr>
          <w:rFonts w:eastAsia="Times New Roman"/>
          <w:i/>
          <w:sz w:val="24"/>
        </w:rPr>
        <w:t xml:space="preserve">- față: </w:t>
      </w:r>
      <w:r>
        <w:rPr>
          <w:rFonts w:eastAsia="Times New Roman"/>
          <w:b/>
          <w:bCs/>
          <w:i/>
          <w:sz w:val="24"/>
        </w:rPr>
        <w:t xml:space="preserve">15 t </w:t>
      </w:r>
      <w:r>
        <w:rPr>
          <w:rFonts w:eastAsia="Times New Roman"/>
          <w:i/>
          <w:sz w:val="24"/>
        </w:rPr>
        <w:t xml:space="preserve">(2 punți) și spate: </w:t>
      </w:r>
      <w:r>
        <w:rPr>
          <w:rFonts w:eastAsia="Times New Roman"/>
          <w:b/>
          <w:bCs/>
          <w:i/>
          <w:sz w:val="24"/>
        </w:rPr>
        <w:t xml:space="preserve">34 t </w:t>
      </w:r>
      <w:r>
        <w:rPr>
          <w:rFonts w:eastAsia="Times New Roman"/>
          <w:i/>
          <w:sz w:val="24"/>
        </w:rPr>
        <w:t xml:space="preserve">(3 punți) </w:t>
      </w:r>
    </w:p>
    <w:p w14:paraId="40020C84" w14:textId="77777777" w:rsidR="001C08A5" w:rsidRDefault="00000000">
      <w:pPr>
        <w:numPr>
          <w:ilvl w:val="255"/>
          <w:numId w:val="0"/>
        </w:numPr>
        <w:tabs>
          <w:tab w:val="left" w:pos="426"/>
          <w:tab w:val="left" w:pos="993"/>
        </w:tabs>
        <w:ind w:left="720" w:firstLine="720"/>
        <w:jc w:val="both"/>
        <w:rPr>
          <w:rFonts w:eastAsia="Times New Roman"/>
          <w:i/>
          <w:sz w:val="24"/>
        </w:rPr>
      </w:pPr>
      <w:r>
        <w:rPr>
          <w:rFonts w:eastAsia="Times New Roman"/>
          <w:i/>
          <w:sz w:val="24"/>
        </w:rPr>
        <w:t xml:space="preserve">- forța totală de apăsare a calei pe carosabil: calarea se realizează în </w:t>
      </w:r>
      <w:r>
        <w:rPr>
          <w:rFonts w:eastAsia="Times New Roman"/>
          <w:b/>
          <w:bCs/>
          <w:i/>
          <w:sz w:val="24"/>
        </w:rPr>
        <w:t>4</w:t>
      </w:r>
      <w:r>
        <w:rPr>
          <w:rFonts w:eastAsia="Times New Roman"/>
          <w:i/>
          <w:sz w:val="24"/>
        </w:rPr>
        <w:t xml:space="preserve"> puncte (suprafața pe care o are o cală este de </w:t>
      </w:r>
      <w:r>
        <w:rPr>
          <w:rFonts w:eastAsia="Times New Roman"/>
          <w:b/>
          <w:bCs/>
          <w:i/>
          <w:sz w:val="24"/>
        </w:rPr>
        <w:t>0,8 m</w:t>
      </w:r>
      <w:r>
        <w:rPr>
          <w:rFonts w:eastAsia="Times New Roman"/>
          <w:b/>
          <w:bCs/>
          <w:i/>
          <w:sz w:val="24"/>
          <w:vertAlign w:val="superscript"/>
        </w:rPr>
        <w:t>2</w:t>
      </w:r>
      <w:r>
        <w:rPr>
          <w:rFonts w:eastAsia="Times New Roman"/>
          <w:i/>
          <w:sz w:val="24"/>
        </w:rPr>
        <w:t>)</w:t>
      </w:r>
    </w:p>
    <w:p w14:paraId="29A6F63A" w14:textId="77777777" w:rsidR="001C08A5" w:rsidRDefault="001C08A5">
      <w:pPr>
        <w:ind w:firstLine="720"/>
        <w:jc w:val="both"/>
        <w:rPr>
          <w:rFonts w:eastAsia="Times New Roman"/>
          <w:i/>
          <w:sz w:val="24"/>
          <w:szCs w:val="24"/>
        </w:rPr>
      </w:pPr>
    </w:p>
    <w:p w14:paraId="0540D37C" w14:textId="77777777" w:rsidR="001C08A5" w:rsidRDefault="00000000">
      <w:pPr>
        <w:numPr>
          <w:ilvl w:val="0"/>
          <w:numId w:val="96"/>
        </w:numPr>
        <w:tabs>
          <w:tab w:val="left" w:pos="426"/>
          <w:tab w:val="left" w:pos="993"/>
        </w:tabs>
        <w:jc w:val="both"/>
        <w:rPr>
          <w:b/>
          <w:i/>
          <w:sz w:val="24"/>
        </w:rPr>
      </w:pPr>
      <w:r>
        <w:rPr>
          <w:rFonts w:eastAsia="Times New Roman"/>
          <w:i/>
          <w:sz w:val="24"/>
        </w:rPr>
        <w:t>Căile de circulaţie carosabile sau planşeele pe care autospecialele de intervenție pot circula sau autoscările de salvare la înălțime pot cala, pot fi proiectate la o capacitate precum cea din alineatul anterior. P</w:t>
      </w:r>
      <w:r>
        <w:rPr>
          <w:i/>
          <w:sz w:val="24"/>
        </w:rPr>
        <w:t xml:space="preserve">entru posibilitatea calării autoscărilor mai mari de acestea, se respectă specificațiile acestora, în concordanță cu datele tehnice ale autospecialei pentru intervenție și salvare la înălțimi. </w:t>
      </w:r>
    </w:p>
    <w:p w14:paraId="22FDE94E" w14:textId="77777777" w:rsidR="001C08A5" w:rsidRDefault="001C08A5">
      <w:pPr>
        <w:numPr>
          <w:ilvl w:val="255"/>
          <w:numId w:val="0"/>
        </w:numPr>
        <w:tabs>
          <w:tab w:val="left" w:pos="426"/>
          <w:tab w:val="left" w:pos="993"/>
        </w:tabs>
        <w:jc w:val="both"/>
        <w:rPr>
          <w:b/>
          <w:i/>
          <w:sz w:val="24"/>
        </w:rPr>
      </w:pPr>
    </w:p>
    <w:p w14:paraId="01EC2417"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 xml:space="preserve">Calea de acces carosabilă trebuie să fie mai largă în locurile în care se efectuează manevrele de întoarcere (conform normativelor de profil). În lipsa altor precizări, raza în locurile în care se efectuează manevrele de întoarcere se va considera </w:t>
      </w:r>
      <w:r>
        <w:rPr>
          <w:rFonts w:eastAsia="Times New Roman"/>
          <w:b/>
          <w:bCs/>
          <w:i/>
          <w:sz w:val="24"/>
        </w:rPr>
        <w:t>11</w:t>
      </w:r>
      <w:r>
        <w:rPr>
          <w:rFonts w:eastAsia="Times New Roman"/>
          <w:i/>
          <w:sz w:val="24"/>
        </w:rPr>
        <w:t xml:space="preserve"> m.</w:t>
      </w:r>
    </w:p>
    <w:p w14:paraId="5B313629" w14:textId="77777777" w:rsidR="001C08A5" w:rsidRDefault="001C08A5">
      <w:pPr>
        <w:ind w:firstLine="720"/>
        <w:jc w:val="both"/>
        <w:rPr>
          <w:rFonts w:eastAsia="Times New Roman"/>
          <w:i/>
          <w:sz w:val="24"/>
          <w:szCs w:val="24"/>
        </w:rPr>
      </w:pPr>
    </w:p>
    <w:p w14:paraId="09F79865"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Secțiunea care leagă calea de acces cu o zonă de drum public trebuie să fie lărgită, după cum este necesar pentru toate direcțiile de deplasare.</w:t>
      </w:r>
    </w:p>
    <w:p w14:paraId="7A9E0878" w14:textId="77777777" w:rsidR="001C08A5" w:rsidRDefault="00000000">
      <w:pPr>
        <w:pStyle w:val="Heading3"/>
        <w:rPr>
          <w:i/>
          <w:iCs/>
          <w:sz w:val="24"/>
          <w:szCs w:val="24"/>
          <w:lang w:eastAsia="ar"/>
        </w:rPr>
      </w:pPr>
      <w:bookmarkStart w:id="9004" w:name="_Toc162355470"/>
      <w:bookmarkStart w:id="9005" w:name="_Toc19949"/>
      <w:bookmarkStart w:id="9006" w:name="_Toc13906"/>
      <w:bookmarkStart w:id="9007" w:name="_Toc21940"/>
      <w:bookmarkStart w:id="9008" w:name="_Toc20927"/>
      <w:bookmarkStart w:id="9009" w:name="_Toc25501"/>
      <w:bookmarkStart w:id="9010" w:name="_Toc13234"/>
      <w:bookmarkStart w:id="9011" w:name="_Toc5645"/>
      <w:bookmarkStart w:id="9012" w:name="_Toc3738"/>
      <w:bookmarkStart w:id="9013" w:name="_Toc16179"/>
      <w:bookmarkStart w:id="9014" w:name="_Toc28885"/>
      <w:bookmarkStart w:id="9015" w:name="_Toc15665"/>
      <w:bookmarkStart w:id="9016" w:name="_Toc9069"/>
      <w:bookmarkStart w:id="9017" w:name="_Toc27006"/>
      <w:bookmarkStart w:id="9018" w:name="_Toc17065"/>
      <w:bookmarkStart w:id="9019" w:name="_Toc28903"/>
      <w:bookmarkStart w:id="9020" w:name="_Toc2473"/>
      <w:r>
        <w:rPr>
          <w:i/>
          <w:iCs/>
          <w:sz w:val="24"/>
          <w:szCs w:val="24"/>
        </w:rPr>
        <w:t xml:space="preserve">ANEXA 6.2 - </w:t>
      </w:r>
      <w:r>
        <w:rPr>
          <w:i/>
          <w:iCs/>
          <w:sz w:val="24"/>
          <w:szCs w:val="24"/>
          <w:lang w:eastAsia="ar"/>
        </w:rPr>
        <w:t>P</w:t>
      </w:r>
      <w:r>
        <w:rPr>
          <w:i/>
          <w:iCs/>
          <w:sz w:val="24"/>
          <w:szCs w:val="24"/>
          <w:lang w:val="en-US" w:eastAsia="ar"/>
        </w:rPr>
        <w:t>ERIMETRUL PEREȚILOR EXTERIORI</w:t>
      </w:r>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r>
        <w:rPr>
          <w:i/>
          <w:iCs/>
          <w:sz w:val="24"/>
          <w:szCs w:val="24"/>
          <w:lang w:eastAsia="ar"/>
        </w:rPr>
        <w:t xml:space="preserve"> </w:t>
      </w:r>
    </w:p>
    <w:p w14:paraId="1BB7E320" w14:textId="77777777" w:rsidR="001C08A5" w:rsidRDefault="001C08A5">
      <w:pPr>
        <w:jc w:val="both"/>
        <w:rPr>
          <w:b/>
          <w:bCs/>
          <w:i/>
          <w:sz w:val="24"/>
          <w:szCs w:val="24"/>
          <w:lang w:eastAsia="ar"/>
        </w:rPr>
      </w:pPr>
    </w:p>
    <w:p w14:paraId="7890FC18" w14:textId="77777777" w:rsidR="001C08A5" w:rsidRDefault="00000000">
      <w:pPr>
        <w:numPr>
          <w:ilvl w:val="0"/>
          <w:numId w:val="96"/>
        </w:numPr>
        <w:tabs>
          <w:tab w:val="left" w:pos="426"/>
          <w:tab w:val="left" w:pos="993"/>
        </w:tabs>
        <w:jc w:val="both"/>
        <w:rPr>
          <w:b/>
          <w:bCs/>
          <w:i/>
          <w:sz w:val="24"/>
          <w:szCs w:val="24"/>
          <w:lang w:eastAsia="ar"/>
        </w:rPr>
      </w:pPr>
      <w:r>
        <w:rPr>
          <w:rFonts w:eastAsia="Noto Sans"/>
          <w:bCs/>
          <w:i/>
          <w:iCs/>
          <w:sz w:val="24"/>
          <w:szCs w:val="24"/>
        </w:rPr>
        <w:lastRenderedPageBreak/>
        <w:t xml:space="preserve">Planul clădirii ABCDEFGHIJKLMNOP (conform </w:t>
      </w:r>
      <w:r>
        <w:rPr>
          <w:rFonts w:eastAsia="Noto Sans"/>
          <w:bCs/>
        </w:rPr>
        <w:t>Figura 225</w:t>
      </w:r>
      <w:r>
        <w:rPr>
          <w:rFonts w:eastAsia="Noto Sans"/>
          <w:bCs/>
          <w:i/>
          <w:iCs/>
          <w:sz w:val="24"/>
          <w:szCs w:val="24"/>
        </w:rPr>
        <w:t>) unde AP și KL sunt pereți în comun cu alte clădiri (sau compartimente de incendiu). Amprenta la sol a clădirii este perimetrul maxim al planului obținut de proiecția verticală (pe orizontală) a oricărui punct ce definește un etaj în consolă (respectiv conturul definit de punctele  ABCDEFGHIJKLMNOP). Perimetrul clădirii în sensul prevederilor normate este suma lungimilor pereților exteriori, ținând cont de amprenta la sol a etajelor în consolă, respectiv (A la B la C la D la E la F la G la H la I la J la K) + (L la M la N la O la P).</w:t>
      </w:r>
      <w:r>
        <w:rPr>
          <w:rFonts w:eastAsia="Noto Sans"/>
          <w:bCs/>
          <w:i/>
          <w:sz w:val="24"/>
          <w:szCs w:val="24"/>
        </w:rPr>
        <w:t xml:space="preserve"> </w:t>
      </w:r>
    </w:p>
    <w:p w14:paraId="6D240AC5" w14:textId="77777777" w:rsidR="001C08A5" w:rsidRDefault="00000000">
      <w:pPr>
        <w:jc w:val="center"/>
        <w:rPr>
          <w:b/>
          <w:bCs/>
          <w:i/>
          <w:sz w:val="24"/>
          <w:szCs w:val="24"/>
        </w:rPr>
      </w:pPr>
      <w:r>
        <w:rPr>
          <w:b/>
          <w:bCs/>
          <w:i/>
          <w:noProof/>
          <w:sz w:val="24"/>
          <w:szCs w:val="24"/>
        </w:rPr>
        <w:drawing>
          <wp:inline distT="0" distB="0" distL="114300" distR="114300" wp14:anchorId="1FFCA807" wp14:editId="3AC6D6B5">
            <wp:extent cx="4259580" cy="3152775"/>
            <wp:effectExtent l="0" t="0" r="7620" b="9525"/>
            <wp:docPr id="4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29"/>
                    <pic:cNvPicPr>
                      <a:picLocks noChangeAspect="1"/>
                    </pic:cNvPicPr>
                  </pic:nvPicPr>
                  <pic:blipFill>
                    <a:blip r:embed="rId448"/>
                    <a:srcRect l="18726" r="13132" b="29862"/>
                    <a:stretch>
                      <a:fillRect/>
                    </a:stretch>
                  </pic:blipFill>
                  <pic:spPr>
                    <a:xfrm>
                      <a:off x="0" y="0"/>
                      <a:ext cx="4259580" cy="3152775"/>
                    </a:xfrm>
                    <a:prstGeom prst="rect">
                      <a:avLst/>
                    </a:prstGeom>
                    <a:noFill/>
                    <a:ln>
                      <a:noFill/>
                    </a:ln>
                  </pic:spPr>
                </pic:pic>
              </a:graphicData>
            </a:graphic>
          </wp:inline>
        </w:drawing>
      </w:r>
    </w:p>
    <w:p w14:paraId="1ABE10B2" w14:textId="77777777" w:rsidR="001C08A5" w:rsidRDefault="00000000">
      <w:pPr>
        <w:pStyle w:val="Caption"/>
        <w:autoSpaceDE w:val="0"/>
        <w:autoSpaceDN w:val="0"/>
        <w:adjustRightInd w:val="0"/>
        <w:jc w:val="center"/>
        <w:rPr>
          <w:rFonts w:cs="Times New Roman"/>
          <w:bCs/>
          <w:lang w:eastAsia="en-US"/>
        </w:rPr>
      </w:pPr>
      <w:bookmarkStart w:id="9021" w:name="_Toc162360449"/>
      <w:bookmarkStart w:id="9022" w:name="_Toc142898612"/>
      <w:r>
        <w:t xml:space="preserve">Figura </w:t>
      </w:r>
      <w:r>
        <w:fldChar w:fldCharType="begin"/>
      </w:r>
      <w:r>
        <w:instrText xml:space="preserve"> SEQ Figura \* ARABIC </w:instrText>
      </w:r>
      <w:r>
        <w:fldChar w:fldCharType="separate"/>
      </w:r>
      <w:r>
        <w:t>225</w:t>
      </w:r>
      <w:r>
        <w:fldChar w:fldCharType="end"/>
      </w:r>
      <w:bookmarkStart w:id="9023" w:name="_Toc846"/>
      <w:bookmarkStart w:id="9024" w:name="_Toc11821"/>
      <w:bookmarkStart w:id="9025" w:name="_Toc25810"/>
      <w:bookmarkStart w:id="9026" w:name="_Toc14157"/>
      <w:bookmarkStart w:id="9027" w:name="_Toc11798"/>
      <w:bookmarkStart w:id="9028" w:name="_Toc22842"/>
      <w:bookmarkStart w:id="9029" w:name="_Toc18345"/>
      <w:bookmarkStart w:id="9030" w:name="_Toc4572"/>
      <w:bookmarkStart w:id="9031" w:name="_Toc19032"/>
      <w:r>
        <w:t xml:space="preserve"> - </w:t>
      </w:r>
      <w:r>
        <w:rPr>
          <w:rFonts w:cs="Times New Roman"/>
          <w:bCs/>
          <w:lang w:val="en-US" w:eastAsia="ar"/>
        </w:rPr>
        <w:t>Perimetrul pereților exteriori accesibil mașinilor de intervenție</w:t>
      </w:r>
      <w:r>
        <w:rPr>
          <w:rFonts w:ascii="Arial" w:hAnsi="Arial" w:cs="Arial"/>
          <w:lang w:eastAsia="ar"/>
        </w:rPr>
        <w:t xml:space="preserve"> - </w:t>
      </w:r>
      <w:r>
        <w:rPr>
          <w:rFonts w:cs="Times New Roman"/>
          <w:bCs/>
          <w:lang w:eastAsia="en-US"/>
        </w:rPr>
        <w:t>clădire cu 2 pereți antifoc spre vecinătăți</w:t>
      </w:r>
      <w:bookmarkEnd w:id="9021"/>
      <w:bookmarkEnd w:id="9023"/>
      <w:bookmarkEnd w:id="9024"/>
      <w:bookmarkEnd w:id="9025"/>
      <w:bookmarkEnd w:id="9026"/>
      <w:bookmarkEnd w:id="9027"/>
      <w:bookmarkEnd w:id="9028"/>
      <w:bookmarkEnd w:id="9029"/>
      <w:bookmarkEnd w:id="9030"/>
      <w:bookmarkEnd w:id="9031"/>
    </w:p>
    <w:p w14:paraId="08932A26" w14:textId="77777777" w:rsidR="001C08A5" w:rsidRDefault="001C08A5">
      <w:pPr>
        <w:autoSpaceDE w:val="0"/>
        <w:autoSpaceDN w:val="0"/>
        <w:adjustRightInd w:val="0"/>
        <w:jc w:val="center"/>
        <w:rPr>
          <w:b/>
          <w:bCs/>
          <w:i/>
          <w:iCs/>
          <w:sz w:val="24"/>
          <w:szCs w:val="24"/>
          <w:lang w:eastAsia="en-US"/>
        </w:rPr>
      </w:pPr>
    </w:p>
    <w:p w14:paraId="10C4B119" w14:textId="77777777" w:rsidR="001C08A5" w:rsidRDefault="00000000">
      <w:pPr>
        <w:numPr>
          <w:ilvl w:val="0"/>
          <w:numId w:val="96"/>
        </w:numPr>
        <w:tabs>
          <w:tab w:val="left" w:pos="426"/>
          <w:tab w:val="left" w:pos="993"/>
        </w:tabs>
        <w:jc w:val="both"/>
        <w:rPr>
          <w:b/>
          <w:bCs/>
          <w:i/>
          <w:iCs/>
          <w:sz w:val="24"/>
          <w:szCs w:val="24"/>
          <w:lang w:eastAsia="en-US"/>
        </w:rPr>
      </w:pPr>
      <w:r>
        <w:rPr>
          <w:rFonts w:eastAsia="Noto Sans"/>
          <w:bCs/>
          <w:i/>
          <w:iCs/>
          <w:sz w:val="24"/>
          <w:szCs w:val="24"/>
        </w:rPr>
        <w:t xml:space="preserve">Planul clădirii ABCDEFGHIJKLMNOPA (conform </w:t>
      </w:r>
      <w:r>
        <w:rPr>
          <w:rFonts w:eastAsia="Noto Sans"/>
          <w:bCs/>
        </w:rPr>
        <w:t>Figura 226</w:t>
      </w:r>
      <w:r>
        <w:rPr>
          <w:rFonts w:eastAsia="Noto Sans"/>
          <w:bCs/>
          <w:i/>
          <w:iCs/>
          <w:sz w:val="24"/>
          <w:szCs w:val="24"/>
        </w:rPr>
        <w:t>) unde KL este perete în comun cu altă clădire (sau compartimente de incendiu). Amprenta la sol a clădirii este perimetrul maxim al planului obținut de proiecția verticală (pe orizontală) a oricărui punct ce definește un etaj în consolă (respectiv conturul definit de punctele  ABCDEFGHIJKLMNOPA). Perimetrul clădirii în sensul prevederilor normate este suma lungimilor pereților exteriori, ținând cont de amprenta la sol a etajelor în consolă, respectiv (A la B la C la D la E la F la G la H la I la J la K) + (L la M la N la O la P la A).</w:t>
      </w:r>
      <w:r>
        <w:rPr>
          <w:rFonts w:eastAsia="Noto Sans"/>
          <w:bCs/>
          <w:i/>
          <w:sz w:val="24"/>
          <w:szCs w:val="24"/>
        </w:rPr>
        <w:t xml:space="preserve"> </w:t>
      </w:r>
    </w:p>
    <w:p w14:paraId="64CAD5E2"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7927A023" wp14:editId="00375C60">
            <wp:extent cx="5133975" cy="2800985"/>
            <wp:effectExtent l="0" t="0" r="9525" b="18415"/>
            <wp:docPr id="4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30"/>
                    <pic:cNvPicPr>
                      <a:picLocks noChangeAspect="1"/>
                    </pic:cNvPicPr>
                  </pic:nvPicPr>
                  <pic:blipFill>
                    <a:blip r:embed="rId449"/>
                    <a:srcRect l="13553" t="34847" r="8842" b="6260"/>
                    <a:stretch>
                      <a:fillRect/>
                    </a:stretch>
                  </pic:blipFill>
                  <pic:spPr>
                    <a:xfrm>
                      <a:off x="0" y="0"/>
                      <a:ext cx="5133975" cy="2800985"/>
                    </a:xfrm>
                    <a:prstGeom prst="rect">
                      <a:avLst/>
                    </a:prstGeom>
                    <a:noFill/>
                    <a:ln>
                      <a:noFill/>
                    </a:ln>
                  </pic:spPr>
                </pic:pic>
              </a:graphicData>
            </a:graphic>
          </wp:inline>
        </w:drawing>
      </w:r>
    </w:p>
    <w:p w14:paraId="547C3C15" w14:textId="77777777" w:rsidR="001C08A5" w:rsidRDefault="00000000">
      <w:pPr>
        <w:pStyle w:val="Caption"/>
        <w:autoSpaceDE w:val="0"/>
        <w:autoSpaceDN w:val="0"/>
        <w:adjustRightInd w:val="0"/>
        <w:jc w:val="center"/>
        <w:rPr>
          <w:rFonts w:cs="Times New Roman"/>
          <w:bCs/>
          <w:lang w:eastAsia="en-US"/>
        </w:rPr>
      </w:pPr>
      <w:bookmarkStart w:id="9032" w:name="_Toc162360450"/>
      <w:r>
        <w:lastRenderedPageBreak/>
        <w:t xml:space="preserve">Figura </w:t>
      </w:r>
      <w:r>
        <w:fldChar w:fldCharType="begin"/>
      </w:r>
      <w:r>
        <w:instrText xml:space="preserve"> SEQ Figura \* ARABIC </w:instrText>
      </w:r>
      <w:r>
        <w:fldChar w:fldCharType="separate"/>
      </w:r>
      <w:r>
        <w:t>226</w:t>
      </w:r>
      <w:r>
        <w:fldChar w:fldCharType="end"/>
      </w:r>
      <w:bookmarkStart w:id="9033" w:name="_Toc18520"/>
      <w:bookmarkStart w:id="9034" w:name="_Toc29548"/>
      <w:bookmarkStart w:id="9035" w:name="_Toc13126"/>
      <w:bookmarkStart w:id="9036" w:name="_Toc10580"/>
      <w:bookmarkStart w:id="9037" w:name="_Toc26934"/>
      <w:bookmarkStart w:id="9038" w:name="_Toc26723"/>
      <w:bookmarkStart w:id="9039" w:name="_Toc9722"/>
      <w:bookmarkStart w:id="9040" w:name="_Toc4652"/>
      <w:bookmarkStart w:id="9041" w:name="_Toc1320"/>
      <w:r>
        <w:t xml:space="preserve"> - </w:t>
      </w:r>
      <w:r>
        <w:rPr>
          <w:rFonts w:cs="Times New Roman"/>
          <w:bCs/>
          <w:lang w:val="en-US" w:eastAsia="ar"/>
        </w:rPr>
        <w:t>Perimetrul pereților exteriori accesibil mașinilor de intervenție</w:t>
      </w:r>
      <w:r>
        <w:rPr>
          <w:rFonts w:cs="Times New Roman"/>
          <w:bCs/>
          <w:lang w:eastAsia="ar"/>
        </w:rPr>
        <w:t xml:space="preserve"> - </w:t>
      </w:r>
      <w:r>
        <w:rPr>
          <w:rFonts w:cs="Times New Roman"/>
          <w:bCs/>
          <w:lang w:eastAsia="en-US"/>
        </w:rPr>
        <w:t>clădire cu 1 perete antifoc spre vecinătate</w:t>
      </w:r>
      <w:bookmarkEnd w:id="9032"/>
      <w:bookmarkEnd w:id="9033"/>
      <w:bookmarkEnd w:id="9034"/>
      <w:bookmarkEnd w:id="9035"/>
      <w:bookmarkEnd w:id="9036"/>
      <w:bookmarkEnd w:id="9037"/>
      <w:bookmarkEnd w:id="9038"/>
      <w:bookmarkEnd w:id="9039"/>
      <w:bookmarkEnd w:id="9040"/>
      <w:bookmarkEnd w:id="9041"/>
    </w:p>
    <w:p w14:paraId="3D19CA92" w14:textId="77777777" w:rsidR="001C08A5" w:rsidRDefault="001C08A5">
      <w:pPr>
        <w:autoSpaceDE w:val="0"/>
        <w:autoSpaceDN w:val="0"/>
        <w:adjustRightInd w:val="0"/>
        <w:jc w:val="center"/>
        <w:rPr>
          <w:b/>
          <w:bCs/>
          <w:i/>
          <w:iCs/>
          <w:sz w:val="24"/>
          <w:szCs w:val="24"/>
          <w:lang w:eastAsia="en-US"/>
        </w:rPr>
      </w:pPr>
    </w:p>
    <w:p w14:paraId="217D0DD2" w14:textId="77777777" w:rsidR="001C08A5" w:rsidRDefault="00000000">
      <w:pPr>
        <w:numPr>
          <w:ilvl w:val="0"/>
          <w:numId w:val="96"/>
        </w:numPr>
        <w:tabs>
          <w:tab w:val="left" w:pos="426"/>
          <w:tab w:val="left" w:pos="993"/>
        </w:tabs>
        <w:jc w:val="both"/>
        <w:rPr>
          <w:b/>
          <w:bCs/>
          <w:i/>
          <w:iCs/>
          <w:sz w:val="24"/>
          <w:szCs w:val="24"/>
          <w:lang w:eastAsia="en-US"/>
        </w:rPr>
      </w:pPr>
      <w:r>
        <w:rPr>
          <w:rFonts w:eastAsia="Noto Sans"/>
          <w:bCs/>
          <w:i/>
          <w:iCs/>
          <w:sz w:val="24"/>
          <w:szCs w:val="24"/>
        </w:rPr>
        <w:t xml:space="preserve">Planul clădirii ABCDEFGHIJMNOPA (conform </w:t>
      </w:r>
      <w:r>
        <w:rPr>
          <w:rFonts w:eastAsia="Noto Sans"/>
          <w:bCs/>
        </w:rPr>
        <w:t>Figura 227</w:t>
      </w:r>
      <w:r>
        <w:rPr>
          <w:rFonts w:eastAsia="Noto Sans"/>
          <w:bCs/>
          <w:i/>
          <w:iCs/>
          <w:sz w:val="24"/>
          <w:szCs w:val="24"/>
        </w:rPr>
        <w:t>) și nu are pereți în comun cu alte clădiri (sau compartimente de incendiu). Amprenta la sol a clădirii este perimetrul maxim al planului obținut de proiecția verticală (pe orizontală) a oricărui punct ce definește un etaj în consolă (respectiv conturul definit de punctele  ABCDEFGHIJMNOPA).Perimetrul clădirii în sensul prevederilor normate este suma lungimilor pereților exteriori, ținând cont de amprenta la sol a etajelor în consolă, respectiv (A la B la C la D la E la F la G la H la I la J la M la N la O la P la A).</w:t>
      </w:r>
      <w:r>
        <w:rPr>
          <w:rFonts w:eastAsia="Noto Sans"/>
          <w:bCs/>
          <w:i/>
          <w:sz w:val="24"/>
          <w:szCs w:val="24"/>
        </w:rPr>
        <w:t xml:space="preserve"> </w:t>
      </w:r>
    </w:p>
    <w:p w14:paraId="5587EF67"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66DF7383" wp14:editId="255F61FA">
            <wp:extent cx="4665345" cy="2841625"/>
            <wp:effectExtent l="0" t="0" r="1905" b="15875"/>
            <wp:docPr id="18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32"/>
                    <pic:cNvPicPr>
                      <a:picLocks noChangeAspect="1"/>
                    </pic:cNvPicPr>
                  </pic:nvPicPr>
                  <pic:blipFill>
                    <a:blip r:embed="rId450"/>
                    <a:srcRect l="13805" t="38252" r="16791" b="2960"/>
                    <a:stretch>
                      <a:fillRect/>
                    </a:stretch>
                  </pic:blipFill>
                  <pic:spPr>
                    <a:xfrm>
                      <a:off x="0" y="0"/>
                      <a:ext cx="4665345" cy="2841625"/>
                    </a:xfrm>
                    <a:prstGeom prst="rect">
                      <a:avLst/>
                    </a:prstGeom>
                    <a:noFill/>
                    <a:ln>
                      <a:noFill/>
                    </a:ln>
                  </pic:spPr>
                </pic:pic>
              </a:graphicData>
            </a:graphic>
          </wp:inline>
        </w:drawing>
      </w:r>
    </w:p>
    <w:p w14:paraId="5AF83282" w14:textId="77777777" w:rsidR="001C08A5" w:rsidRDefault="00000000">
      <w:pPr>
        <w:pStyle w:val="Caption"/>
        <w:jc w:val="center"/>
      </w:pPr>
      <w:bookmarkStart w:id="9042" w:name="_Toc162360451"/>
      <w:r>
        <w:t xml:space="preserve">Figura </w:t>
      </w:r>
      <w:r>
        <w:fldChar w:fldCharType="begin"/>
      </w:r>
      <w:r>
        <w:instrText xml:space="preserve"> SEQ Figura \* ARABIC </w:instrText>
      </w:r>
      <w:r>
        <w:fldChar w:fldCharType="separate"/>
      </w:r>
      <w:r>
        <w:t>227</w:t>
      </w:r>
      <w:r>
        <w:fldChar w:fldCharType="end"/>
      </w:r>
      <w:bookmarkStart w:id="9043" w:name="_Toc26807"/>
      <w:bookmarkStart w:id="9044" w:name="_Toc7781"/>
      <w:bookmarkStart w:id="9045" w:name="_Toc5735"/>
      <w:bookmarkStart w:id="9046" w:name="_Toc25681"/>
      <w:bookmarkStart w:id="9047" w:name="_Toc27162"/>
      <w:bookmarkStart w:id="9048" w:name="_Toc3463"/>
      <w:bookmarkStart w:id="9049" w:name="_Toc31265"/>
      <w:bookmarkStart w:id="9050" w:name="_Toc31781"/>
      <w:bookmarkStart w:id="9051" w:name="_Toc11170"/>
      <w:r>
        <w:t xml:space="preserve"> - </w:t>
      </w:r>
      <w:r>
        <w:rPr>
          <w:lang w:eastAsia="ar"/>
        </w:rPr>
        <w:t>P</w:t>
      </w:r>
      <w:r>
        <w:rPr>
          <w:lang w:val="en-US" w:eastAsia="ar"/>
        </w:rPr>
        <w:t>erimetrul pereților exteriori</w:t>
      </w:r>
      <w:r>
        <w:rPr>
          <w:lang w:eastAsia="ar"/>
        </w:rPr>
        <w:t xml:space="preserve"> accesibil mașinilor de intervenție - </w:t>
      </w:r>
      <w:r>
        <w:rPr>
          <w:rFonts w:cs="Times New Roman"/>
          <w:bCs/>
        </w:rPr>
        <w:t>clădire fără pereți antifoc spre vecinătăți (amplasată la distanțe de siguranță)</w:t>
      </w:r>
      <w:bookmarkEnd w:id="9042"/>
      <w:bookmarkEnd w:id="9043"/>
      <w:bookmarkEnd w:id="9044"/>
      <w:bookmarkEnd w:id="9045"/>
      <w:bookmarkEnd w:id="9046"/>
      <w:bookmarkEnd w:id="9047"/>
      <w:bookmarkEnd w:id="9048"/>
      <w:bookmarkEnd w:id="9049"/>
      <w:bookmarkEnd w:id="9050"/>
      <w:bookmarkEnd w:id="9051"/>
    </w:p>
    <w:p w14:paraId="7EB69B3C" w14:textId="77777777" w:rsidR="001C08A5" w:rsidRDefault="00000000">
      <w:pPr>
        <w:pStyle w:val="Heading2"/>
        <w:rPr>
          <w:sz w:val="28"/>
        </w:rPr>
      </w:pPr>
      <w:bookmarkStart w:id="9052" w:name="_Toc27275"/>
      <w:bookmarkStart w:id="9053" w:name="_Toc26979"/>
      <w:bookmarkStart w:id="9054" w:name="_Toc14332"/>
      <w:bookmarkStart w:id="9055" w:name="_Toc162355471"/>
      <w:bookmarkStart w:id="9056" w:name="_Toc28022"/>
      <w:bookmarkStart w:id="9057" w:name="_Toc7746"/>
      <w:bookmarkStart w:id="9058" w:name="_Toc1851"/>
      <w:bookmarkStart w:id="9059" w:name="_Toc17614"/>
      <w:bookmarkStart w:id="9060" w:name="_Toc25440"/>
      <w:bookmarkStart w:id="9061" w:name="_Toc20412"/>
      <w:bookmarkStart w:id="9062" w:name="_Toc31443"/>
      <w:bookmarkStart w:id="9063" w:name="_Toc30676"/>
      <w:bookmarkStart w:id="9064" w:name="_Toc24888"/>
      <w:bookmarkStart w:id="9065" w:name="_Toc3242"/>
      <w:bookmarkStart w:id="9066" w:name="_Toc21700"/>
      <w:bookmarkStart w:id="9067" w:name="_Toc5570"/>
      <w:bookmarkStart w:id="9068" w:name="_Toc6369"/>
      <w:bookmarkEnd w:id="9022"/>
      <w:r>
        <w:rPr>
          <w:sz w:val="28"/>
        </w:rPr>
        <w:t>ANEXA 7 - PERFORMANŢE SPECIFICE UNOR FUNCŢIUNI ALE CONSTRUCŢIILOR</w:t>
      </w:r>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r>
        <w:rPr>
          <w:sz w:val="28"/>
        </w:rPr>
        <w:t xml:space="preserve"> </w:t>
      </w:r>
      <w:bookmarkStart w:id="9069" w:name="_Toc19171"/>
    </w:p>
    <w:p w14:paraId="3E6E5039" w14:textId="77777777" w:rsidR="001C08A5" w:rsidRDefault="00000000">
      <w:pPr>
        <w:pStyle w:val="Heading3"/>
        <w:rPr>
          <w:i/>
          <w:iCs/>
          <w:sz w:val="24"/>
          <w:szCs w:val="24"/>
        </w:rPr>
      </w:pPr>
      <w:bookmarkStart w:id="9070" w:name="_Toc24386"/>
      <w:bookmarkStart w:id="9071" w:name="_Toc10434"/>
      <w:bookmarkStart w:id="9072" w:name="_Toc162355472"/>
      <w:bookmarkStart w:id="9073" w:name="_Toc9357"/>
      <w:bookmarkStart w:id="9074" w:name="_Toc25388"/>
      <w:bookmarkStart w:id="9075" w:name="_Toc28868"/>
      <w:bookmarkStart w:id="9076" w:name="_Toc9016"/>
      <w:bookmarkStart w:id="9077" w:name="_Toc10393"/>
      <w:bookmarkStart w:id="9078" w:name="_Toc5034"/>
      <w:bookmarkStart w:id="9079" w:name="_Toc14194"/>
      <w:bookmarkStart w:id="9080" w:name="_Toc1682"/>
      <w:bookmarkStart w:id="9081" w:name="_Toc8285"/>
      <w:bookmarkStart w:id="9082" w:name="_Toc32736"/>
      <w:bookmarkStart w:id="9083" w:name="_Toc5275"/>
      <w:bookmarkStart w:id="9084" w:name="_Toc4174"/>
      <w:bookmarkStart w:id="9085" w:name="_Toc17231"/>
      <w:bookmarkStart w:id="9086" w:name="_Toc12300"/>
      <w:r>
        <w:rPr>
          <w:i/>
          <w:iCs/>
          <w:sz w:val="24"/>
          <w:szCs w:val="24"/>
        </w:rPr>
        <w:t>ANEXA 7.1 - CLĂDIRI CIVILE CU ÎNĂLŢIMI OBIŞNUITE</w:t>
      </w:r>
      <w:bookmarkEnd w:id="9069"/>
      <w:r>
        <w:rPr>
          <w:i/>
          <w:iCs/>
          <w:sz w:val="24"/>
          <w:szCs w:val="24"/>
        </w:rPr>
        <w:t xml:space="preserve"> - CLĂDIRI PENTRU SĂNĂTATE</w:t>
      </w:r>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p>
    <w:p w14:paraId="29086543" w14:textId="77777777" w:rsidR="001C08A5" w:rsidRDefault="00000000">
      <w:pPr>
        <w:pStyle w:val="Heading4"/>
        <w:rPr>
          <w:sz w:val="24"/>
          <w:szCs w:val="24"/>
        </w:rPr>
      </w:pPr>
      <w:bookmarkStart w:id="9087" w:name="_Toc8608"/>
      <w:bookmarkStart w:id="9088" w:name="_Toc13074"/>
      <w:bookmarkStart w:id="9089" w:name="_Toc21343"/>
      <w:bookmarkStart w:id="9090" w:name="_Toc18631"/>
      <w:bookmarkStart w:id="9091" w:name="_Toc6312"/>
      <w:bookmarkStart w:id="9092" w:name="_Toc26081"/>
      <w:bookmarkStart w:id="9093" w:name="_Toc5486"/>
      <w:bookmarkStart w:id="9094" w:name="_Toc18205"/>
      <w:bookmarkStart w:id="9095" w:name="_Toc3688"/>
      <w:bookmarkStart w:id="9096" w:name="_Toc15919"/>
      <w:bookmarkStart w:id="9097" w:name="_Toc162355473"/>
      <w:bookmarkStart w:id="9098" w:name="_Toc20104"/>
      <w:bookmarkStart w:id="9099" w:name="_Toc27975"/>
      <w:bookmarkStart w:id="9100" w:name="_Toc16226"/>
      <w:bookmarkStart w:id="9101" w:name="_Toc12417"/>
      <w:bookmarkStart w:id="9102" w:name="_Toc31413"/>
      <w:r>
        <w:rPr>
          <w:sz w:val="24"/>
          <w:szCs w:val="24"/>
        </w:rPr>
        <w:t>Generalități (la funcțiuni sanitare: spitale, policlinici, dispensare, creşe, case de copii, cămine de bătrâni şi persoane cu dizabilități, sanatorii etc.)</w:t>
      </w:r>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p>
    <w:p w14:paraId="42218AEA"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„Spitalul” este o clădire utilizată pentru îngrijiri medicale și chirurgicale și trebuie să includă funcțiuni de asistență medicală cu servicii continue (de 24 de ore), astfel de clădiri includ, fără a se limita la, următoarele:</w:t>
      </w:r>
    </w:p>
    <w:p w14:paraId="1BDB091A" w14:textId="77777777" w:rsidR="001C08A5" w:rsidRDefault="00000000">
      <w:pPr>
        <w:jc w:val="both"/>
        <w:rPr>
          <w:rFonts w:eastAsia="Times New Roman"/>
          <w:i/>
          <w:sz w:val="24"/>
          <w:szCs w:val="24"/>
        </w:rPr>
      </w:pPr>
      <w:r>
        <w:rPr>
          <w:rFonts w:eastAsia="Times New Roman"/>
          <w:i/>
          <w:sz w:val="24"/>
          <w:szCs w:val="24"/>
        </w:rPr>
        <w:tab/>
      </w:r>
      <w:r>
        <w:rPr>
          <w:rFonts w:eastAsia="Times New Roman"/>
          <w:i/>
          <w:sz w:val="24"/>
          <w:szCs w:val="24"/>
        </w:rPr>
        <w:tab/>
        <w:t>a. Spitale generale (universitare, de urgență, regionale, etc.);</w:t>
      </w:r>
    </w:p>
    <w:p w14:paraId="3CF8F8F8" w14:textId="77777777" w:rsidR="001C08A5" w:rsidRDefault="00000000">
      <w:pPr>
        <w:jc w:val="both"/>
        <w:rPr>
          <w:rFonts w:eastAsia="Times New Roman"/>
          <w:i/>
          <w:sz w:val="24"/>
          <w:szCs w:val="24"/>
        </w:rPr>
      </w:pPr>
      <w:r>
        <w:rPr>
          <w:rFonts w:eastAsia="Times New Roman"/>
          <w:i/>
          <w:sz w:val="24"/>
          <w:szCs w:val="24"/>
        </w:rPr>
        <w:tab/>
      </w:r>
      <w:r>
        <w:rPr>
          <w:rFonts w:eastAsia="Times New Roman"/>
          <w:i/>
          <w:sz w:val="24"/>
          <w:szCs w:val="24"/>
        </w:rPr>
        <w:tab/>
        <w:t>b. Spitale psihiatrice (institut de sănătate mintală);</w:t>
      </w:r>
    </w:p>
    <w:p w14:paraId="367429B8" w14:textId="77777777" w:rsidR="001C08A5" w:rsidRDefault="00000000">
      <w:pPr>
        <w:jc w:val="both"/>
        <w:rPr>
          <w:rFonts w:eastAsia="Times New Roman"/>
          <w:i/>
          <w:sz w:val="24"/>
          <w:szCs w:val="24"/>
        </w:rPr>
      </w:pPr>
      <w:r>
        <w:rPr>
          <w:rFonts w:eastAsia="Times New Roman"/>
          <w:i/>
          <w:sz w:val="24"/>
          <w:szCs w:val="24"/>
        </w:rPr>
        <w:tab/>
      </w:r>
      <w:r>
        <w:rPr>
          <w:rFonts w:eastAsia="Times New Roman"/>
          <w:i/>
          <w:sz w:val="24"/>
          <w:szCs w:val="24"/>
        </w:rPr>
        <w:tab/>
        <w:t>c. Spitale pentru copii (copii și parinți); și</w:t>
      </w:r>
    </w:p>
    <w:p w14:paraId="217159B4" w14:textId="77777777" w:rsidR="001C08A5" w:rsidRDefault="00000000">
      <w:pPr>
        <w:jc w:val="both"/>
        <w:rPr>
          <w:rFonts w:eastAsia="Times New Roman"/>
          <w:i/>
          <w:sz w:val="24"/>
          <w:szCs w:val="24"/>
        </w:rPr>
      </w:pPr>
      <w:r>
        <w:rPr>
          <w:rFonts w:eastAsia="Times New Roman"/>
          <w:i/>
          <w:sz w:val="24"/>
          <w:szCs w:val="24"/>
        </w:rPr>
        <w:tab/>
      </w:r>
      <w:r>
        <w:rPr>
          <w:rFonts w:eastAsia="Times New Roman"/>
          <w:i/>
          <w:sz w:val="24"/>
          <w:szCs w:val="24"/>
        </w:rPr>
        <w:tab/>
        <w:t>d. Spitale comunitare (semiregionale).</w:t>
      </w:r>
    </w:p>
    <w:p w14:paraId="148B0A69" w14:textId="77777777" w:rsidR="001C08A5" w:rsidRDefault="00000000">
      <w:pPr>
        <w:jc w:val="both"/>
        <w:rPr>
          <w:rFonts w:eastAsia="Times New Roman"/>
          <w:i/>
          <w:sz w:val="24"/>
          <w:szCs w:val="24"/>
        </w:rPr>
      </w:pPr>
      <w:r>
        <w:rPr>
          <w:rFonts w:eastAsia="Times New Roman"/>
          <w:i/>
          <w:sz w:val="24"/>
          <w:szCs w:val="24"/>
        </w:rPr>
        <w:t>(Spitalul este unitatea sanitară cu paturi, de utilitate publică, cu personalitate juridică, proprietate publică sau privată, care asigură servicii medicale. Serviciile medicale acordate de spital sunt: preventive, curative, de recuperare şi paleative, de îngrijire în caz de graviditate şi maternitate, precum şi a nou-născutului, etc.)</w:t>
      </w:r>
    </w:p>
    <w:p w14:paraId="351B2494" w14:textId="77777777" w:rsidR="001C08A5" w:rsidRDefault="001C08A5">
      <w:pPr>
        <w:jc w:val="both"/>
        <w:rPr>
          <w:rFonts w:eastAsia="Times New Roman"/>
          <w:i/>
          <w:sz w:val="24"/>
          <w:szCs w:val="24"/>
        </w:rPr>
      </w:pPr>
    </w:p>
    <w:p w14:paraId="6D5711B6"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„Funcțiune de îngrijire medicală” se referă la o clădire sau o parte a acesteia, utilizată pentru adăpostirea și îngrijirea medicală continuă a persoanelor (24 de ore din 24), care, din cauza incapacității fizice, nu pot avea grijă de propriile nevoi și siguranță fără asistență asistată (a altor persoane). Aceste funcțiuni oferă îngrijire medicală internată și includ următoarele:</w:t>
      </w:r>
    </w:p>
    <w:p w14:paraId="404F6C0D" w14:textId="77777777" w:rsidR="001C08A5" w:rsidRDefault="00000000">
      <w:pPr>
        <w:jc w:val="both"/>
        <w:rPr>
          <w:rFonts w:eastAsia="Times New Roman"/>
          <w:i/>
          <w:sz w:val="24"/>
          <w:szCs w:val="24"/>
        </w:rPr>
      </w:pPr>
      <w:r>
        <w:rPr>
          <w:rFonts w:eastAsia="Times New Roman"/>
          <w:i/>
          <w:sz w:val="24"/>
          <w:szCs w:val="24"/>
        </w:rPr>
        <w:lastRenderedPageBreak/>
        <w:tab/>
      </w:r>
      <w:r>
        <w:rPr>
          <w:rFonts w:eastAsia="Times New Roman"/>
          <w:i/>
          <w:sz w:val="24"/>
          <w:szCs w:val="24"/>
        </w:rPr>
        <w:tab/>
        <w:t>a. Azile;</w:t>
      </w:r>
    </w:p>
    <w:p w14:paraId="41F10F28" w14:textId="77777777" w:rsidR="001C08A5" w:rsidRDefault="00000000">
      <w:pPr>
        <w:jc w:val="both"/>
        <w:rPr>
          <w:rFonts w:eastAsia="Times New Roman"/>
          <w:i/>
          <w:sz w:val="24"/>
          <w:szCs w:val="24"/>
        </w:rPr>
      </w:pPr>
      <w:r>
        <w:rPr>
          <w:rFonts w:eastAsia="Times New Roman"/>
          <w:i/>
          <w:sz w:val="24"/>
          <w:szCs w:val="24"/>
        </w:rPr>
        <w:tab/>
      </w:r>
      <w:r>
        <w:rPr>
          <w:rFonts w:eastAsia="Times New Roman"/>
          <w:i/>
          <w:sz w:val="24"/>
          <w:szCs w:val="24"/>
        </w:rPr>
        <w:tab/>
        <w:t>b. Cămine de bătrâni şi persoane cu dizabilități; și</w:t>
      </w:r>
    </w:p>
    <w:p w14:paraId="57DF429A" w14:textId="77777777" w:rsidR="001C08A5" w:rsidRDefault="00000000">
      <w:pPr>
        <w:jc w:val="both"/>
        <w:rPr>
          <w:rFonts w:eastAsia="Times New Roman"/>
          <w:i/>
          <w:sz w:val="24"/>
          <w:szCs w:val="24"/>
          <w:lang w:val="en-US"/>
        </w:rPr>
      </w:pPr>
      <w:r>
        <w:rPr>
          <w:rFonts w:eastAsia="Times New Roman"/>
          <w:i/>
          <w:sz w:val="24"/>
          <w:szCs w:val="24"/>
        </w:rPr>
        <w:tab/>
      </w:r>
      <w:r>
        <w:rPr>
          <w:rFonts w:eastAsia="Times New Roman"/>
          <w:i/>
          <w:sz w:val="24"/>
          <w:szCs w:val="24"/>
        </w:rPr>
        <w:tab/>
        <w:t>c. Ospicii</w:t>
      </w:r>
      <w:r>
        <w:rPr>
          <w:rFonts w:eastAsia="Times New Roman"/>
          <w:i/>
          <w:sz w:val="24"/>
          <w:szCs w:val="24"/>
          <w:lang w:val="en-US"/>
        </w:rPr>
        <w:t>;</w:t>
      </w:r>
    </w:p>
    <w:p w14:paraId="2B0AFC51" w14:textId="77777777" w:rsidR="001C08A5" w:rsidRDefault="00000000">
      <w:pPr>
        <w:jc w:val="both"/>
        <w:rPr>
          <w:rFonts w:eastAsia="Times New Roman"/>
          <w:i/>
          <w:sz w:val="24"/>
          <w:szCs w:val="24"/>
          <w:lang w:val="en-US"/>
        </w:rPr>
      </w:pPr>
      <w:r>
        <w:rPr>
          <w:rFonts w:eastAsia="Times New Roman"/>
          <w:i/>
          <w:sz w:val="24"/>
          <w:szCs w:val="24"/>
          <w:lang w:val="en-US"/>
        </w:rPr>
        <w:tab/>
      </w:r>
      <w:r>
        <w:rPr>
          <w:rFonts w:eastAsia="Times New Roman"/>
          <w:i/>
          <w:sz w:val="24"/>
          <w:szCs w:val="24"/>
          <w:lang w:val="en-US"/>
        </w:rPr>
        <w:tab/>
        <w:t>d. Altele similare</w:t>
      </w:r>
    </w:p>
    <w:p w14:paraId="5F7E7841" w14:textId="77777777" w:rsidR="001C08A5" w:rsidRDefault="001C08A5">
      <w:pPr>
        <w:jc w:val="both"/>
        <w:rPr>
          <w:rFonts w:eastAsia="Times New Roman"/>
          <w:i/>
          <w:sz w:val="24"/>
          <w:szCs w:val="24"/>
          <w:lang w:val="en-US"/>
        </w:rPr>
      </w:pPr>
    </w:p>
    <w:p w14:paraId="11D844BC"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„Funcțiune de îngrijire ambulatorie” este o clădire sau o parte a acesteia, utilizată pentru servicii medicale în ambulatoriu pentru tratamentul pacienților, pacienți incapabili să ia măsuri pentru autoconservare sau siguranță în condiții de urgență, fără posibilitate de evacuare singuri (fără asistență asistată). Aceste funcțiuni includ următoarele:</w:t>
      </w:r>
    </w:p>
    <w:p w14:paraId="30D1A216" w14:textId="77777777" w:rsidR="001C08A5" w:rsidRDefault="00000000">
      <w:pPr>
        <w:ind w:left="720"/>
        <w:jc w:val="both"/>
        <w:rPr>
          <w:rFonts w:eastAsia="Times New Roman"/>
          <w:i/>
          <w:sz w:val="24"/>
          <w:szCs w:val="24"/>
        </w:rPr>
      </w:pPr>
      <w:r>
        <w:rPr>
          <w:rFonts w:eastAsia="Times New Roman"/>
          <w:i/>
          <w:sz w:val="24"/>
          <w:szCs w:val="24"/>
        </w:rPr>
        <w:t>-</w:t>
      </w:r>
      <w:r>
        <w:rPr>
          <w:rFonts w:eastAsia="Times New Roman"/>
          <w:i/>
          <w:sz w:val="24"/>
          <w:szCs w:val="24"/>
        </w:rPr>
        <w:tab/>
        <w:t>Clinici de zi pentru dializă renală;</w:t>
      </w:r>
    </w:p>
    <w:p w14:paraId="7543EBE6" w14:textId="77777777" w:rsidR="001C08A5" w:rsidRDefault="00000000">
      <w:pPr>
        <w:ind w:left="720"/>
        <w:jc w:val="both"/>
        <w:rPr>
          <w:rFonts w:eastAsia="Times New Roman"/>
          <w:i/>
          <w:sz w:val="24"/>
          <w:szCs w:val="24"/>
        </w:rPr>
      </w:pPr>
      <w:r>
        <w:rPr>
          <w:rFonts w:eastAsia="Times New Roman"/>
          <w:i/>
          <w:sz w:val="24"/>
          <w:szCs w:val="24"/>
        </w:rPr>
        <w:t>-</w:t>
      </w:r>
      <w:r>
        <w:rPr>
          <w:rFonts w:eastAsia="Times New Roman"/>
          <w:i/>
          <w:sz w:val="24"/>
          <w:szCs w:val="24"/>
        </w:rPr>
        <w:tab/>
        <w:t>Clinici estetice și alte clinici cu tratament chirurgical care necesită anestezie generală;</w:t>
      </w:r>
    </w:p>
    <w:p w14:paraId="49BDC273" w14:textId="77777777" w:rsidR="001C08A5" w:rsidRDefault="00000000">
      <w:pPr>
        <w:ind w:left="720"/>
        <w:jc w:val="both"/>
        <w:rPr>
          <w:rFonts w:eastAsia="Times New Roman"/>
          <w:i/>
          <w:sz w:val="24"/>
          <w:szCs w:val="24"/>
        </w:rPr>
      </w:pPr>
      <w:r>
        <w:rPr>
          <w:rFonts w:eastAsia="Times New Roman"/>
          <w:i/>
          <w:sz w:val="24"/>
          <w:szCs w:val="24"/>
        </w:rPr>
        <w:t>-</w:t>
      </w:r>
      <w:r>
        <w:rPr>
          <w:rFonts w:eastAsia="Times New Roman"/>
          <w:i/>
          <w:sz w:val="24"/>
          <w:szCs w:val="24"/>
        </w:rPr>
        <w:tab/>
        <w:t>Clinici de zi de reabilitare non-mentală;</w:t>
      </w:r>
    </w:p>
    <w:p w14:paraId="0FD9A533" w14:textId="77777777" w:rsidR="001C08A5" w:rsidRDefault="00000000">
      <w:pPr>
        <w:ind w:left="720"/>
        <w:jc w:val="both"/>
        <w:rPr>
          <w:rFonts w:eastAsia="Times New Roman"/>
          <w:i/>
          <w:sz w:val="24"/>
          <w:szCs w:val="24"/>
        </w:rPr>
      </w:pPr>
      <w:r>
        <w:rPr>
          <w:rFonts w:eastAsia="Times New Roman"/>
          <w:i/>
          <w:sz w:val="24"/>
          <w:szCs w:val="24"/>
        </w:rPr>
        <w:t>-</w:t>
      </w:r>
      <w:r>
        <w:rPr>
          <w:rFonts w:eastAsia="Times New Roman"/>
          <w:i/>
          <w:sz w:val="24"/>
          <w:szCs w:val="24"/>
        </w:rPr>
        <w:tab/>
        <w:t>Clinici de endoscopie.</w:t>
      </w:r>
    </w:p>
    <w:p w14:paraId="2BA34CD3" w14:textId="77777777" w:rsidR="001C08A5" w:rsidRDefault="00000000">
      <w:pPr>
        <w:ind w:left="720"/>
        <w:jc w:val="both"/>
        <w:rPr>
          <w:rFonts w:eastAsia="Times New Roman"/>
          <w:i/>
          <w:sz w:val="24"/>
          <w:szCs w:val="24"/>
          <w:lang w:val="en-US"/>
        </w:rPr>
      </w:pPr>
      <w:r>
        <w:rPr>
          <w:rFonts w:eastAsia="Times New Roman"/>
          <w:i/>
          <w:sz w:val="24"/>
          <w:szCs w:val="24"/>
        </w:rPr>
        <w:t>-</w:t>
      </w:r>
      <w:r>
        <w:rPr>
          <w:rFonts w:eastAsia="Times New Roman"/>
          <w:i/>
          <w:sz w:val="24"/>
          <w:szCs w:val="24"/>
        </w:rPr>
        <w:tab/>
        <w:t>A</w:t>
      </w:r>
      <w:r>
        <w:rPr>
          <w:rFonts w:eastAsia="Times New Roman"/>
          <w:i/>
          <w:sz w:val="24"/>
          <w:szCs w:val="24"/>
          <w:lang w:val="en-US"/>
        </w:rPr>
        <w:t>ltele similare</w:t>
      </w:r>
    </w:p>
    <w:p w14:paraId="32C71671" w14:textId="77777777" w:rsidR="001C08A5" w:rsidRDefault="001C08A5">
      <w:pPr>
        <w:ind w:left="720"/>
        <w:jc w:val="both"/>
        <w:rPr>
          <w:rFonts w:eastAsia="Times New Roman"/>
          <w:i/>
          <w:sz w:val="24"/>
          <w:szCs w:val="24"/>
          <w:lang w:val="en-US"/>
        </w:rPr>
      </w:pPr>
    </w:p>
    <w:p w14:paraId="1AB4B416"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„Funcțiune de îngrijire asistată" este o clădire sau o parte a acesteia, fără ședere în camere de cazare (nocturna), folosită de persoane care, din cauza vârstei sau a dizabilităților fizice sau psihice, nu pot să-și autoconserve siguranța. Astfel de funcțiuni includ următoarele:</w:t>
      </w:r>
    </w:p>
    <w:p w14:paraId="216D6AF7" w14:textId="77777777" w:rsidR="001C08A5" w:rsidRDefault="00000000">
      <w:pPr>
        <w:ind w:left="720"/>
        <w:jc w:val="both"/>
        <w:rPr>
          <w:rFonts w:eastAsia="Times New Roman"/>
          <w:i/>
          <w:sz w:val="24"/>
          <w:szCs w:val="24"/>
        </w:rPr>
      </w:pPr>
      <w:r>
        <w:rPr>
          <w:rFonts w:eastAsia="Times New Roman"/>
          <w:i/>
          <w:sz w:val="24"/>
          <w:szCs w:val="24"/>
        </w:rPr>
        <w:t>A.</w:t>
      </w:r>
      <w:r>
        <w:rPr>
          <w:rFonts w:eastAsia="Times New Roman"/>
          <w:i/>
          <w:sz w:val="24"/>
          <w:szCs w:val="24"/>
        </w:rPr>
        <w:tab/>
        <w:t>(Ante)Preșcolar (case de copii - pentru copii cu vârsta antepreșcolară, de exemplu, creșe, centre de zi pentru îngrijirea copiilor, etc.); -</w:t>
      </w:r>
    </w:p>
    <w:p w14:paraId="7DAD3754" w14:textId="77777777" w:rsidR="001C08A5" w:rsidRDefault="00000000">
      <w:pPr>
        <w:ind w:left="720"/>
        <w:jc w:val="both"/>
        <w:rPr>
          <w:rFonts w:eastAsia="Times New Roman"/>
          <w:i/>
          <w:sz w:val="24"/>
          <w:szCs w:val="24"/>
        </w:rPr>
      </w:pPr>
      <w:r>
        <w:rPr>
          <w:rFonts w:eastAsia="Times New Roman"/>
          <w:i/>
          <w:sz w:val="24"/>
          <w:szCs w:val="24"/>
        </w:rPr>
        <w:t>B.</w:t>
      </w:r>
      <w:r>
        <w:rPr>
          <w:rFonts w:eastAsia="Times New Roman"/>
          <w:i/>
          <w:sz w:val="24"/>
          <w:szCs w:val="24"/>
        </w:rPr>
        <w:tab/>
        <w:t>Centre de zi de îngrijire:</w:t>
      </w:r>
    </w:p>
    <w:p w14:paraId="79309B28" w14:textId="77777777" w:rsidR="001C08A5" w:rsidRDefault="00000000">
      <w:pPr>
        <w:ind w:left="720"/>
        <w:jc w:val="both"/>
        <w:rPr>
          <w:rFonts w:eastAsia="Times New Roman"/>
          <w:i/>
          <w:sz w:val="24"/>
          <w:szCs w:val="24"/>
        </w:rPr>
      </w:pPr>
      <w:r>
        <w:rPr>
          <w:rFonts w:eastAsia="Times New Roman"/>
          <w:i/>
          <w:sz w:val="24"/>
          <w:szCs w:val="24"/>
        </w:rPr>
        <w:tab/>
      </w:r>
      <w:r>
        <w:rPr>
          <w:rFonts w:eastAsia="Times New Roman"/>
          <w:i/>
          <w:sz w:val="24"/>
          <w:szCs w:val="24"/>
        </w:rPr>
        <w:tab/>
        <w:t>- Centre de zi pentru îngrijirea persoanelor în vârstă;</w:t>
      </w:r>
    </w:p>
    <w:p w14:paraId="58BD414B" w14:textId="77777777" w:rsidR="001C08A5" w:rsidRDefault="00000000">
      <w:pPr>
        <w:ind w:left="720"/>
        <w:jc w:val="both"/>
        <w:rPr>
          <w:rFonts w:eastAsia="Times New Roman"/>
          <w:i/>
          <w:sz w:val="24"/>
          <w:szCs w:val="24"/>
        </w:rPr>
      </w:pPr>
      <w:r>
        <w:rPr>
          <w:rFonts w:eastAsia="Times New Roman"/>
          <w:i/>
          <w:sz w:val="24"/>
          <w:szCs w:val="24"/>
        </w:rPr>
        <w:tab/>
      </w:r>
      <w:r>
        <w:rPr>
          <w:rFonts w:eastAsia="Times New Roman"/>
          <w:i/>
          <w:sz w:val="24"/>
          <w:szCs w:val="24"/>
        </w:rPr>
        <w:tab/>
        <w:t>- Centre de zi pentru persoane cu dizabilități mintale;</w:t>
      </w:r>
    </w:p>
    <w:p w14:paraId="6F7ECC82" w14:textId="77777777" w:rsidR="001C08A5" w:rsidRDefault="00000000">
      <w:pPr>
        <w:ind w:left="720"/>
        <w:jc w:val="both"/>
        <w:rPr>
          <w:rFonts w:eastAsia="Times New Roman"/>
          <w:i/>
          <w:sz w:val="24"/>
          <w:szCs w:val="24"/>
        </w:rPr>
      </w:pPr>
      <w:r>
        <w:rPr>
          <w:rFonts w:eastAsia="Times New Roman"/>
          <w:i/>
          <w:sz w:val="24"/>
          <w:szCs w:val="24"/>
        </w:rPr>
        <w:tab/>
      </w:r>
      <w:r>
        <w:rPr>
          <w:rFonts w:eastAsia="Times New Roman"/>
          <w:i/>
          <w:sz w:val="24"/>
          <w:szCs w:val="24"/>
        </w:rPr>
        <w:tab/>
        <w:t>- Centre de îngrijire de zi pentru persoane cu dizabilități intelectuale;</w:t>
      </w:r>
    </w:p>
    <w:p w14:paraId="6E789780" w14:textId="77777777" w:rsidR="001C08A5" w:rsidRDefault="00000000">
      <w:pPr>
        <w:ind w:left="720"/>
        <w:jc w:val="both"/>
        <w:rPr>
          <w:rFonts w:eastAsia="Times New Roman"/>
          <w:i/>
          <w:sz w:val="24"/>
          <w:szCs w:val="24"/>
        </w:rPr>
      </w:pPr>
      <w:r>
        <w:rPr>
          <w:rFonts w:eastAsia="Times New Roman"/>
          <w:i/>
          <w:sz w:val="24"/>
          <w:szCs w:val="24"/>
        </w:rPr>
        <w:tab/>
      </w:r>
      <w:r>
        <w:rPr>
          <w:rFonts w:eastAsia="Times New Roman"/>
          <w:i/>
          <w:sz w:val="24"/>
          <w:szCs w:val="24"/>
        </w:rPr>
        <w:tab/>
        <w:t>- Centre de zi de reabilitare mintală/ psihiatrice și</w:t>
      </w:r>
    </w:p>
    <w:p w14:paraId="23590881" w14:textId="77777777" w:rsidR="001C08A5" w:rsidRDefault="00000000">
      <w:pPr>
        <w:ind w:left="720"/>
        <w:jc w:val="both"/>
        <w:rPr>
          <w:rFonts w:eastAsia="Times New Roman"/>
          <w:i/>
          <w:sz w:val="24"/>
          <w:szCs w:val="24"/>
        </w:rPr>
      </w:pPr>
      <w:r>
        <w:rPr>
          <w:rFonts w:eastAsia="Times New Roman"/>
          <w:i/>
          <w:sz w:val="24"/>
          <w:szCs w:val="24"/>
        </w:rPr>
        <w:tab/>
      </w:r>
      <w:r>
        <w:rPr>
          <w:rFonts w:eastAsia="Times New Roman"/>
          <w:i/>
          <w:sz w:val="24"/>
          <w:szCs w:val="24"/>
        </w:rPr>
        <w:tab/>
        <w:t>- Case de copii - pentru copii cu vârsta școlară</w:t>
      </w:r>
    </w:p>
    <w:p w14:paraId="29A81235" w14:textId="77777777" w:rsidR="001C08A5" w:rsidRDefault="00000000">
      <w:pPr>
        <w:ind w:left="720"/>
        <w:jc w:val="both"/>
        <w:rPr>
          <w:rFonts w:eastAsia="Times New Roman"/>
          <w:i/>
          <w:sz w:val="24"/>
          <w:szCs w:val="24"/>
        </w:rPr>
      </w:pPr>
      <w:r>
        <w:rPr>
          <w:rFonts w:eastAsia="Times New Roman"/>
          <w:i/>
          <w:sz w:val="24"/>
          <w:szCs w:val="24"/>
        </w:rPr>
        <w:tab/>
      </w:r>
      <w:r>
        <w:rPr>
          <w:rFonts w:eastAsia="Times New Roman"/>
          <w:i/>
          <w:sz w:val="24"/>
          <w:szCs w:val="24"/>
        </w:rPr>
        <w:tab/>
        <w:t>- A</w:t>
      </w:r>
      <w:r>
        <w:rPr>
          <w:rFonts w:eastAsia="Times New Roman"/>
          <w:i/>
          <w:sz w:val="24"/>
          <w:szCs w:val="24"/>
          <w:lang w:val="en-US"/>
        </w:rPr>
        <w:t>ltele similare</w:t>
      </w:r>
    </w:p>
    <w:p w14:paraId="2FCF50D3" w14:textId="77777777" w:rsidR="001C08A5" w:rsidRDefault="00000000">
      <w:pPr>
        <w:pStyle w:val="Heading4"/>
        <w:rPr>
          <w:sz w:val="24"/>
          <w:szCs w:val="24"/>
        </w:rPr>
      </w:pPr>
      <w:bookmarkStart w:id="9103" w:name="_Toc9604"/>
      <w:bookmarkStart w:id="9104" w:name="_Toc6159"/>
      <w:bookmarkStart w:id="9105" w:name="_Toc10487"/>
      <w:bookmarkStart w:id="9106" w:name="_Toc15493"/>
      <w:bookmarkStart w:id="9107" w:name="_Toc27783"/>
      <w:bookmarkStart w:id="9108" w:name="_Toc19813"/>
      <w:bookmarkStart w:id="9109" w:name="_Toc10387"/>
      <w:bookmarkStart w:id="9110" w:name="_Toc29870"/>
      <w:bookmarkStart w:id="9111" w:name="_Toc15577"/>
      <w:bookmarkStart w:id="9112" w:name="_Toc13018"/>
      <w:bookmarkStart w:id="9113" w:name="_Toc6697"/>
      <w:bookmarkStart w:id="9114" w:name="_Toc4585"/>
      <w:bookmarkStart w:id="9115" w:name="_Toc26504"/>
      <w:bookmarkStart w:id="9116" w:name="_Toc18906"/>
      <w:bookmarkStart w:id="9117" w:name="_Toc162355474"/>
      <w:bookmarkStart w:id="9118" w:name="_Toc20833"/>
      <w:r>
        <w:rPr>
          <w:sz w:val="24"/>
          <w:szCs w:val="24"/>
        </w:rPr>
        <w:t>Funcțiune sanitară - circulații orizontale și verticale</w:t>
      </w:r>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p>
    <w:p w14:paraId="3F5C72C3"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La clădirile pentru sănătate supraterane cu înălţimi obişnuite în care evacuarea utilizatorilor în caz de incendiu trebuie efectuată cu targa sau căruciorul, lăţimile libere ale scărilor de circulaţie funcţională şi de evacuare, vor fi de minimum </w:t>
      </w:r>
      <w:r>
        <w:rPr>
          <w:rFonts w:eastAsia="Times New Roman"/>
          <w:b/>
          <w:i/>
          <w:sz w:val="24"/>
        </w:rPr>
        <w:t>1,40</w:t>
      </w:r>
      <w:r>
        <w:rPr>
          <w:rFonts w:eastAsia="Times New Roman"/>
          <w:bCs/>
          <w:i/>
          <w:sz w:val="24"/>
        </w:rPr>
        <w:t xml:space="preserve"> m</w:t>
      </w:r>
      <w:r>
        <w:rPr>
          <w:rFonts w:eastAsia="Times New Roman"/>
          <w:i/>
          <w:sz w:val="24"/>
        </w:rPr>
        <w:t xml:space="preserve"> pentru rampele scărilor şi a planurilor înclinate, prevăzute cu paliere / podeste de</w:t>
      </w:r>
      <w:r>
        <w:rPr>
          <w:rFonts w:eastAsia="Times New Roman"/>
          <w:bCs/>
          <w:i/>
          <w:sz w:val="24"/>
        </w:rPr>
        <w:t xml:space="preserve"> </w:t>
      </w:r>
      <w:r>
        <w:rPr>
          <w:rFonts w:eastAsia="Times New Roman"/>
          <w:b/>
          <w:i/>
          <w:sz w:val="24"/>
        </w:rPr>
        <w:t>2,20</w:t>
      </w:r>
      <w:r>
        <w:rPr>
          <w:rFonts w:eastAsia="Times New Roman"/>
          <w:bCs/>
          <w:i/>
          <w:sz w:val="24"/>
        </w:rPr>
        <w:t xml:space="preserve"> m</w:t>
      </w:r>
      <w:r>
        <w:rPr>
          <w:rFonts w:eastAsia="Times New Roman"/>
          <w:i/>
          <w:sz w:val="24"/>
        </w:rPr>
        <w:t xml:space="preserve"> adâncime (</w:t>
      </w:r>
      <w:r>
        <w:rPr>
          <w:rFonts w:eastAsia="Times New Roman"/>
          <w:b/>
          <w:i/>
          <w:sz w:val="24"/>
        </w:rPr>
        <w:t>1</w:t>
      </w:r>
      <w:r>
        <w:rPr>
          <w:rFonts w:eastAsia="Times New Roman"/>
          <w:bCs/>
          <w:i/>
          <w:sz w:val="24"/>
        </w:rPr>
        <w:t xml:space="preserve"> flux </w:t>
      </w:r>
      <w:r>
        <w:rPr>
          <w:rFonts w:eastAsia="Times New Roman"/>
          <w:i/>
          <w:sz w:val="24"/>
        </w:rPr>
        <w:t xml:space="preserve">de evacuare cu targa, atunci când în compartimentul de incendiu se prevăd mai puțin de </w:t>
      </w:r>
      <w:r>
        <w:rPr>
          <w:rFonts w:eastAsia="Times New Roman"/>
          <w:b/>
          <w:bCs/>
          <w:i/>
          <w:sz w:val="24"/>
        </w:rPr>
        <w:t>120</w:t>
      </w:r>
      <w:r>
        <w:rPr>
          <w:rFonts w:eastAsia="Times New Roman"/>
          <w:i/>
          <w:sz w:val="24"/>
        </w:rPr>
        <w:t xml:space="preserve"> de paturi) sau minimum </w:t>
      </w:r>
      <w:r>
        <w:rPr>
          <w:rFonts w:eastAsia="Times New Roman"/>
          <w:b/>
          <w:i/>
          <w:sz w:val="24"/>
        </w:rPr>
        <w:t>2,20</w:t>
      </w:r>
      <w:r>
        <w:rPr>
          <w:rFonts w:eastAsia="Times New Roman"/>
          <w:bCs/>
          <w:i/>
          <w:sz w:val="24"/>
        </w:rPr>
        <w:t xml:space="preserve"> m</w:t>
      </w:r>
      <w:r>
        <w:rPr>
          <w:rFonts w:eastAsia="Times New Roman"/>
          <w:i/>
          <w:sz w:val="24"/>
        </w:rPr>
        <w:t xml:space="preserve"> pentru rampele scărilor şi a planurilor înclinate, prevăzute cu paliere / podeste de</w:t>
      </w:r>
      <w:r>
        <w:rPr>
          <w:rFonts w:eastAsia="Times New Roman"/>
          <w:bCs/>
          <w:i/>
          <w:sz w:val="24"/>
        </w:rPr>
        <w:t xml:space="preserve"> </w:t>
      </w:r>
      <w:r>
        <w:rPr>
          <w:rFonts w:eastAsia="Times New Roman"/>
          <w:b/>
          <w:i/>
          <w:sz w:val="24"/>
        </w:rPr>
        <w:t>2,60</w:t>
      </w:r>
      <w:r>
        <w:rPr>
          <w:rFonts w:eastAsia="Times New Roman"/>
          <w:bCs/>
          <w:i/>
          <w:sz w:val="24"/>
        </w:rPr>
        <w:t xml:space="preserve"> m</w:t>
      </w:r>
      <w:r>
        <w:rPr>
          <w:rFonts w:eastAsia="Times New Roman"/>
          <w:i/>
          <w:sz w:val="24"/>
        </w:rPr>
        <w:t xml:space="preserve"> adâncime (</w:t>
      </w:r>
      <w:r>
        <w:rPr>
          <w:rFonts w:eastAsia="Times New Roman"/>
          <w:b/>
          <w:i/>
          <w:sz w:val="24"/>
        </w:rPr>
        <w:t>2</w:t>
      </w:r>
      <w:r>
        <w:rPr>
          <w:rFonts w:eastAsia="Times New Roman"/>
          <w:bCs/>
          <w:i/>
          <w:sz w:val="24"/>
        </w:rPr>
        <w:t xml:space="preserve"> fluxuri </w:t>
      </w:r>
      <w:r>
        <w:rPr>
          <w:rFonts w:eastAsia="Times New Roman"/>
          <w:i/>
          <w:sz w:val="24"/>
        </w:rPr>
        <w:t xml:space="preserve">de evacuare cu targa, atunci când în compartimentul de incendiu se prevăd  de </w:t>
      </w:r>
      <w:r>
        <w:rPr>
          <w:rFonts w:eastAsia="Times New Roman"/>
          <w:b/>
          <w:bCs/>
          <w:i/>
          <w:sz w:val="24"/>
        </w:rPr>
        <w:t>120</w:t>
      </w:r>
      <w:r>
        <w:rPr>
          <w:rFonts w:eastAsia="Times New Roman"/>
          <w:i/>
          <w:sz w:val="24"/>
        </w:rPr>
        <w:t xml:space="preserve"> de paturi sau mai mult).</w:t>
      </w:r>
    </w:p>
    <w:p w14:paraId="58AB80F3" w14:textId="77777777" w:rsidR="001C08A5" w:rsidRDefault="001C08A5">
      <w:pPr>
        <w:numPr>
          <w:ilvl w:val="255"/>
          <w:numId w:val="0"/>
        </w:numPr>
        <w:tabs>
          <w:tab w:val="left" w:pos="426"/>
          <w:tab w:val="left" w:pos="993"/>
        </w:tabs>
        <w:jc w:val="both"/>
        <w:rPr>
          <w:rFonts w:eastAsia="Times New Roman"/>
          <w:b/>
          <w:i/>
          <w:sz w:val="24"/>
        </w:rPr>
      </w:pPr>
    </w:p>
    <w:p w14:paraId="467EC983" w14:textId="77777777" w:rsidR="001C08A5" w:rsidRDefault="00000000">
      <w:pPr>
        <w:numPr>
          <w:ilvl w:val="0"/>
          <w:numId w:val="96"/>
        </w:numPr>
        <w:tabs>
          <w:tab w:val="left" w:pos="426"/>
          <w:tab w:val="left" w:pos="993"/>
        </w:tabs>
        <w:jc w:val="both"/>
        <w:rPr>
          <w:rFonts w:eastAsia="Times New Roman"/>
          <w:b/>
          <w:i/>
          <w:sz w:val="24"/>
        </w:rPr>
      </w:pPr>
      <w:r>
        <w:rPr>
          <w:i/>
          <w:sz w:val="24"/>
        </w:rPr>
        <w:t xml:space="preserve">Înălţimea liberă </w:t>
      </w:r>
      <w:r>
        <w:rPr>
          <w:bCs/>
          <w:i/>
          <w:sz w:val="24"/>
          <w:szCs w:val="24"/>
        </w:rPr>
        <w:t>minimă de trecere pe căile comune de evacuare (coridoare, holuri, încăperi tampon, degajamente protejate, scări, tuneluri de evacuare, etc.)</w:t>
      </w:r>
      <w:r>
        <w:rPr>
          <w:i/>
          <w:sz w:val="24"/>
        </w:rPr>
        <w:t xml:space="preserve"> prin care se realizează evacuarea persoanelor cu targa va fi: </w:t>
      </w:r>
      <w:r>
        <w:rPr>
          <w:b/>
          <w:bCs/>
          <w:i/>
          <w:sz w:val="24"/>
        </w:rPr>
        <w:t>h</w:t>
      </w:r>
      <w:r>
        <w:rPr>
          <w:i/>
          <w:sz w:val="24"/>
        </w:rPr>
        <w:t xml:space="preserve"> = min. </w:t>
      </w:r>
      <w:r>
        <w:rPr>
          <w:b/>
          <w:bCs/>
          <w:i/>
          <w:sz w:val="24"/>
        </w:rPr>
        <w:t>2,20</w:t>
      </w:r>
      <w:r>
        <w:rPr>
          <w:i/>
          <w:sz w:val="24"/>
        </w:rPr>
        <w:t xml:space="preserve"> m iar scările, indiferent de lăţimea liberă, vor avea prevăzută mâna curentă pe ambele părţi (fixată pe parapet, balustradă sau pe perete).</w:t>
      </w:r>
    </w:p>
    <w:p w14:paraId="09057B43" w14:textId="77777777" w:rsidR="001C08A5" w:rsidRDefault="00000000">
      <w:pPr>
        <w:numPr>
          <w:ilvl w:val="255"/>
          <w:numId w:val="0"/>
        </w:numPr>
        <w:tabs>
          <w:tab w:val="left" w:pos="426"/>
          <w:tab w:val="left" w:pos="993"/>
        </w:tabs>
        <w:jc w:val="center"/>
        <w:rPr>
          <w:b/>
          <w:bCs/>
          <w:i/>
          <w:sz w:val="24"/>
          <w:szCs w:val="24"/>
        </w:rPr>
      </w:pPr>
      <w:r>
        <w:rPr>
          <w:b/>
          <w:bCs/>
          <w:i/>
          <w:noProof/>
          <w:sz w:val="24"/>
          <w:szCs w:val="24"/>
          <w:lang w:eastAsia="ro-RO"/>
        </w:rPr>
        <w:drawing>
          <wp:inline distT="0" distB="0" distL="114300" distR="114300" wp14:anchorId="573E7F92" wp14:editId="13B0F662">
            <wp:extent cx="2134870" cy="1742440"/>
            <wp:effectExtent l="0" t="0" r="0" b="0"/>
            <wp:docPr id="5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3"/>
                    <pic:cNvPicPr>
                      <a:picLocks noChangeAspect="1"/>
                    </pic:cNvPicPr>
                  </pic:nvPicPr>
                  <pic:blipFill>
                    <a:blip r:embed="rId451"/>
                    <a:srcRect l="16180" t="38517" r="55532" b="6059"/>
                    <a:stretch>
                      <a:fillRect/>
                    </a:stretch>
                  </pic:blipFill>
                  <pic:spPr>
                    <a:xfrm>
                      <a:off x="0" y="0"/>
                      <a:ext cx="2134870" cy="1742440"/>
                    </a:xfrm>
                    <a:prstGeom prst="rect">
                      <a:avLst/>
                    </a:prstGeom>
                    <a:noFill/>
                    <a:ln>
                      <a:noFill/>
                    </a:ln>
                  </pic:spPr>
                </pic:pic>
              </a:graphicData>
            </a:graphic>
          </wp:inline>
        </w:drawing>
      </w:r>
    </w:p>
    <w:p w14:paraId="3256768F" w14:textId="77777777" w:rsidR="001C08A5" w:rsidRDefault="00000000">
      <w:pPr>
        <w:pStyle w:val="Caption"/>
        <w:jc w:val="center"/>
        <w:rPr>
          <w:rFonts w:eastAsia="Times New Roman" w:cs="Times New Roman"/>
          <w:b w:val="0"/>
        </w:rPr>
      </w:pPr>
      <w:bookmarkStart w:id="9119" w:name="_Toc11916"/>
      <w:bookmarkStart w:id="9120" w:name="_Toc142898613"/>
      <w:bookmarkStart w:id="9121" w:name="_Toc26532"/>
      <w:bookmarkStart w:id="9122" w:name="_Toc162360452"/>
      <w:r>
        <w:lastRenderedPageBreak/>
        <w:t xml:space="preserve">Figura </w:t>
      </w:r>
      <w:r>
        <w:fldChar w:fldCharType="begin"/>
      </w:r>
      <w:r>
        <w:instrText xml:space="preserve"> SEQ Figura \* ARABIC </w:instrText>
      </w:r>
      <w:r>
        <w:fldChar w:fldCharType="separate"/>
      </w:r>
      <w:r>
        <w:t>228</w:t>
      </w:r>
      <w:r>
        <w:fldChar w:fldCharType="end"/>
      </w:r>
      <w:bookmarkStart w:id="9123" w:name="_Toc17773"/>
      <w:bookmarkStart w:id="9124" w:name="_Toc17996"/>
      <w:bookmarkStart w:id="9125" w:name="_Toc6296"/>
      <w:bookmarkStart w:id="9126" w:name="_Toc12850"/>
      <w:bookmarkStart w:id="9127" w:name="_Toc25842"/>
      <w:bookmarkStart w:id="9128" w:name="_Toc16008"/>
      <w:bookmarkStart w:id="9129" w:name="_Toc1278"/>
      <w:bookmarkStart w:id="9130" w:name="_Toc9851"/>
      <w:bookmarkStart w:id="9131" w:name="_Toc293"/>
      <w:r>
        <w:t xml:space="preserve"> - Gabaritele scărilor de circulaţie funcţională şi de evacuare - caz general</w:t>
      </w:r>
      <w:bookmarkEnd w:id="9119"/>
      <w:bookmarkEnd w:id="9120"/>
      <w:bookmarkEnd w:id="9121"/>
      <w:r>
        <w:t xml:space="preserve"> pentru </w:t>
      </w:r>
      <w:r>
        <w:rPr>
          <w:rFonts w:eastAsia="Times New Roman" w:cs="Times New Roman"/>
          <w:bCs/>
        </w:rPr>
        <w:t xml:space="preserve">1 flux </w:t>
      </w:r>
      <w:r>
        <w:rPr>
          <w:rFonts w:eastAsia="Times New Roman" w:cs="Times New Roman"/>
          <w:b w:val="0"/>
        </w:rPr>
        <w:t>de evacuare</w:t>
      </w:r>
      <w:bookmarkEnd w:id="9122"/>
      <w:bookmarkEnd w:id="9123"/>
      <w:bookmarkEnd w:id="9124"/>
      <w:bookmarkEnd w:id="9125"/>
      <w:bookmarkEnd w:id="9126"/>
      <w:bookmarkEnd w:id="9127"/>
      <w:bookmarkEnd w:id="9128"/>
      <w:bookmarkEnd w:id="9129"/>
      <w:bookmarkEnd w:id="9130"/>
      <w:bookmarkEnd w:id="9131"/>
    </w:p>
    <w:p w14:paraId="3A0F0EC9" w14:textId="77777777" w:rsidR="001C08A5" w:rsidRDefault="00000000">
      <w:pPr>
        <w:pStyle w:val="BodyText"/>
        <w:jc w:val="center"/>
      </w:pPr>
      <w:r>
        <w:rPr>
          <w:noProof/>
          <w:lang w:eastAsia="ro-RO"/>
        </w:rPr>
        <w:drawing>
          <wp:inline distT="0" distB="0" distL="114300" distR="114300" wp14:anchorId="06E8C820" wp14:editId="2B5221C8">
            <wp:extent cx="3254375" cy="2554605"/>
            <wp:effectExtent l="0" t="0" r="0" b="0"/>
            <wp:docPr id="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3"/>
                    <pic:cNvPicPr>
                      <a:picLocks noChangeAspect="1"/>
                    </pic:cNvPicPr>
                  </pic:nvPicPr>
                  <pic:blipFill>
                    <a:blip r:embed="rId451"/>
                    <a:srcRect l="45864" t="12684" r="11014" b="6059"/>
                    <a:stretch>
                      <a:fillRect/>
                    </a:stretch>
                  </pic:blipFill>
                  <pic:spPr>
                    <a:xfrm>
                      <a:off x="0" y="0"/>
                      <a:ext cx="3254375" cy="2554605"/>
                    </a:xfrm>
                    <a:prstGeom prst="rect">
                      <a:avLst/>
                    </a:prstGeom>
                    <a:noFill/>
                    <a:ln>
                      <a:noFill/>
                    </a:ln>
                  </pic:spPr>
                </pic:pic>
              </a:graphicData>
            </a:graphic>
          </wp:inline>
        </w:drawing>
      </w:r>
    </w:p>
    <w:p w14:paraId="6EB70FC1" w14:textId="77777777" w:rsidR="001C08A5" w:rsidRDefault="00000000">
      <w:pPr>
        <w:pStyle w:val="Caption"/>
        <w:jc w:val="center"/>
      </w:pPr>
      <w:bookmarkStart w:id="9132" w:name="_Toc162360453"/>
      <w:r>
        <w:t xml:space="preserve">Figura </w:t>
      </w:r>
      <w:r>
        <w:fldChar w:fldCharType="begin"/>
      </w:r>
      <w:r>
        <w:instrText xml:space="preserve"> SEQ Figura \* ARABIC </w:instrText>
      </w:r>
      <w:r>
        <w:fldChar w:fldCharType="separate"/>
      </w:r>
      <w:r>
        <w:t>229</w:t>
      </w:r>
      <w:r>
        <w:fldChar w:fldCharType="end"/>
      </w:r>
      <w:bookmarkStart w:id="9133" w:name="_Toc4605"/>
      <w:bookmarkStart w:id="9134" w:name="_Toc11816"/>
      <w:bookmarkStart w:id="9135" w:name="_Toc32293"/>
      <w:bookmarkStart w:id="9136" w:name="_Toc21003"/>
      <w:bookmarkStart w:id="9137" w:name="_Toc23805"/>
      <w:bookmarkStart w:id="9138" w:name="_Toc285"/>
      <w:bookmarkStart w:id="9139" w:name="_Toc26039"/>
      <w:bookmarkStart w:id="9140" w:name="_Toc10844"/>
      <w:bookmarkStart w:id="9141" w:name="_Toc31031"/>
      <w:r>
        <w:t xml:space="preserve"> - Gabaritele scărilor de circulaţie funcţională şi de evacuare - caz general pentru </w:t>
      </w:r>
      <w:r>
        <w:rPr>
          <w:rFonts w:eastAsia="Times New Roman" w:cs="Times New Roman"/>
          <w:bCs/>
        </w:rPr>
        <w:t xml:space="preserve">2 fluxuri </w:t>
      </w:r>
      <w:r>
        <w:rPr>
          <w:rFonts w:eastAsia="Times New Roman" w:cs="Times New Roman"/>
          <w:b w:val="0"/>
        </w:rPr>
        <w:t>de evacuare</w:t>
      </w:r>
      <w:bookmarkEnd w:id="9132"/>
      <w:bookmarkEnd w:id="9133"/>
      <w:bookmarkEnd w:id="9134"/>
      <w:bookmarkEnd w:id="9135"/>
      <w:bookmarkEnd w:id="9136"/>
      <w:bookmarkEnd w:id="9137"/>
      <w:bookmarkEnd w:id="9138"/>
      <w:bookmarkEnd w:id="9139"/>
      <w:bookmarkEnd w:id="9140"/>
      <w:bookmarkEnd w:id="9141"/>
    </w:p>
    <w:p w14:paraId="7FE45E0A"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Alternativ prevederilor de mai sus, pentru rampele, palierele și podestele scărilor şi a planurilor înclinate,  în care evacuarea utilizatorilor în caz de incendiu trebuie efectuată cu targa sau căruciorul, se admite adoptarea alternativă a următoarelor valori prevăzute în </w:t>
      </w:r>
      <w:r>
        <w:rPr>
          <w:rFonts w:eastAsia="Times New Roman"/>
          <w:b/>
          <w:bCs/>
          <w:i/>
          <w:iCs/>
          <w:sz w:val="24"/>
          <w:szCs w:val="24"/>
        </w:rPr>
        <w:fldChar w:fldCharType="begin"/>
      </w:r>
      <w:r>
        <w:rPr>
          <w:rFonts w:eastAsia="Times New Roman"/>
          <w:b/>
          <w:bCs/>
          <w:i/>
          <w:iCs/>
          <w:sz w:val="24"/>
          <w:szCs w:val="24"/>
        </w:rPr>
        <w:instrText xml:space="preserve"> REF _Ref7316 \h </w:instrText>
      </w:r>
      <w:r>
        <w:rPr>
          <w:rFonts w:eastAsia="Times New Roman"/>
          <w:b/>
          <w:bCs/>
          <w:i/>
          <w:iCs/>
          <w:sz w:val="24"/>
          <w:szCs w:val="24"/>
        </w:rPr>
      </w:r>
      <w:r>
        <w:rPr>
          <w:rFonts w:eastAsia="Times New Roman"/>
          <w:b/>
          <w:bCs/>
          <w:i/>
          <w:iCs/>
          <w:sz w:val="24"/>
          <w:szCs w:val="24"/>
        </w:rPr>
        <w:fldChar w:fldCharType="separate"/>
      </w:r>
      <w:r>
        <w:t>Tabelul 129</w:t>
      </w:r>
      <w:r>
        <w:rPr>
          <w:rFonts w:eastAsia="Times New Roman"/>
          <w:b/>
          <w:bCs/>
          <w:i/>
          <w:iCs/>
          <w:sz w:val="24"/>
          <w:szCs w:val="24"/>
        </w:rPr>
        <w:fldChar w:fldCharType="end"/>
      </w:r>
      <w:r>
        <w:rPr>
          <w:rFonts w:eastAsia="Times New Roman"/>
          <w:i/>
          <w:sz w:val="24"/>
        </w:rPr>
        <w:t>, putând fi aplicată în cazuri particulare, fiind obligatorie justificarea ei în proiect:</w:t>
      </w:r>
    </w:p>
    <w:p w14:paraId="76F89A71" w14:textId="77777777" w:rsidR="001C08A5" w:rsidRDefault="001C08A5">
      <w:pPr>
        <w:jc w:val="both"/>
        <w:rPr>
          <w:rFonts w:eastAsia="Times New Roman"/>
          <w:i/>
          <w:sz w:val="24"/>
          <w:szCs w:val="24"/>
        </w:rPr>
      </w:pPr>
    </w:p>
    <w:p w14:paraId="3A49E826" w14:textId="77777777" w:rsidR="001C08A5" w:rsidRDefault="00000000">
      <w:pPr>
        <w:pStyle w:val="Caption"/>
        <w:jc w:val="both"/>
        <w:rPr>
          <w:rFonts w:eastAsia="Times New Roman" w:cs="Times New Roman"/>
          <w:bCs/>
        </w:rPr>
      </w:pPr>
      <w:bookmarkStart w:id="9142" w:name="_Ref7316"/>
      <w:bookmarkStart w:id="9143" w:name="_Toc162360179"/>
      <w:r>
        <w:t xml:space="preserve">Tabelul </w:t>
      </w:r>
      <w:r>
        <w:fldChar w:fldCharType="begin"/>
      </w:r>
      <w:r>
        <w:instrText xml:space="preserve"> SEQ Tabelul \* ARABIC </w:instrText>
      </w:r>
      <w:r>
        <w:fldChar w:fldCharType="separate"/>
      </w:r>
      <w:r>
        <w:t>129</w:t>
      </w:r>
      <w:r>
        <w:fldChar w:fldCharType="end"/>
      </w:r>
      <w:bookmarkStart w:id="9144" w:name="_Toc17552"/>
      <w:bookmarkStart w:id="9145" w:name="_Toc18836"/>
      <w:bookmarkStart w:id="9146" w:name="_Toc26145"/>
      <w:bookmarkStart w:id="9147" w:name="_Toc10146"/>
      <w:bookmarkStart w:id="9148" w:name="_Toc319"/>
      <w:bookmarkStart w:id="9149" w:name="_Toc9547"/>
      <w:bookmarkStart w:id="9150" w:name="_Toc17551"/>
      <w:bookmarkStart w:id="9151" w:name="_Toc24958"/>
      <w:bookmarkStart w:id="9152" w:name="_Toc25142"/>
      <w:bookmarkStart w:id="9153" w:name="_Toc8743"/>
      <w:bookmarkStart w:id="9154" w:name="_Toc32127"/>
      <w:bookmarkStart w:id="9155" w:name="_Toc21116"/>
      <w:bookmarkEnd w:id="9142"/>
      <w:r>
        <w:t xml:space="preserve">: </w:t>
      </w:r>
      <w:r>
        <w:rPr>
          <w:rFonts w:eastAsia="Times New Roman" w:cs="Times New Roman"/>
          <w:bCs/>
        </w:rPr>
        <w:t>Alternative dimensionare scări de circulaţie funcţională şi de evacuare la clădiri cu funcțiune de sănătate</w:t>
      </w:r>
      <w:bookmarkEnd w:id="9143"/>
      <w:bookmarkEnd w:id="9144"/>
      <w:bookmarkEnd w:id="9145"/>
      <w:bookmarkEnd w:id="9146"/>
      <w:bookmarkEnd w:id="9147"/>
      <w:bookmarkEnd w:id="9148"/>
      <w:bookmarkEnd w:id="9149"/>
      <w:bookmarkEnd w:id="9150"/>
      <w:bookmarkEnd w:id="9151"/>
      <w:bookmarkEnd w:id="9152"/>
      <w:bookmarkEnd w:id="9153"/>
      <w:bookmarkEnd w:id="9154"/>
      <w:bookmarkEnd w:id="9155"/>
    </w:p>
    <w:tbl>
      <w:tblPr>
        <w:tblStyle w:val="TableGrid"/>
        <w:tblW w:w="0" w:type="auto"/>
        <w:tblLook w:val="04A0" w:firstRow="1" w:lastRow="0" w:firstColumn="1" w:lastColumn="0" w:noHBand="0" w:noVBand="1"/>
      </w:tblPr>
      <w:tblGrid>
        <w:gridCol w:w="597"/>
        <w:gridCol w:w="891"/>
        <w:gridCol w:w="2241"/>
        <w:gridCol w:w="1693"/>
        <w:gridCol w:w="4207"/>
      </w:tblGrid>
      <w:tr w:rsidR="001C08A5" w14:paraId="279B88A1" w14:textId="77777777">
        <w:tc>
          <w:tcPr>
            <w:tcW w:w="597" w:type="dxa"/>
            <w:vAlign w:val="center"/>
          </w:tcPr>
          <w:p w14:paraId="405BC076" w14:textId="77777777" w:rsidR="001C08A5" w:rsidRDefault="00000000">
            <w:pPr>
              <w:jc w:val="center"/>
              <w:rPr>
                <w:rFonts w:eastAsia="Times New Roman"/>
                <w:b/>
                <w:bCs/>
                <w:i/>
                <w:sz w:val="24"/>
                <w:szCs w:val="24"/>
              </w:rPr>
            </w:pPr>
            <w:r>
              <w:rPr>
                <w:rFonts w:eastAsia="Times New Roman"/>
                <w:b/>
                <w:bCs/>
                <w:i/>
                <w:sz w:val="24"/>
                <w:szCs w:val="24"/>
              </w:rPr>
              <w:t>Nr. Crt.</w:t>
            </w:r>
          </w:p>
        </w:tc>
        <w:tc>
          <w:tcPr>
            <w:tcW w:w="893" w:type="dxa"/>
            <w:vAlign w:val="center"/>
          </w:tcPr>
          <w:p w14:paraId="1AF353B9" w14:textId="77777777" w:rsidR="001C08A5" w:rsidRDefault="00000000">
            <w:pPr>
              <w:jc w:val="center"/>
              <w:rPr>
                <w:rFonts w:eastAsia="Times New Roman"/>
                <w:b/>
                <w:bCs/>
                <w:i/>
                <w:sz w:val="24"/>
                <w:szCs w:val="24"/>
              </w:rPr>
            </w:pPr>
            <w:r>
              <w:rPr>
                <w:rFonts w:eastAsia="Times New Roman"/>
                <w:b/>
                <w:bCs/>
                <w:i/>
                <w:sz w:val="24"/>
                <w:szCs w:val="24"/>
              </w:rPr>
              <w:t>lățime</w:t>
            </w:r>
          </w:p>
          <w:p w14:paraId="03DFA66B" w14:textId="77777777" w:rsidR="001C08A5" w:rsidRDefault="00000000">
            <w:pPr>
              <w:jc w:val="center"/>
              <w:rPr>
                <w:rFonts w:eastAsia="Times New Roman"/>
                <w:b/>
                <w:bCs/>
                <w:i/>
                <w:sz w:val="24"/>
                <w:szCs w:val="24"/>
              </w:rPr>
            </w:pPr>
            <w:r>
              <w:rPr>
                <w:rFonts w:eastAsia="Times New Roman"/>
                <w:b/>
                <w:bCs/>
                <w:i/>
                <w:sz w:val="24"/>
                <w:szCs w:val="24"/>
              </w:rPr>
              <w:t>rampe (m)</w:t>
            </w:r>
          </w:p>
        </w:tc>
        <w:tc>
          <w:tcPr>
            <w:tcW w:w="2304" w:type="dxa"/>
            <w:vAlign w:val="center"/>
          </w:tcPr>
          <w:p w14:paraId="360011EA" w14:textId="77777777" w:rsidR="001C08A5" w:rsidRDefault="00000000">
            <w:pPr>
              <w:jc w:val="center"/>
              <w:rPr>
                <w:rFonts w:eastAsia="Times New Roman"/>
                <w:b/>
                <w:bCs/>
                <w:i/>
                <w:sz w:val="24"/>
                <w:szCs w:val="24"/>
              </w:rPr>
            </w:pPr>
            <w:r>
              <w:rPr>
                <w:rFonts w:eastAsia="Times New Roman"/>
                <w:b/>
                <w:bCs/>
                <w:i/>
                <w:sz w:val="24"/>
                <w:szCs w:val="24"/>
              </w:rPr>
              <w:t>lățime</w:t>
            </w:r>
          </w:p>
          <w:p w14:paraId="3BBC1CF1" w14:textId="77777777" w:rsidR="001C08A5" w:rsidRDefault="00000000">
            <w:pPr>
              <w:jc w:val="center"/>
              <w:rPr>
                <w:rFonts w:eastAsia="Times New Roman"/>
                <w:b/>
                <w:bCs/>
                <w:i/>
                <w:sz w:val="24"/>
                <w:szCs w:val="24"/>
              </w:rPr>
            </w:pPr>
            <w:r>
              <w:rPr>
                <w:rFonts w:eastAsia="Times New Roman"/>
                <w:b/>
                <w:bCs/>
                <w:i/>
                <w:sz w:val="24"/>
                <w:szCs w:val="24"/>
              </w:rPr>
              <w:t>palier (m)</w:t>
            </w:r>
          </w:p>
        </w:tc>
        <w:tc>
          <w:tcPr>
            <w:tcW w:w="1719" w:type="dxa"/>
            <w:vAlign w:val="center"/>
          </w:tcPr>
          <w:p w14:paraId="3AAF28B6" w14:textId="77777777" w:rsidR="001C08A5" w:rsidRDefault="00000000">
            <w:pPr>
              <w:jc w:val="center"/>
              <w:rPr>
                <w:rFonts w:eastAsia="Times New Roman"/>
                <w:b/>
                <w:bCs/>
                <w:i/>
                <w:sz w:val="24"/>
                <w:szCs w:val="24"/>
              </w:rPr>
            </w:pPr>
            <w:r>
              <w:rPr>
                <w:rFonts w:eastAsia="Times New Roman"/>
                <w:b/>
                <w:bCs/>
                <w:i/>
                <w:sz w:val="24"/>
                <w:szCs w:val="24"/>
              </w:rPr>
              <w:t>adâncime  palier / podest (m)</w:t>
            </w:r>
          </w:p>
        </w:tc>
        <w:tc>
          <w:tcPr>
            <w:tcW w:w="4342" w:type="dxa"/>
            <w:vAlign w:val="center"/>
          </w:tcPr>
          <w:p w14:paraId="6CB99BD1" w14:textId="77777777" w:rsidR="001C08A5" w:rsidRDefault="00000000">
            <w:pPr>
              <w:jc w:val="center"/>
              <w:rPr>
                <w:rFonts w:eastAsia="Times New Roman"/>
                <w:b/>
                <w:bCs/>
                <w:i/>
                <w:sz w:val="24"/>
                <w:szCs w:val="24"/>
              </w:rPr>
            </w:pPr>
            <w:r>
              <w:rPr>
                <w:rFonts w:eastAsia="Times New Roman"/>
                <w:b/>
                <w:bCs/>
                <w:i/>
                <w:sz w:val="24"/>
                <w:szCs w:val="24"/>
              </w:rPr>
              <w:t>Observații</w:t>
            </w:r>
          </w:p>
        </w:tc>
      </w:tr>
      <w:tr w:rsidR="001C08A5" w14:paraId="3D306A55" w14:textId="77777777">
        <w:trPr>
          <w:trHeight w:val="796"/>
        </w:trPr>
        <w:tc>
          <w:tcPr>
            <w:tcW w:w="597" w:type="dxa"/>
          </w:tcPr>
          <w:p w14:paraId="14D54AF4" w14:textId="77777777" w:rsidR="001C08A5" w:rsidRDefault="001C08A5">
            <w:pPr>
              <w:rPr>
                <w:rFonts w:eastAsia="Times New Roman"/>
                <w:i/>
                <w:sz w:val="24"/>
                <w:szCs w:val="24"/>
              </w:rPr>
            </w:pPr>
          </w:p>
          <w:p w14:paraId="55A92A89" w14:textId="77777777" w:rsidR="001C08A5" w:rsidRDefault="00000000">
            <w:pPr>
              <w:rPr>
                <w:rFonts w:eastAsia="Times New Roman"/>
                <w:i/>
                <w:sz w:val="24"/>
                <w:szCs w:val="24"/>
              </w:rPr>
            </w:pPr>
            <w:r>
              <w:rPr>
                <w:rFonts w:eastAsia="Times New Roman"/>
                <w:i/>
                <w:sz w:val="24"/>
                <w:szCs w:val="24"/>
              </w:rPr>
              <w:t>1</w:t>
            </w:r>
          </w:p>
        </w:tc>
        <w:tc>
          <w:tcPr>
            <w:tcW w:w="893" w:type="dxa"/>
            <w:vAlign w:val="center"/>
          </w:tcPr>
          <w:p w14:paraId="55D1B6F0" w14:textId="77777777" w:rsidR="001C08A5" w:rsidRDefault="001C08A5">
            <w:pPr>
              <w:jc w:val="center"/>
              <w:rPr>
                <w:rFonts w:eastAsia="Times New Roman"/>
                <w:b/>
                <w:bCs/>
                <w:i/>
                <w:sz w:val="24"/>
                <w:szCs w:val="24"/>
              </w:rPr>
            </w:pPr>
          </w:p>
          <w:p w14:paraId="696407FA" w14:textId="77777777" w:rsidR="001C08A5" w:rsidRDefault="00000000">
            <w:pPr>
              <w:jc w:val="center"/>
              <w:rPr>
                <w:rFonts w:eastAsia="Times New Roman"/>
                <w:b/>
                <w:bCs/>
                <w:i/>
                <w:sz w:val="24"/>
                <w:szCs w:val="24"/>
              </w:rPr>
            </w:pPr>
            <w:r>
              <w:rPr>
                <w:rFonts w:eastAsia="Times New Roman"/>
                <w:b/>
                <w:bCs/>
                <w:i/>
                <w:sz w:val="24"/>
                <w:szCs w:val="24"/>
              </w:rPr>
              <w:t>1,60</w:t>
            </w:r>
          </w:p>
        </w:tc>
        <w:tc>
          <w:tcPr>
            <w:tcW w:w="2304" w:type="dxa"/>
            <w:vAlign w:val="center"/>
          </w:tcPr>
          <w:p w14:paraId="3D92E626" w14:textId="77777777" w:rsidR="001C08A5" w:rsidRDefault="00000000">
            <w:pPr>
              <w:jc w:val="center"/>
              <w:rPr>
                <w:rFonts w:eastAsia="Times New Roman"/>
                <w:b/>
                <w:bCs/>
                <w:i/>
                <w:sz w:val="24"/>
                <w:szCs w:val="24"/>
              </w:rPr>
            </w:pPr>
            <w:r>
              <w:rPr>
                <w:rFonts w:eastAsia="Times New Roman"/>
                <w:b/>
                <w:bCs/>
                <w:i/>
                <w:sz w:val="24"/>
                <w:szCs w:val="24"/>
              </w:rPr>
              <w:t xml:space="preserve">3,20 </w:t>
            </w:r>
            <w:r>
              <w:rPr>
                <w:rFonts w:eastAsia="Times New Roman"/>
                <w:i/>
                <w:sz w:val="24"/>
                <w:szCs w:val="24"/>
              </w:rPr>
              <w:t>(</w:t>
            </w:r>
            <w:r>
              <w:rPr>
                <w:rFonts w:eastAsia="Times New Roman"/>
                <w:b/>
                <w:bCs/>
                <w:i/>
                <w:sz w:val="24"/>
                <w:szCs w:val="24"/>
              </w:rPr>
              <w:t xml:space="preserve">3,40 </w:t>
            </w:r>
            <w:r>
              <w:rPr>
                <w:rFonts w:eastAsia="Times New Roman"/>
                <w:i/>
                <w:sz w:val="24"/>
                <w:szCs w:val="24"/>
              </w:rPr>
              <w:t xml:space="preserve">cu </w:t>
            </w:r>
            <w:r>
              <w:rPr>
                <w:rFonts w:eastAsia="Times New Roman"/>
                <w:b/>
                <w:bCs/>
                <w:i/>
                <w:sz w:val="24"/>
                <w:szCs w:val="24"/>
              </w:rPr>
              <w:t xml:space="preserve">20 </w:t>
            </w:r>
            <w:r>
              <w:rPr>
                <w:rFonts w:eastAsia="Times New Roman"/>
                <w:i/>
                <w:sz w:val="24"/>
                <w:szCs w:val="24"/>
              </w:rPr>
              <w:t>cm distanță între rampe)</w:t>
            </w:r>
          </w:p>
        </w:tc>
        <w:tc>
          <w:tcPr>
            <w:tcW w:w="1719" w:type="dxa"/>
            <w:vAlign w:val="center"/>
          </w:tcPr>
          <w:p w14:paraId="479421F6" w14:textId="77777777" w:rsidR="001C08A5" w:rsidRDefault="001C08A5">
            <w:pPr>
              <w:jc w:val="center"/>
              <w:rPr>
                <w:rFonts w:eastAsia="Times New Roman"/>
                <w:b/>
                <w:bCs/>
                <w:i/>
                <w:sz w:val="24"/>
                <w:szCs w:val="24"/>
              </w:rPr>
            </w:pPr>
          </w:p>
          <w:p w14:paraId="18E7B243" w14:textId="77777777" w:rsidR="001C08A5" w:rsidRDefault="00000000">
            <w:pPr>
              <w:jc w:val="center"/>
              <w:rPr>
                <w:rFonts w:eastAsia="Times New Roman"/>
                <w:b/>
                <w:bCs/>
                <w:i/>
                <w:sz w:val="24"/>
                <w:szCs w:val="24"/>
              </w:rPr>
            </w:pPr>
            <w:r>
              <w:rPr>
                <w:rFonts w:eastAsia="Times New Roman"/>
                <w:b/>
                <w:bCs/>
                <w:i/>
                <w:sz w:val="24"/>
                <w:szCs w:val="24"/>
              </w:rPr>
              <w:t>1,60</w:t>
            </w:r>
          </w:p>
        </w:tc>
        <w:tc>
          <w:tcPr>
            <w:tcW w:w="4342" w:type="dxa"/>
          </w:tcPr>
          <w:p w14:paraId="0BAE6A4B" w14:textId="77777777" w:rsidR="001C08A5" w:rsidRDefault="00000000">
            <w:pPr>
              <w:rPr>
                <w:rFonts w:eastAsia="Times New Roman"/>
                <w:i/>
                <w:sz w:val="24"/>
                <w:szCs w:val="24"/>
              </w:rPr>
            </w:pPr>
            <w:r>
              <w:rPr>
                <w:rFonts w:eastAsia="Times New Roman"/>
                <w:i/>
                <w:sz w:val="24"/>
                <w:szCs w:val="24"/>
              </w:rPr>
              <w:t>Permite doar evacuarea tărgii și evacuarea restricționată a pacienților în ambulatoriu pentru maximum 1 flux</w:t>
            </w:r>
          </w:p>
        </w:tc>
      </w:tr>
      <w:tr w:rsidR="001C08A5" w14:paraId="2FCD7B04" w14:textId="77777777">
        <w:tc>
          <w:tcPr>
            <w:tcW w:w="597" w:type="dxa"/>
          </w:tcPr>
          <w:p w14:paraId="056C035E" w14:textId="77777777" w:rsidR="001C08A5" w:rsidRDefault="00000000">
            <w:pPr>
              <w:rPr>
                <w:rFonts w:eastAsia="Times New Roman"/>
                <w:i/>
                <w:sz w:val="24"/>
                <w:szCs w:val="24"/>
              </w:rPr>
            </w:pPr>
            <w:r>
              <w:rPr>
                <w:rFonts w:eastAsia="Times New Roman"/>
                <w:i/>
                <w:sz w:val="24"/>
                <w:szCs w:val="24"/>
              </w:rPr>
              <w:t>2</w:t>
            </w:r>
          </w:p>
        </w:tc>
        <w:tc>
          <w:tcPr>
            <w:tcW w:w="893" w:type="dxa"/>
            <w:vAlign w:val="center"/>
          </w:tcPr>
          <w:p w14:paraId="1BC9E160" w14:textId="77777777" w:rsidR="001C08A5" w:rsidRDefault="00000000">
            <w:pPr>
              <w:jc w:val="center"/>
              <w:rPr>
                <w:rFonts w:eastAsia="Times New Roman"/>
                <w:b/>
                <w:bCs/>
                <w:i/>
                <w:sz w:val="24"/>
                <w:szCs w:val="24"/>
              </w:rPr>
            </w:pPr>
            <w:r>
              <w:rPr>
                <w:rFonts w:eastAsia="Times New Roman"/>
                <w:b/>
                <w:bCs/>
                <w:i/>
                <w:sz w:val="24"/>
                <w:szCs w:val="24"/>
              </w:rPr>
              <w:t>1,80</w:t>
            </w:r>
          </w:p>
        </w:tc>
        <w:tc>
          <w:tcPr>
            <w:tcW w:w="2304" w:type="dxa"/>
            <w:vAlign w:val="center"/>
          </w:tcPr>
          <w:p w14:paraId="2AD7EA81" w14:textId="77777777" w:rsidR="001C08A5" w:rsidRDefault="00000000">
            <w:pPr>
              <w:jc w:val="center"/>
              <w:rPr>
                <w:rFonts w:eastAsia="Times New Roman"/>
                <w:b/>
                <w:bCs/>
                <w:i/>
                <w:sz w:val="24"/>
                <w:szCs w:val="24"/>
              </w:rPr>
            </w:pPr>
            <w:r>
              <w:rPr>
                <w:rFonts w:eastAsia="Times New Roman"/>
                <w:b/>
                <w:bCs/>
                <w:i/>
                <w:sz w:val="24"/>
                <w:szCs w:val="24"/>
              </w:rPr>
              <w:t xml:space="preserve">3,60 </w:t>
            </w:r>
            <w:r>
              <w:rPr>
                <w:rFonts w:eastAsia="Times New Roman"/>
                <w:i/>
                <w:sz w:val="24"/>
                <w:szCs w:val="24"/>
              </w:rPr>
              <w:t>(</w:t>
            </w:r>
            <w:r>
              <w:rPr>
                <w:rFonts w:eastAsia="Times New Roman"/>
                <w:b/>
                <w:bCs/>
                <w:i/>
                <w:sz w:val="24"/>
                <w:szCs w:val="24"/>
              </w:rPr>
              <w:t xml:space="preserve">3,80 </w:t>
            </w:r>
            <w:r>
              <w:rPr>
                <w:rFonts w:eastAsia="Times New Roman"/>
                <w:i/>
                <w:sz w:val="24"/>
                <w:szCs w:val="24"/>
              </w:rPr>
              <w:t xml:space="preserve">cu </w:t>
            </w:r>
            <w:r>
              <w:rPr>
                <w:rFonts w:eastAsia="Times New Roman"/>
                <w:b/>
                <w:bCs/>
                <w:i/>
                <w:sz w:val="24"/>
                <w:szCs w:val="24"/>
              </w:rPr>
              <w:t xml:space="preserve">20 </w:t>
            </w:r>
            <w:r>
              <w:rPr>
                <w:rFonts w:eastAsia="Times New Roman"/>
                <w:i/>
                <w:sz w:val="24"/>
                <w:szCs w:val="24"/>
              </w:rPr>
              <w:t>cm distanță între rampe)</w:t>
            </w:r>
          </w:p>
        </w:tc>
        <w:tc>
          <w:tcPr>
            <w:tcW w:w="1719" w:type="dxa"/>
            <w:vAlign w:val="center"/>
          </w:tcPr>
          <w:p w14:paraId="384C2D68" w14:textId="77777777" w:rsidR="001C08A5" w:rsidRDefault="00000000">
            <w:pPr>
              <w:jc w:val="center"/>
              <w:rPr>
                <w:rFonts w:eastAsia="Times New Roman"/>
                <w:b/>
                <w:bCs/>
                <w:i/>
                <w:sz w:val="24"/>
                <w:szCs w:val="24"/>
              </w:rPr>
            </w:pPr>
            <w:r>
              <w:rPr>
                <w:rFonts w:eastAsia="Times New Roman"/>
                <w:i/>
                <w:sz w:val="24"/>
                <w:szCs w:val="24"/>
              </w:rPr>
              <w:t>1.35</w:t>
            </w:r>
            <w:r>
              <w:rPr>
                <w:rFonts w:eastAsia="Times New Roman"/>
                <w:b/>
                <w:bCs/>
                <w:i/>
                <w:sz w:val="24"/>
                <w:szCs w:val="24"/>
              </w:rPr>
              <w:t xml:space="preserve"> (1.80 normat)</w:t>
            </w:r>
          </w:p>
        </w:tc>
        <w:tc>
          <w:tcPr>
            <w:tcW w:w="4342" w:type="dxa"/>
            <w:vMerge w:val="restart"/>
          </w:tcPr>
          <w:p w14:paraId="5D76C0C0" w14:textId="77777777" w:rsidR="001C08A5" w:rsidRDefault="00000000">
            <w:pPr>
              <w:rPr>
                <w:rFonts w:eastAsia="Times New Roman"/>
                <w:i/>
                <w:sz w:val="24"/>
                <w:szCs w:val="24"/>
              </w:rPr>
            </w:pPr>
            <w:r>
              <w:rPr>
                <w:rFonts w:eastAsia="Times New Roman"/>
                <w:i/>
                <w:sz w:val="24"/>
                <w:szCs w:val="24"/>
              </w:rPr>
              <w:t>Permite evacuarea patului sau a tărgii și evacuarea pacienților în ambulatoriu pentru 2 fluxuri</w:t>
            </w:r>
          </w:p>
        </w:tc>
      </w:tr>
      <w:tr w:rsidR="001C08A5" w14:paraId="1B3C809E" w14:textId="77777777">
        <w:tc>
          <w:tcPr>
            <w:tcW w:w="597" w:type="dxa"/>
          </w:tcPr>
          <w:p w14:paraId="78F50631" w14:textId="77777777" w:rsidR="001C08A5" w:rsidRDefault="00000000">
            <w:pPr>
              <w:rPr>
                <w:rFonts w:eastAsia="Times New Roman"/>
                <w:i/>
                <w:sz w:val="24"/>
                <w:szCs w:val="24"/>
              </w:rPr>
            </w:pPr>
            <w:r>
              <w:rPr>
                <w:rFonts w:eastAsia="Times New Roman"/>
                <w:i/>
                <w:sz w:val="24"/>
                <w:szCs w:val="24"/>
              </w:rPr>
              <w:t>3</w:t>
            </w:r>
          </w:p>
        </w:tc>
        <w:tc>
          <w:tcPr>
            <w:tcW w:w="893" w:type="dxa"/>
            <w:vAlign w:val="center"/>
          </w:tcPr>
          <w:p w14:paraId="6AFB796A" w14:textId="77777777" w:rsidR="001C08A5" w:rsidRDefault="00000000">
            <w:pPr>
              <w:jc w:val="center"/>
              <w:rPr>
                <w:rFonts w:eastAsia="Times New Roman"/>
                <w:b/>
                <w:bCs/>
                <w:i/>
                <w:sz w:val="24"/>
                <w:szCs w:val="24"/>
              </w:rPr>
            </w:pPr>
            <w:r>
              <w:rPr>
                <w:rFonts w:eastAsia="Times New Roman"/>
                <w:b/>
                <w:bCs/>
                <w:i/>
                <w:sz w:val="24"/>
                <w:szCs w:val="24"/>
              </w:rPr>
              <w:t>2,00</w:t>
            </w:r>
          </w:p>
        </w:tc>
        <w:tc>
          <w:tcPr>
            <w:tcW w:w="2304" w:type="dxa"/>
            <w:vAlign w:val="center"/>
          </w:tcPr>
          <w:p w14:paraId="4C6DBBD6" w14:textId="77777777" w:rsidR="001C08A5" w:rsidRDefault="00000000">
            <w:pPr>
              <w:jc w:val="center"/>
              <w:rPr>
                <w:rFonts w:eastAsia="Times New Roman"/>
                <w:b/>
                <w:bCs/>
                <w:i/>
                <w:sz w:val="24"/>
                <w:szCs w:val="24"/>
              </w:rPr>
            </w:pPr>
            <w:r>
              <w:rPr>
                <w:rFonts w:eastAsia="Times New Roman"/>
                <w:b/>
                <w:bCs/>
                <w:i/>
                <w:sz w:val="24"/>
                <w:szCs w:val="24"/>
              </w:rPr>
              <w:t xml:space="preserve">4,00 </w:t>
            </w:r>
            <w:r>
              <w:rPr>
                <w:rFonts w:eastAsia="Times New Roman"/>
                <w:i/>
                <w:sz w:val="24"/>
                <w:szCs w:val="24"/>
              </w:rPr>
              <w:t>(</w:t>
            </w:r>
            <w:r>
              <w:rPr>
                <w:rFonts w:eastAsia="Times New Roman"/>
                <w:b/>
                <w:bCs/>
                <w:i/>
                <w:sz w:val="24"/>
                <w:szCs w:val="24"/>
              </w:rPr>
              <w:t xml:space="preserve">4,20 </w:t>
            </w:r>
            <w:r>
              <w:rPr>
                <w:rFonts w:eastAsia="Times New Roman"/>
                <w:i/>
                <w:sz w:val="24"/>
                <w:szCs w:val="24"/>
              </w:rPr>
              <w:t xml:space="preserve">cu </w:t>
            </w:r>
            <w:r>
              <w:rPr>
                <w:rFonts w:eastAsia="Times New Roman"/>
                <w:b/>
                <w:bCs/>
                <w:i/>
                <w:sz w:val="24"/>
                <w:szCs w:val="24"/>
              </w:rPr>
              <w:t xml:space="preserve">20 </w:t>
            </w:r>
            <w:r>
              <w:rPr>
                <w:rFonts w:eastAsia="Times New Roman"/>
                <w:i/>
                <w:sz w:val="24"/>
                <w:szCs w:val="24"/>
              </w:rPr>
              <w:t>cm distanță între rampe)</w:t>
            </w:r>
          </w:p>
        </w:tc>
        <w:tc>
          <w:tcPr>
            <w:tcW w:w="1719" w:type="dxa"/>
            <w:vAlign w:val="center"/>
          </w:tcPr>
          <w:p w14:paraId="28CBE2FA" w14:textId="77777777" w:rsidR="001C08A5" w:rsidRDefault="00000000">
            <w:pPr>
              <w:jc w:val="center"/>
              <w:rPr>
                <w:rFonts w:eastAsia="Times New Roman"/>
                <w:b/>
                <w:bCs/>
                <w:i/>
                <w:sz w:val="24"/>
                <w:szCs w:val="24"/>
              </w:rPr>
            </w:pPr>
            <w:r>
              <w:rPr>
                <w:rFonts w:eastAsia="Times New Roman"/>
                <w:i/>
                <w:sz w:val="24"/>
                <w:szCs w:val="24"/>
              </w:rPr>
              <w:t>1.25</w:t>
            </w:r>
            <w:r>
              <w:rPr>
                <w:rFonts w:eastAsia="Times New Roman"/>
                <w:b/>
                <w:bCs/>
                <w:i/>
                <w:sz w:val="24"/>
                <w:szCs w:val="24"/>
              </w:rPr>
              <w:t xml:space="preserve"> (2.00 normat)</w:t>
            </w:r>
          </w:p>
        </w:tc>
        <w:tc>
          <w:tcPr>
            <w:tcW w:w="4342" w:type="dxa"/>
            <w:vMerge/>
          </w:tcPr>
          <w:p w14:paraId="30CF4951" w14:textId="77777777" w:rsidR="001C08A5" w:rsidRDefault="001C08A5">
            <w:pPr>
              <w:rPr>
                <w:rFonts w:eastAsia="Times New Roman"/>
                <w:i/>
                <w:sz w:val="24"/>
                <w:szCs w:val="24"/>
              </w:rPr>
            </w:pPr>
          </w:p>
        </w:tc>
      </w:tr>
    </w:tbl>
    <w:p w14:paraId="7B1EFF38" w14:textId="77777777" w:rsidR="001C08A5" w:rsidRDefault="001C08A5">
      <w:pPr>
        <w:jc w:val="both"/>
        <w:rPr>
          <w:rFonts w:eastAsia="Times New Roman"/>
          <w:i/>
          <w:sz w:val="24"/>
          <w:szCs w:val="24"/>
        </w:rPr>
      </w:pPr>
    </w:p>
    <w:p w14:paraId="6F31EEAB" w14:textId="77777777" w:rsidR="001C08A5" w:rsidRDefault="00000000">
      <w:pPr>
        <w:jc w:val="center"/>
        <w:rPr>
          <w:i/>
          <w:sz w:val="24"/>
          <w:szCs w:val="24"/>
        </w:rPr>
      </w:pPr>
      <w:r>
        <w:rPr>
          <w:noProof/>
        </w:rPr>
        <w:lastRenderedPageBreak/>
        <w:drawing>
          <wp:inline distT="0" distB="0" distL="114300" distR="114300" wp14:anchorId="08E6CB4E" wp14:editId="1912140E">
            <wp:extent cx="5943600" cy="2719070"/>
            <wp:effectExtent l="0" t="0" r="0" b="5080"/>
            <wp:docPr id="5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34"/>
                    <pic:cNvPicPr>
                      <a:picLocks noChangeAspect="1"/>
                    </pic:cNvPicPr>
                  </pic:nvPicPr>
                  <pic:blipFill>
                    <a:blip r:embed="rId452"/>
                    <a:srcRect l="13553" t="26738" r="7706" b="23157"/>
                    <a:stretch>
                      <a:fillRect/>
                    </a:stretch>
                  </pic:blipFill>
                  <pic:spPr>
                    <a:xfrm>
                      <a:off x="0" y="0"/>
                      <a:ext cx="5943600" cy="2719070"/>
                    </a:xfrm>
                    <a:prstGeom prst="rect">
                      <a:avLst/>
                    </a:prstGeom>
                    <a:noFill/>
                    <a:ln>
                      <a:noFill/>
                    </a:ln>
                  </pic:spPr>
                </pic:pic>
              </a:graphicData>
            </a:graphic>
          </wp:inline>
        </w:drawing>
      </w:r>
    </w:p>
    <w:p w14:paraId="699E028A" w14:textId="77777777" w:rsidR="001C08A5" w:rsidRDefault="00000000">
      <w:pPr>
        <w:pStyle w:val="Caption"/>
        <w:jc w:val="center"/>
        <w:rPr>
          <w:rFonts w:cs="Times New Roman"/>
          <w:bCs/>
        </w:rPr>
      </w:pPr>
      <w:bookmarkStart w:id="9156" w:name="_Toc142898614"/>
      <w:bookmarkStart w:id="9157" w:name="_Toc29857"/>
      <w:bookmarkStart w:id="9158" w:name="_Toc19521"/>
      <w:bookmarkStart w:id="9159" w:name="_Toc162360454"/>
      <w:r>
        <w:t xml:space="preserve">Figura </w:t>
      </w:r>
      <w:r>
        <w:fldChar w:fldCharType="begin"/>
      </w:r>
      <w:r>
        <w:instrText xml:space="preserve"> SEQ Figura \* ARABIC </w:instrText>
      </w:r>
      <w:r>
        <w:fldChar w:fldCharType="separate"/>
      </w:r>
      <w:r>
        <w:t>230</w:t>
      </w:r>
      <w:r>
        <w:fldChar w:fldCharType="end"/>
      </w:r>
      <w:bookmarkStart w:id="9160" w:name="_Toc5716"/>
      <w:bookmarkStart w:id="9161" w:name="_Toc7934"/>
      <w:bookmarkStart w:id="9162" w:name="_Toc3508"/>
      <w:bookmarkStart w:id="9163" w:name="_Toc6216"/>
      <w:bookmarkStart w:id="9164" w:name="_Toc30132"/>
      <w:bookmarkStart w:id="9165" w:name="_Toc6846"/>
      <w:bookmarkStart w:id="9166" w:name="_Toc7302"/>
      <w:bookmarkStart w:id="9167" w:name="_Toc6844"/>
      <w:bookmarkStart w:id="9168" w:name="_Toc27334"/>
      <w:r>
        <w:t xml:space="preserve"> - </w:t>
      </w:r>
      <w:r>
        <w:rPr>
          <w:rFonts w:cs="Times New Roman"/>
          <w:bCs/>
        </w:rPr>
        <w:t>Alternative dimensionare  scări de circulaţie funcţională şi de evacuare - funcțiune sanitară</w:t>
      </w:r>
      <w:bookmarkEnd w:id="9156"/>
      <w:bookmarkEnd w:id="9157"/>
      <w:bookmarkEnd w:id="9158"/>
      <w:bookmarkEnd w:id="9159"/>
      <w:bookmarkEnd w:id="9160"/>
      <w:bookmarkEnd w:id="9161"/>
      <w:bookmarkEnd w:id="9162"/>
      <w:bookmarkEnd w:id="9163"/>
      <w:bookmarkEnd w:id="9164"/>
      <w:bookmarkEnd w:id="9165"/>
      <w:bookmarkEnd w:id="9166"/>
      <w:bookmarkEnd w:id="9167"/>
      <w:bookmarkEnd w:id="9168"/>
    </w:p>
    <w:p w14:paraId="6DD4620A" w14:textId="77777777" w:rsidR="001C08A5" w:rsidRDefault="001C08A5">
      <w:pPr>
        <w:jc w:val="center"/>
        <w:rPr>
          <w:b/>
          <w:bCs/>
          <w:i/>
          <w:sz w:val="24"/>
          <w:szCs w:val="24"/>
        </w:rPr>
      </w:pPr>
    </w:p>
    <w:p w14:paraId="07C207C8" w14:textId="77777777" w:rsidR="001C08A5" w:rsidRDefault="00000000">
      <w:pPr>
        <w:numPr>
          <w:ilvl w:val="0"/>
          <w:numId w:val="96"/>
        </w:numPr>
        <w:tabs>
          <w:tab w:val="left" w:pos="426"/>
          <w:tab w:val="left" w:pos="993"/>
        </w:tabs>
        <w:jc w:val="both"/>
        <w:rPr>
          <w:bCs/>
          <w:i/>
          <w:sz w:val="24"/>
        </w:rPr>
      </w:pPr>
      <w:r>
        <w:rPr>
          <w:i/>
          <w:sz w:val="24"/>
        </w:rPr>
        <w:t xml:space="preserve">Numărul de ascensoare pentru evacuarea persoanelor cu dizabilități se calculează în funcţie de structura medicală și de numărul de paturi, considerând 1 ascensor la </w:t>
      </w:r>
      <w:r>
        <w:rPr>
          <w:b/>
          <w:bCs/>
          <w:i/>
          <w:sz w:val="24"/>
        </w:rPr>
        <w:t>120</w:t>
      </w:r>
      <w:r>
        <w:rPr>
          <w:i/>
          <w:sz w:val="24"/>
        </w:rPr>
        <w:t xml:space="preserve"> paturi (cu condiţia ca orice compartiment de incendiu cu funcțiune de spitalizare, indiferent de capacitatea acestuia, să fie dotat cu minimum </w:t>
      </w:r>
      <w:r>
        <w:rPr>
          <w:b/>
          <w:bCs/>
          <w:i/>
          <w:sz w:val="24"/>
        </w:rPr>
        <w:t>2</w:t>
      </w:r>
      <w:r>
        <w:rPr>
          <w:i/>
          <w:sz w:val="24"/>
        </w:rPr>
        <w:t xml:space="preserve"> ascensoare pentru utilizatori, dintre care minimum unul trebuie să fie conformat pentru persoanele cu dizabilități.</w:t>
      </w:r>
      <w:r>
        <w:rPr>
          <w:bCs/>
          <w:i/>
          <w:sz w:val="24"/>
        </w:rPr>
        <w:t xml:space="preserve"> </w:t>
      </w:r>
    </w:p>
    <w:p w14:paraId="39B137BB" w14:textId="77777777" w:rsidR="001C08A5" w:rsidRDefault="001C08A5">
      <w:pPr>
        <w:jc w:val="both"/>
        <w:rPr>
          <w:b/>
          <w:bCs/>
          <w:i/>
          <w:sz w:val="24"/>
          <w:szCs w:val="24"/>
        </w:rPr>
      </w:pPr>
    </w:p>
    <w:p w14:paraId="5EB3E3FD" w14:textId="77777777" w:rsidR="001C08A5" w:rsidRDefault="00000000">
      <w:pPr>
        <w:numPr>
          <w:ilvl w:val="0"/>
          <w:numId w:val="96"/>
        </w:numPr>
        <w:tabs>
          <w:tab w:val="left" w:pos="426"/>
          <w:tab w:val="left" w:pos="993"/>
        </w:tabs>
        <w:jc w:val="both"/>
        <w:rPr>
          <w:b/>
          <w:i/>
          <w:sz w:val="24"/>
        </w:rPr>
      </w:pPr>
      <w:r>
        <w:rPr>
          <w:i/>
          <w:sz w:val="24"/>
        </w:rPr>
        <w:t>Ascensoarele pentru evacuarea persoanelor cu dizabilități se vor realiza după cum urmează:</w:t>
      </w:r>
    </w:p>
    <w:p w14:paraId="363E3FB2" w14:textId="77777777" w:rsidR="001C08A5" w:rsidRDefault="00000000">
      <w:pPr>
        <w:numPr>
          <w:ilvl w:val="0"/>
          <w:numId w:val="101"/>
        </w:numPr>
        <w:ind w:firstLine="720"/>
        <w:jc w:val="both"/>
        <w:rPr>
          <w:i/>
          <w:sz w:val="24"/>
          <w:szCs w:val="24"/>
        </w:rPr>
      </w:pPr>
      <w:r>
        <w:rPr>
          <w:i/>
          <w:sz w:val="24"/>
          <w:szCs w:val="24"/>
        </w:rPr>
        <w:t xml:space="preserve">dimensiunile cabinei vor fi: </w:t>
      </w:r>
    </w:p>
    <w:p w14:paraId="0D1E60E4" w14:textId="77777777" w:rsidR="001C08A5" w:rsidRDefault="00000000">
      <w:pPr>
        <w:numPr>
          <w:ilvl w:val="2"/>
          <w:numId w:val="101"/>
        </w:numPr>
        <w:ind w:left="840" w:firstLine="720"/>
        <w:jc w:val="both"/>
        <w:rPr>
          <w:i/>
          <w:sz w:val="24"/>
          <w:szCs w:val="24"/>
        </w:rPr>
      </w:pPr>
      <w:r>
        <w:rPr>
          <w:i/>
          <w:sz w:val="24"/>
          <w:szCs w:val="24"/>
        </w:rPr>
        <w:t xml:space="preserve">pentru evacuare cu </w:t>
      </w:r>
      <w:r>
        <w:rPr>
          <w:b/>
          <w:bCs/>
          <w:i/>
          <w:sz w:val="24"/>
          <w:szCs w:val="24"/>
        </w:rPr>
        <w:t>2</w:t>
      </w:r>
      <w:r>
        <w:rPr>
          <w:i/>
          <w:sz w:val="24"/>
          <w:szCs w:val="24"/>
        </w:rPr>
        <w:t xml:space="preserve"> tărgi: </w:t>
      </w:r>
    </w:p>
    <w:p w14:paraId="6177BA68" w14:textId="77777777" w:rsidR="001C08A5" w:rsidRDefault="00000000">
      <w:pPr>
        <w:ind w:left="2160" w:firstLine="720"/>
        <w:jc w:val="both"/>
        <w:rPr>
          <w:i/>
          <w:sz w:val="24"/>
          <w:szCs w:val="24"/>
        </w:rPr>
      </w:pPr>
      <w:r>
        <w:rPr>
          <w:i/>
          <w:sz w:val="24"/>
          <w:szCs w:val="24"/>
        </w:rPr>
        <w:t xml:space="preserve">(i) min. </w:t>
      </w:r>
      <w:r>
        <w:rPr>
          <w:b/>
          <w:bCs/>
          <w:i/>
          <w:sz w:val="24"/>
          <w:szCs w:val="24"/>
        </w:rPr>
        <w:t>2,20 m</w:t>
      </w:r>
      <w:r>
        <w:rPr>
          <w:i/>
          <w:sz w:val="24"/>
          <w:szCs w:val="24"/>
        </w:rPr>
        <w:t xml:space="preserve"> lăţime; </w:t>
      </w:r>
    </w:p>
    <w:p w14:paraId="49370EBC" w14:textId="77777777" w:rsidR="001C08A5" w:rsidRDefault="00000000">
      <w:pPr>
        <w:ind w:left="2160" w:firstLine="720"/>
        <w:jc w:val="both"/>
        <w:rPr>
          <w:i/>
          <w:sz w:val="24"/>
          <w:szCs w:val="24"/>
        </w:rPr>
      </w:pPr>
      <w:r>
        <w:rPr>
          <w:i/>
          <w:sz w:val="24"/>
          <w:szCs w:val="24"/>
        </w:rPr>
        <w:t xml:space="preserve">(ii) min. </w:t>
      </w:r>
      <w:r>
        <w:rPr>
          <w:b/>
          <w:bCs/>
          <w:i/>
          <w:sz w:val="24"/>
          <w:szCs w:val="24"/>
        </w:rPr>
        <w:t>2,70 m</w:t>
      </w:r>
      <w:r>
        <w:rPr>
          <w:i/>
          <w:sz w:val="24"/>
          <w:szCs w:val="24"/>
        </w:rPr>
        <w:t xml:space="preserve"> adâncime; </w:t>
      </w:r>
    </w:p>
    <w:p w14:paraId="603D0BCD" w14:textId="77777777" w:rsidR="001C08A5" w:rsidRDefault="00000000">
      <w:pPr>
        <w:numPr>
          <w:ilvl w:val="2"/>
          <w:numId w:val="101"/>
        </w:numPr>
        <w:ind w:left="840" w:firstLine="720"/>
        <w:jc w:val="both"/>
        <w:rPr>
          <w:i/>
          <w:sz w:val="24"/>
          <w:szCs w:val="24"/>
        </w:rPr>
      </w:pPr>
      <w:r>
        <w:rPr>
          <w:i/>
          <w:sz w:val="24"/>
          <w:szCs w:val="24"/>
        </w:rPr>
        <w:t xml:space="preserve">pentru evacuare cu 1 targă: </w:t>
      </w:r>
    </w:p>
    <w:p w14:paraId="20FA9895" w14:textId="77777777" w:rsidR="001C08A5" w:rsidRDefault="00000000">
      <w:pPr>
        <w:ind w:left="2160" w:firstLine="720"/>
        <w:jc w:val="both"/>
        <w:rPr>
          <w:i/>
          <w:sz w:val="24"/>
          <w:szCs w:val="24"/>
        </w:rPr>
      </w:pPr>
      <w:r>
        <w:rPr>
          <w:i/>
          <w:sz w:val="24"/>
          <w:szCs w:val="24"/>
        </w:rPr>
        <w:t xml:space="preserve">(i) min. </w:t>
      </w:r>
      <w:r>
        <w:rPr>
          <w:b/>
          <w:bCs/>
          <w:i/>
          <w:sz w:val="24"/>
          <w:szCs w:val="24"/>
        </w:rPr>
        <w:t>1,80 m</w:t>
      </w:r>
      <w:r>
        <w:rPr>
          <w:i/>
          <w:sz w:val="24"/>
          <w:szCs w:val="24"/>
        </w:rPr>
        <w:t xml:space="preserve"> lăţime; </w:t>
      </w:r>
    </w:p>
    <w:p w14:paraId="48BC4F31" w14:textId="77777777" w:rsidR="001C08A5" w:rsidRDefault="00000000">
      <w:pPr>
        <w:ind w:left="2160" w:firstLine="720"/>
        <w:jc w:val="both"/>
        <w:rPr>
          <w:i/>
          <w:sz w:val="24"/>
          <w:szCs w:val="24"/>
        </w:rPr>
      </w:pPr>
      <w:r>
        <w:rPr>
          <w:i/>
          <w:sz w:val="24"/>
          <w:szCs w:val="24"/>
        </w:rPr>
        <w:t xml:space="preserve">(ii) min. </w:t>
      </w:r>
      <w:r>
        <w:rPr>
          <w:b/>
          <w:bCs/>
          <w:i/>
          <w:sz w:val="24"/>
          <w:szCs w:val="24"/>
        </w:rPr>
        <w:t>2,70 m</w:t>
      </w:r>
      <w:r>
        <w:rPr>
          <w:i/>
          <w:sz w:val="24"/>
          <w:szCs w:val="24"/>
        </w:rPr>
        <w:t xml:space="preserve"> adâncime; </w:t>
      </w:r>
    </w:p>
    <w:p w14:paraId="7B36D414" w14:textId="77777777" w:rsidR="001C08A5" w:rsidRDefault="00000000">
      <w:pPr>
        <w:jc w:val="center"/>
        <w:rPr>
          <w:b/>
          <w:bCs/>
          <w:i/>
          <w:sz w:val="24"/>
          <w:szCs w:val="24"/>
        </w:rPr>
      </w:pPr>
      <w:r>
        <w:rPr>
          <w:b/>
          <w:bCs/>
          <w:i/>
          <w:noProof/>
          <w:sz w:val="24"/>
          <w:szCs w:val="24"/>
          <w:lang w:eastAsia="ro-RO"/>
        </w:rPr>
        <w:drawing>
          <wp:inline distT="0" distB="0" distL="114300" distR="114300" wp14:anchorId="659810B6" wp14:editId="15C5F5BB">
            <wp:extent cx="3782695" cy="1855470"/>
            <wp:effectExtent l="0" t="0" r="8255" b="1143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pic:cNvPicPr>
                      <a:picLocks noChangeAspect="1"/>
                    </pic:cNvPicPr>
                  </pic:nvPicPr>
                  <pic:blipFill>
                    <a:blip r:embed="rId453"/>
                    <a:srcRect l="28415" t="17364" r="21534"/>
                    <a:stretch>
                      <a:fillRect/>
                    </a:stretch>
                  </pic:blipFill>
                  <pic:spPr>
                    <a:xfrm>
                      <a:off x="0" y="0"/>
                      <a:ext cx="3782695" cy="1855470"/>
                    </a:xfrm>
                    <a:prstGeom prst="rect">
                      <a:avLst/>
                    </a:prstGeom>
                    <a:noFill/>
                    <a:ln>
                      <a:noFill/>
                    </a:ln>
                  </pic:spPr>
                </pic:pic>
              </a:graphicData>
            </a:graphic>
          </wp:inline>
        </w:drawing>
      </w:r>
    </w:p>
    <w:tbl>
      <w:tblPr>
        <w:tblStyle w:val="TableGrid"/>
        <w:tblW w:w="499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880"/>
      </w:tblGrid>
      <w:tr w:rsidR="001C08A5" w14:paraId="6B2D75DD" w14:textId="77777777">
        <w:tc>
          <w:tcPr>
            <w:tcW w:w="2468" w:type="pct"/>
          </w:tcPr>
          <w:p w14:paraId="0172F5D6" w14:textId="77777777" w:rsidR="001C08A5" w:rsidRDefault="00000000">
            <w:pPr>
              <w:jc w:val="center"/>
              <w:rPr>
                <w:b/>
                <w:bCs/>
                <w:i/>
                <w:sz w:val="24"/>
                <w:szCs w:val="24"/>
              </w:rPr>
            </w:pPr>
            <w:r>
              <w:rPr>
                <w:b/>
                <w:bCs/>
                <w:i/>
                <w:sz w:val="24"/>
                <w:szCs w:val="24"/>
              </w:rPr>
              <w:t xml:space="preserve">Varianta a) </w:t>
            </w:r>
            <w:r>
              <w:rPr>
                <w:i/>
                <w:sz w:val="24"/>
                <w:szCs w:val="24"/>
              </w:rPr>
              <w:t xml:space="preserve">evacuare cu 2 tărgi </w:t>
            </w:r>
            <w:r>
              <w:rPr>
                <w:rFonts w:eastAsia="Times New Roman"/>
                <w:i/>
                <w:sz w:val="24"/>
                <w:szCs w:val="24"/>
              </w:rPr>
              <w:t xml:space="preserve">atunci când în compartimentul de incendiu/ construcție se prevăd  de </w:t>
            </w:r>
            <w:r>
              <w:rPr>
                <w:rFonts w:eastAsia="Times New Roman"/>
                <w:b/>
                <w:bCs/>
                <w:i/>
                <w:sz w:val="24"/>
                <w:szCs w:val="24"/>
              </w:rPr>
              <w:t xml:space="preserve">120 </w:t>
            </w:r>
            <w:r>
              <w:rPr>
                <w:rFonts w:eastAsia="Times New Roman"/>
                <w:i/>
                <w:sz w:val="24"/>
                <w:szCs w:val="24"/>
              </w:rPr>
              <w:t>de paturi sau mai mult</w:t>
            </w:r>
          </w:p>
        </w:tc>
        <w:tc>
          <w:tcPr>
            <w:tcW w:w="2531" w:type="pct"/>
          </w:tcPr>
          <w:p w14:paraId="324DBBE1" w14:textId="77777777" w:rsidR="001C08A5" w:rsidRDefault="00000000">
            <w:pPr>
              <w:jc w:val="center"/>
              <w:rPr>
                <w:b/>
                <w:bCs/>
                <w:i/>
                <w:sz w:val="24"/>
                <w:szCs w:val="24"/>
              </w:rPr>
            </w:pPr>
            <w:r>
              <w:rPr>
                <w:b/>
                <w:bCs/>
                <w:i/>
                <w:sz w:val="24"/>
                <w:szCs w:val="24"/>
              </w:rPr>
              <w:t>Varianta b)</w:t>
            </w:r>
            <w:r>
              <w:rPr>
                <w:i/>
                <w:sz w:val="24"/>
                <w:szCs w:val="24"/>
              </w:rPr>
              <w:t xml:space="preserve"> evacuare cu 1 targă </w:t>
            </w:r>
            <w:r>
              <w:rPr>
                <w:rFonts w:eastAsia="Times New Roman"/>
                <w:bCs/>
                <w:i/>
                <w:sz w:val="24"/>
                <w:szCs w:val="24"/>
              </w:rPr>
              <w:t>atunci când în compartimentul de incendiu</w:t>
            </w:r>
            <w:r>
              <w:rPr>
                <w:rFonts w:eastAsia="Times New Roman"/>
                <w:i/>
                <w:sz w:val="24"/>
                <w:szCs w:val="24"/>
              </w:rPr>
              <w:t>/ construcție</w:t>
            </w:r>
            <w:r>
              <w:rPr>
                <w:rFonts w:eastAsia="Times New Roman"/>
                <w:bCs/>
                <w:i/>
                <w:sz w:val="24"/>
                <w:szCs w:val="24"/>
              </w:rPr>
              <w:t xml:space="preserve"> se prevăd mai puțin de </w:t>
            </w:r>
            <w:r>
              <w:rPr>
                <w:rFonts w:eastAsia="Times New Roman"/>
                <w:b/>
                <w:i/>
                <w:sz w:val="24"/>
                <w:szCs w:val="24"/>
              </w:rPr>
              <w:t>120</w:t>
            </w:r>
            <w:r>
              <w:rPr>
                <w:rFonts w:eastAsia="Times New Roman"/>
                <w:bCs/>
                <w:i/>
                <w:sz w:val="24"/>
                <w:szCs w:val="24"/>
              </w:rPr>
              <w:t xml:space="preserve"> de paturi</w:t>
            </w:r>
          </w:p>
        </w:tc>
      </w:tr>
    </w:tbl>
    <w:p w14:paraId="4A0F7D6F" w14:textId="77777777" w:rsidR="001C08A5" w:rsidRDefault="00000000">
      <w:pPr>
        <w:suppressLineNumbers/>
        <w:spacing w:before="120" w:after="120"/>
        <w:jc w:val="both"/>
        <w:rPr>
          <w:rFonts w:cs="Mangal"/>
          <w:bCs/>
          <w:i/>
          <w:iCs/>
          <w:sz w:val="22"/>
          <w:szCs w:val="22"/>
        </w:rPr>
      </w:pPr>
      <w:bookmarkStart w:id="9169" w:name="_Toc142898615"/>
      <w:r>
        <w:rPr>
          <w:rFonts w:cs="Mangal"/>
          <w:bCs/>
          <w:i/>
          <w:iCs/>
          <w:sz w:val="22"/>
          <w:szCs w:val="22"/>
        </w:rPr>
        <w:t>Notă:  figurile reliefează doar dimensiunile ascensoarelor. Separarea ascensoarelor pentru transportul bolnavilor cu patul cu rotile, cu targa ori căruciorul sau a persoanelor cu dizabilităţi care pot fi utilizate şi pentru evacuarea asistată a acestora în caz de incendiu se regăsesc în anexa privind ascensoarele.</w:t>
      </w:r>
    </w:p>
    <w:p w14:paraId="4F4BDAF9" w14:textId="77777777" w:rsidR="001C08A5" w:rsidRDefault="00000000">
      <w:pPr>
        <w:pStyle w:val="Caption"/>
        <w:jc w:val="center"/>
      </w:pPr>
      <w:bookmarkStart w:id="9170" w:name="_Toc162360455"/>
      <w:r>
        <w:t xml:space="preserve">Figura </w:t>
      </w:r>
      <w:r>
        <w:fldChar w:fldCharType="begin"/>
      </w:r>
      <w:r>
        <w:instrText xml:space="preserve"> SEQ Figura \* ARABIC </w:instrText>
      </w:r>
      <w:r>
        <w:fldChar w:fldCharType="separate"/>
      </w:r>
      <w:r>
        <w:t>231</w:t>
      </w:r>
      <w:r>
        <w:fldChar w:fldCharType="end"/>
      </w:r>
      <w:bookmarkStart w:id="9171" w:name="_Toc32623"/>
      <w:bookmarkStart w:id="9172" w:name="_Toc1421"/>
      <w:bookmarkStart w:id="9173" w:name="_Toc24568"/>
      <w:bookmarkStart w:id="9174" w:name="_Toc2622"/>
      <w:bookmarkStart w:id="9175" w:name="_Toc32323"/>
      <w:bookmarkStart w:id="9176" w:name="_Toc22919"/>
      <w:bookmarkStart w:id="9177" w:name="_Toc17894"/>
      <w:bookmarkStart w:id="9178" w:name="_Toc14435"/>
      <w:bookmarkStart w:id="9179" w:name="_Toc24286"/>
      <w:r>
        <w:t xml:space="preserve"> - Cabină ascensor evacuare persoane cu dizabilități</w:t>
      </w:r>
      <w:bookmarkEnd w:id="9169"/>
      <w:bookmarkEnd w:id="9170"/>
      <w:bookmarkEnd w:id="9171"/>
      <w:bookmarkEnd w:id="9172"/>
      <w:bookmarkEnd w:id="9173"/>
      <w:bookmarkEnd w:id="9174"/>
      <w:bookmarkEnd w:id="9175"/>
      <w:bookmarkEnd w:id="9176"/>
      <w:bookmarkEnd w:id="9177"/>
      <w:bookmarkEnd w:id="9178"/>
      <w:bookmarkEnd w:id="9179"/>
    </w:p>
    <w:p w14:paraId="2C1C5F85" w14:textId="77777777" w:rsidR="001C08A5" w:rsidRDefault="00000000">
      <w:pPr>
        <w:ind w:firstLine="720"/>
        <w:jc w:val="both"/>
        <w:rPr>
          <w:i/>
          <w:sz w:val="24"/>
          <w:szCs w:val="24"/>
        </w:rPr>
      </w:pPr>
      <w:r>
        <w:rPr>
          <w:i/>
          <w:sz w:val="24"/>
          <w:szCs w:val="24"/>
        </w:rPr>
        <w:t xml:space="preserve">(b) dimensiunile ușilor cabinei vor fi: </w:t>
      </w:r>
    </w:p>
    <w:p w14:paraId="57893BB8" w14:textId="77777777" w:rsidR="001C08A5" w:rsidRDefault="00000000">
      <w:pPr>
        <w:ind w:left="1440" w:firstLine="720"/>
        <w:jc w:val="both"/>
        <w:rPr>
          <w:i/>
          <w:sz w:val="24"/>
          <w:szCs w:val="24"/>
        </w:rPr>
      </w:pPr>
      <w:r>
        <w:rPr>
          <w:i/>
          <w:sz w:val="24"/>
          <w:szCs w:val="24"/>
        </w:rPr>
        <w:lastRenderedPageBreak/>
        <w:t xml:space="preserve">(i) min. </w:t>
      </w:r>
      <w:r>
        <w:rPr>
          <w:b/>
          <w:bCs/>
          <w:i/>
          <w:sz w:val="24"/>
          <w:szCs w:val="24"/>
        </w:rPr>
        <w:t>1,40 m</w:t>
      </w:r>
      <w:r>
        <w:rPr>
          <w:i/>
          <w:sz w:val="24"/>
          <w:szCs w:val="24"/>
        </w:rPr>
        <w:t xml:space="preserve"> lăţime liberă; </w:t>
      </w:r>
    </w:p>
    <w:p w14:paraId="46C4E9D8" w14:textId="77777777" w:rsidR="001C08A5" w:rsidRDefault="00000000">
      <w:pPr>
        <w:ind w:left="1440" w:firstLine="720"/>
        <w:jc w:val="both"/>
        <w:rPr>
          <w:i/>
          <w:sz w:val="24"/>
          <w:szCs w:val="24"/>
        </w:rPr>
      </w:pPr>
      <w:r>
        <w:rPr>
          <w:i/>
          <w:sz w:val="24"/>
          <w:szCs w:val="24"/>
        </w:rPr>
        <w:t xml:space="preserve">(ii) min. </w:t>
      </w:r>
      <w:r>
        <w:rPr>
          <w:b/>
          <w:bCs/>
          <w:i/>
          <w:sz w:val="24"/>
          <w:szCs w:val="24"/>
        </w:rPr>
        <w:t>2,05 m</w:t>
      </w:r>
      <w:r>
        <w:rPr>
          <w:i/>
          <w:sz w:val="24"/>
          <w:szCs w:val="24"/>
        </w:rPr>
        <w:t xml:space="preserve"> înălţime liberă; </w:t>
      </w:r>
    </w:p>
    <w:p w14:paraId="0B4BE1CF" w14:textId="77777777" w:rsidR="001C08A5" w:rsidRDefault="00000000">
      <w:pPr>
        <w:ind w:firstLine="720"/>
        <w:jc w:val="both"/>
        <w:rPr>
          <w:i/>
          <w:sz w:val="24"/>
          <w:szCs w:val="24"/>
        </w:rPr>
      </w:pPr>
      <w:r>
        <w:rPr>
          <w:i/>
          <w:sz w:val="24"/>
          <w:szCs w:val="24"/>
        </w:rPr>
        <w:t xml:space="preserve">(c) uşile cabinei vor fi culisante cu deschidere - închidere automată; </w:t>
      </w:r>
    </w:p>
    <w:p w14:paraId="7922699C" w14:textId="77777777" w:rsidR="001C08A5" w:rsidRDefault="00000000">
      <w:pPr>
        <w:ind w:firstLine="720"/>
        <w:jc w:val="both"/>
        <w:rPr>
          <w:i/>
          <w:sz w:val="24"/>
          <w:szCs w:val="24"/>
        </w:rPr>
      </w:pPr>
      <w:r>
        <w:rPr>
          <w:i/>
          <w:sz w:val="24"/>
          <w:szCs w:val="24"/>
        </w:rPr>
        <w:t xml:space="preserve">(d) dimensiunile platformei de evauare în faţa ascensorului vor fi: </w:t>
      </w:r>
    </w:p>
    <w:p w14:paraId="383A7457" w14:textId="77777777" w:rsidR="001C08A5" w:rsidRDefault="00000000">
      <w:pPr>
        <w:ind w:left="1440" w:firstLine="720"/>
        <w:jc w:val="both"/>
        <w:rPr>
          <w:i/>
          <w:sz w:val="24"/>
          <w:szCs w:val="24"/>
        </w:rPr>
      </w:pPr>
      <w:r>
        <w:rPr>
          <w:i/>
          <w:sz w:val="24"/>
          <w:szCs w:val="24"/>
        </w:rPr>
        <w:t xml:space="preserve">(i) min. </w:t>
      </w:r>
      <w:r>
        <w:rPr>
          <w:b/>
          <w:bCs/>
          <w:i/>
          <w:sz w:val="24"/>
          <w:szCs w:val="24"/>
        </w:rPr>
        <w:t>2,50 m x 3,30 m</w:t>
      </w:r>
      <w:r>
        <w:rPr>
          <w:i/>
          <w:sz w:val="24"/>
          <w:szCs w:val="24"/>
        </w:rPr>
        <w:t xml:space="preserve"> grupare pe un front; </w:t>
      </w:r>
    </w:p>
    <w:p w14:paraId="358E1263" w14:textId="77777777" w:rsidR="001C08A5" w:rsidRDefault="00000000">
      <w:pPr>
        <w:ind w:left="1440" w:firstLine="720"/>
        <w:jc w:val="both"/>
        <w:rPr>
          <w:i/>
          <w:sz w:val="24"/>
          <w:szCs w:val="24"/>
        </w:rPr>
      </w:pPr>
      <w:r>
        <w:rPr>
          <w:i/>
          <w:sz w:val="24"/>
          <w:szCs w:val="24"/>
        </w:rPr>
        <w:t xml:space="preserve">(ii) min. </w:t>
      </w:r>
      <w:r>
        <w:rPr>
          <w:b/>
          <w:bCs/>
          <w:i/>
          <w:sz w:val="24"/>
          <w:szCs w:val="24"/>
        </w:rPr>
        <w:t>2,50 m x 5,40 m</w:t>
      </w:r>
      <w:r>
        <w:rPr>
          <w:i/>
          <w:sz w:val="24"/>
          <w:szCs w:val="24"/>
        </w:rPr>
        <w:t xml:space="preserve"> - grupare pe două fronturi (recomandabil </w:t>
      </w:r>
      <w:r>
        <w:rPr>
          <w:b/>
          <w:bCs/>
          <w:i/>
          <w:sz w:val="24"/>
          <w:szCs w:val="24"/>
        </w:rPr>
        <w:t>3,00 m x 5,40 m</w:t>
      </w:r>
      <w:r>
        <w:rPr>
          <w:i/>
          <w:sz w:val="24"/>
          <w:szCs w:val="24"/>
        </w:rPr>
        <w:t xml:space="preserve">); </w:t>
      </w:r>
    </w:p>
    <w:p w14:paraId="26641F35" w14:textId="77777777" w:rsidR="001C08A5" w:rsidRDefault="00000000">
      <w:pPr>
        <w:jc w:val="center"/>
        <w:rPr>
          <w:b/>
          <w:bCs/>
          <w:i/>
          <w:sz w:val="24"/>
          <w:szCs w:val="24"/>
        </w:rPr>
      </w:pPr>
      <w:r>
        <w:rPr>
          <w:b/>
          <w:bCs/>
          <w:i/>
          <w:noProof/>
          <w:sz w:val="24"/>
          <w:szCs w:val="24"/>
          <w:lang w:eastAsia="ro-RO"/>
        </w:rPr>
        <w:drawing>
          <wp:inline distT="0" distB="0" distL="114300" distR="114300" wp14:anchorId="6670B1B7" wp14:editId="0C5EAED2">
            <wp:extent cx="5702300" cy="2456815"/>
            <wp:effectExtent l="0" t="0" r="12700" b="635"/>
            <wp:docPr id="5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2"/>
                    <pic:cNvPicPr>
                      <a:picLocks noChangeAspect="1"/>
                    </pic:cNvPicPr>
                  </pic:nvPicPr>
                  <pic:blipFill>
                    <a:blip r:embed="rId454"/>
                    <a:srcRect l="15027" t="6457" r="9415" b="10267"/>
                    <a:stretch>
                      <a:fillRect/>
                    </a:stretch>
                  </pic:blipFill>
                  <pic:spPr>
                    <a:xfrm>
                      <a:off x="0" y="0"/>
                      <a:ext cx="5702300" cy="245681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1D4214A5" w14:textId="77777777">
        <w:tc>
          <w:tcPr>
            <w:tcW w:w="4927" w:type="dxa"/>
          </w:tcPr>
          <w:p w14:paraId="6A0DF36B" w14:textId="77777777" w:rsidR="001C08A5" w:rsidRDefault="00000000">
            <w:pPr>
              <w:jc w:val="center"/>
              <w:rPr>
                <w:b/>
                <w:bCs/>
                <w:i/>
                <w:sz w:val="24"/>
                <w:szCs w:val="24"/>
              </w:rPr>
            </w:pPr>
            <w:r>
              <w:rPr>
                <w:b/>
                <w:bCs/>
                <w:i/>
                <w:sz w:val="24"/>
                <w:szCs w:val="24"/>
              </w:rPr>
              <w:t>Varianta a) grupare pe un front</w:t>
            </w:r>
          </w:p>
        </w:tc>
        <w:tc>
          <w:tcPr>
            <w:tcW w:w="4928" w:type="dxa"/>
          </w:tcPr>
          <w:p w14:paraId="34402E6E" w14:textId="77777777" w:rsidR="001C08A5" w:rsidRDefault="00000000">
            <w:pPr>
              <w:jc w:val="center"/>
              <w:rPr>
                <w:b/>
                <w:bCs/>
                <w:i/>
                <w:sz w:val="24"/>
                <w:szCs w:val="24"/>
              </w:rPr>
            </w:pPr>
            <w:r>
              <w:rPr>
                <w:b/>
                <w:bCs/>
                <w:i/>
                <w:sz w:val="24"/>
                <w:szCs w:val="24"/>
              </w:rPr>
              <w:t>Varianta b) grupare pe două fronturi</w:t>
            </w:r>
          </w:p>
        </w:tc>
      </w:tr>
    </w:tbl>
    <w:p w14:paraId="0B1EB9E3" w14:textId="77777777" w:rsidR="001C08A5" w:rsidRDefault="00000000">
      <w:pPr>
        <w:suppressLineNumbers/>
        <w:spacing w:before="120" w:after="120"/>
        <w:jc w:val="both"/>
        <w:rPr>
          <w:rFonts w:cs="Mangal"/>
          <w:b/>
          <w:i/>
          <w:iCs/>
          <w:sz w:val="24"/>
          <w:szCs w:val="24"/>
        </w:rPr>
      </w:pPr>
      <w:bookmarkStart w:id="9180" w:name="_Toc142898616"/>
      <w:r>
        <w:rPr>
          <w:rFonts w:cs="Mangal"/>
          <w:bCs/>
          <w:i/>
          <w:iCs/>
          <w:sz w:val="22"/>
          <w:szCs w:val="22"/>
        </w:rPr>
        <w:t>Notă: figurile reliefează doar dimensiunile ascensoarelor și a platformelor din fața acestora. Separarea ascensoarelor pentru transportul bolnavilor cu patul cu rotile, cu targa ori căruciorul sau a persoanelor cu dizabilităţi care pot fi utilizate şi pentru evacuarea asistată a acestora în caz de incendiu se regăsesc în anexa privind ascensoarele.</w:t>
      </w:r>
    </w:p>
    <w:p w14:paraId="34CDF8EE" w14:textId="77777777" w:rsidR="001C08A5" w:rsidRDefault="00000000">
      <w:pPr>
        <w:pStyle w:val="Caption"/>
        <w:jc w:val="center"/>
      </w:pPr>
      <w:bookmarkStart w:id="9181" w:name="_Toc162360456"/>
      <w:r>
        <w:t xml:space="preserve">Figura </w:t>
      </w:r>
      <w:r>
        <w:fldChar w:fldCharType="begin"/>
      </w:r>
      <w:r>
        <w:instrText xml:space="preserve"> SEQ Figura \* ARABIC </w:instrText>
      </w:r>
      <w:r>
        <w:fldChar w:fldCharType="separate"/>
      </w:r>
      <w:r>
        <w:t>232</w:t>
      </w:r>
      <w:r>
        <w:fldChar w:fldCharType="end"/>
      </w:r>
      <w:bookmarkStart w:id="9182" w:name="_Toc10101"/>
      <w:bookmarkStart w:id="9183" w:name="_Toc18149"/>
      <w:bookmarkStart w:id="9184" w:name="_Toc26721"/>
      <w:bookmarkStart w:id="9185" w:name="_Toc2728"/>
      <w:bookmarkStart w:id="9186" w:name="_Toc27787"/>
      <w:bookmarkStart w:id="9187" w:name="_Toc25439"/>
      <w:bookmarkStart w:id="9188" w:name="_Toc5594"/>
      <w:bookmarkStart w:id="9189" w:name="_Toc22838"/>
      <w:bookmarkStart w:id="9190" w:name="_Toc32016"/>
      <w:r>
        <w:t xml:space="preserve"> - Dimensiuni platformă în faţa ascensorului de evauare persoane cu dizabilități</w:t>
      </w:r>
      <w:bookmarkEnd w:id="9180"/>
      <w:bookmarkEnd w:id="9181"/>
      <w:bookmarkEnd w:id="9182"/>
      <w:bookmarkEnd w:id="9183"/>
      <w:bookmarkEnd w:id="9184"/>
      <w:bookmarkEnd w:id="9185"/>
      <w:bookmarkEnd w:id="9186"/>
      <w:bookmarkEnd w:id="9187"/>
      <w:bookmarkEnd w:id="9188"/>
      <w:bookmarkEnd w:id="9189"/>
      <w:bookmarkEnd w:id="9190"/>
    </w:p>
    <w:p w14:paraId="5CD39687" w14:textId="77777777" w:rsidR="001C08A5" w:rsidRDefault="00000000">
      <w:pPr>
        <w:numPr>
          <w:ilvl w:val="0"/>
          <w:numId w:val="96"/>
        </w:numPr>
        <w:tabs>
          <w:tab w:val="left" w:pos="426"/>
          <w:tab w:val="left" w:pos="993"/>
        </w:tabs>
        <w:jc w:val="both"/>
        <w:rPr>
          <w:b/>
          <w:i/>
          <w:sz w:val="24"/>
        </w:rPr>
      </w:pPr>
      <w:r>
        <w:rPr>
          <w:i/>
          <w:sz w:val="24"/>
        </w:rPr>
        <w:t xml:space="preserve">În interiorul compartimentelor de incendiu cu funcțiune de spitalizare, pentru dimensionarea căilor de evacuare se va realiza se vor utiliza următoarele valori: </w:t>
      </w:r>
    </w:p>
    <w:p w14:paraId="3C42B19A" w14:textId="77777777" w:rsidR="001C08A5" w:rsidRDefault="00000000">
      <w:pPr>
        <w:ind w:left="720" w:firstLine="720"/>
        <w:jc w:val="both"/>
        <w:rPr>
          <w:i/>
          <w:sz w:val="24"/>
          <w:szCs w:val="24"/>
        </w:rPr>
      </w:pPr>
      <w:r>
        <w:rPr>
          <w:i/>
          <w:sz w:val="24"/>
          <w:szCs w:val="24"/>
        </w:rPr>
        <w:t xml:space="preserve">(a) lăţimea liberă a coridoarelor principale în unităţile de îngrijire, diagnostic şi tratament va fi: </w:t>
      </w:r>
    </w:p>
    <w:p w14:paraId="65A444BF" w14:textId="77777777" w:rsidR="001C08A5" w:rsidRDefault="00000000">
      <w:pPr>
        <w:ind w:left="1440" w:firstLine="720"/>
        <w:jc w:val="both"/>
        <w:rPr>
          <w:i/>
          <w:sz w:val="24"/>
          <w:szCs w:val="24"/>
        </w:rPr>
      </w:pPr>
      <w:r>
        <w:rPr>
          <w:i/>
          <w:sz w:val="24"/>
          <w:szCs w:val="24"/>
        </w:rPr>
        <w:t xml:space="preserve">(i) min. </w:t>
      </w:r>
      <w:r>
        <w:rPr>
          <w:b/>
          <w:bCs/>
          <w:i/>
          <w:sz w:val="24"/>
          <w:szCs w:val="24"/>
        </w:rPr>
        <w:t>2,20 m</w:t>
      </w:r>
      <w:r>
        <w:rPr>
          <w:i/>
          <w:sz w:val="24"/>
          <w:szCs w:val="24"/>
        </w:rPr>
        <w:t xml:space="preserve"> pentru evacuare cu targa; </w:t>
      </w:r>
    </w:p>
    <w:p w14:paraId="69EE517D" w14:textId="77777777" w:rsidR="001C08A5" w:rsidRDefault="00000000">
      <w:pPr>
        <w:ind w:left="1440" w:firstLine="720"/>
        <w:jc w:val="both"/>
        <w:rPr>
          <w:i/>
          <w:sz w:val="24"/>
          <w:szCs w:val="24"/>
        </w:rPr>
      </w:pPr>
      <w:r>
        <w:rPr>
          <w:i/>
          <w:sz w:val="24"/>
          <w:szCs w:val="24"/>
        </w:rPr>
        <w:t xml:space="preserve">(ii) min. </w:t>
      </w:r>
      <w:r>
        <w:rPr>
          <w:b/>
          <w:bCs/>
          <w:i/>
          <w:sz w:val="24"/>
          <w:szCs w:val="24"/>
        </w:rPr>
        <w:t>2,40 m</w:t>
      </w:r>
      <w:r>
        <w:rPr>
          <w:i/>
          <w:sz w:val="24"/>
          <w:szCs w:val="24"/>
        </w:rPr>
        <w:t xml:space="preserve"> pentru evacuare cu pat cu rotile; </w:t>
      </w:r>
    </w:p>
    <w:p w14:paraId="76B91D25" w14:textId="77777777" w:rsidR="001C08A5" w:rsidRDefault="00000000">
      <w:pPr>
        <w:ind w:left="720" w:firstLine="720"/>
        <w:jc w:val="both"/>
        <w:rPr>
          <w:i/>
          <w:sz w:val="24"/>
          <w:szCs w:val="24"/>
        </w:rPr>
      </w:pPr>
      <w:r>
        <w:rPr>
          <w:i/>
          <w:sz w:val="24"/>
          <w:szCs w:val="24"/>
        </w:rPr>
        <w:t xml:space="preserve">(b) lăţimea liberă a coridoarelor protejate cu zone de aşteptare (de refugiu) de-a lungul pereţilor va fi: </w:t>
      </w:r>
    </w:p>
    <w:p w14:paraId="36A0147F" w14:textId="77777777" w:rsidR="001C08A5" w:rsidRDefault="00000000">
      <w:pPr>
        <w:ind w:left="1440" w:firstLine="720"/>
        <w:jc w:val="both"/>
        <w:rPr>
          <w:i/>
          <w:sz w:val="24"/>
          <w:szCs w:val="24"/>
        </w:rPr>
      </w:pPr>
      <w:r>
        <w:rPr>
          <w:i/>
          <w:sz w:val="24"/>
          <w:szCs w:val="24"/>
        </w:rPr>
        <w:t xml:space="preserve">(i) min. </w:t>
      </w:r>
      <w:r>
        <w:rPr>
          <w:b/>
          <w:bCs/>
          <w:i/>
          <w:sz w:val="24"/>
          <w:szCs w:val="24"/>
        </w:rPr>
        <w:t>2,40 m</w:t>
      </w:r>
      <w:r>
        <w:rPr>
          <w:i/>
          <w:sz w:val="24"/>
          <w:szCs w:val="24"/>
        </w:rPr>
        <w:t xml:space="preserve"> cu aşteptare pe o latură; </w:t>
      </w:r>
    </w:p>
    <w:p w14:paraId="363F0FF3" w14:textId="77777777" w:rsidR="001C08A5" w:rsidRDefault="00000000">
      <w:pPr>
        <w:ind w:left="1440" w:firstLine="720"/>
        <w:jc w:val="both"/>
        <w:rPr>
          <w:i/>
          <w:sz w:val="24"/>
          <w:szCs w:val="24"/>
        </w:rPr>
      </w:pPr>
      <w:r>
        <w:rPr>
          <w:i/>
          <w:sz w:val="24"/>
          <w:szCs w:val="24"/>
        </w:rPr>
        <w:t xml:space="preserve">(ii) min. </w:t>
      </w:r>
      <w:r>
        <w:rPr>
          <w:b/>
          <w:bCs/>
          <w:i/>
          <w:sz w:val="24"/>
          <w:szCs w:val="24"/>
        </w:rPr>
        <w:t>3,50 m</w:t>
      </w:r>
      <w:r>
        <w:rPr>
          <w:i/>
          <w:sz w:val="24"/>
          <w:szCs w:val="24"/>
        </w:rPr>
        <w:t xml:space="preserve"> cu aşteptare pe două laturi; </w:t>
      </w:r>
    </w:p>
    <w:p w14:paraId="2C539F84" w14:textId="77777777" w:rsidR="001C08A5" w:rsidRDefault="00000000">
      <w:pPr>
        <w:ind w:left="720" w:firstLine="720"/>
        <w:jc w:val="both"/>
        <w:rPr>
          <w:i/>
          <w:sz w:val="24"/>
          <w:szCs w:val="24"/>
        </w:rPr>
      </w:pPr>
      <w:r>
        <w:rPr>
          <w:i/>
          <w:sz w:val="24"/>
          <w:szCs w:val="24"/>
        </w:rPr>
        <w:t>(c) lăţimea liberă pentru circulația cu targa:</w:t>
      </w:r>
    </w:p>
    <w:p w14:paraId="1F1B544F" w14:textId="77777777" w:rsidR="001C08A5" w:rsidRDefault="00000000">
      <w:pPr>
        <w:ind w:left="1440" w:firstLine="720"/>
        <w:jc w:val="both"/>
        <w:rPr>
          <w:i/>
          <w:sz w:val="24"/>
          <w:szCs w:val="24"/>
        </w:rPr>
      </w:pPr>
      <w:r>
        <w:rPr>
          <w:i/>
          <w:sz w:val="24"/>
          <w:szCs w:val="24"/>
        </w:rPr>
        <w:t xml:space="preserve">(i) min. </w:t>
      </w:r>
      <w:r>
        <w:rPr>
          <w:b/>
          <w:bCs/>
          <w:i/>
          <w:sz w:val="24"/>
          <w:szCs w:val="24"/>
        </w:rPr>
        <w:t>1,80 m</w:t>
      </w:r>
      <w:r>
        <w:rPr>
          <w:i/>
          <w:sz w:val="24"/>
          <w:szCs w:val="24"/>
        </w:rPr>
        <w:t xml:space="preserve"> întoarcere în unghi drept; </w:t>
      </w:r>
    </w:p>
    <w:p w14:paraId="767E2DDE" w14:textId="77777777" w:rsidR="001C08A5" w:rsidRDefault="00000000">
      <w:pPr>
        <w:ind w:left="1440" w:firstLine="720"/>
        <w:jc w:val="both"/>
        <w:rPr>
          <w:i/>
          <w:sz w:val="24"/>
          <w:szCs w:val="24"/>
        </w:rPr>
      </w:pPr>
      <w:r>
        <w:rPr>
          <w:i/>
          <w:sz w:val="24"/>
          <w:szCs w:val="24"/>
        </w:rPr>
        <w:t xml:space="preserve">(ii) min. </w:t>
      </w:r>
      <w:r>
        <w:rPr>
          <w:b/>
          <w:bCs/>
          <w:i/>
          <w:sz w:val="24"/>
          <w:szCs w:val="24"/>
        </w:rPr>
        <w:t>2,20 m</w:t>
      </w:r>
      <w:r>
        <w:rPr>
          <w:i/>
          <w:sz w:val="24"/>
          <w:szCs w:val="24"/>
        </w:rPr>
        <w:t xml:space="preserve"> - spaţiu pentru manevră. </w:t>
      </w:r>
    </w:p>
    <w:p w14:paraId="61B28F50" w14:textId="77777777" w:rsidR="001C08A5" w:rsidRDefault="00000000">
      <w:pPr>
        <w:pStyle w:val="Heading4"/>
        <w:rPr>
          <w:sz w:val="24"/>
          <w:szCs w:val="24"/>
        </w:rPr>
      </w:pPr>
      <w:bookmarkStart w:id="9191" w:name="_Toc749"/>
      <w:bookmarkStart w:id="9192" w:name="_Toc14603"/>
      <w:bookmarkStart w:id="9193" w:name="_Toc4441"/>
      <w:bookmarkStart w:id="9194" w:name="_Toc16232"/>
      <w:bookmarkStart w:id="9195" w:name="_Toc30384"/>
      <w:bookmarkStart w:id="9196" w:name="_Toc4706"/>
      <w:bookmarkStart w:id="9197" w:name="_Toc28960"/>
      <w:bookmarkStart w:id="9198" w:name="_Toc18543"/>
      <w:bookmarkStart w:id="9199" w:name="_Toc5790"/>
      <w:bookmarkStart w:id="9200" w:name="_Toc28763"/>
      <w:bookmarkStart w:id="9201" w:name="_Toc162355475"/>
      <w:bookmarkStart w:id="9202" w:name="_Toc18653"/>
      <w:bookmarkStart w:id="9203" w:name="_Toc14628"/>
      <w:bookmarkStart w:id="9204" w:name="_Toc10009"/>
      <w:bookmarkStart w:id="9205" w:name="_Toc1611"/>
      <w:bookmarkStart w:id="9206" w:name="_Toc7386"/>
      <w:bookmarkStart w:id="9207" w:name="_Toc19973"/>
      <w:r>
        <w:rPr>
          <w:sz w:val="24"/>
          <w:szCs w:val="24"/>
        </w:rPr>
        <w:t>Zona de refugiu în clădiri de sănătate</w:t>
      </w:r>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r>
        <w:rPr>
          <w:sz w:val="24"/>
          <w:szCs w:val="24"/>
        </w:rPr>
        <w:t xml:space="preserve"> </w:t>
      </w:r>
    </w:p>
    <w:p w14:paraId="1A30DF09" w14:textId="77777777" w:rsidR="001C08A5" w:rsidRDefault="00000000">
      <w:pPr>
        <w:pStyle w:val="Heading5"/>
        <w:rPr>
          <w:sz w:val="24"/>
          <w:szCs w:val="24"/>
          <w:lang w:val="ro-RO"/>
        </w:rPr>
      </w:pPr>
      <w:bookmarkStart w:id="9208" w:name="_Toc786"/>
      <w:bookmarkStart w:id="9209" w:name="_Toc5514"/>
      <w:bookmarkStart w:id="9210" w:name="_Toc30847"/>
      <w:bookmarkStart w:id="9211" w:name="_Toc12314"/>
      <w:bookmarkStart w:id="9212" w:name="_Toc5964"/>
      <w:bookmarkStart w:id="9213" w:name="_Toc7819"/>
      <w:bookmarkStart w:id="9214" w:name="_Toc20279"/>
      <w:bookmarkStart w:id="9215" w:name="_Toc28893"/>
      <w:bookmarkStart w:id="9216" w:name="_Toc547"/>
      <w:bookmarkStart w:id="9217" w:name="_Toc29093"/>
      <w:bookmarkStart w:id="9218" w:name="_Toc20686"/>
      <w:bookmarkStart w:id="9219" w:name="_Toc6277"/>
      <w:bookmarkStart w:id="9220" w:name="_Toc25296"/>
      <w:bookmarkStart w:id="9221" w:name="_Toc162355476"/>
      <w:bookmarkStart w:id="9222" w:name="_Toc31859"/>
      <w:bookmarkStart w:id="9223" w:name="_Toc2168"/>
      <w:r>
        <w:rPr>
          <w:sz w:val="24"/>
          <w:szCs w:val="24"/>
          <w:lang w:val="ro-RO"/>
        </w:rPr>
        <w:t>Prevederi generale</w:t>
      </w:r>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p>
    <w:p w14:paraId="5FE9101E"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Zona de refugiu în clădiri de sănătate poate fi:.</w:t>
      </w:r>
    </w:p>
    <w:p w14:paraId="0B1C436A" w14:textId="77777777" w:rsidR="001C08A5" w:rsidRDefault="00000000">
      <w:pPr>
        <w:numPr>
          <w:ilvl w:val="255"/>
          <w:numId w:val="0"/>
        </w:numPr>
        <w:tabs>
          <w:tab w:val="left" w:pos="426"/>
          <w:tab w:val="left" w:pos="993"/>
        </w:tabs>
        <w:ind w:left="720" w:firstLine="720"/>
        <w:jc w:val="both"/>
        <w:rPr>
          <w:rFonts w:eastAsia="Times New Roman"/>
          <w:i/>
          <w:sz w:val="24"/>
        </w:rPr>
      </w:pPr>
      <w:r>
        <w:rPr>
          <w:rFonts w:eastAsia="Times New Roman"/>
          <w:i/>
          <w:sz w:val="24"/>
        </w:rPr>
        <w:t xml:space="preserve">- o zonă din interiorul unei clădiri (în cadrul aceluiași compartiment de incendiu) sau </w:t>
      </w:r>
    </w:p>
    <w:p w14:paraId="5652FE4A" w14:textId="77777777" w:rsidR="001C08A5" w:rsidRDefault="00000000">
      <w:pPr>
        <w:numPr>
          <w:ilvl w:val="255"/>
          <w:numId w:val="0"/>
        </w:numPr>
        <w:tabs>
          <w:tab w:val="left" w:pos="426"/>
          <w:tab w:val="left" w:pos="993"/>
        </w:tabs>
        <w:ind w:left="720" w:firstLine="720"/>
        <w:jc w:val="both"/>
        <w:rPr>
          <w:rFonts w:eastAsia="Times New Roman"/>
          <w:i/>
          <w:sz w:val="24"/>
        </w:rPr>
      </w:pPr>
      <w:r>
        <w:rPr>
          <w:rFonts w:eastAsia="Times New Roman"/>
          <w:i/>
          <w:sz w:val="24"/>
        </w:rPr>
        <w:t xml:space="preserve">- o zonă din interiorul unei alte clădiri aparținând aceluiași compartiment de incendiu sau </w:t>
      </w:r>
    </w:p>
    <w:p w14:paraId="48F25358" w14:textId="77777777" w:rsidR="001C08A5" w:rsidRDefault="00000000">
      <w:pPr>
        <w:numPr>
          <w:ilvl w:val="255"/>
          <w:numId w:val="0"/>
        </w:numPr>
        <w:tabs>
          <w:tab w:val="left" w:pos="426"/>
          <w:tab w:val="left" w:pos="993"/>
        </w:tabs>
        <w:ind w:left="720" w:firstLine="720"/>
        <w:jc w:val="both"/>
        <w:rPr>
          <w:rFonts w:eastAsia="Times New Roman"/>
          <w:i/>
          <w:sz w:val="24"/>
        </w:rPr>
      </w:pPr>
      <w:r>
        <w:rPr>
          <w:rFonts w:eastAsia="Times New Roman"/>
          <w:i/>
          <w:sz w:val="24"/>
        </w:rPr>
        <w:t>- o zonă (determinată ca și încăpere distinctă sau nu) din interiorul unui compartiment distinct de incendiu alăturat.</w:t>
      </w:r>
    </w:p>
    <w:p w14:paraId="1374377B" w14:textId="77777777" w:rsidR="001C08A5" w:rsidRDefault="00000000">
      <w:pPr>
        <w:numPr>
          <w:ilvl w:val="255"/>
          <w:numId w:val="0"/>
        </w:numPr>
        <w:tabs>
          <w:tab w:val="left" w:pos="426"/>
          <w:tab w:val="left" w:pos="993"/>
        </w:tabs>
        <w:jc w:val="both"/>
        <w:rPr>
          <w:rFonts w:eastAsia="Times New Roman"/>
          <w:bCs/>
          <w:i/>
          <w:sz w:val="24"/>
        </w:rPr>
      </w:pPr>
      <w:r>
        <w:rPr>
          <w:rFonts w:eastAsia="Times New Roman"/>
          <w:i/>
          <w:sz w:val="24"/>
        </w:rPr>
        <w:t xml:space="preserve"> </w:t>
      </w:r>
    </w:p>
    <w:p w14:paraId="6C811B5C" w14:textId="77777777" w:rsidR="001C08A5" w:rsidRDefault="00000000">
      <w:pPr>
        <w:numPr>
          <w:ilvl w:val="0"/>
          <w:numId w:val="96"/>
        </w:numPr>
        <w:tabs>
          <w:tab w:val="left" w:pos="426"/>
          <w:tab w:val="left" w:pos="993"/>
        </w:tabs>
        <w:jc w:val="both"/>
        <w:rPr>
          <w:rFonts w:eastAsia="Times New Roman"/>
          <w:bCs/>
          <w:i/>
          <w:sz w:val="24"/>
        </w:rPr>
      </w:pPr>
      <w:r>
        <w:rPr>
          <w:rFonts w:eastAsia="Times New Roman"/>
          <w:bCs/>
          <w:i/>
          <w:sz w:val="24"/>
        </w:rPr>
        <w:lastRenderedPageBreak/>
        <w:t xml:space="preserve">Atunci când evacuarea către zona de refugiu se realizează </w:t>
      </w:r>
      <w:r>
        <w:rPr>
          <w:rFonts w:eastAsia="Times New Roman"/>
          <w:b/>
          <w:i/>
          <w:sz w:val="24"/>
        </w:rPr>
        <w:t>într-un singur sens</w:t>
      </w:r>
      <w:r>
        <w:rPr>
          <w:rFonts w:eastAsia="Times New Roman"/>
          <w:bCs/>
          <w:i/>
          <w:sz w:val="24"/>
        </w:rPr>
        <w:t>, sunt necesare urmatoarele condiții:</w:t>
      </w:r>
    </w:p>
    <w:p w14:paraId="300382AC" w14:textId="77777777" w:rsidR="001C08A5" w:rsidRDefault="00000000">
      <w:pPr>
        <w:ind w:left="720" w:firstLine="720"/>
        <w:jc w:val="both"/>
        <w:rPr>
          <w:rFonts w:eastAsia="Times New Roman"/>
          <w:i/>
          <w:sz w:val="24"/>
          <w:szCs w:val="24"/>
        </w:rPr>
      </w:pPr>
      <w:r>
        <w:rPr>
          <w:rFonts w:eastAsia="Times New Roman"/>
          <w:i/>
          <w:sz w:val="24"/>
          <w:szCs w:val="24"/>
        </w:rPr>
        <w:t>- zona de refugiu are realizat un ascensor pentru evacuare a pesoanelor cu dizabilitati</w:t>
      </w:r>
    </w:p>
    <w:p w14:paraId="11B8C9D8" w14:textId="77777777" w:rsidR="001C08A5" w:rsidRDefault="00000000">
      <w:pPr>
        <w:ind w:left="720" w:firstLine="720"/>
        <w:jc w:val="both"/>
        <w:rPr>
          <w:rFonts w:eastAsia="Times New Roman"/>
          <w:i/>
          <w:sz w:val="24"/>
          <w:szCs w:val="24"/>
        </w:rPr>
      </w:pPr>
      <w:r>
        <w:rPr>
          <w:rFonts w:eastAsia="Times New Roman"/>
          <w:i/>
          <w:sz w:val="24"/>
          <w:szCs w:val="24"/>
        </w:rPr>
        <w:t xml:space="preserve">- există încăpere dedicată pentru refugiu cu urmatoarele caracteristici: pereti </w:t>
      </w:r>
      <w:r>
        <w:rPr>
          <w:rFonts w:eastAsia="Times New Roman"/>
          <w:b/>
          <w:bCs/>
          <w:i/>
          <w:sz w:val="24"/>
          <w:szCs w:val="24"/>
        </w:rPr>
        <w:t>EI180</w:t>
      </w:r>
      <w:r>
        <w:rPr>
          <w:rFonts w:eastAsia="Times New Roman"/>
          <w:i/>
          <w:sz w:val="24"/>
          <w:szCs w:val="24"/>
        </w:rPr>
        <w:t xml:space="preserve">, ușă </w:t>
      </w:r>
      <w:r>
        <w:rPr>
          <w:rFonts w:eastAsia="Times New Roman"/>
          <w:b/>
          <w:bCs/>
          <w:i/>
          <w:sz w:val="24"/>
          <w:szCs w:val="24"/>
        </w:rPr>
        <w:t>EI90-C5S</w:t>
      </w:r>
      <w:r>
        <w:rPr>
          <w:rFonts w:eastAsia="Times New Roman"/>
          <w:b/>
          <w:bCs/>
          <w:i/>
          <w:sz w:val="24"/>
          <w:szCs w:val="24"/>
          <w:vertAlign w:val="subscript"/>
        </w:rPr>
        <w:t>200</w:t>
      </w:r>
    </w:p>
    <w:p w14:paraId="79241046" w14:textId="77777777" w:rsidR="001C08A5" w:rsidRDefault="00000000">
      <w:pPr>
        <w:ind w:left="720" w:firstLine="720"/>
        <w:jc w:val="both"/>
        <w:rPr>
          <w:rFonts w:eastAsia="Times New Roman"/>
          <w:i/>
          <w:sz w:val="24"/>
          <w:szCs w:val="24"/>
        </w:rPr>
      </w:pPr>
      <w:r>
        <w:rPr>
          <w:rFonts w:eastAsia="Times New Roman"/>
          <w:i/>
          <w:sz w:val="24"/>
          <w:szCs w:val="24"/>
        </w:rPr>
        <w:t>Aceasta trebuie poziționată astfel încât să fie cât mai apropiată de casa de scară</w:t>
      </w:r>
    </w:p>
    <w:p w14:paraId="77913F18" w14:textId="77777777" w:rsidR="001C08A5" w:rsidRDefault="00000000">
      <w:pPr>
        <w:ind w:left="720" w:firstLine="720"/>
        <w:jc w:val="both"/>
        <w:rPr>
          <w:rFonts w:eastAsia="Times New Roman"/>
          <w:i/>
          <w:sz w:val="24"/>
          <w:szCs w:val="24"/>
        </w:rPr>
      </w:pPr>
      <w:r>
        <w:rPr>
          <w:rFonts w:eastAsia="Times New Roman"/>
          <w:i/>
          <w:sz w:val="24"/>
          <w:szCs w:val="24"/>
        </w:rPr>
        <w:t xml:space="preserve"> - încăperea dedicată pentru refugiu trebuie să poată fi accesibilă din exterior printr-o fereastră cu posibilitatea accesului echipelor de intervenție pentru salvarea persoanelor de la înălțime</w:t>
      </w:r>
    </w:p>
    <w:p w14:paraId="1A2E6AB1" w14:textId="77777777" w:rsidR="001C08A5" w:rsidRDefault="00000000">
      <w:pPr>
        <w:numPr>
          <w:ilvl w:val="255"/>
          <w:numId w:val="0"/>
        </w:numPr>
        <w:ind w:left="720" w:firstLine="720"/>
        <w:jc w:val="both"/>
        <w:rPr>
          <w:rFonts w:eastAsia="Times New Roman"/>
          <w:i/>
          <w:sz w:val="24"/>
          <w:szCs w:val="24"/>
        </w:rPr>
      </w:pPr>
      <w:r>
        <w:rPr>
          <w:rFonts w:eastAsia="Times New Roman"/>
          <w:i/>
          <w:sz w:val="24"/>
          <w:szCs w:val="24"/>
        </w:rPr>
        <w:t xml:space="preserve">- numarul de paturi stabilit se calculează ținându-se cont de </w:t>
      </w:r>
      <w:r>
        <w:rPr>
          <w:rFonts w:eastAsia="Times New Roman"/>
          <w:b/>
          <w:bCs/>
          <w:i/>
          <w:sz w:val="24"/>
          <w:szCs w:val="24"/>
        </w:rPr>
        <w:t>2/3</w:t>
      </w:r>
      <w:r>
        <w:rPr>
          <w:rFonts w:eastAsia="Times New Roman"/>
          <w:i/>
          <w:sz w:val="24"/>
          <w:szCs w:val="24"/>
        </w:rPr>
        <w:t xml:space="preserve"> (două treimi) din numarul total de paturi din zona refugiată, iar pentru fiecare pat se va aloca o suprafață de </w:t>
      </w:r>
      <w:r>
        <w:rPr>
          <w:rFonts w:eastAsia="Times New Roman"/>
          <w:b/>
          <w:bCs/>
          <w:i/>
          <w:sz w:val="24"/>
          <w:szCs w:val="24"/>
        </w:rPr>
        <w:t>1m x 2m</w:t>
      </w:r>
      <w:r>
        <w:rPr>
          <w:rFonts w:eastAsia="Times New Roman"/>
          <w:i/>
          <w:sz w:val="24"/>
          <w:szCs w:val="24"/>
        </w:rPr>
        <w:t>.</w:t>
      </w:r>
    </w:p>
    <w:p w14:paraId="01BFBC3B" w14:textId="77777777" w:rsidR="001C08A5" w:rsidRDefault="001C08A5">
      <w:pPr>
        <w:numPr>
          <w:ilvl w:val="255"/>
          <w:numId w:val="0"/>
        </w:numPr>
        <w:ind w:left="720" w:firstLine="720"/>
        <w:jc w:val="both"/>
        <w:rPr>
          <w:rFonts w:eastAsia="Times New Roman"/>
          <w:i/>
          <w:sz w:val="24"/>
          <w:szCs w:val="24"/>
        </w:rPr>
      </w:pPr>
    </w:p>
    <w:p w14:paraId="33A4D231" w14:textId="77777777" w:rsidR="001C08A5" w:rsidRDefault="00000000">
      <w:pPr>
        <w:pStyle w:val="Heading5"/>
        <w:rPr>
          <w:sz w:val="24"/>
          <w:szCs w:val="24"/>
        </w:rPr>
      </w:pPr>
      <w:bookmarkStart w:id="9224" w:name="_Toc162355477"/>
      <w:bookmarkStart w:id="9225" w:name="_Toc30104"/>
      <w:bookmarkStart w:id="9226" w:name="_Toc29141"/>
      <w:bookmarkStart w:id="9227" w:name="_Toc28025"/>
      <w:bookmarkStart w:id="9228" w:name="_Toc30069"/>
      <w:bookmarkStart w:id="9229" w:name="_Toc26665"/>
      <w:r>
        <w:rPr>
          <w:sz w:val="24"/>
          <w:szCs w:val="24"/>
          <w:lang w:val="ro-RO"/>
        </w:rPr>
        <w:t>„Zona de refugiu” situată în același compartiment de incendiu</w:t>
      </w:r>
      <w:bookmarkEnd w:id="9224"/>
      <w:bookmarkEnd w:id="9225"/>
      <w:bookmarkEnd w:id="9226"/>
      <w:bookmarkEnd w:id="9227"/>
      <w:bookmarkEnd w:id="9228"/>
      <w:bookmarkEnd w:id="9229"/>
    </w:p>
    <w:p w14:paraId="55206277" w14:textId="77777777" w:rsidR="001C08A5" w:rsidRDefault="001C08A5"/>
    <w:p w14:paraId="566E56B5"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 cazul în care „zona de refugiu” este situată </w:t>
      </w:r>
      <w:r>
        <w:rPr>
          <w:rFonts w:eastAsia="Times New Roman"/>
          <w:b/>
          <w:bCs/>
          <w:i/>
          <w:sz w:val="24"/>
        </w:rPr>
        <w:t>în același compartiment de incendiu</w:t>
      </w:r>
      <w:r>
        <w:rPr>
          <w:rFonts w:eastAsia="Times New Roman"/>
          <w:i/>
          <w:sz w:val="24"/>
        </w:rPr>
        <w:t xml:space="preserve"> cu funcțiune de sănătate și este conectată printr-un </w:t>
      </w:r>
      <w:r>
        <w:rPr>
          <w:rFonts w:eastAsia="Times New Roman"/>
          <w:b/>
          <w:bCs/>
          <w:i/>
          <w:sz w:val="24"/>
        </w:rPr>
        <w:t>coridor închis sau deschis (exterior)</w:t>
      </w:r>
      <w:r>
        <w:rPr>
          <w:rFonts w:eastAsia="Times New Roman"/>
          <w:i/>
          <w:sz w:val="24"/>
        </w:rPr>
        <w:t xml:space="preserve">, în locul cerinței pentru asigurarea normată a simultaneității proprii clădirii de sănătate care deservește ca și zonă de refugiu privind căile de evacuare, se determină numărul de utilizatori pentru care se asigură condiţiile de evacuare în caz de incendiu. </w:t>
      </w:r>
    </w:p>
    <w:p w14:paraId="620131AC" w14:textId="77777777" w:rsidR="001C08A5" w:rsidRDefault="001C08A5">
      <w:pPr>
        <w:tabs>
          <w:tab w:val="left" w:pos="426"/>
          <w:tab w:val="left" w:pos="993"/>
        </w:tabs>
        <w:jc w:val="both"/>
        <w:rPr>
          <w:rFonts w:eastAsia="Times New Roman"/>
          <w:b/>
          <w:i/>
          <w:sz w:val="24"/>
        </w:rPr>
      </w:pPr>
    </w:p>
    <w:p w14:paraId="62DB7E1B"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 acest sens se ia în calcul suma capacităților celor două, respectiv capacitatea maxim simultană de utilizatori însumată, folosind factorii de ocupare prezentați pentru utilizatorii care provin din zona evacuată precum și 100% din cei care provin din zona de refugiu netransmutați. </w:t>
      </w:r>
    </w:p>
    <w:p w14:paraId="1981BDDC" w14:textId="77777777" w:rsidR="001C08A5" w:rsidRDefault="001C08A5">
      <w:pPr>
        <w:tabs>
          <w:tab w:val="left" w:pos="426"/>
          <w:tab w:val="left" w:pos="993"/>
        </w:tabs>
        <w:jc w:val="both"/>
        <w:rPr>
          <w:rFonts w:eastAsia="Times New Roman"/>
          <w:b/>
          <w:i/>
          <w:sz w:val="24"/>
        </w:rPr>
      </w:pPr>
    </w:p>
    <w:p w14:paraId="215D518D"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Căile de evacuare orizontale și verticale ale clădirii (sau a porțiunii de clădire) care servește ca zonă de refugiu trebuie să fie conformate în acest sens (din punct de vedere al capacităților normate necesare evacuării). </w:t>
      </w:r>
    </w:p>
    <w:p w14:paraId="140E63A5" w14:textId="77777777" w:rsidR="001C08A5" w:rsidRDefault="001C08A5">
      <w:pPr>
        <w:tabs>
          <w:tab w:val="left" w:pos="426"/>
          <w:tab w:val="left" w:pos="993"/>
        </w:tabs>
        <w:jc w:val="both"/>
        <w:rPr>
          <w:rFonts w:eastAsia="Times New Roman"/>
          <w:b/>
          <w:i/>
          <w:sz w:val="24"/>
        </w:rPr>
      </w:pPr>
    </w:p>
    <w:p w14:paraId="0711671E"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De asemenea trebuie respectată lungimea normată a căilor de evacuare, reprezentată de lungimea parcursă de la punctul de plecare din zona de unde este necesară evacuarea, către porțiunea de clădire care deservește ca zonă de refugiu, până la intrarea în scările de evacuare (respectiv a încăperilor tampon ale acestora, dacă acestea sunt prevăzute) sau direct în exterior, ale porțiunii de clădire care deservește ca zonă de refugiu.</w:t>
      </w:r>
      <w:r>
        <w:rPr>
          <w:rFonts w:eastAsia="Times New Roman"/>
          <w:b/>
          <w:i/>
          <w:sz w:val="24"/>
        </w:rPr>
        <w:t xml:space="preserve"> </w:t>
      </w:r>
    </w:p>
    <w:p w14:paraId="41ADA9E3" w14:textId="77777777" w:rsidR="001C08A5" w:rsidRDefault="001C08A5">
      <w:pPr>
        <w:tabs>
          <w:tab w:val="left" w:pos="426"/>
          <w:tab w:val="left" w:pos="993"/>
        </w:tabs>
        <w:jc w:val="both"/>
        <w:rPr>
          <w:rFonts w:eastAsia="Times New Roman"/>
          <w:b/>
          <w:i/>
          <w:sz w:val="24"/>
        </w:rPr>
      </w:pPr>
    </w:p>
    <w:p w14:paraId="3E5B47F3"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Această zona de refugiu temporară trebuie să fie separată în mod adecvat de restul clădirii de sănătate în care se află sau a clădirii adiacente de sănătate, printr-o construcție rezistentă la foc (minimum pereți de sectorizare cu performanță la foc normată și uși din pereții de sectorizare cu performanță la foc normată sau cele mai restrictive alte condiții generate de densitatea sarcinii termice sau riscul din încăperile alăturate) și conectată printr-un coridor extern (sau o cale de circulație deschisă în exterior). </w:t>
      </w:r>
    </w:p>
    <w:p w14:paraId="4EE410FD" w14:textId="77777777" w:rsidR="001C08A5" w:rsidRDefault="001C08A5">
      <w:pPr>
        <w:tabs>
          <w:tab w:val="left" w:pos="426"/>
          <w:tab w:val="left" w:pos="993"/>
        </w:tabs>
        <w:jc w:val="both"/>
        <w:rPr>
          <w:rFonts w:eastAsia="Times New Roman"/>
          <w:b/>
          <w:i/>
          <w:sz w:val="24"/>
        </w:rPr>
      </w:pPr>
    </w:p>
    <w:p w14:paraId="1E6CA057" w14:textId="77777777" w:rsidR="001C08A5" w:rsidRDefault="00000000">
      <w:pPr>
        <w:numPr>
          <w:ilvl w:val="0"/>
          <w:numId w:val="96"/>
        </w:numPr>
        <w:tabs>
          <w:tab w:val="left" w:pos="426"/>
          <w:tab w:val="left" w:pos="993"/>
        </w:tabs>
        <w:jc w:val="both"/>
        <w:rPr>
          <w:rFonts w:eastAsia="Times New Roman"/>
          <w:i/>
          <w:sz w:val="24"/>
          <w:szCs w:val="24"/>
        </w:rPr>
      </w:pPr>
      <w:r>
        <w:rPr>
          <w:rFonts w:eastAsia="Times New Roman"/>
          <w:i/>
          <w:sz w:val="24"/>
        </w:rPr>
        <w:t xml:space="preserve">Zona de refugiu precum și </w:t>
      </w:r>
      <w:r>
        <w:rPr>
          <w:rFonts w:eastAsia="Times New Roman"/>
          <w:b/>
          <w:bCs/>
          <w:i/>
          <w:sz w:val="24"/>
        </w:rPr>
        <w:t>coridorul închis sau deschis (exterior)</w:t>
      </w:r>
      <w:r>
        <w:rPr>
          <w:rFonts w:eastAsia="Times New Roman"/>
          <w:i/>
          <w:sz w:val="24"/>
        </w:rPr>
        <w:t xml:space="preserve"> de acces trebuie să fie întotdeauna practicabile și accesibile. În sensul acesta, dacă refugierea temporară se face și pe coridoare (la construcții existente), acestea trebuie prevăzute cu sisteme de evacuare a fumului și a gazelor fierbinți (sau suprapresiune), iar gabaritul normat al acestora necesar evacuării nu trebuie diminuat prin amplasarea temporară a evacuaților din porțiunea de clădire alăturată.</w:t>
      </w:r>
    </w:p>
    <w:p w14:paraId="484FE8B2" w14:textId="77777777" w:rsidR="001C08A5" w:rsidRDefault="00000000">
      <w:pPr>
        <w:pStyle w:val="Heading5"/>
        <w:rPr>
          <w:sz w:val="24"/>
          <w:szCs w:val="24"/>
        </w:rPr>
      </w:pPr>
      <w:bookmarkStart w:id="9230" w:name="_Toc162355478"/>
      <w:bookmarkStart w:id="9231" w:name="_Toc28535"/>
      <w:bookmarkStart w:id="9232" w:name="_Toc11831"/>
      <w:bookmarkStart w:id="9233" w:name="_Toc9425"/>
      <w:bookmarkStart w:id="9234" w:name="_Toc20008"/>
      <w:bookmarkStart w:id="9235" w:name="_Toc27533"/>
      <w:r>
        <w:rPr>
          <w:sz w:val="24"/>
          <w:szCs w:val="24"/>
          <w:lang w:val="ro-RO"/>
        </w:rPr>
        <w:t>„Zona de refugiu” situată în în interiorul unui alt compartiment de incendiu</w:t>
      </w:r>
      <w:bookmarkEnd w:id="9230"/>
      <w:bookmarkEnd w:id="9231"/>
      <w:bookmarkEnd w:id="9232"/>
      <w:bookmarkEnd w:id="9233"/>
      <w:bookmarkEnd w:id="9234"/>
      <w:bookmarkEnd w:id="9235"/>
    </w:p>
    <w:p w14:paraId="3C9ECC41" w14:textId="77777777" w:rsidR="001C08A5" w:rsidRDefault="001C08A5">
      <w:pPr>
        <w:jc w:val="both"/>
        <w:rPr>
          <w:rFonts w:eastAsia="Times New Roman"/>
          <w:i/>
          <w:sz w:val="24"/>
          <w:szCs w:val="24"/>
        </w:rPr>
      </w:pPr>
    </w:p>
    <w:p w14:paraId="330EC06A"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 cazul în care „zona de refugiu” este situată </w:t>
      </w:r>
      <w:r>
        <w:rPr>
          <w:rFonts w:eastAsia="Times New Roman"/>
          <w:b/>
          <w:bCs/>
          <w:i/>
          <w:sz w:val="24"/>
        </w:rPr>
        <w:t>în interiorul unui alt compartiment de incendiu</w:t>
      </w:r>
      <w:r>
        <w:rPr>
          <w:rFonts w:eastAsia="Times New Roman"/>
          <w:i/>
          <w:sz w:val="24"/>
        </w:rPr>
        <w:t xml:space="preserve"> cu funcțiune de sănătate, aceasta trebuie conectată printr-un coridor exterior deschis sau printr-un </w:t>
      </w:r>
      <w:r>
        <w:rPr>
          <w:rFonts w:eastAsia="Times New Roman"/>
          <w:i/>
          <w:sz w:val="24"/>
        </w:rPr>
        <w:lastRenderedPageBreak/>
        <w:t xml:space="preserve">coridor închis prevăzut cu suprapresiune sau sisteme de evacuare a fumului și a gazelor fierbinți (între acestea, la limita compartimentelor de incendiu fiind dispusă obligatoriu încăpere tampon prevăzută cu suprapresiune) între cele două zone (zona necesar de evacuat aparținând unui compartiment de incendiu și zona de refugiu aparținând unui alt compartiment de incendiu). </w:t>
      </w:r>
    </w:p>
    <w:p w14:paraId="57F88470" w14:textId="77777777" w:rsidR="001C08A5" w:rsidRDefault="001C08A5">
      <w:pPr>
        <w:tabs>
          <w:tab w:val="left" w:pos="426"/>
          <w:tab w:val="left" w:pos="993"/>
        </w:tabs>
        <w:jc w:val="both"/>
        <w:rPr>
          <w:rFonts w:eastAsia="Times New Roman"/>
          <w:b/>
          <w:i/>
          <w:sz w:val="24"/>
        </w:rPr>
      </w:pPr>
    </w:p>
    <w:p w14:paraId="73FDA609"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 cazul în care „zona de refugiu” este situată într-un alt compartiment de incendiu cu funcțiune de sănătate se asigură simultaneitatea totală, pentru determinarea numărului de utilizatori pentru care se asigură condiţiile de evacuare în caz de incendiu. </w:t>
      </w:r>
    </w:p>
    <w:p w14:paraId="64D78FF1" w14:textId="77777777" w:rsidR="001C08A5" w:rsidRDefault="001C08A5">
      <w:pPr>
        <w:tabs>
          <w:tab w:val="left" w:pos="426"/>
          <w:tab w:val="left" w:pos="993"/>
        </w:tabs>
        <w:jc w:val="both"/>
        <w:rPr>
          <w:rFonts w:eastAsia="Times New Roman"/>
          <w:b/>
          <w:i/>
          <w:sz w:val="24"/>
        </w:rPr>
      </w:pPr>
    </w:p>
    <w:p w14:paraId="3CBA0750"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 acest sens se ia în calcul suma reală a capacităților celor două, respectiv capacitatea maxim simultană de utilizatori însumată, însemnând </w:t>
      </w:r>
      <w:r>
        <w:rPr>
          <w:rFonts w:eastAsia="Times New Roman"/>
          <w:b/>
          <w:bCs/>
          <w:i/>
          <w:sz w:val="24"/>
        </w:rPr>
        <w:t>100%</w:t>
      </w:r>
      <w:r>
        <w:rPr>
          <w:rFonts w:eastAsia="Times New Roman"/>
          <w:i/>
          <w:sz w:val="24"/>
        </w:rPr>
        <w:t xml:space="preserve"> din utilizatorii care provin din zona de refugiu precum și </w:t>
      </w:r>
      <w:r>
        <w:rPr>
          <w:rFonts w:eastAsia="Times New Roman"/>
          <w:b/>
          <w:bCs/>
          <w:i/>
          <w:sz w:val="24"/>
        </w:rPr>
        <w:t>100%</w:t>
      </w:r>
      <w:r>
        <w:rPr>
          <w:rFonts w:eastAsia="Times New Roman"/>
          <w:i/>
          <w:sz w:val="24"/>
        </w:rPr>
        <w:t xml:space="preserve"> din cei care provin din zona din care se refugiază. </w:t>
      </w:r>
    </w:p>
    <w:p w14:paraId="47B75E14" w14:textId="77777777" w:rsidR="001C08A5" w:rsidRDefault="00000000">
      <w:pPr>
        <w:tabs>
          <w:tab w:val="left" w:pos="426"/>
          <w:tab w:val="left" w:pos="993"/>
        </w:tabs>
        <w:jc w:val="both"/>
        <w:rPr>
          <w:rFonts w:eastAsia="Times New Roman"/>
          <w:b/>
          <w:i/>
          <w:sz w:val="24"/>
        </w:rPr>
      </w:pPr>
      <w:r>
        <w:rPr>
          <w:rFonts w:eastAsia="Times New Roman"/>
          <w:i/>
          <w:sz w:val="24"/>
        </w:rPr>
        <w:t xml:space="preserve"> </w:t>
      </w:r>
    </w:p>
    <w:p w14:paraId="60A1132F"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Căile de evacuare orizontale și verticale ale compartimentului care servește ca zonă de refugiu trebuie să fie conformate în acest sens (din punct de vedere al capacităților normate necesare evacuării). </w:t>
      </w:r>
    </w:p>
    <w:p w14:paraId="1E69DDD3" w14:textId="77777777" w:rsidR="001C08A5" w:rsidRDefault="001C08A5">
      <w:pPr>
        <w:tabs>
          <w:tab w:val="left" w:pos="426"/>
          <w:tab w:val="left" w:pos="993"/>
        </w:tabs>
        <w:jc w:val="both"/>
        <w:rPr>
          <w:rFonts w:eastAsia="Times New Roman"/>
          <w:b/>
          <w:i/>
          <w:sz w:val="24"/>
        </w:rPr>
      </w:pPr>
    </w:p>
    <w:p w14:paraId="5E6FA2C5"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De asemenea trebuie respectată lungimea normată a căilor de evacuare, reprezentată de lungimea parcursă de la punctul de plecare din zona de unde este necesară evacuarea, către compartimentul distinct care deservește ca zonă de refugiu, până la intrarea în scările de evacuare (respectiv a încăperilor tampon ale acestora, dacă acestea sunt prevăzute) sau direct în exterior, ale compartimentul distinct care deservește ca zonă de refugiu.</w:t>
      </w:r>
    </w:p>
    <w:p w14:paraId="7BC44577" w14:textId="77777777" w:rsidR="001C08A5" w:rsidRDefault="00000000">
      <w:pPr>
        <w:tabs>
          <w:tab w:val="left" w:pos="426"/>
          <w:tab w:val="left" w:pos="993"/>
        </w:tabs>
        <w:jc w:val="both"/>
        <w:rPr>
          <w:rFonts w:eastAsia="Times New Roman"/>
          <w:b/>
          <w:i/>
          <w:sz w:val="24"/>
        </w:rPr>
      </w:pPr>
      <w:r>
        <w:rPr>
          <w:rFonts w:eastAsia="Times New Roman"/>
          <w:b/>
          <w:i/>
          <w:sz w:val="24"/>
        </w:rPr>
        <w:t xml:space="preserve"> </w:t>
      </w:r>
    </w:p>
    <w:p w14:paraId="33A9E7A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Această zonă de refugiu temporar aparținând unui compartiment de incendiu cu funcțiune de sănătate trebuie să fie separată în mod adecvat de zona de unde este necesară evacuarea (aparținând unui alt compartiment de incendiu), prin pereți antifoc și obligatoriu cu încăpere tampon ventilată în suprapresiune prevăzută cu uși cu performanțe la foc normate sau cele mai restrictive generate din alte condiții ale încăperilor alăturate) între un coridor exterior deschis sau un coridor închis prevăzut cu suprapresiune sau sisteme de evacuare a fumului și a gazelor fierbinți între cele două compartimente. </w:t>
      </w:r>
    </w:p>
    <w:p w14:paraId="18280001" w14:textId="77777777" w:rsidR="001C08A5" w:rsidRDefault="001C08A5">
      <w:pPr>
        <w:tabs>
          <w:tab w:val="left" w:pos="426"/>
          <w:tab w:val="left" w:pos="993"/>
        </w:tabs>
        <w:jc w:val="both"/>
        <w:rPr>
          <w:rFonts w:eastAsia="Times New Roman"/>
          <w:i/>
          <w:sz w:val="24"/>
        </w:rPr>
      </w:pPr>
    </w:p>
    <w:p w14:paraId="5194EB26"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Zona de refugiu precum și coridorul exterior sau interior și încăperea tampon de acces trebuie să fie întotdeauna practicabile și accesibile. </w:t>
      </w:r>
    </w:p>
    <w:p w14:paraId="590DE0E7" w14:textId="77777777" w:rsidR="001C08A5" w:rsidRDefault="001C08A5">
      <w:pPr>
        <w:tabs>
          <w:tab w:val="left" w:pos="426"/>
          <w:tab w:val="left" w:pos="993"/>
        </w:tabs>
        <w:jc w:val="both"/>
        <w:rPr>
          <w:rFonts w:eastAsia="Times New Roman"/>
          <w:b/>
          <w:i/>
          <w:sz w:val="24"/>
        </w:rPr>
      </w:pPr>
    </w:p>
    <w:p w14:paraId="0479DE6E"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 sensul acesta, dacă refugierea temporară se face și pe coridoare (la construcții existente), acestea trebuie prevăzute cu sisteme de evacuare a fumului și a gazelor fierbinți (sau suprapresiune), iar gabaritul normat al acestora necesar evacuării nu trebuie diminuat prin amplasarea temporară a evacuaților din compartimentul de incendiu (cu funcțiune de sănătate) alăturat.</w:t>
      </w:r>
    </w:p>
    <w:p w14:paraId="5256D3A3" w14:textId="77777777" w:rsidR="001C08A5" w:rsidRDefault="001C08A5">
      <w:pPr>
        <w:ind w:firstLine="720"/>
        <w:jc w:val="both"/>
        <w:rPr>
          <w:rFonts w:eastAsia="Times New Roman"/>
          <w:i/>
          <w:sz w:val="24"/>
          <w:szCs w:val="24"/>
        </w:rPr>
      </w:pPr>
    </w:p>
    <w:p w14:paraId="6801FE76" w14:textId="77777777" w:rsidR="001C08A5" w:rsidRDefault="00000000">
      <w:pPr>
        <w:jc w:val="both"/>
        <w:rPr>
          <w:rFonts w:eastAsia="Times New Roman"/>
          <w:b/>
          <w:bCs/>
          <w:i/>
          <w:sz w:val="22"/>
          <w:szCs w:val="22"/>
        </w:rPr>
      </w:pPr>
      <w:r>
        <w:rPr>
          <w:rFonts w:eastAsia="Times New Roman"/>
          <w:b/>
          <w:bCs/>
          <w:i/>
          <w:sz w:val="22"/>
          <w:szCs w:val="22"/>
        </w:rPr>
        <w:t xml:space="preserve">Observație generală 1: </w:t>
      </w:r>
    </w:p>
    <w:p w14:paraId="2F8BE470" w14:textId="77777777" w:rsidR="001C08A5" w:rsidRDefault="00000000">
      <w:pPr>
        <w:jc w:val="both"/>
        <w:rPr>
          <w:rFonts w:eastAsia="Times New Roman"/>
          <w:i/>
          <w:sz w:val="22"/>
          <w:szCs w:val="22"/>
        </w:rPr>
      </w:pPr>
      <w:r>
        <w:rPr>
          <w:rFonts w:eastAsia="Times New Roman"/>
          <w:i/>
          <w:sz w:val="22"/>
          <w:szCs w:val="22"/>
        </w:rPr>
        <w:t xml:space="preserve">Trebuie respectată lungimea normată a căilor de evacuare reprezentată de lungimea parcursă de la ușa de ieșire a încăperii care deservește ca zonă de refugiu precum și a lungimii parcurse de la punctul de plecare din zona de unde este necesară evacuarea, până la cea mai apropiată ușă prevăzută la scările de evacuare care se iau în calcul pentru acest aspect (respectiv a încăperilor tampon ale acestora, dacă acestea sunt prevăzute sau a degajamentului protejat catre scară) ori direct către exterior. </w:t>
      </w:r>
    </w:p>
    <w:p w14:paraId="24C761EC" w14:textId="77777777" w:rsidR="001C08A5" w:rsidRDefault="00000000">
      <w:pPr>
        <w:jc w:val="both"/>
        <w:rPr>
          <w:rFonts w:eastAsia="Times New Roman"/>
          <w:i/>
          <w:sz w:val="22"/>
          <w:szCs w:val="22"/>
        </w:rPr>
      </w:pPr>
      <w:r>
        <w:rPr>
          <w:rFonts w:eastAsia="Times New Roman"/>
          <w:i/>
          <w:sz w:val="22"/>
          <w:szCs w:val="22"/>
        </w:rPr>
        <w:t>Indiferent de poziționarea acestor zone (de unde este necesară evacuarea precum și zona de refugiu) și căi de evacuare orizontale și/ sau verticale utilizabile în cadrul aceluiași compartiment de incendiu, sau a două sau mai multe compartimente de incendiu, se ia în calcul distanța parcursă de la cel mai îndepartat punct din zona de unde este necesară evacuarea  pâna la cea mai apropiată dintre scările de evacuare situată în zona de refugiu.. În mod similar, la parter, trebuie îndeplinită aceeași condiție, luîndu-se în calcul distanța parcursă de la cel mai îndepartat punct din zona de unde este necesară evacuarea pâna la cea mai apropiată ușă cu acces în exterior situată în zona de refugiu.</w:t>
      </w:r>
    </w:p>
    <w:p w14:paraId="10046E48" w14:textId="77777777" w:rsidR="001C08A5" w:rsidRDefault="00000000">
      <w:pPr>
        <w:jc w:val="both"/>
        <w:rPr>
          <w:rFonts w:eastAsia="Times New Roman"/>
          <w:b/>
          <w:bCs/>
          <w:i/>
          <w:sz w:val="22"/>
          <w:szCs w:val="22"/>
        </w:rPr>
      </w:pPr>
      <w:r>
        <w:rPr>
          <w:rFonts w:eastAsia="Times New Roman"/>
          <w:b/>
          <w:bCs/>
          <w:i/>
          <w:sz w:val="22"/>
          <w:szCs w:val="22"/>
        </w:rPr>
        <w:t xml:space="preserve">Observație generală 2: </w:t>
      </w:r>
    </w:p>
    <w:p w14:paraId="150787F1" w14:textId="77777777" w:rsidR="001C08A5" w:rsidRDefault="00000000">
      <w:pPr>
        <w:jc w:val="both"/>
        <w:rPr>
          <w:rFonts w:eastAsia="Times New Roman"/>
          <w:i/>
          <w:sz w:val="22"/>
          <w:szCs w:val="22"/>
        </w:rPr>
      </w:pPr>
      <w:r>
        <w:rPr>
          <w:rFonts w:eastAsia="Times New Roman"/>
          <w:i/>
          <w:sz w:val="22"/>
          <w:szCs w:val="22"/>
        </w:rPr>
        <w:t xml:space="preserve">În cazul în care cele două zone (zona de unde este necesară evacuarea și zona de refugiu) sunt situate în compartimente de incendiu diferite (ambele cu funcțiune de sănătate), unul dintre compartimente (sau anumite </w:t>
      </w:r>
      <w:r>
        <w:rPr>
          <w:rFonts w:eastAsia="Times New Roman"/>
          <w:i/>
          <w:sz w:val="22"/>
          <w:szCs w:val="22"/>
        </w:rPr>
        <w:lastRenderedPageBreak/>
        <w:t xml:space="preserve">spații amplasate în acesta) poate deveni zonă de refugiu pentru cel de-al doilea (sau oricare alt) compartiment de incendiu. </w:t>
      </w:r>
    </w:p>
    <w:p w14:paraId="5CF6DC7A" w14:textId="77777777" w:rsidR="001C08A5" w:rsidRDefault="00000000">
      <w:pPr>
        <w:jc w:val="both"/>
        <w:rPr>
          <w:rFonts w:eastAsia="Times New Roman"/>
          <w:i/>
          <w:sz w:val="22"/>
          <w:szCs w:val="22"/>
        </w:rPr>
      </w:pPr>
      <w:r>
        <w:rPr>
          <w:rFonts w:eastAsia="Times New Roman"/>
          <w:i/>
          <w:sz w:val="22"/>
          <w:szCs w:val="22"/>
        </w:rPr>
        <w:t>În cazul în care două compartimente de incendiu cu funcțiune de sănătate devin reversibil zone de refugiu (unul pentru celălalt), este obligatoriu ca rutele de evacuare sa fie în totalitate distincte (să nu fie suprapusă evacuarea în ambele sensuri), cel puțin pâna la prima intersecție cu o cale orizontală de evacuare (cu evacuare în două direcții), prevăzută în zona de refugiu.</w:t>
      </w:r>
    </w:p>
    <w:p w14:paraId="05750971"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27657300" wp14:editId="79F99020">
            <wp:extent cx="6000750" cy="2641600"/>
            <wp:effectExtent l="0" t="0" r="0" b="6350"/>
            <wp:docPr id="2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4"/>
                    <pic:cNvPicPr>
                      <a:picLocks noChangeAspect="1"/>
                    </pic:cNvPicPr>
                  </pic:nvPicPr>
                  <pic:blipFill>
                    <a:blip r:embed="rId455"/>
                    <a:srcRect l="12795" t="11643" r="7706" b="39679"/>
                    <a:stretch>
                      <a:fillRect/>
                    </a:stretch>
                  </pic:blipFill>
                  <pic:spPr>
                    <a:xfrm>
                      <a:off x="0" y="0"/>
                      <a:ext cx="6000750" cy="2641600"/>
                    </a:xfrm>
                    <a:prstGeom prst="rect">
                      <a:avLst/>
                    </a:prstGeom>
                    <a:noFill/>
                    <a:ln>
                      <a:noFill/>
                    </a:ln>
                  </pic:spPr>
                </pic:pic>
              </a:graphicData>
            </a:graphic>
          </wp:inline>
        </w:drawing>
      </w:r>
    </w:p>
    <w:p w14:paraId="75F7F4B6"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761B269D" wp14:editId="0AA55325">
            <wp:extent cx="6019800" cy="2423795"/>
            <wp:effectExtent l="0" t="0" r="0" b="14605"/>
            <wp:docPr id="2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5"/>
                    <pic:cNvPicPr>
                      <a:picLocks noChangeAspect="1"/>
                    </pic:cNvPicPr>
                  </pic:nvPicPr>
                  <pic:blipFill>
                    <a:blip r:embed="rId456"/>
                    <a:srcRect l="12669" t="29312" r="7580" b="26024"/>
                    <a:stretch>
                      <a:fillRect/>
                    </a:stretch>
                  </pic:blipFill>
                  <pic:spPr>
                    <a:xfrm>
                      <a:off x="0" y="0"/>
                      <a:ext cx="6019800" cy="2423795"/>
                    </a:xfrm>
                    <a:prstGeom prst="rect">
                      <a:avLst/>
                    </a:prstGeom>
                    <a:noFill/>
                    <a:ln>
                      <a:noFill/>
                    </a:ln>
                  </pic:spPr>
                </pic:pic>
              </a:graphicData>
            </a:graphic>
          </wp:inline>
        </w:drawing>
      </w:r>
    </w:p>
    <w:p w14:paraId="4473E0F4"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03735A88" wp14:editId="7B64CDB2">
            <wp:extent cx="6000750" cy="2258695"/>
            <wp:effectExtent l="0" t="0" r="0" b="8255"/>
            <wp:docPr id="2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6"/>
                    <pic:cNvPicPr>
                      <a:picLocks noChangeAspect="1"/>
                    </pic:cNvPicPr>
                  </pic:nvPicPr>
                  <pic:blipFill>
                    <a:blip r:embed="rId457"/>
                    <a:srcRect l="12795" t="33981" r="7706" b="24397"/>
                    <a:stretch>
                      <a:fillRect/>
                    </a:stretch>
                  </pic:blipFill>
                  <pic:spPr>
                    <a:xfrm>
                      <a:off x="0" y="0"/>
                      <a:ext cx="6000750" cy="2258695"/>
                    </a:xfrm>
                    <a:prstGeom prst="rect">
                      <a:avLst/>
                    </a:prstGeom>
                    <a:noFill/>
                    <a:ln>
                      <a:noFill/>
                    </a:ln>
                  </pic:spPr>
                </pic:pic>
              </a:graphicData>
            </a:graphic>
          </wp:inline>
        </w:drawing>
      </w:r>
    </w:p>
    <w:p w14:paraId="2C89CDC7"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65343201" wp14:editId="1E6F3272">
            <wp:extent cx="5991225" cy="2630805"/>
            <wp:effectExtent l="0" t="0" r="9525" b="17145"/>
            <wp:docPr id="2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7"/>
                    <pic:cNvPicPr>
                      <a:picLocks noChangeAspect="1"/>
                    </pic:cNvPicPr>
                  </pic:nvPicPr>
                  <pic:blipFill>
                    <a:blip r:embed="rId458"/>
                    <a:srcRect l="12795" t="11748" r="7832" b="39773"/>
                    <a:stretch>
                      <a:fillRect/>
                    </a:stretch>
                  </pic:blipFill>
                  <pic:spPr>
                    <a:xfrm>
                      <a:off x="0" y="0"/>
                      <a:ext cx="5991225" cy="2630805"/>
                    </a:xfrm>
                    <a:prstGeom prst="rect">
                      <a:avLst/>
                    </a:prstGeom>
                    <a:noFill/>
                    <a:ln>
                      <a:noFill/>
                    </a:ln>
                  </pic:spPr>
                </pic:pic>
              </a:graphicData>
            </a:graphic>
          </wp:inline>
        </w:drawing>
      </w:r>
    </w:p>
    <w:p w14:paraId="3DA81CAA"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2AEF1057" wp14:editId="305293AD">
            <wp:extent cx="6019800" cy="2426970"/>
            <wp:effectExtent l="0" t="0" r="0" b="11430"/>
            <wp:docPr id="2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8"/>
                    <pic:cNvPicPr>
                      <a:picLocks noChangeAspect="1"/>
                    </pic:cNvPicPr>
                  </pic:nvPicPr>
                  <pic:blipFill>
                    <a:blip r:embed="rId459"/>
                    <a:srcRect l="12669" t="29312" r="7580" b="25965"/>
                    <a:stretch>
                      <a:fillRect/>
                    </a:stretch>
                  </pic:blipFill>
                  <pic:spPr>
                    <a:xfrm>
                      <a:off x="0" y="0"/>
                      <a:ext cx="6019800" cy="2426970"/>
                    </a:xfrm>
                    <a:prstGeom prst="rect">
                      <a:avLst/>
                    </a:prstGeom>
                    <a:noFill/>
                    <a:ln>
                      <a:noFill/>
                    </a:ln>
                  </pic:spPr>
                </pic:pic>
              </a:graphicData>
            </a:graphic>
          </wp:inline>
        </w:drawing>
      </w:r>
    </w:p>
    <w:p w14:paraId="756089A2"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6AF824EB" wp14:editId="4CAD39BD">
            <wp:extent cx="6014085" cy="2240280"/>
            <wp:effectExtent l="0" t="0" r="5715" b="7620"/>
            <wp:docPr id="2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9"/>
                    <pic:cNvPicPr>
                      <a:picLocks noChangeAspect="1"/>
                    </pic:cNvPicPr>
                  </pic:nvPicPr>
                  <pic:blipFill>
                    <a:blip r:embed="rId460"/>
                    <a:srcRect l="12669" t="47016" r="7655" b="11701"/>
                    <a:stretch>
                      <a:fillRect/>
                    </a:stretch>
                  </pic:blipFill>
                  <pic:spPr>
                    <a:xfrm>
                      <a:off x="0" y="0"/>
                      <a:ext cx="6014085" cy="2240280"/>
                    </a:xfrm>
                    <a:prstGeom prst="rect">
                      <a:avLst/>
                    </a:prstGeom>
                    <a:noFill/>
                    <a:ln>
                      <a:noFill/>
                    </a:ln>
                  </pic:spPr>
                </pic:pic>
              </a:graphicData>
            </a:graphic>
          </wp:inline>
        </w:drawing>
      </w:r>
    </w:p>
    <w:p w14:paraId="138D10ED"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2C8CF6EE" wp14:editId="36E9D82F">
            <wp:extent cx="6029325" cy="2649855"/>
            <wp:effectExtent l="0" t="0" r="9525" b="17145"/>
            <wp:docPr id="2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30"/>
                    <pic:cNvPicPr>
                      <a:picLocks noChangeAspect="1"/>
                    </pic:cNvPicPr>
                  </pic:nvPicPr>
                  <pic:blipFill>
                    <a:blip r:embed="rId461"/>
                    <a:srcRect l="12543" t="11701" r="7580" b="39469"/>
                    <a:stretch>
                      <a:fillRect/>
                    </a:stretch>
                  </pic:blipFill>
                  <pic:spPr>
                    <a:xfrm>
                      <a:off x="0" y="0"/>
                      <a:ext cx="6029325" cy="2649855"/>
                    </a:xfrm>
                    <a:prstGeom prst="rect">
                      <a:avLst/>
                    </a:prstGeom>
                    <a:noFill/>
                    <a:ln>
                      <a:noFill/>
                    </a:ln>
                  </pic:spPr>
                </pic:pic>
              </a:graphicData>
            </a:graphic>
          </wp:inline>
        </w:drawing>
      </w:r>
    </w:p>
    <w:p w14:paraId="25CF1E5B"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4417671B" wp14:editId="50DB3D17">
            <wp:extent cx="6048375" cy="2414905"/>
            <wp:effectExtent l="0" t="0" r="9525" b="4445"/>
            <wp:docPr id="22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31"/>
                    <pic:cNvPicPr>
                      <a:picLocks noChangeAspect="1"/>
                    </pic:cNvPicPr>
                  </pic:nvPicPr>
                  <pic:blipFill>
                    <a:blip r:embed="rId462"/>
                    <a:srcRect l="12543" t="24304" r="7327" b="31196"/>
                    <a:stretch>
                      <a:fillRect/>
                    </a:stretch>
                  </pic:blipFill>
                  <pic:spPr>
                    <a:xfrm>
                      <a:off x="0" y="0"/>
                      <a:ext cx="6048375" cy="2414905"/>
                    </a:xfrm>
                    <a:prstGeom prst="rect">
                      <a:avLst/>
                    </a:prstGeom>
                    <a:noFill/>
                    <a:ln>
                      <a:noFill/>
                    </a:ln>
                  </pic:spPr>
                </pic:pic>
              </a:graphicData>
            </a:graphic>
          </wp:inline>
        </w:drawing>
      </w:r>
    </w:p>
    <w:p w14:paraId="15CC3CC3"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05C383BC" wp14:editId="38A177BF">
            <wp:extent cx="6048375" cy="2223770"/>
            <wp:effectExtent l="0" t="0" r="9525" b="5080"/>
            <wp:docPr id="2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32"/>
                    <pic:cNvPicPr>
                      <a:picLocks noChangeAspect="1"/>
                    </pic:cNvPicPr>
                  </pic:nvPicPr>
                  <pic:blipFill>
                    <a:blip r:embed="rId463"/>
                    <a:srcRect l="12543" t="41704" r="7327" b="17318"/>
                    <a:stretch>
                      <a:fillRect/>
                    </a:stretch>
                  </pic:blipFill>
                  <pic:spPr>
                    <a:xfrm>
                      <a:off x="0" y="0"/>
                      <a:ext cx="6048375" cy="2223770"/>
                    </a:xfrm>
                    <a:prstGeom prst="rect">
                      <a:avLst/>
                    </a:prstGeom>
                    <a:noFill/>
                    <a:ln>
                      <a:noFill/>
                    </a:ln>
                  </pic:spPr>
                </pic:pic>
              </a:graphicData>
            </a:graphic>
          </wp:inline>
        </w:drawing>
      </w:r>
    </w:p>
    <w:p w14:paraId="5743C50D"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257BB9EC" wp14:editId="16985CEB">
            <wp:extent cx="6038850" cy="2399030"/>
            <wp:effectExtent l="0" t="0" r="0" b="1270"/>
            <wp:docPr id="28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33"/>
                    <pic:cNvPicPr>
                      <a:picLocks noChangeAspect="1"/>
                    </pic:cNvPicPr>
                  </pic:nvPicPr>
                  <pic:blipFill>
                    <a:blip r:embed="rId464"/>
                    <a:srcRect l="12543" t="39855" r="7454" b="15937"/>
                    <a:stretch>
                      <a:fillRect/>
                    </a:stretch>
                  </pic:blipFill>
                  <pic:spPr>
                    <a:xfrm>
                      <a:off x="0" y="0"/>
                      <a:ext cx="6038850" cy="2399030"/>
                    </a:xfrm>
                    <a:prstGeom prst="rect">
                      <a:avLst/>
                    </a:prstGeom>
                    <a:noFill/>
                    <a:ln>
                      <a:noFill/>
                    </a:ln>
                  </pic:spPr>
                </pic:pic>
              </a:graphicData>
            </a:graphic>
          </wp:inline>
        </w:drawing>
      </w:r>
    </w:p>
    <w:p w14:paraId="5DEB771C" w14:textId="77777777" w:rsidR="001C08A5" w:rsidRDefault="00000000">
      <w:pPr>
        <w:autoSpaceDE w:val="0"/>
        <w:autoSpaceDN w:val="0"/>
        <w:adjustRightInd w:val="0"/>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6E31501A" wp14:editId="74DAE024">
            <wp:extent cx="6048375" cy="2232660"/>
            <wp:effectExtent l="0" t="0" r="9525" b="15240"/>
            <wp:docPr id="28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34"/>
                    <pic:cNvPicPr>
                      <a:picLocks noChangeAspect="1"/>
                    </pic:cNvPicPr>
                  </pic:nvPicPr>
                  <pic:blipFill>
                    <a:blip r:embed="rId465"/>
                    <a:srcRect l="12543" t="41634" r="7327" b="17224"/>
                    <a:stretch>
                      <a:fillRect/>
                    </a:stretch>
                  </pic:blipFill>
                  <pic:spPr>
                    <a:xfrm>
                      <a:off x="0" y="0"/>
                      <a:ext cx="6048375" cy="2232660"/>
                    </a:xfrm>
                    <a:prstGeom prst="rect">
                      <a:avLst/>
                    </a:prstGeom>
                    <a:noFill/>
                    <a:ln>
                      <a:noFill/>
                    </a:ln>
                  </pic:spPr>
                </pic:pic>
              </a:graphicData>
            </a:graphic>
          </wp:inline>
        </w:drawing>
      </w:r>
    </w:p>
    <w:p w14:paraId="2D4562E3" w14:textId="77777777" w:rsidR="001C08A5" w:rsidRDefault="00000000">
      <w:pPr>
        <w:pStyle w:val="Caption"/>
        <w:jc w:val="center"/>
        <w:rPr>
          <w:rFonts w:eastAsia="Times New Roman" w:cs="Times New Roman"/>
          <w:bCs/>
        </w:rPr>
      </w:pPr>
      <w:bookmarkStart w:id="9236" w:name="_Toc162360457"/>
      <w:r>
        <w:t xml:space="preserve">Figura </w:t>
      </w:r>
      <w:r>
        <w:fldChar w:fldCharType="begin"/>
      </w:r>
      <w:r>
        <w:instrText xml:space="preserve"> SEQ Figura \* ARABIC </w:instrText>
      </w:r>
      <w:r>
        <w:fldChar w:fldCharType="separate"/>
      </w:r>
      <w:r>
        <w:t>233</w:t>
      </w:r>
      <w:r>
        <w:fldChar w:fldCharType="end"/>
      </w:r>
      <w:bookmarkStart w:id="9237" w:name="_Toc9991"/>
      <w:bookmarkStart w:id="9238" w:name="_Toc10134"/>
      <w:bookmarkStart w:id="9239" w:name="_Toc25008"/>
      <w:bookmarkStart w:id="9240" w:name="_Toc21502"/>
      <w:bookmarkStart w:id="9241" w:name="_Toc26756"/>
      <w:bookmarkStart w:id="9242" w:name="_Toc29505"/>
      <w:bookmarkStart w:id="9243" w:name="_Toc9992"/>
      <w:bookmarkStart w:id="9244" w:name="_Toc29155"/>
      <w:bookmarkStart w:id="9245" w:name="_Toc6391"/>
      <w:r>
        <w:t xml:space="preserve"> - </w:t>
      </w:r>
      <w:r>
        <w:rPr>
          <w:rFonts w:eastAsia="Times New Roman" w:cs="Times New Roman"/>
          <w:bCs/>
        </w:rPr>
        <w:t>Scheme principiu evacuare către altă zonă</w:t>
      </w:r>
      <w:bookmarkEnd w:id="9236"/>
      <w:bookmarkEnd w:id="9237"/>
      <w:bookmarkEnd w:id="9238"/>
      <w:bookmarkEnd w:id="9239"/>
      <w:bookmarkEnd w:id="9240"/>
      <w:bookmarkEnd w:id="9241"/>
      <w:bookmarkEnd w:id="9242"/>
      <w:bookmarkEnd w:id="9243"/>
      <w:bookmarkEnd w:id="9244"/>
      <w:bookmarkEnd w:id="9245"/>
    </w:p>
    <w:p w14:paraId="59EF5FA7" w14:textId="77777777" w:rsidR="001C08A5" w:rsidRDefault="00000000">
      <w:pPr>
        <w:pStyle w:val="Caption"/>
        <w:jc w:val="center"/>
        <w:rPr>
          <w:rFonts w:cs="Times New Roman"/>
          <w:iCs w:val="0"/>
        </w:rPr>
      </w:pPr>
      <w:r>
        <w:rPr>
          <w:rFonts w:cs="Times New Roman"/>
          <w:iCs w:val="0"/>
          <w:noProof/>
          <w:lang w:eastAsia="ro-RO"/>
        </w:rPr>
        <w:drawing>
          <wp:inline distT="0" distB="0" distL="114300" distR="114300" wp14:anchorId="0BD5B819" wp14:editId="210443AB">
            <wp:extent cx="6068060" cy="2755265"/>
            <wp:effectExtent l="0" t="0" r="8890" b="6985"/>
            <wp:docPr id="5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5"/>
                    <pic:cNvPicPr>
                      <a:picLocks noChangeAspect="1"/>
                    </pic:cNvPicPr>
                  </pic:nvPicPr>
                  <pic:blipFill>
                    <a:blip r:embed="rId466"/>
                    <a:srcRect l="12486" t="16705" r="7217" b="3986"/>
                    <a:stretch>
                      <a:fillRect/>
                    </a:stretch>
                  </pic:blipFill>
                  <pic:spPr>
                    <a:xfrm>
                      <a:off x="0" y="0"/>
                      <a:ext cx="6068060" cy="2755265"/>
                    </a:xfrm>
                    <a:prstGeom prst="rect">
                      <a:avLst/>
                    </a:prstGeom>
                    <a:noFill/>
                    <a:ln>
                      <a:noFill/>
                    </a:ln>
                  </pic:spPr>
                </pic:pic>
              </a:graphicData>
            </a:graphic>
          </wp:inline>
        </w:drawing>
      </w:r>
    </w:p>
    <w:p w14:paraId="4F35648E" w14:textId="77777777" w:rsidR="001C08A5" w:rsidRDefault="00000000">
      <w:pPr>
        <w:pStyle w:val="Captionfiganexe"/>
        <w:rPr>
          <w:sz w:val="24"/>
        </w:rPr>
      </w:pPr>
      <w:r>
        <w:t xml:space="preserve"> </w:t>
      </w:r>
      <w:r>
        <w:rPr>
          <w:sz w:val="24"/>
        </w:rPr>
        <w:t xml:space="preserve">Varianta a) </w:t>
      </w:r>
      <w:r>
        <w:t xml:space="preserve">- </w:t>
      </w:r>
      <w:r>
        <w:rPr>
          <w:sz w:val="24"/>
        </w:rPr>
        <w:t>evacuare către alt compartiment de incendiu prin coridor interior protejat presurizat (într-un sens)</w:t>
      </w:r>
    </w:p>
    <w:p w14:paraId="4E5F8216" w14:textId="77777777" w:rsidR="001C08A5" w:rsidRDefault="00000000">
      <w:pPr>
        <w:pStyle w:val="BodyText"/>
        <w:jc w:val="center"/>
      </w:pPr>
      <w:r>
        <w:rPr>
          <w:noProof/>
          <w:lang w:eastAsia="ro-RO"/>
        </w:rPr>
        <w:lastRenderedPageBreak/>
        <w:drawing>
          <wp:inline distT="0" distB="0" distL="114300" distR="114300" wp14:anchorId="3BA4AD85" wp14:editId="37A19C36">
            <wp:extent cx="6046470" cy="2399030"/>
            <wp:effectExtent l="0" t="0" r="11430" b="1270"/>
            <wp:docPr id="5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6"/>
                    <pic:cNvPicPr>
                      <a:picLocks noChangeAspect="1"/>
                    </pic:cNvPicPr>
                  </pic:nvPicPr>
                  <pic:blipFill>
                    <a:blip r:embed="rId467"/>
                    <a:srcRect l="12492" t="9837" r="7457" b="4919"/>
                    <a:stretch>
                      <a:fillRect/>
                    </a:stretch>
                  </pic:blipFill>
                  <pic:spPr>
                    <a:xfrm>
                      <a:off x="0" y="0"/>
                      <a:ext cx="6046470" cy="2399030"/>
                    </a:xfrm>
                    <a:prstGeom prst="rect">
                      <a:avLst/>
                    </a:prstGeom>
                    <a:noFill/>
                    <a:ln>
                      <a:noFill/>
                    </a:ln>
                  </pic:spPr>
                </pic:pic>
              </a:graphicData>
            </a:graphic>
          </wp:inline>
        </w:drawing>
      </w:r>
    </w:p>
    <w:p w14:paraId="410E726A" w14:textId="77777777" w:rsidR="001C08A5" w:rsidRDefault="00000000">
      <w:pPr>
        <w:pStyle w:val="Captionfiganexe"/>
        <w:rPr>
          <w:rFonts w:eastAsia="Times New Roman"/>
          <w:sz w:val="24"/>
        </w:rPr>
      </w:pPr>
      <w:r>
        <w:rPr>
          <w:sz w:val="24"/>
        </w:rPr>
        <w:t xml:space="preserve">Varianta b) - evacuare </w:t>
      </w:r>
      <w:r>
        <w:rPr>
          <w:rFonts w:eastAsia="Times New Roman"/>
          <w:sz w:val="24"/>
        </w:rPr>
        <w:t>către alt compartiment de incendiu</w:t>
      </w:r>
      <w:r>
        <w:rPr>
          <w:sz w:val="24"/>
        </w:rPr>
        <w:t xml:space="preserve"> prin coridor exterior (într-un sens, dintr-un singur compartiment de incendiu în celălalt)</w:t>
      </w:r>
    </w:p>
    <w:p w14:paraId="62481FFA" w14:textId="77777777" w:rsidR="001C08A5" w:rsidRDefault="00000000">
      <w:pPr>
        <w:pStyle w:val="BodyText"/>
        <w:jc w:val="center"/>
      </w:pPr>
      <w:r>
        <w:rPr>
          <w:noProof/>
          <w:lang w:eastAsia="ro-RO"/>
        </w:rPr>
        <w:drawing>
          <wp:inline distT="0" distB="0" distL="114300" distR="114300" wp14:anchorId="4DF295BD" wp14:editId="6E67507E">
            <wp:extent cx="6047105" cy="2174240"/>
            <wp:effectExtent l="0" t="0" r="10795" b="16510"/>
            <wp:docPr id="5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7"/>
                    <pic:cNvPicPr>
                      <a:picLocks noChangeAspect="1"/>
                    </pic:cNvPicPr>
                  </pic:nvPicPr>
                  <pic:blipFill>
                    <a:blip r:embed="rId468"/>
                    <a:srcRect l="12492" t="13872" r="7449" b="8644"/>
                    <a:stretch>
                      <a:fillRect/>
                    </a:stretch>
                  </pic:blipFill>
                  <pic:spPr>
                    <a:xfrm>
                      <a:off x="0" y="0"/>
                      <a:ext cx="6047105" cy="2174240"/>
                    </a:xfrm>
                    <a:prstGeom prst="rect">
                      <a:avLst/>
                    </a:prstGeom>
                    <a:noFill/>
                    <a:ln>
                      <a:noFill/>
                    </a:ln>
                  </pic:spPr>
                </pic:pic>
              </a:graphicData>
            </a:graphic>
          </wp:inline>
        </w:drawing>
      </w:r>
    </w:p>
    <w:p w14:paraId="03FFA100" w14:textId="77777777" w:rsidR="001C08A5" w:rsidRDefault="00000000">
      <w:pPr>
        <w:pStyle w:val="BodyText"/>
        <w:jc w:val="center"/>
      </w:pPr>
      <w:r>
        <w:t xml:space="preserve">Varianta c) - evacuare </w:t>
      </w:r>
      <w:r>
        <w:rPr>
          <w:rFonts w:eastAsia="Times New Roman"/>
        </w:rPr>
        <w:t>către alt compartiment de incendiu</w:t>
      </w:r>
      <w:r>
        <w:t xml:space="preserve"> prin coridor interior protejat presurizat (într-un sens, dintr-un singur compartiment de incendiu în celălalt)</w:t>
      </w:r>
    </w:p>
    <w:p w14:paraId="00D0350D" w14:textId="77777777" w:rsidR="001C08A5" w:rsidRDefault="00000000">
      <w:pPr>
        <w:pStyle w:val="BodyText"/>
        <w:jc w:val="center"/>
      </w:pPr>
      <w:r>
        <w:rPr>
          <w:noProof/>
        </w:rPr>
        <w:drawing>
          <wp:inline distT="0" distB="0" distL="114300" distR="114300" wp14:anchorId="0C87F401" wp14:editId="56A87226">
            <wp:extent cx="6021705" cy="3090545"/>
            <wp:effectExtent l="0" t="0" r="17145" b="14605"/>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
                    <pic:cNvPicPr>
                      <a:picLocks noChangeAspect="1"/>
                    </pic:cNvPicPr>
                  </pic:nvPicPr>
                  <pic:blipFill>
                    <a:blip r:embed="rId469"/>
                    <a:srcRect l="12705" t="12529" r="7613" b="7971"/>
                    <a:stretch>
                      <a:fillRect/>
                    </a:stretch>
                  </pic:blipFill>
                  <pic:spPr>
                    <a:xfrm>
                      <a:off x="0" y="0"/>
                      <a:ext cx="6021705" cy="3090545"/>
                    </a:xfrm>
                    <a:prstGeom prst="rect">
                      <a:avLst/>
                    </a:prstGeom>
                    <a:noFill/>
                    <a:ln>
                      <a:noFill/>
                    </a:ln>
                  </pic:spPr>
                </pic:pic>
              </a:graphicData>
            </a:graphic>
          </wp:inline>
        </w:drawing>
      </w:r>
    </w:p>
    <w:p w14:paraId="4E8FE21A" w14:textId="77777777" w:rsidR="001C08A5" w:rsidRDefault="00000000">
      <w:pPr>
        <w:pStyle w:val="BodyText"/>
        <w:jc w:val="center"/>
      </w:pPr>
      <w:r>
        <w:t>Varianta d) - evacuare prin coridor interior protejat presurizat (în două sensuri, din fiecare compartiment de incendiu în celălalt)</w:t>
      </w:r>
    </w:p>
    <w:p w14:paraId="00E1EA00" w14:textId="77777777" w:rsidR="001C08A5" w:rsidRDefault="00000000">
      <w:pPr>
        <w:pStyle w:val="BodyText"/>
        <w:rPr>
          <w:b w:val="0"/>
          <w:bCs w:val="0"/>
          <w:sz w:val="22"/>
          <w:szCs w:val="22"/>
        </w:rPr>
      </w:pPr>
      <w:r>
        <w:rPr>
          <w:sz w:val="22"/>
          <w:szCs w:val="22"/>
        </w:rPr>
        <w:t>Notă Figura 234 varianta d)</w:t>
      </w:r>
      <w:r>
        <w:rPr>
          <w:b w:val="0"/>
          <w:bCs w:val="0"/>
          <w:sz w:val="22"/>
          <w:szCs w:val="22"/>
        </w:rPr>
        <w:t xml:space="preserve">: Similar explicații cu </w:t>
      </w:r>
      <w:r>
        <w:rPr>
          <w:iCs/>
          <w:sz w:val="22"/>
          <w:szCs w:val="22"/>
        </w:rPr>
        <w:t>Figura 207 varianta d)</w:t>
      </w:r>
    </w:p>
    <w:p w14:paraId="75DAA5D0" w14:textId="77777777" w:rsidR="001C08A5" w:rsidRDefault="00000000">
      <w:pPr>
        <w:pStyle w:val="BodyText"/>
        <w:jc w:val="center"/>
      </w:pPr>
      <w:r>
        <w:rPr>
          <w:noProof/>
        </w:rPr>
        <w:lastRenderedPageBreak/>
        <w:drawing>
          <wp:inline distT="0" distB="0" distL="114300" distR="114300" wp14:anchorId="173006F4" wp14:editId="28878EBE">
            <wp:extent cx="6010910" cy="3397250"/>
            <wp:effectExtent l="0" t="0" r="8890" b="12700"/>
            <wp:docPr id="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2"/>
                    <pic:cNvPicPr>
                      <a:picLocks noChangeAspect="1"/>
                    </pic:cNvPicPr>
                  </pic:nvPicPr>
                  <pic:blipFill>
                    <a:blip r:embed="rId470"/>
                    <a:srcRect l="12705" t="5276" r="7756" b="7334"/>
                    <a:stretch>
                      <a:fillRect/>
                    </a:stretch>
                  </pic:blipFill>
                  <pic:spPr>
                    <a:xfrm>
                      <a:off x="0" y="0"/>
                      <a:ext cx="6010910" cy="3397250"/>
                    </a:xfrm>
                    <a:prstGeom prst="rect">
                      <a:avLst/>
                    </a:prstGeom>
                    <a:noFill/>
                    <a:ln>
                      <a:noFill/>
                    </a:ln>
                  </pic:spPr>
                </pic:pic>
              </a:graphicData>
            </a:graphic>
          </wp:inline>
        </w:drawing>
      </w:r>
    </w:p>
    <w:p w14:paraId="60181605" w14:textId="77777777" w:rsidR="001C08A5" w:rsidRDefault="00000000">
      <w:pPr>
        <w:pStyle w:val="BodyText"/>
        <w:jc w:val="center"/>
      </w:pPr>
      <w:r>
        <w:t>Varianta e) - evacuare prin coridor exterior (într-un sens, din fiecare compartiment de incendiu în celălalt)</w:t>
      </w:r>
    </w:p>
    <w:p w14:paraId="1711B422" w14:textId="77777777" w:rsidR="001C08A5" w:rsidRDefault="00000000">
      <w:pPr>
        <w:pStyle w:val="BodyText"/>
        <w:rPr>
          <w:sz w:val="22"/>
          <w:szCs w:val="22"/>
        </w:rPr>
      </w:pPr>
      <w:r>
        <w:rPr>
          <w:sz w:val="22"/>
          <w:szCs w:val="22"/>
        </w:rPr>
        <w:t xml:space="preserve">Note Figura 234: </w:t>
      </w:r>
    </w:p>
    <w:p w14:paraId="1D382890" w14:textId="77777777" w:rsidR="001C08A5" w:rsidRDefault="00000000">
      <w:pPr>
        <w:pStyle w:val="BodyText"/>
        <w:rPr>
          <w:b w:val="0"/>
          <w:bCs w:val="0"/>
          <w:sz w:val="22"/>
          <w:szCs w:val="22"/>
        </w:rPr>
      </w:pPr>
      <w:r>
        <w:rPr>
          <w:b w:val="0"/>
          <w:bCs w:val="0"/>
          <w:sz w:val="22"/>
          <w:szCs w:val="22"/>
        </w:rPr>
        <w:t>Circulațiile comune orizontale din compartimentul de incendiu către care se realizează evacuarea se prevăd cu SPD sau sisteme de evacuare a fumului și a gazelor fierbinți. Atunci când sunt prevăzute cu încăperi tampon se prevăd cu SPD încăperile tampon precum și circulațiile comune orizontale din compartimentul de incendiu către care se realizează evacuarea. Nu este obligatorie prevederea SPD pe circulațiile comune orizontale din compartimentul de incendiu către care se realizează evacuarea atunci când evacuarea se realizează printr-o încăpere tampon comună direct către o scară de evacuare sau direct în exterior (încăperea tampon comună aparținând compartimentului de incendiu prin care se realizează evacuarea). Se admite neprevederea SPD pe circulațiile comune orizontale din compartimentul de incendiu către care se realizează evacuarea atunci când evacuarea se realizează printr-o cursivă exterioară, justificându-se această neprevedere.</w:t>
      </w:r>
    </w:p>
    <w:p w14:paraId="0E78D63C" w14:textId="77777777" w:rsidR="001C08A5" w:rsidRDefault="00000000">
      <w:pPr>
        <w:pStyle w:val="BodyText"/>
        <w:rPr>
          <w:b w:val="0"/>
          <w:bCs w:val="0"/>
          <w:iCs/>
          <w:sz w:val="22"/>
          <w:szCs w:val="22"/>
        </w:rPr>
      </w:pPr>
      <w:r>
        <w:rPr>
          <w:b w:val="0"/>
          <w:bCs w:val="0"/>
          <w:sz w:val="22"/>
          <w:szCs w:val="22"/>
        </w:rPr>
        <w:t xml:space="preserve">Se vor vedea explicații </w:t>
      </w:r>
      <w:r>
        <w:rPr>
          <w:sz w:val="22"/>
          <w:szCs w:val="22"/>
        </w:rPr>
        <w:t>Figura 234 varianta d)</w:t>
      </w:r>
      <w:r>
        <w:rPr>
          <w:b w:val="0"/>
          <w:bCs w:val="0"/>
          <w:sz w:val="22"/>
          <w:szCs w:val="22"/>
        </w:rPr>
        <w:t xml:space="preserve">: Similar explicații cu </w:t>
      </w:r>
      <w:r>
        <w:rPr>
          <w:iCs/>
          <w:sz w:val="22"/>
          <w:szCs w:val="22"/>
        </w:rPr>
        <w:t>Figura 207 varianta d)</w:t>
      </w:r>
      <w:r>
        <w:rPr>
          <w:b w:val="0"/>
          <w:bCs w:val="0"/>
          <w:iCs/>
          <w:sz w:val="22"/>
          <w:szCs w:val="22"/>
        </w:rPr>
        <w:t>.</w:t>
      </w:r>
    </w:p>
    <w:p w14:paraId="4CBF7EEF" w14:textId="77777777" w:rsidR="001C08A5" w:rsidRDefault="00000000">
      <w:pPr>
        <w:pStyle w:val="BodyText"/>
        <w:rPr>
          <w:b w:val="0"/>
          <w:bCs w:val="0"/>
          <w:iCs/>
          <w:sz w:val="22"/>
          <w:szCs w:val="22"/>
        </w:rPr>
      </w:pPr>
      <w:r>
        <w:rPr>
          <w:b w:val="0"/>
          <w:bCs w:val="0"/>
          <w:iCs/>
          <w:sz w:val="22"/>
          <w:szCs w:val="22"/>
        </w:rPr>
        <w:t>Compartimentele de incendiu prevăzute cu SPD trebuie prevăzute de asemenea cu instalație automată de</w:t>
      </w:r>
      <w:r>
        <w:rPr>
          <w:sz w:val="22"/>
          <w:szCs w:val="22"/>
        </w:rPr>
        <w:t xml:space="preserve"> </w:t>
      </w:r>
      <w:r>
        <w:rPr>
          <w:b w:val="0"/>
          <w:bCs w:val="0"/>
          <w:sz w:val="22"/>
          <w:szCs w:val="22"/>
        </w:rPr>
        <w:t>detectare, semnalizare şi alarmare a incendiului cu acoperire totală.</w:t>
      </w:r>
    </w:p>
    <w:p w14:paraId="69756712" w14:textId="77777777" w:rsidR="001C08A5" w:rsidRDefault="00000000">
      <w:pPr>
        <w:pStyle w:val="BodyText"/>
        <w:rPr>
          <w:b w:val="0"/>
          <w:bCs w:val="0"/>
          <w:sz w:val="22"/>
          <w:szCs w:val="22"/>
        </w:rPr>
      </w:pPr>
      <w:r>
        <w:rPr>
          <w:b w:val="0"/>
          <w:bCs w:val="0"/>
          <w:iCs/>
          <w:sz w:val="22"/>
          <w:szCs w:val="22"/>
          <w:lang w:eastAsia="en-US"/>
        </w:rPr>
        <w:t xml:space="preserve">În toate cazurile se va ține cont de prevederile </w:t>
      </w:r>
      <w:r>
        <w:rPr>
          <w:iCs/>
          <w:sz w:val="22"/>
          <w:szCs w:val="22"/>
          <w:lang w:val="en-US" w:eastAsia="en-US"/>
        </w:rPr>
        <w:t xml:space="preserve">Art. 8.1.8. (1) </w:t>
      </w:r>
      <w:r>
        <w:rPr>
          <w:b w:val="0"/>
          <w:iCs/>
          <w:sz w:val="22"/>
          <w:szCs w:val="22"/>
          <w:lang w:eastAsia="en-US"/>
        </w:rPr>
        <w:t xml:space="preserve">din normativ. </w:t>
      </w:r>
      <w:r>
        <w:rPr>
          <w:b w:val="0"/>
          <w:bCs w:val="0"/>
          <w:iCs/>
          <w:sz w:val="22"/>
          <w:szCs w:val="22"/>
        </w:rPr>
        <w:t xml:space="preserve">Ușile încăperilor tampon prin care se realizează evacuarea către alt compartiment de incendiu din clădiri civile se vor prevedea conform </w:t>
      </w:r>
      <w:r>
        <w:rPr>
          <w:b w:val="0"/>
          <w:bCs w:val="0"/>
          <w:i w:val="0"/>
          <w:iCs/>
          <w:sz w:val="20"/>
          <w:szCs w:val="20"/>
        </w:rPr>
        <w:fldChar w:fldCharType="begin"/>
      </w:r>
      <w:r>
        <w:rPr>
          <w:b w:val="0"/>
          <w:bCs w:val="0"/>
          <w:i w:val="0"/>
          <w:iCs/>
          <w:sz w:val="20"/>
          <w:szCs w:val="20"/>
        </w:rPr>
        <w:instrText xml:space="preserve"> REF _Ref29224 \h </w:instrText>
      </w:r>
      <w:r>
        <w:rPr>
          <w:b w:val="0"/>
          <w:bCs w:val="0"/>
          <w:i w:val="0"/>
          <w:iCs/>
          <w:sz w:val="20"/>
          <w:szCs w:val="20"/>
        </w:rPr>
      </w:r>
      <w:r>
        <w:rPr>
          <w:b w:val="0"/>
          <w:bCs w:val="0"/>
          <w:i w:val="0"/>
          <w:iCs/>
          <w:sz w:val="20"/>
          <w:szCs w:val="20"/>
        </w:rPr>
        <w:fldChar w:fldCharType="separate"/>
      </w:r>
      <w:r>
        <w:rPr>
          <w:b w:val="0"/>
          <w:bCs w:val="0"/>
          <w:i w:val="0"/>
          <w:iCs/>
          <w:sz w:val="20"/>
          <w:szCs w:val="20"/>
        </w:rPr>
        <w:t>Tabelul 123: Uși pentru circulaţie funcţională şi/ sau evacuare practicate în pereţii antifoc din clădiri civile</w:t>
      </w:r>
      <w:r>
        <w:rPr>
          <w:b w:val="0"/>
          <w:bCs w:val="0"/>
          <w:i w:val="0"/>
          <w:iCs/>
          <w:sz w:val="20"/>
          <w:szCs w:val="20"/>
        </w:rPr>
        <w:fldChar w:fldCharType="end"/>
      </w:r>
      <w:r>
        <w:rPr>
          <w:b w:val="0"/>
          <w:bCs w:val="0"/>
          <w:i w:val="0"/>
          <w:iCs/>
          <w:sz w:val="20"/>
          <w:szCs w:val="20"/>
        </w:rPr>
        <w:t xml:space="preserve"> </w:t>
      </w:r>
      <w:r>
        <w:rPr>
          <w:iCs/>
          <w:sz w:val="22"/>
          <w:szCs w:val="22"/>
        </w:rPr>
        <w:t>.</w:t>
      </w:r>
    </w:p>
    <w:p w14:paraId="58000BFB" w14:textId="77777777" w:rsidR="001C08A5" w:rsidRDefault="00000000">
      <w:pPr>
        <w:pStyle w:val="Caption"/>
        <w:jc w:val="center"/>
      </w:pPr>
      <w:bookmarkStart w:id="9246" w:name="_Toc162360458"/>
      <w:r>
        <w:t xml:space="preserve">Figura </w:t>
      </w:r>
      <w:r>
        <w:fldChar w:fldCharType="begin"/>
      </w:r>
      <w:r>
        <w:instrText xml:space="preserve"> SEQ Figura \* ARABIC </w:instrText>
      </w:r>
      <w:r>
        <w:fldChar w:fldCharType="separate"/>
      </w:r>
      <w:r>
        <w:t>234</w:t>
      </w:r>
      <w:r>
        <w:fldChar w:fldCharType="end"/>
      </w:r>
      <w:bookmarkStart w:id="9247" w:name="_Toc10954"/>
      <w:bookmarkStart w:id="9248" w:name="_Toc24597"/>
      <w:bookmarkStart w:id="9249" w:name="_Toc28735"/>
      <w:bookmarkStart w:id="9250" w:name="_Toc29788"/>
      <w:bookmarkStart w:id="9251" w:name="_Toc25860"/>
      <w:bookmarkStart w:id="9252" w:name="_Toc26875"/>
      <w:bookmarkStart w:id="9253" w:name="_Toc21315"/>
      <w:bookmarkStart w:id="9254" w:name="_Toc2088"/>
      <w:bookmarkStart w:id="9255" w:name="_Toc13043"/>
      <w:r>
        <w:t xml:space="preserve"> - Schemă principiu zonă evacuare către alt compartiment de incendiu (din fiecare compartiment de incendiu în celălalt)</w:t>
      </w:r>
      <w:bookmarkEnd w:id="9246"/>
      <w:bookmarkEnd w:id="9247"/>
      <w:bookmarkEnd w:id="9248"/>
      <w:bookmarkEnd w:id="9249"/>
      <w:bookmarkEnd w:id="9250"/>
      <w:bookmarkEnd w:id="9251"/>
      <w:bookmarkEnd w:id="9252"/>
      <w:bookmarkEnd w:id="9253"/>
      <w:bookmarkEnd w:id="9254"/>
      <w:bookmarkEnd w:id="9255"/>
    </w:p>
    <w:p w14:paraId="14D89259" w14:textId="77777777" w:rsidR="001C08A5" w:rsidRDefault="00000000">
      <w:pPr>
        <w:jc w:val="center"/>
      </w:pPr>
      <w:r>
        <w:rPr>
          <w:noProof/>
        </w:rPr>
        <w:lastRenderedPageBreak/>
        <w:drawing>
          <wp:inline distT="0" distB="0" distL="114300" distR="114300" wp14:anchorId="737BC92A" wp14:editId="6EE14EA9">
            <wp:extent cx="5143500" cy="3530600"/>
            <wp:effectExtent l="0" t="0" r="0" b="12700"/>
            <wp:docPr id="59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8"/>
                    <pic:cNvPicPr>
                      <a:picLocks noChangeAspect="1"/>
                    </pic:cNvPicPr>
                  </pic:nvPicPr>
                  <pic:blipFill>
                    <a:blip r:embed="rId471"/>
                    <a:srcRect l="21124" t="21531" r="10734" b="13410"/>
                    <a:stretch>
                      <a:fillRect/>
                    </a:stretch>
                  </pic:blipFill>
                  <pic:spPr>
                    <a:xfrm>
                      <a:off x="0" y="0"/>
                      <a:ext cx="5143500" cy="3530600"/>
                    </a:xfrm>
                    <a:prstGeom prst="rect">
                      <a:avLst/>
                    </a:prstGeom>
                    <a:noFill/>
                    <a:ln>
                      <a:noFill/>
                    </a:ln>
                  </pic:spPr>
                </pic:pic>
              </a:graphicData>
            </a:graphic>
          </wp:inline>
        </w:drawing>
      </w:r>
    </w:p>
    <w:p w14:paraId="537324F7" w14:textId="77777777" w:rsidR="001C08A5" w:rsidRDefault="00000000">
      <w:pPr>
        <w:jc w:val="center"/>
      </w:pPr>
      <w:r>
        <w:rPr>
          <w:noProof/>
        </w:rPr>
        <w:drawing>
          <wp:inline distT="0" distB="0" distL="114300" distR="114300" wp14:anchorId="549393B8" wp14:editId="3C96CA18">
            <wp:extent cx="5648325" cy="2699385"/>
            <wp:effectExtent l="0" t="0" r="9525" b="5715"/>
            <wp:docPr id="59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57"/>
                    <pic:cNvPicPr>
                      <a:picLocks noChangeAspect="1"/>
                    </pic:cNvPicPr>
                  </pic:nvPicPr>
                  <pic:blipFill>
                    <a:blip r:embed="rId472"/>
                    <a:srcRect l="15193" t="7969" r="9977" b="42289"/>
                    <a:stretch>
                      <a:fillRect/>
                    </a:stretch>
                  </pic:blipFill>
                  <pic:spPr>
                    <a:xfrm>
                      <a:off x="0" y="0"/>
                      <a:ext cx="5648325" cy="2699385"/>
                    </a:xfrm>
                    <a:prstGeom prst="rect">
                      <a:avLst/>
                    </a:prstGeom>
                    <a:noFill/>
                    <a:ln>
                      <a:noFill/>
                    </a:ln>
                  </pic:spPr>
                </pic:pic>
              </a:graphicData>
            </a:graphic>
          </wp:inline>
        </w:drawing>
      </w:r>
    </w:p>
    <w:p w14:paraId="035E0042" w14:textId="77777777" w:rsidR="001C08A5" w:rsidRDefault="00000000">
      <w:pPr>
        <w:jc w:val="center"/>
      </w:pPr>
      <w:r>
        <w:rPr>
          <w:noProof/>
        </w:rPr>
        <w:drawing>
          <wp:inline distT="0" distB="0" distL="114300" distR="114300" wp14:anchorId="7FD3C2CC" wp14:editId="79E50245">
            <wp:extent cx="5657850" cy="2887980"/>
            <wp:effectExtent l="0" t="0" r="0" b="7620"/>
            <wp:docPr id="5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
                    <pic:cNvPicPr>
                      <a:picLocks noChangeAspect="1"/>
                    </pic:cNvPicPr>
                  </pic:nvPicPr>
                  <pic:blipFill>
                    <a:blip r:embed="rId473"/>
                    <a:srcRect l="14941" t="36555" r="10103" b="10227"/>
                    <a:stretch>
                      <a:fillRect/>
                    </a:stretch>
                  </pic:blipFill>
                  <pic:spPr>
                    <a:xfrm>
                      <a:off x="0" y="0"/>
                      <a:ext cx="5657850" cy="2887980"/>
                    </a:xfrm>
                    <a:prstGeom prst="rect">
                      <a:avLst/>
                    </a:prstGeom>
                    <a:noFill/>
                    <a:ln>
                      <a:noFill/>
                    </a:ln>
                  </pic:spPr>
                </pic:pic>
              </a:graphicData>
            </a:graphic>
          </wp:inline>
        </w:drawing>
      </w:r>
    </w:p>
    <w:p w14:paraId="483CA65D" w14:textId="77777777" w:rsidR="001C08A5" w:rsidRDefault="00000000">
      <w:pPr>
        <w:pStyle w:val="Caption"/>
        <w:jc w:val="center"/>
      </w:pPr>
      <w:bookmarkStart w:id="9256" w:name="_Toc162360459"/>
      <w:r>
        <w:t xml:space="preserve">Figura </w:t>
      </w:r>
      <w:r>
        <w:fldChar w:fldCharType="begin"/>
      </w:r>
      <w:r>
        <w:instrText xml:space="preserve"> SEQ Figura \* ARABIC </w:instrText>
      </w:r>
      <w:r>
        <w:fldChar w:fldCharType="separate"/>
      </w:r>
      <w:r>
        <w:t>235</w:t>
      </w:r>
      <w:r>
        <w:fldChar w:fldCharType="end"/>
      </w:r>
      <w:bookmarkStart w:id="9257" w:name="_Toc22179"/>
      <w:bookmarkStart w:id="9258" w:name="_Toc12079"/>
      <w:bookmarkStart w:id="9259" w:name="_Toc28610"/>
      <w:bookmarkStart w:id="9260" w:name="_Toc13253"/>
      <w:bookmarkStart w:id="9261" w:name="_Toc21142"/>
      <w:bookmarkStart w:id="9262" w:name="_Toc7889"/>
      <w:bookmarkStart w:id="9263" w:name="_Toc26519"/>
      <w:bookmarkStart w:id="9264" w:name="_Toc14524"/>
      <w:bookmarkStart w:id="9265" w:name="_Toc13380"/>
      <w:r>
        <w:t xml:space="preserve"> - Zone de refugiu (în) clădiri</w:t>
      </w:r>
      <w:bookmarkEnd w:id="9256"/>
      <w:bookmarkEnd w:id="9257"/>
      <w:bookmarkEnd w:id="9258"/>
      <w:bookmarkEnd w:id="9259"/>
      <w:bookmarkEnd w:id="9260"/>
      <w:bookmarkEnd w:id="9261"/>
      <w:bookmarkEnd w:id="9262"/>
      <w:bookmarkEnd w:id="9263"/>
      <w:bookmarkEnd w:id="9264"/>
      <w:bookmarkEnd w:id="9265"/>
    </w:p>
    <w:p w14:paraId="59C71513" w14:textId="77777777" w:rsidR="001C08A5" w:rsidRDefault="001C08A5">
      <w:pPr>
        <w:jc w:val="center"/>
        <w:rPr>
          <w:rFonts w:eastAsia="Times New Roman"/>
          <w:b/>
          <w:bCs/>
          <w:i/>
          <w:sz w:val="24"/>
          <w:szCs w:val="24"/>
        </w:rPr>
      </w:pPr>
    </w:p>
    <w:p w14:paraId="45806B32"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Pentru evacuare spre zona de refugiu se pot utiliza următorii factori de ocupare, pentru conformarea acesteia:</w:t>
      </w:r>
    </w:p>
    <w:p w14:paraId="6A9D2937" w14:textId="77777777" w:rsidR="001C08A5" w:rsidRDefault="00000000">
      <w:pPr>
        <w:ind w:left="1440" w:firstLine="720"/>
        <w:jc w:val="both"/>
        <w:rPr>
          <w:rFonts w:eastAsia="Times New Roman"/>
          <w:i/>
          <w:sz w:val="24"/>
          <w:szCs w:val="24"/>
        </w:rPr>
      </w:pPr>
      <w:r>
        <w:rPr>
          <w:rFonts w:eastAsia="Times New Roman"/>
          <w:i/>
          <w:sz w:val="24"/>
          <w:szCs w:val="24"/>
        </w:rPr>
        <w:t xml:space="preserve">- funcțiune de sănătate cu evacuare cu targa ori patul cu rotile îngrijire ambulatorie </w:t>
      </w:r>
      <w:r>
        <w:rPr>
          <w:rFonts w:eastAsia="Times New Roman"/>
          <w:b/>
          <w:bCs/>
          <w:i/>
          <w:sz w:val="24"/>
          <w:szCs w:val="24"/>
        </w:rPr>
        <w:t>2 m</w:t>
      </w:r>
      <w:r>
        <w:rPr>
          <w:rFonts w:eastAsia="Times New Roman"/>
          <w:b/>
          <w:bCs/>
          <w:i/>
          <w:sz w:val="24"/>
          <w:szCs w:val="24"/>
          <w:vertAlign w:val="superscript"/>
        </w:rPr>
        <w:t>2</w:t>
      </w:r>
      <w:r>
        <w:rPr>
          <w:rFonts w:eastAsia="Times New Roman"/>
          <w:b/>
          <w:bCs/>
          <w:i/>
          <w:sz w:val="24"/>
          <w:szCs w:val="24"/>
        </w:rPr>
        <w:t>/persoană</w:t>
      </w:r>
    </w:p>
    <w:p w14:paraId="2A430AD5" w14:textId="77777777" w:rsidR="001C08A5" w:rsidRDefault="00000000">
      <w:pPr>
        <w:ind w:left="1440" w:firstLine="720"/>
        <w:jc w:val="both"/>
        <w:rPr>
          <w:rFonts w:eastAsia="Times New Roman"/>
          <w:i/>
          <w:sz w:val="24"/>
          <w:szCs w:val="24"/>
        </w:rPr>
      </w:pPr>
      <w:r>
        <w:rPr>
          <w:rFonts w:eastAsia="Times New Roman"/>
          <w:i/>
          <w:sz w:val="24"/>
          <w:szCs w:val="24"/>
        </w:rPr>
        <w:t xml:space="preserve">- alte funcțiuni cu evacuare </w:t>
      </w:r>
      <w:r>
        <w:rPr>
          <w:rFonts w:eastAsia="Times New Roman"/>
          <w:b/>
          <w:bCs/>
          <w:i/>
          <w:sz w:val="24"/>
          <w:szCs w:val="24"/>
        </w:rPr>
        <w:t>asistată</w:t>
      </w:r>
      <w:r>
        <w:rPr>
          <w:rFonts w:eastAsia="Times New Roman"/>
          <w:i/>
          <w:sz w:val="24"/>
          <w:szCs w:val="24"/>
        </w:rPr>
        <w:t xml:space="preserve"> sau evacuare cu caruciorul a persoanelor cu dizabilități: </w:t>
      </w:r>
      <w:r>
        <w:rPr>
          <w:rFonts w:eastAsia="Times New Roman"/>
          <w:b/>
          <w:bCs/>
          <w:i/>
          <w:sz w:val="24"/>
          <w:szCs w:val="24"/>
        </w:rPr>
        <w:t>1 m</w:t>
      </w:r>
      <w:r>
        <w:rPr>
          <w:rFonts w:eastAsia="Times New Roman"/>
          <w:b/>
          <w:bCs/>
          <w:i/>
          <w:sz w:val="24"/>
          <w:szCs w:val="24"/>
          <w:vertAlign w:val="superscript"/>
        </w:rPr>
        <w:t>2</w:t>
      </w:r>
      <w:r>
        <w:rPr>
          <w:rFonts w:eastAsia="Times New Roman"/>
          <w:b/>
          <w:bCs/>
          <w:i/>
          <w:sz w:val="24"/>
          <w:szCs w:val="24"/>
        </w:rPr>
        <w:t>/persoană</w:t>
      </w:r>
    </w:p>
    <w:p w14:paraId="69035DC6" w14:textId="77777777" w:rsidR="001C08A5" w:rsidRDefault="00000000">
      <w:pPr>
        <w:jc w:val="both"/>
        <w:rPr>
          <w:rFonts w:eastAsia="Times New Roman"/>
          <w:i/>
          <w:sz w:val="22"/>
          <w:szCs w:val="22"/>
        </w:rPr>
      </w:pPr>
      <w:r>
        <w:rPr>
          <w:rFonts w:eastAsia="Times New Roman"/>
          <w:b/>
          <w:bCs/>
          <w:i/>
          <w:sz w:val="22"/>
          <w:szCs w:val="22"/>
        </w:rPr>
        <w:t>Notă</w:t>
      </w:r>
      <w:r>
        <w:rPr>
          <w:rFonts w:eastAsia="Times New Roman"/>
          <w:i/>
          <w:sz w:val="22"/>
          <w:szCs w:val="22"/>
        </w:rPr>
        <w:t xml:space="preserve">: Zona de refugiu in clădirile cu funcțiune de sănătate este o zonă de utilizare/ exploatare TEMPORARĂ, destinata EXCLUSIV persoanelor cu dizabilități. Prin urmare, căile de evacuare trebuie să fie proiectate pentru a putea primi/ evacua toate persoanele care vor ocupa zona de refugiu (respectiv </w:t>
      </w:r>
      <w:r>
        <w:rPr>
          <w:rFonts w:eastAsia="Times New Roman"/>
          <w:i/>
          <w:sz w:val="24"/>
          <w:szCs w:val="24"/>
        </w:rPr>
        <w:t xml:space="preserve">numarul de paturi stabilit se calculează ținându-se cont de două treimi din numarul total de paturi din zona evacuată, iar pentru fiecare pat se va aloca o suprafață de </w:t>
      </w:r>
      <w:r>
        <w:rPr>
          <w:rFonts w:eastAsia="Times New Roman"/>
          <w:b/>
          <w:bCs/>
          <w:i/>
          <w:sz w:val="24"/>
          <w:szCs w:val="24"/>
        </w:rPr>
        <w:t>1m x 2m</w:t>
      </w:r>
      <w:r>
        <w:rPr>
          <w:rFonts w:eastAsia="Times New Roman"/>
          <w:i/>
          <w:sz w:val="22"/>
          <w:szCs w:val="22"/>
        </w:rPr>
        <w:t xml:space="preserve">) în caz de urgență iar în zona de refugiu trebuie </w:t>
      </w:r>
      <w:r>
        <w:rPr>
          <w:rFonts w:eastAsia="Times New Roman"/>
          <w:i/>
          <w:sz w:val="24"/>
          <w:szCs w:val="24"/>
        </w:rPr>
        <w:t>realizat un ascensor pentru evacuare a pesoanelor cu dizabilitati (cu targa sau patul cu rotile)</w:t>
      </w:r>
      <w:r>
        <w:rPr>
          <w:rFonts w:eastAsia="Times New Roman"/>
          <w:i/>
          <w:sz w:val="22"/>
          <w:szCs w:val="22"/>
        </w:rPr>
        <w:t xml:space="preserve">. Zona de refugiu proiectată poate fi reprezentată și de spații existente, încăperi care indeplinesc condițiile normate (pereti </w:t>
      </w:r>
      <w:r>
        <w:rPr>
          <w:rFonts w:eastAsia="Times New Roman"/>
          <w:b/>
          <w:bCs/>
          <w:i/>
          <w:sz w:val="22"/>
          <w:szCs w:val="22"/>
        </w:rPr>
        <w:t>EI180</w:t>
      </w:r>
      <w:r>
        <w:rPr>
          <w:rFonts w:eastAsia="Times New Roman"/>
          <w:i/>
          <w:sz w:val="22"/>
          <w:szCs w:val="22"/>
        </w:rPr>
        <w:t xml:space="preserve"> și ușă </w:t>
      </w:r>
      <w:r>
        <w:rPr>
          <w:rFonts w:eastAsia="Times New Roman"/>
          <w:b/>
          <w:bCs/>
          <w:i/>
          <w:sz w:val="22"/>
          <w:szCs w:val="22"/>
        </w:rPr>
        <w:t>EI90-C5S</w:t>
      </w:r>
      <w:r>
        <w:rPr>
          <w:rFonts w:eastAsia="Times New Roman"/>
          <w:b/>
          <w:bCs/>
          <w:i/>
          <w:sz w:val="22"/>
          <w:szCs w:val="22"/>
          <w:vertAlign w:val="subscript"/>
        </w:rPr>
        <w:t>200</w:t>
      </w:r>
      <w:r>
        <w:rPr>
          <w:rFonts w:eastAsia="Times New Roman"/>
          <w:i/>
          <w:sz w:val="22"/>
          <w:szCs w:val="22"/>
        </w:rPr>
        <w:t xml:space="preserve">), cu spații libere care pot temporar să primească și numarul de persoane evacuate din porțiunea evacuată, însumarea în întregime a numărului de persoane într-o situație temporară netrebuind să îndeplinească condițiile normate. </w:t>
      </w:r>
    </w:p>
    <w:p w14:paraId="41317150" w14:textId="77777777" w:rsidR="001C08A5" w:rsidRDefault="001C08A5">
      <w:pPr>
        <w:numPr>
          <w:ilvl w:val="255"/>
          <w:numId w:val="0"/>
        </w:numPr>
        <w:tabs>
          <w:tab w:val="left" w:pos="426"/>
          <w:tab w:val="left" w:pos="993"/>
        </w:tabs>
        <w:jc w:val="both"/>
        <w:rPr>
          <w:rFonts w:eastAsia="Times New Roman"/>
          <w:b/>
          <w:i/>
          <w:sz w:val="24"/>
        </w:rPr>
      </w:pPr>
    </w:p>
    <w:p w14:paraId="20D4D19F"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Zonele de refugiu trebuie să dispună de minimum două căi de evacuare distincte și independente (cu excepția celor către alte zone de refugiu), direct către exterior (sau prin intermediul scărilor de evacuare direct catre exterior, dacă aceste zone nu sunt amplasate la parter) în condițiile în care toate zonele se află în același compartiment de incendiu.</w:t>
      </w:r>
    </w:p>
    <w:p w14:paraId="1F7A8626" w14:textId="77777777" w:rsidR="001C08A5" w:rsidRDefault="001C08A5">
      <w:pPr>
        <w:jc w:val="center"/>
        <w:rPr>
          <w:i/>
          <w:sz w:val="24"/>
          <w:szCs w:val="24"/>
          <w:lang w:eastAsia="ro-RO"/>
        </w:rPr>
      </w:pPr>
    </w:p>
    <w:p w14:paraId="3A791AEC" w14:textId="77777777" w:rsidR="001C08A5" w:rsidRDefault="00000000">
      <w:pPr>
        <w:jc w:val="center"/>
        <w:rPr>
          <w:i/>
          <w:sz w:val="24"/>
          <w:szCs w:val="24"/>
        </w:rPr>
      </w:pPr>
      <w:r>
        <w:rPr>
          <w:i/>
          <w:noProof/>
          <w:sz w:val="24"/>
          <w:szCs w:val="24"/>
          <w:lang w:eastAsia="ro-RO"/>
        </w:rPr>
        <w:drawing>
          <wp:inline distT="0" distB="0" distL="114300" distR="114300" wp14:anchorId="6194FC23" wp14:editId="2B99BA49">
            <wp:extent cx="6011545" cy="1713865"/>
            <wp:effectExtent l="0" t="0" r="8255" b="635"/>
            <wp:docPr id="5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4"/>
                    <pic:cNvPicPr>
                      <a:picLocks noChangeAspect="1"/>
                    </pic:cNvPicPr>
                  </pic:nvPicPr>
                  <pic:blipFill>
                    <a:blip r:embed="rId474"/>
                    <a:srcRect l="12727" t="7507" r="7684" b="46013"/>
                    <a:stretch>
                      <a:fillRect/>
                    </a:stretch>
                  </pic:blipFill>
                  <pic:spPr>
                    <a:xfrm>
                      <a:off x="0" y="0"/>
                      <a:ext cx="6011545" cy="1713865"/>
                    </a:xfrm>
                    <a:prstGeom prst="rect">
                      <a:avLst/>
                    </a:prstGeom>
                    <a:noFill/>
                    <a:ln>
                      <a:noFill/>
                    </a:ln>
                  </pic:spPr>
                </pic:pic>
              </a:graphicData>
            </a:graphic>
          </wp:inline>
        </w:drawing>
      </w:r>
    </w:p>
    <w:p w14:paraId="530AB5A3" w14:textId="77777777" w:rsidR="001C08A5" w:rsidRDefault="00000000">
      <w:pPr>
        <w:jc w:val="center"/>
        <w:rPr>
          <w:i/>
          <w:sz w:val="24"/>
          <w:szCs w:val="24"/>
        </w:rPr>
      </w:pPr>
      <w:r>
        <w:rPr>
          <w:i/>
          <w:noProof/>
          <w:sz w:val="24"/>
          <w:szCs w:val="24"/>
          <w:lang w:eastAsia="ro-RO"/>
        </w:rPr>
        <w:drawing>
          <wp:inline distT="0" distB="0" distL="114300" distR="114300" wp14:anchorId="438C47C1" wp14:editId="77A98AA8">
            <wp:extent cx="6011545" cy="1219835"/>
            <wp:effectExtent l="0" t="0" r="8255" b="18415"/>
            <wp:docPr id="5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4"/>
                    <pic:cNvPicPr>
                      <a:picLocks noChangeAspect="1"/>
                    </pic:cNvPicPr>
                  </pic:nvPicPr>
                  <pic:blipFill>
                    <a:blip r:embed="rId474"/>
                    <a:srcRect l="12727" t="66919" r="7684"/>
                    <a:stretch>
                      <a:fillRect/>
                    </a:stretch>
                  </pic:blipFill>
                  <pic:spPr>
                    <a:xfrm>
                      <a:off x="0" y="0"/>
                      <a:ext cx="6011545" cy="1219835"/>
                    </a:xfrm>
                    <a:prstGeom prst="rect">
                      <a:avLst/>
                    </a:prstGeom>
                    <a:noFill/>
                    <a:ln>
                      <a:noFill/>
                    </a:ln>
                  </pic:spPr>
                </pic:pic>
              </a:graphicData>
            </a:graphic>
          </wp:inline>
        </w:drawing>
      </w:r>
    </w:p>
    <w:p w14:paraId="5CE70940" w14:textId="77777777" w:rsidR="001C08A5" w:rsidRDefault="00000000">
      <w:pPr>
        <w:pStyle w:val="Caption"/>
        <w:jc w:val="center"/>
      </w:pPr>
      <w:bookmarkStart w:id="9266" w:name="_Toc142898621"/>
      <w:bookmarkStart w:id="9267" w:name="_Toc162360460"/>
      <w:bookmarkStart w:id="9268" w:name="_Toc9828"/>
      <w:bookmarkStart w:id="9269" w:name="_Toc27798"/>
      <w:r>
        <w:t xml:space="preserve">Figura </w:t>
      </w:r>
      <w:r>
        <w:fldChar w:fldCharType="begin"/>
      </w:r>
      <w:r>
        <w:instrText xml:space="preserve"> SEQ Figura \* ARABIC </w:instrText>
      </w:r>
      <w:r>
        <w:fldChar w:fldCharType="separate"/>
      </w:r>
      <w:r>
        <w:t>236</w:t>
      </w:r>
      <w:r>
        <w:fldChar w:fldCharType="end"/>
      </w:r>
      <w:bookmarkStart w:id="9270" w:name="_Toc29206"/>
      <w:bookmarkStart w:id="9271" w:name="_Toc19394"/>
      <w:bookmarkStart w:id="9272" w:name="_Toc3673"/>
      <w:bookmarkStart w:id="9273" w:name="_Toc5321"/>
      <w:bookmarkStart w:id="9274" w:name="_Toc7906"/>
      <w:bookmarkStart w:id="9275" w:name="_Toc24996"/>
      <w:bookmarkStart w:id="9276" w:name="_Toc8825"/>
      <w:bookmarkStart w:id="9277" w:name="_Toc4942"/>
      <w:bookmarkStart w:id="9278" w:name="_Toc17621"/>
      <w:r>
        <w:t xml:space="preserve"> - Căi de evacuare pentru zonele de refugiu</w:t>
      </w:r>
      <w:bookmarkEnd w:id="9266"/>
      <w:bookmarkEnd w:id="9267"/>
      <w:r>
        <w:t xml:space="preserve"> </w:t>
      </w:r>
      <w:bookmarkEnd w:id="9268"/>
      <w:bookmarkEnd w:id="9269"/>
      <w:bookmarkEnd w:id="9270"/>
      <w:bookmarkEnd w:id="9271"/>
      <w:bookmarkEnd w:id="9272"/>
      <w:bookmarkEnd w:id="9273"/>
      <w:bookmarkEnd w:id="9274"/>
      <w:bookmarkEnd w:id="9275"/>
      <w:bookmarkEnd w:id="9276"/>
      <w:bookmarkEnd w:id="9277"/>
      <w:bookmarkEnd w:id="9278"/>
    </w:p>
    <w:p w14:paraId="265AD0B1"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3E393D2D" wp14:editId="34ECC1C9">
            <wp:extent cx="3051175" cy="1722755"/>
            <wp:effectExtent l="0" t="0" r="15875" b="10795"/>
            <wp:docPr id="546"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490"/>
                    <pic:cNvPicPr>
                      <a:picLocks noChangeAspect="1"/>
                    </pic:cNvPicPr>
                  </pic:nvPicPr>
                  <pic:blipFill>
                    <a:blip r:embed="rId444"/>
                    <a:srcRect l="51241" t="28944" r="8365" b="26740"/>
                    <a:stretch>
                      <a:fillRect/>
                    </a:stretch>
                  </pic:blipFill>
                  <pic:spPr>
                    <a:xfrm>
                      <a:off x="0" y="0"/>
                      <a:ext cx="3051175" cy="1722755"/>
                    </a:xfrm>
                    <a:prstGeom prst="rect">
                      <a:avLst/>
                    </a:prstGeom>
                    <a:noFill/>
                    <a:ln>
                      <a:noFill/>
                    </a:ln>
                  </pic:spPr>
                </pic:pic>
              </a:graphicData>
            </a:graphic>
          </wp:inline>
        </w:drawing>
      </w:r>
    </w:p>
    <w:p w14:paraId="0504D41F" w14:textId="77777777" w:rsidR="001C08A5" w:rsidRDefault="00000000">
      <w:pPr>
        <w:pStyle w:val="Caption"/>
        <w:jc w:val="center"/>
      </w:pPr>
      <w:bookmarkStart w:id="9279" w:name="_Toc142898622"/>
      <w:bookmarkStart w:id="9280" w:name="_Toc162360461"/>
      <w:bookmarkStart w:id="9281" w:name="_Toc3092"/>
      <w:bookmarkStart w:id="9282" w:name="_Toc16967"/>
      <w:r>
        <w:t xml:space="preserve">Figura </w:t>
      </w:r>
      <w:r>
        <w:fldChar w:fldCharType="begin"/>
      </w:r>
      <w:r>
        <w:instrText xml:space="preserve"> SEQ Figura \* ARABIC </w:instrText>
      </w:r>
      <w:r>
        <w:fldChar w:fldCharType="separate"/>
      </w:r>
      <w:r>
        <w:t>237</w:t>
      </w:r>
      <w:r>
        <w:fldChar w:fldCharType="end"/>
      </w:r>
      <w:bookmarkStart w:id="9283" w:name="_Toc8"/>
      <w:bookmarkStart w:id="9284" w:name="_Toc20430"/>
      <w:bookmarkStart w:id="9285" w:name="_Toc27965"/>
      <w:bookmarkStart w:id="9286" w:name="_Toc3123"/>
      <w:bookmarkStart w:id="9287" w:name="_Toc105"/>
      <w:bookmarkStart w:id="9288" w:name="_Toc4219"/>
      <w:bookmarkStart w:id="9289" w:name="_Toc26276"/>
      <w:bookmarkStart w:id="9290" w:name="_Toc13901"/>
      <w:bookmarkStart w:id="9291" w:name="_Toc29963"/>
      <w:r>
        <w:t xml:space="preserve"> - Exemplu de punct de staționare a persoanelor cu dizabilități (exemplu la clădiri de sănătate)</w:t>
      </w:r>
      <w:bookmarkEnd w:id="9279"/>
      <w:bookmarkEnd w:id="9280"/>
      <w:bookmarkEnd w:id="9281"/>
      <w:bookmarkEnd w:id="9282"/>
      <w:bookmarkEnd w:id="9283"/>
      <w:bookmarkEnd w:id="9284"/>
      <w:bookmarkEnd w:id="9285"/>
      <w:bookmarkEnd w:id="9286"/>
      <w:bookmarkEnd w:id="9287"/>
      <w:bookmarkEnd w:id="9288"/>
      <w:bookmarkEnd w:id="9289"/>
      <w:bookmarkEnd w:id="9290"/>
      <w:bookmarkEnd w:id="9291"/>
    </w:p>
    <w:p w14:paraId="254A571F" w14:textId="77777777" w:rsidR="001C08A5" w:rsidRDefault="00000000">
      <w:pPr>
        <w:pStyle w:val="Heading3"/>
        <w:rPr>
          <w:i/>
          <w:iCs/>
          <w:sz w:val="24"/>
          <w:szCs w:val="24"/>
        </w:rPr>
      </w:pPr>
      <w:bookmarkStart w:id="9292" w:name="_Toc17001"/>
      <w:bookmarkStart w:id="9293" w:name="_Toc27942"/>
      <w:bookmarkStart w:id="9294" w:name="_Toc7264"/>
      <w:bookmarkStart w:id="9295" w:name="_Toc30700"/>
      <w:bookmarkStart w:id="9296" w:name="_Toc11886"/>
      <w:bookmarkStart w:id="9297" w:name="_Toc20347"/>
      <w:bookmarkStart w:id="9298" w:name="_Toc32270"/>
      <w:bookmarkStart w:id="9299" w:name="_Toc25623"/>
      <w:bookmarkStart w:id="9300" w:name="_Toc28632"/>
      <w:bookmarkStart w:id="9301" w:name="_Toc18128"/>
      <w:bookmarkStart w:id="9302" w:name="_Toc12144"/>
      <w:bookmarkStart w:id="9303" w:name="_Toc162355479"/>
      <w:bookmarkStart w:id="9304" w:name="_Toc28142"/>
      <w:bookmarkStart w:id="9305" w:name="_Toc13955"/>
      <w:bookmarkStart w:id="9306" w:name="_Toc31042"/>
      <w:bookmarkStart w:id="9307" w:name="_Toc7488"/>
      <w:r>
        <w:rPr>
          <w:i/>
          <w:iCs/>
          <w:sz w:val="24"/>
          <w:szCs w:val="24"/>
        </w:rPr>
        <w:lastRenderedPageBreak/>
        <w:t>ANEXA 7.2 - PARCAJE</w:t>
      </w:r>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p>
    <w:p w14:paraId="2FFCFA08" w14:textId="77777777" w:rsidR="001C08A5" w:rsidRDefault="00000000">
      <w:pPr>
        <w:pStyle w:val="Heading4"/>
        <w:rPr>
          <w:sz w:val="24"/>
          <w:szCs w:val="24"/>
        </w:rPr>
      </w:pPr>
      <w:bookmarkStart w:id="9308" w:name="_Toc29356"/>
      <w:bookmarkStart w:id="9309" w:name="_Toc14527"/>
      <w:bookmarkStart w:id="9310" w:name="_Toc13152"/>
      <w:bookmarkStart w:id="9311" w:name="_Toc265"/>
      <w:bookmarkStart w:id="9312" w:name="_Toc12795"/>
      <w:bookmarkStart w:id="9313" w:name="_Toc21908"/>
      <w:bookmarkStart w:id="9314" w:name="_Toc2876"/>
      <w:bookmarkStart w:id="9315" w:name="_Toc20973"/>
      <w:bookmarkStart w:id="9316" w:name="_Toc30325"/>
      <w:bookmarkStart w:id="9317" w:name="_Toc21164"/>
      <w:bookmarkStart w:id="9318" w:name="_Toc31598"/>
      <w:bookmarkStart w:id="9319" w:name="_Toc3460"/>
      <w:bookmarkStart w:id="9320" w:name="_Toc162355480"/>
      <w:bookmarkStart w:id="9321" w:name="_Toc3141"/>
      <w:bookmarkStart w:id="9322" w:name="_Toc11730"/>
      <w:bookmarkStart w:id="9323" w:name="_Toc20332"/>
      <w:bookmarkStart w:id="9324" w:name="_Toc10642"/>
      <w:r>
        <w:rPr>
          <w:sz w:val="24"/>
          <w:szCs w:val="24"/>
        </w:rPr>
        <w:t>Parcaj deschis (suprateran)</w:t>
      </w:r>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p>
    <w:p w14:paraId="1710E079" w14:textId="77777777" w:rsidR="001C08A5" w:rsidRDefault="00000000">
      <w:pPr>
        <w:numPr>
          <w:ilvl w:val="0"/>
          <w:numId w:val="96"/>
        </w:numPr>
        <w:tabs>
          <w:tab w:val="left" w:pos="426"/>
          <w:tab w:val="left" w:pos="993"/>
        </w:tabs>
        <w:jc w:val="both"/>
        <w:rPr>
          <w:bCs/>
          <w:i/>
          <w:iCs/>
          <w:sz w:val="24"/>
          <w:szCs w:val="24"/>
          <w:lang w:eastAsia="ro-RO"/>
        </w:rPr>
      </w:pPr>
      <w:r>
        <w:rPr>
          <w:bCs/>
          <w:i/>
          <w:sz w:val="24"/>
          <w:szCs w:val="24"/>
        </w:rPr>
        <w:t>Parcajele supraterane pot fi:</w:t>
      </w:r>
    </w:p>
    <w:p w14:paraId="7D803415" w14:textId="77777777" w:rsidR="001C08A5" w:rsidRDefault="00000000">
      <w:pPr>
        <w:tabs>
          <w:tab w:val="left" w:pos="426"/>
          <w:tab w:val="left" w:pos="993"/>
        </w:tabs>
        <w:ind w:left="720" w:firstLine="720"/>
        <w:jc w:val="both"/>
        <w:rPr>
          <w:bCs/>
          <w:i/>
          <w:iCs/>
          <w:sz w:val="24"/>
          <w:szCs w:val="24"/>
          <w:lang w:eastAsia="ro-RO"/>
        </w:rPr>
      </w:pPr>
      <w:r>
        <w:rPr>
          <w:b/>
          <w:bCs/>
          <w:i/>
          <w:iCs/>
          <w:sz w:val="24"/>
          <w:szCs w:val="24"/>
        </w:rPr>
        <w:t xml:space="preserve">Parcaj deschis suprateran </w:t>
      </w:r>
      <w:r>
        <w:rPr>
          <w:bCs/>
          <w:i/>
          <w:iCs/>
          <w:sz w:val="24"/>
          <w:szCs w:val="24"/>
        </w:rPr>
        <w:t xml:space="preserve">- construcţie deschisă care are goluri permanent deschise pe cel puțin </w:t>
      </w:r>
      <w:r>
        <w:rPr>
          <w:b/>
          <w:i/>
          <w:iCs/>
          <w:sz w:val="24"/>
          <w:szCs w:val="24"/>
        </w:rPr>
        <w:t>50%</w:t>
      </w:r>
      <w:r>
        <w:rPr>
          <w:bCs/>
          <w:i/>
          <w:iCs/>
          <w:sz w:val="24"/>
          <w:szCs w:val="24"/>
        </w:rPr>
        <w:t xml:space="preserve"> din suprafața pereților exteriori destinată adăpostirii autovehiculelor şi remorcilor acestora (în care nu se efectuează lucrări de reparaţii). </w:t>
      </w:r>
    </w:p>
    <w:p w14:paraId="3A5AF753" w14:textId="77777777" w:rsidR="001C08A5" w:rsidRDefault="00000000">
      <w:pPr>
        <w:widowControl w:val="0"/>
        <w:tabs>
          <w:tab w:val="left" w:pos="426"/>
          <w:tab w:val="left" w:pos="567"/>
          <w:tab w:val="left" w:pos="993"/>
        </w:tabs>
        <w:jc w:val="both"/>
        <w:rPr>
          <w:bCs/>
          <w:i/>
          <w:sz w:val="24"/>
          <w:szCs w:val="24"/>
          <w:lang w:eastAsia="ro-RO"/>
        </w:rPr>
      </w:pPr>
      <w:r>
        <w:rPr>
          <w:i/>
          <w:sz w:val="24"/>
        </w:rPr>
        <w:t xml:space="preserve">La parcajele deschise supraterane golurile de evacuare a fumului şi a gazelor fierbinţi  dispuse în pereții exteriori se iau în considerare numai pentru adâncimea de maximum </w:t>
      </w:r>
      <w:r>
        <w:rPr>
          <w:b/>
          <w:bCs/>
          <w:i/>
          <w:sz w:val="24"/>
        </w:rPr>
        <w:t>30 m</w:t>
      </w:r>
      <w:r>
        <w:rPr>
          <w:i/>
          <w:sz w:val="24"/>
        </w:rPr>
        <w:t xml:space="preserve">, situație în care se consideră că au asigurate condițiile pentru evacuarea fumului și gazelor fierbinți. Dacă golurile de evacuare a fumului dispuse în pereții exteriori nu îndeplinesc cerința menționată mai sus atunci este necesară evacuarea fumului și gazelor fierbinți din parcajele deschise supraterane potrivit prevederilor normativului </w:t>
      </w:r>
      <w:r>
        <w:rPr>
          <w:b/>
          <w:i/>
          <w:sz w:val="24"/>
        </w:rPr>
        <w:t>NP 127</w:t>
      </w:r>
      <w:r>
        <w:rPr>
          <w:bCs/>
          <w:i/>
          <w:sz w:val="24"/>
        </w:rPr>
        <w:t>.</w:t>
      </w:r>
    </w:p>
    <w:p w14:paraId="4ECF01FE" w14:textId="77777777" w:rsidR="001C08A5" w:rsidRDefault="00000000">
      <w:pPr>
        <w:widowControl w:val="0"/>
        <w:tabs>
          <w:tab w:val="left" w:pos="426"/>
          <w:tab w:val="left" w:pos="567"/>
          <w:tab w:val="left" w:pos="993"/>
        </w:tabs>
        <w:ind w:left="720" w:firstLine="720"/>
        <w:jc w:val="both"/>
        <w:rPr>
          <w:bCs/>
          <w:i/>
          <w:iCs/>
          <w:sz w:val="24"/>
          <w:szCs w:val="24"/>
          <w:lang w:eastAsia="ro-RO"/>
        </w:rPr>
      </w:pPr>
      <w:r>
        <w:rPr>
          <w:b/>
          <w:bCs/>
          <w:i/>
          <w:iCs/>
          <w:sz w:val="24"/>
          <w:szCs w:val="24"/>
        </w:rPr>
        <w:t>Parcaj suprateran puternic ventilat natural</w:t>
      </w:r>
      <w:r>
        <w:rPr>
          <w:bCs/>
          <w:i/>
          <w:iCs/>
          <w:sz w:val="24"/>
          <w:szCs w:val="24"/>
          <w:lang w:eastAsia="ro-RO"/>
        </w:rPr>
        <w:t xml:space="preserve"> – categorie distinctă a parcajelor deschise supraterane </w:t>
      </w:r>
      <w:r>
        <w:rPr>
          <w:bCs/>
          <w:i/>
          <w:sz w:val="24"/>
          <w:szCs w:val="24"/>
        </w:rPr>
        <w:t xml:space="preserve">cu unul sau mai multe niveluri libere perimetral (deschise spre exterior) şi care îndeplineşte simultan condiţiile prevăzute la </w:t>
      </w:r>
      <w:r>
        <w:rPr>
          <w:b/>
          <w:i/>
          <w:sz w:val="24"/>
          <w:szCs w:val="24"/>
        </w:rPr>
        <w:t>Art. 1.2.1</w:t>
      </w:r>
      <w:r>
        <w:rPr>
          <w:bCs/>
          <w:i/>
          <w:sz w:val="24"/>
          <w:szCs w:val="24"/>
        </w:rPr>
        <w:t xml:space="preserve"> din normativ, definiția nr. </w:t>
      </w:r>
      <w:r>
        <w:rPr>
          <w:b/>
          <w:i/>
          <w:sz w:val="24"/>
          <w:szCs w:val="24"/>
        </w:rPr>
        <w:t>57</w:t>
      </w:r>
      <w:r>
        <w:rPr>
          <w:bCs/>
          <w:i/>
          <w:sz w:val="24"/>
          <w:szCs w:val="24"/>
        </w:rPr>
        <w:t>), astfel</w:t>
      </w:r>
      <w:r>
        <w:rPr>
          <w:bCs/>
          <w:i/>
          <w:iCs/>
          <w:sz w:val="24"/>
          <w:szCs w:val="24"/>
          <w:lang w:eastAsia="ro-RO"/>
        </w:rPr>
        <w:t xml:space="preserve">: </w:t>
      </w:r>
    </w:p>
    <w:p w14:paraId="768C5B1E" w14:textId="77777777" w:rsidR="001C08A5" w:rsidRDefault="00000000">
      <w:pPr>
        <w:widowControl w:val="0"/>
        <w:numPr>
          <w:ilvl w:val="5"/>
          <w:numId w:val="10"/>
        </w:numPr>
        <w:jc w:val="both"/>
        <w:rPr>
          <w:bCs/>
          <w:i/>
          <w:iCs/>
          <w:sz w:val="24"/>
          <w:szCs w:val="24"/>
          <w:lang w:eastAsia="ro-RO"/>
        </w:rPr>
      </w:pPr>
      <w:r>
        <w:rPr>
          <w:bCs/>
          <w:i/>
          <w:iCs/>
          <w:sz w:val="24"/>
          <w:szCs w:val="24"/>
          <w:lang w:eastAsia="ro-RO"/>
        </w:rPr>
        <w:t xml:space="preserve">- pe fiecare nivel de parcare, suprafeţele libere din pereţii laterali deschişi spre exterior sunt amplasate pe cel puţin două faţade opuse şi fiecare reprezintă minimum </w:t>
      </w:r>
      <w:r>
        <w:rPr>
          <w:b/>
          <w:i/>
          <w:iCs/>
          <w:sz w:val="24"/>
          <w:szCs w:val="24"/>
          <w:lang w:eastAsia="ro-RO"/>
        </w:rPr>
        <w:t>50%</w:t>
      </w:r>
      <w:r>
        <w:rPr>
          <w:bCs/>
          <w:i/>
          <w:iCs/>
          <w:sz w:val="24"/>
          <w:szCs w:val="24"/>
          <w:lang w:eastAsia="ro-RO"/>
        </w:rPr>
        <w:t xml:space="preserve"> din suprafaţa totală a faţadei deschise, înălţimea luată în considerare fiind distanţa liberă dintre pardoseala finită şi plafon;</w:t>
      </w:r>
    </w:p>
    <w:p w14:paraId="019072AE" w14:textId="77777777" w:rsidR="001C08A5" w:rsidRDefault="00000000">
      <w:pPr>
        <w:widowControl w:val="0"/>
        <w:numPr>
          <w:ilvl w:val="5"/>
          <w:numId w:val="10"/>
        </w:numPr>
        <w:jc w:val="both"/>
        <w:rPr>
          <w:bCs/>
          <w:i/>
          <w:iCs/>
          <w:sz w:val="24"/>
          <w:szCs w:val="24"/>
          <w:lang w:eastAsia="ro-RO"/>
        </w:rPr>
      </w:pPr>
      <w:r>
        <w:rPr>
          <w:bCs/>
          <w:i/>
          <w:iCs/>
          <w:sz w:val="24"/>
          <w:szCs w:val="24"/>
          <w:lang w:eastAsia="ro-RO"/>
        </w:rPr>
        <w:t xml:space="preserve">- distanţa dintre faţadele libere opuse, deschise spre exterior, este de cel mult </w:t>
      </w:r>
      <w:r>
        <w:rPr>
          <w:b/>
          <w:i/>
          <w:iCs/>
          <w:sz w:val="24"/>
          <w:szCs w:val="24"/>
          <w:lang w:eastAsia="ro-RO"/>
        </w:rPr>
        <w:t>75,00 m</w:t>
      </w:r>
      <w:r>
        <w:rPr>
          <w:bCs/>
          <w:i/>
          <w:iCs/>
          <w:sz w:val="24"/>
          <w:szCs w:val="24"/>
          <w:lang w:eastAsia="ro-RO"/>
        </w:rPr>
        <w:t xml:space="preserve">; </w:t>
      </w:r>
    </w:p>
    <w:p w14:paraId="1D8C3C87" w14:textId="77777777" w:rsidR="001C08A5" w:rsidRDefault="00000000">
      <w:pPr>
        <w:widowControl w:val="0"/>
        <w:numPr>
          <w:ilvl w:val="5"/>
          <w:numId w:val="10"/>
        </w:numPr>
        <w:jc w:val="both"/>
        <w:rPr>
          <w:bCs/>
          <w:i/>
          <w:iCs/>
          <w:sz w:val="24"/>
          <w:szCs w:val="24"/>
          <w:lang w:eastAsia="ro-RO"/>
        </w:rPr>
      </w:pPr>
      <w:r>
        <w:rPr>
          <w:bCs/>
          <w:i/>
          <w:iCs/>
          <w:sz w:val="24"/>
          <w:szCs w:val="24"/>
          <w:lang w:eastAsia="ro-RO"/>
        </w:rPr>
        <w:t xml:space="preserve">- suprafeţele libere perimetrale, deschise spre exterior, la fiecare nivel de parcare reprezintă </w:t>
      </w:r>
      <w:r>
        <w:rPr>
          <w:bCs/>
          <w:i/>
          <w:iCs/>
          <w:sz w:val="24"/>
          <w:szCs w:val="24"/>
          <w:lang w:val="en-US" w:eastAsia="ro-RO"/>
        </w:rPr>
        <w:t>procentul normat</w:t>
      </w:r>
      <w:r>
        <w:rPr>
          <w:bCs/>
          <w:i/>
          <w:iCs/>
          <w:sz w:val="24"/>
          <w:szCs w:val="24"/>
          <w:lang w:eastAsia="ro-RO"/>
        </w:rPr>
        <w:t xml:space="preserve"> din aria utilă a spaţiului de parcare a nivelului respectiv; nu se iau în considerare suprafeţele spaţiilor închise destinate circulaţiilor pietonale orizontale şi verticale precum și al spaţiilor cu alte destinaţii</w:t>
      </w:r>
      <w:r>
        <w:rPr>
          <w:bCs/>
          <w:i/>
          <w:iCs/>
          <w:sz w:val="24"/>
          <w:szCs w:val="24"/>
          <w:lang w:val="en-US" w:eastAsia="ro-RO"/>
        </w:rPr>
        <w:t xml:space="preserve"> (</w:t>
      </w:r>
      <w:r>
        <w:rPr>
          <w:i/>
          <w:sz w:val="24"/>
          <w:szCs w:val="24"/>
        </w:rPr>
        <w:t>anexelor funcţionale, activităţilor conexe, etc.</w:t>
      </w:r>
      <w:r>
        <w:rPr>
          <w:bCs/>
          <w:i/>
          <w:iCs/>
          <w:sz w:val="24"/>
          <w:szCs w:val="24"/>
          <w:lang w:val="en-US" w:eastAsia="ro-RO"/>
        </w:rPr>
        <w:t>)</w:t>
      </w:r>
      <w:r>
        <w:rPr>
          <w:bCs/>
          <w:i/>
          <w:iCs/>
          <w:sz w:val="24"/>
          <w:szCs w:val="24"/>
          <w:lang w:eastAsia="ro-RO"/>
        </w:rPr>
        <w:t>;</w:t>
      </w:r>
    </w:p>
    <w:p w14:paraId="27FACD2E" w14:textId="77777777" w:rsidR="001C08A5" w:rsidRDefault="00000000">
      <w:pPr>
        <w:numPr>
          <w:ilvl w:val="255"/>
          <w:numId w:val="0"/>
        </w:numPr>
        <w:tabs>
          <w:tab w:val="left" w:pos="426"/>
          <w:tab w:val="left" w:pos="993"/>
        </w:tabs>
        <w:jc w:val="both"/>
        <w:rPr>
          <w:bCs/>
          <w:sz w:val="24"/>
          <w:szCs w:val="24"/>
        </w:rPr>
      </w:pPr>
      <w:r>
        <w:rPr>
          <w:bCs/>
          <w:i/>
          <w:sz w:val="24"/>
          <w:szCs w:val="24"/>
        </w:rPr>
        <w:t xml:space="preserve">- Suma suprafeţelor totale ale golurilor deschise </w:t>
      </w:r>
      <w:r>
        <w:rPr>
          <w:b/>
          <w:i/>
          <w:sz w:val="24"/>
          <w:szCs w:val="24"/>
        </w:rPr>
        <w:t xml:space="preserve">≥ </w:t>
      </w:r>
      <w:r>
        <w:rPr>
          <w:bCs/>
          <w:i/>
          <w:sz w:val="24"/>
          <w:szCs w:val="24"/>
        </w:rPr>
        <w:t>procentul normat din Arie planşeu nivel de parcare.</w:t>
      </w:r>
    </w:p>
    <w:p w14:paraId="5B9E1D49" w14:textId="77777777" w:rsidR="001C08A5" w:rsidRDefault="00000000">
      <w:pPr>
        <w:numPr>
          <w:ilvl w:val="255"/>
          <w:numId w:val="0"/>
        </w:numPr>
        <w:tabs>
          <w:tab w:val="left" w:pos="426"/>
          <w:tab w:val="left" w:pos="993"/>
        </w:tabs>
        <w:jc w:val="both"/>
        <w:rPr>
          <w:bCs/>
          <w:sz w:val="24"/>
          <w:szCs w:val="24"/>
        </w:rPr>
      </w:pPr>
      <w:r>
        <w:rPr>
          <w:bCs/>
          <w:i/>
          <w:sz w:val="24"/>
          <w:szCs w:val="24"/>
        </w:rPr>
        <w:t>- Arie planşeu nivel de parcare *</w:t>
      </w:r>
    </w:p>
    <w:p w14:paraId="5BD66B39" w14:textId="77777777" w:rsidR="001C08A5" w:rsidRDefault="00000000">
      <w:pPr>
        <w:ind w:left="2160" w:firstLine="720"/>
        <w:jc w:val="both"/>
        <w:rPr>
          <w:i/>
          <w:sz w:val="24"/>
          <w:szCs w:val="24"/>
        </w:rPr>
      </w:pPr>
      <w:r>
        <w:rPr>
          <w:i/>
          <w:sz w:val="24"/>
          <w:szCs w:val="24"/>
        </w:rPr>
        <w:t>* - nu se iau în considerare ariile spaţiilor închise destinate circulaţiilor pietonale orizontale şi verticale, anexelor funcţionale, activităţilor conexe;</w:t>
      </w:r>
    </w:p>
    <w:p w14:paraId="4BDC48DE" w14:textId="77777777" w:rsidR="001C08A5" w:rsidRDefault="00000000">
      <w:pPr>
        <w:numPr>
          <w:ilvl w:val="255"/>
          <w:numId w:val="0"/>
        </w:numPr>
        <w:ind w:left="2160" w:firstLine="720"/>
        <w:jc w:val="both"/>
        <w:rPr>
          <w:i/>
          <w:sz w:val="24"/>
          <w:szCs w:val="24"/>
        </w:rPr>
      </w:pPr>
      <w:r>
        <w:rPr>
          <w:i/>
          <w:sz w:val="24"/>
          <w:szCs w:val="24"/>
        </w:rPr>
        <w:t>- nu se iau în considerare ariile elementelor de construcţie portante (stâlpi, diafragme) şi neportante (închideri perimetrale, pereţi compartimentare).</w:t>
      </w:r>
    </w:p>
    <w:p w14:paraId="5CE43A59" w14:textId="77777777" w:rsidR="001C08A5" w:rsidRDefault="00000000">
      <w:pPr>
        <w:numPr>
          <w:ilvl w:val="255"/>
          <w:numId w:val="0"/>
        </w:numPr>
        <w:tabs>
          <w:tab w:val="left" w:pos="426"/>
          <w:tab w:val="left" w:pos="993"/>
        </w:tabs>
        <w:jc w:val="both"/>
        <w:rPr>
          <w:bCs/>
          <w:sz w:val="24"/>
          <w:szCs w:val="24"/>
        </w:rPr>
      </w:pPr>
      <w:r>
        <w:rPr>
          <w:bCs/>
          <w:i/>
          <w:sz w:val="24"/>
          <w:szCs w:val="24"/>
        </w:rPr>
        <w:t xml:space="preserve">- Arie spaţiu exterior deschis (sau curte de lumină) </w:t>
      </w:r>
      <w:r>
        <w:rPr>
          <w:b/>
          <w:i/>
          <w:sz w:val="24"/>
          <w:szCs w:val="24"/>
        </w:rPr>
        <w:t>&gt;</w:t>
      </w:r>
      <w:r>
        <w:rPr>
          <w:bCs/>
          <w:i/>
          <w:sz w:val="24"/>
          <w:szCs w:val="24"/>
        </w:rPr>
        <w:t xml:space="preserve"> Suma suprafeţelor verticale deschise</w:t>
      </w:r>
    </w:p>
    <w:p w14:paraId="3A9F5009" w14:textId="77777777" w:rsidR="001C08A5" w:rsidRDefault="00000000">
      <w:pPr>
        <w:numPr>
          <w:ilvl w:val="255"/>
          <w:numId w:val="0"/>
        </w:numPr>
        <w:tabs>
          <w:tab w:val="left" w:pos="426"/>
          <w:tab w:val="left" w:pos="993"/>
        </w:tabs>
        <w:jc w:val="both"/>
        <w:rPr>
          <w:bCs/>
          <w:sz w:val="24"/>
          <w:szCs w:val="24"/>
        </w:rPr>
      </w:pPr>
      <w:r>
        <w:rPr>
          <w:bCs/>
          <w:i/>
          <w:sz w:val="24"/>
          <w:szCs w:val="24"/>
        </w:rPr>
        <w:t>- Ariile spaţiilor exterioare (sau a curţilor lumină sunt mai mari sau cel puţin egale cu suma suprafeţelor deschiderilor din pereţii exteriori).</w:t>
      </w:r>
    </w:p>
    <w:p w14:paraId="0CCE2BBC" w14:textId="77777777" w:rsidR="001C08A5" w:rsidRDefault="00000000">
      <w:pPr>
        <w:widowControl w:val="0"/>
        <w:numPr>
          <w:ilvl w:val="255"/>
          <w:numId w:val="0"/>
        </w:numPr>
        <w:tabs>
          <w:tab w:val="left" w:pos="426"/>
          <w:tab w:val="left" w:pos="993"/>
        </w:tabs>
        <w:jc w:val="both"/>
        <w:rPr>
          <w:bCs/>
          <w:i/>
          <w:sz w:val="24"/>
          <w:szCs w:val="24"/>
          <w:lang w:eastAsia="ro-RO"/>
        </w:rPr>
      </w:pPr>
      <w:r>
        <w:rPr>
          <w:bCs/>
          <w:i/>
          <w:sz w:val="24"/>
          <w:szCs w:val="24"/>
        </w:rPr>
        <w:t xml:space="preserve">- Suma suprafeţelor deschise din pereţii exteriori </w:t>
      </w:r>
      <w:r>
        <w:rPr>
          <w:b/>
          <w:i/>
          <w:sz w:val="24"/>
          <w:szCs w:val="24"/>
        </w:rPr>
        <w:t>≥ 50%</w:t>
      </w:r>
      <w:r>
        <w:rPr>
          <w:bCs/>
          <w:i/>
          <w:sz w:val="24"/>
          <w:szCs w:val="24"/>
        </w:rPr>
        <w:t xml:space="preserve"> din suprafaţa totala a faţadei deschise (</w:t>
      </w:r>
      <w:r>
        <w:rPr>
          <w:b/>
          <w:i/>
          <w:sz w:val="24"/>
          <w:szCs w:val="24"/>
        </w:rPr>
        <w:t>hx x d1 + hx x d2 + hx x d2 + hx x d2</w:t>
      </w:r>
      <w:r>
        <w:rPr>
          <w:bCs/>
          <w:i/>
          <w:sz w:val="24"/>
          <w:szCs w:val="24"/>
        </w:rPr>
        <w:t xml:space="preserve"> ... etc.). </w:t>
      </w:r>
    </w:p>
    <w:p w14:paraId="5C708331" w14:textId="77777777" w:rsidR="001C08A5" w:rsidRDefault="00000000">
      <w:pPr>
        <w:widowControl w:val="0"/>
        <w:numPr>
          <w:ilvl w:val="255"/>
          <w:numId w:val="0"/>
        </w:numPr>
        <w:jc w:val="both"/>
        <w:rPr>
          <w:b/>
          <w:bCs/>
          <w:i/>
          <w:iCs/>
          <w:sz w:val="24"/>
          <w:szCs w:val="24"/>
        </w:rPr>
      </w:pPr>
      <w:r>
        <w:rPr>
          <w:bCs/>
          <w:i/>
          <w:iCs/>
          <w:sz w:val="24"/>
          <w:szCs w:val="24"/>
          <w:lang w:eastAsia="ro-RO"/>
        </w:rPr>
        <w:t>- spaţiul exterior deschis are aria orizontală cel puţin egală cu suma suprafeţelor libere adiacente perimetrale.</w:t>
      </w:r>
      <w:r>
        <w:rPr>
          <w:i/>
          <w:iCs/>
          <w:sz w:val="24"/>
          <w:szCs w:val="24"/>
        </w:rPr>
        <w:t xml:space="preserve"> Parcajele supraterane puternic ventilate natural se consideră că au asigurată evacuarea fumului și gazelor fierbinți.</w:t>
      </w:r>
    </w:p>
    <w:p w14:paraId="6365DBF8" w14:textId="77777777" w:rsidR="001C08A5" w:rsidRDefault="00000000">
      <w:pPr>
        <w:jc w:val="center"/>
        <w:rPr>
          <w:i/>
          <w:sz w:val="24"/>
          <w:szCs w:val="24"/>
        </w:rPr>
      </w:pPr>
      <w:r>
        <w:rPr>
          <w:noProof/>
        </w:rPr>
        <w:lastRenderedPageBreak/>
        <w:drawing>
          <wp:inline distT="0" distB="0" distL="114300" distR="114300" wp14:anchorId="79D31F12" wp14:editId="335BFAB0">
            <wp:extent cx="6057900" cy="4116705"/>
            <wp:effectExtent l="0" t="0" r="0" b="17145"/>
            <wp:docPr id="1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39"/>
                    <pic:cNvPicPr>
                      <a:picLocks noChangeAspect="1"/>
                    </pic:cNvPicPr>
                  </pic:nvPicPr>
                  <pic:blipFill>
                    <a:blip r:embed="rId475"/>
                    <a:srcRect l="12417" t="18711" r="7327" b="5429"/>
                    <a:stretch>
                      <a:fillRect/>
                    </a:stretch>
                  </pic:blipFill>
                  <pic:spPr>
                    <a:xfrm>
                      <a:off x="0" y="0"/>
                      <a:ext cx="6057900" cy="4116705"/>
                    </a:xfrm>
                    <a:prstGeom prst="rect">
                      <a:avLst/>
                    </a:prstGeom>
                    <a:noFill/>
                    <a:ln>
                      <a:noFill/>
                    </a:ln>
                  </pic:spPr>
                </pic:pic>
              </a:graphicData>
            </a:graphic>
          </wp:inline>
        </w:drawing>
      </w:r>
    </w:p>
    <w:p w14:paraId="55B4ABE2" w14:textId="77777777" w:rsidR="001C08A5" w:rsidRDefault="00000000">
      <w:pPr>
        <w:jc w:val="center"/>
        <w:rPr>
          <w:b/>
          <w:bCs/>
          <w:i/>
          <w:sz w:val="24"/>
          <w:szCs w:val="24"/>
        </w:rPr>
      </w:pPr>
      <w:r>
        <w:rPr>
          <w:b/>
          <w:bCs/>
          <w:i/>
          <w:sz w:val="24"/>
          <w:szCs w:val="24"/>
        </w:rPr>
        <w:t>Plan 1-1'</w:t>
      </w:r>
    </w:p>
    <w:p w14:paraId="0F32E16F" w14:textId="77777777" w:rsidR="001C08A5" w:rsidRDefault="00000000">
      <w:pPr>
        <w:jc w:val="center"/>
        <w:rPr>
          <w:i/>
          <w:sz w:val="24"/>
          <w:szCs w:val="24"/>
        </w:rPr>
      </w:pPr>
      <w:r>
        <w:rPr>
          <w:noProof/>
        </w:rPr>
        <w:drawing>
          <wp:inline distT="0" distB="0" distL="114300" distR="114300" wp14:anchorId="6AAD033B" wp14:editId="0A61F1B6">
            <wp:extent cx="6057900" cy="3340735"/>
            <wp:effectExtent l="0" t="0" r="0" b="12065"/>
            <wp:docPr id="1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38"/>
                    <pic:cNvPicPr>
                      <a:picLocks noChangeAspect="1"/>
                    </pic:cNvPicPr>
                  </pic:nvPicPr>
                  <pic:blipFill>
                    <a:blip r:embed="rId476"/>
                    <a:srcRect l="12417" t="18535" r="7327" b="19904"/>
                    <a:stretch>
                      <a:fillRect/>
                    </a:stretch>
                  </pic:blipFill>
                  <pic:spPr>
                    <a:xfrm>
                      <a:off x="0" y="0"/>
                      <a:ext cx="6057900" cy="3340735"/>
                    </a:xfrm>
                    <a:prstGeom prst="rect">
                      <a:avLst/>
                    </a:prstGeom>
                    <a:noFill/>
                    <a:ln>
                      <a:noFill/>
                    </a:ln>
                  </pic:spPr>
                </pic:pic>
              </a:graphicData>
            </a:graphic>
          </wp:inline>
        </w:drawing>
      </w:r>
    </w:p>
    <w:p w14:paraId="2DFF1B1E" w14:textId="77777777" w:rsidR="001C08A5" w:rsidRDefault="00000000">
      <w:pPr>
        <w:jc w:val="center"/>
        <w:rPr>
          <w:i/>
          <w:sz w:val="24"/>
          <w:szCs w:val="24"/>
        </w:rPr>
      </w:pPr>
      <w:r>
        <w:rPr>
          <w:b/>
          <w:bCs/>
          <w:i/>
          <w:sz w:val="24"/>
          <w:szCs w:val="24"/>
        </w:rPr>
        <w:t xml:space="preserve">Plan 2-2' </w:t>
      </w:r>
    </w:p>
    <w:p w14:paraId="2EC025CA" w14:textId="77777777" w:rsidR="001C08A5" w:rsidRDefault="00000000">
      <w:pPr>
        <w:jc w:val="center"/>
        <w:rPr>
          <w:i/>
          <w:sz w:val="24"/>
          <w:szCs w:val="24"/>
        </w:rPr>
      </w:pPr>
      <w:r>
        <w:rPr>
          <w:i/>
          <w:noProof/>
          <w:sz w:val="24"/>
          <w:szCs w:val="24"/>
          <w:lang w:eastAsia="ro-RO"/>
        </w:rPr>
        <w:drawing>
          <wp:inline distT="0" distB="0" distL="114300" distR="114300" wp14:anchorId="6A828F95" wp14:editId="2DCB375F">
            <wp:extent cx="6052185" cy="1522095"/>
            <wp:effectExtent l="0" t="0" r="5715" b="1905"/>
            <wp:docPr id="5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14"/>
                    <pic:cNvPicPr>
                      <a:picLocks noChangeAspect="1"/>
                    </pic:cNvPicPr>
                  </pic:nvPicPr>
                  <pic:blipFill>
                    <a:blip r:embed="rId477"/>
                    <a:srcRect l="12595" t="16812" r="7326" b="11097"/>
                    <a:stretch>
                      <a:fillRect/>
                    </a:stretch>
                  </pic:blipFill>
                  <pic:spPr>
                    <a:xfrm>
                      <a:off x="0" y="0"/>
                      <a:ext cx="6052185" cy="1522095"/>
                    </a:xfrm>
                    <a:prstGeom prst="rect">
                      <a:avLst/>
                    </a:prstGeom>
                    <a:noFill/>
                    <a:ln>
                      <a:noFill/>
                    </a:ln>
                  </pic:spPr>
                </pic:pic>
              </a:graphicData>
            </a:graphic>
          </wp:inline>
        </w:drawing>
      </w:r>
    </w:p>
    <w:p w14:paraId="1C7692B2" w14:textId="77777777" w:rsidR="001C08A5" w:rsidRDefault="00000000">
      <w:pPr>
        <w:jc w:val="center"/>
        <w:rPr>
          <w:i/>
          <w:sz w:val="24"/>
          <w:szCs w:val="24"/>
        </w:rPr>
      </w:pPr>
      <w:r>
        <w:rPr>
          <w:b/>
          <w:bCs/>
          <w:i/>
          <w:sz w:val="24"/>
          <w:szCs w:val="24"/>
        </w:rPr>
        <w:lastRenderedPageBreak/>
        <w:t xml:space="preserve">Secțiune B-B' </w:t>
      </w:r>
    </w:p>
    <w:p w14:paraId="0BE6881D" w14:textId="77777777" w:rsidR="001C08A5" w:rsidRDefault="00000000">
      <w:pPr>
        <w:jc w:val="center"/>
        <w:rPr>
          <w:i/>
          <w:sz w:val="24"/>
          <w:szCs w:val="24"/>
        </w:rPr>
      </w:pPr>
      <w:r>
        <w:rPr>
          <w:i/>
          <w:noProof/>
          <w:sz w:val="24"/>
          <w:szCs w:val="24"/>
          <w:lang w:eastAsia="ro-RO"/>
        </w:rPr>
        <w:drawing>
          <wp:inline distT="0" distB="0" distL="114300" distR="114300" wp14:anchorId="68181518" wp14:editId="7EEE34E6">
            <wp:extent cx="6072505" cy="2061845"/>
            <wp:effectExtent l="0" t="0" r="4445" b="14605"/>
            <wp:docPr id="5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15"/>
                    <pic:cNvPicPr>
                      <a:picLocks noChangeAspect="1"/>
                    </pic:cNvPicPr>
                  </pic:nvPicPr>
                  <pic:blipFill>
                    <a:blip r:embed="rId478"/>
                    <a:srcRect l="12383" t="8437" r="7222" b="4043"/>
                    <a:stretch>
                      <a:fillRect/>
                    </a:stretch>
                  </pic:blipFill>
                  <pic:spPr>
                    <a:xfrm>
                      <a:off x="0" y="0"/>
                      <a:ext cx="6072505" cy="2061845"/>
                    </a:xfrm>
                    <a:prstGeom prst="rect">
                      <a:avLst/>
                    </a:prstGeom>
                    <a:noFill/>
                    <a:ln>
                      <a:noFill/>
                    </a:ln>
                  </pic:spPr>
                </pic:pic>
              </a:graphicData>
            </a:graphic>
          </wp:inline>
        </w:drawing>
      </w:r>
    </w:p>
    <w:p w14:paraId="26008506" w14:textId="77777777" w:rsidR="001C08A5" w:rsidRDefault="00000000">
      <w:pPr>
        <w:jc w:val="center"/>
        <w:rPr>
          <w:b/>
          <w:bCs/>
          <w:i/>
          <w:sz w:val="24"/>
          <w:szCs w:val="24"/>
        </w:rPr>
      </w:pPr>
      <w:r>
        <w:rPr>
          <w:b/>
          <w:bCs/>
          <w:i/>
          <w:sz w:val="24"/>
          <w:szCs w:val="24"/>
        </w:rPr>
        <w:t xml:space="preserve">Secțiune A-A' </w:t>
      </w:r>
    </w:p>
    <w:p w14:paraId="7CFBEB67" w14:textId="77777777" w:rsidR="001C08A5" w:rsidRDefault="00000000">
      <w:pPr>
        <w:pStyle w:val="Caption"/>
        <w:jc w:val="center"/>
        <w:rPr>
          <w:bCs/>
        </w:rPr>
      </w:pPr>
      <w:bookmarkStart w:id="9325" w:name="_Toc142898623"/>
      <w:bookmarkStart w:id="9326" w:name="_Toc162360462"/>
      <w:r>
        <w:t xml:space="preserve">Figura </w:t>
      </w:r>
      <w:r>
        <w:fldChar w:fldCharType="begin"/>
      </w:r>
      <w:r>
        <w:instrText xml:space="preserve"> SEQ Figura \* ARABIC </w:instrText>
      </w:r>
      <w:r>
        <w:fldChar w:fldCharType="separate"/>
      </w:r>
      <w:r>
        <w:t>238</w:t>
      </w:r>
      <w:r>
        <w:fldChar w:fldCharType="end"/>
      </w:r>
      <w:bookmarkStart w:id="9327" w:name="_Toc362"/>
      <w:bookmarkStart w:id="9328" w:name="_Toc27226"/>
      <w:bookmarkStart w:id="9329" w:name="_Toc20410"/>
      <w:bookmarkStart w:id="9330" w:name="_Toc14395"/>
      <w:bookmarkStart w:id="9331" w:name="_Toc20554"/>
      <w:bookmarkStart w:id="9332" w:name="_Toc23339"/>
      <w:bookmarkStart w:id="9333" w:name="_Toc18770"/>
      <w:bookmarkStart w:id="9334" w:name="_Toc1360"/>
      <w:bookmarkStart w:id="9335" w:name="_Toc15181"/>
      <w:r>
        <w:t xml:space="preserve"> - </w:t>
      </w:r>
      <w:r>
        <w:rPr>
          <w:bCs/>
        </w:rPr>
        <w:t>Exemplu parcaj deschis</w:t>
      </w:r>
      <w:bookmarkEnd w:id="9325"/>
      <w:bookmarkEnd w:id="9326"/>
      <w:bookmarkEnd w:id="9327"/>
      <w:bookmarkEnd w:id="9328"/>
      <w:bookmarkEnd w:id="9329"/>
      <w:bookmarkEnd w:id="9330"/>
      <w:bookmarkEnd w:id="9331"/>
      <w:bookmarkEnd w:id="9332"/>
      <w:bookmarkEnd w:id="9333"/>
      <w:bookmarkEnd w:id="9334"/>
      <w:bookmarkEnd w:id="9335"/>
    </w:p>
    <w:p w14:paraId="6782BF68" w14:textId="77777777" w:rsidR="001C08A5" w:rsidRDefault="00000000">
      <w:pPr>
        <w:suppressLineNumbers/>
        <w:spacing w:before="120" w:after="120"/>
        <w:jc w:val="center"/>
        <w:rPr>
          <w:rFonts w:cs="Mangal"/>
          <w:b/>
          <w:i/>
          <w:iCs/>
          <w:sz w:val="24"/>
          <w:szCs w:val="24"/>
        </w:rPr>
      </w:pPr>
      <w:r>
        <w:rPr>
          <w:rFonts w:cs="Mangal"/>
          <w:b/>
          <w:i/>
          <w:iCs/>
          <w:noProof/>
          <w:sz w:val="24"/>
          <w:szCs w:val="24"/>
        </w:rPr>
        <w:drawing>
          <wp:inline distT="0" distB="0" distL="114300" distR="114300" wp14:anchorId="13704D13" wp14:editId="56498C92">
            <wp:extent cx="6029325" cy="2295525"/>
            <wp:effectExtent l="0" t="0" r="9525" b="9525"/>
            <wp:docPr id="1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36"/>
                    <pic:cNvPicPr>
                      <a:picLocks noChangeAspect="1"/>
                    </pic:cNvPicPr>
                  </pic:nvPicPr>
                  <pic:blipFill>
                    <a:blip r:embed="rId479"/>
                    <a:srcRect l="12669" t="2457" r="7454" b="55242"/>
                    <a:stretch>
                      <a:fillRect/>
                    </a:stretch>
                  </pic:blipFill>
                  <pic:spPr>
                    <a:xfrm>
                      <a:off x="0" y="0"/>
                      <a:ext cx="6029325" cy="2295525"/>
                    </a:xfrm>
                    <a:prstGeom prst="rect">
                      <a:avLst/>
                    </a:prstGeom>
                    <a:noFill/>
                    <a:ln>
                      <a:noFill/>
                    </a:ln>
                  </pic:spPr>
                </pic:pic>
              </a:graphicData>
            </a:graphic>
          </wp:inline>
        </w:drawing>
      </w:r>
    </w:p>
    <w:p w14:paraId="1DF5F5B0" w14:textId="77777777" w:rsidR="001C08A5" w:rsidRDefault="00000000">
      <w:pPr>
        <w:pStyle w:val="Caption"/>
        <w:jc w:val="center"/>
        <w:rPr>
          <w:bCs/>
        </w:rPr>
      </w:pPr>
      <w:bookmarkStart w:id="9336" w:name="_Toc142898624"/>
      <w:bookmarkStart w:id="9337" w:name="_Toc162360463"/>
      <w:r>
        <w:t xml:space="preserve">Figura </w:t>
      </w:r>
      <w:r>
        <w:fldChar w:fldCharType="begin"/>
      </w:r>
      <w:r>
        <w:instrText xml:space="preserve"> SEQ Figura \* ARABIC </w:instrText>
      </w:r>
      <w:r>
        <w:fldChar w:fldCharType="separate"/>
      </w:r>
      <w:r>
        <w:t>239</w:t>
      </w:r>
      <w:r>
        <w:fldChar w:fldCharType="end"/>
      </w:r>
      <w:bookmarkStart w:id="9338" w:name="_Toc5672"/>
      <w:bookmarkStart w:id="9339" w:name="_Toc5631"/>
      <w:bookmarkStart w:id="9340" w:name="_Toc17913"/>
      <w:bookmarkStart w:id="9341" w:name="_Toc2165"/>
      <w:bookmarkStart w:id="9342" w:name="_Toc14915"/>
      <w:bookmarkStart w:id="9343" w:name="_Toc5898"/>
      <w:bookmarkStart w:id="9344" w:name="_Toc27592"/>
      <w:bookmarkStart w:id="9345" w:name="_Toc9839"/>
      <w:bookmarkStart w:id="9346" w:name="_Toc13889"/>
      <w:r>
        <w:t xml:space="preserve"> - </w:t>
      </w:r>
      <w:r>
        <w:rPr>
          <w:bCs/>
        </w:rPr>
        <w:t>Detalii aport aer parcaje deschise</w:t>
      </w:r>
      <w:bookmarkEnd w:id="9336"/>
      <w:bookmarkEnd w:id="9337"/>
      <w:bookmarkEnd w:id="9338"/>
      <w:bookmarkEnd w:id="9339"/>
      <w:bookmarkEnd w:id="9340"/>
      <w:bookmarkEnd w:id="9341"/>
      <w:bookmarkEnd w:id="9342"/>
      <w:bookmarkEnd w:id="9343"/>
      <w:bookmarkEnd w:id="9344"/>
      <w:bookmarkEnd w:id="9345"/>
      <w:bookmarkEnd w:id="9346"/>
    </w:p>
    <w:p w14:paraId="7FDF32E8" w14:textId="77777777" w:rsidR="001C08A5" w:rsidRDefault="00000000">
      <w:pPr>
        <w:pStyle w:val="Heading4"/>
        <w:rPr>
          <w:sz w:val="24"/>
          <w:szCs w:val="24"/>
        </w:rPr>
      </w:pPr>
      <w:bookmarkStart w:id="9347" w:name="_Toc2008"/>
      <w:bookmarkStart w:id="9348" w:name="_Toc16511"/>
      <w:bookmarkStart w:id="9349" w:name="_Toc15418"/>
      <w:bookmarkStart w:id="9350" w:name="_Toc162355481"/>
      <w:bookmarkStart w:id="9351" w:name="_Toc30333"/>
      <w:bookmarkStart w:id="9352" w:name="_Toc31628"/>
      <w:bookmarkStart w:id="9353" w:name="_Toc30149"/>
      <w:bookmarkStart w:id="9354" w:name="_Toc15670"/>
      <w:bookmarkStart w:id="9355" w:name="_Toc33"/>
      <w:bookmarkStart w:id="9356" w:name="_Toc18563"/>
      <w:bookmarkStart w:id="9357" w:name="_Toc26066"/>
      <w:bookmarkStart w:id="9358" w:name="_Toc17339"/>
      <w:bookmarkStart w:id="9359" w:name="_Toc30367"/>
      <w:bookmarkStart w:id="9360" w:name="_Toc1501"/>
      <w:bookmarkStart w:id="9361" w:name="_Toc29564"/>
      <w:bookmarkStart w:id="9362" w:name="_Toc11722"/>
      <w:bookmarkStart w:id="9363" w:name="_Toc4746"/>
      <w:r>
        <w:rPr>
          <w:sz w:val="24"/>
          <w:szCs w:val="24"/>
        </w:rPr>
        <w:t>Stații de încărcare mașini electrice</w:t>
      </w:r>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r>
        <w:rPr>
          <w:sz w:val="24"/>
          <w:szCs w:val="24"/>
        </w:rPr>
        <w:t xml:space="preserve"> </w:t>
      </w:r>
    </w:p>
    <w:p w14:paraId="30B0E38C" w14:textId="77777777" w:rsidR="001C08A5" w:rsidRDefault="001C08A5">
      <w:pPr>
        <w:rPr>
          <w:b/>
          <w:bCs/>
          <w:i/>
          <w:sz w:val="24"/>
          <w:szCs w:val="24"/>
        </w:rPr>
      </w:pPr>
    </w:p>
    <w:p w14:paraId="0D162FAE" w14:textId="77777777" w:rsidR="001C08A5" w:rsidRDefault="00000000">
      <w:pPr>
        <w:numPr>
          <w:ilvl w:val="0"/>
          <w:numId w:val="96"/>
        </w:numPr>
        <w:tabs>
          <w:tab w:val="left" w:pos="426"/>
          <w:tab w:val="left" w:pos="993"/>
        </w:tabs>
        <w:jc w:val="both"/>
        <w:rPr>
          <w:bCs/>
          <w:sz w:val="24"/>
          <w:szCs w:val="24"/>
        </w:rPr>
      </w:pPr>
      <w:r>
        <w:rPr>
          <w:bCs/>
          <w:i/>
          <w:sz w:val="24"/>
          <w:szCs w:val="24"/>
        </w:rPr>
        <w:t xml:space="preserve">De regulă este necesară prevederea de pereți/ partiții din planșeu în planșeu rezistenți la foc (cu aceeași rezistență la foc ca a structurii construcției parcajului) grupate pe pachete de cate maxim </w:t>
      </w:r>
      <w:r>
        <w:rPr>
          <w:b/>
          <w:i/>
          <w:sz w:val="24"/>
          <w:szCs w:val="24"/>
        </w:rPr>
        <w:t>3</w:t>
      </w:r>
      <w:r>
        <w:rPr>
          <w:bCs/>
          <w:i/>
          <w:sz w:val="24"/>
          <w:szCs w:val="24"/>
        </w:rPr>
        <w:t xml:space="preserve"> locuri de parcare, pe laturile lungi și scurte dintre locurile de parcare care conțin stații de încărcare mașini electrice (pentru parcarea la </w:t>
      </w:r>
      <w:r>
        <w:rPr>
          <w:b/>
          <w:i/>
          <w:sz w:val="24"/>
          <w:szCs w:val="24"/>
        </w:rPr>
        <w:t>45°</w:t>
      </w:r>
      <w:r>
        <w:rPr>
          <w:bCs/>
          <w:i/>
          <w:sz w:val="24"/>
          <w:szCs w:val="24"/>
        </w:rPr>
        <w:t xml:space="preserve">, </w:t>
      </w:r>
      <w:r>
        <w:rPr>
          <w:b/>
          <w:i/>
          <w:sz w:val="24"/>
          <w:szCs w:val="24"/>
        </w:rPr>
        <w:t>60°</w:t>
      </w:r>
      <w:r>
        <w:rPr>
          <w:bCs/>
          <w:i/>
          <w:sz w:val="24"/>
          <w:szCs w:val="24"/>
        </w:rPr>
        <w:t xml:space="preserve">, </w:t>
      </w:r>
      <w:r>
        <w:rPr>
          <w:b/>
          <w:i/>
          <w:sz w:val="24"/>
          <w:szCs w:val="24"/>
        </w:rPr>
        <w:t>75°</w:t>
      </w:r>
      <w:r>
        <w:rPr>
          <w:bCs/>
          <w:i/>
          <w:sz w:val="24"/>
          <w:szCs w:val="24"/>
        </w:rPr>
        <w:t xml:space="preserve"> sau </w:t>
      </w:r>
      <w:r>
        <w:rPr>
          <w:b/>
          <w:i/>
          <w:sz w:val="24"/>
          <w:szCs w:val="24"/>
        </w:rPr>
        <w:t>90°</w:t>
      </w:r>
      <w:r>
        <w:rPr>
          <w:bCs/>
          <w:i/>
          <w:sz w:val="24"/>
          <w:szCs w:val="24"/>
        </w:rPr>
        <w:t xml:space="preserve">). Dacă acest lucru nu este posibil, se vor prevedea mijloace alternative pentru limitarea propagării incendiului către autovehicule învecinate. Nu se recomandă poziționarea stațiilor de încărcare în sensul în care încărcarea se face în sens longitudinal cu calea de circulație. Se vor prevedea aceleași măsuri pentru stațiile de încărcare ale motocicletelor și bicicletelor, considerând dimensiunile de </w:t>
      </w:r>
      <w:r>
        <w:rPr>
          <w:b/>
          <w:i/>
          <w:sz w:val="24"/>
          <w:szCs w:val="24"/>
        </w:rPr>
        <w:t>1,00 m x 2,60 m</w:t>
      </w:r>
      <w:r>
        <w:rPr>
          <w:bCs/>
          <w:i/>
          <w:sz w:val="24"/>
          <w:szCs w:val="24"/>
        </w:rPr>
        <w:t xml:space="preserve"> (pentru parcarea la </w:t>
      </w:r>
      <w:r>
        <w:rPr>
          <w:b/>
          <w:i/>
          <w:sz w:val="24"/>
          <w:szCs w:val="24"/>
        </w:rPr>
        <w:t>90°</w:t>
      </w:r>
      <w:r>
        <w:rPr>
          <w:bCs/>
          <w:i/>
          <w:sz w:val="24"/>
          <w:szCs w:val="24"/>
        </w:rPr>
        <w:t>).</w:t>
      </w:r>
    </w:p>
    <w:p w14:paraId="272FD412" w14:textId="77777777" w:rsidR="001C08A5" w:rsidRDefault="00000000">
      <w:pPr>
        <w:numPr>
          <w:ilvl w:val="255"/>
          <w:numId w:val="0"/>
        </w:numPr>
        <w:tabs>
          <w:tab w:val="left" w:pos="426"/>
          <w:tab w:val="left" w:pos="993"/>
        </w:tabs>
        <w:jc w:val="center"/>
        <w:rPr>
          <w:bCs/>
          <w:i/>
          <w:sz w:val="24"/>
        </w:rPr>
      </w:pPr>
      <w:r>
        <w:rPr>
          <w:bCs/>
          <w:i/>
          <w:noProof/>
          <w:sz w:val="24"/>
        </w:rPr>
        <w:drawing>
          <wp:inline distT="0" distB="0" distL="114300" distR="114300" wp14:anchorId="5EA29F7E" wp14:editId="1FCD988A">
            <wp:extent cx="5962650" cy="1758950"/>
            <wp:effectExtent l="0" t="0" r="0" b="12700"/>
            <wp:docPr id="5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2"/>
                    <pic:cNvPicPr>
                      <a:picLocks noChangeAspect="1"/>
                    </pic:cNvPicPr>
                  </pic:nvPicPr>
                  <pic:blipFill>
                    <a:blip r:embed="rId480"/>
                    <a:srcRect l="12543" r="8463" b="67587"/>
                    <a:stretch>
                      <a:fillRect/>
                    </a:stretch>
                  </pic:blipFill>
                  <pic:spPr>
                    <a:xfrm>
                      <a:off x="0" y="0"/>
                      <a:ext cx="5962650" cy="1758950"/>
                    </a:xfrm>
                    <a:prstGeom prst="rect">
                      <a:avLst/>
                    </a:prstGeom>
                    <a:noFill/>
                    <a:ln>
                      <a:noFill/>
                    </a:ln>
                  </pic:spPr>
                </pic:pic>
              </a:graphicData>
            </a:graphic>
          </wp:inline>
        </w:drawing>
      </w:r>
    </w:p>
    <w:p w14:paraId="70E7704E" w14:textId="77777777" w:rsidR="001C08A5" w:rsidRDefault="00000000">
      <w:pPr>
        <w:numPr>
          <w:ilvl w:val="255"/>
          <w:numId w:val="0"/>
        </w:numPr>
        <w:tabs>
          <w:tab w:val="left" w:pos="426"/>
          <w:tab w:val="left" w:pos="993"/>
        </w:tabs>
        <w:jc w:val="center"/>
        <w:rPr>
          <w:bCs/>
          <w:i/>
          <w:sz w:val="24"/>
        </w:rPr>
      </w:pPr>
      <w:r>
        <w:rPr>
          <w:bCs/>
          <w:i/>
          <w:noProof/>
          <w:sz w:val="24"/>
        </w:rPr>
        <w:lastRenderedPageBreak/>
        <w:drawing>
          <wp:inline distT="0" distB="0" distL="114300" distR="114300" wp14:anchorId="2D61B1F6" wp14:editId="17F4FD51">
            <wp:extent cx="5962650" cy="1029970"/>
            <wp:effectExtent l="0" t="0" r="0" b="17780"/>
            <wp:docPr id="5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2"/>
                    <pic:cNvPicPr>
                      <a:picLocks noChangeAspect="1"/>
                    </pic:cNvPicPr>
                  </pic:nvPicPr>
                  <pic:blipFill>
                    <a:blip r:embed="rId480"/>
                    <a:srcRect l="12543" t="32939" r="8463" b="48081"/>
                    <a:stretch>
                      <a:fillRect/>
                    </a:stretch>
                  </pic:blipFill>
                  <pic:spPr>
                    <a:xfrm>
                      <a:off x="0" y="0"/>
                      <a:ext cx="5962650" cy="1029970"/>
                    </a:xfrm>
                    <a:prstGeom prst="rect">
                      <a:avLst/>
                    </a:prstGeom>
                    <a:noFill/>
                    <a:ln>
                      <a:noFill/>
                    </a:ln>
                  </pic:spPr>
                </pic:pic>
              </a:graphicData>
            </a:graphic>
          </wp:inline>
        </w:drawing>
      </w:r>
    </w:p>
    <w:p w14:paraId="79CC6242" w14:textId="77777777" w:rsidR="001C08A5" w:rsidRDefault="00000000">
      <w:pPr>
        <w:pStyle w:val="Caption"/>
        <w:jc w:val="center"/>
        <w:rPr>
          <w:rFonts w:cs="Times New Roman"/>
          <w:b w:val="0"/>
          <w:bCs/>
        </w:rPr>
      </w:pPr>
      <w:bookmarkStart w:id="9364" w:name="_Toc162360464"/>
      <w:r>
        <w:t xml:space="preserve">Figura </w:t>
      </w:r>
      <w:r>
        <w:fldChar w:fldCharType="begin"/>
      </w:r>
      <w:r>
        <w:instrText xml:space="preserve"> SEQ Figura \* ARABIC </w:instrText>
      </w:r>
      <w:r>
        <w:fldChar w:fldCharType="separate"/>
      </w:r>
      <w:r>
        <w:t>240</w:t>
      </w:r>
      <w:r>
        <w:fldChar w:fldCharType="end"/>
      </w:r>
      <w:bookmarkStart w:id="9365" w:name="_Toc3644"/>
      <w:bookmarkStart w:id="9366" w:name="_Toc24675"/>
      <w:bookmarkStart w:id="9367" w:name="_Toc28813"/>
      <w:bookmarkStart w:id="9368" w:name="_Toc12683"/>
      <w:bookmarkStart w:id="9369" w:name="_Toc26015"/>
      <w:bookmarkStart w:id="9370" w:name="_Toc24695"/>
      <w:bookmarkStart w:id="9371" w:name="_Toc10133"/>
      <w:bookmarkStart w:id="9372" w:name="_Toc24540"/>
      <w:bookmarkStart w:id="9373" w:name="_Toc28013"/>
      <w:r>
        <w:t xml:space="preserve"> - Parcarea la stații de încărcare cu  prevederea unor elemente de construcție (pereți) cu aceeași rezistență la foc ca a structurii</w:t>
      </w:r>
      <w:bookmarkEnd w:id="9364"/>
      <w:bookmarkEnd w:id="9365"/>
      <w:bookmarkEnd w:id="9366"/>
      <w:bookmarkEnd w:id="9367"/>
      <w:bookmarkEnd w:id="9368"/>
      <w:bookmarkEnd w:id="9369"/>
      <w:bookmarkEnd w:id="9370"/>
      <w:bookmarkEnd w:id="9371"/>
      <w:bookmarkEnd w:id="9372"/>
      <w:bookmarkEnd w:id="9373"/>
    </w:p>
    <w:p w14:paraId="30E27CFB" w14:textId="77777777" w:rsidR="001C08A5" w:rsidRDefault="00000000">
      <w:pPr>
        <w:numPr>
          <w:ilvl w:val="0"/>
          <w:numId w:val="96"/>
        </w:numPr>
        <w:tabs>
          <w:tab w:val="left" w:pos="426"/>
          <w:tab w:val="left" w:pos="993"/>
        </w:tabs>
        <w:jc w:val="both"/>
        <w:rPr>
          <w:bCs/>
          <w:sz w:val="24"/>
          <w:szCs w:val="24"/>
        </w:rPr>
      </w:pPr>
      <w:r>
        <w:rPr>
          <w:bCs/>
          <w:i/>
          <w:sz w:val="24"/>
          <w:szCs w:val="24"/>
        </w:rPr>
        <w:t xml:space="preserve">Poziționarea rigolelor de scurgere a apei meteorice nu vor întrerupe rezistența la foc a planșeelor. Conductele din mase plastice pentru canalizare se vor prevedea cu sisteme de obturare cu închidere automată, rezistente la foc minimum </w:t>
      </w:r>
      <w:r>
        <w:rPr>
          <w:b/>
          <w:i/>
          <w:sz w:val="24"/>
          <w:szCs w:val="24"/>
        </w:rPr>
        <w:t xml:space="preserve">EI </w:t>
      </w:r>
      <w:r>
        <w:rPr>
          <w:bCs/>
          <w:i/>
          <w:sz w:val="24"/>
          <w:szCs w:val="24"/>
        </w:rPr>
        <w:t xml:space="preserve">cu aceeași valoare cât rezistenţa la foc normată a planșeelor. Spaţiile libere în jurul tuturor conductelor, cablurilor, conductoarelor electrice (indiferent de dimensiunile acestora), etc., inclusiv cele montate în canale, se închid cu materiale având </w:t>
      </w:r>
      <w:r>
        <w:rPr>
          <w:bCs/>
          <w:i/>
          <w:sz w:val="24"/>
          <w:szCs w:val="24"/>
          <w:lang w:val="en-GB"/>
        </w:rPr>
        <w:t>aceea</w:t>
      </w:r>
      <w:r>
        <w:rPr>
          <w:bCs/>
          <w:i/>
          <w:sz w:val="24"/>
          <w:szCs w:val="24"/>
        </w:rPr>
        <w:t>şi</w:t>
      </w:r>
      <w:r>
        <w:rPr>
          <w:bCs/>
          <w:i/>
          <w:sz w:val="24"/>
          <w:szCs w:val="24"/>
          <w:lang w:val="en-GB"/>
        </w:rPr>
        <w:t xml:space="preserve"> </w:t>
      </w:r>
      <w:r>
        <w:rPr>
          <w:bCs/>
          <w:i/>
          <w:sz w:val="24"/>
          <w:szCs w:val="24"/>
        </w:rPr>
        <w:t>rezistenţa la foc</w:t>
      </w:r>
      <w:r>
        <w:rPr>
          <w:bCs/>
          <w:i/>
          <w:sz w:val="24"/>
          <w:szCs w:val="24"/>
          <w:lang w:val="en-GB"/>
        </w:rPr>
        <w:t xml:space="preserve"> cu a p</w:t>
      </w:r>
      <w:r>
        <w:rPr>
          <w:bCs/>
          <w:i/>
          <w:sz w:val="24"/>
          <w:szCs w:val="24"/>
        </w:rPr>
        <w:t>lanșeelor</w:t>
      </w:r>
      <w:r>
        <w:rPr>
          <w:bCs/>
          <w:i/>
          <w:sz w:val="24"/>
          <w:szCs w:val="24"/>
          <w:lang w:val="en-GB"/>
        </w:rPr>
        <w:t xml:space="preserve"> pe care </w:t>
      </w:r>
      <w:r>
        <w:rPr>
          <w:bCs/>
          <w:i/>
          <w:sz w:val="24"/>
          <w:szCs w:val="24"/>
        </w:rPr>
        <w:t>le</w:t>
      </w:r>
      <w:r>
        <w:rPr>
          <w:bCs/>
          <w:i/>
          <w:sz w:val="24"/>
          <w:szCs w:val="24"/>
          <w:lang w:val="en-GB"/>
        </w:rPr>
        <w:t xml:space="preserve"> intersecteaz</w:t>
      </w:r>
      <w:r>
        <w:rPr>
          <w:bCs/>
          <w:i/>
          <w:sz w:val="24"/>
          <w:szCs w:val="24"/>
        </w:rPr>
        <w:t xml:space="preserve">ă </w:t>
      </w:r>
      <w:r>
        <w:rPr>
          <w:bCs/>
          <w:i/>
          <w:sz w:val="24"/>
          <w:szCs w:val="24"/>
          <w:lang w:val="en-GB"/>
        </w:rPr>
        <w:t>(</w:t>
      </w:r>
      <w:r>
        <w:rPr>
          <w:bCs/>
          <w:i/>
          <w:sz w:val="24"/>
          <w:szCs w:val="24"/>
        </w:rPr>
        <w:t>rezistenţa la foc</w:t>
      </w:r>
      <w:r>
        <w:rPr>
          <w:bCs/>
          <w:i/>
          <w:sz w:val="24"/>
          <w:szCs w:val="24"/>
          <w:lang w:val="en-GB"/>
        </w:rPr>
        <w:t xml:space="preserve"> </w:t>
      </w:r>
      <w:r>
        <w:rPr>
          <w:bCs/>
          <w:i/>
          <w:sz w:val="24"/>
          <w:szCs w:val="24"/>
        </w:rPr>
        <w:t xml:space="preserve">a planșeelor minimum </w:t>
      </w:r>
      <w:r>
        <w:rPr>
          <w:bCs/>
          <w:i/>
          <w:sz w:val="24"/>
          <w:szCs w:val="24"/>
          <w:lang w:val="en-GB"/>
        </w:rPr>
        <w:t>prev</w:t>
      </w:r>
      <w:r>
        <w:rPr>
          <w:bCs/>
          <w:i/>
          <w:sz w:val="24"/>
          <w:szCs w:val="24"/>
        </w:rPr>
        <w:t>ă</w:t>
      </w:r>
      <w:r>
        <w:rPr>
          <w:bCs/>
          <w:i/>
          <w:sz w:val="24"/>
          <w:szCs w:val="24"/>
          <w:lang w:val="en-GB"/>
        </w:rPr>
        <w:t>zut</w:t>
      </w:r>
      <w:r>
        <w:rPr>
          <w:bCs/>
          <w:i/>
          <w:sz w:val="24"/>
          <w:szCs w:val="24"/>
        </w:rPr>
        <w:t>ă</w:t>
      </w:r>
      <w:r>
        <w:rPr>
          <w:bCs/>
          <w:i/>
          <w:sz w:val="24"/>
          <w:szCs w:val="24"/>
          <w:lang w:val="en-GB"/>
        </w:rPr>
        <w:t xml:space="preserve"> de</w:t>
      </w:r>
      <w:r>
        <w:rPr>
          <w:bCs/>
          <w:i/>
          <w:sz w:val="24"/>
          <w:szCs w:val="24"/>
        </w:rPr>
        <w:t xml:space="preserve"> </w:t>
      </w:r>
      <w:r>
        <w:rPr>
          <w:bCs/>
          <w:i/>
          <w:iCs/>
          <w:sz w:val="24"/>
          <w:szCs w:val="24"/>
        </w:rPr>
        <w:fldChar w:fldCharType="begin"/>
      </w:r>
      <w:r>
        <w:rPr>
          <w:bCs/>
          <w:i/>
          <w:iCs/>
          <w:sz w:val="24"/>
          <w:szCs w:val="24"/>
        </w:rPr>
        <w:instrText xml:space="preserve"> REF _Ref4440 \h </w:instrText>
      </w:r>
      <w:r>
        <w:rPr>
          <w:bCs/>
          <w:i/>
          <w:iCs/>
          <w:sz w:val="24"/>
          <w:szCs w:val="24"/>
        </w:rPr>
      </w:r>
      <w:r>
        <w:rPr>
          <w:bCs/>
          <w:i/>
          <w:iCs/>
          <w:sz w:val="24"/>
          <w:szCs w:val="24"/>
        </w:rPr>
        <w:fldChar w:fldCharType="separate"/>
      </w:r>
      <w:r>
        <w:t>Tabelul 2: Condiţii minime pentru încadrarea construcţiei sau a compartimentului de incendiu în niveluri de stabilitate la incendiu pentru construcții civile</w:t>
      </w:r>
      <w:r>
        <w:rPr>
          <w:bCs/>
          <w:i/>
          <w:iCs/>
          <w:sz w:val="24"/>
          <w:szCs w:val="24"/>
        </w:rPr>
        <w:fldChar w:fldCharType="end"/>
      </w:r>
      <w:r>
        <w:rPr>
          <w:bCs/>
          <w:i/>
          <w:iCs/>
          <w:sz w:val="24"/>
          <w:szCs w:val="24"/>
          <w:lang w:val="en-GB"/>
        </w:rPr>
        <w:t xml:space="preserve"> </w:t>
      </w:r>
      <w:r>
        <w:rPr>
          <w:bCs/>
          <w:i/>
          <w:iCs/>
          <w:sz w:val="24"/>
          <w:szCs w:val="24"/>
        </w:rPr>
        <w:t xml:space="preserve">și </w:t>
      </w:r>
      <w:r>
        <w:rPr>
          <w:bCs/>
          <w:i/>
          <w:iCs/>
          <w:sz w:val="24"/>
          <w:szCs w:val="24"/>
        </w:rPr>
        <w:fldChar w:fldCharType="begin"/>
      </w:r>
      <w:r>
        <w:rPr>
          <w:bCs/>
          <w:i/>
          <w:iCs/>
          <w:sz w:val="24"/>
          <w:szCs w:val="24"/>
        </w:rPr>
        <w:instrText xml:space="preserve"> REF _Ref22312 \h </w:instrText>
      </w:r>
      <w:r>
        <w:rPr>
          <w:bCs/>
          <w:i/>
          <w:iCs/>
          <w:sz w:val="24"/>
          <w:szCs w:val="24"/>
        </w:rPr>
      </w:r>
      <w:r>
        <w:rPr>
          <w:bCs/>
          <w:i/>
          <w:iCs/>
          <w:sz w:val="24"/>
          <w:szCs w:val="24"/>
        </w:rPr>
        <w:fldChar w:fldCharType="separate"/>
      </w:r>
      <w:r>
        <w:t>Tabelul 3: Condiţii minime pentru încadrarea construcţiei sau a compartimentului de incendiu în niveluri de stabilitate la incendiu pentru construcții de productie și /sau depozitare</w:t>
      </w:r>
      <w:r>
        <w:rPr>
          <w:bCs/>
          <w:i/>
          <w:iCs/>
          <w:sz w:val="24"/>
          <w:szCs w:val="24"/>
        </w:rPr>
        <w:fldChar w:fldCharType="end"/>
      </w:r>
      <w:r>
        <w:rPr>
          <w:bCs/>
          <w:i/>
          <w:sz w:val="24"/>
          <w:szCs w:val="24"/>
        </w:rPr>
        <w:t>).</w:t>
      </w:r>
    </w:p>
    <w:p w14:paraId="7BE17E86" w14:textId="77777777" w:rsidR="001C08A5" w:rsidRDefault="00000000">
      <w:pPr>
        <w:jc w:val="center"/>
        <w:rPr>
          <w:i/>
          <w:sz w:val="24"/>
          <w:szCs w:val="24"/>
        </w:rPr>
      </w:pPr>
      <w:r>
        <w:rPr>
          <w:noProof/>
        </w:rPr>
        <w:drawing>
          <wp:inline distT="0" distB="0" distL="114300" distR="114300" wp14:anchorId="2CA6C2D3" wp14:editId="148CED8D">
            <wp:extent cx="5962650" cy="1852295"/>
            <wp:effectExtent l="0" t="0" r="0" b="14605"/>
            <wp:docPr id="5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2"/>
                    <pic:cNvPicPr>
                      <a:picLocks noChangeAspect="1"/>
                    </pic:cNvPicPr>
                  </pic:nvPicPr>
                  <pic:blipFill>
                    <a:blip r:embed="rId480"/>
                    <a:srcRect l="12543" t="65867" r="8463"/>
                    <a:stretch>
                      <a:fillRect/>
                    </a:stretch>
                  </pic:blipFill>
                  <pic:spPr>
                    <a:xfrm>
                      <a:off x="0" y="0"/>
                      <a:ext cx="5962650" cy="1852295"/>
                    </a:xfrm>
                    <a:prstGeom prst="rect">
                      <a:avLst/>
                    </a:prstGeom>
                    <a:noFill/>
                    <a:ln>
                      <a:noFill/>
                    </a:ln>
                  </pic:spPr>
                </pic:pic>
              </a:graphicData>
            </a:graphic>
          </wp:inline>
        </w:drawing>
      </w:r>
    </w:p>
    <w:p w14:paraId="14BFD69D" w14:textId="77777777" w:rsidR="001C08A5" w:rsidRDefault="00000000">
      <w:pPr>
        <w:pStyle w:val="Caption"/>
        <w:jc w:val="center"/>
      </w:pPr>
      <w:bookmarkStart w:id="9374" w:name="_Toc162360465"/>
      <w:bookmarkStart w:id="9375" w:name="_Toc142898625"/>
      <w:r>
        <w:t xml:space="preserve">Figura </w:t>
      </w:r>
      <w:r>
        <w:fldChar w:fldCharType="begin"/>
      </w:r>
      <w:r>
        <w:instrText xml:space="preserve"> SEQ Figura \* ARABIC </w:instrText>
      </w:r>
      <w:r>
        <w:fldChar w:fldCharType="separate"/>
      </w:r>
      <w:r>
        <w:t>241</w:t>
      </w:r>
      <w:r>
        <w:fldChar w:fldCharType="end"/>
      </w:r>
      <w:bookmarkStart w:id="9376" w:name="_Toc10172"/>
      <w:bookmarkStart w:id="9377" w:name="_Toc21489"/>
      <w:bookmarkStart w:id="9378" w:name="_Toc19105"/>
      <w:bookmarkStart w:id="9379" w:name="_Toc32697"/>
      <w:bookmarkStart w:id="9380" w:name="_Toc8123"/>
      <w:bookmarkStart w:id="9381" w:name="_Toc24898"/>
      <w:bookmarkStart w:id="9382" w:name="_Toc708"/>
      <w:bookmarkStart w:id="9383" w:name="_Toc27829"/>
      <w:bookmarkStart w:id="9384" w:name="_Toc18960"/>
      <w:r>
        <w:t xml:space="preserve"> - Schemă parcare cu prevederea unor elemente de construcție (pereți) cu aceeași rezistență la foc ca a structurii, la stații de încărcare</w:t>
      </w:r>
      <w:bookmarkEnd w:id="9374"/>
      <w:bookmarkEnd w:id="9375"/>
      <w:bookmarkEnd w:id="9376"/>
      <w:bookmarkEnd w:id="9377"/>
      <w:bookmarkEnd w:id="9378"/>
      <w:bookmarkEnd w:id="9379"/>
      <w:bookmarkEnd w:id="9380"/>
      <w:bookmarkEnd w:id="9381"/>
      <w:bookmarkEnd w:id="9382"/>
      <w:bookmarkEnd w:id="9383"/>
      <w:bookmarkEnd w:id="9384"/>
    </w:p>
    <w:p w14:paraId="1E99094C" w14:textId="77777777" w:rsidR="001C08A5" w:rsidRDefault="00000000">
      <w:pPr>
        <w:jc w:val="both"/>
        <w:rPr>
          <w:i/>
          <w:sz w:val="22"/>
          <w:szCs w:val="22"/>
        </w:rPr>
      </w:pPr>
      <w:r>
        <w:rPr>
          <w:b/>
          <w:bCs/>
          <w:i/>
          <w:sz w:val="22"/>
          <w:szCs w:val="22"/>
        </w:rPr>
        <w:t>Notă</w:t>
      </w:r>
      <w:r>
        <w:rPr>
          <w:i/>
          <w:sz w:val="22"/>
          <w:szCs w:val="22"/>
        </w:rPr>
        <w:t xml:space="preserve">: În conformitate cu normativul de profil, atunci când elemente de construcție verticale sau alte obstacole permanente se prevăd, locurile de parcare trebuie conformate având dimensiunile de: </w:t>
      </w:r>
      <w:r>
        <w:rPr>
          <w:b/>
          <w:bCs/>
          <w:i/>
          <w:sz w:val="22"/>
          <w:szCs w:val="22"/>
        </w:rPr>
        <w:t>2,60 m x 5,00 m</w:t>
      </w:r>
      <w:r>
        <w:rPr>
          <w:i/>
          <w:sz w:val="22"/>
          <w:szCs w:val="22"/>
        </w:rPr>
        <w:t xml:space="preserve"> (de regulă se vor utiliza dimensiunile de </w:t>
      </w:r>
      <w:r>
        <w:rPr>
          <w:b/>
          <w:bCs/>
          <w:i/>
          <w:sz w:val="22"/>
          <w:szCs w:val="22"/>
        </w:rPr>
        <w:t>2,90</w:t>
      </w:r>
      <w:r>
        <w:rPr>
          <w:i/>
          <w:sz w:val="22"/>
          <w:szCs w:val="22"/>
        </w:rPr>
        <w:t xml:space="preserve"> m x </w:t>
      </w:r>
      <w:r>
        <w:rPr>
          <w:b/>
          <w:bCs/>
          <w:i/>
          <w:sz w:val="22"/>
          <w:szCs w:val="22"/>
        </w:rPr>
        <w:t>5,00</w:t>
      </w:r>
      <w:r>
        <w:rPr>
          <w:i/>
          <w:sz w:val="22"/>
          <w:szCs w:val="22"/>
        </w:rPr>
        <w:t xml:space="preserve"> m pentru parcarea la </w:t>
      </w:r>
      <w:r>
        <w:rPr>
          <w:b/>
          <w:bCs/>
          <w:i/>
          <w:sz w:val="22"/>
          <w:szCs w:val="22"/>
        </w:rPr>
        <w:t>90°</w:t>
      </w:r>
      <w:r>
        <w:rPr>
          <w:i/>
          <w:sz w:val="22"/>
          <w:szCs w:val="22"/>
        </w:rPr>
        <w:t xml:space="preserve">). </w:t>
      </w:r>
    </w:p>
    <w:p w14:paraId="70066E4A" w14:textId="77777777" w:rsidR="001C08A5" w:rsidRDefault="00000000">
      <w:pPr>
        <w:jc w:val="center"/>
        <w:rPr>
          <w:i/>
          <w:sz w:val="24"/>
          <w:szCs w:val="24"/>
        </w:rPr>
      </w:pPr>
      <w:r>
        <w:rPr>
          <w:noProof/>
        </w:rPr>
        <w:lastRenderedPageBreak/>
        <w:drawing>
          <wp:inline distT="0" distB="0" distL="114300" distR="114300" wp14:anchorId="7D81E5FA" wp14:editId="7B60AB04">
            <wp:extent cx="6067425" cy="3956685"/>
            <wp:effectExtent l="0" t="0" r="9525" b="5715"/>
            <wp:docPr id="19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43"/>
                    <pic:cNvPicPr>
                      <a:picLocks noChangeAspect="1"/>
                    </pic:cNvPicPr>
                  </pic:nvPicPr>
                  <pic:blipFill>
                    <a:blip r:embed="rId481"/>
                    <a:srcRect l="12417" t="24854" r="7201" b="2235"/>
                    <a:stretch>
                      <a:fillRect/>
                    </a:stretch>
                  </pic:blipFill>
                  <pic:spPr>
                    <a:xfrm>
                      <a:off x="0" y="0"/>
                      <a:ext cx="6067425" cy="3956685"/>
                    </a:xfrm>
                    <a:prstGeom prst="rect">
                      <a:avLst/>
                    </a:prstGeom>
                    <a:noFill/>
                    <a:ln>
                      <a:noFill/>
                    </a:ln>
                  </pic:spPr>
                </pic:pic>
              </a:graphicData>
            </a:graphic>
          </wp:inline>
        </w:drawing>
      </w:r>
    </w:p>
    <w:p w14:paraId="41C20A3D" w14:textId="77777777" w:rsidR="001C08A5" w:rsidRDefault="00000000">
      <w:pPr>
        <w:jc w:val="center"/>
        <w:rPr>
          <w:b/>
          <w:bCs/>
          <w:i/>
          <w:sz w:val="24"/>
          <w:szCs w:val="24"/>
        </w:rPr>
      </w:pPr>
      <w:r>
        <w:rPr>
          <w:b/>
          <w:bCs/>
          <w:i/>
          <w:sz w:val="24"/>
          <w:szCs w:val="24"/>
        </w:rPr>
        <w:t>Plan 1-1'</w:t>
      </w:r>
    </w:p>
    <w:p w14:paraId="4C0F9BA7" w14:textId="77777777" w:rsidR="001C08A5" w:rsidRDefault="00000000">
      <w:pPr>
        <w:jc w:val="center"/>
        <w:rPr>
          <w:i/>
          <w:sz w:val="24"/>
          <w:szCs w:val="24"/>
        </w:rPr>
      </w:pPr>
      <w:r>
        <w:rPr>
          <w:noProof/>
        </w:rPr>
        <w:drawing>
          <wp:inline distT="0" distB="0" distL="114300" distR="114300" wp14:anchorId="468DBAC1" wp14:editId="46425328">
            <wp:extent cx="6004560" cy="3573145"/>
            <wp:effectExtent l="0" t="0" r="15240" b="8255"/>
            <wp:docPr id="20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42"/>
                    <pic:cNvPicPr>
                      <a:picLocks noChangeAspect="1"/>
                    </pic:cNvPicPr>
                  </pic:nvPicPr>
                  <pic:blipFill>
                    <a:blip r:embed="rId482"/>
                    <a:srcRect l="13300" t="11467" r="7151" b="22689"/>
                    <a:stretch>
                      <a:fillRect/>
                    </a:stretch>
                  </pic:blipFill>
                  <pic:spPr>
                    <a:xfrm>
                      <a:off x="0" y="0"/>
                      <a:ext cx="6004560" cy="3573145"/>
                    </a:xfrm>
                    <a:prstGeom prst="rect">
                      <a:avLst/>
                    </a:prstGeom>
                    <a:noFill/>
                    <a:ln>
                      <a:noFill/>
                    </a:ln>
                  </pic:spPr>
                </pic:pic>
              </a:graphicData>
            </a:graphic>
          </wp:inline>
        </w:drawing>
      </w:r>
    </w:p>
    <w:p w14:paraId="0DD3392D" w14:textId="77777777" w:rsidR="001C08A5" w:rsidRDefault="00000000">
      <w:pPr>
        <w:jc w:val="center"/>
        <w:rPr>
          <w:b/>
          <w:bCs/>
          <w:i/>
          <w:sz w:val="24"/>
          <w:szCs w:val="24"/>
        </w:rPr>
      </w:pPr>
      <w:r>
        <w:rPr>
          <w:b/>
          <w:bCs/>
          <w:i/>
          <w:sz w:val="24"/>
          <w:szCs w:val="24"/>
        </w:rPr>
        <w:t>Plan 2-2'</w:t>
      </w:r>
    </w:p>
    <w:p w14:paraId="7B452F36" w14:textId="77777777" w:rsidR="001C08A5" w:rsidRDefault="00000000">
      <w:pPr>
        <w:pStyle w:val="Caption"/>
        <w:jc w:val="center"/>
      </w:pPr>
      <w:bookmarkStart w:id="9385" w:name="_Toc142898626"/>
      <w:bookmarkStart w:id="9386" w:name="_Toc162360466"/>
      <w:r>
        <w:t xml:space="preserve">Figura </w:t>
      </w:r>
      <w:r>
        <w:fldChar w:fldCharType="begin"/>
      </w:r>
      <w:r>
        <w:instrText xml:space="preserve"> SEQ Figura \* ARABIC </w:instrText>
      </w:r>
      <w:r>
        <w:fldChar w:fldCharType="separate"/>
      </w:r>
      <w:r>
        <w:t>242</w:t>
      </w:r>
      <w:r>
        <w:fldChar w:fldCharType="end"/>
      </w:r>
      <w:bookmarkStart w:id="9387" w:name="_Toc29388"/>
      <w:bookmarkStart w:id="9388" w:name="_Toc14654"/>
      <w:bookmarkStart w:id="9389" w:name="_Toc26163"/>
      <w:bookmarkStart w:id="9390" w:name="_Toc31388"/>
      <w:bookmarkStart w:id="9391" w:name="_Toc25580"/>
      <w:bookmarkStart w:id="9392" w:name="_Toc19262"/>
      <w:bookmarkStart w:id="9393" w:name="_Toc28734"/>
      <w:bookmarkStart w:id="9394" w:name="_Toc867"/>
      <w:bookmarkStart w:id="9395" w:name="_Toc8235"/>
      <w:r>
        <w:t xml:space="preserve"> - Amplasare stații de încărcare</w:t>
      </w:r>
      <w:bookmarkEnd w:id="9385"/>
      <w:bookmarkEnd w:id="9386"/>
      <w:bookmarkEnd w:id="9387"/>
      <w:bookmarkEnd w:id="9388"/>
      <w:bookmarkEnd w:id="9389"/>
      <w:bookmarkEnd w:id="9390"/>
      <w:bookmarkEnd w:id="9391"/>
      <w:bookmarkEnd w:id="9392"/>
      <w:bookmarkEnd w:id="9393"/>
      <w:bookmarkEnd w:id="9394"/>
      <w:bookmarkEnd w:id="9395"/>
    </w:p>
    <w:p w14:paraId="28312FD7" w14:textId="77777777" w:rsidR="001C08A5" w:rsidRDefault="00000000">
      <w:pPr>
        <w:numPr>
          <w:ilvl w:val="0"/>
          <w:numId w:val="96"/>
        </w:numPr>
        <w:tabs>
          <w:tab w:val="left" w:pos="426"/>
          <w:tab w:val="left" w:pos="993"/>
        </w:tabs>
        <w:jc w:val="both"/>
        <w:rPr>
          <w:i/>
          <w:iCs/>
          <w:sz w:val="24"/>
          <w:szCs w:val="24"/>
        </w:rPr>
      </w:pPr>
      <w:bookmarkStart w:id="9396" w:name="_Toc5998"/>
      <w:bookmarkStart w:id="9397" w:name="_Toc32578"/>
      <w:bookmarkStart w:id="9398" w:name="_Toc17611"/>
      <w:bookmarkStart w:id="9399" w:name="_Toc21987"/>
      <w:bookmarkStart w:id="9400" w:name="_Toc166"/>
      <w:bookmarkStart w:id="9401" w:name="_Toc27648"/>
      <w:bookmarkStart w:id="9402" w:name="_Toc21801"/>
      <w:bookmarkStart w:id="9403" w:name="_Toc25373"/>
      <w:bookmarkStart w:id="9404" w:name="_Toc5343"/>
      <w:bookmarkStart w:id="9405" w:name="_Toc21664"/>
      <w:bookmarkStart w:id="9406" w:name="_Toc13856"/>
      <w:r>
        <w:rPr>
          <w:bCs/>
          <w:i/>
          <w:iCs/>
          <w:sz w:val="24"/>
          <w:szCs w:val="24"/>
        </w:rPr>
        <w:t xml:space="preserve">De regulă este necesară prevederea de pereți (partiții din planșeu în planșeu) rezistenți la foc, cu aceeași rezistență la foc ca a structurii construcției parcajulu,) grupate pe pachete de câte maxim </w:t>
      </w:r>
      <w:r>
        <w:rPr>
          <w:b/>
          <w:i/>
          <w:iCs/>
          <w:sz w:val="24"/>
          <w:szCs w:val="24"/>
        </w:rPr>
        <w:t>3</w:t>
      </w:r>
      <w:r>
        <w:rPr>
          <w:bCs/>
          <w:i/>
          <w:iCs/>
          <w:sz w:val="24"/>
          <w:szCs w:val="24"/>
        </w:rPr>
        <w:t xml:space="preserve"> locuri de parcare, pe laturile lungi și scurte dintre locurile de parcare care conțin stații de încărcare mașini electrice.</w:t>
      </w:r>
    </w:p>
    <w:p w14:paraId="02052373" w14:textId="77777777" w:rsidR="001C08A5" w:rsidRDefault="00000000">
      <w:pPr>
        <w:pStyle w:val="Heading3"/>
        <w:rPr>
          <w:i/>
          <w:iCs/>
          <w:sz w:val="24"/>
          <w:szCs w:val="24"/>
        </w:rPr>
      </w:pPr>
      <w:bookmarkStart w:id="9407" w:name="_Toc23386"/>
      <w:bookmarkStart w:id="9408" w:name="_Toc2963"/>
      <w:bookmarkStart w:id="9409" w:name="_Toc162355482"/>
      <w:bookmarkStart w:id="9410" w:name="_Toc13709"/>
      <w:bookmarkStart w:id="9411" w:name="_Toc18140"/>
      <w:r>
        <w:rPr>
          <w:i/>
          <w:iCs/>
          <w:sz w:val="24"/>
          <w:szCs w:val="24"/>
        </w:rPr>
        <w:lastRenderedPageBreak/>
        <w:t>ANEXA 7.3 - ARENE SI STADIOANE</w:t>
      </w:r>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p>
    <w:p w14:paraId="1A2DAC2D" w14:textId="77777777" w:rsidR="001C08A5" w:rsidRDefault="001C08A5">
      <w:pPr>
        <w:numPr>
          <w:ilvl w:val="255"/>
          <w:numId w:val="0"/>
        </w:numPr>
        <w:tabs>
          <w:tab w:val="left" w:pos="426"/>
          <w:tab w:val="left" w:pos="993"/>
        </w:tabs>
        <w:jc w:val="both"/>
        <w:rPr>
          <w:bCs/>
          <w:i/>
          <w:iCs/>
          <w:sz w:val="24"/>
          <w:szCs w:val="24"/>
        </w:rPr>
      </w:pPr>
    </w:p>
    <w:p w14:paraId="6532F312" w14:textId="77777777" w:rsidR="001C08A5" w:rsidRDefault="00000000">
      <w:pPr>
        <w:numPr>
          <w:ilvl w:val="0"/>
          <w:numId w:val="96"/>
        </w:numPr>
        <w:tabs>
          <w:tab w:val="left" w:pos="426"/>
          <w:tab w:val="left" w:pos="993"/>
        </w:tabs>
        <w:jc w:val="both"/>
        <w:rPr>
          <w:rFonts w:eastAsia="TimesNewRomanPSMT"/>
          <w:bCs/>
          <w:i/>
          <w:iCs/>
          <w:sz w:val="24"/>
          <w:szCs w:val="24"/>
        </w:rPr>
      </w:pPr>
      <w:r>
        <w:rPr>
          <w:bCs/>
          <w:i/>
          <w:iCs/>
          <w:sz w:val="24"/>
          <w:szCs w:val="24"/>
        </w:rPr>
        <w:t xml:space="preserve">Lăţimea căilor de circulaţie funcţională şi de evacuare a utilizatorilor din tribune, a </w:t>
      </w:r>
      <w:r>
        <w:rPr>
          <w:rFonts w:eastAsia="TimesNewRomanPSMT"/>
          <w:bCs/>
          <w:i/>
          <w:iCs/>
          <w:sz w:val="24"/>
          <w:szCs w:val="24"/>
        </w:rPr>
        <w:t>scărilor de evacuare, și a circulaţiilor dintre sectoare (paralele şi perpendiculare pe gradene) se stabilește potrivit</w:t>
      </w:r>
      <w:r>
        <w:rPr>
          <w:bCs/>
          <w:i/>
          <w:iCs/>
          <w:sz w:val="24"/>
          <w:szCs w:val="24"/>
        </w:rPr>
        <w:t xml:space="preserve"> </w:t>
      </w:r>
      <w:r>
        <w:rPr>
          <w:b/>
          <w:bCs/>
          <w:i/>
          <w:iCs/>
          <w:sz w:val="24"/>
          <w:szCs w:val="24"/>
        </w:rPr>
        <w:t xml:space="preserve">Art. 3.3.2.11. </w:t>
      </w:r>
    </w:p>
    <w:p w14:paraId="6EA3D746" w14:textId="77777777" w:rsidR="001C08A5" w:rsidRDefault="001C08A5">
      <w:pPr>
        <w:numPr>
          <w:ilvl w:val="255"/>
          <w:numId w:val="0"/>
        </w:numPr>
        <w:tabs>
          <w:tab w:val="left" w:pos="426"/>
          <w:tab w:val="left" w:pos="993"/>
        </w:tabs>
        <w:jc w:val="both"/>
        <w:rPr>
          <w:rFonts w:eastAsia="TimesNewRomanPSMT"/>
          <w:bCs/>
          <w:i/>
          <w:iCs/>
          <w:sz w:val="24"/>
          <w:szCs w:val="24"/>
        </w:rPr>
      </w:pPr>
    </w:p>
    <w:p w14:paraId="1E867B30"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Distanţa de la fiecare loc pană la o ieşire de evacuare într-un spațiu de siguranță, la un acces la nivelul terenului sau o circulaţie carosabilă va fi:</w:t>
      </w:r>
    </w:p>
    <w:p w14:paraId="2830A380" w14:textId="77777777" w:rsidR="001C08A5" w:rsidRDefault="00000000">
      <w:pPr>
        <w:ind w:left="720" w:firstLine="720"/>
        <w:jc w:val="both"/>
        <w:rPr>
          <w:rFonts w:eastAsia="TimesNewRomanPSMT"/>
          <w:i/>
          <w:iCs/>
          <w:sz w:val="24"/>
          <w:szCs w:val="24"/>
        </w:rPr>
      </w:pPr>
      <w:r>
        <w:rPr>
          <w:rFonts w:eastAsia="TimesNewRomanPSMT"/>
          <w:i/>
          <w:iCs/>
          <w:sz w:val="24"/>
          <w:szCs w:val="24"/>
        </w:rPr>
        <w:t xml:space="preserve">- max </w:t>
      </w:r>
      <w:r>
        <w:rPr>
          <w:rFonts w:eastAsia="TimesNewRomanPSMT"/>
          <w:b/>
          <w:bCs/>
          <w:i/>
          <w:iCs/>
          <w:sz w:val="24"/>
          <w:szCs w:val="24"/>
        </w:rPr>
        <w:t>45,00</w:t>
      </w:r>
      <w:r>
        <w:rPr>
          <w:rFonts w:eastAsia="TimesNewRomanPSMT"/>
          <w:i/>
          <w:iCs/>
          <w:sz w:val="24"/>
          <w:szCs w:val="24"/>
        </w:rPr>
        <w:t xml:space="preserve"> m - pentru nivelul de stabilitate la incendiu </w:t>
      </w:r>
      <w:r>
        <w:rPr>
          <w:rFonts w:eastAsia="TimesNewRomanPSMT"/>
          <w:b/>
          <w:bCs/>
          <w:i/>
          <w:iCs/>
          <w:sz w:val="24"/>
          <w:szCs w:val="24"/>
        </w:rPr>
        <w:t>I</w:t>
      </w:r>
      <w:r>
        <w:rPr>
          <w:rFonts w:eastAsia="TimesNewRomanPSMT"/>
          <w:i/>
          <w:iCs/>
          <w:sz w:val="24"/>
          <w:szCs w:val="24"/>
        </w:rPr>
        <w:t xml:space="preserve"> sau </w:t>
      </w:r>
      <w:r>
        <w:rPr>
          <w:rFonts w:eastAsia="TimesNewRomanPSMT"/>
          <w:b/>
          <w:bCs/>
          <w:i/>
          <w:iCs/>
          <w:sz w:val="24"/>
          <w:szCs w:val="24"/>
        </w:rPr>
        <w:t>II</w:t>
      </w:r>
      <w:r>
        <w:rPr>
          <w:rFonts w:eastAsia="TimesNewRomanPSMT"/>
          <w:i/>
          <w:iCs/>
          <w:sz w:val="24"/>
          <w:szCs w:val="24"/>
        </w:rPr>
        <w:t>;</w:t>
      </w:r>
    </w:p>
    <w:p w14:paraId="6CFD2EC7" w14:textId="77777777" w:rsidR="001C08A5" w:rsidRDefault="00000000">
      <w:pPr>
        <w:ind w:left="720" w:firstLine="720"/>
        <w:jc w:val="both"/>
        <w:rPr>
          <w:rFonts w:eastAsia="TimesNewRomanPSMT"/>
          <w:i/>
          <w:iCs/>
          <w:sz w:val="24"/>
          <w:szCs w:val="24"/>
        </w:rPr>
      </w:pPr>
      <w:r>
        <w:rPr>
          <w:rFonts w:eastAsia="TimesNewRomanPSMT"/>
          <w:i/>
          <w:iCs/>
          <w:sz w:val="24"/>
          <w:szCs w:val="24"/>
        </w:rPr>
        <w:t xml:space="preserve">- max </w:t>
      </w:r>
      <w:r>
        <w:rPr>
          <w:rFonts w:eastAsia="TimesNewRomanPSMT"/>
          <w:b/>
          <w:bCs/>
          <w:i/>
          <w:iCs/>
          <w:sz w:val="24"/>
          <w:szCs w:val="24"/>
        </w:rPr>
        <w:t>35,00</w:t>
      </w:r>
      <w:r>
        <w:rPr>
          <w:rFonts w:eastAsia="TimesNewRomanPSMT"/>
          <w:i/>
          <w:iCs/>
          <w:sz w:val="24"/>
          <w:szCs w:val="24"/>
        </w:rPr>
        <w:t xml:space="preserve"> m - pentru nivelul de stabilitate la incendiu </w:t>
      </w:r>
      <w:r>
        <w:rPr>
          <w:rFonts w:eastAsia="TimesNewRomanPSMT"/>
          <w:b/>
          <w:bCs/>
          <w:i/>
          <w:iCs/>
          <w:sz w:val="24"/>
          <w:szCs w:val="24"/>
        </w:rPr>
        <w:t>III</w:t>
      </w:r>
      <w:r>
        <w:rPr>
          <w:rFonts w:eastAsia="TimesNewRomanPSMT"/>
          <w:i/>
          <w:iCs/>
          <w:sz w:val="24"/>
          <w:szCs w:val="24"/>
        </w:rPr>
        <w:t>;</w:t>
      </w:r>
    </w:p>
    <w:p w14:paraId="47F87ADC" w14:textId="77777777" w:rsidR="001C08A5" w:rsidRDefault="00000000">
      <w:pPr>
        <w:ind w:left="720" w:firstLine="720"/>
        <w:jc w:val="both"/>
        <w:rPr>
          <w:rFonts w:eastAsia="TimesNewRomanPSMT"/>
          <w:i/>
          <w:iCs/>
          <w:sz w:val="24"/>
          <w:szCs w:val="24"/>
        </w:rPr>
      </w:pPr>
      <w:r>
        <w:rPr>
          <w:rFonts w:eastAsia="TimesNewRomanPSMT"/>
          <w:i/>
          <w:iCs/>
          <w:sz w:val="24"/>
          <w:szCs w:val="24"/>
        </w:rPr>
        <w:t xml:space="preserve">- max </w:t>
      </w:r>
      <w:r>
        <w:rPr>
          <w:rFonts w:eastAsia="TimesNewRomanPSMT"/>
          <w:b/>
          <w:bCs/>
          <w:i/>
          <w:iCs/>
          <w:sz w:val="24"/>
          <w:szCs w:val="24"/>
        </w:rPr>
        <w:t>25,00</w:t>
      </w:r>
      <w:r>
        <w:rPr>
          <w:rFonts w:eastAsia="TimesNewRomanPSMT"/>
          <w:i/>
          <w:iCs/>
          <w:sz w:val="24"/>
          <w:szCs w:val="24"/>
        </w:rPr>
        <w:t xml:space="preserve"> m - pentru nivelul de stabilitate la incendiu </w:t>
      </w:r>
      <w:r>
        <w:rPr>
          <w:rFonts w:eastAsia="TimesNewRomanPSMT"/>
          <w:b/>
          <w:bCs/>
          <w:i/>
          <w:iCs/>
          <w:sz w:val="24"/>
          <w:szCs w:val="24"/>
        </w:rPr>
        <w:t>IV</w:t>
      </w:r>
      <w:r>
        <w:rPr>
          <w:rFonts w:eastAsia="TimesNewRomanPSMT"/>
          <w:i/>
          <w:iCs/>
          <w:sz w:val="24"/>
          <w:szCs w:val="24"/>
        </w:rPr>
        <w:t>;</w:t>
      </w:r>
    </w:p>
    <w:p w14:paraId="228E196C" w14:textId="77777777" w:rsidR="001C08A5" w:rsidRDefault="00000000">
      <w:pPr>
        <w:ind w:left="720" w:firstLine="720"/>
        <w:jc w:val="both"/>
        <w:rPr>
          <w:rFonts w:eastAsia="TimesNewRomanPSMT"/>
          <w:i/>
          <w:iCs/>
          <w:sz w:val="24"/>
          <w:szCs w:val="24"/>
        </w:rPr>
      </w:pPr>
      <w:r>
        <w:rPr>
          <w:rFonts w:eastAsia="TimesNewRomanPSMT"/>
          <w:i/>
          <w:iCs/>
          <w:sz w:val="24"/>
          <w:szCs w:val="24"/>
        </w:rPr>
        <w:t xml:space="preserve">- max </w:t>
      </w:r>
      <w:r>
        <w:rPr>
          <w:rFonts w:eastAsia="TimesNewRomanPSMT"/>
          <w:b/>
          <w:bCs/>
          <w:i/>
          <w:iCs/>
          <w:sz w:val="24"/>
          <w:szCs w:val="24"/>
        </w:rPr>
        <w:t>15,00</w:t>
      </w:r>
      <w:r>
        <w:rPr>
          <w:rFonts w:eastAsia="TimesNewRomanPSMT"/>
          <w:i/>
          <w:iCs/>
          <w:sz w:val="24"/>
          <w:szCs w:val="24"/>
        </w:rPr>
        <w:t xml:space="preserve"> m - pentru nivelul de stabilitate la incendiu </w:t>
      </w:r>
      <w:r>
        <w:rPr>
          <w:rFonts w:eastAsia="TimesNewRomanPSMT"/>
          <w:b/>
          <w:bCs/>
          <w:i/>
          <w:iCs/>
          <w:sz w:val="24"/>
          <w:szCs w:val="24"/>
        </w:rPr>
        <w:t>V</w:t>
      </w:r>
      <w:r>
        <w:rPr>
          <w:rFonts w:eastAsia="TimesNewRomanPSMT"/>
          <w:i/>
          <w:iCs/>
          <w:sz w:val="24"/>
          <w:szCs w:val="24"/>
        </w:rPr>
        <w:t>.</w:t>
      </w:r>
    </w:p>
    <w:p w14:paraId="4072135C" w14:textId="77777777" w:rsidR="001C08A5" w:rsidRDefault="001C08A5">
      <w:pPr>
        <w:ind w:left="720" w:firstLine="720"/>
        <w:jc w:val="both"/>
        <w:rPr>
          <w:rFonts w:eastAsia="TimesNewRomanPSMT"/>
          <w:i/>
          <w:iCs/>
          <w:sz w:val="24"/>
          <w:szCs w:val="24"/>
        </w:rPr>
      </w:pPr>
    </w:p>
    <w:p w14:paraId="735D8311"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Scaunele (băncile) trebuie să fie fixe (solidarizate pe structură de rezistenţă).</w:t>
      </w:r>
    </w:p>
    <w:p w14:paraId="657A0A6D" w14:textId="77777777" w:rsidR="001C08A5" w:rsidRDefault="001C08A5">
      <w:pPr>
        <w:numPr>
          <w:ilvl w:val="255"/>
          <w:numId w:val="0"/>
        </w:numPr>
        <w:tabs>
          <w:tab w:val="left" w:pos="426"/>
          <w:tab w:val="left" w:pos="993"/>
        </w:tabs>
        <w:jc w:val="both"/>
        <w:rPr>
          <w:rFonts w:eastAsia="TimesNewRomanPSMT"/>
          <w:bCs/>
          <w:i/>
          <w:iCs/>
          <w:sz w:val="24"/>
          <w:szCs w:val="24"/>
        </w:rPr>
      </w:pPr>
    </w:p>
    <w:p w14:paraId="15EEDD21"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Accesul la tribune se poate face prin combinarea parţial sau total a următoarelor trei sisteme:</w:t>
      </w:r>
    </w:p>
    <w:p w14:paraId="07A5F330" w14:textId="77777777" w:rsidR="001C08A5" w:rsidRDefault="00000000">
      <w:pPr>
        <w:ind w:left="1440" w:firstLine="720"/>
        <w:jc w:val="both"/>
        <w:rPr>
          <w:rFonts w:eastAsia="TimesNewRomanPSMT"/>
          <w:i/>
          <w:iCs/>
          <w:sz w:val="24"/>
          <w:szCs w:val="24"/>
        </w:rPr>
      </w:pPr>
      <w:r>
        <w:rPr>
          <w:rFonts w:eastAsia="TimesNewRomanPSMT"/>
          <w:i/>
          <w:iCs/>
          <w:sz w:val="24"/>
          <w:szCs w:val="24"/>
        </w:rPr>
        <w:t>a) lateral sau din spatele tribunei;</w:t>
      </w:r>
    </w:p>
    <w:p w14:paraId="046F34C2" w14:textId="77777777" w:rsidR="001C08A5" w:rsidRDefault="00000000">
      <w:pPr>
        <w:ind w:left="1440" w:firstLine="720"/>
        <w:jc w:val="both"/>
        <w:rPr>
          <w:rFonts w:eastAsia="TimesNewRomanPSMT"/>
          <w:i/>
          <w:iCs/>
          <w:sz w:val="24"/>
          <w:szCs w:val="24"/>
        </w:rPr>
      </w:pPr>
      <w:r>
        <w:rPr>
          <w:rFonts w:eastAsia="TimesNewRomanPSMT"/>
          <w:i/>
          <w:iCs/>
          <w:sz w:val="24"/>
          <w:szCs w:val="24"/>
        </w:rPr>
        <w:t xml:space="preserve">b) din faţă (in acest caz prima gradenă va fi supraînălţată cu aptoximativ </w:t>
      </w:r>
      <w:r>
        <w:rPr>
          <w:rFonts w:eastAsia="TimesNewRomanPSMT"/>
          <w:b/>
          <w:bCs/>
          <w:i/>
          <w:iCs/>
          <w:sz w:val="24"/>
          <w:szCs w:val="24"/>
        </w:rPr>
        <w:t>1,00</w:t>
      </w:r>
      <w:r>
        <w:rPr>
          <w:rFonts w:eastAsia="TimesNewRomanPSMT"/>
          <w:i/>
          <w:iCs/>
          <w:sz w:val="24"/>
          <w:szCs w:val="24"/>
        </w:rPr>
        <w:t xml:space="preserve"> m deasupra terenului de sport);</w:t>
      </w:r>
    </w:p>
    <w:p w14:paraId="3947B26C" w14:textId="77777777" w:rsidR="001C08A5" w:rsidRDefault="00000000">
      <w:pPr>
        <w:ind w:left="1440" w:firstLine="720"/>
        <w:jc w:val="both"/>
        <w:rPr>
          <w:rFonts w:eastAsia="TimesNewRomanPSMT"/>
          <w:i/>
          <w:iCs/>
          <w:sz w:val="24"/>
          <w:szCs w:val="24"/>
        </w:rPr>
      </w:pPr>
      <w:r>
        <w:rPr>
          <w:rFonts w:eastAsia="TimesNewRomanPSMT"/>
          <w:i/>
          <w:iCs/>
          <w:sz w:val="24"/>
          <w:szCs w:val="24"/>
        </w:rPr>
        <w:t>c) cu vomitorii (se recomandă accese in partea de spate-sus a gradenelor, debuşând in favoarea circulaţiei de distribuţie adecvată, vomitoriile prezentând dezavantajulde a genera ambuscade în cazul evacuării de urgenţă).</w:t>
      </w:r>
    </w:p>
    <w:p w14:paraId="0E9498B4" w14:textId="77777777" w:rsidR="001C08A5" w:rsidRDefault="001C08A5">
      <w:pPr>
        <w:ind w:left="1440" w:firstLine="720"/>
        <w:jc w:val="both"/>
        <w:rPr>
          <w:rFonts w:eastAsia="TimesNewRomanPSMT"/>
          <w:i/>
          <w:iCs/>
          <w:sz w:val="24"/>
          <w:szCs w:val="24"/>
        </w:rPr>
      </w:pPr>
    </w:p>
    <w:p w14:paraId="75B2DF18"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Numărul intrărilor in tribune este determinat de numărul spectatorilor, respectiv al căilor de evacuare, precum şi de necesarul de controlori (care trebuie să fie cat mai redus).</w:t>
      </w:r>
    </w:p>
    <w:p w14:paraId="6A259447" w14:textId="77777777" w:rsidR="001C08A5" w:rsidRDefault="001C08A5">
      <w:pPr>
        <w:numPr>
          <w:ilvl w:val="255"/>
          <w:numId w:val="0"/>
        </w:numPr>
        <w:tabs>
          <w:tab w:val="left" w:pos="426"/>
          <w:tab w:val="left" w:pos="993"/>
        </w:tabs>
        <w:jc w:val="both"/>
        <w:rPr>
          <w:rFonts w:eastAsia="TimesNewRomanPSMT"/>
          <w:bCs/>
          <w:i/>
          <w:iCs/>
          <w:sz w:val="24"/>
          <w:szCs w:val="24"/>
        </w:rPr>
      </w:pPr>
    </w:p>
    <w:p w14:paraId="3EB64BAC"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Distanţa maximă de parcurs dintre un loc în tribună şi ieşirea cea mai apropiată (</w:t>
      </w:r>
      <w:r>
        <w:rPr>
          <w:bCs/>
          <w:i/>
          <w:iCs/>
          <w:sz w:val="24"/>
          <w:szCs w:val="24"/>
        </w:rPr>
        <w:t xml:space="preserve">evacuarea tribunei reprezentând </w:t>
      </w:r>
      <w:r>
        <w:rPr>
          <w:rFonts w:eastAsia="TimesNewRomanPSMT"/>
          <w:bCs/>
          <w:i/>
          <w:iCs/>
          <w:sz w:val="24"/>
          <w:szCs w:val="24"/>
        </w:rPr>
        <w:t xml:space="preserve">părăsirea locurilor din tribună a tuturor spectatorilor şi trecerea acestora de „punctele de acces în tribună" spre incinta exterioară tribunei) trebuie să fie de </w:t>
      </w:r>
      <w:r>
        <w:rPr>
          <w:rFonts w:eastAsia="TimesNewRomanPSMT"/>
          <w:b/>
          <w:bCs/>
          <w:i/>
          <w:iCs/>
          <w:sz w:val="24"/>
          <w:szCs w:val="24"/>
        </w:rPr>
        <w:t>45,00</w:t>
      </w:r>
      <w:r>
        <w:rPr>
          <w:rFonts w:eastAsia="TimesNewRomanPSMT"/>
          <w:bCs/>
          <w:i/>
          <w:iCs/>
          <w:sz w:val="24"/>
          <w:szCs w:val="24"/>
        </w:rPr>
        <w:t xml:space="preserve"> m (pentru nivelul de stabilitate la incendiu </w:t>
      </w:r>
      <w:r>
        <w:rPr>
          <w:rFonts w:eastAsia="TimesNewRomanPSMT"/>
          <w:b/>
          <w:bCs/>
          <w:i/>
          <w:iCs/>
          <w:sz w:val="24"/>
          <w:szCs w:val="24"/>
        </w:rPr>
        <w:t>I</w:t>
      </w:r>
      <w:r>
        <w:rPr>
          <w:rFonts w:eastAsia="TimesNewRomanPSMT"/>
          <w:bCs/>
          <w:i/>
          <w:iCs/>
          <w:sz w:val="24"/>
          <w:szCs w:val="24"/>
        </w:rPr>
        <w:t xml:space="preserve"> sau </w:t>
      </w:r>
      <w:r>
        <w:rPr>
          <w:rFonts w:eastAsia="TimesNewRomanPSMT"/>
          <w:b/>
          <w:bCs/>
          <w:i/>
          <w:iCs/>
          <w:sz w:val="24"/>
          <w:szCs w:val="24"/>
        </w:rPr>
        <w:t xml:space="preserve">II, </w:t>
      </w:r>
      <w:r>
        <w:rPr>
          <w:rFonts w:eastAsia="TimesNewRomanPSMT"/>
          <w:i/>
          <w:iCs/>
          <w:sz w:val="24"/>
          <w:szCs w:val="24"/>
        </w:rPr>
        <w:t xml:space="preserve">pentru alte încadrări în nivel de stabilitate se vor utiliza valorile prevăzute la  </w:t>
      </w:r>
      <w:r>
        <w:rPr>
          <w:b/>
          <w:bCs/>
          <w:i/>
          <w:iCs/>
          <w:sz w:val="24"/>
          <w:szCs w:val="24"/>
        </w:rPr>
        <w:t>Art. 3.3.2.9.</w:t>
      </w:r>
      <w:r>
        <w:rPr>
          <w:i/>
          <w:iCs/>
          <w:sz w:val="24"/>
          <w:szCs w:val="24"/>
        </w:rPr>
        <w:t>)</w:t>
      </w:r>
      <w:r>
        <w:rPr>
          <w:b/>
          <w:bCs/>
          <w:i/>
          <w:iCs/>
          <w:sz w:val="24"/>
          <w:szCs w:val="24"/>
        </w:rPr>
        <w:t xml:space="preserve">. </w:t>
      </w:r>
    </w:p>
    <w:p w14:paraId="7281E431" w14:textId="77777777" w:rsidR="001C08A5" w:rsidRDefault="001C08A5">
      <w:pPr>
        <w:numPr>
          <w:ilvl w:val="255"/>
          <w:numId w:val="0"/>
        </w:numPr>
        <w:tabs>
          <w:tab w:val="left" w:pos="426"/>
          <w:tab w:val="left" w:pos="993"/>
        </w:tabs>
        <w:jc w:val="both"/>
        <w:rPr>
          <w:rFonts w:eastAsia="TimesNewRomanPSMT"/>
          <w:bCs/>
          <w:i/>
          <w:iCs/>
          <w:sz w:val="24"/>
          <w:szCs w:val="24"/>
        </w:rPr>
      </w:pPr>
    </w:p>
    <w:p w14:paraId="7C1C1C6A"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 xml:space="preserve">Dimensionarea căilor de acces și evacuare în tribune va respecta </w:t>
      </w:r>
      <w:r>
        <w:rPr>
          <w:b/>
          <w:bCs/>
          <w:i/>
          <w:iCs/>
          <w:sz w:val="24"/>
          <w:szCs w:val="24"/>
        </w:rPr>
        <w:t>Art. 3.3.2.10.</w:t>
      </w:r>
    </w:p>
    <w:p w14:paraId="5D7B0F02" w14:textId="77777777" w:rsidR="001C08A5" w:rsidRDefault="001C08A5">
      <w:pPr>
        <w:numPr>
          <w:ilvl w:val="255"/>
          <w:numId w:val="0"/>
        </w:numPr>
        <w:tabs>
          <w:tab w:val="left" w:pos="426"/>
          <w:tab w:val="left" w:pos="993"/>
        </w:tabs>
        <w:jc w:val="both"/>
        <w:rPr>
          <w:rFonts w:eastAsia="TimesNewRomanPSMT"/>
          <w:bCs/>
          <w:i/>
          <w:iCs/>
          <w:sz w:val="24"/>
          <w:szCs w:val="24"/>
        </w:rPr>
      </w:pPr>
    </w:p>
    <w:p w14:paraId="54FBAD58" w14:textId="77777777" w:rsidR="001C08A5" w:rsidRDefault="00000000">
      <w:pPr>
        <w:numPr>
          <w:ilvl w:val="0"/>
          <w:numId w:val="96"/>
        </w:numPr>
        <w:tabs>
          <w:tab w:val="left" w:pos="426"/>
          <w:tab w:val="left" w:pos="993"/>
        </w:tabs>
        <w:jc w:val="both"/>
        <w:rPr>
          <w:rFonts w:eastAsia="TimesNewRomanPS-ItalicMT"/>
          <w:bCs/>
          <w:i/>
          <w:iCs/>
          <w:sz w:val="24"/>
          <w:szCs w:val="24"/>
        </w:rPr>
      </w:pPr>
      <w:r>
        <w:rPr>
          <w:bCs/>
          <w:i/>
          <w:iCs/>
          <w:sz w:val="24"/>
          <w:szCs w:val="24"/>
        </w:rPr>
        <w:t xml:space="preserve">Pentru accesul, circulaţia şi evacuarea utilizatorilor de pe gradene, treptele vor avea lăţimi (de minimum </w:t>
      </w:r>
      <w:r>
        <w:rPr>
          <w:b/>
          <w:bCs/>
          <w:i/>
          <w:iCs/>
          <w:sz w:val="24"/>
          <w:szCs w:val="24"/>
        </w:rPr>
        <w:t>1,20</w:t>
      </w:r>
      <w:r>
        <w:rPr>
          <w:bCs/>
          <w:i/>
          <w:iCs/>
          <w:sz w:val="24"/>
          <w:szCs w:val="24"/>
        </w:rPr>
        <w:t xml:space="preserve"> m pentru evacuarea a maximum</w:t>
      </w:r>
      <w:r>
        <w:rPr>
          <w:b/>
          <w:bCs/>
          <w:i/>
          <w:iCs/>
          <w:sz w:val="24"/>
          <w:szCs w:val="24"/>
        </w:rPr>
        <w:t xml:space="preserve"> 200</w:t>
      </w:r>
      <w:r>
        <w:rPr>
          <w:bCs/>
          <w:i/>
          <w:iCs/>
          <w:sz w:val="24"/>
          <w:szCs w:val="24"/>
        </w:rPr>
        <w:t xml:space="preserve"> utilizatori şi minimum </w:t>
      </w:r>
      <w:r>
        <w:rPr>
          <w:b/>
          <w:bCs/>
          <w:i/>
          <w:iCs/>
          <w:sz w:val="24"/>
          <w:szCs w:val="24"/>
        </w:rPr>
        <w:t>1,60</w:t>
      </w:r>
      <w:r>
        <w:rPr>
          <w:bCs/>
          <w:i/>
          <w:iCs/>
          <w:sz w:val="24"/>
          <w:szCs w:val="24"/>
        </w:rPr>
        <w:t xml:space="preserve"> m pentru evacuarea a mai mult de </w:t>
      </w:r>
      <w:r>
        <w:rPr>
          <w:b/>
          <w:bCs/>
          <w:i/>
          <w:iCs/>
          <w:sz w:val="24"/>
          <w:szCs w:val="24"/>
        </w:rPr>
        <w:t>200</w:t>
      </w:r>
      <w:r>
        <w:rPr>
          <w:bCs/>
          <w:i/>
          <w:iCs/>
          <w:sz w:val="24"/>
          <w:szCs w:val="24"/>
        </w:rPr>
        <w:t xml:space="preserve"> utilizatori) și adâncimi egale. </w:t>
      </w:r>
    </w:p>
    <w:p w14:paraId="5635FF34" w14:textId="77777777" w:rsidR="001C08A5" w:rsidRDefault="001C08A5">
      <w:pPr>
        <w:numPr>
          <w:ilvl w:val="255"/>
          <w:numId w:val="0"/>
        </w:numPr>
        <w:tabs>
          <w:tab w:val="left" w:pos="426"/>
          <w:tab w:val="left" w:pos="993"/>
        </w:tabs>
        <w:jc w:val="both"/>
        <w:rPr>
          <w:rFonts w:eastAsia="TimesNewRomanPS-ItalicMT"/>
          <w:bCs/>
          <w:i/>
          <w:iCs/>
          <w:sz w:val="24"/>
          <w:szCs w:val="24"/>
        </w:rPr>
      </w:pPr>
    </w:p>
    <w:p w14:paraId="708C5FDB" w14:textId="77777777" w:rsidR="001C08A5" w:rsidRDefault="00000000">
      <w:pPr>
        <w:numPr>
          <w:ilvl w:val="0"/>
          <w:numId w:val="96"/>
        </w:numPr>
        <w:tabs>
          <w:tab w:val="left" w:pos="426"/>
          <w:tab w:val="left" w:pos="993"/>
        </w:tabs>
        <w:jc w:val="both"/>
        <w:rPr>
          <w:rFonts w:eastAsia="TimesNewRomanPS-ItalicMT"/>
          <w:bCs/>
          <w:i/>
          <w:iCs/>
          <w:sz w:val="24"/>
          <w:szCs w:val="24"/>
        </w:rPr>
      </w:pPr>
      <w:r>
        <w:rPr>
          <w:rFonts w:eastAsia="TimesNewRomanPS-ItalicMT"/>
          <w:bCs/>
          <w:i/>
          <w:iCs/>
          <w:sz w:val="24"/>
          <w:szCs w:val="24"/>
        </w:rPr>
        <w:t xml:space="preserve">Dimensiunea elementelor ce alcătuiesc tribuna </w:t>
      </w:r>
      <w:r>
        <w:rPr>
          <w:rFonts w:eastAsia="TimesNewRomanPSMT"/>
          <w:bCs/>
          <w:i/>
          <w:iCs/>
          <w:sz w:val="24"/>
          <w:szCs w:val="24"/>
        </w:rPr>
        <w:t xml:space="preserve">trebuie să respecte datele rezultate din studiul curbei de vizibilitate rezultând fie un profil drept al tribunelor, fie unul parabolic. În situația în care profilul transversal al gradenelor este o curbă parabolică se va ţine seama de următoarele </w:t>
      </w:r>
      <w:r>
        <w:rPr>
          <w:rFonts w:eastAsia="TimesNewRomanPS-ItalicMT"/>
          <w:bCs/>
          <w:i/>
          <w:iCs/>
          <w:sz w:val="24"/>
          <w:szCs w:val="24"/>
        </w:rPr>
        <w:t>elemente convenţionale:</w:t>
      </w:r>
    </w:p>
    <w:p w14:paraId="544638F6" w14:textId="77777777" w:rsidR="001C08A5" w:rsidRDefault="00000000">
      <w:pPr>
        <w:ind w:left="720" w:firstLine="720"/>
        <w:jc w:val="both"/>
        <w:rPr>
          <w:rFonts w:eastAsia="TimesNewRomanPSMT"/>
          <w:i/>
          <w:iCs/>
          <w:sz w:val="24"/>
          <w:szCs w:val="24"/>
        </w:rPr>
      </w:pPr>
      <w:r>
        <w:rPr>
          <w:rFonts w:eastAsia="TimesNewRomanPSMT"/>
          <w:i/>
          <w:iCs/>
          <w:sz w:val="24"/>
          <w:szCs w:val="24"/>
        </w:rPr>
        <w:t xml:space="preserve">- prima gradenă va avea cca. </w:t>
      </w:r>
      <w:r>
        <w:rPr>
          <w:rFonts w:eastAsia="TimesNewRomanPSMT"/>
          <w:b/>
          <w:bCs/>
          <w:i/>
          <w:iCs/>
          <w:sz w:val="24"/>
          <w:szCs w:val="24"/>
        </w:rPr>
        <w:t>18</w:t>
      </w:r>
      <w:r>
        <w:rPr>
          <w:rFonts w:eastAsia="TimesNewRomanPSMT"/>
          <w:i/>
          <w:iCs/>
          <w:sz w:val="24"/>
          <w:szCs w:val="24"/>
        </w:rPr>
        <w:t xml:space="preserve"> cm înălţime, iar ultima maximum </w:t>
      </w:r>
      <w:r>
        <w:rPr>
          <w:rFonts w:eastAsia="TimesNewRomanPSMT"/>
          <w:b/>
          <w:bCs/>
          <w:i/>
          <w:iCs/>
          <w:sz w:val="24"/>
          <w:szCs w:val="24"/>
        </w:rPr>
        <w:t>40</w:t>
      </w:r>
      <w:r>
        <w:rPr>
          <w:rFonts w:eastAsia="TimesNewRomanPSMT"/>
          <w:i/>
          <w:iCs/>
          <w:sz w:val="24"/>
          <w:szCs w:val="24"/>
        </w:rPr>
        <w:t xml:space="preserve"> cm;</w:t>
      </w:r>
    </w:p>
    <w:p w14:paraId="25041E7E" w14:textId="77777777" w:rsidR="001C08A5" w:rsidRDefault="00000000">
      <w:pPr>
        <w:ind w:left="720" w:firstLine="720"/>
        <w:jc w:val="both"/>
        <w:rPr>
          <w:rFonts w:eastAsia="TimesNewRomanPSMT"/>
          <w:i/>
          <w:iCs/>
          <w:sz w:val="24"/>
          <w:szCs w:val="24"/>
        </w:rPr>
      </w:pPr>
      <w:r>
        <w:rPr>
          <w:rFonts w:eastAsia="TimesNewRomanPSMT"/>
          <w:i/>
          <w:iCs/>
          <w:sz w:val="24"/>
          <w:szCs w:val="24"/>
        </w:rPr>
        <w:t xml:space="preserve">- în faţa primei gradene se va rezerva un spaţiu de circulaţie și evacuare de minim </w:t>
      </w:r>
      <w:r>
        <w:rPr>
          <w:rFonts w:eastAsia="TimesNewRomanPSMT"/>
          <w:b/>
          <w:bCs/>
          <w:i/>
          <w:iCs/>
          <w:sz w:val="24"/>
          <w:szCs w:val="24"/>
        </w:rPr>
        <w:t>1,20</w:t>
      </w:r>
      <w:r>
        <w:rPr>
          <w:rFonts w:eastAsia="TimesNewRomanPSMT"/>
          <w:i/>
          <w:iCs/>
          <w:sz w:val="24"/>
          <w:szCs w:val="24"/>
        </w:rPr>
        <w:t xml:space="preserve"> m;</w:t>
      </w:r>
    </w:p>
    <w:p w14:paraId="2A129B8C" w14:textId="77777777" w:rsidR="001C08A5" w:rsidRDefault="00000000">
      <w:pPr>
        <w:ind w:left="720" w:firstLine="720"/>
        <w:jc w:val="both"/>
        <w:rPr>
          <w:rFonts w:eastAsia="TimesNewRomanPSMT"/>
          <w:i/>
          <w:iCs/>
          <w:sz w:val="24"/>
          <w:szCs w:val="24"/>
        </w:rPr>
      </w:pPr>
      <w:r>
        <w:rPr>
          <w:rFonts w:eastAsia="TimesNewRomanPSMT"/>
          <w:i/>
          <w:iCs/>
          <w:sz w:val="24"/>
          <w:szCs w:val="24"/>
        </w:rPr>
        <w:t>- lăţimea gradenei</w:t>
      </w:r>
      <w:r>
        <w:rPr>
          <w:rFonts w:eastAsia="TimesNewRomanPS-ItalicMT"/>
          <w:i/>
          <w:iCs/>
          <w:sz w:val="24"/>
          <w:szCs w:val="24"/>
        </w:rPr>
        <w:t xml:space="preserve"> î</w:t>
      </w:r>
      <w:r>
        <w:rPr>
          <w:rFonts w:eastAsia="TimesNewRomanPSMT"/>
          <w:i/>
          <w:iCs/>
          <w:sz w:val="24"/>
          <w:szCs w:val="24"/>
        </w:rPr>
        <w:t xml:space="preserve">n funcţie de tipul de scaun, cu/fără spătar va fi minimum </w:t>
      </w:r>
      <w:r>
        <w:rPr>
          <w:rFonts w:eastAsia="TimesNewRomanPSMT"/>
          <w:b/>
          <w:bCs/>
          <w:i/>
          <w:iCs/>
          <w:sz w:val="24"/>
          <w:szCs w:val="24"/>
        </w:rPr>
        <w:t>75</w:t>
      </w:r>
      <w:r>
        <w:rPr>
          <w:rFonts w:eastAsia="TimesNewRomanPSMT"/>
          <w:i/>
          <w:iCs/>
          <w:sz w:val="24"/>
          <w:szCs w:val="24"/>
        </w:rPr>
        <w:t xml:space="preserve"> cm și maximum </w:t>
      </w:r>
      <w:r>
        <w:rPr>
          <w:rFonts w:eastAsia="TimesNewRomanPSMT"/>
          <w:b/>
          <w:bCs/>
          <w:i/>
          <w:iCs/>
          <w:sz w:val="24"/>
          <w:szCs w:val="24"/>
        </w:rPr>
        <w:t>85</w:t>
      </w:r>
      <w:r>
        <w:rPr>
          <w:rFonts w:eastAsia="TimesNewRomanPSMT"/>
          <w:i/>
          <w:iCs/>
          <w:sz w:val="24"/>
          <w:szCs w:val="24"/>
        </w:rPr>
        <w:t xml:space="preserve"> cm;</w:t>
      </w:r>
    </w:p>
    <w:p w14:paraId="26E6002F" w14:textId="77777777" w:rsidR="001C08A5" w:rsidRDefault="00000000">
      <w:pPr>
        <w:ind w:left="720" w:firstLine="720"/>
        <w:jc w:val="both"/>
        <w:rPr>
          <w:rFonts w:eastAsia="TimesNewRomanPSMT"/>
          <w:i/>
          <w:iCs/>
          <w:sz w:val="24"/>
          <w:szCs w:val="24"/>
        </w:rPr>
      </w:pPr>
      <w:r>
        <w:rPr>
          <w:rFonts w:eastAsia="TimesNewRomanPSMT"/>
          <w:i/>
          <w:iCs/>
          <w:sz w:val="24"/>
          <w:szCs w:val="24"/>
        </w:rPr>
        <w:t>- înălţimea gradenei</w:t>
      </w:r>
      <w:r>
        <w:rPr>
          <w:rFonts w:eastAsia="TimesNewRomanPS-ItalicMT"/>
          <w:i/>
          <w:iCs/>
          <w:sz w:val="24"/>
          <w:szCs w:val="24"/>
        </w:rPr>
        <w:t xml:space="preserve"> </w:t>
      </w:r>
      <w:r>
        <w:rPr>
          <w:rFonts w:eastAsia="TimesNewRomanPSMT"/>
          <w:i/>
          <w:iCs/>
          <w:sz w:val="24"/>
          <w:szCs w:val="24"/>
        </w:rPr>
        <w:t>rezultă din calculul curbei de vizibilitate (implicit a treptelor prevăzute pe circulațiile perpendiculare pe gradene utilizabile și pentru evacuare).</w:t>
      </w:r>
    </w:p>
    <w:p w14:paraId="60A1D8FF" w14:textId="77777777" w:rsidR="001C08A5" w:rsidRDefault="001C08A5">
      <w:pPr>
        <w:ind w:left="720" w:firstLine="720"/>
        <w:jc w:val="both"/>
        <w:rPr>
          <w:rFonts w:eastAsia="TimesNewRomanPSMT"/>
          <w:i/>
          <w:iCs/>
          <w:sz w:val="24"/>
          <w:szCs w:val="24"/>
        </w:rPr>
      </w:pPr>
    </w:p>
    <w:p w14:paraId="3C0EAB3E" w14:textId="77777777" w:rsidR="001C08A5" w:rsidRDefault="00000000">
      <w:pPr>
        <w:numPr>
          <w:ilvl w:val="0"/>
          <w:numId w:val="96"/>
        </w:numPr>
        <w:tabs>
          <w:tab w:val="left" w:pos="426"/>
          <w:tab w:val="left" w:pos="993"/>
        </w:tabs>
        <w:jc w:val="both"/>
        <w:rPr>
          <w:rFonts w:eastAsia="TimesNewRomanPS-ItalicMT"/>
          <w:bCs/>
          <w:i/>
          <w:iCs/>
          <w:sz w:val="24"/>
          <w:szCs w:val="24"/>
        </w:rPr>
      </w:pPr>
      <w:r>
        <w:rPr>
          <w:rFonts w:eastAsia="TimesNewRomanPS-ItalicMT"/>
          <w:bCs/>
          <w:i/>
          <w:iCs/>
          <w:sz w:val="24"/>
          <w:szCs w:val="24"/>
        </w:rPr>
        <w:t>Dimensiunile gradenelor, respectiv înălţimea (</w:t>
      </w:r>
      <w:r>
        <w:rPr>
          <w:rFonts w:eastAsia="TimesNewRomanPS-ItalicMT"/>
          <w:b/>
          <w:i/>
          <w:iCs/>
          <w:sz w:val="24"/>
          <w:szCs w:val="24"/>
        </w:rPr>
        <w:t>h</w:t>
      </w:r>
      <w:r>
        <w:rPr>
          <w:rFonts w:eastAsia="TimesNewRomanPS-ItalicMT"/>
          <w:bCs/>
          <w:i/>
          <w:iCs/>
          <w:sz w:val="24"/>
          <w:szCs w:val="24"/>
        </w:rPr>
        <w:t>) şi adâncimea (</w:t>
      </w:r>
      <w:r>
        <w:rPr>
          <w:rFonts w:eastAsia="TimesNewRomanPS-ItalicMT"/>
          <w:b/>
          <w:i/>
          <w:iCs/>
          <w:sz w:val="24"/>
          <w:szCs w:val="24"/>
        </w:rPr>
        <w:t>l</w:t>
      </w:r>
      <w:r>
        <w:rPr>
          <w:rFonts w:eastAsia="TimesNewRomanPS-ItalicMT"/>
          <w:bCs/>
          <w:i/>
          <w:iCs/>
          <w:sz w:val="24"/>
          <w:szCs w:val="24"/>
        </w:rPr>
        <w:t>), rezultă din calculul curbei de vizibilitate valorile lor maxime, respectiv minime fiind în funcţie de tipul gradenei (cu locuri in picioare sau aşezate) după cum urmează:</w:t>
      </w:r>
    </w:p>
    <w:p w14:paraId="19CC45FD" w14:textId="77777777" w:rsidR="001C08A5" w:rsidRDefault="00000000">
      <w:pPr>
        <w:ind w:left="720" w:firstLine="720"/>
        <w:jc w:val="both"/>
        <w:rPr>
          <w:rFonts w:eastAsia="TimesNewRomanPSMT"/>
          <w:i/>
          <w:iCs/>
          <w:sz w:val="24"/>
          <w:szCs w:val="24"/>
        </w:rPr>
      </w:pPr>
      <w:r>
        <w:rPr>
          <w:rFonts w:eastAsia="TimesNewRomanPSMT"/>
          <w:i/>
          <w:iCs/>
          <w:sz w:val="24"/>
          <w:szCs w:val="24"/>
        </w:rPr>
        <w:lastRenderedPageBreak/>
        <w:t xml:space="preserve">a) Gradene cu locuri in picioare: </w:t>
      </w:r>
      <w:r>
        <w:rPr>
          <w:rFonts w:eastAsia="TimesNewRomanPS-ItalicMT"/>
          <w:b/>
          <w:bCs/>
          <w:i/>
          <w:iCs/>
          <w:sz w:val="24"/>
          <w:szCs w:val="24"/>
        </w:rPr>
        <w:t xml:space="preserve">h </w:t>
      </w:r>
      <w:r>
        <w:rPr>
          <w:rFonts w:eastAsia="TimesNewRomanPSMT"/>
          <w:b/>
          <w:bCs/>
          <w:i/>
          <w:iCs/>
          <w:sz w:val="24"/>
          <w:szCs w:val="24"/>
        </w:rPr>
        <w:t>maxim = 20 cm</w:t>
      </w:r>
      <w:r>
        <w:rPr>
          <w:rFonts w:eastAsia="TimesNewRomanPSMT"/>
          <w:i/>
          <w:iCs/>
          <w:sz w:val="24"/>
          <w:szCs w:val="24"/>
        </w:rPr>
        <w:t xml:space="preserve"> și </w:t>
      </w:r>
      <w:r>
        <w:rPr>
          <w:rFonts w:eastAsia="TimesNewRomanPSMT"/>
          <w:b/>
          <w:bCs/>
          <w:i/>
          <w:iCs/>
          <w:sz w:val="24"/>
          <w:szCs w:val="24"/>
        </w:rPr>
        <w:t>l minim ≥ 35 cm</w:t>
      </w:r>
      <w:r>
        <w:rPr>
          <w:rFonts w:eastAsia="TimesNewRomanPSMT"/>
          <w:i/>
          <w:iCs/>
          <w:sz w:val="24"/>
          <w:szCs w:val="24"/>
        </w:rPr>
        <w:t xml:space="preserve"> (recomandat </w:t>
      </w:r>
      <w:r>
        <w:rPr>
          <w:rFonts w:eastAsia="TimesNewRomanPSMT"/>
          <w:b/>
          <w:bCs/>
          <w:i/>
          <w:iCs/>
          <w:sz w:val="24"/>
          <w:szCs w:val="24"/>
        </w:rPr>
        <w:t>40 cm</w:t>
      </w:r>
      <w:r>
        <w:rPr>
          <w:rFonts w:eastAsia="TimesNewRomanPSMT"/>
          <w:i/>
          <w:iCs/>
          <w:sz w:val="24"/>
          <w:szCs w:val="24"/>
        </w:rPr>
        <w:t>);</w:t>
      </w:r>
    </w:p>
    <w:p w14:paraId="4CA5B3EE" w14:textId="77777777" w:rsidR="001C08A5" w:rsidRDefault="00000000">
      <w:pPr>
        <w:ind w:left="720" w:firstLine="720"/>
        <w:jc w:val="both"/>
      </w:pPr>
      <w:r>
        <w:rPr>
          <w:rFonts w:eastAsia="TimesNewRomanPSMT"/>
          <w:i/>
          <w:iCs/>
          <w:sz w:val="24"/>
          <w:szCs w:val="24"/>
        </w:rPr>
        <w:t xml:space="preserve">b) Gradenele cu locuri de stat jos (cu locurile de stat jos amplasate direct pe gradenă); </w:t>
      </w:r>
      <w:r>
        <w:rPr>
          <w:rFonts w:eastAsia="TimesNewRomanPS-ItalicMT"/>
          <w:b/>
          <w:bCs/>
          <w:i/>
          <w:iCs/>
          <w:sz w:val="24"/>
          <w:szCs w:val="24"/>
        </w:rPr>
        <w:t xml:space="preserve">h </w:t>
      </w:r>
      <w:r>
        <w:rPr>
          <w:rFonts w:eastAsia="TimesNewRomanPSMT"/>
          <w:b/>
          <w:bCs/>
          <w:i/>
          <w:iCs/>
          <w:sz w:val="24"/>
          <w:szCs w:val="24"/>
        </w:rPr>
        <w:t>maxim = 40 cm</w:t>
      </w:r>
      <w:r>
        <w:rPr>
          <w:rFonts w:eastAsia="TimesNewRomanPSMT"/>
          <w:i/>
          <w:iCs/>
          <w:sz w:val="24"/>
          <w:szCs w:val="24"/>
        </w:rPr>
        <w:t xml:space="preserve"> și </w:t>
      </w:r>
      <w:r>
        <w:rPr>
          <w:rFonts w:eastAsia="TimesNewRomanPSMT"/>
          <w:b/>
          <w:bCs/>
          <w:i/>
          <w:iCs/>
          <w:sz w:val="24"/>
          <w:szCs w:val="24"/>
        </w:rPr>
        <w:t>l minim = 70 cm</w:t>
      </w:r>
      <w:r>
        <w:rPr>
          <w:rFonts w:eastAsia="TimesNewRomanPSMT"/>
          <w:i/>
          <w:iCs/>
          <w:sz w:val="24"/>
          <w:szCs w:val="24"/>
        </w:rPr>
        <w:t xml:space="preserve"> (recomandat </w:t>
      </w:r>
      <w:r>
        <w:rPr>
          <w:rFonts w:eastAsia="TimesNewRomanPSMT"/>
          <w:b/>
          <w:bCs/>
          <w:i/>
          <w:iCs/>
          <w:sz w:val="24"/>
          <w:szCs w:val="24"/>
        </w:rPr>
        <w:t>80 cm</w:t>
      </w:r>
      <w:r>
        <w:rPr>
          <w:rFonts w:eastAsia="TimesNewRomanPSMT"/>
          <w:i/>
          <w:iCs/>
          <w:sz w:val="24"/>
          <w:szCs w:val="24"/>
        </w:rPr>
        <w:t xml:space="preserve">). În situația amplasării acestora prin fixare pe gradene sau în condițiile în care sunt scaune individuale se ține cont de distanța minim normată de trecere între rânduri (mai mare sau egală de </w:t>
      </w:r>
      <w:r>
        <w:rPr>
          <w:rFonts w:eastAsia="TimesNewRomanPSMT"/>
          <w:b/>
          <w:bCs/>
          <w:i/>
          <w:iCs/>
          <w:sz w:val="24"/>
          <w:szCs w:val="24"/>
        </w:rPr>
        <w:t>35 cm</w:t>
      </w:r>
      <w:r>
        <w:rPr>
          <w:rFonts w:eastAsia="TimesNewRomanPSMT"/>
          <w:i/>
          <w:iCs/>
          <w:sz w:val="24"/>
          <w:szCs w:val="24"/>
        </w:rPr>
        <w:t>) și de caracteristicile acestora.</w:t>
      </w:r>
    </w:p>
    <w:p w14:paraId="0BF49412" w14:textId="77777777" w:rsidR="001C08A5" w:rsidRDefault="001C08A5">
      <w:pPr>
        <w:jc w:val="both"/>
      </w:pPr>
    </w:p>
    <w:p w14:paraId="40E12B83" w14:textId="77777777" w:rsidR="001C08A5" w:rsidRDefault="00000000">
      <w:pPr>
        <w:jc w:val="center"/>
      </w:pPr>
      <w:r>
        <w:rPr>
          <w:noProof/>
        </w:rPr>
        <w:drawing>
          <wp:inline distT="0" distB="0" distL="114300" distR="114300" wp14:anchorId="797D0596" wp14:editId="4C4C4673">
            <wp:extent cx="5986145" cy="2861945"/>
            <wp:effectExtent l="0" t="0" r="14605" b="14605"/>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3"/>
                    <pic:cNvPicPr>
                      <a:picLocks noChangeAspect="1"/>
                    </pic:cNvPicPr>
                  </pic:nvPicPr>
                  <pic:blipFill>
                    <a:blip r:embed="rId483"/>
                    <a:srcRect l="12466" t="4049" r="8235" b="11073"/>
                    <a:stretch>
                      <a:fillRect/>
                    </a:stretch>
                  </pic:blipFill>
                  <pic:spPr>
                    <a:xfrm>
                      <a:off x="0" y="0"/>
                      <a:ext cx="5986145" cy="2861945"/>
                    </a:xfrm>
                    <a:prstGeom prst="rect">
                      <a:avLst/>
                    </a:prstGeom>
                    <a:noFill/>
                    <a:ln>
                      <a:noFill/>
                    </a:ln>
                  </pic:spPr>
                </pic:pic>
              </a:graphicData>
            </a:graphic>
          </wp:inline>
        </w:drawing>
      </w:r>
    </w:p>
    <w:p w14:paraId="194F2A8B" w14:textId="77777777" w:rsidR="001C08A5" w:rsidRDefault="00000000">
      <w:pPr>
        <w:jc w:val="center"/>
        <w:rPr>
          <w:i/>
          <w:iCs/>
          <w:sz w:val="24"/>
          <w:szCs w:val="24"/>
        </w:rPr>
      </w:pPr>
      <w:r>
        <w:rPr>
          <w:i/>
          <w:iCs/>
          <w:sz w:val="24"/>
          <w:szCs w:val="24"/>
        </w:rPr>
        <w:t>Varianta a)</w:t>
      </w:r>
    </w:p>
    <w:p w14:paraId="0D1FC3D5" w14:textId="77777777" w:rsidR="001C08A5" w:rsidRDefault="00000000">
      <w:pPr>
        <w:jc w:val="center"/>
      </w:pPr>
      <w:r>
        <w:rPr>
          <w:noProof/>
        </w:rPr>
        <w:drawing>
          <wp:inline distT="0" distB="0" distL="114300" distR="114300" wp14:anchorId="25378677" wp14:editId="5E2E5128">
            <wp:extent cx="6010910" cy="2939415"/>
            <wp:effectExtent l="0" t="0" r="8890" b="1333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84"/>
                    <a:srcRect l="12836" t="7423" r="7644" b="12476"/>
                    <a:stretch>
                      <a:fillRect/>
                    </a:stretch>
                  </pic:blipFill>
                  <pic:spPr>
                    <a:xfrm>
                      <a:off x="0" y="0"/>
                      <a:ext cx="6010910" cy="2939415"/>
                    </a:xfrm>
                    <a:prstGeom prst="rect">
                      <a:avLst/>
                    </a:prstGeom>
                    <a:noFill/>
                    <a:ln>
                      <a:noFill/>
                    </a:ln>
                  </pic:spPr>
                </pic:pic>
              </a:graphicData>
            </a:graphic>
          </wp:inline>
        </w:drawing>
      </w:r>
    </w:p>
    <w:p w14:paraId="16A871BD" w14:textId="77777777" w:rsidR="001C08A5" w:rsidRDefault="00000000">
      <w:pPr>
        <w:jc w:val="center"/>
      </w:pPr>
      <w:r>
        <w:rPr>
          <w:i/>
          <w:iCs/>
          <w:sz w:val="24"/>
          <w:szCs w:val="24"/>
        </w:rPr>
        <w:t>Varianta b)</w:t>
      </w:r>
    </w:p>
    <w:p w14:paraId="57200B58" w14:textId="77777777" w:rsidR="001C08A5" w:rsidRDefault="00000000">
      <w:pPr>
        <w:pStyle w:val="Caption"/>
        <w:jc w:val="center"/>
      </w:pPr>
      <w:bookmarkStart w:id="9412" w:name="_Toc162360467"/>
      <w:r>
        <w:t xml:space="preserve">Figura </w:t>
      </w:r>
      <w:r>
        <w:fldChar w:fldCharType="begin"/>
      </w:r>
      <w:r>
        <w:instrText xml:space="preserve"> SEQ Figura \* ARABIC </w:instrText>
      </w:r>
      <w:r>
        <w:fldChar w:fldCharType="separate"/>
      </w:r>
      <w:r>
        <w:t>243</w:t>
      </w:r>
      <w:r>
        <w:fldChar w:fldCharType="end"/>
      </w:r>
      <w:bookmarkStart w:id="9413" w:name="_Toc455"/>
      <w:bookmarkStart w:id="9414" w:name="_Toc7690"/>
      <w:bookmarkStart w:id="9415" w:name="_Toc14700"/>
      <w:bookmarkStart w:id="9416" w:name="_Toc7653"/>
      <w:bookmarkStart w:id="9417" w:name="_Toc29556"/>
      <w:bookmarkStart w:id="9418" w:name="_Toc10158"/>
      <w:bookmarkStart w:id="9419" w:name="_Toc1069"/>
      <w:bookmarkStart w:id="9420" w:name="_Toc14957"/>
      <w:bookmarkStart w:id="9421" w:name="_Toc22966"/>
      <w:r>
        <w:t xml:space="preserve"> - </w:t>
      </w:r>
      <w:bookmarkEnd w:id="9413"/>
      <w:bookmarkEnd w:id="9414"/>
      <w:r>
        <w:rPr>
          <w:bCs/>
        </w:rPr>
        <w:t>Secțiune tribune cu profil parabolic (la arene, stadione, săli de spectacole, etc.)</w:t>
      </w:r>
      <w:bookmarkEnd w:id="9412"/>
      <w:bookmarkEnd w:id="9415"/>
      <w:bookmarkEnd w:id="9416"/>
      <w:bookmarkEnd w:id="9417"/>
      <w:bookmarkEnd w:id="9418"/>
      <w:bookmarkEnd w:id="9419"/>
      <w:bookmarkEnd w:id="9420"/>
      <w:bookmarkEnd w:id="9421"/>
    </w:p>
    <w:p w14:paraId="036004D7" w14:textId="77777777" w:rsidR="001C08A5" w:rsidRDefault="00000000">
      <w:pPr>
        <w:jc w:val="both"/>
        <w:rPr>
          <w:rFonts w:eastAsia="TimesNewRomanPSMT"/>
          <w:i/>
          <w:iCs/>
          <w:sz w:val="22"/>
          <w:szCs w:val="22"/>
        </w:rPr>
      </w:pPr>
      <w:r>
        <w:rPr>
          <w:rFonts w:eastAsia="TimesNewRomanPSMT"/>
          <w:b/>
          <w:bCs/>
          <w:i/>
          <w:iCs/>
          <w:sz w:val="22"/>
          <w:szCs w:val="22"/>
        </w:rPr>
        <w:t>Notă Figura 243</w:t>
      </w:r>
      <w:r>
        <w:rPr>
          <w:rFonts w:eastAsia="TimesNewRomanPSMT"/>
          <w:i/>
          <w:iCs/>
          <w:sz w:val="22"/>
          <w:szCs w:val="22"/>
        </w:rPr>
        <w:t xml:space="preserve">: Valoarea </w:t>
      </w:r>
      <w:r>
        <w:rPr>
          <w:rFonts w:eastAsia="TimesNewRomanPSMT"/>
          <w:b/>
          <w:bCs/>
          <w:i/>
          <w:iCs/>
          <w:sz w:val="22"/>
          <w:szCs w:val="22"/>
        </w:rPr>
        <w:t xml:space="preserve">x </w:t>
      </w:r>
      <w:r>
        <w:rPr>
          <w:rFonts w:eastAsia="TimesNewRomanPSMT"/>
          <w:i/>
          <w:iCs/>
          <w:sz w:val="22"/>
          <w:szCs w:val="22"/>
        </w:rPr>
        <w:t xml:space="preserve">(lățimea gradenei) este constantă. </w:t>
      </w:r>
      <w:r>
        <w:rPr>
          <w:bCs/>
          <w:i/>
          <w:iCs/>
          <w:sz w:val="22"/>
          <w:szCs w:val="22"/>
        </w:rPr>
        <w:t xml:space="preserve">Treptele vor avea lăţimi și adâncimi egale. </w:t>
      </w:r>
      <w:r>
        <w:rPr>
          <w:rFonts w:eastAsia="TimesNewRomanPSMT"/>
          <w:i/>
          <w:iCs/>
          <w:sz w:val="22"/>
          <w:szCs w:val="22"/>
        </w:rPr>
        <w:t>Înălţimea gradenei</w:t>
      </w:r>
      <w:r>
        <w:rPr>
          <w:rFonts w:eastAsia="TimesNewRomanPS-ItalicMT"/>
          <w:i/>
          <w:iCs/>
          <w:sz w:val="22"/>
          <w:szCs w:val="22"/>
        </w:rPr>
        <w:t xml:space="preserve"> </w:t>
      </w:r>
      <w:r>
        <w:rPr>
          <w:rFonts w:eastAsia="TimesNewRomanPSMT"/>
          <w:i/>
          <w:iCs/>
          <w:sz w:val="22"/>
          <w:szCs w:val="22"/>
        </w:rPr>
        <w:t>rezultă din calculul curbei de vizibilitate (</w:t>
      </w:r>
      <w:r>
        <w:rPr>
          <w:rFonts w:eastAsia="TimesNewRomanPSMT"/>
          <w:b/>
          <w:bCs/>
          <w:i/>
          <w:iCs/>
          <w:sz w:val="22"/>
          <w:szCs w:val="22"/>
        </w:rPr>
        <w:t>y1</w:t>
      </w:r>
      <w:r>
        <w:rPr>
          <w:rFonts w:ascii="Arial" w:eastAsia="TimesNewRomanPSMT" w:hAnsi="Arial" w:cs="Arial"/>
          <w:b/>
          <w:bCs/>
          <w:i/>
          <w:iCs/>
          <w:sz w:val="22"/>
          <w:szCs w:val="22"/>
        </w:rPr>
        <w:t>≥</w:t>
      </w:r>
      <w:r>
        <w:rPr>
          <w:rFonts w:eastAsia="TimesNewRomanPSMT"/>
          <w:b/>
          <w:bCs/>
          <w:i/>
          <w:iCs/>
          <w:sz w:val="22"/>
          <w:szCs w:val="22"/>
        </w:rPr>
        <w:t>y2</w:t>
      </w:r>
      <w:r>
        <w:rPr>
          <w:rFonts w:ascii="Arial" w:eastAsia="TimesNewRomanPSMT" w:hAnsi="Arial" w:cs="Arial"/>
          <w:b/>
          <w:bCs/>
          <w:i/>
          <w:iCs/>
          <w:sz w:val="22"/>
          <w:szCs w:val="22"/>
        </w:rPr>
        <w:t>≥</w:t>
      </w:r>
      <w:r>
        <w:rPr>
          <w:rFonts w:eastAsia="TimesNewRomanPSMT"/>
          <w:b/>
          <w:bCs/>
          <w:i/>
          <w:iCs/>
          <w:sz w:val="22"/>
          <w:szCs w:val="22"/>
        </w:rPr>
        <w:t>y3</w:t>
      </w:r>
      <w:r>
        <w:rPr>
          <w:rFonts w:ascii="Arial" w:eastAsia="TimesNewRomanPSMT" w:hAnsi="Arial" w:cs="Arial"/>
          <w:b/>
          <w:bCs/>
          <w:i/>
          <w:iCs/>
          <w:sz w:val="22"/>
          <w:szCs w:val="22"/>
        </w:rPr>
        <w:t>≥</w:t>
      </w:r>
      <w:r>
        <w:rPr>
          <w:rFonts w:eastAsia="TimesNewRomanPSMT"/>
          <w:b/>
          <w:bCs/>
          <w:i/>
          <w:iCs/>
          <w:sz w:val="22"/>
          <w:szCs w:val="22"/>
        </w:rPr>
        <w:t xml:space="preserve">y4 ... </w:t>
      </w:r>
      <w:r>
        <w:rPr>
          <w:rFonts w:ascii="Arial" w:eastAsia="TimesNewRomanPSMT" w:hAnsi="Arial" w:cs="Arial"/>
          <w:b/>
          <w:bCs/>
          <w:i/>
          <w:iCs/>
          <w:sz w:val="22"/>
          <w:szCs w:val="22"/>
        </w:rPr>
        <w:t>≥</w:t>
      </w:r>
      <w:r>
        <w:rPr>
          <w:rFonts w:eastAsia="TimesNewRomanPSMT"/>
          <w:b/>
          <w:bCs/>
          <w:i/>
          <w:iCs/>
          <w:sz w:val="22"/>
          <w:szCs w:val="22"/>
        </w:rPr>
        <w:t>yn</w:t>
      </w:r>
      <w:r>
        <w:rPr>
          <w:rFonts w:eastAsia="TimesNewRomanPSMT"/>
          <w:i/>
          <w:iCs/>
          <w:sz w:val="22"/>
          <w:szCs w:val="22"/>
        </w:rPr>
        <w:t>) și implicit a treptelor prevăzute pe circulațiile perpendiculare pe gradene utilizabile și pentru evacuare.</w:t>
      </w:r>
    </w:p>
    <w:p w14:paraId="15A665BA" w14:textId="77777777" w:rsidR="001C08A5" w:rsidRDefault="001C08A5">
      <w:pPr>
        <w:jc w:val="both"/>
        <w:rPr>
          <w:rFonts w:eastAsia="TimesNewRomanPSMT"/>
          <w:i/>
          <w:iCs/>
          <w:sz w:val="24"/>
          <w:szCs w:val="24"/>
        </w:rPr>
      </w:pPr>
    </w:p>
    <w:p w14:paraId="2B995E33"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 xml:space="preserve">Locurile de stat jos în gradene pot fi pe </w:t>
      </w:r>
      <w:r>
        <w:rPr>
          <w:rFonts w:eastAsia="TimesNewRomanPS-ItalicMT"/>
          <w:bCs/>
          <w:i/>
          <w:iCs/>
          <w:sz w:val="24"/>
          <w:szCs w:val="24"/>
        </w:rPr>
        <w:t xml:space="preserve">bănci </w:t>
      </w:r>
      <w:r>
        <w:rPr>
          <w:rFonts w:eastAsia="TimesNewRomanPSMT"/>
          <w:bCs/>
          <w:i/>
          <w:iCs/>
          <w:sz w:val="24"/>
          <w:szCs w:val="24"/>
        </w:rPr>
        <w:t xml:space="preserve">sau pe </w:t>
      </w:r>
      <w:r>
        <w:rPr>
          <w:rFonts w:eastAsia="TimesNewRomanPS-ItalicMT"/>
          <w:bCs/>
          <w:i/>
          <w:iCs/>
          <w:sz w:val="24"/>
          <w:szCs w:val="24"/>
        </w:rPr>
        <w:t xml:space="preserve">scaune individuale, </w:t>
      </w:r>
      <w:r>
        <w:rPr>
          <w:rFonts w:eastAsia="TimesNewRomanPSMT"/>
          <w:bCs/>
          <w:i/>
          <w:iCs/>
          <w:sz w:val="24"/>
          <w:szCs w:val="24"/>
        </w:rPr>
        <w:t xml:space="preserve">ale căror dimensiuni minime, respectiv adâncimea </w:t>
      </w:r>
      <w:r>
        <w:rPr>
          <w:rFonts w:eastAsia="TimesNewRomanPS-ItalicMT"/>
          <w:bCs/>
          <w:i/>
          <w:iCs/>
          <w:sz w:val="24"/>
          <w:szCs w:val="24"/>
        </w:rPr>
        <w:t>(</w:t>
      </w:r>
      <w:r>
        <w:rPr>
          <w:rFonts w:eastAsia="TimesNewRomanPS-ItalicMT"/>
          <w:b/>
          <w:i/>
          <w:iCs/>
          <w:sz w:val="24"/>
          <w:szCs w:val="24"/>
        </w:rPr>
        <w:t>l</w:t>
      </w:r>
      <w:r>
        <w:rPr>
          <w:rFonts w:eastAsia="TimesNewRomanPS-ItalicMT"/>
          <w:b/>
          <w:i/>
          <w:iCs/>
          <w:sz w:val="24"/>
          <w:szCs w:val="24"/>
          <w:vertAlign w:val="subscript"/>
        </w:rPr>
        <w:t>b</w:t>
      </w:r>
      <w:r>
        <w:rPr>
          <w:rFonts w:eastAsia="TimesNewRomanPS-ItalicMT"/>
          <w:bCs/>
          <w:i/>
          <w:iCs/>
          <w:sz w:val="24"/>
          <w:szCs w:val="24"/>
        </w:rPr>
        <w:t xml:space="preserve"> </w:t>
      </w:r>
      <w:r>
        <w:rPr>
          <w:rFonts w:eastAsia="TimesNewRomanPSMT"/>
          <w:bCs/>
          <w:i/>
          <w:iCs/>
          <w:sz w:val="24"/>
          <w:szCs w:val="24"/>
        </w:rPr>
        <w:t xml:space="preserve">pentru bănci şi </w:t>
      </w:r>
      <w:r>
        <w:rPr>
          <w:rFonts w:eastAsia="TimesNewRomanPSMT"/>
          <w:b/>
          <w:i/>
          <w:iCs/>
          <w:sz w:val="24"/>
          <w:szCs w:val="24"/>
        </w:rPr>
        <w:t>l</w:t>
      </w:r>
      <w:r>
        <w:rPr>
          <w:rFonts w:eastAsia="TimesNewRomanPSMT"/>
          <w:b/>
          <w:i/>
          <w:iCs/>
          <w:sz w:val="24"/>
          <w:szCs w:val="24"/>
          <w:vertAlign w:val="subscript"/>
        </w:rPr>
        <w:t>s</w:t>
      </w:r>
      <w:r>
        <w:rPr>
          <w:rFonts w:eastAsia="TimesNewRomanPS-ItalicMT"/>
          <w:bCs/>
          <w:i/>
          <w:iCs/>
          <w:sz w:val="24"/>
          <w:szCs w:val="24"/>
        </w:rPr>
        <w:t xml:space="preserve"> </w:t>
      </w:r>
      <w:r>
        <w:rPr>
          <w:rFonts w:eastAsia="TimesNewRomanPSMT"/>
          <w:bCs/>
          <w:i/>
          <w:iCs/>
          <w:sz w:val="24"/>
          <w:szCs w:val="24"/>
        </w:rPr>
        <w:t xml:space="preserve">pentru scaune) şi lăţimea </w:t>
      </w:r>
      <w:r>
        <w:rPr>
          <w:rFonts w:eastAsia="TimesNewRomanPS-ItalicMT"/>
          <w:bCs/>
          <w:i/>
          <w:iCs/>
          <w:sz w:val="24"/>
          <w:szCs w:val="24"/>
        </w:rPr>
        <w:t>(</w:t>
      </w:r>
      <w:r>
        <w:rPr>
          <w:rFonts w:eastAsia="TimesNewRomanPS-ItalicMT"/>
          <w:b/>
          <w:i/>
          <w:iCs/>
          <w:sz w:val="24"/>
          <w:szCs w:val="24"/>
        </w:rPr>
        <w:t>L</w:t>
      </w:r>
      <w:r>
        <w:rPr>
          <w:rFonts w:eastAsia="TimesNewRomanPS-ItalicMT"/>
          <w:bCs/>
          <w:i/>
          <w:iCs/>
          <w:sz w:val="24"/>
          <w:szCs w:val="24"/>
        </w:rPr>
        <w:t xml:space="preserve">) </w:t>
      </w:r>
      <w:r>
        <w:rPr>
          <w:rFonts w:eastAsia="TimesNewRomanPSMT"/>
          <w:bCs/>
          <w:i/>
          <w:iCs/>
          <w:sz w:val="24"/>
          <w:szCs w:val="24"/>
        </w:rPr>
        <w:t>sunt următoarele:</w:t>
      </w:r>
    </w:p>
    <w:p w14:paraId="35BF84E6" w14:textId="77777777" w:rsidR="001C08A5" w:rsidRDefault="00000000">
      <w:pPr>
        <w:ind w:left="720" w:firstLine="720"/>
        <w:jc w:val="both"/>
        <w:rPr>
          <w:rFonts w:eastAsia="TimesNewRomanPSMT"/>
          <w:i/>
          <w:iCs/>
          <w:sz w:val="24"/>
          <w:szCs w:val="24"/>
        </w:rPr>
      </w:pPr>
      <w:r>
        <w:rPr>
          <w:rFonts w:eastAsia="TimesNewRomanPSMT"/>
          <w:i/>
          <w:iCs/>
          <w:sz w:val="24"/>
          <w:szCs w:val="24"/>
        </w:rPr>
        <w:t xml:space="preserve">- locuri pe bănci: </w:t>
      </w:r>
      <w:r>
        <w:rPr>
          <w:rFonts w:eastAsia="TimesNewRomanPSMT"/>
          <w:b/>
          <w:bCs/>
          <w:i/>
          <w:iCs/>
          <w:sz w:val="24"/>
          <w:szCs w:val="24"/>
        </w:rPr>
        <w:t>l</w:t>
      </w:r>
      <w:r>
        <w:rPr>
          <w:rFonts w:eastAsia="TimesNewRomanPSMT"/>
          <w:b/>
          <w:bCs/>
          <w:i/>
          <w:iCs/>
          <w:sz w:val="24"/>
          <w:szCs w:val="24"/>
          <w:vertAlign w:val="subscript"/>
        </w:rPr>
        <w:t>b</w:t>
      </w:r>
      <w:r>
        <w:rPr>
          <w:rFonts w:eastAsia="Symbol"/>
          <w:b/>
          <w:bCs/>
          <w:i/>
          <w:iCs/>
          <w:sz w:val="24"/>
          <w:szCs w:val="24"/>
        </w:rPr>
        <w:t xml:space="preserve"> ≥ </w:t>
      </w:r>
      <w:r>
        <w:rPr>
          <w:rFonts w:eastAsia="TimesNewRomanPSMT"/>
          <w:b/>
          <w:bCs/>
          <w:i/>
          <w:iCs/>
          <w:sz w:val="24"/>
          <w:szCs w:val="24"/>
        </w:rPr>
        <w:t>30 cm</w:t>
      </w:r>
      <w:r>
        <w:rPr>
          <w:rFonts w:eastAsia="TimesNewRomanPSMT"/>
          <w:i/>
          <w:iCs/>
          <w:sz w:val="24"/>
          <w:szCs w:val="24"/>
        </w:rPr>
        <w:t xml:space="preserve">, </w:t>
      </w:r>
      <w:r>
        <w:rPr>
          <w:rFonts w:eastAsia="TimesNewRomanPSMT"/>
          <w:b/>
          <w:bCs/>
          <w:i/>
          <w:iCs/>
          <w:sz w:val="24"/>
          <w:szCs w:val="24"/>
        </w:rPr>
        <w:t>l</w:t>
      </w:r>
      <w:r>
        <w:rPr>
          <w:rFonts w:eastAsia="TimesNewRomanPSMT"/>
          <w:b/>
          <w:bCs/>
          <w:i/>
          <w:iCs/>
          <w:sz w:val="24"/>
          <w:szCs w:val="24"/>
          <w:vertAlign w:val="subscript"/>
        </w:rPr>
        <w:t>t</w:t>
      </w:r>
      <w:r>
        <w:rPr>
          <w:rFonts w:eastAsia="TimesNewRomanPS-ItalicMT"/>
          <w:b/>
          <w:bCs/>
          <w:i/>
          <w:iCs/>
          <w:sz w:val="24"/>
          <w:szCs w:val="24"/>
        </w:rPr>
        <w:t xml:space="preserve"> </w:t>
      </w:r>
      <w:r>
        <w:rPr>
          <w:rFonts w:eastAsia="TimesNewRomanPSMT"/>
          <w:i/>
          <w:iCs/>
          <w:sz w:val="24"/>
          <w:szCs w:val="24"/>
        </w:rPr>
        <w:t xml:space="preserve">(lăţimea minimă de trecere între rânduri) </w:t>
      </w:r>
      <w:r>
        <w:rPr>
          <w:rFonts w:eastAsia="Symbol"/>
          <w:b/>
          <w:bCs/>
          <w:i/>
          <w:iCs/>
          <w:sz w:val="24"/>
          <w:szCs w:val="24"/>
        </w:rPr>
        <w:t xml:space="preserve">≥ </w:t>
      </w:r>
      <w:r>
        <w:rPr>
          <w:rFonts w:eastAsia="TimesNewRomanPSMT"/>
          <w:b/>
          <w:bCs/>
          <w:i/>
          <w:iCs/>
          <w:sz w:val="24"/>
          <w:szCs w:val="24"/>
        </w:rPr>
        <w:t>35 cm</w:t>
      </w:r>
      <w:r>
        <w:rPr>
          <w:rFonts w:eastAsia="TimesNewRomanPSMT"/>
          <w:i/>
          <w:iCs/>
          <w:sz w:val="24"/>
          <w:szCs w:val="24"/>
        </w:rPr>
        <w:t xml:space="preserve"> și </w:t>
      </w:r>
      <w:r>
        <w:rPr>
          <w:rFonts w:eastAsia="TimesNewRomanPSMT"/>
          <w:b/>
          <w:bCs/>
          <w:i/>
          <w:iCs/>
          <w:sz w:val="24"/>
          <w:szCs w:val="24"/>
        </w:rPr>
        <w:t>l</w:t>
      </w:r>
      <w:r>
        <w:rPr>
          <w:rFonts w:eastAsia="TimesNewRomanPSMT"/>
          <w:b/>
          <w:bCs/>
          <w:i/>
          <w:iCs/>
          <w:sz w:val="24"/>
          <w:szCs w:val="24"/>
          <w:vertAlign w:val="subscript"/>
        </w:rPr>
        <w:t>gradenă</w:t>
      </w:r>
      <w:r>
        <w:rPr>
          <w:rFonts w:eastAsia="TimesNewRomanPSMT"/>
          <w:i/>
          <w:iCs/>
          <w:sz w:val="24"/>
          <w:szCs w:val="24"/>
        </w:rPr>
        <w:t xml:space="preserve"> (gradena) </w:t>
      </w:r>
      <w:r>
        <w:rPr>
          <w:rFonts w:eastAsia="Symbol"/>
          <w:i/>
          <w:iCs/>
          <w:sz w:val="24"/>
          <w:szCs w:val="24"/>
        </w:rPr>
        <w:t xml:space="preserve"> </w:t>
      </w:r>
      <w:r>
        <w:rPr>
          <w:rFonts w:eastAsia="Symbol"/>
          <w:b/>
          <w:bCs/>
          <w:i/>
          <w:iCs/>
          <w:sz w:val="24"/>
          <w:szCs w:val="24"/>
        </w:rPr>
        <w:t xml:space="preserve">≥ </w:t>
      </w:r>
      <w:r>
        <w:rPr>
          <w:rFonts w:eastAsia="TimesNewRomanPSMT"/>
          <w:b/>
          <w:bCs/>
          <w:i/>
          <w:iCs/>
          <w:sz w:val="24"/>
          <w:szCs w:val="24"/>
        </w:rPr>
        <w:t>65 cm</w:t>
      </w:r>
      <w:r>
        <w:rPr>
          <w:rFonts w:eastAsia="TimesNewRomanPSMT"/>
          <w:i/>
          <w:iCs/>
          <w:sz w:val="24"/>
          <w:szCs w:val="24"/>
        </w:rPr>
        <w:t>;</w:t>
      </w:r>
    </w:p>
    <w:p w14:paraId="0F5A3224" w14:textId="77777777" w:rsidR="001C08A5" w:rsidRDefault="00000000">
      <w:pPr>
        <w:ind w:left="720" w:firstLine="720"/>
        <w:jc w:val="both"/>
        <w:rPr>
          <w:rFonts w:eastAsia="TimesNewRomanPSMT"/>
          <w:i/>
          <w:iCs/>
          <w:sz w:val="24"/>
          <w:szCs w:val="24"/>
        </w:rPr>
      </w:pPr>
      <w:r>
        <w:rPr>
          <w:rFonts w:eastAsia="TimesNewRomanPSMT"/>
          <w:i/>
          <w:iCs/>
          <w:sz w:val="24"/>
          <w:szCs w:val="24"/>
        </w:rPr>
        <w:lastRenderedPageBreak/>
        <w:t xml:space="preserve">- locuri pe scaune individuale (scaune cu limite laterale cu sau fără braţe şi cu spătar): </w:t>
      </w:r>
      <w:r>
        <w:rPr>
          <w:rFonts w:eastAsia="TimesNewRomanPS-ItalicMT"/>
          <w:b/>
          <w:bCs/>
          <w:i/>
          <w:iCs/>
          <w:sz w:val="24"/>
          <w:szCs w:val="24"/>
        </w:rPr>
        <w:t>L</w:t>
      </w:r>
      <w:r>
        <w:rPr>
          <w:rFonts w:eastAsia="Symbol"/>
          <w:b/>
          <w:bCs/>
          <w:i/>
          <w:iCs/>
          <w:sz w:val="24"/>
          <w:szCs w:val="24"/>
        </w:rPr>
        <w:t xml:space="preserve"> ≥ </w:t>
      </w:r>
      <w:r>
        <w:rPr>
          <w:rFonts w:eastAsia="TimesNewRomanPSMT"/>
          <w:b/>
          <w:bCs/>
          <w:i/>
          <w:iCs/>
          <w:sz w:val="24"/>
          <w:szCs w:val="24"/>
        </w:rPr>
        <w:t>50 cm</w:t>
      </w:r>
      <w:r>
        <w:rPr>
          <w:rFonts w:eastAsia="TimesNewRomanPSMT"/>
          <w:i/>
          <w:iCs/>
          <w:sz w:val="24"/>
          <w:szCs w:val="24"/>
        </w:rPr>
        <w:t xml:space="preserve"> (distanţa între limitele laterale ale scaunului), </w:t>
      </w:r>
      <w:r>
        <w:rPr>
          <w:rFonts w:eastAsia="TimesNewRomanPSMT"/>
          <w:b/>
          <w:bCs/>
          <w:i/>
          <w:iCs/>
          <w:sz w:val="24"/>
          <w:szCs w:val="24"/>
        </w:rPr>
        <w:t>l</w:t>
      </w:r>
      <w:r>
        <w:rPr>
          <w:rFonts w:eastAsia="TimesNewRomanPSMT"/>
          <w:b/>
          <w:bCs/>
          <w:i/>
          <w:iCs/>
          <w:sz w:val="24"/>
          <w:szCs w:val="24"/>
          <w:vertAlign w:val="subscript"/>
        </w:rPr>
        <w:t>s</w:t>
      </w:r>
      <w:r>
        <w:rPr>
          <w:rFonts w:eastAsia="Symbol"/>
          <w:b/>
          <w:bCs/>
          <w:i/>
          <w:iCs/>
          <w:sz w:val="24"/>
          <w:szCs w:val="24"/>
        </w:rPr>
        <w:t xml:space="preserve"> ≥ </w:t>
      </w:r>
      <w:r>
        <w:rPr>
          <w:rFonts w:eastAsia="TimesNewRomanPSMT"/>
          <w:b/>
          <w:bCs/>
          <w:i/>
          <w:iCs/>
          <w:sz w:val="24"/>
          <w:szCs w:val="24"/>
        </w:rPr>
        <w:t>35 cm</w:t>
      </w:r>
      <w:r>
        <w:rPr>
          <w:rFonts w:eastAsia="TimesNewRomanPSMT"/>
          <w:i/>
          <w:iCs/>
          <w:sz w:val="24"/>
          <w:szCs w:val="24"/>
        </w:rPr>
        <w:t xml:space="preserve"> (recomandat 40 cm) și </w:t>
      </w:r>
      <w:r>
        <w:rPr>
          <w:rFonts w:eastAsia="TimesNewRomanPSMT"/>
          <w:b/>
          <w:bCs/>
          <w:i/>
          <w:iCs/>
          <w:sz w:val="24"/>
          <w:szCs w:val="24"/>
        </w:rPr>
        <w:t>l</w:t>
      </w:r>
      <w:r>
        <w:rPr>
          <w:rFonts w:eastAsia="TimesNewRomanPSMT"/>
          <w:b/>
          <w:bCs/>
          <w:i/>
          <w:iCs/>
          <w:sz w:val="24"/>
          <w:szCs w:val="24"/>
          <w:vertAlign w:val="subscript"/>
        </w:rPr>
        <w:t>t</w:t>
      </w:r>
      <w:r>
        <w:rPr>
          <w:rFonts w:eastAsia="TimesNewRomanPSMT"/>
          <w:b/>
          <w:bCs/>
          <w:i/>
          <w:iCs/>
          <w:sz w:val="24"/>
          <w:szCs w:val="24"/>
        </w:rPr>
        <w:t xml:space="preserve"> </w:t>
      </w:r>
      <w:r>
        <w:rPr>
          <w:rFonts w:eastAsia="Symbol"/>
          <w:b/>
          <w:bCs/>
          <w:i/>
          <w:iCs/>
          <w:sz w:val="24"/>
          <w:szCs w:val="24"/>
        </w:rPr>
        <w:t xml:space="preserve">≥ </w:t>
      </w:r>
      <w:r>
        <w:rPr>
          <w:rFonts w:eastAsia="TimesNewRomanPSMT"/>
          <w:b/>
          <w:bCs/>
          <w:i/>
          <w:iCs/>
          <w:sz w:val="24"/>
          <w:szCs w:val="24"/>
        </w:rPr>
        <w:t>35 cm</w:t>
      </w:r>
      <w:r>
        <w:rPr>
          <w:rFonts w:eastAsia="TimesNewRomanPSMT"/>
          <w:i/>
          <w:iCs/>
          <w:sz w:val="24"/>
          <w:szCs w:val="24"/>
        </w:rPr>
        <w:t xml:space="preserve"> (lăţimea minimă suport picioare) recomandat</w:t>
      </w:r>
      <w:r>
        <w:rPr>
          <w:rFonts w:eastAsia="Symbol"/>
          <w:i/>
          <w:iCs/>
          <w:sz w:val="24"/>
          <w:szCs w:val="24"/>
        </w:rPr>
        <w:t xml:space="preserve"> </w:t>
      </w:r>
      <w:r>
        <w:rPr>
          <w:rFonts w:eastAsia="Symbol"/>
          <w:b/>
          <w:bCs/>
          <w:i/>
          <w:iCs/>
          <w:sz w:val="24"/>
          <w:szCs w:val="24"/>
        </w:rPr>
        <w:t xml:space="preserve">≥ </w:t>
      </w:r>
      <w:r>
        <w:rPr>
          <w:rFonts w:eastAsia="TimesNewRomanPSMT"/>
          <w:b/>
          <w:bCs/>
          <w:i/>
          <w:iCs/>
          <w:sz w:val="24"/>
          <w:szCs w:val="24"/>
        </w:rPr>
        <w:t>40 cm</w:t>
      </w:r>
      <w:r>
        <w:rPr>
          <w:rFonts w:eastAsia="TimesNewRomanPSMT"/>
          <w:i/>
          <w:iCs/>
          <w:sz w:val="24"/>
          <w:szCs w:val="24"/>
        </w:rPr>
        <w:t>. Dacă spătarul scaunului este peste 30 cm înălţime, atunci lăţimea minimă a suportului pentru picioare este de 40 cm.</w:t>
      </w:r>
    </w:p>
    <w:p w14:paraId="1242469A" w14:textId="77777777" w:rsidR="001C08A5" w:rsidRDefault="001C08A5">
      <w:pPr>
        <w:ind w:left="720" w:firstLine="720"/>
        <w:jc w:val="both"/>
        <w:rPr>
          <w:rFonts w:eastAsia="TimesNewRomanPSMT"/>
          <w:i/>
          <w:iCs/>
          <w:sz w:val="24"/>
          <w:szCs w:val="24"/>
        </w:rPr>
      </w:pPr>
    </w:p>
    <w:p w14:paraId="139B4C47" w14:textId="77777777" w:rsidR="001C08A5" w:rsidRDefault="00000000">
      <w:pPr>
        <w:numPr>
          <w:ilvl w:val="0"/>
          <w:numId w:val="96"/>
        </w:numPr>
        <w:tabs>
          <w:tab w:val="left" w:pos="426"/>
          <w:tab w:val="left" w:pos="993"/>
        </w:tabs>
        <w:jc w:val="both"/>
        <w:rPr>
          <w:bCs/>
          <w:i/>
          <w:iCs/>
          <w:sz w:val="24"/>
          <w:szCs w:val="24"/>
        </w:rPr>
      </w:pPr>
      <w:r>
        <w:rPr>
          <w:rFonts w:eastAsia="TimesNewRomanPSMT"/>
          <w:bCs/>
          <w:i/>
          <w:iCs/>
          <w:sz w:val="24"/>
          <w:szCs w:val="24"/>
        </w:rPr>
        <w:t xml:space="preserve">Randurile de locuri pe scaune individuale vor fi astfel dimensionate încât să lase o lăţime de trecere (lăţime suport picioare) de </w:t>
      </w:r>
      <w:r>
        <w:rPr>
          <w:rFonts w:eastAsia="TimesNewRomanPSMT"/>
          <w:b/>
          <w:i/>
          <w:iCs/>
          <w:sz w:val="24"/>
          <w:szCs w:val="24"/>
        </w:rPr>
        <w:t>minimum 35 cm</w:t>
      </w:r>
      <w:r>
        <w:rPr>
          <w:rFonts w:eastAsia="TimesNewRomanPSMT"/>
          <w:bCs/>
          <w:i/>
          <w:iCs/>
          <w:sz w:val="24"/>
          <w:szCs w:val="24"/>
        </w:rPr>
        <w:t xml:space="preserve">, scaunele fiind în poziţia aşezat. Cand scaunele sunt rabatabile, lăţimea minimă de trecere între scaune (scaunele avand bancheta ridicată) este recomandată să fie </w:t>
      </w:r>
      <w:r>
        <w:rPr>
          <w:rFonts w:eastAsia="TimesNewRomanPS-ItalicMT"/>
          <w:b/>
          <w:i/>
          <w:iCs/>
          <w:sz w:val="24"/>
          <w:szCs w:val="24"/>
        </w:rPr>
        <w:t xml:space="preserve">50 </w:t>
      </w:r>
      <w:r>
        <w:rPr>
          <w:rFonts w:eastAsia="TimesNewRomanPSMT"/>
          <w:b/>
          <w:i/>
          <w:iCs/>
          <w:sz w:val="24"/>
          <w:szCs w:val="24"/>
        </w:rPr>
        <w:t>cm</w:t>
      </w:r>
      <w:r>
        <w:rPr>
          <w:rFonts w:eastAsia="TimesNewRomanPSMT"/>
          <w:bCs/>
          <w:i/>
          <w:iCs/>
          <w:sz w:val="24"/>
          <w:szCs w:val="24"/>
        </w:rPr>
        <w:t xml:space="preserve">. Bancheta se va aşeza in consolă, astfel ca marginea anterioară să avanseze cu </w:t>
      </w:r>
      <w:r>
        <w:rPr>
          <w:rFonts w:eastAsia="TimesNewRomanPSMT"/>
          <w:b/>
          <w:i/>
          <w:iCs/>
          <w:sz w:val="24"/>
          <w:szCs w:val="24"/>
        </w:rPr>
        <w:t>20-30 cm</w:t>
      </w:r>
      <w:r>
        <w:rPr>
          <w:rFonts w:eastAsia="TimesNewRomanPSMT"/>
          <w:bCs/>
          <w:i/>
          <w:iCs/>
          <w:sz w:val="24"/>
          <w:szCs w:val="24"/>
        </w:rPr>
        <w:t xml:space="preserve"> faţă de peretele vertical al gradenei pe care este aşezată.</w:t>
      </w:r>
    </w:p>
    <w:p w14:paraId="47C9FA76" w14:textId="77777777" w:rsidR="001C08A5" w:rsidRDefault="001C08A5">
      <w:pPr>
        <w:numPr>
          <w:ilvl w:val="255"/>
          <w:numId w:val="0"/>
        </w:numPr>
        <w:tabs>
          <w:tab w:val="left" w:pos="426"/>
          <w:tab w:val="left" w:pos="993"/>
        </w:tabs>
        <w:jc w:val="both"/>
        <w:rPr>
          <w:bCs/>
          <w:i/>
          <w:iCs/>
          <w:sz w:val="24"/>
          <w:szCs w:val="24"/>
        </w:rPr>
      </w:pPr>
    </w:p>
    <w:p w14:paraId="2A9A6353" w14:textId="77777777" w:rsidR="001C08A5" w:rsidRDefault="00000000">
      <w:pPr>
        <w:numPr>
          <w:ilvl w:val="0"/>
          <w:numId w:val="96"/>
        </w:numPr>
        <w:tabs>
          <w:tab w:val="left" w:pos="426"/>
          <w:tab w:val="left" w:pos="993"/>
        </w:tabs>
        <w:jc w:val="both"/>
        <w:rPr>
          <w:bCs/>
          <w:i/>
          <w:iCs/>
          <w:sz w:val="24"/>
          <w:szCs w:val="24"/>
        </w:rPr>
      </w:pPr>
      <w:r>
        <w:rPr>
          <w:bCs/>
          <w:i/>
          <w:iCs/>
          <w:sz w:val="24"/>
          <w:szCs w:val="24"/>
        </w:rPr>
        <w:t>Distanţa liberă de circulaţie între rândurile de scaune va fi de minimum</w:t>
      </w:r>
      <w:r>
        <w:rPr>
          <w:b/>
          <w:bCs/>
          <w:i/>
          <w:iCs/>
          <w:sz w:val="24"/>
          <w:szCs w:val="24"/>
        </w:rPr>
        <w:t xml:space="preserve"> 35 cm.</w:t>
      </w:r>
      <w:r>
        <w:rPr>
          <w:bCs/>
          <w:i/>
          <w:iCs/>
          <w:sz w:val="24"/>
          <w:szCs w:val="24"/>
        </w:rPr>
        <w:t xml:space="preserve"> </w:t>
      </w:r>
    </w:p>
    <w:p w14:paraId="7FE1348D" w14:textId="77777777" w:rsidR="001C08A5" w:rsidRDefault="001C08A5">
      <w:pPr>
        <w:numPr>
          <w:ilvl w:val="255"/>
          <w:numId w:val="0"/>
        </w:numPr>
        <w:tabs>
          <w:tab w:val="left" w:pos="426"/>
          <w:tab w:val="left" w:pos="993"/>
        </w:tabs>
        <w:jc w:val="both"/>
        <w:rPr>
          <w:bCs/>
          <w:i/>
          <w:iCs/>
          <w:sz w:val="24"/>
          <w:szCs w:val="24"/>
        </w:rPr>
      </w:pPr>
    </w:p>
    <w:p w14:paraId="7DA9F769" w14:textId="77777777" w:rsidR="001C08A5" w:rsidRDefault="00000000">
      <w:pPr>
        <w:numPr>
          <w:ilvl w:val="0"/>
          <w:numId w:val="96"/>
        </w:numPr>
        <w:tabs>
          <w:tab w:val="left" w:pos="426"/>
          <w:tab w:val="left" w:pos="993"/>
        </w:tabs>
        <w:jc w:val="both"/>
        <w:rPr>
          <w:bCs/>
          <w:i/>
          <w:iCs/>
          <w:sz w:val="24"/>
          <w:szCs w:val="24"/>
        </w:rPr>
      </w:pPr>
      <w:r>
        <w:rPr>
          <w:bCs/>
          <w:i/>
          <w:iCs/>
          <w:sz w:val="24"/>
          <w:szCs w:val="24"/>
        </w:rPr>
        <w:t xml:space="preserve">Circulaţiile perpendiculare pentru mai mult de </w:t>
      </w:r>
      <w:r>
        <w:rPr>
          <w:b/>
          <w:bCs/>
          <w:i/>
          <w:iCs/>
          <w:sz w:val="24"/>
          <w:szCs w:val="24"/>
        </w:rPr>
        <w:t>15</w:t>
      </w:r>
      <w:r>
        <w:rPr>
          <w:bCs/>
          <w:i/>
          <w:iCs/>
          <w:sz w:val="24"/>
          <w:szCs w:val="24"/>
        </w:rPr>
        <w:t xml:space="preserve"> gradene care au pantă mai mare de</w:t>
      </w:r>
      <w:r>
        <w:rPr>
          <w:b/>
          <w:bCs/>
          <w:i/>
          <w:iCs/>
          <w:sz w:val="24"/>
          <w:szCs w:val="24"/>
        </w:rPr>
        <w:t xml:space="preserve"> 25º</w:t>
      </w:r>
      <w:r>
        <w:rPr>
          <w:bCs/>
          <w:i/>
          <w:iCs/>
          <w:sz w:val="24"/>
          <w:szCs w:val="24"/>
        </w:rPr>
        <w:t xml:space="preserve">, se prevăd cu puncte de sprijin pentru utilizatori. </w:t>
      </w:r>
    </w:p>
    <w:p w14:paraId="7C857073" w14:textId="77777777" w:rsidR="001C08A5" w:rsidRDefault="001C08A5">
      <w:pPr>
        <w:tabs>
          <w:tab w:val="left" w:pos="426"/>
          <w:tab w:val="left" w:pos="993"/>
        </w:tabs>
        <w:jc w:val="both"/>
        <w:rPr>
          <w:bCs/>
          <w:i/>
          <w:iCs/>
          <w:sz w:val="24"/>
          <w:szCs w:val="24"/>
        </w:rPr>
      </w:pPr>
    </w:p>
    <w:p w14:paraId="2637EEFB" w14:textId="77777777" w:rsidR="001C08A5" w:rsidRDefault="00000000">
      <w:pPr>
        <w:numPr>
          <w:ilvl w:val="0"/>
          <w:numId w:val="96"/>
        </w:numPr>
        <w:tabs>
          <w:tab w:val="left" w:pos="426"/>
          <w:tab w:val="left" w:pos="993"/>
        </w:tabs>
        <w:jc w:val="both"/>
        <w:rPr>
          <w:bCs/>
          <w:i/>
          <w:iCs/>
          <w:sz w:val="24"/>
          <w:szCs w:val="24"/>
        </w:rPr>
      </w:pPr>
      <w:r>
        <w:rPr>
          <w:bCs/>
          <w:i/>
          <w:iCs/>
          <w:sz w:val="24"/>
          <w:szCs w:val="24"/>
        </w:rPr>
        <w:t xml:space="preserve">La stadioanele deschise și arenele sportive în aer liber, numărul maxim de locuri admise pe un rând de scaune, este normat în funcţie de nivelul de stabilitate la incendiu asigurat și de modul în care se face evacuarea utilizatorilor din rând, potrivit prevederilor din </w:t>
      </w:r>
      <w:r>
        <w:rPr>
          <w:b/>
          <w:bCs/>
          <w:i/>
          <w:iCs/>
          <w:sz w:val="24"/>
          <w:szCs w:val="24"/>
        </w:rPr>
        <w:fldChar w:fldCharType="begin"/>
      </w:r>
      <w:r>
        <w:rPr>
          <w:b/>
          <w:bCs/>
          <w:i/>
          <w:iCs/>
          <w:sz w:val="24"/>
          <w:szCs w:val="24"/>
        </w:rPr>
        <w:instrText xml:space="preserve"> REF _Ref19419 \h </w:instrText>
      </w:r>
      <w:r>
        <w:rPr>
          <w:b/>
          <w:bCs/>
          <w:i/>
          <w:iCs/>
          <w:sz w:val="24"/>
          <w:szCs w:val="24"/>
        </w:rPr>
      </w:r>
      <w:r>
        <w:rPr>
          <w:b/>
          <w:bCs/>
          <w:i/>
          <w:iCs/>
          <w:sz w:val="24"/>
          <w:szCs w:val="24"/>
        </w:rPr>
        <w:fldChar w:fldCharType="separate"/>
      </w:r>
      <w:r>
        <w:t>Tabelul 130</w:t>
      </w:r>
      <w:r>
        <w:rPr>
          <w:b/>
          <w:bCs/>
          <w:i/>
          <w:iCs/>
          <w:sz w:val="24"/>
          <w:szCs w:val="24"/>
        </w:rPr>
        <w:fldChar w:fldCharType="end"/>
      </w:r>
      <w:r>
        <w:rPr>
          <w:bCs/>
          <w:i/>
          <w:iCs/>
          <w:sz w:val="24"/>
          <w:szCs w:val="24"/>
        </w:rPr>
        <w:t xml:space="preserve"> </w:t>
      </w:r>
      <w:r>
        <w:rPr>
          <w:b/>
          <w:bCs/>
          <w:i/>
          <w:iCs/>
          <w:sz w:val="24"/>
          <w:szCs w:val="24"/>
        </w:rPr>
        <w:t>.</w:t>
      </w:r>
    </w:p>
    <w:p w14:paraId="4AD7C8C2" w14:textId="77777777" w:rsidR="001C08A5" w:rsidRDefault="001C08A5">
      <w:pPr>
        <w:ind w:firstLine="708"/>
        <w:jc w:val="both"/>
        <w:rPr>
          <w:i/>
          <w:iCs/>
          <w:sz w:val="24"/>
          <w:szCs w:val="24"/>
        </w:rPr>
      </w:pPr>
    </w:p>
    <w:p w14:paraId="533D8F72" w14:textId="77777777" w:rsidR="001C08A5" w:rsidRDefault="00000000">
      <w:pPr>
        <w:pStyle w:val="Caption"/>
        <w:widowControl w:val="0"/>
        <w:jc w:val="both"/>
        <w:rPr>
          <w:rFonts w:cs="Times New Roman"/>
        </w:rPr>
      </w:pPr>
      <w:bookmarkStart w:id="9422" w:name="_Ref19419"/>
      <w:bookmarkStart w:id="9423" w:name="_Toc8329"/>
      <w:bookmarkStart w:id="9424" w:name="_Toc28376"/>
      <w:bookmarkStart w:id="9425" w:name="_Toc1826"/>
      <w:bookmarkStart w:id="9426" w:name="_Toc16315"/>
      <w:bookmarkStart w:id="9427" w:name="_Toc30420"/>
      <w:bookmarkStart w:id="9428" w:name="_Toc12372"/>
      <w:bookmarkStart w:id="9429" w:name="_Toc12726"/>
      <w:bookmarkStart w:id="9430" w:name="_Toc162360180"/>
      <w:r>
        <w:t xml:space="preserve">Tabelul </w:t>
      </w:r>
      <w:r>
        <w:fldChar w:fldCharType="begin"/>
      </w:r>
      <w:r>
        <w:instrText xml:space="preserve"> SEQ Tabelul \* ARABIC </w:instrText>
      </w:r>
      <w:r>
        <w:fldChar w:fldCharType="separate"/>
      </w:r>
      <w:r>
        <w:t>130</w:t>
      </w:r>
      <w:r>
        <w:fldChar w:fldCharType="end"/>
      </w:r>
      <w:bookmarkStart w:id="9431" w:name="_Toc30495"/>
      <w:bookmarkStart w:id="9432" w:name="_Toc16940"/>
      <w:bookmarkStart w:id="9433" w:name="_Toc16549"/>
      <w:bookmarkStart w:id="9434" w:name="_Toc8859"/>
      <w:bookmarkStart w:id="9435" w:name="_Toc21848"/>
      <w:bookmarkStart w:id="9436" w:name="_Toc19258"/>
      <w:bookmarkStart w:id="9437" w:name="_Toc6418"/>
      <w:bookmarkStart w:id="9438" w:name="_Toc4422"/>
      <w:bookmarkStart w:id="9439" w:name="_Toc11120"/>
      <w:bookmarkStart w:id="9440" w:name="_Toc8467"/>
      <w:bookmarkStart w:id="9441" w:name="_Toc32401"/>
      <w:bookmarkStart w:id="9442" w:name="_Toc13522"/>
      <w:bookmarkEnd w:id="9422"/>
      <w:r>
        <w:t xml:space="preserve">: </w:t>
      </w:r>
      <w:r>
        <w:rPr>
          <w:rFonts w:cs="Times New Roman"/>
        </w:rPr>
        <w:t xml:space="preserve">Număr maxim de locuri admise pe un rând de scaune </w:t>
      </w:r>
      <w:bookmarkEnd w:id="9423"/>
      <w:bookmarkEnd w:id="9424"/>
      <w:bookmarkEnd w:id="9425"/>
      <w:bookmarkEnd w:id="9426"/>
      <w:bookmarkEnd w:id="9427"/>
      <w:bookmarkEnd w:id="9428"/>
      <w:bookmarkEnd w:id="9429"/>
      <w:r>
        <w:rPr>
          <w:rFonts w:cs="Times New Roman"/>
        </w:rPr>
        <w:t>la arene și stadioane în aer liber</w:t>
      </w:r>
      <w:bookmarkEnd w:id="9430"/>
      <w:bookmarkEnd w:id="9431"/>
      <w:bookmarkEnd w:id="9432"/>
      <w:bookmarkEnd w:id="9433"/>
      <w:bookmarkEnd w:id="9434"/>
      <w:bookmarkEnd w:id="9435"/>
      <w:bookmarkEnd w:id="9436"/>
      <w:bookmarkEnd w:id="9437"/>
      <w:bookmarkEnd w:id="9438"/>
      <w:bookmarkEnd w:id="9439"/>
      <w:bookmarkEnd w:id="9440"/>
      <w:bookmarkEnd w:id="9441"/>
      <w:bookmarkEnd w:id="9442"/>
    </w:p>
    <w:tbl>
      <w:tblPr>
        <w:tblW w:w="0" w:type="auto"/>
        <w:tblLayout w:type="fixed"/>
        <w:tblLook w:val="04A0" w:firstRow="1" w:lastRow="0" w:firstColumn="1" w:lastColumn="0" w:noHBand="0" w:noVBand="1"/>
      </w:tblPr>
      <w:tblGrid>
        <w:gridCol w:w="3363"/>
        <w:gridCol w:w="1710"/>
        <w:gridCol w:w="1908"/>
        <w:gridCol w:w="1941"/>
        <w:gridCol w:w="15"/>
      </w:tblGrid>
      <w:tr w:rsidR="001C08A5" w14:paraId="46A30C01" w14:textId="77777777">
        <w:trPr>
          <w:cantSplit/>
        </w:trPr>
        <w:tc>
          <w:tcPr>
            <w:tcW w:w="3363" w:type="dxa"/>
            <w:vMerge w:val="restart"/>
            <w:tcBorders>
              <w:top w:val="single" w:sz="8" w:space="0" w:color="000000"/>
              <w:left w:val="single" w:sz="8" w:space="0" w:color="000000"/>
            </w:tcBorders>
            <w:shd w:val="clear" w:color="auto" w:fill="D9D9D9"/>
          </w:tcPr>
          <w:p w14:paraId="7BB4E180" w14:textId="77777777" w:rsidR="001C08A5" w:rsidRDefault="00000000">
            <w:pPr>
              <w:jc w:val="center"/>
              <w:rPr>
                <w:b/>
                <w:i/>
                <w:iCs/>
                <w:sz w:val="22"/>
                <w:szCs w:val="22"/>
              </w:rPr>
            </w:pPr>
            <w:r>
              <w:rPr>
                <w:b/>
                <w:i/>
                <w:iCs/>
                <w:sz w:val="22"/>
                <w:szCs w:val="22"/>
              </w:rPr>
              <w:t>Modul de evacuare al utilizatorilor aflaţi pe un rând de scaune</w:t>
            </w:r>
          </w:p>
        </w:tc>
        <w:tc>
          <w:tcPr>
            <w:tcW w:w="5574" w:type="dxa"/>
            <w:gridSpan w:val="4"/>
            <w:tcBorders>
              <w:top w:val="single" w:sz="8" w:space="0" w:color="000000"/>
              <w:left w:val="single" w:sz="4" w:space="0" w:color="000000"/>
              <w:bottom w:val="single" w:sz="4" w:space="0" w:color="000000"/>
              <w:right w:val="single" w:sz="8" w:space="0" w:color="000000"/>
            </w:tcBorders>
            <w:shd w:val="clear" w:color="auto" w:fill="D9D9D9"/>
          </w:tcPr>
          <w:p w14:paraId="653BEA94" w14:textId="77777777" w:rsidR="001C08A5" w:rsidRDefault="00000000">
            <w:pPr>
              <w:jc w:val="center"/>
              <w:rPr>
                <w:b/>
                <w:i/>
                <w:iCs/>
                <w:sz w:val="22"/>
                <w:szCs w:val="22"/>
              </w:rPr>
            </w:pPr>
            <w:r>
              <w:rPr>
                <w:b/>
                <w:i/>
                <w:iCs/>
                <w:sz w:val="22"/>
                <w:szCs w:val="22"/>
              </w:rPr>
              <w:t>Nivelul de stabilitate la incendiu al clădirii</w:t>
            </w:r>
          </w:p>
        </w:tc>
      </w:tr>
      <w:tr w:rsidR="001C08A5" w14:paraId="5AC27465" w14:textId="77777777">
        <w:trPr>
          <w:cantSplit/>
        </w:trPr>
        <w:tc>
          <w:tcPr>
            <w:tcW w:w="3363" w:type="dxa"/>
            <w:vMerge/>
            <w:tcBorders>
              <w:left w:val="single" w:sz="8" w:space="0" w:color="000000"/>
            </w:tcBorders>
            <w:shd w:val="clear" w:color="auto" w:fill="auto"/>
          </w:tcPr>
          <w:p w14:paraId="78104CD7" w14:textId="77777777" w:rsidR="001C08A5" w:rsidRDefault="001C08A5">
            <w:pPr>
              <w:snapToGrid w:val="0"/>
              <w:jc w:val="center"/>
              <w:rPr>
                <w:b/>
                <w:i/>
                <w:iCs/>
                <w:sz w:val="22"/>
                <w:szCs w:val="22"/>
              </w:rPr>
            </w:pPr>
          </w:p>
        </w:tc>
        <w:tc>
          <w:tcPr>
            <w:tcW w:w="1710" w:type="dxa"/>
            <w:tcBorders>
              <w:top w:val="single" w:sz="4" w:space="0" w:color="000000"/>
              <w:left w:val="single" w:sz="4" w:space="0" w:color="000000"/>
              <w:bottom w:val="single" w:sz="4" w:space="0" w:color="000000"/>
            </w:tcBorders>
            <w:shd w:val="clear" w:color="auto" w:fill="D9D9D9"/>
          </w:tcPr>
          <w:p w14:paraId="2460C314" w14:textId="77777777" w:rsidR="001C08A5" w:rsidRDefault="00000000">
            <w:pPr>
              <w:jc w:val="center"/>
              <w:rPr>
                <w:b/>
                <w:i/>
                <w:iCs/>
                <w:sz w:val="22"/>
                <w:szCs w:val="22"/>
              </w:rPr>
            </w:pPr>
            <w:r>
              <w:rPr>
                <w:b/>
                <w:i/>
                <w:iCs/>
                <w:sz w:val="22"/>
                <w:szCs w:val="22"/>
              </w:rPr>
              <w:t xml:space="preserve">I </w:t>
            </w:r>
            <w:r>
              <w:rPr>
                <w:i/>
                <w:iCs/>
                <w:sz w:val="22"/>
                <w:szCs w:val="22"/>
              </w:rPr>
              <w:t>şi</w:t>
            </w:r>
            <w:r>
              <w:rPr>
                <w:b/>
                <w:i/>
                <w:iCs/>
                <w:sz w:val="22"/>
                <w:szCs w:val="22"/>
              </w:rPr>
              <w:t xml:space="preserve"> II</w:t>
            </w:r>
          </w:p>
        </w:tc>
        <w:tc>
          <w:tcPr>
            <w:tcW w:w="1908" w:type="dxa"/>
            <w:tcBorders>
              <w:top w:val="single" w:sz="4" w:space="0" w:color="000000"/>
              <w:left w:val="single" w:sz="4" w:space="0" w:color="000000"/>
              <w:bottom w:val="single" w:sz="4" w:space="0" w:color="000000"/>
            </w:tcBorders>
            <w:shd w:val="clear" w:color="auto" w:fill="D9D9D9"/>
          </w:tcPr>
          <w:p w14:paraId="2F288A31" w14:textId="77777777" w:rsidR="001C08A5" w:rsidRDefault="00000000">
            <w:pPr>
              <w:jc w:val="center"/>
              <w:rPr>
                <w:b/>
                <w:i/>
                <w:iCs/>
                <w:sz w:val="22"/>
                <w:szCs w:val="22"/>
              </w:rPr>
            </w:pPr>
            <w:r>
              <w:rPr>
                <w:b/>
                <w:i/>
                <w:iCs/>
                <w:sz w:val="22"/>
                <w:szCs w:val="22"/>
              </w:rPr>
              <w:t>III</w:t>
            </w:r>
          </w:p>
        </w:tc>
        <w:tc>
          <w:tcPr>
            <w:tcW w:w="1956" w:type="dxa"/>
            <w:gridSpan w:val="2"/>
            <w:tcBorders>
              <w:top w:val="single" w:sz="4" w:space="0" w:color="000000"/>
              <w:left w:val="single" w:sz="4" w:space="0" w:color="000000"/>
              <w:bottom w:val="single" w:sz="4" w:space="0" w:color="000000"/>
              <w:right w:val="single" w:sz="8" w:space="0" w:color="000000"/>
            </w:tcBorders>
            <w:shd w:val="clear" w:color="auto" w:fill="D9D9D9"/>
          </w:tcPr>
          <w:p w14:paraId="414A4EEB" w14:textId="77777777" w:rsidR="001C08A5" w:rsidRDefault="00000000">
            <w:pPr>
              <w:jc w:val="center"/>
              <w:rPr>
                <w:b/>
                <w:i/>
                <w:iCs/>
                <w:sz w:val="22"/>
                <w:szCs w:val="22"/>
              </w:rPr>
            </w:pPr>
            <w:r>
              <w:rPr>
                <w:b/>
                <w:i/>
                <w:iCs/>
                <w:sz w:val="22"/>
                <w:szCs w:val="22"/>
              </w:rPr>
              <w:t xml:space="preserve">IV </w:t>
            </w:r>
            <w:r>
              <w:rPr>
                <w:i/>
                <w:iCs/>
                <w:sz w:val="22"/>
                <w:szCs w:val="22"/>
              </w:rPr>
              <w:t>şi</w:t>
            </w:r>
            <w:r>
              <w:rPr>
                <w:b/>
                <w:i/>
                <w:iCs/>
                <w:sz w:val="22"/>
                <w:szCs w:val="22"/>
              </w:rPr>
              <w:t xml:space="preserve"> V</w:t>
            </w:r>
          </w:p>
        </w:tc>
      </w:tr>
      <w:tr w:rsidR="001C08A5" w14:paraId="5A94936A" w14:textId="77777777">
        <w:trPr>
          <w:cantSplit/>
          <w:trHeight w:val="295"/>
        </w:trPr>
        <w:tc>
          <w:tcPr>
            <w:tcW w:w="3363" w:type="dxa"/>
            <w:vMerge/>
            <w:tcBorders>
              <w:left w:val="single" w:sz="8" w:space="0" w:color="000000"/>
              <w:bottom w:val="single" w:sz="8" w:space="0" w:color="000000"/>
            </w:tcBorders>
            <w:shd w:val="clear" w:color="auto" w:fill="auto"/>
          </w:tcPr>
          <w:p w14:paraId="70F83D86" w14:textId="77777777" w:rsidR="001C08A5" w:rsidRDefault="001C08A5">
            <w:pPr>
              <w:snapToGrid w:val="0"/>
              <w:jc w:val="center"/>
              <w:rPr>
                <w:b/>
                <w:i/>
                <w:iCs/>
                <w:sz w:val="22"/>
                <w:szCs w:val="22"/>
              </w:rPr>
            </w:pPr>
          </w:p>
        </w:tc>
        <w:tc>
          <w:tcPr>
            <w:tcW w:w="5574" w:type="dxa"/>
            <w:gridSpan w:val="4"/>
            <w:tcBorders>
              <w:top w:val="single" w:sz="4" w:space="0" w:color="000000"/>
              <w:left w:val="single" w:sz="4" w:space="0" w:color="000000"/>
              <w:bottom w:val="single" w:sz="8" w:space="0" w:color="000000"/>
              <w:right w:val="single" w:sz="8" w:space="0" w:color="000000"/>
            </w:tcBorders>
            <w:shd w:val="clear" w:color="auto" w:fill="D9D9D9"/>
          </w:tcPr>
          <w:p w14:paraId="7E5D4107" w14:textId="77777777" w:rsidR="001C08A5" w:rsidRDefault="00000000">
            <w:pPr>
              <w:jc w:val="center"/>
              <w:rPr>
                <w:i/>
                <w:iCs/>
                <w:sz w:val="22"/>
                <w:szCs w:val="22"/>
              </w:rPr>
            </w:pPr>
            <w:r>
              <w:rPr>
                <w:b/>
                <w:i/>
                <w:iCs/>
                <w:sz w:val="22"/>
                <w:szCs w:val="22"/>
              </w:rPr>
              <w:t>Numărul de locuri dispuse pe un rând</w:t>
            </w:r>
          </w:p>
        </w:tc>
      </w:tr>
      <w:tr w:rsidR="001C08A5" w14:paraId="040E5415" w14:textId="77777777">
        <w:trPr>
          <w:gridAfter w:val="1"/>
          <w:wAfter w:w="15" w:type="dxa"/>
        </w:trPr>
        <w:tc>
          <w:tcPr>
            <w:tcW w:w="3363" w:type="dxa"/>
            <w:tcBorders>
              <w:top w:val="single" w:sz="8" w:space="0" w:color="000000"/>
              <w:left w:val="single" w:sz="8" w:space="0" w:color="000000"/>
              <w:bottom w:val="single" w:sz="4" w:space="0" w:color="000000"/>
            </w:tcBorders>
          </w:tcPr>
          <w:p w14:paraId="10E83CAD" w14:textId="77777777" w:rsidR="001C08A5" w:rsidRDefault="00000000">
            <w:pPr>
              <w:jc w:val="center"/>
              <w:rPr>
                <w:b/>
                <w:i/>
                <w:iCs/>
                <w:sz w:val="22"/>
                <w:szCs w:val="22"/>
              </w:rPr>
            </w:pPr>
            <w:r>
              <w:rPr>
                <w:i/>
                <w:iCs/>
                <w:sz w:val="22"/>
                <w:szCs w:val="22"/>
              </w:rPr>
              <w:t>Pe la un capăt al rândului</w:t>
            </w:r>
          </w:p>
        </w:tc>
        <w:tc>
          <w:tcPr>
            <w:tcW w:w="1710" w:type="dxa"/>
            <w:tcBorders>
              <w:top w:val="single" w:sz="8" w:space="0" w:color="000000"/>
              <w:left w:val="single" w:sz="4" w:space="0" w:color="000000"/>
              <w:bottom w:val="single" w:sz="4" w:space="0" w:color="000000"/>
            </w:tcBorders>
          </w:tcPr>
          <w:p w14:paraId="386C734B" w14:textId="77777777" w:rsidR="001C08A5" w:rsidRDefault="00000000">
            <w:pPr>
              <w:jc w:val="center"/>
              <w:rPr>
                <w:b/>
                <w:i/>
                <w:iCs/>
                <w:sz w:val="22"/>
                <w:szCs w:val="22"/>
              </w:rPr>
            </w:pPr>
            <w:r>
              <w:rPr>
                <w:b/>
                <w:i/>
                <w:iCs/>
                <w:sz w:val="22"/>
                <w:szCs w:val="22"/>
              </w:rPr>
              <w:t>25</w:t>
            </w:r>
          </w:p>
        </w:tc>
        <w:tc>
          <w:tcPr>
            <w:tcW w:w="1908" w:type="dxa"/>
            <w:tcBorders>
              <w:top w:val="single" w:sz="8" w:space="0" w:color="000000"/>
              <w:left w:val="single" w:sz="4" w:space="0" w:color="000000"/>
              <w:bottom w:val="single" w:sz="4" w:space="0" w:color="000000"/>
            </w:tcBorders>
          </w:tcPr>
          <w:p w14:paraId="338FD1CC" w14:textId="77777777" w:rsidR="001C08A5" w:rsidRDefault="00000000">
            <w:pPr>
              <w:jc w:val="center"/>
              <w:rPr>
                <w:b/>
                <w:i/>
                <w:iCs/>
                <w:sz w:val="22"/>
                <w:szCs w:val="22"/>
              </w:rPr>
            </w:pPr>
            <w:r>
              <w:rPr>
                <w:b/>
                <w:i/>
                <w:iCs/>
                <w:sz w:val="22"/>
                <w:szCs w:val="22"/>
              </w:rPr>
              <w:t>15</w:t>
            </w:r>
          </w:p>
        </w:tc>
        <w:tc>
          <w:tcPr>
            <w:tcW w:w="1941" w:type="dxa"/>
            <w:tcBorders>
              <w:top w:val="single" w:sz="8" w:space="0" w:color="000000"/>
              <w:left w:val="single" w:sz="4" w:space="0" w:color="000000"/>
              <w:bottom w:val="single" w:sz="4" w:space="0" w:color="000000"/>
              <w:right w:val="single" w:sz="8" w:space="0" w:color="000000"/>
            </w:tcBorders>
          </w:tcPr>
          <w:p w14:paraId="2F7058E0" w14:textId="77777777" w:rsidR="001C08A5" w:rsidRDefault="00000000">
            <w:pPr>
              <w:jc w:val="center"/>
              <w:rPr>
                <w:i/>
                <w:iCs/>
                <w:sz w:val="22"/>
                <w:szCs w:val="22"/>
              </w:rPr>
            </w:pPr>
            <w:r>
              <w:rPr>
                <w:b/>
                <w:i/>
                <w:iCs/>
                <w:sz w:val="22"/>
                <w:szCs w:val="22"/>
              </w:rPr>
              <w:t>10*</w:t>
            </w:r>
          </w:p>
        </w:tc>
      </w:tr>
      <w:tr w:rsidR="001C08A5" w14:paraId="753B67D2" w14:textId="77777777">
        <w:trPr>
          <w:gridAfter w:val="1"/>
          <w:wAfter w:w="15" w:type="dxa"/>
        </w:trPr>
        <w:tc>
          <w:tcPr>
            <w:tcW w:w="3363" w:type="dxa"/>
            <w:tcBorders>
              <w:top w:val="single" w:sz="4" w:space="0" w:color="000000"/>
              <w:left w:val="single" w:sz="8" w:space="0" w:color="000000"/>
              <w:bottom w:val="single" w:sz="8" w:space="0" w:color="000000"/>
            </w:tcBorders>
          </w:tcPr>
          <w:p w14:paraId="34BC60C7" w14:textId="77777777" w:rsidR="001C08A5" w:rsidRDefault="00000000">
            <w:pPr>
              <w:jc w:val="center"/>
              <w:rPr>
                <w:b/>
                <w:i/>
                <w:iCs/>
                <w:sz w:val="22"/>
                <w:szCs w:val="22"/>
              </w:rPr>
            </w:pPr>
            <w:r>
              <w:rPr>
                <w:i/>
                <w:iCs/>
                <w:sz w:val="22"/>
                <w:szCs w:val="22"/>
              </w:rPr>
              <w:t>Pe la ambele capete ale rândului</w:t>
            </w:r>
          </w:p>
        </w:tc>
        <w:tc>
          <w:tcPr>
            <w:tcW w:w="1710" w:type="dxa"/>
            <w:tcBorders>
              <w:top w:val="single" w:sz="4" w:space="0" w:color="000000"/>
              <w:left w:val="single" w:sz="4" w:space="0" w:color="000000"/>
              <w:bottom w:val="single" w:sz="8" w:space="0" w:color="000000"/>
            </w:tcBorders>
          </w:tcPr>
          <w:p w14:paraId="39D98025" w14:textId="77777777" w:rsidR="001C08A5" w:rsidRDefault="00000000">
            <w:pPr>
              <w:jc w:val="center"/>
              <w:rPr>
                <w:b/>
                <w:i/>
                <w:iCs/>
                <w:sz w:val="22"/>
                <w:szCs w:val="22"/>
              </w:rPr>
            </w:pPr>
            <w:r>
              <w:rPr>
                <w:b/>
                <w:i/>
                <w:iCs/>
                <w:sz w:val="22"/>
                <w:szCs w:val="22"/>
              </w:rPr>
              <w:t>50</w:t>
            </w:r>
          </w:p>
        </w:tc>
        <w:tc>
          <w:tcPr>
            <w:tcW w:w="1908" w:type="dxa"/>
            <w:tcBorders>
              <w:top w:val="single" w:sz="4" w:space="0" w:color="000000"/>
              <w:left w:val="single" w:sz="4" w:space="0" w:color="000000"/>
              <w:bottom w:val="single" w:sz="8" w:space="0" w:color="000000"/>
            </w:tcBorders>
          </w:tcPr>
          <w:p w14:paraId="6815DAB7" w14:textId="77777777" w:rsidR="001C08A5" w:rsidRDefault="00000000">
            <w:pPr>
              <w:jc w:val="center"/>
              <w:rPr>
                <w:b/>
                <w:i/>
                <w:iCs/>
                <w:sz w:val="22"/>
                <w:szCs w:val="22"/>
              </w:rPr>
            </w:pPr>
            <w:r>
              <w:rPr>
                <w:b/>
                <w:i/>
                <w:iCs/>
                <w:sz w:val="22"/>
                <w:szCs w:val="22"/>
              </w:rPr>
              <w:t>25</w:t>
            </w:r>
          </w:p>
        </w:tc>
        <w:tc>
          <w:tcPr>
            <w:tcW w:w="1941" w:type="dxa"/>
            <w:tcBorders>
              <w:top w:val="single" w:sz="4" w:space="0" w:color="000000"/>
              <w:left w:val="single" w:sz="4" w:space="0" w:color="000000"/>
              <w:bottom w:val="single" w:sz="8" w:space="0" w:color="000000"/>
              <w:right w:val="single" w:sz="8" w:space="0" w:color="000000"/>
            </w:tcBorders>
          </w:tcPr>
          <w:p w14:paraId="29747F11" w14:textId="77777777" w:rsidR="001C08A5" w:rsidRDefault="00000000">
            <w:pPr>
              <w:jc w:val="center"/>
              <w:rPr>
                <w:b/>
                <w:i/>
                <w:iCs/>
                <w:sz w:val="22"/>
                <w:szCs w:val="22"/>
              </w:rPr>
            </w:pPr>
            <w:r>
              <w:rPr>
                <w:b/>
                <w:i/>
                <w:iCs/>
                <w:sz w:val="22"/>
                <w:szCs w:val="22"/>
              </w:rPr>
              <w:t>20</w:t>
            </w:r>
          </w:p>
        </w:tc>
      </w:tr>
    </w:tbl>
    <w:p w14:paraId="030AC96C" w14:textId="77777777" w:rsidR="001C08A5" w:rsidRDefault="00000000">
      <w:pPr>
        <w:autoSpaceDE w:val="0"/>
        <w:rPr>
          <w:i/>
          <w:iCs/>
          <w:sz w:val="22"/>
          <w:szCs w:val="22"/>
        </w:rPr>
      </w:pPr>
      <w:r>
        <w:rPr>
          <w:bCs/>
          <w:i/>
          <w:iCs/>
          <w:sz w:val="22"/>
          <w:szCs w:val="22"/>
          <w:u w:val="single"/>
        </w:rPr>
        <w:t>Notă</w:t>
      </w:r>
      <w:r>
        <w:rPr>
          <w:i/>
          <w:iCs/>
          <w:sz w:val="22"/>
          <w:szCs w:val="22"/>
        </w:rPr>
        <w:t>:</w:t>
      </w:r>
    </w:p>
    <w:p w14:paraId="4FDDD786" w14:textId="77777777" w:rsidR="001C08A5" w:rsidRDefault="00000000">
      <w:pPr>
        <w:jc w:val="both"/>
        <w:rPr>
          <w:i/>
          <w:iCs/>
          <w:sz w:val="22"/>
          <w:szCs w:val="22"/>
        </w:rPr>
      </w:pPr>
      <w:r>
        <w:rPr>
          <w:b/>
          <w:i/>
          <w:iCs/>
          <w:sz w:val="22"/>
          <w:szCs w:val="22"/>
        </w:rPr>
        <w:t>*</w:t>
      </w:r>
      <w:r>
        <w:rPr>
          <w:i/>
          <w:iCs/>
          <w:sz w:val="22"/>
          <w:szCs w:val="22"/>
        </w:rPr>
        <w:t xml:space="preserve"> = la stadioanele, arenele şi amenajările deschise cu nivelul de stabilitate la incendiu </w:t>
      </w:r>
      <w:r>
        <w:rPr>
          <w:b/>
          <w:i/>
          <w:iCs/>
          <w:sz w:val="22"/>
          <w:szCs w:val="22"/>
        </w:rPr>
        <w:t>IV</w:t>
      </w:r>
      <w:r>
        <w:rPr>
          <w:i/>
          <w:iCs/>
          <w:sz w:val="22"/>
          <w:szCs w:val="22"/>
        </w:rPr>
        <w:t xml:space="preserve"> sau </w:t>
      </w:r>
      <w:r>
        <w:rPr>
          <w:b/>
          <w:i/>
          <w:iCs/>
          <w:sz w:val="22"/>
          <w:szCs w:val="22"/>
        </w:rPr>
        <w:t>V,</w:t>
      </w:r>
      <w:r>
        <w:rPr>
          <w:i/>
          <w:iCs/>
          <w:sz w:val="22"/>
          <w:szCs w:val="22"/>
        </w:rPr>
        <w:t xml:space="preserve"> se asigură obligatoriu evacuarea rândurilor de scaune la ambele capete.</w:t>
      </w:r>
    </w:p>
    <w:p w14:paraId="0CA21EBB" w14:textId="77777777" w:rsidR="001C08A5" w:rsidRDefault="00000000">
      <w:pPr>
        <w:jc w:val="both"/>
        <w:rPr>
          <w:i/>
          <w:iCs/>
          <w:sz w:val="24"/>
          <w:szCs w:val="24"/>
        </w:rPr>
      </w:pPr>
      <w:r>
        <w:rPr>
          <w:i/>
          <w:iCs/>
          <w:sz w:val="24"/>
          <w:szCs w:val="24"/>
        </w:rPr>
        <w:tab/>
      </w:r>
    </w:p>
    <w:p w14:paraId="42819764" w14:textId="77777777" w:rsidR="001C08A5" w:rsidRDefault="00000000">
      <w:pPr>
        <w:ind w:firstLine="708"/>
        <w:jc w:val="both"/>
        <w:rPr>
          <w:i/>
          <w:iCs/>
          <w:sz w:val="24"/>
          <w:szCs w:val="24"/>
        </w:rPr>
      </w:pPr>
      <w:r>
        <w:rPr>
          <w:b/>
          <w:i/>
          <w:iCs/>
          <w:sz w:val="24"/>
          <w:szCs w:val="24"/>
        </w:rPr>
        <w:t xml:space="preserve">(2) </w:t>
      </w:r>
      <w:r>
        <w:rPr>
          <w:rFonts w:eastAsia="TimesNewRomanPSMT"/>
          <w:i/>
          <w:iCs/>
          <w:sz w:val="24"/>
          <w:szCs w:val="24"/>
        </w:rPr>
        <w:t xml:space="preserve">Numărul maxim de randuri de scaune, dintre </w:t>
      </w:r>
      <w:r>
        <w:rPr>
          <w:rFonts w:eastAsia="TimesNewRomanPSMT"/>
          <w:b/>
          <w:bCs/>
          <w:i/>
          <w:iCs/>
          <w:sz w:val="24"/>
          <w:szCs w:val="24"/>
        </w:rPr>
        <w:t>2</w:t>
      </w:r>
      <w:r>
        <w:rPr>
          <w:rFonts w:eastAsia="TimesNewRomanPSMT"/>
          <w:i/>
          <w:iCs/>
          <w:sz w:val="24"/>
          <w:szCs w:val="24"/>
        </w:rPr>
        <w:t xml:space="preserve"> căi de circulaţie, în funcţie de nivelul de stabilitate la incendiu al construcţiei, va fi </w:t>
      </w:r>
      <w:r>
        <w:rPr>
          <w:i/>
          <w:iCs/>
          <w:sz w:val="24"/>
          <w:szCs w:val="24"/>
        </w:rPr>
        <w:t xml:space="preserve">potrivit prevederilor din </w:t>
      </w:r>
      <w:r>
        <w:rPr>
          <w:b/>
          <w:bCs/>
          <w:i/>
          <w:iCs/>
          <w:sz w:val="24"/>
          <w:szCs w:val="24"/>
        </w:rPr>
        <w:fldChar w:fldCharType="begin"/>
      </w:r>
      <w:r>
        <w:rPr>
          <w:b/>
          <w:bCs/>
          <w:i/>
          <w:iCs/>
          <w:sz w:val="24"/>
          <w:szCs w:val="24"/>
        </w:rPr>
        <w:instrText xml:space="preserve"> REF _Ref19500 \h </w:instrText>
      </w:r>
      <w:r>
        <w:rPr>
          <w:b/>
          <w:bCs/>
          <w:i/>
          <w:iCs/>
          <w:sz w:val="24"/>
          <w:szCs w:val="24"/>
        </w:rPr>
      </w:r>
      <w:r>
        <w:rPr>
          <w:b/>
          <w:bCs/>
          <w:i/>
          <w:iCs/>
          <w:sz w:val="24"/>
          <w:szCs w:val="24"/>
        </w:rPr>
        <w:fldChar w:fldCharType="separate"/>
      </w:r>
      <w:r>
        <w:t>Tabelul 131</w:t>
      </w:r>
      <w:r>
        <w:rPr>
          <w:b/>
          <w:bCs/>
          <w:i/>
          <w:iCs/>
          <w:sz w:val="24"/>
          <w:szCs w:val="24"/>
        </w:rPr>
        <w:fldChar w:fldCharType="end"/>
      </w:r>
      <w:r>
        <w:rPr>
          <w:i/>
          <w:iCs/>
          <w:sz w:val="24"/>
          <w:szCs w:val="24"/>
        </w:rPr>
        <w:t xml:space="preserve"> </w:t>
      </w:r>
      <w:r>
        <w:rPr>
          <w:b/>
          <w:i/>
          <w:iCs/>
          <w:sz w:val="24"/>
          <w:szCs w:val="24"/>
        </w:rPr>
        <w:t>.</w:t>
      </w:r>
    </w:p>
    <w:p w14:paraId="0099BEA9" w14:textId="77777777" w:rsidR="001C08A5" w:rsidRDefault="001C08A5">
      <w:pPr>
        <w:widowControl w:val="0"/>
        <w:jc w:val="both"/>
        <w:rPr>
          <w:b/>
          <w:i/>
          <w:iCs/>
          <w:sz w:val="24"/>
          <w:szCs w:val="24"/>
        </w:rPr>
      </w:pPr>
    </w:p>
    <w:p w14:paraId="2533F904" w14:textId="77777777" w:rsidR="001C08A5" w:rsidRDefault="00000000">
      <w:pPr>
        <w:pStyle w:val="Caption"/>
        <w:widowControl w:val="0"/>
        <w:jc w:val="both"/>
        <w:rPr>
          <w:rFonts w:eastAsia="TimesNewRomanPSMT" w:cs="Times New Roman"/>
        </w:rPr>
      </w:pPr>
      <w:bookmarkStart w:id="9443" w:name="_Ref19500"/>
      <w:bookmarkStart w:id="9444" w:name="_Toc162360181"/>
      <w:r>
        <w:t xml:space="preserve">Tabelul </w:t>
      </w:r>
      <w:r>
        <w:fldChar w:fldCharType="begin"/>
      </w:r>
      <w:r>
        <w:instrText xml:space="preserve"> SEQ Tabelul \* ARABIC </w:instrText>
      </w:r>
      <w:r>
        <w:fldChar w:fldCharType="separate"/>
      </w:r>
      <w:r>
        <w:t>131</w:t>
      </w:r>
      <w:r>
        <w:fldChar w:fldCharType="end"/>
      </w:r>
      <w:bookmarkStart w:id="9445" w:name="_Toc12329"/>
      <w:bookmarkStart w:id="9446" w:name="_Toc1155"/>
      <w:bookmarkStart w:id="9447" w:name="_Toc27408"/>
      <w:bookmarkStart w:id="9448" w:name="_Toc20684"/>
      <w:bookmarkStart w:id="9449" w:name="_Toc10735"/>
      <w:bookmarkStart w:id="9450" w:name="_Toc23039"/>
      <w:bookmarkStart w:id="9451" w:name="_Toc29821"/>
      <w:bookmarkStart w:id="9452" w:name="_Toc2139"/>
      <w:bookmarkStart w:id="9453" w:name="_Toc12501"/>
      <w:bookmarkStart w:id="9454" w:name="_Toc17057"/>
      <w:bookmarkStart w:id="9455" w:name="_Toc21969"/>
      <w:bookmarkEnd w:id="9443"/>
      <w:r>
        <w:t xml:space="preserve">: </w:t>
      </w:r>
      <w:r>
        <w:rPr>
          <w:rFonts w:cs="Times New Roman"/>
        </w:rPr>
        <w:t>Număr maxim de rânduri de scaune la arene și stadioane în aer liber</w:t>
      </w:r>
      <w:bookmarkEnd w:id="9444"/>
      <w:bookmarkEnd w:id="9445"/>
      <w:bookmarkEnd w:id="9446"/>
      <w:bookmarkEnd w:id="9447"/>
      <w:bookmarkEnd w:id="9448"/>
      <w:bookmarkEnd w:id="9449"/>
      <w:bookmarkEnd w:id="9450"/>
      <w:bookmarkEnd w:id="9451"/>
      <w:bookmarkEnd w:id="9452"/>
      <w:bookmarkEnd w:id="9453"/>
      <w:bookmarkEnd w:id="9454"/>
      <w:bookmarkEnd w:id="9455"/>
    </w:p>
    <w:tbl>
      <w:tblPr>
        <w:tblStyle w:val="TableGrid"/>
        <w:tblW w:w="0" w:type="auto"/>
        <w:tblLook w:val="04A0" w:firstRow="1" w:lastRow="0" w:firstColumn="1" w:lastColumn="0" w:noHBand="0" w:noVBand="1"/>
      </w:tblPr>
      <w:tblGrid>
        <w:gridCol w:w="5036"/>
        <w:gridCol w:w="1166"/>
        <w:gridCol w:w="1217"/>
        <w:gridCol w:w="1103"/>
      </w:tblGrid>
      <w:tr w:rsidR="001C08A5" w14:paraId="77D5436C" w14:textId="77777777">
        <w:tc>
          <w:tcPr>
            <w:tcW w:w="5036" w:type="dxa"/>
          </w:tcPr>
          <w:p w14:paraId="55E4DAF4" w14:textId="77777777" w:rsidR="001C08A5" w:rsidRDefault="00000000">
            <w:pPr>
              <w:rPr>
                <w:rFonts w:eastAsia="TimesNewRomanPSMT"/>
                <w:b/>
                <w:bCs/>
                <w:i/>
                <w:iCs/>
                <w:sz w:val="24"/>
                <w:szCs w:val="24"/>
              </w:rPr>
            </w:pPr>
            <w:r>
              <w:rPr>
                <w:rFonts w:eastAsia="TimesNewRomanPSMT"/>
                <w:b/>
                <w:bCs/>
                <w:i/>
                <w:iCs/>
                <w:sz w:val="24"/>
                <w:szCs w:val="24"/>
              </w:rPr>
              <w:t>Nivelul de stabilitate la incendiu al clădirii</w:t>
            </w:r>
          </w:p>
        </w:tc>
        <w:tc>
          <w:tcPr>
            <w:tcW w:w="1166" w:type="dxa"/>
          </w:tcPr>
          <w:p w14:paraId="47B0B970" w14:textId="77777777" w:rsidR="001C08A5" w:rsidRDefault="00000000">
            <w:pPr>
              <w:jc w:val="center"/>
              <w:rPr>
                <w:rFonts w:eastAsia="TimesNewRomanPSMT"/>
                <w:b/>
                <w:bCs/>
                <w:i/>
                <w:iCs/>
                <w:sz w:val="24"/>
                <w:szCs w:val="24"/>
              </w:rPr>
            </w:pPr>
            <w:r>
              <w:rPr>
                <w:rFonts w:eastAsia="TimesNewRomanPSMT"/>
                <w:b/>
                <w:bCs/>
                <w:i/>
                <w:iCs/>
                <w:sz w:val="24"/>
                <w:szCs w:val="24"/>
              </w:rPr>
              <w:t>I</w:t>
            </w:r>
          </w:p>
        </w:tc>
        <w:tc>
          <w:tcPr>
            <w:tcW w:w="1217" w:type="dxa"/>
          </w:tcPr>
          <w:p w14:paraId="61C6EA55" w14:textId="77777777" w:rsidR="001C08A5" w:rsidRDefault="00000000">
            <w:pPr>
              <w:jc w:val="center"/>
              <w:rPr>
                <w:rFonts w:eastAsia="TimesNewRomanPSMT"/>
                <w:b/>
                <w:bCs/>
                <w:i/>
                <w:iCs/>
                <w:sz w:val="24"/>
                <w:szCs w:val="24"/>
              </w:rPr>
            </w:pPr>
            <w:r>
              <w:rPr>
                <w:rFonts w:eastAsia="TimesNewRomanPSMT"/>
                <w:b/>
                <w:bCs/>
                <w:i/>
                <w:iCs/>
                <w:sz w:val="24"/>
                <w:szCs w:val="24"/>
              </w:rPr>
              <w:t>II şi III</w:t>
            </w:r>
          </w:p>
        </w:tc>
        <w:tc>
          <w:tcPr>
            <w:tcW w:w="1103" w:type="dxa"/>
          </w:tcPr>
          <w:p w14:paraId="2718A742" w14:textId="77777777" w:rsidR="001C08A5" w:rsidRDefault="00000000">
            <w:pPr>
              <w:jc w:val="center"/>
              <w:rPr>
                <w:rFonts w:eastAsia="TimesNewRomanPSMT"/>
                <w:b/>
                <w:bCs/>
                <w:i/>
                <w:iCs/>
                <w:sz w:val="24"/>
                <w:szCs w:val="24"/>
              </w:rPr>
            </w:pPr>
            <w:r>
              <w:rPr>
                <w:rFonts w:eastAsia="TimesNewRomanPSMT"/>
                <w:b/>
                <w:bCs/>
                <w:i/>
                <w:iCs/>
                <w:sz w:val="24"/>
                <w:szCs w:val="24"/>
              </w:rPr>
              <w:t>IV şi V</w:t>
            </w:r>
          </w:p>
        </w:tc>
      </w:tr>
      <w:tr w:rsidR="001C08A5" w14:paraId="39ED6062" w14:textId="77777777">
        <w:tc>
          <w:tcPr>
            <w:tcW w:w="5036" w:type="dxa"/>
          </w:tcPr>
          <w:p w14:paraId="4B888C21" w14:textId="77777777" w:rsidR="001C08A5" w:rsidRDefault="00000000">
            <w:pPr>
              <w:rPr>
                <w:rFonts w:eastAsia="TimesNewRomanPSMT"/>
                <w:b/>
                <w:bCs/>
                <w:i/>
                <w:iCs/>
                <w:sz w:val="24"/>
                <w:szCs w:val="24"/>
              </w:rPr>
            </w:pPr>
            <w:r>
              <w:rPr>
                <w:rFonts w:eastAsia="TimesNewRomanPSMT"/>
                <w:b/>
                <w:bCs/>
                <w:i/>
                <w:iCs/>
                <w:sz w:val="24"/>
                <w:szCs w:val="24"/>
              </w:rPr>
              <w:t>Numărul de randuri</w:t>
            </w:r>
          </w:p>
        </w:tc>
        <w:tc>
          <w:tcPr>
            <w:tcW w:w="1166" w:type="dxa"/>
          </w:tcPr>
          <w:p w14:paraId="5074BE9B" w14:textId="77777777" w:rsidR="001C08A5" w:rsidRDefault="00000000">
            <w:pPr>
              <w:jc w:val="center"/>
              <w:rPr>
                <w:rFonts w:eastAsia="TimesNewRomanPSMT"/>
                <w:b/>
                <w:bCs/>
                <w:i/>
                <w:iCs/>
                <w:sz w:val="24"/>
                <w:szCs w:val="24"/>
              </w:rPr>
            </w:pPr>
            <w:r>
              <w:rPr>
                <w:rFonts w:eastAsia="ArialMT"/>
                <w:b/>
                <w:bCs/>
                <w:i/>
                <w:iCs/>
                <w:sz w:val="24"/>
                <w:szCs w:val="24"/>
              </w:rPr>
              <w:t>30</w:t>
            </w:r>
          </w:p>
        </w:tc>
        <w:tc>
          <w:tcPr>
            <w:tcW w:w="1217" w:type="dxa"/>
          </w:tcPr>
          <w:p w14:paraId="29C11A60" w14:textId="77777777" w:rsidR="001C08A5" w:rsidRDefault="00000000">
            <w:pPr>
              <w:jc w:val="center"/>
              <w:rPr>
                <w:rFonts w:eastAsia="TimesNewRomanPSMT"/>
                <w:b/>
                <w:bCs/>
                <w:i/>
                <w:iCs/>
                <w:sz w:val="24"/>
                <w:szCs w:val="24"/>
              </w:rPr>
            </w:pPr>
            <w:r>
              <w:rPr>
                <w:rFonts w:eastAsia="ArialMT"/>
                <w:b/>
                <w:bCs/>
                <w:i/>
                <w:iCs/>
                <w:sz w:val="24"/>
                <w:szCs w:val="24"/>
              </w:rPr>
              <w:t>20</w:t>
            </w:r>
          </w:p>
        </w:tc>
        <w:tc>
          <w:tcPr>
            <w:tcW w:w="1103" w:type="dxa"/>
          </w:tcPr>
          <w:p w14:paraId="701D9516" w14:textId="77777777" w:rsidR="001C08A5" w:rsidRDefault="00000000">
            <w:pPr>
              <w:jc w:val="center"/>
              <w:rPr>
                <w:rFonts w:eastAsia="TimesNewRomanPSMT"/>
                <w:b/>
                <w:bCs/>
                <w:i/>
                <w:iCs/>
                <w:sz w:val="24"/>
                <w:szCs w:val="24"/>
              </w:rPr>
            </w:pPr>
            <w:r>
              <w:rPr>
                <w:rFonts w:eastAsia="ArialMT"/>
                <w:b/>
                <w:bCs/>
                <w:i/>
                <w:iCs/>
                <w:sz w:val="24"/>
                <w:szCs w:val="24"/>
              </w:rPr>
              <w:t>15</w:t>
            </w:r>
          </w:p>
        </w:tc>
      </w:tr>
    </w:tbl>
    <w:p w14:paraId="62975EF3" w14:textId="77777777" w:rsidR="001C08A5" w:rsidRDefault="001C08A5">
      <w:pPr>
        <w:autoSpaceDE w:val="0"/>
        <w:jc w:val="both"/>
        <w:rPr>
          <w:b/>
          <w:i/>
          <w:iCs/>
          <w:sz w:val="24"/>
          <w:szCs w:val="24"/>
        </w:rPr>
      </w:pPr>
    </w:p>
    <w:p w14:paraId="642277D4"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În toate categoriile de stadioane și arene se asigură condiţiile speciale de siguranţă şi confort pentru spectatorii cu dizabilități. Pentru aceasta trebuie să se prevadă locuri special amenajate în tribune astfel încât să asigure persoanelor cu handicap o bună vizibilitate şi un acces comod (rampe pentru scaune cu rotile), precum şi servicii sanitare şi de asistenţă adecvat, proiectate pentru această categorie de spectatori, în conformitate cu normele specifice în vigoare.</w:t>
      </w:r>
    </w:p>
    <w:p w14:paraId="195BDAE8" w14:textId="77777777" w:rsidR="001C08A5" w:rsidRDefault="001C08A5">
      <w:pPr>
        <w:numPr>
          <w:ilvl w:val="255"/>
          <w:numId w:val="0"/>
        </w:numPr>
        <w:tabs>
          <w:tab w:val="left" w:pos="426"/>
          <w:tab w:val="left" w:pos="993"/>
        </w:tabs>
        <w:jc w:val="both"/>
        <w:rPr>
          <w:rFonts w:eastAsia="TimesNewRomanPSMT"/>
          <w:bCs/>
          <w:i/>
          <w:iCs/>
          <w:sz w:val="24"/>
          <w:szCs w:val="24"/>
        </w:rPr>
      </w:pPr>
    </w:p>
    <w:p w14:paraId="73E9B66B"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Trebuie asigurat spectatorilor cu dizabilități, inclusiv celor în scaune cu rotile, accesul în tribune (încă de la intrarea în stadion prin porţile închiderii exterioare), astfel încât să nu se creeze dificultăţi în uz nici acestora şi nici celorlalţi spectatori. Spectatorii cu dizabilități locomotorii nu trebuie să se afle în nici o zonă a stadionului în care imposibilitatea lor de a se mişca repede ar reprezenta un risc pentru ceilalţi spectatori în cazul evacuării în situații de urgenţă.</w:t>
      </w:r>
    </w:p>
    <w:p w14:paraId="6808134A" w14:textId="77777777" w:rsidR="001C08A5" w:rsidRDefault="001C08A5">
      <w:pPr>
        <w:numPr>
          <w:ilvl w:val="255"/>
          <w:numId w:val="0"/>
        </w:numPr>
        <w:tabs>
          <w:tab w:val="left" w:pos="426"/>
          <w:tab w:val="left" w:pos="993"/>
        </w:tabs>
        <w:jc w:val="both"/>
        <w:rPr>
          <w:rFonts w:eastAsia="TimesNewRomanPSMT"/>
          <w:bCs/>
          <w:i/>
          <w:iCs/>
          <w:sz w:val="24"/>
          <w:szCs w:val="24"/>
        </w:rPr>
      </w:pPr>
    </w:p>
    <w:p w14:paraId="18D8F7CB" w14:textId="77777777" w:rsidR="001C08A5" w:rsidRDefault="00000000">
      <w:pPr>
        <w:numPr>
          <w:ilvl w:val="0"/>
          <w:numId w:val="96"/>
        </w:numPr>
        <w:tabs>
          <w:tab w:val="left" w:pos="426"/>
          <w:tab w:val="left" w:pos="993"/>
        </w:tabs>
        <w:jc w:val="both"/>
        <w:rPr>
          <w:rFonts w:eastAsia="TimesNewRomanPS-ItalicMT"/>
          <w:bCs/>
          <w:i/>
          <w:iCs/>
          <w:sz w:val="24"/>
          <w:szCs w:val="24"/>
        </w:rPr>
      </w:pPr>
      <w:r>
        <w:rPr>
          <w:rFonts w:eastAsia="TimesNewRomanPS-ItalicMT"/>
          <w:bCs/>
          <w:i/>
          <w:iCs/>
          <w:sz w:val="24"/>
          <w:szCs w:val="24"/>
        </w:rPr>
        <w:t>Holurile şi spaţiile pentru circulaţie şi odihnă s</w:t>
      </w:r>
      <w:r>
        <w:rPr>
          <w:rFonts w:eastAsia="TimesNewRomanPSMT"/>
          <w:bCs/>
          <w:i/>
          <w:iCs/>
          <w:sz w:val="24"/>
          <w:szCs w:val="24"/>
        </w:rPr>
        <w:t xml:space="preserve">e află în cea mai mare parte pe marile „inele de distribuţie" din spatele tribunelor. Circulaţiile de distribuire şi degajament care constituie căi </w:t>
      </w:r>
      <w:r>
        <w:rPr>
          <w:rFonts w:eastAsia="TimesNewRomanPSMT"/>
          <w:bCs/>
          <w:i/>
          <w:iCs/>
          <w:sz w:val="24"/>
          <w:szCs w:val="24"/>
        </w:rPr>
        <w:lastRenderedPageBreak/>
        <w:t xml:space="preserve">comune de evacuare din spatele tribunelor trebuie să aibă o lăţime suficient de mare pentru a prelua aceste funcţiuni. Dacă aceste circulaţii sunt acoperite, vor avea o inălţime sub plafon de minimum </w:t>
      </w:r>
      <w:r>
        <w:rPr>
          <w:rFonts w:eastAsia="TimesNewRomanPSMT"/>
          <w:b/>
          <w:i/>
          <w:iCs/>
          <w:sz w:val="24"/>
          <w:szCs w:val="24"/>
        </w:rPr>
        <w:t>2,40 m</w:t>
      </w:r>
      <w:r>
        <w:rPr>
          <w:rFonts w:eastAsia="TimesNewRomanPSMT"/>
          <w:bCs/>
          <w:i/>
          <w:iCs/>
          <w:sz w:val="24"/>
          <w:szCs w:val="24"/>
        </w:rPr>
        <w:t xml:space="preserve"> (sub </w:t>
      </w:r>
      <w:r>
        <w:rPr>
          <w:rFonts w:eastAsia="TimesNewRomanPSMT"/>
          <w:b/>
          <w:i/>
          <w:iCs/>
          <w:sz w:val="24"/>
          <w:szCs w:val="24"/>
        </w:rPr>
        <w:t>2,40 m</w:t>
      </w:r>
      <w:r>
        <w:rPr>
          <w:rFonts w:eastAsia="TimesNewRomanPSMT"/>
          <w:bCs/>
          <w:i/>
          <w:iCs/>
          <w:sz w:val="24"/>
          <w:szCs w:val="24"/>
        </w:rPr>
        <w:t xml:space="preserve"> nu se vor prevedea elemente cu potenţial de accidentare) şi vor fi libere de orice obstacol. Se va da o atenţie deosebită rezistenţei materialelor folosite şi a parapetelor sau mainilor curente (cu înălțime de min </w:t>
      </w:r>
      <w:r>
        <w:rPr>
          <w:rFonts w:eastAsia="TimesNewRomanPSMT"/>
          <w:b/>
          <w:i/>
          <w:iCs/>
          <w:sz w:val="24"/>
          <w:szCs w:val="24"/>
        </w:rPr>
        <w:t>1,20 m</w:t>
      </w:r>
      <w:r>
        <w:rPr>
          <w:rFonts w:eastAsia="TimesNewRomanPSMT"/>
          <w:bCs/>
          <w:i/>
          <w:iCs/>
          <w:sz w:val="24"/>
          <w:szCs w:val="24"/>
        </w:rPr>
        <w:t xml:space="preserve"> și prezăzute cu bare care să împiedice cățărarea în cazul balustradelor). Legătura dintre accesul în stadion şi circulaţiile din spatele tribunelor se face prin scări largi sau rampe, obligatoriu cu rampe drepte, debuşand intr-o zonă largă, liberă, amplasată între tribune şi incinta exterioară. Se vor evita efectele de „palnie" şi schimbările bruşte de direcţie. Numărul porţilor aflate pe traseul acestor circulaţii care constituie căi comune de evacuare trebuie limitat la minimum.</w:t>
      </w:r>
    </w:p>
    <w:p w14:paraId="56A6EE87" w14:textId="77777777" w:rsidR="001C08A5" w:rsidRDefault="001C08A5">
      <w:pPr>
        <w:numPr>
          <w:ilvl w:val="255"/>
          <w:numId w:val="0"/>
        </w:numPr>
        <w:tabs>
          <w:tab w:val="left" w:pos="426"/>
          <w:tab w:val="left" w:pos="993"/>
        </w:tabs>
        <w:jc w:val="both"/>
        <w:rPr>
          <w:rFonts w:eastAsia="TimesNewRomanPS-ItalicMT"/>
          <w:bCs/>
          <w:i/>
          <w:iCs/>
          <w:sz w:val="24"/>
          <w:szCs w:val="24"/>
        </w:rPr>
      </w:pPr>
    </w:p>
    <w:p w14:paraId="5D198B55" w14:textId="77777777" w:rsidR="001C08A5" w:rsidRDefault="00000000">
      <w:pPr>
        <w:numPr>
          <w:ilvl w:val="0"/>
          <w:numId w:val="96"/>
        </w:numPr>
        <w:tabs>
          <w:tab w:val="left" w:pos="426"/>
          <w:tab w:val="left" w:pos="993"/>
        </w:tabs>
        <w:jc w:val="both"/>
        <w:rPr>
          <w:bCs/>
          <w:i/>
          <w:iCs/>
          <w:sz w:val="24"/>
          <w:szCs w:val="24"/>
        </w:rPr>
      </w:pPr>
      <w:r>
        <w:rPr>
          <w:rFonts w:eastAsia="TimesNewRomanPSMT"/>
          <w:bCs/>
          <w:i/>
          <w:iCs/>
          <w:sz w:val="24"/>
          <w:szCs w:val="24"/>
        </w:rPr>
        <w:t xml:space="preserve">Porţile de </w:t>
      </w:r>
      <w:r>
        <w:rPr>
          <w:rFonts w:eastAsia="TimesNewRomanPS-ItalicMT"/>
          <w:bCs/>
          <w:i/>
          <w:iCs/>
          <w:sz w:val="24"/>
          <w:szCs w:val="24"/>
        </w:rPr>
        <w:t xml:space="preserve">evacuare din incinta exterioară </w:t>
      </w:r>
      <w:r>
        <w:rPr>
          <w:rFonts w:eastAsia="TimesNewRomanPSMT"/>
          <w:bCs/>
          <w:i/>
          <w:iCs/>
          <w:sz w:val="24"/>
          <w:szCs w:val="24"/>
        </w:rPr>
        <w:t xml:space="preserve">(ieşire din stadion) vor fi în număr cat mai mare. Toate porţile se vor deschide către exterior (în sensul evacuării). Nu este recomandabilă utilizarea porţilor culisante. Ideal ar fi ca aproximativ jumătate din închiderea exterioară să se poată deschide în momentul ieşirii publicului, fiind astfel prevăzută încât să nu încurajeze intruziunile (înălţime minimă de </w:t>
      </w:r>
      <w:r>
        <w:rPr>
          <w:rFonts w:eastAsia="TimesNewRomanPSMT"/>
          <w:b/>
          <w:i/>
          <w:iCs/>
          <w:sz w:val="24"/>
          <w:szCs w:val="24"/>
        </w:rPr>
        <w:t>2,50 m</w:t>
      </w:r>
      <w:r>
        <w:rPr>
          <w:rFonts w:eastAsia="TimesNewRomanPSMT"/>
          <w:bCs/>
          <w:i/>
          <w:iCs/>
          <w:sz w:val="24"/>
          <w:szCs w:val="24"/>
        </w:rPr>
        <w:t>, detalii care să nu permită escaladarea etc.).</w:t>
      </w:r>
    </w:p>
    <w:p w14:paraId="38031100" w14:textId="77777777" w:rsidR="001C08A5" w:rsidRDefault="001C08A5">
      <w:pPr>
        <w:numPr>
          <w:ilvl w:val="255"/>
          <w:numId w:val="0"/>
        </w:numPr>
        <w:tabs>
          <w:tab w:val="left" w:pos="426"/>
          <w:tab w:val="left" w:pos="993"/>
        </w:tabs>
        <w:jc w:val="both"/>
        <w:rPr>
          <w:bCs/>
          <w:i/>
          <w:iCs/>
          <w:sz w:val="24"/>
          <w:szCs w:val="24"/>
        </w:rPr>
      </w:pPr>
    </w:p>
    <w:p w14:paraId="68AFEDA9"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ItalicMT"/>
          <w:bCs/>
          <w:i/>
          <w:iCs/>
          <w:sz w:val="24"/>
          <w:szCs w:val="24"/>
        </w:rPr>
        <w:t xml:space="preserve">Amenajările de alimentație publică </w:t>
      </w:r>
      <w:r>
        <w:rPr>
          <w:rFonts w:eastAsia="TimesNewRomanPSMT"/>
          <w:bCs/>
          <w:i/>
          <w:iCs/>
          <w:sz w:val="24"/>
          <w:szCs w:val="24"/>
        </w:rPr>
        <w:t xml:space="preserve">se amplasează, de regulă în spatele tribunelor, în apropierea ieşirilor, dar astfel încât să nu constituie un impediment în calea fluxului de evacuare. </w:t>
      </w:r>
      <w:r>
        <w:rPr>
          <w:bCs/>
          <w:i/>
          <w:iCs/>
          <w:sz w:val="24"/>
          <w:szCs w:val="24"/>
        </w:rPr>
        <w:t xml:space="preserve">Amplasarea mobilierului se face astfel încât să se asigure căi de acces şi circulaţie, prin treceri cu lăţimi determinate prin calcul. La amplasarea mobilierului cu locuri la mese, trebuie să se asigure treceri cu lăţimi normate determinate prin calcul și prin care utilizatorii să se poată evacua în caz de incendiu, </w:t>
      </w:r>
      <w:r>
        <w:rPr>
          <w:rFonts w:eastAsia="TimesNewRomanPS-ItalicMT"/>
          <w:bCs/>
          <w:i/>
          <w:iCs/>
          <w:sz w:val="24"/>
          <w:szCs w:val="24"/>
        </w:rPr>
        <w:t xml:space="preserve">se amplasează în funcție de reglementarile în vigoare luînd în calcul și </w:t>
      </w:r>
      <w:r>
        <w:rPr>
          <w:rFonts w:eastAsia="TimesNewRomanPSMT"/>
          <w:bCs/>
          <w:i/>
          <w:iCs/>
          <w:sz w:val="24"/>
          <w:szCs w:val="24"/>
        </w:rPr>
        <w:t>riscul privind conflictul, agresivitatea și violența în sport, factorii și formele de manifestare ale violenței în sport precum și metodele de combatere a acesteia</w:t>
      </w:r>
      <w:r>
        <w:rPr>
          <w:bCs/>
          <w:i/>
          <w:iCs/>
          <w:sz w:val="24"/>
          <w:szCs w:val="24"/>
        </w:rPr>
        <w:t xml:space="preserve">.  </w:t>
      </w:r>
    </w:p>
    <w:p w14:paraId="403D633B" w14:textId="77777777" w:rsidR="001C08A5" w:rsidRDefault="001C08A5">
      <w:pPr>
        <w:numPr>
          <w:ilvl w:val="255"/>
          <w:numId w:val="0"/>
        </w:numPr>
        <w:tabs>
          <w:tab w:val="left" w:pos="426"/>
          <w:tab w:val="left" w:pos="993"/>
        </w:tabs>
        <w:jc w:val="both"/>
        <w:rPr>
          <w:rFonts w:eastAsia="TimesNewRomanPSMT"/>
          <w:bCs/>
          <w:i/>
          <w:iCs/>
          <w:sz w:val="24"/>
          <w:szCs w:val="24"/>
        </w:rPr>
      </w:pPr>
    </w:p>
    <w:p w14:paraId="0E14AB6C"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Spaţiile destinate serviciului medical</w:t>
      </w:r>
      <w:r>
        <w:rPr>
          <w:rFonts w:eastAsia="TimesNewRomanPS-ItalicMT"/>
          <w:bCs/>
          <w:i/>
          <w:iCs/>
          <w:sz w:val="24"/>
          <w:szCs w:val="24"/>
        </w:rPr>
        <w:t xml:space="preserve"> (care </w:t>
      </w:r>
      <w:r>
        <w:rPr>
          <w:rFonts w:eastAsia="TimesNewRomanPSMT"/>
          <w:bCs/>
          <w:i/>
          <w:iCs/>
          <w:sz w:val="24"/>
          <w:szCs w:val="24"/>
        </w:rPr>
        <w:t xml:space="preserve">se iau în calcul în funcţie de capacitatea stadionului sau arenei, respectiv, cabinet medical, infirmerie și/ sau posturi de prim ajutor) trebuie să asigure evacuarea în condiţii de securitate şi urgenţă a pacienţilor. În cazul dotării cu cabinet medical sau infirmerie trebuie să existe un traseu distinct, dimensionat corespunzător pentru transportul cu targa, care nu se intersectează cu celelalte circulaţii sau să nu poată fi obstrucţionat de celelalte circulaţii şi să aibă o parcare proprie în care staţionează o salvare. </w:t>
      </w:r>
    </w:p>
    <w:p w14:paraId="4A0111AB" w14:textId="77777777" w:rsidR="001C08A5" w:rsidRDefault="001C08A5">
      <w:pPr>
        <w:numPr>
          <w:ilvl w:val="255"/>
          <w:numId w:val="0"/>
        </w:numPr>
        <w:tabs>
          <w:tab w:val="left" w:pos="426"/>
          <w:tab w:val="left" w:pos="993"/>
        </w:tabs>
        <w:jc w:val="both"/>
        <w:rPr>
          <w:rFonts w:eastAsia="TimesNewRomanPSMT"/>
          <w:bCs/>
          <w:i/>
          <w:iCs/>
          <w:sz w:val="24"/>
          <w:szCs w:val="24"/>
        </w:rPr>
      </w:pPr>
    </w:p>
    <w:p w14:paraId="260FB93F"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ItalicMT"/>
          <w:bCs/>
          <w:i/>
          <w:iCs/>
          <w:sz w:val="24"/>
          <w:szCs w:val="24"/>
        </w:rPr>
        <w:t xml:space="preserve">Anexele cu rol în siguranţa spectatorilor (post de supraveghere, spaţiu regrupare personal civil de securitate, spaţii pentru forţele poliţiei </w:t>
      </w:r>
      <w:r>
        <w:rPr>
          <w:rFonts w:eastAsia="TimesNewRomanPSMT"/>
          <w:bCs/>
          <w:i/>
          <w:iCs/>
          <w:sz w:val="24"/>
          <w:szCs w:val="24"/>
        </w:rPr>
        <w:t>cu posibilitatea de vizualizare a intregii suprafeţe a stadionului</w:t>
      </w:r>
      <w:r>
        <w:rPr>
          <w:rFonts w:eastAsia="TimesNewRomanPS-ItalicMT"/>
          <w:bCs/>
          <w:i/>
          <w:iCs/>
          <w:sz w:val="24"/>
          <w:szCs w:val="24"/>
        </w:rPr>
        <w:t xml:space="preserve"> și spaţii pentru pompieri) se amplasează în funcție de reglementarile în vigoare luînd în calcul și </w:t>
      </w:r>
      <w:r>
        <w:rPr>
          <w:rFonts w:eastAsia="TimesNewRomanPSMT"/>
          <w:bCs/>
          <w:i/>
          <w:iCs/>
          <w:sz w:val="24"/>
          <w:szCs w:val="24"/>
        </w:rPr>
        <w:t>riscul care este constituit din efectul panicii asupra unei mari aglomerări de oameni.</w:t>
      </w:r>
    </w:p>
    <w:p w14:paraId="44425D7C" w14:textId="77777777" w:rsidR="001C08A5" w:rsidRDefault="001C08A5">
      <w:pPr>
        <w:numPr>
          <w:ilvl w:val="255"/>
          <w:numId w:val="0"/>
        </w:numPr>
        <w:tabs>
          <w:tab w:val="left" w:pos="426"/>
          <w:tab w:val="left" w:pos="993"/>
        </w:tabs>
        <w:jc w:val="both"/>
        <w:rPr>
          <w:rFonts w:eastAsia="TimesNewRomanPSMT"/>
          <w:bCs/>
          <w:i/>
          <w:iCs/>
          <w:sz w:val="24"/>
          <w:szCs w:val="24"/>
        </w:rPr>
      </w:pPr>
    </w:p>
    <w:p w14:paraId="41092F58" w14:textId="77777777" w:rsidR="001C08A5" w:rsidRDefault="00000000">
      <w:pPr>
        <w:numPr>
          <w:ilvl w:val="0"/>
          <w:numId w:val="96"/>
        </w:numPr>
        <w:tabs>
          <w:tab w:val="left" w:pos="426"/>
          <w:tab w:val="left" w:pos="993"/>
        </w:tabs>
        <w:jc w:val="both"/>
        <w:rPr>
          <w:bCs/>
          <w:i/>
          <w:iCs/>
          <w:sz w:val="24"/>
          <w:szCs w:val="24"/>
        </w:rPr>
      </w:pPr>
      <w:r>
        <w:rPr>
          <w:rFonts w:eastAsia="TimesNewRomanPSMT"/>
          <w:bCs/>
          <w:i/>
          <w:iCs/>
          <w:sz w:val="24"/>
          <w:szCs w:val="24"/>
        </w:rPr>
        <w:t>Suprafaţa destinată spectatorilor, precum şi suprafaţa de joc, inclusiv căile de acces şi ieşire/ evacuare jucători, trebuie supravegheate prin diverse sisteme de control şi avertizare (sistemul de protecţie adoptat trebuie astfel ales, încât să nu constituie pericol pentru spectatori şi să nu creeze panică in timpul evacuării de urgenţă).</w:t>
      </w:r>
    </w:p>
    <w:p w14:paraId="186A1FE2" w14:textId="77777777" w:rsidR="001C08A5" w:rsidRDefault="001C08A5">
      <w:pPr>
        <w:numPr>
          <w:ilvl w:val="255"/>
          <w:numId w:val="0"/>
        </w:numPr>
        <w:tabs>
          <w:tab w:val="left" w:pos="426"/>
          <w:tab w:val="left" w:pos="993"/>
        </w:tabs>
        <w:jc w:val="both"/>
        <w:rPr>
          <w:bCs/>
          <w:i/>
          <w:iCs/>
          <w:sz w:val="24"/>
          <w:szCs w:val="24"/>
        </w:rPr>
      </w:pPr>
    </w:p>
    <w:p w14:paraId="3A55DD92" w14:textId="77777777" w:rsidR="001C08A5" w:rsidRDefault="00000000">
      <w:pPr>
        <w:numPr>
          <w:ilvl w:val="0"/>
          <w:numId w:val="96"/>
        </w:numPr>
        <w:tabs>
          <w:tab w:val="left" w:pos="426"/>
          <w:tab w:val="left" w:pos="993"/>
        </w:tabs>
        <w:jc w:val="both"/>
        <w:rPr>
          <w:rFonts w:eastAsia="TimesNewRomanPSMT"/>
          <w:bCs/>
          <w:i/>
          <w:iCs/>
          <w:sz w:val="24"/>
          <w:szCs w:val="24"/>
        </w:rPr>
      </w:pPr>
      <w:r>
        <w:rPr>
          <w:bCs/>
          <w:i/>
          <w:iCs/>
          <w:sz w:val="24"/>
          <w:szCs w:val="24"/>
        </w:rPr>
        <w:t xml:space="preserve">În cazul prevederii unor bariere de dirijare a circulaţiei, acestea vor fi astfel realizate şi amplasate încât să nu împiedice circulaţia și evacuarea în siguranţă a utilizatorilor în caz de incendiu. </w:t>
      </w:r>
      <w:r>
        <w:rPr>
          <w:rFonts w:eastAsia="TimesNewRomanPSMT"/>
          <w:bCs/>
          <w:i/>
          <w:iCs/>
          <w:sz w:val="24"/>
          <w:szCs w:val="24"/>
        </w:rPr>
        <w:t>Dispoziţia barierelor, scărilor, pasajelor şi ieşirilor trebuie astfel realizată incat să asigure o evacuare fluidă, rapidă şi în siguranţă urmărindu-se evitarea efectului de pâlnie (căi de acces/ieşire prea înguste).</w:t>
      </w:r>
    </w:p>
    <w:p w14:paraId="0B21F3EC" w14:textId="77777777" w:rsidR="001C08A5" w:rsidRDefault="00000000">
      <w:pPr>
        <w:tabs>
          <w:tab w:val="left" w:pos="426"/>
          <w:tab w:val="left" w:pos="993"/>
        </w:tabs>
        <w:jc w:val="center"/>
        <w:rPr>
          <w:rFonts w:eastAsia="TimesNewRomanPSMT"/>
          <w:bCs/>
          <w:i/>
          <w:iCs/>
          <w:sz w:val="24"/>
          <w:szCs w:val="24"/>
        </w:rPr>
      </w:pPr>
      <w:r>
        <w:rPr>
          <w:noProof/>
        </w:rPr>
        <w:lastRenderedPageBreak/>
        <w:drawing>
          <wp:inline distT="0" distB="0" distL="114300" distR="114300" wp14:anchorId="31EC41C6" wp14:editId="4FA42564">
            <wp:extent cx="6081395" cy="3236595"/>
            <wp:effectExtent l="0" t="0" r="14605" b="1905"/>
            <wp:docPr id="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4"/>
                    <pic:cNvPicPr>
                      <a:picLocks noChangeAspect="1"/>
                    </pic:cNvPicPr>
                  </pic:nvPicPr>
                  <pic:blipFill>
                    <a:blip r:embed="rId485"/>
                    <a:srcRect l="12172" t="8600" r="7268" b="6450"/>
                    <a:stretch>
                      <a:fillRect/>
                    </a:stretch>
                  </pic:blipFill>
                  <pic:spPr>
                    <a:xfrm>
                      <a:off x="0" y="0"/>
                      <a:ext cx="6081395" cy="3236595"/>
                    </a:xfrm>
                    <a:prstGeom prst="rect">
                      <a:avLst/>
                    </a:prstGeom>
                    <a:noFill/>
                    <a:ln>
                      <a:noFill/>
                    </a:ln>
                  </pic:spPr>
                </pic:pic>
              </a:graphicData>
            </a:graphic>
          </wp:inline>
        </w:drawing>
      </w:r>
    </w:p>
    <w:p w14:paraId="30975BF5" w14:textId="77777777" w:rsidR="001C08A5" w:rsidRDefault="00000000">
      <w:pPr>
        <w:pStyle w:val="Caption"/>
        <w:jc w:val="center"/>
        <w:rPr>
          <w:bCs/>
        </w:rPr>
      </w:pPr>
      <w:bookmarkStart w:id="9456" w:name="_Toc162360468"/>
      <w:r>
        <w:t xml:space="preserve">Figura </w:t>
      </w:r>
      <w:r>
        <w:fldChar w:fldCharType="begin"/>
      </w:r>
      <w:r>
        <w:instrText xml:space="preserve"> SEQ Figura \* ARABIC </w:instrText>
      </w:r>
      <w:r>
        <w:fldChar w:fldCharType="separate"/>
      </w:r>
      <w:r>
        <w:t>244</w:t>
      </w:r>
      <w:r>
        <w:fldChar w:fldCharType="end"/>
      </w:r>
      <w:bookmarkStart w:id="9457" w:name="_Toc22722"/>
      <w:bookmarkStart w:id="9458" w:name="_Toc18125"/>
      <w:bookmarkStart w:id="9459" w:name="_Toc19945"/>
      <w:bookmarkStart w:id="9460" w:name="_Toc26991"/>
      <w:bookmarkStart w:id="9461" w:name="_Toc8278"/>
      <w:bookmarkStart w:id="9462" w:name="_Toc1057"/>
      <w:bookmarkStart w:id="9463" w:name="_Toc13624"/>
      <w:bookmarkStart w:id="9464" w:name="_Toc8157"/>
      <w:bookmarkStart w:id="9465" w:name="_Toc7864"/>
      <w:r>
        <w:t xml:space="preserve"> - </w:t>
      </w:r>
      <w:r>
        <w:rPr>
          <w:bCs/>
        </w:rPr>
        <w:t>Circulații pe gradene la arene și stadioane</w:t>
      </w:r>
      <w:bookmarkEnd w:id="9456"/>
      <w:r>
        <w:rPr>
          <w:bCs/>
        </w:rPr>
        <w:t xml:space="preserve"> </w:t>
      </w:r>
      <w:bookmarkEnd w:id="9457"/>
      <w:bookmarkEnd w:id="9458"/>
      <w:bookmarkEnd w:id="9459"/>
      <w:bookmarkEnd w:id="9460"/>
      <w:bookmarkEnd w:id="9461"/>
      <w:bookmarkEnd w:id="9462"/>
      <w:bookmarkEnd w:id="9463"/>
      <w:bookmarkEnd w:id="9464"/>
      <w:bookmarkEnd w:id="9465"/>
    </w:p>
    <w:p w14:paraId="39AF9AD3" w14:textId="77777777" w:rsidR="001C08A5" w:rsidRDefault="00000000">
      <w:pPr>
        <w:jc w:val="both"/>
        <w:rPr>
          <w:rFonts w:eastAsia="TimesNewRomanPSMT"/>
          <w:i/>
          <w:iCs/>
          <w:sz w:val="22"/>
          <w:szCs w:val="22"/>
        </w:rPr>
      </w:pPr>
      <w:r>
        <w:rPr>
          <w:rFonts w:eastAsia="TimesNewRomanPSMT"/>
          <w:b/>
          <w:bCs/>
          <w:i/>
          <w:iCs/>
          <w:sz w:val="22"/>
          <w:szCs w:val="22"/>
        </w:rPr>
        <w:t>Notă Figura 244</w:t>
      </w:r>
      <w:r>
        <w:rPr>
          <w:rFonts w:eastAsia="TimesNewRomanPSMT"/>
          <w:i/>
          <w:iCs/>
          <w:sz w:val="22"/>
          <w:szCs w:val="22"/>
        </w:rPr>
        <w:t xml:space="preserve">: Valoarea </w:t>
      </w:r>
      <w:r>
        <w:rPr>
          <w:rFonts w:eastAsia="TimesNewRomanPSMT"/>
          <w:b/>
          <w:bCs/>
          <w:i/>
          <w:iCs/>
          <w:sz w:val="22"/>
          <w:szCs w:val="22"/>
        </w:rPr>
        <w:t xml:space="preserve">x </w:t>
      </w:r>
      <w:r>
        <w:rPr>
          <w:rFonts w:eastAsia="TimesNewRomanPSMT"/>
          <w:i/>
          <w:iCs/>
          <w:sz w:val="22"/>
          <w:szCs w:val="22"/>
        </w:rPr>
        <w:t xml:space="preserve">(lățimea gradenei) este constantă. </w:t>
      </w:r>
      <w:r>
        <w:rPr>
          <w:bCs/>
          <w:i/>
          <w:iCs/>
          <w:sz w:val="22"/>
          <w:szCs w:val="22"/>
        </w:rPr>
        <w:t xml:space="preserve">Treptele vor avea lăţimi și adâncimi egale. </w:t>
      </w:r>
      <w:r>
        <w:rPr>
          <w:rFonts w:eastAsia="TimesNewRomanPSMT"/>
          <w:i/>
          <w:iCs/>
          <w:sz w:val="22"/>
          <w:szCs w:val="22"/>
        </w:rPr>
        <w:t>Înălţimea gradenei</w:t>
      </w:r>
      <w:r>
        <w:rPr>
          <w:rFonts w:eastAsia="TimesNewRomanPS-ItalicMT"/>
          <w:i/>
          <w:iCs/>
          <w:sz w:val="22"/>
          <w:szCs w:val="22"/>
        </w:rPr>
        <w:t xml:space="preserve"> </w:t>
      </w:r>
      <w:r>
        <w:rPr>
          <w:rFonts w:eastAsia="TimesNewRomanPSMT"/>
          <w:i/>
          <w:iCs/>
          <w:sz w:val="22"/>
          <w:szCs w:val="22"/>
        </w:rPr>
        <w:t>rezultă din calculul curbei de vizibilitate (</w:t>
      </w:r>
      <w:r>
        <w:rPr>
          <w:rFonts w:eastAsia="TimesNewRomanPSMT"/>
          <w:b/>
          <w:bCs/>
          <w:i/>
          <w:iCs/>
          <w:sz w:val="22"/>
          <w:szCs w:val="22"/>
        </w:rPr>
        <w:t>z1</w:t>
      </w:r>
      <w:r>
        <w:rPr>
          <w:rFonts w:ascii="Arial" w:eastAsia="TimesNewRomanPSMT" w:hAnsi="Arial" w:cs="Arial"/>
          <w:b/>
          <w:bCs/>
          <w:i/>
          <w:iCs/>
          <w:sz w:val="22"/>
          <w:szCs w:val="22"/>
        </w:rPr>
        <w:t>≥</w:t>
      </w:r>
      <w:r>
        <w:rPr>
          <w:rFonts w:eastAsia="TimesNewRomanPSMT"/>
          <w:b/>
          <w:bCs/>
          <w:i/>
          <w:iCs/>
          <w:sz w:val="22"/>
          <w:szCs w:val="22"/>
        </w:rPr>
        <w:t>z2</w:t>
      </w:r>
      <w:r>
        <w:rPr>
          <w:rFonts w:ascii="Arial" w:eastAsia="TimesNewRomanPSMT" w:hAnsi="Arial" w:cs="Arial"/>
          <w:b/>
          <w:bCs/>
          <w:i/>
          <w:iCs/>
          <w:sz w:val="22"/>
          <w:szCs w:val="22"/>
        </w:rPr>
        <w:t>≥</w:t>
      </w:r>
      <w:r>
        <w:rPr>
          <w:rFonts w:eastAsia="TimesNewRomanPSMT"/>
          <w:b/>
          <w:bCs/>
          <w:i/>
          <w:iCs/>
          <w:sz w:val="22"/>
          <w:szCs w:val="22"/>
        </w:rPr>
        <w:t>z3</w:t>
      </w:r>
      <w:r>
        <w:rPr>
          <w:rFonts w:ascii="Arial" w:eastAsia="TimesNewRomanPSMT" w:hAnsi="Arial" w:cs="Arial"/>
          <w:b/>
          <w:bCs/>
          <w:i/>
          <w:iCs/>
          <w:sz w:val="22"/>
          <w:szCs w:val="22"/>
        </w:rPr>
        <w:t>≥</w:t>
      </w:r>
      <w:r>
        <w:rPr>
          <w:rFonts w:eastAsia="TimesNewRomanPSMT"/>
          <w:b/>
          <w:bCs/>
          <w:i/>
          <w:iCs/>
          <w:sz w:val="22"/>
          <w:szCs w:val="22"/>
        </w:rPr>
        <w:t xml:space="preserve">z4 ... </w:t>
      </w:r>
      <w:r>
        <w:rPr>
          <w:rFonts w:ascii="Arial" w:eastAsia="TimesNewRomanPSMT" w:hAnsi="Arial" w:cs="Arial"/>
          <w:b/>
          <w:bCs/>
          <w:i/>
          <w:iCs/>
          <w:sz w:val="22"/>
          <w:szCs w:val="22"/>
        </w:rPr>
        <w:t>≥</w:t>
      </w:r>
      <w:r>
        <w:rPr>
          <w:rFonts w:eastAsia="TimesNewRomanPSMT"/>
          <w:b/>
          <w:bCs/>
          <w:i/>
          <w:iCs/>
          <w:sz w:val="22"/>
          <w:szCs w:val="22"/>
        </w:rPr>
        <w:t>zn</w:t>
      </w:r>
      <w:r>
        <w:rPr>
          <w:rFonts w:eastAsia="TimesNewRomanPSMT"/>
          <w:i/>
          <w:iCs/>
          <w:sz w:val="22"/>
          <w:szCs w:val="22"/>
        </w:rPr>
        <w:t xml:space="preserve"> precum și </w:t>
      </w:r>
      <w:r>
        <w:rPr>
          <w:rFonts w:eastAsia="TimesNewRomanPSMT"/>
          <w:b/>
          <w:bCs/>
          <w:i/>
          <w:iCs/>
          <w:sz w:val="22"/>
          <w:szCs w:val="22"/>
        </w:rPr>
        <w:t>z1.1</w:t>
      </w:r>
      <w:r>
        <w:rPr>
          <w:rFonts w:ascii="Arial" w:eastAsia="TimesNewRomanPSMT" w:hAnsi="Arial" w:cs="Arial"/>
          <w:b/>
          <w:bCs/>
          <w:i/>
          <w:iCs/>
          <w:sz w:val="22"/>
          <w:szCs w:val="22"/>
        </w:rPr>
        <w:t>≥</w:t>
      </w:r>
      <w:r>
        <w:rPr>
          <w:rFonts w:eastAsia="TimesNewRomanPSMT"/>
          <w:b/>
          <w:bCs/>
          <w:i/>
          <w:iCs/>
          <w:sz w:val="22"/>
          <w:szCs w:val="22"/>
        </w:rPr>
        <w:t>z1.2</w:t>
      </w:r>
      <w:r>
        <w:rPr>
          <w:rFonts w:ascii="Arial" w:eastAsia="TimesNewRomanPSMT" w:hAnsi="Arial" w:cs="Arial"/>
          <w:b/>
          <w:bCs/>
          <w:i/>
          <w:iCs/>
          <w:sz w:val="22"/>
          <w:szCs w:val="22"/>
        </w:rPr>
        <w:t>≥</w:t>
      </w:r>
      <w:r>
        <w:rPr>
          <w:rFonts w:eastAsia="TimesNewRomanPSMT"/>
          <w:b/>
          <w:bCs/>
          <w:i/>
          <w:iCs/>
          <w:sz w:val="22"/>
          <w:szCs w:val="22"/>
        </w:rPr>
        <w:t>z1.3</w:t>
      </w:r>
      <w:r>
        <w:rPr>
          <w:rFonts w:ascii="Arial" w:eastAsia="TimesNewRomanPSMT" w:hAnsi="Arial" w:cs="Arial"/>
          <w:b/>
          <w:bCs/>
          <w:i/>
          <w:iCs/>
          <w:sz w:val="22"/>
          <w:szCs w:val="22"/>
        </w:rPr>
        <w:t>≥</w:t>
      </w:r>
      <w:r>
        <w:rPr>
          <w:rFonts w:eastAsia="TimesNewRomanPSMT"/>
          <w:b/>
          <w:bCs/>
          <w:i/>
          <w:iCs/>
          <w:sz w:val="22"/>
          <w:szCs w:val="22"/>
        </w:rPr>
        <w:t xml:space="preserve">z1.4 ... </w:t>
      </w:r>
      <w:r>
        <w:rPr>
          <w:rFonts w:ascii="Arial" w:eastAsia="TimesNewRomanPSMT" w:hAnsi="Arial" w:cs="Arial"/>
          <w:b/>
          <w:bCs/>
          <w:i/>
          <w:iCs/>
          <w:sz w:val="22"/>
          <w:szCs w:val="22"/>
        </w:rPr>
        <w:t>≥</w:t>
      </w:r>
      <w:r>
        <w:rPr>
          <w:rFonts w:eastAsia="TimesNewRomanPSMT"/>
          <w:b/>
          <w:bCs/>
          <w:i/>
          <w:iCs/>
          <w:sz w:val="22"/>
          <w:szCs w:val="22"/>
        </w:rPr>
        <w:t>z1.n</w:t>
      </w:r>
      <w:r>
        <w:rPr>
          <w:rFonts w:eastAsia="TimesNewRomanPSMT"/>
          <w:i/>
          <w:iCs/>
          <w:sz w:val="22"/>
          <w:szCs w:val="22"/>
        </w:rPr>
        <w:t>) și implicit înălțimea treptelor prevăzute pe circulațiile perpendiculare pe gradene utilizabile și pentru evacuare.</w:t>
      </w:r>
    </w:p>
    <w:p w14:paraId="20D35BCF" w14:textId="77777777" w:rsidR="001C08A5" w:rsidRDefault="001C08A5">
      <w:pPr>
        <w:pStyle w:val="BodyText"/>
      </w:pPr>
    </w:p>
    <w:p w14:paraId="6775CECB" w14:textId="77777777" w:rsidR="001C08A5" w:rsidRDefault="00000000">
      <w:pPr>
        <w:pStyle w:val="Heading3"/>
        <w:rPr>
          <w:i/>
          <w:iCs/>
          <w:sz w:val="24"/>
          <w:szCs w:val="24"/>
        </w:rPr>
      </w:pPr>
      <w:bookmarkStart w:id="9466" w:name="_Toc15926"/>
      <w:bookmarkStart w:id="9467" w:name="_Toc284"/>
      <w:bookmarkStart w:id="9468" w:name="_Toc3469"/>
      <w:bookmarkStart w:id="9469" w:name="_Toc25596"/>
      <w:bookmarkStart w:id="9470" w:name="_Toc27651"/>
      <w:bookmarkStart w:id="9471" w:name="_Toc27793"/>
      <w:bookmarkStart w:id="9472" w:name="_Toc17179"/>
      <w:bookmarkStart w:id="9473" w:name="_Toc162355483"/>
      <w:bookmarkStart w:id="9474" w:name="_Toc26636"/>
      <w:bookmarkStart w:id="9475" w:name="_Toc6294"/>
      <w:bookmarkStart w:id="9476" w:name="_Toc12444"/>
      <w:bookmarkStart w:id="9477" w:name="_Toc876"/>
      <w:bookmarkStart w:id="9478" w:name="_Toc3559"/>
      <w:bookmarkStart w:id="9479" w:name="_Toc10623"/>
      <w:bookmarkStart w:id="9480" w:name="_Toc17820"/>
      <w:r>
        <w:rPr>
          <w:i/>
          <w:iCs/>
          <w:sz w:val="24"/>
          <w:szCs w:val="24"/>
        </w:rPr>
        <w:t>ANEXA 7.4 - CLĂDIRI CIVILE ÎNALTE,  FOARTE  ÎNALTE  SAU  CU  SĂLI  AGLOMERATE</w:t>
      </w:r>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p>
    <w:p w14:paraId="2D8B1D3C" w14:textId="77777777" w:rsidR="001C08A5" w:rsidRDefault="00000000">
      <w:pPr>
        <w:pStyle w:val="Heading4"/>
        <w:rPr>
          <w:sz w:val="24"/>
          <w:szCs w:val="24"/>
        </w:rPr>
      </w:pPr>
      <w:bookmarkStart w:id="9481" w:name="_Toc15072"/>
      <w:bookmarkStart w:id="9482" w:name="_Toc8072"/>
      <w:bookmarkStart w:id="9483" w:name="_Toc162355484"/>
      <w:bookmarkStart w:id="9484" w:name="_Toc11343"/>
      <w:bookmarkStart w:id="9485" w:name="_Toc29401"/>
      <w:bookmarkStart w:id="9486" w:name="_Toc27160"/>
      <w:bookmarkStart w:id="9487" w:name="_Toc25971"/>
      <w:bookmarkStart w:id="9488" w:name="_Toc31957"/>
      <w:bookmarkStart w:id="9489" w:name="_Toc5746"/>
      <w:bookmarkStart w:id="9490" w:name="_Toc11603"/>
      <w:bookmarkStart w:id="9491" w:name="_Toc2962"/>
      <w:bookmarkStart w:id="9492" w:name="_Toc8335"/>
      <w:bookmarkStart w:id="9493" w:name="_Toc2628"/>
      <w:bookmarkStart w:id="9494" w:name="_Toc5186"/>
      <w:bookmarkStart w:id="9495" w:name="_Toc24175"/>
      <w:r>
        <w:rPr>
          <w:sz w:val="24"/>
          <w:szCs w:val="24"/>
        </w:rPr>
        <w:t>Clădiri înalte și foarte înalte</w:t>
      </w:r>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r>
        <w:rPr>
          <w:sz w:val="24"/>
          <w:szCs w:val="24"/>
        </w:rPr>
        <w:t xml:space="preserve"> </w:t>
      </w:r>
    </w:p>
    <w:p w14:paraId="4CED5852" w14:textId="77777777" w:rsidR="001C08A5" w:rsidRDefault="001C08A5">
      <w:pPr>
        <w:jc w:val="both"/>
        <w:rPr>
          <w:b/>
          <w:bCs/>
          <w:i/>
          <w:sz w:val="24"/>
          <w:szCs w:val="24"/>
        </w:rPr>
      </w:pPr>
    </w:p>
    <w:p w14:paraId="48620D3E"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Clădire înaltă -  clădire civilă (publică) supraterană, la care cota superioară a stratului de uzură al pardoselii ultimului nivel folosit de utilizatori este situat la peste </w:t>
      </w:r>
      <w:r>
        <w:rPr>
          <w:rFonts w:eastAsia="Times New Roman"/>
          <w:b/>
          <w:bCs/>
          <w:i/>
          <w:sz w:val="24"/>
        </w:rPr>
        <w:t>28 m</w:t>
      </w:r>
      <w:r>
        <w:rPr>
          <w:rFonts w:eastAsia="Times New Roman"/>
          <w:i/>
          <w:sz w:val="24"/>
        </w:rPr>
        <w:t xml:space="preserve"> şi la mai puțin de </w:t>
      </w:r>
      <w:r>
        <w:rPr>
          <w:rFonts w:eastAsia="Times New Roman"/>
          <w:b/>
          <w:bCs/>
          <w:i/>
          <w:sz w:val="24"/>
        </w:rPr>
        <w:t>45 m</w:t>
      </w:r>
      <w:r>
        <w:rPr>
          <w:rFonts w:eastAsia="Times New Roman"/>
          <w:i/>
          <w:sz w:val="24"/>
        </w:rPr>
        <w:t xml:space="preserve"> faţă de cota nivelului de referință (</w:t>
      </w:r>
      <w:r>
        <w:rPr>
          <w:rFonts w:eastAsia="Times New Roman"/>
          <w:b/>
          <w:bCs/>
          <w:i/>
          <w:sz w:val="24"/>
        </w:rPr>
        <w:t>28 m &lt; h &lt;45 m</w:t>
      </w:r>
      <w:r>
        <w:rPr>
          <w:rFonts w:eastAsia="Times New Roman"/>
          <w:i/>
          <w:sz w:val="24"/>
        </w:rPr>
        <w:t>). Clădirile înalte trebuie să permită accesul autospecialelor serviciilor pentru situații de urgență pe minimum două (</w:t>
      </w:r>
      <w:r>
        <w:rPr>
          <w:rFonts w:eastAsia="Times New Roman"/>
          <w:b/>
          <w:bCs/>
          <w:i/>
          <w:sz w:val="24"/>
        </w:rPr>
        <w:t>2</w:t>
      </w:r>
      <w:r>
        <w:rPr>
          <w:rFonts w:eastAsia="Times New Roman"/>
          <w:i/>
          <w:sz w:val="24"/>
        </w:rPr>
        <w:t xml:space="preserve">) laturi alaturate și pe minimum </w:t>
      </w:r>
      <w:r>
        <w:rPr>
          <w:rFonts w:eastAsia="Times New Roman"/>
          <w:b/>
          <w:bCs/>
          <w:i/>
          <w:sz w:val="24"/>
        </w:rPr>
        <w:t xml:space="preserve">50% </w:t>
      </w:r>
      <w:r>
        <w:rPr>
          <w:rFonts w:eastAsia="Times New Roman"/>
          <w:i/>
          <w:sz w:val="24"/>
        </w:rPr>
        <w:t>din perimetrul pereților exteriori atunci când forma acestora este atipică.</w:t>
      </w:r>
    </w:p>
    <w:p w14:paraId="74A2D9FD" w14:textId="77777777" w:rsidR="001C08A5" w:rsidRDefault="001C08A5">
      <w:pPr>
        <w:tabs>
          <w:tab w:val="left" w:pos="426"/>
          <w:tab w:val="left" w:pos="993"/>
        </w:tabs>
        <w:jc w:val="both"/>
        <w:rPr>
          <w:rFonts w:eastAsia="Times New Roman"/>
          <w:b/>
          <w:i/>
          <w:sz w:val="24"/>
        </w:rPr>
      </w:pPr>
    </w:p>
    <w:p w14:paraId="2691B047"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Nu sunt considerate clădiri înalte:</w:t>
      </w:r>
    </w:p>
    <w:p w14:paraId="3E2466E4" w14:textId="77777777" w:rsidR="001C08A5" w:rsidRDefault="00000000">
      <w:pPr>
        <w:ind w:left="720"/>
        <w:jc w:val="both"/>
        <w:rPr>
          <w:rFonts w:eastAsia="Times New Roman"/>
          <w:i/>
          <w:sz w:val="24"/>
          <w:szCs w:val="24"/>
        </w:rPr>
      </w:pPr>
      <w:r>
        <w:rPr>
          <w:rFonts w:eastAsia="Times New Roman"/>
          <w:i/>
          <w:sz w:val="24"/>
          <w:szCs w:val="24"/>
        </w:rPr>
        <w:t>- construcţiile pentru producţie şi/sau depozitare;</w:t>
      </w:r>
    </w:p>
    <w:p w14:paraId="158BFD2A" w14:textId="77777777" w:rsidR="001C08A5" w:rsidRDefault="00000000">
      <w:pPr>
        <w:ind w:left="720"/>
        <w:jc w:val="both"/>
        <w:rPr>
          <w:rFonts w:eastAsia="Times New Roman"/>
          <w:i/>
          <w:sz w:val="24"/>
          <w:szCs w:val="24"/>
        </w:rPr>
      </w:pPr>
      <w:r>
        <w:rPr>
          <w:rFonts w:eastAsia="Times New Roman"/>
          <w:i/>
          <w:sz w:val="24"/>
          <w:szCs w:val="24"/>
        </w:rPr>
        <w:t xml:space="preserve">- clădirile pentru locuit colective care au maximum </w:t>
      </w:r>
      <w:r>
        <w:rPr>
          <w:rFonts w:eastAsia="Times New Roman"/>
          <w:b/>
          <w:bCs/>
          <w:i/>
          <w:sz w:val="24"/>
          <w:szCs w:val="24"/>
        </w:rPr>
        <w:t>12</w:t>
      </w:r>
      <w:r>
        <w:rPr>
          <w:rFonts w:eastAsia="Times New Roman"/>
          <w:i/>
          <w:sz w:val="24"/>
          <w:szCs w:val="24"/>
        </w:rPr>
        <w:t xml:space="preserve"> niveluri supraterane;</w:t>
      </w:r>
    </w:p>
    <w:p w14:paraId="367C00E9" w14:textId="77777777" w:rsidR="001C08A5" w:rsidRDefault="001C08A5">
      <w:pPr>
        <w:ind w:left="720"/>
        <w:jc w:val="both"/>
        <w:rPr>
          <w:rFonts w:eastAsia="Times New Roman"/>
          <w:i/>
          <w:sz w:val="24"/>
          <w:szCs w:val="24"/>
        </w:rPr>
      </w:pPr>
    </w:p>
    <w:p w14:paraId="4E3BBD84" w14:textId="77777777" w:rsidR="001C08A5" w:rsidRDefault="00000000">
      <w:pPr>
        <w:numPr>
          <w:ilvl w:val="0"/>
          <w:numId w:val="96"/>
        </w:numPr>
        <w:tabs>
          <w:tab w:val="left" w:pos="426"/>
          <w:tab w:val="left" w:pos="993"/>
        </w:tabs>
        <w:jc w:val="both"/>
        <w:rPr>
          <w:rFonts w:eastAsia="Times New Roman"/>
          <w:b/>
          <w:i/>
          <w:sz w:val="24"/>
        </w:rPr>
      </w:pPr>
      <w:r>
        <w:rPr>
          <w:rFonts w:eastAsia="Times New Roman"/>
          <w:b/>
          <w:i/>
          <w:sz w:val="24"/>
        </w:rPr>
        <w:t>C</w:t>
      </w:r>
      <w:r>
        <w:rPr>
          <w:rFonts w:eastAsia="Times New Roman"/>
          <w:i/>
          <w:sz w:val="24"/>
        </w:rPr>
        <w:t xml:space="preserve">lădirile civile (indiferent de destinaţie), la care deasupra nivelului limită normat se află un singur nivel construit ce ocupă maximum </w:t>
      </w:r>
      <w:r>
        <w:rPr>
          <w:rFonts w:eastAsia="Times New Roman"/>
          <w:b/>
          <w:bCs/>
          <w:i/>
          <w:sz w:val="24"/>
        </w:rPr>
        <w:t>50%</w:t>
      </w:r>
      <w:r>
        <w:rPr>
          <w:rFonts w:eastAsia="Times New Roman"/>
          <w:i/>
          <w:sz w:val="24"/>
        </w:rPr>
        <w:t xml:space="preserve"> din aria construită a nivelului inferior acestuia şi cuprinde numai spaţii tehnice aferente clădirii (încăperi pentru ascensoare, centrale termice, centrale de ventilare etc.), circulaţii funcţionale (holuri, coridoare, încăperi tampon etc.) sau spaţii anexă (spălătorii, călcătorii, uscătorii etc.), făra prezență permanentă de persoane.</w:t>
      </w:r>
    </w:p>
    <w:p w14:paraId="64E246BE" w14:textId="77777777" w:rsidR="001C08A5" w:rsidRDefault="00000000">
      <w:pPr>
        <w:jc w:val="center"/>
        <w:rPr>
          <w:rFonts w:eastAsia="Times New Roman"/>
          <w:i/>
          <w:sz w:val="24"/>
          <w:szCs w:val="24"/>
        </w:rPr>
      </w:pPr>
      <w:r>
        <w:rPr>
          <w:b/>
          <w:bCs/>
          <w:i/>
          <w:noProof/>
          <w:sz w:val="24"/>
          <w:szCs w:val="24"/>
        </w:rPr>
        <w:lastRenderedPageBreak/>
        <w:drawing>
          <wp:inline distT="0" distB="0" distL="114300" distR="114300" wp14:anchorId="673B4CB6" wp14:editId="68FAC4B8">
            <wp:extent cx="6000750" cy="3095625"/>
            <wp:effectExtent l="0" t="0" r="0" b="9525"/>
            <wp:docPr id="20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63"/>
                    <pic:cNvPicPr>
                      <a:picLocks noChangeAspect="1"/>
                    </pic:cNvPicPr>
                  </pic:nvPicPr>
                  <pic:blipFill>
                    <a:blip r:embed="rId486"/>
                    <a:srcRect l="12669" t="23567" r="7832" b="19389"/>
                    <a:stretch>
                      <a:fillRect/>
                    </a:stretch>
                  </pic:blipFill>
                  <pic:spPr>
                    <a:xfrm>
                      <a:off x="0" y="0"/>
                      <a:ext cx="6000750" cy="3095625"/>
                    </a:xfrm>
                    <a:prstGeom prst="rect">
                      <a:avLst/>
                    </a:prstGeom>
                    <a:noFill/>
                    <a:ln>
                      <a:noFill/>
                    </a:ln>
                  </pic:spPr>
                </pic:pic>
              </a:graphicData>
            </a:graphic>
          </wp:inline>
        </w:drawing>
      </w:r>
    </w:p>
    <w:p w14:paraId="57C0E667" w14:textId="77777777" w:rsidR="001C08A5" w:rsidRDefault="00000000">
      <w:pPr>
        <w:suppressLineNumbers/>
        <w:spacing w:before="120" w:after="120"/>
        <w:jc w:val="both"/>
        <w:rPr>
          <w:rFonts w:cs="Mangal"/>
          <w:bCs/>
          <w:i/>
          <w:iCs/>
          <w:sz w:val="22"/>
          <w:szCs w:val="22"/>
        </w:rPr>
      </w:pPr>
      <w:bookmarkStart w:id="9496" w:name="_Toc142898627"/>
      <w:bookmarkStart w:id="9497" w:name="_Toc9228"/>
      <w:bookmarkStart w:id="9498" w:name="_Toc12111"/>
      <w:r>
        <w:rPr>
          <w:rFonts w:cs="Mangal"/>
          <w:b/>
          <w:i/>
          <w:iCs/>
          <w:sz w:val="22"/>
          <w:szCs w:val="22"/>
        </w:rPr>
        <w:t>Notă</w:t>
      </w:r>
      <w:r>
        <w:rPr>
          <w:rFonts w:cs="Mangal"/>
          <w:bCs/>
          <w:i/>
          <w:iCs/>
          <w:sz w:val="22"/>
          <w:szCs w:val="22"/>
        </w:rPr>
        <w:t xml:space="preserve">: cota ultimului nivel folosibil poate fi și terasa de pe clădire (în cazul amenajărilor pentru public pe aceasta), caz în care înalțimea se raportrează la acea cotă </w:t>
      </w:r>
    </w:p>
    <w:p w14:paraId="1E53CF2B" w14:textId="77777777" w:rsidR="001C08A5" w:rsidRDefault="00000000">
      <w:pPr>
        <w:pStyle w:val="Caption"/>
        <w:jc w:val="center"/>
      </w:pPr>
      <w:bookmarkStart w:id="9499" w:name="_Toc162360469"/>
      <w:r>
        <w:t xml:space="preserve">Figura </w:t>
      </w:r>
      <w:r>
        <w:fldChar w:fldCharType="begin"/>
      </w:r>
      <w:r>
        <w:instrText xml:space="preserve"> SEQ Figura \* ARABIC </w:instrText>
      </w:r>
      <w:r>
        <w:fldChar w:fldCharType="separate"/>
      </w:r>
      <w:r>
        <w:t>245</w:t>
      </w:r>
      <w:r>
        <w:fldChar w:fldCharType="end"/>
      </w:r>
      <w:bookmarkStart w:id="9500" w:name="_Toc887"/>
      <w:bookmarkStart w:id="9501" w:name="_Toc23163"/>
      <w:bookmarkStart w:id="9502" w:name="_Toc21789"/>
      <w:bookmarkStart w:id="9503" w:name="_Toc8114"/>
      <w:bookmarkStart w:id="9504" w:name="_Toc7426"/>
      <w:bookmarkStart w:id="9505" w:name="_Toc11059"/>
      <w:bookmarkStart w:id="9506" w:name="_Toc13783"/>
      <w:bookmarkStart w:id="9507" w:name="_Toc5647"/>
      <w:bookmarkStart w:id="9508" w:name="_Toc7218"/>
      <w:r>
        <w:t xml:space="preserve"> - Clădire înaltă</w:t>
      </w:r>
      <w:bookmarkEnd w:id="9496"/>
      <w:bookmarkEnd w:id="9497"/>
      <w:bookmarkEnd w:id="9498"/>
      <w:bookmarkEnd w:id="9499"/>
      <w:bookmarkEnd w:id="9500"/>
      <w:bookmarkEnd w:id="9501"/>
      <w:bookmarkEnd w:id="9502"/>
      <w:bookmarkEnd w:id="9503"/>
      <w:bookmarkEnd w:id="9504"/>
      <w:bookmarkEnd w:id="9505"/>
      <w:bookmarkEnd w:id="9506"/>
      <w:bookmarkEnd w:id="9507"/>
      <w:bookmarkEnd w:id="9508"/>
    </w:p>
    <w:p w14:paraId="103F5E9E"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7759C88B" wp14:editId="4A6F6672">
            <wp:extent cx="6042025" cy="1935480"/>
            <wp:effectExtent l="0" t="0" r="15875" b="7620"/>
            <wp:docPr id="5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29"/>
                    <pic:cNvPicPr>
                      <a:picLocks noChangeAspect="1"/>
                    </pic:cNvPicPr>
                  </pic:nvPicPr>
                  <pic:blipFill>
                    <a:blip r:embed="rId487"/>
                    <a:srcRect l="12502" t="37187" r="7454" b="24507"/>
                    <a:stretch>
                      <a:fillRect/>
                    </a:stretch>
                  </pic:blipFill>
                  <pic:spPr>
                    <a:xfrm>
                      <a:off x="0" y="0"/>
                      <a:ext cx="6042025" cy="1935480"/>
                    </a:xfrm>
                    <a:prstGeom prst="rect">
                      <a:avLst/>
                    </a:prstGeom>
                    <a:noFill/>
                    <a:ln>
                      <a:noFill/>
                    </a:ln>
                  </pic:spPr>
                </pic:pic>
              </a:graphicData>
            </a:graphic>
          </wp:inline>
        </w:drawing>
      </w:r>
    </w:p>
    <w:p w14:paraId="6A1D9D80" w14:textId="77777777" w:rsidR="001C08A5" w:rsidRDefault="00000000">
      <w:pPr>
        <w:pStyle w:val="Caption"/>
        <w:jc w:val="center"/>
      </w:pPr>
      <w:bookmarkStart w:id="9509" w:name="_Toc162360470"/>
      <w:bookmarkStart w:id="9510" w:name="_Toc10088"/>
      <w:bookmarkStart w:id="9511" w:name="_Toc142898628"/>
      <w:bookmarkStart w:id="9512" w:name="_Toc26392"/>
      <w:r>
        <w:t xml:space="preserve">Figura </w:t>
      </w:r>
      <w:r>
        <w:fldChar w:fldCharType="begin"/>
      </w:r>
      <w:r>
        <w:instrText xml:space="preserve"> SEQ Figura \* ARABIC </w:instrText>
      </w:r>
      <w:r>
        <w:fldChar w:fldCharType="separate"/>
      </w:r>
      <w:r>
        <w:t>246</w:t>
      </w:r>
      <w:r>
        <w:fldChar w:fldCharType="end"/>
      </w:r>
      <w:bookmarkStart w:id="9513" w:name="_Toc23500"/>
      <w:bookmarkStart w:id="9514" w:name="_Toc32694"/>
      <w:bookmarkStart w:id="9515" w:name="_Toc25661"/>
      <w:bookmarkStart w:id="9516" w:name="_Toc12655"/>
      <w:bookmarkStart w:id="9517" w:name="_Toc32099"/>
      <w:bookmarkStart w:id="9518" w:name="_Toc25884"/>
      <w:bookmarkStart w:id="9519" w:name="_Toc8781"/>
      <w:bookmarkStart w:id="9520" w:name="_Toc21442"/>
      <w:bookmarkStart w:id="9521" w:name="_Toc28643"/>
      <w:r>
        <w:t xml:space="preserve"> - Căi de acces și intervenție la clădiri înalte</w:t>
      </w:r>
      <w:bookmarkEnd w:id="9509"/>
      <w:bookmarkEnd w:id="9510"/>
      <w:bookmarkEnd w:id="9511"/>
      <w:bookmarkEnd w:id="9512"/>
      <w:bookmarkEnd w:id="9513"/>
      <w:bookmarkEnd w:id="9514"/>
      <w:bookmarkEnd w:id="9515"/>
      <w:bookmarkEnd w:id="9516"/>
      <w:bookmarkEnd w:id="9517"/>
      <w:bookmarkEnd w:id="9518"/>
      <w:bookmarkEnd w:id="9519"/>
      <w:bookmarkEnd w:id="9520"/>
      <w:bookmarkEnd w:id="9521"/>
    </w:p>
    <w:p w14:paraId="0D3029FE"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2EB9F743" wp14:editId="2F4F82A2">
            <wp:extent cx="4200525" cy="2632710"/>
            <wp:effectExtent l="0" t="0" r="9525" b="15240"/>
            <wp:docPr id="5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17"/>
                    <pic:cNvPicPr>
                      <a:picLocks noChangeAspect="1"/>
                    </pic:cNvPicPr>
                  </pic:nvPicPr>
                  <pic:blipFill>
                    <a:blip r:embed="rId488"/>
                    <a:srcRect l="27307" t="19882" r="11475" b="22798"/>
                    <a:stretch>
                      <a:fillRect/>
                    </a:stretch>
                  </pic:blipFill>
                  <pic:spPr>
                    <a:xfrm>
                      <a:off x="0" y="0"/>
                      <a:ext cx="4229161" cy="2650708"/>
                    </a:xfrm>
                    <a:prstGeom prst="rect">
                      <a:avLst/>
                    </a:prstGeom>
                    <a:noFill/>
                    <a:ln>
                      <a:noFill/>
                    </a:ln>
                  </pic:spPr>
                </pic:pic>
              </a:graphicData>
            </a:graphic>
          </wp:inline>
        </w:drawing>
      </w:r>
    </w:p>
    <w:p w14:paraId="0BC7BDBC" w14:textId="77777777" w:rsidR="001C08A5" w:rsidRDefault="00000000">
      <w:pPr>
        <w:pStyle w:val="Caption"/>
        <w:jc w:val="center"/>
      </w:pPr>
      <w:bookmarkStart w:id="9522" w:name="_Toc162360471"/>
      <w:bookmarkStart w:id="9523" w:name="_Toc2201"/>
      <w:bookmarkStart w:id="9524" w:name="_Toc28674"/>
      <w:bookmarkStart w:id="9525" w:name="_Toc142898629"/>
      <w:r>
        <w:t xml:space="preserve">Figura </w:t>
      </w:r>
      <w:r>
        <w:fldChar w:fldCharType="begin"/>
      </w:r>
      <w:r>
        <w:instrText xml:space="preserve"> SEQ Figura \* ARABIC </w:instrText>
      </w:r>
      <w:r>
        <w:fldChar w:fldCharType="separate"/>
      </w:r>
      <w:r>
        <w:t>247</w:t>
      </w:r>
      <w:r>
        <w:fldChar w:fldCharType="end"/>
      </w:r>
      <w:bookmarkStart w:id="9526" w:name="_Toc6430"/>
      <w:bookmarkStart w:id="9527" w:name="_Toc26236"/>
      <w:bookmarkStart w:id="9528" w:name="_Toc6310"/>
      <w:bookmarkStart w:id="9529" w:name="_Toc15804"/>
      <w:bookmarkStart w:id="9530" w:name="_Toc26861"/>
      <w:bookmarkStart w:id="9531" w:name="_Toc28326"/>
      <w:bookmarkStart w:id="9532" w:name="_Toc1645"/>
      <w:bookmarkStart w:id="9533" w:name="_Toc27675"/>
      <w:bookmarkStart w:id="9534" w:name="_Toc29066"/>
      <w:r>
        <w:t xml:space="preserve"> - Clădiri înalte sunt numai porţiunile/ nivelurile SUPRATERANE.</w:t>
      </w:r>
      <w:bookmarkEnd w:id="9522"/>
      <w:bookmarkEnd w:id="9523"/>
      <w:bookmarkEnd w:id="9524"/>
      <w:bookmarkEnd w:id="9525"/>
      <w:bookmarkEnd w:id="9526"/>
      <w:bookmarkEnd w:id="9527"/>
      <w:bookmarkEnd w:id="9528"/>
      <w:bookmarkEnd w:id="9529"/>
      <w:bookmarkEnd w:id="9530"/>
      <w:bookmarkEnd w:id="9531"/>
      <w:bookmarkEnd w:id="9532"/>
      <w:bookmarkEnd w:id="9533"/>
      <w:bookmarkEnd w:id="9534"/>
    </w:p>
    <w:p w14:paraId="08C67B37"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Nivelurile subterane nu se iau în considerare la stabilirea tipului de clădire înaltă.</w:t>
      </w:r>
    </w:p>
    <w:p w14:paraId="41719D02"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18534AA9" wp14:editId="4E63E5A6">
            <wp:extent cx="3981450" cy="2711450"/>
            <wp:effectExtent l="0" t="0" r="0" b="12700"/>
            <wp:docPr id="5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18"/>
                    <pic:cNvPicPr>
                      <a:picLocks noChangeAspect="1"/>
                    </pic:cNvPicPr>
                  </pic:nvPicPr>
                  <pic:blipFill>
                    <a:blip r:embed="rId489"/>
                    <a:srcRect l="16515" t="17821" r="13654" b="11134"/>
                    <a:stretch>
                      <a:fillRect/>
                    </a:stretch>
                  </pic:blipFill>
                  <pic:spPr>
                    <a:xfrm>
                      <a:off x="0" y="0"/>
                      <a:ext cx="3981450" cy="2711450"/>
                    </a:xfrm>
                    <a:prstGeom prst="rect">
                      <a:avLst/>
                    </a:prstGeom>
                    <a:noFill/>
                    <a:ln>
                      <a:noFill/>
                    </a:ln>
                  </pic:spPr>
                </pic:pic>
              </a:graphicData>
            </a:graphic>
          </wp:inline>
        </w:drawing>
      </w:r>
    </w:p>
    <w:p w14:paraId="3EA14020" w14:textId="77777777" w:rsidR="001C08A5" w:rsidRDefault="00000000">
      <w:pPr>
        <w:pStyle w:val="Caption"/>
        <w:jc w:val="center"/>
      </w:pPr>
      <w:bookmarkStart w:id="9535" w:name="_Toc142898630"/>
      <w:bookmarkStart w:id="9536" w:name="_Toc21782"/>
      <w:bookmarkStart w:id="9537" w:name="_Toc20580"/>
      <w:bookmarkStart w:id="9538" w:name="_Toc162360472"/>
      <w:r>
        <w:t xml:space="preserve">Figura </w:t>
      </w:r>
      <w:r>
        <w:fldChar w:fldCharType="begin"/>
      </w:r>
      <w:r>
        <w:instrText xml:space="preserve"> SEQ Figura \* ARABIC </w:instrText>
      </w:r>
      <w:r>
        <w:fldChar w:fldCharType="separate"/>
      </w:r>
      <w:r>
        <w:t>248</w:t>
      </w:r>
      <w:r>
        <w:fldChar w:fldCharType="end"/>
      </w:r>
      <w:bookmarkStart w:id="9539" w:name="_Toc9314"/>
      <w:bookmarkStart w:id="9540" w:name="_Toc29789"/>
      <w:bookmarkStart w:id="9541" w:name="_Toc20028"/>
      <w:bookmarkStart w:id="9542" w:name="_Toc26879"/>
      <w:bookmarkStart w:id="9543" w:name="_Toc5775"/>
      <w:bookmarkStart w:id="9544" w:name="_Toc14591"/>
      <w:bookmarkStart w:id="9545" w:name="_Toc13686"/>
      <w:bookmarkStart w:id="9546" w:name="_Toc8991"/>
      <w:bookmarkStart w:id="9547" w:name="_Toc19348"/>
      <w:r>
        <w:t xml:space="preserve"> - Clădirile amplasate la cote mai ridicate faţă de şosele, drumuri etc, nu sunt clădiri înalte</w:t>
      </w:r>
      <w:bookmarkEnd w:id="9535"/>
      <w:bookmarkEnd w:id="9536"/>
      <w:bookmarkEnd w:id="9537"/>
      <w:bookmarkEnd w:id="9538"/>
      <w:bookmarkEnd w:id="9539"/>
      <w:bookmarkEnd w:id="9540"/>
      <w:bookmarkEnd w:id="9541"/>
      <w:bookmarkEnd w:id="9542"/>
      <w:bookmarkEnd w:id="9543"/>
      <w:bookmarkEnd w:id="9544"/>
      <w:bookmarkEnd w:id="9545"/>
      <w:bookmarkEnd w:id="9546"/>
      <w:bookmarkEnd w:id="9547"/>
    </w:p>
    <w:p w14:paraId="4B25E2C4" w14:textId="77777777" w:rsidR="001C08A5" w:rsidRDefault="00000000">
      <w:pPr>
        <w:jc w:val="center"/>
        <w:rPr>
          <w:i/>
          <w:sz w:val="24"/>
          <w:szCs w:val="24"/>
        </w:rPr>
      </w:pPr>
      <w:r>
        <w:rPr>
          <w:i/>
          <w:noProof/>
          <w:sz w:val="24"/>
          <w:szCs w:val="24"/>
          <w:lang w:eastAsia="ro-RO"/>
        </w:rPr>
        <w:drawing>
          <wp:inline distT="0" distB="0" distL="114300" distR="114300" wp14:anchorId="696DEA3E" wp14:editId="38C03DAA">
            <wp:extent cx="6076315" cy="1502410"/>
            <wp:effectExtent l="0" t="0" r="635" b="2540"/>
            <wp:docPr id="5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31"/>
                    <pic:cNvPicPr>
                      <a:picLocks noChangeAspect="1"/>
                    </pic:cNvPicPr>
                  </pic:nvPicPr>
                  <pic:blipFill>
                    <a:blip r:embed="rId490"/>
                    <a:srcRect l="12274" t="11662" r="7227" b="58601"/>
                    <a:stretch>
                      <a:fillRect/>
                    </a:stretch>
                  </pic:blipFill>
                  <pic:spPr>
                    <a:xfrm>
                      <a:off x="0" y="0"/>
                      <a:ext cx="6076315" cy="150241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1C08A5" w14:paraId="278967A0" w14:textId="77777777">
        <w:tc>
          <w:tcPr>
            <w:tcW w:w="4814" w:type="dxa"/>
          </w:tcPr>
          <w:p w14:paraId="07795C90" w14:textId="77777777" w:rsidR="001C08A5" w:rsidRDefault="00000000">
            <w:pPr>
              <w:jc w:val="center"/>
              <w:rPr>
                <w:b/>
                <w:bCs/>
                <w:i/>
                <w:sz w:val="24"/>
                <w:szCs w:val="24"/>
              </w:rPr>
            </w:pPr>
            <w:r>
              <w:rPr>
                <w:b/>
                <w:bCs/>
                <w:i/>
                <w:sz w:val="24"/>
                <w:szCs w:val="24"/>
              </w:rPr>
              <w:t>Varianta a) Plan</w:t>
            </w:r>
          </w:p>
        </w:tc>
        <w:tc>
          <w:tcPr>
            <w:tcW w:w="4815" w:type="dxa"/>
          </w:tcPr>
          <w:p w14:paraId="55E0AE3E" w14:textId="77777777" w:rsidR="001C08A5" w:rsidRDefault="00000000">
            <w:pPr>
              <w:jc w:val="center"/>
              <w:rPr>
                <w:i/>
                <w:sz w:val="24"/>
                <w:szCs w:val="24"/>
              </w:rPr>
            </w:pPr>
            <w:r>
              <w:rPr>
                <w:b/>
                <w:bCs/>
                <w:i/>
                <w:sz w:val="24"/>
                <w:szCs w:val="24"/>
              </w:rPr>
              <w:t>Varianta b) Plan</w:t>
            </w:r>
          </w:p>
        </w:tc>
      </w:tr>
    </w:tbl>
    <w:p w14:paraId="5D593C91" w14:textId="77777777" w:rsidR="001C08A5" w:rsidRDefault="00000000">
      <w:pPr>
        <w:jc w:val="center"/>
        <w:rPr>
          <w:i/>
          <w:sz w:val="24"/>
          <w:szCs w:val="24"/>
        </w:rPr>
      </w:pPr>
      <w:r>
        <w:rPr>
          <w:i/>
          <w:noProof/>
          <w:sz w:val="24"/>
          <w:szCs w:val="24"/>
          <w:lang w:eastAsia="ro-RO"/>
        </w:rPr>
        <w:drawing>
          <wp:inline distT="0" distB="0" distL="114300" distR="114300" wp14:anchorId="420A873D" wp14:editId="28F2F8E4">
            <wp:extent cx="6076315" cy="1303020"/>
            <wp:effectExtent l="0" t="0" r="635" b="11430"/>
            <wp:docPr id="5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31"/>
                    <pic:cNvPicPr>
                      <a:picLocks noChangeAspect="1"/>
                    </pic:cNvPicPr>
                  </pic:nvPicPr>
                  <pic:blipFill>
                    <a:blip r:embed="rId490"/>
                    <a:srcRect l="12274" t="42340" r="7227" b="31871"/>
                    <a:stretch>
                      <a:fillRect/>
                    </a:stretch>
                  </pic:blipFill>
                  <pic:spPr>
                    <a:xfrm>
                      <a:off x="0" y="0"/>
                      <a:ext cx="6076315" cy="1303020"/>
                    </a:xfrm>
                    <a:prstGeom prst="rect">
                      <a:avLst/>
                    </a:prstGeom>
                    <a:noFill/>
                    <a:ln>
                      <a:noFill/>
                    </a:ln>
                  </pic:spPr>
                </pic:pic>
              </a:graphicData>
            </a:graphic>
          </wp:inline>
        </w:drawing>
      </w:r>
    </w:p>
    <w:p w14:paraId="43755F8A" w14:textId="77777777" w:rsidR="001C08A5" w:rsidRDefault="001C08A5">
      <w:pPr>
        <w:jc w:val="center"/>
        <w:rPr>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1C08A5" w14:paraId="6CCB2B8A" w14:textId="77777777">
        <w:tc>
          <w:tcPr>
            <w:tcW w:w="4814" w:type="dxa"/>
          </w:tcPr>
          <w:p w14:paraId="08DF1B4F" w14:textId="77777777" w:rsidR="001C08A5" w:rsidRDefault="00000000">
            <w:pPr>
              <w:jc w:val="center"/>
              <w:rPr>
                <w:i/>
                <w:sz w:val="24"/>
                <w:szCs w:val="24"/>
              </w:rPr>
            </w:pPr>
            <w:r>
              <w:rPr>
                <w:b/>
                <w:bCs/>
                <w:i/>
                <w:sz w:val="24"/>
                <w:szCs w:val="24"/>
              </w:rPr>
              <w:t>Varianta a) Secțiune</w:t>
            </w:r>
          </w:p>
        </w:tc>
        <w:tc>
          <w:tcPr>
            <w:tcW w:w="4815" w:type="dxa"/>
          </w:tcPr>
          <w:p w14:paraId="722767EF" w14:textId="77777777" w:rsidR="001C08A5" w:rsidRDefault="00000000">
            <w:pPr>
              <w:jc w:val="center"/>
              <w:rPr>
                <w:i/>
                <w:sz w:val="24"/>
                <w:szCs w:val="24"/>
              </w:rPr>
            </w:pPr>
            <w:r>
              <w:rPr>
                <w:b/>
                <w:bCs/>
                <w:i/>
                <w:sz w:val="24"/>
                <w:szCs w:val="24"/>
              </w:rPr>
              <w:t>Varianta b) Secțiune</w:t>
            </w:r>
          </w:p>
        </w:tc>
      </w:tr>
    </w:tbl>
    <w:p w14:paraId="495246BE" w14:textId="77777777" w:rsidR="001C08A5" w:rsidRDefault="00000000">
      <w:pPr>
        <w:pStyle w:val="Caption"/>
        <w:jc w:val="center"/>
      </w:pPr>
      <w:bookmarkStart w:id="9548" w:name="_Toc142898631"/>
      <w:bookmarkStart w:id="9549" w:name="_Toc21235"/>
      <w:bookmarkStart w:id="9550" w:name="_Toc162360473"/>
      <w:bookmarkStart w:id="9551" w:name="_Toc12065"/>
      <w:r>
        <w:t xml:space="preserve">Figura </w:t>
      </w:r>
      <w:r>
        <w:fldChar w:fldCharType="begin"/>
      </w:r>
      <w:r>
        <w:instrText xml:space="preserve"> SEQ Figura \* ARABIC </w:instrText>
      </w:r>
      <w:r>
        <w:fldChar w:fldCharType="separate"/>
      </w:r>
      <w:r>
        <w:t>249</w:t>
      </w:r>
      <w:r>
        <w:fldChar w:fldCharType="end"/>
      </w:r>
      <w:bookmarkStart w:id="9552" w:name="_Toc28983"/>
      <w:bookmarkStart w:id="9553" w:name="_Toc23756"/>
      <w:bookmarkStart w:id="9554" w:name="_Toc6752"/>
      <w:bookmarkStart w:id="9555" w:name="_Toc3905"/>
      <w:bookmarkStart w:id="9556" w:name="_Toc19515"/>
      <w:bookmarkStart w:id="9557" w:name="_Toc31847"/>
      <w:bookmarkStart w:id="9558" w:name="_Toc3981"/>
      <w:bookmarkStart w:id="9559" w:name="_Toc25054"/>
      <w:bookmarkStart w:id="9560" w:name="_Toc27260"/>
      <w:r>
        <w:t xml:space="preserve"> - Clădiri dispuse adiacent străzilor în pantă</w:t>
      </w:r>
      <w:bookmarkEnd w:id="9548"/>
      <w:bookmarkEnd w:id="9549"/>
      <w:bookmarkEnd w:id="9550"/>
      <w:bookmarkEnd w:id="9551"/>
      <w:bookmarkEnd w:id="9552"/>
      <w:bookmarkEnd w:id="9553"/>
      <w:bookmarkEnd w:id="9554"/>
      <w:bookmarkEnd w:id="9555"/>
      <w:bookmarkEnd w:id="9556"/>
      <w:bookmarkEnd w:id="9557"/>
      <w:bookmarkEnd w:id="9558"/>
      <w:bookmarkEnd w:id="9559"/>
      <w:bookmarkEnd w:id="9560"/>
    </w:p>
    <w:p w14:paraId="7470B95E"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Clădirile dispuse adiacent străzilor în pantă, nu sunt considerate înalte atunci când au asigurate accese de intervenţie pe două laturi în porţiuni cu înălţimea (cota) ultimului planşeu utilizabil sub </w:t>
      </w:r>
      <w:r>
        <w:rPr>
          <w:rFonts w:eastAsia="Times New Roman"/>
          <w:b/>
          <w:bCs/>
          <w:i/>
          <w:sz w:val="24"/>
        </w:rPr>
        <w:t>28,00 m</w:t>
      </w:r>
      <w:r>
        <w:rPr>
          <w:rFonts w:eastAsia="Times New Roman"/>
          <w:i/>
          <w:sz w:val="24"/>
        </w:rPr>
        <w:t xml:space="preserve">. </w:t>
      </w:r>
    </w:p>
    <w:p w14:paraId="23843CE4" w14:textId="77777777" w:rsidR="001C08A5" w:rsidRDefault="001C08A5">
      <w:pPr>
        <w:tabs>
          <w:tab w:val="left" w:pos="426"/>
          <w:tab w:val="left" w:pos="993"/>
        </w:tabs>
        <w:jc w:val="both"/>
        <w:rPr>
          <w:rFonts w:eastAsia="Times New Roman"/>
          <w:b/>
          <w:i/>
          <w:sz w:val="24"/>
        </w:rPr>
      </w:pPr>
    </w:p>
    <w:p w14:paraId="2320C67B" w14:textId="77777777" w:rsidR="001C08A5" w:rsidRDefault="00000000">
      <w:pPr>
        <w:numPr>
          <w:ilvl w:val="0"/>
          <w:numId w:val="96"/>
        </w:numPr>
        <w:tabs>
          <w:tab w:val="left" w:pos="426"/>
          <w:tab w:val="left" w:pos="993"/>
        </w:tabs>
        <w:jc w:val="both"/>
        <w:rPr>
          <w:rFonts w:eastAsia="Times-Roman"/>
          <w:b/>
          <w:i/>
          <w:sz w:val="24"/>
          <w:lang w:val="en-US" w:eastAsia="ar" w:bidi="ar"/>
        </w:rPr>
      </w:pPr>
      <w:r>
        <w:rPr>
          <w:i/>
          <w:sz w:val="24"/>
        </w:rPr>
        <w:t xml:space="preserve">La clădirile înalte și/sau foarte înalte se prevăd obligatoriu căi de acces şi de intervenţie pentru autospecialele de intervenţie în caz de incendiu, cel puţin </w:t>
      </w:r>
      <w:r>
        <w:rPr>
          <w:i/>
          <w:sz w:val="24"/>
          <w:lang w:val="en-GB"/>
        </w:rPr>
        <w:t>integral</w:t>
      </w:r>
      <w:r>
        <w:rPr>
          <w:i/>
          <w:sz w:val="24"/>
        </w:rPr>
        <w:t xml:space="preserve"> </w:t>
      </w:r>
      <w:r>
        <w:rPr>
          <w:i/>
          <w:sz w:val="24"/>
          <w:lang w:val="en-GB"/>
        </w:rPr>
        <w:t>pe două (</w:t>
      </w:r>
      <w:r>
        <w:rPr>
          <w:b/>
          <w:bCs/>
          <w:i/>
          <w:sz w:val="24"/>
          <w:lang w:val="en-GB"/>
        </w:rPr>
        <w:t>2</w:t>
      </w:r>
      <w:r>
        <w:rPr>
          <w:i/>
          <w:sz w:val="24"/>
          <w:lang w:val="en-GB"/>
        </w:rPr>
        <w:t>) laturi alăturate</w:t>
      </w:r>
      <w:r>
        <w:rPr>
          <w:i/>
          <w:sz w:val="24"/>
        </w:rPr>
        <w:t xml:space="preserve"> </w:t>
      </w:r>
      <w:r>
        <w:rPr>
          <w:rFonts w:eastAsia="Times-Roman"/>
          <w:i/>
          <w:sz w:val="24"/>
          <w:lang w:val="en-US" w:eastAsia="ar" w:bidi="ar"/>
        </w:rPr>
        <w:t xml:space="preserve">şi, totodată, cel puţin pe </w:t>
      </w:r>
      <w:r>
        <w:rPr>
          <w:rFonts w:eastAsia="Times-Roman"/>
          <w:b/>
          <w:bCs/>
          <w:i/>
          <w:sz w:val="24"/>
          <w:lang w:val="en-US" w:eastAsia="ar" w:bidi="ar"/>
        </w:rPr>
        <w:t>5</w:t>
      </w:r>
      <w:r>
        <w:rPr>
          <w:rFonts w:eastAsia="Times-Roman"/>
          <w:b/>
          <w:bCs/>
          <w:i/>
          <w:sz w:val="24"/>
          <w:lang w:eastAsia="ar" w:bidi="ar"/>
        </w:rPr>
        <w:t>0</w:t>
      </w:r>
      <w:r>
        <w:rPr>
          <w:rFonts w:eastAsia="Times-Roman"/>
          <w:b/>
          <w:bCs/>
          <w:i/>
          <w:sz w:val="24"/>
          <w:lang w:val="en-US" w:eastAsia="ar" w:bidi="ar"/>
        </w:rPr>
        <w:t>%</w:t>
      </w:r>
      <w:r>
        <w:rPr>
          <w:rFonts w:eastAsia="Times-Roman"/>
          <w:i/>
          <w:sz w:val="24"/>
          <w:lang w:val="en-US" w:eastAsia="ar" w:bidi="ar"/>
        </w:rPr>
        <w:t xml:space="preserve"> din perimetrul pereților exteriori</w:t>
      </w:r>
    </w:p>
    <w:p w14:paraId="3B6B1362" w14:textId="77777777" w:rsidR="001C08A5" w:rsidRDefault="00000000">
      <w:pPr>
        <w:jc w:val="center"/>
        <w:rPr>
          <w:b/>
          <w:bCs/>
          <w:i/>
          <w:sz w:val="24"/>
          <w:szCs w:val="24"/>
        </w:rPr>
      </w:pPr>
      <w:r>
        <w:rPr>
          <w:b/>
          <w:bCs/>
          <w:i/>
          <w:noProof/>
          <w:sz w:val="24"/>
          <w:szCs w:val="24"/>
          <w:lang w:eastAsia="ro-RO"/>
        </w:rPr>
        <w:lastRenderedPageBreak/>
        <w:drawing>
          <wp:inline distT="0" distB="0" distL="114300" distR="114300" wp14:anchorId="0C43127B" wp14:editId="0428AF63">
            <wp:extent cx="4603750" cy="4039235"/>
            <wp:effectExtent l="0" t="0" r="6350" b="18415"/>
            <wp:docPr id="557"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11"/>
                    <pic:cNvPicPr>
                      <a:picLocks noChangeAspect="1"/>
                    </pic:cNvPicPr>
                  </pic:nvPicPr>
                  <pic:blipFill>
                    <a:blip r:embed="rId491"/>
                    <a:srcRect l="20308" t="6348" r="18701" b="13712"/>
                    <a:stretch>
                      <a:fillRect/>
                    </a:stretch>
                  </pic:blipFill>
                  <pic:spPr>
                    <a:xfrm>
                      <a:off x="0" y="0"/>
                      <a:ext cx="4603750" cy="4039235"/>
                    </a:xfrm>
                    <a:prstGeom prst="rect">
                      <a:avLst/>
                    </a:prstGeom>
                    <a:noFill/>
                    <a:ln>
                      <a:noFill/>
                    </a:ln>
                  </pic:spPr>
                </pic:pic>
              </a:graphicData>
            </a:graphic>
          </wp:inline>
        </w:drawing>
      </w:r>
    </w:p>
    <w:p w14:paraId="15D36102" w14:textId="77777777" w:rsidR="001C08A5" w:rsidRDefault="00000000">
      <w:pPr>
        <w:jc w:val="center"/>
        <w:rPr>
          <w:b/>
          <w:bCs/>
          <w:i/>
          <w:sz w:val="24"/>
          <w:szCs w:val="24"/>
        </w:rPr>
      </w:pPr>
      <w:r>
        <w:rPr>
          <w:b/>
          <w:bCs/>
          <w:i/>
          <w:sz w:val="24"/>
          <w:szCs w:val="24"/>
        </w:rPr>
        <w:t>Varianata a) -  funcțiune de locuit</w:t>
      </w:r>
    </w:p>
    <w:p w14:paraId="693D4B5D" w14:textId="77777777" w:rsidR="001C08A5" w:rsidRDefault="00000000">
      <w:pPr>
        <w:jc w:val="center"/>
        <w:rPr>
          <w:b/>
          <w:bCs/>
          <w:i/>
          <w:sz w:val="24"/>
          <w:szCs w:val="24"/>
        </w:rPr>
      </w:pPr>
      <w:r>
        <w:rPr>
          <w:b/>
          <w:bCs/>
          <w:i/>
          <w:noProof/>
          <w:sz w:val="24"/>
          <w:szCs w:val="24"/>
          <w:lang w:eastAsia="ro-RO"/>
        </w:rPr>
        <w:drawing>
          <wp:inline distT="0" distB="0" distL="114300" distR="114300" wp14:anchorId="27DD0D02" wp14:editId="6648C75D">
            <wp:extent cx="5383530" cy="2974340"/>
            <wp:effectExtent l="0" t="0" r="7620" b="16510"/>
            <wp:docPr id="5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20"/>
                    <pic:cNvPicPr>
                      <a:picLocks noChangeAspect="1"/>
                    </pic:cNvPicPr>
                  </pic:nvPicPr>
                  <pic:blipFill>
                    <a:blip r:embed="rId492"/>
                    <a:srcRect l="17320" t="16628" r="11357" b="24507"/>
                    <a:stretch>
                      <a:fillRect/>
                    </a:stretch>
                  </pic:blipFill>
                  <pic:spPr>
                    <a:xfrm>
                      <a:off x="0" y="0"/>
                      <a:ext cx="5383530" cy="2974340"/>
                    </a:xfrm>
                    <a:prstGeom prst="rect">
                      <a:avLst/>
                    </a:prstGeom>
                    <a:noFill/>
                    <a:ln>
                      <a:noFill/>
                    </a:ln>
                  </pic:spPr>
                </pic:pic>
              </a:graphicData>
            </a:graphic>
          </wp:inline>
        </w:drawing>
      </w:r>
    </w:p>
    <w:p w14:paraId="6F810D1E" w14:textId="77777777" w:rsidR="001C08A5" w:rsidRDefault="00000000">
      <w:pPr>
        <w:jc w:val="center"/>
        <w:rPr>
          <w:rFonts w:eastAsia="Times New Roman"/>
          <w:i/>
          <w:sz w:val="24"/>
          <w:szCs w:val="24"/>
        </w:rPr>
      </w:pPr>
      <w:r>
        <w:rPr>
          <w:b/>
          <w:bCs/>
          <w:i/>
          <w:sz w:val="24"/>
          <w:szCs w:val="24"/>
        </w:rPr>
        <w:t>Varianata b) - orice funcțiune, cu excepția celor de locuit</w:t>
      </w:r>
    </w:p>
    <w:p w14:paraId="44E12C0A" w14:textId="77777777" w:rsidR="001C08A5" w:rsidRDefault="00000000">
      <w:pPr>
        <w:pStyle w:val="Caption"/>
        <w:jc w:val="center"/>
      </w:pPr>
      <w:bookmarkStart w:id="9561" w:name="_Toc16338"/>
      <w:bookmarkStart w:id="9562" w:name="_Toc142898632"/>
      <w:bookmarkStart w:id="9563" w:name="_Toc162360474"/>
      <w:bookmarkStart w:id="9564" w:name="_Toc30681"/>
      <w:r>
        <w:t xml:space="preserve">Figura </w:t>
      </w:r>
      <w:r>
        <w:fldChar w:fldCharType="begin"/>
      </w:r>
      <w:r>
        <w:instrText xml:space="preserve"> SEQ Figura \* ARABIC </w:instrText>
      </w:r>
      <w:r>
        <w:fldChar w:fldCharType="separate"/>
      </w:r>
      <w:r>
        <w:t>250</w:t>
      </w:r>
      <w:r>
        <w:fldChar w:fldCharType="end"/>
      </w:r>
      <w:bookmarkStart w:id="9565" w:name="_Toc3504"/>
      <w:bookmarkStart w:id="9566" w:name="_Toc6273"/>
      <w:bookmarkStart w:id="9567" w:name="_Toc19806"/>
      <w:bookmarkStart w:id="9568" w:name="_Toc12173"/>
      <w:bookmarkStart w:id="9569" w:name="_Toc19048"/>
      <w:bookmarkStart w:id="9570" w:name="_Toc9484"/>
      <w:bookmarkStart w:id="9571" w:name="_Toc1286"/>
      <w:bookmarkStart w:id="9572" w:name="_Toc27151"/>
      <w:bookmarkStart w:id="9573" w:name="_Toc12616"/>
      <w:r>
        <w:t xml:space="preserve"> - Nu sunt considerate clădiri înalte</w:t>
      </w:r>
      <w:bookmarkEnd w:id="9561"/>
      <w:bookmarkEnd w:id="9562"/>
      <w:bookmarkEnd w:id="9563"/>
      <w:bookmarkEnd w:id="9564"/>
      <w:bookmarkEnd w:id="9565"/>
      <w:bookmarkEnd w:id="9566"/>
      <w:bookmarkEnd w:id="9567"/>
      <w:bookmarkEnd w:id="9568"/>
      <w:bookmarkEnd w:id="9569"/>
      <w:bookmarkEnd w:id="9570"/>
      <w:bookmarkEnd w:id="9571"/>
      <w:bookmarkEnd w:id="9572"/>
      <w:bookmarkEnd w:id="9573"/>
    </w:p>
    <w:p w14:paraId="0D634418"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Nu sunt considerate clădiri înalte, clădirile civile (publice) la care deasupra nivelului limită (</w:t>
      </w:r>
      <w:r>
        <w:rPr>
          <w:rFonts w:eastAsia="Times New Roman"/>
          <w:b/>
          <w:bCs/>
          <w:i/>
          <w:sz w:val="24"/>
        </w:rPr>
        <w:t>28,00 m</w:t>
      </w:r>
      <w:r>
        <w:rPr>
          <w:rFonts w:eastAsia="Times New Roman"/>
          <w:i/>
          <w:sz w:val="24"/>
        </w:rPr>
        <w:t xml:space="preserve">) se află un singur nivel ce ocupă maximum </w:t>
      </w:r>
      <w:r>
        <w:rPr>
          <w:rFonts w:eastAsia="Times New Roman"/>
          <w:b/>
          <w:bCs/>
          <w:i/>
          <w:sz w:val="24"/>
        </w:rPr>
        <w:t>50%</w:t>
      </w:r>
      <w:r>
        <w:rPr>
          <w:rFonts w:eastAsia="Times New Roman"/>
          <w:i/>
          <w:sz w:val="24"/>
        </w:rPr>
        <w:t xml:space="preserve"> din aria construită a clădirii şi cuprinde spaţii tehnice.</w:t>
      </w:r>
    </w:p>
    <w:p w14:paraId="3437F2A2" w14:textId="77777777" w:rsidR="001C08A5" w:rsidRDefault="001C08A5">
      <w:pPr>
        <w:tabs>
          <w:tab w:val="left" w:pos="426"/>
          <w:tab w:val="left" w:pos="993"/>
        </w:tabs>
        <w:jc w:val="both"/>
        <w:rPr>
          <w:rFonts w:eastAsia="Times New Roman"/>
          <w:b/>
          <w:i/>
          <w:sz w:val="24"/>
        </w:rPr>
      </w:pPr>
    </w:p>
    <w:p w14:paraId="6164073E"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Nu sunt considerate clădiri înalte blocurile de locuinţe colective care au maximum </w:t>
      </w:r>
      <w:r>
        <w:rPr>
          <w:rFonts w:eastAsia="Times New Roman"/>
          <w:b/>
          <w:bCs/>
          <w:i/>
          <w:sz w:val="24"/>
        </w:rPr>
        <w:t xml:space="preserve">12 </w:t>
      </w:r>
      <w:r>
        <w:rPr>
          <w:rFonts w:eastAsia="Times New Roman"/>
          <w:i/>
          <w:sz w:val="24"/>
        </w:rPr>
        <w:t xml:space="preserve">niveluri supraterane, fiind admis deasupra nivelului limită, un singur nivel care ocupă max. </w:t>
      </w:r>
      <w:r>
        <w:rPr>
          <w:rFonts w:eastAsia="Times New Roman"/>
          <w:b/>
          <w:bCs/>
          <w:i/>
          <w:sz w:val="24"/>
        </w:rPr>
        <w:t>50%</w:t>
      </w:r>
      <w:r>
        <w:rPr>
          <w:rFonts w:eastAsia="Times New Roman"/>
          <w:i/>
          <w:sz w:val="24"/>
        </w:rPr>
        <w:t xml:space="preserve"> din arie şi este destinat EXCLUSIV spaţiilor tehnice, spălătorii, călcătorii)</w:t>
      </w:r>
    </w:p>
    <w:p w14:paraId="5576BFEC" w14:textId="77777777" w:rsidR="001C08A5" w:rsidRDefault="00000000">
      <w:pPr>
        <w:jc w:val="center"/>
        <w:rPr>
          <w:rFonts w:eastAsia="Times New Roman"/>
          <w:i/>
          <w:sz w:val="24"/>
          <w:szCs w:val="24"/>
        </w:rPr>
      </w:pPr>
      <w:r>
        <w:rPr>
          <w:b/>
          <w:bCs/>
          <w:i/>
          <w:noProof/>
          <w:sz w:val="24"/>
          <w:szCs w:val="24"/>
        </w:rPr>
        <w:lastRenderedPageBreak/>
        <w:drawing>
          <wp:inline distT="0" distB="0" distL="114300" distR="114300" wp14:anchorId="11151920" wp14:editId="71718809">
            <wp:extent cx="3810000" cy="3575685"/>
            <wp:effectExtent l="0" t="0" r="0" b="5715"/>
            <wp:docPr id="22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65"/>
                    <pic:cNvPicPr>
                      <a:picLocks noChangeAspect="1"/>
                    </pic:cNvPicPr>
                  </pic:nvPicPr>
                  <pic:blipFill>
                    <a:blip r:embed="rId493"/>
                    <a:srcRect l="35257" t="22332" r="14268" b="9841"/>
                    <a:stretch>
                      <a:fillRect/>
                    </a:stretch>
                  </pic:blipFill>
                  <pic:spPr>
                    <a:xfrm>
                      <a:off x="0" y="0"/>
                      <a:ext cx="3810000" cy="3575685"/>
                    </a:xfrm>
                    <a:prstGeom prst="rect">
                      <a:avLst/>
                    </a:prstGeom>
                    <a:noFill/>
                    <a:ln>
                      <a:noFill/>
                    </a:ln>
                  </pic:spPr>
                </pic:pic>
              </a:graphicData>
            </a:graphic>
          </wp:inline>
        </w:drawing>
      </w:r>
    </w:p>
    <w:p w14:paraId="47AD97E0" w14:textId="77777777" w:rsidR="001C08A5" w:rsidRDefault="00000000">
      <w:pPr>
        <w:suppressLineNumbers/>
        <w:spacing w:before="120" w:after="120"/>
        <w:jc w:val="both"/>
        <w:rPr>
          <w:rFonts w:cs="Mangal"/>
          <w:bCs/>
          <w:i/>
          <w:iCs/>
          <w:sz w:val="22"/>
          <w:szCs w:val="22"/>
        </w:rPr>
      </w:pPr>
      <w:bookmarkStart w:id="9574" w:name="_Toc5868"/>
      <w:bookmarkStart w:id="9575" w:name="_Toc24096"/>
      <w:bookmarkStart w:id="9576" w:name="_Toc142898633"/>
      <w:r>
        <w:rPr>
          <w:rFonts w:cs="Mangal"/>
          <w:bCs/>
          <w:i/>
          <w:iCs/>
          <w:sz w:val="22"/>
          <w:szCs w:val="22"/>
        </w:rPr>
        <w:t>Notă: cota ultimului nivel folosibil poate fi și terasa de pe clădire (în cazul amenajărilor pentru public pe aceasta), caz în care înalțimea se raportrează la acea cotă (similar clădiri înalte)</w:t>
      </w:r>
    </w:p>
    <w:p w14:paraId="69A84FBA" w14:textId="77777777" w:rsidR="001C08A5" w:rsidRDefault="00000000">
      <w:pPr>
        <w:pStyle w:val="Caption"/>
        <w:jc w:val="center"/>
      </w:pPr>
      <w:bookmarkStart w:id="9577" w:name="_Toc162360475"/>
      <w:r>
        <w:t xml:space="preserve">Figura </w:t>
      </w:r>
      <w:r>
        <w:fldChar w:fldCharType="begin"/>
      </w:r>
      <w:r>
        <w:instrText xml:space="preserve"> SEQ Figura \* ARABIC </w:instrText>
      </w:r>
      <w:r>
        <w:fldChar w:fldCharType="separate"/>
      </w:r>
      <w:r>
        <w:t>251</w:t>
      </w:r>
      <w:r>
        <w:fldChar w:fldCharType="end"/>
      </w:r>
      <w:bookmarkStart w:id="9578" w:name="_Toc12657"/>
      <w:bookmarkStart w:id="9579" w:name="_Toc17637"/>
      <w:bookmarkStart w:id="9580" w:name="_Toc22500"/>
      <w:bookmarkStart w:id="9581" w:name="_Toc29578"/>
      <w:bookmarkStart w:id="9582" w:name="_Toc5947"/>
      <w:bookmarkStart w:id="9583" w:name="_Toc4835"/>
      <w:bookmarkStart w:id="9584" w:name="_Toc28874"/>
      <w:bookmarkStart w:id="9585" w:name="_Toc23525"/>
      <w:bookmarkStart w:id="9586" w:name="_Toc12621"/>
      <w:r>
        <w:t xml:space="preserve"> - Clădire foarte înaltă construcţie civilă (publică) la care pardoseala ultimului nivel folosibil este situată la înălţimea de 45,00 m sau mai mult, măsurată conform precizărilor de la clădiri înalte.</w:t>
      </w:r>
      <w:bookmarkEnd w:id="9574"/>
      <w:bookmarkEnd w:id="9575"/>
      <w:bookmarkEnd w:id="9576"/>
      <w:bookmarkEnd w:id="9577"/>
      <w:bookmarkEnd w:id="9578"/>
      <w:bookmarkEnd w:id="9579"/>
      <w:bookmarkEnd w:id="9580"/>
      <w:bookmarkEnd w:id="9581"/>
      <w:bookmarkEnd w:id="9582"/>
      <w:bookmarkEnd w:id="9583"/>
      <w:bookmarkEnd w:id="9584"/>
      <w:bookmarkEnd w:id="9585"/>
      <w:bookmarkEnd w:id="9586"/>
    </w:p>
    <w:p w14:paraId="79078D3A"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2B7CAFF1" wp14:editId="69766EF7">
            <wp:extent cx="5981700" cy="3217545"/>
            <wp:effectExtent l="0" t="0" r="0" b="1905"/>
            <wp:docPr id="5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25"/>
                    <pic:cNvPicPr>
                      <a:picLocks noChangeAspect="1"/>
                    </pic:cNvPicPr>
                  </pic:nvPicPr>
                  <pic:blipFill>
                    <a:blip r:embed="rId494"/>
                    <a:srcRect l="12727" t="21591" r="8026" b="14729"/>
                    <a:stretch>
                      <a:fillRect/>
                    </a:stretch>
                  </pic:blipFill>
                  <pic:spPr>
                    <a:xfrm>
                      <a:off x="0" y="0"/>
                      <a:ext cx="5981700" cy="3217545"/>
                    </a:xfrm>
                    <a:prstGeom prst="rect">
                      <a:avLst/>
                    </a:prstGeom>
                    <a:noFill/>
                    <a:ln>
                      <a:noFill/>
                    </a:ln>
                  </pic:spPr>
                </pic:pic>
              </a:graphicData>
            </a:graphic>
          </wp:inline>
        </w:drawing>
      </w:r>
    </w:p>
    <w:p w14:paraId="31C1D12C" w14:textId="77777777" w:rsidR="001C08A5" w:rsidRDefault="00000000">
      <w:pPr>
        <w:pStyle w:val="Caption"/>
        <w:jc w:val="center"/>
      </w:pPr>
      <w:bookmarkStart w:id="9587" w:name="_Toc142898634"/>
      <w:bookmarkStart w:id="9588" w:name="_Toc23205"/>
      <w:bookmarkStart w:id="9589" w:name="_Toc162360476"/>
      <w:bookmarkStart w:id="9590" w:name="_Toc27906"/>
      <w:r>
        <w:t xml:space="preserve">Figura </w:t>
      </w:r>
      <w:r>
        <w:fldChar w:fldCharType="begin"/>
      </w:r>
      <w:r>
        <w:instrText xml:space="preserve"> SEQ Figura \* ARABIC </w:instrText>
      </w:r>
      <w:r>
        <w:fldChar w:fldCharType="separate"/>
      </w:r>
      <w:r>
        <w:t>252</w:t>
      </w:r>
      <w:r>
        <w:fldChar w:fldCharType="end"/>
      </w:r>
      <w:bookmarkStart w:id="9591" w:name="_Toc7617"/>
      <w:bookmarkStart w:id="9592" w:name="_Toc3528"/>
      <w:bookmarkStart w:id="9593" w:name="_Toc24782"/>
      <w:bookmarkStart w:id="9594" w:name="_Toc6532"/>
      <w:bookmarkStart w:id="9595" w:name="_Toc22420"/>
      <w:bookmarkStart w:id="9596" w:name="_Toc19003"/>
      <w:bookmarkStart w:id="9597" w:name="_Toc29738"/>
      <w:bookmarkStart w:id="9598" w:name="_Toc9984"/>
      <w:bookmarkStart w:id="9599" w:name="_Toc20613"/>
      <w:r>
        <w:t xml:space="preserve"> - Soluție corectă la clădiri înalte și foarte înalte - minimum două scări de evacuare</w:t>
      </w:r>
      <w:bookmarkEnd w:id="9587"/>
      <w:bookmarkEnd w:id="9588"/>
      <w:bookmarkEnd w:id="9589"/>
      <w:bookmarkEnd w:id="9590"/>
      <w:bookmarkEnd w:id="9591"/>
      <w:bookmarkEnd w:id="9592"/>
      <w:bookmarkEnd w:id="9593"/>
      <w:bookmarkEnd w:id="9594"/>
      <w:bookmarkEnd w:id="9595"/>
      <w:bookmarkEnd w:id="9596"/>
      <w:bookmarkEnd w:id="9597"/>
      <w:bookmarkEnd w:id="9598"/>
      <w:bookmarkEnd w:id="9599"/>
    </w:p>
    <w:p w14:paraId="73825C6C"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7F8BDF54" wp14:editId="3403A568">
            <wp:extent cx="5201920" cy="4836160"/>
            <wp:effectExtent l="0" t="0" r="17780" b="2540"/>
            <wp:docPr id="56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27"/>
                    <pic:cNvPicPr>
                      <a:picLocks noChangeAspect="1"/>
                    </pic:cNvPicPr>
                  </pic:nvPicPr>
                  <pic:blipFill>
                    <a:blip r:embed="rId495"/>
                    <a:srcRect l="19154" t="2400" r="11929" b="1884"/>
                    <a:stretch>
                      <a:fillRect/>
                    </a:stretch>
                  </pic:blipFill>
                  <pic:spPr>
                    <a:xfrm>
                      <a:off x="0" y="0"/>
                      <a:ext cx="5201920" cy="4836160"/>
                    </a:xfrm>
                    <a:prstGeom prst="rect">
                      <a:avLst/>
                    </a:prstGeom>
                    <a:noFill/>
                    <a:ln>
                      <a:noFill/>
                    </a:ln>
                  </pic:spPr>
                </pic:pic>
              </a:graphicData>
            </a:graphic>
          </wp:inline>
        </w:drawing>
      </w:r>
    </w:p>
    <w:p w14:paraId="6B209A76" w14:textId="77777777" w:rsidR="001C08A5" w:rsidRDefault="00000000">
      <w:pPr>
        <w:pStyle w:val="Caption"/>
        <w:jc w:val="center"/>
      </w:pPr>
      <w:bookmarkStart w:id="9600" w:name="_Toc19641"/>
      <w:bookmarkStart w:id="9601" w:name="_Toc162360477"/>
      <w:bookmarkStart w:id="9602" w:name="_Toc22798"/>
      <w:bookmarkStart w:id="9603" w:name="_Toc142898635"/>
      <w:r>
        <w:t xml:space="preserve">Figura </w:t>
      </w:r>
      <w:r>
        <w:fldChar w:fldCharType="begin"/>
      </w:r>
      <w:r>
        <w:instrText xml:space="preserve"> SEQ Figura \* ARABIC </w:instrText>
      </w:r>
      <w:r>
        <w:fldChar w:fldCharType="separate"/>
      </w:r>
      <w:r>
        <w:t>253</w:t>
      </w:r>
      <w:r>
        <w:fldChar w:fldCharType="end"/>
      </w:r>
      <w:bookmarkStart w:id="9604" w:name="_Toc22647"/>
      <w:bookmarkStart w:id="9605" w:name="_Toc32091"/>
      <w:bookmarkStart w:id="9606" w:name="_Toc30190"/>
      <w:bookmarkStart w:id="9607" w:name="_Toc16030"/>
      <w:bookmarkStart w:id="9608" w:name="_Toc31004"/>
      <w:bookmarkStart w:id="9609" w:name="_Toc20621"/>
      <w:bookmarkStart w:id="9610" w:name="_Toc5212"/>
      <w:bookmarkStart w:id="9611" w:name="_Toc11351"/>
      <w:bookmarkStart w:id="9612" w:name="_Toc30524"/>
      <w:r>
        <w:t xml:space="preserve"> - Asigurarea a cel puţin două căi de evacuare</w:t>
      </w:r>
      <w:bookmarkEnd w:id="9600"/>
      <w:bookmarkEnd w:id="9601"/>
      <w:bookmarkEnd w:id="9602"/>
      <w:bookmarkEnd w:id="9603"/>
      <w:bookmarkEnd w:id="9604"/>
      <w:bookmarkEnd w:id="9605"/>
      <w:bookmarkEnd w:id="9606"/>
      <w:bookmarkEnd w:id="9607"/>
      <w:bookmarkEnd w:id="9608"/>
      <w:bookmarkEnd w:id="9609"/>
      <w:bookmarkEnd w:id="9610"/>
      <w:bookmarkEnd w:id="9611"/>
      <w:bookmarkEnd w:id="9612"/>
    </w:p>
    <w:p w14:paraId="5CD28B30"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 clădiri înalte şi foarte înalte este obligatorie asigurarea a cel puţin două căi de evacuare, distincte şi independente, astfel amplasate încât să asigure distribuţia lor judicioasă şi posibilitatea ca persoanele să recunoască cu uşurinţă traseul spre exterior.</w:t>
      </w:r>
    </w:p>
    <w:p w14:paraId="1432A70D"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0AED656B" wp14:editId="50587D28">
            <wp:extent cx="2994025" cy="2099945"/>
            <wp:effectExtent l="0" t="0" r="15875" b="14605"/>
            <wp:docPr id="561"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12"/>
                    <pic:cNvPicPr>
                      <a:picLocks noChangeAspect="1"/>
                    </pic:cNvPicPr>
                  </pic:nvPicPr>
                  <pic:blipFill>
                    <a:blip r:embed="rId496"/>
                    <a:srcRect l="44502" t="32047" r="15833" b="26392"/>
                    <a:stretch>
                      <a:fillRect/>
                    </a:stretch>
                  </pic:blipFill>
                  <pic:spPr>
                    <a:xfrm>
                      <a:off x="0" y="0"/>
                      <a:ext cx="2994025" cy="2099945"/>
                    </a:xfrm>
                    <a:prstGeom prst="rect">
                      <a:avLst/>
                    </a:prstGeom>
                    <a:noFill/>
                    <a:ln>
                      <a:noFill/>
                    </a:ln>
                  </pic:spPr>
                </pic:pic>
              </a:graphicData>
            </a:graphic>
          </wp:inline>
        </w:drawing>
      </w:r>
    </w:p>
    <w:p w14:paraId="763F65CD" w14:textId="77777777" w:rsidR="001C08A5" w:rsidRDefault="00000000">
      <w:pPr>
        <w:pStyle w:val="Caption"/>
        <w:jc w:val="center"/>
      </w:pPr>
      <w:bookmarkStart w:id="9613" w:name="_Toc162360478"/>
      <w:bookmarkStart w:id="9614" w:name="_Toc142898636"/>
      <w:bookmarkStart w:id="9615" w:name="_Toc28000"/>
      <w:bookmarkStart w:id="9616" w:name="_Toc25239"/>
      <w:r>
        <w:t xml:space="preserve">Figura </w:t>
      </w:r>
      <w:r>
        <w:fldChar w:fldCharType="begin"/>
      </w:r>
      <w:r>
        <w:instrText xml:space="preserve"> SEQ Figura \* ARABIC </w:instrText>
      </w:r>
      <w:r>
        <w:fldChar w:fldCharType="separate"/>
      </w:r>
      <w:r>
        <w:t>254</w:t>
      </w:r>
      <w:r>
        <w:fldChar w:fldCharType="end"/>
      </w:r>
      <w:bookmarkStart w:id="9617" w:name="_Toc14656"/>
      <w:bookmarkStart w:id="9618" w:name="_Toc17312"/>
      <w:bookmarkStart w:id="9619" w:name="_Toc17397"/>
      <w:bookmarkStart w:id="9620" w:name="_Toc30594"/>
      <w:bookmarkStart w:id="9621" w:name="_Toc9005"/>
      <w:bookmarkStart w:id="9622" w:name="_Toc17849"/>
      <w:bookmarkStart w:id="9623" w:name="_Toc20001"/>
      <w:bookmarkStart w:id="9624" w:name="_Toc12157"/>
      <w:bookmarkStart w:id="9625" w:name="_Toc5168"/>
      <w:r>
        <w:t xml:space="preserve"> - Soluție neadmisă la clădiri înalte și foarte înalte - doar cu o scară de evacuare</w:t>
      </w:r>
      <w:bookmarkEnd w:id="9613"/>
      <w:bookmarkEnd w:id="9614"/>
      <w:bookmarkEnd w:id="9615"/>
      <w:bookmarkEnd w:id="9616"/>
      <w:bookmarkEnd w:id="9617"/>
      <w:bookmarkEnd w:id="9618"/>
      <w:bookmarkEnd w:id="9619"/>
      <w:bookmarkEnd w:id="9620"/>
      <w:bookmarkEnd w:id="9621"/>
      <w:bookmarkEnd w:id="9622"/>
      <w:bookmarkEnd w:id="9623"/>
      <w:bookmarkEnd w:id="9624"/>
      <w:bookmarkEnd w:id="9625"/>
    </w:p>
    <w:p w14:paraId="79315FA2" w14:textId="77777777" w:rsidR="001C08A5" w:rsidRDefault="00000000">
      <w:pPr>
        <w:pStyle w:val="Heading4"/>
        <w:rPr>
          <w:rFonts w:eastAsia="SimSun" w:cs="Times New Roman"/>
          <w:iCs/>
          <w:sz w:val="26"/>
          <w:szCs w:val="26"/>
        </w:rPr>
      </w:pPr>
      <w:bookmarkStart w:id="9626" w:name="_Toc24316"/>
      <w:bookmarkStart w:id="9627" w:name="_Toc24972"/>
      <w:bookmarkStart w:id="9628" w:name="_Toc19094"/>
      <w:bookmarkStart w:id="9629" w:name="_Toc5511"/>
      <w:bookmarkStart w:id="9630" w:name="_Toc795"/>
      <w:bookmarkStart w:id="9631" w:name="_Toc4577"/>
      <w:bookmarkStart w:id="9632" w:name="_Toc27742"/>
      <w:bookmarkStart w:id="9633" w:name="_Toc26870"/>
      <w:bookmarkStart w:id="9634" w:name="_Toc31947"/>
      <w:bookmarkStart w:id="9635" w:name="_Toc7583"/>
      <w:bookmarkStart w:id="9636" w:name="_Toc8152"/>
      <w:bookmarkStart w:id="9637" w:name="_Toc7123"/>
      <w:bookmarkStart w:id="9638" w:name="_Toc30482"/>
      <w:bookmarkStart w:id="9639" w:name="_Toc162355485"/>
      <w:bookmarkStart w:id="9640" w:name="_Toc11823"/>
      <w:r>
        <w:rPr>
          <w:sz w:val="24"/>
          <w:szCs w:val="24"/>
        </w:rPr>
        <w:t>Clădiri cu săli aglomerate</w:t>
      </w:r>
      <w:bookmarkEnd w:id="9626"/>
      <w:bookmarkEnd w:id="9627"/>
      <w:bookmarkEnd w:id="9628"/>
      <w:bookmarkEnd w:id="9629"/>
      <w:bookmarkEnd w:id="9630"/>
      <w:bookmarkEnd w:id="9631"/>
      <w:bookmarkEnd w:id="9632"/>
      <w:bookmarkEnd w:id="9633"/>
      <w:bookmarkEnd w:id="9634"/>
      <w:r>
        <w:rPr>
          <w:sz w:val="24"/>
          <w:szCs w:val="24"/>
        </w:rPr>
        <w:t xml:space="preserve"> </w:t>
      </w:r>
      <w:bookmarkStart w:id="9641" w:name="_Toc3890"/>
      <w:bookmarkStart w:id="9642" w:name="_Toc3477"/>
      <w:bookmarkStart w:id="9643" w:name="_Toc16802"/>
      <w:bookmarkStart w:id="9644" w:name="_Toc4083"/>
      <w:bookmarkStart w:id="9645" w:name="_Toc16555"/>
      <w:bookmarkStart w:id="9646" w:name="_Toc7511"/>
      <w:bookmarkStart w:id="9647" w:name="_Toc11015"/>
      <w:bookmarkStart w:id="9648" w:name="_Toc30960"/>
      <w:bookmarkStart w:id="9649" w:name="_Toc27570"/>
      <w:bookmarkStart w:id="9650" w:name="_Toc10057"/>
      <w:r>
        <w:rPr>
          <w:sz w:val="24"/>
          <w:szCs w:val="24"/>
        </w:rPr>
        <w:t>(l</w:t>
      </w:r>
      <w:r>
        <w:rPr>
          <w:rFonts w:eastAsia="SimSun" w:cs="Times New Roman"/>
          <w:iCs/>
          <w:sz w:val="26"/>
          <w:szCs w:val="26"/>
          <w:lang w:val="en-US"/>
        </w:rPr>
        <w:t>ungimi de evacuare la sălile aglomerate</w:t>
      </w:r>
      <w:bookmarkEnd w:id="9641"/>
      <w:bookmarkEnd w:id="9642"/>
      <w:bookmarkEnd w:id="9643"/>
      <w:bookmarkEnd w:id="9644"/>
      <w:bookmarkEnd w:id="9645"/>
      <w:bookmarkEnd w:id="9646"/>
      <w:bookmarkEnd w:id="9647"/>
      <w:bookmarkEnd w:id="9648"/>
      <w:bookmarkEnd w:id="9649"/>
      <w:bookmarkEnd w:id="9650"/>
      <w:r>
        <w:rPr>
          <w:rFonts w:eastAsia="SimSun" w:cs="Times New Roman"/>
          <w:iCs/>
          <w:sz w:val="26"/>
          <w:szCs w:val="26"/>
        </w:rPr>
        <w:t>)</w:t>
      </w:r>
      <w:bookmarkEnd w:id="9635"/>
      <w:bookmarkEnd w:id="9636"/>
      <w:bookmarkEnd w:id="9637"/>
      <w:bookmarkEnd w:id="9638"/>
      <w:bookmarkEnd w:id="9639"/>
      <w:bookmarkEnd w:id="9640"/>
    </w:p>
    <w:p w14:paraId="762EB4EC" w14:textId="77777777" w:rsidR="001C08A5" w:rsidRDefault="001C08A5">
      <w:pPr>
        <w:jc w:val="both"/>
        <w:rPr>
          <w:rFonts w:eastAsia="Times New Roman"/>
          <w:i/>
          <w:sz w:val="24"/>
          <w:szCs w:val="24"/>
        </w:rPr>
      </w:pPr>
    </w:p>
    <w:p w14:paraId="78DFB14D"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Sălile aglomerate trebuie să aibă minimum două căi de evacuare distincte şi independente .</w:t>
      </w:r>
    </w:p>
    <w:p w14:paraId="38A1C2A5" w14:textId="77777777" w:rsidR="001C08A5" w:rsidRDefault="001C08A5">
      <w:pPr>
        <w:tabs>
          <w:tab w:val="left" w:pos="426"/>
          <w:tab w:val="left" w:pos="993"/>
        </w:tabs>
        <w:jc w:val="both"/>
        <w:rPr>
          <w:rFonts w:eastAsia="Times New Roman"/>
          <w:b/>
          <w:i/>
          <w:sz w:val="24"/>
        </w:rPr>
      </w:pPr>
    </w:p>
    <w:p w14:paraId="30B50E88"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Lungimile căilor de evacuare la săli aglomerate trebuie să respecte condiţiile normate, în funcţie de categoria sălii aglomerate (</w:t>
      </w:r>
      <w:r>
        <w:rPr>
          <w:rFonts w:eastAsia="Times New Roman"/>
          <w:b/>
          <w:bCs/>
          <w:i/>
          <w:sz w:val="24"/>
        </w:rPr>
        <w:t>S1, S2</w:t>
      </w:r>
      <w:r>
        <w:rPr>
          <w:rFonts w:eastAsia="Times New Roman"/>
          <w:i/>
          <w:sz w:val="24"/>
        </w:rPr>
        <w:t xml:space="preserve">) şi nivelul de stabilitate la incendiu al construcţiei </w:t>
      </w:r>
    </w:p>
    <w:p w14:paraId="2CFB4209" w14:textId="77777777" w:rsidR="001C08A5" w:rsidRDefault="00000000">
      <w:pPr>
        <w:jc w:val="center"/>
        <w:rPr>
          <w:rFonts w:eastAsia="Times New Roman"/>
          <w:i/>
          <w:sz w:val="24"/>
          <w:szCs w:val="24"/>
        </w:rPr>
      </w:pPr>
      <w:r>
        <w:rPr>
          <w:b/>
          <w:bCs/>
          <w:i/>
          <w:noProof/>
          <w:sz w:val="24"/>
          <w:szCs w:val="24"/>
        </w:rPr>
        <w:lastRenderedPageBreak/>
        <w:drawing>
          <wp:inline distT="0" distB="0" distL="114300" distR="114300" wp14:anchorId="6DC645B7" wp14:editId="6A6D63AE">
            <wp:extent cx="5838825" cy="2894330"/>
            <wp:effectExtent l="0" t="0" r="9525" b="1270"/>
            <wp:docPr id="20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44"/>
                    <pic:cNvPicPr>
                      <a:picLocks noChangeAspect="1"/>
                    </pic:cNvPicPr>
                  </pic:nvPicPr>
                  <pic:blipFill>
                    <a:blip r:embed="rId497"/>
                    <a:srcRect l="14057" t="19108" r="8589" b="27557"/>
                    <a:stretch>
                      <a:fillRect/>
                    </a:stretch>
                  </pic:blipFill>
                  <pic:spPr>
                    <a:xfrm>
                      <a:off x="0" y="0"/>
                      <a:ext cx="5838825" cy="2894330"/>
                    </a:xfrm>
                    <a:prstGeom prst="rect">
                      <a:avLst/>
                    </a:prstGeom>
                    <a:noFill/>
                    <a:ln>
                      <a:noFill/>
                    </a:ln>
                  </pic:spPr>
                </pic:pic>
              </a:graphicData>
            </a:graphic>
          </wp:inline>
        </w:drawing>
      </w:r>
    </w:p>
    <w:p w14:paraId="3E2129D0" w14:textId="77777777" w:rsidR="001C08A5" w:rsidRDefault="00000000">
      <w:pPr>
        <w:pStyle w:val="Caption"/>
        <w:jc w:val="center"/>
      </w:pPr>
      <w:bookmarkStart w:id="9651" w:name="_Toc162360479"/>
      <w:bookmarkStart w:id="9652" w:name="_Toc28253"/>
      <w:bookmarkStart w:id="9653" w:name="_Toc18868"/>
      <w:bookmarkStart w:id="9654" w:name="_Toc142898637"/>
      <w:r>
        <w:t xml:space="preserve">Figura </w:t>
      </w:r>
      <w:r>
        <w:fldChar w:fldCharType="begin"/>
      </w:r>
      <w:r>
        <w:instrText xml:space="preserve"> SEQ Figura \* ARABIC </w:instrText>
      </w:r>
      <w:r>
        <w:fldChar w:fldCharType="separate"/>
      </w:r>
      <w:r>
        <w:t>255</w:t>
      </w:r>
      <w:r>
        <w:fldChar w:fldCharType="end"/>
      </w:r>
      <w:bookmarkStart w:id="9655" w:name="_Toc2970"/>
      <w:bookmarkStart w:id="9656" w:name="_Toc17281"/>
      <w:bookmarkStart w:id="9657" w:name="_Toc12304"/>
      <w:bookmarkStart w:id="9658" w:name="_Toc32761"/>
      <w:bookmarkStart w:id="9659" w:name="_Toc23450"/>
      <w:bookmarkStart w:id="9660" w:name="_Toc12801"/>
      <w:bookmarkStart w:id="9661" w:name="_Toc1880"/>
      <w:bookmarkStart w:id="9662" w:name="_Toc23022"/>
      <w:bookmarkStart w:id="9663" w:name="_Toc14895"/>
      <w:r>
        <w:t xml:space="preserve"> - Distanțare de evacuare  în interiorul sălilor aglomerate - variante</w:t>
      </w:r>
      <w:bookmarkEnd w:id="9651"/>
      <w:bookmarkEnd w:id="9652"/>
      <w:bookmarkEnd w:id="9653"/>
      <w:bookmarkEnd w:id="9654"/>
      <w:bookmarkEnd w:id="9655"/>
      <w:bookmarkEnd w:id="9656"/>
      <w:bookmarkEnd w:id="9657"/>
      <w:bookmarkEnd w:id="9658"/>
      <w:bookmarkEnd w:id="9659"/>
      <w:bookmarkEnd w:id="9660"/>
      <w:bookmarkEnd w:id="9661"/>
      <w:bookmarkEnd w:id="9662"/>
      <w:bookmarkEnd w:id="9663"/>
    </w:p>
    <w:p w14:paraId="194DE289"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01960120" wp14:editId="72B5E637">
            <wp:extent cx="5505450" cy="3430270"/>
            <wp:effectExtent l="0" t="0" r="0" b="17780"/>
            <wp:docPr id="20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45"/>
                    <pic:cNvPicPr>
                      <a:picLocks noChangeAspect="1"/>
                    </pic:cNvPicPr>
                  </pic:nvPicPr>
                  <pic:blipFill>
                    <a:blip r:embed="rId498"/>
                    <a:srcRect l="16834" t="17751" r="10230" b="19038"/>
                    <a:stretch>
                      <a:fillRect/>
                    </a:stretch>
                  </pic:blipFill>
                  <pic:spPr>
                    <a:xfrm>
                      <a:off x="0" y="0"/>
                      <a:ext cx="5505450" cy="3430270"/>
                    </a:xfrm>
                    <a:prstGeom prst="rect">
                      <a:avLst/>
                    </a:prstGeom>
                    <a:noFill/>
                    <a:ln>
                      <a:noFill/>
                    </a:ln>
                  </pic:spPr>
                </pic:pic>
              </a:graphicData>
            </a:graphic>
          </wp:inline>
        </w:drawing>
      </w:r>
    </w:p>
    <w:p w14:paraId="5BF870AB"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474DB1A9" wp14:editId="0AA57225">
            <wp:extent cx="5937885" cy="3384550"/>
            <wp:effectExtent l="0" t="0" r="5715" b="6350"/>
            <wp:docPr id="22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46"/>
                    <pic:cNvPicPr>
                      <a:picLocks noChangeAspect="1"/>
                    </pic:cNvPicPr>
                  </pic:nvPicPr>
                  <pic:blipFill>
                    <a:blip r:embed="rId499"/>
                    <a:srcRect l="13553" t="16908" r="7782" b="20723"/>
                    <a:stretch>
                      <a:fillRect/>
                    </a:stretch>
                  </pic:blipFill>
                  <pic:spPr>
                    <a:xfrm>
                      <a:off x="0" y="0"/>
                      <a:ext cx="5937885" cy="3384550"/>
                    </a:xfrm>
                    <a:prstGeom prst="rect">
                      <a:avLst/>
                    </a:prstGeom>
                    <a:noFill/>
                    <a:ln>
                      <a:noFill/>
                    </a:ln>
                  </pic:spPr>
                </pic:pic>
              </a:graphicData>
            </a:graphic>
          </wp:inline>
        </w:drawing>
      </w:r>
    </w:p>
    <w:p w14:paraId="65073439" w14:textId="77777777" w:rsidR="001C08A5" w:rsidRDefault="00000000">
      <w:pPr>
        <w:pStyle w:val="Caption"/>
        <w:jc w:val="center"/>
      </w:pPr>
      <w:bookmarkStart w:id="9664" w:name="_Toc162360480"/>
      <w:bookmarkStart w:id="9665" w:name="_Toc14529"/>
      <w:bookmarkStart w:id="9666" w:name="_Toc30950"/>
      <w:bookmarkStart w:id="9667" w:name="_Toc142898638"/>
      <w:r>
        <w:t xml:space="preserve">Figura </w:t>
      </w:r>
      <w:r>
        <w:fldChar w:fldCharType="begin"/>
      </w:r>
      <w:r>
        <w:instrText xml:space="preserve"> SEQ Figura \* ARABIC </w:instrText>
      </w:r>
      <w:r>
        <w:fldChar w:fldCharType="separate"/>
      </w:r>
      <w:r>
        <w:t>256</w:t>
      </w:r>
      <w:r>
        <w:fldChar w:fldCharType="end"/>
      </w:r>
      <w:bookmarkStart w:id="9668" w:name="_Toc22786"/>
      <w:bookmarkStart w:id="9669" w:name="_Toc12884"/>
      <w:bookmarkStart w:id="9670" w:name="_Toc30787"/>
      <w:bookmarkStart w:id="9671" w:name="_Toc15425"/>
      <w:bookmarkStart w:id="9672" w:name="_Toc27462"/>
      <w:bookmarkStart w:id="9673" w:name="_Toc4593"/>
      <w:bookmarkStart w:id="9674" w:name="_Toc19263"/>
      <w:bookmarkStart w:id="9675" w:name="_Toc16773"/>
      <w:bookmarkStart w:id="9676" w:name="_Toc6360"/>
      <w:r>
        <w:t xml:space="preserve"> - Distanțe de evacuare la săli aglomerate - interior și exterior</w:t>
      </w:r>
      <w:bookmarkEnd w:id="9664"/>
      <w:bookmarkEnd w:id="9665"/>
      <w:bookmarkEnd w:id="9666"/>
      <w:bookmarkEnd w:id="9667"/>
      <w:bookmarkEnd w:id="9668"/>
      <w:bookmarkEnd w:id="9669"/>
      <w:bookmarkEnd w:id="9670"/>
      <w:bookmarkEnd w:id="9671"/>
      <w:bookmarkEnd w:id="9672"/>
      <w:bookmarkEnd w:id="9673"/>
      <w:bookmarkEnd w:id="9674"/>
      <w:bookmarkEnd w:id="9675"/>
      <w:bookmarkEnd w:id="9676"/>
    </w:p>
    <w:p w14:paraId="606B6252" w14:textId="77777777" w:rsidR="001C08A5" w:rsidRDefault="00000000">
      <w:pPr>
        <w:pStyle w:val="Heading3"/>
        <w:rPr>
          <w:i/>
          <w:iCs/>
          <w:sz w:val="24"/>
          <w:szCs w:val="24"/>
        </w:rPr>
      </w:pPr>
      <w:bookmarkStart w:id="9677" w:name="_Toc2014"/>
      <w:bookmarkStart w:id="9678" w:name="_Toc25416"/>
      <w:bookmarkStart w:id="9679" w:name="_Toc25053"/>
      <w:bookmarkStart w:id="9680" w:name="_Toc29625"/>
      <w:bookmarkStart w:id="9681" w:name="_Toc6344"/>
      <w:bookmarkStart w:id="9682" w:name="_Toc2993"/>
      <w:bookmarkStart w:id="9683" w:name="_Toc26699"/>
      <w:bookmarkStart w:id="9684" w:name="_Toc162355486"/>
      <w:bookmarkStart w:id="9685" w:name="_Toc491"/>
      <w:bookmarkStart w:id="9686" w:name="_Toc20207"/>
      <w:bookmarkStart w:id="9687" w:name="_Toc30842"/>
      <w:bookmarkStart w:id="9688" w:name="_Toc30052"/>
      <w:bookmarkStart w:id="9689" w:name="_Toc11036"/>
      <w:bookmarkStart w:id="9690" w:name="_Toc2258"/>
      <w:bookmarkStart w:id="9691" w:name="_Toc4985"/>
      <w:bookmarkStart w:id="9692" w:name="_Toc12566"/>
      <w:r>
        <w:rPr>
          <w:i/>
          <w:iCs/>
          <w:sz w:val="24"/>
          <w:szCs w:val="24"/>
        </w:rPr>
        <w:t>ANEXA 7.5 - CONSTRUCŢII CU FUNCŢIUNI MIXTE</w:t>
      </w:r>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p>
    <w:p w14:paraId="12A7C80C" w14:textId="77777777" w:rsidR="001C08A5" w:rsidRDefault="001C08A5">
      <w:pPr>
        <w:jc w:val="both"/>
        <w:rPr>
          <w:b/>
          <w:bCs/>
          <w:i/>
          <w:sz w:val="24"/>
          <w:szCs w:val="24"/>
        </w:rPr>
      </w:pPr>
    </w:p>
    <w:p w14:paraId="49B2292F"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Clădire cu funcţiuni mixte - construcţie supraterană care cuprinde diferite funcţiuni principale civile-civile sau civile-de producţie şi/sau depozitare ori producţie-depozitare. </w:t>
      </w:r>
    </w:p>
    <w:p w14:paraId="52E2CC16" w14:textId="77777777" w:rsidR="001C08A5" w:rsidRDefault="001C08A5">
      <w:pPr>
        <w:numPr>
          <w:ilvl w:val="255"/>
          <w:numId w:val="0"/>
        </w:numPr>
        <w:tabs>
          <w:tab w:val="left" w:pos="426"/>
          <w:tab w:val="left" w:pos="993"/>
        </w:tabs>
        <w:jc w:val="both"/>
        <w:rPr>
          <w:rFonts w:eastAsia="Times New Roman"/>
          <w:b/>
          <w:i/>
          <w:sz w:val="24"/>
        </w:rPr>
      </w:pPr>
    </w:p>
    <w:p w14:paraId="61BC43ED"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Funcţiunea distinctă (civilă sau de producţie sau de depozitare) care depăşeşte </w:t>
      </w:r>
      <w:r>
        <w:rPr>
          <w:rFonts w:eastAsia="Times New Roman"/>
          <w:b/>
          <w:bCs/>
          <w:i/>
          <w:sz w:val="24"/>
        </w:rPr>
        <w:t>50%</w:t>
      </w:r>
      <w:r>
        <w:rPr>
          <w:rFonts w:eastAsia="Times New Roman"/>
          <w:i/>
          <w:sz w:val="24"/>
        </w:rPr>
        <w:t xml:space="preserve"> din aria desfăşurată totală a construcţiei (Ad), determină încadrarea construcţiei respective în:</w:t>
      </w:r>
    </w:p>
    <w:p w14:paraId="0E86D66F" w14:textId="77777777" w:rsidR="001C08A5" w:rsidRDefault="00000000">
      <w:pPr>
        <w:jc w:val="both"/>
        <w:rPr>
          <w:rFonts w:eastAsia="Times New Roman"/>
          <w:i/>
          <w:sz w:val="24"/>
          <w:szCs w:val="24"/>
        </w:rPr>
      </w:pPr>
      <w:r>
        <w:rPr>
          <w:rFonts w:eastAsia="Times New Roman"/>
          <w:i/>
          <w:sz w:val="24"/>
          <w:szCs w:val="24"/>
        </w:rPr>
        <w:t>-</w:t>
      </w:r>
      <w:r>
        <w:rPr>
          <w:rFonts w:eastAsia="Times New Roman"/>
          <w:i/>
          <w:sz w:val="24"/>
          <w:szCs w:val="24"/>
        </w:rPr>
        <w:tab/>
        <w:t xml:space="preserve">clădire cu funcţiuni mixte predominat civile sau </w:t>
      </w:r>
    </w:p>
    <w:p w14:paraId="65DD130C" w14:textId="77777777" w:rsidR="001C08A5" w:rsidRDefault="00000000">
      <w:pPr>
        <w:jc w:val="both"/>
        <w:rPr>
          <w:rFonts w:eastAsia="Times New Roman"/>
          <w:i/>
          <w:sz w:val="24"/>
          <w:szCs w:val="24"/>
        </w:rPr>
      </w:pPr>
      <w:r>
        <w:rPr>
          <w:rFonts w:eastAsia="Times New Roman"/>
          <w:i/>
          <w:sz w:val="24"/>
          <w:szCs w:val="24"/>
        </w:rPr>
        <w:t>-</w:t>
      </w:r>
      <w:r>
        <w:rPr>
          <w:rFonts w:eastAsia="Times New Roman"/>
          <w:i/>
          <w:sz w:val="24"/>
          <w:szCs w:val="24"/>
        </w:rPr>
        <w:tab/>
        <w:t xml:space="preserve">clădire cu funcţiuni mixte predominat producţie, ori </w:t>
      </w:r>
    </w:p>
    <w:p w14:paraId="6D30B26F" w14:textId="77777777" w:rsidR="001C08A5" w:rsidRDefault="00000000">
      <w:pPr>
        <w:jc w:val="both"/>
        <w:rPr>
          <w:rFonts w:eastAsia="Times New Roman"/>
          <w:i/>
          <w:sz w:val="24"/>
          <w:szCs w:val="24"/>
        </w:rPr>
      </w:pPr>
      <w:r>
        <w:rPr>
          <w:rFonts w:eastAsia="Times New Roman"/>
          <w:i/>
          <w:sz w:val="24"/>
          <w:szCs w:val="24"/>
        </w:rPr>
        <w:t>-          clădire cu funcţiuni mixte predominat depozitare.</w:t>
      </w:r>
    </w:p>
    <w:p w14:paraId="003A4EEE" w14:textId="77777777" w:rsidR="001C08A5" w:rsidRDefault="00000000">
      <w:pPr>
        <w:jc w:val="both"/>
        <w:rPr>
          <w:i/>
          <w:sz w:val="22"/>
          <w:szCs w:val="22"/>
        </w:rPr>
      </w:pPr>
      <w:r>
        <w:rPr>
          <w:rFonts w:eastAsia="Times New Roman"/>
          <w:i/>
          <w:sz w:val="22"/>
          <w:szCs w:val="22"/>
        </w:rPr>
        <w:t xml:space="preserve">Notă: </w:t>
      </w:r>
      <w:r>
        <w:rPr>
          <w:i/>
          <w:sz w:val="22"/>
          <w:szCs w:val="22"/>
        </w:rPr>
        <w:t>Atunci când în clădire sunt mai multe destinaţii diferite civile, respectiv de producţie şi/sau depozitare, funcţiunea cu aria totală desfăşurată cea mai mare din cea a construcţiei (</w:t>
      </w:r>
      <w:r>
        <w:rPr>
          <w:b/>
          <w:i/>
          <w:sz w:val="22"/>
          <w:szCs w:val="22"/>
        </w:rPr>
        <w:t>Ad</w:t>
      </w:r>
      <w:r>
        <w:rPr>
          <w:i/>
          <w:sz w:val="22"/>
          <w:szCs w:val="22"/>
        </w:rPr>
        <w:t>), determină funcţiunea civilă ori funcţiunea de producţie sau de depozitare a clădirii.</w:t>
      </w:r>
    </w:p>
    <w:p w14:paraId="57F2A4A6" w14:textId="77777777" w:rsidR="001C08A5" w:rsidRDefault="001C08A5">
      <w:pPr>
        <w:jc w:val="both"/>
        <w:rPr>
          <w:i/>
          <w:sz w:val="22"/>
          <w:szCs w:val="22"/>
        </w:rPr>
      </w:pPr>
    </w:p>
    <w:p w14:paraId="12A36A3F" w14:textId="77777777" w:rsidR="001C08A5" w:rsidRDefault="00000000">
      <w:pPr>
        <w:numPr>
          <w:ilvl w:val="0"/>
          <w:numId w:val="96"/>
        </w:numPr>
        <w:tabs>
          <w:tab w:val="left" w:pos="426"/>
          <w:tab w:val="left" w:pos="993"/>
        </w:tabs>
        <w:jc w:val="both"/>
        <w:rPr>
          <w:rFonts w:eastAsia="Times New Roman"/>
          <w:i/>
          <w:sz w:val="24"/>
        </w:rPr>
      </w:pPr>
      <w:r>
        <w:rPr>
          <w:rFonts w:eastAsia="Times New Roman"/>
          <w:bCs/>
          <w:i/>
          <w:sz w:val="24"/>
        </w:rPr>
        <w:t>În situația în care funcțiunea de construcție civilă este</w:t>
      </w:r>
      <w:r>
        <w:rPr>
          <w:rFonts w:eastAsia="Times New Roman"/>
          <w:b/>
          <w:i/>
          <w:sz w:val="24"/>
        </w:rPr>
        <w:t xml:space="preserve"> </w:t>
      </w:r>
      <w:r>
        <w:rPr>
          <w:rFonts w:eastAsia="Times New Roman"/>
          <w:b/>
          <w:bCs/>
          <w:i/>
          <w:sz w:val="24"/>
        </w:rPr>
        <w:t>50%</w:t>
      </w:r>
      <w:r>
        <w:rPr>
          <w:rFonts w:eastAsia="Times New Roman"/>
          <w:i/>
          <w:sz w:val="24"/>
        </w:rPr>
        <w:t xml:space="preserve"> din aria desfăşurată a construcţiei (Ad), determină încadrarea construcţiei respective în clădire cu funcţiuni mixte predominat civile.</w:t>
      </w:r>
    </w:p>
    <w:p w14:paraId="222FB101" w14:textId="77777777" w:rsidR="001C08A5" w:rsidRDefault="001C08A5">
      <w:pPr>
        <w:tabs>
          <w:tab w:val="left" w:pos="426"/>
          <w:tab w:val="left" w:pos="993"/>
        </w:tabs>
        <w:jc w:val="both"/>
        <w:rPr>
          <w:rFonts w:eastAsia="Times New Roman"/>
          <w:i/>
          <w:sz w:val="24"/>
        </w:rPr>
      </w:pPr>
    </w:p>
    <w:p w14:paraId="1AA63D18" w14:textId="77777777" w:rsidR="001C08A5" w:rsidRDefault="00000000">
      <w:pPr>
        <w:numPr>
          <w:ilvl w:val="0"/>
          <w:numId w:val="96"/>
        </w:numPr>
        <w:tabs>
          <w:tab w:val="left" w:pos="426"/>
          <w:tab w:val="left" w:pos="993"/>
        </w:tabs>
        <w:jc w:val="both"/>
        <w:rPr>
          <w:rFonts w:eastAsia="Times New Roman"/>
          <w:i/>
          <w:sz w:val="24"/>
        </w:rPr>
      </w:pPr>
      <w:r>
        <w:rPr>
          <w:rFonts w:eastAsia="Times New Roman"/>
          <w:i/>
          <w:sz w:val="24"/>
        </w:rPr>
        <w:t>Riscul de incendiu pe compartiment de incendiu/construcție, se consideră riscul cel mai mare al încăperilor și zonelor:</w:t>
      </w:r>
    </w:p>
    <w:p w14:paraId="7682915D" w14:textId="77777777" w:rsidR="001C08A5" w:rsidRDefault="00000000">
      <w:pPr>
        <w:tabs>
          <w:tab w:val="left" w:pos="426"/>
          <w:tab w:val="left" w:pos="993"/>
        </w:tabs>
        <w:ind w:left="1440" w:firstLine="720"/>
        <w:jc w:val="both"/>
        <w:rPr>
          <w:rFonts w:eastAsia="Times New Roman"/>
          <w:i/>
          <w:sz w:val="24"/>
        </w:rPr>
      </w:pPr>
      <w:r>
        <w:rPr>
          <w:rFonts w:eastAsia="Times New Roman"/>
          <w:i/>
          <w:sz w:val="24"/>
        </w:rPr>
        <w:t xml:space="preserve">- ale căror </w:t>
      </w:r>
      <w:r>
        <w:rPr>
          <w:rFonts w:eastAsia="Times New Roman"/>
          <w:b/>
          <w:bCs/>
          <w:i/>
          <w:sz w:val="24"/>
        </w:rPr>
        <w:t>volume însumate</w:t>
      </w:r>
      <w:r>
        <w:rPr>
          <w:rFonts w:eastAsia="Times New Roman"/>
          <w:i/>
          <w:sz w:val="24"/>
        </w:rPr>
        <w:t xml:space="preserve"> reprezintă </w:t>
      </w:r>
      <w:r>
        <w:rPr>
          <w:rFonts w:eastAsia="Times New Roman"/>
          <w:b/>
          <w:bCs/>
          <w:i/>
          <w:sz w:val="24"/>
        </w:rPr>
        <w:t>mai mult de 30% din volumul construcţiei</w:t>
      </w:r>
      <w:r>
        <w:rPr>
          <w:rFonts w:eastAsia="Times New Roman"/>
          <w:i/>
          <w:sz w:val="24"/>
        </w:rPr>
        <w:t xml:space="preserve"> sau al compartimentului de incendiu, indiferent de destinaţia acestora, </w:t>
      </w:r>
      <w:r>
        <w:rPr>
          <w:rFonts w:eastAsia="Times New Roman"/>
          <w:b/>
          <w:bCs/>
          <w:i/>
          <w:sz w:val="24"/>
        </w:rPr>
        <w:t>dacă în construcție sunt zone</w:t>
      </w:r>
      <w:r>
        <w:rPr>
          <w:rFonts w:eastAsia="Times New Roman"/>
          <w:i/>
          <w:sz w:val="24"/>
        </w:rPr>
        <w:t xml:space="preserve"> cu risc foarte mare de incendiu, </w:t>
      </w:r>
      <w:r>
        <w:rPr>
          <w:rFonts w:eastAsia="Times New Roman"/>
          <w:b/>
          <w:bCs/>
          <w:i/>
          <w:sz w:val="24"/>
        </w:rPr>
        <w:t>cu pericol de explozie volumetrică</w:t>
      </w:r>
      <w:r>
        <w:rPr>
          <w:rFonts w:eastAsia="Times New Roman"/>
          <w:i/>
          <w:sz w:val="24"/>
        </w:rPr>
        <w:t>;</w:t>
      </w:r>
    </w:p>
    <w:p w14:paraId="0A0FA037" w14:textId="77777777" w:rsidR="001C08A5" w:rsidRDefault="00000000">
      <w:pPr>
        <w:tabs>
          <w:tab w:val="left" w:pos="426"/>
          <w:tab w:val="left" w:pos="993"/>
        </w:tabs>
        <w:ind w:left="1440" w:firstLine="720"/>
        <w:jc w:val="both"/>
        <w:rPr>
          <w:rFonts w:eastAsia="Times New Roman"/>
          <w:i/>
          <w:sz w:val="24"/>
        </w:rPr>
      </w:pPr>
      <w:r>
        <w:rPr>
          <w:rFonts w:eastAsia="Times New Roman"/>
          <w:i/>
          <w:sz w:val="24"/>
        </w:rPr>
        <w:t xml:space="preserve">- ale căror </w:t>
      </w:r>
      <w:r>
        <w:rPr>
          <w:rFonts w:eastAsia="Times New Roman"/>
          <w:b/>
          <w:bCs/>
          <w:i/>
          <w:sz w:val="24"/>
        </w:rPr>
        <w:t>suprafețe însumate</w:t>
      </w:r>
      <w:r>
        <w:rPr>
          <w:rFonts w:eastAsia="Times New Roman"/>
          <w:i/>
          <w:sz w:val="24"/>
        </w:rPr>
        <w:t xml:space="preserve"> reprezintă </w:t>
      </w:r>
      <w:r>
        <w:rPr>
          <w:rFonts w:eastAsia="Times New Roman"/>
          <w:b/>
          <w:bCs/>
          <w:i/>
          <w:sz w:val="24"/>
        </w:rPr>
        <w:t>mai mult de 30% din aria desfășurată</w:t>
      </w:r>
      <w:r>
        <w:rPr>
          <w:rFonts w:eastAsia="Times New Roman"/>
          <w:i/>
          <w:sz w:val="24"/>
        </w:rPr>
        <w:t xml:space="preserve"> a construcţiei sau al compartimentului de incendiu, indiferent de destinaţia acestora.</w:t>
      </w:r>
    </w:p>
    <w:p w14:paraId="1482022C" w14:textId="77777777" w:rsidR="001C08A5" w:rsidRDefault="001C08A5">
      <w:pPr>
        <w:tabs>
          <w:tab w:val="left" w:pos="426"/>
          <w:tab w:val="left" w:pos="993"/>
        </w:tabs>
        <w:ind w:left="1440" w:firstLine="720"/>
        <w:jc w:val="both"/>
        <w:rPr>
          <w:rFonts w:eastAsia="Times New Roman"/>
          <w:i/>
          <w:sz w:val="24"/>
        </w:rPr>
      </w:pPr>
    </w:p>
    <w:p w14:paraId="5A9A218F"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Determinarea </w:t>
      </w:r>
      <w:r>
        <w:rPr>
          <w:rFonts w:eastAsia="Times New Roman"/>
          <w:b/>
          <w:bCs/>
          <w:i/>
          <w:sz w:val="24"/>
        </w:rPr>
        <w:t>riscului de incendiu</w:t>
      </w:r>
      <w:r>
        <w:rPr>
          <w:rFonts w:eastAsia="Times New Roman"/>
          <w:i/>
          <w:sz w:val="24"/>
        </w:rPr>
        <w:t xml:space="preserve"> al clădirii civilă (publică) sau de producţie şi/sau depozitare se realizează făcând </w:t>
      </w:r>
      <w:r>
        <w:rPr>
          <w:rFonts w:eastAsia="Times New Roman"/>
          <w:b/>
          <w:bCs/>
          <w:i/>
          <w:sz w:val="24"/>
        </w:rPr>
        <w:t>media aritmetică a sarcinii termice raportat la procentul ocupat de riscul respectiv de incendiu</w:t>
      </w:r>
      <w:r>
        <w:rPr>
          <w:rFonts w:eastAsia="Times New Roman"/>
          <w:i/>
          <w:sz w:val="24"/>
        </w:rPr>
        <w:t xml:space="preserve"> pe compartiment/ construcție (se raportează la aria desfășurată a riscului respectiv).</w:t>
      </w:r>
    </w:p>
    <w:p w14:paraId="6606410A" w14:textId="77777777" w:rsidR="001C08A5" w:rsidRDefault="00000000">
      <w:pPr>
        <w:tabs>
          <w:tab w:val="left" w:pos="426"/>
          <w:tab w:val="left" w:pos="993"/>
        </w:tabs>
        <w:jc w:val="both"/>
        <w:rPr>
          <w:rFonts w:eastAsia="Times New Roman"/>
          <w:i/>
          <w:sz w:val="24"/>
        </w:rPr>
      </w:pPr>
      <w:r>
        <w:rPr>
          <w:rFonts w:eastAsia="Times New Roman"/>
          <w:b/>
          <w:bCs/>
          <w:i/>
          <w:sz w:val="24"/>
        </w:rPr>
        <w:t>Exemplu</w:t>
      </w:r>
      <w:r>
        <w:rPr>
          <w:rFonts w:eastAsia="Times New Roman"/>
          <w:i/>
          <w:sz w:val="24"/>
        </w:rPr>
        <w:t>:</w:t>
      </w:r>
    </w:p>
    <w:p w14:paraId="18FA1186" w14:textId="77777777" w:rsidR="001C08A5" w:rsidRDefault="00000000">
      <w:pPr>
        <w:tabs>
          <w:tab w:val="left" w:pos="426"/>
          <w:tab w:val="left" w:pos="993"/>
        </w:tabs>
        <w:jc w:val="both"/>
        <w:rPr>
          <w:rFonts w:eastAsia="Times New Roman"/>
          <w:i/>
          <w:sz w:val="24"/>
        </w:rPr>
      </w:pPr>
      <w:r>
        <w:rPr>
          <w:rFonts w:eastAsia="Times New Roman"/>
          <w:i/>
          <w:sz w:val="24"/>
          <w:u w:val="single"/>
        </w:rPr>
        <w:lastRenderedPageBreak/>
        <w:t xml:space="preserve">Dacă o clădire are </w:t>
      </w:r>
      <w:r>
        <w:rPr>
          <w:rFonts w:eastAsia="Times New Roman"/>
          <w:b/>
          <w:bCs/>
          <w:i/>
          <w:sz w:val="24"/>
          <w:u w:val="single"/>
        </w:rPr>
        <w:t>60%</w:t>
      </w:r>
      <w:r>
        <w:rPr>
          <w:rFonts w:eastAsia="Times New Roman"/>
          <w:i/>
          <w:sz w:val="24"/>
          <w:u w:val="single"/>
        </w:rPr>
        <w:t xml:space="preserve"> risc mic, </w:t>
      </w:r>
      <w:r>
        <w:rPr>
          <w:rFonts w:eastAsia="Times New Roman"/>
          <w:b/>
          <w:bCs/>
          <w:i/>
          <w:sz w:val="24"/>
          <w:u w:val="single"/>
        </w:rPr>
        <w:t xml:space="preserve">20% </w:t>
      </w:r>
      <w:r>
        <w:rPr>
          <w:rFonts w:eastAsia="Times New Roman"/>
          <w:i/>
          <w:sz w:val="24"/>
          <w:u w:val="single"/>
        </w:rPr>
        <w:t xml:space="preserve">risc mijlociu și </w:t>
      </w:r>
      <w:r>
        <w:rPr>
          <w:rFonts w:eastAsia="Times New Roman"/>
          <w:b/>
          <w:bCs/>
          <w:i/>
          <w:sz w:val="24"/>
          <w:u w:val="single"/>
        </w:rPr>
        <w:t>20%</w:t>
      </w:r>
      <w:r>
        <w:rPr>
          <w:rFonts w:eastAsia="Times New Roman"/>
          <w:i/>
          <w:sz w:val="24"/>
          <w:u w:val="single"/>
        </w:rPr>
        <w:t xml:space="preserve"> risc mare, riscul pe întreaga clădire este </w:t>
      </w:r>
      <w:r>
        <w:rPr>
          <w:rFonts w:eastAsia="Times New Roman"/>
          <w:b/>
          <w:bCs/>
          <w:i/>
          <w:sz w:val="24"/>
          <w:u w:val="single"/>
        </w:rPr>
        <w:t>Risc MIJLOCIU</w:t>
      </w:r>
      <w:r>
        <w:rPr>
          <w:rFonts w:eastAsia="Times New Roman"/>
          <w:i/>
          <w:sz w:val="24"/>
        </w:rPr>
        <w:t>.</w:t>
      </w:r>
    </w:p>
    <w:p w14:paraId="4C7F02F1" w14:textId="77777777" w:rsidR="001C08A5" w:rsidRDefault="001C08A5">
      <w:pPr>
        <w:tabs>
          <w:tab w:val="left" w:pos="426"/>
          <w:tab w:val="left" w:pos="993"/>
        </w:tabs>
        <w:jc w:val="both"/>
        <w:rPr>
          <w:rFonts w:eastAsia="Times New Roman"/>
          <w:b/>
          <w:i/>
          <w:sz w:val="24"/>
        </w:rPr>
      </w:pPr>
    </w:p>
    <w:p w14:paraId="3FA0B968"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Într-o clădire cu funcțiuni mixte, determinarea </w:t>
      </w:r>
      <w:r>
        <w:rPr>
          <w:i/>
          <w:iCs/>
          <w:sz w:val="24"/>
          <w:szCs w:val="24"/>
        </w:rPr>
        <w:t>riscului de incendiu se face astfel:</w:t>
      </w:r>
    </w:p>
    <w:p w14:paraId="13F5AD2A" w14:textId="77777777" w:rsidR="001C08A5" w:rsidRDefault="00000000">
      <w:pPr>
        <w:ind w:left="720" w:firstLine="720"/>
        <w:jc w:val="both"/>
        <w:rPr>
          <w:i/>
          <w:iCs/>
          <w:sz w:val="24"/>
          <w:szCs w:val="24"/>
        </w:rPr>
      </w:pPr>
      <w:r>
        <w:rPr>
          <w:i/>
          <w:iCs/>
          <w:sz w:val="24"/>
          <w:szCs w:val="24"/>
        </w:rPr>
        <w:t xml:space="preserve">- cel mai periculos risc de incendiu care reprezintă peste </w:t>
      </w:r>
      <w:r>
        <w:rPr>
          <w:b/>
          <w:i/>
          <w:iCs/>
          <w:sz w:val="24"/>
          <w:szCs w:val="24"/>
        </w:rPr>
        <w:t>30%</w:t>
      </w:r>
      <w:r>
        <w:rPr>
          <w:i/>
          <w:iCs/>
          <w:sz w:val="24"/>
          <w:szCs w:val="24"/>
        </w:rPr>
        <w:t xml:space="preserve"> din aria desfăşurată (</w:t>
      </w:r>
      <w:r>
        <w:rPr>
          <w:b/>
          <w:i/>
          <w:iCs/>
          <w:sz w:val="24"/>
          <w:szCs w:val="24"/>
        </w:rPr>
        <w:t>Ad</w:t>
      </w:r>
      <w:r>
        <w:rPr>
          <w:i/>
          <w:iCs/>
          <w:sz w:val="24"/>
          <w:szCs w:val="24"/>
        </w:rPr>
        <w:t>) a unei porţiuni de construcţie (separată cu pereţi şi planşee rezistente la foc), determină riscul de incendiu pentru întreaga porţiune și</w:t>
      </w:r>
    </w:p>
    <w:p w14:paraId="5300EAB1" w14:textId="77777777" w:rsidR="001C08A5" w:rsidRDefault="00000000">
      <w:pPr>
        <w:ind w:left="720" w:firstLine="720"/>
        <w:jc w:val="both"/>
        <w:rPr>
          <w:i/>
          <w:iCs/>
          <w:sz w:val="24"/>
          <w:szCs w:val="24"/>
        </w:rPr>
      </w:pPr>
      <w:r>
        <w:rPr>
          <w:bCs/>
          <w:i/>
          <w:iCs/>
          <w:sz w:val="24"/>
          <w:szCs w:val="24"/>
        </w:rPr>
        <w:t>- c</w:t>
      </w:r>
      <w:r>
        <w:rPr>
          <w:i/>
          <w:iCs/>
          <w:sz w:val="24"/>
          <w:szCs w:val="24"/>
        </w:rPr>
        <w:t>el mai periculos risc de incendiu al unei porţiuni de construcţie, a cărui arie desfăşurată (</w:t>
      </w:r>
      <w:r>
        <w:rPr>
          <w:b/>
          <w:i/>
          <w:iCs/>
          <w:sz w:val="24"/>
          <w:szCs w:val="24"/>
        </w:rPr>
        <w:t>Ad</w:t>
      </w:r>
      <w:r>
        <w:rPr>
          <w:i/>
          <w:iCs/>
          <w:sz w:val="24"/>
          <w:szCs w:val="24"/>
        </w:rPr>
        <w:t xml:space="preserve">) reprezintă mai mult de </w:t>
      </w:r>
      <w:r>
        <w:rPr>
          <w:b/>
          <w:i/>
          <w:iCs/>
          <w:sz w:val="24"/>
          <w:szCs w:val="24"/>
        </w:rPr>
        <w:t>30%</w:t>
      </w:r>
      <w:r>
        <w:rPr>
          <w:i/>
          <w:iCs/>
          <w:sz w:val="24"/>
          <w:szCs w:val="24"/>
        </w:rPr>
        <w:t xml:space="preserve"> din aria desfăşurată (</w:t>
      </w:r>
      <w:r>
        <w:rPr>
          <w:b/>
          <w:i/>
          <w:iCs/>
          <w:sz w:val="24"/>
          <w:szCs w:val="24"/>
        </w:rPr>
        <w:t>Ad</w:t>
      </w:r>
      <w:r>
        <w:rPr>
          <w:i/>
          <w:iCs/>
          <w:sz w:val="24"/>
          <w:szCs w:val="24"/>
        </w:rPr>
        <w:t>) a construcţiei respective, determină riscul de incendiu al întregii construcţii cu funcţiuni mixte.</w:t>
      </w:r>
    </w:p>
    <w:p w14:paraId="6538583F" w14:textId="77777777" w:rsidR="001C08A5" w:rsidRDefault="001C08A5">
      <w:pPr>
        <w:jc w:val="both"/>
        <w:rPr>
          <w:rFonts w:eastAsia="Times New Roman"/>
          <w:i/>
          <w:sz w:val="24"/>
          <w:szCs w:val="24"/>
        </w:rPr>
      </w:pPr>
    </w:p>
    <w:p w14:paraId="3D9E61D2" w14:textId="77777777" w:rsidR="001C08A5" w:rsidRDefault="00000000">
      <w:pPr>
        <w:tabs>
          <w:tab w:val="left" w:pos="426"/>
          <w:tab w:val="left" w:pos="993"/>
        </w:tabs>
        <w:jc w:val="both"/>
        <w:rPr>
          <w:rFonts w:eastAsia="Times New Roman"/>
          <w:b/>
          <w:i/>
          <w:sz w:val="24"/>
        </w:rPr>
      </w:pPr>
      <w:r>
        <w:rPr>
          <w:rFonts w:eastAsia="Times New Roman"/>
          <w:i/>
          <w:sz w:val="24"/>
        </w:rPr>
        <w:t>Notă: La construcții existente, determinarea caracterului de clădire mixtă civilă (publică) sau de producţie şi/sau depozitare se poate analiza pe porţiuni de clădire, apoi pe ansamblu (luându-se în calcul valoarea cea mai restrictivă rezultată), după cum urmează:</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563"/>
      </w:tblGrid>
      <w:tr w:rsidR="001C08A5" w14:paraId="55E4B4E7" w14:textId="77777777">
        <w:tc>
          <w:tcPr>
            <w:tcW w:w="4927" w:type="dxa"/>
          </w:tcPr>
          <w:p w14:paraId="001B9593" w14:textId="77777777" w:rsidR="001C08A5" w:rsidRDefault="00000000">
            <w:pPr>
              <w:jc w:val="center"/>
              <w:rPr>
                <w:b/>
                <w:bCs/>
                <w:i/>
                <w:sz w:val="24"/>
                <w:szCs w:val="24"/>
                <w:lang w:eastAsia="ro-RO"/>
              </w:rPr>
            </w:pPr>
            <w:r>
              <w:rPr>
                <w:b/>
                <w:bCs/>
                <w:i/>
                <w:noProof/>
                <w:sz w:val="24"/>
                <w:szCs w:val="24"/>
                <w:lang w:eastAsia="ro-RO"/>
              </w:rPr>
              <w:drawing>
                <wp:inline distT="0" distB="0" distL="114300" distR="114300" wp14:anchorId="0818AF71" wp14:editId="360F25CB">
                  <wp:extent cx="3082925" cy="2957195"/>
                  <wp:effectExtent l="0" t="0" r="3175" b="14605"/>
                  <wp:docPr id="145"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208"/>
                          <pic:cNvPicPr>
                            <a:picLocks noChangeAspect="1"/>
                          </pic:cNvPicPr>
                        </pic:nvPicPr>
                        <pic:blipFill>
                          <a:blip r:embed="rId500"/>
                          <a:srcRect l="14915" t="29144" r="44242" b="12329"/>
                          <a:stretch>
                            <a:fillRect/>
                          </a:stretch>
                        </pic:blipFill>
                        <pic:spPr>
                          <a:xfrm>
                            <a:off x="0" y="0"/>
                            <a:ext cx="3082925" cy="2957195"/>
                          </a:xfrm>
                          <a:prstGeom prst="rect">
                            <a:avLst/>
                          </a:prstGeom>
                          <a:noFill/>
                          <a:ln>
                            <a:noFill/>
                          </a:ln>
                        </pic:spPr>
                      </pic:pic>
                    </a:graphicData>
                  </a:graphic>
                </wp:inline>
              </w:drawing>
            </w:r>
          </w:p>
        </w:tc>
        <w:tc>
          <w:tcPr>
            <w:tcW w:w="4928" w:type="dxa"/>
          </w:tcPr>
          <w:p w14:paraId="3D45EB8A" w14:textId="77777777" w:rsidR="001C08A5" w:rsidRDefault="001C08A5">
            <w:pPr>
              <w:jc w:val="center"/>
              <w:rPr>
                <w:b/>
                <w:bCs/>
                <w:i/>
                <w:sz w:val="24"/>
                <w:szCs w:val="24"/>
                <w:lang w:eastAsia="ro-RO"/>
              </w:rPr>
            </w:pPr>
          </w:p>
          <w:p w14:paraId="3E69DD62" w14:textId="77777777" w:rsidR="001C08A5" w:rsidRDefault="001C08A5">
            <w:pPr>
              <w:jc w:val="center"/>
              <w:rPr>
                <w:b/>
                <w:bCs/>
                <w:i/>
                <w:sz w:val="24"/>
                <w:szCs w:val="24"/>
                <w:lang w:eastAsia="ro-RO"/>
              </w:rPr>
            </w:pPr>
          </w:p>
          <w:p w14:paraId="7E5ECF11" w14:textId="77777777" w:rsidR="001C08A5" w:rsidRDefault="001C08A5">
            <w:pPr>
              <w:jc w:val="center"/>
              <w:rPr>
                <w:b/>
                <w:bCs/>
                <w:i/>
                <w:sz w:val="24"/>
                <w:szCs w:val="24"/>
                <w:lang w:eastAsia="ro-RO"/>
              </w:rPr>
            </w:pPr>
          </w:p>
          <w:p w14:paraId="163AB08C" w14:textId="77777777" w:rsidR="001C08A5" w:rsidRDefault="001C08A5">
            <w:pPr>
              <w:jc w:val="center"/>
              <w:rPr>
                <w:b/>
                <w:bCs/>
                <w:i/>
                <w:sz w:val="24"/>
                <w:szCs w:val="24"/>
                <w:lang w:eastAsia="ro-RO"/>
              </w:rPr>
            </w:pPr>
          </w:p>
          <w:p w14:paraId="64939797" w14:textId="77777777" w:rsidR="001C08A5" w:rsidRDefault="001C08A5">
            <w:pPr>
              <w:jc w:val="left"/>
              <w:rPr>
                <w:rFonts w:eastAsia="Times New Roman"/>
                <w:i/>
                <w:sz w:val="24"/>
                <w:szCs w:val="24"/>
              </w:rPr>
            </w:pPr>
          </w:p>
          <w:p w14:paraId="0D2B668F" w14:textId="77777777" w:rsidR="001C08A5" w:rsidRDefault="00000000">
            <w:pPr>
              <w:jc w:val="left"/>
              <w:rPr>
                <w:rFonts w:eastAsia="Times New Roman"/>
                <w:i/>
                <w:sz w:val="24"/>
                <w:szCs w:val="24"/>
              </w:rPr>
            </w:pPr>
            <w:r>
              <w:rPr>
                <w:rFonts w:eastAsia="Times New Roman"/>
                <w:i/>
                <w:sz w:val="24"/>
                <w:szCs w:val="24"/>
              </w:rPr>
              <w:t>PORTIUNE DE CLĂDIRE CIVILĂ</w:t>
            </w:r>
          </w:p>
          <w:p w14:paraId="550A223D" w14:textId="77777777" w:rsidR="001C08A5" w:rsidRDefault="00000000">
            <w:pPr>
              <w:jc w:val="left"/>
              <w:rPr>
                <w:rFonts w:eastAsia="Times New Roman"/>
                <w:i/>
                <w:sz w:val="24"/>
                <w:szCs w:val="24"/>
              </w:rPr>
            </w:pPr>
            <w:r>
              <w:rPr>
                <w:rFonts w:eastAsia="Times New Roman"/>
                <w:i/>
                <w:sz w:val="24"/>
                <w:szCs w:val="24"/>
              </w:rPr>
              <w:t>(PUBLICĂ) &gt; 30% din AD a clădirii</w:t>
            </w:r>
          </w:p>
          <w:p w14:paraId="00D05109" w14:textId="77777777" w:rsidR="001C08A5" w:rsidRDefault="001C08A5">
            <w:pPr>
              <w:jc w:val="left"/>
              <w:rPr>
                <w:b/>
                <w:bCs/>
                <w:i/>
                <w:sz w:val="24"/>
                <w:szCs w:val="24"/>
                <w:lang w:eastAsia="ro-RO"/>
              </w:rPr>
            </w:pPr>
          </w:p>
          <w:p w14:paraId="52C175B3" w14:textId="77777777" w:rsidR="001C08A5" w:rsidRDefault="001C08A5">
            <w:pPr>
              <w:jc w:val="left"/>
              <w:rPr>
                <w:b/>
                <w:bCs/>
                <w:i/>
                <w:sz w:val="24"/>
                <w:szCs w:val="24"/>
                <w:lang w:eastAsia="ro-RO"/>
              </w:rPr>
            </w:pPr>
          </w:p>
          <w:p w14:paraId="62CD2D0B" w14:textId="77777777" w:rsidR="001C08A5" w:rsidRDefault="001C08A5">
            <w:pPr>
              <w:jc w:val="left"/>
              <w:rPr>
                <w:b/>
                <w:bCs/>
                <w:i/>
                <w:sz w:val="24"/>
                <w:szCs w:val="24"/>
                <w:lang w:eastAsia="ro-RO"/>
              </w:rPr>
            </w:pPr>
          </w:p>
          <w:p w14:paraId="7445DC34" w14:textId="77777777" w:rsidR="001C08A5" w:rsidRDefault="001C08A5">
            <w:pPr>
              <w:jc w:val="left"/>
              <w:rPr>
                <w:b/>
                <w:bCs/>
                <w:i/>
                <w:sz w:val="24"/>
                <w:szCs w:val="24"/>
                <w:lang w:eastAsia="ro-RO"/>
              </w:rPr>
            </w:pPr>
          </w:p>
          <w:p w14:paraId="371DB598" w14:textId="77777777" w:rsidR="001C08A5" w:rsidRDefault="001C08A5">
            <w:pPr>
              <w:jc w:val="left"/>
              <w:rPr>
                <w:b/>
                <w:bCs/>
                <w:i/>
                <w:sz w:val="24"/>
                <w:szCs w:val="24"/>
                <w:lang w:eastAsia="ro-RO"/>
              </w:rPr>
            </w:pPr>
          </w:p>
          <w:p w14:paraId="09CC680E" w14:textId="77777777" w:rsidR="001C08A5" w:rsidRDefault="001C08A5">
            <w:pPr>
              <w:jc w:val="left"/>
              <w:rPr>
                <w:b/>
                <w:bCs/>
                <w:i/>
                <w:sz w:val="24"/>
                <w:szCs w:val="24"/>
                <w:lang w:eastAsia="ro-RO"/>
              </w:rPr>
            </w:pPr>
          </w:p>
          <w:p w14:paraId="01C0A0C7" w14:textId="77777777" w:rsidR="001C08A5" w:rsidRDefault="00000000">
            <w:pPr>
              <w:jc w:val="left"/>
              <w:rPr>
                <w:b/>
                <w:bCs/>
                <w:i/>
                <w:sz w:val="24"/>
                <w:szCs w:val="24"/>
                <w:lang w:eastAsia="ro-RO"/>
              </w:rPr>
            </w:pPr>
            <w:r>
              <w:rPr>
                <w:rFonts w:eastAsia="Times New Roman"/>
                <w:i/>
                <w:sz w:val="24"/>
                <w:szCs w:val="24"/>
              </w:rPr>
              <w:t>ACTIVITĂȚI DE PRODUCȚIE ȘI/SAU DEPOZITARE &lt; 70% din AD a clădirii</w:t>
            </w:r>
          </w:p>
        </w:tc>
      </w:tr>
    </w:tbl>
    <w:p w14:paraId="41FCEE1E" w14:textId="77777777" w:rsidR="001C08A5" w:rsidRDefault="001C08A5">
      <w:pPr>
        <w:jc w:val="both"/>
        <w:rPr>
          <w:rFonts w:eastAsia="Times New Roman"/>
          <w:i/>
          <w:sz w:val="24"/>
          <w:szCs w:val="24"/>
        </w:rPr>
      </w:pPr>
    </w:p>
    <w:p w14:paraId="1F47CA78" w14:textId="77777777" w:rsidR="001C08A5" w:rsidRDefault="00000000">
      <w:pPr>
        <w:jc w:val="both"/>
        <w:rPr>
          <w:rFonts w:eastAsia="Times New Roman"/>
          <w:i/>
          <w:sz w:val="24"/>
          <w:szCs w:val="24"/>
        </w:rPr>
      </w:pPr>
      <w:r>
        <w:rPr>
          <w:rFonts w:eastAsia="Times New Roman"/>
          <w:i/>
          <w:sz w:val="24"/>
          <w:szCs w:val="24"/>
        </w:rPr>
        <w:t xml:space="preserve">ANALIZA FAZA I </w:t>
      </w:r>
    </w:p>
    <w:p w14:paraId="202F21B5" w14:textId="77777777" w:rsidR="001C08A5" w:rsidRDefault="00000000">
      <w:pPr>
        <w:jc w:val="both"/>
        <w:rPr>
          <w:rFonts w:eastAsia="Times New Roman"/>
          <w:i/>
          <w:sz w:val="24"/>
          <w:szCs w:val="24"/>
        </w:rPr>
      </w:pPr>
      <w:r>
        <w:rPr>
          <w:rFonts w:eastAsia="Times New Roman"/>
          <w:i/>
          <w:sz w:val="24"/>
          <w:szCs w:val="24"/>
        </w:rPr>
        <w:t xml:space="preserve">Riscul cel mai mare care reprezintă cel puţin </w:t>
      </w:r>
      <w:r>
        <w:rPr>
          <w:rFonts w:eastAsia="Times New Roman"/>
          <w:b/>
          <w:bCs/>
          <w:i/>
          <w:sz w:val="24"/>
        </w:rPr>
        <w:t>30% din aria desfășurată</w:t>
      </w:r>
      <w:r>
        <w:rPr>
          <w:rFonts w:eastAsia="Times New Roman"/>
          <w:i/>
          <w:sz w:val="24"/>
        </w:rPr>
        <w:t xml:space="preserve"> a construcţiei (respectiv </w:t>
      </w:r>
      <w:r>
        <w:rPr>
          <w:rFonts w:eastAsia="Times New Roman"/>
          <w:i/>
          <w:sz w:val="24"/>
          <w:szCs w:val="24"/>
        </w:rPr>
        <w:t xml:space="preserve">din volumul porţiunii civile (publice) pentru </w:t>
      </w:r>
      <w:r>
        <w:rPr>
          <w:rFonts w:eastAsia="Times New Roman"/>
          <w:i/>
          <w:sz w:val="24"/>
        </w:rPr>
        <w:t>pericol de explozie volumetrică)</w:t>
      </w:r>
      <w:r>
        <w:rPr>
          <w:rFonts w:eastAsia="Times New Roman"/>
          <w:i/>
          <w:sz w:val="24"/>
          <w:szCs w:val="24"/>
        </w:rPr>
        <w:t xml:space="preserve"> este considerat pentru toată porţiunea .</w:t>
      </w:r>
    </w:p>
    <w:p w14:paraId="4B2CD480" w14:textId="77777777" w:rsidR="001C08A5" w:rsidRDefault="00000000">
      <w:pPr>
        <w:jc w:val="both"/>
        <w:rPr>
          <w:rFonts w:eastAsia="Times New Roman"/>
          <w:i/>
          <w:sz w:val="24"/>
          <w:szCs w:val="24"/>
        </w:rPr>
      </w:pPr>
      <w:r>
        <w:rPr>
          <w:rFonts w:eastAsia="Times New Roman"/>
          <w:i/>
          <w:sz w:val="24"/>
          <w:szCs w:val="24"/>
        </w:rPr>
        <w:t>Porţiunea de clădire este considerată civilă (publică) cu risc mare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gridCol w:w="4702"/>
      </w:tblGrid>
      <w:tr w:rsidR="001C08A5" w14:paraId="73DCC974" w14:textId="77777777">
        <w:tc>
          <w:tcPr>
            <w:tcW w:w="4927" w:type="dxa"/>
          </w:tcPr>
          <w:p w14:paraId="11E111BD" w14:textId="77777777" w:rsidR="001C08A5" w:rsidRDefault="00000000">
            <w:pPr>
              <w:rPr>
                <w:rFonts w:eastAsia="Times New Roman"/>
                <w:i/>
                <w:sz w:val="24"/>
                <w:szCs w:val="24"/>
              </w:rPr>
            </w:pPr>
            <w:r>
              <w:rPr>
                <w:b/>
                <w:bCs/>
                <w:i/>
                <w:noProof/>
                <w:sz w:val="24"/>
                <w:szCs w:val="24"/>
                <w:lang w:eastAsia="ro-RO"/>
              </w:rPr>
              <w:drawing>
                <wp:inline distT="0" distB="0" distL="114300" distR="114300" wp14:anchorId="7E29A8DF" wp14:editId="1F4061D5">
                  <wp:extent cx="2997835" cy="1396365"/>
                  <wp:effectExtent l="0" t="0" r="0" b="0"/>
                  <wp:docPr id="56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209"/>
                          <pic:cNvPicPr>
                            <a:picLocks noChangeAspect="1"/>
                          </pic:cNvPicPr>
                        </pic:nvPicPr>
                        <pic:blipFill>
                          <a:blip r:embed="rId501"/>
                          <a:srcRect l="12619" t="28792" r="45276" b="41910"/>
                          <a:stretch>
                            <a:fillRect/>
                          </a:stretch>
                        </pic:blipFill>
                        <pic:spPr>
                          <a:xfrm>
                            <a:off x="0" y="0"/>
                            <a:ext cx="2997835" cy="1396365"/>
                          </a:xfrm>
                          <a:prstGeom prst="rect">
                            <a:avLst/>
                          </a:prstGeom>
                          <a:noFill/>
                          <a:ln>
                            <a:noFill/>
                          </a:ln>
                        </pic:spPr>
                      </pic:pic>
                    </a:graphicData>
                  </a:graphic>
                </wp:inline>
              </w:drawing>
            </w:r>
          </w:p>
        </w:tc>
        <w:tc>
          <w:tcPr>
            <w:tcW w:w="4928" w:type="dxa"/>
          </w:tcPr>
          <w:p w14:paraId="02722DF8" w14:textId="77777777" w:rsidR="001C08A5" w:rsidRDefault="001C08A5">
            <w:pPr>
              <w:jc w:val="left"/>
              <w:rPr>
                <w:rFonts w:eastAsia="Times New Roman"/>
                <w:b/>
                <w:bCs/>
                <w:i/>
                <w:sz w:val="24"/>
                <w:szCs w:val="24"/>
              </w:rPr>
            </w:pPr>
          </w:p>
          <w:p w14:paraId="715A404F" w14:textId="77777777" w:rsidR="001C08A5" w:rsidRDefault="001C08A5">
            <w:pPr>
              <w:jc w:val="left"/>
              <w:rPr>
                <w:rFonts w:eastAsia="Times New Roman"/>
                <w:b/>
                <w:bCs/>
                <w:i/>
                <w:sz w:val="24"/>
                <w:szCs w:val="24"/>
              </w:rPr>
            </w:pPr>
          </w:p>
          <w:p w14:paraId="2E61FFE7" w14:textId="77777777" w:rsidR="001C08A5" w:rsidRDefault="001C08A5">
            <w:pPr>
              <w:jc w:val="left"/>
              <w:rPr>
                <w:rFonts w:eastAsia="Times New Roman"/>
                <w:b/>
                <w:bCs/>
                <w:i/>
                <w:sz w:val="24"/>
                <w:szCs w:val="24"/>
              </w:rPr>
            </w:pPr>
          </w:p>
          <w:p w14:paraId="00A30C60" w14:textId="77777777" w:rsidR="001C08A5" w:rsidRDefault="00000000">
            <w:pPr>
              <w:jc w:val="left"/>
              <w:rPr>
                <w:rFonts w:eastAsia="Times New Roman"/>
                <w:i/>
                <w:sz w:val="24"/>
                <w:szCs w:val="24"/>
              </w:rPr>
            </w:pPr>
            <w:r>
              <w:rPr>
                <w:rFonts w:eastAsia="Times New Roman"/>
                <w:i/>
                <w:sz w:val="24"/>
                <w:szCs w:val="24"/>
              </w:rPr>
              <w:t>PORTIUNE DE CLĂDIRE CIVILĂ</w:t>
            </w:r>
          </w:p>
          <w:p w14:paraId="0A1E6EFC" w14:textId="77777777" w:rsidR="001C08A5" w:rsidRDefault="00000000">
            <w:pPr>
              <w:jc w:val="left"/>
              <w:rPr>
                <w:rFonts w:eastAsia="Times New Roman"/>
                <w:i/>
                <w:sz w:val="24"/>
                <w:szCs w:val="24"/>
              </w:rPr>
            </w:pPr>
            <w:r>
              <w:rPr>
                <w:rFonts w:eastAsia="Times New Roman"/>
                <w:i/>
                <w:sz w:val="24"/>
                <w:szCs w:val="24"/>
              </w:rPr>
              <w:t>(PUBLICĂ) &gt; 30% din AD a porțiunii civile</w:t>
            </w:r>
          </w:p>
          <w:p w14:paraId="4C945E30" w14:textId="77777777" w:rsidR="001C08A5" w:rsidRDefault="001C08A5">
            <w:pPr>
              <w:rPr>
                <w:rFonts w:eastAsia="Times New Roman"/>
                <w:i/>
                <w:sz w:val="24"/>
                <w:szCs w:val="24"/>
              </w:rPr>
            </w:pPr>
          </w:p>
          <w:p w14:paraId="72EE35F5" w14:textId="77777777" w:rsidR="001C08A5" w:rsidRDefault="00000000">
            <w:pPr>
              <w:jc w:val="left"/>
              <w:rPr>
                <w:rFonts w:eastAsia="Times New Roman"/>
                <w:i/>
                <w:sz w:val="24"/>
                <w:szCs w:val="24"/>
              </w:rPr>
            </w:pPr>
            <w:r>
              <w:rPr>
                <w:rFonts w:eastAsia="Times New Roman"/>
                <w:i/>
                <w:sz w:val="24"/>
                <w:szCs w:val="24"/>
              </w:rPr>
              <w:t>PORTIUNE DE CLĂDIRE CIVILĂ</w:t>
            </w:r>
          </w:p>
          <w:p w14:paraId="3798EA58" w14:textId="77777777" w:rsidR="001C08A5" w:rsidRDefault="00000000">
            <w:pPr>
              <w:jc w:val="left"/>
              <w:rPr>
                <w:rFonts w:eastAsia="Times New Roman"/>
                <w:i/>
                <w:sz w:val="24"/>
                <w:szCs w:val="24"/>
              </w:rPr>
            </w:pPr>
            <w:r>
              <w:rPr>
                <w:rFonts w:eastAsia="Times New Roman"/>
                <w:i/>
                <w:sz w:val="24"/>
                <w:szCs w:val="24"/>
              </w:rPr>
              <w:t>(PUBLICĂ) &lt; 70% din AD a porțiunii civile</w:t>
            </w:r>
          </w:p>
          <w:p w14:paraId="00631301" w14:textId="77777777" w:rsidR="001C08A5" w:rsidRDefault="001C08A5">
            <w:pPr>
              <w:rPr>
                <w:rFonts w:eastAsia="Times New Roman"/>
                <w:i/>
                <w:sz w:val="24"/>
                <w:szCs w:val="24"/>
              </w:rPr>
            </w:pPr>
          </w:p>
        </w:tc>
      </w:tr>
    </w:tbl>
    <w:p w14:paraId="78295AE7" w14:textId="77777777" w:rsidR="001C08A5" w:rsidRDefault="00000000">
      <w:pPr>
        <w:jc w:val="both"/>
        <w:rPr>
          <w:rFonts w:eastAsia="Times New Roman"/>
          <w:i/>
          <w:sz w:val="24"/>
          <w:szCs w:val="24"/>
        </w:rPr>
      </w:pPr>
      <w:r>
        <w:rPr>
          <w:rFonts w:eastAsia="Times New Roman"/>
          <w:i/>
          <w:sz w:val="24"/>
          <w:szCs w:val="24"/>
        </w:rPr>
        <w:t xml:space="preserve">ANALIZA FAZA II </w:t>
      </w:r>
    </w:p>
    <w:p w14:paraId="65915091" w14:textId="77777777" w:rsidR="001C08A5" w:rsidRDefault="00000000">
      <w:pPr>
        <w:jc w:val="both"/>
        <w:rPr>
          <w:rFonts w:eastAsia="Times New Roman"/>
          <w:i/>
          <w:sz w:val="24"/>
          <w:szCs w:val="24"/>
        </w:rPr>
      </w:pPr>
      <w:r>
        <w:rPr>
          <w:rFonts w:eastAsia="Times New Roman"/>
          <w:i/>
          <w:sz w:val="24"/>
          <w:szCs w:val="24"/>
        </w:rPr>
        <w:t xml:space="preserve">Riscul cel mai mare care reprezintă cel puțin </w:t>
      </w:r>
      <w:r>
        <w:rPr>
          <w:rFonts w:eastAsia="Times New Roman"/>
          <w:b/>
          <w:bCs/>
          <w:i/>
          <w:sz w:val="24"/>
        </w:rPr>
        <w:t>30% din aria desfășurată</w:t>
      </w:r>
      <w:r>
        <w:rPr>
          <w:rFonts w:eastAsia="Times New Roman"/>
          <w:i/>
          <w:sz w:val="24"/>
        </w:rPr>
        <w:t xml:space="preserve"> a construcţiei (respectiv </w:t>
      </w:r>
      <w:r>
        <w:rPr>
          <w:rFonts w:eastAsia="Times New Roman"/>
          <w:i/>
          <w:sz w:val="24"/>
          <w:szCs w:val="24"/>
        </w:rPr>
        <w:t xml:space="preserve">din volumul porţiunii de producţie şi/sau depozitare pentru </w:t>
      </w:r>
      <w:r>
        <w:rPr>
          <w:rFonts w:eastAsia="Times New Roman"/>
          <w:i/>
          <w:sz w:val="24"/>
        </w:rPr>
        <w:t>pericol de explozie volumetrică)</w:t>
      </w:r>
      <w:r>
        <w:rPr>
          <w:rFonts w:eastAsia="Times New Roman"/>
          <w:i/>
          <w:sz w:val="24"/>
          <w:szCs w:val="24"/>
        </w:rPr>
        <w:t xml:space="preserve"> , este considerat pentru toată porţiunea.</w:t>
      </w:r>
    </w:p>
    <w:p w14:paraId="12CCC63C" w14:textId="77777777" w:rsidR="001C08A5" w:rsidRDefault="00000000">
      <w:pPr>
        <w:jc w:val="both"/>
        <w:rPr>
          <w:rFonts w:eastAsia="Times New Roman"/>
          <w:i/>
          <w:sz w:val="24"/>
          <w:szCs w:val="24"/>
        </w:rPr>
      </w:pPr>
      <w:r>
        <w:rPr>
          <w:rFonts w:eastAsia="Times New Roman"/>
          <w:i/>
          <w:sz w:val="24"/>
          <w:szCs w:val="24"/>
        </w:rPr>
        <w:t xml:space="preserve">Porţiunea de clădire cu activitate de producţie şi/sau depozitare este considerată cu risc mijlociu.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4611"/>
      </w:tblGrid>
      <w:tr w:rsidR="001C08A5" w14:paraId="630C5FA1" w14:textId="77777777">
        <w:tc>
          <w:tcPr>
            <w:tcW w:w="4927" w:type="dxa"/>
          </w:tcPr>
          <w:p w14:paraId="54DDB36D" w14:textId="77777777" w:rsidR="001C08A5" w:rsidRDefault="00000000">
            <w:pPr>
              <w:jc w:val="center"/>
              <w:rPr>
                <w:b/>
                <w:bCs/>
                <w:i/>
                <w:sz w:val="24"/>
                <w:szCs w:val="24"/>
                <w:lang w:eastAsia="ro-RO"/>
              </w:rPr>
            </w:pPr>
            <w:r>
              <w:rPr>
                <w:b/>
                <w:bCs/>
                <w:i/>
                <w:noProof/>
                <w:sz w:val="24"/>
                <w:szCs w:val="24"/>
                <w:lang w:eastAsia="ro-RO"/>
              </w:rPr>
              <w:lastRenderedPageBreak/>
              <w:drawing>
                <wp:inline distT="0" distB="0" distL="114300" distR="114300" wp14:anchorId="03F5F4BC" wp14:editId="0DBA874C">
                  <wp:extent cx="3055620" cy="1543685"/>
                  <wp:effectExtent l="0" t="0" r="0" b="0"/>
                  <wp:docPr id="56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210"/>
                          <pic:cNvPicPr>
                            <a:picLocks noChangeAspect="1"/>
                          </pic:cNvPicPr>
                        </pic:nvPicPr>
                        <pic:blipFill>
                          <a:blip r:embed="rId502"/>
                          <a:srcRect l="12502" t="25163" r="44889" b="42679"/>
                          <a:stretch>
                            <a:fillRect/>
                          </a:stretch>
                        </pic:blipFill>
                        <pic:spPr>
                          <a:xfrm>
                            <a:off x="0" y="0"/>
                            <a:ext cx="3055620" cy="1543685"/>
                          </a:xfrm>
                          <a:prstGeom prst="rect">
                            <a:avLst/>
                          </a:prstGeom>
                          <a:noFill/>
                          <a:ln>
                            <a:noFill/>
                          </a:ln>
                        </pic:spPr>
                      </pic:pic>
                    </a:graphicData>
                  </a:graphic>
                </wp:inline>
              </w:drawing>
            </w:r>
          </w:p>
        </w:tc>
        <w:tc>
          <w:tcPr>
            <w:tcW w:w="4928" w:type="dxa"/>
          </w:tcPr>
          <w:p w14:paraId="58394F50" w14:textId="77777777" w:rsidR="001C08A5" w:rsidRDefault="00000000">
            <w:pPr>
              <w:jc w:val="left"/>
              <w:rPr>
                <w:rFonts w:eastAsia="Times New Roman"/>
                <w:i/>
                <w:sz w:val="24"/>
                <w:szCs w:val="24"/>
              </w:rPr>
            </w:pPr>
            <w:r>
              <w:rPr>
                <w:rFonts w:eastAsia="Times New Roman"/>
                <w:i/>
                <w:sz w:val="24"/>
                <w:szCs w:val="24"/>
              </w:rPr>
              <w:t>ACTIVITĂȚI DE PRODUCȚIE ȘI/SAU DEPOZITARE  din AD a clădirii</w:t>
            </w:r>
          </w:p>
          <w:p w14:paraId="29A48D6D" w14:textId="77777777" w:rsidR="001C08A5" w:rsidRDefault="001C08A5">
            <w:pPr>
              <w:jc w:val="left"/>
              <w:rPr>
                <w:rFonts w:eastAsia="Times New Roman"/>
                <w:b/>
                <w:bCs/>
                <w:i/>
                <w:sz w:val="24"/>
                <w:szCs w:val="24"/>
              </w:rPr>
            </w:pPr>
          </w:p>
          <w:p w14:paraId="28D24E83" w14:textId="77777777" w:rsidR="001C08A5" w:rsidRDefault="00000000">
            <w:pPr>
              <w:jc w:val="left"/>
              <w:rPr>
                <w:rFonts w:eastAsia="Times New Roman"/>
                <w:i/>
                <w:sz w:val="24"/>
                <w:szCs w:val="24"/>
              </w:rPr>
            </w:pPr>
            <w:r>
              <w:rPr>
                <w:rFonts w:eastAsia="Times New Roman"/>
                <w:i/>
                <w:sz w:val="24"/>
                <w:szCs w:val="24"/>
              </w:rPr>
              <w:t>ACTIVITĂȚI DE PRODUCȚIE ȘI/SAU DEPOZITARE (RISC MIJLOCIU) = 65% din &lt; 70% AD a porțiunii</w:t>
            </w:r>
          </w:p>
          <w:p w14:paraId="271ACF1C" w14:textId="77777777" w:rsidR="001C08A5" w:rsidRDefault="00000000">
            <w:pPr>
              <w:jc w:val="left"/>
              <w:rPr>
                <w:rFonts w:eastAsia="Times New Roman"/>
                <w:i/>
                <w:sz w:val="24"/>
                <w:szCs w:val="24"/>
              </w:rPr>
            </w:pPr>
            <w:r>
              <w:rPr>
                <w:rFonts w:eastAsia="Times New Roman"/>
                <w:i/>
                <w:sz w:val="24"/>
                <w:szCs w:val="24"/>
              </w:rPr>
              <w:t xml:space="preserve">ACTIVITĂȚI DE PRODUCȚIE ȘI/SAU DEPOZITARE (RISC MARE) = 35% din </w:t>
            </w:r>
          </w:p>
          <w:p w14:paraId="4A881EA4" w14:textId="77777777" w:rsidR="001C08A5" w:rsidRDefault="00000000">
            <w:pPr>
              <w:jc w:val="left"/>
              <w:rPr>
                <w:rFonts w:eastAsia="Times New Roman"/>
                <w:i/>
                <w:szCs w:val="24"/>
                <w:lang w:eastAsia="ro-RO"/>
              </w:rPr>
            </w:pPr>
            <w:r>
              <w:rPr>
                <w:rFonts w:eastAsia="Times New Roman"/>
                <w:i/>
                <w:sz w:val="24"/>
                <w:szCs w:val="24"/>
              </w:rPr>
              <w:t>&lt; 70% AD a porțiunii</w:t>
            </w:r>
          </w:p>
        </w:tc>
      </w:tr>
    </w:tbl>
    <w:p w14:paraId="6CBD8C76" w14:textId="77777777" w:rsidR="001C08A5" w:rsidRDefault="001C08A5">
      <w:pPr>
        <w:jc w:val="center"/>
        <w:rPr>
          <w:rFonts w:eastAsia="Times New Roman"/>
          <w:i/>
          <w:sz w:val="24"/>
          <w:szCs w:val="24"/>
        </w:rPr>
      </w:pPr>
    </w:p>
    <w:p w14:paraId="3EC27710" w14:textId="77777777" w:rsidR="001C08A5" w:rsidRDefault="00000000">
      <w:pPr>
        <w:jc w:val="both"/>
        <w:rPr>
          <w:rFonts w:eastAsia="Times New Roman"/>
          <w:i/>
          <w:sz w:val="24"/>
          <w:szCs w:val="24"/>
        </w:rPr>
      </w:pPr>
      <w:r>
        <w:rPr>
          <w:rFonts w:eastAsia="Times New Roman"/>
          <w:i/>
          <w:sz w:val="24"/>
          <w:szCs w:val="24"/>
        </w:rPr>
        <w:t xml:space="preserve">CONCLUZIE / DETERMINARE FINALĂ </w:t>
      </w:r>
    </w:p>
    <w:p w14:paraId="455E85BE" w14:textId="77777777" w:rsidR="001C08A5" w:rsidRDefault="00000000">
      <w:pPr>
        <w:jc w:val="both"/>
        <w:rPr>
          <w:rFonts w:eastAsia="Times New Roman"/>
          <w:i/>
          <w:sz w:val="24"/>
          <w:szCs w:val="24"/>
        </w:rPr>
      </w:pPr>
      <w:r>
        <w:rPr>
          <w:rFonts w:eastAsia="Times New Roman"/>
          <w:i/>
          <w:sz w:val="24"/>
          <w:szCs w:val="24"/>
        </w:rPr>
        <w:t>Porţiunea de clădire civilă (publică) sau de producţie şi/sau depozitare) care reprezintă mai mult de</w:t>
      </w:r>
      <w:r>
        <w:rPr>
          <w:rFonts w:eastAsia="Times New Roman"/>
          <w:b/>
          <w:bCs/>
          <w:i/>
          <w:sz w:val="24"/>
          <w:szCs w:val="24"/>
        </w:rPr>
        <w:t xml:space="preserve"> 50 % </w:t>
      </w:r>
      <w:r>
        <w:rPr>
          <w:rFonts w:eastAsia="Times New Roman"/>
          <w:i/>
          <w:sz w:val="24"/>
          <w:szCs w:val="24"/>
        </w:rPr>
        <w:t>din aria desfăşurată a întregii clădiri, determină caracterul construcţiei (Clădire de producţie şi/sau depozitare sau civilă) luat în considerare.</w:t>
      </w:r>
    </w:p>
    <w:p w14:paraId="563D9733" w14:textId="77777777" w:rsidR="001C08A5" w:rsidRDefault="00000000">
      <w:pPr>
        <w:jc w:val="both"/>
        <w:rPr>
          <w:rFonts w:eastAsia="Times New Roman"/>
          <w:i/>
          <w:sz w:val="24"/>
          <w:szCs w:val="24"/>
        </w:rPr>
      </w:pPr>
      <w:r>
        <w:rPr>
          <w:rFonts w:eastAsia="Times New Roman"/>
          <w:i/>
          <w:sz w:val="24"/>
          <w:szCs w:val="24"/>
        </w:rPr>
        <w:t>Concluzie: Clădire de producţie şi/sau depozitare cu risc mare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8"/>
        <w:gridCol w:w="4741"/>
      </w:tblGrid>
      <w:tr w:rsidR="001C08A5" w14:paraId="562EA3E5" w14:textId="77777777">
        <w:tc>
          <w:tcPr>
            <w:tcW w:w="4927" w:type="dxa"/>
          </w:tcPr>
          <w:p w14:paraId="13DE5CD1" w14:textId="77777777" w:rsidR="001C08A5" w:rsidRDefault="00000000">
            <w:pPr>
              <w:rPr>
                <w:rFonts w:eastAsia="Times New Roman"/>
                <w:i/>
                <w:sz w:val="24"/>
                <w:szCs w:val="24"/>
              </w:rPr>
            </w:pPr>
            <w:r>
              <w:rPr>
                <w:b/>
                <w:bCs/>
                <w:i/>
                <w:noProof/>
                <w:sz w:val="24"/>
                <w:szCs w:val="24"/>
                <w:lang w:eastAsia="ro-RO"/>
              </w:rPr>
              <w:drawing>
                <wp:inline distT="0" distB="0" distL="114300" distR="114300" wp14:anchorId="47E52E86" wp14:editId="3E36A232">
                  <wp:extent cx="2660015" cy="2718435"/>
                  <wp:effectExtent l="0" t="0" r="6985" b="5715"/>
                  <wp:docPr id="565"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213"/>
                          <pic:cNvPicPr>
                            <a:picLocks noChangeAspect="1"/>
                          </pic:cNvPicPr>
                        </pic:nvPicPr>
                        <pic:blipFill>
                          <a:blip r:embed="rId503"/>
                          <a:srcRect l="12619" t="10455" r="48936" b="30853"/>
                          <a:stretch>
                            <a:fillRect/>
                          </a:stretch>
                        </pic:blipFill>
                        <pic:spPr>
                          <a:xfrm>
                            <a:off x="0" y="0"/>
                            <a:ext cx="2660015" cy="2718435"/>
                          </a:xfrm>
                          <a:prstGeom prst="rect">
                            <a:avLst/>
                          </a:prstGeom>
                          <a:noFill/>
                          <a:ln>
                            <a:noFill/>
                          </a:ln>
                        </pic:spPr>
                      </pic:pic>
                    </a:graphicData>
                  </a:graphic>
                </wp:inline>
              </w:drawing>
            </w:r>
          </w:p>
        </w:tc>
        <w:tc>
          <w:tcPr>
            <w:tcW w:w="4928" w:type="dxa"/>
          </w:tcPr>
          <w:p w14:paraId="549B76DF" w14:textId="77777777" w:rsidR="001C08A5" w:rsidRDefault="001C08A5">
            <w:pPr>
              <w:jc w:val="left"/>
              <w:rPr>
                <w:rFonts w:eastAsia="Times New Roman"/>
                <w:b/>
                <w:bCs/>
                <w:i/>
                <w:sz w:val="24"/>
                <w:szCs w:val="24"/>
              </w:rPr>
            </w:pPr>
          </w:p>
          <w:p w14:paraId="6B2C24A6" w14:textId="77777777" w:rsidR="001C08A5" w:rsidRDefault="001C08A5">
            <w:pPr>
              <w:jc w:val="left"/>
              <w:rPr>
                <w:rFonts w:eastAsia="Times New Roman"/>
                <w:b/>
                <w:bCs/>
                <w:i/>
                <w:sz w:val="24"/>
                <w:szCs w:val="24"/>
              </w:rPr>
            </w:pPr>
          </w:p>
          <w:p w14:paraId="1786D3C4" w14:textId="77777777" w:rsidR="001C08A5" w:rsidRDefault="001C08A5">
            <w:pPr>
              <w:jc w:val="left"/>
              <w:rPr>
                <w:rFonts w:eastAsia="Times New Roman"/>
                <w:b/>
                <w:bCs/>
                <w:i/>
                <w:sz w:val="24"/>
                <w:szCs w:val="24"/>
              </w:rPr>
            </w:pPr>
          </w:p>
          <w:p w14:paraId="2A76C991" w14:textId="77777777" w:rsidR="001C08A5" w:rsidRDefault="001C08A5">
            <w:pPr>
              <w:jc w:val="left"/>
              <w:rPr>
                <w:rFonts w:eastAsia="Times New Roman"/>
                <w:b/>
                <w:bCs/>
                <w:i/>
                <w:sz w:val="24"/>
                <w:szCs w:val="24"/>
              </w:rPr>
            </w:pPr>
          </w:p>
          <w:p w14:paraId="2A1F7E78" w14:textId="77777777" w:rsidR="001C08A5" w:rsidRDefault="001C08A5">
            <w:pPr>
              <w:jc w:val="left"/>
              <w:rPr>
                <w:rFonts w:eastAsia="Times New Roman"/>
                <w:b/>
                <w:bCs/>
                <w:i/>
                <w:sz w:val="24"/>
                <w:szCs w:val="24"/>
              </w:rPr>
            </w:pPr>
          </w:p>
          <w:p w14:paraId="15437D51" w14:textId="77777777" w:rsidR="001C08A5" w:rsidRDefault="00000000">
            <w:pPr>
              <w:jc w:val="left"/>
              <w:rPr>
                <w:rFonts w:eastAsia="Times New Roman"/>
                <w:i/>
                <w:sz w:val="24"/>
                <w:szCs w:val="24"/>
              </w:rPr>
            </w:pPr>
            <w:r>
              <w:rPr>
                <w:rFonts w:eastAsia="Times New Roman"/>
                <w:i/>
                <w:sz w:val="24"/>
                <w:szCs w:val="24"/>
              </w:rPr>
              <w:t>PORTIUNE DE CLĂDIRE CIVILĂ</w:t>
            </w:r>
          </w:p>
          <w:p w14:paraId="592B36FC" w14:textId="77777777" w:rsidR="001C08A5" w:rsidRDefault="00000000">
            <w:pPr>
              <w:jc w:val="left"/>
              <w:rPr>
                <w:rFonts w:eastAsia="Times New Roman"/>
                <w:i/>
                <w:sz w:val="24"/>
                <w:szCs w:val="24"/>
              </w:rPr>
            </w:pPr>
            <w:r>
              <w:rPr>
                <w:rFonts w:eastAsia="Times New Roman"/>
                <w:i/>
                <w:sz w:val="24"/>
                <w:szCs w:val="24"/>
              </w:rPr>
              <w:t>(PUBLICĂ) &gt; 30% din AD a clădirii</w:t>
            </w:r>
          </w:p>
          <w:p w14:paraId="69E941FA" w14:textId="77777777" w:rsidR="001C08A5" w:rsidRDefault="00000000">
            <w:pPr>
              <w:jc w:val="left"/>
              <w:rPr>
                <w:rFonts w:eastAsia="Times New Roman"/>
                <w:i/>
                <w:sz w:val="24"/>
                <w:szCs w:val="24"/>
              </w:rPr>
            </w:pPr>
            <w:r>
              <w:rPr>
                <w:rFonts w:eastAsia="Times New Roman"/>
                <w:i/>
                <w:sz w:val="24"/>
                <w:szCs w:val="24"/>
              </w:rPr>
              <w:t>RISC MARE</w:t>
            </w:r>
          </w:p>
          <w:p w14:paraId="34950B42" w14:textId="77777777" w:rsidR="001C08A5" w:rsidRDefault="001C08A5">
            <w:pPr>
              <w:jc w:val="left"/>
              <w:rPr>
                <w:rFonts w:eastAsia="Times New Roman"/>
                <w:i/>
                <w:sz w:val="24"/>
                <w:szCs w:val="24"/>
              </w:rPr>
            </w:pPr>
          </w:p>
          <w:p w14:paraId="54DDAAFB" w14:textId="77777777" w:rsidR="001C08A5" w:rsidRDefault="001C08A5">
            <w:pPr>
              <w:jc w:val="left"/>
              <w:rPr>
                <w:rFonts w:eastAsia="Times New Roman"/>
                <w:i/>
                <w:sz w:val="24"/>
                <w:szCs w:val="24"/>
              </w:rPr>
            </w:pPr>
          </w:p>
          <w:p w14:paraId="56F54E60" w14:textId="77777777" w:rsidR="001C08A5" w:rsidRDefault="001C08A5">
            <w:pPr>
              <w:jc w:val="left"/>
              <w:rPr>
                <w:rFonts w:eastAsia="Times New Roman"/>
                <w:i/>
                <w:sz w:val="24"/>
                <w:szCs w:val="24"/>
              </w:rPr>
            </w:pPr>
          </w:p>
          <w:p w14:paraId="1BCCA7FF" w14:textId="77777777" w:rsidR="001C08A5" w:rsidRDefault="001C08A5">
            <w:pPr>
              <w:jc w:val="left"/>
              <w:rPr>
                <w:rFonts w:eastAsia="Times New Roman"/>
                <w:i/>
                <w:sz w:val="24"/>
                <w:szCs w:val="24"/>
              </w:rPr>
            </w:pPr>
          </w:p>
          <w:p w14:paraId="1555A36D" w14:textId="77777777" w:rsidR="001C08A5" w:rsidRDefault="00000000">
            <w:pPr>
              <w:jc w:val="left"/>
              <w:rPr>
                <w:rFonts w:eastAsia="Times New Roman"/>
                <w:i/>
                <w:sz w:val="24"/>
                <w:szCs w:val="24"/>
              </w:rPr>
            </w:pPr>
            <w:r>
              <w:rPr>
                <w:rFonts w:eastAsia="Times New Roman"/>
                <w:i/>
                <w:sz w:val="24"/>
                <w:szCs w:val="24"/>
              </w:rPr>
              <w:t>ACTIVITĂȚI DE PRODUCȚIE ȘI/SAU DEPOZITARE &lt; 70% din AD a clădirii</w:t>
            </w:r>
          </w:p>
          <w:p w14:paraId="116B5282" w14:textId="77777777" w:rsidR="001C08A5" w:rsidRDefault="00000000">
            <w:pPr>
              <w:jc w:val="left"/>
              <w:rPr>
                <w:rFonts w:eastAsia="Times New Roman"/>
                <w:i/>
                <w:sz w:val="24"/>
                <w:szCs w:val="24"/>
              </w:rPr>
            </w:pPr>
            <w:r>
              <w:rPr>
                <w:rFonts w:eastAsia="Times New Roman"/>
                <w:i/>
                <w:sz w:val="24"/>
                <w:szCs w:val="24"/>
              </w:rPr>
              <w:t>RISC MIJLOCIU</w:t>
            </w:r>
          </w:p>
          <w:p w14:paraId="5D490AC2" w14:textId="77777777" w:rsidR="001C08A5" w:rsidRDefault="001C08A5">
            <w:pPr>
              <w:rPr>
                <w:rFonts w:eastAsia="Times New Roman"/>
                <w:i/>
                <w:sz w:val="24"/>
                <w:szCs w:val="24"/>
              </w:rPr>
            </w:pPr>
          </w:p>
        </w:tc>
      </w:tr>
    </w:tbl>
    <w:p w14:paraId="565265DA" w14:textId="77777777" w:rsidR="001C08A5" w:rsidRDefault="00000000">
      <w:pPr>
        <w:pStyle w:val="Caption"/>
        <w:jc w:val="center"/>
        <w:rPr>
          <w:rFonts w:eastAsia="Times New Roman"/>
        </w:rPr>
      </w:pPr>
      <w:bookmarkStart w:id="9693" w:name="_Toc32290"/>
      <w:bookmarkStart w:id="9694" w:name="_Toc22759"/>
      <w:bookmarkStart w:id="9695" w:name="_Toc142898639"/>
      <w:bookmarkStart w:id="9696" w:name="_Toc162360481"/>
      <w:r>
        <w:t xml:space="preserve">Figura </w:t>
      </w:r>
      <w:r>
        <w:fldChar w:fldCharType="begin"/>
      </w:r>
      <w:r>
        <w:instrText xml:space="preserve"> SEQ Figura \* ARABIC </w:instrText>
      </w:r>
      <w:r>
        <w:fldChar w:fldCharType="separate"/>
      </w:r>
      <w:r>
        <w:t>257</w:t>
      </w:r>
      <w:r>
        <w:fldChar w:fldCharType="end"/>
      </w:r>
      <w:bookmarkStart w:id="9697" w:name="_Toc22927"/>
      <w:bookmarkStart w:id="9698" w:name="_Toc1470"/>
      <w:bookmarkStart w:id="9699" w:name="_Toc2102"/>
      <w:bookmarkStart w:id="9700" w:name="_Toc31858"/>
      <w:bookmarkStart w:id="9701" w:name="_Toc16654"/>
      <w:bookmarkStart w:id="9702" w:name="_Toc9182"/>
      <w:bookmarkStart w:id="9703" w:name="_Toc32547"/>
      <w:bookmarkStart w:id="9704" w:name="_Toc31543"/>
      <w:bookmarkStart w:id="9705" w:name="_Toc6549"/>
      <w:r>
        <w:t xml:space="preserve"> - Determinare construcţii cu funcţiuni mixte</w:t>
      </w:r>
      <w:bookmarkEnd w:id="9693"/>
      <w:bookmarkEnd w:id="9694"/>
      <w:bookmarkEnd w:id="9695"/>
      <w:r>
        <w:t xml:space="preserve"> (</w:t>
      </w:r>
      <w:r>
        <w:rPr>
          <w:u w:val="single"/>
        </w:rPr>
        <w:t>la construcții existente</w:t>
      </w:r>
      <w:r>
        <w:t>)</w:t>
      </w:r>
      <w:bookmarkEnd w:id="9696"/>
      <w:bookmarkEnd w:id="9697"/>
      <w:bookmarkEnd w:id="9698"/>
      <w:bookmarkEnd w:id="9699"/>
      <w:bookmarkEnd w:id="9700"/>
      <w:bookmarkEnd w:id="9701"/>
      <w:bookmarkEnd w:id="9702"/>
      <w:bookmarkEnd w:id="9703"/>
      <w:bookmarkEnd w:id="9704"/>
      <w:bookmarkEnd w:id="9705"/>
    </w:p>
    <w:p w14:paraId="321A37FC"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Riscul de incendiu indiferent de funcţiunea distinctă (civilă sau de producţie sau de depozitare care depăşeşte </w:t>
      </w:r>
      <w:r>
        <w:rPr>
          <w:rFonts w:eastAsia="Times New Roman"/>
          <w:b/>
          <w:bCs/>
          <w:i/>
          <w:sz w:val="24"/>
        </w:rPr>
        <w:t>50%</w:t>
      </w:r>
      <w:r>
        <w:rPr>
          <w:rFonts w:eastAsia="Times New Roman"/>
          <w:i/>
          <w:sz w:val="24"/>
        </w:rPr>
        <w:t xml:space="preserve"> din aria desfăşurată a construcţiei </w:t>
      </w:r>
      <w:r>
        <w:rPr>
          <w:rFonts w:eastAsia="Times New Roman"/>
          <w:b/>
          <w:bCs/>
          <w:i/>
          <w:sz w:val="24"/>
        </w:rPr>
        <w:t xml:space="preserve">Ad </w:t>
      </w:r>
      <w:r>
        <w:rPr>
          <w:rFonts w:eastAsia="Times New Roman"/>
          <w:i/>
          <w:sz w:val="24"/>
        </w:rPr>
        <w:t xml:space="preserve">și care determină încadrarea construcţiei respective), se consideră riscul cel mai mare al încăperilor şi zonelor ale căror arii însumate reprezintă mai mult de 30% din aria desfășurată totală a construcţiei sau al compartimentului de incendiu, indiferent de destinaţia acestora. Dacă în construcție sunt zone cu risc foarte mare de incendiu, cu pericol de explozie volumetrică, riscul de incendiu pe compartiment de incendiu/construcție, se consideră riscul cel mai mare al încăperilor și zonelor ale căror volume însumate reprezintă mai mult de </w:t>
      </w:r>
      <w:r>
        <w:rPr>
          <w:rFonts w:eastAsia="Times New Roman"/>
          <w:b/>
          <w:bCs/>
          <w:i/>
          <w:sz w:val="24"/>
        </w:rPr>
        <w:t>30%</w:t>
      </w:r>
      <w:r>
        <w:rPr>
          <w:rFonts w:eastAsia="Times New Roman"/>
          <w:i/>
          <w:sz w:val="24"/>
        </w:rPr>
        <w:t xml:space="preserve"> din volumul construcţiei sau al compartimentului de incendiu.</w:t>
      </w:r>
    </w:p>
    <w:p w14:paraId="32E28594" w14:textId="77777777" w:rsidR="001C08A5" w:rsidRDefault="001C08A5">
      <w:pPr>
        <w:jc w:val="both"/>
        <w:rPr>
          <w:i/>
          <w:sz w:val="22"/>
          <w:szCs w:val="22"/>
        </w:rPr>
      </w:pPr>
    </w:p>
    <w:p w14:paraId="372B6019" w14:textId="77777777" w:rsidR="001C08A5" w:rsidRDefault="00000000">
      <w:pPr>
        <w:numPr>
          <w:ilvl w:val="0"/>
          <w:numId w:val="96"/>
        </w:numPr>
        <w:tabs>
          <w:tab w:val="left" w:pos="426"/>
          <w:tab w:val="left" w:pos="993"/>
        </w:tabs>
        <w:jc w:val="both"/>
        <w:rPr>
          <w:rFonts w:eastAsia="Times New Roman"/>
          <w:b/>
          <w:i/>
          <w:sz w:val="24"/>
        </w:rPr>
      </w:pPr>
      <w:r>
        <w:rPr>
          <w:rFonts w:eastAsia="Times New Roman"/>
          <w:bCs/>
          <w:i/>
          <w:sz w:val="24"/>
        </w:rPr>
        <w:t>În cazul în care riscul cel mai mare al ariilor însumate ale încăperilor şi zonelor clădirii, indiferent de funcţiunea distinctă a clădirii reprezintă mai mult de 30% din aria desfășurată totală a construcţiei sau al compartimentului de incendiu, acest risc este considerat relevant pentru toată construcția.</w:t>
      </w:r>
    </w:p>
    <w:p w14:paraId="1612770D" w14:textId="77777777" w:rsidR="001C08A5" w:rsidRDefault="001C08A5">
      <w:pPr>
        <w:tabs>
          <w:tab w:val="left" w:pos="426"/>
          <w:tab w:val="left" w:pos="993"/>
        </w:tabs>
        <w:jc w:val="both"/>
        <w:rPr>
          <w:rFonts w:eastAsia="Times New Roman"/>
          <w:b/>
          <w:i/>
          <w:sz w:val="24"/>
        </w:rPr>
      </w:pPr>
    </w:p>
    <w:p w14:paraId="5D6DEAA3"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În construcţii cu funcţiuni mixte civile (publice) nu este admisă dispunerea unor spaţii sau încăperi cu pericol de explozie, cu excepția celor admise explicit (centrale termice, depozitare gaze/ fluide medicale, etc.).</w:t>
      </w:r>
    </w:p>
    <w:p w14:paraId="5CCF62E7"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50F937FF" wp14:editId="03E617B1">
            <wp:extent cx="5574030" cy="2165985"/>
            <wp:effectExtent l="0" t="0" r="7620" b="5715"/>
            <wp:docPr id="352"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214"/>
                    <pic:cNvPicPr>
                      <a:picLocks noChangeAspect="1"/>
                    </pic:cNvPicPr>
                  </pic:nvPicPr>
                  <pic:blipFill>
                    <a:blip r:embed="rId504"/>
                    <a:srcRect l="12727" t="29646" r="7689" b="24155"/>
                    <a:stretch>
                      <a:fillRect/>
                    </a:stretch>
                  </pic:blipFill>
                  <pic:spPr>
                    <a:xfrm>
                      <a:off x="0" y="0"/>
                      <a:ext cx="5574030" cy="2165985"/>
                    </a:xfrm>
                    <a:prstGeom prst="rect">
                      <a:avLst/>
                    </a:prstGeom>
                    <a:noFill/>
                    <a:ln>
                      <a:noFill/>
                    </a:ln>
                  </pic:spPr>
                </pic:pic>
              </a:graphicData>
            </a:graphic>
          </wp:inline>
        </w:drawing>
      </w:r>
    </w:p>
    <w:p w14:paraId="1B122325" w14:textId="77777777" w:rsidR="001C08A5" w:rsidRDefault="00000000">
      <w:pPr>
        <w:pStyle w:val="Caption"/>
        <w:jc w:val="center"/>
        <w:rPr>
          <w:rFonts w:ascii="Arial" w:hAnsi="Arial" w:cs="Arial"/>
          <w:lang w:val="en-US" w:eastAsia="en-US"/>
        </w:rPr>
      </w:pPr>
      <w:bookmarkStart w:id="9706" w:name="_Toc7286"/>
      <w:bookmarkStart w:id="9707" w:name="_Toc162360482"/>
      <w:bookmarkStart w:id="9708" w:name="_Toc1012"/>
      <w:bookmarkStart w:id="9709" w:name="_Toc7113"/>
      <w:bookmarkStart w:id="9710" w:name="_Toc32688"/>
      <w:bookmarkStart w:id="9711" w:name="_Toc142898640"/>
      <w:r>
        <w:t xml:space="preserve">Figura </w:t>
      </w:r>
      <w:r>
        <w:fldChar w:fldCharType="begin"/>
      </w:r>
      <w:r>
        <w:instrText xml:space="preserve"> SEQ Figura \* ARABIC </w:instrText>
      </w:r>
      <w:r>
        <w:fldChar w:fldCharType="separate"/>
      </w:r>
      <w:r>
        <w:t>258</w:t>
      </w:r>
      <w:r>
        <w:fldChar w:fldCharType="end"/>
      </w:r>
      <w:bookmarkStart w:id="9712" w:name="_Toc17498"/>
      <w:bookmarkStart w:id="9713" w:name="_Toc19178"/>
      <w:bookmarkStart w:id="9714" w:name="_Toc25099"/>
      <w:bookmarkStart w:id="9715" w:name="_Toc7875"/>
      <w:bookmarkStart w:id="9716" w:name="_Toc21656"/>
      <w:bookmarkStart w:id="9717" w:name="_Toc11297"/>
      <w:bookmarkStart w:id="9718" w:name="_Toc10007"/>
      <w:bookmarkStart w:id="9719" w:name="_Toc30163"/>
      <w:bookmarkStart w:id="9720" w:name="_Toc29193"/>
      <w:r>
        <w:t xml:space="preserve"> - Clădiri cu funcţiuni mixte civile (publice) - dispunerea unor spaţii sau încăperi cu pericol de explozie</w:t>
      </w:r>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p>
    <w:p w14:paraId="21DAF326" w14:textId="77777777" w:rsidR="001C08A5" w:rsidRDefault="00000000">
      <w:pPr>
        <w:pStyle w:val="Heading3"/>
        <w:rPr>
          <w:i/>
          <w:iCs/>
          <w:sz w:val="24"/>
          <w:szCs w:val="24"/>
        </w:rPr>
      </w:pPr>
      <w:bookmarkStart w:id="9721" w:name="_Toc27325"/>
      <w:bookmarkStart w:id="9722" w:name="_Toc7073"/>
      <w:bookmarkStart w:id="9723" w:name="_Toc10094"/>
      <w:bookmarkStart w:id="9724" w:name="_Toc13790"/>
      <w:bookmarkStart w:id="9725" w:name="_Toc31054"/>
      <w:bookmarkStart w:id="9726" w:name="_Toc9107"/>
      <w:bookmarkStart w:id="9727" w:name="_Toc162355487"/>
      <w:bookmarkStart w:id="9728" w:name="_Toc5367"/>
      <w:bookmarkStart w:id="9729" w:name="_Toc17617"/>
      <w:bookmarkStart w:id="9730" w:name="_Toc19325"/>
      <w:bookmarkStart w:id="9731" w:name="_Toc23130"/>
      <w:bookmarkStart w:id="9732" w:name="_Toc9584"/>
      <w:bookmarkStart w:id="9733" w:name="_Toc204"/>
      <w:bookmarkStart w:id="9734" w:name="_Toc23886"/>
      <w:bookmarkStart w:id="9735" w:name="_Toc13608"/>
      <w:bookmarkStart w:id="9736" w:name="_Toc8993"/>
      <w:r>
        <w:rPr>
          <w:i/>
          <w:iCs/>
          <w:sz w:val="24"/>
          <w:szCs w:val="24"/>
        </w:rPr>
        <w:t>ANEXA 7.6 - CONSTRUCŢII DE PRODUCŢIE ŞI/SAU DEPOZITARE</w:t>
      </w:r>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p>
    <w:p w14:paraId="67AEAED3" w14:textId="77777777" w:rsidR="001C08A5" w:rsidRDefault="00000000">
      <w:pPr>
        <w:pStyle w:val="Heading4"/>
        <w:rPr>
          <w:sz w:val="24"/>
          <w:szCs w:val="24"/>
        </w:rPr>
      </w:pPr>
      <w:bookmarkStart w:id="9737" w:name="_Toc162355488"/>
      <w:bookmarkStart w:id="9738" w:name="_Toc3782"/>
      <w:bookmarkStart w:id="9739" w:name="_Toc15075"/>
      <w:bookmarkStart w:id="9740" w:name="_Toc26924"/>
      <w:bookmarkStart w:id="9741" w:name="_Toc16998"/>
      <w:bookmarkStart w:id="9742" w:name="_Toc17813"/>
      <w:bookmarkStart w:id="9743" w:name="_Toc24945"/>
      <w:bookmarkStart w:id="9744" w:name="_Toc879"/>
      <w:bookmarkStart w:id="9745" w:name="_Toc5233"/>
      <w:bookmarkStart w:id="9746" w:name="_Toc2666"/>
      <w:bookmarkStart w:id="9747" w:name="_Toc18250"/>
      <w:bookmarkStart w:id="9748" w:name="_Toc16171"/>
      <w:bookmarkStart w:id="9749" w:name="_Toc2205"/>
      <w:bookmarkStart w:id="9750" w:name="_Toc27861"/>
      <w:bookmarkStart w:id="9751" w:name="_Toc11723"/>
      <w:r>
        <w:rPr>
          <w:sz w:val="24"/>
          <w:szCs w:val="24"/>
        </w:rPr>
        <w:t>Amplasare</w:t>
      </w:r>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p>
    <w:p w14:paraId="3375D36F"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Condiţiile normate de limitare a posibilităţilor de propagare a incendiilor între construcţii şi compartimente de incendiu  sunt obligatorii şi se realizează prin amplasarea la distanţele minime de siguranţă stabilite în </w:t>
      </w:r>
      <w:r>
        <w:rPr>
          <w:rFonts w:eastAsia="Times New Roman"/>
          <w:i/>
          <w:iCs/>
          <w:sz w:val="24"/>
          <w:szCs w:val="24"/>
        </w:rPr>
        <w:fldChar w:fldCharType="begin"/>
      </w:r>
      <w:r>
        <w:rPr>
          <w:rFonts w:eastAsia="Times New Roman"/>
          <w:i/>
          <w:iCs/>
          <w:sz w:val="24"/>
          <w:szCs w:val="24"/>
        </w:rPr>
        <w:instrText xml:space="preserve"> REF _Ref13581 \h </w:instrText>
      </w:r>
      <w:r>
        <w:rPr>
          <w:rFonts w:eastAsia="Times New Roman"/>
          <w:i/>
          <w:iCs/>
          <w:sz w:val="24"/>
          <w:szCs w:val="24"/>
        </w:rPr>
      </w:r>
      <w:r>
        <w:rPr>
          <w:rFonts w:eastAsia="Times New Roman"/>
          <w:i/>
          <w:iCs/>
          <w:sz w:val="24"/>
          <w:szCs w:val="24"/>
        </w:rPr>
        <w:fldChar w:fldCharType="separate"/>
      </w:r>
      <w:r>
        <w:t>Tabelul 4: Distanţe minime de siguranţă între construcţii sau compartimente de incendiu supraterane (civile, de producţie şi/sau depozitare)</w:t>
      </w:r>
      <w:r>
        <w:rPr>
          <w:rFonts w:eastAsia="Times New Roman"/>
          <w:i/>
          <w:iCs/>
          <w:sz w:val="24"/>
          <w:szCs w:val="24"/>
        </w:rPr>
        <w:fldChar w:fldCharType="end"/>
      </w:r>
      <w:r>
        <w:rPr>
          <w:rFonts w:eastAsia="Times New Roman"/>
          <w:i/>
          <w:sz w:val="24"/>
        </w:rPr>
        <w:t xml:space="preserve"> sau se delimitează cu pereţi rezistenţi la foc de separare a compartimentelor de incendiu (pereţi antifoc) şi, după caz, cu planşee rezistente la foc de separare a compartimentelor de incendiu (planşee antifoc), aplicându-se prevederile stabilite la </w:t>
      </w:r>
      <w:r>
        <w:rPr>
          <w:rFonts w:eastAsia="Times New Roman"/>
          <w:b/>
          <w:bCs/>
          <w:i/>
          <w:sz w:val="24"/>
        </w:rPr>
        <w:t>Capitolul II, Secțiunea III/ 2.3.</w:t>
      </w:r>
      <w:r>
        <w:rPr>
          <w:rFonts w:eastAsia="Times New Roman"/>
          <w:i/>
          <w:sz w:val="24"/>
        </w:rPr>
        <w:t xml:space="preserve"> - ”Limitarea propagării incendiilor” / 2.3.2. - ”Elemente rezistente la foc pentru separarea compartimentelor de incendiu şi protecţia golurilor funcţionale de trecere” precum și indicațiile din această anexă.</w:t>
      </w:r>
    </w:p>
    <w:p w14:paraId="4A3D09B0" w14:textId="77777777" w:rsidR="001C08A5" w:rsidRDefault="001C08A5">
      <w:pPr>
        <w:tabs>
          <w:tab w:val="left" w:pos="426"/>
          <w:tab w:val="left" w:pos="993"/>
        </w:tabs>
        <w:jc w:val="both"/>
        <w:rPr>
          <w:rFonts w:eastAsia="Times New Roman"/>
          <w:b/>
          <w:i/>
          <w:sz w:val="24"/>
        </w:rPr>
      </w:pPr>
    </w:p>
    <w:p w14:paraId="22A97FE7"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Construcţiile de producţie şi/sau depozitare se pot amplasa la distanţe de siguranţă normate sau</w:t>
      </w:r>
      <w:r>
        <w:rPr>
          <w:rFonts w:eastAsia="Times New Roman"/>
          <w:b/>
          <w:i/>
          <w:sz w:val="24"/>
        </w:rPr>
        <w:t xml:space="preserve"> </w:t>
      </w:r>
      <w:r>
        <w:rPr>
          <w:rFonts w:eastAsia="Times New Roman"/>
          <w:i/>
          <w:sz w:val="24"/>
        </w:rPr>
        <w:t>compartimentate corespunzător faţă de vecinătăţi.</w:t>
      </w:r>
    </w:p>
    <w:p w14:paraId="5B9C8806" w14:textId="77777777" w:rsidR="001C08A5" w:rsidRDefault="00000000">
      <w:pPr>
        <w:jc w:val="center"/>
        <w:rPr>
          <w:rFonts w:eastAsia="Times New Roman"/>
          <w:i/>
          <w:sz w:val="24"/>
          <w:szCs w:val="24"/>
        </w:rPr>
      </w:pPr>
      <w:r>
        <w:rPr>
          <w:b/>
          <w:bCs/>
          <w:i/>
          <w:noProof/>
          <w:sz w:val="24"/>
          <w:szCs w:val="24"/>
          <w:lang w:eastAsia="ro-RO"/>
        </w:rPr>
        <w:drawing>
          <wp:inline distT="0" distB="0" distL="114300" distR="114300" wp14:anchorId="2D27A3EA" wp14:editId="64C80DD7">
            <wp:extent cx="5149850" cy="3087370"/>
            <wp:effectExtent l="0" t="0" r="12700" b="17780"/>
            <wp:docPr id="3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2"/>
                    <pic:cNvPicPr>
                      <a:picLocks noChangeAspect="1"/>
                    </pic:cNvPicPr>
                  </pic:nvPicPr>
                  <pic:blipFill>
                    <a:blip r:embed="rId505"/>
                    <a:srcRect l="12502" t="17821" r="7227" b="10280"/>
                    <a:stretch>
                      <a:fillRect/>
                    </a:stretch>
                  </pic:blipFill>
                  <pic:spPr>
                    <a:xfrm>
                      <a:off x="0" y="0"/>
                      <a:ext cx="5149850" cy="3087370"/>
                    </a:xfrm>
                    <a:prstGeom prst="rect">
                      <a:avLst/>
                    </a:prstGeom>
                    <a:noFill/>
                    <a:ln>
                      <a:noFill/>
                    </a:ln>
                  </pic:spPr>
                </pic:pic>
              </a:graphicData>
            </a:graphic>
          </wp:inline>
        </w:drawing>
      </w:r>
    </w:p>
    <w:p w14:paraId="1F1B367B" w14:textId="77777777" w:rsidR="001C08A5" w:rsidRDefault="00000000">
      <w:pPr>
        <w:pStyle w:val="Caption"/>
        <w:jc w:val="center"/>
      </w:pPr>
      <w:bookmarkStart w:id="9752" w:name="_Toc7054"/>
      <w:bookmarkStart w:id="9753" w:name="_Toc162360483"/>
      <w:bookmarkStart w:id="9754" w:name="_Toc1656"/>
      <w:r>
        <w:t xml:space="preserve">Figura </w:t>
      </w:r>
      <w:r>
        <w:fldChar w:fldCharType="begin"/>
      </w:r>
      <w:r>
        <w:instrText xml:space="preserve"> SEQ Figura \* ARABIC </w:instrText>
      </w:r>
      <w:r>
        <w:fldChar w:fldCharType="separate"/>
      </w:r>
      <w:r>
        <w:t>259</w:t>
      </w:r>
      <w:r>
        <w:fldChar w:fldCharType="end"/>
      </w:r>
      <w:bookmarkStart w:id="9755" w:name="_Toc20394"/>
      <w:bookmarkStart w:id="9756" w:name="_Toc18949"/>
      <w:bookmarkStart w:id="9757" w:name="_Toc478"/>
      <w:bookmarkStart w:id="9758" w:name="_Toc23762"/>
      <w:bookmarkStart w:id="9759" w:name="_Toc27242"/>
      <w:bookmarkStart w:id="9760" w:name="_Toc28800"/>
      <w:bookmarkStart w:id="9761" w:name="_Toc20529"/>
      <w:bookmarkStart w:id="9762" w:name="_Toc22013"/>
      <w:bookmarkStart w:id="9763" w:name="_Toc4109"/>
      <w:r>
        <w:t xml:space="preserve"> - Amplasare la distanțe de siguranță</w:t>
      </w:r>
      <w:bookmarkEnd w:id="9752"/>
      <w:bookmarkEnd w:id="9753"/>
      <w:bookmarkEnd w:id="9754"/>
      <w:bookmarkEnd w:id="9755"/>
      <w:bookmarkEnd w:id="9756"/>
      <w:bookmarkEnd w:id="9757"/>
      <w:bookmarkEnd w:id="9758"/>
      <w:bookmarkEnd w:id="9759"/>
      <w:bookmarkEnd w:id="9760"/>
      <w:bookmarkEnd w:id="9761"/>
      <w:bookmarkEnd w:id="9762"/>
      <w:bookmarkEnd w:id="9763"/>
    </w:p>
    <w:p w14:paraId="7205E087" w14:textId="77777777" w:rsidR="001C08A5" w:rsidRDefault="00000000">
      <w:pPr>
        <w:jc w:val="center"/>
        <w:rPr>
          <w:rFonts w:eastAsia="Times New Roman"/>
          <w:i/>
          <w:sz w:val="24"/>
          <w:szCs w:val="24"/>
        </w:rPr>
      </w:pPr>
      <w:r>
        <w:rPr>
          <w:b/>
          <w:bCs/>
          <w:i/>
          <w:noProof/>
          <w:sz w:val="24"/>
          <w:szCs w:val="24"/>
          <w:lang w:eastAsia="ro-RO"/>
        </w:rPr>
        <w:lastRenderedPageBreak/>
        <w:drawing>
          <wp:inline distT="0" distB="0" distL="114300" distR="114300" wp14:anchorId="69C7D608" wp14:editId="326AE472">
            <wp:extent cx="5071745" cy="3158490"/>
            <wp:effectExtent l="0" t="0" r="14605" b="3810"/>
            <wp:docPr id="3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3"/>
                    <pic:cNvPicPr>
                      <a:picLocks noChangeAspect="1"/>
                    </pic:cNvPicPr>
                  </pic:nvPicPr>
                  <pic:blipFill>
                    <a:blip r:embed="rId506"/>
                    <a:srcRect l="12619" t="10620" r="7344" b="14919"/>
                    <a:stretch>
                      <a:fillRect/>
                    </a:stretch>
                  </pic:blipFill>
                  <pic:spPr>
                    <a:xfrm>
                      <a:off x="0" y="0"/>
                      <a:ext cx="5071745" cy="3158490"/>
                    </a:xfrm>
                    <a:prstGeom prst="rect">
                      <a:avLst/>
                    </a:prstGeom>
                    <a:noFill/>
                    <a:ln>
                      <a:noFill/>
                    </a:ln>
                  </pic:spPr>
                </pic:pic>
              </a:graphicData>
            </a:graphic>
          </wp:inline>
        </w:drawing>
      </w:r>
    </w:p>
    <w:p w14:paraId="66837EB2" w14:textId="77777777" w:rsidR="001C08A5" w:rsidRDefault="00000000">
      <w:pPr>
        <w:pStyle w:val="Caption"/>
        <w:jc w:val="center"/>
        <w:rPr>
          <w:rFonts w:eastAsia="Times New Roman"/>
        </w:rPr>
      </w:pPr>
      <w:bookmarkStart w:id="9764" w:name="_Toc9049"/>
      <w:bookmarkStart w:id="9765" w:name="_Toc162360484"/>
      <w:bookmarkStart w:id="9766" w:name="_Toc142898641"/>
      <w:bookmarkStart w:id="9767" w:name="_Toc23675"/>
      <w:r>
        <w:t xml:space="preserve">Figura </w:t>
      </w:r>
      <w:r>
        <w:fldChar w:fldCharType="begin"/>
      </w:r>
      <w:r>
        <w:instrText xml:space="preserve"> SEQ Figura \* ARABIC </w:instrText>
      </w:r>
      <w:r>
        <w:fldChar w:fldCharType="separate"/>
      </w:r>
      <w:r>
        <w:t>260</w:t>
      </w:r>
      <w:r>
        <w:fldChar w:fldCharType="end"/>
      </w:r>
      <w:bookmarkStart w:id="9768" w:name="_Toc11422"/>
      <w:bookmarkStart w:id="9769" w:name="_Toc11335"/>
      <w:bookmarkStart w:id="9770" w:name="_Toc26025"/>
      <w:bookmarkStart w:id="9771" w:name="_Toc18065"/>
      <w:bookmarkStart w:id="9772" w:name="_Toc29627"/>
      <w:bookmarkStart w:id="9773" w:name="_Toc6588"/>
      <w:bookmarkStart w:id="9774" w:name="_Toc11410"/>
      <w:bookmarkStart w:id="9775" w:name="_Toc17515"/>
      <w:bookmarkStart w:id="9776" w:name="_Toc32204"/>
      <w:r>
        <w:t xml:space="preserve"> - Amplasare compartimentată</w:t>
      </w:r>
      <w:bookmarkEnd w:id="9764"/>
      <w:bookmarkEnd w:id="9765"/>
      <w:bookmarkEnd w:id="9766"/>
      <w:bookmarkEnd w:id="9767"/>
      <w:bookmarkEnd w:id="9768"/>
      <w:bookmarkEnd w:id="9769"/>
      <w:bookmarkEnd w:id="9770"/>
      <w:bookmarkEnd w:id="9771"/>
      <w:bookmarkEnd w:id="9772"/>
      <w:bookmarkEnd w:id="9773"/>
      <w:bookmarkEnd w:id="9774"/>
      <w:bookmarkEnd w:id="9775"/>
      <w:bookmarkEnd w:id="9776"/>
    </w:p>
    <w:p w14:paraId="5DA062FB" w14:textId="77777777" w:rsidR="001C08A5" w:rsidRDefault="00000000">
      <w:pPr>
        <w:pStyle w:val="Heading4"/>
        <w:rPr>
          <w:sz w:val="24"/>
          <w:szCs w:val="24"/>
        </w:rPr>
      </w:pPr>
      <w:bookmarkStart w:id="9777" w:name="_Toc22454"/>
      <w:bookmarkStart w:id="9778" w:name="_Toc23846"/>
      <w:bookmarkStart w:id="9779" w:name="_Toc1976"/>
      <w:bookmarkStart w:id="9780" w:name="_Toc8333"/>
      <w:bookmarkStart w:id="9781" w:name="_Toc26060"/>
      <w:bookmarkStart w:id="9782" w:name="_Toc12808"/>
      <w:bookmarkStart w:id="9783" w:name="_Toc27642"/>
      <w:bookmarkStart w:id="9784" w:name="_Toc32266"/>
      <w:bookmarkStart w:id="9785" w:name="_Toc29261"/>
      <w:bookmarkStart w:id="9786" w:name="_Toc19431"/>
      <w:bookmarkStart w:id="9787" w:name="_Toc20698"/>
      <w:bookmarkStart w:id="9788" w:name="_Toc10748"/>
      <w:bookmarkStart w:id="9789" w:name="_Toc10669"/>
      <w:bookmarkStart w:id="9790" w:name="_Toc162355489"/>
      <w:bookmarkStart w:id="9791" w:name="_Toc21213"/>
      <w:bookmarkStart w:id="9792" w:name="_Toc23017"/>
      <w:r>
        <w:rPr>
          <w:sz w:val="24"/>
          <w:szCs w:val="24"/>
        </w:rPr>
        <w:t>Lungimi de evacuare la clădiri de producţie şi/sau depozitare</w:t>
      </w:r>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p>
    <w:p w14:paraId="6D021BBC" w14:textId="77777777" w:rsidR="001C08A5" w:rsidRDefault="001C08A5">
      <w:pPr>
        <w:jc w:val="both"/>
        <w:rPr>
          <w:bCs/>
          <w:i/>
          <w:sz w:val="24"/>
          <w:szCs w:val="24"/>
        </w:rPr>
      </w:pPr>
    </w:p>
    <w:p w14:paraId="04EEF25D" w14:textId="77777777" w:rsidR="001C08A5" w:rsidRDefault="00000000">
      <w:pPr>
        <w:numPr>
          <w:ilvl w:val="0"/>
          <w:numId w:val="96"/>
        </w:numPr>
        <w:tabs>
          <w:tab w:val="left" w:pos="426"/>
          <w:tab w:val="left" w:pos="993"/>
        </w:tabs>
        <w:jc w:val="both"/>
        <w:rPr>
          <w:b/>
          <w:bCs/>
          <w:i/>
          <w:sz w:val="24"/>
        </w:rPr>
      </w:pPr>
      <w:r>
        <w:rPr>
          <w:bCs/>
          <w:i/>
          <w:sz w:val="24"/>
        </w:rPr>
        <w:t xml:space="preserve">În clădiri de producţie şi/sau depozitare, lungimile de evacuare vor respecta valorile normate în funcţie de nivelul de stabilitate la incendiu (se are în vedere </w:t>
      </w:r>
      <w:r>
        <w:rPr>
          <w:b/>
          <w:bCs/>
          <w:i/>
          <w:iCs/>
          <w:sz w:val="24"/>
          <w:szCs w:val="24"/>
        </w:rPr>
        <w:fldChar w:fldCharType="begin"/>
      </w:r>
      <w:r>
        <w:rPr>
          <w:b/>
          <w:bCs/>
          <w:i/>
          <w:iCs/>
          <w:sz w:val="24"/>
          <w:szCs w:val="24"/>
        </w:rPr>
        <w:instrText xml:space="preserve"> REF _Ref21528 \h </w:instrText>
      </w:r>
      <w:r>
        <w:rPr>
          <w:b/>
          <w:bCs/>
          <w:i/>
          <w:iCs/>
          <w:sz w:val="24"/>
          <w:szCs w:val="24"/>
        </w:rPr>
      </w:r>
      <w:r>
        <w:rPr>
          <w:b/>
          <w:bCs/>
          <w:i/>
          <w:iCs/>
          <w:sz w:val="24"/>
          <w:szCs w:val="24"/>
        </w:rPr>
        <w:fldChar w:fldCharType="separate"/>
      </w:r>
      <w:r>
        <w:t>Tabelul 114: Condiţii de corelare a ariilor construite (Ac) şi a numărului de niveluri al construcţiilor şi compartimentelor de incendiu supraterane de producţie şi/sau depozitare</w:t>
      </w:r>
      <w:r>
        <w:rPr>
          <w:b/>
          <w:bCs/>
          <w:i/>
          <w:iCs/>
          <w:sz w:val="24"/>
          <w:szCs w:val="24"/>
        </w:rPr>
        <w:fldChar w:fldCharType="end"/>
      </w:r>
      <w:r>
        <w:rPr>
          <w:bCs/>
          <w:i/>
          <w:sz w:val="24"/>
        </w:rPr>
        <w:t xml:space="preserve"> ).</w:t>
      </w:r>
    </w:p>
    <w:p w14:paraId="5DD47F06" w14:textId="77777777" w:rsidR="001C08A5" w:rsidRDefault="001C08A5">
      <w:pPr>
        <w:tabs>
          <w:tab w:val="left" w:pos="426"/>
          <w:tab w:val="left" w:pos="993"/>
        </w:tabs>
        <w:jc w:val="both"/>
        <w:rPr>
          <w:b/>
          <w:bCs/>
          <w:i/>
          <w:sz w:val="24"/>
        </w:rPr>
      </w:pPr>
    </w:p>
    <w:p w14:paraId="3C19ED96" w14:textId="77777777" w:rsidR="001C08A5" w:rsidRDefault="00000000">
      <w:pPr>
        <w:numPr>
          <w:ilvl w:val="0"/>
          <w:numId w:val="96"/>
        </w:numPr>
        <w:tabs>
          <w:tab w:val="left" w:pos="426"/>
          <w:tab w:val="left" w:pos="993"/>
        </w:tabs>
        <w:jc w:val="both"/>
        <w:rPr>
          <w:b/>
          <w:bCs/>
          <w:i/>
          <w:sz w:val="24"/>
        </w:rPr>
      </w:pPr>
      <w:r>
        <w:rPr>
          <w:bCs/>
          <w:i/>
          <w:sz w:val="24"/>
        </w:rPr>
        <w:t xml:space="preserve">Construcţie etajată, cu evacuare în minimum două direcţii (conform </w:t>
      </w:r>
      <w:r>
        <w:rPr>
          <w:bCs/>
          <w:i/>
          <w:iCs/>
          <w:sz w:val="24"/>
          <w:szCs w:val="24"/>
        </w:rPr>
        <w:fldChar w:fldCharType="begin"/>
      </w:r>
      <w:r>
        <w:rPr>
          <w:bCs/>
          <w:i/>
          <w:iCs/>
          <w:sz w:val="24"/>
          <w:szCs w:val="24"/>
        </w:rPr>
        <w:instrText xml:space="preserve"> REF _Ref21714 \h </w:instrText>
      </w:r>
      <w:r>
        <w:rPr>
          <w:bCs/>
          <w:i/>
          <w:iCs/>
          <w:sz w:val="24"/>
          <w:szCs w:val="24"/>
        </w:rPr>
      </w:r>
      <w:r>
        <w:rPr>
          <w:bCs/>
          <w:i/>
          <w:iCs/>
          <w:sz w:val="24"/>
          <w:szCs w:val="24"/>
        </w:rPr>
        <w:fldChar w:fldCharType="separate"/>
      </w:r>
      <w:r>
        <w:t>Tabelul 116: Lungimi de evacuare în construcţii de producţie şi/sau depozitare</w:t>
      </w:r>
      <w:r>
        <w:rPr>
          <w:bCs/>
          <w:i/>
          <w:iCs/>
          <w:sz w:val="24"/>
          <w:szCs w:val="24"/>
        </w:rPr>
        <w:fldChar w:fldCharType="end"/>
      </w:r>
      <w:r>
        <w:rPr>
          <w:bCs/>
          <w:i/>
          <w:sz w:val="24"/>
        </w:rPr>
        <w:t xml:space="preserve"> )</w:t>
      </w:r>
    </w:p>
    <w:p w14:paraId="49BC5641" w14:textId="77777777" w:rsidR="001C08A5" w:rsidRDefault="00000000">
      <w:pPr>
        <w:tabs>
          <w:tab w:val="left" w:pos="426"/>
          <w:tab w:val="left" w:pos="993"/>
        </w:tabs>
        <w:jc w:val="center"/>
        <w:rPr>
          <w:bCs/>
          <w:i/>
          <w:sz w:val="24"/>
          <w:szCs w:val="24"/>
        </w:rPr>
      </w:pPr>
      <w:r>
        <w:rPr>
          <w:b/>
          <w:bCs/>
          <w:i/>
          <w:noProof/>
          <w:sz w:val="24"/>
          <w:szCs w:val="24"/>
        </w:rPr>
        <w:drawing>
          <wp:inline distT="0" distB="0" distL="114300" distR="114300" wp14:anchorId="49CAC6B3" wp14:editId="0335A057">
            <wp:extent cx="5038725" cy="2487295"/>
            <wp:effectExtent l="0" t="0" r="9525" b="8255"/>
            <wp:docPr id="29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47"/>
                    <pic:cNvPicPr>
                      <a:picLocks noChangeAspect="1"/>
                    </pic:cNvPicPr>
                  </pic:nvPicPr>
                  <pic:blipFill>
                    <a:blip r:embed="rId507"/>
                    <a:srcRect l="23143" t="27229" r="10103" b="26937"/>
                    <a:stretch>
                      <a:fillRect/>
                    </a:stretch>
                  </pic:blipFill>
                  <pic:spPr>
                    <a:xfrm>
                      <a:off x="0" y="0"/>
                      <a:ext cx="5038725" cy="2487295"/>
                    </a:xfrm>
                    <a:prstGeom prst="rect">
                      <a:avLst/>
                    </a:prstGeom>
                    <a:noFill/>
                    <a:ln>
                      <a:noFill/>
                    </a:ln>
                  </pic:spPr>
                </pic:pic>
              </a:graphicData>
            </a:graphic>
          </wp:inline>
        </w:drawing>
      </w:r>
    </w:p>
    <w:p w14:paraId="5945CF62" w14:textId="77777777" w:rsidR="001C08A5" w:rsidRDefault="00000000">
      <w:pPr>
        <w:pStyle w:val="Caption"/>
        <w:jc w:val="center"/>
      </w:pPr>
      <w:bookmarkStart w:id="9793" w:name="_Toc8863"/>
      <w:bookmarkStart w:id="9794" w:name="_Toc162360485"/>
      <w:bookmarkStart w:id="9795" w:name="_Toc142898642"/>
      <w:bookmarkStart w:id="9796" w:name="_Toc2059"/>
      <w:r>
        <w:t xml:space="preserve">Figura </w:t>
      </w:r>
      <w:r>
        <w:fldChar w:fldCharType="begin"/>
      </w:r>
      <w:r>
        <w:instrText xml:space="preserve"> SEQ Figura \* ARABIC </w:instrText>
      </w:r>
      <w:r>
        <w:fldChar w:fldCharType="separate"/>
      </w:r>
      <w:r>
        <w:t>261</w:t>
      </w:r>
      <w:r>
        <w:fldChar w:fldCharType="end"/>
      </w:r>
      <w:bookmarkStart w:id="9797" w:name="_Toc11367"/>
      <w:bookmarkStart w:id="9798" w:name="_Toc1953"/>
      <w:bookmarkStart w:id="9799" w:name="_Toc14870"/>
      <w:bookmarkStart w:id="9800" w:name="_Toc19412"/>
      <w:bookmarkStart w:id="9801" w:name="_Toc27196"/>
      <w:bookmarkStart w:id="9802" w:name="_Toc15760"/>
      <w:bookmarkStart w:id="9803" w:name="_Toc7577"/>
      <w:bookmarkStart w:id="9804" w:name="_Toc900"/>
      <w:bookmarkStart w:id="9805" w:name="_Toc11019"/>
      <w:r>
        <w:t xml:space="preserve"> - Construcţie etajată de producţie şi/sau depozitare, cu evacuare în două direcţii - principii evacuare etaj</w:t>
      </w:r>
      <w:bookmarkEnd w:id="9793"/>
      <w:bookmarkEnd w:id="9794"/>
      <w:bookmarkEnd w:id="9795"/>
      <w:bookmarkEnd w:id="9796"/>
      <w:bookmarkEnd w:id="9797"/>
      <w:bookmarkEnd w:id="9798"/>
      <w:bookmarkEnd w:id="9799"/>
      <w:bookmarkEnd w:id="9800"/>
      <w:bookmarkEnd w:id="9801"/>
      <w:bookmarkEnd w:id="9802"/>
      <w:bookmarkEnd w:id="9803"/>
      <w:bookmarkEnd w:id="9804"/>
      <w:bookmarkEnd w:id="9805"/>
    </w:p>
    <w:p w14:paraId="6631BF49" w14:textId="77777777" w:rsidR="001C08A5" w:rsidRDefault="00000000">
      <w:pPr>
        <w:numPr>
          <w:ilvl w:val="0"/>
          <w:numId w:val="96"/>
        </w:numPr>
        <w:tabs>
          <w:tab w:val="left" w:pos="426"/>
          <w:tab w:val="left" w:pos="993"/>
        </w:tabs>
        <w:jc w:val="both"/>
        <w:rPr>
          <w:b/>
          <w:bCs/>
          <w:i/>
          <w:sz w:val="24"/>
        </w:rPr>
      </w:pPr>
      <w:r>
        <w:rPr>
          <w:bCs/>
          <w:i/>
          <w:sz w:val="24"/>
        </w:rPr>
        <w:t>În construcţiile de producţie şi/sau depozitare, pot fi considerate căi de evacuare a utilizatorilor şi cele care trec prin:</w:t>
      </w:r>
    </w:p>
    <w:p w14:paraId="1D8447D0" w14:textId="77777777" w:rsidR="001C08A5" w:rsidRDefault="00000000">
      <w:pPr>
        <w:ind w:left="2160" w:firstLine="720"/>
        <w:jc w:val="both"/>
        <w:rPr>
          <w:bCs/>
          <w:i/>
          <w:sz w:val="24"/>
          <w:szCs w:val="24"/>
        </w:rPr>
      </w:pPr>
      <w:r>
        <w:rPr>
          <w:bCs/>
          <w:i/>
          <w:sz w:val="24"/>
          <w:szCs w:val="24"/>
        </w:rPr>
        <w:t>a)</w:t>
      </w:r>
      <w:r>
        <w:rPr>
          <w:bCs/>
          <w:i/>
          <w:sz w:val="24"/>
          <w:szCs w:val="24"/>
        </w:rPr>
        <w:tab/>
        <w:t>încăperi sau spaţii cu riscuri mici de incendiu, dacă servesc la evacuarea utilizatorilor spaţiilor de producţie/ depozitare învecinate sau din anexele tehnico-sociale ale acestora, precum şi în cazurile stabilite în normele tehnice specifice acestora;</w:t>
      </w:r>
    </w:p>
    <w:p w14:paraId="76C3A670" w14:textId="77777777" w:rsidR="001C08A5" w:rsidRDefault="00000000">
      <w:pPr>
        <w:ind w:left="2160" w:firstLine="720"/>
        <w:jc w:val="both"/>
        <w:rPr>
          <w:bCs/>
          <w:i/>
          <w:sz w:val="24"/>
          <w:szCs w:val="24"/>
        </w:rPr>
      </w:pPr>
      <w:r>
        <w:rPr>
          <w:bCs/>
          <w:i/>
          <w:sz w:val="24"/>
          <w:szCs w:val="24"/>
        </w:rPr>
        <w:lastRenderedPageBreak/>
        <w:t>b)</w:t>
      </w:r>
      <w:r>
        <w:rPr>
          <w:bCs/>
          <w:i/>
          <w:sz w:val="24"/>
          <w:szCs w:val="24"/>
        </w:rPr>
        <w:tab/>
        <w:t>încăperi sau spaţii cu risc mijlociu de incendiu, dacă servesc la evacuarea utilizatorilor spaţiilor învecinate şi nu constituie singura lor cale de evacuare, situaţie în care a doua cale de evacuare poate fi constituită tot de un spaţiu cu risc mijlociu de incendiu dacă traseele sunt distincte şi separate între ele prin pereţi rezistenţi la foc minimum</w:t>
      </w:r>
      <w:r>
        <w:rPr>
          <w:b/>
          <w:i/>
          <w:sz w:val="24"/>
          <w:szCs w:val="24"/>
        </w:rPr>
        <w:t xml:space="preserve"> EI/REI 60</w:t>
      </w:r>
      <w:r>
        <w:rPr>
          <w:bCs/>
          <w:i/>
          <w:sz w:val="24"/>
          <w:szCs w:val="24"/>
        </w:rPr>
        <w:t xml:space="preserve"> iar golurile de circulaţie din aceştia sunt protejate cu elemente de închidere </w:t>
      </w:r>
      <w:r>
        <w:rPr>
          <w:b/>
          <w:i/>
          <w:sz w:val="24"/>
          <w:szCs w:val="24"/>
        </w:rPr>
        <w:t>EI</w:t>
      </w:r>
      <w:r>
        <w:rPr>
          <w:b/>
          <w:i/>
          <w:sz w:val="24"/>
          <w:szCs w:val="24"/>
          <w:vertAlign w:val="subscript"/>
        </w:rPr>
        <w:t>2</w:t>
      </w:r>
      <w:r>
        <w:rPr>
          <w:b/>
          <w:i/>
          <w:sz w:val="24"/>
          <w:szCs w:val="24"/>
        </w:rPr>
        <w:t>45-C5S</w:t>
      </w:r>
      <w:r>
        <w:rPr>
          <w:b/>
          <w:i/>
          <w:sz w:val="24"/>
          <w:szCs w:val="24"/>
          <w:vertAlign w:val="subscript"/>
        </w:rPr>
        <w:t>200</w:t>
      </w:r>
      <w:r>
        <w:rPr>
          <w:bCs/>
          <w:i/>
          <w:sz w:val="24"/>
          <w:szCs w:val="24"/>
        </w:rPr>
        <w:t>;</w:t>
      </w:r>
    </w:p>
    <w:p w14:paraId="4AD51983" w14:textId="77777777" w:rsidR="001C08A5" w:rsidRDefault="00000000">
      <w:pPr>
        <w:ind w:left="2160" w:firstLine="720"/>
        <w:jc w:val="both"/>
        <w:rPr>
          <w:bCs/>
          <w:i/>
          <w:sz w:val="24"/>
          <w:szCs w:val="24"/>
        </w:rPr>
      </w:pPr>
      <w:r>
        <w:rPr>
          <w:bCs/>
          <w:i/>
          <w:sz w:val="24"/>
          <w:szCs w:val="24"/>
        </w:rPr>
        <w:t>c)</w:t>
      </w:r>
      <w:r>
        <w:rPr>
          <w:bCs/>
          <w:i/>
          <w:sz w:val="24"/>
          <w:szCs w:val="24"/>
        </w:rPr>
        <w:tab/>
        <w:t xml:space="preserve">încăperi sau spaţii cu risc mare sau foarte mare de incendiu, dacă servesc la evacuarea utilizatorilor spaţiilor de producţie sau depozitare cu acelaşi risc de incendiu şi nu constituie singura lor posibilitate de evacuare. </w:t>
      </w:r>
    </w:p>
    <w:p w14:paraId="6C40961F" w14:textId="77777777" w:rsidR="001C08A5" w:rsidRDefault="001C08A5">
      <w:pPr>
        <w:jc w:val="both"/>
        <w:rPr>
          <w:bCs/>
          <w:i/>
          <w:sz w:val="24"/>
          <w:szCs w:val="24"/>
        </w:rPr>
      </w:pPr>
    </w:p>
    <w:p w14:paraId="04CC13CF" w14:textId="77777777" w:rsidR="001C08A5" w:rsidRDefault="00000000">
      <w:pPr>
        <w:numPr>
          <w:ilvl w:val="0"/>
          <w:numId w:val="96"/>
        </w:numPr>
        <w:tabs>
          <w:tab w:val="left" w:pos="426"/>
          <w:tab w:val="left" w:pos="993"/>
        </w:tabs>
        <w:jc w:val="both"/>
        <w:rPr>
          <w:b/>
          <w:bCs/>
          <w:i/>
          <w:sz w:val="24"/>
        </w:rPr>
      </w:pPr>
      <w:r>
        <w:rPr>
          <w:bCs/>
          <w:i/>
          <w:sz w:val="24"/>
        </w:rPr>
        <w:t xml:space="preserve">În construcţiile de producţie şi/sau depozitare, pot fi considerate căi de evacuare şi circulaţiile care trec prin încăperi sau spaţii cu riscuri de incendiu mai mici sau cel mult egale cu cel din care se evacuează utilizatorii. </w:t>
      </w:r>
    </w:p>
    <w:p w14:paraId="24209915" w14:textId="77777777" w:rsidR="001C08A5" w:rsidRDefault="00000000">
      <w:pPr>
        <w:jc w:val="center"/>
        <w:rPr>
          <w:rFonts w:eastAsia="Times New Roman"/>
          <w:i/>
          <w:sz w:val="24"/>
          <w:szCs w:val="24"/>
        </w:rPr>
      </w:pPr>
      <w:r>
        <w:rPr>
          <w:b/>
          <w:bCs/>
          <w:i/>
          <w:noProof/>
          <w:sz w:val="24"/>
          <w:szCs w:val="24"/>
        </w:rPr>
        <w:drawing>
          <wp:inline distT="0" distB="0" distL="114300" distR="114300" wp14:anchorId="3B54DEE1" wp14:editId="41F73D33">
            <wp:extent cx="5915025" cy="3931920"/>
            <wp:effectExtent l="0" t="0" r="9525" b="11430"/>
            <wp:docPr id="56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48"/>
                    <pic:cNvPicPr>
                      <a:picLocks noChangeAspect="1"/>
                    </pic:cNvPicPr>
                  </pic:nvPicPr>
                  <pic:blipFill>
                    <a:blip r:embed="rId508"/>
                    <a:srcRect l="13300" t="10215" r="8337" b="17330"/>
                    <a:stretch>
                      <a:fillRect/>
                    </a:stretch>
                  </pic:blipFill>
                  <pic:spPr>
                    <a:xfrm>
                      <a:off x="0" y="0"/>
                      <a:ext cx="5915025" cy="3931920"/>
                    </a:xfrm>
                    <a:prstGeom prst="rect">
                      <a:avLst/>
                    </a:prstGeom>
                    <a:noFill/>
                    <a:ln>
                      <a:noFill/>
                    </a:ln>
                  </pic:spPr>
                </pic:pic>
              </a:graphicData>
            </a:graphic>
          </wp:inline>
        </w:drawing>
      </w:r>
    </w:p>
    <w:p w14:paraId="119D8CE7" w14:textId="77777777" w:rsidR="001C08A5" w:rsidRDefault="00000000">
      <w:pPr>
        <w:pStyle w:val="Caption"/>
        <w:jc w:val="center"/>
      </w:pPr>
      <w:bookmarkStart w:id="9806" w:name="_Toc23688"/>
      <w:bookmarkStart w:id="9807" w:name="_Toc162360486"/>
      <w:bookmarkStart w:id="9808" w:name="_Toc18879"/>
      <w:bookmarkStart w:id="9809" w:name="_Toc142898643"/>
      <w:r>
        <w:t xml:space="preserve">Figura </w:t>
      </w:r>
      <w:r>
        <w:fldChar w:fldCharType="begin"/>
      </w:r>
      <w:r>
        <w:instrText xml:space="preserve"> SEQ Figura \* ARABIC </w:instrText>
      </w:r>
      <w:r>
        <w:fldChar w:fldCharType="separate"/>
      </w:r>
      <w:r>
        <w:t>262</w:t>
      </w:r>
      <w:r>
        <w:fldChar w:fldCharType="end"/>
      </w:r>
      <w:bookmarkStart w:id="9810" w:name="_Toc19296"/>
      <w:bookmarkStart w:id="9811" w:name="_Toc3169"/>
      <w:bookmarkStart w:id="9812" w:name="_Toc25352"/>
      <w:bookmarkStart w:id="9813" w:name="_Toc9289"/>
      <w:bookmarkStart w:id="9814" w:name="_Toc6847"/>
      <w:bookmarkStart w:id="9815" w:name="_Toc14574"/>
      <w:bookmarkStart w:id="9816" w:name="_Toc8734"/>
      <w:bookmarkStart w:id="9817" w:name="_Toc3521"/>
      <w:bookmarkStart w:id="9818" w:name="_Toc23653"/>
      <w:r>
        <w:t xml:space="preserve"> - Construcţie etajată, cu evacuare în două direcţii - principii evacuare parter</w:t>
      </w:r>
      <w:bookmarkEnd w:id="9806"/>
      <w:bookmarkEnd w:id="9807"/>
      <w:bookmarkEnd w:id="9808"/>
      <w:bookmarkEnd w:id="9809"/>
      <w:bookmarkEnd w:id="9810"/>
      <w:bookmarkEnd w:id="9811"/>
      <w:bookmarkEnd w:id="9812"/>
      <w:bookmarkEnd w:id="9813"/>
      <w:bookmarkEnd w:id="9814"/>
      <w:bookmarkEnd w:id="9815"/>
      <w:bookmarkEnd w:id="9816"/>
      <w:bookmarkEnd w:id="9817"/>
      <w:bookmarkEnd w:id="9818"/>
    </w:p>
    <w:p w14:paraId="64333E53" w14:textId="77777777" w:rsidR="001C08A5" w:rsidRDefault="00000000">
      <w:pPr>
        <w:suppressLineNumbers/>
        <w:spacing w:before="120" w:after="120"/>
        <w:jc w:val="center"/>
        <w:rPr>
          <w:rFonts w:cs="Mangal"/>
          <w:b/>
          <w:i/>
          <w:iCs/>
          <w:sz w:val="24"/>
          <w:szCs w:val="24"/>
        </w:rPr>
      </w:pPr>
      <w:r>
        <w:rPr>
          <w:rFonts w:cs="Mangal"/>
          <w:b/>
          <w:i/>
          <w:iCs/>
          <w:noProof/>
          <w:sz w:val="24"/>
          <w:szCs w:val="24"/>
        </w:rPr>
        <w:drawing>
          <wp:inline distT="0" distB="0" distL="114300" distR="114300" wp14:anchorId="44F3A7BE" wp14:editId="5276F22C">
            <wp:extent cx="5924550" cy="2139315"/>
            <wp:effectExtent l="0" t="0" r="0" b="13335"/>
            <wp:docPr id="56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49"/>
                    <pic:cNvPicPr>
                      <a:picLocks noChangeAspect="1"/>
                    </pic:cNvPicPr>
                  </pic:nvPicPr>
                  <pic:blipFill>
                    <a:blip r:embed="rId509"/>
                    <a:srcRect l="13300" t="29230" r="8211" b="31348"/>
                    <a:stretch>
                      <a:fillRect/>
                    </a:stretch>
                  </pic:blipFill>
                  <pic:spPr>
                    <a:xfrm>
                      <a:off x="0" y="0"/>
                      <a:ext cx="5924550" cy="2139315"/>
                    </a:xfrm>
                    <a:prstGeom prst="rect">
                      <a:avLst/>
                    </a:prstGeom>
                    <a:noFill/>
                    <a:ln>
                      <a:noFill/>
                    </a:ln>
                  </pic:spPr>
                </pic:pic>
              </a:graphicData>
            </a:graphic>
          </wp:inline>
        </w:drawing>
      </w:r>
    </w:p>
    <w:p w14:paraId="1CEAF023" w14:textId="77777777" w:rsidR="001C08A5" w:rsidRDefault="00000000">
      <w:pPr>
        <w:pStyle w:val="Caption"/>
        <w:jc w:val="center"/>
      </w:pPr>
      <w:bookmarkStart w:id="9819" w:name="_Toc162360487"/>
      <w:r>
        <w:t xml:space="preserve">Figura </w:t>
      </w:r>
      <w:r>
        <w:fldChar w:fldCharType="begin"/>
      </w:r>
      <w:r>
        <w:instrText xml:space="preserve"> SEQ Figura \* ARABIC </w:instrText>
      </w:r>
      <w:r>
        <w:fldChar w:fldCharType="separate"/>
      </w:r>
      <w:r>
        <w:t>263</w:t>
      </w:r>
      <w:r>
        <w:fldChar w:fldCharType="end"/>
      </w:r>
      <w:bookmarkStart w:id="9820" w:name="_Toc9652"/>
      <w:bookmarkStart w:id="9821" w:name="_Toc6970"/>
      <w:bookmarkStart w:id="9822" w:name="_Toc31940"/>
      <w:bookmarkStart w:id="9823" w:name="_Toc29676"/>
      <w:bookmarkStart w:id="9824" w:name="_Toc4395"/>
      <w:bookmarkStart w:id="9825" w:name="_Toc965"/>
      <w:bookmarkStart w:id="9826" w:name="_Toc5289"/>
      <w:bookmarkStart w:id="9827" w:name="_Toc22750"/>
      <w:bookmarkStart w:id="9828" w:name="_Toc10472"/>
      <w:r>
        <w:t xml:space="preserve"> - Evacuare birouri/ anexe prin spațiul în care sunt dispuse</w:t>
      </w:r>
      <w:bookmarkEnd w:id="9819"/>
      <w:bookmarkEnd w:id="9820"/>
      <w:bookmarkEnd w:id="9821"/>
      <w:bookmarkEnd w:id="9822"/>
      <w:bookmarkEnd w:id="9823"/>
      <w:bookmarkEnd w:id="9824"/>
      <w:bookmarkEnd w:id="9825"/>
      <w:bookmarkEnd w:id="9826"/>
      <w:bookmarkEnd w:id="9827"/>
      <w:bookmarkEnd w:id="9828"/>
    </w:p>
    <w:p w14:paraId="7C0B3D76" w14:textId="77777777" w:rsidR="001C08A5" w:rsidRDefault="00000000">
      <w:pPr>
        <w:pStyle w:val="Heading4"/>
        <w:ind w:left="0" w:firstLine="0"/>
        <w:rPr>
          <w:sz w:val="24"/>
          <w:szCs w:val="24"/>
        </w:rPr>
      </w:pPr>
      <w:bookmarkStart w:id="9829" w:name="_Toc16778"/>
      <w:bookmarkStart w:id="9830" w:name="_Toc3937"/>
      <w:bookmarkStart w:id="9831" w:name="_Toc31440"/>
      <w:bookmarkStart w:id="9832" w:name="_Toc27847"/>
      <w:bookmarkStart w:id="9833" w:name="_Toc162355490"/>
      <w:bookmarkStart w:id="9834" w:name="_Toc14947"/>
      <w:bookmarkStart w:id="9835" w:name="_Toc27435"/>
      <w:bookmarkStart w:id="9836" w:name="_Toc4812"/>
      <w:bookmarkStart w:id="9837" w:name="_Toc17148"/>
      <w:bookmarkStart w:id="9838" w:name="_Toc19075"/>
      <w:bookmarkStart w:id="9839" w:name="_Toc29349"/>
      <w:bookmarkStart w:id="9840" w:name="_Toc29707"/>
      <w:bookmarkStart w:id="9841" w:name="_Toc19493"/>
      <w:bookmarkStart w:id="9842" w:name="_Toc27131"/>
      <w:bookmarkStart w:id="9843" w:name="_Toc7375"/>
      <w:bookmarkStart w:id="9844" w:name="_Toc5268"/>
      <w:bookmarkStart w:id="9845" w:name="_Toc11553"/>
      <w:r>
        <w:rPr>
          <w:sz w:val="24"/>
          <w:szCs w:val="24"/>
        </w:rPr>
        <w:lastRenderedPageBreak/>
        <w:t>Scări de evacuare închise din construcţii de producţie şi/sau depozitare</w:t>
      </w:r>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p>
    <w:p w14:paraId="5641D466"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Scările de evacuare a utilizatorilor din construcţii de producţie şi/sau depozitare supraterane se separă faţă de restul construcţiei prin minimum:</w:t>
      </w:r>
    </w:p>
    <w:p w14:paraId="367E22B3" w14:textId="77777777" w:rsidR="001C08A5" w:rsidRDefault="00000000">
      <w:pPr>
        <w:ind w:left="1440" w:firstLine="720"/>
        <w:jc w:val="both"/>
        <w:rPr>
          <w:rFonts w:eastAsia="Times New Roman"/>
          <w:i/>
          <w:sz w:val="24"/>
          <w:szCs w:val="24"/>
        </w:rPr>
      </w:pPr>
      <w:r>
        <w:rPr>
          <w:rFonts w:eastAsia="Times New Roman"/>
          <w:i/>
          <w:sz w:val="24"/>
          <w:szCs w:val="24"/>
        </w:rPr>
        <w:t>a)</w:t>
      </w:r>
      <w:r>
        <w:rPr>
          <w:rFonts w:eastAsia="Times New Roman"/>
          <w:i/>
          <w:sz w:val="24"/>
          <w:szCs w:val="24"/>
        </w:rPr>
        <w:tab/>
        <w:t xml:space="preserve">pereți </w:t>
      </w:r>
      <w:r>
        <w:rPr>
          <w:rFonts w:eastAsia="Times New Roman"/>
          <w:b/>
          <w:bCs/>
          <w:i/>
          <w:sz w:val="24"/>
          <w:szCs w:val="24"/>
        </w:rPr>
        <w:t>EI/REI 180</w:t>
      </w:r>
      <w:r>
        <w:rPr>
          <w:rFonts w:eastAsia="Times New Roman"/>
          <w:i/>
          <w:sz w:val="24"/>
          <w:szCs w:val="24"/>
        </w:rPr>
        <w:t xml:space="preserve"> clasa de reacţie la foc </w:t>
      </w:r>
      <w:r>
        <w:rPr>
          <w:rFonts w:eastAsia="Times New Roman"/>
          <w:b/>
          <w:bCs/>
          <w:i/>
          <w:sz w:val="24"/>
          <w:szCs w:val="24"/>
        </w:rPr>
        <w:t>A1</w:t>
      </w:r>
      <w:r>
        <w:rPr>
          <w:rFonts w:eastAsia="Times New Roman"/>
          <w:i/>
          <w:sz w:val="24"/>
          <w:szCs w:val="24"/>
        </w:rPr>
        <w:t xml:space="preserve"> sau </w:t>
      </w:r>
      <w:r>
        <w:rPr>
          <w:rFonts w:eastAsia="Times New Roman"/>
          <w:b/>
          <w:bCs/>
          <w:i/>
          <w:sz w:val="24"/>
          <w:szCs w:val="24"/>
        </w:rPr>
        <w:t>A2-s1d0</w:t>
      </w:r>
      <w:r>
        <w:rPr>
          <w:rFonts w:eastAsia="Times New Roman"/>
          <w:i/>
          <w:sz w:val="24"/>
          <w:szCs w:val="24"/>
        </w:rPr>
        <w:t xml:space="preserve">, planșee </w:t>
      </w:r>
      <w:r>
        <w:rPr>
          <w:rFonts w:eastAsia="Times New Roman"/>
          <w:b/>
          <w:bCs/>
          <w:i/>
          <w:sz w:val="24"/>
          <w:szCs w:val="24"/>
        </w:rPr>
        <w:t>REI 90</w:t>
      </w:r>
      <w:r>
        <w:rPr>
          <w:rFonts w:eastAsia="Times New Roman"/>
          <w:i/>
          <w:sz w:val="24"/>
          <w:szCs w:val="24"/>
        </w:rPr>
        <w:t xml:space="preserve"> clasa de reacţie la foc </w:t>
      </w:r>
      <w:r>
        <w:rPr>
          <w:rFonts w:eastAsia="Times New Roman"/>
          <w:b/>
          <w:bCs/>
          <w:i/>
          <w:sz w:val="24"/>
          <w:szCs w:val="24"/>
        </w:rPr>
        <w:t>A1</w:t>
      </w:r>
      <w:r>
        <w:rPr>
          <w:rFonts w:eastAsia="Times New Roman"/>
          <w:i/>
          <w:sz w:val="24"/>
          <w:szCs w:val="24"/>
        </w:rPr>
        <w:t xml:space="preserve"> sau </w:t>
      </w:r>
      <w:r>
        <w:rPr>
          <w:rFonts w:eastAsia="Times New Roman"/>
          <w:b/>
          <w:bCs/>
          <w:i/>
          <w:sz w:val="24"/>
          <w:szCs w:val="24"/>
        </w:rPr>
        <w:t>A2-s1d0</w:t>
      </w:r>
      <w:r>
        <w:rPr>
          <w:rFonts w:eastAsia="Times New Roman"/>
          <w:i/>
          <w:sz w:val="24"/>
          <w:szCs w:val="24"/>
        </w:rPr>
        <w:t xml:space="preserve"> și uși conform </w:t>
      </w:r>
      <w:r>
        <w:rPr>
          <w:rFonts w:eastAsia="Times New Roman"/>
          <w:b/>
          <w:bCs/>
          <w:i/>
          <w:sz w:val="24"/>
          <w:szCs w:val="24"/>
        </w:rPr>
        <w:t>Art. 6.1.5.6. (1)</w:t>
      </w:r>
      <w:r>
        <w:rPr>
          <w:rFonts w:eastAsia="Times New Roman"/>
          <w:i/>
          <w:sz w:val="24"/>
          <w:szCs w:val="24"/>
        </w:rPr>
        <w:t xml:space="preserve"> și </w:t>
      </w:r>
      <w:r>
        <w:rPr>
          <w:rFonts w:eastAsia="Times New Roman"/>
          <w:b/>
          <w:bCs/>
          <w:i/>
          <w:sz w:val="24"/>
          <w:szCs w:val="24"/>
        </w:rPr>
        <w:t>(2)</w:t>
      </w:r>
      <w:r>
        <w:rPr>
          <w:rFonts w:eastAsia="Times New Roman"/>
          <w:i/>
          <w:sz w:val="24"/>
          <w:szCs w:val="24"/>
        </w:rPr>
        <w:t xml:space="preserve"> în construcţiile cu nivelul de stabilitate la incendiu </w:t>
      </w:r>
      <w:r>
        <w:rPr>
          <w:rFonts w:eastAsia="Times New Roman"/>
          <w:b/>
          <w:bCs/>
          <w:i/>
          <w:sz w:val="24"/>
          <w:szCs w:val="24"/>
        </w:rPr>
        <w:t>I</w:t>
      </w:r>
      <w:r>
        <w:rPr>
          <w:rFonts w:eastAsia="Times New Roman"/>
          <w:i/>
          <w:sz w:val="24"/>
          <w:szCs w:val="24"/>
        </w:rPr>
        <w:t>;</w:t>
      </w:r>
    </w:p>
    <w:p w14:paraId="2005F81C" w14:textId="77777777" w:rsidR="001C08A5" w:rsidRDefault="00000000">
      <w:pPr>
        <w:ind w:left="1440" w:firstLine="720"/>
        <w:jc w:val="both"/>
        <w:rPr>
          <w:rFonts w:eastAsia="Times New Roman"/>
          <w:i/>
          <w:sz w:val="24"/>
          <w:szCs w:val="24"/>
        </w:rPr>
      </w:pPr>
      <w:r>
        <w:rPr>
          <w:rFonts w:eastAsia="Times New Roman"/>
          <w:i/>
          <w:sz w:val="24"/>
          <w:szCs w:val="24"/>
        </w:rPr>
        <w:t>b)</w:t>
      </w:r>
      <w:r>
        <w:rPr>
          <w:rFonts w:eastAsia="Times New Roman"/>
          <w:i/>
          <w:sz w:val="24"/>
          <w:szCs w:val="24"/>
        </w:rPr>
        <w:tab/>
        <w:t xml:space="preserve">pereți </w:t>
      </w:r>
      <w:r>
        <w:rPr>
          <w:rFonts w:eastAsia="Times New Roman"/>
          <w:b/>
          <w:bCs/>
          <w:i/>
          <w:sz w:val="24"/>
          <w:szCs w:val="24"/>
        </w:rPr>
        <w:t>EI/REI 120</w:t>
      </w:r>
      <w:r>
        <w:rPr>
          <w:rFonts w:eastAsia="Times New Roman"/>
          <w:i/>
          <w:sz w:val="24"/>
          <w:szCs w:val="24"/>
        </w:rPr>
        <w:t xml:space="preserve"> clasa de reacţie la foc </w:t>
      </w:r>
      <w:r>
        <w:rPr>
          <w:rFonts w:eastAsia="Times New Roman"/>
          <w:b/>
          <w:bCs/>
          <w:i/>
          <w:sz w:val="24"/>
          <w:szCs w:val="24"/>
        </w:rPr>
        <w:t>A1</w:t>
      </w:r>
      <w:r>
        <w:rPr>
          <w:rFonts w:eastAsia="Times New Roman"/>
          <w:i/>
          <w:sz w:val="24"/>
          <w:szCs w:val="24"/>
        </w:rPr>
        <w:t xml:space="preserve"> sau </w:t>
      </w:r>
      <w:r>
        <w:rPr>
          <w:rFonts w:eastAsia="Times New Roman"/>
          <w:b/>
          <w:bCs/>
          <w:i/>
          <w:sz w:val="24"/>
          <w:szCs w:val="24"/>
        </w:rPr>
        <w:t>A2-s1d0</w:t>
      </w:r>
      <w:r>
        <w:rPr>
          <w:rFonts w:eastAsia="Times New Roman"/>
          <w:i/>
          <w:sz w:val="24"/>
          <w:szCs w:val="24"/>
        </w:rPr>
        <w:t xml:space="preserve">, planșee </w:t>
      </w:r>
      <w:r>
        <w:rPr>
          <w:rFonts w:eastAsia="Times New Roman"/>
          <w:b/>
          <w:bCs/>
          <w:i/>
          <w:sz w:val="24"/>
          <w:szCs w:val="24"/>
        </w:rPr>
        <w:t>REI 60</w:t>
      </w:r>
      <w:r>
        <w:rPr>
          <w:rFonts w:eastAsia="Times New Roman"/>
          <w:i/>
          <w:sz w:val="24"/>
          <w:szCs w:val="24"/>
        </w:rPr>
        <w:t xml:space="preserve"> clasa de reacţie la foc </w:t>
      </w:r>
      <w:r>
        <w:rPr>
          <w:rFonts w:eastAsia="Times New Roman"/>
          <w:b/>
          <w:bCs/>
          <w:i/>
          <w:sz w:val="24"/>
          <w:szCs w:val="24"/>
        </w:rPr>
        <w:t>A1</w:t>
      </w:r>
      <w:r>
        <w:rPr>
          <w:rFonts w:eastAsia="Times New Roman"/>
          <w:i/>
          <w:sz w:val="24"/>
          <w:szCs w:val="24"/>
        </w:rPr>
        <w:t xml:space="preserve"> sau </w:t>
      </w:r>
      <w:r>
        <w:rPr>
          <w:rFonts w:eastAsia="Times New Roman"/>
          <w:b/>
          <w:bCs/>
          <w:i/>
          <w:sz w:val="24"/>
          <w:szCs w:val="24"/>
        </w:rPr>
        <w:t>A2-s1d0</w:t>
      </w:r>
      <w:r>
        <w:rPr>
          <w:rFonts w:eastAsia="Times New Roman"/>
          <w:i/>
          <w:sz w:val="24"/>
          <w:szCs w:val="24"/>
        </w:rPr>
        <w:t xml:space="preserve"> și uși conform </w:t>
      </w:r>
      <w:r>
        <w:rPr>
          <w:rFonts w:eastAsia="Times New Roman"/>
          <w:b/>
          <w:bCs/>
          <w:i/>
          <w:sz w:val="24"/>
          <w:szCs w:val="24"/>
        </w:rPr>
        <w:t>Art. 6.1.5.6. (1)</w:t>
      </w:r>
      <w:r>
        <w:rPr>
          <w:rFonts w:eastAsia="Times New Roman"/>
          <w:i/>
          <w:sz w:val="24"/>
          <w:szCs w:val="24"/>
        </w:rPr>
        <w:t xml:space="preserve"> și </w:t>
      </w:r>
      <w:r>
        <w:rPr>
          <w:rFonts w:eastAsia="Times New Roman"/>
          <w:b/>
          <w:bCs/>
          <w:i/>
          <w:sz w:val="24"/>
          <w:szCs w:val="24"/>
        </w:rPr>
        <w:t>(2)</w:t>
      </w:r>
      <w:r>
        <w:rPr>
          <w:rFonts w:eastAsia="Times New Roman"/>
          <w:i/>
          <w:sz w:val="24"/>
          <w:szCs w:val="24"/>
        </w:rPr>
        <w:t xml:space="preserve"> în construcţiile cu nivelul de stabilitate la incendiu </w:t>
      </w:r>
      <w:r>
        <w:rPr>
          <w:rFonts w:eastAsia="Times New Roman"/>
          <w:b/>
          <w:bCs/>
          <w:i/>
          <w:sz w:val="24"/>
          <w:szCs w:val="24"/>
        </w:rPr>
        <w:t>II</w:t>
      </w:r>
      <w:r>
        <w:rPr>
          <w:rFonts w:eastAsia="Times New Roman"/>
          <w:i/>
          <w:sz w:val="24"/>
          <w:szCs w:val="24"/>
        </w:rPr>
        <w:t>;</w:t>
      </w:r>
    </w:p>
    <w:p w14:paraId="200BFDCD" w14:textId="77777777" w:rsidR="001C08A5" w:rsidRDefault="00000000">
      <w:pPr>
        <w:ind w:left="1440" w:firstLine="720"/>
        <w:jc w:val="both"/>
        <w:rPr>
          <w:rFonts w:eastAsia="Times New Roman"/>
          <w:i/>
          <w:sz w:val="24"/>
          <w:szCs w:val="24"/>
        </w:rPr>
      </w:pPr>
      <w:r>
        <w:rPr>
          <w:rFonts w:eastAsia="Times New Roman"/>
          <w:i/>
          <w:sz w:val="24"/>
          <w:szCs w:val="24"/>
        </w:rPr>
        <w:t>c)</w:t>
      </w:r>
      <w:r>
        <w:rPr>
          <w:rFonts w:eastAsia="Times New Roman"/>
          <w:i/>
          <w:sz w:val="24"/>
          <w:szCs w:val="24"/>
        </w:rPr>
        <w:tab/>
        <w:t xml:space="preserve">pereți </w:t>
      </w:r>
      <w:r>
        <w:rPr>
          <w:rFonts w:eastAsia="Times New Roman"/>
          <w:b/>
          <w:bCs/>
          <w:i/>
          <w:sz w:val="24"/>
          <w:szCs w:val="24"/>
        </w:rPr>
        <w:t>EI/REI 90</w:t>
      </w:r>
      <w:r>
        <w:rPr>
          <w:rFonts w:eastAsia="Times New Roman"/>
          <w:i/>
          <w:sz w:val="24"/>
          <w:szCs w:val="24"/>
        </w:rPr>
        <w:t xml:space="preserve"> clasa de reacţie la foc </w:t>
      </w:r>
      <w:r>
        <w:rPr>
          <w:rFonts w:eastAsia="Times New Roman"/>
          <w:b/>
          <w:bCs/>
          <w:i/>
          <w:sz w:val="24"/>
          <w:szCs w:val="24"/>
        </w:rPr>
        <w:t>A1</w:t>
      </w:r>
      <w:r>
        <w:rPr>
          <w:rFonts w:eastAsia="Times New Roman"/>
          <w:i/>
          <w:sz w:val="24"/>
          <w:szCs w:val="24"/>
        </w:rPr>
        <w:t xml:space="preserve"> sau </w:t>
      </w:r>
      <w:r>
        <w:rPr>
          <w:rFonts w:eastAsia="Times New Roman"/>
          <w:b/>
          <w:bCs/>
          <w:i/>
          <w:sz w:val="24"/>
          <w:szCs w:val="24"/>
        </w:rPr>
        <w:t>A2-s1d0</w:t>
      </w:r>
      <w:r>
        <w:rPr>
          <w:rFonts w:eastAsia="Times New Roman"/>
          <w:i/>
          <w:sz w:val="24"/>
          <w:szCs w:val="24"/>
        </w:rPr>
        <w:t xml:space="preserve">, planșee </w:t>
      </w:r>
      <w:r>
        <w:rPr>
          <w:rFonts w:eastAsia="Times New Roman"/>
          <w:b/>
          <w:bCs/>
          <w:i/>
          <w:sz w:val="24"/>
          <w:szCs w:val="24"/>
        </w:rPr>
        <w:t>REI 45</w:t>
      </w:r>
      <w:r>
        <w:rPr>
          <w:rFonts w:eastAsia="Times New Roman"/>
          <w:i/>
          <w:sz w:val="24"/>
          <w:szCs w:val="24"/>
        </w:rPr>
        <w:t xml:space="preserve"> clasa de reacţie la foc</w:t>
      </w:r>
      <w:r>
        <w:rPr>
          <w:rFonts w:eastAsia="Times New Roman"/>
          <w:b/>
          <w:bCs/>
          <w:i/>
          <w:sz w:val="24"/>
          <w:szCs w:val="24"/>
        </w:rPr>
        <w:t xml:space="preserve"> A1</w:t>
      </w:r>
      <w:r>
        <w:rPr>
          <w:rFonts w:eastAsia="Times New Roman"/>
          <w:i/>
          <w:sz w:val="24"/>
          <w:szCs w:val="24"/>
        </w:rPr>
        <w:t xml:space="preserve"> sau </w:t>
      </w:r>
      <w:r>
        <w:rPr>
          <w:rFonts w:eastAsia="Times New Roman"/>
          <w:b/>
          <w:bCs/>
          <w:i/>
          <w:sz w:val="24"/>
          <w:szCs w:val="24"/>
        </w:rPr>
        <w:t>A2-s1d0</w:t>
      </w:r>
      <w:r>
        <w:rPr>
          <w:rFonts w:eastAsia="Times New Roman"/>
          <w:i/>
          <w:sz w:val="24"/>
          <w:szCs w:val="24"/>
        </w:rPr>
        <w:t xml:space="preserve"> și uși conform </w:t>
      </w:r>
      <w:r>
        <w:rPr>
          <w:rFonts w:eastAsia="Times New Roman"/>
          <w:b/>
          <w:bCs/>
          <w:i/>
          <w:sz w:val="24"/>
          <w:szCs w:val="24"/>
        </w:rPr>
        <w:t>Art. 6.1.5.6. (1)</w:t>
      </w:r>
      <w:r>
        <w:rPr>
          <w:rFonts w:eastAsia="Times New Roman"/>
          <w:i/>
          <w:sz w:val="24"/>
          <w:szCs w:val="24"/>
        </w:rPr>
        <w:t xml:space="preserve"> și </w:t>
      </w:r>
      <w:r>
        <w:rPr>
          <w:rFonts w:eastAsia="Times New Roman"/>
          <w:b/>
          <w:bCs/>
          <w:i/>
          <w:sz w:val="24"/>
          <w:szCs w:val="24"/>
        </w:rPr>
        <w:t>(2)</w:t>
      </w:r>
      <w:r>
        <w:rPr>
          <w:rFonts w:eastAsia="Times New Roman"/>
          <w:i/>
          <w:sz w:val="24"/>
          <w:szCs w:val="24"/>
        </w:rPr>
        <w:t xml:space="preserve"> în construcţiile cu nivelul de stabilitate la incendiu </w:t>
      </w:r>
      <w:r>
        <w:rPr>
          <w:rFonts w:eastAsia="Times New Roman"/>
          <w:b/>
          <w:bCs/>
          <w:i/>
          <w:sz w:val="24"/>
          <w:szCs w:val="24"/>
        </w:rPr>
        <w:t>III</w:t>
      </w:r>
      <w:r>
        <w:rPr>
          <w:rFonts w:eastAsia="Times New Roman"/>
          <w:i/>
          <w:sz w:val="24"/>
          <w:szCs w:val="24"/>
        </w:rPr>
        <w:t>;</w:t>
      </w:r>
    </w:p>
    <w:p w14:paraId="07145AB9" w14:textId="77777777" w:rsidR="001C08A5" w:rsidRDefault="00000000">
      <w:pPr>
        <w:ind w:left="1440" w:firstLine="720"/>
        <w:jc w:val="both"/>
        <w:rPr>
          <w:rFonts w:eastAsia="Times New Roman"/>
          <w:i/>
          <w:sz w:val="24"/>
          <w:szCs w:val="24"/>
        </w:rPr>
      </w:pPr>
      <w:r>
        <w:rPr>
          <w:rFonts w:eastAsia="Times New Roman"/>
          <w:i/>
          <w:sz w:val="24"/>
          <w:szCs w:val="24"/>
        </w:rPr>
        <w:t>d)</w:t>
      </w:r>
      <w:r>
        <w:rPr>
          <w:rFonts w:eastAsia="Times New Roman"/>
          <w:i/>
          <w:sz w:val="24"/>
          <w:szCs w:val="24"/>
        </w:rPr>
        <w:tab/>
        <w:t xml:space="preserve">pereți </w:t>
      </w:r>
      <w:r>
        <w:rPr>
          <w:rFonts w:eastAsia="Times New Roman"/>
          <w:b/>
          <w:bCs/>
          <w:i/>
          <w:sz w:val="24"/>
          <w:szCs w:val="24"/>
        </w:rPr>
        <w:t>EI/REI 45</w:t>
      </w:r>
      <w:r>
        <w:rPr>
          <w:rFonts w:eastAsia="Times New Roman"/>
          <w:i/>
          <w:sz w:val="24"/>
          <w:szCs w:val="24"/>
        </w:rPr>
        <w:t xml:space="preserve"> clasa de reacţie la foc </w:t>
      </w:r>
      <w:r>
        <w:rPr>
          <w:rFonts w:eastAsia="Times New Roman"/>
          <w:b/>
          <w:bCs/>
          <w:i/>
          <w:sz w:val="24"/>
          <w:szCs w:val="24"/>
        </w:rPr>
        <w:t>A1</w:t>
      </w:r>
      <w:r>
        <w:rPr>
          <w:rFonts w:eastAsia="Times New Roman"/>
          <w:i/>
          <w:sz w:val="24"/>
          <w:szCs w:val="24"/>
        </w:rPr>
        <w:t xml:space="preserve">, </w:t>
      </w:r>
      <w:r>
        <w:rPr>
          <w:rFonts w:eastAsia="Times New Roman"/>
          <w:b/>
          <w:bCs/>
          <w:i/>
          <w:sz w:val="24"/>
          <w:szCs w:val="24"/>
        </w:rPr>
        <w:t>A2-s1d0</w:t>
      </w:r>
      <w:r>
        <w:rPr>
          <w:rFonts w:eastAsia="Times New Roman"/>
          <w:i/>
          <w:sz w:val="24"/>
          <w:szCs w:val="24"/>
        </w:rPr>
        <w:t xml:space="preserve"> sau </w:t>
      </w:r>
      <w:r>
        <w:rPr>
          <w:rFonts w:eastAsia="Times New Roman"/>
          <w:b/>
          <w:bCs/>
          <w:i/>
          <w:sz w:val="24"/>
          <w:szCs w:val="24"/>
        </w:rPr>
        <w:t>B-s1d0</w:t>
      </w:r>
      <w:r>
        <w:rPr>
          <w:rFonts w:eastAsia="Times New Roman"/>
          <w:i/>
          <w:sz w:val="24"/>
          <w:szCs w:val="24"/>
        </w:rPr>
        <w:t xml:space="preserve">, planșee </w:t>
      </w:r>
      <w:r>
        <w:rPr>
          <w:rFonts w:eastAsia="Times New Roman"/>
          <w:b/>
          <w:bCs/>
          <w:i/>
          <w:sz w:val="24"/>
          <w:szCs w:val="24"/>
        </w:rPr>
        <w:t>REI 30</w:t>
      </w:r>
      <w:r>
        <w:rPr>
          <w:rFonts w:eastAsia="Times New Roman"/>
          <w:i/>
          <w:sz w:val="24"/>
          <w:szCs w:val="24"/>
        </w:rPr>
        <w:t xml:space="preserve"> clasa de reacţie la foc </w:t>
      </w:r>
      <w:r>
        <w:rPr>
          <w:rFonts w:eastAsia="Times New Roman"/>
          <w:b/>
          <w:bCs/>
          <w:i/>
          <w:sz w:val="24"/>
          <w:szCs w:val="24"/>
        </w:rPr>
        <w:t>A1</w:t>
      </w:r>
      <w:r>
        <w:rPr>
          <w:rFonts w:eastAsia="Times New Roman"/>
          <w:i/>
          <w:sz w:val="24"/>
          <w:szCs w:val="24"/>
        </w:rPr>
        <w:t xml:space="preserve">, </w:t>
      </w:r>
      <w:r>
        <w:rPr>
          <w:rFonts w:eastAsia="Times New Roman"/>
          <w:b/>
          <w:bCs/>
          <w:i/>
          <w:sz w:val="24"/>
          <w:szCs w:val="24"/>
        </w:rPr>
        <w:t>A2-s1d0</w:t>
      </w:r>
      <w:r>
        <w:rPr>
          <w:rFonts w:eastAsia="Times New Roman"/>
          <w:i/>
          <w:sz w:val="24"/>
          <w:szCs w:val="24"/>
        </w:rPr>
        <w:t xml:space="preserve"> sau </w:t>
      </w:r>
      <w:r>
        <w:rPr>
          <w:rFonts w:eastAsia="Times New Roman"/>
          <w:b/>
          <w:bCs/>
          <w:i/>
          <w:sz w:val="24"/>
          <w:szCs w:val="24"/>
        </w:rPr>
        <w:t>B-s1d0</w:t>
      </w:r>
      <w:r>
        <w:rPr>
          <w:rFonts w:eastAsia="Times New Roman"/>
          <w:i/>
          <w:sz w:val="24"/>
          <w:szCs w:val="24"/>
        </w:rPr>
        <w:t xml:space="preserve"> și uși conform </w:t>
      </w:r>
      <w:r>
        <w:rPr>
          <w:rFonts w:eastAsia="Times New Roman"/>
          <w:b/>
          <w:bCs/>
          <w:i/>
          <w:sz w:val="24"/>
          <w:szCs w:val="24"/>
        </w:rPr>
        <w:t>Art. 6.1.5.6. (1)</w:t>
      </w:r>
      <w:r>
        <w:rPr>
          <w:rFonts w:eastAsia="Times New Roman"/>
          <w:i/>
          <w:sz w:val="24"/>
          <w:szCs w:val="24"/>
        </w:rPr>
        <w:t xml:space="preserve"> și </w:t>
      </w:r>
      <w:r>
        <w:rPr>
          <w:rFonts w:eastAsia="Times New Roman"/>
          <w:b/>
          <w:bCs/>
          <w:i/>
          <w:sz w:val="24"/>
          <w:szCs w:val="24"/>
        </w:rPr>
        <w:t>(2)</w:t>
      </w:r>
      <w:r>
        <w:rPr>
          <w:rFonts w:eastAsia="Times New Roman"/>
          <w:i/>
          <w:sz w:val="24"/>
          <w:szCs w:val="24"/>
        </w:rPr>
        <w:t xml:space="preserve"> în construcţiile cu nivelul de stabilitate la incendiu </w:t>
      </w:r>
      <w:r>
        <w:rPr>
          <w:rFonts w:eastAsia="Times New Roman"/>
          <w:b/>
          <w:bCs/>
          <w:i/>
          <w:sz w:val="24"/>
          <w:szCs w:val="24"/>
        </w:rPr>
        <w:t>IV</w:t>
      </w:r>
      <w:r>
        <w:rPr>
          <w:rFonts w:eastAsia="Times New Roman"/>
          <w:i/>
          <w:sz w:val="24"/>
          <w:szCs w:val="24"/>
        </w:rPr>
        <w:t>;</w:t>
      </w:r>
    </w:p>
    <w:p w14:paraId="32E915FE" w14:textId="77777777" w:rsidR="001C08A5" w:rsidRDefault="00000000">
      <w:pPr>
        <w:ind w:left="1440" w:firstLine="720"/>
        <w:jc w:val="both"/>
        <w:rPr>
          <w:rFonts w:eastAsia="Times New Roman"/>
          <w:i/>
          <w:sz w:val="24"/>
          <w:szCs w:val="24"/>
        </w:rPr>
      </w:pPr>
      <w:r>
        <w:rPr>
          <w:rFonts w:eastAsia="Times New Roman"/>
          <w:i/>
          <w:sz w:val="24"/>
          <w:szCs w:val="24"/>
        </w:rPr>
        <w:t>e)</w:t>
      </w:r>
      <w:r>
        <w:rPr>
          <w:rFonts w:eastAsia="Times New Roman"/>
          <w:i/>
          <w:sz w:val="24"/>
          <w:szCs w:val="24"/>
        </w:rPr>
        <w:tab/>
        <w:t xml:space="preserve">pereți </w:t>
      </w:r>
      <w:r>
        <w:rPr>
          <w:rFonts w:eastAsia="Times New Roman"/>
          <w:b/>
          <w:bCs/>
          <w:i/>
          <w:sz w:val="24"/>
          <w:szCs w:val="24"/>
        </w:rPr>
        <w:t>EI/REI 30</w:t>
      </w:r>
      <w:r>
        <w:rPr>
          <w:rFonts w:eastAsia="Times New Roman"/>
          <w:i/>
          <w:sz w:val="24"/>
          <w:szCs w:val="24"/>
        </w:rPr>
        <w:t xml:space="preserve"> clasa de reacţie la foc </w:t>
      </w:r>
      <w:r>
        <w:rPr>
          <w:rFonts w:eastAsia="Times New Roman"/>
          <w:b/>
          <w:bCs/>
          <w:i/>
          <w:sz w:val="24"/>
          <w:szCs w:val="24"/>
        </w:rPr>
        <w:t>A1, A2-s1d0, B-s1d0</w:t>
      </w:r>
      <w:r>
        <w:rPr>
          <w:rFonts w:eastAsia="Times New Roman"/>
          <w:i/>
          <w:sz w:val="24"/>
          <w:szCs w:val="24"/>
        </w:rPr>
        <w:t xml:space="preserve"> sau </w:t>
      </w:r>
      <w:r>
        <w:rPr>
          <w:rFonts w:eastAsia="Times New Roman"/>
          <w:b/>
          <w:bCs/>
          <w:i/>
          <w:sz w:val="24"/>
          <w:szCs w:val="24"/>
        </w:rPr>
        <w:t>C-s1d0</w:t>
      </w:r>
      <w:r>
        <w:rPr>
          <w:rFonts w:eastAsia="Times New Roman"/>
          <w:i/>
          <w:sz w:val="24"/>
          <w:szCs w:val="24"/>
        </w:rPr>
        <w:t xml:space="preserve">, planșee </w:t>
      </w:r>
      <w:r>
        <w:rPr>
          <w:rFonts w:eastAsia="Times New Roman"/>
          <w:b/>
          <w:bCs/>
          <w:i/>
          <w:sz w:val="24"/>
          <w:szCs w:val="24"/>
        </w:rPr>
        <w:t>REI 15</w:t>
      </w:r>
      <w:r>
        <w:rPr>
          <w:rFonts w:eastAsia="Times New Roman"/>
          <w:i/>
          <w:sz w:val="24"/>
          <w:szCs w:val="24"/>
        </w:rPr>
        <w:t xml:space="preserve"> clasa de reacţie la foc </w:t>
      </w:r>
      <w:r>
        <w:rPr>
          <w:rFonts w:eastAsia="Times New Roman"/>
          <w:b/>
          <w:bCs/>
          <w:i/>
          <w:sz w:val="24"/>
          <w:szCs w:val="24"/>
        </w:rPr>
        <w:t>A1, A2-s1d0, B-s1d0</w:t>
      </w:r>
      <w:r>
        <w:rPr>
          <w:rFonts w:eastAsia="Times New Roman"/>
          <w:i/>
          <w:sz w:val="24"/>
          <w:szCs w:val="24"/>
        </w:rPr>
        <w:t xml:space="preserve"> sau </w:t>
      </w:r>
      <w:r>
        <w:rPr>
          <w:rFonts w:eastAsia="Times New Roman"/>
          <w:b/>
          <w:bCs/>
          <w:i/>
          <w:sz w:val="24"/>
          <w:szCs w:val="24"/>
        </w:rPr>
        <w:t>C-s1d0</w:t>
      </w:r>
      <w:r>
        <w:rPr>
          <w:rFonts w:eastAsia="Times New Roman"/>
          <w:i/>
          <w:sz w:val="24"/>
          <w:szCs w:val="24"/>
        </w:rPr>
        <w:t xml:space="preserve"> și uși conform </w:t>
      </w:r>
      <w:r>
        <w:rPr>
          <w:rFonts w:eastAsia="Times New Roman"/>
          <w:b/>
          <w:bCs/>
          <w:i/>
          <w:sz w:val="24"/>
          <w:szCs w:val="24"/>
        </w:rPr>
        <w:t>Art. 6.1.5.6. (1)</w:t>
      </w:r>
      <w:r>
        <w:rPr>
          <w:rFonts w:eastAsia="Times New Roman"/>
          <w:i/>
          <w:sz w:val="24"/>
          <w:szCs w:val="24"/>
        </w:rPr>
        <w:t xml:space="preserve"> și </w:t>
      </w:r>
      <w:r>
        <w:rPr>
          <w:rFonts w:eastAsia="Times New Roman"/>
          <w:b/>
          <w:bCs/>
          <w:i/>
          <w:sz w:val="24"/>
          <w:szCs w:val="24"/>
        </w:rPr>
        <w:t>(2)</w:t>
      </w:r>
      <w:r>
        <w:rPr>
          <w:rFonts w:eastAsia="Times New Roman"/>
          <w:i/>
          <w:sz w:val="24"/>
          <w:szCs w:val="24"/>
        </w:rPr>
        <w:t xml:space="preserve"> în construcţiile cu nivelul de stabilitate la incendiu </w:t>
      </w:r>
      <w:r>
        <w:rPr>
          <w:rFonts w:eastAsia="Times New Roman"/>
          <w:b/>
          <w:bCs/>
          <w:i/>
          <w:sz w:val="24"/>
          <w:szCs w:val="24"/>
        </w:rPr>
        <w:t>V</w:t>
      </w:r>
      <w:r>
        <w:rPr>
          <w:rFonts w:eastAsia="Times New Roman"/>
          <w:i/>
          <w:sz w:val="24"/>
          <w:szCs w:val="24"/>
        </w:rPr>
        <w:t>;</w:t>
      </w:r>
    </w:p>
    <w:p w14:paraId="32FD8040" w14:textId="77777777" w:rsidR="001C08A5" w:rsidRDefault="001C08A5">
      <w:pPr>
        <w:jc w:val="both"/>
        <w:rPr>
          <w:rFonts w:eastAsia="Times New Roman"/>
          <w:i/>
          <w:sz w:val="24"/>
          <w:szCs w:val="24"/>
        </w:rPr>
      </w:pPr>
    </w:p>
    <w:p w14:paraId="422DDBF6"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Podestele, rampele şi grinzile scărilor interioare de evacuare vor îndeplini condiţiile de comportare la foc stabilite la Art. 2.4.2.5. şi Art. 2.4.2.6.</w:t>
      </w:r>
    </w:p>
    <w:p w14:paraId="745C357F" w14:textId="77777777" w:rsidR="001C08A5" w:rsidRDefault="00000000">
      <w:pPr>
        <w:jc w:val="center"/>
        <w:rPr>
          <w:i/>
          <w:sz w:val="24"/>
          <w:szCs w:val="24"/>
        </w:rPr>
      </w:pPr>
      <w:bookmarkStart w:id="9846" w:name="_Toc142898644"/>
      <w:bookmarkStart w:id="9847" w:name="_Toc23624"/>
      <w:bookmarkStart w:id="9848" w:name="_Toc28086"/>
      <w:r>
        <w:rPr>
          <w:i/>
          <w:noProof/>
          <w:sz w:val="24"/>
          <w:szCs w:val="24"/>
          <w:lang w:eastAsia="ro-RO"/>
        </w:rPr>
        <w:drawing>
          <wp:inline distT="0" distB="0" distL="114300" distR="114300" wp14:anchorId="38356D22" wp14:editId="74A88172">
            <wp:extent cx="3075940" cy="1506855"/>
            <wp:effectExtent l="0" t="0" r="10160" b="17145"/>
            <wp:docPr id="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9"/>
                    <pic:cNvPicPr>
                      <a:picLocks noChangeAspect="1"/>
                    </pic:cNvPicPr>
                  </pic:nvPicPr>
                  <pic:blipFill>
                    <a:blip r:embed="rId510"/>
                    <a:srcRect l="32100" t="6570" r="27173" b="68607"/>
                    <a:stretch>
                      <a:fillRect/>
                    </a:stretch>
                  </pic:blipFill>
                  <pic:spPr>
                    <a:xfrm>
                      <a:off x="0" y="0"/>
                      <a:ext cx="3075940" cy="1506855"/>
                    </a:xfrm>
                    <a:prstGeom prst="rect">
                      <a:avLst/>
                    </a:prstGeom>
                    <a:noFill/>
                    <a:ln>
                      <a:noFill/>
                    </a:ln>
                  </pic:spPr>
                </pic:pic>
              </a:graphicData>
            </a:graphic>
          </wp:inline>
        </w:drawing>
      </w:r>
    </w:p>
    <w:p w14:paraId="107D2DC5" w14:textId="77777777" w:rsidR="001C08A5" w:rsidRDefault="00000000">
      <w:pPr>
        <w:jc w:val="center"/>
        <w:rPr>
          <w:i/>
          <w:sz w:val="24"/>
          <w:szCs w:val="24"/>
        </w:rPr>
      </w:pPr>
      <w:r>
        <w:rPr>
          <w:b/>
          <w:bCs/>
          <w:i/>
          <w:sz w:val="24"/>
          <w:szCs w:val="24"/>
        </w:rPr>
        <w:t>Varianta a) - construcție cu nivel de stabilitate la incendiu I</w:t>
      </w:r>
    </w:p>
    <w:p w14:paraId="2D518FF2" w14:textId="77777777" w:rsidR="001C08A5" w:rsidRDefault="00000000">
      <w:pPr>
        <w:jc w:val="center"/>
        <w:rPr>
          <w:i/>
          <w:sz w:val="24"/>
          <w:szCs w:val="24"/>
        </w:rPr>
      </w:pPr>
      <w:r>
        <w:rPr>
          <w:i/>
          <w:noProof/>
          <w:sz w:val="24"/>
          <w:szCs w:val="24"/>
          <w:lang w:eastAsia="ro-RO"/>
        </w:rPr>
        <w:drawing>
          <wp:inline distT="0" distB="0" distL="114300" distR="114300" wp14:anchorId="7F7AF948" wp14:editId="2BBA3D90">
            <wp:extent cx="3075940" cy="1489710"/>
            <wp:effectExtent l="0" t="0" r="10160" b="15240"/>
            <wp:docPr id="3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9"/>
                    <pic:cNvPicPr>
                      <a:picLocks noChangeAspect="1"/>
                    </pic:cNvPicPr>
                  </pic:nvPicPr>
                  <pic:blipFill>
                    <a:blip r:embed="rId510"/>
                    <a:srcRect l="32100" t="37096" r="27173" b="38362"/>
                    <a:stretch>
                      <a:fillRect/>
                    </a:stretch>
                  </pic:blipFill>
                  <pic:spPr>
                    <a:xfrm>
                      <a:off x="0" y="0"/>
                      <a:ext cx="3075940" cy="1489710"/>
                    </a:xfrm>
                    <a:prstGeom prst="rect">
                      <a:avLst/>
                    </a:prstGeom>
                    <a:noFill/>
                    <a:ln>
                      <a:noFill/>
                    </a:ln>
                  </pic:spPr>
                </pic:pic>
              </a:graphicData>
            </a:graphic>
          </wp:inline>
        </w:drawing>
      </w:r>
    </w:p>
    <w:p w14:paraId="2D0C054A" w14:textId="77777777" w:rsidR="001C08A5" w:rsidRDefault="00000000">
      <w:pPr>
        <w:jc w:val="center"/>
        <w:rPr>
          <w:i/>
          <w:sz w:val="24"/>
          <w:szCs w:val="24"/>
        </w:rPr>
      </w:pPr>
      <w:r>
        <w:rPr>
          <w:b/>
          <w:bCs/>
          <w:i/>
          <w:sz w:val="24"/>
          <w:szCs w:val="24"/>
        </w:rPr>
        <w:t>Varianta b) - construcție cu nivel de stabilitate la incendiu II</w:t>
      </w:r>
    </w:p>
    <w:p w14:paraId="4133C192" w14:textId="77777777" w:rsidR="001C08A5" w:rsidRDefault="00000000">
      <w:pPr>
        <w:jc w:val="center"/>
        <w:rPr>
          <w:i/>
          <w:sz w:val="24"/>
          <w:szCs w:val="24"/>
        </w:rPr>
      </w:pPr>
      <w:r>
        <w:rPr>
          <w:i/>
          <w:noProof/>
          <w:sz w:val="24"/>
          <w:szCs w:val="24"/>
          <w:lang w:eastAsia="ro-RO"/>
        </w:rPr>
        <w:drawing>
          <wp:inline distT="0" distB="0" distL="114300" distR="114300" wp14:anchorId="22D88146" wp14:editId="66E42A9A">
            <wp:extent cx="3075940" cy="1524000"/>
            <wp:effectExtent l="0" t="0" r="10160" b="0"/>
            <wp:docPr id="35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51"/>
                    <pic:cNvPicPr>
                      <a:picLocks noChangeAspect="1"/>
                    </pic:cNvPicPr>
                  </pic:nvPicPr>
                  <pic:blipFill>
                    <a:blip r:embed="rId511"/>
                    <a:srcRect l="32100" t="3996" r="27173" b="70897"/>
                    <a:stretch>
                      <a:fillRect/>
                    </a:stretch>
                  </pic:blipFill>
                  <pic:spPr>
                    <a:xfrm>
                      <a:off x="0" y="0"/>
                      <a:ext cx="3075940" cy="1524000"/>
                    </a:xfrm>
                    <a:prstGeom prst="rect">
                      <a:avLst/>
                    </a:prstGeom>
                    <a:noFill/>
                    <a:ln>
                      <a:noFill/>
                    </a:ln>
                  </pic:spPr>
                </pic:pic>
              </a:graphicData>
            </a:graphic>
          </wp:inline>
        </w:drawing>
      </w:r>
    </w:p>
    <w:p w14:paraId="7995E822" w14:textId="77777777" w:rsidR="001C08A5" w:rsidRDefault="00000000">
      <w:pPr>
        <w:jc w:val="center"/>
        <w:rPr>
          <w:i/>
          <w:sz w:val="24"/>
          <w:szCs w:val="24"/>
        </w:rPr>
      </w:pPr>
      <w:r>
        <w:rPr>
          <w:b/>
          <w:bCs/>
          <w:i/>
          <w:sz w:val="24"/>
          <w:szCs w:val="24"/>
        </w:rPr>
        <w:t>Varianta c) - construcție cu nivel de stabilitate la incendiu III</w:t>
      </w:r>
    </w:p>
    <w:p w14:paraId="06F7685A" w14:textId="77777777" w:rsidR="001C08A5" w:rsidRDefault="00000000">
      <w:pPr>
        <w:jc w:val="center"/>
        <w:rPr>
          <w:i/>
          <w:sz w:val="24"/>
          <w:szCs w:val="24"/>
        </w:rPr>
      </w:pPr>
      <w:r>
        <w:rPr>
          <w:i/>
          <w:noProof/>
          <w:sz w:val="24"/>
          <w:szCs w:val="24"/>
          <w:lang w:eastAsia="ro-RO"/>
        </w:rPr>
        <w:lastRenderedPageBreak/>
        <w:drawing>
          <wp:inline distT="0" distB="0" distL="114300" distR="114300" wp14:anchorId="5A433D6C" wp14:editId="60982C27">
            <wp:extent cx="3075940" cy="1498600"/>
            <wp:effectExtent l="0" t="0" r="10160" b="6350"/>
            <wp:docPr id="36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51"/>
                    <pic:cNvPicPr>
                      <a:picLocks noChangeAspect="1"/>
                    </pic:cNvPicPr>
                  </pic:nvPicPr>
                  <pic:blipFill>
                    <a:blip r:embed="rId511"/>
                    <a:srcRect l="32100" t="34377" r="27173" b="40935"/>
                    <a:stretch>
                      <a:fillRect/>
                    </a:stretch>
                  </pic:blipFill>
                  <pic:spPr>
                    <a:xfrm>
                      <a:off x="0" y="0"/>
                      <a:ext cx="3075940" cy="1498600"/>
                    </a:xfrm>
                    <a:prstGeom prst="rect">
                      <a:avLst/>
                    </a:prstGeom>
                    <a:noFill/>
                    <a:ln>
                      <a:noFill/>
                    </a:ln>
                  </pic:spPr>
                </pic:pic>
              </a:graphicData>
            </a:graphic>
          </wp:inline>
        </w:drawing>
      </w:r>
    </w:p>
    <w:p w14:paraId="5C6AEBE2" w14:textId="77777777" w:rsidR="001C08A5" w:rsidRDefault="00000000">
      <w:pPr>
        <w:jc w:val="center"/>
        <w:rPr>
          <w:i/>
          <w:sz w:val="24"/>
          <w:szCs w:val="24"/>
        </w:rPr>
      </w:pPr>
      <w:r>
        <w:rPr>
          <w:b/>
          <w:bCs/>
          <w:i/>
          <w:sz w:val="24"/>
          <w:szCs w:val="24"/>
        </w:rPr>
        <w:t>Varianta d) - construcție cu nivel de stabilitate la incendiu IV</w:t>
      </w:r>
    </w:p>
    <w:p w14:paraId="0CE816DE" w14:textId="77777777" w:rsidR="001C08A5" w:rsidRDefault="00000000">
      <w:pPr>
        <w:jc w:val="center"/>
        <w:rPr>
          <w:i/>
          <w:sz w:val="24"/>
          <w:szCs w:val="24"/>
        </w:rPr>
      </w:pPr>
      <w:r>
        <w:rPr>
          <w:i/>
          <w:noProof/>
          <w:sz w:val="24"/>
          <w:szCs w:val="24"/>
          <w:lang w:eastAsia="ro-RO"/>
        </w:rPr>
        <w:drawing>
          <wp:inline distT="0" distB="0" distL="114300" distR="114300" wp14:anchorId="48E2BECA" wp14:editId="3DBE376E">
            <wp:extent cx="3075940" cy="1506855"/>
            <wp:effectExtent l="0" t="0" r="10160" b="17145"/>
            <wp:docPr id="36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51"/>
                    <pic:cNvPicPr>
                      <a:picLocks noChangeAspect="1"/>
                    </pic:cNvPicPr>
                  </pic:nvPicPr>
                  <pic:blipFill>
                    <a:blip r:embed="rId511"/>
                    <a:srcRect l="32100" t="64619" r="27173" b="10555"/>
                    <a:stretch>
                      <a:fillRect/>
                    </a:stretch>
                  </pic:blipFill>
                  <pic:spPr>
                    <a:xfrm>
                      <a:off x="0" y="0"/>
                      <a:ext cx="3075940" cy="1506855"/>
                    </a:xfrm>
                    <a:prstGeom prst="rect">
                      <a:avLst/>
                    </a:prstGeom>
                    <a:noFill/>
                    <a:ln>
                      <a:noFill/>
                    </a:ln>
                  </pic:spPr>
                </pic:pic>
              </a:graphicData>
            </a:graphic>
          </wp:inline>
        </w:drawing>
      </w:r>
    </w:p>
    <w:p w14:paraId="3EC20D5A" w14:textId="77777777" w:rsidR="001C08A5" w:rsidRDefault="00000000">
      <w:pPr>
        <w:pStyle w:val="Caption"/>
        <w:jc w:val="center"/>
        <w:rPr>
          <w:bCs/>
        </w:rPr>
      </w:pPr>
      <w:r>
        <w:rPr>
          <w:bCs/>
        </w:rPr>
        <w:t>Varianta e) - construcție cu nivel de stabilitate la incendiu V</w:t>
      </w:r>
    </w:p>
    <w:p w14:paraId="35871335" w14:textId="77777777" w:rsidR="001C08A5" w:rsidRDefault="00000000">
      <w:pPr>
        <w:pStyle w:val="Caption"/>
        <w:jc w:val="center"/>
        <w:rPr>
          <w:rFonts w:eastAsia="Times New Roman"/>
          <w:b w:val="0"/>
        </w:rPr>
      </w:pPr>
      <w:bookmarkStart w:id="9849" w:name="_Toc162360488"/>
      <w:r>
        <w:t xml:space="preserve">Figura </w:t>
      </w:r>
      <w:r>
        <w:fldChar w:fldCharType="begin"/>
      </w:r>
      <w:r>
        <w:instrText xml:space="preserve"> SEQ Figura \* ARABIC </w:instrText>
      </w:r>
      <w:r>
        <w:fldChar w:fldCharType="separate"/>
      </w:r>
      <w:r>
        <w:t>264</w:t>
      </w:r>
      <w:r>
        <w:fldChar w:fldCharType="end"/>
      </w:r>
      <w:bookmarkStart w:id="9850" w:name="_Toc17572"/>
      <w:bookmarkStart w:id="9851" w:name="_Toc998"/>
      <w:bookmarkStart w:id="9852" w:name="_Toc31288"/>
      <w:bookmarkStart w:id="9853" w:name="_Toc2190"/>
      <w:bookmarkStart w:id="9854" w:name="_Toc21756"/>
      <w:bookmarkStart w:id="9855" w:name="_Toc15193"/>
      <w:bookmarkStart w:id="9856" w:name="_Toc30863"/>
      <w:bookmarkStart w:id="9857" w:name="_Toc974"/>
      <w:bookmarkStart w:id="9858" w:name="_Toc21092"/>
      <w:r>
        <w:t xml:space="preserve"> - Scări de evacuare închise din construcţii de producţie şi/sau depozitare</w:t>
      </w:r>
      <w:bookmarkEnd w:id="9846"/>
      <w:bookmarkEnd w:id="9847"/>
      <w:bookmarkEnd w:id="9848"/>
      <w:bookmarkEnd w:id="9849"/>
      <w:bookmarkEnd w:id="9850"/>
      <w:bookmarkEnd w:id="9851"/>
      <w:bookmarkEnd w:id="9852"/>
      <w:bookmarkEnd w:id="9853"/>
      <w:bookmarkEnd w:id="9854"/>
      <w:bookmarkEnd w:id="9855"/>
      <w:bookmarkEnd w:id="9856"/>
      <w:bookmarkEnd w:id="9857"/>
      <w:bookmarkEnd w:id="9858"/>
    </w:p>
    <w:p w14:paraId="19F8A61B" w14:textId="77777777" w:rsidR="001C08A5" w:rsidRDefault="00000000">
      <w:pPr>
        <w:pStyle w:val="Heading4"/>
        <w:rPr>
          <w:sz w:val="24"/>
          <w:szCs w:val="24"/>
        </w:rPr>
      </w:pPr>
      <w:bookmarkStart w:id="9859" w:name="_Toc24808"/>
      <w:bookmarkStart w:id="9860" w:name="_Toc3737"/>
      <w:bookmarkStart w:id="9861" w:name="_Toc4890"/>
      <w:bookmarkStart w:id="9862" w:name="_Toc20342"/>
      <w:bookmarkStart w:id="9863" w:name="_Toc162355491"/>
      <w:bookmarkStart w:id="9864" w:name="_Toc5095"/>
      <w:bookmarkStart w:id="9865" w:name="_Toc7598"/>
      <w:bookmarkStart w:id="9866" w:name="_Toc18786"/>
      <w:bookmarkStart w:id="9867" w:name="_Toc3391"/>
      <w:bookmarkStart w:id="9868" w:name="_Toc29039"/>
      <w:bookmarkStart w:id="9869" w:name="_Toc28043"/>
      <w:bookmarkStart w:id="9870" w:name="_Toc19200"/>
      <w:bookmarkStart w:id="9871" w:name="_Toc29588"/>
      <w:bookmarkStart w:id="9872" w:name="_Toc13441"/>
      <w:bookmarkStart w:id="9873" w:name="_Toc29132"/>
      <w:bookmarkStart w:id="9874" w:name="_Toc3484"/>
      <w:bookmarkStart w:id="9875" w:name="_Toc24805"/>
      <w:r>
        <w:rPr>
          <w:sz w:val="24"/>
          <w:szCs w:val="24"/>
        </w:rPr>
        <w:t>Goluri de acces la scări de evacuare închise din construcţiile de producţie şi/sau depozitare</w:t>
      </w:r>
      <w:bookmarkEnd w:id="9859"/>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bookmarkEnd w:id="9874"/>
      <w:bookmarkEnd w:id="9875"/>
      <w:r>
        <w:rPr>
          <w:sz w:val="24"/>
          <w:szCs w:val="24"/>
        </w:rPr>
        <w:t xml:space="preserve"> </w:t>
      </w:r>
    </w:p>
    <w:p w14:paraId="73092914"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Pereţii de separare ale caselor de scări închise de circulaţie funcţională şi de evacuare a utilizatorilor faţă de restul construcţiei, vor îndeplini şi condiţiile specifice respectivelor riscuri de incendiu şi/sau explozie volumetrică din încăperile adiacente.</w:t>
      </w:r>
    </w:p>
    <w:p w14:paraId="4179EB36" w14:textId="77777777" w:rsidR="001C08A5" w:rsidRDefault="00000000">
      <w:pPr>
        <w:tabs>
          <w:tab w:val="left" w:pos="426"/>
          <w:tab w:val="left" w:pos="993"/>
        </w:tabs>
        <w:jc w:val="both"/>
        <w:rPr>
          <w:rFonts w:eastAsia="Times New Roman"/>
          <w:b/>
          <w:i/>
          <w:sz w:val="24"/>
        </w:rPr>
      </w:pPr>
      <w:r>
        <w:rPr>
          <w:rFonts w:eastAsia="Times New Roman"/>
          <w:i/>
          <w:sz w:val="24"/>
        </w:rPr>
        <w:t xml:space="preserve"> </w:t>
      </w:r>
    </w:p>
    <w:p w14:paraId="7D4155B3"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Se au în vedere și clasele de periculozitate a materialelor la stabilirea rezistenței la foc a acestora.</w:t>
      </w:r>
    </w:p>
    <w:p w14:paraId="4E81A11F" w14:textId="77777777" w:rsidR="001C08A5" w:rsidRDefault="001C08A5">
      <w:pPr>
        <w:tabs>
          <w:tab w:val="left" w:pos="426"/>
          <w:tab w:val="left" w:pos="993"/>
        </w:tabs>
        <w:jc w:val="both"/>
        <w:rPr>
          <w:rFonts w:eastAsia="Times New Roman"/>
          <w:b/>
          <w:i/>
          <w:sz w:val="24"/>
        </w:rPr>
      </w:pPr>
    </w:p>
    <w:p w14:paraId="5E0F0E15"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Golurile prin care utilizatorii construcţiilor de producţie şi/sau depozitare au acces la scările de evacuare închise, se protejază cu: </w:t>
      </w:r>
    </w:p>
    <w:p w14:paraId="029C2415" w14:textId="77777777" w:rsidR="001C08A5" w:rsidRDefault="00000000">
      <w:pPr>
        <w:ind w:left="1440"/>
        <w:jc w:val="both"/>
        <w:rPr>
          <w:rFonts w:eastAsia="Times New Roman"/>
          <w:i/>
          <w:sz w:val="24"/>
          <w:szCs w:val="24"/>
        </w:rPr>
      </w:pPr>
      <w:r>
        <w:rPr>
          <w:rFonts w:eastAsia="Times New Roman"/>
          <w:i/>
          <w:sz w:val="24"/>
          <w:szCs w:val="24"/>
        </w:rPr>
        <w:t>a)</w:t>
      </w:r>
      <w:r>
        <w:rPr>
          <w:rFonts w:eastAsia="Times New Roman"/>
          <w:i/>
          <w:sz w:val="24"/>
          <w:szCs w:val="24"/>
        </w:rPr>
        <w:tab/>
        <w:t xml:space="preserve">uşi etanşe la foc </w:t>
      </w:r>
      <w:r>
        <w:rPr>
          <w:rFonts w:eastAsia="Times New Roman"/>
          <w:b/>
          <w:bCs/>
          <w:i/>
          <w:sz w:val="24"/>
          <w:szCs w:val="24"/>
        </w:rPr>
        <w:t>E 30-C5S</w:t>
      </w:r>
      <w:r>
        <w:rPr>
          <w:rFonts w:eastAsia="Times New Roman"/>
          <w:b/>
          <w:bCs/>
          <w:i/>
          <w:sz w:val="24"/>
          <w:szCs w:val="24"/>
          <w:vertAlign w:val="subscript"/>
        </w:rPr>
        <w:t>200</w:t>
      </w:r>
      <w:r>
        <w:rPr>
          <w:rFonts w:eastAsia="Times New Roman"/>
          <w:i/>
          <w:sz w:val="24"/>
          <w:szCs w:val="24"/>
        </w:rPr>
        <w:t>, atunci când constituie cale de acces din încăperi cu risc mic de incendiu;</w:t>
      </w:r>
    </w:p>
    <w:p w14:paraId="3B20F50C" w14:textId="77777777" w:rsidR="001C08A5" w:rsidRDefault="00000000">
      <w:pPr>
        <w:ind w:left="1440"/>
        <w:jc w:val="both"/>
        <w:rPr>
          <w:rFonts w:eastAsia="Times New Roman"/>
          <w:i/>
          <w:sz w:val="24"/>
          <w:szCs w:val="24"/>
        </w:rPr>
      </w:pPr>
      <w:r>
        <w:rPr>
          <w:rFonts w:eastAsia="Times New Roman"/>
          <w:i/>
          <w:sz w:val="24"/>
          <w:szCs w:val="24"/>
        </w:rPr>
        <w:t>b)</w:t>
      </w:r>
      <w:r>
        <w:rPr>
          <w:rFonts w:eastAsia="Times New Roman"/>
          <w:i/>
          <w:sz w:val="24"/>
          <w:szCs w:val="24"/>
        </w:rPr>
        <w:tab/>
        <w:t xml:space="preserve">uşi rezistente la foc </w:t>
      </w:r>
      <w:r>
        <w:rPr>
          <w:rFonts w:eastAsia="Times New Roman"/>
          <w:b/>
          <w:bCs/>
          <w:i/>
          <w:sz w:val="24"/>
          <w:szCs w:val="24"/>
        </w:rPr>
        <w:t>EI</w:t>
      </w:r>
      <w:r>
        <w:rPr>
          <w:rFonts w:eastAsia="Times New Roman"/>
          <w:b/>
          <w:bCs/>
          <w:i/>
          <w:sz w:val="24"/>
          <w:szCs w:val="24"/>
          <w:vertAlign w:val="subscript"/>
        </w:rPr>
        <w:t>2</w:t>
      </w:r>
      <w:r>
        <w:rPr>
          <w:rFonts w:eastAsia="Times New Roman"/>
          <w:b/>
          <w:bCs/>
          <w:i/>
          <w:sz w:val="24"/>
          <w:szCs w:val="24"/>
        </w:rPr>
        <w:t xml:space="preserve"> 45-C5S</w:t>
      </w:r>
      <w:r>
        <w:rPr>
          <w:rFonts w:eastAsia="Times New Roman"/>
          <w:b/>
          <w:bCs/>
          <w:i/>
          <w:sz w:val="24"/>
          <w:szCs w:val="24"/>
          <w:vertAlign w:val="subscript"/>
        </w:rPr>
        <w:t>200</w:t>
      </w:r>
      <w:r>
        <w:rPr>
          <w:rFonts w:eastAsia="Times New Roman"/>
          <w:i/>
          <w:sz w:val="24"/>
          <w:szCs w:val="24"/>
        </w:rPr>
        <w:t>, atunci când constituie cale de acces din încăperi cu risc mijlociu de incendiu;</w:t>
      </w:r>
    </w:p>
    <w:p w14:paraId="7A65A8C5" w14:textId="77777777" w:rsidR="001C08A5" w:rsidRDefault="00000000">
      <w:pPr>
        <w:ind w:left="1440"/>
        <w:jc w:val="both"/>
        <w:rPr>
          <w:rFonts w:eastAsia="Times New Roman"/>
          <w:i/>
          <w:sz w:val="24"/>
          <w:szCs w:val="24"/>
        </w:rPr>
      </w:pPr>
      <w:r>
        <w:rPr>
          <w:rFonts w:eastAsia="Times New Roman"/>
          <w:i/>
          <w:sz w:val="24"/>
          <w:szCs w:val="24"/>
        </w:rPr>
        <w:t>c)</w:t>
      </w:r>
      <w:r>
        <w:rPr>
          <w:rFonts w:eastAsia="Times New Roman"/>
          <w:i/>
          <w:sz w:val="24"/>
          <w:szCs w:val="24"/>
        </w:rPr>
        <w:tab/>
        <w:t xml:space="preserve">uşi rezistente la foc </w:t>
      </w:r>
      <w:r>
        <w:rPr>
          <w:rFonts w:eastAsia="Times New Roman"/>
          <w:b/>
          <w:bCs/>
          <w:i/>
          <w:sz w:val="24"/>
          <w:szCs w:val="24"/>
        </w:rPr>
        <w:t>EI</w:t>
      </w:r>
      <w:r>
        <w:rPr>
          <w:rFonts w:eastAsia="Times New Roman"/>
          <w:b/>
          <w:bCs/>
          <w:i/>
          <w:sz w:val="24"/>
          <w:szCs w:val="24"/>
          <w:vertAlign w:val="subscript"/>
        </w:rPr>
        <w:t>2</w:t>
      </w:r>
      <w:r>
        <w:rPr>
          <w:rFonts w:eastAsia="Times New Roman"/>
          <w:b/>
          <w:bCs/>
          <w:i/>
          <w:sz w:val="24"/>
          <w:szCs w:val="24"/>
        </w:rPr>
        <w:t xml:space="preserve"> 90-C5S</w:t>
      </w:r>
      <w:r>
        <w:rPr>
          <w:rFonts w:eastAsia="Times New Roman"/>
          <w:b/>
          <w:bCs/>
          <w:i/>
          <w:sz w:val="24"/>
          <w:szCs w:val="24"/>
          <w:vertAlign w:val="subscript"/>
        </w:rPr>
        <w:t>200</w:t>
      </w:r>
      <w:r>
        <w:rPr>
          <w:rFonts w:eastAsia="Times New Roman"/>
          <w:i/>
          <w:sz w:val="24"/>
          <w:szCs w:val="24"/>
        </w:rPr>
        <w:t xml:space="preserve"> sau încăperi tampon protejate, ventilate în suprapresiune (atunci când nu au ferestre directe spre exterior), prevăzute cu uşi rezistente la foc </w:t>
      </w:r>
      <w:r>
        <w:rPr>
          <w:rFonts w:eastAsia="Times New Roman"/>
          <w:b/>
          <w:bCs/>
          <w:i/>
          <w:sz w:val="24"/>
          <w:szCs w:val="24"/>
        </w:rPr>
        <w:t>EI</w:t>
      </w:r>
      <w:r>
        <w:rPr>
          <w:rFonts w:eastAsia="Times New Roman"/>
          <w:b/>
          <w:bCs/>
          <w:i/>
          <w:sz w:val="24"/>
          <w:szCs w:val="24"/>
          <w:vertAlign w:val="subscript"/>
        </w:rPr>
        <w:t>2</w:t>
      </w:r>
      <w:r>
        <w:rPr>
          <w:rFonts w:eastAsia="Times New Roman"/>
          <w:b/>
          <w:bCs/>
          <w:i/>
          <w:sz w:val="24"/>
          <w:szCs w:val="24"/>
        </w:rPr>
        <w:t xml:space="preserve"> 45-C5 S</w:t>
      </w:r>
      <w:r>
        <w:rPr>
          <w:rFonts w:eastAsia="Times New Roman"/>
          <w:b/>
          <w:bCs/>
          <w:i/>
          <w:sz w:val="24"/>
          <w:szCs w:val="24"/>
          <w:vertAlign w:val="subscript"/>
        </w:rPr>
        <w:t>200</w:t>
      </w:r>
      <w:r>
        <w:rPr>
          <w:rFonts w:eastAsia="Times New Roman"/>
          <w:i/>
          <w:sz w:val="24"/>
          <w:szCs w:val="24"/>
        </w:rPr>
        <w:t xml:space="preserve"> la nivelurile supraterane ale clădirii şi respectiv, cu uşi </w:t>
      </w:r>
      <w:r>
        <w:rPr>
          <w:rFonts w:eastAsia="Times New Roman"/>
          <w:b/>
          <w:bCs/>
          <w:i/>
          <w:sz w:val="24"/>
          <w:szCs w:val="24"/>
        </w:rPr>
        <w:t>EI</w:t>
      </w:r>
      <w:r>
        <w:rPr>
          <w:rFonts w:eastAsia="Times New Roman"/>
          <w:b/>
          <w:bCs/>
          <w:i/>
          <w:sz w:val="24"/>
          <w:szCs w:val="24"/>
          <w:vertAlign w:val="subscript"/>
        </w:rPr>
        <w:t>2</w:t>
      </w:r>
      <w:r>
        <w:rPr>
          <w:rFonts w:eastAsia="Times New Roman"/>
          <w:b/>
          <w:bCs/>
          <w:i/>
          <w:sz w:val="24"/>
          <w:szCs w:val="24"/>
        </w:rPr>
        <w:t xml:space="preserve"> 90-C5 S</w:t>
      </w:r>
      <w:r>
        <w:rPr>
          <w:rFonts w:eastAsia="Times New Roman"/>
          <w:b/>
          <w:bCs/>
          <w:i/>
          <w:sz w:val="24"/>
          <w:szCs w:val="24"/>
          <w:vertAlign w:val="subscript"/>
        </w:rPr>
        <w:t>200</w:t>
      </w:r>
      <w:r>
        <w:rPr>
          <w:rFonts w:eastAsia="Times New Roman"/>
          <w:i/>
          <w:sz w:val="24"/>
          <w:szCs w:val="24"/>
        </w:rPr>
        <w:t xml:space="preserve"> la nivelurile subterane, atunci când constituie cale de acces din încăperi cu risc mare de incendiu;</w:t>
      </w:r>
    </w:p>
    <w:p w14:paraId="2908957D" w14:textId="77777777" w:rsidR="001C08A5" w:rsidRDefault="00000000">
      <w:pPr>
        <w:ind w:left="1440"/>
        <w:jc w:val="both"/>
        <w:rPr>
          <w:rFonts w:eastAsia="Times New Roman"/>
          <w:i/>
          <w:sz w:val="24"/>
          <w:szCs w:val="24"/>
        </w:rPr>
      </w:pPr>
      <w:r>
        <w:rPr>
          <w:rFonts w:eastAsia="Times New Roman"/>
          <w:i/>
          <w:sz w:val="24"/>
          <w:szCs w:val="24"/>
        </w:rPr>
        <w:t>d)</w:t>
      </w:r>
      <w:r>
        <w:rPr>
          <w:rFonts w:eastAsia="Times New Roman"/>
          <w:i/>
          <w:sz w:val="24"/>
          <w:szCs w:val="24"/>
        </w:rPr>
        <w:tab/>
        <w:t xml:space="preserve">încăperi tampon protejate, ventilate în suprapresiune şi prevăzute cu uşi rezistente la foc </w:t>
      </w:r>
      <w:r>
        <w:rPr>
          <w:rFonts w:eastAsia="Times New Roman"/>
          <w:b/>
          <w:bCs/>
          <w:i/>
          <w:sz w:val="24"/>
          <w:szCs w:val="24"/>
        </w:rPr>
        <w:t>EI</w:t>
      </w:r>
      <w:r>
        <w:rPr>
          <w:rFonts w:eastAsia="Times New Roman"/>
          <w:b/>
          <w:bCs/>
          <w:i/>
          <w:sz w:val="24"/>
          <w:szCs w:val="24"/>
          <w:vertAlign w:val="subscript"/>
        </w:rPr>
        <w:t>2</w:t>
      </w:r>
      <w:r>
        <w:rPr>
          <w:rFonts w:eastAsia="Times New Roman"/>
          <w:b/>
          <w:bCs/>
          <w:i/>
          <w:sz w:val="24"/>
          <w:szCs w:val="24"/>
        </w:rPr>
        <w:t xml:space="preserve"> 90-C5S</w:t>
      </w:r>
      <w:r>
        <w:rPr>
          <w:rFonts w:eastAsia="Times New Roman"/>
          <w:b/>
          <w:bCs/>
          <w:i/>
          <w:sz w:val="24"/>
          <w:szCs w:val="24"/>
          <w:vertAlign w:val="subscript"/>
        </w:rPr>
        <w:t>200</w:t>
      </w:r>
      <w:r>
        <w:rPr>
          <w:rFonts w:eastAsia="Times New Roman"/>
          <w:i/>
          <w:sz w:val="24"/>
          <w:szCs w:val="24"/>
        </w:rPr>
        <w:t>, atunci când constituie cale de acces din încăperi cu risc foarte mare de incendiu.</w:t>
      </w:r>
    </w:p>
    <w:p w14:paraId="495BA311" w14:textId="77777777" w:rsidR="001C08A5" w:rsidRDefault="00000000">
      <w:pPr>
        <w:jc w:val="center"/>
        <w:rPr>
          <w:i/>
          <w:sz w:val="24"/>
          <w:szCs w:val="24"/>
        </w:rPr>
      </w:pPr>
      <w:bookmarkStart w:id="9876" w:name="_Toc142898645"/>
      <w:bookmarkStart w:id="9877" w:name="_Toc19347"/>
      <w:bookmarkStart w:id="9878" w:name="_Toc22862"/>
      <w:r>
        <w:rPr>
          <w:i/>
          <w:noProof/>
          <w:sz w:val="24"/>
          <w:szCs w:val="24"/>
          <w:lang w:eastAsia="ro-RO"/>
        </w:rPr>
        <w:drawing>
          <wp:inline distT="0" distB="0" distL="114300" distR="114300" wp14:anchorId="45614DF4" wp14:editId="40F85F0F">
            <wp:extent cx="3084195" cy="1507490"/>
            <wp:effectExtent l="0" t="0" r="1905" b="16510"/>
            <wp:docPr id="3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52"/>
                    <pic:cNvPicPr>
                      <a:picLocks noChangeAspect="1"/>
                    </pic:cNvPicPr>
                  </pic:nvPicPr>
                  <pic:blipFill>
                    <a:blip r:embed="rId512"/>
                    <a:srcRect l="32100" t="11978" r="27065" b="63187"/>
                    <a:stretch>
                      <a:fillRect/>
                    </a:stretch>
                  </pic:blipFill>
                  <pic:spPr>
                    <a:xfrm>
                      <a:off x="0" y="0"/>
                      <a:ext cx="3084195" cy="1507490"/>
                    </a:xfrm>
                    <a:prstGeom prst="rect">
                      <a:avLst/>
                    </a:prstGeom>
                    <a:noFill/>
                    <a:ln>
                      <a:noFill/>
                    </a:ln>
                  </pic:spPr>
                </pic:pic>
              </a:graphicData>
            </a:graphic>
          </wp:inline>
        </w:drawing>
      </w:r>
    </w:p>
    <w:p w14:paraId="5B8BA807" w14:textId="77777777" w:rsidR="001C08A5" w:rsidRDefault="00000000">
      <w:pPr>
        <w:jc w:val="center"/>
        <w:rPr>
          <w:b/>
          <w:bCs/>
          <w:i/>
          <w:sz w:val="24"/>
          <w:szCs w:val="24"/>
        </w:rPr>
      </w:pPr>
      <w:r>
        <w:rPr>
          <w:b/>
          <w:bCs/>
          <w:i/>
          <w:sz w:val="24"/>
          <w:szCs w:val="24"/>
        </w:rPr>
        <w:lastRenderedPageBreak/>
        <w:t>Varianta a) - risc mic (producție sau depozitare)</w:t>
      </w:r>
    </w:p>
    <w:p w14:paraId="17BA011E" w14:textId="77777777" w:rsidR="001C08A5" w:rsidRDefault="00000000">
      <w:pPr>
        <w:jc w:val="center"/>
        <w:rPr>
          <w:i/>
          <w:sz w:val="24"/>
          <w:szCs w:val="24"/>
        </w:rPr>
      </w:pPr>
      <w:r>
        <w:rPr>
          <w:i/>
          <w:noProof/>
          <w:sz w:val="24"/>
          <w:szCs w:val="24"/>
          <w:lang w:eastAsia="ro-RO"/>
        </w:rPr>
        <w:drawing>
          <wp:inline distT="0" distB="0" distL="114300" distR="114300" wp14:anchorId="13639EFD" wp14:editId="6FD70FE5">
            <wp:extent cx="3084195" cy="1497965"/>
            <wp:effectExtent l="0" t="0" r="1905" b="6985"/>
            <wp:docPr id="36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52"/>
                    <pic:cNvPicPr>
                      <a:picLocks noChangeAspect="1"/>
                    </pic:cNvPicPr>
                  </pic:nvPicPr>
                  <pic:blipFill>
                    <a:blip r:embed="rId512"/>
                    <a:srcRect l="32100" t="42368" r="27065" b="32953"/>
                    <a:stretch>
                      <a:fillRect/>
                    </a:stretch>
                  </pic:blipFill>
                  <pic:spPr>
                    <a:xfrm>
                      <a:off x="0" y="0"/>
                      <a:ext cx="3084195" cy="1497965"/>
                    </a:xfrm>
                    <a:prstGeom prst="rect">
                      <a:avLst/>
                    </a:prstGeom>
                    <a:noFill/>
                    <a:ln>
                      <a:noFill/>
                    </a:ln>
                  </pic:spPr>
                </pic:pic>
              </a:graphicData>
            </a:graphic>
          </wp:inline>
        </w:drawing>
      </w:r>
    </w:p>
    <w:p w14:paraId="55C996F1" w14:textId="77777777" w:rsidR="001C08A5" w:rsidRDefault="00000000">
      <w:pPr>
        <w:jc w:val="center"/>
        <w:rPr>
          <w:i/>
          <w:sz w:val="24"/>
          <w:szCs w:val="24"/>
        </w:rPr>
      </w:pPr>
      <w:r>
        <w:rPr>
          <w:b/>
          <w:bCs/>
          <w:i/>
          <w:sz w:val="24"/>
          <w:szCs w:val="24"/>
        </w:rPr>
        <w:t>Varianta b) - risc mijlociu (producție sau depozitare)</w:t>
      </w:r>
    </w:p>
    <w:p w14:paraId="31B07A7C" w14:textId="77777777" w:rsidR="001C08A5" w:rsidRDefault="00000000">
      <w:pPr>
        <w:jc w:val="center"/>
        <w:rPr>
          <w:i/>
          <w:sz w:val="24"/>
          <w:szCs w:val="24"/>
        </w:rPr>
      </w:pPr>
      <w:r>
        <w:rPr>
          <w:i/>
          <w:noProof/>
          <w:sz w:val="24"/>
          <w:szCs w:val="24"/>
          <w:lang w:eastAsia="ro-RO"/>
        </w:rPr>
        <w:drawing>
          <wp:inline distT="0" distB="0" distL="114300" distR="114300" wp14:anchorId="2889C90B" wp14:editId="48F2606B">
            <wp:extent cx="3084195" cy="1498600"/>
            <wp:effectExtent l="0" t="0" r="1905" b="6350"/>
            <wp:docPr id="36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52"/>
                    <pic:cNvPicPr>
                      <a:picLocks noChangeAspect="1"/>
                    </pic:cNvPicPr>
                  </pic:nvPicPr>
                  <pic:blipFill>
                    <a:blip r:embed="rId512"/>
                    <a:srcRect l="32100" t="72601" r="27065" b="2708"/>
                    <a:stretch>
                      <a:fillRect/>
                    </a:stretch>
                  </pic:blipFill>
                  <pic:spPr>
                    <a:xfrm>
                      <a:off x="0" y="0"/>
                      <a:ext cx="3084195" cy="1498600"/>
                    </a:xfrm>
                    <a:prstGeom prst="rect">
                      <a:avLst/>
                    </a:prstGeom>
                    <a:noFill/>
                    <a:ln>
                      <a:noFill/>
                    </a:ln>
                  </pic:spPr>
                </pic:pic>
              </a:graphicData>
            </a:graphic>
          </wp:inline>
        </w:drawing>
      </w:r>
    </w:p>
    <w:p w14:paraId="5A57C634" w14:textId="77777777" w:rsidR="001C08A5" w:rsidRDefault="00000000">
      <w:pPr>
        <w:jc w:val="center"/>
        <w:rPr>
          <w:b/>
          <w:bCs/>
          <w:i/>
          <w:sz w:val="24"/>
          <w:szCs w:val="24"/>
        </w:rPr>
      </w:pPr>
      <w:r>
        <w:rPr>
          <w:b/>
          <w:bCs/>
          <w:i/>
          <w:sz w:val="24"/>
          <w:szCs w:val="24"/>
        </w:rPr>
        <w:t>Varianta c) - risc mare (producție sau depozitare)</w:t>
      </w:r>
    </w:p>
    <w:p w14:paraId="745BACF4" w14:textId="77777777" w:rsidR="001C08A5" w:rsidRDefault="001C08A5">
      <w:pPr>
        <w:jc w:val="center"/>
        <w:rPr>
          <w:i/>
          <w:sz w:val="24"/>
          <w:szCs w:val="24"/>
        </w:rPr>
      </w:pPr>
    </w:p>
    <w:p w14:paraId="7C06F457" w14:textId="77777777" w:rsidR="001C08A5" w:rsidRDefault="00000000">
      <w:pPr>
        <w:jc w:val="center"/>
        <w:rPr>
          <w:i/>
          <w:sz w:val="24"/>
          <w:szCs w:val="24"/>
        </w:rPr>
      </w:pPr>
      <w:r>
        <w:rPr>
          <w:i/>
          <w:noProof/>
          <w:sz w:val="24"/>
          <w:szCs w:val="24"/>
          <w:lang w:eastAsia="ro-RO"/>
        </w:rPr>
        <w:drawing>
          <wp:inline distT="0" distB="0" distL="114300" distR="114300" wp14:anchorId="1569D645" wp14:editId="184DD00A">
            <wp:extent cx="3075940" cy="1497965"/>
            <wp:effectExtent l="0" t="0" r="10160" b="6985"/>
            <wp:docPr id="36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53"/>
                    <pic:cNvPicPr>
                      <a:picLocks noChangeAspect="1"/>
                    </pic:cNvPicPr>
                  </pic:nvPicPr>
                  <pic:blipFill>
                    <a:blip r:embed="rId513"/>
                    <a:srcRect l="32100" t="26823" r="27173" b="48499"/>
                    <a:stretch>
                      <a:fillRect/>
                    </a:stretch>
                  </pic:blipFill>
                  <pic:spPr>
                    <a:xfrm>
                      <a:off x="0" y="0"/>
                      <a:ext cx="3075940" cy="1497965"/>
                    </a:xfrm>
                    <a:prstGeom prst="rect">
                      <a:avLst/>
                    </a:prstGeom>
                    <a:noFill/>
                    <a:ln>
                      <a:noFill/>
                    </a:ln>
                  </pic:spPr>
                </pic:pic>
              </a:graphicData>
            </a:graphic>
          </wp:inline>
        </w:drawing>
      </w:r>
    </w:p>
    <w:p w14:paraId="31D8966E" w14:textId="77777777" w:rsidR="001C08A5" w:rsidRDefault="00000000">
      <w:pPr>
        <w:jc w:val="center"/>
        <w:rPr>
          <w:i/>
          <w:sz w:val="24"/>
          <w:szCs w:val="24"/>
        </w:rPr>
      </w:pPr>
      <w:r>
        <w:rPr>
          <w:b/>
          <w:bCs/>
          <w:i/>
          <w:sz w:val="24"/>
          <w:szCs w:val="24"/>
        </w:rPr>
        <w:t>Varianta d) - risc mare (producție sau depozitare)</w:t>
      </w:r>
    </w:p>
    <w:p w14:paraId="5D0FD84B" w14:textId="77777777" w:rsidR="001C08A5" w:rsidRDefault="00000000">
      <w:pPr>
        <w:jc w:val="center"/>
        <w:rPr>
          <w:i/>
          <w:sz w:val="24"/>
          <w:szCs w:val="24"/>
        </w:rPr>
      </w:pPr>
      <w:r>
        <w:rPr>
          <w:i/>
          <w:noProof/>
          <w:sz w:val="24"/>
          <w:szCs w:val="24"/>
          <w:lang w:eastAsia="ro-RO"/>
        </w:rPr>
        <w:drawing>
          <wp:inline distT="0" distB="0" distL="114300" distR="114300" wp14:anchorId="7C32C13B" wp14:editId="422BFE14">
            <wp:extent cx="3075940" cy="1506855"/>
            <wp:effectExtent l="0" t="0" r="10160" b="17145"/>
            <wp:docPr id="36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53"/>
                    <pic:cNvPicPr>
                      <a:picLocks noChangeAspect="1"/>
                    </pic:cNvPicPr>
                  </pic:nvPicPr>
                  <pic:blipFill>
                    <a:blip r:embed="rId513"/>
                    <a:srcRect l="32100" t="56920" r="27173" b="18256"/>
                    <a:stretch>
                      <a:fillRect/>
                    </a:stretch>
                  </pic:blipFill>
                  <pic:spPr>
                    <a:xfrm>
                      <a:off x="0" y="0"/>
                      <a:ext cx="3075940" cy="1506855"/>
                    </a:xfrm>
                    <a:prstGeom prst="rect">
                      <a:avLst/>
                    </a:prstGeom>
                    <a:noFill/>
                    <a:ln>
                      <a:noFill/>
                    </a:ln>
                  </pic:spPr>
                </pic:pic>
              </a:graphicData>
            </a:graphic>
          </wp:inline>
        </w:drawing>
      </w:r>
    </w:p>
    <w:p w14:paraId="43E9A963" w14:textId="77777777" w:rsidR="001C08A5" w:rsidRDefault="00000000">
      <w:pPr>
        <w:jc w:val="center"/>
        <w:rPr>
          <w:rFonts w:eastAsia="Times New Roman"/>
          <w:i/>
          <w:sz w:val="24"/>
          <w:szCs w:val="24"/>
        </w:rPr>
      </w:pPr>
      <w:r>
        <w:rPr>
          <w:b/>
          <w:bCs/>
          <w:i/>
          <w:sz w:val="24"/>
          <w:szCs w:val="24"/>
        </w:rPr>
        <w:t>Varianta e) - risc foarte mare (producție sau depozitare)</w:t>
      </w:r>
    </w:p>
    <w:p w14:paraId="76140345" w14:textId="77777777" w:rsidR="001C08A5" w:rsidRDefault="00000000">
      <w:pPr>
        <w:pStyle w:val="Caption"/>
        <w:jc w:val="center"/>
      </w:pPr>
      <w:bookmarkStart w:id="9879" w:name="_Toc162360489"/>
      <w:r>
        <w:t xml:space="preserve">Figura </w:t>
      </w:r>
      <w:r>
        <w:fldChar w:fldCharType="begin"/>
      </w:r>
      <w:r>
        <w:instrText xml:space="preserve"> SEQ Figura \* ARABIC </w:instrText>
      </w:r>
      <w:r>
        <w:fldChar w:fldCharType="separate"/>
      </w:r>
      <w:r>
        <w:t>265</w:t>
      </w:r>
      <w:r>
        <w:fldChar w:fldCharType="end"/>
      </w:r>
      <w:bookmarkStart w:id="9880" w:name="_Toc7236"/>
      <w:bookmarkStart w:id="9881" w:name="_Toc4718"/>
      <w:bookmarkStart w:id="9882" w:name="_Toc24760"/>
      <w:bookmarkStart w:id="9883" w:name="_Toc755"/>
      <w:bookmarkStart w:id="9884" w:name="_Toc15518"/>
      <w:bookmarkStart w:id="9885" w:name="_Toc6610"/>
      <w:bookmarkStart w:id="9886" w:name="_Toc67"/>
      <w:bookmarkStart w:id="9887" w:name="_Toc438"/>
      <w:bookmarkStart w:id="9888" w:name="_Toc17126"/>
      <w:r>
        <w:t xml:space="preserve"> - Goluri de acces la scări de evacuare închise din construcţiile de producţie şi/sau depozitare</w:t>
      </w:r>
      <w:bookmarkEnd w:id="9876"/>
      <w:bookmarkEnd w:id="9877"/>
      <w:bookmarkEnd w:id="9878"/>
      <w:bookmarkEnd w:id="9879"/>
      <w:bookmarkEnd w:id="9880"/>
      <w:bookmarkEnd w:id="9881"/>
      <w:bookmarkEnd w:id="9882"/>
      <w:bookmarkEnd w:id="9883"/>
      <w:bookmarkEnd w:id="9884"/>
      <w:bookmarkEnd w:id="9885"/>
      <w:bookmarkEnd w:id="9886"/>
      <w:bookmarkEnd w:id="9887"/>
      <w:bookmarkEnd w:id="9888"/>
    </w:p>
    <w:p w14:paraId="78CE52C4" w14:textId="77777777" w:rsidR="001C08A5" w:rsidRDefault="00000000">
      <w:pPr>
        <w:pStyle w:val="Heading4"/>
        <w:rPr>
          <w:sz w:val="24"/>
          <w:szCs w:val="24"/>
        </w:rPr>
      </w:pPr>
      <w:bookmarkStart w:id="9889" w:name="_Toc3588"/>
      <w:bookmarkStart w:id="9890" w:name="_Toc32640"/>
      <w:bookmarkStart w:id="9891" w:name="_Toc32655"/>
      <w:bookmarkStart w:id="9892" w:name="_Toc27811"/>
      <w:bookmarkStart w:id="9893" w:name="_Toc20861"/>
      <w:bookmarkStart w:id="9894" w:name="_Toc16336"/>
      <w:bookmarkStart w:id="9895" w:name="_Toc18082"/>
      <w:bookmarkStart w:id="9896" w:name="_Toc162355492"/>
      <w:bookmarkStart w:id="9897" w:name="_Toc855"/>
      <w:bookmarkStart w:id="9898" w:name="_Toc21187"/>
      <w:bookmarkStart w:id="9899" w:name="_Toc6928"/>
      <w:bookmarkStart w:id="9900" w:name="_Toc21062"/>
      <w:bookmarkStart w:id="9901" w:name="_Toc25925"/>
      <w:bookmarkStart w:id="9902" w:name="_Toc4468"/>
      <w:bookmarkStart w:id="9903" w:name="_Toc3035"/>
      <w:bookmarkStart w:id="9904" w:name="_Toc19710"/>
      <w:bookmarkStart w:id="9905" w:name="_Toc3357"/>
      <w:r>
        <w:rPr>
          <w:sz w:val="24"/>
          <w:szCs w:val="24"/>
        </w:rPr>
        <w:t>Circulaţii comune orizontale din construcţii de producţie şi/sau depozitare</w:t>
      </w:r>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r>
        <w:rPr>
          <w:sz w:val="24"/>
          <w:szCs w:val="24"/>
        </w:rPr>
        <w:t xml:space="preserve"> </w:t>
      </w:r>
    </w:p>
    <w:p w14:paraId="1E4A2E34"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Circulaţiile comune orizontale funcţionale şi de evacuare a utilizatorilor din construcţii de producţie şi/sau depozitare supraterane se separă faţă de restul construcţiei prin minimum:</w:t>
      </w:r>
    </w:p>
    <w:p w14:paraId="1EDB4441" w14:textId="77777777" w:rsidR="001C08A5" w:rsidRDefault="00000000">
      <w:pPr>
        <w:ind w:left="1440" w:firstLine="720"/>
        <w:jc w:val="both"/>
        <w:rPr>
          <w:rFonts w:eastAsia="Times New Roman"/>
          <w:i/>
          <w:sz w:val="24"/>
          <w:szCs w:val="24"/>
        </w:rPr>
      </w:pPr>
      <w:r>
        <w:rPr>
          <w:rFonts w:eastAsia="Times New Roman"/>
          <w:i/>
          <w:sz w:val="24"/>
          <w:szCs w:val="24"/>
        </w:rPr>
        <w:t>a)</w:t>
      </w:r>
      <w:r>
        <w:rPr>
          <w:rFonts w:eastAsia="Times New Roman"/>
          <w:i/>
          <w:sz w:val="24"/>
          <w:szCs w:val="24"/>
        </w:rPr>
        <w:tab/>
      </w:r>
      <w:r>
        <w:rPr>
          <w:rFonts w:eastAsia="Times New Roman"/>
          <w:b/>
          <w:bCs/>
          <w:i/>
          <w:sz w:val="24"/>
          <w:szCs w:val="24"/>
        </w:rPr>
        <w:t>EI/REI 90</w:t>
      </w:r>
      <w:r>
        <w:rPr>
          <w:rFonts w:eastAsia="Times New Roman"/>
          <w:i/>
          <w:sz w:val="24"/>
          <w:szCs w:val="24"/>
        </w:rPr>
        <w:t xml:space="preserve"> şi clasa de reacţie la foc </w:t>
      </w:r>
      <w:r>
        <w:rPr>
          <w:rFonts w:eastAsia="Times New Roman"/>
          <w:b/>
          <w:bCs/>
          <w:i/>
          <w:sz w:val="24"/>
          <w:szCs w:val="24"/>
        </w:rPr>
        <w:t>A1</w:t>
      </w:r>
      <w:r>
        <w:rPr>
          <w:rFonts w:eastAsia="Times New Roman"/>
          <w:i/>
          <w:sz w:val="24"/>
          <w:szCs w:val="24"/>
        </w:rPr>
        <w:t xml:space="preserve"> sau </w:t>
      </w:r>
      <w:r>
        <w:rPr>
          <w:rFonts w:eastAsia="Times New Roman"/>
          <w:b/>
          <w:bCs/>
          <w:i/>
          <w:sz w:val="24"/>
          <w:szCs w:val="24"/>
        </w:rPr>
        <w:t>A2-s1d0</w:t>
      </w:r>
      <w:r>
        <w:rPr>
          <w:rFonts w:eastAsia="Times New Roman"/>
          <w:i/>
          <w:sz w:val="24"/>
          <w:szCs w:val="24"/>
        </w:rPr>
        <w:t xml:space="preserve"> în construcţiile cu nivelul de stabilitate la incendiu </w:t>
      </w:r>
      <w:r>
        <w:rPr>
          <w:rFonts w:eastAsia="Times New Roman"/>
          <w:b/>
          <w:bCs/>
          <w:i/>
          <w:sz w:val="24"/>
          <w:szCs w:val="24"/>
        </w:rPr>
        <w:t>I</w:t>
      </w:r>
      <w:r>
        <w:rPr>
          <w:rFonts w:eastAsia="Times New Roman"/>
          <w:i/>
          <w:sz w:val="24"/>
          <w:szCs w:val="24"/>
        </w:rPr>
        <w:t>;</w:t>
      </w:r>
    </w:p>
    <w:p w14:paraId="5CD63067" w14:textId="77777777" w:rsidR="001C08A5" w:rsidRDefault="00000000">
      <w:pPr>
        <w:ind w:left="1440" w:firstLine="720"/>
        <w:jc w:val="both"/>
        <w:rPr>
          <w:rFonts w:eastAsia="Times New Roman"/>
          <w:i/>
          <w:sz w:val="24"/>
          <w:szCs w:val="24"/>
        </w:rPr>
      </w:pPr>
      <w:r>
        <w:rPr>
          <w:rFonts w:eastAsia="Times New Roman"/>
          <w:i/>
          <w:sz w:val="24"/>
          <w:szCs w:val="24"/>
        </w:rPr>
        <w:t>b)</w:t>
      </w:r>
      <w:r>
        <w:rPr>
          <w:rFonts w:eastAsia="Times New Roman"/>
          <w:i/>
          <w:sz w:val="24"/>
          <w:szCs w:val="24"/>
        </w:rPr>
        <w:tab/>
      </w:r>
      <w:r>
        <w:rPr>
          <w:rFonts w:eastAsia="Times New Roman"/>
          <w:b/>
          <w:bCs/>
          <w:i/>
          <w:sz w:val="24"/>
          <w:szCs w:val="24"/>
        </w:rPr>
        <w:t>EI/REI 60</w:t>
      </w:r>
      <w:r>
        <w:rPr>
          <w:rFonts w:eastAsia="Times New Roman"/>
          <w:i/>
          <w:sz w:val="24"/>
          <w:szCs w:val="24"/>
        </w:rPr>
        <w:t xml:space="preserve"> şi clasa de reacţie la foc </w:t>
      </w:r>
      <w:r>
        <w:rPr>
          <w:rFonts w:eastAsia="Times New Roman"/>
          <w:b/>
          <w:bCs/>
          <w:i/>
          <w:sz w:val="24"/>
          <w:szCs w:val="24"/>
        </w:rPr>
        <w:t>A1</w:t>
      </w:r>
      <w:r>
        <w:rPr>
          <w:rFonts w:eastAsia="Times New Roman"/>
          <w:i/>
          <w:sz w:val="24"/>
          <w:szCs w:val="24"/>
        </w:rPr>
        <w:t xml:space="preserve"> sau </w:t>
      </w:r>
      <w:r>
        <w:rPr>
          <w:rFonts w:eastAsia="Times New Roman"/>
          <w:b/>
          <w:bCs/>
          <w:i/>
          <w:sz w:val="24"/>
          <w:szCs w:val="24"/>
        </w:rPr>
        <w:t>A2-s1d0</w:t>
      </w:r>
      <w:r>
        <w:rPr>
          <w:rFonts w:eastAsia="Times New Roman"/>
          <w:i/>
          <w:sz w:val="24"/>
          <w:szCs w:val="24"/>
        </w:rPr>
        <w:t xml:space="preserve"> în construcţiile cu nivelul de stabilitate la incendiu </w:t>
      </w:r>
      <w:r>
        <w:rPr>
          <w:rFonts w:eastAsia="Times New Roman"/>
          <w:b/>
          <w:bCs/>
          <w:i/>
          <w:sz w:val="24"/>
          <w:szCs w:val="24"/>
        </w:rPr>
        <w:t>II</w:t>
      </w:r>
      <w:r>
        <w:rPr>
          <w:rFonts w:eastAsia="Times New Roman"/>
          <w:i/>
          <w:sz w:val="24"/>
          <w:szCs w:val="24"/>
        </w:rPr>
        <w:t>;</w:t>
      </w:r>
    </w:p>
    <w:p w14:paraId="200BC180" w14:textId="77777777" w:rsidR="001C08A5" w:rsidRDefault="00000000">
      <w:pPr>
        <w:ind w:left="1440" w:firstLine="720"/>
        <w:jc w:val="both"/>
        <w:rPr>
          <w:rFonts w:eastAsia="Times New Roman"/>
          <w:i/>
          <w:sz w:val="24"/>
          <w:szCs w:val="24"/>
        </w:rPr>
      </w:pPr>
      <w:r>
        <w:rPr>
          <w:rFonts w:eastAsia="Times New Roman"/>
          <w:i/>
          <w:sz w:val="24"/>
          <w:szCs w:val="24"/>
        </w:rPr>
        <w:t>c)</w:t>
      </w:r>
      <w:r>
        <w:rPr>
          <w:rFonts w:eastAsia="Times New Roman"/>
          <w:i/>
          <w:sz w:val="24"/>
          <w:szCs w:val="24"/>
        </w:rPr>
        <w:tab/>
      </w:r>
      <w:r>
        <w:rPr>
          <w:rFonts w:eastAsia="Times New Roman"/>
          <w:b/>
          <w:bCs/>
          <w:i/>
          <w:sz w:val="24"/>
          <w:szCs w:val="24"/>
        </w:rPr>
        <w:t>EI/REI 45</w:t>
      </w:r>
      <w:r>
        <w:rPr>
          <w:rFonts w:eastAsia="Times New Roman"/>
          <w:i/>
          <w:sz w:val="24"/>
          <w:szCs w:val="24"/>
        </w:rPr>
        <w:t xml:space="preserve"> şi clasa de reacţie la foc </w:t>
      </w:r>
      <w:r>
        <w:rPr>
          <w:rFonts w:eastAsia="Times New Roman"/>
          <w:b/>
          <w:bCs/>
          <w:i/>
          <w:sz w:val="24"/>
          <w:szCs w:val="24"/>
        </w:rPr>
        <w:t>A1</w:t>
      </w:r>
      <w:r>
        <w:rPr>
          <w:rFonts w:eastAsia="Times New Roman"/>
          <w:i/>
          <w:sz w:val="24"/>
          <w:szCs w:val="24"/>
        </w:rPr>
        <w:t xml:space="preserve"> sau </w:t>
      </w:r>
      <w:r>
        <w:rPr>
          <w:rFonts w:eastAsia="Times New Roman"/>
          <w:b/>
          <w:bCs/>
          <w:i/>
          <w:sz w:val="24"/>
          <w:szCs w:val="24"/>
        </w:rPr>
        <w:t>A2-s1d0</w:t>
      </w:r>
      <w:r>
        <w:rPr>
          <w:rFonts w:eastAsia="Times New Roman"/>
          <w:i/>
          <w:sz w:val="24"/>
          <w:szCs w:val="24"/>
        </w:rPr>
        <w:t xml:space="preserve"> în construcţiile cu nivelul de stabilitate la incendiu </w:t>
      </w:r>
      <w:r>
        <w:rPr>
          <w:rFonts w:eastAsia="Times New Roman"/>
          <w:b/>
          <w:bCs/>
          <w:i/>
          <w:sz w:val="24"/>
          <w:szCs w:val="24"/>
        </w:rPr>
        <w:t>III</w:t>
      </w:r>
      <w:r>
        <w:rPr>
          <w:rFonts w:eastAsia="Times New Roman"/>
          <w:i/>
          <w:sz w:val="24"/>
          <w:szCs w:val="24"/>
        </w:rPr>
        <w:t xml:space="preserve">;  </w:t>
      </w:r>
    </w:p>
    <w:p w14:paraId="7E0B1C6B" w14:textId="77777777" w:rsidR="001C08A5" w:rsidRDefault="00000000">
      <w:pPr>
        <w:ind w:left="1440" w:firstLine="720"/>
        <w:jc w:val="both"/>
        <w:rPr>
          <w:rFonts w:eastAsia="Times New Roman"/>
          <w:i/>
          <w:sz w:val="24"/>
          <w:szCs w:val="24"/>
        </w:rPr>
      </w:pPr>
      <w:r>
        <w:rPr>
          <w:rFonts w:eastAsia="Times New Roman"/>
          <w:i/>
          <w:sz w:val="24"/>
          <w:szCs w:val="24"/>
        </w:rPr>
        <w:lastRenderedPageBreak/>
        <w:t>d)</w:t>
      </w:r>
      <w:r>
        <w:rPr>
          <w:rFonts w:eastAsia="Times New Roman"/>
          <w:i/>
          <w:sz w:val="24"/>
          <w:szCs w:val="24"/>
        </w:rPr>
        <w:tab/>
      </w:r>
      <w:r>
        <w:rPr>
          <w:rFonts w:eastAsia="Times New Roman"/>
          <w:b/>
          <w:bCs/>
          <w:i/>
          <w:sz w:val="24"/>
          <w:szCs w:val="24"/>
        </w:rPr>
        <w:t>EI/REI 30</w:t>
      </w:r>
      <w:r>
        <w:rPr>
          <w:rFonts w:eastAsia="Times New Roman"/>
          <w:i/>
          <w:sz w:val="24"/>
          <w:szCs w:val="24"/>
        </w:rPr>
        <w:t xml:space="preserve"> şi clasa de reacţie la foc </w:t>
      </w:r>
      <w:r>
        <w:rPr>
          <w:rFonts w:eastAsia="Times New Roman"/>
          <w:b/>
          <w:bCs/>
          <w:i/>
          <w:sz w:val="24"/>
          <w:szCs w:val="24"/>
        </w:rPr>
        <w:t>A1, A2-s1d0</w:t>
      </w:r>
      <w:r>
        <w:rPr>
          <w:rFonts w:eastAsia="Times New Roman"/>
          <w:i/>
          <w:sz w:val="24"/>
          <w:szCs w:val="24"/>
        </w:rPr>
        <w:t xml:space="preserve"> sau </w:t>
      </w:r>
      <w:r>
        <w:rPr>
          <w:rFonts w:eastAsia="Times New Roman"/>
          <w:b/>
          <w:bCs/>
          <w:i/>
          <w:sz w:val="24"/>
          <w:szCs w:val="24"/>
        </w:rPr>
        <w:t>B-s1d0</w:t>
      </w:r>
      <w:r>
        <w:rPr>
          <w:rFonts w:eastAsia="Times New Roman"/>
          <w:i/>
          <w:sz w:val="24"/>
          <w:szCs w:val="24"/>
        </w:rPr>
        <w:t xml:space="preserve"> în construcţiile cu nivelul de stabilitate la incendiu </w:t>
      </w:r>
      <w:r>
        <w:rPr>
          <w:rFonts w:eastAsia="Times New Roman"/>
          <w:b/>
          <w:bCs/>
          <w:i/>
          <w:sz w:val="24"/>
          <w:szCs w:val="24"/>
        </w:rPr>
        <w:t>IV</w:t>
      </w:r>
      <w:r>
        <w:rPr>
          <w:rFonts w:eastAsia="Times New Roman"/>
          <w:i/>
          <w:sz w:val="24"/>
          <w:szCs w:val="24"/>
        </w:rPr>
        <w:t xml:space="preserve">;  </w:t>
      </w:r>
    </w:p>
    <w:p w14:paraId="0B4E3BAC" w14:textId="77777777" w:rsidR="001C08A5" w:rsidRDefault="00000000">
      <w:pPr>
        <w:ind w:left="1440" w:firstLine="720"/>
        <w:jc w:val="both"/>
        <w:rPr>
          <w:rFonts w:eastAsia="Times New Roman"/>
          <w:i/>
          <w:sz w:val="24"/>
          <w:szCs w:val="24"/>
        </w:rPr>
      </w:pPr>
      <w:r>
        <w:rPr>
          <w:rFonts w:eastAsia="Times New Roman"/>
          <w:i/>
          <w:sz w:val="24"/>
          <w:szCs w:val="24"/>
        </w:rPr>
        <w:t>e)</w:t>
      </w:r>
      <w:r>
        <w:rPr>
          <w:rFonts w:eastAsia="Times New Roman"/>
          <w:i/>
          <w:sz w:val="24"/>
          <w:szCs w:val="24"/>
        </w:rPr>
        <w:tab/>
      </w:r>
      <w:r>
        <w:rPr>
          <w:rFonts w:eastAsia="Times New Roman"/>
          <w:b/>
          <w:bCs/>
          <w:i/>
          <w:sz w:val="24"/>
          <w:szCs w:val="24"/>
        </w:rPr>
        <w:t>EI/REI 15</w:t>
      </w:r>
      <w:r>
        <w:rPr>
          <w:rFonts w:eastAsia="Times New Roman"/>
          <w:i/>
          <w:sz w:val="24"/>
          <w:szCs w:val="24"/>
        </w:rPr>
        <w:t xml:space="preserve"> şi clasa de reacţie la foc </w:t>
      </w:r>
      <w:r>
        <w:rPr>
          <w:rFonts w:eastAsia="Times New Roman"/>
          <w:b/>
          <w:bCs/>
          <w:i/>
          <w:sz w:val="24"/>
          <w:szCs w:val="24"/>
        </w:rPr>
        <w:t xml:space="preserve">A1, A2-s1d0, B-s1d0, B-s2d0, C-s1d0 </w:t>
      </w:r>
      <w:r>
        <w:rPr>
          <w:rFonts w:eastAsia="Times New Roman"/>
          <w:i/>
          <w:sz w:val="24"/>
          <w:szCs w:val="24"/>
        </w:rPr>
        <w:t>sau</w:t>
      </w:r>
      <w:r>
        <w:rPr>
          <w:rFonts w:eastAsia="Times New Roman"/>
          <w:b/>
          <w:bCs/>
          <w:i/>
          <w:sz w:val="24"/>
          <w:szCs w:val="24"/>
        </w:rPr>
        <w:t xml:space="preserve"> C-s2d0</w:t>
      </w:r>
      <w:r>
        <w:rPr>
          <w:rFonts w:eastAsia="Times New Roman"/>
          <w:i/>
          <w:sz w:val="24"/>
          <w:szCs w:val="24"/>
        </w:rPr>
        <w:t xml:space="preserve"> în construcţiile cu nivelul de stabilitate la incendiu </w:t>
      </w:r>
      <w:r>
        <w:rPr>
          <w:rFonts w:eastAsia="Times New Roman"/>
          <w:b/>
          <w:bCs/>
          <w:i/>
          <w:sz w:val="24"/>
          <w:szCs w:val="24"/>
        </w:rPr>
        <w:t>V.</w:t>
      </w:r>
    </w:p>
    <w:p w14:paraId="5353E045" w14:textId="77777777" w:rsidR="001C08A5" w:rsidRDefault="001C08A5">
      <w:pPr>
        <w:jc w:val="both"/>
        <w:rPr>
          <w:rFonts w:eastAsia="Times New Roman"/>
          <w:i/>
          <w:sz w:val="24"/>
          <w:szCs w:val="24"/>
        </w:rPr>
      </w:pPr>
    </w:p>
    <w:p w14:paraId="53CF860A"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Pereţii de separare a circulaţiilor comune orizontale funcţionale şi de evacuare faţă de restul construcţiei, vor îndeplini şi condiţiile specifice respectivelor riscuri de incendiu şi/sau explozie volumetrică din încăperile adiacente. </w:t>
      </w:r>
    </w:p>
    <w:p w14:paraId="5B5618B4" w14:textId="77777777" w:rsidR="001C08A5" w:rsidRDefault="00000000">
      <w:pPr>
        <w:numPr>
          <w:ilvl w:val="255"/>
          <w:numId w:val="0"/>
        </w:numPr>
        <w:tabs>
          <w:tab w:val="left" w:pos="426"/>
          <w:tab w:val="left" w:pos="993"/>
        </w:tabs>
        <w:jc w:val="center"/>
        <w:rPr>
          <w:rFonts w:eastAsia="Times New Roman"/>
          <w:b/>
          <w:i/>
          <w:sz w:val="24"/>
        </w:rPr>
      </w:pPr>
      <w:r>
        <w:rPr>
          <w:bCs/>
          <w:i/>
          <w:noProof/>
          <w:sz w:val="24"/>
        </w:rPr>
        <w:drawing>
          <wp:inline distT="0" distB="0" distL="114300" distR="114300" wp14:anchorId="2CBF12AB" wp14:editId="393BF5F3">
            <wp:extent cx="6010275" cy="2336800"/>
            <wp:effectExtent l="0" t="0" r="9525" b="6350"/>
            <wp:docPr id="5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3"/>
                    <pic:cNvPicPr>
                      <a:picLocks noChangeAspect="1"/>
                    </pic:cNvPicPr>
                  </pic:nvPicPr>
                  <pic:blipFill>
                    <a:blip r:embed="rId514"/>
                    <a:srcRect l="12795" t="38147" r="7580" b="18792"/>
                    <a:stretch>
                      <a:fillRect/>
                    </a:stretch>
                  </pic:blipFill>
                  <pic:spPr>
                    <a:xfrm>
                      <a:off x="0" y="0"/>
                      <a:ext cx="6010275" cy="2336800"/>
                    </a:xfrm>
                    <a:prstGeom prst="rect">
                      <a:avLst/>
                    </a:prstGeom>
                    <a:noFill/>
                    <a:ln>
                      <a:noFill/>
                    </a:ln>
                  </pic:spPr>
                </pic:pic>
              </a:graphicData>
            </a:graphic>
          </wp:inline>
        </w:drawing>
      </w:r>
    </w:p>
    <w:p w14:paraId="10FEA0E3" w14:textId="77777777" w:rsidR="001C08A5" w:rsidRDefault="00000000">
      <w:pPr>
        <w:pStyle w:val="Caption"/>
        <w:jc w:val="center"/>
      </w:pPr>
      <w:bookmarkStart w:id="9906" w:name="_Toc162360490"/>
      <w:r>
        <w:t xml:space="preserve">Figura </w:t>
      </w:r>
      <w:r>
        <w:fldChar w:fldCharType="begin"/>
      </w:r>
      <w:r>
        <w:instrText xml:space="preserve"> SEQ Figura \* ARABIC </w:instrText>
      </w:r>
      <w:r>
        <w:fldChar w:fldCharType="separate"/>
      </w:r>
      <w:r>
        <w:t>266</w:t>
      </w:r>
      <w:r>
        <w:fldChar w:fldCharType="end"/>
      </w:r>
      <w:bookmarkStart w:id="9907" w:name="_Toc6031"/>
      <w:bookmarkStart w:id="9908" w:name="_Toc27055"/>
      <w:bookmarkStart w:id="9909" w:name="_Toc4097"/>
      <w:bookmarkStart w:id="9910" w:name="_Toc17040"/>
      <w:bookmarkStart w:id="9911" w:name="_Toc15250"/>
      <w:bookmarkStart w:id="9912" w:name="_Toc7396"/>
      <w:bookmarkStart w:id="9913" w:name="_Toc6303"/>
      <w:bookmarkStart w:id="9914" w:name="_Toc3319"/>
      <w:bookmarkStart w:id="9915" w:name="_Toc17341"/>
      <w:r>
        <w:t xml:space="preserve"> - </w:t>
      </w:r>
      <w:r>
        <w:rPr>
          <w:rFonts w:eastAsia="Calibri"/>
          <w:bCs/>
        </w:rPr>
        <w:t>Separare circulaţii comune orizontale din construcţii de producţie şi/sau depozitare (general)</w:t>
      </w:r>
      <w:bookmarkEnd w:id="9906"/>
      <w:bookmarkEnd w:id="9907"/>
      <w:bookmarkEnd w:id="9908"/>
      <w:bookmarkEnd w:id="9909"/>
      <w:bookmarkEnd w:id="9910"/>
      <w:bookmarkEnd w:id="9911"/>
      <w:bookmarkEnd w:id="9912"/>
      <w:bookmarkEnd w:id="9913"/>
      <w:bookmarkEnd w:id="9914"/>
      <w:bookmarkEnd w:id="9915"/>
    </w:p>
    <w:p w14:paraId="136EE2BC" w14:textId="77777777" w:rsidR="001C08A5" w:rsidRDefault="00000000">
      <w:pPr>
        <w:jc w:val="center"/>
        <w:rPr>
          <w:i/>
          <w:sz w:val="24"/>
          <w:szCs w:val="24"/>
        </w:rPr>
      </w:pPr>
      <w:bookmarkStart w:id="9916" w:name="_Toc142898646"/>
      <w:bookmarkStart w:id="9917" w:name="_Toc11724"/>
      <w:bookmarkStart w:id="9918" w:name="_Toc787"/>
      <w:r>
        <w:rPr>
          <w:i/>
          <w:noProof/>
          <w:sz w:val="24"/>
          <w:szCs w:val="24"/>
          <w:lang w:eastAsia="ro-RO"/>
        </w:rPr>
        <w:drawing>
          <wp:inline distT="0" distB="0" distL="114300" distR="114300" wp14:anchorId="4C573E39" wp14:editId="49FAED78">
            <wp:extent cx="3959225" cy="1818640"/>
            <wp:effectExtent l="0" t="0" r="3175" b="10160"/>
            <wp:docPr id="36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43"/>
                    <pic:cNvPicPr>
                      <a:picLocks noChangeAspect="1"/>
                    </pic:cNvPicPr>
                  </pic:nvPicPr>
                  <pic:blipFill>
                    <a:blip r:embed="rId515"/>
                    <a:srcRect l="26602" t="6706" r="20976" b="63333"/>
                    <a:stretch>
                      <a:fillRect/>
                    </a:stretch>
                  </pic:blipFill>
                  <pic:spPr>
                    <a:xfrm>
                      <a:off x="0" y="0"/>
                      <a:ext cx="3959225" cy="1818640"/>
                    </a:xfrm>
                    <a:prstGeom prst="rect">
                      <a:avLst/>
                    </a:prstGeom>
                    <a:noFill/>
                    <a:ln>
                      <a:noFill/>
                    </a:ln>
                  </pic:spPr>
                </pic:pic>
              </a:graphicData>
            </a:graphic>
          </wp:inline>
        </w:drawing>
      </w:r>
    </w:p>
    <w:p w14:paraId="1FFCF79A" w14:textId="77777777" w:rsidR="001C08A5" w:rsidRDefault="00000000">
      <w:pPr>
        <w:jc w:val="center"/>
        <w:rPr>
          <w:i/>
          <w:sz w:val="24"/>
          <w:szCs w:val="24"/>
        </w:rPr>
      </w:pPr>
      <w:r>
        <w:rPr>
          <w:b/>
          <w:bCs/>
          <w:i/>
          <w:sz w:val="24"/>
          <w:szCs w:val="24"/>
        </w:rPr>
        <w:t>Varianta a) - construcție cu nivel de stabilitate la incendiu I</w:t>
      </w:r>
    </w:p>
    <w:p w14:paraId="46B3965A" w14:textId="77777777" w:rsidR="001C08A5" w:rsidRDefault="00000000">
      <w:pPr>
        <w:jc w:val="center"/>
        <w:rPr>
          <w:i/>
          <w:sz w:val="24"/>
          <w:szCs w:val="24"/>
        </w:rPr>
      </w:pPr>
      <w:r>
        <w:rPr>
          <w:i/>
          <w:noProof/>
          <w:sz w:val="24"/>
          <w:szCs w:val="24"/>
          <w:lang w:eastAsia="ro-RO"/>
        </w:rPr>
        <w:drawing>
          <wp:inline distT="0" distB="0" distL="114300" distR="114300" wp14:anchorId="3A74E97D" wp14:editId="322E3288">
            <wp:extent cx="3959225" cy="1810385"/>
            <wp:effectExtent l="0" t="0" r="3175" b="18415"/>
            <wp:docPr id="36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43"/>
                    <pic:cNvPicPr>
                      <a:picLocks noChangeAspect="1"/>
                    </pic:cNvPicPr>
                  </pic:nvPicPr>
                  <pic:blipFill>
                    <a:blip r:embed="rId515"/>
                    <a:srcRect l="26602" t="37086" r="20976" b="33089"/>
                    <a:stretch>
                      <a:fillRect/>
                    </a:stretch>
                  </pic:blipFill>
                  <pic:spPr>
                    <a:xfrm>
                      <a:off x="0" y="0"/>
                      <a:ext cx="3959225" cy="1810385"/>
                    </a:xfrm>
                    <a:prstGeom prst="rect">
                      <a:avLst/>
                    </a:prstGeom>
                    <a:noFill/>
                    <a:ln>
                      <a:noFill/>
                    </a:ln>
                  </pic:spPr>
                </pic:pic>
              </a:graphicData>
            </a:graphic>
          </wp:inline>
        </w:drawing>
      </w:r>
    </w:p>
    <w:p w14:paraId="729BD881" w14:textId="77777777" w:rsidR="001C08A5" w:rsidRDefault="00000000">
      <w:pPr>
        <w:jc w:val="center"/>
        <w:rPr>
          <w:i/>
          <w:sz w:val="24"/>
          <w:szCs w:val="24"/>
        </w:rPr>
      </w:pPr>
      <w:r>
        <w:rPr>
          <w:b/>
          <w:bCs/>
          <w:i/>
          <w:sz w:val="24"/>
          <w:szCs w:val="24"/>
        </w:rPr>
        <w:t>Varianta b) - construcție cu nivel de stabilitate la incendiu II</w:t>
      </w:r>
    </w:p>
    <w:p w14:paraId="5FCDB696" w14:textId="77777777" w:rsidR="001C08A5" w:rsidRDefault="00000000">
      <w:pPr>
        <w:jc w:val="center"/>
        <w:rPr>
          <w:i/>
          <w:sz w:val="24"/>
          <w:szCs w:val="24"/>
        </w:rPr>
      </w:pPr>
      <w:r>
        <w:rPr>
          <w:i/>
          <w:noProof/>
          <w:sz w:val="24"/>
          <w:szCs w:val="24"/>
          <w:lang w:eastAsia="ro-RO"/>
        </w:rPr>
        <w:lastRenderedPageBreak/>
        <w:drawing>
          <wp:inline distT="0" distB="0" distL="114300" distR="114300" wp14:anchorId="3155683E" wp14:editId="348CEE63">
            <wp:extent cx="3959225" cy="1801495"/>
            <wp:effectExtent l="0" t="0" r="3175" b="8255"/>
            <wp:docPr id="36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43"/>
                    <pic:cNvPicPr>
                      <a:picLocks noChangeAspect="1"/>
                    </pic:cNvPicPr>
                  </pic:nvPicPr>
                  <pic:blipFill>
                    <a:blip r:embed="rId515"/>
                    <a:srcRect l="26602" t="67329" r="20976" b="2992"/>
                    <a:stretch>
                      <a:fillRect/>
                    </a:stretch>
                  </pic:blipFill>
                  <pic:spPr>
                    <a:xfrm>
                      <a:off x="0" y="0"/>
                      <a:ext cx="3959225" cy="1801495"/>
                    </a:xfrm>
                    <a:prstGeom prst="rect">
                      <a:avLst/>
                    </a:prstGeom>
                    <a:noFill/>
                    <a:ln>
                      <a:noFill/>
                    </a:ln>
                  </pic:spPr>
                </pic:pic>
              </a:graphicData>
            </a:graphic>
          </wp:inline>
        </w:drawing>
      </w:r>
    </w:p>
    <w:p w14:paraId="71E27DB8" w14:textId="77777777" w:rsidR="001C08A5" w:rsidRDefault="00000000">
      <w:pPr>
        <w:jc w:val="center"/>
        <w:rPr>
          <w:i/>
          <w:sz w:val="24"/>
          <w:szCs w:val="24"/>
        </w:rPr>
      </w:pPr>
      <w:r>
        <w:rPr>
          <w:b/>
          <w:bCs/>
          <w:i/>
          <w:sz w:val="24"/>
          <w:szCs w:val="24"/>
        </w:rPr>
        <w:t>Varianta c) - construcție cu nivel de stabilitate la incendiu III</w:t>
      </w:r>
    </w:p>
    <w:p w14:paraId="18FDE4E5" w14:textId="77777777" w:rsidR="001C08A5" w:rsidRDefault="00000000">
      <w:pPr>
        <w:jc w:val="center"/>
        <w:rPr>
          <w:i/>
          <w:sz w:val="24"/>
          <w:szCs w:val="24"/>
        </w:rPr>
      </w:pPr>
      <w:r>
        <w:rPr>
          <w:i/>
          <w:noProof/>
          <w:sz w:val="24"/>
          <w:szCs w:val="24"/>
          <w:lang w:eastAsia="ro-RO"/>
        </w:rPr>
        <w:drawing>
          <wp:inline distT="0" distB="0" distL="114300" distR="114300" wp14:anchorId="1DA219F8" wp14:editId="6ECAF5F0">
            <wp:extent cx="3959225" cy="1801495"/>
            <wp:effectExtent l="0" t="0" r="3175" b="8255"/>
            <wp:docPr id="37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44"/>
                    <pic:cNvPicPr>
                      <a:picLocks noChangeAspect="1"/>
                    </pic:cNvPicPr>
                  </pic:nvPicPr>
                  <pic:blipFill>
                    <a:blip r:embed="rId516"/>
                    <a:srcRect l="26593" t="26823" r="20985" b="43498"/>
                    <a:stretch>
                      <a:fillRect/>
                    </a:stretch>
                  </pic:blipFill>
                  <pic:spPr>
                    <a:xfrm>
                      <a:off x="0" y="0"/>
                      <a:ext cx="3959225" cy="1801495"/>
                    </a:xfrm>
                    <a:prstGeom prst="rect">
                      <a:avLst/>
                    </a:prstGeom>
                    <a:noFill/>
                    <a:ln>
                      <a:noFill/>
                    </a:ln>
                  </pic:spPr>
                </pic:pic>
              </a:graphicData>
            </a:graphic>
          </wp:inline>
        </w:drawing>
      </w:r>
    </w:p>
    <w:p w14:paraId="5F42F224" w14:textId="77777777" w:rsidR="001C08A5" w:rsidRDefault="00000000">
      <w:pPr>
        <w:jc w:val="center"/>
        <w:rPr>
          <w:i/>
          <w:sz w:val="24"/>
          <w:szCs w:val="24"/>
        </w:rPr>
      </w:pPr>
      <w:r>
        <w:rPr>
          <w:b/>
          <w:bCs/>
          <w:i/>
          <w:sz w:val="24"/>
          <w:szCs w:val="24"/>
        </w:rPr>
        <w:t>Varianta d) - construcție cu nivel de stabilitate la incendiu IV</w:t>
      </w:r>
    </w:p>
    <w:p w14:paraId="26503DD3" w14:textId="77777777" w:rsidR="001C08A5" w:rsidRDefault="00000000">
      <w:pPr>
        <w:jc w:val="center"/>
        <w:rPr>
          <w:i/>
          <w:sz w:val="24"/>
          <w:szCs w:val="24"/>
        </w:rPr>
      </w:pPr>
      <w:r>
        <w:rPr>
          <w:i/>
          <w:noProof/>
          <w:sz w:val="24"/>
          <w:szCs w:val="24"/>
          <w:lang w:eastAsia="ro-RO"/>
        </w:rPr>
        <w:drawing>
          <wp:inline distT="0" distB="0" distL="114300" distR="114300" wp14:anchorId="7B49F6E3" wp14:editId="5F9168A9">
            <wp:extent cx="3959225" cy="1826895"/>
            <wp:effectExtent l="0" t="0" r="3175" b="1905"/>
            <wp:docPr id="3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44"/>
                    <pic:cNvPicPr>
                      <a:picLocks noChangeAspect="1"/>
                    </pic:cNvPicPr>
                  </pic:nvPicPr>
                  <pic:blipFill>
                    <a:blip r:embed="rId516"/>
                    <a:srcRect l="26593" t="56931" r="20985" b="12971"/>
                    <a:stretch>
                      <a:fillRect/>
                    </a:stretch>
                  </pic:blipFill>
                  <pic:spPr>
                    <a:xfrm>
                      <a:off x="0" y="0"/>
                      <a:ext cx="3959225" cy="1826895"/>
                    </a:xfrm>
                    <a:prstGeom prst="rect">
                      <a:avLst/>
                    </a:prstGeom>
                    <a:noFill/>
                    <a:ln>
                      <a:noFill/>
                    </a:ln>
                  </pic:spPr>
                </pic:pic>
              </a:graphicData>
            </a:graphic>
          </wp:inline>
        </w:drawing>
      </w:r>
    </w:p>
    <w:p w14:paraId="6F608CF5" w14:textId="77777777" w:rsidR="001C08A5" w:rsidRDefault="00000000">
      <w:pPr>
        <w:jc w:val="center"/>
        <w:rPr>
          <w:rFonts w:eastAsia="Times New Roman"/>
          <w:i/>
          <w:sz w:val="24"/>
          <w:szCs w:val="24"/>
        </w:rPr>
      </w:pPr>
      <w:r>
        <w:rPr>
          <w:b/>
          <w:bCs/>
          <w:i/>
          <w:sz w:val="24"/>
          <w:szCs w:val="24"/>
        </w:rPr>
        <w:t>Varianta e) - construcție cu nivel de stabilitate la incendiu V</w:t>
      </w:r>
    </w:p>
    <w:p w14:paraId="660C93E1" w14:textId="77777777" w:rsidR="001C08A5" w:rsidRDefault="00000000">
      <w:pPr>
        <w:pStyle w:val="Caption"/>
        <w:jc w:val="center"/>
      </w:pPr>
      <w:bookmarkStart w:id="9919" w:name="_Toc162360491"/>
      <w:r>
        <w:t xml:space="preserve">Figura </w:t>
      </w:r>
      <w:r>
        <w:fldChar w:fldCharType="begin"/>
      </w:r>
      <w:r>
        <w:instrText xml:space="preserve"> SEQ Figura \* ARABIC </w:instrText>
      </w:r>
      <w:r>
        <w:fldChar w:fldCharType="separate"/>
      </w:r>
      <w:r>
        <w:t>267</w:t>
      </w:r>
      <w:r>
        <w:fldChar w:fldCharType="end"/>
      </w:r>
      <w:bookmarkStart w:id="9920" w:name="_Toc13090"/>
      <w:bookmarkStart w:id="9921" w:name="_Toc16771"/>
      <w:bookmarkStart w:id="9922" w:name="_Toc12897"/>
      <w:bookmarkStart w:id="9923" w:name="_Toc7201"/>
      <w:bookmarkStart w:id="9924" w:name="_Toc10162"/>
      <w:bookmarkStart w:id="9925" w:name="_Toc3489"/>
      <w:bookmarkStart w:id="9926" w:name="_Toc8996"/>
      <w:bookmarkStart w:id="9927" w:name="_Toc10262"/>
      <w:bookmarkStart w:id="9928" w:name="_Toc30678"/>
      <w:r>
        <w:t xml:space="preserve"> - Circulaţii comune orizontale din construcţii de producţie şi/sau depozitare</w:t>
      </w:r>
      <w:bookmarkEnd w:id="9916"/>
      <w:bookmarkEnd w:id="9919"/>
      <w:r>
        <w:t xml:space="preserve"> </w:t>
      </w:r>
      <w:bookmarkEnd w:id="9917"/>
      <w:bookmarkEnd w:id="9918"/>
      <w:bookmarkEnd w:id="9920"/>
      <w:bookmarkEnd w:id="9921"/>
      <w:bookmarkEnd w:id="9922"/>
      <w:bookmarkEnd w:id="9923"/>
      <w:bookmarkEnd w:id="9924"/>
      <w:bookmarkEnd w:id="9925"/>
      <w:bookmarkEnd w:id="9926"/>
      <w:bookmarkEnd w:id="9927"/>
      <w:bookmarkEnd w:id="9928"/>
    </w:p>
    <w:p w14:paraId="0B9208C4" w14:textId="77777777" w:rsidR="001C08A5" w:rsidRDefault="00000000">
      <w:pPr>
        <w:pStyle w:val="Heading4"/>
        <w:rPr>
          <w:sz w:val="24"/>
          <w:szCs w:val="24"/>
        </w:rPr>
      </w:pPr>
      <w:bookmarkStart w:id="9929" w:name="_Toc2550"/>
      <w:bookmarkStart w:id="9930" w:name="_Toc12958"/>
      <w:bookmarkStart w:id="9931" w:name="_Toc6628"/>
      <w:bookmarkStart w:id="9932" w:name="_Toc6614"/>
      <w:bookmarkStart w:id="9933" w:name="_Toc11653"/>
      <w:bookmarkStart w:id="9934" w:name="_Toc25809"/>
      <w:bookmarkStart w:id="9935" w:name="_Toc28316"/>
      <w:bookmarkStart w:id="9936" w:name="_Toc162355493"/>
      <w:bookmarkStart w:id="9937" w:name="_Toc15337"/>
      <w:bookmarkStart w:id="9938" w:name="_Toc16309"/>
      <w:bookmarkStart w:id="9939" w:name="_Toc8241"/>
      <w:bookmarkStart w:id="9940" w:name="_Toc25564"/>
      <w:bookmarkStart w:id="9941" w:name="_Toc13285"/>
      <w:bookmarkStart w:id="9942" w:name="_Toc5283"/>
      <w:bookmarkStart w:id="9943" w:name="_Toc3773"/>
      <w:bookmarkStart w:id="9944" w:name="_Toc11252"/>
      <w:bookmarkStart w:id="9945" w:name="_Toc14434"/>
      <w:r>
        <w:rPr>
          <w:sz w:val="24"/>
          <w:szCs w:val="24"/>
        </w:rPr>
        <w:t>Goluri de acces la circulaţii comune orizontale din construcţii de producţie şi/sau depozitare</w:t>
      </w:r>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r>
        <w:rPr>
          <w:sz w:val="24"/>
          <w:szCs w:val="24"/>
        </w:rPr>
        <w:t xml:space="preserve"> </w:t>
      </w:r>
    </w:p>
    <w:p w14:paraId="7C66FB80"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 xml:space="preserve">Golurile de circulaţie dispuse în pereţii de separare a circulaţiilor comune orizontale din construcţiile de producţie şi/sau depozitare, se protejază corespunzător riscurilor de incendiu specifice încăperilor adiacente, respectiv cu uşi care asigură minimum:  </w:t>
      </w:r>
    </w:p>
    <w:p w14:paraId="15CB5577" w14:textId="77777777" w:rsidR="001C08A5" w:rsidRDefault="00000000">
      <w:pPr>
        <w:ind w:left="1440" w:firstLine="720"/>
        <w:jc w:val="both"/>
        <w:rPr>
          <w:rFonts w:eastAsia="Times New Roman"/>
          <w:i/>
          <w:sz w:val="24"/>
          <w:szCs w:val="24"/>
        </w:rPr>
      </w:pPr>
      <w:r>
        <w:rPr>
          <w:rFonts w:eastAsia="Times New Roman"/>
          <w:i/>
          <w:sz w:val="24"/>
          <w:szCs w:val="24"/>
        </w:rPr>
        <w:t>a)</w:t>
      </w:r>
      <w:r>
        <w:rPr>
          <w:rFonts w:eastAsia="Times New Roman"/>
          <w:i/>
          <w:sz w:val="24"/>
          <w:szCs w:val="24"/>
        </w:rPr>
        <w:tab/>
      </w:r>
      <w:r>
        <w:rPr>
          <w:rFonts w:eastAsia="Times New Roman"/>
          <w:b/>
          <w:bCs/>
          <w:i/>
          <w:sz w:val="24"/>
          <w:szCs w:val="24"/>
        </w:rPr>
        <w:t>E 15-C5S</w:t>
      </w:r>
      <w:r>
        <w:rPr>
          <w:rFonts w:eastAsia="Times New Roman"/>
          <w:b/>
          <w:bCs/>
          <w:i/>
          <w:sz w:val="24"/>
          <w:szCs w:val="24"/>
          <w:vertAlign w:val="subscript"/>
        </w:rPr>
        <w:t>200</w:t>
      </w:r>
      <w:r>
        <w:rPr>
          <w:rFonts w:eastAsia="Times New Roman"/>
          <w:i/>
          <w:sz w:val="24"/>
          <w:szCs w:val="24"/>
        </w:rPr>
        <w:t xml:space="preserve"> la risc mic de incendiu;</w:t>
      </w:r>
    </w:p>
    <w:p w14:paraId="349A625D" w14:textId="77777777" w:rsidR="001C08A5" w:rsidRDefault="00000000">
      <w:pPr>
        <w:ind w:left="1440" w:firstLine="720"/>
        <w:jc w:val="both"/>
        <w:rPr>
          <w:rFonts w:eastAsia="Times New Roman"/>
          <w:i/>
          <w:sz w:val="24"/>
          <w:szCs w:val="24"/>
        </w:rPr>
      </w:pPr>
      <w:r>
        <w:rPr>
          <w:rFonts w:eastAsia="Times New Roman"/>
          <w:i/>
          <w:sz w:val="24"/>
          <w:szCs w:val="24"/>
        </w:rPr>
        <w:t>b)</w:t>
      </w:r>
      <w:r>
        <w:rPr>
          <w:rFonts w:eastAsia="Times New Roman"/>
          <w:i/>
          <w:sz w:val="24"/>
          <w:szCs w:val="24"/>
        </w:rPr>
        <w:tab/>
      </w:r>
      <w:r>
        <w:rPr>
          <w:rFonts w:eastAsia="Times New Roman"/>
          <w:b/>
          <w:bCs/>
          <w:i/>
          <w:sz w:val="24"/>
          <w:szCs w:val="24"/>
        </w:rPr>
        <w:t>EI</w:t>
      </w:r>
      <w:r>
        <w:rPr>
          <w:rFonts w:eastAsia="Times New Roman"/>
          <w:b/>
          <w:bCs/>
          <w:i/>
          <w:sz w:val="24"/>
          <w:szCs w:val="24"/>
          <w:vertAlign w:val="subscript"/>
        </w:rPr>
        <w:t>2</w:t>
      </w:r>
      <w:r>
        <w:rPr>
          <w:rFonts w:eastAsia="Times New Roman"/>
          <w:b/>
          <w:bCs/>
          <w:i/>
          <w:sz w:val="24"/>
          <w:szCs w:val="24"/>
        </w:rPr>
        <w:t xml:space="preserve"> 30-C5S</w:t>
      </w:r>
      <w:r>
        <w:rPr>
          <w:rFonts w:eastAsia="Times New Roman"/>
          <w:b/>
          <w:bCs/>
          <w:i/>
          <w:sz w:val="24"/>
          <w:szCs w:val="24"/>
          <w:vertAlign w:val="subscript"/>
        </w:rPr>
        <w:t>200</w:t>
      </w:r>
      <w:r>
        <w:rPr>
          <w:rFonts w:eastAsia="Times New Roman"/>
          <w:b/>
          <w:bCs/>
          <w:i/>
          <w:sz w:val="24"/>
          <w:szCs w:val="24"/>
        </w:rPr>
        <w:t xml:space="preserve"> </w:t>
      </w:r>
      <w:r>
        <w:rPr>
          <w:rFonts w:eastAsia="Times New Roman"/>
          <w:i/>
          <w:sz w:val="24"/>
          <w:szCs w:val="24"/>
        </w:rPr>
        <w:t xml:space="preserve">la risc mijlociu de incendiu; </w:t>
      </w:r>
    </w:p>
    <w:p w14:paraId="21BC631A" w14:textId="77777777" w:rsidR="001C08A5" w:rsidRDefault="00000000">
      <w:pPr>
        <w:ind w:left="1440" w:firstLine="720"/>
        <w:jc w:val="both"/>
        <w:rPr>
          <w:rFonts w:eastAsia="Times New Roman"/>
          <w:i/>
          <w:sz w:val="24"/>
          <w:szCs w:val="24"/>
        </w:rPr>
      </w:pPr>
      <w:r>
        <w:rPr>
          <w:rFonts w:eastAsia="Times New Roman"/>
          <w:i/>
          <w:sz w:val="24"/>
          <w:szCs w:val="24"/>
        </w:rPr>
        <w:t>c)</w:t>
      </w:r>
      <w:r>
        <w:rPr>
          <w:rFonts w:eastAsia="Times New Roman"/>
          <w:i/>
          <w:sz w:val="24"/>
          <w:szCs w:val="24"/>
        </w:rPr>
        <w:tab/>
      </w:r>
      <w:r>
        <w:rPr>
          <w:rFonts w:eastAsia="Times New Roman"/>
          <w:b/>
          <w:bCs/>
          <w:i/>
          <w:sz w:val="24"/>
          <w:szCs w:val="24"/>
        </w:rPr>
        <w:t>EI</w:t>
      </w:r>
      <w:r>
        <w:rPr>
          <w:rFonts w:eastAsia="Times New Roman"/>
          <w:b/>
          <w:bCs/>
          <w:i/>
          <w:sz w:val="24"/>
          <w:szCs w:val="24"/>
          <w:vertAlign w:val="subscript"/>
        </w:rPr>
        <w:t>2</w:t>
      </w:r>
      <w:r>
        <w:rPr>
          <w:rFonts w:eastAsia="Times New Roman"/>
          <w:b/>
          <w:bCs/>
          <w:i/>
          <w:sz w:val="24"/>
          <w:szCs w:val="24"/>
        </w:rPr>
        <w:t xml:space="preserve"> 60-C5S</w:t>
      </w:r>
      <w:r>
        <w:rPr>
          <w:rFonts w:eastAsia="Times New Roman"/>
          <w:b/>
          <w:bCs/>
          <w:i/>
          <w:sz w:val="24"/>
          <w:szCs w:val="24"/>
          <w:vertAlign w:val="subscript"/>
        </w:rPr>
        <w:t>200</w:t>
      </w:r>
      <w:r>
        <w:rPr>
          <w:rFonts w:eastAsia="Times New Roman"/>
          <w:i/>
          <w:sz w:val="24"/>
          <w:szCs w:val="24"/>
        </w:rPr>
        <w:t xml:space="preserve"> la risc mare de incendiu; </w:t>
      </w:r>
    </w:p>
    <w:p w14:paraId="5332A3B4" w14:textId="77777777" w:rsidR="001C08A5" w:rsidRDefault="00000000">
      <w:pPr>
        <w:ind w:left="1440" w:firstLine="720"/>
        <w:jc w:val="both"/>
        <w:rPr>
          <w:rFonts w:eastAsia="Times New Roman"/>
          <w:i/>
          <w:sz w:val="24"/>
          <w:szCs w:val="24"/>
        </w:rPr>
      </w:pPr>
      <w:r>
        <w:rPr>
          <w:rFonts w:eastAsia="Times New Roman"/>
          <w:i/>
          <w:sz w:val="24"/>
          <w:szCs w:val="24"/>
        </w:rPr>
        <w:t xml:space="preserve">d)     </w:t>
      </w:r>
      <w:r>
        <w:rPr>
          <w:rFonts w:eastAsia="Times New Roman"/>
          <w:b/>
          <w:bCs/>
          <w:i/>
          <w:sz w:val="24"/>
          <w:szCs w:val="24"/>
        </w:rPr>
        <w:t>EI</w:t>
      </w:r>
      <w:r>
        <w:rPr>
          <w:rFonts w:eastAsia="Times New Roman"/>
          <w:b/>
          <w:bCs/>
          <w:i/>
          <w:sz w:val="24"/>
          <w:szCs w:val="24"/>
          <w:vertAlign w:val="subscript"/>
        </w:rPr>
        <w:t>2</w:t>
      </w:r>
      <w:r>
        <w:rPr>
          <w:rFonts w:eastAsia="Times New Roman"/>
          <w:b/>
          <w:bCs/>
          <w:i/>
          <w:sz w:val="24"/>
          <w:szCs w:val="24"/>
        </w:rPr>
        <w:t xml:space="preserve"> 90-C5S</w:t>
      </w:r>
      <w:r>
        <w:rPr>
          <w:rFonts w:eastAsia="Times New Roman"/>
          <w:b/>
          <w:bCs/>
          <w:i/>
          <w:sz w:val="24"/>
          <w:szCs w:val="24"/>
          <w:vertAlign w:val="subscript"/>
        </w:rPr>
        <w:t>200</w:t>
      </w:r>
      <w:r>
        <w:rPr>
          <w:rFonts w:eastAsia="Times New Roman"/>
          <w:i/>
          <w:sz w:val="24"/>
          <w:szCs w:val="24"/>
        </w:rPr>
        <w:t xml:space="preserve"> la risc foarte mare de incendiu, respectiv încăperi tampon protejate, ventilate în suprapresiune şi prevăzute cu uşi rezistente la foc </w:t>
      </w:r>
      <w:r>
        <w:rPr>
          <w:rFonts w:eastAsia="Times New Roman"/>
          <w:b/>
          <w:bCs/>
          <w:i/>
          <w:sz w:val="24"/>
          <w:szCs w:val="24"/>
        </w:rPr>
        <w:t>EI</w:t>
      </w:r>
      <w:r>
        <w:rPr>
          <w:rFonts w:eastAsia="Times New Roman"/>
          <w:b/>
          <w:bCs/>
          <w:i/>
          <w:sz w:val="24"/>
          <w:szCs w:val="24"/>
          <w:vertAlign w:val="subscript"/>
        </w:rPr>
        <w:t>2</w:t>
      </w:r>
      <w:r>
        <w:rPr>
          <w:rFonts w:eastAsia="Times New Roman"/>
          <w:b/>
          <w:bCs/>
          <w:i/>
          <w:sz w:val="24"/>
          <w:szCs w:val="24"/>
        </w:rPr>
        <w:t>90-C5 S</w:t>
      </w:r>
      <w:r>
        <w:rPr>
          <w:rFonts w:eastAsia="Times New Roman"/>
          <w:b/>
          <w:bCs/>
          <w:i/>
          <w:sz w:val="24"/>
          <w:szCs w:val="24"/>
          <w:vertAlign w:val="subscript"/>
        </w:rPr>
        <w:t>200</w:t>
      </w:r>
      <w:r>
        <w:rPr>
          <w:rFonts w:eastAsia="Times New Roman"/>
          <w:i/>
          <w:sz w:val="24"/>
          <w:szCs w:val="24"/>
        </w:rPr>
        <w:t>, la cele care sunt şi cu risc de explozie volumetrică.</w:t>
      </w:r>
    </w:p>
    <w:p w14:paraId="58BF0043" w14:textId="77777777" w:rsidR="001C08A5" w:rsidRDefault="001C08A5">
      <w:pPr>
        <w:jc w:val="center"/>
        <w:rPr>
          <w:i/>
          <w:sz w:val="24"/>
          <w:szCs w:val="24"/>
        </w:rPr>
      </w:pPr>
    </w:p>
    <w:p w14:paraId="3279FC4F" w14:textId="77777777" w:rsidR="001C08A5" w:rsidRDefault="00000000">
      <w:pPr>
        <w:jc w:val="center"/>
        <w:rPr>
          <w:i/>
          <w:sz w:val="24"/>
          <w:szCs w:val="24"/>
        </w:rPr>
      </w:pPr>
      <w:r>
        <w:rPr>
          <w:i/>
          <w:noProof/>
          <w:sz w:val="24"/>
          <w:szCs w:val="24"/>
          <w:lang w:eastAsia="ro-RO"/>
        </w:rPr>
        <w:lastRenderedPageBreak/>
        <w:drawing>
          <wp:inline distT="0" distB="0" distL="114300" distR="114300" wp14:anchorId="68690185" wp14:editId="1F6C3B43">
            <wp:extent cx="3958590" cy="1826895"/>
            <wp:effectExtent l="0" t="0" r="3810" b="1905"/>
            <wp:docPr id="37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47"/>
                    <pic:cNvPicPr>
                      <a:picLocks noChangeAspect="1"/>
                    </pic:cNvPicPr>
                  </pic:nvPicPr>
                  <pic:blipFill>
                    <a:blip r:embed="rId517"/>
                    <a:srcRect l="26602" t="6570" r="20985" b="63333"/>
                    <a:stretch>
                      <a:fillRect/>
                    </a:stretch>
                  </pic:blipFill>
                  <pic:spPr>
                    <a:xfrm>
                      <a:off x="0" y="0"/>
                      <a:ext cx="3958590" cy="1826895"/>
                    </a:xfrm>
                    <a:prstGeom prst="rect">
                      <a:avLst/>
                    </a:prstGeom>
                    <a:noFill/>
                    <a:ln>
                      <a:noFill/>
                    </a:ln>
                  </pic:spPr>
                </pic:pic>
              </a:graphicData>
            </a:graphic>
          </wp:inline>
        </w:drawing>
      </w:r>
    </w:p>
    <w:p w14:paraId="0CD120BE" w14:textId="77777777" w:rsidR="001C08A5" w:rsidRDefault="00000000">
      <w:pPr>
        <w:jc w:val="center"/>
        <w:rPr>
          <w:i/>
          <w:sz w:val="24"/>
          <w:szCs w:val="24"/>
        </w:rPr>
      </w:pPr>
      <w:r>
        <w:rPr>
          <w:b/>
          <w:bCs/>
          <w:i/>
          <w:sz w:val="24"/>
          <w:szCs w:val="24"/>
        </w:rPr>
        <w:t>Varianta a) - risc mic</w:t>
      </w:r>
    </w:p>
    <w:p w14:paraId="4DE1DBC9" w14:textId="77777777" w:rsidR="001C08A5" w:rsidRDefault="00000000">
      <w:pPr>
        <w:jc w:val="center"/>
        <w:rPr>
          <w:i/>
          <w:sz w:val="24"/>
          <w:szCs w:val="24"/>
        </w:rPr>
      </w:pPr>
      <w:r>
        <w:rPr>
          <w:i/>
          <w:noProof/>
          <w:sz w:val="24"/>
          <w:szCs w:val="24"/>
          <w:lang w:eastAsia="ro-RO"/>
        </w:rPr>
        <w:drawing>
          <wp:inline distT="0" distB="0" distL="114300" distR="114300" wp14:anchorId="162A3B0E" wp14:editId="6D284706">
            <wp:extent cx="3958590" cy="1826260"/>
            <wp:effectExtent l="0" t="0" r="3810" b="2540"/>
            <wp:docPr id="37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47"/>
                    <pic:cNvPicPr>
                      <a:picLocks noChangeAspect="1"/>
                    </pic:cNvPicPr>
                  </pic:nvPicPr>
                  <pic:blipFill>
                    <a:blip r:embed="rId517"/>
                    <a:srcRect l="26602" t="36960" r="20985" b="32953"/>
                    <a:stretch>
                      <a:fillRect/>
                    </a:stretch>
                  </pic:blipFill>
                  <pic:spPr>
                    <a:xfrm>
                      <a:off x="0" y="0"/>
                      <a:ext cx="3958590" cy="1826260"/>
                    </a:xfrm>
                    <a:prstGeom prst="rect">
                      <a:avLst/>
                    </a:prstGeom>
                    <a:noFill/>
                    <a:ln>
                      <a:noFill/>
                    </a:ln>
                  </pic:spPr>
                </pic:pic>
              </a:graphicData>
            </a:graphic>
          </wp:inline>
        </w:drawing>
      </w:r>
    </w:p>
    <w:p w14:paraId="6CB981C9" w14:textId="77777777" w:rsidR="001C08A5" w:rsidRDefault="00000000">
      <w:pPr>
        <w:jc w:val="center"/>
        <w:rPr>
          <w:i/>
          <w:sz w:val="24"/>
          <w:szCs w:val="24"/>
        </w:rPr>
      </w:pPr>
      <w:r>
        <w:rPr>
          <w:b/>
          <w:bCs/>
          <w:i/>
          <w:sz w:val="24"/>
          <w:szCs w:val="24"/>
        </w:rPr>
        <w:t>Varianta b) - risc mijlociu</w:t>
      </w:r>
    </w:p>
    <w:p w14:paraId="23B4FF12" w14:textId="77777777" w:rsidR="001C08A5" w:rsidRDefault="00000000">
      <w:pPr>
        <w:jc w:val="center"/>
        <w:rPr>
          <w:i/>
          <w:sz w:val="24"/>
          <w:szCs w:val="24"/>
        </w:rPr>
      </w:pPr>
      <w:r>
        <w:rPr>
          <w:i/>
          <w:noProof/>
          <w:sz w:val="24"/>
          <w:szCs w:val="24"/>
          <w:lang w:eastAsia="ro-RO"/>
        </w:rPr>
        <w:drawing>
          <wp:inline distT="0" distB="0" distL="114300" distR="114300" wp14:anchorId="3D39A133" wp14:editId="66E9EA48">
            <wp:extent cx="6054725" cy="1818640"/>
            <wp:effectExtent l="0" t="0" r="3175" b="10160"/>
            <wp:docPr id="37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47"/>
                    <pic:cNvPicPr>
                      <a:picLocks noChangeAspect="1"/>
                    </pic:cNvPicPr>
                  </pic:nvPicPr>
                  <pic:blipFill>
                    <a:blip r:embed="rId517"/>
                    <a:srcRect l="12384" t="67329" r="7449" b="2708"/>
                    <a:stretch>
                      <a:fillRect/>
                    </a:stretch>
                  </pic:blipFill>
                  <pic:spPr>
                    <a:xfrm>
                      <a:off x="0" y="0"/>
                      <a:ext cx="6054725" cy="1818640"/>
                    </a:xfrm>
                    <a:prstGeom prst="rect">
                      <a:avLst/>
                    </a:prstGeom>
                    <a:noFill/>
                    <a:ln>
                      <a:noFill/>
                    </a:ln>
                  </pic:spPr>
                </pic:pic>
              </a:graphicData>
            </a:graphic>
          </wp:inline>
        </w:drawing>
      </w:r>
    </w:p>
    <w:p w14:paraId="71AA2389" w14:textId="77777777" w:rsidR="001C08A5" w:rsidRDefault="00000000">
      <w:pPr>
        <w:jc w:val="center"/>
        <w:rPr>
          <w:i/>
          <w:sz w:val="24"/>
          <w:szCs w:val="24"/>
        </w:rPr>
      </w:pPr>
      <w:r>
        <w:rPr>
          <w:b/>
          <w:bCs/>
          <w:i/>
          <w:sz w:val="24"/>
          <w:szCs w:val="24"/>
        </w:rPr>
        <w:t>Varianta c) - risc mare</w:t>
      </w:r>
    </w:p>
    <w:p w14:paraId="27224258" w14:textId="77777777" w:rsidR="001C08A5" w:rsidRDefault="00000000">
      <w:pPr>
        <w:jc w:val="center"/>
        <w:rPr>
          <w:i/>
          <w:sz w:val="24"/>
          <w:szCs w:val="24"/>
        </w:rPr>
      </w:pPr>
      <w:r>
        <w:rPr>
          <w:i/>
          <w:noProof/>
          <w:sz w:val="24"/>
          <w:szCs w:val="24"/>
          <w:lang w:eastAsia="ro-RO"/>
        </w:rPr>
        <w:drawing>
          <wp:inline distT="0" distB="0" distL="114300" distR="114300" wp14:anchorId="36CDB44F" wp14:editId="0C8B009C">
            <wp:extent cx="4573905" cy="1800860"/>
            <wp:effectExtent l="0" t="0" r="17145" b="8890"/>
            <wp:docPr id="37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48"/>
                    <pic:cNvPicPr>
                      <a:picLocks noChangeAspect="1"/>
                    </pic:cNvPicPr>
                  </pic:nvPicPr>
                  <pic:blipFill>
                    <a:blip r:embed="rId518"/>
                    <a:srcRect l="23390" t="32106" r="16051" b="38226"/>
                    <a:stretch>
                      <a:fillRect/>
                    </a:stretch>
                  </pic:blipFill>
                  <pic:spPr>
                    <a:xfrm>
                      <a:off x="0" y="0"/>
                      <a:ext cx="4573905" cy="1800860"/>
                    </a:xfrm>
                    <a:prstGeom prst="rect">
                      <a:avLst/>
                    </a:prstGeom>
                    <a:noFill/>
                    <a:ln>
                      <a:noFill/>
                    </a:ln>
                  </pic:spPr>
                </pic:pic>
              </a:graphicData>
            </a:graphic>
          </wp:inline>
        </w:drawing>
      </w:r>
    </w:p>
    <w:p w14:paraId="6858024F" w14:textId="77777777" w:rsidR="001C08A5" w:rsidRDefault="00000000">
      <w:pPr>
        <w:jc w:val="center"/>
        <w:rPr>
          <w:i/>
          <w:sz w:val="24"/>
          <w:szCs w:val="24"/>
        </w:rPr>
      </w:pPr>
      <w:r>
        <w:rPr>
          <w:b/>
          <w:bCs/>
          <w:i/>
          <w:sz w:val="24"/>
          <w:szCs w:val="24"/>
        </w:rPr>
        <w:t>Varianta d) - risc foarte mare</w:t>
      </w:r>
    </w:p>
    <w:p w14:paraId="135D7076" w14:textId="77777777" w:rsidR="001C08A5" w:rsidRDefault="00000000">
      <w:pPr>
        <w:jc w:val="center"/>
        <w:rPr>
          <w:i/>
          <w:sz w:val="24"/>
          <w:szCs w:val="24"/>
        </w:rPr>
      </w:pPr>
      <w:r>
        <w:rPr>
          <w:i/>
          <w:noProof/>
          <w:sz w:val="24"/>
          <w:szCs w:val="24"/>
          <w:lang w:eastAsia="ro-RO"/>
        </w:rPr>
        <w:lastRenderedPageBreak/>
        <w:drawing>
          <wp:inline distT="0" distB="0" distL="114300" distR="114300" wp14:anchorId="4BA32634" wp14:editId="4CFD884F">
            <wp:extent cx="4573905" cy="1835785"/>
            <wp:effectExtent l="0" t="0" r="17145" b="12065"/>
            <wp:docPr id="37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48"/>
                    <pic:cNvPicPr>
                      <a:picLocks noChangeAspect="1"/>
                    </pic:cNvPicPr>
                  </pic:nvPicPr>
                  <pic:blipFill>
                    <a:blip r:embed="rId518"/>
                    <a:srcRect l="23390" t="62057" r="16051" b="7700"/>
                    <a:stretch>
                      <a:fillRect/>
                    </a:stretch>
                  </pic:blipFill>
                  <pic:spPr>
                    <a:xfrm>
                      <a:off x="0" y="0"/>
                      <a:ext cx="4573905" cy="1835785"/>
                    </a:xfrm>
                    <a:prstGeom prst="rect">
                      <a:avLst/>
                    </a:prstGeom>
                    <a:noFill/>
                    <a:ln>
                      <a:noFill/>
                    </a:ln>
                  </pic:spPr>
                </pic:pic>
              </a:graphicData>
            </a:graphic>
          </wp:inline>
        </w:drawing>
      </w:r>
    </w:p>
    <w:p w14:paraId="02B01798" w14:textId="77777777" w:rsidR="001C08A5" w:rsidRDefault="00000000">
      <w:pPr>
        <w:jc w:val="center"/>
        <w:rPr>
          <w:rFonts w:eastAsia="Times New Roman"/>
          <w:i/>
          <w:sz w:val="24"/>
          <w:szCs w:val="24"/>
        </w:rPr>
      </w:pPr>
      <w:r>
        <w:rPr>
          <w:b/>
          <w:bCs/>
          <w:i/>
          <w:sz w:val="24"/>
          <w:szCs w:val="24"/>
        </w:rPr>
        <w:t>Varianta e) - risc foarte mare și explozie volumetrică</w:t>
      </w:r>
    </w:p>
    <w:p w14:paraId="3885C297" w14:textId="77777777" w:rsidR="001C08A5" w:rsidRDefault="00000000">
      <w:pPr>
        <w:pStyle w:val="Caption"/>
        <w:jc w:val="center"/>
      </w:pPr>
      <w:bookmarkStart w:id="9946" w:name="_Toc142898647"/>
      <w:bookmarkStart w:id="9947" w:name="_Toc162360492"/>
      <w:bookmarkStart w:id="9948" w:name="_Toc19194"/>
      <w:r>
        <w:t xml:space="preserve">Figura </w:t>
      </w:r>
      <w:r>
        <w:fldChar w:fldCharType="begin"/>
      </w:r>
      <w:r>
        <w:instrText xml:space="preserve"> SEQ Figura \* ARABIC </w:instrText>
      </w:r>
      <w:r>
        <w:fldChar w:fldCharType="separate"/>
      </w:r>
      <w:r>
        <w:t>268</w:t>
      </w:r>
      <w:r>
        <w:fldChar w:fldCharType="end"/>
      </w:r>
      <w:bookmarkStart w:id="9949" w:name="_Toc25610"/>
      <w:bookmarkStart w:id="9950" w:name="_Toc29173"/>
      <w:bookmarkStart w:id="9951" w:name="_Toc7953"/>
      <w:bookmarkStart w:id="9952" w:name="_Toc14257"/>
      <w:bookmarkStart w:id="9953" w:name="_Toc1306"/>
      <w:bookmarkStart w:id="9954" w:name="_Toc26156"/>
      <w:bookmarkStart w:id="9955" w:name="_Toc21648"/>
      <w:bookmarkStart w:id="9956" w:name="_Toc18054"/>
      <w:bookmarkStart w:id="9957" w:name="_Toc17352"/>
      <w:r>
        <w:t xml:space="preserve"> - Goluri de acces la circulaţii comune orizontale din construcţii de producţie şi/sau depozitare</w:t>
      </w:r>
      <w:bookmarkEnd w:id="9946"/>
      <w:bookmarkEnd w:id="9947"/>
      <w:r>
        <w:t xml:space="preserve"> </w:t>
      </w:r>
      <w:bookmarkEnd w:id="9948"/>
      <w:bookmarkEnd w:id="9949"/>
      <w:bookmarkEnd w:id="9950"/>
      <w:bookmarkEnd w:id="9951"/>
      <w:bookmarkEnd w:id="9952"/>
      <w:bookmarkEnd w:id="9953"/>
      <w:bookmarkEnd w:id="9954"/>
      <w:bookmarkEnd w:id="9955"/>
      <w:bookmarkEnd w:id="9956"/>
      <w:bookmarkEnd w:id="9957"/>
    </w:p>
    <w:p w14:paraId="7E86E050" w14:textId="77777777" w:rsidR="001C08A5" w:rsidRDefault="00000000">
      <w:pPr>
        <w:pStyle w:val="Heading4"/>
        <w:rPr>
          <w:sz w:val="24"/>
          <w:szCs w:val="24"/>
        </w:rPr>
      </w:pPr>
      <w:bookmarkStart w:id="9958" w:name="_Toc10097"/>
      <w:bookmarkStart w:id="9959" w:name="_Toc11450"/>
      <w:bookmarkStart w:id="9960" w:name="_Toc6746"/>
      <w:bookmarkStart w:id="9961" w:name="_Toc12763"/>
      <w:bookmarkStart w:id="9962" w:name="_Toc162355494"/>
      <w:bookmarkStart w:id="9963" w:name="_Toc29826"/>
      <w:r>
        <w:rPr>
          <w:sz w:val="24"/>
          <w:szCs w:val="24"/>
        </w:rPr>
        <w:t>Goluri de acces la ascensoare de persoane, de marfă sau la alte mijloace mecanice de transport pe verticală din construcţii de producţie şi/sau depozitare</w:t>
      </w:r>
      <w:bookmarkEnd w:id="9958"/>
      <w:bookmarkEnd w:id="9959"/>
      <w:bookmarkEnd w:id="9960"/>
      <w:bookmarkEnd w:id="9961"/>
      <w:bookmarkEnd w:id="9962"/>
      <w:bookmarkEnd w:id="9963"/>
      <w:r>
        <w:rPr>
          <w:sz w:val="24"/>
          <w:szCs w:val="24"/>
        </w:rPr>
        <w:t xml:space="preserve"> </w:t>
      </w:r>
    </w:p>
    <w:p w14:paraId="17585C85" w14:textId="77777777" w:rsidR="001C08A5" w:rsidRDefault="001C08A5">
      <w:pPr>
        <w:jc w:val="both"/>
        <w:rPr>
          <w:rFonts w:eastAsia="Times New Roman"/>
          <w:i/>
          <w:sz w:val="24"/>
          <w:szCs w:val="24"/>
        </w:rPr>
      </w:pPr>
    </w:p>
    <w:p w14:paraId="33E20CBF" w14:textId="77777777" w:rsidR="001C08A5" w:rsidRDefault="00000000">
      <w:pPr>
        <w:numPr>
          <w:ilvl w:val="0"/>
          <w:numId w:val="96"/>
        </w:numPr>
        <w:tabs>
          <w:tab w:val="left" w:pos="426"/>
          <w:tab w:val="left" w:pos="993"/>
        </w:tabs>
        <w:jc w:val="both"/>
        <w:rPr>
          <w:rFonts w:eastAsia="Times New Roman"/>
          <w:b/>
          <w:i/>
          <w:sz w:val="24"/>
        </w:rPr>
      </w:pPr>
      <w:r>
        <w:rPr>
          <w:rFonts w:eastAsia="Times New Roman"/>
          <w:i/>
          <w:sz w:val="24"/>
        </w:rPr>
        <w:t>Golurile de palier prin care utilizatorii au acces la ascensoare de persoane, de marfă sau la alte mijloace mecanice de transport pe verticală din construcţiile de producţie şi/sau depozitare, se protejează cu:</w:t>
      </w:r>
    </w:p>
    <w:p w14:paraId="020FB83C" w14:textId="77777777" w:rsidR="001C08A5" w:rsidRDefault="00000000">
      <w:pPr>
        <w:ind w:left="1440" w:firstLine="720"/>
        <w:jc w:val="both"/>
        <w:rPr>
          <w:rFonts w:eastAsia="Times New Roman"/>
          <w:i/>
          <w:sz w:val="24"/>
          <w:szCs w:val="24"/>
        </w:rPr>
      </w:pPr>
      <w:r>
        <w:rPr>
          <w:rFonts w:eastAsia="Times New Roman"/>
          <w:i/>
          <w:sz w:val="24"/>
          <w:szCs w:val="24"/>
        </w:rPr>
        <w:t>a)</w:t>
      </w:r>
      <w:r>
        <w:rPr>
          <w:rFonts w:eastAsia="Times New Roman"/>
          <w:i/>
          <w:sz w:val="24"/>
          <w:szCs w:val="24"/>
        </w:rPr>
        <w:tab/>
        <w:t xml:space="preserve">uşi etanşe la foc </w:t>
      </w:r>
      <w:r>
        <w:rPr>
          <w:rFonts w:eastAsia="Times New Roman"/>
          <w:b/>
          <w:bCs/>
          <w:i/>
          <w:sz w:val="24"/>
          <w:szCs w:val="24"/>
        </w:rPr>
        <w:t>E 15</w:t>
      </w:r>
      <w:r>
        <w:rPr>
          <w:rFonts w:eastAsia="Times New Roman"/>
          <w:i/>
          <w:sz w:val="24"/>
          <w:szCs w:val="24"/>
        </w:rPr>
        <w:t>, atunci când constituie cale de acces din încăperi cu risc mic de incendiu;</w:t>
      </w:r>
    </w:p>
    <w:p w14:paraId="301B75CB" w14:textId="77777777" w:rsidR="001C08A5" w:rsidRDefault="00000000">
      <w:pPr>
        <w:ind w:left="1440" w:firstLine="720"/>
        <w:jc w:val="both"/>
        <w:rPr>
          <w:rFonts w:eastAsia="Times New Roman"/>
          <w:i/>
          <w:sz w:val="24"/>
          <w:szCs w:val="24"/>
        </w:rPr>
      </w:pPr>
      <w:r>
        <w:rPr>
          <w:rFonts w:eastAsia="Times New Roman"/>
          <w:i/>
          <w:sz w:val="24"/>
          <w:szCs w:val="24"/>
        </w:rPr>
        <w:t>b)</w:t>
      </w:r>
      <w:r>
        <w:rPr>
          <w:rFonts w:eastAsia="Times New Roman"/>
          <w:i/>
          <w:sz w:val="24"/>
          <w:szCs w:val="24"/>
        </w:rPr>
        <w:tab/>
        <w:t xml:space="preserve">uşi rezistente la foc </w:t>
      </w:r>
      <w:r>
        <w:rPr>
          <w:rFonts w:eastAsia="Times New Roman"/>
          <w:b/>
          <w:bCs/>
          <w:i/>
          <w:sz w:val="24"/>
          <w:szCs w:val="24"/>
        </w:rPr>
        <w:t>EI 45</w:t>
      </w:r>
      <w:r>
        <w:rPr>
          <w:rFonts w:eastAsia="Times New Roman"/>
          <w:i/>
          <w:sz w:val="24"/>
          <w:szCs w:val="24"/>
        </w:rPr>
        <w:t>, atunci când constituie cale de acces din încăperi cu risc mijlociu de incendiu;</w:t>
      </w:r>
    </w:p>
    <w:p w14:paraId="2882B5BB" w14:textId="77777777" w:rsidR="001C08A5" w:rsidRDefault="00000000">
      <w:pPr>
        <w:ind w:left="1440" w:firstLine="720"/>
        <w:jc w:val="both"/>
        <w:rPr>
          <w:rFonts w:eastAsia="Times New Roman"/>
          <w:i/>
          <w:sz w:val="24"/>
          <w:szCs w:val="24"/>
        </w:rPr>
      </w:pPr>
      <w:r>
        <w:rPr>
          <w:rFonts w:eastAsia="Times New Roman"/>
          <w:i/>
          <w:sz w:val="24"/>
          <w:szCs w:val="24"/>
        </w:rPr>
        <w:t>c)</w:t>
      </w:r>
      <w:r>
        <w:rPr>
          <w:rFonts w:eastAsia="Times New Roman"/>
          <w:i/>
          <w:sz w:val="24"/>
          <w:szCs w:val="24"/>
        </w:rPr>
        <w:tab/>
        <w:t xml:space="preserve">uşi rezistente la foc </w:t>
      </w:r>
      <w:r>
        <w:rPr>
          <w:rFonts w:eastAsia="Times New Roman"/>
          <w:b/>
          <w:bCs/>
          <w:i/>
          <w:sz w:val="24"/>
          <w:szCs w:val="24"/>
        </w:rPr>
        <w:t>EI 90</w:t>
      </w:r>
      <w:r>
        <w:rPr>
          <w:rFonts w:eastAsia="Times New Roman"/>
          <w:i/>
          <w:sz w:val="24"/>
          <w:szCs w:val="24"/>
        </w:rPr>
        <w:t xml:space="preserve">  sau încăperi tampon protejate, ventilate în suprapresiune (atunci când nu au ferestre directe spre exterior) prevăzute cu uşi rezistente la foc </w:t>
      </w:r>
      <w:r>
        <w:rPr>
          <w:rFonts w:eastAsia="Times New Roman"/>
          <w:b/>
          <w:bCs/>
          <w:i/>
          <w:sz w:val="24"/>
          <w:szCs w:val="24"/>
        </w:rPr>
        <w:t>EI 45-C5S</w:t>
      </w:r>
      <w:r>
        <w:rPr>
          <w:rFonts w:eastAsia="Times New Roman"/>
          <w:b/>
          <w:bCs/>
          <w:i/>
          <w:sz w:val="24"/>
          <w:szCs w:val="24"/>
          <w:vertAlign w:val="subscript"/>
        </w:rPr>
        <w:t>200</w:t>
      </w:r>
      <w:r>
        <w:rPr>
          <w:rFonts w:eastAsia="Times New Roman"/>
          <w:i/>
          <w:sz w:val="24"/>
          <w:szCs w:val="24"/>
        </w:rPr>
        <w:t xml:space="preserve"> la nivelurile supraterane ale construcţiei şi respectiv încăperi tampon protejate, ventilate în suprapresiune prevăzute cu </w:t>
      </w:r>
      <w:r>
        <w:rPr>
          <w:rFonts w:eastAsia="Times New Roman"/>
          <w:b/>
          <w:bCs/>
          <w:i/>
          <w:sz w:val="24"/>
          <w:szCs w:val="24"/>
        </w:rPr>
        <w:t>EI 90-C5S</w:t>
      </w:r>
      <w:r>
        <w:rPr>
          <w:rFonts w:eastAsia="Times New Roman"/>
          <w:b/>
          <w:bCs/>
          <w:i/>
          <w:sz w:val="24"/>
          <w:szCs w:val="24"/>
          <w:vertAlign w:val="subscript"/>
        </w:rPr>
        <w:t>200</w:t>
      </w:r>
      <w:r>
        <w:rPr>
          <w:rFonts w:eastAsia="Times New Roman"/>
          <w:i/>
          <w:sz w:val="24"/>
          <w:szCs w:val="24"/>
        </w:rPr>
        <w:t xml:space="preserve"> la nivelurile subterane, atunci când constituie cale de acces din încăperi cu risc mare de incendiu; încăperi tampon protejate, ventilate în suprapresiune şi prevăzute cu uşi rezistente la foc </w:t>
      </w:r>
      <w:r>
        <w:rPr>
          <w:rFonts w:eastAsia="Times New Roman"/>
          <w:b/>
          <w:bCs/>
          <w:i/>
          <w:sz w:val="24"/>
          <w:szCs w:val="24"/>
        </w:rPr>
        <w:t>EI 90-C5S</w:t>
      </w:r>
      <w:r>
        <w:rPr>
          <w:rFonts w:eastAsia="Times New Roman"/>
          <w:b/>
          <w:bCs/>
          <w:i/>
          <w:sz w:val="24"/>
          <w:szCs w:val="24"/>
          <w:vertAlign w:val="subscript"/>
        </w:rPr>
        <w:t>200</w:t>
      </w:r>
      <w:r>
        <w:rPr>
          <w:rFonts w:eastAsia="Times New Roman"/>
          <w:i/>
          <w:sz w:val="24"/>
          <w:szCs w:val="24"/>
        </w:rPr>
        <w:t>, atunci când constituie cale de acces din încăperi cu risc foarte mare de incendiu.</w:t>
      </w:r>
    </w:p>
    <w:p w14:paraId="39828E44" w14:textId="77777777" w:rsidR="001C08A5" w:rsidRDefault="00000000">
      <w:pPr>
        <w:jc w:val="center"/>
        <w:rPr>
          <w:i/>
          <w:sz w:val="24"/>
          <w:szCs w:val="24"/>
        </w:rPr>
      </w:pPr>
      <w:bookmarkStart w:id="9964" w:name="_Toc142898648"/>
      <w:bookmarkStart w:id="9965" w:name="_Toc28054"/>
      <w:bookmarkStart w:id="9966" w:name="_Toc22379"/>
      <w:r>
        <w:rPr>
          <w:i/>
          <w:noProof/>
          <w:sz w:val="24"/>
          <w:szCs w:val="24"/>
          <w:lang w:eastAsia="ro-RO"/>
        </w:rPr>
        <w:drawing>
          <wp:inline distT="0" distB="0" distL="114300" distR="114300" wp14:anchorId="35631C5C" wp14:editId="3643D136">
            <wp:extent cx="3672840" cy="1835785"/>
            <wp:effectExtent l="0" t="0" r="3810" b="12065"/>
            <wp:docPr id="37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49"/>
                    <pic:cNvPicPr>
                      <a:picLocks noChangeAspect="1"/>
                    </pic:cNvPicPr>
                  </pic:nvPicPr>
                  <pic:blipFill>
                    <a:blip r:embed="rId519"/>
                    <a:srcRect l="28435" t="1433" r="22935" b="68323"/>
                    <a:stretch>
                      <a:fillRect/>
                    </a:stretch>
                  </pic:blipFill>
                  <pic:spPr>
                    <a:xfrm>
                      <a:off x="0" y="0"/>
                      <a:ext cx="3672840" cy="1835785"/>
                    </a:xfrm>
                    <a:prstGeom prst="rect">
                      <a:avLst/>
                    </a:prstGeom>
                    <a:noFill/>
                    <a:ln>
                      <a:noFill/>
                    </a:ln>
                  </pic:spPr>
                </pic:pic>
              </a:graphicData>
            </a:graphic>
          </wp:inline>
        </w:drawing>
      </w:r>
    </w:p>
    <w:p w14:paraId="60989D8B" w14:textId="77777777" w:rsidR="001C08A5" w:rsidRDefault="00000000">
      <w:pPr>
        <w:jc w:val="center"/>
        <w:rPr>
          <w:i/>
          <w:sz w:val="24"/>
          <w:szCs w:val="24"/>
        </w:rPr>
      </w:pPr>
      <w:r>
        <w:rPr>
          <w:b/>
          <w:bCs/>
          <w:i/>
          <w:sz w:val="24"/>
          <w:szCs w:val="24"/>
        </w:rPr>
        <w:t>Varianta a) - risc mic</w:t>
      </w:r>
    </w:p>
    <w:p w14:paraId="59E0CB57" w14:textId="77777777" w:rsidR="001C08A5" w:rsidRDefault="00000000">
      <w:pPr>
        <w:jc w:val="center"/>
        <w:rPr>
          <w:i/>
          <w:sz w:val="24"/>
          <w:szCs w:val="24"/>
        </w:rPr>
      </w:pPr>
      <w:r>
        <w:rPr>
          <w:i/>
          <w:noProof/>
          <w:sz w:val="24"/>
          <w:szCs w:val="24"/>
          <w:lang w:eastAsia="ro-RO"/>
        </w:rPr>
        <w:lastRenderedPageBreak/>
        <w:drawing>
          <wp:inline distT="0" distB="0" distL="114300" distR="114300" wp14:anchorId="62BDCBA6" wp14:editId="263A80A3">
            <wp:extent cx="3672840" cy="1818005"/>
            <wp:effectExtent l="0" t="0" r="3810" b="10795"/>
            <wp:docPr id="37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49"/>
                    <pic:cNvPicPr>
                      <a:picLocks noChangeAspect="1"/>
                    </pic:cNvPicPr>
                  </pic:nvPicPr>
                  <pic:blipFill>
                    <a:blip r:embed="rId519"/>
                    <a:srcRect l="28435" t="31960" r="22935" b="38091"/>
                    <a:stretch>
                      <a:fillRect/>
                    </a:stretch>
                  </pic:blipFill>
                  <pic:spPr>
                    <a:xfrm>
                      <a:off x="0" y="0"/>
                      <a:ext cx="3672840" cy="1818005"/>
                    </a:xfrm>
                    <a:prstGeom prst="rect">
                      <a:avLst/>
                    </a:prstGeom>
                    <a:noFill/>
                    <a:ln>
                      <a:noFill/>
                    </a:ln>
                  </pic:spPr>
                </pic:pic>
              </a:graphicData>
            </a:graphic>
          </wp:inline>
        </w:drawing>
      </w:r>
    </w:p>
    <w:p w14:paraId="1FE5AD63" w14:textId="77777777" w:rsidR="001C08A5" w:rsidRDefault="00000000">
      <w:pPr>
        <w:jc w:val="center"/>
        <w:rPr>
          <w:i/>
          <w:sz w:val="24"/>
          <w:szCs w:val="24"/>
        </w:rPr>
      </w:pPr>
      <w:r>
        <w:rPr>
          <w:b/>
          <w:bCs/>
          <w:i/>
          <w:sz w:val="24"/>
          <w:szCs w:val="24"/>
        </w:rPr>
        <w:t>Varianta b) - risc mijlociu</w:t>
      </w:r>
    </w:p>
    <w:p w14:paraId="49396E34" w14:textId="77777777" w:rsidR="001C08A5" w:rsidRDefault="00000000">
      <w:pPr>
        <w:jc w:val="center"/>
        <w:rPr>
          <w:i/>
          <w:sz w:val="24"/>
          <w:szCs w:val="24"/>
        </w:rPr>
      </w:pPr>
      <w:r>
        <w:rPr>
          <w:i/>
          <w:noProof/>
          <w:sz w:val="24"/>
          <w:szCs w:val="24"/>
          <w:lang w:eastAsia="ro-RO"/>
        </w:rPr>
        <w:drawing>
          <wp:inline distT="0" distB="0" distL="114300" distR="114300" wp14:anchorId="2D65C52F" wp14:editId="344A58FE">
            <wp:extent cx="3672840" cy="1809750"/>
            <wp:effectExtent l="0" t="0" r="3810" b="0"/>
            <wp:docPr id="37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49"/>
                    <pic:cNvPicPr>
                      <a:picLocks noChangeAspect="1"/>
                    </pic:cNvPicPr>
                  </pic:nvPicPr>
                  <pic:blipFill>
                    <a:blip r:embed="rId519"/>
                    <a:srcRect l="28435" t="62057" r="22935" b="8128"/>
                    <a:stretch>
                      <a:fillRect/>
                    </a:stretch>
                  </pic:blipFill>
                  <pic:spPr>
                    <a:xfrm>
                      <a:off x="0" y="0"/>
                      <a:ext cx="3672840" cy="1809750"/>
                    </a:xfrm>
                    <a:prstGeom prst="rect">
                      <a:avLst/>
                    </a:prstGeom>
                    <a:noFill/>
                    <a:ln>
                      <a:noFill/>
                    </a:ln>
                  </pic:spPr>
                </pic:pic>
              </a:graphicData>
            </a:graphic>
          </wp:inline>
        </w:drawing>
      </w:r>
    </w:p>
    <w:p w14:paraId="3B45A66B" w14:textId="77777777" w:rsidR="001C08A5" w:rsidRDefault="00000000">
      <w:pPr>
        <w:jc w:val="center"/>
        <w:rPr>
          <w:i/>
          <w:sz w:val="24"/>
          <w:szCs w:val="24"/>
        </w:rPr>
      </w:pPr>
      <w:r>
        <w:rPr>
          <w:b/>
          <w:bCs/>
          <w:i/>
          <w:sz w:val="24"/>
          <w:szCs w:val="24"/>
        </w:rPr>
        <w:t>Varianta c) - risc mare</w:t>
      </w:r>
    </w:p>
    <w:p w14:paraId="7A0E356D" w14:textId="77777777" w:rsidR="001C08A5" w:rsidRDefault="00000000">
      <w:pPr>
        <w:jc w:val="center"/>
        <w:rPr>
          <w:i/>
          <w:sz w:val="24"/>
          <w:szCs w:val="24"/>
        </w:rPr>
      </w:pPr>
      <w:r>
        <w:rPr>
          <w:i/>
          <w:sz w:val="24"/>
          <w:szCs w:val="24"/>
        </w:rPr>
        <w:t xml:space="preserve"> </w:t>
      </w:r>
      <w:r>
        <w:rPr>
          <w:i/>
          <w:noProof/>
          <w:sz w:val="24"/>
          <w:szCs w:val="24"/>
          <w:lang w:eastAsia="ro-RO"/>
        </w:rPr>
        <w:drawing>
          <wp:inline distT="0" distB="0" distL="114300" distR="114300" wp14:anchorId="2344D59A" wp14:editId="22C339CE">
            <wp:extent cx="3655695" cy="1809750"/>
            <wp:effectExtent l="0" t="0" r="1905" b="0"/>
            <wp:docPr id="38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50"/>
                    <pic:cNvPicPr>
                      <a:picLocks noChangeAspect="1"/>
                    </pic:cNvPicPr>
                  </pic:nvPicPr>
                  <pic:blipFill>
                    <a:blip r:embed="rId520"/>
                    <a:srcRect l="28662" t="26813" r="22935" b="43373"/>
                    <a:stretch>
                      <a:fillRect/>
                    </a:stretch>
                  </pic:blipFill>
                  <pic:spPr>
                    <a:xfrm>
                      <a:off x="0" y="0"/>
                      <a:ext cx="3655695" cy="1809750"/>
                    </a:xfrm>
                    <a:prstGeom prst="rect">
                      <a:avLst/>
                    </a:prstGeom>
                    <a:noFill/>
                    <a:ln>
                      <a:noFill/>
                    </a:ln>
                  </pic:spPr>
                </pic:pic>
              </a:graphicData>
            </a:graphic>
          </wp:inline>
        </w:drawing>
      </w:r>
    </w:p>
    <w:p w14:paraId="0E249FA5" w14:textId="77777777" w:rsidR="001C08A5" w:rsidRDefault="00000000">
      <w:pPr>
        <w:jc w:val="center"/>
        <w:rPr>
          <w:i/>
          <w:sz w:val="24"/>
          <w:szCs w:val="24"/>
        </w:rPr>
      </w:pPr>
      <w:r>
        <w:rPr>
          <w:b/>
          <w:bCs/>
          <w:i/>
          <w:sz w:val="24"/>
          <w:szCs w:val="24"/>
        </w:rPr>
        <w:t>Varianta d) - risc mare</w:t>
      </w:r>
    </w:p>
    <w:p w14:paraId="2E0D38F6" w14:textId="77777777" w:rsidR="001C08A5" w:rsidRDefault="001C08A5">
      <w:pPr>
        <w:jc w:val="center"/>
        <w:rPr>
          <w:i/>
          <w:sz w:val="24"/>
          <w:szCs w:val="24"/>
        </w:rPr>
      </w:pPr>
    </w:p>
    <w:p w14:paraId="4C4EFBCD" w14:textId="77777777" w:rsidR="001C08A5" w:rsidRDefault="00000000">
      <w:pPr>
        <w:jc w:val="center"/>
        <w:rPr>
          <w:i/>
          <w:sz w:val="24"/>
          <w:szCs w:val="24"/>
        </w:rPr>
      </w:pPr>
      <w:r>
        <w:rPr>
          <w:i/>
          <w:sz w:val="24"/>
          <w:szCs w:val="24"/>
        </w:rPr>
        <w:t xml:space="preserve"> </w:t>
      </w:r>
      <w:r>
        <w:rPr>
          <w:i/>
          <w:noProof/>
          <w:sz w:val="24"/>
          <w:szCs w:val="24"/>
          <w:lang w:eastAsia="ro-RO"/>
        </w:rPr>
        <w:drawing>
          <wp:inline distT="0" distB="0" distL="114300" distR="114300" wp14:anchorId="368D6AE7" wp14:editId="6A4AFC4D">
            <wp:extent cx="3655695" cy="1818005"/>
            <wp:effectExtent l="0" t="0" r="1905" b="10795"/>
            <wp:docPr id="38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50"/>
                    <pic:cNvPicPr>
                      <a:picLocks noChangeAspect="1"/>
                    </pic:cNvPicPr>
                  </pic:nvPicPr>
                  <pic:blipFill>
                    <a:blip r:embed="rId520"/>
                    <a:srcRect l="28662" t="56920" r="22935" b="13129"/>
                    <a:stretch>
                      <a:fillRect/>
                    </a:stretch>
                  </pic:blipFill>
                  <pic:spPr>
                    <a:xfrm>
                      <a:off x="0" y="0"/>
                      <a:ext cx="3655695" cy="1818005"/>
                    </a:xfrm>
                    <a:prstGeom prst="rect">
                      <a:avLst/>
                    </a:prstGeom>
                    <a:noFill/>
                    <a:ln>
                      <a:noFill/>
                    </a:ln>
                  </pic:spPr>
                </pic:pic>
              </a:graphicData>
            </a:graphic>
          </wp:inline>
        </w:drawing>
      </w:r>
    </w:p>
    <w:p w14:paraId="0D1EB76D" w14:textId="77777777" w:rsidR="001C08A5" w:rsidRDefault="00000000">
      <w:pPr>
        <w:jc w:val="center"/>
        <w:rPr>
          <w:rFonts w:eastAsia="Times New Roman"/>
          <w:i/>
          <w:sz w:val="24"/>
          <w:szCs w:val="24"/>
        </w:rPr>
      </w:pPr>
      <w:r>
        <w:rPr>
          <w:b/>
          <w:bCs/>
          <w:i/>
          <w:sz w:val="24"/>
          <w:szCs w:val="24"/>
        </w:rPr>
        <w:t xml:space="preserve">Varianta e) - risc foarte mare </w:t>
      </w:r>
    </w:p>
    <w:p w14:paraId="6E6F7CCE" w14:textId="77777777" w:rsidR="001C08A5" w:rsidRDefault="00000000">
      <w:pPr>
        <w:pStyle w:val="Caption"/>
        <w:jc w:val="center"/>
      </w:pPr>
      <w:bookmarkStart w:id="9967" w:name="_Toc162360493"/>
      <w:r>
        <w:t xml:space="preserve">Figura </w:t>
      </w:r>
      <w:r>
        <w:fldChar w:fldCharType="begin"/>
      </w:r>
      <w:r>
        <w:instrText xml:space="preserve"> SEQ Figura \* ARABIC </w:instrText>
      </w:r>
      <w:r>
        <w:fldChar w:fldCharType="separate"/>
      </w:r>
      <w:r>
        <w:t>269</w:t>
      </w:r>
      <w:r>
        <w:fldChar w:fldCharType="end"/>
      </w:r>
      <w:bookmarkStart w:id="9968" w:name="_Toc12525"/>
      <w:bookmarkStart w:id="9969" w:name="_Toc11567"/>
      <w:bookmarkStart w:id="9970" w:name="_Toc4962"/>
      <w:bookmarkStart w:id="9971" w:name="_Toc11915"/>
      <w:bookmarkStart w:id="9972" w:name="_Toc27664"/>
      <w:bookmarkStart w:id="9973" w:name="_Toc17733"/>
      <w:bookmarkStart w:id="9974" w:name="_Toc12817"/>
      <w:bookmarkStart w:id="9975" w:name="_Toc8653"/>
      <w:bookmarkStart w:id="9976" w:name="_Toc31147"/>
      <w:r>
        <w:t xml:space="preserve"> - Goluri de acces la ascensoare de persoane, de marfă sau la alte mijloace mecanice de transport pe verticală din construcţii de producţie şi/sau depozitare</w:t>
      </w:r>
      <w:bookmarkEnd w:id="9964"/>
      <w:bookmarkEnd w:id="9967"/>
      <w:r>
        <w:t xml:space="preserve"> </w:t>
      </w:r>
      <w:bookmarkEnd w:id="9965"/>
      <w:bookmarkEnd w:id="9966"/>
      <w:bookmarkEnd w:id="9968"/>
      <w:bookmarkEnd w:id="9969"/>
      <w:bookmarkEnd w:id="9970"/>
      <w:bookmarkEnd w:id="9971"/>
      <w:bookmarkEnd w:id="9972"/>
      <w:bookmarkEnd w:id="9973"/>
      <w:bookmarkEnd w:id="9974"/>
      <w:bookmarkEnd w:id="9975"/>
      <w:bookmarkEnd w:id="9976"/>
    </w:p>
    <w:p w14:paraId="4613CB1E" w14:textId="77777777" w:rsidR="001C08A5" w:rsidRDefault="00000000">
      <w:pPr>
        <w:pStyle w:val="Heading4"/>
        <w:rPr>
          <w:sz w:val="24"/>
          <w:szCs w:val="24"/>
        </w:rPr>
      </w:pPr>
      <w:bookmarkStart w:id="9977" w:name="_Toc3791"/>
      <w:bookmarkStart w:id="9978" w:name="_Toc19004"/>
      <w:bookmarkStart w:id="9979" w:name="_Toc6962"/>
      <w:bookmarkStart w:id="9980" w:name="_Toc10429"/>
      <w:bookmarkStart w:id="9981" w:name="_Toc23609"/>
      <w:bookmarkStart w:id="9982" w:name="_Toc12596"/>
      <w:bookmarkStart w:id="9983" w:name="_Toc9545"/>
      <w:bookmarkStart w:id="9984" w:name="_Toc4637"/>
      <w:bookmarkStart w:id="9985" w:name="_Toc22241"/>
      <w:bookmarkStart w:id="9986" w:name="_Toc32589"/>
      <w:bookmarkStart w:id="9987" w:name="_Toc11865"/>
      <w:bookmarkStart w:id="9988" w:name="_Toc30337"/>
      <w:bookmarkStart w:id="9989" w:name="_Toc3020"/>
      <w:bookmarkStart w:id="9990" w:name="_Toc162355495"/>
      <w:bookmarkStart w:id="9991" w:name="_Toc11889"/>
      <w:r>
        <w:rPr>
          <w:sz w:val="24"/>
          <w:szCs w:val="24"/>
        </w:rPr>
        <w:t>Evacuarea fumului și a gazelor fierbinți</w:t>
      </w:r>
      <w:bookmarkEnd w:id="9977"/>
      <w:bookmarkEnd w:id="9978"/>
      <w:bookmarkEnd w:id="9979"/>
      <w:bookmarkEnd w:id="9980"/>
      <w:bookmarkEnd w:id="9981"/>
      <w:bookmarkEnd w:id="9982"/>
      <w:bookmarkEnd w:id="9983"/>
      <w:bookmarkEnd w:id="9984"/>
      <w:bookmarkEnd w:id="9985"/>
      <w:r>
        <w:rPr>
          <w:sz w:val="24"/>
          <w:szCs w:val="24"/>
        </w:rPr>
        <w:t xml:space="preserve"> </w:t>
      </w:r>
      <w:r>
        <w:rPr>
          <w:rFonts w:eastAsia="SimSun"/>
          <w:iCs/>
          <w:sz w:val="24"/>
          <w:szCs w:val="24"/>
        </w:rPr>
        <w:t>din construcţii de producţie şi/sau depozitare</w:t>
      </w:r>
      <w:bookmarkEnd w:id="9986"/>
      <w:bookmarkEnd w:id="9987"/>
      <w:bookmarkEnd w:id="9988"/>
      <w:bookmarkEnd w:id="9989"/>
      <w:bookmarkEnd w:id="9990"/>
      <w:bookmarkEnd w:id="9991"/>
      <w:r>
        <w:rPr>
          <w:rFonts w:eastAsia="SimSun"/>
          <w:iCs/>
          <w:sz w:val="24"/>
          <w:szCs w:val="24"/>
        </w:rPr>
        <w:t xml:space="preserve"> </w:t>
      </w:r>
    </w:p>
    <w:p w14:paraId="0064277A" w14:textId="77777777" w:rsidR="001C08A5" w:rsidRDefault="00000000">
      <w:pPr>
        <w:numPr>
          <w:ilvl w:val="0"/>
          <w:numId w:val="96"/>
        </w:numPr>
        <w:tabs>
          <w:tab w:val="left" w:pos="426"/>
          <w:tab w:val="left" w:pos="993"/>
        </w:tabs>
        <w:jc w:val="both"/>
        <w:rPr>
          <w:i/>
          <w:iCs/>
          <w:sz w:val="24"/>
        </w:rPr>
      </w:pPr>
      <w:r>
        <w:rPr>
          <w:rFonts w:eastAsia="TimesNewRomanPSMT"/>
          <w:i/>
          <w:iCs/>
          <w:sz w:val="24"/>
          <w:szCs w:val="24"/>
        </w:rPr>
        <w:t xml:space="preserve">Dispozitivele de admisie a aerului și de evacuare a fumului prin tiraj natural-organizat asigură evacuarea fumului pe maximum </w:t>
      </w:r>
      <w:r>
        <w:rPr>
          <w:rFonts w:eastAsia="TimesNewRomanPS-BoldMT"/>
          <w:b/>
          <w:bCs/>
          <w:i/>
          <w:iCs/>
          <w:sz w:val="24"/>
          <w:szCs w:val="24"/>
        </w:rPr>
        <w:t xml:space="preserve">30 </w:t>
      </w:r>
      <w:r>
        <w:rPr>
          <w:rFonts w:eastAsia="TimesNewRomanPSMT"/>
          <w:b/>
          <w:bCs/>
          <w:i/>
          <w:iCs/>
          <w:sz w:val="24"/>
          <w:szCs w:val="24"/>
        </w:rPr>
        <w:t>m</w:t>
      </w:r>
      <w:r>
        <w:rPr>
          <w:rFonts w:eastAsia="TimesNewRomanPSMT"/>
          <w:i/>
          <w:iCs/>
          <w:sz w:val="24"/>
          <w:szCs w:val="24"/>
        </w:rPr>
        <w:t xml:space="preserve"> adâncime a încăperii din spații de producție și/ sau depozitare.</w:t>
      </w:r>
    </w:p>
    <w:p w14:paraId="1D4B242D" w14:textId="77777777" w:rsidR="001C08A5" w:rsidRDefault="00000000">
      <w:pPr>
        <w:keepNext/>
        <w:spacing w:before="240" w:after="120"/>
        <w:jc w:val="center"/>
        <w:rPr>
          <w:rFonts w:ascii="Arial" w:eastAsia="Microsoft YaHei" w:hAnsi="Arial" w:cs="Mangal"/>
          <w:i/>
          <w:iCs/>
          <w:sz w:val="28"/>
          <w:szCs w:val="28"/>
        </w:rPr>
      </w:pPr>
      <w:r>
        <w:rPr>
          <w:rFonts w:ascii="Arial" w:eastAsia="Microsoft YaHei" w:hAnsi="Arial" w:cs="Mangal"/>
          <w:i/>
          <w:iCs/>
          <w:noProof/>
          <w:sz w:val="28"/>
          <w:szCs w:val="28"/>
        </w:rPr>
        <w:lastRenderedPageBreak/>
        <w:drawing>
          <wp:inline distT="0" distB="0" distL="114300" distR="114300" wp14:anchorId="59BE14C0" wp14:editId="6C2EF079">
            <wp:extent cx="6007100" cy="2723515"/>
            <wp:effectExtent l="0" t="0" r="12700" b="635"/>
            <wp:docPr id="1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22"/>
                    <pic:cNvPicPr>
                      <a:picLocks noChangeAspect="1"/>
                    </pic:cNvPicPr>
                  </pic:nvPicPr>
                  <pic:blipFill>
                    <a:blip r:embed="rId350"/>
                    <a:srcRect l="12720" t="23040" r="7697" b="26773"/>
                    <a:stretch>
                      <a:fillRect/>
                    </a:stretch>
                  </pic:blipFill>
                  <pic:spPr>
                    <a:xfrm>
                      <a:off x="0" y="0"/>
                      <a:ext cx="6007100" cy="2723515"/>
                    </a:xfrm>
                    <a:prstGeom prst="rect">
                      <a:avLst/>
                    </a:prstGeom>
                    <a:noFill/>
                    <a:ln>
                      <a:noFill/>
                    </a:ln>
                  </pic:spPr>
                </pic:pic>
              </a:graphicData>
            </a:graphic>
          </wp:inline>
        </w:drawing>
      </w:r>
    </w:p>
    <w:p w14:paraId="66B7964F" w14:textId="77777777" w:rsidR="001C08A5" w:rsidRDefault="00000000">
      <w:pPr>
        <w:pStyle w:val="Caption"/>
        <w:jc w:val="center"/>
        <w:rPr>
          <w:rFonts w:cs="Times New Roman"/>
          <w:bCs/>
        </w:rPr>
      </w:pPr>
      <w:bookmarkStart w:id="9992" w:name="_Toc162360494"/>
      <w:r>
        <w:t xml:space="preserve">Figura </w:t>
      </w:r>
      <w:r>
        <w:fldChar w:fldCharType="begin"/>
      </w:r>
      <w:r>
        <w:instrText xml:space="preserve"> SEQ Figura \* ARABIC </w:instrText>
      </w:r>
      <w:r>
        <w:fldChar w:fldCharType="separate"/>
      </w:r>
      <w:r>
        <w:t>270</w:t>
      </w:r>
      <w:r>
        <w:fldChar w:fldCharType="end"/>
      </w:r>
      <w:bookmarkStart w:id="9993" w:name="_Toc13013"/>
      <w:bookmarkStart w:id="9994" w:name="_Toc1474"/>
      <w:bookmarkStart w:id="9995" w:name="_Toc13151"/>
      <w:bookmarkStart w:id="9996" w:name="_Toc29781"/>
      <w:bookmarkStart w:id="9997" w:name="_Toc9708"/>
      <w:bookmarkStart w:id="9998" w:name="_Toc534"/>
      <w:bookmarkStart w:id="9999" w:name="_Toc31564"/>
      <w:bookmarkStart w:id="10000" w:name="_Toc908"/>
      <w:bookmarkStart w:id="10001" w:name="_Toc12470"/>
      <w:r>
        <w:t xml:space="preserve"> - </w:t>
      </w:r>
      <w:r>
        <w:rPr>
          <w:rFonts w:cs="Times New Roman"/>
          <w:bCs/>
        </w:rPr>
        <w:t>Admisie de aer și evacuare a fumului prin sistem natural organizat la încăperi, spații și construcții de depozitare</w:t>
      </w:r>
      <w:bookmarkEnd w:id="9992"/>
      <w:bookmarkEnd w:id="9993"/>
      <w:bookmarkEnd w:id="9994"/>
      <w:bookmarkEnd w:id="9995"/>
      <w:bookmarkEnd w:id="9996"/>
      <w:bookmarkEnd w:id="9997"/>
      <w:bookmarkEnd w:id="9998"/>
      <w:bookmarkEnd w:id="9999"/>
      <w:bookmarkEnd w:id="10000"/>
      <w:bookmarkEnd w:id="10001"/>
    </w:p>
    <w:p w14:paraId="2C0E3343" w14:textId="77777777" w:rsidR="001C08A5" w:rsidRDefault="00000000">
      <w:pPr>
        <w:pStyle w:val="Heading4"/>
        <w:rPr>
          <w:sz w:val="24"/>
          <w:szCs w:val="24"/>
        </w:rPr>
      </w:pPr>
      <w:bookmarkStart w:id="10002" w:name="_Toc22948"/>
      <w:bookmarkStart w:id="10003" w:name="_Toc17747"/>
      <w:bookmarkStart w:id="10004" w:name="_Toc162355496"/>
      <w:bookmarkStart w:id="10005" w:name="_Toc10300"/>
      <w:bookmarkStart w:id="10006" w:name="_Toc6966"/>
      <w:bookmarkStart w:id="10007" w:name="_Toc31877"/>
      <w:r>
        <w:rPr>
          <w:sz w:val="24"/>
          <w:szCs w:val="24"/>
        </w:rPr>
        <w:t>Cerințe suplimentare la</w:t>
      </w:r>
      <w:r>
        <w:rPr>
          <w:rFonts w:eastAsia="SimSun"/>
          <w:iCs/>
          <w:sz w:val="24"/>
          <w:szCs w:val="24"/>
        </w:rPr>
        <w:t xml:space="preserve"> construcţii de producţie şi/sau depozitare</w:t>
      </w:r>
      <w:bookmarkEnd w:id="10002"/>
      <w:bookmarkEnd w:id="10003"/>
      <w:bookmarkEnd w:id="10004"/>
      <w:bookmarkEnd w:id="10005"/>
      <w:bookmarkEnd w:id="10006"/>
      <w:bookmarkEnd w:id="10007"/>
      <w:r>
        <w:rPr>
          <w:rFonts w:eastAsia="SimSun"/>
          <w:iCs/>
          <w:sz w:val="24"/>
          <w:szCs w:val="24"/>
        </w:rPr>
        <w:t xml:space="preserve"> </w:t>
      </w:r>
    </w:p>
    <w:p w14:paraId="37D14DA8" w14:textId="77777777" w:rsidR="001C08A5" w:rsidRDefault="00000000">
      <w:pPr>
        <w:numPr>
          <w:ilvl w:val="0"/>
          <w:numId w:val="96"/>
        </w:numPr>
        <w:tabs>
          <w:tab w:val="left" w:pos="426"/>
          <w:tab w:val="left" w:pos="993"/>
        </w:tabs>
        <w:jc w:val="both"/>
        <w:rPr>
          <w:rFonts w:eastAsia="Microsoft YaHei"/>
          <w:i/>
          <w:iCs/>
          <w:sz w:val="24"/>
          <w:szCs w:val="24"/>
        </w:rPr>
      </w:pPr>
      <w:r>
        <w:rPr>
          <w:rFonts w:eastAsia="Times New Roman"/>
          <w:i/>
          <w:sz w:val="24"/>
        </w:rPr>
        <w:t xml:space="preserve">Construcțiile și încăperile de depozitare a bateriilor de litiu-ion trebuie prevăzute cu pereți minimum </w:t>
      </w:r>
      <w:r>
        <w:rPr>
          <w:rFonts w:eastAsia="Times New Roman"/>
          <w:b/>
          <w:bCs/>
          <w:i/>
          <w:sz w:val="24"/>
        </w:rPr>
        <w:t>REI180</w:t>
      </w:r>
      <w:r>
        <w:rPr>
          <w:rFonts w:eastAsia="Times New Roman"/>
          <w:i/>
          <w:sz w:val="24"/>
        </w:rPr>
        <w:t xml:space="preserve">, uși </w:t>
      </w:r>
      <w:r>
        <w:rPr>
          <w:rFonts w:eastAsia="Times New Roman"/>
          <w:b/>
          <w:bCs/>
          <w:i/>
          <w:sz w:val="24"/>
        </w:rPr>
        <w:t>EI</w:t>
      </w:r>
      <w:r>
        <w:rPr>
          <w:rFonts w:eastAsia="Times New Roman"/>
          <w:b/>
          <w:bCs/>
          <w:i/>
          <w:sz w:val="24"/>
          <w:vertAlign w:val="subscript"/>
        </w:rPr>
        <w:t>2</w:t>
      </w:r>
      <w:r>
        <w:rPr>
          <w:rFonts w:eastAsia="Times New Roman"/>
          <w:b/>
          <w:bCs/>
          <w:i/>
          <w:sz w:val="24"/>
        </w:rPr>
        <w:t>90-C5S</w:t>
      </w:r>
      <w:r>
        <w:rPr>
          <w:rFonts w:eastAsia="Times New Roman"/>
          <w:b/>
          <w:bCs/>
          <w:i/>
          <w:sz w:val="24"/>
          <w:vertAlign w:val="subscript"/>
        </w:rPr>
        <w:t>200</w:t>
      </w:r>
      <w:r>
        <w:rPr>
          <w:rFonts w:eastAsia="Times New Roman"/>
          <w:i/>
          <w:sz w:val="24"/>
        </w:rPr>
        <w:t xml:space="preserve"> (uși </w:t>
      </w:r>
      <w:r>
        <w:rPr>
          <w:rFonts w:eastAsia="Times New Roman"/>
          <w:b/>
          <w:bCs/>
          <w:i/>
          <w:sz w:val="24"/>
        </w:rPr>
        <w:t>EI</w:t>
      </w:r>
      <w:r>
        <w:rPr>
          <w:rFonts w:eastAsia="Times New Roman"/>
          <w:b/>
          <w:bCs/>
          <w:i/>
          <w:sz w:val="24"/>
          <w:vertAlign w:val="subscript"/>
        </w:rPr>
        <w:t>2</w:t>
      </w:r>
      <w:r>
        <w:rPr>
          <w:rFonts w:eastAsia="Times New Roman"/>
          <w:b/>
          <w:bCs/>
          <w:i/>
          <w:sz w:val="24"/>
        </w:rPr>
        <w:t>120-C5S</w:t>
      </w:r>
      <w:r>
        <w:rPr>
          <w:rFonts w:eastAsia="Times New Roman"/>
          <w:b/>
          <w:bCs/>
          <w:i/>
          <w:sz w:val="24"/>
          <w:vertAlign w:val="subscript"/>
        </w:rPr>
        <w:t xml:space="preserve">200 </w:t>
      </w:r>
      <w:r>
        <w:rPr>
          <w:rFonts w:eastAsia="Times New Roman"/>
          <w:i/>
          <w:sz w:val="24"/>
        </w:rPr>
        <w:t>pentru depozitări de</w:t>
      </w:r>
      <w:r>
        <w:rPr>
          <w:rFonts w:eastAsia="Microsoft YaHei"/>
          <w:i/>
          <w:iCs/>
          <w:sz w:val="24"/>
          <w:szCs w:val="24"/>
        </w:rPr>
        <w:t xml:space="preserve"> celule LiFePO4</w:t>
      </w:r>
      <w:r>
        <w:rPr>
          <w:rFonts w:eastAsia="Times New Roman"/>
          <w:i/>
          <w:sz w:val="24"/>
        </w:rPr>
        <w:t xml:space="preserve"> cu aria mai mare de </w:t>
      </w:r>
      <w:r>
        <w:rPr>
          <w:rFonts w:eastAsia="Times New Roman"/>
          <w:b/>
          <w:bCs/>
          <w:i/>
          <w:sz w:val="24"/>
        </w:rPr>
        <w:t xml:space="preserve">36 m² </w:t>
      </w:r>
      <w:r>
        <w:rPr>
          <w:rFonts w:eastAsia="Times New Roman"/>
          <w:i/>
          <w:sz w:val="24"/>
        </w:rPr>
        <w:t>precum și pentru depozitări de</w:t>
      </w:r>
      <w:r>
        <w:rPr>
          <w:rFonts w:eastAsia="Microsoft YaHei"/>
          <w:i/>
          <w:iCs/>
          <w:sz w:val="24"/>
          <w:szCs w:val="24"/>
        </w:rPr>
        <w:t xml:space="preserve"> celule cu litiu nichel/ mangan/ cobalt indiferent de suprafață</w:t>
      </w:r>
      <w:r>
        <w:rPr>
          <w:rFonts w:eastAsia="Times New Roman"/>
          <w:i/>
          <w:sz w:val="24"/>
        </w:rPr>
        <w:t xml:space="preserve">) și planșee min </w:t>
      </w:r>
      <w:r>
        <w:rPr>
          <w:rFonts w:eastAsia="Times New Roman"/>
          <w:b/>
          <w:bCs/>
          <w:i/>
          <w:sz w:val="24"/>
        </w:rPr>
        <w:t>REI120</w:t>
      </w:r>
      <w:r>
        <w:rPr>
          <w:rFonts w:eastAsia="Times New Roman"/>
          <w:i/>
          <w:sz w:val="24"/>
        </w:rPr>
        <w:t xml:space="preserve">. În toate situațiile trebuie asigurată o distanță minimă de </w:t>
      </w:r>
      <w:r>
        <w:rPr>
          <w:rFonts w:eastAsia="Times New Roman"/>
          <w:b/>
          <w:bCs/>
          <w:i/>
          <w:sz w:val="24"/>
        </w:rPr>
        <w:t>1,80 m</w:t>
      </w:r>
      <w:r>
        <w:rPr>
          <w:rFonts w:eastAsia="Times New Roman"/>
          <w:i/>
          <w:sz w:val="24"/>
        </w:rPr>
        <w:t xml:space="preserve"> pornind de la fața accesibilă a raftului cu baterii până la alte substanțe și materiale incombustibile depozitate precum și până la elemente de construcție clasa de reacție la foc </w:t>
      </w:r>
      <w:r>
        <w:rPr>
          <w:rFonts w:eastAsia="Times New Roman"/>
          <w:b/>
          <w:bCs/>
          <w:i/>
          <w:sz w:val="24"/>
        </w:rPr>
        <w:t>A1</w:t>
      </w:r>
      <w:r>
        <w:rPr>
          <w:rFonts w:eastAsia="Times New Roman"/>
          <w:i/>
          <w:sz w:val="24"/>
        </w:rPr>
        <w:t xml:space="preserve"> și până la fețele accesibile ale rafturilor adiacente cu baterii. Trebuie asigurată o distanță minimă de </w:t>
      </w:r>
      <w:r>
        <w:rPr>
          <w:rFonts w:eastAsia="Times New Roman"/>
          <w:b/>
          <w:bCs/>
          <w:i/>
          <w:sz w:val="24"/>
        </w:rPr>
        <w:t>2,70 m</w:t>
      </w:r>
      <w:r>
        <w:rPr>
          <w:rFonts w:eastAsia="Times New Roman"/>
          <w:i/>
          <w:sz w:val="24"/>
        </w:rPr>
        <w:t xml:space="preserve"> pornind de la fețele accesibile ale rafturilor cu baterii față de alte substanțe și materiale combustibile și față de elementele de construcție diferite de clasa de reacție la foc </w:t>
      </w:r>
      <w:r>
        <w:rPr>
          <w:rFonts w:eastAsia="Times New Roman"/>
          <w:b/>
          <w:bCs/>
          <w:i/>
          <w:sz w:val="24"/>
        </w:rPr>
        <w:t>A1</w:t>
      </w:r>
      <w:r>
        <w:rPr>
          <w:rFonts w:eastAsia="Times New Roman"/>
          <w:i/>
          <w:sz w:val="24"/>
        </w:rPr>
        <w:t xml:space="preserve">. Pentru mai multe rafturi instalate pe un singur rând sau instalate spate în spate, trebuie prevăzute partiții clasa de reacție la foc </w:t>
      </w:r>
      <w:r>
        <w:rPr>
          <w:rFonts w:eastAsia="Times New Roman"/>
          <w:b/>
          <w:bCs/>
          <w:i/>
          <w:sz w:val="24"/>
        </w:rPr>
        <w:t>A1</w:t>
      </w:r>
      <w:r>
        <w:rPr>
          <w:rFonts w:eastAsia="Times New Roman"/>
          <w:i/>
          <w:sz w:val="24"/>
        </w:rPr>
        <w:t xml:space="preserve">, solide, fără goluri, între rafturile adiacente. Se prevăd pereți despărțitori incombustibili sau partiții incombustibile de la planșeu până la planșeu (dacă acesta există) sau de la planșeu până la acoperiș, între rafturile adiacente, perpendicular pe deschiderile accesibile ale rafturilor, pentru a preveni răspândirea incendiului. În condițiile halelor de depozitare se prevăd pereți despărțitori sau se prevăd partiții despărțitoare clasa de reacție la foc </w:t>
      </w:r>
      <w:r>
        <w:rPr>
          <w:rFonts w:eastAsia="Times New Roman"/>
          <w:b/>
          <w:bCs/>
          <w:i/>
          <w:sz w:val="24"/>
        </w:rPr>
        <w:t>A1</w:t>
      </w:r>
      <w:r>
        <w:rPr>
          <w:rFonts w:eastAsia="Times New Roman"/>
          <w:i/>
          <w:sz w:val="24"/>
        </w:rPr>
        <w:t xml:space="preserve">, care trebuie să se extindă cu cel </w:t>
      </w:r>
      <w:r>
        <w:rPr>
          <w:rFonts w:eastAsia="Times New Roman"/>
          <w:b/>
          <w:bCs/>
          <w:i/>
          <w:sz w:val="24"/>
        </w:rPr>
        <w:t>0,30 m</w:t>
      </w:r>
      <w:r>
        <w:rPr>
          <w:rFonts w:eastAsia="Times New Roman"/>
          <w:i/>
          <w:sz w:val="24"/>
        </w:rPr>
        <w:t xml:space="preserve"> de la fața depozitărilor. Determinarea distanței orizontale dintre partițiile despărțitoare clasa de reacție la foc </w:t>
      </w:r>
      <w:r>
        <w:rPr>
          <w:rFonts w:eastAsia="Times New Roman"/>
          <w:b/>
          <w:bCs/>
          <w:i/>
          <w:sz w:val="24"/>
        </w:rPr>
        <w:t>A1</w:t>
      </w:r>
      <w:r>
        <w:rPr>
          <w:rFonts w:eastAsia="Times New Roman"/>
          <w:i/>
          <w:sz w:val="24"/>
        </w:rPr>
        <w:t xml:space="preserve"> se face în funcție de numărul rafturilor și a suprafeței aferente acestora ce pot fi protejate de instalația automată de stingere (în funcție de aria de declanșare a instalației automate de sprinklere). </w:t>
      </w:r>
    </w:p>
    <w:p w14:paraId="739D0856" w14:textId="77777777" w:rsidR="001C08A5" w:rsidRDefault="001C08A5">
      <w:pPr>
        <w:tabs>
          <w:tab w:val="left" w:pos="426"/>
          <w:tab w:val="left" w:pos="993"/>
        </w:tabs>
        <w:jc w:val="both"/>
        <w:rPr>
          <w:rFonts w:eastAsia="Microsoft YaHei"/>
          <w:i/>
          <w:iCs/>
          <w:sz w:val="24"/>
          <w:szCs w:val="24"/>
        </w:rPr>
      </w:pPr>
    </w:p>
    <w:p w14:paraId="6A55B111" w14:textId="77777777" w:rsidR="001C08A5" w:rsidRDefault="00000000">
      <w:pPr>
        <w:numPr>
          <w:ilvl w:val="0"/>
          <w:numId w:val="96"/>
        </w:numPr>
        <w:tabs>
          <w:tab w:val="left" w:pos="426"/>
          <w:tab w:val="left" w:pos="993"/>
        </w:tabs>
        <w:jc w:val="both"/>
        <w:rPr>
          <w:rFonts w:eastAsia="Microsoft YaHei"/>
          <w:i/>
          <w:iCs/>
          <w:sz w:val="24"/>
          <w:szCs w:val="24"/>
        </w:rPr>
      </w:pPr>
      <w:r>
        <w:rPr>
          <w:rFonts w:eastAsia="Microsoft YaHei"/>
          <w:i/>
          <w:iCs/>
          <w:sz w:val="24"/>
          <w:szCs w:val="24"/>
        </w:rPr>
        <w:t xml:space="preserve">Containerele amplasate în exterior de depozitare a bateriilor de litiu-ion (prevăzute cu sisteme controlate de menținere a temperaturii) trebuie să fie prevăzute cu pereți minimum </w:t>
      </w:r>
      <w:r>
        <w:rPr>
          <w:rFonts w:eastAsia="Microsoft YaHei"/>
          <w:b/>
          <w:bCs/>
          <w:i/>
          <w:iCs/>
          <w:sz w:val="24"/>
          <w:szCs w:val="24"/>
        </w:rPr>
        <w:t>REI60</w:t>
      </w:r>
      <w:r>
        <w:rPr>
          <w:rFonts w:eastAsia="Microsoft YaHei"/>
          <w:i/>
          <w:iCs/>
          <w:sz w:val="24"/>
          <w:szCs w:val="24"/>
        </w:rPr>
        <w:t xml:space="preserve"> și </w:t>
      </w:r>
      <w:r>
        <w:rPr>
          <w:rFonts w:eastAsia="Times New Roman"/>
          <w:i/>
          <w:sz w:val="24"/>
        </w:rPr>
        <w:t xml:space="preserve">uși minimum </w:t>
      </w:r>
      <w:r>
        <w:rPr>
          <w:rFonts w:eastAsia="Times New Roman"/>
          <w:b/>
          <w:bCs/>
          <w:i/>
          <w:sz w:val="24"/>
        </w:rPr>
        <w:t>EI</w:t>
      </w:r>
      <w:r>
        <w:rPr>
          <w:rFonts w:eastAsia="Times New Roman"/>
          <w:b/>
          <w:bCs/>
          <w:i/>
          <w:sz w:val="24"/>
          <w:vertAlign w:val="subscript"/>
        </w:rPr>
        <w:t>2</w:t>
      </w:r>
      <w:r>
        <w:rPr>
          <w:rFonts w:eastAsia="Times New Roman"/>
          <w:b/>
          <w:bCs/>
          <w:i/>
          <w:sz w:val="24"/>
        </w:rPr>
        <w:t>30-C5S</w:t>
      </w:r>
      <w:r>
        <w:rPr>
          <w:rFonts w:eastAsia="Times New Roman"/>
          <w:b/>
          <w:bCs/>
          <w:i/>
          <w:sz w:val="24"/>
          <w:vertAlign w:val="subscript"/>
        </w:rPr>
        <w:t>200</w:t>
      </w:r>
      <w:r>
        <w:rPr>
          <w:rFonts w:eastAsia="Times New Roman"/>
          <w:i/>
          <w:sz w:val="24"/>
        </w:rPr>
        <w:t xml:space="preserve"> (uși </w:t>
      </w:r>
      <w:r>
        <w:rPr>
          <w:rFonts w:eastAsia="Times New Roman"/>
          <w:b/>
          <w:bCs/>
          <w:i/>
          <w:sz w:val="24"/>
        </w:rPr>
        <w:t>EI</w:t>
      </w:r>
      <w:r>
        <w:rPr>
          <w:rFonts w:eastAsia="Times New Roman"/>
          <w:b/>
          <w:bCs/>
          <w:i/>
          <w:sz w:val="24"/>
          <w:vertAlign w:val="subscript"/>
        </w:rPr>
        <w:t>2</w:t>
      </w:r>
      <w:r>
        <w:rPr>
          <w:rFonts w:eastAsia="Times New Roman"/>
          <w:b/>
          <w:bCs/>
          <w:i/>
          <w:sz w:val="24"/>
        </w:rPr>
        <w:t>60-C5S</w:t>
      </w:r>
      <w:r>
        <w:rPr>
          <w:rFonts w:eastAsia="Times New Roman"/>
          <w:b/>
          <w:bCs/>
          <w:i/>
          <w:sz w:val="24"/>
          <w:vertAlign w:val="subscript"/>
        </w:rPr>
        <w:t xml:space="preserve">200 </w:t>
      </w:r>
      <w:r>
        <w:rPr>
          <w:rFonts w:eastAsia="Times New Roman"/>
          <w:i/>
          <w:sz w:val="24"/>
        </w:rPr>
        <w:t xml:space="preserve">pentru cele cu aria mai mare de </w:t>
      </w:r>
      <w:r>
        <w:rPr>
          <w:rFonts w:eastAsia="Times New Roman"/>
          <w:b/>
          <w:bCs/>
          <w:i/>
          <w:sz w:val="24"/>
        </w:rPr>
        <w:t>36 mp</w:t>
      </w:r>
      <w:r>
        <w:rPr>
          <w:rFonts w:eastAsia="Times New Roman"/>
          <w:i/>
          <w:sz w:val="24"/>
        </w:rPr>
        <w:t>) și trebuie să respecte următoarele criterii:</w:t>
      </w:r>
    </w:p>
    <w:p w14:paraId="7476D3AE" w14:textId="77777777" w:rsidR="001C08A5" w:rsidRDefault="00000000">
      <w:pPr>
        <w:tabs>
          <w:tab w:val="left" w:pos="426"/>
          <w:tab w:val="left" w:pos="993"/>
        </w:tabs>
        <w:ind w:firstLine="720"/>
        <w:jc w:val="both"/>
        <w:rPr>
          <w:rFonts w:eastAsia="Microsoft YaHei"/>
          <w:i/>
          <w:iCs/>
          <w:sz w:val="24"/>
          <w:szCs w:val="24"/>
        </w:rPr>
      </w:pPr>
      <w:r>
        <w:rPr>
          <w:rFonts w:eastAsia="Times New Roman"/>
          <w:i/>
          <w:sz w:val="24"/>
        </w:rPr>
        <w:t xml:space="preserve">- se amplasează la o distanță de minimum </w:t>
      </w:r>
      <w:r>
        <w:rPr>
          <w:rFonts w:eastAsia="Times New Roman"/>
          <w:b/>
          <w:bCs/>
          <w:i/>
          <w:sz w:val="24"/>
        </w:rPr>
        <w:t>10 m</w:t>
      </w:r>
      <w:r>
        <w:rPr>
          <w:rFonts w:eastAsia="Times New Roman"/>
          <w:i/>
          <w:sz w:val="24"/>
        </w:rPr>
        <w:t xml:space="preserve"> fată de construcțiile adiacente (cu excepția distanțelor față de alte containere exterioare </w:t>
      </w:r>
      <w:r>
        <w:rPr>
          <w:rFonts w:eastAsia="Microsoft YaHei"/>
          <w:i/>
          <w:iCs/>
          <w:sz w:val="24"/>
          <w:szCs w:val="24"/>
        </w:rPr>
        <w:t>de depozitare a bateriilor de litiu-ion</w:t>
      </w:r>
      <w:r>
        <w:rPr>
          <w:rFonts w:eastAsia="Times New Roman"/>
          <w:i/>
          <w:sz w:val="24"/>
        </w:rPr>
        <w:t>)</w:t>
      </w:r>
    </w:p>
    <w:p w14:paraId="0DA3B9BE" w14:textId="77777777" w:rsidR="001C08A5" w:rsidRDefault="00000000">
      <w:pPr>
        <w:tabs>
          <w:tab w:val="left" w:pos="426"/>
          <w:tab w:val="left" w:pos="993"/>
        </w:tabs>
        <w:ind w:firstLine="720"/>
        <w:jc w:val="both"/>
        <w:rPr>
          <w:rFonts w:eastAsia="Microsoft YaHei"/>
          <w:i/>
          <w:iCs/>
          <w:sz w:val="24"/>
          <w:szCs w:val="24"/>
        </w:rPr>
      </w:pPr>
      <w:r>
        <w:rPr>
          <w:rFonts w:eastAsia="Microsoft YaHei"/>
          <w:i/>
          <w:iCs/>
          <w:sz w:val="24"/>
          <w:szCs w:val="24"/>
        </w:rPr>
        <w:t xml:space="preserve">- trebuie asigurată o lățime între containere de minimum </w:t>
      </w:r>
      <w:r>
        <w:rPr>
          <w:rFonts w:eastAsia="Microsoft YaHei"/>
          <w:b/>
          <w:bCs/>
          <w:i/>
          <w:iCs/>
          <w:sz w:val="24"/>
          <w:szCs w:val="24"/>
        </w:rPr>
        <w:t>1,50 m</w:t>
      </w:r>
      <w:r>
        <w:rPr>
          <w:rFonts w:eastAsia="Microsoft YaHei"/>
          <w:i/>
          <w:iCs/>
          <w:sz w:val="24"/>
          <w:szCs w:val="24"/>
        </w:rPr>
        <w:t xml:space="preserve"> spre părțile care conțin uși de acces sau orificii de deflagrație pentru containere cu celule LiFePO4 (litiu-fier-fosfat)</w:t>
      </w:r>
    </w:p>
    <w:p w14:paraId="5D19677E" w14:textId="77777777" w:rsidR="001C08A5" w:rsidRDefault="00000000">
      <w:pPr>
        <w:tabs>
          <w:tab w:val="left" w:pos="426"/>
          <w:tab w:val="left" w:pos="993"/>
        </w:tabs>
        <w:ind w:firstLine="720"/>
        <w:jc w:val="both"/>
        <w:rPr>
          <w:rFonts w:eastAsia="Times New Roman"/>
          <w:i/>
          <w:sz w:val="24"/>
        </w:rPr>
      </w:pPr>
      <w:r>
        <w:rPr>
          <w:rFonts w:eastAsia="Microsoft YaHei"/>
          <w:i/>
          <w:iCs/>
          <w:sz w:val="24"/>
          <w:szCs w:val="24"/>
        </w:rPr>
        <w:t xml:space="preserve">- în cazul containerelor cu celule litiu nichel/ mangan/ cobalt trebuie asigurată o lățime între containere de minimum </w:t>
      </w:r>
      <w:r>
        <w:rPr>
          <w:rFonts w:eastAsia="Microsoft YaHei"/>
          <w:b/>
          <w:bCs/>
          <w:i/>
          <w:iCs/>
          <w:sz w:val="24"/>
          <w:szCs w:val="24"/>
        </w:rPr>
        <w:t>4,00 m</w:t>
      </w:r>
      <w:r>
        <w:rPr>
          <w:rFonts w:eastAsia="Microsoft YaHei"/>
          <w:i/>
          <w:iCs/>
          <w:sz w:val="24"/>
          <w:szCs w:val="24"/>
        </w:rPr>
        <w:t xml:space="preserve"> pe părțile care conțin uși de acces sau orificii de deflagrație pentru containerele  prevăzute cu pereți </w:t>
      </w:r>
      <w:r>
        <w:rPr>
          <w:rFonts w:eastAsia="Microsoft YaHei"/>
          <w:b/>
          <w:bCs/>
          <w:i/>
          <w:iCs/>
          <w:sz w:val="24"/>
          <w:szCs w:val="24"/>
        </w:rPr>
        <w:t>REI60</w:t>
      </w:r>
      <w:r>
        <w:rPr>
          <w:rFonts w:eastAsia="Microsoft YaHei"/>
          <w:i/>
          <w:iCs/>
          <w:sz w:val="24"/>
          <w:szCs w:val="24"/>
        </w:rPr>
        <w:t xml:space="preserve"> și </w:t>
      </w:r>
      <w:r>
        <w:rPr>
          <w:rFonts w:eastAsia="Times New Roman"/>
          <w:i/>
          <w:sz w:val="24"/>
        </w:rPr>
        <w:t xml:space="preserve">uși </w:t>
      </w:r>
      <w:r>
        <w:rPr>
          <w:rFonts w:eastAsia="Times New Roman"/>
          <w:b/>
          <w:bCs/>
          <w:i/>
          <w:sz w:val="24"/>
        </w:rPr>
        <w:t>EI</w:t>
      </w:r>
      <w:r>
        <w:rPr>
          <w:rFonts w:eastAsia="Times New Roman"/>
          <w:b/>
          <w:bCs/>
          <w:i/>
          <w:sz w:val="24"/>
          <w:vertAlign w:val="subscript"/>
        </w:rPr>
        <w:t>2</w:t>
      </w:r>
      <w:r>
        <w:rPr>
          <w:rFonts w:eastAsia="Times New Roman"/>
          <w:b/>
          <w:bCs/>
          <w:i/>
          <w:sz w:val="24"/>
        </w:rPr>
        <w:t>30-C5S</w:t>
      </w:r>
      <w:r>
        <w:rPr>
          <w:rFonts w:eastAsia="Times New Roman"/>
          <w:b/>
          <w:bCs/>
          <w:i/>
          <w:sz w:val="24"/>
          <w:vertAlign w:val="subscript"/>
        </w:rPr>
        <w:t>200</w:t>
      </w:r>
      <w:r>
        <w:rPr>
          <w:rFonts w:eastAsia="Times New Roman"/>
          <w:i/>
          <w:sz w:val="24"/>
        </w:rPr>
        <w:t xml:space="preserve"> și </w:t>
      </w:r>
      <w:r>
        <w:rPr>
          <w:rFonts w:eastAsia="Microsoft YaHei"/>
          <w:i/>
          <w:iCs/>
          <w:sz w:val="24"/>
          <w:szCs w:val="24"/>
        </w:rPr>
        <w:t xml:space="preserve">o lățime între containere de minimum </w:t>
      </w:r>
      <w:r>
        <w:rPr>
          <w:rFonts w:eastAsia="Microsoft YaHei"/>
          <w:b/>
          <w:bCs/>
          <w:i/>
          <w:iCs/>
          <w:sz w:val="24"/>
          <w:szCs w:val="24"/>
        </w:rPr>
        <w:t>2,40 m</w:t>
      </w:r>
      <w:r>
        <w:rPr>
          <w:rFonts w:eastAsia="Microsoft YaHei"/>
          <w:i/>
          <w:iCs/>
          <w:sz w:val="24"/>
          <w:szCs w:val="24"/>
        </w:rPr>
        <w:t xml:space="preserve"> pe părțile care conțin uși de acces sau orificii de deflagrație pentru containerele amplasate în exterior prevăzute cu pereți minimum </w:t>
      </w:r>
      <w:r>
        <w:rPr>
          <w:rFonts w:eastAsia="Microsoft YaHei"/>
          <w:b/>
          <w:bCs/>
          <w:i/>
          <w:iCs/>
          <w:sz w:val="24"/>
          <w:szCs w:val="24"/>
        </w:rPr>
        <w:t>REI120</w:t>
      </w:r>
      <w:r>
        <w:rPr>
          <w:rFonts w:eastAsia="Microsoft YaHei"/>
          <w:i/>
          <w:iCs/>
          <w:sz w:val="24"/>
          <w:szCs w:val="24"/>
        </w:rPr>
        <w:t xml:space="preserve"> și </w:t>
      </w:r>
      <w:r>
        <w:rPr>
          <w:rFonts w:eastAsia="Times New Roman"/>
          <w:i/>
          <w:sz w:val="24"/>
        </w:rPr>
        <w:t xml:space="preserve">uși </w:t>
      </w:r>
      <w:r>
        <w:rPr>
          <w:rFonts w:eastAsia="Times New Roman"/>
          <w:b/>
          <w:bCs/>
          <w:i/>
          <w:sz w:val="24"/>
        </w:rPr>
        <w:t>EI</w:t>
      </w:r>
      <w:r>
        <w:rPr>
          <w:rFonts w:eastAsia="Times New Roman"/>
          <w:b/>
          <w:bCs/>
          <w:i/>
          <w:sz w:val="24"/>
          <w:vertAlign w:val="subscript"/>
        </w:rPr>
        <w:t>2</w:t>
      </w:r>
      <w:r>
        <w:rPr>
          <w:rFonts w:eastAsia="Times New Roman"/>
          <w:b/>
          <w:bCs/>
          <w:i/>
          <w:sz w:val="24"/>
        </w:rPr>
        <w:t>60-C5S</w:t>
      </w:r>
      <w:r>
        <w:rPr>
          <w:rFonts w:eastAsia="Times New Roman"/>
          <w:b/>
          <w:bCs/>
          <w:i/>
          <w:sz w:val="24"/>
          <w:vertAlign w:val="subscript"/>
        </w:rPr>
        <w:t>200</w:t>
      </w:r>
      <w:r>
        <w:rPr>
          <w:rFonts w:eastAsia="Times New Roman"/>
          <w:i/>
          <w:sz w:val="24"/>
        </w:rPr>
        <w:t xml:space="preserve"> </w:t>
      </w:r>
    </w:p>
    <w:p w14:paraId="32A432D4" w14:textId="77777777" w:rsidR="001C08A5" w:rsidRDefault="00000000">
      <w:pPr>
        <w:tabs>
          <w:tab w:val="left" w:pos="426"/>
          <w:tab w:val="left" w:pos="993"/>
        </w:tabs>
        <w:jc w:val="center"/>
        <w:rPr>
          <w:rFonts w:eastAsia="Times New Roman"/>
          <w:i/>
          <w:sz w:val="24"/>
        </w:rPr>
      </w:pPr>
      <w:r>
        <w:rPr>
          <w:noProof/>
        </w:rPr>
        <w:lastRenderedPageBreak/>
        <w:drawing>
          <wp:inline distT="0" distB="0" distL="114300" distR="114300" wp14:anchorId="5FCC5348" wp14:editId="3CA3DEC7">
            <wp:extent cx="5608320" cy="2972435"/>
            <wp:effectExtent l="0" t="0" r="11430" b="1841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pic:cNvPicPr>
                  </pic:nvPicPr>
                  <pic:blipFill>
                    <a:blip r:embed="rId521"/>
                    <a:srcRect l="2573" t="8448" r="6155" b="3666"/>
                    <a:stretch>
                      <a:fillRect/>
                    </a:stretch>
                  </pic:blipFill>
                  <pic:spPr>
                    <a:xfrm>
                      <a:off x="0" y="0"/>
                      <a:ext cx="5608320" cy="2972435"/>
                    </a:xfrm>
                    <a:prstGeom prst="rect">
                      <a:avLst/>
                    </a:prstGeom>
                    <a:noFill/>
                    <a:ln>
                      <a:noFill/>
                    </a:ln>
                  </pic:spPr>
                </pic:pic>
              </a:graphicData>
            </a:graphic>
          </wp:inline>
        </w:drawing>
      </w:r>
    </w:p>
    <w:p w14:paraId="603EB1A0" w14:textId="77777777" w:rsidR="001C08A5" w:rsidRDefault="00000000">
      <w:pPr>
        <w:pStyle w:val="Caption"/>
        <w:tabs>
          <w:tab w:val="left" w:pos="426"/>
          <w:tab w:val="left" w:pos="993"/>
        </w:tabs>
        <w:jc w:val="center"/>
      </w:pPr>
      <w:bookmarkStart w:id="10008" w:name="_Toc162360495"/>
      <w:r>
        <w:t xml:space="preserve">Figura </w:t>
      </w:r>
      <w:r>
        <w:fldChar w:fldCharType="begin"/>
      </w:r>
      <w:r>
        <w:instrText xml:space="preserve"> SEQ Figura \* ARABIC </w:instrText>
      </w:r>
      <w:r>
        <w:fldChar w:fldCharType="separate"/>
      </w:r>
      <w:r>
        <w:t>271</w:t>
      </w:r>
      <w:r>
        <w:fldChar w:fldCharType="end"/>
      </w:r>
      <w:bookmarkStart w:id="10009" w:name="_Toc475"/>
      <w:bookmarkStart w:id="10010" w:name="_Toc12291"/>
      <w:bookmarkStart w:id="10011" w:name="_Toc21796"/>
      <w:bookmarkStart w:id="10012" w:name="_Toc606"/>
      <w:bookmarkStart w:id="10013" w:name="_Toc28341"/>
      <w:bookmarkStart w:id="10014" w:name="_Toc18398"/>
      <w:bookmarkStart w:id="10015" w:name="_Toc5068"/>
      <w:bookmarkStart w:id="10016" w:name="_Toc16067"/>
      <w:bookmarkStart w:id="10017" w:name="_Toc5076"/>
      <w:r>
        <w:t xml:space="preserve"> - </w:t>
      </w:r>
      <w:r>
        <w:rPr>
          <w:rFonts w:eastAsia="TimesNewRomanPSMT"/>
        </w:rPr>
        <w:t>Depozitare baterii li-ion în spații și construcții de depozitare</w:t>
      </w:r>
      <w:bookmarkEnd w:id="10008"/>
      <w:bookmarkEnd w:id="10009"/>
      <w:bookmarkEnd w:id="10010"/>
      <w:bookmarkEnd w:id="10011"/>
      <w:bookmarkEnd w:id="10012"/>
      <w:bookmarkEnd w:id="10013"/>
      <w:bookmarkEnd w:id="10014"/>
      <w:bookmarkEnd w:id="10015"/>
      <w:bookmarkEnd w:id="10016"/>
      <w:bookmarkEnd w:id="10017"/>
    </w:p>
    <w:p w14:paraId="60313352" w14:textId="77777777" w:rsidR="001C08A5" w:rsidRDefault="00000000">
      <w:pPr>
        <w:pStyle w:val="Heading3"/>
        <w:rPr>
          <w:i/>
          <w:iCs/>
          <w:sz w:val="24"/>
          <w:szCs w:val="24"/>
        </w:rPr>
      </w:pPr>
      <w:bookmarkStart w:id="10018" w:name="_Toc26959"/>
      <w:bookmarkStart w:id="10019" w:name="_Toc16287"/>
      <w:bookmarkStart w:id="10020" w:name="_Toc25543"/>
      <w:bookmarkStart w:id="10021" w:name="_Toc8456"/>
      <w:bookmarkStart w:id="10022" w:name="_Toc23034"/>
      <w:bookmarkStart w:id="10023" w:name="_Toc25892"/>
      <w:bookmarkStart w:id="10024" w:name="_Toc162355497"/>
      <w:bookmarkStart w:id="10025" w:name="_Toc6964"/>
      <w:bookmarkStart w:id="10026" w:name="_Toc17135"/>
      <w:bookmarkStart w:id="10027" w:name="_Toc15856"/>
      <w:bookmarkStart w:id="10028" w:name="_Toc3206"/>
      <w:bookmarkStart w:id="10029" w:name="_Toc21202"/>
      <w:bookmarkStart w:id="10030" w:name="_Toc9388"/>
      <w:bookmarkStart w:id="10031" w:name="_Toc23225"/>
      <w:bookmarkStart w:id="10032" w:name="_Toc2314"/>
      <w:bookmarkStart w:id="10033" w:name="_Toc23228"/>
      <w:r>
        <w:rPr>
          <w:i/>
          <w:iCs/>
          <w:sz w:val="24"/>
          <w:szCs w:val="24"/>
        </w:rPr>
        <w:t>ANEXA 7.7 - SPAȚII DE TIP OPEN/SPACE</w:t>
      </w:r>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p>
    <w:p w14:paraId="5A8AB5B7" w14:textId="77777777" w:rsidR="001C08A5" w:rsidRDefault="00000000">
      <w:pPr>
        <w:numPr>
          <w:ilvl w:val="0"/>
          <w:numId w:val="96"/>
        </w:numPr>
        <w:tabs>
          <w:tab w:val="left" w:pos="426"/>
          <w:tab w:val="left" w:pos="993"/>
        </w:tabs>
        <w:jc w:val="both"/>
        <w:rPr>
          <w:rFonts w:eastAsia="Microsoft YaHei" w:cs="Cambria"/>
          <w:b/>
          <w:bCs/>
          <w:i/>
          <w:iCs/>
          <w:sz w:val="24"/>
          <w:szCs w:val="24"/>
        </w:rPr>
      </w:pPr>
      <w:r>
        <w:rPr>
          <w:rFonts w:eastAsia="Times New Roman"/>
          <w:i/>
          <w:sz w:val="24"/>
        </w:rPr>
        <w:t>Exemple de spații de tip open space sunt prezentate în figura 274.</w:t>
      </w:r>
    </w:p>
    <w:p w14:paraId="166A2106" w14:textId="77777777" w:rsidR="001C08A5" w:rsidRDefault="001C08A5">
      <w:pPr>
        <w:pStyle w:val="Default"/>
        <w:jc w:val="center"/>
        <w:rPr>
          <w:color w:val="auto"/>
        </w:rPr>
      </w:pPr>
    </w:p>
    <w:p w14:paraId="00819A1B" w14:textId="77777777" w:rsidR="001C08A5" w:rsidRDefault="00000000">
      <w:pPr>
        <w:pStyle w:val="Default"/>
        <w:jc w:val="center"/>
        <w:rPr>
          <w:color w:val="auto"/>
        </w:rPr>
      </w:pPr>
      <w:r>
        <w:rPr>
          <w:noProof/>
          <w:color w:val="auto"/>
        </w:rPr>
        <w:drawing>
          <wp:inline distT="0" distB="0" distL="114300" distR="114300" wp14:anchorId="75A6482A" wp14:editId="072B653A">
            <wp:extent cx="3838575" cy="2177415"/>
            <wp:effectExtent l="0" t="0" r="9525" b="13335"/>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
                    <pic:cNvPicPr>
                      <a:picLocks noChangeAspect="1"/>
                    </pic:cNvPicPr>
                  </pic:nvPicPr>
                  <pic:blipFill>
                    <a:blip r:embed="rId522"/>
                    <a:srcRect l="18200" t="29484" r="23948" b="6730"/>
                    <a:stretch>
                      <a:fillRect/>
                    </a:stretch>
                  </pic:blipFill>
                  <pic:spPr>
                    <a:xfrm>
                      <a:off x="0" y="0"/>
                      <a:ext cx="3838575" cy="2177415"/>
                    </a:xfrm>
                    <a:prstGeom prst="rect">
                      <a:avLst/>
                    </a:prstGeom>
                    <a:noFill/>
                    <a:ln>
                      <a:noFill/>
                    </a:ln>
                  </pic:spPr>
                </pic:pic>
              </a:graphicData>
            </a:graphic>
          </wp:inline>
        </w:drawing>
      </w:r>
    </w:p>
    <w:p w14:paraId="0701B6C2" w14:textId="77777777" w:rsidR="001C08A5" w:rsidRDefault="00000000">
      <w:pPr>
        <w:pStyle w:val="Default"/>
        <w:jc w:val="center"/>
        <w:rPr>
          <w:color w:val="auto"/>
        </w:rPr>
      </w:pPr>
      <w:r>
        <w:rPr>
          <w:noProof/>
          <w:color w:val="auto"/>
        </w:rPr>
        <w:drawing>
          <wp:inline distT="0" distB="0" distL="114300" distR="114300" wp14:anchorId="26D72030" wp14:editId="25FA9B2B">
            <wp:extent cx="4639310" cy="2035810"/>
            <wp:effectExtent l="0" t="0" r="8890" b="2540"/>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2"/>
                    <pic:cNvPicPr>
                      <a:picLocks noChangeAspect="1"/>
                    </pic:cNvPicPr>
                  </pic:nvPicPr>
                  <pic:blipFill>
                    <a:blip r:embed="rId523"/>
                    <a:srcRect l="18452" t="12741" r="9453" b="25760"/>
                    <a:stretch>
                      <a:fillRect/>
                    </a:stretch>
                  </pic:blipFill>
                  <pic:spPr>
                    <a:xfrm>
                      <a:off x="0" y="0"/>
                      <a:ext cx="4639310" cy="2035810"/>
                    </a:xfrm>
                    <a:prstGeom prst="rect">
                      <a:avLst/>
                    </a:prstGeom>
                    <a:noFill/>
                    <a:ln>
                      <a:noFill/>
                    </a:ln>
                  </pic:spPr>
                </pic:pic>
              </a:graphicData>
            </a:graphic>
          </wp:inline>
        </w:drawing>
      </w:r>
    </w:p>
    <w:p w14:paraId="67CCE5C0" w14:textId="77777777" w:rsidR="001C08A5" w:rsidRDefault="00000000">
      <w:pPr>
        <w:pStyle w:val="Caption"/>
        <w:jc w:val="center"/>
        <w:rPr>
          <w:rFonts w:cs="Times New Roman"/>
          <w:bCs/>
        </w:rPr>
      </w:pPr>
      <w:bookmarkStart w:id="10034" w:name="_Toc162360496"/>
      <w:r>
        <w:t xml:space="preserve">Figura </w:t>
      </w:r>
      <w:r>
        <w:fldChar w:fldCharType="begin"/>
      </w:r>
      <w:r>
        <w:instrText xml:space="preserve"> SEQ Figura \* ARABIC </w:instrText>
      </w:r>
      <w:r>
        <w:fldChar w:fldCharType="separate"/>
      </w:r>
      <w:r>
        <w:t>272</w:t>
      </w:r>
      <w:r>
        <w:fldChar w:fldCharType="end"/>
      </w:r>
      <w:bookmarkStart w:id="10035" w:name="_Toc14863"/>
      <w:bookmarkStart w:id="10036" w:name="_Toc28716"/>
      <w:bookmarkStart w:id="10037" w:name="_Toc6088"/>
      <w:bookmarkStart w:id="10038" w:name="_Toc31420"/>
      <w:bookmarkStart w:id="10039" w:name="_Toc5913"/>
      <w:bookmarkStart w:id="10040" w:name="_Toc26138"/>
      <w:bookmarkStart w:id="10041" w:name="_Toc8929"/>
      <w:bookmarkStart w:id="10042" w:name="_Toc19403"/>
      <w:bookmarkStart w:id="10043" w:name="_Toc12908"/>
      <w:r>
        <w:t xml:space="preserve"> - </w:t>
      </w:r>
      <w:r>
        <w:rPr>
          <w:rFonts w:cs="Times New Roman"/>
          <w:bCs/>
        </w:rPr>
        <w:t>Exemple de spații tip oen-space</w:t>
      </w:r>
      <w:bookmarkEnd w:id="10034"/>
      <w:bookmarkEnd w:id="10035"/>
      <w:bookmarkEnd w:id="10036"/>
      <w:bookmarkEnd w:id="10037"/>
      <w:bookmarkEnd w:id="10038"/>
      <w:bookmarkEnd w:id="10039"/>
      <w:bookmarkEnd w:id="10040"/>
      <w:bookmarkEnd w:id="10041"/>
      <w:bookmarkEnd w:id="10042"/>
      <w:bookmarkEnd w:id="10043"/>
    </w:p>
    <w:p w14:paraId="3A96E1B6" w14:textId="77777777" w:rsidR="001C08A5" w:rsidRDefault="00000000">
      <w:pPr>
        <w:pStyle w:val="Heading2"/>
        <w:ind w:left="0" w:firstLine="0"/>
        <w:rPr>
          <w:sz w:val="28"/>
        </w:rPr>
      </w:pPr>
      <w:bookmarkStart w:id="10044" w:name="_Toc30895"/>
      <w:bookmarkStart w:id="10045" w:name="_Toc26139"/>
      <w:bookmarkStart w:id="10046" w:name="_Toc32561"/>
      <w:bookmarkStart w:id="10047" w:name="_Toc162355498"/>
      <w:bookmarkStart w:id="10048" w:name="_Toc9602"/>
      <w:bookmarkStart w:id="10049" w:name="_Toc17887"/>
      <w:bookmarkStart w:id="10050" w:name="_Toc18737"/>
      <w:bookmarkStart w:id="10051" w:name="_Toc15769"/>
      <w:bookmarkStart w:id="10052" w:name="_Toc1077"/>
      <w:bookmarkStart w:id="10053" w:name="_Toc24040"/>
      <w:bookmarkStart w:id="10054" w:name="_Toc4815"/>
      <w:bookmarkStart w:id="10055" w:name="_Toc13306"/>
      <w:bookmarkStart w:id="10056" w:name="_Toc32355"/>
      <w:bookmarkStart w:id="10057" w:name="_Toc5257"/>
      <w:bookmarkStart w:id="10058" w:name="_Toc20826"/>
      <w:bookmarkStart w:id="10059" w:name="_Toc22134"/>
      <w:r>
        <w:rPr>
          <w:sz w:val="28"/>
        </w:rPr>
        <w:t xml:space="preserve">ANEXA 8 - CARACTERISTICILE SUBSTANŢELOR ŞI MATERIALELOR CE DETERMINĂ ÎNCADRAREA ÎN RISCURI DE INCENDIU A SPAŢIILOR, </w:t>
      </w:r>
      <w:r>
        <w:rPr>
          <w:sz w:val="28"/>
        </w:rPr>
        <w:lastRenderedPageBreak/>
        <w:t>ÎNCĂPERILOR, COMPARTIMENTELOR DE INCENDIU ŞI CONSTRUCŢIILOR DE PRODUCŢIE ŞI/SAU DEPOZITARE</w:t>
      </w:r>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p>
    <w:p w14:paraId="495DD4F0" w14:textId="77777777" w:rsidR="001C08A5" w:rsidRDefault="00000000">
      <w:pPr>
        <w:pStyle w:val="Heading3"/>
        <w:rPr>
          <w:i/>
          <w:iCs/>
          <w:sz w:val="24"/>
          <w:szCs w:val="24"/>
        </w:rPr>
      </w:pPr>
      <w:bookmarkStart w:id="10060" w:name="_Toc15304"/>
      <w:bookmarkStart w:id="10061" w:name="_Toc162355499"/>
      <w:bookmarkStart w:id="10062" w:name="_Toc28582"/>
      <w:bookmarkStart w:id="10063" w:name="_Toc14774"/>
      <w:bookmarkStart w:id="10064" w:name="_Toc3754"/>
      <w:bookmarkStart w:id="10065" w:name="_Toc31890"/>
      <w:r>
        <w:rPr>
          <w:i/>
          <w:iCs/>
          <w:sz w:val="24"/>
          <w:szCs w:val="24"/>
        </w:rPr>
        <w:t>ANEXA 8.1 - ÎNCADRAREA ÎN RISCURI DE INCENDIU A SPAŢIILOR, ÎNCĂPERILOR, COMPARTIMENTELOR DE INCENDIU ŞI CONSTRUCŢIILOR DE PRODUCŢIE ŞI/SAU DEPOZITARE CONFORM DENSITĂȚII SARCINII TERMICE</w:t>
      </w:r>
      <w:bookmarkEnd w:id="10060"/>
      <w:bookmarkEnd w:id="10061"/>
      <w:bookmarkEnd w:id="10062"/>
      <w:bookmarkEnd w:id="10063"/>
      <w:bookmarkEnd w:id="10064"/>
      <w:bookmarkEnd w:id="10065"/>
    </w:p>
    <w:p w14:paraId="2FBEE284" w14:textId="77777777" w:rsidR="001C08A5" w:rsidRDefault="001C08A5">
      <w:pPr>
        <w:jc w:val="both"/>
        <w:rPr>
          <w:bCs/>
          <w:i/>
          <w:sz w:val="24"/>
          <w:szCs w:val="24"/>
        </w:rPr>
      </w:pPr>
    </w:p>
    <w:p w14:paraId="4904A7F0" w14:textId="77777777" w:rsidR="001C08A5" w:rsidRDefault="00000000">
      <w:pPr>
        <w:numPr>
          <w:ilvl w:val="0"/>
          <w:numId w:val="96"/>
        </w:numPr>
        <w:tabs>
          <w:tab w:val="left" w:pos="426"/>
          <w:tab w:val="left" w:pos="993"/>
        </w:tabs>
        <w:jc w:val="both"/>
        <w:rPr>
          <w:sz w:val="24"/>
          <w:szCs w:val="24"/>
        </w:rPr>
      </w:pPr>
      <w:r>
        <w:rPr>
          <w:bCs/>
          <w:i/>
          <w:sz w:val="24"/>
          <w:szCs w:val="24"/>
        </w:rPr>
        <w:t>Valori ale densității sarcinii termice</w:t>
      </w:r>
      <w:r>
        <w:rPr>
          <w:b/>
          <w:bCs/>
          <w:i/>
          <w:sz w:val="24"/>
          <w:szCs w:val="24"/>
        </w:rPr>
        <w:t xml:space="preserve"> </w:t>
      </w:r>
      <w:r>
        <w:rPr>
          <w:bCs/>
          <w:i/>
          <w:sz w:val="24"/>
          <w:szCs w:val="24"/>
        </w:rPr>
        <w:t xml:space="preserve">ce determină încadrarea în riscuri de incendiu a spaţiilor, încăperilor, compartimentelor de incendiu şi construcţiilor de producţie şi/sau depozitare, sunt prezentate în </w:t>
      </w:r>
      <w:r>
        <w:rPr>
          <w:b/>
          <w:bCs/>
          <w:i/>
          <w:iCs/>
          <w:sz w:val="24"/>
          <w:szCs w:val="24"/>
        </w:rPr>
        <w:fldChar w:fldCharType="begin"/>
      </w:r>
      <w:r>
        <w:rPr>
          <w:b/>
          <w:bCs/>
          <w:i/>
          <w:iCs/>
          <w:sz w:val="24"/>
          <w:szCs w:val="24"/>
        </w:rPr>
        <w:instrText xml:space="preserve"> REF _Ref19686 \h </w:instrText>
      </w:r>
      <w:r>
        <w:rPr>
          <w:b/>
          <w:bCs/>
          <w:i/>
          <w:iCs/>
          <w:sz w:val="24"/>
          <w:szCs w:val="24"/>
        </w:rPr>
      </w:r>
      <w:r>
        <w:rPr>
          <w:b/>
          <w:bCs/>
          <w:i/>
          <w:iCs/>
          <w:sz w:val="24"/>
          <w:szCs w:val="24"/>
        </w:rPr>
        <w:fldChar w:fldCharType="separate"/>
      </w:r>
      <w:r>
        <w:t>Tabelul 132</w:t>
      </w:r>
      <w:r>
        <w:rPr>
          <w:b/>
          <w:bCs/>
          <w:i/>
          <w:iCs/>
          <w:sz w:val="24"/>
          <w:szCs w:val="24"/>
        </w:rPr>
        <w:fldChar w:fldCharType="end"/>
      </w:r>
      <w:r>
        <w:rPr>
          <w:b/>
          <w:bCs/>
          <w:i/>
          <w:sz w:val="24"/>
          <w:szCs w:val="24"/>
        </w:rPr>
        <w:t>.</w:t>
      </w:r>
    </w:p>
    <w:p w14:paraId="52AB6EB0" w14:textId="77777777" w:rsidR="001C08A5" w:rsidRDefault="001C08A5">
      <w:pPr>
        <w:jc w:val="both"/>
        <w:rPr>
          <w:bCs/>
          <w:i/>
          <w:sz w:val="24"/>
          <w:szCs w:val="24"/>
        </w:rPr>
      </w:pPr>
    </w:p>
    <w:p w14:paraId="15C2413D" w14:textId="77777777" w:rsidR="001C08A5" w:rsidRDefault="00000000">
      <w:pPr>
        <w:pStyle w:val="Caption"/>
        <w:rPr>
          <w:i w:val="0"/>
        </w:rPr>
      </w:pPr>
      <w:bookmarkStart w:id="10066" w:name="_Ref19686"/>
      <w:bookmarkStart w:id="10067" w:name="_Toc142898433"/>
      <w:bookmarkStart w:id="10068" w:name="_Toc162360182"/>
      <w:r>
        <w:t xml:space="preserve">Tabelul </w:t>
      </w:r>
      <w:r>
        <w:fldChar w:fldCharType="begin"/>
      </w:r>
      <w:r>
        <w:instrText xml:space="preserve"> SEQ Tabelul \* ARABIC </w:instrText>
      </w:r>
      <w:r>
        <w:fldChar w:fldCharType="separate"/>
      </w:r>
      <w:r>
        <w:t>132</w:t>
      </w:r>
      <w:r>
        <w:fldChar w:fldCharType="end"/>
      </w:r>
      <w:bookmarkStart w:id="10069" w:name="_Toc8237"/>
      <w:bookmarkStart w:id="10070" w:name="_Toc9017"/>
      <w:bookmarkStart w:id="10071" w:name="_Toc8105"/>
      <w:bookmarkStart w:id="10072" w:name="_Toc21551"/>
      <w:bookmarkStart w:id="10073" w:name="_Toc29628"/>
      <w:bookmarkStart w:id="10074" w:name="_Toc8245"/>
      <w:bookmarkStart w:id="10075" w:name="_Toc18570"/>
      <w:bookmarkStart w:id="10076" w:name="_Toc3467"/>
      <w:bookmarkStart w:id="10077" w:name="_Toc20591"/>
      <w:bookmarkStart w:id="10078" w:name="_Toc9491"/>
      <w:bookmarkStart w:id="10079" w:name="_Toc15389"/>
      <w:bookmarkStart w:id="10080" w:name="_Toc9812"/>
      <w:bookmarkEnd w:id="10066"/>
      <w:r>
        <w:t xml:space="preserve">: </w:t>
      </w:r>
      <w:r>
        <w:rPr>
          <w:bCs/>
          <w:lang w:val="en-GB"/>
        </w:rPr>
        <w:t>Încadrare în risc de incendiu</w:t>
      </w:r>
      <w:bookmarkEnd w:id="10067"/>
      <w:r>
        <w:rPr>
          <w:bCs/>
        </w:rPr>
        <w:t xml:space="preserve"> (construcții noi)</w:t>
      </w:r>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p>
    <w:tbl>
      <w:tblPr>
        <w:tblW w:w="4998" w:type="pct"/>
        <w:tblLook w:val="04A0" w:firstRow="1" w:lastRow="0" w:firstColumn="1" w:lastColumn="0" w:noHBand="0" w:noVBand="1"/>
      </w:tblPr>
      <w:tblGrid>
        <w:gridCol w:w="1185"/>
        <w:gridCol w:w="1790"/>
        <w:gridCol w:w="6640"/>
      </w:tblGrid>
      <w:tr w:rsidR="001C08A5" w14:paraId="028D3971" w14:textId="77777777">
        <w:tc>
          <w:tcPr>
            <w:tcW w:w="616" w:type="pct"/>
            <w:tcBorders>
              <w:top w:val="single" w:sz="8" w:space="0" w:color="000000"/>
              <w:left w:val="single" w:sz="8" w:space="0" w:color="000000"/>
              <w:bottom w:val="single" w:sz="8" w:space="0" w:color="000000"/>
            </w:tcBorders>
            <w:shd w:val="clear" w:color="auto" w:fill="D9D9D9"/>
          </w:tcPr>
          <w:p w14:paraId="584D78D5" w14:textId="77777777" w:rsidR="001C08A5" w:rsidRDefault="00000000">
            <w:pPr>
              <w:jc w:val="center"/>
              <w:rPr>
                <w:b/>
                <w:i/>
                <w:sz w:val="24"/>
                <w:szCs w:val="24"/>
              </w:rPr>
            </w:pPr>
            <w:r>
              <w:rPr>
                <w:b/>
                <w:i/>
                <w:sz w:val="24"/>
                <w:szCs w:val="24"/>
              </w:rPr>
              <w:t>Risc de</w:t>
            </w:r>
          </w:p>
          <w:p w14:paraId="2F215BA5" w14:textId="77777777" w:rsidR="001C08A5" w:rsidRDefault="00000000">
            <w:pPr>
              <w:jc w:val="center"/>
              <w:rPr>
                <w:b/>
                <w:i/>
                <w:sz w:val="24"/>
                <w:szCs w:val="24"/>
              </w:rPr>
            </w:pPr>
            <w:r>
              <w:rPr>
                <w:b/>
                <w:i/>
                <w:sz w:val="24"/>
                <w:szCs w:val="24"/>
              </w:rPr>
              <w:t>Incendiu</w:t>
            </w:r>
          </w:p>
        </w:tc>
        <w:tc>
          <w:tcPr>
            <w:tcW w:w="931" w:type="pct"/>
            <w:tcBorders>
              <w:top w:val="single" w:sz="8" w:space="0" w:color="000000"/>
              <w:left w:val="single" w:sz="4" w:space="0" w:color="000000"/>
              <w:bottom w:val="single" w:sz="8" w:space="0" w:color="000000"/>
              <w:right w:val="single" w:sz="8" w:space="0" w:color="000000"/>
            </w:tcBorders>
            <w:shd w:val="clear" w:color="auto" w:fill="D9D9D9"/>
          </w:tcPr>
          <w:p w14:paraId="2DC5A1BC" w14:textId="77777777" w:rsidR="001C08A5" w:rsidRDefault="00000000">
            <w:pPr>
              <w:jc w:val="center"/>
              <w:rPr>
                <w:b/>
                <w:bCs/>
                <w:i/>
                <w:sz w:val="24"/>
                <w:szCs w:val="24"/>
              </w:rPr>
            </w:pPr>
            <w:r>
              <w:rPr>
                <w:b/>
                <w:bCs/>
                <w:i/>
                <w:sz w:val="24"/>
                <w:szCs w:val="24"/>
              </w:rPr>
              <w:t>Densitatea de sarcină termică (q)</w:t>
            </w:r>
          </w:p>
        </w:tc>
        <w:tc>
          <w:tcPr>
            <w:tcW w:w="3452" w:type="pct"/>
            <w:tcBorders>
              <w:top w:val="single" w:sz="8" w:space="0" w:color="000000"/>
              <w:left w:val="single" w:sz="4" w:space="0" w:color="000000"/>
              <w:bottom w:val="single" w:sz="8" w:space="0" w:color="000000"/>
              <w:right w:val="single" w:sz="8" w:space="0" w:color="000000"/>
            </w:tcBorders>
            <w:shd w:val="clear" w:color="auto" w:fill="D9D9D9"/>
          </w:tcPr>
          <w:p w14:paraId="11DA6624" w14:textId="77777777" w:rsidR="001C08A5" w:rsidRDefault="00000000">
            <w:pPr>
              <w:jc w:val="center"/>
              <w:rPr>
                <w:i/>
                <w:sz w:val="24"/>
                <w:szCs w:val="24"/>
              </w:rPr>
            </w:pPr>
            <w:r>
              <w:rPr>
                <w:b/>
                <w:bCs/>
                <w:i/>
                <w:sz w:val="24"/>
                <w:szCs w:val="24"/>
              </w:rPr>
              <w:t>Observații</w:t>
            </w:r>
          </w:p>
        </w:tc>
      </w:tr>
      <w:tr w:rsidR="001C08A5" w14:paraId="56147F83" w14:textId="77777777">
        <w:trPr>
          <w:trHeight w:val="790"/>
        </w:trPr>
        <w:tc>
          <w:tcPr>
            <w:tcW w:w="616" w:type="pct"/>
            <w:tcBorders>
              <w:top w:val="single" w:sz="8" w:space="0" w:color="000000"/>
              <w:left w:val="single" w:sz="4" w:space="0" w:color="000000"/>
              <w:bottom w:val="single" w:sz="4" w:space="0" w:color="000000"/>
            </w:tcBorders>
          </w:tcPr>
          <w:p w14:paraId="7EE146AA" w14:textId="77777777" w:rsidR="001C08A5" w:rsidRDefault="001C08A5">
            <w:pPr>
              <w:jc w:val="center"/>
              <w:rPr>
                <w:i/>
                <w:sz w:val="24"/>
                <w:szCs w:val="24"/>
              </w:rPr>
            </w:pPr>
          </w:p>
          <w:p w14:paraId="2360E4D1" w14:textId="77777777" w:rsidR="001C08A5" w:rsidRDefault="00000000">
            <w:pPr>
              <w:jc w:val="center"/>
              <w:rPr>
                <w:i/>
                <w:sz w:val="24"/>
                <w:szCs w:val="24"/>
              </w:rPr>
            </w:pPr>
            <w:r>
              <w:rPr>
                <w:b/>
                <w:i/>
                <w:sz w:val="24"/>
                <w:szCs w:val="24"/>
              </w:rPr>
              <w:t>Mic</w:t>
            </w:r>
          </w:p>
        </w:tc>
        <w:tc>
          <w:tcPr>
            <w:tcW w:w="931" w:type="pct"/>
            <w:tcBorders>
              <w:top w:val="single" w:sz="8" w:space="0" w:color="000000"/>
              <w:left w:val="single" w:sz="4" w:space="0" w:color="000000"/>
              <w:bottom w:val="single" w:sz="4" w:space="0" w:color="000000"/>
              <w:right w:val="single" w:sz="4" w:space="0" w:color="000000"/>
            </w:tcBorders>
          </w:tcPr>
          <w:p w14:paraId="5736F679" w14:textId="77777777" w:rsidR="001C08A5" w:rsidRDefault="001C08A5">
            <w:pPr>
              <w:snapToGrid w:val="0"/>
              <w:jc w:val="center"/>
              <w:rPr>
                <w:i/>
                <w:sz w:val="24"/>
                <w:szCs w:val="24"/>
                <w:shd w:val="clear" w:color="auto" w:fill="FFFF00"/>
              </w:rPr>
            </w:pPr>
          </w:p>
          <w:p w14:paraId="729A63E9" w14:textId="77777777" w:rsidR="001C08A5" w:rsidRDefault="00000000">
            <w:pPr>
              <w:jc w:val="center"/>
              <w:rPr>
                <w:bCs/>
                <w:i/>
                <w:sz w:val="24"/>
                <w:szCs w:val="24"/>
              </w:rPr>
            </w:pPr>
            <w:r>
              <w:rPr>
                <w:b/>
                <w:bCs/>
                <w:i/>
                <w:sz w:val="24"/>
                <w:szCs w:val="24"/>
              </w:rPr>
              <w:t xml:space="preserve">q ≤ </w:t>
            </w:r>
            <w:r>
              <w:rPr>
                <w:b/>
                <w:i/>
                <w:sz w:val="24"/>
                <w:szCs w:val="24"/>
              </w:rPr>
              <w:t>420 MJ/m</w:t>
            </w:r>
            <w:r>
              <w:rPr>
                <w:b/>
                <w:i/>
                <w:sz w:val="24"/>
                <w:szCs w:val="24"/>
                <w:vertAlign w:val="superscript"/>
              </w:rPr>
              <w:t>2</w:t>
            </w:r>
          </w:p>
        </w:tc>
        <w:tc>
          <w:tcPr>
            <w:tcW w:w="3452" w:type="pct"/>
            <w:tcBorders>
              <w:top w:val="single" w:sz="8" w:space="0" w:color="000000"/>
              <w:left w:val="single" w:sz="4" w:space="0" w:color="000000"/>
              <w:bottom w:val="single" w:sz="4" w:space="0" w:color="000000"/>
              <w:right w:val="single" w:sz="4" w:space="0" w:color="000000"/>
            </w:tcBorders>
          </w:tcPr>
          <w:p w14:paraId="27F7C753" w14:textId="77777777" w:rsidR="001C08A5" w:rsidRDefault="00000000">
            <w:pPr>
              <w:jc w:val="center"/>
              <w:rPr>
                <w:i/>
                <w:sz w:val="24"/>
                <w:szCs w:val="24"/>
              </w:rPr>
            </w:pPr>
            <w:r>
              <w:rPr>
                <w:i/>
                <w:sz w:val="24"/>
                <w:szCs w:val="24"/>
              </w:rPr>
              <w:t>Se încadrează în această categorie, indiferent de densitatea sarcinii termice:</w:t>
            </w:r>
          </w:p>
          <w:p w14:paraId="67A6815C" w14:textId="77777777" w:rsidR="001C08A5" w:rsidRDefault="00000000">
            <w:pPr>
              <w:jc w:val="center"/>
              <w:rPr>
                <w:i/>
                <w:sz w:val="24"/>
                <w:szCs w:val="24"/>
              </w:rPr>
            </w:pPr>
            <w:r>
              <w:rPr>
                <w:i/>
                <w:sz w:val="24"/>
                <w:szCs w:val="24"/>
              </w:rPr>
              <w:t>Încăperi şi spaţii în care se utilizează, prelucrează ori depozitează materiale sau substanţe incombustibile</w:t>
            </w:r>
          </w:p>
          <w:p w14:paraId="79BD87D3" w14:textId="77777777" w:rsidR="001C08A5" w:rsidRDefault="00000000">
            <w:pPr>
              <w:jc w:val="center"/>
              <w:rPr>
                <w:i/>
                <w:sz w:val="24"/>
                <w:szCs w:val="24"/>
              </w:rPr>
            </w:pPr>
            <w:r>
              <w:rPr>
                <w:i/>
                <w:sz w:val="24"/>
                <w:szCs w:val="24"/>
              </w:rPr>
              <w:t>Încăperi şi spaţii în care se utilizează, prelucrează ori depozitează substanţe sau materiale incombustibile, în stare rece sau materiale combustibile în stare de umiditate înaintată (peste 80%), ori ambalaje combustibile cu lichide incombustibile, astfel încât posibilitatea aprinderii lor este exclusă</w:t>
            </w:r>
          </w:p>
          <w:p w14:paraId="7710AEF2" w14:textId="77777777" w:rsidR="001C08A5" w:rsidRDefault="001C08A5">
            <w:pPr>
              <w:jc w:val="center"/>
              <w:rPr>
                <w:i/>
                <w:sz w:val="24"/>
                <w:szCs w:val="24"/>
                <w:shd w:val="clear" w:color="auto" w:fill="FFFF00"/>
              </w:rPr>
            </w:pPr>
          </w:p>
        </w:tc>
      </w:tr>
      <w:tr w:rsidR="001C08A5" w14:paraId="2AFE15B2" w14:textId="77777777">
        <w:tc>
          <w:tcPr>
            <w:tcW w:w="616" w:type="pct"/>
            <w:tcBorders>
              <w:top w:val="single" w:sz="4" w:space="0" w:color="000000"/>
              <w:left w:val="single" w:sz="4" w:space="0" w:color="000000"/>
              <w:bottom w:val="single" w:sz="4" w:space="0" w:color="000000"/>
            </w:tcBorders>
          </w:tcPr>
          <w:p w14:paraId="6B6C9955" w14:textId="77777777" w:rsidR="001C08A5" w:rsidRDefault="001C08A5">
            <w:pPr>
              <w:snapToGrid w:val="0"/>
              <w:jc w:val="center"/>
              <w:rPr>
                <w:bCs/>
                <w:i/>
                <w:sz w:val="24"/>
                <w:szCs w:val="24"/>
              </w:rPr>
            </w:pPr>
          </w:p>
          <w:p w14:paraId="40433C6D" w14:textId="77777777" w:rsidR="001C08A5" w:rsidRDefault="00000000">
            <w:pPr>
              <w:jc w:val="center"/>
              <w:rPr>
                <w:i/>
                <w:sz w:val="24"/>
                <w:szCs w:val="24"/>
              </w:rPr>
            </w:pPr>
            <w:r>
              <w:rPr>
                <w:b/>
                <w:i/>
                <w:sz w:val="24"/>
                <w:szCs w:val="24"/>
              </w:rPr>
              <w:t>Mijlociu</w:t>
            </w:r>
          </w:p>
        </w:tc>
        <w:tc>
          <w:tcPr>
            <w:tcW w:w="931" w:type="pct"/>
            <w:tcBorders>
              <w:top w:val="single" w:sz="4" w:space="0" w:color="000000"/>
              <w:left w:val="single" w:sz="4" w:space="0" w:color="000000"/>
              <w:bottom w:val="single" w:sz="4" w:space="0" w:color="000000"/>
              <w:right w:val="single" w:sz="4" w:space="0" w:color="000000"/>
            </w:tcBorders>
          </w:tcPr>
          <w:p w14:paraId="6E7206D3" w14:textId="77777777" w:rsidR="001C08A5" w:rsidRDefault="001C08A5">
            <w:pPr>
              <w:jc w:val="center"/>
              <w:rPr>
                <w:b/>
                <w:bCs/>
                <w:i/>
                <w:sz w:val="24"/>
                <w:szCs w:val="24"/>
              </w:rPr>
            </w:pPr>
          </w:p>
          <w:p w14:paraId="277CB5B4" w14:textId="77777777" w:rsidR="001C08A5" w:rsidRDefault="00000000">
            <w:pPr>
              <w:jc w:val="center"/>
              <w:rPr>
                <w:b/>
                <w:i/>
                <w:sz w:val="24"/>
                <w:szCs w:val="24"/>
              </w:rPr>
            </w:pPr>
            <w:r>
              <w:rPr>
                <w:b/>
                <w:bCs/>
                <w:i/>
                <w:sz w:val="24"/>
                <w:szCs w:val="24"/>
              </w:rPr>
              <w:t>420 MJ/m</w:t>
            </w:r>
            <w:r>
              <w:rPr>
                <w:b/>
                <w:bCs/>
                <w:i/>
                <w:sz w:val="24"/>
                <w:szCs w:val="24"/>
                <w:vertAlign w:val="superscript"/>
              </w:rPr>
              <w:t>2</w:t>
            </w:r>
            <w:r>
              <w:rPr>
                <w:b/>
                <w:bCs/>
                <w:i/>
                <w:sz w:val="24"/>
                <w:szCs w:val="24"/>
              </w:rPr>
              <w:t>&lt;q≤840 MJ/m</w:t>
            </w:r>
            <w:r>
              <w:rPr>
                <w:b/>
                <w:bCs/>
                <w:i/>
                <w:sz w:val="24"/>
                <w:szCs w:val="24"/>
                <w:vertAlign w:val="superscript"/>
              </w:rPr>
              <w:t>2</w:t>
            </w:r>
          </w:p>
        </w:tc>
        <w:tc>
          <w:tcPr>
            <w:tcW w:w="3452" w:type="pct"/>
            <w:tcBorders>
              <w:top w:val="single" w:sz="4" w:space="0" w:color="000000"/>
              <w:left w:val="single" w:sz="4" w:space="0" w:color="000000"/>
              <w:bottom w:val="single" w:sz="4" w:space="0" w:color="000000"/>
              <w:right w:val="single" w:sz="4" w:space="0" w:color="000000"/>
            </w:tcBorders>
          </w:tcPr>
          <w:p w14:paraId="76538757" w14:textId="77777777" w:rsidR="001C08A5" w:rsidRDefault="00000000">
            <w:pPr>
              <w:jc w:val="center"/>
              <w:rPr>
                <w:i/>
                <w:sz w:val="24"/>
                <w:szCs w:val="24"/>
              </w:rPr>
            </w:pPr>
            <w:r>
              <w:rPr>
                <w:i/>
                <w:sz w:val="24"/>
                <w:szCs w:val="24"/>
              </w:rPr>
              <w:t>Se încadrează în această categorie, indiferent de densitatea sarcinii termice:</w:t>
            </w:r>
          </w:p>
          <w:p w14:paraId="7D7C0359" w14:textId="77777777" w:rsidR="001C08A5" w:rsidRDefault="00000000">
            <w:pPr>
              <w:jc w:val="center"/>
              <w:rPr>
                <w:i/>
                <w:sz w:val="24"/>
                <w:szCs w:val="24"/>
              </w:rPr>
            </w:pPr>
            <w:r>
              <w:rPr>
                <w:i/>
                <w:sz w:val="24"/>
                <w:szCs w:val="24"/>
              </w:rPr>
              <w:t>Încăperi şi spaţii în care se utilizează, prelucrează ori depozitează substanţe sau materiale incombustibile în stare fierbinte, topite sau incandescente, substanţe cu degajări de căldură radiantă, flăcări sau scântei.</w:t>
            </w:r>
          </w:p>
          <w:p w14:paraId="19995928" w14:textId="77777777" w:rsidR="001C08A5" w:rsidRDefault="00000000">
            <w:pPr>
              <w:jc w:val="center"/>
              <w:rPr>
                <w:b/>
                <w:bCs/>
                <w:i/>
                <w:sz w:val="24"/>
                <w:szCs w:val="24"/>
              </w:rPr>
            </w:pPr>
            <w:r>
              <w:rPr>
                <w:i/>
                <w:sz w:val="24"/>
                <w:szCs w:val="24"/>
              </w:rPr>
              <w:t>Încăperi şi spaţii în care se utilizează, substanţe solide, lichide sau gazoase în calitate de combustibil în instalații și echipamente termice adecvate</w:t>
            </w:r>
          </w:p>
        </w:tc>
      </w:tr>
      <w:tr w:rsidR="001C08A5" w14:paraId="050AE2DD" w14:textId="77777777">
        <w:tc>
          <w:tcPr>
            <w:tcW w:w="616" w:type="pct"/>
            <w:tcBorders>
              <w:top w:val="single" w:sz="4" w:space="0" w:color="000000"/>
              <w:left w:val="single" w:sz="4" w:space="0" w:color="000000"/>
              <w:bottom w:val="single" w:sz="4" w:space="0" w:color="000000"/>
            </w:tcBorders>
          </w:tcPr>
          <w:p w14:paraId="7093100C" w14:textId="77777777" w:rsidR="001C08A5" w:rsidRDefault="00000000">
            <w:pPr>
              <w:jc w:val="center"/>
              <w:rPr>
                <w:i/>
                <w:sz w:val="24"/>
                <w:szCs w:val="24"/>
              </w:rPr>
            </w:pPr>
            <w:r>
              <w:rPr>
                <w:b/>
                <w:i/>
                <w:sz w:val="24"/>
                <w:szCs w:val="24"/>
              </w:rPr>
              <w:t>Mare</w:t>
            </w:r>
          </w:p>
          <w:p w14:paraId="54DB9A03" w14:textId="77777777" w:rsidR="001C08A5" w:rsidRDefault="001C08A5">
            <w:pPr>
              <w:keepNext/>
              <w:tabs>
                <w:tab w:val="left" w:pos="432"/>
              </w:tabs>
              <w:ind w:left="432" w:hanging="432"/>
              <w:jc w:val="center"/>
              <w:outlineLvl w:val="0"/>
              <w:rPr>
                <w:b/>
                <w:i/>
                <w:sz w:val="24"/>
                <w:szCs w:val="24"/>
              </w:rPr>
            </w:pPr>
            <w:bookmarkStart w:id="10081" w:name="_Toc11237"/>
            <w:bookmarkEnd w:id="10081"/>
          </w:p>
        </w:tc>
        <w:tc>
          <w:tcPr>
            <w:tcW w:w="931" w:type="pct"/>
            <w:tcBorders>
              <w:top w:val="single" w:sz="4" w:space="0" w:color="000000"/>
              <w:left w:val="single" w:sz="4" w:space="0" w:color="000000"/>
              <w:bottom w:val="single" w:sz="4" w:space="0" w:color="000000"/>
              <w:right w:val="single" w:sz="4" w:space="0" w:color="000000"/>
            </w:tcBorders>
          </w:tcPr>
          <w:p w14:paraId="07B05676" w14:textId="77777777" w:rsidR="001C08A5" w:rsidRDefault="00000000">
            <w:pPr>
              <w:jc w:val="center"/>
              <w:rPr>
                <w:b/>
                <w:bCs/>
                <w:i/>
                <w:sz w:val="24"/>
                <w:szCs w:val="24"/>
              </w:rPr>
            </w:pPr>
            <w:r>
              <w:rPr>
                <w:b/>
                <w:i/>
                <w:sz w:val="24"/>
                <w:szCs w:val="24"/>
              </w:rPr>
              <w:t>8</w:t>
            </w:r>
            <w:r>
              <w:rPr>
                <w:b/>
                <w:bCs/>
                <w:i/>
                <w:sz w:val="24"/>
                <w:szCs w:val="24"/>
              </w:rPr>
              <w:t>40 MJ/m</w:t>
            </w:r>
            <w:r>
              <w:rPr>
                <w:b/>
                <w:bCs/>
                <w:i/>
                <w:sz w:val="24"/>
                <w:szCs w:val="24"/>
                <w:vertAlign w:val="superscript"/>
              </w:rPr>
              <w:t>2</w:t>
            </w:r>
            <w:r>
              <w:rPr>
                <w:b/>
                <w:bCs/>
                <w:i/>
                <w:sz w:val="24"/>
                <w:szCs w:val="24"/>
              </w:rPr>
              <w:t>&lt;q≤1680 MJ/m</w:t>
            </w:r>
            <w:r>
              <w:rPr>
                <w:b/>
                <w:bCs/>
                <w:i/>
                <w:sz w:val="24"/>
                <w:szCs w:val="24"/>
                <w:vertAlign w:val="superscript"/>
              </w:rPr>
              <w:t>2</w:t>
            </w:r>
          </w:p>
          <w:p w14:paraId="12F19987" w14:textId="77777777" w:rsidR="001C08A5" w:rsidRDefault="00000000">
            <w:pPr>
              <w:jc w:val="center"/>
              <w:rPr>
                <w:bCs/>
                <w:i/>
                <w:sz w:val="24"/>
                <w:szCs w:val="24"/>
              </w:rPr>
            </w:pPr>
            <w:r>
              <w:rPr>
                <w:bCs/>
                <w:i/>
                <w:sz w:val="24"/>
                <w:szCs w:val="24"/>
              </w:rPr>
              <w:t>.</w:t>
            </w:r>
          </w:p>
        </w:tc>
        <w:tc>
          <w:tcPr>
            <w:tcW w:w="3452" w:type="pct"/>
            <w:tcBorders>
              <w:top w:val="single" w:sz="4" w:space="0" w:color="000000"/>
              <w:left w:val="single" w:sz="4" w:space="0" w:color="000000"/>
              <w:bottom w:val="single" w:sz="4" w:space="0" w:color="000000"/>
              <w:right w:val="single" w:sz="4" w:space="0" w:color="000000"/>
            </w:tcBorders>
          </w:tcPr>
          <w:p w14:paraId="599B8D68" w14:textId="77777777" w:rsidR="001C08A5" w:rsidRDefault="00000000">
            <w:pPr>
              <w:jc w:val="center"/>
              <w:rPr>
                <w:i/>
                <w:sz w:val="24"/>
                <w:szCs w:val="24"/>
              </w:rPr>
            </w:pPr>
            <w:r>
              <w:rPr>
                <w:i/>
                <w:sz w:val="24"/>
                <w:szCs w:val="24"/>
              </w:rPr>
              <w:t>Nu determină încadrarea în risc mare de incendiu, oricare din următoarele situaţii:</w:t>
            </w:r>
          </w:p>
          <w:p w14:paraId="3F8CC5EB" w14:textId="77777777" w:rsidR="001C08A5" w:rsidRDefault="00000000">
            <w:pPr>
              <w:jc w:val="center"/>
              <w:rPr>
                <w:i/>
                <w:sz w:val="24"/>
                <w:szCs w:val="24"/>
              </w:rPr>
            </w:pPr>
            <w:r>
              <w:rPr>
                <w:i/>
                <w:sz w:val="24"/>
                <w:szCs w:val="24"/>
              </w:rPr>
              <w:t xml:space="preserve">1 - substanţele solide, lichide sau gazoase utilizate drept combustibil pentru ardere în instalații și echipamente termice adecvate </w:t>
            </w:r>
          </w:p>
          <w:p w14:paraId="16919ADF" w14:textId="77777777" w:rsidR="001C08A5" w:rsidRDefault="00000000">
            <w:pPr>
              <w:jc w:val="center"/>
              <w:rPr>
                <w:i/>
                <w:sz w:val="24"/>
                <w:szCs w:val="24"/>
              </w:rPr>
            </w:pPr>
            <w:r>
              <w:rPr>
                <w:i/>
                <w:sz w:val="24"/>
                <w:szCs w:val="24"/>
              </w:rPr>
              <w:t>2 – lichidele inflamabile utilizate la comenzi hidraulice, răcire, ungere, filtre şi tratamente termice, în cantităţi de max. 2 m</w:t>
            </w:r>
            <w:r>
              <w:rPr>
                <w:i/>
                <w:sz w:val="24"/>
                <w:szCs w:val="24"/>
                <w:vertAlign w:val="superscript"/>
              </w:rPr>
              <w:t>3</w:t>
            </w:r>
            <w:r>
              <w:rPr>
                <w:i/>
                <w:sz w:val="24"/>
                <w:szCs w:val="24"/>
              </w:rPr>
              <w:t>, cu condiţia luării unor măsuri locale pentru limitarea propagării incendiului;</w:t>
            </w:r>
          </w:p>
          <w:p w14:paraId="6AEF0FF6" w14:textId="77777777" w:rsidR="001C08A5" w:rsidRDefault="00000000">
            <w:pPr>
              <w:jc w:val="center"/>
              <w:rPr>
                <w:i/>
                <w:sz w:val="24"/>
                <w:szCs w:val="24"/>
              </w:rPr>
            </w:pPr>
            <w:r>
              <w:rPr>
                <w:i/>
                <w:sz w:val="24"/>
                <w:szCs w:val="24"/>
              </w:rPr>
              <w:t>3 - echipamentul electric care conţine până la 60 kg ulei pe unitatea de echipament, precum şi fluxurile de cabluri cu mai puţin de 3,5 kg material combustibil/ml de flux.</w:t>
            </w:r>
          </w:p>
          <w:p w14:paraId="70443DFC" w14:textId="77777777" w:rsidR="001C08A5" w:rsidRDefault="00000000">
            <w:pPr>
              <w:jc w:val="center"/>
              <w:rPr>
                <w:i/>
                <w:sz w:val="24"/>
                <w:szCs w:val="24"/>
              </w:rPr>
            </w:pPr>
            <w:r>
              <w:rPr>
                <w:i/>
                <w:sz w:val="24"/>
                <w:szCs w:val="24"/>
              </w:rPr>
              <w:t>În asemenea situaţii, încadrarea se face în risc  mijlociu sau mic, în funcţie de riscul de incendiu în ansamblu.</w:t>
            </w:r>
          </w:p>
        </w:tc>
      </w:tr>
      <w:tr w:rsidR="001C08A5" w14:paraId="1B94D8C9" w14:textId="77777777">
        <w:tc>
          <w:tcPr>
            <w:tcW w:w="616" w:type="pct"/>
            <w:tcBorders>
              <w:top w:val="single" w:sz="4" w:space="0" w:color="000000"/>
              <w:left w:val="single" w:sz="4" w:space="0" w:color="000000"/>
              <w:bottom w:val="single" w:sz="4" w:space="0" w:color="000000"/>
            </w:tcBorders>
          </w:tcPr>
          <w:p w14:paraId="0DADE492" w14:textId="77777777" w:rsidR="001C08A5" w:rsidRDefault="00000000">
            <w:pPr>
              <w:jc w:val="center"/>
              <w:rPr>
                <w:i/>
                <w:sz w:val="24"/>
                <w:szCs w:val="24"/>
              </w:rPr>
            </w:pPr>
            <w:r>
              <w:rPr>
                <w:b/>
                <w:i/>
                <w:sz w:val="24"/>
                <w:szCs w:val="24"/>
              </w:rPr>
              <w:t>Foarte mare</w:t>
            </w:r>
          </w:p>
          <w:p w14:paraId="632675ED" w14:textId="77777777" w:rsidR="001C08A5" w:rsidRDefault="001C08A5">
            <w:pPr>
              <w:keepNext/>
              <w:tabs>
                <w:tab w:val="left" w:pos="432"/>
              </w:tabs>
              <w:ind w:left="432" w:hanging="432"/>
              <w:jc w:val="center"/>
              <w:outlineLvl w:val="0"/>
              <w:rPr>
                <w:b/>
                <w:i/>
                <w:sz w:val="24"/>
                <w:szCs w:val="24"/>
              </w:rPr>
            </w:pPr>
            <w:bookmarkStart w:id="10082" w:name="_Toc2882"/>
            <w:bookmarkEnd w:id="10082"/>
          </w:p>
        </w:tc>
        <w:tc>
          <w:tcPr>
            <w:tcW w:w="931" w:type="pct"/>
            <w:tcBorders>
              <w:top w:val="single" w:sz="4" w:space="0" w:color="000000"/>
              <w:left w:val="single" w:sz="4" w:space="0" w:color="000000"/>
              <w:bottom w:val="single" w:sz="4" w:space="0" w:color="000000"/>
              <w:right w:val="single" w:sz="4" w:space="0" w:color="000000"/>
            </w:tcBorders>
          </w:tcPr>
          <w:p w14:paraId="5586EA7A" w14:textId="77777777" w:rsidR="001C08A5" w:rsidRDefault="00000000">
            <w:pPr>
              <w:jc w:val="center"/>
              <w:rPr>
                <w:i/>
                <w:sz w:val="24"/>
                <w:szCs w:val="24"/>
              </w:rPr>
            </w:pPr>
            <w:r>
              <w:rPr>
                <w:b/>
                <w:i/>
                <w:sz w:val="24"/>
                <w:szCs w:val="24"/>
              </w:rPr>
              <w:t>q ≥16</w:t>
            </w:r>
            <w:r>
              <w:rPr>
                <w:b/>
                <w:bCs/>
                <w:i/>
                <w:sz w:val="24"/>
                <w:szCs w:val="24"/>
              </w:rPr>
              <w:t>80 MJ/m</w:t>
            </w:r>
            <w:r>
              <w:rPr>
                <w:b/>
                <w:bCs/>
                <w:i/>
                <w:sz w:val="24"/>
                <w:szCs w:val="24"/>
                <w:vertAlign w:val="superscript"/>
              </w:rPr>
              <w:t>2</w:t>
            </w:r>
          </w:p>
        </w:tc>
        <w:tc>
          <w:tcPr>
            <w:tcW w:w="3452" w:type="pct"/>
            <w:tcBorders>
              <w:top w:val="single" w:sz="4" w:space="0" w:color="000000"/>
              <w:left w:val="single" w:sz="4" w:space="0" w:color="000000"/>
              <w:bottom w:val="single" w:sz="4" w:space="0" w:color="000000"/>
              <w:right w:val="single" w:sz="4" w:space="0" w:color="000000"/>
            </w:tcBorders>
          </w:tcPr>
          <w:p w14:paraId="33DE1AF2" w14:textId="77777777" w:rsidR="001C08A5" w:rsidRDefault="00000000">
            <w:pPr>
              <w:jc w:val="center"/>
              <w:rPr>
                <w:i/>
                <w:sz w:val="24"/>
                <w:szCs w:val="24"/>
              </w:rPr>
            </w:pPr>
            <w:r>
              <w:rPr>
                <w:i/>
                <w:sz w:val="24"/>
                <w:szCs w:val="24"/>
              </w:rPr>
              <w:t>Nu determină încadrarea în risc de incendiu foarte mare:</w:t>
            </w:r>
          </w:p>
          <w:p w14:paraId="6ABC7A79" w14:textId="77777777" w:rsidR="001C08A5" w:rsidRDefault="00000000">
            <w:pPr>
              <w:jc w:val="center"/>
              <w:rPr>
                <w:i/>
                <w:sz w:val="24"/>
                <w:szCs w:val="24"/>
              </w:rPr>
            </w:pPr>
            <w:r>
              <w:rPr>
                <w:i/>
                <w:sz w:val="24"/>
                <w:szCs w:val="24"/>
              </w:rPr>
              <w:t>1 - folosirea substanţelor solide, lichide sau gazoase drept combustibil pentru ardere în instalații și echipamente termice adecvate ;</w:t>
            </w:r>
          </w:p>
          <w:p w14:paraId="5BB35583" w14:textId="77777777" w:rsidR="001C08A5" w:rsidRDefault="00000000">
            <w:pPr>
              <w:jc w:val="center"/>
              <w:rPr>
                <w:i/>
                <w:sz w:val="24"/>
                <w:szCs w:val="24"/>
              </w:rPr>
            </w:pPr>
            <w:r>
              <w:rPr>
                <w:i/>
                <w:sz w:val="24"/>
                <w:szCs w:val="24"/>
              </w:rPr>
              <w:lastRenderedPageBreak/>
              <w:t xml:space="preserve">2 - </w:t>
            </w:r>
            <w:hyperlink r:id="rId524" w:history="1">
              <w:r>
                <w:rPr>
                  <w:i/>
                  <w:sz w:val="24"/>
                  <w:szCs w:val="24"/>
                </w:rPr>
                <w:t>scăpările</w:t>
              </w:r>
            </w:hyperlink>
            <w:r>
              <w:rPr>
                <w:i/>
                <w:sz w:val="24"/>
                <w:szCs w:val="24"/>
              </w:rPr>
              <w:t xml:space="preserve"> şi degajările de gaze, vapori sau praf care sunt în cantităţi ce nu pot forma cu aerul amestecuri explozive.</w:t>
            </w:r>
          </w:p>
          <w:p w14:paraId="09E46F77" w14:textId="77777777" w:rsidR="001C08A5" w:rsidRDefault="00000000">
            <w:pPr>
              <w:jc w:val="center"/>
              <w:rPr>
                <w:i/>
                <w:sz w:val="24"/>
                <w:szCs w:val="24"/>
              </w:rPr>
            </w:pPr>
            <w:r>
              <w:rPr>
                <w:i/>
                <w:sz w:val="24"/>
                <w:szCs w:val="24"/>
              </w:rPr>
              <w:t>În asemenea situaţii, încadrarea se face în risc  mijlociu sau mic, în funcţie de riscul de incendiu în ansamblu.</w:t>
            </w:r>
          </w:p>
        </w:tc>
      </w:tr>
    </w:tbl>
    <w:p w14:paraId="384D6578" w14:textId="77777777" w:rsidR="001C08A5" w:rsidRDefault="001C08A5">
      <w:pPr>
        <w:tabs>
          <w:tab w:val="left" w:pos="426"/>
          <w:tab w:val="left" w:pos="993"/>
        </w:tabs>
        <w:jc w:val="both"/>
        <w:rPr>
          <w:i/>
          <w:sz w:val="22"/>
          <w:szCs w:val="22"/>
        </w:rPr>
      </w:pPr>
    </w:p>
    <w:p w14:paraId="0C3A8D41" w14:textId="77777777" w:rsidR="001C08A5" w:rsidRDefault="00000000">
      <w:pPr>
        <w:pStyle w:val="Heading4"/>
        <w:rPr>
          <w:sz w:val="24"/>
          <w:szCs w:val="24"/>
        </w:rPr>
      </w:pPr>
      <w:bookmarkStart w:id="10083" w:name="_Toc162355500"/>
      <w:bookmarkStart w:id="10084" w:name="_Toc19811"/>
      <w:bookmarkStart w:id="10085" w:name="_Toc24143"/>
      <w:bookmarkStart w:id="10086" w:name="_Toc28465"/>
      <w:bookmarkStart w:id="10087" w:name="_Toc25778"/>
      <w:r>
        <w:rPr>
          <w:sz w:val="24"/>
          <w:szCs w:val="24"/>
        </w:rPr>
        <w:t>Clasificare suplimentară a materialelor/produselor şi substanţelor depozitate după clasa de periculozitate (recomandare)</w:t>
      </w:r>
      <w:bookmarkEnd w:id="10083"/>
      <w:bookmarkEnd w:id="10084"/>
      <w:bookmarkEnd w:id="10085"/>
      <w:bookmarkEnd w:id="10086"/>
      <w:bookmarkEnd w:id="10087"/>
    </w:p>
    <w:p w14:paraId="3D49B63A" w14:textId="77777777" w:rsidR="001C08A5" w:rsidRDefault="00000000">
      <w:pPr>
        <w:numPr>
          <w:ilvl w:val="0"/>
          <w:numId w:val="96"/>
        </w:numPr>
        <w:tabs>
          <w:tab w:val="left" w:pos="426"/>
          <w:tab w:val="left" w:pos="993"/>
        </w:tabs>
        <w:jc w:val="both"/>
        <w:rPr>
          <w:i/>
          <w:sz w:val="22"/>
          <w:szCs w:val="22"/>
        </w:rPr>
      </w:pPr>
      <w:r>
        <w:rPr>
          <w:bCs/>
          <w:i/>
          <w:sz w:val="24"/>
          <w:szCs w:val="24"/>
        </w:rPr>
        <w:t xml:space="preserve">Cu titlu de recomandare materialele/produsele şi substanţele depozitate se pot clasifica și după periculozitatea acestora conform datelor din fisele tehnice/ de produs și/ sau </w:t>
      </w:r>
      <w:r>
        <w:rPr>
          <w:i/>
          <w:sz w:val="24"/>
          <w:szCs w:val="24"/>
        </w:rPr>
        <w:t xml:space="preserve">fișele cu date de securitate, în acord cu recomandările din </w:t>
      </w:r>
      <w:r>
        <w:rPr>
          <w:b/>
          <w:bCs/>
          <w:i/>
          <w:iCs/>
          <w:sz w:val="24"/>
          <w:szCs w:val="24"/>
        </w:rPr>
        <w:fldChar w:fldCharType="begin"/>
      </w:r>
      <w:r>
        <w:rPr>
          <w:b/>
          <w:bCs/>
          <w:i/>
          <w:iCs/>
          <w:sz w:val="24"/>
          <w:szCs w:val="24"/>
        </w:rPr>
        <w:instrText xml:space="preserve"> REF _Ref20153 \h </w:instrText>
      </w:r>
      <w:r>
        <w:rPr>
          <w:b/>
          <w:bCs/>
          <w:i/>
          <w:iCs/>
          <w:sz w:val="24"/>
          <w:szCs w:val="24"/>
        </w:rPr>
      </w:r>
      <w:r>
        <w:rPr>
          <w:b/>
          <w:bCs/>
          <w:i/>
          <w:iCs/>
          <w:sz w:val="24"/>
          <w:szCs w:val="24"/>
        </w:rPr>
        <w:fldChar w:fldCharType="separate"/>
      </w:r>
      <w:r>
        <w:t>Tabelul 133</w:t>
      </w:r>
      <w:r>
        <w:rPr>
          <w:b/>
          <w:bCs/>
          <w:i/>
          <w:iCs/>
          <w:sz w:val="24"/>
          <w:szCs w:val="24"/>
        </w:rPr>
        <w:fldChar w:fldCharType="end"/>
      </w:r>
      <w:r>
        <w:rPr>
          <w:i/>
          <w:sz w:val="24"/>
          <w:szCs w:val="24"/>
        </w:rPr>
        <w:t xml:space="preserve"> și </w:t>
      </w:r>
      <w:r>
        <w:rPr>
          <w:b/>
          <w:bCs/>
          <w:i/>
          <w:iCs/>
          <w:sz w:val="24"/>
          <w:szCs w:val="24"/>
        </w:rPr>
        <w:fldChar w:fldCharType="begin"/>
      </w:r>
      <w:r>
        <w:rPr>
          <w:b/>
          <w:bCs/>
          <w:i/>
          <w:iCs/>
          <w:sz w:val="24"/>
          <w:szCs w:val="24"/>
        </w:rPr>
        <w:instrText xml:space="preserve"> REF _Ref20264 \h </w:instrText>
      </w:r>
      <w:r>
        <w:rPr>
          <w:b/>
          <w:bCs/>
          <w:i/>
          <w:iCs/>
          <w:sz w:val="24"/>
          <w:szCs w:val="24"/>
        </w:rPr>
      </w:r>
      <w:r>
        <w:rPr>
          <w:b/>
          <w:bCs/>
          <w:i/>
          <w:iCs/>
          <w:sz w:val="24"/>
          <w:szCs w:val="24"/>
        </w:rPr>
        <w:fldChar w:fldCharType="separate"/>
      </w:r>
      <w:r>
        <w:t>Tabelul 134</w:t>
      </w:r>
      <w:r>
        <w:rPr>
          <w:b/>
          <w:bCs/>
          <w:i/>
          <w:iCs/>
          <w:sz w:val="24"/>
          <w:szCs w:val="24"/>
        </w:rPr>
        <w:fldChar w:fldCharType="end"/>
      </w:r>
      <w:r>
        <w:rPr>
          <w:i/>
          <w:sz w:val="24"/>
          <w:szCs w:val="24"/>
        </w:rPr>
        <w:t xml:space="preserve">. </w:t>
      </w:r>
      <w:r>
        <w:rPr>
          <w:bCs/>
          <w:i/>
          <w:sz w:val="24"/>
          <w:szCs w:val="24"/>
        </w:rPr>
        <w:t xml:space="preserve">Răspunderea în vederea adoptării măsurilor privind depozitarea materialelor/ produselor şi substanţelor </w:t>
      </w:r>
      <w:r>
        <w:rPr>
          <w:i/>
          <w:sz w:val="22"/>
          <w:szCs w:val="22"/>
        </w:rPr>
        <w:t xml:space="preserve">cu periculozitate deosebit de mare </w:t>
      </w:r>
      <w:r>
        <w:rPr>
          <w:bCs/>
          <w:i/>
          <w:sz w:val="24"/>
          <w:szCs w:val="24"/>
        </w:rPr>
        <w:t>cade în sarcina proiectantului și a investitorului/ beneficiarului (privind măsurile de conformare pe linia securității la incendiu în ceea ce privește modul de depozitare al substanțelor sau amestecurilor potrivit și a prevederilor privind periculozitatea acestora). Proiectantul având în vedere tema de proiectare și tipul, cantitățile și posibila interacțiune a materialelor/ produselor şi substanţelor depozitate puse la dispoziție de către beneficiar în functie de specificatiile producatorului, împreună cu tehnologul, trebuie să asigure măsuri de conformare în raport cu produsele sau amestecurile depozitate și în raport cu periculozitatea acestora, pentru adoptarea măsurilor de protecție și conformare pe linia securității la incendiu al spațiilor respective. În toate cazurile proiectanții vor aplica și m</w:t>
      </w:r>
      <w:r>
        <w:rPr>
          <w:bCs/>
          <w:i/>
          <w:sz w:val="24"/>
          <w:szCs w:val="24"/>
          <w:lang w:eastAsia="ro-RO"/>
        </w:rPr>
        <w:t xml:space="preserve">etodologia de clasificare pe categorii a mărfurilor depozitate </w:t>
      </w:r>
      <w:r>
        <w:rPr>
          <w:bCs/>
          <w:i/>
          <w:sz w:val="24"/>
          <w:szCs w:val="24"/>
          <w:lang w:val="en-US" w:eastAsia="ro-RO"/>
        </w:rPr>
        <w:t>(</w:t>
      </w:r>
      <w:r>
        <w:rPr>
          <w:bCs/>
          <w:i/>
          <w:sz w:val="24"/>
          <w:szCs w:val="24"/>
          <w:lang w:eastAsia="ro-RO"/>
        </w:rPr>
        <w:t>redată în SR EN 12845</w:t>
      </w:r>
      <w:r>
        <w:rPr>
          <w:bCs/>
          <w:i/>
          <w:sz w:val="24"/>
          <w:szCs w:val="24"/>
          <w:lang w:val="en-US" w:eastAsia="ro-RO"/>
        </w:rPr>
        <w:t xml:space="preserve">) și </w:t>
      </w:r>
      <w:r>
        <w:rPr>
          <w:rFonts w:eastAsia="Calibri"/>
          <w:bCs/>
          <w:i/>
          <w:sz w:val="24"/>
          <w:szCs w:val="24"/>
          <w:shd w:val="clear" w:color="auto" w:fill="FFFFFF"/>
        </w:rPr>
        <w:t>atunci când apa nu este indicată ca substanță de stingere, se prevăd instalații automate de stingere cu alte substanțe prevăzute în normativul de profil</w:t>
      </w:r>
      <w:r>
        <w:rPr>
          <w:bCs/>
          <w:i/>
          <w:sz w:val="24"/>
          <w:szCs w:val="24"/>
          <w:lang w:eastAsia="ro-RO"/>
        </w:rPr>
        <w:t xml:space="preserve">. </w:t>
      </w:r>
    </w:p>
    <w:p w14:paraId="4FE0B113" w14:textId="77777777" w:rsidR="001C08A5" w:rsidRDefault="001C08A5">
      <w:pPr>
        <w:tabs>
          <w:tab w:val="left" w:pos="426"/>
          <w:tab w:val="left" w:pos="993"/>
        </w:tabs>
        <w:jc w:val="both"/>
        <w:rPr>
          <w:i/>
          <w:sz w:val="22"/>
          <w:szCs w:val="22"/>
        </w:rPr>
      </w:pPr>
    </w:p>
    <w:p w14:paraId="79F61637" w14:textId="77777777" w:rsidR="001C08A5" w:rsidRDefault="00000000">
      <w:pPr>
        <w:numPr>
          <w:ilvl w:val="0"/>
          <w:numId w:val="96"/>
        </w:numPr>
        <w:tabs>
          <w:tab w:val="left" w:pos="426"/>
          <w:tab w:val="left" w:pos="993"/>
        </w:tabs>
        <w:jc w:val="both"/>
        <w:rPr>
          <w:i/>
          <w:sz w:val="24"/>
          <w:szCs w:val="24"/>
        </w:rPr>
      </w:pPr>
      <w:r>
        <w:rPr>
          <w:bCs/>
          <w:i/>
          <w:sz w:val="24"/>
          <w:szCs w:val="24"/>
        </w:rPr>
        <w:t xml:space="preserve">Încadrarea în riscuri de incendiu a spaţiilor, încăperilor, compartimentelor de incendiu şi construcţiilor de producţie şi/sau depozitare cu materiale/produse şi substanţe depozitate având clasa de periculozitate: </w:t>
      </w:r>
      <w:r>
        <w:rPr>
          <w:i/>
          <w:sz w:val="24"/>
          <w:szCs w:val="24"/>
        </w:rPr>
        <w:t xml:space="preserve">fără </w:t>
      </w:r>
      <w:r>
        <w:rPr>
          <w:i/>
          <w:spacing w:val="-6"/>
          <w:sz w:val="24"/>
          <w:szCs w:val="24"/>
        </w:rPr>
        <w:t xml:space="preserve">periculozitate relevantă, </w:t>
      </w:r>
      <w:r>
        <w:rPr>
          <w:i/>
          <w:sz w:val="24"/>
          <w:szCs w:val="24"/>
        </w:rPr>
        <w:t xml:space="preserve">cu periculozitate redusă, cu periculozitate medie precum și cele cu periculozitate mare se determină în acord cu calculul </w:t>
      </w:r>
      <w:r>
        <w:rPr>
          <w:bCs/>
          <w:i/>
          <w:sz w:val="24"/>
          <w:szCs w:val="24"/>
        </w:rPr>
        <w:t>densității sarcinii termice</w:t>
      </w:r>
      <w:r>
        <w:rPr>
          <w:b/>
          <w:bCs/>
          <w:i/>
          <w:sz w:val="24"/>
          <w:szCs w:val="24"/>
        </w:rPr>
        <w:t xml:space="preserve"> </w:t>
      </w:r>
      <w:r>
        <w:rPr>
          <w:bCs/>
          <w:i/>
          <w:sz w:val="24"/>
          <w:szCs w:val="24"/>
        </w:rPr>
        <w:t>(conform</w:t>
      </w:r>
      <w:r>
        <w:rPr>
          <w:b/>
          <w:i/>
          <w:sz w:val="24"/>
          <w:szCs w:val="24"/>
        </w:rPr>
        <w:t xml:space="preserve"> </w:t>
      </w:r>
      <w:r>
        <w:rPr>
          <w:b/>
          <w:i/>
          <w:sz w:val="24"/>
          <w:szCs w:val="24"/>
        </w:rPr>
        <w:fldChar w:fldCharType="begin"/>
      </w:r>
      <w:r>
        <w:rPr>
          <w:b/>
          <w:i/>
          <w:sz w:val="24"/>
          <w:szCs w:val="24"/>
        </w:rPr>
        <w:instrText xml:space="preserve"> REF _Ref19686 \h </w:instrText>
      </w:r>
      <w:r>
        <w:rPr>
          <w:b/>
          <w:i/>
          <w:sz w:val="24"/>
          <w:szCs w:val="24"/>
        </w:rPr>
      </w:r>
      <w:r>
        <w:rPr>
          <w:b/>
          <w:i/>
          <w:sz w:val="24"/>
          <w:szCs w:val="24"/>
        </w:rPr>
        <w:fldChar w:fldCharType="separate"/>
      </w:r>
      <w:r>
        <w:t>Tabelul 132</w:t>
      </w:r>
      <w:r>
        <w:rPr>
          <w:b/>
          <w:i/>
          <w:sz w:val="24"/>
          <w:szCs w:val="24"/>
        </w:rPr>
        <w:fldChar w:fldCharType="end"/>
      </w:r>
      <w:r>
        <w:rPr>
          <w:bCs/>
          <w:i/>
          <w:sz w:val="24"/>
          <w:szCs w:val="24"/>
        </w:rPr>
        <w:t>) și se iau măsuri privind limitarea incendiului prevazute în normativ.</w:t>
      </w:r>
    </w:p>
    <w:p w14:paraId="70BF46E5" w14:textId="77777777" w:rsidR="001C08A5" w:rsidRDefault="001C08A5">
      <w:pPr>
        <w:tabs>
          <w:tab w:val="left" w:pos="426"/>
          <w:tab w:val="left" w:pos="993"/>
        </w:tabs>
        <w:jc w:val="both"/>
        <w:rPr>
          <w:bCs/>
          <w:i/>
          <w:sz w:val="24"/>
          <w:szCs w:val="24"/>
        </w:rPr>
      </w:pPr>
    </w:p>
    <w:p w14:paraId="750FB666" w14:textId="77777777" w:rsidR="001C08A5" w:rsidRDefault="00000000">
      <w:pPr>
        <w:numPr>
          <w:ilvl w:val="0"/>
          <w:numId w:val="96"/>
        </w:numPr>
        <w:tabs>
          <w:tab w:val="left" w:pos="426"/>
          <w:tab w:val="left" w:pos="993"/>
        </w:tabs>
        <w:jc w:val="both"/>
        <w:rPr>
          <w:sz w:val="24"/>
          <w:szCs w:val="24"/>
        </w:rPr>
      </w:pPr>
      <w:r>
        <w:rPr>
          <w:bCs/>
          <w:i/>
          <w:sz w:val="24"/>
          <w:szCs w:val="24"/>
        </w:rPr>
        <w:t>Caractertisticile, clasificarea și ambalarea pentru materialele/produsele și substanțele depozitate trebuie să fie conforme cu regulamentele europene relevante.</w:t>
      </w:r>
    </w:p>
    <w:p w14:paraId="76D566F4" w14:textId="77777777" w:rsidR="001C08A5" w:rsidRDefault="001C08A5">
      <w:pPr>
        <w:numPr>
          <w:ilvl w:val="255"/>
          <w:numId w:val="0"/>
        </w:numPr>
        <w:tabs>
          <w:tab w:val="left" w:pos="426"/>
          <w:tab w:val="left" w:pos="993"/>
        </w:tabs>
        <w:jc w:val="both"/>
        <w:rPr>
          <w:sz w:val="24"/>
          <w:szCs w:val="24"/>
        </w:rPr>
      </w:pPr>
    </w:p>
    <w:p w14:paraId="73DBA13D" w14:textId="77777777" w:rsidR="001C08A5" w:rsidRDefault="00000000">
      <w:pPr>
        <w:numPr>
          <w:ilvl w:val="0"/>
          <w:numId w:val="96"/>
        </w:numPr>
        <w:tabs>
          <w:tab w:val="left" w:pos="426"/>
          <w:tab w:val="left" w:pos="993"/>
        </w:tabs>
        <w:jc w:val="both"/>
        <w:rPr>
          <w:sz w:val="24"/>
          <w:szCs w:val="24"/>
        </w:rPr>
      </w:pPr>
      <w:r>
        <w:rPr>
          <w:bCs/>
          <w:i/>
          <w:sz w:val="24"/>
          <w:szCs w:val="24"/>
        </w:rPr>
        <w:t>Pentru materialele/produsele înregistrate conform prevederilor regulamentelor europene aplicabile se vor avea în vedere măsurile specifice de combatere a incendiului din Fișa cu date de securitate, conformă cu regulamentele europene aplicabile.</w:t>
      </w:r>
      <w:r>
        <w:rPr>
          <w:bCs/>
          <w:i/>
          <w:sz w:val="24"/>
          <w:szCs w:val="24"/>
        </w:rPr>
        <w:tab/>
      </w:r>
    </w:p>
    <w:p w14:paraId="4BC59214" w14:textId="77777777" w:rsidR="001C08A5" w:rsidRDefault="00000000">
      <w:pPr>
        <w:pStyle w:val="Caption"/>
        <w:rPr>
          <w:b w:val="0"/>
          <w:i w:val="0"/>
        </w:rPr>
      </w:pPr>
      <w:bookmarkStart w:id="10088" w:name="_Ref20153"/>
      <w:bookmarkStart w:id="10089" w:name="_Toc142898434"/>
      <w:bookmarkStart w:id="10090" w:name="_Toc162360183"/>
      <w:r>
        <w:t xml:space="preserve">Tabelul </w:t>
      </w:r>
      <w:r>
        <w:fldChar w:fldCharType="begin"/>
      </w:r>
      <w:r>
        <w:instrText xml:space="preserve"> SEQ Tabelul \* ARABIC </w:instrText>
      </w:r>
      <w:r>
        <w:fldChar w:fldCharType="separate"/>
      </w:r>
      <w:r>
        <w:t>133</w:t>
      </w:r>
      <w:r>
        <w:fldChar w:fldCharType="end"/>
      </w:r>
      <w:bookmarkStart w:id="10091" w:name="_Toc24166"/>
      <w:bookmarkStart w:id="10092" w:name="_Toc1476"/>
      <w:bookmarkStart w:id="10093" w:name="_Toc13521"/>
      <w:bookmarkStart w:id="10094" w:name="_Toc14517"/>
      <w:bookmarkStart w:id="10095" w:name="_Toc15661"/>
      <w:bookmarkStart w:id="10096" w:name="_Toc5264"/>
      <w:bookmarkStart w:id="10097" w:name="_Toc1536"/>
      <w:bookmarkStart w:id="10098" w:name="_Toc25280"/>
      <w:bookmarkStart w:id="10099" w:name="_Toc19568"/>
      <w:bookmarkStart w:id="10100" w:name="_Toc22687"/>
      <w:bookmarkStart w:id="10101" w:name="_Toc1776"/>
      <w:bookmarkStart w:id="10102" w:name="_Toc16271"/>
      <w:bookmarkEnd w:id="10088"/>
      <w:r>
        <w:t>: Recomandare de clasificare a materialelor/produselor şi substanţelor depozitate, după clasa de periculozitate</w:t>
      </w:r>
      <w:bookmarkEnd w:id="10089"/>
      <w:r>
        <w:t xml:space="preserve"> (construcții noi)</w:t>
      </w:r>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p>
    <w:tbl>
      <w:tblPr>
        <w:tblW w:w="4877" w:type="pct"/>
        <w:tblInd w:w="137" w:type="dxa"/>
        <w:tblLayout w:type="fixed"/>
        <w:tblLook w:val="04A0" w:firstRow="1" w:lastRow="0" w:firstColumn="1" w:lastColumn="0" w:noHBand="0" w:noVBand="1"/>
      </w:tblPr>
      <w:tblGrid>
        <w:gridCol w:w="1461"/>
        <w:gridCol w:w="1625"/>
        <w:gridCol w:w="1464"/>
        <w:gridCol w:w="4832"/>
      </w:tblGrid>
      <w:tr w:rsidR="001C08A5" w14:paraId="2A8BCC36" w14:textId="77777777">
        <w:tc>
          <w:tcPr>
            <w:tcW w:w="779" w:type="pct"/>
            <w:tcBorders>
              <w:top w:val="single" w:sz="8" w:space="0" w:color="000000"/>
              <w:left w:val="single" w:sz="8" w:space="0" w:color="000000"/>
              <w:bottom w:val="single" w:sz="8" w:space="0" w:color="000000"/>
            </w:tcBorders>
            <w:shd w:val="clear" w:color="auto" w:fill="D9D9D9"/>
          </w:tcPr>
          <w:p w14:paraId="7581D8E9" w14:textId="77777777" w:rsidR="001C08A5" w:rsidRDefault="001C08A5">
            <w:pPr>
              <w:snapToGrid w:val="0"/>
              <w:jc w:val="both"/>
              <w:rPr>
                <w:b/>
                <w:i/>
                <w:sz w:val="22"/>
                <w:szCs w:val="22"/>
              </w:rPr>
            </w:pPr>
          </w:p>
          <w:p w14:paraId="116B6612" w14:textId="77777777" w:rsidR="001C08A5" w:rsidRDefault="00000000">
            <w:pPr>
              <w:jc w:val="center"/>
              <w:rPr>
                <w:b/>
                <w:i/>
                <w:sz w:val="22"/>
                <w:szCs w:val="22"/>
              </w:rPr>
            </w:pPr>
            <w:r>
              <w:rPr>
                <w:b/>
                <w:i/>
                <w:sz w:val="22"/>
                <w:szCs w:val="22"/>
              </w:rPr>
              <w:t>Clasa de periculozita</w:t>
            </w:r>
          </w:p>
          <w:p w14:paraId="60378B17" w14:textId="77777777" w:rsidR="001C08A5" w:rsidRDefault="00000000">
            <w:pPr>
              <w:jc w:val="center"/>
              <w:rPr>
                <w:b/>
                <w:i/>
                <w:sz w:val="22"/>
                <w:szCs w:val="22"/>
              </w:rPr>
            </w:pPr>
            <w:r>
              <w:rPr>
                <w:b/>
                <w:i/>
                <w:sz w:val="22"/>
                <w:szCs w:val="22"/>
              </w:rPr>
              <w:t>te</w:t>
            </w:r>
          </w:p>
        </w:tc>
        <w:tc>
          <w:tcPr>
            <w:tcW w:w="1646" w:type="pct"/>
            <w:gridSpan w:val="2"/>
            <w:tcBorders>
              <w:top w:val="single" w:sz="8" w:space="0" w:color="000000"/>
              <w:left w:val="single" w:sz="4" w:space="0" w:color="000000"/>
              <w:bottom w:val="single" w:sz="8" w:space="0" w:color="000000"/>
            </w:tcBorders>
            <w:shd w:val="clear" w:color="auto" w:fill="D9D9D9"/>
          </w:tcPr>
          <w:p w14:paraId="4DDFE74B" w14:textId="77777777" w:rsidR="001C08A5" w:rsidRDefault="00000000">
            <w:pPr>
              <w:jc w:val="center"/>
              <w:rPr>
                <w:b/>
                <w:i/>
                <w:sz w:val="22"/>
                <w:szCs w:val="22"/>
              </w:rPr>
            </w:pPr>
            <w:r>
              <w:rPr>
                <w:b/>
                <w:i/>
                <w:sz w:val="22"/>
                <w:szCs w:val="22"/>
              </w:rPr>
              <w:t>Caracteristicile materialelor/produselor şi substanţelor depozitate</w:t>
            </w:r>
          </w:p>
          <w:p w14:paraId="21B8FE57" w14:textId="77777777" w:rsidR="001C08A5" w:rsidRDefault="001C08A5">
            <w:pPr>
              <w:snapToGrid w:val="0"/>
              <w:jc w:val="center"/>
              <w:rPr>
                <w:b/>
                <w:i/>
                <w:sz w:val="22"/>
                <w:szCs w:val="22"/>
              </w:rPr>
            </w:pPr>
          </w:p>
          <w:p w14:paraId="51021E21" w14:textId="77777777" w:rsidR="001C08A5" w:rsidRDefault="001C08A5">
            <w:pPr>
              <w:jc w:val="center"/>
              <w:rPr>
                <w:b/>
                <w:i/>
                <w:sz w:val="22"/>
                <w:szCs w:val="22"/>
              </w:rPr>
            </w:pPr>
          </w:p>
        </w:tc>
        <w:tc>
          <w:tcPr>
            <w:tcW w:w="2574" w:type="pct"/>
            <w:tcBorders>
              <w:top w:val="single" w:sz="8" w:space="0" w:color="000000"/>
              <w:left w:val="single" w:sz="4" w:space="0" w:color="000000"/>
              <w:bottom w:val="single" w:sz="8" w:space="0" w:color="000000"/>
              <w:right w:val="single" w:sz="8" w:space="0" w:color="000000"/>
            </w:tcBorders>
            <w:shd w:val="clear" w:color="auto" w:fill="D9D9D9"/>
          </w:tcPr>
          <w:p w14:paraId="594ABF9D" w14:textId="77777777" w:rsidR="001C08A5" w:rsidRDefault="001C08A5">
            <w:pPr>
              <w:snapToGrid w:val="0"/>
              <w:jc w:val="both"/>
              <w:rPr>
                <w:b/>
                <w:i/>
                <w:sz w:val="22"/>
                <w:szCs w:val="22"/>
              </w:rPr>
            </w:pPr>
          </w:p>
          <w:p w14:paraId="23A5CBE5" w14:textId="77777777" w:rsidR="001C08A5" w:rsidRDefault="00000000">
            <w:pPr>
              <w:jc w:val="center"/>
              <w:rPr>
                <w:bCs/>
                <w:i/>
                <w:sz w:val="22"/>
                <w:szCs w:val="22"/>
              </w:rPr>
            </w:pPr>
            <w:r>
              <w:rPr>
                <w:b/>
                <w:i/>
                <w:sz w:val="22"/>
                <w:szCs w:val="22"/>
              </w:rPr>
              <w:t>Exemple</w:t>
            </w:r>
          </w:p>
        </w:tc>
      </w:tr>
      <w:tr w:rsidR="001C08A5" w14:paraId="2404755F" w14:textId="77777777">
        <w:tc>
          <w:tcPr>
            <w:tcW w:w="779" w:type="pct"/>
            <w:tcBorders>
              <w:top w:val="single" w:sz="8" w:space="0" w:color="000000"/>
              <w:left w:val="single" w:sz="4" w:space="0" w:color="000000"/>
              <w:bottom w:val="single" w:sz="4" w:space="0" w:color="000000"/>
            </w:tcBorders>
          </w:tcPr>
          <w:p w14:paraId="5025FA0D" w14:textId="77777777" w:rsidR="001C08A5" w:rsidRDefault="001C08A5">
            <w:pPr>
              <w:snapToGrid w:val="0"/>
              <w:rPr>
                <w:bCs/>
                <w:i/>
                <w:sz w:val="22"/>
                <w:szCs w:val="22"/>
              </w:rPr>
            </w:pPr>
          </w:p>
          <w:p w14:paraId="5BF694AB" w14:textId="77777777" w:rsidR="001C08A5" w:rsidRDefault="00000000">
            <w:pPr>
              <w:rPr>
                <w:i/>
                <w:sz w:val="22"/>
                <w:szCs w:val="22"/>
              </w:rPr>
            </w:pPr>
            <w:r>
              <w:rPr>
                <w:i/>
                <w:sz w:val="22"/>
                <w:szCs w:val="22"/>
              </w:rPr>
              <w:t>fără</w:t>
            </w:r>
          </w:p>
          <w:p w14:paraId="1DB25D0F" w14:textId="77777777" w:rsidR="001C08A5" w:rsidRDefault="00000000">
            <w:pPr>
              <w:rPr>
                <w:i/>
                <w:spacing w:val="-6"/>
                <w:sz w:val="22"/>
                <w:szCs w:val="22"/>
              </w:rPr>
            </w:pPr>
            <w:r>
              <w:rPr>
                <w:i/>
                <w:spacing w:val="-6"/>
                <w:sz w:val="22"/>
                <w:szCs w:val="22"/>
              </w:rPr>
              <w:t>periculozitate relevantă</w:t>
            </w:r>
          </w:p>
        </w:tc>
        <w:tc>
          <w:tcPr>
            <w:tcW w:w="1646" w:type="pct"/>
            <w:gridSpan w:val="2"/>
            <w:tcBorders>
              <w:top w:val="single" w:sz="8" w:space="0" w:color="000000"/>
              <w:left w:val="single" w:sz="4" w:space="0" w:color="000000"/>
              <w:bottom w:val="single" w:sz="4" w:space="0" w:color="000000"/>
            </w:tcBorders>
          </w:tcPr>
          <w:p w14:paraId="5EA8C25E" w14:textId="77777777" w:rsidR="001C08A5" w:rsidRDefault="00000000">
            <w:pPr>
              <w:rPr>
                <w:i/>
                <w:strike/>
                <w:sz w:val="22"/>
                <w:szCs w:val="22"/>
              </w:rPr>
            </w:pPr>
            <w:r>
              <w:rPr>
                <w:i/>
                <w:sz w:val="22"/>
                <w:szCs w:val="22"/>
              </w:rPr>
              <w:t xml:space="preserve">Materiale neinflamabile fără pericol de incendiu relevant, fără ambalaje (în vrac) sau  în ambalaje din materiale </w:t>
            </w:r>
          </w:p>
          <w:p w14:paraId="0B3579A7" w14:textId="77777777" w:rsidR="001C08A5" w:rsidRDefault="00000000">
            <w:pPr>
              <w:rPr>
                <w:i/>
                <w:sz w:val="22"/>
                <w:szCs w:val="22"/>
              </w:rPr>
            </w:pPr>
            <w:r>
              <w:rPr>
                <w:i/>
                <w:sz w:val="22"/>
                <w:szCs w:val="22"/>
              </w:rPr>
              <w:t>neinflamabile</w:t>
            </w:r>
          </w:p>
        </w:tc>
        <w:tc>
          <w:tcPr>
            <w:tcW w:w="2574" w:type="pct"/>
            <w:tcBorders>
              <w:top w:val="single" w:sz="8" w:space="0" w:color="000000"/>
              <w:left w:val="single" w:sz="4" w:space="0" w:color="000000"/>
              <w:bottom w:val="single" w:sz="4" w:space="0" w:color="000000"/>
              <w:right w:val="single" w:sz="4" w:space="0" w:color="000000"/>
            </w:tcBorders>
          </w:tcPr>
          <w:p w14:paraId="1D88A58E" w14:textId="77777777" w:rsidR="001C08A5" w:rsidRDefault="00000000">
            <w:pPr>
              <w:rPr>
                <w:i/>
                <w:sz w:val="22"/>
                <w:szCs w:val="22"/>
              </w:rPr>
            </w:pPr>
            <w:r>
              <w:rPr>
                <w:i/>
                <w:sz w:val="22"/>
                <w:szCs w:val="22"/>
              </w:rPr>
              <w:t>Minereuri, produse şi piese metalice : ciment, nisip, beton, materiale de construcţii refractare.</w:t>
            </w:r>
          </w:p>
          <w:p w14:paraId="1E4400AB" w14:textId="77777777" w:rsidR="001C08A5" w:rsidRDefault="00000000">
            <w:pPr>
              <w:rPr>
                <w:i/>
                <w:sz w:val="22"/>
                <w:szCs w:val="22"/>
              </w:rPr>
            </w:pPr>
            <w:r>
              <w:rPr>
                <w:i/>
                <w:sz w:val="22"/>
                <w:szCs w:val="22"/>
              </w:rPr>
              <w:t xml:space="preserve"> Fructe, legume, carne.</w:t>
            </w:r>
          </w:p>
          <w:p w14:paraId="31DA6FEC" w14:textId="77777777" w:rsidR="001C08A5" w:rsidRDefault="00000000">
            <w:pPr>
              <w:rPr>
                <w:bCs/>
                <w:i/>
                <w:sz w:val="22"/>
                <w:szCs w:val="22"/>
              </w:rPr>
            </w:pPr>
            <w:r>
              <w:rPr>
                <w:i/>
                <w:sz w:val="22"/>
                <w:szCs w:val="22"/>
              </w:rPr>
              <w:t>Conserve în cutii metalice sau borcane.                            Lichide  neinflamabile îmbuteliate (ambalaje din sticlă) etc.</w:t>
            </w:r>
          </w:p>
        </w:tc>
      </w:tr>
      <w:tr w:rsidR="001C08A5" w14:paraId="5BBBF08A" w14:textId="77777777">
        <w:trPr>
          <w:trHeight w:val="2215"/>
        </w:trPr>
        <w:tc>
          <w:tcPr>
            <w:tcW w:w="779" w:type="pct"/>
            <w:vMerge w:val="restart"/>
            <w:tcBorders>
              <w:top w:val="single" w:sz="4" w:space="0" w:color="000000"/>
              <w:left w:val="single" w:sz="4" w:space="0" w:color="000000"/>
              <w:bottom w:val="single" w:sz="4" w:space="0" w:color="000000"/>
            </w:tcBorders>
          </w:tcPr>
          <w:p w14:paraId="5A177FAC" w14:textId="77777777" w:rsidR="001C08A5" w:rsidRDefault="001C08A5">
            <w:pPr>
              <w:rPr>
                <w:i/>
                <w:sz w:val="22"/>
                <w:szCs w:val="22"/>
              </w:rPr>
            </w:pPr>
          </w:p>
          <w:p w14:paraId="5289D23C" w14:textId="77777777" w:rsidR="001C08A5" w:rsidRDefault="00000000">
            <w:pPr>
              <w:rPr>
                <w:i/>
                <w:sz w:val="22"/>
                <w:szCs w:val="22"/>
              </w:rPr>
            </w:pPr>
            <w:r>
              <w:rPr>
                <w:i/>
                <w:sz w:val="22"/>
                <w:szCs w:val="22"/>
              </w:rPr>
              <w:t>cu periculozitate redusă</w:t>
            </w:r>
          </w:p>
          <w:p w14:paraId="0C531F18" w14:textId="77777777" w:rsidR="001C08A5" w:rsidRDefault="001C08A5">
            <w:pPr>
              <w:rPr>
                <w:i/>
                <w:sz w:val="22"/>
                <w:szCs w:val="22"/>
              </w:rPr>
            </w:pPr>
          </w:p>
          <w:p w14:paraId="6BDC8048" w14:textId="77777777" w:rsidR="001C08A5" w:rsidRDefault="001C08A5">
            <w:pPr>
              <w:rPr>
                <w:i/>
                <w:sz w:val="22"/>
                <w:szCs w:val="22"/>
              </w:rPr>
            </w:pPr>
          </w:p>
          <w:p w14:paraId="05323C93" w14:textId="77777777" w:rsidR="001C08A5" w:rsidRDefault="001C08A5">
            <w:pPr>
              <w:rPr>
                <w:i/>
                <w:sz w:val="22"/>
                <w:szCs w:val="22"/>
              </w:rPr>
            </w:pPr>
          </w:p>
        </w:tc>
        <w:tc>
          <w:tcPr>
            <w:tcW w:w="1646" w:type="pct"/>
            <w:gridSpan w:val="2"/>
            <w:tcBorders>
              <w:top w:val="single" w:sz="4" w:space="0" w:color="000000"/>
              <w:left w:val="single" w:sz="4" w:space="0" w:color="000000"/>
              <w:bottom w:val="single" w:sz="4" w:space="0" w:color="000000"/>
            </w:tcBorders>
          </w:tcPr>
          <w:p w14:paraId="734A94F6" w14:textId="77777777" w:rsidR="001C08A5" w:rsidRDefault="00000000">
            <w:pPr>
              <w:rPr>
                <w:i/>
                <w:sz w:val="22"/>
                <w:szCs w:val="22"/>
              </w:rPr>
            </w:pPr>
            <w:r>
              <w:rPr>
                <w:i/>
                <w:sz w:val="22"/>
                <w:szCs w:val="22"/>
              </w:rPr>
              <w:t xml:space="preserve">Materiale fără </w:t>
            </w:r>
            <w:r>
              <w:rPr>
                <w:i/>
                <w:spacing w:val="-6"/>
                <w:sz w:val="22"/>
                <w:szCs w:val="22"/>
              </w:rPr>
              <w:t>periculozitate relevantă, î</w:t>
            </w:r>
            <w:r>
              <w:rPr>
                <w:i/>
                <w:sz w:val="22"/>
                <w:szCs w:val="22"/>
              </w:rPr>
              <w:t>n ambalaje din materiale  cu viteză de ardere mică</w:t>
            </w:r>
          </w:p>
        </w:tc>
        <w:tc>
          <w:tcPr>
            <w:tcW w:w="2574" w:type="pct"/>
            <w:tcBorders>
              <w:top w:val="single" w:sz="4" w:space="0" w:color="000000"/>
              <w:left w:val="single" w:sz="4" w:space="0" w:color="000000"/>
              <w:right w:val="single" w:sz="4" w:space="0" w:color="000000"/>
            </w:tcBorders>
          </w:tcPr>
          <w:p w14:paraId="0F419F1A" w14:textId="77777777" w:rsidR="001C08A5" w:rsidRDefault="00000000">
            <w:pPr>
              <w:rPr>
                <w:i/>
                <w:sz w:val="22"/>
                <w:szCs w:val="22"/>
              </w:rPr>
            </w:pPr>
            <w:r>
              <w:rPr>
                <w:i/>
                <w:sz w:val="22"/>
                <w:szCs w:val="22"/>
              </w:rPr>
              <w:t>Minereuri şi alte materiale inerte în saci sau butoaie cu viteză de ardere mică</w:t>
            </w:r>
          </w:p>
          <w:p w14:paraId="63815420" w14:textId="77777777" w:rsidR="001C08A5" w:rsidRDefault="00000000">
            <w:pPr>
              <w:rPr>
                <w:i/>
                <w:sz w:val="22"/>
                <w:szCs w:val="22"/>
              </w:rPr>
            </w:pPr>
            <w:r>
              <w:rPr>
                <w:i/>
                <w:sz w:val="22"/>
                <w:szCs w:val="22"/>
              </w:rPr>
              <w:t>piese metalice în folii sau prelate neinflamabile, piese  metalice, cu viteză de ardere mică</w:t>
            </w:r>
          </w:p>
          <w:p w14:paraId="73854BDA" w14:textId="77777777" w:rsidR="001C08A5" w:rsidRDefault="00000000">
            <w:pPr>
              <w:rPr>
                <w:bCs/>
                <w:i/>
                <w:sz w:val="22"/>
                <w:szCs w:val="22"/>
              </w:rPr>
            </w:pPr>
            <w:r>
              <w:rPr>
                <w:i/>
                <w:sz w:val="22"/>
                <w:szCs w:val="22"/>
              </w:rPr>
              <w:t>elemente din beton, pe palete din lemn, lichide neinflamabile sau conserve în ambalaje neinflamabile în navete sau lădiţe cu viteză de ardere mică,etc.</w:t>
            </w:r>
          </w:p>
        </w:tc>
      </w:tr>
      <w:tr w:rsidR="001C08A5" w14:paraId="392D2322" w14:textId="77777777">
        <w:tc>
          <w:tcPr>
            <w:tcW w:w="779" w:type="pct"/>
            <w:vMerge/>
            <w:tcBorders>
              <w:top w:val="single" w:sz="4" w:space="0" w:color="000000"/>
              <w:left w:val="single" w:sz="4" w:space="0" w:color="000000"/>
              <w:bottom w:val="single" w:sz="4" w:space="0" w:color="000000"/>
            </w:tcBorders>
          </w:tcPr>
          <w:p w14:paraId="5407D232" w14:textId="77777777" w:rsidR="001C08A5" w:rsidRDefault="001C08A5">
            <w:pPr>
              <w:snapToGrid w:val="0"/>
              <w:rPr>
                <w:bCs/>
                <w:i/>
                <w:sz w:val="22"/>
                <w:szCs w:val="22"/>
              </w:rPr>
            </w:pPr>
          </w:p>
        </w:tc>
        <w:tc>
          <w:tcPr>
            <w:tcW w:w="1646" w:type="pct"/>
            <w:gridSpan w:val="2"/>
            <w:tcBorders>
              <w:top w:val="single" w:sz="4" w:space="0" w:color="000000"/>
              <w:left w:val="single" w:sz="4" w:space="0" w:color="000000"/>
              <w:bottom w:val="single" w:sz="4" w:space="0" w:color="000000"/>
            </w:tcBorders>
          </w:tcPr>
          <w:p w14:paraId="4B17AFDD" w14:textId="77777777" w:rsidR="001C08A5" w:rsidRDefault="00000000">
            <w:pPr>
              <w:rPr>
                <w:i/>
                <w:sz w:val="22"/>
                <w:szCs w:val="22"/>
              </w:rPr>
            </w:pPr>
            <w:r>
              <w:rPr>
                <w:i/>
                <w:sz w:val="22"/>
                <w:szCs w:val="22"/>
              </w:rPr>
              <w:t>Materiale şi produse care se aprind greu, au viteză  mică de ardere şi nu au căldură de ardere (putere calorifică) mare, neambalate sau în ambalaje</w:t>
            </w:r>
          </w:p>
          <w:p w14:paraId="66C29A1C" w14:textId="77777777" w:rsidR="001C08A5" w:rsidRDefault="00000000">
            <w:pPr>
              <w:rPr>
                <w:i/>
                <w:strike/>
                <w:sz w:val="22"/>
                <w:szCs w:val="22"/>
              </w:rPr>
            </w:pPr>
            <w:r>
              <w:rPr>
                <w:i/>
                <w:sz w:val="22"/>
                <w:szCs w:val="22"/>
              </w:rPr>
              <w:t>cu viteză de ardere redusă</w:t>
            </w:r>
          </w:p>
        </w:tc>
        <w:tc>
          <w:tcPr>
            <w:tcW w:w="2574" w:type="pct"/>
            <w:tcBorders>
              <w:top w:val="single" w:sz="4" w:space="0" w:color="000000"/>
              <w:left w:val="single" w:sz="4" w:space="0" w:color="000000"/>
              <w:bottom w:val="single" w:sz="4" w:space="0" w:color="000000"/>
              <w:right w:val="single" w:sz="4" w:space="0" w:color="000000"/>
            </w:tcBorders>
          </w:tcPr>
          <w:p w14:paraId="529F026E" w14:textId="77777777" w:rsidR="001C08A5" w:rsidRDefault="00000000">
            <w:pPr>
              <w:rPr>
                <w:i/>
                <w:sz w:val="22"/>
                <w:szCs w:val="22"/>
              </w:rPr>
            </w:pPr>
            <w:r>
              <w:rPr>
                <w:i/>
                <w:sz w:val="22"/>
                <w:szCs w:val="22"/>
              </w:rPr>
              <w:t>Piei brute, baloţi de lână (spălată şi uscată), zahăr brut şi cereale în vrac sau în saci, produse de panificaţie, tutun în recipiente etc.</w:t>
            </w:r>
          </w:p>
        </w:tc>
      </w:tr>
      <w:tr w:rsidR="001C08A5" w14:paraId="25194F65" w14:textId="77777777">
        <w:trPr>
          <w:trHeight w:val="358"/>
        </w:trPr>
        <w:tc>
          <w:tcPr>
            <w:tcW w:w="779" w:type="pct"/>
            <w:vMerge/>
            <w:tcBorders>
              <w:top w:val="single" w:sz="4" w:space="0" w:color="000000"/>
              <w:left w:val="single" w:sz="4" w:space="0" w:color="000000"/>
              <w:bottom w:val="single" w:sz="4" w:space="0" w:color="000000"/>
            </w:tcBorders>
          </w:tcPr>
          <w:p w14:paraId="13A99BC8" w14:textId="77777777" w:rsidR="001C08A5" w:rsidRDefault="001C08A5">
            <w:pPr>
              <w:snapToGrid w:val="0"/>
              <w:rPr>
                <w:bCs/>
                <w:i/>
                <w:sz w:val="22"/>
                <w:szCs w:val="22"/>
              </w:rPr>
            </w:pPr>
          </w:p>
        </w:tc>
        <w:tc>
          <w:tcPr>
            <w:tcW w:w="1646" w:type="pct"/>
            <w:gridSpan w:val="2"/>
            <w:tcBorders>
              <w:top w:val="single" w:sz="4" w:space="0" w:color="000000"/>
              <w:left w:val="single" w:sz="4" w:space="0" w:color="000000"/>
              <w:bottom w:val="single" w:sz="4" w:space="0" w:color="000000"/>
            </w:tcBorders>
          </w:tcPr>
          <w:p w14:paraId="6CCA059F" w14:textId="77777777" w:rsidR="001C08A5" w:rsidRDefault="00000000">
            <w:pPr>
              <w:rPr>
                <w:i/>
                <w:sz w:val="22"/>
                <w:szCs w:val="22"/>
              </w:rPr>
            </w:pPr>
            <w:r>
              <w:rPr>
                <w:i/>
                <w:sz w:val="22"/>
                <w:szCs w:val="22"/>
              </w:rPr>
              <w:t>Lichide neinflamabile</w:t>
            </w:r>
          </w:p>
          <w:p w14:paraId="1D4686EC" w14:textId="77777777" w:rsidR="001C08A5" w:rsidRDefault="001C08A5">
            <w:pPr>
              <w:rPr>
                <w:i/>
                <w:sz w:val="22"/>
                <w:szCs w:val="22"/>
              </w:rPr>
            </w:pPr>
          </w:p>
        </w:tc>
        <w:tc>
          <w:tcPr>
            <w:tcW w:w="2574" w:type="pct"/>
            <w:tcBorders>
              <w:top w:val="single" w:sz="4" w:space="0" w:color="000000"/>
              <w:left w:val="single" w:sz="4" w:space="0" w:color="000000"/>
              <w:bottom w:val="single" w:sz="4" w:space="0" w:color="000000"/>
              <w:right w:val="single" w:sz="4" w:space="0" w:color="000000"/>
            </w:tcBorders>
          </w:tcPr>
          <w:p w14:paraId="35B2BD6A" w14:textId="77777777" w:rsidR="001C08A5" w:rsidRDefault="00000000">
            <w:pPr>
              <w:rPr>
                <w:i/>
                <w:sz w:val="22"/>
                <w:szCs w:val="22"/>
              </w:rPr>
            </w:pPr>
            <w:r>
              <w:rPr>
                <w:i/>
                <w:sz w:val="22"/>
                <w:szCs w:val="22"/>
              </w:rPr>
              <w:t>Lapte, apă  minerală în ambalaje din plastic, carton etc.</w:t>
            </w:r>
          </w:p>
        </w:tc>
      </w:tr>
      <w:tr w:rsidR="001C08A5" w14:paraId="512496A2" w14:textId="77777777">
        <w:trPr>
          <w:trHeight w:val="3016"/>
        </w:trPr>
        <w:tc>
          <w:tcPr>
            <w:tcW w:w="779" w:type="pct"/>
            <w:vMerge w:val="restart"/>
            <w:tcBorders>
              <w:top w:val="single" w:sz="4" w:space="0" w:color="000000"/>
              <w:left w:val="single" w:sz="4" w:space="0" w:color="000000"/>
              <w:bottom w:val="single" w:sz="4" w:space="0" w:color="000000"/>
            </w:tcBorders>
          </w:tcPr>
          <w:p w14:paraId="57079EE5" w14:textId="77777777" w:rsidR="001C08A5" w:rsidRDefault="001C08A5">
            <w:pPr>
              <w:rPr>
                <w:i/>
                <w:sz w:val="22"/>
                <w:szCs w:val="22"/>
              </w:rPr>
            </w:pPr>
          </w:p>
          <w:p w14:paraId="5A67A2CA" w14:textId="77777777" w:rsidR="001C08A5" w:rsidRDefault="00000000">
            <w:pPr>
              <w:rPr>
                <w:i/>
                <w:sz w:val="22"/>
                <w:szCs w:val="22"/>
              </w:rPr>
            </w:pPr>
            <w:r>
              <w:rPr>
                <w:i/>
                <w:sz w:val="22"/>
                <w:szCs w:val="22"/>
              </w:rPr>
              <w:t xml:space="preserve">cu </w:t>
            </w:r>
          </w:p>
          <w:p w14:paraId="54DCF2ED" w14:textId="77777777" w:rsidR="001C08A5" w:rsidRDefault="00000000">
            <w:pPr>
              <w:rPr>
                <w:i/>
                <w:sz w:val="22"/>
                <w:szCs w:val="22"/>
              </w:rPr>
            </w:pPr>
            <w:r>
              <w:rPr>
                <w:i/>
                <w:sz w:val="22"/>
                <w:szCs w:val="22"/>
              </w:rPr>
              <w:t xml:space="preserve">periculozitate </w:t>
            </w:r>
          </w:p>
          <w:p w14:paraId="3B605C3E" w14:textId="77777777" w:rsidR="001C08A5" w:rsidRDefault="00000000">
            <w:pPr>
              <w:rPr>
                <w:bCs/>
                <w:i/>
                <w:sz w:val="22"/>
                <w:szCs w:val="22"/>
              </w:rPr>
            </w:pPr>
            <w:r>
              <w:rPr>
                <w:i/>
                <w:sz w:val="22"/>
                <w:szCs w:val="22"/>
              </w:rPr>
              <w:t>medie</w:t>
            </w:r>
          </w:p>
          <w:p w14:paraId="7ABF90CF" w14:textId="77777777" w:rsidR="001C08A5" w:rsidRDefault="001C08A5">
            <w:pPr>
              <w:rPr>
                <w:bCs/>
                <w:i/>
                <w:sz w:val="22"/>
                <w:szCs w:val="22"/>
              </w:rPr>
            </w:pPr>
          </w:p>
        </w:tc>
        <w:tc>
          <w:tcPr>
            <w:tcW w:w="1646" w:type="pct"/>
            <w:gridSpan w:val="2"/>
            <w:tcBorders>
              <w:top w:val="single" w:sz="4" w:space="0" w:color="000000"/>
              <w:left w:val="single" w:sz="4" w:space="0" w:color="000000"/>
              <w:bottom w:val="single" w:sz="4" w:space="0" w:color="000000"/>
            </w:tcBorders>
          </w:tcPr>
          <w:p w14:paraId="222350AF" w14:textId="77777777" w:rsidR="001C08A5" w:rsidRDefault="00000000">
            <w:pPr>
              <w:rPr>
                <w:i/>
                <w:sz w:val="22"/>
                <w:szCs w:val="22"/>
              </w:rPr>
            </w:pPr>
            <w:r>
              <w:rPr>
                <w:i/>
                <w:sz w:val="22"/>
                <w:szCs w:val="22"/>
              </w:rPr>
              <w:t>Materiale şi produse cu viteză de ardere medie (care nu se încadrează în clasele cu periculozitate mare sau deosebit de mare) şi cu căldură de ardere (putere calorifică)  de cel mult 27.3 Mj/kg, în orice fel de ambalaje, cu excepţia celor din materiale plastice spongioase sau cu HRR mare</w:t>
            </w:r>
          </w:p>
        </w:tc>
        <w:tc>
          <w:tcPr>
            <w:tcW w:w="2574" w:type="pct"/>
            <w:tcBorders>
              <w:top w:val="single" w:sz="4" w:space="0" w:color="000000"/>
              <w:left w:val="single" w:sz="4" w:space="0" w:color="000000"/>
              <w:right w:val="single" w:sz="4" w:space="0" w:color="000000"/>
            </w:tcBorders>
          </w:tcPr>
          <w:p w14:paraId="3FDB0A3D" w14:textId="77777777" w:rsidR="001C08A5" w:rsidRDefault="00000000">
            <w:pPr>
              <w:rPr>
                <w:bCs/>
                <w:i/>
                <w:sz w:val="22"/>
                <w:szCs w:val="22"/>
              </w:rPr>
            </w:pPr>
            <w:r>
              <w:rPr>
                <w:i/>
                <w:sz w:val="22"/>
                <w:szCs w:val="22"/>
              </w:rPr>
              <w:t>Mobilă (fără garnituri din buret de cauciuc sau plastic) şi obiecte masive din lemn, butoaie din lemn goale (fără reziduuri  inflamabile),  produse din ebonită, fibre animale (lână, mătăse naturală, păr etc.) şi fibre artificiale cu viteză de ardere mică, ţesături şi confecţii executate din asemenea fibre, fibre vegetale  toarse gros, saltele şi perne (fără buret de cauciuc sau materiale plastice), articole din piele, cărţi, papetărie, zahăr cristalizat, paste făinoase şi alte articole de băcănie ambalate în pungi, etc.</w:t>
            </w:r>
          </w:p>
        </w:tc>
      </w:tr>
      <w:tr w:rsidR="001C08A5" w14:paraId="6144D4F0" w14:textId="77777777">
        <w:tc>
          <w:tcPr>
            <w:tcW w:w="779" w:type="pct"/>
            <w:vMerge/>
            <w:tcBorders>
              <w:top w:val="single" w:sz="4" w:space="0" w:color="000000"/>
              <w:left w:val="single" w:sz="4" w:space="0" w:color="000000"/>
              <w:bottom w:val="single" w:sz="4" w:space="0" w:color="000000"/>
            </w:tcBorders>
          </w:tcPr>
          <w:p w14:paraId="03B3A1D7" w14:textId="77777777" w:rsidR="001C08A5" w:rsidRDefault="001C08A5">
            <w:pPr>
              <w:snapToGrid w:val="0"/>
              <w:rPr>
                <w:bCs/>
                <w:i/>
                <w:sz w:val="22"/>
                <w:szCs w:val="22"/>
              </w:rPr>
            </w:pPr>
          </w:p>
        </w:tc>
        <w:tc>
          <w:tcPr>
            <w:tcW w:w="1646" w:type="pct"/>
            <w:gridSpan w:val="2"/>
            <w:tcBorders>
              <w:top w:val="single" w:sz="4" w:space="0" w:color="000000"/>
              <w:left w:val="single" w:sz="4" w:space="0" w:color="000000"/>
              <w:bottom w:val="single" w:sz="4" w:space="0" w:color="000000"/>
            </w:tcBorders>
          </w:tcPr>
          <w:p w14:paraId="1D54788B" w14:textId="77777777" w:rsidR="001C08A5" w:rsidRDefault="00000000">
            <w:pPr>
              <w:rPr>
                <w:i/>
                <w:sz w:val="22"/>
                <w:szCs w:val="22"/>
              </w:rPr>
            </w:pPr>
            <w:r>
              <w:rPr>
                <w:i/>
                <w:sz w:val="22"/>
                <w:szCs w:val="22"/>
              </w:rPr>
              <w:t xml:space="preserve">Lichide inflamabile  </w:t>
            </w:r>
            <w:r>
              <w:rPr>
                <w:rFonts w:eastAsia="TimesNewRomanPSMT"/>
                <w:i/>
                <w:sz w:val="22"/>
                <w:szCs w:val="22"/>
              </w:rPr>
              <w:t xml:space="preserve">punct de aprindere </w:t>
            </w:r>
            <w:r>
              <w:rPr>
                <w:i/>
                <w:sz w:val="22"/>
                <w:szCs w:val="22"/>
              </w:rPr>
              <w:t xml:space="preserve">mai mare de </w:t>
            </w:r>
            <w:r>
              <w:rPr>
                <w:rFonts w:eastAsia="TimesNewRomanPSMT"/>
                <w:i/>
                <w:sz w:val="22"/>
                <w:szCs w:val="22"/>
              </w:rPr>
              <w:t>60</w:t>
            </w:r>
            <w:r>
              <w:rPr>
                <w:rFonts w:eastAsia="TimesNewRomanPSMT"/>
                <w:i/>
                <w:sz w:val="22"/>
                <w:szCs w:val="22"/>
                <w:vertAlign w:val="superscript"/>
              </w:rPr>
              <w:t>0</w:t>
            </w:r>
            <w:r>
              <w:rPr>
                <w:rFonts w:eastAsia="TimesNewRomanPSMT"/>
                <w:i/>
                <w:sz w:val="22"/>
                <w:szCs w:val="22"/>
              </w:rPr>
              <w:t>C, î</w:t>
            </w:r>
            <w:r>
              <w:rPr>
                <w:i/>
                <w:sz w:val="22"/>
                <w:szCs w:val="22"/>
              </w:rPr>
              <w:t xml:space="preserve">n ambalaje </w:t>
            </w:r>
          </w:p>
          <w:p w14:paraId="4CA13241" w14:textId="77777777" w:rsidR="001C08A5" w:rsidRDefault="00000000">
            <w:pPr>
              <w:rPr>
                <w:i/>
                <w:sz w:val="22"/>
                <w:szCs w:val="22"/>
              </w:rPr>
            </w:pPr>
            <w:r>
              <w:rPr>
                <w:i/>
                <w:sz w:val="22"/>
                <w:szCs w:val="22"/>
              </w:rPr>
              <w:t>neinflamabile</w:t>
            </w:r>
          </w:p>
          <w:p w14:paraId="5F11C592" w14:textId="77777777" w:rsidR="001C08A5" w:rsidRDefault="001C08A5">
            <w:pPr>
              <w:rPr>
                <w:i/>
                <w:strike/>
                <w:sz w:val="22"/>
                <w:szCs w:val="22"/>
              </w:rPr>
            </w:pPr>
          </w:p>
        </w:tc>
        <w:tc>
          <w:tcPr>
            <w:tcW w:w="2574" w:type="pct"/>
            <w:tcBorders>
              <w:top w:val="single" w:sz="4" w:space="0" w:color="000000"/>
              <w:left w:val="single" w:sz="4" w:space="0" w:color="000000"/>
              <w:bottom w:val="single" w:sz="4" w:space="0" w:color="000000"/>
              <w:right w:val="single" w:sz="4" w:space="0" w:color="000000"/>
            </w:tcBorders>
          </w:tcPr>
          <w:p w14:paraId="47D569B3" w14:textId="77777777" w:rsidR="001C08A5" w:rsidRDefault="00000000">
            <w:pPr>
              <w:rPr>
                <w:i/>
                <w:sz w:val="22"/>
                <w:szCs w:val="22"/>
              </w:rPr>
            </w:pPr>
            <w:r>
              <w:rPr>
                <w:i/>
                <w:sz w:val="22"/>
                <w:szCs w:val="22"/>
              </w:rPr>
              <w:t>Vopsele de ulei în cutii, borcane, butoaie şi similare; produse farmaceutice combustibile în recipiente; lubrefianţi şi glicoli în butoaie sau bidoane; uleiuri vegetale în butoaie, sau sticle etc.</w:t>
            </w:r>
          </w:p>
        </w:tc>
      </w:tr>
      <w:tr w:rsidR="001C08A5" w14:paraId="13DB9878" w14:textId="77777777">
        <w:tc>
          <w:tcPr>
            <w:tcW w:w="779" w:type="pct"/>
            <w:vMerge w:val="restart"/>
            <w:tcBorders>
              <w:top w:val="single" w:sz="4" w:space="0" w:color="000000"/>
              <w:left w:val="single" w:sz="4" w:space="0" w:color="000000"/>
              <w:bottom w:val="single" w:sz="4" w:space="0" w:color="000000"/>
            </w:tcBorders>
          </w:tcPr>
          <w:p w14:paraId="28A9DE05" w14:textId="77777777" w:rsidR="001C08A5" w:rsidRDefault="001C08A5">
            <w:pPr>
              <w:rPr>
                <w:i/>
                <w:sz w:val="22"/>
                <w:szCs w:val="22"/>
              </w:rPr>
            </w:pPr>
          </w:p>
          <w:p w14:paraId="17B72FB3" w14:textId="77777777" w:rsidR="001C08A5" w:rsidRDefault="00000000">
            <w:pPr>
              <w:rPr>
                <w:i/>
                <w:sz w:val="22"/>
                <w:szCs w:val="22"/>
              </w:rPr>
            </w:pPr>
            <w:r>
              <w:rPr>
                <w:i/>
                <w:sz w:val="22"/>
                <w:szCs w:val="22"/>
              </w:rPr>
              <w:t>cu</w:t>
            </w:r>
          </w:p>
          <w:p w14:paraId="69AD9D3F" w14:textId="77777777" w:rsidR="001C08A5" w:rsidRDefault="00000000">
            <w:pPr>
              <w:rPr>
                <w:b/>
                <w:i/>
                <w:sz w:val="22"/>
                <w:szCs w:val="22"/>
              </w:rPr>
            </w:pPr>
            <w:r>
              <w:rPr>
                <w:i/>
                <w:sz w:val="22"/>
                <w:szCs w:val="22"/>
              </w:rPr>
              <w:t>periculozitate mare</w:t>
            </w:r>
          </w:p>
        </w:tc>
        <w:tc>
          <w:tcPr>
            <w:tcW w:w="1646" w:type="pct"/>
            <w:gridSpan w:val="2"/>
            <w:tcBorders>
              <w:top w:val="single" w:sz="4" w:space="0" w:color="000000"/>
              <w:left w:val="single" w:sz="4" w:space="0" w:color="000000"/>
              <w:bottom w:val="single" w:sz="4" w:space="0" w:color="000000"/>
            </w:tcBorders>
          </w:tcPr>
          <w:p w14:paraId="44767512" w14:textId="77777777" w:rsidR="001C08A5" w:rsidRDefault="00000000">
            <w:pPr>
              <w:rPr>
                <w:i/>
                <w:sz w:val="22"/>
                <w:szCs w:val="22"/>
              </w:rPr>
            </w:pPr>
            <w:r>
              <w:rPr>
                <w:i/>
                <w:sz w:val="22"/>
                <w:szCs w:val="22"/>
              </w:rPr>
              <w:t xml:space="preserve">Materiale şi produse  fără </w:t>
            </w:r>
            <w:r>
              <w:rPr>
                <w:i/>
                <w:spacing w:val="-6"/>
                <w:sz w:val="22"/>
                <w:szCs w:val="22"/>
              </w:rPr>
              <w:t>periculozitate relevantă sau cu periculozitate mică sau medie, î</w:t>
            </w:r>
            <w:r>
              <w:rPr>
                <w:i/>
                <w:sz w:val="22"/>
                <w:szCs w:val="22"/>
              </w:rPr>
              <w:t>n ambalaje din materiale plastice spongioase sau materiale cu HRR mare</w:t>
            </w:r>
          </w:p>
        </w:tc>
        <w:tc>
          <w:tcPr>
            <w:tcW w:w="2574" w:type="pct"/>
            <w:tcBorders>
              <w:top w:val="single" w:sz="4" w:space="0" w:color="000000"/>
              <w:left w:val="single" w:sz="4" w:space="0" w:color="000000"/>
              <w:bottom w:val="single" w:sz="4" w:space="0" w:color="000000"/>
              <w:right w:val="single" w:sz="4" w:space="0" w:color="000000"/>
            </w:tcBorders>
          </w:tcPr>
          <w:p w14:paraId="0F75FEB2" w14:textId="77777777" w:rsidR="001C08A5" w:rsidRDefault="001C08A5">
            <w:pPr>
              <w:rPr>
                <w:i/>
                <w:sz w:val="22"/>
                <w:szCs w:val="22"/>
              </w:rPr>
            </w:pPr>
          </w:p>
          <w:p w14:paraId="3CB8AD42" w14:textId="77777777" w:rsidR="001C08A5" w:rsidRDefault="00000000">
            <w:pPr>
              <w:rPr>
                <w:bCs/>
                <w:i/>
                <w:sz w:val="22"/>
                <w:szCs w:val="22"/>
              </w:rPr>
            </w:pPr>
            <w:r>
              <w:rPr>
                <w:i/>
                <w:sz w:val="22"/>
                <w:szCs w:val="22"/>
              </w:rPr>
              <w:t>-</w:t>
            </w:r>
          </w:p>
        </w:tc>
      </w:tr>
      <w:tr w:rsidR="001C08A5" w14:paraId="1356E7DD" w14:textId="77777777">
        <w:trPr>
          <w:trHeight w:val="1971"/>
        </w:trPr>
        <w:tc>
          <w:tcPr>
            <w:tcW w:w="779" w:type="pct"/>
            <w:vMerge/>
            <w:tcBorders>
              <w:top w:val="single" w:sz="4" w:space="0" w:color="000000"/>
              <w:left w:val="single" w:sz="4" w:space="0" w:color="000000"/>
              <w:bottom w:val="single" w:sz="4" w:space="0" w:color="000000"/>
            </w:tcBorders>
          </w:tcPr>
          <w:p w14:paraId="6A74DEC0" w14:textId="77777777" w:rsidR="001C08A5" w:rsidRDefault="001C08A5">
            <w:pPr>
              <w:snapToGrid w:val="0"/>
              <w:rPr>
                <w:bCs/>
                <w:i/>
                <w:sz w:val="22"/>
                <w:szCs w:val="22"/>
              </w:rPr>
            </w:pPr>
          </w:p>
        </w:tc>
        <w:tc>
          <w:tcPr>
            <w:tcW w:w="1646" w:type="pct"/>
            <w:gridSpan w:val="2"/>
            <w:tcBorders>
              <w:top w:val="single" w:sz="4" w:space="0" w:color="000000"/>
              <w:left w:val="single" w:sz="4" w:space="0" w:color="000000"/>
              <w:bottom w:val="single" w:sz="4" w:space="0" w:color="000000"/>
            </w:tcBorders>
          </w:tcPr>
          <w:p w14:paraId="20925D91" w14:textId="77777777" w:rsidR="001C08A5" w:rsidRDefault="00000000">
            <w:pPr>
              <w:numPr>
                <w:ilvl w:val="255"/>
                <w:numId w:val="0"/>
              </w:numPr>
              <w:rPr>
                <w:i/>
                <w:sz w:val="22"/>
                <w:szCs w:val="22"/>
              </w:rPr>
            </w:pPr>
            <w:r>
              <w:rPr>
                <w:i/>
                <w:sz w:val="22"/>
                <w:szCs w:val="22"/>
              </w:rPr>
              <w:t>Materiale combustibile cu viteză mare de ardere sau cu  putere calorifică mai mare de 27,3 Mj/kg, indiferent de forma de ambalare</w:t>
            </w:r>
          </w:p>
          <w:p w14:paraId="2A1C5A25" w14:textId="77777777" w:rsidR="001C08A5" w:rsidRDefault="001C08A5">
            <w:pPr>
              <w:rPr>
                <w:i/>
                <w:sz w:val="22"/>
                <w:szCs w:val="22"/>
              </w:rPr>
            </w:pPr>
          </w:p>
          <w:p w14:paraId="1CBB0872" w14:textId="77777777" w:rsidR="001C08A5" w:rsidRDefault="001C08A5">
            <w:pPr>
              <w:rPr>
                <w:i/>
                <w:sz w:val="22"/>
                <w:szCs w:val="22"/>
              </w:rPr>
            </w:pPr>
          </w:p>
          <w:p w14:paraId="4E3FD06F" w14:textId="77777777" w:rsidR="001C08A5" w:rsidRDefault="001C08A5">
            <w:pPr>
              <w:rPr>
                <w:i/>
                <w:sz w:val="22"/>
                <w:szCs w:val="22"/>
              </w:rPr>
            </w:pPr>
          </w:p>
        </w:tc>
        <w:tc>
          <w:tcPr>
            <w:tcW w:w="2574" w:type="pct"/>
            <w:tcBorders>
              <w:top w:val="single" w:sz="4" w:space="0" w:color="000000"/>
              <w:left w:val="single" w:sz="4" w:space="0" w:color="000000"/>
              <w:right w:val="single" w:sz="4" w:space="0" w:color="000000"/>
            </w:tcBorders>
          </w:tcPr>
          <w:p w14:paraId="012C160F" w14:textId="77777777" w:rsidR="001C08A5" w:rsidRDefault="00000000">
            <w:pPr>
              <w:rPr>
                <w:bCs/>
                <w:i/>
                <w:sz w:val="22"/>
                <w:szCs w:val="22"/>
              </w:rPr>
            </w:pPr>
            <w:r>
              <w:rPr>
                <w:i/>
                <w:sz w:val="22"/>
                <w:szCs w:val="22"/>
              </w:rPr>
              <w:t>Fibre artificiale cu P</w:t>
            </w:r>
            <w:r>
              <w:rPr>
                <w:i/>
                <w:sz w:val="22"/>
                <w:szCs w:val="22"/>
                <w:vertAlign w:val="subscript"/>
              </w:rPr>
              <w:t>c</w:t>
            </w:r>
            <w:r>
              <w:rPr>
                <w:i/>
                <w:sz w:val="22"/>
                <w:szCs w:val="22"/>
              </w:rPr>
              <w:t xml:space="preserve"> mai mare de 27.300 Mj/kg, confecţii executate din asemenea fibre, saltele şi plăpumi cu umpluturi din buret, cauciuc sau materiale plastice spongioase, cauciuc brut sau prelucrat, materiale plastice şi obiecte confecţionate din acestea, (alt fel decât sub formă de fibre) şi care nu sunt menţionate la clasa cu periculozitate medie</w:t>
            </w:r>
          </w:p>
        </w:tc>
      </w:tr>
      <w:tr w:rsidR="001C08A5" w14:paraId="0DCDD3AB" w14:textId="77777777">
        <w:trPr>
          <w:trHeight w:val="1305"/>
        </w:trPr>
        <w:tc>
          <w:tcPr>
            <w:tcW w:w="779" w:type="pct"/>
            <w:vMerge/>
            <w:tcBorders>
              <w:top w:val="single" w:sz="4" w:space="0" w:color="000000"/>
              <w:left w:val="single" w:sz="4" w:space="0" w:color="000000"/>
              <w:bottom w:val="single" w:sz="4" w:space="0" w:color="000000"/>
            </w:tcBorders>
          </w:tcPr>
          <w:p w14:paraId="0809B56C" w14:textId="77777777" w:rsidR="001C08A5" w:rsidRDefault="001C08A5">
            <w:pPr>
              <w:snapToGrid w:val="0"/>
              <w:rPr>
                <w:bCs/>
                <w:i/>
                <w:sz w:val="22"/>
                <w:szCs w:val="22"/>
              </w:rPr>
            </w:pPr>
          </w:p>
        </w:tc>
        <w:tc>
          <w:tcPr>
            <w:tcW w:w="1646" w:type="pct"/>
            <w:gridSpan w:val="2"/>
            <w:tcBorders>
              <w:top w:val="single" w:sz="4" w:space="0" w:color="000000"/>
              <w:left w:val="single" w:sz="4" w:space="0" w:color="000000"/>
              <w:bottom w:val="single" w:sz="4" w:space="0" w:color="000000"/>
            </w:tcBorders>
          </w:tcPr>
          <w:p w14:paraId="7781AEAF" w14:textId="77777777" w:rsidR="001C08A5" w:rsidRDefault="00000000">
            <w:pPr>
              <w:rPr>
                <w:i/>
                <w:sz w:val="22"/>
                <w:szCs w:val="22"/>
              </w:rPr>
            </w:pPr>
            <w:r>
              <w:rPr>
                <w:i/>
                <w:sz w:val="22"/>
                <w:szCs w:val="22"/>
              </w:rPr>
              <w:t>Materiale şi produse neinflamabile care pot suferi deteriorări semnificative în urma unor  acţiuni externe (temperaturi înalte, apă, gaze corozive. etc), indiferent de natura ambalajelor</w:t>
            </w:r>
          </w:p>
        </w:tc>
        <w:tc>
          <w:tcPr>
            <w:tcW w:w="2574" w:type="pct"/>
            <w:tcBorders>
              <w:top w:val="single" w:sz="4" w:space="0" w:color="000000"/>
              <w:left w:val="single" w:sz="4" w:space="0" w:color="000000"/>
              <w:right w:val="single" w:sz="4" w:space="0" w:color="000000"/>
            </w:tcBorders>
          </w:tcPr>
          <w:p w14:paraId="45176BD8" w14:textId="77777777" w:rsidR="001C08A5" w:rsidRDefault="001C08A5">
            <w:pPr>
              <w:rPr>
                <w:i/>
                <w:sz w:val="22"/>
                <w:szCs w:val="22"/>
              </w:rPr>
            </w:pPr>
          </w:p>
          <w:p w14:paraId="2E910DDE" w14:textId="77777777" w:rsidR="001C08A5" w:rsidRDefault="00000000">
            <w:pPr>
              <w:rPr>
                <w:bCs/>
                <w:i/>
                <w:sz w:val="22"/>
                <w:szCs w:val="22"/>
              </w:rPr>
            </w:pPr>
            <w:r>
              <w:rPr>
                <w:i/>
                <w:sz w:val="22"/>
                <w:szCs w:val="22"/>
              </w:rPr>
              <w:t>Aparatură electrică şi electronică, utilaje şi aparate de înaltă precizie, bijuterii, medicamente, etc.</w:t>
            </w:r>
          </w:p>
        </w:tc>
      </w:tr>
      <w:tr w:rsidR="001C08A5" w14:paraId="0A8A5C1C" w14:textId="77777777">
        <w:trPr>
          <w:trHeight w:val="340"/>
        </w:trPr>
        <w:tc>
          <w:tcPr>
            <w:tcW w:w="779" w:type="pct"/>
            <w:vMerge w:val="restart"/>
            <w:tcBorders>
              <w:top w:val="single" w:sz="4" w:space="0" w:color="000000"/>
              <w:left w:val="single" w:sz="4" w:space="0" w:color="000000"/>
            </w:tcBorders>
          </w:tcPr>
          <w:p w14:paraId="2C3E0EAE" w14:textId="77777777" w:rsidR="001C08A5" w:rsidRDefault="001C08A5">
            <w:pPr>
              <w:snapToGrid w:val="0"/>
              <w:rPr>
                <w:bCs/>
                <w:i/>
                <w:sz w:val="22"/>
                <w:szCs w:val="22"/>
              </w:rPr>
            </w:pPr>
          </w:p>
          <w:p w14:paraId="63C5EE98" w14:textId="77777777" w:rsidR="001C08A5" w:rsidRDefault="00000000">
            <w:pPr>
              <w:rPr>
                <w:i/>
                <w:sz w:val="22"/>
                <w:szCs w:val="22"/>
              </w:rPr>
            </w:pPr>
            <w:r>
              <w:rPr>
                <w:i/>
                <w:sz w:val="22"/>
                <w:szCs w:val="22"/>
              </w:rPr>
              <w:t xml:space="preserve">cu </w:t>
            </w:r>
          </w:p>
          <w:p w14:paraId="3B5F1EB3" w14:textId="77777777" w:rsidR="001C08A5" w:rsidRDefault="00000000">
            <w:pPr>
              <w:rPr>
                <w:i/>
                <w:sz w:val="22"/>
                <w:szCs w:val="22"/>
              </w:rPr>
            </w:pPr>
            <w:r>
              <w:rPr>
                <w:i/>
                <w:sz w:val="22"/>
                <w:szCs w:val="22"/>
              </w:rPr>
              <w:t xml:space="preserve">periculozitate </w:t>
            </w:r>
          </w:p>
          <w:p w14:paraId="4B299EEE" w14:textId="77777777" w:rsidR="001C08A5" w:rsidRDefault="00000000">
            <w:pPr>
              <w:rPr>
                <w:i/>
                <w:sz w:val="22"/>
                <w:szCs w:val="22"/>
              </w:rPr>
            </w:pPr>
            <w:r>
              <w:rPr>
                <w:i/>
                <w:sz w:val="22"/>
                <w:szCs w:val="22"/>
              </w:rPr>
              <w:lastRenderedPageBreak/>
              <w:t xml:space="preserve">deosebit de </w:t>
            </w:r>
          </w:p>
          <w:p w14:paraId="16C2EB80" w14:textId="77777777" w:rsidR="001C08A5" w:rsidRDefault="00000000">
            <w:pPr>
              <w:rPr>
                <w:bCs/>
                <w:i/>
                <w:sz w:val="22"/>
                <w:szCs w:val="22"/>
              </w:rPr>
            </w:pPr>
            <w:r>
              <w:rPr>
                <w:i/>
                <w:sz w:val="22"/>
                <w:szCs w:val="22"/>
              </w:rPr>
              <w:t>mare</w:t>
            </w:r>
          </w:p>
          <w:p w14:paraId="4ED15B93" w14:textId="77777777" w:rsidR="001C08A5" w:rsidRDefault="001C08A5">
            <w:pPr>
              <w:rPr>
                <w:bCs/>
                <w:i/>
                <w:sz w:val="22"/>
                <w:szCs w:val="22"/>
              </w:rPr>
            </w:pPr>
          </w:p>
        </w:tc>
        <w:tc>
          <w:tcPr>
            <w:tcW w:w="866" w:type="pct"/>
            <w:tcBorders>
              <w:top w:val="single" w:sz="4" w:space="0" w:color="000000"/>
              <w:left w:val="single" w:sz="4" w:space="0" w:color="000000"/>
              <w:bottom w:val="single" w:sz="4" w:space="0" w:color="000000"/>
            </w:tcBorders>
          </w:tcPr>
          <w:p w14:paraId="50B2FA95" w14:textId="77777777" w:rsidR="001C08A5" w:rsidRDefault="00000000">
            <w:pPr>
              <w:rPr>
                <w:b/>
                <w:i/>
                <w:sz w:val="22"/>
                <w:szCs w:val="22"/>
              </w:rPr>
            </w:pPr>
            <w:r>
              <w:rPr>
                <w:bCs/>
                <w:i/>
                <w:sz w:val="22"/>
                <w:szCs w:val="22"/>
              </w:rPr>
              <w:lastRenderedPageBreak/>
              <w:t xml:space="preserve">Explozivi </w:t>
            </w:r>
          </w:p>
        </w:tc>
        <w:tc>
          <w:tcPr>
            <w:tcW w:w="780" w:type="pct"/>
            <w:vMerge w:val="restart"/>
            <w:tcBorders>
              <w:top w:val="single" w:sz="4" w:space="0" w:color="000000"/>
              <w:left w:val="single" w:sz="4" w:space="0" w:color="000000"/>
            </w:tcBorders>
          </w:tcPr>
          <w:p w14:paraId="7D43FA58" w14:textId="77777777" w:rsidR="001C08A5" w:rsidRDefault="00000000">
            <w:pPr>
              <w:jc w:val="center"/>
              <w:rPr>
                <w:i/>
                <w:strike/>
                <w:sz w:val="22"/>
                <w:szCs w:val="22"/>
              </w:rPr>
            </w:pPr>
            <w:r>
              <w:rPr>
                <w:i/>
                <w:sz w:val="22"/>
                <w:szCs w:val="22"/>
              </w:rPr>
              <w:t xml:space="preserve">În conformitate cu </w:t>
            </w:r>
            <w:r>
              <w:rPr>
                <w:i/>
                <w:sz w:val="22"/>
                <w:szCs w:val="22"/>
              </w:rPr>
              <w:lastRenderedPageBreak/>
              <w:t>Regulamentul (CE) nr. 1272/2008</w:t>
            </w:r>
          </w:p>
        </w:tc>
        <w:tc>
          <w:tcPr>
            <w:tcW w:w="2574" w:type="pct"/>
            <w:tcBorders>
              <w:top w:val="single" w:sz="4" w:space="0" w:color="000000"/>
              <w:left w:val="single" w:sz="4" w:space="0" w:color="000000"/>
              <w:right w:val="single" w:sz="4" w:space="0" w:color="000000"/>
            </w:tcBorders>
          </w:tcPr>
          <w:p w14:paraId="33E80877" w14:textId="77777777" w:rsidR="001C08A5" w:rsidRDefault="00000000">
            <w:pPr>
              <w:rPr>
                <w:i/>
                <w:sz w:val="22"/>
                <w:szCs w:val="22"/>
              </w:rPr>
            </w:pPr>
            <w:r>
              <w:rPr>
                <w:i/>
                <w:sz w:val="22"/>
                <w:szCs w:val="22"/>
              </w:rPr>
              <w:lastRenderedPageBreak/>
              <w:t xml:space="preserve">- Explozivi instabili; </w:t>
            </w:r>
          </w:p>
          <w:p w14:paraId="679998DE" w14:textId="77777777" w:rsidR="001C08A5" w:rsidRDefault="00000000">
            <w:pPr>
              <w:rPr>
                <w:i/>
                <w:sz w:val="22"/>
                <w:szCs w:val="22"/>
              </w:rPr>
            </w:pPr>
            <w:r>
              <w:rPr>
                <w:i/>
                <w:sz w:val="22"/>
                <w:szCs w:val="22"/>
              </w:rPr>
              <w:t>sau</w:t>
            </w:r>
            <w:r>
              <w:rPr>
                <w:i/>
                <w:sz w:val="22"/>
                <w:szCs w:val="22"/>
              </w:rPr>
              <w:br/>
              <w:t>- Explozivi, diviziunea 1.1, 1.2, 1.3, 1.5 sau 1.6; sau</w:t>
            </w:r>
            <w:r>
              <w:rPr>
                <w:i/>
                <w:sz w:val="22"/>
                <w:szCs w:val="22"/>
              </w:rPr>
              <w:br/>
            </w:r>
            <w:r>
              <w:rPr>
                <w:i/>
                <w:sz w:val="22"/>
                <w:szCs w:val="22"/>
              </w:rPr>
              <w:lastRenderedPageBreak/>
              <w:t>- Substanţe sau amestecuri având proprietăţi explozive în conformitate cu metoda A14 din Regulamentul (CE) nr. 440/2008 şi care nu fac parte din clasele de pericol peroxizi organici sau substanţe şi amestecuri autoreactive</w:t>
            </w:r>
          </w:p>
        </w:tc>
      </w:tr>
      <w:tr w:rsidR="001C08A5" w14:paraId="291181E5" w14:textId="77777777">
        <w:trPr>
          <w:trHeight w:val="412"/>
        </w:trPr>
        <w:tc>
          <w:tcPr>
            <w:tcW w:w="779" w:type="pct"/>
            <w:vMerge/>
            <w:tcBorders>
              <w:left w:val="single" w:sz="4" w:space="0" w:color="000000"/>
            </w:tcBorders>
          </w:tcPr>
          <w:p w14:paraId="78FC6161" w14:textId="77777777" w:rsidR="001C08A5" w:rsidRDefault="001C08A5">
            <w:pPr>
              <w:rPr>
                <w:bCs/>
                <w:i/>
                <w:sz w:val="22"/>
                <w:szCs w:val="22"/>
              </w:rPr>
            </w:pPr>
          </w:p>
        </w:tc>
        <w:tc>
          <w:tcPr>
            <w:tcW w:w="866" w:type="pct"/>
            <w:tcBorders>
              <w:top w:val="single" w:sz="4" w:space="0" w:color="000000"/>
              <w:left w:val="single" w:sz="4" w:space="0" w:color="000000"/>
            </w:tcBorders>
          </w:tcPr>
          <w:p w14:paraId="0530C3D2" w14:textId="77777777" w:rsidR="001C08A5" w:rsidRDefault="00000000">
            <w:pPr>
              <w:rPr>
                <w:bCs/>
                <w:i/>
                <w:sz w:val="22"/>
                <w:szCs w:val="22"/>
              </w:rPr>
            </w:pPr>
            <w:r>
              <w:rPr>
                <w:bCs/>
                <w:i/>
                <w:sz w:val="22"/>
                <w:szCs w:val="22"/>
              </w:rPr>
              <w:t>Gaze oxidante</w:t>
            </w:r>
          </w:p>
        </w:tc>
        <w:tc>
          <w:tcPr>
            <w:tcW w:w="780" w:type="pct"/>
            <w:vMerge/>
            <w:tcBorders>
              <w:left w:val="single" w:sz="4" w:space="0" w:color="000000"/>
            </w:tcBorders>
          </w:tcPr>
          <w:p w14:paraId="3AD51340" w14:textId="77777777" w:rsidR="001C08A5" w:rsidRDefault="001C08A5">
            <w:pPr>
              <w:jc w:val="center"/>
              <w:rPr>
                <w:i/>
                <w:strike/>
                <w:sz w:val="22"/>
                <w:szCs w:val="22"/>
              </w:rPr>
            </w:pPr>
          </w:p>
        </w:tc>
        <w:tc>
          <w:tcPr>
            <w:tcW w:w="2574" w:type="pct"/>
            <w:tcBorders>
              <w:top w:val="single" w:sz="4" w:space="0" w:color="000000"/>
              <w:left w:val="single" w:sz="4" w:space="0" w:color="000000"/>
              <w:right w:val="single" w:sz="4" w:space="0" w:color="000000"/>
            </w:tcBorders>
          </w:tcPr>
          <w:p w14:paraId="1B504E6D" w14:textId="77777777" w:rsidR="001C08A5" w:rsidRDefault="00000000">
            <w:pPr>
              <w:rPr>
                <w:i/>
                <w:sz w:val="22"/>
                <w:szCs w:val="22"/>
              </w:rPr>
            </w:pPr>
            <w:r>
              <w:rPr>
                <w:i/>
                <w:sz w:val="22"/>
                <w:szCs w:val="22"/>
              </w:rPr>
              <w:t>categoria de pericol 1</w:t>
            </w:r>
          </w:p>
          <w:p w14:paraId="72DD6CB5" w14:textId="77777777" w:rsidR="001C08A5" w:rsidRDefault="00000000">
            <w:pPr>
              <w:rPr>
                <w:i/>
                <w:sz w:val="22"/>
                <w:szCs w:val="22"/>
              </w:rPr>
            </w:pPr>
            <w:r>
              <w:rPr>
                <w:i/>
                <w:sz w:val="22"/>
                <w:szCs w:val="22"/>
              </w:rPr>
              <w:t>și</w:t>
            </w:r>
          </w:p>
          <w:p w14:paraId="33A0560A" w14:textId="77777777" w:rsidR="001C08A5" w:rsidRDefault="00000000">
            <w:pPr>
              <w:rPr>
                <w:i/>
                <w:sz w:val="22"/>
                <w:szCs w:val="22"/>
              </w:rPr>
            </w:pPr>
            <w:r>
              <w:rPr>
                <w:i/>
                <w:sz w:val="22"/>
                <w:szCs w:val="22"/>
              </w:rPr>
              <w:t>Conform informațiilor precizate de către producător în fișa cu date de securitate</w:t>
            </w:r>
          </w:p>
        </w:tc>
      </w:tr>
      <w:tr w:rsidR="001C08A5" w14:paraId="51FD677A" w14:textId="77777777">
        <w:trPr>
          <w:trHeight w:val="412"/>
        </w:trPr>
        <w:tc>
          <w:tcPr>
            <w:tcW w:w="779" w:type="pct"/>
            <w:vMerge/>
            <w:tcBorders>
              <w:left w:val="single" w:sz="4" w:space="0" w:color="000000"/>
            </w:tcBorders>
          </w:tcPr>
          <w:p w14:paraId="1FB0F3E1" w14:textId="77777777" w:rsidR="001C08A5" w:rsidRDefault="001C08A5">
            <w:pPr>
              <w:rPr>
                <w:bCs/>
                <w:i/>
                <w:sz w:val="22"/>
                <w:szCs w:val="22"/>
              </w:rPr>
            </w:pPr>
          </w:p>
        </w:tc>
        <w:tc>
          <w:tcPr>
            <w:tcW w:w="866" w:type="pct"/>
            <w:tcBorders>
              <w:top w:val="single" w:sz="4" w:space="0" w:color="000000"/>
              <w:left w:val="single" w:sz="4" w:space="0" w:color="000000"/>
            </w:tcBorders>
          </w:tcPr>
          <w:p w14:paraId="6288AF5D" w14:textId="77777777" w:rsidR="001C08A5" w:rsidRDefault="00000000">
            <w:pPr>
              <w:rPr>
                <w:bCs/>
                <w:i/>
                <w:sz w:val="22"/>
                <w:szCs w:val="22"/>
              </w:rPr>
            </w:pPr>
            <w:r>
              <w:rPr>
                <w:bCs/>
                <w:i/>
                <w:sz w:val="22"/>
                <w:szCs w:val="22"/>
              </w:rPr>
              <w:t>Gaze inflamabile</w:t>
            </w:r>
          </w:p>
        </w:tc>
        <w:tc>
          <w:tcPr>
            <w:tcW w:w="780" w:type="pct"/>
            <w:vMerge/>
            <w:tcBorders>
              <w:left w:val="single" w:sz="4" w:space="0" w:color="000000"/>
            </w:tcBorders>
          </w:tcPr>
          <w:p w14:paraId="30BC7E91" w14:textId="77777777" w:rsidR="001C08A5" w:rsidRDefault="001C08A5">
            <w:pPr>
              <w:jc w:val="center"/>
              <w:rPr>
                <w:i/>
                <w:sz w:val="22"/>
                <w:szCs w:val="22"/>
              </w:rPr>
            </w:pPr>
          </w:p>
        </w:tc>
        <w:tc>
          <w:tcPr>
            <w:tcW w:w="2574" w:type="pct"/>
            <w:tcBorders>
              <w:top w:val="single" w:sz="4" w:space="0" w:color="000000"/>
              <w:left w:val="single" w:sz="4" w:space="0" w:color="000000"/>
              <w:right w:val="single" w:sz="4" w:space="0" w:color="000000"/>
            </w:tcBorders>
          </w:tcPr>
          <w:p w14:paraId="4A505D36" w14:textId="77777777" w:rsidR="001C08A5" w:rsidRDefault="00000000">
            <w:pPr>
              <w:rPr>
                <w:i/>
                <w:sz w:val="22"/>
                <w:szCs w:val="22"/>
              </w:rPr>
            </w:pPr>
            <w:r>
              <w:rPr>
                <w:i/>
                <w:sz w:val="22"/>
                <w:szCs w:val="22"/>
              </w:rPr>
              <w:t>categoria de pericol 1 sau 2</w:t>
            </w:r>
          </w:p>
          <w:p w14:paraId="0814C6F9" w14:textId="77777777" w:rsidR="001C08A5" w:rsidRDefault="00000000">
            <w:pPr>
              <w:rPr>
                <w:i/>
                <w:sz w:val="22"/>
                <w:szCs w:val="22"/>
              </w:rPr>
            </w:pPr>
            <w:r>
              <w:rPr>
                <w:i/>
                <w:sz w:val="22"/>
                <w:szCs w:val="22"/>
              </w:rPr>
              <w:t>și</w:t>
            </w:r>
          </w:p>
          <w:p w14:paraId="2021F695" w14:textId="77777777" w:rsidR="001C08A5" w:rsidRDefault="00000000">
            <w:pPr>
              <w:rPr>
                <w:i/>
                <w:sz w:val="22"/>
                <w:szCs w:val="22"/>
              </w:rPr>
            </w:pPr>
            <w:r>
              <w:rPr>
                <w:i/>
                <w:sz w:val="22"/>
                <w:szCs w:val="22"/>
              </w:rPr>
              <w:t>Conform informațiilor precizate de către producător în fișa cu date de securitate</w:t>
            </w:r>
          </w:p>
        </w:tc>
      </w:tr>
      <w:tr w:rsidR="001C08A5" w14:paraId="33B82A39" w14:textId="77777777">
        <w:tc>
          <w:tcPr>
            <w:tcW w:w="779" w:type="pct"/>
            <w:vMerge/>
            <w:tcBorders>
              <w:left w:val="single" w:sz="4" w:space="0" w:color="000000"/>
            </w:tcBorders>
          </w:tcPr>
          <w:p w14:paraId="017799C0" w14:textId="77777777" w:rsidR="001C08A5" w:rsidRDefault="001C08A5">
            <w:pPr>
              <w:snapToGrid w:val="0"/>
              <w:rPr>
                <w:bCs/>
                <w:i/>
                <w:sz w:val="22"/>
                <w:szCs w:val="22"/>
              </w:rPr>
            </w:pPr>
          </w:p>
        </w:tc>
        <w:tc>
          <w:tcPr>
            <w:tcW w:w="866" w:type="pct"/>
            <w:tcBorders>
              <w:top w:val="single" w:sz="4" w:space="0" w:color="000000"/>
              <w:left w:val="single" w:sz="4" w:space="0" w:color="000000"/>
              <w:bottom w:val="single" w:sz="4" w:space="0" w:color="000000"/>
            </w:tcBorders>
          </w:tcPr>
          <w:p w14:paraId="645219D6" w14:textId="77777777" w:rsidR="001C08A5" w:rsidRDefault="00000000">
            <w:pPr>
              <w:suppressAutoHyphens w:val="0"/>
              <w:autoSpaceDE w:val="0"/>
              <w:autoSpaceDN w:val="0"/>
              <w:adjustRightInd w:val="0"/>
              <w:spacing w:before="60" w:after="60"/>
              <w:rPr>
                <w:rFonts w:eastAsia="Times New Roman"/>
                <w:i/>
                <w:sz w:val="22"/>
                <w:szCs w:val="22"/>
                <w:lang w:val="en-US" w:eastAsia="en-US"/>
              </w:rPr>
            </w:pPr>
            <w:r>
              <w:rPr>
                <w:rFonts w:eastAsia="Times New Roman"/>
                <w:i/>
                <w:sz w:val="22"/>
                <w:szCs w:val="22"/>
                <w:lang w:val="en-US" w:eastAsia="en-US"/>
              </w:rPr>
              <w:t xml:space="preserve">Lichide inflamabile </w:t>
            </w:r>
          </w:p>
          <w:p w14:paraId="3CB624B3" w14:textId="77777777" w:rsidR="001C08A5" w:rsidRDefault="001C08A5">
            <w:pPr>
              <w:rPr>
                <w:b/>
                <w:i/>
                <w:strike/>
                <w:sz w:val="22"/>
                <w:szCs w:val="22"/>
              </w:rPr>
            </w:pPr>
          </w:p>
        </w:tc>
        <w:tc>
          <w:tcPr>
            <w:tcW w:w="780" w:type="pct"/>
            <w:vMerge/>
            <w:tcBorders>
              <w:left w:val="single" w:sz="4" w:space="0" w:color="000000"/>
            </w:tcBorders>
          </w:tcPr>
          <w:p w14:paraId="32AAB2EE" w14:textId="77777777" w:rsidR="001C08A5" w:rsidRDefault="001C08A5">
            <w:pPr>
              <w:rPr>
                <w:i/>
                <w:strike/>
                <w:sz w:val="22"/>
                <w:szCs w:val="22"/>
              </w:rPr>
            </w:pPr>
          </w:p>
        </w:tc>
        <w:tc>
          <w:tcPr>
            <w:tcW w:w="2574" w:type="pct"/>
            <w:tcBorders>
              <w:top w:val="single" w:sz="4" w:space="0" w:color="000000"/>
              <w:left w:val="single" w:sz="4" w:space="0" w:color="000000"/>
              <w:bottom w:val="single" w:sz="4" w:space="0" w:color="000000"/>
              <w:right w:val="single" w:sz="4" w:space="0" w:color="000000"/>
            </w:tcBorders>
          </w:tcPr>
          <w:p w14:paraId="599F2E60" w14:textId="77777777" w:rsidR="001C08A5" w:rsidRDefault="00000000">
            <w:pPr>
              <w:rPr>
                <w:i/>
                <w:sz w:val="22"/>
                <w:szCs w:val="22"/>
              </w:rPr>
            </w:pPr>
            <w:r>
              <w:rPr>
                <w:i/>
                <w:sz w:val="22"/>
                <w:szCs w:val="22"/>
              </w:rPr>
              <w:t>categoriile de pericol 1, 2, 3</w:t>
            </w:r>
          </w:p>
          <w:p w14:paraId="4AC2F184" w14:textId="77777777" w:rsidR="001C08A5" w:rsidRDefault="00000000">
            <w:pPr>
              <w:rPr>
                <w:i/>
                <w:strike/>
                <w:sz w:val="22"/>
                <w:szCs w:val="22"/>
              </w:rPr>
            </w:pPr>
            <w:r>
              <w:rPr>
                <w:i/>
                <w:sz w:val="22"/>
                <w:szCs w:val="22"/>
              </w:rPr>
              <w:t>Conform informațiilor precizate de către producător în fișa cu date de securitate</w:t>
            </w:r>
          </w:p>
        </w:tc>
      </w:tr>
      <w:tr w:rsidR="001C08A5" w14:paraId="744074BF" w14:textId="77777777">
        <w:tc>
          <w:tcPr>
            <w:tcW w:w="779" w:type="pct"/>
            <w:vMerge/>
            <w:tcBorders>
              <w:left w:val="single" w:sz="4" w:space="0" w:color="000000"/>
            </w:tcBorders>
          </w:tcPr>
          <w:p w14:paraId="3B389B4F" w14:textId="77777777" w:rsidR="001C08A5" w:rsidRDefault="001C08A5">
            <w:pPr>
              <w:snapToGrid w:val="0"/>
              <w:rPr>
                <w:bCs/>
                <w:i/>
                <w:sz w:val="22"/>
                <w:szCs w:val="22"/>
              </w:rPr>
            </w:pPr>
          </w:p>
        </w:tc>
        <w:tc>
          <w:tcPr>
            <w:tcW w:w="866" w:type="pct"/>
            <w:tcBorders>
              <w:top w:val="single" w:sz="4" w:space="0" w:color="000000"/>
              <w:left w:val="single" w:sz="4" w:space="0" w:color="000000"/>
              <w:bottom w:val="single" w:sz="4" w:space="0" w:color="000000"/>
            </w:tcBorders>
          </w:tcPr>
          <w:p w14:paraId="05AAEDEF" w14:textId="77777777" w:rsidR="001C08A5" w:rsidRDefault="00000000">
            <w:pPr>
              <w:suppressAutoHyphens w:val="0"/>
              <w:autoSpaceDE w:val="0"/>
              <w:autoSpaceDN w:val="0"/>
              <w:adjustRightInd w:val="0"/>
              <w:spacing w:before="60" w:after="60"/>
              <w:rPr>
                <w:rFonts w:eastAsia="Times New Roman"/>
                <w:i/>
                <w:sz w:val="22"/>
                <w:szCs w:val="22"/>
                <w:lang w:val="en-US" w:eastAsia="en-US"/>
              </w:rPr>
            </w:pPr>
            <w:r>
              <w:rPr>
                <w:rFonts w:eastAsia="Times New Roman"/>
                <w:i/>
                <w:sz w:val="22"/>
                <w:szCs w:val="22"/>
                <w:lang w:val="en-US" w:eastAsia="en-US"/>
              </w:rPr>
              <w:t xml:space="preserve">Solide inflamabile </w:t>
            </w:r>
          </w:p>
          <w:p w14:paraId="0976A133" w14:textId="77777777" w:rsidR="001C08A5" w:rsidRDefault="001C08A5">
            <w:pPr>
              <w:rPr>
                <w:b/>
                <w:i/>
                <w:strike/>
                <w:sz w:val="22"/>
                <w:szCs w:val="22"/>
              </w:rPr>
            </w:pPr>
          </w:p>
        </w:tc>
        <w:tc>
          <w:tcPr>
            <w:tcW w:w="780" w:type="pct"/>
            <w:vMerge/>
            <w:tcBorders>
              <w:left w:val="single" w:sz="4" w:space="0" w:color="000000"/>
            </w:tcBorders>
          </w:tcPr>
          <w:p w14:paraId="2712DDEC" w14:textId="77777777" w:rsidR="001C08A5" w:rsidRDefault="001C08A5">
            <w:pPr>
              <w:rPr>
                <w:i/>
                <w:strike/>
                <w:sz w:val="22"/>
                <w:szCs w:val="22"/>
              </w:rPr>
            </w:pPr>
          </w:p>
        </w:tc>
        <w:tc>
          <w:tcPr>
            <w:tcW w:w="2574" w:type="pct"/>
            <w:tcBorders>
              <w:top w:val="single" w:sz="4" w:space="0" w:color="000000"/>
              <w:left w:val="single" w:sz="4" w:space="0" w:color="000000"/>
              <w:bottom w:val="single" w:sz="4" w:space="0" w:color="000000"/>
              <w:right w:val="single" w:sz="4" w:space="0" w:color="000000"/>
            </w:tcBorders>
          </w:tcPr>
          <w:p w14:paraId="19D869A6" w14:textId="77777777" w:rsidR="001C08A5" w:rsidRDefault="00000000">
            <w:pPr>
              <w:rPr>
                <w:i/>
                <w:sz w:val="22"/>
                <w:szCs w:val="22"/>
              </w:rPr>
            </w:pPr>
            <w:r>
              <w:rPr>
                <w:i/>
                <w:sz w:val="22"/>
                <w:szCs w:val="22"/>
              </w:rPr>
              <w:t>categoriile de pericol 1, 2</w:t>
            </w:r>
          </w:p>
          <w:p w14:paraId="1E59C0A6" w14:textId="77777777" w:rsidR="001C08A5" w:rsidRDefault="00000000">
            <w:pPr>
              <w:rPr>
                <w:i/>
                <w:strike/>
                <w:sz w:val="22"/>
                <w:szCs w:val="22"/>
              </w:rPr>
            </w:pPr>
            <w:r>
              <w:rPr>
                <w:i/>
                <w:sz w:val="22"/>
                <w:szCs w:val="22"/>
              </w:rPr>
              <w:t>Conform informațiilor precizate de către producător în fișa cu date de securitate</w:t>
            </w:r>
          </w:p>
        </w:tc>
      </w:tr>
      <w:tr w:rsidR="001C08A5" w14:paraId="02D8FCC4" w14:textId="77777777">
        <w:tc>
          <w:tcPr>
            <w:tcW w:w="779" w:type="pct"/>
            <w:vMerge/>
            <w:tcBorders>
              <w:left w:val="single" w:sz="4" w:space="0" w:color="000000"/>
            </w:tcBorders>
          </w:tcPr>
          <w:p w14:paraId="67CBB86C" w14:textId="77777777" w:rsidR="001C08A5" w:rsidRDefault="001C08A5">
            <w:pPr>
              <w:snapToGrid w:val="0"/>
              <w:rPr>
                <w:bCs/>
                <w:i/>
                <w:sz w:val="22"/>
                <w:szCs w:val="22"/>
              </w:rPr>
            </w:pPr>
          </w:p>
        </w:tc>
        <w:tc>
          <w:tcPr>
            <w:tcW w:w="866" w:type="pct"/>
            <w:tcBorders>
              <w:top w:val="single" w:sz="4" w:space="0" w:color="000000"/>
              <w:left w:val="single" w:sz="4" w:space="0" w:color="000000"/>
              <w:bottom w:val="single" w:sz="4" w:space="0" w:color="000000"/>
            </w:tcBorders>
          </w:tcPr>
          <w:p w14:paraId="0D6EFCF3" w14:textId="77777777" w:rsidR="001C08A5" w:rsidRDefault="00000000">
            <w:pPr>
              <w:rPr>
                <w:i/>
                <w:strike/>
                <w:sz w:val="22"/>
                <w:szCs w:val="22"/>
              </w:rPr>
            </w:pPr>
            <w:r>
              <w:rPr>
                <w:i/>
                <w:sz w:val="22"/>
                <w:szCs w:val="22"/>
              </w:rPr>
              <w:t>Substanţe și amestecuri autoreactive</w:t>
            </w:r>
          </w:p>
        </w:tc>
        <w:tc>
          <w:tcPr>
            <w:tcW w:w="780" w:type="pct"/>
            <w:vMerge/>
            <w:tcBorders>
              <w:left w:val="single" w:sz="4" w:space="0" w:color="000000"/>
            </w:tcBorders>
          </w:tcPr>
          <w:p w14:paraId="75EAB776" w14:textId="77777777" w:rsidR="001C08A5" w:rsidRDefault="001C08A5">
            <w:pPr>
              <w:rPr>
                <w:i/>
                <w:strike/>
                <w:sz w:val="22"/>
                <w:szCs w:val="22"/>
              </w:rPr>
            </w:pPr>
          </w:p>
        </w:tc>
        <w:tc>
          <w:tcPr>
            <w:tcW w:w="2574" w:type="pct"/>
            <w:tcBorders>
              <w:top w:val="single" w:sz="4" w:space="0" w:color="000000"/>
              <w:left w:val="single" w:sz="4" w:space="0" w:color="000000"/>
              <w:bottom w:val="single" w:sz="4" w:space="0" w:color="000000"/>
              <w:right w:val="single" w:sz="4" w:space="0" w:color="000000"/>
            </w:tcBorders>
          </w:tcPr>
          <w:p w14:paraId="488D2B1E" w14:textId="77777777" w:rsidR="001C08A5" w:rsidRDefault="00000000">
            <w:pPr>
              <w:rPr>
                <w:i/>
                <w:sz w:val="22"/>
                <w:szCs w:val="22"/>
              </w:rPr>
            </w:pPr>
            <w:r>
              <w:rPr>
                <w:i/>
                <w:sz w:val="22"/>
                <w:szCs w:val="22"/>
              </w:rPr>
              <w:t>tipurile A, B - explozie</w:t>
            </w:r>
          </w:p>
          <w:p w14:paraId="6ABC0479" w14:textId="77777777" w:rsidR="001C08A5" w:rsidRDefault="00000000">
            <w:pPr>
              <w:rPr>
                <w:i/>
                <w:sz w:val="22"/>
                <w:szCs w:val="22"/>
              </w:rPr>
            </w:pPr>
            <w:r>
              <w:rPr>
                <w:i/>
                <w:sz w:val="22"/>
                <w:szCs w:val="22"/>
              </w:rPr>
              <w:t>tipurile C, D, E, F</w:t>
            </w:r>
          </w:p>
          <w:p w14:paraId="4A048959" w14:textId="77777777" w:rsidR="001C08A5" w:rsidRDefault="00000000">
            <w:pPr>
              <w:rPr>
                <w:i/>
                <w:sz w:val="22"/>
                <w:szCs w:val="22"/>
              </w:rPr>
            </w:pPr>
            <w:r>
              <w:rPr>
                <w:i/>
                <w:sz w:val="22"/>
                <w:szCs w:val="22"/>
              </w:rPr>
              <w:t>și</w:t>
            </w:r>
          </w:p>
          <w:p w14:paraId="2B15EAAF" w14:textId="77777777" w:rsidR="001C08A5" w:rsidRDefault="00000000">
            <w:pPr>
              <w:rPr>
                <w:i/>
                <w:strike/>
                <w:sz w:val="22"/>
                <w:szCs w:val="22"/>
              </w:rPr>
            </w:pPr>
            <w:r>
              <w:rPr>
                <w:i/>
                <w:sz w:val="22"/>
                <w:szCs w:val="22"/>
              </w:rPr>
              <w:t>Conform informațiilor precizate de către producător în fișa cu date de securitate</w:t>
            </w:r>
          </w:p>
        </w:tc>
      </w:tr>
      <w:tr w:rsidR="001C08A5" w14:paraId="3E17AFAF" w14:textId="77777777">
        <w:tc>
          <w:tcPr>
            <w:tcW w:w="779" w:type="pct"/>
            <w:vMerge/>
            <w:tcBorders>
              <w:left w:val="single" w:sz="4" w:space="0" w:color="000000"/>
            </w:tcBorders>
          </w:tcPr>
          <w:p w14:paraId="59659FBA" w14:textId="77777777" w:rsidR="001C08A5" w:rsidRDefault="001C08A5">
            <w:pPr>
              <w:snapToGrid w:val="0"/>
              <w:rPr>
                <w:bCs/>
                <w:i/>
                <w:sz w:val="22"/>
                <w:szCs w:val="22"/>
              </w:rPr>
            </w:pPr>
          </w:p>
        </w:tc>
        <w:tc>
          <w:tcPr>
            <w:tcW w:w="866" w:type="pct"/>
            <w:tcBorders>
              <w:top w:val="single" w:sz="4" w:space="0" w:color="000000"/>
              <w:left w:val="single" w:sz="4" w:space="0" w:color="000000"/>
              <w:bottom w:val="single" w:sz="4" w:space="0" w:color="000000"/>
            </w:tcBorders>
          </w:tcPr>
          <w:p w14:paraId="2AAD8914" w14:textId="77777777" w:rsidR="001C08A5" w:rsidRDefault="00000000">
            <w:pPr>
              <w:rPr>
                <w:i/>
                <w:strike/>
                <w:sz w:val="22"/>
                <w:szCs w:val="22"/>
              </w:rPr>
            </w:pPr>
            <w:r>
              <w:rPr>
                <w:i/>
                <w:sz w:val="22"/>
                <w:szCs w:val="22"/>
              </w:rPr>
              <w:t>Lichide piroforice</w:t>
            </w:r>
          </w:p>
        </w:tc>
        <w:tc>
          <w:tcPr>
            <w:tcW w:w="780" w:type="pct"/>
            <w:vMerge/>
            <w:tcBorders>
              <w:left w:val="single" w:sz="4" w:space="0" w:color="000000"/>
            </w:tcBorders>
          </w:tcPr>
          <w:p w14:paraId="5E707AF6" w14:textId="77777777" w:rsidR="001C08A5" w:rsidRDefault="001C08A5">
            <w:pPr>
              <w:rPr>
                <w:i/>
                <w:strike/>
                <w:sz w:val="22"/>
                <w:szCs w:val="22"/>
              </w:rPr>
            </w:pPr>
          </w:p>
        </w:tc>
        <w:tc>
          <w:tcPr>
            <w:tcW w:w="2574" w:type="pct"/>
            <w:tcBorders>
              <w:top w:val="single" w:sz="4" w:space="0" w:color="000000"/>
              <w:left w:val="single" w:sz="4" w:space="0" w:color="000000"/>
              <w:bottom w:val="single" w:sz="4" w:space="0" w:color="000000"/>
              <w:right w:val="single" w:sz="4" w:space="0" w:color="000000"/>
            </w:tcBorders>
          </w:tcPr>
          <w:p w14:paraId="1C2A2023" w14:textId="77777777" w:rsidR="001C08A5" w:rsidRDefault="00000000">
            <w:pPr>
              <w:rPr>
                <w:i/>
                <w:sz w:val="22"/>
                <w:szCs w:val="22"/>
              </w:rPr>
            </w:pPr>
            <w:r>
              <w:rPr>
                <w:i/>
                <w:sz w:val="22"/>
                <w:szCs w:val="22"/>
              </w:rPr>
              <w:t>categoria de pericol 1</w:t>
            </w:r>
          </w:p>
          <w:p w14:paraId="171FA05B" w14:textId="77777777" w:rsidR="001C08A5" w:rsidRDefault="00000000">
            <w:pPr>
              <w:rPr>
                <w:i/>
                <w:sz w:val="22"/>
                <w:szCs w:val="22"/>
              </w:rPr>
            </w:pPr>
            <w:r>
              <w:rPr>
                <w:i/>
                <w:sz w:val="22"/>
                <w:szCs w:val="22"/>
              </w:rPr>
              <w:t>și</w:t>
            </w:r>
          </w:p>
          <w:p w14:paraId="33577B08" w14:textId="77777777" w:rsidR="001C08A5" w:rsidRDefault="00000000">
            <w:pPr>
              <w:rPr>
                <w:i/>
                <w:strike/>
                <w:sz w:val="22"/>
                <w:szCs w:val="22"/>
              </w:rPr>
            </w:pPr>
            <w:r>
              <w:rPr>
                <w:i/>
                <w:sz w:val="22"/>
                <w:szCs w:val="22"/>
              </w:rPr>
              <w:t>Conform informațiilor precizate de către producător în fișa cu date de securitate</w:t>
            </w:r>
          </w:p>
        </w:tc>
      </w:tr>
      <w:tr w:rsidR="001C08A5" w14:paraId="0679A454" w14:textId="77777777">
        <w:tc>
          <w:tcPr>
            <w:tcW w:w="779" w:type="pct"/>
            <w:vMerge/>
            <w:tcBorders>
              <w:left w:val="single" w:sz="4" w:space="0" w:color="000000"/>
            </w:tcBorders>
          </w:tcPr>
          <w:p w14:paraId="2DBB94E2" w14:textId="77777777" w:rsidR="001C08A5" w:rsidRDefault="001C08A5">
            <w:pPr>
              <w:snapToGrid w:val="0"/>
              <w:rPr>
                <w:bCs/>
                <w:i/>
                <w:sz w:val="22"/>
                <w:szCs w:val="22"/>
              </w:rPr>
            </w:pPr>
          </w:p>
        </w:tc>
        <w:tc>
          <w:tcPr>
            <w:tcW w:w="866" w:type="pct"/>
            <w:tcBorders>
              <w:top w:val="single" w:sz="4" w:space="0" w:color="000000"/>
              <w:left w:val="single" w:sz="4" w:space="0" w:color="000000"/>
              <w:bottom w:val="single" w:sz="4" w:space="0" w:color="auto"/>
            </w:tcBorders>
          </w:tcPr>
          <w:p w14:paraId="104B6072" w14:textId="77777777" w:rsidR="001C08A5" w:rsidRDefault="00000000">
            <w:pPr>
              <w:rPr>
                <w:i/>
                <w:sz w:val="22"/>
                <w:szCs w:val="22"/>
              </w:rPr>
            </w:pPr>
            <w:r>
              <w:rPr>
                <w:i/>
                <w:sz w:val="22"/>
                <w:szCs w:val="22"/>
              </w:rPr>
              <w:t>Solide piroforice</w:t>
            </w:r>
          </w:p>
        </w:tc>
        <w:tc>
          <w:tcPr>
            <w:tcW w:w="780" w:type="pct"/>
            <w:vMerge/>
            <w:tcBorders>
              <w:left w:val="single" w:sz="4" w:space="0" w:color="000000"/>
            </w:tcBorders>
          </w:tcPr>
          <w:p w14:paraId="36BFADB0" w14:textId="77777777" w:rsidR="001C08A5" w:rsidRDefault="001C08A5">
            <w:pPr>
              <w:rPr>
                <w:i/>
                <w:strike/>
                <w:sz w:val="22"/>
                <w:szCs w:val="22"/>
              </w:rPr>
            </w:pPr>
          </w:p>
        </w:tc>
        <w:tc>
          <w:tcPr>
            <w:tcW w:w="2574" w:type="pct"/>
            <w:tcBorders>
              <w:top w:val="single" w:sz="4" w:space="0" w:color="000000"/>
              <w:left w:val="single" w:sz="4" w:space="0" w:color="000000"/>
              <w:bottom w:val="single" w:sz="4" w:space="0" w:color="auto"/>
              <w:right w:val="single" w:sz="4" w:space="0" w:color="000000"/>
            </w:tcBorders>
          </w:tcPr>
          <w:p w14:paraId="7276FC38" w14:textId="77777777" w:rsidR="001C08A5" w:rsidRDefault="00000000">
            <w:pPr>
              <w:rPr>
                <w:i/>
                <w:sz w:val="22"/>
                <w:szCs w:val="22"/>
              </w:rPr>
            </w:pPr>
            <w:r>
              <w:rPr>
                <w:i/>
                <w:sz w:val="22"/>
                <w:szCs w:val="22"/>
              </w:rPr>
              <w:t>categoria de pericol 1</w:t>
            </w:r>
          </w:p>
          <w:p w14:paraId="59B6F4E4" w14:textId="77777777" w:rsidR="001C08A5" w:rsidRDefault="00000000">
            <w:pPr>
              <w:rPr>
                <w:i/>
                <w:sz w:val="22"/>
                <w:szCs w:val="22"/>
              </w:rPr>
            </w:pPr>
            <w:r>
              <w:rPr>
                <w:i/>
                <w:sz w:val="22"/>
                <w:szCs w:val="22"/>
              </w:rPr>
              <w:t>și</w:t>
            </w:r>
          </w:p>
          <w:p w14:paraId="5ADDB51B" w14:textId="77777777" w:rsidR="001C08A5" w:rsidRDefault="00000000">
            <w:pPr>
              <w:rPr>
                <w:i/>
                <w:strike/>
                <w:sz w:val="22"/>
                <w:szCs w:val="22"/>
              </w:rPr>
            </w:pPr>
            <w:r>
              <w:rPr>
                <w:i/>
                <w:sz w:val="22"/>
                <w:szCs w:val="22"/>
              </w:rPr>
              <w:t>Conform informațiilor precizate de către producător în fișa cu date de securitate</w:t>
            </w:r>
          </w:p>
        </w:tc>
      </w:tr>
      <w:tr w:rsidR="001C08A5" w14:paraId="41BE729C" w14:textId="77777777">
        <w:tc>
          <w:tcPr>
            <w:tcW w:w="779" w:type="pct"/>
            <w:vMerge/>
            <w:tcBorders>
              <w:left w:val="single" w:sz="4" w:space="0" w:color="000000"/>
              <w:right w:val="single" w:sz="4" w:space="0" w:color="auto"/>
            </w:tcBorders>
          </w:tcPr>
          <w:p w14:paraId="03A1E3FD" w14:textId="77777777" w:rsidR="001C08A5" w:rsidRDefault="001C08A5">
            <w:pPr>
              <w:snapToGrid w:val="0"/>
              <w:rPr>
                <w:bCs/>
                <w:i/>
                <w:sz w:val="22"/>
                <w:szCs w:val="22"/>
              </w:rPr>
            </w:pPr>
          </w:p>
        </w:tc>
        <w:tc>
          <w:tcPr>
            <w:tcW w:w="866" w:type="pct"/>
            <w:tcBorders>
              <w:top w:val="single" w:sz="4" w:space="0" w:color="auto"/>
              <w:left w:val="single" w:sz="4" w:space="0" w:color="auto"/>
              <w:bottom w:val="single" w:sz="4" w:space="0" w:color="auto"/>
              <w:right w:val="single" w:sz="4" w:space="0" w:color="auto"/>
            </w:tcBorders>
          </w:tcPr>
          <w:p w14:paraId="74B42099" w14:textId="77777777" w:rsidR="001C08A5" w:rsidRDefault="00000000">
            <w:pPr>
              <w:suppressAutoHyphens w:val="0"/>
              <w:autoSpaceDE w:val="0"/>
              <w:autoSpaceDN w:val="0"/>
              <w:adjustRightInd w:val="0"/>
              <w:spacing w:before="60" w:after="60"/>
              <w:rPr>
                <w:rFonts w:eastAsia="Times New Roman"/>
                <w:i/>
                <w:sz w:val="22"/>
                <w:szCs w:val="22"/>
                <w:lang w:val="en-US" w:eastAsia="en-US"/>
              </w:rPr>
            </w:pPr>
            <w:r>
              <w:rPr>
                <w:rFonts w:eastAsia="Times New Roman"/>
                <w:i/>
                <w:sz w:val="22"/>
                <w:szCs w:val="22"/>
                <w:lang w:val="en-US" w:eastAsia="en-US"/>
              </w:rPr>
              <w:t xml:space="preserve">Substanţe sau amestecuri care se autoîncălzesc </w:t>
            </w:r>
          </w:p>
        </w:tc>
        <w:tc>
          <w:tcPr>
            <w:tcW w:w="780" w:type="pct"/>
            <w:vMerge/>
            <w:tcBorders>
              <w:left w:val="single" w:sz="4" w:space="0" w:color="000000"/>
            </w:tcBorders>
          </w:tcPr>
          <w:p w14:paraId="3D53768F" w14:textId="77777777" w:rsidR="001C08A5" w:rsidRDefault="001C08A5">
            <w:pPr>
              <w:rPr>
                <w:i/>
                <w:strike/>
                <w:sz w:val="22"/>
                <w:szCs w:val="22"/>
              </w:rPr>
            </w:pPr>
          </w:p>
        </w:tc>
        <w:tc>
          <w:tcPr>
            <w:tcW w:w="2574" w:type="pct"/>
            <w:tcBorders>
              <w:top w:val="single" w:sz="4" w:space="0" w:color="auto"/>
              <w:left w:val="single" w:sz="4" w:space="0" w:color="auto"/>
              <w:bottom w:val="single" w:sz="4" w:space="0" w:color="auto"/>
              <w:right w:val="single" w:sz="4" w:space="0" w:color="auto"/>
            </w:tcBorders>
          </w:tcPr>
          <w:p w14:paraId="45F811DB" w14:textId="77777777" w:rsidR="001C08A5" w:rsidRDefault="00000000">
            <w:pPr>
              <w:rPr>
                <w:i/>
                <w:sz w:val="22"/>
                <w:szCs w:val="22"/>
              </w:rPr>
            </w:pPr>
            <w:r>
              <w:rPr>
                <w:i/>
                <w:sz w:val="22"/>
                <w:szCs w:val="22"/>
              </w:rPr>
              <w:t>categoriile de pericol 1, 2</w:t>
            </w:r>
          </w:p>
          <w:p w14:paraId="58D1EA74" w14:textId="77777777" w:rsidR="001C08A5" w:rsidRDefault="00000000">
            <w:pPr>
              <w:rPr>
                <w:i/>
                <w:sz w:val="22"/>
                <w:szCs w:val="22"/>
              </w:rPr>
            </w:pPr>
            <w:r>
              <w:rPr>
                <w:i/>
                <w:sz w:val="22"/>
                <w:szCs w:val="22"/>
              </w:rPr>
              <w:t>și</w:t>
            </w:r>
          </w:p>
          <w:p w14:paraId="081C5390" w14:textId="77777777" w:rsidR="001C08A5" w:rsidRDefault="00000000">
            <w:pPr>
              <w:rPr>
                <w:i/>
                <w:strike/>
                <w:sz w:val="22"/>
                <w:szCs w:val="22"/>
              </w:rPr>
            </w:pPr>
            <w:r>
              <w:rPr>
                <w:i/>
                <w:sz w:val="22"/>
                <w:szCs w:val="22"/>
              </w:rPr>
              <w:t>Conform informațiilor precizate de către producător în fișa cu date de securitate</w:t>
            </w:r>
          </w:p>
        </w:tc>
      </w:tr>
      <w:tr w:rsidR="001C08A5" w14:paraId="35E1ECED" w14:textId="77777777">
        <w:tc>
          <w:tcPr>
            <w:tcW w:w="779" w:type="pct"/>
            <w:vMerge/>
            <w:tcBorders>
              <w:left w:val="single" w:sz="4" w:space="0" w:color="000000"/>
              <w:right w:val="single" w:sz="4" w:space="0" w:color="auto"/>
            </w:tcBorders>
          </w:tcPr>
          <w:p w14:paraId="423FA676" w14:textId="77777777" w:rsidR="001C08A5" w:rsidRDefault="001C08A5">
            <w:pPr>
              <w:snapToGrid w:val="0"/>
              <w:rPr>
                <w:bCs/>
                <w:i/>
                <w:sz w:val="22"/>
                <w:szCs w:val="22"/>
              </w:rPr>
            </w:pPr>
          </w:p>
        </w:tc>
        <w:tc>
          <w:tcPr>
            <w:tcW w:w="866" w:type="pct"/>
            <w:tcBorders>
              <w:top w:val="single" w:sz="4" w:space="0" w:color="auto"/>
              <w:left w:val="single" w:sz="4" w:space="0" w:color="auto"/>
              <w:bottom w:val="single" w:sz="4" w:space="0" w:color="auto"/>
              <w:right w:val="single" w:sz="4" w:space="0" w:color="auto"/>
            </w:tcBorders>
          </w:tcPr>
          <w:p w14:paraId="1EE1C3E7" w14:textId="77777777" w:rsidR="001C08A5" w:rsidRDefault="00000000">
            <w:pPr>
              <w:rPr>
                <w:i/>
                <w:sz w:val="22"/>
                <w:szCs w:val="22"/>
              </w:rPr>
            </w:pPr>
            <w:r>
              <w:rPr>
                <w:i/>
                <w:sz w:val="22"/>
                <w:szCs w:val="22"/>
              </w:rPr>
              <w:t>Substanţe și amestecuri care, în contact cu apa, emit gaze inflamabile</w:t>
            </w:r>
          </w:p>
        </w:tc>
        <w:tc>
          <w:tcPr>
            <w:tcW w:w="780" w:type="pct"/>
            <w:vMerge/>
            <w:tcBorders>
              <w:left w:val="single" w:sz="4" w:space="0" w:color="000000"/>
            </w:tcBorders>
          </w:tcPr>
          <w:p w14:paraId="56252FE3" w14:textId="77777777" w:rsidR="001C08A5" w:rsidRDefault="001C08A5">
            <w:pPr>
              <w:rPr>
                <w:i/>
                <w:strike/>
                <w:sz w:val="22"/>
                <w:szCs w:val="22"/>
              </w:rPr>
            </w:pPr>
          </w:p>
        </w:tc>
        <w:tc>
          <w:tcPr>
            <w:tcW w:w="2574" w:type="pct"/>
            <w:tcBorders>
              <w:top w:val="single" w:sz="4" w:space="0" w:color="auto"/>
              <w:left w:val="single" w:sz="4" w:space="0" w:color="auto"/>
              <w:bottom w:val="single" w:sz="4" w:space="0" w:color="auto"/>
              <w:right w:val="single" w:sz="4" w:space="0" w:color="auto"/>
            </w:tcBorders>
          </w:tcPr>
          <w:p w14:paraId="6BAAEF6E" w14:textId="77777777" w:rsidR="001C08A5" w:rsidRDefault="00000000">
            <w:pPr>
              <w:rPr>
                <w:i/>
                <w:sz w:val="22"/>
                <w:szCs w:val="22"/>
              </w:rPr>
            </w:pPr>
            <w:r>
              <w:rPr>
                <w:i/>
                <w:sz w:val="22"/>
                <w:szCs w:val="22"/>
              </w:rPr>
              <w:t>categoriile de pericol 1, 2, 3</w:t>
            </w:r>
          </w:p>
          <w:p w14:paraId="17B0323E" w14:textId="77777777" w:rsidR="001C08A5" w:rsidRDefault="00000000">
            <w:pPr>
              <w:rPr>
                <w:i/>
                <w:sz w:val="22"/>
                <w:szCs w:val="22"/>
              </w:rPr>
            </w:pPr>
            <w:r>
              <w:rPr>
                <w:i/>
                <w:sz w:val="22"/>
                <w:szCs w:val="22"/>
              </w:rPr>
              <w:t>și</w:t>
            </w:r>
          </w:p>
          <w:p w14:paraId="5D8441EC" w14:textId="77777777" w:rsidR="001C08A5" w:rsidRDefault="00000000">
            <w:pPr>
              <w:rPr>
                <w:i/>
                <w:strike/>
                <w:sz w:val="22"/>
                <w:szCs w:val="22"/>
              </w:rPr>
            </w:pPr>
            <w:r>
              <w:rPr>
                <w:i/>
                <w:sz w:val="22"/>
                <w:szCs w:val="22"/>
              </w:rPr>
              <w:t>Conform informațiilor precizate de către producător în fișa cu date de securitate</w:t>
            </w:r>
          </w:p>
        </w:tc>
      </w:tr>
      <w:tr w:rsidR="001C08A5" w14:paraId="7E78392A" w14:textId="77777777">
        <w:tc>
          <w:tcPr>
            <w:tcW w:w="779" w:type="pct"/>
            <w:vMerge/>
            <w:tcBorders>
              <w:left w:val="single" w:sz="4" w:space="0" w:color="000000"/>
              <w:right w:val="single" w:sz="4" w:space="0" w:color="auto"/>
            </w:tcBorders>
          </w:tcPr>
          <w:p w14:paraId="374B130B" w14:textId="77777777" w:rsidR="001C08A5" w:rsidRDefault="001C08A5">
            <w:pPr>
              <w:snapToGrid w:val="0"/>
              <w:rPr>
                <w:bCs/>
                <w:i/>
                <w:sz w:val="22"/>
                <w:szCs w:val="22"/>
              </w:rPr>
            </w:pPr>
          </w:p>
        </w:tc>
        <w:tc>
          <w:tcPr>
            <w:tcW w:w="866" w:type="pct"/>
            <w:tcBorders>
              <w:top w:val="single" w:sz="4" w:space="0" w:color="auto"/>
              <w:left w:val="single" w:sz="4" w:space="0" w:color="auto"/>
              <w:bottom w:val="single" w:sz="4" w:space="0" w:color="auto"/>
              <w:right w:val="single" w:sz="4" w:space="0" w:color="auto"/>
            </w:tcBorders>
          </w:tcPr>
          <w:p w14:paraId="562669C2" w14:textId="77777777" w:rsidR="001C08A5" w:rsidRDefault="00000000">
            <w:pPr>
              <w:suppressAutoHyphens w:val="0"/>
              <w:autoSpaceDE w:val="0"/>
              <w:autoSpaceDN w:val="0"/>
              <w:adjustRightInd w:val="0"/>
              <w:spacing w:before="60" w:after="60"/>
              <w:rPr>
                <w:rFonts w:eastAsia="Times New Roman"/>
                <w:i/>
                <w:sz w:val="22"/>
                <w:szCs w:val="22"/>
                <w:lang w:val="en-US" w:eastAsia="en-US"/>
              </w:rPr>
            </w:pPr>
            <w:r>
              <w:rPr>
                <w:rFonts w:eastAsia="Times New Roman"/>
                <w:i/>
                <w:sz w:val="22"/>
                <w:szCs w:val="22"/>
                <w:lang w:val="en-US" w:eastAsia="en-US"/>
              </w:rPr>
              <w:t xml:space="preserve">Lichide oxidante </w:t>
            </w:r>
          </w:p>
          <w:p w14:paraId="1AB40C5F" w14:textId="77777777" w:rsidR="001C08A5" w:rsidRDefault="001C08A5">
            <w:pPr>
              <w:rPr>
                <w:i/>
                <w:sz w:val="22"/>
                <w:szCs w:val="22"/>
              </w:rPr>
            </w:pPr>
          </w:p>
        </w:tc>
        <w:tc>
          <w:tcPr>
            <w:tcW w:w="780" w:type="pct"/>
            <w:vMerge/>
            <w:tcBorders>
              <w:left w:val="single" w:sz="4" w:space="0" w:color="000000"/>
            </w:tcBorders>
          </w:tcPr>
          <w:p w14:paraId="084B6AA3" w14:textId="77777777" w:rsidR="001C08A5" w:rsidRDefault="001C08A5">
            <w:pPr>
              <w:rPr>
                <w:i/>
                <w:strike/>
                <w:sz w:val="22"/>
                <w:szCs w:val="22"/>
              </w:rPr>
            </w:pPr>
          </w:p>
        </w:tc>
        <w:tc>
          <w:tcPr>
            <w:tcW w:w="2574" w:type="pct"/>
            <w:tcBorders>
              <w:top w:val="single" w:sz="4" w:space="0" w:color="auto"/>
              <w:left w:val="single" w:sz="4" w:space="0" w:color="auto"/>
              <w:bottom w:val="single" w:sz="4" w:space="0" w:color="auto"/>
              <w:right w:val="single" w:sz="4" w:space="0" w:color="auto"/>
            </w:tcBorders>
          </w:tcPr>
          <w:p w14:paraId="5046A5B0" w14:textId="77777777" w:rsidR="001C08A5" w:rsidRDefault="00000000">
            <w:pPr>
              <w:rPr>
                <w:i/>
                <w:sz w:val="22"/>
                <w:szCs w:val="22"/>
              </w:rPr>
            </w:pPr>
            <w:r>
              <w:rPr>
                <w:i/>
                <w:sz w:val="22"/>
                <w:szCs w:val="22"/>
              </w:rPr>
              <w:t>categoriile de pericol 1, 2, 3</w:t>
            </w:r>
          </w:p>
          <w:p w14:paraId="414F2CCD" w14:textId="77777777" w:rsidR="001C08A5" w:rsidRDefault="00000000">
            <w:pPr>
              <w:rPr>
                <w:i/>
                <w:sz w:val="22"/>
                <w:szCs w:val="22"/>
              </w:rPr>
            </w:pPr>
            <w:r>
              <w:rPr>
                <w:i/>
                <w:sz w:val="22"/>
                <w:szCs w:val="22"/>
              </w:rPr>
              <w:t>și</w:t>
            </w:r>
          </w:p>
          <w:p w14:paraId="1576827A" w14:textId="77777777" w:rsidR="001C08A5" w:rsidRDefault="00000000">
            <w:pPr>
              <w:rPr>
                <w:i/>
                <w:strike/>
                <w:sz w:val="22"/>
                <w:szCs w:val="22"/>
              </w:rPr>
            </w:pPr>
            <w:r>
              <w:rPr>
                <w:i/>
                <w:sz w:val="22"/>
                <w:szCs w:val="22"/>
              </w:rPr>
              <w:t>Conform informațiilor precizate de către producător în fișa cu date de securitate</w:t>
            </w:r>
          </w:p>
        </w:tc>
      </w:tr>
      <w:tr w:rsidR="001C08A5" w14:paraId="105DDEC8" w14:textId="77777777">
        <w:trPr>
          <w:trHeight w:val="90"/>
        </w:trPr>
        <w:tc>
          <w:tcPr>
            <w:tcW w:w="779" w:type="pct"/>
            <w:vMerge/>
            <w:tcBorders>
              <w:left w:val="single" w:sz="4" w:space="0" w:color="000000"/>
              <w:right w:val="single" w:sz="4" w:space="0" w:color="auto"/>
            </w:tcBorders>
          </w:tcPr>
          <w:p w14:paraId="6535FEF6" w14:textId="77777777" w:rsidR="001C08A5" w:rsidRDefault="001C08A5">
            <w:pPr>
              <w:snapToGrid w:val="0"/>
              <w:rPr>
                <w:bCs/>
                <w:i/>
                <w:sz w:val="22"/>
                <w:szCs w:val="22"/>
              </w:rPr>
            </w:pPr>
          </w:p>
        </w:tc>
        <w:tc>
          <w:tcPr>
            <w:tcW w:w="866" w:type="pct"/>
            <w:tcBorders>
              <w:top w:val="single" w:sz="4" w:space="0" w:color="auto"/>
              <w:left w:val="single" w:sz="4" w:space="0" w:color="auto"/>
              <w:bottom w:val="single" w:sz="4" w:space="0" w:color="auto"/>
              <w:right w:val="single" w:sz="4" w:space="0" w:color="auto"/>
            </w:tcBorders>
          </w:tcPr>
          <w:p w14:paraId="63830333" w14:textId="77777777" w:rsidR="001C08A5" w:rsidRDefault="00000000">
            <w:pPr>
              <w:suppressAutoHyphens w:val="0"/>
              <w:autoSpaceDE w:val="0"/>
              <w:autoSpaceDN w:val="0"/>
              <w:adjustRightInd w:val="0"/>
              <w:spacing w:before="60" w:after="60"/>
              <w:rPr>
                <w:rFonts w:eastAsia="Times New Roman"/>
                <w:i/>
                <w:sz w:val="22"/>
                <w:szCs w:val="22"/>
                <w:lang w:val="en-US" w:eastAsia="en-US"/>
              </w:rPr>
            </w:pPr>
            <w:r>
              <w:rPr>
                <w:rFonts w:eastAsia="Times New Roman"/>
                <w:i/>
                <w:sz w:val="22"/>
                <w:szCs w:val="22"/>
                <w:lang w:val="en-US" w:eastAsia="en-US"/>
              </w:rPr>
              <w:t xml:space="preserve">Solide oxidante </w:t>
            </w:r>
          </w:p>
          <w:p w14:paraId="341EA195" w14:textId="77777777" w:rsidR="001C08A5" w:rsidRDefault="001C08A5">
            <w:pPr>
              <w:rPr>
                <w:i/>
                <w:sz w:val="22"/>
                <w:szCs w:val="22"/>
              </w:rPr>
            </w:pPr>
          </w:p>
        </w:tc>
        <w:tc>
          <w:tcPr>
            <w:tcW w:w="780" w:type="pct"/>
            <w:vMerge/>
            <w:tcBorders>
              <w:left w:val="single" w:sz="4" w:space="0" w:color="000000"/>
            </w:tcBorders>
          </w:tcPr>
          <w:p w14:paraId="162993BE" w14:textId="77777777" w:rsidR="001C08A5" w:rsidRDefault="001C08A5">
            <w:pPr>
              <w:rPr>
                <w:i/>
                <w:strike/>
                <w:sz w:val="22"/>
                <w:szCs w:val="22"/>
              </w:rPr>
            </w:pPr>
          </w:p>
        </w:tc>
        <w:tc>
          <w:tcPr>
            <w:tcW w:w="2574" w:type="pct"/>
            <w:tcBorders>
              <w:top w:val="single" w:sz="4" w:space="0" w:color="auto"/>
              <w:left w:val="single" w:sz="4" w:space="0" w:color="auto"/>
              <w:bottom w:val="single" w:sz="4" w:space="0" w:color="auto"/>
              <w:right w:val="single" w:sz="4" w:space="0" w:color="auto"/>
            </w:tcBorders>
          </w:tcPr>
          <w:p w14:paraId="5415A5DB" w14:textId="77777777" w:rsidR="001C08A5" w:rsidRDefault="00000000">
            <w:pPr>
              <w:rPr>
                <w:i/>
                <w:sz w:val="22"/>
                <w:szCs w:val="22"/>
              </w:rPr>
            </w:pPr>
            <w:r>
              <w:rPr>
                <w:i/>
                <w:sz w:val="22"/>
                <w:szCs w:val="22"/>
              </w:rPr>
              <w:t>categoriile de pericol 1, 2, 3</w:t>
            </w:r>
          </w:p>
          <w:p w14:paraId="5D88A77C" w14:textId="77777777" w:rsidR="001C08A5" w:rsidRDefault="00000000">
            <w:pPr>
              <w:rPr>
                <w:i/>
                <w:sz w:val="22"/>
                <w:szCs w:val="22"/>
              </w:rPr>
            </w:pPr>
            <w:r>
              <w:rPr>
                <w:i/>
                <w:sz w:val="22"/>
                <w:szCs w:val="22"/>
              </w:rPr>
              <w:t>și</w:t>
            </w:r>
          </w:p>
          <w:p w14:paraId="5E8E3396" w14:textId="77777777" w:rsidR="001C08A5" w:rsidRDefault="00000000">
            <w:pPr>
              <w:rPr>
                <w:i/>
                <w:strike/>
                <w:sz w:val="22"/>
                <w:szCs w:val="22"/>
              </w:rPr>
            </w:pPr>
            <w:r>
              <w:rPr>
                <w:i/>
                <w:sz w:val="22"/>
                <w:szCs w:val="22"/>
              </w:rPr>
              <w:t>Conform informațiilor precizate de către producător în fișa cu date de securitate</w:t>
            </w:r>
          </w:p>
        </w:tc>
      </w:tr>
      <w:tr w:rsidR="001C08A5" w14:paraId="0D0C6462" w14:textId="77777777">
        <w:trPr>
          <w:trHeight w:val="512"/>
        </w:trPr>
        <w:tc>
          <w:tcPr>
            <w:tcW w:w="779" w:type="pct"/>
            <w:vMerge/>
            <w:tcBorders>
              <w:left w:val="single" w:sz="4" w:space="0" w:color="000000"/>
              <w:bottom w:val="single" w:sz="4" w:space="0" w:color="000000"/>
              <w:right w:val="single" w:sz="4" w:space="0" w:color="auto"/>
            </w:tcBorders>
          </w:tcPr>
          <w:p w14:paraId="7C385799" w14:textId="77777777" w:rsidR="001C08A5" w:rsidRDefault="001C08A5">
            <w:pPr>
              <w:snapToGrid w:val="0"/>
              <w:rPr>
                <w:bCs/>
                <w:i/>
                <w:sz w:val="22"/>
                <w:szCs w:val="22"/>
              </w:rPr>
            </w:pPr>
          </w:p>
        </w:tc>
        <w:tc>
          <w:tcPr>
            <w:tcW w:w="866" w:type="pct"/>
            <w:tcBorders>
              <w:top w:val="single" w:sz="4" w:space="0" w:color="auto"/>
              <w:left w:val="single" w:sz="4" w:space="0" w:color="auto"/>
              <w:bottom w:val="single" w:sz="4" w:space="0" w:color="auto"/>
              <w:right w:val="single" w:sz="4" w:space="0" w:color="auto"/>
            </w:tcBorders>
          </w:tcPr>
          <w:p w14:paraId="18858A96" w14:textId="77777777" w:rsidR="001C08A5" w:rsidRDefault="00000000">
            <w:pPr>
              <w:suppressAutoHyphens w:val="0"/>
              <w:autoSpaceDE w:val="0"/>
              <w:autoSpaceDN w:val="0"/>
              <w:adjustRightInd w:val="0"/>
              <w:spacing w:before="60" w:after="60"/>
              <w:rPr>
                <w:rFonts w:eastAsia="Times New Roman"/>
                <w:i/>
                <w:sz w:val="22"/>
                <w:szCs w:val="22"/>
                <w:lang w:val="en-US" w:eastAsia="en-US"/>
              </w:rPr>
            </w:pPr>
            <w:r>
              <w:rPr>
                <w:rFonts w:eastAsia="Times New Roman"/>
                <w:i/>
                <w:sz w:val="22"/>
                <w:szCs w:val="22"/>
                <w:lang w:val="en-US" w:eastAsia="en-US"/>
              </w:rPr>
              <w:t xml:space="preserve">Peroxizi organici </w:t>
            </w:r>
          </w:p>
        </w:tc>
        <w:tc>
          <w:tcPr>
            <w:tcW w:w="780" w:type="pct"/>
            <w:vMerge/>
            <w:tcBorders>
              <w:left w:val="single" w:sz="4" w:space="0" w:color="000000"/>
              <w:bottom w:val="single" w:sz="4" w:space="0" w:color="auto"/>
            </w:tcBorders>
          </w:tcPr>
          <w:p w14:paraId="562255A9" w14:textId="77777777" w:rsidR="001C08A5" w:rsidRDefault="001C08A5">
            <w:pPr>
              <w:rPr>
                <w:i/>
                <w:strike/>
                <w:sz w:val="22"/>
                <w:szCs w:val="22"/>
              </w:rPr>
            </w:pPr>
          </w:p>
        </w:tc>
        <w:tc>
          <w:tcPr>
            <w:tcW w:w="2574" w:type="pct"/>
            <w:tcBorders>
              <w:top w:val="single" w:sz="4" w:space="0" w:color="auto"/>
              <w:left w:val="single" w:sz="4" w:space="0" w:color="auto"/>
              <w:bottom w:val="single" w:sz="4" w:space="0" w:color="auto"/>
              <w:right w:val="single" w:sz="4" w:space="0" w:color="auto"/>
            </w:tcBorders>
          </w:tcPr>
          <w:p w14:paraId="7E3D24EF" w14:textId="77777777" w:rsidR="001C08A5" w:rsidRDefault="00000000">
            <w:pPr>
              <w:rPr>
                <w:i/>
                <w:sz w:val="22"/>
                <w:szCs w:val="22"/>
              </w:rPr>
            </w:pPr>
            <w:r>
              <w:rPr>
                <w:i/>
                <w:sz w:val="22"/>
                <w:szCs w:val="22"/>
              </w:rPr>
              <w:t>tipurile A, B - explozie</w:t>
            </w:r>
          </w:p>
          <w:p w14:paraId="0ABEDE49" w14:textId="77777777" w:rsidR="001C08A5" w:rsidRDefault="00000000">
            <w:pPr>
              <w:rPr>
                <w:i/>
                <w:sz w:val="22"/>
                <w:szCs w:val="22"/>
              </w:rPr>
            </w:pPr>
            <w:r>
              <w:rPr>
                <w:i/>
                <w:sz w:val="22"/>
                <w:szCs w:val="22"/>
              </w:rPr>
              <w:t>tipurile B, C, D, E, F</w:t>
            </w:r>
          </w:p>
          <w:p w14:paraId="57625AEE" w14:textId="77777777" w:rsidR="001C08A5" w:rsidRDefault="00000000">
            <w:pPr>
              <w:rPr>
                <w:i/>
                <w:sz w:val="22"/>
                <w:szCs w:val="22"/>
              </w:rPr>
            </w:pPr>
            <w:r>
              <w:rPr>
                <w:i/>
                <w:sz w:val="22"/>
                <w:szCs w:val="22"/>
              </w:rPr>
              <w:t>și</w:t>
            </w:r>
          </w:p>
          <w:p w14:paraId="73473014" w14:textId="77777777" w:rsidR="001C08A5" w:rsidRDefault="00000000">
            <w:pPr>
              <w:rPr>
                <w:i/>
                <w:strike/>
                <w:sz w:val="22"/>
                <w:szCs w:val="22"/>
              </w:rPr>
            </w:pPr>
            <w:r>
              <w:rPr>
                <w:i/>
                <w:sz w:val="22"/>
                <w:szCs w:val="22"/>
              </w:rPr>
              <w:t>Conform informațiilor precizate de către producător în fișa cu date de securitate</w:t>
            </w:r>
          </w:p>
        </w:tc>
      </w:tr>
    </w:tbl>
    <w:p w14:paraId="2F73B37B" w14:textId="77777777" w:rsidR="001C08A5" w:rsidRDefault="00000000">
      <w:pPr>
        <w:jc w:val="both"/>
        <w:rPr>
          <w:rFonts w:cs="Mangal"/>
          <w:b/>
          <w:i/>
          <w:iCs/>
          <w:sz w:val="24"/>
          <w:szCs w:val="24"/>
        </w:rPr>
      </w:pPr>
      <w:r>
        <w:rPr>
          <w:bCs/>
          <w:i/>
          <w:sz w:val="22"/>
          <w:szCs w:val="22"/>
        </w:rPr>
        <w:lastRenderedPageBreak/>
        <w:t xml:space="preserve">Nota: In functie de clasa de periculozitate a materialelor aflate în spațiu/ clădire precum și de cantitățile relevante conform Regulamentelor CE, </w:t>
      </w:r>
      <w:r>
        <w:rPr>
          <w:bCs/>
          <w:i/>
          <w:sz w:val="22"/>
          <w:szCs w:val="22"/>
          <w:u w:val="single"/>
        </w:rPr>
        <w:t>proiectantul va asigura măsuri de protectie speciale în functie de specificatiile producatorului</w:t>
      </w:r>
      <w:r>
        <w:rPr>
          <w:bCs/>
          <w:i/>
          <w:sz w:val="22"/>
          <w:szCs w:val="22"/>
        </w:rPr>
        <w:t>.</w:t>
      </w:r>
      <w:bookmarkStart w:id="10103" w:name="_Toc142898435"/>
    </w:p>
    <w:p w14:paraId="04B95226" w14:textId="77777777" w:rsidR="001C08A5" w:rsidRDefault="00000000">
      <w:pPr>
        <w:pStyle w:val="Caption"/>
        <w:jc w:val="both"/>
        <w:rPr>
          <w:bCs/>
        </w:rPr>
      </w:pPr>
      <w:bookmarkStart w:id="10104" w:name="_Ref20264"/>
      <w:bookmarkStart w:id="10105" w:name="_Toc162360184"/>
      <w:r>
        <w:t xml:space="preserve">Tabelul </w:t>
      </w:r>
      <w:r>
        <w:fldChar w:fldCharType="begin"/>
      </w:r>
      <w:r>
        <w:instrText xml:space="preserve"> SEQ Tabelul \* ARABIC </w:instrText>
      </w:r>
      <w:r>
        <w:fldChar w:fldCharType="separate"/>
      </w:r>
      <w:r>
        <w:t>134</w:t>
      </w:r>
      <w:r>
        <w:fldChar w:fldCharType="end"/>
      </w:r>
      <w:bookmarkStart w:id="10106" w:name="_Toc798"/>
      <w:bookmarkStart w:id="10107" w:name="_Toc16144"/>
      <w:bookmarkStart w:id="10108" w:name="_Toc30277"/>
      <w:bookmarkStart w:id="10109" w:name="_Toc14770"/>
      <w:bookmarkStart w:id="10110" w:name="_Toc11018"/>
      <w:bookmarkStart w:id="10111" w:name="_Toc30042"/>
      <w:bookmarkStart w:id="10112" w:name="_Toc23712"/>
      <w:bookmarkStart w:id="10113" w:name="_Toc27632"/>
      <w:bookmarkStart w:id="10114" w:name="_Toc29576"/>
      <w:bookmarkStart w:id="10115" w:name="_Toc12416"/>
      <w:bookmarkStart w:id="10116" w:name="_Toc6554"/>
      <w:bookmarkStart w:id="10117" w:name="_Toc17205"/>
      <w:bookmarkEnd w:id="10104"/>
      <w:r>
        <w:t>: Recomandare de clasificare a materialelor/produselor şi substanţelor depozitate cu periculozitate deosebit de mare</w:t>
      </w:r>
      <w:bookmarkEnd w:id="10103"/>
      <w:r>
        <w:t xml:space="preserve"> </w:t>
      </w:r>
      <w:r>
        <w:rPr>
          <w:b w:val="0"/>
        </w:rPr>
        <w:t xml:space="preserve">(Pentru care </w:t>
      </w:r>
      <w:r>
        <w:rPr>
          <w:bCs/>
          <w:u w:val="single"/>
        </w:rPr>
        <w:t>nu</w:t>
      </w:r>
      <w:r>
        <w:rPr>
          <w:b w:val="0"/>
        </w:rPr>
        <w:t xml:space="preserve"> sunt aplicabile cantităţile relevante pentru încadrare în Legea nr. 59/2016 privind controlul asupra pericolelor de accident major în care sunt implicate substanţe periculoase).</w:t>
      </w:r>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p>
    <w:tbl>
      <w:tblPr>
        <w:tblW w:w="50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508"/>
        <w:gridCol w:w="2825"/>
        <w:gridCol w:w="2892"/>
        <w:gridCol w:w="2473"/>
      </w:tblGrid>
      <w:tr w:rsidR="001C08A5" w14:paraId="7C90E306" w14:textId="77777777">
        <w:trPr>
          <w:trHeight w:val="555"/>
        </w:trPr>
        <w:tc>
          <w:tcPr>
            <w:tcW w:w="778" w:type="pct"/>
            <w:tcMar>
              <w:top w:w="0" w:type="dxa"/>
              <w:left w:w="0" w:type="dxa"/>
              <w:bottom w:w="0" w:type="dxa"/>
              <w:right w:w="0" w:type="dxa"/>
            </w:tcMar>
            <w:vAlign w:val="center"/>
          </w:tcPr>
          <w:p w14:paraId="549134D3" w14:textId="77777777" w:rsidR="001C08A5" w:rsidRDefault="00000000">
            <w:pPr>
              <w:rPr>
                <w:b/>
                <w:bCs/>
                <w:i/>
                <w:sz w:val="21"/>
                <w:szCs w:val="21"/>
              </w:rPr>
            </w:pPr>
            <w:r>
              <w:rPr>
                <w:b/>
                <w:bCs/>
                <w:i/>
                <w:sz w:val="21"/>
                <w:szCs w:val="21"/>
              </w:rPr>
              <w:t xml:space="preserve">Cu </w:t>
            </w:r>
          </w:p>
          <w:p w14:paraId="61A46542" w14:textId="77777777" w:rsidR="001C08A5" w:rsidRDefault="00000000">
            <w:pPr>
              <w:rPr>
                <w:b/>
                <w:bCs/>
                <w:i/>
                <w:sz w:val="21"/>
                <w:szCs w:val="21"/>
              </w:rPr>
            </w:pPr>
            <w:r>
              <w:rPr>
                <w:b/>
                <w:bCs/>
                <w:i/>
                <w:sz w:val="21"/>
                <w:szCs w:val="21"/>
              </w:rPr>
              <w:t xml:space="preserve">periculozitate </w:t>
            </w:r>
          </w:p>
          <w:p w14:paraId="7ACD7050" w14:textId="77777777" w:rsidR="001C08A5" w:rsidRDefault="00000000">
            <w:pPr>
              <w:rPr>
                <w:b/>
                <w:bCs/>
                <w:i/>
                <w:sz w:val="21"/>
                <w:szCs w:val="21"/>
              </w:rPr>
            </w:pPr>
            <w:r>
              <w:rPr>
                <w:b/>
                <w:bCs/>
                <w:i/>
                <w:sz w:val="21"/>
                <w:szCs w:val="21"/>
              </w:rPr>
              <w:t xml:space="preserve">deosebit de </w:t>
            </w:r>
          </w:p>
          <w:p w14:paraId="365A9703" w14:textId="77777777" w:rsidR="001C08A5" w:rsidRDefault="00000000">
            <w:pPr>
              <w:rPr>
                <w:rFonts w:eastAsia="Calibri"/>
                <w:b/>
                <w:bCs/>
                <w:i/>
                <w:sz w:val="21"/>
                <w:szCs w:val="21"/>
                <w:lang w:eastAsia="zh-CN" w:bidi="ar"/>
              </w:rPr>
            </w:pPr>
            <w:r>
              <w:rPr>
                <w:b/>
                <w:bCs/>
                <w:i/>
                <w:sz w:val="21"/>
                <w:szCs w:val="21"/>
              </w:rPr>
              <w:t>mare</w:t>
            </w:r>
          </w:p>
        </w:tc>
        <w:tc>
          <w:tcPr>
            <w:tcW w:w="1456" w:type="pct"/>
            <w:tcMar>
              <w:top w:w="0" w:type="dxa"/>
              <w:left w:w="0" w:type="dxa"/>
              <w:bottom w:w="0" w:type="dxa"/>
              <w:right w:w="0" w:type="dxa"/>
            </w:tcMar>
            <w:vAlign w:val="center"/>
          </w:tcPr>
          <w:p w14:paraId="4C6021EF" w14:textId="77777777" w:rsidR="001C08A5" w:rsidRDefault="00000000">
            <w:pPr>
              <w:jc w:val="center"/>
              <w:rPr>
                <w:rFonts w:eastAsia="Calibri"/>
                <w:b/>
                <w:bCs/>
                <w:i/>
                <w:sz w:val="21"/>
                <w:szCs w:val="21"/>
              </w:rPr>
            </w:pPr>
            <w:r>
              <w:rPr>
                <w:rFonts w:eastAsia="Calibri"/>
                <w:b/>
                <w:bCs/>
                <w:i/>
                <w:sz w:val="21"/>
                <w:szCs w:val="21"/>
              </w:rPr>
              <w:t>Observații</w:t>
            </w:r>
          </w:p>
        </w:tc>
        <w:tc>
          <w:tcPr>
            <w:tcW w:w="1490" w:type="pct"/>
            <w:tcMar>
              <w:top w:w="0" w:type="dxa"/>
              <w:left w:w="0" w:type="dxa"/>
              <w:bottom w:w="0" w:type="dxa"/>
              <w:right w:w="0" w:type="dxa"/>
            </w:tcMar>
            <w:vAlign w:val="center"/>
          </w:tcPr>
          <w:p w14:paraId="1F02B17B" w14:textId="77777777" w:rsidR="001C08A5" w:rsidRDefault="00000000">
            <w:pPr>
              <w:jc w:val="center"/>
              <w:rPr>
                <w:rFonts w:eastAsia="Calibri"/>
                <w:b/>
                <w:bCs/>
                <w:i/>
                <w:sz w:val="21"/>
                <w:szCs w:val="21"/>
                <w:lang w:val="en-US" w:eastAsia="zh-CN" w:bidi="ar"/>
              </w:rPr>
            </w:pPr>
            <w:r>
              <w:rPr>
                <w:b/>
                <w:bCs/>
                <w:i/>
                <w:sz w:val="21"/>
                <w:szCs w:val="21"/>
              </w:rPr>
              <w:t xml:space="preserve">Caracteristicile materialelor/produselor şi substanţelor </w:t>
            </w:r>
          </w:p>
        </w:tc>
        <w:tc>
          <w:tcPr>
            <w:tcW w:w="1274" w:type="pct"/>
            <w:tcMar>
              <w:top w:w="0" w:type="dxa"/>
              <w:left w:w="0" w:type="dxa"/>
              <w:bottom w:w="0" w:type="dxa"/>
              <w:right w:w="0" w:type="dxa"/>
            </w:tcMar>
            <w:vAlign w:val="center"/>
          </w:tcPr>
          <w:p w14:paraId="455F857D" w14:textId="77777777" w:rsidR="001C08A5" w:rsidRDefault="00000000">
            <w:pPr>
              <w:jc w:val="center"/>
              <w:rPr>
                <w:rFonts w:eastAsia="Calibri"/>
                <w:b/>
                <w:bCs/>
                <w:i/>
                <w:sz w:val="21"/>
                <w:szCs w:val="21"/>
              </w:rPr>
            </w:pPr>
            <w:r>
              <w:rPr>
                <w:rFonts w:eastAsia="Calibri"/>
                <w:b/>
                <w:bCs/>
                <w:i/>
                <w:sz w:val="21"/>
                <w:szCs w:val="21"/>
              </w:rPr>
              <w:t>Note</w:t>
            </w:r>
          </w:p>
        </w:tc>
      </w:tr>
      <w:tr w:rsidR="001C08A5" w14:paraId="55A507DE" w14:textId="77777777">
        <w:trPr>
          <w:trHeight w:val="555"/>
        </w:trPr>
        <w:tc>
          <w:tcPr>
            <w:tcW w:w="778" w:type="pct"/>
            <w:tcMar>
              <w:top w:w="0" w:type="dxa"/>
              <w:left w:w="0" w:type="dxa"/>
              <w:bottom w:w="0" w:type="dxa"/>
              <w:right w:w="0" w:type="dxa"/>
            </w:tcMar>
            <w:vAlign w:val="center"/>
          </w:tcPr>
          <w:p w14:paraId="5D625C7B"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P1a </w:t>
            </w:r>
          </w:p>
          <w:p w14:paraId="2182CBE7"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EXPLOZIVI </w:t>
            </w:r>
          </w:p>
        </w:tc>
        <w:tc>
          <w:tcPr>
            <w:tcW w:w="1456" w:type="pct"/>
            <w:tcMar>
              <w:top w:w="0" w:type="dxa"/>
              <w:left w:w="0" w:type="dxa"/>
              <w:bottom w:w="0" w:type="dxa"/>
              <w:right w:w="0" w:type="dxa"/>
            </w:tcMar>
            <w:vAlign w:val="center"/>
          </w:tcPr>
          <w:p w14:paraId="31D52201" w14:textId="77777777" w:rsidR="001C08A5" w:rsidRDefault="00000000">
            <w:pPr>
              <w:jc w:val="center"/>
              <w:rPr>
                <w:rFonts w:eastAsia="Calibri"/>
                <w:i/>
                <w:sz w:val="21"/>
                <w:szCs w:val="21"/>
              </w:rPr>
            </w:pPr>
            <w:r>
              <w:rPr>
                <w:i/>
                <w:iCs/>
                <w:sz w:val="21"/>
                <w:szCs w:val="21"/>
              </w:rPr>
              <w:t>Clasa de pericol "explozivi" include produse explozive [a se vedea </w:t>
            </w:r>
            <w:hyperlink r:id="rId525" w:anchor="p-64276193" w:tgtFrame="https://lege5.ro/Gratuit/geydkmzrge2a/_blank" w:history="1">
              <w:r>
                <w:rPr>
                  <w:rFonts w:eastAsia="Calibri"/>
                  <w:i/>
                  <w:iCs/>
                  <w:sz w:val="21"/>
                  <w:szCs w:val="21"/>
                  <w:u w:val="single"/>
                </w:rPr>
                <w:t>secţiunea 2.1</w:t>
              </w:r>
            </w:hyperlink>
            <w:r>
              <w:rPr>
                <w:i/>
                <w:iCs/>
                <w:sz w:val="21"/>
                <w:szCs w:val="21"/>
              </w:rPr>
              <w:t> din anexa I la Regulamentul (CE) nr. 1.272/2008]. În situaţia în care cantitatea de substanţă explozivă sau de amestec conţinută în produs este cunoscută, această cantitate este luată în considerare în sensul prezentului regulament. În situaţia în care cantitatea de substanţă sau de amestec exploziv conţinută în produs nu este cunoscută, atunci, în sensul prezentului regulament legi, întreg produsul este considerat a fi exploziv.</w:t>
            </w:r>
            <w:r>
              <w:rPr>
                <w:i/>
                <w:iCs/>
                <w:sz w:val="21"/>
                <w:szCs w:val="21"/>
                <w:lang w:val="en-US" w:eastAsia="zh-CN"/>
              </w:rPr>
              <w:t>)</w:t>
            </w:r>
          </w:p>
        </w:tc>
        <w:tc>
          <w:tcPr>
            <w:tcW w:w="1490" w:type="pct"/>
            <w:tcMar>
              <w:top w:w="0" w:type="dxa"/>
              <w:left w:w="0" w:type="dxa"/>
              <w:bottom w:w="0" w:type="dxa"/>
              <w:right w:w="0" w:type="dxa"/>
            </w:tcMar>
            <w:vAlign w:val="center"/>
          </w:tcPr>
          <w:p w14:paraId="588645F8" w14:textId="77777777" w:rsidR="001C08A5" w:rsidRDefault="00000000">
            <w:pPr>
              <w:jc w:val="center"/>
              <w:rPr>
                <w:rFonts w:eastAsia="Calibri"/>
                <w:i/>
                <w:sz w:val="21"/>
                <w:szCs w:val="21"/>
                <w:lang w:val="en-US" w:eastAsia="zh-CN" w:bidi="ar"/>
              </w:rPr>
            </w:pPr>
            <w:r>
              <w:rPr>
                <w:rFonts w:eastAsia="Calibri"/>
                <w:i/>
                <w:sz w:val="21"/>
                <w:szCs w:val="21"/>
                <w:lang w:val="en-US" w:eastAsia="zh-CN" w:bidi="ar"/>
              </w:rPr>
              <w:t>- Explozivi instabili; sau</w:t>
            </w:r>
            <w:r>
              <w:rPr>
                <w:rFonts w:eastAsia="Calibri"/>
                <w:i/>
                <w:sz w:val="21"/>
                <w:szCs w:val="21"/>
                <w:lang w:val="en-US" w:eastAsia="zh-CN" w:bidi="ar"/>
              </w:rPr>
              <w:br/>
              <w:t>- Explozivi, diviziunea 1.1, 1.2, 1.3, 1.5 sau 1.6; sau</w:t>
            </w:r>
            <w:r>
              <w:rPr>
                <w:rFonts w:eastAsia="Calibri"/>
                <w:i/>
                <w:sz w:val="21"/>
                <w:szCs w:val="21"/>
                <w:lang w:val="en-US" w:eastAsia="zh-CN" w:bidi="ar"/>
              </w:rPr>
              <w:br/>
              <w:t>- Substanţe sau amestecuri având proprietăţi explozive în conformitate cu metoda A14 din Regulamentul (CE) nr. 440/2008 (a se vedea nota 9) şi care nu fac parte din clasele de pericol peroxizi organici sau substanţe şi amestecuri autoreactive</w:t>
            </w:r>
          </w:p>
        </w:tc>
        <w:tc>
          <w:tcPr>
            <w:tcW w:w="1274" w:type="pct"/>
            <w:tcMar>
              <w:top w:w="0" w:type="dxa"/>
              <w:left w:w="0" w:type="dxa"/>
              <w:bottom w:w="0" w:type="dxa"/>
              <w:right w:w="0" w:type="dxa"/>
            </w:tcMar>
            <w:vAlign w:val="center"/>
          </w:tcPr>
          <w:p w14:paraId="3237317B" w14:textId="77777777" w:rsidR="001C08A5" w:rsidRDefault="00000000">
            <w:pPr>
              <w:jc w:val="center"/>
              <w:rPr>
                <w:i/>
                <w:iCs/>
                <w:sz w:val="21"/>
                <w:szCs w:val="21"/>
              </w:rPr>
            </w:pPr>
            <w:r>
              <w:rPr>
                <w:i/>
                <w:iCs/>
                <w:sz w:val="21"/>
                <w:szCs w:val="21"/>
              </w:rPr>
              <w:t>Testarea proprietăţilor explozive ale substanţelor şi amestecurilor este necesară doar în situaţia în care procedura de depistare, în conformitate cu prevederile anexei 6 partea a 3-a a Recomandărilor ONU privind transportul mărfurilor periculoase, Manual de teste şi criterii (Manualul ONU de teste şi criterii)2, identifică substanţa sau amestecul ca putând avea proprietăţi explozive.</w:t>
            </w:r>
          </w:p>
          <w:p w14:paraId="0A72153A" w14:textId="77777777" w:rsidR="001C08A5" w:rsidRDefault="001C08A5">
            <w:pPr>
              <w:jc w:val="center"/>
              <w:rPr>
                <w:rFonts w:eastAsia="Calibri"/>
                <w:i/>
                <w:sz w:val="21"/>
                <w:szCs w:val="21"/>
              </w:rPr>
            </w:pPr>
          </w:p>
        </w:tc>
      </w:tr>
      <w:tr w:rsidR="001C08A5" w14:paraId="76B75772" w14:textId="77777777">
        <w:trPr>
          <w:trHeight w:val="555"/>
        </w:trPr>
        <w:tc>
          <w:tcPr>
            <w:tcW w:w="778" w:type="pct"/>
            <w:tcMar>
              <w:top w:w="0" w:type="dxa"/>
              <w:left w:w="0" w:type="dxa"/>
              <w:bottom w:w="0" w:type="dxa"/>
              <w:right w:w="0" w:type="dxa"/>
            </w:tcMar>
            <w:vAlign w:val="center"/>
          </w:tcPr>
          <w:p w14:paraId="372BB986"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P1b </w:t>
            </w:r>
          </w:p>
          <w:p w14:paraId="23791669"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EXPLOZIVI </w:t>
            </w:r>
          </w:p>
        </w:tc>
        <w:tc>
          <w:tcPr>
            <w:tcW w:w="1456" w:type="pct"/>
            <w:tcMar>
              <w:top w:w="0" w:type="dxa"/>
              <w:left w:w="0" w:type="dxa"/>
              <w:bottom w:w="0" w:type="dxa"/>
              <w:right w:w="0" w:type="dxa"/>
            </w:tcMar>
            <w:vAlign w:val="center"/>
          </w:tcPr>
          <w:p w14:paraId="775D6D9E" w14:textId="77777777" w:rsidR="001C08A5" w:rsidRDefault="00000000">
            <w:pPr>
              <w:spacing w:after="150"/>
              <w:jc w:val="center"/>
              <w:rPr>
                <w:rFonts w:eastAsia="Calibri"/>
                <w:i/>
                <w:sz w:val="21"/>
                <w:szCs w:val="21"/>
              </w:rPr>
            </w:pPr>
            <w:r>
              <w:rPr>
                <w:rFonts w:eastAsia="Calibri"/>
                <w:i/>
                <w:iCs/>
                <w:sz w:val="21"/>
                <w:szCs w:val="21"/>
              </w:rPr>
              <w:t>Clasa de pericol "explozivi" include produse explozive [a se vedea </w:t>
            </w:r>
            <w:hyperlink r:id="rId526" w:anchor="p-64276193" w:tgtFrame="https://lege5.ro/Gratuit/geydkmzrge2a/_blank" w:history="1">
              <w:r>
                <w:rPr>
                  <w:rFonts w:eastAsia="Calibri"/>
                  <w:i/>
                  <w:iCs/>
                  <w:sz w:val="21"/>
                  <w:szCs w:val="21"/>
                  <w:u w:val="single"/>
                </w:rPr>
                <w:t>secţiunea 2.1</w:t>
              </w:r>
            </w:hyperlink>
            <w:r>
              <w:rPr>
                <w:rFonts w:eastAsia="Calibri"/>
                <w:i/>
                <w:iCs/>
                <w:sz w:val="21"/>
                <w:szCs w:val="21"/>
              </w:rPr>
              <w:t> din anexa I la Regulamentul (CE) nr. 1.272/2008]. În situaţia în care cantitatea de substanţă explozivă sau de amestec conţinută în produs este cunoscută, această cantitate este luată în considerare în sensul prezentei legi. În situaţia în care cantitatea de substanţă sau de amestec exploziv conţinută în produs nu este cunoscută, atunci, în sensul prezentei legi, întreg produsul este considerat a fi exploziv.</w:t>
            </w:r>
          </w:p>
        </w:tc>
        <w:tc>
          <w:tcPr>
            <w:tcW w:w="1490" w:type="pct"/>
            <w:tcMar>
              <w:top w:w="0" w:type="dxa"/>
              <w:left w:w="0" w:type="dxa"/>
              <w:bottom w:w="0" w:type="dxa"/>
              <w:right w:w="0" w:type="dxa"/>
            </w:tcMar>
            <w:vAlign w:val="center"/>
          </w:tcPr>
          <w:p w14:paraId="56433E6F" w14:textId="77777777" w:rsidR="001C08A5" w:rsidRDefault="00000000">
            <w:pPr>
              <w:jc w:val="center"/>
              <w:rPr>
                <w:rFonts w:eastAsia="Calibri"/>
                <w:i/>
                <w:sz w:val="21"/>
                <w:szCs w:val="21"/>
                <w:lang w:val="en-US" w:eastAsia="zh-CN"/>
              </w:rPr>
            </w:pPr>
            <w:r>
              <w:rPr>
                <w:rFonts w:eastAsia="Calibri"/>
                <w:i/>
                <w:sz w:val="21"/>
                <w:szCs w:val="21"/>
                <w:lang w:val="en-US" w:eastAsia="zh-CN" w:bidi="ar"/>
              </w:rPr>
              <w:t>Explozivi, diviziunea 1.4 (a se vedea nota)</w:t>
            </w:r>
          </w:p>
        </w:tc>
        <w:tc>
          <w:tcPr>
            <w:tcW w:w="1274" w:type="pct"/>
            <w:tcMar>
              <w:top w:w="0" w:type="dxa"/>
              <w:left w:w="0" w:type="dxa"/>
              <w:bottom w:w="0" w:type="dxa"/>
              <w:right w:w="0" w:type="dxa"/>
            </w:tcMar>
            <w:vAlign w:val="center"/>
          </w:tcPr>
          <w:p w14:paraId="6CBF01DC" w14:textId="77777777" w:rsidR="001C08A5" w:rsidRDefault="00000000">
            <w:pPr>
              <w:jc w:val="center"/>
              <w:rPr>
                <w:rFonts w:eastAsia="Calibri"/>
                <w:i/>
                <w:sz w:val="21"/>
                <w:szCs w:val="21"/>
                <w:lang w:val="en-US" w:eastAsia="zh-CN" w:bidi="ar"/>
              </w:rPr>
            </w:pPr>
            <w:r>
              <w:rPr>
                <w:rFonts w:eastAsia="Calibri"/>
                <w:i/>
                <w:sz w:val="21"/>
                <w:szCs w:val="21"/>
              </w:rPr>
              <w:t> În situaţia în care explozivii cuprinşi în diviziunea 1.4 sunt neambalaţi sau reambalaţi, aceştia sunt incluşi în categoria P1a, cu excepţia situaţiei în care se arată că pericolele corespund încă diviziunii 1.4, în conformitate cu Regulamentul (CE) </w:t>
            </w:r>
            <w:hyperlink r:id="rId527" w:tgtFrame="https://lege5.ro/Gratuit/geydkmzrge2a/_blank" w:history="1">
              <w:r>
                <w:rPr>
                  <w:rFonts w:eastAsia="Calibri"/>
                  <w:i/>
                  <w:sz w:val="21"/>
                  <w:szCs w:val="21"/>
                  <w:u w:val="single"/>
                </w:rPr>
                <w:t>nr. 1.272/2008</w:t>
              </w:r>
            </w:hyperlink>
            <w:r>
              <w:rPr>
                <w:rFonts w:eastAsia="Calibri"/>
                <w:i/>
                <w:sz w:val="21"/>
                <w:szCs w:val="21"/>
              </w:rPr>
              <w:t>.</w:t>
            </w:r>
          </w:p>
        </w:tc>
      </w:tr>
      <w:tr w:rsidR="001C08A5" w14:paraId="74C14A8A" w14:textId="77777777">
        <w:trPr>
          <w:trHeight w:val="555"/>
        </w:trPr>
        <w:tc>
          <w:tcPr>
            <w:tcW w:w="778" w:type="pct"/>
            <w:tcMar>
              <w:top w:w="0" w:type="dxa"/>
              <w:left w:w="0" w:type="dxa"/>
              <w:bottom w:w="0" w:type="dxa"/>
              <w:right w:w="0" w:type="dxa"/>
            </w:tcMar>
            <w:vAlign w:val="center"/>
          </w:tcPr>
          <w:p w14:paraId="72A29A6F"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P2 </w:t>
            </w:r>
          </w:p>
          <w:p w14:paraId="630B956D" w14:textId="77777777" w:rsidR="001C08A5" w:rsidRDefault="00000000">
            <w:pPr>
              <w:rPr>
                <w:rFonts w:eastAsia="Calibri"/>
                <w:b/>
                <w:bCs/>
                <w:i/>
                <w:sz w:val="21"/>
                <w:szCs w:val="21"/>
              </w:rPr>
            </w:pPr>
            <w:r>
              <w:rPr>
                <w:rFonts w:eastAsia="Calibri"/>
                <w:b/>
                <w:bCs/>
                <w:i/>
                <w:sz w:val="21"/>
                <w:szCs w:val="21"/>
                <w:lang w:val="en-US" w:eastAsia="zh-CN" w:bidi="ar"/>
              </w:rPr>
              <w:t>GAZE INFLAMABILE</w:t>
            </w:r>
            <w:r>
              <w:rPr>
                <w:rFonts w:eastAsia="Calibri"/>
                <w:b/>
                <w:bCs/>
                <w:i/>
                <w:sz w:val="21"/>
                <w:szCs w:val="21"/>
                <w:lang w:val="en-US" w:eastAsia="zh-CN" w:bidi="ar"/>
              </w:rPr>
              <w:br/>
            </w:r>
          </w:p>
        </w:tc>
        <w:tc>
          <w:tcPr>
            <w:tcW w:w="1456" w:type="pct"/>
            <w:tcMar>
              <w:top w:w="0" w:type="dxa"/>
              <w:left w:w="0" w:type="dxa"/>
              <w:bottom w:w="0" w:type="dxa"/>
              <w:right w:w="0" w:type="dxa"/>
            </w:tcMar>
            <w:vAlign w:val="center"/>
          </w:tcPr>
          <w:p w14:paraId="4E704F3D"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459CAC6E" w14:textId="77777777" w:rsidR="001C08A5" w:rsidRDefault="00000000">
            <w:pPr>
              <w:jc w:val="center"/>
              <w:rPr>
                <w:rFonts w:eastAsia="Calibri"/>
                <w:i/>
                <w:sz w:val="21"/>
                <w:szCs w:val="21"/>
              </w:rPr>
            </w:pPr>
            <w:r>
              <w:rPr>
                <w:rFonts w:eastAsia="Calibri"/>
                <w:i/>
                <w:sz w:val="21"/>
                <w:szCs w:val="21"/>
                <w:lang w:val="en-US" w:eastAsia="zh-CN" w:bidi="ar"/>
              </w:rPr>
              <w:t>Gaze inflamabile, categoria 1 sau 2</w:t>
            </w:r>
          </w:p>
        </w:tc>
        <w:tc>
          <w:tcPr>
            <w:tcW w:w="1274" w:type="pct"/>
            <w:tcMar>
              <w:top w:w="0" w:type="dxa"/>
              <w:left w:w="0" w:type="dxa"/>
              <w:bottom w:w="0" w:type="dxa"/>
              <w:right w:w="0" w:type="dxa"/>
            </w:tcMar>
            <w:vAlign w:val="center"/>
          </w:tcPr>
          <w:p w14:paraId="268FC690" w14:textId="77777777" w:rsidR="001C08A5" w:rsidRDefault="00000000">
            <w:pPr>
              <w:jc w:val="center"/>
              <w:rPr>
                <w:rFonts w:eastAsia="Calibri"/>
                <w:i/>
                <w:sz w:val="21"/>
                <w:szCs w:val="21"/>
                <w:lang w:val="en-US" w:eastAsia="zh-CN" w:bidi="ar"/>
              </w:rPr>
            </w:pPr>
            <w:r>
              <w:rPr>
                <w:rFonts w:eastAsia="Calibri"/>
                <w:i/>
                <w:sz w:val="21"/>
                <w:szCs w:val="21"/>
                <w:lang w:val="en-US" w:eastAsia="zh-CN" w:bidi="ar"/>
              </w:rPr>
              <w:t>-</w:t>
            </w:r>
          </w:p>
        </w:tc>
      </w:tr>
      <w:tr w:rsidR="001C08A5" w14:paraId="2C6F0AFF" w14:textId="77777777">
        <w:trPr>
          <w:trHeight w:val="765"/>
        </w:trPr>
        <w:tc>
          <w:tcPr>
            <w:tcW w:w="778" w:type="pct"/>
            <w:tcMar>
              <w:top w:w="0" w:type="dxa"/>
              <w:left w:w="0" w:type="dxa"/>
              <w:bottom w:w="0" w:type="dxa"/>
              <w:right w:w="0" w:type="dxa"/>
            </w:tcMar>
            <w:vAlign w:val="center"/>
          </w:tcPr>
          <w:p w14:paraId="3655943B"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P3a </w:t>
            </w:r>
          </w:p>
          <w:p w14:paraId="0C247E44" w14:textId="77777777" w:rsidR="001C08A5" w:rsidRDefault="00000000">
            <w:pPr>
              <w:rPr>
                <w:rFonts w:eastAsia="Calibri"/>
                <w:b/>
                <w:bCs/>
                <w:i/>
                <w:sz w:val="21"/>
                <w:szCs w:val="21"/>
              </w:rPr>
            </w:pPr>
            <w:r>
              <w:rPr>
                <w:rFonts w:eastAsia="Calibri"/>
                <w:b/>
                <w:bCs/>
                <w:i/>
                <w:sz w:val="21"/>
                <w:szCs w:val="21"/>
                <w:lang w:val="en-US" w:eastAsia="zh-CN" w:bidi="ar"/>
              </w:rPr>
              <w:t xml:space="preserve">AEROSOLI INFLAMABILI </w:t>
            </w:r>
            <w:r>
              <w:rPr>
                <w:rFonts w:eastAsia="Calibri"/>
                <w:b/>
                <w:bCs/>
                <w:i/>
                <w:sz w:val="21"/>
                <w:szCs w:val="21"/>
                <w:lang w:val="en-US" w:eastAsia="zh-CN" w:bidi="ar"/>
              </w:rPr>
              <w:br/>
            </w:r>
          </w:p>
        </w:tc>
        <w:tc>
          <w:tcPr>
            <w:tcW w:w="1456" w:type="pct"/>
            <w:vMerge w:val="restart"/>
            <w:tcMar>
              <w:top w:w="0" w:type="dxa"/>
              <w:left w:w="0" w:type="dxa"/>
              <w:bottom w:w="0" w:type="dxa"/>
              <w:right w:w="0" w:type="dxa"/>
            </w:tcMar>
            <w:vAlign w:val="center"/>
          </w:tcPr>
          <w:p w14:paraId="6F0CC094" w14:textId="77777777" w:rsidR="001C08A5" w:rsidRDefault="00000000">
            <w:pPr>
              <w:jc w:val="center"/>
              <w:rPr>
                <w:rFonts w:eastAsia="Calibri"/>
                <w:i/>
                <w:sz w:val="21"/>
                <w:szCs w:val="21"/>
              </w:rPr>
            </w:pPr>
            <w:r>
              <w:rPr>
                <w:rFonts w:eastAsia="Calibri"/>
                <w:i/>
                <w:sz w:val="21"/>
                <w:szCs w:val="21"/>
              </w:rPr>
              <w:t xml:space="preserve">Aerosolii inflamabili se clasifică în conformitate cu Directiva 75/324/CEE a Consiliului din 20 mai 1975 privind apropierea legislaţiilor statelor membre referitoare la generatoarele de aerosoli3 ("Directiva referitoare la generatoarele de aerosoli"). Aerosolii "extrem de inflamabili" şi "inflamabili" din </w:t>
            </w:r>
            <w:r>
              <w:rPr>
                <w:rFonts w:eastAsia="Calibri"/>
                <w:i/>
                <w:sz w:val="21"/>
                <w:szCs w:val="21"/>
              </w:rPr>
              <w:lastRenderedPageBreak/>
              <w:t>Directiva </w:t>
            </w:r>
            <w:hyperlink r:id="rId528" w:tgtFrame="https://lege5.ro/Gratuit/geydkmzrge2a/_blank" w:history="1">
              <w:r>
                <w:rPr>
                  <w:rFonts w:eastAsia="Calibri"/>
                  <w:i/>
                  <w:sz w:val="21"/>
                  <w:szCs w:val="21"/>
                  <w:u w:val="single"/>
                </w:rPr>
                <w:t>75/324/CEE</w:t>
              </w:r>
            </w:hyperlink>
            <w:r>
              <w:rPr>
                <w:rFonts w:eastAsia="Calibri"/>
                <w:i/>
                <w:sz w:val="21"/>
                <w:szCs w:val="21"/>
              </w:rPr>
              <w:t> corespund aerosolilor inflamabili din categoria 1 sau, respectiv, 2 din Regulamentul (CE) </w:t>
            </w:r>
            <w:hyperlink r:id="rId529" w:tgtFrame="https://lege5.ro/Gratuit/geydkmzrge2a/_blank" w:history="1">
              <w:r>
                <w:rPr>
                  <w:rFonts w:eastAsia="Calibri"/>
                  <w:i/>
                  <w:sz w:val="21"/>
                  <w:szCs w:val="21"/>
                  <w:u w:val="single"/>
                </w:rPr>
                <w:t>nr. 1.272/2008</w:t>
              </w:r>
            </w:hyperlink>
            <w:r>
              <w:rPr>
                <w:rFonts w:eastAsia="Calibri"/>
                <w:i/>
                <w:sz w:val="21"/>
                <w:szCs w:val="21"/>
              </w:rPr>
              <w:t>.</w:t>
            </w:r>
          </w:p>
        </w:tc>
        <w:tc>
          <w:tcPr>
            <w:tcW w:w="1490" w:type="pct"/>
            <w:tcMar>
              <w:top w:w="0" w:type="dxa"/>
              <w:left w:w="0" w:type="dxa"/>
              <w:bottom w:w="0" w:type="dxa"/>
              <w:right w:w="0" w:type="dxa"/>
            </w:tcMar>
            <w:vAlign w:val="center"/>
          </w:tcPr>
          <w:p w14:paraId="5744F1B7" w14:textId="77777777" w:rsidR="001C08A5" w:rsidRDefault="00000000">
            <w:pPr>
              <w:jc w:val="center"/>
              <w:rPr>
                <w:rFonts w:eastAsia="Calibri"/>
                <w:i/>
                <w:sz w:val="21"/>
                <w:szCs w:val="21"/>
              </w:rPr>
            </w:pPr>
            <w:r>
              <w:rPr>
                <w:rFonts w:eastAsia="Calibri"/>
                <w:i/>
                <w:sz w:val="21"/>
                <w:szCs w:val="21"/>
                <w:lang w:val="en-US" w:eastAsia="zh-CN" w:bidi="ar"/>
              </w:rPr>
              <w:lastRenderedPageBreak/>
              <w:t>Aerosoli "inflamabili" categoria 1 sau 2, care conţin gaze inflamabile categoria 1 sau 2 ori lichide inflamabile categoria 1</w:t>
            </w:r>
          </w:p>
        </w:tc>
        <w:tc>
          <w:tcPr>
            <w:tcW w:w="1274" w:type="pct"/>
            <w:tcMar>
              <w:top w:w="0" w:type="dxa"/>
              <w:left w:w="0" w:type="dxa"/>
              <w:bottom w:w="0" w:type="dxa"/>
              <w:right w:w="0" w:type="dxa"/>
            </w:tcMar>
            <w:vAlign w:val="center"/>
          </w:tcPr>
          <w:p w14:paraId="0AF9CE61" w14:textId="77777777" w:rsidR="001C08A5" w:rsidRDefault="00000000">
            <w:pPr>
              <w:jc w:val="center"/>
              <w:rPr>
                <w:rFonts w:eastAsia="Calibri"/>
                <w:i/>
                <w:sz w:val="21"/>
                <w:szCs w:val="21"/>
                <w:lang w:val="en-US" w:eastAsia="zh-CN" w:bidi="ar"/>
              </w:rPr>
            </w:pPr>
            <w:r>
              <w:rPr>
                <w:rFonts w:eastAsia="Calibri"/>
                <w:i/>
                <w:sz w:val="21"/>
                <w:szCs w:val="21"/>
                <w:lang w:val="en-US" w:eastAsia="zh-CN" w:bidi="ar"/>
              </w:rPr>
              <w:t>-</w:t>
            </w:r>
          </w:p>
        </w:tc>
      </w:tr>
      <w:tr w:rsidR="001C08A5" w14:paraId="499A3C35" w14:textId="77777777">
        <w:trPr>
          <w:trHeight w:val="765"/>
        </w:trPr>
        <w:tc>
          <w:tcPr>
            <w:tcW w:w="778" w:type="pct"/>
            <w:tcMar>
              <w:top w:w="0" w:type="dxa"/>
              <w:left w:w="0" w:type="dxa"/>
              <w:bottom w:w="0" w:type="dxa"/>
              <w:right w:w="0" w:type="dxa"/>
            </w:tcMar>
            <w:vAlign w:val="center"/>
          </w:tcPr>
          <w:p w14:paraId="3B05B579"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P3b </w:t>
            </w:r>
          </w:p>
          <w:p w14:paraId="650FBED1" w14:textId="77777777" w:rsidR="001C08A5" w:rsidRDefault="00000000">
            <w:pPr>
              <w:rPr>
                <w:rFonts w:eastAsia="Calibri"/>
                <w:b/>
                <w:bCs/>
                <w:i/>
                <w:sz w:val="21"/>
                <w:szCs w:val="21"/>
              </w:rPr>
            </w:pPr>
            <w:r>
              <w:rPr>
                <w:rFonts w:eastAsia="Calibri"/>
                <w:b/>
                <w:bCs/>
                <w:i/>
                <w:sz w:val="21"/>
                <w:szCs w:val="21"/>
                <w:lang w:val="en-US" w:eastAsia="zh-CN" w:bidi="ar"/>
              </w:rPr>
              <w:t xml:space="preserve">AEROSOLI INFLAMABILI </w:t>
            </w:r>
            <w:r>
              <w:rPr>
                <w:rFonts w:eastAsia="Calibri"/>
                <w:b/>
                <w:bCs/>
                <w:i/>
                <w:sz w:val="21"/>
                <w:szCs w:val="21"/>
                <w:lang w:val="en-US" w:eastAsia="zh-CN" w:bidi="ar"/>
              </w:rPr>
              <w:br/>
            </w:r>
          </w:p>
        </w:tc>
        <w:tc>
          <w:tcPr>
            <w:tcW w:w="1456" w:type="pct"/>
            <w:vMerge/>
            <w:tcMar>
              <w:top w:w="0" w:type="dxa"/>
              <w:left w:w="0" w:type="dxa"/>
              <w:bottom w:w="0" w:type="dxa"/>
              <w:right w:w="0" w:type="dxa"/>
            </w:tcMar>
            <w:vAlign w:val="center"/>
          </w:tcPr>
          <w:p w14:paraId="28184C4B" w14:textId="77777777" w:rsidR="001C08A5" w:rsidRDefault="001C08A5">
            <w:pPr>
              <w:jc w:val="center"/>
              <w:rPr>
                <w:rFonts w:eastAsia="Calibri"/>
                <w:i/>
                <w:sz w:val="21"/>
                <w:szCs w:val="21"/>
              </w:rPr>
            </w:pPr>
          </w:p>
        </w:tc>
        <w:tc>
          <w:tcPr>
            <w:tcW w:w="1490" w:type="pct"/>
            <w:tcMar>
              <w:top w:w="0" w:type="dxa"/>
              <w:left w:w="0" w:type="dxa"/>
              <w:bottom w:w="0" w:type="dxa"/>
              <w:right w:w="0" w:type="dxa"/>
            </w:tcMar>
            <w:vAlign w:val="center"/>
          </w:tcPr>
          <w:p w14:paraId="47339018" w14:textId="77777777" w:rsidR="001C08A5" w:rsidRDefault="00000000">
            <w:pPr>
              <w:jc w:val="center"/>
              <w:rPr>
                <w:rFonts w:eastAsia="Calibri"/>
                <w:i/>
                <w:sz w:val="21"/>
                <w:szCs w:val="21"/>
              </w:rPr>
            </w:pPr>
            <w:r>
              <w:rPr>
                <w:i/>
                <w:iCs/>
                <w:sz w:val="21"/>
                <w:szCs w:val="21"/>
                <w:lang w:val="en-US" w:eastAsia="zh-CN" w:bidi="ar"/>
              </w:rPr>
              <w:t xml:space="preserve">Aerosoli "inflamabili" categoria 1 sau 2, care nu conţin gaze inflamabile categoria 1 sau 2 ori lichide inflamabile categoria 1 (a se vedea </w:t>
            </w:r>
            <w:proofErr w:type="gramStart"/>
            <w:r>
              <w:rPr>
                <w:i/>
                <w:iCs/>
                <w:sz w:val="21"/>
                <w:szCs w:val="21"/>
                <w:lang w:val="en-US" w:eastAsia="zh-CN" w:bidi="ar"/>
              </w:rPr>
              <w:t>nota )</w:t>
            </w:r>
            <w:proofErr w:type="gramEnd"/>
          </w:p>
        </w:tc>
        <w:tc>
          <w:tcPr>
            <w:tcW w:w="1274" w:type="pct"/>
            <w:tcMar>
              <w:top w:w="0" w:type="dxa"/>
              <w:left w:w="0" w:type="dxa"/>
              <w:bottom w:w="0" w:type="dxa"/>
              <w:right w:w="0" w:type="dxa"/>
            </w:tcMar>
            <w:vAlign w:val="center"/>
          </w:tcPr>
          <w:p w14:paraId="202BC110" w14:textId="77777777" w:rsidR="001C08A5" w:rsidRDefault="00000000">
            <w:pPr>
              <w:jc w:val="center"/>
              <w:rPr>
                <w:rFonts w:eastAsia="Calibri"/>
                <w:i/>
                <w:sz w:val="21"/>
                <w:szCs w:val="21"/>
                <w:lang w:val="en-US" w:eastAsia="zh-CN" w:bidi="ar"/>
              </w:rPr>
            </w:pPr>
            <w:r>
              <w:rPr>
                <w:rFonts w:eastAsia="Calibri"/>
                <w:i/>
                <w:sz w:val="21"/>
                <w:szCs w:val="21"/>
              </w:rPr>
              <w:t xml:space="preserve">Pentru a utiliza această categorie trebuie să se dovedească prin documentaţie că generatorul de aerosoli nu conţine gaze inflamabile din categoria 1 </w:t>
            </w:r>
            <w:r>
              <w:rPr>
                <w:rFonts w:eastAsia="Calibri"/>
                <w:i/>
                <w:sz w:val="21"/>
                <w:szCs w:val="21"/>
              </w:rPr>
              <w:lastRenderedPageBreak/>
              <w:t>sau 2 şi nici lichide inflamabile din categoria 1.</w:t>
            </w:r>
          </w:p>
        </w:tc>
      </w:tr>
      <w:tr w:rsidR="001C08A5" w14:paraId="3E210B70" w14:textId="77777777">
        <w:trPr>
          <w:trHeight w:val="555"/>
        </w:trPr>
        <w:tc>
          <w:tcPr>
            <w:tcW w:w="778" w:type="pct"/>
            <w:tcMar>
              <w:top w:w="0" w:type="dxa"/>
              <w:left w:w="0" w:type="dxa"/>
              <w:bottom w:w="0" w:type="dxa"/>
              <w:right w:w="0" w:type="dxa"/>
            </w:tcMar>
            <w:vAlign w:val="center"/>
          </w:tcPr>
          <w:p w14:paraId="3D049C57"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lastRenderedPageBreak/>
              <w:t xml:space="preserve">P4 </w:t>
            </w:r>
          </w:p>
          <w:p w14:paraId="74EE7C56" w14:textId="77777777" w:rsidR="001C08A5" w:rsidRDefault="00000000">
            <w:pPr>
              <w:rPr>
                <w:rFonts w:eastAsia="Calibri"/>
                <w:b/>
                <w:bCs/>
                <w:i/>
                <w:sz w:val="21"/>
                <w:szCs w:val="21"/>
              </w:rPr>
            </w:pPr>
            <w:r>
              <w:rPr>
                <w:rFonts w:eastAsia="Calibri"/>
                <w:b/>
                <w:bCs/>
                <w:i/>
                <w:sz w:val="21"/>
                <w:szCs w:val="21"/>
                <w:lang w:val="en-US" w:eastAsia="zh-CN" w:bidi="ar"/>
              </w:rPr>
              <w:t>GAZE OXIDANTE</w:t>
            </w:r>
            <w:r>
              <w:rPr>
                <w:rFonts w:eastAsia="Calibri"/>
                <w:b/>
                <w:bCs/>
                <w:i/>
                <w:sz w:val="21"/>
                <w:szCs w:val="21"/>
                <w:lang w:val="en-US" w:eastAsia="zh-CN" w:bidi="ar"/>
              </w:rPr>
              <w:br/>
            </w:r>
          </w:p>
        </w:tc>
        <w:tc>
          <w:tcPr>
            <w:tcW w:w="1456" w:type="pct"/>
            <w:tcMar>
              <w:top w:w="0" w:type="dxa"/>
              <w:left w:w="0" w:type="dxa"/>
              <w:bottom w:w="0" w:type="dxa"/>
              <w:right w:w="0" w:type="dxa"/>
            </w:tcMar>
            <w:vAlign w:val="center"/>
          </w:tcPr>
          <w:p w14:paraId="7C24DB10"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2CF4DD57" w14:textId="77777777" w:rsidR="001C08A5" w:rsidRDefault="00000000">
            <w:pPr>
              <w:jc w:val="center"/>
              <w:rPr>
                <w:rFonts w:eastAsia="Calibri"/>
                <w:i/>
                <w:sz w:val="21"/>
                <w:szCs w:val="21"/>
              </w:rPr>
            </w:pPr>
            <w:r>
              <w:rPr>
                <w:rFonts w:eastAsia="Calibri"/>
                <w:i/>
                <w:sz w:val="21"/>
                <w:szCs w:val="21"/>
                <w:lang w:val="en-US" w:eastAsia="zh-CN" w:bidi="ar"/>
              </w:rPr>
              <w:t>Gaze oxidante, categoria 1</w:t>
            </w:r>
          </w:p>
        </w:tc>
        <w:tc>
          <w:tcPr>
            <w:tcW w:w="1274" w:type="pct"/>
            <w:tcMar>
              <w:top w:w="0" w:type="dxa"/>
              <w:left w:w="0" w:type="dxa"/>
              <w:bottom w:w="0" w:type="dxa"/>
              <w:right w:w="0" w:type="dxa"/>
            </w:tcMar>
            <w:vAlign w:val="center"/>
          </w:tcPr>
          <w:p w14:paraId="48DC1511" w14:textId="77777777" w:rsidR="001C08A5" w:rsidRDefault="001C08A5">
            <w:pPr>
              <w:jc w:val="center"/>
              <w:rPr>
                <w:rFonts w:eastAsia="Calibri"/>
                <w:i/>
                <w:sz w:val="21"/>
                <w:szCs w:val="21"/>
              </w:rPr>
            </w:pPr>
          </w:p>
        </w:tc>
      </w:tr>
      <w:tr w:rsidR="001C08A5" w14:paraId="459C40D3" w14:textId="77777777">
        <w:trPr>
          <w:trHeight w:val="1395"/>
        </w:trPr>
        <w:tc>
          <w:tcPr>
            <w:tcW w:w="778" w:type="pct"/>
            <w:tcMar>
              <w:top w:w="0" w:type="dxa"/>
              <w:left w:w="0" w:type="dxa"/>
              <w:bottom w:w="0" w:type="dxa"/>
              <w:right w:w="0" w:type="dxa"/>
            </w:tcMar>
            <w:vAlign w:val="center"/>
          </w:tcPr>
          <w:p w14:paraId="14C08E7F"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P5a </w:t>
            </w:r>
          </w:p>
          <w:p w14:paraId="3A276A90" w14:textId="77777777" w:rsidR="001C08A5" w:rsidRDefault="00000000">
            <w:pPr>
              <w:rPr>
                <w:rFonts w:eastAsia="Calibri"/>
                <w:b/>
                <w:bCs/>
                <w:i/>
                <w:sz w:val="21"/>
                <w:szCs w:val="21"/>
              </w:rPr>
            </w:pPr>
            <w:r>
              <w:rPr>
                <w:rFonts w:eastAsia="Calibri"/>
                <w:b/>
                <w:bCs/>
                <w:i/>
                <w:sz w:val="21"/>
                <w:szCs w:val="21"/>
                <w:lang w:val="en-US" w:eastAsia="zh-CN" w:bidi="ar"/>
              </w:rPr>
              <w:t>LICHIDE INFLAMABILE</w:t>
            </w:r>
            <w:r>
              <w:rPr>
                <w:rFonts w:eastAsia="Calibri"/>
                <w:b/>
                <w:bCs/>
                <w:i/>
                <w:sz w:val="21"/>
                <w:szCs w:val="21"/>
                <w:lang w:val="en-US" w:eastAsia="zh-CN" w:bidi="ar"/>
              </w:rPr>
              <w:br/>
            </w:r>
          </w:p>
        </w:tc>
        <w:tc>
          <w:tcPr>
            <w:tcW w:w="1456" w:type="pct"/>
            <w:tcMar>
              <w:top w:w="0" w:type="dxa"/>
              <w:left w:w="0" w:type="dxa"/>
              <w:bottom w:w="0" w:type="dxa"/>
              <w:right w:w="0" w:type="dxa"/>
            </w:tcMar>
            <w:vAlign w:val="center"/>
          </w:tcPr>
          <w:p w14:paraId="152FFAA5"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6CAF47BB" w14:textId="77777777" w:rsidR="001C08A5" w:rsidRDefault="00000000">
            <w:pPr>
              <w:jc w:val="center"/>
              <w:rPr>
                <w:rFonts w:eastAsia="Calibri"/>
                <w:i/>
                <w:sz w:val="21"/>
                <w:szCs w:val="21"/>
              </w:rPr>
            </w:pPr>
            <w:r>
              <w:rPr>
                <w:rFonts w:eastAsia="Calibri"/>
                <w:i/>
                <w:sz w:val="21"/>
                <w:szCs w:val="21"/>
                <w:lang w:val="en-US" w:eastAsia="zh-CN" w:bidi="ar"/>
              </w:rPr>
              <w:t>- Lichide inflamabile, categoria 1; sau</w:t>
            </w:r>
            <w:r>
              <w:rPr>
                <w:rFonts w:eastAsia="Calibri"/>
                <w:i/>
                <w:sz w:val="21"/>
                <w:szCs w:val="21"/>
                <w:lang w:val="en-US" w:eastAsia="zh-CN" w:bidi="ar"/>
              </w:rPr>
              <w:br/>
              <w:t>- Lichide inflamabile categoria 2 sau 3 menţinute la o temperatură superioară punctului de fierbere; sau</w:t>
            </w:r>
            <w:r>
              <w:rPr>
                <w:rFonts w:eastAsia="Calibri"/>
                <w:i/>
                <w:sz w:val="21"/>
                <w:szCs w:val="21"/>
                <w:lang w:val="en-US" w:eastAsia="zh-CN" w:bidi="ar"/>
              </w:rPr>
              <w:br/>
              <w:t>- Alte lichide cu punct de aprindere ≤60°C, menţinute la o temperatură superioară punctului lor de fierbere (a se vedea nota</w:t>
            </w:r>
            <w:r>
              <w:rPr>
                <w:rFonts w:eastAsia="Calibri"/>
                <w:i/>
                <w:sz w:val="21"/>
                <w:szCs w:val="21"/>
                <w:lang w:eastAsia="zh-CN" w:bidi="ar"/>
              </w:rPr>
              <w:t xml:space="preserve"> 12</w:t>
            </w:r>
            <w:r>
              <w:rPr>
                <w:rFonts w:eastAsia="Calibri"/>
                <w:i/>
                <w:sz w:val="21"/>
                <w:szCs w:val="21"/>
                <w:lang w:val="en-US" w:eastAsia="zh-CN" w:bidi="ar"/>
              </w:rPr>
              <w:t>)</w:t>
            </w:r>
          </w:p>
        </w:tc>
        <w:tc>
          <w:tcPr>
            <w:tcW w:w="1274" w:type="pct"/>
            <w:vMerge w:val="restart"/>
            <w:tcMar>
              <w:top w:w="0" w:type="dxa"/>
              <w:left w:w="0" w:type="dxa"/>
              <w:bottom w:w="0" w:type="dxa"/>
              <w:right w:w="0" w:type="dxa"/>
            </w:tcMar>
            <w:vAlign w:val="center"/>
          </w:tcPr>
          <w:p w14:paraId="1B5FCF31" w14:textId="77777777" w:rsidR="001C08A5" w:rsidRDefault="00000000">
            <w:pPr>
              <w:jc w:val="center"/>
              <w:rPr>
                <w:rFonts w:eastAsia="Calibri"/>
                <w:i/>
                <w:sz w:val="21"/>
                <w:szCs w:val="21"/>
              </w:rPr>
            </w:pPr>
            <w:r>
              <w:rPr>
                <w:rFonts w:eastAsia="Calibri"/>
                <w:i/>
                <w:sz w:val="21"/>
                <w:szCs w:val="21"/>
              </w:rPr>
              <w:t>Conform prevederilor de la </w:t>
            </w:r>
            <w:hyperlink r:id="rId530" w:anchor="p-64276371" w:tgtFrame="https://lege5.ro/Gratuit/geydkmzrge2a/_blank" w:history="1">
              <w:r>
                <w:rPr>
                  <w:rFonts w:eastAsia="Calibri"/>
                  <w:i/>
                  <w:sz w:val="21"/>
                  <w:szCs w:val="21"/>
                  <w:u w:val="single"/>
                </w:rPr>
                <w:t>pct. 2.6.4.5</w:t>
              </w:r>
            </w:hyperlink>
            <w:r>
              <w:rPr>
                <w:rFonts w:eastAsia="Calibri"/>
                <w:i/>
                <w:sz w:val="21"/>
                <w:szCs w:val="21"/>
              </w:rPr>
              <w:t> din anexa I la Regulamentul (CE) nr. 1.272/2008, lichidele cu un punct de aprindere de peste 35°C nu este necesar să fie clasificate în categoria 3 dacă s-au obţinut rezultate negative la testul susţinut de combustibilitate L.2., partea III, secţiunea 32 din Manualul ONU de teste şi criterii. Acest lucru nu este valabil în condiţii aparte, cum ar fi temperaturi sau presiuni ridicate, şi, prin urmare, astfel de lichide sunt incluse la această categorie.</w:t>
            </w:r>
          </w:p>
        </w:tc>
      </w:tr>
      <w:tr w:rsidR="001C08A5" w14:paraId="3253526F" w14:textId="77777777">
        <w:trPr>
          <w:trHeight w:val="1605"/>
        </w:trPr>
        <w:tc>
          <w:tcPr>
            <w:tcW w:w="778" w:type="pct"/>
            <w:tcMar>
              <w:top w:w="0" w:type="dxa"/>
              <w:left w:w="0" w:type="dxa"/>
              <w:bottom w:w="0" w:type="dxa"/>
              <w:right w:w="0" w:type="dxa"/>
            </w:tcMar>
            <w:vAlign w:val="center"/>
          </w:tcPr>
          <w:p w14:paraId="166FB712"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P5b </w:t>
            </w:r>
          </w:p>
          <w:p w14:paraId="56CEEDE7" w14:textId="77777777" w:rsidR="001C08A5" w:rsidRDefault="00000000">
            <w:pPr>
              <w:rPr>
                <w:rFonts w:eastAsia="Calibri"/>
                <w:b/>
                <w:bCs/>
                <w:i/>
                <w:sz w:val="21"/>
                <w:szCs w:val="21"/>
              </w:rPr>
            </w:pPr>
            <w:r>
              <w:rPr>
                <w:rFonts w:eastAsia="Calibri"/>
                <w:b/>
                <w:bCs/>
                <w:i/>
                <w:sz w:val="21"/>
                <w:szCs w:val="21"/>
                <w:lang w:val="en-US" w:eastAsia="zh-CN" w:bidi="ar"/>
              </w:rPr>
              <w:t>LICHIDE INFLAMABILE</w:t>
            </w:r>
            <w:r>
              <w:rPr>
                <w:rFonts w:eastAsia="Calibri"/>
                <w:b/>
                <w:bCs/>
                <w:i/>
                <w:sz w:val="21"/>
                <w:szCs w:val="21"/>
                <w:lang w:val="en-US" w:eastAsia="zh-CN" w:bidi="ar"/>
              </w:rPr>
              <w:br/>
            </w:r>
          </w:p>
        </w:tc>
        <w:tc>
          <w:tcPr>
            <w:tcW w:w="1456" w:type="pct"/>
            <w:tcMar>
              <w:top w:w="0" w:type="dxa"/>
              <w:left w:w="0" w:type="dxa"/>
              <w:bottom w:w="0" w:type="dxa"/>
              <w:right w:w="0" w:type="dxa"/>
            </w:tcMar>
            <w:vAlign w:val="center"/>
          </w:tcPr>
          <w:p w14:paraId="5B8991E1"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47AE5235" w14:textId="77777777" w:rsidR="001C08A5" w:rsidRDefault="00000000">
            <w:pPr>
              <w:jc w:val="center"/>
              <w:rPr>
                <w:rFonts w:eastAsia="Calibri"/>
                <w:i/>
                <w:sz w:val="21"/>
                <w:szCs w:val="21"/>
              </w:rPr>
            </w:pPr>
            <w:r>
              <w:rPr>
                <w:rFonts w:eastAsia="Calibri"/>
                <w:i/>
                <w:sz w:val="21"/>
                <w:szCs w:val="21"/>
                <w:lang w:val="en-US" w:eastAsia="zh-CN" w:bidi="ar"/>
              </w:rPr>
              <w:t>- Lichide inflamabile de categoria 2 sau 3 în cazul cărora anumite condiţii de procesare, cum ar fi presiune înaltă sau temperatură ridicată, pot crea pericole de accidente majore; sau</w:t>
            </w:r>
            <w:r>
              <w:rPr>
                <w:rFonts w:eastAsia="Calibri"/>
                <w:i/>
                <w:sz w:val="21"/>
                <w:szCs w:val="21"/>
                <w:lang w:val="en-US" w:eastAsia="zh-CN" w:bidi="ar"/>
              </w:rPr>
              <w:br/>
              <w:t>- Alte lichide cu punct de aprindere ≤60°C în cazul cărora anumite condiţii de procesare, cum ar fi presiune înaltă sau temperatură ridicată, pot crea pericole de accidente majore (a se vedea nota)</w:t>
            </w:r>
          </w:p>
        </w:tc>
        <w:tc>
          <w:tcPr>
            <w:tcW w:w="1274" w:type="pct"/>
            <w:vMerge/>
            <w:tcMar>
              <w:top w:w="0" w:type="dxa"/>
              <w:left w:w="0" w:type="dxa"/>
              <w:bottom w:w="0" w:type="dxa"/>
              <w:right w:w="0" w:type="dxa"/>
            </w:tcMar>
            <w:vAlign w:val="center"/>
          </w:tcPr>
          <w:p w14:paraId="0594A38F" w14:textId="77777777" w:rsidR="001C08A5" w:rsidRDefault="001C08A5">
            <w:pPr>
              <w:jc w:val="center"/>
              <w:rPr>
                <w:rFonts w:eastAsia="Calibri"/>
                <w:i/>
                <w:sz w:val="21"/>
                <w:szCs w:val="21"/>
              </w:rPr>
            </w:pPr>
          </w:p>
        </w:tc>
      </w:tr>
      <w:tr w:rsidR="001C08A5" w14:paraId="23F42E89" w14:textId="77777777">
        <w:trPr>
          <w:trHeight w:val="555"/>
        </w:trPr>
        <w:tc>
          <w:tcPr>
            <w:tcW w:w="778" w:type="pct"/>
            <w:tcMar>
              <w:top w:w="0" w:type="dxa"/>
              <w:left w:w="0" w:type="dxa"/>
              <w:bottom w:w="0" w:type="dxa"/>
              <w:right w:w="0" w:type="dxa"/>
            </w:tcMar>
            <w:vAlign w:val="center"/>
          </w:tcPr>
          <w:p w14:paraId="418E299E"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P5c </w:t>
            </w:r>
          </w:p>
          <w:p w14:paraId="05DF5C35" w14:textId="77777777" w:rsidR="001C08A5" w:rsidRDefault="00000000">
            <w:pPr>
              <w:rPr>
                <w:rFonts w:eastAsia="Calibri"/>
                <w:b/>
                <w:bCs/>
                <w:i/>
                <w:sz w:val="21"/>
                <w:szCs w:val="21"/>
              </w:rPr>
            </w:pPr>
            <w:r>
              <w:rPr>
                <w:rFonts w:eastAsia="Calibri"/>
                <w:b/>
                <w:bCs/>
                <w:i/>
                <w:sz w:val="21"/>
                <w:szCs w:val="21"/>
                <w:lang w:val="en-US" w:eastAsia="zh-CN" w:bidi="ar"/>
              </w:rPr>
              <w:t>LICHIDE INFLAMABILE</w:t>
            </w:r>
            <w:r>
              <w:rPr>
                <w:rFonts w:eastAsia="Calibri"/>
                <w:b/>
                <w:bCs/>
                <w:i/>
                <w:sz w:val="21"/>
                <w:szCs w:val="21"/>
                <w:lang w:val="en-US" w:eastAsia="zh-CN" w:bidi="ar"/>
              </w:rPr>
              <w:br/>
            </w:r>
          </w:p>
        </w:tc>
        <w:tc>
          <w:tcPr>
            <w:tcW w:w="1456" w:type="pct"/>
            <w:tcMar>
              <w:top w:w="0" w:type="dxa"/>
              <w:left w:w="0" w:type="dxa"/>
              <w:bottom w:w="0" w:type="dxa"/>
              <w:right w:w="0" w:type="dxa"/>
            </w:tcMar>
            <w:vAlign w:val="center"/>
          </w:tcPr>
          <w:p w14:paraId="64E10D81"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28D00D2B" w14:textId="77777777" w:rsidR="001C08A5" w:rsidRDefault="00000000">
            <w:pPr>
              <w:jc w:val="center"/>
              <w:rPr>
                <w:rFonts w:eastAsia="Calibri"/>
                <w:i/>
                <w:sz w:val="21"/>
                <w:szCs w:val="21"/>
              </w:rPr>
            </w:pPr>
            <w:r>
              <w:rPr>
                <w:rFonts w:eastAsia="Calibri"/>
                <w:i/>
                <w:sz w:val="21"/>
                <w:szCs w:val="21"/>
                <w:lang w:val="en-US" w:eastAsia="zh-CN" w:bidi="ar"/>
              </w:rPr>
              <w:t>Lichide inflamabile, categoria 2 sau 3, care nu sunt incluse în P5a şi P5b</w:t>
            </w:r>
          </w:p>
        </w:tc>
        <w:tc>
          <w:tcPr>
            <w:tcW w:w="1274" w:type="pct"/>
            <w:tcMar>
              <w:top w:w="0" w:type="dxa"/>
              <w:left w:w="0" w:type="dxa"/>
              <w:bottom w:w="0" w:type="dxa"/>
              <w:right w:w="0" w:type="dxa"/>
            </w:tcMar>
            <w:vAlign w:val="center"/>
          </w:tcPr>
          <w:p w14:paraId="5095F566" w14:textId="77777777" w:rsidR="001C08A5" w:rsidRDefault="00000000">
            <w:pPr>
              <w:jc w:val="center"/>
              <w:rPr>
                <w:rFonts w:eastAsia="Calibri"/>
                <w:i/>
                <w:sz w:val="21"/>
                <w:szCs w:val="21"/>
              </w:rPr>
            </w:pPr>
            <w:r>
              <w:rPr>
                <w:rFonts w:eastAsia="Calibri"/>
                <w:i/>
                <w:sz w:val="21"/>
                <w:szCs w:val="21"/>
              </w:rPr>
              <w:t>-</w:t>
            </w:r>
          </w:p>
        </w:tc>
      </w:tr>
      <w:tr w:rsidR="001C08A5" w14:paraId="73530F69" w14:textId="77777777">
        <w:trPr>
          <w:trHeight w:val="765"/>
        </w:trPr>
        <w:tc>
          <w:tcPr>
            <w:tcW w:w="778" w:type="pct"/>
            <w:tcMar>
              <w:top w:w="0" w:type="dxa"/>
              <w:left w:w="0" w:type="dxa"/>
              <w:bottom w:w="0" w:type="dxa"/>
              <w:right w:w="0" w:type="dxa"/>
            </w:tcMar>
            <w:vAlign w:val="center"/>
          </w:tcPr>
          <w:p w14:paraId="69AA077F"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P6a </w:t>
            </w:r>
          </w:p>
          <w:p w14:paraId="3AEE8926" w14:textId="77777777" w:rsidR="001C08A5" w:rsidRDefault="00000000">
            <w:pPr>
              <w:rPr>
                <w:rFonts w:eastAsia="Calibri"/>
                <w:b/>
                <w:bCs/>
                <w:i/>
                <w:sz w:val="21"/>
                <w:szCs w:val="21"/>
              </w:rPr>
            </w:pPr>
            <w:r>
              <w:rPr>
                <w:rFonts w:eastAsia="Calibri"/>
                <w:b/>
                <w:bCs/>
                <w:i/>
                <w:sz w:val="21"/>
                <w:szCs w:val="21"/>
                <w:lang w:val="en-US" w:eastAsia="zh-CN" w:bidi="ar"/>
              </w:rPr>
              <w:t>SUBSTANŢE ŞI AMESTECURI AUTOREACTIVE şi PEROXIZI ORGANICI</w:t>
            </w:r>
            <w:r>
              <w:rPr>
                <w:rFonts w:eastAsia="Calibri"/>
                <w:b/>
                <w:bCs/>
                <w:i/>
                <w:sz w:val="21"/>
                <w:szCs w:val="21"/>
                <w:lang w:val="en-US" w:eastAsia="zh-CN" w:bidi="ar"/>
              </w:rPr>
              <w:br/>
            </w:r>
          </w:p>
        </w:tc>
        <w:tc>
          <w:tcPr>
            <w:tcW w:w="1456" w:type="pct"/>
            <w:tcMar>
              <w:top w:w="0" w:type="dxa"/>
              <w:left w:w="0" w:type="dxa"/>
              <w:bottom w:w="0" w:type="dxa"/>
              <w:right w:w="0" w:type="dxa"/>
            </w:tcMar>
            <w:vAlign w:val="center"/>
          </w:tcPr>
          <w:p w14:paraId="6C1053DD"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496E360D" w14:textId="77777777" w:rsidR="001C08A5" w:rsidRDefault="00000000">
            <w:pPr>
              <w:jc w:val="center"/>
              <w:rPr>
                <w:rFonts w:eastAsia="Calibri"/>
                <w:i/>
                <w:sz w:val="21"/>
                <w:szCs w:val="21"/>
              </w:rPr>
            </w:pPr>
            <w:r>
              <w:rPr>
                <w:rFonts w:eastAsia="Calibri"/>
                <w:i/>
                <w:sz w:val="21"/>
                <w:szCs w:val="21"/>
                <w:lang w:val="en-US" w:eastAsia="zh-CN" w:bidi="ar"/>
              </w:rPr>
              <w:t>Substanţe şi amestecuri autoreactive, tipul A sau B, sau peroxizi organici, tipul A sau B</w:t>
            </w:r>
          </w:p>
        </w:tc>
        <w:tc>
          <w:tcPr>
            <w:tcW w:w="1274" w:type="pct"/>
            <w:tcMar>
              <w:top w:w="0" w:type="dxa"/>
              <w:left w:w="0" w:type="dxa"/>
              <w:bottom w:w="0" w:type="dxa"/>
              <w:right w:w="0" w:type="dxa"/>
            </w:tcMar>
            <w:vAlign w:val="center"/>
          </w:tcPr>
          <w:p w14:paraId="241C78CD" w14:textId="77777777" w:rsidR="001C08A5" w:rsidRDefault="00000000">
            <w:pPr>
              <w:jc w:val="center"/>
              <w:rPr>
                <w:rFonts w:eastAsia="Calibri"/>
                <w:i/>
                <w:sz w:val="21"/>
                <w:szCs w:val="21"/>
              </w:rPr>
            </w:pPr>
            <w:r>
              <w:rPr>
                <w:rFonts w:eastAsia="Calibri"/>
                <w:i/>
                <w:sz w:val="21"/>
                <w:szCs w:val="21"/>
              </w:rPr>
              <w:t>-</w:t>
            </w:r>
          </w:p>
        </w:tc>
      </w:tr>
      <w:tr w:rsidR="001C08A5" w14:paraId="296A89FB" w14:textId="77777777">
        <w:trPr>
          <w:trHeight w:val="765"/>
        </w:trPr>
        <w:tc>
          <w:tcPr>
            <w:tcW w:w="778" w:type="pct"/>
            <w:tcMar>
              <w:top w:w="0" w:type="dxa"/>
              <w:left w:w="0" w:type="dxa"/>
              <w:bottom w:w="0" w:type="dxa"/>
              <w:right w:w="0" w:type="dxa"/>
            </w:tcMar>
            <w:vAlign w:val="center"/>
          </w:tcPr>
          <w:p w14:paraId="54831F29"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P6b </w:t>
            </w:r>
          </w:p>
          <w:p w14:paraId="454F5703" w14:textId="77777777" w:rsidR="001C08A5" w:rsidRDefault="00000000">
            <w:pPr>
              <w:rPr>
                <w:rFonts w:eastAsia="Calibri"/>
                <w:b/>
                <w:bCs/>
                <w:i/>
                <w:sz w:val="21"/>
                <w:szCs w:val="21"/>
              </w:rPr>
            </w:pPr>
            <w:r>
              <w:rPr>
                <w:rFonts w:eastAsia="Calibri"/>
                <w:b/>
                <w:bCs/>
                <w:i/>
                <w:sz w:val="21"/>
                <w:szCs w:val="21"/>
                <w:lang w:val="en-US" w:eastAsia="zh-CN" w:bidi="ar"/>
              </w:rPr>
              <w:t>SUBSTANŢE ŞI AMESTECURI AUTOREACTIVE şi PEROXIZI ORGANICI</w:t>
            </w:r>
            <w:r>
              <w:rPr>
                <w:rFonts w:eastAsia="Calibri"/>
                <w:b/>
                <w:bCs/>
                <w:i/>
                <w:sz w:val="21"/>
                <w:szCs w:val="21"/>
                <w:lang w:val="en-US" w:eastAsia="zh-CN" w:bidi="ar"/>
              </w:rPr>
              <w:br/>
            </w:r>
          </w:p>
        </w:tc>
        <w:tc>
          <w:tcPr>
            <w:tcW w:w="1456" w:type="pct"/>
            <w:tcMar>
              <w:top w:w="0" w:type="dxa"/>
              <w:left w:w="0" w:type="dxa"/>
              <w:bottom w:w="0" w:type="dxa"/>
              <w:right w:w="0" w:type="dxa"/>
            </w:tcMar>
            <w:vAlign w:val="center"/>
          </w:tcPr>
          <w:p w14:paraId="0FC9F63E"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51F86E6E" w14:textId="77777777" w:rsidR="001C08A5" w:rsidRDefault="00000000">
            <w:pPr>
              <w:jc w:val="center"/>
              <w:rPr>
                <w:rFonts w:eastAsia="Calibri"/>
                <w:i/>
                <w:sz w:val="21"/>
                <w:szCs w:val="21"/>
              </w:rPr>
            </w:pPr>
            <w:r>
              <w:rPr>
                <w:rFonts w:eastAsia="Calibri"/>
                <w:i/>
                <w:sz w:val="21"/>
                <w:szCs w:val="21"/>
                <w:lang w:val="en-US" w:eastAsia="zh-CN" w:bidi="ar"/>
              </w:rPr>
              <w:t>Substanţe şi amestecuri autoreactive, tipul C, D, E sau F, ori peroxizi organici, tipul C, D, E sau F</w:t>
            </w:r>
          </w:p>
        </w:tc>
        <w:tc>
          <w:tcPr>
            <w:tcW w:w="1274" w:type="pct"/>
            <w:tcMar>
              <w:top w:w="0" w:type="dxa"/>
              <w:left w:w="0" w:type="dxa"/>
              <w:bottom w:w="0" w:type="dxa"/>
              <w:right w:w="0" w:type="dxa"/>
            </w:tcMar>
            <w:vAlign w:val="center"/>
          </w:tcPr>
          <w:p w14:paraId="42B15DDC" w14:textId="77777777" w:rsidR="001C08A5" w:rsidRDefault="00000000">
            <w:pPr>
              <w:jc w:val="center"/>
              <w:rPr>
                <w:rFonts w:eastAsia="Calibri"/>
                <w:i/>
                <w:sz w:val="21"/>
                <w:szCs w:val="21"/>
              </w:rPr>
            </w:pPr>
            <w:r>
              <w:rPr>
                <w:rFonts w:eastAsia="Calibri"/>
                <w:i/>
                <w:sz w:val="21"/>
                <w:szCs w:val="21"/>
              </w:rPr>
              <w:t>-</w:t>
            </w:r>
          </w:p>
        </w:tc>
      </w:tr>
      <w:tr w:rsidR="001C08A5" w14:paraId="716DC2E4" w14:textId="77777777">
        <w:trPr>
          <w:trHeight w:val="765"/>
        </w:trPr>
        <w:tc>
          <w:tcPr>
            <w:tcW w:w="778" w:type="pct"/>
            <w:tcMar>
              <w:top w:w="0" w:type="dxa"/>
              <w:left w:w="0" w:type="dxa"/>
              <w:bottom w:w="0" w:type="dxa"/>
              <w:right w:w="0" w:type="dxa"/>
            </w:tcMar>
            <w:vAlign w:val="center"/>
          </w:tcPr>
          <w:p w14:paraId="773C197A"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P7 </w:t>
            </w:r>
          </w:p>
          <w:p w14:paraId="57AA5F78" w14:textId="77777777" w:rsidR="001C08A5" w:rsidRDefault="00000000">
            <w:pPr>
              <w:rPr>
                <w:rFonts w:eastAsia="Calibri"/>
                <w:b/>
                <w:bCs/>
                <w:i/>
                <w:sz w:val="21"/>
                <w:szCs w:val="21"/>
              </w:rPr>
            </w:pPr>
            <w:r>
              <w:rPr>
                <w:rFonts w:eastAsia="Calibri"/>
                <w:b/>
                <w:bCs/>
                <w:i/>
                <w:sz w:val="21"/>
                <w:szCs w:val="21"/>
                <w:lang w:val="en-US" w:eastAsia="zh-CN" w:bidi="ar"/>
              </w:rPr>
              <w:t>LICHIDE ŞI SOLIDE PIROFORICE</w:t>
            </w:r>
            <w:r>
              <w:rPr>
                <w:rFonts w:eastAsia="Calibri"/>
                <w:b/>
                <w:bCs/>
                <w:i/>
                <w:sz w:val="21"/>
                <w:szCs w:val="21"/>
                <w:lang w:val="en-US" w:eastAsia="zh-CN" w:bidi="ar"/>
              </w:rPr>
              <w:br/>
            </w:r>
          </w:p>
        </w:tc>
        <w:tc>
          <w:tcPr>
            <w:tcW w:w="1456" w:type="pct"/>
            <w:tcMar>
              <w:top w:w="0" w:type="dxa"/>
              <w:left w:w="0" w:type="dxa"/>
              <w:bottom w:w="0" w:type="dxa"/>
              <w:right w:w="0" w:type="dxa"/>
            </w:tcMar>
            <w:vAlign w:val="center"/>
          </w:tcPr>
          <w:p w14:paraId="3E1D6C10"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09C78A1E" w14:textId="77777777" w:rsidR="001C08A5" w:rsidRDefault="00000000">
            <w:pPr>
              <w:jc w:val="center"/>
              <w:rPr>
                <w:rFonts w:eastAsia="Calibri"/>
                <w:i/>
                <w:sz w:val="21"/>
                <w:szCs w:val="21"/>
              </w:rPr>
            </w:pPr>
            <w:r>
              <w:rPr>
                <w:rFonts w:eastAsia="Calibri"/>
                <w:i/>
                <w:sz w:val="21"/>
                <w:szCs w:val="21"/>
                <w:lang w:val="en-US" w:eastAsia="zh-CN" w:bidi="ar"/>
              </w:rPr>
              <w:t>Lichide piroforice, categoria 1</w:t>
            </w:r>
            <w:r>
              <w:rPr>
                <w:rFonts w:eastAsia="Calibri"/>
                <w:i/>
                <w:sz w:val="21"/>
                <w:szCs w:val="21"/>
                <w:lang w:val="en-US" w:eastAsia="zh-CN" w:bidi="ar"/>
              </w:rPr>
              <w:br/>
              <w:t>Solide piroforice, categoria 1</w:t>
            </w:r>
          </w:p>
        </w:tc>
        <w:tc>
          <w:tcPr>
            <w:tcW w:w="1274" w:type="pct"/>
            <w:tcMar>
              <w:top w:w="0" w:type="dxa"/>
              <w:left w:w="0" w:type="dxa"/>
              <w:bottom w:w="0" w:type="dxa"/>
              <w:right w:w="0" w:type="dxa"/>
            </w:tcMar>
            <w:vAlign w:val="center"/>
          </w:tcPr>
          <w:p w14:paraId="470A4E61" w14:textId="77777777" w:rsidR="001C08A5" w:rsidRDefault="00000000">
            <w:pPr>
              <w:jc w:val="center"/>
              <w:rPr>
                <w:rFonts w:eastAsia="Calibri"/>
                <w:i/>
                <w:sz w:val="21"/>
                <w:szCs w:val="21"/>
              </w:rPr>
            </w:pPr>
            <w:r>
              <w:rPr>
                <w:rFonts w:eastAsia="Calibri"/>
                <w:i/>
                <w:sz w:val="21"/>
                <w:szCs w:val="21"/>
              </w:rPr>
              <w:t>-</w:t>
            </w:r>
          </w:p>
        </w:tc>
      </w:tr>
      <w:tr w:rsidR="001C08A5" w14:paraId="7F9066AB" w14:textId="77777777">
        <w:trPr>
          <w:trHeight w:val="765"/>
        </w:trPr>
        <w:tc>
          <w:tcPr>
            <w:tcW w:w="778" w:type="pct"/>
            <w:tcMar>
              <w:top w:w="0" w:type="dxa"/>
              <w:left w:w="0" w:type="dxa"/>
              <w:bottom w:w="0" w:type="dxa"/>
              <w:right w:w="0" w:type="dxa"/>
            </w:tcMar>
            <w:vAlign w:val="center"/>
          </w:tcPr>
          <w:p w14:paraId="1ADA9500"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P8 </w:t>
            </w:r>
          </w:p>
          <w:p w14:paraId="4E92D154" w14:textId="77777777" w:rsidR="001C08A5" w:rsidRDefault="00000000">
            <w:pPr>
              <w:rPr>
                <w:rFonts w:eastAsia="Calibri"/>
                <w:b/>
                <w:bCs/>
                <w:i/>
                <w:sz w:val="21"/>
                <w:szCs w:val="21"/>
              </w:rPr>
            </w:pPr>
            <w:r>
              <w:rPr>
                <w:rFonts w:eastAsia="Calibri"/>
                <w:b/>
                <w:bCs/>
                <w:i/>
                <w:sz w:val="21"/>
                <w:szCs w:val="21"/>
                <w:lang w:val="en-US" w:eastAsia="zh-CN" w:bidi="ar"/>
              </w:rPr>
              <w:t>LICHIDE ŞI SOLIDE OXIDANTE</w:t>
            </w:r>
            <w:r>
              <w:rPr>
                <w:rFonts w:eastAsia="Calibri"/>
                <w:b/>
                <w:bCs/>
                <w:i/>
                <w:sz w:val="21"/>
                <w:szCs w:val="21"/>
                <w:lang w:val="en-US" w:eastAsia="zh-CN" w:bidi="ar"/>
              </w:rPr>
              <w:br/>
            </w:r>
          </w:p>
        </w:tc>
        <w:tc>
          <w:tcPr>
            <w:tcW w:w="1456" w:type="pct"/>
            <w:tcMar>
              <w:top w:w="0" w:type="dxa"/>
              <w:left w:w="0" w:type="dxa"/>
              <w:bottom w:w="0" w:type="dxa"/>
              <w:right w:w="0" w:type="dxa"/>
            </w:tcMar>
            <w:vAlign w:val="center"/>
          </w:tcPr>
          <w:p w14:paraId="7175636C"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3F741341" w14:textId="77777777" w:rsidR="001C08A5" w:rsidRDefault="00000000">
            <w:pPr>
              <w:jc w:val="center"/>
              <w:rPr>
                <w:rFonts w:eastAsia="Calibri"/>
                <w:i/>
                <w:sz w:val="21"/>
                <w:szCs w:val="21"/>
              </w:rPr>
            </w:pPr>
            <w:r>
              <w:rPr>
                <w:rFonts w:eastAsia="Calibri"/>
                <w:i/>
                <w:sz w:val="21"/>
                <w:szCs w:val="21"/>
                <w:lang w:val="en-US" w:eastAsia="zh-CN" w:bidi="ar"/>
              </w:rPr>
              <w:t>Lichide oxidante, categoria 1, 2 sau 3; ori</w:t>
            </w:r>
            <w:r>
              <w:rPr>
                <w:rFonts w:eastAsia="Calibri"/>
                <w:i/>
                <w:sz w:val="21"/>
                <w:szCs w:val="21"/>
                <w:lang w:val="en-US" w:eastAsia="zh-CN" w:bidi="ar"/>
              </w:rPr>
              <w:br/>
              <w:t>Solide oxidante, categoria 1, 2 sau 3</w:t>
            </w:r>
          </w:p>
        </w:tc>
        <w:tc>
          <w:tcPr>
            <w:tcW w:w="1274" w:type="pct"/>
            <w:tcMar>
              <w:top w:w="0" w:type="dxa"/>
              <w:left w:w="0" w:type="dxa"/>
              <w:bottom w:w="0" w:type="dxa"/>
              <w:right w:w="0" w:type="dxa"/>
            </w:tcMar>
            <w:vAlign w:val="center"/>
          </w:tcPr>
          <w:p w14:paraId="6313898A" w14:textId="77777777" w:rsidR="001C08A5" w:rsidRDefault="00000000">
            <w:pPr>
              <w:jc w:val="center"/>
              <w:rPr>
                <w:rFonts w:eastAsia="Calibri"/>
                <w:i/>
                <w:sz w:val="21"/>
                <w:szCs w:val="21"/>
              </w:rPr>
            </w:pPr>
            <w:r>
              <w:rPr>
                <w:rFonts w:eastAsia="Calibri"/>
                <w:i/>
                <w:sz w:val="21"/>
                <w:szCs w:val="21"/>
              </w:rPr>
              <w:t>-</w:t>
            </w:r>
          </w:p>
        </w:tc>
      </w:tr>
      <w:tr w:rsidR="001C08A5" w14:paraId="384028E9" w14:textId="77777777">
        <w:trPr>
          <w:trHeight w:val="345"/>
        </w:trPr>
        <w:tc>
          <w:tcPr>
            <w:tcW w:w="778" w:type="pct"/>
            <w:tcMar>
              <w:top w:w="0" w:type="dxa"/>
              <w:left w:w="0" w:type="dxa"/>
              <w:bottom w:w="0" w:type="dxa"/>
              <w:right w:w="0" w:type="dxa"/>
            </w:tcMar>
            <w:vAlign w:val="center"/>
          </w:tcPr>
          <w:p w14:paraId="61BFB1C5" w14:textId="77777777" w:rsidR="001C08A5" w:rsidRDefault="00000000">
            <w:pPr>
              <w:rPr>
                <w:rFonts w:eastAsia="Calibri"/>
                <w:b/>
                <w:bCs/>
                <w:i/>
                <w:sz w:val="21"/>
                <w:szCs w:val="21"/>
              </w:rPr>
            </w:pPr>
            <w:r>
              <w:rPr>
                <w:rFonts w:eastAsia="Calibri"/>
                <w:b/>
                <w:bCs/>
                <w:i/>
                <w:sz w:val="21"/>
                <w:szCs w:val="21"/>
                <w:lang w:val="en-US" w:eastAsia="zh-CN" w:bidi="ar"/>
              </w:rPr>
              <w:lastRenderedPageBreak/>
              <w:t>Substanţe sau amestecuri cu frază de pericol EUH001 – „Exploziv în stare uscată”</w:t>
            </w:r>
          </w:p>
        </w:tc>
        <w:tc>
          <w:tcPr>
            <w:tcW w:w="1456" w:type="pct"/>
            <w:tcMar>
              <w:top w:w="0" w:type="dxa"/>
              <w:left w:w="0" w:type="dxa"/>
              <w:bottom w:w="0" w:type="dxa"/>
              <w:right w:w="0" w:type="dxa"/>
            </w:tcMar>
            <w:vAlign w:val="center"/>
          </w:tcPr>
          <w:p w14:paraId="1213B1F4"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189E99E3" w14:textId="77777777" w:rsidR="001C08A5" w:rsidRDefault="00000000">
            <w:pPr>
              <w:jc w:val="center"/>
              <w:rPr>
                <w:rFonts w:eastAsia="EUAlbertina"/>
                <w:i/>
                <w:sz w:val="21"/>
                <w:szCs w:val="21"/>
              </w:rPr>
            </w:pPr>
            <w:r>
              <w:rPr>
                <w:rFonts w:eastAsia="EUAlbertina"/>
                <w:i/>
                <w:sz w:val="21"/>
                <w:szCs w:val="21"/>
              </w:rPr>
              <w:t>Pentru substan</w:t>
            </w:r>
            <w:r>
              <w:rPr>
                <w:rFonts w:eastAsia="EUAlbertina+01"/>
                <w:i/>
                <w:sz w:val="21"/>
                <w:szCs w:val="21"/>
              </w:rPr>
              <w:t>ţ</w:t>
            </w:r>
            <w:r>
              <w:rPr>
                <w:rFonts w:eastAsia="EUAlbertina"/>
                <w:i/>
                <w:sz w:val="21"/>
                <w:szCs w:val="21"/>
              </w:rPr>
              <w:t xml:space="preserve">ele </w:t>
            </w:r>
            <w:r>
              <w:rPr>
                <w:rFonts w:eastAsia="EUAlbertina+01"/>
                <w:i/>
                <w:sz w:val="21"/>
                <w:szCs w:val="21"/>
              </w:rPr>
              <w:t>ş</w:t>
            </w:r>
            <w:r>
              <w:rPr>
                <w:rFonts w:eastAsia="EUAlbertina"/>
                <w:i/>
                <w:sz w:val="21"/>
                <w:szCs w:val="21"/>
              </w:rPr>
              <w:t>i amestecurile explozive, men</w:t>
            </w:r>
            <w:r>
              <w:rPr>
                <w:rFonts w:eastAsia="EUAlbertina+01"/>
                <w:i/>
                <w:sz w:val="21"/>
                <w:szCs w:val="21"/>
              </w:rPr>
              <w:t>ţ</w:t>
            </w:r>
            <w:r>
              <w:rPr>
                <w:rFonts w:eastAsia="EUAlbertina"/>
                <w:i/>
                <w:sz w:val="21"/>
                <w:szCs w:val="21"/>
              </w:rPr>
              <w:t>ionate în sec</w:t>
            </w:r>
            <w:r>
              <w:rPr>
                <w:rFonts w:eastAsia="EUAlbertina+01"/>
                <w:i/>
                <w:sz w:val="21"/>
                <w:szCs w:val="21"/>
              </w:rPr>
              <w:t>ţ</w:t>
            </w:r>
            <w:r>
              <w:rPr>
                <w:rFonts w:eastAsia="EUAlbertina"/>
                <w:i/>
                <w:sz w:val="21"/>
                <w:szCs w:val="21"/>
              </w:rPr>
              <w:t>iunea 2.1 din anexa I, introduse pe pia</w:t>
            </w:r>
            <w:r>
              <w:rPr>
                <w:rFonts w:eastAsia="EUAlbertina+01"/>
                <w:i/>
                <w:sz w:val="21"/>
                <w:szCs w:val="21"/>
              </w:rPr>
              <w:t xml:space="preserve">ţă </w:t>
            </w:r>
            <w:r>
              <w:rPr>
                <w:rFonts w:eastAsia="EUAlbertina"/>
                <w:i/>
                <w:sz w:val="21"/>
                <w:szCs w:val="21"/>
              </w:rPr>
              <w:t>umezite</w:t>
            </w:r>
          </w:p>
          <w:p w14:paraId="17824E71" w14:textId="77777777" w:rsidR="001C08A5" w:rsidRDefault="00000000">
            <w:pPr>
              <w:jc w:val="center"/>
              <w:rPr>
                <w:rFonts w:eastAsia="Calibri"/>
                <w:i/>
                <w:sz w:val="21"/>
                <w:szCs w:val="21"/>
              </w:rPr>
            </w:pPr>
            <w:r>
              <w:rPr>
                <w:rFonts w:eastAsia="EUAlbertina"/>
                <w:i/>
                <w:sz w:val="21"/>
                <w:szCs w:val="21"/>
              </w:rPr>
              <w:t>cu ap</w:t>
            </w:r>
            <w:r>
              <w:rPr>
                <w:rFonts w:eastAsia="EUAlbertina+01"/>
                <w:i/>
                <w:sz w:val="21"/>
                <w:szCs w:val="21"/>
              </w:rPr>
              <w:t xml:space="preserve">ă </w:t>
            </w:r>
            <w:r>
              <w:rPr>
                <w:rFonts w:eastAsia="EUAlbertina"/>
                <w:i/>
                <w:sz w:val="21"/>
                <w:szCs w:val="21"/>
              </w:rPr>
              <w:t>sau alcool sau diluate cu alte substan</w:t>
            </w:r>
            <w:r>
              <w:rPr>
                <w:rFonts w:eastAsia="EUAlbertina+01"/>
                <w:i/>
                <w:sz w:val="21"/>
                <w:szCs w:val="21"/>
              </w:rPr>
              <w:t>ţ</w:t>
            </w:r>
            <w:r>
              <w:rPr>
                <w:rFonts w:eastAsia="EUAlbertina"/>
                <w:i/>
                <w:sz w:val="21"/>
                <w:szCs w:val="21"/>
              </w:rPr>
              <w:t>e pentru a le neutraliza propriet</w:t>
            </w:r>
            <w:r>
              <w:rPr>
                <w:rFonts w:eastAsia="EUAlbertina+01"/>
                <w:i/>
                <w:sz w:val="21"/>
                <w:szCs w:val="21"/>
              </w:rPr>
              <w:t>ăţ</w:t>
            </w:r>
            <w:r>
              <w:rPr>
                <w:rFonts w:eastAsia="EUAlbertina"/>
                <w:i/>
                <w:sz w:val="21"/>
                <w:szCs w:val="21"/>
              </w:rPr>
              <w:t>ile explozive.</w:t>
            </w:r>
          </w:p>
        </w:tc>
        <w:tc>
          <w:tcPr>
            <w:tcW w:w="1274" w:type="pct"/>
            <w:tcMar>
              <w:top w:w="0" w:type="dxa"/>
              <w:left w:w="0" w:type="dxa"/>
              <w:bottom w:w="0" w:type="dxa"/>
              <w:right w:w="0" w:type="dxa"/>
            </w:tcMar>
            <w:vAlign w:val="center"/>
          </w:tcPr>
          <w:p w14:paraId="7D0808A2" w14:textId="77777777" w:rsidR="001C08A5" w:rsidRDefault="00000000">
            <w:pPr>
              <w:jc w:val="center"/>
              <w:rPr>
                <w:rFonts w:eastAsia="Calibri"/>
                <w:i/>
                <w:sz w:val="21"/>
                <w:szCs w:val="21"/>
              </w:rPr>
            </w:pPr>
            <w:r>
              <w:rPr>
                <w:rFonts w:eastAsia="Calibri"/>
                <w:i/>
                <w:sz w:val="21"/>
                <w:szCs w:val="21"/>
              </w:rPr>
              <w:t>-</w:t>
            </w:r>
          </w:p>
        </w:tc>
      </w:tr>
      <w:tr w:rsidR="001C08A5" w14:paraId="34A020E5" w14:textId="77777777">
        <w:trPr>
          <w:trHeight w:val="345"/>
        </w:trPr>
        <w:tc>
          <w:tcPr>
            <w:tcW w:w="778" w:type="pct"/>
            <w:tcMar>
              <w:top w:w="0" w:type="dxa"/>
              <w:left w:w="0" w:type="dxa"/>
              <w:bottom w:w="0" w:type="dxa"/>
              <w:right w:w="0" w:type="dxa"/>
            </w:tcMar>
            <w:vAlign w:val="center"/>
          </w:tcPr>
          <w:p w14:paraId="106E4871"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Substanţe sau amestecuri cu frază de pericol</w:t>
            </w:r>
          </w:p>
          <w:p w14:paraId="71DDC9B3" w14:textId="77777777" w:rsidR="001C08A5" w:rsidRDefault="00000000">
            <w:pPr>
              <w:rPr>
                <w:rFonts w:eastAsia="Calibri"/>
                <w:b/>
                <w:bCs/>
                <w:i/>
                <w:sz w:val="21"/>
                <w:szCs w:val="21"/>
                <w:lang w:val="en-US" w:eastAsia="zh-CN" w:bidi="ar"/>
              </w:rPr>
            </w:pPr>
            <w:r>
              <w:rPr>
                <w:rFonts w:eastAsia="EUAlbertina_Bold_Italic"/>
                <w:b/>
                <w:bCs/>
                <w:i/>
                <w:sz w:val="21"/>
                <w:szCs w:val="21"/>
              </w:rPr>
              <w:t xml:space="preserve">EUH006 </w:t>
            </w:r>
            <w:r>
              <w:rPr>
                <w:rFonts w:eastAsia="EUAlbertina_Bold_Italic+20"/>
                <w:b/>
                <w:bCs/>
                <w:i/>
                <w:sz w:val="21"/>
                <w:szCs w:val="21"/>
              </w:rPr>
              <w:t>– „</w:t>
            </w:r>
            <w:r>
              <w:rPr>
                <w:rFonts w:eastAsia="EUAlbertina_Bold_Italic"/>
                <w:b/>
                <w:bCs/>
                <w:i/>
                <w:sz w:val="21"/>
                <w:szCs w:val="21"/>
              </w:rPr>
              <w:t>Exploziv în contact sau f</w:t>
            </w:r>
            <w:r>
              <w:rPr>
                <w:rFonts w:eastAsia="EUAlbertina_Bold_Italic+01"/>
                <w:b/>
                <w:bCs/>
                <w:i/>
                <w:sz w:val="21"/>
                <w:szCs w:val="21"/>
              </w:rPr>
              <w:t>ă</w:t>
            </w:r>
            <w:r>
              <w:rPr>
                <w:rFonts w:eastAsia="EUAlbertina_Bold_Italic"/>
                <w:b/>
                <w:bCs/>
                <w:i/>
                <w:sz w:val="21"/>
                <w:szCs w:val="21"/>
              </w:rPr>
              <w:t>r</w:t>
            </w:r>
            <w:r>
              <w:rPr>
                <w:rFonts w:eastAsia="EUAlbertina_Bold_Italic+01"/>
                <w:b/>
                <w:bCs/>
                <w:i/>
                <w:sz w:val="21"/>
                <w:szCs w:val="21"/>
              </w:rPr>
              <w:t xml:space="preserve">ă </w:t>
            </w:r>
            <w:r>
              <w:rPr>
                <w:rFonts w:eastAsia="EUAlbertina_Bold_Italic"/>
                <w:b/>
                <w:bCs/>
                <w:i/>
                <w:sz w:val="21"/>
                <w:szCs w:val="21"/>
              </w:rPr>
              <w:t>contactul cu aerul</w:t>
            </w:r>
            <w:r>
              <w:rPr>
                <w:rFonts w:eastAsia="EUAlbertina_Bold_Italic+20"/>
                <w:b/>
                <w:bCs/>
                <w:i/>
                <w:sz w:val="21"/>
                <w:szCs w:val="21"/>
              </w:rPr>
              <w:t>”</w:t>
            </w:r>
            <w:r>
              <w:rPr>
                <w:rFonts w:eastAsia="Calibri"/>
                <w:b/>
                <w:bCs/>
                <w:i/>
                <w:sz w:val="21"/>
                <w:szCs w:val="21"/>
                <w:lang w:val="en-US" w:eastAsia="zh-CN" w:bidi="ar"/>
              </w:rPr>
              <w:t xml:space="preserve"> </w:t>
            </w:r>
          </w:p>
        </w:tc>
        <w:tc>
          <w:tcPr>
            <w:tcW w:w="1456" w:type="pct"/>
            <w:tcMar>
              <w:top w:w="0" w:type="dxa"/>
              <w:left w:w="0" w:type="dxa"/>
              <w:bottom w:w="0" w:type="dxa"/>
              <w:right w:w="0" w:type="dxa"/>
            </w:tcMar>
            <w:vAlign w:val="center"/>
          </w:tcPr>
          <w:p w14:paraId="648FD023"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7C30AF25" w14:textId="77777777" w:rsidR="001C08A5" w:rsidRDefault="00000000">
            <w:pPr>
              <w:jc w:val="center"/>
              <w:rPr>
                <w:rFonts w:eastAsia="Calibri"/>
                <w:i/>
                <w:sz w:val="21"/>
                <w:szCs w:val="21"/>
              </w:rPr>
            </w:pPr>
            <w:r>
              <w:rPr>
                <w:rFonts w:eastAsia="EUAlbertina"/>
                <w:i/>
                <w:sz w:val="21"/>
                <w:szCs w:val="21"/>
              </w:rPr>
              <w:t>Pentru substan</w:t>
            </w:r>
            <w:r>
              <w:rPr>
                <w:rFonts w:eastAsia="EUAlbertina+01"/>
                <w:i/>
                <w:sz w:val="21"/>
                <w:szCs w:val="21"/>
              </w:rPr>
              <w:t>ţ</w:t>
            </w:r>
            <w:r>
              <w:rPr>
                <w:rFonts w:eastAsia="EUAlbertina"/>
                <w:i/>
                <w:sz w:val="21"/>
                <w:szCs w:val="21"/>
              </w:rPr>
              <w:t xml:space="preserve">ele </w:t>
            </w:r>
            <w:r>
              <w:rPr>
                <w:rFonts w:eastAsia="EUAlbertina+01"/>
                <w:i/>
                <w:sz w:val="21"/>
                <w:szCs w:val="21"/>
              </w:rPr>
              <w:t>ş</w:t>
            </w:r>
            <w:r>
              <w:rPr>
                <w:rFonts w:eastAsia="EUAlbertina"/>
                <w:i/>
                <w:sz w:val="21"/>
                <w:szCs w:val="21"/>
              </w:rPr>
              <w:t>i amestecurile care sunt instabile la temperaturi ambiante, de exemplu acetilena.</w:t>
            </w:r>
          </w:p>
        </w:tc>
        <w:tc>
          <w:tcPr>
            <w:tcW w:w="1274" w:type="pct"/>
            <w:tcMar>
              <w:top w:w="0" w:type="dxa"/>
              <w:left w:w="0" w:type="dxa"/>
              <w:bottom w:w="0" w:type="dxa"/>
              <w:right w:w="0" w:type="dxa"/>
            </w:tcMar>
            <w:vAlign w:val="center"/>
          </w:tcPr>
          <w:p w14:paraId="72BC15E0" w14:textId="77777777" w:rsidR="001C08A5" w:rsidRDefault="00000000">
            <w:pPr>
              <w:jc w:val="center"/>
              <w:rPr>
                <w:rFonts w:eastAsia="Calibri"/>
                <w:i/>
                <w:sz w:val="21"/>
                <w:szCs w:val="21"/>
              </w:rPr>
            </w:pPr>
            <w:r>
              <w:rPr>
                <w:rFonts w:eastAsia="Calibri"/>
                <w:i/>
                <w:sz w:val="21"/>
                <w:szCs w:val="21"/>
              </w:rPr>
              <w:t>-</w:t>
            </w:r>
          </w:p>
        </w:tc>
      </w:tr>
      <w:tr w:rsidR="001C08A5" w14:paraId="0751F7A3" w14:textId="77777777">
        <w:trPr>
          <w:trHeight w:val="345"/>
        </w:trPr>
        <w:tc>
          <w:tcPr>
            <w:tcW w:w="778" w:type="pct"/>
            <w:tcMar>
              <w:top w:w="0" w:type="dxa"/>
              <w:left w:w="0" w:type="dxa"/>
              <w:bottom w:w="0" w:type="dxa"/>
              <w:right w:w="0" w:type="dxa"/>
            </w:tcMar>
            <w:vAlign w:val="center"/>
          </w:tcPr>
          <w:p w14:paraId="7E1AC808"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Substanţe sau amestecuri cu frază de pericol</w:t>
            </w:r>
            <w:r>
              <w:rPr>
                <w:rFonts w:eastAsia="Calibri"/>
                <w:b/>
                <w:bCs/>
                <w:i/>
                <w:sz w:val="21"/>
                <w:szCs w:val="21"/>
                <w:lang w:eastAsia="zh-CN" w:bidi="ar"/>
              </w:rPr>
              <w:t xml:space="preserve"> </w:t>
            </w:r>
            <w:r>
              <w:rPr>
                <w:rFonts w:eastAsia="EUAlbertina_Bold_Italic"/>
                <w:b/>
                <w:bCs/>
                <w:i/>
                <w:sz w:val="21"/>
                <w:szCs w:val="21"/>
              </w:rPr>
              <w:t xml:space="preserve">EUH014 </w:t>
            </w:r>
            <w:r>
              <w:rPr>
                <w:rFonts w:eastAsia="EUAlbertina_Bold_Italic+20"/>
                <w:b/>
                <w:bCs/>
                <w:i/>
                <w:sz w:val="21"/>
                <w:szCs w:val="21"/>
              </w:rPr>
              <w:t>– „</w:t>
            </w:r>
            <w:r>
              <w:rPr>
                <w:rFonts w:eastAsia="EUAlbertina_Bold_Italic"/>
                <w:b/>
                <w:bCs/>
                <w:i/>
                <w:sz w:val="21"/>
                <w:szCs w:val="21"/>
              </w:rPr>
              <w:t>Reac</w:t>
            </w:r>
            <w:r>
              <w:rPr>
                <w:rFonts w:eastAsia="EUAlbertina_Bold_Italic+01"/>
                <w:b/>
                <w:bCs/>
                <w:i/>
                <w:sz w:val="21"/>
                <w:szCs w:val="21"/>
              </w:rPr>
              <w:t>ţ</w:t>
            </w:r>
            <w:r>
              <w:rPr>
                <w:rFonts w:eastAsia="EUAlbertina_Bold_Italic"/>
                <w:b/>
                <w:bCs/>
                <w:i/>
                <w:sz w:val="21"/>
                <w:szCs w:val="21"/>
              </w:rPr>
              <w:t>ioneaz</w:t>
            </w:r>
            <w:r>
              <w:rPr>
                <w:rFonts w:eastAsia="EUAlbertina_Bold_Italic+01"/>
                <w:b/>
                <w:bCs/>
                <w:i/>
                <w:sz w:val="21"/>
                <w:szCs w:val="21"/>
              </w:rPr>
              <w:t xml:space="preserve">ă </w:t>
            </w:r>
            <w:r>
              <w:rPr>
                <w:rFonts w:eastAsia="EUAlbertina_Bold_Italic"/>
                <w:b/>
                <w:bCs/>
                <w:i/>
                <w:sz w:val="21"/>
                <w:szCs w:val="21"/>
              </w:rPr>
              <w:t>violent în contact cu apa</w:t>
            </w:r>
            <w:r>
              <w:rPr>
                <w:rFonts w:eastAsia="EUAlbertina_Bold_Italic+20"/>
                <w:b/>
                <w:bCs/>
                <w:i/>
                <w:sz w:val="21"/>
                <w:szCs w:val="21"/>
              </w:rPr>
              <w:t>”</w:t>
            </w:r>
            <w:r>
              <w:rPr>
                <w:rFonts w:eastAsia="Calibri"/>
                <w:b/>
                <w:bCs/>
                <w:i/>
                <w:sz w:val="21"/>
                <w:szCs w:val="21"/>
                <w:lang w:val="en-US" w:eastAsia="zh-CN" w:bidi="ar"/>
              </w:rPr>
              <w:t xml:space="preserve"> </w:t>
            </w:r>
          </w:p>
        </w:tc>
        <w:tc>
          <w:tcPr>
            <w:tcW w:w="1456" w:type="pct"/>
            <w:tcMar>
              <w:top w:w="0" w:type="dxa"/>
              <w:left w:w="0" w:type="dxa"/>
              <w:bottom w:w="0" w:type="dxa"/>
              <w:right w:w="0" w:type="dxa"/>
            </w:tcMar>
            <w:vAlign w:val="center"/>
          </w:tcPr>
          <w:p w14:paraId="6478C8C0"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08BA52AF" w14:textId="77777777" w:rsidR="001C08A5" w:rsidRDefault="00000000">
            <w:pPr>
              <w:jc w:val="center"/>
              <w:rPr>
                <w:rFonts w:eastAsia="EUAlbertina"/>
                <w:i/>
                <w:sz w:val="21"/>
                <w:szCs w:val="21"/>
              </w:rPr>
            </w:pPr>
            <w:r>
              <w:rPr>
                <w:rFonts w:eastAsia="EUAlbertina"/>
                <w:i/>
                <w:sz w:val="21"/>
                <w:szCs w:val="21"/>
              </w:rPr>
              <w:t>Pentru substan</w:t>
            </w:r>
            <w:r>
              <w:rPr>
                <w:rFonts w:eastAsia="EUAlbertina+01"/>
                <w:i/>
                <w:sz w:val="21"/>
                <w:szCs w:val="21"/>
              </w:rPr>
              <w:t>ţ</w:t>
            </w:r>
            <w:r>
              <w:rPr>
                <w:rFonts w:eastAsia="EUAlbertina"/>
                <w:i/>
                <w:sz w:val="21"/>
                <w:szCs w:val="21"/>
              </w:rPr>
              <w:t xml:space="preserve">ele </w:t>
            </w:r>
            <w:r>
              <w:rPr>
                <w:rFonts w:eastAsia="EUAlbertina+01"/>
                <w:i/>
                <w:sz w:val="21"/>
                <w:szCs w:val="21"/>
              </w:rPr>
              <w:t>ş</w:t>
            </w:r>
            <w:r>
              <w:rPr>
                <w:rFonts w:eastAsia="EUAlbertina"/>
                <w:i/>
                <w:sz w:val="21"/>
                <w:szCs w:val="21"/>
              </w:rPr>
              <w:t>i amestecurile care reac</w:t>
            </w:r>
            <w:r>
              <w:rPr>
                <w:rFonts w:eastAsia="EUAlbertina+01"/>
                <w:i/>
                <w:sz w:val="21"/>
                <w:szCs w:val="21"/>
              </w:rPr>
              <w:t>ţ</w:t>
            </w:r>
            <w:r>
              <w:rPr>
                <w:rFonts w:eastAsia="EUAlbertina"/>
                <w:i/>
                <w:sz w:val="21"/>
                <w:szCs w:val="21"/>
              </w:rPr>
              <w:t>ioneaz</w:t>
            </w:r>
            <w:r>
              <w:rPr>
                <w:rFonts w:eastAsia="EUAlbertina+01"/>
                <w:i/>
                <w:sz w:val="21"/>
                <w:szCs w:val="21"/>
              </w:rPr>
              <w:t xml:space="preserve">ă </w:t>
            </w:r>
            <w:r>
              <w:rPr>
                <w:rFonts w:eastAsia="EUAlbertina"/>
                <w:i/>
                <w:sz w:val="21"/>
                <w:szCs w:val="21"/>
              </w:rPr>
              <w:t>violent în contact cu apa, de exemplu, clorura de acetil,</w:t>
            </w:r>
          </w:p>
          <w:p w14:paraId="6F02AA62" w14:textId="77777777" w:rsidR="001C08A5" w:rsidRDefault="00000000">
            <w:pPr>
              <w:jc w:val="center"/>
              <w:rPr>
                <w:rFonts w:eastAsia="Calibri"/>
                <w:i/>
                <w:sz w:val="21"/>
                <w:szCs w:val="21"/>
              </w:rPr>
            </w:pPr>
            <w:r>
              <w:rPr>
                <w:rFonts w:eastAsia="EUAlbertina"/>
                <w:i/>
                <w:sz w:val="21"/>
                <w:szCs w:val="21"/>
              </w:rPr>
              <w:t>metalele alcaline, tetraclorura de titan.</w:t>
            </w:r>
          </w:p>
        </w:tc>
        <w:tc>
          <w:tcPr>
            <w:tcW w:w="1274" w:type="pct"/>
            <w:tcMar>
              <w:top w:w="0" w:type="dxa"/>
              <w:left w:w="0" w:type="dxa"/>
              <w:bottom w:w="0" w:type="dxa"/>
              <w:right w:w="0" w:type="dxa"/>
            </w:tcMar>
            <w:vAlign w:val="center"/>
          </w:tcPr>
          <w:p w14:paraId="544F7540" w14:textId="77777777" w:rsidR="001C08A5" w:rsidRDefault="00000000">
            <w:pPr>
              <w:jc w:val="center"/>
              <w:rPr>
                <w:rFonts w:eastAsia="Calibri"/>
                <w:i/>
                <w:sz w:val="21"/>
                <w:szCs w:val="21"/>
              </w:rPr>
            </w:pPr>
            <w:r>
              <w:rPr>
                <w:rFonts w:eastAsia="Calibri"/>
                <w:i/>
                <w:sz w:val="21"/>
                <w:szCs w:val="21"/>
              </w:rPr>
              <w:t>-</w:t>
            </w:r>
          </w:p>
        </w:tc>
      </w:tr>
      <w:tr w:rsidR="001C08A5" w14:paraId="5C065D71" w14:textId="77777777">
        <w:trPr>
          <w:trHeight w:val="345"/>
        </w:trPr>
        <w:tc>
          <w:tcPr>
            <w:tcW w:w="778" w:type="pct"/>
            <w:tcMar>
              <w:top w:w="0" w:type="dxa"/>
              <w:left w:w="0" w:type="dxa"/>
              <w:bottom w:w="0" w:type="dxa"/>
              <w:right w:w="0" w:type="dxa"/>
            </w:tcMar>
            <w:vAlign w:val="center"/>
          </w:tcPr>
          <w:p w14:paraId="6E95E474"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Substanţe sau amestecuri cu frază de pericol </w:t>
            </w:r>
          </w:p>
          <w:p w14:paraId="076A37D8" w14:textId="77777777" w:rsidR="001C08A5" w:rsidRDefault="00000000">
            <w:pPr>
              <w:rPr>
                <w:rFonts w:eastAsia="Calibri"/>
                <w:b/>
                <w:bCs/>
                <w:i/>
                <w:sz w:val="21"/>
                <w:szCs w:val="21"/>
                <w:lang w:val="en-US" w:eastAsia="zh-CN" w:bidi="ar"/>
              </w:rPr>
            </w:pPr>
            <w:r>
              <w:rPr>
                <w:rFonts w:eastAsia="EUAlbertina_Bold_Italic"/>
                <w:b/>
                <w:bCs/>
                <w:i/>
                <w:sz w:val="21"/>
                <w:szCs w:val="21"/>
              </w:rPr>
              <w:t xml:space="preserve">EUH018 </w:t>
            </w:r>
            <w:r>
              <w:rPr>
                <w:rFonts w:eastAsia="EUAlbertina_Bold_Italic+20"/>
                <w:b/>
                <w:bCs/>
                <w:i/>
                <w:sz w:val="21"/>
                <w:szCs w:val="21"/>
              </w:rPr>
              <w:t>– „</w:t>
            </w:r>
            <w:r>
              <w:rPr>
                <w:rFonts w:eastAsia="EUAlbertina_Bold_Italic"/>
                <w:b/>
                <w:bCs/>
                <w:i/>
                <w:sz w:val="21"/>
                <w:szCs w:val="21"/>
              </w:rPr>
              <w:t>În timpul utiliz</w:t>
            </w:r>
            <w:r>
              <w:rPr>
                <w:rFonts w:eastAsia="EUAlbertina_Bold_Italic+01"/>
                <w:b/>
                <w:bCs/>
                <w:i/>
                <w:sz w:val="21"/>
                <w:szCs w:val="21"/>
              </w:rPr>
              <w:t>ă</w:t>
            </w:r>
            <w:r>
              <w:rPr>
                <w:rFonts w:eastAsia="EUAlbertina_Bold_Italic"/>
                <w:b/>
                <w:bCs/>
                <w:i/>
                <w:sz w:val="21"/>
                <w:szCs w:val="21"/>
              </w:rPr>
              <w:t>rii, poate forma un amestec vapori-aer, inflamabil/ exploziv</w:t>
            </w:r>
            <w:r>
              <w:rPr>
                <w:rFonts w:eastAsia="EUAlbertina_Bold_Italic+20"/>
                <w:b/>
                <w:bCs/>
                <w:i/>
                <w:sz w:val="21"/>
                <w:szCs w:val="21"/>
              </w:rPr>
              <w:t>”</w:t>
            </w:r>
          </w:p>
        </w:tc>
        <w:tc>
          <w:tcPr>
            <w:tcW w:w="1456" w:type="pct"/>
            <w:tcMar>
              <w:top w:w="0" w:type="dxa"/>
              <w:left w:w="0" w:type="dxa"/>
              <w:bottom w:w="0" w:type="dxa"/>
              <w:right w:w="0" w:type="dxa"/>
            </w:tcMar>
            <w:vAlign w:val="center"/>
          </w:tcPr>
          <w:p w14:paraId="10ED1D22"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738355A6" w14:textId="77777777" w:rsidR="001C08A5" w:rsidRDefault="00000000">
            <w:pPr>
              <w:jc w:val="center"/>
              <w:rPr>
                <w:rFonts w:eastAsia="EUAlbertina"/>
                <w:i/>
                <w:sz w:val="21"/>
                <w:szCs w:val="21"/>
              </w:rPr>
            </w:pPr>
            <w:r>
              <w:rPr>
                <w:rFonts w:eastAsia="EUAlbertina"/>
                <w:i/>
                <w:sz w:val="21"/>
                <w:szCs w:val="21"/>
              </w:rPr>
              <w:t>Pentru substan</w:t>
            </w:r>
            <w:r>
              <w:rPr>
                <w:rFonts w:eastAsia="EUAlbertina+01"/>
                <w:i/>
                <w:sz w:val="21"/>
                <w:szCs w:val="21"/>
              </w:rPr>
              <w:t>ţ</w:t>
            </w:r>
            <w:r>
              <w:rPr>
                <w:rFonts w:eastAsia="EUAlbertina"/>
                <w:i/>
                <w:sz w:val="21"/>
                <w:szCs w:val="21"/>
              </w:rPr>
              <w:t xml:space="preserve">ele </w:t>
            </w:r>
            <w:r>
              <w:rPr>
                <w:rFonts w:eastAsia="EUAlbertina+01"/>
                <w:i/>
                <w:sz w:val="21"/>
                <w:szCs w:val="21"/>
              </w:rPr>
              <w:t>ş</w:t>
            </w:r>
            <w:r>
              <w:rPr>
                <w:rFonts w:eastAsia="EUAlbertina"/>
                <w:i/>
                <w:sz w:val="21"/>
                <w:szCs w:val="21"/>
              </w:rPr>
              <w:t>i amestecurile care nu sunt clasificate ele însele ca fiind inflamabile, dar care pot forma</w:t>
            </w:r>
          </w:p>
          <w:p w14:paraId="1079B945" w14:textId="77777777" w:rsidR="001C08A5" w:rsidRDefault="00000000">
            <w:pPr>
              <w:jc w:val="center"/>
              <w:rPr>
                <w:rFonts w:eastAsia="EUAlbertina"/>
                <w:i/>
                <w:sz w:val="21"/>
                <w:szCs w:val="21"/>
              </w:rPr>
            </w:pPr>
            <w:r>
              <w:rPr>
                <w:rFonts w:eastAsia="EUAlbertina"/>
                <w:i/>
                <w:sz w:val="21"/>
                <w:szCs w:val="21"/>
              </w:rPr>
              <w:t>amestecuri vapori-aer inflamabile/explozive. Pentru substan</w:t>
            </w:r>
            <w:r>
              <w:rPr>
                <w:rFonts w:eastAsia="EUAlbertina+01"/>
                <w:i/>
                <w:sz w:val="21"/>
                <w:szCs w:val="21"/>
              </w:rPr>
              <w:t>ţ</w:t>
            </w:r>
            <w:r>
              <w:rPr>
                <w:rFonts w:eastAsia="EUAlbertina"/>
                <w:i/>
                <w:sz w:val="21"/>
                <w:szCs w:val="21"/>
              </w:rPr>
              <w:t>e, acesta poate fi cazul hidrocarburilor halogenate</w:t>
            </w:r>
          </w:p>
          <w:p w14:paraId="28C53833" w14:textId="77777777" w:rsidR="001C08A5" w:rsidRDefault="00000000">
            <w:pPr>
              <w:jc w:val="center"/>
              <w:rPr>
                <w:rFonts w:eastAsia="EUAlbertina"/>
                <w:i/>
                <w:sz w:val="21"/>
                <w:szCs w:val="21"/>
              </w:rPr>
            </w:pPr>
            <w:r>
              <w:rPr>
                <w:rFonts w:eastAsia="EUAlbertina"/>
                <w:i/>
                <w:sz w:val="21"/>
                <w:szCs w:val="21"/>
              </w:rPr>
              <w:t>iar pentru amestecuri se poate datora existen</w:t>
            </w:r>
            <w:r>
              <w:rPr>
                <w:rFonts w:eastAsia="EUAlbertina+01"/>
                <w:i/>
                <w:sz w:val="21"/>
                <w:szCs w:val="21"/>
              </w:rPr>
              <w:t>ţ</w:t>
            </w:r>
            <w:r>
              <w:rPr>
                <w:rFonts w:eastAsia="EUAlbertina"/>
                <w:i/>
                <w:sz w:val="21"/>
                <w:szCs w:val="21"/>
              </w:rPr>
              <w:t>ei unui component volatil inflamabil sau pierderii unui component</w:t>
            </w:r>
          </w:p>
          <w:p w14:paraId="3109D5D8" w14:textId="77777777" w:rsidR="001C08A5" w:rsidRDefault="00000000">
            <w:pPr>
              <w:jc w:val="center"/>
              <w:rPr>
                <w:rFonts w:eastAsia="Calibri"/>
                <w:i/>
                <w:sz w:val="21"/>
                <w:szCs w:val="21"/>
              </w:rPr>
            </w:pPr>
            <w:r>
              <w:rPr>
                <w:rFonts w:eastAsia="EUAlbertina"/>
                <w:i/>
                <w:sz w:val="21"/>
                <w:szCs w:val="21"/>
              </w:rPr>
              <w:t>volatil neinflamabil.</w:t>
            </w:r>
          </w:p>
        </w:tc>
        <w:tc>
          <w:tcPr>
            <w:tcW w:w="1274" w:type="pct"/>
            <w:tcMar>
              <w:top w:w="0" w:type="dxa"/>
              <w:left w:w="0" w:type="dxa"/>
              <w:bottom w:w="0" w:type="dxa"/>
              <w:right w:w="0" w:type="dxa"/>
            </w:tcMar>
            <w:vAlign w:val="center"/>
          </w:tcPr>
          <w:p w14:paraId="615D86B9" w14:textId="77777777" w:rsidR="001C08A5" w:rsidRDefault="00000000">
            <w:pPr>
              <w:jc w:val="center"/>
              <w:rPr>
                <w:rFonts w:eastAsia="Calibri"/>
                <w:i/>
                <w:sz w:val="21"/>
                <w:szCs w:val="21"/>
              </w:rPr>
            </w:pPr>
            <w:r>
              <w:rPr>
                <w:rFonts w:eastAsia="Calibri"/>
                <w:i/>
                <w:sz w:val="21"/>
                <w:szCs w:val="21"/>
              </w:rPr>
              <w:t>-</w:t>
            </w:r>
          </w:p>
        </w:tc>
      </w:tr>
      <w:tr w:rsidR="001C08A5" w14:paraId="503D9CF5" w14:textId="77777777">
        <w:trPr>
          <w:trHeight w:val="345"/>
        </w:trPr>
        <w:tc>
          <w:tcPr>
            <w:tcW w:w="778" w:type="pct"/>
            <w:tcMar>
              <w:top w:w="0" w:type="dxa"/>
              <w:left w:w="0" w:type="dxa"/>
              <w:bottom w:w="0" w:type="dxa"/>
              <w:right w:w="0" w:type="dxa"/>
            </w:tcMar>
            <w:vAlign w:val="center"/>
          </w:tcPr>
          <w:p w14:paraId="7B3BAA03" w14:textId="77777777" w:rsidR="001C08A5" w:rsidRDefault="00000000">
            <w:pPr>
              <w:rPr>
                <w:rFonts w:eastAsia="Calibri"/>
                <w:b/>
                <w:bCs/>
                <w:i/>
                <w:sz w:val="21"/>
                <w:szCs w:val="21"/>
                <w:lang w:eastAsia="zh-CN" w:bidi="ar"/>
              </w:rPr>
            </w:pPr>
            <w:r>
              <w:rPr>
                <w:rFonts w:eastAsia="Calibri"/>
                <w:b/>
                <w:bCs/>
                <w:i/>
                <w:sz w:val="21"/>
                <w:szCs w:val="21"/>
                <w:lang w:val="en-US" w:eastAsia="zh-CN" w:bidi="ar"/>
              </w:rPr>
              <w:t xml:space="preserve">Substanţe sau amestecuri cu frază de pericol </w:t>
            </w:r>
            <w:r>
              <w:rPr>
                <w:rFonts w:eastAsia="EUAlbertina_Bold_Italic"/>
                <w:b/>
                <w:bCs/>
                <w:i/>
                <w:sz w:val="21"/>
                <w:szCs w:val="21"/>
              </w:rPr>
              <w:t xml:space="preserve">EUH019 </w:t>
            </w:r>
            <w:r>
              <w:rPr>
                <w:rFonts w:eastAsia="EUAlbertina_Bold_Italic+20"/>
                <w:b/>
                <w:bCs/>
                <w:i/>
                <w:sz w:val="21"/>
                <w:szCs w:val="21"/>
              </w:rPr>
              <w:t>– „</w:t>
            </w:r>
            <w:r>
              <w:rPr>
                <w:rFonts w:eastAsia="EUAlbertina_Bold_Italic"/>
                <w:b/>
                <w:bCs/>
                <w:i/>
                <w:sz w:val="21"/>
                <w:szCs w:val="21"/>
              </w:rPr>
              <w:t>Poate forma peroxizi explozivi</w:t>
            </w:r>
            <w:r>
              <w:rPr>
                <w:rFonts w:eastAsia="EUAlbertina_Bold_Italic+20"/>
                <w:b/>
                <w:bCs/>
                <w:i/>
                <w:sz w:val="21"/>
                <w:szCs w:val="21"/>
              </w:rPr>
              <w:t>”</w:t>
            </w:r>
          </w:p>
        </w:tc>
        <w:tc>
          <w:tcPr>
            <w:tcW w:w="1456" w:type="pct"/>
            <w:tcMar>
              <w:top w:w="0" w:type="dxa"/>
              <w:left w:w="0" w:type="dxa"/>
              <w:bottom w:w="0" w:type="dxa"/>
              <w:right w:w="0" w:type="dxa"/>
            </w:tcMar>
            <w:vAlign w:val="center"/>
          </w:tcPr>
          <w:p w14:paraId="3AF63FDC"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13FC9DB0" w14:textId="77777777" w:rsidR="001C08A5" w:rsidRDefault="00000000">
            <w:pPr>
              <w:jc w:val="center"/>
              <w:rPr>
                <w:rFonts w:eastAsia="EUAlbertina"/>
                <w:i/>
                <w:sz w:val="21"/>
                <w:szCs w:val="21"/>
              </w:rPr>
            </w:pPr>
            <w:r>
              <w:rPr>
                <w:rFonts w:eastAsia="EUAlbertina"/>
                <w:i/>
                <w:sz w:val="21"/>
                <w:szCs w:val="21"/>
              </w:rPr>
              <w:t>Pentru substan</w:t>
            </w:r>
            <w:r>
              <w:rPr>
                <w:rFonts w:eastAsia="EUAlbertina+01"/>
                <w:i/>
                <w:sz w:val="21"/>
                <w:szCs w:val="21"/>
              </w:rPr>
              <w:t>ţ</w:t>
            </w:r>
            <w:r>
              <w:rPr>
                <w:rFonts w:eastAsia="EUAlbertina"/>
                <w:i/>
                <w:sz w:val="21"/>
                <w:szCs w:val="21"/>
              </w:rPr>
              <w:t xml:space="preserve">ele </w:t>
            </w:r>
            <w:r>
              <w:rPr>
                <w:rFonts w:eastAsia="EUAlbertina+01"/>
                <w:i/>
                <w:sz w:val="21"/>
                <w:szCs w:val="21"/>
              </w:rPr>
              <w:t>ş</w:t>
            </w:r>
            <w:r>
              <w:rPr>
                <w:rFonts w:eastAsia="EUAlbertina"/>
                <w:i/>
                <w:sz w:val="21"/>
                <w:szCs w:val="21"/>
              </w:rPr>
              <w:t>i amestecurile care pot forma peroxizi explozivi în timpul depozit</w:t>
            </w:r>
            <w:r>
              <w:rPr>
                <w:rFonts w:eastAsia="EUAlbertina+01"/>
                <w:i/>
                <w:sz w:val="21"/>
                <w:szCs w:val="21"/>
              </w:rPr>
              <w:t>ă</w:t>
            </w:r>
            <w:r>
              <w:rPr>
                <w:rFonts w:eastAsia="EUAlbertina"/>
                <w:i/>
                <w:sz w:val="21"/>
                <w:szCs w:val="21"/>
              </w:rPr>
              <w:t>rii, ca de exemplu eterul,</w:t>
            </w:r>
          </w:p>
          <w:p w14:paraId="5D3A1658" w14:textId="77777777" w:rsidR="001C08A5" w:rsidRDefault="00000000">
            <w:pPr>
              <w:jc w:val="center"/>
              <w:rPr>
                <w:rFonts w:eastAsia="Calibri"/>
                <w:i/>
                <w:sz w:val="21"/>
                <w:szCs w:val="21"/>
              </w:rPr>
            </w:pPr>
            <w:r>
              <w:rPr>
                <w:rFonts w:eastAsia="EUAlbertina"/>
                <w:i/>
                <w:sz w:val="21"/>
                <w:szCs w:val="21"/>
              </w:rPr>
              <w:t>1,4-dioxanul.</w:t>
            </w:r>
          </w:p>
        </w:tc>
        <w:tc>
          <w:tcPr>
            <w:tcW w:w="1274" w:type="pct"/>
            <w:tcMar>
              <w:top w:w="0" w:type="dxa"/>
              <w:left w:w="0" w:type="dxa"/>
              <w:bottom w:w="0" w:type="dxa"/>
              <w:right w:w="0" w:type="dxa"/>
            </w:tcMar>
            <w:vAlign w:val="center"/>
          </w:tcPr>
          <w:p w14:paraId="18780AA8" w14:textId="77777777" w:rsidR="001C08A5" w:rsidRDefault="00000000">
            <w:pPr>
              <w:jc w:val="center"/>
              <w:rPr>
                <w:rFonts w:eastAsia="Calibri"/>
                <w:i/>
                <w:sz w:val="21"/>
                <w:szCs w:val="21"/>
              </w:rPr>
            </w:pPr>
            <w:r>
              <w:rPr>
                <w:rFonts w:eastAsia="Calibri"/>
                <w:i/>
                <w:sz w:val="21"/>
                <w:szCs w:val="21"/>
              </w:rPr>
              <w:t>-</w:t>
            </w:r>
          </w:p>
        </w:tc>
      </w:tr>
      <w:tr w:rsidR="001C08A5" w14:paraId="002266D2" w14:textId="77777777">
        <w:trPr>
          <w:trHeight w:val="345"/>
        </w:trPr>
        <w:tc>
          <w:tcPr>
            <w:tcW w:w="778" w:type="pct"/>
            <w:tcMar>
              <w:top w:w="0" w:type="dxa"/>
              <w:left w:w="0" w:type="dxa"/>
              <w:bottom w:w="0" w:type="dxa"/>
              <w:right w:w="0" w:type="dxa"/>
            </w:tcMar>
            <w:vAlign w:val="center"/>
          </w:tcPr>
          <w:p w14:paraId="66BB393F"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Substanţe sau amestecuri cu frază de pericol </w:t>
            </w:r>
            <w:r>
              <w:rPr>
                <w:rFonts w:eastAsia="EUAlbertina_Bold_Italic"/>
                <w:b/>
                <w:bCs/>
                <w:i/>
                <w:sz w:val="21"/>
                <w:szCs w:val="21"/>
              </w:rPr>
              <w:t xml:space="preserve">EUH044 </w:t>
            </w:r>
            <w:r>
              <w:rPr>
                <w:rFonts w:eastAsia="EUAlbertina_Bold_Italic+20"/>
                <w:b/>
                <w:bCs/>
                <w:i/>
                <w:sz w:val="21"/>
                <w:szCs w:val="21"/>
              </w:rPr>
              <w:t>– „</w:t>
            </w:r>
            <w:r>
              <w:rPr>
                <w:rFonts w:eastAsia="EUAlbertina_Bold_Italic"/>
                <w:b/>
                <w:bCs/>
                <w:i/>
                <w:sz w:val="21"/>
                <w:szCs w:val="21"/>
              </w:rPr>
              <w:t>Risc de explozie, dac</w:t>
            </w:r>
            <w:r>
              <w:rPr>
                <w:rFonts w:eastAsia="EUAlbertina_Bold_Italic+01"/>
                <w:b/>
                <w:bCs/>
                <w:i/>
                <w:sz w:val="21"/>
                <w:szCs w:val="21"/>
              </w:rPr>
              <w:t xml:space="preserve">ă </w:t>
            </w:r>
            <w:r>
              <w:rPr>
                <w:rFonts w:eastAsia="EUAlbertina_Bold_Italic"/>
                <w:b/>
                <w:bCs/>
                <w:i/>
                <w:sz w:val="21"/>
                <w:szCs w:val="21"/>
              </w:rPr>
              <w:t>este înc</w:t>
            </w:r>
            <w:r>
              <w:rPr>
                <w:rFonts w:eastAsia="EUAlbertina_Bold_Italic+01"/>
                <w:b/>
                <w:bCs/>
                <w:i/>
                <w:sz w:val="21"/>
                <w:szCs w:val="21"/>
              </w:rPr>
              <w:t>ă</w:t>
            </w:r>
            <w:r>
              <w:rPr>
                <w:rFonts w:eastAsia="EUAlbertina_Bold_Italic"/>
                <w:b/>
                <w:bCs/>
                <w:i/>
                <w:sz w:val="21"/>
                <w:szCs w:val="21"/>
              </w:rPr>
              <w:t>lzit în spa</w:t>
            </w:r>
            <w:r>
              <w:rPr>
                <w:rFonts w:eastAsia="EUAlbertina_Bold_Italic+01"/>
                <w:b/>
                <w:bCs/>
                <w:i/>
                <w:sz w:val="21"/>
                <w:szCs w:val="21"/>
              </w:rPr>
              <w:t>ţ</w:t>
            </w:r>
            <w:r>
              <w:rPr>
                <w:rFonts w:eastAsia="EUAlbertina_Bold_Italic"/>
                <w:b/>
                <w:bCs/>
                <w:i/>
                <w:sz w:val="21"/>
                <w:szCs w:val="21"/>
              </w:rPr>
              <w:t>iu închis</w:t>
            </w:r>
            <w:r>
              <w:rPr>
                <w:rFonts w:eastAsia="EUAlbertina_Bold_Italic+20"/>
                <w:b/>
                <w:bCs/>
                <w:i/>
                <w:sz w:val="21"/>
                <w:szCs w:val="21"/>
              </w:rPr>
              <w:t>”</w:t>
            </w:r>
          </w:p>
        </w:tc>
        <w:tc>
          <w:tcPr>
            <w:tcW w:w="1456" w:type="pct"/>
            <w:tcMar>
              <w:top w:w="0" w:type="dxa"/>
              <w:left w:w="0" w:type="dxa"/>
              <w:bottom w:w="0" w:type="dxa"/>
              <w:right w:w="0" w:type="dxa"/>
            </w:tcMar>
            <w:vAlign w:val="center"/>
          </w:tcPr>
          <w:p w14:paraId="37900259"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2AB6EFB8" w14:textId="77777777" w:rsidR="001C08A5" w:rsidRDefault="00000000">
            <w:pPr>
              <w:jc w:val="center"/>
              <w:rPr>
                <w:rFonts w:eastAsia="EUAlbertina"/>
                <w:i/>
                <w:sz w:val="21"/>
                <w:szCs w:val="21"/>
              </w:rPr>
            </w:pPr>
            <w:r>
              <w:rPr>
                <w:rFonts w:eastAsia="EUAlbertina"/>
                <w:i/>
                <w:sz w:val="21"/>
                <w:szCs w:val="21"/>
              </w:rPr>
              <w:t>Pentru substan</w:t>
            </w:r>
            <w:r>
              <w:rPr>
                <w:rFonts w:eastAsia="EUAlbertina+01"/>
                <w:i/>
                <w:sz w:val="21"/>
                <w:szCs w:val="21"/>
              </w:rPr>
              <w:t>ţ</w:t>
            </w:r>
            <w:r>
              <w:rPr>
                <w:rFonts w:eastAsia="EUAlbertina"/>
                <w:i/>
                <w:sz w:val="21"/>
                <w:szCs w:val="21"/>
              </w:rPr>
              <w:t xml:space="preserve">ele </w:t>
            </w:r>
            <w:r>
              <w:rPr>
                <w:rFonts w:eastAsia="EUAlbertina+01"/>
                <w:i/>
                <w:sz w:val="21"/>
                <w:szCs w:val="21"/>
              </w:rPr>
              <w:t>ş</w:t>
            </w:r>
            <w:r>
              <w:rPr>
                <w:rFonts w:eastAsia="EUAlbertina"/>
                <w:i/>
                <w:sz w:val="21"/>
                <w:szCs w:val="21"/>
              </w:rPr>
              <w:t>i amestecurile care nu sunt clasificate ca fiind explozive ele însele, în conformitate cu</w:t>
            </w:r>
          </w:p>
          <w:p w14:paraId="47172216" w14:textId="77777777" w:rsidR="001C08A5" w:rsidRDefault="00000000">
            <w:pPr>
              <w:jc w:val="center"/>
              <w:rPr>
                <w:rFonts w:eastAsia="EUAlbertina"/>
                <w:i/>
                <w:sz w:val="21"/>
                <w:szCs w:val="21"/>
              </w:rPr>
            </w:pPr>
            <w:r>
              <w:rPr>
                <w:rFonts w:eastAsia="EUAlbertina"/>
                <w:i/>
                <w:sz w:val="21"/>
                <w:szCs w:val="21"/>
              </w:rPr>
              <w:t>sec</w:t>
            </w:r>
            <w:r>
              <w:rPr>
                <w:rFonts w:eastAsia="EUAlbertina+01"/>
                <w:i/>
                <w:sz w:val="21"/>
                <w:szCs w:val="21"/>
              </w:rPr>
              <w:t>ţ</w:t>
            </w:r>
            <w:r>
              <w:rPr>
                <w:rFonts w:eastAsia="EUAlbertina"/>
                <w:i/>
                <w:sz w:val="21"/>
                <w:szCs w:val="21"/>
              </w:rPr>
              <w:t>iunea 2.1. din anexa I, dar care, totu</w:t>
            </w:r>
            <w:r>
              <w:rPr>
                <w:rFonts w:eastAsia="EUAlbertina+01"/>
                <w:i/>
                <w:sz w:val="21"/>
                <w:szCs w:val="21"/>
              </w:rPr>
              <w:t>ş</w:t>
            </w:r>
            <w:r>
              <w:rPr>
                <w:rFonts w:eastAsia="EUAlbertina"/>
                <w:i/>
                <w:sz w:val="21"/>
                <w:szCs w:val="21"/>
              </w:rPr>
              <w:t>i, pot prezenta propriet</w:t>
            </w:r>
            <w:r>
              <w:rPr>
                <w:rFonts w:eastAsia="EUAlbertina+01"/>
                <w:i/>
                <w:sz w:val="21"/>
                <w:szCs w:val="21"/>
              </w:rPr>
              <w:t>ăţ</w:t>
            </w:r>
            <w:r>
              <w:rPr>
                <w:rFonts w:eastAsia="EUAlbertina"/>
                <w:i/>
                <w:sz w:val="21"/>
                <w:szCs w:val="21"/>
              </w:rPr>
              <w:t>i explozive, în practic</w:t>
            </w:r>
            <w:r>
              <w:rPr>
                <w:rFonts w:eastAsia="EUAlbertina+01"/>
                <w:i/>
                <w:sz w:val="21"/>
                <w:szCs w:val="21"/>
              </w:rPr>
              <w:t>ă</w:t>
            </w:r>
            <w:r>
              <w:rPr>
                <w:rFonts w:eastAsia="EUAlbertina"/>
                <w:i/>
                <w:sz w:val="21"/>
                <w:szCs w:val="21"/>
              </w:rPr>
              <w:t>, dac</w:t>
            </w:r>
            <w:r>
              <w:rPr>
                <w:rFonts w:eastAsia="EUAlbertina+01"/>
                <w:i/>
                <w:sz w:val="21"/>
                <w:szCs w:val="21"/>
              </w:rPr>
              <w:t xml:space="preserve">ă </w:t>
            </w:r>
            <w:r>
              <w:rPr>
                <w:rFonts w:eastAsia="EUAlbertina"/>
                <w:i/>
                <w:sz w:val="21"/>
                <w:szCs w:val="21"/>
              </w:rPr>
              <w:t>sunt înc</w:t>
            </w:r>
            <w:r>
              <w:rPr>
                <w:rFonts w:eastAsia="EUAlbertina+01"/>
                <w:i/>
                <w:sz w:val="21"/>
                <w:szCs w:val="21"/>
              </w:rPr>
              <w:t>ă</w:t>
            </w:r>
            <w:r>
              <w:rPr>
                <w:rFonts w:eastAsia="EUAlbertina"/>
                <w:i/>
                <w:sz w:val="21"/>
                <w:szCs w:val="21"/>
              </w:rPr>
              <w:t>lzite în</w:t>
            </w:r>
          </w:p>
          <w:p w14:paraId="5D838154" w14:textId="77777777" w:rsidR="001C08A5" w:rsidRDefault="00000000">
            <w:pPr>
              <w:jc w:val="center"/>
              <w:rPr>
                <w:rFonts w:eastAsia="EUAlbertina"/>
                <w:i/>
                <w:sz w:val="21"/>
                <w:szCs w:val="21"/>
              </w:rPr>
            </w:pPr>
            <w:r>
              <w:rPr>
                <w:rFonts w:eastAsia="EUAlbertina"/>
                <w:i/>
                <w:sz w:val="21"/>
                <w:szCs w:val="21"/>
              </w:rPr>
              <w:t>mediu închis suficient. În special pentru substan</w:t>
            </w:r>
            <w:r>
              <w:rPr>
                <w:rFonts w:eastAsia="EUAlbertina+01"/>
                <w:i/>
                <w:sz w:val="21"/>
                <w:szCs w:val="21"/>
              </w:rPr>
              <w:t>ţ</w:t>
            </w:r>
            <w:r>
              <w:rPr>
                <w:rFonts w:eastAsia="EUAlbertina"/>
                <w:i/>
                <w:sz w:val="21"/>
                <w:szCs w:val="21"/>
              </w:rPr>
              <w:t>ele care se descompun exploziv dac</w:t>
            </w:r>
            <w:r>
              <w:rPr>
                <w:rFonts w:eastAsia="EUAlbertina+01"/>
                <w:i/>
                <w:sz w:val="21"/>
                <w:szCs w:val="21"/>
              </w:rPr>
              <w:t xml:space="preserve">ă </w:t>
            </w:r>
            <w:r>
              <w:rPr>
                <w:rFonts w:eastAsia="EUAlbertina"/>
                <w:i/>
                <w:sz w:val="21"/>
                <w:szCs w:val="21"/>
              </w:rPr>
              <w:t>sunt înc</w:t>
            </w:r>
            <w:r>
              <w:rPr>
                <w:rFonts w:eastAsia="EUAlbertina+01"/>
                <w:i/>
                <w:sz w:val="21"/>
                <w:szCs w:val="21"/>
              </w:rPr>
              <w:t>ă</w:t>
            </w:r>
            <w:r>
              <w:rPr>
                <w:rFonts w:eastAsia="EUAlbertina"/>
                <w:i/>
                <w:sz w:val="21"/>
                <w:szCs w:val="21"/>
              </w:rPr>
              <w:t>lzite într-un</w:t>
            </w:r>
          </w:p>
          <w:p w14:paraId="19055D78" w14:textId="77777777" w:rsidR="001C08A5" w:rsidRDefault="00000000">
            <w:pPr>
              <w:jc w:val="center"/>
              <w:rPr>
                <w:rFonts w:eastAsia="Calibri"/>
                <w:i/>
                <w:sz w:val="21"/>
                <w:szCs w:val="21"/>
              </w:rPr>
            </w:pPr>
            <w:r>
              <w:rPr>
                <w:rFonts w:eastAsia="EUAlbertina"/>
                <w:i/>
                <w:sz w:val="21"/>
                <w:szCs w:val="21"/>
              </w:rPr>
              <w:t>recipient din o</w:t>
            </w:r>
            <w:r>
              <w:rPr>
                <w:rFonts w:eastAsia="EUAlbertina+01"/>
                <w:i/>
                <w:sz w:val="21"/>
                <w:szCs w:val="21"/>
              </w:rPr>
              <w:t>ţ</w:t>
            </w:r>
            <w:r>
              <w:rPr>
                <w:rFonts w:eastAsia="EUAlbertina"/>
                <w:i/>
                <w:sz w:val="21"/>
                <w:szCs w:val="21"/>
              </w:rPr>
              <w:t xml:space="preserve">el </w:t>
            </w:r>
            <w:r>
              <w:rPr>
                <w:rFonts w:eastAsia="EUAlbertina+01"/>
                <w:i/>
                <w:sz w:val="21"/>
                <w:szCs w:val="21"/>
              </w:rPr>
              <w:t>ş</w:t>
            </w:r>
            <w:r>
              <w:rPr>
                <w:rFonts w:eastAsia="EUAlbertina"/>
                <w:i/>
                <w:sz w:val="21"/>
                <w:szCs w:val="21"/>
              </w:rPr>
              <w:t>i care nu prezint</w:t>
            </w:r>
            <w:r>
              <w:rPr>
                <w:rFonts w:eastAsia="EUAlbertina+01"/>
                <w:i/>
                <w:sz w:val="21"/>
                <w:szCs w:val="21"/>
              </w:rPr>
              <w:t xml:space="preserve">ă </w:t>
            </w:r>
            <w:r>
              <w:rPr>
                <w:rFonts w:eastAsia="EUAlbertina"/>
                <w:i/>
                <w:sz w:val="21"/>
                <w:szCs w:val="21"/>
              </w:rPr>
              <w:t>acest efect dac</w:t>
            </w:r>
            <w:r>
              <w:rPr>
                <w:rFonts w:eastAsia="EUAlbertina+01"/>
                <w:i/>
                <w:sz w:val="21"/>
                <w:szCs w:val="21"/>
              </w:rPr>
              <w:t xml:space="preserve">ă </w:t>
            </w:r>
            <w:r>
              <w:rPr>
                <w:rFonts w:eastAsia="EUAlbertina"/>
                <w:i/>
                <w:sz w:val="21"/>
                <w:szCs w:val="21"/>
              </w:rPr>
              <w:t>sunt înc</w:t>
            </w:r>
            <w:r>
              <w:rPr>
                <w:rFonts w:eastAsia="EUAlbertina+01"/>
                <w:i/>
                <w:sz w:val="21"/>
                <w:szCs w:val="21"/>
              </w:rPr>
              <w:t>ă</w:t>
            </w:r>
            <w:r>
              <w:rPr>
                <w:rFonts w:eastAsia="EUAlbertina"/>
                <w:i/>
                <w:sz w:val="21"/>
                <w:szCs w:val="21"/>
              </w:rPr>
              <w:t>lzite în recipiente mai pu</w:t>
            </w:r>
            <w:r>
              <w:rPr>
                <w:rFonts w:eastAsia="EUAlbertina+01"/>
                <w:i/>
                <w:sz w:val="21"/>
                <w:szCs w:val="21"/>
              </w:rPr>
              <w:t>ţ</w:t>
            </w:r>
            <w:r>
              <w:rPr>
                <w:rFonts w:eastAsia="EUAlbertina"/>
                <w:i/>
                <w:sz w:val="21"/>
                <w:szCs w:val="21"/>
              </w:rPr>
              <w:t>in rezistente.</w:t>
            </w:r>
          </w:p>
        </w:tc>
        <w:tc>
          <w:tcPr>
            <w:tcW w:w="1274" w:type="pct"/>
            <w:tcMar>
              <w:top w:w="0" w:type="dxa"/>
              <w:left w:w="0" w:type="dxa"/>
              <w:bottom w:w="0" w:type="dxa"/>
              <w:right w:w="0" w:type="dxa"/>
            </w:tcMar>
            <w:vAlign w:val="center"/>
          </w:tcPr>
          <w:p w14:paraId="7DDF71EC" w14:textId="77777777" w:rsidR="001C08A5" w:rsidRDefault="00000000">
            <w:pPr>
              <w:jc w:val="center"/>
              <w:rPr>
                <w:rFonts w:eastAsia="Calibri"/>
                <w:i/>
                <w:sz w:val="21"/>
                <w:szCs w:val="21"/>
              </w:rPr>
            </w:pPr>
            <w:r>
              <w:rPr>
                <w:rFonts w:eastAsia="Calibri"/>
                <w:i/>
                <w:sz w:val="21"/>
                <w:szCs w:val="21"/>
              </w:rPr>
              <w:t>-</w:t>
            </w:r>
          </w:p>
        </w:tc>
      </w:tr>
      <w:tr w:rsidR="001C08A5" w14:paraId="254F0965" w14:textId="77777777">
        <w:trPr>
          <w:trHeight w:val="555"/>
        </w:trPr>
        <w:tc>
          <w:tcPr>
            <w:tcW w:w="778" w:type="pct"/>
            <w:tcMar>
              <w:top w:w="0" w:type="dxa"/>
              <w:left w:w="0" w:type="dxa"/>
              <w:bottom w:w="0" w:type="dxa"/>
              <w:right w:w="0" w:type="dxa"/>
            </w:tcMar>
            <w:vAlign w:val="center"/>
          </w:tcPr>
          <w:p w14:paraId="42CF31F9"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lastRenderedPageBreak/>
              <w:t xml:space="preserve">O2 </w:t>
            </w:r>
          </w:p>
          <w:p w14:paraId="21BCF354" w14:textId="77777777" w:rsidR="001C08A5" w:rsidRDefault="00000000">
            <w:pPr>
              <w:rPr>
                <w:rFonts w:eastAsia="Calibri"/>
                <w:b/>
                <w:bCs/>
                <w:i/>
                <w:sz w:val="21"/>
                <w:szCs w:val="21"/>
              </w:rPr>
            </w:pPr>
            <w:r>
              <w:rPr>
                <w:rFonts w:eastAsia="Calibri"/>
                <w:b/>
                <w:bCs/>
                <w:i/>
                <w:sz w:val="21"/>
                <w:szCs w:val="21"/>
                <w:lang w:val="en-US" w:eastAsia="zh-CN" w:bidi="ar"/>
              </w:rPr>
              <w:t>Substanţe şi amestecuri care în contact cu apa emit gaze inflamabile, categoria 1</w:t>
            </w:r>
          </w:p>
        </w:tc>
        <w:tc>
          <w:tcPr>
            <w:tcW w:w="1456" w:type="pct"/>
            <w:tcMar>
              <w:top w:w="0" w:type="dxa"/>
              <w:left w:w="0" w:type="dxa"/>
              <w:bottom w:w="0" w:type="dxa"/>
              <w:right w:w="0" w:type="dxa"/>
            </w:tcMar>
            <w:vAlign w:val="center"/>
          </w:tcPr>
          <w:p w14:paraId="68CFA585"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010DCE84" w14:textId="77777777" w:rsidR="001C08A5" w:rsidRDefault="00000000">
            <w:pPr>
              <w:jc w:val="center"/>
              <w:rPr>
                <w:rFonts w:eastAsia="Calibri"/>
                <w:i/>
                <w:sz w:val="21"/>
                <w:szCs w:val="21"/>
              </w:rPr>
            </w:pPr>
            <w:r>
              <w:rPr>
                <w:rFonts w:eastAsia="Calibri"/>
                <w:i/>
                <w:sz w:val="21"/>
                <w:szCs w:val="21"/>
              </w:rPr>
              <w:t>Orice substanţă sau amestec care reacţionează puternic cu apa la temperaturi ambientale şi</w:t>
            </w:r>
          </w:p>
          <w:p w14:paraId="09B84059" w14:textId="77777777" w:rsidR="001C08A5" w:rsidRDefault="00000000">
            <w:pPr>
              <w:jc w:val="center"/>
              <w:rPr>
                <w:rFonts w:eastAsia="Calibri"/>
                <w:i/>
                <w:sz w:val="21"/>
                <w:szCs w:val="21"/>
              </w:rPr>
            </w:pPr>
            <w:r>
              <w:rPr>
                <w:rFonts w:eastAsia="Calibri"/>
                <w:i/>
                <w:sz w:val="21"/>
                <w:szCs w:val="21"/>
              </w:rPr>
              <w:t>demonstrează în general o tendinţă a gazului produs de a se aprinde spontan sau care</w:t>
            </w:r>
          </w:p>
          <w:p w14:paraId="7C89581E" w14:textId="77777777" w:rsidR="001C08A5" w:rsidRDefault="00000000">
            <w:pPr>
              <w:jc w:val="center"/>
              <w:rPr>
                <w:rFonts w:eastAsia="Calibri"/>
                <w:i/>
                <w:sz w:val="21"/>
                <w:szCs w:val="21"/>
              </w:rPr>
            </w:pPr>
            <w:r>
              <w:rPr>
                <w:rFonts w:eastAsia="Calibri"/>
                <w:i/>
                <w:sz w:val="21"/>
                <w:szCs w:val="21"/>
              </w:rPr>
              <w:t>reacţionează imediat cu apa la temperaturi ambientale astfel încât viteza de evoluţie a</w:t>
            </w:r>
          </w:p>
          <w:p w14:paraId="3C066EAC" w14:textId="77777777" w:rsidR="001C08A5" w:rsidRDefault="00000000">
            <w:pPr>
              <w:jc w:val="center"/>
              <w:rPr>
                <w:rFonts w:eastAsia="Calibri"/>
                <w:i/>
                <w:sz w:val="21"/>
                <w:szCs w:val="21"/>
              </w:rPr>
            </w:pPr>
            <w:r>
              <w:rPr>
                <w:rFonts w:eastAsia="Calibri"/>
                <w:i/>
                <w:sz w:val="21"/>
                <w:szCs w:val="21"/>
              </w:rPr>
              <w:t>gazului inflamabil este egală cu sau mai mare de 10 litri pe kilogram de substanţă pe minut.</w:t>
            </w:r>
          </w:p>
        </w:tc>
        <w:tc>
          <w:tcPr>
            <w:tcW w:w="1274" w:type="pct"/>
            <w:tcMar>
              <w:top w:w="0" w:type="dxa"/>
              <w:left w:w="0" w:type="dxa"/>
              <w:bottom w:w="0" w:type="dxa"/>
              <w:right w:w="0" w:type="dxa"/>
            </w:tcMar>
            <w:vAlign w:val="center"/>
          </w:tcPr>
          <w:p w14:paraId="5DD090C7" w14:textId="77777777" w:rsidR="001C08A5" w:rsidRDefault="00000000">
            <w:pPr>
              <w:jc w:val="center"/>
              <w:rPr>
                <w:rFonts w:eastAsia="Calibri"/>
                <w:i/>
                <w:sz w:val="21"/>
                <w:szCs w:val="21"/>
              </w:rPr>
            </w:pPr>
            <w:r>
              <w:rPr>
                <w:rFonts w:eastAsia="Calibri"/>
                <w:i/>
                <w:sz w:val="21"/>
                <w:szCs w:val="21"/>
              </w:rPr>
              <w:t>-</w:t>
            </w:r>
          </w:p>
        </w:tc>
      </w:tr>
      <w:tr w:rsidR="001C08A5" w14:paraId="1AB16CAB" w14:textId="77777777">
        <w:trPr>
          <w:trHeight w:val="360"/>
        </w:trPr>
        <w:tc>
          <w:tcPr>
            <w:tcW w:w="778" w:type="pct"/>
            <w:tcMar>
              <w:top w:w="0" w:type="dxa"/>
              <w:left w:w="0" w:type="dxa"/>
              <w:bottom w:w="0" w:type="dxa"/>
              <w:right w:w="0" w:type="dxa"/>
            </w:tcMar>
            <w:vAlign w:val="center"/>
          </w:tcPr>
          <w:p w14:paraId="64283F21" w14:textId="77777777" w:rsidR="001C08A5" w:rsidRDefault="00000000">
            <w:pPr>
              <w:rPr>
                <w:rFonts w:eastAsia="Calibri"/>
                <w:b/>
                <w:bCs/>
                <w:i/>
                <w:sz w:val="21"/>
                <w:szCs w:val="21"/>
                <w:lang w:val="en-US" w:eastAsia="zh-CN" w:bidi="ar"/>
              </w:rPr>
            </w:pPr>
            <w:r>
              <w:rPr>
                <w:rFonts w:eastAsia="Calibri"/>
                <w:b/>
                <w:bCs/>
                <w:i/>
                <w:sz w:val="21"/>
                <w:szCs w:val="21"/>
                <w:lang w:val="en-US" w:eastAsia="zh-CN" w:bidi="ar"/>
              </w:rPr>
              <w:t xml:space="preserve">O3 </w:t>
            </w:r>
          </w:p>
          <w:p w14:paraId="770AD437" w14:textId="77777777" w:rsidR="001C08A5" w:rsidRDefault="00000000">
            <w:pPr>
              <w:rPr>
                <w:rFonts w:eastAsia="Calibri"/>
                <w:b/>
                <w:bCs/>
                <w:i/>
                <w:sz w:val="21"/>
                <w:szCs w:val="21"/>
              </w:rPr>
            </w:pPr>
            <w:r>
              <w:rPr>
                <w:rFonts w:eastAsia="Calibri"/>
                <w:b/>
                <w:bCs/>
                <w:i/>
                <w:sz w:val="21"/>
                <w:szCs w:val="21"/>
                <w:lang w:val="en-US" w:eastAsia="zh-CN" w:bidi="ar"/>
              </w:rPr>
              <w:t>Substanţe sau amestecuri cu frază de pericol EUH029</w:t>
            </w:r>
          </w:p>
        </w:tc>
        <w:tc>
          <w:tcPr>
            <w:tcW w:w="1456" w:type="pct"/>
            <w:tcMar>
              <w:top w:w="0" w:type="dxa"/>
              <w:left w:w="0" w:type="dxa"/>
              <w:bottom w:w="0" w:type="dxa"/>
              <w:right w:w="0" w:type="dxa"/>
            </w:tcMar>
            <w:vAlign w:val="center"/>
          </w:tcPr>
          <w:p w14:paraId="757C2C27" w14:textId="77777777" w:rsidR="001C08A5" w:rsidRDefault="00000000">
            <w:pPr>
              <w:jc w:val="center"/>
              <w:rPr>
                <w:rFonts w:eastAsia="Calibri"/>
                <w:i/>
                <w:sz w:val="21"/>
                <w:szCs w:val="21"/>
              </w:rPr>
            </w:pPr>
            <w:r>
              <w:rPr>
                <w:rFonts w:eastAsia="Calibri"/>
                <w:i/>
                <w:sz w:val="21"/>
                <w:szCs w:val="21"/>
              </w:rPr>
              <w:t>-</w:t>
            </w:r>
          </w:p>
        </w:tc>
        <w:tc>
          <w:tcPr>
            <w:tcW w:w="1490" w:type="pct"/>
            <w:tcMar>
              <w:top w:w="0" w:type="dxa"/>
              <w:left w:w="0" w:type="dxa"/>
              <w:bottom w:w="0" w:type="dxa"/>
              <w:right w:w="0" w:type="dxa"/>
            </w:tcMar>
            <w:vAlign w:val="center"/>
          </w:tcPr>
          <w:p w14:paraId="37B6BCD8" w14:textId="77777777" w:rsidR="001C08A5" w:rsidRDefault="001C08A5">
            <w:pPr>
              <w:jc w:val="center"/>
              <w:rPr>
                <w:rFonts w:eastAsia="Calibri"/>
                <w:i/>
                <w:sz w:val="21"/>
                <w:szCs w:val="21"/>
              </w:rPr>
            </w:pPr>
          </w:p>
        </w:tc>
        <w:tc>
          <w:tcPr>
            <w:tcW w:w="1274" w:type="pct"/>
            <w:tcMar>
              <w:top w:w="0" w:type="dxa"/>
              <w:left w:w="0" w:type="dxa"/>
              <w:bottom w:w="0" w:type="dxa"/>
              <w:right w:w="0" w:type="dxa"/>
            </w:tcMar>
            <w:vAlign w:val="center"/>
          </w:tcPr>
          <w:p w14:paraId="78777ADD" w14:textId="77777777" w:rsidR="001C08A5" w:rsidRDefault="00000000">
            <w:pPr>
              <w:jc w:val="center"/>
              <w:rPr>
                <w:rFonts w:eastAsia="Calibri"/>
                <w:i/>
                <w:sz w:val="21"/>
                <w:szCs w:val="21"/>
              </w:rPr>
            </w:pPr>
            <w:r>
              <w:rPr>
                <w:rFonts w:eastAsia="Calibri"/>
                <w:i/>
                <w:sz w:val="21"/>
                <w:szCs w:val="21"/>
              </w:rPr>
              <w:t>-</w:t>
            </w:r>
          </w:p>
        </w:tc>
      </w:tr>
    </w:tbl>
    <w:p w14:paraId="23A2A3AE" w14:textId="77777777" w:rsidR="001C08A5" w:rsidRDefault="00000000">
      <w:pPr>
        <w:jc w:val="both"/>
        <w:rPr>
          <w:bCs/>
          <w:i/>
          <w:sz w:val="22"/>
          <w:szCs w:val="22"/>
        </w:rPr>
      </w:pPr>
      <w:r>
        <w:rPr>
          <w:bCs/>
          <w:i/>
          <w:sz w:val="22"/>
          <w:szCs w:val="22"/>
        </w:rPr>
        <w:t>Nota: Conform regulamentelor europene aplicabile (Regulament 1907/2006, modificat și completat prin 72 regulamente, Regulament 1272/2008, modificat și completat prin 31 regulamente) și ADR, tipul de substanță determină obligatoriu un anumit tip de ambalaj.</w:t>
      </w:r>
    </w:p>
    <w:p w14:paraId="316E0F99" w14:textId="77777777" w:rsidR="001C08A5" w:rsidRDefault="00000000">
      <w:pPr>
        <w:jc w:val="both"/>
        <w:rPr>
          <w:bCs/>
          <w:i/>
          <w:sz w:val="22"/>
          <w:szCs w:val="22"/>
        </w:rPr>
      </w:pPr>
      <w:r>
        <w:rPr>
          <w:bCs/>
          <w:i/>
          <w:sz w:val="22"/>
          <w:szCs w:val="22"/>
        </w:rPr>
        <w:t xml:space="preserve">Notă: Regulamentul </w:t>
      </w:r>
      <w:r>
        <w:rPr>
          <w:bCs/>
          <w:i/>
          <w:sz w:val="22"/>
          <w:szCs w:val="22"/>
          <w:lang w:val="en-GB"/>
        </w:rPr>
        <w:t>(CE) nr. 1272/2008 al Parlamentului European şi al Consiliului</w:t>
      </w:r>
      <w:r>
        <w:rPr>
          <w:bCs/>
          <w:i/>
          <w:sz w:val="22"/>
          <w:szCs w:val="22"/>
        </w:rPr>
        <w:t xml:space="preserve"> in 16 decembrie 2008 (CLP 1272) nu reglementează conținutul fișei cu date de securitate, întrucât acest document este reglementat de Regulamentul REACH și Regulamentul (UE) 878/2020.</w:t>
      </w:r>
    </w:p>
    <w:p w14:paraId="66591BB3" w14:textId="77777777" w:rsidR="001C08A5" w:rsidRDefault="001C08A5">
      <w:pPr>
        <w:jc w:val="both"/>
        <w:rPr>
          <w:bCs/>
          <w:i/>
          <w:sz w:val="22"/>
          <w:szCs w:val="22"/>
        </w:rPr>
      </w:pPr>
    </w:p>
    <w:p w14:paraId="038887EF" w14:textId="77777777" w:rsidR="001C08A5" w:rsidRDefault="00000000">
      <w:pPr>
        <w:pStyle w:val="Heading3"/>
        <w:rPr>
          <w:i/>
          <w:iCs/>
          <w:sz w:val="24"/>
          <w:szCs w:val="24"/>
        </w:rPr>
      </w:pPr>
      <w:bookmarkStart w:id="10118" w:name="_Toc20295"/>
      <w:bookmarkStart w:id="10119" w:name="_Toc9089"/>
      <w:bookmarkStart w:id="10120" w:name="_Toc32659"/>
      <w:bookmarkStart w:id="10121" w:name="_Toc162355501"/>
      <w:bookmarkStart w:id="10122" w:name="_Toc16666"/>
      <w:bookmarkStart w:id="10123" w:name="_Toc29245"/>
      <w:r>
        <w:rPr>
          <w:i/>
          <w:iCs/>
          <w:sz w:val="24"/>
          <w:szCs w:val="24"/>
        </w:rPr>
        <w:t>ANEXA 8.2 - CATEGORII DE LICHIDE INFLAMABILE - ÎN CONFORMITATE CU REGULAMENTULUI (CE) NR. 1272/2008 AL PARLAMENTULUI EUROPEAN ŞI AL CONSILIULUI IN 16 DECEMBRIE 2008</w:t>
      </w:r>
      <w:bookmarkEnd w:id="10118"/>
      <w:bookmarkEnd w:id="10119"/>
      <w:bookmarkEnd w:id="10120"/>
      <w:bookmarkEnd w:id="10121"/>
      <w:bookmarkEnd w:id="10122"/>
      <w:bookmarkEnd w:id="10123"/>
    </w:p>
    <w:p w14:paraId="27D39080" w14:textId="77777777" w:rsidR="001C08A5" w:rsidRDefault="00000000">
      <w:pPr>
        <w:pStyle w:val="Heading4"/>
        <w:rPr>
          <w:sz w:val="24"/>
          <w:szCs w:val="24"/>
        </w:rPr>
      </w:pPr>
      <w:bookmarkStart w:id="10124" w:name="_Toc22212"/>
      <w:bookmarkStart w:id="10125" w:name="_Toc13232"/>
      <w:bookmarkStart w:id="10126" w:name="_Toc23652"/>
      <w:bookmarkStart w:id="10127" w:name="_Toc15535"/>
      <w:bookmarkStart w:id="10128" w:name="_Toc22022"/>
      <w:bookmarkStart w:id="10129" w:name="_Toc162355502"/>
      <w:r>
        <w:rPr>
          <w:sz w:val="24"/>
          <w:szCs w:val="24"/>
        </w:rPr>
        <w:t>Prevederi generale</w:t>
      </w:r>
      <w:r>
        <w:rPr>
          <w:sz w:val="24"/>
          <w:szCs w:val="24"/>
          <w:lang w:val="en-GB"/>
        </w:rPr>
        <w:t xml:space="preserve"> privind clasificarea</w:t>
      </w:r>
      <w:r>
        <w:rPr>
          <w:sz w:val="24"/>
          <w:szCs w:val="24"/>
        </w:rPr>
        <w:t xml:space="preserve"> lichidelor inflamabile</w:t>
      </w:r>
      <w:bookmarkEnd w:id="10124"/>
      <w:bookmarkEnd w:id="10125"/>
      <w:bookmarkEnd w:id="10126"/>
      <w:bookmarkEnd w:id="10127"/>
      <w:bookmarkEnd w:id="10128"/>
      <w:bookmarkEnd w:id="10129"/>
    </w:p>
    <w:p w14:paraId="7A5B4C92" w14:textId="77777777" w:rsidR="001C08A5" w:rsidRDefault="00000000">
      <w:pPr>
        <w:numPr>
          <w:ilvl w:val="0"/>
          <w:numId w:val="96"/>
        </w:numPr>
        <w:tabs>
          <w:tab w:val="left" w:pos="426"/>
          <w:tab w:val="left" w:pos="993"/>
        </w:tabs>
        <w:jc w:val="both"/>
        <w:rPr>
          <w:bCs/>
          <w:i/>
          <w:sz w:val="24"/>
        </w:rPr>
      </w:pPr>
      <w:r>
        <w:rPr>
          <w:bCs/>
          <w:i/>
          <w:sz w:val="24"/>
        </w:rPr>
        <w:t xml:space="preserve">Clasificarea lichidelor inflamabile se face în categorii, conform </w:t>
      </w:r>
      <w:r>
        <w:rPr>
          <w:b/>
          <w:bCs/>
          <w:i/>
          <w:iCs/>
          <w:sz w:val="24"/>
          <w:szCs w:val="24"/>
        </w:rPr>
        <w:fldChar w:fldCharType="begin"/>
      </w:r>
      <w:r>
        <w:rPr>
          <w:b/>
          <w:bCs/>
          <w:i/>
          <w:iCs/>
          <w:sz w:val="24"/>
          <w:szCs w:val="24"/>
        </w:rPr>
        <w:instrText xml:space="preserve"> REF _Ref20568 \h </w:instrText>
      </w:r>
      <w:r>
        <w:rPr>
          <w:b/>
          <w:bCs/>
          <w:i/>
          <w:iCs/>
          <w:sz w:val="24"/>
          <w:szCs w:val="24"/>
        </w:rPr>
      </w:r>
      <w:r>
        <w:rPr>
          <w:b/>
          <w:bCs/>
          <w:i/>
          <w:iCs/>
          <w:sz w:val="24"/>
          <w:szCs w:val="24"/>
        </w:rPr>
        <w:fldChar w:fldCharType="separate"/>
      </w:r>
      <w:r>
        <w:t>Tabelul 135</w:t>
      </w:r>
      <w:r>
        <w:rPr>
          <w:b/>
          <w:bCs/>
          <w:i/>
          <w:iCs/>
          <w:sz w:val="24"/>
          <w:szCs w:val="24"/>
        </w:rPr>
        <w:fldChar w:fldCharType="end"/>
      </w:r>
      <w:r>
        <w:rPr>
          <w:bCs/>
          <w:i/>
          <w:sz w:val="24"/>
        </w:rPr>
        <w:t>.</w:t>
      </w:r>
    </w:p>
    <w:p w14:paraId="1B958796" w14:textId="77777777" w:rsidR="001C08A5" w:rsidRDefault="001C08A5">
      <w:pPr>
        <w:pStyle w:val="BodyText"/>
      </w:pPr>
    </w:p>
    <w:p w14:paraId="527F336C" w14:textId="77777777" w:rsidR="001C08A5" w:rsidRDefault="00000000">
      <w:pPr>
        <w:pStyle w:val="Caption"/>
        <w:rPr>
          <w:b w:val="0"/>
          <w:i w:val="0"/>
          <w:strike/>
        </w:rPr>
      </w:pPr>
      <w:bookmarkStart w:id="10130" w:name="_Ref20568"/>
      <w:bookmarkStart w:id="10131" w:name="_Toc142898436"/>
      <w:bookmarkStart w:id="10132" w:name="_Toc162360185"/>
      <w:r>
        <w:t xml:space="preserve">Tabelul </w:t>
      </w:r>
      <w:r>
        <w:fldChar w:fldCharType="begin"/>
      </w:r>
      <w:r>
        <w:instrText xml:space="preserve"> SEQ Tabelul \* ARABIC </w:instrText>
      </w:r>
      <w:r>
        <w:fldChar w:fldCharType="separate"/>
      </w:r>
      <w:r>
        <w:t>135</w:t>
      </w:r>
      <w:r>
        <w:fldChar w:fldCharType="end"/>
      </w:r>
      <w:bookmarkStart w:id="10133" w:name="_Toc14566"/>
      <w:bookmarkStart w:id="10134" w:name="_Toc31972"/>
      <w:bookmarkStart w:id="10135" w:name="_Toc4902"/>
      <w:bookmarkStart w:id="10136" w:name="_Toc31263"/>
      <w:bookmarkStart w:id="10137" w:name="_Toc1572"/>
      <w:bookmarkStart w:id="10138" w:name="_Toc31848"/>
      <w:bookmarkStart w:id="10139" w:name="_Toc5145"/>
      <w:bookmarkStart w:id="10140" w:name="_Toc3192"/>
      <w:bookmarkStart w:id="10141" w:name="_Toc22167"/>
      <w:bookmarkStart w:id="10142" w:name="_Toc23605"/>
      <w:bookmarkStart w:id="10143" w:name="_Toc29533"/>
      <w:bookmarkStart w:id="10144" w:name="_Toc14711"/>
      <w:bookmarkEnd w:id="10130"/>
      <w:r>
        <w:t>: Categorii de lichide inflamabile</w:t>
      </w:r>
      <w:bookmarkEnd w:id="10131"/>
      <w:bookmarkEnd w:id="10132"/>
      <w:r>
        <w:t xml:space="preserve"> </w:t>
      </w:r>
      <w:bookmarkEnd w:id="10133"/>
      <w:bookmarkEnd w:id="10134"/>
      <w:bookmarkEnd w:id="10135"/>
      <w:bookmarkEnd w:id="10136"/>
      <w:bookmarkEnd w:id="10137"/>
      <w:bookmarkEnd w:id="10138"/>
      <w:bookmarkEnd w:id="10139"/>
      <w:bookmarkEnd w:id="10140"/>
      <w:bookmarkEnd w:id="10141"/>
      <w:bookmarkEnd w:id="10142"/>
      <w:bookmarkEnd w:id="10143"/>
      <w:bookmarkEnd w:id="10144"/>
    </w:p>
    <w:tbl>
      <w:tblPr>
        <w:tblW w:w="0" w:type="auto"/>
        <w:tblInd w:w="108" w:type="dxa"/>
        <w:tblLayout w:type="fixed"/>
        <w:tblLook w:val="04A0" w:firstRow="1" w:lastRow="0" w:firstColumn="1" w:lastColumn="0" w:noHBand="0" w:noVBand="1"/>
      </w:tblPr>
      <w:tblGrid>
        <w:gridCol w:w="3500"/>
        <w:gridCol w:w="1260"/>
        <w:gridCol w:w="1680"/>
        <w:gridCol w:w="1680"/>
      </w:tblGrid>
      <w:tr w:rsidR="001C08A5" w14:paraId="5C40F0F3" w14:textId="77777777">
        <w:tc>
          <w:tcPr>
            <w:tcW w:w="3500" w:type="dxa"/>
            <w:tcBorders>
              <w:top w:val="single" w:sz="4" w:space="0" w:color="auto"/>
              <w:left w:val="single" w:sz="4" w:space="0" w:color="auto"/>
              <w:bottom w:val="single" w:sz="4" w:space="0" w:color="auto"/>
              <w:right w:val="single" w:sz="4" w:space="0" w:color="auto"/>
            </w:tcBorders>
            <w:shd w:val="clear" w:color="auto" w:fill="D9D9D9"/>
          </w:tcPr>
          <w:p w14:paraId="74E49D55" w14:textId="77777777" w:rsidR="001C08A5" w:rsidRDefault="00000000">
            <w:pPr>
              <w:jc w:val="center"/>
              <w:rPr>
                <w:i/>
                <w:sz w:val="24"/>
                <w:szCs w:val="24"/>
              </w:rPr>
            </w:pPr>
            <w:r>
              <w:rPr>
                <w:i/>
                <w:sz w:val="24"/>
                <w:szCs w:val="24"/>
              </w:rPr>
              <w:t>Categoria</w:t>
            </w:r>
          </w:p>
        </w:tc>
        <w:tc>
          <w:tcPr>
            <w:tcW w:w="1260" w:type="dxa"/>
            <w:tcBorders>
              <w:top w:val="single" w:sz="4" w:space="0" w:color="auto"/>
              <w:left w:val="single" w:sz="4" w:space="0" w:color="auto"/>
              <w:bottom w:val="single" w:sz="4" w:space="0" w:color="auto"/>
              <w:right w:val="single" w:sz="4" w:space="0" w:color="auto"/>
            </w:tcBorders>
            <w:shd w:val="clear" w:color="auto" w:fill="D9D9D9"/>
          </w:tcPr>
          <w:p w14:paraId="0174C3B0" w14:textId="77777777" w:rsidR="001C08A5" w:rsidRDefault="00000000">
            <w:pPr>
              <w:jc w:val="center"/>
              <w:rPr>
                <w:b/>
                <w:bCs/>
                <w:i/>
                <w:sz w:val="24"/>
                <w:szCs w:val="24"/>
              </w:rPr>
            </w:pPr>
            <w:r>
              <w:rPr>
                <w:b/>
                <w:bCs/>
                <w:i/>
                <w:sz w:val="24"/>
                <w:szCs w:val="24"/>
              </w:rPr>
              <w:t>1</w:t>
            </w:r>
          </w:p>
        </w:tc>
        <w:tc>
          <w:tcPr>
            <w:tcW w:w="1680" w:type="dxa"/>
            <w:tcBorders>
              <w:top w:val="single" w:sz="4" w:space="0" w:color="auto"/>
              <w:left w:val="single" w:sz="4" w:space="0" w:color="auto"/>
              <w:bottom w:val="single" w:sz="4" w:space="0" w:color="auto"/>
              <w:right w:val="single" w:sz="4" w:space="0" w:color="auto"/>
            </w:tcBorders>
            <w:shd w:val="clear" w:color="auto" w:fill="D9D9D9"/>
          </w:tcPr>
          <w:p w14:paraId="7783E983" w14:textId="77777777" w:rsidR="001C08A5" w:rsidRDefault="00000000">
            <w:pPr>
              <w:jc w:val="center"/>
              <w:rPr>
                <w:b/>
                <w:bCs/>
                <w:i/>
                <w:sz w:val="24"/>
                <w:szCs w:val="24"/>
              </w:rPr>
            </w:pPr>
            <w:r>
              <w:rPr>
                <w:b/>
                <w:bCs/>
                <w:i/>
                <w:sz w:val="24"/>
                <w:szCs w:val="24"/>
              </w:rPr>
              <w:t>2</w:t>
            </w:r>
          </w:p>
        </w:tc>
        <w:tc>
          <w:tcPr>
            <w:tcW w:w="1680" w:type="dxa"/>
            <w:tcBorders>
              <w:top w:val="single" w:sz="4" w:space="0" w:color="auto"/>
              <w:left w:val="single" w:sz="4" w:space="0" w:color="auto"/>
              <w:bottom w:val="single" w:sz="4" w:space="0" w:color="auto"/>
              <w:right w:val="single" w:sz="4" w:space="0" w:color="auto"/>
            </w:tcBorders>
            <w:shd w:val="clear" w:color="auto" w:fill="D9D9D9"/>
          </w:tcPr>
          <w:p w14:paraId="1AA237BC" w14:textId="77777777" w:rsidR="001C08A5" w:rsidRDefault="00000000">
            <w:pPr>
              <w:snapToGrid w:val="0"/>
              <w:jc w:val="center"/>
              <w:rPr>
                <w:b/>
                <w:bCs/>
                <w:i/>
                <w:sz w:val="24"/>
                <w:szCs w:val="24"/>
              </w:rPr>
            </w:pPr>
            <w:r>
              <w:rPr>
                <w:b/>
                <w:bCs/>
                <w:i/>
                <w:sz w:val="24"/>
                <w:szCs w:val="24"/>
              </w:rPr>
              <w:t>3</w:t>
            </w:r>
          </w:p>
        </w:tc>
      </w:tr>
      <w:tr w:rsidR="001C08A5" w14:paraId="14E1429E" w14:textId="77777777">
        <w:tc>
          <w:tcPr>
            <w:tcW w:w="3500" w:type="dxa"/>
            <w:tcBorders>
              <w:top w:val="single" w:sz="4" w:space="0" w:color="auto"/>
              <w:left w:val="single" w:sz="4" w:space="0" w:color="auto"/>
              <w:bottom w:val="single" w:sz="4" w:space="0" w:color="auto"/>
              <w:right w:val="single" w:sz="4" w:space="0" w:color="auto"/>
            </w:tcBorders>
            <w:shd w:val="clear" w:color="auto" w:fill="D9D9D9"/>
          </w:tcPr>
          <w:p w14:paraId="42688952" w14:textId="77777777" w:rsidR="001C08A5" w:rsidRDefault="00000000">
            <w:pPr>
              <w:jc w:val="center"/>
              <w:rPr>
                <w:i/>
                <w:sz w:val="24"/>
                <w:szCs w:val="24"/>
              </w:rPr>
            </w:pPr>
            <w:r>
              <w:rPr>
                <w:bCs/>
                <w:i/>
                <w:sz w:val="24"/>
                <w:szCs w:val="24"/>
              </w:rPr>
              <w:t>Punct de aprindere (</w:t>
            </w:r>
            <w:r>
              <w:rPr>
                <w:bCs/>
                <w:i/>
                <w:sz w:val="24"/>
                <w:szCs w:val="24"/>
                <w:vertAlign w:val="superscript"/>
              </w:rPr>
              <w:t>°</w:t>
            </w:r>
            <w:r>
              <w:rPr>
                <w:bCs/>
                <w:i/>
                <w:sz w:val="24"/>
                <w:szCs w:val="24"/>
              </w:rPr>
              <w:t>C)</w:t>
            </w:r>
          </w:p>
        </w:tc>
        <w:tc>
          <w:tcPr>
            <w:tcW w:w="1260" w:type="dxa"/>
            <w:tcBorders>
              <w:top w:val="single" w:sz="4" w:space="0" w:color="auto"/>
              <w:left w:val="single" w:sz="4" w:space="0" w:color="auto"/>
              <w:bottom w:val="single" w:sz="4" w:space="0" w:color="auto"/>
              <w:right w:val="single" w:sz="4" w:space="0" w:color="auto"/>
            </w:tcBorders>
            <w:shd w:val="clear" w:color="auto" w:fill="D9D9D9"/>
          </w:tcPr>
          <w:p w14:paraId="3F68EFF9" w14:textId="77777777" w:rsidR="001C08A5" w:rsidRDefault="00000000">
            <w:pPr>
              <w:jc w:val="center"/>
              <w:rPr>
                <w:b/>
                <w:bCs/>
                <w:i/>
                <w:sz w:val="24"/>
                <w:szCs w:val="24"/>
              </w:rPr>
            </w:pPr>
            <w:r>
              <w:rPr>
                <w:b/>
                <w:bCs/>
                <w:i/>
                <w:sz w:val="24"/>
                <w:szCs w:val="24"/>
              </w:rPr>
              <w:t>&lt; 23</w:t>
            </w:r>
          </w:p>
        </w:tc>
        <w:tc>
          <w:tcPr>
            <w:tcW w:w="1680" w:type="dxa"/>
            <w:tcBorders>
              <w:top w:val="single" w:sz="4" w:space="0" w:color="auto"/>
              <w:left w:val="single" w:sz="4" w:space="0" w:color="auto"/>
              <w:bottom w:val="single" w:sz="4" w:space="0" w:color="auto"/>
              <w:right w:val="single" w:sz="4" w:space="0" w:color="auto"/>
            </w:tcBorders>
            <w:shd w:val="clear" w:color="auto" w:fill="D9D9D9"/>
          </w:tcPr>
          <w:p w14:paraId="37CAED7D" w14:textId="77777777" w:rsidR="001C08A5" w:rsidRDefault="00000000">
            <w:pPr>
              <w:jc w:val="center"/>
              <w:rPr>
                <w:b/>
                <w:bCs/>
                <w:i/>
                <w:sz w:val="24"/>
                <w:szCs w:val="24"/>
              </w:rPr>
            </w:pPr>
            <w:r>
              <w:rPr>
                <w:b/>
                <w:bCs/>
                <w:i/>
                <w:sz w:val="24"/>
                <w:szCs w:val="24"/>
              </w:rPr>
              <w:t>&lt; 23</w:t>
            </w:r>
          </w:p>
        </w:tc>
        <w:tc>
          <w:tcPr>
            <w:tcW w:w="1680" w:type="dxa"/>
            <w:tcBorders>
              <w:top w:val="single" w:sz="4" w:space="0" w:color="auto"/>
              <w:left w:val="single" w:sz="4" w:space="0" w:color="auto"/>
              <w:bottom w:val="single" w:sz="4" w:space="0" w:color="auto"/>
              <w:right w:val="single" w:sz="4" w:space="0" w:color="auto"/>
            </w:tcBorders>
            <w:shd w:val="clear" w:color="auto" w:fill="D9D9D9"/>
          </w:tcPr>
          <w:p w14:paraId="7F059991" w14:textId="77777777" w:rsidR="001C08A5" w:rsidRDefault="00000000">
            <w:pPr>
              <w:snapToGrid w:val="0"/>
              <w:jc w:val="center"/>
              <w:rPr>
                <w:b/>
                <w:bCs/>
                <w:i/>
                <w:sz w:val="24"/>
                <w:szCs w:val="24"/>
              </w:rPr>
            </w:pPr>
            <w:r>
              <w:rPr>
                <w:b/>
                <w:bCs/>
                <w:i/>
                <w:sz w:val="24"/>
                <w:szCs w:val="24"/>
              </w:rPr>
              <w:t>≥ 23</w:t>
            </w:r>
          </w:p>
        </w:tc>
      </w:tr>
      <w:tr w:rsidR="001C08A5" w14:paraId="1317909B" w14:textId="77777777">
        <w:tc>
          <w:tcPr>
            <w:tcW w:w="3500" w:type="dxa"/>
            <w:tcBorders>
              <w:top w:val="single" w:sz="4" w:space="0" w:color="auto"/>
              <w:left w:val="single" w:sz="4" w:space="0" w:color="auto"/>
              <w:bottom w:val="single" w:sz="4" w:space="0" w:color="auto"/>
              <w:right w:val="single" w:sz="4" w:space="0" w:color="auto"/>
            </w:tcBorders>
            <w:shd w:val="clear" w:color="auto" w:fill="D9D9D9"/>
          </w:tcPr>
          <w:p w14:paraId="20C57374" w14:textId="77777777" w:rsidR="001C08A5" w:rsidRDefault="00000000">
            <w:pPr>
              <w:jc w:val="center"/>
              <w:rPr>
                <w:b/>
                <w:i/>
                <w:sz w:val="24"/>
                <w:szCs w:val="24"/>
              </w:rPr>
            </w:pPr>
            <w:r>
              <w:rPr>
                <w:i/>
                <w:sz w:val="24"/>
                <w:szCs w:val="24"/>
              </w:rPr>
              <w:t xml:space="preserve">Punct iniţial de fierbere </w:t>
            </w:r>
            <w:r>
              <w:rPr>
                <w:bCs/>
                <w:i/>
                <w:sz w:val="24"/>
                <w:szCs w:val="24"/>
              </w:rPr>
              <w:t>(</w:t>
            </w:r>
            <w:r>
              <w:rPr>
                <w:bCs/>
                <w:i/>
                <w:sz w:val="24"/>
                <w:szCs w:val="24"/>
                <w:vertAlign w:val="superscript"/>
              </w:rPr>
              <w:t>°</w:t>
            </w:r>
            <w:r>
              <w:rPr>
                <w:bCs/>
                <w:i/>
                <w:sz w:val="24"/>
                <w:szCs w:val="24"/>
              </w:rPr>
              <w:t>C)</w:t>
            </w:r>
          </w:p>
        </w:tc>
        <w:tc>
          <w:tcPr>
            <w:tcW w:w="1260" w:type="dxa"/>
            <w:tcBorders>
              <w:top w:val="single" w:sz="4" w:space="0" w:color="auto"/>
              <w:left w:val="single" w:sz="4" w:space="0" w:color="auto"/>
              <w:bottom w:val="single" w:sz="4" w:space="0" w:color="auto"/>
              <w:right w:val="single" w:sz="4" w:space="0" w:color="auto"/>
            </w:tcBorders>
            <w:shd w:val="clear" w:color="auto" w:fill="D9D9D9"/>
          </w:tcPr>
          <w:p w14:paraId="51EAEAA1" w14:textId="77777777" w:rsidR="001C08A5" w:rsidRDefault="00000000">
            <w:pPr>
              <w:snapToGrid w:val="0"/>
              <w:jc w:val="center"/>
              <w:rPr>
                <w:b/>
                <w:bCs/>
                <w:i/>
                <w:sz w:val="24"/>
                <w:szCs w:val="24"/>
              </w:rPr>
            </w:pPr>
            <w:r>
              <w:rPr>
                <w:b/>
                <w:bCs/>
                <w:i/>
                <w:sz w:val="24"/>
                <w:szCs w:val="24"/>
              </w:rPr>
              <w:t>≤ 35</w:t>
            </w:r>
          </w:p>
        </w:tc>
        <w:tc>
          <w:tcPr>
            <w:tcW w:w="1680" w:type="dxa"/>
            <w:tcBorders>
              <w:top w:val="single" w:sz="4" w:space="0" w:color="auto"/>
              <w:left w:val="single" w:sz="4" w:space="0" w:color="auto"/>
              <w:bottom w:val="single" w:sz="4" w:space="0" w:color="auto"/>
              <w:right w:val="single" w:sz="4" w:space="0" w:color="auto"/>
            </w:tcBorders>
            <w:shd w:val="clear" w:color="auto" w:fill="D9D9D9"/>
          </w:tcPr>
          <w:p w14:paraId="3C37F2E3" w14:textId="77777777" w:rsidR="001C08A5" w:rsidRDefault="00000000">
            <w:pPr>
              <w:snapToGrid w:val="0"/>
              <w:jc w:val="center"/>
              <w:rPr>
                <w:b/>
                <w:bCs/>
                <w:i/>
                <w:sz w:val="24"/>
                <w:szCs w:val="24"/>
              </w:rPr>
            </w:pPr>
            <w:r>
              <w:rPr>
                <w:b/>
                <w:bCs/>
                <w:i/>
                <w:sz w:val="24"/>
                <w:szCs w:val="24"/>
              </w:rPr>
              <w:t>&gt; 35</w:t>
            </w:r>
          </w:p>
        </w:tc>
        <w:tc>
          <w:tcPr>
            <w:tcW w:w="1680" w:type="dxa"/>
            <w:tcBorders>
              <w:top w:val="single" w:sz="4" w:space="0" w:color="auto"/>
              <w:left w:val="single" w:sz="4" w:space="0" w:color="auto"/>
              <w:bottom w:val="single" w:sz="4" w:space="0" w:color="auto"/>
              <w:right w:val="single" w:sz="4" w:space="0" w:color="auto"/>
            </w:tcBorders>
            <w:shd w:val="clear" w:color="auto" w:fill="D9D9D9"/>
          </w:tcPr>
          <w:p w14:paraId="496DC47B" w14:textId="77777777" w:rsidR="001C08A5" w:rsidRDefault="00000000">
            <w:pPr>
              <w:snapToGrid w:val="0"/>
              <w:jc w:val="center"/>
              <w:rPr>
                <w:b/>
                <w:bCs/>
                <w:i/>
                <w:sz w:val="24"/>
                <w:szCs w:val="24"/>
              </w:rPr>
            </w:pPr>
            <w:r>
              <w:rPr>
                <w:b/>
                <w:bCs/>
                <w:i/>
                <w:sz w:val="24"/>
                <w:szCs w:val="24"/>
              </w:rPr>
              <w:t>≤60</w:t>
            </w:r>
          </w:p>
        </w:tc>
      </w:tr>
      <w:tr w:rsidR="001C08A5" w14:paraId="3DAEB010" w14:textId="77777777">
        <w:tc>
          <w:tcPr>
            <w:tcW w:w="3500" w:type="dxa"/>
            <w:tcBorders>
              <w:top w:val="single" w:sz="4" w:space="0" w:color="auto"/>
              <w:left w:val="single" w:sz="4" w:space="0" w:color="auto"/>
              <w:bottom w:val="single" w:sz="4" w:space="0" w:color="auto"/>
              <w:right w:val="single" w:sz="4" w:space="0" w:color="auto"/>
            </w:tcBorders>
          </w:tcPr>
          <w:p w14:paraId="0A134FB2" w14:textId="77777777" w:rsidR="001C08A5" w:rsidRDefault="00000000">
            <w:pPr>
              <w:jc w:val="center"/>
              <w:rPr>
                <w:b/>
                <w:i/>
                <w:sz w:val="24"/>
                <w:szCs w:val="24"/>
              </w:rPr>
            </w:pPr>
            <w:r>
              <w:rPr>
                <w:bCs/>
                <w:i/>
                <w:sz w:val="24"/>
                <w:szCs w:val="24"/>
              </w:rPr>
              <w:t xml:space="preserve">Categoriile de lichide inflamabile </w:t>
            </w:r>
          </w:p>
        </w:tc>
        <w:tc>
          <w:tcPr>
            <w:tcW w:w="1260" w:type="dxa"/>
            <w:tcBorders>
              <w:top w:val="single" w:sz="4" w:space="0" w:color="auto"/>
              <w:left w:val="single" w:sz="4" w:space="0" w:color="auto"/>
              <w:bottom w:val="single" w:sz="4" w:space="0" w:color="auto"/>
              <w:right w:val="single" w:sz="4" w:space="0" w:color="auto"/>
            </w:tcBorders>
          </w:tcPr>
          <w:p w14:paraId="21E51AC9" w14:textId="77777777" w:rsidR="001C08A5" w:rsidRDefault="00000000">
            <w:pPr>
              <w:jc w:val="center"/>
              <w:rPr>
                <w:b/>
                <w:i/>
                <w:sz w:val="24"/>
                <w:szCs w:val="24"/>
              </w:rPr>
            </w:pPr>
            <w:r>
              <w:rPr>
                <w:b/>
                <w:i/>
                <w:sz w:val="24"/>
                <w:szCs w:val="24"/>
              </w:rPr>
              <w:t>L I</w:t>
            </w:r>
          </w:p>
        </w:tc>
        <w:tc>
          <w:tcPr>
            <w:tcW w:w="1680" w:type="dxa"/>
            <w:tcBorders>
              <w:top w:val="single" w:sz="4" w:space="0" w:color="auto"/>
              <w:left w:val="single" w:sz="4" w:space="0" w:color="auto"/>
              <w:bottom w:val="single" w:sz="4" w:space="0" w:color="auto"/>
              <w:right w:val="single" w:sz="4" w:space="0" w:color="auto"/>
            </w:tcBorders>
          </w:tcPr>
          <w:p w14:paraId="6D41508E" w14:textId="77777777" w:rsidR="001C08A5" w:rsidRDefault="00000000">
            <w:pPr>
              <w:jc w:val="center"/>
              <w:rPr>
                <w:b/>
                <w:i/>
                <w:sz w:val="24"/>
                <w:szCs w:val="24"/>
              </w:rPr>
            </w:pPr>
            <w:r>
              <w:rPr>
                <w:b/>
                <w:i/>
                <w:sz w:val="24"/>
                <w:szCs w:val="24"/>
              </w:rPr>
              <w:t>L II</w:t>
            </w:r>
          </w:p>
        </w:tc>
        <w:tc>
          <w:tcPr>
            <w:tcW w:w="1680" w:type="dxa"/>
            <w:tcBorders>
              <w:top w:val="single" w:sz="4" w:space="0" w:color="auto"/>
              <w:left w:val="single" w:sz="4" w:space="0" w:color="auto"/>
              <w:bottom w:val="single" w:sz="4" w:space="0" w:color="auto"/>
              <w:right w:val="single" w:sz="4" w:space="0" w:color="auto"/>
            </w:tcBorders>
          </w:tcPr>
          <w:p w14:paraId="7DBC58FC" w14:textId="77777777" w:rsidR="001C08A5" w:rsidRDefault="00000000">
            <w:pPr>
              <w:jc w:val="center"/>
              <w:rPr>
                <w:b/>
                <w:i/>
                <w:sz w:val="24"/>
                <w:szCs w:val="24"/>
              </w:rPr>
            </w:pPr>
            <w:r>
              <w:rPr>
                <w:b/>
                <w:i/>
                <w:sz w:val="24"/>
                <w:szCs w:val="24"/>
              </w:rPr>
              <w:t>L III</w:t>
            </w:r>
          </w:p>
        </w:tc>
      </w:tr>
    </w:tbl>
    <w:p w14:paraId="71A51AAB" w14:textId="77777777" w:rsidR="001C08A5" w:rsidRDefault="00000000">
      <w:pPr>
        <w:jc w:val="both"/>
        <w:rPr>
          <w:b/>
          <w:i/>
          <w:sz w:val="24"/>
          <w:szCs w:val="24"/>
          <w:u w:val="single"/>
          <w:lang w:val="en-GB"/>
        </w:rPr>
      </w:pPr>
      <w:r>
        <w:rPr>
          <w:bCs/>
          <w:i/>
          <w:sz w:val="24"/>
          <w:szCs w:val="24"/>
        </w:rPr>
        <w:t>Notă</w:t>
      </w:r>
      <w:r>
        <w:rPr>
          <w:bCs/>
          <w:i/>
          <w:sz w:val="24"/>
          <w:szCs w:val="24"/>
          <w:lang w:val="en-GB"/>
        </w:rPr>
        <w:t>(1)</w:t>
      </w:r>
      <w:r>
        <w:rPr>
          <w:bCs/>
          <w:i/>
          <w:sz w:val="24"/>
          <w:szCs w:val="24"/>
        </w:rPr>
        <w:t>:</w:t>
      </w:r>
      <w:r>
        <w:rPr>
          <w:bCs/>
          <w:i/>
          <w:sz w:val="24"/>
          <w:szCs w:val="24"/>
          <w:lang w:val="en-GB"/>
        </w:rPr>
        <w:t xml:space="preserve"> În sensul Regulamentul</w:t>
      </w:r>
      <w:r>
        <w:rPr>
          <w:bCs/>
          <w:i/>
          <w:sz w:val="24"/>
          <w:szCs w:val="24"/>
        </w:rPr>
        <w:t>ui</w:t>
      </w:r>
      <w:r>
        <w:rPr>
          <w:bCs/>
          <w:i/>
          <w:sz w:val="24"/>
          <w:szCs w:val="24"/>
          <w:lang w:val="en-GB"/>
        </w:rPr>
        <w:t xml:space="preserve"> (CE) nr. 1272/2008 al Parlamentului European şi al Consiliului</w:t>
      </w:r>
      <w:r>
        <w:rPr>
          <w:bCs/>
          <w:i/>
          <w:sz w:val="24"/>
          <w:szCs w:val="24"/>
        </w:rPr>
        <w:t xml:space="preserve"> in 16 decembrie 2008</w:t>
      </w:r>
      <w:r>
        <w:rPr>
          <w:bCs/>
          <w:i/>
          <w:sz w:val="24"/>
          <w:szCs w:val="24"/>
          <w:lang w:val="en-GB"/>
        </w:rPr>
        <w:t>, benzina, motorina şi fracţiile uşoare din petrol al căror punct de aprindere este cuprins</w:t>
      </w:r>
      <w:r>
        <w:rPr>
          <w:bCs/>
          <w:i/>
          <w:sz w:val="24"/>
          <w:szCs w:val="24"/>
        </w:rPr>
        <w:t xml:space="preserve"> </w:t>
      </w:r>
      <w:r>
        <w:rPr>
          <w:bCs/>
          <w:i/>
          <w:sz w:val="24"/>
          <w:szCs w:val="24"/>
          <w:lang w:val="en-GB"/>
        </w:rPr>
        <w:t>între ≥ 55</w:t>
      </w:r>
      <w:r>
        <w:rPr>
          <w:bCs/>
          <w:i/>
          <w:sz w:val="24"/>
          <w:szCs w:val="24"/>
          <w:vertAlign w:val="superscript"/>
          <w:lang w:val="en-GB"/>
        </w:rPr>
        <w:t>o</w:t>
      </w:r>
      <w:r>
        <w:rPr>
          <w:bCs/>
          <w:i/>
          <w:sz w:val="24"/>
          <w:szCs w:val="24"/>
          <w:vertAlign w:val="superscript"/>
        </w:rPr>
        <w:t xml:space="preserve"> </w:t>
      </w:r>
      <w:r>
        <w:rPr>
          <w:bCs/>
          <w:i/>
          <w:sz w:val="24"/>
          <w:szCs w:val="24"/>
          <w:lang w:val="en-GB"/>
        </w:rPr>
        <w:t>C şi ≤ 75</w:t>
      </w:r>
      <w:r>
        <w:rPr>
          <w:bCs/>
          <w:i/>
          <w:sz w:val="24"/>
          <w:szCs w:val="24"/>
          <w:vertAlign w:val="superscript"/>
          <w:lang w:val="en-GB"/>
        </w:rPr>
        <w:t>o</w:t>
      </w:r>
      <w:r>
        <w:rPr>
          <w:bCs/>
          <w:i/>
          <w:sz w:val="24"/>
          <w:szCs w:val="24"/>
          <w:vertAlign w:val="superscript"/>
        </w:rPr>
        <w:t xml:space="preserve"> </w:t>
      </w:r>
      <w:r>
        <w:rPr>
          <w:bCs/>
          <w:i/>
          <w:sz w:val="24"/>
          <w:szCs w:val="24"/>
          <w:lang w:val="en-GB"/>
        </w:rPr>
        <w:t>C pot fi considerate ca făcând parte din categoria 3</w:t>
      </w:r>
      <w:r>
        <w:rPr>
          <w:bCs/>
          <w:i/>
          <w:sz w:val="24"/>
          <w:szCs w:val="24"/>
        </w:rPr>
        <w:t xml:space="preserve"> (denumit</w:t>
      </w:r>
      <w:r>
        <w:rPr>
          <w:b/>
          <w:i/>
          <w:sz w:val="24"/>
          <w:szCs w:val="24"/>
        </w:rPr>
        <w:t xml:space="preserve"> LIII </w:t>
      </w:r>
      <w:r>
        <w:rPr>
          <w:bCs/>
          <w:i/>
          <w:sz w:val="24"/>
          <w:szCs w:val="24"/>
        </w:rPr>
        <w:t>in Normativ)</w:t>
      </w:r>
      <w:r>
        <w:rPr>
          <w:bCs/>
          <w:i/>
          <w:sz w:val="24"/>
          <w:szCs w:val="24"/>
          <w:lang w:val="en-GB"/>
        </w:rPr>
        <w:t>.</w:t>
      </w:r>
    </w:p>
    <w:p w14:paraId="65FD0F8D" w14:textId="77777777" w:rsidR="001C08A5" w:rsidRDefault="001C08A5">
      <w:pPr>
        <w:jc w:val="both"/>
        <w:rPr>
          <w:bCs/>
          <w:i/>
          <w:sz w:val="24"/>
          <w:szCs w:val="24"/>
          <w:lang w:val="en-GB"/>
        </w:rPr>
      </w:pPr>
    </w:p>
    <w:p w14:paraId="384A70C3" w14:textId="77777777" w:rsidR="001C08A5" w:rsidRDefault="00000000">
      <w:pPr>
        <w:numPr>
          <w:ilvl w:val="0"/>
          <w:numId w:val="96"/>
        </w:numPr>
        <w:tabs>
          <w:tab w:val="left" w:pos="426"/>
          <w:tab w:val="left" w:pos="993"/>
        </w:tabs>
        <w:jc w:val="both"/>
        <w:rPr>
          <w:bCs/>
          <w:i/>
          <w:sz w:val="24"/>
          <w:u w:val="single"/>
          <w:lang w:val="en-GB"/>
        </w:rPr>
      </w:pPr>
      <w:r>
        <w:rPr>
          <w:bCs/>
          <w:i/>
          <w:sz w:val="24"/>
          <w:lang w:val="en-GB"/>
        </w:rPr>
        <w:t>Lichid inflamabil înseamnă un lichid care are punctul de aprindere nu mai mare decât 60</w:t>
      </w:r>
      <w:r>
        <w:rPr>
          <w:bCs/>
          <w:i/>
          <w:sz w:val="24"/>
          <w:vertAlign w:val="superscript"/>
          <w:lang w:val="en-GB"/>
        </w:rPr>
        <w:t>o</w:t>
      </w:r>
      <w:r>
        <w:rPr>
          <w:bCs/>
          <w:i/>
          <w:sz w:val="24"/>
          <w:vertAlign w:val="superscript"/>
        </w:rPr>
        <w:t xml:space="preserve"> </w:t>
      </w:r>
      <w:r>
        <w:rPr>
          <w:bCs/>
          <w:i/>
          <w:sz w:val="24"/>
          <w:lang w:val="en-GB"/>
        </w:rPr>
        <w:t>C.</w:t>
      </w:r>
    </w:p>
    <w:p w14:paraId="1AD4A8D5" w14:textId="77777777" w:rsidR="001C08A5" w:rsidRDefault="00000000">
      <w:pPr>
        <w:pStyle w:val="Heading4"/>
        <w:rPr>
          <w:rFonts w:eastAsia="SimSun" w:cs="Times New Roman"/>
          <w:b w:val="0"/>
          <w:sz w:val="24"/>
        </w:rPr>
      </w:pPr>
      <w:bookmarkStart w:id="10145" w:name="_Toc6130"/>
      <w:bookmarkStart w:id="10146" w:name="_Toc719"/>
      <w:bookmarkStart w:id="10147" w:name="_Toc9857"/>
      <w:bookmarkStart w:id="10148" w:name="_Toc162355503"/>
      <w:bookmarkStart w:id="10149" w:name="_Toc3963"/>
      <w:bookmarkStart w:id="10150" w:name="_Toc29551"/>
      <w:r>
        <w:rPr>
          <w:sz w:val="24"/>
          <w:szCs w:val="24"/>
          <w:lang w:val="en-GB"/>
        </w:rPr>
        <w:t>Consideraţii suplimentare privind clasificarea</w:t>
      </w:r>
      <w:r>
        <w:rPr>
          <w:sz w:val="24"/>
          <w:szCs w:val="24"/>
        </w:rPr>
        <w:t xml:space="preserve"> lichidelor inflamabile</w:t>
      </w:r>
      <w:bookmarkEnd w:id="10145"/>
      <w:bookmarkEnd w:id="10146"/>
      <w:bookmarkEnd w:id="10147"/>
      <w:bookmarkEnd w:id="10148"/>
      <w:bookmarkEnd w:id="10149"/>
      <w:bookmarkEnd w:id="10150"/>
    </w:p>
    <w:p w14:paraId="6B5DAB7F" w14:textId="77777777" w:rsidR="001C08A5" w:rsidRDefault="00000000">
      <w:pPr>
        <w:numPr>
          <w:ilvl w:val="0"/>
          <w:numId w:val="96"/>
        </w:numPr>
        <w:tabs>
          <w:tab w:val="left" w:pos="426"/>
          <w:tab w:val="left" w:pos="993"/>
        </w:tabs>
        <w:jc w:val="both"/>
        <w:rPr>
          <w:bCs/>
          <w:i/>
          <w:sz w:val="24"/>
        </w:rPr>
      </w:pPr>
      <w:r>
        <w:rPr>
          <w:bCs/>
          <w:i/>
          <w:sz w:val="24"/>
        </w:rPr>
        <w:t xml:space="preserve">Pentru clasificarea lichidelor inflamabile sunt necesare date despre punctul de aprindere </w:t>
      </w:r>
      <w:r>
        <w:rPr>
          <w:rFonts w:eastAsia="EUAlbertina+01"/>
          <w:bCs/>
          <w:i/>
          <w:sz w:val="24"/>
        </w:rPr>
        <w:t>ş</w:t>
      </w:r>
      <w:r>
        <w:rPr>
          <w:bCs/>
          <w:i/>
          <w:sz w:val="24"/>
        </w:rPr>
        <w:t>i punctul ini</w:t>
      </w:r>
      <w:r>
        <w:rPr>
          <w:rFonts w:eastAsia="EUAlbertina+01"/>
          <w:bCs/>
          <w:i/>
          <w:sz w:val="24"/>
        </w:rPr>
        <w:t>ţ</w:t>
      </w:r>
      <w:r>
        <w:rPr>
          <w:bCs/>
          <w:i/>
          <w:sz w:val="24"/>
        </w:rPr>
        <w:t>ial de fierbere. Datele pot fi determinate prin testare, g</w:t>
      </w:r>
      <w:r>
        <w:rPr>
          <w:rFonts w:eastAsia="EUAlbertina+01"/>
          <w:bCs/>
          <w:i/>
          <w:sz w:val="24"/>
        </w:rPr>
        <w:t>ă</w:t>
      </w:r>
      <w:r>
        <w:rPr>
          <w:bCs/>
          <w:i/>
          <w:sz w:val="24"/>
        </w:rPr>
        <w:t>site în literatura de specialitate sau calculate. Dac</w:t>
      </w:r>
      <w:r>
        <w:rPr>
          <w:rFonts w:eastAsia="EUAlbertina+01"/>
          <w:bCs/>
          <w:i/>
          <w:sz w:val="24"/>
        </w:rPr>
        <w:t xml:space="preserve">ă </w:t>
      </w:r>
      <w:r>
        <w:rPr>
          <w:bCs/>
          <w:i/>
          <w:sz w:val="24"/>
        </w:rPr>
        <w:t>nu exist</w:t>
      </w:r>
      <w:r>
        <w:rPr>
          <w:rFonts w:eastAsia="EUAlbertina+01"/>
          <w:bCs/>
          <w:i/>
          <w:sz w:val="24"/>
        </w:rPr>
        <w:t xml:space="preserve">ă </w:t>
      </w:r>
      <w:r>
        <w:rPr>
          <w:bCs/>
          <w:i/>
          <w:sz w:val="24"/>
        </w:rPr>
        <w:t xml:space="preserve">date disponibile, punctul de aprindere </w:t>
      </w:r>
      <w:r>
        <w:rPr>
          <w:rFonts w:eastAsia="EUAlbertina+01"/>
          <w:bCs/>
          <w:i/>
          <w:sz w:val="24"/>
        </w:rPr>
        <w:t>ş</w:t>
      </w:r>
      <w:r>
        <w:rPr>
          <w:bCs/>
          <w:i/>
          <w:sz w:val="24"/>
        </w:rPr>
        <w:t>i punctul ini</w:t>
      </w:r>
      <w:r>
        <w:rPr>
          <w:rFonts w:eastAsia="EUAlbertina+01"/>
          <w:bCs/>
          <w:i/>
          <w:sz w:val="24"/>
        </w:rPr>
        <w:t>ţ</w:t>
      </w:r>
      <w:r>
        <w:rPr>
          <w:bCs/>
          <w:i/>
          <w:sz w:val="24"/>
        </w:rPr>
        <w:t>ial de fierbere trebuie determinate prin testare. Pentru determinarea punctului de aprindere se folose</w:t>
      </w:r>
      <w:r>
        <w:rPr>
          <w:rFonts w:eastAsia="EUAlbertina+01"/>
          <w:bCs/>
          <w:i/>
          <w:sz w:val="24"/>
        </w:rPr>
        <w:t>ş</w:t>
      </w:r>
      <w:r>
        <w:rPr>
          <w:bCs/>
          <w:i/>
          <w:sz w:val="24"/>
        </w:rPr>
        <w:t>te metoda de testare în vas închis.</w:t>
      </w:r>
    </w:p>
    <w:p w14:paraId="03892937" w14:textId="77777777" w:rsidR="001C08A5" w:rsidRDefault="001C08A5">
      <w:pPr>
        <w:jc w:val="both"/>
        <w:rPr>
          <w:rFonts w:eastAsia="EUAlbertina"/>
          <w:i/>
          <w:sz w:val="24"/>
          <w:szCs w:val="24"/>
          <w:lang w:val="en-GB"/>
        </w:rPr>
      </w:pPr>
    </w:p>
    <w:p w14:paraId="3FFEE30B" w14:textId="77777777" w:rsidR="001C08A5" w:rsidRDefault="00000000">
      <w:pPr>
        <w:numPr>
          <w:ilvl w:val="0"/>
          <w:numId w:val="96"/>
        </w:numPr>
        <w:tabs>
          <w:tab w:val="left" w:pos="426"/>
          <w:tab w:val="left" w:pos="993"/>
        </w:tabs>
        <w:jc w:val="both"/>
        <w:rPr>
          <w:bCs/>
          <w:i/>
          <w:sz w:val="24"/>
        </w:rPr>
      </w:pPr>
      <w:r>
        <w:rPr>
          <w:bCs/>
          <w:i/>
          <w:sz w:val="24"/>
        </w:rPr>
        <w:t>În cazul amestecurilor (1) care con</w:t>
      </w:r>
      <w:r>
        <w:rPr>
          <w:rFonts w:eastAsia="EUAlbertina+01"/>
          <w:bCs/>
          <w:i/>
          <w:sz w:val="24"/>
        </w:rPr>
        <w:t>ţ</w:t>
      </w:r>
      <w:r>
        <w:rPr>
          <w:bCs/>
          <w:i/>
          <w:sz w:val="24"/>
        </w:rPr>
        <w:t>in lichide inflamabile cunoscute în concentra</w:t>
      </w:r>
      <w:r>
        <w:rPr>
          <w:rFonts w:eastAsia="EUAlbertina+01"/>
          <w:bCs/>
          <w:i/>
          <w:sz w:val="24"/>
        </w:rPr>
        <w:t>ţ</w:t>
      </w:r>
      <w:r>
        <w:rPr>
          <w:bCs/>
          <w:i/>
          <w:sz w:val="24"/>
        </w:rPr>
        <w:t>ii definite, de</w:t>
      </w:r>
      <w:r>
        <w:rPr>
          <w:rFonts w:eastAsia="EUAlbertina+01"/>
          <w:bCs/>
          <w:i/>
          <w:sz w:val="24"/>
        </w:rPr>
        <w:t>ş</w:t>
      </w:r>
      <w:r>
        <w:rPr>
          <w:bCs/>
          <w:i/>
          <w:sz w:val="24"/>
        </w:rPr>
        <w:t>i ele pot con</w:t>
      </w:r>
      <w:r>
        <w:rPr>
          <w:rFonts w:eastAsia="EUAlbertina+01"/>
          <w:bCs/>
          <w:i/>
          <w:sz w:val="24"/>
        </w:rPr>
        <w:t>ţ</w:t>
      </w:r>
      <w:r>
        <w:rPr>
          <w:bCs/>
          <w:i/>
          <w:sz w:val="24"/>
        </w:rPr>
        <w:t>ine componen</w:t>
      </w:r>
      <w:r>
        <w:rPr>
          <w:rFonts w:eastAsia="EUAlbertina+01"/>
          <w:bCs/>
          <w:i/>
          <w:sz w:val="24"/>
        </w:rPr>
        <w:t>ţ</w:t>
      </w:r>
      <w:r>
        <w:rPr>
          <w:bCs/>
          <w:i/>
          <w:sz w:val="24"/>
        </w:rPr>
        <w:t>i nevolatili, ca de exemplu polimeri sau aditivi, punctul de aprindere nu e necesar s</w:t>
      </w:r>
      <w:r>
        <w:rPr>
          <w:rFonts w:eastAsia="EUAlbertina+01"/>
          <w:bCs/>
          <w:i/>
          <w:sz w:val="24"/>
        </w:rPr>
        <w:t xml:space="preserve">ă </w:t>
      </w:r>
      <w:r>
        <w:rPr>
          <w:bCs/>
          <w:i/>
          <w:sz w:val="24"/>
        </w:rPr>
        <w:t>fie determinat experimental dac</w:t>
      </w:r>
      <w:r>
        <w:rPr>
          <w:rFonts w:eastAsia="EUAlbertina+01"/>
          <w:bCs/>
          <w:i/>
          <w:sz w:val="24"/>
        </w:rPr>
        <w:t xml:space="preserve">ă </w:t>
      </w:r>
      <w:r>
        <w:rPr>
          <w:bCs/>
          <w:i/>
          <w:sz w:val="24"/>
        </w:rPr>
        <w:t>punctul de aprindere calculat al amestecului, utilizând metoda descris</w:t>
      </w:r>
      <w:r>
        <w:rPr>
          <w:rFonts w:eastAsia="EUAlbertina+01"/>
          <w:bCs/>
          <w:i/>
          <w:sz w:val="24"/>
        </w:rPr>
        <w:t xml:space="preserve">ă </w:t>
      </w:r>
      <w:r>
        <w:rPr>
          <w:bCs/>
          <w:i/>
          <w:sz w:val="24"/>
        </w:rPr>
        <w:t xml:space="preserve">la punctul 2.6.4.3 din Regulamentului (CE) nr. 1272/2008 al Parlamentului </w:t>
      </w:r>
      <w:r>
        <w:rPr>
          <w:bCs/>
          <w:i/>
          <w:sz w:val="24"/>
        </w:rPr>
        <w:lastRenderedPageBreak/>
        <w:t>European şi al Consiliului in 16 decembrie 2008, este cu cel pu</w:t>
      </w:r>
      <w:r>
        <w:rPr>
          <w:rFonts w:eastAsia="EUAlbertina+01"/>
          <w:bCs/>
          <w:i/>
          <w:sz w:val="24"/>
        </w:rPr>
        <w:t>ţ</w:t>
      </w:r>
      <w:r>
        <w:rPr>
          <w:bCs/>
          <w:i/>
          <w:sz w:val="24"/>
        </w:rPr>
        <w:t xml:space="preserve">in 5 </w:t>
      </w:r>
      <w:r>
        <w:rPr>
          <w:bCs/>
          <w:i/>
          <w:sz w:val="24"/>
          <w:vertAlign w:val="superscript"/>
        </w:rPr>
        <w:t>o</w:t>
      </w:r>
      <w:r>
        <w:rPr>
          <w:bCs/>
          <w:i/>
          <w:sz w:val="24"/>
        </w:rPr>
        <w:t>C (2) mai mare decât criteriul de clasificare corespunz</w:t>
      </w:r>
      <w:r>
        <w:rPr>
          <w:rFonts w:eastAsia="EUAlbertina+01"/>
          <w:bCs/>
          <w:i/>
          <w:sz w:val="24"/>
        </w:rPr>
        <w:t>ă</w:t>
      </w:r>
      <w:r>
        <w:rPr>
          <w:bCs/>
          <w:i/>
          <w:sz w:val="24"/>
        </w:rPr>
        <w:t xml:space="preserve">tor </w:t>
      </w:r>
      <w:r>
        <w:rPr>
          <w:rFonts w:eastAsia="EUAlbertina+01"/>
          <w:bCs/>
          <w:i/>
          <w:sz w:val="24"/>
        </w:rPr>
        <w:t>ş</w:t>
      </w:r>
      <w:r>
        <w:rPr>
          <w:bCs/>
          <w:i/>
          <w:sz w:val="24"/>
        </w:rPr>
        <w:t>i cu condi</w:t>
      </w:r>
      <w:r>
        <w:rPr>
          <w:rFonts w:eastAsia="EUAlbertina+01"/>
          <w:bCs/>
          <w:i/>
          <w:sz w:val="24"/>
        </w:rPr>
        <w:t>ţ</w:t>
      </w:r>
      <w:r>
        <w:rPr>
          <w:bCs/>
          <w:i/>
          <w:sz w:val="24"/>
        </w:rPr>
        <w:t>ia ca:</w:t>
      </w:r>
    </w:p>
    <w:p w14:paraId="30590273" w14:textId="77777777" w:rsidR="001C08A5" w:rsidRDefault="00000000">
      <w:pPr>
        <w:ind w:left="720" w:firstLine="720"/>
        <w:jc w:val="both"/>
        <w:rPr>
          <w:rFonts w:eastAsia="EUAlbertina"/>
          <w:i/>
          <w:sz w:val="24"/>
          <w:szCs w:val="24"/>
        </w:rPr>
      </w:pPr>
      <w:r>
        <w:rPr>
          <w:rFonts w:eastAsia="EUAlbertina"/>
          <w:i/>
          <w:sz w:val="24"/>
          <w:szCs w:val="24"/>
        </w:rPr>
        <w:t>(a) s</w:t>
      </w:r>
      <w:r>
        <w:rPr>
          <w:rFonts w:eastAsia="EUAlbertina+01"/>
          <w:i/>
          <w:sz w:val="24"/>
          <w:szCs w:val="24"/>
        </w:rPr>
        <w:t xml:space="preserve">ă </w:t>
      </w:r>
      <w:r>
        <w:rPr>
          <w:rFonts w:eastAsia="EUAlbertina"/>
          <w:i/>
          <w:sz w:val="24"/>
          <w:szCs w:val="24"/>
        </w:rPr>
        <w:t>fie cunoscut</w:t>
      </w:r>
      <w:r>
        <w:rPr>
          <w:rFonts w:eastAsia="EUAlbertina+01"/>
          <w:i/>
          <w:sz w:val="24"/>
          <w:szCs w:val="24"/>
        </w:rPr>
        <w:t xml:space="preserve">ă </w:t>
      </w:r>
      <w:r>
        <w:rPr>
          <w:rFonts w:eastAsia="EUAlbertina"/>
          <w:i/>
          <w:sz w:val="24"/>
          <w:szCs w:val="24"/>
        </w:rPr>
        <w:t>cu exactitate compozi</w:t>
      </w:r>
      <w:r>
        <w:rPr>
          <w:rFonts w:eastAsia="EUAlbertina+01"/>
          <w:i/>
          <w:sz w:val="24"/>
          <w:szCs w:val="24"/>
        </w:rPr>
        <w:t>ţ</w:t>
      </w:r>
      <w:r>
        <w:rPr>
          <w:rFonts w:eastAsia="EUAlbertina"/>
          <w:i/>
          <w:sz w:val="24"/>
          <w:szCs w:val="24"/>
        </w:rPr>
        <w:t>ia amestecului (dac</w:t>
      </w:r>
      <w:r>
        <w:rPr>
          <w:rFonts w:eastAsia="EUAlbertina+01"/>
          <w:i/>
          <w:sz w:val="24"/>
          <w:szCs w:val="24"/>
        </w:rPr>
        <w:t xml:space="preserve">ă </w:t>
      </w:r>
      <w:r>
        <w:rPr>
          <w:rFonts w:eastAsia="EUAlbertina"/>
          <w:i/>
          <w:sz w:val="24"/>
          <w:szCs w:val="24"/>
        </w:rPr>
        <w:t>materialul are o compozi</w:t>
      </w:r>
      <w:r>
        <w:rPr>
          <w:rFonts w:eastAsia="EUAlbertina+01"/>
          <w:i/>
          <w:sz w:val="24"/>
          <w:szCs w:val="24"/>
        </w:rPr>
        <w:t>ţ</w:t>
      </w:r>
      <w:r>
        <w:rPr>
          <w:rFonts w:eastAsia="EUAlbertina"/>
          <w:i/>
          <w:sz w:val="24"/>
          <w:szCs w:val="24"/>
        </w:rPr>
        <w:t>ie care poate varia în limite specificate; pentru evaluare trebuie selectat</w:t>
      </w:r>
      <w:r>
        <w:rPr>
          <w:rFonts w:eastAsia="EUAlbertina+01"/>
          <w:i/>
          <w:sz w:val="24"/>
          <w:szCs w:val="24"/>
        </w:rPr>
        <w:t xml:space="preserve">ă </w:t>
      </w:r>
      <w:r>
        <w:rPr>
          <w:rFonts w:eastAsia="EUAlbertina"/>
          <w:i/>
          <w:sz w:val="24"/>
          <w:szCs w:val="24"/>
        </w:rPr>
        <w:t>compozi</w:t>
      </w:r>
      <w:r>
        <w:rPr>
          <w:rFonts w:eastAsia="EUAlbertina+01"/>
          <w:i/>
          <w:sz w:val="24"/>
          <w:szCs w:val="24"/>
        </w:rPr>
        <w:t>ţ</w:t>
      </w:r>
      <w:r>
        <w:rPr>
          <w:rFonts w:eastAsia="EUAlbertina"/>
          <w:i/>
          <w:sz w:val="24"/>
          <w:szCs w:val="24"/>
        </w:rPr>
        <w:t>ia cu cel mai redus punct de aprindere calculat);</w:t>
      </w:r>
    </w:p>
    <w:p w14:paraId="61BFCD5E" w14:textId="77777777" w:rsidR="001C08A5" w:rsidRDefault="00000000">
      <w:pPr>
        <w:ind w:left="720" w:firstLine="720"/>
        <w:jc w:val="both"/>
        <w:rPr>
          <w:rFonts w:eastAsia="EUAlbertina"/>
          <w:i/>
          <w:sz w:val="24"/>
          <w:szCs w:val="24"/>
        </w:rPr>
      </w:pPr>
      <w:r>
        <w:rPr>
          <w:rFonts w:eastAsia="EUAlbertina"/>
          <w:i/>
          <w:sz w:val="24"/>
          <w:szCs w:val="24"/>
        </w:rPr>
        <w:t>(b) s</w:t>
      </w:r>
      <w:r>
        <w:rPr>
          <w:rFonts w:eastAsia="EUAlbertina+01"/>
          <w:i/>
          <w:sz w:val="24"/>
          <w:szCs w:val="24"/>
        </w:rPr>
        <w:t xml:space="preserve">ă </w:t>
      </w:r>
      <w:r>
        <w:rPr>
          <w:rFonts w:eastAsia="EUAlbertina"/>
          <w:i/>
          <w:sz w:val="24"/>
          <w:szCs w:val="24"/>
        </w:rPr>
        <w:t>fie cunoscut</w:t>
      </w:r>
      <w:r>
        <w:rPr>
          <w:rFonts w:eastAsia="EUAlbertina+01"/>
          <w:i/>
          <w:sz w:val="24"/>
          <w:szCs w:val="24"/>
        </w:rPr>
        <w:t xml:space="preserve">ă </w:t>
      </w:r>
      <w:r>
        <w:rPr>
          <w:rFonts w:eastAsia="EUAlbertina"/>
          <w:i/>
          <w:sz w:val="24"/>
          <w:szCs w:val="24"/>
        </w:rPr>
        <w:t>limita inferioar</w:t>
      </w:r>
      <w:r>
        <w:rPr>
          <w:rFonts w:eastAsia="EUAlbertina+01"/>
          <w:i/>
          <w:sz w:val="24"/>
          <w:szCs w:val="24"/>
        </w:rPr>
        <w:t xml:space="preserve">ă </w:t>
      </w:r>
      <w:r>
        <w:rPr>
          <w:rFonts w:eastAsia="EUAlbertina"/>
          <w:i/>
          <w:sz w:val="24"/>
          <w:szCs w:val="24"/>
        </w:rPr>
        <w:t>de explozie a fiec</w:t>
      </w:r>
      <w:r>
        <w:rPr>
          <w:rFonts w:eastAsia="EUAlbertina+01"/>
          <w:i/>
          <w:sz w:val="24"/>
          <w:szCs w:val="24"/>
        </w:rPr>
        <w:t>ă</w:t>
      </w:r>
      <w:r>
        <w:rPr>
          <w:rFonts w:eastAsia="EUAlbertina"/>
          <w:i/>
          <w:sz w:val="24"/>
          <w:szCs w:val="24"/>
        </w:rPr>
        <w:t>rui component (trebuie aplicat</w:t>
      </w:r>
      <w:r>
        <w:rPr>
          <w:rFonts w:eastAsia="EUAlbertina+01"/>
          <w:i/>
          <w:sz w:val="24"/>
          <w:szCs w:val="24"/>
        </w:rPr>
        <w:t xml:space="preserve">ă </w:t>
      </w:r>
      <w:r>
        <w:rPr>
          <w:rFonts w:eastAsia="EUAlbertina"/>
          <w:i/>
          <w:sz w:val="24"/>
          <w:szCs w:val="24"/>
        </w:rPr>
        <w:t>o corela</w:t>
      </w:r>
      <w:r>
        <w:rPr>
          <w:rFonts w:eastAsia="EUAlbertina+01"/>
          <w:i/>
          <w:sz w:val="24"/>
          <w:szCs w:val="24"/>
        </w:rPr>
        <w:t>ţ</w:t>
      </w:r>
      <w:r>
        <w:rPr>
          <w:rFonts w:eastAsia="EUAlbertina"/>
          <w:i/>
          <w:sz w:val="24"/>
          <w:szCs w:val="24"/>
        </w:rPr>
        <w:t>ie adecvat</w:t>
      </w:r>
      <w:r>
        <w:rPr>
          <w:rFonts w:eastAsia="EUAlbertina+01"/>
          <w:i/>
          <w:sz w:val="24"/>
          <w:szCs w:val="24"/>
        </w:rPr>
        <w:t xml:space="preserve">ă </w:t>
      </w:r>
      <w:r>
        <w:rPr>
          <w:rFonts w:eastAsia="EUAlbertina"/>
          <w:i/>
          <w:sz w:val="24"/>
          <w:szCs w:val="24"/>
        </w:rPr>
        <w:t>atunci când aceste date sunt extrapolate la alte temperaturi decât condi</w:t>
      </w:r>
      <w:r>
        <w:rPr>
          <w:rFonts w:eastAsia="EUAlbertina+01"/>
          <w:i/>
          <w:sz w:val="24"/>
          <w:szCs w:val="24"/>
        </w:rPr>
        <w:t>ţ</w:t>
      </w:r>
      <w:r>
        <w:rPr>
          <w:rFonts w:eastAsia="EUAlbertina"/>
          <w:i/>
          <w:sz w:val="24"/>
          <w:szCs w:val="24"/>
        </w:rPr>
        <w:t xml:space="preserve">iile de testare), precum </w:t>
      </w:r>
      <w:r>
        <w:rPr>
          <w:rFonts w:eastAsia="EUAlbertina+01"/>
          <w:i/>
          <w:sz w:val="24"/>
          <w:szCs w:val="24"/>
        </w:rPr>
        <w:t>ş</w:t>
      </w:r>
      <w:r>
        <w:rPr>
          <w:rFonts w:eastAsia="EUAlbertina"/>
          <w:i/>
          <w:sz w:val="24"/>
          <w:szCs w:val="24"/>
        </w:rPr>
        <w:t>i o metod</w:t>
      </w:r>
      <w:r>
        <w:rPr>
          <w:rFonts w:eastAsia="EUAlbertina+01"/>
          <w:i/>
          <w:sz w:val="24"/>
          <w:szCs w:val="24"/>
        </w:rPr>
        <w:t xml:space="preserve">ă </w:t>
      </w:r>
      <w:r>
        <w:rPr>
          <w:rFonts w:eastAsia="EUAlbertina"/>
          <w:i/>
          <w:sz w:val="24"/>
          <w:szCs w:val="24"/>
        </w:rPr>
        <w:t>de calculare a limitei inferioare de explozie;</w:t>
      </w:r>
    </w:p>
    <w:p w14:paraId="163675F4" w14:textId="77777777" w:rsidR="001C08A5" w:rsidRDefault="00000000">
      <w:pPr>
        <w:ind w:left="720" w:firstLine="720"/>
        <w:jc w:val="both"/>
        <w:rPr>
          <w:rFonts w:eastAsia="EUAlbertina"/>
          <w:i/>
          <w:sz w:val="24"/>
          <w:szCs w:val="24"/>
        </w:rPr>
      </w:pPr>
      <w:r>
        <w:rPr>
          <w:rFonts w:eastAsia="EUAlbertina"/>
          <w:i/>
          <w:sz w:val="24"/>
          <w:szCs w:val="24"/>
        </w:rPr>
        <w:t>(c) s</w:t>
      </w:r>
      <w:r>
        <w:rPr>
          <w:rFonts w:eastAsia="EUAlbertina+01"/>
          <w:i/>
          <w:sz w:val="24"/>
          <w:szCs w:val="24"/>
        </w:rPr>
        <w:t xml:space="preserve">ă </w:t>
      </w:r>
      <w:r>
        <w:rPr>
          <w:rFonts w:eastAsia="EUAlbertina"/>
          <w:i/>
          <w:sz w:val="24"/>
          <w:szCs w:val="24"/>
        </w:rPr>
        <w:t>fie cunoscut</w:t>
      </w:r>
      <w:r>
        <w:rPr>
          <w:rFonts w:eastAsia="EUAlbertina+01"/>
          <w:i/>
          <w:sz w:val="24"/>
          <w:szCs w:val="24"/>
        </w:rPr>
        <w:t xml:space="preserve">ă </w:t>
      </w:r>
      <w:r>
        <w:rPr>
          <w:rFonts w:eastAsia="EUAlbertina"/>
          <w:i/>
          <w:sz w:val="24"/>
          <w:szCs w:val="24"/>
        </w:rPr>
        <w:t>dependen</w:t>
      </w:r>
      <w:r>
        <w:rPr>
          <w:rFonts w:eastAsia="EUAlbertina+01"/>
          <w:i/>
          <w:sz w:val="24"/>
          <w:szCs w:val="24"/>
        </w:rPr>
        <w:t>ţ</w:t>
      </w:r>
      <w:r>
        <w:rPr>
          <w:rFonts w:eastAsia="EUAlbertina"/>
          <w:i/>
          <w:sz w:val="24"/>
          <w:szCs w:val="24"/>
        </w:rPr>
        <w:t>a de temperatur</w:t>
      </w:r>
      <w:r>
        <w:rPr>
          <w:rFonts w:eastAsia="EUAlbertina+01"/>
          <w:i/>
          <w:sz w:val="24"/>
          <w:szCs w:val="24"/>
        </w:rPr>
        <w:t xml:space="preserve">ă </w:t>
      </w:r>
      <w:r>
        <w:rPr>
          <w:rFonts w:eastAsia="EUAlbertina"/>
          <w:i/>
          <w:sz w:val="24"/>
          <w:szCs w:val="24"/>
        </w:rPr>
        <w:t>a presiunii de vapori satura</w:t>
      </w:r>
      <w:r>
        <w:rPr>
          <w:rFonts w:eastAsia="EUAlbertina+01"/>
          <w:i/>
          <w:sz w:val="24"/>
          <w:szCs w:val="24"/>
        </w:rPr>
        <w:t>ţ</w:t>
      </w:r>
      <w:r>
        <w:rPr>
          <w:rFonts w:eastAsia="EUAlbertina"/>
          <w:i/>
          <w:sz w:val="24"/>
          <w:szCs w:val="24"/>
        </w:rPr>
        <w:t xml:space="preserve">i </w:t>
      </w:r>
      <w:r>
        <w:rPr>
          <w:rFonts w:eastAsia="EUAlbertina+01"/>
          <w:i/>
          <w:sz w:val="24"/>
          <w:szCs w:val="24"/>
        </w:rPr>
        <w:t>ş</w:t>
      </w:r>
      <w:r>
        <w:rPr>
          <w:rFonts w:eastAsia="EUAlbertina"/>
          <w:i/>
          <w:sz w:val="24"/>
          <w:szCs w:val="24"/>
        </w:rPr>
        <w:t>i a coeficientului de activitate pentru fiecare component în forma în care acesta este prezent în amestec;</w:t>
      </w:r>
    </w:p>
    <w:p w14:paraId="4257CD35" w14:textId="77777777" w:rsidR="001C08A5" w:rsidRDefault="00000000">
      <w:pPr>
        <w:ind w:left="720" w:firstLine="720"/>
        <w:jc w:val="both"/>
        <w:rPr>
          <w:rFonts w:eastAsia="EUAlbertina"/>
          <w:i/>
          <w:sz w:val="24"/>
          <w:szCs w:val="24"/>
        </w:rPr>
      </w:pPr>
      <w:r>
        <w:rPr>
          <w:rFonts w:eastAsia="EUAlbertina"/>
          <w:i/>
          <w:sz w:val="24"/>
          <w:szCs w:val="24"/>
        </w:rPr>
        <w:t>(d) starea lichid</w:t>
      </w:r>
      <w:r>
        <w:rPr>
          <w:rFonts w:eastAsia="EUAlbertina+01"/>
          <w:i/>
          <w:sz w:val="24"/>
          <w:szCs w:val="24"/>
        </w:rPr>
        <w:t xml:space="preserve">ă </w:t>
      </w:r>
      <w:r>
        <w:rPr>
          <w:rFonts w:eastAsia="EUAlbertina"/>
          <w:i/>
          <w:sz w:val="24"/>
          <w:szCs w:val="24"/>
        </w:rPr>
        <w:t>s</w:t>
      </w:r>
      <w:r>
        <w:rPr>
          <w:rFonts w:eastAsia="EUAlbertina+01"/>
          <w:i/>
          <w:sz w:val="24"/>
          <w:szCs w:val="24"/>
        </w:rPr>
        <w:t xml:space="preserve">ă </w:t>
      </w:r>
      <w:r>
        <w:rPr>
          <w:rFonts w:eastAsia="EUAlbertina"/>
          <w:i/>
          <w:sz w:val="24"/>
          <w:szCs w:val="24"/>
        </w:rPr>
        <w:t>fie omogen</w:t>
      </w:r>
      <w:r>
        <w:rPr>
          <w:rFonts w:eastAsia="EUAlbertina+01"/>
          <w:i/>
          <w:sz w:val="24"/>
          <w:szCs w:val="24"/>
        </w:rPr>
        <w:t>ă</w:t>
      </w:r>
      <w:r>
        <w:rPr>
          <w:rFonts w:eastAsia="EUAlbertina"/>
          <w:i/>
          <w:sz w:val="24"/>
          <w:szCs w:val="24"/>
        </w:rPr>
        <w:t>.</w:t>
      </w:r>
    </w:p>
    <w:p w14:paraId="3D68539B" w14:textId="77777777" w:rsidR="001C08A5" w:rsidRDefault="001C08A5">
      <w:pPr>
        <w:jc w:val="both"/>
        <w:rPr>
          <w:rFonts w:eastAsia="EUAlbertina"/>
          <w:i/>
          <w:sz w:val="24"/>
          <w:szCs w:val="24"/>
        </w:rPr>
      </w:pPr>
    </w:p>
    <w:p w14:paraId="665C239E" w14:textId="77777777" w:rsidR="001C08A5" w:rsidRDefault="00000000">
      <w:pPr>
        <w:numPr>
          <w:ilvl w:val="0"/>
          <w:numId w:val="96"/>
        </w:numPr>
        <w:tabs>
          <w:tab w:val="left" w:pos="426"/>
          <w:tab w:val="left" w:pos="993"/>
        </w:tabs>
        <w:jc w:val="both"/>
        <w:rPr>
          <w:bCs/>
          <w:i/>
          <w:sz w:val="24"/>
        </w:rPr>
      </w:pPr>
      <w:r>
        <w:rPr>
          <w:bCs/>
          <w:i/>
          <w:sz w:val="24"/>
        </w:rPr>
        <w:t>Pentru un amestec care con</w:t>
      </w:r>
      <w:r>
        <w:rPr>
          <w:rFonts w:eastAsia="EUAlbertina+01"/>
          <w:bCs/>
          <w:i/>
          <w:sz w:val="24"/>
        </w:rPr>
        <w:t>ţ</w:t>
      </w:r>
      <w:r>
        <w:rPr>
          <w:bCs/>
          <w:i/>
          <w:sz w:val="24"/>
        </w:rPr>
        <w:t>ine componen</w:t>
      </w:r>
      <w:r>
        <w:rPr>
          <w:rFonts w:eastAsia="EUAlbertina+01"/>
          <w:bCs/>
          <w:i/>
          <w:sz w:val="24"/>
        </w:rPr>
        <w:t>ţ</w:t>
      </w:r>
      <w:r>
        <w:rPr>
          <w:bCs/>
          <w:i/>
          <w:sz w:val="24"/>
        </w:rPr>
        <w:t>i nonvolatili, punctul de aprindere se calculeaz</w:t>
      </w:r>
      <w:r>
        <w:rPr>
          <w:rFonts w:eastAsia="EUAlbertina+01"/>
          <w:bCs/>
          <w:i/>
          <w:sz w:val="24"/>
        </w:rPr>
        <w:t xml:space="preserve">ă </w:t>
      </w:r>
      <w:r>
        <w:rPr>
          <w:bCs/>
          <w:i/>
          <w:sz w:val="24"/>
        </w:rPr>
        <w:t>pe baza componen</w:t>
      </w:r>
      <w:r>
        <w:rPr>
          <w:rFonts w:eastAsia="EUAlbertina+01"/>
          <w:bCs/>
          <w:i/>
          <w:sz w:val="24"/>
        </w:rPr>
        <w:t>ţ</w:t>
      </w:r>
      <w:r>
        <w:rPr>
          <w:bCs/>
          <w:i/>
          <w:sz w:val="24"/>
        </w:rPr>
        <w:t>ilor volatilei Se consider</w:t>
      </w:r>
      <w:r>
        <w:rPr>
          <w:rFonts w:eastAsia="EUAlbertina+01"/>
          <w:bCs/>
          <w:i/>
          <w:sz w:val="24"/>
        </w:rPr>
        <w:t xml:space="preserve">ă </w:t>
      </w:r>
      <w:r>
        <w:rPr>
          <w:bCs/>
          <w:i/>
          <w:sz w:val="24"/>
        </w:rPr>
        <w:t>c</w:t>
      </w:r>
      <w:r>
        <w:rPr>
          <w:rFonts w:eastAsia="EUAlbertina+01"/>
          <w:bCs/>
          <w:i/>
          <w:sz w:val="24"/>
        </w:rPr>
        <w:t xml:space="preserve">ă </w:t>
      </w:r>
      <w:r>
        <w:rPr>
          <w:bCs/>
          <w:i/>
          <w:sz w:val="24"/>
        </w:rPr>
        <w:t>un component nonvolatil scade doar cu pu</w:t>
      </w:r>
      <w:r>
        <w:rPr>
          <w:rFonts w:eastAsia="EUAlbertina+01"/>
          <w:bCs/>
          <w:i/>
          <w:sz w:val="24"/>
        </w:rPr>
        <w:t>ţ</w:t>
      </w:r>
      <w:r>
        <w:rPr>
          <w:bCs/>
          <w:i/>
          <w:sz w:val="24"/>
        </w:rPr>
        <w:t>in presiunea par</w:t>
      </w:r>
      <w:r>
        <w:rPr>
          <w:rFonts w:eastAsia="EUAlbertina+01"/>
          <w:bCs/>
          <w:i/>
          <w:sz w:val="24"/>
        </w:rPr>
        <w:t>ţ</w:t>
      </w:r>
      <w:r>
        <w:rPr>
          <w:bCs/>
          <w:i/>
          <w:sz w:val="24"/>
        </w:rPr>
        <w:t>ial</w:t>
      </w:r>
      <w:r>
        <w:rPr>
          <w:rFonts w:eastAsia="EUAlbertina+01"/>
          <w:bCs/>
          <w:i/>
          <w:sz w:val="24"/>
        </w:rPr>
        <w:t xml:space="preserve">ă </w:t>
      </w:r>
      <w:r>
        <w:rPr>
          <w:bCs/>
          <w:i/>
          <w:sz w:val="24"/>
        </w:rPr>
        <w:t>a solven</w:t>
      </w:r>
      <w:r>
        <w:rPr>
          <w:rFonts w:eastAsia="EUAlbertina+01"/>
          <w:bCs/>
          <w:i/>
          <w:sz w:val="24"/>
        </w:rPr>
        <w:t>ţ</w:t>
      </w:r>
      <w:r>
        <w:rPr>
          <w:bCs/>
          <w:i/>
          <w:sz w:val="24"/>
        </w:rPr>
        <w:t>ilor, iar punctul de aprindere calculat este doar cu pu</w:t>
      </w:r>
      <w:r>
        <w:rPr>
          <w:rFonts w:eastAsia="EUAlbertina+01"/>
          <w:bCs/>
          <w:i/>
          <w:sz w:val="24"/>
        </w:rPr>
        <w:t>ţ</w:t>
      </w:r>
      <w:r>
        <w:rPr>
          <w:bCs/>
          <w:i/>
          <w:sz w:val="24"/>
        </w:rPr>
        <w:t>in sub media m</w:t>
      </w:r>
      <w:r>
        <w:rPr>
          <w:rFonts w:eastAsia="EUAlbertina+01"/>
          <w:bCs/>
          <w:i/>
          <w:sz w:val="24"/>
        </w:rPr>
        <w:t>ă</w:t>
      </w:r>
      <w:r>
        <w:rPr>
          <w:bCs/>
          <w:i/>
          <w:sz w:val="24"/>
        </w:rPr>
        <w:t>surat</w:t>
      </w:r>
      <w:r>
        <w:rPr>
          <w:rFonts w:eastAsia="EUAlbertina+01"/>
          <w:bCs/>
          <w:i/>
          <w:sz w:val="24"/>
        </w:rPr>
        <w:t>ă</w:t>
      </w:r>
      <w:r>
        <w:rPr>
          <w:bCs/>
          <w:i/>
          <w:sz w:val="24"/>
        </w:rPr>
        <w:t>.</w:t>
      </w:r>
    </w:p>
    <w:p w14:paraId="77CF5B15" w14:textId="77777777" w:rsidR="001C08A5" w:rsidRDefault="00000000">
      <w:pPr>
        <w:pStyle w:val="Heading4"/>
        <w:rPr>
          <w:sz w:val="24"/>
          <w:szCs w:val="24"/>
        </w:rPr>
      </w:pPr>
      <w:bookmarkStart w:id="10151" w:name="_Toc27954"/>
      <w:bookmarkStart w:id="10152" w:name="_Toc10271"/>
      <w:bookmarkStart w:id="10153" w:name="_Toc29642"/>
      <w:bookmarkStart w:id="10154" w:name="_Toc9563"/>
      <w:bookmarkStart w:id="10155" w:name="_Toc9160"/>
      <w:bookmarkStart w:id="10156" w:name="_Toc162355504"/>
      <w:r>
        <w:rPr>
          <w:sz w:val="24"/>
          <w:szCs w:val="24"/>
        </w:rPr>
        <w:t>Categorii de depozite de lichide inflamabile</w:t>
      </w:r>
      <w:bookmarkEnd w:id="10151"/>
      <w:bookmarkEnd w:id="10152"/>
      <w:bookmarkEnd w:id="10153"/>
      <w:bookmarkEnd w:id="10154"/>
      <w:bookmarkEnd w:id="10155"/>
      <w:bookmarkEnd w:id="10156"/>
    </w:p>
    <w:p w14:paraId="68E62A0A" w14:textId="77777777" w:rsidR="001C08A5" w:rsidRDefault="00000000">
      <w:pPr>
        <w:numPr>
          <w:ilvl w:val="0"/>
          <w:numId w:val="96"/>
        </w:numPr>
        <w:tabs>
          <w:tab w:val="left" w:pos="426"/>
          <w:tab w:val="left" w:pos="993"/>
        </w:tabs>
        <w:jc w:val="both"/>
        <w:rPr>
          <w:b/>
          <w:bCs/>
          <w:i/>
          <w:sz w:val="24"/>
        </w:rPr>
      </w:pPr>
      <w:r>
        <w:rPr>
          <w:bCs/>
          <w:i/>
          <w:sz w:val="24"/>
        </w:rPr>
        <w:t>Funcţie de inflamabilitatea lichidelor şi capacitatea depozitată, categoriile de depozite de lichide combustibile sunt precizate în</w:t>
      </w:r>
      <w:r>
        <w:rPr>
          <w:b/>
          <w:bCs/>
          <w:i/>
          <w:sz w:val="24"/>
        </w:rPr>
        <w:t xml:space="preserve"> </w:t>
      </w:r>
      <w:r>
        <w:rPr>
          <w:b/>
          <w:bCs/>
          <w:i/>
          <w:iCs/>
          <w:sz w:val="24"/>
          <w:szCs w:val="24"/>
        </w:rPr>
        <w:fldChar w:fldCharType="begin"/>
      </w:r>
      <w:r>
        <w:rPr>
          <w:b/>
          <w:bCs/>
          <w:i/>
          <w:iCs/>
          <w:sz w:val="24"/>
          <w:szCs w:val="24"/>
        </w:rPr>
        <w:instrText xml:space="preserve"> REF _Ref20669 \h </w:instrText>
      </w:r>
      <w:r>
        <w:rPr>
          <w:b/>
          <w:bCs/>
          <w:i/>
          <w:iCs/>
          <w:sz w:val="24"/>
          <w:szCs w:val="24"/>
        </w:rPr>
      </w:r>
      <w:r>
        <w:rPr>
          <w:b/>
          <w:bCs/>
          <w:i/>
          <w:iCs/>
          <w:sz w:val="24"/>
          <w:szCs w:val="24"/>
        </w:rPr>
        <w:fldChar w:fldCharType="separate"/>
      </w:r>
      <w:r>
        <w:t>Tabelul 136</w:t>
      </w:r>
      <w:r>
        <w:rPr>
          <w:b/>
          <w:bCs/>
          <w:i/>
          <w:iCs/>
          <w:sz w:val="24"/>
          <w:szCs w:val="24"/>
        </w:rPr>
        <w:fldChar w:fldCharType="end"/>
      </w:r>
      <w:r>
        <w:rPr>
          <w:b/>
          <w:bCs/>
          <w:i/>
          <w:sz w:val="24"/>
          <w:lang w:val="en-GB"/>
        </w:rPr>
        <w:t xml:space="preserve">. </w:t>
      </w:r>
    </w:p>
    <w:p w14:paraId="60E7B3BF" w14:textId="77777777" w:rsidR="001C08A5" w:rsidRDefault="00000000">
      <w:pPr>
        <w:pStyle w:val="Caption"/>
        <w:rPr>
          <w:b w:val="0"/>
          <w:i w:val="0"/>
        </w:rPr>
      </w:pPr>
      <w:bookmarkStart w:id="10157" w:name="_Ref20669"/>
      <w:bookmarkStart w:id="10158" w:name="_Toc162360186"/>
      <w:bookmarkStart w:id="10159" w:name="_Toc142898437"/>
      <w:r>
        <w:t xml:space="preserve">Tabelul </w:t>
      </w:r>
      <w:r>
        <w:fldChar w:fldCharType="begin"/>
      </w:r>
      <w:r>
        <w:instrText xml:space="preserve"> SEQ Tabelul \* ARABIC </w:instrText>
      </w:r>
      <w:r>
        <w:fldChar w:fldCharType="separate"/>
      </w:r>
      <w:r>
        <w:t>136</w:t>
      </w:r>
      <w:r>
        <w:fldChar w:fldCharType="end"/>
      </w:r>
      <w:bookmarkStart w:id="10160" w:name="_Toc10319"/>
      <w:bookmarkStart w:id="10161" w:name="_Toc19984"/>
      <w:bookmarkStart w:id="10162" w:name="_Toc4463"/>
      <w:bookmarkStart w:id="10163" w:name="_Toc17760"/>
      <w:bookmarkStart w:id="10164" w:name="_Toc15589"/>
      <w:bookmarkStart w:id="10165" w:name="_Toc25357"/>
      <w:bookmarkStart w:id="10166" w:name="_Toc14875"/>
      <w:bookmarkStart w:id="10167" w:name="_Toc28263"/>
      <w:bookmarkStart w:id="10168" w:name="_Toc25092"/>
      <w:bookmarkStart w:id="10169" w:name="_Toc15255"/>
      <w:bookmarkStart w:id="10170" w:name="_Toc620"/>
      <w:bookmarkStart w:id="10171" w:name="_Toc13673"/>
      <w:bookmarkEnd w:id="10157"/>
      <w:r>
        <w:t>: Categorii de depozite de lichide inflamabile</w:t>
      </w:r>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p>
    <w:tbl>
      <w:tblPr>
        <w:tblW w:w="0" w:type="auto"/>
        <w:tblInd w:w="108" w:type="dxa"/>
        <w:tblLayout w:type="fixed"/>
        <w:tblLook w:val="04A0" w:firstRow="1" w:lastRow="0" w:firstColumn="1" w:lastColumn="0" w:noHBand="0" w:noVBand="1"/>
      </w:tblPr>
      <w:tblGrid>
        <w:gridCol w:w="2340"/>
        <w:gridCol w:w="3600"/>
        <w:gridCol w:w="3720"/>
        <w:gridCol w:w="15"/>
      </w:tblGrid>
      <w:tr w:rsidR="001C08A5" w14:paraId="297A4EA9" w14:textId="77777777">
        <w:trPr>
          <w:cantSplit/>
        </w:trPr>
        <w:tc>
          <w:tcPr>
            <w:tcW w:w="2340" w:type="dxa"/>
            <w:vMerge w:val="restart"/>
            <w:tcBorders>
              <w:top w:val="single" w:sz="8" w:space="0" w:color="000000"/>
              <w:left w:val="single" w:sz="8" w:space="0" w:color="000000"/>
            </w:tcBorders>
            <w:shd w:val="clear" w:color="auto" w:fill="D9D9D9"/>
          </w:tcPr>
          <w:p w14:paraId="33E798BA" w14:textId="77777777" w:rsidR="001C08A5" w:rsidRDefault="00000000">
            <w:pPr>
              <w:jc w:val="center"/>
              <w:rPr>
                <w:b/>
                <w:i/>
                <w:sz w:val="24"/>
                <w:szCs w:val="24"/>
              </w:rPr>
            </w:pPr>
            <w:r>
              <w:rPr>
                <w:b/>
                <w:i/>
                <w:sz w:val="24"/>
                <w:szCs w:val="24"/>
              </w:rPr>
              <w:t>Categoria depozitului</w:t>
            </w:r>
          </w:p>
        </w:tc>
        <w:tc>
          <w:tcPr>
            <w:tcW w:w="7335" w:type="dxa"/>
            <w:gridSpan w:val="3"/>
            <w:tcBorders>
              <w:top w:val="single" w:sz="8" w:space="0" w:color="000000"/>
              <w:left w:val="single" w:sz="4" w:space="0" w:color="000000"/>
              <w:bottom w:val="single" w:sz="4" w:space="0" w:color="000000"/>
              <w:right w:val="single" w:sz="8" w:space="0" w:color="000000"/>
            </w:tcBorders>
            <w:shd w:val="clear" w:color="auto" w:fill="D9D9D9"/>
          </w:tcPr>
          <w:p w14:paraId="56DAF874" w14:textId="77777777" w:rsidR="001C08A5" w:rsidRDefault="00000000">
            <w:pPr>
              <w:jc w:val="center"/>
              <w:rPr>
                <w:i/>
                <w:sz w:val="24"/>
                <w:szCs w:val="24"/>
              </w:rPr>
            </w:pPr>
            <w:r>
              <w:rPr>
                <w:b/>
                <w:i/>
                <w:sz w:val="24"/>
                <w:szCs w:val="24"/>
              </w:rPr>
              <w:t>Capacitatea depozitată (m</w:t>
            </w:r>
            <w:r>
              <w:rPr>
                <w:b/>
                <w:i/>
                <w:sz w:val="24"/>
                <w:szCs w:val="24"/>
                <w:vertAlign w:val="superscript"/>
              </w:rPr>
              <w:t>3</w:t>
            </w:r>
            <w:r>
              <w:rPr>
                <w:b/>
                <w:i/>
                <w:sz w:val="24"/>
                <w:szCs w:val="24"/>
              </w:rPr>
              <w:t>)</w:t>
            </w:r>
          </w:p>
        </w:tc>
      </w:tr>
      <w:tr w:rsidR="001C08A5" w14:paraId="6341206A" w14:textId="77777777">
        <w:trPr>
          <w:cantSplit/>
        </w:trPr>
        <w:tc>
          <w:tcPr>
            <w:tcW w:w="2340" w:type="dxa"/>
            <w:vMerge/>
            <w:tcBorders>
              <w:left w:val="single" w:sz="8" w:space="0" w:color="000000"/>
              <w:bottom w:val="single" w:sz="8" w:space="0" w:color="000000"/>
            </w:tcBorders>
            <w:shd w:val="clear" w:color="auto" w:fill="D9D9D9"/>
          </w:tcPr>
          <w:p w14:paraId="54287F09" w14:textId="77777777" w:rsidR="001C08A5" w:rsidRDefault="001C08A5">
            <w:pPr>
              <w:snapToGrid w:val="0"/>
              <w:jc w:val="both"/>
              <w:rPr>
                <w:i/>
                <w:sz w:val="24"/>
                <w:szCs w:val="24"/>
              </w:rPr>
            </w:pPr>
          </w:p>
        </w:tc>
        <w:tc>
          <w:tcPr>
            <w:tcW w:w="3600" w:type="dxa"/>
            <w:tcBorders>
              <w:top w:val="single" w:sz="4" w:space="0" w:color="000000"/>
              <w:left w:val="single" w:sz="4" w:space="0" w:color="000000"/>
              <w:bottom w:val="single" w:sz="8" w:space="0" w:color="000000"/>
            </w:tcBorders>
            <w:shd w:val="clear" w:color="auto" w:fill="D9D9D9"/>
          </w:tcPr>
          <w:p w14:paraId="309E6DB6" w14:textId="77777777" w:rsidR="001C08A5" w:rsidRDefault="00000000">
            <w:pPr>
              <w:jc w:val="center"/>
              <w:rPr>
                <w:b/>
                <w:i/>
                <w:sz w:val="24"/>
                <w:szCs w:val="24"/>
              </w:rPr>
            </w:pPr>
            <w:r>
              <w:rPr>
                <w:b/>
                <w:i/>
                <w:sz w:val="24"/>
                <w:szCs w:val="24"/>
              </w:rPr>
              <w:t>Lichide din clasa L I - L II</w:t>
            </w:r>
          </w:p>
        </w:tc>
        <w:tc>
          <w:tcPr>
            <w:tcW w:w="3735" w:type="dxa"/>
            <w:gridSpan w:val="2"/>
            <w:tcBorders>
              <w:top w:val="single" w:sz="4" w:space="0" w:color="000000"/>
              <w:left w:val="single" w:sz="4" w:space="0" w:color="000000"/>
              <w:bottom w:val="single" w:sz="8" w:space="0" w:color="000000"/>
              <w:right w:val="single" w:sz="8" w:space="0" w:color="000000"/>
            </w:tcBorders>
            <w:shd w:val="clear" w:color="auto" w:fill="D9D9D9"/>
          </w:tcPr>
          <w:p w14:paraId="48E3B91B" w14:textId="77777777" w:rsidR="001C08A5" w:rsidRDefault="00000000">
            <w:pPr>
              <w:jc w:val="center"/>
              <w:rPr>
                <w:b/>
                <w:i/>
                <w:sz w:val="24"/>
                <w:szCs w:val="24"/>
              </w:rPr>
            </w:pPr>
            <w:r>
              <w:rPr>
                <w:b/>
                <w:i/>
                <w:sz w:val="24"/>
                <w:szCs w:val="24"/>
              </w:rPr>
              <w:t>Lichide din clasa L III</w:t>
            </w:r>
          </w:p>
        </w:tc>
      </w:tr>
      <w:tr w:rsidR="001C08A5" w14:paraId="1054A1A3" w14:textId="77777777">
        <w:trPr>
          <w:gridAfter w:val="1"/>
          <w:wAfter w:w="15" w:type="dxa"/>
        </w:trPr>
        <w:tc>
          <w:tcPr>
            <w:tcW w:w="2340" w:type="dxa"/>
            <w:tcBorders>
              <w:top w:val="single" w:sz="8" w:space="0" w:color="000000"/>
              <w:left w:val="single" w:sz="8" w:space="0" w:color="000000"/>
              <w:bottom w:val="single" w:sz="4" w:space="0" w:color="000000"/>
            </w:tcBorders>
          </w:tcPr>
          <w:p w14:paraId="54857A04" w14:textId="77777777" w:rsidR="001C08A5" w:rsidRDefault="00000000">
            <w:pPr>
              <w:jc w:val="center"/>
              <w:rPr>
                <w:i/>
                <w:sz w:val="24"/>
                <w:szCs w:val="24"/>
              </w:rPr>
            </w:pPr>
            <w:r>
              <w:rPr>
                <w:b/>
                <w:i/>
                <w:sz w:val="24"/>
                <w:szCs w:val="24"/>
              </w:rPr>
              <w:t>D1</w:t>
            </w:r>
          </w:p>
        </w:tc>
        <w:tc>
          <w:tcPr>
            <w:tcW w:w="3600" w:type="dxa"/>
            <w:tcBorders>
              <w:top w:val="single" w:sz="8" w:space="0" w:color="000000"/>
              <w:left w:val="single" w:sz="4" w:space="0" w:color="000000"/>
              <w:bottom w:val="single" w:sz="4" w:space="0" w:color="000000"/>
            </w:tcBorders>
          </w:tcPr>
          <w:p w14:paraId="1FA6E0CB" w14:textId="77777777" w:rsidR="001C08A5" w:rsidRDefault="00000000">
            <w:pPr>
              <w:jc w:val="center"/>
              <w:rPr>
                <w:i/>
                <w:sz w:val="24"/>
                <w:szCs w:val="24"/>
              </w:rPr>
            </w:pPr>
            <w:r>
              <w:rPr>
                <w:i/>
                <w:sz w:val="24"/>
                <w:szCs w:val="24"/>
              </w:rPr>
              <w:t>peste 100.000</w:t>
            </w:r>
          </w:p>
        </w:tc>
        <w:tc>
          <w:tcPr>
            <w:tcW w:w="3720" w:type="dxa"/>
            <w:tcBorders>
              <w:top w:val="single" w:sz="8" w:space="0" w:color="000000"/>
              <w:left w:val="single" w:sz="4" w:space="0" w:color="000000"/>
              <w:bottom w:val="single" w:sz="4" w:space="0" w:color="000000"/>
              <w:right w:val="single" w:sz="8" w:space="0" w:color="000000"/>
            </w:tcBorders>
          </w:tcPr>
          <w:p w14:paraId="600A9074" w14:textId="77777777" w:rsidR="001C08A5" w:rsidRDefault="00000000">
            <w:pPr>
              <w:jc w:val="center"/>
              <w:rPr>
                <w:b/>
                <w:i/>
                <w:sz w:val="24"/>
                <w:szCs w:val="24"/>
              </w:rPr>
            </w:pPr>
            <w:r>
              <w:rPr>
                <w:i/>
                <w:sz w:val="24"/>
                <w:szCs w:val="24"/>
              </w:rPr>
              <w:t>peste 500.000</w:t>
            </w:r>
          </w:p>
        </w:tc>
      </w:tr>
      <w:tr w:rsidR="001C08A5" w14:paraId="7A1FB541" w14:textId="77777777">
        <w:trPr>
          <w:gridAfter w:val="1"/>
          <w:wAfter w:w="15" w:type="dxa"/>
        </w:trPr>
        <w:tc>
          <w:tcPr>
            <w:tcW w:w="2340" w:type="dxa"/>
            <w:tcBorders>
              <w:top w:val="single" w:sz="4" w:space="0" w:color="000000"/>
              <w:left w:val="single" w:sz="8" w:space="0" w:color="000000"/>
              <w:bottom w:val="single" w:sz="4" w:space="0" w:color="000000"/>
            </w:tcBorders>
          </w:tcPr>
          <w:p w14:paraId="19C9A87C" w14:textId="77777777" w:rsidR="001C08A5" w:rsidRDefault="00000000">
            <w:pPr>
              <w:jc w:val="center"/>
              <w:rPr>
                <w:i/>
                <w:sz w:val="24"/>
                <w:szCs w:val="24"/>
              </w:rPr>
            </w:pPr>
            <w:r>
              <w:rPr>
                <w:b/>
                <w:i/>
                <w:sz w:val="24"/>
                <w:szCs w:val="24"/>
              </w:rPr>
              <w:t>D2</w:t>
            </w:r>
          </w:p>
        </w:tc>
        <w:tc>
          <w:tcPr>
            <w:tcW w:w="3600" w:type="dxa"/>
            <w:tcBorders>
              <w:top w:val="single" w:sz="4" w:space="0" w:color="000000"/>
              <w:left w:val="single" w:sz="4" w:space="0" w:color="000000"/>
              <w:bottom w:val="single" w:sz="4" w:space="0" w:color="000000"/>
            </w:tcBorders>
          </w:tcPr>
          <w:p w14:paraId="68514E59" w14:textId="77777777" w:rsidR="001C08A5" w:rsidRDefault="00000000">
            <w:pPr>
              <w:jc w:val="center"/>
              <w:rPr>
                <w:i/>
                <w:sz w:val="24"/>
                <w:szCs w:val="24"/>
              </w:rPr>
            </w:pPr>
            <w:r>
              <w:rPr>
                <w:i/>
                <w:sz w:val="24"/>
                <w:szCs w:val="24"/>
              </w:rPr>
              <w:t>30.001-100.000</w:t>
            </w:r>
          </w:p>
        </w:tc>
        <w:tc>
          <w:tcPr>
            <w:tcW w:w="3720" w:type="dxa"/>
            <w:tcBorders>
              <w:top w:val="single" w:sz="4" w:space="0" w:color="000000"/>
              <w:left w:val="single" w:sz="4" w:space="0" w:color="000000"/>
              <w:bottom w:val="single" w:sz="4" w:space="0" w:color="000000"/>
              <w:right w:val="single" w:sz="8" w:space="0" w:color="000000"/>
            </w:tcBorders>
          </w:tcPr>
          <w:p w14:paraId="12379A1B" w14:textId="77777777" w:rsidR="001C08A5" w:rsidRDefault="00000000">
            <w:pPr>
              <w:jc w:val="center"/>
              <w:rPr>
                <w:b/>
                <w:i/>
                <w:sz w:val="24"/>
                <w:szCs w:val="24"/>
              </w:rPr>
            </w:pPr>
            <w:r>
              <w:rPr>
                <w:i/>
                <w:sz w:val="24"/>
                <w:szCs w:val="24"/>
              </w:rPr>
              <w:t>150.001-500.000</w:t>
            </w:r>
          </w:p>
        </w:tc>
      </w:tr>
      <w:tr w:rsidR="001C08A5" w14:paraId="07BB6ABF" w14:textId="77777777">
        <w:trPr>
          <w:gridAfter w:val="1"/>
          <w:wAfter w:w="15" w:type="dxa"/>
        </w:trPr>
        <w:tc>
          <w:tcPr>
            <w:tcW w:w="2340" w:type="dxa"/>
            <w:tcBorders>
              <w:top w:val="single" w:sz="4" w:space="0" w:color="000000"/>
              <w:left w:val="single" w:sz="8" w:space="0" w:color="000000"/>
              <w:bottom w:val="single" w:sz="4" w:space="0" w:color="000000"/>
            </w:tcBorders>
          </w:tcPr>
          <w:p w14:paraId="2D796857" w14:textId="77777777" w:rsidR="001C08A5" w:rsidRDefault="00000000">
            <w:pPr>
              <w:jc w:val="center"/>
              <w:rPr>
                <w:i/>
                <w:sz w:val="24"/>
                <w:szCs w:val="24"/>
              </w:rPr>
            </w:pPr>
            <w:r>
              <w:rPr>
                <w:b/>
                <w:i/>
                <w:sz w:val="24"/>
                <w:szCs w:val="24"/>
              </w:rPr>
              <w:t>D3</w:t>
            </w:r>
          </w:p>
        </w:tc>
        <w:tc>
          <w:tcPr>
            <w:tcW w:w="3600" w:type="dxa"/>
            <w:tcBorders>
              <w:top w:val="single" w:sz="4" w:space="0" w:color="000000"/>
              <w:left w:val="single" w:sz="4" w:space="0" w:color="000000"/>
              <w:bottom w:val="single" w:sz="4" w:space="0" w:color="000000"/>
            </w:tcBorders>
          </w:tcPr>
          <w:p w14:paraId="25A49079" w14:textId="77777777" w:rsidR="001C08A5" w:rsidRDefault="00000000">
            <w:pPr>
              <w:jc w:val="center"/>
              <w:rPr>
                <w:i/>
                <w:sz w:val="24"/>
                <w:szCs w:val="24"/>
              </w:rPr>
            </w:pPr>
            <w:r>
              <w:rPr>
                <w:i/>
                <w:sz w:val="24"/>
                <w:szCs w:val="24"/>
              </w:rPr>
              <w:t>2.501-30.000</w:t>
            </w:r>
          </w:p>
        </w:tc>
        <w:tc>
          <w:tcPr>
            <w:tcW w:w="3720" w:type="dxa"/>
            <w:tcBorders>
              <w:top w:val="single" w:sz="4" w:space="0" w:color="000000"/>
              <w:left w:val="single" w:sz="4" w:space="0" w:color="000000"/>
              <w:bottom w:val="single" w:sz="4" w:space="0" w:color="000000"/>
              <w:right w:val="single" w:sz="8" w:space="0" w:color="000000"/>
            </w:tcBorders>
          </w:tcPr>
          <w:p w14:paraId="354734A5" w14:textId="77777777" w:rsidR="001C08A5" w:rsidRDefault="00000000">
            <w:pPr>
              <w:jc w:val="center"/>
              <w:rPr>
                <w:b/>
                <w:i/>
                <w:sz w:val="24"/>
                <w:szCs w:val="24"/>
              </w:rPr>
            </w:pPr>
            <w:r>
              <w:rPr>
                <w:i/>
                <w:sz w:val="24"/>
                <w:szCs w:val="24"/>
              </w:rPr>
              <w:t>12.501-150.000</w:t>
            </w:r>
          </w:p>
        </w:tc>
      </w:tr>
      <w:tr w:rsidR="001C08A5" w14:paraId="79402EC5" w14:textId="77777777">
        <w:trPr>
          <w:gridAfter w:val="1"/>
          <w:wAfter w:w="15" w:type="dxa"/>
        </w:trPr>
        <w:tc>
          <w:tcPr>
            <w:tcW w:w="2340" w:type="dxa"/>
            <w:tcBorders>
              <w:top w:val="single" w:sz="4" w:space="0" w:color="000000"/>
              <w:left w:val="single" w:sz="8" w:space="0" w:color="000000"/>
              <w:bottom w:val="single" w:sz="4" w:space="0" w:color="000000"/>
            </w:tcBorders>
          </w:tcPr>
          <w:p w14:paraId="3BFADBD5" w14:textId="77777777" w:rsidR="001C08A5" w:rsidRDefault="00000000">
            <w:pPr>
              <w:jc w:val="center"/>
              <w:rPr>
                <w:i/>
                <w:sz w:val="24"/>
                <w:szCs w:val="24"/>
              </w:rPr>
            </w:pPr>
            <w:r>
              <w:rPr>
                <w:b/>
                <w:i/>
                <w:sz w:val="24"/>
                <w:szCs w:val="24"/>
              </w:rPr>
              <w:t>D4</w:t>
            </w:r>
          </w:p>
        </w:tc>
        <w:tc>
          <w:tcPr>
            <w:tcW w:w="3600" w:type="dxa"/>
            <w:tcBorders>
              <w:top w:val="single" w:sz="4" w:space="0" w:color="000000"/>
              <w:left w:val="single" w:sz="4" w:space="0" w:color="000000"/>
              <w:bottom w:val="single" w:sz="4" w:space="0" w:color="000000"/>
            </w:tcBorders>
          </w:tcPr>
          <w:p w14:paraId="21D047EF" w14:textId="77777777" w:rsidR="001C08A5" w:rsidRDefault="00000000">
            <w:pPr>
              <w:jc w:val="center"/>
              <w:rPr>
                <w:i/>
                <w:sz w:val="24"/>
                <w:szCs w:val="24"/>
              </w:rPr>
            </w:pPr>
            <w:r>
              <w:rPr>
                <w:i/>
                <w:sz w:val="24"/>
                <w:szCs w:val="24"/>
              </w:rPr>
              <w:t>501-2.500</w:t>
            </w:r>
          </w:p>
        </w:tc>
        <w:tc>
          <w:tcPr>
            <w:tcW w:w="3720" w:type="dxa"/>
            <w:tcBorders>
              <w:top w:val="single" w:sz="4" w:space="0" w:color="000000"/>
              <w:left w:val="single" w:sz="4" w:space="0" w:color="000000"/>
              <w:bottom w:val="single" w:sz="4" w:space="0" w:color="000000"/>
              <w:right w:val="single" w:sz="8" w:space="0" w:color="000000"/>
            </w:tcBorders>
          </w:tcPr>
          <w:p w14:paraId="4E644F39" w14:textId="77777777" w:rsidR="001C08A5" w:rsidRDefault="00000000">
            <w:pPr>
              <w:jc w:val="center"/>
              <w:rPr>
                <w:b/>
                <w:i/>
                <w:sz w:val="24"/>
                <w:szCs w:val="24"/>
              </w:rPr>
            </w:pPr>
            <w:r>
              <w:rPr>
                <w:i/>
                <w:sz w:val="24"/>
                <w:szCs w:val="24"/>
              </w:rPr>
              <w:t>2.501-12.500</w:t>
            </w:r>
          </w:p>
        </w:tc>
      </w:tr>
      <w:tr w:rsidR="001C08A5" w14:paraId="4565A862" w14:textId="77777777">
        <w:trPr>
          <w:gridAfter w:val="1"/>
          <w:wAfter w:w="15" w:type="dxa"/>
        </w:trPr>
        <w:tc>
          <w:tcPr>
            <w:tcW w:w="2340" w:type="dxa"/>
            <w:tcBorders>
              <w:top w:val="single" w:sz="4" w:space="0" w:color="000000"/>
              <w:left w:val="single" w:sz="8" w:space="0" w:color="000000"/>
              <w:bottom w:val="single" w:sz="4" w:space="0" w:color="000000"/>
            </w:tcBorders>
          </w:tcPr>
          <w:p w14:paraId="2E4F3F71" w14:textId="77777777" w:rsidR="001C08A5" w:rsidRDefault="00000000">
            <w:pPr>
              <w:jc w:val="center"/>
              <w:rPr>
                <w:i/>
                <w:sz w:val="24"/>
                <w:szCs w:val="24"/>
              </w:rPr>
            </w:pPr>
            <w:r>
              <w:rPr>
                <w:b/>
                <w:i/>
                <w:sz w:val="24"/>
                <w:szCs w:val="24"/>
              </w:rPr>
              <w:t>D5</w:t>
            </w:r>
          </w:p>
        </w:tc>
        <w:tc>
          <w:tcPr>
            <w:tcW w:w="3600" w:type="dxa"/>
            <w:tcBorders>
              <w:top w:val="single" w:sz="4" w:space="0" w:color="000000"/>
              <w:left w:val="single" w:sz="4" w:space="0" w:color="000000"/>
              <w:bottom w:val="single" w:sz="4" w:space="0" w:color="000000"/>
            </w:tcBorders>
          </w:tcPr>
          <w:p w14:paraId="31419FE7" w14:textId="77777777" w:rsidR="001C08A5" w:rsidRDefault="00000000">
            <w:pPr>
              <w:jc w:val="center"/>
              <w:rPr>
                <w:i/>
                <w:sz w:val="24"/>
                <w:szCs w:val="24"/>
              </w:rPr>
            </w:pPr>
            <w:r>
              <w:rPr>
                <w:i/>
                <w:sz w:val="24"/>
                <w:szCs w:val="24"/>
              </w:rPr>
              <w:t>51-500</w:t>
            </w:r>
          </w:p>
        </w:tc>
        <w:tc>
          <w:tcPr>
            <w:tcW w:w="3720" w:type="dxa"/>
            <w:tcBorders>
              <w:top w:val="single" w:sz="4" w:space="0" w:color="000000"/>
              <w:left w:val="single" w:sz="4" w:space="0" w:color="000000"/>
              <w:bottom w:val="single" w:sz="4" w:space="0" w:color="000000"/>
              <w:right w:val="single" w:sz="8" w:space="0" w:color="000000"/>
            </w:tcBorders>
          </w:tcPr>
          <w:p w14:paraId="3DA03031" w14:textId="77777777" w:rsidR="001C08A5" w:rsidRDefault="00000000">
            <w:pPr>
              <w:jc w:val="center"/>
              <w:rPr>
                <w:b/>
                <w:i/>
                <w:sz w:val="24"/>
                <w:szCs w:val="24"/>
              </w:rPr>
            </w:pPr>
            <w:r>
              <w:rPr>
                <w:i/>
                <w:sz w:val="24"/>
                <w:szCs w:val="24"/>
              </w:rPr>
              <w:t>251-2.500</w:t>
            </w:r>
          </w:p>
        </w:tc>
      </w:tr>
      <w:tr w:rsidR="001C08A5" w14:paraId="6761F8F2" w14:textId="77777777">
        <w:trPr>
          <w:gridAfter w:val="1"/>
          <w:wAfter w:w="15" w:type="dxa"/>
        </w:trPr>
        <w:tc>
          <w:tcPr>
            <w:tcW w:w="2340" w:type="dxa"/>
            <w:tcBorders>
              <w:top w:val="single" w:sz="4" w:space="0" w:color="000000"/>
              <w:left w:val="single" w:sz="8" w:space="0" w:color="000000"/>
              <w:bottom w:val="single" w:sz="4" w:space="0" w:color="000000"/>
            </w:tcBorders>
          </w:tcPr>
          <w:p w14:paraId="67F9969C" w14:textId="77777777" w:rsidR="001C08A5" w:rsidRDefault="00000000">
            <w:pPr>
              <w:jc w:val="center"/>
              <w:rPr>
                <w:i/>
                <w:sz w:val="24"/>
                <w:szCs w:val="24"/>
              </w:rPr>
            </w:pPr>
            <w:r>
              <w:rPr>
                <w:b/>
                <w:i/>
                <w:sz w:val="24"/>
                <w:szCs w:val="24"/>
              </w:rPr>
              <w:t>D6</w:t>
            </w:r>
          </w:p>
        </w:tc>
        <w:tc>
          <w:tcPr>
            <w:tcW w:w="3600" w:type="dxa"/>
            <w:tcBorders>
              <w:top w:val="single" w:sz="4" w:space="0" w:color="000000"/>
              <w:left w:val="single" w:sz="4" w:space="0" w:color="000000"/>
              <w:bottom w:val="single" w:sz="4" w:space="0" w:color="000000"/>
            </w:tcBorders>
          </w:tcPr>
          <w:p w14:paraId="6D13C4CC" w14:textId="77777777" w:rsidR="001C08A5" w:rsidRDefault="00000000">
            <w:pPr>
              <w:jc w:val="center"/>
              <w:rPr>
                <w:i/>
                <w:sz w:val="24"/>
                <w:szCs w:val="24"/>
              </w:rPr>
            </w:pPr>
            <w:r>
              <w:rPr>
                <w:i/>
                <w:sz w:val="24"/>
                <w:szCs w:val="24"/>
              </w:rPr>
              <w:t>11-50</w:t>
            </w:r>
          </w:p>
        </w:tc>
        <w:tc>
          <w:tcPr>
            <w:tcW w:w="3720" w:type="dxa"/>
            <w:tcBorders>
              <w:top w:val="single" w:sz="4" w:space="0" w:color="000000"/>
              <w:left w:val="single" w:sz="4" w:space="0" w:color="000000"/>
              <w:bottom w:val="single" w:sz="4" w:space="0" w:color="000000"/>
              <w:right w:val="single" w:sz="8" w:space="0" w:color="000000"/>
            </w:tcBorders>
          </w:tcPr>
          <w:p w14:paraId="2A71B60E" w14:textId="77777777" w:rsidR="001C08A5" w:rsidRDefault="00000000">
            <w:pPr>
              <w:jc w:val="center"/>
              <w:rPr>
                <w:b/>
                <w:i/>
                <w:sz w:val="24"/>
                <w:szCs w:val="24"/>
              </w:rPr>
            </w:pPr>
            <w:r>
              <w:rPr>
                <w:i/>
                <w:sz w:val="24"/>
                <w:szCs w:val="24"/>
              </w:rPr>
              <w:t>51-250</w:t>
            </w:r>
          </w:p>
        </w:tc>
      </w:tr>
      <w:tr w:rsidR="001C08A5" w14:paraId="7F46451B" w14:textId="77777777">
        <w:trPr>
          <w:gridAfter w:val="1"/>
          <w:wAfter w:w="15" w:type="dxa"/>
        </w:trPr>
        <w:tc>
          <w:tcPr>
            <w:tcW w:w="2340" w:type="dxa"/>
            <w:tcBorders>
              <w:top w:val="single" w:sz="4" w:space="0" w:color="000000"/>
              <w:left w:val="single" w:sz="8" w:space="0" w:color="000000"/>
              <w:bottom w:val="single" w:sz="8" w:space="0" w:color="000000"/>
            </w:tcBorders>
          </w:tcPr>
          <w:p w14:paraId="34984F28" w14:textId="77777777" w:rsidR="001C08A5" w:rsidRDefault="00000000">
            <w:pPr>
              <w:jc w:val="center"/>
              <w:rPr>
                <w:i/>
                <w:sz w:val="24"/>
                <w:szCs w:val="24"/>
              </w:rPr>
            </w:pPr>
            <w:r>
              <w:rPr>
                <w:b/>
                <w:i/>
                <w:sz w:val="24"/>
                <w:szCs w:val="24"/>
              </w:rPr>
              <w:t>D7</w:t>
            </w:r>
          </w:p>
        </w:tc>
        <w:tc>
          <w:tcPr>
            <w:tcW w:w="3600" w:type="dxa"/>
            <w:tcBorders>
              <w:top w:val="single" w:sz="4" w:space="0" w:color="000000"/>
              <w:left w:val="single" w:sz="4" w:space="0" w:color="000000"/>
              <w:bottom w:val="single" w:sz="8" w:space="0" w:color="000000"/>
            </w:tcBorders>
          </w:tcPr>
          <w:p w14:paraId="522172F1" w14:textId="77777777" w:rsidR="001C08A5" w:rsidRDefault="00000000">
            <w:pPr>
              <w:jc w:val="center"/>
              <w:rPr>
                <w:i/>
                <w:sz w:val="24"/>
                <w:szCs w:val="24"/>
              </w:rPr>
            </w:pPr>
            <w:r>
              <w:rPr>
                <w:i/>
                <w:sz w:val="24"/>
                <w:szCs w:val="24"/>
              </w:rPr>
              <w:t>până la 10</w:t>
            </w:r>
          </w:p>
        </w:tc>
        <w:tc>
          <w:tcPr>
            <w:tcW w:w="3720" w:type="dxa"/>
            <w:tcBorders>
              <w:top w:val="single" w:sz="4" w:space="0" w:color="000000"/>
              <w:left w:val="single" w:sz="4" w:space="0" w:color="000000"/>
              <w:bottom w:val="single" w:sz="8" w:space="0" w:color="000000"/>
              <w:right w:val="single" w:sz="8" w:space="0" w:color="000000"/>
            </w:tcBorders>
          </w:tcPr>
          <w:p w14:paraId="68437757" w14:textId="77777777" w:rsidR="001C08A5" w:rsidRDefault="00000000">
            <w:pPr>
              <w:jc w:val="center"/>
              <w:rPr>
                <w:i/>
                <w:sz w:val="24"/>
                <w:szCs w:val="24"/>
              </w:rPr>
            </w:pPr>
            <w:r>
              <w:rPr>
                <w:i/>
                <w:sz w:val="24"/>
                <w:szCs w:val="24"/>
              </w:rPr>
              <w:t>până la 50</w:t>
            </w:r>
          </w:p>
        </w:tc>
      </w:tr>
    </w:tbl>
    <w:p w14:paraId="45D60A5B" w14:textId="77777777" w:rsidR="001C08A5" w:rsidRDefault="00000000">
      <w:pPr>
        <w:jc w:val="both"/>
        <w:rPr>
          <w:b/>
          <w:bCs/>
          <w:i/>
          <w:sz w:val="22"/>
          <w:szCs w:val="22"/>
        </w:rPr>
      </w:pPr>
      <w:r>
        <w:rPr>
          <w:i/>
          <w:sz w:val="22"/>
          <w:szCs w:val="22"/>
          <w:u w:val="single"/>
        </w:rPr>
        <w:t>Note</w:t>
      </w:r>
      <w:r>
        <w:rPr>
          <w:i/>
          <w:sz w:val="22"/>
          <w:szCs w:val="22"/>
        </w:rPr>
        <w:t xml:space="preserve">: </w:t>
      </w:r>
    </w:p>
    <w:p w14:paraId="3F580E1D" w14:textId="77777777" w:rsidR="001C08A5" w:rsidRDefault="00000000">
      <w:pPr>
        <w:jc w:val="both"/>
        <w:rPr>
          <w:b/>
          <w:bCs/>
          <w:i/>
          <w:sz w:val="22"/>
          <w:szCs w:val="22"/>
        </w:rPr>
      </w:pPr>
      <w:r>
        <w:rPr>
          <w:b/>
          <w:bCs/>
          <w:i/>
          <w:sz w:val="22"/>
          <w:szCs w:val="22"/>
        </w:rPr>
        <w:t>a)</w:t>
      </w:r>
      <w:r>
        <w:rPr>
          <w:i/>
          <w:sz w:val="22"/>
          <w:szCs w:val="22"/>
        </w:rPr>
        <w:t xml:space="preserve"> În cazul în care se păstrează împreună lichide combustibile din clasele </w:t>
      </w:r>
      <w:r>
        <w:rPr>
          <w:b/>
          <w:i/>
          <w:sz w:val="22"/>
          <w:szCs w:val="22"/>
        </w:rPr>
        <w:t>L I - L II</w:t>
      </w:r>
      <w:r>
        <w:rPr>
          <w:i/>
          <w:sz w:val="22"/>
          <w:szCs w:val="22"/>
        </w:rPr>
        <w:t xml:space="preserve"> cu lichide combustibile din clasele </w:t>
      </w:r>
      <w:r>
        <w:rPr>
          <w:b/>
          <w:i/>
          <w:sz w:val="22"/>
          <w:szCs w:val="22"/>
        </w:rPr>
        <w:t>L III - L IV</w:t>
      </w:r>
      <w:r>
        <w:rPr>
          <w:i/>
          <w:sz w:val="22"/>
          <w:szCs w:val="22"/>
        </w:rPr>
        <w:t xml:space="preserve">, fiecare </w:t>
      </w:r>
      <w:r>
        <w:rPr>
          <w:b/>
          <w:i/>
          <w:sz w:val="22"/>
          <w:szCs w:val="22"/>
        </w:rPr>
        <w:t>1</w:t>
      </w:r>
      <w:r>
        <w:rPr>
          <w:i/>
          <w:sz w:val="22"/>
          <w:szCs w:val="22"/>
        </w:rPr>
        <w:t xml:space="preserve"> m</w:t>
      </w:r>
      <w:r>
        <w:rPr>
          <w:i/>
          <w:sz w:val="22"/>
          <w:szCs w:val="22"/>
          <w:vertAlign w:val="superscript"/>
        </w:rPr>
        <w:t>3</w:t>
      </w:r>
      <w:r>
        <w:rPr>
          <w:i/>
          <w:sz w:val="22"/>
          <w:szCs w:val="22"/>
        </w:rPr>
        <w:t xml:space="preserve"> de lichid combustibil din clasele </w:t>
      </w:r>
      <w:r>
        <w:rPr>
          <w:b/>
          <w:i/>
          <w:sz w:val="22"/>
          <w:szCs w:val="22"/>
        </w:rPr>
        <w:t>L I - L II</w:t>
      </w:r>
      <w:r>
        <w:rPr>
          <w:i/>
          <w:sz w:val="22"/>
          <w:szCs w:val="22"/>
        </w:rPr>
        <w:t xml:space="preserve"> se echivalează cu </w:t>
      </w:r>
      <w:r>
        <w:rPr>
          <w:b/>
          <w:i/>
          <w:sz w:val="22"/>
          <w:szCs w:val="22"/>
        </w:rPr>
        <w:t>5</w:t>
      </w:r>
      <w:r>
        <w:rPr>
          <w:i/>
          <w:sz w:val="22"/>
          <w:szCs w:val="22"/>
        </w:rPr>
        <w:t xml:space="preserve"> m</w:t>
      </w:r>
      <w:r>
        <w:rPr>
          <w:i/>
          <w:sz w:val="22"/>
          <w:szCs w:val="22"/>
          <w:vertAlign w:val="superscript"/>
        </w:rPr>
        <w:t>3</w:t>
      </w:r>
      <w:r>
        <w:rPr>
          <w:i/>
          <w:sz w:val="22"/>
          <w:szCs w:val="22"/>
        </w:rPr>
        <w:t xml:space="preserve"> de lichid combustibil din clasa </w:t>
      </w:r>
      <w:r>
        <w:rPr>
          <w:b/>
          <w:i/>
          <w:sz w:val="22"/>
          <w:szCs w:val="22"/>
        </w:rPr>
        <w:t>L III</w:t>
      </w:r>
      <w:r>
        <w:rPr>
          <w:i/>
          <w:sz w:val="22"/>
          <w:szCs w:val="22"/>
        </w:rPr>
        <w:t>.</w:t>
      </w:r>
    </w:p>
    <w:p w14:paraId="30224C32" w14:textId="77777777" w:rsidR="001C08A5" w:rsidRDefault="00000000">
      <w:pPr>
        <w:jc w:val="both"/>
        <w:rPr>
          <w:i/>
          <w:sz w:val="22"/>
          <w:szCs w:val="22"/>
        </w:rPr>
      </w:pPr>
      <w:r>
        <w:rPr>
          <w:b/>
          <w:bCs/>
          <w:i/>
          <w:sz w:val="22"/>
          <w:szCs w:val="22"/>
        </w:rPr>
        <w:t>b)</w:t>
      </w:r>
      <w:r>
        <w:rPr>
          <w:i/>
          <w:sz w:val="22"/>
          <w:szCs w:val="22"/>
        </w:rPr>
        <w:t xml:space="preserve"> Depozitele de lichide în rezervoare, după modul lor de execuţie, pot fi:</w:t>
      </w:r>
    </w:p>
    <w:p w14:paraId="2ED1F5F4" w14:textId="77777777" w:rsidR="001C08A5" w:rsidRDefault="00000000">
      <w:pPr>
        <w:ind w:left="1843" w:hanging="1276"/>
        <w:jc w:val="both"/>
        <w:rPr>
          <w:i/>
          <w:sz w:val="22"/>
          <w:szCs w:val="22"/>
        </w:rPr>
      </w:pPr>
      <w:r>
        <w:rPr>
          <w:i/>
          <w:sz w:val="22"/>
          <w:szCs w:val="22"/>
        </w:rPr>
        <w:t xml:space="preserve">- </w:t>
      </w:r>
      <w:r>
        <w:rPr>
          <w:b/>
          <w:i/>
          <w:sz w:val="22"/>
          <w:szCs w:val="22"/>
        </w:rPr>
        <w:t>supraterane</w:t>
      </w:r>
      <w:r>
        <w:rPr>
          <w:i/>
          <w:sz w:val="22"/>
          <w:szCs w:val="22"/>
        </w:rPr>
        <w:t xml:space="preserve"> - când fundul rezervoarelor se află deasupra terenului înconjurător, la acelaşi nivel cu el sau la o adâncime mai mică decât jumătate din înălţimea rezervoarelor, precum şi în cazurile în care nivelul lichidului este mai sus de cota terenului înconjurător cu minimum </w:t>
      </w:r>
      <w:r>
        <w:rPr>
          <w:b/>
          <w:i/>
          <w:sz w:val="22"/>
          <w:szCs w:val="22"/>
        </w:rPr>
        <w:t>2</w:t>
      </w:r>
      <w:r>
        <w:rPr>
          <w:i/>
          <w:sz w:val="22"/>
          <w:szCs w:val="22"/>
        </w:rPr>
        <w:t xml:space="preserve"> m;</w:t>
      </w:r>
      <w:r>
        <w:rPr>
          <w:i/>
          <w:sz w:val="22"/>
          <w:szCs w:val="22"/>
        </w:rPr>
        <w:tab/>
      </w:r>
    </w:p>
    <w:p w14:paraId="47D558AC" w14:textId="77777777" w:rsidR="001C08A5" w:rsidRDefault="00000000">
      <w:pPr>
        <w:ind w:left="1843" w:hanging="1276"/>
        <w:jc w:val="both"/>
        <w:rPr>
          <w:i/>
          <w:sz w:val="22"/>
          <w:szCs w:val="22"/>
        </w:rPr>
      </w:pPr>
      <w:r>
        <w:rPr>
          <w:i/>
          <w:sz w:val="22"/>
          <w:szCs w:val="22"/>
        </w:rPr>
        <w:t xml:space="preserve">- </w:t>
      </w:r>
      <w:r>
        <w:rPr>
          <w:b/>
          <w:i/>
          <w:sz w:val="22"/>
          <w:szCs w:val="22"/>
        </w:rPr>
        <w:t>semiîngropate</w:t>
      </w:r>
      <w:r>
        <w:rPr>
          <w:i/>
          <w:sz w:val="22"/>
          <w:szCs w:val="22"/>
        </w:rPr>
        <w:t xml:space="preserve"> - când fundul rezervoarelor se află îngropat mai mult de jumătate din înălţimea lor, iar nivelul maximum posibil al lichidului nu se află mai sus de </w:t>
      </w:r>
      <w:r>
        <w:rPr>
          <w:b/>
          <w:i/>
          <w:sz w:val="22"/>
          <w:szCs w:val="22"/>
        </w:rPr>
        <w:t>2</w:t>
      </w:r>
      <w:r>
        <w:rPr>
          <w:i/>
          <w:sz w:val="22"/>
          <w:szCs w:val="22"/>
        </w:rPr>
        <w:t xml:space="preserve"> m faţă de cota terenului inconjurător;</w:t>
      </w:r>
    </w:p>
    <w:p w14:paraId="5EB79FD1" w14:textId="77777777" w:rsidR="001C08A5" w:rsidRDefault="00000000">
      <w:pPr>
        <w:ind w:left="1843" w:hanging="1276"/>
        <w:jc w:val="both"/>
        <w:rPr>
          <w:b/>
          <w:bCs/>
          <w:i/>
          <w:sz w:val="22"/>
          <w:szCs w:val="22"/>
        </w:rPr>
      </w:pPr>
      <w:r>
        <w:rPr>
          <w:i/>
          <w:sz w:val="22"/>
          <w:szCs w:val="22"/>
        </w:rPr>
        <w:t xml:space="preserve">- </w:t>
      </w:r>
      <w:r>
        <w:rPr>
          <w:b/>
          <w:i/>
          <w:sz w:val="22"/>
          <w:szCs w:val="22"/>
        </w:rPr>
        <w:t>îngropate</w:t>
      </w:r>
      <w:r>
        <w:rPr>
          <w:i/>
          <w:sz w:val="22"/>
          <w:szCs w:val="22"/>
        </w:rPr>
        <w:t xml:space="preserve"> - când partea superioară a rezervoarelor este cu cel puţin </w:t>
      </w:r>
      <w:r>
        <w:rPr>
          <w:b/>
          <w:i/>
          <w:sz w:val="22"/>
          <w:szCs w:val="22"/>
        </w:rPr>
        <w:t>20</w:t>
      </w:r>
      <w:r>
        <w:rPr>
          <w:i/>
          <w:sz w:val="22"/>
          <w:szCs w:val="22"/>
        </w:rPr>
        <w:t xml:space="preserve"> cm mai jos decât cota terenului înconjurător.</w:t>
      </w:r>
    </w:p>
    <w:p w14:paraId="457AECE4" w14:textId="77777777" w:rsidR="001C08A5" w:rsidRDefault="00000000">
      <w:pPr>
        <w:numPr>
          <w:ilvl w:val="1"/>
          <w:numId w:val="101"/>
        </w:numPr>
        <w:jc w:val="both"/>
        <w:rPr>
          <w:i/>
          <w:sz w:val="22"/>
          <w:szCs w:val="22"/>
        </w:rPr>
      </w:pPr>
      <w:r>
        <w:rPr>
          <w:i/>
          <w:sz w:val="22"/>
          <w:szCs w:val="22"/>
        </w:rPr>
        <w:t xml:space="preserve">Cota terenului înconjurător se va considera nivelul minim al terenului pe o distanţă de </w:t>
      </w:r>
      <w:r>
        <w:rPr>
          <w:b/>
          <w:i/>
          <w:sz w:val="22"/>
          <w:szCs w:val="22"/>
        </w:rPr>
        <w:t>6</w:t>
      </w:r>
      <w:r>
        <w:rPr>
          <w:i/>
          <w:sz w:val="22"/>
          <w:szCs w:val="22"/>
        </w:rPr>
        <w:t xml:space="preserve"> m de la  mantaua rezervoarelor.</w:t>
      </w:r>
    </w:p>
    <w:p w14:paraId="17DECA1C" w14:textId="77777777" w:rsidR="001C08A5" w:rsidRDefault="001C08A5">
      <w:pPr>
        <w:ind w:left="420"/>
        <w:jc w:val="both"/>
        <w:rPr>
          <w:i/>
          <w:sz w:val="22"/>
          <w:szCs w:val="22"/>
        </w:rPr>
      </w:pPr>
    </w:p>
    <w:p w14:paraId="58FC617F" w14:textId="77777777" w:rsidR="001C08A5" w:rsidRDefault="00000000">
      <w:pPr>
        <w:pStyle w:val="Heading2"/>
        <w:rPr>
          <w:sz w:val="28"/>
        </w:rPr>
      </w:pPr>
      <w:bookmarkStart w:id="10172" w:name="_Toc3023"/>
      <w:bookmarkStart w:id="10173" w:name="_Toc6742"/>
      <w:bookmarkStart w:id="10174" w:name="_Toc3975"/>
      <w:bookmarkStart w:id="10175" w:name="_Toc24942"/>
      <w:bookmarkStart w:id="10176" w:name="_Toc7693"/>
      <w:bookmarkStart w:id="10177" w:name="_Toc29477"/>
      <w:bookmarkStart w:id="10178" w:name="_Toc20263"/>
      <w:bookmarkStart w:id="10179" w:name="_Toc21478"/>
      <w:bookmarkStart w:id="10180" w:name="_Toc20877"/>
      <w:bookmarkStart w:id="10181" w:name="_Toc24514"/>
      <w:bookmarkStart w:id="10182" w:name="_Toc24881"/>
      <w:bookmarkStart w:id="10183" w:name="_Toc162355505"/>
      <w:bookmarkStart w:id="10184" w:name="_Toc13227"/>
      <w:bookmarkStart w:id="10185" w:name="_Toc15759"/>
      <w:bookmarkStart w:id="10186" w:name="_Toc524"/>
      <w:bookmarkStart w:id="10187" w:name="_Toc13891"/>
      <w:bookmarkStart w:id="10188" w:name="_Toc11743"/>
      <w:r>
        <w:rPr>
          <w:sz w:val="28"/>
        </w:rPr>
        <w:t>ANEXA 9 - PUTERI CALORIFICE</w:t>
      </w:r>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p>
    <w:p w14:paraId="6535305B" w14:textId="77777777" w:rsidR="001C08A5" w:rsidRDefault="00000000">
      <w:pPr>
        <w:numPr>
          <w:ilvl w:val="0"/>
          <w:numId w:val="96"/>
        </w:numPr>
        <w:tabs>
          <w:tab w:val="left" w:pos="426"/>
          <w:tab w:val="left" w:pos="993"/>
        </w:tabs>
        <w:jc w:val="both"/>
        <w:rPr>
          <w:bCs/>
          <w:i/>
          <w:sz w:val="24"/>
        </w:rPr>
      </w:pPr>
      <w:r>
        <w:rPr>
          <w:bCs/>
          <w:i/>
          <w:sz w:val="24"/>
        </w:rPr>
        <w:t xml:space="preserve">Calculul sarcinii termice ce determină încadrarea în riscuri de incendiu a spaţiilor, încăperilor, compartimentelor de incendiu şi construcţiilor de producţie şi/sau depozitare, se realizează utilizând valorile puterilor calorifice pentru materiale uzuale conform </w:t>
      </w:r>
      <w:r>
        <w:rPr>
          <w:b/>
          <w:bCs/>
          <w:i/>
          <w:iCs/>
          <w:sz w:val="24"/>
          <w:szCs w:val="24"/>
        </w:rPr>
        <w:fldChar w:fldCharType="begin"/>
      </w:r>
      <w:r>
        <w:rPr>
          <w:b/>
          <w:bCs/>
          <w:i/>
          <w:iCs/>
          <w:sz w:val="24"/>
          <w:szCs w:val="24"/>
        </w:rPr>
        <w:instrText xml:space="preserve"> REF _Ref20731 \h </w:instrText>
      </w:r>
      <w:r>
        <w:rPr>
          <w:b/>
          <w:bCs/>
          <w:i/>
          <w:iCs/>
          <w:sz w:val="24"/>
          <w:szCs w:val="24"/>
        </w:rPr>
      </w:r>
      <w:r>
        <w:rPr>
          <w:b/>
          <w:bCs/>
          <w:i/>
          <w:iCs/>
          <w:sz w:val="24"/>
          <w:szCs w:val="24"/>
        </w:rPr>
        <w:fldChar w:fldCharType="separate"/>
      </w:r>
      <w:r>
        <w:t>Tabelul 137</w:t>
      </w:r>
      <w:r>
        <w:rPr>
          <w:b/>
          <w:bCs/>
          <w:i/>
          <w:iCs/>
          <w:sz w:val="24"/>
          <w:szCs w:val="24"/>
        </w:rPr>
        <w:fldChar w:fldCharType="end"/>
      </w:r>
      <w:r>
        <w:rPr>
          <w:b/>
          <w:bCs/>
          <w:i/>
          <w:iCs/>
          <w:sz w:val="24"/>
          <w:szCs w:val="24"/>
        </w:rPr>
        <w:t xml:space="preserve"> </w:t>
      </w:r>
      <w:r>
        <w:rPr>
          <w:b/>
          <w:i/>
          <w:sz w:val="24"/>
        </w:rPr>
        <w:t>.</w:t>
      </w:r>
    </w:p>
    <w:p w14:paraId="448D107D" w14:textId="77777777" w:rsidR="001C08A5" w:rsidRDefault="001C08A5">
      <w:pPr>
        <w:tabs>
          <w:tab w:val="left" w:pos="426"/>
          <w:tab w:val="left" w:pos="993"/>
        </w:tabs>
        <w:jc w:val="both"/>
        <w:rPr>
          <w:b/>
          <w:bCs/>
          <w:i/>
          <w:iCs/>
          <w:sz w:val="24"/>
          <w:szCs w:val="24"/>
        </w:rPr>
      </w:pPr>
    </w:p>
    <w:p w14:paraId="72BE67CB" w14:textId="77777777" w:rsidR="001C08A5" w:rsidRDefault="00000000">
      <w:pPr>
        <w:pStyle w:val="Heading3"/>
        <w:rPr>
          <w:i/>
          <w:iCs/>
          <w:sz w:val="24"/>
          <w:szCs w:val="24"/>
        </w:rPr>
      </w:pPr>
      <w:bookmarkStart w:id="10189" w:name="_Toc16629"/>
      <w:bookmarkStart w:id="10190" w:name="_Toc23918"/>
      <w:bookmarkStart w:id="10191" w:name="_Toc31371"/>
      <w:bookmarkStart w:id="10192" w:name="_Toc162355506"/>
      <w:bookmarkStart w:id="10193" w:name="_Toc9704"/>
      <w:bookmarkStart w:id="10194" w:name="_Toc11577"/>
      <w:r>
        <w:rPr>
          <w:i/>
          <w:iCs/>
          <w:sz w:val="24"/>
          <w:szCs w:val="24"/>
        </w:rPr>
        <w:lastRenderedPageBreak/>
        <w:t>ANEXA 9.1 - PUTERI CALORIFICE PENTRU MATERIALE UZUALE</w:t>
      </w:r>
      <w:bookmarkEnd w:id="10189"/>
      <w:bookmarkEnd w:id="10190"/>
      <w:bookmarkEnd w:id="10191"/>
      <w:bookmarkEnd w:id="10192"/>
      <w:bookmarkEnd w:id="10193"/>
      <w:bookmarkEnd w:id="10194"/>
    </w:p>
    <w:p w14:paraId="0DA0D587" w14:textId="77777777" w:rsidR="001C08A5" w:rsidRDefault="00000000">
      <w:pPr>
        <w:pStyle w:val="Caption"/>
        <w:rPr>
          <w:bCs/>
        </w:rPr>
      </w:pPr>
      <w:bookmarkStart w:id="10195" w:name="_Ref20731"/>
      <w:bookmarkStart w:id="10196" w:name="_Toc162360187"/>
      <w:r>
        <w:t xml:space="preserve">Tabelul </w:t>
      </w:r>
      <w:r>
        <w:fldChar w:fldCharType="begin"/>
      </w:r>
      <w:r>
        <w:instrText xml:space="preserve"> SEQ Tabelul \* ARABIC </w:instrText>
      </w:r>
      <w:r>
        <w:fldChar w:fldCharType="separate"/>
      </w:r>
      <w:r>
        <w:t>137</w:t>
      </w:r>
      <w:r>
        <w:fldChar w:fldCharType="end"/>
      </w:r>
      <w:bookmarkStart w:id="10197" w:name="_Toc10291"/>
      <w:bookmarkStart w:id="10198" w:name="_Toc22911"/>
      <w:bookmarkStart w:id="10199" w:name="_Toc5292"/>
      <w:bookmarkStart w:id="10200" w:name="_Toc1477"/>
      <w:bookmarkStart w:id="10201" w:name="_Toc20929"/>
      <w:bookmarkStart w:id="10202" w:name="_Toc21713"/>
      <w:bookmarkStart w:id="10203" w:name="_Toc26700"/>
      <w:bookmarkStart w:id="10204" w:name="_Toc153"/>
      <w:bookmarkStart w:id="10205" w:name="_Toc5375"/>
      <w:bookmarkStart w:id="10206" w:name="_Toc13732"/>
      <w:bookmarkStart w:id="10207" w:name="_Toc9517"/>
      <w:bookmarkStart w:id="10208" w:name="_Toc15157"/>
      <w:bookmarkEnd w:id="10195"/>
      <w:r>
        <w:t xml:space="preserve">: </w:t>
      </w:r>
      <w:r>
        <w:rPr>
          <w:bCs/>
        </w:rPr>
        <w:t>Valorile puterii calorifice pentru materiale uzuale</w:t>
      </w:r>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p>
    <w:p w14:paraId="6E2C5C67" w14:textId="77777777" w:rsidR="001C08A5" w:rsidRDefault="001C08A5">
      <w:pPr>
        <w:rPr>
          <w:b/>
          <w:bCs/>
          <w:i/>
          <w:iCs/>
          <w:sz w:val="24"/>
          <w:szCs w:val="24"/>
        </w:rPr>
      </w:pPr>
    </w:p>
    <w:tbl>
      <w:tblPr>
        <w:tblStyle w:val="TableGrid"/>
        <w:tblW w:w="0" w:type="auto"/>
        <w:tblLook w:val="04A0" w:firstRow="1" w:lastRow="0" w:firstColumn="1" w:lastColumn="0" w:noHBand="0" w:noVBand="1"/>
      </w:tblPr>
      <w:tblGrid>
        <w:gridCol w:w="752"/>
        <w:gridCol w:w="5069"/>
        <w:gridCol w:w="2701"/>
      </w:tblGrid>
      <w:tr w:rsidR="001C08A5" w14:paraId="637AD372" w14:textId="77777777">
        <w:trPr>
          <w:tblHeader/>
        </w:trPr>
        <w:tc>
          <w:tcPr>
            <w:tcW w:w="752" w:type="dxa"/>
            <w:shd w:val="clear" w:color="auto" w:fill="D7D7D7"/>
          </w:tcPr>
          <w:p w14:paraId="36E1DCBF" w14:textId="77777777" w:rsidR="001C08A5" w:rsidRDefault="00000000">
            <w:pPr>
              <w:rPr>
                <w:b/>
                <w:bCs/>
                <w:i/>
                <w:sz w:val="24"/>
                <w:szCs w:val="24"/>
              </w:rPr>
            </w:pPr>
            <w:r>
              <w:rPr>
                <w:b/>
                <w:bCs/>
                <w:i/>
                <w:sz w:val="24"/>
                <w:szCs w:val="24"/>
              </w:rPr>
              <w:t>Nr. Crt.</w:t>
            </w:r>
          </w:p>
        </w:tc>
        <w:tc>
          <w:tcPr>
            <w:tcW w:w="5069" w:type="dxa"/>
            <w:shd w:val="clear" w:color="auto" w:fill="D7D7D7"/>
          </w:tcPr>
          <w:p w14:paraId="11DE52A6" w14:textId="77777777" w:rsidR="001C08A5" w:rsidRDefault="00000000">
            <w:pPr>
              <w:rPr>
                <w:b/>
                <w:bCs/>
                <w:i/>
                <w:sz w:val="24"/>
                <w:szCs w:val="24"/>
              </w:rPr>
            </w:pPr>
            <w:r>
              <w:rPr>
                <w:b/>
                <w:bCs/>
                <w:i/>
                <w:sz w:val="24"/>
                <w:szCs w:val="24"/>
              </w:rPr>
              <w:t>Denumirea materialului</w:t>
            </w:r>
          </w:p>
        </w:tc>
        <w:tc>
          <w:tcPr>
            <w:tcW w:w="2701" w:type="dxa"/>
            <w:shd w:val="clear" w:color="auto" w:fill="D7D7D7"/>
          </w:tcPr>
          <w:p w14:paraId="191553D1" w14:textId="77777777" w:rsidR="001C08A5" w:rsidRDefault="00000000">
            <w:pPr>
              <w:rPr>
                <w:b/>
                <w:bCs/>
                <w:i/>
                <w:sz w:val="24"/>
                <w:szCs w:val="24"/>
              </w:rPr>
            </w:pPr>
            <w:r>
              <w:rPr>
                <w:b/>
                <w:bCs/>
                <w:i/>
                <w:sz w:val="24"/>
                <w:szCs w:val="24"/>
              </w:rPr>
              <w:t xml:space="preserve">Putere calorifică </w:t>
            </w:r>
          </w:p>
          <w:p w14:paraId="623D4487" w14:textId="77777777" w:rsidR="001C08A5" w:rsidRDefault="00000000">
            <w:pPr>
              <w:rPr>
                <w:b/>
                <w:bCs/>
                <w:i/>
                <w:sz w:val="24"/>
                <w:szCs w:val="24"/>
              </w:rPr>
            </w:pPr>
            <w:r>
              <w:rPr>
                <w:b/>
                <w:bCs/>
                <w:i/>
                <w:sz w:val="24"/>
                <w:szCs w:val="24"/>
              </w:rPr>
              <w:t>MJ/kg</w:t>
            </w:r>
          </w:p>
        </w:tc>
      </w:tr>
      <w:tr w:rsidR="001C08A5" w14:paraId="22419BFA" w14:textId="77777777">
        <w:tc>
          <w:tcPr>
            <w:tcW w:w="752" w:type="dxa"/>
          </w:tcPr>
          <w:p w14:paraId="7A0EA589" w14:textId="77777777" w:rsidR="001C08A5" w:rsidRDefault="001C08A5">
            <w:pPr>
              <w:numPr>
                <w:ilvl w:val="0"/>
                <w:numId w:val="102"/>
              </w:numPr>
              <w:rPr>
                <w:i/>
                <w:sz w:val="24"/>
                <w:szCs w:val="24"/>
              </w:rPr>
            </w:pPr>
          </w:p>
        </w:tc>
        <w:tc>
          <w:tcPr>
            <w:tcW w:w="5069" w:type="dxa"/>
          </w:tcPr>
          <w:p w14:paraId="1EF172E8" w14:textId="77777777" w:rsidR="001C08A5" w:rsidRDefault="00000000">
            <w:pPr>
              <w:rPr>
                <w:i/>
                <w:sz w:val="24"/>
                <w:szCs w:val="24"/>
              </w:rPr>
            </w:pPr>
            <w:r>
              <w:rPr>
                <w:i/>
                <w:sz w:val="24"/>
                <w:szCs w:val="24"/>
                <w:lang w:val="en-US" w:eastAsia="zh-CN"/>
              </w:rPr>
              <w:t>Acetat de amil</w:t>
            </w:r>
          </w:p>
        </w:tc>
        <w:tc>
          <w:tcPr>
            <w:tcW w:w="2701" w:type="dxa"/>
          </w:tcPr>
          <w:p w14:paraId="2FD1E4C1" w14:textId="77777777" w:rsidR="001C08A5" w:rsidRDefault="00000000">
            <w:pPr>
              <w:rPr>
                <w:i/>
                <w:sz w:val="24"/>
                <w:szCs w:val="24"/>
              </w:rPr>
            </w:pPr>
            <w:r>
              <w:rPr>
                <w:i/>
                <w:sz w:val="24"/>
                <w:szCs w:val="24"/>
                <w:lang w:val="en-US" w:eastAsia="zh-CN"/>
              </w:rPr>
              <w:t>33.50</w:t>
            </w:r>
          </w:p>
        </w:tc>
      </w:tr>
      <w:tr w:rsidR="001C08A5" w14:paraId="484AE1F0" w14:textId="77777777">
        <w:tc>
          <w:tcPr>
            <w:tcW w:w="752" w:type="dxa"/>
          </w:tcPr>
          <w:p w14:paraId="4A0993D2" w14:textId="77777777" w:rsidR="001C08A5" w:rsidRDefault="001C08A5">
            <w:pPr>
              <w:numPr>
                <w:ilvl w:val="0"/>
                <w:numId w:val="102"/>
              </w:numPr>
              <w:rPr>
                <w:i/>
                <w:sz w:val="24"/>
                <w:szCs w:val="24"/>
              </w:rPr>
            </w:pPr>
          </w:p>
        </w:tc>
        <w:tc>
          <w:tcPr>
            <w:tcW w:w="5069" w:type="dxa"/>
          </w:tcPr>
          <w:p w14:paraId="6C78BC7F" w14:textId="77777777" w:rsidR="001C08A5" w:rsidRDefault="00000000">
            <w:pPr>
              <w:rPr>
                <w:i/>
                <w:sz w:val="24"/>
                <w:szCs w:val="24"/>
              </w:rPr>
            </w:pPr>
            <w:r>
              <w:rPr>
                <w:i/>
                <w:sz w:val="24"/>
                <w:szCs w:val="24"/>
                <w:lang w:val="en-US" w:eastAsia="zh-CN"/>
              </w:rPr>
              <w:t>Acetat de celuloză</w:t>
            </w:r>
          </w:p>
        </w:tc>
        <w:tc>
          <w:tcPr>
            <w:tcW w:w="2701" w:type="dxa"/>
          </w:tcPr>
          <w:p w14:paraId="6EE452D7" w14:textId="77777777" w:rsidR="001C08A5" w:rsidRDefault="00000000">
            <w:pPr>
              <w:rPr>
                <w:i/>
                <w:sz w:val="24"/>
                <w:szCs w:val="24"/>
              </w:rPr>
            </w:pPr>
            <w:r>
              <w:rPr>
                <w:i/>
                <w:sz w:val="24"/>
                <w:szCs w:val="24"/>
                <w:lang w:eastAsia="zh-CN"/>
              </w:rPr>
              <w:t xml:space="preserve">18.90 ... </w:t>
            </w:r>
            <w:r>
              <w:rPr>
                <w:i/>
                <w:sz w:val="24"/>
                <w:szCs w:val="24"/>
                <w:lang w:val="en-US" w:eastAsia="zh-CN"/>
              </w:rPr>
              <w:t>23.40</w:t>
            </w:r>
          </w:p>
        </w:tc>
      </w:tr>
      <w:tr w:rsidR="001C08A5" w14:paraId="00C59ABC" w14:textId="77777777">
        <w:tc>
          <w:tcPr>
            <w:tcW w:w="752" w:type="dxa"/>
          </w:tcPr>
          <w:p w14:paraId="7BCA9A50" w14:textId="77777777" w:rsidR="001C08A5" w:rsidRDefault="001C08A5">
            <w:pPr>
              <w:numPr>
                <w:ilvl w:val="0"/>
                <w:numId w:val="102"/>
              </w:numPr>
              <w:rPr>
                <w:i/>
                <w:sz w:val="24"/>
                <w:szCs w:val="24"/>
              </w:rPr>
            </w:pPr>
          </w:p>
        </w:tc>
        <w:tc>
          <w:tcPr>
            <w:tcW w:w="5069" w:type="dxa"/>
          </w:tcPr>
          <w:p w14:paraId="268EDF02" w14:textId="77777777" w:rsidR="001C08A5" w:rsidRDefault="00000000">
            <w:pPr>
              <w:rPr>
                <w:i/>
                <w:sz w:val="24"/>
                <w:szCs w:val="24"/>
              </w:rPr>
            </w:pPr>
            <w:r>
              <w:rPr>
                <w:i/>
                <w:sz w:val="24"/>
                <w:szCs w:val="24"/>
                <w:lang w:val="en-US" w:eastAsia="zh-CN"/>
              </w:rPr>
              <w:t>Acetat de etil</w:t>
            </w:r>
          </w:p>
        </w:tc>
        <w:tc>
          <w:tcPr>
            <w:tcW w:w="2701" w:type="dxa"/>
          </w:tcPr>
          <w:p w14:paraId="520E1196" w14:textId="77777777" w:rsidR="001C08A5" w:rsidRDefault="00000000">
            <w:pPr>
              <w:rPr>
                <w:i/>
                <w:sz w:val="24"/>
                <w:szCs w:val="24"/>
              </w:rPr>
            </w:pPr>
            <w:r>
              <w:rPr>
                <w:i/>
                <w:sz w:val="24"/>
                <w:szCs w:val="24"/>
                <w:lang w:val="en-US" w:eastAsia="zh-CN"/>
              </w:rPr>
              <w:t>25.30</w:t>
            </w:r>
          </w:p>
        </w:tc>
      </w:tr>
      <w:tr w:rsidR="001C08A5" w14:paraId="6374FF40" w14:textId="77777777">
        <w:tc>
          <w:tcPr>
            <w:tcW w:w="752" w:type="dxa"/>
          </w:tcPr>
          <w:p w14:paraId="37CDDFB6" w14:textId="77777777" w:rsidR="001C08A5" w:rsidRDefault="001C08A5">
            <w:pPr>
              <w:numPr>
                <w:ilvl w:val="0"/>
                <w:numId w:val="102"/>
              </w:numPr>
              <w:rPr>
                <w:i/>
                <w:sz w:val="24"/>
                <w:szCs w:val="24"/>
              </w:rPr>
            </w:pPr>
          </w:p>
        </w:tc>
        <w:tc>
          <w:tcPr>
            <w:tcW w:w="5069" w:type="dxa"/>
          </w:tcPr>
          <w:p w14:paraId="700C128C" w14:textId="77777777" w:rsidR="001C08A5" w:rsidRDefault="00000000">
            <w:pPr>
              <w:rPr>
                <w:i/>
                <w:sz w:val="24"/>
                <w:szCs w:val="24"/>
              </w:rPr>
            </w:pPr>
            <w:r>
              <w:rPr>
                <w:i/>
                <w:sz w:val="24"/>
                <w:szCs w:val="24"/>
                <w:lang w:val="en-US" w:eastAsia="zh-CN"/>
              </w:rPr>
              <w:t>Acetilenă</w:t>
            </w:r>
          </w:p>
        </w:tc>
        <w:tc>
          <w:tcPr>
            <w:tcW w:w="2701" w:type="dxa"/>
          </w:tcPr>
          <w:p w14:paraId="1A306A77" w14:textId="77777777" w:rsidR="001C08A5" w:rsidRDefault="00000000">
            <w:pPr>
              <w:rPr>
                <w:i/>
                <w:sz w:val="24"/>
                <w:szCs w:val="24"/>
                <w:lang w:val="en-US" w:eastAsia="zh-CN"/>
              </w:rPr>
            </w:pPr>
            <w:r>
              <w:rPr>
                <w:i/>
                <w:sz w:val="24"/>
                <w:szCs w:val="24"/>
                <w:lang w:val="en-US" w:eastAsia="zh-CN"/>
              </w:rPr>
              <w:t>56.15</w:t>
            </w:r>
            <w:r>
              <w:rPr>
                <w:i/>
                <w:sz w:val="24"/>
                <w:szCs w:val="24"/>
                <w:lang w:eastAsia="zh-CN"/>
              </w:rPr>
              <w:t xml:space="preserve"> </w:t>
            </w:r>
            <w:r>
              <w:rPr>
                <w:i/>
                <w:sz w:val="24"/>
                <w:szCs w:val="24"/>
                <w:lang w:val="en-US" w:eastAsia="zh-CN"/>
              </w:rPr>
              <w:t>*</w:t>
            </w:r>
            <w:r>
              <w:rPr>
                <w:i/>
                <w:sz w:val="24"/>
                <w:szCs w:val="24"/>
                <w:lang w:eastAsia="zh-CN"/>
              </w:rPr>
              <w:t>)</w:t>
            </w:r>
          </w:p>
          <w:p w14:paraId="4E711665" w14:textId="77777777" w:rsidR="001C08A5" w:rsidRDefault="00000000">
            <w:pPr>
              <w:rPr>
                <w:i/>
                <w:sz w:val="24"/>
                <w:szCs w:val="24"/>
              </w:rPr>
            </w:pPr>
            <w:r>
              <w:rPr>
                <w:i/>
                <w:sz w:val="24"/>
                <w:szCs w:val="24"/>
                <w:lang w:eastAsia="zh-CN"/>
              </w:rPr>
              <w:t>50.25</w:t>
            </w:r>
          </w:p>
        </w:tc>
      </w:tr>
      <w:tr w:rsidR="001C08A5" w14:paraId="5A368FFA" w14:textId="77777777">
        <w:tc>
          <w:tcPr>
            <w:tcW w:w="752" w:type="dxa"/>
          </w:tcPr>
          <w:p w14:paraId="1A711CEF" w14:textId="77777777" w:rsidR="001C08A5" w:rsidRDefault="001C08A5">
            <w:pPr>
              <w:numPr>
                <w:ilvl w:val="0"/>
                <w:numId w:val="102"/>
              </w:numPr>
              <w:rPr>
                <w:i/>
                <w:sz w:val="24"/>
                <w:szCs w:val="24"/>
              </w:rPr>
            </w:pPr>
          </w:p>
        </w:tc>
        <w:tc>
          <w:tcPr>
            <w:tcW w:w="5069" w:type="dxa"/>
          </w:tcPr>
          <w:p w14:paraId="006FB8C5" w14:textId="77777777" w:rsidR="001C08A5" w:rsidRDefault="00000000">
            <w:pPr>
              <w:rPr>
                <w:i/>
                <w:sz w:val="24"/>
                <w:szCs w:val="24"/>
              </w:rPr>
            </w:pPr>
            <w:r>
              <w:rPr>
                <w:i/>
                <w:sz w:val="24"/>
                <w:szCs w:val="24"/>
                <w:lang w:val="en-US" w:eastAsia="zh-CN"/>
              </w:rPr>
              <w:t>Acetilaminobenzen</w:t>
            </w:r>
          </w:p>
        </w:tc>
        <w:tc>
          <w:tcPr>
            <w:tcW w:w="2701" w:type="dxa"/>
          </w:tcPr>
          <w:p w14:paraId="59101D08" w14:textId="77777777" w:rsidR="001C08A5" w:rsidRDefault="00000000">
            <w:pPr>
              <w:rPr>
                <w:i/>
                <w:sz w:val="24"/>
                <w:szCs w:val="24"/>
              </w:rPr>
            </w:pPr>
            <w:r>
              <w:rPr>
                <w:i/>
                <w:sz w:val="24"/>
                <w:szCs w:val="24"/>
                <w:lang w:val="en-US" w:eastAsia="zh-CN"/>
              </w:rPr>
              <w:t>31.50</w:t>
            </w:r>
          </w:p>
        </w:tc>
      </w:tr>
      <w:tr w:rsidR="001C08A5" w14:paraId="36C2701D" w14:textId="77777777">
        <w:tc>
          <w:tcPr>
            <w:tcW w:w="752" w:type="dxa"/>
          </w:tcPr>
          <w:p w14:paraId="7A3E477A" w14:textId="77777777" w:rsidR="001C08A5" w:rsidRDefault="001C08A5">
            <w:pPr>
              <w:numPr>
                <w:ilvl w:val="0"/>
                <w:numId w:val="102"/>
              </w:numPr>
              <w:rPr>
                <w:i/>
                <w:sz w:val="24"/>
                <w:szCs w:val="24"/>
              </w:rPr>
            </w:pPr>
          </w:p>
        </w:tc>
        <w:tc>
          <w:tcPr>
            <w:tcW w:w="5069" w:type="dxa"/>
          </w:tcPr>
          <w:p w14:paraId="42491579" w14:textId="77777777" w:rsidR="001C08A5" w:rsidRDefault="00000000">
            <w:pPr>
              <w:rPr>
                <w:i/>
                <w:sz w:val="24"/>
                <w:szCs w:val="24"/>
              </w:rPr>
            </w:pPr>
            <w:r>
              <w:rPr>
                <w:i/>
                <w:sz w:val="24"/>
                <w:szCs w:val="24"/>
                <w:lang w:val="en-US" w:eastAsia="zh-CN"/>
              </w:rPr>
              <w:t>Acetonă</w:t>
            </w:r>
          </w:p>
        </w:tc>
        <w:tc>
          <w:tcPr>
            <w:tcW w:w="2701" w:type="dxa"/>
          </w:tcPr>
          <w:p w14:paraId="08C98A11" w14:textId="77777777" w:rsidR="001C08A5" w:rsidRDefault="00000000">
            <w:pPr>
              <w:rPr>
                <w:i/>
                <w:sz w:val="24"/>
                <w:szCs w:val="24"/>
              </w:rPr>
            </w:pPr>
            <w:r>
              <w:rPr>
                <w:i/>
                <w:sz w:val="24"/>
                <w:szCs w:val="24"/>
                <w:lang w:val="en-US" w:eastAsia="zh-CN"/>
              </w:rPr>
              <w:t>31.50</w:t>
            </w:r>
          </w:p>
        </w:tc>
      </w:tr>
      <w:tr w:rsidR="001C08A5" w14:paraId="39F29741" w14:textId="77777777">
        <w:tc>
          <w:tcPr>
            <w:tcW w:w="752" w:type="dxa"/>
          </w:tcPr>
          <w:p w14:paraId="5C53DC61" w14:textId="77777777" w:rsidR="001C08A5" w:rsidRDefault="001C08A5">
            <w:pPr>
              <w:numPr>
                <w:ilvl w:val="0"/>
                <w:numId w:val="102"/>
              </w:numPr>
              <w:rPr>
                <w:i/>
                <w:sz w:val="24"/>
                <w:szCs w:val="24"/>
              </w:rPr>
            </w:pPr>
          </w:p>
        </w:tc>
        <w:tc>
          <w:tcPr>
            <w:tcW w:w="5069" w:type="dxa"/>
          </w:tcPr>
          <w:p w14:paraId="183A58E5" w14:textId="77777777" w:rsidR="001C08A5" w:rsidRDefault="00000000">
            <w:pPr>
              <w:rPr>
                <w:i/>
                <w:sz w:val="24"/>
                <w:szCs w:val="24"/>
              </w:rPr>
            </w:pPr>
            <w:r>
              <w:rPr>
                <w:i/>
                <w:sz w:val="24"/>
                <w:szCs w:val="24"/>
                <w:lang w:val="en-US" w:eastAsia="zh-CN"/>
              </w:rPr>
              <w:t>Acid acetic</w:t>
            </w:r>
          </w:p>
        </w:tc>
        <w:tc>
          <w:tcPr>
            <w:tcW w:w="2701" w:type="dxa"/>
          </w:tcPr>
          <w:p w14:paraId="11711300" w14:textId="77777777" w:rsidR="001C08A5" w:rsidRDefault="00000000">
            <w:pPr>
              <w:rPr>
                <w:i/>
                <w:sz w:val="24"/>
                <w:szCs w:val="24"/>
              </w:rPr>
            </w:pPr>
            <w:r>
              <w:rPr>
                <w:i/>
                <w:sz w:val="24"/>
                <w:szCs w:val="24"/>
                <w:lang w:val="en-US" w:eastAsia="zh-CN"/>
              </w:rPr>
              <w:t>14.85</w:t>
            </w:r>
          </w:p>
        </w:tc>
      </w:tr>
      <w:tr w:rsidR="001C08A5" w14:paraId="6AC7556E" w14:textId="77777777">
        <w:tc>
          <w:tcPr>
            <w:tcW w:w="752" w:type="dxa"/>
          </w:tcPr>
          <w:p w14:paraId="2AA1718E" w14:textId="77777777" w:rsidR="001C08A5" w:rsidRDefault="001C08A5">
            <w:pPr>
              <w:numPr>
                <w:ilvl w:val="0"/>
                <w:numId w:val="102"/>
              </w:numPr>
              <w:rPr>
                <w:i/>
                <w:sz w:val="24"/>
                <w:szCs w:val="24"/>
              </w:rPr>
            </w:pPr>
          </w:p>
        </w:tc>
        <w:tc>
          <w:tcPr>
            <w:tcW w:w="5069" w:type="dxa"/>
          </w:tcPr>
          <w:p w14:paraId="0E8E1F5E" w14:textId="77777777" w:rsidR="001C08A5" w:rsidRDefault="00000000">
            <w:pPr>
              <w:rPr>
                <w:i/>
                <w:sz w:val="24"/>
                <w:szCs w:val="24"/>
              </w:rPr>
            </w:pPr>
            <w:r>
              <w:rPr>
                <w:i/>
                <w:sz w:val="24"/>
                <w:szCs w:val="24"/>
                <w:lang w:val="en-US" w:eastAsia="zh-CN"/>
              </w:rPr>
              <w:t>Acid benzoic</w:t>
            </w:r>
          </w:p>
        </w:tc>
        <w:tc>
          <w:tcPr>
            <w:tcW w:w="2701" w:type="dxa"/>
          </w:tcPr>
          <w:p w14:paraId="7D561743" w14:textId="77777777" w:rsidR="001C08A5" w:rsidRDefault="00000000">
            <w:pPr>
              <w:rPr>
                <w:i/>
                <w:sz w:val="24"/>
                <w:szCs w:val="24"/>
              </w:rPr>
            </w:pPr>
            <w:r>
              <w:rPr>
                <w:i/>
                <w:sz w:val="24"/>
                <w:szCs w:val="24"/>
                <w:lang w:val="en-US" w:eastAsia="zh-CN"/>
              </w:rPr>
              <w:t>27.30</w:t>
            </w:r>
          </w:p>
        </w:tc>
      </w:tr>
      <w:tr w:rsidR="001C08A5" w14:paraId="630D8B9B" w14:textId="77777777">
        <w:tc>
          <w:tcPr>
            <w:tcW w:w="752" w:type="dxa"/>
          </w:tcPr>
          <w:p w14:paraId="7C2552F8" w14:textId="77777777" w:rsidR="001C08A5" w:rsidRDefault="001C08A5">
            <w:pPr>
              <w:numPr>
                <w:ilvl w:val="0"/>
                <w:numId w:val="102"/>
              </w:numPr>
              <w:rPr>
                <w:i/>
                <w:sz w:val="24"/>
                <w:szCs w:val="24"/>
              </w:rPr>
            </w:pPr>
          </w:p>
        </w:tc>
        <w:tc>
          <w:tcPr>
            <w:tcW w:w="5069" w:type="dxa"/>
          </w:tcPr>
          <w:p w14:paraId="3EECF798" w14:textId="77777777" w:rsidR="001C08A5" w:rsidRDefault="00000000">
            <w:pPr>
              <w:rPr>
                <w:i/>
                <w:sz w:val="24"/>
                <w:szCs w:val="24"/>
              </w:rPr>
            </w:pPr>
            <w:r>
              <w:rPr>
                <w:i/>
                <w:sz w:val="24"/>
                <w:szCs w:val="24"/>
                <w:lang w:val="en-US" w:eastAsia="zh-CN"/>
              </w:rPr>
              <w:t>Acid carbonic</w:t>
            </w:r>
          </w:p>
        </w:tc>
        <w:tc>
          <w:tcPr>
            <w:tcW w:w="2701" w:type="dxa"/>
          </w:tcPr>
          <w:p w14:paraId="23E353AB" w14:textId="77777777" w:rsidR="001C08A5" w:rsidRDefault="00000000">
            <w:pPr>
              <w:rPr>
                <w:i/>
                <w:sz w:val="24"/>
                <w:szCs w:val="24"/>
              </w:rPr>
            </w:pPr>
            <w:r>
              <w:rPr>
                <w:i/>
                <w:sz w:val="24"/>
                <w:szCs w:val="24"/>
                <w:lang w:val="en-US" w:eastAsia="zh-CN"/>
              </w:rPr>
              <w:t>32.65</w:t>
            </w:r>
          </w:p>
        </w:tc>
      </w:tr>
      <w:tr w:rsidR="001C08A5" w14:paraId="42E7ED5F" w14:textId="77777777">
        <w:tc>
          <w:tcPr>
            <w:tcW w:w="752" w:type="dxa"/>
          </w:tcPr>
          <w:p w14:paraId="19B193E6" w14:textId="77777777" w:rsidR="001C08A5" w:rsidRDefault="001C08A5">
            <w:pPr>
              <w:numPr>
                <w:ilvl w:val="0"/>
                <w:numId w:val="102"/>
              </w:numPr>
              <w:rPr>
                <w:i/>
                <w:sz w:val="24"/>
                <w:szCs w:val="24"/>
              </w:rPr>
            </w:pPr>
          </w:p>
        </w:tc>
        <w:tc>
          <w:tcPr>
            <w:tcW w:w="5069" w:type="dxa"/>
          </w:tcPr>
          <w:p w14:paraId="4C83A92F" w14:textId="77777777" w:rsidR="001C08A5" w:rsidRDefault="00000000">
            <w:pPr>
              <w:rPr>
                <w:i/>
                <w:sz w:val="24"/>
                <w:szCs w:val="24"/>
              </w:rPr>
            </w:pPr>
            <w:r>
              <w:rPr>
                <w:i/>
                <w:sz w:val="24"/>
                <w:szCs w:val="24"/>
                <w:lang w:val="en-US" w:eastAsia="zh-CN"/>
              </w:rPr>
              <w:t>Acid citric</w:t>
            </w:r>
          </w:p>
        </w:tc>
        <w:tc>
          <w:tcPr>
            <w:tcW w:w="2701" w:type="dxa"/>
          </w:tcPr>
          <w:p w14:paraId="71FE469D" w14:textId="77777777" w:rsidR="001C08A5" w:rsidRDefault="00000000">
            <w:pPr>
              <w:rPr>
                <w:i/>
                <w:sz w:val="24"/>
                <w:szCs w:val="24"/>
              </w:rPr>
            </w:pPr>
            <w:r>
              <w:rPr>
                <w:i/>
                <w:sz w:val="24"/>
                <w:szCs w:val="24"/>
                <w:lang w:val="en-US" w:eastAsia="zh-CN"/>
              </w:rPr>
              <w:t>10.45</w:t>
            </w:r>
          </w:p>
        </w:tc>
      </w:tr>
      <w:tr w:rsidR="001C08A5" w14:paraId="601F5B28" w14:textId="77777777">
        <w:tc>
          <w:tcPr>
            <w:tcW w:w="752" w:type="dxa"/>
          </w:tcPr>
          <w:p w14:paraId="568A248F" w14:textId="77777777" w:rsidR="001C08A5" w:rsidRDefault="001C08A5">
            <w:pPr>
              <w:numPr>
                <w:ilvl w:val="0"/>
                <w:numId w:val="102"/>
              </w:numPr>
              <w:rPr>
                <w:i/>
                <w:sz w:val="24"/>
                <w:szCs w:val="24"/>
              </w:rPr>
            </w:pPr>
          </w:p>
        </w:tc>
        <w:tc>
          <w:tcPr>
            <w:tcW w:w="5069" w:type="dxa"/>
          </w:tcPr>
          <w:p w14:paraId="0CA973FE" w14:textId="77777777" w:rsidR="001C08A5" w:rsidRDefault="00000000">
            <w:pPr>
              <w:rPr>
                <w:i/>
                <w:sz w:val="24"/>
                <w:szCs w:val="24"/>
              </w:rPr>
            </w:pPr>
            <w:r>
              <w:rPr>
                <w:i/>
                <w:sz w:val="24"/>
                <w:szCs w:val="24"/>
                <w:lang w:val="en-US" w:eastAsia="zh-CN"/>
              </w:rPr>
              <w:t>Acid formic</w:t>
            </w:r>
          </w:p>
        </w:tc>
        <w:tc>
          <w:tcPr>
            <w:tcW w:w="2701" w:type="dxa"/>
          </w:tcPr>
          <w:p w14:paraId="5BD39C48" w14:textId="77777777" w:rsidR="001C08A5" w:rsidRDefault="00000000">
            <w:pPr>
              <w:rPr>
                <w:i/>
                <w:sz w:val="24"/>
                <w:szCs w:val="24"/>
              </w:rPr>
            </w:pPr>
            <w:r>
              <w:rPr>
                <w:i/>
                <w:sz w:val="24"/>
                <w:szCs w:val="24"/>
                <w:lang w:val="en-US" w:eastAsia="zh-CN"/>
              </w:rPr>
              <w:t>5.8</w:t>
            </w:r>
            <w:r>
              <w:rPr>
                <w:i/>
                <w:sz w:val="24"/>
                <w:szCs w:val="24"/>
                <w:lang w:eastAsia="zh-CN"/>
              </w:rPr>
              <w:t>0</w:t>
            </w:r>
          </w:p>
        </w:tc>
      </w:tr>
      <w:tr w:rsidR="001C08A5" w14:paraId="761190DC" w14:textId="77777777">
        <w:tc>
          <w:tcPr>
            <w:tcW w:w="752" w:type="dxa"/>
          </w:tcPr>
          <w:p w14:paraId="2DF9080A" w14:textId="77777777" w:rsidR="001C08A5" w:rsidRDefault="001C08A5">
            <w:pPr>
              <w:numPr>
                <w:ilvl w:val="0"/>
                <w:numId w:val="102"/>
              </w:numPr>
              <w:rPr>
                <w:i/>
                <w:sz w:val="24"/>
                <w:szCs w:val="24"/>
              </w:rPr>
            </w:pPr>
          </w:p>
        </w:tc>
        <w:tc>
          <w:tcPr>
            <w:tcW w:w="5069" w:type="dxa"/>
          </w:tcPr>
          <w:p w14:paraId="45B640CC" w14:textId="77777777" w:rsidR="001C08A5" w:rsidRDefault="00000000">
            <w:pPr>
              <w:rPr>
                <w:i/>
                <w:sz w:val="24"/>
                <w:szCs w:val="24"/>
              </w:rPr>
            </w:pPr>
            <w:r>
              <w:rPr>
                <w:i/>
                <w:sz w:val="24"/>
                <w:szCs w:val="24"/>
                <w:lang w:val="en-US" w:eastAsia="zh-CN"/>
              </w:rPr>
              <w:t>Acid lactic</w:t>
            </w:r>
          </w:p>
        </w:tc>
        <w:tc>
          <w:tcPr>
            <w:tcW w:w="2701" w:type="dxa"/>
          </w:tcPr>
          <w:p w14:paraId="7BE0B1CA" w14:textId="77777777" w:rsidR="001C08A5" w:rsidRDefault="00000000">
            <w:pPr>
              <w:rPr>
                <w:i/>
                <w:sz w:val="24"/>
                <w:szCs w:val="24"/>
              </w:rPr>
            </w:pPr>
            <w:r>
              <w:rPr>
                <w:i/>
                <w:sz w:val="24"/>
                <w:szCs w:val="24"/>
                <w:lang w:val="en-US" w:eastAsia="zh-CN"/>
              </w:rPr>
              <w:t>14.65</w:t>
            </w:r>
          </w:p>
        </w:tc>
      </w:tr>
      <w:tr w:rsidR="001C08A5" w14:paraId="1A3A6591" w14:textId="77777777">
        <w:tc>
          <w:tcPr>
            <w:tcW w:w="752" w:type="dxa"/>
          </w:tcPr>
          <w:p w14:paraId="1AEF3924" w14:textId="77777777" w:rsidR="001C08A5" w:rsidRDefault="001C08A5">
            <w:pPr>
              <w:numPr>
                <w:ilvl w:val="0"/>
                <w:numId w:val="102"/>
              </w:numPr>
              <w:rPr>
                <w:i/>
                <w:sz w:val="24"/>
                <w:szCs w:val="24"/>
              </w:rPr>
            </w:pPr>
          </w:p>
        </w:tc>
        <w:tc>
          <w:tcPr>
            <w:tcW w:w="5069" w:type="dxa"/>
          </w:tcPr>
          <w:p w14:paraId="666FDF3C" w14:textId="77777777" w:rsidR="001C08A5" w:rsidRDefault="00000000">
            <w:pPr>
              <w:rPr>
                <w:i/>
                <w:sz w:val="24"/>
                <w:szCs w:val="24"/>
              </w:rPr>
            </w:pPr>
            <w:r>
              <w:rPr>
                <w:i/>
                <w:sz w:val="24"/>
                <w:szCs w:val="24"/>
                <w:lang w:val="en-US" w:eastAsia="zh-CN"/>
              </w:rPr>
              <w:t>Acid oleic</w:t>
            </w:r>
          </w:p>
        </w:tc>
        <w:tc>
          <w:tcPr>
            <w:tcW w:w="2701" w:type="dxa"/>
          </w:tcPr>
          <w:p w14:paraId="6CD3F3BC" w14:textId="77777777" w:rsidR="001C08A5" w:rsidRDefault="00000000">
            <w:pPr>
              <w:rPr>
                <w:i/>
                <w:sz w:val="24"/>
                <w:szCs w:val="24"/>
              </w:rPr>
            </w:pPr>
            <w:r>
              <w:rPr>
                <w:i/>
                <w:sz w:val="24"/>
                <w:szCs w:val="24"/>
                <w:lang w:val="en-US" w:eastAsia="zh-CN"/>
              </w:rPr>
              <w:t>39.35</w:t>
            </w:r>
          </w:p>
        </w:tc>
      </w:tr>
      <w:tr w:rsidR="001C08A5" w14:paraId="70F4EFC4" w14:textId="77777777">
        <w:tc>
          <w:tcPr>
            <w:tcW w:w="752" w:type="dxa"/>
          </w:tcPr>
          <w:p w14:paraId="4D571F4D" w14:textId="77777777" w:rsidR="001C08A5" w:rsidRDefault="001C08A5">
            <w:pPr>
              <w:numPr>
                <w:ilvl w:val="0"/>
                <w:numId w:val="102"/>
              </w:numPr>
              <w:rPr>
                <w:i/>
                <w:sz w:val="24"/>
                <w:szCs w:val="24"/>
              </w:rPr>
            </w:pPr>
          </w:p>
        </w:tc>
        <w:tc>
          <w:tcPr>
            <w:tcW w:w="5069" w:type="dxa"/>
          </w:tcPr>
          <w:p w14:paraId="2258AC95" w14:textId="77777777" w:rsidR="001C08A5" w:rsidRDefault="00000000">
            <w:pPr>
              <w:rPr>
                <w:i/>
                <w:sz w:val="24"/>
                <w:szCs w:val="24"/>
              </w:rPr>
            </w:pPr>
            <w:r>
              <w:rPr>
                <w:i/>
                <w:sz w:val="24"/>
                <w:szCs w:val="24"/>
                <w:lang w:val="en-US" w:eastAsia="zh-CN"/>
              </w:rPr>
              <w:t>Acid palmitic</w:t>
            </w:r>
          </w:p>
        </w:tc>
        <w:tc>
          <w:tcPr>
            <w:tcW w:w="2701" w:type="dxa"/>
          </w:tcPr>
          <w:p w14:paraId="3EE1A147" w14:textId="77777777" w:rsidR="001C08A5" w:rsidRDefault="00000000">
            <w:pPr>
              <w:rPr>
                <w:i/>
                <w:sz w:val="24"/>
                <w:szCs w:val="24"/>
              </w:rPr>
            </w:pPr>
            <w:r>
              <w:rPr>
                <w:i/>
                <w:sz w:val="24"/>
                <w:szCs w:val="24"/>
                <w:lang w:val="en-US" w:eastAsia="zh-CN"/>
              </w:rPr>
              <w:t>39.55</w:t>
            </w:r>
          </w:p>
        </w:tc>
      </w:tr>
      <w:tr w:rsidR="001C08A5" w14:paraId="6B9B6836" w14:textId="77777777">
        <w:tc>
          <w:tcPr>
            <w:tcW w:w="752" w:type="dxa"/>
          </w:tcPr>
          <w:p w14:paraId="7F9F1D46" w14:textId="77777777" w:rsidR="001C08A5" w:rsidRDefault="001C08A5">
            <w:pPr>
              <w:numPr>
                <w:ilvl w:val="0"/>
                <w:numId w:val="102"/>
              </w:numPr>
              <w:rPr>
                <w:i/>
                <w:sz w:val="24"/>
                <w:szCs w:val="24"/>
              </w:rPr>
            </w:pPr>
          </w:p>
        </w:tc>
        <w:tc>
          <w:tcPr>
            <w:tcW w:w="5069" w:type="dxa"/>
          </w:tcPr>
          <w:p w14:paraId="1632F600" w14:textId="77777777" w:rsidR="001C08A5" w:rsidRDefault="00000000">
            <w:pPr>
              <w:rPr>
                <w:i/>
                <w:sz w:val="24"/>
                <w:szCs w:val="24"/>
              </w:rPr>
            </w:pPr>
            <w:r>
              <w:rPr>
                <w:i/>
                <w:sz w:val="24"/>
                <w:szCs w:val="24"/>
                <w:lang w:val="en-US" w:eastAsia="zh-CN"/>
              </w:rPr>
              <w:t>Acid stearic</w:t>
            </w:r>
          </w:p>
        </w:tc>
        <w:tc>
          <w:tcPr>
            <w:tcW w:w="2701" w:type="dxa"/>
          </w:tcPr>
          <w:p w14:paraId="3C14234F" w14:textId="77777777" w:rsidR="001C08A5" w:rsidRDefault="00000000">
            <w:pPr>
              <w:rPr>
                <w:i/>
                <w:sz w:val="24"/>
                <w:szCs w:val="24"/>
              </w:rPr>
            </w:pPr>
            <w:r>
              <w:rPr>
                <w:i/>
                <w:sz w:val="24"/>
                <w:szCs w:val="24"/>
                <w:lang w:val="en-US" w:eastAsia="zh-CN"/>
              </w:rPr>
              <w:t>39.75</w:t>
            </w:r>
          </w:p>
        </w:tc>
      </w:tr>
      <w:tr w:rsidR="001C08A5" w14:paraId="510A5893" w14:textId="77777777">
        <w:tc>
          <w:tcPr>
            <w:tcW w:w="752" w:type="dxa"/>
          </w:tcPr>
          <w:p w14:paraId="43F9C9A4" w14:textId="77777777" w:rsidR="001C08A5" w:rsidRDefault="001C08A5">
            <w:pPr>
              <w:numPr>
                <w:ilvl w:val="0"/>
                <w:numId w:val="102"/>
              </w:numPr>
              <w:rPr>
                <w:i/>
                <w:sz w:val="24"/>
                <w:szCs w:val="24"/>
              </w:rPr>
            </w:pPr>
          </w:p>
        </w:tc>
        <w:tc>
          <w:tcPr>
            <w:tcW w:w="5069" w:type="dxa"/>
          </w:tcPr>
          <w:p w14:paraId="60B97351" w14:textId="77777777" w:rsidR="001C08A5" w:rsidRDefault="00000000">
            <w:pPr>
              <w:rPr>
                <w:i/>
                <w:sz w:val="24"/>
                <w:szCs w:val="24"/>
              </w:rPr>
            </w:pPr>
            <w:r>
              <w:rPr>
                <w:i/>
                <w:sz w:val="24"/>
                <w:szCs w:val="24"/>
                <w:lang w:val="en-US" w:eastAsia="zh-CN"/>
              </w:rPr>
              <w:t>Acrilonitril</w:t>
            </w:r>
          </w:p>
        </w:tc>
        <w:tc>
          <w:tcPr>
            <w:tcW w:w="2701" w:type="dxa"/>
          </w:tcPr>
          <w:p w14:paraId="4589C2FE" w14:textId="77777777" w:rsidR="001C08A5" w:rsidRDefault="00000000">
            <w:pPr>
              <w:rPr>
                <w:i/>
                <w:sz w:val="24"/>
                <w:szCs w:val="24"/>
              </w:rPr>
            </w:pPr>
            <w:r>
              <w:rPr>
                <w:i/>
                <w:sz w:val="24"/>
                <w:szCs w:val="24"/>
                <w:lang w:val="en-US" w:eastAsia="zh-CN"/>
              </w:rPr>
              <w:t>31.80</w:t>
            </w:r>
          </w:p>
        </w:tc>
      </w:tr>
      <w:tr w:rsidR="001C08A5" w14:paraId="4576268C" w14:textId="77777777">
        <w:tc>
          <w:tcPr>
            <w:tcW w:w="752" w:type="dxa"/>
          </w:tcPr>
          <w:p w14:paraId="14F4D220" w14:textId="77777777" w:rsidR="001C08A5" w:rsidRDefault="001C08A5">
            <w:pPr>
              <w:numPr>
                <w:ilvl w:val="0"/>
                <w:numId w:val="102"/>
              </w:numPr>
              <w:rPr>
                <w:i/>
                <w:sz w:val="24"/>
                <w:szCs w:val="24"/>
              </w:rPr>
            </w:pPr>
          </w:p>
        </w:tc>
        <w:tc>
          <w:tcPr>
            <w:tcW w:w="5069" w:type="dxa"/>
          </w:tcPr>
          <w:p w14:paraId="0F2DDD7C" w14:textId="77777777" w:rsidR="001C08A5" w:rsidRDefault="00000000">
            <w:pPr>
              <w:rPr>
                <w:i/>
                <w:sz w:val="24"/>
                <w:szCs w:val="24"/>
              </w:rPr>
            </w:pPr>
            <w:r>
              <w:rPr>
                <w:i/>
                <w:sz w:val="24"/>
                <w:szCs w:val="24"/>
                <w:lang w:val="en-US" w:eastAsia="zh-CN"/>
              </w:rPr>
              <w:t>Acrilonitril-butadien-stiren (ABS)</w:t>
            </w:r>
          </w:p>
        </w:tc>
        <w:tc>
          <w:tcPr>
            <w:tcW w:w="2701" w:type="dxa"/>
          </w:tcPr>
          <w:p w14:paraId="6D9698F0" w14:textId="77777777" w:rsidR="001C08A5" w:rsidRDefault="00000000">
            <w:pPr>
              <w:rPr>
                <w:i/>
                <w:sz w:val="24"/>
                <w:szCs w:val="24"/>
              </w:rPr>
            </w:pPr>
            <w:r>
              <w:rPr>
                <w:i/>
                <w:sz w:val="24"/>
                <w:szCs w:val="24"/>
                <w:lang w:val="en-US" w:eastAsia="zh-CN"/>
              </w:rPr>
              <w:t>37.70</w:t>
            </w:r>
          </w:p>
        </w:tc>
      </w:tr>
      <w:tr w:rsidR="001C08A5" w14:paraId="568B4600" w14:textId="77777777">
        <w:tc>
          <w:tcPr>
            <w:tcW w:w="752" w:type="dxa"/>
          </w:tcPr>
          <w:p w14:paraId="60B1B055" w14:textId="77777777" w:rsidR="001C08A5" w:rsidRDefault="001C08A5">
            <w:pPr>
              <w:numPr>
                <w:ilvl w:val="0"/>
                <w:numId w:val="102"/>
              </w:numPr>
              <w:rPr>
                <w:i/>
                <w:sz w:val="24"/>
                <w:szCs w:val="24"/>
              </w:rPr>
            </w:pPr>
          </w:p>
        </w:tc>
        <w:tc>
          <w:tcPr>
            <w:tcW w:w="5069" w:type="dxa"/>
          </w:tcPr>
          <w:p w14:paraId="1BC6A72A" w14:textId="77777777" w:rsidR="001C08A5" w:rsidRDefault="00000000">
            <w:pPr>
              <w:rPr>
                <w:i/>
                <w:sz w:val="24"/>
                <w:szCs w:val="24"/>
              </w:rPr>
            </w:pPr>
            <w:r>
              <w:rPr>
                <w:i/>
                <w:sz w:val="24"/>
                <w:szCs w:val="24"/>
                <w:lang w:val="en-US" w:eastAsia="zh-CN"/>
              </w:rPr>
              <w:t>Alcool aldol</w:t>
            </w:r>
          </w:p>
        </w:tc>
        <w:tc>
          <w:tcPr>
            <w:tcW w:w="2701" w:type="dxa"/>
          </w:tcPr>
          <w:p w14:paraId="2F07BA85" w14:textId="77777777" w:rsidR="001C08A5" w:rsidRDefault="00000000">
            <w:pPr>
              <w:rPr>
                <w:i/>
                <w:sz w:val="24"/>
                <w:szCs w:val="24"/>
              </w:rPr>
            </w:pPr>
            <w:r>
              <w:rPr>
                <w:i/>
                <w:sz w:val="24"/>
                <w:szCs w:val="24"/>
                <w:lang w:val="en-US" w:eastAsia="zh-CN"/>
              </w:rPr>
              <w:t>26.10</w:t>
            </w:r>
          </w:p>
        </w:tc>
      </w:tr>
      <w:tr w:rsidR="001C08A5" w14:paraId="7B5CB317" w14:textId="77777777">
        <w:tc>
          <w:tcPr>
            <w:tcW w:w="752" w:type="dxa"/>
          </w:tcPr>
          <w:p w14:paraId="380944FE" w14:textId="77777777" w:rsidR="001C08A5" w:rsidRDefault="001C08A5">
            <w:pPr>
              <w:numPr>
                <w:ilvl w:val="0"/>
                <w:numId w:val="102"/>
              </w:numPr>
              <w:rPr>
                <w:i/>
                <w:sz w:val="24"/>
                <w:szCs w:val="24"/>
              </w:rPr>
            </w:pPr>
          </w:p>
        </w:tc>
        <w:tc>
          <w:tcPr>
            <w:tcW w:w="5069" w:type="dxa"/>
          </w:tcPr>
          <w:p w14:paraId="56A899B1" w14:textId="77777777" w:rsidR="001C08A5" w:rsidRDefault="00000000">
            <w:pPr>
              <w:rPr>
                <w:i/>
                <w:sz w:val="24"/>
                <w:szCs w:val="24"/>
              </w:rPr>
            </w:pPr>
            <w:r>
              <w:rPr>
                <w:i/>
                <w:sz w:val="24"/>
                <w:szCs w:val="24"/>
                <w:lang w:val="en-US" w:eastAsia="zh-CN"/>
              </w:rPr>
              <w:t>Alcool alilic</w:t>
            </w:r>
          </w:p>
        </w:tc>
        <w:tc>
          <w:tcPr>
            <w:tcW w:w="2701" w:type="dxa"/>
          </w:tcPr>
          <w:p w14:paraId="1D1CF7D7" w14:textId="77777777" w:rsidR="001C08A5" w:rsidRDefault="00000000">
            <w:pPr>
              <w:rPr>
                <w:i/>
                <w:sz w:val="24"/>
                <w:szCs w:val="24"/>
              </w:rPr>
            </w:pPr>
            <w:r>
              <w:rPr>
                <w:i/>
                <w:sz w:val="24"/>
                <w:szCs w:val="24"/>
                <w:lang w:val="en-US" w:eastAsia="zh-CN"/>
              </w:rPr>
              <w:t>37.80</w:t>
            </w:r>
          </w:p>
        </w:tc>
      </w:tr>
      <w:tr w:rsidR="001C08A5" w14:paraId="745129DA" w14:textId="77777777">
        <w:tc>
          <w:tcPr>
            <w:tcW w:w="752" w:type="dxa"/>
          </w:tcPr>
          <w:p w14:paraId="2E4F7E34" w14:textId="77777777" w:rsidR="001C08A5" w:rsidRDefault="001C08A5">
            <w:pPr>
              <w:numPr>
                <w:ilvl w:val="0"/>
                <w:numId w:val="102"/>
              </w:numPr>
              <w:rPr>
                <w:i/>
                <w:sz w:val="24"/>
                <w:szCs w:val="24"/>
              </w:rPr>
            </w:pPr>
          </w:p>
        </w:tc>
        <w:tc>
          <w:tcPr>
            <w:tcW w:w="5069" w:type="dxa"/>
          </w:tcPr>
          <w:p w14:paraId="3AA96CAE" w14:textId="77777777" w:rsidR="001C08A5" w:rsidRDefault="00000000">
            <w:pPr>
              <w:rPr>
                <w:i/>
                <w:sz w:val="24"/>
                <w:szCs w:val="24"/>
              </w:rPr>
            </w:pPr>
            <w:r>
              <w:rPr>
                <w:i/>
                <w:sz w:val="24"/>
                <w:szCs w:val="24"/>
                <w:lang w:val="en-US" w:eastAsia="zh-CN"/>
              </w:rPr>
              <w:t>Alcool amilic</w:t>
            </w:r>
          </w:p>
        </w:tc>
        <w:tc>
          <w:tcPr>
            <w:tcW w:w="2701" w:type="dxa"/>
          </w:tcPr>
          <w:p w14:paraId="10BB163F" w14:textId="77777777" w:rsidR="001C08A5" w:rsidRDefault="00000000">
            <w:pPr>
              <w:rPr>
                <w:i/>
                <w:sz w:val="24"/>
                <w:szCs w:val="24"/>
              </w:rPr>
            </w:pPr>
            <w:r>
              <w:rPr>
                <w:i/>
                <w:sz w:val="24"/>
                <w:szCs w:val="24"/>
                <w:lang w:val="en-US" w:eastAsia="zh-CN"/>
              </w:rPr>
              <w:t>31.95</w:t>
            </w:r>
          </w:p>
        </w:tc>
      </w:tr>
      <w:tr w:rsidR="001C08A5" w14:paraId="60E5BC4E" w14:textId="77777777">
        <w:tc>
          <w:tcPr>
            <w:tcW w:w="752" w:type="dxa"/>
          </w:tcPr>
          <w:p w14:paraId="68BF8E86" w14:textId="77777777" w:rsidR="001C08A5" w:rsidRDefault="001C08A5">
            <w:pPr>
              <w:numPr>
                <w:ilvl w:val="0"/>
                <w:numId w:val="102"/>
              </w:numPr>
              <w:rPr>
                <w:i/>
                <w:sz w:val="24"/>
                <w:szCs w:val="24"/>
              </w:rPr>
            </w:pPr>
          </w:p>
        </w:tc>
        <w:tc>
          <w:tcPr>
            <w:tcW w:w="5069" w:type="dxa"/>
          </w:tcPr>
          <w:p w14:paraId="17CB8E1D" w14:textId="77777777" w:rsidR="001C08A5" w:rsidRDefault="00000000">
            <w:pPr>
              <w:rPr>
                <w:i/>
                <w:sz w:val="24"/>
                <w:szCs w:val="24"/>
              </w:rPr>
            </w:pPr>
            <w:r>
              <w:rPr>
                <w:i/>
                <w:sz w:val="24"/>
                <w:szCs w:val="24"/>
                <w:lang w:val="en-US" w:eastAsia="zh-CN"/>
              </w:rPr>
              <w:t>Alcool butilic</w:t>
            </w:r>
          </w:p>
        </w:tc>
        <w:tc>
          <w:tcPr>
            <w:tcW w:w="2701" w:type="dxa"/>
          </w:tcPr>
          <w:p w14:paraId="7717A36E" w14:textId="77777777" w:rsidR="001C08A5" w:rsidRDefault="00000000">
            <w:pPr>
              <w:rPr>
                <w:i/>
                <w:sz w:val="24"/>
                <w:szCs w:val="24"/>
              </w:rPr>
            </w:pPr>
            <w:r>
              <w:rPr>
                <w:i/>
                <w:sz w:val="24"/>
                <w:szCs w:val="24"/>
                <w:lang w:val="en-US" w:eastAsia="zh-CN"/>
              </w:rPr>
              <w:t>36.20</w:t>
            </w:r>
          </w:p>
        </w:tc>
      </w:tr>
      <w:tr w:rsidR="001C08A5" w14:paraId="3D246D35" w14:textId="77777777">
        <w:tc>
          <w:tcPr>
            <w:tcW w:w="752" w:type="dxa"/>
          </w:tcPr>
          <w:p w14:paraId="6875D43A" w14:textId="77777777" w:rsidR="001C08A5" w:rsidRDefault="001C08A5">
            <w:pPr>
              <w:numPr>
                <w:ilvl w:val="0"/>
                <w:numId w:val="102"/>
              </w:numPr>
              <w:rPr>
                <w:i/>
                <w:sz w:val="24"/>
                <w:szCs w:val="24"/>
              </w:rPr>
            </w:pPr>
          </w:p>
        </w:tc>
        <w:tc>
          <w:tcPr>
            <w:tcW w:w="5069" w:type="dxa"/>
          </w:tcPr>
          <w:p w14:paraId="0B5B9163" w14:textId="77777777" w:rsidR="001C08A5" w:rsidRDefault="00000000">
            <w:pPr>
              <w:rPr>
                <w:i/>
                <w:sz w:val="24"/>
                <w:szCs w:val="24"/>
              </w:rPr>
            </w:pPr>
            <w:r>
              <w:rPr>
                <w:i/>
                <w:sz w:val="24"/>
                <w:szCs w:val="24"/>
                <w:lang w:val="en-US" w:eastAsia="zh-CN"/>
              </w:rPr>
              <w:t>Alcool cetilic</w:t>
            </w:r>
          </w:p>
        </w:tc>
        <w:tc>
          <w:tcPr>
            <w:tcW w:w="2701" w:type="dxa"/>
          </w:tcPr>
          <w:p w14:paraId="52E52E0C" w14:textId="77777777" w:rsidR="001C08A5" w:rsidRDefault="00000000">
            <w:pPr>
              <w:rPr>
                <w:i/>
                <w:sz w:val="24"/>
                <w:szCs w:val="24"/>
              </w:rPr>
            </w:pPr>
            <w:r>
              <w:rPr>
                <w:i/>
                <w:sz w:val="24"/>
                <w:szCs w:val="24"/>
                <w:lang w:val="en-US" w:eastAsia="zh-CN"/>
              </w:rPr>
              <w:t>43.30</w:t>
            </w:r>
          </w:p>
        </w:tc>
      </w:tr>
      <w:tr w:rsidR="001C08A5" w14:paraId="749B1218" w14:textId="77777777">
        <w:tc>
          <w:tcPr>
            <w:tcW w:w="752" w:type="dxa"/>
          </w:tcPr>
          <w:p w14:paraId="397E64D8" w14:textId="77777777" w:rsidR="001C08A5" w:rsidRDefault="001C08A5">
            <w:pPr>
              <w:numPr>
                <w:ilvl w:val="0"/>
                <w:numId w:val="102"/>
              </w:numPr>
              <w:rPr>
                <w:i/>
                <w:sz w:val="24"/>
                <w:szCs w:val="24"/>
              </w:rPr>
            </w:pPr>
          </w:p>
        </w:tc>
        <w:tc>
          <w:tcPr>
            <w:tcW w:w="5069" w:type="dxa"/>
          </w:tcPr>
          <w:p w14:paraId="40EF7D19" w14:textId="77777777" w:rsidR="001C08A5" w:rsidRDefault="00000000">
            <w:pPr>
              <w:rPr>
                <w:i/>
                <w:sz w:val="24"/>
                <w:szCs w:val="24"/>
              </w:rPr>
            </w:pPr>
            <w:r>
              <w:rPr>
                <w:i/>
                <w:sz w:val="24"/>
                <w:szCs w:val="24"/>
                <w:lang w:val="en-US" w:eastAsia="zh-CN"/>
              </w:rPr>
              <w:t>Alcool denaturat</w:t>
            </w:r>
          </w:p>
        </w:tc>
        <w:tc>
          <w:tcPr>
            <w:tcW w:w="2701" w:type="dxa"/>
          </w:tcPr>
          <w:p w14:paraId="3E9EFEA0" w14:textId="77777777" w:rsidR="001C08A5" w:rsidRDefault="00000000">
            <w:pPr>
              <w:rPr>
                <w:i/>
                <w:sz w:val="24"/>
                <w:szCs w:val="24"/>
              </w:rPr>
            </w:pPr>
            <w:r>
              <w:rPr>
                <w:i/>
                <w:sz w:val="24"/>
                <w:szCs w:val="24"/>
                <w:lang w:val="en-US" w:eastAsia="zh-CN"/>
              </w:rPr>
              <w:t>27.20</w:t>
            </w:r>
          </w:p>
        </w:tc>
      </w:tr>
      <w:tr w:rsidR="001C08A5" w14:paraId="5317D65E" w14:textId="77777777">
        <w:tc>
          <w:tcPr>
            <w:tcW w:w="752" w:type="dxa"/>
          </w:tcPr>
          <w:p w14:paraId="7C1217FA" w14:textId="77777777" w:rsidR="001C08A5" w:rsidRDefault="001C08A5">
            <w:pPr>
              <w:numPr>
                <w:ilvl w:val="0"/>
                <w:numId w:val="102"/>
              </w:numPr>
              <w:rPr>
                <w:i/>
                <w:sz w:val="24"/>
                <w:szCs w:val="24"/>
              </w:rPr>
            </w:pPr>
          </w:p>
        </w:tc>
        <w:tc>
          <w:tcPr>
            <w:tcW w:w="5069" w:type="dxa"/>
          </w:tcPr>
          <w:p w14:paraId="5D2EDC5C" w14:textId="77777777" w:rsidR="001C08A5" w:rsidRDefault="00000000">
            <w:pPr>
              <w:rPr>
                <w:i/>
                <w:sz w:val="24"/>
                <w:szCs w:val="24"/>
              </w:rPr>
            </w:pPr>
            <w:r>
              <w:rPr>
                <w:i/>
                <w:sz w:val="24"/>
                <w:szCs w:val="24"/>
                <w:lang w:val="en-US" w:eastAsia="zh-CN"/>
              </w:rPr>
              <w:t>Alcool etilic</w:t>
            </w:r>
          </w:p>
        </w:tc>
        <w:tc>
          <w:tcPr>
            <w:tcW w:w="2701" w:type="dxa"/>
          </w:tcPr>
          <w:p w14:paraId="69C8B014" w14:textId="77777777" w:rsidR="001C08A5" w:rsidRDefault="00000000">
            <w:pPr>
              <w:rPr>
                <w:i/>
                <w:sz w:val="24"/>
                <w:szCs w:val="24"/>
              </w:rPr>
            </w:pPr>
            <w:r>
              <w:rPr>
                <w:i/>
                <w:sz w:val="24"/>
                <w:szCs w:val="24"/>
                <w:lang w:val="en-US" w:eastAsia="zh-CN"/>
              </w:rPr>
              <w:t>30.05</w:t>
            </w:r>
          </w:p>
        </w:tc>
      </w:tr>
      <w:tr w:rsidR="001C08A5" w14:paraId="56BE4320" w14:textId="77777777">
        <w:tc>
          <w:tcPr>
            <w:tcW w:w="752" w:type="dxa"/>
          </w:tcPr>
          <w:p w14:paraId="5487AB97" w14:textId="77777777" w:rsidR="001C08A5" w:rsidRDefault="001C08A5">
            <w:pPr>
              <w:numPr>
                <w:ilvl w:val="0"/>
                <w:numId w:val="102"/>
              </w:numPr>
              <w:rPr>
                <w:i/>
                <w:sz w:val="24"/>
                <w:szCs w:val="24"/>
              </w:rPr>
            </w:pPr>
          </w:p>
        </w:tc>
        <w:tc>
          <w:tcPr>
            <w:tcW w:w="5069" w:type="dxa"/>
          </w:tcPr>
          <w:p w14:paraId="73CE98B8" w14:textId="77777777" w:rsidR="001C08A5" w:rsidRDefault="00000000">
            <w:pPr>
              <w:rPr>
                <w:i/>
                <w:sz w:val="24"/>
                <w:szCs w:val="24"/>
              </w:rPr>
            </w:pPr>
            <w:r>
              <w:rPr>
                <w:i/>
                <w:sz w:val="24"/>
                <w:szCs w:val="24"/>
                <w:lang w:val="en-US" w:eastAsia="zh-CN"/>
              </w:rPr>
              <w:t>Alcool metilic</w:t>
            </w:r>
          </w:p>
        </w:tc>
        <w:tc>
          <w:tcPr>
            <w:tcW w:w="2701" w:type="dxa"/>
          </w:tcPr>
          <w:p w14:paraId="57C5B504" w14:textId="77777777" w:rsidR="001C08A5" w:rsidRDefault="00000000">
            <w:pPr>
              <w:rPr>
                <w:i/>
                <w:sz w:val="24"/>
                <w:szCs w:val="24"/>
              </w:rPr>
            </w:pPr>
            <w:r>
              <w:rPr>
                <w:i/>
                <w:sz w:val="24"/>
                <w:szCs w:val="24"/>
                <w:lang w:val="en-US" w:eastAsia="zh-CN"/>
              </w:rPr>
              <w:t>22.40</w:t>
            </w:r>
          </w:p>
        </w:tc>
      </w:tr>
      <w:tr w:rsidR="001C08A5" w14:paraId="4FEDBFFD" w14:textId="77777777">
        <w:tc>
          <w:tcPr>
            <w:tcW w:w="752" w:type="dxa"/>
          </w:tcPr>
          <w:p w14:paraId="5C22194F" w14:textId="77777777" w:rsidR="001C08A5" w:rsidRDefault="001C08A5">
            <w:pPr>
              <w:numPr>
                <w:ilvl w:val="0"/>
                <w:numId w:val="102"/>
              </w:numPr>
              <w:rPr>
                <w:i/>
                <w:sz w:val="24"/>
                <w:szCs w:val="24"/>
              </w:rPr>
            </w:pPr>
          </w:p>
        </w:tc>
        <w:tc>
          <w:tcPr>
            <w:tcW w:w="5069" w:type="dxa"/>
          </w:tcPr>
          <w:p w14:paraId="2331E11D" w14:textId="77777777" w:rsidR="001C08A5" w:rsidRDefault="00000000">
            <w:pPr>
              <w:rPr>
                <w:i/>
                <w:sz w:val="24"/>
                <w:szCs w:val="24"/>
              </w:rPr>
            </w:pPr>
            <w:r>
              <w:rPr>
                <w:i/>
                <w:sz w:val="24"/>
                <w:szCs w:val="24"/>
                <w:lang w:val="en-US" w:eastAsia="zh-CN"/>
              </w:rPr>
              <w:t>Alcool propilic</w:t>
            </w:r>
          </w:p>
        </w:tc>
        <w:tc>
          <w:tcPr>
            <w:tcW w:w="2701" w:type="dxa"/>
          </w:tcPr>
          <w:p w14:paraId="4B95E136" w14:textId="77777777" w:rsidR="001C08A5" w:rsidRDefault="00000000">
            <w:pPr>
              <w:rPr>
                <w:i/>
                <w:sz w:val="24"/>
                <w:szCs w:val="24"/>
              </w:rPr>
            </w:pPr>
            <w:r>
              <w:rPr>
                <w:i/>
                <w:sz w:val="24"/>
                <w:szCs w:val="24"/>
                <w:lang w:val="en-US" w:eastAsia="zh-CN"/>
              </w:rPr>
              <w:t>33.80</w:t>
            </w:r>
          </w:p>
        </w:tc>
      </w:tr>
      <w:tr w:rsidR="001C08A5" w14:paraId="12B88B70" w14:textId="77777777">
        <w:tc>
          <w:tcPr>
            <w:tcW w:w="752" w:type="dxa"/>
          </w:tcPr>
          <w:p w14:paraId="6EEB31E9" w14:textId="77777777" w:rsidR="001C08A5" w:rsidRDefault="001C08A5">
            <w:pPr>
              <w:numPr>
                <w:ilvl w:val="0"/>
                <w:numId w:val="102"/>
              </w:numPr>
              <w:rPr>
                <w:i/>
                <w:sz w:val="24"/>
                <w:szCs w:val="24"/>
              </w:rPr>
            </w:pPr>
          </w:p>
        </w:tc>
        <w:tc>
          <w:tcPr>
            <w:tcW w:w="5069" w:type="dxa"/>
          </w:tcPr>
          <w:p w14:paraId="4FE6B227" w14:textId="77777777" w:rsidR="001C08A5" w:rsidRDefault="00000000">
            <w:pPr>
              <w:rPr>
                <w:i/>
                <w:sz w:val="24"/>
                <w:szCs w:val="24"/>
              </w:rPr>
            </w:pPr>
            <w:r>
              <w:rPr>
                <w:i/>
                <w:sz w:val="24"/>
                <w:szCs w:val="24"/>
                <w:lang w:val="en-US" w:eastAsia="zh-CN"/>
              </w:rPr>
              <w:t>Aldehidă acetică</w:t>
            </w:r>
          </w:p>
        </w:tc>
        <w:tc>
          <w:tcPr>
            <w:tcW w:w="2701" w:type="dxa"/>
          </w:tcPr>
          <w:p w14:paraId="604D5B68" w14:textId="77777777" w:rsidR="001C08A5" w:rsidRDefault="00000000">
            <w:pPr>
              <w:rPr>
                <w:i/>
                <w:sz w:val="24"/>
                <w:szCs w:val="24"/>
              </w:rPr>
            </w:pPr>
            <w:r>
              <w:rPr>
                <w:i/>
                <w:sz w:val="24"/>
                <w:szCs w:val="24"/>
                <w:lang w:val="en-US" w:eastAsia="zh-CN"/>
              </w:rPr>
              <w:t>26.55</w:t>
            </w:r>
          </w:p>
        </w:tc>
      </w:tr>
      <w:tr w:rsidR="001C08A5" w14:paraId="1CB583AF" w14:textId="77777777">
        <w:tc>
          <w:tcPr>
            <w:tcW w:w="752" w:type="dxa"/>
          </w:tcPr>
          <w:p w14:paraId="4CC9F552" w14:textId="77777777" w:rsidR="001C08A5" w:rsidRDefault="001C08A5">
            <w:pPr>
              <w:numPr>
                <w:ilvl w:val="0"/>
                <w:numId w:val="102"/>
              </w:numPr>
              <w:rPr>
                <w:i/>
                <w:sz w:val="24"/>
                <w:szCs w:val="24"/>
              </w:rPr>
            </w:pPr>
          </w:p>
        </w:tc>
        <w:tc>
          <w:tcPr>
            <w:tcW w:w="5069" w:type="dxa"/>
          </w:tcPr>
          <w:p w14:paraId="7AD51604" w14:textId="77777777" w:rsidR="001C08A5" w:rsidRDefault="00000000">
            <w:pPr>
              <w:rPr>
                <w:i/>
                <w:sz w:val="24"/>
                <w:szCs w:val="24"/>
              </w:rPr>
            </w:pPr>
            <w:r>
              <w:rPr>
                <w:i/>
                <w:sz w:val="24"/>
                <w:szCs w:val="24"/>
                <w:lang w:val="en-US" w:eastAsia="zh-CN"/>
              </w:rPr>
              <w:t>Aldehidă formică</w:t>
            </w:r>
          </w:p>
        </w:tc>
        <w:tc>
          <w:tcPr>
            <w:tcW w:w="2701" w:type="dxa"/>
          </w:tcPr>
          <w:p w14:paraId="5BBA7F61" w14:textId="77777777" w:rsidR="001C08A5" w:rsidRDefault="00000000">
            <w:pPr>
              <w:rPr>
                <w:i/>
                <w:sz w:val="24"/>
                <w:szCs w:val="24"/>
              </w:rPr>
            </w:pPr>
            <w:r>
              <w:rPr>
                <w:i/>
                <w:sz w:val="24"/>
                <w:szCs w:val="24"/>
                <w:lang w:val="en-US" w:eastAsia="zh-CN"/>
              </w:rPr>
              <w:t>18.70</w:t>
            </w:r>
          </w:p>
        </w:tc>
      </w:tr>
      <w:tr w:rsidR="001C08A5" w14:paraId="71E0C516" w14:textId="77777777">
        <w:tc>
          <w:tcPr>
            <w:tcW w:w="752" w:type="dxa"/>
          </w:tcPr>
          <w:p w14:paraId="7A898313" w14:textId="77777777" w:rsidR="001C08A5" w:rsidRDefault="001C08A5">
            <w:pPr>
              <w:numPr>
                <w:ilvl w:val="0"/>
                <w:numId w:val="102"/>
              </w:numPr>
              <w:rPr>
                <w:i/>
                <w:sz w:val="24"/>
                <w:szCs w:val="24"/>
              </w:rPr>
            </w:pPr>
          </w:p>
        </w:tc>
        <w:tc>
          <w:tcPr>
            <w:tcW w:w="5069" w:type="dxa"/>
          </w:tcPr>
          <w:p w14:paraId="08765A14" w14:textId="77777777" w:rsidR="001C08A5" w:rsidRDefault="00000000">
            <w:pPr>
              <w:rPr>
                <w:i/>
                <w:sz w:val="24"/>
                <w:szCs w:val="24"/>
              </w:rPr>
            </w:pPr>
            <w:r>
              <w:rPr>
                <w:i/>
                <w:sz w:val="24"/>
                <w:szCs w:val="24"/>
                <w:lang w:val="en-US" w:eastAsia="zh-CN"/>
              </w:rPr>
              <w:t>Aluminiu pulbere</w:t>
            </w:r>
          </w:p>
        </w:tc>
        <w:tc>
          <w:tcPr>
            <w:tcW w:w="2701" w:type="dxa"/>
          </w:tcPr>
          <w:p w14:paraId="3F6A7394" w14:textId="77777777" w:rsidR="001C08A5" w:rsidRDefault="00000000">
            <w:pPr>
              <w:rPr>
                <w:i/>
                <w:sz w:val="24"/>
                <w:szCs w:val="24"/>
              </w:rPr>
            </w:pPr>
            <w:r>
              <w:rPr>
                <w:i/>
                <w:sz w:val="24"/>
                <w:szCs w:val="24"/>
                <w:lang w:val="en-US" w:eastAsia="zh-CN"/>
              </w:rPr>
              <w:t>29.30</w:t>
            </w:r>
          </w:p>
        </w:tc>
      </w:tr>
      <w:tr w:rsidR="001C08A5" w14:paraId="5958EA45" w14:textId="77777777">
        <w:tc>
          <w:tcPr>
            <w:tcW w:w="752" w:type="dxa"/>
          </w:tcPr>
          <w:p w14:paraId="56F5D267" w14:textId="77777777" w:rsidR="001C08A5" w:rsidRDefault="001C08A5">
            <w:pPr>
              <w:numPr>
                <w:ilvl w:val="0"/>
                <w:numId w:val="102"/>
              </w:numPr>
              <w:rPr>
                <w:i/>
                <w:sz w:val="24"/>
                <w:szCs w:val="24"/>
              </w:rPr>
            </w:pPr>
          </w:p>
        </w:tc>
        <w:tc>
          <w:tcPr>
            <w:tcW w:w="5069" w:type="dxa"/>
          </w:tcPr>
          <w:p w14:paraId="2F95AB89" w14:textId="77777777" w:rsidR="001C08A5" w:rsidRDefault="00000000">
            <w:pPr>
              <w:rPr>
                <w:i/>
                <w:sz w:val="24"/>
                <w:szCs w:val="24"/>
              </w:rPr>
            </w:pPr>
            <w:r>
              <w:rPr>
                <w:i/>
                <w:sz w:val="24"/>
                <w:szCs w:val="24"/>
                <w:lang w:val="en-US" w:eastAsia="zh-CN"/>
              </w:rPr>
              <w:t>Amidon</w:t>
            </w:r>
          </w:p>
        </w:tc>
        <w:tc>
          <w:tcPr>
            <w:tcW w:w="2701" w:type="dxa"/>
          </w:tcPr>
          <w:p w14:paraId="1BE272C0" w14:textId="77777777" w:rsidR="001C08A5" w:rsidRDefault="00000000">
            <w:pPr>
              <w:rPr>
                <w:i/>
                <w:sz w:val="24"/>
                <w:szCs w:val="24"/>
              </w:rPr>
            </w:pPr>
            <w:r>
              <w:rPr>
                <w:i/>
                <w:sz w:val="24"/>
                <w:szCs w:val="24"/>
                <w:lang w:val="en-US" w:eastAsia="zh-CN"/>
              </w:rPr>
              <w:t>17.50</w:t>
            </w:r>
          </w:p>
        </w:tc>
      </w:tr>
      <w:tr w:rsidR="001C08A5" w14:paraId="38A13BBC" w14:textId="77777777">
        <w:tc>
          <w:tcPr>
            <w:tcW w:w="752" w:type="dxa"/>
          </w:tcPr>
          <w:p w14:paraId="43202D96" w14:textId="77777777" w:rsidR="001C08A5" w:rsidRDefault="001C08A5">
            <w:pPr>
              <w:numPr>
                <w:ilvl w:val="0"/>
                <w:numId w:val="102"/>
              </w:numPr>
              <w:rPr>
                <w:i/>
                <w:sz w:val="24"/>
                <w:szCs w:val="24"/>
              </w:rPr>
            </w:pPr>
          </w:p>
        </w:tc>
        <w:tc>
          <w:tcPr>
            <w:tcW w:w="5069" w:type="dxa"/>
          </w:tcPr>
          <w:p w14:paraId="4481A923" w14:textId="77777777" w:rsidR="001C08A5" w:rsidRDefault="00000000">
            <w:pPr>
              <w:rPr>
                <w:i/>
                <w:sz w:val="24"/>
                <w:szCs w:val="24"/>
              </w:rPr>
            </w:pPr>
            <w:r>
              <w:rPr>
                <w:i/>
                <w:sz w:val="24"/>
                <w:szCs w:val="24"/>
                <w:lang w:val="en-US" w:eastAsia="zh-CN"/>
              </w:rPr>
              <w:t>Amilen</w:t>
            </w:r>
          </w:p>
        </w:tc>
        <w:tc>
          <w:tcPr>
            <w:tcW w:w="2701" w:type="dxa"/>
          </w:tcPr>
          <w:p w14:paraId="3D426ECB" w14:textId="77777777" w:rsidR="001C08A5" w:rsidRDefault="00000000">
            <w:pPr>
              <w:rPr>
                <w:i/>
                <w:sz w:val="24"/>
                <w:szCs w:val="24"/>
              </w:rPr>
            </w:pPr>
            <w:r>
              <w:rPr>
                <w:i/>
                <w:sz w:val="24"/>
                <w:szCs w:val="24"/>
                <w:lang w:val="en-US" w:eastAsia="zh-CN"/>
              </w:rPr>
              <w:t>48.15</w:t>
            </w:r>
          </w:p>
        </w:tc>
      </w:tr>
      <w:tr w:rsidR="001C08A5" w14:paraId="15F0FCE6" w14:textId="77777777">
        <w:tc>
          <w:tcPr>
            <w:tcW w:w="752" w:type="dxa"/>
          </w:tcPr>
          <w:p w14:paraId="1C7D7AE8" w14:textId="77777777" w:rsidR="001C08A5" w:rsidRDefault="001C08A5">
            <w:pPr>
              <w:numPr>
                <w:ilvl w:val="0"/>
                <w:numId w:val="102"/>
              </w:numPr>
              <w:rPr>
                <w:i/>
                <w:sz w:val="24"/>
                <w:szCs w:val="24"/>
              </w:rPr>
            </w:pPr>
          </w:p>
        </w:tc>
        <w:tc>
          <w:tcPr>
            <w:tcW w:w="5069" w:type="dxa"/>
          </w:tcPr>
          <w:p w14:paraId="14E0E76E" w14:textId="77777777" w:rsidR="001C08A5" w:rsidRDefault="00000000">
            <w:pPr>
              <w:rPr>
                <w:i/>
                <w:sz w:val="24"/>
                <w:szCs w:val="24"/>
              </w:rPr>
            </w:pPr>
            <w:r>
              <w:rPr>
                <w:i/>
                <w:sz w:val="24"/>
                <w:szCs w:val="24"/>
                <w:lang w:val="en-US" w:eastAsia="zh-CN"/>
              </w:rPr>
              <w:t>Anilină</w:t>
            </w:r>
          </w:p>
        </w:tc>
        <w:tc>
          <w:tcPr>
            <w:tcW w:w="2701" w:type="dxa"/>
          </w:tcPr>
          <w:p w14:paraId="131B35F0" w14:textId="77777777" w:rsidR="001C08A5" w:rsidRDefault="00000000">
            <w:pPr>
              <w:rPr>
                <w:i/>
                <w:sz w:val="24"/>
                <w:szCs w:val="24"/>
              </w:rPr>
            </w:pPr>
            <w:r>
              <w:rPr>
                <w:i/>
                <w:sz w:val="24"/>
                <w:szCs w:val="24"/>
                <w:lang w:val="en-US" w:eastAsia="zh-CN"/>
              </w:rPr>
              <w:t>36.70</w:t>
            </w:r>
          </w:p>
        </w:tc>
      </w:tr>
      <w:tr w:rsidR="001C08A5" w14:paraId="2797995C" w14:textId="77777777">
        <w:tc>
          <w:tcPr>
            <w:tcW w:w="752" w:type="dxa"/>
          </w:tcPr>
          <w:p w14:paraId="5922CCAF" w14:textId="77777777" w:rsidR="001C08A5" w:rsidRDefault="001C08A5">
            <w:pPr>
              <w:numPr>
                <w:ilvl w:val="0"/>
                <w:numId w:val="102"/>
              </w:numPr>
              <w:rPr>
                <w:i/>
                <w:sz w:val="24"/>
                <w:szCs w:val="24"/>
              </w:rPr>
            </w:pPr>
          </w:p>
        </w:tc>
        <w:tc>
          <w:tcPr>
            <w:tcW w:w="5069" w:type="dxa"/>
          </w:tcPr>
          <w:p w14:paraId="27133A34" w14:textId="77777777" w:rsidR="001C08A5" w:rsidRDefault="00000000">
            <w:pPr>
              <w:rPr>
                <w:i/>
                <w:sz w:val="24"/>
                <w:szCs w:val="24"/>
              </w:rPr>
            </w:pPr>
            <w:r>
              <w:rPr>
                <w:i/>
                <w:sz w:val="24"/>
                <w:szCs w:val="24"/>
                <w:lang w:val="en-US" w:eastAsia="zh-CN"/>
              </w:rPr>
              <w:t>Antracen</w:t>
            </w:r>
          </w:p>
        </w:tc>
        <w:tc>
          <w:tcPr>
            <w:tcW w:w="2701" w:type="dxa"/>
          </w:tcPr>
          <w:p w14:paraId="27ACB48F" w14:textId="77777777" w:rsidR="001C08A5" w:rsidRDefault="00000000">
            <w:pPr>
              <w:rPr>
                <w:i/>
                <w:sz w:val="24"/>
                <w:szCs w:val="24"/>
              </w:rPr>
            </w:pPr>
            <w:r>
              <w:rPr>
                <w:i/>
                <w:sz w:val="24"/>
                <w:szCs w:val="24"/>
                <w:lang w:val="en-US" w:eastAsia="zh-CN"/>
              </w:rPr>
              <w:t>40.10</w:t>
            </w:r>
          </w:p>
        </w:tc>
      </w:tr>
      <w:tr w:rsidR="001C08A5" w14:paraId="68F9BFB5" w14:textId="77777777">
        <w:tc>
          <w:tcPr>
            <w:tcW w:w="752" w:type="dxa"/>
          </w:tcPr>
          <w:p w14:paraId="7DE315DE" w14:textId="77777777" w:rsidR="001C08A5" w:rsidRDefault="001C08A5">
            <w:pPr>
              <w:numPr>
                <w:ilvl w:val="0"/>
                <w:numId w:val="102"/>
              </w:numPr>
              <w:rPr>
                <w:i/>
                <w:sz w:val="24"/>
                <w:szCs w:val="24"/>
              </w:rPr>
            </w:pPr>
          </w:p>
        </w:tc>
        <w:tc>
          <w:tcPr>
            <w:tcW w:w="5069" w:type="dxa"/>
          </w:tcPr>
          <w:p w14:paraId="0BCACF60" w14:textId="77777777" w:rsidR="001C08A5" w:rsidRDefault="00000000">
            <w:pPr>
              <w:rPr>
                <w:i/>
                <w:sz w:val="24"/>
                <w:szCs w:val="24"/>
              </w:rPr>
            </w:pPr>
            <w:r>
              <w:rPr>
                <w:i/>
                <w:sz w:val="24"/>
                <w:szCs w:val="24"/>
                <w:lang w:val="en-US" w:eastAsia="zh-CN"/>
              </w:rPr>
              <w:t>Antracit</w:t>
            </w:r>
          </w:p>
        </w:tc>
        <w:tc>
          <w:tcPr>
            <w:tcW w:w="2701" w:type="dxa"/>
          </w:tcPr>
          <w:p w14:paraId="7E8254BD" w14:textId="77777777" w:rsidR="001C08A5" w:rsidRDefault="00000000">
            <w:pPr>
              <w:rPr>
                <w:i/>
                <w:sz w:val="24"/>
                <w:szCs w:val="24"/>
              </w:rPr>
            </w:pPr>
            <w:r>
              <w:rPr>
                <w:i/>
                <w:sz w:val="24"/>
                <w:szCs w:val="24"/>
                <w:lang w:val="en-US" w:eastAsia="zh-CN"/>
              </w:rPr>
              <w:t>35.60</w:t>
            </w:r>
          </w:p>
        </w:tc>
      </w:tr>
      <w:tr w:rsidR="001C08A5" w14:paraId="62544F82" w14:textId="77777777">
        <w:tc>
          <w:tcPr>
            <w:tcW w:w="752" w:type="dxa"/>
          </w:tcPr>
          <w:p w14:paraId="503C7611" w14:textId="77777777" w:rsidR="001C08A5" w:rsidRDefault="001C08A5">
            <w:pPr>
              <w:numPr>
                <w:ilvl w:val="0"/>
                <w:numId w:val="102"/>
              </w:numPr>
              <w:rPr>
                <w:i/>
                <w:sz w:val="24"/>
                <w:szCs w:val="24"/>
              </w:rPr>
            </w:pPr>
          </w:p>
        </w:tc>
        <w:tc>
          <w:tcPr>
            <w:tcW w:w="5069" w:type="dxa"/>
          </w:tcPr>
          <w:p w14:paraId="3A8A58EC" w14:textId="77777777" w:rsidR="001C08A5" w:rsidRDefault="00000000">
            <w:pPr>
              <w:rPr>
                <w:i/>
                <w:sz w:val="24"/>
                <w:szCs w:val="24"/>
              </w:rPr>
            </w:pPr>
            <w:r>
              <w:rPr>
                <w:i/>
                <w:sz w:val="24"/>
                <w:szCs w:val="24"/>
                <w:lang w:val="en-US" w:eastAsia="zh-CN"/>
              </w:rPr>
              <w:t>Asfalt</w:t>
            </w:r>
          </w:p>
        </w:tc>
        <w:tc>
          <w:tcPr>
            <w:tcW w:w="2701" w:type="dxa"/>
          </w:tcPr>
          <w:p w14:paraId="68821B0A" w14:textId="77777777" w:rsidR="001C08A5" w:rsidRDefault="00000000">
            <w:pPr>
              <w:rPr>
                <w:i/>
                <w:sz w:val="24"/>
                <w:szCs w:val="24"/>
              </w:rPr>
            </w:pPr>
            <w:r>
              <w:rPr>
                <w:i/>
                <w:sz w:val="24"/>
                <w:szCs w:val="24"/>
                <w:lang w:val="en-US" w:eastAsia="zh-CN"/>
              </w:rPr>
              <w:t>40.60</w:t>
            </w:r>
          </w:p>
        </w:tc>
      </w:tr>
      <w:tr w:rsidR="001C08A5" w14:paraId="644857BA" w14:textId="77777777">
        <w:tc>
          <w:tcPr>
            <w:tcW w:w="752" w:type="dxa"/>
          </w:tcPr>
          <w:p w14:paraId="577B1840" w14:textId="77777777" w:rsidR="001C08A5" w:rsidRDefault="001C08A5">
            <w:pPr>
              <w:numPr>
                <w:ilvl w:val="0"/>
                <w:numId w:val="102"/>
              </w:numPr>
              <w:rPr>
                <w:i/>
                <w:sz w:val="24"/>
                <w:szCs w:val="24"/>
              </w:rPr>
            </w:pPr>
          </w:p>
        </w:tc>
        <w:tc>
          <w:tcPr>
            <w:tcW w:w="5069" w:type="dxa"/>
          </w:tcPr>
          <w:p w14:paraId="285E29EA" w14:textId="77777777" w:rsidR="001C08A5" w:rsidRDefault="00000000">
            <w:pPr>
              <w:rPr>
                <w:i/>
                <w:sz w:val="24"/>
                <w:szCs w:val="24"/>
              </w:rPr>
            </w:pPr>
            <w:r>
              <w:rPr>
                <w:i/>
                <w:sz w:val="24"/>
                <w:szCs w:val="24"/>
                <w:lang w:val="en-US" w:eastAsia="zh-CN"/>
              </w:rPr>
              <w:t>Benzen</w:t>
            </w:r>
          </w:p>
        </w:tc>
        <w:tc>
          <w:tcPr>
            <w:tcW w:w="2701" w:type="dxa"/>
          </w:tcPr>
          <w:p w14:paraId="3F7AC79B" w14:textId="77777777" w:rsidR="001C08A5" w:rsidRDefault="00000000">
            <w:pPr>
              <w:rPr>
                <w:i/>
                <w:sz w:val="24"/>
                <w:szCs w:val="24"/>
              </w:rPr>
            </w:pPr>
            <w:r>
              <w:rPr>
                <w:i/>
                <w:sz w:val="24"/>
                <w:szCs w:val="24"/>
                <w:lang w:val="en-US" w:eastAsia="zh-CN"/>
              </w:rPr>
              <w:t>140.10</w:t>
            </w:r>
            <w:r>
              <w:rPr>
                <w:i/>
                <w:sz w:val="24"/>
                <w:szCs w:val="24"/>
                <w:lang w:eastAsia="zh-CN"/>
              </w:rPr>
              <w:t xml:space="preserve"> </w:t>
            </w:r>
            <w:r>
              <w:rPr>
                <w:i/>
                <w:sz w:val="24"/>
                <w:szCs w:val="24"/>
                <w:lang w:val="en-US" w:eastAsia="zh-CN"/>
              </w:rPr>
              <w:t>*</w:t>
            </w:r>
            <w:r>
              <w:rPr>
                <w:i/>
                <w:sz w:val="24"/>
                <w:szCs w:val="24"/>
                <w:lang w:eastAsia="zh-CN"/>
              </w:rPr>
              <w:t>)</w:t>
            </w:r>
          </w:p>
        </w:tc>
      </w:tr>
      <w:tr w:rsidR="001C08A5" w14:paraId="153EFD32" w14:textId="77777777">
        <w:tc>
          <w:tcPr>
            <w:tcW w:w="752" w:type="dxa"/>
          </w:tcPr>
          <w:p w14:paraId="465A7348" w14:textId="77777777" w:rsidR="001C08A5" w:rsidRDefault="001C08A5">
            <w:pPr>
              <w:numPr>
                <w:ilvl w:val="0"/>
                <w:numId w:val="102"/>
              </w:numPr>
              <w:rPr>
                <w:i/>
                <w:sz w:val="24"/>
                <w:szCs w:val="24"/>
              </w:rPr>
            </w:pPr>
          </w:p>
        </w:tc>
        <w:tc>
          <w:tcPr>
            <w:tcW w:w="5069" w:type="dxa"/>
          </w:tcPr>
          <w:p w14:paraId="17055C89" w14:textId="77777777" w:rsidR="001C08A5" w:rsidRDefault="00000000">
            <w:pPr>
              <w:rPr>
                <w:i/>
                <w:sz w:val="24"/>
                <w:szCs w:val="24"/>
              </w:rPr>
            </w:pPr>
            <w:r>
              <w:rPr>
                <w:i/>
                <w:sz w:val="24"/>
                <w:szCs w:val="24"/>
                <w:lang w:val="en-US" w:eastAsia="zh-CN"/>
              </w:rPr>
              <w:t>Benzină</w:t>
            </w:r>
          </w:p>
        </w:tc>
        <w:tc>
          <w:tcPr>
            <w:tcW w:w="2701" w:type="dxa"/>
          </w:tcPr>
          <w:p w14:paraId="43BBC345" w14:textId="77777777" w:rsidR="001C08A5" w:rsidRDefault="00000000">
            <w:pPr>
              <w:rPr>
                <w:i/>
                <w:sz w:val="24"/>
                <w:szCs w:val="24"/>
              </w:rPr>
            </w:pPr>
            <w:r>
              <w:rPr>
                <w:i/>
                <w:sz w:val="24"/>
                <w:szCs w:val="24"/>
                <w:lang w:eastAsia="zh-CN"/>
              </w:rPr>
              <w:t xml:space="preserve">44.35 ... </w:t>
            </w:r>
            <w:r>
              <w:rPr>
                <w:i/>
                <w:sz w:val="24"/>
                <w:szCs w:val="24"/>
                <w:lang w:val="en-US" w:eastAsia="zh-CN"/>
              </w:rPr>
              <w:t>46.65</w:t>
            </w:r>
          </w:p>
        </w:tc>
      </w:tr>
      <w:tr w:rsidR="001C08A5" w14:paraId="521FCD56" w14:textId="77777777">
        <w:tc>
          <w:tcPr>
            <w:tcW w:w="752" w:type="dxa"/>
          </w:tcPr>
          <w:p w14:paraId="2C841373" w14:textId="77777777" w:rsidR="001C08A5" w:rsidRDefault="001C08A5">
            <w:pPr>
              <w:numPr>
                <w:ilvl w:val="0"/>
                <w:numId w:val="102"/>
              </w:numPr>
              <w:rPr>
                <w:i/>
                <w:sz w:val="24"/>
                <w:szCs w:val="24"/>
              </w:rPr>
            </w:pPr>
          </w:p>
        </w:tc>
        <w:tc>
          <w:tcPr>
            <w:tcW w:w="5069" w:type="dxa"/>
          </w:tcPr>
          <w:p w14:paraId="61EAE3AA" w14:textId="77777777" w:rsidR="001C08A5" w:rsidRDefault="00000000">
            <w:pPr>
              <w:rPr>
                <w:i/>
                <w:sz w:val="24"/>
                <w:szCs w:val="24"/>
              </w:rPr>
            </w:pPr>
            <w:r>
              <w:rPr>
                <w:i/>
                <w:sz w:val="24"/>
                <w:szCs w:val="24"/>
                <w:lang w:val="en-US" w:eastAsia="zh-CN"/>
              </w:rPr>
              <w:t>Bitum</w:t>
            </w:r>
          </w:p>
        </w:tc>
        <w:tc>
          <w:tcPr>
            <w:tcW w:w="2701" w:type="dxa"/>
          </w:tcPr>
          <w:p w14:paraId="0B2CD624" w14:textId="77777777" w:rsidR="001C08A5" w:rsidRDefault="00000000">
            <w:pPr>
              <w:rPr>
                <w:i/>
                <w:sz w:val="24"/>
                <w:szCs w:val="24"/>
              </w:rPr>
            </w:pPr>
            <w:r>
              <w:rPr>
                <w:i/>
                <w:sz w:val="24"/>
                <w:szCs w:val="24"/>
                <w:lang w:val="en-US" w:eastAsia="zh-CN"/>
              </w:rPr>
              <w:t>35.40</w:t>
            </w:r>
          </w:p>
        </w:tc>
      </w:tr>
      <w:tr w:rsidR="001C08A5" w14:paraId="351E203E" w14:textId="77777777">
        <w:tc>
          <w:tcPr>
            <w:tcW w:w="752" w:type="dxa"/>
          </w:tcPr>
          <w:p w14:paraId="2915472B" w14:textId="77777777" w:rsidR="001C08A5" w:rsidRDefault="001C08A5">
            <w:pPr>
              <w:numPr>
                <w:ilvl w:val="0"/>
                <w:numId w:val="102"/>
              </w:numPr>
              <w:rPr>
                <w:i/>
                <w:sz w:val="24"/>
                <w:szCs w:val="24"/>
              </w:rPr>
            </w:pPr>
          </w:p>
        </w:tc>
        <w:tc>
          <w:tcPr>
            <w:tcW w:w="5069" w:type="dxa"/>
          </w:tcPr>
          <w:p w14:paraId="3057F7D1" w14:textId="77777777" w:rsidR="001C08A5" w:rsidRDefault="00000000">
            <w:pPr>
              <w:rPr>
                <w:i/>
                <w:sz w:val="24"/>
                <w:szCs w:val="24"/>
              </w:rPr>
            </w:pPr>
            <w:r>
              <w:rPr>
                <w:i/>
                <w:sz w:val="24"/>
                <w:szCs w:val="24"/>
                <w:lang w:val="en-US" w:eastAsia="zh-CN"/>
              </w:rPr>
              <w:t>Blănuri</w:t>
            </w:r>
          </w:p>
        </w:tc>
        <w:tc>
          <w:tcPr>
            <w:tcW w:w="2701" w:type="dxa"/>
          </w:tcPr>
          <w:p w14:paraId="39CAD36F" w14:textId="77777777" w:rsidR="001C08A5" w:rsidRDefault="00000000">
            <w:pPr>
              <w:rPr>
                <w:i/>
                <w:sz w:val="24"/>
                <w:szCs w:val="24"/>
              </w:rPr>
            </w:pPr>
            <w:r>
              <w:rPr>
                <w:i/>
                <w:sz w:val="24"/>
                <w:szCs w:val="24"/>
                <w:lang w:val="en-US" w:eastAsia="zh-CN"/>
              </w:rPr>
              <w:t>19.85</w:t>
            </w:r>
          </w:p>
        </w:tc>
      </w:tr>
      <w:tr w:rsidR="001C08A5" w14:paraId="05D41A9A" w14:textId="77777777">
        <w:tc>
          <w:tcPr>
            <w:tcW w:w="752" w:type="dxa"/>
          </w:tcPr>
          <w:p w14:paraId="5FC7B8F9" w14:textId="77777777" w:rsidR="001C08A5" w:rsidRDefault="001C08A5">
            <w:pPr>
              <w:numPr>
                <w:ilvl w:val="0"/>
                <w:numId w:val="102"/>
              </w:numPr>
              <w:rPr>
                <w:i/>
                <w:sz w:val="24"/>
                <w:szCs w:val="24"/>
              </w:rPr>
            </w:pPr>
          </w:p>
        </w:tc>
        <w:tc>
          <w:tcPr>
            <w:tcW w:w="5069" w:type="dxa"/>
          </w:tcPr>
          <w:p w14:paraId="0C10091E" w14:textId="77777777" w:rsidR="001C08A5" w:rsidRDefault="00000000">
            <w:pPr>
              <w:rPr>
                <w:i/>
                <w:sz w:val="24"/>
                <w:szCs w:val="24"/>
              </w:rPr>
            </w:pPr>
            <w:r>
              <w:rPr>
                <w:i/>
                <w:sz w:val="24"/>
                <w:szCs w:val="24"/>
                <w:lang w:val="en-US" w:eastAsia="zh-CN"/>
              </w:rPr>
              <w:t>Brichete de lignit</w:t>
            </w:r>
          </w:p>
        </w:tc>
        <w:tc>
          <w:tcPr>
            <w:tcW w:w="2701" w:type="dxa"/>
          </w:tcPr>
          <w:p w14:paraId="5E3A8383" w14:textId="77777777" w:rsidR="001C08A5" w:rsidRDefault="00000000">
            <w:pPr>
              <w:rPr>
                <w:i/>
                <w:sz w:val="24"/>
                <w:szCs w:val="24"/>
              </w:rPr>
            </w:pPr>
            <w:r>
              <w:rPr>
                <w:i/>
                <w:sz w:val="24"/>
                <w:szCs w:val="24"/>
                <w:lang w:val="en-US" w:eastAsia="zh-CN"/>
              </w:rPr>
              <w:t>20.10</w:t>
            </w:r>
          </w:p>
        </w:tc>
      </w:tr>
      <w:tr w:rsidR="001C08A5" w14:paraId="5D1D4FB9" w14:textId="77777777">
        <w:tc>
          <w:tcPr>
            <w:tcW w:w="752" w:type="dxa"/>
          </w:tcPr>
          <w:p w14:paraId="350D298A" w14:textId="77777777" w:rsidR="001C08A5" w:rsidRDefault="001C08A5">
            <w:pPr>
              <w:numPr>
                <w:ilvl w:val="0"/>
                <w:numId w:val="102"/>
              </w:numPr>
              <w:rPr>
                <w:i/>
                <w:sz w:val="24"/>
                <w:szCs w:val="24"/>
              </w:rPr>
            </w:pPr>
          </w:p>
        </w:tc>
        <w:tc>
          <w:tcPr>
            <w:tcW w:w="5069" w:type="dxa"/>
          </w:tcPr>
          <w:p w14:paraId="54FF5153" w14:textId="77777777" w:rsidR="001C08A5" w:rsidRDefault="00000000">
            <w:pPr>
              <w:rPr>
                <w:i/>
                <w:sz w:val="24"/>
                <w:szCs w:val="24"/>
              </w:rPr>
            </w:pPr>
            <w:r>
              <w:rPr>
                <w:i/>
                <w:sz w:val="24"/>
                <w:szCs w:val="24"/>
                <w:lang w:val="en-US" w:eastAsia="zh-CN"/>
              </w:rPr>
              <w:t>Brichete de praf de cărbune</w:t>
            </w:r>
          </w:p>
        </w:tc>
        <w:tc>
          <w:tcPr>
            <w:tcW w:w="2701" w:type="dxa"/>
          </w:tcPr>
          <w:p w14:paraId="61DFADD9" w14:textId="77777777" w:rsidR="001C08A5" w:rsidRDefault="00000000">
            <w:pPr>
              <w:rPr>
                <w:i/>
                <w:sz w:val="24"/>
                <w:szCs w:val="24"/>
              </w:rPr>
            </w:pPr>
            <w:r>
              <w:rPr>
                <w:i/>
                <w:sz w:val="24"/>
                <w:szCs w:val="24"/>
                <w:lang w:val="en-US" w:eastAsia="zh-CN"/>
              </w:rPr>
              <w:t>32.65</w:t>
            </w:r>
          </w:p>
        </w:tc>
      </w:tr>
      <w:tr w:rsidR="001C08A5" w14:paraId="21C30392" w14:textId="77777777">
        <w:tc>
          <w:tcPr>
            <w:tcW w:w="752" w:type="dxa"/>
          </w:tcPr>
          <w:p w14:paraId="488849A4" w14:textId="77777777" w:rsidR="001C08A5" w:rsidRDefault="001C08A5">
            <w:pPr>
              <w:numPr>
                <w:ilvl w:val="0"/>
                <w:numId w:val="102"/>
              </w:numPr>
              <w:rPr>
                <w:i/>
                <w:sz w:val="24"/>
                <w:szCs w:val="24"/>
              </w:rPr>
            </w:pPr>
          </w:p>
        </w:tc>
        <w:tc>
          <w:tcPr>
            <w:tcW w:w="5069" w:type="dxa"/>
          </w:tcPr>
          <w:p w14:paraId="2F7E05D3" w14:textId="77777777" w:rsidR="001C08A5" w:rsidRDefault="00000000">
            <w:pPr>
              <w:rPr>
                <w:i/>
                <w:sz w:val="24"/>
                <w:szCs w:val="24"/>
              </w:rPr>
            </w:pPr>
            <w:r>
              <w:rPr>
                <w:i/>
                <w:sz w:val="24"/>
                <w:szCs w:val="24"/>
                <w:lang w:val="en-US" w:eastAsia="zh-CN"/>
              </w:rPr>
              <w:t>Brânză</w:t>
            </w:r>
          </w:p>
        </w:tc>
        <w:tc>
          <w:tcPr>
            <w:tcW w:w="2701" w:type="dxa"/>
          </w:tcPr>
          <w:p w14:paraId="10B2430D" w14:textId="77777777" w:rsidR="001C08A5" w:rsidRDefault="00000000">
            <w:pPr>
              <w:rPr>
                <w:i/>
                <w:sz w:val="24"/>
                <w:szCs w:val="24"/>
              </w:rPr>
            </w:pPr>
            <w:r>
              <w:rPr>
                <w:i/>
                <w:sz w:val="24"/>
                <w:szCs w:val="24"/>
                <w:lang w:val="en-US" w:eastAsia="zh-CN"/>
              </w:rPr>
              <w:t>13.30</w:t>
            </w:r>
          </w:p>
        </w:tc>
      </w:tr>
      <w:tr w:rsidR="001C08A5" w14:paraId="5FAC0CB3" w14:textId="77777777">
        <w:tc>
          <w:tcPr>
            <w:tcW w:w="752" w:type="dxa"/>
          </w:tcPr>
          <w:p w14:paraId="516CB435" w14:textId="77777777" w:rsidR="001C08A5" w:rsidRDefault="001C08A5">
            <w:pPr>
              <w:numPr>
                <w:ilvl w:val="0"/>
                <w:numId w:val="102"/>
              </w:numPr>
              <w:rPr>
                <w:i/>
                <w:sz w:val="24"/>
                <w:szCs w:val="24"/>
              </w:rPr>
            </w:pPr>
          </w:p>
        </w:tc>
        <w:tc>
          <w:tcPr>
            <w:tcW w:w="5069" w:type="dxa"/>
          </w:tcPr>
          <w:p w14:paraId="524A299F" w14:textId="77777777" w:rsidR="001C08A5" w:rsidRDefault="00000000">
            <w:pPr>
              <w:rPr>
                <w:i/>
                <w:sz w:val="24"/>
                <w:szCs w:val="24"/>
              </w:rPr>
            </w:pPr>
            <w:r>
              <w:rPr>
                <w:i/>
                <w:sz w:val="24"/>
                <w:szCs w:val="24"/>
                <w:lang w:val="en-US" w:eastAsia="zh-CN"/>
              </w:rPr>
              <w:t>Bumbac</w:t>
            </w:r>
          </w:p>
        </w:tc>
        <w:tc>
          <w:tcPr>
            <w:tcW w:w="2701" w:type="dxa"/>
          </w:tcPr>
          <w:p w14:paraId="022BA6D6" w14:textId="77777777" w:rsidR="001C08A5" w:rsidRDefault="00000000">
            <w:pPr>
              <w:rPr>
                <w:i/>
                <w:sz w:val="24"/>
                <w:szCs w:val="24"/>
              </w:rPr>
            </w:pPr>
            <w:r>
              <w:rPr>
                <w:i/>
                <w:sz w:val="24"/>
                <w:szCs w:val="24"/>
                <w:lang w:val="en-US" w:eastAsia="zh-CN"/>
              </w:rPr>
              <w:t>16.75</w:t>
            </w:r>
          </w:p>
        </w:tc>
      </w:tr>
      <w:tr w:rsidR="001C08A5" w14:paraId="385352C0" w14:textId="77777777">
        <w:tc>
          <w:tcPr>
            <w:tcW w:w="752" w:type="dxa"/>
          </w:tcPr>
          <w:p w14:paraId="66700844" w14:textId="77777777" w:rsidR="001C08A5" w:rsidRDefault="001C08A5">
            <w:pPr>
              <w:numPr>
                <w:ilvl w:val="0"/>
                <w:numId w:val="102"/>
              </w:numPr>
              <w:rPr>
                <w:i/>
                <w:sz w:val="24"/>
                <w:szCs w:val="24"/>
              </w:rPr>
            </w:pPr>
          </w:p>
        </w:tc>
        <w:tc>
          <w:tcPr>
            <w:tcW w:w="5069" w:type="dxa"/>
          </w:tcPr>
          <w:p w14:paraId="72FA165B" w14:textId="77777777" w:rsidR="001C08A5" w:rsidRDefault="00000000">
            <w:pPr>
              <w:rPr>
                <w:i/>
                <w:sz w:val="24"/>
                <w:szCs w:val="24"/>
              </w:rPr>
            </w:pPr>
            <w:r>
              <w:rPr>
                <w:i/>
                <w:sz w:val="24"/>
                <w:szCs w:val="24"/>
                <w:lang w:val="en-US" w:eastAsia="zh-CN"/>
              </w:rPr>
              <w:t>Butilenă</w:t>
            </w:r>
          </w:p>
        </w:tc>
        <w:tc>
          <w:tcPr>
            <w:tcW w:w="2701" w:type="dxa"/>
          </w:tcPr>
          <w:p w14:paraId="7F389259" w14:textId="77777777" w:rsidR="001C08A5" w:rsidRDefault="00000000">
            <w:pPr>
              <w:rPr>
                <w:i/>
                <w:sz w:val="24"/>
                <w:szCs w:val="24"/>
              </w:rPr>
            </w:pPr>
            <w:r>
              <w:rPr>
                <w:i/>
                <w:sz w:val="24"/>
                <w:szCs w:val="24"/>
                <w:lang w:val="en-US" w:eastAsia="zh-CN"/>
              </w:rPr>
              <w:t>48.75</w:t>
            </w:r>
          </w:p>
        </w:tc>
      </w:tr>
      <w:tr w:rsidR="001C08A5" w14:paraId="15948199" w14:textId="77777777">
        <w:tc>
          <w:tcPr>
            <w:tcW w:w="752" w:type="dxa"/>
          </w:tcPr>
          <w:p w14:paraId="6F9A514F" w14:textId="77777777" w:rsidR="001C08A5" w:rsidRDefault="001C08A5">
            <w:pPr>
              <w:numPr>
                <w:ilvl w:val="0"/>
                <w:numId w:val="102"/>
              </w:numPr>
              <w:rPr>
                <w:i/>
                <w:sz w:val="24"/>
                <w:szCs w:val="24"/>
              </w:rPr>
            </w:pPr>
          </w:p>
        </w:tc>
        <w:tc>
          <w:tcPr>
            <w:tcW w:w="5069" w:type="dxa"/>
          </w:tcPr>
          <w:p w14:paraId="0E2E416F" w14:textId="77777777" w:rsidR="001C08A5" w:rsidRDefault="00000000">
            <w:pPr>
              <w:rPr>
                <w:i/>
                <w:sz w:val="24"/>
                <w:szCs w:val="24"/>
              </w:rPr>
            </w:pPr>
            <w:r>
              <w:rPr>
                <w:i/>
                <w:sz w:val="24"/>
                <w:szCs w:val="24"/>
                <w:lang w:val="en-US" w:eastAsia="zh-CN"/>
              </w:rPr>
              <w:t>Cacao</w:t>
            </w:r>
          </w:p>
        </w:tc>
        <w:tc>
          <w:tcPr>
            <w:tcW w:w="2701" w:type="dxa"/>
          </w:tcPr>
          <w:p w14:paraId="1F90EB02" w14:textId="77777777" w:rsidR="001C08A5" w:rsidRDefault="00000000">
            <w:pPr>
              <w:rPr>
                <w:i/>
                <w:sz w:val="24"/>
                <w:szCs w:val="24"/>
              </w:rPr>
            </w:pPr>
            <w:r>
              <w:rPr>
                <w:i/>
                <w:sz w:val="24"/>
                <w:szCs w:val="24"/>
                <w:lang w:val="en-US" w:eastAsia="zh-CN"/>
              </w:rPr>
              <w:t>20.75</w:t>
            </w:r>
          </w:p>
        </w:tc>
      </w:tr>
      <w:tr w:rsidR="001C08A5" w14:paraId="33A61A85" w14:textId="77777777">
        <w:tc>
          <w:tcPr>
            <w:tcW w:w="752" w:type="dxa"/>
          </w:tcPr>
          <w:p w14:paraId="7D3C8433" w14:textId="77777777" w:rsidR="001C08A5" w:rsidRDefault="001C08A5">
            <w:pPr>
              <w:numPr>
                <w:ilvl w:val="0"/>
                <w:numId w:val="102"/>
              </w:numPr>
              <w:rPr>
                <w:i/>
                <w:sz w:val="24"/>
                <w:szCs w:val="24"/>
              </w:rPr>
            </w:pPr>
          </w:p>
        </w:tc>
        <w:tc>
          <w:tcPr>
            <w:tcW w:w="5069" w:type="dxa"/>
          </w:tcPr>
          <w:p w14:paraId="15A88C85" w14:textId="77777777" w:rsidR="001C08A5" w:rsidRDefault="00000000">
            <w:pPr>
              <w:rPr>
                <w:i/>
                <w:sz w:val="24"/>
                <w:szCs w:val="24"/>
              </w:rPr>
            </w:pPr>
            <w:r>
              <w:rPr>
                <w:i/>
                <w:sz w:val="24"/>
                <w:szCs w:val="24"/>
                <w:lang w:val="en-US" w:eastAsia="zh-CN"/>
              </w:rPr>
              <w:t>Cafea</w:t>
            </w:r>
          </w:p>
        </w:tc>
        <w:tc>
          <w:tcPr>
            <w:tcW w:w="2701" w:type="dxa"/>
          </w:tcPr>
          <w:p w14:paraId="7E2384AF" w14:textId="77777777" w:rsidR="001C08A5" w:rsidRDefault="00000000">
            <w:pPr>
              <w:rPr>
                <w:i/>
                <w:sz w:val="24"/>
                <w:szCs w:val="24"/>
              </w:rPr>
            </w:pPr>
            <w:r>
              <w:rPr>
                <w:i/>
                <w:sz w:val="24"/>
                <w:szCs w:val="24"/>
                <w:lang w:val="en-US" w:eastAsia="zh-CN"/>
              </w:rPr>
              <w:t>20.10</w:t>
            </w:r>
          </w:p>
        </w:tc>
      </w:tr>
      <w:tr w:rsidR="001C08A5" w14:paraId="4AEB29BC" w14:textId="77777777">
        <w:tc>
          <w:tcPr>
            <w:tcW w:w="752" w:type="dxa"/>
          </w:tcPr>
          <w:p w14:paraId="06543E5B" w14:textId="77777777" w:rsidR="001C08A5" w:rsidRDefault="001C08A5">
            <w:pPr>
              <w:numPr>
                <w:ilvl w:val="0"/>
                <w:numId w:val="102"/>
              </w:numPr>
              <w:rPr>
                <w:i/>
                <w:sz w:val="24"/>
                <w:szCs w:val="24"/>
              </w:rPr>
            </w:pPr>
          </w:p>
        </w:tc>
        <w:tc>
          <w:tcPr>
            <w:tcW w:w="5069" w:type="dxa"/>
          </w:tcPr>
          <w:p w14:paraId="68E8DAF5" w14:textId="77777777" w:rsidR="001C08A5" w:rsidRDefault="00000000">
            <w:pPr>
              <w:rPr>
                <w:i/>
                <w:sz w:val="24"/>
                <w:szCs w:val="24"/>
              </w:rPr>
            </w:pPr>
            <w:r>
              <w:rPr>
                <w:i/>
                <w:sz w:val="24"/>
                <w:szCs w:val="24"/>
                <w:lang w:val="en-US" w:eastAsia="zh-CN"/>
              </w:rPr>
              <w:t>Camfor</w:t>
            </w:r>
          </w:p>
        </w:tc>
        <w:tc>
          <w:tcPr>
            <w:tcW w:w="2701" w:type="dxa"/>
          </w:tcPr>
          <w:p w14:paraId="4824E828" w14:textId="77777777" w:rsidR="001C08A5" w:rsidRDefault="00000000">
            <w:pPr>
              <w:rPr>
                <w:i/>
                <w:sz w:val="24"/>
                <w:szCs w:val="24"/>
              </w:rPr>
            </w:pPr>
            <w:r>
              <w:rPr>
                <w:i/>
                <w:sz w:val="24"/>
                <w:szCs w:val="24"/>
                <w:lang w:val="en-US" w:eastAsia="zh-CN"/>
              </w:rPr>
              <w:t>37.65</w:t>
            </w:r>
          </w:p>
        </w:tc>
      </w:tr>
      <w:tr w:rsidR="001C08A5" w14:paraId="44391E62" w14:textId="77777777">
        <w:tc>
          <w:tcPr>
            <w:tcW w:w="752" w:type="dxa"/>
          </w:tcPr>
          <w:p w14:paraId="3AACFE05" w14:textId="77777777" w:rsidR="001C08A5" w:rsidRDefault="001C08A5">
            <w:pPr>
              <w:numPr>
                <w:ilvl w:val="0"/>
                <w:numId w:val="102"/>
              </w:numPr>
              <w:rPr>
                <w:i/>
                <w:sz w:val="24"/>
                <w:szCs w:val="24"/>
              </w:rPr>
            </w:pPr>
          </w:p>
        </w:tc>
        <w:tc>
          <w:tcPr>
            <w:tcW w:w="5069" w:type="dxa"/>
          </w:tcPr>
          <w:p w14:paraId="1999CECD" w14:textId="77777777" w:rsidR="001C08A5" w:rsidRDefault="00000000">
            <w:pPr>
              <w:rPr>
                <w:i/>
                <w:sz w:val="24"/>
                <w:szCs w:val="24"/>
              </w:rPr>
            </w:pPr>
            <w:r>
              <w:rPr>
                <w:i/>
                <w:sz w:val="24"/>
                <w:szCs w:val="24"/>
                <w:lang w:val="en-US" w:eastAsia="zh-CN"/>
              </w:rPr>
              <w:t>Cărbune brun</w:t>
            </w:r>
          </w:p>
        </w:tc>
        <w:tc>
          <w:tcPr>
            <w:tcW w:w="2701" w:type="dxa"/>
          </w:tcPr>
          <w:p w14:paraId="3C9F3ECD" w14:textId="77777777" w:rsidR="001C08A5" w:rsidRDefault="00000000">
            <w:pPr>
              <w:rPr>
                <w:i/>
                <w:sz w:val="24"/>
                <w:szCs w:val="24"/>
              </w:rPr>
            </w:pPr>
            <w:r>
              <w:rPr>
                <w:i/>
                <w:sz w:val="24"/>
                <w:szCs w:val="24"/>
                <w:lang w:val="en-US" w:eastAsia="zh-CN"/>
              </w:rPr>
              <w:t>20.95</w:t>
            </w:r>
          </w:p>
        </w:tc>
      </w:tr>
      <w:tr w:rsidR="001C08A5" w14:paraId="169D7CE7" w14:textId="77777777">
        <w:tc>
          <w:tcPr>
            <w:tcW w:w="752" w:type="dxa"/>
          </w:tcPr>
          <w:p w14:paraId="5E4F5C42" w14:textId="77777777" w:rsidR="001C08A5" w:rsidRDefault="001C08A5">
            <w:pPr>
              <w:numPr>
                <w:ilvl w:val="0"/>
                <w:numId w:val="102"/>
              </w:numPr>
              <w:rPr>
                <w:i/>
                <w:sz w:val="24"/>
                <w:szCs w:val="24"/>
              </w:rPr>
            </w:pPr>
          </w:p>
        </w:tc>
        <w:tc>
          <w:tcPr>
            <w:tcW w:w="5069" w:type="dxa"/>
          </w:tcPr>
          <w:p w14:paraId="259334D5" w14:textId="77777777" w:rsidR="001C08A5" w:rsidRDefault="00000000">
            <w:pPr>
              <w:rPr>
                <w:i/>
                <w:sz w:val="24"/>
                <w:szCs w:val="24"/>
              </w:rPr>
            </w:pPr>
            <w:r>
              <w:rPr>
                <w:i/>
                <w:sz w:val="24"/>
                <w:szCs w:val="24"/>
                <w:lang w:val="en-US" w:eastAsia="zh-CN"/>
              </w:rPr>
              <w:t>Carne grasă</w:t>
            </w:r>
          </w:p>
        </w:tc>
        <w:tc>
          <w:tcPr>
            <w:tcW w:w="2701" w:type="dxa"/>
          </w:tcPr>
          <w:p w14:paraId="1B5E9597" w14:textId="77777777" w:rsidR="001C08A5" w:rsidRDefault="00000000">
            <w:pPr>
              <w:rPr>
                <w:i/>
                <w:sz w:val="24"/>
                <w:szCs w:val="24"/>
              </w:rPr>
            </w:pPr>
            <w:r>
              <w:rPr>
                <w:i/>
                <w:sz w:val="24"/>
                <w:szCs w:val="24"/>
                <w:lang w:val="en-US" w:eastAsia="zh-CN"/>
              </w:rPr>
              <w:t>26.35</w:t>
            </w:r>
          </w:p>
        </w:tc>
      </w:tr>
      <w:tr w:rsidR="001C08A5" w14:paraId="5BAB445C" w14:textId="77777777">
        <w:tc>
          <w:tcPr>
            <w:tcW w:w="752" w:type="dxa"/>
          </w:tcPr>
          <w:p w14:paraId="32CD627D" w14:textId="77777777" w:rsidR="001C08A5" w:rsidRDefault="001C08A5">
            <w:pPr>
              <w:numPr>
                <w:ilvl w:val="0"/>
                <w:numId w:val="102"/>
              </w:numPr>
              <w:rPr>
                <w:i/>
                <w:sz w:val="24"/>
                <w:szCs w:val="24"/>
              </w:rPr>
            </w:pPr>
          </w:p>
        </w:tc>
        <w:tc>
          <w:tcPr>
            <w:tcW w:w="5069" w:type="dxa"/>
          </w:tcPr>
          <w:p w14:paraId="0C483493" w14:textId="77777777" w:rsidR="001C08A5" w:rsidRDefault="00000000">
            <w:pPr>
              <w:rPr>
                <w:i/>
                <w:sz w:val="24"/>
                <w:szCs w:val="24"/>
              </w:rPr>
            </w:pPr>
            <w:r>
              <w:rPr>
                <w:i/>
                <w:sz w:val="24"/>
                <w:szCs w:val="24"/>
                <w:lang w:val="en-US" w:eastAsia="zh-CN"/>
              </w:rPr>
              <w:t>Carne slabă</w:t>
            </w:r>
          </w:p>
        </w:tc>
        <w:tc>
          <w:tcPr>
            <w:tcW w:w="2701" w:type="dxa"/>
          </w:tcPr>
          <w:p w14:paraId="491592BD" w14:textId="77777777" w:rsidR="001C08A5" w:rsidRDefault="00000000">
            <w:pPr>
              <w:rPr>
                <w:i/>
                <w:sz w:val="24"/>
                <w:szCs w:val="24"/>
              </w:rPr>
            </w:pPr>
            <w:r>
              <w:rPr>
                <w:i/>
                <w:sz w:val="24"/>
                <w:szCs w:val="24"/>
                <w:lang w:val="en-US" w:eastAsia="zh-CN"/>
              </w:rPr>
              <w:t>23.65</w:t>
            </w:r>
          </w:p>
        </w:tc>
      </w:tr>
      <w:tr w:rsidR="001C08A5" w14:paraId="3444F077" w14:textId="77777777">
        <w:tc>
          <w:tcPr>
            <w:tcW w:w="752" w:type="dxa"/>
          </w:tcPr>
          <w:p w14:paraId="546A663F" w14:textId="77777777" w:rsidR="001C08A5" w:rsidRDefault="001C08A5">
            <w:pPr>
              <w:numPr>
                <w:ilvl w:val="0"/>
                <w:numId w:val="102"/>
              </w:numPr>
              <w:rPr>
                <w:i/>
                <w:sz w:val="24"/>
                <w:szCs w:val="24"/>
              </w:rPr>
            </w:pPr>
          </w:p>
        </w:tc>
        <w:tc>
          <w:tcPr>
            <w:tcW w:w="5069" w:type="dxa"/>
          </w:tcPr>
          <w:p w14:paraId="10E15D26" w14:textId="77777777" w:rsidR="001C08A5" w:rsidRDefault="00000000">
            <w:pPr>
              <w:rPr>
                <w:i/>
                <w:sz w:val="24"/>
                <w:szCs w:val="24"/>
              </w:rPr>
            </w:pPr>
            <w:r>
              <w:rPr>
                <w:i/>
                <w:sz w:val="24"/>
                <w:szCs w:val="24"/>
                <w:lang w:val="en-US" w:eastAsia="zh-CN"/>
              </w:rPr>
              <w:t>Carton</w:t>
            </w:r>
          </w:p>
        </w:tc>
        <w:tc>
          <w:tcPr>
            <w:tcW w:w="2701" w:type="dxa"/>
          </w:tcPr>
          <w:p w14:paraId="30BF419D" w14:textId="77777777" w:rsidR="001C08A5" w:rsidRDefault="00000000">
            <w:pPr>
              <w:rPr>
                <w:i/>
                <w:sz w:val="24"/>
                <w:szCs w:val="24"/>
              </w:rPr>
            </w:pPr>
            <w:r>
              <w:rPr>
                <w:i/>
                <w:sz w:val="24"/>
                <w:szCs w:val="24"/>
                <w:lang w:val="en-US" w:eastAsia="zh-CN"/>
              </w:rPr>
              <w:t>16.30</w:t>
            </w:r>
          </w:p>
        </w:tc>
      </w:tr>
      <w:tr w:rsidR="001C08A5" w14:paraId="18561B9A" w14:textId="77777777">
        <w:tc>
          <w:tcPr>
            <w:tcW w:w="752" w:type="dxa"/>
          </w:tcPr>
          <w:p w14:paraId="53C9C332" w14:textId="77777777" w:rsidR="001C08A5" w:rsidRDefault="001C08A5">
            <w:pPr>
              <w:numPr>
                <w:ilvl w:val="0"/>
                <w:numId w:val="102"/>
              </w:numPr>
              <w:rPr>
                <w:i/>
                <w:sz w:val="24"/>
                <w:szCs w:val="24"/>
              </w:rPr>
            </w:pPr>
          </w:p>
        </w:tc>
        <w:tc>
          <w:tcPr>
            <w:tcW w:w="5069" w:type="dxa"/>
          </w:tcPr>
          <w:p w14:paraId="7E523751" w14:textId="77777777" w:rsidR="001C08A5" w:rsidRDefault="00000000">
            <w:pPr>
              <w:rPr>
                <w:i/>
                <w:sz w:val="24"/>
                <w:szCs w:val="24"/>
              </w:rPr>
            </w:pPr>
            <w:r>
              <w:rPr>
                <w:i/>
                <w:sz w:val="24"/>
                <w:szCs w:val="24"/>
                <w:lang w:val="en-US" w:eastAsia="zh-CN"/>
              </w:rPr>
              <w:t>Cazeină</w:t>
            </w:r>
          </w:p>
        </w:tc>
        <w:tc>
          <w:tcPr>
            <w:tcW w:w="2701" w:type="dxa"/>
          </w:tcPr>
          <w:p w14:paraId="33211CAE" w14:textId="77777777" w:rsidR="001C08A5" w:rsidRDefault="00000000">
            <w:pPr>
              <w:rPr>
                <w:i/>
                <w:sz w:val="24"/>
                <w:szCs w:val="24"/>
              </w:rPr>
            </w:pPr>
            <w:r>
              <w:rPr>
                <w:i/>
                <w:sz w:val="24"/>
                <w:szCs w:val="24"/>
                <w:lang w:val="en-US" w:eastAsia="zh-CN"/>
              </w:rPr>
              <w:t>24.50</w:t>
            </w:r>
          </w:p>
        </w:tc>
      </w:tr>
      <w:tr w:rsidR="001C08A5" w14:paraId="642F97DB" w14:textId="77777777">
        <w:tc>
          <w:tcPr>
            <w:tcW w:w="752" w:type="dxa"/>
          </w:tcPr>
          <w:p w14:paraId="3A6D9500" w14:textId="77777777" w:rsidR="001C08A5" w:rsidRDefault="001C08A5">
            <w:pPr>
              <w:numPr>
                <w:ilvl w:val="0"/>
                <w:numId w:val="102"/>
              </w:numPr>
              <w:rPr>
                <w:i/>
                <w:sz w:val="24"/>
                <w:szCs w:val="24"/>
              </w:rPr>
            </w:pPr>
          </w:p>
        </w:tc>
        <w:tc>
          <w:tcPr>
            <w:tcW w:w="5069" w:type="dxa"/>
          </w:tcPr>
          <w:p w14:paraId="18F9E15E" w14:textId="77777777" w:rsidR="001C08A5" w:rsidRDefault="00000000">
            <w:pPr>
              <w:rPr>
                <w:i/>
                <w:sz w:val="24"/>
                <w:szCs w:val="24"/>
              </w:rPr>
            </w:pPr>
            <w:r>
              <w:rPr>
                <w:i/>
                <w:sz w:val="24"/>
                <w:szCs w:val="24"/>
                <w:lang w:val="en-US" w:eastAsia="zh-CN"/>
              </w:rPr>
              <w:t>Cauciuc</w:t>
            </w:r>
          </w:p>
        </w:tc>
        <w:tc>
          <w:tcPr>
            <w:tcW w:w="2701" w:type="dxa"/>
          </w:tcPr>
          <w:p w14:paraId="454787C0" w14:textId="77777777" w:rsidR="001C08A5" w:rsidRDefault="00000000">
            <w:pPr>
              <w:rPr>
                <w:i/>
                <w:sz w:val="24"/>
                <w:szCs w:val="24"/>
              </w:rPr>
            </w:pPr>
            <w:r>
              <w:rPr>
                <w:i/>
                <w:sz w:val="24"/>
                <w:szCs w:val="24"/>
                <w:lang w:val="en-US" w:eastAsia="zh-CN"/>
              </w:rPr>
              <w:t>41.85</w:t>
            </w:r>
          </w:p>
        </w:tc>
      </w:tr>
      <w:tr w:rsidR="001C08A5" w14:paraId="662F02B9" w14:textId="77777777">
        <w:tc>
          <w:tcPr>
            <w:tcW w:w="752" w:type="dxa"/>
          </w:tcPr>
          <w:p w14:paraId="10E194DD" w14:textId="77777777" w:rsidR="001C08A5" w:rsidRDefault="001C08A5">
            <w:pPr>
              <w:numPr>
                <w:ilvl w:val="0"/>
                <w:numId w:val="102"/>
              </w:numPr>
              <w:rPr>
                <w:i/>
                <w:sz w:val="24"/>
                <w:szCs w:val="24"/>
              </w:rPr>
            </w:pPr>
          </w:p>
        </w:tc>
        <w:tc>
          <w:tcPr>
            <w:tcW w:w="5069" w:type="dxa"/>
          </w:tcPr>
          <w:p w14:paraId="39188FC4" w14:textId="77777777" w:rsidR="001C08A5" w:rsidRDefault="00000000">
            <w:pPr>
              <w:rPr>
                <w:i/>
                <w:sz w:val="24"/>
                <w:szCs w:val="24"/>
              </w:rPr>
            </w:pPr>
            <w:r>
              <w:rPr>
                <w:i/>
                <w:sz w:val="24"/>
                <w:szCs w:val="24"/>
                <w:lang w:val="en-US" w:eastAsia="zh-CN"/>
              </w:rPr>
              <w:t>Ceară</w:t>
            </w:r>
          </w:p>
        </w:tc>
        <w:tc>
          <w:tcPr>
            <w:tcW w:w="2701" w:type="dxa"/>
          </w:tcPr>
          <w:p w14:paraId="7E5035DB" w14:textId="77777777" w:rsidR="001C08A5" w:rsidRDefault="00000000">
            <w:pPr>
              <w:rPr>
                <w:i/>
                <w:sz w:val="24"/>
                <w:szCs w:val="24"/>
              </w:rPr>
            </w:pPr>
            <w:r>
              <w:rPr>
                <w:i/>
                <w:sz w:val="24"/>
                <w:szCs w:val="24"/>
                <w:lang w:val="en-US" w:eastAsia="zh-CN"/>
              </w:rPr>
              <w:t>39.50</w:t>
            </w:r>
          </w:p>
        </w:tc>
      </w:tr>
      <w:tr w:rsidR="001C08A5" w14:paraId="78075C35" w14:textId="77777777">
        <w:tc>
          <w:tcPr>
            <w:tcW w:w="752" w:type="dxa"/>
          </w:tcPr>
          <w:p w14:paraId="34887043" w14:textId="77777777" w:rsidR="001C08A5" w:rsidRDefault="001C08A5">
            <w:pPr>
              <w:numPr>
                <w:ilvl w:val="0"/>
                <w:numId w:val="102"/>
              </w:numPr>
              <w:rPr>
                <w:i/>
                <w:sz w:val="24"/>
                <w:szCs w:val="24"/>
              </w:rPr>
            </w:pPr>
          </w:p>
        </w:tc>
        <w:tc>
          <w:tcPr>
            <w:tcW w:w="5069" w:type="dxa"/>
          </w:tcPr>
          <w:p w14:paraId="71479A3F" w14:textId="77777777" w:rsidR="001C08A5" w:rsidRDefault="00000000">
            <w:pPr>
              <w:rPr>
                <w:i/>
                <w:sz w:val="24"/>
                <w:szCs w:val="24"/>
              </w:rPr>
            </w:pPr>
            <w:r>
              <w:rPr>
                <w:i/>
                <w:sz w:val="24"/>
                <w:szCs w:val="24"/>
                <w:lang w:val="en-US" w:eastAsia="zh-CN"/>
              </w:rPr>
              <w:t>Celuloid</w:t>
            </w:r>
          </w:p>
        </w:tc>
        <w:tc>
          <w:tcPr>
            <w:tcW w:w="2701" w:type="dxa"/>
          </w:tcPr>
          <w:p w14:paraId="62F54FE8" w14:textId="77777777" w:rsidR="001C08A5" w:rsidRDefault="00000000">
            <w:pPr>
              <w:rPr>
                <w:i/>
                <w:sz w:val="24"/>
                <w:szCs w:val="24"/>
              </w:rPr>
            </w:pPr>
            <w:r>
              <w:rPr>
                <w:i/>
                <w:sz w:val="24"/>
                <w:szCs w:val="24"/>
                <w:lang w:val="en-US" w:eastAsia="zh-CN"/>
              </w:rPr>
              <w:t>18.85</w:t>
            </w:r>
          </w:p>
        </w:tc>
      </w:tr>
      <w:tr w:rsidR="001C08A5" w14:paraId="5CDA5866" w14:textId="77777777">
        <w:tc>
          <w:tcPr>
            <w:tcW w:w="752" w:type="dxa"/>
          </w:tcPr>
          <w:p w14:paraId="4D6950CB" w14:textId="77777777" w:rsidR="001C08A5" w:rsidRDefault="001C08A5">
            <w:pPr>
              <w:numPr>
                <w:ilvl w:val="0"/>
                <w:numId w:val="102"/>
              </w:numPr>
              <w:rPr>
                <w:i/>
                <w:sz w:val="24"/>
                <w:szCs w:val="24"/>
              </w:rPr>
            </w:pPr>
          </w:p>
        </w:tc>
        <w:tc>
          <w:tcPr>
            <w:tcW w:w="5069" w:type="dxa"/>
          </w:tcPr>
          <w:p w14:paraId="5C4D592E" w14:textId="77777777" w:rsidR="001C08A5" w:rsidRDefault="00000000">
            <w:pPr>
              <w:rPr>
                <w:i/>
                <w:sz w:val="24"/>
                <w:szCs w:val="24"/>
              </w:rPr>
            </w:pPr>
            <w:r>
              <w:rPr>
                <w:i/>
                <w:sz w:val="24"/>
                <w:szCs w:val="24"/>
                <w:lang w:val="en-US" w:eastAsia="zh-CN"/>
              </w:rPr>
              <w:t>Celuloză</w:t>
            </w:r>
          </w:p>
        </w:tc>
        <w:tc>
          <w:tcPr>
            <w:tcW w:w="2701" w:type="dxa"/>
          </w:tcPr>
          <w:p w14:paraId="1E6326F5" w14:textId="77777777" w:rsidR="001C08A5" w:rsidRDefault="00000000">
            <w:pPr>
              <w:rPr>
                <w:i/>
                <w:sz w:val="24"/>
                <w:szCs w:val="24"/>
              </w:rPr>
            </w:pPr>
            <w:r>
              <w:rPr>
                <w:i/>
                <w:sz w:val="24"/>
                <w:szCs w:val="24"/>
                <w:lang w:val="en-US" w:eastAsia="zh-CN"/>
              </w:rPr>
              <w:t>16.75</w:t>
            </w:r>
          </w:p>
        </w:tc>
      </w:tr>
      <w:tr w:rsidR="001C08A5" w14:paraId="17BC4B50" w14:textId="77777777">
        <w:tc>
          <w:tcPr>
            <w:tcW w:w="752" w:type="dxa"/>
          </w:tcPr>
          <w:p w14:paraId="3F7E2143" w14:textId="77777777" w:rsidR="001C08A5" w:rsidRDefault="001C08A5">
            <w:pPr>
              <w:numPr>
                <w:ilvl w:val="0"/>
                <w:numId w:val="102"/>
              </w:numPr>
              <w:rPr>
                <w:i/>
                <w:sz w:val="24"/>
                <w:szCs w:val="24"/>
              </w:rPr>
            </w:pPr>
          </w:p>
        </w:tc>
        <w:tc>
          <w:tcPr>
            <w:tcW w:w="5069" w:type="dxa"/>
          </w:tcPr>
          <w:p w14:paraId="64CEE9DE" w14:textId="77777777" w:rsidR="001C08A5" w:rsidRDefault="00000000">
            <w:pPr>
              <w:rPr>
                <w:i/>
                <w:sz w:val="24"/>
                <w:szCs w:val="24"/>
              </w:rPr>
            </w:pPr>
            <w:r>
              <w:rPr>
                <w:i/>
                <w:sz w:val="24"/>
                <w:szCs w:val="24"/>
                <w:lang w:val="en-US" w:eastAsia="zh-CN"/>
              </w:rPr>
              <w:t>Cereale</w:t>
            </w:r>
          </w:p>
        </w:tc>
        <w:tc>
          <w:tcPr>
            <w:tcW w:w="2701" w:type="dxa"/>
          </w:tcPr>
          <w:p w14:paraId="70EEE461" w14:textId="77777777" w:rsidR="001C08A5" w:rsidRDefault="00000000">
            <w:pPr>
              <w:rPr>
                <w:i/>
                <w:sz w:val="24"/>
                <w:szCs w:val="24"/>
              </w:rPr>
            </w:pPr>
            <w:r>
              <w:rPr>
                <w:i/>
                <w:sz w:val="24"/>
                <w:szCs w:val="24"/>
                <w:lang w:eastAsia="zh-CN"/>
              </w:rPr>
              <w:t xml:space="preserve">14.25 ... </w:t>
            </w:r>
            <w:r>
              <w:rPr>
                <w:i/>
                <w:sz w:val="24"/>
                <w:szCs w:val="24"/>
                <w:lang w:val="en-US" w:eastAsia="zh-CN"/>
              </w:rPr>
              <w:t>17.18</w:t>
            </w:r>
          </w:p>
        </w:tc>
      </w:tr>
      <w:tr w:rsidR="001C08A5" w14:paraId="0895C7DC" w14:textId="77777777">
        <w:tc>
          <w:tcPr>
            <w:tcW w:w="752" w:type="dxa"/>
          </w:tcPr>
          <w:p w14:paraId="2DA1E919" w14:textId="77777777" w:rsidR="001C08A5" w:rsidRDefault="001C08A5">
            <w:pPr>
              <w:numPr>
                <w:ilvl w:val="0"/>
                <w:numId w:val="102"/>
              </w:numPr>
              <w:rPr>
                <w:i/>
                <w:sz w:val="24"/>
                <w:szCs w:val="24"/>
              </w:rPr>
            </w:pPr>
          </w:p>
        </w:tc>
        <w:tc>
          <w:tcPr>
            <w:tcW w:w="5069" w:type="dxa"/>
          </w:tcPr>
          <w:p w14:paraId="37781DED" w14:textId="77777777" w:rsidR="001C08A5" w:rsidRDefault="00000000">
            <w:pPr>
              <w:rPr>
                <w:i/>
                <w:sz w:val="24"/>
                <w:szCs w:val="24"/>
              </w:rPr>
            </w:pPr>
            <w:r>
              <w:rPr>
                <w:i/>
                <w:sz w:val="24"/>
                <w:szCs w:val="24"/>
                <w:lang w:val="en-US" w:eastAsia="zh-CN"/>
              </w:rPr>
              <w:t>Ciocolată</w:t>
            </w:r>
          </w:p>
        </w:tc>
        <w:tc>
          <w:tcPr>
            <w:tcW w:w="2701" w:type="dxa"/>
          </w:tcPr>
          <w:p w14:paraId="1620EFA2" w14:textId="77777777" w:rsidR="001C08A5" w:rsidRDefault="00000000">
            <w:pPr>
              <w:rPr>
                <w:i/>
                <w:sz w:val="24"/>
                <w:szCs w:val="24"/>
              </w:rPr>
            </w:pPr>
            <w:r>
              <w:rPr>
                <w:i/>
                <w:sz w:val="24"/>
                <w:szCs w:val="24"/>
                <w:lang w:val="en-US" w:eastAsia="zh-CN"/>
              </w:rPr>
              <w:t>25.65</w:t>
            </w:r>
          </w:p>
        </w:tc>
      </w:tr>
      <w:tr w:rsidR="001C08A5" w14:paraId="38E05257" w14:textId="77777777">
        <w:tc>
          <w:tcPr>
            <w:tcW w:w="752" w:type="dxa"/>
          </w:tcPr>
          <w:p w14:paraId="75210AA0" w14:textId="77777777" w:rsidR="001C08A5" w:rsidRDefault="001C08A5">
            <w:pPr>
              <w:numPr>
                <w:ilvl w:val="0"/>
                <w:numId w:val="102"/>
              </w:numPr>
              <w:rPr>
                <w:i/>
                <w:sz w:val="24"/>
                <w:szCs w:val="24"/>
              </w:rPr>
            </w:pPr>
          </w:p>
        </w:tc>
        <w:tc>
          <w:tcPr>
            <w:tcW w:w="5069" w:type="dxa"/>
          </w:tcPr>
          <w:p w14:paraId="0FA195D0" w14:textId="77777777" w:rsidR="001C08A5" w:rsidRDefault="00000000">
            <w:pPr>
              <w:rPr>
                <w:i/>
                <w:sz w:val="24"/>
                <w:szCs w:val="24"/>
              </w:rPr>
            </w:pPr>
            <w:r>
              <w:rPr>
                <w:i/>
                <w:sz w:val="24"/>
                <w:szCs w:val="24"/>
                <w:lang w:val="en-US" w:eastAsia="zh-CN"/>
              </w:rPr>
              <w:t>Coca</w:t>
            </w:r>
          </w:p>
        </w:tc>
        <w:tc>
          <w:tcPr>
            <w:tcW w:w="2701" w:type="dxa"/>
          </w:tcPr>
          <w:p w14:paraId="44FCFF70" w14:textId="77777777" w:rsidR="001C08A5" w:rsidRDefault="00000000">
            <w:pPr>
              <w:rPr>
                <w:i/>
                <w:sz w:val="24"/>
                <w:szCs w:val="24"/>
              </w:rPr>
            </w:pPr>
            <w:r>
              <w:rPr>
                <w:i/>
                <w:sz w:val="24"/>
                <w:szCs w:val="24"/>
                <w:lang w:val="en-US" w:eastAsia="zh-CN"/>
              </w:rPr>
              <w:t>32.65</w:t>
            </w:r>
          </w:p>
        </w:tc>
      </w:tr>
      <w:tr w:rsidR="001C08A5" w14:paraId="55363F03" w14:textId="77777777">
        <w:tc>
          <w:tcPr>
            <w:tcW w:w="752" w:type="dxa"/>
          </w:tcPr>
          <w:p w14:paraId="10C3A79A" w14:textId="77777777" w:rsidR="001C08A5" w:rsidRDefault="001C08A5">
            <w:pPr>
              <w:numPr>
                <w:ilvl w:val="0"/>
                <w:numId w:val="102"/>
              </w:numPr>
              <w:rPr>
                <w:i/>
                <w:sz w:val="24"/>
                <w:szCs w:val="24"/>
              </w:rPr>
            </w:pPr>
          </w:p>
        </w:tc>
        <w:tc>
          <w:tcPr>
            <w:tcW w:w="5069" w:type="dxa"/>
          </w:tcPr>
          <w:p w14:paraId="3D018A2C" w14:textId="77777777" w:rsidR="001C08A5" w:rsidRDefault="00000000">
            <w:pPr>
              <w:rPr>
                <w:i/>
                <w:sz w:val="24"/>
                <w:szCs w:val="24"/>
              </w:rPr>
            </w:pPr>
            <w:r>
              <w:rPr>
                <w:i/>
                <w:sz w:val="24"/>
                <w:szCs w:val="24"/>
                <w:lang w:val="en-US" w:eastAsia="zh-CN"/>
              </w:rPr>
              <w:t>Coca metalurgic</w:t>
            </w:r>
          </w:p>
        </w:tc>
        <w:tc>
          <w:tcPr>
            <w:tcW w:w="2701" w:type="dxa"/>
          </w:tcPr>
          <w:p w14:paraId="7F1EA1E8" w14:textId="77777777" w:rsidR="001C08A5" w:rsidRDefault="00000000">
            <w:pPr>
              <w:rPr>
                <w:i/>
                <w:sz w:val="24"/>
                <w:szCs w:val="24"/>
              </w:rPr>
            </w:pPr>
            <w:r>
              <w:rPr>
                <w:i/>
                <w:sz w:val="24"/>
                <w:szCs w:val="24"/>
                <w:lang w:val="en-US" w:eastAsia="zh-CN"/>
              </w:rPr>
              <w:t>30.35</w:t>
            </w:r>
          </w:p>
        </w:tc>
      </w:tr>
      <w:tr w:rsidR="001C08A5" w14:paraId="3F558629" w14:textId="77777777">
        <w:tc>
          <w:tcPr>
            <w:tcW w:w="752" w:type="dxa"/>
          </w:tcPr>
          <w:p w14:paraId="1D1C2824" w14:textId="77777777" w:rsidR="001C08A5" w:rsidRDefault="001C08A5">
            <w:pPr>
              <w:numPr>
                <w:ilvl w:val="0"/>
                <w:numId w:val="102"/>
              </w:numPr>
              <w:rPr>
                <w:i/>
                <w:sz w:val="24"/>
                <w:szCs w:val="24"/>
              </w:rPr>
            </w:pPr>
          </w:p>
        </w:tc>
        <w:tc>
          <w:tcPr>
            <w:tcW w:w="5069" w:type="dxa"/>
          </w:tcPr>
          <w:p w14:paraId="5C3C9C95" w14:textId="77777777" w:rsidR="001C08A5" w:rsidRDefault="00000000">
            <w:pPr>
              <w:rPr>
                <w:i/>
                <w:sz w:val="24"/>
                <w:szCs w:val="24"/>
              </w:rPr>
            </w:pPr>
            <w:r>
              <w:rPr>
                <w:i/>
                <w:sz w:val="24"/>
                <w:szCs w:val="24"/>
                <w:lang w:val="en-US" w:eastAsia="zh-CN"/>
              </w:rPr>
              <w:t>Dextrină</w:t>
            </w:r>
          </w:p>
        </w:tc>
        <w:tc>
          <w:tcPr>
            <w:tcW w:w="2701" w:type="dxa"/>
          </w:tcPr>
          <w:p w14:paraId="1C4FE01D" w14:textId="77777777" w:rsidR="001C08A5" w:rsidRDefault="00000000">
            <w:pPr>
              <w:rPr>
                <w:i/>
                <w:sz w:val="24"/>
                <w:szCs w:val="24"/>
              </w:rPr>
            </w:pPr>
            <w:r>
              <w:rPr>
                <w:i/>
                <w:sz w:val="24"/>
                <w:szCs w:val="24"/>
                <w:lang w:val="en-US" w:eastAsia="zh-CN"/>
              </w:rPr>
              <w:t>18.20</w:t>
            </w:r>
          </w:p>
        </w:tc>
      </w:tr>
      <w:tr w:rsidR="001C08A5" w14:paraId="06AC4DEE" w14:textId="77777777">
        <w:tc>
          <w:tcPr>
            <w:tcW w:w="752" w:type="dxa"/>
          </w:tcPr>
          <w:p w14:paraId="4F08B3A0" w14:textId="77777777" w:rsidR="001C08A5" w:rsidRDefault="001C08A5">
            <w:pPr>
              <w:numPr>
                <w:ilvl w:val="0"/>
                <w:numId w:val="102"/>
              </w:numPr>
              <w:rPr>
                <w:i/>
                <w:sz w:val="24"/>
                <w:szCs w:val="24"/>
              </w:rPr>
            </w:pPr>
          </w:p>
        </w:tc>
        <w:tc>
          <w:tcPr>
            <w:tcW w:w="5069" w:type="dxa"/>
          </w:tcPr>
          <w:p w14:paraId="1BDFEE13" w14:textId="77777777" w:rsidR="001C08A5" w:rsidRDefault="00000000">
            <w:pPr>
              <w:rPr>
                <w:i/>
                <w:sz w:val="24"/>
                <w:szCs w:val="24"/>
              </w:rPr>
            </w:pPr>
            <w:r>
              <w:rPr>
                <w:i/>
                <w:sz w:val="24"/>
                <w:szCs w:val="24"/>
                <w:lang w:val="en-US" w:eastAsia="zh-CN"/>
              </w:rPr>
              <w:t>Etan</w:t>
            </w:r>
          </w:p>
        </w:tc>
        <w:tc>
          <w:tcPr>
            <w:tcW w:w="2701" w:type="dxa"/>
          </w:tcPr>
          <w:p w14:paraId="78BD066C" w14:textId="77777777" w:rsidR="001C08A5" w:rsidRDefault="00000000">
            <w:pPr>
              <w:rPr>
                <w:i/>
                <w:sz w:val="24"/>
                <w:szCs w:val="24"/>
              </w:rPr>
            </w:pPr>
            <w:r>
              <w:rPr>
                <w:i/>
                <w:sz w:val="24"/>
                <w:szCs w:val="24"/>
                <w:lang w:val="en-US" w:eastAsia="zh-CN"/>
              </w:rPr>
              <w:t>111.75</w:t>
            </w:r>
          </w:p>
        </w:tc>
      </w:tr>
      <w:tr w:rsidR="001C08A5" w14:paraId="23FBC84A" w14:textId="77777777">
        <w:tc>
          <w:tcPr>
            <w:tcW w:w="752" w:type="dxa"/>
          </w:tcPr>
          <w:p w14:paraId="1B365E22" w14:textId="77777777" w:rsidR="001C08A5" w:rsidRDefault="001C08A5">
            <w:pPr>
              <w:numPr>
                <w:ilvl w:val="0"/>
                <w:numId w:val="102"/>
              </w:numPr>
              <w:rPr>
                <w:i/>
                <w:sz w:val="24"/>
                <w:szCs w:val="24"/>
              </w:rPr>
            </w:pPr>
          </w:p>
        </w:tc>
        <w:tc>
          <w:tcPr>
            <w:tcW w:w="5069" w:type="dxa"/>
          </w:tcPr>
          <w:p w14:paraId="0FC5FA73" w14:textId="77777777" w:rsidR="001C08A5" w:rsidRDefault="00000000">
            <w:pPr>
              <w:rPr>
                <w:i/>
                <w:sz w:val="24"/>
                <w:szCs w:val="24"/>
              </w:rPr>
            </w:pPr>
            <w:r>
              <w:rPr>
                <w:i/>
                <w:sz w:val="24"/>
                <w:szCs w:val="24"/>
                <w:lang w:val="en-US" w:eastAsia="zh-CN"/>
              </w:rPr>
              <w:t>Etilenă</w:t>
            </w:r>
          </w:p>
        </w:tc>
        <w:tc>
          <w:tcPr>
            <w:tcW w:w="2701" w:type="dxa"/>
          </w:tcPr>
          <w:p w14:paraId="3925B4D1" w14:textId="77777777" w:rsidR="001C08A5" w:rsidRDefault="00000000">
            <w:pPr>
              <w:rPr>
                <w:i/>
                <w:sz w:val="24"/>
                <w:szCs w:val="24"/>
                <w:lang w:eastAsia="zh-CN"/>
              </w:rPr>
            </w:pPr>
            <w:r>
              <w:rPr>
                <w:i/>
                <w:sz w:val="24"/>
                <w:szCs w:val="24"/>
                <w:lang w:eastAsia="zh-CN"/>
              </w:rPr>
              <w:t>33.80</w:t>
            </w:r>
          </w:p>
          <w:p w14:paraId="769681C0" w14:textId="77777777" w:rsidR="001C08A5" w:rsidRDefault="00000000">
            <w:pPr>
              <w:rPr>
                <w:i/>
                <w:sz w:val="24"/>
                <w:szCs w:val="24"/>
                <w:lang w:val="en-US" w:eastAsia="zh-CN"/>
              </w:rPr>
            </w:pPr>
            <w:r>
              <w:rPr>
                <w:i/>
                <w:sz w:val="24"/>
                <w:szCs w:val="24"/>
                <w:lang w:val="en-US" w:eastAsia="zh-CN"/>
              </w:rPr>
              <w:t>59.40</w:t>
            </w:r>
            <w:r>
              <w:rPr>
                <w:i/>
                <w:sz w:val="24"/>
                <w:szCs w:val="24"/>
                <w:lang w:eastAsia="zh-CN"/>
              </w:rPr>
              <w:t xml:space="preserve"> </w:t>
            </w:r>
            <w:r>
              <w:rPr>
                <w:i/>
                <w:sz w:val="24"/>
                <w:szCs w:val="24"/>
                <w:lang w:val="en-US" w:eastAsia="zh-CN"/>
              </w:rPr>
              <w:t>*</w:t>
            </w:r>
            <w:r>
              <w:rPr>
                <w:i/>
                <w:sz w:val="24"/>
                <w:szCs w:val="24"/>
                <w:lang w:eastAsia="zh-CN"/>
              </w:rPr>
              <w:t>)</w:t>
            </w:r>
          </w:p>
          <w:p w14:paraId="06FC9C10" w14:textId="77777777" w:rsidR="001C08A5" w:rsidRDefault="00000000">
            <w:pPr>
              <w:rPr>
                <w:i/>
                <w:sz w:val="24"/>
                <w:szCs w:val="24"/>
              </w:rPr>
            </w:pPr>
            <w:r>
              <w:rPr>
                <w:i/>
                <w:sz w:val="24"/>
                <w:szCs w:val="24"/>
                <w:lang w:eastAsia="zh-CN"/>
              </w:rPr>
              <w:t>44.40</w:t>
            </w:r>
          </w:p>
        </w:tc>
      </w:tr>
      <w:tr w:rsidR="001C08A5" w14:paraId="14A2CCE0" w14:textId="77777777">
        <w:tc>
          <w:tcPr>
            <w:tcW w:w="752" w:type="dxa"/>
          </w:tcPr>
          <w:p w14:paraId="0D3F7463" w14:textId="77777777" w:rsidR="001C08A5" w:rsidRDefault="001C08A5">
            <w:pPr>
              <w:numPr>
                <w:ilvl w:val="0"/>
                <w:numId w:val="102"/>
              </w:numPr>
              <w:rPr>
                <w:i/>
                <w:sz w:val="24"/>
                <w:szCs w:val="24"/>
              </w:rPr>
            </w:pPr>
          </w:p>
        </w:tc>
        <w:tc>
          <w:tcPr>
            <w:tcW w:w="5069" w:type="dxa"/>
          </w:tcPr>
          <w:p w14:paraId="5660A19A" w14:textId="77777777" w:rsidR="001C08A5" w:rsidRDefault="00000000">
            <w:pPr>
              <w:rPr>
                <w:i/>
                <w:sz w:val="24"/>
                <w:szCs w:val="24"/>
              </w:rPr>
            </w:pPr>
            <w:r>
              <w:rPr>
                <w:i/>
                <w:sz w:val="24"/>
                <w:szCs w:val="24"/>
                <w:lang w:val="en-US" w:eastAsia="zh-CN"/>
              </w:rPr>
              <w:t>Eter etilic</w:t>
            </w:r>
          </w:p>
        </w:tc>
        <w:tc>
          <w:tcPr>
            <w:tcW w:w="2701" w:type="dxa"/>
          </w:tcPr>
          <w:p w14:paraId="54246E28" w14:textId="77777777" w:rsidR="001C08A5" w:rsidRDefault="00000000">
            <w:pPr>
              <w:rPr>
                <w:i/>
                <w:sz w:val="24"/>
                <w:szCs w:val="24"/>
              </w:rPr>
            </w:pPr>
            <w:r>
              <w:rPr>
                <w:i/>
                <w:sz w:val="24"/>
                <w:szCs w:val="24"/>
                <w:lang w:val="en-US" w:eastAsia="zh-CN"/>
              </w:rPr>
              <w:t>38.50</w:t>
            </w:r>
          </w:p>
        </w:tc>
      </w:tr>
      <w:tr w:rsidR="001C08A5" w14:paraId="59162FE0" w14:textId="77777777">
        <w:tc>
          <w:tcPr>
            <w:tcW w:w="752" w:type="dxa"/>
          </w:tcPr>
          <w:p w14:paraId="449A66C5" w14:textId="77777777" w:rsidR="001C08A5" w:rsidRDefault="001C08A5">
            <w:pPr>
              <w:numPr>
                <w:ilvl w:val="0"/>
                <w:numId w:val="102"/>
              </w:numPr>
              <w:rPr>
                <w:i/>
                <w:sz w:val="24"/>
                <w:szCs w:val="24"/>
              </w:rPr>
            </w:pPr>
          </w:p>
        </w:tc>
        <w:tc>
          <w:tcPr>
            <w:tcW w:w="5069" w:type="dxa"/>
          </w:tcPr>
          <w:p w14:paraId="726572A6" w14:textId="77777777" w:rsidR="001C08A5" w:rsidRDefault="00000000">
            <w:pPr>
              <w:rPr>
                <w:i/>
                <w:sz w:val="24"/>
                <w:szCs w:val="24"/>
              </w:rPr>
            </w:pPr>
            <w:r>
              <w:rPr>
                <w:i/>
                <w:sz w:val="24"/>
                <w:szCs w:val="24"/>
                <w:lang w:val="en-US" w:eastAsia="zh-CN"/>
              </w:rPr>
              <w:t>Eter metilic</w:t>
            </w:r>
          </w:p>
        </w:tc>
        <w:tc>
          <w:tcPr>
            <w:tcW w:w="2701" w:type="dxa"/>
          </w:tcPr>
          <w:p w14:paraId="38EC3767" w14:textId="77777777" w:rsidR="001C08A5" w:rsidRDefault="00000000">
            <w:pPr>
              <w:rPr>
                <w:i/>
                <w:sz w:val="24"/>
                <w:szCs w:val="24"/>
              </w:rPr>
            </w:pPr>
            <w:r>
              <w:rPr>
                <w:i/>
                <w:sz w:val="24"/>
                <w:szCs w:val="24"/>
                <w:lang w:val="en-US" w:eastAsia="zh-CN"/>
              </w:rPr>
              <w:t>31.75</w:t>
            </w:r>
          </w:p>
        </w:tc>
      </w:tr>
      <w:tr w:rsidR="001C08A5" w14:paraId="1F53C237" w14:textId="77777777">
        <w:tc>
          <w:tcPr>
            <w:tcW w:w="752" w:type="dxa"/>
          </w:tcPr>
          <w:p w14:paraId="43378CD3" w14:textId="77777777" w:rsidR="001C08A5" w:rsidRDefault="001C08A5">
            <w:pPr>
              <w:numPr>
                <w:ilvl w:val="0"/>
                <w:numId w:val="102"/>
              </w:numPr>
              <w:rPr>
                <w:i/>
                <w:sz w:val="24"/>
                <w:szCs w:val="24"/>
              </w:rPr>
            </w:pPr>
          </w:p>
        </w:tc>
        <w:tc>
          <w:tcPr>
            <w:tcW w:w="5069" w:type="dxa"/>
          </w:tcPr>
          <w:p w14:paraId="45225C6F" w14:textId="77777777" w:rsidR="001C08A5" w:rsidRDefault="00000000">
            <w:pPr>
              <w:rPr>
                <w:i/>
                <w:sz w:val="24"/>
                <w:szCs w:val="24"/>
              </w:rPr>
            </w:pPr>
            <w:r>
              <w:rPr>
                <w:i/>
                <w:sz w:val="24"/>
                <w:szCs w:val="24"/>
                <w:lang w:val="en-US" w:eastAsia="zh-CN"/>
              </w:rPr>
              <w:t>Făină</w:t>
            </w:r>
          </w:p>
        </w:tc>
        <w:tc>
          <w:tcPr>
            <w:tcW w:w="2701" w:type="dxa"/>
          </w:tcPr>
          <w:p w14:paraId="5240E9BC" w14:textId="77777777" w:rsidR="001C08A5" w:rsidRDefault="00000000">
            <w:pPr>
              <w:rPr>
                <w:i/>
                <w:sz w:val="24"/>
                <w:szCs w:val="24"/>
              </w:rPr>
            </w:pPr>
            <w:r>
              <w:rPr>
                <w:i/>
                <w:sz w:val="24"/>
                <w:szCs w:val="24"/>
                <w:lang w:val="en-US" w:eastAsia="zh-CN"/>
              </w:rPr>
              <w:t>16.75</w:t>
            </w:r>
            <w:r>
              <w:rPr>
                <w:i/>
                <w:sz w:val="24"/>
                <w:szCs w:val="24"/>
                <w:lang w:eastAsia="zh-CN"/>
              </w:rPr>
              <w:t xml:space="preserve"> ... 15.05</w:t>
            </w:r>
          </w:p>
        </w:tc>
      </w:tr>
      <w:tr w:rsidR="001C08A5" w14:paraId="14E418CC" w14:textId="77777777">
        <w:tc>
          <w:tcPr>
            <w:tcW w:w="752" w:type="dxa"/>
          </w:tcPr>
          <w:p w14:paraId="6B4E878D" w14:textId="77777777" w:rsidR="001C08A5" w:rsidRDefault="001C08A5">
            <w:pPr>
              <w:numPr>
                <w:ilvl w:val="0"/>
                <w:numId w:val="102"/>
              </w:numPr>
              <w:rPr>
                <w:i/>
                <w:sz w:val="24"/>
                <w:szCs w:val="24"/>
              </w:rPr>
            </w:pPr>
          </w:p>
        </w:tc>
        <w:tc>
          <w:tcPr>
            <w:tcW w:w="5069" w:type="dxa"/>
          </w:tcPr>
          <w:p w14:paraId="3EB328AE" w14:textId="77777777" w:rsidR="001C08A5" w:rsidRDefault="00000000">
            <w:pPr>
              <w:rPr>
                <w:i/>
                <w:sz w:val="24"/>
                <w:szCs w:val="24"/>
              </w:rPr>
            </w:pPr>
            <w:r>
              <w:rPr>
                <w:i/>
                <w:sz w:val="24"/>
                <w:szCs w:val="24"/>
                <w:lang w:val="en-US" w:eastAsia="zh-CN"/>
              </w:rPr>
              <w:t>Fenol</w:t>
            </w:r>
          </w:p>
        </w:tc>
        <w:tc>
          <w:tcPr>
            <w:tcW w:w="2701" w:type="dxa"/>
          </w:tcPr>
          <w:p w14:paraId="7A2C69CF" w14:textId="77777777" w:rsidR="001C08A5" w:rsidRDefault="00000000">
            <w:pPr>
              <w:rPr>
                <w:i/>
                <w:sz w:val="24"/>
                <w:szCs w:val="24"/>
              </w:rPr>
            </w:pPr>
            <w:r>
              <w:rPr>
                <w:i/>
                <w:sz w:val="24"/>
                <w:szCs w:val="24"/>
                <w:lang w:val="en-US" w:eastAsia="zh-CN"/>
              </w:rPr>
              <w:t>31.25</w:t>
            </w:r>
          </w:p>
        </w:tc>
      </w:tr>
      <w:tr w:rsidR="001C08A5" w14:paraId="0E64AA14" w14:textId="77777777">
        <w:tc>
          <w:tcPr>
            <w:tcW w:w="752" w:type="dxa"/>
          </w:tcPr>
          <w:p w14:paraId="0D98017C" w14:textId="77777777" w:rsidR="001C08A5" w:rsidRDefault="001C08A5">
            <w:pPr>
              <w:numPr>
                <w:ilvl w:val="0"/>
                <w:numId w:val="102"/>
              </w:numPr>
              <w:rPr>
                <w:i/>
                <w:sz w:val="24"/>
                <w:szCs w:val="24"/>
              </w:rPr>
            </w:pPr>
          </w:p>
        </w:tc>
        <w:tc>
          <w:tcPr>
            <w:tcW w:w="5069" w:type="dxa"/>
          </w:tcPr>
          <w:p w14:paraId="1B7DAE71" w14:textId="77777777" w:rsidR="001C08A5" w:rsidRDefault="00000000">
            <w:pPr>
              <w:rPr>
                <w:i/>
                <w:sz w:val="24"/>
                <w:szCs w:val="24"/>
              </w:rPr>
            </w:pPr>
            <w:r>
              <w:rPr>
                <w:i/>
                <w:sz w:val="24"/>
                <w:szCs w:val="24"/>
                <w:lang w:val="en-US" w:eastAsia="zh-CN"/>
              </w:rPr>
              <w:t>Fân</w:t>
            </w:r>
          </w:p>
        </w:tc>
        <w:tc>
          <w:tcPr>
            <w:tcW w:w="2701" w:type="dxa"/>
          </w:tcPr>
          <w:p w14:paraId="3F99E7F6" w14:textId="77777777" w:rsidR="001C08A5" w:rsidRDefault="00000000">
            <w:pPr>
              <w:rPr>
                <w:i/>
                <w:sz w:val="24"/>
                <w:szCs w:val="24"/>
              </w:rPr>
            </w:pPr>
            <w:r>
              <w:rPr>
                <w:i/>
                <w:sz w:val="24"/>
                <w:szCs w:val="24"/>
                <w:lang w:val="en-US" w:eastAsia="zh-CN"/>
              </w:rPr>
              <w:t>14.65</w:t>
            </w:r>
          </w:p>
        </w:tc>
      </w:tr>
      <w:tr w:rsidR="001C08A5" w14:paraId="6ED864B6" w14:textId="77777777">
        <w:tc>
          <w:tcPr>
            <w:tcW w:w="752" w:type="dxa"/>
          </w:tcPr>
          <w:p w14:paraId="46DD6F59" w14:textId="77777777" w:rsidR="001C08A5" w:rsidRDefault="001C08A5">
            <w:pPr>
              <w:numPr>
                <w:ilvl w:val="0"/>
                <w:numId w:val="102"/>
              </w:numPr>
              <w:rPr>
                <w:i/>
                <w:sz w:val="24"/>
                <w:szCs w:val="24"/>
              </w:rPr>
            </w:pPr>
          </w:p>
        </w:tc>
        <w:tc>
          <w:tcPr>
            <w:tcW w:w="5069" w:type="dxa"/>
          </w:tcPr>
          <w:p w14:paraId="38057802" w14:textId="77777777" w:rsidR="001C08A5" w:rsidRDefault="00000000">
            <w:pPr>
              <w:rPr>
                <w:i/>
                <w:sz w:val="24"/>
                <w:szCs w:val="24"/>
              </w:rPr>
            </w:pPr>
            <w:r>
              <w:rPr>
                <w:i/>
                <w:sz w:val="24"/>
                <w:szCs w:val="24"/>
                <w:lang w:val="en-US" w:eastAsia="zh-CN"/>
              </w:rPr>
              <w:t>Fosfor</w:t>
            </w:r>
          </w:p>
        </w:tc>
        <w:tc>
          <w:tcPr>
            <w:tcW w:w="2701" w:type="dxa"/>
          </w:tcPr>
          <w:p w14:paraId="44D9B3ED" w14:textId="77777777" w:rsidR="001C08A5" w:rsidRDefault="00000000">
            <w:pPr>
              <w:rPr>
                <w:i/>
                <w:sz w:val="24"/>
                <w:szCs w:val="24"/>
              </w:rPr>
            </w:pPr>
            <w:r>
              <w:rPr>
                <w:i/>
                <w:sz w:val="24"/>
                <w:szCs w:val="24"/>
                <w:lang w:val="en-US" w:eastAsia="zh-CN"/>
              </w:rPr>
              <w:t>24.95</w:t>
            </w:r>
          </w:p>
        </w:tc>
      </w:tr>
      <w:tr w:rsidR="001C08A5" w14:paraId="20020A4B" w14:textId="77777777">
        <w:tc>
          <w:tcPr>
            <w:tcW w:w="752" w:type="dxa"/>
          </w:tcPr>
          <w:p w14:paraId="7E9C7D3E" w14:textId="77777777" w:rsidR="001C08A5" w:rsidRDefault="001C08A5">
            <w:pPr>
              <w:numPr>
                <w:ilvl w:val="0"/>
                <w:numId w:val="102"/>
              </w:numPr>
              <w:rPr>
                <w:i/>
                <w:sz w:val="24"/>
                <w:szCs w:val="24"/>
              </w:rPr>
            </w:pPr>
          </w:p>
        </w:tc>
        <w:tc>
          <w:tcPr>
            <w:tcW w:w="5069" w:type="dxa"/>
          </w:tcPr>
          <w:p w14:paraId="547DBFB7" w14:textId="77777777" w:rsidR="001C08A5" w:rsidRDefault="00000000">
            <w:pPr>
              <w:rPr>
                <w:i/>
                <w:sz w:val="24"/>
                <w:szCs w:val="24"/>
              </w:rPr>
            </w:pPr>
            <w:r>
              <w:rPr>
                <w:i/>
                <w:sz w:val="24"/>
                <w:szCs w:val="24"/>
                <w:lang w:val="en-US" w:eastAsia="zh-CN"/>
              </w:rPr>
              <w:t>Gaz de cocserie</w:t>
            </w:r>
          </w:p>
        </w:tc>
        <w:tc>
          <w:tcPr>
            <w:tcW w:w="2701" w:type="dxa"/>
          </w:tcPr>
          <w:p w14:paraId="7730A39F" w14:textId="77777777" w:rsidR="001C08A5" w:rsidRDefault="00000000">
            <w:pPr>
              <w:rPr>
                <w:i/>
                <w:sz w:val="24"/>
                <w:szCs w:val="24"/>
              </w:rPr>
            </w:pPr>
            <w:r>
              <w:rPr>
                <w:i/>
                <w:sz w:val="24"/>
                <w:szCs w:val="24"/>
                <w:lang w:val="en-US" w:eastAsia="zh-CN"/>
              </w:rPr>
              <w:t>19.15</w:t>
            </w:r>
            <w:r>
              <w:rPr>
                <w:i/>
                <w:sz w:val="24"/>
                <w:szCs w:val="24"/>
                <w:lang w:eastAsia="zh-CN"/>
              </w:rPr>
              <w:t xml:space="preserve"> </w:t>
            </w:r>
            <w:r>
              <w:rPr>
                <w:i/>
                <w:sz w:val="24"/>
                <w:szCs w:val="24"/>
                <w:lang w:val="en-US" w:eastAsia="zh-CN"/>
              </w:rPr>
              <w:t>*</w:t>
            </w:r>
            <w:r>
              <w:rPr>
                <w:i/>
                <w:sz w:val="24"/>
                <w:szCs w:val="24"/>
                <w:lang w:eastAsia="zh-CN"/>
              </w:rPr>
              <w:t>)</w:t>
            </w:r>
          </w:p>
        </w:tc>
      </w:tr>
      <w:tr w:rsidR="001C08A5" w14:paraId="61B9B16F" w14:textId="77777777">
        <w:tc>
          <w:tcPr>
            <w:tcW w:w="752" w:type="dxa"/>
          </w:tcPr>
          <w:p w14:paraId="095198B8" w14:textId="77777777" w:rsidR="001C08A5" w:rsidRDefault="001C08A5">
            <w:pPr>
              <w:numPr>
                <w:ilvl w:val="0"/>
                <w:numId w:val="102"/>
              </w:numPr>
              <w:rPr>
                <w:i/>
                <w:sz w:val="24"/>
                <w:szCs w:val="24"/>
              </w:rPr>
            </w:pPr>
          </w:p>
        </w:tc>
        <w:tc>
          <w:tcPr>
            <w:tcW w:w="5069" w:type="dxa"/>
          </w:tcPr>
          <w:p w14:paraId="1A5C8A89" w14:textId="77777777" w:rsidR="001C08A5" w:rsidRDefault="00000000">
            <w:pPr>
              <w:rPr>
                <w:i/>
                <w:sz w:val="24"/>
                <w:szCs w:val="24"/>
              </w:rPr>
            </w:pPr>
            <w:r>
              <w:rPr>
                <w:i/>
                <w:sz w:val="24"/>
                <w:szCs w:val="24"/>
                <w:lang w:val="en-US" w:eastAsia="zh-CN"/>
              </w:rPr>
              <w:t>Gaz de cracare</w:t>
            </w:r>
          </w:p>
        </w:tc>
        <w:tc>
          <w:tcPr>
            <w:tcW w:w="2701" w:type="dxa"/>
          </w:tcPr>
          <w:p w14:paraId="6B3B6C61" w14:textId="77777777" w:rsidR="001C08A5" w:rsidRDefault="00000000">
            <w:pPr>
              <w:rPr>
                <w:i/>
                <w:sz w:val="24"/>
                <w:szCs w:val="24"/>
              </w:rPr>
            </w:pPr>
            <w:r>
              <w:rPr>
                <w:i/>
                <w:sz w:val="24"/>
                <w:szCs w:val="24"/>
                <w:lang w:val="en-US" w:eastAsia="zh-CN"/>
              </w:rPr>
              <w:t>73.25</w:t>
            </w:r>
            <w:r>
              <w:rPr>
                <w:i/>
                <w:sz w:val="24"/>
                <w:szCs w:val="24"/>
                <w:lang w:eastAsia="zh-CN"/>
              </w:rPr>
              <w:t xml:space="preserve"> </w:t>
            </w:r>
            <w:r>
              <w:rPr>
                <w:i/>
                <w:sz w:val="24"/>
                <w:szCs w:val="24"/>
                <w:lang w:val="en-US" w:eastAsia="zh-CN"/>
              </w:rPr>
              <w:t>*</w:t>
            </w:r>
            <w:r>
              <w:rPr>
                <w:i/>
                <w:sz w:val="24"/>
                <w:szCs w:val="24"/>
                <w:lang w:eastAsia="zh-CN"/>
              </w:rPr>
              <w:t>)</w:t>
            </w:r>
          </w:p>
        </w:tc>
      </w:tr>
      <w:tr w:rsidR="001C08A5" w14:paraId="3C4E576E" w14:textId="77777777">
        <w:tc>
          <w:tcPr>
            <w:tcW w:w="752" w:type="dxa"/>
          </w:tcPr>
          <w:p w14:paraId="2BD8D441" w14:textId="77777777" w:rsidR="001C08A5" w:rsidRDefault="001C08A5">
            <w:pPr>
              <w:numPr>
                <w:ilvl w:val="0"/>
                <w:numId w:val="102"/>
              </w:numPr>
              <w:rPr>
                <w:i/>
                <w:sz w:val="24"/>
                <w:szCs w:val="24"/>
              </w:rPr>
            </w:pPr>
          </w:p>
        </w:tc>
        <w:tc>
          <w:tcPr>
            <w:tcW w:w="5069" w:type="dxa"/>
          </w:tcPr>
          <w:p w14:paraId="38538ECA" w14:textId="77777777" w:rsidR="001C08A5" w:rsidRDefault="00000000">
            <w:pPr>
              <w:rPr>
                <w:i/>
                <w:sz w:val="24"/>
                <w:szCs w:val="24"/>
              </w:rPr>
            </w:pPr>
            <w:r>
              <w:rPr>
                <w:i/>
                <w:sz w:val="24"/>
                <w:szCs w:val="24"/>
                <w:lang w:val="en-US" w:eastAsia="zh-CN"/>
              </w:rPr>
              <w:t>Gaz de distilare a gudroanelor</w:t>
            </w:r>
          </w:p>
        </w:tc>
        <w:tc>
          <w:tcPr>
            <w:tcW w:w="2701" w:type="dxa"/>
          </w:tcPr>
          <w:p w14:paraId="7899B8AA" w14:textId="77777777" w:rsidR="001C08A5" w:rsidRDefault="00000000">
            <w:pPr>
              <w:rPr>
                <w:i/>
                <w:sz w:val="24"/>
                <w:szCs w:val="24"/>
              </w:rPr>
            </w:pPr>
            <w:r>
              <w:rPr>
                <w:i/>
                <w:sz w:val="24"/>
                <w:szCs w:val="24"/>
                <w:lang w:val="en-US" w:eastAsia="zh-CN"/>
              </w:rPr>
              <w:t>62.80</w:t>
            </w:r>
            <w:r>
              <w:rPr>
                <w:i/>
                <w:sz w:val="24"/>
                <w:szCs w:val="24"/>
                <w:lang w:eastAsia="zh-CN"/>
              </w:rPr>
              <w:t xml:space="preserve"> </w:t>
            </w:r>
            <w:r>
              <w:rPr>
                <w:i/>
                <w:sz w:val="24"/>
                <w:szCs w:val="24"/>
                <w:lang w:val="en-US" w:eastAsia="zh-CN"/>
              </w:rPr>
              <w:t>*</w:t>
            </w:r>
            <w:r>
              <w:rPr>
                <w:i/>
                <w:sz w:val="24"/>
                <w:szCs w:val="24"/>
                <w:lang w:eastAsia="zh-CN"/>
              </w:rPr>
              <w:t>)</w:t>
            </w:r>
          </w:p>
        </w:tc>
      </w:tr>
      <w:tr w:rsidR="001C08A5" w14:paraId="0CDC9C79" w14:textId="77777777">
        <w:tc>
          <w:tcPr>
            <w:tcW w:w="752" w:type="dxa"/>
          </w:tcPr>
          <w:p w14:paraId="247CF29A" w14:textId="77777777" w:rsidR="001C08A5" w:rsidRDefault="001C08A5">
            <w:pPr>
              <w:numPr>
                <w:ilvl w:val="0"/>
                <w:numId w:val="102"/>
              </w:numPr>
              <w:rPr>
                <w:i/>
                <w:sz w:val="24"/>
                <w:szCs w:val="24"/>
              </w:rPr>
            </w:pPr>
          </w:p>
        </w:tc>
        <w:tc>
          <w:tcPr>
            <w:tcW w:w="5069" w:type="dxa"/>
          </w:tcPr>
          <w:p w14:paraId="6873B70A" w14:textId="77777777" w:rsidR="001C08A5" w:rsidRDefault="00000000">
            <w:pPr>
              <w:rPr>
                <w:i/>
                <w:sz w:val="24"/>
                <w:szCs w:val="24"/>
              </w:rPr>
            </w:pPr>
            <w:r>
              <w:rPr>
                <w:i/>
                <w:sz w:val="24"/>
                <w:szCs w:val="24"/>
                <w:lang w:val="en-US" w:eastAsia="zh-CN"/>
              </w:rPr>
              <w:t>Gaz de huilă</w:t>
            </w:r>
          </w:p>
        </w:tc>
        <w:tc>
          <w:tcPr>
            <w:tcW w:w="2701" w:type="dxa"/>
          </w:tcPr>
          <w:p w14:paraId="3A41E435" w14:textId="77777777" w:rsidR="001C08A5" w:rsidRDefault="00000000">
            <w:pPr>
              <w:rPr>
                <w:i/>
                <w:sz w:val="24"/>
                <w:szCs w:val="24"/>
              </w:rPr>
            </w:pPr>
            <w:r>
              <w:rPr>
                <w:i/>
                <w:sz w:val="24"/>
                <w:szCs w:val="24"/>
                <w:lang w:val="en-US" w:eastAsia="zh-CN"/>
              </w:rPr>
              <w:t>23.00</w:t>
            </w:r>
            <w:r>
              <w:rPr>
                <w:i/>
                <w:sz w:val="24"/>
                <w:szCs w:val="24"/>
                <w:lang w:eastAsia="zh-CN"/>
              </w:rPr>
              <w:t xml:space="preserve"> </w:t>
            </w:r>
            <w:r>
              <w:rPr>
                <w:i/>
                <w:sz w:val="24"/>
                <w:szCs w:val="24"/>
                <w:lang w:val="en-US" w:eastAsia="zh-CN"/>
              </w:rPr>
              <w:t>*</w:t>
            </w:r>
            <w:r>
              <w:rPr>
                <w:i/>
                <w:sz w:val="24"/>
                <w:szCs w:val="24"/>
                <w:lang w:eastAsia="zh-CN"/>
              </w:rPr>
              <w:t>)</w:t>
            </w:r>
          </w:p>
        </w:tc>
      </w:tr>
      <w:tr w:rsidR="001C08A5" w14:paraId="2B776761" w14:textId="77777777">
        <w:tc>
          <w:tcPr>
            <w:tcW w:w="752" w:type="dxa"/>
          </w:tcPr>
          <w:p w14:paraId="066B91EC" w14:textId="77777777" w:rsidR="001C08A5" w:rsidRDefault="001C08A5">
            <w:pPr>
              <w:numPr>
                <w:ilvl w:val="0"/>
                <w:numId w:val="102"/>
              </w:numPr>
              <w:rPr>
                <w:i/>
                <w:sz w:val="24"/>
                <w:szCs w:val="24"/>
              </w:rPr>
            </w:pPr>
          </w:p>
        </w:tc>
        <w:tc>
          <w:tcPr>
            <w:tcW w:w="5069" w:type="dxa"/>
          </w:tcPr>
          <w:p w14:paraId="67C9B48B" w14:textId="77777777" w:rsidR="001C08A5" w:rsidRDefault="00000000">
            <w:pPr>
              <w:rPr>
                <w:i/>
                <w:sz w:val="24"/>
                <w:szCs w:val="24"/>
              </w:rPr>
            </w:pPr>
            <w:r>
              <w:rPr>
                <w:i/>
                <w:sz w:val="24"/>
                <w:szCs w:val="24"/>
                <w:lang w:val="en-US" w:eastAsia="zh-CN"/>
              </w:rPr>
              <w:t>Gaz de lignit</w:t>
            </w:r>
          </w:p>
        </w:tc>
        <w:tc>
          <w:tcPr>
            <w:tcW w:w="2701" w:type="dxa"/>
          </w:tcPr>
          <w:p w14:paraId="40201FF9" w14:textId="77777777" w:rsidR="001C08A5" w:rsidRDefault="00000000">
            <w:pPr>
              <w:rPr>
                <w:i/>
                <w:sz w:val="24"/>
                <w:szCs w:val="24"/>
              </w:rPr>
            </w:pPr>
            <w:r>
              <w:rPr>
                <w:i/>
                <w:sz w:val="24"/>
                <w:szCs w:val="24"/>
                <w:lang w:val="en-US" w:eastAsia="zh-CN"/>
              </w:rPr>
              <w:t>13.80</w:t>
            </w:r>
            <w:r>
              <w:rPr>
                <w:i/>
                <w:sz w:val="24"/>
                <w:szCs w:val="24"/>
                <w:lang w:eastAsia="zh-CN"/>
              </w:rPr>
              <w:t xml:space="preserve"> </w:t>
            </w:r>
            <w:r>
              <w:rPr>
                <w:i/>
                <w:sz w:val="24"/>
                <w:szCs w:val="24"/>
                <w:lang w:val="en-US" w:eastAsia="zh-CN"/>
              </w:rPr>
              <w:t>*</w:t>
            </w:r>
            <w:r>
              <w:rPr>
                <w:i/>
                <w:sz w:val="24"/>
                <w:szCs w:val="24"/>
                <w:lang w:eastAsia="zh-CN"/>
              </w:rPr>
              <w:t>)</w:t>
            </w:r>
          </w:p>
        </w:tc>
      </w:tr>
      <w:tr w:rsidR="001C08A5" w14:paraId="0D494EC2" w14:textId="77777777">
        <w:tc>
          <w:tcPr>
            <w:tcW w:w="752" w:type="dxa"/>
          </w:tcPr>
          <w:p w14:paraId="1EC5B880" w14:textId="77777777" w:rsidR="001C08A5" w:rsidRDefault="001C08A5">
            <w:pPr>
              <w:numPr>
                <w:ilvl w:val="0"/>
                <w:numId w:val="102"/>
              </w:numPr>
              <w:rPr>
                <w:i/>
                <w:sz w:val="24"/>
                <w:szCs w:val="24"/>
              </w:rPr>
            </w:pPr>
          </w:p>
        </w:tc>
        <w:tc>
          <w:tcPr>
            <w:tcW w:w="5069" w:type="dxa"/>
          </w:tcPr>
          <w:p w14:paraId="2243CC2F" w14:textId="77777777" w:rsidR="001C08A5" w:rsidRDefault="00000000">
            <w:pPr>
              <w:rPr>
                <w:i/>
                <w:sz w:val="24"/>
                <w:szCs w:val="24"/>
              </w:rPr>
            </w:pPr>
            <w:r>
              <w:rPr>
                <w:i/>
                <w:sz w:val="24"/>
                <w:szCs w:val="24"/>
                <w:lang w:val="en-US" w:eastAsia="zh-CN"/>
              </w:rPr>
              <w:t>Gaz metan</w:t>
            </w:r>
          </w:p>
        </w:tc>
        <w:tc>
          <w:tcPr>
            <w:tcW w:w="2701" w:type="dxa"/>
          </w:tcPr>
          <w:p w14:paraId="1DFCFE12" w14:textId="77777777" w:rsidR="001C08A5" w:rsidRDefault="00000000">
            <w:pPr>
              <w:rPr>
                <w:i/>
                <w:sz w:val="24"/>
                <w:szCs w:val="24"/>
                <w:lang w:eastAsia="zh-CN"/>
              </w:rPr>
            </w:pPr>
            <w:r>
              <w:rPr>
                <w:i/>
                <w:sz w:val="24"/>
                <w:szCs w:val="24"/>
                <w:lang w:eastAsia="zh-CN"/>
              </w:rPr>
              <w:t xml:space="preserve">35.80 </w:t>
            </w:r>
            <w:r>
              <w:rPr>
                <w:i/>
                <w:sz w:val="24"/>
                <w:szCs w:val="24"/>
                <w:lang w:val="en-US" w:eastAsia="zh-CN"/>
              </w:rPr>
              <w:t>*</w:t>
            </w:r>
            <w:r>
              <w:rPr>
                <w:i/>
                <w:sz w:val="24"/>
                <w:szCs w:val="24"/>
                <w:lang w:eastAsia="zh-CN"/>
              </w:rPr>
              <w:t>)</w:t>
            </w:r>
          </w:p>
          <w:p w14:paraId="0DABA799" w14:textId="77777777" w:rsidR="001C08A5" w:rsidRDefault="00000000">
            <w:pPr>
              <w:rPr>
                <w:i/>
                <w:sz w:val="24"/>
                <w:szCs w:val="24"/>
              </w:rPr>
            </w:pPr>
            <w:r>
              <w:rPr>
                <w:i/>
                <w:sz w:val="24"/>
                <w:szCs w:val="24"/>
                <w:lang w:val="en-US" w:eastAsia="zh-CN"/>
              </w:rPr>
              <w:t>57.35</w:t>
            </w:r>
          </w:p>
        </w:tc>
      </w:tr>
      <w:tr w:rsidR="001C08A5" w14:paraId="56C3B93A" w14:textId="77777777">
        <w:tc>
          <w:tcPr>
            <w:tcW w:w="752" w:type="dxa"/>
          </w:tcPr>
          <w:p w14:paraId="505F2877" w14:textId="77777777" w:rsidR="001C08A5" w:rsidRDefault="001C08A5">
            <w:pPr>
              <w:numPr>
                <w:ilvl w:val="0"/>
                <w:numId w:val="102"/>
              </w:numPr>
              <w:rPr>
                <w:i/>
                <w:sz w:val="24"/>
                <w:szCs w:val="24"/>
              </w:rPr>
            </w:pPr>
          </w:p>
        </w:tc>
        <w:tc>
          <w:tcPr>
            <w:tcW w:w="5069" w:type="dxa"/>
          </w:tcPr>
          <w:p w14:paraId="6DA03BB6" w14:textId="77777777" w:rsidR="001C08A5" w:rsidRDefault="00000000">
            <w:pPr>
              <w:rPr>
                <w:i/>
                <w:sz w:val="24"/>
                <w:szCs w:val="24"/>
              </w:rPr>
            </w:pPr>
            <w:r>
              <w:rPr>
                <w:i/>
                <w:sz w:val="24"/>
                <w:szCs w:val="24"/>
                <w:lang w:val="en-US" w:eastAsia="zh-CN"/>
              </w:rPr>
              <w:t>Gelatină</w:t>
            </w:r>
          </w:p>
        </w:tc>
        <w:tc>
          <w:tcPr>
            <w:tcW w:w="2701" w:type="dxa"/>
          </w:tcPr>
          <w:p w14:paraId="371FB732" w14:textId="77777777" w:rsidR="001C08A5" w:rsidRDefault="00000000">
            <w:pPr>
              <w:rPr>
                <w:i/>
                <w:sz w:val="24"/>
                <w:szCs w:val="24"/>
              </w:rPr>
            </w:pPr>
            <w:r>
              <w:rPr>
                <w:i/>
                <w:sz w:val="24"/>
                <w:szCs w:val="24"/>
                <w:lang w:val="en-US" w:eastAsia="zh-CN"/>
              </w:rPr>
              <w:t>15.40</w:t>
            </w:r>
          </w:p>
        </w:tc>
      </w:tr>
      <w:tr w:rsidR="001C08A5" w14:paraId="50979294" w14:textId="77777777">
        <w:tc>
          <w:tcPr>
            <w:tcW w:w="752" w:type="dxa"/>
          </w:tcPr>
          <w:p w14:paraId="2DA5CB86" w14:textId="77777777" w:rsidR="001C08A5" w:rsidRDefault="001C08A5">
            <w:pPr>
              <w:numPr>
                <w:ilvl w:val="0"/>
                <w:numId w:val="102"/>
              </w:numPr>
              <w:rPr>
                <w:i/>
                <w:sz w:val="24"/>
                <w:szCs w:val="24"/>
              </w:rPr>
            </w:pPr>
          </w:p>
        </w:tc>
        <w:tc>
          <w:tcPr>
            <w:tcW w:w="5069" w:type="dxa"/>
          </w:tcPr>
          <w:p w14:paraId="4C7DAB45" w14:textId="77777777" w:rsidR="001C08A5" w:rsidRDefault="00000000">
            <w:pPr>
              <w:rPr>
                <w:i/>
                <w:sz w:val="24"/>
                <w:szCs w:val="24"/>
              </w:rPr>
            </w:pPr>
            <w:r>
              <w:rPr>
                <w:i/>
                <w:sz w:val="24"/>
                <w:szCs w:val="24"/>
                <w:lang w:val="en-US" w:eastAsia="zh-CN"/>
              </w:rPr>
              <w:t>Glicerină</w:t>
            </w:r>
          </w:p>
        </w:tc>
        <w:tc>
          <w:tcPr>
            <w:tcW w:w="2701" w:type="dxa"/>
          </w:tcPr>
          <w:p w14:paraId="0C205CDF" w14:textId="77777777" w:rsidR="001C08A5" w:rsidRDefault="00000000">
            <w:pPr>
              <w:rPr>
                <w:i/>
                <w:sz w:val="24"/>
                <w:szCs w:val="24"/>
              </w:rPr>
            </w:pPr>
            <w:r>
              <w:rPr>
                <w:i/>
                <w:sz w:val="24"/>
                <w:szCs w:val="24"/>
                <w:lang w:val="en-US" w:eastAsia="zh-CN"/>
              </w:rPr>
              <w:t>18.00</w:t>
            </w:r>
          </w:p>
        </w:tc>
      </w:tr>
      <w:tr w:rsidR="001C08A5" w14:paraId="76BF8599" w14:textId="77777777">
        <w:tc>
          <w:tcPr>
            <w:tcW w:w="752" w:type="dxa"/>
          </w:tcPr>
          <w:p w14:paraId="61DF211D" w14:textId="77777777" w:rsidR="001C08A5" w:rsidRDefault="001C08A5">
            <w:pPr>
              <w:numPr>
                <w:ilvl w:val="0"/>
                <w:numId w:val="102"/>
              </w:numPr>
              <w:rPr>
                <w:i/>
                <w:sz w:val="24"/>
                <w:szCs w:val="24"/>
              </w:rPr>
            </w:pPr>
          </w:p>
        </w:tc>
        <w:tc>
          <w:tcPr>
            <w:tcW w:w="5069" w:type="dxa"/>
          </w:tcPr>
          <w:p w14:paraId="48063E36" w14:textId="77777777" w:rsidR="001C08A5" w:rsidRDefault="00000000">
            <w:pPr>
              <w:rPr>
                <w:i/>
                <w:sz w:val="24"/>
                <w:szCs w:val="24"/>
              </w:rPr>
            </w:pPr>
            <w:r>
              <w:rPr>
                <w:i/>
                <w:sz w:val="24"/>
                <w:szCs w:val="24"/>
                <w:lang w:val="en-US" w:eastAsia="zh-CN"/>
              </w:rPr>
              <w:t>Glucoză</w:t>
            </w:r>
          </w:p>
        </w:tc>
        <w:tc>
          <w:tcPr>
            <w:tcW w:w="2701" w:type="dxa"/>
          </w:tcPr>
          <w:p w14:paraId="328D6DF1" w14:textId="77777777" w:rsidR="001C08A5" w:rsidRDefault="00000000">
            <w:pPr>
              <w:rPr>
                <w:i/>
                <w:sz w:val="24"/>
                <w:szCs w:val="24"/>
              </w:rPr>
            </w:pPr>
            <w:r>
              <w:rPr>
                <w:i/>
                <w:sz w:val="24"/>
                <w:szCs w:val="24"/>
                <w:lang w:val="en-US" w:eastAsia="zh-CN"/>
              </w:rPr>
              <w:t>15.60</w:t>
            </w:r>
          </w:p>
        </w:tc>
      </w:tr>
      <w:tr w:rsidR="001C08A5" w14:paraId="66651AFB" w14:textId="77777777">
        <w:tc>
          <w:tcPr>
            <w:tcW w:w="752" w:type="dxa"/>
          </w:tcPr>
          <w:p w14:paraId="2C7530A0" w14:textId="77777777" w:rsidR="001C08A5" w:rsidRDefault="001C08A5">
            <w:pPr>
              <w:numPr>
                <w:ilvl w:val="0"/>
                <w:numId w:val="102"/>
              </w:numPr>
              <w:rPr>
                <w:i/>
                <w:sz w:val="24"/>
                <w:szCs w:val="24"/>
              </w:rPr>
            </w:pPr>
          </w:p>
        </w:tc>
        <w:tc>
          <w:tcPr>
            <w:tcW w:w="5069" w:type="dxa"/>
          </w:tcPr>
          <w:p w14:paraId="26D72F49" w14:textId="77777777" w:rsidR="001C08A5" w:rsidRDefault="00000000">
            <w:pPr>
              <w:rPr>
                <w:i/>
                <w:sz w:val="24"/>
                <w:szCs w:val="24"/>
              </w:rPr>
            </w:pPr>
            <w:r>
              <w:rPr>
                <w:i/>
                <w:sz w:val="24"/>
                <w:szCs w:val="24"/>
                <w:lang w:val="en-US" w:eastAsia="zh-CN"/>
              </w:rPr>
              <w:t>Grafit</w:t>
            </w:r>
          </w:p>
        </w:tc>
        <w:tc>
          <w:tcPr>
            <w:tcW w:w="2701" w:type="dxa"/>
          </w:tcPr>
          <w:p w14:paraId="283DD019" w14:textId="77777777" w:rsidR="001C08A5" w:rsidRDefault="00000000">
            <w:pPr>
              <w:rPr>
                <w:i/>
                <w:sz w:val="24"/>
                <w:szCs w:val="24"/>
              </w:rPr>
            </w:pPr>
            <w:r>
              <w:rPr>
                <w:i/>
                <w:sz w:val="24"/>
                <w:szCs w:val="24"/>
                <w:lang w:val="en-US" w:eastAsia="zh-CN"/>
              </w:rPr>
              <w:t>33.05</w:t>
            </w:r>
          </w:p>
        </w:tc>
      </w:tr>
      <w:tr w:rsidR="001C08A5" w14:paraId="4F0530E3" w14:textId="77777777">
        <w:tc>
          <w:tcPr>
            <w:tcW w:w="752" w:type="dxa"/>
          </w:tcPr>
          <w:p w14:paraId="4FC90F76" w14:textId="77777777" w:rsidR="001C08A5" w:rsidRDefault="001C08A5">
            <w:pPr>
              <w:numPr>
                <w:ilvl w:val="0"/>
                <w:numId w:val="102"/>
              </w:numPr>
              <w:rPr>
                <w:i/>
                <w:sz w:val="24"/>
                <w:szCs w:val="24"/>
              </w:rPr>
            </w:pPr>
          </w:p>
        </w:tc>
        <w:tc>
          <w:tcPr>
            <w:tcW w:w="5069" w:type="dxa"/>
          </w:tcPr>
          <w:p w14:paraId="6F62FA81" w14:textId="77777777" w:rsidR="001C08A5" w:rsidRDefault="00000000">
            <w:pPr>
              <w:rPr>
                <w:i/>
                <w:sz w:val="24"/>
                <w:szCs w:val="24"/>
              </w:rPr>
            </w:pPr>
            <w:r>
              <w:rPr>
                <w:i/>
                <w:sz w:val="24"/>
                <w:szCs w:val="24"/>
                <w:lang w:val="en-US" w:eastAsia="zh-CN"/>
              </w:rPr>
              <w:t>Grăsimi</w:t>
            </w:r>
          </w:p>
        </w:tc>
        <w:tc>
          <w:tcPr>
            <w:tcW w:w="2701" w:type="dxa"/>
          </w:tcPr>
          <w:p w14:paraId="4331227F" w14:textId="77777777" w:rsidR="001C08A5" w:rsidRDefault="00000000">
            <w:pPr>
              <w:rPr>
                <w:i/>
                <w:sz w:val="24"/>
                <w:szCs w:val="24"/>
              </w:rPr>
            </w:pPr>
            <w:r>
              <w:rPr>
                <w:i/>
                <w:sz w:val="24"/>
                <w:szCs w:val="24"/>
                <w:lang w:val="en-US" w:eastAsia="zh-CN"/>
              </w:rPr>
              <w:t>39.75</w:t>
            </w:r>
          </w:p>
        </w:tc>
      </w:tr>
      <w:tr w:rsidR="001C08A5" w14:paraId="55FF5930" w14:textId="77777777">
        <w:tc>
          <w:tcPr>
            <w:tcW w:w="752" w:type="dxa"/>
          </w:tcPr>
          <w:p w14:paraId="15314AA3" w14:textId="77777777" w:rsidR="001C08A5" w:rsidRDefault="001C08A5">
            <w:pPr>
              <w:numPr>
                <w:ilvl w:val="0"/>
                <w:numId w:val="102"/>
              </w:numPr>
              <w:rPr>
                <w:i/>
                <w:sz w:val="24"/>
                <w:szCs w:val="24"/>
              </w:rPr>
            </w:pPr>
          </w:p>
        </w:tc>
        <w:tc>
          <w:tcPr>
            <w:tcW w:w="5069" w:type="dxa"/>
          </w:tcPr>
          <w:p w14:paraId="1F08FE59" w14:textId="77777777" w:rsidR="001C08A5" w:rsidRDefault="00000000">
            <w:pPr>
              <w:rPr>
                <w:i/>
                <w:sz w:val="24"/>
                <w:szCs w:val="24"/>
              </w:rPr>
            </w:pPr>
            <w:r>
              <w:rPr>
                <w:i/>
                <w:sz w:val="24"/>
                <w:szCs w:val="24"/>
                <w:lang w:val="en-US" w:eastAsia="zh-CN"/>
              </w:rPr>
              <w:t>Gudron de cărbune brun</w:t>
            </w:r>
          </w:p>
        </w:tc>
        <w:tc>
          <w:tcPr>
            <w:tcW w:w="2701" w:type="dxa"/>
          </w:tcPr>
          <w:p w14:paraId="37125979" w14:textId="77777777" w:rsidR="001C08A5" w:rsidRDefault="00000000">
            <w:pPr>
              <w:rPr>
                <w:i/>
                <w:sz w:val="24"/>
                <w:szCs w:val="24"/>
              </w:rPr>
            </w:pPr>
            <w:r>
              <w:rPr>
                <w:i/>
                <w:sz w:val="24"/>
                <w:szCs w:val="24"/>
                <w:lang w:val="en-US" w:eastAsia="zh-CN"/>
              </w:rPr>
              <w:t>38.95</w:t>
            </w:r>
          </w:p>
        </w:tc>
      </w:tr>
      <w:tr w:rsidR="001C08A5" w14:paraId="15259293" w14:textId="77777777">
        <w:tc>
          <w:tcPr>
            <w:tcW w:w="752" w:type="dxa"/>
          </w:tcPr>
          <w:p w14:paraId="400D654C" w14:textId="77777777" w:rsidR="001C08A5" w:rsidRDefault="001C08A5">
            <w:pPr>
              <w:numPr>
                <w:ilvl w:val="0"/>
                <w:numId w:val="102"/>
              </w:numPr>
              <w:rPr>
                <w:i/>
                <w:sz w:val="24"/>
                <w:szCs w:val="24"/>
              </w:rPr>
            </w:pPr>
          </w:p>
        </w:tc>
        <w:tc>
          <w:tcPr>
            <w:tcW w:w="5069" w:type="dxa"/>
          </w:tcPr>
          <w:p w14:paraId="5CF3ECCC" w14:textId="77777777" w:rsidR="001C08A5" w:rsidRDefault="00000000">
            <w:pPr>
              <w:rPr>
                <w:i/>
                <w:sz w:val="24"/>
                <w:szCs w:val="24"/>
              </w:rPr>
            </w:pPr>
            <w:r>
              <w:rPr>
                <w:i/>
                <w:sz w:val="24"/>
                <w:szCs w:val="24"/>
                <w:lang w:val="en-US" w:eastAsia="zh-CN"/>
              </w:rPr>
              <w:t>Gudron de huilă</w:t>
            </w:r>
          </w:p>
        </w:tc>
        <w:tc>
          <w:tcPr>
            <w:tcW w:w="2701" w:type="dxa"/>
          </w:tcPr>
          <w:p w14:paraId="14D0464C" w14:textId="77777777" w:rsidR="001C08A5" w:rsidRDefault="00000000">
            <w:pPr>
              <w:rPr>
                <w:i/>
                <w:sz w:val="24"/>
                <w:szCs w:val="24"/>
              </w:rPr>
            </w:pPr>
            <w:r>
              <w:rPr>
                <w:i/>
                <w:sz w:val="24"/>
                <w:szCs w:val="24"/>
                <w:lang w:val="en-US" w:eastAsia="zh-CN"/>
              </w:rPr>
              <w:t>34.75</w:t>
            </w:r>
          </w:p>
        </w:tc>
      </w:tr>
      <w:tr w:rsidR="001C08A5" w14:paraId="63593E13" w14:textId="77777777">
        <w:tc>
          <w:tcPr>
            <w:tcW w:w="752" w:type="dxa"/>
          </w:tcPr>
          <w:p w14:paraId="5D74D762" w14:textId="77777777" w:rsidR="001C08A5" w:rsidRDefault="001C08A5">
            <w:pPr>
              <w:numPr>
                <w:ilvl w:val="0"/>
                <w:numId w:val="102"/>
              </w:numPr>
              <w:rPr>
                <w:i/>
                <w:sz w:val="24"/>
                <w:szCs w:val="24"/>
              </w:rPr>
            </w:pPr>
          </w:p>
        </w:tc>
        <w:tc>
          <w:tcPr>
            <w:tcW w:w="5069" w:type="dxa"/>
          </w:tcPr>
          <w:p w14:paraId="6677BD77" w14:textId="77777777" w:rsidR="001C08A5" w:rsidRDefault="00000000">
            <w:pPr>
              <w:rPr>
                <w:i/>
                <w:sz w:val="24"/>
                <w:szCs w:val="24"/>
              </w:rPr>
            </w:pPr>
            <w:r>
              <w:rPr>
                <w:i/>
                <w:sz w:val="24"/>
                <w:szCs w:val="24"/>
                <w:lang w:val="en-US" w:eastAsia="zh-CN"/>
              </w:rPr>
              <w:t>Hexan</w:t>
            </w:r>
          </w:p>
        </w:tc>
        <w:tc>
          <w:tcPr>
            <w:tcW w:w="2701" w:type="dxa"/>
          </w:tcPr>
          <w:p w14:paraId="1AAC6988" w14:textId="77777777" w:rsidR="001C08A5" w:rsidRDefault="00000000">
            <w:pPr>
              <w:rPr>
                <w:i/>
                <w:sz w:val="24"/>
                <w:szCs w:val="24"/>
              </w:rPr>
            </w:pPr>
            <w:r>
              <w:rPr>
                <w:i/>
                <w:sz w:val="24"/>
                <w:szCs w:val="24"/>
                <w:lang w:val="en-US" w:eastAsia="zh-CN"/>
              </w:rPr>
              <w:t>47.50</w:t>
            </w:r>
          </w:p>
        </w:tc>
      </w:tr>
      <w:tr w:rsidR="001C08A5" w14:paraId="5BBC6FC1" w14:textId="77777777">
        <w:tc>
          <w:tcPr>
            <w:tcW w:w="752" w:type="dxa"/>
          </w:tcPr>
          <w:p w14:paraId="71AF5D87" w14:textId="77777777" w:rsidR="001C08A5" w:rsidRDefault="001C08A5">
            <w:pPr>
              <w:numPr>
                <w:ilvl w:val="0"/>
                <w:numId w:val="102"/>
              </w:numPr>
              <w:rPr>
                <w:i/>
                <w:sz w:val="24"/>
                <w:szCs w:val="24"/>
              </w:rPr>
            </w:pPr>
          </w:p>
        </w:tc>
        <w:tc>
          <w:tcPr>
            <w:tcW w:w="5069" w:type="dxa"/>
          </w:tcPr>
          <w:p w14:paraId="6FA40332" w14:textId="77777777" w:rsidR="001C08A5" w:rsidRDefault="00000000">
            <w:pPr>
              <w:rPr>
                <w:i/>
                <w:sz w:val="24"/>
                <w:szCs w:val="24"/>
              </w:rPr>
            </w:pPr>
            <w:r>
              <w:rPr>
                <w:i/>
                <w:sz w:val="24"/>
                <w:szCs w:val="24"/>
                <w:lang w:val="en-US" w:eastAsia="zh-CN"/>
              </w:rPr>
              <w:t>Hidrogen</w:t>
            </w:r>
          </w:p>
        </w:tc>
        <w:tc>
          <w:tcPr>
            <w:tcW w:w="2701" w:type="dxa"/>
          </w:tcPr>
          <w:p w14:paraId="021B7873" w14:textId="77777777" w:rsidR="001C08A5" w:rsidRDefault="00000000">
            <w:pPr>
              <w:rPr>
                <w:i/>
                <w:sz w:val="24"/>
                <w:szCs w:val="24"/>
                <w:lang w:eastAsia="zh-CN"/>
              </w:rPr>
            </w:pPr>
            <w:r>
              <w:rPr>
                <w:i/>
                <w:sz w:val="24"/>
                <w:szCs w:val="24"/>
                <w:lang w:eastAsia="zh-CN"/>
              </w:rPr>
              <w:t xml:space="preserve">11.15 </w:t>
            </w:r>
            <w:r>
              <w:rPr>
                <w:i/>
                <w:sz w:val="24"/>
                <w:szCs w:val="24"/>
                <w:lang w:val="en-US" w:eastAsia="zh-CN"/>
              </w:rPr>
              <w:t>*</w:t>
            </w:r>
            <w:r>
              <w:rPr>
                <w:i/>
                <w:sz w:val="24"/>
                <w:szCs w:val="24"/>
                <w:lang w:eastAsia="zh-CN"/>
              </w:rPr>
              <w:t>)</w:t>
            </w:r>
          </w:p>
          <w:p w14:paraId="72E87AD0" w14:textId="77777777" w:rsidR="001C08A5" w:rsidRDefault="00000000">
            <w:pPr>
              <w:rPr>
                <w:i/>
                <w:sz w:val="24"/>
                <w:szCs w:val="24"/>
              </w:rPr>
            </w:pPr>
            <w:r>
              <w:rPr>
                <w:i/>
                <w:sz w:val="24"/>
                <w:szCs w:val="24"/>
                <w:lang w:val="en-US" w:eastAsia="zh-CN"/>
              </w:rPr>
              <w:t>142.30</w:t>
            </w:r>
          </w:p>
        </w:tc>
      </w:tr>
      <w:tr w:rsidR="001C08A5" w14:paraId="0D40919C" w14:textId="77777777">
        <w:tc>
          <w:tcPr>
            <w:tcW w:w="752" w:type="dxa"/>
          </w:tcPr>
          <w:p w14:paraId="67182922" w14:textId="77777777" w:rsidR="001C08A5" w:rsidRDefault="001C08A5">
            <w:pPr>
              <w:numPr>
                <w:ilvl w:val="0"/>
                <w:numId w:val="102"/>
              </w:numPr>
              <w:rPr>
                <w:i/>
                <w:sz w:val="24"/>
                <w:szCs w:val="24"/>
              </w:rPr>
            </w:pPr>
          </w:p>
        </w:tc>
        <w:tc>
          <w:tcPr>
            <w:tcW w:w="5069" w:type="dxa"/>
          </w:tcPr>
          <w:p w14:paraId="24EEFE61" w14:textId="77777777" w:rsidR="001C08A5" w:rsidRDefault="00000000">
            <w:pPr>
              <w:rPr>
                <w:i/>
                <w:sz w:val="24"/>
                <w:szCs w:val="24"/>
              </w:rPr>
            </w:pPr>
            <w:r>
              <w:rPr>
                <w:i/>
                <w:sz w:val="24"/>
                <w:szCs w:val="24"/>
                <w:lang w:val="en-US" w:eastAsia="zh-CN"/>
              </w:rPr>
              <w:t>Hidrogen sulfurat</w:t>
            </w:r>
          </w:p>
        </w:tc>
        <w:tc>
          <w:tcPr>
            <w:tcW w:w="2701" w:type="dxa"/>
          </w:tcPr>
          <w:p w14:paraId="7FA1A0D5" w14:textId="77777777" w:rsidR="001C08A5" w:rsidRDefault="00000000">
            <w:pPr>
              <w:rPr>
                <w:i/>
                <w:sz w:val="24"/>
                <w:szCs w:val="24"/>
                <w:lang w:eastAsia="zh-CN"/>
              </w:rPr>
            </w:pPr>
            <w:r>
              <w:rPr>
                <w:i/>
                <w:sz w:val="24"/>
                <w:szCs w:val="24"/>
                <w:lang w:eastAsia="zh-CN"/>
              </w:rPr>
              <w:t xml:space="preserve">23.65 </w:t>
            </w:r>
            <w:r>
              <w:rPr>
                <w:i/>
                <w:sz w:val="24"/>
                <w:szCs w:val="24"/>
                <w:lang w:val="en-US" w:eastAsia="zh-CN"/>
              </w:rPr>
              <w:t>*</w:t>
            </w:r>
            <w:r>
              <w:rPr>
                <w:i/>
                <w:sz w:val="24"/>
                <w:szCs w:val="24"/>
                <w:lang w:eastAsia="zh-CN"/>
              </w:rPr>
              <w:t>)</w:t>
            </w:r>
          </w:p>
          <w:p w14:paraId="76A40429" w14:textId="77777777" w:rsidR="001C08A5" w:rsidRDefault="00000000">
            <w:pPr>
              <w:rPr>
                <w:i/>
                <w:sz w:val="24"/>
                <w:szCs w:val="24"/>
              </w:rPr>
            </w:pPr>
            <w:r>
              <w:rPr>
                <w:i/>
                <w:sz w:val="24"/>
                <w:szCs w:val="24"/>
                <w:lang w:val="en-US" w:eastAsia="zh-CN"/>
              </w:rPr>
              <w:t>15.35</w:t>
            </w:r>
          </w:p>
        </w:tc>
      </w:tr>
      <w:tr w:rsidR="001C08A5" w14:paraId="63C295E9" w14:textId="77777777">
        <w:tc>
          <w:tcPr>
            <w:tcW w:w="752" w:type="dxa"/>
          </w:tcPr>
          <w:p w14:paraId="011EB2C4" w14:textId="77777777" w:rsidR="001C08A5" w:rsidRDefault="001C08A5">
            <w:pPr>
              <w:numPr>
                <w:ilvl w:val="0"/>
                <w:numId w:val="102"/>
              </w:numPr>
              <w:rPr>
                <w:i/>
                <w:sz w:val="24"/>
                <w:szCs w:val="24"/>
              </w:rPr>
            </w:pPr>
          </w:p>
        </w:tc>
        <w:tc>
          <w:tcPr>
            <w:tcW w:w="5069" w:type="dxa"/>
          </w:tcPr>
          <w:p w14:paraId="11BCB94F" w14:textId="77777777" w:rsidR="001C08A5" w:rsidRDefault="00000000">
            <w:pPr>
              <w:rPr>
                <w:i/>
                <w:sz w:val="24"/>
                <w:szCs w:val="24"/>
              </w:rPr>
            </w:pPr>
            <w:r>
              <w:rPr>
                <w:i/>
                <w:sz w:val="24"/>
                <w:szCs w:val="24"/>
                <w:lang w:val="en-US" w:eastAsia="zh-CN"/>
              </w:rPr>
              <w:t>Hârtie</w:t>
            </w:r>
          </w:p>
        </w:tc>
        <w:tc>
          <w:tcPr>
            <w:tcW w:w="2701" w:type="dxa"/>
          </w:tcPr>
          <w:p w14:paraId="101DD6B5" w14:textId="77777777" w:rsidR="001C08A5" w:rsidRDefault="00000000">
            <w:pPr>
              <w:rPr>
                <w:i/>
                <w:sz w:val="24"/>
                <w:szCs w:val="24"/>
              </w:rPr>
            </w:pPr>
            <w:r>
              <w:rPr>
                <w:i/>
                <w:sz w:val="24"/>
                <w:szCs w:val="24"/>
                <w:lang w:val="en-US" w:eastAsia="zh-CN"/>
              </w:rPr>
              <w:t>16.30</w:t>
            </w:r>
          </w:p>
        </w:tc>
      </w:tr>
      <w:tr w:rsidR="001C08A5" w14:paraId="7CE3665F" w14:textId="77777777">
        <w:tc>
          <w:tcPr>
            <w:tcW w:w="752" w:type="dxa"/>
          </w:tcPr>
          <w:p w14:paraId="3AFDFE06" w14:textId="77777777" w:rsidR="001C08A5" w:rsidRDefault="001C08A5">
            <w:pPr>
              <w:numPr>
                <w:ilvl w:val="0"/>
                <w:numId w:val="102"/>
              </w:numPr>
              <w:rPr>
                <w:i/>
                <w:sz w:val="24"/>
                <w:szCs w:val="24"/>
              </w:rPr>
            </w:pPr>
          </w:p>
        </w:tc>
        <w:tc>
          <w:tcPr>
            <w:tcW w:w="5069" w:type="dxa"/>
          </w:tcPr>
          <w:p w14:paraId="3D06FD67" w14:textId="77777777" w:rsidR="001C08A5" w:rsidRDefault="00000000">
            <w:pPr>
              <w:rPr>
                <w:i/>
                <w:sz w:val="24"/>
                <w:szCs w:val="24"/>
              </w:rPr>
            </w:pPr>
            <w:r>
              <w:rPr>
                <w:i/>
                <w:sz w:val="24"/>
                <w:szCs w:val="24"/>
                <w:lang w:val="en-US" w:eastAsia="zh-CN"/>
              </w:rPr>
              <w:t>Huilă</w:t>
            </w:r>
          </w:p>
        </w:tc>
        <w:tc>
          <w:tcPr>
            <w:tcW w:w="2701" w:type="dxa"/>
          </w:tcPr>
          <w:p w14:paraId="50342E5C" w14:textId="77777777" w:rsidR="001C08A5" w:rsidRDefault="00000000">
            <w:pPr>
              <w:rPr>
                <w:i/>
                <w:sz w:val="24"/>
                <w:szCs w:val="24"/>
              </w:rPr>
            </w:pPr>
            <w:r>
              <w:rPr>
                <w:i/>
                <w:sz w:val="24"/>
                <w:szCs w:val="24"/>
                <w:lang w:eastAsia="zh-CN"/>
              </w:rPr>
              <w:t xml:space="preserve">23.50 ... </w:t>
            </w:r>
            <w:r>
              <w:rPr>
                <w:i/>
                <w:sz w:val="24"/>
                <w:szCs w:val="24"/>
                <w:lang w:val="en-US" w:eastAsia="zh-CN"/>
              </w:rPr>
              <w:t>30.55</w:t>
            </w:r>
          </w:p>
        </w:tc>
      </w:tr>
      <w:tr w:rsidR="001C08A5" w14:paraId="16F3C6DD" w14:textId="77777777">
        <w:tc>
          <w:tcPr>
            <w:tcW w:w="752" w:type="dxa"/>
          </w:tcPr>
          <w:p w14:paraId="3ADB3A61" w14:textId="77777777" w:rsidR="001C08A5" w:rsidRDefault="001C08A5">
            <w:pPr>
              <w:numPr>
                <w:ilvl w:val="0"/>
                <w:numId w:val="102"/>
              </w:numPr>
              <w:rPr>
                <w:i/>
                <w:sz w:val="24"/>
                <w:szCs w:val="24"/>
              </w:rPr>
            </w:pPr>
          </w:p>
        </w:tc>
        <w:tc>
          <w:tcPr>
            <w:tcW w:w="5069" w:type="dxa"/>
          </w:tcPr>
          <w:p w14:paraId="075B7C6D" w14:textId="77777777" w:rsidR="001C08A5" w:rsidRDefault="00000000">
            <w:pPr>
              <w:rPr>
                <w:i/>
                <w:sz w:val="24"/>
                <w:szCs w:val="24"/>
              </w:rPr>
            </w:pPr>
            <w:r>
              <w:rPr>
                <w:i/>
                <w:sz w:val="24"/>
                <w:szCs w:val="24"/>
                <w:lang w:val="en-US" w:eastAsia="zh-CN"/>
              </w:rPr>
              <w:t>Iodură de etil</w:t>
            </w:r>
          </w:p>
        </w:tc>
        <w:tc>
          <w:tcPr>
            <w:tcW w:w="2701" w:type="dxa"/>
          </w:tcPr>
          <w:p w14:paraId="5BC10543" w14:textId="77777777" w:rsidR="001C08A5" w:rsidRDefault="00000000">
            <w:pPr>
              <w:rPr>
                <w:i/>
                <w:sz w:val="24"/>
                <w:szCs w:val="24"/>
              </w:rPr>
            </w:pPr>
            <w:r>
              <w:rPr>
                <w:i/>
                <w:sz w:val="24"/>
                <w:szCs w:val="24"/>
                <w:lang w:val="en-US" w:eastAsia="zh-CN"/>
              </w:rPr>
              <w:t>9.80</w:t>
            </w:r>
          </w:p>
        </w:tc>
      </w:tr>
      <w:tr w:rsidR="001C08A5" w14:paraId="14374657" w14:textId="77777777">
        <w:tc>
          <w:tcPr>
            <w:tcW w:w="752" w:type="dxa"/>
          </w:tcPr>
          <w:p w14:paraId="2120D8DD" w14:textId="77777777" w:rsidR="001C08A5" w:rsidRDefault="001C08A5">
            <w:pPr>
              <w:numPr>
                <w:ilvl w:val="0"/>
                <w:numId w:val="102"/>
              </w:numPr>
              <w:rPr>
                <w:i/>
                <w:sz w:val="24"/>
                <w:szCs w:val="24"/>
              </w:rPr>
            </w:pPr>
          </w:p>
        </w:tc>
        <w:tc>
          <w:tcPr>
            <w:tcW w:w="5069" w:type="dxa"/>
          </w:tcPr>
          <w:p w14:paraId="042C6231" w14:textId="77777777" w:rsidR="001C08A5" w:rsidRDefault="00000000">
            <w:pPr>
              <w:rPr>
                <w:i/>
                <w:sz w:val="24"/>
                <w:szCs w:val="24"/>
                <w:lang w:val="en-US" w:eastAsia="zh-CN"/>
              </w:rPr>
            </w:pPr>
            <w:r>
              <w:rPr>
                <w:i/>
                <w:sz w:val="24"/>
                <w:szCs w:val="24"/>
                <w:lang w:val="en-US" w:eastAsia="zh-CN"/>
              </w:rPr>
              <w:t>In</w:t>
            </w:r>
          </w:p>
        </w:tc>
        <w:tc>
          <w:tcPr>
            <w:tcW w:w="2701" w:type="dxa"/>
          </w:tcPr>
          <w:p w14:paraId="35BFA55A" w14:textId="77777777" w:rsidR="001C08A5" w:rsidRDefault="00000000">
            <w:pPr>
              <w:rPr>
                <w:i/>
                <w:sz w:val="24"/>
                <w:szCs w:val="24"/>
                <w:lang w:val="en-US" w:eastAsia="zh-CN"/>
              </w:rPr>
            </w:pPr>
            <w:r>
              <w:rPr>
                <w:i/>
                <w:sz w:val="24"/>
                <w:szCs w:val="24"/>
                <w:lang w:val="en-US" w:eastAsia="zh-CN"/>
              </w:rPr>
              <w:t>15.20</w:t>
            </w:r>
          </w:p>
        </w:tc>
      </w:tr>
      <w:tr w:rsidR="001C08A5" w14:paraId="02D05EA5" w14:textId="77777777">
        <w:tc>
          <w:tcPr>
            <w:tcW w:w="752" w:type="dxa"/>
          </w:tcPr>
          <w:p w14:paraId="27922683" w14:textId="77777777" w:rsidR="001C08A5" w:rsidRDefault="001C08A5">
            <w:pPr>
              <w:numPr>
                <w:ilvl w:val="0"/>
                <w:numId w:val="102"/>
              </w:numPr>
              <w:rPr>
                <w:i/>
                <w:sz w:val="24"/>
                <w:szCs w:val="24"/>
              </w:rPr>
            </w:pPr>
          </w:p>
        </w:tc>
        <w:tc>
          <w:tcPr>
            <w:tcW w:w="5069" w:type="dxa"/>
          </w:tcPr>
          <w:p w14:paraId="2CDC3E31" w14:textId="77777777" w:rsidR="001C08A5" w:rsidRDefault="00000000">
            <w:pPr>
              <w:rPr>
                <w:i/>
                <w:sz w:val="24"/>
                <w:szCs w:val="24"/>
              </w:rPr>
            </w:pPr>
            <w:r>
              <w:rPr>
                <w:i/>
                <w:sz w:val="24"/>
                <w:szCs w:val="24"/>
                <w:lang w:val="en-US" w:eastAsia="zh-CN"/>
              </w:rPr>
              <w:t>Indigo</w:t>
            </w:r>
          </w:p>
        </w:tc>
        <w:tc>
          <w:tcPr>
            <w:tcW w:w="2701" w:type="dxa"/>
          </w:tcPr>
          <w:p w14:paraId="184AA609" w14:textId="77777777" w:rsidR="001C08A5" w:rsidRDefault="00000000">
            <w:pPr>
              <w:rPr>
                <w:i/>
                <w:sz w:val="24"/>
                <w:szCs w:val="24"/>
                <w:lang w:val="en-US" w:eastAsia="zh-CN"/>
              </w:rPr>
            </w:pPr>
            <w:r>
              <w:rPr>
                <w:i/>
                <w:sz w:val="24"/>
                <w:szCs w:val="24"/>
                <w:lang w:val="en-US" w:eastAsia="zh-CN"/>
              </w:rPr>
              <w:t>29.15</w:t>
            </w:r>
          </w:p>
        </w:tc>
      </w:tr>
      <w:tr w:rsidR="001C08A5" w14:paraId="3C6F751E" w14:textId="77777777">
        <w:tc>
          <w:tcPr>
            <w:tcW w:w="752" w:type="dxa"/>
          </w:tcPr>
          <w:p w14:paraId="0ECB9C56" w14:textId="77777777" w:rsidR="001C08A5" w:rsidRDefault="001C08A5">
            <w:pPr>
              <w:numPr>
                <w:ilvl w:val="0"/>
                <w:numId w:val="102"/>
              </w:numPr>
              <w:rPr>
                <w:i/>
                <w:sz w:val="24"/>
                <w:szCs w:val="24"/>
              </w:rPr>
            </w:pPr>
          </w:p>
        </w:tc>
        <w:tc>
          <w:tcPr>
            <w:tcW w:w="5069" w:type="dxa"/>
          </w:tcPr>
          <w:p w14:paraId="34395228" w14:textId="77777777" w:rsidR="001C08A5" w:rsidRDefault="00000000">
            <w:pPr>
              <w:rPr>
                <w:i/>
                <w:sz w:val="24"/>
                <w:szCs w:val="24"/>
                <w:lang w:val="en-US" w:eastAsia="zh-CN"/>
              </w:rPr>
            </w:pPr>
            <w:r>
              <w:rPr>
                <w:i/>
                <w:sz w:val="24"/>
                <w:szCs w:val="24"/>
                <w:lang w:val="en-US" w:eastAsia="zh-CN"/>
              </w:rPr>
              <w:t>Izobutan</w:t>
            </w:r>
          </w:p>
        </w:tc>
        <w:tc>
          <w:tcPr>
            <w:tcW w:w="2701" w:type="dxa"/>
          </w:tcPr>
          <w:p w14:paraId="16119AE1" w14:textId="77777777" w:rsidR="001C08A5" w:rsidRDefault="00000000">
            <w:pPr>
              <w:rPr>
                <w:i/>
                <w:sz w:val="24"/>
                <w:szCs w:val="24"/>
                <w:lang w:val="en-US" w:eastAsia="zh-CN"/>
              </w:rPr>
            </w:pPr>
            <w:r>
              <w:rPr>
                <w:i/>
                <w:sz w:val="24"/>
                <w:szCs w:val="24"/>
                <w:lang w:val="en-US" w:eastAsia="zh-CN"/>
              </w:rPr>
              <w:t>45.55</w:t>
            </w:r>
            <w:r>
              <w:rPr>
                <w:i/>
                <w:sz w:val="24"/>
                <w:szCs w:val="24"/>
                <w:lang w:eastAsia="zh-CN"/>
              </w:rPr>
              <w:t xml:space="preserve"> </w:t>
            </w:r>
            <w:r>
              <w:rPr>
                <w:i/>
                <w:sz w:val="24"/>
                <w:szCs w:val="24"/>
                <w:lang w:val="en-US" w:eastAsia="zh-CN"/>
              </w:rPr>
              <w:t>*</w:t>
            </w:r>
            <w:r>
              <w:rPr>
                <w:i/>
                <w:sz w:val="24"/>
                <w:szCs w:val="24"/>
                <w:lang w:eastAsia="zh-CN"/>
              </w:rPr>
              <w:t>)</w:t>
            </w:r>
          </w:p>
        </w:tc>
      </w:tr>
      <w:tr w:rsidR="001C08A5" w14:paraId="728CE84F" w14:textId="77777777">
        <w:tc>
          <w:tcPr>
            <w:tcW w:w="752" w:type="dxa"/>
          </w:tcPr>
          <w:p w14:paraId="1AECCF66" w14:textId="77777777" w:rsidR="001C08A5" w:rsidRDefault="001C08A5">
            <w:pPr>
              <w:numPr>
                <w:ilvl w:val="0"/>
                <w:numId w:val="102"/>
              </w:numPr>
              <w:rPr>
                <w:i/>
                <w:sz w:val="24"/>
                <w:szCs w:val="24"/>
              </w:rPr>
            </w:pPr>
          </w:p>
        </w:tc>
        <w:tc>
          <w:tcPr>
            <w:tcW w:w="5069" w:type="dxa"/>
          </w:tcPr>
          <w:p w14:paraId="09DD4B2F" w14:textId="77777777" w:rsidR="001C08A5" w:rsidRDefault="00000000">
            <w:pPr>
              <w:rPr>
                <w:i/>
                <w:sz w:val="24"/>
                <w:szCs w:val="24"/>
              </w:rPr>
            </w:pPr>
            <w:r>
              <w:rPr>
                <w:i/>
                <w:sz w:val="24"/>
                <w:szCs w:val="24"/>
                <w:lang w:val="en-US" w:eastAsia="zh-CN"/>
              </w:rPr>
              <w:t>Lemn convențional</w:t>
            </w:r>
          </w:p>
        </w:tc>
        <w:tc>
          <w:tcPr>
            <w:tcW w:w="2701" w:type="dxa"/>
          </w:tcPr>
          <w:p w14:paraId="0999F65C" w14:textId="77777777" w:rsidR="001C08A5" w:rsidRDefault="00000000">
            <w:pPr>
              <w:rPr>
                <w:i/>
                <w:sz w:val="24"/>
                <w:szCs w:val="24"/>
                <w:lang w:val="en-US" w:eastAsia="zh-CN"/>
              </w:rPr>
            </w:pPr>
            <w:r>
              <w:rPr>
                <w:i/>
                <w:sz w:val="24"/>
                <w:szCs w:val="24"/>
                <w:lang w:val="en-US" w:eastAsia="zh-CN"/>
              </w:rPr>
              <w:t>18.40</w:t>
            </w:r>
          </w:p>
        </w:tc>
      </w:tr>
      <w:tr w:rsidR="001C08A5" w14:paraId="41E28F6A" w14:textId="77777777">
        <w:tc>
          <w:tcPr>
            <w:tcW w:w="752" w:type="dxa"/>
          </w:tcPr>
          <w:p w14:paraId="22B90414" w14:textId="77777777" w:rsidR="001C08A5" w:rsidRDefault="001C08A5">
            <w:pPr>
              <w:numPr>
                <w:ilvl w:val="0"/>
                <w:numId w:val="102"/>
              </w:numPr>
              <w:rPr>
                <w:i/>
                <w:sz w:val="24"/>
                <w:szCs w:val="24"/>
              </w:rPr>
            </w:pPr>
          </w:p>
        </w:tc>
        <w:tc>
          <w:tcPr>
            <w:tcW w:w="5069" w:type="dxa"/>
          </w:tcPr>
          <w:p w14:paraId="2EDE43F7" w14:textId="77777777" w:rsidR="001C08A5" w:rsidRDefault="00000000">
            <w:pPr>
              <w:rPr>
                <w:i/>
                <w:sz w:val="24"/>
                <w:szCs w:val="24"/>
              </w:rPr>
            </w:pPr>
            <w:r>
              <w:rPr>
                <w:i/>
                <w:sz w:val="24"/>
                <w:szCs w:val="24"/>
                <w:lang w:val="en-US" w:eastAsia="zh-CN"/>
              </w:rPr>
              <w:t>Lemn de foc</w:t>
            </w:r>
          </w:p>
        </w:tc>
        <w:tc>
          <w:tcPr>
            <w:tcW w:w="2701" w:type="dxa"/>
          </w:tcPr>
          <w:p w14:paraId="1FE22643" w14:textId="77777777" w:rsidR="001C08A5" w:rsidRDefault="00000000">
            <w:pPr>
              <w:rPr>
                <w:i/>
                <w:sz w:val="24"/>
                <w:szCs w:val="24"/>
                <w:lang w:val="en-US" w:eastAsia="zh-CN"/>
              </w:rPr>
            </w:pPr>
            <w:r>
              <w:rPr>
                <w:i/>
                <w:sz w:val="24"/>
                <w:szCs w:val="24"/>
                <w:lang w:val="en-US" w:eastAsia="zh-CN"/>
              </w:rPr>
              <w:t>17.95</w:t>
            </w:r>
          </w:p>
        </w:tc>
      </w:tr>
      <w:tr w:rsidR="001C08A5" w14:paraId="4951ED0A" w14:textId="77777777">
        <w:tc>
          <w:tcPr>
            <w:tcW w:w="752" w:type="dxa"/>
          </w:tcPr>
          <w:p w14:paraId="2BA49C64" w14:textId="77777777" w:rsidR="001C08A5" w:rsidRDefault="001C08A5">
            <w:pPr>
              <w:numPr>
                <w:ilvl w:val="0"/>
                <w:numId w:val="102"/>
              </w:numPr>
              <w:rPr>
                <w:i/>
                <w:sz w:val="24"/>
                <w:szCs w:val="24"/>
              </w:rPr>
            </w:pPr>
          </w:p>
        </w:tc>
        <w:tc>
          <w:tcPr>
            <w:tcW w:w="5069" w:type="dxa"/>
          </w:tcPr>
          <w:p w14:paraId="65107BB9" w14:textId="77777777" w:rsidR="001C08A5" w:rsidRDefault="00000000">
            <w:pPr>
              <w:rPr>
                <w:i/>
                <w:sz w:val="24"/>
                <w:szCs w:val="24"/>
              </w:rPr>
            </w:pPr>
            <w:r>
              <w:rPr>
                <w:i/>
                <w:sz w:val="24"/>
                <w:szCs w:val="24"/>
                <w:lang w:val="en-US" w:eastAsia="zh-CN"/>
              </w:rPr>
              <w:t>Lemn de esență moale</w:t>
            </w:r>
          </w:p>
        </w:tc>
        <w:tc>
          <w:tcPr>
            <w:tcW w:w="2701" w:type="dxa"/>
          </w:tcPr>
          <w:p w14:paraId="4467486A" w14:textId="77777777" w:rsidR="001C08A5" w:rsidRDefault="00000000">
            <w:pPr>
              <w:rPr>
                <w:i/>
                <w:sz w:val="24"/>
                <w:szCs w:val="24"/>
                <w:lang w:val="en-US" w:eastAsia="zh-CN"/>
              </w:rPr>
            </w:pPr>
            <w:r>
              <w:rPr>
                <w:i/>
                <w:sz w:val="24"/>
                <w:szCs w:val="24"/>
                <w:lang w:val="en-US" w:eastAsia="zh-CN"/>
              </w:rPr>
              <w:t>13.80</w:t>
            </w:r>
          </w:p>
        </w:tc>
      </w:tr>
      <w:tr w:rsidR="001C08A5" w14:paraId="7F912128" w14:textId="77777777">
        <w:tc>
          <w:tcPr>
            <w:tcW w:w="752" w:type="dxa"/>
          </w:tcPr>
          <w:p w14:paraId="66FF6D00" w14:textId="77777777" w:rsidR="001C08A5" w:rsidRDefault="001C08A5">
            <w:pPr>
              <w:numPr>
                <w:ilvl w:val="0"/>
                <w:numId w:val="102"/>
              </w:numPr>
              <w:rPr>
                <w:i/>
                <w:sz w:val="24"/>
                <w:szCs w:val="24"/>
              </w:rPr>
            </w:pPr>
          </w:p>
        </w:tc>
        <w:tc>
          <w:tcPr>
            <w:tcW w:w="5069" w:type="dxa"/>
          </w:tcPr>
          <w:p w14:paraId="70058711" w14:textId="77777777" w:rsidR="001C08A5" w:rsidRDefault="00000000">
            <w:pPr>
              <w:rPr>
                <w:i/>
                <w:sz w:val="24"/>
                <w:szCs w:val="24"/>
              </w:rPr>
            </w:pPr>
            <w:r>
              <w:rPr>
                <w:i/>
                <w:sz w:val="24"/>
                <w:szCs w:val="24"/>
                <w:lang w:val="en-US" w:eastAsia="zh-CN"/>
              </w:rPr>
              <w:t>Lemn de esență tare</w:t>
            </w:r>
          </w:p>
        </w:tc>
        <w:tc>
          <w:tcPr>
            <w:tcW w:w="2701" w:type="dxa"/>
          </w:tcPr>
          <w:p w14:paraId="1F1B90DD" w14:textId="77777777" w:rsidR="001C08A5" w:rsidRDefault="00000000">
            <w:pPr>
              <w:rPr>
                <w:i/>
                <w:sz w:val="24"/>
                <w:szCs w:val="24"/>
                <w:lang w:val="en-US" w:eastAsia="zh-CN"/>
              </w:rPr>
            </w:pPr>
            <w:r>
              <w:rPr>
                <w:i/>
                <w:sz w:val="24"/>
                <w:szCs w:val="24"/>
                <w:lang w:val="en-US" w:eastAsia="zh-CN"/>
              </w:rPr>
              <w:t>19.25</w:t>
            </w:r>
          </w:p>
        </w:tc>
      </w:tr>
      <w:tr w:rsidR="001C08A5" w14:paraId="33CF4C99" w14:textId="77777777">
        <w:tc>
          <w:tcPr>
            <w:tcW w:w="752" w:type="dxa"/>
          </w:tcPr>
          <w:p w14:paraId="7DB2088B" w14:textId="77777777" w:rsidR="001C08A5" w:rsidRDefault="001C08A5">
            <w:pPr>
              <w:numPr>
                <w:ilvl w:val="0"/>
                <w:numId w:val="102"/>
              </w:numPr>
              <w:rPr>
                <w:i/>
                <w:sz w:val="24"/>
                <w:szCs w:val="24"/>
              </w:rPr>
            </w:pPr>
          </w:p>
        </w:tc>
        <w:tc>
          <w:tcPr>
            <w:tcW w:w="5069" w:type="dxa"/>
          </w:tcPr>
          <w:p w14:paraId="31FEB701" w14:textId="77777777" w:rsidR="001C08A5" w:rsidRDefault="00000000">
            <w:pPr>
              <w:rPr>
                <w:i/>
                <w:sz w:val="24"/>
                <w:szCs w:val="24"/>
              </w:rPr>
            </w:pPr>
            <w:r>
              <w:rPr>
                <w:i/>
                <w:sz w:val="24"/>
                <w:szCs w:val="24"/>
                <w:lang w:val="en-US" w:eastAsia="zh-CN"/>
              </w:rPr>
              <w:t>Lână brută</w:t>
            </w:r>
          </w:p>
        </w:tc>
        <w:tc>
          <w:tcPr>
            <w:tcW w:w="2701" w:type="dxa"/>
          </w:tcPr>
          <w:p w14:paraId="13BF7A9B" w14:textId="77777777" w:rsidR="001C08A5" w:rsidRDefault="00000000">
            <w:pPr>
              <w:rPr>
                <w:i/>
                <w:sz w:val="24"/>
                <w:szCs w:val="24"/>
                <w:lang w:val="en-US" w:eastAsia="zh-CN"/>
              </w:rPr>
            </w:pPr>
            <w:r>
              <w:rPr>
                <w:i/>
                <w:sz w:val="24"/>
                <w:szCs w:val="24"/>
                <w:lang w:val="en-US" w:eastAsia="zh-CN"/>
              </w:rPr>
              <w:t>22.85</w:t>
            </w:r>
          </w:p>
        </w:tc>
      </w:tr>
      <w:tr w:rsidR="001C08A5" w14:paraId="72411CE4" w14:textId="77777777">
        <w:tc>
          <w:tcPr>
            <w:tcW w:w="752" w:type="dxa"/>
          </w:tcPr>
          <w:p w14:paraId="32BA5D94" w14:textId="77777777" w:rsidR="001C08A5" w:rsidRDefault="001C08A5">
            <w:pPr>
              <w:numPr>
                <w:ilvl w:val="0"/>
                <w:numId w:val="102"/>
              </w:numPr>
              <w:rPr>
                <w:i/>
                <w:sz w:val="24"/>
                <w:szCs w:val="24"/>
              </w:rPr>
            </w:pPr>
          </w:p>
        </w:tc>
        <w:tc>
          <w:tcPr>
            <w:tcW w:w="5069" w:type="dxa"/>
          </w:tcPr>
          <w:p w14:paraId="32A4C1FF" w14:textId="77777777" w:rsidR="001C08A5" w:rsidRDefault="00000000">
            <w:pPr>
              <w:rPr>
                <w:i/>
                <w:sz w:val="24"/>
                <w:szCs w:val="24"/>
              </w:rPr>
            </w:pPr>
            <w:r>
              <w:rPr>
                <w:i/>
                <w:sz w:val="24"/>
                <w:szCs w:val="24"/>
                <w:lang w:val="en-US" w:eastAsia="zh-CN"/>
              </w:rPr>
              <w:t>Lână curățată</w:t>
            </w:r>
          </w:p>
        </w:tc>
        <w:tc>
          <w:tcPr>
            <w:tcW w:w="2701" w:type="dxa"/>
          </w:tcPr>
          <w:p w14:paraId="75B31532" w14:textId="77777777" w:rsidR="001C08A5" w:rsidRDefault="00000000">
            <w:pPr>
              <w:rPr>
                <w:i/>
                <w:sz w:val="24"/>
                <w:szCs w:val="24"/>
                <w:lang w:val="en-US" w:eastAsia="zh-CN"/>
              </w:rPr>
            </w:pPr>
            <w:r>
              <w:rPr>
                <w:i/>
                <w:sz w:val="24"/>
                <w:szCs w:val="24"/>
                <w:lang w:val="en-US" w:eastAsia="zh-CN"/>
              </w:rPr>
              <w:t>20.80</w:t>
            </w:r>
          </w:p>
        </w:tc>
      </w:tr>
      <w:tr w:rsidR="001C08A5" w14:paraId="20010390" w14:textId="77777777">
        <w:tc>
          <w:tcPr>
            <w:tcW w:w="752" w:type="dxa"/>
          </w:tcPr>
          <w:p w14:paraId="46FE4F3D" w14:textId="77777777" w:rsidR="001C08A5" w:rsidRDefault="001C08A5">
            <w:pPr>
              <w:numPr>
                <w:ilvl w:val="0"/>
                <w:numId w:val="102"/>
              </w:numPr>
              <w:rPr>
                <w:i/>
                <w:sz w:val="24"/>
                <w:szCs w:val="24"/>
              </w:rPr>
            </w:pPr>
          </w:p>
        </w:tc>
        <w:tc>
          <w:tcPr>
            <w:tcW w:w="5069" w:type="dxa"/>
          </w:tcPr>
          <w:p w14:paraId="2532AD1B" w14:textId="77777777" w:rsidR="001C08A5" w:rsidRDefault="00000000">
            <w:pPr>
              <w:rPr>
                <w:i/>
                <w:sz w:val="24"/>
                <w:szCs w:val="24"/>
              </w:rPr>
            </w:pPr>
            <w:r>
              <w:rPr>
                <w:i/>
                <w:sz w:val="24"/>
                <w:szCs w:val="24"/>
                <w:lang w:val="en-US" w:eastAsia="zh-CN"/>
              </w:rPr>
              <w:t>Lână fibre</w:t>
            </w:r>
          </w:p>
        </w:tc>
        <w:tc>
          <w:tcPr>
            <w:tcW w:w="2701" w:type="dxa"/>
          </w:tcPr>
          <w:p w14:paraId="2427A566" w14:textId="77777777" w:rsidR="001C08A5" w:rsidRDefault="00000000">
            <w:pPr>
              <w:rPr>
                <w:i/>
                <w:sz w:val="24"/>
                <w:szCs w:val="24"/>
                <w:lang w:val="en-US" w:eastAsia="zh-CN"/>
              </w:rPr>
            </w:pPr>
            <w:r>
              <w:rPr>
                <w:i/>
                <w:sz w:val="24"/>
                <w:szCs w:val="24"/>
                <w:lang w:val="en-US" w:eastAsia="zh-CN"/>
              </w:rPr>
              <w:t>23.05</w:t>
            </w:r>
          </w:p>
        </w:tc>
      </w:tr>
      <w:tr w:rsidR="001C08A5" w14:paraId="725F4936" w14:textId="77777777">
        <w:tc>
          <w:tcPr>
            <w:tcW w:w="752" w:type="dxa"/>
          </w:tcPr>
          <w:p w14:paraId="61F2660E" w14:textId="77777777" w:rsidR="001C08A5" w:rsidRDefault="001C08A5">
            <w:pPr>
              <w:numPr>
                <w:ilvl w:val="0"/>
                <w:numId w:val="102"/>
              </w:numPr>
              <w:rPr>
                <w:i/>
                <w:sz w:val="24"/>
                <w:szCs w:val="24"/>
              </w:rPr>
            </w:pPr>
          </w:p>
        </w:tc>
        <w:tc>
          <w:tcPr>
            <w:tcW w:w="5069" w:type="dxa"/>
          </w:tcPr>
          <w:p w14:paraId="2B421083" w14:textId="77777777" w:rsidR="001C08A5" w:rsidRDefault="00000000">
            <w:pPr>
              <w:rPr>
                <w:i/>
                <w:sz w:val="24"/>
                <w:szCs w:val="24"/>
              </w:rPr>
            </w:pPr>
            <w:r>
              <w:rPr>
                <w:i/>
                <w:sz w:val="24"/>
                <w:szCs w:val="24"/>
                <w:lang w:val="en-US" w:eastAsia="zh-CN"/>
              </w:rPr>
              <w:t>Linoleum</w:t>
            </w:r>
          </w:p>
        </w:tc>
        <w:tc>
          <w:tcPr>
            <w:tcW w:w="2701" w:type="dxa"/>
          </w:tcPr>
          <w:p w14:paraId="20803ADF" w14:textId="77777777" w:rsidR="001C08A5" w:rsidRDefault="00000000">
            <w:pPr>
              <w:rPr>
                <w:i/>
                <w:sz w:val="24"/>
                <w:szCs w:val="24"/>
                <w:lang w:val="en-US" w:eastAsia="zh-CN"/>
              </w:rPr>
            </w:pPr>
            <w:r>
              <w:rPr>
                <w:i/>
                <w:sz w:val="24"/>
                <w:szCs w:val="24"/>
                <w:lang w:val="en-US" w:eastAsia="zh-CN"/>
              </w:rPr>
              <w:t>20.95</w:t>
            </w:r>
          </w:p>
        </w:tc>
      </w:tr>
      <w:tr w:rsidR="001C08A5" w14:paraId="5E02CF84" w14:textId="77777777">
        <w:tc>
          <w:tcPr>
            <w:tcW w:w="752" w:type="dxa"/>
          </w:tcPr>
          <w:p w14:paraId="4C889267" w14:textId="77777777" w:rsidR="001C08A5" w:rsidRDefault="001C08A5">
            <w:pPr>
              <w:numPr>
                <w:ilvl w:val="0"/>
                <w:numId w:val="102"/>
              </w:numPr>
              <w:rPr>
                <w:i/>
                <w:sz w:val="24"/>
                <w:szCs w:val="24"/>
              </w:rPr>
            </w:pPr>
          </w:p>
        </w:tc>
        <w:tc>
          <w:tcPr>
            <w:tcW w:w="5069" w:type="dxa"/>
          </w:tcPr>
          <w:p w14:paraId="2E6567F0" w14:textId="77777777" w:rsidR="001C08A5" w:rsidRDefault="00000000">
            <w:pPr>
              <w:rPr>
                <w:i/>
                <w:sz w:val="24"/>
                <w:szCs w:val="24"/>
              </w:rPr>
            </w:pPr>
            <w:r>
              <w:rPr>
                <w:i/>
                <w:sz w:val="24"/>
                <w:szCs w:val="24"/>
                <w:lang w:val="en-US" w:eastAsia="zh-CN"/>
              </w:rPr>
              <w:t>Lignit</w:t>
            </w:r>
          </w:p>
        </w:tc>
        <w:tc>
          <w:tcPr>
            <w:tcW w:w="2701" w:type="dxa"/>
          </w:tcPr>
          <w:p w14:paraId="035138F5" w14:textId="77777777" w:rsidR="001C08A5" w:rsidRDefault="00000000">
            <w:pPr>
              <w:rPr>
                <w:i/>
                <w:sz w:val="24"/>
                <w:szCs w:val="24"/>
              </w:rPr>
            </w:pPr>
            <w:r>
              <w:rPr>
                <w:i/>
                <w:sz w:val="24"/>
                <w:szCs w:val="24"/>
                <w:lang w:eastAsia="zh-CN"/>
              </w:rPr>
              <w:t xml:space="preserve">16.75 ... </w:t>
            </w:r>
            <w:r>
              <w:rPr>
                <w:i/>
                <w:sz w:val="24"/>
                <w:szCs w:val="24"/>
                <w:lang w:val="en-US" w:eastAsia="zh-CN"/>
              </w:rPr>
              <w:t>23.45</w:t>
            </w:r>
          </w:p>
        </w:tc>
      </w:tr>
      <w:tr w:rsidR="001C08A5" w14:paraId="5177F0C1" w14:textId="77777777">
        <w:tc>
          <w:tcPr>
            <w:tcW w:w="752" w:type="dxa"/>
          </w:tcPr>
          <w:p w14:paraId="2CDFE3DB" w14:textId="77777777" w:rsidR="001C08A5" w:rsidRDefault="001C08A5">
            <w:pPr>
              <w:numPr>
                <w:ilvl w:val="0"/>
                <w:numId w:val="102"/>
              </w:numPr>
              <w:rPr>
                <w:i/>
                <w:sz w:val="24"/>
                <w:szCs w:val="24"/>
              </w:rPr>
            </w:pPr>
          </w:p>
        </w:tc>
        <w:tc>
          <w:tcPr>
            <w:tcW w:w="5069" w:type="dxa"/>
          </w:tcPr>
          <w:p w14:paraId="24351E6E" w14:textId="77777777" w:rsidR="001C08A5" w:rsidRDefault="00000000">
            <w:pPr>
              <w:rPr>
                <w:i/>
                <w:sz w:val="24"/>
                <w:szCs w:val="24"/>
              </w:rPr>
            </w:pPr>
            <w:r>
              <w:rPr>
                <w:i/>
                <w:sz w:val="24"/>
                <w:szCs w:val="24"/>
                <w:lang w:val="en-US" w:eastAsia="zh-CN"/>
              </w:rPr>
              <w:t>Litieră de turbă</w:t>
            </w:r>
          </w:p>
        </w:tc>
        <w:tc>
          <w:tcPr>
            <w:tcW w:w="2701" w:type="dxa"/>
          </w:tcPr>
          <w:p w14:paraId="24DD1B95" w14:textId="77777777" w:rsidR="001C08A5" w:rsidRDefault="00000000">
            <w:pPr>
              <w:rPr>
                <w:i/>
                <w:sz w:val="24"/>
                <w:szCs w:val="24"/>
                <w:lang w:val="en-US" w:eastAsia="zh-CN"/>
              </w:rPr>
            </w:pPr>
            <w:r>
              <w:rPr>
                <w:i/>
                <w:sz w:val="24"/>
                <w:szCs w:val="24"/>
                <w:lang w:val="en-US" w:eastAsia="zh-CN"/>
              </w:rPr>
              <w:t>14.65</w:t>
            </w:r>
          </w:p>
        </w:tc>
      </w:tr>
      <w:tr w:rsidR="001C08A5" w14:paraId="0CA8877D" w14:textId="77777777">
        <w:tc>
          <w:tcPr>
            <w:tcW w:w="752" w:type="dxa"/>
          </w:tcPr>
          <w:p w14:paraId="015BFCDA" w14:textId="77777777" w:rsidR="001C08A5" w:rsidRDefault="001C08A5">
            <w:pPr>
              <w:numPr>
                <w:ilvl w:val="0"/>
                <w:numId w:val="102"/>
              </w:numPr>
              <w:rPr>
                <w:i/>
                <w:sz w:val="24"/>
                <w:szCs w:val="24"/>
              </w:rPr>
            </w:pPr>
          </w:p>
        </w:tc>
        <w:tc>
          <w:tcPr>
            <w:tcW w:w="5069" w:type="dxa"/>
          </w:tcPr>
          <w:p w14:paraId="40FFD76A" w14:textId="77777777" w:rsidR="001C08A5" w:rsidRDefault="00000000">
            <w:pPr>
              <w:rPr>
                <w:i/>
                <w:sz w:val="24"/>
                <w:szCs w:val="24"/>
              </w:rPr>
            </w:pPr>
            <w:r>
              <w:rPr>
                <w:i/>
                <w:sz w:val="24"/>
                <w:szCs w:val="24"/>
                <w:lang w:val="en-US" w:eastAsia="zh-CN"/>
              </w:rPr>
              <w:t>Magneziu</w:t>
            </w:r>
          </w:p>
        </w:tc>
        <w:tc>
          <w:tcPr>
            <w:tcW w:w="2701" w:type="dxa"/>
          </w:tcPr>
          <w:p w14:paraId="31F7DB65" w14:textId="77777777" w:rsidR="001C08A5" w:rsidRDefault="00000000">
            <w:pPr>
              <w:rPr>
                <w:i/>
                <w:sz w:val="24"/>
                <w:szCs w:val="24"/>
                <w:lang w:val="en-US" w:eastAsia="zh-CN"/>
              </w:rPr>
            </w:pPr>
            <w:r>
              <w:rPr>
                <w:i/>
                <w:sz w:val="24"/>
                <w:szCs w:val="24"/>
                <w:lang w:val="en-US" w:eastAsia="zh-CN"/>
              </w:rPr>
              <w:t>25.40</w:t>
            </w:r>
          </w:p>
        </w:tc>
      </w:tr>
      <w:tr w:rsidR="001C08A5" w14:paraId="552482CD" w14:textId="77777777">
        <w:tc>
          <w:tcPr>
            <w:tcW w:w="752" w:type="dxa"/>
          </w:tcPr>
          <w:p w14:paraId="38627910" w14:textId="77777777" w:rsidR="001C08A5" w:rsidRDefault="001C08A5">
            <w:pPr>
              <w:numPr>
                <w:ilvl w:val="0"/>
                <w:numId w:val="102"/>
              </w:numPr>
              <w:rPr>
                <w:i/>
                <w:sz w:val="24"/>
                <w:szCs w:val="24"/>
              </w:rPr>
            </w:pPr>
          </w:p>
        </w:tc>
        <w:tc>
          <w:tcPr>
            <w:tcW w:w="5069" w:type="dxa"/>
          </w:tcPr>
          <w:p w14:paraId="34CB2C8F" w14:textId="77777777" w:rsidR="001C08A5" w:rsidRDefault="00000000">
            <w:pPr>
              <w:rPr>
                <w:i/>
                <w:sz w:val="24"/>
                <w:szCs w:val="24"/>
              </w:rPr>
            </w:pPr>
            <w:r>
              <w:rPr>
                <w:i/>
                <w:sz w:val="24"/>
                <w:szCs w:val="24"/>
                <w:lang w:val="en-US" w:eastAsia="zh-CN"/>
              </w:rPr>
              <w:t>Mangal</w:t>
            </w:r>
          </w:p>
        </w:tc>
        <w:tc>
          <w:tcPr>
            <w:tcW w:w="2701" w:type="dxa"/>
          </w:tcPr>
          <w:p w14:paraId="71794A4E" w14:textId="77777777" w:rsidR="001C08A5" w:rsidRDefault="00000000">
            <w:pPr>
              <w:rPr>
                <w:i/>
                <w:sz w:val="24"/>
                <w:szCs w:val="24"/>
                <w:lang w:val="en-US" w:eastAsia="zh-CN"/>
              </w:rPr>
            </w:pPr>
            <w:r>
              <w:rPr>
                <w:i/>
                <w:sz w:val="24"/>
                <w:szCs w:val="24"/>
                <w:lang w:val="en-US" w:eastAsia="zh-CN"/>
              </w:rPr>
              <w:t>33.80</w:t>
            </w:r>
          </w:p>
        </w:tc>
      </w:tr>
      <w:tr w:rsidR="001C08A5" w14:paraId="73C11C13" w14:textId="77777777">
        <w:tc>
          <w:tcPr>
            <w:tcW w:w="752" w:type="dxa"/>
          </w:tcPr>
          <w:p w14:paraId="74BAE509" w14:textId="77777777" w:rsidR="001C08A5" w:rsidRDefault="001C08A5">
            <w:pPr>
              <w:numPr>
                <w:ilvl w:val="0"/>
                <w:numId w:val="102"/>
              </w:numPr>
              <w:rPr>
                <w:i/>
                <w:sz w:val="24"/>
                <w:szCs w:val="24"/>
              </w:rPr>
            </w:pPr>
          </w:p>
        </w:tc>
        <w:tc>
          <w:tcPr>
            <w:tcW w:w="5069" w:type="dxa"/>
          </w:tcPr>
          <w:p w14:paraId="40F1800F" w14:textId="77777777" w:rsidR="001C08A5" w:rsidRDefault="00000000">
            <w:pPr>
              <w:rPr>
                <w:i/>
                <w:sz w:val="24"/>
                <w:szCs w:val="24"/>
              </w:rPr>
            </w:pPr>
            <w:r>
              <w:rPr>
                <w:i/>
                <w:sz w:val="24"/>
                <w:szCs w:val="24"/>
                <w:lang w:val="en-US" w:eastAsia="zh-CN"/>
              </w:rPr>
              <w:t>Margarină</w:t>
            </w:r>
          </w:p>
        </w:tc>
        <w:tc>
          <w:tcPr>
            <w:tcW w:w="2701" w:type="dxa"/>
          </w:tcPr>
          <w:p w14:paraId="0BCA879C" w14:textId="77777777" w:rsidR="001C08A5" w:rsidRDefault="00000000">
            <w:pPr>
              <w:rPr>
                <w:i/>
                <w:sz w:val="24"/>
                <w:szCs w:val="24"/>
                <w:lang w:val="en-US" w:eastAsia="zh-CN"/>
              </w:rPr>
            </w:pPr>
            <w:r>
              <w:rPr>
                <w:i/>
                <w:sz w:val="24"/>
                <w:szCs w:val="24"/>
                <w:lang w:val="en-US" w:eastAsia="zh-CN"/>
              </w:rPr>
              <w:t>31.20</w:t>
            </w:r>
          </w:p>
        </w:tc>
      </w:tr>
      <w:tr w:rsidR="001C08A5" w14:paraId="3ACAF27C" w14:textId="77777777">
        <w:tc>
          <w:tcPr>
            <w:tcW w:w="752" w:type="dxa"/>
          </w:tcPr>
          <w:p w14:paraId="525EEBC7" w14:textId="77777777" w:rsidR="001C08A5" w:rsidRDefault="001C08A5">
            <w:pPr>
              <w:numPr>
                <w:ilvl w:val="0"/>
                <w:numId w:val="102"/>
              </w:numPr>
              <w:rPr>
                <w:i/>
                <w:sz w:val="24"/>
                <w:szCs w:val="24"/>
              </w:rPr>
            </w:pPr>
          </w:p>
        </w:tc>
        <w:tc>
          <w:tcPr>
            <w:tcW w:w="5069" w:type="dxa"/>
          </w:tcPr>
          <w:p w14:paraId="1E881A45" w14:textId="77777777" w:rsidR="001C08A5" w:rsidRDefault="00000000">
            <w:pPr>
              <w:rPr>
                <w:i/>
                <w:sz w:val="24"/>
                <w:szCs w:val="24"/>
              </w:rPr>
            </w:pPr>
            <w:r>
              <w:rPr>
                <w:i/>
                <w:sz w:val="24"/>
                <w:szCs w:val="24"/>
                <w:lang w:val="en-US" w:eastAsia="zh-CN"/>
              </w:rPr>
              <w:t>Mătase artificială</w:t>
            </w:r>
          </w:p>
        </w:tc>
        <w:tc>
          <w:tcPr>
            <w:tcW w:w="2701" w:type="dxa"/>
          </w:tcPr>
          <w:p w14:paraId="66648EE6" w14:textId="77777777" w:rsidR="001C08A5" w:rsidRDefault="00000000">
            <w:pPr>
              <w:rPr>
                <w:i/>
                <w:sz w:val="24"/>
                <w:szCs w:val="24"/>
                <w:lang w:val="en-US" w:eastAsia="zh-CN"/>
              </w:rPr>
            </w:pPr>
            <w:r>
              <w:rPr>
                <w:i/>
                <w:sz w:val="24"/>
                <w:szCs w:val="24"/>
                <w:lang w:val="en-US" w:eastAsia="zh-CN"/>
              </w:rPr>
              <w:t>24.30</w:t>
            </w:r>
          </w:p>
        </w:tc>
      </w:tr>
      <w:tr w:rsidR="001C08A5" w14:paraId="2F315DC4" w14:textId="77777777">
        <w:tc>
          <w:tcPr>
            <w:tcW w:w="752" w:type="dxa"/>
          </w:tcPr>
          <w:p w14:paraId="16C54C3A" w14:textId="77777777" w:rsidR="001C08A5" w:rsidRDefault="001C08A5">
            <w:pPr>
              <w:numPr>
                <w:ilvl w:val="0"/>
                <w:numId w:val="102"/>
              </w:numPr>
              <w:rPr>
                <w:i/>
                <w:sz w:val="24"/>
                <w:szCs w:val="24"/>
              </w:rPr>
            </w:pPr>
          </w:p>
        </w:tc>
        <w:tc>
          <w:tcPr>
            <w:tcW w:w="5069" w:type="dxa"/>
          </w:tcPr>
          <w:p w14:paraId="2A0A03FF" w14:textId="77777777" w:rsidR="001C08A5" w:rsidRDefault="00000000">
            <w:pPr>
              <w:rPr>
                <w:i/>
                <w:sz w:val="24"/>
                <w:szCs w:val="24"/>
              </w:rPr>
            </w:pPr>
            <w:r>
              <w:rPr>
                <w:i/>
                <w:sz w:val="24"/>
                <w:szCs w:val="24"/>
                <w:lang w:val="en-US" w:eastAsia="zh-CN"/>
              </w:rPr>
              <w:t>Mătase naturală</w:t>
            </w:r>
          </w:p>
        </w:tc>
        <w:tc>
          <w:tcPr>
            <w:tcW w:w="2701" w:type="dxa"/>
          </w:tcPr>
          <w:p w14:paraId="5D480695" w14:textId="77777777" w:rsidR="001C08A5" w:rsidRDefault="00000000">
            <w:pPr>
              <w:rPr>
                <w:i/>
                <w:sz w:val="24"/>
                <w:szCs w:val="24"/>
                <w:lang w:val="en-US" w:eastAsia="zh-CN"/>
              </w:rPr>
            </w:pPr>
            <w:r>
              <w:rPr>
                <w:i/>
                <w:sz w:val="24"/>
                <w:szCs w:val="24"/>
                <w:lang w:val="en-US" w:eastAsia="zh-CN"/>
              </w:rPr>
              <w:t>21.45</w:t>
            </w:r>
          </w:p>
        </w:tc>
      </w:tr>
      <w:tr w:rsidR="001C08A5" w14:paraId="5DB55D05" w14:textId="77777777">
        <w:tc>
          <w:tcPr>
            <w:tcW w:w="752" w:type="dxa"/>
          </w:tcPr>
          <w:p w14:paraId="13E707AA" w14:textId="77777777" w:rsidR="001C08A5" w:rsidRDefault="001C08A5">
            <w:pPr>
              <w:numPr>
                <w:ilvl w:val="0"/>
                <w:numId w:val="102"/>
              </w:numPr>
              <w:rPr>
                <w:i/>
                <w:sz w:val="24"/>
                <w:szCs w:val="24"/>
              </w:rPr>
            </w:pPr>
          </w:p>
        </w:tc>
        <w:tc>
          <w:tcPr>
            <w:tcW w:w="5069" w:type="dxa"/>
          </w:tcPr>
          <w:p w14:paraId="211DC7F9" w14:textId="77777777" w:rsidR="001C08A5" w:rsidRDefault="00000000">
            <w:pPr>
              <w:rPr>
                <w:i/>
                <w:sz w:val="24"/>
                <w:szCs w:val="24"/>
              </w:rPr>
            </w:pPr>
            <w:r>
              <w:rPr>
                <w:i/>
                <w:sz w:val="24"/>
                <w:szCs w:val="24"/>
                <w:lang w:val="en-US" w:eastAsia="zh-CN"/>
              </w:rPr>
              <w:t>Melasă</w:t>
            </w:r>
          </w:p>
        </w:tc>
        <w:tc>
          <w:tcPr>
            <w:tcW w:w="2701" w:type="dxa"/>
          </w:tcPr>
          <w:p w14:paraId="0E8D4C50" w14:textId="77777777" w:rsidR="001C08A5" w:rsidRDefault="00000000">
            <w:pPr>
              <w:rPr>
                <w:i/>
                <w:sz w:val="24"/>
                <w:szCs w:val="24"/>
                <w:lang w:val="en-US" w:eastAsia="zh-CN"/>
              </w:rPr>
            </w:pPr>
            <w:r>
              <w:rPr>
                <w:i/>
                <w:sz w:val="24"/>
                <w:szCs w:val="24"/>
                <w:lang w:val="en-US" w:eastAsia="zh-CN"/>
              </w:rPr>
              <w:t>12.15</w:t>
            </w:r>
          </w:p>
        </w:tc>
      </w:tr>
      <w:tr w:rsidR="001C08A5" w14:paraId="0B9C668B" w14:textId="77777777">
        <w:tc>
          <w:tcPr>
            <w:tcW w:w="752" w:type="dxa"/>
          </w:tcPr>
          <w:p w14:paraId="11BE7F5B" w14:textId="77777777" w:rsidR="001C08A5" w:rsidRDefault="001C08A5">
            <w:pPr>
              <w:numPr>
                <w:ilvl w:val="0"/>
                <w:numId w:val="102"/>
              </w:numPr>
              <w:rPr>
                <w:i/>
                <w:sz w:val="24"/>
                <w:szCs w:val="24"/>
              </w:rPr>
            </w:pPr>
          </w:p>
        </w:tc>
        <w:tc>
          <w:tcPr>
            <w:tcW w:w="5069" w:type="dxa"/>
          </w:tcPr>
          <w:p w14:paraId="5428872C" w14:textId="77777777" w:rsidR="001C08A5" w:rsidRDefault="00000000">
            <w:pPr>
              <w:rPr>
                <w:i/>
                <w:sz w:val="24"/>
                <w:szCs w:val="24"/>
              </w:rPr>
            </w:pPr>
            <w:r>
              <w:rPr>
                <w:i/>
                <w:sz w:val="24"/>
                <w:szCs w:val="24"/>
                <w:lang w:val="en-US" w:eastAsia="zh-CN"/>
              </w:rPr>
              <w:t>Miere</w:t>
            </w:r>
          </w:p>
        </w:tc>
        <w:tc>
          <w:tcPr>
            <w:tcW w:w="2701" w:type="dxa"/>
          </w:tcPr>
          <w:p w14:paraId="31D676E8" w14:textId="77777777" w:rsidR="001C08A5" w:rsidRDefault="00000000">
            <w:pPr>
              <w:rPr>
                <w:i/>
                <w:sz w:val="24"/>
                <w:szCs w:val="24"/>
                <w:lang w:val="en-US" w:eastAsia="zh-CN"/>
              </w:rPr>
            </w:pPr>
            <w:r>
              <w:rPr>
                <w:i/>
                <w:sz w:val="24"/>
                <w:szCs w:val="24"/>
                <w:lang w:val="en-US" w:eastAsia="zh-CN"/>
              </w:rPr>
              <w:t>13.75</w:t>
            </w:r>
          </w:p>
        </w:tc>
      </w:tr>
      <w:tr w:rsidR="001C08A5" w14:paraId="1773D2BD" w14:textId="77777777">
        <w:tc>
          <w:tcPr>
            <w:tcW w:w="752" w:type="dxa"/>
          </w:tcPr>
          <w:p w14:paraId="0A16A82F" w14:textId="77777777" w:rsidR="001C08A5" w:rsidRDefault="001C08A5">
            <w:pPr>
              <w:numPr>
                <w:ilvl w:val="0"/>
                <w:numId w:val="102"/>
              </w:numPr>
              <w:rPr>
                <w:i/>
                <w:sz w:val="24"/>
                <w:szCs w:val="24"/>
              </w:rPr>
            </w:pPr>
          </w:p>
        </w:tc>
        <w:tc>
          <w:tcPr>
            <w:tcW w:w="5069" w:type="dxa"/>
          </w:tcPr>
          <w:p w14:paraId="223EC3B4" w14:textId="77777777" w:rsidR="001C08A5" w:rsidRDefault="00000000">
            <w:pPr>
              <w:rPr>
                <w:i/>
                <w:sz w:val="24"/>
                <w:szCs w:val="24"/>
              </w:rPr>
            </w:pPr>
            <w:r>
              <w:rPr>
                <w:i/>
                <w:sz w:val="24"/>
                <w:szCs w:val="24"/>
                <w:lang w:val="en-US" w:eastAsia="zh-CN"/>
              </w:rPr>
              <w:t>Migdale</w:t>
            </w:r>
          </w:p>
        </w:tc>
        <w:tc>
          <w:tcPr>
            <w:tcW w:w="2701" w:type="dxa"/>
          </w:tcPr>
          <w:p w14:paraId="5CE6A5CF" w14:textId="77777777" w:rsidR="001C08A5" w:rsidRDefault="00000000">
            <w:pPr>
              <w:rPr>
                <w:i/>
                <w:sz w:val="24"/>
                <w:szCs w:val="24"/>
                <w:lang w:val="en-US" w:eastAsia="zh-CN"/>
              </w:rPr>
            </w:pPr>
            <w:r>
              <w:rPr>
                <w:i/>
                <w:sz w:val="24"/>
                <w:szCs w:val="24"/>
                <w:lang w:val="en-US" w:eastAsia="zh-CN"/>
              </w:rPr>
              <w:t>27.05</w:t>
            </w:r>
          </w:p>
        </w:tc>
      </w:tr>
      <w:tr w:rsidR="001C08A5" w14:paraId="43737625" w14:textId="77777777">
        <w:tc>
          <w:tcPr>
            <w:tcW w:w="752" w:type="dxa"/>
          </w:tcPr>
          <w:p w14:paraId="51685CA6" w14:textId="77777777" w:rsidR="001C08A5" w:rsidRDefault="001C08A5">
            <w:pPr>
              <w:numPr>
                <w:ilvl w:val="0"/>
                <w:numId w:val="102"/>
              </w:numPr>
              <w:rPr>
                <w:i/>
                <w:sz w:val="24"/>
                <w:szCs w:val="24"/>
              </w:rPr>
            </w:pPr>
          </w:p>
        </w:tc>
        <w:tc>
          <w:tcPr>
            <w:tcW w:w="5069" w:type="dxa"/>
          </w:tcPr>
          <w:p w14:paraId="2BB72ACA" w14:textId="77777777" w:rsidR="001C08A5" w:rsidRDefault="00000000">
            <w:pPr>
              <w:rPr>
                <w:i/>
                <w:sz w:val="24"/>
                <w:szCs w:val="24"/>
              </w:rPr>
            </w:pPr>
            <w:r>
              <w:rPr>
                <w:i/>
                <w:sz w:val="24"/>
                <w:szCs w:val="24"/>
                <w:lang w:val="en-US" w:eastAsia="zh-CN"/>
              </w:rPr>
              <w:t>Motorină</w:t>
            </w:r>
          </w:p>
        </w:tc>
        <w:tc>
          <w:tcPr>
            <w:tcW w:w="2701" w:type="dxa"/>
          </w:tcPr>
          <w:p w14:paraId="2CF16319" w14:textId="77777777" w:rsidR="001C08A5" w:rsidRDefault="00000000">
            <w:pPr>
              <w:rPr>
                <w:i/>
                <w:sz w:val="24"/>
                <w:szCs w:val="24"/>
                <w:lang w:val="en-US" w:eastAsia="zh-CN"/>
              </w:rPr>
            </w:pPr>
            <w:r>
              <w:rPr>
                <w:i/>
                <w:sz w:val="24"/>
                <w:szCs w:val="24"/>
                <w:lang w:eastAsia="zh-CN"/>
              </w:rPr>
              <w:t xml:space="preserve">40.80 ... </w:t>
            </w:r>
            <w:r>
              <w:rPr>
                <w:i/>
                <w:sz w:val="24"/>
                <w:szCs w:val="24"/>
                <w:lang w:val="en-US" w:eastAsia="zh-CN"/>
              </w:rPr>
              <w:t>42.50</w:t>
            </w:r>
          </w:p>
        </w:tc>
      </w:tr>
      <w:tr w:rsidR="001C08A5" w14:paraId="5BF35B6F" w14:textId="77777777">
        <w:tc>
          <w:tcPr>
            <w:tcW w:w="752" w:type="dxa"/>
          </w:tcPr>
          <w:p w14:paraId="3F884EE5" w14:textId="77777777" w:rsidR="001C08A5" w:rsidRDefault="001C08A5">
            <w:pPr>
              <w:numPr>
                <w:ilvl w:val="0"/>
                <w:numId w:val="102"/>
              </w:numPr>
              <w:rPr>
                <w:i/>
                <w:sz w:val="24"/>
                <w:szCs w:val="24"/>
              </w:rPr>
            </w:pPr>
          </w:p>
        </w:tc>
        <w:tc>
          <w:tcPr>
            <w:tcW w:w="5069" w:type="dxa"/>
          </w:tcPr>
          <w:p w14:paraId="6B477EC8" w14:textId="77777777" w:rsidR="001C08A5" w:rsidRDefault="00000000">
            <w:pPr>
              <w:rPr>
                <w:i/>
                <w:sz w:val="24"/>
                <w:szCs w:val="24"/>
              </w:rPr>
            </w:pPr>
            <w:r>
              <w:rPr>
                <w:i/>
                <w:sz w:val="24"/>
                <w:szCs w:val="24"/>
                <w:lang w:val="en-US" w:eastAsia="zh-CN"/>
              </w:rPr>
              <w:t>Naftalină</w:t>
            </w:r>
          </w:p>
        </w:tc>
        <w:tc>
          <w:tcPr>
            <w:tcW w:w="2701" w:type="dxa"/>
          </w:tcPr>
          <w:p w14:paraId="30D7A576" w14:textId="77777777" w:rsidR="001C08A5" w:rsidRDefault="00000000">
            <w:pPr>
              <w:rPr>
                <w:i/>
                <w:sz w:val="24"/>
                <w:szCs w:val="24"/>
                <w:lang w:val="en-US" w:eastAsia="zh-CN"/>
              </w:rPr>
            </w:pPr>
            <w:r>
              <w:rPr>
                <w:i/>
                <w:sz w:val="24"/>
                <w:szCs w:val="24"/>
                <w:lang w:val="en-US" w:eastAsia="zh-CN"/>
              </w:rPr>
              <w:t>39.35</w:t>
            </w:r>
          </w:p>
        </w:tc>
      </w:tr>
      <w:tr w:rsidR="001C08A5" w14:paraId="3B5E9D65" w14:textId="77777777">
        <w:tc>
          <w:tcPr>
            <w:tcW w:w="752" w:type="dxa"/>
          </w:tcPr>
          <w:p w14:paraId="22079AAD" w14:textId="77777777" w:rsidR="001C08A5" w:rsidRDefault="001C08A5">
            <w:pPr>
              <w:numPr>
                <w:ilvl w:val="0"/>
                <w:numId w:val="102"/>
              </w:numPr>
              <w:rPr>
                <w:i/>
                <w:sz w:val="24"/>
                <w:szCs w:val="24"/>
              </w:rPr>
            </w:pPr>
          </w:p>
        </w:tc>
        <w:tc>
          <w:tcPr>
            <w:tcW w:w="5069" w:type="dxa"/>
          </w:tcPr>
          <w:p w14:paraId="18C5A129" w14:textId="77777777" w:rsidR="001C08A5" w:rsidRDefault="00000000">
            <w:pPr>
              <w:rPr>
                <w:i/>
                <w:sz w:val="24"/>
                <w:szCs w:val="24"/>
              </w:rPr>
            </w:pPr>
            <w:r>
              <w:rPr>
                <w:i/>
                <w:sz w:val="24"/>
                <w:szCs w:val="24"/>
                <w:lang w:val="en-US" w:eastAsia="zh-CN"/>
              </w:rPr>
              <w:t>Nitrobenzen</w:t>
            </w:r>
          </w:p>
        </w:tc>
        <w:tc>
          <w:tcPr>
            <w:tcW w:w="2701" w:type="dxa"/>
          </w:tcPr>
          <w:p w14:paraId="70C47237" w14:textId="77777777" w:rsidR="001C08A5" w:rsidRDefault="00000000">
            <w:pPr>
              <w:rPr>
                <w:i/>
                <w:sz w:val="24"/>
                <w:szCs w:val="24"/>
                <w:lang w:val="en-US" w:eastAsia="zh-CN"/>
              </w:rPr>
            </w:pPr>
            <w:r>
              <w:rPr>
                <w:i/>
                <w:sz w:val="24"/>
                <w:szCs w:val="24"/>
                <w:lang w:val="en-US" w:eastAsia="zh-CN"/>
              </w:rPr>
              <w:t>25.45</w:t>
            </w:r>
          </w:p>
        </w:tc>
      </w:tr>
      <w:tr w:rsidR="001C08A5" w14:paraId="7C79B122" w14:textId="77777777">
        <w:tc>
          <w:tcPr>
            <w:tcW w:w="752" w:type="dxa"/>
          </w:tcPr>
          <w:p w14:paraId="37C8F772" w14:textId="77777777" w:rsidR="001C08A5" w:rsidRDefault="001C08A5">
            <w:pPr>
              <w:numPr>
                <w:ilvl w:val="0"/>
                <w:numId w:val="102"/>
              </w:numPr>
              <w:rPr>
                <w:i/>
                <w:sz w:val="24"/>
                <w:szCs w:val="24"/>
              </w:rPr>
            </w:pPr>
          </w:p>
        </w:tc>
        <w:tc>
          <w:tcPr>
            <w:tcW w:w="5069" w:type="dxa"/>
          </w:tcPr>
          <w:p w14:paraId="33C99C64" w14:textId="77777777" w:rsidR="001C08A5" w:rsidRDefault="00000000">
            <w:pPr>
              <w:rPr>
                <w:i/>
                <w:sz w:val="24"/>
                <w:szCs w:val="24"/>
              </w:rPr>
            </w:pPr>
            <w:r>
              <w:rPr>
                <w:i/>
                <w:sz w:val="24"/>
                <w:szCs w:val="24"/>
                <w:lang w:val="en-US" w:eastAsia="zh-CN"/>
              </w:rPr>
              <w:t>Nitroceluloză</w:t>
            </w:r>
          </w:p>
        </w:tc>
        <w:tc>
          <w:tcPr>
            <w:tcW w:w="2701" w:type="dxa"/>
          </w:tcPr>
          <w:p w14:paraId="58818936" w14:textId="77777777" w:rsidR="001C08A5" w:rsidRDefault="00000000">
            <w:pPr>
              <w:rPr>
                <w:i/>
                <w:sz w:val="24"/>
                <w:szCs w:val="24"/>
                <w:lang w:val="en-US" w:eastAsia="zh-CN"/>
              </w:rPr>
            </w:pPr>
            <w:r>
              <w:rPr>
                <w:i/>
                <w:sz w:val="24"/>
                <w:szCs w:val="24"/>
                <w:lang w:val="en-US" w:eastAsia="zh-CN"/>
              </w:rPr>
              <w:t>10.05</w:t>
            </w:r>
          </w:p>
        </w:tc>
      </w:tr>
      <w:tr w:rsidR="001C08A5" w14:paraId="50E605E9" w14:textId="77777777">
        <w:tc>
          <w:tcPr>
            <w:tcW w:w="752" w:type="dxa"/>
          </w:tcPr>
          <w:p w14:paraId="638D615B" w14:textId="77777777" w:rsidR="001C08A5" w:rsidRDefault="001C08A5">
            <w:pPr>
              <w:numPr>
                <w:ilvl w:val="0"/>
                <w:numId w:val="102"/>
              </w:numPr>
              <w:rPr>
                <w:i/>
                <w:sz w:val="24"/>
                <w:szCs w:val="24"/>
              </w:rPr>
            </w:pPr>
          </w:p>
        </w:tc>
        <w:tc>
          <w:tcPr>
            <w:tcW w:w="5069" w:type="dxa"/>
          </w:tcPr>
          <w:p w14:paraId="41DCD193" w14:textId="77777777" w:rsidR="001C08A5" w:rsidRDefault="00000000">
            <w:pPr>
              <w:rPr>
                <w:i/>
                <w:sz w:val="24"/>
                <w:szCs w:val="24"/>
              </w:rPr>
            </w:pPr>
            <w:r>
              <w:rPr>
                <w:i/>
                <w:sz w:val="24"/>
                <w:szCs w:val="24"/>
                <w:lang w:val="en-US" w:eastAsia="zh-CN"/>
              </w:rPr>
              <w:t>Nitrometan</w:t>
            </w:r>
          </w:p>
        </w:tc>
        <w:tc>
          <w:tcPr>
            <w:tcW w:w="2701" w:type="dxa"/>
          </w:tcPr>
          <w:p w14:paraId="4F60D55C" w14:textId="77777777" w:rsidR="001C08A5" w:rsidRDefault="00000000">
            <w:pPr>
              <w:rPr>
                <w:i/>
                <w:sz w:val="24"/>
                <w:szCs w:val="24"/>
                <w:lang w:val="en-US" w:eastAsia="zh-CN"/>
              </w:rPr>
            </w:pPr>
            <w:r>
              <w:rPr>
                <w:i/>
                <w:sz w:val="24"/>
                <w:szCs w:val="24"/>
                <w:lang w:val="en-US" w:eastAsia="zh-CN"/>
              </w:rPr>
              <w:t>12.20</w:t>
            </w:r>
          </w:p>
        </w:tc>
      </w:tr>
      <w:tr w:rsidR="001C08A5" w14:paraId="3B874084" w14:textId="77777777">
        <w:tc>
          <w:tcPr>
            <w:tcW w:w="752" w:type="dxa"/>
          </w:tcPr>
          <w:p w14:paraId="237D8D2B" w14:textId="77777777" w:rsidR="001C08A5" w:rsidRDefault="001C08A5">
            <w:pPr>
              <w:numPr>
                <w:ilvl w:val="0"/>
                <w:numId w:val="102"/>
              </w:numPr>
              <w:rPr>
                <w:i/>
                <w:sz w:val="24"/>
                <w:szCs w:val="24"/>
              </w:rPr>
            </w:pPr>
          </w:p>
        </w:tc>
        <w:tc>
          <w:tcPr>
            <w:tcW w:w="5069" w:type="dxa"/>
          </w:tcPr>
          <w:p w14:paraId="229D7613" w14:textId="77777777" w:rsidR="001C08A5" w:rsidRDefault="00000000">
            <w:pPr>
              <w:rPr>
                <w:i/>
                <w:sz w:val="24"/>
                <w:szCs w:val="24"/>
              </w:rPr>
            </w:pPr>
            <w:r>
              <w:rPr>
                <w:i/>
                <w:sz w:val="24"/>
                <w:szCs w:val="24"/>
                <w:lang w:val="en-US" w:eastAsia="zh-CN"/>
              </w:rPr>
              <w:t>Ozocherită</w:t>
            </w:r>
          </w:p>
        </w:tc>
        <w:tc>
          <w:tcPr>
            <w:tcW w:w="2701" w:type="dxa"/>
          </w:tcPr>
          <w:p w14:paraId="0DC78D5F" w14:textId="77777777" w:rsidR="001C08A5" w:rsidRDefault="00000000">
            <w:pPr>
              <w:rPr>
                <w:i/>
                <w:sz w:val="24"/>
                <w:szCs w:val="24"/>
                <w:lang w:val="en-US" w:eastAsia="zh-CN"/>
              </w:rPr>
            </w:pPr>
            <w:r>
              <w:rPr>
                <w:i/>
                <w:sz w:val="24"/>
                <w:szCs w:val="24"/>
                <w:lang w:val="en-US" w:eastAsia="zh-CN"/>
              </w:rPr>
              <w:t>46.05</w:t>
            </w:r>
          </w:p>
        </w:tc>
      </w:tr>
      <w:tr w:rsidR="001C08A5" w14:paraId="1292BA1E" w14:textId="77777777">
        <w:tc>
          <w:tcPr>
            <w:tcW w:w="752" w:type="dxa"/>
          </w:tcPr>
          <w:p w14:paraId="4EC2DAF9" w14:textId="77777777" w:rsidR="001C08A5" w:rsidRDefault="001C08A5">
            <w:pPr>
              <w:numPr>
                <w:ilvl w:val="0"/>
                <w:numId w:val="102"/>
              </w:numPr>
              <w:rPr>
                <w:i/>
                <w:sz w:val="24"/>
                <w:szCs w:val="24"/>
              </w:rPr>
            </w:pPr>
          </w:p>
        </w:tc>
        <w:tc>
          <w:tcPr>
            <w:tcW w:w="5069" w:type="dxa"/>
          </w:tcPr>
          <w:p w14:paraId="24576630" w14:textId="77777777" w:rsidR="001C08A5" w:rsidRDefault="00000000">
            <w:pPr>
              <w:rPr>
                <w:i/>
                <w:sz w:val="24"/>
                <w:szCs w:val="24"/>
              </w:rPr>
            </w:pPr>
            <w:r>
              <w:rPr>
                <w:i/>
                <w:sz w:val="24"/>
                <w:szCs w:val="24"/>
                <w:lang w:val="en-US" w:eastAsia="zh-CN"/>
              </w:rPr>
              <w:t>Oxid de carbon</w:t>
            </w:r>
          </w:p>
        </w:tc>
        <w:tc>
          <w:tcPr>
            <w:tcW w:w="2701" w:type="dxa"/>
          </w:tcPr>
          <w:p w14:paraId="47F81036" w14:textId="77777777" w:rsidR="001C08A5" w:rsidRDefault="00000000">
            <w:pPr>
              <w:rPr>
                <w:i/>
                <w:sz w:val="24"/>
                <w:szCs w:val="24"/>
                <w:lang w:val="en-US" w:eastAsia="zh-CN"/>
              </w:rPr>
            </w:pPr>
            <w:r>
              <w:rPr>
                <w:i/>
                <w:sz w:val="24"/>
                <w:szCs w:val="24"/>
                <w:lang w:val="en-US" w:eastAsia="zh-CN"/>
              </w:rPr>
              <w:t>15.70</w:t>
            </w:r>
            <w:r>
              <w:rPr>
                <w:i/>
                <w:sz w:val="24"/>
                <w:szCs w:val="24"/>
                <w:lang w:eastAsia="zh-CN"/>
              </w:rPr>
              <w:t xml:space="preserve"> </w:t>
            </w:r>
            <w:r>
              <w:rPr>
                <w:i/>
                <w:sz w:val="24"/>
                <w:szCs w:val="24"/>
                <w:lang w:val="en-US" w:eastAsia="zh-CN"/>
              </w:rPr>
              <w:t>*</w:t>
            </w:r>
            <w:r>
              <w:rPr>
                <w:i/>
                <w:sz w:val="24"/>
                <w:szCs w:val="24"/>
                <w:lang w:eastAsia="zh-CN"/>
              </w:rPr>
              <w:t>)</w:t>
            </w:r>
          </w:p>
        </w:tc>
      </w:tr>
      <w:tr w:rsidR="001C08A5" w14:paraId="2D87E00F" w14:textId="77777777">
        <w:tc>
          <w:tcPr>
            <w:tcW w:w="752" w:type="dxa"/>
          </w:tcPr>
          <w:p w14:paraId="21FAC3DA" w14:textId="77777777" w:rsidR="001C08A5" w:rsidRDefault="001C08A5">
            <w:pPr>
              <w:numPr>
                <w:ilvl w:val="0"/>
                <w:numId w:val="102"/>
              </w:numPr>
              <w:rPr>
                <w:i/>
                <w:sz w:val="24"/>
                <w:szCs w:val="24"/>
              </w:rPr>
            </w:pPr>
          </w:p>
        </w:tc>
        <w:tc>
          <w:tcPr>
            <w:tcW w:w="5069" w:type="dxa"/>
          </w:tcPr>
          <w:p w14:paraId="2C384974" w14:textId="77777777" w:rsidR="001C08A5" w:rsidRDefault="00000000">
            <w:pPr>
              <w:rPr>
                <w:i/>
                <w:sz w:val="24"/>
                <w:szCs w:val="24"/>
              </w:rPr>
            </w:pPr>
            <w:r>
              <w:rPr>
                <w:i/>
                <w:sz w:val="24"/>
                <w:szCs w:val="24"/>
                <w:lang w:val="en-US" w:eastAsia="zh-CN"/>
              </w:rPr>
              <w:t>Păcură</w:t>
            </w:r>
          </w:p>
        </w:tc>
        <w:tc>
          <w:tcPr>
            <w:tcW w:w="2701" w:type="dxa"/>
          </w:tcPr>
          <w:p w14:paraId="0666B705" w14:textId="77777777" w:rsidR="001C08A5" w:rsidRDefault="00000000">
            <w:pPr>
              <w:rPr>
                <w:i/>
                <w:sz w:val="24"/>
                <w:szCs w:val="24"/>
                <w:lang w:val="en-US" w:eastAsia="zh-CN"/>
              </w:rPr>
            </w:pPr>
            <w:r>
              <w:rPr>
                <w:i/>
                <w:sz w:val="24"/>
                <w:szCs w:val="24"/>
                <w:lang w:val="en-US" w:eastAsia="zh-CN"/>
              </w:rPr>
              <w:t>44.80</w:t>
            </w:r>
          </w:p>
        </w:tc>
      </w:tr>
      <w:tr w:rsidR="001C08A5" w14:paraId="08AE2ED3" w14:textId="77777777">
        <w:tc>
          <w:tcPr>
            <w:tcW w:w="752" w:type="dxa"/>
          </w:tcPr>
          <w:p w14:paraId="50AB5D7D" w14:textId="77777777" w:rsidR="001C08A5" w:rsidRDefault="001C08A5">
            <w:pPr>
              <w:numPr>
                <w:ilvl w:val="0"/>
                <w:numId w:val="102"/>
              </w:numPr>
              <w:rPr>
                <w:i/>
                <w:sz w:val="24"/>
                <w:szCs w:val="24"/>
              </w:rPr>
            </w:pPr>
          </w:p>
        </w:tc>
        <w:tc>
          <w:tcPr>
            <w:tcW w:w="5069" w:type="dxa"/>
          </w:tcPr>
          <w:p w14:paraId="592E6D89" w14:textId="77777777" w:rsidR="001C08A5" w:rsidRDefault="00000000">
            <w:pPr>
              <w:rPr>
                <w:i/>
                <w:sz w:val="24"/>
                <w:szCs w:val="24"/>
              </w:rPr>
            </w:pPr>
            <w:r>
              <w:rPr>
                <w:i/>
                <w:sz w:val="24"/>
                <w:szCs w:val="24"/>
                <w:lang w:val="en-US" w:eastAsia="zh-CN"/>
              </w:rPr>
              <w:t>Pale</w:t>
            </w:r>
          </w:p>
        </w:tc>
        <w:tc>
          <w:tcPr>
            <w:tcW w:w="2701" w:type="dxa"/>
          </w:tcPr>
          <w:p w14:paraId="652CF48A" w14:textId="77777777" w:rsidR="001C08A5" w:rsidRDefault="00000000">
            <w:pPr>
              <w:rPr>
                <w:i/>
                <w:sz w:val="24"/>
                <w:szCs w:val="24"/>
                <w:lang w:val="en-US" w:eastAsia="zh-CN"/>
              </w:rPr>
            </w:pPr>
            <w:r>
              <w:rPr>
                <w:i/>
                <w:sz w:val="24"/>
                <w:szCs w:val="24"/>
                <w:lang w:val="en-US" w:eastAsia="zh-CN"/>
              </w:rPr>
              <w:t>14.45</w:t>
            </w:r>
          </w:p>
        </w:tc>
      </w:tr>
      <w:tr w:rsidR="001C08A5" w14:paraId="19B75C02" w14:textId="77777777">
        <w:tc>
          <w:tcPr>
            <w:tcW w:w="752" w:type="dxa"/>
          </w:tcPr>
          <w:p w14:paraId="1D46FC38" w14:textId="77777777" w:rsidR="001C08A5" w:rsidRDefault="001C08A5">
            <w:pPr>
              <w:numPr>
                <w:ilvl w:val="0"/>
                <w:numId w:val="102"/>
              </w:numPr>
              <w:rPr>
                <w:i/>
                <w:sz w:val="24"/>
                <w:szCs w:val="24"/>
              </w:rPr>
            </w:pPr>
          </w:p>
        </w:tc>
        <w:tc>
          <w:tcPr>
            <w:tcW w:w="5069" w:type="dxa"/>
          </w:tcPr>
          <w:p w14:paraId="4746A039" w14:textId="77777777" w:rsidR="001C08A5" w:rsidRDefault="00000000">
            <w:pPr>
              <w:rPr>
                <w:i/>
                <w:sz w:val="24"/>
                <w:szCs w:val="24"/>
              </w:rPr>
            </w:pPr>
            <w:r>
              <w:rPr>
                <w:i/>
                <w:sz w:val="24"/>
                <w:szCs w:val="24"/>
                <w:lang w:val="en-US" w:eastAsia="zh-CN"/>
              </w:rPr>
              <w:t>Păr</w:t>
            </w:r>
          </w:p>
        </w:tc>
        <w:tc>
          <w:tcPr>
            <w:tcW w:w="2701" w:type="dxa"/>
          </w:tcPr>
          <w:p w14:paraId="7B7D872A" w14:textId="77777777" w:rsidR="001C08A5" w:rsidRDefault="00000000">
            <w:pPr>
              <w:rPr>
                <w:i/>
                <w:sz w:val="24"/>
                <w:szCs w:val="24"/>
                <w:lang w:val="en-US" w:eastAsia="zh-CN"/>
              </w:rPr>
            </w:pPr>
            <w:r>
              <w:rPr>
                <w:i/>
                <w:sz w:val="24"/>
                <w:szCs w:val="24"/>
                <w:lang w:val="en-US" w:eastAsia="zh-CN"/>
              </w:rPr>
              <w:t>22.20</w:t>
            </w:r>
          </w:p>
        </w:tc>
      </w:tr>
      <w:tr w:rsidR="001C08A5" w14:paraId="6A55F08A" w14:textId="77777777">
        <w:tc>
          <w:tcPr>
            <w:tcW w:w="752" w:type="dxa"/>
          </w:tcPr>
          <w:p w14:paraId="2A51750C" w14:textId="77777777" w:rsidR="001C08A5" w:rsidRDefault="001C08A5">
            <w:pPr>
              <w:numPr>
                <w:ilvl w:val="0"/>
                <w:numId w:val="102"/>
              </w:numPr>
              <w:rPr>
                <w:i/>
                <w:sz w:val="24"/>
                <w:szCs w:val="24"/>
              </w:rPr>
            </w:pPr>
          </w:p>
        </w:tc>
        <w:tc>
          <w:tcPr>
            <w:tcW w:w="5069" w:type="dxa"/>
          </w:tcPr>
          <w:p w14:paraId="1204094E" w14:textId="77777777" w:rsidR="001C08A5" w:rsidRDefault="00000000">
            <w:pPr>
              <w:rPr>
                <w:i/>
                <w:sz w:val="24"/>
                <w:szCs w:val="24"/>
              </w:rPr>
            </w:pPr>
            <w:r>
              <w:rPr>
                <w:i/>
                <w:sz w:val="24"/>
                <w:szCs w:val="24"/>
                <w:lang w:val="en-US" w:eastAsia="zh-CN"/>
              </w:rPr>
              <w:t>Parafină</w:t>
            </w:r>
          </w:p>
        </w:tc>
        <w:tc>
          <w:tcPr>
            <w:tcW w:w="2701" w:type="dxa"/>
          </w:tcPr>
          <w:p w14:paraId="3FE5B4CD" w14:textId="77777777" w:rsidR="001C08A5" w:rsidRDefault="00000000">
            <w:pPr>
              <w:rPr>
                <w:i/>
                <w:sz w:val="24"/>
                <w:szCs w:val="24"/>
                <w:lang w:val="en-US" w:eastAsia="zh-CN"/>
              </w:rPr>
            </w:pPr>
            <w:r>
              <w:rPr>
                <w:i/>
                <w:sz w:val="24"/>
                <w:szCs w:val="24"/>
                <w:lang w:val="en-US" w:eastAsia="zh-CN"/>
              </w:rPr>
              <w:t>44.50</w:t>
            </w:r>
          </w:p>
        </w:tc>
      </w:tr>
      <w:tr w:rsidR="001C08A5" w14:paraId="7A3BCEAB" w14:textId="77777777">
        <w:tc>
          <w:tcPr>
            <w:tcW w:w="752" w:type="dxa"/>
          </w:tcPr>
          <w:p w14:paraId="7DF9D6B0" w14:textId="77777777" w:rsidR="001C08A5" w:rsidRDefault="001C08A5">
            <w:pPr>
              <w:numPr>
                <w:ilvl w:val="0"/>
                <w:numId w:val="102"/>
              </w:numPr>
              <w:rPr>
                <w:i/>
                <w:sz w:val="24"/>
                <w:szCs w:val="24"/>
              </w:rPr>
            </w:pPr>
          </w:p>
        </w:tc>
        <w:tc>
          <w:tcPr>
            <w:tcW w:w="5069" w:type="dxa"/>
          </w:tcPr>
          <w:p w14:paraId="74AE281A" w14:textId="77777777" w:rsidR="001C08A5" w:rsidRDefault="00000000">
            <w:pPr>
              <w:rPr>
                <w:i/>
                <w:sz w:val="24"/>
                <w:szCs w:val="24"/>
              </w:rPr>
            </w:pPr>
            <w:r>
              <w:rPr>
                <w:i/>
                <w:sz w:val="24"/>
                <w:szCs w:val="24"/>
                <w:lang w:val="en-US" w:eastAsia="zh-CN"/>
              </w:rPr>
              <w:t>Pentan</w:t>
            </w:r>
          </w:p>
        </w:tc>
        <w:tc>
          <w:tcPr>
            <w:tcW w:w="2701" w:type="dxa"/>
          </w:tcPr>
          <w:p w14:paraId="58456B8C" w14:textId="77777777" w:rsidR="001C08A5" w:rsidRDefault="00000000">
            <w:pPr>
              <w:rPr>
                <w:i/>
                <w:sz w:val="24"/>
                <w:szCs w:val="24"/>
                <w:lang w:val="en-US" w:eastAsia="zh-CN"/>
              </w:rPr>
            </w:pPr>
            <w:r>
              <w:rPr>
                <w:i/>
                <w:sz w:val="24"/>
                <w:szCs w:val="24"/>
                <w:lang w:val="en-US" w:eastAsia="zh-CN"/>
              </w:rPr>
              <w:t>48.55</w:t>
            </w:r>
          </w:p>
        </w:tc>
      </w:tr>
      <w:tr w:rsidR="001C08A5" w14:paraId="36FAB975" w14:textId="77777777">
        <w:tc>
          <w:tcPr>
            <w:tcW w:w="752" w:type="dxa"/>
          </w:tcPr>
          <w:p w14:paraId="63747D24" w14:textId="77777777" w:rsidR="001C08A5" w:rsidRDefault="001C08A5">
            <w:pPr>
              <w:numPr>
                <w:ilvl w:val="0"/>
                <w:numId w:val="102"/>
              </w:numPr>
              <w:rPr>
                <w:i/>
                <w:sz w:val="24"/>
                <w:szCs w:val="24"/>
              </w:rPr>
            </w:pPr>
          </w:p>
        </w:tc>
        <w:tc>
          <w:tcPr>
            <w:tcW w:w="5069" w:type="dxa"/>
          </w:tcPr>
          <w:p w14:paraId="06F1B436" w14:textId="77777777" w:rsidR="001C08A5" w:rsidRDefault="00000000">
            <w:pPr>
              <w:rPr>
                <w:i/>
                <w:sz w:val="24"/>
                <w:szCs w:val="24"/>
              </w:rPr>
            </w:pPr>
            <w:r>
              <w:rPr>
                <w:i/>
                <w:sz w:val="24"/>
                <w:szCs w:val="24"/>
                <w:lang w:val="en-US" w:eastAsia="zh-CN"/>
              </w:rPr>
              <w:t>Petrol lampant</w:t>
            </w:r>
          </w:p>
        </w:tc>
        <w:tc>
          <w:tcPr>
            <w:tcW w:w="2701" w:type="dxa"/>
          </w:tcPr>
          <w:p w14:paraId="019B1ED6" w14:textId="77777777" w:rsidR="001C08A5" w:rsidRDefault="00000000">
            <w:pPr>
              <w:rPr>
                <w:i/>
                <w:sz w:val="24"/>
                <w:szCs w:val="24"/>
                <w:lang w:val="en-US" w:eastAsia="zh-CN"/>
              </w:rPr>
            </w:pPr>
            <w:r>
              <w:rPr>
                <w:i/>
                <w:sz w:val="24"/>
                <w:szCs w:val="24"/>
                <w:lang w:val="en-US" w:eastAsia="zh-CN"/>
              </w:rPr>
              <w:t>41.10</w:t>
            </w:r>
          </w:p>
        </w:tc>
      </w:tr>
      <w:tr w:rsidR="001C08A5" w14:paraId="7452C0CB" w14:textId="77777777">
        <w:tc>
          <w:tcPr>
            <w:tcW w:w="752" w:type="dxa"/>
          </w:tcPr>
          <w:p w14:paraId="4BA97C72" w14:textId="77777777" w:rsidR="001C08A5" w:rsidRDefault="001C08A5">
            <w:pPr>
              <w:numPr>
                <w:ilvl w:val="0"/>
                <w:numId w:val="102"/>
              </w:numPr>
              <w:rPr>
                <w:i/>
                <w:sz w:val="24"/>
                <w:szCs w:val="24"/>
              </w:rPr>
            </w:pPr>
          </w:p>
        </w:tc>
        <w:tc>
          <w:tcPr>
            <w:tcW w:w="5069" w:type="dxa"/>
          </w:tcPr>
          <w:p w14:paraId="4017F688" w14:textId="77777777" w:rsidR="001C08A5" w:rsidRDefault="00000000">
            <w:pPr>
              <w:rPr>
                <w:i/>
                <w:sz w:val="24"/>
                <w:szCs w:val="24"/>
              </w:rPr>
            </w:pPr>
            <w:r>
              <w:rPr>
                <w:i/>
                <w:sz w:val="24"/>
                <w:szCs w:val="24"/>
                <w:lang w:val="en-US" w:eastAsia="zh-CN"/>
              </w:rPr>
              <w:t>Piei moi</w:t>
            </w:r>
          </w:p>
        </w:tc>
        <w:tc>
          <w:tcPr>
            <w:tcW w:w="2701" w:type="dxa"/>
          </w:tcPr>
          <w:p w14:paraId="7259A66E" w14:textId="77777777" w:rsidR="001C08A5" w:rsidRDefault="00000000">
            <w:pPr>
              <w:rPr>
                <w:i/>
                <w:sz w:val="24"/>
                <w:szCs w:val="24"/>
                <w:lang w:val="en-US" w:eastAsia="zh-CN"/>
              </w:rPr>
            </w:pPr>
            <w:r>
              <w:rPr>
                <w:i/>
                <w:sz w:val="24"/>
                <w:szCs w:val="24"/>
                <w:lang w:val="en-US" w:eastAsia="zh-CN"/>
              </w:rPr>
              <w:t>19.15</w:t>
            </w:r>
          </w:p>
        </w:tc>
      </w:tr>
      <w:tr w:rsidR="001C08A5" w14:paraId="69D82228" w14:textId="77777777">
        <w:tc>
          <w:tcPr>
            <w:tcW w:w="752" w:type="dxa"/>
          </w:tcPr>
          <w:p w14:paraId="25BB2F3F" w14:textId="77777777" w:rsidR="001C08A5" w:rsidRDefault="001C08A5">
            <w:pPr>
              <w:numPr>
                <w:ilvl w:val="0"/>
                <w:numId w:val="102"/>
              </w:numPr>
              <w:rPr>
                <w:i/>
                <w:sz w:val="24"/>
                <w:szCs w:val="24"/>
              </w:rPr>
            </w:pPr>
          </w:p>
        </w:tc>
        <w:tc>
          <w:tcPr>
            <w:tcW w:w="5069" w:type="dxa"/>
          </w:tcPr>
          <w:p w14:paraId="19105556" w14:textId="77777777" w:rsidR="001C08A5" w:rsidRDefault="00000000">
            <w:pPr>
              <w:rPr>
                <w:i/>
                <w:sz w:val="24"/>
                <w:szCs w:val="24"/>
              </w:rPr>
            </w:pPr>
            <w:r>
              <w:rPr>
                <w:i/>
                <w:sz w:val="24"/>
                <w:szCs w:val="24"/>
                <w:lang w:val="en-US" w:eastAsia="zh-CN"/>
              </w:rPr>
              <w:t>Piei tari</w:t>
            </w:r>
          </w:p>
        </w:tc>
        <w:tc>
          <w:tcPr>
            <w:tcW w:w="2701" w:type="dxa"/>
          </w:tcPr>
          <w:p w14:paraId="22A688BB" w14:textId="77777777" w:rsidR="001C08A5" w:rsidRDefault="00000000">
            <w:pPr>
              <w:rPr>
                <w:i/>
                <w:sz w:val="24"/>
                <w:szCs w:val="24"/>
                <w:lang w:val="en-US" w:eastAsia="zh-CN"/>
              </w:rPr>
            </w:pPr>
            <w:r>
              <w:rPr>
                <w:i/>
                <w:sz w:val="24"/>
                <w:szCs w:val="24"/>
                <w:lang w:val="en-US" w:eastAsia="zh-CN"/>
              </w:rPr>
              <w:t>19.85</w:t>
            </w:r>
          </w:p>
        </w:tc>
      </w:tr>
      <w:tr w:rsidR="001C08A5" w14:paraId="7B213E1B" w14:textId="77777777">
        <w:tc>
          <w:tcPr>
            <w:tcW w:w="752" w:type="dxa"/>
          </w:tcPr>
          <w:p w14:paraId="23A34986" w14:textId="77777777" w:rsidR="001C08A5" w:rsidRDefault="001C08A5">
            <w:pPr>
              <w:numPr>
                <w:ilvl w:val="0"/>
                <w:numId w:val="102"/>
              </w:numPr>
              <w:rPr>
                <w:i/>
                <w:sz w:val="24"/>
                <w:szCs w:val="24"/>
              </w:rPr>
            </w:pPr>
          </w:p>
        </w:tc>
        <w:tc>
          <w:tcPr>
            <w:tcW w:w="5069" w:type="dxa"/>
          </w:tcPr>
          <w:p w14:paraId="4A487039" w14:textId="77777777" w:rsidR="001C08A5" w:rsidRDefault="00000000">
            <w:pPr>
              <w:rPr>
                <w:i/>
                <w:sz w:val="24"/>
                <w:szCs w:val="24"/>
              </w:rPr>
            </w:pPr>
            <w:r>
              <w:rPr>
                <w:i/>
                <w:sz w:val="24"/>
                <w:szCs w:val="24"/>
                <w:lang w:val="en-US" w:eastAsia="zh-CN"/>
              </w:rPr>
              <w:t>Pâine</w:t>
            </w:r>
          </w:p>
        </w:tc>
        <w:tc>
          <w:tcPr>
            <w:tcW w:w="2701" w:type="dxa"/>
          </w:tcPr>
          <w:p w14:paraId="58060CAD" w14:textId="77777777" w:rsidR="001C08A5" w:rsidRDefault="00000000">
            <w:pPr>
              <w:rPr>
                <w:i/>
                <w:sz w:val="24"/>
                <w:szCs w:val="24"/>
                <w:lang w:val="en-US" w:eastAsia="zh-CN"/>
              </w:rPr>
            </w:pPr>
            <w:r>
              <w:rPr>
                <w:i/>
                <w:sz w:val="24"/>
                <w:szCs w:val="24"/>
                <w:lang w:val="en-US" w:eastAsia="zh-CN"/>
              </w:rPr>
              <w:t>10.45</w:t>
            </w:r>
          </w:p>
        </w:tc>
      </w:tr>
      <w:tr w:rsidR="001C08A5" w14:paraId="234A5997" w14:textId="77777777">
        <w:tc>
          <w:tcPr>
            <w:tcW w:w="752" w:type="dxa"/>
          </w:tcPr>
          <w:p w14:paraId="45589C47" w14:textId="77777777" w:rsidR="001C08A5" w:rsidRDefault="001C08A5">
            <w:pPr>
              <w:numPr>
                <w:ilvl w:val="0"/>
                <w:numId w:val="102"/>
              </w:numPr>
              <w:rPr>
                <w:i/>
                <w:sz w:val="24"/>
                <w:szCs w:val="24"/>
              </w:rPr>
            </w:pPr>
          </w:p>
        </w:tc>
        <w:tc>
          <w:tcPr>
            <w:tcW w:w="5069" w:type="dxa"/>
          </w:tcPr>
          <w:p w14:paraId="73701D0B" w14:textId="77777777" w:rsidR="001C08A5" w:rsidRDefault="00000000">
            <w:pPr>
              <w:rPr>
                <w:i/>
                <w:sz w:val="24"/>
                <w:szCs w:val="24"/>
              </w:rPr>
            </w:pPr>
            <w:r>
              <w:rPr>
                <w:i/>
                <w:sz w:val="24"/>
                <w:szCs w:val="24"/>
                <w:lang w:val="en-US" w:eastAsia="zh-CN"/>
              </w:rPr>
              <w:t>Pânză de in</w:t>
            </w:r>
          </w:p>
        </w:tc>
        <w:tc>
          <w:tcPr>
            <w:tcW w:w="2701" w:type="dxa"/>
          </w:tcPr>
          <w:p w14:paraId="2F171340" w14:textId="77777777" w:rsidR="001C08A5" w:rsidRDefault="00000000">
            <w:pPr>
              <w:rPr>
                <w:i/>
                <w:sz w:val="24"/>
                <w:szCs w:val="24"/>
                <w:lang w:val="en-US" w:eastAsia="zh-CN"/>
              </w:rPr>
            </w:pPr>
            <w:r>
              <w:rPr>
                <w:i/>
                <w:sz w:val="24"/>
                <w:szCs w:val="24"/>
                <w:lang w:val="en-US" w:eastAsia="zh-CN"/>
              </w:rPr>
              <w:t>15.20</w:t>
            </w:r>
          </w:p>
        </w:tc>
      </w:tr>
      <w:tr w:rsidR="001C08A5" w14:paraId="146B2DBB" w14:textId="77777777">
        <w:tc>
          <w:tcPr>
            <w:tcW w:w="752" w:type="dxa"/>
          </w:tcPr>
          <w:p w14:paraId="765BB970" w14:textId="77777777" w:rsidR="001C08A5" w:rsidRDefault="001C08A5">
            <w:pPr>
              <w:numPr>
                <w:ilvl w:val="0"/>
                <w:numId w:val="102"/>
              </w:numPr>
              <w:rPr>
                <w:i/>
                <w:sz w:val="24"/>
                <w:szCs w:val="24"/>
              </w:rPr>
            </w:pPr>
          </w:p>
        </w:tc>
        <w:tc>
          <w:tcPr>
            <w:tcW w:w="5069" w:type="dxa"/>
          </w:tcPr>
          <w:p w14:paraId="37E5F7BF" w14:textId="77777777" w:rsidR="001C08A5" w:rsidRDefault="00000000">
            <w:pPr>
              <w:rPr>
                <w:i/>
                <w:sz w:val="24"/>
                <w:szCs w:val="24"/>
              </w:rPr>
            </w:pPr>
            <w:r>
              <w:rPr>
                <w:i/>
                <w:sz w:val="24"/>
                <w:szCs w:val="24"/>
                <w:lang w:val="en-US" w:eastAsia="zh-CN"/>
              </w:rPr>
              <w:t>Plăci de vată minerală cu liant de bitum 6-18 %</w:t>
            </w:r>
          </w:p>
        </w:tc>
        <w:tc>
          <w:tcPr>
            <w:tcW w:w="2701" w:type="dxa"/>
          </w:tcPr>
          <w:p w14:paraId="0C5E302F" w14:textId="77777777" w:rsidR="001C08A5" w:rsidRDefault="00000000">
            <w:pPr>
              <w:rPr>
                <w:i/>
                <w:sz w:val="24"/>
                <w:szCs w:val="24"/>
                <w:lang w:val="en-US" w:eastAsia="zh-CN"/>
              </w:rPr>
            </w:pPr>
            <w:r>
              <w:rPr>
                <w:i/>
                <w:sz w:val="24"/>
                <w:szCs w:val="24"/>
                <w:lang w:val="en-US" w:eastAsia="zh-CN"/>
              </w:rPr>
              <w:t>7.95</w:t>
            </w:r>
          </w:p>
        </w:tc>
      </w:tr>
      <w:tr w:rsidR="001C08A5" w14:paraId="72CC897E" w14:textId="77777777">
        <w:tc>
          <w:tcPr>
            <w:tcW w:w="752" w:type="dxa"/>
          </w:tcPr>
          <w:p w14:paraId="6EC60A51" w14:textId="77777777" w:rsidR="001C08A5" w:rsidRDefault="001C08A5">
            <w:pPr>
              <w:numPr>
                <w:ilvl w:val="0"/>
                <w:numId w:val="102"/>
              </w:numPr>
              <w:rPr>
                <w:i/>
                <w:sz w:val="24"/>
                <w:szCs w:val="24"/>
              </w:rPr>
            </w:pPr>
          </w:p>
        </w:tc>
        <w:tc>
          <w:tcPr>
            <w:tcW w:w="5069" w:type="dxa"/>
          </w:tcPr>
          <w:p w14:paraId="3E86A5C9" w14:textId="77777777" w:rsidR="001C08A5" w:rsidRDefault="00000000">
            <w:pPr>
              <w:rPr>
                <w:i/>
                <w:sz w:val="24"/>
                <w:szCs w:val="24"/>
              </w:rPr>
            </w:pPr>
            <w:r>
              <w:rPr>
                <w:i/>
                <w:sz w:val="24"/>
                <w:szCs w:val="24"/>
                <w:lang w:val="en-US" w:eastAsia="zh-CN"/>
              </w:rPr>
              <w:t>Poliacetat de vinil</w:t>
            </w:r>
          </w:p>
        </w:tc>
        <w:tc>
          <w:tcPr>
            <w:tcW w:w="2701" w:type="dxa"/>
          </w:tcPr>
          <w:p w14:paraId="4E92DA46" w14:textId="77777777" w:rsidR="001C08A5" w:rsidRDefault="00000000">
            <w:pPr>
              <w:rPr>
                <w:i/>
                <w:sz w:val="24"/>
                <w:szCs w:val="24"/>
                <w:lang w:val="en-US" w:eastAsia="zh-CN"/>
              </w:rPr>
            </w:pPr>
            <w:r>
              <w:rPr>
                <w:i/>
                <w:sz w:val="24"/>
                <w:szCs w:val="24"/>
                <w:lang w:val="en-US" w:eastAsia="zh-CN"/>
              </w:rPr>
              <w:t>23.00</w:t>
            </w:r>
          </w:p>
        </w:tc>
      </w:tr>
      <w:tr w:rsidR="001C08A5" w14:paraId="69D41306" w14:textId="77777777">
        <w:tc>
          <w:tcPr>
            <w:tcW w:w="752" w:type="dxa"/>
          </w:tcPr>
          <w:p w14:paraId="2BC38D5A" w14:textId="77777777" w:rsidR="001C08A5" w:rsidRDefault="001C08A5">
            <w:pPr>
              <w:numPr>
                <w:ilvl w:val="0"/>
                <w:numId w:val="102"/>
              </w:numPr>
              <w:rPr>
                <w:i/>
                <w:sz w:val="24"/>
                <w:szCs w:val="24"/>
              </w:rPr>
            </w:pPr>
          </w:p>
        </w:tc>
        <w:tc>
          <w:tcPr>
            <w:tcW w:w="5069" w:type="dxa"/>
          </w:tcPr>
          <w:p w14:paraId="081282CD" w14:textId="77777777" w:rsidR="001C08A5" w:rsidRDefault="00000000">
            <w:pPr>
              <w:rPr>
                <w:i/>
                <w:sz w:val="24"/>
                <w:szCs w:val="24"/>
              </w:rPr>
            </w:pPr>
            <w:r>
              <w:rPr>
                <w:i/>
                <w:sz w:val="24"/>
                <w:szCs w:val="24"/>
                <w:lang w:val="en-US" w:eastAsia="zh-CN"/>
              </w:rPr>
              <w:t>Poliacetat de metil</w:t>
            </w:r>
          </w:p>
        </w:tc>
        <w:tc>
          <w:tcPr>
            <w:tcW w:w="2701" w:type="dxa"/>
          </w:tcPr>
          <w:p w14:paraId="4930A26D" w14:textId="77777777" w:rsidR="001C08A5" w:rsidRDefault="00000000">
            <w:pPr>
              <w:rPr>
                <w:i/>
                <w:sz w:val="24"/>
                <w:szCs w:val="24"/>
              </w:rPr>
            </w:pPr>
            <w:r>
              <w:rPr>
                <w:i/>
                <w:sz w:val="24"/>
                <w:szCs w:val="24"/>
                <w:lang w:val="en-US" w:eastAsia="zh-CN"/>
              </w:rPr>
              <w:t>23.00</w:t>
            </w:r>
          </w:p>
        </w:tc>
      </w:tr>
      <w:tr w:rsidR="001C08A5" w14:paraId="0CA7C25F" w14:textId="77777777">
        <w:tc>
          <w:tcPr>
            <w:tcW w:w="752" w:type="dxa"/>
          </w:tcPr>
          <w:p w14:paraId="07EACECF" w14:textId="77777777" w:rsidR="001C08A5" w:rsidRDefault="001C08A5">
            <w:pPr>
              <w:numPr>
                <w:ilvl w:val="0"/>
                <w:numId w:val="102"/>
              </w:numPr>
              <w:rPr>
                <w:i/>
                <w:sz w:val="24"/>
                <w:szCs w:val="24"/>
              </w:rPr>
            </w:pPr>
          </w:p>
        </w:tc>
        <w:tc>
          <w:tcPr>
            <w:tcW w:w="5069" w:type="dxa"/>
          </w:tcPr>
          <w:p w14:paraId="560C97D1" w14:textId="77777777" w:rsidR="001C08A5" w:rsidRDefault="00000000">
            <w:pPr>
              <w:rPr>
                <w:i/>
                <w:sz w:val="24"/>
                <w:szCs w:val="24"/>
              </w:rPr>
            </w:pPr>
            <w:r>
              <w:rPr>
                <w:i/>
                <w:sz w:val="24"/>
                <w:szCs w:val="24"/>
                <w:lang w:val="en-US" w:eastAsia="zh-CN"/>
              </w:rPr>
              <w:t>Poliamide</w:t>
            </w:r>
          </w:p>
        </w:tc>
        <w:tc>
          <w:tcPr>
            <w:tcW w:w="2701" w:type="dxa"/>
          </w:tcPr>
          <w:p w14:paraId="3C2904BE" w14:textId="77777777" w:rsidR="001C08A5" w:rsidRDefault="00000000">
            <w:pPr>
              <w:rPr>
                <w:i/>
                <w:sz w:val="24"/>
                <w:szCs w:val="24"/>
              </w:rPr>
            </w:pPr>
            <w:r>
              <w:rPr>
                <w:i/>
                <w:sz w:val="24"/>
                <w:szCs w:val="24"/>
                <w:lang w:eastAsia="zh-CN"/>
              </w:rPr>
              <w:t xml:space="preserve">19.40 ... </w:t>
            </w:r>
            <w:r>
              <w:rPr>
                <w:i/>
                <w:sz w:val="24"/>
                <w:szCs w:val="24"/>
                <w:lang w:val="en-US" w:eastAsia="zh-CN"/>
              </w:rPr>
              <w:t>37.50</w:t>
            </w:r>
          </w:p>
        </w:tc>
      </w:tr>
      <w:tr w:rsidR="001C08A5" w14:paraId="6ABE19FB" w14:textId="77777777">
        <w:tc>
          <w:tcPr>
            <w:tcW w:w="752" w:type="dxa"/>
          </w:tcPr>
          <w:p w14:paraId="1AD865B8" w14:textId="77777777" w:rsidR="001C08A5" w:rsidRDefault="001C08A5">
            <w:pPr>
              <w:numPr>
                <w:ilvl w:val="0"/>
                <w:numId w:val="102"/>
              </w:numPr>
              <w:rPr>
                <w:i/>
                <w:sz w:val="24"/>
                <w:szCs w:val="24"/>
              </w:rPr>
            </w:pPr>
          </w:p>
        </w:tc>
        <w:tc>
          <w:tcPr>
            <w:tcW w:w="5069" w:type="dxa"/>
          </w:tcPr>
          <w:p w14:paraId="7AC307F3" w14:textId="77777777" w:rsidR="001C08A5" w:rsidRDefault="00000000">
            <w:pPr>
              <w:rPr>
                <w:i/>
                <w:sz w:val="24"/>
                <w:szCs w:val="24"/>
              </w:rPr>
            </w:pPr>
            <w:r>
              <w:rPr>
                <w:i/>
                <w:sz w:val="24"/>
                <w:szCs w:val="24"/>
                <w:lang w:val="en-US" w:eastAsia="zh-CN"/>
              </w:rPr>
              <w:t>Policarbonat</w:t>
            </w:r>
          </w:p>
        </w:tc>
        <w:tc>
          <w:tcPr>
            <w:tcW w:w="2701" w:type="dxa"/>
          </w:tcPr>
          <w:p w14:paraId="2714F9C1" w14:textId="77777777" w:rsidR="001C08A5" w:rsidRDefault="00000000">
            <w:pPr>
              <w:rPr>
                <w:i/>
                <w:sz w:val="24"/>
                <w:szCs w:val="24"/>
              </w:rPr>
            </w:pPr>
            <w:r>
              <w:rPr>
                <w:i/>
                <w:sz w:val="24"/>
                <w:szCs w:val="24"/>
                <w:lang w:val="en-US" w:eastAsia="zh-CN"/>
              </w:rPr>
              <w:t>29.30</w:t>
            </w:r>
          </w:p>
        </w:tc>
      </w:tr>
      <w:tr w:rsidR="001C08A5" w14:paraId="2368718B" w14:textId="77777777">
        <w:tc>
          <w:tcPr>
            <w:tcW w:w="752" w:type="dxa"/>
          </w:tcPr>
          <w:p w14:paraId="19F7AD38" w14:textId="77777777" w:rsidR="001C08A5" w:rsidRDefault="001C08A5">
            <w:pPr>
              <w:numPr>
                <w:ilvl w:val="0"/>
                <w:numId w:val="102"/>
              </w:numPr>
              <w:rPr>
                <w:i/>
                <w:sz w:val="24"/>
                <w:szCs w:val="24"/>
              </w:rPr>
            </w:pPr>
          </w:p>
        </w:tc>
        <w:tc>
          <w:tcPr>
            <w:tcW w:w="5069" w:type="dxa"/>
          </w:tcPr>
          <w:p w14:paraId="4DBCFA8F" w14:textId="77777777" w:rsidR="001C08A5" w:rsidRDefault="00000000">
            <w:pPr>
              <w:rPr>
                <w:i/>
                <w:sz w:val="24"/>
                <w:szCs w:val="24"/>
              </w:rPr>
            </w:pPr>
            <w:r>
              <w:rPr>
                <w:i/>
                <w:sz w:val="24"/>
                <w:szCs w:val="24"/>
                <w:lang w:val="en-US" w:eastAsia="zh-CN"/>
              </w:rPr>
              <w:t>Policlorură de vinil (PVC) plastifiată</w:t>
            </w:r>
          </w:p>
        </w:tc>
        <w:tc>
          <w:tcPr>
            <w:tcW w:w="2701" w:type="dxa"/>
          </w:tcPr>
          <w:p w14:paraId="65E52926" w14:textId="77777777" w:rsidR="001C08A5" w:rsidRDefault="00000000">
            <w:pPr>
              <w:rPr>
                <w:i/>
                <w:sz w:val="24"/>
                <w:szCs w:val="24"/>
                <w:lang w:val="en-US" w:eastAsia="zh-CN"/>
              </w:rPr>
            </w:pPr>
            <w:r>
              <w:rPr>
                <w:i/>
                <w:sz w:val="24"/>
                <w:szCs w:val="24"/>
                <w:lang w:eastAsia="zh-CN"/>
              </w:rPr>
              <w:t xml:space="preserve">25 ... </w:t>
            </w:r>
            <w:r>
              <w:rPr>
                <w:i/>
                <w:sz w:val="24"/>
                <w:szCs w:val="24"/>
                <w:lang w:val="en-US" w:eastAsia="zh-CN"/>
              </w:rPr>
              <w:t>33.50</w:t>
            </w:r>
          </w:p>
        </w:tc>
      </w:tr>
      <w:tr w:rsidR="001C08A5" w14:paraId="3C97A0B4" w14:textId="77777777">
        <w:tc>
          <w:tcPr>
            <w:tcW w:w="752" w:type="dxa"/>
          </w:tcPr>
          <w:p w14:paraId="78D8BA0F" w14:textId="77777777" w:rsidR="001C08A5" w:rsidRDefault="001C08A5">
            <w:pPr>
              <w:numPr>
                <w:ilvl w:val="0"/>
                <w:numId w:val="102"/>
              </w:numPr>
              <w:rPr>
                <w:i/>
                <w:sz w:val="24"/>
                <w:szCs w:val="24"/>
              </w:rPr>
            </w:pPr>
          </w:p>
        </w:tc>
        <w:tc>
          <w:tcPr>
            <w:tcW w:w="5069" w:type="dxa"/>
          </w:tcPr>
          <w:p w14:paraId="2D66C61D" w14:textId="77777777" w:rsidR="001C08A5" w:rsidRDefault="00000000">
            <w:pPr>
              <w:rPr>
                <w:i/>
                <w:sz w:val="24"/>
                <w:szCs w:val="24"/>
              </w:rPr>
            </w:pPr>
            <w:r>
              <w:rPr>
                <w:i/>
                <w:sz w:val="24"/>
                <w:szCs w:val="24"/>
                <w:lang w:val="en-US" w:eastAsia="zh-CN"/>
              </w:rPr>
              <w:t>Policlorură de vinil (PVC) rigidă</w:t>
            </w:r>
          </w:p>
        </w:tc>
        <w:tc>
          <w:tcPr>
            <w:tcW w:w="2701" w:type="dxa"/>
          </w:tcPr>
          <w:p w14:paraId="5ACB1954" w14:textId="77777777" w:rsidR="001C08A5" w:rsidRDefault="00000000">
            <w:pPr>
              <w:rPr>
                <w:i/>
                <w:sz w:val="24"/>
                <w:szCs w:val="24"/>
                <w:lang w:val="en-US" w:eastAsia="zh-CN"/>
              </w:rPr>
            </w:pPr>
            <w:r>
              <w:rPr>
                <w:i/>
                <w:sz w:val="24"/>
                <w:szCs w:val="24"/>
                <w:lang w:eastAsia="zh-CN"/>
              </w:rPr>
              <w:t xml:space="preserve">15 ... </w:t>
            </w:r>
            <w:r>
              <w:rPr>
                <w:i/>
                <w:sz w:val="24"/>
                <w:szCs w:val="24"/>
                <w:lang w:val="en-US" w:eastAsia="zh-CN"/>
              </w:rPr>
              <w:t>21.80</w:t>
            </w:r>
          </w:p>
        </w:tc>
      </w:tr>
      <w:tr w:rsidR="001C08A5" w14:paraId="62E2DCAC" w14:textId="77777777">
        <w:tc>
          <w:tcPr>
            <w:tcW w:w="752" w:type="dxa"/>
          </w:tcPr>
          <w:p w14:paraId="1FFCF687" w14:textId="77777777" w:rsidR="001C08A5" w:rsidRDefault="001C08A5">
            <w:pPr>
              <w:numPr>
                <w:ilvl w:val="0"/>
                <w:numId w:val="102"/>
              </w:numPr>
              <w:rPr>
                <w:i/>
                <w:sz w:val="24"/>
                <w:szCs w:val="24"/>
              </w:rPr>
            </w:pPr>
          </w:p>
        </w:tc>
        <w:tc>
          <w:tcPr>
            <w:tcW w:w="5069" w:type="dxa"/>
          </w:tcPr>
          <w:p w14:paraId="468A6A6A" w14:textId="77777777" w:rsidR="001C08A5" w:rsidRDefault="00000000">
            <w:pPr>
              <w:rPr>
                <w:i/>
                <w:sz w:val="24"/>
                <w:szCs w:val="24"/>
              </w:rPr>
            </w:pPr>
            <w:r>
              <w:rPr>
                <w:i/>
                <w:sz w:val="24"/>
                <w:szCs w:val="24"/>
                <w:lang w:val="en-US" w:eastAsia="zh-CN"/>
              </w:rPr>
              <w:t>Poliesteri</w:t>
            </w:r>
          </w:p>
        </w:tc>
        <w:tc>
          <w:tcPr>
            <w:tcW w:w="2701" w:type="dxa"/>
          </w:tcPr>
          <w:p w14:paraId="47214863" w14:textId="77777777" w:rsidR="001C08A5" w:rsidRDefault="00000000">
            <w:pPr>
              <w:rPr>
                <w:i/>
                <w:sz w:val="24"/>
                <w:szCs w:val="24"/>
              </w:rPr>
            </w:pPr>
            <w:r>
              <w:rPr>
                <w:i/>
                <w:sz w:val="24"/>
                <w:szCs w:val="24"/>
                <w:lang w:eastAsia="zh-CN"/>
              </w:rPr>
              <w:t xml:space="preserve">20 ... </w:t>
            </w:r>
            <w:r>
              <w:rPr>
                <w:i/>
                <w:sz w:val="24"/>
                <w:szCs w:val="24"/>
                <w:lang w:val="en-US" w:eastAsia="zh-CN"/>
              </w:rPr>
              <w:t>27.20</w:t>
            </w:r>
          </w:p>
        </w:tc>
      </w:tr>
      <w:tr w:rsidR="001C08A5" w14:paraId="7FF10EEF" w14:textId="77777777">
        <w:tc>
          <w:tcPr>
            <w:tcW w:w="752" w:type="dxa"/>
          </w:tcPr>
          <w:p w14:paraId="3438A31A" w14:textId="77777777" w:rsidR="001C08A5" w:rsidRDefault="001C08A5">
            <w:pPr>
              <w:numPr>
                <w:ilvl w:val="0"/>
                <w:numId w:val="102"/>
              </w:numPr>
              <w:rPr>
                <w:i/>
                <w:sz w:val="24"/>
                <w:szCs w:val="24"/>
              </w:rPr>
            </w:pPr>
          </w:p>
        </w:tc>
        <w:tc>
          <w:tcPr>
            <w:tcW w:w="5069" w:type="dxa"/>
          </w:tcPr>
          <w:p w14:paraId="7BD5F681" w14:textId="77777777" w:rsidR="001C08A5" w:rsidRDefault="00000000">
            <w:pPr>
              <w:rPr>
                <w:i/>
                <w:sz w:val="24"/>
                <w:szCs w:val="24"/>
              </w:rPr>
            </w:pPr>
            <w:r>
              <w:rPr>
                <w:i/>
                <w:sz w:val="24"/>
                <w:szCs w:val="24"/>
                <w:lang w:val="en-US" w:eastAsia="zh-CN"/>
              </w:rPr>
              <w:t>Poliesteri armați cu fibre de sticlă</w:t>
            </w:r>
          </w:p>
        </w:tc>
        <w:tc>
          <w:tcPr>
            <w:tcW w:w="2701" w:type="dxa"/>
          </w:tcPr>
          <w:p w14:paraId="5A5EBFCD" w14:textId="77777777" w:rsidR="001C08A5" w:rsidRDefault="00000000">
            <w:pPr>
              <w:rPr>
                <w:i/>
                <w:sz w:val="24"/>
                <w:szCs w:val="24"/>
                <w:lang w:val="en-US" w:eastAsia="zh-CN"/>
              </w:rPr>
            </w:pPr>
            <w:r>
              <w:rPr>
                <w:i/>
                <w:sz w:val="24"/>
                <w:szCs w:val="24"/>
                <w:lang w:val="en-US" w:eastAsia="zh-CN"/>
              </w:rPr>
              <w:t>35.85</w:t>
            </w:r>
          </w:p>
        </w:tc>
      </w:tr>
      <w:tr w:rsidR="001C08A5" w14:paraId="339F7D35" w14:textId="77777777">
        <w:tc>
          <w:tcPr>
            <w:tcW w:w="752" w:type="dxa"/>
          </w:tcPr>
          <w:p w14:paraId="5DD6E381" w14:textId="77777777" w:rsidR="001C08A5" w:rsidRDefault="001C08A5">
            <w:pPr>
              <w:numPr>
                <w:ilvl w:val="0"/>
                <w:numId w:val="102"/>
              </w:numPr>
              <w:rPr>
                <w:i/>
                <w:sz w:val="24"/>
                <w:szCs w:val="24"/>
              </w:rPr>
            </w:pPr>
          </w:p>
        </w:tc>
        <w:tc>
          <w:tcPr>
            <w:tcW w:w="5069" w:type="dxa"/>
          </w:tcPr>
          <w:p w14:paraId="17E2AF4C" w14:textId="77777777" w:rsidR="001C08A5" w:rsidRDefault="00000000">
            <w:pPr>
              <w:rPr>
                <w:i/>
                <w:sz w:val="24"/>
                <w:szCs w:val="24"/>
              </w:rPr>
            </w:pPr>
            <w:r>
              <w:rPr>
                <w:i/>
                <w:sz w:val="24"/>
                <w:szCs w:val="24"/>
                <w:lang w:val="en-US" w:eastAsia="zh-CN"/>
              </w:rPr>
              <w:t>Polietilenă</w:t>
            </w:r>
          </w:p>
        </w:tc>
        <w:tc>
          <w:tcPr>
            <w:tcW w:w="2701" w:type="dxa"/>
          </w:tcPr>
          <w:p w14:paraId="6E6BAB82" w14:textId="77777777" w:rsidR="001C08A5" w:rsidRDefault="00000000">
            <w:pPr>
              <w:rPr>
                <w:i/>
                <w:sz w:val="24"/>
                <w:szCs w:val="24"/>
                <w:lang w:val="en-US" w:eastAsia="zh-CN"/>
              </w:rPr>
            </w:pPr>
            <w:r>
              <w:rPr>
                <w:i/>
                <w:sz w:val="24"/>
                <w:szCs w:val="24"/>
                <w:lang w:eastAsia="zh-CN"/>
              </w:rPr>
              <w:t xml:space="preserve">33.5 ... </w:t>
            </w:r>
            <w:r>
              <w:rPr>
                <w:i/>
                <w:sz w:val="24"/>
                <w:szCs w:val="24"/>
                <w:lang w:val="en-US" w:eastAsia="zh-CN"/>
              </w:rPr>
              <w:t>46.00</w:t>
            </w:r>
          </w:p>
        </w:tc>
      </w:tr>
      <w:tr w:rsidR="001C08A5" w14:paraId="3BC7DACC" w14:textId="77777777">
        <w:tc>
          <w:tcPr>
            <w:tcW w:w="752" w:type="dxa"/>
          </w:tcPr>
          <w:p w14:paraId="08933226" w14:textId="77777777" w:rsidR="001C08A5" w:rsidRDefault="001C08A5">
            <w:pPr>
              <w:numPr>
                <w:ilvl w:val="0"/>
                <w:numId w:val="102"/>
              </w:numPr>
              <w:rPr>
                <w:i/>
                <w:sz w:val="24"/>
                <w:szCs w:val="24"/>
              </w:rPr>
            </w:pPr>
          </w:p>
        </w:tc>
        <w:tc>
          <w:tcPr>
            <w:tcW w:w="5069" w:type="dxa"/>
          </w:tcPr>
          <w:p w14:paraId="11F791C2" w14:textId="77777777" w:rsidR="001C08A5" w:rsidRDefault="00000000">
            <w:pPr>
              <w:rPr>
                <w:i/>
                <w:sz w:val="24"/>
                <w:szCs w:val="24"/>
              </w:rPr>
            </w:pPr>
            <w:r>
              <w:rPr>
                <w:i/>
                <w:sz w:val="24"/>
                <w:szCs w:val="24"/>
                <w:lang w:val="en-US" w:eastAsia="zh-CN"/>
              </w:rPr>
              <w:t>Polizobutelină</w:t>
            </w:r>
          </w:p>
        </w:tc>
        <w:tc>
          <w:tcPr>
            <w:tcW w:w="2701" w:type="dxa"/>
          </w:tcPr>
          <w:p w14:paraId="619F6A8F" w14:textId="77777777" w:rsidR="001C08A5" w:rsidRDefault="00000000">
            <w:pPr>
              <w:rPr>
                <w:i/>
                <w:sz w:val="24"/>
                <w:szCs w:val="24"/>
                <w:lang w:val="en-US" w:eastAsia="zh-CN"/>
              </w:rPr>
            </w:pPr>
            <w:r>
              <w:rPr>
                <w:i/>
                <w:sz w:val="24"/>
                <w:szCs w:val="24"/>
                <w:lang w:val="en-US" w:eastAsia="zh-CN"/>
              </w:rPr>
              <w:t>43.90</w:t>
            </w:r>
          </w:p>
        </w:tc>
      </w:tr>
      <w:tr w:rsidR="001C08A5" w14:paraId="3F7F4B60" w14:textId="77777777">
        <w:tc>
          <w:tcPr>
            <w:tcW w:w="752" w:type="dxa"/>
          </w:tcPr>
          <w:p w14:paraId="7D219EB2" w14:textId="77777777" w:rsidR="001C08A5" w:rsidRDefault="001C08A5">
            <w:pPr>
              <w:numPr>
                <w:ilvl w:val="0"/>
                <w:numId w:val="102"/>
              </w:numPr>
              <w:rPr>
                <w:i/>
                <w:sz w:val="24"/>
                <w:szCs w:val="24"/>
              </w:rPr>
            </w:pPr>
          </w:p>
        </w:tc>
        <w:tc>
          <w:tcPr>
            <w:tcW w:w="5069" w:type="dxa"/>
          </w:tcPr>
          <w:p w14:paraId="0DD203A9" w14:textId="77777777" w:rsidR="001C08A5" w:rsidRDefault="00000000">
            <w:pPr>
              <w:rPr>
                <w:i/>
                <w:sz w:val="24"/>
                <w:szCs w:val="24"/>
              </w:rPr>
            </w:pPr>
            <w:r>
              <w:rPr>
                <w:i/>
                <w:sz w:val="24"/>
                <w:szCs w:val="24"/>
                <w:lang w:val="en-US" w:eastAsia="zh-CN"/>
              </w:rPr>
              <w:t>Polizopren</w:t>
            </w:r>
          </w:p>
        </w:tc>
        <w:tc>
          <w:tcPr>
            <w:tcW w:w="2701" w:type="dxa"/>
          </w:tcPr>
          <w:p w14:paraId="4CE31A93" w14:textId="77777777" w:rsidR="001C08A5" w:rsidRDefault="00000000">
            <w:pPr>
              <w:rPr>
                <w:i/>
                <w:sz w:val="24"/>
                <w:szCs w:val="24"/>
                <w:lang w:val="en-US" w:eastAsia="zh-CN"/>
              </w:rPr>
            </w:pPr>
            <w:r>
              <w:rPr>
                <w:i/>
                <w:sz w:val="24"/>
                <w:szCs w:val="24"/>
                <w:lang w:val="en-US" w:eastAsia="zh-CN"/>
              </w:rPr>
              <w:t>42.70</w:t>
            </w:r>
          </w:p>
        </w:tc>
      </w:tr>
      <w:tr w:rsidR="001C08A5" w14:paraId="508CE092" w14:textId="77777777">
        <w:tc>
          <w:tcPr>
            <w:tcW w:w="752" w:type="dxa"/>
          </w:tcPr>
          <w:p w14:paraId="117B70C7" w14:textId="77777777" w:rsidR="001C08A5" w:rsidRDefault="001C08A5">
            <w:pPr>
              <w:numPr>
                <w:ilvl w:val="0"/>
                <w:numId w:val="102"/>
              </w:numPr>
              <w:rPr>
                <w:i/>
                <w:sz w:val="24"/>
                <w:szCs w:val="24"/>
              </w:rPr>
            </w:pPr>
          </w:p>
        </w:tc>
        <w:tc>
          <w:tcPr>
            <w:tcW w:w="5069" w:type="dxa"/>
          </w:tcPr>
          <w:p w14:paraId="47A24009" w14:textId="77777777" w:rsidR="001C08A5" w:rsidRDefault="00000000">
            <w:pPr>
              <w:rPr>
                <w:i/>
                <w:sz w:val="24"/>
                <w:szCs w:val="24"/>
              </w:rPr>
            </w:pPr>
            <w:r>
              <w:rPr>
                <w:i/>
                <w:sz w:val="24"/>
                <w:szCs w:val="24"/>
                <w:lang w:val="en-US" w:eastAsia="zh-CN"/>
              </w:rPr>
              <w:t>Polimetracrilat de metil</w:t>
            </w:r>
          </w:p>
        </w:tc>
        <w:tc>
          <w:tcPr>
            <w:tcW w:w="2701" w:type="dxa"/>
          </w:tcPr>
          <w:p w14:paraId="367F6686" w14:textId="77777777" w:rsidR="001C08A5" w:rsidRDefault="00000000">
            <w:pPr>
              <w:rPr>
                <w:i/>
                <w:sz w:val="24"/>
                <w:szCs w:val="24"/>
              </w:rPr>
            </w:pPr>
            <w:r>
              <w:rPr>
                <w:i/>
                <w:sz w:val="24"/>
                <w:szCs w:val="24"/>
                <w:lang w:eastAsia="zh-CN"/>
              </w:rPr>
              <w:t xml:space="preserve">23.40 ... </w:t>
            </w:r>
            <w:r>
              <w:rPr>
                <w:i/>
                <w:sz w:val="24"/>
                <w:szCs w:val="24"/>
                <w:lang w:val="en-US" w:eastAsia="zh-CN"/>
              </w:rPr>
              <w:t>26.80</w:t>
            </w:r>
          </w:p>
        </w:tc>
      </w:tr>
      <w:tr w:rsidR="001C08A5" w14:paraId="3FCE2DB8" w14:textId="77777777">
        <w:tc>
          <w:tcPr>
            <w:tcW w:w="752" w:type="dxa"/>
          </w:tcPr>
          <w:p w14:paraId="47901C3A" w14:textId="77777777" w:rsidR="001C08A5" w:rsidRDefault="001C08A5">
            <w:pPr>
              <w:numPr>
                <w:ilvl w:val="0"/>
                <w:numId w:val="102"/>
              </w:numPr>
              <w:rPr>
                <w:i/>
                <w:sz w:val="24"/>
                <w:szCs w:val="24"/>
              </w:rPr>
            </w:pPr>
          </w:p>
        </w:tc>
        <w:tc>
          <w:tcPr>
            <w:tcW w:w="5069" w:type="dxa"/>
          </w:tcPr>
          <w:p w14:paraId="7E97B914" w14:textId="77777777" w:rsidR="001C08A5" w:rsidRDefault="00000000">
            <w:pPr>
              <w:rPr>
                <w:i/>
                <w:sz w:val="24"/>
                <w:szCs w:val="24"/>
              </w:rPr>
            </w:pPr>
            <w:r>
              <w:rPr>
                <w:i/>
                <w:sz w:val="24"/>
                <w:szCs w:val="24"/>
                <w:lang w:val="en-US" w:eastAsia="zh-CN"/>
              </w:rPr>
              <w:t>Polipropilenă</w:t>
            </w:r>
          </w:p>
        </w:tc>
        <w:tc>
          <w:tcPr>
            <w:tcW w:w="2701" w:type="dxa"/>
          </w:tcPr>
          <w:p w14:paraId="1DA43691" w14:textId="77777777" w:rsidR="001C08A5" w:rsidRDefault="00000000">
            <w:pPr>
              <w:rPr>
                <w:i/>
                <w:sz w:val="24"/>
                <w:szCs w:val="24"/>
              </w:rPr>
            </w:pPr>
            <w:r>
              <w:rPr>
                <w:i/>
                <w:sz w:val="24"/>
                <w:szCs w:val="24"/>
                <w:lang w:val="en-US" w:eastAsia="zh-CN"/>
              </w:rPr>
              <w:t>43.40</w:t>
            </w:r>
          </w:p>
        </w:tc>
      </w:tr>
      <w:tr w:rsidR="001C08A5" w14:paraId="7848D0D8" w14:textId="77777777">
        <w:tc>
          <w:tcPr>
            <w:tcW w:w="752" w:type="dxa"/>
          </w:tcPr>
          <w:p w14:paraId="63BCCBE6" w14:textId="77777777" w:rsidR="001C08A5" w:rsidRDefault="001C08A5">
            <w:pPr>
              <w:numPr>
                <w:ilvl w:val="0"/>
                <w:numId w:val="102"/>
              </w:numPr>
              <w:rPr>
                <w:i/>
                <w:sz w:val="24"/>
                <w:szCs w:val="24"/>
              </w:rPr>
            </w:pPr>
          </w:p>
        </w:tc>
        <w:tc>
          <w:tcPr>
            <w:tcW w:w="5069" w:type="dxa"/>
          </w:tcPr>
          <w:p w14:paraId="5CE73183" w14:textId="77777777" w:rsidR="001C08A5" w:rsidRDefault="00000000">
            <w:pPr>
              <w:rPr>
                <w:i/>
                <w:sz w:val="24"/>
                <w:szCs w:val="24"/>
              </w:rPr>
            </w:pPr>
            <w:r>
              <w:rPr>
                <w:i/>
                <w:sz w:val="24"/>
                <w:szCs w:val="24"/>
                <w:lang w:val="en-US" w:eastAsia="zh-CN"/>
              </w:rPr>
              <w:t>Polistiren</w:t>
            </w:r>
          </w:p>
        </w:tc>
        <w:tc>
          <w:tcPr>
            <w:tcW w:w="2701" w:type="dxa"/>
          </w:tcPr>
          <w:p w14:paraId="2C634B34" w14:textId="77777777" w:rsidR="001C08A5" w:rsidRDefault="00000000">
            <w:pPr>
              <w:rPr>
                <w:i/>
                <w:sz w:val="24"/>
                <w:szCs w:val="24"/>
              </w:rPr>
            </w:pPr>
            <w:r>
              <w:rPr>
                <w:i/>
                <w:sz w:val="24"/>
                <w:szCs w:val="24"/>
                <w:lang w:eastAsia="zh-CN"/>
              </w:rPr>
              <w:t xml:space="preserve">31.40 ... </w:t>
            </w:r>
            <w:r>
              <w:rPr>
                <w:i/>
                <w:sz w:val="24"/>
                <w:szCs w:val="24"/>
                <w:lang w:val="en-US" w:eastAsia="zh-CN"/>
              </w:rPr>
              <w:t>41.20</w:t>
            </w:r>
          </w:p>
        </w:tc>
      </w:tr>
      <w:tr w:rsidR="001C08A5" w14:paraId="5A8F4A29" w14:textId="77777777">
        <w:tc>
          <w:tcPr>
            <w:tcW w:w="752" w:type="dxa"/>
          </w:tcPr>
          <w:p w14:paraId="1C80EF33" w14:textId="77777777" w:rsidR="001C08A5" w:rsidRDefault="001C08A5">
            <w:pPr>
              <w:numPr>
                <w:ilvl w:val="0"/>
                <w:numId w:val="102"/>
              </w:numPr>
              <w:rPr>
                <w:i/>
                <w:sz w:val="24"/>
                <w:szCs w:val="24"/>
              </w:rPr>
            </w:pPr>
          </w:p>
        </w:tc>
        <w:tc>
          <w:tcPr>
            <w:tcW w:w="5069" w:type="dxa"/>
          </w:tcPr>
          <w:p w14:paraId="19652D67" w14:textId="77777777" w:rsidR="001C08A5" w:rsidRDefault="00000000">
            <w:pPr>
              <w:rPr>
                <w:i/>
                <w:sz w:val="24"/>
                <w:szCs w:val="24"/>
              </w:rPr>
            </w:pPr>
            <w:r>
              <w:rPr>
                <w:i/>
                <w:sz w:val="24"/>
                <w:szCs w:val="24"/>
                <w:lang w:val="en-US" w:eastAsia="zh-CN"/>
              </w:rPr>
              <w:t>Politetrafluoretilină</w:t>
            </w:r>
          </w:p>
        </w:tc>
        <w:tc>
          <w:tcPr>
            <w:tcW w:w="2701" w:type="dxa"/>
          </w:tcPr>
          <w:p w14:paraId="598B92E5" w14:textId="77777777" w:rsidR="001C08A5" w:rsidRDefault="00000000">
            <w:pPr>
              <w:rPr>
                <w:i/>
                <w:sz w:val="24"/>
                <w:szCs w:val="24"/>
              </w:rPr>
            </w:pPr>
            <w:r>
              <w:rPr>
                <w:i/>
                <w:sz w:val="24"/>
                <w:szCs w:val="24"/>
                <w:lang w:val="en-US" w:eastAsia="zh-CN"/>
              </w:rPr>
              <w:t>4.185</w:t>
            </w:r>
          </w:p>
        </w:tc>
      </w:tr>
      <w:tr w:rsidR="001C08A5" w14:paraId="5FC21049" w14:textId="77777777">
        <w:tc>
          <w:tcPr>
            <w:tcW w:w="752" w:type="dxa"/>
          </w:tcPr>
          <w:p w14:paraId="461CE11C" w14:textId="77777777" w:rsidR="001C08A5" w:rsidRDefault="001C08A5">
            <w:pPr>
              <w:numPr>
                <w:ilvl w:val="0"/>
                <w:numId w:val="102"/>
              </w:numPr>
              <w:rPr>
                <w:i/>
                <w:sz w:val="24"/>
                <w:szCs w:val="24"/>
              </w:rPr>
            </w:pPr>
          </w:p>
        </w:tc>
        <w:tc>
          <w:tcPr>
            <w:tcW w:w="5069" w:type="dxa"/>
          </w:tcPr>
          <w:p w14:paraId="5CF4BD52" w14:textId="77777777" w:rsidR="001C08A5" w:rsidRDefault="00000000">
            <w:pPr>
              <w:rPr>
                <w:i/>
                <w:sz w:val="24"/>
                <w:szCs w:val="24"/>
              </w:rPr>
            </w:pPr>
            <w:r>
              <w:rPr>
                <w:i/>
                <w:sz w:val="24"/>
                <w:szCs w:val="24"/>
                <w:lang w:val="en-US" w:eastAsia="zh-CN"/>
              </w:rPr>
              <w:t>Poliuretan</w:t>
            </w:r>
          </w:p>
        </w:tc>
        <w:tc>
          <w:tcPr>
            <w:tcW w:w="2701" w:type="dxa"/>
          </w:tcPr>
          <w:p w14:paraId="340FDDF0" w14:textId="77777777" w:rsidR="001C08A5" w:rsidRDefault="00000000">
            <w:pPr>
              <w:rPr>
                <w:i/>
                <w:sz w:val="24"/>
                <w:szCs w:val="24"/>
              </w:rPr>
            </w:pPr>
            <w:r>
              <w:rPr>
                <w:i/>
                <w:sz w:val="24"/>
                <w:szCs w:val="24"/>
                <w:lang w:eastAsia="zh-CN"/>
              </w:rPr>
              <w:t xml:space="preserve">24.00 ... </w:t>
            </w:r>
            <w:r>
              <w:rPr>
                <w:i/>
                <w:sz w:val="24"/>
                <w:szCs w:val="24"/>
                <w:lang w:val="en-US" w:eastAsia="zh-CN"/>
              </w:rPr>
              <w:t>37.70</w:t>
            </w:r>
          </w:p>
        </w:tc>
      </w:tr>
      <w:tr w:rsidR="001C08A5" w14:paraId="74F70171" w14:textId="77777777">
        <w:tc>
          <w:tcPr>
            <w:tcW w:w="752" w:type="dxa"/>
          </w:tcPr>
          <w:p w14:paraId="32F7A107" w14:textId="77777777" w:rsidR="001C08A5" w:rsidRDefault="001C08A5">
            <w:pPr>
              <w:numPr>
                <w:ilvl w:val="0"/>
                <w:numId w:val="102"/>
              </w:numPr>
              <w:rPr>
                <w:i/>
                <w:sz w:val="24"/>
                <w:szCs w:val="24"/>
              </w:rPr>
            </w:pPr>
          </w:p>
        </w:tc>
        <w:tc>
          <w:tcPr>
            <w:tcW w:w="5069" w:type="dxa"/>
          </w:tcPr>
          <w:p w14:paraId="60E96195" w14:textId="77777777" w:rsidR="001C08A5" w:rsidRDefault="00000000">
            <w:pPr>
              <w:rPr>
                <w:i/>
                <w:sz w:val="24"/>
                <w:szCs w:val="24"/>
              </w:rPr>
            </w:pPr>
            <w:r>
              <w:rPr>
                <w:i/>
                <w:sz w:val="24"/>
                <w:szCs w:val="24"/>
                <w:lang w:val="en-US" w:eastAsia="zh-CN"/>
              </w:rPr>
              <w:t>Praf de cereale</w:t>
            </w:r>
          </w:p>
        </w:tc>
        <w:tc>
          <w:tcPr>
            <w:tcW w:w="2701" w:type="dxa"/>
          </w:tcPr>
          <w:p w14:paraId="74517B60" w14:textId="77777777" w:rsidR="001C08A5" w:rsidRDefault="00000000">
            <w:pPr>
              <w:rPr>
                <w:i/>
                <w:sz w:val="24"/>
                <w:szCs w:val="24"/>
              </w:rPr>
            </w:pPr>
            <w:r>
              <w:rPr>
                <w:i/>
                <w:sz w:val="24"/>
                <w:szCs w:val="24"/>
                <w:lang w:val="en-US" w:eastAsia="zh-CN"/>
              </w:rPr>
              <w:t>13.65</w:t>
            </w:r>
          </w:p>
        </w:tc>
      </w:tr>
      <w:tr w:rsidR="001C08A5" w14:paraId="363583DD" w14:textId="77777777">
        <w:tc>
          <w:tcPr>
            <w:tcW w:w="752" w:type="dxa"/>
          </w:tcPr>
          <w:p w14:paraId="42FF37B9" w14:textId="77777777" w:rsidR="001C08A5" w:rsidRDefault="001C08A5">
            <w:pPr>
              <w:numPr>
                <w:ilvl w:val="0"/>
                <w:numId w:val="102"/>
              </w:numPr>
              <w:rPr>
                <w:i/>
                <w:sz w:val="24"/>
                <w:szCs w:val="24"/>
              </w:rPr>
            </w:pPr>
          </w:p>
        </w:tc>
        <w:tc>
          <w:tcPr>
            <w:tcW w:w="5069" w:type="dxa"/>
          </w:tcPr>
          <w:p w14:paraId="54098ECB" w14:textId="77777777" w:rsidR="001C08A5" w:rsidRDefault="00000000">
            <w:pPr>
              <w:rPr>
                <w:i/>
                <w:sz w:val="24"/>
                <w:szCs w:val="24"/>
              </w:rPr>
            </w:pPr>
            <w:r>
              <w:rPr>
                <w:i/>
                <w:sz w:val="24"/>
                <w:szCs w:val="24"/>
                <w:lang w:val="en-US" w:eastAsia="zh-CN"/>
              </w:rPr>
              <w:t>Propan</w:t>
            </w:r>
          </w:p>
        </w:tc>
        <w:tc>
          <w:tcPr>
            <w:tcW w:w="2701" w:type="dxa"/>
          </w:tcPr>
          <w:p w14:paraId="0DB7F2BE" w14:textId="77777777" w:rsidR="001C08A5" w:rsidRDefault="00000000">
            <w:pPr>
              <w:rPr>
                <w:i/>
                <w:sz w:val="24"/>
                <w:szCs w:val="24"/>
                <w:lang w:eastAsia="zh-CN"/>
              </w:rPr>
            </w:pPr>
            <w:r>
              <w:rPr>
                <w:i/>
                <w:sz w:val="24"/>
                <w:szCs w:val="24"/>
                <w:lang w:val="en-US" w:eastAsia="zh-CN"/>
              </w:rPr>
              <w:t>93.55</w:t>
            </w:r>
            <w:r>
              <w:rPr>
                <w:i/>
                <w:sz w:val="24"/>
                <w:szCs w:val="24"/>
                <w:lang w:eastAsia="zh-CN"/>
              </w:rPr>
              <w:t xml:space="preserve"> </w:t>
            </w:r>
            <w:r>
              <w:rPr>
                <w:i/>
                <w:sz w:val="24"/>
                <w:szCs w:val="24"/>
                <w:lang w:val="en-US" w:eastAsia="zh-CN"/>
              </w:rPr>
              <w:t>*</w:t>
            </w:r>
            <w:r>
              <w:rPr>
                <w:i/>
                <w:sz w:val="24"/>
                <w:szCs w:val="24"/>
                <w:lang w:eastAsia="zh-CN"/>
              </w:rPr>
              <w:t>)</w:t>
            </w:r>
          </w:p>
          <w:p w14:paraId="64E81333" w14:textId="77777777" w:rsidR="001C08A5" w:rsidRDefault="00000000">
            <w:pPr>
              <w:rPr>
                <w:i/>
                <w:sz w:val="24"/>
                <w:szCs w:val="24"/>
                <w:lang w:eastAsia="zh-CN"/>
              </w:rPr>
            </w:pPr>
            <w:r>
              <w:rPr>
                <w:i/>
                <w:sz w:val="24"/>
                <w:szCs w:val="24"/>
                <w:lang w:eastAsia="zh-CN"/>
              </w:rPr>
              <w:t>60.70</w:t>
            </w:r>
          </w:p>
        </w:tc>
      </w:tr>
      <w:tr w:rsidR="001C08A5" w14:paraId="21B433F4" w14:textId="77777777">
        <w:tc>
          <w:tcPr>
            <w:tcW w:w="752" w:type="dxa"/>
          </w:tcPr>
          <w:p w14:paraId="3E10842F" w14:textId="77777777" w:rsidR="001C08A5" w:rsidRDefault="001C08A5">
            <w:pPr>
              <w:numPr>
                <w:ilvl w:val="0"/>
                <w:numId w:val="102"/>
              </w:numPr>
              <w:rPr>
                <w:i/>
                <w:sz w:val="24"/>
                <w:szCs w:val="24"/>
              </w:rPr>
            </w:pPr>
          </w:p>
        </w:tc>
        <w:tc>
          <w:tcPr>
            <w:tcW w:w="5069" w:type="dxa"/>
          </w:tcPr>
          <w:p w14:paraId="1AABE32E" w14:textId="77777777" w:rsidR="001C08A5" w:rsidRDefault="00000000">
            <w:pPr>
              <w:rPr>
                <w:i/>
                <w:sz w:val="24"/>
                <w:szCs w:val="24"/>
              </w:rPr>
            </w:pPr>
            <w:r>
              <w:rPr>
                <w:i/>
                <w:sz w:val="24"/>
                <w:szCs w:val="24"/>
                <w:lang w:val="en-US" w:eastAsia="zh-CN"/>
              </w:rPr>
              <w:t>Propilenă</w:t>
            </w:r>
          </w:p>
        </w:tc>
        <w:tc>
          <w:tcPr>
            <w:tcW w:w="2701" w:type="dxa"/>
          </w:tcPr>
          <w:p w14:paraId="4F3728F6" w14:textId="77777777" w:rsidR="001C08A5" w:rsidRDefault="00000000">
            <w:pPr>
              <w:rPr>
                <w:i/>
                <w:sz w:val="24"/>
                <w:szCs w:val="24"/>
                <w:lang w:val="en-US" w:eastAsia="zh-CN"/>
              </w:rPr>
            </w:pPr>
            <w:r>
              <w:rPr>
                <w:i/>
                <w:sz w:val="24"/>
                <w:szCs w:val="24"/>
                <w:lang w:val="en-US" w:eastAsia="zh-CN"/>
              </w:rPr>
              <w:t>87.60</w:t>
            </w:r>
            <w:r>
              <w:rPr>
                <w:i/>
                <w:sz w:val="24"/>
                <w:szCs w:val="24"/>
                <w:lang w:eastAsia="zh-CN"/>
              </w:rPr>
              <w:t xml:space="preserve"> </w:t>
            </w:r>
            <w:r>
              <w:rPr>
                <w:i/>
                <w:sz w:val="24"/>
                <w:szCs w:val="24"/>
                <w:lang w:val="en-US" w:eastAsia="zh-CN"/>
              </w:rPr>
              <w:t>*</w:t>
            </w:r>
            <w:r>
              <w:rPr>
                <w:i/>
                <w:sz w:val="24"/>
                <w:szCs w:val="24"/>
                <w:lang w:eastAsia="zh-CN"/>
              </w:rPr>
              <w:t>)</w:t>
            </w:r>
          </w:p>
          <w:p w14:paraId="122B49A0" w14:textId="77777777" w:rsidR="001C08A5" w:rsidRDefault="00000000">
            <w:pPr>
              <w:rPr>
                <w:i/>
                <w:sz w:val="24"/>
                <w:szCs w:val="24"/>
                <w:lang w:eastAsia="zh-CN"/>
              </w:rPr>
            </w:pPr>
            <w:r>
              <w:rPr>
                <w:i/>
                <w:sz w:val="24"/>
                <w:szCs w:val="24"/>
                <w:lang w:eastAsia="zh-CN"/>
              </w:rPr>
              <w:t>42.60</w:t>
            </w:r>
          </w:p>
        </w:tc>
      </w:tr>
      <w:tr w:rsidR="001C08A5" w14:paraId="2C5CB911" w14:textId="77777777">
        <w:tc>
          <w:tcPr>
            <w:tcW w:w="752" w:type="dxa"/>
          </w:tcPr>
          <w:p w14:paraId="1939CD4B" w14:textId="77777777" w:rsidR="001C08A5" w:rsidRDefault="001C08A5">
            <w:pPr>
              <w:numPr>
                <w:ilvl w:val="0"/>
                <w:numId w:val="102"/>
              </w:numPr>
              <w:rPr>
                <w:i/>
                <w:sz w:val="24"/>
                <w:szCs w:val="24"/>
              </w:rPr>
            </w:pPr>
          </w:p>
        </w:tc>
        <w:tc>
          <w:tcPr>
            <w:tcW w:w="5069" w:type="dxa"/>
          </w:tcPr>
          <w:p w14:paraId="59856BD2" w14:textId="77777777" w:rsidR="001C08A5" w:rsidRDefault="00000000">
            <w:pPr>
              <w:rPr>
                <w:i/>
                <w:sz w:val="24"/>
                <w:szCs w:val="24"/>
              </w:rPr>
            </w:pPr>
            <w:r>
              <w:rPr>
                <w:i/>
                <w:sz w:val="24"/>
                <w:szCs w:val="24"/>
                <w:lang w:val="en-US" w:eastAsia="zh-CN"/>
              </w:rPr>
              <w:t>Pseudobutilenă</w:t>
            </w:r>
          </w:p>
        </w:tc>
        <w:tc>
          <w:tcPr>
            <w:tcW w:w="2701" w:type="dxa"/>
          </w:tcPr>
          <w:p w14:paraId="6E862C41" w14:textId="77777777" w:rsidR="001C08A5" w:rsidRDefault="00000000">
            <w:pPr>
              <w:rPr>
                <w:i/>
                <w:sz w:val="24"/>
                <w:szCs w:val="24"/>
              </w:rPr>
            </w:pPr>
            <w:r>
              <w:rPr>
                <w:i/>
                <w:sz w:val="24"/>
                <w:szCs w:val="24"/>
                <w:lang w:eastAsia="zh-CN"/>
              </w:rPr>
              <w:t xml:space="preserve">48.00 ... </w:t>
            </w:r>
            <w:r>
              <w:rPr>
                <w:i/>
                <w:sz w:val="24"/>
                <w:szCs w:val="24"/>
                <w:lang w:val="en-US" w:eastAsia="zh-CN"/>
              </w:rPr>
              <w:t>44.19</w:t>
            </w:r>
          </w:p>
        </w:tc>
      </w:tr>
      <w:tr w:rsidR="001C08A5" w14:paraId="226EFFD7" w14:textId="77777777">
        <w:tc>
          <w:tcPr>
            <w:tcW w:w="752" w:type="dxa"/>
          </w:tcPr>
          <w:p w14:paraId="7C3499F6" w14:textId="77777777" w:rsidR="001C08A5" w:rsidRDefault="001C08A5">
            <w:pPr>
              <w:numPr>
                <w:ilvl w:val="0"/>
                <w:numId w:val="102"/>
              </w:numPr>
              <w:rPr>
                <w:i/>
                <w:sz w:val="24"/>
                <w:szCs w:val="24"/>
              </w:rPr>
            </w:pPr>
          </w:p>
        </w:tc>
        <w:tc>
          <w:tcPr>
            <w:tcW w:w="5069" w:type="dxa"/>
          </w:tcPr>
          <w:p w14:paraId="09037BF0" w14:textId="77777777" w:rsidR="001C08A5" w:rsidRDefault="00000000">
            <w:pPr>
              <w:rPr>
                <w:i/>
                <w:sz w:val="24"/>
                <w:szCs w:val="24"/>
              </w:rPr>
            </w:pPr>
            <w:r>
              <w:rPr>
                <w:i/>
                <w:sz w:val="24"/>
                <w:szCs w:val="24"/>
                <w:lang w:val="en-US" w:eastAsia="zh-CN"/>
              </w:rPr>
              <w:t>Rășină</w:t>
            </w:r>
          </w:p>
        </w:tc>
        <w:tc>
          <w:tcPr>
            <w:tcW w:w="2701" w:type="dxa"/>
          </w:tcPr>
          <w:p w14:paraId="65B66C8B" w14:textId="77777777" w:rsidR="001C08A5" w:rsidRDefault="00000000">
            <w:pPr>
              <w:rPr>
                <w:i/>
                <w:sz w:val="24"/>
                <w:szCs w:val="24"/>
              </w:rPr>
            </w:pPr>
            <w:r>
              <w:rPr>
                <w:i/>
                <w:sz w:val="24"/>
                <w:szCs w:val="24"/>
                <w:lang w:val="en-US" w:eastAsia="zh-CN"/>
              </w:rPr>
              <w:t>16.75</w:t>
            </w:r>
          </w:p>
        </w:tc>
      </w:tr>
      <w:tr w:rsidR="001C08A5" w14:paraId="513BABCF" w14:textId="77777777">
        <w:tc>
          <w:tcPr>
            <w:tcW w:w="752" w:type="dxa"/>
          </w:tcPr>
          <w:p w14:paraId="1759B1CD" w14:textId="77777777" w:rsidR="001C08A5" w:rsidRDefault="001C08A5">
            <w:pPr>
              <w:numPr>
                <w:ilvl w:val="0"/>
                <w:numId w:val="102"/>
              </w:numPr>
              <w:rPr>
                <w:i/>
                <w:sz w:val="24"/>
                <w:szCs w:val="24"/>
              </w:rPr>
            </w:pPr>
          </w:p>
        </w:tc>
        <w:tc>
          <w:tcPr>
            <w:tcW w:w="5069" w:type="dxa"/>
          </w:tcPr>
          <w:p w14:paraId="6706BF04" w14:textId="77777777" w:rsidR="001C08A5" w:rsidRDefault="00000000">
            <w:pPr>
              <w:rPr>
                <w:i/>
                <w:sz w:val="24"/>
                <w:szCs w:val="24"/>
              </w:rPr>
            </w:pPr>
            <w:r>
              <w:rPr>
                <w:i/>
                <w:sz w:val="24"/>
                <w:szCs w:val="24"/>
                <w:lang w:val="en-US" w:eastAsia="zh-CN"/>
              </w:rPr>
              <w:t>Rășini epoxidice</w:t>
            </w:r>
          </w:p>
        </w:tc>
        <w:tc>
          <w:tcPr>
            <w:tcW w:w="2701" w:type="dxa"/>
          </w:tcPr>
          <w:p w14:paraId="08DAE97A" w14:textId="77777777" w:rsidR="001C08A5" w:rsidRDefault="00000000">
            <w:pPr>
              <w:rPr>
                <w:i/>
                <w:sz w:val="24"/>
                <w:szCs w:val="24"/>
              </w:rPr>
            </w:pPr>
            <w:r>
              <w:rPr>
                <w:i/>
                <w:sz w:val="24"/>
                <w:szCs w:val="24"/>
                <w:lang w:eastAsia="zh-CN"/>
              </w:rPr>
              <w:t xml:space="preserve">11.70 ... </w:t>
            </w:r>
            <w:r>
              <w:rPr>
                <w:i/>
                <w:sz w:val="24"/>
                <w:szCs w:val="24"/>
                <w:lang w:val="en-US" w:eastAsia="zh-CN"/>
              </w:rPr>
              <w:t>30.20</w:t>
            </w:r>
          </w:p>
        </w:tc>
      </w:tr>
      <w:tr w:rsidR="001C08A5" w14:paraId="5D90547C" w14:textId="77777777">
        <w:tc>
          <w:tcPr>
            <w:tcW w:w="752" w:type="dxa"/>
          </w:tcPr>
          <w:p w14:paraId="793B10C4" w14:textId="77777777" w:rsidR="001C08A5" w:rsidRDefault="001C08A5">
            <w:pPr>
              <w:numPr>
                <w:ilvl w:val="0"/>
                <w:numId w:val="102"/>
              </w:numPr>
              <w:rPr>
                <w:i/>
                <w:sz w:val="24"/>
                <w:szCs w:val="24"/>
              </w:rPr>
            </w:pPr>
          </w:p>
        </w:tc>
        <w:tc>
          <w:tcPr>
            <w:tcW w:w="5069" w:type="dxa"/>
          </w:tcPr>
          <w:p w14:paraId="69FF36F9" w14:textId="77777777" w:rsidR="001C08A5" w:rsidRDefault="00000000">
            <w:pPr>
              <w:rPr>
                <w:i/>
                <w:sz w:val="24"/>
                <w:szCs w:val="24"/>
              </w:rPr>
            </w:pPr>
            <w:r>
              <w:rPr>
                <w:i/>
                <w:sz w:val="24"/>
                <w:szCs w:val="24"/>
                <w:lang w:val="en-US" w:eastAsia="zh-CN"/>
              </w:rPr>
              <w:t>Rășini fonolice</w:t>
            </w:r>
          </w:p>
        </w:tc>
        <w:tc>
          <w:tcPr>
            <w:tcW w:w="2701" w:type="dxa"/>
          </w:tcPr>
          <w:p w14:paraId="7EECCD63" w14:textId="77777777" w:rsidR="001C08A5" w:rsidRDefault="00000000">
            <w:pPr>
              <w:rPr>
                <w:i/>
                <w:sz w:val="24"/>
                <w:szCs w:val="24"/>
              </w:rPr>
            </w:pPr>
            <w:r>
              <w:rPr>
                <w:i/>
                <w:sz w:val="24"/>
                <w:szCs w:val="24"/>
                <w:lang w:eastAsia="zh-CN"/>
              </w:rPr>
              <w:t xml:space="preserve">23.00 ... </w:t>
            </w:r>
            <w:r>
              <w:rPr>
                <w:i/>
                <w:sz w:val="24"/>
                <w:szCs w:val="24"/>
                <w:lang w:val="en-US" w:eastAsia="zh-CN"/>
              </w:rPr>
              <w:t>30.00</w:t>
            </w:r>
          </w:p>
        </w:tc>
      </w:tr>
      <w:tr w:rsidR="001C08A5" w14:paraId="73139968" w14:textId="77777777">
        <w:tc>
          <w:tcPr>
            <w:tcW w:w="752" w:type="dxa"/>
          </w:tcPr>
          <w:p w14:paraId="05060D44" w14:textId="77777777" w:rsidR="001C08A5" w:rsidRDefault="001C08A5">
            <w:pPr>
              <w:numPr>
                <w:ilvl w:val="0"/>
                <w:numId w:val="102"/>
              </w:numPr>
              <w:rPr>
                <w:i/>
                <w:sz w:val="24"/>
                <w:szCs w:val="24"/>
              </w:rPr>
            </w:pPr>
          </w:p>
        </w:tc>
        <w:tc>
          <w:tcPr>
            <w:tcW w:w="5069" w:type="dxa"/>
          </w:tcPr>
          <w:p w14:paraId="5437929D" w14:textId="77777777" w:rsidR="001C08A5" w:rsidRDefault="00000000">
            <w:pPr>
              <w:rPr>
                <w:i/>
                <w:sz w:val="24"/>
                <w:szCs w:val="24"/>
              </w:rPr>
            </w:pPr>
            <w:r>
              <w:rPr>
                <w:i/>
                <w:sz w:val="24"/>
                <w:szCs w:val="24"/>
                <w:lang w:val="en-US" w:eastAsia="zh-CN"/>
              </w:rPr>
              <w:t>Siliconi</w:t>
            </w:r>
          </w:p>
        </w:tc>
        <w:tc>
          <w:tcPr>
            <w:tcW w:w="2701" w:type="dxa"/>
          </w:tcPr>
          <w:p w14:paraId="7300719D" w14:textId="77777777" w:rsidR="001C08A5" w:rsidRDefault="00000000">
            <w:pPr>
              <w:rPr>
                <w:i/>
                <w:sz w:val="24"/>
                <w:szCs w:val="24"/>
              </w:rPr>
            </w:pPr>
            <w:r>
              <w:rPr>
                <w:i/>
                <w:sz w:val="24"/>
                <w:szCs w:val="24"/>
                <w:lang w:val="en-US" w:eastAsia="zh-CN"/>
              </w:rPr>
              <w:t>15.50</w:t>
            </w:r>
          </w:p>
        </w:tc>
      </w:tr>
      <w:tr w:rsidR="001C08A5" w14:paraId="09B555DB" w14:textId="77777777">
        <w:tc>
          <w:tcPr>
            <w:tcW w:w="752" w:type="dxa"/>
          </w:tcPr>
          <w:p w14:paraId="51F110E8" w14:textId="77777777" w:rsidR="001C08A5" w:rsidRDefault="001C08A5">
            <w:pPr>
              <w:numPr>
                <w:ilvl w:val="0"/>
                <w:numId w:val="102"/>
              </w:numPr>
              <w:rPr>
                <w:i/>
                <w:sz w:val="24"/>
                <w:szCs w:val="24"/>
              </w:rPr>
            </w:pPr>
          </w:p>
        </w:tc>
        <w:tc>
          <w:tcPr>
            <w:tcW w:w="5069" w:type="dxa"/>
          </w:tcPr>
          <w:p w14:paraId="2822844D" w14:textId="77777777" w:rsidR="001C08A5" w:rsidRDefault="00000000">
            <w:pPr>
              <w:rPr>
                <w:i/>
                <w:sz w:val="24"/>
                <w:szCs w:val="24"/>
              </w:rPr>
            </w:pPr>
            <w:r>
              <w:rPr>
                <w:i/>
                <w:sz w:val="24"/>
                <w:szCs w:val="24"/>
                <w:lang w:val="en-US" w:eastAsia="zh-CN"/>
              </w:rPr>
              <w:t>Sirop de zahăr</w:t>
            </w:r>
          </w:p>
        </w:tc>
        <w:tc>
          <w:tcPr>
            <w:tcW w:w="2701" w:type="dxa"/>
          </w:tcPr>
          <w:p w14:paraId="4F3A46A7" w14:textId="77777777" w:rsidR="001C08A5" w:rsidRDefault="00000000">
            <w:pPr>
              <w:rPr>
                <w:i/>
                <w:sz w:val="24"/>
                <w:szCs w:val="24"/>
              </w:rPr>
            </w:pPr>
            <w:r>
              <w:rPr>
                <w:i/>
                <w:sz w:val="24"/>
                <w:szCs w:val="24"/>
                <w:lang w:val="en-US" w:eastAsia="zh-CN"/>
              </w:rPr>
              <w:t>34.95</w:t>
            </w:r>
          </w:p>
        </w:tc>
      </w:tr>
      <w:tr w:rsidR="001C08A5" w14:paraId="4AC226FE" w14:textId="77777777">
        <w:tc>
          <w:tcPr>
            <w:tcW w:w="752" w:type="dxa"/>
          </w:tcPr>
          <w:p w14:paraId="0CAB563A" w14:textId="77777777" w:rsidR="001C08A5" w:rsidRDefault="001C08A5">
            <w:pPr>
              <w:numPr>
                <w:ilvl w:val="0"/>
                <w:numId w:val="102"/>
              </w:numPr>
              <w:rPr>
                <w:i/>
                <w:sz w:val="24"/>
                <w:szCs w:val="24"/>
              </w:rPr>
            </w:pPr>
          </w:p>
        </w:tc>
        <w:tc>
          <w:tcPr>
            <w:tcW w:w="5069" w:type="dxa"/>
          </w:tcPr>
          <w:p w14:paraId="2417B43B" w14:textId="77777777" w:rsidR="001C08A5" w:rsidRDefault="00000000">
            <w:pPr>
              <w:rPr>
                <w:i/>
                <w:sz w:val="24"/>
                <w:szCs w:val="24"/>
              </w:rPr>
            </w:pPr>
            <w:r>
              <w:rPr>
                <w:i/>
                <w:sz w:val="24"/>
                <w:szCs w:val="24"/>
                <w:lang w:val="en-US" w:eastAsia="zh-CN"/>
              </w:rPr>
              <w:t>Smoală</w:t>
            </w:r>
          </w:p>
        </w:tc>
        <w:tc>
          <w:tcPr>
            <w:tcW w:w="2701" w:type="dxa"/>
          </w:tcPr>
          <w:p w14:paraId="3C6A0803" w14:textId="77777777" w:rsidR="001C08A5" w:rsidRDefault="00000000">
            <w:pPr>
              <w:rPr>
                <w:i/>
                <w:sz w:val="24"/>
                <w:szCs w:val="24"/>
                <w:lang w:val="en-US" w:eastAsia="zh-CN"/>
              </w:rPr>
            </w:pPr>
            <w:r>
              <w:rPr>
                <w:i/>
                <w:sz w:val="24"/>
                <w:szCs w:val="24"/>
                <w:lang w:val="en-US" w:eastAsia="zh-CN"/>
              </w:rPr>
              <w:t>26.35</w:t>
            </w:r>
          </w:p>
        </w:tc>
      </w:tr>
      <w:tr w:rsidR="001C08A5" w14:paraId="6010CC84" w14:textId="77777777">
        <w:tc>
          <w:tcPr>
            <w:tcW w:w="752" w:type="dxa"/>
          </w:tcPr>
          <w:p w14:paraId="155EB831" w14:textId="77777777" w:rsidR="001C08A5" w:rsidRDefault="001C08A5">
            <w:pPr>
              <w:numPr>
                <w:ilvl w:val="0"/>
                <w:numId w:val="102"/>
              </w:numPr>
              <w:rPr>
                <w:i/>
                <w:sz w:val="24"/>
                <w:szCs w:val="24"/>
              </w:rPr>
            </w:pPr>
          </w:p>
        </w:tc>
        <w:tc>
          <w:tcPr>
            <w:tcW w:w="5069" w:type="dxa"/>
          </w:tcPr>
          <w:p w14:paraId="6DCCE213" w14:textId="77777777" w:rsidR="001C08A5" w:rsidRDefault="00000000">
            <w:pPr>
              <w:rPr>
                <w:i/>
                <w:sz w:val="24"/>
                <w:szCs w:val="24"/>
              </w:rPr>
            </w:pPr>
            <w:r>
              <w:rPr>
                <w:i/>
                <w:sz w:val="24"/>
                <w:szCs w:val="24"/>
                <w:lang w:val="en-US" w:eastAsia="zh-CN"/>
              </w:rPr>
              <w:t>Sodiu</w:t>
            </w:r>
          </w:p>
        </w:tc>
        <w:tc>
          <w:tcPr>
            <w:tcW w:w="2701" w:type="dxa"/>
          </w:tcPr>
          <w:p w14:paraId="6809EE88" w14:textId="77777777" w:rsidR="001C08A5" w:rsidRDefault="00000000">
            <w:pPr>
              <w:rPr>
                <w:i/>
                <w:sz w:val="24"/>
                <w:szCs w:val="24"/>
                <w:lang w:val="en-US" w:eastAsia="zh-CN"/>
              </w:rPr>
            </w:pPr>
            <w:r>
              <w:rPr>
                <w:i/>
                <w:sz w:val="24"/>
                <w:szCs w:val="24"/>
                <w:lang w:val="en-US" w:eastAsia="zh-CN"/>
              </w:rPr>
              <w:t>10.90</w:t>
            </w:r>
          </w:p>
        </w:tc>
      </w:tr>
      <w:tr w:rsidR="001C08A5" w14:paraId="615A7651" w14:textId="77777777">
        <w:tc>
          <w:tcPr>
            <w:tcW w:w="752" w:type="dxa"/>
          </w:tcPr>
          <w:p w14:paraId="7F82E07B" w14:textId="77777777" w:rsidR="001C08A5" w:rsidRDefault="001C08A5">
            <w:pPr>
              <w:numPr>
                <w:ilvl w:val="0"/>
                <w:numId w:val="102"/>
              </w:numPr>
              <w:rPr>
                <w:i/>
                <w:sz w:val="24"/>
                <w:szCs w:val="24"/>
              </w:rPr>
            </w:pPr>
          </w:p>
        </w:tc>
        <w:tc>
          <w:tcPr>
            <w:tcW w:w="5069" w:type="dxa"/>
          </w:tcPr>
          <w:p w14:paraId="5AEACA8A" w14:textId="77777777" w:rsidR="001C08A5" w:rsidRDefault="00000000">
            <w:pPr>
              <w:rPr>
                <w:i/>
                <w:sz w:val="24"/>
                <w:szCs w:val="24"/>
              </w:rPr>
            </w:pPr>
            <w:r>
              <w:rPr>
                <w:i/>
                <w:sz w:val="24"/>
                <w:szCs w:val="24"/>
                <w:lang w:val="en-US" w:eastAsia="zh-CN"/>
              </w:rPr>
              <w:t>Sterină</w:t>
            </w:r>
          </w:p>
        </w:tc>
        <w:tc>
          <w:tcPr>
            <w:tcW w:w="2701" w:type="dxa"/>
          </w:tcPr>
          <w:p w14:paraId="7C68F3B6" w14:textId="77777777" w:rsidR="001C08A5" w:rsidRDefault="00000000">
            <w:pPr>
              <w:rPr>
                <w:i/>
                <w:sz w:val="24"/>
                <w:szCs w:val="24"/>
                <w:lang w:val="en-US" w:eastAsia="zh-CN"/>
              </w:rPr>
            </w:pPr>
            <w:r>
              <w:rPr>
                <w:i/>
                <w:sz w:val="24"/>
                <w:szCs w:val="24"/>
                <w:lang w:val="en-US" w:eastAsia="zh-CN"/>
              </w:rPr>
              <w:t>39.35</w:t>
            </w:r>
          </w:p>
        </w:tc>
      </w:tr>
      <w:tr w:rsidR="001C08A5" w14:paraId="1A7B6670" w14:textId="77777777">
        <w:tc>
          <w:tcPr>
            <w:tcW w:w="752" w:type="dxa"/>
          </w:tcPr>
          <w:p w14:paraId="6679DC29" w14:textId="77777777" w:rsidR="001C08A5" w:rsidRDefault="001C08A5">
            <w:pPr>
              <w:numPr>
                <w:ilvl w:val="0"/>
                <w:numId w:val="102"/>
              </w:numPr>
              <w:rPr>
                <w:i/>
                <w:sz w:val="24"/>
                <w:szCs w:val="24"/>
              </w:rPr>
            </w:pPr>
          </w:p>
        </w:tc>
        <w:tc>
          <w:tcPr>
            <w:tcW w:w="5069" w:type="dxa"/>
          </w:tcPr>
          <w:p w14:paraId="6C000FD2" w14:textId="77777777" w:rsidR="001C08A5" w:rsidRDefault="00000000">
            <w:pPr>
              <w:rPr>
                <w:i/>
                <w:sz w:val="24"/>
                <w:szCs w:val="24"/>
              </w:rPr>
            </w:pPr>
            <w:r>
              <w:rPr>
                <w:i/>
                <w:sz w:val="24"/>
                <w:szCs w:val="24"/>
                <w:lang w:val="en-US" w:eastAsia="zh-CN"/>
              </w:rPr>
              <w:t>Sulf</w:t>
            </w:r>
          </w:p>
        </w:tc>
        <w:tc>
          <w:tcPr>
            <w:tcW w:w="2701" w:type="dxa"/>
          </w:tcPr>
          <w:p w14:paraId="596BDFF4" w14:textId="77777777" w:rsidR="001C08A5" w:rsidRDefault="00000000">
            <w:pPr>
              <w:rPr>
                <w:i/>
                <w:sz w:val="24"/>
                <w:szCs w:val="24"/>
                <w:lang w:val="en-US" w:eastAsia="zh-CN"/>
              </w:rPr>
            </w:pPr>
            <w:r>
              <w:rPr>
                <w:i/>
                <w:sz w:val="24"/>
                <w:szCs w:val="24"/>
                <w:lang w:val="en-US" w:eastAsia="zh-CN"/>
              </w:rPr>
              <w:t>10.45</w:t>
            </w:r>
          </w:p>
        </w:tc>
      </w:tr>
      <w:tr w:rsidR="001C08A5" w14:paraId="6DF6186D" w14:textId="77777777">
        <w:tc>
          <w:tcPr>
            <w:tcW w:w="752" w:type="dxa"/>
          </w:tcPr>
          <w:p w14:paraId="0B15A584" w14:textId="77777777" w:rsidR="001C08A5" w:rsidRDefault="001C08A5">
            <w:pPr>
              <w:numPr>
                <w:ilvl w:val="0"/>
                <w:numId w:val="102"/>
              </w:numPr>
              <w:rPr>
                <w:i/>
                <w:sz w:val="24"/>
                <w:szCs w:val="24"/>
              </w:rPr>
            </w:pPr>
          </w:p>
        </w:tc>
        <w:tc>
          <w:tcPr>
            <w:tcW w:w="5069" w:type="dxa"/>
          </w:tcPr>
          <w:p w14:paraId="587B6FB9" w14:textId="77777777" w:rsidR="001C08A5" w:rsidRDefault="00000000">
            <w:pPr>
              <w:rPr>
                <w:i/>
                <w:sz w:val="24"/>
                <w:szCs w:val="24"/>
              </w:rPr>
            </w:pPr>
            <w:r>
              <w:rPr>
                <w:i/>
                <w:sz w:val="24"/>
                <w:szCs w:val="24"/>
                <w:lang w:val="en-US" w:eastAsia="zh-CN"/>
              </w:rPr>
              <w:t>Sulfură de carbon</w:t>
            </w:r>
          </w:p>
        </w:tc>
        <w:tc>
          <w:tcPr>
            <w:tcW w:w="2701" w:type="dxa"/>
          </w:tcPr>
          <w:p w14:paraId="127A03F2" w14:textId="77777777" w:rsidR="001C08A5" w:rsidRDefault="00000000">
            <w:pPr>
              <w:rPr>
                <w:i/>
                <w:sz w:val="24"/>
                <w:szCs w:val="24"/>
                <w:lang w:val="en-US" w:eastAsia="zh-CN"/>
              </w:rPr>
            </w:pPr>
            <w:r>
              <w:rPr>
                <w:i/>
                <w:sz w:val="24"/>
                <w:szCs w:val="24"/>
                <w:lang w:val="en-US" w:eastAsia="zh-CN"/>
              </w:rPr>
              <w:t>23.15</w:t>
            </w:r>
          </w:p>
        </w:tc>
      </w:tr>
      <w:tr w:rsidR="001C08A5" w14:paraId="3CB105C9" w14:textId="77777777">
        <w:tc>
          <w:tcPr>
            <w:tcW w:w="752" w:type="dxa"/>
          </w:tcPr>
          <w:p w14:paraId="151412AC" w14:textId="77777777" w:rsidR="001C08A5" w:rsidRDefault="001C08A5">
            <w:pPr>
              <w:numPr>
                <w:ilvl w:val="0"/>
                <w:numId w:val="102"/>
              </w:numPr>
              <w:rPr>
                <w:i/>
                <w:sz w:val="24"/>
                <w:szCs w:val="24"/>
              </w:rPr>
            </w:pPr>
          </w:p>
        </w:tc>
        <w:tc>
          <w:tcPr>
            <w:tcW w:w="5069" w:type="dxa"/>
          </w:tcPr>
          <w:p w14:paraId="3E1D1ABD" w14:textId="77777777" w:rsidR="001C08A5" w:rsidRDefault="00000000">
            <w:pPr>
              <w:rPr>
                <w:i/>
                <w:sz w:val="24"/>
                <w:szCs w:val="24"/>
              </w:rPr>
            </w:pPr>
            <w:r>
              <w:rPr>
                <w:i/>
                <w:sz w:val="24"/>
                <w:szCs w:val="24"/>
                <w:lang w:val="en-US" w:eastAsia="zh-CN"/>
              </w:rPr>
              <w:t>Tananți</w:t>
            </w:r>
          </w:p>
        </w:tc>
        <w:tc>
          <w:tcPr>
            <w:tcW w:w="2701" w:type="dxa"/>
          </w:tcPr>
          <w:p w14:paraId="7D979EB8" w14:textId="77777777" w:rsidR="001C08A5" w:rsidRDefault="00000000">
            <w:pPr>
              <w:rPr>
                <w:i/>
                <w:sz w:val="24"/>
                <w:szCs w:val="24"/>
                <w:lang w:val="en-US" w:eastAsia="zh-CN"/>
              </w:rPr>
            </w:pPr>
            <w:r>
              <w:rPr>
                <w:i/>
                <w:sz w:val="24"/>
                <w:szCs w:val="24"/>
                <w:lang w:val="en-US" w:eastAsia="zh-CN"/>
              </w:rPr>
              <w:t>22.60</w:t>
            </w:r>
          </w:p>
        </w:tc>
      </w:tr>
      <w:tr w:rsidR="001C08A5" w14:paraId="129ECA81" w14:textId="77777777">
        <w:tc>
          <w:tcPr>
            <w:tcW w:w="752" w:type="dxa"/>
          </w:tcPr>
          <w:p w14:paraId="6E37BD1E" w14:textId="77777777" w:rsidR="001C08A5" w:rsidRDefault="001C08A5">
            <w:pPr>
              <w:numPr>
                <w:ilvl w:val="0"/>
                <w:numId w:val="102"/>
              </w:numPr>
              <w:rPr>
                <w:i/>
                <w:sz w:val="24"/>
                <w:szCs w:val="24"/>
              </w:rPr>
            </w:pPr>
          </w:p>
        </w:tc>
        <w:tc>
          <w:tcPr>
            <w:tcW w:w="5069" w:type="dxa"/>
          </w:tcPr>
          <w:p w14:paraId="6B5F2494" w14:textId="77777777" w:rsidR="001C08A5" w:rsidRDefault="00000000">
            <w:pPr>
              <w:rPr>
                <w:i/>
                <w:sz w:val="24"/>
                <w:szCs w:val="24"/>
              </w:rPr>
            </w:pPr>
            <w:r>
              <w:rPr>
                <w:i/>
                <w:sz w:val="24"/>
                <w:szCs w:val="24"/>
                <w:lang w:val="en-US" w:eastAsia="zh-CN"/>
              </w:rPr>
              <w:t>Tărâțe de mei</w:t>
            </w:r>
          </w:p>
        </w:tc>
        <w:tc>
          <w:tcPr>
            <w:tcW w:w="2701" w:type="dxa"/>
          </w:tcPr>
          <w:p w14:paraId="3C0B2532" w14:textId="77777777" w:rsidR="001C08A5" w:rsidRDefault="00000000">
            <w:pPr>
              <w:rPr>
                <w:i/>
                <w:sz w:val="24"/>
                <w:szCs w:val="24"/>
                <w:lang w:val="en-US" w:eastAsia="zh-CN"/>
              </w:rPr>
            </w:pPr>
            <w:r>
              <w:rPr>
                <w:i/>
                <w:sz w:val="24"/>
                <w:szCs w:val="24"/>
                <w:lang w:val="en-US" w:eastAsia="zh-CN"/>
              </w:rPr>
              <w:t>11.65</w:t>
            </w:r>
          </w:p>
        </w:tc>
      </w:tr>
      <w:tr w:rsidR="001C08A5" w14:paraId="740982C3" w14:textId="77777777">
        <w:tc>
          <w:tcPr>
            <w:tcW w:w="752" w:type="dxa"/>
          </w:tcPr>
          <w:p w14:paraId="70CB7A72" w14:textId="77777777" w:rsidR="001C08A5" w:rsidRDefault="001C08A5">
            <w:pPr>
              <w:numPr>
                <w:ilvl w:val="0"/>
                <w:numId w:val="102"/>
              </w:numPr>
              <w:rPr>
                <w:i/>
                <w:sz w:val="24"/>
                <w:szCs w:val="24"/>
              </w:rPr>
            </w:pPr>
          </w:p>
        </w:tc>
        <w:tc>
          <w:tcPr>
            <w:tcW w:w="5069" w:type="dxa"/>
          </w:tcPr>
          <w:p w14:paraId="49256179" w14:textId="77777777" w:rsidR="001C08A5" w:rsidRDefault="00000000">
            <w:pPr>
              <w:rPr>
                <w:i/>
                <w:sz w:val="24"/>
                <w:szCs w:val="24"/>
              </w:rPr>
            </w:pPr>
            <w:r>
              <w:rPr>
                <w:i/>
                <w:sz w:val="24"/>
                <w:szCs w:val="24"/>
                <w:lang w:val="en-US" w:eastAsia="zh-CN"/>
              </w:rPr>
              <w:t>Țesături textile</w:t>
            </w:r>
          </w:p>
        </w:tc>
        <w:tc>
          <w:tcPr>
            <w:tcW w:w="2701" w:type="dxa"/>
          </w:tcPr>
          <w:p w14:paraId="3A1934C0" w14:textId="77777777" w:rsidR="001C08A5" w:rsidRDefault="00000000">
            <w:pPr>
              <w:rPr>
                <w:i/>
                <w:sz w:val="24"/>
                <w:szCs w:val="24"/>
                <w:lang w:val="en-US" w:eastAsia="zh-CN"/>
              </w:rPr>
            </w:pPr>
            <w:r>
              <w:rPr>
                <w:i/>
                <w:sz w:val="24"/>
                <w:szCs w:val="24"/>
                <w:lang w:eastAsia="zh-CN"/>
              </w:rPr>
              <w:t xml:space="preserve">16.75 ... </w:t>
            </w:r>
            <w:r>
              <w:rPr>
                <w:i/>
                <w:sz w:val="24"/>
                <w:szCs w:val="24"/>
                <w:lang w:val="en-US" w:eastAsia="zh-CN"/>
              </w:rPr>
              <w:t>20.95</w:t>
            </w:r>
          </w:p>
        </w:tc>
      </w:tr>
      <w:tr w:rsidR="001C08A5" w14:paraId="3BC7A6CF" w14:textId="77777777">
        <w:tc>
          <w:tcPr>
            <w:tcW w:w="752" w:type="dxa"/>
          </w:tcPr>
          <w:p w14:paraId="2BEA6AF4" w14:textId="77777777" w:rsidR="001C08A5" w:rsidRDefault="001C08A5">
            <w:pPr>
              <w:numPr>
                <w:ilvl w:val="0"/>
                <w:numId w:val="102"/>
              </w:numPr>
              <w:rPr>
                <w:i/>
                <w:sz w:val="24"/>
                <w:szCs w:val="24"/>
              </w:rPr>
            </w:pPr>
          </w:p>
        </w:tc>
        <w:tc>
          <w:tcPr>
            <w:tcW w:w="5069" w:type="dxa"/>
          </w:tcPr>
          <w:p w14:paraId="5B15CCB5" w14:textId="77777777" w:rsidR="001C08A5" w:rsidRDefault="00000000">
            <w:pPr>
              <w:rPr>
                <w:i/>
                <w:sz w:val="24"/>
                <w:szCs w:val="24"/>
              </w:rPr>
            </w:pPr>
            <w:r>
              <w:rPr>
                <w:i/>
                <w:sz w:val="24"/>
                <w:szCs w:val="24"/>
                <w:lang w:val="en-US" w:eastAsia="zh-CN"/>
              </w:rPr>
              <w:t>Țiței</w:t>
            </w:r>
          </w:p>
        </w:tc>
        <w:tc>
          <w:tcPr>
            <w:tcW w:w="2701" w:type="dxa"/>
          </w:tcPr>
          <w:p w14:paraId="6E5B3330" w14:textId="77777777" w:rsidR="001C08A5" w:rsidRDefault="00000000">
            <w:pPr>
              <w:rPr>
                <w:i/>
                <w:sz w:val="24"/>
                <w:szCs w:val="24"/>
                <w:lang w:val="en-US" w:eastAsia="zh-CN"/>
              </w:rPr>
            </w:pPr>
            <w:r>
              <w:rPr>
                <w:i/>
                <w:sz w:val="24"/>
                <w:szCs w:val="24"/>
                <w:lang w:val="en-US" w:eastAsia="zh-CN"/>
              </w:rPr>
              <w:t>43.111</w:t>
            </w:r>
          </w:p>
        </w:tc>
      </w:tr>
      <w:tr w:rsidR="001C08A5" w14:paraId="69F01EF8" w14:textId="77777777">
        <w:tc>
          <w:tcPr>
            <w:tcW w:w="752" w:type="dxa"/>
          </w:tcPr>
          <w:p w14:paraId="75571C1A" w14:textId="77777777" w:rsidR="001C08A5" w:rsidRDefault="001C08A5">
            <w:pPr>
              <w:numPr>
                <w:ilvl w:val="0"/>
                <w:numId w:val="102"/>
              </w:numPr>
              <w:rPr>
                <w:i/>
                <w:sz w:val="24"/>
                <w:szCs w:val="24"/>
              </w:rPr>
            </w:pPr>
          </w:p>
        </w:tc>
        <w:tc>
          <w:tcPr>
            <w:tcW w:w="5069" w:type="dxa"/>
          </w:tcPr>
          <w:p w14:paraId="29DE0789" w14:textId="77777777" w:rsidR="001C08A5" w:rsidRDefault="00000000">
            <w:pPr>
              <w:rPr>
                <w:i/>
                <w:sz w:val="24"/>
                <w:szCs w:val="24"/>
              </w:rPr>
            </w:pPr>
            <w:r>
              <w:rPr>
                <w:i/>
                <w:sz w:val="24"/>
                <w:szCs w:val="24"/>
                <w:lang w:val="en-US" w:eastAsia="zh-CN"/>
              </w:rPr>
              <w:t>Toluen</w:t>
            </w:r>
          </w:p>
        </w:tc>
        <w:tc>
          <w:tcPr>
            <w:tcW w:w="2701" w:type="dxa"/>
          </w:tcPr>
          <w:p w14:paraId="45D3D06F" w14:textId="77777777" w:rsidR="001C08A5" w:rsidRDefault="00000000">
            <w:pPr>
              <w:rPr>
                <w:i/>
                <w:sz w:val="24"/>
                <w:szCs w:val="24"/>
                <w:lang w:val="en-US" w:eastAsia="zh-CN"/>
              </w:rPr>
            </w:pPr>
            <w:r>
              <w:rPr>
                <w:i/>
                <w:sz w:val="24"/>
                <w:szCs w:val="24"/>
                <w:lang w:val="en-US" w:eastAsia="zh-CN"/>
              </w:rPr>
              <w:t>42.70</w:t>
            </w:r>
          </w:p>
        </w:tc>
      </w:tr>
      <w:tr w:rsidR="001C08A5" w14:paraId="3C264C9B" w14:textId="77777777">
        <w:tc>
          <w:tcPr>
            <w:tcW w:w="752" w:type="dxa"/>
          </w:tcPr>
          <w:p w14:paraId="3BE0F878" w14:textId="77777777" w:rsidR="001C08A5" w:rsidRDefault="001C08A5">
            <w:pPr>
              <w:numPr>
                <w:ilvl w:val="0"/>
                <w:numId w:val="102"/>
              </w:numPr>
              <w:rPr>
                <w:i/>
                <w:sz w:val="24"/>
                <w:szCs w:val="24"/>
              </w:rPr>
            </w:pPr>
          </w:p>
        </w:tc>
        <w:tc>
          <w:tcPr>
            <w:tcW w:w="5069" w:type="dxa"/>
          </w:tcPr>
          <w:p w14:paraId="40A8EE68" w14:textId="77777777" w:rsidR="001C08A5" w:rsidRDefault="00000000">
            <w:pPr>
              <w:rPr>
                <w:i/>
                <w:sz w:val="24"/>
                <w:szCs w:val="24"/>
              </w:rPr>
            </w:pPr>
            <w:r>
              <w:rPr>
                <w:i/>
                <w:sz w:val="24"/>
                <w:szCs w:val="24"/>
                <w:lang w:val="en-US" w:eastAsia="zh-CN"/>
              </w:rPr>
              <w:t>Tetraclorheptan</w:t>
            </w:r>
          </w:p>
        </w:tc>
        <w:tc>
          <w:tcPr>
            <w:tcW w:w="2701" w:type="dxa"/>
          </w:tcPr>
          <w:p w14:paraId="2BCEEB51" w14:textId="77777777" w:rsidR="001C08A5" w:rsidRDefault="00000000">
            <w:pPr>
              <w:rPr>
                <w:i/>
                <w:sz w:val="24"/>
                <w:szCs w:val="24"/>
                <w:lang w:val="en-US" w:eastAsia="zh-CN"/>
              </w:rPr>
            </w:pPr>
            <w:r>
              <w:rPr>
                <w:i/>
                <w:sz w:val="24"/>
                <w:szCs w:val="24"/>
                <w:lang w:val="en-US" w:eastAsia="zh-CN"/>
              </w:rPr>
              <w:t>15.20</w:t>
            </w:r>
          </w:p>
        </w:tc>
      </w:tr>
      <w:tr w:rsidR="001C08A5" w14:paraId="4BF52A18" w14:textId="77777777">
        <w:tc>
          <w:tcPr>
            <w:tcW w:w="752" w:type="dxa"/>
          </w:tcPr>
          <w:p w14:paraId="2455A968" w14:textId="77777777" w:rsidR="001C08A5" w:rsidRDefault="001C08A5">
            <w:pPr>
              <w:numPr>
                <w:ilvl w:val="0"/>
                <w:numId w:val="102"/>
              </w:numPr>
              <w:rPr>
                <w:i/>
                <w:sz w:val="24"/>
                <w:szCs w:val="24"/>
              </w:rPr>
            </w:pPr>
          </w:p>
        </w:tc>
        <w:tc>
          <w:tcPr>
            <w:tcW w:w="5069" w:type="dxa"/>
          </w:tcPr>
          <w:p w14:paraId="0550BF1F" w14:textId="77777777" w:rsidR="001C08A5" w:rsidRDefault="00000000">
            <w:pPr>
              <w:rPr>
                <w:i/>
                <w:sz w:val="24"/>
                <w:szCs w:val="24"/>
              </w:rPr>
            </w:pPr>
            <w:r>
              <w:rPr>
                <w:i/>
                <w:sz w:val="24"/>
                <w:szCs w:val="24"/>
                <w:lang w:val="en-US" w:eastAsia="zh-CN"/>
              </w:rPr>
              <w:t>Titan</w:t>
            </w:r>
          </w:p>
        </w:tc>
        <w:tc>
          <w:tcPr>
            <w:tcW w:w="2701" w:type="dxa"/>
          </w:tcPr>
          <w:p w14:paraId="05C0AE8E" w14:textId="77777777" w:rsidR="001C08A5" w:rsidRDefault="00000000">
            <w:pPr>
              <w:rPr>
                <w:i/>
                <w:sz w:val="24"/>
                <w:szCs w:val="24"/>
                <w:lang w:val="en-US" w:eastAsia="zh-CN"/>
              </w:rPr>
            </w:pPr>
            <w:r>
              <w:rPr>
                <w:i/>
                <w:sz w:val="24"/>
                <w:szCs w:val="24"/>
                <w:lang w:val="en-US" w:eastAsia="zh-CN"/>
              </w:rPr>
              <w:t>19.15</w:t>
            </w:r>
          </w:p>
        </w:tc>
      </w:tr>
      <w:tr w:rsidR="001C08A5" w14:paraId="0BD08F72" w14:textId="77777777">
        <w:tc>
          <w:tcPr>
            <w:tcW w:w="752" w:type="dxa"/>
          </w:tcPr>
          <w:p w14:paraId="175CB084" w14:textId="77777777" w:rsidR="001C08A5" w:rsidRDefault="001C08A5">
            <w:pPr>
              <w:numPr>
                <w:ilvl w:val="0"/>
                <w:numId w:val="102"/>
              </w:numPr>
              <w:rPr>
                <w:i/>
                <w:sz w:val="24"/>
                <w:szCs w:val="24"/>
              </w:rPr>
            </w:pPr>
          </w:p>
        </w:tc>
        <w:tc>
          <w:tcPr>
            <w:tcW w:w="5069" w:type="dxa"/>
          </w:tcPr>
          <w:p w14:paraId="59EC6A9A" w14:textId="77777777" w:rsidR="001C08A5" w:rsidRDefault="00000000">
            <w:pPr>
              <w:rPr>
                <w:i/>
                <w:sz w:val="24"/>
                <w:szCs w:val="24"/>
              </w:rPr>
            </w:pPr>
            <w:r>
              <w:rPr>
                <w:i/>
                <w:sz w:val="24"/>
                <w:szCs w:val="24"/>
                <w:lang w:val="en-US" w:eastAsia="zh-CN"/>
              </w:rPr>
              <w:t>Trifluorcloretilină</w:t>
            </w:r>
          </w:p>
        </w:tc>
        <w:tc>
          <w:tcPr>
            <w:tcW w:w="2701" w:type="dxa"/>
          </w:tcPr>
          <w:p w14:paraId="5DC28E0E" w14:textId="77777777" w:rsidR="001C08A5" w:rsidRDefault="00000000">
            <w:pPr>
              <w:rPr>
                <w:i/>
                <w:sz w:val="24"/>
                <w:szCs w:val="24"/>
              </w:rPr>
            </w:pPr>
            <w:r>
              <w:rPr>
                <w:i/>
                <w:sz w:val="24"/>
                <w:szCs w:val="24"/>
                <w:lang w:val="en-US" w:eastAsia="zh-CN"/>
              </w:rPr>
              <w:t>5.07</w:t>
            </w:r>
          </w:p>
        </w:tc>
      </w:tr>
      <w:tr w:rsidR="001C08A5" w14:paraId="3974A44A" w14:textId="77777777">
        <w:tc>
          <w:tcPr>
            <w:tcW w:w="752" w:type="dxa"/>
          </w:tcPr>
          <w:p w14:paraId="5B1BD284" w14:textId="77777777" w:rsidR="001C08A5" w:rsidRDefault="001C08A5">
            <w:pPr>
              <w:numPr>
                <w:ilvl w:val="0"/>
                <w:numId w:val="102"/>
              </w:numPr>
              <w:rPr>
                <w:i/>
                <w:sz w:val="24"/>
                <w:szCs w:val="24"/>
              </w:rPr>
            </w:pPr>
          </w:p>
        </w:tc>
        <w:tc>
          <w:tcPr>
            <w:tcW w:w="5069" w:type="dxa"/>
          </w:tcPr>
          <w:p w14:paraId="55680471" w14:textId="77777777" w:rsidR="001C08A5" w:rsidRDefault="00000000">
            <w:pPr>
              <w:rPr>
                <w:i/>
                <w:sz w:val="24"/>
                <w:szCs w:val="24"/>
              </w:rPr>
            </w:pPr>
            <w:r>
              <w:rPr>
                <w:i/>
                <w:sz w:val="24"/>
                <w:szCs w:val="24"/>
                <w:lang w:val="en-US" w:eastAsia="zh-CN"/>
              </w:rPr>
              <w:t>Trifluorclorpropan</w:t>
            </w:r>
          </w:p>
        </w:tc>
        <w:tc>
          <w:tcPr>
            <w:tcW w:w="2701" w:type="dxa"/>
          </w:tcPr>
          <w:p w14:paraId="127F51DF" w14:textId="77777777" w:rsidR="001C08A5" w:rsidRDefault="00000000">
            <w:pPr>
              <w:rPr>
                <w:i/>
                <w:sz w:val="24"/>
                <w:szCs w:val="24"/>
              </w:rPr>
            </w:pPr>
            <w:r>
              <w:rPr>
                <w:i/>
                <w:sz w:val="24"/>
                <w:szCs w:val="24"/>
                <w:lang w:val="en-US" w:eastAsia="zh-CN"/>
              </w:rPr>
              <w:t>9.65</w:t>
            </w:r>
          </w:p>
        </w:tc>
      </w:tr>
      <w:tr w:rsidR="001C08A5" w14:paraId="64AFF1E2" w14:textId="77777777">
        <w:tc>
          <w:tcPr>
            <w:tcW w:w="752" w:type="dxa"/>
          </w:tcPr>
          <w:p w14:paraId="4ACF8146" w14:textId="77777777" w:rsidR="001C08A5" w:rsidRDefault="001C08A5">
            <w:pPr>
              <w:numPr>
                <w:ilvl w:val="0"/>
                <w:numId w:val="102"/>
              </w:numPr>
              <w:rPr>
                <w:i/>
                <w:sz w:val="24"/>
                <w:szCs w:val="24"/>
              </w:rPr>
            </w:pPr>
          </w:p>
        </w:tc>
        <w:tc>
          <w:tcPr>
            <w:tcW w:w="5069" w:type="dxa"/>
          </w:tcPr>
          <w:p w14:paraId="159F44D5" w14:textId="77777777" w:rsidR="001C08A5" w:rsidRDefault="00000000">
            <w:pPr>
              <w:rPr>
                <w:i/>
                <w:sz w:val="24"/>
                <w:szCs w:val="24"/>
              </w:rPr>
            </w:pPr>
            <w:r>
              <w:rPr>
                <w:i/>
                <w:sz w:val="24"/>
                <w:szCs w:val="24"/>
                <w:lang w:val="en-US" w:eastAsia="zh-CN"/>
              </w:rPr>
              <w:t>Trifluoretan</w:t>
            </w:r>
          </w:p>
        </w:tc>
        <w:tc>
          <w:tcPr>
            <w:tcW w:w="2701" w:type="dxa"/>
          </w:tcPr>
          <w:p w14:paraId="1A205029" w14:textId="77777777" w:rsidR="001C08A5" w:rsidRDefault="00000000">
            <w:pPr>
              <w:rPr>
                <w:i/>
                <w:sz w:val="24"/>
                <w:szCs w:val="24"/>
              </w:rPr>
            </w:pPr>
            <w:r>
              <w:rPr>
                <w:i/>
                <w:sz w:val="24"/>
                <w:szCs w:val="24"/>
                <w:lang w:val="en-US" w:eastAsia="zh-CN"/>
              </w:rPr>
              <w:t>10.30</w:t>
            </w:r>
          </w:p>
        </w:tc>
      </w:tr>
      <w:tr w:rsidR="001C08A5" w14:paraId="079A151F" w14:textId="77777777">
        <w:tc>
          <w:tcPr>
            <w:tcW w:w="752" w:type="dxa"/>
          </w:tcPr>
          <w:p w14:paraId="4CDF65C2" w14:textId="77777777" w:rsidR="001C08A5" w:rsidRDefault="001C08A5">
            <w:pPr>
              <w:numPr>
                <w:ilvl w:val="0"/>
                <w:numId w:val="102"/>
              </w:numPr>
              <w:rPr>
                <w:i/>
                <w:sz w:val="24"/>
                <w:szCs w:val="24"/>
              </w:rPr>
            </w:pPr>
          </w:p>
        </w:tc>
        <w:tc>
          <w:tcPr>
            <w:tcW w:w="5069" w:type="dxa"/>
          </w:tcPr>
          <w:p w14:paraId="314FAA94" w14:textId="77777777" w:rsidR="001C08A5" w:rsidRDefault="00000000">
            <w:pPr>
              <w:rPr>
                <w:i/>
                <w:sz w:val="24"/>
                <w:szCs w:val="24"/>
              </w:rPr>
            </w:pPr>
            <w:r>
              <w:rPr>
                <w:i/>
                <w:sz w:val="24"/>
                <w:szCs w:val="24"/>
                <w:lang w:val="en-US" w:eastAsia="zh-CN"/>
              </w:rPr>
              <w:t>Trifluoretilină</w:t>
            </w:r>
          </w:p>
        </w:tc>
        <w:tc>
          <w:tcPr>
            <w:tcW w:w="2701" w:type="dxa"/>
          </w:tcPr>
          <w:p w14:paraId="584FC735" w14:textId="77777777" w:rsidR="001C08A5" w:rsidRDefault="00000000">
            <w:pPr>
              <w:rPr>
                <w:i/>
                <w:sz w:val="24"/>
                <w:szCs w:val="24"/>
              </w:rPr>
            </w:pPr>
            <w:r>
              <w:rPr>
                <w:i/>
                <w:sz w:val="24"/>
                <w:szCs w:val="24"/>
                <w:lang w:val="en-US" w:eastAsia="zh-CN"/>
              </w:rPr>
              <w:t>9.575</w:t>
            </w:r>
          </w:p>
        </w:tc>
      </w:tr>
      <w:tr w:rsidR="001C08A5" w14:paraId="0CD91080" w14:textId="77777777">
        <w:tc>
          <w:tcPr>
            <w:tcW w:w="752" w:type="dxa"/>
          </w:tcPr>
          <w:p w14:paraId="3D290A13" w14:textId="77777777" w:rsidR="001C08A5" w:rsidRDefault="001C08A5">
            <w:pPr>
              <w:numPr>
                <w:ilvl w:val="0"/>
                <w:numId w:val="102"/>
              </w:numPr>
              <w:rPr>
                <w:i/>
                <w:sz w:val="24"/>
                <w:szCs w:val="24"/>
                <w:lang w:val="en-US" w:eastAsia="zh-CN"/>
              </w:rPr>
            </w:pPr>
          </w:p>
        </w:tc>
        <w:tc>
          <w:tcPr>
            <w:tcW w:w="5069" w:type="dxa"/>
          </w:tcPr>
          <w:p w14:paraId="6A743D23" w14:textId="77777777" w:rsidR="001C08A5" w:rsidRDefault="00000000">
            <w:pPr>
              <w:rPr>
                <w:i/>
                <w:sz w:val="24"/>
                <w:szCs w:val="24"/>
              </w:rPr>
            </w:pPr>
            <w:r>
              <w:rPr>
                <w:i/>
                <w:sz w:val="24"/>
                <w:szCs w:val="24"/>
                <w:lang w:val="en-US" w:eastAsia="zh-CN"/>
              </w:rPr>
              <w:t>Turbă fibroasă umedă</w:t>
            </w:r>
          </w:p>
        </w:tc>
        <w:tc>
          <w:tcPr>
            <w:tcW w:w="2701" w:type="dxa"/>
          </w:tcPr>
          <w:p w14:paraId="085A5770" w14:textId="77777777" w:rsidR="001C08A5" w:rsidRDefault="00000000">
            <w:pPr>
              <w:rPr>
                <w:i/>
                <w:sz w:val="24"/>
                <w:szCs w:val="24"/>
              </w:rPr>
            </w:pPr>
            <w:r>
              <w:rPr>
                <w:i/>
                <w:sz w:val="24"/>
                <w:szCs w:val="24"/>
                <w:lang w:val="en-US" w:eastAsia="zh-CN"/>
              </w:rPr>
              <w:t>16.35</w:t>
            </w:r>
          </w:p>
        </w:tc>
      </w:tr>
      <w:tr w:rsidR="001C08A5" w14:paraId="12373E39" w14:textId="77777777">
        <w:tc>
          <w:tcPr>
            <w:tcW w:w="752" w:type="dxa"/>
          </w:tcPr>
          <w:p w14:paraId="7E5AA370" w14:textId="77777777" w:rsidR="001C08A5" w:rsidRDefault="001C08A5">
            <w:pPr>
              <w:numPr>
                <w:ilvl w:val="0"/>
                <w:numId w:val="102"/>
              </w:numPr>
              <w:rPr>
                <w:i/>
                <w:sz w:val="24"/>
                <w:szCs w:val="24"/>
                <w:lang w:val="en-US" w:eastAsia="zh-CN"/>
              </w:rPr>
            </w:pPr>
          </w:p>
        </w:tc>
        <w:tc>
          <w:tcPr>
            <w:tcW w:w="5069" w:type="dxa"/>
          </w:tcPr>
          <w:p w14:paraId="763CEE94" w14:textId="77777777" w:rsidR="001C08A5" w:rsidRDefault="00000000">
            <w:pPr>
              <w:rPr>
                <w:i/>
                <w:sz w:val="24"/>
                <w:szCs w:val="24"/>
              </w:rPr>
            </w:pPr>
            <w:r>
              <w:rPr>
                <w:i/>
                <w:sz w:val="24"/>
                <w:szCs w:val="24"/>
                <w:lang w:val="en-US" w:eastAsia="zh-CN"/>
              </w:rPr>
              <w:t>Turbă fibroasă uscată</w:t>
            </w:r>
          </w:p>
        </w:tc>
        <w:tc>
          <w:tcPr>
            <w:tcW w:w="2701" w:type="dxa"/>
          </w:tcPr>
          <w:p w14:paraId="1A999D60" w14:textId="77777777" w:rsidR="001C08A5" w:rsidRDefault="00000000">
            <w:pPr>
              <w:rPr>
                <w:i/>
                <w:sz w:val="24"/>
                <w:szCs w:val="24"/>
              </w:rPr>
            </w:pPr>
            <w:r>
              <w:rPr>
                <w:i/>
                <w:sz w:val="24"/>
                <w:szCs w:val="24"/>
                <w:lang w:val="en-US" w:eastAsia="zh-CN"/>
              </w:rPr>
              <w:t>21.75</w:t>
            </w:r>
          </w:p>
        </w:tc>
      </w:tr>
      <w:tr w:rsidR="001C08A5" w14:paraId="600F9925" w14:textId="77777777">
        <w:tc>
          <w:tcPr>
            <w:tcW w:w="752" w:type="dxa"/>
          </w:tcPr>
          <w:p w14:paraId="6C5ADC15" w14:textId="77777777" w:rsidR="001C08A5" w:rsidRDefault="001C08A5">
            <w:pPr>
              <w:numPr>
                <w:ilvl w:val="0"/>
                <w:numId w:val="102"/>
              </w:numPr>
              <w:rPr>
                <w:i/>
                <w:sz w:val="24"/>
                <w:szCs w:val="24"/>
              </w:rPr>
            </w:pPr>
          </w:p>
        </w:tc>
        <w:tc>
          <w:tcPr>
            <w:tcW w:w="5069" w:type="dxa"/>
          </w:tcPr>
          <w:p w14:paraId="74BA077D" w14:textId="77777777" w:rsidR="001C08A5" w:rsidRDefault="00000000">
            <w:pPr>
              <w:rPr>
                <w:i/>
                <w:sz w:val="24"/>
                <w:szCs w:val="24"/>
              </w:rPr>
            </w:pPr>
            <w:r>
              <w:rPr>
                <w:i/>
                <w:sz w:val="24"/>
                <w:szCs w:val="24"/>
                <w:lang w:val="en-US" w:eastAsia="zh-CN"/>
              </w:rPr>
              <w:t>Ulei de parafină</w:t>
            </w:r>
          </w:p>
        </w:tc>
        <w:tc>
          <w:tcPr>
            <w:tcW w:w="2701" w:type="dxa"/>
          </w:tcPr>
          <w:p w14:paraId="1FBE3BFA" w14:textId="77777777" w:rsidR="001C08A5" w:rsidRDefault="00000000">
            <w:pPr>
              <w:rPr>
                <w:i/>
                <w:sz w:val="24"/>
                <w:szCs w:val="24"/>
              </w:rPr>
            </w:pPr>
            <w:r>
              <w:rPr>
                <w:i/>
                <w:sz w:val="24"/>
                <w:szCs w:val="24"/>
                <w:lang w:val="en-US" w:eastAsia="zh-CN"/>
              </w:rPr>
              <w:t>41.85</w:t>
            </w:r>
          </w:p>
        </w:tc>
      </w:tr>
      <w:tr w:rsidR="001C08A5" w14:paraId="35FC5B02" w14:textId="77777777">
        <w:tc>
          <w:tcPr>
            <w:tcW w:w="752" w:type="dxa"/>
          </w:tcPr>
          <w:p w14:paraId="51730A8A" w14:textId="77777777" w:rsidR="001C08A5" w:rsidRDefault="001C08A5">
            <w:pPr>
              <w:numPr>
                <w:ilvl w:val="0"/>
                <w:numId w:val="102"/>
              </w:numPr>
              <w:rPr>
                <w:i/>
                <w:sz w:val="24"/>
                <w:szCs w:val="24"/>
              </w:rPr>
            </w:pPr>
          </w:p>
        </w:tc>
        <w:tc>
          <w:tcPr>
            <w:tcW w:w="5069" w:type="dxa"/>
          </w:tcPr>
          <w:p w14:paraId="456831C4" w14:textId="77777777" w:rsidR="001C08A5" w:rsidRDefault="00000000">
            <w:pPr>
              <w:rPr>
                <w:i/>
                <w:sz w:val="24"/>
                <w:szCs w:val="24"/>
              </w:rPr>
            </w:pPr>
            <w:r>
              <w:rPr>
                <w:i/>
                <w:sz w:val="24"/>
                <w:szCs w:val="24"/>
                <w:lang w:val="en-US" w:eastAsia="zh-CN"/>
              </w:rPr>
              <w:t>Ulei mineral</w:t>
            </w:r>
          </w:p>
        </w:tc>
        <w:tc>
          <w:tcPr>
            <w:tcW w:w="2701" w:type="dxa"/>
          </w:tcPr>
          <w:p w14:paraId="4949F9AE" w14:textId="77777777" w:rsidR="001C08A5" w:rsidRDefault="00000000">
            <w:pPr>
              <w:rPr>
                <w:i/>
                <w:sz w:val="24"/>
                <w:szCs w:val="24"/>
              </w:rPr>
            </w:pPr>
            <w:r>
              <w:rPr>
                <w:i/>
                <w:sz w:val="24"/>
                <w:szCs w:val="24"/>
                <w:lang w:val="en-US" w:eastAsia="zh-CN"/>
              </w:rPr>
              <w:t>39.85</w:t>
            </w:r>
          </w:p>
        </w:tc>
      </w:tr>
      <w:tr w:rsidR="001C08A5" w14:paraId="4FE481C6" w14:textId="77777777">
        <w:tc>
          <w:tcPr>
            <w:tcW w:w="752" w:type="dxa"/>
          </w:tcPr>
          <w:p w14:paraId="2D3C2A8D" w14:textId="77777777" w:rsidR="001C08A5" w:rsidRDefault="001C08A5">
            <w:pPr>
              <w:numPr>
                <w:ilvl w:val="0"/>
                <w:numId w:val="102"/>
              </w:numPr>
              <w:rPr>
                <w:i/>
                <w:sz w:val="24"/>
                <w:szCs w:val="24"/>
              </w:rPr>
            </w:pPr>
          </w:p>
        </w:tc>
        <w:tc>
          <w:tcPr>
            <w:tcW w:w="5069" w:type="dxa"/>
          </w:tcPr>
          <w:p w14:paraId="7839405B" w14:textId="77777777" w:rsidR="001C08A5" w:rsidRDefault="00000000">
            <w:pPr>
              <w:rPr>
                <w:i/>
                <w:sz w:val="24"/>
                <w:szCs w:val="24"/>
              </w:rPr>
            </w:pPr>
            <w:r>
              <w:rPr>
                <w:i/>
                <w:sz w:val="24"/>
                <w:szCs w:val="24"/>
                <w:lang w:val="en-US" w:eastAsia="zh-CN"/>
              </w:rPr>
              <w:t>Ulei vegetal</w:t>
            </w:r>
          </w:p>
        </w:tc>
        <w:tc>
          <w:tcPr>
            <w:tcW w:w="2701" w:type="dxa"/>
          </w:tcPr>
          <w:p w14:paraId="4766DACB" w14:textId="77777777" w:rsidR="001C08A5" w:rsidRDefault="00000000">
            <w:pPr>
              <w:rPr>
                <w:i/>
                <w:sz w:val="24"/>
                <w:szCs w:val="24"/>
              </w:rPr>
            </w:pPr>
            <w:r>
              <w:rPr>
                <w:i/>
                <w:sz w:val="24"/>
                <w:szCs w:val="24"/>
                <w:lang w:val="en-US" w:eastAsia="zh-CN"/>
              </w:rPr>
              <w:t>38.70</w:t>
            </w:r>
          </w:p>
        </w:tc>
      </w:tr>
      <w:tr w:rsidR="001C08A5" w14:paraId="1929B458" w14:textId="77777777">
        <w:tc>
          <w:tcPr>
            <w:tcW w:w="752" w:type="dxa"/>
          </w:tcPr>
          <w:p w14:paraId="0C537594" w14:textId="77777777" w:rsidR="001C08A5" w:rsidRDefault="001C08A5">
            <w:pPr>
              <w:numPr>
                <w:ilvl w:val="0"/>
                <w:numId w:val="102"/>
              </w:numPr>
              <w:rPr>
                <w:i/>
                <w:sz w:val="24"/>
                <w:szCs w:val="24"/>
              </w:rPr>
            </w:pPr>
          </w:p>
        </w:tc>
        <w:tc>
          <w:tcPr>
            <w:tcW w:w="5069" w:type="dxa"/>
          </w:tcPr>
          <w:p w14:paraId="78D270C6" w14:textId="77777777" w:rsidR="001C08A5" w:rsidRDefault="00000000">
            <w:pPr>
              <w:rPr>
                <w:i/>
                <w:sz w:val="24"/>
                <w:szCs w:val="24"/>
              </w:rPr>
            </w:pPr>
            <w:r>
              <w:rPr>
                <w:i/>
                <w:sz w:val="24"/>
                <w:szCs w:val="24"/>
                <w:lang w:val="en-US" w:eastAsia="zh-CN"/>
              </w:rPr>
              <w:t>Unt</w:t>
            </w:r>
          </w:p>
        </w:tc>
        <w:tc>
          <w:tcPr>
            <w:tcW w:w="2701" w:type="dxa"/>
          </w:tcPr>
          <w:p w14:paraId="3C3D5D1B" w14:textId="77777777" w:rsidR="001C08A5" w:rsidRDefault="00000000">
            <w:pPr>
              <w:rPr>
                <w:i/>
                <w:sz w:val="24"/>
                <w:szCs w:val="24"/>
              </w:rPr>
            </w:pPr>
            <w:r>
              <w:rPr>
                <w:i/>
                <w:sz w:val="24"/>
                <w:szCs w:val="24"/>
                <w:lang w:val="en-US" w:eastAsia="zh-CN"/>
              </w:rPr>
              <w:t>38.20</w:t>
            </w:r>
          </w:p>
        </w:tc>
      </w:tr>
      <w:tr w:rsidR="001C08A5" w14:paraId="20237E23" w14:textId="77777777">
        <w:tc>
          <w:tcPr>
            <w:tcW w:w="752" w:type="dxa"/>
          </w:tcPr>
          <w:p w14:paraId="6FF85E25" w14:textId="77777777" w:rsidR="001C08A5" w:rsidRDefault="001C08A5">
            <w:pPr>
              <w:numPr>
                <w:ilvl w:val="0"/>
                <w:numId w:val="102"/>
              </w:numPr>
              <w:rPr>
                <w:i/>
                <w:sz w:val="24"/>
                <w:szCs w:val="24"/>
              </w:rPr>
            </w:pPr>
          </w:p>
        </w:tc>
        <w:tc>
          <w:tcPr>
            <w:tcW w:w="5069" w:type="dxa"/>
          </w:tcPr>
          <w:p w14:paraId="2640AAE7" w14:textId="77777777" w:rsidR="001C08A5" w:rsidRDefault="00000000">
            <w:pPr>
              <w:rPr>
                <w:i/>
                <w:sz w:val="24"/>
                <w:szCs w:val="24"/>
              </w:rPr>
            </w:pPr>
            <w:r>
              <w:rPr>
                <w:i/>
                <w:sz w:val="24"/>
                <w:szCs w:val="24"/>
                <w:lang w:val="en-US" w:eastAsia="zh-CN"/>
              </w:rPr>
              <w:t>Uraniu</w:t>
            </w:r>
          </w:p>
        </w:tc>
        <w:tc>
          <w:tcPr>
            <w:tcW w:w="2701" w:type="dxa"/>
          </w:tcPr>
          <w:p w14:paraId="19E92455" w14:textId="77777777" w:rsidR="001C08A5" w:rsidRDefault="00000000">
            <w:pPr>
              <w:rPr>
                <w:i/>
                <w:sz w:val="24"/>
                <w:szCs w:val="24"/>
              </w:rPr>
            </w:pPr>
            <w:r>
              <w:rPr>
                <w:i/>
                <w:sz w:val="24"/>
                <w:szCs w:val="24"/>
                <w:lang w:val="en-US" w:eastAsia="zh-CN"/>
              </w:rPr>
              <w:t>5.15</w:t>
            </w:r>
          </w:p>
        </w:tc>
      </w:tr>
      <w:tr w:rsidR="001C08A5" w14:paraId="424E265D" w14:textId="77777777">
        <w:tc>
          <w:tcPr>
            <w:tcW w:w="752" w:type="dxa"/>
          </w:tcPr>
          <w:p w14:paraId="0CAAD378" w14:textId="77777777" w:rsidR="001C08A5" w:rsidRDefault="001C08A5">
            <w:pPr>
              <w:numPr>
                <w:ilvl w:val="0"/>
                <w:numId w:val="102"/>
              </w:numPr>
              <w:rPr>
                <w:i/>
                <w:sz w:val="24"/>
                <w:szCs w:val="24"/>
              </w:rPr>
            </w:pPr>
          </w:p>
        </w:tc>
        <w:tc>
          <w:tcPr>
            <w:tcW w:w="5069" w:type="dxa"/>
          </w:tcPr>
          <w:p w14:paraId="107F5267" w14:textId="77777777" w:rsidR="001C08A5" w:rsidRDefault="00000000">
            <w:pPr>
              <w:rPr>
                <w:i/>
                <w:sz w:val="24"/>
                <w:szCs w:val="24"/>
              </w:rPr>
            </w:pPr>
            <w:r>
              <w:rPr>
                <w:i/>
                <w:sz w:val="24"/>
                <w:szCs w:val="24"/>
                <w:lang w:val="en-US" w:eastAsia="zh-CN"/>
              </w:rPr>
              <w:t>Vată minerală de liant max 4%</w:t>
            </w:r>
          </w:p>
        </w:tc>
        <w:tc>
          <w:tcPr>
            <w:tcW w:w="2701" w:type="dxa"/>
          </w:tcPr>
          <w:p w14:paraId="7F88E88B" w14:textId="77777777" w:rsidR="001C08A5" w:rsidRDefault="00000000">
            <w:pPr>
              <w:rPr>
                <w:i/>
                <w:sz w:val="24"/>
                <w:szCs w:val="24"/>
              </w:rPr>
            </w:pPr>
            <w:r>
              <w:rPr>
                <w:i/>
                <w:sz w:val="24"/>
                <w:szCs w:val="24"/>
                <w:lang w:val="en-US" w:eastAsia="zh-CN"/>
              </w:rPr>
              <w:t>0.40</w:t>
            </w:r>
          </w:p>
        </w:tc>
      </w:tr>
      <w:tr w:rsidR="001C08A5" w14:paraId="3E92486F" w14:textId="77777777">
        <w:tc>
          <w:tcPr>
            <w:tcW w:w="752" w:type="dxa"/>
          </w:tcPr>
          <w:p w14:paraId="4B22A004" w14:textId="77777777" w:rsidR="001C08A5" w:rsidRDefault="001C08A5">
            <w:pPr>
              <w:numPr>
                <w:ilvl w:val="0"/>
                <w:numId w:val="102"/>
              </w:numPr>
              <w:rPr>
                <w:i/>
                <w:sz w:val="24"/>
                <w:szCs w:val="24"/>
              </w:rPr>
            </w:pPr>
          </w:p>
        </w:tc>
        <w:tc>
          <w:tcPr>
            <w:tcW w:w="5069" w:type="dxa"/>
          </w:tcPr>
          <w:p w14:paraId="0A619851" w14:textId="77777777" w:rsidR="001C08A5" w:rsidRDefault="00000000">
            <w:pPr>
              <w:rPr>
                <w:i/>
                <w:sz w:val="24"/>
                <w:szCs w:val="24"/>
              </w:rPr>
            </w:pPr>
            <w:r>
              <w:rPr>
                <w:i/>
                <w:sz w:val="24"/>
                <w:szCs w:val="24"/>
                <w:lang w:val="en-US" w:eastAsia="zh-CN"/>
              </w:rPr>
              <w:t>Vată minerală de liant peste 4%</w:t>
            </w:r>
          </w:p>
        </w:tc>
        <w:tc>
          <w:tcPr>
            <w:tcW w:w="2701" w:type="dxa"/>
          </w:tcPr>
          <w:p w14:paraId="5D1D0D40" w14:textId="77777777" w:rsidR="001C08A5" w:rsidRDefault="00000000">
            <w:pPr>
              <w:rPr>
                <w:i/>
                <w:sz w:val="24"/>
                <w:szCs w:val="24"/>
              </w:rPr>
            </w:pPr>
            <w:r>
              <w:rPr>
                <w:i/>
                <w:sz w:val="24"/>
                <w:szCs w:val="24"/>
                <w:lang w:val="en-US" w:eastAsia="zh-CN"/>
              </w:rPr>
              <w:t>0.55</w:t>
            </w:r>
          </w:p>
        </w:tc>
      </w:tr>
      <w:tr w:rsidR="001C08A5" w14:paraId="776CA4EA" w14:textId="77777777">
        <w:tc>
          <w:tcPr>
            <w:tcW w:w="752" w:type="dxa"/>
          </w:tcPr>
          <w:p w14:paraId="0CF1B1A7" w14:textId="77777777" w:rsidR="001C08A5" w:rsidRDefault="001C08A5">
            <w:pPr>
              <w:numPr>
                <w:ilvl w:val="0"/>
                <w:numId w:val="102"/>
              </w:numPr>
              <w:rPr>
                <w:i/>
                <w:sz w:val="24"/>
                <w:szCs w:val="24"/>
              </w:rPr>
            </w:pPr>
          </w:p>
        </w:tc>
        <w:tc>
          <w:tcPr>
            <w:tcW w:w="5069" w:type="dxa"/>
          </w:tcPr>
          <w:p w14:paraId="2F3919A7" w14:textId="77777777" w:rsidR="001C08A5" w:rsidRDefault="00000000">
            <w:pPr>
              <w:rPr>
                <w:i/>
                <w:sz w:val="24"/>
                <w:szCs w:val="24"/>
              </w:rPr>
            </w:pPr>
            <w:r>
              <w:rPr>
                <w:i/>
                <w:sz w:val="24"/>
                <w:szCs w:val="24"/>
                <w:lang w:val="en-US" w:eastAsia="zh-CN"/>
              </w:rPr>
              <w:t>Zahăr</w:t>
            </w:r>
          </w:p>
        </w:tc>
        <w:tc>
          <w:tcPr>
            <w:tcW w:w="2701" w:type="dxa"/>
          </w:tcPr>
          <w:p w14:paraId="3C99E82C" w14:textId="77777777" w:rsidR="001C08A5" w:rsidRDefault="00000000">
            <w:pPr>
              <w:rPr>
                <w:i/>
                <w:sz w:val="24"/>
                <w:szCs w:val="24"/>
              </w:rPr>
            </w:pPr>
            <w:r>
              <w:rPr>
                <w:i/>
                <w:sz w:val="24"/>
                <w:szCs w:val="24"/>
                <w:lang w:val="en-US" w:eastAsia="zh-CN"/>
              </w:rPr>
              <w:t>16.75</w:t>
            </w:r>
          </w:p>
        </w:tc>
      </w:tr>
      <w:tr w:rsidR="001C08A5" w14:paraId="7FB79B0C" w14:textId="77777777">
        <w:tc>
          <w:tcPr>
            <w:tcW w:w="752" w:type="dxa"/>
          </w:tcPr>
          <w:p w14:paraId="1DFFA969" w14:textId="77777777" w:rsidR="001C08A5" w:rsidRDefault="001C08A5">
            <w:pPr>
              <w:numPr>
                <w:ilvl w:val="0"/>
                <w:numId w:val="102"/>
              </w:numPr>
              <w:rPr>
                <w:i/>
                <w:sz w:val="24"/>
                <w:szCs w:val="24"/>
              </w:rPr>
            </w:pPr>
          </w:p>
        </w:tc>
        <w:tc>
          <w:tcPr>
            <w:tcW w:w="5069" w:type="dxa"/>
          </w:tcPr>
          <w:p w14:paraId="7412D31E" w14:textId="77777777" w:rsidR="001C08A5" w:rsidRDefault="00000000">
            <w:pPr>
              <w:rPr>
                <w:i/>
                <w:sz w:val="24"/>
                <w:szCs w:val="24"/>
              </w:rPr>
            </w:pPr>
            <w:r>
              <w:rPr>
                <w:i/>
                <w:sz w:val="24"/>
                <w:szCs w:val="24"/>
                <w:lang w:val="en-US" w:eastAsia="zh-CN"/>
              </w:rPr>
              <w:t>Zirconiu</w:t>
            </w:r>
          </w:p>
        </w:tc>
        <w:tc>
          <w:tcPr>
            <w:tcW w:w="2701" w:type="dxa"/>
          </w:tcPr>
          <w:p w14:paraId="113A2C06" w14:textId="77777777" w:rsidR="001C08A5" w:rsidRDefault="00000000">
            <w:pPr>
              <w:rPr>
                <w:i/>
                <w:sz w:val="24"/>
                <w:szCs w:val="24"/>
              </w:rPr>
            </w:pPr>
            <w:r>
              <w:rPr>
                <w:i/>
                <w:sz w:val="24"/>
                <w:szCs w:val="24"/>
                <w:lang w:val="en-US" w:eastAsia="zh-CN"/>
              </w:rPr>
              <w:t>12.20</w:t>
            </w:r>
          </w:p>
        </w:tc>
      </w:tr>
      <w:tr w:rsidR="001C08A5" w14:paraId="45357B34" w14:textId="77777777">
        <w:tc>
          <w:tcPr>
            <w:tcW w:w="752" w:type="dxa"/>
          </w:tcPr>
          <w:p w14:paraId="41C41664" w14:textId="77777777" w:rsidR="001C08A5" w:rsidRDefault="001C08A5">
            <w:pPr>
              <w:numPr>
                <w:ilvl w:val="0"/>
                <w:numId w:val="102"/>
              </w:numPr>
              <w:rPr>
                <w:i/>
                <w:sz w:val="24"/>
                <w:szCs w:val="24"/>
              </w:rPr>
            </w:pPr>
          </w:p>
        </w:tc>
        <w:tc>
          <w:tcPr>
            <w:tcW w:w="5069" w:type="dxa"/>
          </w:tcPr>
          <w:p w14:paraId="1A9BDE0F" w14:textId="77777777" w:rsidR="001C08A5" w:rsidRDefault="00000000">
            <w:pPr>
              <w:rPr>
                <w:i/>
                <w:sz w:val="24"/>
                <w:szCs w:val="24"/>
              </w:rPr>
            </w:pPr>
            <w:r>
              <w:rPr>
                <w:i/>
                <w:sz w:val="24"/>
                <w:szCs w:val="24"/>
                <w:lang w:val="en-US" w:eastAsia="zh-CN"/>
              </w:rPr>
              <w:t>Xilen</w:t>
            </w:r>
          </w:p>
        </w:tc>
        <w:tc>
          <w:tcPr>
            <w:tcW w:w="2701" w:type="dxa"/>
          </w:tcPr>
          <w:p w14:paraId="68A2B638" w14:textId="77777777" w:rsidR="001C08A5" w:rsidRDefault="00000000">
            <w:pPr>
              <w:rPr>
                <w:i/>
                <w:sz w:val="24"/>
                <w:szCs w:val="24"/>
              </w:rPr>
            </w:pPr>
            <w:r>
              <w:rPr>
                <w:i/>
                <w:sz w:val="24"/>
                <w:szCs w:val="24"/>
                <w:lang w:val="en-US" w:eastAsia="zh-CN"/>
              </w:rPr>
              <w:t>42.90</w:t>
            </w:r>
          </w:p>
        </w:tc>
      </w:tr>
    </w:tbl>
    <w:p w14:paraId="2FC45335" w14:textId="77777777" w:rsidR="001C08A5" w:rsidRDefault="00000000">
      <w:pPr>
        <w:jc w:val="both"/>
        <w:rPr>
          <w:b/>
          <w:bCs/>
          <w:i/>
          <w:sz w:val="24"/>
          <w:szCs w:val="24"/>
        </w:rPr>
      </w:pPr>
      <w:r>
        <w:rPr>
          <w:b/>
          <w:bCs/>
          <w:i/>
          <w:sz w:val="24"/>
          <w:szCs w:val="24"/>
          <w:lang w:val="en-US" w:eastAsia="zh-CN"/>
        </w:rPr>
        <w:t>*)</w:t>
      </w:r>
      <w:r>
        <w:rPr>
          <w:b/>
          <w:bCs/>
          <w:i/>
          <w:sz w:val="24"/>
          <w:szCs w:val="24"/>
          <w:lang w:eastAsia="zh-CN"/>
        </w:rPr>
        <w:t xml:space="preserve"> </w:t>
      </w:r>
      <w:r>
        <w:rPr>
          <w:i/>
          <w:sz w:val="24"/>
          <w:szCs w:val="24"/>
          <w:lang w:val="en-US" w:eastAsia="zh-CN"/>
        </w:rPr>
        <w:t>Exprimat în</w:t>
      </w:r>
      <w:r>
        <w:rPr>
          <w:b/>
          <w:bCs/>
          <w:i/>
          <w:sz w:val="24"/>
          <w:szCs w:val="24"/>
          <w:lang w:val="en-US" w:eastAsia="zh-CN"/>
        </w:rPr>
        <w:t xml:space="preserve"> MJ/m</w:t>
      </w:r>
      <w:r>
        <w:rPr>
          <w:b/>
          <w:bCs/>
          <w:i/>
          <w:sz w:val="24"/>
          <w:szCs w:val="24"/>
          <w:vertAlign w:val="superscript"/>
          <w:lang w:val="en-US" w:eastAsia="zh-CN"/>
        </w:rPr>
        <w:t>3</w:t>
      </w:r>
      <w:r>
        <w:rPr>
          <w:b/>
          <w:bCs/>
          <w:i/>
          <w:sz w:val="24"/>
          <w:szCs w:val="24"/>
          <w:lang w:val="en-US" w:eastAsia="zh-CN"/>
        </w:rPr>
        <w:t>N</w:t>
      </w:r>
    </w:p>
    <w:p w14:paraId="19B8DF83" w14:textId="77777777" w:rsidR="001C08A5" w:rsidRDefault="001C08A5">
      <w:pPr>
        <w:jc w:val="both"/>
        <w:rPr>
          <w:b/>
          <w:bCs/>
          <w:i/>
          <w:sz w:val="24"/>
          <w:szCs w:val="24"/>
        </w:rPr>
      </w:pPr>
    </w:p>
    <w:p w14:paraId="64637476" w14:textId="77777777" w:rsidR="001C08A5" w:rsidRDefault="001C08A5">
      <w:pPr>
        <w:jc w:val="both"/>
        <w:rPr>
          <w:b/>
          <w:bCs/>
          <w:i/>
          <w:sz w:val="24"/>
          <w:szCs w:val="24"/>
        </w:rPr>
      </w:pPr>
    </w:p>
    <w:p w14:paraId="5677C4D5" w14:textId="77777777" w:rsidR="001C08A5" w:rsidRDefault="001C08A5">
      <w:pPr>
        <w:jc w:val="both"/>
        <w:rPr>
          <w:b/>
          <w:bCs/>
          <w:i/>
          <w:sz w:val="24"/>
          <w:szCs w:val="24"/>
        </w:rPr>
      </w:pPr>
    </w:p>
    <w:p w14:paraId="4BC703C8" w14:textId="77777777" w:rsidR="001C08A5" w:rsidRDefault="001C08A5">
      <w:pPr>
        <w:jc w:val="both"/>
        <w:rPr>
          <w:b/>
          <w:bCs/>
          <w:i/>
          <w:sz w:val="24"/>
          <w:szCs w:val="24"/>
        </w:rPr>
      </w:pPr>
    </w:p>
    <w:p w14:paraId="2CE8F8C8" w14:textId="77777777" w:rsidR="001C08A5" w:rsidRDefault="00000000">
      <w:pPr>
        <w:pStyle w:val="Heading3"/>
        <w:rPr>
          <w:i/>
          <w:iCs/>
          <w:sz w:val="24"/>
          <w:szCs w:val="24"/>
        </w:rPr>
      </w:pPr>
      <w:bookmarkStart w:id="10209" w:name="_Toc19165"/>
      <w:bookmarkStart w:id="10210" w:name="_Toc26216"/>
      <w:bookmarkStart w:id="10211" w:name="_Toc162355507"/>
      <w:bookmarkStart w:id="10212" w:name="_Toc31618"/>
      <w:bookmarkStart w:id="10213" w:name="_Toc24136"/>
      <w:bookmarkStart w:id="10214" w:name="_Toc14652"/>
      <w:r>
        <w:rPr>
          <w:i/>
          <w:iCs/>
          <w:sz w:val="24"/>
          <w:szCs w:val="24"/>
        </w:rPr>
        <w:lastRenderedPageBreak/>
        <w:t>ANEXA 9.2 - PUTERI CALORIFICE PENTRU CABLURI</w:t>
      </w:r>
      <w:bookmarkEnd w:id="10209"/>
      <w:bookmarkEnd w:id="10210"/>
      <w:bookmarkEnd w:id="10211"/>
      <w:bookmarkEnd w:id="10212"/>
      <w:bookmarkEnd w:id="10213"/>
      <w:bookmarkEnd w:id="10214"/>
      <w:r>
        <w:rPr>
          <w:i/>
          <w:iCs/>
          <w:sz w:val="24"/>
          <w:szCs w:val="24"/>
        </w:rPr>
        <w:t xml:space="preserve"> </w:t>
      </w:r>
    </w:p>
    <w:p w14:paraId="009CE46E" w14:textId="77777777" w:rsidR="001C08A5" w:rsidRDefault="001C08A5">
      <w:pPr>
        <w:jc w:val="both"/>
        <w:rPr>
          <w:rFonts w:eastAsia="CorporateSTOT-Reg"/>
          <w:i/>
          <w:sz w:val="24"/>
          <w:szCs w:val="24"/>
        </w:rPr>
      </w:pPr>
    </w:p>
    <w:p w14:paraId="1DF40649" w14:textId="77777777" w:rsidR="001C08A5" w:rsidRDefault="00000000">
      <w:pPr>
        <w:numPr>
          <w:ilvl w:val="0"/>
          <w:numId w:val="96"/>
        </w:numPr>
        <w:tabs>
          <w:tab w:val="left" w:pos="426"/>
          <w:tab w:val="left" w:pos="993"/>
        </w:tabs>
        <w:jc w:val="both"/>
        <w:rPr>
          <w:rFonts w:eastAsia="CorporateSTOT-Bol"/>
          <w:i/>
          <w:sz w:val="24"/>
          <w:szCs w:val="24"/>
        </w:rPr>
      </w:pPr>
      <w:r>
        <w:rPr>
          <w:bCs/>
          <w:i/>
          <w:sz w:val="24"/>
        </w:rPr>
        <w:t xml:space="preserve">Calculul sarcinii termice pentru cabluri, se realizează utilizând valorile puterilor calorifice pentru acestea, conform </w:t>
      </w:r>
      <w:r>
        <w:rPr>
          <w:b/>
          <w:i/>
          <w:sz w:val="24"/>
          <w:szCs w:val="24"/>
        </w:rPr>
        <w:fldChar w:fldCharType="begin"/>
      </w:r>
      <w:r>
        <w:rPr>
          <w:b/>
          <w:i/>
          <w:sz w:val="24"/>
          <w:szCs w:val="24"/>
        </w:rPr>
        <w:instrText xml:space="preserve"> REF _Ref20823 \h </w:instrText>
      </w:r>
      <w:r>
        <w:rPr>
          <w:b/>
          <w:i/>
          <w:sz w:val="24"/>
          <w:szCs w:val="24"/>
        </w:rPr>
      </w:r>
      <w:r>
        <w:rPr>
          <w:b/>
          <w:i/>
          <w:sz w:val="24"/>
          <w:szCs w:val="24"/>
        </w:rPr>
        <w:fldChar w:fldCharType="separate"/>
      </w:r>
      <w:r>
        <w:t>Tabelul 138</w:t>
      </w:r>
      <w:r>
        <w:rPr>
          <w:b/>
          <w:i/>
          <w:sz w:val="24"/>
          <w:szCs w:val="24"/>
        </w:rPr>
        <w:fldChar w:fldCharType="end"/>
      </w:r>
      <w:r>
        <w:rPr>
          <w:bCs/>
          <w:i/>
          <w:sz w:val="24"/>
        </w:rPr>
        <w:t xml:space="preserve"> </w:t>
      </w:r>
      <w:r>
        <w:rPr>
          <w:b/>
          <w:i/>
          <w:sz w:val="24"/>
        </w:rPr>
        <w:t>.</w:t>
      </w:r>
    </w:p>
    <w:p w14:paraId="35A1EC72" w14:textId="77777777" w:rsidR="001C08A5" w:rsidRDefault="001C08A5">
      <w:pPr>
        <w:tabs>
          <w:tab w:val="left" w:pos="426"/>
          <w:tab w:val="left" w:pos="993"/>
        </w:tabs>
        <w:jc w:val="both"/>
        <w:rPr>
          <w:rFonts w:eastAsia="CorporateSTOT-Bol"/>
          <w:i/>
          <w:sz w:val="24"/>
          <w:szCs w:val="24"/>
        </w:rPr>
      </w:pPr>
    </w:p>
    <w:p w14:paraId="1FF8B329" w14:textId="77777777" w:rsidR="001C08A5" w:rsidRDefault="00000000">
      <w:pPr>
        <w:numPr>
          <w:ilvl w:val="0"/>
          <w:numId w:val="96"/>
        </w:numPr>
        <w:tabs>
          <w:tab w:val="left" w:pos="426"/>
          <w:tab w:val="left" w:pos="993"/>
        </w:tabs>
        <w:jc w:val="both"/>
        <w:rPr>
          <w:rFonts w:eastAsia="CorporateSTOT-Bol"/>
          <w:i/>
          <w:sz w:val="24"/>
          <w:szCs w:val="24"/>
        </w:rPr>
      </w:pPr>
      <w:r>
        <w:rPr>
          <w:rFonts w:eastAsia="CorporateSTOT-Reg"/>
          <w:i/>
          <w:sz w:val="24"/>
          <w:szCs w:val="24"/>
        </w:rPr>
        <w:t>Calculul sarcinii termice se realizează după cum urmează: din valoarea greutăţii a unui km de cablu, de scade greutatea cuprului, ulterior se împarte la 1000 pentru a obţine greutatea specifică în kg/m și se înmulţeşte valoarea obţinută cu valoarea puterii calorifice corespunzătoare materialului.</w:t>
      </w:r>
    </w:p>
    <w:p w14:paraId="22FDF0AE" w14:textId="77777777" w:rsidR="001C08A5" w:rsidRDefault="001C08A5">
      <w:pPr>
        <w:tabs>
          <w:tab w:val="left" w:pos="426"/>
          <w:tab w:val="left" w:pos="993"/>
        </w:tabs>
        <w:jc w:val="both"/>
        <w:rPr>
          <w:rFonts w:eastAsia="CorporateSTOT-Reg"/>
          <w:i/>
          <w:sz w:val="24"/>
          <w:szCs w:val="24"/>
        </w:rPr>
      </w:pPr>
    </w:p>
    <w:p w14:paraId="03071350" w14:textId="77777777" w:rsidR="001C08A5" w:rsidRDefault="00000000">
      <w:pPr>
        <w:pStyle w:val="Caption"/>
        <w:rPr>
          <w:bCs/>
        </w:rPr>
      </w:pPr>
      <w:bookmarkStart w:id="10215" w:name="_Ref20823"/>
      <w:bookmarkStart w:id="10216" w:name="_Toc162360188"/>
      <w:r>
        <w:t xml:space="preserve">Tabelul </w:t>
      </w:r>
      <w:r>
        <w:fldChar w:fldCharType="begin"/>
      </w:r>
      <w:r>
        <w:instrText xml:space="preserve"> SEQ Tabelul \* ARABIC </w:instrText>
      </w:r>
      <w:r>
        <w:fldChar w:fldCharType="separate"/>
      </w:r>
      <w:r>
        <w:t>138</w:t>
      </w:r>
      <w:r>
        <w:fldChar w:fldCharType="end"/>
      </w:r>
      <w:bookmarkStart w:id="10217" w:name="_Toc30464"/>
      <w:bookmarkStart w:id="10218" w:name="_Toc28671"/>
      <w:bookmarkStart w:id="10219" w:name="_Toc7528"/>
      <w:bookmarkStart w:id="10220" w:name="_Toc1019"/>
      <w:bookmarkStart w:id="10221" w:name="_Toc24101"/>
      <w:bookmarkStart w:id="10222" w:name="_Toc17479"/>
      <w:bookmarkStart w:id="10223" w:name="_Toc27154"/>
      <w:bookmarkStart w:id="10224" w:name="_Toc30661"/>
      <w:bookmarkStart w:id="10225" w:name="_Toc25307"/>
      <w:bookmarkStart w:id="10226" w:name="_Toc13020"/>
      <w:bookmarkStart w:id="10227" w:name="_Toc13929"/>
      <w:bookmarkStart w:id="10228" w:name="_Toc12209"/>
      <w:bookmarkEnd w:id="10215"/>
      <w:r>
        <w:t xml:space="preserve">: </w:t>
      </w:r>
      <w:r>
        <w:rPr>
          <w:bCs/>
        </w:rPr>
        <w:t>Valorile puterii calorifice pentru cabluri</w:t>
      </w:r>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p>
    <w:p w14:paraId="417C9E35" w14:textId="77777777" w:rsidR="001C08A5" w:rsidRDefault="001C08A5">
      <w:pPr>
        <w:tabs>
          <w:tab w:val="left" w:pos="426"/>
          <w:tab w:val="left" w:pos="993"/>
        </w:tabs>
        <w:jc w:val="both"/>
        <w:rPr>
          <w:rFonts w:eastAsia="CorporateSTOT-Reg"/>
          <w:i/>
          <w:sz w:val="24"/>
          <w:szCs w:val="24"/>
        </w:rPr>
      </w:pPr>
    </w:p>
    <w:tbl>
      <w:tblPr>
        <w:tblStyle w:val="TableGrid"/>
        <w:tblW w:w="0" w:type="auto"/>
        <w:tblLook w:val="04A0" w:firstRow="1" w:lastRow="0" w:firstColumn="1" w:lastColumn="0" w:noHBand="0" w:noVBand="1"/>
      </w:tblPr>
      <w:tblGrid>
        <w:gridCol w:w="2840"/>
        <w:gridCol w:w="2840"/>
      </w:tblGrid>
      <w:tr w:rsidR="001C08A5" w14:paraId="6AA068A2" w14:textId="77777777">
        <w:tc>
          <w:tcPr>
            <w:tcW w:w="2840" w:type="dxa"/>
          </w:tcPr>
          <w:p w14:paraId="64CE2F4C" w14:textId="77777777" w:rsidR="001C08A5" w:rsidRDefault="00000000">
            <w:pPr>
              <w:jc w:val="left"/>
              <w:rPr>
                <w:rFonts w:eastAsia="CorporateSTOT-Bol"/>
                <w:b/>
                <w:bCs/>
                <w:i/>
                <w:sz w:val="24"/>
                <w:szCs w:val="24"/>
              </w:rPr>
            </w:pPr>
            <w:r>
              <w:rPr>
                <w:rFonts w:eastAsia="CorporateSTOT-Bol"/>
                <w:b/>
                <w:bCs/>
                <w:i/>
                <w:sz w:val="24"/>
                <w:szCs w:val="24"/>
              </w:rPr>
              <w:t>Material</w:t>
            </w:r>
          </w:p>
          <w:p w14:paraId="54F9517F" w14:textId="77777777" w:rsidR="001C08A5" w:rsidRDefault="00000000">
            <w:pPr>
              <w:jc w:val="left"/>
              <w:rPr>
                <w:rFonts w:eastAsia="CorporateSTOT-Bol"/>
                <w:b/>
                <w:bCs/>
                <w:i/>
                <w:sz w:val="24"/>
                <w:szCs w:val="24"/>
              </w:rPr>
            </w:pPr>
            <w:r>
              <w:rPr>
                <w:rFonts w:eastAsia="CorporateSTOT-Bol"/>
                <w:b/>
                <w:bCs/>
                <w:i/>
                <w:sz w:val="24"/>
                <w:szCs w:val="24"/>
              </w:rPr>
              <w:t>tip</w:t>
            </w:r>
          </w:p>
        </w:tc>
        <w:tc>
          <w:tcPr>
            <w:tcW w:w="2840" w:type="dxa"/>
          </w:tcPr>
          <w:p w14:paraId="7BB85BA3" w14:textId="77777777" w:rsidR="001C08A5" w:rsidRDefault="00000000">
            <w:pPr>
              <w:jc w:val="left"/>
              <w:rPr>
                <w:rFonts w:eastAsia="CorporateSTOT-Bol"/>
                <w:b/>
                <w:bCs/>
                <w:i/>
                <w:sz w:val="24"/>
                <w:szCs w:val="24"/>
              </w:rPr>
            </w:pPr>
            <w:r>
              <w:rPr>
                <w:rFonts w:eastAsia="CorporateSTOT-Bol"/>
                <w:b/>
                <w:bCs/>
                <w:i/>
                <w:sz w:val="24"/>
                <w:szCs w:val="24"/>
              </w:rPr>
              <w:t xml:space="preserve">Puterea calorifică în MJ/kg </w:t>
            </w:r>
            <w:r>
              <w:rPr>
                <w:rFonts w:eastAsia="CorporateSTOT-Bol"/>
                <w:i/>
                <w:sz w:val="24"/>
                <w:szCs w:val="24"/>
              </w:rPr>
              <w:t>(media)</w:t>
            </w:r>
          </w:p>
        </w:tc>
      </w:tr>
      <w:tr w:rsidR="001C08A5" w14:paraId="6447F60C" w14:textId="77777777">
        <w:tc>
          <w:tcPr>
            <w:tcW w:w="2840" w:type="dxa"/>
          </w:tcPr>
          <w:p w14:paraId="26DB08C3" w14:textId="77777777" w:rsidR="001C08A5" w:rsidRDefault="00000000">
            <w:pPr>
              <w:jc w:val="left"/>
              <w:rPr>
                <w:rFonts w:eastAsia="CorporateSTOT-Reg"/>
                <w:i/>
                <w:sz w:val="24"/>
                <w:szCs w:val="24"/>
              </w:rPr>
            </w:pPr>
            <w:r>
              <w:rPr>
                <w:rFonts w:eastAsia="CorporateSTOT-Reg"/>
                <w:i/>
                <w:sz w:val="24"/>
                <w:szCs w:val="24"/>
              </w:rPr>
              <w:t xml:space="preserve">PVC </w:t>
            </w:r>
          </w:p>
        </w:tc>
        <w:tc>
          <w:tcPr>
            <w:tcW w:w="2840" w:type="dxa"/>
          </w:tcPr>
          <w:p w14:paraId="3BEBE89F" w14:textId="77777777" w:rsidR="001C08A5" w:rsidRDefault="00000000">
            <w:pPr>
              <w:jc w:val="left"/>
              <w:rPr>
                <w:rFonts w:eastAsia="CorporateSTOT-Bol"/>
                <w:i/>
                <w:sz w:val="24"/>
                <w:szCs w:val="24"/>
              </w:rPr>
            </w:pPr>
            <w:r>
              <w:rPr>
                <w:rFonts w:eastAsia="CorporateSTOT-Reg"/>
                <w:i/>
                <w:sz w:val="24"/>
                <w:szCs w:val="24"/>
              </w:rPr>
              <w:t>21</w:t>
            </w:r>
          </w:p>
        </w:tc>
      </w:tr>
      <w:tr w:rsidR="001C08A5" w14:paraId="3D2D38D3" w14:textId="77777777">
        <w:tc>
          <w:tcPr>
            <w:tcW w:w="2840" w:type="dxa"/>
          </w:tcPr>
          <w:p w14:paraId="37B725D8" w14:textId="77777777" w:rsidR="001C08A5" w:rsidRDefault="00000000">
            <w:pPr>
              <w:jc w:val="left"/>
              <w:rPr>
                <w:rFonts w:eastAsia="CorporateSTOT-Bol"/>
                <w:i/>
                <w:sz w:val="24"/>
                <w:szCs w:val="24"/>
              </w:rPr>
            </w:pPr>
            <w:r>
              <w:rPr>
                <w:rFonts w:eastAsia="CorporateSTOT-Reg"/>
                <w:i/>
                <w:sz w:val="24"/>
                <w:szCs w:val="24"/>
              </w:rPr>
              <w:t xml:space="preserve">PE </w:t>
            </w:r>
          </w:p>
        </w:tc>
        <w:tc>
          <w:tcPr>
            <w:tcW w:w="2840" w:type="dxa"/>
          </w:tcPr>
          <w:p w14:paraId="08339023" w14:textId="77777777" w:rsidR="001C08A5" w:rsidRDefault="00000000">
            <w:pPr>
              <w:jc w:val="left"/>
              <w:rPr>
                <w:rFonts w:eastAsia="CorporateSTOT-Bol"/>
                <w:i/>
                <w:sz w:val="24"/>
                <w:szCs w:val="24"/>
              </w:rPr>
            </w:pPr>
            <w:r>
              <w:rPr>
                <w:rFonts w:eastAsia="CorporateSTOT-Reg"/>
                <w:i/>
                <w:sz w:val="24"/>
                <w:szCs w:val="24"/>
              </w:rPr>
              <w:t>44</w:t>
            </w:r>
          </w:p>
        </w:tc>
      </w:tr>
      <w:tr w:rsidR="001C08A5" w14:paraId="21E5A537" w14:textId="77777777">
        <w:tc>
          <w:tcPr>
            <w:tcW w:w="2840" w:type="dxa"/>
          </w:tcPr>
          <w:p w14:paraId="0AE9D3A4" w14:textId="77777777" w:rsidR="001C08A5" w:rsidRDefault="00000000">
            <w:pPr>
              <w:jc w:val="left"/>
              <w:rPr>
                <w:rFonts w:eastAsia="CorporateSTOT-Bol"/>
                <w:i/>
                <w:sz w:val="24"/>
                <w:szCs w:val="24"/>
              </w:rPr>
            </w:pPr>
            <w:r>
              <w:rPr>
                <w:rFonts w:eastAsia="CorporateSTOT-Reg"/>
                <w:i/>
                <w:sz w:val="24"/>
                <w:szCs w:val="24"/>
              </w:rPr>
              <w:t xml:space="preserve">PS  </w:t>
            </w:r>
          </w:p>
        </w:tc>
        <w:tc>
          <w:tcPr>
            <w:tcW w:w="2840" w:type="dxa"/>
          </w:tcPr>
          <w:p w14:paraId="4768FE03" w14:textId="77777777" w:rsidR="001C08A5" w:rsidRDefault="00000000">
            <w:pPr>
              <w:jc w:val="left"/>
              <w:rPr>
                <w:rFonts w:eastAsia="CorporateSTOT-Bol"/>
                <w:i/>
                <w:sz w:val="24"/>
                <w:szCs w:val="24"/>
              </w:rPr>
            </w:pPr>
            <w:r>
              <w:rPr>
                <w:rFonts w:eastAsia="CorporateSTOT-Reg"/>
                <w:i/>
                <w:sz w:val="24"/>
                <w:szCs w:val="24"/>
              </w:rPr>
              <w:t>42</w:t>
            </w:r>
          </w:p>
        </w:tc>
      </w:tr>
      <w:tr w:rsidR="001C08A5" w14:paraId="41597BBA" w14:textId="77777777">
        <w:tc>
          <w:tcPr>
            <w:tcW w:w="2840" w:type="dxa"/>
          </w:tcPr>
          <w:p w14:paraId="01FFE695" w14:textId="77777777" w:rsidR="001C08A5" w:rsidRDefault="00000000">
            <w:pPr>
              <w:jc w:val="left"/>
              <w:rPr>
                <w:rFonts w:eastAsia="CorporateSTOT-Bol"/>
                <w:i/>
                <w:sz w:val="24"/>
                <w:szCs w:val="24"/>
              </w:rPr>
            </w:pPr>
            <w:r>
              <w:rPr>
                <w:rFonts w:eastAsia="CorporateSTOT-Reg"/>
                <w:i/>
                <w:sz w:val="24"/>
                <w:szCs w:val="24"/>
              </w:rPr>
              <w:t xml:space="preserve">PA  </w:t>
            </w:r>
          </w:p>
        </w:tc>
        <w:tc>
          <w:tcPr>
            <w:tcW w:w="2840" w:type="dxa"/>
          </w:tcPr>
          <w:p w14:paraId="513D8D10" w14:textId="77777777" w:rsidR="001C08A5" w:rsidRDefault="00000000">
            <w:pPr>
              <w:jc w:val="left"/>
              <w:rPr>
                <w:rFonts w:eastAsia="CorporateSTOT-Bol"/>
                <w:i/>
                <w:sz w:val="24"/>
                <w:szCs w:val="24"/>
              </w:rPr>
            </w:pPr>
            <w:r>
              <w:rPr>
                <w:rFonts w:eastAsia="CorporateSTOT-Reg"/>
                <w:i/>
                <w:sz w:val="24"/>
                <w:szCs w:val="24"/>
              </w:rPr>
              <w:t>26</w:t>
            </w:r>
          </w:p>
        </w:tc>
      </w:tr>
      <w:tr w:rsidR="001C08A5" w14:paraId="0E7DE39D" w14:textId="77777777">
        <w:tc>
          <w:tcPr>
            <w:tcW w:w="2840" w:type="dxa"/>
          </w:tcPr>
          <w:p w14:paraId="20EC620B" w14:textId="77777777" w:rsidR="001C08A5" w:rsidRDefault="00000000">
            <w:pPr>
              <w:jc w:val="left"/>
              <w:rPr>
                <w:rFonts w:eastAsia="CorporateSTOT-Bol"/>
                <w:i/>
                <w:sz w:val="24"/>
                <w:szCs w:val="24"/>
              </w:rPr>
            </w:pPr>
            <w:r>
              <w:rPr>
                <w:rFonts w:eastAsia="CorporateSTOT-Reg"/>
                <w:i/>
                <w:sz w:val="24"/>
                <w:szCs w:val="24"/>
              </w:rPr>
              <w:t xml:space="preserve">PP  </w:t>
            </w:r>
          </w:p>
        </w:tc>
        <w:tc>
          <w:tcPr>
            <w:tcW w:w="2840" w:type="dxa"/>
          </w:tcPr>
          <w:p w14:paraId="277A00D0" w14:textId="77777777" w:rsidR="001C08A5" w:rsidRDefault="00000000">
            <w:pPr>
              <w:jc w:val="left"/>
              <w:rPr>
                <w:rFonts w:eastAsia="CorporateSTOT-Bol"/>
                <w:i/>
                <w:sz w:val="24"/>
                <w:szCs w:val="24"/>
              </w:rPr>
            </w:pPr>
            <w:r>
              <w:rPr>
                <w:rFonts w:eastAsia="CorporateSTOT-Reg"/>
                <w:i/>
                <w:sz w:val="24"/>
                <w:szCs w:val="24"/>
              </w:rPr>
              <w:t>46</w:t>
            </w:r>
          </w:p>
        </w:tc>
      </w:tr>
      <w:tr w:rsidR="001C08A5" w14:paraId="0B4F832B" w14:textId="77777777">
        <w:tc>
          <w:tcPr>
            <w:tcW w:w="2840" w:type="dxa"/>
          </w:tcPr>
          <w:p w14:paraId="0E91AC6B" w14:textId="77777777" w:rsidR="001C08A5" w:rsidRDefault="00000000">
            <w:pPr>
              <w:jc w:val="left"/>
              <w:rPr>
                <w:rFonts w:eastAsia="CorporateSTOT-Bol"/>
                <w:i/>
                <w:sz w:val="24"/>
                <w:szCs w:val="24"/>
              </w:rPr>
            </w:pPr>
            <w:r>
              <w:rPr>
                <w:rFonts w:eastAsia="CorporateSTOT-Reg"/>
                <w:i/>
                <w:sz w:val="24"/>
                <w:szCs w:val="24"/>
              </w:rPr>
              <w:t xml:space="preserve">PUR  </w:t>
            </w:r>
          </w:p>
        </w:tc>
        <w:tc>
          <w:tcPr>
            <w:tcW w:w="2840" w:type="dxa"/>
          </w:tcPr>
          <w:p w14:paraId="0590490F" w14:textId="77777777" w:rsidR="001C08A5" w:rsidRDefault="00000000">
            <w:pPr>
              <w:jc w:val="left"/>
              <w:rPr>
                <w:rFonts w:eastAsia="CorporateSTOT-Bol"/>
                <w:i/>
                <w:sz w:val="24"/>
                <w:szCs w:val="24"/>
              </w:rPr>
            </w:pPr>
            <w:r>
              <w:rPr>
                <w:rFonts w:eastAsia="CorporateSTOT-Reg"/>
                <w:i/>
                <w:sz w:val="24"/>
                <w:szCs w:val="24"/>
              </w:rPr>
              <w:t>23</w:t>
            </w:r>
          </w:p>
        </w:tc>
      </w:tr>
      <w:tr w:rsidR="001C08A5" w14:paraId="0779B9A6" w14:textId="77777777">
        <w:tc>
          <w:tcPr>
            <w:tcW w:w="2840" w:type="dxa"/>
          </w:tcPr>
          <w:p w14:paraId="0467BD60" w14:textId="77777777" w:rsidR="001C08A5" w:rsidRDefault="00000000">
            <w:pPr>
              <w:jc w:val="left"/>
              <w:rPr>
                <w:rFonts w:eastAsia="CorporateSTOT-Bol"/>
                <w:i/>
                <w:sz w:val="24"/>
                <w:szCs w:val="24"/>
              </w:rPr>
            </w:pPr>
            <w:r>
              <w:rPr>
                <w:rFonts w:eastAsia="CorporateSTOT-Reg"/>
                <w:i/>
                <w:sz w:val="24"/>
                <w:szCs w:val="24"/>
              </w:rPr>
              <w:t xml:space="preserve">TPE-E  </w:t>
            </w:r>
          </w:p>
        </w:tc>
        <w:tc>
          <w:tcPr>
            <w:tcW w:w="2840" w:type="dxa"/>
          </w:tcPr>
          <w:p w14:paraId="1AD8BA8F" w14:textId="77777777" w:rsidR="001C08A5" w:rsidRDefault="00000000">
            <w:pPr>
              <w:jc w:val="left"/>
              <w:rPr>
                <w:rFonts w:eastAsia="CorporateSTOT-Bol"/>
                <w:i/>
                <w:sz w:val="24"/>
                <w:szCs w:val="24"/>
              </w:rPr>
            </w:pPr>
            <w:r>
              <w:rPr>
                <w:rFonts w:eastAsia="CorporateSTOT-Reg"/>
                <w:i/>
                <w:sz w:val="24"/>
                <w:szCs w:val="24"/>
              </w:rPr>
              <w:t>23</w:t>
            </w:r>
          </w:p>
        </w:tc>
      </w:tr>
      <w:tr w:rsidR="001C08A5" w14:paraId="204FE590" w14:textId="77777777">
        <w:tc>
          <w:tcPr>
            <w:tcW w:w="2840" w:type="dxa"/>
          </w:tcPr>
          <w:p w14:paraId="63D3C389" w14:textId="77777777" w:rsidR="001C08A5" w:rsidRDefault="00000000">
            <w:pPr>
              <w:jc w:val="left"/>
              <w:rPr>
                <w:rFonts w:eastAsia="CorporateSTOT-Bol"/>
                <w:i/>
                <w:sz w:val="24"/>
                <w:szCs w:val="24"/>
              </w:rPr>
            </w:pPr>
            <w:r>
              <w:rPr>
                <w:rFonts w:eastAsia="CorporateSTOT-Reg"/>
                <w:i/>
                <w:sz w:val="24"/>
                <w:szCs w:val="24"/>
              </w:rPr>
              <w:t xml:space="preserve">TPE-O </w:t>
            </w:r>
          </w:p>
        </w:tc>
        <w:tc>
          <w:tcPr>
            <w:tcW w:w="2840" w:type="dxa"/>
          </w:tcPr>
          <w:p w14:paraId="4E013B61" w14:textId="77777777" w:rsidR="001C08A5" w:rsidRDefault="00000000">
            <w:pPr>
              <w:jc w:val="left"/>
              <w:rPr>
                <w:rFonts w:eastAsia="CorporateSTOT-Bol"/>
                <w:i/>
                <w:sz w:val="24"/>
                <w:szCs w:val="24"/>
              </w:rPr>
            </w:pPr>
            <w:r>
              <w:rPr>
                <w:rFonts w:eastAsia="CorporateSTOT-Reg"/>
                <w:i/>
                <w:sz w:val="24"/>
                <w:szCs w:val="24"/>
              </w:rPr>
              <w:t>26</w:t>
            </w:r>
          </w:p>
        </w:tc>
      </w:tr>
      <w:tr w:rsidR="001C08A5" w14:paraId="43D96AB6" w14:textId="77777777">
        <w:tc>
          <w:tcPr>
            <w:tcW w:w="2840" w:type="dxa"/>
          </w:tcPr>
          <w:p w14:paraId="34267950" w14:textId="77777777" w:rsidR="001C08A5" w:rsidRDefault="00000000">
            <w:pPr>
              <w:jc w:val="left"/>
              <w:rPr>
                <w:rFonts w:eastAsia="CorporateSTOT-Bol"/>
                <w:i/>
                <w:sz w:val="24"/>
                <w:szCs w:val="24"/>
              </w:rPr>
            </w:pPr>
            <w:r>
              <w:rPr>
                <w:rFonts w:eastAsia="CorporateSTOT-Reg"/>
                <w:i/>
                <w:sz w:val="24"/>
                <w:szCs w:val="24"/>
              </w:rPr>
              <w:t xml:space="preserve">NR </w:t>
            </w:r>
          </w:p>
        </w:tc>
        <w:tc>
          <w:tcPr>
            <w:tcW w:w="2840" w:type="dxa"/>
          </w:tcPr>
          <w:p w14:paraId="4308CE26" w14:textId="77777777" w:rsidR="001C08A5" w:rsidRDefault="00000000">
            <w:pPr>
              <w:jc w:val="left"/>
              <w:rPr>
                <w:rFonts w:eastAsia="CorporateSTOT-Bol"/>
                <w:i/>
                <w:sz w:val="24"/>
                <w:szCs w:val="24"/>
              </w:rPr>
            </w:pPr>
            <w:r>
              <w:rPr>
                <w:rFonts w:eastAsia="CorporateSTOT-Reg"/>
                <w:i/>
                <w:sz w:val="24"/>
                <w:szCs w:val="24"/>
              </w:rPr>
              <w:t>23</w:t>
            </w:r>
          </w:p>
        </w:tc>
      </w:tr>
      <w:tr w:rsidR="001C08A5" w14:paraId="43C5F45C" w14:textId="77777777">
        <w:tc>
          <w:tcPr>
            <w:tcW w:w="2840" w:type="dxa"/>
          </w:tcPr>
          <w:p w14:paraId="06DF98F8" w14:textId="77777777" w:rsidR="001C08A5" w:rsidRDefault="00000000">
            <w:pPr>
              <w:jc w:val="left"/>
              <w:rPr>
                <w:rFonts w:eastAsia="CorporateSTOT-Bol"/>
                <w:i/>
                <w:sz w:val="24"/>
                <w:szCs w:val="24"/>
              </w:rPr>
            </w:pPr>
            <w:r>
              <w:rPr>
                <w:rFonts w:eastAsia="CorporateSTOT-Reg"/>
                <w:i/>
                <w:sz w:val="24"/>
                <w:szCs w:val="24"/>
              </w:rPr>
              <w:t xml:space="preserve">SIR </w:t>
            </w:r>
          </w:p>
        </w:tc>
        <w:tc>
          <w:tcPr>
            <w:tcW w:w="2840" w:type="dxa"/>
          </w:tcPr>
          <w:p w14:paraId="4AFC1532" w14:textId="77777777" w:rsidR="001C08A5" w:rsidRDefault="00000000">
            <w:pPr>
              <w:jc w:val="left"/>
              <w:rPr>
                <w:rFonts w:eastAsia="CorporateSTOT-Bol"/>
                <w:i/>
                <w:sz w:val="24"/>
                <w:szCs w:val="24"/>
              </w:rPr>
            </w:pPr>
            <w:r>
              <w:rPr>
                <w:rFonts w:eastAsia="CorporateSTOT-Reg"/>
                <w:i/>
                <w:sz w:val="24"/>
                <w:szCs w:val="24"/>
              </w:rPr>
              <w:t>18</w:t>
            </w:r>
          </w:p>
        </w:tc>
      </w:tr>
      <w:tr w:rsidR="001C08A5" w14:paraId="4EEB740C" w14:textId="77777777">
        <w:tc>
          <w:tcPr>
            <w:tcW w:w="2840" w:type="dxa"/>
          </w:tcPr>
          <w:p w14:paraId="1C3C350E" w14:textId="77777777" w:rsidR="001C08A5" w:rsidRDefault="00000000">
            <w:pPr>
              <w:jc w:val="left"/>
              <w:rPr>
                <w:rFonts w:eastAsia="CorporateSTOT-Bol"/>
                <w:i/>
                <w:sz w:val="24"/>
                <w:szCs w:val="24"/>
              </w:rPr>
            </w:pPr>
            <w:r>
              <w:rPr>
                <w:rFonts w:eastAsia="CorporateSTOT-Reg"/>
                <w:i/>
                <w:sz w:val="24"/>
                <w:szCs w:val="24"/>
              </w:rPr>
              <w:t xml:space="preserve">EPR </w:t>
            </w:r>
          </w:p>
        </w:tc>
        <w:tc>
          <w:tcPr>
            <w:tcW w:w="2840" w:type="dxa"/>
          </w:tcPr>
          <w:p w14:paraId="4CCC2670" w14:textId="77777777" w:rsidR="001C08A5" w:rsidRDefault="00000000">
            <w:pPr>
              <w:jc w:val="left"/>
              <w:rPr>
                <w:rFonts w:eastAsia="CorporateSTOT-Bol"/>
                <w:i/>
                <w:sz w:val="24"/>
                <w:szCs w:val="24"/>
              </w:rPr>
            </w:pPr>
            <w:r>
              <w:rPr>
                <w:rFonts w:eastAsia="CorporateSTOT-Reg"/>
                <w:i/>
                <w:sz w:val="24"/>
                <w:szCs w:val="24"/>
              </w:rPr>
              <w:t>23</w:t>
            </w:r>
          </w:p>
        </w:tc>
      </w:tr>
      <w:tr w:rsidR="001C08A5" w14:paraId="7EF79FC3" w14:textId="77777777">
        <w:tc>
          <w:tcPr>
            <w:tcW w:w="2840" w:type="dxa"/>
          </w:tcPr>
          <w:p w14:paraId="39CFD6A3" w14:textId="77777777" w:rsidR="001C08A5" w:rsidRDefault="00000000">
            <w:pPr>
              <w:jc w:val="left"/>
              <w:rPr>
                <w:rFonts w:eastAsia="CorporateSTOT-Bol"/>
                <w:i/>
                <w:sz w:val="24"/>
                <w:szCs w:val="24"/>
              </w:rPr>
            </w:pPr>
            <w:r>
              <w:rPr>
                <w:rFonts w:eastAsia="CorporateSTOT-Reg"/>
                <w:i/>
                <w:sz w:val="24"/>
                <w:szCs w:val="24"/>
              </w:rPr>
              <w:t xml:space="preserve">EVA </w:t>
            </w:r>
          </w:p>
        </w:tc>
        <w:tc>
          <w:tcPr>
            <w:tcW w:w="2840" w:type="dxa"/>
          </w:tcPr>
          <w:p w14:paraId="756A02BA" w14:textId="77777777" w:rsidR="001C08A5" w:rsidRDefault="00000000">
            <w:pPr>
              <w:jc w:val="left"/>
              <w:rPr>
                <w:rFonts w:eastAsia="CorporateSTOT-Bol"/>
                <w:i/>
                <w:sz w:val="24"/>
                <w:szCs w:val="24"/>
              </w:rPr>
            </w:pPr>
            <w:r>
              <w:rPr>
                <w:rFonts w:eastAsia="CorporateSTOT-Reg"/>
                <w:i/>
                <w:sz w:val="24"/>
                <w:szCs w:val="24"/>
              </w:rPr>
              <w:t>21</w:t>
            </w:r>
          </w:p>
        </w:tc>
      </w:tr>
      <w:tr w:rsidR="001C08A5" w14:paraId="3D7A4686" w14:textId="77777777">
        <w:tc>
          <w:tcPr>
            <w:tcW w:w="2840" w:type="dxa"/>
          </w:tcPr>
          <w:p w14:paraId="7CB90854" w14:textId="77777777" w:rsidR="001C08A5" w:rsidRDefault="00000000">
            <w:pPr>
              <w:jc w:val="left"/>
              <w:rPr>
                <w:rFonts w:eastAsia="CorporateSTOT-Bol"/>
                <w:i/>
                <w:sz w:val="24"/>
                <w:szCs w:val="24"/>
              </w:rPr>
            </w:pPr>
            <w:r>
              <w:rPr>
                <w:rFonts w:eastAsia="CorporateSTOT-Reg"/>
                <w:i/>
                <w:sz w:val="24"/>
                <w:szCs w:val="24"/>
              </w:rPr>
              <w:t xml:space="preserve">CR  </w:t>
            </w:r>
          </w:p>
        </w:tc>
        <w:tc>
          <w:tcPr>
            <w:tcW w:w="2840" w:type="dxa"/>
          </w:tcPr>
          <w:p w14:paraId="61816E88" w14:textId="77777777" w:rsidR="001C08A5" w:rsidRDefault="00000000">
            <w:pPr>
              <w:jc w:val="left"/>
              <w:rPr>
                <w:rFonts w:eastAsia="CorporateSTOT-Bol"/>
                <w:i/>
                <w:sz w:val="24"/>
                <w:szCs w:val="24"/>
              </w:rPr>
            </w:pPr>
            <w:r>
              <w:rPr>
                <w:rFonts w:eastAsia="CorporateSTOT-Reg"/>
                <w:i/>
                <w:sz w:val="24"/>
                <w:szCs w:val="24"/>
              </w:rPr>
              <w:t>17</w:t>
            </w:r>
          </w:p>
        </w:tc>
      </w:tr>
      <w:tr w:rsidR="001C08A5" w14:paraId="339F636B" w14:textId="77777777">
        <w:tc>
          <w:tcPr>
            <w:tcW w:w="2840" w:type="dxa"/>
          </w:tcPr>
          <w:p w14:paraId="16F06AD5" w14:textId="77777777" w:rsidR="001C08A5" w:rsidRDefault="00000000">
            <w:pPr>
              <w:jc w:val="left"/>
              <w:rPr>
                <w:rFonts w:eastAsia="CorporateSTOT-Bol"/>
                <w:i/>
                <w:sz w:val="24"/>
                <w:szCs w:val="24"/>
              </w:rPr>
            </w:pPr>
            <w:r>
              <w:rPr>
                <w:rFonts w:eastAsia="CorporateSTOT-Reg"/>
                <w:i/>
                <w:sz w:val="24"/>
                <w:szCs w:val="24"/>
              </w:rPr>
              <w:t xml:space="preserve">CSM </w:t>
            </w:r>
          </w:p>
        </w:tc>
        <w:tc>
          <w:tcPr>
            <w:tcW w:w="2840" w:type="dxa"/>
          </w:tcPr>
          <w:p w14:paraId="203F334A" w14:textId="77777777" w:rsidR="001C08A5" w:rsidRDefault="00000000">
            <w:pPr>
              <w:jc w:val="left"/>
              <w:rPr>
                <w:rFonts w:eastAsia="CorporateSTOT-Bol"/>
                <w:i/>
                <w:sz w:val="24"/>
                <w:szCs w:val="24"/>
              </w:rPr>
            </w:pPr>
            <w:r>
              <w:rPr>
                <w:rFonts w:eastAsia="CorporateSTOT-Reg"/>
                <w:i/>
                <w:sz w:val="24"/>
                <w:szCs w:val="24"/>
              </w:rPr>
              <w:t>21</w:t>
            </w:r>
          </w:p>
        </w:tc>
      </w:tr>
      <w:tr w:rsidR="001C08A5" w14:paraId="49853343" w14:textId="77777777">
        <w:tc>
          <w:tcPr>
            <w:tcW w:w="2840" w:type="dxa"/>
          </w:tcPr>
          <w:p w14:paraId="04B5C8EE" w14:textId="77777777" w:rsidR="001C08A5" w:rsidRDefault="00000000">
            <w:pPr>
              <w:jc w:val="left"/>
              <w:rPr>
                <w:rFonts w:eastAsia="CorporateSTOT-Reg"/>
                <w:i/>
                <w:sz w:val="24"/>
                <w:szCs w:val="24"/>
              </w:rPr>
            </w:pPr>
            <w:r>
              <w:rPr>
                <w:rFonts w:eastAsia="CorporateSTOT-Reg"/>
                <w:i/>
                <w:sz w:val="24"/>
                <w:szCs w:val="24"/>
              </w:rPr>
              <w:t xml:space="preserve">PVDF </w:t>
            </w:r>
          </w:p>
        </w:tc>
        <w:tc>
          <w:tcPr>
            <w:tcW w:w="2840" w:type="dxa"/>
          </w:tcPr>
          <w:p w14:paraId="4CEA09C2" w14:textId="77777777" w:rsidR="001C08A5" w:rsidRDefault="00000000">
            <w:pPr>
              <w:jc w:val="left"/>
              <w:rPr>
                <w:rFonts w:eastAsia="CorporateSTOT-Bol"/>
                <w:i/>
                <w:sz w:val="24"/>
                <w:szCs w:val="24"/>
              </w:rPr>
            </w:pPr>
            <w:r>
              <w:rPr>
                <w:rFonts w:eastAsia="CorporateSTOT-Reg"/>
                <w:i/>
                <w:sz w:val="24"/>
                <w:szCs w:val="24"/>
              </w:rPr>
              <w:t>15</w:t>
            </w:r>
          </w:p>
        </w:tc>
      </w:tr>
      <w:tr w:rsidR="001C08A5" w14:paraId="1BD19F75" w14:textId="77777777">
        <w:tc>
          <w:tcPr>
            <w:tcW w:w="2840" w:type="dxa"/>
          </w:tcPr>
          <w:p w14:paraId="160C7EBD" w14:textId="77777777" w:rsidR="001C08A5" w:rsidRDefault="00000000">
            <w:pPr>
              <w:jc w:val="left"/>
              <w:rPr>
                <w:rFonts w:eastAsia="CorporateSTOT-Reg"/>
                <w:i/>
                <w:sz w:val="24"/>
                <w:szCs w:val="24"/>
              </w:rPr>
            </w:pPr>
            <w:r>
              <w:rPr>
                <w:rFonts w:eastAsia="CorporateSTOT-Reg"/>
                <w:i/>
                <w:sz w:val="24"/>
                <w:szCs w:val="24"/>
              </w:rPr>
              <w:t xml:space="preserve">ETFE </w:t>
            </w:r>
          </w:p>
        </w:tc>
        <w:tc>
          <w:tcPr>
            <w:tcW w:w="2840" w:type="dxa"/>
          </w:tcPr>
          <w:p w14:paraId="7866D3A0" w14:textId="77777777" w:rsidR="001C08A5" w:rsidRDefault="00000000">
            <w:pPr>
              <w:jc w:val="left"/>
              <w:rPr>
                <w:rFonts w:eastAsia="CorporateSTOT-Bol"/>
                <w:i/>
                <w:sz w:val="24"/>
                <w:szCs w:val="24"/>
              </w:rPr>
            </w:pPr>
            <w:r>
              <w:rPr>
                <w:rFonts w:eastAsia="CorporateSTOT-Reg"/>
                <w:i/>
                <w:sz w:val="24"/>
                <w:szCs w:val="24"/>
              </w:rPr>
              <w:t>14</w:t>
            </w:r>
          </w:p>
        </w:tc>
      </w:tr>
      <w:tr w:rsidR="001C08A5" w14:paraId="19A400F5" w14:textId="77777777">
        <w:tc>
          <w:tcPr>
            <w:tcW w:w="2840" w:type="dxa"/>
          </w:tcPr>
          <w:p w14:paraId="53DF0892" w14:textId="77777777" w:rsidR="001C08A5" w:rsidRDefault="00000000">
            <w:pPr>
              <w:jc w:val="left"/>
              <w:rPr>
                <w:rFonts w:eastAsia="CorporateSTOT-Reg"/>
                <w:i/>
                <w:sz w:val="24"/>
                <w:szCs w:val="24"/>
              </w:rPr>
            </w:pPr>
            <w:r>
              <w:rPr>
                <w:rFonts w:eastAsia="CorporateSTOT-Reg"/>
                <w:i/>
                <w:sz w:val="24"/>
                <w:szCs w:val="24"/>
              </w:rPr>
              <w:t xml:space="preserve">FEP </w:t>
            </w:r>
          </w:p>
        </w:tc>
        <w:tc>
          <w:tcPr>
            <w:tcW w:w="2840" w:type="dxa"/>
          </w:tcPr>
          <w:p w14:paraId="2E58A44E" w14:textId="77777777" w:rsidR="001C08A5" w:rsidRDefault="00000000">
            <w:pPr>
              <w:jc w:val="left"/>
              <w:rPr>
                <w:rFonts w:eastAsia="CorporateSTOT-Bol"/>
                <w:i/>
                <w:sz w:val="24"/>
                <w:szCs w:val="24"/>
              </w:rPr>
            </w:pPr>
            <w:r>
              <w:rPr>
                <w:rFonts w:eastAsia="CorporateSTOT-Reg"/>
                <w:i/>
                <w:sz w:val="24"/>
                <w:szCs w:val="24"/>
              </w:rPr>
              <w:t>5</w:t>
            </w:r>
          </w:p>
        </w:tc>
      </w:tr>
      <w:tr w:rsidR="001C08A5" w14:paraId="02C9CB67" w14:textId="77777777">
        <w:tc>
          <w:tcPr>
            <w:tcW w:w="2840" w:type="dxa"/>
          </w:tcPr>
          <w:p w14:paraId="43C56875" w14:textId="77777777" w:rsidR="001C08A5" w:rsidRDefault="00000000">
            <w:pPr>
              <w:jc w:val="left"/>
              <w:rPr>
                <w:rFonts w:eastAsia="CorporateSTOT-Reg"/>
                <w:i/>
                <w:sz w:val="24"/>
                <w:szCs w:val="24"/>
              </w:rPr>
            </w:pPr>
            <w:r>
              <w:rPr>
                <w:rFonts w:eastAsia="CorporateSTOT-Reg"/>
                <w:i/>
                <w:sz w:val="24"/>
                <w:szCs w:val="24"/>
              </w:rPr>
              <w:t xml:space="preserve">PFA </w:t>
            </w:r>
          </w:p>
        </w:tc>
        <w:tc>
          <w:tcPr>
            <w:tcW w:w="2840" w:type="dxa"/>
          </w:tcPr>
          <w:p w14:paraId="074525DA" w14:textId="77777777" w:rsidR="001C08A5" w:rsidRDefault="00000000">
            <w:pPr>
              <w:jc w:val="left"/>
              <w:rPr>
                <w:rFonts w:eastAsia="CorporateSTOT-Bol"/>
                <w:i/>
                <w:sz w:val="24"/>
                <w:szCs w:val="24"/>
              </w:rPr>
            </w:pPr>
            <w:r>
              <w:rPr>
                <w:rFonts w:eastAsia="CorporateSTOT-Reg"/>
                <w:i/>
                <w:sz w:val="24"/>
                <w:szCs w:val="24"/>
              </w:rPr>
              <w:t>5</w:t>
            </w:r>
          </w:p>
        </w:tc>
      </w:tr>
      <w:tr w:rsidR="001C08A5" w14:paraId="0D22E569" w14:textId="77777777">
        <w:tc>
          <w:tcPr>
            <w:tcW w:w="2840" w:type="dxa"/>
          </w:tcPr>
          <w:p w14:paraId="128CF288" w14:textId="77777777" w:rsidR="001C08A5" w:rsidRDefault="00000000">
            <w:pPr>
              <w:jc w:val="left"/>
              <w:rPr>
                <w:rFonts w:eastAsia="CorporateSTOT-Reg"/>
                <w:i/>
                <w:sz w:val="24"/>
                <w:szCs w:val="24"/>
              </w:rPr>
            </w:pPr>
            <w:r>
              <w:rPr>
                <w:rFonts w:eastAsia="CorporateSTOT-Reg"/>
                <w:i/>
                <w:sz w:val="24"/>
                <w:szCs w:val="24"/>
              </w:rPr>
              <w:t xml:space="preserve">PTFE </w:t>
            </w:r>
          </w:p>
        </w:tc>
        <w:tc>
          <w:tcPr>
            <w:tcW w:w="2840" w:type="dxa"/>
          </w:tcPr>
          <w:p w14:paraId="44410328" w14:textId="77777777" w:rsidR="001C08A5" w:rsidRDefault="00000000">
            <w:pPr>
              <w:jc w:val="left"/>
              <w:rPr>
                <w:rFonts w:eastAsia="CorporateSTOT-Bol"/>
                <w:i/>
                <w:sz w:val="24"/>
                <w:szCs w:val="24"/>
              </w:rPr>
            </w:pPr>
            <w:r>
              <w:rPr>
                <w:rFonts w:eastAsia="CorporateSTOT-Reg"/>
                <w:i/>
                <w:sz w:val="24"/>
                <w:szCs w:val="24"/>
              </w:rPr>
              <w:t>5</w:t>
            </w:r>
          </w:p>
        </w:tc>
      </w:tr>
      <w:tr w:rsidR="001C08A5" w14:paraId="6B85757C" w14:textId="77777777">
        <w:tc>
          <w:tcPr>
            <w:tcW w:w="2840" w:type="dxa"/>
          </w:tcPr>
          <w:p w14:paraId="0EC79263" w14:textId="77777777" w:rsidR="001C08A5" w:rsidRDefault="00000000">
            <w:pPr>
              <w:jc w:val="left"/>
              <w:rPr>
                <w:rFonts w:eastAsia="CorporateSTOT-Reg"/>
                <w:i/>
                <w:sz w:val="24"/>
                <w:szCs w:val="24"/>
              </w:rPr>
            </w:pPr>
            <w:r>
              <w:rPr>
                <w:rFonts w:eastAsia="CorporateSTOT-Reg"/>
                <w:i/>
                <w:sz w:val="24"/>
                <w:szCs w:val="24"/>
              </w:rPr>
              <w:t xml:space="preserve">HFFR  </w:t>
            </w:r>
          </w:p>
        </w:tc>
        <w:tc>
          <w:tcPr>
            <w:tcW w:w="2840" w:type="dxa"/>
          </w:tcPr>
          <w:p w14:paraId="19479E02" w14:textId="77777777" w:rsidR="001C08A5" w:rsidRDefault="00000000">
            <w:pPr>
              <w:jc w:val="left"/>
              <w:rPr>
                <w:rFonts w:eastAsia="CorporateSTOT-Bol"/>
                <w:i/>
                <w:sz w:val="24"/>
                <w:szCs w:val="24"/>
              </w:rPr>
            </w:pPr>
            <w:r>
              <w:rPr>
                <w:rFonts w:eastAsia="CorporateSTOT-Reg"/>
                <w:i/>
                <w:sz w:val="24"/>
                <w:szCs w:val="24"/>
              </w:rPr>
              <w:t>17</w:t>
            </w:r>
          </w:p>
        </w:tc>
      </w:tr>
      <w:tr w:rsidR="001C08A5" w14:paraId="755283CB" w14:textId="77777777">
        <w:tc>
          <w:tcPr>
            <w:tcW w:w="2840" w:type="dxa"/>
          </w:tcPr>
          <w:p w14:paraId="79F9102D" w14:textId="77777777" w:rsidR="001C08A5" w:rsidRDefault="00000000">
            <w:pPr>
              <w:rPr>
                <w:rFonts w:eastAsia="CorporateSTOT-Reg"/>
                <w:i/>
                <w:sz w:val="24"/>
                <w:szCs w:val="24"/>
              </w:rPr>
            </w:pPr>
            <w:r>
              <w:rPr>
                <w:rFonts w:eastAsia="CorporateSTOT-Reg"/>
                <w:i/>
                <w:sz w:val="24"/>
                <w:szCs w:val="24"/>
              </w:rPr>
              <w:t xml:space="preserve">HFFR reticulat </w:t>
            </w:r>
          </w:p>
        </w:tc>
        <w:tc>
          <w:tcPr>
            <w:tcW w:w="2840" w:type="dxa"/>
          </w:tcPr>
          <w:p w14:paraId="62EE918C" w14:textId="77777777" w:rsidR="001C08A5" w:rsidRDefault="00000000">
            <w:pPr>
              <w:jc w:val="left"/>
              <w:rPr>
                <w:rFonts w:eastAsia="CorporateSTOT-Bol"/>
                <w:i/>
                <w:sz w:val="24"/>
                <w:szCs w:val="24"/>
              </w:rPr>
            </w:pPr>
            <w:r>
              <w:rPr>
                <w:rFonts w:eastAsia="CorporateSTOT-Reg"/>
                <w:i/>
                <w:sz w:val="24"/>
                <w:szCs w:val="24"/>
              </w:rPr>
              <w:t>15</w:t>
            </w:r>
          </w:p>
        </w:tc>
      </w:tr>
    </w:tbl>
    <w:p w14:paraId="7996FE13" w14:textId="77777777" w:rsidR="001C08A5" w:rsidRDefault="001C08A5"/>
    <w:p w14:paraId="309E1E82" w14:textId="77777777" w:rsidR="001C08A5" w:rsidRDefault="001C08A5"/>
    <w:p w14:paraId="3D052197" w14:textId="77777777" w:rsidR="001C08A5" w:rsidRDefault="001C08A5"/>
    <w:p w14:paraId="08E678D2" w14:textId="77777777" w:rsidR="001C08A5" w:rsidRDefault="001C08A5"/>
    <w:p w14:paraId="0CB5D766" w14:textId="77777777" w:rsidR="001C08A5" w:rsidRDefault="001C08A5"/>
    <w:p w14:paraId="371525FE" w14:textId="77777777" w:rsidR="001C08A5" w:rsidRDefault="001C08A5"/>
    <w:p w14:paraId="415F551E" w14:textId="77777777" w:rsidR="001C08A5" w:rsidRDefault="001C08A5"/>
    <w:p w14:paraId="0151438F" w14:textId="77777777" w:rsidR="001C08A5" w:rsidRDefault="001C08A5"/>
    <w:p w14:paraId="25996864" w14:textId="77777777" w:rsidR="001C08A5" w:rsidRDefault="001C08A5"/>
    <w:p w14:paraId="09469AF3" w14:textId="77777777" w:rsidR="001C08A5" w:rsidRDefault="001C08A5"/>
    <w:p w14:paraId="74B31A5A" w14:textId="77777777" w:rsidR="001C08A5" w:rsidRDefault="001C08A5"/>
    <w:p w14:paraId="1606EE7D" w14:textId="77777777" w:rsidR="001C08A5" w:rsidRDefault="001C08A5"/>
    <w:p w14:paraId="22F7EFFA" w14:textId="77777777" w:rsidR="001C08A5" w:rsidRDefault="001C08A5"/>
    <w:p w14:paraId="1CBE1700" w14:textId="77777777" w:rsidR="001C08A5" w:rsidRDefault="001C08A5"/>
    <w:p w14:paraId="438511EC" w14:textId="77777777" w:rsidR="001C08A5" w:rsidRDefault="001C08A5"/>
    <w:p w14:paraId="630D6A0B" w14:textId="77777777" w:rsidR="001C08A5" w:rsidRDefault="001C08A5"/>
    <w:p w14:paraId="14AA03A3" w14:textId="77777777" w:rsidR="001C08A5" w:rsidRDefault="001C08A5"/>
    <w:p w14:paraId="595A3D4F" w14:textId="77777777" w:rsidR="001C08A5" w:rsidRDefault="001C08A5"/>
    <w:p w14:paraId="75EEE945" w14:textId="77777777" w:rsidR="001C08A5" w:rsidRDefault="001C08A5"/>
    <w:p w14:paraId="6977F9A5" w14:textId="77777777" w:rsidR="001C08A5" w:rsidRDefault="001C08A5"/>
    <w:p w14:paraId="3AB11944" w14:textId="77777777" w:rsidR="001C08A5" w:rsidRDefault="00000000">
      <w:pPr>
        <w:pStyle w:val="Heading2"/>
        <w:ind w:left="0" w:firstLine="0"/>
        <w:rPr>
          <w:sz w:val="28"/>
        </w:rPr>
      </w:pPr>
      <w:bookmarkStart w:id="10229" w:name="_Toc340"/>
      <w:bookmarkStart w:id="10230" w:name="_Toc17089"/>
      <w:bookmarkStart w:id="10231" w:name="_Toc17465"/>
      <w:bookmarkStart w:id="10232" w:name="_Toc10027"/>
      <w:bookmarkStart w:id="10233" w:name="_Toc1248"/>
      <w:bookmarkStart w:id="10234" w:name="_Toc31133"/>
      <w:bookmarkStart w:id="10235" w:name="_Toc162355508"/>
      <w:bookmarkStart w:id="10236" w:name="_Toc11408"/>
      <w:bookmarkStart w:id="10237" w:name="_Toc6451"/>
      <w:bookmarkStart w:id="10238" w:name="_Toc8505"/>
      <w:bookmarkStart w:id="10239" w:name="_Toc14009"/>
      <w:bookmarkStart w:id="10240" w:name="_Toc7421"/>
      <w:bookmarkStart w:id="10241" w:name="_Toc28374"/>
      <w:bookmarkStart w:id="10242" w:name="_Toc7182"/>
      <w:bookmarkStart w:id="10243" w:name="_Toc5013"/>
      <w:bookmarkStart w:id="10244" w:name="_Toc30998"/>
      <w:bookmarkStart w:id="10245" w:name="_Toc28652"/>
      <w:bookmarkStart w:id="10246" w:name="_Toc10478"/>
      <w:r>
        <w:rPr>
          <w:sz w:val="28"/>
        </w:rPr>
        <w:lastRenderedPageBreak/>
        <w:t>ANEXA 10 - CONSTRUCȚII EXISTENTE</w:t>
      </w:r>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p>
    <w:p w14:paraId="372315E1" w14:textId="77777777" w:rsidR="001C08A5" w:rsidRDefault="001C08A5"/>
    <w:p w14:paraId="580B19DA" w14:textId="77777777" w:rsidR="001C08A5" w:rsidRDefault="00000000">
      <w:pPr>
        <w:numPr>
          <w:ilvl w:val="0"/>
          <w:numId w:val="96"/>
        </w:numPr>
        <w:tabs>
          <w:tab w:val="left" w:pos="426"/>
          <w:tab w:val="left" w:pos="993"/>
        </w:tabs>
        <w:jc w:val="both"/>
        <w:rPr>
          <w:bCs/>
          <w:i/>
          <w:iCs/>
          <w:sz w:val="24"/>
          <w:szCs w:val="24"/>
        </w:rPr>
      </w:pPr>
      <w:r>
        <w:rPr>
          <w:bCs/>
          <w:i/>
          <w:sz w:val="24"/>
        </w:rPr>
        <w:t>P</w:t>
      </w:r>
      <w:r>
        <w:rPr>
          <w:bCs/>
          <w:i/>
          <w:iCs/>
          <w:sz w:val="24"/>
          <w:szCs w:val="24"/>
        </w:rPr>
        <w:t xml:space="preserve">revederile prezentei anexe sunt obligatorii la lucrările de intervenţie efectuate asupra construcţiilor existente </w:t>
      </w:r>
      <w:r>
        <w:rPr>
          <w:bCs/>
          <w:i/>
          <w:sz w:val="24"/>
          <w:szCs w:val="24"/>
        </w:rPr>
        <w:t>care nu se extind</w:t>
      </w:r>
      <w:r>
        <w:rPr>
          <w:bCs/>
          <w:i/>
          <w:iCs/>
          <w:sz w:val="24"/>
          <w:szCs w:val="24"/>
        </w:rPr>
        <w:t xml:space="preserve">, indiferent de forma de proprietate, categorie şi clasă de importanţă sau sursă de finanţare, în scopul asigurării protecției vieţii oamenilor, bunurilor acestora, societăţii şi mediului înconjurător. Se aplică la modificari ale clădirilor existente care se constituie ca fond construit anterior datei intrării în vigoare a normativului </w:t>
      </w:r>
      <w:r>
        <w:rPr>
          <w:bCs/>
          <w:i/>
          <w:sz w:val="24"/>
          <w:szCs w:val="24"/>
        </w:rPr>
        <w:t>care nu se extind</w:t>
      </w:r>
      <w:r>
        <w:rPr>
          <w:b/>
          <w:i/>
          <w:sz w:val="24"/>
          <w:szCs w:val="24"/>
        </w:rPr>
        <w:t xml:space="preserve"> </w:t>
      </w:r>
      <w:r>
        <w:rPr>
          <w:bCs/>
          <w:i/>
          <w:sz w:val="24"/>
          <w:szCs w:val="24"/>
        </w:rPr>
        <w:t xml:space="preserve">și care dețin sau nu dețin </w:t>
      </w:r>
      <w:r>
        <w:rPr>
          <w:rFonts w:eastAsia="Calibri"/>
          <w:bCs/>
          <w:i/>
          <w:sz w:val="24"/>
          <w:szCs w:val="24"/>
        </w:rPr>
        <w:t>ansamblul de documente referitoare la proiectarea, execuţia, recepţia, exploatarea, întreţinerea, repararea şi urmărirea în timp a construcţiei</w:t>
      </w:r>
      <w:r>
        <w:rPr>
          <w:b/>
          <w:i/>
          <w:sz w:val="24"/>
          <w:szCs w:val="24"/>
        </w:rPr>
        <w:t>.</w:t>
      </w:r>
      <w:r>
        <w:rPr>
          <w:bCs/>
          <w:i/>
          <w:iCs/>
          <w:sz w:val="24"/>
          <w:szCs w:val="24"/>
        </w:rPr>
        <w:t xml:space="preserve"> La lucrările de intervenţii efectuate asupra construcţiilor existente edificate în baza prezentei anexe (a clădirilor existente care se constituie ca fond construit anterior datei intrării în vigoare a normativului), atunci când în mod justificat tehnic nu pot fi îndeplinite unele prevederi de securitate la incendiu normate, se asigură măsuri alternative de protecţie (pasive, active sau combinații ale acestora) care care să vizeze suplinirea cerințelor care nu pot fi respectate. </w:t>
      </w:r>
    </w:p>
    <w:p w14:paraId="3CEB941E" w14:textId="77777777" w:rsidR="001C08A5" w:rsidRDefault="001C08A5">
      <w:pPr>
        <w:numPr>
          <w:ilvl w:val="255"/>
          <w:numId w:val="0"/>
        </w:numPr>
        <w:tabs>
          <w:tab w:val="left" w:pos="426"/>
          <w:tab w:val="left" w:pos="993"/>
        </w:tabs>
        <w:jc w:val="both"/>
        <w:rPr>
          <w:bCs/>
          <w:i/>
          <w:iCs/>
          <w:sz w:val="24"/>
          <w:szCs w:val="24"/>
        </w:rPr>
      </w:pPr>
    </w:p>
    <w:p w14:paraId="349E0729" w14:textId="77777777" w:rsidR="001C08A5" w:rsidRDefault="00000000">
      <w:pPr>
        <w:numPr>
          <w:ilvl w:val="0"/>
          <w:numId w:val="96"/>
        </w:numPr>
        <w:tabs>
          <w:tab w:val="left" w:pos="426"/>
          <w:tab w:val="left" w:pos="993"/>
        </w:tabs>
        <w:jc w:val="both"/>
        <w:rPr>
          <w:bCs/>
          <w:i/>
          <w:iCs/>
          <w:sz w:val="24"/>
          <w:szCs w:val="24"/>
        </w:rPr>
      </w:pPr>
      <w:r>
        <w:rPr>
          <w:bCs/>
          <w:i/>
          <w:iCs/>
          <w:sz w:val="24"/>
          <w:szCs w:val="24"/>
        </w:rPr>
        <w:t>Modificărele la construcțiile existente care se constituie ca fond construit anterior datei intrării în vigoare a normativului se vor conforma astfel:</w:t>
      </w:r>
    </w:p>
    <w:p w14:paraId="2D857594" w14:textId="77777777" w:rsidR="001C08A5" w:rsidRDefault="00000000">
      <w:pPr>
        <w:numPr>
          <w:ilvl w:val="0"/>
          <w:numId w:val="103"/>
        </w:numPr>
        <w:tabs>
          <w:tab w:val="left" w:pos="426"/>
          <w:tab w:val="left" w:pos="993"/>
        </w:tabs>
        <w:ind w:left="0"/>
        <w:jc w:val="both"/>
        <w:rPr>
          <w:i/>
          <w:iCs/>
          <w:sz w:val="24"/>
          <w:szCs w:val="24"/>
        </w:rPr>
      </w:pPr>
      <w:r>
        <w:rPr>
          <w:i/>
          <w:iCs/>
          <w:sz w:val="24"/>
          <w:szCs w:val="24"/>
        </w:rPr>
        <w:t xml:space="preserve">Intervențiile la construcțiile existente </w:t>
      </w:r>
      <w:r>
        <w:rPr>
          <w:i/>
          <w:iCs/>
          <w:sz w:val="24"/>
          <w:szCs w:val="24"/>
          <w:u w:val="single"/>
        </w:rPr>
        <w:t xml:space="preserve">care </w:t>
      </w:r>
      <w:r>
        <w:rPr>
          <w:b/>
          <w:bCs/>
          <w:i/>
          <w:iCs/>
          <w:sz w:val="24"/>
          <w:szCs w:val="24"/>
          <w:u w:val="single"/>
        </w:rPr>
        <w:t>nu</w:t>
      </w:r>
      <w:r>
        <w:rPr>
          <w:i/>
          <w:iCs/>
          <w:sz w:val="24"/>
          <w:szCs w:val="24"/>
          <w:u w:val="single"/>
        </w:rPr>
        <w:t xml:space="preserve"> se extind</w:t>
      </w:r>
      <w:r>
        <w:rPr>
          <w:i/>
          <w:iCs/>
          <w:sz w:val="24"/>
          <w:szCs w:val="24"/>
        </w:rPr>
        <w:t xml:space="preserve">, se fac păstrând performanța la foc a elementelor de construcții care se înlocuiesc în conformitate cu reglementările aplicabile la data realizării lor (în acord cu </w:t>
      </w:r>
      <w:r>
        <w:rPr>
          <w:b/>
          <w:bCs/>
          <w:i/>
          <w:iCs/>
          <w:sz w:val="24"/>
          <w:szCs w:val="24"/>
        </w:rPr>
        <w:t>Anexa 10</w:t>
      </w:r>
      <w:r>
        <w:rPr>
          <w:i/>
          <w:iCs/>
          <w:sz w:val="24"/>
          <w:szCs w:val="24"/>
        </w:rPr>
        <w:t xml:space="preserve">), iar echiparea cu instalații cu rol de securitate la incendiu se face potrivit reglementărilor tehnice în vigoare. </w:t>
      </w:r>
    </w:p>
    <w:p w14:paraId="73FC85C1" w14:textId="77777777" w:rsidR="001C08A5" w:rsidRDefault="001C08A5">
      <w:pPr>
        <w:numPr>
          <w:ilvl w:val="255"/>
          <w:numId w:val="0"/>
        </w:numPr>
        <w:tabs>
          <w:tab w:val="left" w:pos="426"/>
          <w:tab w:val="left" w:pos="993"/>
        </w:tabs>
        <w:jc w:val="both"/>
        <w:rPr>
          <w:i/>
          <w:iCs/>
          <w:sz w:val="24"/>
          <w:szCs w:val="24"/>
        </w:rPr>
      </w:pPr>
    </w:p>
    <w:p w14:paraId="39A438E5" w14:textId="77777777" w:rsidR="001C08A5" w:rsidRDefault="00000000">
      <w:pPr>
        <w:numPr>
          <w:ilvl w:val="255"/>
          <w:numId w:val="0"/>
        </w:numPr>
        <w:tabs>
          <w:tab w:val="left" w:pos="426"/>
          <w:tab w:val="left" w:pos="993"/>
        </w:tabs>
        <w:jc w:val="both"/>
        <w:rPr>
          <w:i/>
          <w:iCs/>
          <w:sz w:val="22"/>
          <w:szCs w:val="22"/>
        </w:rPr>
      </w:pPr>
      <w:r>
        <w:rPr>
          <w:rFonts w:eastAsia="Calibri"/>
          <w:i/>
          <w:iCs/>
          <w:sz w:val="22"/>
          <w:szCs w:val="22"/>
          <w:shd w:val="clear" w:color="auto" w:fill="FFFFFF"/>
        </w:rPr>
        <w:t xml:space="preserve">Notă lit. a): La lucrările de intervenţii efectuate asupra construcţiilor existente (în conformitate cu </w:t>
      </w:r>
      <w:r>
        <w:rPr>
          <w:rFonts w:eastAsia="Calibri"/>
          <w:b/>
          <w:bCs/>
          <w:i/>
          <w:iCs/>
          <w:sz w:val="22"/>
          <w:szCs w:val="22"/>
          <w:shd w:val="clear" w:color="auto" w:fill="FFFFFF"/>
        </w:rPr>
        <w:t>lit. a)</w:t>
      </w:r>
      <w:r>
        <w:rPr>
          <w:rFonts w:eastAsia="Calibri"/>
          <w:i/>
          <w:iCs/>
          <w:sz w:val="22"/>
          <w:szCs w:val="22"/>
          <w:shd w:val="clear" w:color="auto" w:fill="FFFFFF"/>
        </w:rPr>
        <w:t xml:space="preserve">), atunci când în mod justificat tehnic nu pot fi îndeplinite unele prevederi de securitate la incendiu normate prin </w:t>
      </w:r>
      <w:r>
        <w:rPr>
          <w:rFonts w:eastAsia="Calibri"/>
          <w:b/>
          <w:bCs/>
          <w:i/>
          <w:iCs/>
          <w:sz w:val="22"/>
          <w:szCs w:val="22"/>
          <w:shd w:val="clear" w:color="auto" w:fill="FFFFFF"/>
        </w:rPr>
        <w:t>Anexa 10</w:t>
      </w:r>
      <w:r>
        <w:rPr>
          <w:rFonts w:eastAsia="Calibri"/>
          <w:i/>
          <w:iCs/>
          <w:sz w:val="22"/>
          <w:szCs w:val="22"/>
          <w:shd w:val="clear" w:color="auto" w:fill="FFFFFF"/>
        </w:rPr>
        <w:t xml:space="preserve">, se asigură măsuri </w:t>
      </w:r>
      <w:r>
        <w:rPr>
          <w:i/>
          <w:iCs/>
          <w:sz w:val="22"/>
          <w:szCs w:val="22"/>
        </w:rPr>
        <w:t xml:space="preserve">de îmbunătăţire a cerințelor privind securitatea la incendiu sau </w:t>
      </w:r>
      <w:r>
        <w:rPr>
          <w:rFonts w:eastAsia="Calibri"/>
          <w:i/>
          <w:iCs/>
          <w:sz w:val="22"/>
          <w:szCs w:val="22"/>
          <w:shd w:val="clear" w:color="auto" w:fill="FFFFFF"/>
        </w:rPr>
        <w:t>alternative de protecţie</w:t>
      </w:r>
      <w:r>
        <w:rPr>
          <w:rFonts w:eastAsia="Calibri"/>
          <w:i/>
          <w:iCs/>
          <w:sz w:val="22"/>
          <w:szCs w:val="22"/>
          <w:shd w:val="clear" w:color="auto" w:fill="FFFFFF"/>
          <w:lang w:val="en-GB"/>
        </w:rPr>
        <w:t xml:space="preserve"> (pasive, active sau combinații ale acestora)</w:t>
      </w:r>
      <w:r>
        <w:rPr>
          <w:rFonts w:eastAsia="Calibri"/>
          <w:i/>
          <w:iCs/>
          <w:sz w:val="22"/>
          <w:szCs w:val="22"/>
          <w:shd w:val="clear" w:color="auto" w:fill="FFFFFF"/>
        </w:rPr>
        <w:t xml:space="preserve"> stabilite potrivit </w:t>
      </w:r>
      <w:r>
        <w:rPr>
          <w:rFonts w:eastAsia="Calibri"/>
          <w:b/>
          <w:bCs/>
          <w:i/>
          <w:iCs/>
          <w:sz w:val="22"/>
          <w:szCs w:val="22"/>
          <w:shd w:val="clear" w:color="auto" w:fill="FFFFFF"/>
        </w:rPr>
        <w:t>art. 12</w:t>
      </w:r>
      <w:r>
        <w:rPr>
          <w:rFonts w:eastAsia="Calibri"/>
          <w:i/>
          <w:iCs/>
          <w:sz w:val="22"/>
          <w:szCs w:val="22"/>
          <w:shd w:val="clear" w:color="auto" w:fill="FFFFFF"/>
        </w:rPr>
        <w:t xml:space="preserve"> din Regulamentul pentru verificarea și expertizarea tehnică a proiectelor, expertizarea tehnică a execuției lucrărilor și a construcțiilor, precum și verificarea calității lucrărilor executate, aprobat prin </w:t>
      </w:r>
      <w:r>
        <w:rPr>
          <w:rFonts w:eastAsia="Calibri"/>
          <w:b/>
          <w:bCs/>
          <w:i/>
          <w:iCs/>
          <w:sz w:val="22"/>
          <w:szCs w:val="22"/>
          <w:shd w:val="clear" w:color="auto" w:fill="FFFFFF"/>
        </w:rPr>
        <w:t>Hotărârea Guvernului nr. 925/1995</w:t>
      </w:r>
      <w:r>
        <w:rPr>
          <w:rFonts w:eastAsia="Calibri"/>
          <w:i/>
          <w:iCs/>
          <w:sz w:val="22"/>
          <w:szCs w:val="22"/>
          <w:shd w:val="clear" w:color="auto" w:fill="FFFFFF"/>
        </w:rPr>
        <w:t>, cu modificările ulterioare.</w:t>
      </w:r>
      <w:r>
        <w:rPr>
          <w:b/>
          <w:i/>
          <w:iCs/>
          <w:sz w:val="22"/>
          <w:szCs w:val="22"/>
        </w:rPr>
        <w:t xml:space="preserve"> </w:t>
      </w:r>
      <w:r>
        <w:rPr>
          <w:i/>
          <w:iCs/>
          <w:sz w:val="22"/>
          <w:szCs w:val="22"/>
        </w:rPr>
        <w:t xml:space="preserve">Măsurile de îmbunătăţire a cerințelor privind securitatea la incendiu sau măsurile alternative de protecţie (pasive, active sau combinații ale acestora care este obligatoriu să vizeze suplinirea cerințelor care nu pot fi respectate), se efectuează în baza unei/ unor expertiză/e tehnică/e pentru cerința fundamentală securitate la incendiu (construcții și/ sau instalații), </w:t>
      </w:r>
      <w:r>
        <w:rPr>
          <w:bCs/>
          <w:i/>
          <w:iCs/>
          <w:sz w:val="22"/>
          <w:szCs w:val="22"/>
        </w:rPr>
        <w:t xml:space="preserve">întocmită/e în baza </w:t>
      </w:r>
      <w:r>
        <w:rPr>
          <w:b/>
          <w:i/>
          <w:iCs/>
          <w:sz w:val="22"/>
          <w:szCs w:val="22"/>
        </w:rPr>
        <w:t xml:space="preserve">art. 9 </w:t>
      </w:r>
      <w:r>
        <w:rPr>
          <w:bCs/>
          <w:i/>
          <w:iCs/>
          <w:sz w:val="22"/>
          <w:szCs w:val="22"/>
        </w:rPr>
        <w:t xml:space="preserve">și </w:t>
      </w:r>
      <w:r>
        <w:rPr>
          <w:b/>
          <w:i/>
          <w:iCs/>
          <w:sz w:val="22"/>
          <w:szCs w:val="22"/>
        </w:rPr>
        <w:t xml:space="preserve">art. 12 </w:t>
      </w:r>
      <w:r>
        <w:rPr>
          <w:bCs/>
          <w:i/>
          <w:iCs/>
          <w:sz w:val="22"/>
          <w:szCs w:val="22"/>
        </w:rPr>
        <w:t xml:space="preserve">din Regulamentul privind verificarea și expertizarea tehnică a proiectelor, expertizarea tehnică a execuției lucrărilor și a construcțiilor, precum și verificarea calității lucrărilor executate, aprobat prin </w:t>
      </w:r>
      <w:r>
        <w:rPr>
          <w:b/>
          <w:i/>
          <w:iCs/>
          <w:sz w:val="22"/>
          <w:szCs w:val="22"/>
        </w:rPr>
        <w:t>Hotărârea Guvernului nr. 925/1995</w:t>
      </w:r>
      <w:r>
        <w:rPr>
          <w:bCs/>
          <w:i/>
          <w:iCs/>
          <w:sz w:val="22"/>
          <w:szCs w:val="22"/>
        </w:rPr>
        <w:t xml:space="preserve">, cu modificările ulterioare. </w:t>
      </w:r>
      <w:r>
        <w:rPr>
          <w:i/>
          <w:iCs/>
          <w:sz w:val="22"/>
          <w:szCs w:val="22"/>
        </w:rPr>
        <w:t xml:space="preserve">Măsurile propuse de către expertul tehnic/ experții tehnici în vederea îmbunătățirii cerinței de securitate la incendiu este obligatoriu să vizeze suplinirea cerințelor care nu pot fi respectate, atunci când în mod justificat tehnic nu pot fi îndeplinite unele prevederi de securitate la incendiu normate. </w:t>
      </w:r>
    </w:p>
    <w:p w14:paraId="6C2785BA" w14:textId="77777777" w:rsidR="001C08A5" w:rsidRDefault="001C08A5">
      <w:pPr>
        <w:numPr>
          <w:ilvl w:val="255"/>
          <w:numId w:val="0"/>
        </w:numPr>
        <w:tabs>
          <w:tab w:val="left" w:pos="426"/>
          <w:tab w:val="left" w:pos="993"/>
        </w:tabs>
        <w:jc w:val="both"/>
        <w:rPr>
          <w:i/>
          <w:iCs/>
          <w:sz w:val="22"/>
          <w:szCs w:val="22"/>
        </w:rPr>
      </w:pPr>
    </w:p>
    <w:p w14:paraId="434216EC" w14:textId="77777777" w:rsidR="001C08A5" w:rsidRDefault="00000000">
      <w:pPr>
        <w:numPr>
          <w:ilvl w:val="0"/>
          <w:numId w:val="103"/>
        </w:numPr>
        <w:tabs>
          <w:tab w:val="left" w:pos="426"/>
          <w:tab w:val="left" w:pos="993"/>
        </w:tabs>
        <w:ind w:left="0"/>
        <w:jc w:val="both"/>
        <w:rPr>
          <w:rFonts w:eastAsia="Calibri"/>
          <w:i/>
          <w:iCs/>
          <w:sz w:val="24"/>
          <w:szCs w:val="24"/>
          <w:shd w:val="clear" w:color="auto" w:fill="FFFFFF"/>
        </w:rPr>
      </w:pPr>
      <w:r>
        <w:rPr>
          <w:i/>
          <w:iCs/>
          <w:sz w:val="24"/>
          <w:szCs w:val="24"/>
        </w:rPr>
        <w:t xml:space="preserve">Lucrările de </w:t>
      </w:r>
      <w:r>
        <w:rPr>
          <w:b/>
          <w:bCs/>
          <w:i/>
          <w:iCs/>
          <w:sz w:val="24"/>
          <w:szCs w:val="24"/>
        </w:rPr>
        <w:t>extindere</w:t>
      </w:r>
      <w:r>
        <w:rPr>
          <w:i/>
          <w:iCs/>
          <w:sz w:val="24"/>
          <w:szCs w:val="24"/>
        </w:rPr>
        <w:t xml:space="preserve"> la construcțiile existente se fac păstrând performanța la foc a elementelor de construcții din volumul construcției existente (care se înlocuiesc în conformitate cu reglementările aplicabile la data realizării lor, în acord cu </w:t>
      </w:r>
      <w:r>
        <w:rPr>
          <w:b/>
          <w:bCs/>
          <w:i/>
          <w:iCs/>
          <w:sz w:val="24"/>
          <w:szCs w:val="24"/>
        </w:rPr>
        <w:t>Anexa 10</w:t>
      </w:r>
      <w:r>
        <w:rPr>
          <w:i/>
          <w:iCs/>
          <w:sz w:val="24"/>
          <w:szCs w:val="24"/>
        </w:rPr>
        <w:t xml:space="preserve"> din normativ), iar lucrările de extindere din exteriorul volumului construcției existente se realizează în concordanță cu reglementările tehnice în vigoare astfel:. </w:t>
      </w:r>
    </w:p>
    <w:p w14:paraId="59763A5E" w14:textId="77777777" w:rsidR="001C08A5" w:rsidRDefault="00000000">
      <w:pPr>
        <w:numPr>
          <w:ilvl w:val="0"/>
          <w:numId w:val="104"/>
        </w:numPr>
        <w:tabs>
          <w:tab w:val="clear" w:pos="425"/>
          <w:tab w:val="left" w:pos="426"/>
          <w:tab w:val="left" w:pos="993"/>
        </w:tabs>
        <w:ind w:left="840" w:hanging="420"/>
        <w:jc w:val="both"/>
        <w:rPr>
          <w:rFonts w:eastAsia="Calibri"/>
          <w:i/>
          <w:iCs/>
          <w:sz w:val="24"/>
          <w:szCs w:val="24"/>
          <w:shd w:val="clear" w:color="auto" w:fill="FFFFFF"/>
        </w:rPr>
      </w:pPr>
      <w:r>
        <w:rPr>
          <w:rFonts w:eastAsia="Calibri"/>
          <w:bCs/>
          <w:i/>
          <w:iCs/>
          <w:sz w:val="24"/>
          <w:szCs w:val="24"/>
          <w:shd w:val="clear" w:color="auto" w:fill="FFFFFF"/>
        </w:rPr>
        <w:t xml:space="preserve">În cazul în care </w:t>
      </w:r>
      <w:r>
        <w:rPr>
          <w:i/>
          <w:iCs/>
          <w:sz w:val="24"/>
          <w:szCs w:val="24"/>
        </w:rPr>
        <w:t xml:space="preserve">lucrările </w:t>
      </w:r>
      <w:r>
        <w:rPr>
          <w:b/>
          <w:bCs/>
          <w:i/>
          <w:iCs/>
          <w:sz w:val="24"/>
          <w:szCs w:val="24"/>
        </w:rPr>
        <w:t>de extindere</w:t>
      </w:r>
      <w:r>
        <w:rPr>
          <w:i/>
          <w:iCs/>
          <w:sz w:val="24"/>
          <w:szCs w:val="24"/>
        </w:rPr>
        <w:t xml:space="preserve"> la construcțiile existente </w:t>
      </w:r>
      <w:r>
        <w:rPr>
          <w:b/>
          <w:bCs/>
          <w:i/>
          <w:iCs/>
          <w:sz w:val="24"/>
          <w:szCs w:val="24"/>
          <w:u w:val="single"/>
        </w:rPr>
        <w:t>se constituie</w:t>
      </w:r>
      <w:r>
        <w:rPr>
          <w:i/>
          <w:iCs/>
          <w:sz w:val="24"/>
          <w:szCs w:val="24"/>
          <w:u w:val="single"/>
        </w:rPr>
        <w:t xml:space="preserve"> ca și compartiment/ compartimente de incendiu distinct/e </w:t>
      </w:r>
      <w:r>
        <w:rPr>
          <w:i/>
          <w:iCs/>
          <w:sz w:val="24"/>
          <w:szCs w:val="24"/>
        </w:rPr>
        <w:t>(minimum unul), între construcția existentă și extindere se prevede perete antifoc.</w:t>
      </w:r>
      <w:r>
        <w:rPr>
          <w:rFonts w:eastAsia="Calibri"/>
          <w:b/>
          <w:bCs/>
          <w:i/>
          <w:iCs/>
          <w:sz w:val="24"/>
          <w:szCs w:val="24"/>
          <w:shd w:val="clear" w:color="auto" w:fill="FFFFFF"/>
        </w:rPr>
        <w:t xml:space="preserve"> </w:t>
      </w:r>
      <w:r>
        <w:rPr>
          <w:rFonts w:eastAsia="Calibri"/>
          <w:i/>
          <w:iCs/>
          <w:sz w:val="24"/>
          <w:szCs w:val="24"/>
          <w:shd w:val="clear" w:color="auto" w:fill="FFFFFF"/>
        </w:rPr>
        <w:t xml:space="preserve">Pereții antifoc dintre construcțiile existente care se extind cu alte compartimente de incendiu noi (minimum unul) se realizează conform prevederilor normativului (Capitol </w:t>
      </w:r>
      <w:r>
        <w:rPr>
          <w:rFonts w:eastAsia="Calibri"/>
          <w:b/>
          <w:bCs/>
          <w:i/>
          <w:iCs/>
          <w:sz w:val="24"/>
          <w:szCs w:val="24"/>
          <w:shd w:val="clear" w:color="auto" w:fill="FFFFFF"/>
        </w:rPr>
        <w:t>2.3.2.1. Pereţi rezistenţi la foc pentru separarea compartimentelor de incendiu</w:t>
      </w:r>
      <w:r>
        <w:rPr>
          <w:rFonts w:eastAsia="Calibri"/>
          <w:i/>
          <w:iCs/>
          <w:sz w:val="24"/>
          <w:szCs w:val="24"/>
          <w:shd w:val="clear" w:color="auto" w:fill="FFFFFF"/>
        </w:rPr>
        <w:t>), dar cel puțin 3 ore (</w:t>
      </w:r>
      <w:r>
        <w:rPr>
          <w:rFonts w:eastAsia="Calibri"/>
          <w:b/>
          <w:bCs/>
          <w:i/>
          <w:iCs/>
          <w:sz w:val="24"/>
          <w:szCs w:val="24"/>
          <w:shd w:val="clear" w:color="auto" w:fill="FFFFFF"/>
        </w:rPr>
        <w:t>EI-M180/REI180</w:t>
      </w:r>
      <w:r>
        <w:rPr>
          <w:rFonts w:eastAsia="Calibri"/>
          <w:i/>
          <w:iCs/>
          <w:sz w:val="24"/>
          <w:szCs w:val="24"/>
          <w:shd w:val="clear" w:color="auto" w:fill="FFFFFF"/>
        </w:rPr>
        <w:t xml:space="preserve">). Pereții antifoc din cadrul extinderilor construcțiilor existente (cu excepția celor prevăzuți anterior dintre construcția existentă și extindere/extinderi) se realizează conform prevederilor normativului (Capitol </w:t>
      </w:r>
      <w:r>
        <w:rPr>
          <w:rFonts w:eastAsia="Calibri"/>
          <w:b/>
          <w:bCs/>
          <w:i/>
          <w:iCs/>
          <w:sz w:val="24"/>
          <w:szCs w:val="24"/>
          <w:shd w:val="clear" w:color="auto" w:fill="FFFFFF"/>
        </w:rPr>
        <w:t>2.3.2.1. Pereţi rezistenţi la foc pentru separarea compartimentelor de incendiu</w:t>
      </w:r>
      <w:r>
        <w:rPr>
          <w:rFonts w:eastAsia="Calibri"/>
          <w:i/>
          <w:iCs/>
          <w:sz w:val="24"/>
          <w:szCs w:val="24"/>
          <w:shd w:val="clear" w:color="auto" w:fill="FFFFFF"/>
        </w:rPr>
        <w:t xml:space="preserve">). </w:t>
      </w:r>
      <w:r>
        <w:rPr>
          <w:i/>
          <w:iCs/>
          <w:sz w:val="24"/>
          <w:szCs w:val="24"/>
        </w:rPr>
        <w:t xml:space="preserve">Lucrările de intervenții la construcțiile existente care își păstrează destinația se fac păstrând performanța la foc a elementelor de construcții din volumul construcției existente (care se </w:t>
      </w:r>
      <w:r>
        <w:rPr>
          <w:i/>
          <w:iCs/>
          <w:sz w:val="24"/>
          <w:szCs w:val="24"/>
        </w:rPr>
        <w:lastRenderedPageBreak/>
        <w:t xml:space="preserve">înlocuiesc în conformitate cu reglementările aplicabile la data realizării lor, în acord cu </w:t>
      </w:r>
      <w:r>
        <w:rPr>
          <w:b/>
          <w:bCs/>
          <w:i/>
          <w:iCs/>
          <w:sz w:val="24"/>
          <w:szCs w:val="24"/>
        </w:rPr>
        <w:t>Anexa 10</w:t>
      </w:r>
      <w:r>
        <w:rPr>
          <w:i/>
          <w:iCs/>
          <w:sz w:val="24"/>
          <w:szCs w:val="24"/>
        </w:rPr>
        <w:t>), iar lucrările de extindere din exteriorul volumului construcției existente se realizează în concordanță cu reglementările tehnice în vigoare privind construcțiile noi.</w:t>
      </w:r>
    </w:p>
    <w:p w14:paraId="27AA11CD" w14:textId="77777777" w:rsidR="001C08A5" w:rsidRDefault="00000000">
      <w:pPr>
        <w:numPr>
          <w:ilvl w:val="0"/>
          <w:numId w:val="104"/>
        </w:numPr>
        <w:tabs>
          <w:tab w:val="clear" w:pos="425"/>
          <w:tab w:val="left" w:pos="426"/>
          <w:tab w:val="left" w:pos="993"/>
        </w:tabs>
        <w:ind w:left="840" w:hanging="420"/>
        <w:jc w:val="both"/>
        <w:rPr>
          <w:rFonts w:eastAsia="Calibri"/>
          <w:i/>
          <w:iCs/>
          <w:sz w:val="24"/>
          <w:szCs w:val="24"/>
          <w:shd w:val="clear" w:color="auto" w:fill="FFFFFF"/>
        </w:rPr>
      </w:pPr>
      <w:r>
        <w:rPr>
          <w:rFonts w:eastAsia="Calibri"/>
          <w:bCs/>
          <w:i/>
          <w:iCs/>
          <w:sz w:val="24"/>
          <w:szCs w:val="24"/>
          <w:shd w:val="clear" w:color="auto" w:fill="FFFFFF"/>
        </w:rPr>
        <w:t xml:space="preserve">În cazul în care </w:t>
      </w:r>
      <w:r>
        <w:rPr>
          <w:i/>
          <w:iCs/>
          <w:sz w:val="24"/>
          <w:szCs w:val="24"/>
        </w:rPr>
        <w:t xml:space="preserve">lucrările de </w:t>
      </w:r>
      <w:r>
        <w:rPr>
          <w:b/>
          <w:bCs/>
          <w:i/>
          <w:iCs/>
          <w:sz w:val="24"/>
          <w:szCs w:val="24"/>
        </w:rPr>
        <w:t>extindere</w:t>
      </w:r>
      <w:r>
        <w:rPr>
          <w:i/>
          <w:iCs/>
          <w:sz w:val="24"/>
          <w:szCs w:val="24"/>
        </w:rPr>
        <w:t xml:space="preserve"> la construcțiile existente </w:t>
      </w:r>
      <w:r>
        <w:rPr>
          <w:b/>
          <w:bCs/>
          <w:i/>
          <w:iCs/>
          <w:sz w:val="24"/>
          <w:szCs w:val="24"/>
        </w:rPr>
        <w:t>nu</w:t>
      </w:r>
      <w:r>
        <w:rPr>
          <w:i/>
          <w:iCs/>
          <w:sz w:val="24"/>
          <w:szCs w:val="24"/>
        </w:rPr>
        <w:t xml:space="preserve"> </w:t>
      </w:r>
      <w:r>
        <w:rPr>
          <w:b/>
          <w:bCs/>
          <w:i/>
          <w:iCs/>
          <w:sz w:val="24"/>
          <w:szCs w:val="24"/>
        </w:rPr>
        <w:t>se constituie</w:t>
      </w:r>
      <w:r>
        <w:rPr>
          <w:i/>
          <w:iCs/>
          <w:sz w:val="24"/>
          <w:szCs w:val="24"/>
        </w:rPr>
        <w:t xml:space="preserve"> ca și compartiment/ compartimente de incendiu distinct/e (minimum unul), între construcția existentă și extindere se prevede perete rezistent la foc având următoarele niveluri de performanță:</w:t>
      </w:r>
    </w:p>
    <w:p w14:paraId="42799D4B" w14:textId="77777777" w:rsidR="001C08A5" w:rsidRDefault="00000000">
      <w:pPr>
        <w:tabs>
          <w:tab w:val="left" w:pos="426"/>
          <w:tab w:val="left" w:pos="993"/>
        </w:tabs>
        <w:ind w:left="1440" w:firstLine="720"/>
        <w:jc w:val="both"/>
        <w:rPr>
          <w:rFonts w:eastAsia="Arial"/>
          <w:b/>
          <w:bCs/>
          <w:i/>
          <w:iCs/>
          <w:sz w:val="24"/>
          <w:szCs w:val="24"/>
          <w:vertAlign w:val="subscript"/>
        </w:rPr>
      </w:pPr>
      <w:r>
        <w:rPr>
          <w:b/>
          <w:bCs/>
          <w:i/>
          <w:iCs/>
          <w:sz w:val="24"/>
          <w:szCs w:val="24"/>
        </w:rPr>
        <w:t xml:space="preserve">- </w:t>
      </w:r>
      <w:r>
        <w:rPr>
          <w:rFonts w:eastAsia="Arial"/>
          <w:b/>
          <w:bCs/>
          <w:i/>
          <w:iCs/>
          <w:sz w:val="24"/>
          <w:szCs w:val="24"/>
        </w:rPr>
        <w:t>REI 180/EI-M 180 (</w:t>
      </w:r>
      <w:r>
        <w:rPr>
          <w:i/>
          <w:iCs/>
          <w:sz w:val="24"/>
          <w:szCs w:val="24"/>
        </w:rPr>
        <w:t xml:space="preserve">clasa de reacție la foc </w:t>
      </w:r>
      <w:r>
        <w:rPr>
          <w:rFonts w:eastAsia="Arial"/>
          <w:b/>
          <w:bCs/>
          <w:i/>
          <w:iCs/>
          <w:sz w:val="24"/>
          <w:szCs w:val="24"/>
        </w:rPr>
        <w:t>A1 sau A2-s1,d0)</w:t>
      </w:r>
      <w:r>
        <w:rPr>
          <w:rFonts w:eastAsia="Arial"/>
          <w:i/>
          <w:iCs/>
          <w:sz w:val="24"/>
          <w:szCs w:val="24"/>
        </w:rPr>
        <w:t xml:space="preserve"> prevăzuți cu uși </w:t>
      </w:r>
      <w:r>
        <w:rPr>
          <w:rFonts w:eastAsia="Arial"/>
          <w:b/>
          <w:bCs/>
          <w:i/>
          <w:iCs/>
          <w:sz w:val="24"/>
          <w:szCs w:val="24"/>
        </w:rPr>
        <w:t>EI</w:t>
      </w:r>
      <w:r>
        <w:rPr>
          <w:rFonts w:eastAsia="Arial"/>
          <w:b/>
          <w:bCs/>
          <w:i/>
          <w:iCs/>
          <w:sz w:val="24"/>
          <w:szCs w:val="24"/>
          <w:vertAlign w:val="subscript"/>
        </w:rPr>
        <w:t>1</w:t>
      </w:r>
      <w:r>
        <w:rPr>
          <w:rFonts w:eastAsia="Arial"/>
          <w:b/>
          <w:bCs/>
          <w:i/>
          <w:iCs/>
          <w:sz w:val="24"/>
          <w:szCs w:val="24"/>
        </w:rPr>
        <w:t xml:space="preserve"> 90-C5S</w:t>
      </w:r>
      <w:r>
        <w:rPr>
          <w:rFonts w:eastAsia="Arial"/>
          <w:b/>
          <w:bCs/>
          <w:i/>
          <w:iCs/>
          <w:sz w:val="24"/>
          <w:szCs w:val="24"/>
          <w:vertAlign w:val="subscript"/>
        </w:rPr>
        <w:t xml:space="preserve">200 </w:t>
      </w:r>
      <w:r>
        <w:rPr>
          <w:rFonts w:eastAsia="Arial"/>
          <w:i/>
          <w:iCs/>
          <w:sz w:val="24"/>
          <w:szCs w:val="24"/>
        </w:rPr>
        <w:t xml:space="preserve">la </w:t>
      </w:r>
      <w:r>
        <w:rPr>
          <w:b/>
          <w:bCs/>
          <w:i/>
          <w:iCs/>
          <w:sz w:val="24"/>
          <w:szCs w:val="24"/>
        </w:rPr>
        <w:t>Nivelul I</w:t>
      </w:r>
      <w:r>
        <w:rPr>
          <w:rFonts w:eastAsia="Arial"/>
          <w:b/>
          <w:bCs/>
          <w:i/>
          <w:iCs/>
          <w:sz w:val="24"/>
          <w:szCs w:val="24"/>
        </w:rPr>
        <w:t xml:space="preserve"> </w:t>
      </w:r>
      <w:r>
        <w:rPr>
          <w:i/>
          <w:iCs/>
          <w:sz w:val="24"/>
          <w:szCs w:val="24"/>
        </w:rPr>
        <w:t xml:space="preserve">de stabilitate la incendiu/ gradul de rezistență la foc </w:t>
      </w:r>
      <w:r>
        <w:rPr>
          <w:b/>
          <w:i/>
          <w:iCs/>
          <w:sz w:val="24"/>
          <w:szCs w:val="24"/>
        </w:rPr>
        <w:t xml:space="preserve">I  </w:t>
      </w:r>
    </w:p>
    <w:p w14:paraId="4E942C73" w14:textId="77777777" w:rsidR="001C08A5" w:rsidRDefault="00000000">
      <w:pPr>
        <w:tabs>
          <w:tab w:val="left" w:pos="426"/>
          <w:tab w:val="left" w:pos="993"/>
        </w:tabs>
        <w:ind w:left="1440" w:firstLine="720"/>
        <w:jc w:val="both"/>
        <w:rPr>
          <w:rFonts w:eastAsia="Arial"/>
          <w:b/>
          <w:bCs/>
          <w:i/>
          <w:iCs/>
          <w:sz w:val="24"/>
          <w:szCs w:val="24"/>
        </w:rPr>
      </w:pPr>
      <w:r>
        <w:rPr>
          <w:rFonts w:eastAsia="Arial"/>
          <w:b/>
          <w:bCs/>
          <w:i/>
          <w:iCs/>
          <w:sz w:val="24"/>
          <w:szCs w:val="24"/>
        </w:rPr>
        <w:t>- Nivel II - REI 120/EI 120 (</w:t>
      </w:r>
      <w:r>
        <w:rPr>
          <w:i/>
          <w:iCs/>
          <w:sz w:val="24"/>
          <w:szCs w:val="24"/>
        </w:rPr>
        <w:t xml:space="preserve">clasa de reacție la foc </w:t>
      </w:r>
      <w:r>
        <w:rPr>
          <w:rFonts w:eastAsia="Arial"/>
          <w:b/>
          <w:bCs/>
          <w:i/>
          <w:iCs/>
          <w:sz w:val="24"/>
          <w:szCs w:val="24"/>
        </w:rPr>
        <w:t>A1 sau A2-s1,d0)</w:t>
      </w:r>
      <w:r>
        <w:rPr>
          <w:rFonts w:eastAsia="Arial"/>
          <w:i/>
          <w:iCs/>
          <w:sz w:val="24"/>
          <w:szCs w:val="24"/>
        </w:rPr>
        <w:t xml:space="preserve"> prevăzuți cu uși</w:t>
      </w:r>
      <w:r>
        <w:rPr>
          <w:rFonts w:eastAsia="Arial"/>
          <w:b/>
          <w:bCs/>
          <w:i/>
          <w:iCs/>
          <w:sz w:val="24"/>
          <w:szCs w:val="24"/>
        </w:rPr>
        <w:t xml:space="preserve"> EI</w:t>
      </w:r>
      <w:r>
        <w:rPr>
          <w:rFonts w:eastAsia="Arial"/>
          <w:b/>
          <w:bCs/>
          <w:i/>
          <w:iCs/>
          <w:sz w:val="24"/>
          <w:szCs w:val="24"/>
          <w:vertAlign w:val="subscript"/>
        </w:rPr>
        <w:t>2</w:t>
      </w:r>
      <w:r>
        <w:rPr>
          <w:rFonts w:eastAsia="Arial"/>
          <w:b/>
          <w:bCs/>
          <w:i/>
          <w:iCs/>
          <w:sz w:val="24"/>
          <w:szCs w:val="24"/>
        </w:rPr>
        <w:t xml:space="preserve"> 60-C5S</w:t>
      </w:r>
      <w:r>
        <w:rPr>
          <w:rFonts w:eastAsia="Arial"/>
          <w:b/>
          <w:bCs/>
          <w:i/>
          <w:iCs/>
          <w:sz w:val="24"/>
          <w:szCs w:val="24"/>
          <w:vertAlign w:val="subscript"/>
        </w:rPr>
        <w:t>200</w:t>
      </w:r>
      <w:r>
        <w:rPr>
          <w:rFonts w:eastAsia="Arial"/>
          <w:b/>
          <w:bCs/>
          <w:i/>
          <w:iCs/>
          <w:sz w:val="24"/>
          <w:szCs w:val="24"/>
        </w:rPr>
        <w:t xml:space="preserve"> </w:t>
      </w:r>
      <w:r>
        <w:rPr>
          <w:rFonts w:eastAsia="Arial"/>
          <w:b/>
          <w:bCs/>
          <w:i/>
          <w:iCs/>
          <w:sz w:val="24"/>
          <w:szCs w:val="24"/>
          <w:vertAlign w:val="subscript"/>
        </w:rPr>
        <w:t xml:space="preserve"> </w:t>
      </w:r>
      <w:r>
        <w:rPr>
          <w:rFonts w:eastAsia="Arial"/>
          <w:i/>
          <w:iCs/>
          <w:sz w:val="24"/>
          <w:szCs w:val="24"/>
        </w:rPr>
        <w:t xml:space="preserve">la </w:t>
      </w:r>
      <w:r>
        <w:rPr>
          <w:rFonts w:eastAsia="Arial"/>
          <w:b/>
          <w:bCs/>
          <w:i/>
          <w:iCs/>
          <w:sz w:val="24"/>
          <w:szCs w:val="24"/>
        </w:rPr>
        <w:t xml:space="preserve">Nivelul II </w:t>
      </w:r>
      <w:r>
        <w:rPr>
          <w:i/>
          <w:iCs/>
          <w:sz w:val="24"/>
          <w:szCs w:val="24"/>
        </w:rPr>
        <w:t xml:space="preserve">de stabilitate la incendiu/ gradul de rezistență la foc </w:t>
      </w:r>
      <w:r>
        <w:rPr>
          <w:b/>
          <w:i/>
          <w:iCs/>
          <w:sz w:val="24"/>
          <w:szCs w:val="24"/>
        </w:rPr>
        <w:t>II</w:t>
      </w:r>
    </w:p>
    <w:p w14:paraId="257A0854" w14:textId="77777777" w:rsidR="001C08A5" w:rsidRDefault="00000000">
      <w:pPr>
        <w:tabs>
          <w:tab w:val="left" w:pos="426"/>
          <w:tab w:val="left" w:pos="993"/>
        </w:tabs>
        <w:ind w:left="1440" w:firstLine="720"/>
        <w:jc w:val="both"/>
        <w:rPr>
          <w:rFonts w:eastAsia="Arial"/>
          <w:b/>
          <w:bCs/>
          <w:i/>
          <w:iCs/>
          <w:sz w:val="24"/>
          <w:szCs w:val="24"/>
        </w:rPr>
      </w:pPr>
      <w:r>
        <w:rPr>
          <w:rFonts w:eastAsia="Arial"/>
          <w:b/>
          <w:bCs/>
          <w:i/>
          <w:iCs/>
          <w:sz w:val="24"/>
          <w:szCs w:val="24"/>
        </w:rPr>
        <w:t>- REI 90/EI 90 (</w:t>
      </w:r>
      <w:r>
        <w:rPr>
          <w:i/>
          <w:iCs/>
          <w:sz w:val="24"/>
          <w:szCs w:val="24"/>
        </w:rPr>
        <w:t xml:space="preserve">clasa de reacție la foc </w:t>
      </w:r>
      <w:r>
        <w:rPr>
          <w:rFonts w:eastAsia="Arial"/>
          <w:b/>
          <w:bCs/>
          <w:i/>
          <w:iCs/>
          <w:sz w:val="24"/>
          <w:szCs w:val="24"/>
        </w:rPr>
        <w:t>A1 sau A2-s1,d0)</w:t>
      </w:r>
      <w:r>
        <w:rPr>
          <w:rFonts w:eastAsia="Arial"/>
          <w:i/>
          <w:iCs/>
          <w:sz w:val="24"/>
          <w:szCs w:val="24"/>
        </w:rPr>
        <w:t xml:space="preserve"> prevăzuți cu uși</w:t>
      </w:r>
      <w:r>
        <w:rPr>
          <w:rFonts w:eastAsia="Arial"/>
          <w:b/>
          <w:bCs/>
          <w:i/>
          <w:iCs/>
          <w:sz w:val="24"/>
          <w:szCs w:val="24"/>
        </w:rPr>
        <w:t xml:space="preserve"> EI</w:t>
      </w:r>
      <w:r>
        <w:rPr>
          <w:rFonts w:eastAsia="Arial"/>
          <w:b/>
          <w:bCs/>
          <w:i/>
          <w:iCs/>
          <w:sz w:val="24"/>
          <w:szCs w:val="24"/>
          <w:vertAlign w:val="subscript"/>
        </w:rPr>
        <w:t>2</w:t>
      </w:r>
      <w:r>
        <w:rPr>
          <w:rFonts w:eastAsia="Arial"/>
          <w:b/>
          <w:bCs/>
          <w:i/>
          <w:iCs/>
          <w:sz w:val="24"/>
          <w:szCs w:val="24"/>
        </w:rPr>
        <w:t xml:space="preserve"> 45-C5S</w:t>
      </w:r>
      <w:r>
        <w:rPr>
          <w:rFonts w:eastAsia="Arial"/>
          <w:b/>
          <w:bCs/>
          <w:i/>
          <w:iCs/>
          <w:sz w:val="24"/>
          <w:szCs w:val="24"/>
          <w:vertAlign w:val="subscript"/>
        </w:rPr>
        <w:t>200</w:t>
      </w:r>
      <w:r>
        <w:rPr>
          <w:rFonts w:eastAsia="Arial"/>
          <w:b/>
          <w:bCs/>
          <w:i/>
          <w:iCs/>
          <w:sz w:val="24"/>
          <w:szCs w:val="24"/>
        </w:rPr>
        <w:t xml:space="preserve"> </w:t>
      </w:r>
      <w:r>
        <w:rPr>
          <w:rFonts w:eastAsia="Arial"/>
          <w:b/>
          <w:bCs/>
          <w:i/>
          <w:iCs/>
          <w:sz w:val="24"/>
          <w:szCs w:val="24"/>
          <w:vertAlign w:val="subscript"/>
        </w:rPr>
        <w:t xml:space="preserve"> </w:t>
      </w:r>
      <w:r>
        <w:rPr>
          <w:rFonts w:eastAsia="Arial"/>
          <w:i/>
          <w:iCs/>
          <w:sz w:val="24"/>
          <w:szCs w:val="24"/>
        </w:rPr>
        <w:t xml:space="preserve">la </w:t>
      </w:r>
      <w:r>
        <w:rPr>
          <w:rFonts w:eastAsia="Arial"/>
          <w:b/>
          <w:bCs/>
          <w:i/>
          <w:iCs/>
          <w:sz w:val="24"/>
          <w:szCs w:val="24"/>
        </w:rPr>
        <w:t xml:space="preserve">Nivelul III </w:t>
      </w:r>
      <w:r>
        <w:rPr>
          <w:i/>
          <w:iCs/>
          <w:sz w:val="24"/>
          <w:szCs w:val="24"/>
        </w:rPr>
        <w:t xml:space="preserve">de stabilitate la incendiu/ gradul de rezistență la foc </w:t>
      </w:r>
      <w:r>
        <w:rPr>
          <w:b/>
          <w:i/>
          <w:iCs/>
          <w:sz w:val="24"/>
          <w:szCs w:val="24"/>
        </w:rPr>
        <w:t>III</w:t>
      </w:r>
    </w:p>
    <w:p w14:paraId="559E3C1B" w14:textId="77777777" w:rsidR="001C08A5" w:rsidRDefault="00000000">
      <w:pPr>
        <w:tabs>
          <w:tab w:val="left" w:pos="426"/>
          <w:tab w:val="left" w:pos="993"/>
        </w:tabs>
        <w:ind w:left="1440" w:firstLine="720"/>
        <w:jc w:val="both"/>
        <w:rPr>
          <w:rFonts w:eastAsia="Arial"/>
          <w:b/>
          <w:bCs/>
          <w:i/>
          <w:iCs/>
          <w:sz w:val="24"/>
          <w:szCs w:val="24"/>
        </w:rPr>
      </w:pPr>
      <w:r>
        <w:rPr>
          <w:rFonts w:eastAsia="Arial"/>
          <w:b/>
          <w:bCs/>
          <w:i/>
          <w:iCs/>
          <w:sz w:val="24"/>
          <w:szCs w:val="24"/>
        </w:rPr>
        <w:t>- REI 60/EI 60 (</w:t>
      </w:r>
      <w:r>
        <w:rPr>
          <w:i/>
          <w:iCs/>
          <w:sz w:val="24"/>
          <w:szCs w:val="24"/>
        </w:rPr>
        <w:t xml:space="preserve">clasa de reacție la foc </w:t>
      </w:r>
      <w:r>
        <w:rPr>
          <w:rFonts w:eastAsia="Arial"/>
          <w:b/>
          <w:bCs/>
          <w:i/>
          <w:iCs/>
          <w:sz w:val="24"/>
          <w:szCs w:val="24"/>
        </w:rPr>
        <w:t>min B-s1,d0)</w:t>
      </w:r>
      <w:r>
        <w:rPr>
          <w:rFonts w:eastAsia="Arial"/>
          <w:i/>
          <w:iCs/>
          <w:sz w:val="24"/>
          <w:szCs w:val="24"/>
        </w:rPr>
        <w:t xml:space="preserve"> prevăzuți cu uși</w:t>
      </w:r>
      <w:r>
        <w:rPr>
          <w:rFonts w:eastAsia="Arial"/>
          <w:b/>
          <w:bCs/>
          <w:i/>
          <w:iCs/>
          <w:sz w:val="24"/>
          <w:szCs w:val="24"/>
        </w:rPr>
        <w:t xml:space="preserve"> EI</w:t>
      </w:r>
      <w:r>
        <w:rPr>
          <w:rFonts w:eastAsia="Arial"/>
          <w:b/>
          <w:bCs/>
          <w:i/>
          <w:iCs/>
          <w:sz w:val="24"/>
          <w:szCs w:val="24"/>
          <w:vertAlign w:val="subscript"/>
        </w:rPr>
        <w:t>2</w:t>
      </w:r>
      <w:r>
        <w:rPr>
          <w:rFonts w:eastAsia="Arial"/>
          <w:b/>
          <w:bCs/>
          <w:i/>
          <w:iCs/>
          <w:sz w:val="24"/>
          <w:szCs w:val="24"/>
        </w:rPr>
        <w:t xml:space="preserve"> 30-C5S</w:t>
      </w:r>
      <w:r>
        <w:rPr>
          <w:rFonts w:eastAsia="Arial"/>
          <w:b/>
          <w:bCs/>
          <w:i/>
          <w:iCs/>
          <w:sz w:val="24"/>
          <w:szCs w:val="24"/>
          <w:vertAlign w:val="subscript"/>
        </w:rPr>
        <w:t>a</w:t>
      </w:r>
      <w:r>
        <w:rPr>
          <w:rFonts w:eastAsia="Arial"/>
          <w:b/>
          <w:bCs/>
          <w:i/>
          <w:iCs/>
          <w:sz w:val="24"/>
          <w:szCs w:val="24"/>
        </w:rPr>
        <w:t xml:space="preserve"> </w:t>
      </w:r>
      <w:r>
        <w:rPr>
          <w:rFonts w:eastAsia="Arial"/>
          <w:i/>
          <w:iCs/>
          <w:sz w:val="24"/>
          <w:szCs w:val="24"/>
        </w:rPr>
        <w:t xml:space="preserve">la </w:t>
      </w:r>
      <w:r>
        <w:rPr>
          <w:rFonts w:eastAsia="Arial"/>
          <w:b/>
          <w:bCs/>
          <w:i/>
          <w:iCs/>
          <w:sz w:val="24"/>
          <w:szCs w:val="24"/>
        </w:rPr>
        <w:t xml:space="preserve">Nivelul IV </w:t>
      </w:r>
      <w:r>
        <w:rPr>
          <w:i/>
          <w:iCs/>
          <w:sz w:val="24"/>
          <w:szCs w:val="24"/>
        </w:rPr>
        <w:t xml:space="preserve">de stabilitate la incendiu/ gradul de rezistență la foc </w:t>
      </w:r>
      <w:r>
        <w:rPr>
          <w:b/>
          <w:i/>
          <w:iCs/>
          <w:sz w:val="24"/>
          <w:szCs w:val="24"/>
        </w:rPr>
        <w:t>IV</w:t>
      </w:r>
    </w:p>
    <w:p w14:paraId="3274BD7D" w14:textId="77777777" w:rsidR="001C08A5" w:rsidRDefault="00000000">
      <w:pPr>
        <w:tabs>
          <w:tab w:val="left" w:pos="426"/>
          <w:tab w:val="left" w:pos="993"/>
        </w:tabs>
        <w:ind w:left="1440" w:firstLine="720"/>
        <w:jc w:val="both"/>
        <w:rPr>
          <w:b/>
          <w:i/>
          <w:iCs/>
          <w:sz w:val="24"/>
          <w:szCs w:val="24"/>
        </w:rPr>
      </w:pPr>
      <w:r>
        <w:rPr>
          <w:rFonts w:eastAsia="Arial"/>
          <w:b/>
          <w:bCs/>
          <w:i/>
          <w:iCs/>
          <w:sz w:val="24"/>
          <w:szCs w:val="24"/>
        </w:rPr>
        <w:t>- REI 30/EI 30 (</w:t>
      </w:r>
      <w:r>
        <w:rPr>
          <w:i/>
          <w:iCs/>
          <w:sz w:val="24"/>
          <w:szCs w:val="24"/>
        </w:rPr>
        <w:t xml:space="preserve">clasa de reacție la foc </w:t>
      </w:r>
      <w:r>
        <w:rPr>
          <w:rFonts w:eastAsia="Arial"/>
          <w:b/>
          <w:bCs/>
          <w:i/>
          <w:iCs/>
          <w:sz w:val="24"/>
          <w:szCs w:val="24"/>
        </w:rPr>
        <w:t>min C-s1,d0)</w:t>
      </w:r>
      <w:r>
        <w:rPr>
          <w:rFonts w:eastAsia="Arial"/>
          <w:i/>
          <w:iCs/>
          <w:sz w:val="24"/>
          <w:szCs w:val="24"/>
        </w:rPr>
        <w:t xml:space="preserve"> prevăzuți cu uși</w:t>
      </w:r>
      <w:r>
        <w:rPr>
          <w:rFonts w:eastAsia="Arial"/>
          <w:b/>
          <w:bCs/>
          <w:i/>
          <w:iCs/>
          <w:sz w:val="24"/>
          <w:szCs w:val="24"/>
        </w:rPr>
        <w:t xml:space="preserve"> EI</w:t>
      </w:r>
      <w:r>
        <w:rPr>
          <w:rFonts w:eastAsia="Arial"/>
          <w:b/>
          <w:bCs/>
          <w:i/>
          <w:iCs/>
          <w:sz w:val="24"/>
          <w:szCs w:val="24"/>
          <w:vertAlign w:val="subscript"/>
        </w:rPr>
        <w:t>2</w:t>
      </w:r>
      <w:r>
        <w:rPr>
          <w:rFonts w:eastAsia="Arial"/>
          <w:b/>
          <w:bCs/>
          <w:i/>
          <w:iCs/>
          <w:sz w:val="24"/>
          <w:szCs w:val="24"/>
        </w:rPr>
        <w:t xml:space="preserve"> 15-C5S</w:t>
      </w:r>
      <w:r>
        <w:rPr>
          <w:rFonts w:eastAsia="Arial"/>
          <w:b/>
          <w:bCs/>
          <w:i/>
          <w:iCs/>
          <w:sz w:val="24"/>
          <w:szCs w:val="24"/>
          <w:vertAlign w:val="subscript"/>
        </w:rPr>
        <w:t xml:space="preserve">a </w:t>
      </w:r>
      <w:r>
        <w:rPr>
          <w:rFonts w:eastAsia="Arial"/>
          <w:i/>
          <w:iCs/>
          <w:sz w:val="24"/>
          <w:szCs w:val="24"/>
        </w:rPr>
        <w:t xml:space="preserve">la </w:t>
      </w:r>
      <w:r>
        <w:rPr>
          <w:rFonts w:eastAsia="Arial"/>
          <w:b/>
          <w:bCs/>
          <w:i/>
          <w:iCs/>
          <w:sz w:val="24"/>
          <w:szCs w:val="24"/>
        </w:rPr>
        <w:t xml:space="preserve">Nivelul V </w:t>
      </w:r>
      <w:r>
        <w:rPr>
          <w:i/>
          <w:iCs/>
          <w:sz w:val="24"/>
          <w:szCs w:val="24"/>
        </w:rPr>
        <w:t xml:space="preserve">de stabilitate la incendiu/ gradul de rezistență la foc </w:t>
      </w:r>
      <w:r>
        <w:rPr>
          <w:b/>
          <w:i/>
          <w:iCs/>
          <w:sz w:val="24"/>
          <w:szCs w:val="24"/>
        </w:rPr>
        <w:t>V</w:t>
      </w:r>
    </w:p>
    <w:p w14:paraId="43962A8B" w14:textId="77777777" w:rsidR="001C08A5" w:rsidRDefault="00000000">
      <w:pPr>
        <w:numPr>
          <w:ilvl w:val="255"/>
          <w:numId w:val="0"/>
        </w:numPr>
        <w:tabs>
          <w:tab w:val="left" w:pos="426"/>
          <w:tab w:val="left" w:pos="993"/>
        </w:tabs>
        <w:ind w:left="420"/>
        <w:jc w:val="both"/>
        <w:rPr>
          <w:rFonts w:eastAsia="Calibri"/>
          <w:bCs/>
          <w:i/>
          <w:iCs/>
          <w:sz w:val="24"/>
          <w:szCs w:val="24"/>
          <w:shd w:val="clear" w:color="auto" w:fill="FFFFFF"/>
        </w:rPr>
      </w:pPr>
      <w:r>
        <w:rPr>
          <w:rFonts w:eastAsia="Calibri"/>
          <w:bCs/>
          <w:i/>
          <w:iCs/>
          <w:sz w:val="24"/>
          <w:szCs w:val="24"/>
          <w:shd w:val="clear" w:color="auto" w:fill="FFFFFF"/>
        </w:rPr>
        <w:t xml:space="preserve">Lucrările de extindere la construcțiile existente care </w:t>
      </w:r>
      <w:r>
        <w:rPr>
          <w:rFonts w:eastAsia="Calibri"/>
          <w:b/>
          <w:i/>
          <w:iCs/>
          <w:sz w:val="24"/>
          <w:szCs w:val="24"/>
          <w:shd w:val="clear" w:color="auto" w:fill="FFFFFF"/>
        </w:rPr>
        <w:t>nu se constituie</w:t>
      </w:r>
      <w:r>
        <w:rPr>
          <w:rFonts w:eastAsia="Calibri"/>
          <w:bCs/>
          <w:i/>
          <w:iCs/>
          <w:sz w:val="24"/>
          <w:szCs w:val="24"/>
          <w:shd w:val="clear" w:color="auto" w:fill="FFFFFF"/>
        </w:rPr>
        <w:t xml:space="preserve"> ca și compartiment/ compartiment/e de incendiu distinct/e (minimum unul), trebuie să respecte următoarele condiții:</w:t>
      </w:r>
    </w:p>
    <w:p w14:paraId="72EAF0EF" w14:textId="77777777" w:rsidR="001C08A5" w:rsidRDefault="00000000">
      <w:pPr>
        <w:ind w:left="1440" w:firstLine="720"/>
        <w:jc w:val="both"/>
        <w:rPr>
          <w:rFonts w:eastAsia="Arial"/>
          <w:i/>
          <w:iCs/>
          <w:sz w:val="24"/>
          <w:szCs w:val="24"/>
        </w:rPr>
      </w:pPr>
      <w:r>
        <w:rPr>
          <w:rFonts w:eastAsia="Arial"/>
          <w:i/>
          <w:iCs/>
          <w:sz w:val="24"/>
          <w:szCs w:val="24"/>
        </w:rPr>
        <w:t xml:space="preserve">- întregul compartiment de incendiu rezultat trebuie să respecte condițiile minime pe care trebuie să le îndeplinească elementele principale ale construcției existente (compartimentului de incendiu existent) astfel încât întreaga construcție existentă sau compartiment existent să poată fi încadrat într-un anumit nivel de stabilitate la incendiu (denumit anterior ”grad de rezistență la foc”) în conformitate cu </w:t>
      </w:r>
      <w:r>
        <w:rPr>
          <w:rFonts w:eastAsia="Arial"/>
          <w:b/>
          <w:bCs/>
          <w:i/>
          <w:iCs/>
          <w:sz w:val="24"/>
          <w:szCs w:val="24"/>
        </w:rPr>
        <w:t>Tabelul 144</w:t>
      </w:r>
      <w:r>
        <w:rPr>
          <w:rFonts w:eastAsia="Arial"/>
          <w:i/>
          <w:iCs/>
          <w:sz w:val="24"/>
          <w:szCs w:val="24"/>
        </w:rPr>
        <w:t xml:space="preserve"> din</w:t>
      </w:r>
      <w:r>
        <w:rPr>
          <w:rFonts w:eastAsia="Arial"/>
          <w:b/>
          <w:bCs/>
          <w:i/>
          <w:iCs/>
          <w:sz w:val="24"/>
          <w:szCs w:val="24"/>
        </w:rPr>
        <w:t xml:space="preserve"> Anexa 10</w:t>
      </w:r>
      <w:r>
        <w:rPr>
          <w:rFonts w:eastAsia="Arial"/>
          <w:i/>
          <w:iCs/>
          <w:sz w:val="24"/>
          <w:szCs w:val="24"/>
        </w:rPr>
        <w:t xml:space="preserve"> </w:t>
      </w:r>
    </w:p>
    <w:p w14:paraId="3A29E3E1" w14:textId="77777777" w:rsidR="001C08A5" w:rsidRDefault="00000000">
      <w:pPr>
        <w:ind w:left="1440" w:firstLine="720"/>
        <w:jc w:val="both"/>
        <w:rPr>
          <w:rFonts w:eastAsia="Calibri"/>
          <w:b/>
          <w:bCs/>
          <w:i/>
          <w:sz w:val="24"/>
          <w:szCs w:val="24"/>
          <w:shd w:val="clear" w:color="auto" w:fill="FFFFFF"/>
        </w:rPr>
      </w:pPr>
      <w:r>
        <w:rPr>
          <w:rFonts w:eastAsia="Arial"/>
          <w:i/>
          <w:iCs/>
          <w:sz w:val="24"/>
          <w:szCs w:val="24"/>
        </w:rPr>
        <w:t xml:space="preserve">- ariile construite ale compartimentelor de incendiu rezultate admise pentru construcții civile (publice) supraterane rezultate existente trebuie să îndeplinească condițiile de corelare prevăzute în </w:t>
      </w:r>
      <w:r>
        <w:rPr>
          <w:rFonts w:eastAsia="Arial"/>
          <w:b/>
          <w:bCs/>
          <w:i/>
          <w:iCs/>
          <w:sz w:val="24"/>
          <w:szCs w:val="24"/>
        </w:rPr>
        <w:t>Tabelul 147</w:t>
      </w:r>
      <w:r>
        <w:rPr>
          <w:rFonts w:eastAsia="Arial"/>
          <w:i/>
          <w:iCs/>
          <w:sz w:val="24"/>
          <w:szCs w:val="24"/>
        </w:rPr>
        <w:t xml:space="preserve"> din </w:t>
      </w:r>
      <w:r>
        <w:rPr>
          <w:rFonts w:eastAsia="Arial"/>
          <w:b/>
          <w:bCs/>
          <w:i/>
          <w:iCs/>
          <w:sz w:val="24"/>
          <w:szCs w:val="24"/>
        </w:rPr>
        <w:t>Anexa 10</w:t>
      </w:r>
      <w:r>
        <w:rPr>
          <w:rFonts w:eastAsia="Arial"/>
          <w:i/>
          <w:iCs/>
          <w:sz w:val="24"/>
          <w:szCs w:val="24"/>
        </w:rPr>
        <w:t xml:space="preserve"> și între numărul de niveluri al clădirilor rezultate existente supraterane, destinația, nivelul de stabilitate la incendiu și capacitatea lor (număr de persoane), se vor respecta corelațiile prevăzute la </w:t>
      </w:r>
      <w:r>
        <w:rPr>
          <w:rFonts w:eastAsia="Arial"/>
          <w:b/>
          <w:bCs/>
          <w:i/>
          <w:iCs/>
          <w:sz w:val="24"/>
          <w:szCs w:val="24"/>
        </w:rPr>
        <w:t xml:space="preserve">Art. </w:t>
      </w:r>
      <w:r>
        <w:rPr>
          <w:rFonts w:eastAsia="Calibri"/>
          <w:b/>
          <w:i/>
          <w:sz w:val="24"/>
          <w:szCs w:val="24"/>
          <w:shd w:val="clear" w:color="auto" w:fill="FFFFFF"/>
        </w:rPr>
        <w:t xml:space="preserve">A.10. </w:t>
      </w:r>
      <w:r>
        <w:rPr>
          <w:rFonts w:eastAsia="Calibri"/>
          <w:b/>
          <w:bCs/>
          <w:i/>
          <w:sz w:val="24"/>
          <w:szCs w:val="24"/>
          <w:shd w:val="clear" w:color="auto" w:fill="FFFFFF"/>
        </w:rPr>
        <w:t>3.2.5.</w:t>
      </w:r>
      <w:r>
        <w:rPr>
          <w:rFonts w:eastAsia="Calibri"/>
          <w:i/>
          <w:sz w:val="24"/>
          <w:szCs w:val="24"/>
          <w:shd w:val="clear" w:color="auto" w:fill="FFFFFF"/>
        </w:rPr>
        <w:t xml:space="preserve"> din </w:t>
      </w:r>
      <w:r>
        <w:rPr>
          <w:rFonts w:eastAsia="Calibri"/>
          <w:b/>
          <w:bCs/>
          <w:i/>
          <w:sz w:val="24"/>
          <w:szCs w:val="24"/>
          <w:shd w:val="clear" w:color="auto" w:fill="FFFFFF"/>
        </w:rPr>
        <w:t>Anexa 10.</w:t>
      </w:r>
    </w:p>
    <w:p w14:paraId="74180DAB" w14:textId="77777777" w:rsidR="001C08A5" w:rsidRDefault="001C08A5">
      <w:pPr>
        <w:ind w:left="1440" w:firstLine="720"/>
        <w:jc w:val="both"/>
        <w:rPr>
          <w:rFonts w:eastAsia="Calibri"/>
          <w:b/>
          <w:bCs/>
          <w:i/>
          <w:sz w:val="24"/>
          <w:szCs w:val="24"/>
          <w:shd w:val="clear" w:color="auto" w:fill="FFFFFF"/>
        </w:rPr>
      </w:pPr>
    </w:p>
    <w:p w14:paraId="59D15EA4" w14:textId="77777777" w:rsidR="001C08A5" w:rsidRDefault="00000000">
      <w:pPr>
        <w:numPr>
          <w:ilvl w:val="255"/>
          <w:numId w:val="0"/>
        </w:numPr>
        <w:tabs>
          <w:tab w:val="left" w:pos="426"/>
          <w:tab w:val="left" w:pos="993"/>
        </w:tabs>
        <w:jc w:val="both"/>
        <w:rPr>
          <w:i/>
          <w:iCs/>
          <w:sz w:val="22"/>
          <w:szCs w:val="22"/>
        </w:rPr>
      </w:pPr>
      <w:r>
        <w:rPr>
          <w:rFonts w:eastAsia="Calibri"/>
          <w:i/>
          <w:iCs/>
          <w:sz w:val="22"/>
          <w:szCs w:val="22"/>
          <w:shd w:val="clear" w:color="auto" w:fill="FFFFFF"/>
        </w:rPr>
        <w:t xml:space="preserve">Notă lit. b): </w:t>
      </w:r>
      <w:r>
        <w:rPr>
          <w:bCs/>
          <w:i/>
          <w:iCs/>
          <w:sz w:val="22"/>
          <w:szCs w:val="22"/>
        </w:rPr>
        <w:t xml:space="preserve">La lucrările de intervenţii efectuate asupra construcţiilor existente (din volumul construcției existente, cu excepția extinderilor), </w:t>
      </w:r>
      <w:r>
        <w:rPr>
          <w:rFonts w:eastAsia="Calibri"/>
          <w:bCs/>
          <w:i/>
          <w:iCs/>
          <w:sz w:val="22"/>
          <w:szCs w:val="22"/>
          <w:shd w:val="clear" w:color="auto" w:fill="FFFFFF"/>
        </w:rPr>
        <w:t>atunci când în mod justificat tehnic nu pot fi îndeplinite unele prevederi de securitate la</w:t>
      </w:r>
      <w:r>
        <w:rPr>
          <w:rFonts w:eastAsia="Calibri"/>
          <w:i/>
          <w:iCs/>
          <w:sz w:val="22"/>
          <w:szCs w:val="22"/>
          <w:shd w:val="clear" w:color="auto" w:fill="FFFFFF"/>
        </w:rPr>
        <w:t xml:space="preserve"> incendiu normate prin </w:t>
      </w:r>
      <w:r>
        <w:rPr>
          <w:rFonts w:eastAsia="Calibri"/>
          <w:b/>
          <w:bCs/>
          <w:i/>
          <w:iCs/>
          <w:sz w:val="22"/>
          <w:szCs w:val="22"/>
          <w:shd w:val="clear" w:color="auto" w:fill="FFFFFF"/>
        </w:rPr>
        <w:t>Anexa 10</w:t>
      </w:r>
      <w:r>
        <w:rPr>
          <w:rFonts w:eastAsia="Calibri"/>
          <w:i/>
          <w:iCs/>
          <w:sz w:val="22"/>
          <w:szCs w:val="22"/>
          <w:shd w:val="clear" w:color="auto" w:fill="FFFFFF"/>
        </w:rPr>
        <w:t xml:space="preserve">, se asigură măsuri </w:t>
      </w:r>
      <w:r>
        <w:rPr>
          <w:i/>
          <w:iCs/>
          <w:sz w:val="22"/>
          <w:szCs w:val="22"/>
        </w:rPr>
        <w:t xml:space="preserve">de îmbunătăţire a cerințelor privind securitatea la incendiu sau </w:t>
      </w:r>
      <w:r>
        <w:rPr>
          <w:rFonts w:eastAsia="Calibri"/>
          <w:i/>
          <w:iCs/>
          <w:sz w:val="22"/>
          <w:szCs w:val="22"/>
          <w:shd w:val="clear" w:color="auto" w:fill="FFFFFF"/>
        </w:rPr>
        <w:t>alternative de protecţie</w:t>
      </w:r>
      <w:r>
        <w:rPr>
          <w:rFonts w:eastAsia="Calibri"/>
          <w:i/>
          <w:iCs/>
          <w:sz w:val="22"/>
          <w:szCs w:val="22"/>
          <w:shd w:val="clear" w:color="auto" w:fill="FFFFFF"/>
          <w:lang w:val="en-GB"/>
        </w:rPr>
        <w:t xml:space="preserve"> (pasive, active sau combinații ale acestora)</w:t>
      </w:r>
      <w:r>
        <w:rPr>
          <w:rFonts w:eastAsia="Calibri"/>
          <w:i/>
          <w:iCs/>
          <w:sz w:val="22"/>
          <w:szCs w:val="22"/>
          <w:shd w:val="clear" w:color="auto" w:fill="FFFFFF"/>
        </w:rPr>
        <w:t>, stabilite</w:t>
      </w:r>
      <w:r>
        <w:rPr>
          <w:bCs/>
          <w:i/>
          <w:iCs/>
          <w:sz w:val="22"/>
          <w:szCs w:val="22"/>
        </w:rPr>
        <w:t xml:space="preserve"> în baza </w:t>
      </w:r>
      <w:r>
        <w:rPr>
          <w:b/>
          <w:i/>
          <w:iCs/>
          <w:sz w:val="22"/>
          <w:szCs w:val="22"/>
        </w:rPr>
        <w:t xml:space="preserve">art. 9 </w:t>
      </w:r>
      <w:r>
        <w:rPr>
          <w:bCs/>
          <w:i/>
          <w:iCs/>
          <w:sz w:val="22"/>
          <w:szCs w:val="22"/>
        </w:rPr>
        <w:t xml:space="preserve">și </w:t>
      </w:r>
      <w:r>
        <w:rPr>
          <w:b/>
          <w:i/>
          <w:iCs/>
          <w:sz w:val="22"/>
          <w:szCs w:val="22"/>
        </w:rPr>
        <w:t xml:space="preserve">art. 12 </w:t>
      </w:r>
      <w:r>
        <w:rPr>
          <w:rFonts w:eastAsia="Calibri"/>
          <w:i/>
          <w:iCs/>
          <w:sz w:val="22"/>
          <w:szCs w:val="22"/>
          <w:shd w:val="clear" w:color="auto" w:fill="FFFFFF"/>
        </w:rPr>
        <w:t>din Regulamentul pentru verificarea și expertizarea tehnică a proiectelor, expertizarea tehnică a execuției lucrărilor și a construcțiilor, precum și verificarea calității lucrărilor executate, aprobat prin Hotărârea Guvernului nr. 925/1995, cu modificările ulterioare..</w:t>
      </w:r>
      <w:r>
        <w:rPr>
          <w:b/>
          <w:i/>
          <w:iCs/>
          <w:sz w:val="22"/>
          <w:szCs w:val="22"/>
        </w:rPr>
        <w:t xml:space="preserve"> </w:t>
      </w:r>
      <w:r>
        <w:rPr>
          <w:i/>
          <w:iCs/>
          <w:sz w:val="22"/>
          <w:szCs w:val="22"/>
        </w:rPr>
        <w:t xml:space="preserve">Măsurile de îmbunătăţire a cerințelor privind securitatea la incendiu sau măsurile alternative de protecţie (pasive, active sau combinații ale acestora care este obligatoriu să vizeze suplinirea cerințelor care nu pot fi respectate), se efectuează în baza unei/ unor expertiză/e tehnică/e pentru cerința fundamentală securitate la incendiu (construcții și/ sau instalații), </w:t>
      </w:r>
      <w:r>
        <w:rPr>
          <w:bCs/>
          <w:i/>
          <w:iCs/>
          <w:sz w:val="22"/>
          <w:szCs w:val="22"/>
        </w:rPr>
        <w:t xml:space="preserve">întocmită/e în baza </w:t>
      </w:r>
      <w:r>
        <w:rPr>
          <w:b/>
          <w:i/>
          <w:iCs/>
          <w:sz w:val="22"/>
          <w:szCs w:val="22"/>
        </w:rPr>
        <w:t xml:space="preserve">art. 9 </w:t>
      </w:r>
      <w:r>
        <w:rPr>
          <w:bCs/>
          <w:i/>
          <w:iCs/>
          <w:sz w:val="22"/>
          <w:szCs w:val="22"/>
        </w:rPr>
        <w:t xml:space="preserve">din Regulamentul privind verificarea și expertizarea tehnică a proiectelor, expertizarea tehnică a execuției lucrărilor și a construcțiilor, precum și verificarea calității lucrărilor executate, aprobat prin </w:t>
      </w:r>
      <w:r>
        <w:rPr>
          <w:b/>
          <w:i/>
          <w:iCs/>
          <w:sz w:val="22"/>
          <w:szCs w:val="22"/>
        </w:rPr>
        <w:t>Hotărârea Guvernului nr. 925/1995</w:t>
      </w:r>
      <w:r>
        <w:rPr>
          <w:bCs/>
          <w:i/>
          <w:iCs/>
          <w:sz w:val="22"/>
          <w:szCs w:val="22"/>
        </w:rPr>
        <w:t xml:space="preserve">, cu modificările ulterioare. </w:t>
      </w:r>
      <w:r>
        <w:rPr>
          <w:i/>
          <w:iCs/>
          <w:sz w:val="22"/>
          <w:szCs w:val="22"/>
        </w:rPr>
        <w:t xml:space="preserve">Măsurile propuse de către expertul tehnic/ experții tehnici în vederea îmbunătățirii cerinței de securitate la incendiu este obligatoriu să vizeze suplinirea cerințelor care nu pot fi respectate, atunci când în mod justificat tehnic nu pot fi îndeplinite unele prevederi de securitate la incendiu normate. </w:t>
      </w:r>
    </w:p>
    <w:p w14:paraId="5028ADCB" w14:textId="77777777" w:rsidR="001C08A5" w:rsidRDefault="001C08A5">
      <w:pPr>
        <w:numPr>
          <w:ilvl w:val="255"/>
          <w:numId w:val="0"/>
        </w:numPr>
        <w:tabs>
          <w:tab w:val="left" w:pos="426"/>
          <w:tab w:val="left" w:pos="993"/>
        </w:tabs>
        <w:ind w:left="420"/>
        <w:jc w:val="both"/>
        <w:rPr>
          <w:i/>
          <w:i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8"/>
        <w:gridCol w:w="4751"/>
      </w:tblGrid>
      <w:tr w:rsidR="001C08A5" w14:paraId="2C58C05A" w14:textId="77777777">
        <w:tc>
          <w:tcPr>
            <w:tcW w:w="4927" w:type="dxa"/>
          </w:tcPr>
          <w:p w14:paraId="43A01405" w14:textId="77777777" w:rsidR="001C08A5" w:rsidRDefault="00000000">
            <w:pPr>
              <w:numPr>
                <w:ilvl w:val="255"/>
                <w:numId w:val="0"/>
              </w:numPr>
              <w:tabs>
                <w:tab w:val="left" w:pos="426"/>
                <w:tab w:val="left" w:pos="993"/>
              </w:tabs>
              <w:rPr>
                <w:i/>
                <w:iCs/>
                <w:sz w:val="24"/>
                <w:szCs w:val="24"/>
              </w:rPr>
            </w:pPr>
            <w:r>
              <w:rPr>
                <w:noProof/>
              </w:rPr>
              <w:lastRenderedPageBreak/>
              <w:drawing>
                <wp:inline distT="0" distB="0" distL="114300" distR="114300" wp14:anchorId="1A1F9046" wp14:editId="47EE8421">
                  <wp:extent cx="2556510" cy="1356995"/>
                  <wp:effectExtent l="0" t="0" r="15240" b="1460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pic:cNvPicPr>
                            <a:picLocks noChangeAspect="1"/>
                          </pic:cNvPicPr>
                        </pic:nvPicPr>
                        <pic:blipFill>
                          <a:blip r:embed="rId531"/>
                          <a:srcRect l="13796" t="1102" r="52358" b="62084"/>
                          <a:stretch>
                            <a:fillRect/>
                          </a:stretch>
                        </pic:blipFill>
                        <pic:spPr>
                          <a:xfrm>
                            <a:off x="0" y="0"/>
                            <a:ext cx="2556510" cy="1356995"/>
                          </a:xfrm>
                          <a:prstGeom prst="rect">
                            <a:avLst/>
                          </a:prstGeom>
                          <a:noFill/>
                          <a:ln>
                            <a:noFill/>
                          </a:ln>
                        </pic:spPr>
                      </pic:pic>
                    </a:graphicData>
                  </a:graphic>
                </wp:inline>
              </w:drawing>
            </w:r>
          </w:p>
        </w:tc>
        <w:tc>
          <w:tcPr>
            <w:tcW w:w="4928" w:type="dxa"/>
          </w:tcPr>
          <w:p w14:paraId="6F2CE465" w14:textId="77777777" w:rsidR="001C08A5" w:rsidRDefault="001C08A5">
            <w:pPr>
              <w:numPr>
                <w:ilvl w:val="255"/>
                <w:numId w:val="0"/>
              </w:numPr>
              <w:tabs>
                <w:tab w:val="left" w:pos="426"/>
                <w:tab w:val="left" w:pos="993"/>
              </w:tabs>
              <w:rPr>
                <w:i/>
                <w:iCs/>
              </w:rPr>
            </w:pPr>
          </w:p>
          <w:p w14:paraId="2842FC11" w14:textId="77777777" w:rsidR="001C08A5" w:rsidRDefault="001C08A5">
            <w:pPr>
              <w:numPr>
                <w:ilvl w:val="255"/>
                <w:numId w:val="0"/>
              </w:numPr>
              <w:tabs>
                <w:tab w:val="left" w:pos="426"/>
                <w:tab w:val="left" w:pos="993"/>
              </w:tabs>
              <w:rPr>
                <w:i/>
                <w:iCs/>
              </w:rPr>
            </w:pPr>
          </w:p>
          <w:p w14:paraId="2CCCD7F1" w14:textId="77777777" w:rsidR="001C08A5" w:rsidRDefault="00000000">
            <w:pPr>
              <w:numPr>
                <w:ilvl w:val="255"/>
                <w:numId w:val="0"/>
              </w:numPr>
              <w:tabs>
                <w:tab w:val="left" w:pos="426"/>
                <w:tab w:val="left" w:pos="993"/>
              </w:tabs>
              <w:rPr>
                <w:i/>
                <w:iCs/>
              </w:rPr>
            </w:pPr>
            <w:r>
              <w:rPr>
                <w:i/>
                <w:iCs/>
              </w:rPr>
              <w:t xml:space="preserve">Legendă Varianta </w:t>
            </w:r>
            <w:r>
              <w:rPr>
                <w:b/>
                <w:bCs/>
                <w:i/>
                <w:iCs/>
              </w:rPr>
              <w:t>a)</w:t>
            </w:r>
            <w:r>
              <w:rPr>
                <w:i/>
                <w:iCs/>
              </w:rPr>
              <w:t>:</w:t>
            </w:r>
          </w:p>
          <w:p w14:paraId="49850221" w14:textId="77777777" w:rsidR="001C08A5" w:rsidRDefault="00000000">
            <w:pPr>
              <w:numPr>
                <w:ilvl w:val="255"/>
                <w:numId w:val="0"/>
              </w:numPr>
              <w:tabs>
                <w:tab w:val="left" w:pos="426"/>
                <w:tab w:val="left" w:pos="993"/>
              </w:tabs>
              <w:rPr>
                <w:i/>
                <w:iCs/>
              </w:rPr>
            </w:pPr>
            <w:r>
              <w:rPr>
                <w:b/>
                <w:bCs/>
                <w:i/>
                <w:iCs/>
              </w:rPr>
              <w:t xml:space="preserve">A </w:t>
            </w:r>
            <w:r>
              <w:rPr>
                <w:i/>
                <w:iCs/>
              </w:rPr>
              <w:t xml:space="preserve">- compartiment de incendiu </w:t>
            </w:r>
            <w:r>
              <w:rPr>
                <w:b/>
                <w:bCs/>
                <w:i/>
                <w:iCs/>
              </w:rPr>
              <w:t>1 existent</w:t>
            </w:r>
          </w:p>
          <w:p w14:paraId="0EAF9411" w14:textId="77777777" w:rsidR="001C08A5" w:rsidRDefault="00000000">
            <w:pPr>
              <w:numPr>
                <w:ilvl w:val="255"/>
                <w:numId w:val="0"/>
              </w:numPr>
              <w:tabs>
                <w:tab w:val="left" w:pos="426"/>
                <w:tab w:val="left" w:pos="993"/>
              </w:tabs>
              <w:rPr>
                <w:b/>
                <w:bCs/>
                <w:i/>
                <w:iCs/>
              </w:rPr>
            </w:pPr>
            <w:r>
              <w:rPr>
                <w:b/>
                <w:bCs/>
                <w:i/>
                <w:iCs/>
              </w:rPr>
              <w:t xml:space="preserve">B+C </w:t>
            </w:r>
            <w:r>
              <w:rPr>
                <w:i/>
                <w:iCs/>
              </w:rPr>
              <w:t xml:space="preserve">-  compartiment de incendiu </w:t>
            </w:r>
            <w:r>
              <w:rPr>
                <w:b/>
                <w:bCs/>
                <w:i/>
                <w:iCs/>
              </w:rPr>
              <w:t>2 existent</w:t>
            </w:r>
          </w:p>
          <w:p w14:paraId="00D00F1F" w14:textId="77777777" w:rsidR="001C08A5" w:rsidRDefault="001C08A5">
            <w:pPr>
              <w:pStyle w:val="Default"/>
              <w:jc w:val="center"/>
              <w:rPr>
                <w:rFonts w:ascii="Times New Roman" w:hAnsi="Times New Roman" w:cs="Times New Roman"/>
                <w:b/>
                <w:bCs/>
                <w:i/>
                <w:iCs/>
                <w:lang w:val="ro-RO"/>
              </w:rPr>
            </w:pPr>
          </w:p>
          <w:p w14:paraId="48E0BB8D" w14:textId="77777777" w:rsidR="001C08A5" w:rsidRDefault="00000000">
            <w:pPr>
              <w:pStyle w:val="Default"/>
              <w:rPr>
                <w:rFonts w:ascii="Times New Roman" w:hAnsi="Times New Roman" w:cs="Times New Roman"/>
                <w:b/>
                <w:bCs/>
                <w:i/>
                <w:iCs/>
                <w:lang w:val="ro-RO"/>
              </w:rPr>
            </w:pPr>
            <w:r>
              <w:rPr>
                <w:rFonts w:ascii="Times New Roman" w:hAnsi="Times New Roman" w:cs="Times New Roman"/>
                <w:b/>
                <w:bCs/>
                <w:i/>
                <w:iCs/>
                <w:lang w:val="ro-RO"/>
              </w:rPr>
              <w:t xml:space="preserve">Conform Art. (312) lit. a) </w:t>
            </w:r>
            <w:r>
              <w:rPr>
                <w:rFonts w:ascii="Times New Roman" w:hAnsi="Times New Roman" w:cs="Times New Roman"/>
                <w:i/>
                <w:iCs/>
                <w:lang w:val="ro-RO"/>
              </w:rPr>
              <w:t xml:space="preserve">- intervenții în  spațiul </w:t>
            </w:r>
            <w:r>
              <w:rPr>
                <w:rFonts w:ascii="Times New Roman" w:hAnsi="Times New Roman" w:cs="Times New Roman"/>
                <w:b/>
                <w:bCs/>
                <w:i/>
                <w:iCs/>
                <w:lang w:val="ro-RO"/>
              </w:rPr>
              <w:t xml:space="preserve">C </w:t>
            </w:r>
            <w:r>
              <w:rPr>
                <w:rFonts w:ascii="Times New Roman" w:hAnsi="Times New Roman" w:cs="Times New Roman"/>
                <w:i/>
                <w:iCs/>
                <w:lang w:val="ro-RO"/>
              </w:rPr>
              <w:t xml:space="preserve">din cadrul compartimentului </w:t>
            </w:r>
            <w:r>
              <w:rPr>
                <w:rFonts w:ascii="Times New Roman" w:hAnsi="Times New Roman" w:cs="Times New Roman"/>
                <w:b/>
                <w:bCs/>
                <w:i/>
                <w:iCs/>
                <w:lang w:val="ro-RO"/>
              </w:rPr>
              <w:t xml:space="preserve">2 </w:t>
            </w:r>
            <w:r>
              <w:rPr>
                <w:rFonts w:ascii="Times New Roman" w:hAnsi="Times New Roman" w:cs="Times New Roman"/>
                <w:i/>
                <w:iCs/>
                <w:lang w:val="ro-RO"/>
              </w:rPr>
              <w:t>de incendiu</w:t>
            </w:r>
          </w:p>
          <w:p w14:paraId="7087FF44" w14:textId="77777777" w:rsidR="001C08A5" w:rsidRDefault="001C08A5">
            <w:pPr>
              <w:numPr>
                <w:ilvl w:val="255"/>
                <w:numId w:val="0"/>
              </w:numPr>
              <w:tabs>
                <w:tab w:val="left" w:pos="426"/>
                <w:tab w:val="left" w:pos="993"/>
              </w:tabs>
              <w:rPr>
                <w:b/>
                <w:bCs/>
                <w:i/>
                <w:iCs/>
              </w:rPr>
            </w:pPr>
          </w:p>
        </w:tc>
      </w:tr>
    </w:tbl>
    <w:p w14:paraId="63D7FEDB" w14:textId="77777777" w:rsidR="001C08A5" w:rsidRDefault="00000000">
      <w:pPr>
        <w:pStyle w:val="Default"/>
        <w:jc w:val="center"/>
        <w:rPr>
          <w:rFonts w:ascii="Times New Roman" w:hAnsi="Times New Roman" w:cs="Times New Roman"/>
          <w:b/>
          <w:bCs/>
          <w:i/>
          <w:iCs/>
          <w:lang w:val="ro-RO"/>
        </w:rPr>
      </w:pPr>
      <w:r>
        <w:rPr>
          <w:rFonts w:ascii="Times New Roman" w:hAnsi="Times New Roman" w:cs="Times New Roman"/>
          <w:b/>
          <w:bCs/>
          <w:i/>
          <w:iCs/>
          <w:lang w:val="ro-RO"/>
        </w:rPr>
        <w:t xml:space="preserve">Varianta a) - secțiune </w:t>
      </w:r>
    </w:p>
    <w:p w14:paraId="7059004E" w14:textId="77777777" w:rsidR="001C08A5" w:rsidRDefault="001C08A5">
      <w:pPr>
        <w:pStyle w:val="Default"/>
        <w:jc w:val="center"/>
      </w:pPr>
    </w:p>
    <w:p w14:paraId="216DADFE" w14:textId="77777777" w:rsidR="001C08A5" w:rsidRDefault="00000000">
      <w:pPr>
        <w:pStyle w:val="Default"/>
        <w:jc w:val="center"/>
      </w:pPr>
      <w:r>
        <w:rPr>
          <w:noProof/>
        </w:rPr>
        <w:drawing>
          <wp:inline distT="0" distB="0" distL="114300" distR="114300" wp14:anchorId="244FB065" wp14:editId="202ED455">
            <wp:extent cx="5334000" cy="1400810"/>
            <wp:effectExtent l="0" t="0" r="0" b="889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pic:cNvPicPr>
                      <a:picLocks noChangeAspect="1"/>
                    </pic:cNvPicPr>
                  </pic:nvPicPr>
                  <pic:blipFill>
                    <a:blip r:embed="rId531"/>
                    <a:srcRect l="13796" t="55883" r="15586" b="6115"/>
                    <a:stretch>
                      <a:fillRect/>
                    </a:stretch>
                  </pic:blipFill>
                  <pic:spPr>
                    <a:xfrm>
                      <a:off x="0" y="0"/>
                      <a:ext cx="5334000" cy="140081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826"/>
      </w:tblGrid>
      <w:tr w:rsidR="001C08A5" w14:paraId="0EE0BDCA" w14:textId="77777777">
        <w:tc>
          <w:tcPr>
            <w:tcW w:w="4927" w:type="dxa"/>
          </w:tcPr>
          <w:p w14:paraId="07B8B448" w14:textId="77777777" w:rsidR="001C08A5" w:rsidRDefault="00000000">
            <w:pPr>
              <w:pStyle w:val="Default"/>
              <w:jc w:val="center"/>
              <w:rPr>
                <w:rFonts w:ascii="Times New Roman" w:hAnsi="Times New Roman" w:cs="Times New Roman"/>
                <w:b/>
                <w:bCs/>
                <w:i/>
                <w:iCs/>
                <w:lang w:val="ro-RO"/>
              </w:rPr>
            </w:pPr>
            <w:r>
              <w:rPr>
                <w:rFonts w:ascii="Times New Roman" w:hAnsi="Times New Roman" w:cs="Times New Roman"/>
                <w:b/>
                <w:bCs/>
                <w:i/>
                <w:iCs/>
                <w:lang w:val="ro-RO"/>
              </w:rPr>
              <w:t>Varianta b.1)</w:t>
            </w:r>
          </w:p>
          <w:p w14:paraId="53E8DAD0" w14:textId="77777777" w:rsidR="001C08A5" w:rsidRDefault="00000000">
            <w:pPr>
              <w:numPr>
                <w:ilvl w:val="255"/>
                <w:numId w:val="0"/>
              </w:numPr>
              <w:tabs>
                <w:tab w:val="left" w:pos="426"/>
                <w:tab w:val="left" w:pos="993"/>
              </w:tabs>
              <w:rPr>
                <w:i/>
                <w:iCs/>
              </w:rPr>
            </w:pPr>
            <w:r>
              <w:rPr>
                <w:i/>
                <w:iCs/>
              </w:rPr>
              <w:t xml:space="preserve">Legendă Varianta </w:t>
            </w:r>
            <w:r>
              <w:rPr>
                <w:b/>
                <w:bCs/>
                <w:i/>
                <w:iCs/>
              </w:rPr>
              <w:t>b.1)</w:t>
            </w:r>
            <w:r>
              <w:rPr>
                <w:i/>
                <w:iCs/>
              </w:rPr>
              <w:t>:</w:t>
            </w:r>
          </w:p>
          <w:p w14:paraId="271F414B" w14:textId="77777777" w:rsidR="001C08A5" w:rsidRDefault="00000000">
            <w:pPr>
              <w:numPr>
                <w:ilvl w:val="255"/>
                <w:numId w:val="0"/>
              </w:numPr>
              <w:tabs>
                <w:tab w:val="left" w:pos="426"/>
                <w:tab w:val="left" w:pos="993"/>
              </w:tabs>
              <w:rPr>
                <w:i/>
                <w:iCs/>
              </w:rPr>
            </w:pPr>
            <w:r>
              <w:rPr>
                <w:b/>
                <w:bCs/>
                <w:i/>
                <w:iCs/>
              </w:rPr>
              <w:t>A</w:t>
            </w:r>
            <w:r>
              <w:rPr>
                <w:i/>
                <w:iCs/>
              </w:rPr>
              <w:t xml:space="preserve"> - compartiment de incendiu </w:t>
            </w:r>
            <w:r>
              <w:rPr>
                <w:b/>
                <w:bCs/>
                <w:i/>
                <w:iCs/>
              </w:rPr>
              <w:t>1 existent</w:t>
            </w:r>
          </w:p>
          <w:p w14:paraId="7518AB04" w14:textId="77777777" w:rsidR="001C08A5" w:rsidRDefault="00000000">
            <w:pPr>
              <w:pStyle w:val="Default"/>
              <w:rPr>
                <w:rFonts w:ascii="Times New Roman" w:hAnsi="Times New Roman" w:cs="Times New Roman"/>
                <w:i/>
                <w:iCs/>
                <w:color w:val="auto"/>
                <w:sz w:val="20"/>
                <w:szCs w:val="20"/>
                <w:lang w:val="ro-RO" w:eastAsia="ar-SA"/>
              </w:rPr>
            </w:pPr>
            <w:r>
              <w:rPr>
                <w:rFonts w:ascii="Times New Roman" w:hAnsi="Times New Roman" w:cs="Times New Roman"/>
                <w:b/>
                <w:bCs/>
                <w:i/>
                <w:iCs/>
                <w:color w:val="auto"/>
                <w:sz w:val="20"/>
                <w:szCs w:val="20"/>
                <w:lang w:val="ro-RO" w:eastAsia="ar-SA"/>
              </w:rPr>
              <w:t>B</w:t>
            </w:r>
            <w:r>
              <w:rPr>
                <w:rFonts w:ascii="Times New Roman" w:hAnsi="Times New Roman" w:cs="Times New Roman"/>
                <w:i/>
                <w:iCs/>
                <w:color w:val="auto"/>
                <w:sz w:val="20"/>
                <w:szCs w:val="20"/>
                <w:lang w:val="ro-RO" w:eastAsia="ar-SA"/>
              </w:rPr>
              <w:t xml:space="preserve"> - compartiment de incendiu </w:t>
            </w:r>
            <w:r>
              <w:rPr>
                <w:rFonts w:ascii="Times New Roman" w:hAnsi="Times New Roman" w:cs="Times New Roman"/>
                <w:b/>
                <w:bCs/>
                <w:i/>
                <w:iCs/>
                <w:color w:val="auto"/>
                <w:sz w:val="20"/>
                <w:szCs w:val="20"/>
                <w:lang w:val="ro-RO" w:eastAsia="ar-SA"/>
              </w:rPr>
              <w:t>2 existent</w:t>
            </w:r>
          </w:p>
          <w:p w14:paraId="4E65B150" w14:textId="77777777" w:rsidR="001C08A5" w:rsidRDefault="00000000">
            <w:pPr>
              <w:pStyle w:val="Default"/>
              <w:rPr>
                <w:rFonts w:ascii="Times New Roman" w:hAnsi="Times New Roman" w:cs="Times New Roman"/>
                <w:b/>
                <w:bCs/>
                <w:i/>
                <w:iCs/>
                <w:color w:val="auto"/>
                <w:sz w:val="20"/>
                <w:szCs w:val="20"/>
                <w:lang w:val="ro-RO" w:eastAsia="ar-SA"/>
              </w:rPr>
            </w:pPr>
            <w:r>
              <w:rPr>
                <w:rFonts w:ascii="Times New Roman" w:hAnsi="Times New Roman" w:cs="Times New Roman"/>
                <w:b/>
                <w:bCs/>
                <w:i/>
                <w:iCs/>
                <w:color w:val="auto"/>
                <w:sz w:val="20"/>
                <w:szCs w:val="20"/>
                <w:lang w:val="ro-RO" w:eastAsia="ar-SA"/>
              </w:rPr>
              <w:t>C</w:t>
            </w:r>
            <w:r>
              <w:rPr>
                <w:rFonts w:ascii="Times New Roman" w:hAnsi="Times New Roman" w:cs="Times New Roman"/>
                <w:i/>
                <w:iCs/>
                <w:color w:val="auto"/>
                <w:sz w:val="20"/>
                <w:szCs w:val="20"/>
                <w:lang w:val="ro-RO" w:eastAsia="ar-SA"/>
              </w:rPr>
              <w:t xml:space="preserve"> - compartiment de incendiu </w:t>
            </w:r>
            <w:r>
              <w:rPr>
                <w:rFonts w:ascii="Times New Roman" w:hAnsi="Times New Roman" w:cs="Times New Roman"/>
                <w:b/>
                <w:bCs/>
                <w:i/>
                <w:iCs/>
                <w:color w:val="auto"/>
                <w:sz w:val="20"/>
                <w:szCs w:val="20"/>
                <w:lang w:val="ro-RO" w:eastAsia="ar-SA"/>
              </w:rPr>
              <w:t>3 extindere</w:t>
            </w:r>
          </w:p>
          <w:p w14:paraId="2E502374" w14:textId="77777777" w:rsidR="001C08A5" w:rsidRDefault="00000000">
            <w:pPr>
              <w:pStyle w:val="Default"/>
              <w:rPr>
                <w:rFonts w:ascii="Times New Roman" w:hAnsi="Times New Roman" w:cs="Times New Roman"/>
                <w:b/>
                <w:bCs/>
                <w:i/>
                <w:iCs/>
                <w:lang w:val="ro-RO"/>
              </w:rPr>
            </w:pPr>
            <w:r>
              <w:rPr>
                <w:rFonts w:ascii="Times New Roman" w:hAnsi="Times New Roman" w:cs="Times New Roman"/>
                <w:b/>
                <w:bCs/>
                <w:i/>
                <w:iCs/>
                <w:lang w:val="ro-RO"/>
              </w:rPr>
              <w:t xml:space="preserve">Conform Art. (312) lit. b), pct.i) </w:t>
            </w:r>
            <w:r>
              <w:rPr>
                <w:rFonts w:ascii="Times New Roman" w:hAnsi="Times New Roman" w:cs="Times New Roman"/>
                <w:i/>
                <w:iCs/>
                <w:lang w:val="ro-RO"/>
              </w:rPr>
              <w:t xml:space="preserve">- intervenții în spațiul </w:t>
            </w:r>
            <w:r>
              <w:rPr>
                <w:rFonts w:ascii="Times New Roman" w:hAnsi="Times New Roman" w:cs="Times New Roman"/>
                <w:b/>
                <w:bCs/>
                <w:i/>
                <w:iCs/>
                <w:lang w:val="ro-RO"/>
              </w:rPr>
              <w:t xml:space="preserve">C </w:t>
            </w:r>
            <w:r>
              <w:rPr>
                <w:rFonts w:ascii="Times New Roman" w:hAnsi="Times New Roman" w:cs="Times New Roman"/>
                <w:i/>
                <w:iCs/>
                <w:lang w:val="ro-RO"/>
              </w:rPr>
              <w:t xml:space="preserve">- compartiment </w:t>
            </w:r>
            <w:r>
              <w:rPr>
                <w:rFonts w:ascii="Times New Roman" w:hAnsi="Times New Roman" w:cs="Times New Roman"/>
                <w:b/>
                <w:bCs/>
                <w:i/>
                <w:iCs/>
                <w:lang w:val="ro-RO"/>
              </w:rPr>
              <w:t xml:space="preserve">3 </w:t>
            </w:r>
            <w:r>
              <w:rPr>
                <w:rFonts w:ascii="Times New Roman" w:hAnsi="Times New Roman" w:cs="Times New Roman"/>
                <w:i/>
                <w:iCs/>
                <w:lang w:val="ro-RO"/>
              </w:rPr>
              <w:t xml:space="preserve">de incendiu distinct </w:t>
            </w:r>
          </w:p>
          <w:p w14:paraId="536CE75D" w14:textId="77777777" w:rsidR="001C08A5" w:rsidRDefault="001C08A5">
            <w:pPr>
              <w:pStyle w:val="Default"/>
              <w:rPr>
                <w:rFonts w:ascii="Times New Roman" w:hAnsi="Times New Roman" w:cs="Times New Roman"/>
                <w:b/>
                <w:bCs/>
                <w:i/>
                <w:iCs/>
                <w:color w:val="auto"/>
                <w:sz w:val="20"/>
                <w:szCs w:val="20"/>
                <w:lang w:val="ro-RO" w:eastAsia="ar-SA"/>
              </w:rPr>
            </w:pPr>
          </w:p>
        </w:tc>
        <w:tc>
          <w:tcPr>
            <w:tcW w:w="4928" w:type="dxa"/>
          </w:tcPr>
          <w:p w14:paraId="13F4CCE7" w14:textId="77777777" w:rsidR="001C08A5" w:rsidRDefault="00000000">
            <w:pPr>
              <w:pStyle w:val="Default"/>
              <w:jc w:val="center"/>
              <w:rPr>
                <w:rFonts w:ascii="Times New Roman" w:hAnsi="Times New Roman" w:cs="Times New Roman"/>
                <w:b/>
                <w:bCs/>
                <w:i/>
                <w:iCs/>
                <w:lang w:val="ro-RO"/>
              </w:rPr>
            </w:pPr>
            <w:r>
              <w:rPr>
                <w:rFonts w:ascii="Times New Roman" w:hAnsi="Times New Roman" w:cs="Times New Roman"/>
                <w:b/>
                <w:bCs/>
                <w:i/>
                <w:iCs/>
                <w:lang w:val="ro-RO"/>
              </w:rPr>
              <w:t>Varianta b.2)</w:t>
            </w:r>
          </w:p>
          <w:p w14:paraId="316585E5" w14:textId="77777777" w:rsidR="001C08A5" w:rsidRDefault="00000000">
            <w:pPr>
              <w:numPr>
                <w:ilvl w:val="255"/>
                <w:numId w:val="0"/>
              </w:numPr>
              <w:tabs>
                <w:tab w:val="left" w:pos="426"/>
                <w:tab w:val="left" w:pos="993"/>
              </w:tabs>
              <w:rPr>
                <w:i/>
                <w:iCs/>
              </w:rPr>
            </w:pPr>
            <w:r>
              <w:rPr>
                <w:i/>
                <w:iCs/>
              </w:rPr>
              <w:t xml:space="preserve">Legendă Varianta </w:t>
            </w:r>
            <w:r>
              <w:rPr>
                <w:b/>
                <w:bCs/>
                <w:i/>
                <w:iCs/>
              </w:rPr>
              <w:t>b.2)</w:t>
            </w:r>
            <w:r>
              <w:rPr>
                <w:i/>
                <w:iCs/>
              </w:rPr>
              <w:t>:</w:t>
            </w:r>
          </w:p>
          <w:p w14:paraId="1ECE8313" w14:textId="77777777" w:rsidR="001C08A5" w:rsidRDefault="00000000">
            <w:pPr>
              <w:numPr>
                <w:ilvl w:val="255"/>
                <w:numId w:val="0"/>
              </w:numPr>
              <w:tabs>
                <w:tab w:val="left" w:pos="426"/>
                <w:tab w:val="left" w:pos="993"/>
              </w:tabs>
              <w:rPr>
                <w:i/>
                <w:iCs/>
              </w:rPr>
            </w:pPr>
            <w:r>
              <w:rPr>
                <w:b/>
                <w:bCs/>
                <w:i/>
                <w:iCs/>
              </w:rPr>
              <w:t>A</w:t>
            </w:r>
            <w:r>
              <w:rPr>
                <w:i/>
                <w:iCs/>
              </w:rPr>
              <w:t xml:space="preserve"> - compartiment de incendiu </w:t>
            </w:r>
            <w:r>
              <w:rPr>
                <w:b/>
                <w:bCs/>
                <w:i/>
                <w:iCs/>
              </w:rPr>
              <w:t>1 existent</w:t>
            </w:r>
          </w:p>
          <w:p w14:paraId="7387446B" w14:textId="77777777" w:rsidR="001C08A5" w:rsidRDefault="00000000">
            <w:pPr>
              <w:pStyle w:val="Default"/>
              <w:rPr>
                <w:rFonts w:ascii="Times New Roman" w:hAnsi="Times New Roman" w:cs="Times New Roman"/>
                <w:b/>
                <w:bCs/>
                <w:i/>
                <w:iCs/>
                <w:sz w:val="20"/>
                <w:szCs w:val="20"/>
                <w:lang w:val="ro-RO"/>
              </w:rPr>
            </w:pPr>
            <w:r>
              <w:rPr>
                <w:rFonts w:ascii="Times New Roman" w:hAnsi="Times New Roman" w:cs="Times New Roman"/>
                <w:b/>
                <w:bCs/>
                <w:i/>
                <w:iCs/>
                <w:sz w:val="20"/>
                <w:szCs w:val="20"/>
                <w:lang w:val="ro-RO"/>
              </w:rPr>
              <w:t>B + C</w:t>
            </w:r>
            <w:r>
              <w:rPr>
                <w:rFonts w:ascii="Times New Roman" w:hAnsi="Times New Roman" w:cs="Times New Roman"/>
                <w:i/>
                <w:iCs/>
                <w:sz w:val="20"/>
                <w:szCs w:val="20"/>
                <w:lang w:val="ro-RO"/>
              </w:rPr>
              <w:t xml:space="preserve"> -  compartiment de incendiu </w:t>
            </w:r>
            <w:r>
              <w:rPr>
                <w:rFonts w:ascii="Times New Roman" w:hAnsi="Times New Roman" w:cs="Times New Roman"/>
                <w:b/>
                <w:bCs/>
                <w:i/>
                <w:iCs/>
                <w:sz w:val="20"/>
                <w:szCs w:val="20"/>
                <w:lang w:val="ro-RO"/>
              </w:rPr>
              <w:t>2 - existent (spațiu B) +extindere (spațiu C)</w:t>
            </w:r>
          </w:p>
          <w:p w14:paraId="2758B8E1" w14:textId="77777777" w:rsidR="001C08A5" w:rsidRDefault="00000000">
            <w:pPr>
              <w:pStyle w:val="Default"/>
              <w:rPr>
                <w:rFonts w:ascii="Times New Roman" w:hAnsi="Times New Roman" w:cs="Times New Roman"/>
                <w:b/>
                <w:bCs/>
                <w:i/>
                <w:iCs/>
                <w:lang w:val="ro-RO"/>
              </w:rPr>
            </w:pPr>
            <w:r>
              <w:rPr>
                <w:rFonts w:ascii="Times New Roman" w:hAnsi="Times New Roman" w:cs="Times New Roman"/>
                <w:b/>
                <w:bCs/>
                <w:i/>
                <w:iCs/>
                <w:lang w:val="ro-RO"/>
              </w:rPr>
              <w:t xml:space="preserve">Conform Art. (312) lit. b), pct.ii) </w:t>
            </w:r>
            <w:r>
              <w:rPr>
                <w:rFonts w:ascii="Times New Roman" w:hAnsi="Times New Roman" w:cs="Times New Roman"/>
                <w:i/>
                <w:iCs/>
                <w:lang w:val="ro-RO"/>
              </w:rPr>
              <w:t xml:space="preserve">- intervenții în spațiul </w:t>
            </w:r>
            <w:r>
              <w:rPr>
                <w:rFonts w:ascii="Times New Roman" w:hAnsi="Times New Roman" w:cs="Times New Roman"/>
                <w:b/>
                <w:bCs/>
                <w:i/>
                <w:iCs/>
                <w:lang w:val="ro-RO"/>
              </w:rPr>
              <w:t xml:space="preserve">C </w:t>
            </w:r>
            <w:r>
              <w:rPr>
                <w:rFonts w:ascii="Times New Roman" w:hAnsi="Times New Roman" w:cs="Times New Roman"/>
                <w:i/>
                <w:iCs/>
                <w:lang w:val="ro-RO"/>
              </w:rPr>
              <w:t xml:space="preserve">din cadrul extinderii compartimentului </w:t>
            </w:r>
            <w:r>
              <w:rPr>
                <w:rFonts w:ascii="Times New Roman" w:hAnsi="Times New Roman" w:cs="Times New Roman"/>
                <w:b/>
                <w:bCs/>
                <w:i/>
                <w:iCs/>
                <w:lang w:val="ro-RO"/>
              </w:rPr>
              <w:t xml:space="preserve">2 </w:t>
            </w:r>
            <w:r>
              <w:rPr>
                <w:rFonts w:ascii="Times New Roman" w:hAnsi="Times New Roman" w:cs="Times New Roman"/>
                <w:i/>
                <w:iCs/>
                <w:lang w:val="ro-RO"/>
              </w:rPr>
              <w:t xml:space="preserve">de incendiu </w:t>
            </w:r>
          </w:p>
          <w:p w14:paraId="11B95AE5" w14:textId="77777777" w:rsidR="001C08A5" w:rsidRDefault="001C08A5">
            <w:pPr>
              <w:pStyle w:val="Default"/>
              <w:rPr>
                <w:rFonts w:ascii="Times New Roman" w:hAnsi="Times New Roman" w:cs="Times New Roman"/>
                <w:b/>
                <w:bCs/>
                <w:i/>
                <w:iCs/>
                <w:sz w:val="20"/>
                <w:szCs w:val="20"/>
                <w:lang w:val="ro-RO"/>
              </w:rPr>
            </w:pPr>
          </w:p>
        </w:tc>
      </w:tr>
    </w:tbl>
    <w:p w14:paraId="5EDDA381" w14:textId="77777777" w:rsidR="001C08A5" w:rsidRDefault="00000000">
      <w:pPr>
        <w:pStyle w:val="Default"/>
        <w:jc w:val="center"/>
        <w:rPr>
          <w:rFonts w:ascii="Times New Roman" w:hAnsi="Times New Roman" w:cs="Times New Roman"/>
          <w:i/>
          <w:iCs/>
          <w:lang w:val="ro-RO"/>
        </w:rPr>
      </w:pPr>
      <w:r>
        <w:rPr>
          <w:rFonts w:ascii="Times New Roman" w:hAnsi="Times New Roman" w:cs="Times New Roman"/>
          <w:b/>
          <w:bCs/>
          <w:i/>
          <w:iCs/>
          <w:lang w:val="ro-RO"/>
        </w:rPr>
        <w:t>Varianta b) - secțiuni</w:t>
      </w:r>
    </w:p>
    <w:p w14:paraId="77D683BF" w14:textId="77777777" w:rsidR="001C08A5" w:rsidRDefault="001C08A5">
      <w:pPr>
        <w:pStyle w:val="Default"/>
        <w:jc w:val="center"/>
      </w:pPr>
    </w:p>
    <w:p w14:paraId="7B892833" w14:textId="77777777" w:rsidR="001C08A5" w:rsidRDefault="00000000">
      <w:pPr>
        <w:pStyle w:val="Default"/>
        <w:jc w:val="center"/>
      </w:pPr>
      <w:r>
        <w:rPr>
          <w:noProof/>
        </w:rPr>
        <w:drawing>
          <wp:inline distT="0" distB="0" distL="114300" distR="114300" wp14:anchorId="3F9478DA" wp14:editId="3DED10F9">
            <wp:extent cx="5271135" cy="1352550"/>
            <wp:effectExtent l="0" t="0" r="5715"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pic:cNvPicPr>
                      <a:picLocks noChangeAspect="1"/>
                    </pic:cNvPicPr>
                  </pic:nvPicPr>
                  <pic:blipFill>
                    <a:blip r:embed="rId532"/>
                    <a:srcRect l="13786" t="14217" r="16475" b="28648"/>
                    <a:stretch>
                      <a:fillRect/>
                    </a:stretch>
                  </pic:blipFill>
                  <pic:spPr>
                    <a:xfrm>
                      <a:off x="0" y="0"/>
                      <a:ext cx="5271135" cy="135255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1C08A5" w14:paraId="2F2BE1B0" w14:textId="77777777">
        <w:tc>
          <w:tcPr>
            <w:tcW w:w="4927" w:type="dxa"/>
          </w:tcPr>
          <w:p w14:paraId="57D8296F" w14:textId="77777777" w:rsidR="001C08A5" w:rsidRDefault="00000000">
            <w:pPr>
              <w:pStyle w:val="Default"/>
              <w:jc w:val="center"/>
              <w:rPr>
                <w:rFonts w:ascii="Times New Roman" w:hAnsi="Times New Roman" w:cs="Times New Roman"/>
                <w:b/>
                <w:bCs/>
                <w:i/>
                <w:iCs/>
                <w:lang w:val="ro-RO"/>
              </w:rPr>
            </w:pPr>
            <w:r>
              <w:rPr>
                <w:rFonts w:ascii="Times New Roman" w:hAnsi="Times New Roman" w:cs="Times New Roman"/>
                <w:b/>
                <w:bCs/>
                <w:i/>
                <w:iCs/>
                <w:lang w:val="ro-RO"/>
              </w:rPr>
              <w:t>Varianta c.1)</w:t>
            </w:r>
          </w:p>
          <w:p w14:paraId="1ABA5960" w14:textId="77777777" w:rsidR="001C08A5" w:rsidRDefault="00000000">
            <w:pPr>
              <w:numPr>
                <w:ilvl w:val="255"/>
                <w:numId w:val="0"/>
              </w:numPr>
              <w:tabs>
                <w:tab w:val="left" w:pos="426"/>
                <w:tab w:val="left" w:pos="993"/>
              </w:tabs>
              <w:rPr>
                <w:i/>
                <w:iCs/>
              </w:rPr>
            </w:pPr>
            <w:r>
              <w:rPr>
                <w:i/>
                <w:iCs/>
              </w:rPr>
              <w:t xml:space="preserve">Legendă Varianta </w:t>
            </w:r>
            <w:r>
              <w:rPr>
                <w:b/>
                <w:bCs/>
                <w:i/>
                <w:iCs/>
              </w:rPr>
              <w:t>c.1)</w:t>
            </w:r>
            <w:r>
              <w:rPr>
                <w:i/>
                <w:iCs/>
              </w:rPr>
              <w:t>:</w:t>
            </w:r>
          </w:p>
          <w:p w14:paraId="7A036760" w14:textId="77777777" w:rsidR="001C08A5" w:rsidRDefault="00000000">
            <w:pPr>
              <w:numPr>
                <w:ilvl w:val="255"/>
                <w:numId w:val="0"/>
              </w:numPr>
              <w:tabs>
                <w:tab w:val="left" w:pos="426"/>
                <w:tab w:val="left" w:pos="993"/>
              </w:tabs>
              <w:rPr>
                <w:i/>
                <w:iCs/>
              </w:rPr>
            </w:pPr>
            <w:r>
              <w:rPr>
                <w:b/>
                <w:bCs/>
                <w:i/>
                <w:iCs/>
              </w:rPr>
              <w:t xml:space="preserve">A </w:t>
            </w:r>
            <w:r>
              <w:rPr>
                <w:i/>
                <w:iCs/>
              </w:rPr>
              <w:t xml:space="preserve">- compartiment de incendiu </w:t>
            </w:r>
            <w:r>
              <w:rPr>
                <w:b/>
                <w:bCs/>
                <w:i/>
                <w:iCs/>
              </w:rPr>
              <w:t>1</w:t>
            </w:r>
          </w:p>
          <w:p w14:paraId="6FA1D438" w14:textId="77777777" w:rsidR="001C08A5" w:rsidRDefault="00000000">
            <w:pPr>
              <w:pStyle w:val="Default"/>
              <w:rPr>
                <w:rFonts w:ascii="Times New Roman" w:hAnsi="Times New Roman" w:cs="Times New Roman"/>
                <w:i/>
                <w:iCs/>
                <w:color w:val="auto"/>
                <w:sz w:val="20"/>
                <w:szCs w:val="20"/>
                <w:lang w:val="ro-RO" w:eastAsia="ar-SA"/>
              </w:rPr>
            </w:pPr>
            <w:r>
              <w:rPr>
                <w:rFonts w:ascii="Times New Roman" w:hAnsi="Times New Roman" w:cs="Times New Roman"/>
                <w:b/>
                <w:bCs/>
                <w:i/>
                <w:iCs/>
                <w:color w:val="auto"/>
                <w:sz w:val="20"/>
                <w:szCs w:val="20"/>
                <w:lang w:val="ro-RO" w:eastAsia="ar-SA"/>
              </w:rPr>
              <w:t>B+C</w:t>
            </w:r>
            <w:r>
              <w:rPr>
                <w:rFonts w:ascii="Times New Roman" w:hAnsi="Times New Roman" w:cs="Times New Roman"/>
                <w:i/>
                <w:iCs/>
                <w:color w:val="auto"/>
                <w:sz w:val="20"/>
                <w:szCs w:val="20"/>
                <w:lang w:val="ro-RO" w:eastAsia="ar-SA"/>
              </w:rPr>
              <w:t xml:space="preserve"> - compartiment de incendiu </w:t>
            </w:r>
            <w:r>
              <w:rPr>
                <w:rFonts w:ascii="Times New Roman" w:hAnsi="Times New Roman" w:cs="Times New Roman"/>
                <w:b/>
                <w:bCs/>
                <w:i/>
                <w:iCs/>
                <w:color w:val="auto"/>
                <w:sz w:val="20"/>
                <w:szCs w:val="20"/>
                <w:lang w:val="ro-RO" w:eastAsia="ar-SA"/>
              </w:rPr>
              <w:t xml:space="preserve">2 </w:t>
            </w:r>
            <w:r>
              <w:rPr>
                <w:rFonts w:ascii="Times New Roman" w:hAnsi="Times New Roman" w:cs="Times New Roman"/>
                <w:b/>
                <w:bCs/>
                <w:i/>
                <w:iCs/>
                <w:sz w:val="20"/>
                <w:szCs w:val="20"/>
                <w:lang w:val="ro-RO"/>
              </w:rPr>
              <w:t>- existent (spațiu B) + intervenții în existent (spațiu C)</w:t>
            </w:r>
          </w:p>
          <w:p w14:paraId="2E575C69" w14:textId="77777777" w:rsidR="001C08A5" w:rsidRDefault="00000000">
            <w:pPr>
              <w:pStyle w:val="Default"/>
              <w:rPr>
                <w:rFonts w:ascii="Times New Roman" w:hAnsi="Times New Roman" w:cs="Times New Roman"/>
                <w:b/>
                <w:bCs/>
                <w:i/>
                <w:iCs/>
                <w:color w:val="auto"/>
                <w:sz w:val="20"/>
                <w:szCs w:val="20"/>
                <w:lang w:val="ro-RO" w:eastAsia="ar-SA"/>
              </w:rPr>
            </w:pPr>
            <w:r>
              <w:rPr>
                <w:rFonts w:ascii="Times New Roman" w:hAnsi="Times New Roman" w:cs="Times New Roman"/>
                <w:b/>
                <w:bCs/>
                <w:i/>
                <w:iCs/>
                <w:color w:val="auto"/>
                <w:sz w:val="20"/>
                <w:szCs w:val="20"/>
                <w:lang w:val="ro-RO" w:eastAsia="ar-SA"/>
              </w:rPr>
              <w:t xml:space="preserve">D </w:t>
            </w:r>
            <w:r>
              <w:rPr>
                <w:rFonts w:ascii="Times New Roman" w:hAnsi="Times New Roman" w:cs="Times New Roman"/>
                <w:i/>
                <w:iCs/>
                <w:color w:val="auto"/>
                <w:sz w:val="20"/>
                <w:szCs w:val="20"/>
                <w:lang w:val="ro-RO" w:eastAsia="ar-SA"/>
              </w:rPr>
              <w:t>- compartiment de incendiu</w:t>
            </w:r>
            <w:r>
              <w:rPr>
                <w:rFonts w:ascii="Times New Roman" w:hAnsi="Times New Roman" w:cs="Times New Roman"/>
                <w:b/>
                <w:bCs/>
                <w:i/>
                <w:iCs/>
                <w:color w:val="auto"/>
                <w:sz w:val="20"/>
                <w:szCs w:val="20"/>
                <w:lang w:val="ro-RO" w:eastAsia="ar-SA"/>
              </w:rPr>
              <w:t xml:space="preserve"> 3 - </w:t>
            </w:r>
            <w:r>
              <w:rPr>
                <w:rFonts w:ascii="Times New Roman" w:hAnsi="Times New Roman" w:cs="Times New Roman"/>
                <w:b/>
                <w:bCs/>
                <w:i/>
                <w:iCs/>
                <w:sz w:val="20"/>
                <w:szCs w:val="20"/>
                <w:lang w:val="ro-RO"/>
              </w:rPr>
              <w:t>extindere (spațiu D)</w:t>
            </w:r>
          </w:p>
          <w:p w14:paraId="6880E98E" w14:textId="77777777" w:rsidR="001C08A5" w:rsidRDefault="00000000">
            <w:pPr>
              <w:pStyle w:val="Default"/>
              <w:rPr>
                <w:rFonts w:ascii="Times New Roman" w:hAnsi="Times New Roman" w:cs="Times New Roman"/>
                <w:b/>
                <w:bCs/>
                <w:i/>
                <w:iCs/>
                <w:lang w:val="ro-RO"/>
              </w:rPr>
            </w:pPr>
            <w:r>
              <w:rPr>
                <w:rFonts w:ascii="Times New Roman" w:hAnsi="Times New Roman" w:cs="Times New Roman"/>
                <w:b/>
                <w:bCs/>
                <w:i/>
                <w:iCs/>
                <w:lang w:val="ro-RO"/>
              </w:rPr>
              <w:t xml:space="preserve">Conform Art. (312) lit. b), pct.i) </w:t>
            </w:r>
            <w:r>
              <w:rPr>
                <w:rFonts w:ascii="Times New Roman" w:hAnsi="Times New Roman" w:cs="Times New Roman"/>
                <w:i/>
                <w:iCs/>
                <w:lang w:val="ro-RO"/>
              </w:rPr>
              <w:t xml:space="preserve">- intervenții în spațiul </w:t>
            </w:r>
            <w:r>
              <w:rPr>
                <w:rFonts w:ascii="Times New Roman" w:hAnsi="Times New Roman" w:cs="Times New Roman"/>
                <w:b/>
                <w:bCs/>
                <w:i/>
                <w:iCs/>
                <w:lang w:val="ro-RO"/>
              </w:rPr>
              <w:t xml:space="preserve">C </w:t>
            </w:r>
            <w:r>
              <w:rPr>
                <w:rFonts w:ascii="Times New Roman" w:hAnsi="Times New Roman" w:cs="Times New Roman"/>
                <w:i/>
                <w:iCs/>
                <w:lang w:val="ro-RO"/>
              </w:rPr>
              <w:t xml:space="preserve">(din cadrul compartimentului </w:t>
            </w:r>
            <w:r>
              <w:rPr>
                <w:rFonts w:ascii="Times New Roman" w:hAnsi="Times New Roman" w:cs="Times New Roman"/>
                <w:b/>
                <w:bCs/>
                <w:i/>
                <w:iCs/>
                <w:lang w:val="ro-RO"/>
              </w:rPr>
              <w:t xml:space="preserve">2 </w:t>
            </w:r>
            <w:r>
              <w:rPr>
                <w:rFonts w:ascii="Times New Roman" w:hAnsi="Times New Roman" w:cs="Times New Roman"/>
                <w:i/>
                <w:iCs/>
                <w:lang w:val="ro-RO"/>
              </w:rPr>
              <w:t xml:space="preserve">de incendiu existent) și extindere în spațiul </w:t>
            </w:r>
            <w:r>
              <w:rPr>
                <w:rFonts w:ascii="Times New Roman" w:hAnsi="Times New Roman" w:cs="Times New Roman"/>
                <w:b/>
                <w:bCs/>
                <w:i/>
                <w:iCs/>
                <w:lang w:val="ro-RO"/>
              </w:rPr>
              <w:t xml:space="preserve">D </w:t>
            </w:r>
            <w:r>
              <w:rPr>
                <w:rFonts w:ascii="Times New Roman" w:hAnsi="Times New Roman" w:cs="Times New Roman"/>
                <w:i/>
                <w:iCs/>
                <w:lang w:val="ro-RO"/>
              </w:rPr>
              <w:t xml:space="preserve">(compartiment </w:t>
            </w:r>
            <w:r>
              <w:rPr>
                <w:rFonts w:ascii="Times New Roman" w:hAnsi="Times New Roman" w:cs="Times New Roman"/>
                <w:b/>
                <w:bCs/>
                <w:i/>
                <w:iCs/>
                <w:lang w:val="ro-RO"/>
              </w:rPr>
              <w:t xml:space="preserve">3 </w:t>
            </w:r>
            <w:r>
              <w:rPr>
                <w:rFonts w:ascii="Times New Roman" w:hAnsi="Times New Roman" w:cs="Times New Roman"/>
                <w:i/>
                <w:iCs/>
                <w:lang w:val="ro-RO"/>
              </w:rPr>
              <w:t xml:space="preserve">de incendiu distinct) </w:t>
            </w:r>
          </w:p>
          <w:p w14:paraId="348CDC61" w14:textId="77777777" w:rsidR="001C08A5" w:rsidRDefault="001C08A5">
            <w:pPr>
              <w:pStyle w:val="Default"/>
              <w:rPr>
                <w:rFonts w:ascii="Times New Roman" w:hAnsi="Times New Roman" w:cs="Times New Roman"/>
                <w:b/>
                <w:bCs/>
                <w:i/>
                <w:iCs/>
                <w:color w:val="auto"/>
                <w:sz w:val="20"/>
                <w:szCs w:val="20"/>
                <w:lang w:val="ro-RO" w:eastAsia="ar-SA"/>
              </w:rPr>
            </w:pPr>
          </w:p>
        </w:tc>
        <w:tc>
          <w:tcPr>
            <w:tcW w:w="4928" w:type="dxa"/>
          </w:tcPr>
          <w:p w14:paraId="1AEF4F61" w14:textId="77777777" w:rsidR="001C08A5" w:rsidRDefault="00000000">
            <w:pPr>
              <w:pStyle w:val="Default"/>
              <w:jc w:val="center"/>
              <w:rPr>
                <w:rFonts w:ascii="Times New Roman" w:hAnsi="Times New Roman" w:cs="Times New Roman"/>
                <w:b/>
                <w:bCs/>
                <w:i/>
                <w:iCs/>
                <w:lang w:val="ro-RO"/>
              </w:rPr>
            </w:pPr>
            <w:r>
              <w:rPr>
                <w:rFonts w:ascii="Times New Roman" w:hAnsi="Times New Roman" w:cs="Times New Roman"/>
                <w:b/>
                <w:bCs/>
                <w:i/>
                <w:iCs/>
                <w:lang w:val="ro-RO"/>
              </w:rPr>
              <w:t>Varianta c.2)</w:t>
            </w:r>
          </w:p>
          <w:p w14:paraId="69C5036B" w14:textId="77777777" w:rsidR="001C08A5" w:rsidRDefault="00000000">
            <w:pPr>
              <w:pStyle w:val="Default"/>
              <w:jc w:val="left"/>
              <w:rPr>
                <w:rFonts w:ascii="Times New Roman" w:hAnsi="Times New Roman" w:cs="Times New Roman"/>
                <w:i/>
                <w:iCs/>
                <w:sz w:val="20"/>
                <w:szCs w:val="20"/>
              </w:rPr>
            </w:pPr>
            <w:r>
              <w:rPr>
                <w:rFonts w:ascii="Times New Roman" w:hAnsi="Times New Roman" w:cs="Times New Roman"/>
                <w:i/>
                <w:iCs/>
                <w:sz w:val="20"/>
                <w:szCs w:val="20"/>
              </w:rPr>
              <w:t xml:space="preserve">Legendă Varianta </w:t>
            </w:r>
            <w:r>
              <w:rPr>
                <w:rFonts w:ascii="Times New Roman" w:hAnsi="Times New Roman" w:cs="Times New Roman"/>
                <w:b/>
                <w:bCs/>
                <w:i/>
                <w:iCs/>
                <w:sz w:val="20"/>
                <w:szCs w:val="20"/>
              </w:rPr>
              <w:t>c.2)</w:t>
            </w:r>
            <w:r>
              <w:rPr>
                <w:rFonts w:ascii="Times New Roman" w:hAnsi="Times New Roman" w:cs="Times New Roman"/>
                <w:i/>
                <w:iCs/>
                <w:sz w:val="20"/>
                <w:szCs w:val="20"/>
              </w:rPr>
              <w:t>:</w:t>
            </w:r>
          </w:p>
          <w:p w14:paraId="46210F24" w14:textId="77777777" w:rsidR="001C08A5" w:rsidRDefault="00000000">
            <w:pPr>
              <w:pStyle w:val="Default"/>
              <w:widowControl/>
              <w:jc w:val="left"/>
              <w:rPr>
                <w:rFonts w:ascii="Times New Roman" w:hAnsi="Times New Roman" w:cs="Times New Roman"/>
                <w:i/>
                <w:iCs/>
                <w:sz w:val="20"/>
                <w:szCs w:val="20"/>
                <w:lang w:val="ro-RO"/>
              </w:rPr>
            </w:pPr>
            <w:r>
              <w:rPr>
                <w:rFonts w:ascii="Times New Roman" w:hAnsi="Times New Roman" w:cs="Times New Roman"/>
                <w:b/>
                <w:bCs/>
                <w:i/>
                <w:iCs/>
                <w:sz w:val="20"/>
                <w:szCs w:val="20"/>
                <w:lang w:val="ro-RO"/>
              </w:rPr>
              <w:t>A</w:t>
            </w:r>
            <w:r>
              <w:rPr>
                <w:rFonts w:ascii="Times New Roman" w:hAnsi="Times New Roman" w:cs="Times New Roman"/>
                <w:i/>
                <w:iCs/>
                <w:sz w:val="20"/>
                <w:szCs w:val="20"/>
                <w:lang w:val="ro-RO"/>
              </w:rPr>
              <w:t xml:space="preserve"> - compartiment de incendiu </w:t>
            </w:r>
            <w:r>
              <w:rPr>
                <w:rFonts w:ascii="Times New Roman" w:hAnsi="Times New Roman" w:cs="Times New Roman"/>
                <w:b/>
                <w:bCs/>
                <w:i/>
                <w:iCs/>
                <w:sz w:val="20"/>
                <w:szCs w:val="20"/>
                <w:lang w:val="ro-RO"/>
              </w:rPr>
              <w:t>1</w:t>
            </w:r>
          </w:p>
          <w:p w14:paraId="7D4EA7CC" w14:textId="77777777" w:rsidR="001C08A5" w:rsidRDefault="00000000">
            <w:pPr>
              <w:pStyle w:val="Default"/>
              <w:widowControl/>
              <w:jc w:val="left"/>
              <w:rPr>
                <w:rFonts w:ascii="Times New Roman" w:hAnsi="Times New Roman" w:cs="Times New Roman"/>
                <w:b/>
                <w:bCs/>
                <w:i/>
                <w:iCs/>
                <w:color w:val="auto"/>
                <w:sz w:val="20"/>
                <w:szCs w:val="20"/>
                <w:lang w:val="ro-RO" w:eastAsia="ar-SA"/>
              </w:rPr>
            </w:pPr>
            <w:r>
              <w:rPr>
                <w:rFonts w:ascii="Times New Roman" w:hAnsi="Times New Roman" w:cs="Times New Roman"/>
                <w:b/>
                <w:bCs/>
                <w:i/>
                <w:iCs/>
                <w:color w:val="auto"/>
                <w:sz w:val="20"/>
                <w:szCs w:val="20"/>
                <w:lang w:val="ro-RO" w:eastAsia="ar-SA"/>
              </w:rPr>
              <w:t>B+C+D</w:t>
            </w:r>
            <w:r>
              <w:rPr>
                <w:rFonts w:ascii="Times New Roman" w:hAnsi="Times New Roman" w:cs="Times New Roman"/>
                <w:i/>
                <w:iCs/>
                <w:color w:val="auto"/>
                <w:sz w:val="20"/>
                <w:szCs w:val="20"/>
                <w:lang w:val="ro-RO" w:eastAsia="ar-SA"/>
              </w:rPr>
              <w:t xml:space="preserve"> - compartiment de incendiu </w:t>
            </w:r>
            <w:r>
              <w:rPr>
                <w:rFonts w:ascii="Times New Roman" w:hAnsi="Times New Roman" w:cs="Times New Roman"/>
                <w:b/>
                <w:bCs/>
                <w:i/>
                <w:iCs/>
                <w:color w:val="auto"/>
                <w:sz w:val="20"/>
                <w:szCs w:val="20"/>
                <w:lang w:val="ro-RO" w:eastAsia="ar-SA"/>
              </w:rPr>
              <w:t xml:space="preserve">2 </w:t>
            </w:r>
            <w:r>
              <w:rPr>
                <w:rFonts w:ascii="Times New Roman" w:hAnsi="Times New Roman" w:cs="Times New Roman"/>
                <w:b/>
                <w:bCs/>
                <w:i/>
                <w:iCs/>
                <w:sz w:val="20"/>
                <w:szCs w:val="20"/>
                <w:lang w:val="ro-RO"/>
              </w:rPr>
              <w:t>- existent (spațiu B) + intervenții în existent (spațiu C) + extindere (spațiu D)</w:t>
            </w:r>
          </w:p>
          <w:p w14:paraId="4D884780" w14:textId="77777777" w:rsidR="001C08A5" w:rsidRDefault="001C08A5">
            <w:pPr>
              <w:pStyle w:val="Default"/>
              <w:widowControl/>
              <w:jc w:val="center"/>
              <w:rPr>
                <w:rFonts w:ascii="Times New Roman" w:hAnsi="Times New Roman" w:cs="Times New Roman"/>
                <w:b/>
                <w:bCs/>
                <w:i/>
                <w:iCs/>
                <w:color w:val="auto"/>
                <w:sz w:val="20"/>
                <w:szCs w:val="20"/>
                <w:lang w:val="ro-RO" w:eastAsia="ar-SA"/>
              </w:rPr>
            </w:pPr>
          </w:p>
          <w:p w14:paraId="002BE63A" w14:textId="77777777" w:rsidR="001C08A5" w:rsidRDefault="00000000">
            <w:pPr>
              <w:pStyle w:val="Default"/>
              <w:widowControl/>
              <w:rPr>
                <w:rFonts w:ascii="Times New Roman" w:hAnsi="Times New Roman" w:cs="Times New Roman"/>
                <w:b/>
                <w:bCs/>
                <w:i/>
                <w:iCs/>
                <w:color w:val="auto"/>
                <w:sz w:val="20"/>
                <w:szCs w:val="20"/>
                <w:lang w:val="ro-RO" w:eastAsia="ar-SA"/>
              </w:rPr>
            </w:pPr>
            <w:r>
              <w:rPr>
                <w:rFonts w:ascii="Times New Roman" w:hAnsi="Times New Roman" w:cs="Times New Roman"/>
                <w:b/>
                <w:bCs/>
                <w:i/>
                <w:iCs/>
                <w:lang w:val="ro-RO"/>
              </w:rPr>
              <w:t xml:space="preserve">Conform Art. (312) lit. b), pct.ii) </w:t>
            </w:r>
            <w:r>
              <w:rPr>
                <w:rFonts w:ascii="Times New Roman" w:hAnsi="Times New Roman" w:cs="Times New Roman"/>
                <w:i/>
                <w:iCs/>
                <w:lang w:val="ro-RO"/>
              </w:rPr>
              <w:t xml:space="preserve">- intervenții în spațiul </w:t>
            </w:r>
            <w:r>
              <w:rPr>
                <w:rFonts w:ascii="Times New Roman" w:hAnsi="Times New Roman" w:cs="Times New Roman"/>
                <w:b/>
                <w:bCs/>
                <w:i/>
                <w:iCs/>
                <w:lang w:val="ro-RO"/>
              </w:rPr>
              <w:t xml:space="preserve">C </w:t>
            </w:r>
            <w:r>
              <w:rPr>
                <w:rFonts w:ascii="Times New Roman" w:hAnsi="Times New Roman" w:cs="Times New Roman"/>
                <w:i/>
                <w:iCs/>
                <w:lang w:val="ro-RO"/>
              </w:rPr>
              <w:t xml:space="preserve">(din cadrul compartimentului </w:t>
            </w:r>
            <w:r>
              <w:rPr>
                <w:rFonts w:ascii="Times New Roman" w:hAnsi="Times New Roman" w:cs="Times New Roman"/>
                <w:b/>
                <w:bCs/>
                <w:i/>
                <w:iCs/>
                <w:lang w:val="ro-RO"/>
              </w:rPr>
              <w:t xml:space="preserve">2 </w:t>
            </w:r>
            <w:r>
              <w:rPr>
                <w:rFonts w:ascii="Times New Roman" w:hAnsi="Times New Roman" w:cs="Times New Roman"/>
                <w:i/>
                <w:iCs/>
                <w:lang w:val="ro-RO"/>
              </w:rPr>
              <w:t xml:space="preserve">de incendiu existent) și extindere în spațiul </w:t>
            </w:r>
            <w:r>
              <w:rPr>
                <w:rFonts w:ascii="Times New Roman" w:hAnsi="Times New Roman" w:cs="Times New Roman"/>
                <w:b/>
                <w:bCs/>
                <w:i/>
                <w:iCs/>
                <w:lang w:val="ro-RO"/>
              </w:rPr>
              <w:t xml:space="preserve">D </w:t>
            </w:r>
            <w:r>
              <w:rPr>
                <w:rFonts w:ascii="Times New Roman" w:hAnsi="Times New Roman" w:cs="Times New Roman"/>
                <w:i/>
                <w:iCs/>
                <w:lang w:val="ro-RO"/>
              </w:rPr>
              <w:t xml:space="preserve">(compartiment </w:t>
            </w:r>
            <w:r>
              <w:rPr>
                <w:rFonts w:ascii="Times New Roman" w:hAnsi="Times New Roman" w:cs="Times New Roman"/>
                <w:b/>
                <w:bCs/>
                <w:i/>
                <w:iCs/>
                <w:lang w:val="ro-RO"/>
              </w:rPr>
              <w:t xml:space="preserve">3 </w:t>
            </w:r>
            <w:r>
              <w:rPr>
                <w:rFonts w:ascii="Times New Roman" w:hAnsi="Times New Roman" w:cs="Times New Roman"/>
                <w:i/>
                <w:iCs/>
                <w:lang w:val="ro-RO"/>
              </w:rPr>
              <w:t xml:space="preserve">de incendiu distinct) </w:t>
            </w:r>
          </w:p>
        </w:tc>
      </w:tr>
    </w:tbl>
    <w:p w14:paraId="417DF3A2" w14:textId="77777777" w:rsidR="001C08A5" w:rsidRDefault="00000000">
      <w:pPr>
        <w:pStyle w:val="Default"/>
        <w:jc w:val="center"/>
        <w:rPr>
          <w:rFonts w:ascii="Times New Roman" w:hAnsi="Times New Roman" w:cs="Times New Roman"/>
          <w:b/>
          <w:bCs/>
          <w:i/>
          <w:iCs/>
          <w:lang w:val="ro-RO"/>
        </w:rPr>
      </w:pPr>
      <w:r>
        <w:rPr>
          <w:rFonts w:ascii="Times New Roman" w:hAnsi="Times New Roman" w:cs="Times New Roman"/>
          <w:b/>
          <w:bCs/>
          <w:i/>
          <w:iCs/>
          <w:lang w:val="ro-RO"/>
        </w:rPr>
        <w:t xml:space="preserve">Varianta c) - secțiuni </w:t>
      </w:r>
    </w:p>
    <w:p w14:paraId="17F855C9" w14:textId="77777777" w:rsidR="001C08A5" w:rsidRDefault="001C08A5">
      <w:pPr>
        <w:pStyle w:val="Default"/>
        <w:jc w:val="center"/>
        <w:rPr>
          <w:rFonts w:ascii="Times New Roman" w:hAnsi="Times New Roman"/>
          <w:b/>
          <w:bCs/>
          <w:i/>
          <w:iCs/>
          <w:lang w:val="ro-RO"/>
        </w:rPr>
      </w:pPr>
    </w:p>
    <w:p w14:paraId="2CFFC1E2" w14:textId="77777777" w:rsidR="001C08A5" w:rsidRDefault="00000000">
      <w:pPr>
        <w:pStyle w:val="Default"/>
        <w:jc w:val="center"/>
        <w:rPr>
          <w:rFonts w:ascii="Times New Roman" w:hAnsi="Times New Roman"/>
          <w:b/>
          <w:bCs/>
          <w:i/>
          <w:iCs/>
          <w:lang w:val="ro-RO"/>
        </w:rPr>
      </w:pPr>
      <w:r>
        <w:rPr>
          <w:rFonts w:ascii="Times New Roman" w:hAnsi="Times New Roman"/>
          <w:b/>
          <w:bCs/>
          <w:i/>
          <w:iCs/>
          <w:lang w:val="ro-RO"/>
        </w:rPr>
        <w:t>Figura 273 - Lucrări de intervenţii efectuate asupra construcţiilor existente</w:t>
      </w:r>
    </w:p>
    <w:p w14:paraId="6ABDC7FA" w14:textId="77777777" w:rsidR="001C08A5" w:rsidRDefault="00000000">
      <w:pPr>
        <w:pStyle w:val="Heading2"/>
        <w:jc w:val="center"/>
        <w:rPr>
          <w:sz w:val="28"/>
        </w:rPr>
      </w:pPr>
      <w:bookmarkStart w:id="10247" w:name="_Toc1649"/>
      <w:bookmarkStart w:id="10248" w:name="_Toc162355510"/>
      <w:bookmarkStart w:id="10249" w:name="_Toc12271"/>
      <w:bookmarkStart w:id="10250" w:name="_Toc9402"/>
      <w:bookmarkStart w:id="10251" w:name="_Toc24233"/>
      <w:bookmarkStart w:id="10252" w:name="_Toc19221"/>
      <w:r>
        <w:rPr>
          <w:sz w:val="28"/>
        </w:rPr>
        <w:lastRenderedPageBreak/>
        <w:t>SECŢIUNEA I</w:t>
      </w:r>
      <w:bookmarkEnd w:id="10247"/>
      <w:bookmarkEnd w:id="10248"/>
      <w:bookmarkEnd w:id="10249"/>
      <w:bookmarkEnd w:id="10250"/>
      <w:bookmarkEnd w:id="10251"/>
      <w:bookmarkEnd w:id="10252"/>
    </w:p>
    <w:p w14:paraId="0DADA999" w14:textId="77777777" w:rsidR="001C08A5" w:rsidRDefault="00000000">
      <w:pPr>
        <w:pStyle w:val="Heading2"/>
        <w:jc w:val="center"/>
        <w:rPr>
          <w:sz w:val="28"/>
        </w:rPr>
      </w:pPr>
      <w:bookmarkStart w:id="10253" w:name="_Toc9332"/>
      <w:bookmarkStart w:id="10254" w:name="_Toc19712"/>
      <w:bookmarkStart w:id="10255" w:name="_Toc162355511"/>
      <w:bookmarkStart w:id="10256" w:name="_Toc8221"/>
      <w:bookmarkStart w:id="10257" w:name="_Toc15014"/>
      <w:bookmarkStart w:id="10258" w:name="_Toc1447"/>
      <w:r>
        <w:rPr>
          <w:sz w:val="28"/>
        </w:rPr>
        <w:t>PREVEDERI COMUNE TUTUROR CONSTRUCȚIILOR EXISTENTE</w:t>
      </w:r>
      <w:bookmarkEnd w:id="10253"/>
      <w:bookmarkEnd w:id="10254"/>
      <w:bookmarkEnd w:id="10255"/>
      <w:bookmarkEnd w:id="10256"/>
      <w:bookmarkEnd w:id="10257"/>
      <w:bookmarkEnd w:id="10258"/>
    </w:p>
    <w:p w14:paraId="5A501C03" w14:textId="77777777" w:rsidR="001C08A5" w:rsidRDefault="00000000">
      <w:pPr>
        <w:pStyle w:val="Heading3"/>
        <w:rPr>
          <w:i/>
          <w:iCs/>
          <w:sz w:val="26"/>
        </w:rPr>
      </w:pPr>
      <w:bookmarkStart w:id="10259" w:name="_Toc28181"/>
      <w:bookmarkStart w:id="10260" w:name="_Toc779"/>
      <w:bookmarkStart w:id="10261" w:name="_Toc5895"/>
      <w:bookmarkStart w:id="10262" w:name="_Toc162355512"/>
      <w:bookmarkStart w:id="10263" w:name="_Toc22828"/>
      <w:r>
        <w:rPr>
          <w:i/>
          <w:iCs/>
          <w:sz w:val="26"/>
        </w:rPr>
        <w:t>CAPITOLUL 1</w:t>
      </w:r>
      <w:bookmarkEnd w:id="10259"/>
      <w:bookmarkEnd w:id="10260"/>
      <w:bookmarkEnd w:id="10261"/>
      <w:bookmarkEnd w:id="10262"/>
      <w:bookmarkEnd w:id="10263"/>
    </w:p>
    <w:p w14:paraId="4E4F793A" w14:textId="77777777" w:rsidR="001C08A5" w:rsidRDefault="00000000">
      <w:pPr>
        <w:pStyle w:val="Heading3"/>
        <w:rPr>
          <w:rFonts w:cs="Times New Roman"/>
          <w:bCs w:val="0"/>
          <w:i/>
          <w:sz w:val="26"/>
        </w:rPr>
      </w:pPr>
      <w:bookmarkStart w:id="10264" w:name="_Toc13593"/>
      <w:bookmarkStart w:id="10265" w:name="_Toc3613"/>
      <w:bookmarkStart w:id="10266" w:name="_Toc30815"/>
      <w:bookmarkStart w:id="10267" w:name="_Toc162355513"/>
      <w:bookmarkStart w:id="10268" w:name="_Toc14734"/>
      <w:bookmarkStart w:id="10269" w:name="_Toc12178"/>
      <w:r>
        <w:rPr>
          <w:i/>
          <w:iCs/>
          <w:sz w:val="26"/>
        </w:rPr>
        <w:t>GENERALITĂŢI</w:t>
      </w:r>
      <w:bookmarkEnd w:id="10264"/>
      <w:bookmarkEnd w:id="10265"/>
      <w:bookmarkEnd w:id="10266"/>
      <w:bookmarkEnd w:id="10267"/>
      <w:bookmarkEnd w:id="10268"/>
      <w:bookmarkEnd w:id="10269"/>
    </w:p>
    <w:p w14:paraId="59EA939D" w14:textId="77777777" w:rsidR="001C08A5" w:rsidRDefault="00000000">
      <w:pPr>
        <w:pStyle w:val="Heading3"/>
        <w:rPr>
          <w:i/>
          <w:iCs/>
          <w:sz w:val="24"/>
          <w:szCs w:val="24"/>
        </w:rPr>
      </w:pPr>
      <w:bookmarkStart w:id="10270" w:name="_Toc6574"/>
      <w:bookmarkStart w:id="10271" w:name="_Toc19416"/>
      <w:bookmarkStart w:id="10272" w:name="_Toc162355514"/>
      <w:bookmarkStart w:id="10273" w:name="_Toc7982"/>
      <w:bookmarkStart w:id="10274" w:name="_Toc29660"/>
      <w:r>
        <w:rPr>
          <w:i/>
          <w:iCs/>
          <w:sz w:val="24"/>
          <w:szCs w:val="24"/>
        </w:rPr>
        <w:t>A.10. 1.1. SCOP - DOMENIU DE APLICARE</w:t>
      </w:r>
      <w:bookmarkEnd w:id="10270"/>
      <w:bookmarkEnd w:id="10271"/>
      <w:bookmarkEnd w:id="10272"/>
      <w:bookmarkEnd w:id="10273"/>
      <w:bookmarkEnd w:id="10274"/>
    </w:p>
    <w:p w14:paraId="172DDD4E" w14:textId="77777777" w:rsidR="001C08A5" w:rsidRDefault="001C08A5">
      <w:pPr>
        <w:rPr>
          <w:b/>
          <w:i/>
          <w:sz w:val="24"/>
          <w:szCs w:val="24"/>
        </w:rPr>
      </w:pPr>
    </w:p>
    <w:p w14:paraId="558FC90F"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A.10. 1.1.1.</w:t>
      </w:r>
      <w:r>
        <w:rPr>
          <w:rFonts w:eastAsia="Calibri"/>
          <w:b/>
          <w:bCs/>
          <w:i/>
          <w:sz w:val="24"/>
          <w:szCs w:val="24"/>
          <w:shd w:val="clear" w:color="auto" w:fill="FFFFFF"/>
          <w:lang w:val="en-GB"/>
        </w:rPr>
        <w:t xml:space="preserve"> </w:t>
      </w:r>
      <w:r>
        <w:rPr>
          <w:rFonts w:eastAsia="Calibri"/>
          <w:i/>
          <w:sz w:val="24"/>
          <w:szCs w:val="24"/>
          <w:shd w:val="clear" w:color="auto" w:fill="FFFFFF"/>
        </w:rPr>
        <w:t>Interventiile la clădirile existente care dețin ansamblul de documente referitoare la proiectarea, execuţia, recepţia, exploatarea, întreţinerea, repararea şi urmărirea în timp a construcţiei precum și cele care nu dețin ansamblul de documente referitoare la proiectarea, execuţia, recepţia, exploatarea, întreţinerea, repararea şi urmărirea în timp a construcţiei, se realizează în concordanță cu prezenta anexă prevăzută la normativ. Anexa stabileşte principalele condiţii, performanţe şi niveluri de performanţă pentru construcţii existente construite înainte de adoptarea prezentului normativ și are scopul de a asigura un grad minim de siguranță împotriva incendiilor și a vieții persoanelor care utilizează clădirile </w:t>
      </w:r>
      <w:hyperlink r:id="rId533" w:anchor="existing" w:history="1">
        <w:r>
          <w:rPr>
            <w:rFonts w:eastAsia="Calibri"/>
            <w:i/>
            <w:sz w:val="24"/>
            <w:szCs w:val="24"/>
            <w:shd w:val="clear" w:color="auto" w:fill="FFFFFF"/>
          </w:rPr>
          <w:t>existente</w:t>
        </w:r>
      </w:hyperlink>
      <w:r>
        <w:rPr>
          <w:rFonts w:eastAsia="Calibri"/>
          <w:i/>
          <w:sz w:val="24"/>
          <w:szCs w:val="24"/>
          <w:shd w:val="clear" w:color="auto" w:fill="FFFFFF"/>
        </w:rPr>
        <w:t>. Măsurile prevăzute în anexă au carcter minimal şi nu sunt limitative. La lucrările de intervenţii efectuate asupra construcţiilor existente care își pastrează destinația, atunci când în mod justificat tehnic nu pot fi îndeplinite unele prevederi de securitate la incendiu normate prin prezenta anexă, se asigură măsuri alternative de protecţie</w:t>
      </w:r>
      <w:r>
        <w:rPr>
          <w:rFonts w:eastAsia="Calibri"/>
          <w:i/>
          <w:sz w:val="24"/>
          <w:szCs w:val="24"/>
          <w:shd w:val="clear" w:color="auto" w:fill="FFFFFF"/>
          <w:lang w:val="en-GB"/>
        </w:rPr>
        <w:t xml:space="preserve"> (pasive, active sau combinații ale acestora) </w:t>
      </w:r>
      <w:r>
        <w:rPr>
          <w:rFonts w:eastAsia="Calibri"/>
          <w:i/>
          <w:sz w:val="24"/>
          <w:szCs w:val="24"/>
          <w:shd w:val="clear" w:color="auto" w:fill="FFFFFF"/>
        </w:rPr>
        <w:t>care să vizeze îmbunătățirea cerințelor care nu pot fi respectate.</w:t>
      </w:r>
    </w:p>
    <w:p w14:paraId="0821287B" w14:textId="77777777" w:rsidR="001C08A5" w:rsidRDefault="00000000">
      <w:pPr>
        <w:shd w:val="clear" w:color="auto" w:fill="FFFFFF"/>
        <w:spacing w:after="150"/>
        <w:jc w:val="both"/>
        <w:rPr>
          <w:rFonts w:eastAsia="Calibri"/>
          <w:b/>
          <w:bCs/>
          <w:i/>
          <w:sz w:val="24"/>
          <w:szCs w:val="24"/>
          <w:shd w:val="clear" w:color="auto" w:fill="FFFFFF"/>
        </w:rPr>
      </w:pPr>
      <w:r>
        <w:rPr>
          <w:rFonts w:eastAsia="Calibri"/>
          <w:b/>
          <w:i/>
          <w:sz w:val="24"/>
          <w:szCs w:val="24"/>
          <w:shd w:val="clear" w:color="auto" w:fill="FFFFFF"/>
        </w:rPr>
        <w:t>A.10. 1.1.2.</w:t>
      </w:r>
      <w:r>
        <w:rPr>
          <w:rFonts w:eastAsia="Calibri"/>
          <w:b/>
          <w:bCs/>
          <w:i/>
          <w:sz w:val="24"/>
          <w:szCs w:val="24"/>
          <w:shd w:val="clear" w:color="auto" w:fill="FFFFFF"/>
          <w:lang w:val="en-GB"/>
        </w:rPr>
        <w:t xml:space="preserve"> </w:t>
      </w:r>
      <w:r>
        <w:rPr>
          <w:rFonts w:eastAsia="Calibri"/>
          <w:i/>
          <w:sz w:val="24"/>
          <w:szCs w:val="24"/>
          <w:shd w:val="clear" w:color="auto" w:fill="FFFFFF"/>
        </w:rPr>
        <w:t xml:space="preserve">Prevederile prezentei anexe sunt obligatorii la lucrările de amenajări din construcții (clădiri) existente de orice fel - denumite în continuare, în cadrul prezentei anexe "construcții" - indiferent de forma de proprietate sau destinație. </w:t>
      </w:r>
    </w:p>
    <w:p w14:paraId="7B1ABCF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A.10. 1.1.3.</w:t>
      </w:r>
      <w:r>
        <w:rPr>
          <w:rFonts w:eastAsia="Calibri"/>
          <w:b/>
          <w:bCs/>
          <w:i/>
          <w:sz w:val="24"/>
          <w:szCs w:val="24"/>
          <w:shd w:val="clear" w:color="auto" w:fill="FFFFFF"/>
          <w:lang w:val="en-GB"/>
        </w:rPr>
        <w:t xml:space="preserve"> </w:t>
      </w:r>
      <w:r>
        <w:rPr>
          <w:rFonts w:eastAsia="Calibri"/>
          <w:i/>
          <w:sz w:val="24"/>
          <w:szCs w:val="24"/>
          <w:shd w:val="clear" w:color="auto" w:fill="FFFFFF"/>
        </w:rPr>
        <w:t>Nu fac obiectul prezentei anexe instalațiile și echipamentele tehnologice de producție (sisteme, utilaje, agregate, dispozitive, etc.) inclusiv proiectele de montaj aferente acestora și construcțiile destinate fabricării, manipulării și depozitării explozibililor, instalațiile tehnologice în aer liber, construcțiile nucleare, construcțiile subterane hidroenergetice și ale metroului, etc. precum și cele specifice organizării de șantier.</w:t>
      </w:r>
    </w:p>
    <w:p w14:paraId="4BD0381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A.10. 1.1.4.</w:t>
      </w:r>
      <w:r>
        <w:rPr>
          <w:rFonts w:eastAsia="Calibri"/>
          <w:b/>
          <w:bCs/>
          <w:i/>
          <w:sz w:val="24"/>
          <w:szCs w:val="24"/>
          <w:shd w:val="clear" w:color="auto" w:fill="FFFFFF"/>
          <w:lang w:val="en-GB"/>
        </w:rPr>
        <w:t xml:space="preserve"> </w:t>
      </w:r>
      <w:r>
        <w:rPr>
          <w:rFonts w:eastAsia="Calibri"/>
          <w:i/>
          <w:sz w:val="24"/>
          <w:szCs w:val="24"/>
          <w:shd w:val="clear" w:color="auto" w:fill="FFFFFF"/>
        </w:rPr>
        <w:t>Pentru construcțiile existente monumente istorice sau de arhitectură, prevederile prezentei anexe au caracter de recomandare, urmând a fi luate, de la caz la caz, numai măsuri de îmbunătățire a siguranței la foc posibil de realizat, fără afectarea caracterului monumentului.</w:t>
      </w:r>
    </w:p>
    <w:p w14:paraId="0E053E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A.10. 1.1.5.</w:t>
      </w:r>
      <w:r>
        <w:rPr>
          <w:rFonts w:eastAsia="Calibri"/>
          <w:b/>
          <w:bCs/>
          <w:i/>
          <w:sz w:val="24"/>
          <w:szCs w:val="24"/>
          <w:shd w:val="clear" w:color="auto" w:fill="FFFFFF"/>
          <w:lang w:val="en-GB"/>
        </w:rPr>
        <w:t xml:space="preserve"> </w:t>
      </w:r>
      <w:r>
        <w:rPr>
          <w:rFonts w:eastAsia="Calibri"/>
          <w:i/>
          <w:sz w:val="24"/>
          <w:szCs w:val="24"/>
          <w:shd w:val="clear" w:color="auto" w:fill="FFFFFF"/>
        </w:rPr>
        <w:t>Pentru construcții și obiective existente ale structurilor de apărare națională, ordine publică și siguranță națională nominalizate prin ordine ale conducătorilor structurilor respective, prevederile prezentei anexe nu sunt obligatorii. La acestea se asigură măsurile de siguranță la foc stabilite de organele proprii de specialitate ale acestora, aprobate de conducătorii structurilor respective.</w:t>
      </w:r>
    </w:p>
    <w:p w14:paraId="7A43192A"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A.10. 1.1.6.</w:t>
      </w:r>
      <w:r>
        <w:rPr>
          <w:rFonts w:eastAsia="Calibri"/>
          <w:b/>
          <w:bCs/>
          <w:i/>
          <w:sz w:val="24"/>
          <w:szCs w:val="24"/>
          <w:shd w:val="clear" w:color="auto" w:fill="FFFFFF"/>
          <w:lang w:val="en-GB"/>
        </w:rPr>
        <w:t xml:space="preserve"> </w:t>
      </w:r>
      <w:r>
        <w:rPr>
          <w:rFonts w:eastAsia="Calibri"/>
          <w:i/>
          <w:sz w:val="24"/>
          <w:szCs w:val="24"/>
          <w:shd w:val="clear" w:color="auto" w:fill="FFFFFF"/>
        </w:rPr>
        <w:t xml:space="preserve">Se aplică condițiile prevăzute în </w:t>
      </w:r>
      <w:r>
        <w:rPr>
          <w:rFonts w:eastAsia="Calibri"/>
          <w:b/>
          <w:bCs/>
          <w:i/>
          <w:sz w:val="24"/>
          <w:szCs w:val="24"/>
          <w:shd w:val="clear" w:color="auto" w:fill="FFFFFF"/>
        </w:rPr>
        <w:t xml:space="preserve">”SECŢIUNEA I - 1.1. Obiect, domeniu de aplicare a CAPITOLULULUI 1 - 1. PREVEDERI GENERALE” </w:t>
      </w:r>
      <w:r>
        <w:rPr>
          <w:rFonts w:eastAsia="Calibri"/>
          <w:i/>
          <w:sz w:val="24"/>
          <w:szCs w:val="24"/>
          <w:shd w:val="clear" w:color="auto" w:fill="FFFFFF"/>
        </w:rPr>
        <w:t>din normativ, referitoare la:</w:t>
      </w:r>
    </w:p>
    <w:p w14:paraId="7B294CAD"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eastAsia="zh-CN" w:bidi="ar"/>
        </w:rPr>
      </w:pPr>
      <w:r>
        <w:rPr>
          <w:rFonts w:eastAsia="Calibri"/>
          <w:i/>
          <w:sz w:val="24"/>
          <w:szCs w:val="24"/>
          <w:shd w:val="clear" w:color="auto" w:fill="FFFFFF"/>
          <w:lang w:eastAsia="zh-CN" w:bidi="ar"/>
        </w:rPr>
        <w:t xml:space="preserve">prevederile generale, performanțele comune şi cele specifice care sunt obligatorii pentru toţi factorii cu atribuţii conform </w:t>
      </w:r>
      <w:r>
        <w:rPr>
          <w:rFonts w:eastAsia="Calibri"/>
          <w:b/>
          <w:bCs/>
          <w:i/>
          <w:sz w:val="24"/>
          <w:szCs w:val="24"/>
          <w:shd w:val="clear" w:color="auto" w:fill="FFFFFF"/>
          <w:lang w:eastAsia="zh-CN" w:bidi="ar"/>
        </w:rPr>
        <w:t xml:space="preserve">Art. 1.1.2. (1) </w:t>
      </w:r>
      <w:r>
        <w:rPr>
          <w:rFonts w:eastAsia="Calibri"/>
          <w:i/>
          <w:sz w:val="24"/>
          <w:szCs w:val="24"/>
          <w:shd w:val="clear" w:color="auto" w:fill="FFFFFF"/>
          <w:lang w:eastAsia="zh-CN" w:bidi="ar"/>
        </w:rPr>
        <w:t xml:space="preserve">și </w:t>
      </w:r>
      <w:r>
        <w:rPr>
          <w:rFonts w:eastAsia="Calibri"/>
          <w:b/>
          <w:bCs/>
          <w:i/>
          <w:sz w:val="24"/>
          <w:szCs w:val="24"/>
          <w:shd w:val="clear" w:color="auto" w:fill="FFFFFF"/>
          <w:lang w:eastAsia="zh-CN" w:bidi="ar"/>
        </w:rPr>
        <w:t>(2)</w:t>
      </w:r>
      <w:r>
        <w:rPr>
          <w:rFonts w:eastAsia="Calibri"/>
          <w:i/>
          <w:sz w:val="24"/>
          <w:szCs w:val="24"/>
          <w:shd w:val="clear" w:color="auto" w:fill="FFFFFF"/>
          <w:lang w:eastAsia="zh-CN" w:bidi="ar"/>
        </w:rPr>
        <w:t xml:space="preserve"> din normativ;</w:t>
      </w:r>
    </w:p>
    <w:p w14:paraId="7A6F82C1"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eastAsia="zh-CN" w:bidi="ar"/>
        </w:rPr>
      </w:pPr>
      <w:r>
        <w:rPr>
          <w:rFonts w:eastAsia="Calibri"/>
          <w:i/>
          <w:sz w:val="24"/>
          <w:szCs w:val="24"/>
          <w:shd w:val="clear" w:color="auto" w:fill="FFFFFF"/>
          <w:lang w:eastAsia="zh-CN" w:bidi="ar"/>
        </w:rPr>
        <w:t xml:space="preserve">măsurile luate vizând condiţiile de comportare la foc şi măsurile de securitate la incendiu asigurate de principalele materiale, produse şi elemente de construcţii şi instalaţii utilizate la proiectarea şi realizarea construcţiilor se prevăd conform </w:t>
      </w:r>
      <w:r>
        <w:rPr>
          <w:rFonts w:eastAsia="Calibri"/>
          <w:b/>
          <w:bCs/>
          <w:i/>
          <w:sz w:val="24"/>
          <w:szCs w:val="24"/>
          <w:shd w:val="clear" w:color="auto" w:fill="FFFFFF"/>
          <w:lang w:eastAsia="zh-CN" w:bidi="ar"/>
        </w:rPr>
        <w:t>Art. 1.1.10. (1)</w:t>
      </w:r>
      <w:r>
        <w:rPr>
          <w:rFonts w:eastAsia="Calibri"/>
          <w:i/>
          <w:sz w:val="24"/>
          <w:szCs w:val="24"/>
          <w:shd w:val="clear" w:color="auto" w:fill="FFFFFF"/>
          <w:lang w:eastAsia="zh-CN" w:bidi="ar"/>
        </w:rPr>
        <w:t xml:space="preserve"> din normativ;</w:t>
      </w:r>
    </w:p>
    <w:p w14:paraId="22F81456"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eastAsia="zh-CN" w:bidi="ar"/>
        </w:rPr>
      </w:pPr>
      <w:r>
        <w:rPr>
          <w:rFonts w:eastAsia="Calibri"/>
          <w:i/>
          <w:sz w:val="24"/>
          <w:szCs w:val="24"/>
          <w:shd w:val="clear" w:color="auto" w:fill="FFFFFF"/>
          <w:lang w:eastAsia="zh-CN" w:bidi="ar"/>
        </w:rPr>
        <w:t xml:space="preserve">evaluarea performanțelor de comportare la foc a elementelor de construcții vor respecta </w:t>
      </w:r>
      <w:r>
        <w:rPr>
          <w:rFonts w:eastAsia="Calibri"/>
          <w:b/>
          <w:bCs/>
          <w:i/>
          <w:sz w:val="24"/>
          <w:szCs w:val="24"/>
          <w:shd w:val="clear" w:color="auto" w:fill="FFFFFF"/>
          <w:lang w:eastAsia="zh-CN" w:bidi="ar"/>
        </w:rPr>
        <w:t xml:space="preserve">Art. 1.1.8. (1) </w:t>
      </w:r>
      <w:r>
        <w:rPr>
          <w:rFonts w:eastAsia="Calibri"/>
          <w:i/>
          <w:sz w:val="24"/>
          <w:szCs w:val="24"/>
          <w:shd w:val="clear" w:color="auto" w:fill="FFFFFF"/>
          <w:lang w:eastAsia="zh-CN" w:bidi="ar"/>
        </w:rPr>
        <w:t>din normativ.</w:t>
      </w:r>
    </w:p>
    <w:p w14:paraId="2230E237" w14:textId="77777777" w:rsidR="001C08A5" w:rsidRDefault="001C08A5">
      <w:pPr>
        <w:shd w:val="clear" w:color="auto" w:fill="FFFFFF"/>
        <w:spacing w:after="150"/>
        <w:jc w:val="both"/>
        <w:rPr>
          <w:rFonts w:eastAsia="Calibri"/>
          <w:b/>
          <w:bCs/>
          <w:i/>
          <w:sz w:val="24"/>
          <w:szCs w:val="24"/>
          <w:shd w:val="clear" w:color="auto" w:fill="FFFFFF"/>
        </w:rPr>
      </w:pPr>
    </w:p>
    <w:p w14:paraId="48630995" w14:textId="77777777" w:rsidR="001C08A5" w:rsidRDefault="00000000">
      <w:pPr>
        <w:pStyle w:val="Heading3"/>
        <w:rPr>
          <w:i/>
          <w:iCs/>
          <w:sz w:val="24"/>
          <w:szCs w:val="24"/>
        </w:rPr>
      </w:pPr>
      <w:bookmarkStart w:id="10275" w:name="_Toc162355515"/>
      <w:bookmarkStart w:id="10276" w:name="_Toc32617"/>
      <w:bookmarkStart w:id="10277" w:name="_Toc1451"/>
      <w:bookmarkStart w:id="10278" w:name="_Toc16543"/>
      <w:bookmarkStart w:id="10279" w:name="_Toc31971"/>
      <w:bookmarkStart w:id="10280" w:name="_Toc13659"/>
      <w:r>
        <w:rPr>
          <w:i/>
          <w:iCs/>
          <w:sz w:val="24"/>
          <w:szCs w:val="24"/>
        </w:rPr>
        <w:lastRenderedPageBreak/>
        <w:t>A.10. 1.2. TERMINOLOGIE, CLASIFICĂRI</w:t>
      </w:r>
      <w:bookmarkEnd w:id="10275"/>
      <w:bookmarkEnd w:id="10276"/>
      <w:bookmarkEnd w:id="10277"/>
      <w:bookmarkEnd w:id="10278"/>
      <w:bookmarkEnd w:id="10279"/>
      <w:bookmarkEnd w:id="10280"/>
    </w:p>
    <w:p w14:paraId="1A737C69" w14:textId="77777777" w:rsidR="001C08A5" w:rsidRDefault="001C08A5">
      <w:pPr>
        <w:rPr>
          <w:b/>
          <w:i/>
          <w:sz w:val="24"/>
          <w:szCs w:val="24"/>
        </w:rPr>
      </w:pPr>
    </w:p>
    <w:p w14:paraId="5B78957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A.10. 1.2.1.</w:t>
      </w:r>
      <w:r>
        <w:rPr>
          <w:rFonts w:eastAsia="Calibri"/>
          <w:b/>
          <w:i/>
          <w:sz w:val="24"/>
          <w:szCs w:val="24"/>
          <w:shd w:val="clear" w:color="auto" w:fill="FFFFFF"/>
          <w:lang w:val="en-GB"/>
        </w:rPr>
        <w:t xml:space="preserve"> </w:t>
      </w:r>
      <w:r>
        <w:rPr>
          <w:rFonts w:eastAsia="Calibri"/>
          <w:i/>
          <w:sz w:val="24"/>
          <w:szCs w:val="24"/>
          <w:shd w:val="clear" w:color="auto" w:fill="FFFFFF"/>
        </w:rPr>
        <w:t xml:space="preserve">Se aplică în conformitate cu </w:t>
      </w:r>
      <w:r>
        <w:rPr>
          <w:rFonts w:eastAsia="Calibri"/>
          <w:b/>
          <w:bCs/>
          <w:i/>
          <w:sz w:val="24"/>
          <w:szCs w:val="24"/>
          <w:shd w:val="clear" w:color="auto" w:fill="FFFFFF"/>
        </w:rPr>
        <w:t>”SECŢIUNEA  II / 1.2. Terminologie, clasificări”</w:t>
      </w:r>
      <w:r>
        <w:rPr>
          <w:rFonts w:eastAsia="Calibri"/>
          <w:i/>
          <w:sz w:val="24"/>
          <w:szCs w:val="24"/>
          <w:shd w:val="clear" w:color="auto" w:fill="FFFFFF"/>
        </w:rPr>
        <w:t xml:space="preserve"> din actualul normativ.</w:t>
      </w:r>
    </w:p>
    <w:p w14:paraId="3C0B07D1" w14:textId="77777777" w:rsidR="001C08A5" w:rsidRDefault="00000000">
      <w:pPr>
        <w:shd w:val="clear" w:color="auto" w:fill="FFFFFF"/>
        <w:spacing w:after="150"/>
        <w:jc w:val="both"/>
        <w:rPr>
          <w:rFonts w:eastAsia="Calibri"/>
          <w:bCs/>
          <w:i/>
          <w:sz w:val="24"/>
          <w:szCs w:val="24"/>
          <w:shd w:val="clear" w:color="auto" w:fill="FFFFFF"/>
          <w:lang w:val="en-GB"/>
        </w:rPr>
      </w:pPr>
      <w:r>
        <w:rPr>
          <w:rFonts w:eastAsia="Calibri"/>
          <w:b/>
          <w:i/>
          <w:sz w:val="24"/>
          <w:szCs w:val="24"/>
          <w:shd w:val="clear" w:color="auto" w:fill="FFFFFF"/>
        </w:rPr>
        <w:t>A.10. 1.2.2.</w:t>
      </w:r>
      <w:r>
        <w:rPr>
          <w:rFonts w:eastAsia="Calibri"/>
          <w:b/>
          <w:i/>
          <w:sz w:val="24"/>
          <w:szCs w:val="24"/>
          <w:shd w:val="clear" w:color="auto" w:fill="FFFFFF"/>
          <w:lang w:val="en-GB"/>
        </w:rPr>
        <w:t xml:space="preserve"> </w:t>
      </w:r>
      <w:r>
        <w:rPr>
          <w:rFonts w:eastAsia="Calibri"/>
          <w:bCs/>
          <w:i/>
          <w:sz w:val="24"/>
          <w:szCs w:val="24"/>
          <w:shd w:val="clear" w:color="auto" w:fill="FFFFFF"/>
          <w:lang w:val="en-GB"/>
        </w:rPr>
        <w:t>În sensul prezent</w:t>
      </w:r>
      <w:r>
        <w:rPr>
          <w:rFonts w:eastAsia="Calibri"/>
          <w:bCs/>
          <w:i/>
          <w:sz w:val="24"/>
          <w:szCs w:val="24"/>
          <w:shd w:val="clear" w:color="auto" w:fill="FFFFFF"/>
        </w:rPr>
        <w:t>ei anexe</w:t>
      </w:r>
      <w:r>
        <w:rPr>
          <w:rFonts w:eastAsia="Calibri"/>
          <w:bCs/>
          <w:i/>
          <w:sz w:val="24"/>
          <w:szCs w:val="24"/>
          <w:shd w:val="clear" w:color="auto" w:fill="FFFFFF"/>
          <w:lang w:val="en-GB"/>
        </w:rPr>
        <w:t>, terminologia şi clasificările utilizate au</w:t>
      </w:r>
      <w:r>
        <w:rPr>
          <w:rFonts w:eastAsia="Calibri"/>
          <w:bCs/>
          <w:i/>
          <w:sz w:val="24"/>
          <w:szCs w:val="24"/>
          <w:shd w:val="clear" w:color="auto" w:fill="FFFFFF"/>
        </w:rPr>
        <w:t xml:space="preserve"> </w:t>
      </w:r>
      <w:r>
        <w:rPr>
          <w:rFonts w:eastAsia="Calibri"/>
          <w:bCs/>
          <w:i/>
          <w:sz w:val="24"/>
          <w:szCs w:val="24"/>
          <w:shd w:val="clear" w:color="auto" w:fill="FFFFFF"/>
          <w:lang w:val="en-GB"/>
        </w:rPr>
        <w:t>semnificaţii</w:t>
      </w:r>
      <w:r>
        <w:rPr>
          <w:rFonts w:eastAsia="Calibri"/>
          <w:bCs/>
          <w:i/>
          <w:sz w:val="24"/>
          <w:szCs w:val="24"/>
          <w:shd w:val="clear" w:color="auto" w:fill="FFFFFF"/>
        </w:rPr>
        <w:t xml:space="preserve">le precizate </w:t>
      </w:r>
      <w:proofErr w:type="gramStart"/>
      <w:r>
        <w:rPr>
          <w:rFonts w:eastAsia="Calibri"/>
          <w:i/>
          <w:sz w:val="24"/>
          <w:szCs w:val="24"/>
          <w:shd w:val="clear" w:color="auto" w:fill="FFFFFF"/>
        </w:rPr>
        <w:t xml:space="preserve">la </w:t>
      </w:r>
      <w:r>
        <w:rPr>
          <w:rFonts w:eastAsia="Calibri"/>
          <w:b/>
          <w:bCs/>
          <w:i/>
          <w:sz w:val="24"/>
          <w:szCs w:val="24"/>
          <w:shd w:val="clear" w:color="auto" w:fill="FFFFFF"/>
        </w:rPr>
        <w:t>”SECŢIUNEA</w:t>
      </w:r>
      <w:proofErr w:type="gramEnd"/>
      <w:r>
        <w:rPr>
          <w:rFonts w:eastAsia="Calibri"/>
          <w:b/>
          <w:bCs/>
          <w:i/>
          <w:sz w:val="24"/>
          <w:szCs w:val="24"/>
          <w:shd w:val="clear" w:color="auto" w:fill="FFFFFF"/>
        </w:rPr>
        <w:t xml:space="preserve">  II 1.2. Terminologie, clasificări”</w:t>
      </w:r>
      <w:r>
        <w:rPr>
          <w:rFonts w:eastAsia="Calibri"/>
          <w:i/>
          <w:sz w:val="24"/>
          <w:szCs w:val="24"/>
          <w:shd w:val="clear" w:color="auto" w:fill="FFFFFF"/>
        </w:rPr>
        <w:t xml:space="preserve"> din normativ, precum și următoarele semnificații specifice prezentei anexe</w:t>
      </w:r>
      <w:r>
        <w:rPr>
          <w:rFonts w:eastAsia="Calibri"/>
          <w:bCs/>
          <w:i/>
          <w:sz w:val="24"/>
          <w:szCs w:val="24"/>
          <w:shd w:val="clear" w:color="auto" w:fill="FFFFFF"/>
          <w:lang w:val="en-GB"/>
        </w:rPr>
        <w:t>:</w:t>
      </w:r>
    </w:p>
    <w:p w14:paraId="0E37B3FF" w14:textId="77777777" w:rsidR="001C08A5" w:rsidRDefault="00000000">
      <w:pPr>
        <w:numPr>
          <w:ilvl w:val="0"/>
          <w:numId w:val="106"/>
        </w:numPr>
        <w:shd w:val="clear" w:color="auto" w:fill="FFFFFF"/>
        <w:spacing w:after="150"/>
        <w:jc w:val="both"/>
        <w:rPr>
          <w:rFonts w:eastAsia="Calibri"/>
          <w:bCs/>
          <w:i/>
          <w:sz w:val="24"/>
          <w:szCs w:val="24"/>
          <w:shd w:val="clear" w:color="auto" w:fill="FFFFFF"/>
        </w:rPr>
      </w:pPr>
      <w:r>
        <w:rPr>
          <w:rFonts w:eastAsia="Calibri"/>
          <w:b/>
          <w:i/>
          <w:sz w:val="24"/>
          <w:szCs w:val="24"/>
          <w:shd w:val="clear" w:color="auto" w:fill="FFFFFF"/>
        </w:rPr>
        <w:t>Clasa de combustibilitate</w:t>
      </w:r>
      <w:r>
        <w:rPr>
          <w:rFonts w:eastAsia="Calibri"/>
          <w:bCs/>
          <w:i/>
          <w:sz w:val="24"/>
          <w:szCs w:val="24"/>
          <w:shd w:val="clear" w:color="auto" w:fill="FFFFFF"/>
        </w:rPr>
        <w:t xml:space="preserve"> - caracteristică a unui material sau element, exprimată prin nivelul parametrilor specifici, determinaţi în urma unor încercări standardizate .</w:t>
      </w:r>
    </w:p>
    <w:p w14:paraId="0A00F3AA" w14:textId="77777777" w:rsidR="001C08A5" w:rsidRDefault="00000000">
      <w:pPr>
        <w:numPr>
          <w:ilvl w:val="0"/>
          <w:numId w:val="106"/>
        </w:numPr>
        <w:shd w:val="clear" w:color="auto" w:fill="FFFFFF"/>
        <w:spacing w:after="150"/>
        <w:jc w:val="both"/>
        <w:rPr>
          <w:rFonts w:eastAsia="Calibri"/>
          <w:bCs/>
          <w:i/>
          <w:sz w:val="24"/>
          <w:szCs w:val="24"/>
          <w:shd w:val="clear" w:color="auto" w:fill="FFFFFF"/>
        </w:rPr>
      </w:pPr>
      <w:r>
        <w:rPr>
          <w:rFonts w:eastAsia="Calibri"/>
          <w:b/>
          <w:i/>
          <w:sz w:val="24"/>
          <w:szCs w:val="24"/>
          <w:shd w:val="clear" w:color="auto" w:fill="FFFFFF"/>
        </w:rPr>
        <w:t>Combustibilitatea materialelor şi elementelor de construcţii</w:t>
      </w:r>
      <w:r>
        <w:rPr>
          <w:rFonts w:eastAsia="Calibri"/>
          <w:bCs/>
          <w:i/>
          <w:sz w:val="24"/>
          <w:szCs w:val="24"/>
          <w:shd w:val="clear" w:color="auto" w:fill="FFFFFF"/>
        </w:rPr>
        <w:t xml:space="preserve"> - Capacitatea acestora de a se aprinde şi arde în continuare, contribuind la creşterea cantităţii de căldură dezvoltată de incendiu. </w:t>
      </w:r>
      <w:r>
        <w:rPr>
          <w:rFonts w:eastAsia="Calibri"/>
          <w:i/>
          <w:sz w:val="24"/>
          <w:szCs w:val="24"/>
          <w:shd w:val="clear" w:color="auto" w:fill="FFFFFF"/>
        </w:rPr>
        <w:t xml:space="preserve">Materialele și substanțele ce se depozitează, se clasifică și în clase de periculozitate, simbolizate </w:t>
      </w:r>
      <w:r>
        <w:rPr>
          <w:rFonts w:eastAsia="Calibri"/>
          <w:b/>
          <w:bCs/>
          <w:i/>
          <w:sz w:val="24"/>
          <w:szCs w:val="24"/>
          <w:shd w:val="clear" w:color="auto" w:fill="FFFFFF"/>
        </w:rPr>
        <w:t>P1</w:t>
      </w:r>
      <w:r>
        <w:rPr>
          <w:rFonts w:eastAsia="Calibri"/>
          <w:i/>
          <w:sz w:val="24"/>
          <w:szCs w:val="24"/>
          <w:shd w:val="clear" w:color="auto" w:fill="FFFFFF"/>
        </w:rPr>
        <w:t xml:space="preserve"> la </w:t>
      </w:r>
      <w:r>
        <w:rPr>
          <w:rFonts w:eastAsia="Calibri"/>
          <w:b/>
          <w:bCs/>
          <w:i/>
          <w:sz w:val="24"/>
          <w:szCs w:val="24"/>
          <w:shd w:val="clear" w:color="auto" w:fill="FFFFFF"/>
        </w:rPr>
        <w:t>P5</w:t>
      </w:r>
      <w:r>
        <w:rPr>
          <w:rFonts w:eastAsia="Calibri"/>
          <w:i/>
          <w:sz w:val="24"/>
          <w:szCs w:val="24"/>
          <w:shd w:val="clear" w:color="auto" w:fill="FFFFFF"/>
        </w:rPr>
        <w:t>.</w:t>
      </w:r>
    </w:p>
    <w:p w14:paraId="619072CF" w14:textId="77777777" w:rsidR="001C08A5" w:rsidRDefault="00000000">
      <w:pPr>
        <w:shd w:val="clear" w:color="auto" w:fill="FFFFFF"/>
        <w:spacing w:after="150"/>
        <w:jc w:val="both"/>
        <w:rPr>
          <w:rFonts w:eastAsia="Calibri"/>
          <w:i/>
          <w:sz w:val="24"/>
          <w:szCs w:val="24"/>
          <w:shd w:val="clear" w:color="auto" w:fill="FFFFFF"/>
        </w:rPr>
      </w:pPr>
      <w:r>
        <w:rPr>
          <w:rFonts w:eastAsia="Calibri"/>
          <w:i/>
          <w:sz w:val="24"/>
          <w:szCs w:val="24"/>
          <w:shd w:val="clear" w:color="auto" w:fill="FFFFFF"/>
        </w:rPr>
        <w:t xml:space="preserve">În funcție de comportarea la foc, materialele și elementele de construcții, pot fi: </w:t>
      </w:r>
    </w:p>
    <w:p w14:paraId="7D9155EC" w14:textId="77777777" w:rsidR="001C08A5" w:rsidRDefault="00000000">
      <w:pPr>
        <w:shd w:val="clear" w:color="auto" w:fill="FFFFFF"/>
        <w:spacing w:after="150"/>
        <w:jc w:val="both"/>
        <w:rPr>
          <w:rFonts w:eastAsia="Calibri"/>
          <w:i/>
          <w:sz w:val="24"/>
          <w:szCs w:val="24"/>
          <w:shd w:val="clear" w:color="auto" w:fill="FFFFFF"/>
        </w:rPr>
      </w:pPr>
      <w:r>
        <w:rPr>
          <w:rFonts w:eastAsia="Calibri"/>
          <w:i/>
          <w:sz w:val="24"/>
          <w:szCs w:val="24"/>
          <w:shd w:val="clear" w:color="auto" w:fill="FFFFFF"/>
        </w:rPr>
        <w:t>- incombustibile (</w:t>
      </w:r>
      <w:r>
        <w:rPr>
          <w:rFonts w:eastAsia="Calibri"/>
          <w:b/>
          <w:bCs/>
          <w:i/>
          <w:sz w:val="24"/>
          <w:szCs w:val="24"/>
          <w:shd w:val="clear" w:color="auto" w:fill="FFFFFF"/>
        </w:rPr>
        <w:t>A1, A2s1d0</w:t>
      </w:r>
      <w:r>
        <w:rPr>
          <w:rFonts w:eastAsia="Calibri"/>
          <w:i/>
          <w:sz w:val="24"/>
          <w:szCs w:val="24"/>
          <w:shd w:val="clear" w:color="auto" w:fill="FFFFFF"/>
        </w:rPr>
        <w:t xml:space="preserve">) în conformitate cu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_Ref2275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139</w:t>
      </w:r>
      <w:r>
        <w:rPr>
          <w:rFonts w:eastAsia="Calibri"/>
          <w:b/>
          <w:bCs/>
          <w:i/>
          <w:iCs/>
          <w:sz w:val="24"/>
          <w:szCs w:val="24"/>
          <w:shd w:val="clear" w:color="auto" w:fill="FFFFFF"/>
        </w:rPr>
        <w:fldChar w:fldCharType="end"/>
      </w:r>
      <w:r>
        <w:rPr>
          <w:rFonts w:eastAsia="Calibri"/>
          <w:b/>
          <w:bCs/>
          <w:i/>
          <w:iCs/>
          <w:sz w:val="24"/>
          <w:szCs w:val="24"/>
          <w:shd w:val="clear" w:color="auto" w:fill="FFFFFF"/>
        </w:rPr>
        <w:t xml:space="preserve"> </w:t>
      </w:r>
    </w:p>
    <w:p w14:paraId="4B9A400F" w14:textId="77777777" w:rsidR="001C08A5" w:rsidRDefault="00000000">
      <w:pPr>
        <w:shd w:val="clear" w:color="auto" w:fill="FFFFFF"/>
        <w:spacing w:after="150"/>
        <w:jc w:val="both"/>
        <w:rPr>
          <w:rFonts w:eastAsia="Calibri"/>
          <w:i/>
          <w:sz w:val="24"/>
          <w:szCs w:val="24"/>
          <w:shd w:val="clear" w:color="auto" w:fill="FFFFFF"/>
        </w:rPr>
      </w:pPr>
      <w:r>
        <w:rPr>
          <w:rFonts w:eastAsia="Calibri"/>
          <w:i/>
          <w:sz w:val="24"/>
          <w:szCs w:val="24"/>
          <w:shd w:val="clear" w:color="auto" w:fill="FFFFFF"/>
        </w:rPr>
        <w:t xml:space="preserve">- combustibile în conformitate cu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_Ref2739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140</w:t>
      </w:r>
      <w:r>
        <w:rPr>
          <w:rFonts w:eastAsia="Calibri"/>
          <w:b/>
          <w:bCs/>
          <w:i/>
          <w:iCs/>
          <w:sz w:val="24"/>
          <w:szCs w:val="24"/>
          <w:shd w:val="clear" w:color="auto" w:fill="FFFFFF"/>
        </w:rPr>
        <w:fldChar w:fldCharType="end"/>
      </w:r>
      <w:r>
        <w:rPr>
          <w:rFonts w:eastAsia="Calibri"/>
          <w:b/>
          <w:bCs/>
          <w:i/>
          <w:iCs/>
          <w:sz w:val="24"/>
          <w:szCs w:val="24"/>
          <w:shd w:val="clear" w:color="auto" w:fill="FFFFFF"/>
        </w:rPr>
        <w:t xml:space="preserve"> </w:t>
      </w:r>
    </w:p>
    <w:p w14:paraId="77986D11" w14:textId="77777777" w:rsidR="001C08A5" w:rsidRDefault="00000000">
      <w:pPr>
        <w:pStyle w:val="Caption"/>
        <w:shd w:val="clear" w:color="auto" w:fill="FFFFFF"/>
        <w:spacing w:before="0" w:after="150"/>
        <w:jc w:val="both"/>
        <w:rPr>
          <w:rFonts w:eastAsia="Calibri" w:cs="Times New Roman"/>
          <w:bCs/>
          <w:shd w:val="clear" w:color="auto" w:fill="FFFFFF"/>
        </w:rPr>
      </w:pPr>
      <w:bookmarkStart w:id="10281" w:name="_Ref2275"/>
      <w:bookmarkStart w:id="10282" w:name="_Toc162360189"/>
      <w:r>
        <w:t xml:space="preserve">Tabelul </w:t>
      </w:r>
      <w:r>
        <w:fldChar w:fldCharType="begin"/>
      </w:r>
      <w:r>
        <w:instrText xml:space="preserve"> SEQ Tabelul \* ARABIC </w:instrText>
      </w:r>
      <w:r>
        <w:fldChar w:fldCharType="separate"/>
      </w:r>
      <w:r>
        <w:t>139</w:t>
      </w:r>
      <w:r>
        <w:fldChar w:fldCharType="end"/>
      </w:r>
      <w:bookmarkStart w:id="10283" w:name="_Toc11898"/>
      <w:bookmarkStart w:id="10284" w:name="_Toc14858"/>
      <w:bookmarkStart w:id="10285" w:name="_Toc24648"/>
      <w:bookmarkStart w:id="10286" w:name="_Toc24265"/>
      <w:bookmarkStart w:id="10287" w:name="_Toc21156"/>
      <w:bookmarkStart w:id="10288" w:name="_Toc30551"/>
      <w:bookmarkStart w:id="10289" w:name="_Toc1753"/>
      <w:bookmarkStart w:id="10290" w:name="_Toc2733"/>
      <w:bookmarkStart w:id="10291" w:name="_Toc11793"/>
      <w:bookmarkStart w:id="10292" w:name="_Toc20741"/>
      <w:bookmarkStart w:id="10293" w:name="_Toc19699"/>
      <w:bookmarkStart w:id="10294" w:name="_Toc21461"/>
      <w:bookmarkEnd w:id="10281"/>
      <w:r>
        <w:t xml:space="preserve">: </w:t>
      </w:r>
      <w:r>
        <w:rPr>
          <w:rFonts w:eastAsia="Calibri" w:cs="Times New Roman"/>
          <w:bCs/>
          <w:shd w:val="clear" w:color="auto" w:fill="FFFFFF"/>
        </w:rPr>
        <w:t>Materiale și elemente de construcție incombustibile (la construcții existente)</w:t>
      </w:r>
      <w:bookmarkEnd w:id="10282"/>
      <w:r>
        <w:rPr>
          <w:rFonts w:eastAsia="Calibri" w:cs="Times New Roman"/>
          <w:bCs/>
          <w:shd w:val="clear" w:color="auto" w:fill="FFFFFF"/>
        </w:rPr>
        <w:t xml:space="preserve"> </w:t>
      </w:r>
      <w:bookmarkEnd w:id="10283"/>
      <w:bookmarkEnd w:id="10284"/>
      <w:bookmarkEnd w:id="10285"/>
      <w:bookmarkEnd w:id="10286"/>
      <w:bookmarkEnd w:id="10287"/>
      <w:bookmarkEnd w:id="10288"/>
      <w:bookmarkEnd w:id="10289"/>
      <w:bookmarkEnd w:id="10290"/>
      <w:bookmarkEnd w:id="10291"/>
      <w:bookmarkEnd w:id="10292"/>
      <w:bookmarkEnd w:id="10293"/>
      <w:bookmarkEnd w:id="10294"/>
    </w:p>
    <w:tbl>
      <w:tblPr>
        <w:tblW w:w="7215" w:type="dxa"/>
        <w:tblCellMar>
          <w:top w:w="15" w:type="dxa"/>
          <w:left w:w="15" w:type="dxa"/>
          <w:bottom w:w="15" w:type="dxa"/>
          <w:right w:w="15" w:type="dxa"/>
        </w:tblCellMar>
        <w:tblLook w:val="04A0" w:firstRow="1" w:lastRow="0" w:firstColumn="1" w:lastColumn="0" w:noHBand="0" w:noVBand="1"/>
      </w:tblPr>
      <w:tblGrid>
        <w:gridCol w:w="2447"/>
        <w:gridCol w:w="473"/>
        <w:gridCol w:w="1964"/>
        <w:gridCol w:w="2331"/>
      </w:tblGrid>
      <w:tr w:rsidR="001C08A5" w14:paraId="004CE776" w14:textId="77777777">
        <w:trPr>
          <w:trHeight w:val="251"/>
        </w:trPr>
        <w:tc>
          <w:tcPr>
            <w:tcW w:w="2447"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D9D1B6A" w14:textId="77777777" w:rsidR="001C08A5" w:rsidRDefault="00000000">
            <w:pPr>
              <w:shd w:val="clear" w:color="auto" w:fill="FFFFFF"/>
              <w:jc w:val="center"/>
              <w:rPr>
                <w:b/>
                <w:bCs/>
                <w:i/>
                <w:sz w:val="22"/>
                <w:szCs w:val="22"/>
              </w:rPr>
            </w:pPr>
            <w:r>
              <w:rPr>
                <w:b/>
                <w:bCs/>
                <w:i/>
                <w:sz w:val="22"/>
                <w:szCs w:val="22"/>
                <w:lang w:val="en-US" w:eastAsia="zh-CN"/>
              </w:rPr>
              <w:t xml:space="preserve">Clasa de </w:t>
            </w:r>
            <w:r>
              <w:rPr>
                <w:b/>
                <w:bCs/>
                <w:i/>
                <w:sz w:val="22"/>
                <w:szCs w:val="22"/>
                <w:lang w:eastAsia="zh-CN"/>
              </w:rPr>
              <w:t>combustibilitate</w:t>
            </w:r>
          </w:p>
        </w:tc>
        <w:tc>
          <w:tcPr>
            <w:tcW w:w="2437" w:type="dxa"/>
            <w:gridSpan w:val="2"/>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F317D42" w14:textId="77777777" w:rsidR="001C08A5" w:rsidRDefault="00000000">
            <w:pPr>
              <w:shd w:val="clear" w:color="auto" w:fill="FFFFFF"/>
              <w:jc w:val="center"/>
              <w:rPr>
                <w:b/>
                <w:bCs/>
                <w:i/>
                <w:sz w:val="22"/>
                <w:szCs w:val="22"/>
              </w:rPr>
            </w:pPr>
            <w:r>
              <w:rPr>
                <w:b/>
                <w:bCs/>
                <w:i/>
                <w:sz w:val="22"/>
                <w:szCs w:val="22"/>
                <w:lang w:val="en-US" w:eastAsia="zh-CN"/>
              </w:rPr>
              <w:t>Clasa de reacţie la foc</w:t>
            </w:r>
          </w:p>
        </w:tc>
        <w:tc>
          <w:tcPr>
            <w:tcW w:w="2331"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89F3F52" w14:textId="77777777" w:rsidR="001C08A5" w:rsidRDefault="00000000">
            <w:pPr>
              <w:shd w:val="clear" w:color="auto" w:fill="FFFFFF"/>
              <w:jc w:val="center"/>
              <w:rPr>
                <w:b/>
                <w:bCs/>
                <w:i/>
                <w:sz w:val="22"/>
                <w:szCs w:val="22"/>
                <w:lang w:eastAsia="zh-CN"/>
              </w:rPr>
            </w:pPr>
            <w:r>
              <w:rPr>
                <w:b/>
                <w:bCs/>
                <w:i/>
                <w:sz w:val="22"/>
                <w:szCs w:val="22"/>
                <w:lang w:eastAsia="zh-CN"/>
              </w:rPr>
              <w:t>Sintetizare în anexă</w:t>
            </w:r>
          </w:p>
        </w:tc>
      </w:tr>
      <w:tr w:rsidR="001C08A5" w14:paraId="269A05FC" w14:textId="77777777">
        <w:trPr>
          <w:trHeight w:val="164"/>
        </w:trPr>
        <w:tc>
          <w:tcPr>
            <w:tcW w:w="2447" w:type="dxa"/>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15855F6" w14:textId="77777777" w:rsidR="001C08A5" w:rsidRDefault="00000000">
            <w:pPr>
              <w:shd w:val="clear" w:color="auto" w:fill="FFFFFF"/>
              <w:jc w:val="center"/>
              <w:rPr>
                <w:i/>
                <w:sz w:val="22"/>
                <w:szCs w:val="22"/>
              </w:rPr>
            </w:pPr>
            <w:r>
              <w:rPr>
                <w:i/>
                <w:sz w:val="22"/>
                <w:szCs w:val="22"/>
                <w:lang w:eastAsia="zh-CN"/>
              </w:rPr>
              <w:t>incombustibile</w:t>
            </w:r>
          </w:p>
        </w:tc>
        <w:tc>
          <w:tcPr>
            <w:tcW w:w="473"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4E68BC5" w14:textId="77777777" w:rsidR="001C08A5" w:rsidRDefault="00000000">
            <w:pPr>
              <w:shd w:val="clear" w:color="auto" w:fill="FFFFFF"/>
              <w:jc w:val="center"/>
              <w:rPr>
                <w:b/>
                <w:bCs/>
                <w:i/>
                <w:sz w:val="22"/>
                <w:szCs w:val="22"/>
              </w:rPr>
            </w:pPr>
            <w:r>
              <w:rPr>
                <w:b/>
                <w:bCs/>
                <w:i/>
                <w:sz w:val="22"/>
                <w:szCs w:val="22"/>
                <w:lang w:val="en-US" w:eastAsia="zh-CN"/>
              </w:rPr>
              <w:t>A1</w:t>
            </w:r>
          </w:p>
        </w:tc>
        <w:tc>
          <w:tcPr>
            <w:tcW w:w="1964"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B8CDEC8" w14:textId="77777777" w:rsidR="001C08A5" w:rsidRDefault="00000000">
            <w:pPr>
              <w:shd w:val="clear" w:color="auto" w:fill="FFFFFF"/>
              <w:jc w:val="center"/>
              <w:rPr>
                <w:b/>
                <w:bCs/>
                <w:i/>
                <w:sz w:val="22"/>
                <w:szCs w:val="22"/>
              </w:rPr>
            </w:pPr>
            <w:r>
              <w:rPr>
                <w:b/>
                <w:bCs/>
                <w:i/>
                <w:sz w:val="22"/>
                <w:szCs w:val="22"/>
                <w:lang w:val="en-US" w:eastAsia="zh-CN"/>
              </w:rPr>
              <w:t>-</w:t>
            </w:r>
          </w:p>
        </w:tc>
        <w:tc>
          <w:tcPr>
            <w:tcW w:w="2331" w:type="dxa"/>
            <w:vMerge w:val="restart"/>
            <w:tcBorders>
              <w:top w:val="single" w:sz="6" w:space="0" w:color="333333"/>
              <w:left w:val="single" w:sz="6" w:space="0" w:color="333333"/>
              <w:right w:val="single" w:sz="6" w:space="0" w:color="333333"/>
            </w:tcBorders>
            <w:tcMar>
              <w:top w:w="0" w:type="dxa"/>
              <w:left w:w="0" w:type="dxa"/>
              <w:bottom w:w="0" w:type="dxa"/>
              <w:right w:w="0" w:type="dxa"/>
            </w:tcMar>
            <w:vAlign w:val="center"/>
          </w:tcPr>
          <w:p w14:paraId="564B6CCE" w14:textId="77777777" w:rsidR="001C08A5" w:rsidRDefault="00000000">
            <w:pPr>
              <w:shd w:val="clear" w:color="auto" w:fill="FFFFFF"/>
              <w:jc w:val="center"/>
              <w:rPr>
                <w:i/>
                <w:sz w:val="22"/>
                <w:szCs w:val="22"/>
                <w:lang w:val="en-US" w:eastAsia="zh-CN"/>
              </w:rPr>
            </w:pPr>
            <w:r>
              <w:rPr>
                <w:b/>
                <w:bCs/>
                <w:i/>
                <w:sz w:val="22"/>
                <w:szCs w:val="22"/>
              </w:rPr>
              <w:t>A1, A2s1d0</w:t>
            </w:r>
          </w:p>
        </w:tc>
      </w:tr>
      <w:tr w:rsidR="001C08A5" w14:paraId="386EE48E" w14:textId="77777777">
        <w:trPr>
          <w:trHeight w:val="165"/>
        </w:trPr>
        <w:tc>
          <w:tcPr>
            <w:tcW w:w="2447" w:type="dxa"/>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DE464A4" w14:textId="77777777" w:rsidR="001C08A5" w:rsidRDefault="001C08A5">
            <w:pPr>
              <w:shd w:val="clear" w:color="auto" w:fill="FFFFFF"/>
              <w:jc w:val="center"/>
              <w:rPr>
                <w:i/>
                <w:sz w:val="22"/>
                <w:szCs w:val="22"/>
              </w:rPr>
            </w:pPr>
          </w:p>
        </w:tc>
        <w:tc>
          <w:tcPr>
            <w:tcW w:w="473"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DF5EE73" w14:textId="77777777" w:rsidR="001C08A5" w:rsidRDefault="00000000">
            <w:pPr>
              <w:shd w:val="clear" w:color="auto" w:fill="FFFFFF"/>
              <w:jc w:val="center"/>
              <w:rPr>
                <w:b/>
                <w:bCs/>
                <w:i/>
                <w:sz w:val="22"/>
                <w:szCs w:val="22"/>
              </w:rPr>
            </w:pPr>
            <w:r>
              <w:rPr>
                <w:b/>
                <w:bCs/>
                <w:i/>
                <w:sz w:val="22"/>
                <w:szCs w:val="22"/>
                <w:lang w:val="en-US" w:eastAsia="zh-CN"/>
              </w:rPr>
              <w:t>A2</w:t>
            </w:r>
          </w:p>
        </w:tc>
        <w:tc>
          <w:tcPr>
            <w:tcW w:w="1964"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EC989D2" w14:textId="77777777" w:rsidR="001C08A5" w:rsidRDefault="00000000">
            <w:pPr>
              <w:shd w:val="clear" w:color="auto" w:fill="FFFFFF"/>
              <w:jc w:val="center"/>
              <w:rPr>
                <w:b/>
                <w:bCs/>
                <w:i/>
                <w:sz w:val="22"/>
                <w:szCs w:val="22"/>
              </w:rPr>
            </w:pPr>
            <w:r>
              <w:rPr>
                <w:b/>
                <w:bCs/>
                <w:i/>
                <w:sz w:val="22"/>
                <w:szCs w:val="22"/>
                <w:lang w:val="en-US" w:eastAsia="zh-CN"/>
              </w:rPr>
              <w:t>s1, d0</w:t>
            </w:r>
          </w:p>
        </w:tc>
        <w:tc>
          <w:tcPr>
            <w:tcW w:w="2331" w:type="dxa"/>
            <w:vMerge/>
            <w:tcBorders>
              <w:left w:val="single" w:sz="6" w:space="0" w:color="333333"/>
              <w:bottom w:val="single" w:sz="6" w:space="0" w:color="333333"/>
              <w:right w:val="single" w:sz="6" w:space="0" w:color="333333"/>
            </w:tcBorders>
            <w:tcMar>
              <w:top w:w="0" w:type="dxa"/>
              <w:left w:w="0" w:type="dxa"/>
              <w:bottom w:w="0" w:type="dxa"/>
              <w:right w:w="0" w:type="dxa"/>
            </w:tcMar>
            <w:vAlign w:val="center"/>
          </w:tcPr>
          <w:p w14:paraId="34B9012D" w14:textId="77777777" w:rsidR="001C08A5" w:rsidRDefault="001C08A5">
            <w:pPr>
              <w:shd w:val="clear" w:color="auto" w:fill="FFFFFF"/>
              <w:jc w:val="center"/>
              <w:rPr>
                <w:i/>
                <w:sz w:val="22"/>
                <w:szCs w:val="22"/>
                <w:lang w:val="en-US" w:eastAsia="zh-CN"/>
              </w:rPr>
            </w:pPr>
          </w:p>
        </w:tc>
      </w:tr>
    </w:tbl>
    <w:p w14:paraId="1142E0D3" w14:textId="77777777" w:rsidR="001C08A5" w:rsidRDefault="001C08A5">
      <w:pPr>
        <w:shd w:val="clear" w:color="auto" w:fill="FFFFFF"/>
        <w:spacing w:after="150"/>
        <w:jc w:val="both"/>
        <w:rPr>
          <w:rFonts w:eastAsia="Calibri"/>
          <w:b/>
          <w:bCs/>
          <w:i/>
          <w:sz w:val="24"/>
          <w:szCs w:val="24"/>
          <w:shd w:val="clear" w:color="auto" w:fill="FFFFFF"/>
        </w:rPr>
      </w:pPr>
    </w:p>
    <w:p w14:paraId="4DB7ABD5" w14:textId="77777777" w:rsidR="001C08A5" w:rsidRDefault="00000000">
      <w:pPr>
        <w:pStyle w:val="Caption"/>
        <w:shd w:val="clear" w:color="auto" w:fill="FFFFFF"/>
        <w:spacing w:before="0" w:after="150"/>
        <w:jc w:val="both"/>
        <w:rPr>
          <w:rFonts w:eastAsia="Calibri" w:cs="Times New Roman"/>
          <w:bCs/>
        </w:rPr>
      </w:pPr>
      <w:bookmarkStart w:id="10295" w:name="_Ref2739"/>
      <w:bookmarkStart w:id="10296" w:name="_Toc162360190"/>
      <w:r>
        <w:t xml:space="preserve">Tabelul </w:t>
      </w:r>
      <w:r>
        <w:fldChar w:fldCharType="begin"/>
      </w:r>
      <w:r>
        <w:instrText xml:space="preserve"> SEQ Tabelul \* ARABIC </w:instrText>
      </w:r>
      <w:r>
        <w:fldChar w:fldCharType="separate"/>
      </w:r>
      <w:r>
        <w:t>140</w:t>
      </w:r>
      <w:r>
        <w:fldChar w:fldCharType="end"/>
      </w:r>
      <w:bookmarkStart w:id="10297" w:name="_Toc5332"/>
      <w:bookmarkStart w:id="10298" w:name="_Toc27496"/>
      <w:bookmarkStart w:id="10299" w:name="_Toc14407"/>
      <w:bookmarkStart w:id="10300" w:name="_Toc25945"/>
      <w:bookmarkStart w:id="10301" w:name="_Toc13157"/>
      <w:bookmarkStart w:id="10302" w:name="_Toc31"/>
      <w:bookmarkStart w:id="10303" w:name="_Toc26195"/>
      <w:bookmarkStart w:id="10304" w:name="_Toc30228"/>
      <w:bookmarkStart w:id="10305" w:name="_Toc2599"/>
      <w:bookmarkStart w:id="10306" w:name="_Toc1289"/>
      <w:bookmarkStart w:id="10307" w:name="_Toc17120"/>
      <w:bookmarkStart w:id="10308" w:name="_Toc31801"/>
      <w:bookmarkEnd w:id="10295"/>
      <w:r>
        <w:t xml:space="preserve">: </w:t>
      </w:r>
      <w:r>
        <w:rPr>
          <w:rFonts w:eastAsia="Calibri" w:cs="Times New Roman"/>
          <w:bCs/>
          <w:shd w:val="clear" w:color="auto" w:fill="FFFFFF"/>
        </w:rPr>
        <w:t>Materiale și elemente de construcție combustibile (la construcții existente)</w:t>
      </w:r>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p>
    <w:tbl>
      <w:tblPr>
        <w:tblW w:w="7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31"/>
        <w:gridCol w:w="1764"/>
        <w:gridCol w:w="528"/>
        <w:gridCol w:w="1961"/>
        <w:gridCol w:w="2331"/>
      </w:tblGrid>
      <w:tr w:rsidR="001C08A5" w14:paraId="691C256A" w14:textId="77777777">
        <w:trPr>
          <w:trHeight w:val="789"/>
        </w:trPr>
        <w:tc>
          <w:tcPr>
            <w:tcW w:w="631" w:type="dxa"/>
            <w:tcMar>
              <w:top w:w="0" w:type="dxa"/>
              <w:left w:w="0" w:type="dxa"/>
              <w:bottom w:w="0" w:type="dxa"/>
              <w:right w:w="0" w:type="dxa"/>
            </w:tcMar>
            <w:vAlign w:val="center"/>
          </w:tcPr>
          <w:p w14:paraId="1A47F887" w14:textId="77777777" w:rsidR="001C08A5" w:rsidRDefault="00000000">
            <w:pPr>
              <w:jc w:val="center"/>
              <w:rPr>
                <w:b/>
                <w:bCs/>
                <w:i/>
                <w:sz w:val="22"/>
                <w:szCs w:val="22"/>
              </w:rPr>
            </w:pPr>
            <w:r>
              <w:rPr>
                <w:b/>
                <w:bCs/>
                <w:i/>
                <w:sz w:val="22"/>
                <w:szCs w:val="22"/>
              </w:rPr>
              <w:t>Nr. Crt.</w:t>
            </w:r>
          </w:p>
        </w:tc>
        <w:tc>
          <w:tcPr>
            <w:tcW w:w="1764" w:type="dxa"/>
            <w:vMerge w:val="restart"/>
            <w:tcMar>
              <w:top w:w="0" w:type="dxa"/>
              <w:left w:w="0" w:type="dxa"/>
              <w:bottom w:w="0" w:type="dxa"/>
              <w:right w:w="0" w:type="dxa"/>
            </w:tcMar>
            <w:vAlign w:val="center"/>
          </w:tcPr>
          <w:p w14:paraId="561606F8" w14:textId="77777777" w:rsidR="001C08A5" w:rsidRDefault="00000000">
            <w:pPr>
              <w:jc w:val="center"/>
              <w:rPr>
                <w:b/>
                <w:bCs/>
                <w:i/>
                <w:sz w:val="22"/>
                <w:szCs w:val="22"/>
              </w:rPr>
            </w:pPr>
            <w:r>
              <w:rPr>
                <w:b/>
                <w:bCs/>
                <w:i/>
                <w:sz w:val="22"/>
                <w:szCs w:val="22"/>
                <w:lang w:val="en-US" w:eastAsia="zh-CN"/>
              </w:rPr>
              <w:t xml:space="preserve">Clasa de </w:t>
            </w:r>
            <w:r>
              <w:rPr>
                <w:b/>
                <w:bCs/>
                <w:i/>
                <w:sz w:val="22"/>
                <w:szCs w:val="22"/>
                <w:lang w:eastAsia="zh-CN"/>
              </w:rPr>
              <w:t>combustibilitate</w:t>
            </w:r>
          </w:p>
        </w:tc>
        <w:tc>
          <w:tcPr>
            <w:tcW w:w="2489" w:type="dxa"/>
            <w:gridSpan w:val="2"/>
            <w:tcMar>
              <w:top w:w="0" w:type="dxa"/>
              <w:left w:w="0" w:type="dxa"/>
              <w:bottom w:w="0" w:type="dxa"/>
              <w:right w:w="0" w:type="dxa"/>
            </w:tcMar>
            <w:vAlign w:val="center"/>
          </w:tcPr>
          <w:p w14:paraId="26162D37" w14:textId="77777777" w:rsidR="001C08A5" w:rsidRDefault="00000000">
            <w:pPr>
              <w:jc w:val="center"/>
              <w:rPr>
                <w:b/>
                <w:bCs/>
                <w:i/>
                <w:sz w:val="22"/>
                <w:szCs w:val="22"/>
              </w:rPr>
            </w:pPr>
            <w:r>
              <w:rPr>
                <w:b/>
                <w:bCs/>
                <w:i/>
                <w:sz w:val="22"/>
                <w:szCs w:val="22"/>
                <w:lang w:val="en-US" w:eastAsia="zh-CN"/>
              </w:rPr>
              <w:t>Clasa de reacţie la foc</w:t>
            </w:r>
          </w:p>
        </w:tc>
        <w:tc>
          <w:tcPr>
            <w:tcW w:w="2331" w:type="dxa"/>
            <w:vMerge w:val="restart"/>
            <w:tcMar>
              <w:top w:w="0" w:type="dxa"/>
              <w:left w:w="0" w:type="dxa"/>
              <w:bottom w:w="0" w:type="dxa"/>
              <w:right w:w="0" w:type="dxa"/>
            </w:tcMar>
            <w:vAlign w:val="center"/>
          </w:tcPr>
          <w:p w14:paraId="3BD157A5" w14:textId="77777777" w:rsidR="001C08A5" w:rsidRDefault="00000000">
            <w:pPr>
              <w:jc w:val="center"/>
              <w:rPr>
                <w:b/>
                <w:bCs/>
                <w:i/>
                <w:sz w:val="22"/>
                <w:szCs w:val="22"/>
                <w:lang w:val="en-US" w:eastAsia="zh-CN"/>
              </w:rPr>
            </w:pPr>
            <w:r>
              <w:rPr>
                <w:b/>
                <w:bCs/>
                <w:i/>
                <w:sz w:val="22"/>
                <w:szCs w:val="22"/>
                <w:lang w:eastAsia="zh-CN"/>
              </w:rPr>
              <w:t>Sintetizare în anexă</w:t>
            </w:r>
          </w:p>
        </w:tc>
      </w:tr>
      <w:tr w:rsidR="001C08A5" w14:paraId="71084C6C" w14:textId="77777777">
        <w:trPr>
          <w:trHeight w:val="193"/>
        </w:trPr>
        <w:tc>
          <w:tcPr>
            <w:tcW w:w="631" w:type="dxa"/>
            <w:vMerge w:val="restart"/>
            <w:tcMar>
              <w:top w:w="0" w:type="dxa"/>
              <w:left w:w="0" w:type="dxa"/>
              <w:bottom w:w="0" w:type="dxa"/>
              <w:right w:w="0" w:type="dxa"/>
            </w:tcMar>
            <w:vAlign w:val="center"/>
          </w:tcPr>
          <w:p w14:paraId="77D4307E" w14:textId="77777777" w:rsidR="001C08A5" w:rsidRDefault="00000000">
            <w:pPr>
              <w:jc w:val="center"/>
              <w:rPr>
                <w:b/>
                <w:bCs/>
                <w:i/>
                <w:sz w:val="22"/>
                <w:szCs w:val="22"/>
              </w:rPr>
            </w:pPr>
            <w:r>
              <w:rPr>
                <w:b/>
                <w:bCs/>
                <w:i/>
                <w:sz w:val="22"/>
                <w:szCs w:val="22"/>
              </w:rPr>
              <w:t>1.</w:t>
            </w:r>
          </w:p>
        </w:tc>
        <w:tc>
          <w:tcPr>
            <w:tcW w:w="1764" w:type="dxa"/>
            <w:vMerge w:val="restart"/>
            <w:tcMar>
              <w:top w:w="0" w:type="dxa"/>
              <w:left w:w="0" w:type="dxa"/>
              <w:bottom w:w="0" w:type="dxa"/>
              <w:right w:w="0" w:type="dxa"/>
            </w:tcMar>
            <w:vAlign w:val="center"/>
          </w:tcPr>
          <w:p w14:paraId="22553B93" w14:textId="77777777" w:rsidR="001C08A5" w:rsidRDefault="00000000">
            <w:pPr>
              <w:jc w:val="center"/>
              <w:rPr>
                <w:i/>
                <w:sz w:val="22"/>
                <w:szCs w:val="22"/>
                <w:lang w:val="en-US" w:eastAsia="zh-CN"/>
              </w:rPr>
            </w:pPr>
            <w:r>
              <w:rPr>
                <w:i/>
                <w:sz w:val="22"/>
                <w:szCs w:val="22"/>
                <w:lang w:val="en-US" w:eastAsia="zh-CN"/>
              </w:rPr>
              <w:t>practic neinflamabile</w:t>
            </w:r>
          </w:p>
          <w:p w14:paraId="3ADB3C29" w14:textId="77777777" w:rsidR="001C08A5" w:rsidRDefault="00000000">
            <w:pPr>
              <w:jc w:val="center"/>
              <w:rPr>
                <w:i/>
                <w:sz w:val="22"/>
                <w:szCs w:val="22"/>
              </w:rPr>
            </w:pPr>
            <w:r>
              <w:rPr>
                <w:i/>
                <w:sz w:val="22"/>
                <w:szCs w:val="22"/>
                <w:lang w:val="en-US" w:eastAsia="zh-CN"/>
              </w:rPr>
              <w:t>C1 (CA2a)</w:t>
            </w:r>
          </w:p>
        </w:tc>
        <w:tc>
          <w:tcPr>
            <w:tcW w:w="528" w:type="dxa"/>
            <w:vMerge w:val="restart"/>
            <w:tcMar>
              <w:top w:w="0" w:type="dxa"/>
              <w:left w:w="0" w:type="dxa"/>
              <w:bottom w:w="0" w:type="dxa"/>
              <w:right w:w="0" w:type="dxa"/>
            </w:tcMar>
            <w:vAlign w:val="center"/>
          </w:tcPr>
          <w:p w14:paraId="079FCEDC" w14:textId="77777777" w:rsidR="001C08A5" w:rsidRDefault="00000000">
            <w:pPr>
              <w:jc w:val="center"/>
              <w:rPr>
                <w:b/>
                <w:bCs/>
                <w:i/>
                <w:sz w:val="22"/>
                <w:szCs w:val="22"/>
              </w:rPr>
            </w:pPr>
            <w:r>
              <w:rPr>
                <w:b/>
                <w:bCs/>
                <w:i/>
                <w:sz w:val="22"/>
                <w:szCs w:val="22"/>
                <w:lang w:val="en-US" w:eastAsia="zh-CN"/>
              </w:rPr>
              <w:t>A2</w:t>
            </w:r>
          </w:p>
        </w:tc>
        <w:tc>
          <w:tcPr>
            <w:tcW w:w="1961" w:type="dxa"/>
            <w:tcMar>
              <w:top w:w="0" w:type="dxa"/>
              <w:left w:w="0" w:type="dxa"/>
              <w:bottom w:w="0" w:type="dxa"/>
              <w:right w:w="0" w:type="dxa"/>
            </w:tcMar>
            <w:vAlign w:val="center"/>
          </w:tcPr>
          <w:p w14:paraId="18CF78DC" w14:textId="77777777" w:rsidR="001C08A5" w:rsidRDefault="00000000">
            <w:pPr>
              <w:jc w:val="center"/>
              <w:rPr>
                <w:b/>
                <w:bCs/>
                <w:i/>
                <w:sz w:val="22"/>
                <w:szCs w:val="22"/>
              </w:rPr>
            </w:pPr>
            <w:r>
              <w:rPr>
                <w:b/>
                <w:bCs/>
                <w:i/>
                <w:sz w:val="22"/>
                <w:szCs w:val="22"/>
                <w:lang w:val="en-US" w:eastAsia="zh-CN"/>
              </w:rPr>
              <w:t>s1, d1</w:t>
            </w:r>
          </w:p>
        </w:tc>
        <w:tc>
          <w:tcPr>
            <w:tcW w:w="2331" w:type="dxa"/>
            <w:vMerge w:val="restart"/>
            <w:tcMar>
              <w:top w:w="0" w:type="dxa"/>
              <w:left w:w="0" w:type="dxa"/>
              <w:bottom w:w="0" w:type="dxa"/>
              <w:right w:w="0" w:type="dxa"/>
            </w:tcMar>
            <w:vAlign w:val="center"/>
          </w:tcPr>
          <w:p w14:paraId="6A5C4678" w14:textId="77777777" w:rsidR="001C08A5" w:rsidRDefault="00000000">
            <w:pPr>
              <w:jc w:val="center"/>
              <w:rPr>
                <w:b/>
                <w:bCs/>
                <w:i/>
                <w:sz w:val="22"/>
                <w:szCs w:val="22"/>
                <w:lang w:val="en-US" w:eastAsia="zh-CN"/>
              </w:rPr>
            </w:pPr>
            <w:r>
              <w:rPr>
                <w:b/>
                <w:bCs/>
                <w:i/>
                <w:sz w:val="22"/>
                <w:szCs w:val="22"/>
                <w:lang w:eastAsia="zh-CN"/>
              </w:rPr>
              <w:t>A2s1÷s3,d0÷d1; Bs1÷s3,d0÷d1</w:t>
            </w:r>
          </w:p>
        </w:tc>
      </w:tr>
      <w:tr w:rsidR="001C08A5" w14:paraId="28128F5C" w14:textId="77777777">
        <w:trPr>
          <w:trHeight w:val="139"/>
        </w:trPr>
        <w:tc>
          <w:tcPr>
            <w:tcW w:w="631" w:type="dxa"/>
            <w:vMerge/>
            <w:tcMar>
              <w:top w:w="0" w:type="dxa"/>
              <w:left w:w="0" w:type="dxa"/>
              <w:bottom w:w="0" w:type="dxa"/>
              <w:right w:w="0" w:type="dxa"/>
            </w:tcMar>
            <w:vAlign w:val="center"/>
          </w:tcPr>
          <w:p w14:paraId="6668BB7A"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5AED150E"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544D9CD7"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4086CD61" w14:textId="77777777" w:rsidR="001C08A5" w:rsidRDefault="00000000">
            <w:pPr>
              <w:jc w:val="center"/>
              <w:rPr>
                <w:b/>
                <w:bCs/>
                <w:i/>
                <w:sz w:val="22"/>
                <w:szCs w:val="22"/>
              </w:rPr>
            </w:pPr>
            <w:r>
              <w:rPr>
                <w:b/>
                <w:bCs/>
                <w:i/>
                <w:sz w:val="22"/>
                <w:szCs w:val="22"/>
                <w:lang w:val="en-US" w:eastAsia="zh-CN"/>
              </w:rPr>
              <w:t>s2, d0</w:t>
            </w:r>
          </w:p>
        </w:tc>
        <w:tc>
          <w:tcPr>
            <w:tcW w:w="2331" w:type="dxa"/>
            <w:vMerge/>
            <w:tcMar>
              <w:top w:w="0" w:type="dxa"/>
              <w:left w:w="0" w:type="dxa"/>
              <w:bottom w:w="0" w:type="dxa"/>
              <w:right w:w="0" w:type="dxa"/>
            </w:tcMar>
            <w:vAlign w:val="center"/>
          </w:tcPr>
          <w:p w14:paraId="0E81E3F3" w14:textId="77777777" w:rsidR="001C08A5" w:rsidRDefault="001C08A5">
            <w:pPr>
              <w:jc w:val="center"/>
              <w:rPr>
                <w:b/>
                <w:bCs/>
                <w:i/>
                <w:sz w:val="22"/>
                <w:szCs w:val="22"/>
                <w:lang w:val="en-US" w:eastAsia="zh-CN"/>
              </w:rPr>
            </w:pPr>
          </w:p>
        </w:tc>
      </w:tr>
      <w:tr w:rsidR="001C08A5" w14:paraId="283BA42D" w14:textId="77777777">
        <w:trPr>
          <w:trHeight w:val="153"/>
        </w:trPr>
        <w:tc>
          <w:tcPr>
            <w:tcW w:w="631" w:type="dxa"/>
            <w:vMerge/>
            <w:tcMar>
              <w:top w:w="0" w:type="dxa"/>
              <w:left w:w="0" w:type="dxa"/>
              <w:bottom w:w="0" w:type="dxa"/>
              <w:right w:w="0" w:type="dxa"/>
            </w:tcMar>
            <w:vAlign w:val="center"/>
          </w:tcPr>
          <w:p w14:paraId="6B128B18"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416F0D48"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5C5D5CD8"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04BFB492" w14:textId="77777777" w:rsidR="001C08A5" w:rsidRDefault="00000000">
            <w:pPr>
              <w:jc w:val="center"/>
              <w:rPr>
                <w:b/>
                <w:bCs/>
                <w:i/>
                <w:sz w:val="22"/>
                <w:szCs w:val="22"/>
              </w:rPr>
            </w:pPr>
            <w:r>
              <w:rPr>
                <w:b/>
                <w:bCs/>
                <w:i/>
                <w:sz w:val="22"/>
                <w:szCs w:val="22"/>
                <w:lang w:val="en-US" w:eastAsia="zh-CN"/>
              </w:rPr>
              <w:t>s2, d1</w:t>
            </w:r>
          </w:p>
        </w:tc>
        <w:tc>
          <w:tcPr>
            <w:tcW w:w="2331" w:type="dxa"/>
            <w:vMerge/>
            <w:tcMar>
              <w:top w:w="0" w:type="dxa"/>
              <w:left w:w="0" w:type="dxa"/>
              <w:bottom w:w="0" w:type="dxa"/>
              <w:right w:w="0" w:type="dxa"/>
            </w:tcMar>
            <w:vAlign w:val="center"/>
          </w:tcPr>
          <w:p w14:paraId="497F004F" w14:textId="77777777" w:rsidR="001C08A5" w:rsidRDefault="001C08A5">
            <w:pPr>
              <w:jc w:val="center"/>
              <w:rPr>
                <w:b/>
                <w:bCs/>
                <w:i/>
                <w:sz w:val="22"/>
                <w:szCs w:val="22"/>
                <w:lang w:val="en-US" w:eastAsia="zh-CN"/>
              </w:rPr>
            </w:pPr>
          </w:p>
        </w:tc>
      </w:tr>
      <w:tr w:rsidR="001C08A5" w14:paraId="74698C4F" w14:textId="77777777">
        <w:trPr>
          <w:trHeight w:val="126"/>
        </w:trPr>
        <w:tc>
          <w:tcPr>
            <w:tcW w:w="631" w:type="dxa"/>
            <w:vMerge/>
            <w:tcMar>
              <w:top w:w="0" w:type="dxa"/>
              <w:left w:w="0" w:type="dxa"/>
              <w:bottom w:w="0" w:type="dxa"/>
              <w:right w:w="0" w:type="dxa"/>
            </w:tcMar>
            <w:vAlign w:val="center"/>
          </w:tcPr>
          <w:p w14:paraId="13162526"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539BCB44"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1AD1CCD7"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7DAC2579" w14:textId="77777777" w:rsidR="001C08A5" w:rsidRDefault="00000000">
            <w:pPr>
              <w:jc w:val="center"/>
              <w:rPr>
                <w:b/>
                <w:bCs/>
                <w:i/>
                <w:sz w:val="22"/>
                <w:szCs w:val="22"/>
              </w:rPr>
            </w:pPr>
            <w:r>
              <w:rPr>
                <w:b/>
                <w:bCs/>
                <w:i/>
                <w:sz w:val="22"/>
                <w:szCs w:val="22"/>
                <w:lang w:val="en-US" w:eastAsia="zh-CN"/>
              </w:rPr>
              <w:t>s3, d0</w:t>
            </w:r>
          </w:p>
        </w:tc>
        <w:tc>
          <w:tcPr>
            <w:tcW w:w="2331" w:type="dxa"/>
            <w:vMerge/>
            <w:tcMar>
              <w:top w:w="0" w:type="dxa"/>
              <w:left w:w="0" w:type="dxa"/>
              <w:bottom w:w="0" w:type="dxa"/>
              <w:right w:w="0" w:type="dxa"/>
            </w:tcMar>
            <w:vAlign w:val="center"/>
          </w:tcPr>
          <w:p w14:paraId="50269D33" w14:textId="77777777" w:rsidR="001C08A5" w:rsidRDefault="001C08A5">
            <w:pPr>
              <w:jc w:val="center"/>
              <w:rPr>
                <w:b/>
                <w:bCs/>
                <w:i/>
                <w:sz w:val="22"/>
                <w:szCs w:val="22"/>
                <w:lang w:val="en-US" w:eastAsia="zh-CN"/>
              </w:rPr>
            </w:pPr>
          </w:p>
        </w:tc>
      </w:tr>
      <w:tr w:rsidR="001C08A5" w14:paraId="3F4D2A9F" w14:textId="77777777">
        <w:trPr>
          <w:trHeight w:val="111"/>
        </w:trPr>
        <w:tc>
          <w:tcPr>
            <w:tcW w:w="631" w:type="dxa"/>
            <w:vMerge/>
            <w:tcMar>
              <w:top w:w="0" w:type="dxa"/>
              <w:left w:w="0" w:type="dxa"/>
              <w:bottom w:w="0" w:type="dxa"/>
              <w:right w:w="0" w:type="dxa"/>
            </w:tcMar>
            <w:vAlign w:val="center"/>
          </w:tcPr>
          <w:p w14:paraId="1038AA4A"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68E98876"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6224FDD1"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402A2ACB" w14:textId="77777777" w:rsidR="001C08A5" w:rsidRDefault="00000000">
            <w:pPr>
              <w:jc w:val="center"/>
              <w:rPr>
                <w:b/>
                <w:bCs/>
                <w:i/>
                <w:sz w:val="22"/>
                <w:szCs w:val="22"/>
              </w:rPr>
            </w:pPr>
            <w:r>
              <w:rPr>
                <w:b/>
                <w:bCs/>
                <w:i/>
                <w:sz w:val="22"/>
                <w:szCs w:val="22"/>
                <w:lang w:val="en-US" w:eastAsia="zh-CN"/>
              </w:rPr>
              <w:t>s3, d1</w:t>
            </w:r>
          </w:p>
        </w:tc>
        <w:tc>
          <w:tcPr>
            <w:tcW w:w="2331" w:type="dxa"/>
            <w:vMerge/>
            <w:tcMar>
              <w:top w:w="0" w:type="dxa"/>
              <w:left w:w="0" w:type="dxa"/>
              <w:bottom w:w="0" w:type="dxa"/>
              <w:right w:w="0" w:type="dxa"/>
            </w:tcMar>
            <w:vAlign w:val="center"/>
          </w:tcPr>
          <w:p w14:paraId="2CB88EDB" w14:textId="77777777" w:rsidR="001C08A5" w:rsidRDefault="001C08A5">
            <w:pPr>
              <w:jc w:val="center"/>
              <w:rPr>
                <w:b/>
                <w:bCs/>
                <w:i/>
                <w:sz w:val="22"/>
                <w:szCs w:val="22"/>
                <w:lang w:val="en-US" w:eastAsia="zh-CN"/>
              </w:rPr>
            </w:pPr>
          </w:p>
        </w:tc>
      </w:tr>
      <w:tr w:rsidR="001C08A5" w14:paraId="38DB1C67" w14:textId="77777777">
        <w:trPr>
          <w:trHeight w:val="221"/>
        </w:trPr>
        <w:tc>
          <w:tcPr>
            <w:tcW w:w="631" w:type="dxa"/>
            <w:vMerge/>
            <w:tcMar>
              <w:top w:w="0" w:type="dxa"/>
              <w:left w:w="0" w:type="dxa"/>
              <w:bottom w:w="0" w:type="dxa"/>
              <w:right w:w="0" w:type="dxa"/>
            </w:tcMar>
            <w:vAlign w:val="center"/>
          </w:tcPr>
          <w:p w14:paraId="0E68DF0C"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68417532" w14:textId="77777777" w:rsidR="001C08A5" w:rsidRDefault="001C08A5">
            <w:pPr>
              <w:jc w:val="center"/>
              <w:rPr>
                <w:i/>
                <w:sz w:val="22"/>
                <w:szCs w:val="22"/>
              </w:rPr>
            </w:pPr>
          </w:p>
        </w:tc>
        <w:tc>
          <w:tcPr>
            <w:tcW w:w="528" w:type="dxa"/>
            <w:vMerge w:val="restart"/>
            <w:tcMar>
              <w:top w:w="0" w:type="dxa"/>
              <w:left w:w="0" w:type="dxa"/>
              <w:bottom w:w="0" w:type="dxa"/>
              <w:right w:w="0" w:type="dxa"/>
            </w:tcMar>
            <w:vAlign w:val="center"/>
          </w:tcPr>
          <w:p w14:paraId="3239F4F4" w14:textId="77777777" w:rsidR="001C08A5" w:rsidRDefault="00000000">
            <w:pPr>
              <w:jc w:val="center"/>
              <w:rPr>
                <w:b/>
                <w:bCs/>
                <w:i/>
                <w:sz w:val="22"/>
                <w:szCs w:val="22"/>
              </w:rPr>
            </w:pPr>
            <w:r>
              <w:rPr>
                <w:b/>
                <w:bCs/>
                <w:i/>
                <w:sz w:val="22"/>
                <w:szCs w:val="22"/>
                <w:lang w:val="en-US" w:eastAsia="zh-CN"/>
              </w:rPr>
              <w:t>B</w:t>
            </w:r>
          </w:p>
        </w:tc>
        <w:tc>
          <w:tcPr>
            <w:tcW w:w="1961" w:type="dxa"/>
            <w:tcMar>
              <w:top w:w="0" w:type="dxa"/>
              <w:left w:w="0" w:type="dxa"/>
              <w:bottom w:w="0" w:type="dxa"/>
              <w:right w:w="0" w:type="dxa"/>
            </w:tcMar>
            <w:vAlign w:val="center"/>
          </w:tcPr>
          <w:p w14:paraId="7476FCCB" w14:textId="77777777" w:rsidR="001C08A5" w:rsidRDefault="00000000">
            <w:pPr>
              <w:jc w:val="center"/>
              <w:rPr>
                <w:b/>
                <w:bCs/>
                <w:i/>
                <w:sz w:val="22"/>
                <w:szCs w:val="22"/>
              </w:rPr>
            </w:pPr>
            <w:r>
              <w:rPr>
                <w:b/>
                <w:bCs/>
                <w:i/>
                <w:sz w:val="22"/>
                <w:szCs w:val="22"/>
                <w:lang w:val="en-US" w:eastAsia="zh-CN"/>
              </w:rPr>
              <w:t>s1, d0</w:t>
            </w:r>
          </w:p>
        </w:tc>
        <w:tc>
          <w:tcPr>
            <w:tcW w:w="2331" w:type="dxa"/>
            <w:vMerge/>
            <w:tcMar>
              <w:top w:w="0" w:type="dxa"/>
              <w:left w:w="0" w:type="dxa"/>
              <w:bottom w:w="0" w:type="dxa"/>
              <w:right w:w="0" w:type="dxa"/>
            </w:tcMar>
            <w:vAlign w:val="center"/>
          </w:tcPr>
          <w:p w14:paraId="13CCF4E1" w14:textId="77777777" w:rsidR="001C08A5" w:rsidRDefault="001C08A5">
            <w:pPr>
              <w:jc w:val="center"/>
              <w:rPr>
                <w:b/>
                <w:bCs/>
                <w:i/>
                <w:sz w:val="22"/>
                <w:szCs w:val="22"/>
                <w:lang w:val="en-US" w:eastAsia="zh-CN"/>
              </w:rPr>
            </w:pPr>
          </w:p>
        </w:tc>
      </w:tr>
      <w:tr w:rsidR="001C08A5" w14:paraId="0F6E2FAD" w14:textId="77777777">
        <w:trPr>
          <w:trHeight w:val="207"/>
        </w:trPr>
        <w:tc>
          <w:tcPr>
            <w:tcW w:w="631" w:type="dxa"/>
            <w:vMerge/>
            <w:tcMar>
              <w:top w:w="0" w:type="dxa"/>
              <w:left w:w="0" w:type="dxa"/>
              <w:bottom w:w="0" w:type="dxa"/>
              <w:right w:w="0" w:type="dxa"/>
            </w:tcMar>
            <w:vAlign w:val="center"/>
          </w:tcPr>
          <w:p w14:paraId="48DD6BE4"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7180E6D0"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7923A35C"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673EEC8B" w14:textId="77777777" w:rsidR="001C08A5" w:rsidRDefault="00000000">
            <w:pPr>
              <w:jc w:val="center"/>
              <w:rPr>
                <w:b/>
                <w:bCs/>
                <w:i/>
                <w:sz w:val="22"/>
                <w:szCs w:val="22"/>
              </w:rPr>
            </w:pPr>
            <w:r>
              <w:rPr>
                <w:b/>
                <w:bCs/>
                <w:i/>
                <w:sz w:val="22"/>
                <w:szCs w:val="22"/>
                <w:lang w:val="en-US" w:eastAsia="zh-CN"/>
              </w:rPr>
              <w:t>s1, d1</w:t>
            </w:r>
          </w:p>
        </w:tc>
        <w:tc>
          <w:tcPr>
            <w:tcW w:w="2331" w:type="dxa"/>
            <w:vMerge/>
            <w:tcMar>
              <w:top w:w="0" w:type="dxa"/>
              <w:left w:w="0" w:type="dxa"/>
              <w:bottom w:w="0" w:type="dxa"/>
              <w:right w:w="0" w:type="dxa"/>
            </w:tcMar>
            <w:vAlign w:val="center"/>
          </w:tcPr>
          <w:p w14:paraId="74056E87" w14:textId="77777777" w:rsidR="001C08A5" w:rsidRDefault="001C08A5">
            <w:pPr>
              <w:jc w:val="center"/>
              <w:rPr>
                <w:b/>
                <w:bCs/>
                <w:i/>
                <w:sz w:val="22"/>
                <w:szCs w:val="22"/>
                <w:lang w:val="en-US" w:eastAsia="zh-CN"/>
              </w:rPr>
            </w:pPr>
          </w:p>
        </w:tc>
      </w:tr>
      <w:tr w:rsidR="001C08A5" w14:paraId="776CC9F7" w14:textId="77777777">
        <w:trPr>
          <w:trHeight w:val="166"/>
        </w:trPr>
        <w:tc>
          <w:tcPr>
            <w:tcW w:w="631" w:type="dxa"/>
            <w:vMerge/>
            <w:tcMar>
              <w:top w:w="0" w:type="dxa"/>
              <w:left w:w="0" w:type="dxa"/>
              <w:bottom w:w="0" w:type="dxa"/>
              <w:right w:w="0" w:type="dxa"/>
            </w:tcMar>
            <w:vAlign w:val="center"/>
          </w:tcPr>
          <w:p w14:paraId="1127B26D"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3AF4CA60"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5C04A95A"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39E1D1CA" w14:textId="77777777" w:rsidR="001C08A5" w:rsidRDefault="00000000">
            <w:pPr>
              <w:jc w:val="center"/>
              <w:rPr>
                <w:b/>
                <w:bCs/>
                <w:i/>
                <w:sz w:val="22"/>
                <w:szCs w:val="22"/>
              </w:rPr>
            </w:pPr>
            <w:r>
              <w:rPr>
                <w:b/>
                <w:bCs/>
                <w:i/>
                <w:sz w:val="22"/>
                <w:szCs w:val="22"/>
                <w:lang w:val="en-US" w:eastAsia="zh-CN"/>
              </w:rPr>
              <w:t>s2, d0</w:t>
            </w:r>
          </w:p>
        </w:tc>
        <w:tc>
          <w:tcPr>
            <w:tcW w:w="2331" w:type="dxa"/>
            <w:vMerge/>
            <w:tcMar>
              <w:top w:w="0" w:type="dxa"/>
              <w:left w:w="0" w:type="dxa"/>
              <w:bottom w:w="0" w:type="dxa"/>
              <w:right w:w="0" w:type="dxa"/>
            </w:tcMar>
            <w:vAlign w:val="center"/>
          </w:tcPr>
          <w:p w14:paraId="273A0209" w14:textId="77777777" w:rsidR="001C08A5" w:rsidRDefault="001C08A5">
            <w:pPr>
              <w:jc w:val="center"/>
              <w:rPr>
                <w:b/>
                <w:bCs/>
                <w:i/>
                <w:sz w:val="22"/>
                <w:szCs w:val="22"/>
                <w:lang w:val="en-US" w:eastAsia="zh-CN"/>
              </w:rPr>
            </w:pPr>
          </w:p>
        </w:tc>
      </w:tr>
      <w:tr w:rsidR="001C08A5" w14:paraId="5F489EC7" w14:textId="77777777">
        <w:trPr>
          <w:trHeight w:val="221"/>
        </w:trPr>
        <w:tc>
          <w:tcPr>
            <w:tcW w:w="631" w:type="dxa"/>
            <w:vMerge/>
            <w:tcMar>
              <w:top w:w="0" w:type="dxa"/>
              <w:left w:w="0" w:type="dxa"/>
              <w:bottom w:w="0" w:type="dxa"/>
              <w:right w:w="0" w:type="dxa"/>
            </w:tcMar>
            <w:vAlign w:val="center"/>
          </w:tcPr>
          <w:p w14:paraId="238CF980"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724C6536"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77D3ADEB"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0EC40064" w14:textId="77777777" w:rsidR="001C08A5" w:rsidRDefault="00000000">
            <w:pPr>
              <w:jc w:val="center"/>
              <w:rPr>
                <w:b/>
                <w:bCs/>
                <w:i/>
                <w:sz w:val="22"/>
                <w:szCs w:val="22"/>
              </w:rPr>
            </w:pPr>
            <w:r>
              <w:rPr>
                <w:b/>
                <w:bCs/>
                <w:i/>
                <w:sz w:val="22"/>
                <w:szCs w:val="22"/>
                <w:lang w:val="en-US" w:eastAsia="zh-CN"/>
              </w:rPr>
              <w:t>s2, d1</w:t>
            </w:r>
          </w:p>
        </w:tc>
        <w:tc>
          <w:tcPr>
            <w:tcW w:w="2331" w:type="dxa"/>
            <w:vMerge/>
            <w:tcMar>
              <w:top w:w="0" w:type="dxa"/>
              <w:left w:w="0" w:type="dxa"/>
              <w:bottom w:w="0" w:type="dxa"/>
              <w:right w:w="0" w:type="dxa"/>
            </w:tcMar>
            <w:vAlign w:val="center"/>
          </w:tcPr>
          <w:p w14:paraId="104FC516" w14:textId="77777777" w:rsidR="001C08A5" w:rsidRDefault="001C08A5">
            <w:pPr>
              <w:jc w:val="center"/>
              <w:rPr>
                <w:b/>
                <w:bCs/>
                <w:i/>
                <w:sz w:val="22"/>
                <w:szCs w:val="22"/>
                <w:lang w:val="en-US" w:eastAsia="zh-CN"/>
              </w:rPr>
            </w:pPr>
          </w:p>
        </w:tc>
      </w:tr>
      <w:tr w:rsidR="001C08A5" w14:paraId="34BA1D59" w14:textId="77777777">
        <w:trPr>
          <w:trHeight w:val="221"/>
        </w:trPr>
        <w:tc>
          <w:tcPr>
            <w:tcW w:w="631" w:type="dxa"/>
            <w:vMerge/>
            <w:tcMar>
              <w:top w:w="0" w:type="dxa"/>
              <w:left w:w="0" w:type="dxa"/>
              <w:bottom w:w="0" w:type="dxa"/>
              <w:right w:w="0" w:type="dxa"/>
            </w:tcMar>
            <w:vAlign w:val="center"/>
          </w:tcPr>
          <w:p w14:paraId="00002492"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20879436"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0C4DA4AD"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19B345EF" w14:textId="77777777" w:rsidR="001C08A5" w:rsidRDefault="00000000">
            <w:pPr>
              <w:jc w:val="center"/>
              <w:rPr>
                <w:b/>
                <w:bCs/>
                <w:i/>
                <w:sz w:val="22"/>
                <w:szCs w:val="22"/>
              </w:rPr>
            </w:pPr>
            <w:r>
              <w:rPr>
                <w:b/>
                <w:bCs/>
                <w:i/>
                <w:sz w:val="22"/>
                <w:szCs w:val="22"/>
                <w:lang w:val="en-US" w:eastAsia="zh-CN"/>
              </w:rPr>
              <w:t>s3, d0</w:t>
            </w:r>
          </w:p>
        </w:tc>
        <w:tc>
          <w:tcPr>
            <w:tcW w:w="2331" w:type="dxa"/>
            <w:vMerge/>
            <w:tcMar>
              <w:top w:w="0" w:type="dxa"/>
              <w:left w:w="0" w:type="dxa"/>
              <w:bottom w:w="0" w:type="dxa"/>
              <w:right w:w="0" w:type="dxa"/>
            </w:tcMar>
            <w:vAlign w:val="center"/>
          </w:tcPr>
          <w:p w14:paraId="0D8EA770" w14:textId="77777777" w:rsidR="001C08A5" w:rsidRDefault="001C08A5">
            <w:pPr>
              <w:jc w:val="center"/>
              <w:rPr>
                <w:b/>
                <w:bCs/>
                <w:i/>
                <w:sz w:val="22"/>
                <w:szCs w:val="22"/>
                <w:lang w:val="en-US" w:eastAsia="zh-CN"/>
              </w:rPr>
            </w:pPr>
          </w:p>
        </w:tc>
      </w:tr>
      <w:tr w:rsidR="001C08A5" w14:paraId="6706A71C" w14:textId="77777777">
        <w:trPr>
          <w:trHeight w:val="180"/>
        </w:trPr>
        <w:tc>
          <w:tcPr>
            <w:tcW w:w="631" w:type="dxa"/>
            <w:vMerge/>
            <w:tcMar>
              <w:top w:w="0" w:type="dxa"/>
              <w:left w:w="0" w:type="dxa"/>
              <w:bottom w:w="0" w:type="dxa"/>
              <w:right w:w="0" w:type="dxa"/>
            </w:tcMar>
            <w:vAlign w:val="center"/>
          </w:tcPr>
          <w:p w14:paraId="6304B8DF"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47351F2C"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5BF9C4DB"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1801F8A7" w14:textId="77777777" w:rsidR="001C08A5" w:rsidRDefault="00000000">
            <w:pPr>
              <w:jc w:val="center"/>
              <w:rPr>
                <w:b/>
                <w:bCs/>
                <w:i/>
                <w:sz w:val="22"/>
                <w:szCs w:val="22"/>
              </w:rPr>
            </w:pPr>
            <w:r>
              <w:rPr>
                <w:b/>
                <w:bCs/>
                <w:i/>
                <w:sz w:val="22"/>
                <w:szCs w:val="22"/>
                <w:lang w:val="en-US" w:eastAsia="zh-CN"/>
              </w:rPr>
              <w:t>s3, d1</w:t>
            </w:r>
          </w:p>
        </w:tc>
        <w:tc>
          <w:tcPr>
            <w:tcW w:w="2331" w:type="dxa"/>
            <w:vMerge/>
            <w:tcMar>
              <w:top w:w="0" w:type="dxa"/>
              <w:left w:w="0" w:type="dxa"/>
              <w:bottom w:w="0" w:type="dxa"/>
              <w:right w:w="0" w:type="dxa"/>
            </w:tcMar>
            <w:vAlign w:val="center"/>
          </w:tcPr>
          <w:p w14:paraId="1EACD225" w14:textId="77777777" w:rsidR="001C08A5" w:rsidRDefault="001C08A5">
            <w:pPr>
              <w:jc w:val="center"/>
              <w:rPr>
                <w:b/>
                <w:bCs/>
                <w:i/>
                <w:sz w:val="22"/>
                <w:szCs w:val="22"/>
                <w:lang w:val="en-US" w:eastAsia="zh-CN"/>
              </w:rPr>
            </w:pPr>
          </w:p>
        </w:tc>
      </w:tr>
      <w:tr w:rsidR="001C08A5" w14:paraId="17599DFE" w14:textId="77777777">
        <w:trPr>
          <w:trHeight w:val="112"/>
        </w:trPr>
        <w:tc>
          <w:tcPr>
            <w:tcW w:w="631" w:type="dxa"/>
            <w:vMerge w:val="restart"/>
            <w:tcMar>
              <w:top w:w="0" w:type="dxa"/>
              <w:left w:w="0" w:type="dxa"/>
              <w:bottom w:w="0" w:type="dxa"/>
              <w:right w:w="0" w:type="dxa"/>
            </w:tcMar>
            <w:vAlign w:val="center"/>
          </w:tcPr>
          <w:p w14:paraId="0545DCEE" w14:textId="77777777" w:rsidR="001C08A5" w:rsidRDefault="00000000">
            <w:pPr>
              <w:jc w:val="center"/>
              <w:rPr>
                <w:b/>
                <w:bCs/>
                <w:i/>
                <w:sz w:val="22"/>
                <w:szCs w:val="22"/>
              </w:rPr>
            </w:pPr>
            <w:r>
              <w:rPr>
                <w:b/>
                <w:bCs/>
                <w:i/>
                <w:sz w:val="22"/>
                <w:szCs w:val="22"/>
              </w:rPr>
              <w:t>2.</w:t>
            </w:r>
          </w:p>
        </w:tc>
        <w:tc>
          <w:tcPr>
            <w:tcW w:w="1764" w:type="dxa"/>
            <w:vMerge w:val="restart"/>
            <w:tcMar>
              <w:top w:w="0" w:type="dxa"/>
              <w:left w:w="0" w:type="dxa"/>
              <w:bottom w:w="0" w:type="dxa"/>
              <w:right w:w="0" w:type="dxa"/>
            </w:tcMar>
            <w:vAlign w:val="center"/>
          </w:tcPr>
          <w:p w14:paraId="64393E52" w14:textId="77777777" w:rsidR="001C08A5" w:rsidRDefault="00000000">
            <w:pPr>
              <w:jc w:val="center"/>
              <w:rPr>
                <w:i/>
                <w:sz w:val="22"/>
                <w:szCs w:val="22"/>
                <w:lang w:val="en-US" w:eastAsia="zh-CN"/>
              </w:rPr>
            </w:pPr>
            <w:r>
              <w:rPr>
                <w:i/>
                <w:sz w:val="22"/>
                <w:szCs w:val="22"/>
                <w:lang w:val="en-US" w:eastAsia="zh-CN"/>
              </w:rPr>
              <w:t>dificil inflamabile</w:t>
            </w:r>
          </w:p>
          <w:p w14:paraId="0318C1E9" w14:textId="77777777" w:rsidR="001C08A5" w:rsidRDefault="00000000">
            <w:pPr>
              <w:jc w:val="center"/>
              <w:rPr>
                <w:i/>
                <w:sz w:val="22"/>
                <w:szCs w:val="22"/>
              </w:rPr>
            </w:pPr>
            <w:r>
              <w:rPr>
                <w:i/>
                <w:sz w:val="22"/>
                <w:szCs w:val="22"/>
                <w:lang w:val="en-US" w:eastAsia="zh-CN"/>
              </w:rPr>
              <w:t>C2 (CA2b)</w:t>
            </w:r>
          </w:p>
        </w:tc>
        <w:tc>
          <w:tcPr>
            <w:tcW w:w="528" w:type="dxa"/>
            <w:vMerge w:val="restart"/>
            <w:tcMar>
              <w:top w:w="0" w:type="dxa"/>
              <w:left w:w="0" w:type="dxa"/>
              <w:bottom w:w="0" w:type="dxa"/>
              <w:right w:w="0" w:type="dxa"/>
            </w:tcMar>
            <w:vAlign w:val="center"/>
          </w:tcPr>
          <w:p w14:paraId="67D3AD42" w14:textId="77777777" w:rsidR="001C08A5" w:rsidRDefault="00000000">
            <w:pPr>
              <w:jc w:val="center"/>
              <w:rPr>
                <w:b/>
                <w:bCs/>
                <w:i/>
                <w:sz w:val="22"/>
                <w:szCs w:val="22"/>
              </w:rPr>
            </w:pPr>
            <w:r>
              <w:rPr>
                <w:b/>
                <w:bCs/>
                <w:i/>
                <w:sz w:val="22"/>
                <w:szCs w:val="22"/>
                <w:lang w:val="en-US" w:eastAsia="zh-CN"/>
              </w:rPr>
              <w:t>C</w:t>
            </w:r>
          </w:p>
        </w:tc>
        <w:tc>
          <w:tcPr>
            <w:tcW w:w="1961" w:type="dxa"/>
            <w:tcMar>
              <w:top w:w="0" w:type="dxa"/>
              <w:left w:w="0" w:type="dxa"/>
              <w:bottom w:w="0" w:type="dxa"/>
              <w:right w:w="0" w:type="dxa"/>
            </w:tcMar>
            <w:vAlign w:val="center"/>
          </w:tcPr>
          <w:p w14:paraId="3EAA9DDD" w14:textId="77777777" w:rsidR="001C08A5" w:rsidRDefault="00000000">
            <w:pPr>
              <w:jc w:val="center"/>
              <w:rPr>
                <w:b/>
                <w:bCs/>
                <w:i/>
                <w:sz w:val="22"/>
                <w:szCs w:val="22"/>
              </w:rPr>
            </w:pPr>
            <w:r>
              <w:rPr>
                <w:b/>
                <w:bCs/>
                <w:i/>
                <w:sz w:val="22"/>
                <w:szCs w:val="22"/>
                <w:lang w:val="en-US" w:eastAsia="zh-CN"/>
              </w:rPr>
              <w:t>s1, d0</w:t>
            </w:r>
          </w:p>
        </w:tc>
        <w:tc>
          <w:tcPr>
            <w:tcW w:w="2331" w:type="dxa"/>
            <w:vMerge w:val="restart"/>
            <w:tcMar>
              <w:top w:w="0" w:type="dxa"/>
              <w:left w:w="0" w:type="dxa"/>
              <w:bottom w:w="0" w:type="dxa"/>
              <w:right w:w="0" w:type="dxa"/>
            </w:tcMar>
            <w:vAlign w:val="center"/>
          </w:tcPr>
          <w:p w14:paraId="3276EC72" w14:textId="77777777" w:rsidR="001C08A5" w:rsidRDefault="00000000">
            <w:pPr>
              <w:jc w:val="center"/>
              <w:rPr>
                <w:b/>
                <w:bCs/>
                <w:i/>
                <w:sz w:val="22"/>
                <w:szCs w:val="22"/>
                <w:lang w:val="en-US" w:eastAsia="zh-CN"/>
              </w:rPr>
            </w:pPr>
            <w:r>
              <w:rPr>
                <w:b/>
                <w:bCs/>
                <w:i/>
                <w:sz w:val="22"/>
                <w:szCs w:val="22"/>
                <w:lang w:eastAsia="zh-CN"/>
              </w:rPr>
              <w:t>Cs1÷s3,d0÷d1</w:t>
            </w:r>
          </w:p>
        </w:tc>
      </w:tr>
      <w:tr w:rsidR="001C08A5" w14:paraId="7A25B640" w14:textId="77777777">
        <w:trPr>
          <w:trHeight w:val="221"/>
        </w:trPr>
        <w:tc>
          <w:tcPr>
            <w:tcW w:w="631" w:type="dxa"/>
            <w:vMerge/>
            <w:tcMar>
              <w:top w:w="0" w:type="dxa"/>
              <w:left w:w="0" w:type="dxa"/>
              <w:bottom w:w="0" w:type="dxa"/>
              <w:right w:w="0" w:type="dxa"/>
            </w:tcMar>
            <w:vAlign w:val="center"/>
          </w:tcPr>
          <w:p w14:paraId="640EE52D"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2A7AC943"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4387E7FB"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4FDB5D74" w14:textId="77777777" w:rsidR="001C08A5" w:rsidRDefault="00000000">
            <w:pPr>
              <w:jc w:val="center"/>
              <w:rPr>
                <w:b/>
                <w:bCs/>
                <w:i/>
                <w:sz w:val="22"/>
                <w:szCs w:val="22"/>
              </w:rPr>
            </w:pPr>
            <w:r>
              <w:rPr>
                <w:b/>
                <w:bCs/>
                <w:i/>
                <w:sz w:val="22"/>
                <w:szCs w:val="22"/>
                <w:lang w:val="en-US" w:eastAsia="zh-CN"/>
              </w:rPr>
              <w:t>s1, d1</w:t>
            </w:r>
          </w:p>
        </w:tc>
        <w:tc>
          <w:tcPr>
            <w:tcW w:w="2331" w:type="dxa"/>
            <w:vMerge/>
            <w:tcMar>
              <w:top w:w="0" w:type="dxa"/>
              <w:left w:w="0" w:type="dxa"/>
              <w:bottom w:w="0" w:type="dxa"/>
              <w:right w:w="0" w:type="dxa"/>
            </w:tcMar>
            <w:vAlign w:val="center"/>
          </w:tcPr>
          <w:p w14:paraId="2D9CF9BE" w14:textId="77777777" w:rsidR="001C08A5" w:rsidRDefault="001C08A5">
            <w:pPr>
              <w:jc w:val="center"/>
              <w:rPr>
                <w:b/>
                <w:bCs/>
                <w:i/>
                <w:sz w:val="22"/>
                <w:szCs w:val="22"/>
                <w:lang w:val="en-US" w:eastAsia="zh-CN"/>
              </w:rPr>
            </w:pPr>
          </w:p>
        </w:tc>
      </w:tr>
      <w:tr w:rsidR="001C08A5" w14:paraId="484C8FE6" w14:textId="77777777">
        <w:trPr>
          <w:trHeight w:val="167"/>
        </w:trPr>
        <w:tc>
          <w:tcPr>
            <w:tcW w:w="631" w:type="dxa"/>
            <w:vMerge/>
            <w:tcMar>
              <w:top w:w="0" w:type="dxa"/>
              <w:left w:w="0" w:type="dxa"/>
              <w:bottom w:w="0" w:type="dxa"/>
              <w:right w:w="0" w:type="dxa"/>
            </w:tcMar>
            <w:vAlign w:val="center"/>
          </w:tcPr>
          <w:p w14:paraId="13CDB95A"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564C6E29"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4D2B0B23"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07571B4E" w14:textId="77777777" w:rsidR="001C08A5" w:rsidRDefault="00000000">
            <w:pPr>
              <w:jc w:val="center"/>
              <w:rPr>
                <w:b/>
                <w:bCs/>
                <w:i/>
                <w:sz w:val="22"/>
                <w:szCs w:val="22"/>
              </w:rPr>
            </w:pPr>
            <w:r>
              <w:rPr>
                <w:b/>
                <w:bCs/>
                <w:i/>
                <w:sz w:val="22"/>
                <w:szCs w:val="22"/>
                <w:lang w:val="en-US" w:eastAsia="zh-CN"/>
              </w:rPr>
              <w:t>s2, d0</w:t>
            </w:r>
          </w:p>
        </w:tc>
        <w:tc>
          <w:tcPr>
            <w:tcW w:w="2331" w:type="dxa"/>
            <w:vMerge/>
            <w:tcMar>
              <w:top w:w="0" w:type="dxa"/>
              <w:left w:w="0" w:type="dxa"/>
              <w:bottom w:w="0" w:type="dxa"/>
              <w:right w:w="0" w:type="dxa"/>
            </w:tcMar>
            <w:vAlign w:val="center"/>
          </w:tcPr>
          <w:p w14:paraId="33BF2DCB" w14:textId="77777777" w:rsidR="001C08A5" w:rsidRDefault="001C08A5">
            <w:pPr>
              <w:jc w:val="center"/>
              <w:rPr>
                <w:b/>
                <w:bCs/>
                <w:i/>
                <w:sz w:val="22"/>
                <w:szCs w:val="22"/>
                <w:lang w:val="en-US" w:eastAsia="zh-CN"/>
              </w:rPr>
            </w:pPr>
          </w:p>
        </w:tc>
      </w:tr>
      <w:tr w:rsidR="001C08A5" w14:paraId="2C33469F" w14:textId="77777777">
        <w:trPr>
          <w:trHeight w:val="248"/>
        </w:trPr>
        <w:tc>
          <w:tcPr>
            <w:tcW w:w="631" w:type="dxa"/>
            <w:vMerge/>
            <w:tcMar>
              <w:top w:w="0" w:type="dxa"/>
              <w:left w:w="0" w:type="dxa"/>
              <w:bottom w:w="0" w:type="dxa"/>
              <w:right w:w="0" w:type="dxa"/>
            </w:tcMar>
            <w:vAlign w:val="center"/>
          </w:tcPr>
          <w:p w14:paraId="3C394B83"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7D12BC13"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52C61CC9"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154B3CD7" w14:textId="77777777" w:rsidR="001C08A5" w:rsidRDefault="00000000">
            <w:pPr>
              <w:jc w:val="center"/>
              <w:rPr>
                <w:b/>
                <w:bCs/>
                <w:i/>
                <w:sz w:val="22"/>
                <w:szCs w:val="22"/>
              </w:rPr>
            </w:pPr>
            <w:r>
              <w:rPr>
                <w:b/>
                <w:bCs/>
                <w:i/>
                <w:sz w:val="22"/>
                <w:szCs w:val="22"/>
                <w:lang w:val="en-US" w:eastAsia="zh-CN"/>
              </w:rPr>
              <w:t>s2, d1</w:t>
            </w:r>
          </w:p>
        </w:tc>
        <w:tc>
          <w:tcPr>
            <w:tcW w:w="2331" w:type="dxa"/>
            <w:vMerge/>
            <w:tcMar>
              <w:top w:w="0" w:type="dxa"/>
              <w:left w:w="0" w:type="dxa"/>
              <w:bottom w:w="0" w:type="dxa"/>
              <w:right w:w="0" w:type="dxa"/>
            </w:tcMar>
            <w:vAlign w:val="center"/>
          </w:tcPr>
          <w:p w14:paraId="0269B437" w14:textId="77777777" w:rsidR="001C08A5" w:rsidRDefault="001C08A5">
            <w:pPr>
              <w:jc w:val="center"/>
              <w:rPr>
                <w:b/>
                <w:bCs/>
                <w:i/>
                <w:sz w:val="22"/>
                <w:szCs w:val="22"/>
                <w:lang w:val="en-US" w:eastAsia="zh-CN"/>
              </w:rPr>
            </w:pPr>
          </w:p>
        </w:tc>
      </w:tr>
      <w:tr w:rsidR="001C08A5" w14:paraId="14E41860" w14:textId="77777777">
        <w:trPr>
          <w:trHeight w:val="194"/>
        </w:trPr>
        <w:tc>
          <w:tcPr>
            <w:tcW w:w="631" w:type="dxa"/>
            <w:vMerge/>
            <w:tcMar>
              <w:top w:w="0" w:type="dxa"/>
              <w:left w:w="0" w:type="dxa"/>
              <w:bottom w:w="0" w:type="dxa"/>
              <w:right w:w="0" w:type="dxa"/>
            </w:tcMar>
            <w:vAlign w:val="center"/>
          </w:tcPr>
          <w:p w14:paraId="462914C9"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310F3764"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2FCCBF09"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5CC98F97" w14:textId="77777777" w:rsidR="001C08A5" w:rsidRDefault="00000000">
            <w:pPr>
              <w:jc w:val="center"/>
              <w:rPr>
                <w:b/>
                <w:bCs/>
                <w:i/>
                <w:sz w:val="22"/>
                <w:szCs w:val="22"/>
              </w:rPr>
            </w:pPr>
            <w:r>
              <w:rPr>
                <w:b/>
                <w:bCs/>
                <w:i/>
                <w:sz w:val="22"/>
                <w:szCs w:val="22"/>
                <w:lang w:val="en-US" w:eastAsia="zh-CN"/>
              </w:rPr>
              <w:t>s3, d0</w:t>
            </w:r>
          </w:p>
        </w:tc>
        <w:tc>
          <w:tcPr>
            <w:tcW w:w="2331" w:type="dxa"/>
            <w:vMerge/>
            <w:tcMar>
              <w:top w:w="0" w:type="dxa"/>
              <w:left w:w="0" w:type="dxa"/>
              <w:bottom w:w="0" w:type="dxa"/>
              <w:right w:w="0" w:type="dxa"/>
            </w:tcMar>
            <w:vAlign w:val="center"/>
          </w:tcPr>
          <w:p w14:paraId="3B966D18" w14:textId="77777777" w:rsidR="001C08A5" w:rsidRDefault="001C08A5">
            <w:pPr>
              <w:jc w:val="center"/>
              <w:rPr>
                <w:b/>
                <w:bCs/>
                <w:i/>
                <w:sz w:val="22"/>
                <w:szCs w:val="22"/>
                <w:lang w:val="en-US" w:eastAsia="zh-CN"/>
              </w:rPr>
            </w:pPr>
          </w:p>
        </w:tc>
      </w:tr>
      <w:tr w:rsidR="001C08A5" w14:paraId="2BA3B3B3" w14:textId="77777777">
        <w:trPr>
          <w:trHeight w:val="180"/>
        </w:trPr>
        <w:tc>
          <w:tcPr>
            <w:tcW w:w="631" w:type="dxa"/>
            <w:vMerge/>
            <w:tcMar>
              <w:top w:w="0" w:type="dxa"/>
              <w:left w:w="0" w:type="dxa"/>
              <w:bottom w:w="0" w:type="dxa"/>
              <w:right w:w="0" w:type="dxa"/>
            </w:tcMar>
            <w:vAlign w:val="center"/>
          </w:tcPr>
          <w:p w14:paraId="0D87C882"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2D23EE75"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567FC011"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7DF8238A" w14:textId="77777777" w:rsidR="001C08A5" w:rsidRDefault="00000000">
            <w:pPr>
              <w:jc w:val="center"/>
              <w:rPr>
                <w:b/>
                <w:bCs/>
                <w:i/>
                <w:sz w:val="22"/>
                <w:szCs w:val="22"/>
              </w:rPr>
            </w:pPr>
            <w:r>
              <w:rPr>
                <w:b/>
                <w:bCs/>
                <w:i/>
                <w:sz w:val="22"/>
                <w:szCs w:val="22"/>
                <w:lang w:val="en-US" w:eastAsia="zh-CN"/>
              </w:rPr>
              <w:t>s3, d1</w:t>
            </w:r>
          </w:p>
        </w:tc>
        <w:tc>
          <w:tcPr>
            <w:tcW w:w="2331" w:type="dxa"/>
            <w:vMerge/>
            <w:tcMar>
              <w:top w:w="0" w:type="dxa"/>
              <w:left w:w="0" w:type="dxa"/>
              <w:bottom w:w="0" w:type="dxa"/>
              <w:right w:w="0" w:type="dxa"/>
            </w:tcMar>
            <w:vAlign w:val="center"/>
          </w:tcPr>
          <w:p w14:paraId="33785D65" w14:textId="77777777" w:rsidR="001C08A5" w:rsidRDefault="001C08A5">
            <w:pPr>
              <w:jc w:val="center"/>
              <w:rPr>
                <w:b/>
                <w:bCs/>
                <w:i/>
                <w:sz w:val="22"/>
                <w:szCs w:val="22"/>
                <w:lang w:val="en-US" w:eastAsia="zh-CN"/>
              </w:rPr>
            </w:pPr>
          </w:p>
        </w:tc>
      </w:tr>
      <w:tr w:rsidR="001C08A5" w14:paraId="3BC195DD" w14:textId="77777777">
        <w:trPr>
          <w:trHeight w:val="208"/>
        </w:trPr>
        <w:tc>
          <w:tcPr>
            <w:tcW w:w="631" w:type="dxa"/>
            <w:vMerge w:val="restart"/>
            <w:tcMar>
              <w:top w:w="0" w:type="dxa"/>
              <w:left w:w="0" w:type="dxa"/>
              <w:bottom w:w="0" w:type="dxa"/>
              <w:right w:w="0" w:type="dxa"/>
            </w:tcMar>
            <w:vAlign w:val="center"/>
          </w:tcPr>
          <w:p w14:paraId="4231A2DC" w14:textId="77777777" w:rsidR="001C08A5" w:rsidRDefault="00000000">
            <w:pPr>
              <w:jc w:val="center"/>
              <w:rPr>
                <w:b/>
                <w:bCs/>
                <w:i/>
                <w:sz w:val="22"/>
                <w:szCs w:val="22"/>
              </w:rPr>
            </w:pPr>
            <w:r>
              <w:rPr>
                <w:b/>
                <w:bCs/>
                <w:i/>
                <w:sz w:val="22"/>
                <w:szCs w:val="22"/>
              </w:rPr>
              <w:t>3.</w:t>
            </w:r>
          </w:p>
        </w:tc>
        <w:tc>
          <w:tcPr>
            <w:tcW w:w="1764" w:type="dxa"/>
            <w:vMerge w:val="restart"/>
            <w:tcMar>
              <w:top w:w="0" w:type="dxa"/>
              <w:left w:w="0" w:type="dxa"/>
              <w:bottom w:w="0" w:type="dxa"/>
              <w:right w:w="0" w:type="dxa"/>
            </w:tcMar>
            <w:vAlign w:val="center"/>
          </w:tcPr>
          <w:p w14:paraId="05419AAE" w14:textId="77777777" w:rsidR="001C08A5" w:rsidRDefault="00000000">
            <w:pPr>
              <w:jc w:val="center"/>
              <w:rPr>
                <w:i/>
                <w:sz w:val="22"/>
                <w:szCs w:val="22"/>
                <w:lang w:val="en-US" w:eastAsia="zh-CN"/>
              </w:rPr>
            </w:pPr>
            <w:r>
              <w:rPr>
                <w:i/>
                <w:sz w:val="22"/>
                <w:szCs w:val="22"/>
                <w:lang w:val="en-US" w:eastAsia="zh-CN"/>
              </w:rPr>
              <w:t>mediu inflamabile</w:t>
            </w:r>
          </w:p>
          <w:p w14:paraId="40D7C700" w14:textId="77777777" w:rsidR="001C08A5" w:rsidRDefault="00000000">
            <w:pPr>
              <w:jc w:val="center"/>
              <w:rPr>
                <w:i/>
                <w:sz w:val="22"/>
                <w:szCs w:val="22"/>
              </w:rPr>
            </w:pPr>
            <w:r>
              <w:rPr>
                <w:i/>
                <w:sz w:val="22"/>
                <w:szCs w:val="22"/>
                <w:lang w:val="en-US" w:eastAsia="zh-CN"/>
              </w:rPr>
              <w:t>C3 (CA2c)</w:t>
            </w:r>
          </w:p>
        </w:tc>
        <w:tc>
          <w:tcPr>
            <w:tcW w:w="528" w:type="dxa"/>
            <w:vMerge w:val="restart"/>
            <w:tcMar>
              <w:top w:w="0" w:type="dxa"/>
              <w:left w:w="0" w:type="dxa"/>
              <w:bottom w:w="0" w:type="dxa"/>
              <w:right w:w="0" w:type="dxa"/>
            </w:tcMar>
            <w:vAlign w:val="center"/>
          </w:tcPr>
          <w:p w14:paraId="30FA10E9" w14:textId="77777777" w:rsidR="001C08A5" w:rsidRDefault="00000000">
            <w:pPr>
              <w:jc w:val="center"/>
              <w:rPr>
                <w:b/>
                <w:bCs/>
                <w:i/>
                <w:sz w:val="22"/>
                <w:szCs w:val="22"/>
              </w:rPr>
            </w:pPr>
            <w:r>
              <w:rPr>
                <w:b/>
                <w:bCs/>
                <w:i/>
                <w:sz w:val="22"/>
                <w:szCs w:val="22"/>
                <w:lang w:val="en-US" w:eastAsia="zh-CN"/>
              </w:rPr>
              <w:t>D</w:t>
            </w:r>
          </w:p>
        </w:tc>
        <w:tc>
          <w:tcPr>
            <w:tcW w:w="1961" w:type="dxa"/>
            <w:tcMar>
              <w:top w:w="0" w:type="dxa"/>
              <w:left w:w="0" w:type="dxa"/>
              <w:bottom w:w="0" w:type="dxa"/>
              <w:right w:w="0" w:type="dxa"/>
            </w:tcMar>
            <w:vAlign w:val="center"/>
          </w:tcPr>
          <w:p w14:paraId="0467802F" w14:textId="77777777" w:rsidR="001C08A5" w:rsidRDefault="00000000">
            <w:pPr>
              <w:jc w:val="center"/>
              <w:rPr>
                <w:b/>
                <w:bCs/>
                <w:i/>
                <w:sz w:val="22"/>
                <w:szCs w:val="22"/>
              </w:rPr>
            </w:pPr>
            <w:r>
              <w:rPr>
                <w:b/>
                <w:bCs/>
                <w:i/>
                <w:sz w:val="22"/>
                <w:szCs w:val="22"/>
                <w:lang w:val="en-US" w:eastAsia="zh-CN"/>
              </w:rPr>
              <w:t>s1, d0</w:t>
            </w:r>
          </w:p>
        </w:tc>
        <w:tc>
          <w:tcPr>
            <w:tcW w:w="2331" w:type="dxa"/>
            <w:vMerge w:val="restart"/>
            <w:tcMar>
              <w:top w:w="0" w:type="dxa"/>
              <w:left w:w="0" w:type="dxa"/>
              <w:bottom w:w="0" w:type="dxa"/>
              <w:right w:w="0" w:type="dxa"/>
            </w:tcMar>
            <w:vAlign w:val="center"/>
          </w:tcPr>
          <w:p w14:paraId="11AD2DC5" w14:textId="77777777" w:rsidR="001C08A5" w:rsidRDefault="00000000">
            <w:pPr>
              <w:jc w:val="center"/>
              <w:rPr>
                <w:b/>
                <w:bCs/>
                <w:i/>
                <w:sz w:val="22"/>
                <w:szCs w:val="22"/>
                <w:lang w:val="en-US" w:eastAsia="zh-CN"/>
              </w:rPr>
            </w:pPr>
            <w:r>
              <w:rPr>
                <w:b/>
                <w:bCs/>
                <w:i/>
                <w:sz w:val="22"/>
                <w:szCs w:val="22"/>
                <w:lang w:eastAsia="zh-CN"/>
              </w:rPr>
              <w:t>Ds1÷s3,d0÷d1</w:t>
            </w:r>
          </w:p>
        </w:tc>
      </w:tr>
      <w:tr w:rsidR="001C08A5" w14:paraId="713C8345" w14:textId="77777777">
        <w:trPr>
          <w:trHeight w:val="207"/>
        </w:trPr>
        <w:tc>
          <w:tcPr>
            <w:tcW w:w="631" w:type="dxa"/>
            <w:vMerge/>
            <w:tcMar>
              <w:top w:w="0" w:type="dxa"/>
              <w:left w:w="0" w:type="dxa"/>
              <w:bottom w:w="0" w:type="dxa"/>
              <w:right w:w="0" w:type="dxa"/>
            </w:tcMar>
            <w:vAlign w:val="center"/>
          </w:tcPr>
          <w:p w14:paraId="0C9F1B13"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4EDE6EEF"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4652A828"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6C09DE7F" w14:textId="77777777" w:rsidR="001C08A5" w:rsidRDefault="00000000">
            <w:pPr>
              <w:jc w:val="center"/>
              <w:rPr>
                <w:b/>
                <w:bCs/>
                <w:i/>
                <w:sz w:val="22"/>
                <w:szCs w:val="22"/>
              </w:rPr>
            </w:pPr>
            <w:r>
              <w:rPr>
                <w:b/>
                <w:bCs/>
                <w:i/>
                <w:sz w:val="22"/>
                <w:szCs w:val="22"/>
                <w:lang w:val="en-US" w:eastAsia="zh-CN"/>
              </w:rPr>
              <w:t>s1, d1</w:t>
            </w:r>
          </w:p>
        </w:tc>
        <w:tc>
          <w:tcPr>
            <w:tcW w:w="2331" w:type="dxa"/>
            <w:vMerge/>
            <w:tcMar>
              <w:top w:w="0" w:type="dxa"/>
              <w:left w:w="0" w:type="dxa"/>
              <w:bottom w:w="0" w:type="dxa"/>
              <w:right w:w="0" w:type="dxa"/>
            </w:tcMar>
            <w:vAlign w:val="center"/>
          </w:tcPr>
          <w:p w14:paraId="51A9916A" w14:textId="77777777" w:rsidR="001C08A5" w:rsidRDefault="001C08A5">
            <w:pPr>
              <w:jc w:val="center"/>
              <w:rPr>
                <w:b/>
                <w:bCs/>
                <w:i/>
                <w:sz w:val="22"/>
                <w:szCs w:val="22"/>
                <w:lang w:val="en-US" w:eastAsia="zh-CN"/>
              </w:rPr>
            </w:pPr>
          </w:p>
        </w:tc>
      </w:tr>
      <w:tr w:rsidR="001C08A5" w14:paraId="519A5761" w14:textId="77777777">
        <w:trPr>
          <w:trHeight w:val="194"/>
        </w:trPr>
        <w:tc>
          <w:tcPr>
            <w:tcW w:w="631" w:type="dxa"/>
            <w:vMerge/>
            <w:tcMar>
              <w:top w:w="0" w:type="dxa"/>
              <w:left w:w="0" w:type="dxa"/>
              <w:bottom w:w="0" w:type="dxa"/>
              <w:right w:w="0" w:type="dxa"/>
            </w:tcMar>
            <w:vAlign w:val="center"/>
          </w:tcPr>
          <w:p w14:paraId="3984E042"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399C16EC"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3428387F"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060C3509" w14:textId="77777777" w:rsidR="001C08A5" w:rsidRDefault="00000000">
            <w:pPr>
              <w:jc w:val="center"/>
              <w:rPr>
                <w:b/>
                <w:bCs/>
                <w:i/>
                <w:sz w:val="22"/>
                <w:szCs w:val="22"/>
              </w:rPr>
            </w:pPr>
            <w:r>
              <w:rPr>
                <w:b/>
                <w:bCs/>
                <w:i/>
                <w:sz w:val="22"/>
                <w:szCs w:val="22"/>
                <w:lang w:val="en-US" w:eastAsia="zh-CN"/>
              </w:rPr>
              <w:t>s2, d0</w:t>
            </w:r>
          </w:p>
        </w:tc>
        <w:tc>
          <w:tcPr>
            <w:tcW w:w="2331" w:type="dxa"/>
            <w:vMerge/>
            <w:tcMar>
              <w:top w:w="0" w:type="dxa"/>
              <w:left w:w="0" w:type="dxa"/>
              <w:bottom w:w="0" w:type="dxa"/>
              <w:right w:w="0" w:type="dxa"/>
            </w:tcMar>
            <w:vAlign w:val="center"/>
          </w:tcPr>
          <w:p w14:paraId="1D5B4608" w14:textId="77777777" w:rsidR="001C08A5" w:rsidRDefault="001C08A5">
            <w:pPr>
              <w:jc w:val="center"/>
              <w:rPr>
                <w:b/>
                <w:bCs/>
                <w:i/>
                <w:sz w:val="22"/>
                <w:szCs w:val="22"/>
                <w:lang w:val="en-US" w:eastAsia="zh-CN"/>
              </w:rPr>
            </w:pPr>
          </w:p>
        </w:tc>
      </w:tr>
      <w:tr w:rsidR="001C08A5" w14:paraId="329CEBFF" w14:textId="77777777">
        <w:trPr>
          <w:trHeight w:val="167"/>
        </w:trPr>
        <w:tc>
          <w:tcPr>
            <w:tcW w:w="631" w:type="dxa"/>
            <w:vMerge/>
            <w:tcMar>
              <w:top w:w="0" w:type="dxa"/>
              <w:left w:w="0" w:type="dxa"/>
              <w:bottom w:w="0" w:type="dxa"/>
              <w:right w:w="0" w:type="dxa"/>
            </w:tcMar>
            <w:vAlign w:val="center"/>
          </w:tcPr>
          <w:p w14:paraId="2917001A"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726BB371"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28CFF9A0"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4DA84777" w14:textId="77777777" w:rsidR="001C08A5" w:rsidRDefault="00000000">
            <w:pPr>
              <w:jc w:val="center"/>
              <w:rPr>
                <w:b/>
                <w:bCs/>
                <w:i/>
                <w:sz w:val="22"/>
                <w:szCs w:val="22"/>
              </w:rPr>
            </w:pPr>
            <w:r>
              <w:rPr>
                <w:b/>
                <w:bCs/>
                <w:i/>
                <w:sz w:val="22"/>
                <w:szCs w:val="22"/>
                <w:lang w:val="en-US" w:eastAsia="zh-CN"/>
              </w:rPr>
              <w:t>s2, d1</w:t>
            </w:r>
          </w:p>
        </w:tc>
        <w:tc>
          <w:tcPr>
            <w:tcW w:w="2331" w:type="dxa"/>
            <w:vMerge/>
            <w:tcMar>
              <w:top w:w="0" w:type="dxa"/>
              <w:left w:w="0" w:type="dxa"/>
              <w:bottom w:w="0" w:type="dxa"/>
              <w:right w:w="0" w:type="dxa"/>
            </w:tcMar>
            <w:vAlign w:val="center"/>
          </w:tcPr>
          <w:p w14:paraId="4BCA7FFD" w14:textId="77777777" w:rsidR="001C08A5" w:rsidRDefault="001C08A5">
            <w:pPr>
              <w:jc w:val="center"/>
              <w:rPr>
                <w:b/>
                <w:bCs/>
                <w:i/>
                <w:sz w:val="22"/>
                <w:szCs w:val="22"/>
                <w:lang w:val="en-US" w:eastAsia="zh-CN"/>
              </w:rPr>
            </w:pPr>
          </w:p>
        </w:tc>
      </w:tr>
      <w:tr w:rsidR="001C08A5" w14:paraId="7E9DCF75" w14:textId="77777777">
        <w:trPr>
          <w:trHeight w:val="234"/>
        </w:trPr>
        <w:tc>
          <w:tcPr>
            <w:tcW w:w="631" w:type="dxa"/>
            <w:vMerge/>
            <w:tcMar>
              <w:top w:w="0" w:type="dxa"/>
              <w:left w:w="0" w:type="dxa"/>
              <w:bottom w:w="0" w:type="dxa"/>
              <w:right w:w="0" w:type="dxa"/>
            </w:tcMar>
            <w:vAlign w:val="center"/>
          </w:tcPr>
          <w:p w14:paraId="49165C5E"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79E26DF8"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7EA1AB8A"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1B3ED56E" w14:textId="77777777" w:rsidR="001C08A5" w:rsidRDefault="00000000">
            <w:pPr>
              <w:jc w:val="center"/>
              <w:rPr>
                <w:b/>
                <w:bCs/>
                <w:i/>
                <w:sz w:val="22"/>
                <w:szCs w:val="22"/>
              </w:rPr>
            </w:pPr>
            <w:r>
              <w:rPr>
                <w:b/>
                <w:bCs/>
                <w:i/>
                <w:sz w:val="22"/>
                <w:szCs w:val="22"/>
                <w:lang w:val="en-US" w:eastAsia="zh-CN"/>
              </w:rPr>
              <w:t>s3, d0</w:t>
            </w:r>
          </w:p>
        </w:tc>
        <w:tc>
          <w:tcPr>
            <w:tcW w:w="2331" w:type="dxa"/>
            <w:vMerge/>
            <w:tcMar>
              <w:top w:w="0" w:type="dxa"/>
              <w:left w:w="0" w:type="dxa"/>
              <w:bottom w:w="0" w:type="dxa"/>
              <w:right w:w="0" w:type="dxa"/>
            </w:tcMar>
            <w:vAlign w:val="center"/>
          </w:tcPr>
          <w:p w14:paraId="548EA005" w14:textId="77777777" w:rsidR="001C08A5" w:rsidRDefault="001C08A5">
            <w:pPr>
              <w:jc w:val="center"/>
              <w:rPr>
                <w:b/>
                <w:bCs/>
                <w:i/>
                <w:sz w:val="22"/>
                <w:szCs w:val="22"/>
                <w:lang w:val="en-US" w:eastAsia="zh-CN"/>
              </w:rPr>
            </w:pPr>
          </w:p>
        </w:tc>
      </w:tr>
      <w:tr w:rsidR="001C08A5" w14:paraId="7391EDF7" w14:textId="77777777">
        <w:trPr>
          <w:trHeight w:val="180"/>
        </w:trPr>
        <w:tc>
          <w:tcPr>
            <w:tcW w:w="631" w:type="dxa"/>
            <w:vMerge/>
            <w:tcMar>
              <w:top w:w="0" w:type="dxa"/>
              <w:left w:w="0" w:type="dxa"/>
              <w:bottom w:w="0" w:type="dxa"/>
              <w:right w:w="0" w:type="dxa"/>
            </w:tcMar>
            <w:vAlign w:val="center"/>
          </w:tcPr>
          <w:p w14:paraId="072CAE13" w14:textId="77777777" w:rsidR="001C08A5" w:rsidRDefault="001C08A5">
            <w:pPr>
              <w:jc w:val="center"/>
              <w:rPr>
                <w:b/>
                <w:bCs/>
                <w:i/>
                <w:sz w:val="22"/>
                <w:szCs w:val="22"/>
              </w:rPr>
            </w:pPr>
          </w:p>
        </w:tc>
        <w:tc>
          <w:tcPr>
            <w:tcW w:w="1764" w:type="dxa"/>
            <w:vMerge/>
            <w:tcMar>
              <w:top w:w="0" w:type="dxa"/>
              <w:left w:w="0" w:type="dxa"/>
              <w:bottom w:w="0" w:type="dxa"/>
              <w:right w:w="0" w:type="dxa"/>
            </w:tcMar>
            <w:vAlign w:val="center"/>
          </w:tcPr>
          <w:p w14:paraId="581EB809"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2D8726C2"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34E6B320" w14:textId="77777777" w:rsidR="001C08A5" w:rsidRDefault="00000000">
            <w:pPr>
              <w:jc w:val="center"/>
              <w:rPr>
                <w:b/>
                <w:bCs/>
                <w:i/>
                <w:sz w:val="22"/>
                <w:szCs w:val="22"/>
              </w:rPr>
            </w:pPr>
            <w:r>
              <w:rPr>
                <w:b/>
                <w:bCs/>
                <w:i/>
                <w:sz w:val="22"/>
                <w:szCs w:val="22"/>
                <w:lang w:val="en-US" w:eastAsia="zh-CN"/>
              </w:rPr>
              <w:t>s3, d1</w:t>
            </w:r>
          </w:p>
        </w:tc>
        <w:tc>
          <w:tcPr>
            <w:tcW w:w="2331" w:type="dxa"/>
            <w:vMerge/>
            <w:tcMar>
              <w:top w:w="0" w:type="dxa"/>
              <w:left w:w="0" w:type="dxa"/>
              <w:bottom w:w="0" w:type="dxa"/>
              <w:right w:w="0" w:type="dxa"/>
            </w:tcMar>
            <w:vAlign w:val="center"/>
          </w:tcPr>
          <w:p w14:paraId="11729384" w14:textId="77777777" w:rsidR="001C08A5" w:rsidRDefault="001C08A5">
            <w:pPr>
              <w:jc w:val="center"/>
              <w:rPr>
                <w:b/>
                <w:bCs/>
                <w:i/>
                <w:sz w:val="22"/>
                <w:szCs w:val="22"/>
                <w:lang w:val="en-US" w:eastAsia="zh-CN"/>
              </w:rPr>
            </w:pPr>
          </w:p>
        </w:tc>
      </w:tr>
      <w:tr w:rsidR="001C08A5" w14:paraId="5635B896" w14:textId="77777777">
        <w:trPr>
          <w:trHeight w:val="221"/>
        </w:trPr>
        <w:tc>
          <w:tcPr>
            <w:tcW w:w="631" w:type="dxa"/>
            <w:vMerge w:val="restart"/>
            <w:tcMar>
              <w:top w:w="0" w:type="dxa"/>
              <w:left w:w="0" w:type="dxa"/>
              <w:bottom w:w="0" w:type="dxa"/>
              <w:right w:w="0" w:type="dxa"/>
            </w:tcMar>
            <w:vAlign w:val="center"/>
          </w:tcPr>
          <w:p w14:paraId="406313B8" w14:textId="77777777" w:rsidR="001C08A5" w:rsidRDefault="00000000">
            <w:pPr>
              <w:jc w:val="center"/>
              <w:rPr>
                <w:b/>
                <w:bCs/>
                <w:i/>
                <w:sz w:val="22"/>
                <w:szCs w:val="22"/>
              </w:rPr>
            </w:pPr>
            <w:r>
              <w:rPr>
                <w:b/>
                <w:bCs/>
                <w:i/>
                <w:sz w:val="22"/>
                <w:szCs w:val="22"/>
              </w:rPr>
              <w:t>4.</w:t>
            </w:r>
          </w:p>
        </w:tc>
        <w:tc>
          <w:tcPr>
            <w:tcW w:w="1764" w:type="dxa"/>
            <w:vMerge w:val="restart"/>
            <w:tcMar>
              <w:top w:w="0" w:type="dxa"/>
              <w:left w:w="0" w:type="dxa"/>
              <w:bottom w:w="0" w:type="dxa"/>
              <w:right w:w="0" w:type="dxa"/>
            </w:tcMar>
            <w:vAlign w:val="center"/>
          </w:tcPr>
          <w:p w14:paraId="33F83E67" w14:textId="77777777" w:rsidR="001C08A5" w:rsidRDefault="00000000">
            <w:pPr>
              <w:jc w:val="center"/>
              <w:rPr>
                <w:i/>
                <w:sz w:val="22"/>
                <w:szCs w:val="22"/>
                <w:lang w:val="en-US" w:eastAsia="zh-CN"/>
              </w:rPr>
            </w:pPr>
            <w:r>
              <w:rPr>
                <w:i/>
                <w:sz w:val="22"/>
                <w:szCs w:val="22"/>
                <w:lang w:val="en-US" w:eastAsia="zh-CN"/>
              </w:rPr>
              <w:t>ușor inflamabile</w:t>
            </w:r>
          </w:p>
          <w:p w14:paraId="557ED6F9" w14:textId="77777777" w:rsidR="001C08A5" w:rsidRDefault="00000000">
            <w:pPr>
              <w:jc w:val="center"/>
              <w:rPr>
                <w:i/>
                <w:sz w:val="22"/>
                <w:szCs w:val="22"/>
              </w:rPr>
            </w:pPr>
            <w:r>
              <w:rPr>
                <w:i/>
                <w:sz w:val="22"/>
                <w:szCs w:val="22"/>
                <w:lang w:val="en-US" w:eastAsia="zh-CN"/>
              </w:rPr>
              <w:lastRenderedPageBreak/>
              <w:t>C4 (CA2d)</w:t>
            </w:r>
          </w:p>
        </w:tc>
        <w:tc>
          <w:tcPr>
            <w:tcW w:w="528" w:type="dxa"/>
            <w:vMerge w:val="restart"/>
            <w:tcMar>
              <w:top w:w="0" w:type="dxa"/>
              <w:left w:w="0" w:type="dxa"/>
              <w:bottom w:w="0" w:type="dxa"/>
              <w:right w:w="0" w:type="dxa"/>
            </w:tcMar>
            <w:vAlign w:val="center"/>
          </w:tcPr>
          <w:p w14:paraId="7E09FB53" w14:textId="77777777" w:rsidR="001C08A5" w:rsidRDefault="00000000">
            <w:pPr>
              <w:jc w:val="center"/>
              <w:rPr>
                <w:b/>
                <w:bCs/>
                <w:i/>
                <w:sz w:val="22"/>
                <w:szCs w:val="22"/>
              </w:rPr>
            </w:pPr>
            <w:r>
              <w:rPr>
                <w:b/>
                <w:bCs/>
                <w:i/>
                <w:sz w:val="22"/>
                <w:szCs w:val="22"/>
                <w:lang w:val="en-US" w:eastAsia="zh-CN"/>
              </w:rPr>
              <w:lastRenderedPageBreak/>
              <w:t>A2</w:t>
            </w:r>
          </w:p>
        </w:tc>
        <w:tc>
          <w:tcPr>
            <w:tcW w:w="1961" w:type="dxa"/>
            <w:tcMar>
              <w:top w:w="0" w:type="dxa"/>
              <w:left w:w="0" w:type="dxa"/>
              <w:bottom w:w="0" w:type="dxa"/>
              <w:right w:w="0" w:type="dxa"/>
            </w:tcMar>
            <w:vAlign w:val="center"/>
          </w:tcPr>
          <w:p w14:paraId="5FFB9C6E" w14:textId="77777777" w:rsidR="001C08A5" w:rsidRDefault="00000000">
            <w:pPr>
              <w:jc w:val="center"/>
              <w:rPr>
                <w:b/>
                <w:bCs/>
                <w:i/>
                <w:sz w:val="22"/>
                <w:szCs w:val="22"/>
              </w:rPr>
            </w:pPr>
            <w:r>
              <w:rPr>
                <w:b/>
                <w:bCs/>
                <w:i/>
                <w:sz w:val="22"/>
                <w:szCs w:val="22"/>
                <w:lang w:val="en-US" w:eastAsia="zh-CN"/>
              </w:rPr>
              <w:t>s1, d2</w:t>
            </w:r>
          </w:p>
        </w:tc>
        <w:tc>
          <w:tcPr>
            <w:tcW w:w="2331" w:type="dxa"/>
            <w:vMerge w:val="restart"/>
            <w:tcMar>
              <w:top w:w="0" w:type="dxa"/>
              <w:left w:w="0" w:type="dxa"/>
              <w:bottom w:w="0" w:type="dxa"/>
              <w:right w:w="0" w:type="dxa"/>
            </w:tcMar>
            <w:vAlign w:val="center"/>
          </w:tcPr>
          <w:p w14:paraId="52AD1CC6" w14:textId="77777777" w:rsidR="001C08A5" w:rsidRDefault="00000000">
            <w:pPr>
              <w:jc w:val="center"/>
              <w:rPr>
                <w:b/>
                <w:bCs/>
                <w:i/>
                <w:sz w:val="22"/>
                <w:szCs w:val="22"/>
                <w:lang w:val="en-US" w:eastAsia="zh-CN"/>
              </w:rPr>
            </w:pPr>
            <w:r>
              <w:rPr>
                <w:b/>
                <w:bCs/>
                <w:i/>
                <w:sz w:val="22"/>
                <w:szCs w:val="22"/>
                <w:lang w:eastAsia="zh-CN"/>
              </w:rPr>
              <w:t>A2s1÷s3,d2; Bs1÷s3,d2; Cs1÷s3,d2; Ds1÷s3,d2; Ed2</w:t>
            </w:r>
          </w:p>
        </w:tc>
      </w:tr>
      <w:tr w:rsidR="001C08A5" w14:paraId="4F3AC28A" w14:textId="77777777">
        <w:trPr>
          <w:trHeight w:val="194"/>
        </w:trPr>
        <w:tc>
          <w:tcPr>
            <w:tcW w:w="631" w:type="dxa"/>
            <w:vMerge/>
            <w:tcMar>
              <w:top w:w="0" w:type="dxa"/>
              <w:left w:w="0" w:type="dxa"/>
              <w:bottom w:w="0" w:type="dxa"/>
              <w:right w:w="0" w:type="dxa"/>
            </w:tcMar>
            <w:vAlign w:val="center"/>
          </w:tcPr>
          <w:p w14:paraId="65F73878"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583E3599"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659B1EE6"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0AFD421D" w14:textId="77777777" w:rsidR="001C08A5" w:rsidRDefault="00000000">
            <w:pPr>
              <w:jc w:val="center"/>
              <w:rPr>
                <w:b/>
                <w:bCs/>
                <w:i/>
                <w:sz w:val="22"/>
                <w:szCs w:val="22"/>
              </w:rPr>
            </w:pPr>
            <w:r>
              <w:rPr>
                <w:b/>
                <w:bCs/>
                <w:i/>
                <w:sz w:val="22"/>
                <w:szCs w:val="22"/>
                <w:lang w:val="en-US" w:eastAsia="zh-CN"/>
              </w:rPr>
              <w:t>s2, d2</w:t>
            </w:r>
          </w:p>
        </w:tc>
        <w:tc>
          <w:tcPr>
            <w:tcW w:w="2331" w:type="dxa"/>
            <w:vMerge/>
            <w:tcMar>
              <w:top w:w="0" w:type="dxa"/>
              <w:left w:w="0" w:type="dxa"/>
              <w:bottom w:w="0" w:type="dxa"/>
              <w:right w:w="0" w:type="dxa"/>
            </w:tcMar>
            <w:vAlign w:val="center"/>
          </w:tcPr>
          <w:p w14:paraId="30DDFCDF" w14:textId="77777777" w:rsidR="001C08A5" w:rsidRDefault="001C08A5">
            <w:pPr>
              <w:jc w:val="center"/>
              <w:rPr>
                <w:b/>
                <w:bCs/>
                <w:i/>
                <w:sz w:val="22"/>
                <w:szCs w:val="22"/>
                <w:lang w:val="en-US" w:eastAsia="zh-CN"/>
              </w:rPr>
            </w:pPr>
          </w:p>
        </w:tc>
      </w:tr>
      <w:tr w:rsidR="001C08A5" w14:paraId="1709301C" w14:textId="77777777">
        <w:trPr>
          <w:trHeight w:val="166"/>
        </w:trPr>
        <w:tc>
          <w:tcPr>
            <w:tcW w:w="631" w:type="dxa"/>
            <w:vMerge/>
            <w:tcMar>
              <w:top w:w="0" w:type="dxa"/>
              <w:left w:w="0" w:type="dxa"/>
              <w:bottom w:w="0" w:type="dxa"/>
              <w:right w:w="0" w:type="dxa"/>
            </w:tcMar>
            <w:vAlign w:val="center"/>
          </w:tcPr>
          <w:p w14:paraId="1C460592"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455078EC"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3B3BC921"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7F9FD731" w14:textId="77777777" w:rsidR="001C08A5" w:rsidRDefault="00000000">
            <w:pPr>
              <w:jc w:val="center"/>
              <w:rPr>
                <w:b/>
                <w:bCs/>
                <w:i/>
                <w:sz w:val="22"/>
                <w:szCs w:val="22"/>
              </w:rPr>
            </w:pPr>
            <w:r>
              <w:rPr>
                <w:b/>
                <w:bCs/>
                <w:i/>
                <w:sz w:val="22"/>
                <w:szCs w:val="22"/>
                <w:lang w:val="en-US" w:eastAsia="zh-CN"/>
              </w:rPr>
              <w:t>s3, d2</w:t>
            </w:r>
          </w:p>
        </w:tc>
        <w:tc>
          <w:tcPr>
            <w:tcW w:w="2331" w:type="dxa"/>
            <w:vMerge/>
            <w:tcMar>
              <w:top w:w="0" w:type="dxa"/>
              <w:left w:w="0" w:type="dxa"/>
              <w:bottom w:w="0" w:type="dxa"/>
              <w:right w:w="0" w:type="dxa"/>
            </w:tcMar>
            <w:vAlign w:val="center"/>
          </w:tcPr>
          <w:p w14:paraId="320F7BB2" w14:textId="77777777" w:rsidR="001C08A5" w:rsidRDefault="001C08A5">
            <w:pPr>
              <w:jc w:val="center"/>
              <w:rPr>
                <w:b/>
                <w:bCs/>
                <w:i/>
                <w:sz w:val="22"/>
                <w:szCs w:val="22"/>
                <w:lang w:val="en-US" w:eastAsia="zh-CN"/>
              </w:rPr>
            </w:pPr>
          </w:p>
        </w:tc>
      </w:tr>
      <w:tr w:rsidR="001C08A5" w14:paraId="616106B8" w14:textId="77777777">
        <w:trPr>
          <w:trHeight w:val="180"/>
        </w:trPr>
        <w:tc>
          <w:tcPr>
            <w:tcW w:w="631" w:type="dxa"/>
            <w:vMerge/>
            <w:tcMar>
              <w:top w:w="0" w:type="dxa"/>
              <w:left w:w="0" w:type="dxa"/>
              <w:bottom w:w="0" w:type="dxa"/>
              <w:right w:w="0" w:type="dxa"/>
            </w:tcMar>
            <w:vAlign w:val="center"/>
          </w:tcPr>
          <w:p w14:paraId="568770D8"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25010409" w14:textId="77777777" w:rsidR="001C08A5" w:rsidRDefault="001C08A5">
            <w:pPr>
              <w:jc w:val="center"/>
              <w:rPr>
                <w:i/>
                <w:sz w:val="22"/>
                <w:szCs w:val="22"/>
              </w:rPr>
            </w:pPr>
          </w:p>
        </w:tc>
        <w:tc>
          <w:tcPr>
            <w:tcW w:w="528" w:type="dxa"/>
            <w:vMerge w:val="restart"/>
            <w:tcMar>
              <w:top w:w="0" w:type="dxa"/>
              <w:left w:w="0" w:type="dxa"/>
              <w:bottom w:w="0" w:type="dxa"/>
              <w:right w:w="0" w:type="dxa"/>
            </w:tcMar>
            <w:vAlign w:val="center"/>
          </w:tcPr>
          <w:p w14:paraId="33048086" w14:textId="77777777" w:rsidR="001C08A5" w:rsidRDefault="00000000">
            <w:pPr>
              <w:jc w:val="center"/>
              <w:rPr>
                <w:b/>
                <w:bCs/>
                <w:i/>
                <w:sz w:val="22"/>
                <w:szCs w:val="22"/>
              </w:rPr>
            </w:pPr>
            <w:r>
              <w:rPr>
                <w:b/>
                <w:bCs/>
                <w:i/>
                <w:sz w:val="22"/>
                <w:szCs w:val="22"/>
                <w:lang w:val="en-US" w:eastAsia="zh-CN"/>
              </w:rPr>
              <w:t>B</w:t>
            </w:r>
          </w:p>
        </w:tc>
        <w:tc>
          <w:tcPr>
            <w:tcW w:w="1961" w:type="dxa"/>
            <w:tcMar>
              <w:top w:w="0" w:type="dxa"/>
              <w:left w:w="0" w:type="dxa"/>
              <w:bottom w:w="0" w:type="dxa"/>
              <w:right w:w="0" w:type="dxa"/>
            </w:tcMar>
            <w:vAlign w:val="center"/>
          </w:tcPr>
          <w:p w14:paraId="4EC35172" w14:textId="77777777" w:rsidR="001C08A5" w:rsidRDefault="00000000">
            <w:pPr>
              <w:jc w:val="center"/>
              <w:rPr>
                <w:b/>
                <w:bCs/>
                <w:i/>
                <w:sz w:val="22"/>
                <w:szCs w:val="22"/>
              </w:rPr>
            </w:pPr>
            <w:r>
              <w:rPr>
                <w:b/>
                <w:bCs/>
                <w:i/>
                <w:sz w:val="22"/>
                <w:szCs w:val="22"/>
                <w:lang w:val="en-US" w:eastAsia="zh-CN"/>
              </w:rPr>
              <w:t>s1, d2</w:t>
            </w:r>
          </w:p>
        </w:tc>
        <w:tc>
          <w:tcPr>
            <w:tcW w:w="2331" w:type="dxa"/>
            <w:vMerge/>
            <w:tcMar>
              <w:top w:w="0" w:type="dxa"/>
              <w:left w:w="0" w:type="dxa"/>
              <w:bottom w:w="0" w:type="dxa"/>
              <w:right w:w="0" w:type="dxa"/>
            </w:tcMar>
            <w:vAlign w:val="center"/>
          </w:tcPr>
          <w:p w14:paraId="3618682B" w14:textId="77777777" w:rsidR="001C08A5" w:rsidRDefault="001C08A5">
            <w:pPr>
              <w:jc w:val="center"/>
              <w:rPr>
                <w:b/>
                <w:bCs/>
                <w:i/>
                <w:sz w:val="22"/>
                <w:szCs w:val="22"/>
                <w:lang w:val="en-US" w:eastAsia="zh-CN"/>
              </w:rPr>
            </w:pPr>
          </w:p>
        </w:tc>
      </w:tr>
      <w:tr w:rsidR="001C08A5" w14:paraId="76A71462" w14:textId="77777777">
        <w:trPr>
          <w:trHeight w:val="235"/>
        </w:trPr>
        <w:tc>
          <w:tcPr>
            <w:tcW w:w="631" w:type="dxa"/>
            <w:vMerge/>
            <w:tcMar>
              <w:top w:w="0" w:type="dxa"/>
              <w:left w:w="0" w:type="dxa"/>
              <w:bottom w:w="0" w:type="dxa"/>
              <w:right w:w="0" w:type="dxa"/>
            </w:tcMar>
            <w:vAlign w:val="center"/>
          </w:tcPr>
          <w:p w14:paraId="624BBD86"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0EB2A11D"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75DB8A6E"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025AA74F" w14:textId="77777777" w:rsidR="001C08A5" w:rsidRDefault="00000000">
            <w:pPr>
              <w:jc w:val="center"/>
              <w:rPr>
                <w:b/>
                <w:bCs/>
                <w:i/>
                <w:sz w:val="22"/>
                <w:szCs w:val="22"/>
              </w:rPr>
            </w:pPr>
            <w:r>
              <w:rPr>
                <w:b/>
                <w:bCs/>
                <w:i/>
                <w:sz w:val="22"/>
                <w:szCs w:val="22"/>
                <w:lang w:val="en-US" w:eastAsia="zh-CN"/>
              </w:rPr>
              <w:t>s2, d2</w:t>
            </w:r>
          </w:p>
        </w:tc>
        <w:tc>
          <w:tcPr>
            <w:tcW w:w="2331" w:type="dxa"/>
            <w:vMerge/>
            <w:tcMar>
              <w:top w:w="0" w:type="dxa"/>
              <w:left w:w="0" w:type="dxa"/>
              <w:bottom w:w="0" w:type="dxa"/>
              <w:right w:w="0" w:type="dxa"/>
            </w:tcMar>
            <w:vAlign w:val="center"/>
          </w:tcPr>
          <w:p w14:paraId="6AD13339" w14:textId="77777777" w:rsidR="001C08A5" w:rsidRDefault="001C08A5">
            <w:pPr>
              <w:jc w:val="center"/>
              <w:rPr>
                <w:b/>
                <w:bCs/>
                <w:i/>
                <w:sz w:val="22"/>
                <w:szCs w:val="22"/>
                <w:lang w:val="en-US" w:eastAsia="zh-CN"/>
              </w:rPr>
            </w:pPr>
          </w:p>
        </w:tc>
      </w:tr>
      <w:tr w:rsidR="001C08A5" w14:paraId="26CE79D9" w14:textId="77777777">
        <w:trPr>
          <w:trHeight w:val="207"/>
        </w:trPr>
        <w:tc>
          <w:tcPr>
            <w:tcW w:w="631" w:type="dxa"/>
            <w:vMerge/>
            <w:tcMar>
              <w:top w:w="0" w:type="dxa"/>
              <w:left w:w="0" w:type="dxa"/>
              <w:bottom w:w="0" w:type="dxa"/>
              <w:right w:w="0" w:type="dxa"/>
            </w:tcMar>
            <w:vAlign w:val="center"/>
          </w:tcPr>
          <w:p w14:paraId="02C5DC21"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7B9AA072"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760A3A09"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01616F86" w14:textId="77777777" w:rsidR="001C08A5" w:rsidRDefault="00000000">
            <w:pPr>
              <w:jc w:val="center"/>
              <w:rPr>
                <w:b/>
                <w:bCs/>
                <w:i/>
                <w:sz w:val="22"/>
                <w:szCs w:val="22"/>
              </w:rPr>
            </w:pPr>
            <w:r>
              <w:rPr>
                <w:b/>
                <w:bCs/>
                <w:i/>
                <w:sz w:val="22"/>
                <w:szCs w:val="22"/>
                <w:lang w:val="en-US" w:eastAsia="zh-CN"/>
              </w:rPr>
              <w:t>s3, d2</w:t>
            </w:r>
          </w:p>
        </w:tc>
        <w:tc>
          <w:tcPr>
            <w:tcW w:w="2331" w:type="dxa"/>
            <w:vMerge/>
            <w:tcMar>
              <w:top w:w="0" w:type="dxa"/>
              <w:left w:w="0" w:type="dxa"/>
              <w:bottom w:w="0" w:type="dxa"/>
              <w:right w:w="0" w:type="dxa"/>
            </w:tcMar>
            <w:vAlign w:val="center"/>
          </w:tcPr>
          <w:p w14:paraId="12000BB9" w14:textId="77777777" w:rsidR="001C08A5" w:rsidRDefault="001C08A5">
            <w:pPr>
              <w:jc w:val="center"/>
              <w:rPr>
                <w:b/>
                <w:bCs/>
                <w:i/>
                <w:sz w:val="22"/>
                <w:szCs w:val="22"/>
                <w:lang w:val="en-US" w:eastAsia="zh-CN"/>
              </w:rPr>
            </w:pPr>
          </w:p>
        </w:tc>
      </w:tr>
      <w:tr w:rsidR="001C08A5" w14:paraId="19618F91" w14:textId="77777777">
        <w:trPr>
          <w:trHeight w:val="153"/>
        </w:trPr>
        <w:tc>
          <w:tcPr>
            <w:tcW w:w="631" w:type="dxa"/>
            <w:vMerge/>
            <w:tcMar>
              <w:top w:w="0" w:type="dxa"/>
              <w:left w:w="0" w:type="dxa"/>
              <w:bottom w:w="0" w:type="dxa"/>
              <w:right w:w="0" w:type="dxa"/>
            </w:tcMar>
            <w:vAlign w:val="center"/>
          </w:tcPr>
          <w:p w14:paraId="5A253D4E"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61ADB5C2" w14:textId="77777777" w:rsidR="001C08A5" w:rsidRDefault="001C08A5">
            <w:pPr>
              <w:jc w:val="center"/>
              <w:rPr>
                <w:i/>
                <w:sz w:val="22"/>
                <w:szCs w:val="22"/>
              </w:rPr>
            </w:pPr>
          </w:p>
        </w:tc>
        <w:tc>
          <w:tcPr>
            <w:tcW w:w="528" w:type="dxa"/>
            <w:vMerge w:val="restart"/>
            <w:tcMar>
              <w:top w:w="0" w:type="dxa"/>
              <w:left w:w="0" w:type="dxa"/>
              <w:bottom w:w="0" w:type="dxa"/>
              <w:right w:w="0" w:type="dxa"/>
            </w:tcMar>
            <w:vAlign w:val="center"/>
          </w:tcPr>
          <w:p w14:paraId="6022C285" w14:textId="77777777" w:rsidR="001C08A5" w:rsidRDefault="00000000">
            <w:pPr>
              <w:jc w:val="center"/>
              <w:rPr>
                <w:b/>
                <w:bCs/>
                <w:i/>
                <w:sz w:val="22"/>
                <w:szCs w:val="22"/>
              </w:rPr>
            </w:pPr>
            <w:r>
              <w:rPr>
                <w:b/>
                <w:bCs/>
                <w:i/>
                <w:sz w:val="22"/>
                <w:szCs w:val="22"/>
                <w:lang w:val="en-US" w:eastAsia="zh-CN"/>
              </w:rPr>
              <w:t>C</w:t>
            </w:r>
          </w:p>
        </w:tc>
        <w:tc>
          <w:tcPr>
            <w:tcW w:w="1961" w:type="dxa"/>
            <w:tcMar>
              <w:top w:w="0" w:type="dxa"/>
              <w:left w:w="0" w:type="dxa"/>
              <w:bottom w:w="0" w:type="dxa"/>
              <w:right w:w="0" w:type="dxa"/>
            </w:tcMar>
            <w:vAlign w:val="center"/>
          </w:tcPr>
          <w:p w14:paraId="308D4980" w14:textId="77777777" w:rsidR="001C08A5" w:rsidRDefault="00000000">
            <w:pPr>
              <w:jc w:val="center"/>
              <w:rPr>
                <w:b/>
                <w:bCs/>
                <w:i/>
                <w:sz w:val="22"/>
                <w:szCs w:val="22"/>
              </w:rPr>
            </w:pPr>
            <w:r>
              <w:rPr>
                <w:b/>
                <w:bCs/>
                <w:i/>
                <w:sz w:val="22"/>
                <w:szCs w:val="22"/>
                <w:lang w:val="en-US" w:eastAsia="zh-CN"/>
              </w:rPr>
              <w:t>s1, d2</w:t>
            </w:r>
          </w:p>
        </w:tc>
        <w:tc>
          <w:tcPr>
            <w:tcW w:w="2331" w:type="dxa"/>
            <w:vMerge/>
            <w:tcMar>
              <w:top w:w="0" w:type="dxa"/>
              <w:left w:w="0" w:type="dxa"/>
              <w:bottom w:w="0" w:type="dxa"/>
              <w:right w:w="0" w:type="dxa"/>
            </w:tcMar>
            <w:vAlign w:val="center"/>
          </w:tcPr>
          <w:p w14:paraId="37497D88" w14:textId="77777777" w:rsidR="001C08A5" w:rsidRDefault="001C08A5">
            <w:pPr>
              <w:jc w:val="center"/>
              <w:rPr>
                <w:b/>
                <w:bCs/>
                <w:i/>
                <w:sz w:val="22"/>
                <w:szCs w:val="22"/>
                <w:lang w:val="en-US" w:eastAsia="zh-CN"/>
              </w:rPr>
            </w:pPr>
          </w:p>
        </w:tc>
      </w:tr>
      <w:tr w:rsidR="001C08A5" w14:paraId="522B17C4" w14:textId="77777777">
        <w:trPr>
          <w:trHeight w:val="194"/>
        </w:trPr>
        <w:tc>
          <w:tcPr>
            <w:tcW w:w="631" w:type="dxa"/>
            <w:vMerge/>
            <w:tcMar>
              <w:top w:w="0" w:type="dxa"/>
              <w:left w:w="0" w:type="dxa"/>
              <w:bottom w:w="0" w:type="dxa"/>
              <w:right w:w="0" w:type="dxa"/>
            </w:tcMar>
            <w:vAlign w:val="center"/>
          </w:tcPr>
          <w:p w14:paraId="4ECD7A40"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3BD7DB84"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630D30DE"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0C188D4B" w14:textId="77777777" w:rsidR="001C08A5" w:rsidRDefault="00000000">
            <w:pPr>
              <w:jc w:val="center"/>
              <w:rPr>
                <w:b/>
                <w:bCs/>
                <w:i/>
                <w:sz w:val="22"/>
                <w:szCs w:val="22"/>
              </w:rPr>
            </w:pPr>
            <w:r>
              <w:rPr>
                <w:b/>
                <w:bCs/>
                <w:i/>
                <w:sz w:val="22"/>
                <w:szCs w:val="22"/>
                <w:lang w:val="en-US" w:eastAsia="zh-CN"/>
              </w:rPr>
              <w:t>s2, d2</w:t>
            </w:r>
          </w:p>
        </w:tc>
        <w:tc>
          <w:tcPr>
            <w:tcW w:w="2331" w:type="dxa"/>
            <w:vMerge/>
            <w:tcMar>
              <w:top w:w="0" w:type="dxa"/>
              <w:left w:w="0" w:type="dxa"/>
              <w:bottom w:w="0" w:type="dxa"/>
              <w:right w:w="0" w:type="dxa"/>
            </w:tcMar>
            <w:vAlign w:val="center"/>
          </w:tcPr>
          <w:p w14:paraId="24F12527" w14:textId="77777777" w:rsidR="001C08A5" w:rsidRDefault="001C08A5">
            <w:pPr>
              <w:jc w:val="center"/>
              <w:rPr>
                <w:b/>
                <w:bCs/>
                <w:i/>
                <w:sz w:val="22"/>
                <w:szCs w:val="22"/>
                <w:lang w:val="en-US" w:eastAsia="zh-CN"/>
              </w:rPr>
            </w:pPr>
          </w:p>
        </w:tc>
      </w:tr>
      <w:tr w:rsidR="001C08A5" w14:paraId="685C7C45" w14:textId="77777777">
        <w:trPr>
          <w:trHeight w:val="166"/>
        </w:trPr>
        <w:tc>
          <w:tcPr>
            <w:tcW w:w="631" w:type="dxa"/>
            <w:vMerge/>
            <w:tcMar>
              <w:top w:w="0" w:type="dxa"/>
              <w:left w:w="0" w:type="dxa"/>
              <w:bottom w:w="0" w:type="dxa"/>
              <w:right w:w="0" w:type="dxa"/>
            </w:tcMar>
            <w:vAlign w:val="center"/>
          </w:tcPr>
          <w:p w14:paraId="5A3BA8CC"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3DC777D8"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284D7C3A"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3FA37FFB" w14:textId="77777777" w:rsidR="001C08A5" w:rsidRDefault="00000000">
            <w:pPr>
              <w:jc w:val="center"/>
              <w:rPr>
                <w:b/>
                <w:bCs/>
                <w:i/>
                <w:sz w:val="22"/>
                <w:szCs w:val="22"/>
              </w:rPr>
            </w:pPr>
            <w:r>
              <w:rPr>
                <w:b/>
                <w:bCs/>
                <w:i/>
                <w:sz w:val="22"/>
                <w:szCs w:val="22"/>
                <w:lang w:val="en-US" w:eastAsia="zh-CN"/>
              </w:rPr>
              <w:t>s3, d2</w:t>
            </w:r>
          </w:p>
        </w:tc>
        <w:tc>
          <w:tcPr>
            <w:tcW w:w="2331" w:type="dxa"/>
            <w:vMerge/>
            <w:tcMar>
              <w:top w:w="0" w:type="dxa"/>
              <w:left w:w="0" w:type="dxa"/>
              <w:bottom w:w="0" w:type="dxa"/>
              <w:right w:w="0" w:type="dxa"/>
            </w:tcMar>
            <w:vAlign w:val="center"/>
          </w:tcPr>
          <w:p w14:paraId="7E71A1E3" w14:textId="77777777" w:rsidR="001C08A5" w:rsidRDefault="001C08A5">
            <w:pPr>
              <w:jc w:val="center"/>
              <w:rPr>
                <w:b/>
                <w:bCs/>
                <w:i/>
                <w:sz w:val="22"/>
                <w:szCs w:val="22"/>
                <w:lang w:val="en-US" w:eastAsia="zh-CN"/>
              </w:rPr>
            </w:pPr>
          </w:p>
        </w:tc>
      </w:tr>
      <w:tr w:rsidR="001C08A5" w14:paraId="529DD9BB" w14:textId="77777777">
        <w:trPr>
          <w:trHeight w:val="234"/>
        </w:trPr>
        <w:tc>
          <w:tcPr>
            <w:tcW w:w="631" w:type="dxa"/>
            <w:vMerge/>
            <w:tcMar>
              <w:top w:w="0" w:type="dxa"/>
              <w:left w:w="0" w:type="dxa"/>
              <w:bottom w:w="0" w:type="dxa"/>
              <w:right w:w="0" w:type="dxa"/>
            </w:tcMar>
            <w:vAlign w:val="center"/>
          </w:tcPr>
          <w:p w14:paraId="3F18582E"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23FBB2E1" w14:textId="77777777" w:rsidR="001C08A5" w:rsidRDefault="001C08A5">
            <w:pPr>
              <w:jc w:val="center"/>
              <w:rPr>
                <w:i/>
                <w:sz w:val="22"/>
                <w:szCs w:val="22"/>
              </w:rPr>
            </w:pPr>
          </w:p>
        </w:tc>
        <w:tc>
          <w:tcPr>
            <w:tcW w:w="528" w:type="dxa"/>
            <w:vMerge w:val="restart"/>
            <w:tcMar>
              <w:top w:w="0" w:type="dxa"/>
              <w:left w:w="0" w:type="dxa"/>
              <w:bottom w:w="0" w:type="dxa"/>
              <w:right w:w="0" w:type="dxa"/>
            </w:tcMar>
            <w:vAlign w:val="center"/>
          </w:tcPr>
          <w:p w14:paraId="0A0A373C" w14:textId="77777777" w:rsidR="001C08A5" w:rsidRDefault="00000000">
            <w:pPr>
              <w:jc w:val="center"/>
              <w:rPr>
                <w:b/>
                <w:bCs/>
                <w:i/>
                <w:sz w:val="22"/>
                <w:szCs w:val="22"/>
              </w:rPr>
            </w:pPr>
            <w:r>
              <w:rPr>
                <w:b/>
                <w:bCs/>
                <w:i/>
                <w:sz w:val="22"/>
                <w:szCs w:val="22"/>
                <w:lang w:val="en-US" w:eastAsia="zh-CN"/>
              </w:rPr>
              <w:t>D</w:t>
            </w:r>
          </w:p>
        </w:tc>
        <w:tc>
          <w:tcPr>
            <w:tcW w:w="1961" w:type="dxa"/>
            <w:tcMar>
              <w:top w:w="0" w:type="dxa"/>
              <w:left w:w="0" w:type="dxa"/>
              <w:bottom w:w="0" w:type="dxa"/>
              <w:right w:w="0" w:type="dxa"/>
            </w:tcMar>
            <w:vAlign w:val="center"/>
          </w:tcPr>
          <w:p w14:paraId="44F5B5F0" w14:textId="77777777" w:rsidR="001C08A5" w:rsidRDefault="00000000">
            <w:pPr>
              <w:jc w:val="center"/>
              <w:rPr>
                <w:b/>
                <w:bCs/>
                <w:i/>
                <w:sz w:val="22"/>
                <w:szCs w:val="22"/>
              </w:rPr>
            </w:pPr>
            <w:r>
              <w:rPr>
                <w:b/>
                <w:bCs/>
                <w:i/>
                <w:sz w:val="22"/>
                <w:szCs w:val="22"/>
                <w:lang w:val="en-US" w:eastAsia="zh-CN"/>
              </w:rPr>
              <w:t>s1, d2</w:t>
            </w:r>
          </w:p>
        </w:tc>
        <w:tc>
          <w:tcPr>
            <w:tcW w:w="2331" w:type="dxa"/>
            <w:vMerge/>
            <w:tcMar>
              <w:top w:w="0" w:type="dxa"/>
              <w:left w:w="0" w:type="dxa"/>
              <w:bottom w:w="0" w:type="dxa"/>
              <w:right w:w="0" w:type="dxa"/>
            </w:tcMar>
            <w:vAlign w:val="center"/>
          </w:tcPr>
          <w:p w14:paraId="21519A6C" w14:textId="77777777" w:rsidR="001C08A5" w:rsidRDefault="001C08A5">
            <w:pPr>
              <w:jc w:val="center"/>
              <w:rPr>
                <w:b/>
                <w:bCs/>
                <w:i/>
                <w:sz w:val="22"/>
                <w:szCs w:val="22"/>
                <w:lang w:val="en-US" w:eastAsia="zh-CN"/>
              </w:rPr>
            </w:pPr>
          </w:p>
        </w:tc>
      </w:tr>
      <w:tr w:rsidR="001C08A5" w14:paraId="3B12B81C" w14:textId="77777777">
        <w:trPr>
          <w:trHeight w:val="152"/>
        </w:trPr>
        <w:tc>
          <w:tcPr>
            <w:tcW w:w="631" w:type="dxa"/>
            <w:vMerge/>
            <w:tcMar>
              <w:top w:w="0" w:type="dxa"/>
              <w:left w:w="0" w:type="dxa"/>
              <w:bottom w:w="0" w:type="dxa"/>
              <w:right w:w="0" w:type="dxa"/>
            </w:tcMar>
            <w:vAlign w:val="center"/>
          </w:tcPr>
          <w:p w14:paraId="0CB6B321"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5802A472"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786B90BD"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519C8F01" w14:textId="77777777" w:rsidR="001C08A5" w:rsidRDefault="00000000">
            <w:pPr>
              <w:jc w:val="center"/>
              <w:rPr>
                <w:b/>
                <w:bCs/>
                <w:i/>
                <w:sz w:val="22"/>
                <w:szCs w:val="22"/>
              </w:rPr>
            </w:pPr>
            <w:r>
              <w:rPr>
                <w:b/>
                <w:bCs/>
                <w:i/>
                <w:sz w:val="22"/>
                <w:szCs w:val="22"/>
                <w:lang w:val="en-US" w:eastAsia="zh-CN"/>
              </w:rPr>
              <w:t>s2, d2</w:t>
            </w:r>
          </w:p>
        </w:tc>
        <w:tc>
          <w:tcPr>
            <w:tcW w:w="2331" w:type="dxa"/>
            <w:vMerge/>
            <w:tcMar>
              <w:top w:w="0" w:type="dxa"/>
              <w:left w:w="0" w:type="dxa"/>
              <w:bottom w:w="0" w:type="dxa"/>
              <w:right w:w="0" w:type="dxa"/>
            </w:tcMar>
            <w:vAlign w:val="center"/>
          </w:tcPr>
          <w:p w14:paraId="7E270C60" w14:textId="77777777" w:rsidR="001C08A5" w:rsidRDefault="001C08A5">
            <w:pPr>
              <w:jc w:val="center"/>
              <w:rPr>
                <w:b/>
                <w:bCs/>
                <w:i/>
                <w:sz w:val="22"/>
                <w:szCs w:val="22"/>
                <w:lang w:val="en-US" w:eastAsia="zh-CN"/>
              </w:rPr>
            </w:pPr>
          </w:p>
        </w:tc>
      </w:tr>
      <w:tr w:rsidR="001C08A5" w14:paraId="29D5128A" w14:textId="77777777">
        <w:trPr>
          <w:trHeight w:val="167"/>
        </w:trPr>
        <w:tc>
          <w:tcPr>
            <w:tcW w:w="631" w:type="dxa"/>
            <w:vMerge/>
            <w:tcMar>
              <w:top w:w="0" w:type="dxa"/>
              <w:left w:w="0" w:type="dxa"/>
              <w:bottom w:w="0" w:type="dxa"/>
              <w:right w:w="0" w:type="dxa"/>
            </w:tcMar>
            <w:vAlign w:val="center"/>
          </w:tcPr>
          <w:p w14:paraId="582DE01D"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72FB9F7C" w14:textId="77777777" w:rsidR="001C08A5" w:rsidRDefault="001C08A5">
            <w:pPr>
              <w:jc w:val="center"/>
              <w:rPr>
                <w:i/>
                <w:sz w:val="22"/>
                <w:szCs w:val="22"/>
              </w:rPr>
            </w:pPr>
          </w:p>
        </w:tc>
        <w:tc>
          <w:tcPr>
            <w:tcW w:w="528" w:type="dxa"/>
            <w:vMerge/>
            <w:tcMar>
              <w:top w:w="0" w:type="dxa"/>
              <w:left w:w="0" w:type="dxa"/>
              <w:bottom w:w="0" w:type="dxa"/>
              <w:right w:w="0" w:type="dxa"/>
            </w:tcMar>
            <w:vAlign w:val="center"/>
          </w:tcPr>
          <w:p w14:paraId="3A2247EA" w14:textId="77777777" w:rsidR="001C08A5" w:rsidRDefault="001C08A5">
            <w:pPr>
              <w:jc w:val="center"/>
              <w:rPr>
                <w:b/>
                <w:bCs/>
                <w:i/>
                <w:sz w:val="22"/>
                <w:szCs w:val="22"/>
              </w:rPr>
            </w:pPr>
          </w:p>
        </w:tc>
        <w:tc>
          <w:tcPr>
            <w:tcW w:w="1961" w:type="dxa"/>
            <w:tcMar>
              <w:top w:w="0" w:type="dxa"/>
              <w:left w:w="0" w:type="dxa"/>
              <w:bottom w:w="0" w:type="dxa"/>
              <w:right w:w="0" w:type="dxa"/>
            </w:tcMar>
            <w:vAlign w:val="center"/>
          </w:tcPr>
          <w:p w14:paraId="502DBD30" w14:textId="77777777" w:rsidR="001C08A5" w:rsidRDefault="00000000">
            <w:pPr>
              <w:jc w:val="center"/>
              <w:rPr>
                <w:b/>
                <w:bCs/>
                <w:i/>
                <w:sz w:val="22"/>
                <w:szCs w:val="22"/>
              </w:rPr>
            </w:pPr>
            <w:r>
              <w:rPr>
                <w:b/>
                <w:bCs/>
                <w:i/>
                <w:sz w:val="22"/>
                <w:szCs w:val="22"/>
                <w:lang w:val="en-US" w:eastAsia="zh-CN"/>
              </w:rPr>
              <w:t>s3, d2</w:t>
            </w:r>
          </w:p>
        </w:tc>
        <w:tc>
          <w:tcPr>
            <w:tcW w:w="2331" w:type="dxa"/>
            <w:vMerge/>
            <w:tcMar>
              <w:top w:w="0" w:type="dxa"/>
              <w:left w:w="0" w:type="dxa"/>
              <w:bottom w:w="0" w:type="dxa"/>
              <w:right w:w="0" w:type="dxa"/>
            </w:tcMar>
            <w:vAlign w:val="center"/>
          </w:tcPr>
          <w:p w14:paraId="05BFCAD5" w14:textId="77777777" w:rsidR="001C08A5" w:rsidRDefault="001C08A5">
            <w:pPr>
              <w:jc w:val="center"/>
              <w:rPr>
                <w:b/>
                <w:bCs/>
                <w:i/>
                <w:sz w:val="22"/>
                <w:szCs w:val="22"/>
                <w:lang w:val="en-US" w:eastAsia="zh-CN"/>
              </w:rPr>
            </w:pPr>
          </w:p>
        </w:tc>
      </w:tr>
      <w:tr w:rsidR="001C08A5" w14:paraId="45F8FA95" w14:textId="77777777">
        <w:trPr>
          <w:trHeight w:val="221"/>
        </w:trPr>
        <w:tc>
          <w:tcPr>
            <w:tcW w:w="631" w:type="dxa"/>
            <w:vMerge/>
            <w:tcMar>
              <w:top w:w="0" w:type="dxa"/>
              <w:left w:w="0" w:type="dxa"/>
              <w:bottom w:w="0" w:type="dxa"/>
              <w:right w:w="0" w:type="dxa"/>
            </w:tcMar>
            <w:vAlign w:val="center"/>
          </w:tcPr>
          <w:p w14:paraId="6E3504B5"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03028606" w14:textId="77777777" w:rsidR="001C08A5" w:rsidRDefault="001C08A5">
            <w:pPr>
              <w:jc w:val="center"/>
              <w:rPr>
                <w:i/>
                <w:sz w:val="22"/>
                <w:szCs w:val="22"/>
              </w:rPr>
            </w:pPr>
          </w:p>
        </w:tc>
        <w:tc>
          <w:tcPr>
            <w:tcW w:w="528" w:type="dxa"/>
            <w:tcMar>
              <w:top w:w="0" w:type="dxa"/>
              <w:left w:w="0" w:type="dxa"/>
              <w:bottom w:w="0" w:type="dxa"/>
              <w:right w:w="0" w:type="dxa"/>
            </w:tcMar>
            <w:vAlign w:val="center"/>
          </w:tcPr>
          <w:p w14:paraId="12DC47CF" w14:textId="77777777" w:rsidR="001C08A5" w:rsidRDefault="00000000">
            <w:pPr>
              <w:jc w:val="center"/>
              <w:rPr>
                <w:b/>
                <w:bCs/>
                <w:i/>
                <w:sz w:val="22"/>
                <w:szCs w:val="22"/>
              </w:rPr>
            </w:pPr>
            <w:r>
              <w:rPr>
                <w:b/>
                <w:bCs/>
                <w:i/>
                <w:sz w:val="22"/>
                <w:szCs w:val="22"/>
                <w:lang w:val="en-US" w:eastAsia="zh-CN"/>
              </w:rPr>
              <w:t>E</w:t>
            </w:r>
          </w:p>
        </w:tc>
        <w:tc>
          <w:tcPr>
            <w:tcW w:w="1961" w:type="dxa"/>
            <w:tcMar>
              <w:top w:w="0" w:type="dxa"/>
              <w:left w:w="0" w:type="dxa"/>
              <w:bottom w:w="0" w:type="dxa"/>
              <w:right w:w="0" w:type="dxa"/>
            </w:tcMar>
            <w:vAlign w:val="center"/>
          </w:tcPr>
          <w:p w14:paraId="27BB8973" w14:textId="77777777" w:rsidR="001C08A5" w:rsidRDefault="00000000">
            <w:pPr>
              <w:jc w:val="center"/>
              <w:rPr>
                <w:b/>
                <w:bCs/>
                <w:i/>
                <w:sz w:val="22"/>
                <w:szCs w:val="22"/>
              </w:rPr>
            </w:pPr>
            <w:r>
              <w:rPr>
                <w:b/>
                <w:bCs/>
                <w:i/>
                <w:sz w:val="22"/>
                <w:szCs w:val="22"/>
                <w:lang w:val="en-US" w:eastAsia="zh-CN"/>
              </w:rPr>
              <w:t>d2</w:t>
            </w:r>
          </w:p>
        </w:tc>
        <w:tc>
          <w:tcPr>
            <w:tcW w:w="2331" w:type="dxa"/>
            <w:vMerge/>
            <w:tcMar>
              <w:top w:w="0" w:type="dxa"/>
              <w:left w:w="0" w:type="dxa"/>
              <w:bottom w:w="0" w:type="dxa"/>
              <w:right w:w="0" w:type="dxa"/>
            </w:tcMar>
            <w:vAlign w:val="center"/>
          </w:tcPr>
          <w:p w14:paraId="6094C290" w14:textId="77777777" w:rsidR="001C08A5" w:rsidRDefault="001C08A5">
            <w:pPr>
              <w:jc w:val="center"/>
              <w:rPr>
                <w:b/>
                <w:bCs/>
                <w:i/>
                <w:sz w:val="22"/>
                <w:szCs w:val="22"/>
                <w:lang w:val="en-US" w:eastAsia="zh-CN"/>
              </w:rPr>
            </w:pPr>
          </w:p>
        </w:tc>
      </w:tr>
      <w:tr w:rsidR="001C08A5" w14:paraId="2587CFA5" w14:textId="77777777">
        <w:trPr>
          <w:trHeight w:val="224"/>
        </w:trPr>
        <w:tc>
          <w:tcPr>
            <w:tcW w:w="631" w:type="dxa"/>
            <w:vMerge/>
            <w:tcMar>
              <w:top w:w="0" w:type="dxa"/>
              <w:left w:w="0" w:type="dxa"/>
              <w:bottom w:w="0" w:type="dxa"/>
              <w:right w:w="0" w:type="dxa"/>
            </w:tcMar>
            <w:vAlign w:val="center"/>
          </w:tcPr>
          <w:p w14:paraId="7BB21206" w14:textId="77777777" w:rsidR="001C08A5" w:rsidRDefault="001C08A5">
            <w:pPr>
              <w:rPr>
                <w:b/>
                <w:bCs/>
                <w:i/>
                <w:sz w:val="22"/>
                <w:szCs w:val="22"/>
              </w:rPr>
            </w:pPr>
          </w:p>
        </w:tc>
        <w:tc>
          <w:tcPr>
            <w:tcW w:w="1764" w:type="dxa"/>
            <w:vMerge/>
            <w:tcMar>
              <w:top w:w="0" w:type="dxa"/>
              <w:left w:w="0" w:type="dxa"/>
              <w:bottom w:w="0" w:type="dxa"/>
              <w:right w:w="0" w:type="dxa"/>
            </w:tcMar>
            <w:vAlign w:val="center"/>
          </w:tcPr>
          <w:p w14:paraId="796A5F98" w14:textId="77777777" w:rsidR="001C08A5" w:rsidRDefault="001C08A5">
            <w:pPr>
              <w:jc w:val="center"/>
              <w:rPr>
                <w:i/>
                <w:sz w:val="22"/>
                <w:szCs w:val="22"/>
              </w:rPr>
            </w:pPr>
          </w:p>
        </w:tc>
        <w:tc>
          <w:tcPr>
            <w:tcW w:w="528" w:type="dxa"/>
            <w:tcMar>
              <w:top w:w="0" w:type="dxa"/>
              <w:left w:w="0" w:type="dxa"/>
              <w:bottom w:w="0" w:type="dxa"/>
              <w:right w:w="0" w:type="dxa"/>
            </w:tcMar>
            <w:vAlign w:val="center"/>
          </w:tcPr>
          <w:p w14:paraId="00E24E52" w14:textId="77777777" w:rsidR="001C08A5" w:rsidRDefault="00000000">
            <w:pPr>
              <w:jc w:val="center"/>
              <w:rPr>
                <w:b/>
                <w:bCs/>
                <w:i/>
                <w:sz w:val="22"/>
                <w:szCs w:val="22"/>
              </w:rPr>
            </w:pPr>
            <w:r>
              <w:rPr>
                <w:b/>
                <w:bCs/>
                <w:i/>
                <w:sz w:val="22"/>
                <w:szCs w:val="22"/>
                <w:lang w:val="en-US" w:eastAsia="zh-CN"/>
              </w:rPr>
              <w:t>F</w:t>
            </w:r>
          </w:p>
        </w:tc>
        <w:tc>
          <w:tcPr>
            <w:tcW w:w="1961" w:type="dxa"/>
            <w:tcMar>
              <w:top w:w="0" w:type="dxa"/>
              <w:left w:w="0" w:type="dxa"/>
              <w:bottom w:w="0" w:type="dxa"/>
              <w:right w:w="0" w:type="dxa"/>
            </w:tcMar>
            <w:vAlign w:val="center"/>
          </w:tcPr>
          <w:p w14:paraId="04E35C43" w14:textId="77777777" w:rsidR="001C08A5" w:rsidRDefault="00000000">
            <w:pPr>
              <w:jc w:val="center"/>
              <w:rPr>
                <w:b/>
                <w:bCs/>
                <w:i/>
                <w:sz w:val="22"/>
                <w:szCs w:val="22"/>
              </w:rPr>
            </w:pPr>
            <w:r>
              <w:rPr>
                <w:b/>
                <w:bCs/>
                <w:i/>
                <w:sz w:val="22"/>
                <w:szCs w:val="22"/>
                <w:lang w:val="en-US" w:eastAsia="zh-CN"/>
              </w:rPr>
              <w:t>-</w:t>
            </w:r>
          </w:p>
        </w:tc>
        <w:tc>
          <w:tcPr>
            <w:tcW w:w="2331" w:type="dxa"/>
            <w:vMerge/>
            <w:tcMar>
              <w:top w:w="0" w:type="dxa"/>
              <w:left w:w="0" w:type="dxa"/>
              <w:bottom w:w="0" w:type="dxa"/>
              <w:right w:w="0" w:type="dxa"/>
            </w:tcMar>
            <w:vAlign w:val="center"/>
          </w:tcPr>
          <w:p w14:paraId="215719DC" w14:textId="77777777" w:rsidR="001C08A5" w:rsidRDefault="001C08A5">
            <w:pPr>
              <w:jc w:val="center"/>
              <w:rPr>
                <w:b/>
                <w:bCs/>
                <w:i/>
                <w:sz w:val="22"/>
                <w:szCs w:val="22"/>
                <w:lang w:val="en-US" w:eastAsia="zh-CN"/>
              </w:rPr>
            </w:pPr>
          </w:p>
        </w:tc>
      </w:tr>
    </w:tbl>
    <w:p w14:paraId="6635A267" w14:textId="77777777" w:rsidR="001C08A5" w:rsidRDefault="00000000">
      <w:pPr>
        <w:jc w:val="both"/>
        <w:rPr>
          <w:i/>
          <w:iCs/>
          <w:sz w:val="22"/>
          <w:szCs w:val="22"/>
        </w:rPr>
      </w:pPr>
      <w:r>
        <w:rPr>
          <w:i/>
          <w:iCs/>
          <w:sz w:val="22"/>
          <w:szCs w:val="22"/>
        </w:rPr>
        <w:t>Note:</w:t>
      </w:r>
    </w:p>
    <w:p w14:paraId="32A4271E" w14:textId="77777777" w:rsidR="001C08A5" w:rsidRDefault="00000000">
      <w:pPr>
        <w:jc w:val="both"/>
        <w:rPr>
          <w:i/>
          <w:iCs/>
          <w:sz w:val="22"/>
          <w:szCs w:val="22"/>
        </w:rPr>
      </w:pPr>
      <w:r>
        <w:rPr>
          <w:i/>
          <w:iCs/>
          <w:sz w:val="22"/>
          <w:szCs w:val="22"/>
        </w:rPr>
        <w:t>1. Clasa de combustibilitate a produsului se înlocuieşte în funcţie de utilizarea finală preconizată cu una dintre clasele de reacţie la foc din tabel.</w:t>
      </w:r>
    </w:p>
    <w:p w14:paraId="5E7D7606" w14:textId="77777777" w:rsidR="001C08A5" w:rsidRDefault="00000000">
      <w:pPr>
        <w:jc w:val="both"/>
        <w:rPr>
          <w:i/>
          <w:iCs/>
          <w:sz w:val="22"/>
          <w:szCs w:val="22"/>
        </w:rPr>
      </w:pPr>
      <w:r>
        <w:rPr>
          <w:i/>
          <w:iCs/>
          <w:sz w:val="22"/>
          <w:szCs w:val="22"/>
        </w:rPr>
        <w:t>2. La înlocuirea claselor de combustibilitate cu clasele de reacţie la foc se va avea în vedere adoptarea nivelurilor de performanţă pentru emisia de fum şi picături/particule arzânde corespunzător utilizării preconizate/finale a produsului, conform precizărilor din OMAI 1822.</w:t>
      </w:r>
    </w:p>
    <w:p w14:paraId="0E25B301" w14:textId="77777777" w:rsidR="001C08A5" w:rsidRDefault="00000000">
      <w:pPr>
        <w:jc w:val="both"/>
        <w:rPr>
          <w:i/>
          <w:iCs/>
          <w:sz w:val="22"/>
          <w:szCs w:val="22"/>
        </w:rPr>
      </w:pPr>
      <w:r>
        <w:rPr>
          <w:i/>
          <w:iCs/>
          <w:sz w:val="22"/>
          <w:szCs w:val="22"/>
        </w:rPr>
        <w:t xml:space="preserve">3. Materialele din clasele C1 (CA2a) şi C2 (CA2b) respectiv </w:t>
      </w:r>
      <w:r>
        <w:rPr>
          <w:i/>
          <w:iCs/>
          <w:sz w:val="22"/>
          <w:szCs w:val="22"/>
          <w:lang w:val="en-US" w:eastAsia="zh-CN"/>
        </w:rPr>
        <w:t>practic neinflamabile</w:t>
      </w:r>
      <w:r>
        <w:rPr>
          <w:i/>
          <w:iCs/>
          <w:sz w:val="22"/>
          <w:szCs w:val="22"/>
          <w:lang w:eastAsia="zh-CN"/>
        </w:rPr>
        <w:t xml:space="preserve"> </w:t>
      </w:r>
      <w:r>
        <w:rPr>
          <w:i/>
          <w:iCs/>
          <w:sz w:val="22"/>
          <w:szCs w:val="22"/>
        </w:rPr>
        <w:t xml:space="preserve">și </w:t>
      </w:r>
      <w:r>
        <w:rPr>
          <w:i/>
          <w:iCs/>
          <w:sz w:val="22"/>
          <w:szCs w:val="22"/>
          <w:lang w:val="en-US" w:eastAsia="zh-CN"/>
        </w:rPr>
        <w:t>dificil inflamabile</w:t>
      </w:r>
      <w:r>
        <w:rPr>
          <w:i/>
          <w:iCs/>
          <w:sz w:val="22"/>
          <w:szCs w:val="22"/>
        </w:rPr>
        <w:t>, sunt considerate greu combustibile.</w:t>
      </w:r>
    </w:p>
    <w:p w14:paraId="5750D347" w14:textId="77777777" w:rsidR="001C08A5" w:rsidRDefault="001C08A5">
      <w:pPr>
        <w:jc w:val="both"/>
        <w:rPr>
          <w:i/>
          <w:iCs/>
          <w:sz w:val="22"/>
          <w:szCs w:val="22"/>
        </w:rPr>
      </w:pPr>
    </w:p>
    <w:p w14:paraId="52C6212F" w14:textId="77777777" w:rsidR="001C08A5" w:rsidRDefault="00000000">
      <w:pPr>
        <w:pStyle w:val="Caption"/>
        <w:spacing w:before="0" w:after="150"/>
        <w:jc w:val="both"/>
        <w:rPr>
          <w:rFonts w:eastAsia="Calibri" w:cs="Times New Roman"/>
        </w:rPr>
      </w:pPr>
      <w:bookmarkStart w:id="10309" w:name="_Toc162360191"/>
      <w:r>
        <w:t xml:space="preserve">Tabelul </w:t>
      </w:r>
      <w:r>
        <w:fldChar w:fldCharType="begin"/>
      </w:r>
      <w:r>
        <w:instrText xml:space="preserve"> SEQ Tabelul \* ARABIC </w:instrText>
      </w:r>
      <w:r>
        <w:fldChar w:fldCharType="separate"/>
      </w:r>
      <w:r>
        <w:t>141</w:t>
      </w:r>
      <w:r>
        <w:fldChar w:fldCharType="end"/>
      </w:r>
      <w:bookmarkStart w:id="10310" w:name="_Toc31169"/>
      <w:bookmarkStart w:id="10311" w:name="_Toc20140"/>
      <w:bookmarkStart w:id="10312" w:name="_Toc8523"/>
      <w:bookmarkStart w:id="10313" w:name="_Toc8184"/>
      <w:bookmarkStart w:id="10314" w:name="_Toc28672"/>
      <w:bookmarkStart w:id="10315" w:name="_Toc18553"/>
      <w:bookmarkStart w:id="10316" w:name="_Toc24509"/>
      <w:bookmarkStart w:id="10317" w:name="_Toc23245"/>
      <w:bookmarkStart w:id="10318" w:name="_Toc1768"/>
      <w:bookmarkStart w:id="10319" w:name="_Toc3147"/>
      <w:bookmarkStart w:id="10320" w:name="_Toc582"/>
      <w:bookmarkStart w:id="10321" w:name="_Toc30695"/>
      <w:r>
        <w:t xml:space="preserve">: </w:t>
      </w:r>
      <w:r>
        <w:rPr>
          <w:rFonts w:eastAsia="Calibri" w:cs="Times New Roman"/>
          <w:bCs/>
        </w:rPr>
        <w:t>C</w:t>
      </w:r>
      <w:r>
        <w:rPr>
          <w:rFonts w:eastAsia="Calibri" w:cs="Times New Roman"/>
          <w:bCs/>
          <w:lang w:val="pt-BR"/>
        </w:rPr>
        <w:t>lase de performan</w:t>
      </w:r>
      <w:r>
        <w:rPr>
          <w:rFonts w:eastAsia="Calibri" w:cs="Times New Roman"/>
          <w:bCs/>
        </w:rPr>
        <w:t>ță</w:t>
      </w:r>
      <w:r>
        <w:rPr>
          <w:rFonts w:eastAsia="Calibri" w:cs="Times New Roman"/>
          <w:bCs/>
          <w:lang w:val="pt-BR"/>
        </w:rPr>
        <w:t xml:space="preserve"> privind reac</w:t>
      </w:r>
      <w:r>
        <w:rPr>
          <w:rFonts w:eastAsia="Calibri" w:cs="Times New Roman"/>
          <w:bCs/>
        </w:rPr>
        <w:t>ț</w:t>
      </w:r>
      <w:r>
        <w:rPr>
          <w:rFonts w:eastAsia="Calibri" w:cs="Times New Roman"/>
          <w:bCs/>
          <w:lang w:val="pt-BR"/>
        </w:rPr>
        <w:t>ia la foc a produselor pentru</w:t>
      </w:r>
      <w:r>
        <w:rPr>
          <w:rFonts w:eastAsia="Calibri" w:cs="Times New Roman"/>
          <w:bCs/>
        </w:rPr>
        <w:t xml:space="preserve"> </w:t>
      </w:r>
      <w:r>
        <w:rPr>
          <w:rFonts w:eastAsia="Calibri" w:cs="Times New Roman"/>
          <w:bCs/>
          <w:lang w:val="pt-BR"/>
        </w:rPr>
        <w:t>construcţii, cu excepţia pardoselilor şi a produselor termoizolante pentru tubulatura liniara (*)</w:t>
      </w:r>
      <w:r>
        <w:rPr>
          <w:rFonts w:eastAsia="Calibri" w:cs="Times New Roman"/>
          <w:bCs/>
        </w:rPr>
        <w:t xml:space="preserve"> </w:t>
      </w:r>
      <w:r>
        <w:rPr>
          <w:rFonts w:eastAsia="Calibri" w:cs="Times New Roman"/>
          <w:bCs/>
          <w:shd w:val="clear" w:color="auto" w:fill="FFFFFF"/>
        </w:rPr>
        <w:t>la construcții noi și existente</w:t>
      </w:r>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p>
    <w:tbl>
      <w:tblPr>
        <w:tblStyle w:val="TableGrid"/>
        <w:tblW w:w="0" w:type="auto"/>
        <w:tblLayout w:type="fixed"/>
        <w:tblLook w:val="04A0" w:firstRow="1" w:lastRow="0" w:firstColumn="1" w:lastColumn="0" w:noHBand="0" w:noVBand="1"/>
      </w:tblPr>
      <w:tblGrid>
        <w:gridCol w:w="756"/>
        <w:gridCol w:w="1923"/>
        <w:gridCol w:w="4399"/>
        <w:gridCol w:w="2673"/>
      </w:tblGrid>
      <w:tr w:rsidR="001C08A5" w14:paraId="512EB1FB" w14:textId="77777777">
        <w:tc>
          <w:tcPr>
            <w:tcW w:w="756" w:type="dxa"/>
            <w:vMerge w:val="restart"/>
          </w:tcPr>
          <w:p w14:paraId="15F3F27A" w14:textId="77777777" w:rsidR="001C08A5" w:rsidRDefault="00000000">
            <w:pPr>
              <w:autoSpaceDE w:val="0"/>
              <w:autoSpaceDN w:val="0"/>
              <w:adjustRightInd w:val="0"/>
              <w:rPr>
                <w:rFonts w:eastAsia="Courier New"/>
                <w:b/>
                <w:bCs/>
                <w:i/>
                <w:sz w:val="22"/>
                <w:szCs w:val="22"/>
                <w:lang w:val="pt-BR"/>
              </w:rPr>
            </w:pPr>
            <w:r>
              <w:rPr>
                <w:rFonts w:eastAsia="Courier New"/>
                <w:b/>
                <w:bCs/>
                <w:i/>
                <w:sz w:val="22"/>
                <w:szCs w:val="22"/>
                <w:lang w:val="pt-BR"/>
              </w:rPr>
              <w:t>Clasa</w:t>
            </w:r>
          </w:p>
        </w:tc>
        <w:tc>
          <w:tcPr>
            <w:tcW w:w="1923" w:type="dxa"/>
            <w:vMerge w:val="restart"/>
            <w:vAlign w:val="center"/>
          </w:tcPr>
          <w:p w14:paraId="4AA9E319" w14:textId="77777777" w:rsidR="001C08A5" w:rsidRDefault="00000000">
            <w:pPr>
              <w:autoSpaceDE w:val="0"/>
              <w:autoSpaceDN w:val="0"/>
              <w:adjustRightInd w:val="0"/>
              <w:jc w:val="center"/>
              <w:rPr>
                <w:rFonts w:eastAsia="Courier New"/>
                <w:b/>
                <w:bCs/>
                <w:i/>
                <w:sz w:val="22"/>
                <w:szCs w:val="22"/>
                <w:lang w:val="pt-BR"/>
              </w:rPr>
            </w:pPr>
            <w:r>
              <w:rPr>
                <w:rFonts w:eastAsia="Courier New"/>
                <w:b/>
                <w:bCs/>
                <w:i/>
                <w:sz w:val="22"/>
                <w:szCs w:val="22"/>
                <w:lang w:val="pt-BR"/>
              </w:rPr>
              <w:t>Metoda(e</w:t>
            </w:r>
            <w:r>
              <w:rPr>
                <w:rFonts w:eastAsia="Courier New"/>
                <w:b/>
                <w:bCs/>
                <w:i/>
                <w:sz w:val="22"/>
                <w:szCs w:val="22"/>
              </w:rPr>
              <w:t xml:space="preserve">) </w:t>
            </w:r>
            <w:r>
              <w:rPr>
                <w:rFonts w:eastAsia="Courier New"/>
                <w:b/>
                <w:bCs/>
                <w:i/>
                <w:sz w:val="22"/>
                <w:szCs w:val="22"/>
                <w:lang w:val="pt-BR"/>
              </w:rPr>
              <w:t>de</w:t>
            </w:r>
            <w:r>
              <w:rPr>
                <w:rFonts w:eastAsia="Courier New"/>
                <w:b/>
                <w:bCs/>
                <w:i/>
                <w:sz w:val="22"/>
                <w:szCs w:val="22"/>
              </w:rPr>
              <w:t xml:space="preserve"> </w:t>
            </w:r>
            <w:r>
              <w:rPr>
                <w:rFonts w:eastAsia="Courier New"/>
                <w:b/>
                <w:bCs/>
                <w:i/>
                <w:sz w:val="22"/>
                <w:szCs w:val="22"/>
                <w:lang w:val="pt-BR"/>
              </w:rPr>
              <w:t>încercare</w:t>
            </w:r>
          </w:p>
        </w:tc>
        <w:tc>
          <w:tcPr>
            <w:tcW w:w="7072" w:type="dxa"/>
            <w:gridSpan w:val="2"/>
            <w:vAlign w:val="center"/>
          </w:tcPr>
          <w:p w14:paraId="727A196F" w14:textId="77777777" w:rsidR="001C08A5" w:rsidRDefault="00000000">
            <w:pPr>
              <w:autoSpaceDE w:val="0"/>
              <w:autoSpaceDN w:val="0"/>
              <w:adjustRightInd w:val="0"/>
              <w:jc w:val="center"/>
              <w:rPr>
                <w:rFonts w:eastAsia="Courier New"/>
                <w:b/>
                <w:bCs/>
                <w:i/>
                <w:sz w:val="22"/>
                <w:szCs w:val="22"/>
                <w:lang w:val="pt-BR"/>
              </w:rPr>
            </w:pPr>
            <w:r>
              <w:rPr>
                <w:rFonts w:eastAsia="Courier New"/>
                <w:b/>
                <w:bCs/>
                <w:i/>
                <w:sz w:val="22"/>
                <w:szCs w:val="22"/>
                <w:lang w:val="pt-BR"/>
              </w:rPr>
              <w:t>Criterii de clasificare</w:t>
            </w:r>
          </w:p>
        </w:tc>
      </w:tr>
      <w:tr w:rsidR="001C08A5" w14:paraId="7236816D" w14:textId="77777777">
        <w:tc>
          <w:tcPr>
            <w:tcW w:w="756" w:type="dxa"/>
            <w:vMerge/>
          </w:tcPr>
          <w:p w14:paraId="076ED15D" w14:textId="77777777" w:rsidR="001C08A5" w:rsidRDefault="001C08A5">
            <w:pPr>
              <w:autoSpaceDE w:val="0"/>
              <w:autoSpaceDN w:val="0"/>
              <w:adjustRightInd w:val="0"/>
              <w:rPr>
                <w:rFonts w:eastAsia="Courier New"/>
                <w:b/>
                <w:bCs/>
                <w:i/>
                <w:sz w:val="22"/>
                <w:szCs w:val="22"/>
                <w:lang w:val="pt-BR"/>
              </w:rPr>
            </w:pPr>
          </w:p>
        </w:tc>
        <w:tc>
          <w:tcPr>
            <w:tcW w:w="1923" w:type="dxa"/>
            <w:vMerge/>
            <w:vAlign w:val="center"/>
          </w:tcPr>
          <w:p w14:paraId="416294D5" w14:textId="77777777" w:rsidR="001C08A5" w:rsidRDefault="001C08A5">
            <w:pPr>
              <w:autoSpaceDE w:val="0"/>
              <w:autoSpaceDN w:val="0"/>
              <w:adjustRightInd w:val="0"/>
              <w:jc w:val="center"/>
              <w:rPr>
                <w:rFonts w:eastAsia="Courier New"/>
                <w:b/>
                <w:bCs/>
                <w:i/>
                <w:sz w:val="22"/>
                <w:szCs w:val="22"/>
                <w:lang w:val="pt-BR"/>
              </w:rPr>
            </w:pPr>
          </w:p>
        </w:tc>
        <w:tc>
          <w:tcPr>
            <w:tcW w:w="4399" w:type="dxa"/>
            <w:vAlign w:val="center"/>
          </w:tcPr>
          <w:p w14:paraId="7DF4841F" w14:textId="77777777" w:rsidR="001C08A5" w:rsidRDefault="00000000">
            <w:pPr>
              <w:autoSpaceDE w:val="0"/>
              <w:autoSpaceDN w:val="0"/>
              <w:adjustRightInd w:val="0"/>
              <w:jc w:val="center"/>
              <w:rPr>
                <w:rFonts w:eastAsia="Courier New"/>
                <w:b/>
                <w:bCs/>
                <w:i/>
                <w:sz w:val="22"/>
                <w:szCs w:val="22"/>
                <w:lang w:val="pt-BR"/>
              </w:rPr>
            </w:pPr>
            <w:r>
              <w:rPr>
                <w:rFonts w:eastAsia="Courier New"/>
                <w:b/>
                <w:bCs/>
                <w:i/>
                <w:sz w:val="22"/>
                <w:szCs w:val="22"/>
                <w:lang w:val="pt-BR"/>
              </w:rPr>
              <w:t>Criterii de baza</w:t>
            </w:r>
          </w:p>
        </w:tc>
        <w:tc>
          <w:tcPr>
            <w:tcW w:w="2673" w:type="dxa"/>
            <w:vAlign w:val="center"/>
          </w:tcPr>
          <w:p w14:paraId="287D83D0" w14:textId="77777777" w:rsidR="001C08A5" w:rsidRDefault="00000000">
            <w:pPr>
              <w:autoSpaceDE w:val="0"/>
              <w:autoSpaceDN w:val="0"/>
              <w:adjustRightInd w:val="0"/>
              <w:jc w:val="center"/>
              <w:rPr>
                <w:rFonts w:eastAsia="Courier New"/>
                <w:b/>
                <w:bCs/>
                <w:i/>
                <w:sz w:val="22"/>
                <w:szCs w:val="22"/>
                <w:lang w:val="pt-BR"/>
              </w:rPr>
            </w:pPr>
            <w:r>
              <w:rPr>
                <w:rFonts w:eastAsia="Courier New"/>
                <w:b/>
                <w:bCs/>
                <w:i/>
                <w:sz w:val="22"/>
                <w:szCs w:val="22"/>
                <w:lang w:val="pt-BR"/>
              </w:rPr>
              <w:t>Criterii</w:t>
            </w:r>
            <w:r>
              <w:rPr>
                <w:rFonts w:eastAsia="Courier New"/>
                <w:b/>
                <w:bCs/>
                <w:i/>
                <w:sz w:val="22"/>
                <w:szCs w:val="22"/>
              </w:rPr>
              <w:t xml:space="preserve"> </w:t>
            </w:r>
            <w:r>
              <w:rPr>
                <w:rFonts w:eastAsia="Courier New"/>
                <w:b/>
                <w:bCs/>
                <w:i/>
                <w:sz w:val="22"/>
                <w:szCs w:val="22"/>
                <w:lang w:val="pt-BR"/>
              </w:rPr>
              <w:t>suplimentare</w:t>
            </w:r>
          </w:p>
        </w:tc>
      </w:tr>
      <w:tr w:rsidR="001C08A5" w14:paraId="4E88C4C1" w14:textId="77777777">
        <w:tc>
          <w:tcPr>
            <w:tcW w:w="756" w:type="dxa"/>
          </w:tcPr>
          <w:p w14:paraId="30101BA6" w14:textId="77777777" w:rsidR="001C08A5" w:rsidRDefault="00000000">
            <w:pPr>
              <w:autoSpaceDE w:val="0"/>
              <w:autoSpaceDN w:val="0"/>
              <w:adjustRightInd w:val="0"/>
              <w:rPr>
                <w:rFonts w:eastAsia="Courier New"/>
                <w:b/>
                <w:bCs/>
                <w:i/>
                <w:sz w:val="22"/>
                <w:szCs w:val="22"/>
                <w:lang w:val="pt-BR"/>
              </w:rPr>
            </w:pPr>
            <w:r>
              <w:rPr>
                <w:rFonts w:eastAsia="Courier New"/>
                <w:b/>
                <w:bCs/>
                <w:i/>
                <w:sz w:val="22"/>
                <w:szCs w:val="22"/>
                <w:lang w:val="pt-BR"/>
              </w:rPr>
              <w:t xml:space="preserve">A1                  </w:t>
            </w:r>
          </w:p>
        </w:tc>
        <w:tc>
          <w:tcPr>
            <w:tcW w:w="1923" w:type="dxa"/>
            <w:vAlign w:val="center"/>
          </w:tcPr>
          <w:p w14:paraId="75017C41"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rPr>
              <w:t xml:space="preserve">SR </w:t>
            </w:r>
            <w:r>
              <w:rPr>
                <w:rFonts w:eastAsia="Courier New"/>
                <w:i/>
                <w:sz w:val="22"/>
                <w:szCs w:val="22"/>
                <w:lang w:val="pt-BR"/>
              </w:rPr>
              <w:t>EN ISO 1182(*1)  şi</w:t>
            </w:r>
          </w:p>
        </w:tc>
        <w:tc>
          <w:tcPr>
            <w:tcW w:w="4399" w:type="dxa"/>
            <w:vAlign w:val="center"/>
          </w:tcPr>
          <w:p w14:paraId="5508B85B"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rPr>
              <w:t>D</w:t>
            </w:r>
            <w:r>
              <w:rPr>
                <w:rFonts w:eastAsia="Courier New"/>
                <w:i/>
                <w:sz w:val="22"/>
                <w:szCs w:val="22"/>
                <w:lang w:val="pt-BR"/>
              </w:rPr>
              <w:t>elta T ≤ 30°°C şi</w:t>
            </w:r>
          </w:p>
          <w:p w14:paraId="4A9566E1"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Delta m ≤ 50 % şi</w:t>
            </w:r>
          </w:p>
          <w:p w14:paraId="6098AE30"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t(f) = 0 (fără flacara</w:t>
            </w:r>
            <w:r>
              <w:rPr>
                <w:rFonts w:eastAsia="Courier New"/>
                <w:i/>
                <w:sz w:val="22"/>
                <w:szCs w:val="22"/>
              </w:rPr>
              <w:t xml:space="preserve"> </w:t>
            </w:r>
            <w:r>
              <w:rPr>
                <w:rFonts w:eastAsia="Courier New"/>
                <w:i/>
                <w:sz w:val="22"/>
                <w:szCs w:val="22"/>
                <w:lang w:val="pt-BR"/>
              </w:rPr>
              <w:t>susţinută)</w:t>
            </w:r>
          </w:p>
        </w:tc>
        <w:tc>
          <w:tcPr>
            <w:tcW w:w="2673" w:type="dxa"/>
            <w:vAlign w:val="center"/>
          </w:tcPr>
          <w:p w14:paraId="5C5F4938" w14:textId="77777777" w:rsidR="001C08A5" w:rsidRDefault="001C08A5">
            <w:pPr>
              <w:autoSpaceDE w:val="0"/>
              <w:autoSpaceDN w:val="0"/>
              <w:adjustRightInd w:val="0"/>
              <w:jc w:val="center"/>
              <w:rPr>
                <w:rFonts w:eastAsia="Courier New"/>
                <w:i/>
                <w:sz w:val="22"/>
                <w:szCs w:val="22"/>
                <w:lang w:val="pt-BR"/>
              </w:rPr>
            </w:pPr>
          </w:p>
        </w:tc>
      </w:tr>
      <w:tr w:rsidR="001C08A5" w14:paraId="537F8CA0" w14:textId="77777777">
        <w:tc>
          <w:tcPr>
            <w:tcW w:w="756" w:type="dxa"/>
          </w:tcPr>
          <w:p w14:paraId="6FF11107" w14:textId="77777777" w:rsidR="001C08A5" w:rsidRDefault="001C08A5">
            <w:pPr>
              <w:autoSpaceDE w:val="0"/>
              <w:autoSpaceDN w:val="0"/>
              <w:adjustRightInd w:val="0"/>
              <w:rPr>
                <w:rFonts w:eastAsia="Courier New"/>
                <w:b/>
                <w:bCs/>
                <w:i/>
                <w:sz w:val="22"/>
                <w:szCs w:val="22"/>
                <w:lang w:val="pt-BR"/>
              </w:rPr>
            </w:pPr>
          </w:p>
        </w:tc>
        <w:tc>
          <w:tcPr>
            <w:tcW w:w="1923" w:type="dxa"/>
            <w:vAlign w:val="center"/>
          </w:tcPr>
          <w:p w14:paraId="0E272F7C"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rPr>
              <w:t xml:space="preserve">SR </w:t>
            </w:r>
            <w:r>
              <w:rPr>
                <w:rFonts w:eastAsia="Courier New"/>
                <w:i/>
                <w:sz w:val="22"/>
                <w:szCs w:val="22"/>
                <w:lang w:val="pt-BR"/>
              </w:rPr>
              <w:t>EN ISO 1716</w:t>
            </w:r>
          </w:p>
        </w:tc>
        <w:tc>
          <w:tcPr>
            <w:tcW w:w="4399" w:type="dxa"/>
            <w:vAlign w:val="center"/>
          </w:tcPr>
          <w:p w14:paraId="105557EE" w14:textId="77777777" w:rsidR="001C08A5" w:rsidRDefault="00000000">
            <w:pPr>
              <w:autoSpaceDE w:val="0"/>
              <w:autoSpaceDN w:val="0"/>
              <w:adjustRightInd w:val="0"/>
              <w:jc w:val="center"/>
              <w:rPr>
                <w:rFonts w:eastAsia="Courier New"/>
                <w:i/>
                <w:sz w:val="22"/>
                <w:szCs w:val="22"/>
              </w:rPr>
            </w:pPr>
            <w:r>
              <w:rPr>
                <w:rFonts w:eastAsia="Courier New"/>
                <w:i/>
                <w:sz w:val="22"/>
                <w:szCs w:val="22"/>
                <w:lang w:val="pt-BR"/>
              </w:rPr>
              <w:t>PCS ≤ 2,0 MJ.kg^-1(*1) ş</w:t>
            </w:r>
            <w:r>
              <w:rPr>
                <w:rFonts w:eastAsia="Courier New"/>
                <w:i/>
                <w:sz w:val="22"/>
                <w:szCs w:val="22"/>
              </w:rPr>
              <w:t>i</w:t>
            </w:r>
          </w:p>
          <w:p w14:paraId="351AFB8F"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PCS ≤ 2,0 MJ.kg^-1 (*2)(*2a)</w:t>
            </w:r>
            <w:r>
              <w:rPr>
                <w:rFonts w:eastAsia="Courier New"/>
                <w:i/>
                <w:sz w:val="22"/>
                <w:szCs w:val="22"/>
              </w:rPr>
              <w:t xml:space="preserve"> </w:t>
            </w:r>
            <w:r>
              <w:rPr>
                <w:rFonts w:eastAsia="Courier New"/>
                <w:i/>
                <w:sz w:val="22"/>
                <w:szCs w:val="22"/>
                <w:lang w:val="pt-BR"/>
              </w:rPr>
              <w:t>şi</w:t>
            </w:r>
          </w:p>
          <w:p w14:paraId="67317C55"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PCS ≤ l,4 MJ.m^-2(*3)</w:t>
            </w:r>
            <w:r>
              <w:rPr>
                <w:rFonts w:eastAsia="Courier New"/>
                <w:i/>
                <w:sz w:val="22"/>
                <w:szCs w:val="22"/>
              </w:rPr>
              <w:t xml:space="preserve"> </w:t>
            </w:r>
            <w:r>
              <w:rPr>
                <w:rFonts w:eastAsia="Courier New"/>
                <w:i/>
                <w:sz w:val="22"/>
                <w:szCs w:val="22"/>
                <w:lang w:val="pt-BR"/>
              </w:rPr>
              <w:t>şi</w:t>
            </w:r>
          </w:p>
          <w:p w14:paraId="707BAB7B"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PCS ≤ 2,0 MJ.kg^-1(*4)</w:t>
            </w:r>
          </w:p>
        </w:tc>
        <w:tc>
          <w:tcPr>
            <w:tcW w:w="2673" w:type="dxa"/>
            <w:vAlign w:val="center"/>
          </w:tcPr>
          <w:p w14:paraId="536E8F62" w14:textId="77777777" w:rsidR="001C08A5" w:rsidRDefault="001C08A5">
            <w:pPr>
              <w:autoSpaceDE w:val="0"/>
              <w:autoSpaceDN w:val="0"/>
              <w:adjustRightInd w:val="0"/>
              <w:jc w:val="center"/>
              <w:rPr>
                <w:rFonts w:eastAsia="Courier New"/>
                <w:i/>
                <w:sz w:val="22"/>
                <w:szCs w:val="22"/>
                <w:lang w:val="pt-BR"/>
              </w:rPr>
            </w:pPr>
          </w:p>
        </w:tc>
      </w:tr>
      <w:tr w:rsidR="001C08A5" w14:paraId="02E243D3" w14:textId="77777777">
        <w:tc>
          <w:tcPr>
            <w:tcW w:w="756" w:type="dxa"/>
          </w:tcPr>
          <w:p w14:paraId="5F42B0C9" w14:textId="77777777" w:rsidR="001C08A5" w:rsidRDefault="00000000">
            <w:pPr>
              <w:autoSpaceDE w:val="0"/>
              <w:autoSpaceDN w:val="0"/>
              <w:adjustRightInd w:val="0"/>
              <w:rPr>
                <w:rFonts w:eastAsia="Courier New"/>
                <w:b/>
                <w:bCs/>
                <w:i/>
                <w:sz w:val="22"/>
                <w:szCs w:val="22"/>
                <w:lang w:val="pt-BR"/>
              </w:rPr>
            </w:pPr>
            <w:r>
              <w:rPr>
                <w:rFonts w:eastAsia="Courier New"/>
                <w:b/>
                <w:bCs/>
                <w:i/>
                <w:sz w:val="22"/>
                <w:szCs w:val="22"/>
                <w:lang w:val="pt-BR"/>
              </w:rPr>
              <w:t>A2</w:t>
            </w:r>
          </w:p>
        </w:tc>
        <w:tc>
          <w:tcPr>
            <w:tcW w:w="1923" w:type="dxa"/>
            <w:vAlign w:val="center"/>
          </w:tcPr>
          <w:p w14:paraId="1C8506FB"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rPr>
              <w:t xml:space="preserve">SR </w:t>
            </w:r>
            <w:r>
              <w:rPr>
                <w:rFonts w:eastAsia="Courier New"/>
                <w:i/>
                <w:sz w:val="22"/>
                <w:szCs w:val="22"/>
                <w:lang w:val="pt-BR"/>
              </w:rPr>
              <w:t>EN IS0 1182(*1)</w:t>
            </w:r>
          </w:p>
          <w:p w14:paraId="36699D9B" w14:textId="77777777" w:rsidR="001C08A5" w:rsidRDefault="00000000">
            <w:pPr>
              <w:autoSpaceDE w:val="0"/>
              <w:autoSpaceDN w:val="0"/>
              <w:adjustRightInd w:val="0"/>
              <w:jc w:val="center"/>
              <w:rPr>
                <w:rFonts w:eastAsia="Courier New"/>
                <w:i/>
                <w:sz w:val="22"/>
                <w:szCs w:val="22"/>
              </w:rPr>
            </w:pPr>
            <w:r>
              <w:rPr>
                <w:rFonts w:eastAsia="Courier New"/>
                <w:i/>
                <w:sz w:val="22"/>
                <w:szCs w:val="22"/>
              </w:rPr>
              <w:t>sau</w:t>
            </w:r>
          </w:p>
        </w:tc>
        <w:tc>
          <w:tcPr>
            <w:tcW w:w="4399" w:type="dxa"/>
            <w:vAlign w:val="center"/>
          </w:tcPr>
          <w:p w14:paraId="0CD015A9"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Delta T ≤ 50°C şi</w:t>
            </w:r>
          </w:p>
          <w:p w14:paraId="25DB9969"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Delta m ≤ 50 % şi</w:t>
            </w:r>
          </w:p>
          <w:p w14:paraId="749920A4"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t(f) ≤ 20s</w:t>
            </w:r>
          </w:p>
        </w:tc>
        <w:tc>
          <w:tcPr>
            <w:tcW w:w="2673" w:type="dxa"/>
            <w:vAlign w:val="center"/>
          </w:tcPr>
          <w:p w14:paraId="31862911" w14:textId="77777777" w:rsidR="001C08A5" w:rsidRDefault="001C08A5">
            <w:pPr>
              <w:autoSpaceDE w:val="0"/>
              <w:autoSpaceDN w:val="0"/>
              <w:adjustRightInd w:val="0"/>
              <w:jc w:val="center"/>
              <w:rPr>
                <w:rFonts w:eastAsia="Courier New"/>
                <w:i/>
                <w:sz w:val="22"/>
                <w:szCs w:val="22"/>
                <w:lang w:val="pt-BR"/>
              </w:rPr>
            </w:pPr>
          </w:p>
        </w:tc>
      </w:tr>
      <w:tr w:rsidR="001C08A5" w14:paraId="080AC626" w14:textId="77777777">
        <w:tc>
          <w:tcPr>
            <w:tcW w:w="756" w:type="dxa"/>
          </w:tcPr>
          <w:p w14:paraId="3D50B68A" w14:textId="77777777" w:rsidR="001C08A5" w:rsidRDefault="001C08A5">
            <w:pPr>
              <w:autoSpaceDE w:val="0"/>
              <w:autoSpaceDN w:val="0"/>
              <w:adjustRightInd w:val="0"/>
              <w:rPr>
                <w:rFonts w:eastAsia="Courier New"/>
                <w:b/>
                <w:bCs/>
                <w:i/>
                <w:sz w:val="22"/>
                <w:szCs w:val="22"/>
                <w:lang w:val="pt-BR"/>
              </w:rPr>
            </w:pPr>
          </w:p>
        </w:tc>
        <w:tc>
          <w:tcPr>
            <w:tcW w:w="1923" w:type="dxa"/>
            <w:vAlign w:val="center"/>
          </w:tcPr>
          <w:p w14:paraId="5C77B183"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rPr>
              <w:t xml:space="preserve">SR </w:t>
            </w:r>
            <w:r>
              <w:rPr>
                <w:rFonts w:eastAsia="Courier New"/>
                <w:i/>
                <w:sz w:val="22"/>
                <w:szCs w:val="22"/>
                <w:lang w:val="pt-BR"/>
              </w:rPr>
              <w:t>EN ISO 1716</w:t>
            </w:r>
          </w:p>
          <w:p w14:paraId="76E1D636" w14:textId="77777777" w:rsidR="001C08A5" w:rsidRDefault="00000000">
            <w:pPr>
              <w:autoSpaceDE w:val="0"/>
              <w:autoSpaceDN w:val="0"/>
              <w:adjustRightInd w:val="0"/>
              <w:jc w:val="center"/>
              <w:rPr>
                <w:rFonts w:eastAsia="Courier New"/>
                <w:i/>
                <w:sz w:val="22"/>
                <w:szCs w:val="22"/>
              </w:rPr>
            </w:pPr>
            <w:r>
              <w:rPr>
                <w:rFonts w:eastAsia="Courier New"/>
                <w:i/>
                <w:sz w:val="22"/>
                <w:szCs w:val="22"/>
              </w:rPr>
              <w:t>și</w:t>
            </w:r>
          </w:p>
        </w:tc>
        <w:tc>
          <w:tcPr>
            <w:tcW w:w="4399" w:type="dxa"/>
            <w:vAlign w:val="center"/>
          </w:tcPr>
          <w:p w14:paraId="50E3DDD6"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PCS ≤ 3,0 MJ.kg^-1 (*1) şi</w:t>
            </w:r>
          </w:p>
          <w:p w14:paraId="50C23D46"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PCS ≤ 4,0 MJ.m^-2 (*2) şi</w:t>
            </w:r>
          </w:p>
          <w:p w14:paraId="46B57ACD"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PCS ≤ 4,0 MJ.m^-2 (*3) şi</w:t>
            </w:r>
          </w:p>
          <w:p w14:paraId="3B34D22E"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PCS ≤ 3,0 MJ.kg^-1 (*4)</w:t>
            </w:r>
          </w:p>
        </w:tc>
        <w:tc>
          <w:tcPr>
            <w:tcW w:w="2673" w:type="dxa"/>
            <w:vAlign w:val="center"/>
          </w:tcPr>
          <w:p w14:paraId="74700207" w14:textId="77777777" w:rsidR="001C08A5" w:rsidRDefault="001C08A5">
            <w:pPr>
              <w:autoSpaceDE w:val="0"/>
              <w:autoSpaceDN w:val="0"/>
              <w:adjustRightInd w:val="0"/>
              <w:jc w:val="center"/>
              <w:rPr>
                <w:rFonts w:eastAsia="Courier New"/>
                <w:i/>
                <w:sz w:val="22"/>
                <w:szCs w:val="22"/>
                <w:lang w:val="pt-BR"/>
              </w:rPr>
            </w:pPr>
          </w:p>
        </w:tc>
      </w:tr>
      <w:tr w:rsidR="001C08A5" w14:paraId="1AB48624" w14:textId="77777777">
        <w:tc>
          <w:tcPr>
            <w:tcW w:w="756" w:type="dxa"/>
          </w:tcPr>
          <w:p w14:paraId="2060602C" w14:textId="77777777" w:rsidR="001C08A5" w:rsidRDefault="001C08A5">
            <w:pPr>
              <w:autoSpaceDE w:val="0"/>
              <w:autoSpaceDN w:val="0"/>
              <w:adjustRightInd w:val="0"/>
              <w:rPr>
                <w:rFonts w:eastAsia="Courier New"/>
                <w:b/>
                <w:bCs/>
                <w:i/>
                <w:sz w:val="22"/>
                <w:szCs w:val="22"/>
                <w:lang w:val="pt-BR"/>
              </w:rPr>
            </w:pPr>
          </w:p>
        </w:tc>
        <w:tc>
          <w:tcPr>
            <w:tcW w:w="1923" w:type="dxa"/>
            <w:vAlign w:val="center"/>
          </w:tcPr>
          <w:p w14:paraId="2C562C96"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rPr>
              <w:t xml:space="preserve">SR </w:t>
            </w:r>
            <w:r>
              <w:rPr>
                <w:rFonts w:eastAsia="Courier New"/>
                <w:i/>
                <w:sz w:val="22"/>
                <w:szCs w:val="22"/>
                <w:lang w:val="pt-BR"/>
              </w:rPr>
              <w:t>EN 13823 (SBI);</w:t>
            </w:r>
          </w:p>
        </w:tc>
        <w:tc>
          <w:tcPr>
            <w:tcW w:w="4399" w:type="dxa"/>
            <w:vAlign w:val="center"/>
          </w:tcPr>
          <w:p w14:paraId="00F93D9A"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FIGRA ≤ 120 W.s^-1 şi</w:t>
            </w:r>
          </w:p>
          <w:p w14:paraId="74BCFEE1"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LFS &lt; marginea epruvetei şi</w:t>
            </w:r>
          </w:p>
          <w:p w14:paraId="118AF7F3" w14:textId="77777777" w:rsidR="001C08A5" w:rsidRDefault="00000000">
            <w:pPr>
              <w:autoSpaceDE w:val="0"/>
              <w:autoSpaceDN w:val="0"/>
              <w:adjustRightInd w:val="0"/>
              <w:jc w:val="center"/>
              <w:rPr>
                <w:rFonts w:eastAsia="Courier New"/>
                <w:i/>
                <w:sz w:val="22"/>
                <w:szCs w:val="22"/>
                <w:lang w:val="pt-BR"/>
              </w:rPr>
            </w:pPr>
            <w:r>
              <w:rPr>
                <w:i/>
                <w:sz w:val="22"/>
                <w:szCs w:val="22"/>
                <w:lang w:val="pt-BR"/>
              </w:rPr>
              <w:t>THR(600s) ≤ 7,5 MJ</w:t>
            </w:r>
          </w:p>
        </w:tc>
        <w:tc>
          <w:tcPr>
            <w:tcW w:w="2673" w:type="dxa"/>
            <w:vAlign w:val="center"/>
          </w:tcPr>
          <w:p w14:paraId="1B56EE2F"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Emisie de fum(*5)</w:t>
            </w:r>
          </w:p>
          <w:p w14:paraId="70FC50CC"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şi Picaturi/</w:t>
            </w:r>
            <w:r>
              <w:rPr>
                <w:rFonts w:eastAsia="Courier New"/>
                <w:i/>
                <w:sz w:val="22"/>
                <w:szCs w:val="22"/>
              </w:rPr>
              <w:t xml:space="preserve"> </w:t>
            </w:r>
            <w:r>
              <w:rPr>
                <w:i/>
                <w:sz w:val="22"/>
                <w:szCs w:val="22"/>
                <w:lang w:val="pt-BR"/>
              </w:rPr>
              <w:t>particule</w:t>
            </w:r>
            <w:r>
              <w:rPr>
                <w:i/>
                <w:sz w:val="22"/>
                <w:szCs w:val="22"/>
              </w:rPr>
              <w:t xml:space="preserve"> </w:t>
            </w:r>
            <w:r>
              <w:rPr>
                <w:i/>
                <w:sz w:val="22"/>
                <w:szCs w:val="22"/>
                <w:lang w:val="pt-BR"/>
              </w:rPr>
              <w:t>arzande(*6)</w:t>
            </w:r>
          </w:p>
        </w:tc>
      </w:tr>
      <w:tr w:rsidR="001C08A5" w14:paraId="6BA9A8C8" w14:textId="77777777">
        <w:tc>
          <w:tcPr>
            <w:tcW w:w="756" w:type="dxa"/>
          </w:tcPr>
          <w:p w14:paraId="1A8AD970" w14:textId="77777777" w:rsidR="001C08A5" w:rsidRDefault="00000000">
            <w:pPr>
              <w:autoSpaceDE w:val="0"/>
              <w:autoSpaceDN w:val="0"/>
              <w:adjustRightInd w:val="0"/>
              <w:rPr>
                <w:rFonts w:eastAsia="Courier New"/>
                <w:b/>
                <w:bCs/>
                <w:i/>
                <w:sz w:val="22"/>
                <w:szCs w:val="22"/>
                <w:lang w:val="pt-BR"/>
              </w:rPr>
            </w:pPr>
            <w:r>
              <w:rPr>
                <w:rFonts w:eastAsia="Courier New"/>
                <w:b/>
                <w:bCs/>
                <w:i/>
                <w:sz w:val="22"/>
                <w:szCs w:val="22"/>
                <w:lang w:val="pt-BR"/>
              </w:rPr>
              <w:t>B</w:t>
            </w:r>
          </w:p>
        </w:tc>
        <w:tc>
          <w:tcPr>
            <w:tcW w:w="1923" w:type="dxa"/>
            <w:vAlign w:val="center"/>
          </w:tcPr>
          <w:p w14:paraId="5BC466AB"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rPr>
              <w:t xml:space="preserve">SR </w:t>
            </w:r>
            <w:r>
              <w:rPr>
                <w:rFonts w:eastAsia="Courier New"/>
                <w:i/>
                <w:sz w:val="22"/>
                <w:szCs w:val="22"/>
                <w:lang w:val="pt-BR"/>
              </w:rPr>
              <w:t>EN 13823 (SBI)</w:t>
            </w:r>
          </w:p>
          <w:p w14:paraId="18A384D1" w14:textId="77777777" w:rsidR="001C08A5" w:rsidRDefault="00000000">
            <w:pPr>
              <w:autoSpaceDE w:val="0"/>
              <w:autoSpaceDN w:val="0"/>
              <w:adjustRightInd w:val="0"/>
              <w:jc w:val="center"/>
              <w:rPr>
                <w:rFonts w:eastAsia="Courier New"/>
                <w:i/>
                <w:sz w:val="22"/>
                <w:szCs w:val="22"/>
              </w:rPr>
            </w:pPr>
            <w:r>
              <w:rPr>
                <w:rFonts w:eastAsia="Courier New"/>
                <w:i/>
                <w:sz w:val="22"/>
                <w:szCs w:val="22"/>
              </w:rPr>
              <w:t>și</w:t>
            </w:r>
          </w:p>
        </w:tc>
        <w:tc>
          <w:tcPr>
            <w:tcW w:w="4399" w:type="dxa"/>
            <w:vAlign w:val="center"/>
          </w:tcPr>
          <w:p w14:paraId="542AFF78"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FIGRA ≤ 120 W.s"1 şi</w:t>
            </w:r>
          </w:p>
          <w:p w14:paraId="10978B9E"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LFS &lt; marginea epruvetei şi</w:t>
            </w:r>
          </w:p>
          <w:p w14:paraId="20D3EAE4" w14:textId="77777777" w:rsidR="001C08A5" w:rsidRDefault="00000000">
            <w:pPr>
              <w:autoSpaceDE w:val="0"/>
              <w:autoSpaceDN w:val="0"/>
              <w:adjustRightInd w:val="0"/>
              <w:jc w:val="center"/>
              <w:rPr>
                <w:rFonts w:eastAsia="Courier New"/>
                <w:i/>
                <w:sz w:val="22"/>
                <w:szCs w:val="22"/>
                <w:lang w:val="pt-BR"/>
              </w:rPr>
            </w:pPr>
            <w:r>
              <w:rPr>
                <w:i/>
                <w:sz w:val="22"/>
                <w:szCs w:val="22"/>
                <w:lang w:val="pt-BR"/>
              </w:rPr>
              <w:t>THR(600s) ≤ 7,5 MJ</w:t>
            </w:r>
          </w:p>
        </w:tc>
        <w:tc>
          <w:tcPr>
            <w:tcW w:w="2673" w:type="dxa"/>
            <w:vMerge w:val="restart"/>
            <w:vAlign w:val="center"/>
          </w:tcPr>
          <w:p w14:paraId="7CE6F308"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Emisie de fum(*5)</w:t>
            </w:r>
          </w:p>
          <w:p w14:paraId="430681AD" w14:textId="77777777" w:rsidR="001C08A5" w:rsidRDefault="00000000">
            <w:pPr>
              <w:autoSpaceDE w:val="0"/>
              <w:autoSpaceDN w:val="0"/>
              <w:adjustRightInd w:val="0"/>
              <w:jc w:val="center"/>
              <w:rPr>
                <w:i/>
                <w:sz w:val="22"/>
                <w:szCs w:val="22"/>
                <w:lang w:val="pt-BR"/>
              </w:rPr>
            </w:pPr>
            <w:r>
              <w:rPr>
                <w:rFonts w:eastAsia="Courier New"/>
                <w:i/>
                <w:sz w:val="22"/>
                <w:szCs w:val="22"/>
                <w:lang w:val="pt-BR"/>
              </w:rPr>
              <w:t>şi Picaturi/</w:t>
            </w:r>
            <w:r>
              <w:rPr>
                <w:rFonts w:eastAsia="Courier New"/>
                <w:i/>
                <w:sz w:val="22"/>
                <w:szCs w:val="22"/>
              </w:rPr>
              <w:t xml:space="preserve"> </w:t>
            </w:r>
            <w:r>
              <w:rPr>
                <w:i/>
                <w:sz w:val="22"/>
                <w:szCs w:val="22"/>
                <w:lang w:val="pt-BR"/>
              </w:rPr>
              <w:t>particule</w:t>
            </w:r>
            <w:r>
              <w:rPr>
                <w:i/>
                <w:sz w:val="22"/>
                <w:szCs w:val="22"/>
              </w:rPr>
              <w:t xml:space="preserve"> </w:t>
            </w:r>
            <w:r>
              <w:rPr>
                <w:i/>
                <w:sz w:val="22"/>
                <w:szCs w:val="22"/>
                <w:lang w:val="pt-BR"/>
              </w:rPr>
              <w:t>arzande(*6)</w:t>
            </w:r>
          </w:p>
        </w:tc>
      </w:tr>
      <w:tr w:rsidR="001C08A5" w14:paraId="6A24A875" w14:textId="77777777">
        <w:tc>
          <w:tcPr>
            <w:tcW w:w="756" w:type="dxa"/>
          </w:tcPr>
          <w:p w14:paraId="66BCDFD0" w14:textId="77777777" w:rsidR="001C08A5" w:rsidRDefault="001C08A5">
            <w:pPr>
              <w:autoSpaceDE w:val="0"/>
              <w:autoSpaceDN w:val="0"/>
              <w:adjustRightInd w:val="0"/>
              <w:rPr>
                <w:rFonts w:eastAsia="Courier New"/>
                <w:b/>
                <w:bCs/>
                <w:i/>
                <w:sz w:val="22"/>
                <w:szCs w:val="22"/>
                <w:lang w:val="pt-BR"/>
              </w:rPr>
            </w:pPr>
          </w:p>
        </w:tc>
        <w:tc>
          <w:tcPr>
            <w:tcW w:w="1923" w:type="dxa"/>
            <w:vAlign w:val="center"/>
          </w:tcPr>
          <w:p w14:paraId="76E322C6" w14:textId="77777777" w:rsidR="001C08A5" w:rsidRDefault="00000000">
            <w:pPr>
              <w:autoSpaceDE w:val="0"/>
              <w:autoSpaceDN w:val="0"/>
              <w:adjustRightInd w:val="0"/>
              <w:jc w:val="center"/>
              <w:rPr>
                <w:i/>
                <w:sz w:val="22"/>
                <w:szCs w:val="22"/>
                <w:lang w:val="pt-BR"/>
              </w:rPr>
            </w:pPr>
            <w:r>
              <w:rPr>
                <w:i/>
                <w:sz w:val="22"/>
                <w:szCs w:val="22"/>
              </w:rPr>
              <w:t xml:space="preserve">SR </w:t>
            </w:r>
            <w:r>
              <w:rPr>
                <w:i/>
                <w:sz w:val="22"/>
                <w:szCs w:val="22"/>
                <w:lang w:val="pt-BR"/>
              </w:rPr>
              <w:t>EN ISO 11925-2(*8)</w:t>
            </w:r>
          </w:p>
          <w:p w14:paraId="02B9FB92" w14:textId="77777777" w:rsidR="001C08A5" w:rsidRDefault="00000000">
            <w:pPr>
              <w:autoSpaceDE w:val="0"/>
              <w:autoSpaceDN w:val="0"/>
              <w:adjustRightInd w:val="0"/>
              <w:jc w:val="center"/>
              <w:rPr>
                <w:i/>
                <w:sz w:val="22"/>
                <w:szCs w:val="22"/>
                <w:lang w:val="pt-BR"/>
              </w:rPr>
            </w:pPr>
            <w:r>
              <w:rPr>
                <w:i/>
                <w:sz w:val="22"/>
                <w:szCs w:val="22"/>
                <w:lang w:val="pt-BR"/>
              </w:rPr>
              <w:t>Expunere = 30 s</w:t>
            </w:r>
          </w:p>
        </w:tc>
        <w:tc>
          <w:tcPr>
            <w:tcW w:w="4399" w:type="dxa"/>
            <w:vAlign w:val="center"/>
          </w:tcPr>
          <w:p w14:paraId="33F4CA69" w14:textId="77777777" w:rsidR="001C08A5" w:rsidRDefault="00000000">
            <w:pPr>
              <w:autoSpaceDE w:val="0"/>
              <w:autoSpaceDN w:val="0"/>
              <w:adjustRightInd w:val="0"/>
              <w:jc w:val="center"/>
              <w:rPr>
                <w:rFonts w:eastAsia="Courier New"/>
                <w:i/>
                <w:sz w:val="22"/>
                <w:szCs w:val="22"/>
                <w:lang w:val="pt-BR"/>
              </w:rPr>
            </w:pPr>
            <w:r>
              <w:rPr>
                <w:i/>
                <w:sz w:val="22"/>
                <w:szCs w:val="22"/>
                <w:lang w:val="pt-BR"/>
              </w:rPr>
              <w:t>Fs ≤ 150 mm în 60 s</w:t>
            </w:r>
          </w:p>
        </w:tc>
        <w:tc>
          <w:tcPr>
            <w:tcW w:w="2673" w:type="dxa"/>
            <w:vMerge/>
            <w:vAlign w:val="center"/>
          </w:tcPr>
          <w:p w14:paraId="5105E4BB" w14:textId="77777777" w:rsidR="001C08A5" w:rsidRDefault="001C08A5">
            <w:pPr>
              <w:autoSpaceDE w:val="0"/>
              <w:autoSpaceDN w:val="0"/>
              <w:adjustRightInd w:val="0"/>
              <w:jc w:val="center"/>
              <w:rPr>
                <w:rFonts w:eastAsia="Courier New"/>
                <w:i/>
                <w:sz w:val="22"/>
                <w:szCs w:val="22"/>
                <w:lang w:val="pt-BR"/>
              </w:rPr>
            </w:pPr>
          </w:p>
        </w:tc>
      </w:tr>
      <w:tr w:rsidR="001C08A5" w14:paraId="4A26F070" w14:textId="77777777">
        <w:tc>
          <w:tcPr>
            <w:tcW w:w="756" w:type="dxa"/>
          </w:tcPr>
          <w:p w14:paraId="1B5F7822" w14:textId="77777777" w:rsidR="001C08A5" w:rsidRDefault="00000000">
            <w:pPr>
              <w:autoSpaceDE w:val="0"/>
              <w:autoSpaceDN w:val="0"/>
              <w:adjustRightInd w:val="0"/>
              <w:rPr>
                <w:rFonts w:eastAsia="Courier New"/>
                <w:b/>
                <w:bCs/>
                <w:i/>
                <w:sz w:val="22"/>
                <w:szCs w:val="22"/>
              </w:rPr>
            </w:pPr>
            <w:r>
              <w:rPr>
                <w:rFonts w:eastAsia="Courier New"/>
                <w:b/>
                <w:bCs/>
                <w:i/>
                <w:sz w:val="22"/>
                <w:szCs w:val="22"/>
              </w:rPr>
              <w:t>C</w:t>
            </w:r>
          </w:p>
        </w:tc>
        <w:tc>
          <w:tcPr>
            <w:tcW w:w="1923" w:type="dxa"/>
            <w:vAlign w:val="center"/>
          </w:tcPr>
          <w:p w14:paraId="38906BD8" w14:textId="77777777" w:rsidR="001C08A5" w:rsidRDefault="00000000">
            <w:pPr>
              <w:autoSpaceDE w:val="0"/>
              <w:autoSpaceDN w:val="0"/>
              <w:adjustRightInd w:val="0"/>
              <w:jc w:val="center"/>
              <w:rPr>
                <w:rFonts w:eastAsia="Courier New"/>
                <w:i/>
                <w:sz w:val="22"/>
                <w:szCs w:val="22"/>
                <w:lang w:val="pt-BR"/>
              </w:rPr>
            </w:pPr>
            <w:r>
              <w:rPr>
                <w:i/>
                <w:sz w:val="22"/>
                <w:szCs w:val="22"/>
              </w:rPr>
              <w:t xml:space="preserve">SR </w:t>
            </w:r>
            <w:r>
              <w:rPr>
                <w:i/>
                <w:sz w:val="22"/>
                <w:szCs w:val="22"/>
                <w:lang w:val="pt-BR"/>
              </w:rPr>
              <w:t>EN 13823 (</w:t>
            </w:r>
            <w:r>
              <w:rPr>
                <w:rFonts w:eastAsia="Courier New"/>
                <w:i/>
                <w:sz w:val="22"/>
                <w:szCs w:val="22"/>
                <w:lang w:val="pt-BR"/>
              </w:rPr>
              <w:t>SBI)</w:t>
            </w:r>
          </w:p>
          <w:p w14:paraId="17861FDA" w14:textId="77777777" w:rsidR="001C08A5" w:rsidRDefault="00000000">
            <w:pPr>
              <w:autoSpaceDE w:val="0"/>
              <w:autoSpaceDN w:val="0"/>
              <w:adjustRightInd w:val="0"/>
              <w:jc w:val="center"/>
              <w:rPr>
                <w:rFonts w:eastAsia="Courier New"/>
                <w:i/>
                <w:sz w:val="22"/>
                <w:szCs w:val="22"/>
              </w:rPr>
            </w:pPr>
            <w:r>
              <w:rPr>
                <w:rFonts w:eastAsia="Courier New"/>
                <w:i/>
                <w:sz w:val="22"/>
                <w:szCs w:val="22"/>
              </w:rPr>
              <w:t>și</w:t>
            </w:r>
          </w:p>
        </w:tc>
        <w:tc>
          <w:tcPr>
            <w:tcW w:w="4399" w:type="dxa"/>
            <w:vAlign w:val="center"/>
          </w:tcPr>
          <w:p w14:paraId="0F80B4A2"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FIGRA ≤ 250 W.s^-1 şi</w:t>
            </w:r>
          </w:p>
          <w:p w14:paraId="579E5470"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LFS &lt; marginea epruvetei şi</w:t>
            </w:r>
          </w:p>
          <w:p w14:paraId="701A1F42" w14:textId="77777777" w:rsidR="001C08A5" w:rsidRDefault="00000000">
            <w:pPr>
              <w:autoSpaceDE w:val="0"/>
              <w:autoSpaceDN w:val="0"/>
              <w:adjustRightInd w:val="0"/>
              <w:jc w:val="center"/>
              <w:rPr>
                <w:rFonts w:eastAsia="Courier New"/>
                <w:i/>
                <w:sz w:val="22"/>
                <w:szCs w:val="22"/>
                <w:lang w:val="pt-BR"/>
              </w:rPr>
            </w:pPr>
            <w:r>
              <w:rPr>
                <w:i/>
                <w:sz w:val="22"/>
                <w:szCs w:val="22"/>
                <w:lang w:val="pt-BR"/>
              </w:rPr>
              <w:t>THR(600s) ≤ 15 MJ</w:t>
            </w:r>
          </w:p>
        </w:tc>
        <w:tc>
          <w:tcPr>
            <w:tcW w:w="2673" w:type="dxa"/>
            <w:vMerge w:val="restart"/>
            <w:vAlign w:val="center"/>
          </w:tcPr>
          <w:p w14:paraId="352E0743"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Emisie de fum(*5)</w:t>
            </w:r>
          </w:p>
          <w:p w14:paraId="41D9588D"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şi Picaturi/</w:t>
            </w:r>
            <w:r>
              <w:rPr>
                <w:rFonts w:eastAsia="Courier New"/>
                <w:i/>
                <w:sz w:val="22"/>
                <w:szCs w:val="22"/>
              </w:rPr>
              <w:t xml:space="preserve"> </w:t>
            </w:r>
            <w:r>
              <w:rPr>
                <w:i/>
                <w:sz w:val="22"/>
                <w:szCs w:val="22"/>
                <w:lang w:val="pt-BR"/>
              </w:rPr>
              <w:t>particule</w:t>
            </w:r>
            <w:r>
              <w:rPr>
                <w:i/>
                <w:sz w:val="22"/>
                <w:szCs w:val="22"/>
              </w:rPr>
              <w:t xml:space="preserve"> </w:t>
            </w:r>
            <w:r>
              <w:rPr>
                <w:i/>
                <w:sz w:val="22"/>
                <w:szCs w:val="22"/>
                <w:lang w:val="pt-BR"/>
              </w:rPr>
              <w:t>arzande(*6)</w:t>
            </w:r>
          </w:p>
        </w:tc>
      </w:tr>
      <w:tr w:rsidR="001C08A5" w14:paraId="42977F67" w14:textId="77777777">
        <w:tc>
          <w:tcPr>
            <w:tcW w:w="756" w:type="dxa"/>
          </w:tcPr>
          <w:p w14:paraId="52E2E303" w14:textId="77777777" w:rsidR="001C08A5" w:rsidRDefault="001C08A5">
            <w:pPr>
              <w:autoSpaceDE w:val="0"/>
              <w:autoSpaceDN w:val="0"/>
              <w:adjustRightInd w:val="0"/>
              <w:rPr>
                <w:rFonts w:eastAsia="Courier New"/>
                <w:b/>
                <w:bCs/>
                <w:i/>
                <w:sz w:val="22"/>
                <w:szCs w:val="22"/>
                <w:lang w:val="pt-BR"/>
              </w:rPr>
            </w:pPr>
          </w:p>
        </w:tc>
        <w:tc>
          <w:tcPr>
            <w:tcW w:w="1923" w:type="dxa"/>
            <w:vAlign w:val="center"/>
          </w:tcPr>
          <w:p w14:paraId="652BBA43" w14:textId="77777777" w:rsidR="001C08A5" w:rsidRDefault="00000000">
            <w:pPr>
              <w:autoSpaceDE w:val="0"/>
              <w:autoSpaceDN w:val="0"/>
              <w:adjustRightInd w:val="0"/>
              <w:jc w:val="center"/>
              <w:rPr>
                <w:i/>
                <w:sz w:val="22"/>
                <w:szCs w:val="22"/>
                <w:lang w:val="pt-BR"/>
              </w:rPr>
            </w:pPr>
            <w:r>
              <w:rPr>
                <w:i/>
                <w:sz w:val="22"/>
                <w:szCs w:val="22"/>
              </w:rPr>
              <w:t xml:space="preserve">SR </w:t>
            </w:r>
            <w:r>
              <w:rPr>
                <w:i/>
                <w:sz w:val="22"/>
                <w:szCs w:val="22"/>
                <w:lang w:val="pt-BR"/>
              </w:rPr>
              <w:t>EN ISO 11925-2(*8)</w:t>
            </w:r>
          </w:p>
          <w:p w14:paraId="599583D1" w14:textId="77777777" w:rsidR="001C08A5" w:rsidRDefault="00000000">
            <w:pPr>
              <w:autoSpaceDE w:val="0"/>
              <w:autoSpaceDN w:val="0"/>
              <w:adjustRightInd w:val="0"/>
              <w:jc w:val="center"/>
              <w:rPr>
                <w:i/>
                <w:sz w:val="22"/>
                <w:szCs w:val="22"/>
                <w:lang w:val="pt-BR"/>
              </w:rPr>
            </w:pPr>
            <w:r>
              <w:rPr>
                <w:i/>
                <w:sz w:val="22"/>
                <w:szCs w:val="22"/>
                <w:lang w:val="pt-BR"/>
              </w:rPr>
              <w:t>Expunere = 30 s</w:t>
            </w:r>
          </w:p>
        </w:tc>
        <w:tc>
          <w:tcPr>
            <w:tcW w:w="4399" w:type="dxa"/>
            <w:vAlign w:val="center"/>
          </w:tcPr>
          <w:p w14:paraId="57EEBCD8" w14:textId="77777777" w:rsidR="001C08A5" w:rsidRDefault="00000000">
            <w:pPr>
              <w:autoSpaceDE w:val="0"/>
              <w:autoSpaceDN w:val="0"/>
              <w:adjustRightInd w:val="0"/>
              <w:jc w:val="center"/>
              <w:rPr>
                <w:rFonts w:eastAsia="Courier New"/>
                <w:i/>
                <w:sz w:val="22"/>
                <w:szCs w:val="22"/>
                <w:lang w:val="pt-BR"/>
              </w:rPr>
            </w:pPr>
            <w:r>
              <w:rPr>
                <w:i/>
                <w:sz w:val="22"/>
                <w:szCs w:val="22"/>
                <w:lang w:val="pt-BR"/>
              </w:rPr>
              <w:t>Fs ≤ 150 mm în 60 s</w:t>
            </w:r>
          </w:p>
        </w:tc>
        <w:tc>
          <w:tcPr>
            <w:tcW w:w="2673" w:type="dxa"/>
            <w:vMerge/>
            <w:vAlign w:val="center"/>
          </w:tcPr>
          <w:p w14:paraId="7CCF9517" w14:textId="77777777" w:rsidR="001C08A5" w:rsidRDefault="001C08A5">
            <w:pPr>
              <w:autoSpaceDE w:val="0"/>
              <w:autoSpaceDN w:val="0"/>
              <w:adjustRightInd w:val="0"/>
              <w:jc w:val="center"/>
              <w:rPr>
                <w:rFonts w:eastAsia="Courier New"/>
                <w:i/>
                <w:sz w:val="22"/>
                <w:szCs w:val="22"/>
                <w:lang w:val="pt-BR"/>
              </w:rPr>
            </w:pPr>
          </w:p>
        </w:tc>
      </w:tr>
      <w:tr w:rsidR="001C08A5" w14:paraId="5C193521" w14:textId="77777777">
        <w:tc>
          <w:tcPr>
            <w:tcW w:w="756" w:type="dxa"/>
          </w:tcPr>
          <w:p w14:paraId="48FF698F" w14:textId="77777777" w:rsidR="001C08A5" w:rsidRDefault="00000000">
            <w:pPr>
              <w:autoSpaceDE w:val="0"/>
              <w:autoSpaceDN w:val="0"/>
              <w:adjustRightInd w:val="0"/>
              <w:rPr>
                <w:rFonts w:eastAsia="Courier New"/>
                <w:b/>
                <w:bCs/>
                <w:i/>
                <w:sz w:val="22"/>
                <w:szCs w:val="22"/>
              </w:rPr>
            </w:pPr>
            <w:r>
              <w:rPr>
                <w:rFonts w:eastAsia="Courier New"/>
                <w:b/>
                <w:bCs/>
                <w:i/>
                <w:sz w:val="22"/>
                <w:szCs w:val="22"/>
              </w:rPr>
              <w:lastRenderedPageBreak/>
              <w:t>D</w:t>
            </w:r>
          </w:p>
        </w:tc>
        <w:tc>
          <w:tcPr>
            <w:tcW w:w="1923" w:type="dxa"/>
            <w:vAlign w:val="center"/>
          </w:tcPr>
          <w:p w14:paraId="0981764F" w14:textId="77777777" w:rsidR="001C08A5" w:rsidRDefault="00000000">
            <w:pPr>
              <w:autoSpaceDE w:val="0"/>
              <w:autoSpaceDN w:val="0"/>
              <w:adjustRightInd w:val="0"/>
              <w:jc w:val="center"/>
              <w:rPr>
                <w:i/>
                <w:sz w:val="22"/>
                <w:szCs w:val="22"/>
                <w:lang w:val="pt-BR"/>
              </w:rPr>
            </w:pPr>
            <w:r>
              <w:rPr>
                <w:i/>
                <w:sz w:val="22"/>
                <w:szCs w:val="22"/>
              </w:rPr>
              <w:t xml:space="preserve">SR </w:t>
            </w:r>
            <w:r>
              <w:rPr>
                <w:i/>
                <w:sz w:val="22"/>
                <w:szCs w:val="22"/>
                <w:lang w:val="pt-BR"/>
              </w:rPr>
              <w:t>EN 13823 (SBI)</w:t>
            </w:r>
          </w:p>
          <w:p w14:paraId="46A462A1" w14:textId="77777777" w:rsidR="001C08A5" w:rsidRDefault="00000000">
            <w:pPr>
              <w:autoSpaceDE w:val="0"/>
              <w:autoSpaceDN w:val="0"/>
              <w:adjustRightInd w:val="0"/>
              <w:jc w:val="center"/>
              <w:rPr>
                <w:i/>
                <w:sz w:val="22"/>
                <w:szCs w:val="22"/>
              </w:rPr>
            </w:pPr>
            <w:r>
              <w:rPr>
                <w:i/>
                <w:sz w:val="22"/>
                <w:szCs w:val="22"/>
              </w:rPr>
              <w:t>și</w:t>
            </w:r>
          </w:p>
        </w:tc>
        <w:tc>
          <w:tcPr>
            <w:tcW w:w="4399" w:type="dxa"/>
            <w:vAlign w:val="center"/>
          </w:tcPr>
          <w:p w14:paraId="2B68A197" w14:textId="77777777" w:rsidR="001C08A5" w:rsidRDefault="00000000">
            <w:pPr>
              <w:autoSpaceDE w:val="0"/>
              <w:autoSpaceDN w:val="0"/>
              <w:adjustRightInd w:val="0"/>
              <w:jc w:val="center"/>
              <w:rPr>
                <w:rFonts w:eastAsia="Courier New"/>
                <w:i/>
                <w:sz w:val="22"/>
                <w:szCs w:val="22"/>
                <w:lang w:val="pt-BR"/>
              </w:rPr>
            </w:pPr>
            <w:r>
              <w:rPr>
                <w:i/>
                <w:sz w:val="22"/>
                <w:szCs w:val="22"/>
                <w:lang w:val="pt-BR"/>
              </w:rPr>
              <w:t>FIGRA ≤ 750 W.s^-1;</w:t>
            </w:r>
          </w:p>
        </w:tc>
        <w:tc>
          <w:tcPr>
            <w:tcW w:w="2673" w:type="dxa"/>
            <w:vMerge w:val="restart"/>
            <w:vAlign w:val="center"/>
          </w:tcPr>
          <w:p w14:paraId="680BF54B"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Emisie de fum(*5)</w:t>
            </w:r>
          </w:p>
          <w:p w14:paraId="2DCE3D7A"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şi Picaturi/</w:t>
            </w:r>
            <w:r>
              <w:rPr>
                <w:rFonts w:eastAsia="Courier New"/>
                <w:i/>
                <w:sz w:val="22"/>
                <w:szCs w:val="22"/>
              </w:rPr>
              <w:t xml:space="preserve"> </w:t>
            </w:r>
            <w:r>
              <w:rPr>
                <w:i/>
                <w:sz w:val="22"/>
                <w:szCs w:val="22"/>
                <w:lang w:val="pt-BR"/>
              </w:rPr>
              <w:t>particule</w:t>
            </w:r>
            <w:r>
              <w:rPr>
                <w:i/>
                <w:sz w:val="22"/>
                <w:szCs w:val="22"/>
              </w:rPr>
              <w:t xml:space="preserve"> </w:t>
            </w:r>
            <w:r>
              <w:rPr>
                <w:i/>
                <w:sz w:val="22"/>
                <w:szCs w:val="22"/>
                <w:lang w:val="pt-BR"/>
              </w:rPr>
              <w:t>arzande(*6)</w:t>
            </w:r>
          </w:p>
        </w:tc>
      </w:tr>
      <w:tr w:rsidR="001C08A5" w14:paraId="15D7E1B6" w14:textId="77777777">
        <w:tc>
          <w:tcPr>
            <w:tcW w:w="756" w:type="dxa"/>
          </w:tcPr>
          <w:p w14:paraId="4E181B96" w14:textId="77777777" w:rsidR="001C08A5" w:rsidRDefault="001C08A5">
            <w:pPr>
              <w:autoSpaceDE w:val="0"/>
              <w:autoSpaceDN w:val="0"/>
              <w:adjustRightInd w:val="0"/>
              <w:rPr>
                <w:rFonts w:eastAsia="Courier New"/>
                <w:b/>
                <w:bCs/>
                <w:i/>
                <w:sz w:val="22"/>
                <w:szCs w:val="22"/>
                <w:lang w:val="pt-BR"/>
              </w:rPr>
            </w:pPr>
          </w:p>
        </w:tc>
        <w:tc>
          <w:tcPr>
            <w:tcW w:w="1923" w:type="dxa"/>
            <w:vAlign w:val="center"/>
          </w:tcPr>
          <w:p w14:paraId="0DE73937" w14:textId="77777777" w:rsidR="001C08A5" w:rsidRDefault="00000000">
            <w:pPr>
              <w:autoSpaceDE w:val="0"/>
              <w:autoSpaceDN w:val="0"/>
              <w:adjustRightInd w:val="0"/>
              <w:jc w:val="center"/>
              <w:rPr>
                <w:i/>
                <w:sz w:val="22"/>
                <w:szCs w:val="22"/>
                <w:lang w:val="pt-BR"/>
              </w:rPr>
            </w:pPr>
            <w:r>
              <w:rPr>
                <w:i/>
                <w:sz w:val="22"/>
                <w:szCs w:val="22"/>
              </w:rPr>
              <w:t xml:space="preserve">SR </w:t>
            </w:r>
            <w:r>
              <w:rPr>
                <w:i/>
                <w:sz w:val="22"/>
                <w:szCs w:val="22"/>
                <w:lang w:val="pt-BR"/>
              </w:rPr>
              <w:t>EN ISO 11925-2(*8)</w:t>
            </w:r>
          </w:p>
          <w:p w14:paraId="7A8A9FC9" w14:textId="77777777" w:rsidR="001C08A5" w:rsidRDefault="00000000">
            <w:pPr>
              <w:autoSpaceDE w:val="0"/>
              <w:autoSpaceDN w:val="0"/>
              <w:adjustRightInd w:val="0"/>
              <w:jc w:val="center"/>
              <w:rPr>
                <w:i/>
                <w:sz w:val="22"/>
                <w:szCs w:val="22"/>
                <w:lang w:val="pt-BR"/>
              </w:rPr>
            </w:pPr>
            <w:r>
              <w:rPr>
                <w:i/>
                <w:sz w:val="22"/>
                <w:szCs w:val="22"/>
                <w:lang w:val="pt-BR"/>
              </w:rPr>
              <w:t>Expunere = 30 s</w:t>
            </w:r>
          </w:p>
        </w:tc>
        <w:tc>
          <w:tcPr>
            <w:tcW w:w="4399" w:type="dxa"/>
            <w:vAlign w:val="center"/>
          </w:tcPr>
          <w:p w14:paraId="3320D3B0" w14:textId="77777777" w:rsidR="001C08A5" w:rsidRDefault="00000000">
            <w:pPr>
              <w:autoSpaceDE w:val="0"/>
              <w:autoSpaceDN w:val="0"/>
              <w:adjustRightInd w:val="0"/>
              <w:jc w:val="center"/>
              <w:rPr>
                <w:rFonts w:eastAsia="Courier New"/>
                <w:i/>
                <w:sz w:val="22"/>
                <w:szCs w:val="22"/>
                <w:lang w:val="pt-BR"/>
              </w:rPr>
            </w:pPr>
            <w:r>
              <w:rPr>
                <w:i/>
                <w:sz w:val="22"/>
                <w:szCs w:val="22"/>
                <w:lang w:val="pt-BR"/>
              </w:rPr>
              <w:t>Fs ≤ 150 mm în 60 s</w:t>
            </w:r>
          </w:p>
        </w:tc>
        <w:tc>
          <w:tcPr>
            <w:tcW w:w="2673" w:type="dxa"/>
            <w:vMerge/>
            <w:vAlign w:val="center"/>
          </w:tcPr>
          <w:p w14:paraId="0D65CF8C" w14:textId="77777777" w:rsidR="001C08A5" w:rsidRDefault="001C08A5">
            <w:pPr>
              <w:autoSpaceDE w:val="0"/>
              <w:autoSpaceDN w:val="0"/>
              <w:adjustRightInd w:val="0"/>
              <w:jc w:val="center"/>
              <w:rPr>
                <w:rFonts w:eastAsia="Courier New"/>
                <w:i/>
                <w:sz w:val="22"/>
                <w:szCs w:val="22"/>
                <w:lang w:val="pt-BR"/>
              </w:rPr>
            </w:pPr>
          </w:p>
        </w:tc>
      </w:tr>
      <w:tr w:rsidR="001C08A5" w14:paraId="3613AA6B" w14:textId="77777777">
        <w:tc>
          <w:tcPr>
            <w:tcW w:w="756" w:type="dxa"/>
          </w:tcPr>
          <w:p w14:paraId="15FAD145" w14:textId="77777777" w:rsidR="001C08A5" w:rsidRDefault="00000000">
            <w:pPr>
              <w:autoSpaceDE w:val="0"/>
              <w:autoSpaceDN w:val="0"/>
              <w:adjustRightInd w:val="0"/>
              <w:rPr>
                <w:rFonts w:eastAsia="Courier New"/>
                <w:b/>
                <w:bCs/>
                <w:i/>
                <w:sz w:val="22"/>
                <w:szCs w:val="22"/>
              </w:rPr>
            </w:pPr>
            <w:r>
              <w:rPr>
                <w:rFonts w:eastAsia="Courier New"/>
                <w:b/>
                <w:bCs/>
                <w:i/>
                <w:sz w:val="22"/>
                <w:szCs w:val="22"/>
              </w:rPr>
              <w:t>E</w:t>
            </w:r>
          </w:p>
        </w:tc>
        <w:tc>
          <w:tcPr>
            <w:tcW w:w="1923" w:type="dxa"/>
            <w:vAlign w:val="center"/>
          </w:tcPr>
          <w:p w14:paraId="523B08DA" w14:textId="77777777" w:rsidR="001C08A5" w:rsidRDefault="00000000">
            <w:pPr>
              <w:autoSpaceDE w:val="0"/>
              <w:autoSpaceDN w:val="0"/>
              <w:adjustRightInd w:val="0"/>
              <w:jc w:val="center"/>
              <w:rPr>
                <w:i/>
                <w:sz w:val="22"/>
                <w:szCs w:val="22"/>
                <w:lang w:val="pt-BR"/>
              </w:rPr>
            </w:pPr>
            <w:r>
              <w:rPr>
                <w:i/>
                <w:sz w:val="22"/>
                <w:szCs w:val="22"/>
              </w:rPr>
              <w:t xml:space="preserve">SR </w:t>
            </w:r>
            <w:r>
              <w:rPr>
                <w:i/>
                <w:sz w:val="22"/>
                <w:szCs w:val="22"/>
                <w:lang w:val="pt-BR"/>
              </w:rPr>
              <w:t>EN ISO 11925-2(*8)</w:t>
            </w:r>
          </w:p>
          <w:p w14:paraId="3DCF634B" w14:textId="77777777" w:rsidR="001C08A5" w:rsidRDefault="00000000">
            <w:pPr>
              <w:autoSpaceDE w:val="0"/>
              <w:autoSpaceDN w:val="0"/>
              <w:adjustRightInd w:val="0"/>
              <w:jc w:val="center"/>
              <w:rPr>
                <w:i/>
                <w:sz w:val="22"/>
                <w:szCs w:val="22"/>
                <w:lang w:val="pt-BR"/>
              </w:rPr>
            </w:pPr>
            <w:r>
              <w:rPr>
                <w:i/>
                <w:sz w:val="22"/>
                <w:szCs w:val="22"/>
                <w:lang w:val="pt-BR"/>
              </w:rPr>
              <w:t>Expunere = 15 s</w:t>
            </w:r>
          </w:p>
        </w:tc>
        <w:tc>
          <w:tcPr>
            <w:tcW w:w="4399" w:type="dxa"/>
            <w:vAlign w:val="center"/>
          </w:tcPr>
          <w:p w14:paraId="582114C1" w14:textId="77777777" w:rsidR="001C08A5" w:rsidRDefault="00000000">
            <w:pPr>
              <w:autoSpaceDE w:val="0"/>
              <w:autoSpaceDN w:val="0"/>
              <w:adjustRightInd w:val="0"/>
              <w:jc w:val="center"/>
              <w:rPr>
                <w:rFonts w:eastAsia="Courier New"/>
                <w:i/>
                <w:sz w:val="22"/>
                <w:szCs w:val="22"/>
                <w:lang w:val="pt-BR"/>
              </w:rPr>
            </w:pPr>
            <w:r>
              <w:rPr>
                <w:i/>
                <w:sz w:val="22"/>
                <w:szCs w:val="22"/>
                <w:lang w:val="pt-BR"/>
              </w:rPr>
              <w:t>Fs ≤ 150 mm în 20 s</w:t>
            </w:r>
          </w:p>
        </w:tc>
        <w:tc>
          <w:tcPr>
            <w:tcW w:w="2673" w:type="dxa"/>
            <w:vAlign w:val="center"/>
          </w:tcPr>
          <w:p w14:paraId="08260828"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Picaturi/</w:t>
            </w:r>
            <w:r>
              <w:rPr>
                <w:rFonts w:eastAsia="Courier New"/>
                <w:i/>
                <w:sz w:val="22"/>
                <w:szCs w:val="22"/>
              </w:rPr>
              <w:t xml:space="preserve"> </w:t>
            </w:r>
            <w:r>
              <w:rPr>
                <w:i/>
                <w:sz w:val="22"/>
                <w:szCs w:val="22"/>
                <w:lang w:val="pt-BR"/>
              </w:rPr>
              <w:t>particule</w:t>
            </w:r>
            <w:r>
              <w:rPr>
                <w:i/>
                <w:sz w:val="22"/>
                <w:szCs w:val="22"/>
              </w:rPr>
              <w:t xml:space="preserve"> </w:t>
            </w:r>
            <w:r>
              <w:rPr>
                <w:i/>
                <w:sz w:val="22"/>
                <w:szCs w:val="22"/>
                <w:lang w:val="pt-BR"/>
              </w:rPr>
              <w:t>arzande(*</w:t>
            </w:r>
            <w:r>
              <w:rPr>
                <w:i/>
                <w:sz w:val="22"/>
                <w:szCs w:val="22"/>
              </w:rPr>
              <w:t>7</w:t>
            </w:r>
            <w:r>
              <w:rPr>
                <w:i/>
                <w:sz w:val="22"/>
                <w:szCs w:val="22"/>
                <w:lang w:val="pt-BR"/>
              </w:rPr>
              <w:t>)</w:t>
            </w:r>
          </w:p>
        </w:tc>
      </w:tr>
      <w:tr w:rsidR="001C08A5" w14:paraId="0ECF6A0C" w14:textId="77777777">
        <w:trPr>
          <w:trHeight w:val="165"/>
        </w:trPr>
        <w:tc>
          <w:tcPr>
            <w:tcW w:w="756" w:type="dxa"/>
          </w:tcPr>
          <w:p w14:paraId="2B7D9414" w14:textId="77777777" w:rsidR="001C08A5" w:rsidRDefault="00000000">
            <w:pPr>
              <w:autoSpaceDE w:val="0"/>
              <w:autoSpaceDN w:val="0"/>
              <w:adjustRightInd w:val="0"/>
              <w:rPr>
                <w:rFonts w:eastAsia="Courier New"/>
                <w:b/>
                <w:bCs/>
                <w:i/>
                <w:sz w:val="22"/>
                <w:szCs w:val="22"/>
              </w:rPr>
            </w:pPr>
            <w:r>
              <w:rPr>
                <w:rFonts w:eastAsia="Courier New"/>
                <w:b/>
                <w:bCs/>
                <w:i/>
                <w:sz w:val="22"/>
                <w:szCs w:val="22"/>
              </w:rPr>
              <w:t>F</w:t>
            </w:r>
          </w:p>
        </w:tc>
        <w:tc>
          <w:tcPr>
            <w:tcW w:w="8995" w:type="dxa"/>
            <w:gridSpan w:val="3"/>
          </w:tcPr>
          <w:p w14:paraId="0BA68881" w14:textId="77777777" w:rsidR="001C08A5" w:rsidRDefault="00000000">
            <w:pPr>
              <w:autoSpaceDE w:val="0"/>
              <w:autoSpaceDN w:val="0"/>
              <w:adjustRightInd w:val="0"/>
              <w:rPr>
                <w:rFonts w:eastAsia="Courier New"/>
                <w:i/>
                <w:sz w:val="22"/>
                <w:szCs w:val="22"/>
                <w:lang w:val="pt-BR"/>
              </w:rPr>
            </w:pPr>
            <w:r>
              <w:rPr>
                <w:rFonts w:eastAsia="Courier New"/>
                <w:i/>
                <w:sz w:val="22"/>
                <w:szCs w:val="22"/>
                <w:lang w:val="pt-BR"/>
              </w:rPr>
              <w:t>Fără performanta determina</w:t>
            </w:r>
            <w:r>
              <w:rPr>
                <w:i/>
                <w:sz w:val="22"/>
                <w:szCs w:val="22"/>
                <w:lang w:val="pt-BR"/>
              </w:rPr>
              <w:t>ta</w:t>
            </w:r>
          </w:p>
        </w:tc>
      </w:tr>
      <w:tr w:rsidR="001C08A5" w14:paraId="5F916646" w14:textId="77777777">
        <w:trPr>
          <w:trHeight w:val="975"/>
        </w:trPr>
        <w:tc>
          <w:tcPr>
            <w:tcW w:w="9751" w:type="dxa"/>
            <w:gridSpan w:val="4"/>
          </w:tcPr>
          <w:p w14:paraId="46241624" w14:textId="77777777" w:rsidR="001C08A5" w:rsidRDefault="00000000">
            <w:pPr>
              <w:autoSpaceDE w:val="0"/>
              <w:autoSpaceDN w:val="0"/>
              <w:adjustRightInd w:val="0"/>
              <w:rPr>
                <w:i/>
                <w:sz w:val="22"/>
                <w:szCs w:val="22"/>
                <w:lang w:val="pt-BR"/>
              </w:rPr>
            </w:pPr>
            <w:r>
              <w:rPr>
                <w:rFonts w:eastAsia="Courier New"/>
                <w:i/>
                <w:sz w:val="22"/>
                <w:szCs w:val="22"/>
                <w:lang w:val="pt-BR"/>
              </w:rPr>
              <w:t>(*) Tratarea anumitor familii de produse (ţevi, conducte, cabluri, etc) este</w:t>
            </w:r>
            <w:r>
              <w:rPr>
                <w:rFonts w:eastAsia="Courier New"/>
                <w:i/>
                <w:sz w:val="22"/>
                <w:szCs w:val="22"/>
              </w:rPr>
              <w:t xml:space="preserve"> </w:t>
            </w:r>
            <w:r>
              <w:rPr>
                <w:rFonts w:eastAsia="Courier New"/>
                <w:i/>
                <w:sz w:val="22"/>
                <w:szCs w:val="22"/>
                <w:lang w:val="pt-BR"/>
              </w:rPr>
              <w:t>în curs de examinare la nivel european şi poate duc</w:t>
            </w:r>
            <w:r>
              <w:rPr>
                <w:i/>
                <w:sz w:val="22"/>
                <w:szCs w:val="22"/>
                <w:lang w:val="pt-BR"/>
              </w:rPr>
              <w:t>e la modificarea</w:t>
            </w:r>
            <w:r>
              <w:rPr>
                <w:i/>
                <w:sz w:val="22"/>
                <w:szCs w:val="22"/>
              </w:rPr>
              <w:t xml:space="preserve"> </w:t>
            </w:r>
            <w:r>
              <w:rPr>
                <w:i/>
                <w:sz w:val="22"/>
                <w:szCs w:val="22"/>
                <w:lang w:val="pt-BR"/>
              </w:rPr>
              <w:t>prezentului regulament.</w:t>
            </w:r>
          </w:p>
          <w:p w14:paraId="71723D5D" w14:textId="77777777" w:rsidR="001C08A5" w:rsidRDefault="00000000">
            <w:pPr>
              <w:autoSpaceDE w:val="0"/>
              <w:autoSpaceDN w:val="0"/>
              <w:adjustRightInd w:val="0"/>
              <w:rPr>
                <w:i/>
                <w:sz w:val="22"/>
                <w:szCs w:val="22"/>
                <w:lang w:val="pt-BR"/>
              </w:rPr>
            </w:pPr>
            <w:r>
              <w:rPr>
                <w:rFonts w:eastAsia="Courier New"/>
                <w:i/>
                <w:sz w:val="22"/>
                <w:szCs w:val="22"/>
                <w:lang w:val="pt-BR"/>
              </w:rPr>
              <w:t>(*1) Pentru produse omogene şi componenţi substantiali ai produselor</w:t>
            </w:r>
            <w:r>
              <w:rPr>
                <w:rFonts w:eastAsia="Courier New"/>
                <w:i/>
                <w:sz w:val="22"/>
                <w:szCs w:val="22"/>
              </w:rPr>
              <w:t xml:space="preserve"> </w:t>
            </w:r>
            <w:r>
              <w:rPr>
                <w:i/>
                <w:sz w:val="22"/>
                <w:szCs w:val="22"/>
                <w:lang w:val="pt-BR"/>
              </w:rPr>
              <w:t>neomogene.</w:t>
            </w:r>
          </w:p>
          <w:p w14:paraId="46A91444" w14:textId="77777777" w:rsidR="001C08A5" w:rsidRDefault="00000000">
            <w:pPr>
              <w:autoSpaceDE w:val="0"/>
              <w:autoSpaceDN w:val="0"/>
              <w:adjustRightInd w:val="0"/>
              <w:rPr>
                <w:i/>
                <w:sz w:val="22"/>
                <w:szCs w:val="22"/>
                <w:lang w:val="pt-BR"/>
              </w:rPr>
            </w:pPr>
            <w:r>
              <w:rPr>
                <w:i/>
                <w:sz w:val="22"/>
                <w:szCs w:val="22"/>
                <w:lang w:val="pt-BR"/>
              </w:rPr>
              <w:t>(*2) Pentru orice component nesubstantial exterior al produselor neomogene.</w:t>
            </w:r>
          </w:p>
          <w:p w14:paraId="5F7B5BBA" w14:textId="77777777" w:rsidR="001C08A5" w:rsidRDefault="00000000">
            <w:pPr>
              <w:autoSpaceDE w:val="0"/>
              <w:autoSpaceDN w:val="0"/>
              <w:adjustRightInd w:val="0"/>
              <w:rPr>
                <w:rFonts w:eastAsia="Courier New"/>
                <w:i/>
                <w:sz w:val="22"/>
                <w:szCs w:val="22"/>
              </w:rPr>
            </w:pPr>
            <w:r>
              <w:rPr>
                <w:i/>
                <w:sz w:val="22"/>
                <w:szCs w:val="22"/>
                <w:lang w:val="pt-BR"/>
              </w:rPr>
              <w:t>(*2a) Pentru orice component exterior nesubstantial,</w:t>
            </w:r>
            <w:r>
              <w:rPr>
                <w:i/>
                <w:sz w:val="22"/>
                <w:szCs w:val="22"/>
              </w:rPr>
              <w:t xml:space="preserve"> </w:t>
            </w:r>
            <w:r>
              <w:rPr>
                <w:i/>
                <w:sz w:val="22"/>
                <w:szCs w:val="22"/>
                <w:lang w:val="pt-BR"/>
              </w:rPr>
              <w:t>având PCS ≤ 2,0 MJ.m^-2,</w:t>
            </w:r>
            <w:r>
              <w:rPr>
                <w:i/>
                <w:sz w:val="22"/>
                <w:szCs w:val="22"/>
              </w:rPr>
              <w:t xml:space="preserve"> </w:t>
            </w:r>
            <w:r>
              <w:rPr>
                <w:rFonts w:eastAsia="Courier New"/>
                <w:i/>
                <w:sz w:val="22"/>
                <w:szCs w:val="22"/>
                <w:lang w:val="pt-BR"/>
              </w:rPr>
              <w:t>în cazul în care produsul îndeplineşte următoarele criterii din</w:t>
            </w:r>
            <w:r>
              <w:rPr>
                <w:rFonts w:eastAsia="Courier New"/>
                <w:i/>
                <w:sz w:val="22"/>
                <w:szCs w:val="22"/>
              </w:rPr>
              <w:t xml:space="preserve"> </w:t>
            </w:r>
            <w:r>
              <w:rPr>
                <w:i/>
                <w:sz w:val="22"/>
                <w:szCs w:val="22"/>
                <w:lang w:val="pt-BR"/>
              </w:rPr>
              <w:t>EN 13823</w:t>
            </w:r>
            <w:r>
              <w:rPr>
                <w:rFonts w:eastAsia="Courier New"/>
                <w:i/>
                <w:sz w:val="22"/>
                <w:szCs w:val="22"/>
                <w:lang w:val="pt-BR"/>
              </w:rPr>
              <w:t xml:space="preserve"> (SBI): FIGRA ≤ 20W.S^-1; şi LFS &lt; marginea epruvetei şi</w:t>
            </w:r>
            <w:r>
              <w:rPr>
                <w:rFonts w:eastAsia="Courier New"/>
                <w:i/>
                <w:sz w:val="22"/>
                <w:szCs w:val="22"/>
              </w:rPr>
              <w:t xml:space="preserve"> THR(600s) ≤ 4,0 MJ, şi s1, şi d0.</w:t>
            </w:r>
          </w:p>
          <w:p w14:paraId="1A7AE569" w14:textId="77777777" w:rsidR="001C08A5" w:rsidRDefault="00000000">
            <w:pPr>
              <w:autoSpaceDE w:val="0"/>
              <w:autoSpaceDN w:val="0"/>
              <w:adjustRightInd w:val="0"/>
              <w:rPr>
                <w:i/>
                <w:sz w:val="22"/>
                <w:szCs w:val="22"/>
              </w:rPr>
            </w:pPr>
            <w:r>
              <w:rPr>
                <w:i/>
                <w:sz w:val="22"/>
                <w:szCs w:val="22"/>
              </w:rPr>
              <w:t xml:space="preserve">(*3) Pentru orice component nesubstantial interior al produselor neomogene. </w:t>
            </w:r>
          </w:p>
          <w:p w14:paraId="77BFA3C4" w14:textId="77777777" w:rsidR="001C08A5" w:rsidRDefault="00000000">
            <w:pPr>
              <w:autoSpaceDE w:val="0"/>
              <w:autoSpaceDN w:val="0"/>
              <w:adjustRightInd w:val="0"/>
              <w:rPr>
                <w:i/>
                <w:sz w:val="22"/>
                <w:szCs w:val="22"/>
              </w:rPr>
            </w:pPr>
            <w:r>
              <w:rPr>
                <w:i/>
                <w:sz w:val="22"/>
                <w:szCs w:val="22"/>
              </w:rPr>
              <w:t>(*4) Pentru produs în ansamblul sau</w:t>
            </w:r>
          </w:p>
          <w:p w14:paraId="0DFA8001" w14:textId="77777777" w:rsidR="001C08A5" w:rsidRDefault="00000000">
            <w:pPr>
              <w:autoSpaceDE w:val="0"/>
              <w:autoSpaceDN w:val="0"/>
              <w:adjustRightInd w:val="0"/>
              <w:rPr>
                <w:rFonts w:eastAsia="Courier New"/>
                <w:i/>
                <w:sz w:val="22"/>
                <w:szCs w:val="22"/>
              </w:rPr>
            </w:pPr>
            <w:r>
              <w:rPr>
                <w:rFonts w:eastAsia="Courier New"/>
                <w:i/>
                <w:sz w:val="22"/>
                <w:szCs w:val="22"/>
              </w:rPr>
              <w:t>(*5) s1 = SMOGRA ≤ 30 mp.s^-1 şi TSP(600s) ≤ 50 mp; s2 = SMOGRA ≤ 180 mp.s^-2 şi TSP(600s) ≤ 200 mp; s3 = nici s1 nici s2</w:t>
            </w:r>
          </w:p>
          <w:p w14:paraId="5E0D6C1F" w14:textId="77777777" w:rsidR="001C08A5" w:rsidRDefault="00000000">
            <w:pPr>
              <w:autoSpaceDE w:val="0"/>
              <w:autoSpaceDN w:val="0"/>
              <w:adjustRightInd w:val="0"/>
              <w:rPr>
                <w:i/>
                <w:sz w:val="22"/>
                <w:szCs w:val="22"/>
                <w:lang w:val="pt-BR"/>
              </w:rPr>
            </w:pPr>
            <w:r>
              <w:rPr>
                <w:rFonts w:eastAsia="Courier New"/>
                <w:i/>
                <w:sz w:val="22"/>
                <w:szCs w:val="22"/>
              </w:rPr>
              <w:t>(*6) d0 = fără picaturi/particule arzande conform SR EN</w:t>
            </w:r>
            <w:r>
              <w:rPr>
                <w:i/>
                <w:sz w:val="22"/>
                <w:szCs w:val="22"/>
              </w:rPr>
              <w:t xml:space="preserve"> 13823 (SBI) înainte de </w:t>
            </w:r>
            <w:r>
              <w:rPr>
                <w:rFonts w:eastAsia="Courier New"/>
                <w:i/>
                <w:sz w:val="22"/>
                <w:szCs w:val="22"/>
                <w:lang w:val="it-IT"/>
              </w:rPr>
              <w:t>600s; d1 = fără picaturi/particule arz</w:t>
            </w:r>
            <w:r>
              <w:rPr>
                <w:rFonts w:eastAsia="Courier New"/>
                <w:i/>
                <w:sz w:val="22"/>
                <w:szCs w:val="22"/>
              </w:rPr>
              <w:t>â</w:t>
            </w:r>
            <w:r>
              <w:rPr>
                <w:rFonts w:eastAsia="Courier New"/>
                <w:i/>
                <w:sz w:val="22"/>
                <w:szCs w:val="22"/>
                <w:lang w:val="it-IT"/>
              </w:rPr>
              <w:t>nde care persista mai mult de</w:t>
            </w:r>
            <w:r>
              <w:rPr>
                <w:rFonts w:eastAsia="Courier New"/>
                <w:i/>
                <w:sz w:val="22"/>
                <w:szCs w:val="22"/>
              </w:rPr>
              <w:t xml:space="preserve"> </w:t>
            </w:r>
            <w:r>
              <w:rPr>
                <w:i/>
                <w:sz w:val="22"/>
                <w:szCs w:val="22"/>
                <w:lang w:val="pt-BR"/>
              </w:rPr>
              <w:t>10s conform EN 13823 (SBI) în 600 s; d2 = nici d0 nici d1; Aprinderea</w:t>
            </w:r>
            <w:r>
              <w:rPr>
                <w:i/>
                <w:sz w:val="22"/>
                <w:szCs w:val="22"/>
              </w:rPr>
              <w:t xml:space="preserve"> </w:t>
            </w:r>
            <w:r>
              <w:rPr>
                <w:i/>
                <w:sz w:val="22"/>
                <w:szCs w:val="22"/>
                <w:lang w:val="pt-BR"/>
              </w:rPr>
              <w:t xml:space="preserve">hârtiei de filtru conform </w:t>
            </w:r>
            <w:r>
              <w:rPr>
                <w:i/>
                <w:sz w:val="22"/>
                <w:szCs w:val="22"/>
              </w:rPr>
              <w:t xml:space="preserve">SR </w:t>
            </w:r>
            <w:r>
              <w:rPr>
                <w:i/>
                <w:sz w:val="22"/>
                <w:szCs w:val="22"/>
                <w:lang w:val="pt-BR"/>
              </w:rPr>
              <w:t>EN ISO 11925-2 clasifica în clasa d2.</w:t>
            </w:r>
          </w:p>
          <w:p w14:paraId="43F9BF39" w14:textId="77777777" w:rsidR="001C08A5" w:rsidRDefault="00000000">
            <w:pPr>
              <w:autoSpaceDE w:val="0"/>
              <w:autoSpaceDN w:val="0"/>
              <w:adjustRightInd w:val="0"/>
              <w:rPr>
                <w:i/>
                <w:sz w:val="22"/>
                <w:szCs w:val="22"/>
                <w:lang w:val="pt-BR"/>
              </w:rPr>
            </w:pPr>
            <w:r>
              <w:rPr>
                <w:rFonts w:eastAsia="Courier New"/>
                <w:i/>
                <w:sz w:val="22"/>
                <w:szCs w:val="22"/>
                <w:lang w:val="pt-BR"/>
              </w:rPr>
              <w:t xml:space="preserve">(*7) Acceptat = nu se aprinde hârtia de filtru (fără clasa); respins = se   </w:t>
            </w:r>
            <w:r>
              <w:rPr>
                <w:i/>
                <w:sz w:val="22"/>
                <w:szCs w:val="22"/>
                <w:lang w:val="pt-BR"/>
              </w:rPr>
              <w:t>aprinde hârtia de filtru (clasa d2)</w:t>
            </w:r>
          </w:p>
          <w:p w14:paraId="5F29BF01" w14:textId="77777777" w:rsidR="001C08A5" w:rsidRDefault="00000000">
            <w:pPr>
              <w:autoSpaceDE w:val="0"/>
              <w:autoSpaceDN w:val="0"/>
              <w:adjustRightInd w:val="0"/>
              <w:rPr>
                <w:rFonts w:eastAsia="Courier New"/>
                <w:b/>
                <w:bCs/>
                <w:i/>
                <w:sz w:val="22"/>
                <w:szCs w:val="22"/>
                <w:lang w:val="pt-BR"/>
              </w:rPr>
            </w:pPr>
            <w:r>
              <w:rPr>
                <w:rFonts w:eastAsia="Courier New"/>
                <w:i/>
                <w:sz w:val="22"/>
                <w:szCs w:val="22"/>
                <w:lang w:val="pt-BR"/>
              </w:rPr>
              <w:t>(*8) În cazul aplicării flacarii pe suprafata sau a aplicării pe muchia</w:t>
            </w:r>
            <w:r>
              <w:rPr>
                <w:rFonts w:eastAsia="Courier New"/>
                <w:i/>
                <w:sz w:val="22"/>
                <w:szCs w:val="22"/>
              </w:rPr>
              <w:t xml:space="preserve"> </w:t>
            </w:r>
            <w:r>
              <w:rPr>
                <w:i/>
                <w:sz w:val="22"/>
                <w:szCs w:val="22"/>
                <w:lang w:val="pt-BR"/>
              </w:rPr>
              <w:t>epruve</w:t>
            </w:r>
            <w:r>
              <w:rPr>
                <w:rFonts w:eastAsia="Courier New"/>
                <w:i/>
                <w:sz w:val="22"/>
                <w:szCs w:val="22"/>
                <w:lang w:val="pt-BR"/>
              </w:rPr>
              <w:t>tei, se tine seama de condiţiile de utilizare finala a produsului</w:t>
            </w:r>
          </w:p>
        </w:tc>
      </w:tr>
    </w:tbl>
    <w:p w14:paraId="680D6E42" w14:textId="77777777" w:rsidR="001C08A5" w:rsidRDefault="001C08A5">
      <w:pPr>
        <w:spacing w:after="150"/>
        <w:jc w:val="both"/>
        <w:rPr>
          <w:rFonts w:eastAsia="Calibri"/>
          <w:i/>
          <w:sz w:val="24"/>
          <w:szCs w:val="24"/>
        </w:rPr>
      </w:pPr>
    </w:p>
    <w:p w14:paraId="664BCA38" w14:textId="77777777" w:rsidR="001C08A5" w:rsidRDefault="00000000">
      <w:pPr>
        <w:pStyle w:val="Caption"/>
        <w:jc w:val="both"/>
        <w:rPr>
          <w:rFonts w:eastAsia="Calibri"/>
          <w:bCs/>
          <w:shd w:val="clear" w:color="auto" w:fill="FFFFFF"/>
        </w:rPr>
      </w:pPr>
      <w:bookmarkStart w:id="10322" w:name="_Toc162360192"/>
      <w:r>
        <w:t xml:space="preserve">Tabelul </w:t>
      </w:r>
      <w:r>
        <w:fldChar w:fldCharType="begin"/>
      </w:r>
      <w:r>
        <w:instrText xml:space="preserve"> SEQ Tabelul \* ARABIC </w:instrText>
      </w:r>
      <w:r>
        <w:fldChar w:fldCharType="separate"/>
      </w:r>
      <w:r>
        <w:t>142</w:t>
      </w:r>
      <w:r>
        <w:fldChar w:fldCharType="end"/>
      </w:r>
      <w:bookmarkStart w:id="10323" w:name="_Toc19471"/>
      <w:bookmarkStart w:id="10324" w:name="_Toc19091"/>
      <w:bookmarkStart w:id="10325" w:name="_Toc957"/>
      <w:bookmarkStart w:id="10326" w:name="_Toc111"/>
      <w:bookmarkStart w:id="10327" w:name="_Toc18225"/>
      <w:bookmarkStart w:id="10328" w:name="_Toc21579"/>
      <w:bookmarkStart w:id="10329" w:name="_Toc2583"/>
      <w:bookmarkStart w:id="10330" w:name="_Toc30614"/>
      <w:bookmarkStart w:id="10331" w:name="_Toc26222"/>
      <w:bookmarkStart w:id="10332" w:name="_Toc21253"/>
      <w:bookmarkStart w:id="10333" w:name="_Toc23378"/>
      <w:bookmarkStart w:id="10334" w:name="_Toc3726"/>
      <w:r>
        <w:t xml:space="preserve">: </w:t>
      </w:r>
      <w:r>
        <w:rPr>
          <w:rFonts w:eastAsia="Calibri"/>
          <w:bCs/>
          <w:shd w:val="clear" w:color="auto" w:fill="FFFFFF"/>
        </w:rPr>
        <w:t>Clase de performanță privind reacția la foc a pardoselilor pentru construcţii</w:t>
      </w:r>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p>
    <w:p w14:paraId="0499A3EF" w14:textId="77777777" w:rsidR="001C08A5" w:rsidRDefault="001C08A5">
      <w:pPr>
        <w:jc w:val="both"/>
        <w:rPr>
          <w:rFonts w:eastAsia="Calibri"/>
          <w:i/>
          <w:sz w:val="24"/>
          <w:szCs w:val="24"/>
          <w:shd w:val="clear" w:color="auto" w:fill="FFFFFF"/>
        </w:rPr>
      </w:pPr>
    </w:p>
    <w:tbl>
      <w:tblPr>
        <w:tblStyle w:val="TableGrid"/>
        <w:tblW w:w="0" w:type="auto"/>
        <w:tblLook w:val="04A0" w:firstRow="1" w:lastRow="0" w:firstColumn="1" w:lastColumn="0" w:noHBand="0" w:noVBand="1"/>
      </w:tblPr>
      <w:tblGrid>
        <w:gridCol w:w="901"/>
        <w:gridCol w:w="2459"/>
        <w:gridCol w:w="4333"/>
        <w:gridCol w:w="1936"/>
      </w:tblGrid>
      <w:tr w:rsidR="001C08A5" w14:paraId="01FD0E86" w14:textId="77777777">
        <w:tc>
          <w:tcPr>
            <w:tcW w:w="889" w:type="dxa"/>
            <w:vMerge w:val="restart"/>
            <w:vAlign w:val="center"/>
          </w:tcPr>
          <w:p w14:paraId="1532B648" w14:textId="77777777" w:rsidR="001C08A5" w:rsidRDefault="00000000">
            <w:pPr>
              <w:autoSpaceDE w:val="0"/>
              <w:autoSpaceDN w:val="0"/>
              <w:adjustRightInd w:val="0"/>
              <w:jc w:val="center"/>
              <w:rPr>
                <w:rFonts w:eastAsia="Calibri"/>
                <w:b/>
                <w:bCs/>
                <w:i/>
                <w:sz w:val="22"/>
                <w:szCs w:val="22"/>
                <w:shd w:val="clear" w:color="auto" w:fill="FFFFFF"/>
              </w:rPr>
            </w:pPr>
            <w:r>
              <w:rPr>
                <w:rFonts w:eastAsia="Courier New"/>
                <w:b/>
                <w:bCs/>
                <w:i/>
                <w:sz w:val="22"/>
                <w:szCs w:val="22"/>
                <w:lang w:val="pt-BR"/>
              </w:rPr>
              <w:t>Clasa</w:t>
            </w:r>
          </w:p>
        </w:tc>
        <w:tc>
          <w:tcPr>
            <w:tcW w:w="2494" w:type="dxa"/>
            <w:vMerge w:val="restart"/>
            <w:vAlign w:val="center"/>
          </w:tcPr>
          <w:p w14:paraId="5587B34F" w14:textId="77777777" w:rsidR="001C08A5" w:rsidRDefault="00000000">
            <w:pPr>
              <w:autoSpaceDE w:val="0"/>
              <w:autoSpaceDN w:val="0"/>
              <w:adjustRightInd w:val="0"/>
              <w:jc w:val="center"/>
              <w:rPr>
                <w:rFonts w:eastAsia="Calibri"/>
                <w:b/>
                <w:bCs/>
                <w:i/>
                <w:sz w:val="22"/>
                <w:szCs w:val="22"/>
                <w:shd w:val="clear" w:color="auto" w:fill="FFFFFF"/>
              </w:rPr>
            </w:pPr>
            <w:r>
              <w:rPr>
                <w:rFonts w:eastAsia="Courier New"/>
                <w:b/>
                <w:bCs/>
                <w:i/>
                <w:sz w:val="22"/>
                <w:szCs w:val="22"/>
                <w:lang w:val="pt-BR"/>
              </w:rPr>
              <w:t>Metoda(e</w:t>
            </w:r>
            <w:r>
              <w:rPr>
                <w:rFonts w:eastAsia="Courier New"/>
                <w:b/>
                <w:bCs/>
                <w:i/>
                <w:sz w:val="22"/>
                <w:szCs w:val="22"/>
              </w:rPr>
              <w:t xml:space="preserve">) </w:t>
            </w:r>
            <w:r>
              <w:rPr>
                <w:rFonts w:eastAsia="Courier New"/>
                <w:b/>
                <w:bCs/>
                <w:i/>
                <w:sz w:val="22"/>
                <w:szCs w:val="22"/>
                <w:lang w:val="pt-BR"/>
              </w:rPr>
              <w:t>de</w:t>
            </w:r>
            <w:r>
              <w:rPr>
                <w:rFonts w:eastAsia="Courier New"/>
                <w:b/>
                <w:bCs/>
                <w:i/>
                <w:sz w:val="22"/>
                <w:szCs w:val="22"/>
              </w:rPr>
              <w:t xml:space="preserve"> </w:t>
            </w:r>
            <w:r>
              <w:rPr>
                <w:rFonts w:eastAsia="Courier New"/>
                <w:b/>
                <w:bCs/>
                <w:i/>
                <w:sz w:val="22"/>
                <w:szCs w:val="22"/>
                <w:lang w:val="pt-BR"/>
              </w:rPr>
              <w:t>încercare</w:t>
            </w:r>
          </w:p>
        </w:tc>
        <w:tc>
          <w:tcPr>
            <w:tcW w:w="6368" w:type="dxa"/>
            <w:gridSpan w:val="2"/>
            <w:vAlign w:val="center"/>
          </w:tcPr>
          <w:p w14:paraId="51F6BEA8" w14:textId="77777777" w:rsidR="001C08A5" w:rsidRDefault="00000000">
            <w:pPr>
              <w:autoSpaceDE w:val="0"/>
              <w:autoSpaceDN w:val="0"/>
              <w:adjustRightInd w:val="0"/>
              <w:jc w:val="center"/>
              <w:rPr>
                <w:rFonts w:eastAsia="Calibri"/>
                <w:b/>
                <w:bCs/>
                <w:i/>
                <w:sz w:val="22"/>
                <w:szCs w:val="22"/>
                <w:shd w:val="clear" w:color="auto" w:fill="FFFFFF"/>
              </w:rPr>
            </w:pPr>
            <w:r>
              <w:rPr>
                <w:rFonts w:eastAsia="Courier New"/>
                <w:b/>
                <w:bCs/>
                <w:i/>
                <w:sz w:val="22"/>
                <w:szCs w:val="22"/>
                <w:lang w:val="pt-BR"/>
              </w:rPr>
              <w:t>Criterii de clasificare</w:t>
            </w:r>
          </w:p>
        </w:tc>
      </w:tr>
      <w:tr w:rsidR="001C08A5" w14:paraId="5FE15FD4" w14:textId="77777777">
        <w:tc>
          <w:tcPr>
            <w:tcW w:w="889" w:type="dxa"/>
            <w:vMerge/>
            <w:vAlign w:val="center"/>
          </w:tcPr>
          <w:p w14:paraId="6422D5D6" w14:textId="77777777" w:rsidR="001C08A5" w:rsidRDefault="001C08A5">
            <w:pPr>
              <w:widowControl/>
              <w:jc w:val="center"/>
              <w:rPr>
                <w:rFonts w:eastAsia="Calibri"/>
                <w:b/>
                <w:bCs/>
                <w:i/>
                <w:sz w:val="22"/>
                <w:szCs w:val="22"/>
                <w:shd w:val="clear" w:color="auto" w:fill="FFFFFF"/>
              </w:rPr>
            </w:pPr>
          </w:p>
        </w:tc>
        <w:tc>
          <w:tcPr>
            <w:tcW w:w="2494" w:type="dxa"/>
            <w:vMerge/>
            <w:vAlign w:val="center"/>
          </w:tcPr>
          <w:p w14:paraId="27726490" w14:textId="77777777" w:rsidR="001C08A5" w:rsidRDefault="001C08A5">
            <w:pPr>
              <w:widowControl/>
              <w:jc w:val="center"/>
              <w:rPr>
                <w:rFonts w:eastAsia="Calibri"/>
                <w:b/>
                <w:bCs/>
                <w:i/>
                <w:sz w:val="22"/>
                <w:szCs w:val="22"/>
                <w:shd w:val="clear" w:color="auto" w:fill="FFFFFF"/>
              </w:rPr>
            </w:pPr>
          </w:p>
        </w:tc>
        <w:tc>
          <w:tcPr>
            <w:tcW w:w="4418" w:type="dxa"/>
            <w:vAlign w:val="center"/>
          </w:tcPr>
          <w:p w14:paraId="6A88AF6B" w14:textId="77777777" w:rsidR="001C08A5" w:rsidRDefault="00000000">
            <w:pPr>
              <w:autoSpaceDE w:val="0"/>
              <w:autoSpaceDN w:val="0"/>
              <w:adjustRightInd w:val="0"/>
              <w:jc w:val="center"/>
              <w:rPr>
                <w:rFonts w:eastAsia="Calibri"/>
                <w:b/>
                <w:bCs/>
                <w:i/>
                <w:sz w:val="22"/>
                <w:szCs w:val="22"/>
                <w:shd w:val="clear" w:color="auto" w:fill="FFFFFF"/>
              </w:rPr>
            </w:pPr>
            <w:r>
              <w:rPr>
                <w:rFonts w:eastAsia="Courier New"/>
                <w:b/>
                <w:bCs/>
                <w:i/>
                <w:sz w:val="22"/>
                <w:szCs w:val="22"/>
                <w:lang w:val="pt-BR"/>
              </w:rPr>
              <w:t>Criterii de baza</w:t>
            </w:r>
          </w:p>
        </w:tc>
        <w:tc>
          <w:tcPr>
            <w:tcW w:w="1950" w:type="dxa"/>
            <w:vAlign w:val="center"/>
          </w:tcPr>
          <w:p w14:paraId="18BE842D" w14:textId="77777777" w:rsidR="001C08A5" w:rsidRDefault="00000000">
            <w:pPr>
              <w:autoSpaceDE w:val="0"/>
              <w:autoSpaceDN w:val="0"/>
              <w:adjustRightInd w:val="0"/>
              <w:jc w:val="center"/>
              <w:rPr>
                <w:rFonts w:eastAsia="Calibri"/>
                <w:b/>
                <w:bCs/>
                <w:i/>
                <w:sz w:val="22"/>
                <w:szCs w:val="22"/>
                <w:shd w:val="clear" w:color="auto" w:fill="FFFFFF"/>
              </w:rPr>
            </w:pPr>
            <w:r>
              <w:rPr>
                <w:rFonts w:eastAsia="Courier New"/>
                <w:b/>
                <w:bCs/>
                <w:i/>
                <w:sz w:val="22"/>
                <w:szCs w:val="22"/>
                <w:lang w:val="pt-BR"/>
              </w:rPr>
              <w:t>Criterii</w:t>
            </w:r>
            <w:r>
              <w:rPr>
                <w:rFonts w:eastAsia="Courier New"/>
                <w:b/>
                <w:bCs/>
                <w:i/>
                <w:sz w:val="22"/>
                <w:szCs w:val="22"/>
              </w:rPr>
              <w:t xml:space="preserve"> </w:t>
            </w:r>
            <w:r>
              <w:rPr>
                <w:rFonts w:eastAsia="Courier New"/>
                <w:b/>
                <w:bCs/>
                <w:i/>
                <w:sz w:val="22"/>
                <w:szCs w:val="22"/>
                <w:lang w:val="pt-BR"/>
              </w:rPr>
              <w:t>suplimentare</w:t>
            </w:r>
          </w:p>
        </w:tc>
      </w:tr>
      <w:tr w:rsidR="001C08A5" w14:paraId="1B95DA15" w14:textId="77777777">
        <w:tc>
          <w:tcPr>
            <w:tcW w:w="889" w:type="dxa"/>
            <w:vAlign w:val="center"/>
          </w:tcPr>
          <w:p w14:paraId="64262BAB" w14:textId="77777777" w:rsidR="001C08A5" w:rsidRDefault="00000000">
            <w:pPr>
              <w:widowControl/>
              <w:jc w:val="center"/>
              <w:rPr>
                <w:rFonts w:eastAsia="Calibri"/>
                <w:b/>
                <w:bCs/>
                <w:i/>
                <w:sz w:val="22"/>
                <w:szCs w:val="22"/>
                <w:shd w:val="clear" w:color="auto" w:fill="FFFFFF"/>
              </w:rPr>
            </w:pPr>
            <w:r>
              <w:rPr>
                <w:b/>
                <w:bCs/>
                <w:i/>
                <w:sz w:val="22"/>
                <w:szCs w:val="22"/>
                <w:lang w:val="pt-BR"/>
              </w:rPr>
              <w:t>A1(F</w:t>
            </w:r>
            <w:r>
              <w:rPr>
                <w:rFonts w:eastAsia="Courier New"/>
                <w:b/>
                <w:bCs/>
                <w:i/>
                <w:sz w:val="22"/>
                <w:szCs w:val="22"/>
                <w:lang w:val="pt-BR"/>
              </w:rPr>
              <w:t>L)</w:t>
            </w:r>
          </w:p>
        </w:tc>
        <w:tc>
          <w:tcPr>
            <w:tcW w:w="2494" w:type="dxa"/>
            <w:vAlign w:val="center"/>
          </w:tcPr>
          <w:p w14:paraId="27662F4A" w14:textId="77777777" w:rsidR="001C08A5" w:rsidRDefault="00000000">
            <w:pPr>
              <w:widowControl/>
              <w:jc w:val="center"/>
              <w:rPr>
                <w:rFonts w:eastAsia="Courier New"/>
                <w:i/>
                <w:sz w:val="22"/>
                <w:szCs w:val="22"/>
                <w:lang w:val="pt-BR"/>
              </w:rPr>
            </w:pPr>
            <w:r>
              <w:rPr>
                <w:rFonts w:eastAsia="Courier New"/>
                <w:i/>
                <w:sz w:val="22"/>
                <w:szCs w:val="22"/>
              </w:rPr>
              <w:t xml:space="preserve">SR </w:t>
            </w:r>
            <w:r>
              <w:rPr>
                <w:rFonts w:eastAsia="Courier New"/>
                <w:i/>
                <w:sz w:val="22"/>
                <w:szCs w:val="22"/>
                <w:lang w:val="pt-BR"/>
              </w:rPr>
              <w:t>EN ISO 1182(*1)</w:t>
            </w:r>
          </w:p>
          <w:p w14:paraId="16310081" w14:textId="77777777" w:rsidR="001C08A5" w:rsidRDefault="00000000">
            <w:pPr>
              <w:widowControl/>
              <w:jc w:val="center"/>
              <w:rPr>
                <w:rFonts w:eastAsia="Courier New"/>
                <w:i/>
                <w:sz w:val="22"/>
                <w:szCs w:val="22"/>
              </w:rPr>
            </w:pPr>
            <w:r>
              <w:rPr>
                <w:rFonts w:eastAsia="Courier New"/>
                <w:i/>
                <w:sz w:val="22"/>
                <w:szCs w:val="22"/>
              </w:rPr>
              <w:t>și</w:t>
            </w:r>
          </w:p>
        </w:tc>
        <w:tc>
          <w:tcPr>
            <w:tcW w:w="4418" w:type="dxa"/>
            <w:vAlign w:val="center"/>
          </w:tcPr>
          <w:p w14:paraId="70ED0770" w14:textId="77777777" w:rsidR="001C08A5" w:rsidRDefault="00000000">
            <w:pPr>
              <w:widowControl/>
              <w:jc w:val="center"/>
              <w:rPr>
                <w:rFonts w:eastAsia="Courier New"/>
                <w:i/>
                <w:sz w:val="22"/>
                <w:szCs w:val="22"/>
                <w:lang w:val="pt-BR"/>
              </w:rPr>
            </w:pPr>
            <w:r>
              <w:rPr>
                <w:rFonts w:eastAsia="Courier New"/>
                <w:i/>
                <w:sz w:val="22"/>
                <w:szCs w:val="22"/>
                <w:lang w:val="pt-BR"/>
              </w:rPr>
              <w:t>Delta T ≤ 30°°C şi</w:t>
            </w:r>
          </w:p>
          <w:p w14:paraId="504344D4" w14:textId="77777777" w:rsidR="001C08A5" w:rsidRDefault="00000000">
            <w:pPr>
              <w:widowControl/>
              <w:jc w:val="center"/>
              <w:rPr>
                <w:rFonts w:eastAsia="Courier New"/>
                <w:i/>
                <w:sz w:val="22"/>
                <w:szCs w:val="22"/>
                <w:lang w:val="pt-BR"/>
              </w:rPr>
            </w:pPr>
            <w:r>
              <w:rPr>
                <w:rFonts w:eastAsia="Courier New"/>
                <w:i/>
                <w:sz w:val="22"/>
                <w:szCs w:val="22"/>
                <w:lang w:val="pt-BR"/>
              </w:rPr>
              <w:t>Delta m ≤ 50 % şi</w:t>
            </w:r>
          </w:p>
          <w:p w14:paraId="3FB45DA5" w14:textId="77777777" w:rsidR="001C08A5" w:rsidRDefault="00000000">
            <w:pPr>
              <w:widowControl/>
              <w:jc w:val="center"/>
              <w:rPr>
                <w:rFonts w:eastAsia="Calibri"/>
                <w:i/>
                <w:sz w:val="22"/>
                <w:szCs w:val="22"/>
                <w:shd w:val="clear" w:color="auto" w:fill="FFFFFF"/>
              </w:rPr>
            </w:pPr>
            <w:r>
              <w:rPr>
                <w:rFonts w:eastAsia="Courier New"/>
                <w:i/>
                <w:sz w:val="22"/>
                <w:szCs w:val="22"/>
                <w:lang w:val="pt-BR"/>
              </w:rPr>
              <w:t>t(f) = 0 (fără flacara</w:t>
            </w:r>
            <w:r>
              <w:rPr>
                <w:rFonts w:eastAsia="Courier New"/>
                <w:i/>
                <w:sz w:val="22"/>
                <w:szCs w:val="22"/>
              </w:rPr>
              <w:t xml:space="preserve"> </w:t>
            </w:r>
            <w:r>
              <w:rPr>
                <w:rFonts w:eastAsia="Courier New"/>
                <w:i/>
                <w:sz w:val="22"/>
                <w:szCs w:val="22"/>
                <w:lang w:val="pt-BR"/>
              </w:rPr>
              <w:t>susţinută)</w:t>
            </w:r>
          </w:p>
        </w:tc>
        <w:tc>
          <w:tcPr>
            <w:tcW w:w="1950" w:type="dxa"/>
            <w:vAlign w:val="center"/>
          </w:tcPr>
          <w:p w14:paraId="05795A9D" w14:textId="77777777" w:rsidR="001C08A5" w:rsidRDefault="001C08A5">
            <w:pPr>
              <w:widowControl/>
              <w:jc w:val="center"/>
              <w:rPr>
                <w:rFonts w:eastAsia="Calibri"/>
                <w:i/>
                <w:sz w:val="22"/>
                <w:szCs w:val="22"/>
                <w:shd w:val="clear" w:color="auto" w:fill="FFFFFF"/>
              </w:rPr>
            </w:pPr>
          </w:p>
        </w:tc>
      </w:tr>
      <w:tr w:rsidR="001C08A5" w14:paraId="742C186A" w14:textId="77777777">
        <w:tc>
          <w:tcPr>
            <w:tcW w:w="889" w:type="dxa"/>
            <w:vAlign w:val="center"/>
          </w:tcPr>
          <w:p w14:paraId="5EDC0F13" w14:textId="77777777" w:rsidR="001C08A5" w:rsidRDefault="001C08A5">
            <w:pPr>
              <w:widowControl/>
              <w:jc w:val="center"/>
              <w:rPr>
                <w:rFonts w:eastAsia="Calibri"/>
                <w:b/>
                <w:bCs/>
                <w:i/>
                <w:sz w:val="22"/>
                <w:szCs w:val="22"/>
                <w:shd w:val="clear" w:color="auto" w:fill="FFFFFF"/>
              </w:rPr>
            </w:pPr>
          </w:p>
        </w:tc>
        <w:tc>
          <w:tcPr>
            <w:tcW w:w="2494" w:type="dxa"/>
            <w:vAlign w:val="center"/>
          </w:tcPr>
          <w:p w14:paraId="3B3B35A0" w14:textId="77777777" w:rsidR="001C08A5" w:rsidRDefault="00000000">
            <w:pPr>
              <w:widowControl/>
              <w:jc w:val="center"/>
              <w:rPr>
                <w:rFonts w:eastAsia="Calibri"/>
                <w:i/>
                <w:sz w:val="22"/>
                <w:szCs w:val="22"/>
                <w:shd w:val="clear" w:color="auto" w:fill="FFFFFF"/>
              </w:rPr>
            </w:pPr>
            <w:r>
              <w:rPr>
                <w:rFonts w:eastAsia="Courier New"/>
                <w:i/>
                <w:sz w:val="22"/>
                <w:szCs w:val="22"/>
              </w:rPr>
              <w:t xml:space="preserve">SR </w:t>
            </w:r>
            <w:r>
              <w:rPr>
                <w:rFonts w:eastAsia="Courier New"/>
                <w:i/>
                <w:sz w:val="22"/>
                <w:szCs w:val="22"/>
                <w:lang w:val="pt-BR"/>
              </w:rPr>
              <w:t>EN ISO 1716</w:t>
            </w:r>
          </w:p>
        </w:tc>
        <w:tc>
          <w:tcPr>
            <w:tcW w:w="4418" w:type="dxa"/>
            <w:vAlign w:val="center"/>
          </w:tcPr>
          <w:p w14:paraId="69852047" w14:textId="77777777" w:rsidR="001C08A5" w:rsidRDefault="00000000">
            <w:pPr>
              <w:autoSpaceDE w:val="0"/>
              <w:autoSpaceDN w:val="0"/>
              <w:adjustRightInd w:val="0"/>
              <w:jc w:val="center"/>
              <w:rPr>
                <w:rFonts w:eastAsia="Courier New"/>
                <w:i/>
                <w:sz w:val="22"/>
                <w:szCs w:val="22"/>
                <w:lang w:val="pt-BR"/>
              </w:rPr>
            </w:pPr>
            <w:r>
              <w:rPr>
                <w:rFonts w:eastAsia="Courier New"/>
                <w:i/>
                <w:sz w:val="22"/>
                <w:szCs w:val="22"/>
                <w:lang w:val="pt-BR"/>
              </w:rPr>
              <w:t>PCS ≤ 2,0 MJ.kg^-1(*1) şi</w:t>
            </w:r>
          </w:p>
          <w:p w14:paraId="333425E0" w14:textId="77777777" w:rsidR="001C08A5" w:rsidRDefault="00000000">
            <w:pPr>
              <w:autoSpaceDE w:val="0"/>
              <w:autoSpaceDN w:val="0"/>
              <w:adjustRightInd w:val="0"/>
              <w:jc w:val="center"/>
              <w:rPr>
                <w:rFonts w:eastAsia="Courier New"/>
                <w:i/>
                <w:sz w:val="22"/>
                <w:szCs w:val="22"/>
                <w:lang w:val="pt-BR"/>
              </w:rPr>
            </w:pPr>
            <w:r>
              <w:rPr>
                <w:i/>
                <w:sz w:val="22"/>
                <w:szCs w:val="22"/>
                <w:lang w:val="pt-BR"/>
              </w:rPr>
              <w:t>PCS ≤ 2,0 MJ.k</w:t>
            </w:r>
            <w:r>
              <w:rPr>
                <w:rFonts w:eastAsia="Courier New"/>
                <w:i/>
                <w:sz w:val="22"/>
                <w:szCs w:val="22"/>
                <w:lang w:val="pt-BR"/>
              </w:rPr>
              <w:t>g^-1 (*2) şi</w:t>
            </w:r>
          </w:p>
          <w:p w14:paraId="729DD34B" w14:textId="77777777" w:rsidR="001C08A5" w:rsidRDefault="00000000">
            <w:pPr>
              <w:widowControl/>
              <w:jc w:val="center"/>
              <w:rPr>
                <w:rFonts w:eastAsia="Courier New"/>
                <w:i/>
                <w:sz w:val="22"/>
                <w:szCs w:val="22"/>
                <w:lang w:val="pt-BR"/>
              </w:rPr>
            </w:pPr>
            <w:r>
              <w:rPr>
                <w:rFonts w:eastAsia="Courier New"/>
                <w:i/>
                <w:sz w:val="22"/>
                <w:szCs w:val="22"/>
                <w:lang w:val="pt-BR"/>
              </w:rPr>
              <w:t>PCS ≤ l,4 MJ.m^-2 (*3) şi</w:t>
            </w:r>
          </w:p>
          <w:p w14:paraId="2BBFEB0B" w14:textId="77777777" w:rsidR="001C08A5" w:rsidRDefault="00000000">
            <w:pPr>
              <w:widowControl/>
              <w:jc w:val="center"/>
              <w:rPr>
                <w:rFonts w:eastAsia="Calibri"/>
                <w:i/>
                <w:sz w:val="22"/>
                <w:szCs w:val="22"/>
                <w:shd w:val="clear" w:color="auto" w:fill="FFFFFF"/>
              </w:rPr>
            </w:pPr>
            <w:r>
              <w:rPr>
                <w:i/>
                <w:sz w:val="22"/>
                <w:szCs w:val="22"/>
                <w:lang w:val="pt-BR"/>
              </w:rPr>
              <w:t>PCS ≤ 2,0 MJ.kg^-1 (*4)</w:t>
            </w:r>
          </w:p>
        </w:tc>
        <w:tc>
          <w:tcPr>
            <w:tcW w:w="1950" w:type="dxa"/>
            <w:vAlign w:val="center"/>
          </w:tcPr>
          <w:p w14:paraId="7CA8D624" w14:textId="77777777" w:rsidR="001C08A5" w:rsidRDefault="001C08A5">
            <w:pPr>
              <w:widowControl/>
              <w:jc w:val="center"/>
              <w:rPr>
                <w:rFonts w:eastAsia="Calibri"/>
                <w:i/>
                <w:sz w:val="22"/>
                <w:szCs w:val="22"/>
                <w:shd w:val="clear" w:color="auto" w:fill="FFFFFF"/>
              </w:rPr>
            </w:pPr>
          </w:p>
        </w:tc>
      </w:tr>
      <w:tr w:rsidR="001C08A5" w14:paraId="7C2FA62B" w14:textId="77777777">
        <w:tc>
          <w:tcPr>
            <w:tcW w:w="889" w:type="dxa"/>
            <w:vAlign w:val="center"/>
          </w:tcPr>
          <w:p w14:paraId="5AB185BB" w14:textId="77777777" w:rsidR="001C08A5" w:rsidRDefault="00000000">
            <w:pPr>
              <w:widowControl/>
              <w:jc w:val="center"/>
              <w:rPr>
                <w:rFonts w:eastAsia="Calibri"/>
                <w:b/>
                <w:bCs/>
                <w:i/>
                <w:sz w:val="22"/>
                <w:szCs w:val="22"/>
                <w:shd w:val="clear" w:color="auto" w:fill="FFFFFF"/>
              </w:rPr>
            </w:pPr>
            <w:r>
              <w:rPr>
                <w:rFonts w:eastAsia="Courier New"/>
                <w:b/>
                <w:bCs/>
                <w:i/>
                <w:sz w:val="22"/>
                <w:szCs w:val="22"/>
                <w:lang w:val="pt-BR"/>
              </w:rPr>
              <w:t>A2(FL)</w:t>
            </w:r>
          </w:p>
        </w:tc>
        <w:tc>
          <w:tcPr>
            <w:tcW w:w="2494" w:type="dxa"/>
            <w:vAlign w:val="center"/>
          </w:tcPr>
          <w:p w14:paraId="67642E13" w14:textId="77777777" w:rsidR="001C08A5" w:rsidRDefault="00000000">
            <w:pPr>
              <w:widowControl/>
              <w:jc w:val="center"/>
              <w:rPr>
                <w:rFonts w:eastAsia="Courier New"/>
                <w:i/>
                <w:sz w:val="22"/>
                <w:szCs w:val="22"/>
                <w:lang w:val="pt-BR"/>
              </w:rPr>
            </w:pPr>
            <w:r>
              <w:rPr>
                <w:rFonts w:eastAsia="Courier New"/>
                <w:i/>
                <w:sz w:val="22"/>
                <w:szCs w:val="22"/>
              </w:rPr>
              <w:t xml:space="preserve">SR </w:t>
            </w:r>
            <w:r>
              <w:rPr>
                <w:rFonts w:eastAsia="Courier New"/>
                <w:i/>
                <w:sz w:val="22"/>
                <w:szCs w:val="22"/>
                <w:lang w:val="pt-BR"/>
              </w:rPr>
              <w:t>EN IS0 1182(*1)</w:t>
            </w:r>
          </w:p>
          <w:p w14:paraId="09487243" w14:textId="77777777" w:rsidR="001C08A5" w:rsidRDefault="00000000">
            <w:pPr>
              <w:widowControl/>
              <w:jc w:val="center"/>
              <w:rPr>
                <w:rFonts w:eastAsia="Courier New"/>
                <w:i/>
                <w:sz w:val="22"/>
                <w:szCs w:val="22"/>
              </w:rPr>
            </w:pPr>
            <w:r>
              <w:rPr>
                <w:rFonts w:eastAsia="Courier New"/>
                <w:i/>
                <w:sz w:val="22"/>
                <w:szCs w:val="22"/>
              </w:rPr>
              <w:t>sau</w:t>
            </w:r>
          </w:p>
        </w:tc>
        <w:tc>
          <w:tcPr>
            <w:tcW w:w="4418" w:type="dxa"/>
            <w:vAlign w:val="center"/>
          </w:tcPr>
          <w:p w14:paraId="3B542246" w14:textId="77777777" w:rsidR="001C08A5" w:rsidRDefault="00000000">
            <w:pPr>
              <w:widowControl/>
              <w:jc w:val="center"/>
              <w:rPr>
                <w:rFonts w:eastAsia="Courier New"/>
                <w:i/>
                <w:sz w:val="22"/>
                <w:szCs w:val="22"/>
                <w:lang w:val="pt-BR"/>
              </w:rPr>
            </w:pPr>
            <w:r>
              <w:rPr>
                <w:rFonts w:eastAsia="Courier New"/>
                <w:i/>
                <w:sz w:val="22"/>
                <w:szCs w:val="22"/>
                <w:lang w:val="pt-BR"/>
              </w:rPr>
              <w:t>Delta T ≤ 50°C şi</w:t>
            </w:r>
          </w:p>
          <w:p w14:paraId="25B3982B" w14:textId="77777777" w:rsidR="001C08A5" w:rsidRDefault="00000000">
            <w:pPr>
              <w:widowControl/>
              <w:jc w:val="center"/>
              <w:rPr>
                <w:rFonts w:eastAsia="Courier New"/>
                <w:i/>
                <w:sz w:val="22"/>
                <w:szCs w:val="22"/>
                <w:lang w:val="pt-BR"/>
              </w:rPr>
            </w:pPr>
            <w:r>
              <w:rPr>
                <w:rFonts w:eastAsia="Courier New"/>
                <w:i/>
                <w:sz w:val="22"/>
                <w:szCs w:val="22"/>
                <w:lang w:val="pt-BR"/>
              </w:rPr>
              <w:t>Delta m ≤ 50 % şi</w:t>
            </w:r>
          </w:p>
          <w:p w14:paraId="75E1810F" w14:textId="77777777" w:rsidR="001C08A5" w:rsidRDefault="00000000">
            <w:pPr>
              <w:widowControl/>
              <w:jc w:val="center"/>
              <w:rPr>
                <w:rFonts w:eastAsia="Calibri"/>
                <w:i/>
                <w:sz w:val="22"/>
                <w:szCs w:val="22"/>
                <w:shd w:val="clear" w:color="auto" w:fill="FFFFFF"/>
              </w:rPr>
            </w:pPr>
            <w:r>
              <w:rPr>
                <w:i/>
                <w:sz w:val="22"/>
                <w:szCs w:val="22"/>
                <w:lang w:val="pt-BR"/>
              </w:rPr>
              <w:t>t(f) ≤ 20s</w:t>
            </w:r>
          </w:p>
        </w:tc>
        <w:tc>
          <w:tcPr>
            <w:tcW w:w="1950" w:type="dxa"/>
            <w:vAlign w:val="center"/>
          </w:tcPr>
          <w:p w14:paraId="67211BAD" w14:textId="77777777" w:rsidR="001C08A5" w:rsidRDefault="001C08A5">
            <w:pPr>
              <w:widowControl/>
              <w:jc w:val="center"/>
              <w:rPr>
                <w:rFonts w:eastAsia="Calibri"/>
                <w:i/>
                <w:sz w:val="22"/>
                <w:szCs w:val="22"/>
                <w:shd w:val="clear" w:color="auto" w:fill="FFFFFF"/>
              </w:rPr>
            </w:pPr>
          </w:p>
        </w:tc>
      </w:tr>
      <w:tr w:rsidR="001C08A5" w14:paraId="4A1467F1" w14:textId="77777777">
        <w:tc>
          <w:tcPr>
            <w:tcW w:w="889" w:type="dxa"/>
            <w:vAlign w:val="center"/>
          </w:tcPr>
          <w:p w14:paraId="4B06B628" w14:textId="77777777" w:rsidR="001C08A5" w:rsidRDefault="001C08A5">
            <w:pPr>
              <w:widowControl/>
              <w:jc w:val="center"/>
              <w:rPr>
                <w:rFonts w:eastAsia="Calibri"/>
                <w:b/>
                <w:bCs/>
                <w:i/>
                <w:sz w:val="22"/>
                <w:szCs w:val="22"/>
                <w:shd w:val="clear" w:color="auto" w:fill="FFFFFF"/>
              </w:rPr>
            </w:pPr>
          </w:p>
        </w:tc>
        <w:tc>
          <w:tcPr>
            <w:tcW w:w="2494" w:type="dxa"/>
            <w:vAlign w:val="center"/>
          </w:tcPr>
          <w:p w14:paraId="5B870428" w14:textId="77777777" w:rsidR="001C08A5" w:rsidRDefault="00000000">
            <w:pPr>
              <w:widowControl/>
              <w:jc w:val="center"/>
              <w:rPr>
                <w:rFonts w:eastAsia="Courier New"/>
                <w:i/>
                <w:sz w:val="22"/>
                <w:szCs w:val="22"/>
                <w:lang w:val="pt-BR"/>
              </w:rPr>
            </w:pPr>
            <w:r>
              <w:rPr>
                <w:rFonts w:eastAsia="Courier New"/>
                <w:i/>
                <w:sz w:val="22"/>
                <w:szCs w:val="22"/>
              </w:rPr>
              <w:t xml:space="preserve">SR </w:t>
            </w:r>
            <w:r>
              <w:rPr>
                <w:rFonts w:eastAsia="Courier New"/>
                <w:i/>
                <w:sz w:val="22"/>
                <w:szCs w:val="22"/>
                <w:lang w:val="pt-BR"/>
              </w:rPr>
              <w:t>EN ISO 1716</w:t>
            </w:r>
          </w:p>
          <w:p w14:paraId="65B75463" w14:textId="77777777" w:rsidR="001C08A5" w:rsidRDefault="00000000">
            <w:pPr>
              <w:widowControl/>
              <w:jc w:val="center"/>
              <w:rPr>
                <w:rFonts w:eastAsia="Courier New"/>
                <w:i/>
                <w:sz w:val="22"/>
                <w:szCs w:val="22"/>
              </w:rPr>
            </w:pPr>
            <w:r>
              <w:rPr>
                <w:rFonts w:eastAsia="Courier New"/>
                <w:i/>
                <w:sz w:val="22"/>
                <w:szCs w:val="22"/>
              </w:rPr>
              <w:t>și</w:t>
            </w:r>
          </w:p>
        </w:tc>
        <w:tc>
          <w:tcPr>
            <w:tcW w:w="4418" w:type="dxa"/>
            <w:vAlign w:val="center"/>
          </w:tcPr>
          <w:p w14:paraId="452D3C58" w14:textId="77777777" w:rsidR="001C08A5" w:rsidRDefault="00000000">
            <w:pPr>
              <w:widowControl/>
              <w:jc w:val="center"/>
              <w:rPr>
                <w:rFonts w:eastAsia="Courier New"/>
                <w:i/>
                <w:sz w:val="22"/>
                <w:szCs w:val="22"/>
                <w:lang w:val="pt-BR"/>
              </w:rPr>
            </w:pPr>
            <w:r>
              <w:rPr>
                <w:rFonts w:eastAsia="Courier New"/>
                <w:i/>
                <w:sz w:val="22"/>
                <w:szCs w:val="22"/>
                <w:lang w:val="pt-BR"/>
              </w:rPr>
              <w:t>PCS ≤ 3,0 MJ.kg^-1 (*1) şi</w:t>
            </w:r>
          </w:p>
          <w:p w14:paraId="7370E8C3" w14:textId="77777777" w:rsidR="001C08A5" w:rsidRDefault="00000000">
            <w:pPr>
              <w:widowControl/>
              <w:jc w:val="center"/>
              <w:rPr>
                <w:rFonts w:eastAsia="Courier New"/>
                <w:i/>
                <w:sz w:val="22"/>
                <w:szCs w:val="22"/>
                <w:lang w:val="pt-BR"/>
              </w:rPr>
            </w:pPr>
            <w:r>
              <w:rPr>
                <w:rFonts w:eastAsia="Courier New"/>
                <w:i/>
                <w:sz w:val="22"/>
                <w:szCs w:val="22"/>
                <w:lang w:val="pt-BR"/>
              </w:rPr>
              <w:t>PCS ≤ 4,0 MJ.m^-2 (*2) şi</w:t>
            </w:r>
          </w:p>
          <w:p w14:paraId="4D9E7727" w14:textId="77777777" w:rsidR="001C08A5" w:rsidRDefault="00000000">
            <w:pPr>
              <w:widowControl/>
              <w:jc w:val="center"/>
              <w:rPr>
                <w:rFonts w:eastAsia="Courier New"/>
                <w:i/>
                <w:sz w:val="22"/>
                <w:szCs w:val="22"/>
                <w:lang w:val="pt-BR"/>
              </w:rPr>
            </w:pPr>
            <w:r>
              <w:rPr>
                <w:rFonts w:eastAsia="Courier New"/>
                <w:i/>
                <w:sz w:val="22"/>
                <w:szCs w:val="22"/>
                <w:lang w:val="pt-BR"/>
              </w:rPr>
              <w:t>PCS ≤ 4,0 MJ.m^-2 (*3) şi</w:t>
            </w:r>
          </w:p>
          <w:p w14:paraId="534DE5D0" w14:textId="77777777" w:rsidR="001C08A5" w:rsidRDefault="00000000">
            <w:pPr>
              <w:widowControl/>
              <w:jc w:val="center"/>
              <w:rPr>
                <w:rFonts w:eastAsia="Calibri"/>
                <w:i/>
                <w:sz w:val="22"/>
                <w:szCs w:val="22"/>
                <w:shd w:val="clear" w:color="auto" w:fill="FFFFFF"/>
              </w:rPr>
            </w:pPr>
            <w:r>
              <w:rPr>
                <w:i/>
                <w:sz w:val="22"/>
                <w:szCs w:val="22"/>
                <w:lang w:val="pt-BR"/>
              </w:rPr>
              <w:t>PCS ≤ 3,0 MJ.kg^-1 (*4)</w:t>
            </w:r>
          </w:p>
        </w:tc>
        <w:tc>
          <w:tcPr>
            <w:tcW w:w="1950" w:type="dxa"/>
            <w:vAlign w:val="center"/>
          </w:tcPr>
          <w:p w14:paraId="6E7643D0" w14:textId="77777777" w:rsidR="001C08A5" w:rsidRDefault="001C08A5">
            <w:pPr>
              <w:widowControl/>
              <w:jc w:val="center"/>
              <w:rPr>
                <w:rFonts w:eastAsia="Calibri"/>
                <w:i/>
                <w:sz w:val="22"/>
                <w:szCs w:val="22"/>
                <w:shd w:val="clear" w:color="auto" w:fill="FFFFFF"/>
              </w:rPr>
            </w:pPr>
          </w:p>
        </w:tc>
      </w:tr>
      <w:tr w:rsidR="001C08A5" w14:paraId="6F383B52" w14:textId="77777777">
        <w:tc>
          <w:tcPr>
            <w:tcW w:w="889" w:type="dxa"/>
            <w:vAlign w:val="center"/>
          </w:tcPr>
          <w:p w14:paraId="0BE45941" w14:textId="77777777" w:rsidR="001C08A5" w:rsidRDefault="001C08A5">
            <w:pPr>
              <w:widowControl/>
              <w:jc w:val="center"/>
              <w:rPr>
                <w:rFonts w:eastAsia="Calibri"/>
                <w:b/>
                <w:bCs/>
                <w:i/>
                <w:sz w:val="22"/>
                <w:szCs w:val="22"/>
                <w:shd w:val="clear" w:color="auto" w:fill="FFFFFF"/>
              </w:rPr>
            </w:pPr>
          </w:p>
        </w:tc>
        <w:tc>
          <w:tcPr>
            <w:tcW w:w="2494" w:type="dxa"/>
            <w:vAlign w:val="center"/>
          </w:tcPr>
          <w:p w14:paraId="5240B7C7" w14:textId="77777777" w:rsidR="001C08A5" w:rsidRDefault="00000000">
            <w:pPr>
              <w:widowControl/>
              <w:jc w:val="center"/>
              <w:rPr>
                <w:rFonts w:eastAsia="Calibri"/>
                <w:i/>
                <w:sz w:val="22"/>
                <w:szCs w:val="22"/>
                <w:shd w:val="clear" w:color="auto" w:fill="FFFFFF"/>
              </w:rPr>
            </w:pPr>
            <w:r>
              <w:rPr>
                <w:i/>
                <w:sz w:val="22"/>
                <w:szCs w:val="22"/>
              </w:rPr>
              <w:t xml:space="preserve">SR </w:t>
            </w:r>
            <w:r>
              <w:rPr>
                <w:i/>
                <w:sz w:val="22"/>
                <w:szCs w:val="22"/>
                <w:lang w:val="pt-BR"/>
              </w:rPr>
              <w:t>EN ISO 9239-1(*5)</w:t>
            </w:r>
          </w:p>
        </w:tc>
        <w:tc>
          <w:tcPr>
            <w:tcW w:w="4418" w:type="dxa"/>
            <w:vAlign w:val="center"/>
          </w:tcPr>
          <w:p w14:paraId="17D72ABB" w14:textId="77777777" w:rsidR="001C08A5" w:rsidRDefault="00000000">
            <w:pPr>
              <w:widowControl/>
              <w:jc w:val="center"/>
              <w:rPr>
                <w:rFonts w:eastAsia="Calibri"/>
                <w:i/>
                <w:sz w:val="22"/>
                <w:szCs w:val="22"/>
                <w:shd w:val="clear" w:color="auto" w:fill="FFFFFF"/>
              </w:rPr>
            </w:pPr>
            <w:r>
              <w:rPr>
                <w:i/>
                <w:sz w:val="22"/>
                <w:szCs w:val="22"/>
                <w:lang w:val="pt-BR"/>
              </w:rPr>
              <w:t>Flux critic(*6) ≥ 8,0 kW.m^-2</w:t>
            </w:r>
          </w:p>
        </w:tc>
        <w:tc>
          <w:tcPr>
            <w:tcW w:w="1950" w:type="dxa"/>
            <w:vAlign w:val="center"/>
          </w:tcPr>
          <w:p w14:paraId="348F0ED1" w14:textId="77777777" w:rsidR="001C08A5" w:rsidRDefault="00000000">
            <w:pPr>
              <w:widowControl/>
              <w:jc w:val="center"/>
              <w:rPr>
                <w:rFonts w:eastAsia="Calibri"/>
                <w:i/>
                <w:sz w:val="22"/>
                <w:szCs w:val="22"/>
                <w:shd w:val="clear" w:color="auto" w:fill="FFFFFF"/>
              </w:rPr>
            </w:pPr>
            <w:r>
              <w:rPr>
                <w:i/>
                <w:sz w:val="22"/>
                <w:szCs w:val="22"/>
                <w:lang w:val="pt-BR"/>
              </w:rPr>
              <w:t>Emisie de fum(*7)</w:t>
            </w:r>
          </w:p>
        </w:tc>
      </w:tr>
      <w:tr w:rsidR="001C08A5" w14:paraId="3F9C271A" w14:textId="77777777">
        <w:tc>
          <w:tcPr>
            <w:tcW w:w="889" w:type="dxa"/>
            <w:vAlign w:val="center"/>
          </w:tcPr>
          <w:p w14:paraId="5B4898FF" w14:textId="77777777" w:rsidR="001C08A5" w:rsidRDefault="00000000">
            <w:pPr>
              <w:widowControl/>
              <w:jc w:val="center"/>
              <w:rPr>
                <w:rFonts w:eastAsia="Calibri"/>
                <w:b/>
                <w:bCs/>
                <w:i/>
                <w:sz w:val="22"/>
                <w:szCs w:val="22"/>
                <w:shd w:val="clear" w:color="auto" w:fill="FFFFFF"/>
              </w:rPr>
            </w:pPr>
            <w:r>
              <w:rPr>
                <w:b/>
                <w:bCs/>
                <w:i/>
                <w:sz w:val="22"/>
                <w:szCs w:val="22"/>
                <w:lang w:val="pt-BR"/>
              </w:rPr>
              <w:t>B(FL)</w:t>
            </w:r>
          </w:p>
        </w:tc>
        <w:tc>
          <w:tcPr>
            <w:tcW w:w="2494" w:type="dxa"/>
            <w:vAlign w:val="center"/>
          </w:tcPr>
          <w:p w14:paraId="0B22512C" w14:textId="77777777" w:rsidR="001C08A5" w:rsidRDefault="00000000">
            <w:pPr>
              <w:widowControl/>
              <w:jc w:val="center"/>
              <w:rPr>
                <w:i/>
                <w:sz w:val="22"/>
                <w:szCs w:val="22"/>
                <w:lang w:val="pt-BR"/>
              </w:rPr>
            </w:pPr>
            <w:r>
              <w:rPr>
                <w:i/>
                <w:sz w:val="22"/>
                <w:szCs w:val="22"/>
              </w:rPr>
              <w:t xml:space="preserve">SR </w:t>
            </w:r>
            <w:r>
              <w:rPr>
                <w:i/>
                <w:sz w:val="22"/>
                <w:szCs w:val="22"/>
                <w:lang w:val="pt-BR"/>
              </w:rPr>
              <w:t>EN ISO 9239-1(*5)</w:t>
            </w:r>
          </w:p>
          <w:p w14:paraId="3E90B2FE" w14:textId="77777777" w:rsidR="001C08A5" w:rsidRDefault="00000000">
            <w:pPr>
              <w:widowControl/>
              <w:jc w:val="center"/>
              <w:rPr>
                <w:i/>
                <w:sz w:val="22"/>
                <w:szCs w:val="22"/>
              </w:rPr>
            </w:pPr>
            <w:r>
              <w:rPr>
                <w:i/>
                <w:sz w:val="22"/>
                <w:szCs w:val="22"/>
              </w:rPr>
              <w:t>și</w:t>
            </w:r>
          </w:p>
        </w:tc>
        <w:tc>
          <w:tcPr>
            <w:tcW w:w="4418" w:type="dxa"/>
            <w:vAlign w:val="center"/>
          </w:tcPr>
          <w:p w14:paraId="502F81FB" w14:textId="77777777" w:rsidR="001C08A5" w:rsidRDefault="00000000">
            <w:pPr>
              <w:widowControl/>
              <w:jc w:val="center"/>
              <w:rPr>
                <w:rFonts w:eastAsia="Calibri"/>
                <w:i/>
                <w:sz w:val="22"/>
                <w:szCs w:val="22"/>
                <w:shd w:val="clear" w:color="auto" w:fill="FFFFFF"/>
              </w:rPr>
            </w:pPr>
            <w:r>
              <w:rPr>
                <w:i/>
                <w:sz w:val="22"/>
                <w:szCs w:val="22"/>
                <w:lang w:val="pt-BR"/>
              </w:rPr>
              <w:t>Flux critic(*6) ≥ 8,0 kW.m^-2</w:t>
            </w:r>
          </w:p>
        </w:tc>
        <w:tc>
          <w:tcPr>
            <w:tcW w:w="1950" w:type="dxa"/>
            <w:vMerge w:val="restart"/>
            <w:vAlign w:val="center"/>
          </w:tcPr>
          <w:p w14:paraId="499A4D81" w14:textId="77777777" w:rsidR="001C08A5" w:rsidRDefault="00000000">
            <w:pPr>
              <w:widowControl/>
              <w:jc w:val="center"/>
              <w:rPr>
                <w:rFonts w:eastAsia="Calibri"/>
                <w:i/>
                <w:sz w:val="22"/>
                <w:szCs w:val="22"/>
                <w:shd w:val="clear" w:color="auto" w:fill="FFFFFF"/>
              </w:rPr>
            </w:pPr>
            <w:r>
              <w:rPr>
                <w:i/>
                <w:sz w:val="22"/>
                <w:szCs w:val="22"/>
                <w:lang w:val="pt-BR"/>
              </w:rPr>
              <w:t>Emisie de fum(*7)</w:t>
            </w:r>
          </w:p>
        </w:tc>
      </w:tr>
      <w:tr w:rsidR="001C08A5" w14:paraId="7A332796" w14:textId="77777777">
        <w:tc>
          <w:tcPr>
            <w:tcW w:w="889" w:type="dxa"/>
            <w:vAlign w:val="center"/>
          </w:tcPr>
          <w:p w14:paraId="6494F718" w14:textId="77777777" w:rsidR="001C08A5" w:rsidRDefault="001C08A5">
            <w:pPr>
              <w:widowControl/>
              <w:jc w:val="center"/>
              <w:rPr>
                <w:b/>
                <w:bCs/>
                <w:i/>
                <w:sz w:val="22"/>
                <w:szCs w:val="22"/>
                <w:lang w:val="pt-BR"/>
              </w:rPr>
            </w:pPr>
          </w:p>
        </w:tc>
        <w:tc>
          <w:tcPr>
            <w:tcW w:w="2494" w:type="dxa"/>
            <w:vAlign w:val="center"/>
          </w:tcPr>
          <w:p w14:paraId="41D84E14" w14:textId="77777777" w:rsidR="001C08A5" w:rsidRDefault="00000000">
            <w:pPr>
              <w:widowControl/>
              <w:jc w:val="center"/>
              <w:rPr>
                <w:i/>
                <w:sz w:val="22"/>
                <w:szCs w:val="22"/>
                <w:lang w:val="pt-BR"/>
              </w:rPr>
            </w:pPr>
            <w:r>
              <w:rPr>
                <w:i/>
                <w:sz w:val="22"/>
                <w:szCs w:val="22"/>
              </w:rPr>
              <w:t xml:space="preserve">SR </w:t>
            </w:r>
            <w:r>
              <w:rPr>
                <w:i/>
                <w:sz w:val="22"/>
                <w:szCs w:val="22"/>
                <w:lang w:val="pt-BR"/>
              </w:rPr>
              <w:t>EN ISO 11925-2(*8)</w:t>
            </w:r>
          </w:p>
          <w:p w14:paraId="2238207F" w14:textId="77777777" w:rsidR="001C08A5" w:rsidRDefault="00000000">
            <w:pPr>
              <w:widowControl/>
              <w:jc w:val="center"/>
              <w:rPr>
                <w:i/>
                <w:sz w:val="22"/>
                <w:szCs w:val="22"/>
                <w:lang w:val="pt-BR"/>
              </w:rPr>
            </w:pPr>
            <w:r>
              <w:rPr>
                <w:i/>
                <w:sz w:val="22"/>
                <w:szCs w:val="22"/>
                <w:lang w:val="pt-BR"/>
              </w:rPr>
              <w:t>Expunere = 15 s</w:t>
            </w:r>
          </w:p>
        </w:tc>
        <w:tc>
          <w:tcPr>
            <w:tcW w:w="4418" w:type="dxa"/>
            <w:vAlign w:val="center"/>
          </w:tcPr>
          <w:p w14:paraId="5E4369B3" w14:textId="77777777" w:rsidR="001C08A5" w:rsidRDefault="00000000">
            <w:pPr>
              <w:widowControl/>
              <w:jc w:val="center"/>
              <w:rPr>
                <w:rFonts w:eastAsia="Calibri"/>
                <w:i/>
                <w:sz w:val="22"/>
                <w:szCs w:val="22"/>
                <w:shd w:val="clear" w:color="auto" w:fill="FFFFFF"/>
              </w:rPr>
            </w:pPr>
            <w:r>
              <w:rPr>
                <w:i/>
                <w:sz w:val="22"/>
                <w:szCs w:val="22"/>
                <w:lang w:val="pt-BR"/>
              </w:rPr>
              <w:t>Fs ≤ 150 mm în 20 s</w:t>
            </w:r>
          </w:p>
        </w:tc>
        <w:tc>
          <w:tcPr>
            <w:tcW w:w="1950" w:type="dxa"/>
            <w:vMerge/>
            <w:vAlign w:val="center"/>
          </w:tcPr>
          <w:p w14:paraId="5B3ACF64" w14:textId="77777777" w:rsidR="001C08A5" w:rsidRDefault="001C08A5">
            <w:pPr>
              <w:widowControl/>
              <w:jc w:val="center"/>
              <w:rPr>
                <w:rFonts w:eastAsia="Calibri"/>
                <w:i/>
                <w:sz w:val="22"/>
                <w:szCs w:val="22"/>
                <w:shd w:val="clear" w:color="auto" w:fill="FFFFFF"/>
              </w:rPr>
            </w:pPr>
          </w:p>
        </w:tc>
      </w:tr>
      <w:tr w:rsidR="001C08A5" w14:paraId="4C819C27" w14:textId="77777777">
        <w:tc>
          <w:tcPr>
            <w:tcW w:w="889" w:type="dxa"/>
            <w:vAlign w:val="center"/>
          </w:tcPr>
          <w:p w14:paraId="178293CA" w14:textId="77777777" w:rsidR="001C08A5" w:rsidRDefault="00000000">
            <w:pPr>
              <w:widowControl/>
              <w:jc w:val="center"/>
              <w:rPr>
                <w:b/>
                <w:bCs/>
                <w:i/>
                <w:sz w:val="22"/>
                <w:szCs w:val="22"/>
                <w:lang w:val="pt-BR"/>
              </w:rPr>
            </w:pPr>
            <w:r>
              <w:rPr>
                <w:b/>
                <w:bCs/>
                <w:i/>
                <w:sz w:val="22"/>
                <w:szCs w:val="22"/>
                <w:lang w:val="pt-BR"/>
              </w:rPr>
              <w:t>C(FL)</w:t>
            </w:r>
          </w:p>
        </w:tc>
        <w:tc>
          <w:tcPr>
            <w:tcW w:w="2494" w:type="dxa"/>
            <w:vAlign w:val="center"/>
          </w:tcPr>
          <w:p w14:paraId="076C6E40" w14:textId="77777777" w:rsidR="001C08A5" w:rsidRDefault="00000000">
            <w:pPr>
              <w:widowControl/>
              <w:jc w:val="center"/>
              <w:rPr>
                <w:i/>
                <w:sz w:val="22"/>
                <w:szCs w:val="22"/>
                <w:lang w:val="pt-BR"/>
              </w:rPr>
            </w:pPr>
            <w:r>
              <w:rPr>
                <w:i/>
                <w:sz w:val="22"/>
                <w:szCs w:val="22"/>
              </w:rPr>
              <w:t xml:space="preserve">SR </w:t>
            </w:r>
            <w:r>
              <w:rPr>
                <w:i/>
                <w:sz w:val="22"/>
                <w:szCs w:val="22"/>
                <w:lang w:val="pt-BR"/>
              </w:rPr>
              <w:t>EN ISO 9239-1(*5</w:t>
            </w:r>
          </w:p>
          <w:p w14:paraId="65CE33C3" w14:textId="77777777" w:rsidR="001C08A5" w:rsidRDefault="00000000">
            <w:pPr>
              <w:widowControl/>
              <w:jc w:val="center"/>
              <w:rPr>
                <w:i/>
                <w:sz w:val="22"/>
                <w:szCs w:val="22"/>
              </w:rPr>
            </w:pPr>
            <w:r>
              <w:rPr>
                <w:i/>
                <w:sz w:val="22"/>
                <w:szCs w:val="22"/>
              </w:rPr>
              <w:t>și</w:t>
            </w:r>
          </w:p>
        </w:tc>
        <w:tc>
          <w:tcPr>
            <w:tcW w:w="4418" w:type="dxa"/>
            <w:vAlign w:val="center"/>
          </w:tcPr>
          <w:p w14:paraId="32A4A79E" w14:textId="77777777" w:rsidR="001C08A5" w:rsidRDefault="00000000">
            <w:pPr>
              <w:widowControl/>
              <w:jc w:val="center"/>
              <w:rPr>
                <w:rFonts w:eastAsia="Calibri"/>
                <w:i/>
                <w:sz w:val="22"/>
                <w:szCs w:val="22"/>
                <w:shd w:val="clear" w:color="auto" w:fill="FFFFFF"/>
              </w:rPr>
            </w:pPr>
            <w:r>
              <w:rPr>
                <w:i/>
                <w:sz w:val="22"/>
                <w:szCs w:val="22"/>
                <w:lang w:val="pt-BR"/>
              </w:rPr>
              <w:t>Flux critic(*6) ≥ 4,5 kW.m^-2</w:t>
            </w:r>
          </w:p>
        </w:tc>
        <w:tc>
          <w:tcPr>
            <w:tcW w:w="1950" w:type="dxa"/>
            <w:vMerge w:val="restart"/>
            <w:vAlign w:val="center"/>
          </w:tcPr>
          <w:p w14:paraId="71BF21D3" w14:textId="77777777" w:rsidR="001C08A5" w:rsidRDefault="00000000">
            <w:pPr>
              <w:widowControl/>
              <w:jc w:val="center"/>
              <w:rPr>
                <w:rFonts w:eastAsia="Calibri"/>
                <w:i/>
                <w:sz w:val="22"/>
                <w:szCs w:val="22"/>
                <w:shd w:val="clear" w:color="auto" w:fill="FFFFFF"/>
              </w:rPr>
            </w:pPr>
            <w:r>
              <w:rPr>
                <w:i/>
                <w:sz w:val="22"/>
                <w:szCs w:val="22"/>
                <w:lang w:val="pt-BR"/>
              </w:rPr>
              <w:t>Emisie de fum(*7)</w:t>
            </w:r>
          </w:p>
        </w:tc>
      </w:tr>
      <w:tr w:rsidR="001C08A5" w14:paraId="249D7429" w14:textId="77777777">
        <w:tc>
          <w:tcPr>
            <w:tcW w:w="889" w:type="dxa"/>
            <w:vAlign w:val="center"/>
          </w:tcPr>
          <w:p w14:paraId="235071CA" w14:textId="77777777" w:rsidR="001C08A5" w:rsidRDefault="001C08A5">
            <w:pPr>
              <w:widowControl/>
              <w:jc w:val="center"/>
              <w:rPr>
                <w:b/>
                <w:bCs/>
                <w:i/>
                <w:sz w:val="22"/>
                <w:szCs w:val="22"/>
                <w:lang w:val="pt-BR"/>
              </w:rPr>
            </w:pPr>
          </w:p>
        </w:tc>
        <w:tc>
          <w:tcPr>
            <w:tcW w:w="2494" w:type="dxa"/>
            <w:vAlign w:val="center"/>
          </w:tcPr>
          <w:p w14:paraId="602A2241" w14:textId="77777777" w:rsidR="001C08A5" w:rsidRDefault="00000000">
            <w:pPr>
              <w:widowControl/>
              <w:jc w:val="center"/>
              <w:rPr>
                <w:i/>
                <w:sz w:val="22"/>
                <w:szCs w:val="22"/>
                <w:lang w:val="pt-BR"/>
              </w:rPr>
            </w:pPr>
            <w:r>
              <w:rPr>
                <w:i/>
                <w:sz w:val="22"/>
                <w:szCs w:val="22"/>
              </w:rPr>
              <w:t xml:space="preserve">SR </w:t>
            </w:r>
            <w:r>
              <w:rPr>
                <w:i/>
                <w:sz w:val="22"/>
                <w:szCs w:val="22"/>
                <w:lang w:val="pt-BR"/>
              </w:rPr>
              <w:t>EN ISO 11925-2(*8)</w:t>
            </w:r>
          </w:p>
          <w:p w14:paraId="4B710994" w14:textId="77777777" w:rsidR="001C08A5" w:rsidRDefault="00000000">
            <w:pPr>
              <w:widowControl/>
              <w:jc w:val="center"/>
              <w:rPr>
                <w:i/>
                <w:sz w:val="22"/>
                <w:szCs w:val="22"/>
                <w:lang w:val="pt-BR"/>
              </w:rPr>
            </w:pPr>
            <w:r>
              <w:rPr>
                <w:i/>
                <w:sz w:val="22"/>
                <w:szCs w:val="22"/>
                <w:lang w:val="pt-BR"/>
              </w:rPr>
              <w:t>Expunere = 15 s</w:t>
            </w:r>
          </w:p>
        </w:tc>
        <w:tc>
          <w:tcPr>
            <w:tcW w:w="4418" w:type="dxa"/>
            <w:vAlign w:val="center"/>
          </w:tcPr>
          <w:p w14:paraId="4A89572B" w14:textId="77777777" w:rsidR="001C08A5" w:rsidRDefault="00000000">
            <w:pPr>
              <w:widowControl/>
              <w:jc w:val="center"/>
              <w:rPr>
                <w:rFonts w:eastAsia="Calibri"/>
                <w:i/>
                <w:sz w:val="22"/>
                <w:szCs w:val="22"/>
                <w:shd w:val="clear" w:color="auto" w:fill="FFFFFF"/>
              </w:rPr>
            </w:pPr>
            <w:r>
              <w:rPr>
                <w:i/>
                <w:sz w:val="22"/>
                <w:szCs w:val="22"/>
                <w:lang w:val="pt-BR"/>
              </w:rPr>
              <w:t>Fs ≤ 150 mm în 20 s</w:t>
            </w:r>
          </w:p>
        </w:tc>
        <w:tc>
          <w:tcPr>
            <w:tcW w:w="1950" w:type="dxa"/>
            <w:vMerge/>
            <w:vAlign w:val="center"/>
          </w:tcPr>
          <w:p w14:paraId="11E1F5C0" w14:textId="77777777" w:rsidR="001C08A5" w:rsidRDefault="001C08A5">
            <w:pPr>
              <w:widowControl/>
              <w:jc w:val="center"/>
              <w:rPr>
                <w:rFonts w:eastAsia="Calibri"/>
                <w:i/>
                <w:sz w:val="22"/>
                <w:szCs w:val="22"/>
                <w:shd w:val="clear" w:color="auto" w:fill="FFFFFF"/>
              </w:rPr>
            </w:pPr>
          </w:p>
        </w:tc>
      </w:tr>
      <w:tr w:rsidR="001C08A5" w14:paraId="791A0B23" w14:textId="77777777">
        <w:tc>
          <w:tcPr>
            <w:tcW w:w="889" w:type="dxa"/>
            <w:vAlign w:val="center"/>
          </w:tcPr>
          <w:p w14:paraId="477DFF38" w14:textId="77777777" w:rsidR="001C08A5" w:rsidRDefault="00000000">
            <w:pPr>
              <w:widowControl/>
              <w:jc w:val="center"/>
              <w:rPr>
                <w:b/>
                <w:bCs/>
                <w:i/>
                <w:sz w:val="22"/>
                <w:szCs w:val="22"/>
                <w:lang w:val="pt-BR"/>
              </w:rPr>
            </w:pPr>
            <w:r>
              <w:rPr>
                <w:b/>
                <w:bCs/>
                <w:i/>
                <w:sz w:val="22"/>
                <w:szCs w:val="22"/>
                <w:lang w:val="pt-BR"/>
              </w:rPr>
              <w:t>D(FL)</w:t>
            </w:r>
          </w:p>
        </w:tc>
        <w:tc>
          <w:tcPr>
            <w:tcW w:w="2494" w:type="dxa"/>
            <w:vAlign w:val="center"/>
          </w:tcPr>
          <w:p w14:paraId="47B4D545" w14:textId="77777777" w:rsidR="001C08A5" w:rsidRDefault="00000000">
            <w:pPr>
              <w:widowControl/>
              <w:jc w:val="center"/>
              <w:rPr>
                <w:i/>
                <w:sz w:val="22"/>
                <w:szCs w:val="22"/>
                <w:lang w:val="pt-BR"/>
              </w:rPr>
            </w:pPr>
            <w:r>
              <w:rPr>
                <w:i/>
                <w:sz w:val="22"/>
                <w:szCs w:val="22"/>
              </w:rPr>
              <w:t xml:space="preserve">SR </w:t>
            </w:r>
            <w:r>
              <w:rPr>
                <w:i/>
                <w:sz w:val="22"/>
                <w:szCs w:val="22"/>
                <w:lang w:val="pt-BR"/>
              </w:rPr>
              <w:t>EN ISO 9239-1(*5)</w:t>
            </w:r>
          </w:p>
          <w:p w14:paraId="7F668E4E" w14:textId="77777777" w:rsidR="001C08A5" w:rsidRDefault="00000000">
            <w:pPr>
              <w:widowControl/>
              <w:jc w:val="center"/>
              <w:rPr>
                <w:i/>
                <w:sz w:val="22"/>
                <w:szCs w:val="22"/>
              </w:rPr>
            </w:pPr>
            <w:r>
              <w:rPr>
                <w:i/>
                <w:sz w:val="22"/>
                <w:szCs w:val="22"/>
              </w:rPr>
              <w:lastRenderedPageBreak/>
              <w:t>și</w:t>
            </w:r>
          </w:p>
        </w:tc>
        <w:tc>
          <w:tcPr>
            <w:tcW w:w="4418" w:type="dxa"/>
            <w:vAlign w:val="center"/>
          </w:tcPr>
          <w:p w14:paraId="1C6E492A" w14:textId="77777777" w:rsidR="001C08A5" w:rsidRDefault="00000000">
            <w:pPr>
              <w:widowControl/>
              <w:jc w:val="center"/>
              <w:rPr>
                <w:rFonts w:eastAsia="Calibri"/>
                <w:i/>
                <w:sz w:val="22"/>
                <w:szCs w:val="22"/>
                <w:shd w:val="clear" w:color="auto" w:fill="FFFFFF"/>
              </w:rPr>
            </w:pPr>
            <w:r>
              <w:rPr>
                <w:i/>
                <w:sz w:val="22"/>
                <w:szCs w:val="22"/>
                <w:lang w:val="pt-BR"/>
              </w:rPr>
              <w:lastRenderedPageBreak/>
              <w:t>Flux critic(*6) ≥ 3,0 kW.m^-2</w:t>
            </w:r>
          </w:p>
        </w:tc>
        <w:tc>
          <w:tcPr>
            <w:tcW w:w="1950" w:type="dxa"/>
            <w:vMerge w:val="restart"/>
            <w:vAlign w:val="center"/>
          </w:tcPr>
          <w:p w14:paraId="4DF9896D" w14:textId="77777777" w:rsidR="001C08A5" w:rsidRDefault="00000000">
            <w:pPr>
              <w:widowControl/>
              <w:jc w:val="center"/>
              <w:rPr>
                <w:rFonts w:eastAsia="Calibri"/>
                <w:i/>
                <w:sz w:val="22"/>
                <w:szCs w:val="22"/>
                <w:shd w:val="clear" w:color="auto" w:fill="FFFFFF"/>
              </w:rPr>
            </w:pPr>
            <w:r>
              <w:rPr>
                <w:i/>
                <w:sz w:val="22"/>
                <w:szCs w:val="22"/>
                <w:lang w:val="pt-BR"/>
              </w:rPr>
              <w:t>Emisie de fum(*7)</w:t>
            </w:r>
          </w:p>
        </w:tc>
      </w:tr>
      <w:tr w:rsidR="001C08A5" w14:paraId="0BA37DA2" w14:textId="77777777">
        <w:tc>
          <w:tcPr>
            <w:tcW w:w="889" w:type="dxa"/>
            <w:vAlign w:val="center"/>
          </w:tcPr>
          <w:p w14:paraId="772A372C" w14:textId="77777777" w:rsidR="001C08A5" w:rsidRDefault="001C08A5">
            <w:pPr>
              <w:widowControl/>
              <w:jc w:val="center"/>
              <w:rPr>
                <w:b/>
                <w:bCs/>
                <w:i/>
                <w:sz w:val="22"/>
                <w:szCs w:val="22"/>
                <w:lang w:val="pt-BR"/>
              </w:rPr>
            </w:pPr>
          </w:p>
        </w:tc>
        <w:tc>
          <w:tcPr>
            <w:tcW w:w="2494" w:type="dxa"/>
            <w:vAlign w:val="center"/>
          </w:tcPr>
          <w:p w14:paraId="29937DC2" w14:textId="77777777" w:rsidR="001C08A5" w:rsidRDefault="00000000">
            <w:pPr>
              <w:widowControl/>
              <w:jc w:val="center"/>
              <w:rPr>
                <w:i/>
                <w:sz w:val="22"/>
                <w:szCs w:val="22"/>
                <w:lang w:val="pt-BR"/>
              </w:rPr>
            </w:pPr>
            <w:r>
              <w:rPr>
                <w:i/>
                <w:sz w:val="22"/>
                <w:szCs w:val="22"/>
              </w:rPr>
              <w:t xml:space="preserve">SR </w:t>
            </w:r>
            <w:r>
              <w:rPr>
                <w:i/>
                <w:sz w:val="22"/>
                <w:szCs w:val="22"/>
                <w:lang w:val="pt-BR"/>
              </w:rPr>
              <w:t>EN ISO 11925-2(*8)</w:t>
            </w:r>
          </w:p>
          <w:p w14:paraId="1A4C4F2D" w14:textId="77777777" w:rsidR="001C08A5" w:rsidRDefault="00000000">
            <w:pPr>
              <w:widowControl/>
              <w:jc w:val="center"/>
              <w:rPr>
                <w:i/>
                <w:sz w:val="22"/>
                <w:szCs w:val="22"/>
                <w:lang w:val="pt-BR"/>
              </w:rPr>
            </w:pPr>
            <w:r>
              <w:rPr>
                <w:i/>
                <w:sz w:val="22"/>
                <w:szCs w:val="22"/>
                <w:lang w:val="pt-BR"/>
              </w:rPr>
              <w:t>Expunere = 15 s</w:t>
            </w:r>
          </w:p>
        </w:tc>
        <w:tc>
          <w:tcPr>
            <w:tcW w:w="4418" w:type="dxa"/>
            <w:vAlign w:val="center"/>
          </w:tcPr>
          <w:p w14:paraId="7C8620B3" w14:textId="77777777" w:rsidR="001C08A5" w:rsidRDefault="00000000">
            <w:pPr>
              <w:widowControl/>
              <w:jc w:val="center"/>
              <w:rPr>
                <w:rFonts w:eastAsia="Calibri"/>
                <w:i/>
                <w:sz w:val="22"/>
                <w:szCs w:val="22"/>
                <w:shd w:val="clear" w:color="auto" w:fill="FFFFFF"/>
              </w:rPr>
            </w:pPr>
            <w:r>
              <w:rPr>
                <w:i/>
                <w:sz w:val="22"/>
                <w:szCs w:val="22"/>
                <w:lang w:val="pt-BR"/>
              </w:rPr>
              <w:t>Fs ≤ 150 mm în 20 s</w:t>
            </w:r>
          </w:p>
        </w:tc>
        <w:tc>
          <w:tcPr>
            <w:tcW w:w="1950" w:type="dxa"/>
            <w:vMerge/>
            <w:vAlign w:val="center"/>
          </w:tcPr>
          <w:p w14:paraId="40A16B70" w14:textId="77777777" w:rsidR="001C08A5" w:rsidRDefault="001C08A5">
            <w:pPr>
              <w:widowControl/>
              <w:jc w:val="center"/>
              <w:rPr>
                <w:rFonts w:eastAsia="Calibri"/>
                <w:i/>
                <w:sz w:val="22"/>
                <w:szCs w:val="22"/>
                <w:shd w:val="clear" w:color="auto" w:fill="FFFFFF"/>
              </w:rPr>
            </w:pPr>
          </w:p>
        </w:tc>
      </w:tr>
      <w:tr w:rsidR="001C08A5" w14:paraId="06F45667" w14:textId="77777777">
        <w:tc>
          <w:tcPr>
            <w:tcW w:w="889" w:type="dxa"/>
            <w:vAlign w:val="center"/>
          </w:tcPr>
          <w:p w14:paraId="1A177071" w14:textId="77777777" w:rsidR="001C08A5" w:rsidRDefault="00000000">
            <w:pPr>
              <w:widowControl/>
              <w:jc w:val="center"/>
              <w:rPr>
                <w:b/>
                <w:bCs/>
                <w:i/>
                <w:sz w:val="22"/>
                <w:szCs w:val="22"/>
                <w:lang w:val="pt-BR"/>
              </w:rPr>
            </w:pPr>
            <w:r>
              <w:rPr>
                <w:b/>
                <w:bCs/>
                <w:i/>
                <w:sz w:val="22"/>
                <w:szCs w:val="22"/>
                <w:lang w:val="pt-BR"/>
              </w:rPr>
              <w:t>E(FL)</w:t>
            </w:r>
          </w:p>
        </w:tc>
        <w:tc>
          <w:tcPr>
            <w:tcW w:w="2494" w:type="dxa"/>
            <w:vAlign w:val="center"/>
          </w:tcPr>
          <w:p w14:paraId="1041688F" w14:textId="77777777" w:rsidR="001C08A5" w:rsidRDefault="00000000">
            <w:pPr>
              <w:widowControl/>
              <w:jc w:val="center"/>
              <w:rPr>
                <w:i/>
                <w:sz w:val="22"/>
                <w:szCs w:val="22"/>
                <w:lang w:val="pt-BR"/>
              </w:rPr>
            </w:pPr>
            <w:r>
              <w:rPr>
                <w:i/>
                <w:sz w:val="22"/>
                <w:szCs w:val="22"/>
              </w:rPr>
              <w:t xml:space="preserve">SR </w:t>
            </w:r>
            <w:r>
              <w:rPr>
                <w:i/>
                <w:sz w:val="22"/>
                <w:szCs w:val="22"/>
                <w:lang w:val="pt-BR"/>
              </w:rPr>
              <w:t>EN ISO 11925-2(*8)</w:t>
            </w:r>
          </w:p>
          <w:p w14:paraId="3854F0B2" w14:textId="77777777" w:rsidR="001C08A5" w:rsidRDefault="00000000">
            <w:pPr>
              <w:widowControl/>
              <w:jc w:val="center"/>
              <w:rPr>
                <w:i/>
                <w:sz w:val="22"/>
                <w:szCs w:val="22"/>
                <w:lang w:val="pt-BR"/>
              </w:rPr>
            </w:pPr>
            <w:r>
              <w:rPr>
                <w:i/>
                <w:sz w:val="22"/>
                <w:szCs w:val="22"/>
                <w:lang w:val="pt-BR"/>
              </w:rPr>
              <w:t>Expunere = 15 s</w:t>
            </w:r>
          </w:p>
        </w:tc>
        <w:tc>
          <w:tcPr>
            <w:tcW w:w="4418" w:type="dxa"/>
            <w:vAlign w:val="center"/>
          </w:tcPr>
          <w:p w14:paraId="2DA29FBA" w14:textId="77777777" w:rsidR="001C08A5" w:rsidRDefault="00000000">
            <w:pPr>
              <w:widowControl/>
              <w:jc w:val="center"/>
              <w:rPr>
                <w:rFonts w:eastAsia="Calibri"/>
                <w:i/>
                <w:sz w:val="22"/>
                <w:szCs w:val="22"/>
                <w:shd w:val="clear" w:color="auto" w:fill="FFFFFF"/>
              </w:rPr>
            </w:pPr>
            <w:r>
              <w:rPr>
                <w:i/>
                <w:sz w:val="22"/>
                <w:szCs w:val="22"/>
                <w:lang w:val="pt-BR"/>
              </w:rPr>
              <w:t>Fs ≤ 150 mm în 20 s</w:t>
            </w:r>
          </w:p>
        </w:tc>
        <w:tc>
          <w:tcPr>
            <w:tcW w:w="1950" w:type="dxa"/>
            <w:vAlign w:val="center"/>
          </w:tcPr>
          <w:p w14:paraId="52D66BD9" w14:textId="77777777" w:rsidR="001C08A5" w:rsidRDefault="001C08A5">
            <w:pPr>
              <w:widowControl/>
              <w:jc w:val="center"/>
              <w:rPr>
                <w:rFonts w:eastAsia="Calibri"/>
                <w:i/>
                <w:sz w:val="22"/>
                <w:szCs w:val="22"/>
                <w:shd w:val="clear" w:color="auto" w:fill="FFFFFF"/>
              </w:rPr>
            </w:pPr>
          </w:p>
        </w:tc>
      </w:tr>
      <w:tr w:rsidR="001C08A5" w14:paraId="6E4432DF" w14:textId="77777777">
        <w:tc>
          <w:tcPr>
            <w:tcW w:w="889" w:type="dxa"/>
            <w:vAlign w:val="center"/>
          </w:tcPr>
          <w:p w14:paraId="66A3567A" w14:textId="77777777" w:rsidR="001C08A5" w:rsidRDefault="00000000">
            <w:pPr>
              <w:widowControl/>
              <w:jc w:val="center"/>
              <w:rPr>
                <w:b/>
                <w:bCs/>
                <w:i/>
                <w:sz w:val="22"/>
                <w:szCs w:val="22"/>
                <w:lang w:val="pt-BR"/>
              </w:rPr>
            </w:pPr>
            <w:r>
              <w:rPr>
                <w:rFonts w:eastAsia="Courier New"/>
                <w:b/>
                <w:bCs/>
                <w:i/>
                <w:sz w:val="22"/>
                <w:szCs w:val="22"/>
                <w:lang w:val="pt-BR"/>
              </w:rPr>
              <w:t>F</w:t>
            </w:r>
          </w:p>
        </w:tc>
        <w:tc>
          <w:tcPr>
            <w:tcW w:w="8862" w:type="dxa"/>
            <w:gridSpan w:val="3"/>
            <w:vAlign w:val="center"/>
          </w:tcPr>
          <w:p w14:paraId="233974D7" w14:textId="77777777" w:rsidR="001C08A5" w:rsidRDefault="00000000">
            <w:pPr>
              <w:widowControl/>
              <w:jc w:val="center"/>
              <w:rPr>
                <w:rFonts w:eastAsia="Calibri"/>
                <w:i/>
                <w:sz w:val="22"/>
                <w:szCs w:val="22"/>
                <w:shd w:val="clear" w:color="auto" w:fill="FFFFFF"/>
              </w:rPr>
            </w:pPr>
            <w:r>
              <w:rPr>
                <w:rFonts w:eastAsia="Courier New"/>
                <w:i/>
                <w:sz w:val="22"/>
                <w:szCs w:val="22"/>
                <w:lang w:val="pt-BR"/>
              </w:rPr>
              <w:t xml:space="preserve">Fără </w:t>
            </w:r>
            <w:r>
              <w:rPr>
                <w:i/>
                <w:sz w:val="22"/>
                <w:szCs w:val="22"/>
                <w:lang w:val="pt-BR"/>
              </w:rPr>
              <w:t>performanta determinata</w:t>
            </w:r>
          </w:p>
        </w:tc>
      </w:tr>
      <w:tr w:rsidR="001C08A5" w14:paraId="3B364959" w14:textId="77777777">
        <w:trPr>
          <w:trHeight w:val="287"/>
        </w:trPr>
        <w:tc>
          <w:tcPr>
            <w:tcW w:w="9751" w:type="dxa"/>
            <w:gridSpan w:val="4"/>
            <w:vAlign w:val="center"/>
          </w:tcPr>
          <w:p w14:paraId="49607BE3" w14:textId="77777777" w:rsidR="001C08A5" w:rsidRDefault="00000000">
            <w:pPr>
              <w:autoSpaceDE w:val="0"/>
              <w:autoSpaceDN w:val="0"/>
              <w:adjustRightInd w:val="0"/>
              <w:rPr>
                <w:i/>
                <w:sz w:val="22"/>
                <w:szCs w:val="22"/>
                <w:lang w:val="pt-BR"/>
              </w:rPr>
            </w:pPr>
            <w:r>
              <w:rPr>
                <w:rFonts w:eastAsia="Courier New"/>
                <w:i/>
                <w:sz w:val="22"/>
                <w:szCs w:val="22"/>
                <w:lang w:val="pt-BR"/>
              </w:rPr>
              <w:t>(*1) Pentru produse omogene şi componentele substanţiale ale produselor</w:t>
            </w:r>
            <w:r>
              <w:rPr>
                <w:rFonts w:eastAsia="Courier New"/>
                <w:i/>
                <w:sz w:val="22"/>
                <w:szCs w:val="22"/>
              </w:rPr>
              <w:t xml:space="preserve"> </w:t>
            </w:r>
            <w:r>
              <w:rPr>
                <w:i/>
                <w:sz w:val="22"/>
                <w:szCs w:val="22"/>
                <w:lang w:val="pt-BR"/>
              </w:rPr>
              <w:t>neomogene.</w:t>
            </w:r>
          </w:p>
          <w:p w14:paraId="157D9C71" w14:textId="77777777" w:rsidR="001C08A5" w:rsidRDefault="00000000">
            <w:pPr>
              <w:autoSpaceDE w:val="0"/>
              <w:autoSpaceDN w:val="0"/>
              <w:adjustRightInd w:val="0"/>
              <w:rPr>
                <w:i/>
                <w:sz w:val="22"/>
                <w:szCs w:val="22"/>
                <w:lang w:val="pt-BR"/>
              </w:rPr>
            </w:pPr>
            <w:r>
              <w:rPr>
                <w:i/>
                <w:sz w:val="22"/>
                <w:szCs w:val="22"/>
                <w:lang w:val="pt-BR"/>
              </w:rPr>
              <w:t>(*2) Pentru orice component nesubstantial exterior al produselor neomogene.</w:t>
            </w:r>
          </w:p>
          <w:p w14:paraId="0EE760E3" w14:textId="77777777" w:rsidR="001C08A5" w:rsidRDefault="00000000">
            <w:pPr>
              <w:autoSpaceDE w:val="0"/>
              <w:autoSpaceDN w:val="0"/>
              <w:adjustRightInd w:val="0"/>
              <w:rPr>
                <w:i/>
                <w:sz w:val="22"/>
                <w:szCs w:val="22"/>
                <w:lang w:val="pt-BR"/>
              </w:rPr>
            </w:pPr>
            <w:r>
              <w:rPr>
                <w:i/>
                <w:sz w:val="22"/>
                <w:szCs w:val="22"/>
                <w:lang w:val="pt-BR"/>
              </w:rPr>
              <w:t>(*3) Pentru orice component nesubstantial interior al produselor neomogene.</w:t>
            </w:r>
          </w:p>
          <w:p w14:paraId="5D7CA307" w14:textId="77777777" w:rsidR="001C08A5" w:rsidRDefault="00000000">
            <w:pPr>
              <w:autoSpaceDE w:val="0"/>
              <w:autoSpaceDN w:val="0"/>
              <w:adjustRightInd w:val="0"/>
              <w:rPr>
                <w:i/>
                <w:sz w:val="22"/>
                <w:szCs w:val="22"/>
                <w:lang w:val="pt-BR"/>
              </w:rPr>
            </w:pPr>
            <w:r>
              <w:rPr>
                <w:i/>
                <w:sz w:val="22"/>
                <w:szCs w:val="22"/>
                <w:lang w:val="pt-BR"/>
              </w:rPr>
              <w:t>(*4) Pentru produs în ansamblul sau.</w:t>
            </w:r>
          </w:p>
          <w:p w14:paraId="11873716" w14:textId="77777777" w:rsidR="001C08A5" w:rsidRDefault="00000000">
            <w:pPr>
              <w:autoSpaceDE w:val="0"/>
              <w:autoSpaceDN w:val="0"/>
              <w:adjustRightInd w:val="0"/>
              <w:rPr>
                <w:i/>
                <w:sz w:val="22"/>
                <w:szCs w:val="22"/>
                <w:lang w:val="pt-BR"/>
              </w:rPr>
            </w:pPr>
            <w:r>
              <w:rPr>
                <w:i/>
                <w:sz w:val="22"/>
                <w:szCs w:val="22"/>
                <w:lang w:val="pt-BR"/>
              </w:rPr>
              <w:t>(*5) Durata incercarii = 30 minute.</w:t>
            </w:r>
          </w:p>
          <w:p w14:paraId="0B58FDEB" w14:textId="77777777" w:rsidR="001C08A5" w:rsidRDefault="00000000">
            <w:pPr>
              <w:autoSpaceDE w:val="0"/>
              <w:autoSpaceDN w:val="0"/>
              <w:adjustRightInd w:val="0"/>
              <w:rPr>
                <w:rFonts w:eastAsia="Courier New"/>
                <w:i/>
                <w:sz w:val="22"/>
                <w:szCs w:val="22"/>
                <w:lang w:val="pt-BR"/>
              </w:rPr>
            </w:pPr>
            <w:r>
              <w:rPr>
                <w:rFonts w:eastAsia="Courier New"/>
                <w:i/>
                <w:sz w:val="22"/>
                <w:szCs w:val="22"/>
                <w:lang w:val="pt-BR"/>
              </w:rPr>
              <w:t>(*6) Fluxul critic este definit ca fiind fluxul radiant a cărui valoare este</w:t>
            </w:r>
            <w:r>
              <w:rPr>
                <w:rFonts w:eastAsia="Courier New"/>
                <w:i/>
                <w:sz w:val="22"/>
                <w:szCs w:val="22"/>
              </w:rPr>
              <w:t xml:space="preserve"> </w:t>
            </w:r>
            <w:r>
              <w:rPr>
                <w:rFonts w:eastAsia="Courier New"/>
                <w:i/>
                <w:sz w:val="22"/>
                <w:szCs w:val="22"/>
                <w:lang w:val="pt-BR"/>
              </w:rPr>
              <w:t xml:space="preserve">cea mai scăzută dintre fluxul radiant de la care flacara se stinge </w:t>
            </w:r>
            <w:r>
              <w:rPr>
                <w:i/>
                <w:sz w:val="22"/>
                <w:szCs w:val="22"/>
                <w:lang w:val="pt-BR"/>
              </w:rPr>
              <w:t>sau</w:t>
            </w:r>
            <w:r>
              <w:rPr>
                <w:i/>
                <w:sz w:val="22"/>
                <w:szCs w:val="22"/>
              </w:rPr>
              <w:t xml:space="preserve"> </w:t>
            </w:r>
            <w:r>
              <w:rPr>
                <w:rFonts w:eastAsia="Courier New"/>
                <w:i/>
                <w:sz w:val="22"/>
                <w:szCs w:val="22"/>
                <w:lang w:val="pt-BR"/>
              </w:rPr>
              <w:t>fluxul radiant după o încercare cu durata de 30 minute.</w:t>
            </w:r>
          </w:p>
          <w:p w14:paraId="7011D950" w14:textId="77777777" w:rsidR="001C08A5" w:rsidRDefault="00000000">
            <w:pPr>
              <w:autoSpaceDE w:val="0"/>
              <w:autoSpaceDN w:val="0"/>
              <w:adjustRightInd w:val="0"/>
              <w:rPr>
                <w:rFonts w:eastAsia="Courier New"/>
                <w:i/>
                <w:sz w:val="22"/>
                <w:szCs w:val="22"/>
                <w:lang w:val="pt-BR"/>
              </w:rPr>
            </w:pPr>
            <w:r>
              <w:rPr>
                <w:rFonts w:eastAsia="Courier New"/>
                <w:i/>
                <w:sz w:val="22"/>
                <w:szCs w:val="22"/>
                <w:lang w:val="pt-BR"/>
              </w:rPr>
              <w:t>(*7) s1 = fum ≤ 750 %.min; s2 = când nu se încadrează în s1.</w:t>
            </w:r>
          </w:p>
          <w:p w14:paraId="77CAD40F" w14:textId="77777777" w:rsidR="001C08A5" w:rsidRDefault="00000000">
            <w:pPr>
              <w:widowControl/>
              <w:rPr>
                <w:rFonts w:eastAsia="Calibri"/>
                <w:b/>
                <w:bCs/>
                <w:i/>
                <w:sz w:val="22"/>
                <w:szCs w:val="22"/>
                <w:shd w:val="clear" w:color="auto" w:fill="FFFFFF"/>
              </w:rPr>
            </w:pPr>
            <w:r>
              <w:rPr>
                <w:rFonts w:eastAsia="Courier New"/>
                <w:i/>
                <w:sz w:val="22"/>
                <w:szCs w:val="22"/>
                <w:lang w:val="pt-BR"/>
              </w:rPr>
              <w:t>(*8) Când flacara acţionează pe suprafata sau când flacara acţionează pe</w:t>
            </w:r>
            <w:r>
              <w:rPr>
                <w:i/>
                <w:sz w:val="22"/>
                <w:szCs w:val="22"/>
                <w:lang w:val="pt-BR"/>
              </w:rPr>
              <w:t xml:space="preserve"> muchia </w:t>
            </w:r>
            <w:r>
              <w:rPr>
                <w:rFonts w:eastAsia="Courier New"/>
                <w:i/>
                <w:sz w:val="22"/>
                <w:szCs w:val="22"/>
                <w:lang w:val="pt-BR"/>
              </w:rPr>
              <w:t>epruvetei, ţinând seama de condiţiile de utilizare finala a</w:t>
            </w:r>
            <w:r>
              <w:rPr>
                <w:rFonts w:eastAsia="Courier New"/>
                <w:i/>
                <w:sz w:val="22"/>
                <w:szCs w:val="22"/>
              </w:rPr>
              <w:t xml:space="preserve"> </w:t>
            </w:r>
            <w:r>
              <w:rPr>
                <w:i/>
                <w:sz w:val="22"/>
                <w:szCs w:val="22"/>
                <w:lang w:val="pt-BR"/>
              </w:rPr>
              <w:t>produsului.</w:t>
            </w:r>
          </w:p>
        </w:tc>
      </w:tr>
    </w:tbl>
    <w:p w14:paraId="2CA8A596" w14:textId="77777777" w:rsidR="001C08A5" w:rsidRDefault="001C08A5">
      <w:pPr>
        <w:jc w:val="both"/>
        <w:rPr>
          <w:rFonts w:eastAsia="Calibri"/>
          <w:i/>
          <w:sz w:val="24"/>
          <w:szCs w:val="24"/>
          <w:shd w:val="clear" w:color="auto" w:fill="FFFFFF"/>
        </w:rPr>
      </w:pPr>
    </w:p>
    <w:p w14:paraId="5CE5458E" w14:textId="77777777" w:rsidR="001C08A5" w:rsidRDefault="00000000">
      <w:pPr>
        <w:numPr>
          <w:ilvl w:val="0"/>
          <w:numId w:val="106"/>
        </w:numPr>
        <w:shd w:val="clear" w:color="auto" w:fill="FFFFFF"/>
        <w:spacing w:after="150"/>
        <w:jc w:val="both"/>
        <w:rPr>
          <w:rFonts w:eastAsia="Calibri"/>
          <w:b/>
          <w:bCs/>
          <w:i/>
          <w:sz w:val="24"/>
          <w:szCs w:val="24"/>
          <w:shd w:val="clear" w:color="auto" w:fill="FFFFFF"/>
        </w:rPr>
      </w:pPr>
      <w:r>
        <w:rPr>
          <w:rFonts w:eastAsia="Calibri"/>
          <w:b/>
          <w:bCs/>
          <w:i/>
          <w:sz w:val="24"/>
          <w:szCs w:val="24"/>
          <w:shd w:val="clear" w:color="auto" w:fill="FFFFFF"/>
        </w:rPr>
        <w:t>Compartiment de incendiu</w:t>
      </w:r>
      <w:r>
        <w:rPr>
          <w:rFonts w:eastAsia="Calibri"/>
          <w:i/>
          <w:sz w:val="24"/>
          <w:szCs w:val="24"/>
          <w:shd w:val="clear" w:color="auto" w:fill="FFFFFF"/>
        </w:rPr>
        <w:t xml:space="preserve"> - construcție independentă (instalație), precum și construcții comasate sau grupate amplasate la distanțele normate față de vecinătăți sau volum construit compartimentat prin pereți antifoc față de construcțiile (instalațiile) adiacente. În clădirile existente înalte și foarte înalte compartimentul de incendiu poate fi un volum închis, constituit din unul până la trei niveluri succesive, delimitate de elemente rezistente la foc conform prezentei anexe și cu aria desfășurată totală conform compartimentului de incendiu admis pentru construcțiile civile (publice) de nivelul</w:t>
      </w:r>
      <w:r>
        <w:rPr>
          <w:rFonts w:eastAsia="Calibri"/>
          <w:b/>
          <w:bCs/>
          <w:i/>
          <w:sz w:val="24"/>
          <w:szCs w:val="24"/>
          <w:shd w:val="clear" w:color="auto" w:fill="FFFFFF"/>
        </w:rPr>
        <w:t xml:space="preserve"> I</w:t>
      </w:r>
      <w:r>
        <w:rPr>
          <w:rFonts w:eastAsia="Calibri"/>
          <w:i/>
          <w:sz w:val="24"/>
          <w:szCs w:val="24"/>
          <w:shd w:val="clear" w:color="auto" w:fill="FFFFFF"/>
        </w:rPr>
        <w:t xml:space="preserve"> de stabilitate la incendiu.</w:t>
      </w:r>
    </w:p>
    <w:p w14:paraId="62AA3F29" w14:textId="77777777" w:rsidR="001C08A5" w:rsidRDefault="00000000">
      <w:pPr>
        <w:numPr>
          <w:ilvl w:val="0"/>
          <w:numId w:val="106"/>
        </w:numPr>
        <w:shd w:val="clear" w:color="auto" w:fill="FFFFFF"/>
        <w:spacing w:after="150"/>
        <w:jc w:val="both"/>
        <w:rPr>
          <w:rFonts w:eastAsia="Calibri"/>
          <w:i/>
          <w:sz w:val="24"/>
          <w:szCs w:val="24"/>
        </w:rPr>
      </w:pPr>
      <w:r>
        <w:rPr>
          <w:rFonts w:eastAsia="Calibri"/>
          <w:b/>
          <w:bCs/>
          <w:i/>
          <w:sz w:val="24"/>
          <w:szCs w:val="24"/>
          <w:shd w:val="clear" w:color="auto" w:fill="FFFFFF"/>
        </w:rPr>
        <w:t>Construcții (clădiri) existente -</w:t>
      </w:r>
      <w:r>
        <w:rPr>
          <w:rFonts w:eastAsia="Calibri"/>
          <w:i/>
          <w:sz w:val="24"/>
          <w:szCs w:val="24"/>
          <w:shd w:val="clear" w:color="auto" w:fill="FFFFFF"/>
        </w:rPr>
        <w:t xml:space="preserve"> obiecte construite existente supraterane (cu sau fără subsoluri ori demisoluri) sau subterane, având următoarele destinații și funcțiuni:</w:t>
      </w:r>
    </w:p>
    <w:p w14:paraId="3845FB49" w14:textId="77777777" w:rsidR="001C08A5" w:rsidRDefault="00000000">
      <w:pPr>
        <w:shd w:val="clear" w:color="auto" w:fill="FFFFFF"/>
        <w:jc w:val="both"/>
        <w:rPr>
          <w:rFonts w:eastAsia="Calibri"/>
          <w:i/>
          <w:sz w:val="24"/>
          <w:szCs w:val="24"/>
        </w:rPr>
      </w:pPr>
      <w:r>
        <w:rPr>
          <w:rFonts w:eastAsia="Calibri"/>
          <w:i/>
          <w:sz w:val="24"/>
          <w:szCs w:val="24"/>
          <w:shd w:val="clear" w:color="auto" w:fill="FFFFFF"/>
          <w:lang w:val="en-US" w:eastAsia="zh-CN" w:bidi="ar"/>
        </w:rPr>
        <w:t>● civile (publice) - pentru locuit, administrație, comerț, sănătate, cultură, învățământ, sport, turism, etc;</w:t>
      </w:r>
    </w:p>
    <w:p w14:paraId="6FC5EEDE" w14:textId="77777777" w:rsidR="001C08A5" w:rsidRDefault="00000000">
      <w:pPr>
        <w:shd w:val="clear" w:color="auto" w:fill="FFFFFF"/>
        <w:jc w:val="both"/>
        <w:rPr>
          <w:rFonts w:eastAsia="Calibri"/>
          <w:i/>
          <w:sz w:val="24"/>
          <w:szCs w:val="24"/>
        </w:rPr>
      </w:pPr>
      <w:r>
        <w:rPr>
          <w:rFonts w:eastAsia="Calibri"/>
          <w:i/>
          <w:sz w:val="24"/>
          <w:szCs w:val="24"/>
          <w:shd w:val="clear" w:color="auto" w:fill="FFFFFF"/>
          <w:lang w:val="en-US" w:eastAsia="zh-CN" w:bidi="ar"/>
        </w:rPr>
        <w:t>● de producție și/sau depozitare - pentru activități specifice de bază sau auxiliare, (hale, ateliere, depozite, etc);</w:t>
      </w:r>
    </w:p>
    <w:p w14:paraId="1769A234" w14:textId="77777777" w:rsidR="001C08A5" w:rsidRDefault="00000000">
      <w:pPr>
        <w:shd w:val="clear" w:color="auto" w:fill="FFFFFF"/>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mixte - pentru diferite activități civile (publice), de producție și/sau depozitare, ori civile (publice) și de producție și/sau depozitare, înglobate în același volum construit.</w:t>
      </w:r>
    </w:p>
    <w:p w14:paraId="4A805991" w14:textId="77777777" w:rsidR="001C08A5" w:rsidRDefault="00000000">
      <w:pPr>
        <w:shd w:val="clear" w:color="auto" w:fill="FFFFFF"/>
        <w:jc w:val="both"/>
        <w:rPr>
          <w:rFonts w:eastAsia="Calibri"/>
          <w:i/>
          <w:sz w:val="24"/>
          <w:szCs w:val="24"/>
        </w:rPr>
      </w:pPr>
      <w:r>
        <w:rPr>
          <w:rFonts w:eastAsia="Calibri"/>
          <w:b/>
          <w:bCs/>
          <w:i/>
          <w:sz w:val="24"/>
          <w:szCs w:val="24"/>
          <w:shd w:val="clear" w:color="auto" w:fill="FFFFFF"/>
        </w:rPr>
        <w:t>Notă:</w:t>
      </w:r>
    </w:p>
    <w:p w14:paraId="38F8DDC0"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Construcțiile agroindustriale și agrozootehnice existente se tratează, după caz, prin asimilare cu construcțiile civile sau de producție ori depozitare existente, în funcție de destinațiile acestora.</w:t>
      </w:r>
    </w:p>
    <w:p w14:paraId="3E5FF2EE" w14:textId="77777777" w:rsidR="001C08A5" w:rsidRDefault="00000000">
      <w:pPr>
        <w:numPr>
          <w:ilvl w:val="0"/>
          <w:numId w:val="106"/>
        </w:numPr>
        <w:shd w:val="clear" w:color="auto" w:fill="FFFFFF"/>
        <w:spacing w:after="150"/>
        <w:jc w:val="both"/>
        <w:rPr>
          <w:rFonts w:eastAsia="Calibri"/>
          <w:i/>
          <w:sz w:val="24"/>
          <w:szCs w:val="24"/>
        </w:rPr>
      </w:pPr>
      <w:r>
        <w:rPr>
          <w:rFonts w:eastAsia="Calibri"/>
          <w:b/>
          <w:bCs/>
          <w:i/>
          <w:sz w:val="24"/>
          <w:szCs w:val="24"/>
          <w:shd w:val="clear" w:color="auto" w:fill="FFFFFF"/>
        </w:rPr>
        <w:t>Construcție (clădire) existentă blindată</w:t>
      </w:r>
      <w:r>
        <w:rPr>
          <w:rFonts w:eastAsia="Calibri"/>
          <w:i/>
          <w:sz w:val="24"/>
          <w:szCs w:val="24"/>
          <w:shd w:val="clear" w:color="auto" w:fill="FFFFFF"/>
        </w:rPr>
        <w:t xml:space="preserve"> - construcție închisă supraterană în care activitatea se desfășoară numai la lumină artificială, având acoperiș și pereți de închidere perimetrală plini, în care se prevăd numai goluri psihologice și uși de acces. Încăperile blindate cu aria construită (Ac) mai mare de </w:t>
      </w:r>
      <w:r>
        <w:rPr>
          <w:rFonts w:eastAsia="Calibri"/>
          <w:b/>
          <w:bCs/>
          <w:i/>
          <w:sz w:val="24"/>
          <w:szCs w:val="24"/>
          <w:shd w:val="clear" w:color="auto" w:fill="FFFFFF"/>
        </w:rPr>
        <w:t>1000 m</w:t>
      </w:r>
      <w:r>
        <w:rPr>
          <w:rFonts w:eastAsia="Calibri"/>
          <w:b/>
          <w:bCs/>
          <w:i/>
          <w:sz w:val="24"/>
          <w:szCs w:val="24"/>
          <w:shd w:val="clear" w:color="auto" w:fill="FFFFFF"/>
          <w:vertAlign w:val="superscript"/>
        </w:rPr>
        <w:t>2</w:t>
      </w:r>
      <w:r>
        <w:rPr>
          <w:rFonts w:eastAsia="Calibri"/>
          <w:i/>
          <w:sz w:val="24"/>
          <w:szCs w:val="24"/>
          <w:shd w:val="clear" w:color="auto" w:fill="FFFFFF"/>
        </w:rPr>
        <w:t> sunt considerate construcții blindate.</w:t>
      </w:r>
    </w:p>
    <w:p w14:paraId="01F768AF" w14:textId="77777777" w:rsidR="001C08A5" w:rsidRDefault="00000000">
      <w:pPr>
        <w:numPr>
          <w:ilvl w:val="0"/>
          <w:numId w:val="106"/>
        </w:numPr>
        <w:shd w:val="clear" w:color="auto" w:fill="FFFFFF"/>
        <w:spacing w:after="150"/>
        <w:jc w:val="both"/>
        <w:rPr>
          <w:rFonts w:eastAsia="Calibri"/>
          <w:i/>
          <w:sz w:val="24"/>
          <w:szCs w:val="24"/>
        </w:rPr>
      </w:pPr>
      <w:r>
        <w:rPr>
          <w:rFonts w:eastAsia="Calibri"/>
          <w:b/>
          <w:bCs/>
          <w:i/>
          <w:sz w:val="24"/>
          <w:szCs w:val="24"/>
          <w:shd w:val="clear" w:color="auto" w:fill="FFFFFF"/>
        </w:rPr>
        <w:t>Construcție (clădire) existentă monobloc</w:t>
      </w:r>
      <w:r>
        <w:rPr>
          <w:rFonts w:eastAsia="Calibri"/>
          <w:i/>
          <w:sz w:val="24"/>
          <w:szCs w:val="24"/>
          <w:shd w:val="clear" w:color="auto" w:fill="FFFFFF"/>
        </w:rPr>
        <w:t xml:space="preserve"> - construcție închisă cu aria construită (Ac) de cel puțin 20.000 m</w:t>
      </w:r>
      <w:r>
        <w:rPr>
          <w:rFonts w:eastAsia="Calibri"/>
          <w:i/>
          <w:sz w:val="24"/>
          <w:szCs w:val="24"/>
          <w:shd w:val="clear" w:color="auto" w:fill="FFFFFF"/>
          <w:vertAlign w:val="superscript"/>
        </w:rPr>
        <w:t>2</w:t>
      </w:r>
      <w:r>
        <w:rPr>
          <w:rFonts w:eastAsia="Calibri"/>
          <w:i/>
          <w:sz w:val="24"/>
          <w:szCs w:val="24"/>
          <w:shd w:val="clear" w:color="auto" w:fill="FFFFFF"/>
        </w:rPr>
        <w:t> și lățimea mai mare de 72 m.</w:t>
      </w:r>
    </w:p>
    <w:p w14:paraId="0B77BB59" w14:textId="77777777" w:rsidR="001C08A5" w:rsidRDefault="00000000">
      <w:pPr>
        <w:numPr>
          <w:ilvl w:val="0"/>
          <w:numId w:val="106"/>
        </w:numPr>
        <w:shd w:val="clear" w:color="auto" w:fill="FFFFFF"/>
        <w:spacing w:after="150"/>
        <w:jc w:val="both"/>
        <w:rPr>
          <w:rFonts w:eastAsia="Calibri"/>
          <w:i/>
          <w:sz w:val="24"/>
          <w:szCs w:val="24"/>
        </w:rPr>
      </w:pPr>
      <w:r>
        <w:rPr>
          <w:rFonts w:eastAsia="Calibri"/>
          <w:i/>
          <w:sz w:val="24"/>
          <w:szCs w:val="24"/>
          <w:shd w:val="clear" w:color="auto" w:fill="FFFFFF"/>
        </w:rPr>
        <w:t xml:space="preserve">Cvartal - </w:t>
      </w:r>
      <w:r>
        <w:rPr>
          <w:rFonts w:eastAsia="Calibri" w:hint="eastAsia"/>
          <w:i/>
          <w:sz w:val="24"/>
          <w:szCs w:val="24"/>
          <w:shd w:val="clear" w:color="auto" w:fill="FFFFFF"/>
        </w:rPr>
        <w:t>zonă construită, delimitată de străzi adiacente care se intersectează.</w:t>
      </w:r>
    </w:p>
    <w:p w14:paraId="0B5AFA89" w14:textId="77777777" w:rsidR="001C08A5" w:rsidRDefault="00000000">
      <w:pPr>
        <w:numPr>
          <w:ilvl w:val="0"/>
          <w:numId w:val="106"/>
        </w:numPr>
        <w:shd w:val="clear" w:color="auto" w:fill="FFFFFF"/>
        <w:spacing w:after="150"/>
        <w:jc w:val="both"/>
        <w:rPr>
          <w:rFonts w:eastAsia="Calibri"/>
          <w:i/>
          <w:sz w:val="24"/>
          <w:szCs w:val="24"/>
          <w:shd w:val="clear" w:color="auto" w:fill="FFFFFF"/>
        </w:rPr>
      </w:pPr>
      <w:r>
        <w:rPr>
          <w:rFonts w:eastAsia="Calibri"/>
          <w:b/>
          <w:bCs/>
          <w:i/>
          <w:sz w:val="24"/>
          <w:szCs w:val="24"/>
          <w:shd w:val="clear" w:color="auto" w:fill="FFFFFF"/>
        </w:rPr>
        <w:t xml:space="preserve">Grad de rezistenţă la foc </w:t>
      </w:r>
      <w:r>
        <w:rPr>
          <w:rFonts w:eastAsia="Calibri"/>
          <w:i/>
          <w:sz w:val="24"/>
          <w:szCs w:val="24"/>
          <w:shd w:val="clear" w:color="auto" w:fill="FFFFFF"/>
        </w:rPr>
        <w:t xml:space="preserve">- capacitate globală a construcţiei sau a compartimentului de incendiu de a răspunde la acţiunea unui incendiu standard, indiferent de destinaţia sau funcţiunea acestuia. Se echivalează cu termenul precizat la </w:t>
      </w:r>
      <w:r>
        <w:rPr>
          <w:rFonts w:eastAsia="Calibri"/>
          <w:b/>
          <w:bCs/>
          <w:i/>
          <w:sz w:val="24"/>
          <w:szCs w:val="24"/>
          <w:shd w:val="clear" w:color="auto" w:fill="FFFFFF"/>
        </w:rPr>
        <w:t>SECŢIUNEA  II 1.2. / Terminologie, clasificări / nr. crt. 53 Nivel de stabilitate la incendiu</w:t>
      </w:r>
      <w:r>
        <w:rPr>
          <w:rFonts w:eastAsia="Calibri"/>
          <w:i/>
          <w:sz w:val="24"/>
          <w:szCs w:val="24"/>
          <w:shd w:val="clear" w:color="auto" w:fill="FFFFFF"/>
        </w:rPr>
        <w:t xml:space="preserve"> din normativ.</w:t>
      </w:r>
    </w:p>
    <w:p w14:paraId="3C4A22E4" w14:textId="77777777" w:rsidR="001C08A5" w:rsidRDefault="00000000">
      <w:pPr>
        <w:numPr>
          <w:ilvl w:val="0"/>
          <w:numId w:val="106"/>
        </w:numPr>
        <w:shd w:val="clear" w:color="auto" w:fill="FFFFFF"/>
        <w:spacing w:after="150"/>
        <w:jc w:val="both"/>
        <w:rPr>
          <w:rFonts w:eastAsia="Calibri"/>
          <w:i/>
          <w:sz w:val="24"/>
          <w:szCs w:val="24"/>
        </w:rPr>
      </w:pPr>
      <w:r>
        <w:rPr>
          <w:rFonts w:eastAsia="Calibri"/>
          <w:b/>
          <w:bCs/>
          <w:i/>
          <w:sz w:val="24"/>
          <w:szCs w:val="24"/>
          <w:shd w:val="clear" w:color="auto" w:fill="FFFFFF"/>
        </w:rPr>
        <w:t>Panouri existente de învelitoare</w:t>
      </w:r>
      <w:r>
        <w:rPr>
          <w:rFonts w:eastAsia="Calibri"/>
          <w:i/>
          <w:sz w:val="24"/>
          <w:szCs w:val="24"/>
          <w:shd w:val="clear" w:color="auto" w:fill="FFFFFF"/>
        </w:rPr>
        <w:t xml:space="preserve"> - elemente autoportante existente montate pe șarpante ale construcțiilor existente, cu rol de izolare hidrofugă și după caz termică.</w:t>
      </w:r>
    </w:p>
    <w:p w14:paraId="03295A34" w14:textId="77777777" w:rsidR="001C08A5" w:rsidRDefault="00000000">
      <w:pPr>
        <w:numPr>
          <w:ilvl w:val="0"/>
          <w:numId w:val="106"/>
        </w:numPr>
        <w:shd w:val="clear" w:color="auto" w:fill="FFFFFF"/>
        <w:spacing w:after="150"/>
        <w:jc w:val="both"/>
        <w:rPr>
          <w:rFonts w:eastAsia="Calibri"/>
          <w:i/>
          <w:sz w:val="24"/>
          <w:szCs w:val="24"/>
        </w:rPr>
      </w:pPr>
      <w:r>
        <w:rPr>
          <w:rFonts w:eastAsia="Calibri"/>
          <w:b/>
          <w:bCs/>
          <w:i/>
          <w:sz w:val="24"/>
          <w:szCs w:val="24"/>
          <w:shd w:val="clear" w:color="auto" w:fill="FFFFFF"/>
        </w:rPr>
        <w:t>Perete sau planșeu antifoc existent</w:t>
      </w:r>
      <w:r>
        <w:rPr>
          <w:rFonts w:eastAsia="Calibri"/>
          <w:i/>
          <w:sz w:val="24"/>
          <w:szCs w:val="24"/>
          <w:shd w:val="clear" w:color="auto" w:fill="FFFFFF"/>
        </w:rPr>
        <w:t xml:space="preserve"> - element de construcție vertical sau orizontal realizat din materiale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xml:space="preserve">, având rezistența la foc cel puțin egală cu nivelul stabilit </w:t>
      </w:r>
      <w:r>
        <w:rPr>
          <w:rFonts w:eastAsia="Calibri"/>
          <w:i/>
          <w:sz w:val="24"/>
          <w:szCs w:val="24"/>
          <w:shd w:val="clear" w:color="auto" w:fill="FFFFFF"/>
        </w:rPr>
        <w:lastRenderedPageBreak/>
        <w:t>în funcție de densitatea cea mai mare a sarcinii termice din compartimentele de incendiu existente pe care le separă, conformat și realizat potrivit prevederilor prezentei anexe.</w:t>
      </w:r>
    </w:p>
    <w:p w14:paraId="64763383" w14:textId="77777777" w:rsidR="001C08A5" w:rsidRDefault="00000000">
      <w:pPr>
        <w:numPr>
          <w:ilvl w:val="0"/>
          <w:numId w:val="106"/>
        </w:numPr>
        <w:shd w:val="clear" w:color="auto" w:fill="FFFFFF"/>
        <w:spacing w:after="150"/>
        <w:jc w:val="both"/>
        <w:rPr>
          <w:b/>
          <w:i/>
          <w:sz w:val="24"/>
          <w:szCs w:val="24"/>
        </w:rPr>
      </w:pPr>
      <w:r>
        <w:rPr>
          <w:rFonts w:eastAsia="Calibri"/>
          <w:b/>
          <w:bCs/>
          <w:i/>
          <w:sz w:val="24"/>
          <w:szCs w:val="24"/>
          <w:shd w:val="clear" w:color="auto" w:fill="FFFFFF"/>
        </w:rPr>
        <w:t>Risc de incendiu</w:t>
      </w:r>
      <w:r>
        <w:rPr>
          <w:rFonts w:eastAsia="Calibri"/>
          <w:i/>
          <w:sz w:val="24"/>
          <w:szCs w:val="24"/>
          <w:shd w:val="clear" w:color="auto" w:fill="FFFFFF"/>
        </w:rPr>
        <w:t xml:space="preserve"> - probabilitatea izbucnirii incendiilor în spații încăperi, construcții sau compartimente de incendiu ori instalații; în cele cu funcțiuni civile (publice) existente se exprimă prin riscuri de incendiu, iar în cele destinate activităților de producție și de depozitare existente se exprimă prin "categorii de pericol de incendiu".</w:t>
      </w:r>
    </w:p>
    <w:p w14:paraId="25A31265" w14:textId="77777777" w:rsidR="001C08A5" w:rsidRDefault="00000000">
      <w:pPr>
        <w:pStyle w:val="Heading3"/>
        <w:rPr>
          <w:i/>
          <w:iCs/>
          <w:sz w:val="26"/>
        </w:rPr>
      </w:pPr>
      <w:bookmarkStart w:id="10335" w:name="_Toc4705"/>
      <w:bookmarkStart w:id="10336" w:name="_Toc12211"/>
      <w:bookmarkStart w:id="10337" w:name="_Toc162355516"/>
      <w:bookmarkStart w:id="10338" w:name="_Toc18730"/>
      <w:bookmarkStart w:id="10339" w:name="_Toc32766"/>
      <w:bookmarkStart w:id="10340" w:name="_Toc1141"/>
      <w:r>
        <w:rPr>
          <w:i/>
          <w:iCs/>
          <w:sz w:val="26"/>
        </w:rPr>
        <w:t>CAPITOLUL 2</w:t>
      </w:r>
      <w:bookmarkEnd w:id="10335"/>
      <w:bookmarkEnd w:id="10336"/>
      <w:bookmarkEnd w:id="10337"/>
      <w:bookmarkEnd w:id="10338"/>
      <w:bookmarkEnd w:id="10339"/>
      <w:bookmarkEnd w:id="10340"/>
    </w:p>
    <w:p w14:paraId="7C056316" w14:textId="77777777" w:rsidR="001C08A5" w:rsidRDefault="00000000">
      <w:pPr>
        <w:pStyle w:val="Heading3"/>
        <w:rPr>
          <w:i/>
          <w:sz w:val="24"/>
          <w:szCs w:val="24"/>
        </w:rPr>
      </w:pPr>
      <w:bookmarkStart w:id="10341" w:name="_Toc10966"/>
      <w:bookmarkStart w:id="10342" w:name="_Toc162355517"/>
      <w:bookmarkStart w:id="10343" w:name="_Toc8377"/>
      <w:bookmarkStart w:id="10344" w:name="_Toc7662"/>
      <w:bookmarkStart w:id="10345" w:name="_Toc13164"/>
      <w:bookmarkStart w:id="10346" w:name="_Toc13988"/>
      <w:r>
        <w:rPr>
          <w:i/>
          <w:iCs/>
          <w:sz w:val="26"/>
        </w:rPr>
        <w:t>CONDIȚII GENERALE DE PERFORMANȚĂ A CONSTRUCȚIILOR EXISTENTE</w:t>
      </w:r>
      <w:bookmarkEnd w:id="10341"/>
      <w:bookmarkEnd w:id="10342"/>
      <w:bookmarkEnd w:id="10343"/>
      <w:bookmarkEnd w:id="10344"/>
      <w:bookmarkEnd w:id="10345"/>
      <w:bookmarkEnd w:id="10346"/>
    </w:p>
    <w:p w14:paraId="75B73E3F" w14:textId="77777777" w:rsidR="001C08A5" w:rsidRDefault="00000000">
      <w:pPr>
        <w:pStyle w:val="Heading3"/>
        <w:rPr>
          <w:i/>
          <w:sz w:val="24"/>
          <w:szCs w:val="24"/>
        </w:rPr>
      </w:pPr>
      <w:bookmarkStart w:id="10347" w:name="_Toc7099"/>
      <w:bookmarkStart w:id="10348" w:name="_Toc2954"/>
      <w:bookmarkStart w:id="10349" w:name="_Toc25489"/>
      <w:bookmarkStart w:id="10350" w:name="_Toc162355518"/>
      <w:bookmarkStart w:id="10351" w:name="_Toc15964"/>
      <w:bookmarkStart w:id="10352" w:name="_Toc32651"/>
      <w:r>
        <w:rPr>
          <w:i/>
          <w:iCs/>
          <w:sz w:val="24"/>
          <w:szCs w:val="24"/>
        </w:rPr>
        <w:t>A.10. 2.1. RISC DE INCENDIU ȘI NIVEL DE STABILITATE LA INCENDIU</w:t>
      </w:r>
      <w:bookmarkEnd w:id="10347"/>
      <w:bookmarkEnd w:id="10348"/>
      <w:bookmarkEnd w:id="10349"/>
      <w:bookmarkEnd w:id="10350"/>
      <w:bookmarkEnd w:id="10351"/>
      <w:bookmarkEnd w:id="10352"/>
    </w:p>
    <w:p w14:paraId="11DBEF73" w14:textId="77777777" w:rsidR="001C08A5" w:rsidRDefault="00000000">
      <w:pPr>
        <w:pStyle w:val="Heading4"/>
        <w:rPr>
          <w:sz w:val="24"/>
          <w:szCs w:val="24"/>
        </w:rPr>
      </w:pPr>
      <w:bookmarkStart w:id="10353" w:name="_Toc162355519"/>
      <w:bookmarkStart w:id="10354" w:name="_Toc18093"/>
      <w:bookmarkStart w:id="10355" w:name="_Toc28762"/>
      <w:bookmarkStart w:id="10356" w:name="_Toc5128"/>
      <w:bookmarkStart w:id="10357" w:name="_Toc12260"/>
      <w:bookmarkStart w:id="10358" w:name="_Toc16691"/>
      <w:r>
        <w:rPr>
          <w:sz w:val="24"/>
          <w:szCs w:val="24"/>
        </w:rPr>
        <w:t>Risc de incendiu</w:t>
      </w:r>
      <w:bookmarkEnd w:id="10353"/>
      <w:bookmarkEnd w:id="10354"/>
      <w:bookmarkEnd w:id="10355"/>
      <w:bookmarkEnd w:id="10356"/>
      <w:bookmarkEnd w:id="10357"/>
      <w:bookmarkEnd w:id="10358"/>
    </w:p>
    <w:p w14:paraId="3D7DCC4B" w14:textId="77777777" w:rsidR="001C08A5" w:rsidRDefault="001C08A5">
      <w:pPr>
        <w:rPr>
          <w:b/>
          <w:i/>
          <w:sz w:val="24"/>
          <w:szCs w:val="24"/>
        </w:rPr>
      </w:pPr>
    </w:p>
    <w:p w14:paraId="1E1337F5"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2.1.1.</w:t>
      </w:r>
      <w:r>
        <w:rPr>
          <w:rFonts w:eastAsia="Calibri"/>
          <w:i/>
          <w:sz w:val="24"/>
          <w:szCs w:val="24"/>
          <w:shd w:val="clear" w:color="auto" w:fill="FFFFFF"/>
        </w:rPr>
        <w:t xml:space="preserve"> La clădirile existente civile (publice) riscul de incendiu este determinat, în principal, de densitatea sarcinii termice (q) stabilită prin calcul și de destinația respectivă. conform </w:t>
      </w:r>
      <w:r>
        <w:rPr>
          <w:b/>
          <w:i/>
          <w:sz w:val="24"/>
          <w:szCs w:val="24"/>
        </w:rPr>
        <w:t xml:space="preserve">Art. 2.1.2.1. </w:t>
      </w:r>
      <w:r>
        <w:rPr>
          <w:bCs/>
          <w:i/>
          <w:sz w:val="24"/>
          <w:szCs w:val="24"/>
        </w:rPr>
        <w:t xml:space="preserve">și </w:t>
      </w:r>
      <w:r>
        <w:rPr>
          <w:b/>
          <w:i/>
          <w:sz w:val="24"/>
          <w:szCs w:val="24"/>
        </w:rPr>
        <w:t>Art. 2.1.2.2.</w:t>
      </w:r>
    </w:p>
    <w:p w14:paraId="62567C42" w14:textId="77777777" w:rsidR="001C08A5" w:rsidRDefault="00000000">
      <w:pPr>
        <w:jc w:val="both"/>
        <w:rPr>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2.1.2.</w:t>
      </w:r>
      <w:r>
        <w:rPr>
          <w:rFonts w:eastAsia="Calibri"/>
          <w:i/>
          <w:sz w:val="24"/>
          <w:szCs w:val="24"/>
          <w:shd w:val="clear" w:color="auto" w:fill="FFFFFF"/>
        </w:rPr>
        <w:t xml:space="preserve"> În funcție de densitatea sarcinii termice, riscul de incendiu în clădiri civile (publice) existente, </w:t>
      </w:r>
      <w:r>
        <w:rPr>
          <w:i/>
          <w:sz w:val="24"/>
          <w:szCs w:val="24"/>
        </w:rPr>
        <w:t>poate fi:</w:t>
      </w:r>
    </w:p>
    <w:p w14:paraId="2AE9CA0B"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mare: </w:t>
      </w:r>
      <w:r>
        <w:rPr>
          <w:rFonts w:eastAsia="Calibri"/>
          <w:b/>
          <w:bCs/>
          <w:i/>
          <w:sz w:val="24"/>
          <w:szCs w:val="24"/>
          <w:shd w:val="clear" w:color="auto" w:fill="FFFFFF"/>
          <w:lang w:eastAsia="zh-CN" w:bidi="ar"/>
        </w:rPr>
        <w:t>Q</w:t>
      </w:r>
      <w:r>
        <w:rPr>
          <w:rFonts w:eastAsia="Calibri"/>
          <w:b/>
          <w:bCs/>
          <w:i/>
          <w:sz w:val="24"/>
          <w:szCs w:val="24"/>
          <w:shd w:val="clear" w:color="auto" w:fill="FFFFFF"/>
          <w:lang w:val="en-US" w:eastAsia="zh-CN" w:bidi="ar"/>
        </w:rPr>
        <w:t>i</w:t>
      </w:r>
      <w:r>
        <w:rPr>
          <w:rFonts w:eastAsia="Calibri"/>
          <w:i/>
          <w:sz w:val="24"/>
          <w:szCs w:val="24"/>
          <w:shd w:val="clear" w:color="auto" w:fill="FFFFFF"/>
          <w:lang w:val="en-US" w:eastAsia="zh-CN" w:bidi="ar"/>
        </w:rPr>
        <w:t xml:space="preserve"> = peste 840 </w:t>
      </w:r>
      <w:r>
        <w:rPr>
          <w:rFonts w:eastAsia="Calibri"/>
          <w:b/>
          <w:bCs/>
          <w:i/>
          <w:sz w:val="24"/>
          <w:szCs w:val="24"/>
          <w:shd w:val="clear" w:color="auto" w:fill="FFFFFF"/>
          <w:lang w:val="en-US" w:eastAsia="zh-CN" w:bidi="ar"/>
        </w:rPr>
        <w:t>MJ/m</w:t>
      </w:r>
      <w:r>
        <w:rPr>
          <w:rFonts w:eastAsia="Calibri"/>
          <w:b/>
          <w:bCs/>
          <w:i/>
          <w:sz w:val="24"/>
          <w:szCs w:val="24"/>
          <w:shd w:val="clear" w:color="auto" w:fill="FFFFFF"/>
          <w:vertAlign w:val="superscript"/>
          <w:lang w:val="en-US" w:eastAsia="zh-CN" w:bidi="ar"/>
        </w:rPr>
        <w:t>2</w:t>
      </w:r>
    </w:p>
    <w:p w14:paraId="65F8C835"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mijlociu: </w:t>
      </w:r>
      <w:r>
        <w:rPr>
          <w:rFonts w:eastAsia="Calibri"/>
          <w:b/>
          <w:bCs/>
          <w:i/>
          <w:sz w:val="24"/>
          <w:szCs w:val="24"/>
          <w:shd w:val="clear" w:color="auto" w:fill="FFFFFF"/>
          <w:lang w:eastAsia="zh-CN" w:bidi="ar"/>
        </w:rPr>
        <w:t>Q</w:t>
      </w:r>
      <w:r>
        <w:rPr>
          <w:rFonts w:eastAsia="Calibri"/>
          <w:b/>
          <w:bCs/>
          <w:i/>
          <w:sz w:val="24"/>
          <w:szCs w:val="24"/>
          <w:shd w:val="clear" w:color="auto" w:fill="FFFFFF"/>
          <w:lang w:val="en-US" w:eastAsia="zh-CN" w:bidi="ar"/>
        </w:rPr>
        <w:t>i = 42</w:t>
      </w:r>
      <w:r>
        <w:rPr>
          <w:rFonts w:eastAsia="Calibri"/>
          <w:b/>
          <w:bCs/>
          <w:i/>
          <w:sz w:val="24"/>
          <w:szCs w:val="24"/>
          <w:shd w:val="clear" w:color="auto" w:fill="FFFFFF"/>
          <w:lang w:eastAsia="zh-CN" w:bidi="ar"/>
        </w:rPr>
        <w:t>0</w:t>
      </w:r>
      <w:r>
        <w:rPr>
          <w:rFonts w:eastAsia="Calibri"/>
          <w:b/>
          <w:bCs/>
          <w:i/>
          <w:sz w:val="24"/>
          <w:szCs w:val="24"/>
          <w:shd w:val="clear" w:color="auto" w:fill="FFFFFF"/>
          <w:lang w:val="en-US" w:eastAsia="zh-CN" w:bidi="ar"/>
        </w:rPr>
        <w:t xml:space="preserve"> MJ/m</w:t>
      </w:r>
      <w:r>
        <w:rPr>
          <w:rFonts w:eastAsia="Calibri"/>
          <w:b/>
          <w:bCs/>
          <w:i/>
          <w:sz w:val="24"/>
          <w:szCs w:val="24"/>
          <w:shd w:val="clear" w:color="auto" w:fill="FFFFFF"/>
          <w:vertAlign w:val="superscript"/>
          <w:lang w:val="en-US" w:eastAsia="zh-CN" w:bidi="ar"/>
        </w:rPr>
        <w:t>2</w:t>
      </w:r>
      <w:r>
        <w:rPr>
          <w:rFonts w:ascii="Arial" w:eastAsia="Calibri" w:hAnsi="Arial" w:cs="Arial"/>
          <w:b/>
          <w:bCs/>
          <w:i/>
          <w:sz w:val="24"/>
          <w:szCs w:val="24"/>
          <w:shd w:val="clear" w:color="auto" w:fill="FFFFFF"/>
          <w:lang w:val="en-US" w:eastAsia="zh-CN" w:bidi="ar"/>
        </w:rPr>
        <w:t>÷</w:t>
      </w:r>
      <w:r>
        <w:rPr>
          <w:rFonts w:ascii="Arial" w:eastAsia="Calibri"/>
          <w:b/>
          <w:bCs/>
          <w:i/>
          <w:sz w:val="24"/>
          <w:szCs w:val="24"/>
          <w:shd w:val="clear" w:color="auto" w:fill="FFFFFF"/>
          <w:lang w:eastAsia="zh-CN" w:bidi="ar"/>
        </w:rPr>
        <w:t xml:space="preserve"> </w:t>
      </w:r>
      <w:r>
        <w:rPr>
          <w:rFonts w:eastAsia="Calibri"/>
          <w:b/>
          <w:bCs/>
          <w:i/>
          <w:sz w:val="24"/>
          <w:szCs w:val="24"/>
          <w:shd w:val="clear" w:color="auto" w:fill="FFFFFF"/>
          <w:lang w:val="en-US" w:eastAsia="zh-CN" w:bidi="ar"/>
        </w:rPr>
        <w:t>840 MJ/m</w:t>
      </w:r>
      <w:r>
        <w:rPr>
          <w:rFonts w:eastAsia="Calibri"/>
          <w:b/>
          <w:bCs/>
          <w:i/>
          <w:sz w:val="24"/>
          <w:szCs w:val="24"/>
          <w:shd w:val="clear" w:color="auto" w:fill="FFFFFF"/>
          <w:vertAlign w:val="superscript"/>
          <w:lang w:val="en-US" w:eastAsia="zh-CN" w:bidi="ar"/>
        </w:rPr>
        <w:t>2</w:t>
      </w:r>
    </w:p>
    <w:p w14:paraId="14258CA5"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mic: </w:t>
      </w:r>
      <w:r>
        <w:rPr>
          <w:rFonts w:eastAsia="Calibri"/>
          <w:b/>
          <w:bCs/>
          <w:i/>
          <w:sz w:val="24"/>
          <w:szCs w:val="24"/>
          <w:shd w:val="clear" w:color="auto" w:fill="FFFFFF"/>
          <w:lang w:eastAsia="zh-CN" w:bidi="ar"/>
        </w:rPr>
        <w:t>Q</w:t>
      </w:r>
      <w:r>
        <w:rPr>
          <w:rFonts w:eastAsia="Calibri"/>
          <w:b/>
          <w:bCs/>
          <w:i/>
          <w:sz w:val="24"/>
          <w:szCs w:val="24"/>
          <w:shd w:val="clear" w:color="auto" w:fill="FFFFFF"/>
          <w:lang w:val="en-US" w:eastAsia="zh-CN" w:bidi="ar"/>
        </w:rPr>
        <w:t>i</w:t>
      </w:r>
      <w:r>
        <w:rPr>
          <w:rFonts w:eastAsia="Calibri"/>
          <w:i/>
          <w:sz w:val="24"/>
          <w:szCs w:val="24"/>
          <w:shd w:val="clear" w:color="auto" w:fill="FFFFFF"/>
          <w:lang w:val="en-US" w:eastAsia="zh-CN" w:bidi="ar"/>
        </w:rPr>
        <w:t xml:space="preserve"> = sub </w:t>
      </w:r>
      <w:r>
        <w:rPr>
          <w:rFonts w:eastAsia="Calibri"/>
          <w:b/>
          <w:bCs/>
          <w:i/>
          <w:sz w:val="24"/>
          <w:szCs w:val="24"/>
          <w:shd w:val="clear" w:color="auto" w:fill="FFFFFF"/>
          <w:lang w:val="en-US" w:eastAsia="zh-CN" w:bidi="ar"/>
        </w:rPr>
        <w:t>420 MJ/m</w:t>
      </w:r>
      <w:r>
        <w:rPr>
          <w:rFonts w:eastAsia="Calibri"/>
          <w:b/>
          <w:bCs/>
          <w:i/>
          <w:sz w:val="24"/>
          <w:szCs w:val="24"/>
          <w:shd w:val="clear" w:color="auto" w:fill="FFFFFF"/>
          <w:vertAlign w:val="superscript"/>
          <w:lang w:val="en-US" w:eastAsia="zh-CN" w:bidi="ar"/>
        </w:rPr>
        <w:t>2</w:t>
      </w:r>
    </w:p>
    <w:p w14:paraId="7F916549" w14:textId="77777777" w:rsidR="001C08A5" w:rsidRDefault="001C08A5">
      <w:pPr>
        <w:tabs>
          <w:tab w:val="left" w:pos="420"/>
        </w:tabs>
        <w:ind w:left="840"/>
        <w:jc w:val="both"/>
        <w:rPr>
          <w:i/>
          <w:sz w:val="24"/>
          <w:szCs w:val="24"/>
          <w:vertAlign w:val="superscript"/>
          <w:lang w:val="en-US" w:eastAsia="zh-CN"/>
        </w:rPr>
      </w:pPr>
    </w:p>
    <w:p w14:paraId="07E7AF70" w14:textId="77777777" w:rsidR="001C08A5" w:rsidRDefault="00000000">
      <w:pPr>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2.1.3.</w:t>
      </w:r>
      <w:r>
        <w:rPr>
          <w:rFonts w:eastAsia="Calibri"/>
          <w:i/>
          <w:sz w:val="24"/>
          <w:szCs w:val="24"/>
          <w:shd w:val="clear" w:color="auto" w:fill="FFFFFF"/>
        </w:rPr>
        <w:t xml:space="preserve"> În </w:t>
      </w:r>
      <w:r>
        <w:rPr>
          <w:i/>
          <w:sz w:val="24"/>
          <w:szCs w:val="24"/>
        </w:rPr>
        <w:t>funcție de destinație (funcțiune), unele spații și încăperi din clădirile civile (publice) existente, se încadreaz</w:t>
      </w:r>
      <w:r>
        <w:rPr>
          <w:rFonts w:eastAsia="Calibri"/>
          <w:i/>
          <w:sz w:val="24"/>
          <w:szCs w:val="24"/>
          <w:shd w:val="clear" w:color="auto" w:fill="FFFFFF"/>
        </w:rPr>
        <w:t>ă în următoarele riscuri de incendiu:</w:t>
      </w:r>
    </w:p>
    <w:p w14:paraId="5E42105C"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mare: în care se utilizează, sau depozitează materiale sau substanțe combustibile (arhive, biblioteci, mu</w:t>
      </w:r>
      <w:r>
        <w:rPr>
          <w:rFonts w:eastAsia="Calibri"/>
          <w:i/>
          <w:sz w:val="24"/>
          <w:szCs w:val="24"/>
          <w:shd w:val="clear" w:color="auto" w:fill="FFFFFF"/>
          <w:lang w:eastAsia="zh-CN" w:bidi="ar"/>
        </w:rPr>
        <w:t>l</w:t>
      </w:r>
      <w:r>
        <w:rPr>
          <w:rFonts w:eastAsia="Calibri"/>
          <w:i/>
          <w:sz w:val="24"/>
          <w:szCs w:val="24"/>
          <w:shd w:val="clear" w:color="auto" w:fill="FFFFFF"/>
          <w:lang w:val="en-US" w:eastAsia="zh-CN" w:bidi="ar"/>
        </w:rPr>
        <w:t>tip</w:t>
      </w:r>
      <w:r>
        <w:rPr>
          <w:rFonts w:eastAsia="Calibri"/>
          <w:i/>
          <w:sz w:val="24"/>
          <w:szCs w:val="24"/>
          <w:shd w:val="clear" w:color="auto" w:fill="FFFFFF"/>
          <w:lang w:eastAsia="zh-CN" w:bidi="ar"/>
        </w:rPr>
        <w:t>l</w:t>
      </w:r>
      <w:r>
        <w:rPr>
          <w:rFonts w:eastAsia="Calibri"/>
          <w:i/>
          <w:sz w:val="24"/>
          <w:szCs w:val="24"/>
          <w:shd w:val="clear" w:color="auto" w:fill="FFFFFF"/>
          <w:lang w:val="en-US" w:eastAsia="zh-CN" w:bidi="ar"/>
        </w:rPr>
        <w:t>icare, parcaje autoturisme, etc.)</w:t>
      </w:r>
    </w:p>
    <w:p w14:paraId="277A8DDD"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mijlociu: în care se utilizează foc deschis (bucătării, centrale termice, oficii cu preparări calde, etc);</w:t>
      </w:r>
    </w:p>
    <w:p w14:paraId="23A1151A"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mic: celelalte încăperi și spații.</w:t>
      </w:r>
    </w:p>
    <w:p w14:paraId="75B35AA9" w14:textId="77777777" w:rsidR="001C08A5" w:rsidRDefault="00000000">
      <w:pPr>
        <w:shd w:val="clear" w:color="auto" w:fill="FFFFFF"/>
        <w:tabs>
          <w:tab w:val="left" w:pos="420"/>
        </w:tabs>
        <w:spacing w:after="150"/>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În încăperile și spațiile echipate cu instalații automate de stingere </w:t>
      </w:r>
      <w:proofErr w:type="gramStart"/>
      <w:r>
        <w:rPr>
          <w:rFonts w:eastAsia="Calibri"/>
          <w:i/>
          <w:sz w:val="24"/>
          <w:szCs w:val="24"/>
          <w:shd w:val="clear" w:color="auto" w:fill="FFFFFF"/>
          <w:lang w:val="en-US" w:eastAsia="zh-CN" w:bidi="ar"/>
        </w:rPr>
        <w:t>a</w:t>
      </w:r>
      <w:proofErr w:type="gramEnd"/>
      <w:r>
        <w:rPr>
          <w:rFonts w:eastAsia="Calibri"/>
          <w:i/>
          <w:sz w:val="24"/>
          <w:szCs w:val="24"/>
          <w:shd w:val="clear" w:color="auto" w:fill="FFFFFF"/>
          <w:lang w:val="en-US" w:eastAsia="zh-CN" w:bidi="ar"/>
        </w:rPr>
        <w:t xml:space="preserve"> incendiilor, riscurile mari de incendiu pot fi considerate mijlocii, iar riscurile mijlocii pot fi considerate mici. Pentru întregul compartiment de incendiu sau clădire</w:t>
      </w:r>
      <w:r>
        <w:rPr>
          <w:rFonts w:eastAsia="Calibri"/>
          <w:i/>
          <w:sz w:val="24"/>
          <w:szCs w:val="24"/>
          <w:shd w:val="clear" w:color="auto" w:fill="FFFFFF"/>
          <w:lang w:eastAsia="zh-CN" w:bidi="ar"/>
        </w:rPr>
        <w:t xml:space="preserve"> </w:t>
      </w:r>
      <w:r>
        <w:rPr>
          <w:rFonts w:eastAsia="Calibri"/>
          <w:i/>
          <w:sz w:val="24"/>
          <w:szCs w:val="24"/>
          <w:shd w:val="clear" w:color="auto" w:fill="FFFFFF"/>
        </w:rPr>
        <w:t>existentă</w:t>
      </w:r>
      <w:r>
        <w:rPr>
          <w:rFonts w:eastAsia="Calibri"/>
          <w:i/>
          <w:sz w:val="24"/>
          <w:szCs w:val="24"/>
          <w:shd w:val="clear" w:color="auto" w:fill="FFFFFF"/>
          <w:lang w:val="en-US" w:eastAsia="zh-CN" w:bidi="ar"/>
        </w:rPr>
        <w:t>, riscul de incendiu considerat va fi cei mai mare care reprezintă minimum 30% din volumul acestora.</w:t>
      </w:r>
    </w:p>
    <w:p w14:paraId="7CAA0BE3" w14:textId="77777777" w:rsidR="001C08A5" w:rsidRDefault="00000000">
      <w:pPr>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2.1.4.</w:t>
      </w:r>
      <w:r>
        <w:rPr>
          <w:rFonts w:eastAsia="Calibri"/>
          <w:i/>
          <w:sz w:val="24"/>
          <w:szCs w:val="24"/>
          <w:shd w:val="clear" w:color="auto" w:fill="FFFFFF"/>
        </w:rPr>
        <w:t xml:space="preserve"> La construcții de producție și/sau depozitare existente, riscul de incendiu are în vedere natura activităților desfășurate, caracteristicile de ardere ale materialelor și substanțele utilizate, prelucrate, manipulate sau depozitate, și densitatea sarcinii termice, </w:t>
      </w:r>
      <w:r>
        <w:rPr>
          <w:i/>
          <w:sz w:val="24"/>
          <w:szCs w:val="24"/>
        </w:rPr>
        <w:t xml:space="preserve">se au în vedere prevederile din </w:t>
      </w:r>
      <w:r>
        <w:rPr>
          <w:b/>
          <w:bCs/>
          <w:i/>
          <w:iCs/>
          <w:sz w:val="24"/>
          <w:szCs w:val="24"/>
        </w:rPr>
        <w:fldChar w:fldCharType="begin"/>
      </w:r>
      <w:r>
        <w:rPr>
          <w:b/>
          <w:bCs/>
          <w:i/>
          <w:iCs/>
          <w:sz w:val="24"/>
          <w:szCs w:val="24"/>
        </w:rPr>
        <w:instrText xml:space="preserve"> REF _Ref3144 \h </w:instrText>
      </w:r>
      <w:r>
        <w:rPr>
          <w:b/>
          <w:bCs/>
          <w:i/>
          <w:iCs/>
          <w:sz w:val="24"/>
          <w:szCs w:val="24"/>
        </w:rPr>
      </w:r>
      <w:r>
        <w:rPr>
          <w:b/>
          <w:bCs/>
          <w:i/>
          <w:iCs/>
          <w:sz w:val="24"/>
          <w:szCs w:val="24"/>
        </w:rPr>
        <w:fldChar w:fldCharType="separate"/>
      </w:r>
      <w:r>
        <w:t>Tabelul 143</w:t>
      </w:r>
      <w:r>
        <w:rPr>
          <w:b/>
          <w:bCs/>
          <w:i/>
          <w:iCs/>
          <w:sz w:val="24"/>
          <w:szCs w:val="24"/>
        </w:rPr>
        <w:fldChar w:fldCharType="end"/>
      </w:r>
      <w:r>
        <w:rPr>
          <w:b/>
          <w:i/>
          <w:sz w:val="24"/>
          <w:szCs w:val="24"/>
        </w:rPr>
        <w:t>.</w:t>
      </w:r>
      <w:r>
        <w:rPr>
          <w:rFonts w:eastAsia="Calibri"/>
          <w:i/>
          <w:sz w:val="24"/>
          <w:szCs w:val="24"/>
          <w:shd w:val="clear" w:color="auto" w:fill="FFFFFF"/>
        </w:rPr>
        <w:t xml:space="preserve"> La acestea riscul de incendiu este definit prin anterioarele categorii de pericol de incendiu, ce exprimă:</w:t>
      </w:r>
    </w:p>
    <w:p w14:paraId="22970578"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categoriile </w:t>
      </w:r>
      <w:r>
        <w:rPr>
          <w:rFonts w:eastAsia="Calibri"/>
          <w:b/>
          <w:bCs/>
          <w:i/>
          <w:sz w:val="24"/>
          <w:szCs w:val="24"/>
          <w:shd w:val="clear" w:color="auto" w:fill="FFFFFF"/>
          <w:lang w:val="en-US" w:eastAsia="zh-CN" w:bidi="ar"/>
        </w:rPr>
        <w:t>A</w:t>
      </w:r>
      <w:r>
        <w:rPr>
          <w:rFonts w:eastAsia="Calibri"/>
          <w:i/>
          <w:sz w:val="24"/>
          <w:szCs w:val="24"/>
          <w:shd w:val="clear" w:color="auto" w:fill="FFFFFF"/>
          <w:lang w:val="en-US" w:eastAsia="zh-CN" w:bidi="ar"/>
        </w:rPr>
        <w:t xml:space="preserve"> (BE3a) și </w:t>
      </w:r>
      <w:r>
        <w:rPr>
          <w:rFonts w:eastAsia="Calibri"/>
          <w:b/>
          <w:bCs/>
          <w:i/>
          <w:sz w:val="24"/>
          <w:szCs w:val="24"/>
          <w:shd w:val="clear" w:color="auto" w:fill="FFFFFF"/>
          <w:lang w:val="en-US" w:eastAsia="zh-CN" w:bidi="ar"/>
        </w:rPr>
        <w:t>B</w:t>
      </w:r>
      <w:r>
        <w:rPr>
          <w:rFonts w:eastAsia="Calibri"/>
          <w:i/>
          <w:sz w:val="24"/>
          <w:szCs w:val="24"/>
          <w:shd w:val="clear" w:color="auto" w:fill="FFFFFF"/>
          <w:lang w:val="en-US" w:eastAsia="zh-CN" w:bidi="ar"/>
        </w:rPr>
        <w:t xml:space="preserve"> (BE3b): posibilități de incendiu și explozie volumetrică (risc foarte mare de incendiu);</w:t>
      </w:r>
    </w:p>
    <w:p w14:paraId="16B985C4"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categoria </w:t>
      </w:r>
      <w:r>
        <w:rPr>
          <w:rFonts w:eastAsia="Calibri"/>
          <w:b/>
          <w:bCs/>
          <w:i/>
          <w:sz w:val="24"/>
          <w:szCs w:val="24"/>
          <w:shd w:val="clear" w:color="auto" w:fill="FFFFFF"/>
          <w:lang w:val="en-US" w:eastAsia="zh-CN" w:bidi="ar"/>
        </w:rPr>
        <w:t>C</w:t>
      </w:r>
      <w:r>
        <w:rPr>
          <w:rFonts w:eastAsia="Calibri"/>
          <w:i/>
          <w:sz w:val="24"/>
          <w:szCs w:val="24"/>
          <w:shd w:val="clear" w:color="auto" w:fill="FFFFFF"/>
          <w:lang w:val="en-US" w:eastAsia="zh-CN" w:bidi="ar"/>
        </w:rPr>
        <w:t xml:space="preserve"> (BE2): posibilități de incendiu/ardere (risc mare de incendiu);</w:t>
      </w:r>
    </w:p>
    <w:p w14:paraId="664D7A61"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categoria </w:t>
      </w:r>
      <w:r>
        <w:rPr>
          <w:rFonts w:eastAsia="Calibri"/>
          <w:b/>
          <w:bCs/>
          <w:i/>
          <w:sz w:val="24"/>
          <w:szCs w:val="24"/>
          <w:shd w:val="clear" w:color="auto" w:fill="FFFFFF"/>
          <w:lang w:val="en-US" w:eastAsia="zh-CN" w:bidi="ar"/>
        </w:rPr>
        <w:t>D</w:t>
      </w:r>
      <w:r>
        <w:rPr>
          <w:rFonts w:eastAsia="Calibri"/>
          <w:i/>
          <w:sz w:val="24"/>
          <w:szCs w:val="24"/>
          <w:shd w:val="clear" w:color="auto" w:fill="FFFFFF"/>
          <w:lang w:val="en-US" w:eastAsia="zh-CN" w:bidi="ar"/>
        </w:rPr>
        <w:t xml:space="preserve"> (BE1a): existența focului deschis sub orice formă, în absența substanțelor combustibile (risc m</w:t>
      </w:r>
      <w:r>
        <w:rPr>
          <w:rFonts w:eastAsia="Calibri"/>
          <w:i/>
          <w:sz w:val="24"/>
          <w:szCs w:val="24"/>
          <w:shd w:val="clear" w:color="auto" w:fill="FFFFFF"/>
          <w:lang w:eastAsia="zh-CN" w:bidi="ar"/>
        </w:rPr>
        <w:t>ijlociu</w:t>
      </w:r>
      <w:r>
        <w:rPr>
          <w:rFonts w:eastAsia="Calibri"/>
          <w:i/>
          <w:sz w:val="24"/>
          <w:szCs w:val="24"/>
          <w:shd w:val="clear" w:color="auto" w:fill="FFFFFF"/>
          <w:lang w:val="en-US" w:eastAsia="zh-CN" w:bidi="ar"/>
        </w:rPr>
        <w:t xml:space="preserve"> de incendiu);</w:t>
      </w:r>
    </w:p>
    <w:p w14:paraId="455CD4B2"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categoria </w:t>
      </w:r>
      <w:r>
        <w:rPr>
          <w:rFonts w:eastAsia="Calibri"/>
          <w:b/>
          <w:bCs/>
          <w:i/>
          <w:sz w:val="24"/>
          <w:szCs w:val="24"/>
          <w:shd w:val="clear" w:color="auto" w:fill="FFFFFF"/>
          <w:lang w:val="en-US" w:eastAsia="zh-CN" w:bidi="ar"/>
        </w:rPr>
        <w:t>E</w:t>
      </w:r>
      <w:r>
        <w:rPr>
          <w:rFonts w:eastAsia="Calibri"/>
          <w:i/>
          <w:sz w:val="24"/>
          <w:szCs w:val="24"/>
          <w:shd w:val="clear" w:color="auto" w:fill="FFFFFF"/>
          <w:lang w:val="en-US" w:eastAsia="zh-CN" w:bidi="ar"/>
        </w:rPr>
        <w:t xml:space="preserve"> (BE1b): existența unor materiale sau substanțe incombustibile în stare rece sau a substanțelor combustibile în stare de umiditate înaintată, peste 80% (risc mic de incendiu).</w:t>
      </w:r>
    </w:p>
    <w:p w14:paraId="15589B5D" w14:textId="77777777" w:rsidR="001C08A5" w:rsidRDefault="001C08A5">
      <w:pPr>
        <w:shd w:val="clear" w:color="auto" w:fill="FFFFFF"/>
        <w:spacing w:after="150"/>
        <w:jc w:val="both"/>
        <w:rPr>
          <w:rFonts w:eastAsia="Calibri"/>
          <w:b/>
          <w:i/>
          <w:sz w:val="24"/>
          <w:szCs w:val="24"/>
          <w:shd w:val="clear" w:color="auto" w:fill="FFFFFF"/>
        </w:rPr>
      </w:pPr>
    </w:p>
    <w:p w14:paraId="034D0B71" w14:textId="77777777" w:rsidR="001C08A5" w:rsidRDefault="00000000">
      <w:pPr>
        <w:shd w:val="clear" w:color="auto" w:fill="FFFFFF"/>
        <w:spacing w:after="150"/>
        <w:jc w:val="both"/>
        <w:rPr>
          <w:bCs/>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2.1.5.</w:t>
      </w:r>
      <w:r>
        <w:rPr>
          <w:rFonts w:eastAsia="Calibri"/>
          <w:i/>
          <w:sz w:val="24"/>
          <w:szCs w:val="24"/>
          <w:shd w:val="clear" w:color="auto" w:fill="FFFFFF"/>
        </w:rPr>
        <w:t xml:space="preserve"> Zonele din încăperi, încăperile, compartimentele și construcțiile existente de producție și/sau depozitare vor avea definit riscul de incendiu (fiecare în parte) prin una din cele cinci categorii </w:t>
      </w:r>
      <w:r>
        <w:rPr>
          <w:rFonts w:eastAsia="Calibri"/>
          <w:i/>
          <w:sz w:val="24"/>
          <w:szCs w:val="24"/>
          <w:shd w:val="clear" w:color="auto" w:fill="FFFFFF"/>
        </w:rPr>
        <w:lastRenderedPageBreak/>
        <w:t xml:space="preserve">de pericol de incendiu, conform </w:t>
      </w:r>
      <w:r>
        <w:rPr>
          <w:i/>
          <w:sz w:val="24"/>
          <w:szCs w:val="24"/>
        </w:rPr>
        <w:t xml:space="preserve">prevederilor din </w:t>
      </w:r>
      <w:r>
        <w:rPr>
          <w:b/>
          <w:bCs/>
          <w:i/>
          <w:iCs/>
          <w:sz w:val="24"/>
          <w:szCs w:val="24"/>
        </w:rPr>
        <w:fldChar w:fldCharType="begin"/>
      </w:r>
      <w:r>
        <w:rPr>
          <w:b/>
          <w:bCs/>
          <w:i/>
          <w:iCs/>
          <w:sz w:val="24"/>
          <w:szCs w:val="24"/>
        </w:rPr>
        <w:instrText xml:space="preserve"> REF _Ref3144 \h </w:instrText>
      </w:r>
      <w:r>
        <w:rPr>
          <w:b/>
          <w:bCs/>
          <w:i/>
          <w:iCs/>
          <w:sz w:val="24"/>
          <w:szCs w:val="24"/>
        </w:rPr>
      </w:r>
      <w:r>
        <w:rPr>
          <w:b/>
          <w:bCs/>
          <w:i/>
          <w:iCs/>
          <w:sz w:val="24"/>
          <w:szCs w:val="24"/>
        </w:rPr>
        <w:fldChar w:fldCharType="separate"/>
      </w:r>
      <w:r>
        <w:t>Tabelul 143</w:t>
      </w:r>
      <w:r>
        <w:rPr>
          <w:b/>
          <w:bCs/>
          <w:i/>
          <w:iCs/>
          <w:sz w:val="24"/>
          <w:szCs w:val="24"/>
        </w:rPr>
        <w:fldChar w:fldCharType="end"/>
      </w:r>
      <w:r>
        <w:rPr>
          <w:i/>
          <w:sz w:val="24"/>
          <w:szCs w:val="24"/>
        </w:rPr>
        <w:t>,</w:t>
      </w:r>
      <w:r>
        <w:rPr>
          <w:rFonts w:eastAsia="Calibri"/>
          <w:i/>
          <w:sz w:val="24"/>
          <w:szCs w:val="24"/>
          <w:shd w:val="clear" w:color="auto" w:fill="FFFFFF"/>
        </w:rPr>
        <w:t xml:space="preserve"> în funcție de pericolul de incendiu determinat de proprietățile fizico-chimice ale materialelor și substanțelor utilizate, prelucrate, manipulate sau depozitate -inclusiv utilajele, rafturile, paletele, ambalajele, etc. Pentru construcții și compartimente de incendiu existente, se va avea în vedere echivalarea fostelor categorii de pericol de incendiu, conform prevederilor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_Ref3144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143</w:t>
      </w:r>
      <w:r>
        <w:rPr>
          <w:rFonts w:eastAsia="Calibri"/>
          <w:b/>
          <w:bCs/>
          <w:i/>
          <w:iCs/>
          <w:sz w:val="24"/>
          <w:szCs w:val="24"/>
          <w:shd w:val="clear" w:color="auto" w:fill="FFFFFF"/>
        </w:rPr>
        <w:fldChar w:fldCharType="end"/>
      </w:r>
      <w:r>
        <w:rPr>
          <w:rFonts w:eastAsia="Calibri"/>
          <w:i/>
          <w:sz w:val="24"/>
          <w:szCs w:val="24"/>
          <w:shd w:val="clear" w:color="auto" w:fill="FFFFFF"/>
        </w:rPr>
        <w:t xml:space="preserve"> (în funcție de pericolul de incendiu determinat de proprietățile fizico-chimice ale materialelor și substanțelor utilizate, prelucrate, manipulate sau depozitate -inclusiv utilajele, rafturile, paletele, ambalajele, etc.) cu </w:t>
      </w:r>
      <w:r>
        <w:rPr>
          <w:bCs/>
          <w:i/>
          <w:sz w:val="24"/>
          <w:szCs w:val="24"/>
        </w:rPr>
        <w:t>caracteristicile substanţelor şi materialelor ce determină încadrarea în riscuri de incendiu a spaţiilor, încăperilor, compartimentelor de incendiu şi construcţiilor de producţie şi/sau depozitare.</w:t>
      </w:r>
    </w:p>
    <w:p w14:paraId="3DBC9A8F" w14:textId="77777777" w:rsidR="001C08A5" w:rsidRDefault="00000000">
      <w:pPr>
        <w:pStyle w:val="Caption"/>
        <w:jc w:val="both"/>
      </w:pPr>
      <w:bookmarkStart w:id="10359" w:name="_Ref3144"/>
      <w:bookmarkStart w:id="10360" w:name="_Toc162360193"/>
      <w:r>
        <w:t xml:space="preserve">Tabelul </w:t>
      </w:r>
      <w:r>
        <w:fldChar w:fldCharType="begin"/>
      </w:r>
      <w:r>
        <w:instrText xml:space="preserve"> SEQ Tabelul \* ARABIC </w:instrText>
      </w:r>
      <w:r>
        <w:fldChar w:fldCharType="separate"/>
      </w:r>
      <w:r>
        <w:t>143</w:t>
      </w:r>
      <w:r>
        <w:fldChar w:fldCharType="end"/>
      </w:r>
      <w:bookmarkStart w:id="10361" w:name="_Toc29665"/>
      <w:bookmarkStart w:id="10362" w:name="_Toc28724"/>
      <w:bookmarkStart w:id="10363" w:name="_Toc25188"/>
      <w:bookmarkStart w:id="10364" w:name="_Toc15619"/>
      <w:bookmarkStart w:id="10365" w:name="_Toc13457"/>
      <w:bookmarkStart w:id="10366" w:name="_Toc23659"/>
      <w:bookmarkStart w:id="10367" w:name="_Toc20520"/>
      <w:bookmarkStart w:id="10368" w:name="_Toc23580"/>
      <w:bookmarkStart w:id="10369" w:name="_Toc9810"/>
      <w:bookmarkStart w:id="10370" w:name="_Toc12373"/>
      <w:bookmarkStart w:id="10371" w:name="_Toc11372"/>
      <w:bookmarkStart w:id="10372" w:name="_Toc4323"/>
      <w:bookmarkEnd w:id="10359"/>
      <w:r>
        <w:t>: Caracteristici ale substanţelor şi materialelor ce determină încadrarea în riscuri de incendiu a spaţiilor, încăperilor, compartimentelor de incendiu şi construcţiilor de producţie şi/sau depozitare existente</w:t>
      </w:r>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p>
    <w:tbl>
      <w:tblPr>
        <w:tblW w:w="9645" w:type="dxa"/>
        <w:tblInd w:w="108" w:type="dxa"/>
        <w:tblLayout w:type="fixed"/>
        <w:tblLook w:val="04A0" w:firstRow="1" w:lastRow="0" w:firstColumn="1" w:lastColumn="0" w:noHBand="0" w:noVBand="1"/>
      </w:tblPr>
      <w:tblGrid>
        <w:gridCol w:w="1313"/>
        <w:gridCol w:w="3996"/>
        <w:gridCol w:w="4336"/>
      </w:tblGrid>
      <w:tr w:rsidR="001C08A5" w14:paraId="43BC82EF" w14:textId="77777777">
        <w:trPr>
          <w:tblHeader/>
        </w:trPr>
        <w:tc>
          <w:tcPr>
            <w:tcW w:w="1313" w:type="dxa"/>
            <w:tcBorders>
              <w:top w:val="single" w:sz="8" w:space="0" w:color="000000"/>
              <w:left w:val="single" w:sz="8" w:space="0" w:color="000000"/>
              <w:bottom w:val="single" w:sz="8" w:space="0" w:color="000000"/>
            </w:tcBorders>
            <w:shd w:val="clear" w:color="auto" w:fill="BEBEBE"/>
            <w:vAlign w:val="center"/>
          </w:tcPr>
          <w:p w14:paraId="078235C0" w14:textId="77777777" w:rsidR="001C08A5" w:rsidRDefault="00000000">
            <w:pPr>
              <w:jc w:val="center"/>
              <w:rPr>
                <w:b/>
                <w:i/>
                <w:sz w:val="22"/>
                <w:szCs w:val="22"/>
              </w:rPr>
            </w:pPr>
            <w:r>
              <w:rPr>
                <w:b/>
                <w:i/>
                <w:sz w:val="22"/>
                <w:szCs w:val="22"/>
              </w:rPr>
              <w:t>Risc de</w:t>
            </w:r>
          </w:p>
          <w:p w14:paraId="2954AA0B" w14:textId="77777777" w:rsidR="001C08A5" w:rsidRDefault="00000000">
            <w:pPr>
              <w:jc w:val="center"/>
              <w:rPr>
                <w:b/>
                <w:i/>
                <w:sz w:val="22"/>
                <w:szCs w:val="22"/>
              </w:rPr>
            </w:pPr>
            <w:r>
              <w:rPr>
                <w:b/>
                <w:i/>
                <w:sz w:val="22"/>
                <w:szCs w:val="22"/>
              </w:rPr>
              <w:t>Incendiu</w:t>
            </w:r>
          </w:p>
        </w:tc>
        <w:tc>
          <w:tcPr>
            <w:tcW w:w="3996" w:type="dxa"/>
            <w:tcBorders>
              <w:top w:val="single" w:sz="8" w:space="0" w:color="000000"/>
              <w:left w:val="single" w:sz="4" w:space="0" w:color="000000"/>
              <w:bottom w:val="single" w:sz="8" w:space="0" w:color="000000"/>
            </w:tcBorders>
            <w:shd w:val="clear" w:color="auto" w:fill="BEBEBE"/>
            <w:vAlign w:val="center"/>
          </w:tcPr>
          <w:p w14:paraId="300C30AE" w14:textId="77777777" w:rsidR="001C08A5" w:rsidRDefault="00000000">
            <w:pPr>
              <w:jc w:val="center"/>
              <w:rPr>
                <w:i/>
                <w:sz w:val="22"/>
                <w:szCs w:val="22"/>
              </w:rPr>
            </w:pPr>
            <w:r>
              <w:rPr>
                <w:b/>
                <w:i/>
                <w:sz w:val="22"/>
                <w:szCs w:val="22"/>
              </w:rPr>
              <w:t>Caracteristicile substanţelor şi materialelor</w:t>
            </w:r>
          </w:p>
        </w:tc>
        <w:tc>
          <w:tcPr>
            <w:tcW w:w="4336" w:type="dxa"/>
            <w:tcBorders>
              <w:top w:val="single" w:sz="8" w:space="0" w:color="000000"/>
              <w:left w:val="single" w:sz="4" w:space="0" w:color="000000"/>
              <w:bottom w:val="single" w:sz="8" w:space="0" w:color="000000"/>
              <w:right w:val="single" w:sz="8" w:space="0" w:color="000000"/>
            </w:tcBorders>
            <w:shd w:val="clear" w:color="auto" w:fill="BEBEBE"/>
            <w:vAlign w:val="center"/>
          </w:tcPr>
          <w:p w14:paraId="5EB43E07" w14:textId="77777777" w:rsidR="001C08A5" w:rsidRDefault="00000000">
            <w:pPr>
              <w:jc w:val="center"/>
              <w:rPr>
                <w:b/>
                <w:bCs/>
                <w:i/>
                <w:sz w:val="22"/>
                <w:szCs w:val="22"/>
              </w:rPr>
            </w:pPr>
            <w:hyperlink r:id="rId534" w:history="1">
              <w:r>
                <w:rPr>
                  <w:b/>
                  <w:i/>
                  <w:sz w:val="22"/>
                  <w:szCs w:val="22"/>
                </w:rPr>
                <w:t>Precizări</w:t>
              </w:r>
            </w:hyperlink>
          </w:p>
        </w:tc>
      </w:tr>
      <w:tr w:rsidR="001C08A5" w14:paraId="690B7101" w14:textId="77777777">
        <w:trPr>
          <w:trHeight w:val="90"/>
        </w:trPr>
        <w:tc>
          <w:tcPr>
            <w:tcW w:w="1313" w:type="dxa"/>
            <w:tcBorders>
              <w:top w:val="single" w:sz="8" w:space="0" w:color="000000"/>
              <w:left w:val="single" w:sz="4" w:space="0" w:color="000000"/>
              <w:bottom w:val="single" w:sz="4" w:space="0" w:color="000000"/>
            </w:tcBorders>
            <w:vAlign w:val="center"/>
          </w:tcPr>
          <w:p w14:paraId="31F7F659" w14:textId="77777777" w:rsidR="001C08A5" w:rsidRDefault="00000000">
            <w:pPr>
              <w:jc w:val="center"/>
              <w:rPr>
                <w:b/>
                <w:i/>
                <w:sz w:val="22"/>
                <w:szCs w:val="22"/>
              </w:rPr>
            </w:pPr>
            <w:r>
              <w:rPr>
                <w:b/>
                <w:i/>
                <w:sz w:val="22"/>
                <w:szCs w:val="22"/>
              </w:rPr>
              <w:t>RISC Foarte mare</w:t>
            </w:r>
          </w:p>
          <w:p w14:paraId="10B280E9" w14:textId="77777777" w:rsidR="001C08A5" w:rsidRDefault="001C08A5">
            <w:pPr>
              <w:jc w:val="center"/>
              <w:rPr>
                <w:b/>
                <w:i/>
                <w:sz w:val="22"/>
                <w:szCs w:val="22"/>
              </w:rPr>
            </w:pPr>
          </w:p>
          <w:p w14:paraId="2B08368C" w14:textId="77777777" w:rsidR="001C08A5" w:rsidRDefault="00000000">
            <w:pPr>
              <w:jc w:val="center"/>
              <w:rPr>
                <w:b/>
                <w:i/>
                <w:sz w:val="22"/>
                <w:szCs w:val="22"/>
              </w:rPr>
            </w:pPr>
            <w:r>
              <w:rPr>
                <w:b/>
                <w:i/>
                <w:sz w:val="22"/>
                <w:szCs w:val="22"/>
                <w:lang w:val="en-US" w:eastAsia="zh-CN" w:bidi="ar"/>
              </w:rPr>
              <w:t>Categoria de pericol de incendiu</w:t>
            </w:r>
            <w:r>
              <w:rPr>
                <w:b/>
                <w:i/>
                <w:sz w:val="22"/>
                <w:szCs w:val="22"/>
                <w:lang w:eastAsia="zh-CN" w:bidi="ar"/>
              </w:rPr>
              <w:t xml:space="preserve"> </w:t>
            </w:r>
            <w:r>
              <w:rPr>
                <w:b/>
                <w:i/>
                <w:sz w:val="22"/>
                <w:szCs w:val="22"/>
                <w:lang w:val="en-US" w:eastAsia="zh-CN" w:bidi="ar"/>
              </w:rPr>
              <w:t>A (BE3a)</w:t>
            </w:r>
          </w:p>
        </w:tc>
        <w:tc>
          <w:tcPr>
            <w:tcW w:w="3996" w:type="dxa"/>
            <w:tcBorders>
              <w:top w:val="single" w:sz="8" w:space="0" w:color="000000"/>
              <w:left w:val="single" w:sz="4" w:space="0" w:color="000000"/>
              <w:bottom w:val="single" w:sz="4" w:space="0" w:color="000000"/>
            </w:tcBorders>
          </w:tcPr>
          <w:p w14:paraId="752172C5" w14:textId="77777777" w:rsidR="001C08A5" w:rsidRDefault="00000000">
            <w:pPr>
              <w:jc w:val="both"/>
              <w:rPr>
                <w:i/>
                <w:sz w:val="22"/>
                <w:szCs w:val="22"/>
              </w:rPr>
            </w:pPr>
            <w:r>
              <w:rPr>
                <w:i/>
                <w:sz w:val="22"/>
                <w:szCs w:val="22"/>
              </w:rPr>
              <w:t>Substanţe şi materiale a căror aprindere sau explozie poate să aibă loc în urma contactului cu oxigenul din aer, cu apa sau cu alte substanţe ori materiale.</w:t>
            </w:r>
          </w:p>
          <w:p w14:paraId="1F3CEE92" w14:textId="77777777" w:rsidR="001C08A5" w:rsidRDefault="00000000">
            <w:pPr>
              <w:jc w:val="both"/>
              <w:rPr>
                <w:bCs/>
                <w:i/>
                <w:sz w:val="24"/>
                <w:szCs w:val="24"/>
              </w:rPr>
            </w:pPr>
            <w:r>
              <w:rPr>
                <w:bCs/>
                <w:i/>
                <w:sz w:val="24"/>
                <w:szCs w:val="24"/>
              </w:rPr>
              <w:t xml:space="preserve">Lichide cu temperatura de inflamabilitate a vaporilor până la </w:t>
            </w:r>
            <w:r>
              <w:rPr>
                <w:b/>
                <w:i/>
                <w:sz w:val="24"/>
                <w:szCs w:val="24"/>
              </w:rPr>
              <w:t>28</w:t>
            </w:r>
            <w:r>
              <w:rPr>
                <w:b/>
                <w:i/>
                <w:sz w:val="24"/>
                <w:szCs w:val="24"/>
                <w:vertAlign w:val="superscript"/>
              </w:rPr>
              <w:t>o</w:t>
            </w:r>
            <w:r>
              <w:rPr>
                <w:b/>
                <w:i/>
                <w:sz w:val="24"/>
                <w:szCs w:val="24"/>
              </w:rPr>
              <w:t>C</w:t>
            </w:r>
            <w:r>
              <w:rPr>
                <w:bCs/>
                <w:i/>
                <w:sz w:val="24"/>
                <w:szCs w:val="24"/>
              </w:rPr>
              <w:t xml:space="preserve">, gaze sau vapori cu limita inferioară de explozie până la </w:t>
            </w:r>
            <w:r>
              <w:rPr>
                <w:b/>
                <w:i/>
                <w:sz w:val="24"/>
                <w:szCs w:val="24"/>
              </w:rPr>
              <w:t>10%</w:t>
            </w:r>
            <w:r>
              <w:rPr>
                <w:bCs/>
                <w:i/>
                <w:sz w:val="24"/>
                <w:szCs w:val="24"/>
              </w:rPr>
              <w:t>, atunci când acestea pot forma cu aerul amestecuri explozive.</w:t>
            </w:r>
          </w:p>
          <w:p w14:paraId="7F992C61" w14:textId="77777777" w:rsidR="001C08A5" w:rsidRDefault="001C08A5">
            <w:pPr>
              <w:keepNext/>
              <w:tabs>
                <w:tab w:val="left" w:pos="432"/>
              </w:tabs>
              <w:ind w:left="432" w:hanging="432"/>
              <w:jc w:val="both"/>
              <w:outlineLvl w:val="0"/>
              <w:rPr>
                <w:b/>
                <w:i/>
                <w:sz w:val="22"/>
                <w:szCs w:val="22"/>
              </w:rPr>
            </w:pPr>
          </w:p>
        </w:tc>
        <w:tc>
          <w:tcPr>
            <w:tcW w:w="4336" w:type="dxa"/>
            <w:vMerge w:val="restart"/>
            <w:tcBorders>
              <w:top w:val="single" w:sz="8" w:space="0" w:color="000000"/>
              <w:left w:val="single" w:sz="4" w:space="0" w:color="000000"/>
              <w:right w:val="single" w:sz="4" w:space="0" w:color="000000"/>
            </w:tcBorders>
          </w:tcPr>
          <w:p w14:paraId="3248812C" w14:textId="77777777" w:rsidR="001C08A5" w:rsidRDefault="00000000">
            <w:pPr>
              <w:jc w:val="center"/>
              <w:rPr>
                <w:i/>
                <w:sz w:val="22"/>
                <w:szCs w:val="22"/>
              </w:rPr>
            </w:pPr>
            <w:r>
              <w:rPr>
                <w:i/>
                <w:sz w:val="22"/>
                <w:szCs w:val="22"/>
              </w:rPr>
              <w:t>Nu determină încadrarea în risc de incendiu foarte mare:</w:t>
            </w:r>
          </w:p>
          <w:p w14:paraId="2290393F" w14:textId="77777777" w:rsidR="001C08A5" w:rsidRDefault="00000000">
            <w:pPr>
              <w:jc w:val="center"/>
              <w:rPr>
                <w:i/>
                <w:sz w:val="22"/>
                <w:szCs w:val="22"/>
              </w:rPr>
            </w:pPr>
            <w:r>
              <w:rPr>
                <w:i/>
                <w:sz w:val="22"/>
                <w:szCs w:val="22"/>
              </w:rPr>
              <w:t>1 - folosirea substanţelor solide, lichide sau gazoase drept combustibil pentru ardere;</w:t>
            </w:r>
          </w:p>
          <w:p w14:paraId="11F0EB93" w14:textId="77777777" w:rsidR="001C08A5" w:rsidRDefault="00000000">
            <w:pPr>
              <w:jc w:val="center"/>
              <w:rPr>
                <w:i/>
                <w:sz w:val="22"/>
                <w:szCs w:val="22"/>
              </w:rPr>
            </w:pPr>
            <w:r>
              <w:rPr>
                <w:i/>
                <w:sz w:val="22"/>
                <w:szCs w:val="22"/>
              </w:rPr>
              <w:t xml:space="preserve">  2 - </w:t>
            </w:r>
            <w:hyperlink r:id="rId535" w:history="1">
              <w:r>
                <w:rPr>
                  <w:i/>
                  <w:sz w:val="22"/>
                  <w:szCs w:val="22"/>
                </w:rPr>
                <w:t>scăpările</w:t>
              </w:r>
            </w:hyperlink>
            <w:r>
              <w:rPr>
                <w:i/>
                <w:sz w:val="22"/>
                <w:szCs w:val="22"/>
              </w:rPr>
              <w:t xml:space="preserve"> şi degajările de gaze, vapori sau praf care sunt în cantităţi ce nu pot forma cu aerul amestecuri explozive.</w:t>
            </w:r>
          </w:p>
          <w:p w14:paraId="628A1707" w14:textId="77777777" w:rsidR="001C08A5" w:rsidRDefault="00000000">
            <w:pPr>
              <w:pStyle w:val="BodyText"/>
              <w:jc w:val="center"/>
              <w:rPr>
                <w:b w:val="0"/>
                <w:bCs w:val="0"/>
              </w:rPr>
            </w:pPr>
            <w:r>
              <w:rPr>
                <w:b w:val="0"/>
                <w:bCs w:val="0"/>
              </w:rPr>
              <w:t>În asemenea situaţii, încadrarea se face în risc mare, mijlociu sau mic, în funcţie de densitatea sarcinii termice şi riscul de incendiu în ansamblu.</w:t>
            </w:r>
          </w:p>
          <w:p w14:paraId="66A26353" w14:textId="77777777" w:rsidR="001C08A5" w:rsidRDefault="00000000">
            <w:pPr>
              <w:jc w:val="both"/>
              <w:rPr>
                <w:i/>
                <w:sz w:val="22"/>
                <w:szCs w:val="22"/>
              </w:rPr>
            </w:pPr>
            <w:r>
              <w:rPr>
                <w:i/>
                <w:sz w:val="22"/>
                <w:szCs w:val="22"/>
              </w:rPr>
              <w:t xml:space="preserve">Ori densitatea de sarcină termică rezultată din substanţe şi materiale combustibile </w:t>
            </w:r>
          </w:p>
          <w:p w14:paraId="7EC943AF" w14:textId="77777777" w:rsidR="001C08A5" w:rsidRDefault="00000000">
            <w:pPr>
              <w:jc w:val="center"/>
              <w:rPr>
                <w:i/>
                <w:sz w:val="22"/>
                <w:szCs w:val="22"/>
              </w:rPr>
            </w:pPr>
            <w:r>
              <w:rPr>
                <w:i/>
                <w:sz w:val="22"/>
                <w:szCs w:val="22"/>
              </w:rPr>
              <w:t>din spaţiul respectiv, inclusiv cele din</w:t>
            </w:r>
          </w:p>
          <w:p w14:paraId="0A369D4B" w14:textId="77777777" w:rsidR="001C08A5" w:rsidRDefault="00000000">
            <w:pPr>
              <w:jc w:val="center"/>
              <w:rPr>
                <w:i/>
                <w:sz w:val="22"/>
                <w:szCs w:val="22"/>
              </w:rPr>
            </w:pPr>
            <w:r>
              <w:rPr>
                <w:i/>
                <w:sz w:val="22"/>
                <w:szCs w:val="22"/>
              </w:rPr>
              <w:t>utilaje sau cele utilizate la transportul ori</w:t>
            </w:r>
          </w:p>
          <w:p w14:paraId="6C3CFE84" w14:textId="77777777" w:rsidR="001C08A5" w:rsidRDefault="00000000">
            <w:pPr>
              <w:jc w:val="center"/>
              <w:rPr>
                <w:i/>
                <w:sz w:val="22"/>
                <w:szCs w:val="22"/>
              </w:rPr>
            </w:pPr>
            <w:r>
              <w:rPr>
                <w:i/>
                <w:sz w:val="22"/>
                <w:szCs w:val="22"/>
              </w:rPr>
              <w:t>depozitarea materialelor combustibile, a</w:t>
            </w:r>
          </w:p>
          <w:p w14:paraId="7AFCF799" w14:textId="77777777" w:rsidR="001C08A5" w:rsidRDefault="00000000">
            <w:pPr>
              <w:jc w:val="center"/>
              <w:rPr>
                <w:i/>
                <w:sz w:val="22"/>
                <w:szCs w:val="22"/>
              </w:rPr>
            </w:pPr>
            <w:r>
              <w:rPr>
                <w:i/>
                <w:sz w:val="22"/>
                <w:szCs w:val="22"/>
              </w:rPr>
              <w:t>unor ambalaje, palete sau rafturi</w:t>
            </w:r>
          </w:p>
          <w:p w14:paraId="55B3AD47" w14:textId="77777777" w:rsidR="001C08A5" w:rsidRDefault="00000000">
            <w:pPr>
              <w:jc w:val="center"/>
              <w:rPr>
                <w:bCs/>
                <w:i/>
                <w:sz w:val="22"/>
                <w:szCs w:val="22"/>
              </w:rPr>
            </w:pPr>
            <w:r>
              <w:rPr>
                <w:i/>
                <w:sz w:val="22"/>
                <w:szCs w:val="22"/>
              </w:rPr>
              <w:t xml:space="preserve">combustibile este mai mare de </w:t>
            </w:r>
            <w:r>
              <w:rPr>
                <w:b/>
                <w:i/>
                <w:sz w:val="22"/>
                <w:szCs w:val="22"/>
              </w:rPr>
              <w:t>105</w:t>
            </w:r>
            <w:r>
              <w:rPr>
                <w:b/>
                <w:bCs/>
                <w:i/>
                <w:sz w:val="22"/>
                <w:szCs w:val="22"/>
              </w:rPr>
              <w:t xml:space="preserve"> MJ/m</w:t>
            </w:r>
            <w:r>
              <w:rPr>
                <w:b/>
                <w:bCs/>
                <w:i/>
                <w:sz w:val="22"/>
                <w:szCs w:val="22"/>
                <w:vertAlign w:val="superscript"/>
              </w:rPr>
              <w:t>2</w:t>
            </w:r>
            <w:r>
              <w:rPr>
                <w:b/>
                <w:bCs/>
                <w:i/>
                <w:sz w:val="22"/>
                <w:szCs w:val="22"/>
              </w:rPr>
              <w:t>.</w:t>
            </w:r>
          </w:p>
        </w:tc>
      </w:tr>
      <w:tr w:rsidR="001C08A5" w14:paraId="7E50A4A2" w14:textId="77777777">
        <w:trPr>
          <w:trHeight w:val="90"/>
        </w:trPr>
        <w:tc>
          <w:tcPr>
            <w:tcW w:w="1313" w:type="dxa"/>
            <w:tcBorders>
              <w:top w:val="single" w:sz="8" w:space="0" w:color="000000"/>
              <w:left w:val="single" w:sz="4" w:space="0" w:color="000000"/>
              <w:bottom w:val="single" w:sz="4" w:space="0" w:color="000000"/>
            </w:tcBorders>
            <w:vAlign w:val="center"/>
          </w:tcPr>
          <w:p w14:paraId="76FB28FF" w14:textId="77777777" w:rsidR="001C08A5" w:rsidRDefault="00000000">
            <w:pPr>
              <w:jc w:val="center"/>
              <w:rPr>
                <w:b/>
                <w:i/>
                <w:sz w:val="22"/>
                <w:szCs w:val="22"/>
              </w:rPr>
            </w:pPr>
            <w:r>
              <w:rPr>
                <w:b/>
                <w:i/>
                <w:sz w:val="22"/>
                <w:szCs w:val="22"/>
              </w:rPr>
              <w:t>RISC Foarte mare</w:t>
            </w:r>
          </w:p>
          <w:p w14:paraId="1C60C596" w14:textId="77777777" w:rsidR="001C08A5" w:rsidRDefault="00000000">
            <w:pPr>
              <w:jc w:val="center"/>
              <w:rPr>
                <w:i/>
                <w:sz w:val="22"/>
                <w:szCs w:val="22"/>
              </w:rPr>
            </w:pPr>
            <w:bookmarkStart w:id="10373" w:name="_Toc7229"/>
            <w:r>
              <w:rPr>
                <w:b/>
                <w:i/>
                <w:sz w:val="22"/>
                <w:szCs w:val="22"/>
              </w:rPr>
              <w:t>Categoria de pericol de incendiu B (BE3b)</w:t>
            </w:r>
            <w:bookmarkEnd w:id="10373"/>
          </w:p>
        </w:tc>
        <w:tc>
          <w:tcPr>
            <w:tcW w:w="3996" w:type="dxa"/>
            <w:tcBorders>
              <w:top w:val="single" w:sz="8" w:space="0" w:color="000000"/>
              <w:left w:val="single" w:sz="4" w:space="0" w:color="000000"/>
              <w:bottom w:val="single" w:sz="4" w:space="0" w:color="000000"/>
            </w:tcBorders>
          </w:tcPr>
          <w:p w14:paraId="4788C436" w14:textId="77777777" w:rsidR="001C08A5" w:rsidRDefault="00000000">
            <w:pPr>
              <w:jc w:val="both"/>
              <w:rPr>
                <w:i/>
                <w:sz w:val="22"/>
                <w:szCs w:val="22"/>
              </w:rPr>
            </w:pPr>
            <w:r>
              <w:rPr>
                <w:i/>
                <w:sz w:val="22"/>
                <w:szCs w:val="22"/>
              </w:rPr>
              <w:t xml:space="preserve">Lichide cu temperatura de inflamabilitate a vaporilor cuprinsă între </w:t>
            </w:r>
            <w:r>
              <w:rPr>
                <w:b/>
                <w:bCs/>
                <w:i/>
                <w:sz w:val="22"/>
                <w:szCs w:val="22"/>
              </w:rPr>
              <w:t>28</w:t>
            </w:r>
            <w:r>
              <w:rPr>
                <w:b/>
                <w:bCs/>
                <w:i/>
                <w:sz w:val="22"/>
                <w:szCs w:val="22"/>
                <w:vertAlign w:val="superscript"/>
              </w:rPr>
              <w:t>o</w:t>
            </w:r>
            <w:r>
              <w:rPr>
                <w:b/>
                <w:bCs/>
                <w:i/>
                <w:sz w:val="22"/>
                <w:szCs w:val="22"/>
              </w:rPr>
              <w:t>C</w:t>
            </w:r>
            <w:r>
              <w:rPr>
                <w:i/>
                <w:sz w:val="22"/>
                <w:szCs w:val="22"/>
              </w:rPr>
              <w:t xml:space="preserve"> şi </w:t>
            </w:r>
            <w:r>
              <w:rPr>
                <w:b/>
                <w:bCs/>
                <w:i/>
                <w:sz w:val="22"/>
                <w:szCs w:val="22"/>
              </w:rPr>
              <w:t>100</w:t>
            </w:r>
            <w:r>
              <w:rPr>
                <w:b/>
                <w:bCs/>
                <w:i/>
                <w:sz w:val="22"/>
                <w:szCs w:val="22"/>
                <w:vertAlign w:val="superscript"/>
              </w:rPr>
              <w:t>o</w:t>
            </w:r>
            <w:r>
              <w:rPr>
                <w:b/>
                <w:bCs/>
                <w:i/>
                <w:sz w:val="22"/>
                <w:szCs w:val="22"/>
              </w:rPr>
              <w:t>C</w:t>
            </w:r>
            <w:r>
              <w:rPr>
                <w:i/>
                <w:sz w:val="22"/>
                <w:szCs w:val="22"/>
              </w:rPr>
              <w:t xml:space="preserve">, gaze sau vapori cu limita inferioară de explozie mai mare de </w:t>
            </w:r>
            <w:r>
              <w:rPr>
                <w:b/>
                <w:bCs/>
                <w:i/>
                <w:sz w:val="22"/>
                <w:szCs w:val="22"/>
              </w:rPr>
              <w:t>10%</w:t>
            </w:r>
            <w:r>
              <w:rPr>
                <w:i/>
                <w:sz w:val="22"/>
                <w:szCs w:val="22"/>
              </w:rPr>
              <w:t xml:space="preserve">, atunci când acestea pot forma cu aerul amestecuri explozive. </w:t>
            </w:r>
          </w:p>
          <w:p w14:paraId="64DC38B6" w14:textId="77777777" w:rsidR="001C08A5" w:rsidRDefault="00000000">
            <w:pPr>
              <w:pStyle w:val="BodyText"/>
              <w:rPr>
                <w:sz w:val="22"/>
                <w:szCs w:val="22"/>
              </w:rPr>
            </w:pPr>
            <w:r>
              <w:rPr>
                <w:b w:val="0"/>
                <w:bCs w:val="0"/>
              </w:rPr>
              <w:t>Fibre, praf sau pulberi, care se degajă în stare de suspensie, în cantităţi ce pot forma cu aerul amestecuri explozive.</w:t>
            </w:r>
          </w:p>
        </w:tc>
        <w:tc>
          <w:tcPr>
            <w:tcW w:w="4336" w:type="dxa"/>
            <w:vMerge/>
            <w:tcBorders>
              <w:left w:val="single" w:sz="4" w:space="0" w:color="000000"/>
              <w:bottom w:val="single" w:sz="4" w:space="0" w:color="000000"/>
              <w:right w:val="single" w:sz="4" w:space="0" w:color="000000"/>
            </w:tcBorders>
          </w:tcPr>
          <w:p w14:paraId="6F7889F0" w14:textId="77777777" w:rsidR="001C08A5" w:rsidRDefault="001C08A5">
            <w:pPr>
              <w:jc w:val="center"/>
              <w:rPr>
                <w:bCs/>
                <w:i/>
                <w:sz w:val="22"/>
                <w:szCs w:val="22"/>
              </w:rPr>
            </w:pPr>
          </w:p>
        </w:tc>
      </w:tr>
      <w:tr w:rsidR="001C08A5" w14:paraId="3B81E2D7" w14:textId="77777777">
        <w:trPr>
          <w:trHeight w:val="90"/>
        </w:trPr>
        <w:tc>
          <w:tcPr>
            <w:tcW w:w="1313" w:type="dxa"/>
            <w:tcBorders>
              <w:top w:val="single" w:sz="8" w:space="0" w:color="000000"/>
              <w:left w:val="single" w:sz="4" w:space="0" w:color="000000"/>
              <w:bottom w:val="single" w:sz="4" w:space="0" w:color="000000"/>
            </w:tcBorders>
            <w:vAlign w:val="center"/>
          </w:tcPr>
          <w:p w14:paraId="76C8E325" w14:textId="77777777" w:rsidR="001C08A5" w:rsidRDefault="00000000">
            <w:pPr>
              <w:jc w:val="center"/>
              <w:rPr>
                <w:b/>
                <w:i/>
                <w:sz w:val="22"/>
                <w:szCs w:val="22"/>
              </w:rPr>
            </w:pPr>
            <w:r>
              <w:rPr>
                <w:b/>
                <w:i/>
                <w:sz w:val="22"/>
                <w:szCs w:val="22"/>
              </w:rPr>
              <w:t>RISC</w:t>
            </w:r>
          </w:p>
          <w:p w14:paraId="13BEEBDE" w14:textId="77777777" w:rsidR="001C08A5" w:rsidRDefault="00000000">
            <w:pPr>
              <w:jc w:val="center"/>
              <w:rPr>
                <w:b/>
                <w:i/>
                <w:sz w:val="22"/>
                <w:szCs w:val="22"/>
              </w:rPr>
            </w:pPr>
            <w:r>
              <w:rPr>
                <w:b/>
                <w:i/>
                <w:sz w:val="22"/>
                <w:szCs w:val="22"/>
              </w:rPr>
              <w:t>Mare</w:t>
            </w:r>
          </w:p>
          <w:p w14:paraId="1E6B6D01" w14:textId="77777777" w:rsidR="001C08A5" w:rsidRDefault="00000000">
            <w:pPr>
              <w:jc w:val="center"/>
              <w:rPr>
                <w:i/>
                <w:sz w:val="22"/>
                <w:szCs w:val="22"/>
              </w:rPr>
            </w:pPr>
            <w:bookmarkStart w:id="10374" w:name="_Toc18741"/>
            <w:r>
              <w:rPr>
                <w:b/>
                <w:i/>
                <w:sz w:val="22"/>
                <w:szCs w:val="22"/>
              </w:rPr>
              <w:t>Categoria de pericol de incendiu C (BE2)</w:t>
            </w:r>
            <w:bookmarkEnd w:id="10374"/>
          </w:p>
        </w:tc>
        <w:tc>
          <w:tcPr>
            <w:tcW w:w="3996" w:type="dxa"/>
            <w:tcBorders>
              <w:top w:val="single" w:sz="8" w:space="0" w:color="000000"/>
              <w:left w:val="single" w:sz="4" w:space="0" w:color="000000"/>
              <w:bottom w:val="single" w:sz="4" w:space="0" w:color="000000"/>
            </w:tcBorders>
          </w:tcPr>
          <w:p w14:paraId="1A419289" w14:textId="77777777" w:rsidR="001C08A5" w:rsidRDefault="001C08A5">
            <w:pPr>
              <w:snapToGrid w:val="0"/>
              <w:jc w:val="both"/>
              <w:rPr>
                <w:i/>
                <w:sz w:val="22"/>
                <w:szCs w:val="22"/>
              </w:rPr>
            </w:pPr>
          </w:p>
          <w:p w14:paraId="609F5D12" w14:textId="77777777" w:rsidR="001C08A5" w:rsidRDefault="001C08A5">
            <w:pPr>
              <w:jc w:val="both"/>
              <w:rPr>
                <w:i/>
                <w:sz w:val="22"/>
                <w:szCs w:val="22"/>
              </w:rPr>
            </w:pPr>
          </w:p>
          <w:p w14:paraId="5CC26A6E" w14:textId="77777777" w:rsidR="001C08A5" w:rsidRDefault="001C08A5">
            <w:pPr>
              <w:jc w:val="both"/>
              <w:rPr>
                <w:i/>
                <w:sz w:val="22"/>
                <w:szCs w:val="22"/>
              </w:rPr>
            </w:pPr>
          </w:p>
          <w:p w14:paraId="2979F792" w14:textId="77777777" w:rsidR="001C08A5" w:rsidRDefault="001C08A5">
            <w:pPr>
              <w:jc w:val="both"/>
              <w:rPr>
                <w:i/>
                <w:sz w:val="22"/>
                <w:szCs w:val="22"/>
              </w:rPr>
            </w:pPr>
          </w:p>
          <w:p w14:paraId="471B6E4F" w14:textId="77777777" w:rsidR="001C08A5" w:rsidRDefault="001C08A5">
            <w:pPr>
              <w:jc w:val="both"/>
              <w:rPr>
                <w:i/>
                <w:sz w:val="22"/>
                <w:szCs w:val="22"/>
              </w:rPr>
            </w:pPr>
          </w:p>
          <w:p w14:paraId="0263B77A" w14:textId="77777777" w:rsidR="001C08A5" w:rsidRDefault="001C08A5">
            <w:pPr>
              <w:jc w:val="both"/>
              <w:rPr>
                <w:i/>
                <w:sz w:val="22"/>
                <w:szCs w:val="22"/>
              </w:rPr>
            </w:pPr>
          </w:p>
          <w:p w14:paraId="46827094" w14:textId="77777777" w:rsidR="001C08A5" w:rsidRDefault="001C08A5">
            <w:pPr>
              <w:jc w:val="both"/>
              <w:rPr>
                <w:i/>
                <w:sz w:val="22"/>
                <w:szCs w:val="22"/>
              </w:rPr>
            </w:pPr>
          </w:p>
          <w:p w14:paraId="1525AC85" w14:textId="77777777" w:rsidR="001C08A5" w:rsidRDefault="001C08A5">
            <w:pPr>
              <w:jc w:val="both"/>
              <w:rPr>
                <w:i/>
                <w:sz w:val="22"/>
                <w:szCs w:val="22"/>
              </w:rPr>
            </w:pPr>
          </w:p>
          <w:p w14:paraId="6158311F" w14:textId="77777777" w:rsidR="001C08A5" w:rsidRDefault="00000000">
            <w:pPr>
              <w:jc w:val="both"/>
              <w:rPr>
                <w:i/>
                <w:sz w:val="22"/>
                <w:szCs w:val="22"/>
              </w:rPr>
            </w:pPr>
            <w:r>
              <w:rPr>
                <w:i/>
                <w:sz w:val="22"/>
                <w:szCs w:val="22"/>
              </w:rPr>
              <w:t xml:space="preserve">    Substanţe şi materiale combustibile solide.</w:t>
            </w:r>
          </w:p>
          <w:p w14:paraId="0F61650E" w14:textId="77777777" w:rsidR="001C08A5" w:rsidRDefault="00000000">
            <w:pPr>
              <w:pStyle w:val="BodyText"/>
            </w:pPr>
            <w:r>
              <w:rPr>
                <w:b w:val="0"/>
                <w:sz w:val="22"/>
                <w:szCs w:val="22"/>
              </w:rPr>
              <w:t xml:space="preserve">   </w:t>
            </w:r>
            <w:r>
              <w:rPr>
                <w:b w:val="0"/>
                <w:bCs w:val="0"/>
              </w:rPr>
              <w:t>Lichide cu temperatura de inflamabilitate a vaporilor mai mare de 100</w:t>
            </w:r>
            <w:r>
              <w:rPr>
                <w:b w:val="0"/>
                <w:bCs w:val="0"/>
                <w:vertAlign w:val="superscript"/>
              </w:rPr>
              <w:t>o</w:t>
            </w:r>
            <w:r>
              <w:rPr>
                <w:b w:val="0"/>
                <w:bCs w:val="0"/>
              </w:rPr>
              <w:t>C.</w:t>
            </w:r>
          </w:p>
          <w:p w14:paraId="266E880E" w14:textId="77777777" w:rsidR="001C08A5" w:rsidRDefault="001C08A5">
            <w:pPr>
              <w:keepNext/>
              <w:tabs>
                <w:tab w:val="left" w:pos="432"/>
              </w:tabs>
              <w:ind w:left="432" w:hanging="432"/>
              <w:jc w:val="both"/>
              <w:outlineLvl w:val="0"/>
              <w:rPr>
                <w:b/>
                <w:i/>
                <w:sz w:val="22"/>
                <w:szCs w:val="22"/>
              </w:rPr>
            </w:pPr>
          </w:p>
        </w:tc>
        <w:tc>
          <w:tcPr>
            <w:tcW w:w="4336" w:type="dxa"/>
            <w:tcBorders>
              <w:top w:val="single" w:sz="8" w:space="0" w:color="000000"/>
              <w:left w:val="single" w:sz="4" w:space="0" w:color="000000"/>
              <w:bottom w:val="single" w:sz="4" w:space="0" w:color="000000"/>
              <w:right w:val="single" w:sz="4" w:space="0" w:color="000000"/>
            </w:tcBorders>
          </w:tcPr>
          <w:p w14:paraId="79663CE0" w14:textId="77777777" w:rsidR="001C08A5" w:rsidRDefault="00000000">
            <w:pPr>
              <w:jc w:val="center"/>
              <w:rPr>
                <w:i/>
                <w:sz w:val="22"/>
                <w:szCs w:val="22"/>
              </w:rPr>
            </w:pPr>
            <w:r>
              <w:rPr>
                <w:i/>
                <w:sz w:val="22"/>
                <w:szCs w:val="22"/>
              </w:rPr>
              <w:t>Nu determină încadrarea în risc mare de incendiu, oricare din următoarele situaţii:</w:t>
            </w:r>
          </w:p>
          <w:p w14:paraId="623A5BA1" w14:textId="77777777" w:rsidR="001C08A5" w:rsidRDefault="00000000">
            <w:pPr>
              <w:jc w:val="center"/>
              <w:rPr>
                <w:i/>
                <w:sz w:val="22"/>
                <w:szCs w:val="22"/>
              </w:rPr>
            </w:pPr>
            <w:r>
              <w:rPr>
                <w:i/>
                <w:sz w:val="22"/>
                <w:szCs w:val="22"/>
              </w:rPr>
              <w:t>1 - substanţele solide, lichide sau gazoase utilizate drept combustibil pentru ardere.</w:t>
            </w:r>
          </w:p>
          <w:p w14:paraId="73DA0BDF" w14:textId="77777777" w:rsidR="001C08A5" w:rsidRDefault="00000000">
            <w:pPr>
              <w:rPr>
                <w:i/>
                <w:sz w:val="22"/>
                <w:szCs w:val="22"/>
              </w:rPr>
            </w:pPr>
            <w:r>
              <w:rPr>
                <w:i/>
                <w:sz w:val="22"/>
                <w:szCs w:val="22"/>
              </w:rPr>
              <w:t xml:space="preserve">    2 - lichidele combustibile cu temperatura de inflamabilitate peste </w:t>
            </w:r>
            <w:r>
              <w:rPr>
                <w:b/>
                <w:bCs/>
                <w:i/>
                <w:sz w:val="22"/>
                <w:szCs w:val="22"/>
              </w:rPr>
              <w:t>100</w:t>
            </w:r>
            <w:r>
              <w:rPr>
                <w:b/>
                <w:bCs/>
                <w:i/>
                <w:sz w:val="22"/>
                <w:szCs w:val="22"/>
                <w:vertAlign w:val="superscript"/>
              </w:rPr>
              <w:t>o</w:t>
            </w:r>
            <w:r>
              <w:rPr>
                <w:b/>
                <w:bCs/>
                <w:i/>
                <w:sz w:val="22"/>
                <w:szCs w:val="22"/>
              </w:rPr>
              <w:t>C</w:t>
            </w:r>
            <w:r>
              <w:rPr>
                <w:i/>
                <w:sz w:val="22"/>
                <w:szCs w:val="22"/>
              </w:rPr>
              <w:t xml:space="preserve"> utilizate la comenzi hidraulice, răcire, ungere, filtre şi tratamente termice, în cantităţi de max. </w:t>
            </w:r>
            <w:r>
              <w:rPr>
                <w:b/>
                <w:bCs/>
                <w:i/>
                <w:sz w:val="22"/>
                <w:szCs w:val="22"/>
              </w:rPr>
              <w:t>2 m</w:t>
            </w:r>
            <w:r>
              <w:rPr>
                <w:b/>
                <w:bCs/>
                <w:i/>
                <w:sz w:val="22"/>
                <w:szCs w:val="22"/>
                <w:vertAlign w:val="superscript"/>
              </w:rPr>
              <w:t>3</w:t>
            </w:r>
            <w:r>
              <w:rPr>
                <w:i/>
                <w:sz w:val="22"/>
                <w:szCs w:val="22"/>
              </w:rPr>
              <w:t>, cu condiţia luării unor măsuri locale pentru limitarea propagării incendiului;</w:t>
            </w:r>
          </w:p>
          <w:p w14:paraId="0F0668CB" w14:textId="77777777" w:rsidR="001C08A5" w:rsidRDefault="00000000">
            <w:pPr>
              <w:jc w:val="center"/>
              <w:rPr>
                <w:i/>
                <w:sz w:val="22"/>
                <w:szCs w:val="22"/>
              </w:rPr>
            </w:pPr>
            <w:r>
              <w:rPr>
                <w:i/>
                <w:sz w:val="22"/>
                <w:szCs w:val="22"/>
              </w:rPr>
              <w:t xml:space="preserve">3 - echipamentul electric care conţine până la </w:t>
            </w:r>
            <w:r>
              <w:rPr>
                <w:b/>
                <w:bCs/>
                <w:i/>
                <w:sz w:val="22"/>
                <w:szCs w:val="22"/>
              </w:rPr>
              <w:t>60 kg</w:t>
            </w:r>
            <w:r>
              <w:rPr>
                <w:i/>
                <w:sz w:val="22"/>
                <w:szCs w:val="22"/>
              </w:rPr>
              <w:t xml:space="preserve"> ulei pe unitatea de echipament, precum şi fluxurile de cabluri cu mai puţin de </w:t>
            </w:r>
            <w:r>
              <w:rPr>
                <w:b/>
                <w:bCs/>
                <w:i/>
                <w:sz w:val="22"/>
                <w:szCs w:val="22"/>
              </w:rPr>
              <w:t>3,5 kg</w:t>
            </w:r>
            <w:r>
              <w:rPr>
                <w:i/>
                <w:sz w:val="22"/>
                <w:szCs w:val="22"/>
              </w:rPr>
              <w:t xml:space="preserve"> material combustibil/ml de flux.</w:t>
            </w:r>
          </w:p>
          <w:p w14:paraId="03EEF41D" w14:textId="77777777" w:rsidR="001C08A5" w:rsidRDefault="00000000">
            <w:pPr>
              <w:jc w:val="center"/>
              <w:rPr>
                <w:bCs/>
                <w:i/>
                <w:sz w:val="22"/>
                <w:szCs w:val="22"/>
              </w:rPr>
            </w:pPr>
            <w:r>
              <w:rPr>
                <w:bCs/>
                <w:i/>
                <w:sz w:val="22"/>
                <w:szCs w:val="22"/>
              </w:rPr>
              <w:t>În situaţiile de mai sus, încadrarea se face în funcţie de pericolul de incendiu în ansamblu şi densitatea de sarcină termică, în risc mijlociu sau mic de incendiu.</w:t>
            </w:r>
          </w:p>
          <w:p w14:paraId="0117B124" w14:textId="77777777" w:rsidR="001C08A5" w:rsidRDefault="001C08A5">
            <w:pPr>
              <w:jc w:val="center"/>
              <w:rPr>
                <w:i/>
                <w:sz w:val="22"/>
                <w:szCs w:val="22"/>
              </w:rPr>
            </w:pPr>
          </w:p>
          <w:p w14:paraId="04F352D3" w14:textId="77777777" w:rsidR="001C08A5" w:rsidRDefault="00000000">
            <w:pPr>
              <w:jc w:val="center"/>
              <w:rPr>
                <w:b/>
                <w:bCs/>
                <w:i/>
                <w:strike/>
                <w:sz w:val="22"/>
                <w:szCs w:val="22"/>
              </w:rPr>
            </w:pPr>
            <w:r>
              <w:rPr>
                <w:bCs/>
                <w:i/>
                <w:sz w:val="22"/>
                <w:szCs w:val="22"/>
              </w:rPr>
              <w:t xml:space="preserve">Dacă densitatea de sarcină termică rezultată din materialele şi substanţele combustibile din </w:t>
            </w:r>
            <w:r>
              <w:rPr>
                <w:bCs/>
                <w:i/>
                <w:sz w:val="22"/>
                <w:szCs w:val="22"/>
              </w:rPr>
              <w:lastRenderedPageBreak/>
              <w:t xml:space="preserve">spaţiul respectiv, inclusiv cele din utilaje care nu se încadrează la aliniatul 2 și 3 sau cele utilizate la transportul ori depozitarea materialelor combustibile, a ambalajelor, paletelor sau rafturilor combustibile, </w:t>
            </w:r>
          </w:p>
          <w:p w14:paraId="05BD2A98" w14:textId="77777777" w:rsidR="001C08A5" w:rsidRDefault="00000000">
            <w:pPr>
              <w:jc w:val="center"/>
              <w:rPr>
                <w:i/>
                <w:sz w:val="22"/>
                <w:szCs w:val="22"/>
              </w:rPr>
            </w:pPr>
            <w:r>
              <w:rPr>
                <w:i/>
                <w:sz w:val="22"/>
                <w:szCs w:val="22"/>
              </w:rPr>
              <w:t xml:space="preserve">dacă nu depăşesc în totalitate </w:t>
            </w:r>
            <w:r>
              <w:rPr>
                <w:b/>
                <w:bCs/>
                <w:i/>
                <w:sz w:val="22"/>
                <w:szCs w:val="22"/>
              </w:rPr>
              <w:t>105 MJ/m</w:t>
            </w:r>
            <w:r>
              <w:rPr>
                <w:b/>
                <w:bCs/>
                <w:i/>
                <w:sz w:val="22"/>
                <w:szCs w:val="22"/>
                <w:vertAlign w:val="superscript"/>
              </w:rPr>
              <w:t xml:space="preserve"> 2</w:t>
            </w:r>
          </w:p>
          <w:p w14:paraId="4517C232" w14:textId="77777777" w:rsidR="001C08A5" w:rsidRDefault="00000000">
            <w:pPr>
              <w:jc w:val="center"/>
              <w:rPr>
                <w:bCs/>
                <w:i/>
                <w:sz w:val="22"/>
                <w:szCs w:val="22"/>
              </w:rPr>
            </w:pPr>
            <w:r>
              <w:rPr>
                <w:bCs/>
                <w:i/>
                <w:sz w:val="22"/>
                <w:szCs w:val="22"/>
              </w:rPr>
              <w:t xml:space="preserve">În cazul în care densitatea de sarcină termică stabilită mai sus este mai mare de </w:t>
            </w:r>
            <w:r>
              <w:rPr>
                <w:b/>
                <w:bCs/>
                <w:i/>
                <w:sz w:val="22"/>
                <w:szCs w:val="22"/>
              </w:rPr>
              <w:t>105 MJ/m</w:t>
            </w:r>
            <w:r>
              <w:rPr>
                <w:b/>
                <w:bCs/>
                <w:i/>
                <w:sz w:val="22"/>
                <w:szCs w:val="22"/>
                <w:vertAlign w:val="superscript"/>
              </w:rPr>
              <w:t>2</w:t>
            </w:r>
            <w:r>
              <w:rPr>
                <w:bCs/>
                <w:i/>
                <w:sz w:val="22"/>
                <w:szCs w:val="22"/>
              </w:rPr>
              <w:t>, atunci riscul de incendiu este considerat foarte mare.</w:t>
            </w:r>
          </w:p>
        </w:tc>
      </w:tr>
      <w:tr w:rsidR="001C08A5" w14:paraId="0A1A11C3" w14:textId="77777777">
        <w:tc>
          <w:tcPr>
            <w:tcW w:w="1313" w:type="dxa"/>
            <w:tcBorders>
              <w:top w:val="single" w:sz="4" w:space="0" w:color="000000"/>
              <w:left w:val="single" w:sz="4" w:space="0" w:color="000000"/>
              <w:bottom w:val="single" w:sz="4" w:space="0" w:color="000000"/>
            </w:tcBorders>
            <w:vAlign w:val="center"/>
          </w:tcPr>
          <w:p w14:paraId="00E81EFC" w14:textId="77777777" w:rsidR="001C08A5" w:rsidRDefault="00000000">
            <w:pPr>
              <w:jc w:val="center"/>
              <w:rPr>
                <w:b/>
                <w:i/>
                <w:sz w:val="22"/>
                <w:szCs w:val="22"/>
              </w:rPr>
            </w:pPr>
            <w:r>
              <w:rPr>
                <w:b/>
                <w:i/>
                <w:sz w:val="22"/>
                <w:szCs w:val="22"/>
              </w:rPr>
              <w:lastRenderedPageBreak/>
              <w:t>RISC</w:t>
            </w:r>
          </w:p>
          <w:p w14:paraId="63F96AF5" w14:textId="77777777" w:rsidR="001C08A5" w:rsidRDefault="00000000">
            <w:pPr>
              <w:jc w:val="center"/>
              <w:rPr>
                <w:b/>
                <w:i/>
                <w:sz w:val="22"/>
                <w:szCs w:val="22"/>
              </w:rPr>
            </w:pPr>
            <w:r>
              <w:rPr>
                <w:b/>
                <w:i/>
                <w:sz w:val="22"/>
                <w:szCs w:val="22"/>
              </w:rPr>
              <w:t>Mijlociu</w:t>
            </w:r>
          </w:p>
          <w:p w14:paraId="728928CC" w14:textId="77777777" w:rsidR="001C08A5" w:rsidRDefault="001C08A5">
            <w:pPr>
              <w:jc w:val="center"/>
              <w:rPr>
                <w:b/>
                <w:i/>
                <w:sz w:val="22"/>
                <w:szCs w:val="22"/>
              </w:rPr>
            </w:pPr>
          </w:p>
          <w:p w14:paraId="12EEFFB7" w14:textId="77777777" w:rsidR="001C08A5" w:rsidRDefault="00000000">
            <w:pPr>
              <w:jc w:val="center"/>
              <w:rPr>
                <w:b/>
                <w:i/>
                <w:sz w:val="22"/>
                <w:szCs w:val="22"/>
              </w:rPr>
            </w:pPr>
            <w:r>
              <w:rPr>
                <w:b/>
                <w:i/>
                <w:sz w:val="22"/>
                <w:szCs w:val="22"/>
                <w:lang w:val="en-US" w:eastAsia="zh-CN" w:bidi="ar"/>
              </w:rPr>
              <w:t>Categoria de pericol de incendiu</w:t>
            </w:r>
            <w:r>
              <w:rPr>
                <w:b/>
                <w:i/>
                <w:sz w:val="22"/>
                <w:szCs w:val="22"/>
                <w:lang w:eastAsia="zh-CN" w:bidi="ar"/>
              </w:rPr>
              <w:t xml:space="preserve"> D (BE1a)</w:t>
            </w:r>
          </w:p>
        </w:tc>
        <w:tc>
          <w:tcPr>
            <w:tcW w:w="3996" w:type="dxa"/>
            <w:tcBorders>
              <w:top w:val="single" w:sz="4" w:space="0" w:color="000000"/>
              <w:left w:val="single" w:sz="4" w:space="0" w:color="000000"/>
              <w:bottom w:val="single" w:sz="4" w:space="0" w:color="000000"/>
            </w:tcBorders>
          </w:tcPr>
          <w:p w14:paraId="75D4CEA4" w14:textId="77777777" w:rsidR="001C08A5" w:rsidRDefault="00000000">
            <w:pPr>
              <w:jc w:val="both"/>
              <w:rPr>
                <w:i/>
                <w:sz w:val="22"/>
                <w:szCs w:val="22"/>
              </w:rPr>
            </w:pPr>
            <w:r>
              <w:rPr>
                <w:i/>
                <w:sz w:val="22"/>
                <w:szCs w:val="22"/>
              </w:rPr>
              <w:t xml:space="preserve">   Substanţe sau materiale incombustibile în stare fierbinte, topite sau incandescente, substanţe cu degajări de căldură radiantă, flăcări sau scântei.</w:t>
            </w:r>
          </w:p>
          <w:p w14:paraId="00086E81" w14:textId="77777777" w:rsidR="001C08A5" w:rsidRDefault="00000000">
            <w:pPr>
              <w:jc w:val="both"/>
              <w:rPr>
                <w:i/>
                <w:sz w:val="22"/>
                <w:szCs w:val="22"/>
              </w:rPr>
            </w:pPr>
            <w:r>
              <w:rPr>
                <w:i/>
                <w:sz w:val="22"/>
                <w:szCs w:val="22"/>
              </w:rPr>
              <w:t>Substanţe solide, lichide sau gazoase ce se ard în calitate de combustibil.</w:t>
            </w:r>
          </w:p>
        </w:tc>
        <w:tc>
          <w:tcPr>
            <w:tcW w:w="4336" w:type="dxa"/>
            <w:tcBorders>
              <w:top w:val="single" w:sz="4" w:space="0" w:color="000000"/>
              <w:left w:val="single" w:sz="4" w:space="0" w:color="000000"/>
              <w:bottom w:val="single" w:sz="4" w:space="0" w:color="000000"/>
              <w:right w:val="single" w:sz="4" w:space="0" w:color="000000"/>
            </w:tcBorders>
          </w:tcPr>
          <w:p w14:paraId="5E840754" w14:textId="77777777" w:rsidR="001C08A5" w:rsidRDefault="001C08A5">
            <w:pPr>
              <w:jc w:val="center"/>
              <w:rPr>
                <w:b/>
                <w:i/>
                <w:strike/>
                <w:sz w:val="22"/>
                <w:szCs w:val="22"/>
              </w:rPr>
            </w:pPr>
          </w:p>
        </w:tc>
      </w:tr>
      <w:tr w:rsidR="001C08A5" w14:paraId="51F84976" w14:textId="77777777">
        <w:tc>
          <w:tcPr>
            <w:tcW w:w="1313" w:type="dxa"/>
            <w:tcBorders>
              <w:top w:val="single" w:sz="4" w:space="0" w:color="000000"/>
              <w:left w:val="single" w:sz="4" w:space="0" w:color="000000"/>
              <w:bottom w:val="single" w:sz="4" w:space="0" w:color="000000"/>
            </w:tcBorders>
            <w:vAlign w:val="center"/>
          </w:tcPr>
          <w:p w14:paraId="25282AB3" w14:textId="77777777" w:rsidR="001C08A5" w:rsidRDefault="00000000">
            <w:pPr>
              <w:jc w:val="center"/>
              <w:rPr>
                <w:b/>
                <w:i/>
                <w:sz w:val="22"/>
                <w:szCs w:val="22"/>
              </w:rPr>
            </w:pPr>
            <w:r>
              <w:rPr>
                <w:b/>
                <w:i/>
                <w:sz w:val="22"/>
                <w:szCs w:val="22"/>
              </w:rPr>
              <w:t>RISC</w:t>
            </w:r>
          </w:p>
          <w:p w14:paraId="10FAEC19" w14:textId="77777777" w:rsidR="001C08A5" w:rsidRDefault="00000000">
            <w:pPr>
              <w:jc w:val="center"/>
              <w:rPr>
                <w:b/>
                <w:i/>
                <w:sz w:val="22"/>
                <w:szCs w:val="22"/>
              </w:rPr>
            </w:pPr>
            <w:r>
              <w:rPr>
                <w:b/>
                <w:i/>
                <w:sz w:val="22"/>
                <w:szCs w:val="22"/>
              </w:rPr>
              <w:t>Mic</w:t>
            </w:r>
          </w:p>
          <w:p w14:paraId="0540311C" w14:textId="77777777" w:rsidR="001C08A5" w:rsidRDefault="001C08A5">
            <w:pPr>
              <w:jc w:val="center"/>
              <w:rPr>
                <w:b/>
                <w:i/>
                <w:sz w:val="22"/>
                <w:szCs w:val="22"/>
              </w:rPr>
            </w:pPr>
          </w:p>
          <w:p w14:paraId="0AA8B13A" w14:textId="77777777" w:rsidR="001C08A5" w:rsidRDefault="00000000">
            <w:pPr>
              <w:jc w:val="center"/>
              <w:rPr>
                <w:b/>
                <w:i/>
                <w:sz w:val="22"/>
                <w:szCs w:val="22"/>
              </w:rPr>
            </w:pPr>
            <w:r>
              <w:rPr>
                <w:b/>
                <w:i/>
                <w:sz w:val="22"/>
                <w:szCs w:val="22"/>
                <w:lang w:val="en-US" w:eastAsia="zh-CN" w:bidi="ar"/>
              </w:rPr>
              <w:t>Categoria de pericol de incendiu</w:t>
            </w:r>
            <w:r>
              <w:rPr>
                <w:b/>
                <w:i/>
                <w:sz w:val="22"/>
                <w:szCs w:val="22"/>
                <w:lang w:eastAsia="zh-CN" w:bidi="ar"/>
              </w:rPr>
              <w:t xml:space="preserve"> E (BE1b)</w:t>
            </w:r>
          </w:p>
        </w:tc>
        <w:tc>
          <w:tcPr>
            <w:tcW w:w="3996" w:type="dxa"/>
            <w:tcBorders>
              <w:top w:val="single" w:sz="4" w:space="0" w:color="000000"/>
              <w:left w:val="single" w:sz="4" w:space="0" w:color="000000"/>
              <w:bottom w:val="single" w:sz="4" w:space="0" w:color="000000"/>
            </w:tcBorders>
          </w:tcPr>
          <w:p w14:paraId="04A3BE70" w14:textId="77777777" w:rsidR="001C08A5" w:rsidRDefault="00000000">
            <w:pPr>
              <w:jc w:val="both"/>
              <w:rPr>
                <w:i/>
                <w:sz w:val="22"/>
                <w:szCs w:val="22"/>
              </w:rPr>
            </w:pPr>
            <w:r>
              <w:rPr>
                <w:i/>
                <w:sz w:val="22"/>
                <w:szCs w:val="22"/>
              </w:rPr>
              <w:t xml:space="preserve">   Încăperi şi spaţii în care se utilizează, prelucrează ori depozitează materiale sau substanţe incombustibile şi nu este utilizat focul deschis.</w:t>
            </w:r>
          </w:p>
          <w:p w14:paraId="18CD834A" w14:textId="77777777" w:rsidR="001C08A5" w:rsidRDefault="00000000">
            <w:pPr>
              <w:jc w:val="both"/>
              <w:rPr>
                <w:i/>
                <w:sz w:val="22"/>
                <w:szCs w:val="22"/>
              </w:rPr>
            </w:pPr>
            <w:r>
              <w:rPr>
                <w:i/>
                <w:sz w:val="22"/>
                <w:szCs w:val="22"/>
              </w:rPr>
              <w:t xml:space="preserve">   Substanţe sau materiale incombustibile, în stare rece sau materiale combustibile în stare de umiditate înaintată (peste </w:t>
            </w:r>
            <w:r>
              <w:rPr>
                <w:b/>
                <w:bCs/>
                <w:i/>
                <w:sz w:val="22"/>
                <w:szCs w:val="22"/>
              </w:rPr>
              <w:t>80%</w:t>
            </w:r>
            <w:r>
              <w:rPr>
                <w:i/>
                <w:sz w:val="22"/>
                <w:szCs w:val="22"/>
              </w:rPr>
              <w:t>), ori ambalaje combustibile cu lichide incombustibile, astfel încât posibilitatea aprinderii lor este exclusă.</w:t>
            </w:r>
          </w:p>
        </w:tc>
        <w:tc>
          <w:tcPr>
            <w:tcW w:w="4336" w:type="dxa"/>
            <w:tcBorders>
              <w:top w:val="single" w:sz="4" w:space="0" w:color="000000"/>
              <w:left w:val="single" w:sz="4" w:space="0" w:color="000000"/>
              <w:bottom w:val="single" w:sz="4" w:space="0" w:color="000000"/>
              <w:right w:val="single" w:sz="4" w:space="0" w:color="000000"/>
            </w:tcBorders>
          </w:tcPr>
          <w:p w14:paraId="1F3274FE" w14:textId="77777777" w:rsidR="001C08A5" w:rsidRDefault="001C08A5">
            <w:pPr>
              <w:snapToGrid w:val="0"/>
              <w:jc w:val="center"/>
              <w:rPr>
                <w:i/>
                <w:strike/>
                <w:sz w:val="22"/>
                <w:szCs w:val="22"/>
                <w:shd w:val="clear" w:color="auto" w:fill="FFFF00"/>
              </w:rPr>
            </w:pPr>
          </w:p>
          <w:p w14:paraId="6DBEF635" w14:textId="77777777" w:rsidR="001C08A5" w:rsidRDefault="001C08A5">
            <w:pPr>
              <w:jc w:val="center"/>
              <w:rPr>
                <w:b/>
                <w:bCs/>
                <w:i/>
                <w:strike/>
                <w:sz w:val="22"/>
                <w:szCs w:val="22"/>
              </w:rPr>
            </w:pPr>
          </w:p>
        </w:tc>
      </w:tr>
    </w:tbl>
    <w:p w14:paraId="3D271799" w14:textId="77777777" w:rsidR="001C08A5" w:rsidRDefault="001C08A5">
      <w:pPr>
        <w:shd w:val="clear" w:color="auto" w:fill="FFFFFF"/>
        <w:spacing w:after="150"/>
        <w:jc w:val="both"/>
        <w:rPr>
          <w:rFonts w:eastAsia="Calibri"/>
          <w:i/>
          <w:sz w:val="24"/>
          <w:szCs w:val="24"/>
        </w:rPr>
      </w:pPr>
    </w:p>
    <w:p w14:paraId="1FC1195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2.1.6.</w:t>
      </w:r>
      <w:r>
        <w:rPr>
          <w:rFonts w:eastAsia="Calibri"/>
          <w:i/>
          <w:sz w:val="24"/>
          <w:szCs w:val="24"/>
          <w:shd w:val="clear" w:color="auto" w:fill="FFFFFF"/>
        </w:rPr>
        <w:t> Riscurile de incendiu (fostele categorii de pericol de incendiu) se stabilesc pe zone și încăperi precum și independent pentru fiecare compartiment existent de incendiu în parte și construcție existentă, menționând-se obligatoriu în documentația tehnico-economică. Cel mai periculos risc (cea mai periculoasă categorie de pericol) de incendiu necompartimentată existentă într-o încăpere (spațiu), compartiment de incendiu sau construcție existentă, de regulă, determină riscul (categoria de pericol) a acestora, cu următoarele excepții:</w:t>
      </w:r>
    </w:p>
    <w:p w14:paraId="4DF68A8E"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categoriile </w:t>
      </w:r>
      <w:r>
        <w:rPr>
          <w:rFonts w:eastAsia="Calibri"/>
          <w:b/>
          <w:bCs/>
          <w:i/>
          <w:sz w:val="24"/>
          <w:szCs w:val="24"/>
          <w:shd w:val="clear" w:color="auto" w:fill="FFFFFF"/>
          <w:lang w:val="en-US" w:eastAsia="zh-CN" w:bidi="ar"/>
        </w:rPr>
        <w:t>A</w:t>
      </w:r>
      <w:r>
        <w:rPr>
          <w:rFonts w:eastAsia="Calibri"/>
          <w:i/>
          <w:sz w:val="24"/>
          <w:szCs w:val="24"/>
          <w:shd w:val="clear" w:color="auto" w:fill="FFFFFF"/>
          <w:lang w:val="en-US" w:eastAsia="zh-CN" w:bidi="ar"/>
        </w:rPr>
        <w:t xml:space="preserve"> și </w:t>
      </w:r>
      <w:r>
        <w:rPr>
          <w:rFonts w:eastAsia="Calibri"/>
          <w:b/>
          <w:bCs/>
          <w:i/>
          <w:sz w:val="24"/>
          <w:szCs w:val="24"/>
          <w:shd w:val="clear" w:color="auto" w:fill="FFFFFF"/>
          <w:lang w:val="en-US" w:eastAsia="zh-CN" w:bidi="ar"/>
        </w:rPr>
        <w:t>B</w:t>
      </w:r>
      <w:r>
        <w:rPr>
          <w:rFonts w:eastAsia="Calibri"/>
          <w:i/>
          <w:sz w:val="24"/>
          <w:szCs w:val="24"/>
          <w:shd w:val="clear" w:color="auto" w:fill="FFFFFF"/>
          <w:lang w:val="en-US" w:eastAsia="zh-CN" w:bidi="ar"/>
        </w:rPr>
        <w:t xml:space="preserve"> de pericol de incendiu al căror volum aferent este mai mic de 5% din volumul încăperii sau a compartimentului respectiv;</w:t>
      </w:r>
    </w:p>
    <w:p w14:paraId="062E42E8"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categoriile </w:t>
      </w:r>
      <w:r>
        <w:rPr>
          <w:rFonts w:eastAsia="Calibri"/>
          <w:b/>
          <w:bCs/>
          <w:i/>
          <w:sz w:val="24"/>
          <w:szCs w:val="24"/>
          <w:shd w:val="clear" w:color="auto" w:fill="FFFFFF"/>
          <w:lang w:val="en-US" w:eastAsia="zh-CN" w:bidi="ar"/>
        </w:rPr>
        <w:t>C</w:t>
      </w:r>
      <w:r>
        <w:rPr>
          <w:rFonts w:eastAsia="Calibri"/>
          <w:i/>
          <w:sz w:val="24"/>
          <w:szCs w:val="24"/>
          <w:shd w:val="clear" w:color="auto" w:fill="FFFFFF"/>
          <w:lang w:val="en-US" w:eastAsia="zh-CN" w:bidi="ar"/>
        </w:rPr>
        <w:t xml:space="preserve"> și </w:t>
      </w:r>
      <w:r>
        <w:rPr>
          <w:rFonts w:eastAsia="Calibri"/>
          <w:b/>
          <w:bCs/>
          <w:i/>
          <w:sz w:val="24"/>
          <w:szCs w:val="24"/>
          <w:shd w:val="clear" w:color="auto" w:fill="FFFFFF"/>
          <w:lang w:val="en-US" w:eastAsia="zh-CN" w:bidi="ar"/>
        </w:rPr>
        <w:t>D</w:t>
      </w:r>
      <w:r>
        <w:rPr>
          <w:rFonts w:eastAsia="Calibri"/>
          <w:i/>
          <w:sz w:val="24"/>
          <w:szCs w:val="24"/>
          <w:shd w:val="clear" w:color="auto" w:fill="FFFFFF"/>
          <w:lang w:val="en-US" w:eastAsia="zh-CN" w:bidi="ar"/>
        </w:rPr>
        <w:t xml:space="preserve"> de pericol de incendiu cu un volum aferent mai mic de 10% din volumul încăperii sau al compartimentului respectiv, fără a depăși o arie de 400 m</w:t>
      </w:r>
      <w:r>
        <w:rPr>
          <w:rFonts w:eastAsia="Calibri"/>
          <w:i/>
          <w:sz w:val="24"/>
          <w:szCs w:val="24"/>
          <w:shd w:val="clear" w:color="auto" w:fill="FFFFFF"/>
          <w:vertAlign w:val="superscript"/>
          <w:lang w:val="en-US" w:eastAsia="zh-CN" w:bidi="ar"/>
        </w:rPr>
        <w:t>2</w:t>
      </w:r>
      <w:r>
        <w:rPr>
          <w:rFonts w:eastAsia="Calibri"/>
          <w:i/>
          <w:sz w:val="24"/>
          <w:szCs w:val="24"/>
          <w:shd w:val="clear" w:color="auto" w:fill="FFFFFF"/>
          <w:lang w:val="en-US" w:eastAsia="zh-CN" w:bidi="ar"/>
        </w:rPr>
        <w:t>.</w:t>
      </w:r>
    </w:p>
    <w:p w14:paraId="37C95F2D" w14:textId="77777777" w:rsidR="001C08A5" w:rsidRDefault="00000000">
      <w:pPr>
        <w:shd w:val="clear" w:color="auto" w:fill="FFFFFF"/>
        <w:tabs>
          <w:tab w:val="left" w:pos="420"/>
        </w:tabs>
        <w:spacing w:after="150"/>
        <w:jc w:val="both"/>
        <w:rPr>
          <w:rFonts w:eastAsia="Calibri"/>
          <w:i/>
          <w:sz w:val="24"/>
          <w:szCs w:val="24"/>
          <w:shd w:val="clear" w:color="auto" w:fill="FFFFFF"/>
        </w:rPr>
      </w:pPr>
      <w:r>
        <w:rPr>
          <w:rFonts w:eastAsia="Calibri"/>
          <w:i/>
          <w:sz w:val="24"/>
          <w:szCs w:val="24"/>
          <w:shd w:val="clear" w:color="auto" w:fill="FFFFFF"/>
          <w:lang w:val="en-US" w:eastAsia="zh-CN" w:bidi="ar"/>
        </w:rPr>
        <w:t>În cazurile exceptate se iau măsuri care să reducă posibilitățile formării concentrației locale cu pericol de explozie și a propagării incendiului spre spațiile învecinate din cadrul încăperii sau al compartimentului respectiv.</w:t>
      </w:r>
      <w:r>
        <w:rPr>
          <w:rFonts w:eastAsia="Calibri"/>
          <w:i/>
          <w:sz w:val="24"/>
          <w:szCs w:val="24"/>
          <w:shd w:val="clear" w:color="auto" w:fill="FFFFFF"/>
          <w:lang w:eastAsia="zh-CN" w:bidi="ar"/>
        </w:rPr>
        <w:t xml:space="preserve"> </w:t>
      </w:r>
      <w:r>
        <w:rPr>
          <w:rFonts w:eastAsia="Calibri"/>
          <w:i/>
          <w:sz w:val="24"/>
          <w:szCs w:val="24"/>
          <w:shd w:val="clear" w:color="auto" w:fill="FFFFFF"/>
        </w:rPr>
        <w:t xml:space="preserve">În cazul existenței mai multor categorii de pericol de incendiu necompartimentate, situate în puncte distincte ale încăperii sau ale compartimentului existent, se iau în considerație sumele volumelor aferente și respectiv ale ariilor efective ale fiecărei categorii de pericol. Pentru categoriile </w:t>
      </w:r>
      <w:r>
        <w:rPr>
          <w:rFonts w:eastAsia="Calibri"/>
          <w:b/>
          <w:bCs/>
          <w:i/>
          <w:sz w:val="24"/>
          <w:szCs w:val="24"/>
          <w:shd w:val="clear" w:color="auto" w:fill="FFFFFF"/>
        </w:rPr>
        <w:t>C</w:t>
      </w:r>
      <w:r>
        <w:rPr>
          <w:rFonts w:eastAsia="Calibri"/>
          <w:i/>
          <w:sz w:val="24"/>
          <w:szCs w:val="24"/>
          <w:shd w:val="clear" w:color="auto" w:fill="FFFFFF"/>
        </w:rPr>
        <w:t xml:space="preserve"> și </w:t>
      </w:r>
      <w:r>
        <w:rPr>
          <w:rFonts w:eastAsia="Calibri"/>
          <w:b/>
          <w:bCs/>
          <w:i/>
          <w:sz w:val="24"/>
          <w:szCs w:val="24"/>
          <w:shd w:val="clear" w:color="auto" w:fill="FFFFFF"/>
        </w:rPr>
        <w:t>D</w:t>
      </w:r>
      <w:r>
        <w:rPr>
          <w:rFonts w:eastAsia="Calibri"/>
          <w:i/>
          <w:sz w:val="24"/>
          <w:szCs w:val="24"/>
          <w:shd w:val="clear" w:color="auto" w:fill="FFFFFF"/>
        </w:rPr>
        <w:t xml:space="preserve"> (BE2 și BE1a) de pericol de incendiu însumarea se aplică numai dacă distanța dintre spațiile respective, este mai mică de 40 m (măsurată pe orizontală). Pentru compartimente de incendiu sau construcții existente, categoria de pericol de incendiu cea mai periculoasă se extinde la întregul volum al acestora atunci când reprezintă mai mult de 30% din volumul construit al compartimentului sau construcției.</w:t>
      </w:r>
    </w:p>
    <w:p w14:paraId="43551139"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2.1.7.</w:t>
      </w:r>
      <w:r>
        <w:rPr>
          <w:rFonts w:eastAsia="Calibri"/>
          <w:i/>
          <w:sz w:val="24"/>
          <w:szCs w:val="24"/>
          <w:shd w:val="clear" w:color="auto" w:fill="FFFFFF"/>
        </w:rPr>
        <w:t> Pentru determinarea concentrației amestecului exploziei în construcții existente se ține seama de scăpările și degajările de gaze, vapori sau praf, atât în timpul desfășurării normale a activității, cât și în cazurile accidentale de avarie stabilite prin proiect la instalațiile de utilități aferente.</w:t>
      </w:r>
    </w:p>
    <w:p w14:paraId="31828350" w14:textId="77777777" w:rsidR="001C08A5" w:rsidRDefault="00000000">
      <w:pPr>
        <w:widowControl w:val="0"/>
        <w:jc w:val="both"/>
        <w:rPr>
          <w:i/>
          <w:iCs/>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2.1.8.</w:t>
      </w:r>
      <w:r>
        <w:rPr>
          <w:rFonts w:eastAsia="Calibri"/>
          <w:i/>
          <w:sz w:val="24"/>
          <w:szCs w:val="24"/>
          <w:shd w:val="clear" w:color="auto" w:fill="FFFFFF"/>
        </w:rPr>
        <w:t> </w:t>
      </w:r>
      <w:r>
        <w:rPr>
          <w:b/>
          <w:bCs/>
          <w:i/>
          <w:iCs/>
          <w:sz w:val="24"/>
          <w:szCs w:val="24"/>
        </w:rPr>
        <w:t xml:space="preserve">(1) </w:t>
      </w:r>
      <w:r>
        <w:rPr>
          <w:i/>
          <w:iCs/>
          <w:sz w:val="24"/>
          <w:szCs w:val="24"/>
        </w:rPr>
        <w:t xml:space="preserve"> Recomandabil ca la e</w:t>
      </w:r>
      <w:r>
        <w:rPr>
          <w:i/>
          <w:iCs/>
          <w:sz w:val="24"/>
          <w:szCs w:val="24"/>
          <w:lang w:val="en-US"/>
        </w:rPr>
        <w:t>stimarea</w:t>
      </w:r>
      <w:r>
        <w:rPr>
          <w:i/>
          <w:iCs/>
          <w:sz w:val="24"/>
          <w:szCs w:val="24"/>
        </w:rPr>
        <w:t xml:space="preserve"> riscului de incendiu, respectiv a probabilităţii de iniţiere a unui incendiu şi de producere a consecinţelor acestuia, să se aibă în vedere, de regulă, și următoarele elemente: </w:t>
      </w:r>
    </w:p>
    <w:p w14:paraId="76F4521A" w14:textId="77777777" w:rsidR="001C08A5" w:rsidRDefault="00000000">
      <w:pPr>
        <w:widowControl w:val="0"/>
        <w:numPr>
          <w:ilvl w:val="0"/>
          <w:numId w:val="107"/>
        </w:numPr>
        <w:jc w:val="both"/>
        <w:rPr>
          <w:i/>
          <w:iCs/>
          <w:sz w:val="24"/>
          <w:szCs w:val="24"/>
        </w:rPr>
      </w:pPr>
      <w:r>
        <w:rPr>
          <w:i/>
          <w:iCs/>
          <w:sz w:val="24"/>
          <w:szCs w:val="24"/>
        </w:rPr>
        <w:t xml:space="preserve">pericolele de incendiu identificate; </w:t>
      </w:r>
    </w:p>
    <w:p w14:paraId="15FE9893" w14:textId="77777777" w:rsidR="001C08A5" w:rsidRDefault="00000000">
      <w:pPr>
        <w:widowControl w:val="0"/>
        <w:numPr>
          <w:ilvl w:val="0"/>
          <w:numId w:val="107"/>
        </w:numPr>
        <w:jc w:val="both"/>
        <w:rPr>
          <w:i/>
          <w:iCs/>
          <w:sz w:val="24"/>
          <w:szCs w:val="24"/>
        </w:rPr>
      </w:pPr>
      <w:r>
        <w:rPr>
          <w:i/>
          <w:iCs/>
          <w:sz w:val="24"/>
          <w:szCs w:val="24"/>
        </w:rPr>
        <w:t xml:space="preserve">nivelurile criteriilor de performanţă ale construcţiilor privind cerinţa fundamentală "securitate la incendiu"; </w:t>
      </w:r>
    </w:p>
    <w:p w14:paraId="632FECE2" w14:textId="77777777" w:rsidR="001C08A5" w:rsidRDefault="00000000">
      <w:pPr>
        <w:widowControl w:val="0"/>
        <w:numPr>
          <w:ilvl w:val="0"/>
          <w:numId w:val="107"/>
        </w:numPr>
        <w:jc w:val="both"/>
        <w:rPr>
          <w:i/>
          <w:iCs/>
          <w:sz w:val="24"/>
          <w:szCs w:val="24"/>
        </w:rPr>
      </w:pPr>
      <w:r>
        <w:rPr>
          <w:i/>
          <w:iCs/>
          <w:sz w:val="24"/>
          <w:szCs w:val="24"/>
        </w:rPr>
        <w:t xml:space="preserve">nivelul de echipare şi dotare cu sisteme, instalaţii, echipamente și aparatură de alimentare cu apă, gaze combustibile, energie electrică și termică, de ventilaţie și climatizare, starea de funcţionare și performanţele acestora; </w:t>
      </w:r>
    </w:p>
    <w:p w14:paraId="409F7DC2" w14:textId="77777777" w:rsidR="001C08A5" w:rsidRDefault="00000000">
      <w:pPr>
        <w:widowControl w:val="0"/>
        <w:numPr>
          <w:ilvl w:val="0"/>
          <w:numId w:val="107"/>
        </w:numPr>
        <w:jc w:val="both"/>
        <w:rPr>
          <w:i/>
          <w:iCs/>
          <w:sz w:val="24"/>
          <w:szCs w:val="24"/>
        </w:rPr>
      </w:pPr>
      <w:r>
        <w:rPr>
          <w:i/>
          <w:iCs/>
          <w:sz w:val="24"/>
          <w:szCs w:val="24"/>
        </w:rPr>
        <w:t xml:space="preserve">factorul uman, determinat de numărul de persoane, vârsta și starea fizică ale acestora, nivelul de instruire; </w:t>
      </w:r>
    </w:p>
    <w:p w14:paraId="41A84548" w14:textId="77777777" w:rsidR="001C08A5" w:rsidRDefault="00000000">
      <w:pPr>
        <w:widowControl w:val="0"/>
        <w:numPr>
          <w:ilvl w:val="0"/>
          <w:numId w:val="107"/>
        </w:numPr>
        <w:jc w:val="both"/>
        <w:rPr>
          <w:i/>
          <w:iCs/>
          <w:sz w:val="24"/>
          <w:szCs w:val="24"/>
        </w:rPr>
      </w:pPr>
      <w:r>
        <w:rPr>
          <w:i/>
          <w:iCs/>
          <w:sz w:val="24"/>
          <w:szCs w:val="24"/>
        </w:rPr>
        <w:t>alte elemente care pot influenţa producerea, dezvoltarea şi/sau propagarea unui incendiu.</w:t>
      </w:r>
    </w:p>
    <w:p w14:paraId="6F76B1C5" w14:textId="77777777" w:rsidR="001C08A5" w:rsidRDefault="00000000">
      <w:pPr>
        <w:ind w:firstLine="720"/>
        <w:jc w:val="both"/>
        <w:rPr>
          <w:i/>
          <w:iCs/>
          <w:sz w:val="24"/>
          <w:szCs w:val="24"/>
        </w:rPr>
      </w:pPr>
      <w:r>
        <w:rPr>
          <w:b/>
          <w:bCs/>
          <w:i/>
          <w:iCs/>
          <w:sz w:val="24"/>
          <w:szCs w:val="24"/>
        </w:rPr>
        <w:t xml:space="preserve">(2) </w:t>
      </w:r>
      <w:r>
        <w:rPr>
          <w:i/>
          <w:iCs/>
          <w:sz w:val="24"/>
          <w:szCs w:val="24"/>
        </w:rPr>
        <w:t xml:space="preserve"> Pentru estimarea riscului de incendiu, se recomandă să se ia în considerare următorii factori :</w:t>
      </w:r>
    </w:p>
    <w:p w14:paraId="378ED1DF" w14:textId="77777777" w:rsidR="001C08A5" w:rsidRDefault="00000000">
      <w:pPr>
        <w:widowControl w:val="0"/>
        <w:numPr>
          <w:ilvl w:val="0"/>
          <w:numId w:val="108"/>
        </w:numPr>
        <w:jc w:val="both"/>
        <w:rPr>
          <w:i/>
          <w:iCs/>
          <w:sz w:val="24"/>
          <w:szCs w:val="24"/>
        </w:rPr>
      </w:pPr>
      <w:r>
        <w:rPr>
          <w:i/>
          <w:iCs/>
          <w:sz w:val="24"/>
          <w:szCs w:val="24"/>
        </w:rPr>
        <w:t xml:space="preserve">probabilitatea iniţierii unui incendiu (surse de aprindere posibile în funcţie de natura activităţilor desfăşurate precum și  </w:t>
      </w:r>
      <w:r>
        <w:rPr>
          <w:i/>
          <w:iCs/>
          <w:sz w:val="24"/>
          <w:szCs w:val="24"/>
          <w:lang w:eastAsia="zh-CN"/>
        </w:rPr>
        <w:t>circumstanţe care pot favoriza aprinderea</w:t>
      </w:r>
      <w:r>
        <w:rPr>
          <w:i/>
          <w:iCs/>
          <w:sz w:val="24"/>
          <w:szCs w:val="24"/>
        </w:rPr>
        <w:t>);</w:t>
      </w:r>
    </w:p>
    <w:p w14:paraId="7D1622DD" w14:textId="77777777" w:rsidR="001C08A5" w:rsidRDefault="00000000">
      <w:pPr>
        <w:widowControl w:val="0"/>
        <w:numPr>
          <w:ilvl w:val="0"/>
          <w:numId w:val="108"/>
        </w:numPr>
        <w:jc w:val="both"/>
        <w:rPr>
          <w:i/>
          <w:iCs/>
          <w:sz w:val="24"/>
          <w:szCs w:val="24"/>
        </w:rPr>
      </w:pPr>
      <w:r>
        <w:rPr>
          <w:i/>
          <w:iCs/>
          <w:sz w:val="24"/>
          <w:szCs w:val="24"/>
        </w:rPr>
        <w:t>destinaţia clădirii, precum şi dezvoltarea, severitatea și posibilităţile de propagare a incendiului, stabilite în funcţie de densitatea sarcinii termice (q) şi/sau viteza de degajare a căldurii datorată tipurilor și cantităţilor de produse utilizate şi materiale adăpostite;</w:t>
      </w:r>
    </w:p>
    <w:p w14:paraId="554463BB" w14:textId="77777777" w:rsidR="001C08A5" w:rsidRDefault="00000000">
      <w:pPr>
        <w:widowControl w:val="0"/>
        <w:numPr>
          <w:ilvl w:val="0"/>
          <w:numId w:val="108"/>
        </w:numPr>
        <w:jc w:val="both"/>
        <w:rPr>
          <w:i/>
          <w:iCs/>
          <w:sz w:val="24"/>
          <w:szCs w:val="24"/>
        </w:rPr>
      </w:pPr>
      <w:r>
        <w:rPr>
          <w:i/>
          <w:iCs/>
          <w:sz w:val="24"/>
          <w:szCs w:val="24"/>
        </w:rPr>
        <w:t>categoriile de utilizatori ai clădirii;</w:t>
      </w:r>
    </w:p>
    <w:p w14:paraId="3BB2E90E" w14:textId="77777777" w:rsidR="001C08A5" w:rsidRDefault="00000000">
      <w:pPr>
        <w:widowControl w:val="0"/>
        <w:numPr>
          <w:ilvl w:val="0"/>
          <w:numId w:val="108"/>
        </w:numPr>
        <w:jc w:val="both"/>
        <w:rPr>
          <w:i/>
          <w:iCs/>
          <w:sz w:val="24"/>
          <w:szCs w:val="24"/>
        </w:rPr>
      </w:pPr>
      <w:r>
        <w:rPr>
          <w:i/>
          <w:iCs/>
          <w:sz w:val="24"/>
          <w:szCs w:val="24"/>
        </w:rPr>
        <w:t>nivelul de asigurare a protecţiei bunurilor în unele cazuri, produselor de construcţii, mediului și al continuităţii activităţii.</w:t>
      </w:r>
    </w:p>
    <w:p w14:paraId="59A39C0B" w14:textId="77777777" w:rsidR="001C08A5" w:rsidRDefault="001C08A5">
      <w:pPr>
        <w:shd w:val="clear" w:color="auto" w:fill="FFFFFF"/>
        <w:spacing w:after="150"/>
        <w:jc w:val="both"/>
        <w:rPr>
          <w:rFonts w:eastAsia="Calibri"/>
          <w:i/>
          <w:sz w:val="24"/>
          <w:szCs w:val="24"/>
          <w:shd w:val="clear" w:color="auto" w:fill="FFFFFF"/>
        </w:rPr>
      </w:pPr>
    </w:p>
    <w:p w14:paraId="74A649A7" w14:textId="77777777" w:rsidR="001C08A5" w:rsidRDefault="00000000">
      <w:pPr>
        <w:pStyle w:val="Heading4"/>
        <w:rPr>
          <w:sz w:val="24"/>
          <w:szCs w:val="24"/>
        </w:rPr>
      </w:pPr>
      <w:bookmarkStart w:id="10375" w:name="_Toc13406"/>
      <w:bookmarkStart w:id="10376" w:name="_Toc162355520"/>
      <w:bookmarkStart w:id="10377" w:name="_Toc14129"/>
      <w:bookmarkStart w:id="10378" w:name="_Toc17936"/>
      <w:bookmarkStart w:id="10379" w:name="_Toc18998"/>
      <w:bookmarkStart w:id="10380" w:name="_Toc27613"/>
      <w:r>
        <w:rPr>
          <w:sz w:val="24"/>
          <w:szCs w:val="24"/>
        </w:rPr>
        <w:t>Nivel de stabilitate la incendiu</w:t>
      </w:r>
      <w:bookmarkEnd w:id="10375"/>
      <w:bookmarkEnd w:id="10376"/>
      <w:bookmarkEnd w:id="10377"/>
      <w:bookmarkEnd w:id="10378"/>
      <w:bookmarkEnd w:id="10379"/>
      <w:bookmarkEnd w:id="10380"/>
    </w:p>
    <w:p w14:paraId="2A648EF2"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2.1.8.</w:t>
      </w:r>
      <w:r>
        <w:rPr>
          <w:rFonts w:eastAsia="Calibri"/>
          <w:i/>
          <w:sz w:val="24"/>
          <w:szCs w:val="24"/>
          <w:shd w:val="clear" w:color="auto" w:fill="FFFFFF"/>
        </w:rPr>
        <w:t xml:space="preserve"> Condițiile minime pe care trebuie să le îndeplinească elementele principale ale construcției existente (compartimentului de incendiu existent) astfel încât întreaga construcție existentă sau compartiment existent să poată fi încadrat într-un anumit nivel de stabilitate la incendiu (denumit anterior ”grad de rezistență la foc”),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_Ref3644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144</w:t>
      </w:r>
      <w:r>
        <w:rPr>
          <w:rFonts w:eastAsia="Calibri"/>
          <w:b/>
          <w:bCs/>
          <w:i/>
          <w:iCs/>
          <w:sz w:val="24"/>
          <w:szCs w:val="24"/>
          <w:shd w:val="clear" w:color="auto" w:fill="FFFFFF"/>
        </w:rPr>
        <w:fldChar w:fldCharType="end"/>
      </w:r>
      <w:r>
        <w:rPr>
          <w:rFonts w:eastAsia="Calibri"/>
          <w:b/>
          <w:bCs/>
          <w:i/>
          <w:iCs/>
          <w:sz w:val="24"/>
          <w:szCs w:val="24"/>
          <w:shd w:val="clear" w:color="auto" w:fill="FFFFFF"/>
        </w:rPr>
        <w:t xml:space="preserve"> </w:t>
      </w:r>
      <w:r>
        <w:rPr>
          <w:rFonts w:eastAsia="Calibri"/>
          <w:i/>
          <w:sz w:val="24"/>
          <w:szCs w:val="24"/>
          <w:shd w:val="clear" w:color="auto" w:fill="FFFFFF"/>
        </w:rPr>
        <w:t>.</w:t>
      </w:r>
    </w:p>
    <w:p w14:paraId="6ECC9661" w14:textId="77777777" w:rsidR="001C08A5" w:rsidRDefault="00000000">
      <w:pPr>
        <w:pStyle w:val="Caption"/>
        <w:shd w:val="clear" w:color="auto" w:fill="FFFFFF"/>
        <w:spacing w:before="0" w:after="150"/>
        <w:jc w:val="both"/>
      </w:pPr>
      <w:bookmarkStart w:id="10381" w:name="_Ref3644"/>
      <w:bookmarkStart w:id="10382" w:name="_Ref22995"/>
      <w:bookmarkStart w:id="10383" w:name="_Toc162360194"/>
      <w:r>
        <w:t xml:space="preserve">Tabelul </w:t>
      </w:r>
      <w:r>
        <w:fldChar w:fldCharType="begin"/>
      </w:r>
      <w:r>
        <w:instrText xml:space="preserve"> SEQ Tabelul \* ARABIC </w:instrText>
      </w:r>
      <w:r>
        <w:fldChar w:fldCharType="separate"/>
      </w:r>
      <w:r>
        <w:t>144</w:t>
      </w:r>
      <w:r>
        <w:fldChar w:fldCharType="end"/>
      </w:r>
      <w:bookmarkStart w:id="10384" w:name="_Toc20572"/>
      <w:bookmarkStart w:id="10385" w:name="_Toc16182"/>
      <w:bookmarkStart w:id="10386" w:name="_Toc30995"/>
      <w:bookmarkStart w:id="10387" w:name="_Toc7832"/>
      <w:bookmarkStart w:id="10388" w:name="_Toc7529"/>
      <w:bookmarkStart w:id="10389" w:name="_Toc2407"/>
      <w:bookmarkStart w:id="10390" w:name="_Toc2461"/>
      <w:bookmarkStart w:id="10391" w:name="_Toc30155"/>
      <w:bookmarkStart w:id="10392" w:name="_Toc12027"/>
      <w:bookmarkStart w:id="10393" w:name="_Toc14059"/>
      <w:bookmarkStart w:id="10394" w:name="_Toc16349"/>
      <w:bookmarkEnd w:id="10381"/>
      <w:r>
        <w:t xml:space="preserve">: </w:t>
      </w:r>
      <w:r>
        <w:rPr>
          <w:rFonts w:eastAsia="Calibri"/>
          <w:bCs/>
          <w:shd w:val="clear" w:color="auto" w:fill="FFFFFF"/>
        </w:rPr>
        <w:t>Condiții minime pentru încadrarea construcțiilor existente în nivel de stabilitate la incendiu</w:t>
      </w:r>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
        <w:gridCol w:w="1410"/>
        <w:gridCol w:w="1545"/>
        <w:gridCol w:w="960"/>
        <w:gridCol w:w="1080"/>
        <w:gridCol w:w="1665"/>
        <w:gridCol w:w="1170"/>
        <w:gridCol w:w="1547"/>
      </w:tblGrid>
      <w:tr w:rsidR="001C08A5" w14:paraId="18A8C18D" w14:textId="77777777">
        <w:trPr>
          <w:cantSplit/>
          <w:trHeight w:val="260"/>
          <w:tblHeader/>
        </w:trPr>
        <w:tc>
          <w:tcPr>
            <w:tcW w:w="478" w:type="dxa"/>
            <w:vMerge w:val="restart"/>
            <w:shd w:val="clear" w:color="auto" w:fill="D9D9D9"/>
            <w:vAlign w:val="center"/>
          </w:tcPr>
          <w:p w14:paraId="39B1F77B" w14:textId="77777777" w:rsidR="001C08A5" w:rsidRDefault="00000000">
            <w:pPr>
              <w:rPr>
                <w:b/>
                <w:bCs/>
                <w:i/>
                <w:iCs/>
              </w:rPr>
            </w:pPr>
            <w:r>
              <w:rPr>
                <w:b/>
                <w:bCs/>
                <w:i/>
                <w:iCs/>
              </w:rPr>
              <w:t>Nr.</w:t>
            </w:r>
            <w:r>
              <w:rPr>
                <w:b/>
                <w:bCs/>
                <w:i/>
                <w:iCs/>
                <w:lang w:val="en-GB"/>
              </w:rPr>
              <w:t xml:space="preserve"> </w:t>
            </w:r>
            <w:r>
              <w:rPr>
                <w:b/>
                <w:bCs/>
                <w:i/>
                <w:iCs/>
              </w:rPr>
              <w:t>crt.</w:t>
            </w:r>
          </w:p>
        </w:tc>
        <w:tc>
          <w:tcPr>
            <w:tcW w:w="2955" w:type="dxa"/>
            <w:gridSpan w:val="2"/>
            <w:vMerge w:val="restart"/>
            <w:shd w:val="clear" w:color="auto" w:fill="D9D9D9"/>
            <w:vAlign w:val="center"/>
          </w:tcPr>
          <w:p w14:paraId="7B70076A" w14:textId="77777777" w:rsidR="001C08A5" w:rsidRDefault="00000000">
            <w:pPr>
              <w:rPr>
                <w:b/>
                <w:bCs/>
                <w:i/>
                <w:iCs/>
              </w:rPr>
            </w:pPr>
            <w:r>
              <w:rPr>
                <w:b/>
                <w:bCs/>
                <w:i/>
                <w:iCs/>
              </w:rPr>
              <w:t>Tipul elem</w:t>
            </w:r>
            <w:r>
              <w:rPr>
                <w:b/>
                <w:bCs/>
                <w:i/>
                <w:iCs/>
                <w:lang w:val="en-GB"/>
              </w:rPr>
              <w:t>entelor</w:t>
            </w:r>
            <w:r>
              <w:rPr>
                <w:b/>
                <w:bCs/>
                <w:i/>
                <w:iCs/>
              </w:rPr>
              <w:t xml:space="preserve"> de construcţie utilizate</w:t>
            </w:r>
          </w:p>
        </w:tc>
        <w:tc>
          <w:tcPr>
            <w:tcW w:w="6422" w:type="dxa"/>
            <w:gridSpan w:val="5"/>
            <w:shd w:val="clear" w:color="auto" w:fill="D9D9D9"/>
            <w:vAlign w:val="center"/>
          </w:tcPr>
          <w:p w14:paraId="13D976A1" w14:textId="77777777" w:rsidR="001C08A5" w:rsidRDefault="00000000">
            <w:pPr>
              <w:jc w:val="center"/>
              <w:rPr>
                <w:b/>
                <w:bCs/>
                <w:i/>
                <w:iCs/>
                <w:lang w:val="en-GB"/>
              </w:rPr>
            </w:pPr>
            <w:r>
              <w:rPr>
                <w:b/>
                <w:bCs/>
                <w:i/>
                <w:iCs/>
              </w:rPr>
              <w:t>Nivelul de stabilitate la incendiu al construcţiei/compartimentului</w:t>
            </w:r>
          </w:p>
        </w:tc>
      </w:tr>
      <w:tr w:rsidR="001C08A5" w14:paraId="59A4CEB6" w14:textId="77777777">
        <w:trPr>
          <w:cantSplit/>
          <w:trHeight w:val="260"/>
          <w:tblHeader/>
        </w:trPr>
        <w:tc>
          <w:tcPr>
            <w:tcW w:w="478" w:type="dxa"/>
            <w:vMerge/>
            <w:shd w:val="clear" w:color="auto" w:fill="D9D9D9"/>
            <w:vAlign w:val="center"/>
          </w:tcPr>
          <w:p w14:paraId="1D160781" w14:textId="77777777" w:rsidR="001C08A5" w:rsidRDefault="001C08A5">
            <w:pPr>
              <w:rPr>
                <w:b/>
                <w:bCs/>
                <w:i/>
                <w:iCs/>
              </w:rPr>
            </w:pPr>
          </w:p>
        </w:tc>
        <w:tc>
          <w:tcPr>
            <w:tcW w:w="2955" w:type="dxa"/>
            <w:gridSpan w:val="2"/>
            <w:vMerge/>
            <w:shd w:val="clear" w:color="auto" w:fill="D9D9D9"/>
            <w:vAlign w:val="center"/>
          </w:tcPr>
          <w:p w14:paraId="712AAC10" w14:textId="77777777" w:rsidR="001C08A5" w:rsidRDefault="001C08A5">
            <w:pPr>
              <w:rPr>
                <w:b/>
                <w:bCs/>
                <w:i/>
                <w:iCs/>
              </w:rPr>
            </w:pPr>
          </w:p>
        </w:tc>
        <w:tc>
          <w:tcPr>
            <w:tcW w:w="960" w:type="dxa"/>
            <w:shd w:val="clear" w:color="auto" w:fill="D9D9D9"/>
            <w:vAlign w:val="center"/>
          </w:tcPr>
          <w:p w14:paraId="0D17D79A" w14:textId="77777777" w:rsidR="001C08A5" w:rsidRDefault="00000000">
            <w:pPr>
              <w:jc w:val="center"/>
              <w:rPr>
                <w:b/>
                <w:bCs/>
                <w:i/>
                <w:iCs/>
                <w:lang w:val="en-GB"/>
              </w:rPr>
            </w:pPr>
            <w:r>
              <w:rPr>
                <w:b/>
                <w:bCs/>
                <w:i/>
                <w:iCs/>
              </w:rPr>
              <w:t>I</w:t>
            </w:r>
          </w:p>
        </w:tc>
        <w:tc>
          <w:tcPr>
            <w:tcW w:w="1080" w:type="dxa"/>
            <w:shd w:val="clear" w:color="auto" w:fill="D9D9D9"/>
            <w:vAlign w:val="center"/>
          </w:tcPr>
          <w:p w14:paraId="66B6F719" w14:textId="77777777" w:rsidR="001C08A5" w:rsidRDefault="00000000">
            <w:pPr>
              <w:jc w:val="center"/>
              <w:rPr>
                <w:b/>
                <w:bCs/>
                <w:i/>
                <w:iCs/>
                <w:lang w:val="en-GB"/>
              </w:rPr>
            </w:pPr>
            <w:r>
              <w:rPr>
                <w:b/>
                <w:bCs/>
                <w:i/>
                <w:iCs/>
              </w:rPr>
              <w:t>II</w:t>
            </w:r>
          </w:p>
        </w:tc>
        <w:tc>
          <w:tcPr>
            <w:tcW w:w="1665" w:type="dxa"/>
            <w:shd w:val="clear" w:color="auto" w:fill="D9D9D9"/>
            <w:vAlign w:val="center"/>
          </w:tcPr>
          <w:p w14:paraId="14327737" w14:textId="77777777" w:rsidR="001C08A5" w:rsidRDefault="00000000">
            <w:pPr>
              <w:jc w:val="center"/>
              <w:rPr>
                <w:b/>
                <w:bCs/>
                <w:i/>
                <w:iCs/>
                <w:lang w:val="en-GB"/>
              </w:rPr>
            </w:pPr>
            <w:r>
              <w:rPr>
                <w:b/>
                <w:bCs/>
                <w:i/>
                <w:iCs/>
              </w:rPr>
              <w:t>III</w:t>
            </w:r>
          </w:p>
        </w:tc>
        <w:tc>
          <w:tcPr>
            <w:tcW w:w="1170" w:type="dxa"/>
            <w:shd w:val="clear" w:color="auto" w:fill="D9D9D9"/>
            <w:vAlign w:val="center"/>
          </w:tcPr>
          <w:p w14:paraId="6F14397E" w14:textId="77777777" w:rsidR="001C08A5" w:rsidRDefault="00000000">
            <w:pPr>
              <w:jc w:val="center"/>
              <w:rPr>
                <w:b/>
                <w:bCs/>
                <w:i/>
                <w:iCs/>
                <w:lang w:val="en-GB"/>
              </w:rPr>
            </w:pPr>
            <w:r>
              <w:rPr>
                <w:b/>
                <w:bCs/>
                <w:i/>
                <w:iCs/>
              </w:rPr>
              <w:t>IV</w:t>
            </w:r>
          </w:p>
        </w:tc>
        <w:tc>
          <w:tcPr>
            <w:tcW w:w="1547" w:type="dxa"/>
            <w:shd w:val="clear" w:color="auto" w:fill="D9D9D9"/>
            <w:vAlign w:val="center"/>
          </w:tcPr>
          <w:p w14:paraId="75EE7FAC" w14:textId="77777777" w:rsidR="001C08A5" w:rsidRDefault="00000000">
            <w:pPr>
              <w:jc w:val="center"/>
              <w:rPr>
                <w:b/>
                <w:bCs/>
                <w:i/>
                <w:iCs/>
                <w:lang w:val="en-GB"/>
              </w:rPr>
            </w:pPr>
            <w:r>
              <w:rPr>
                <w:b/>
                <w:bCs/>
                <w:i/>
                <w:iCs/>
              </w:rPr>
              <w:t>V</w:t>
            </w:r>
          </w:p>
        </w:tc>
      </w:tr>
      <w:tr w:rsidR="001C08A5" w14:paraId="05F08A24" w14:textId="77777777">
        <w:trPr>
          <w:cantSplit/>
          <w:trHeight w:val="260"/>
        </w:trPr>
        <w:tc>
          <w:tcPr>
            <w:tcW w:w="478" w:type="dxa"/>
            <w:shd w:val="clear" w:color="auto" w:fill="D9D9D9"/>
            <w:vAlign w:val="center"/>
          </w:tcPr>
          <w:p w14:paraId="229B053E" w14:textId="77777777" w:rsidR="001C08A5" w:rsidRDefault="00000000">
            <w:pPr>
              <w:rPr>
                <w:b/>
                <w:bCs/>
                <w:i/>
                <w:iCs/>
              </w:rPr>
            </w:pPr>
            <w:r>
              <w:rPr>
                <w:b/>
                <w:bCs/>
                <w:i/>
                <w:iCs/>
              </w:rPr>
              <w:t>1</w:t>
            </w:r>
          </w:p>
        </w:tc>
        <w:tc>
          <w:tcPr>
            <w:tcW w:w="2955" w:type="dxa"/>
            <w:gridSpan w:val="2"/>
            <w:shd w:val="clear" w:color="auto" w:fill="D9D9D9"/>
            <w:vAlign w:val="center"/>
          </w:tcPr>
          <w:p w14:paraId="3024EF4B" w14:textId="77777777" w:rsidR="001C08A5" w:rsidRDefault="00000000">
            <w:pPr>
              <w:rPr>
                <w:b/>
                <w:bCs/>
                <w:i/>
                <w:iCs/>
              </w:rPr>
            </w:pPr>
            <w:r>
              <w:rPr>
                <w:b/>
                <w:bCs/>
                <w:i/>
                <w:iCs/>
                <w:lang w:val="en-GB"/>
              </w:rPr>
              <w:t>STALPI (R)</w:t>
            </w:r>
          </w:p>
        </w:tc>
        <w:tc>
          <w:tcPr>
            <w:tcW w:w="960" w:type="dxa"/>
            <w:shd w:val="clear" w:color="auto" w:fill="D9D9D9"/>
            <w:vAlign w:val="center"/>
          </w:tcPr>
          <w:p w14:paraId="13FCECEF" w14:textId="77777777" w:rsidR="001C08A5" w:rsidRDefault="00000000">
            <w:pPr>
              <w:jc w:val="center"/>
              <w:rPr>
                <w:b/>
                <w:bCs/>
                <w:i/>
                <w:iCs/>
                <w:lang w:val="en-GB"/>
              </w:rPr>
            </w:pPr>
            <w:r>
              <w:rPr>
                <w:b/>
                <w:bCs/>
                <w:i/>
                <w:iCs/>
                <w:lang w:val="en-GB"/>
              </w:rPr>
              <w:t>180</w:t>
            </w:r>
          </w:p>
          <w:p w14:paraId="691A5ABF" w14:textId="77777777" w:rsidR="001C08A5" w:rsidRDefault="00000000">
            <w:pPr>
              <w:jc w:val="center"/>
              <w:rPr>
                <w:b/>
                <w:bCs/>
                <w:i/>
                <w:iCs/>
              </w:rPr>
            </w:pPr>
            <w:r>
              <w:rPr>
                <w:b/>
                <w:bCs/>
                <w:i/>
                <w:iCs/>
              </w:rPr>
              <w:t>A1</w:t>
            </w:r>
          </w:p>
          <w:p w14:paraId="33184DFE" w14:textId="77777777" w:rsidR="001C08A5" w:rsidRDefault="00000000">
            <w:pPr>
              <w:jc w:val="center"/>
              <w:rPr>
                <w:b/>
                <w:bCs/>
                <w:i/>
                <w:iCs/>
              </w:rPr>
            </w:pPr>
            <w:r>
              <w:rPr>
                <w:b/>
                <w:bCs/>
                <w:i/>
                <w:iCs/>
              </w:rPr>
              <w:t>A2s1d0</w:t>
            </w:r>
          </w:p>
        </w:tc>
        <w:tc>
          <w:tcPr>
            <w:tcW w:w="1080" w:type="dxa"/>
            <w:shd w:val="clear" w:color="auto" w:fill="D9D9D9"/>
            <w:vAlign w:val="center"/>
          </w:tcPr>
          <w:p w14:paraId="4674E5BC" w14:textId="77777777" w:rsidR="001C08A5" w:rsidRDefault="00000000">
            <w:pPr>
              <w:jc w:val="center"/>
              <w:rPr>
                <w:b/>
                <w:bCs/>
                <w:i/>
                <w:iCs/>
                <w:lang w:val="en-GB"/>
              </w:rPr>
            </w:pPr>
            <w:r>
              <w:rPr>
                <w:b/>
                <w:bCs/>
                <w:i/>
                <w:iCs/>
                <w:lang w:val="en-GB"/>
              </w:rPr>
              <w:t>120</w:t>
            </w:r>
          </w:p>
          <w:p w14:paraId="0D9E3CAF" w14:textId="77777777" w:rsidR="001C08A5" w:rsidRDefault="00000000">
            <w:pPr>
              <w:jc w:val="center"/>
              <w:rPr>
                <w:b/>
                <w:bCs/>
                <w:i/>
                <w:iCs/>
              </w:rPr>
            </w:pPr>
            <w:r>
              <w:rPr>
                <w:b/>
                <w:bCs/>
                <w:i/>
                <w:iCs/>
              </w:rPr>
              <w:t>A1</w:t>
            </w:r>
          </w:p>
          <w:p w14:paraId="0A8AC1D2" w14:textId="77777777" w:rsidR="001C08A5" w:rsidRDefault="00000000">
            <w:pPr>
              <w:jc w:val="center"/>
              <w:rPr>
                <w:b/>
                <w:bCs/>
                <w:i/>
                <w:iCs/>
                <w:lang w:val="en-GB"/>
              </w:rPr>
            </w:pPr>
            <w:r>
              <w:rPr>
                <w:b/>
                <w:bCs/>
                <w:i/>
                <w:iCs/>
              </w:rPr>
              <w:t>A2s1d0</w:t>
            </w:r>
          </w:p>
        </w:tc>
        <w:tc>
          <w:tcPr>
            <w:tcW w:w="1665" w:type="dxa"/>
            <w:shd w:val="clear" w:color="auto" w:fill="D9D9D9"/>
            <w:vAlign w:val="center"/>
          </w:tcPr>
          <w:p w14:paraId="083A4A44" w14:textId="77777777" w:rsidR="001C08A5" w:rsidRDefault="00000000">
            <w:pPr>
              <w:jc w:val="center"/>
              <w:rPr>
                <w:b/>
                <w:bCs/>
                <w:i/>
                <w:iCs/>
                <w:lang w:val="en-GB"/>
              </w:rPr>
            </w:pPr>
            <w:r>
              <w:rPr>
                <w:b/>
                <w:bCs/>
                <w:i/>
                <w:iCs/>
                <w:lang w:val="en-GB"/>
              </w:rPr>
              <w:t>60</w:t>
            </w:r>
          </w:p>
          <w:p w14:paraId="3F3FD64A" w14:textId="77777777" w:rsidR="001C08A5" w:rsidRDefault="00000000">
            <w:pPr>
              <w:jc w:val="center"/>
              <w:rPr>
                <w:b/>
                <w:bCs/>
                <w:i/>
                <w:iCs/>
                <w:lang w:eastAsia="zh-CN"/>
              </w:rPr>
            </w:pPr>
            <w:r>
              <w:rPr>
                <w:b/>
                <w:bCs/>
                <w:i/>
                <w:iCs/>
                <w:lang w:eastAsia="zh-CN"/>
              </w:rPr>
              <w:t>min.</w:t>
            </w:r>
          </w:p>
          <w:p w14:paraId="0F0CA895" w14:textId="77777777" w:rsidR="001C08A5" w:rsidRDefault="00000000">
            <w:pPr>
              <w:jc w:val="center"/>
              <w:rPr>
                <w:b/>
                <w:bCs/>
                <w:i/>
                <w:iCs/>
                <w:lang w:val="en-US" w:eastAsia="zh-CN"/>
              </w:rPr>
            </w:pPr>
            <w:r>
              <w:rPr>
                <w:b/>
                <w:bCs/>
                <w:i/>
                <w:iCs/>
                <w:lang w:val="en-US" w:eastAsia="zh-CN"/>
              </w:rPr>
              <w:t>A2s1÷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73AC0B7B" w14:textId="77777777" w:rsidR="001C08A5" w:rsidRDefault="00000000">
            <w:pPr>
              <w:jc w:val="center"/>
              <w:rPr>
                <w:b/>
                <w:bCs/>
                <w:i/>
                <w:iCs/>
                <w:lang w:val="en-GB"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170" w:type="dxa"/>
            <w:shd w:val="clear" w:color="auto" w:fill="D9D9D9"/>
            <w:vAlign w:val="center"/>
          </w:tcPr>
          <w:p w14:paraId="2A416618" w14:textId="77777777" w:rsidR="001C08A5" w:rsidRDefault="00000000">
            <w:pPr>
              <w:jc w:val="center"/>
              <w:rPr>
                <w:b/>
                <w:bCs/>
                <w:i/>
                <w:iCs/>
                <w:lang w:val="en-GB"/>
              </w:rPr>
            </w:pPr>
            <w:r>
              <w:rPr>
                <w:b/>
                <w:bCs/>
                <w:i/>
                <w:iCs/>
                <w:lang w:val="en-GB"/>
              </w:rPr>
              <w:t>30</w:t>
            </w:r>
          </w:p>
          <w:p w14:paraId="29F67CAA" w14:textId="77777777" w:rsidR="001C08A5" w:rsidRDefault="00000000">
            <w:pPr>
              <w:jc w:val="center"/>
              <w:rPr>
                <w:b/>
                <w:bCs/>
                <w:i/>
                <w:iCs/>
                <w:lang w:eastAsia="zh-CN"/>
              </w:rPr>
            </w:pPr>
            <w:r>
              <w:rPr>
                <w:b/>
                <w:bCs/>
                <w:i/>
                <w:iCs/>
                <w:lang w:eastAsia="zh-CN"/>
              </w:rPr>
              <w:t>min.</w:t>
            </w:r>
          </w:p>
          <w:p w14:paraId="70194658" w14:textId="77777777" w:rsidR="001C08A5" w:rsidRDefault="00000000">
            <w:pPr>
              <w:jc w:val="center"/>
              <w:rPr>
                <w:b/>
                <w:bCs/>
                <w:i/>
                <w:iCs/>
                <w:lang w:val="en-GB"/>
              </w:rPr>
            </w:pPr>
            <w:r>
              <w:rPr>
                <w:b/>
                <w:bCs/>
                <w:i/>
                <w:iCs/>
                <w:lang w:eastAsia="zh-CN"/>
              </w:rPr>
              <w:t xml:space="preserve">C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547" w:type="dxa"/>
            <w:shd w:val="clear" w:color="auto" w:fill="D9D9D9"/>
            <w:vAlign w:val="center"/>
          </w:tcPr>
          <w:p w14:paraId="14AC8DD7" w14:textId="77777777" w:rsidR="001C08A5" w:rsidRDefault="00000000">
            <w:pPr>
              <w:jc w:val="center"/>
              <w:rPr>
                <w:b/>
                <w:bCs/>
                <w:i/>
                <w:iCs/>
                <w:lang w:val="en-GB"/>
              </w:rPr>
            </w:pPr>
            <w:r>
              <w:rPr>
                <w:b/>
                <w:bCs/>
                <w:i/>
                <w:iCs/>
                <w:lang w:val="en-GB"/>
              </w:rPr>
              <w:t>-</w:t>
            </w:r>
          </w:p>
          <w:p w14:paraId="3ACA2BED" w14:textId="77777777" w:rsidR="001C08A5" w:rsidRDefault="00000000">
            <w:pPr>
              <w:jc w:val="center"/>
              <w:rPr>
                <w:b/>
                <w:bCs/>
                <w:i/>
                <w:iCs/>
                <w:lang w:eastAsia="zh-CN"/>
              </w:rPr>
            </w:pPr>
            <w:r>
              <w:rPr>
                <w:b/>
                <w:bCs/>
                <w:i/>
                <w:iCs/>
                <w:lang w:eastAsia="zh-CN"/>
              </w:rPr>
              <w:t>min.</w:t>
            </w:r>
          </w:p>
          <w:p w14:paraId="7903ED20" w14:textId="77777777" w:rsidR="001C08A5" w:rsidRDefault="00000000">
            <w:pPr>
              <w:jc w:val="center"/>
              <w:rPr>
                <w:b/>
                <w:bCs/>
                <w:i/>
                <w:iCs/>
                <w:lang w:eastAsia="zh-CN"/>
              </w:rPr>
            </w:pPr>
            <w:r>
              <w:rPr>
                <w:b/>
                <w:bCs/>
                <w:i/>
                <w:iCs/>
                <w:lang w:eastAsia="zh-CN"/>
              </w:rPr>
              <w:t xml:space="preserve">A2 </w:t>
            </w:r>
            <w:r>
              <w:rPr>
                <w:b/>
                <w:bCs/>
                <w:i/>
                <w:iCs/>
                <w:lang w:val="en-US" w:eastAsia="zh-CN"/>
              </w:rPr>
              <w:t>s1÷</w:t>
            </w:r>
            <w:r>
              <w:rPr>
                <w:b/>
                <w:bCs/>
                <w:i/>
                <w:iCs/>
                <w:lang w:eastAsia="zh-CN"/>
              </w:rPr>
              <w:t>s3</w:t>
            </w:r>
            <w:r>
              <w:rPr>
                <w:b/>
                <w:bCs/>
                <w:i/>
                <w:iCs/>
                <w:lang w:val="en-US" w:eastAsia="zh-CN"/>
              </w:rPr>
              <w:t>, d</w:t>
            </w:r>
            <w:r>
              <w:rPr>
                <w:b/>
                <w:bCs/>
                <w:i/>
                <w:iCs/>
                <w:lang w:eastAsia="zh-CN"/>
              </w:rPr>
              <w:t>2</w:t>
            </w:r>
          </w:p>
          <w:p w14:paraId="26ACD026" w14:textId="77777777" w:rsidR="001C08A5" w:rsidRDefault="00000000">
            <w:pPr>
              <w:jc w:val="center"/>
              <w:rPr>
                <w:b/>
                <w:bCs/>
                <w:i/>
                <w:iCs/>
                <w:lang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d</w:t>
            </w:r>
            <w:r>
              <w:rPr>
                <w:b/>
                <w:bCs/>
                <w:i/>
                <w:iCs/>
                <w:lang w:eastAsia="zh-CN"/>
              </w:rPr>
              <w:t>2</w:t>
            </w:r>
          </w:p>
          <w:p w14:paraId="4EBA0E75" w14:textId="77777777" w:rsidR="001C08A5" w:rsidRDefault="00000000">
            <w:pPr>
              <w:jc w:val="center"/>
              <w:rPr>
                <w:b/>
                <w:bCs/>
                <w:i/>
                <w:iCs/>
                <w:lang w:eastAsia="zh-CN"/>
              </w:rPr>
            </w:pPr>
            <w:r>
              <w:rPr>
                <w:b/>
                <w:bCs/>
                <w:i/>
                <w:iCs/>
                <w:lang w:eastAsia="zh-CN"/>
              </w:rPr>
              <w:t xml:space="preserve">C </w:t>
            </w:r>
            <w:r>
              <w:rPr>
                <w:b/>
                <w:bCs/>
                <w:i/>
                <w:iCs/>
                <w:lang w:val="en-US" w:eastAsia="zh-CN"/>
              </w:rPr>
              <w:t>s1÷</w:t>
            </w:r>
            <w:r>
              <w:rPr>
                <w:b/>
                <w:bCs/>
                <w:i/>
                <w:iCs/>
                <w:lang w:eastAsia="zh-CN"/>
              </w:rPr>
              <w:t>s3</w:t>
            </w:r>
            <w:r>
              <w:rPr>
                <w:b/>
                <w:bCs/>
                <w:i/>
                <w:iCs/>
                <w:lang w:val="en-US" w:eastAsia="zh-CN"/>
              </w:rPr>
              <w:t>, d</w:t>
            </w:r>
            <w:r>
              <w:rPr>
                <w:b/>
                <w:bCs/>
                <w:i/>
                <w:iCs/>
                <w:lang w:eastAsia="zh-CN"/>
              </w:rPr>
              <w:t>2</w:t>
            </w:r>
          </w:p>
          <w:p w14:paraId="52C97160" w14:textId="77777777" w:rsidR="001C08A5" w:rsidRDefault="00000000">
            <w:pPr>
              <w:jc w:val="center"/>
              <w:rPr>
                <w:b/>
                <w:bCs/>
                <w:i/>
                <w:iCs/>
                <w:lang w:eastAsia="zh-CN"/>
              </w:rPr>
            </w:pPr>
            <w:r>
              <w:rPr>
                <w:b/>
                <w:bCs/>
                <w:i/>
                <w:iCs/>
                <w:lang w:eastAsia="zh-CN"/>
              </w:rPr>
              <w:t xml:space="preserve">D </w:t>
            </w:r>
            <w:r>
              <w:rPr>
                <w:b/>
                <w:bCs/>
                <w:i/>
                <w:iCs/>
                <w:lang w:val="en-US" w:eastAsia="zh-CN"/>
              </w:rPr>
              <w:t>s1÷</w:t>
            </w:r>
            <w:r>
              <w:rPr>
                <w:b/>
                <w:bCs/>
                <w:i/>
                <w:iCs/>
                <w:lang w:eastAsia="zh-CN"/>
              </w:rPr>
              <w:t>s3</w:t>
            </w:r>
            <w:r>
              <w:rPr>
                <w:b/>
                <w:bCs/>
                <w:i/>
                <w:iCs/>
                <w:lang w:val="en-US" w:eastAsia="zh-CN"/>
              </w:rPr>
              <w:t>, d</w:t>
            </w:r>
            <w:r>
              <w:rPr>
                <w:b/>
                <w:bCs/>
                <w:i/>
                <w:iCs/>
                <w:lang w:eastAsia="zh-CN"/>
              </w:rPr>
              <w:t>2</w:t>
            </w:r>
          </w:p>
          <w:p w14:paraId="150F45AC" w14:textId="77777777" w:rsidR="001C08A5" w:rsidRDefault="00000000">
            <w:pPr>
              <w:jc w:val="center"/>
              <w:rPr>
                <w:b/>
                <w:bCs/>
                <w:i/>
                <w:iCs/>
                <w:lang w:eastAsia="zh-CN"/>
              </w:rPr>
            </w:pPr>
            <w:r>
              <w:rPr>
                <w:b/>
                <w:bCs/>
                <w:i/>
                <w:iCs/>
                <w:lang w:eastAsia="zh-CN"/>
              </w:rPr>
              <w:t>E</w:t>
            </w:r>
            <w:r>
              <w:rPr>
                <w:b/>
                <w:bCs/>
                <w:i/>
                <w:iCs/>
                <w:lang w:val="en-US" w:eastAsia="zh-CN"/>
              </w:rPr>
              <w:t xml:space="preserve"> d</w:t>
            </w:r>
            <w:r>
              <w:rPr>
                <w:b/>
                <w:bCs/>
                <w:i/>
                <w:iCs/>
                <w:lang w:eastAsia="zh-CN"/>
              </w:rPr>
              <w:t>2</w:t>
            </w:r>
          </w:p>
        </w:tc>
      </w:tr>
      <w:tr w:rsidR="001C08A5" w14:paraId="38273A00" w14:textId="77777777">
        <w:trPr>
          <w:cantSplit/>
          <w:trHeight w:val="260"/>
        </w:trPr>
        <w:tc>
          <w:tcPr>
            <w:tcW w:w="478" w:type="dxa"/>
            <w:shd w:val="clear" w:color="auto" w:fill="D9D9D9"/>
            <w:vAlign w:val="center"/>
          </w:tcPr>
          <w:p w14:paraId="77F03275" w14:textId="77777777" w:rsidR="001C08A5" w:rsidRDefault="00000000">
            <w:pPr>
              <w:rPr>
                <w:b/>
                <w:bCs/>
                <w:i/>
                <w:iCs/>
              </w:rPr>
            </w:pPr>
            <w:r>
              <w:rPr>
                <w:b/>
                <w:bCs/>
                <w:i/>
                <w:iCs/>
              </w:rPr>
              <w:t>2</w:t>
            </w:r>
          </w:p>
        </w:tc>
        <w:tc>
          <w:tcPr>
            <w:tcW w:w="2955" w:type="dxa"/>
            <w:gridSpan w:val="2"/>
            <w:shd w:val="clear" w:color="auto" w:fill="D9D9D9"/>
            <w:vAlign w:val="center"/>
          </w:tcPr>
          <w:p w14:paraId="54CCB939" w14:textId="77777777" w:rsidR="001C08A5" w:rsidRDefault="00000000">
            <w:pPr>
              <w:rPr>
                <w:b/>
                <w:bCs/>
                <w:i/>
                <w:iCs/>
              </w:rPr>
            </w:pPr>
            <w:r>
              <w:rPr>
                <w:b/>
                <w:bCs/>
                <w:i/>
                <w:iCs/>
                <w:lang w:val="en-GB"/>
              </w:rPr>
              <w:t>GRINZI (R)</w:t>
            </w:r>
          </w:p>
        </w:tc>
        <w:tc>
          <w:tcPr>
            <w:tcW w:w="960" w:type="dxa"/>
            <w:shd w:val="clear" w:color="auto" w:fill="D9D9D9"/>
            <w:vAlign w:val="center"/>
          </w:tcPr>
          <w:p w14:paraId="4CEAB053" w14:textId="77777777" w:rsidR="001C08A5" w:rsidRDefault="00000000">
            <w:pPr>
              <w:jc w:val="center"/>
              <w:rPr>
                <w:b/>
                <w:bCs/>
                <w:i/>
                <w:iCs/>
                <w:lang w:val="en-GB"/>
              </w:rPr>
            </w:pPr>
            <w:r>
              <w:rPr>
                <w:b/>
                <w:bCs/>
                <w:i/>
                <w:iCs/>
              </w:rPr>
              <w:t>6</w:t>
            </w:r>
            <w:r>
              <w:rPr>
                <w:b/>
                <w:bCs/>
                <w:i/>
                <w:iCs/>
                <w:lang w:val="en-GB"/>
              </w:rPr>
              <w:t>0</w:t>
            </w:r>
          </w:p>
          <w:p w14:paraId="627B3A37" w14:textId="77777777" w:rsidR="001C08A5" w:rsidRDefault="00000000">
            <w:pPr>
              <w:jc w:val="center"/>
              <w:rPr>
                <w:b/>
                <w:bCs/>
                <w:i/>
                <w:iCs/>
              </w:rPr>
            </w:pPr>
            <w:r>
              <w:rPr>
                <w:b/>
                <w:bCs/>
                <w:i/>
                <w:iCs/>
              </w:rPr>
              <w:t>A1</w:t>
            </w:r>
          </w:p>
          <w:p w14:paraId="2C75368F" w14:textId="77777777" w:rsidR="001C08A5" w:rsidRDefault="00000000">
            <w:pPr>
              <w:jc w:val="center"/>
              <w:rPr>
                <w:b/>
                <w:bCs/>
                <w:i/>
                <w:iCs/>
                <w:lang w:val="en-GB"/>
              </w:rPr>
            </w:pPr>
            <w:r>
              <w:rPr>
                <w:b/>
                <w:bCs/>
                <w:i/>
                <w:iCs/>
              </w:rPr>
              <w:t>A2s1d0</w:t>
            </w:r>
          </w:p>
        </w:tc>
        <w:tc>
          <w:tcPr>
            <w:tcW w:w="1080" w:type="dxa"/>
            <w:shd w:val="clear" w:color="auto" w:fill="D9D9D9"/>
            <w:vAlign w:val="center"/>
          </w:tcPr>
          <w:p w14:paraId="27BAD8FA" w14:textId="77777777" w:rsidR="001C08A5" w:rsidRDefault="00000000">
            <w:pPr>
              <w:jc w:val="center"/>
              <w:rPr>
                <w:b/>
                <w:bCs/>
                <w:i/>
                <w:iCs/>
              </w:rPr>
            </w:pPr>
            <w:r>
              <w:rPr>
                <w:b/>
                <w:bCs/>
                <w:i/>
                <w:iCs/>
              </w:rPr>
              <w:t>45 (30)</w:t>
            </w:r>
          </w:p>
          <w:p w14:paraId="4622BE2B" w14:textId="77777777" w:rsidR="001C08A5" w:rsidRDefault="00000000">
            <w:pPr>
              <w:jc w:val="center"/>
              <w:rPr>
                <w:b/>
                <w:bCs/>
                <w:i/>
                <w:iCs/>
              </w:rPr>
            </w:pPr>
            <w:r>
              <w:rPr>
                <w:b/>
                <w:bCs/>
                <w:i/>
                <w:iCs/>
              </w:rPr>
              <w:t>A1</w:t>
            </w:r>
          </w:p>
          <w:p w14:paraId="3DE65F2C" w14:textId="77777777" w:rsidR="001C08A5" w:rsidRDefault="00000000">
            <w:pPr>
              <w:jc w:val="center"/>
              <w:rPr>
                <w:b/>
                <w:bCs/>
                <w:i/>
                <w:iCs/>
                <w:lang w:val="en-GB"/>
              </w:rPr>
            </w:pPr>
            <w:r>
              <w:rPr>
                <w:b/>
                <w:bCs/>
                <w:i/>
                <w:iCs/>
              </w:rPr>
              <w:t>A2s1d0</w:t>
            </w:r>
          </w:p>
        </w:tc>
        <w:tc>
          <w:tcPr>
            <w:tcW w:w="1665" w:type="dxa"/>
            <w:shd w:val="clear" w:color="auto" w:fill="D9D9D9"/>
            <w:vAlign w:val="center"/>
          </w:tcPr>
          <w:p w14:paraId="49DDF5DF" w14:textId="77777777" w:rsidR="001C08A5" w:rsidRDefault="00000000">
            <w:pPr>
              <w:jc w:val="center"/>
              <w:rPr>
                <w:b/>
                <w:bCs/>
                <w:i/>
                <w:iCs/>
              </w:rPr>
            </w:pPr>
            <w:r>
              <w:rPr>
                <w:b/>
                <w:bCs/>
                <w:i/>
                <w:iCs/>
              </w:rPr>
              <w:t>45 (30)</w:t>
            </w:r>
          </w:p>
          <w:p w14:paraId="632E5283" w14:textId="77777777" w:rsidR="001C08A5" w:rsidRDefault="00000000">
            <w:pPr>
              <w:jc w:val="center"/>
              <w:rPr>
                <w:b/>
                <w:bCs/>
                <w:i/>
                <w:iCs/>
                <w:lang w:eastAsia="zh-CN"/>
              </w:rPr>
            </w:pPr>
            <w:r>
              <w:rPr>
                <w:b/>
                <w:bCs/>
                <w:i/>
                <w:iCs/>
                <w:lang w:eastAsia="zh-CN"/>
              </w:rPr>
              <w:t>min.</w:t>
            </w:r>
          </w:p>
          <w:p w14:paraId="03205804" w14:textId="77777777" w:rsidR="001C08A5" w:rsidRDefault="00000000">
            <w:pPr>
              <w:jc w:val="center"/>
              <w:rPr>
                <w:b/>
                <w:bCs/>
                <w:i/>
                <w:iCs/>
                <w:lang w:val="en-US" w:eastAsia="zh-CN"/>
              </w:rPr>
            </w:pPr>
            <w:r>
              <w:rPr>
                <w:b/>
                <w:bCs/>
                <w:i/>
                <w:iCs/>
                <w:lang w:val="en-US" w:eastAsia="zh-CN"/>
              </w:rPr>
              <w:t>A2s1÷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0ADD3E90" w14:textId="77777777" w:rsidR="001C08A5" w:rsidRDefault="00000000">
            <w:pPr>
              <w:jc w:val="center"/>
              <w:rPr>
                <w:b/>
                <w:bCs/>
                <w:i/>
                <w:iCs/>
                <w:lang w:val="en-GB"/>
              </w:rPr>
            </w:pPr>
            <w:r>
              <w:rPr>
                <w:b/>
                <w:bCs/>
                <w:i/>
                <w:iCs/>
                <w:lang w:eastAsia="zh-CN"/>
              </w:rPr>
              <w:t xml:space="preserve">B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170" w:type="dxa"/>
            <w:shd w:val="clear" w:color="auto" w:fill="D9D9D9"/>
            <w:vAlign w:val="center"/>
          </w:tcPr>
          <w:p w14:paraId="64B5DB20" w14:textId="77777777" w:rsidR="001C08A5" w:rsidRDefault="00000000">
            <w:pPr>
              <w:jc w:val="center"/>
              <w:rPr>
                <w:b/>
                <w:bCs/>
                <w:i/>
                <w:iCs/>
              </w:rPr>
            </w:pPr>
            <w:r>
              <w:rPr>
                <w:b/>
                <w:bCs/>
                <w:i/>
                <w:iCs/>
              </w:rPr>
              <w:t>15</w:t>
            </w:r>
          </w:p>
          <w:p w14:paraId="2FA45008" w14:textId="77777777" w:rsidR="001C08A5" w:rsidRDefault="00000000">
            <w:pPr>
              <w:jc w:val="center"/>
              <w:rPr>
                <w:b/>
                <w:bCs/>
                <w:i/>
                <w:iCs/>
                <w:lang w:eastAsia="zh-CN"/>
              </w:rPr>
            </w:pPr>
            <w:r>
              <w:rPr>
                <w:b/>
                <w:bCs/>
                <w:i/>
                <w:iCs/>
                <w:lang w:eastAsia="zh-CN"/>
              </w:rPr>
              <w:t>min.</w:t>
            </w:r>
          </w:p>
          <w:p w14:paraId="4D9EFF4C" w14:textId="77777777" w:rsidR="001C08A5" w:rsidRDefault="00000000">
            <w:pPr>
              <w:jc w:val="center"/>
              <w:rPr>
                <w:b/>
                <w:bCs/>
                <w:i/>
                <w:iCs/>
                <w:lang w:val="en-GB"/>
              </w:rPr>
            </w:pPr>
            <w:r>
              <w:rPr>
                <w:b/>
                <w:bCs/>
                <w:i/>
                <w:iCs/>
                <w:lang w:eastAsia="zh-CN"/>
              </w:rPr>
              <w:t xml:space="preserve">C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547" w:type="dxa"/>
            <w:shd w:val="clear" w:color="auto" w:fill="D9D9D9"/>
            <w:vAlign w:val="center"/>
          </w:tcPr>
          <w:p w14:paraId="67B4EFE2" w14:textId="77777777" w:rsidR="001C08A5" w:rsidRDefault="00000000">
            <w:pPr>
              <w:jc w:val="center"/>
              <w:rPr>
                <w:b/>
                <w:bCs/>
                <w:i/>
                <w:iCs/>
                <w:lang w:val="en-GB"/>
              </w:rPr>
            </w:pPr>
            <w:r>
              <w:rPr>
                <w:b/>
                <w:bCs/>
                <w:i/>
                <w:iCs/>
                <w:lang w:val="en-GB"/>
              </w:rPr>
              <w:t>-</w:t>
            </w:r>
          </w:p>
          <w:p w14:paraId="236392CF" w14:textId="77777777" w:rsidR="001C08A5" w:rsidRDefault="00000000">
            <w:pPr>
              <w:jc w:val="center"/>
              <w:rPr>
                <w:b/>
                <w:bCs/>
                <w:i/>
                <w:iCs/>
                <w:lang w:eastAsia="zh-CN"/>
              </w:rPr>
            </w:pPr>
            <w:r>
              <w:rPr>
                <w:b/>
                <w:bCs/>
                <w:i/>
                <w:iCs/>
                <w:lang w:eastAsia="zh-CN"/>
              </w:rPr>
              <w:t>min.</w:t>
            </w:r>
          </w:p>
          <w:p w14:paraId="3E03E3A5" w14:textId="77777777" w:rsidR="001C08A5" w:rsidRDefault="00000000">
            <w:pPr>
              <w:jc w:val="center"/>
              <w:rPr>
                <w:b/>
                <w:bCs/>
                <w:i/>
                <w:iCs/>
                <w:lang w:eastAsia="zh-CN"/>
              </w:rPr>
            </w:pPr>
            <w:r>
              <w:rPr>
                <w:b/>
                <w:bCs/>
                <w:i/>
                <w:iCs/>
                <w:lang w:eastAsia="zh-CN"/>
              </w:rPr>
              <w:t xml:space="preserve">A2 </w:t>
            </w:r>
            <w:r>
              <w:rPr>
                <w:b/>
                <w:bCs/>
                <w:i/>
                <w:iCs/>
                <w:lang w:val="en-US" w:eastAsia="zh-CN"/>
              </w:rPr>
              <w:t>s1÷</w:t>
            </w:r>
            <w:r>
              <w:rPr>
                <w:b/>
                <w:bCs/>
                <w:i/>
                <w:iCs/>
                <w:lang w:eastAsia="zh-CN"/>
              </w:rPr>
              <w:t>s3</w:t>
            </w:r>
            <w:r>
              <w:rPr>
                <w:b/>
                <w:bCs/>
                <w:i/>
                <w:iCs/>
                <w:lang w:val="en-US" w:eastAsia="zh-CN"/>
              </w:rPr>
              <w:t>, d</w:t>
            </w:r>
            <w:r>
              <w:rPr>
                <w:b/>
                <w:bCs/>
                <w:i/>
                <w:iCs/>
                <w:lang w:eastAsia="zh-CN"/>
              </w:rPr>
              <w:t>2</w:t>
            </w:r>
          </w:p>
          <w:p w14:paraId="3640FF9E" w14:textId="77777777" w:rsidR="001C08A5" w:rsidRDefault="00000000">
            <w:pPr>
              <w:jc w:val="center"/>
              <w:rPr>
                <w:b/>
                <w:bCs/>
                <w:i/>
                <w:iCs/>
                <w:lang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d</w:t>
            </w:r>
            <w:r>
              <w:rPr>
                <w:b/>
                <w:bCs/>
                <w:i/>
                <w:iCs/>
                <w:lang w:eastAsia="zh-CN"/>
              </w:rPr>
              <w:t>2</w:t>
            </w:r>
          </w:p>
          <w:p w14:paraId="769B1F98" w14:textId="77777777" w:rsidR="001C08A5" w:rsidRDefault="00000000">
            <w:pPr>
              <w:jc w:val="center"/>
              <w:rPr>
                <w:b/>
                <w:bCs/>
                <w:i/>
                <w:iCs/>
                <w:lang w:eastAsia="zh-CN"/>
              </w:rPr>
            </w:pPr>
            <w:r>
              <w:rPr>
                <w:b/>
                <w:bCs/>
                <w:i/>
                <w:iCs/>
                <w:lang w:eastAsia="zh-CN"/>
              </w:rPr>
              <w:t xml:space="preserve">C </w:t>
            </w:r>
            <w:r>
              <w:rPr>
                <w:b/>
                <w:bCs/>
                <w:i/>
                <w:iCs/>
                <w:lang w:val="en-US" w:eastAsia="zh-CN"/>
              </w:rPr>
              <w:t>s1÷</w:t>
            </w:r>
            <w:r>
              <w:rPr>
                <w:b/>
                <w:bCs/>
                <w:i/>
                <w:iCs/>
                <w:lang w:eastAsia="zh-CN"/>
              </w:rPr>
              <w:t>s3</w:t>
            </w:r>
            <w:r>
              <w:rPr>
                <w:b/>
                <w:bCs/>
                <w:i/>
                <w:iCs/>
                <w:lang w:val="en-US" w:eastAsia="zh-CN"/>
              </w:rPr>
              <w:t>, d</w:t>
            </w:r>
            <w:r>
              <w:rPr>
                <w:b/>
                <w:bCs/>
                <w:i/>
                <w:iCs/>
                <w:lang w:eastAsia="zh-CN"/>
              </w:rPr>
              <w:t>2</w:t>
            </w:r>
          </w:p>
          <w:p w14:paraId="38180A32" w14:textId="77777777" w:rsidR="001C08A5" w:rsidRDefault="00000000">
            <w:pPr>
              <w:jc w:val="center"/>
              <w:rPr>
                <w:b/>
                <w:bCs/>
                <w:i/>
                <w:iCs/>
                <w:lang w:eastAsia="zh-CN"/>
              </w:rPr>
            </w:pPr>
            <w:r>
              <w:rPr>
                <w:b/>
                <w:bCs/>
                <w:i/>
                <w:iCs/>
                <w:lang w:eastAsia="zh-CN"/>
              </w:rPr>
              <w:t xml:space="preserve">D </w:t>
            </w:r>
            <w:r>
              <w:rPr>
                <w:b/>
                <w:bCs/>
                <w:i/>
                <w:iCs/>
                <w:lang w:val="en-US" w:eastAsia="zh-CN"/>
              </w:rPr>
              <w:t>s1÷</w:t>
            </w:r>
            <w:r>
              <w:rPr>
                <w:b/>
                <w:bCs/>
                <w:i/>
                <w:iCs/>
                <w:lang w:eastAsia="zh-CN"/>
              </w:rPr>
              <w:t>s3</w:t>
            </w:r>
            <w:r>
              <w:rPr>
                <w:b/>
                <w:bCs/>
                <w:i/>
                <w:iCs/>
                <w:lang w:val="en-US" w:eastAsia="zh-CN"/>
              </w:rPr>
              <w:t>, d</w:t>
            </w:r>
            <w:r>
              <w:rPr>
                <w:b/>
                <w:bCs/>
                <w:i/>
                <w:iCs/>
                <w:lang w:eastAsia="zh-CN"/>
              </w:rPr>
              <w:t>2</w:t>
            </w:r>
          </w:p>
          <w:p w14:paraId="0D4C034C" w14:textId="77777777" w:rsidR="001C08A5" w:rsidRDefault="00000000">
            <w:pPr>
              <w:jc w:val="center"/>
              <w:rPr>
                <w:b/>
                <w:bCs/>
                <w:i/>
                <w:iCs/>
                <w:lang w:val="en-GB"/>
              </w:rPr>
            </w:pPr>
            <w:r>
              <w:rPr>
                <w:b/>
                <w:bCs/>
                <w:i/>
                <w:iCs/>
                <w:lang w:eastAsia="zh-CN"/>
              </w:rPr>
              <w:t>E</w:t>
            </w:r>
            <w:r>
              <w:rPr>
                <w:b/>
                <w:bCs/>
                <w:i/>
                <w:iCs/>
                <w:lang w:val="en-US" w:eastAsia="zh-CN"/>
              </w:rPr>
              <w:t xml:space="preserve"> d</w:t>
            </w:r>
            <w:r>
              <w:rPr>
                <w:b/>
                <w:bCs/>
                <w:i/>
                <w:iCs/>
                <w:lang w:eastAsia="zh-CN"/>
              </w:rPr>
              <w:t>2</w:t>
            </w:r>
          </w:p>
        </w:tc>
      </w:tr>
      <w:tr w:rsidR="001C08A5" w14:paraId="16819E1A" w14:textId="77777777">
        <w:trPr>
          <w:cantSplit/>
          <w:trHeight w:val="260"/>
        </w:trPr>
        <w:tc>
          <w:tcPr>
            <w:tcW w:w="478" w:type="dxa"/>
            <w:shd w:val="clear" w:color="auto" w:fill="D9D9D9"/>
            <w:vAlign w:val="center"/>
          </w:tcPr>
          <w:p w14:paraId="53E8DF1A" w14:textId="77777777" w:rsidR="001C08A5" w:rsidRDefault="00000000">
            <w:pPr>
              <w:rPr>
                <w:b/>
                <w:bCs/>
                <w:i/>
                <w:iCs/>
              </w:rPr>
            </w:pPr>
            <w:r>
              <w:rPr>
                <w:b/>
                <w:bCs/>
                <w:i/>
                <w:iCs/>
              </w:rPr>
              <w:lastRenderedPageBreak/>
              <w:t>3</w:t>
            </w:r>
          </w:p>
        </w:tc>
        <w:tc>
          <w:tcPr>
            <w:tcW w:w="2955" w:type="dxa"/>
            <w:gridSpan w:val="2"/>
            <w:shd w:val="clear" w:color="auto" w:fill="D9D9D9"/>
            <w:vAlign w:val="center"/>
          </w:tcPr>
          <w:p w14:paraId="27C3BEC4" w14:textId="77777777" w:rsidR="001C08A5" w:rsidRDefault="00000000">
            <w:pPr>
              <w:rPr>
                <w:b/>
                <w:bCs/>
                <w:i/>
                <w:iCs/>
              </w:rPr>
            </w:pPr>
            <w:r>
              <w:rPr>
                <w:b/>
                <w:bCs/>
                <w:i/>
                <w:iCs/>
              </w:rPr>
              <w:t>planșee</w:t>
            </w:r>
            <w:r>
              <w:rPr>
                <w:b/>
                <w:bCs/>
                <w:i/>
                <w:iCs/>
                <w:lang w:val="en-GB"/>
              </w:rPr>
              <w:t xml:space="preserve"> (</w:t>
            </w:r>
            <w:r>
              <w:rPr>
                <w:b/>
                <w:bCs/>
                <w:i/>
                <w:iCs/>
                <w:lang w:val="en-GB" w:eastAsia="zh-CN"/>
              </w:rPr>
              <w:t>planșee nervuri, acoperișuri terasă</w:t>
            </w:r>
            <w:r>
              <w:rPr>
                <w:b/>
                <w:bCs/>
                <w:i/>
                <w:iCs/>
                <w:lang w:val="en-GB"/>
              </w:rPr>
              <w:t>) (REI)</w:t>
            </w:r>
          </w:p>
        </w:tc>
        <w:tc>
          <w:tcPr>
            <w:tcW w:w="960" w:type="dxa"/>
            <w:shd w:val="clear" w:color="auto" w:fill="D9D9D9"/>
            <w:vAlign w:val="center"/>
          </w:tcPr>
          <w:p w14:paraId="1B7A2246" w14:textId="77777777" w:rsidR="001C08A5" w:rsidRDefault="00000000">
            <w:pPr>
              <w:jc w:val="center"/>
              <w:rPr>
                <w:b/>
                <w:bCs/>
                <w:i/>
                <w:iCs/>
                <w:lang w:val="en-GB"/>
              </w:rPr>
            </w:pPr>
            <w:r>
              <w:rPr>
                <w:b/>
                <w:bCs/>
                <w:i/>
                <w:iCs/>
              </w:rPr>
              <w:t>6</w:t>
            </w:r>
            <w:r>
              <w:rPr>
                <w:b/>
                <w:bCs/>
                <w:i/>
                <w:iCs/>
                <w:lang w:val="en-GB"/>
              </w:rPr>
              <w:t>0</w:t>
            </w:r>
          </w:p>
          <w:p w14:paraId="37818C54" w14:textId="77777777" w:rsidR="001C08A5" w:rsidRDefault="00000000">
            <w:pPr>
              <w:jc w:val="center"/>
              <w:rPr>
                <w:b/>
                <w:bCs/>
                <w:i/>
                <w:iCs/>
              </w:rPr>
            </w:pPr>
            <w:r>
              <w:rPr>
                <w:b/>
                <w:bCs/>
                <w:i/>
                <w:iCs/>
              </w:rPr>
              <w:t>A1</w:t>
            </w:r>
          </w:p>
          <w:p w14:paraId="7FF1557E" w14:textId="77777777" w:rsidR="001C08A5" w:rsidRDefault="00000000">
            <w:pPr>
              <w:jc w:val="center"/>
              <w:rPr>
                <w:b/>
                <w:bCs/>
                <w:i/>
                <w:iCs/>
                <w:lang w:val="en-GB"/>
              </w:rPr>
            </w:pPr>
            <w:r>
              <w:rPr>
                <w:b/>
                <w:bCs/>
                <w:i/>
                <w:iCs/>
              </w:rPr>
              <w:t>A2s1d0</w:t>
            </w:r>
          </w:p>
        </w:tc>
        <w:tc>
          <w:tcPr>
            <w:tcW w:w="1080" w:type="dxa"/>
            <w:shd w:val="clear" w:color="auto" w:fill="D9D9D9"/>
            <w:vAlign w:val="center"/>
          </w:tcPr>
          <w:p w14:paraId="6869C0F3" w14:textId="77777777" w:rsidR="001C08A5" w:rsidRDefault="00000000">
            <w:pPr>
              <w:jc w:val="center"/>
              <w:rPr>
                <w:b/>
                <w:bCs/>
                <w:i/>
                <w:iCs/>
              </w:rPr>
            </w:pPr>
            <w:r>
              <w:rPr>
                <w:b/>
                <w:bCs/>
                <w:i/>
                <w:iCs/>
              </w:rPr>
              <w:t>45 (30)</w:t>
            </w:r>
          </w:p>
          <w:p w14:paraId="3C1C25FC" w14:textId="77777777" w:rsidR="001C08A5" w:rsidRDefault="00000000">
            <w:pPr>
              <w:jc w:val="center"/>
              <w:rPr>
                <w:b/>
                <w:bCs/>
                <w:i/>
                <w:iCs/>
              </w:rPr>
            </w:pPr>
            <w:r>
              <w:rPr>
                <w:b/>
                <w:bCs/>
                <w:i/>
                <w:iCs/>
              </w:rPr>
              <w:t>A1</w:t>
            </w:r>
          </w:p>
          <w:p w14:paraId="1EEA0A1E" w14:textId="77777777" w:rsidR="001C08A5" w:rsidRDefault="00000000">
            <w:pPr>
              <w:jc w:val="center"/>
              <w:rPr>
                <w:b/>
                <w:bCs/>
                <w:i/>
                <w:iCs/>
                <w:lang w:val="en-GB"/>
              </w:rPr>
            </w:pPr>
            <w:r>
              <w:rPr>
                <w:b/>
                <w:bCs/>
                <w:i/>
                <w:iCs/>
              </w:rPr>
              <w:t>A2s1d0</w:t>
            </w:r>
          </w:p>
        </w:tc>
        <w:tc>
          <w:tcPr>
            <w:tcW w:w="1665" w:type="dxa"/>
            <w:shd w:val="clear" w:color="auto" w:fill="D9D9D9"/>
            <w:vAlign w:val="center"/>
          </w:tcPr>
          <w:p w14:paraId="1392E503" w14:textId="77777777" w:rsidR="001C08A5" w:rsidRDefault="00000000">
            <w:pPr>
              <w:jc w:val="center"/>
              <w:rPr>
                <w:b/>
                <w:bCs/>
                <w:i/>
                <w:iCs/>
              </w:rPr>
            </w:pPr>
            <w:r>
              <w:rPr>
                <w:b/>
                <w:bCs/>
                <w:i/>
                <w:iCs/>
              </w:rPr>
              <w:t>45 (30)</w:t>
            </w:r>
          </w:p>
          <w:p w14:paraId="05685BD7" w14:textId="77777777" w:rsidR="001C08A5" w:rsidRDefault="00000000">
            <w:pPr>
              <w:jc w:val="center"/>
              <w:rPr>
                <w:b/>
                <w:bCs/>
                <w:i/>
                <w:iCs/>
                <w:lang w:eastAsia="zh-CN"/>
              </w:rPr>
            </w:pPr>
            <w:r>
              <w:rPr>
                <w:b/>
                <w:bCs/>
                <w:i/>
                <w:iCs/>
                <w:lang w:eastAsia="zh-CN"/>
              </w:rPr>
              <w:t>min.</w:t>
            </w:r>
          </w:p>
          <w:p w14:paraId="0F97FFFB" w14:textId="77777777" w:rsidR="001C08A5" w:rsidRDefault="00000000">
            <w:pPr>
              <w:jc w:val="center"/>
              <w:rPr>
                <w:b/>
                <w:bCs/>
                <w:i/>
                <w:iCs/>
                <w:lang w:val="en-US" w:eastAsia="zh-CN"/>
              </w:rPr>
            </w:pPr>
            <w:r>
              <w:rPr>
                <w:b/>
                <w:bCs/>
                <w:i/>
                <w:iCs/>
                <w:lang w:val="en-US" w:eastAsia="zh-CN"/>
              </w:rPr>
              <w:t>A2s1÷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5543EE7D" w14:textId="77777777" w:rsidR="001C08A5" w:rsidRDefault="00000000">
            <w:pPr>
              <w:jc w:val="center"/>
              <w:rPr>
                <w:b/>
                <w:bCs/>
                <w:i/>
                <w:iCs/>
                <w:lang w:val="en-GB"/>
              </w:rPr>
            </w:pPr>
            <w:r>
              <w:rPr>
                <w:b/>
                <w:bCs/>
                <w:i/>
                <w:iCs/>
                <w:lang w:eastAsia="zh-CN"/>
              </w:rPr>
              <w:t xml:space="preserve">B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170" w:type="dxa"/>
            <w:shd w:val="clear" w:color="auto" w:fill="D9D9D9"/>
            <w:vAlign w:val="center"/>
          </w:tcPr>
          <w:p w14:paraId="2A2114FE" w14:textId="77777777" w:rsidR="001C08A5" w:rsidRDefault="00000000">
            <w:pPr>
              <w:jc w:val="center"/>
              <w:rPr>
                <w:b/>
                <w:bCs/>
                <w:i/>
                <w:iCs/>
              </w:rPr>
            </w:pPr>
            <w:r>
              <w:rPr>
                <w:b/>
                <w:bCs/>
                <w:i/>
                <w:iCs/>
              </w:rPr>
              <w:t>15</w:t>
            </w:r>
          </w:p>
          <w:p w14:paraId="522F171C" w14:textId="77777777" w:rsidR="001C08A5" w:rsidRDefault="00000000">
            <w:pPr>
              <w:jc w:val="center"/>
              <w:rPr>
                <w:b/>
                <w:bCs/>
                <w:i/>
                <w:iCs/>
                <w:lang w:eastAsia="zh-CN"/>
              </w:rPr>
            </w:pPr>
            <w:r>
              <w:rPr>
                <w:b/>
                <w:bCs/>
                <w:i/>
                <w:iCs/>
                <w:lang w:eastAsia="zh-CN"/>
              </w:rPr>
              <w:t>min.</w:t>
            </w:r>
          </w:p>
          <w:p w14:paraId="739667E8" w14:textId="77777777" w:rsidR="001C08A5" w:rsidRDefault="00000000">
            <w:pPr>
              <w:jc w:val="center"/>
              <w:rPr>
                <w:b/>
                <w:bCs/>
                <w:i/>
                <w:iCs/>
                <w:lang w:val="en-GB"/>
              </w:rPr>
            </w:pPr>
            <w:r>
              <w:rPr>
                <w:b/>
                <w:bCs/>
                <w:i/>
                <w:iCs/>
                <w:lang w:eastAsia="zh-CN"/>
              </w:rPr>
              <w:t xml:space="preserve">C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547" w:type="dxa"/>
            <w:shd w:val="clear" w:color="auto" w:fill="D9D9D9"/>
            <w:vAlign w:val="center"/>
          </w:tcPr>
          <w:p w14:paraId="6C1D2E35" w14:textId="77777777" w:rsidR="001C08A5" w:rsidRDefault="00000000">
            <w:pPr>
              <w:jc w:val="center"/>
              <w:rPr>
                <w:b/>
                <w:bCs/>
                <w:i/>
                <w:iCs/>
                <w:lang w:val="en-GB"/>
              </w:rPr>
            </w:pPr>
            <w:r>
              <w:rPr>
                <w:b/>
                <w:bCs/>
                <w:i/>
                <w:iCs/>
                <w:lang w:val="en-GB"/>
              </w:rPr>
              <w:t>-</w:t>
            </w:r>
          </w:p>
          <w:p w14:paraId="36829C11" w14:textId="77777777" w:rsidR="001C08A5" w:rsidRDefault="00000000">
            <w:pPr>
              <w:jc w:val="center"/>
              <w:rPr>
                <w:b/>
                <w:bCs/>
                <w:i/>
                <w:iCs/>
                <w:lang w:eastAsia="zh-CN"/>
              </w:rPr>
            </w:pPr>
            <w:r>
              <w:rPr>
                <w:b/>
                <w:bCs/>
                <w:i/>
                <w:iCs/>
                <w:lang w:eastAsia="zh-CN"/>
              </w:rPr>
              <w:t>min.</w:t>
            </w:r>
          </w:p>
          <w:p w14:paraId="4BAA18E8" w14:textId="77777777" w:rsidR="001C08A5" w:rsidRDefault="00000000">
            <w:pPr>
              <w:jc w:val="center"/>
              <w:rPr>
                <w:b/>
                <w:bCs/>
                <w:i/>
                <w:iCs/>
                <w:lang w:eastAsia="zh-CN"/>
              </w:rPr>
            </w:pPr>
            <w:r>
              <w:rPr>
                <w:b/>
                <w:bCs/>
                <w:i/>
                <w:iCs/>
                <w:lang w:eastAsia="zh-CN"/>
              </w:rPr>
              <w:t xml:space="preserve">A2 </w:t>
            </w:r>
            <w:r>
              <w:rPr>
                <w:b/>
                <w:bCs/>
                <w:i/>
                <w:iCs/>
                <w:lang w:val="en-US" w:eastAsia="zh-CN"/>
              </w:rPr>
              <w:t>s1÷</w:t>
            </w:r>
            <w:r>
              <w:rPr>
                <w:b/>
                <w:bCs/>
                <w:i/>
                <w:iCs/>
                <w:lang w:eastAsia="zh-CN"/>
              </w:rPr>
              <w:t>s3</w:t>
            </w:r>
            <w:r>
              <w:rPr>
                <w:b/>
                <w:bCs/>
                <w:i/>
                <w:iCs/>
                <w:lang w:val="en-US" w:eastAsia="zh-CN"/>
              </w:rPr>
              <w:t>, d</w:t>
            </w:r>
            <w:r>
              <w:rPr>
                <w:b/>
                <w:bCs/>
                <w:i/>
                <w:iCs/>
                <w:lang w:eastAsia="zh-CN"/>
              </w:rPr>
              <w:t>2</w:t>
            </w:r>
          </w:p>
          <w:p w14:paraId="578A693A" w14:textId="77777777" w:rsidR="001C08A5" w:rsidRDefault="00000000">
            <w:pPr>
              <w:jc w:val="center"/>
              <w:rPr>
                <w:b/>
                <w:bCs/>
                <w:i/>
                <w:iCs/>
                <w:lang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d</w:t>
            </w:r>
            <w:r>
              <w:rPr>
                <w:b/>
                <w:bCs/>
                <w:i/>
                <w:iCs/>
                <w:lang w:eastAsia="zh-CN"/>
              </w:rPr>
              <w:t>2</w:t>
            </w:r>
          </w:p>
          <w:p w14:paraId="73F3B3F4" w14:textId="77777777" w:rsidR="001C08A5" w:rsidRDefault="00000000">
            <w:pPr>
              <w:jc w:val="center"/>
              <w:rPr>
                <w:b/>
                <w:bCs/>
                <w:i/>
                <w:iCs/>
                <w:lang w:eastAsia="zh-CN"/>
              </w:rPr>
            </w:pPr>
            <w:r>
              <w:rPr>
                <w:b/>
                <w:bCs/>
                <w:i/>
                <w:iCs/>
                <w:lang w:eastAsia="zh-CN"/>
              </w:rPr>
              <w:t xml:space="preserve">C </w:t>
            </w:r>
            <w:r>
              <w:rPr>
                <w:b/>
                <w:bCs/>
                <w:i/>
                <w:iCs/>
                <w:lang w:val="en-US" w:eastAsia="zh-CN"/>
              </w:rPr>
              <w:t>s1÷</w:t>
            </w:r>
            <w:r>
              <w:rPr>
                <w:b/>
                <w:bCs/>
                <w:i/>
                <w:iCs/>
                <w:lang w:eastAsia="zh-CN"/>
              </w:rPr>
              <w:t>s3</w:t>
            </w:r>
            <w:r>
              <w:rPr>
                <w:b/>
                <w:bCs/>
                <w:i/>
                <w:iCs/>
                <w:lang w:val="en-US" w:eastAsia="zh-CN"/>
              </w:rPr>
              <w:t>, d</w:t>
            </w:r>
            <w:r>
              <w:rPr>
                <w:b/>
                <w:bCs/>
                <w:i/>
                <w:iCs/>
                <w:lang w:eastAsia="zh-CN"/>
              </w:rPr>
              <w:t>2</w:t>
            </w:r>
          </w:p>
          <w:p w14:paraId="674B8855" w14:textId="77777777" w:rsidR="001C08A5" w:rsidRDefault="00000000">
            <w:pPr>
              <w:jc w:val="center"/>
              <w:rPr>
                <w:b/>
                <w:bCs/>
                <w:i/>
                <w:iCs/>
                <w:lang w:eastAsia="zh-CN"/>
              </w:rPr>
            </w:pPr>
            <w:r>
              <w:rPr>
                <w:b/>
                <w:bCs/>
                <w:i/>
                <w:iCs/>
                <w:lang w:eastAsia="zh-CN"/>
              </w:rPr>
              <w:t xml:space="preserve">D </w:t>
            </w:r>
            <w:r>
              <w:rPr>
                <w:b/>
                <w:bCs/>
                <w:i/>
                <w:iCs/>
                <w:lang w:val="en-US" w:eastAsia="zh-CN"/>
              </w:rPr>
              <w:t>s1÷</w:t>
            </w:r>
            <w:r>
              <w:rPr>
                <w:b/>
                <w:bCs/>
                <w:i/>
                <w:iCs/>
                <w:lang w:eastAsia="zh-CN"/>
              </w:rPr>
              <w:t>s3</w:t>
            </w:r>
            <w:r>
              <w:rPr>
                <w:b/>
                <w:bCs/>
                <w:i/>
                <w:iCs/>
                <w:lang w:val="en-US" w:eastAsia="zh-CN"/>
              </w:rPr>
              <w:t>, d</w:t>
            </w:r>
            <w:r>
              <w:rPr>
                <w:b/>
                <w:bCs/>
                <w:i/>
                <w:iCs/>
                <w:lang w:eastAsia="zh-CN"/>
              </w:rPr>
              <w:t>2</w:t>
            </w:r>
          </w:p>
          <w:p w14:paraId="57BA05E9" w14:textId="77777777" w:rsidR="001C08A5" w:rsidRDefault="00000000">
            <w:pPr>
              <w:jc w:val="center"/>
              <w:rPr>
                <w:b/>
                <w:bCs/>
                <w:i/>
                <w:iCs/>
                <w:lang w:val="en-GB"/>
              </w:rPr>
            </w:pPr>
            <w:r>
              <w:rPr>
                <w:b/>
                <w:bCs/>
                <w:i/>
                <w:iCs/>
                <w:lang w:eastAsia="zh-CN"/>
              </w:rPr>
              <w:t>E</w:t>
            </w:r>
            <w:r>
              <w:rPr>
                <w:b/>
                <w:bCs/>
                <w:i/>
                <w:iCs/>
                <w:lang w:val="en-US" w:eastAsia="zh-CN"/>
              </w:rPr>
              <w:t xml:space="preserve"> d</w:t>
            </w:r>
            <w:r>
              <w:rPr>
                <w:b/>
                <w:bCs/>
                <w:i/>
                <w:iCs/>
                <w:lang w:eastAsia="zh-CN"/>
              </w:rPr>
              <w:t>2</w:t>
            </w:r>
          </w:p>
        </w:tc>
      </w:tr>
      <w:tr w:rsidR="001C08A5" w14:paraId="0C49F034" w14:textId="77777777">
        <w:trPr>
          <w:cantSplit/>
          <w:trHeight w:val="260"/>
        </w:trPr>
        <w:tc>
          <w:tcPr>
            <w:tcW w:w="478" w:type="dxa"/>
            <w:shd w:val="clear" w:color="auto" w:fill="D9D9D9"/>
            <w:vAlign w:val="center"/>
          </w:tcPr>
          <w:p w14:paraId="059B18DA" w14:textId="77777777" w:rsidR="001C08A5" w:rsidRDefault="00000000">
            <w:pPr>
              <w:rPr>
                <w:b/>
                <w:bCs/>
                <w:i/>
                <w:iCs/>
              </w:rPr>
            </w:pPr>
            <w:r>
              <w:rPr>
                <w:b/>
                <w:bCs/>
                <w:i/>
                <w:iCs/>
              </w:rPr>
              <w:t>4</w:t>
            </w:r>
          </w:p>
        </w:tc>
        <w:tc>
          <w:tcPr>
            <w:tcW w:w="2955" w:type="dxa"/>
            <w:gridSpan w:val="2"/>
            <w:shd w:val="clear" w:color="auto" w:fill="D9D9D9"/>
            <w:vAlign w:val="center"/>
          </w:tcPr>
          <w:p w14:paraId="2A1508A9" w14:textId="77777777" w:rsidR="001C08A5" w:rsidRDefault="00000000">
            <w:pPr>
              <w:rPr>
                <w:b/>
                <w:bCs/>
                <w:i/>
                <w:iCs/>
              </w:rPr>
            </w:pPr>
            <w:r>
              <w:rPr>
                <w:b/>
                <w:bCs/>
                <w:i/>
                <w:iCs/>
                <w:lang w:val="en-GB"/>
              </w:rPr>
              <w:t xml:space="preserve">PERETI PORTANTI (STRUCTURALI) </w:t>
            </w:r>
            <w:r>
              <w:rPr>
                <w:b/>
                <w:bCs/>
                <w:i/>
                <w:iCs/>
              </w:rPr>
              <w:t>cu rol de limitare a propagării focului</w:t>
            </w:r>
            <w:r>
              <w:rPr>
                <w:b/>
                <w:bCs/>
                <w:i/>
                <w:iCs/>
                <w:lang w:val="en-GB"/>
              </w:rPr>
              <w:t xml:space="preserve"> (REI)</w:t>
            </w:r>
          </w:p>
        </w:tc>
        <w:tc>
          <w:tcPr>
            <w:tcW w:w="960" w:type="dxa"/>
            <w:shd w:val="clear" w:color="auto" w:fill="D9D9D9"/>
            <w:vAlign w:val="center"/>
          </w:tcPr>
          <w:p w14:paraId="03FA0E58" w14:textId="77777777" w:rsidR="001C08A5" w:rsidRDefault="00000000">
            <w:pPr>
              <w:jc w:val="center"/>
              <w:rPr>
                <w:b/>
                <w:bCs/>
                <w:i/>
                <w:iCs/>
                <w:lang w:val="en-GB"/>
              </w:rPr>
            </w:pPr>
            <w:r>
              <w:rPr>
                <w:b/>
                <w:bCs/>
                <w:i/>
                <w:iCs/>
                <w:lang w:val="en-GB"/>
              </w:rPr>
              <w:t>180</w:t>
            </w:r>
          </w:p>
          <w:p w14:paraId="2B04FC5E" w14:textId="77777777" w:rsidR="001C08A5" w:rsidRDefault="00000000">
            <w:pPr>
              <w:jc w:val="center"/>
              <w:rPr>
                <w:b/>
                <w:bCs/>
                <w:i/>
                <w:iCs/>
              </w:rPr>
            </w:pPr>
            <w:r>
              <w:rPr>
                <w:b/>
                <w:bCs/>
                <w:i/>
                <w:iCs/>
              </w:rPr>
              <w:t>A1</w:t>
            </w:r>
          </w:p>
          <w:p w14:paraId="7952770A" w14:textId="77777777" w:rsidR="001C08A5" w:rsidRDefault="00000000">
            <w:pPr>
              <w:jc w:val="center"/>
              <w:rPr>
                <w:b/>
                <w:bCs/>
                <w:i/>
                <w:iCs/>
                <w:lang w:val="en-GB"/>
              </w:rPr>
            </w:pPr>
            <w:r>
              <w:rPr>
                <w:b/>
                <w:bCs/>
                <w:i/>
                <w:iCs/>
              </w:rPr>
              <w:t>A2s1d0</w:t>
            </w:r>
          </w:p>
        </w:tc>
        <w:tc>
          <w:tcPr>
            <w:tcW w:w="1080" w:type="dxa"/>
            <w:shd w:val="clear" w:color="auto" w:fill="D9D9D9"/>
            <w:vAlign w:val="center"/>
          </w:tcPr>
          <w:p w14:paraId="6BADB31D" w14:textId="77777777" w:rsidR="001C08A5" w:rsidRDefault="00000000">
            <w:pPr>
              <w:jc w:val="center"/>
              <w:rPr>
                <w:b/>
                <w:bCs/>
                <w:i/>
                <w:iCs/>
                <w:lang w:val="en-GB"/>
              </w:rPr>
            </w:pPr>
            <w:r>
              <w:rPr>
                <w:b/>
                <w:bCs/>
                <w:i/>
                <w:iCs/>
                <w:lang w:val="en-GB"/>
              </w:rPr>
              <w:t>120</w:t>
            </w:r>
          </w:p>
          <w:p w14:paraId="01BD62BD" w14:textId="77777777" w:rsidR="001C08A5" w:rsidRDefault="00000000">
            <w:pPr>
              <w:jc w:val="center"/>
              <w:rPr>
                <w:b/>
                <w:bCs/>
                <w:i/>
                <w:iCs/>
              </w:rPr>
            </w:pPr>
            <w:r>
              <w:rPr>
                <w:b/>
                <w:bCs/>
                <w:i/>
                <w:iCs/>
              </w:rPr>
              <w:t>A1</w:t>
            </w:r>
          </w:p>
          <w:p w14:paraId="5981A23C" w14:textId="77777777" w:rsidR="001C08A5" w:rsidRDefault="00000000">
            <w:pPr>
              <w:jc w:val="center"/>
              <w:rPr>
                <w:b/>
                <w:bCs/>
                <w:i/>
                <w:iCs/>
                <w:lang w:val="en-GB"/>
              </w:rPr>
            </w:pPr>
            <w:r>
              <w:rPr>
                <w:b/>
                <w:bCs/>
                <w:i/>
                <w:iCs/>
              </w:rPr>
              <w:t>A2s1d0</w:t>
            </w:r>
          </w:p>
        </w:tc>
        <w:tc>
          <w:tcPr>
            <w:tcW w:w="1665" w:type="dxa"/>
            <w:shd w:val="clear" w:color="auto" w:fill="D9D9D9"/>
            <w:vAlign w:val="center"/>
          </w:tcPr>
          <w:p w14:paraId="5D39ACC4" w14:textId="77777777" w:rsidR="001C08A5" w:rsidRDefault="00000000">
            <w:pPr>
              <w:jc w:val="center"/>
              <w:rPr>
                <w:b/>
                <w:bCs/>
                <w:i/>
                <w:iCs/>
                <w:lang w:val="en-GB"/>
              </w:rPr>
            </w:pPr>
            <w:r>
              <w:rPr>
                <w:b/>
                <w:bCs/>
                <w:i/>
                <w:iCs/>
                <w:lang w:val="en-GB"/>
              </w:rPr>
              <w:t>60</w:t>
            </w:r>
          </w:p>
          <w:p w14:paraId="08A5CB4D" w14:textId="77777777" w:rsidR="001C08A5" w:rsidRDefault="00000000">
            <w:pPr>
              <w:jc w:val="center"/>
              <w:rPr>
                <w:b/>
                <w:bCs/>
                <w:i/>
                <w:iCs/>
                <w:lang w:eastAsia="zh-CN"/>
              </w:rPr>
            </w:pPr>
            <w:r>
              <w:rPr>
                <w:b/>
                <w:bCs/>
                <w:i/>
                <w:iCs/>
                <w:lang w:eastAsia="zh-CN"/>
              </w:rPr>
              <w:t>min.</w:t>
            </w:r>
          </w:p>
          <w:p w14:paraId="5B74F242" w14:textId="77777777" w:rsidR="001C08A5" w:rsidRDefault="00000000">
            <w:pPr>
              <w:jc w:val="center"/>
              <w:rPr>
                <w:b/>
                <w:bCs/>
                <w:i/>
                <w:iCs/>
                <w:lang w:val="en-US" w:eastAsia="zh-CN"/>
              </w:rPr>
            </w:pPr>
            <w:r>
              <w:rPr>
                <w:b/>
                <w:bCs/>
                <w:i/>
                <w:iCs/>
                <w:lang w:val="en-US" w:eastAsia="zh-CN"/>
              </w:rPr>
              <w:t>A2s1÷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307EAB0A" w14:textId="77777777" w:rsidR="001C08A5" w:rsidRDefault="00000000">
            <w:pPr>
              <w:jc w:val="center"/>
              <w:rPr>
                <w:b/>
                <w:bCs/>
                <w:i/>
                <w:iCs/>
                <w:lang w:val="en-GB"/>
              </w:rPr>
            </w:pPr>
            <w:r>
              <w:rPr>
                <w:b/>
                <w:bCs/>
                <w:i/>
                <w:iCs/>
                <w:lang w:eastAsia="zh-CN"/>
              </w:rPr>
              <w:t xml:space="preserve">B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170" w:type="dxa"/>
            <w:shd w:val="clear" w:color="auto" w:fill="D9D9D9"/>
            <w:vAlign w:val="center"/>
          </w:tcPr>
          <w:p w14:paraId="0674690A" w14:textId="77777777" w:rsidR="001C08A5" w:rsidRDefault="00000000">
            <w:pPr>
              <w:jc w:val="center"/>
              <w:rPr>
                <w:b/>
                <w:bCs/>
                <w:i/>
                <w:iCs/>
                <w:lang w:val="en-GB"/>
              </w:rPr>
            </w:pPr>
            <w:r>
              <w:rPr>
                <w:b/>
                <w:bCs/>
                <w:i/>
                <w:iCs/>
                <w:lang w:val="en-GB"/>
              </w:rPr>
              <w:t>30</w:t>
            </w:r>
          </w:p>
          <w:p w14:paraId="3AEE6645" w14:textId="77777777" w:rsidR="001C08A5" w:rsidRDefault="00000000">
            <w:pPr>
              <w:jc w:val="center"/>
              <w:rPr>
                <w:b/>
                <w:bCs/>
                <w:i/>
                <w:iCs/>
                <w:lang w:eastAsia="zh-CN"/>
              </w:rPr>
            </w:pPr>
            <w:r>
              <w:rPr>
                <w:b/>
                <w:bCs/>
                <w:i/>
                <w:iCs/>
                <w:lang w:eastAsia="zh-CN"/>
              </w:rPr>
              <w:t>min.</w:t>
            </w:r>
          </w:p>
          <w:p w14:paraId="66D64366" w14:textId="77777777" w:rsidR="001C08A5" w:rsidRDefault="00000000">
            <w:pPr>
              <w:jc w:val="center"/>
              <w:rPr>
                <w:b/>
                <w:bCs/>
                <w:i/>
                <w:iCs/>
                <w:lang w:val="en-GB"/>
              </w:rPr>
            </w:pPr>
            <w:r>
              <w:rPr>
                <w:b/>
                <w:bCs/>
                <w:i/>
                <w:iCs/>
                <w:lang w:eastAsia="zh-CN"/>
              </w:rPr>
              <w:t xml:space="preserve">C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547" w:type="dxa"/>
            <w:shd w:val="clear" w:color="auto" w:fill="D9D9D9"/>
            <w:vAlign w:val="center"/>
          </w:tcPr>
          <w:p w14:paraId="44E49432" w14:textId="77777777" w:rsidR="001C08A5" w:rsidRDefault="00000000">
            <w:pPr>
              <w:jc w:val="center"/>
              <w:rPr>
                <w:b/>
                <w:bCs/>
                <w:i/>
                <w:iCs/>
                <w:lang w:val="en-GB"/>
              </w:rPr>
            </w:pPr>
            <w:r>
              <w:rPr>
                <w:b/>
                <w:bCs/>
                <w:i/>
                <w:iCs/>
                <w:lang w:val="en-GB"/>
              </w:rPr>
              <w:t>-</w:t>
            </w:r>
          </w:p>
          <w:p w14:paraId="10160A79" w14:textId="77777777" w:rsidR="001C08A5" w:rsidRDefault="00000000">
            <w:pPr>
              <w:jc w:val="center"/>
              <w:rPr>
                <w:b/>
                <w:bCs/>
                <w:i/>
                <w:iCs/>
                <w:lang w:eastAsia="zh-CN"/>
              </w:rPr>
            </w:pPr>
            <w:r>
              <w:rPr>
                <w:b/>
                <w:bCs/>
                <w:i/>
                <w:iCs/>
                <w:lang w:eastAsia="zh-CN"/>
              </w:rPr>
              <w:t>min.</w:t>
            </w:r>
          </w:p>
          <w:p w14:paraId="389C824C" w14:textId="77777777" w:rsidR="001C08A5" w:rsidRDefault="00000000">
            <w:pPr>
              <w:jc w:val="center"/>
              <w:rPr>
                <w:b/>
                <w:bCs/>
                <w:i/>
                <w:iCs/>
                <w:lang w:eastAsia="zh-CN"/>
              </w:rPr>
            </w:pPr>
            <w:r>
              <w:rPr>
                <w:b/>
                <w:bCs/>
                <w:i/>
                <w:iCs/>
                <w:lang w:eastAsia="zh-CN"/>
              </w:rPr>
              <w:t xml:space="preserve">A2 </w:t>
            </w:r>
            <w:r>
              <w:rPr>
                <w:b/>
                <w:bCs/>
                <w:i/>
                <w:iCs/>
                <w:lang w:val="en-US" w:eastAsia="zh-CN"/>
              </w:rPr>
              <w:t>s1÷</w:t>
            </w:r>
            <w:r>
              <w:rPr>
                <w:b/>
                <w:bCs/>
                <w:i/>
                <w:iCs/>
                <w:lang w:eastAsia="zh-CN"/>
              </w:rPr>
              <w:t>s3</w:t>
            </w:r>
            <w:r>
              <w:rPr>
                <w:b/>
                <w:bCs/>
                <w:i/>
                <w:iCs/>
                <w:lang w:val="en-US" w:eastAsia="zh-CN"/>
              </w:rPr>
              <w:t>, d</w:t>
            </w:r>
            <w:r>
              <w:rPr>
                <w:b/>
                <w:bCs/>
                <w:i/>
                <w:iCs/>
                <w:lang w:eastAsia="zh-CN"/>
              </w:rPr>
              <w:t>2</w:t>
            </w:r>
          </w:p>
          <w:p w14:paraId="673F7C3E" w14:textId="77777777" w:rsidR="001C08A5" w:rsidRDefault="00000000">
            <w:pPr>
              <w:jc w:val="center"/>
              <w:rPr>
                <w:b/>
                <w:bCs/>
                <w:i/>
                <w:iCs/>
                <w:lang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d</w:t>
            </w:r>
            <w:r>
              <w:rPr>
                <w:b/>
                <w:bCs/>
                <w:i/>
                <w:iCs/>
                <w:lang w:eastAsia="zh-CN"/>
              </w:rPr>
              <w:t>2</w:t>
            </w:r>
          </w:p>
          <w:p w14:paraId="098E402D" w14:textId="77777777" w:rsidR="001C08A5" w:rsidRDefault="00000000">
            <w:pPr>
              <w:jc w:val="center"/>
              <w:rPr>
                <w:b/>
                <w:bCs/>
                <w:i/>
                <w:iCs/>
                <w:lang w:eastAsia="zh-CN"/>
              </w:rPr>
            </w:pPr>
            <w:r>
              <w:rPr>
                <w:b/>
                <w:bCs/>
                <w:i/>
                <w:iCs/>
                <w:lang w:eastAsia="zh-CN"/>
              </w:rPr>
              <w:t xml:space="preserve">C </w:t>
            </w:r>
            <w:r>
              <w:rPr>
                <w:b/>
                <w:bCs/>
                <w:i/>
                <w:iCs/>
                <w:lang w:val="en-US" w:eastAsia="zh-CN"/>
              </w:rPr>
              <w:t>s1÷</w:t>
            </w:r>
            <w:r>
              <w:rPr>
                <w:b/>
                <w:bCs/>
                <w:i/>
                <w:iCs/>
                <w:lang w:eastAsia="zh-CN"/>
              </w:rPr>
              <w:t>s3</w:t>
            </w:r>
            <w:r>
              <w:rPr>
                <w:b/>
                <w:bCs/>
                <w:i/>
                <w:iCs/>
                <w:lang w:val="en-US" w:eastAsia="zh-CN"/>
              </w:rPr>
              <w:t>, d</w:t>
            </w:r>
            <w:r>
              <w:rPr>
                <w:b/>
                <w:bCs/>
                <w:i/>
                <w:iCs/>
                <w:lang w:eastAsia="zh-CN"/>
              </w:rPr>
              <w:t>2</w:t>
            </w:r>
          </w:p>
          <w:p w14:paraId="3140B62C" w14:textId="77777777" w:rsidR="001C08A5" w:rsidRDefault="00000000">
            <w:pPr>
              <w:jc w:val="center"/>
              <w:rPr>
                <w:b/>
                <w:bCs/>
                <w:i/>
                <w:iCs/>
                <w:lang w:eastAsia="zh-CN"/>
              </w:rPr>
            </w:pPr>
            <w:r>
              <w:rPr>
                <w:b/>
                <w:bCs/>
                <w:i/>
                <w:iCs/>
                <w:lang w:eastAsia="zh-CN"/>
              </w:rPr>
              <w:t xml:space="preserve">D </w:t>
            </w:r>
            <w:r>
              <w:rPr>
                <w:b/>
                <w:bCs/>
                <w:i/>
                <w:iCs/>
                <w:lang w:val="en-US" w:eastAsia="zh-CN"/>
              </w:rPr>
              <w:t>s1÷</w:t>
            </w:r>
            <w:r>
              <w:rPr>
                <w:b/>
                <w:bCs/>
                <w:i/>
                <w:iCs/>
                <w:lang w:eastAsia="zh-CN"/>
              </w:rPr>
              <w:t>s3</w:t>
            </w:r>
            <w:r>
              <w:rPr>
                <w:b/>
                <w:bCs/>
                <w:i/>
                <w:iCs/>
                <w:lang w:val="en-US" w:eastAsia="zh-CN"/>
              </w:rPr>
              <w:t>, d</w:t>
            </w:r>
            <w:r>
              <w:rPr>
                <w:b/>
                <w:bCs/>
                <w:i/>
                <w:iCs/>
                <w:lang w:eastAsia="zh-CN"/>
              </w:rPr>
              <w:t>2</w:t>
            </w:r>
          </w:p>
          <w:p w14:paraId="1A9975D3" w14:textId="77777777" w:rsidR="001C08A5" w:rsidRDefault="00000000">
            <w:pPr>
              <w:jc w:val="center"/>
              <w:rPr>
                <w:b/>
                <w:bCs/>
                <w:i/>
                <w:iCs/>
                <w:lang w:val="en-GB"/>
              </w:rPr>
            </w:pPr>
            <w:r>
              <w:rPr>
                <w:b/>
                <w:bCs/>
                <w:i/>
                <w:iCs/>
                <w:lang w:eastAsia="zh-CN"/>
              </w:rPr>
              <w:t>E</w:t>
            </w:r>
            <w:r>
              <w:rPr>
                <w:b/>
                <w:bCs/>
                <w:i/>
                <w:iCs/>
                <w:lang w:val="en-US" w:eastAsia="zh-CN"/>
              </w:rPr>
              <w:t xml:space="preserve"> d</w:t>
            </w:r>
            <w:r>
              <w:rPr>
                <w:b/>
                <w:bCs/>
                <w:i/>
                <w:iCs/>
                <w:lang w:eastAsia="zh-CN"/>
              </w:rPr>
              <w:t>2</w:t>
            </w:r>
          </w:p>
        </w:tc>
      </w:tr>
      <w:tr w:rsidR="001C08A5" w14:paraId="71BC2AF7" w14:textId="77777777">
        <w:trPr>
          <w:cantSplit/>
          <w:trHeight w:val="260"/>
        </w:trPr>
        <w:tc>
          <w:tcPr>
            <w:tcW w:w="478" w:type="dxa"/>
          </w:tcPr>
          <w:p w14:paraId="0B90B87C" w14:textId="77777777" w:rsidR="001C08A5" w:rsidRDefault="00000000">
            <w:pPr>
              <w:rPr>
                <w:b/>
                <w:bCs/>
                <w:i/>
                <w:iCs/>
              </w:rPr>
            </w:pPr>
            <w:r>
              <w:rPr>
                <w:b/>
                <w:bCs/>
                <w:i/>
                <w:iCs/>
              </w:rPr>
              <w:t>5</w:t>
            </w:r>
          </w:p>
        </w:tc>
        <w:tc>
          <w:tcPr>
            <w:tcW w:w="2955" w:type="dxa"/>
            <w:gridSpan w:val="2"/>
          </w:tcPr>
          <w:p w14:paraId="4A022C5C" w14:textId="77777777" w:rsidR="001C08A5" w:rsidRDefault="00000000">
            <w:pPr>
              <w:rPr>
                <w:b/>
                <w:bCs/>
                <w:i/>
                <w:iCs/>
              </w:rPr>
            </w:pPr>
            <w:r>
              <w:rPr>
                <w:b/>
                <w:bCs/>
                <w:i/>
                <w:iCs/>
              </w:rPr>
              <w:t>Pereti neportanţi despărţitori interiori cu rol de limitare a propagării focului</w:t>
            </w:r>
            <w:r>
              <w:rPr>
                <w:b/>
                <w:bCs/>
                <w:i/>
                <w:iCs/>
                <w:lang w:val="en-GB"/>
              </w:rPr>
              <w:t xml:space="preserve"> (EI)</w:t>
            </w:r>
          </w:p>
        </w:tc>
        <w:tc>
          <w:tcPr>
            <w:tcW w:w="960" w:type="dxa"/>
            <w:vAlign w:val="center"/>
          </w:tcPr>
          <w:p w14:paraId="506CB1EB" w14:textId="77777777" w:rsidR="001C08A5" w:rsidRDefault="00000000">
            <w:pPr>
              <w:jc w:val="center"/>
              <w:rPr>
                <w:b/>
                <w:bCs/>
                <w:i/>
                <w:iCs/>
                <w:lang w:val="en-GB"/>
              </w:rPr>
            </w:pPr>
            <w:r>
              <w:rPr>
                <w:b/>
                <w:bCs/>
                <w:i/>
                <w:iCs/>
              </w:rPr>
              <w:t>3</w:t>
            </w:r>
            <w:r>
              <w:rPr>
                <w:b/>
                <w:bCs/>
                <w:i/>
                <w:iCs/>
                <w:lang w:val="en-GB"/>
              </w:rPr>
              <w:t>0</w:t>
            </w:r>
          </w:p>
          <w:p w14:paraId="74F25ECE" w14:textId="77777777" w:rsidR="001C08A5" w:rsidRDefault="00000000">
            <w:pPr>
              <w:jc w:val="center"/>
              <w:rPr>
                <w:b/>
                <w:bCs/>
                <w:i/>
                <w:iCs/>
              </w:rPr>
            </w:pPr>
            <w:r>
              <w:rPr>
                <w:b/>
                <w:bCs/>
                <w:i/>
                <w:iCs/>
              </w:rPr>
              <w:t>A1</w:t>
            </w:r>
          </w:p>
          <w:p w14:paraId="112C0E42" w14:textId="77777777" w:rsidR="001C08A5" w:rsidRDefault="00000000">
            <w:pPr>
              <w:jc w:val="center"/>
              <w:rPr>
                <w:b/>
                <w:bCs/>
                <w:i/>
                <w:iCs/>
                <w:lang w:val="en-GB"/>
              </w:rPr>
            </w:pPr>
            <w:r>
              <w:rPr>
                <w:b/>
                <w:bCs/>
                <w:i/>
                <w:iCs/>
              </w:rPr>
              <w:t>A2s1d0</w:t>
            </w:r>
          </w:p>
        </w:tc>
        <w:tc>
          <w:tcPr>
            <w:tcW w:w="1080" w:type="dxa"/>
            <w:vAlign w:val="center"/>
          </w:tcPr>
          <w:p w14:paraId="622BB28C" w14:textId="77777777" w:rsidR="001C08A5" w:rsidRDefault="00000000">
            <w:pPr>
              <w:jc w:val="center"/>
              <w:rPr>
                <w:b/>
                <w:bCs/>
                <w:i/>
                <w:iCs/>
                <w:lang w:val="en-GB"/>
              </w:rPr>
            </w:pPr>
            <w:r>
              <w:rPr>
                <w:b/>
                <w:bCs/>
                <w:i/>
                <w:iCs/>
              </w:rPr>
              <w:t>3</w:t>
            </w:r>
            <w:r>
              <w:rPr>
                <w:b/>
                <w:bCs/>
                <w:i/>
                <w:iCs/>
                <w:lang w:val="en-GB"/>
              </w:rPr>
              <w:t>0</w:t>
            </w:r>
          </w:p>
          <w:p w14:paraId="416D8405" w14:textId="77777777" w:rsidR="001C08A5" w:rsidRDefault="00000000">
            <w:pPr>
              <w:jc w:val="center"/>
              <w:rPr>
                <w:b/>
                <w:bCs/>
                <w:i/>
                <w:iCs/>
                <w:lang w:eastAsia="zh-CN"/>
              </w:rPr>
            </w:pPr>
            <w:r>
              <w:rPr>
                <w:b/>
                <w:bCs/>
                <w:i/>
                <w:iCs/>
                <w:lang w:eastAsia="zh-CN"/>
              </w:rPr>
              <w:t>min.</w:t>
            </w:r>
          </w:p>
          <w:p w14:paraId="216E8185" w14:textId="77777777" w:rsidR="001C08A5" w:rsidRDefault="00000000">
            <w:pPr>
              <w:jc w:val="center"/>
              <w:rPr>
                <w:b/>
                <w:bCs/>
                <w:i/>
                <w:iCs/>
                <w:lang w:val="en-US" w:eastAsia="zh-CN"/>
              </w:rPr>
            </w:pPr>
            <w:r>
              <w:rPr>
                <w:b/>
                <w:bCs/>
                <w:i/>
                <w:iCs/>
                <w:lang w:val="en-US" w:eastAsia="zh-CN"/>
              </w:rPr>
              <w:t>A2s1÷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276B8CA8" w14:textId="77777777" w:rsidR="001C08A5" w:rsidRDefault="00000000">
            <w:pPr>
              <w:jc w:val="center"/>
              <w:rPr>
                <w:b/>
                <w:bCs/>
                <w:i/>
                <w:iCs/>
                <w:lang w:val="en-GB"/>
              </w:rPr>
            </w:pPr>
            <w:r>
              <w:rPr>
                <w:b/>
                <w:bCs/>
                <w:i/>
                <w:iCs/>
                <w:lang w:eastAsia="zh-CN"/>
              </w:rPr>
              <w:t xml:space="preserve">B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665" w:type="dxa"/>
            <w:vAlign w:val="center"/>
          </w:tcPr>
          <w:p w14:paraId="63FFCB7E" w14:textId="77777777" w:rsidR="001C08A5" w:rsidRDefault="00000000">
            <w:pPr>
              <w:jc w:val="center"/>
              <w:rPr>
                <w:b/>
                <w:bCs/>
                <w:i/>
                <w:iCs/>
              </w:rPr>
            </w:pPr>
            <w:r>
              <w:rPr>
                <w:b/>
                <w:bCs/>
                <w:i/>
                <w:iCs/>
              </w:rPr>
              <w:t>15</w:t>
            </w:r>
          </w:p>
          <w:p w14:paraId="672E7F08" w14:textId="77777777" w:rsidR="001C08A5" w:rsidRDefault="00000000">
            <w:pPr>
              <w:jc w:val="center"/>
              <w:rPr>
                <w:b/>
                <w:bCs/>
                <w:i/>
                <w:iCs/>
                <w:lang w:eastAsia="zh-CN"/>
              </w:rPr>
            </w:pPr>
            <w:r>
              <w:rPr>
                <w:b/>
                <w:bCs/>
                <w:i/>
                <w:iCs/>
                <w:lang w:eastAsia="zh-CN"/>
              </w:rPr>
              <w:t>min.</w:t>
            </w:r>
          </w:p>
          <w:p w14:paraId="7DCC4313" w14:textId="77777777" w:rsidR="001C08A5" w:rsidRDefault="00000000">
            <w:pPr>
              <w:jc w:val="center"/>
              <w:rPr>
                <w:b/>
                <w:bCs/>
                <w:i/>
                <w:iCs/>
                <w:lang w:val="en-GB"/>
              </w:rPr>
            </w:pPr>
            <w:r>
              <w:rPr>
                <w:b/>
                <w:bCs/>
                <w:i/>
                <w:iCs/>
                <w:lang w:eastAsia="zh-CN"/>
              </w:rPr>
              <w:t xml:space="preserve">C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170" w:type="dxa"/>
            <w:vAlign w:val="center"/>
          </w:tcPr>
          <w:p w14:paraId="203622B2" w14:textId="77777777" w:rsidR="001C08A5" w:rsidRDefault="00000000">
            <w:pPr>
              <w:jc w:val="center"/>
              <w:rPr>
                <w:b/>
                <w:bCs/>
                <w:i/>
                <w:iCs/>
              </w:rPr>
            </w:pPr>
            <w:r>
              <w:rPr>
                <w:b/>
                <w:bCs/>
                <w:i/>
                <w:iCs/>
              </w:rPr>
              <w:t>15</w:t>
            </w:r>
          </w:p>
          <w:p w14:paraId="57DDC4A1" w14:textId="77777777" w:rsidR="001C08A5" w:rsidRDefault="00000000">
            <w:pPr>
              <w:jc w:val="center"/>
              <w:rPr>
                <w:b/>
                <w:bCs/>
                <w:i/>
                <w:iCs/>
                <w:lang w:eastAsia="zh-CN"/>
              </w:rPr>
            </w:pPr>
            <w:r>
              <w:rPr>
                <w:b/>
                <w:bCs/>
                <w:i/>
                <w:iCs/>
                <w:lang w:eastAsia="zh-CN"/>
              </w:rPr>
              <w:t>min.</w:t>
            </w:r>
          </w:p>
          <w:p w14:paraId="71CD36A4" w14:textId="77777777" w:rsidR="001C08A5" w:rsidRDefault="00000000">
            <w:pPr>
              <w:jc w:val="center"/>
              <w:rPr>
                <w:b/>
                <w:bCs/>
                <w:i/>
                <w:iCs/>
                <w:lang w:val="en-GB"/>
              </w:rPr>
            </w:pPr>
            <w:r>
              <w:rPr>
                <w:b/>
                <w:bCs/>
                <w:i/>
                <w:iCs/>
                <w:lang w:eastAsia="zh-CN"/>
              </w:rPr>
              <w:t xml:space="preserve">D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547" w:type="dxa"/>
            <w:vAlign w:val="center"/>
          </w:tcPr>
          <w:p w14:paraId="68B62FD5" w14:textId="77777777" w:rsidR="001C08A5" w:rsidRDefault="00000000">
            <w:pPr>
              <w:jc w:val="center"/>
              <w:rPr>
                <w:b/>
                <w:bCs/>
                <w:i/>
                <w:iCs/>
                <w:lang w:val="en-GB"/>
              </w:rPr>
            </w:pPr>
            <w:r>
              <w:rPr>
                <w:b/>
                <w:bCs/>
                <w:i/>
                <w:iCs/>
                <w:lang w:val="en-GB"/>
              </w:rPr>
              <w:t>-</w:t>
            </w:r>
          </w:p>
          <w:p w14:paraId="3055DAC4" w14:textId="77777777" w:rsidR="001C08A5" w:rsidRDefault="00000000">
            <w:pPr>
              <w:jc w:val="center"/>
              <w:rPr>
                <w:b/>
                <w:bCs/>
                <w:i/>
                <w:iCs/>
                <w:lang w:eastAsia="zh-CN"/>
              </w:rPr>
            </w:pPr>
            <w:r>
              <w:rPr>
                <w:b/>
                <w:bCs/>
                <w:i/>
                <w:iCs/>
                <w:lang w:eastAsia="zh-CN"/>
              </w:rPr>
              <w:t>min.</w:t>
            </w:r>
          </w:p>
          <w:p w14:paraId="68B6699E" w14:textId="77777777" w:rsidR="001C08A5" w:rsidRDefault="00000000">
            <w:pPr>
              <w:jc w:val="center"/>
              <w:rPr>
                <w:b/>
                <w:bCs/>
                <w:i/>
                <w:iCs/>
                <w:lang w:eastAsia="zh-CN"/>
              </w:rPr>
            </w:pPr>
            <w:r>
              <w:rPr>
                <w:b/>
                <w:bCs/>
                <w:i/>
                <w:iCs/>
                <w:lang w:eastAsia="zh-CN"/>
              </w:rPr>
              <w:t xml:space="preserve">A2 </w:t>
            </w:r>
            <w:r>
              <w:rPr>
                <w:b/>
                <w:bCs/>
                <w:i/>
                <w:iCs/>
                <w:lang w:val="en-US" w:eastAsia="zh-CN"/>
              </w:rPr>
              <w:t>s1÷</w:t>
            </w:r>
            <w:r>
              <w:rPr>
                <w:b/>
                <w:bCs/>
                <w:i/>
                <w:iCs/>
                <w:lang w:eastAsia="zh-CN"/>
              </w:rPr>
              <w:t>s3</w:t>
            </w:r>
            <w:r>
              <w:rPr>
                <w:b/>
                <w:bCs/>
                <w:i/>
                <w:iCs/>
                <w:lang w:val="en-US" w:eastAsia="zh-CN"/>
              </w:rPr>
              <w:t>, d</w:t>
            </w:r>
            <w:r>
              <w:rPr>
                <w:b/>
                <w:bCs/>
                <w:i/>
                <w:iCs/>
                <w:lang w:eastAsia="zh-CN"/>
              </w:rPr>
              <w:t>2</w:t>
            </w:r>
          </w:p>
          <w:p w14:paraId="38FEB920" w14:textId="77777777" w:rsidR="001C08A5" w:rsidRDefault="00000000">
            <w:pPr>
              <w:jc w:val="center"/>
              <w:rPr>
                <w:b/>
                <w:bCs/>
                <w:i/>
                <w:iCs/>
                <w:lang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d</w:t>
            </w:r>
            <w:r>
              <w:rPr>
                <w:b/>
                <w:bCs/>
                <w:i/>
                <w:iCs/>
                <w:lang w:eastAsia="zh-CN"/>
              </w:rPr>
              <w:t>2</w:t>
            </w:r>
          </w:p>
          <w:p w14:paraId="1F10DB97" w14:textId="77777777" w:rsidR="001C08A5" w:rsidRDefault="00000000">
            <w:pPr>
              <w:jc w:val="center"/>
              <w:rPr>
                <w:b/>
                <w:bCs/>
                <w:i/>
                <w:iCs/>
                <w:lang w:eastAsia="zh-CN"/>
              </w:rPr>
            </w:pPr>
            <w:r>
              <w:rPr>
                <w:b/>
                <w:bCs/>
                <w:i/>
                <w:iCs/>
                <w:lang w:eastAsia="zh-CN"/>
              </w:rPr>
              <w:t xml:space="preserve">C </w:t>
            </w:r>
            <w:r>
              <w:rPr>
                <w:b/>
                <w:bCs/>
                <w:i/>
                <w:iCs/>
                <w:lang w:val="en-US" w:eastAsia="zh-CN"/>
              </w:rPr>
              <w:t>s1÷</w:t>
            </w:r>
            <w:r>
              <w:rPr>
                <w:b/>
                <w:bCs/>
                <w:i/>
                <w:iCs/>
                <w:lang w:eastAsia="zh-CN"/>
              </w:rPr>
              <w:t>s3</w:t>
            </w:r>
            <w:r>
              <w:rPr>
                <w:b/>
                <w:bCs/>
                <w:i/>
                <w:iCs/>
                <w:lang w:val="en-US" w:eastAsia="zh-CN"/>
              </w:rPr>
              <w:t>, d</w:t>
            </w:r>
            <w:r>
              <w:rPr>
                <w:b/>
                <w:bCs/>
                <w:i/>
                <w:iCs/>
                <w:lang w:eastAsia="zh-CN"/>
              </w:rPr>
              <w:t>2</w:t>
            </w:r>
          </w:p>
          <w:p w14:paraId="64C4F6F6" w14:textId="77777777" w:rsidR="001C08A5" w:rsidRDefault="00000000">
            <w:pPr>
              <w:jc w:val="center"/>
              <w:rPr>
                <w:b/>
                <w:bCs/>
                <w:i/>
                <w:iCs/>
                <w:lang w:eastAsia="zh-CN"/>
              </w:rPr>
            </w:pPr>
            <w:r>
              <w:rPr>
                <w:b/>
                <w:bCs/>
                <w:i/>
                <w:iCs/>
                <w:lang w:eastAsia="zh-CN"/>
              </w:rPr>
              <w:t xml:space="preserve">D </w:t>
            </w:r>
            <w:r>
              <w:rPr>
                <w:b/>
                <w:bCs/>
                <w:i/>
                <w:iCs/>
                <w:lang w:val="en-US" w:eastAsia="zh-CN"/>
              </w:rPr>
              <w:t>s1÷</w:t>
            </w:r>
            <w:r>
              <w:rPr>
                <w:b/>
                <w:bCs/>
                <w:i/>
                <w:iCs/>
                <w:lang w:eastAsia="zh-CN"/>
              </w:rPr>
              <w:t>s3</w:t>
            </w:r>
            <w:r>
              <w:rPr>
                <w:b/>
                <w:bCs/>
                <w:i/>
                <w:iCs/>
                <w:lang w:val="en-US" w:eastAsia="zh-CN"/>
              </w:rPr>
              <w:t>, d</w:t>
            </w:r>
            <w:r>
              <w:rPr>
                <w:b/>
                <w:bCs/>
                <w:i/>
                <w:iCs/>
                <w:lang w:eastAsia="zh-CN"/>
              </w:rPr>
              <w:t>2</w:t>
            </w:r>
          </w:p>
          <w:p w14:paraId="734323AA" w14:textId="77777777" w:rsidR="001C08A5" w:rsidRDefault="00000000">
            <w:pPr>
              <w:jc w:val="center"/>
              <w:rPr>
                <w:b/>
                <w:bCs/>
                <w:i/>
                <w:iCs/>
                <w:lang w:val="en-GB"/>
              </w:rPr>
            </w:pPr>
            <w:r>
              <w:rPr>
                <w:b/>
                <w:bCs/>
                <w:i/>
                <w:iCs/>
                <w:lang w:eastAsia="zh-CN"/>
              </w:rPr>
              <w:t>E</w:t>
            </w:r>
            <w:r>
              <w:rPr>
                <w:b/>
                <w:bCs/>
                <w:i/>
                <w:iCs/>
                <w:lang w:val="en-US" w:eastAsia="zh-CN"/>
              </w:rPr>
              <w:t xml:space="preserve"> d</w:t>
            </w:r>
            <w:r>
              <w:rPr>
                <w:b/>
                <w:bCs/>
                <w:i/>
                <w:iCs/>
                <w:lang w:eastAsia="zh-CN"/>
              </w:rPr>
              <w:t>2</w:t>
            </w:r>
          </w:p>
        </w:tc>
      </w:tr>
      <w:tr w:rsidR="001C08A5" w14:paraId="6BC3B28E" w14:textId="77777777">
        <w:trPr>
          <w:cantSplit/>
          <w:trHeight w:val="725"/>
        </w:trPr>
        <w:tc>
          <w:tcPr>
            <w:tcW w:w="478" w:type="dxa"/>
          </w:tcPr>
          <w:p w14:paraId="5AC92975" w14:textId="77777777" w:rsidR="001C08A5" w:rsidRDefault="00000000">
            <w:pPr>
              <w:rPr>
                <w:b/>
                <w:bCs/>
                <w:i/>
                <w:iCs/>
              </w:rPr>
            </w:pPr>
            <w:r>
              <w:rPr>
                <w:b/>
                <w:bCs/>
                <w:i/>
                <w:iCs/>
              </w:rPr>
              <w:t>6</w:t>
            </w:r>
          </w:p>
        </w:tc>
        <w:tc>
          <w:tcPr>
            <w:tcW w:w="2955" w:type="dxa"/>
            <w:gridSpan w:val="2"/>
          </w:tcPr>
          <w:p w14:paraId="724864B6" w14:textId="77777777" w:rsidR="001C08A5" w:rsidRDefault="00000000">
            <w:pPr>
              <w:rPr>
                <w:b/>
                <w:bCs/>
                <w:i/>
                <w:iCs/>
              </w:rPr>
            </w:pPr>
            <w:r>
              <w:rPr>
                <w:b/>
                <w:bCs/>
                <w:i/>
                <w:iCs/>
              </w:rPr>
              <w:t>Pereţi exteriori neportanţi (cu exceptia panourilor de tâmplărie, a pereţilor cortină, faţadelor ventilate, fațadelor duble „double skin”).</w:t>
            </w:r>
            <w:r>
              <w:rPr>
                <w:b/>
                <w:bCs/>
                <w:i/>
                <w:iCs/>
                <w:lang w:val="en-GB"/>
              </w:rPr>
              <w:t>(E)</w:t>
            </w:r>
          </w:p>
        </w:tc>
        <w:tc>
          <w:tcPr>
            <w:tcW w:w="960" w:type="dxa"/>
            <w:vAlign w:val="center"/>
          </w:tcPr>
          <w:p w14:paraId="5E4C99F1" w14:textId="77777777" w:rsidR="001C08A5" w:rsidRDefault="00000000">
            <w:pPr>
              <w:jc w:val="center"/>
              <w:rPr>
                <w:b/>
                <w:bCs/>
                <w:i/>
                <w:iCs/>
              </w:rPr>
            </w:pPr>
            <w:r>
              <w:rPr>
                <w:b/>
                <w:bCs/>
                <w:i/>
                <w:iCs/>
              </w:rPr>
              <w:t>15</w:t>
            </w:r>
          </w:p>
          <w:p w14:paraId="3BBAAE42" w14:textId="77777777" w:rsidR="001C08A5" w:rsidRDefault="00000000">
            <w:pPr>
              <w:jc w:val="center"/>
              <w:rPr>
                <w:b/>
                <w:bCs/>
                <w:i/>
                <w:iCs/>
              </w:rPr>
            </w:pPr>
            <w:r>
              <w:rPr>
                <w:b/>
                <w:bCs/>
                <w:i/>
                <w:iCs/>
              </w:rPr>
              <w:t>A1</w:t>
            </w:r>
          </w:p>
          <w:p w14:paraId="03BBEF8C" w14:textId="77777777" w:rsidR="001C08A5" w:rsidRDefault="00000000">
            <w:pPr>
              <w:jc w:val="center"/>
              <w:rPr>
                <w:b/>
                <w:bCs/>
                <w:i/>
                <w:iCs/>
                <w:lang w:val="en-GB"/>
              </w:rPr>
            </w:pPr>
            <w:r>
              <w:rPr>
                <w:b/>
                <w:bCs/>
                <w:i/>
                <w:iCs/>
              </w:rPr>
              <w:t>A2s1d0</w:t>
            </w:r>
          </w:p>
        </w:tc>
        <w:tc>
          <w:tcPr>
            <w:tcW w:w="1080" w:type="dxa"/>
            <w:vAlign w:val="center"/>
          </w:tcPr>
          <w:p w14:paraId="5BE191F8" w14:textId="77777777" w:rsidR="001C08A5" w:rsidRDefault="00000000">
            <w:pPr>
              <w:jc w:val="center"/>
              <w:rPr>
                <w:b/>
                <w:bCs/>
                <w:i/>
                <w:iCs/>
              </w:rPr>
            </w:pPr>
            <w:r>
              <w:rPr>
                <w:b/>
                <w:bCs/>
                <w:i/>
                <w:iCs/>
              </w:rPr>
              <w:t>15</w:t>
            </w:r>
          </w:p>
          <w:p w14:paraId="77A9B533" w14:textId="77777777" w:rsidR="001C08A5" w:rsidRDefault="00000000">
            <w:pPr>
              <w:jc w:val="center"/>
              <w:rPr>
                <w:b/>
                <w:bCs/>
                <w:i/>
                <w:iCs/>
                <w:lang w:eastAsia="zh-CN"/>
              </w:rPr>
            </w:pPr>
            <w:r>
              <w:rPr>
                <w:b/>
                <w:bCs/>
                <w:i/>
                <w:iCs/>
                <w:lang w:eastAsia="zh-CN"/>
              </w:rPr>
              <w:t>min.</w:t>
            </w:r>
          </w:p>
          <w:p w14:paraId="44996B20" w14:textId="77777777" w:rsidR="001C08A5" w:rsidRDefault="00000000">
            <w:pPr>
              <w:jc w:val="center"/>
              <w:rPr>
                <w:b/>
                <w:bCs/>
                <w:i/>
                <w:iCs/>
                <w:lang w:val="en-US" w:eastAsia="zh-CN"/>
              </w:rPr>
            </w:pPr>
            <w:r>
              <w:rPr>
                <w:b/>
                <w:bCs/>
                <w:i/>
                <w:iCs/>
                <w:lang w:val="en-US" w:eastAsia="zh-CN"/>
              </w:rPr>
              <w:t>A2s1÷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4CAF7F5E" w14:textId="77777777" w:rsidR="001C08A5" w:rsidRDefault="00000000">
            <w:pPr>
              <w:jc w:val="center"/>
              <w:rPr>
                <w:b/>
                <w:bCs/>
                <w:i/>
                <w:iCs/>
                <w:lang w:val="en-GB"/>
              </w:rPr>
            </w:pPr>
            <w:r>
              <w:rPr>
                <w:b/>
                <w:bCs/>
                <w:i/>
                <w:iCs/>
                <w:lang w:eastAsia="zh-CN"/>
              </w:rPr>
              <w:t xml:space="preserve">B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665" w:type="dxa"/>
            <w:vAlign w:val="center"/>
          </w:tcPr>
          <w:p w14:paraId="03B623B3" w14:textId="77777777" w:rsidR="001C08A5" w:rsidRDefault="00000000">
            <w:pPr>
              <w:jc w:val="center"/>
              <w:rPr>
                <w:b/>
                <w:bCs/>
                <w:i/>
                <w:iCs/>
              </w:rPr>
            </w:pPr>
            <w:r>
              <w:rPr>
                <w:b/>
                <w:bCs/>
                <w:i/>
                <w:iCs/>
              </w:rPr>
              <w:t>15</w:t>
            </w:r>
          </w:p>
          <w:p w14:paraId="7D8448BD" w14:textId="77777777" w:rsidR="001C08A5" w:rsidRDefault="00000000">
            <w:pPr>
              <w:jc w:val="center"/>
              <w:rPr>
                <w:b/>
                <w:bCs/>
                <w:i/>
                <w:iCs/>
                <w:lang w:eastAsia="zh-CN"/>
              </w:rPr>
            </w:pPr>
            <w:r>
              <w:rPr>
                <w:b/>
                <w:bCs/>
                <w:i/>
                <w:iCs/>
                <w:lang w:eastAsia="zh-CN"/>
              </w:rPr>
              <w:t>min.</w:t>
            </w:r>
          </w:p>
          <w:p w14:paraId="56E77C23" w14:textId="77777777" w:rsidR="001C08A5" w:rsidRDefault="00000000">
            <w:pPr>
              <w:jc w:val="center"/>
              <w:rPr>
                <w:b/>
                <w:bCs/>
                <w:i/>
                <w:iCs/>
                <w:lang w:val="en-GB"/>
              </w:rPr>
            </w:pPr>
            <w:r>
              <w:rPr>
                <w:b/>
                <w:bCs/>
                <w:i/>
                <w:iCs/>
                <w:lang w:eastAsia="zh-CN"/>
              </w:rPr>
              <w:t xml:space="preserve">C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170" w:type="dxa"/>
            <w:vAlign w:val="center"/>
          </w:tcPr>
          <w:p w14:paraId="09921FC3" w14:textId="77777777" w:rsidR="001C08A5" w:rsidRDefault="00000000">
            <w:pPr>
              <w:jc w:val="center"/>
              <w:rPr>
                <w:b/>
                <w:bCs/>
                <w:i/>
                <w:iCs/>
              </w:rPr>
            </w:pPr>
            <w:r>
              <w:rPr>
                <w:b/>
                <w:bCs/>
                <w:i/>
                <w:iCs/>
              </w:rPr>
              <w:t>-</w:t>
            </w:r>
          </w:p>
          <w:p w14:paraId="45D93589" w14:textId="77777777" w:rsidR="001C08A5" w:rsidRDefault="00000000">
            <w:pPr>
              <w:jc w:val="center"/>
              <w:rPr>
                <w:b/>
                <w:bCs/>
                <w:i/>
                <w:iCs/>
                <w:lang w:eastAsia="zh-CN"/>
              </w:rPr>
            </w:pPr>
            <w:r>
              <w:rPr>
                <w:b/>
                <w:bCs/>
                <w:i/>
                <w:iCs/>
                <w:lang w:eastAsia="zh-CN"/>
              </w:rPr>
              <w:t>min.</w:t>
            </w:r>
          </w:p>
          <w:p w14:paraId="38E79D5D" w14:textId="77777777" w:rsidR="001C08A5" w:rsidRDefault="00000000">
            <w:pPr>
              <w:jc w:val="center"/>
              <w:rPr>
                <w:b/>
                <w:bCs/>
                <w:i/>
                <w:iCs/>
                <w:lang w:val="en-GB"/>
              </w:rPr>
            </w:pPr>
            <w:r>
              <w:rPr>
                <w:b/>
                <w:bCs/>
                <w:i/>
                <w:iCs/>
                <w:lang w:eastAsia="zh-CN"/>
              </w:rPr>
              <w:t xml:space="preserve">D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547" w:type="dxa"/>
            <w:vAlign w:val="center"/>
          </w:tcPr>
          <w:p w14:paraId="288CD566" w14:textId="77777777" w:rsidR="001C08A5" w:rsidRDefault="00000000">
            <w:pPr>
              <w:jc w:val="center"/>
              <w:rPr>
                <w:b/>
                <w:bCs/>
                <w:i/>
                <w:iCs/>
                <w:lang w:val="en-GB"/>
              </w:rPr>
            </w:pPr>
            <w:r>
              <w:rPr>
                <w:b/>
                <w:bCs/>
                <w:i/>
                <w:iCs/>
                <w:lang w:val="en-GB"/>
              </w:rPr>
              <w:t>-</w:t>
            </w:r>
          </w:p>
          <w:p w14:paraId="3DE37103" w14:textId="77777777" w:rsidR="001C08A5" w:rsidRDefault="00000000">
            <w:pPr>
              <w:jc w:val="center"/>
              <w:rPr>
                <w:b/>
                <w:bCs/>
                <w:i/>
                <w:iCs/>
                <w:lang w:eastAsia="zh-CN"/>
              </w:rPr>
            </w:pPr>
            <w:r>
              <w:rPr>
                <w:b/>
                <w:bCs/>
                <w:i/>
                <w:iCs/>
                <w:lang w:eastAsia="zh-CN"/>
              </w:rPr>
              <w:t>min.</w:t>
            </w:r>
          </w:p>
          <w:p w14:paraId="59735A74" w14:textId="77777777" w:rsidR="001C08A5" w:rsidRDefault="00000000">
            <w:pPr>
              <w:jc w:val="center"/>
              <w:rPr>
                <w:b/>
                <w:bCs/>
                <w:i/>
                <w:iCs/>
                <w:lang w:eastAsia="zh-CN"/>
              </w:rPr>
            </w:pPr>
            <w:r>
              <w:rPr>
                <w:b/>
                <w:bCs/>
                <w:i/>
                <w:iCs/>
                <w:lang w:eastAsia="zh-CN"/>
              </w:rPr>
              <w:t xml:space="preserve">A2 </w:t>
            </w:r>
            <w:r>
              <w:rPr>
                <w:b/>
                <w:bCs/>
                <w:i/>
                <w:iCs/>
                <w:lang w:val="en-US" w:eastAsia="zh-CN"/>
              </w:rPr>
              <w:t>s1÷</w:t>
            </w:r>
            <w:r>
              <w:rPr>
                <w:b/>
                <w:bCs/>
                <w:i/>
                <w:iCs/>
                <w:lang w:eastAsia="zh-CN"/>
              </w:rPr>
              <w:t>s3</w:t>
            </w:r>
            <w:r>
              <w:rPr>
                <w:b/>
                <w:bCs/>
                <w:i/>
                <w:iCs/>
                <w:lang w:val="en-US" w:eastAsia="zh-CN"/>
              </w:rPr>
              <w:t>, d</w:t>
            </w:r>
            <w:r>
              <w:rPr>
                <w:b/>
                <w:bCs/>
                <w:i/>
                <w:iCs/>
                <w:lang w:eastAsia="zh-CN"/>
              </w:rPr>
              <w:t>2</w:t>
            </w:r>
          </w:p>
          <w:p w14:paraId="3961F03A" w14:textId="77777777" w:rsidR="001C08A5" w:rsidRDefault="00000000">
            <w:pPr>
              <w:jc w:val="center"/>
              <w:rPr>
                <w:b/>
                <w:bCs/>
                <w:i/>
                <w:iCs/>
                <w:lang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d</w:t>
            </w:r>
            <w:r>
              <w:rPr>
                <w:b/>
                <w:bCs/>
                <w:i/>
                <w:iCs/>
                <w:lang w:eastAsia="zh-CN"/>
              </w:rPr>
              <w:t>2</w:t>
            </w:r>
          </w:p>
          <w:p w14:paraId="7D49C3F9" w14:textId="77777777" w:rsidR="001C08A5" w:rsidRDefault="00000000">
            <w:pPr>
              <w:jc w:val="center"/>
              <w:rPr>
                <w:b/>
                <w:bCs/>
                <w:i/>
                <w:iCs/>
                <w:lang w:eastAsia="zh-CN"/>
              </w:rPr>
            </w:pPr>
            <w:r>
              <w:rPr>
                <w:b/>
                <w:bCs/>
                <w:i/>
                <w:iCs/>
                <w:lang w:eastAsia="zh-CN"/>
              </w:rPr>
              <w:t xml:space="preserve">C </w:t>
            </w:r>
            <w:r>
              <w:rPr>
                <w:b/>
                <w:bCs/>
                <w:i/>
                <w:iCs/>
                <w:lang w:val="en-US" w:eastAsia="zh-CN"/>
              </w:rPr>
              <w:t>s1÷</w:t>
            </w:r>
            <w:r>
              <w:rPr>
                <w:b/>
                <w:bCs/>
                <w:i/>
                <w:iCs/>
                <w:lang w:eastAsia="zh-CN"/>
              </w:rPr>
              <w:t>s3</w:t>
            </w:r>
            <w:r>
              <w:rPr>
                <w:b/>
                <w:bCs/>
                <w:i/>
                <w:iCs/>
                <w:lang w:val="en-US" w:eastAsia="zh-CN"/>
              </w:rPr>
              <w:t>, d</w:t>
            </w:r>
            <w:r>
              <w:rPr>
                <w:b/>
                <w:bCs/>
                <w:i/>
                <w:iCs/>
                <w:lang w:eastAsia="zh-CN"/>
              </w:rPr>
              <w:t>2</w:t>
            </w:r>
          </w:p>
          <w:p w14:paraId="11F01EAC" w14:textId="77777777" w:rsidR="001C08A5" w:rsidRDefault="00000000">
            <w:pPr>
              <w:jc w:val="center"/>
              <w:rPr>
                <w:b/>
                <w:bCs/>
                <w:i/>
                <w:iCs/>
                <w:lang w:eastAsia="zh-CN"/>
              </w:rPr>
            </w:pPr>
            <w:r>
              <w:rPr>
                <w:b/>
                <w:bCs/>
                <w:i/>
                <w:iCs/>
                <w:lang w:eastAsia="zh-CN"/>
              </w:rPr>
              <w:t xml:space="preserve">D </w:t>
            </w:r>
            <w:r>
              <w:rPr>
                <w:b/>
                <w:bCs/>
                <w:i/>
                <w:iCs/>
                <w:lang w:val="en-US" w:eastAsia="zh-CN"/>
              </w:rPr>
              <w:t>s1÷</w:t>
            </w:r>
            <w:r>
              <w:rPr>
                <w:b/>
                <w:bCs/>
                <w:i/>
                <w:iCs/>
                <w:lang w:eastAsia="zh-CN"/>
              </w:rPr>
              <w:t>s3</w:t>
            </w:r>
            <w:r>
              <w:rPr>
                <w:b/>
                <w:bCs/>
                <w:i/>
                <w:iCs/>
                <w:lang w:val="en-US" w:eastAsia="zh-CN"/>
              </w:rPr>
              <w:t>, d</w:t>
            </w:r>
            <w:r>
              <w:rPr>
                <w:b/>
                <w:bCs/>
                <w:i/>
                <w:iCs/>
                <w:lang w:eastAsia="zh-CN"/>
              </w:rPr>
              <w:t>2</w:t>
            </w:r>
          </w:p>
          <w:p w14:paraId="43D55FA9" w14:textId="77777777" w:rsidR="001C08A5" w:rsidRDefault="00000000">
            <w:pPr>
              <w:jc w:val="center"/>
              <w:rPr>
                <w:b/>
                <w:bCs/>
                <w:i/>
                <w:iCs/>
                <w:lang w:val="en-GB"/>
              </w:rPr>
            </w:pPr>
            <w:r>
              <w:rPr>
                <w:b/>
                <w:bCs/>
                <w:i/>
                <w:iCs/>
                <w:lang w:eastAsia="zh-CN"/>
              </w:rPr>
              <w:t>E</w:t>
            </w:r>
            <w:r>
              <w:rPr>
                <w:b/>
                <w:bCs/>
                <w:i/>
                <w:iCs/>
                <w:lang w:val="en-US" w:eastAsia="zh-CN"/>
              </w:rPr>
              <w:t xml:space="preserve"> d</w:t>
            </w:r>
            <w:r>
              <w:rPr>
                <w:b/>
                <w:bCs/>
                <w:i/>
                <w:iCs/>
                <w:lang w:eastAsia="zh-CN"/>
              </w:rPr>
              <w:t>2</w:t>
            </w:r>
          </w:p>
        </w:tc>
      </w:tr>
      <w:tr w:rsidR="001C08A5" w14:paraId="18416251" w14:textId="77777777">
        <w:trPr>
          <w:cantSplit/>
          <w:trHeight w:val="2016"/>
        </w:trPr>
        <w:tc>
          <w:tcPr>
            <w:tcW w:w="478" w:type="dxa"/>
          </w:tcPr>
          <w:p w14:paraId="4DA5DB76" w14:textId="77777777" w:rsidR="001C08A5" w:rsidRDefault="00000000">
            <w:pPr>
              <w:rPr>
                <w:b/>
                <w:bCs/>
                <w:i/>
                <w:iCs/>
              </w:rPr>
            </w:pPr>
            <w:r>
              <w:rPr>
                <w:b/>
                <w:bCs/>
                <w:i/>
                <w:iCs/>
              </w:rPr>
              <w:t>7</w:t>
            </w:r>
          </w:p>
        </w:tc>
        <w:tc>
          <w:tcPr>
            <w:tcW w:w="2955" w:type="dxa"/>
            <w:gridSpan w:val="2"/>
            <w:vAlign w:val="center"/>
          </w:tcPr>
          <w:p w14:paraId="6EE10AAB" w14:textId="77777777" w:rsidR="001C08A5" w:rsidRDefault="00000000">
            <w:pPr>
              <w:rPr>
                <w:b/>
                <w:bCs/>
                <w:i/>
                <w:iCs/>
              </w:rPr>
            </w:pPr>
            <w:r>
              <w:rPr>
                <w:b/>
                <w:bCs/>
                <w:i/>
                <w:iCs/>
              </w:rPr>
              <w:t>Şarpante ale acoperişurilor, acoperișuri autoportante (cupole, structuri spaţiale reticulate etc.)</w:t>
            </w:r>
            <w:r>
              <w:rPr>
                <w:b/>
                <w:bCs/>
                <w:i/>
                <w:iCs/>
                <w:lang w:val="en-GB"/>
              </w:rPr>
              <w:t xml:space="preserve"> și planșee – terasă care nu constituie c</w:t>
            </w:r>
            <w:r>
              <w:rPr>
                <w:b/>
                <w:bCs/>
                <w:i/>
                <w:iCs/>
              </w:rPr>
              <w:t>ă</w:t>
            </w:r>
            <w:r>
              <w:rPr>
                <w:b/>
                <w:bCs/>
                <w:i/>
                <w:iCs/>
                <w:lang w:val="en-GB"/>
              </w:rPr>
              <w:t>i de evacuare</w:t>
            </w:r>
            <w:r>
              <w:rPr>
                <w:b/>
                <w:bCs/>
                <w:i/>
                <w:iCs/>
              </w:rPr>
              <w:t xml:space="preserve"> sau care preiau încărcări provenite numai din </w:t>
            </w:r>
            <w:proofErr w:type="gramStart"/>
            <w:r>
              <w:rPr>
                <w:b/>
                <w:bCs/>
                <w:i/>
                <w:iCs/>
              </w:rPr>
              <w:t>zăpadă</w:t>
            </w:r>
            <w:r>
              <w:rPr>
                <w:b/>
                <w:bCs/>
                <w:i/>
                <w:iCs/>
                <w:lang w:val="en-GB"/>
              </w:rPr>
              <w:t xml:space="preserve">  (</w:t>
            </w:r>
            <w:proofErr w:type="gramEnd"/>
            <w:r>
              <w:rPr>
                <w:b/>
                <w:bCs/>
                <w:i/>
                <w:iCs/>
                <w:lang w:val="en-GB"/>
              </w:rPr>
              <w:t>R)</w:t>
            </w:r>
          </w:p>
        </w:tc>
        <w:tc>
          <w:tcPr>
            <w:tcW w:w="960" w:type="dxa"/>
            <w:vAlign w:val="center"/>
          </w:tcPr>
          <w:p w14:paraId="4A6322EE" w14:textId="77777777" w:rsidR="001C08A5" w:rsidRDefault="00000000">
            <w:pPr>
              <w:jc w:val="center"/>
              <w:rPr>
                <w:b/>
                <w:bCs/>
                <w:i/>
                <w:iCs/>
              </w:rPr>
            </w:pPr>
            <w:r>
              <w:rPr>
                <w:b/>
                <w:bCs/>
                <w:i/>
                <w:iCs/>
              </w:rPr>
              <w:t>45 (30)</w:t>
            </w:r>
          </w:p>
          <w:p w14:paraId="583FD203" w14:textId="77777777" w:rsidR="001C08A5" w:rsidRDefault="00000000">
            <w:pPr>
              <w:jc w:val="center"/>
              <w:rPr>
                <w:b/>
                <w:bCs/>
                <w:i/>
                <w:iCs/>
              </w:rPr>
            </w:pPr>
            <w:r>
              <w:rPr>
                <w:b/>
                <w:bCs/>
                <w:i/>
                <w:iCs/>
              </w:rPr>
              <w:t>A1</w:t>
            </w:r>
          </w:p>
          <w:p w14:paraId="236896DB" w14:textId="77777777" w:rsidR="001C08A5" w:rsidRDefault="00000000">
            <w:pPr>
              <w:jc w:val="center"/>
              <w:rPr>
                <w:b/>
                <w:bCs/>
                <w:i/>
                <w:iCs/>
              </w:rPr>
            </w:pPr>
            <w:r>
              <w:rPr>
                <w:b/>
                <w:bCs/>
                <w:i/>
                <w:iCs/>
              </w:rPr>
              <w:t>A2s1d0</w:t>
            </w:r>
          </w:p>
        </w:tc>
        <w:tc>
          <w:tcPr>
            <w:tcW w:w="1080" w:type="dxa"/>
            <w:vAlign w:val="center"/>
          </w:tcPr>
          <w:p w14:paraId="7E701A42" w14:textId="77777777" w:rsidR="001C08A5" w:rsidRDefault="00000000">
            <w:pPr>
              <w:jc w:val="center"/>
              <w:rPr>
                <w:b/>
                <w:bCs/>
                <w:i/>
                <w:iCs/>
              </w:rPr>
            </w:pPr>
            <w:r>
              <w:rPr>
                <w:b/>
                <w:bCs/>
                <w:i/>
                <w:iCs/>
              </w:rPr>
              <w:t>30 (15)</w:t>
            </w:r>
          </w:p>
          <w:p w14:paraId="2DAC59DA" w14:textId="77777777" w:rsidR="001C08A5" w:rsidRDefault="00000000">
            <w:pPr>
              <w:jc w:val="center"/>
              <w:rPr>
                <w:b/>
                <w:bCs/>
                <w:i/>
                <w:iCs/>
                <w:lang w:eastAsia="zh-CN"/>
              </w:rPr>
            </w:pPr>
            <w:r>
              <w:rPr>
                <w:b/>
                <w:bCs/>
                <w:i/>
                <w:iCs/>
                <w:lang w:eastAsia="zh-CN"/>
              </w:rPr>
              <w:t>min.</w:t>
            </w:r>
          </w:p>
          <w:p w14:paraId="47FFCE0C" w14:textId="77777777" w:rsidR="001C08A5" w:rsidRDefault="00000000">
            <w:pPr>
              <w:jc w:val="center"/>
              <w:rPr>
                <w:b/>
                <w:bCs/>
                <w:i/>
                <w:iCs/>
                <w:lang w:val="en-US" w:eastAsia="zh-CN"/>
              </w:rPr>
            </w:pPr>
            <w:r>
              <w:rPr>
                <w:b/>
                <w:bCs/>
                <w:i/>
                <w:iCs/>
                <w:lang w:val="en-US" w:eastAsia="zh-CN"/>
              </w:rPr>
              <w:t>A2s1÷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3B9071A2" w14:textId="77777777" w:rsidR="001C08A5" w:rsidRDefault="00000000">
            <w:pPr>
              <w:jc w:val="center"/>
              <w:rPr>
                <w:b/>
                <w:bCs/>
                <w:i/>
                <w:iCs/>
              </w:rPr>
            </w:pPr>
            <w:r>
              <w:rPr>
                <w:b/>
                <w:bCs/>
                <w:i/>
                <w:iCs/>
                <w:lang w:eastAsia="zh-CN"/>
              </w:rPr>
              <w:t xml:space="preserve">B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665" w:type="dxa"/>
            <w:vAlign w:val="center"/>
          </w:tcPr>
          <w:p w14:paraId="2F64346F" w14:textId="77777777" w:rsidR="001C08A5" w:rsidRDefault="00000000">
            <w:pPr>
              <w:jc w:val="center"/>
              <w:rPr>
                <w:b/>
                <w:bCs/>
                <w:i/>
                <w:iCs/>
              </w:rPr>
            </w:pPr>
            <w:r>
              <w:rPr>
                <w:b/>
                <w:bCs/>
                <w:i/>
                <w:iCs/>
              </w:rPr>
              <w:t>15</w:t>
            </w:r>
          </w:p>
          <w:p w14:paraId="323C6556" w14:textId="77777777" w:rsidR="001C08A5" w:rsidRDefault="00000000">
            <w:pPr>
              <w:jc w:val="center"/>
              <w:rPr>
                <w:b/>
                <w:bCs/>
                <w:i/>
                <w:iCs/>
                <w:lang w:eastAsia="zh-CN"/>
              </w:rPr>
            </w:pPr>
            <w:r>
              <w:rPr>
                <w:b/>
                <w:bCs/>
                <w:i/>
                <w:iCs/>
                <w:lang w:eastAsia="zh-CN"/>
              </w:rPr>
              <w:t>min.</w:t>
            </w:r>
          </w:p>
          <w:p w14:paraId="52085401" w14:textId="77777777" w:rsidR="001C08A5" w:rsidRDefault="00000000">
            <w:pPr>
              <w:jc w:val="center"/>
              <w:rPr>
                <w:b/>
                <w:bCs/>
                <w:i/>
                <w:iCs/>
              </w:rPr>
            </w:pPr>
            <w:r>
              <w:rPr>
                <w:b/>
                <w:bCs/>
                <w:i/>
                <w:iCs/>
                <w:lang w:eastAsia="zh-CN"/>
              </w:rPr>
              <w:t xml:space="preserve">C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170" w:type="dxa"/>
            <w:vAlign w:val="center"/>
          </w:tcPr>
          <w:p w14:paraId="248B9A4F" w14:textId="77777777" w:rsidR="001C08A5" w:rsidRDefault="00000000">
            <w:pPr>
              <w:jc w:val="center"/>
              <w:rPr>
                <w:b/>
                <w:bCs/>
                <w:i/>
                <w:iCs/>
              </w:rPr>
            </w:pPr>
            <w:r>
              <w:rPr>
                <w:b/>
                <w:bCs/>
                <w:i/>
                <w:iCs/>
              </w:rPr>
              <w:t>-</w:t>
            </w:r>
          </w:p>
          <w:p w14:paraId="1AAB8A6A" w14:textId="77777777" w:rsidR="001C08A5" w:rsidRDefault="00000000">
            <w:pPr>
              <w:jc w:val="center"/>
              <w:rPr>
                <w:b/>
                <w:bCs/>
                <w:i/>
                <w:iCs/>
                <w:lang w:eastAsia="zh-CN"/>
              </w:rPr>
            </w:pPr>
            <w:r>
              <w:rPr>
                <w:b/>
                <w:bCs/>
                <w:i/>
                <w:iCs/>
                <w:lang w:eastAsia="zh-CN"/>
              </w:rPr>
              <w:t>min.</w:t>
            </w:r>
          </w:p>
          <w:p w14:paraId="41E9C373" w14:textId="77777777" w:rsidR="001C08A5" w:rsidRDefault="00000000">
            <w:pPr>
              <w:jc w:val="center"/>
              <w:rPr>
                <w:b/>
                <w:bCs/>
                <w:i/>
                <w:iCs/>
              </w:rPr>
            </w:pPr>
            <w:r>
              <w:rPr>
                <w:b/>
                <w:bCs/>
                <w:i/>
                <w:iCs/>
                <w:lang w:eastAsia="zh-CN"/>
              </w:rPr>
              <w:t xml:space="preserve">D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tc>
        <w:tc>
          <w:tcPr>
            <w:tcW w:w="1547" w:type="dxa"/>
            <w:vAlign w:val="center"/>
          </w:tcPr>
          <w:p w14:paraId="3FFBDC6F" w14:textId="77777777" w:rsidR="001C08A5" w:rsidRDefault="00000000">
            <w:pPr>
              <w:jc w:val="center"/>
              <w:rPr>
                <w:b/>
                <w:bCs/>
                <w:i/>
                <w:iCs/>
                <w:lang w:val="en-GB"/>
              </w:rPr>
            </w:pPr>
            <w:r>
              <w:rPr>
                <w:b/>
                <w:bCs/>
                <w:i/>
                <w:iCs/>
                <w:lang w:val="en-GB"/>
              </w:rPr>
              <w:t>-</w:t>
            </w:r>
          </w:p>
          <w:p w14:paraId="3C445701" w14:textId="77777777" w:rsidR="001C08A5" w:rsidRDefault="00000000">
            <w:pPr>
              <w:jc w:val="center"/>
              <w:rPr>
                <w:b/>
                <w:bCs/>
                <w:i/>
                <w:iCs/>
                <w:lang w:eastAsia="zh-CN"/>
              </w:rPr>
            </w:pPr>
            <w:r>
              <w:rPr>
                <w:b/>
                <w:bCs/>
                <w:i/>
                <w:iCs/>
                <w:lang w:eastAsia="zh-CN"/>
              </w:rPr>
              <w:t xml:space="preserve">min. A2 </w:t>
            </w:r>
            <w:r>
              <w:rPr>
                <w:b/>
                <w:bCs/>
                <w:i/>
                <w:iCs/>
                <w:lang w:val="en-US" w:eastAsia="zh-CN"/>
              </w:rPr>
              <w:t>s1÷</w:t>
            </w:r>
            <w:r>
              <w:rPr>
                <w:b/>
                <w:bCs/>
                <w:i/>
                <w:iCs/>
                <w:lang w:eastAsia="zh-CN"/>
              </w:rPr>
              <w:t>s3</w:t>
            </w:r>
            <w:r>
              <w:rPr>
                <w:b/>
                <w:bCs/>
                <w:i/>
                <w:iCs/>
                <w:lang w:val="en-US" w:eastAsia="zh-CN"/>
              </w:rPr>
              <w:t>, d</w:t>
            </w:r>
            <w:r>
              <w:rPr>
                <w:b/>
                <w:bCs/>
                <w:i/>
                <w:iCs/>
                <w:lang w:eastAsia="zh-CN"/>
              </w:rPr>
              <w:t>2</w:t>
            </w:r>
          </w:p>
          <w:p w14:paraId="24CAA28C" w14:textId="77777777" w:rsidR="001C08A5" w:rsidRDefault="00000000">
            <w:pPr>
              <w:jc w:val="center"/>
              <w:rPr>
                <w:b/>
                <w:bCs/>
                <w:i/>
                <w:iCs/>
                <w:lang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d</w:t>
            </w:r>
            <w:r>
              <w:rPr>
                <w:b/>
                <w:bCs/>
                <w:i/>
                <w:iCs/>
                <w:lang w:eastAsia="zh-CN"/>
              </w:rPr>
              <w:t>2</w:t>
            </w:r>
          </w:p>
          <w:p w14:paraId="0CCA9EE4" w14:textId="77777777" w:rsidR="001C08A5" w:rsidRDefault="00000000">
            <w:pPr>
              <w:jc w:val="center"/>
              <w:rPr>
                <w:b/>
                <w:bCs/>
                <w:i/>
                <w:iCs/>
                <w:lang w:eastAsia="zh-CN"/>
              </w:rPr>
            </w:pPr>
            <w:r>
              <w:rPr>
                <w:b/>
                <w:bCs/>
                <w:i/>
                <w:iCs/>
                <w:lang w:eastAsia="zh-CN"/>
              </w:rPr>
              <w:t xml:space="preserve">C </w:t>
            </w:r>
            <w:r>
              <w:rPr>
                <w:b/>
                <w:bCs/>
                <w:i/>
                <w:iCs/>
                <w:lang w:val="en-US" w:eastAsia="zh-CN"/>
              </w:rPr>
              <w:t>s1÷</w:t>
            </w:r>
            <w:r>
              <w:rPr>
                <w:b/>
                <w:bCs/>
                <w:i/>
                <w:iCs/>
                <w:lang w:eastAsia="zh-CN"/>
              </w:rPr>
              <w:t>s3</w:t>
            </w:r>
            <w:r>
              <w:rPr>
                <w:b/>
                <w:bCs/>
                <w:i/>
                <w:iCs/>
                <w:lang w:val="en-US" w:eastAsia="zh-CN"/>
              </w:rPr>
              <w:t>, d</w:t>
            </w:r>
            <w:r>
              <w:rPr>
                <w:b/>
                <w:bCs/>
                <w:i/>
                <w:iCs/>
                <w:lang w:eastAsia="zh-CN"/>
              </w:rPr>
              <w:t>2</w:t>
            </w:r>
          </w:p>
          <w:p w14:paraId="543E55FC" w14:textId="77777777" w:rsidR="001C08A5" w:rsidRDefault="00000000">
            <w:pPr>
              <w:jc w:val="center"/>
              <w:rPr>
                <w:b/>
                <w:bCs/>
                <w:i/>
                <w:iCs/>
                <w:lang w:eastAsia="zh-CN"/>
              </w:rPr>
            </w:pPr>
            <w:r>
              <w:rPr>
                <w:b/>
                <w:bCs/>
                <w:i/>
                <w:iCs/>
                <w:lang w:eastAsia="zh-CN"/>
              </w:rPr>
              <w:t xml:space="preserve">D </w:t>
            </w:r>
            <w:r>
              <w:rPr>
                <w:b/>
                <w:bCs/>
                <w:i/>
                <w:iCs/>
                <w:lang w:val="en-US" w:eastAsia="zh-CN"/>
              </w:rPr>
              <w:t>s1÷</w:t>
            </w:r>
            <w:r>
              <w:rPr>
                <w:b/>
                <w:bCs/>
                <w:i/>
                <w:iCs/>
                <w:lang w:eastAsia="zh-CN"/>
              </w:rPr>
              <w:t>s3</w:t>
            </w:r>
            <w:r>
              <w:rPr>
                <w:b/>
                <w:bCs/>
                <w:i/>
                <w:iCs/>
                <w:lang w:val="en-US" w:eastAsia="zh-CN"/>
              </w:rPr>
              <w:t>, d</w:t>
            </w:r>
            <w:r>
              <w:rPr>
                <w:b/>
                <w:bCs/>
                <w:i/>
                <w:iCs/>
                <w:lang w:eastAsia="zh-CN"/>
              </w:rPr>
              <w:t>2</w:t>
            </w:r>
          </w:p>
          <w:p w14:paraId="7675977C" w14:textId="77777777" w:rsidR="001C08A5" w:rsidRDefault="00000000">
            <w:pPr>
              <w:jc w:val="center"/>
              <w:rPr>
                <w:b/>
                <w:bCs/>
                <w:i/>
                <w:iCs/>
              </w:rPr>
            </w:pPr>
            <w:r>
              <w:rPr>
                <w:b/>
                <w:bCs/>
                <w:i/>
                <w:iCs/>
                <w:lang w:eastAsia="zh-CN"/>
              </w:rPr>
              <w:t>E</w:t>
            </w:r>
            <w:r>
              <w:rPr>
                <w:b/>
                <w:bCs/>
                <w:i/>
                <w:iCs/>
                <w:lang w:val="en-US" w:eastAsia="zh-CN"/>
              </w:rPr>
              <w:t xml:space="preserve"> d</w:t>
            </w:r>
            <w:r>
              <w:rPr>
                <w:b/>
                <w:bCs/>
                <w:i/>
                <w:iCs/>
                <w:lang w:eastAsia="zh-CN"/>
              </w:rPr>
              <w:t>2</w:t>
            </w:r>
          </w:p>
        </w:tc>
      </w:tr>
      <w:tr w:rsidR="001C08A5" w14:paraId="01BCD32F" w14:textId="77777777">
        <w:trPr>
          <w:cantSplit/>
          <w:trHeight w:val="260"/>
        </w:trPr>
        <w:tc>
          <w:tcPr>
            <w:tcW w:w="478" w:type="dxa"/>
            <w:vMerge w:val="restart"/>
          </w:tcPr>
          <w:p w14:paraId="1F65710E" w14:textId="77777777" w:rsidR="001C08A5" w:rsidRDefault="00000000">
            <w:pPr>
              <w:rPr>
                <w:b/>
                <w:bCs/>
                <w:i/>
                <w:iCs/>
              </w:rPr>
            </w:pPr>
            <w:r>
              <w:rPr>
                <w:b/>
                <w:bCs/>
                <w:i/>
                <w:iCs/>
              </w:rPr>
              <w:t>8</w:t>
            </w:r>
          </w:p>
        </w:tc>
        <w:tc>
          <w:tcPr>
            <w:tcW w:w="1410" w:type="dxa"/>
            <w:vMerge w:val="restart"/>
            <w:vAlign w:val="center"/>
          </w:tcPr>
          <w:p w14:paraId="11AEDF56" w14:textId="77777777" w:rsidR="001C08A5" w:rsidRDefault="00000000">
            <w:pPr>
              <w:rPr>
                <w:b/>
                <w:bCs/>
                <w:i/>
                <w:iCs/>
                <w:lang w:val="en-GB"/>
              </w:rPr>
            </w:pPr>
            <w:r>
              <w:rPr>
                <w:b/>
                <w:bCs/>
                <w:i/>
                <w:iCs/>
              </w:rPr>
              <w:t>Panouri/ sisteme de învelitoare ale acoperişurilor</w:t>
            </w:r>
            <w:r>
              <w:rPr>
                <w:b/>
                <w:bCs/>
                <w:i/>
                <w:iCs/>
                <w:lang w:val="en-GB"/>
              </w:rPr>
              <w:t xml:space="preserve"> (</w:t>
            </w:r>
            <w:r>
              <w:rPr>
                <w:b/>
                <w:bCs/>
                <w:i/>
                <w:iCs/>
              </w:rPr>
              <w:t>EI</w:t>
            </w:r>
            <w:r>
              <w:rPr>
                <w:b/>
                <w:bCs/>
                <w:i/>
                <w:iCs/>
                <w:lang w:val="en-GB"/>
              </w:rPr>
              <w:t>)</w:t>
            </w:r>
          </w:p>
        </w:tc>
        <w:tc>
          <w:tcPr>
            <w:tcW w:w="1545" w:type="dxa"/>
            <w:vAlign w:val="center"/>
          </w:tcPr>
          <w:p w14:paraId="7CBA9106" w14:textId="77777777" w:rsidR="001C08A5" w:rsidRDefault="00000000">
            <w:pPr>
              <w:rPr>
                <w:b/>
                <w:bCs/>
                <w:i/>
                <w:iCs/>
              </w:rPr>
            </w:pPr>
            <w:r>
              <w:rPr>
                <w:b/>
                <w:bCs/>
                <w:i/>
                <w:iCs/>
              </w:rPr>
              <w:t>a. c</w:t>
            </w:r>
            <w:r>
              <w:rPr>
                <w:b/>
                <w:bCs/>
                <w:i/>
                <w:iCs/>
                <w:lang w:val="en-US" w:eastAsia="en-US"/>
              </w:rPr>
              <w:t xml:space="preserve">u încărcări din vânt și zăpadă </w:t>
            </w:r>
          </w:p>
        </w:tc>
        <w:tc>
          <w:tcPr>
            <w:tcW w:w="960" w:type="dxa"/>
            <w:vAlign w:val="center"/>
          </w:tcPr>
          <w:p w14:paraId="1C5A8885" w14:textId="77777777" w:rsidR="001C08A5" w:rsidRDefault="00000000">
            <w:pPr>
              <w:jc w:val="center"/>
              <w:rPr>
                <w:b/>
                <w:bCs/>
                <w:i/>
                <w:iCs/>
              </w:rPr>
            </w:pPr>
            <w:r>
              <w:rPr>
                <w:b/>
                <w:bCs/>
                <w:i/>
                <w:iCs/>
              </w:rPr>
              <w:t>15</w:t>
            </w:r>
          </w:p>
          <w:p w14:paraId="58341B2D" w14:textId="77777777" w:rsidR="001C08A5" w:rsidRDefault="00000000">
            <w:pPr>
              <w:jc w:val="center"/>
              <w:rPr>
                <w:b/>
                <w:bCs/>
                <w:i/>
                <w:iCs/>
              </w:rPr>
            </w:pPr>
            <w:r>
              <w:rPr>
                <w:b/>
                <w:bCs/>
                <w:i/>
                <w:iCs/>
              </w:rPr>
              <w:t>A1</w:t>
            </w:r>
          </w:p>
          <w:p w14:paraId="6203646A" w14:textId="77777777" w:rsidR="001C08A5" w:rsidRDefault="00000000">
            <w:pPr>
              <w:jc w:val="center"/>
              <w:rPr>
                <w:b/>
                <w:bCs/>
                <w:i/>
                <w:iCs/>
              </w:rPr>
            </w:pPr>
            <w:r>
              <w:rPr>
                <w:b/>
                <w:bCs/>
                <w:i/>
                <w:iCs/>
              </w:rPr>
              <w:t>A2s1d0</w:t>
            </w:r>
          </w:p>
          <w:p w14:paraId="373012E5" w14:textId="77777777" w:rsidR="001C08A5" w:rsidRDefault="00000000">
            <w:pPr>
              <w:jc w:val="center"/>
              <w:rPr>
                <w:b/>
                <w:bCs/>
                <w:i/>
                <w:iCs/>
              </w:rPr>
            </w:pPr>
            <w:r>
              <w:rPr>
                <w:b/>
                <w:bCs/>
                <w:i/>
                <w:iCs/>
              </w:rPr>
              <w:t>(*)</w:t>
            </w:r>
          </w:p>
        </w:tc>
        <w:tc>
          <w:tcPr>
            <w:tcW w:w="1080" w:type="dxa"/>
            <w:vAlign w:val="center"/>
          </w:tcPr>
          <w:p w14:paraId="4A51B39B" w14:textId="77777777" w:rsidR="001C08A5" w:rsidRDefault="00000000">
            <w:pPr>
              <w:jc w:val="center"/>
              <w:rPr>
                <w:b/>
                <w:bCs/>
                <w:i/>
                <w:iCs/>
              </w:rPr>
            </w:pPr>
            <w:r>
              <w:rPr>
                <w:b/>
                <w:bCs/>
                <w:i/>
                <w:iCs/>
              </w:rPr>
              <w:t>-</w:t>
            </w:r>
          </w:p>
          <w:p w14:paraId="3B642809" w14:textId="77777777" w:rsidR="001C08A5" w:rsidRDefault="00000000">
            <w:pPr>
              <w:jc w:val="center"/>
              <w:rPr>
                <w:b/>
                <w:bCs/>
                <w:i/>
                <w:iCs/>
                <w:lang w:val="en-US" w:eastAsia="zh-CN"/>
              </w:rPr>
            </w:pPr>
            <w:r>
              <w:rPr>
                <w:b/>
                <w:bCs/>
                <w:i/>
                <w:iCs/>
                <w:lang w:eastAsia="zh-CN"/>
              </w:rPr>
              <w:t xml:space="preserve">min. </w:t>
            </w:r>
            <w:r>
              <w:rPr>
                <w:b/>
                <w:bCs/>
                <w:i/>
                <w:iCs/>
                <w:lang w:val="en-US" w:eastAsia="zh-CN"/>
              </w:rPr>
              <w:t>A2s1÷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0C60BC3C" w14:textId="77777777" w:rsidR="001C08A5" w:rsidRDefault="00000000">
            <w:pPr>
              <w:jc w:val="center"/>
              <w:rPr>
                <w:b/>
                <w:bCs/>
                <w:i/>
                <w:iCs/>
                <w:lang w:val="en-US"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762210E7" w14:textId="77777777" w:rsidR="001C08A5" w:rsidRDefault="00000000">
            <w:pPr>
              <w:jc w:val="center"/>
              <w:rPr>
                <w:b/>
                <w:bCs/>
                <w:i/>
                <w:iCs/>
                <w:lang w:val="en-US" w:eastAsia="zh-CN"/>
              </w:rPr>
            </w:pPr>
            <w:r>
              <w:rPr>
                <w:b/>
                <w:bCs/>
                <w:i/>
                <w:iCs/>
              </w:rPr>
              <w:t>(*)</w:t>
            </w:r>
          </w:p>
        </w:tc>
        <w:tc>
          <w:tcPr>
            <w:tcW w:w="1665" w:type="dxa"/>
            <w:vAlign w:val="center"/>
          </w:tcPr>
          <w:p w14:paraId="13EF5639" w14:textId="77777777" w:rsidR="001C08A5" w:rsidRDefault="00000000">
            <w:pPr>
              <w:jc w:val="center"/>
              <w:rPr>
                <w:b/>
                <w:bCs/>
                <w:i/>
                <w:iCs/>
              </w:rPr>
            </w:pPr>
            <w:r>
              <w:rPr>
                <w:b/>
                <w:bCs/>
                <w:i/>
                <w:iCs/>
              </w:rPr>
              <w:t>-</w:t>
            </w:r>
          </w:p>
          <w:p w14:paraId="5FCB7630" w14:textId="77777777" w:rsidR="001C08A5" w:rsidRDefault="00000000">
            <w:pPr>
              <w:jc w:val="center"/>
              <w:rPr>
                <w:b/>
                <w:bCs/>
                <w:i/>
                <w:iCs/>
                <w:lang w:val="en-US" w:eastAsia="zh-CN"/>
              </w:rPr>
            </w:pPr>
            <w:r>
              <w:rPr>
                <w:b/>
                <w:bCs/>
                <w:i/>
                <w:iCs/>
                <w:lang w:eastAsia="zh-CN"/>
              </w:rPr>
              <w:t xml:space="preserve">min. C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1B81F318" w14:textId="77777777" w:rsidR="001C08A5" w:rsidRDefault="00000000">
            <w:pPr>
              <w:jc w:val="center"/>
              <w:rPr>
                <w:b/>
                <w:bCs/>
                <w:i/>
                <w:iCs/>
                <w:lang w:val="en-US" w:eastAsia="zh-CN"/>
              </w:rPr>
            </w:pPr>
            <w:r>
              <w:rPr>
                <w:b/>
                <w:bCs/>
                <w:i/>
                <w:iCs/>
              </w:rPr>
              <w:t>(*)</w:t>
            </w:r>
          </w:p>
        </w:tc>
        <w:tc>
          <w:tcPr>
            <w:tcW w:w="1170" w:type="dxa"/>
            <w:vAlign w:val="center"/>
          </w:tcPr>
          <w:p w14:paraId="6357A985" w14:textId="77777777" w:rsidR="001C08A5" w:rsidRDefault="00000000">
            <w:pPr>
              <w:jc w:val="center"/>
              <w:rPr>
                <w:b/>
                <w:bCs/>
                <w:i/>
                <w:iCs/>
              </w:rPr>
            </w:pPr>
            <w:r>
              <w:rPr>
                <w:b/>
                <w:bCs/>
                <w:i/>
                <w:iCs/>
              </w:rPr>
              <w:t>-</w:t>
            </w:r>
          </w:p>
          <w:p w14:paraId="350F504C" w14:textId="77777777" w:rsidR="001C08A5" w:rsidRDefault="00000000">
            <w:pPr>
              <w:jc w:val="center"/>
              <w:rPr>
                <w:b/>
                <w:bCs/>
                <w:i/>
                <w:iCs/>
                <w:lang w:val="en-US" w:eastAsia="zh-CN"/>
              </w:rPr>
            </w:pPr>
            <w:r>
              <w:rPr>
                <w:b/>
                <w:bCs/>
                <w:i/>
                <w:iCs/>
                <w:lang w:eastAsia="zh-CN"/>
              </w:rPr>
              <w:t xml:space="preserve">min. D </w:t>
            </w:r>
            <w:r>
              <w:rPr>
                <w:b/>
                <w:bCs/>
                <w:i/>
                <w:iCs/>
                <w:lang w:val="en-US" w:eastAsia="zh-CN"/>
              </w:rPr>
              <w:t>s1÷</w:t>
            </w:r>
            <w:r>
              <w:rPr>
                <w:b/>
                <w:bCs/>
                <w:i/>
                <w:iCs/>
                <w:lang w:eastAsia="zh-CN"/>
              </w:rPr>
              <w:t>s3</w:t>
            </w:r>
            <w:r>
              <w:rPr>
                <w:b/>
                <w:bCs/>
                <w:i/>
                <w:iCs/>
                <w:lang w:val="en-US" w:eastAsia="zh-CN"/>
              </w:rPr>
              <w:t xml:space="preserve">, </w:t>
            </w:r>
            <w:r>
              <w:rPr>
                <w:b/>
                <w:bCs/>
                <w:i/>
                <w:iCs/>
                <w:lang w:eastAsia="zh-CN"/>
              </w:rPr>
              <w:t>d0</w:t>
            </w:r>
            <w:r>
              <w:rPr>
                <w:b/>
                <w:bCs/>
                <w:i/>
                <w:iCs/>
                <w:lang w:val="en-US" w:eastAsia="zh-CN"/>
              </w:rPr>
              <w:t>÷d1</w:t>
            </w:r>
          </w:p>
          <w:p w14:paraId="27884C8D" w14:textId="77777777" w:rsidR="001C08A5" w:rsidRDefault="00000000">
            <w:pPr>
              <w:jc w:val="center"/>
              <w:rPr>
                <w:b/>
                <w:bCs/>
                <w:i/>
                <w:iCs/>
                <w:lang w:val="en-US" w:eastAsia="zh-CN"/>
              </w:rPr>
            </w:pPr>
            <w:r>
              <w:rPr>
                <w:b/>
                <w:bCs/>
                <w:i/>
                <w:iCs/>
              </w:rPr>
              <w:t>(*)</w:t>
            </w:r>
          </w:p>
        </w:tc>
        <w:tc>
          <w:tcPr>
            <w:tcW w:w="1547" w:type="dxa"/>
            <w:vAlign w:val="center"/>
          </w:tcPr>
          <w:p w14:paraId="32ED8801" w14:textId="77777777" w:rsidR="001C08A5" w:rsidRDefault="00000000">
            <w:pPr>
              <w:jc w:val="center"/>
              <w:rPr>
                <w:b/>
                <w:bCs/>
                <w:i/>
                <w:iCs/>
                <w:lang w:val="en-GB"/>
              </w:rPr>
            </w:pPr>
            <w:r>
              <w:rPr>
                <w:b/>
                <w:bCs/>
                <w:i/>
                <w:iCs/>
                <w:lang w:val="en-GB"/>
              </w:rPr>
              <w:t>-</w:t>
            </w:r>
          </w:p>
          <w:p w14:paraId="5D874C7A" w14:textId="77777777" w:rsidR="001C08A5" w:rsidRDefault="00000000">
            <w:pPr>
              <w:jc w:val="center"/>
              <w:rPr>
                <w:b/>
                <w:bCs/>
                <w:i/>
                <w:iCs/>
                <w:lang w:eastAsia="zh-CN"/>
              </w:rPr>
            </w:pPr>
            <w:r>
              <w:rPr>
                <w:b/>
                <w:bCs/>
                <w:i/>
                <w:iCs/>
                <w:lang w:eastAsia="zh-CN"/>
              </w:rPr>
              <w:t xml:space="preserve">min. A2 </w:t>
            </w:r>
            <w:r>
              <w:rPr>
                <w:b/>
                <w:bCs/>
                <w:i/>
                <w:iCs/>
                <w:lang w:val="en-US" w:eastAsia="zh-CN"/>
              </w:rPr>
              <w:t>s1÷</w:t>
            </w:r>
            <w:r>
              <w:rPr>
                <w:b/>
                <w:bCs/>
                <w:i/>
                <w:iCs/>
                <w:lang w:eastAsia="zh-CN"/>
              </w:rPr>
              <w:t>s3</w:t>
            </w:r>
            <w:r>
              <w:rPr>
                <w:b/>
                <w:bCs/>
                <w:i/>
                <w:iCs/>
                <w:lang w:val="en-US" w:eastAsia="zh-CN"/>
              </w:rPr>
              <w:t>, d</w:t>
            </w:r>
            <w:r>
              <w:rPr>
                <w:b/>
                <w:bCs/>
                <w:i/>
                <w:iCs/>
                <w:lang w:eastAsia="zh-CN"/>
              </w:rPr>
              <w:t>2</w:t>
            </w:r>
          </w:p>
          <w:p w14:paraId="2A8DD46A" w14:textId="77777777" w:rsidR="001C08A5" w:rsidRDefault="00000000">
            <w:pPr>
              <w:jc w:val="center"/>
              <w:rPr>
                <w:b/>
                <w:bCs/>
                <w:i/>
                <w:iCs/>
                <w:lang w:eastAsia="zh-CN"/>
              </w:rPr>
            </w:pPr>
            <w:r>
              <w:rPr>
                <w:b/>
                <w:bCs/>
                <w:i/>
                <w:iCs/>
                <w:lang w:eastAsia="zh-CN"/>
              </w:rPr>
              <w:t xml:space="preserve">B </w:t>
            </w:r>
            <w:r>
              <w:rPr>
                <w:b/>
                <w:bCs/>
                <w:i/>
                <w:iCs/>
                <w:lang w:val="en-US" w:eastAsia="zh-CN"/>
              </w:rPr>
              <w:t>s1÷</w:t>
            </w:r>
            <w:r>
              <w:rPr>
                <w:b/>
                <w:bCs/>
                <w:i/>
                <w:iCs/>
                <w:lang w:eastAsia="zh-CN"/>
              </w:rPr>
              <w:t>s3</w:t>
            </w:r>
            <w:r>
              <w:rPr>
                <w:b/>
                <w:bCs/>
                <w:i/>
                <w:iCs/>
                <w:lang w:val="en-US" w:eastAsia="zh-CN"/>
              </w:rPr>
              <w:t>, d</w:t>
            </w:r>
            <w:r>
              <w:rPr>
                <w:b/>
                <w:bCs/>
                <w:i/>
                <w:iCs/>
                <w:lang w:eastAsia="zh-CN"/>
              </w:rPr>
              <w:t>2</w:t>
            </w:r>
          </w:p>
          <w:p w14:paraId="1E1AB629" w14:textId="77777777" w:rsidR="001C08A5" w:rsidRDefault="00000000">
            <w:pPr>
              <w:jc w:val="center"/>
              <w:rPr>
                <w:b/>
                <w:bCs/>
                <w:i/>
                <w:iCs/>
                <w:lang w:eastAsia="zh-CN"/>
              </w:rPr>
            </w:pPr>
            <w:r>
              <w:rPr>
                <w:b/>
                <w:bCs/>
                <w:i/>
                <w:iCs/>
                <w:lang w:eastAsia="zh-CN"/>
              </w:rPr>
              <w:t xml:space="preserve">C </w:t>
            </w:r>
            <w:r>
              <w:rPr>
                <w:b/>
                <w:bCs/>
                <w:i/>
                <w:iCs/>
                <w:lang w:val="en-US" w:eastAsia="zh-CN"/>
              </w:rPr>
              <w:t>s1÷</w:t>
            </w:r>
            <w:r>
              <w:rPr>
                <w:b/>
                <w:bCs/>
                <w:i/>
                <w:iCs/>
                <w:lang w:eastAsia="zh-CN"/>
              </w:rPr>
              <w:t>s3</w:t>
            </w:r>
            <w:r>
              <w:rPr>
                <w:b/>
                <w:bCs/>
                <w:i/>
                <w:iCs/>
                <w:lang w:val="en-US" w:eastAsia="zh-CN"/>
              </w:rPr>
              <w:t>, d</w:t>
            </w:r>
            <w:r>
              <w:rPr>
                <w:b/>
                <w:bCs/>
                <w:i/>
                <w:iCs/>
                <w:lang w:eastAsia="zh-CN"/>
              </w:rPr>
              <w:t>2</w:t>
            </w:r>
          </w:p>
          <w:p w14:paraId="01CAF999" w14:textId="77777777" w:rsidR="001C08A5" w:rsidRDefault="00000000">
            <w:pPr>
              <w:jc w:val="center"/>
              <w:rPr>
                <w:b/>
                <w:bCs/>
                <w:i/>
                <w:iCs/>
                <w:lang w:eastAsia="zh-CN"/>
              </w:rPr>
            </w:pPr>
            <w:r>
              <w:rPr>
                <w:b/>
                <w:bCs/>
                <w:i/>
                <w:iCs/>
                <w:lang w:eastAsia="zh-CN"/>
              </w:rPr>
              <w:t xml:space="preserve">D </w:t>
            </w:r>
            <w:r>
              <w:rPr>
                <w:b/>
                <w:bCs/>
                <w:i/>
                <w:iCs/>
                <w:lang w:val="en-US" w:eastAsia="zh-CN"/>
              </w:rPr>
              <w:t>s1÷</w:t>
            </w:r>
            <w:r>
              <w:rPr>
                <w:b/>
                <w:bCs/>
                <w:i/>
                <w:iCs/>
                <w:lang w:eastAsia="zh-CN"/>
              </w:rPr>
              <w:t>s3</w:t>
            </w:r>
            <w:r>
              <w:rPr>
                <w:b/>
                <w:bCs/>
                <w:i/>
                <w:iCs/>
                <w:lang w:val="en-US" w:eastAsia="zh-CN"/>
              </w:rPr>
              <w:t>, d</w:t>
            </w:r>
            <w:r>
              <w:rPr>
                <w:b/>
                <w:bCs/>
                <w:i/>
                <w:iCs/>
                <w:lang w:eastAsia="zh-CN"/>
              </w:rPr>
              <w:t>2</w:t>
            </w:r>
          </w:p>
          <w:p w14:paraId="62D6069F" w14:textId="77777777" w:rsidR="001C08A5" w:rsidRDefault="00000000">
            <w:pPr>
              <w:jc w:val="center"/>
              <w:rPr>
                <w:b/>
                <w:bCs/>
                <w:i/>
                <w:iCs/>
                <w:lang w:eastAsia="zh-CN"/>
              </w:rPr>
            </w:pPr>
            <w:r>
              <w:rPr>
                <w:b/>
                <w:bCs/>
                <w:i/>
                <w:iCs/>
                <w:lang w:eastAsia="zh-CN"/>
              </w:rPr>
              <w:t>E</w:t>
            </w:r>
            <w:r>
              <w:rPr>
                <w:b/>
                <w:bCs/>
                <w:i/>
                <w:iCs/>
                <w:lang w:val="en-US" w:eastAsia="zh-CN"/>
              </w:rPr>
              <w:t xml:space="preserve"> d</w:t>
            </w:r>
            <w:r>
              <w:rPr>
                <w:b/>
                <w:bCs/>
                <w:i/>
                <w:iCs/>
                <w:lang w:eastAsia="zh-CN"/>
              </w:rPr>
              <w:t>2</w:t>
            </w:r>
          </w:p>
          <w:p w14:paraId="47C8E9C4" w14:textId="77777777" w:rsidR="001C08A5" w:rsidRDefault="00000000">
            <w:pPr>
              <w:jc w:val="center"/>
              <w:rPr>
                <w:b/>
                <w:bCs/>
                <w:i/>
                <w:iCs/>
                <w:lang w:eastAsia="zh-CN"/>
              </w:rPr>
            </w:pPr>
            <w:r>
              <w:rPr>
                <w:b/>
                <w:bCs/>
                <w:i/>
                <w:iCs/>
              </w:rPr>
              <w:t>(*)</w:t>
            </w:r>
          </w:p>
        </w:tc>
      </w:tr>
      <w:tr w:rsidR="001C08A5" w14:paraId="3EB6897D" w14:textId="77777777">
        <w:trPr>
          <w:cantSplit/>
          <w:trHeight w:val="831"/>
        </w:trPr>
        <w:tc>
          <w:tcPr>
            <w:tcW w:w="478" w:type="dxa"/>
            <w:vMerge/>
          </w:tcPr>
          <w:p w14:paraId="43FE506C" w14:textId="77777777" w:rsidR="001C08A5" w:rsidRDefault="001C08A5">
            <w:pPr>
              <w:rPr>
                <w:b/>
                <w:bCs/>
                <w:i/>
                <w:iCs/>
              </w:rPr>
            </w:pPr>
          </w:p>
        </w:tc>
        <w:tc>
          <w:tcPr>
            <w:tcW w:w="1410" w:type="dxa"/>
            <w:vMerge/>
            <w:vAlign w:val="center"/>
          </w:tcPr>
          <w:p w14:paraId="0E60085F" w14:textId="77777777" w:rsidR="001C08A5" w:rsidRDefault="001C08A5">
            <w:pPr>
              <w:rPr>
                <w:b/>
                <w:bCs/>
                <w:i/>
                <w:iCs/>
              </w:rPr>
            </w:pPr>
          </w:p>
        </w:tc>
        <w:tc>
          <w:tcPr>
            <w:tcW w:w="1545" w:type="dxa"/>
            <w:vAlign w:val="center"/>
          </w:tcPr>
          <w:p w14:paraId="152DD36B" w14:textId="77777777" w:rsidR="001C08A5" w:rsidRDefault="00000000">
            <w:pPr>
              <w:rPr>
                <w:b/>
                <w:bCs/>
                <w:i/>
                <w:iCs/>
              </w:rPr>
            </w:pPr>
            <w:r>
              <w:rPr>
                <w:b/>
                <w:bCs/>
                <w:i/>
                <w:iCs/>
              </w:rPr>
              <w:t>b. c</w:t>
            </w:r>
            <w:r>
              <w:rPr>
                <w:b/>
                <w:bCs/>
                <w:i/>
                <w:iCs/>
                <w:lang w:val="en-US" w:eastAsia="en-US"/>
              </w:rPr>
              <w:t>u  încărcări</w:t>
            </w:r>
            <w:r>
              <w:rPr>
                <w:b/>
                <w:bCs/>
                <w:i/>
                <w:iCs/>
                <w:lang w:eastAsia="en-US"/>
              </w:rPr>
              <w:t xml:space="preserve"> suplimentare provenite din PV</w:t>
            </w:r>
          </w:p>
        </w:tc>
        <w:tc>
          <w:tcPr>
            <w:tcW w:w="960" w:type="dxa"/>
            <w:vAlign w:val="center"/>
          </w:tcPr>
          <w:p w14:paraId="1A147E79" w14:textId="77777777" w:rsidR="001C08A5" w:rsidRDefault="00000000">
            <w:pPr>
              <w:jc w:val="center"/>
              <w:rPr>
                <w:b/>
                <w:bCs/>
                <w:i/>
                <w:iCs/>
                <w:lang w:val="en-GB"/>
              </w:rPr>
            </w:pPr>
            <w:r>
              <w:rPr>
                <w:b/>
                <w:bCs/>
                <w:i/>
                <w:iCs/>
                <w:lang w:val="en-GB"/>
              </w:rPr>
              <w:t>(*</w:t>
            </w:r>
            <w:r>
              <w:rPr>
                <w:b/>
                <w:bCs/>
                <w:i/>
                <w:iCs/>
              </w:rPr>
              <w:t>*</w:t>
            </w:r>
            <w:r>
              <w:rPr>
                <w:b/>
                <w:bCs/>
                <w:i/>
                <w:iCs/>
                <w:lang w:val="en-GB"/>
              </w:rPr>
              <w:t>)</w:t>
            </w:r>
          </w:p>
          <w:p w14:paraId="1F44B031" w14:textId="77777777" w:rsidR="001C08A5" w:rsidRDefault="00000000">
            <w:pPr>
              <w:jc w:val="center"/>
              <w:rPr>
                <w:b/>
                <w:bCs/>
                <w:i/>
                <w:iCs/>
              </w:rPr>
            </w:pPr>
            <w:r>
              <w:rPr>
                <w:b/>
                <w:bCs/>
                <w:i/>
                <w:iCs/>
              </w:rPr>
              <w:t>Broof</w:t>
            </w:r>
          </w:p>
          <w:p w14:paraId="2927FF2D" w14:textId="77777777" w:rsidR="001C08A5" w:rsidRDefault="00000000">
            <w:pPr>
              <w:jc w:val="center"/>
              <w:rPr>
                <w:b/>
                <w:bCs/>
                <w:i/>
                <w:iCs/>
              </w:rPr>
            </w:pPr>
            <w:r>
              <w:rPr>
                <w:b/>
                <w:bCs/>
                <w:i/>
                <w:iCs/>
              </w:rPr>
              <w:t>(T4)</w:t>
            </w:r>
          </w:p>
        </w:tc>
        <w:tc>
          <w:tcPr>
            <w:tcW w:w="1080" w:type="dxa"/>
            <w:vAlign w:val="center"/>
          </w:tcPr>
          <w:p w14:paraId="7E751DBD" w14:textId="77777777" w:rsidR="001C08A5" w:rsidRDefault="00000000">
            <w:pPr>
              <w:jc w:val="center"/>
              <w:rPr>
                <w:b/>
                <w:bCs/>
                <w:i/>
                <w:iCs/>
                <w:lang w:val="en-GB"/>
              </w:rPr>
            </w:pPr>
            <w:r>
              <w:rPr>
                <w:b/>
                <w:bCs/>
                <w:i/>
                <w:iCs/>
                <w:lang w:val="en-GB"/>
              </w:rPr>
              <w:t>(*</w:t>
            </w:r>
            <w:r>
              <w:rPr>
                <w:b/>
                <w:bCs/>
                <w:i/>
                <w:iCs/>
              </w:rPr>
              <w:t>*</w:t>
            </w:r>
            <w:r>
              <w:rPr>
                <w:b/>
                <w:bCs/>
                <w:i/>
                <w:iCs/>
                <w:lang w:val="en-GB"/>
              </w:rPr>
              <w:t>)</w:t>
            </w:r>
          </w:p>
          <w:p w14:paraId="6E02C4EF" w14:textId="77777777" w:rsidR="001C08A5" w:rsidRDefault="00000000">
            <w:pPr>
              <w:jc w:val="center"/>
              <w:rPr>
                <w:b/>
                <w:bCs/>
                <w:i/>
                <w:iCs/>
              </w:rPr>
            </w:pPr>
            <w:r>
              <w:rPr>
                <w:b/>
                <w:bCs/>
                <w:i/>
                <w:iCs/>
              </w:rPr>
              <w:t>Broof</w:t>
            </w:r>
          </w:p>
          <w:p w14:paraId="7B49E69A" w14:textId="77777777" w:rsidR="001C08A5" w:rsidRDefault="00000000">
            <w:pPr>
              <w:jc w:val="center"/>
              <w:rPr>
                <w:b/>
                <w:bCs/>
                <w:i/>
                <w:iCs/>
              </w:rPr>
            </w:pPr>
            <w:r>
              <w:rPr>
                <w:b/>
                <w:bCs/>
                <w:i/>
                <w:iCs/>
              </w:rPr>
              <w:t>(T3)</w:t>
            </w:r>
          </w:p>
        </w:tc>
        <w:tc>
          <w:tcPr>
            <w:tcW w:w="1665" w:type="dxa"/>
            <w:vAlign w:val="center"/>
          </w:tcPr>
          <w:p w14:paraId="5D20A3CB" w14:textId="77777777" w:rsidR="001C08A5" w:rsidRDefault="00000000">
            <w:pPr>
              <w:jc w:val="center"/>
              <w:rPr>
                <w:b/>
                <w:bCs/>
                <w:i/>
                <w:iCs/>
                <w:lang w:val="en-GB"/>
              </w:rPr>
            </w:pPr>
            <w:r>
              <w:rPr>
                <w:b/>
                <w:bCs/>
                <w:i/>
                <w:iCs/>
                <w:lang w:val="en-GB"/>
              </w:rPr>
              <w:t>(*</w:t>
            </w:r>
            <w:r>
              <w:rPr>
                <w:b/>
                <w:bCs/>
                <w:i/>
                <w:iCs/>
              </w:rPr>
              <w:t>*</w:t>
            </w:r>
            <w:r>
              <w:rPr>
                <w:b/>
                <w:bCs/>
                <w:i/>
                <w:iCs/>
                <w:lang w:val="en-GB"/>
              </w:rPr>
              <w:t>)</w:t>
            </w:r>
          </w:p>
          <w:p w14:paraId="48389AB5" w14:textId="77777777" w:rsidR="001C08A5" w:rsidRDefault="00000000">
            <w:pPr>
              <w:jc w:val="center"/>
              <w:rPr>
                <w:b/>
                <w:bCs/>
                <w:i/>
                <w:iCs/>
              </w:rPr>
            </w:pPr>
            <w:r>
              <w:rPr>
                <w:b/>
                <w:bCs/>
                <w:i/>
                <w:iCs/>
              </w:rPr>
              <w:t>Broof</w:t>
            </w:r>
          </w:p>
          <w:p w14:paraId="3E93E42D" w14:textId="77777777" w:rsidR="001C08A5" w:rsidRDefault="00000000">
            <w:pPr>
              <w:jc w:val="center"/>
              <w:rPr>
                <w:b/>
                <w:bCs/>
                <w:i/>
                <w:iCs/>
              </w:rPr>
            </w:pPr>
            <w:r>
              <w:rPr>
                <w:b/>
                <w:bCs/>
                <w:i/>
                <w:iCs/>
              </w:rPr>
              <w:t>(T3)</w:t>
            </w:r>
          </w:p>
        </w:tc>
        <w:tc>
          <w:tcPr>
            <w:tcW w:w="1170" w:type="dxa"/>
            <w:vAlign w:val="center"/>
          </w:tcPr>
          <w:p w14:paraId="4AA564B2" w14:textId="77777777" w:rsidR="001C08A5" w:rsidRDefault="00000000">
            <w:pPr>
              <w:jc w:val="center"/>
              <w:rPr>
                <w:b/>
                <w:bCs/>
                <w:i/>
                <w:iCs/>
                <w:lang w:val="en-GB"/>
              </w:rPr>
            </w:pPr>
            <w:r>
              <w:rPr>
                <w:b/>
                <w:bCs/>
                <w:i/>
                <w:iCs/>
                <w:lang w:val="en-GB"/>
              </w:rPr>
              <w:t>(*</w:t>
            </w:r>
            <w:r>
              <w:rPr>
                <w:b/>
                <w:bCs/>
                <w:i/>
                <w:iCs/>
              </w:rPr>
              <w:t>*</w:t>
            </w:r>
            <w:r>
              <w:rPr>
                <w:b/>
                <w:bCs/>
                <w:i/>
                <w:iCs/>
                <w:lang w:val="en-GB"/>
              </w:rPr>
              <w:t>)</w:t>
            </w:r>
          </w:p>
          <w:p w14:paraId="4614CC0B" w14:textId="77777777" w:rsidR="001C08A5" w:rsidRDefault="00000000">
            <w:pPr>
              <w:jc w:val="center"/>
              <w:rPr>
                <w:b/>
                <w:bCs/>
                <w:i/>
                <w:iCs/>
              </w:rPr>
            </w:pPr>
            <w:r>
              <w:rPr>
                <w:b/>
                <w:bCs/>
                <w:i/>
                <w:iCs/>
              </w:rPr>
              <w:t>Croof</w:t>
            </w:r>
          </w:p>
          <w:p w14:paraId="26E4917F" w14:textId="77777777" w:rsidR="001C08A5" w:rsidRDefault="00000000">
            <w:pPr>
              <w:jc w:val="center"/>
              <w:rPr>
                <w:b/>
                <w:bCs/>
                <w:i/>
                <w:iCs/>
              </w:rPr>
            </w:pPr>
            <w:r>
              <w:rPr>
                <w:b/>
                <w:bCs/>
                <w:i/>
                <w:iCs/>
              </w:rPr>
              <w:t>(T3)</w:t>
            </w:r>
          </w:p>
        </w:tc>
        <w:tc>
          <w:tcPr>
            <w:tcW w:w="1547" w:type="dxa"/>
            <w:vAlign w:val="center"/>
          </w:tcPr>
          <w:p w14:paraId="29AE8443" w14:textId="77777777" w:rsidR="001C08A5" w:rsidRDefault="00000000">
            <w:pPr>
              <w:jc w:val="center"/>
              <w:rPr>
                <w:b/>
                <w:bCs/>
                <w:i/>
                <w:iCs/>
                <w:lang w:val="en-GB"/>
              </w:rPr>
            </w:pPr>
            <w:r>
              <w:rPr>
                <w:b/>
                <w:bCs/>
                <w:i/>
                <w:iCs/>
                <w:lang w:val="en-GB"/>
              </w:rPr>
              <w:t>(*</w:t>
            </w:r>
            <w:r>
              <w:rPr>
                <w:b/>
                <w:bCs/>
                <w:i/>
                <w:iCs/>
              </w:rPr>
              <w:t>*</w:t>
            </w:r>
            <w:r>
              <w:rPr>
                <w:b/>
                <w:bCs/>
                <w:i/>
                <w:iCs/>
                <w:lang w:val="en-GB"/>
              </w:rPr>
              <w:t>)</w:t>
            </w:r>
          </w:p>
          <w:p w14:paraId="2714D0FD" w14:textId="77777777" w:rsidR="001C08A5" w:rsidRDefault="00000000">
            <w:pPr>
              <w:jc w:val="center"/>
              <w:rPr>
                <w:b/>
                <w:bCs/>
                <w:i/>
                <w:iCs/>
              </w:rPr>
            </w:pPr>
            <w:r>
              <w:rPr>
                <w:b/>
                <w:bCs/>
                <w:i/>
                <w:iCs/>
              </w:rPr>
              <w:t>Droof</w:t>
            </w:r>
          </w:p>
          <w:p w14:paraId="64A23ACC" w14:textId="77777777" w:rsidR="001C08A5" w:rsidRDefault="00000000">
            <w:pPr>
              <w:jc w:val="center"/>
              <w:rPr>
                <w:b/>
                <w:bCs/>
                <w:i/>
                <w:iCs/>
              </w:rPr>
            </w:pPr>
            <w:r>
              <w:rPr>
                <w:b/>
                <w:bCs/>
                <w:i/>
                <w:iCs/>
              </w:rPr>
              <w:t>(T3)</w:t>
            </w:r>
          </w:p>
        </w:tc>
      </w:tr>
    </w:tbl>
    <w:p w14:paraId="7BC55108" w14:textId="77777777" w:rsidR="001C08A5" w:rsidRDefault="00000000">
      <w:pPr>
        <w:jc w:val="both"/>
        <w:rPr>
          <w:i/>
          <w:iCs/>
          <w:sz w:val="22"/>
          <w:szCs w:val="22"/>
        </w:rPr>
      </w:pPr>
      <w:r>
        <w:rPr>
          <w:i/>
          <w:iCs/>
          <w:sz w:val="22"/>
          <w:szCs w:val="22"/>
        </w:rPr>
        <w:t>Note:</w:t>
      </w:r>
    </w:p>
    <w:p w14:paraId="5BC28AD4" w14:textId="77777777" w:rsidR="001C08A5" w:rsidRDefault="00000000">
      <w:pPr>
        <w:jc w:val="both"/>
        <w:rPr>
          <w:i/>
          <w:iCs/>
          <w:sz w:val="22"/>
          <w:szCs w:val="22"/>
          <w:lang w:val="en-GB"/>
        </w:rPr>
      </w:pPr>
      <w:r>
        <w:rPr>
          <w:i/>
          <w:iCs/>
          <w:sz w:val="22"/>
          <w:szCs w:val="22"/>
        </w:rPr>
        <w:t>(*) La construcțiile</w:t>
      </w:r>
      <w:r>
        <w:rPr>
          <w:i/>
          <w:iCs/>
          <w:sz w:val="22"/>
          <w:szCs w:val="22"/>
          <w:lang w:val="en-GB"/>
        </w:rPr>
        <w:t xml:space="preserve"> </w:t>
      </w:r>
      <w:r>
        <w:rPr>
          <w:i/>
          <w:iCs/>
          <w:sz w:val="22"/>
          <w:szCs w:val="22"/>
        </w:rPr>
        <w:t xml:space="preserve">existente echipate cu instalații de stingere a incendiilor cu sprinklere ori ceață de apă, </w:t>
      </w:r>
      <w:r>
        <w:rPr>
          <w:i/>
          <w:iCs/>
          <w:sz w:val="22"/>
          <w:szCs w:val="22"/>
          <w:lang w:val="en-GB"/>
        </w:rPr>
        <w:t xml:space="preserve">cu exceptia celor </w:t>
      </w:r>
      <w:r>
        <w:rPr>
          <w:i/>
          <w:iCs/>
          <w:sz w:val="22"/>
          <w:szCs w:val="22"/>
        </w:rPr>
        <w:t>î</w:t>
      </w:r>
      <w:r>
        <w:rPr>
          <w:i/>
          <w:iCs/>
          <w:sz w:val="22"/>
          <w:szCs w:val="22"/>
          <w:lang w:val="en-GB"/>
        </w:rPr>
        <w:t xml:space="preserve">ncadrate </w:t>
      </w:r>
      <w:r>
        <w:rPr>
          <w:i/>
          <w:iCs/>
          <w:sz w:val="22"/>
          <w:szCs w:val="22"/>
        </w:rPr>
        <w:t>î</w:t>
      </w:r>
      <w:r>
        <w:rPr>
          <w:i/>
          <w:iCs/>
          <w:sz w:val="22"/>
          <w:szCs w:val="22"/>
          <w:lang w:val="en-GB"/>
        </w:rPr>
        <w:t>n nivel</w:t>
      </w:r>
      <w:r>
        <w:rPr>
          <w:b/>
          <w:bCs/>
          <w:i/>
          <w:iCs/>
          <w:sz w:val="22"/>
          <w:szCs w:val="22"/>
          <w:lang w:val="en-GB"/>
        </w:rPr>
        <w:t xml:space="preserve"> I </w:t>
      </w:r>
      <w:r>
        <w:rPr>
          <w:i/>
          <w:iCs/>
          <w:sz w:val="22"/>
          <w:szCs w:val="22"/>
          <w:lang w:val="en-GB"/>
        </w:rPr>
        <w:t>de stabilitate,</w:t>
      </w:r>
      <w:r>
        <w:rPr>
          <w:i/>
          <w:iCs/>
          <w:sz w:val="22"/>
          <w:szCs w:val="22"/>
        </w:rPr>
        <w:t xml:space="preserve"> se consideră că este satisfăcută condiția de încadrare în nivelul de stabilitate la incendiu, dacă  sistemul de învelitoare este compus din</w:t>
      </w:r>
      <w:r>
        <w:rPr>
          <w:i/>
          <w:iCs/>
          <w:sz w:val="22"/>
          <w:szCs w:val="22"/>
          <w:lang w:val="en-GB"/>
        </w:rPr>
        <w:t>:</w:t>
      </w:r>
    </w:p>
    <w:p w14:paraId="5154C8A5" w14:textId="77777777" w:rsidR="001C08A5" w:rsidRDefault="00000000">
      <w:pPr>
        <w:ind w:left="720" w:firstLine="720"/>
        <w:jc w:val="both"/>
        <w:rPr>
          <w:i/>
          <w:sz w:val="22"/>
          <w:szCs w:val="22"/>
        </w:rPr>
      </w:pPr>
      <w:r>
        <w:rPr>
          <w:i/>
          <w:sz w:val="22"/>
          <w:szCs w:val="22"/>
        </w:rPr>
        <w:t xml:space="preserve">- strat cu profil trapezoidal din oțel cu grosimea mai mare sau egală cu </w:t>
      </w:r>
      <w:r>
        <w:rPr>
          <w:b/>
          <w:bCs/>
          <w:i/>
          <w:sz w:val="22"/>
          <w:szCs w:val="22"/>
        </w:rPr>
        <w:t>1,00</w:t>
      </w:r>
      <w:r>
        <w:rPr>
          <w:i/>
          <w:sz w:val="22"/>
          <w:szCs w:val="22"/>
        </w:rPr>
        <w:t xml:space="preserve"> </w:t>
      </w:r>
      <w:r>
        <w:rPr>
          <w:b/>
          <w:bCs/>
          <w:i/>
          <w:sz w:val="22"/>
          <w:szCs w:val="22"/>
        </w:rPr>
        <w:t>mm</w:t>
      </w:r>
      <w:r>
        <w:rPr>
          <w:i/>
          <w:sz w:val="22"/>
          <w:szCs w:val="22"/>
        </w:rPr>
        <w:t>;</w:t>
      </w:r>
    </w:p>
    <w:p w14:paraId="3CA255C8" w14:textId="77777777" w:rsidR="001C08A5" w:rsidRDefault="00000000">
      <w:pPr>
        <w:ind w:left="720" w:firstLine="720"/>
        <w:jc w:val="both"/>
        <w:rPr>
          <w:i/>
          <w:sz w:val="22"/>
          <w:szCs w:val="22"/>
        </w:rPr>
      </w:pPr>
      <w:r>
        <w:rPr>
          <w:i/>
          <w:sz w:val="22"/>
          <w:szCs w:val="22"/>
        </w:rPr>
        <w:t xml:space="preserve">- barieră de vapori care are mai puțin de </w:t>
      </w:r>
      <w:r>
        <w:rPr>
          <w:b/>
          <w:bCs/>
          <w:i/>
          <w:sz w:val="22"/>
          <w:szCs w:val="22"/>
        </w:rPr>
        <w:t>11.6 MJ/m</w:t>
      </w:r>
      <w:r>
        <w:rPr>
          <w:b/>
          <w:bCs/>
          <w:i/>
          <w:sz w:val="22"/>
          <w:szCs w:val="22"/>
          <w:vertAlign w:val="superscript"/>
        </w:rPr>
        <w:t>2</w:t>
      </w:r>
      <w:r>
        <w:rPr>
          <w:i/>
          <w:sz w:val="22"/>
          <w:szCs w:val="22"/>
        </w:rPr>
        <w:t xml:space="preserve">, grosimea mai mica de </w:t>
      </w:r>
      <w:r>
        <w:rPr>
          <w:b/>
          <w:bCs/>
          <w:i/>
          <w:sz w:val="22"/>
          <w:szCs w:val="22"/>
        </w:rPr>
        <w:t>1,00</w:t>
      </w:r>
      <w:r>
        <w:rPr>
          <w:i/>
          <w:sz w:val="22"/>
          <w:szCs w:val="22"/>
        </w:rPr>
        <w:t xml:space="preserve"> </w:t>
      </w:r>
      <w:r>
        <w:rPr>
          <w:b/>
          <w:bCs/>
          <w:i/>
          <w:sz w:val="22"/>
          <w:szCs w:val="22"/>
        </w:rPr>
        <w:t>mm</w:t>
      </w:r>
      <w:r>
        <w:rPr>
          <w:i/>
          <w:sz w:val="22"/>
          <w:szCs w:val="22"/>
        </w:rPr>
        <w:t xml:space="preserve"> și masa pe unitatea de suprafata mai mica de </w:t>
      </w:r>
      <w:r>
        <w:rPr>
          <w:b/>
          <w:bCs/>
          <w:i/>
          <w:sz w:val="22"/>
          <w:szCs w:val="22"/>
        </w:rPr>
        <w:t>1 kg/m</w:t>
      </w:r>
      <w:r>
        <w:rPr>
          <w:b/>
          <w:bCs/>
          <w:i/>
          <w:sz w:val="22"/>
          <w:szCs w:val="22"/>
          <w:vertAlign w:val="superscript"/>
        </w:rPr>
        <w:t>2</w:t>
      </w:r>
      <w:r>
        <w:rPr>
          <w:i/>
          <w:sz w:val="22"/>
          <w:szCs w:val="22"/>
        </w:rPr>
        <w:t>;</w:t>
      </w:r>
    </w:p>
    <w:p w14:paraId="3AC1AC74" w14:textId="77777777" w:rsidR="001C08A5" w:rsidRDefault="00000000">
      <w:pPr>
        <w:ind w:left="720" w:firstLine="720"/>
        <w:jc w:val="both"/>
        <w:rPr>
          <w:i/>
          <w:sz w:val="22"/>
          <w:szCs w:val="22"/>
        </w:rPr>
      </w:pPr>
      <w:r>
        <w:rPr>
          <w:i/>
          <w:sz w:val="22"/>
          <w:szCs w:val="22"/>
        </w:rPr>
        <w:t xml:space="preserve">- termoizolație cu grosime de minimum </w:t>
      </w:r>
      <w:r>
        <w:rPr>
          <w:b/>
          <w:bCs/>
          <w:i/>
          <w:sz w:val="22"/>
          <w:szCs w:val="22"/>
        </w:rPr>
        <w:t>20 cm</w:t>
      </w:r>
      <w:r>
        <w:rPr>
          <w:i/>
          <w:sz w:val="22"/>
          <w:szCs w:val="22"/>
        </w:rPr>
        <w:t xml:space="preserve">, clasa de reacție la foc </w:t>
      </w:r>
      <w:r>
        <w:rPr>
          <w:b/>
          <w:bCs/>
          <w:i/>
          <w:sz w:val="22"/>
          <w:szCs w:val="22"/>
        </w:rPr>
        <w:t xml:space="preserve">A1, </w:t>
      </w:r>
      <w:r>
        <w:rPr>
          <w:i/>
          <w:sz w:val="22"/>
          <w:szCs w:val="22"/>
        </w:rPr>
        <w:t xml:space="preserve">cu densitatea minimă </w:t>
      </w:r>
      <w:r>
        <w:rPr>
          <w:b/>
          <w:bCs/>
          <w:i/>
          <w:sz w:val="22"/>
          <w:szCs w:val="22"/>
        </w:rPr>
        <w:t>150kg/m</w:t>
      </w:r>
      <w:r>
        <w:rPr>
          <w:b/>
          <w:bCs/>
          <w:i/>
          <w:sz w:val="22"/>
          <w:szCs w:val="22"/>
          <w:vertAlign w:val="superscript"/>
        </w:rPr>
        <w:t>3</w:t>
      </w:r>
      <w:r>
        <w:rPr>
          <w:i/>
          <w:sz w:val="22"/>
          <w:szCs w:val="22"/>
        </w:rPr>
        <w:t>;</w:t>
      </w:r>
    </w:p>
    <w:p w14:paraId="3301ACF7" w14:textId="77777777" w:rsidR="001C08A5" w:rsidRDefault="00000000">
      <w:pPr>
        <w:ind w:left="720" w:firstLine="720"/>
        <w:jc w:val="both"/>
        <w:rPr>
          <w:i/>
          <w:sz w:val="22"/>
          <w:szCs w:val="22"/>
        </w:rPr>
      </w:pPr>
      <w:r>
        <w:rPr>
          <w:i/>
          <w:sz w:val="22"/>
          <w:szCs w:val="22"/>
        </w:rPr>
        <w:lastRenderedPageBreak/>
        <w:t xml:space="preserve">- membrană hidroizolantă  care trebuie să îndeplinească numai clasa de performanță la foc exterior, astfel: minimum </w:t>
      </w:r>
      <w:r>
        <w:rPr>
          <w:b/>
          <w:bCs/>
          <w:i/>
          <w:sz w:val="22"/>
          <w:szCs w:val="22"/>
        </w:rPr>
        <w:t>B</w:t>
      </w:r>
      <w:r>
        <w:rPr>
          <w:b/>
          <w:bCs/>
          <w:i/>
          <w:sz w:val="22"/>
          <w:szCs w:val="22"/>
          <w:vertAlign w:val="subscript"/>
        </w:rPr>
        <w:t>ROOF</w:t>
      </w:r>
      <w:r>
        <w:rPr>
          <w:b/>
          <w:bCs/>
          <w:i/>
          <w:sz w:val="22"/>
          <w:szCs w:val="22"/>
        </w:rPr>
        <w:t>(T3)</w:t>
      </w:r>
      <w:r>
        <w:rPr>
          <w:i/>
          <w:sz w:val="22"/>
          <w:szCs w:val="22"/>
        </w:rPr>
        <w:t xml:space="preserve"> pentru nivelul </w:t>
      </w:r>
      <w:r>
        <w:rPr>
          <w:b/>
          <w:bCs/>
          <w:i/>
          <w:sz w:val="22"/>
          <w:szCs w:val="22"/>
        </w:rPr>
        <w:t>II</w:t>
      </w:r>
      <w:r>
        <w:rPr>
          <w:i/>
          <w:sz w:val="22"/>
          <w:szCs w:val="22"/>
        </w:rPr>
        <w:t xml:space="preserve"> și </w:t>
      </w:r>
      <w:r>
        <w:rPr>
          <w:b/>
          <w:bCs/>
          <w:i/>
          <w:sz w:val="22"/>
          <w:szCs w:val="22"/>
        </w:rPr>
        <w:t>III</w:t>
      </w:r>
      <w:r>
        <w:rPr>
          <w:i/>
          <w:sz w:val="22"/>
          <w:szCs w:val="22"/>
        </w:rPr>
        <w:t xml:space="preserve"> de stabilitate la incendiu sau </w:t>
      </w:r>
      <w:r>
        <w:rPr>
          <w:b/>
          <w:bCs/>
          <w:i/>
          <w:iCs/>
          <w:sz w:val="22"/>
          <w:szCs w:val="22"/>
        </w:rPr>
        <w:t>C</w:t>
      </w:r>
      <w:r>
        <w:rPr>
          <w:b/>
          <w:bCs/>
          <w:i/>
          <w:iCs/>
          <w:sz w:val="22"/>
          <w:szCs w:val="22"/>
          <w:vertAlign w:val="subscript"/>
        </w:rPr>
        <w:t>ROOF</w:t>
      </w:r>
      <w:r>
        <w:rPr>
          <w:b/>
          <w:bCs/>
          <w:i/>
          <w:iCs/>
          <w:sz w:val="22"/>
          <w:szCs w:val="22"/>
        </w:rPr>
        <w:t>(T3)</w:t>
      </w:r>
      <w:r>
        <w:rPr>
          <w:i/>
          <w:sz w:val="22"/>
          <w:szCs w:val="22"/>
        </w:rPr>
        <w:t xml:space="preserve">pentru nivelul </w:t>
      </w:r>
      <w:r>
        <w:rPr>
          <w:b/>
          <w:bCs/>
          <w:i/>
          <w:sz w:val="22"/>
          <w:szCs w:val="22"/>
        </w:rPr>
        <w:t>IV</w:t>
      </w:r>
      <w:r>
        <w:rPr>
          <w:i/>
          <w:sz w:val="22"/>
          <w:szCs w:val="22"/>
        </w:rPr>
        <w:t xml:space="preserve"> de stabilitate la incendiu. </w:t>
      </w:r>
    </w:p>
    <w:p w14:paraId="62555CDD" w14:textId="77777777" w:rsidR="001C08A5" w:rsidRDefault="00000000">
      <w:pPr>
        <w:suppressAutoHyphens w:val="0"/>
        <w:autoSpaceDE w:val="0"/>
        <w:autoSpaceDN w:val="0"/>
        <w:adjustRightInd w:val="0"/>
        <w:jc w:val="both"/>
        <w:rPr>
          <w:i/>
          <w:iCs/>
          <w:sz w:val="22"/>
          <w:szCs w:val="22"/>
        </w:rPr>
      </w:pPr>
      <w:r>
        <w:rPr>
          <w:i/>
          <w:iCs/>
          <w:sz w:val="22"/>
          <w:szCs w:val="22"/>
        </w:rPr>
        <w:t xml:space="preserve">(**) Este obligatorie asigurarea și a </w:t>
      </w:r>
      <w:r>
        <w:rPr>
          <w:b/>
          <w:bCs/>
          <w:i/>
          <w:iCs/>
          <w:sz w:val="22"/>
          <w:szCs w:val="22"/>
          <w:u w:val="single"/>
        </w:rPr>
        <w:t>minimum</w:t>
      </w:r>
      <w:r>
        <w:rPr>
          <w:i/>
          <w:iCs/>
          <w:sz w:val="22"/>
          <w:szCs w:val="22"/>
        </w:rPr>
        <w:t xml:space="preserve"> condițiilor prevăzute pentru suporturi standardizate de panouri sau sisteme de învelitoare ale acoperişurilor în pantă prevăzute la </w:t>
      </w:r>
      <w:r>
        <w:rPr>
          <w:b/>
          <w:bCs/>
          <w:i/>
          <w:iCs/>
          <w:sz w:val="22"/>
          <w:szCs w:val="22"/>
        </w:rPr>
        <w:t>Nr. Crt. 10 lit. b)</w:t>
      </w:r>
      <w:r>
        <w:rPr>
          <w:i/>
          <w:iCs/>
          <w:sz w:val="22"/>
          <w:szCs w:val="22"/>
        </w:rPr>
        <w:t>.</w:t>
      </w:r>
    </w:p>
    <w:p w14:paraId="7FD88204" w14:textId="77777777" w:rsidR="001C08A5" w:rsidRDefault="00000000">
      <w:pPr>
        <w:rPr>
          <w:bCs/>
          <w:i/>
          <w:sz w:val="22"/>
          <w:szCs w:val="22"/>
        </w:rPr>
      </w:pPr>
      <w:r>
        <w:rPr>
          <w:b/>
          <w:bCs/>
          <w:i/>
          <w:sz w:val="22"/>
          <w:szCs w:val="22"/>
        </w:rPr>
        <w:t xml:space="preserve">”-” </w:t>
      </w:r>
      <w:r>
        <w:rPr>
          <w:b/>
          <w:i/>
          <w:sz w:val="22"/>
          <w:szCs w:val="22"/>
        </w:rPr>
        <w:t>=</w:t>
      </w:r>
      <w:r>
        <w:rPr>
          <w:bCs/>
          <w:i/>
          <w:sz w:val="22"/>
          <w:szCs w:val="22"/>
        </w:rPr>
        <w:t xml:space="preserve"> fără performanţe determinate la foc</w:t>
      </w:r>
    </w:p>
    <w:p w14:paraId="3000DDB2" w14:textId="77777777" w:rsidR="001C08A5" w:rsidRDefault="00000000">
      <w:pPr>
        <w:rPr>
          <w:bCs/>
          <w:i/>
          <w:sz w:val="22"/>
          <w:szCs w:val="22"/>
        </w:rPr>
      </w:pPr>
      <w:r>
        <w:rPr>
          <w:b/>
          <w:i/>
          <w:sz w:val="22"/>
          <w:szCs w:val="22"/>
        </w:rPr>
        <w:t>”h”</w:t>
      </w:r>
      <w:r>
        <w:rPr>
          <w:bCs/>
          <w:i/>
          <w:sz w:val="22"/>
          <w:szCs w:val="22"/>
        </w:rPr>
        <w:t xml:space="preserve">= cota ultimului planșeu accesibil/folosibil al </w:t>
      </w:r>
      <w:r>
        <w:rPr>
          <w:i/>
          <w:iCs/>
          <w:sz w:val="22"/>
          <w:szCs w:val="22"/>
        </w:rPr>
        <w:t>construcției, față de nivelul de referință</w:t>
      </w:r>
    </w:p>
    <w:p w14:paraId="2C45D473" w14:textId="77777777" w:rsidR="001C08A5" w:rsidRDefault="00000000">
      <w:pPr>
        <w:pStyle w:val="BodyText"/>
        <w:rPr>
          <w:b w:val="0"/>
          <w:bCs w:val="0"/>
          <w:iCs/>
          <w:sz w:val="22"/>
          <w:szCs w:val="22"/>
        </w:rPr>
      </w:pPr>
      <w:r>
        <w:rPr>
          <w:b w:val="0"/>
          <w:bCs w:val="0"/>
          <w:iCs/>
          <w:sz w:val="22"/>
          <w:szCs w:val="22"/>
        </w:rPr>
        <w:t>- În scopul verificării cerințelor de rezistență la foc ale elementelor structurale secundare, proiectantul trebuie să verifice că prăbușirea acestor elemente prin efectul incendiului nu va compromite: capacitatea portantă a altor elemente structurale care fac parte din structură (în condiții de incendiu), eficacitatea compartimentării elementelor structurale, operarea sistemelor active de protecție împotriva incendiilor, evacuarea în siguranță a utilizatorilor precum și siguranța echipelor de intervenție.</w:t>
      </w:r>
    </w:p>
    <w:p w14:paraId="0DF41101" w14:textId="77777777" w:rsidR="001C08A5" w:rsidRDefault="001C08A5">
      <w:pPr>
        <w:jc w:val="both"/>
        <w:rPr>
          <w:i/>
          <w:iCs/>
          <w:sz w:val="22"/>
          <w:szCs w:val="22"/>
        </w:rPr>
      </w:pPr>
    </w:p>
    <w:p w14:paraId="673D02F1"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2.1.9.</w:t>
      </w:r>
      <w:r>
        <w:rPr>
          <w:rFonts w:eastAsia="Calibri"/>
          <w:i/>
          <w:sz w:val="24"/>
          <w:szCs w:val="24"/>
          <w:shd w:val="clear" w:color="auto" w:fill="FFFFFF"/>
        </w:rPr>
        <w:t xml:space="preserve"> Toate elementele principale ale construcției existente, funcție de rolul acestora, trebuie să îndeplinească condițiile minime de reacție și rezistență la foc prevăzute pentru încadrarea în nivelul respectiv de stabilitate la incendiu. Pentru ca un element al construcției existente să corespundă la un anumit nivel de stabilitate la incendiu, trebuie să îndeplinească ambele condiții minime (atât cea de reacție la foc cât și cea de rezistență la foc)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_Ref3644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144</w:t>
      </w:r>
      <w:r>
        <w:rPr>
          <w:rFonts w:eastAsia="Calibri"/>
          <w:b/>
          <w:bCs/>
          <w:i/>
          <w:iCs/>
          <w:sz w:val="24"/>
          <w:szCs w:val="24"/>
          <w:shd w:val="clear" w:color="auto" w:fill="FFFFFF"/>
        </w:rPr>
        <w:fldChar w:fldCharType="end"/>
      </w:r>
      <w:r>
        <w:rPr>
          <w:rFonts w:eastAsia="Calibri"/>
          <w:i/>
          <w:sz w:val="24"/>
          <w:szCs w:val="24"/>
          <w:shd w:val="clear" w:color="auto" w:fill="FFFFFF"/>
        </w:rPr>
        <w:t xml:space="preserve"> </w:t>
      </w:r>
      <w:r>
        <w:rPr>
          <w:b/>
          <w:i/>
          <w:sz w:val="24"/>
          <w:szCs w:val="24"/>
        </w:rPr>
        <w:t xml:space="preserve">. </w:t>
      </w:r>
    </w:p>
    <w:p w14:paraId="2AA6BE81" w14:textId="77777777" w:rsidR="001C08A5" w:rsidRDefault="00000000">
      <w:pPr>
        <w:shd w:val="clear" w:color="auto" w:fill="FFFFFF"/>
        <w:spacing w:after="150"/>
        <w:jc w:val="both"/>
        <w:rPr>
          <w:rFonts w:eastAsia="Calibri"/>
          <w:b/>
          <w:bCs/>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2.1.10.</w:t>
      </w:r>
      <w:r>
        <w:rPr>
          <w:rFonts w:eastAsia="Calibri"/>
          <w:i/>
          <w:sz w:val="24"/>
          <w:szCs w:val="24"/>
          <w:shd w:val="clear" w:color="auto" w:fill="FFFFFF"/>
        </w:rPr>
        <w:t xml:space="preserve"> Gradul de rezistenţă la foc (nivelul de stabilitate la incendiu) al construcţiei existente sau al unui compartiment de incendiu existent este determinat de elementul său cu cea mai defavorabilă încadrare şi se precizează obligatoriu în documentaţia tehnicoeconomică. Se vor avea în vedere și dispozițiile precizate la </w:t>
      </w:r>
      <w:r>
        <w:rPr>
          <w:b/>
          <w:i/>
          <w:sz w:val="24"/>
          <w:szCs w:val="24"/>
        </w:rPr>
        <w:t xml:space="preserve">Art. </w:t>
      </w:r>
      <w:r>
        <w:rPr>
          <w:b/>
          <w:bCs/>
          <w:i/>
          <w:sz w:val="24"/>
          <w:szCs w:val="24"/>
        </w:rPr>
        <w:t>2.1.3.</w:t>
      </w:r>
      <w:r>
        <w:rPr>
          <w:b/>
          <w:i/>
          <w:sz w:val="24"/>
          <w:szCs w:val="24"/>
        </w:rPr>
        <w:t xml:space="preserve">3. </w:t>
      </w:r>
      <w:r>
        <w:rPr>
          <w:bCs/>
          <w:i/>
          <w:sz w:val="24"/>
          <w:szCs w:val="24"/>
        </w:rPr>
        <w:t>din normativ.</w:t>
      </w:r>
    </w:p>
    <w:p w14:paraId="59E7245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2.1.11.</w:t>
      </w:r>
      <w:r>
        <w:rPr>
          <w:rFonts w:eastAsia="Calibri"/>
          <w:i/>
          <w:sz w:val="24"/>
          <w:szCs w:val="24"/>
          <w:shd w:val="clear" w:color="auto" w:fill="FFFFFF"/>
        </w:rPr>
        <w:t> La stabilirea nivelului de stabilitate la incendiu a construcției existente sau a compartimentului de incendiu existent, nu se iau în considerare următoarele:</w:t>
      </w:r>
    </w:p>
    <w:p w14:paraId="136B0B42" w14:textId="77777777" w:rsidR="001C08A5" w:rsidRDefault="00000000">
      <w:pPr>
        <w:shd w:val="clear" w:color="auto" w:fill="FFFFFF"/>
        <w:spacing w:after="150"/>
        <w:ind w:left="720" w:firstLine="720"/>
        <w:jc w:val="both"/>
        <w:rPr>
          <w:i/>
          <w:sz w:val="24"/>
          <w:szCs w:val="24"/>
        </w:rPr>
      </w:pPr>
      <w:r>
        <w:rPr>
          <w:b/>
          <w:i/>
          <w:sz w:val="24"/>
          <w:szCs w:val="24"/>
        </w:rPr>
        <w:t>a)</w:t>
      </w:r>
      <w:r>
        <w:rPr>
          <w:i/>
          <w:sz w:val="24"/>
          <w:szCs w:val="24"/>
        </w:rPr>
        <w:t xml:space="preserve"> </w:t>
      </w:r>
      <w:r>
        <w:rPr>
          <w:rFonts w:eastAsia="Calibri"/>
          <w:i/>
          <w:sz w:val="24"/>
          <w:szCs w:val="24"/>
          <w:shd w:val="clear" w:color="auto" w:fill="FFFFFF"/>
        </w:rPr>
        <w:t xml:space="preserve">șarpanta și suportul învelitorii construcțiilor de nivel de stabilitate la incendiu </w:t>
      </w:r>
      <w:r>
        <w:rPr>
          <w:rFonts w:eastAsia="Calibri"/>
          <w:b/>
          <w:bCs/>
          <w:i/>
          <w:sz w:val="24"/>
          <w:szCs w:val="24"/>
          <w:shd w:val="clear" w:color="auto" w:fill="FFFFFF"/>
        </w:rPr>
        <w:t xml:space="preserve">II </w:t>
      </w:r>
      <w:r>
        <w:rPr>
          <w:rFonts w:eastAsia="Calibri"/>
          <w:i/>
          <w:sz w:val="24"/>
          <w:szCs w:val="24"/>
          <w:shd w:val="clear" w:color="auto" w:fill="FFFFFF"/>
        </w:rPr>
        <w:t>sau</w:t>
      </w:r>
      <w:r>
        <w:rPr>
          <w:rFonts w:eastAsia="Calibri"/>
          <w:b/>
          <w:bCs/>
          <w:i/>
          <w:sz w:val="24"/>
          <w:szCs w:val="24"/>
          <w:shd w:val="clear" w:color="auto" w:fill="FFFFFF"/>
        </w:rPr>
        <w:t xml:space="preserve"> III</w:t>
      </w:r>
      <w:r>
        <w:rPr>
          <w:rFonts w:eastAsia="Calibri"/>
          <w:i/>
          <w:sz w:val="24"/>
          <w:szCs w:val="24"/>
          <w:shd w:val="clear" w:color="auto" w:fill="FFFFFF"/>
        </w:rPr>
        <w:t xml:space="preserve">, cu pod, dacă planșeul spre pod nu este suspendat de șarpanta acoperișului, iar golurile acestuia sunt protejate prin elemente de închidere rezistente la foc minimum </w:t>
      </w:r>
      <w:r>
        <w:rPr>
          <w:rFonts w:eastAsia="Calibri"/>
          <w:b/>
          <w:bCs/>
          <w:i/>
          <w:sz w:val="24"/>
          <w:szCs w:val="24"/>
          <w:shd w:val="clear" w:color="auto" w:fill="FFFFFF"/>
        </w:rPr>
        <w:t>30</w:t>
      </w:r>
      <w:r>
        <w:rPr>
          <w:rFonts w:eastAsia="Calibri"/>
          <w:i/>
          <w:sz w:val="24"/>
          <w:szCs w:val="24"/>
          <w:shd w:val="clear" w:color="auto" w:fill="FFFFFF"/>
        </w:rPr>
        <w:t xml:space="preserve"> minute. La clădirile existente înalte și foarte înalte acoperișurile cu pod vor fi realizate integral din materiale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xml:space="preserve">. </w:t>
      </w:r>
      <w:r>
        <w:rPr>
          <w:i/>
          <w:sz w:val="24"/>
          <w:szCs w:val="24"/>
        </w:rPr>
        <w:t>Șarpanta şi suportul învelitorii construcţiilor cu pod trebuie să îndeplinească următoarele:</w:t>
      </w:r>
    </w:p>
    <w:p w14:paraId="0C9BA60A" w14:textId="77777777" w:rsidR="001C08A5" w:rsidRDefault="00000000">
      <w:pPr>
        <w:ind w:left="1440" w:firstLine="720"/>
        <w:jc w:val="both"/>
        <w:rPr>
          <w:i/>
          <w:sz w:val="24"/>
          <w:szCs w:val="24"/>
        </w:rPr>
      </w:pPr>
      <w:r>
        <w:rPr>
          <w:i/>
          <w:sz w:val="24"/>
          <w:szCs w:val="24"/>
        </w:rPr>
        <w:t xml:space="preserve">- pentru nivelul </w:t>
      </w:r>
      <w:r>
        <w:rPr>
          <w:b/>
          <w:i/>
          <w:sz w:val="24"/>
          <w:szCs w:val="24"/>
        </w:rPr>
        <w:t>II</w:t>
      </w:r>
      <w:r>
        <w:rPr>
          <w:i/>
          <w:sz w:val="24"/>
          <w:szCs w:val="24"/>
        </w:rPr>
        <w:t xml:space="preserve"> de stabilitate la incendiu, dacă planşeul spre pod are rezistenţa la foc </w:t>
      </w:r>
      <w:r>
        <w:rPr>
          <w:b/>
          <w:i/>
          <w:sz w:val="24"/>
          <w:szCs w:val="24"/>
        </w:rPr>
        <w:t xml:space="preserve">REI 30 </w:t>
      </w:r>
      <w:r>
        <w:rPr>
          <w:bCs/>
          <w:i/>
          <w:sz w:val="24"/>
          <w:szCs w:val="24"/>
        </w:rPr>
        <w:t>(</w:t>
      </w:r>
      <w:r>
        <w:rPr>
          <w:b/>
          <w:bCs/>
          <w:i/>
          <w:sz w:val="24"/>
          <w:szCs w:val="24"/>
        </w:rPr>
        <w:t>A1, A2s1d0</w:t>
      </w:r>
      <w:r>
        <w:rPr>
          <w:bCs/>
          <w:i/>
          <w:sz w:val="24"/>
          <w:szCs w:val="24"/>
        </w:rPr>
        <w:t>)</w:t>
      </w:r>
      <w:r>
        <w:rPr>
          <w:i/>
          <w:sz w:val="24"/>
          <w:szCs w:val="24"/>
        </w:rPr>
        <w:t xml:space="preserve"> şi nu este suspendat de şarpanta acoperişului, iar golurile din planşeul spre pod sunt protejate cu elemente de închidere rezistente la foc minimum </w:t>
      </w:r>
      <w:r>
        <w:rPr>
          <w:b/>
          <w:i/>
          <w:sz w:val="24"/>
          <w:szCs w:val="24"/>
        </w:rPr>
        <w:t>EI 30</w:t>
      </w:r>
      <w:r>
        <w:rPr>
          <w:i/>
          <w:sz w:val="24"/>
          <w:szCs w:val="24"/>
        </w:rPr>
        <w:t>, normal închise;</w:t>
      </w:r>
    </w:p>
    <w:p w14:paraId="4A3D96EA" w14:textId="77777777" w:rsidR="001C08A5" w:rsidRDefault="00000000">
      <w:pPr>
        <w:ind w:left="1440" w:firstLine="720"/>
        <w:jc w:val="both"/>
        <w:rPr>
          <w:i/>
          <w:sz w:val="24"/>
          <w:szCs w:val="24"/>
        </w:rPr>
      </w:pPr>
      <w:r>
        <w:rPr>
          <w:i/>
          <w:sz w:val="24"/>
          <w:szCs w:val="24"/>
        </w:rPr>
        <w:t xml:space="preserve">- pentru nivelul </w:t>
      </w:r>
      <w:r>
        <w:rPr>
          <w:b/>
          <w:bCs/>
          <w:i/>
          <w:sz w:val="24"/>
          <w:szCs w:val="24"/>
        </w:rPr>
        <w:t>III</w:t>
      </w:r>
      <w:r>
        <w:rPr>
          <w:i/>
          <w:sz w:val="24"/>
          <w:szCs w:val="24"/>
        </w:rPr>
        <w:t xml:space="preserve"> de stabilitate la incendiu, dacă planşeul spre pod are rezistenţa la foc </w:t>
      </w:r>
      <w:r>
        <w:rPr>
          <w:b/>
          <w:i/>
          <w:sz w:val="24"/>
          <w:szCs w:val="24"/>
        </w:rPr>
        <w:t xml:space="preserve">REI 30 </w:t>
      </w:r>
      <w:r>
        <w:rPr>
          <w:bCs/>
          <w:i/>
          <w:sz w:val="24"/>
          <w:szCs w:val="24"/>
        </w:rPr>
        <w:t xml:space="preserve">(min </w:t>
      </w:r>
      <w:r>
        <w:rPr>
          <w:b/>
          <w:i/>
          <w:sz w:val="24"/>
          <w:szCs w:val="24"/>
          <w:lang w:eastAsia="zh-CN"/>
        </w:rPr>
        <w:t>A2s1÷s3, d0÷d1, B s1÷s3, d0÷d1</w:t>
      </w:r>
      <w:r>
        <w:rPr>
          <w:bCs/>
          <w:i/>
          <w:sz w:val="24"/>
          <w:szCs w:val="24"/>
        </w:rPr>
        <w:t>)</w:t>
      </w:r>
      <w:r>
        <w:rPr>
          <w:i/>
          <w:sz w:val="24"/>
          <w:szCs w:val="24"/>
        </w:rPr>
        <w:t xml:space="preserve"> şi nu este suspendat de şarpanta acoperişului, iar golurile din planşeul spre pod sunt protejate cu elemente de închidere rezistente la foc minimum </w:t>
      </w:r>
      <w:r>
        <w:rPr>
          <w:b/>
          <w:i/>
          <w:sz w:val="24"/>
          <w:szCs w:val="24"/>
        </w:rPr>
        <w:t>EI 30</w:t>
      </w:r>
      <w:r>
        <w:rPr>
          <w:i/>
          <w:sz w:val="24"/>
          <w:szCs w:val="24"/>
        </w:rPr>
        <w:t>, normal închise;</w:t>
      </w:r>
    </w:p>
    <w:p w14:paraId="37D35B36" w14:textId="77777777" w:rsidR="001C08A5" w:rsidRDefault="00000000">
      <w:pPr>
        <w:ind w:left="720" w:firstLine="720"/>
        <w:jc w:val="both"/>
        <w:rPr>
          <w:i/>
          <w:sz w:val="24"/>
          <w:szCs w:val="24"/>
        </w:rPr>
      </w:pPr>
      <w:r>
        <w:rPr>
          <w:b/>
          <w:i/>
          <w:sz w:val="24"/>
          <w:szCs w:val="24"/>
        </w:rPr>
        <w:t>b)</w:t>
      </w:r>
      <w:r>
        <w:rPr>
          <w:i/>
          <w:sz w:val="24"/>
          <w:szCs w:val="24"/>
        </w:rPr>
        <w:t xml:space="preserve"> învelitorile acoperişurilor de orice fel, cu excepția panourilor de învelitoare precizate </w:t>
      </w:r>
      <w:r>
        <w:rPr>
          <w:bCs/>
          <w:i/>
          <w:sz w:val="24"/>
          <w:szCs w:val="24"/>
          <w:lang w:eastAsia="en-GB"/>
        </w:rPr>
        <w:t xml:space="preserve">conform </w:t>
      </w:r>
      <w:r>
        <w:rPr>
          <w:b/>
          <w:bCs/>
          <w:i/>
          <w:iCs/>
          <w:sz w:val="24"/>
          <w:szCs w:val="24"/>
          <w:lang w:eastAsia="en-GB"/>
        </w:rPr>
        <w:fldChar w:fldCharType="begin"/>
      </w:r>
      <w:r>
        <w:rPr>
          <w:b/>
          <w:bCs/>
          <w:i/>
          <w:iCs/>
          <w:sz w:val="24"/>
          <w:szCs w:val="24"/>
          <w:lang w:eastAsia="en-GB"/>
        </w:rPr>
        <w:instrText xml:space="preserve"> REF _Ref3644 \h </w:instrText>
      </w:r>
      <w:r>
        <w:rPr>
          <w:b/>
          <w:bCs/>
          <w:i/>
          <w:iCs/>
          <w:sz w:val="24"/>
          <w:szCs w:val="24"/>
          <w:lang w:eastAsia="en-GB"/>
        </w:rPr>
      </w:r>
      <w:r>
        <w:rPr>
          <w:b/>
          <w:bCs/>
          <w:i/>
          <w:iCs/>
          <w:sz w:val="24"/>
          <w:szCs w:val="24"/>
          <w:lang w:eastAsia="en-GB"/>
        </w:rPr>
        <w:fldChar w:fldCharType="separate"/>
      </w:r>
      <w:r>
        <w:t>Tabelul 144</w:t>
      </w:r>
      <w:r>
        <w:rPr>
          <w:b/>
          <w:bCs/>
          <w:i/>
          <w:iCs/>
          <w:sz w:val="24"/>
          <w:szCs w:val="24"/>
          <w:lang w:eastAsia="en-GB"/>
        </w:rPr>
        <w:fldChar w:fldCharType="end"/>
      </w:r>
      <w:r>
        <w:rPr>
          <w:b/>
          <w:i/>
          <w:sz w:val="24"/>
          <w:szCs w:val="24"/>
          <w:lang w:eastAsia="en-GB"/>
        </w:rPr>
        <w:t xml:space="preserve"> </w:t>
      </w:r>
      <w:r>
        <w:rPr>
          <w:b/>
          <w:i/>
          <w:sz w:val="24"/>
          <w:szCs w:val="24"/>
          <w:lang w:val="en-GB" w:eastAsia="en-GB"/>
        </w:rPr>
        <w:t>pct.</w:t>
      </w:r>
      <w:r>
        <w:rPr>
          <w:b/>
          <w:i/>
          <w:sz w:val="24"/>
          <w:szCs w:val="24"/>
        </w:rPr>
        <w:t xml:space="preserve"> 8 b), </w:t>
      </w:r>
      <w:r>
        <w:rPr>
          <w:i/>
          <w:sz w:val="24"/>
          <w:szCs w:val="24"/>
        </w:rPr>
        <w:t xml:space="preserve">precum şi termoizolaţiile incombustibile şi hidroizolaţiile montate deasupra unui suport continuu </w:t>
      </w:r>
      <w:r>
        <w:rPr>
          <w:b/>
          <w:bCs/>
          <w:i/>
          <w:sz w:val="24"/>
          <w:szCs w:val="24"/>
        </w:rPr>
        <w:t>A1, A2s1d0</w:t>
      </w:r>
      <w:r>
        <w:rPr>
          <w:i/>
          <w:sz w:val="24"/>
          <w:szCs w:val="24"/>
        </w:rPr>
        <w:t xml:space="preserve"> rezistent la foc conform </w:t>
      </w:r>
      <w:r>
        <w:rPr>
          <w:b/>
          <w:bCs/>
          <w:i/>
          <w:iCs/>
          <w:sz w:val="24"/>
          <w:szCs w:val="24"/>
        </w:rPr>
        <w:fldChar w:fldCharType="begin"/>
      </w:r>
      <w:r>
        <w:rPr>
          <w:b/>
          <w:bCs/>
          <w:i/>
          <w:iCs/>
          <w:sz w:val="24"/>
          <w:szCs w:val="24"/>
        </w:rPr>
        <w:instrText xml:space="preserve"> REF _Ref3644 \h </w:instrText>
      </w:r>
      <w:r>
        <w:rPr>
          <w:b/>
          <w:bCs/>
          <w:i/>
          <w:iCs/>
          <w:sz w:val="24"/>
          <w:szCs w:val="24"/>
        </w:rPr>
      </w:r>
      <w:r>
        <w:rPr>
          <w:b/>
          <w:bCs/>
          <w:i/>
          <w:iCs/>
          <w:sz w:val="24"/>
          <w:szCs w:val="24"/>
        </w:rPr>
        <w:fldChar w:fldCharType="separate"/>
      </w:r>
      <w:r>
        <w:t>Tabelul 144</w:t>
      </w:r>
      <w:r>
        <w:rPr>
          <w:b/>
          <w:bCs/>
          <w:i/>
          <w:iCs/>
          <w:sz w:val="24"/>
          <w:szCs w:val="24"/>
        </w:rPr>
        <w:fldChar w:fldCharType="end"/>
      </w:r>
      <w:r>
        <w:rPr>
          <w:i/>
          <w:sz w:val="24"/>
          <w:szCs w:val="24"/>
        </w:rPr>
        <w:t xml:space="preserve">; </w:t>
      </w:r>
    </w:p>
    <w:p w14:paraId="425EF60B" w14:textId="77777777" w:rsidR="001C08A5" w:rsidRDefault="00000000">
      <w:pPr>
        <w:ind w:left="720" w:firstLine="720"/>
        <w:jc w:val="both"/>
        <w:rPr>
          <w:i/>
          <w:sz w:val="24"/>
          <w:szCs w:val="24"/>
          <w:lang w:val="en-GB"/>
        </w:rPr>
      </w:pPr>
      <w:r>
        <w:rPr>
          <w:b/>
          <w:i/>
          <w:sz w:val="24"/>
          <w:szCs w:val="24"/>
        </w:rPr>
        <w:t xml:space="preserve">c) </w:t>
      </w:r>
      <w:r>
        <w:rPr>
          <w:i/>
          <w:sz w:val="24"/>
          <w:szCs w:val="24"/>
        </w:rPr>
        <w:t>luminatoarele dispuse pe acoperiş, a căror arie însumată (în proiecţie orizontală) este mai mică de 25% din aria spațiului în care sunt dispuse, dar nu mai mult de 25mp, indiferent de clasa lor de reacţie la foc</w:t>
      </w:r>
      <w:r>
        <w:rPr>
          <w:i/>
          <w:sz w:val="24"/>
          <w:szCs w:val="24"/>
          <w:lang w:val="en-GB"/>
        </w:rPr>
        <w:t>;</w:t>
      </w:r>
    </w:p>
    <w:p w14:paraId="5011CC27" w14:textId="77777777" w:rsidR="001C08A5" w:rsidRDefault="00000000">
      <w:pPr>
        <w:ind w:left="720" w:firstLine="720"/>
        <w:jc w:val="both"/>
        <w:rPr>
          <w:i/>
          <w:sz w:val="24"/>
          <w:szCs w:val="24"/>
        </w:rPr>
      </w:pPr>
      <w:r>
        <w:rPr>
          <w:b/>
          <w:i/>
          <w:sz w:val="24"/>
          <w:szCs w:val="24"/>
        </w:rPr>
        <w:t>d)</w:t>
      </w:r>
      <w:r>
        <w:rPr>
          <w:i/>
          <w:sz w:val="24"/>
          <w:szCs w:val="24"/>
        </w:rPr>
        <w:t xml:space="preserve"> luminatoarele atriumurilor (indiferent de aria lor) sau luminatoarele dispuse in acoperiş cu aria mai mare de </w:t>
      </w:r>
      <w:r>
        <w:rPr>
          <w:b/>
          <w:bCs/>
          <w:i/>
          <w:sz w:val="24"/>
          <w:szCs w:val="24"/>
        </w:rPr>
        <w:t>25%</w:t>
      </w:r>
      <w:r>
        <w:rPr>
          <w:i/>
          <w:sz w:val="24"/>
          <w:szCs w:val="24"/>
        </w:rPr>
        <w:t xml:space="preserve"> din aria spațiului în care sunt amplasate, atunci când sunt realizate cu structuri din profile având clasa de reacţie la foc </w:t>
      </w:r>
      <w:r>
        <w:rPr>
          <w:b/>
          <w:bCs/>
          <w:i/>
          <w:sz w:val="24"/>
          <w:szCs w:val="24"/>
        </w:rPr>
        <w:t xml:space="preserve">A1 </w:t>
      </w:r>
      <w:r>
        <w:rPr>
          <w:i/>
          <w:sz w:val="24"/>
          <w:szCs w:val="24"/>
        </w:rPr>
        <w:t xml:space="preserve">sau </w:t>
      </w:r>
      <w:r>
        <w:rPr>
          <w:b/>
          <w:bCs/>
          <w:i/>
          <w:sz w:val="24"/>
          <w:szCs w:val="24"/>
        </w:rPr>
        <w:t>A2-s1d0</w:t>
      </w:r>
      <w:r>
        <w:rPr>
          <w:b/>
          <w:bCs/>
          <w:i/>
          <w:sz w:val="24"/>
          <w:szCs w:val="24"/>
          <w:lang w:val="en-GB"/>
        </w:rPr>
        <w:t xml:space="preserve">, </w:t>
      </w:r>
      <w:r>
        <w:rPr>
          <w:i/>
          <w:sz w:val="24"/>
          <w:szCs w:val="24"/>
        </w:rPr>
        <w:t xml:space="preserve">cu excepția componentelor nesubstanțiale, a izolatorilor și garniturilor, cu şi panouri de umplere din elemente de vitraj (din sticlă) simplu sau izolant ori din produse clasa de reacţie la foc </w:t>
      </w:r>
      <w:r>
        <w:rPr>
          <w:b/>
          <w:bCs/>
          <w:i/>
          <w:sz w:val="24"/>
          <w:szCs w:val="24"/>
        </w:rPr>
        <w:t xml:space="preserve">A1 </w:t>
      </w:r>
      <w:r>
        <w:rPr>
          <w:i/>
          <w:sz w:val="24"/>
          <w:szCs w:val="24"/>
        </w:rPr>
        <w:t xml:space="preserve">sau </w:t>
      </w:r>
      <w:r>
        <w:rPr>
          <w:b/>
          <w:bCs/>
          <w:i/>
          <w:sz w:val="24"/>
          <w:szCs w:val="24"/>
        </w:rPr>
        <w:t>A2-s1d0</w:t>
      </w:r>
      <w:r>
        <w:rPr>
          <w:i/>
          <w:sz w:val="24"/>
          <w:szCs w:val="24"/>
        </w:rPr>
        <w:t>.</w:t>
      </w:r>
    </w:p>
    <w:p w14:paraId="55D1CAEF" w14:textId="77777777" w:rsidR="001C08A5" w:rsidRDefault="00000000">
      <w:pPr>
        <w:ind w:left="720" w:firstLine="720"/>
        <w:jc w:val="both"/>
        <w:rPr>
          <w:rFonts w:eastAsia="Calibri"/>
          <w:i/>
          <w:sz w:val="24"/>
          <w:szCs w:val="24"/>
          <w:shd w:val="clear" w:color="auto" w:fill="FFFFFF"/>
        </w:rPr>
      </w:pPr>
      <w:r>
        <w:rPr>
          <w:b/>
          <w:bCs/>
          <w:i/>
          <w:sz w:val="24"/>
          <w:szCs w:val="24"/>
        </w:rPr>
        <w:lastRenderedPageBreak/>
        <w:t xml:space="preserve">e) </w:t>
      </w:r>
      <w:r>
        <w:rPr>
          <w:i/>
          <w:sz w:val="24"/>
          <w:szCs w:val="24"/>
        </w:rPr>
        <w:t>p</w:t>
      </w:r>
      <w:r>
        <w:rPr>
          <w:rFonts w:eastAsia="Calibri"/>
          <w:i/>
          <w:sz w:val="24"/>
          <w:szCs w:val="24"/>
          <w:shd w:val="clear" w:color="auto" w:fill="FFFFFF"/>
        </w:rPr>
        <w:t xml:space="preserve">ardoselile și tâmplăria (uși, ferestre, obloane), inclusiv fâșiile fixe pentru iluminatul natural executate din materiale maximum </w:t>
      </w:r>
      <w:r>
        <w:rPr>
          <w:rFonts w:eastAsia="Calibri"/>
          <w:b/>
          <w:bCs/>
          <w:i/>
          <w:sz w:val="24"/>
          <w:szCs w:val="24"/>
          <w:shd w:val="clear" w:color="auto" w:fill="FFFFFF"/>
          <w:lang w:eastAsia="zh-CN"/>
        </w:rPr>
        <w:t>D s1÷s3, d0÷d1</w:t>
      </w:r>
      <w:r>
        <w:rPr>
          <w:rFonts w:eastAsia="Calibri"/>
          <w:i/>
          <w:sz w:val="24"/>
          <w:szCs w:val="24"/>
          <w:shd w:val="clear" w:color="auto" w:fill="FFFFFF"/>
        </w:rPr>
        <w:t xml:space="preserve">, în suprafață de maximum </w:t>
      </w:r>
      <w:r>
        <w:rPr>
          <w:rFonts w:eastAsia="Calibri"/>
          <w:b/>
          <w:bCs/>
          <w:i/>
          <w:sz w:val="24"/>
          <w:szCs w:val="24"/>
          <w:shd w:val="clear" w:color="auto" w:fill="FFFFFF"/>
        </w:rPr>
        <w:t>10%</w:t>
      </w:r>
      <w:r>
        <w:rPr>
          <w:rFonts w:eastAsia="Calibri"/>
          <w:i/>
          <w:sz w:val="24"/>
          <w:szCs w:val="24"/>
          <w:shd w:val="clear" w:color="auto" w:fill="FFFFFF"/>
        </w:rPr>
        <w:t xml:space="preserve"> din aria peretelui exterior și astfel dispuse și întrerupte încât să nu favorizeze propagarea incendiului de la un nivel la altul și în lungul clădirii existente (cu excepția acelor situații in care se precizează în mod explicit in anexa).</w:t>
      </w:r>
    </w:p>
    <w:p w14:paraId="6C6319B3" w14:textId="77777777" w:rsidR="001C08A5" w:rsidRDefault="00000000">
      <w:pPr>
        <w:ind w:left="720" w:firstLine="720"/>
        <w:jc w:val="both"/>
        <w:rPr>
          <w:i/>
          <w:sz w:val="24"/>
          <w:szCs w:val="24"/>
        </w:rPr>
      </w:pPr>
      <w:r>
        <w:rPr>
          <w:b/>
          <w:i/>
          <w:sz w:val="24"/>
          <w:szCs w:val="24"/>
        </w:rPr>
        <w:t>f)</w:t>
      </w:r>
      <w:r>
        <w:rPr>
          <w:i/>
          <w:sz w:val="24"/>
          <w:szCs w:val="24"/>
        </w:rPr>
        <w:t xml:space="preserve"> contravântuirile structurilor, platformele şi elementele metalice necesare funcţional sau tehnologic, care nu sunt luate în calcul la rezistenţa şi stabilitatea construcţiei în caz de incendiu;</w:t>
      </w:r>
    </w:p>
    <w:p w14:paraId="30DDD0EE" w14:textId="77777777" w:rsidR="001C08A5" w:rsidRDefault="00000000">
      <w:pPr>
        <w:ind w:left="720" w:firstLine="720"/>
        <w:jc w:val="both"/>
        <w:rPr>
          <w:i/>
          <w:sz w:val="24"/>
          <w:szCs w:val="24"/>
          <w:lang w:val="en-GB"/>
        </w:rPr>
      </w:pPr>
      <w:r>
        <w:rPr>
          <w:b/>
          <w:i/>
          <w:sz w:val="24"/>
          <w:szCs w:val="24"/>
        </w:rPr>
        <w:t>g)</w:t>
      </w:r>
      <w:r>
        <w:rPr>
          <w:i/>
          <w:sz w:val="24"/>
          <w:szCs w:val="24"/>
        </w:rPr>
        <w:t xml:space="preserve"> elementele constructive situate la parter ale marchizelor, windfangurilor, verandelor, pridvoarelor, cerdacurilor, teraselor deschise şi serelor</w:t>
      </w:r>
      <w:r>
        <w:rPr>
          <w:i/>
          <w:sz w:val="24"/>
          <w:szCs w:val="24"/>
          <w:lang w:val="en-GB"/>
        </w:rPr>
        <w:t>;</w:t>
      </w:r>
    </w:p>
    <w:p w14:paraId="48A4F953" w14:textId="77777777" w:rsidR="001C08A5" w:rsidRDefault="00000000">
      <w:pPr>
        <w:ind w:left="720" w:firstLine="720"/>
        <w:jc w:val="both"/>
        <w:rPr>
          <w:rFonts w:eastAsia="Calibri"/>
          <w:i/>
          <w:sz w:val="24"/>
          <w:szCs w:val="24"/>
          <w:shd w:val="clear" w:color="auto" w:fill="FFFFFF"/>
        </w:rPr>
      </w:pPr>
      <w:r>
        <w:rPr>
          <w:b/>
          <w:i/>
          <w:sz w:val="24"/>
          <w:szCs w:val="24"/>
        </w:rPr>
        <w:t>h)</w:t>
      </w:r>
      <w:r>
        <w:rPr>
          <w:i/>
          <w:sz w:val="24"/>
          <w:szCs w:val="24"/>
        </w:rPr>
        <w:t xml:space="preserve"> p</w:t>
      </w:r>
      <w:r>
        <w:rPr>
          <w:rFonts w:eastAsia="Calibri"/>
          <w:i/>
          <w:sz w:val="24"/>
          <w:szCs w:val="24"/>
          <w:shd w:val="clear" w:color="auto" w:fill="FFFFFF"/>
        </w:rPr>
        <w:t xml:space="preserve">ereții interiori despărțitori </w:t>
      </w:r>
      <w:r>
        <w:rPr>
          <w:i/>
          <w:sz w:val="24"/>
          <w:szCs w:val="24"/>
          <w:lang w:val="en-GB"/>
        </w:rPr>
        <w:t xml:space="preserve">despărţitori funcţionali </w:t>
      </w:r>
      <w:r>
        <w:rPr>
          <w:i/>
          <w:sz w:val="24"/>
          <w:szCs w:val="24"/>
        </w:rPr>
        <w:t xml:space="preserve">având clasa de reacţie la foc </w:t>
      </w:r>
      <w:r>
        <w:rPr>
          <w:b/>
          <w:bCs/>
          <w:i/>
          <w:sz w:val="24"/>
          <w:szCs w:val="24"/>
        </w:rPr>
        <w:t xml:space="preserve">A1 </w:t>
      </w:r>
      <w:r>
        <w:rPr>
          <w:i/>
          <w:sz w:val="24"/>
          <w:szCs w:val="24"/>
        </w:rPr>
        <w:t xml:space="preserve">sau </w:t>
      </w:r>
      <w:r>
        <w:rPr>
          <w:b/>
          <w:bCs/>
          <w:i/>
          <w:sz w:val="24"/>
          <w:szCs w:val="24"/>
        </w:rPr>
        <w:t>A2-s1d0</w:t>
      </w:r>
      <w:r>
        <w:rPr>
          <w:b/>
          <w:bCs/>
          <w:i/>
          <w:sz w:val="24"/>
          <w:szCs w:val="24"/>
          <w:lang w:val="en-GB"/>
        </w:rPr>
        <w:t xml:space="preserve"> </w:t>
      </w:r>
      <w:r>
        <w:rPr>
          <w:i/>
          <w:sz w:val="24"/>
          <w:szCs w:val="24"/>
          <w:lang w:val="en-GB"/>
        </w:rPr>
        <w:t>din cadrul unor</w:t>
      </w:r>
      <w:r>
        <w:rPr>
          <w:i/>
          <w:sz w:val="24"/>
          <w:szCs w:val="24"/>
        </w:rPr>
        <w:t xml:space="preserve"> spații open space</w:t>
      </w:r>
      <w:r>
        <w:rPr>
          <w:i/>
          <w:sz w:val="24"/>
          <w:szCs w:val="24"/>
          <w:lang w:val="en-GB"/>
        </w:rPr>
        <w:t xml:space="preserve">, cu suprafaţa </w:t>
      </w:r>
      <w:r>
        <w:rPr>
          <w:i/>
          <w:sz w:val="24"/>
          <w:szCs w:val="24"/>
        </w:rPr>
        <w:t>maxim normată</w:t>
      </w:r>
      <w:r>
        <w:rPr>
          <w:rFonts w:eastAsia="Calibri"/>
          <w:i/>
          <w:sz w:val="24"/>
          <w:szCs w:val="24"/>
          <w:shd w:val="clear" w:color="auto" w:fill="FFFFFF"/>
        </w:rPr>
        <w:t xml:space="preserve"> precum și alte categorii de pereți despărțitori combustibili a căror folosire este admisă conform normativului (</w:t>
      </w:r>
      <w:r>
        <w:rPr>
          <w:b/>
          <w:bCs/>
          <w:i/>
          <w:sz w:val="24"/>
          <w:szCs w:val="24"/>
        </w:rPr>
        <w:t>Art. 2.1.3.4. lit. h), i) și j)</w:t>
      </w:r>
      <w:r>
        <w:rPr>
          <w:rFonts w:eastAsia="Calibri"/>
          <w:i/>
          <w:sz w:val="24"/>
          <w:szCs w:val="24"/>
          <w:shd w:val="clear" w:color="auto" w:fill="FFFFFF"/>
        </w:rPr>
        <w:t>).</w:t>
      </w:r>
    </w:p>
    <w:p w14:paraId="7BFDCE33" w14:textId="77777777" w:rsidR="001C08A5" w:rsidRDefault="00000000">
      <w:pPr>
        <w:ind w:left="720" w:firstLine="720"/>
        <w:jc w:val="both"/>
        <w:rPr>
          <w:i/>
          <w:sz w:val="24"/>
          <w:szCs w:val="24"/>
        </w:rPr>
      </w:pPr>
      <w:r>
        <w:rPr>
          <w:rFonts w:eastAsia="Calibri"/>
          <w:b/>
          <w:bCs/>
          <w:i/>
          <w:sz w:val="24"/>
          <w:szCs w:val="24"/>
          <w:shd w:val="clear" w:color="auto" w:fill="FFFFFF"/>
        </w:rPr>
        <w:t>i</w:t>
      </w:r>
      <w:r>
        <w:rPr>
          <w:b/>
          <w:bCs/>
          <w:i/>
          <w:sz w:val="24"/>
          <w:szCs w:val="24"/>
        </w:rPr>
        <w:t>)</w:t>
      </w:r>
      <w:r>
        <w:rPr>
          <w:b/>
          <w:i/>
          <w:sz w:val="24"/>
          <w:szCs w:val="24"/>
        </w:rPr>
        <w:t xml:space="preserve"> </w:t>
      </w:r>
      <w:r>
        <w:rPr>
          <w:i/>
          <w:sz w:val="24"/>
          <w:szCs w:val="24"/>
        </w:rPr>
        <w:t>componetele nesubstanţiale, garniturile, izolatorii, elementele de vitraj (din sticlă) simplu sau izolant ale ușilor și ferestrelor  exterioare, inclusiv cele inserate în pereții cortină.</w:t>
      </w:r>
    </w:p>
    <w:p w14:paraId="52DC6DB1" w14:textId="77777777" w:rsidR="001C08A5" w:rsidRDefault="00000000">
      <w:pPr>
        <w:ind w:left="720" w:firstLine="720"/>
        <w:jc w:val="both"/>
        <w:rPr>
          <w:rFonts w:eastAsia="Calibri"/>
          <w:i/>
          <w:sz w:val="24"/>
          <w:szCs w:val="24"/>
          <w:shd w:val="clear" w:color="auto" w:fill="FFFFFF"/>
        </w:rPr>
      </w:pPr>
      <w:r>
        <w:rPr>
          <w:b/>
          <w:bCs/>
          <w:i/>
          <w:sz w:val="24"/>
          <w:szCs w:val="24"/>
        </w:rPr>
        <w:t>j)</w:t>
      </w:r>
      <w:r>
        <w:rPr>
          <w:i/>
          <w:sz w:val="24"/>
          <w:szCs w:val="24"/>
        </w:rPr>
        <w:t xml:space="preserve"> p</w:t>
      </w:r>
      <w:r>
        <w:rPr>
          <w:rFonts w:eastAsia="Calibri"/>
          <w:i/>
          <w:sz w:val="24"/>
          <w:szCs w:val="24"/>
          <w:shd w:val="clear" w:color="auto" w:fill="FFFFFF"/>
        </w:rPr>
        <w:t>latformele metalice și elementele metalice care nu fac parte din structura de rezistență a construcției.</w:t>
      </w:r>
    </w:p>
    <w:p w14:paraId="6D69002E" w14:textId="77777777" w:rsidR="001C08A5" w:rsidRDefault="001C08A5">
      <w:pPr>
        <w:ind w:left="720" w:firstLine="720"/>
        <w:jc w:val="both"/>
        <w:rPr>
          <w:rFonts w:eastAsia="Calibri"/>
          <w:i/>
          <w:sz w:val="24"/>
          <w:szCs w:val="24"/>
          <w:shd w:val="clear" w:color="auto" w:fill="FFFFFF"/>
        </w:rPr>
      </w:pPr>
    </w:p>
    <w:p w14:paraId="7038DF97"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2.1.12.</w:t>
      </w:r>
      <w:r>
        <w:rPr>
          <w:rFonts w:eastAsia="Calibri"/>
          <w:i/>
          <w:sz w:val="24"/>
          <w:szCs w:val="24"/>
          <w:shd w:val="clear" w:color="auto" w:fill="FFFFFF"/>
        </w:rPr>
        <w:t xml:space="preserve"> În construcțiile existente în care densitatea sarcinii termice nu depășește </w:t>
      </w:r>
      <w:r>
        <w:rPr>
          <w:rFonts w:eastAsia="Calibri"/>
          <w:b/>
          <w:bCs/>
          <w:i/>
          <w:sz w:val="24"/>
          <w:szCs w:val="24"/>
          <w:shd w:val="clear" w:color="auto" w:fill="FFFFFF"/>
        </w:rPr>
        <w:t>420MJ/m</w:t>
      </w:r>
      <w:r>
        <w:rPr>
          <w:rFonts w:eastAsia="Calibri"/>
          <w:b/>
          <w:bCs/>
          <w:i/>
          <w:sz w:val="24"/>
          <w:szCs w:val="24"/>
          <w:shd w:val="clear" w:color="auto" w:fill="FFFFFF"/>
          <w:vertAlign w:val="superscript"/>
        </w:rPr>
        <w:t>2</w:t>
      </w:r>
      <w:r>
        <w:rPr>
          <w:rFonts w:eastAsia="Calibri"/>
          <w:i/>
          <w:sz w:val="24"/>
          <w:szCs w:val="24"/>
          <w:shd w:val="clear" w:color="auto" w:fill="FFFFFF"/>
        </w:rPr>
        <w:t xml:space="preserve"> și materialele combustibile sunt astfel distribuite încât să nu pericliteze stabilitatea construcției prin încălzirea locală a unor elemente de construcție în timpul incendiului, se admite utilizarea structurilor metalice neprotejate sau parțial protejate și reducerea corespunzătoare a rezistenței la foc a stâlpilor, pereților și planșeelor până la minimm </w:t>
      </w:r>
      <w:r>
        <w:rPr>
          <w:rFonts w:eastAsia="Calibri"/>
          <w:b/>
          <w:bCs/>
          <w:i/>
          <w:sz w:val="24"/>
          <w:szCs w:val="24"/>
          <w:shd w:val="clear" w:color="auto" w:fill="FFFFFF"/>
        </w:rPr>
        <w:t>15</w:t>
      </w:r>
      <w:r>
        <w:rPr>
          <w:rFonts w:eastAsia="Calibri"/>
          <w:i/>
          <w:sz w:val="24"/>
          <w:szCs w:val="24"/>
          <w:shd w:val="clear" w:color="auto" w:fill="FFFFFF"/>
        </w:rPr>
        <w:t xml:space="preserve"> minute, considerându-se că structura existentă îndeplinește condițiile pentru nivelul de stabilitate la incendiu </w:t>
      </w:r>
      <w:r>
        <w:rPr>
          <w:rFonts w:eastAsia="Calibri"/>
          <w:b/>
          <w:bCs/>
          <w:i/>
          <w:sz w:val="24"/>
          <w:szCs w:val="24"/>
          <w:shd w:val="clear" w:color="auto" w:fill="FFFFFF"/>
        </w:rPr>
        <w:t>II</w:t>
      </w:r>
      <w:r>
        <w:rPr>
          <w:rFonts w:eastAsia="Calibri"/>
          <w:i/>
          <w:sz w:val="24"/>
          <w:szCs w:val="24"/>
          <w:shd w:val="clear" w:color="auto" w:fill="FFFFFF"/>
        </w:rPr>
        <w:t xml:space="preserve">. În aceleași condiții se pot reduce și rezistențele la foc ale stâlpilor, pereților și planșeelor realizate din alte materiale. La clădiri existente înalte, foarte înalte și la clădiri cu săli aglomerate, precum și la cele pentru persoane care nu se pot evacua singure </w:t>
      </w:r>
      <w:r>
        <w:rPr>
          <w:i/>
          <w:sz w:val="24"/>
          <w:szCs w:val="24"/>
        </w:rPr>
        <w:t xml:space="preserve">[clădiri existente pentru copii de vârstă preşcolară / clădiri existente de învăţământ nivelul antepreşcolar (0 - 3 ani) (creșe și case de copii), </w:t>
      </w:r>
      <w:r>
        <w:rPr>
          <w:i/>
          <w:sz w:val="24"/>
          <w:szCs w:val="24"/>
          <w:shd w:val="clear" w:color="auto" w:fill="FFFFFF"/>
          <w:lang w:val="en-US" w:eastAsia="zh-CN" w:bidi="ar"/>
        </w:rPr>
        <w:t>clădiri existente</w:t>
      </w:r>
      <w:r>
        <w:rPr>
          <w:i/>
          <w:sz w:val="24"/>
          <w:szCs w:val="24"/>
          <w:shd w:val="clear" w:color="auto" w:fill="FFFFFF"/>
          <w:lang w:eastAsia="zh-CN" w:bidi="ar"/>
        </w:rPr>
        <w:t xml:space="preserve"> cu funcțiune </w:t>
      </w:r>
      <w:r>
        <w:rPr>
          <w:i/>
          <w:sz w:val="24"/>
          <w:szCs w:val="24"/>
          <w:shd w:val="clear" w:color="auto" w:fill="FFFFFF"/>
          <w:lang w:val="en-US" w:eastAsia="zh-CN" w:bidi="ar"/>
        </w:rPr>
        <w:t>de spitale sau cu caracter spitalicesc</w:t>
      </w:r>
      <w:r>
        <w:rPr>
          <w:i/>
          <w:sz w:val="24"/>
          <w:szCs w:val="24"/>
          <w:shd w:val="clear" w:color="auto" w:fill="FFFFFF"/>
          <w:lang w:eastAsia="zh-CN" w:bidi="ar"/>
        </w:rPr>
        <w:t xml:space="preserve"> (</w:t>
      </w:r>
      <w:r>
        <w:rPr>
          <w:i/>
          <w:sz w:val="24"/>
          <w:szCs w:val="24"/>
        </w:rPr>
        <w:t>spitale, maternitati, policlinici, staţionare medicale, dispensare, centre medicale și de sănătate multifuncționale, clinici și unități medicale ambulatorii similare policlinicilor, centre medicale de diagnostic și tratament, aziluri sau cămine pentru bătrâni şi persoane cu dizabilități, ospicii pentru alienaţi mintal, sanatorii, etc.</w:t>
      </w:r>
      <w:r>
        <w:rPr>
          <w:i/>
          <w:sz w:val="24"/>
          <w:szCs w:val="24"/>
          <w:shd w:val="clear" w:color="auto" w:fill="FFFFFF"/>
          <w:lang w:eastAsia="zh-CN" w:bidi="ar"/>
        </w:rPr>
        <w:t>)]</w:t>
      </w:r>
      <w:r>
        <w:rPr>
          <w:rFonts w:eastAsia="Calibri"/>
          <w:i/>
          <w:sz w:val="24"/>
          <w:szCs w:val="24"/>
          <w:shd w:val="clear" w:color="auto" w:fill="FFFFFF"/>
        </w:rPr>
        <w:t xml:space="preserve"> precum și la cele de producție și/sau depozitare vor fi respectate și prevederile specifice acestora.</w:t>
      </w:r>
    </w:p>
    <w:p w14:paraId="50E69FD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2.1.13.</w:t>
      </w:r>
      <w:r>
        <w:rPr>
          <w:rFonts w:eastAsia="Calibri"/>
          <w:i/>
          <w:sz w:val="24"/>
          <w:szCs w:val="24"/>
          <w:shd w:val="clear" w:color="auto" w:fill="FFFFFF"/>
        </w:rPr>
        <w:t xml:space="preserve"> Structurile metalice neprotejate sau parțial protejate pot fi utilizate </w:t>
      </w:r>
      <w:r>
        <w:rPr>
          <w:i/>
          <w:sz w:val="24"/>
          <w:szCs w:val="24"/>
        </w:rPr>
        <w:t>la lucrările de intervenţie efectuate asupra construcţiilor existente situate în</w:t>
      </w:r>
      <w:r>
        <w:rPr>
          <w:rFonts w:eastAsia="Calibri"/>
          <w:i/>
          <w:sz w:val="24"/>
          <w:szCs w:val="24"/>
          <w:shd w:val="clear" w:color="auto" w:fill="FFFFFF"/>
        </w:rPr>
        <w:t xml:space="preserve"> cadrul aceluiași compartiment de incendiu, în condițiile anexei în general la:</w:t>
      </w:r>
    </w:p>
    <w:p w14:paraId="3A8FAC70"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compartimente și spații echipate cu instalații automate de stingere cu apă care asigură răcirea elementelor pe timpul normat;</w:t>
      </w:r>
    </w:p>
    <w:p w14:paraId="34D725A5" w14:textId="77777777" w:rsidR="001C08A5" w:rsidRDefault="00000000">
      <w:pPr>
        <w:shd w:val="clear" w:color="auto" w:fill="FFFFFF"/>
        <w:ind w:left="1440" w:firstLine="720"/>
        <w:jc w:val="both"/>
        <w:rPr>
          <w:rFonts w:eastAsia="Calibri"/>
          <w:i/>
          <w:sz w:val="24"/>
          <w:szCs w:val="24"/>
          <w:shd w:val="clear" w:color="auto" w:fill="FFFFFF"/>
          <w:lang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construcții supraterane </w:t>
      </w:r>
      <w:r>
        <w:rPr>
          <w:rFonts w:eastAsia="Calibri"/>
          <w:i/>
          <w:sz w:val="24"/>
          <w:szCs w:val="24"/>
          <w:shd w:val="clear" w:color="auto" w:fill="FFFFFF"/>
          <w:lang w:eastAsia="zh-CN" w:bidi="ar"/>
        </w:rPr>
        <w:t>având</w:t>
      </w:r>
      <w:r>
        <w:rPr>
          <w:rFonts w:eastAsia="Calibri"/>
          <w:i/>
          <w:sz w:val="24"/>
          <w:szCs w:val="24"/>
          <w:shd w:val="clear" w:color="auto" w:fill="FFFFFF"/>
          <w:lang w:val="en-US" w:eastAsia="zh-CN" w:bidi="ar"/>
        </w:rPr>
        <w:t xml:space="preserve"> maximum </w:t>
      </w:r>
      <w:r>
        <w:rPr>
          <w:rFonts w:eastAsia="Calibri"/>
          <w:b/>
          <w:bCs/>
          <w:i/>
          <w:sz w:val="24"/>
          <w:szCs w:val="24"/>
          <w:shd w:val="clear" w:color="auto" w:fill="FFFFFF"/>
          <w:lang w:val="en-US" w:eastAsia="zh-CN" w:bidi="ar"/>
        </w:rPr>
        <w:t>15,00 m</w:t>
      </w:r>
      <w:r>
        <w:rPr>
          <w:rFonts w:eastAsia="Calibri"/>
          <w:i/>
          <w:sz w:val="24"/>
          <w:szCs w:val="24"/>
          <w:shd w:val="clear" w:color="auto" w:fill="FFFFFF"/>
          <w:lang w:val="en-US" w:eastAsia="zh-CN" w:bidi="ar"/>
        </w:rPr>
        <w:t xml:space="preserve"> înălțime</w:t>
      </w:r>
      <w:r>
        <w:rPr>
          <w:rFonts w:eastAsia="Calibri"/>
          <w:i/>
          <w:sz w:val="24"/>
          <w:szCs w:val="24"/>
          <w:shd w:val="clear" w:color="auto" w:fill="FFFFFF"/>
          <w:lang w:eastAsia="zh-CN" w:bidi="ar"/>
        </w:rPr>
        <w:t>;</w:t>
      </w:r>
    </w:p>
    <w:p w14:paraId="3CCC066E" w14:textId="77777777" w:rsidR="001C08A5" w:rsidRDefault="00000000">
      <w:pPr>
        <w:shd w:val="clear" w:color="auto" w:fill="FFFFFF"/>
        <w:ind w:left="1440" w:firstLine="720"/>
        <w:jc w:val="both"/>
        <w:rPr>
          <w:rFonts w:eastAsia="Calibri"/>
          <w:i/>
          <w:sz w:val="24"/>
          <w:szCs w:val="24"/>
          <w:shd w:val="clear" w:color="auto" w:fill="FFFFFF"/>
          <w:lang w:eastAsia="zh-CN" w:bidi="ar"/>
        </w:rPr>
      </w:pPr>
      <w:r>
        <w:rPr>
          <w:rFonts w:eastAsia="Calibri"/>
          <w:i/>
          <w:sz w:val="24"/>
          <w:szCs w:val="24"/>
          <w:shd w:val="clear" w:color="auto" w:fill="FFFFFF"/>
          <w:lang w:eastAsia="zh-CN" w:bidi="ar"/>
        </w:rPr>
        <w:t>- construcțiile menționate la alineatul precedent, cu excepțiile prevăzute.</w:t>
      </w:r>
    </w:p>
    <w:p w14:paraId="7A1F7B7B" w14:textId="77777777" w:rsidR="001C08A5" w:rsidRDefault="001C08A5">
      <w:pPr>
        <w:shd w:val="clear" w:color="auto" w:fill="FFFFFF"/>
        <w:jc w:val="both"/>
        <w:rPr>
          <w:rFonts w:eastAsia="Calibri"/>
          <w:i/>
          <w:sz w:val="24"/>
          <w:szCs w:val="24"/>
          <w:shd w:val="clear" w:color="auto" w:fill="FFFFFF"/>
          <w:lang w:eastAsia="zh-CN" w:bidi="ar"/>
        </w:rPr>
      </w:pPr>
    </w:p>
    <w:p w14:paraId="24D10F80" w14:textId="77777777" w:rsidR="001C08A5" w:rsidRDefault="00000000">
      <w:pPr>
        <w:shd w:val="clear" w:color="auto" w:fill="FFFFFF"/>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2.1.14.</w:t>
      </w:r>
      <w:r>
        <w:rPr>
          <w:rFonts w:eastAsia="Calibri"/>
          <w:i/>
          <w:sz w:val="24"/>
          <w:szCs w:val="24"/>
          <w:shd w:val="clear" w:color="auto" w:fill="FFFFFF"/>
        </w:rPr>
        <w:t> </w:t>
      </w:r>
      <w:r>
        <w:rPr>
          <w:b/>
          <w:i/>
          <w:sz w:val="24"/>
          <w:szCs w:val="24"/>
        </w:rPr>
        <w:t>(1)</w:t>
      </w:r>
      <w:r>
        <w:rPr>
          <w:i/>
          <w:sz w:val="24"/>
          <w:szCs w:val="24"/>
        </w:rPr>
        <w:t xml:space="preserve"> </w:t>
      </w:r>
      <w:r>
        <w:rPr>
          <w:rFonts w:eastAsia="Calibri"/>
          <w:i/>
          <w:sz w:val="24"/>
          <w:szCs w:val="24"/>
          <w:shd w:val="clear" w:color="auto" w:fill="FFFFFF"/>
        </w:rPr>
        <w:t>La utilizarea structurilor metalice neprotejate sau parțial protejate, se vor avea în vedere rolul elementului în asigurarea stabilității construcției existente, categoria de importanță a construcției, numărul de persoane și capacitatea acestora de autoevacuare, valoarea bunurilor adăpostite, precum și urmările posibile ale prăbușirii construcției datorită acțiunii focului.</w:t>
      </w:r>
    </w:p>
    <w:p w14:paraId="034C780C" w14:textId="77777777" w:rsidR="001C08A5" w:rsidRDefault="00000000">
      <w:pPr>
        <w:shd w:val="clear" w:color="auto" w:fill="FFFFFF"/>
        <w:spacing w:after="150"/>
        <w:jc w:val="both"/>
        <w:rPr>
          <w:rFonts w:eastAsia="Calibri"/>
          <w:b/>
          <w:bCs/>
          <w:i/>
          <w:sz w:val="24"/>
          <w:szCs w:val="24"/>
          <w:shd w:val="clear" w:color="auto" w:fill="FFFFFF"/>
        </w:rPr>
      </w:pPr>
      <w:r>
        <w:rPr>
          <w:b/>
          <w:i/>
          <w:sz w:val="24"/>
          <w:szCs w:val="24"/>
        </w:rPr>
        <w:t>(2)</w:t>
      </w:r>
      <w:r>
        <w:rPr>
          <w:i/>
          <w:sz w:val="24"/>
          <w:szCs w:val="24"/>
        </w:rPr>
        <w:t xml:space="preserve"> </w:t>
      </w:r>
      <w:r>
        <w:rPr>
          <w:rFonts w:eastAsia="Calibri"/>
          <w:i/>
          <w:sz w:val="24"/>
          <w:szCs w:val="24"/>
          <w:shd w:val="clear" w:color="auto" w:fill="FFFFFF"/>
        </w:rPr>
        <w:t xml:space="preserve">Pentru extinderea construcțiilor existente cu alte compartimente de incendiu (minimum unul) sau pentru schimbarea destinației celor existente se vor respecta dispozițiile </w:t>
      </w:r>
      <w:r>
        <w:rPr>
          <w:b/>
          <w:i/>
          <w:sz w:val="24"/>
          <w:szCs w:val="24"/>
        </w:rPr>
        <w:t xml:space="preserve">Art. </w:t>
      </w:r>
      <w:r>
        <w:rPr>
          <w:b/>
          <w:bCs/>
          <w:i/>
          <w:sz w:val="24"/>
          <w:szCs w:val="24"/>
        </w:rPr>
        <w:t>2.1.3.</w:t>
      </w:r>
      <w:r>
        <w:rPr>
          <w:b/>
          <w:i/>
          <w:sz w:val="24"/>
          <w:szCs w:val="24"/>
        </w:rPr>
        <w:t xml:space="preserve">3. ÷ Art. </w:t>
      </w:r>
      <w:r>
        <w:rPr>
          <w:b/>
          <w:bCs/>
          <w:i/>
          <w:sz w:val="24"/>
          <w:szCs w:val="24"/>
        </w:rPr>
        <w:t>2.1.3.</w:t>
      </w:r>
      <w:r>
        <w:rPr>
          <w:b/>
          <w:i/>
          <w:sz w:val="24"/>
          <w:szCs w:val="24"/>
        </w:rPr>
        <w:t xml:space="preserve">5. </w:t>
      </w:r>
      <w:r>
        <w:rPr>
          <w:bCs/>
          <w:i/>
          <w:sz w:val="24"/>
          <w:szCs w:val="24"/>
        </w:rPr>
        <w:t>din normativ</w:t>
      </w:r>
      <w:r>
        <w:rPr>
          <w:b/>
          <w:i/>
          <w:sz w:val="24"/>
          <w:szCs w:val="24"/>
        </w:rPr>
        <w:t xml:space="preserve">. </w:t>
      </w:r>
    </w:p>
    <w:p w14:paraId="27A60FF8" w14:textId="77777777" w:rsidR="001C08A5" w:rsidRDefault="00000000">
      <w:pPr>
        <w:pStyle w:val="Heading3"/>
        <w:rPr>
          <w:i/>
          <w:iCs/>
        </w:rPr>
      </w:pPr>
      <w:bookmarkStart w:id="10395" w:name="_Toc31436"/>
      <w:bookmarkStart w:id="10396" w:name="_Toc28241"/>
      <w:bookmarkStart w:id="10397" w:name="_Toc13829"/>
      <w:bookmarkStart w:id="10398" w:name="_Toc24891"/>
      <w:bookmarkStart w:id="10399" w:name="_Toc162355521"/>
      <w:bookmarkStart w:id="10400" w:name="_Toc25212"/>
      <w:r>
        <w:rPr>
          <w:i/>
          <w:iCs/>
          <w:sz w:val="24"/>
          <w:szCs w:val="24"/>
        </w:rPr>
        <w:lastRenderedPageBreak/>
        <w:t>A.10. 2.2. AMPLASAREA CONSTRUCȚIILOR ȘI CONFORMAREA LOR LA FOC</w:t>
      </w:r>
      <w:bookmarkEnd w:id="10395"/>
      <w:bookmarkEnd w:id="10396"/>
      <w:bookmarkEnd w:id="10397"/>
      <w:bookmarkEnd w:id="10398"/>
      <w:bookmarkEnd w:id="10399"/>
      <w:bookmarkEnd w:id="10400"/>
    </w:p>
    <w:p w14:paraId="28BF6BFF" w14:textId="77777777" w:rsidR="001C08A5" w:rsidRDefault="00000000">
      <w:pPr>
        <w:pStyle w:val="Heading4"/>
        <w:rPr>
          <w:sz w:val="24"/>
          <w:szCs w:val="24"/>
        </w:rPr>
      </w:pPr>
      <w:bookmarkStart w:id="10401" w:name="_Toc3132"/>
      <w:bookmarkStart w:id="10402" w:name="_Toc3947"/>
      <w:bookmarkStart w:id="10403" w:name="_Toc26615"/>
      <w:bookmarkStart w:id="10404" w:name="_Toc19372"/>
      <w:bookmarkStart w:id="10405" w:name="_Toc162355522"/>
      <w:bookmarkStart w:id="10406" w:name="_Toc7008"/>
      <w:r>
        <w:rPr>
          <w:sz w:val="24"/>
          <w:szCs w:val="24"/>
        </w:rPr>
        <w:t>Amplasare</w:t>
      </w:r>
      <w:bookmarkEnd w:id="10401"/>
      <w:bookmarkEnd w:id="10402"/>
      <w:bookmarkEnd w:id="10403"/>
      <w:bookmarkEnd w:id="10404"/>
      <w:bookmarkEnd w:id="10405"/>
      <w:bookmarkEnd w:id="10406"/>
    </w:p>
    <w:p w14:paraId="529EEA61" w14:textId="77777777" w:rsidR="001C08A5" w:rsidRDefault="00000000">
      <w:pPr>
        <w:spacing w:before="280" w:after="115"/>
        <w:jc w:val="both"/>
        <w:rPr>
          <w:i/>
          <w:sz w:val="24"/>
          <w:szCs w:val="24"/>
        </w:rPr>
      </w:pPr>
      <w:r>
        <w:rPr>
          <w:rFonts w:eastAsia="Calibri"/>
          <w:b/>
          <w:i/>
          <w:sz w:val="24"/>
          <w:szCs w:val="24"/>
          <w:shd w:val="clear" w:color="auto" w:fill="FFFFFF"/>
        </w:rPr>
        <w:t xml:space="preserve">A.10. </w:t>
      </w:r>
      <w:r>
        <w:rPr>
          <w:b/>
          <w:bCs/>
          <w:i/>
          <w:sz w:val="24"/>
          <w:szCs w:val="24"/>
        </w:rPr>
        <w:t>2.2.1</w:t>
      </w:r>
      <w:r>
        <w:rPr>
          <w:b/>
          <w:i/>
          <w:sz w:val="24"/>
          <w:szCs w:val="24"/>
        </w:rPr>
        <w:t>. (1)</w:t>
      </w:r>
      <w:r>
        <w:rPr>
          <w:i/>
          <w:sz w:val="24"/>
          <w:szCs w:val="24"/>
        </w:rPr>
        <w:t xml:space="preserve"> Construcţiile existente supraterane civile, de producţie şi/sau depozitare, pot fi amplasate la distanţele normate faţă de vecinătăţi </w:t>
      </w:r>
      <w:r>
        <w:rPr>
          <w:b/>
          <w:bCs/>
          <w:i/>
          <w:sz w:val="24"/>
          <w:szCs w:val="24"/>
        </w:rPr>
        <w:t>(</w:t>
      </w:r>
      <w:r>
        <w:rPr>
          <w:b/>
          <w:bCs/>
          <w:i/>
          <w:sz w:val="24"/>
          <w:szCs w:val="24"/>
        </w:rPr>
        <w:fldChar w:fldCharType="begin"/>
      </w:r>
      <w:r>
        <w:rPr>
          <w:b/>
          <w:bCs/>
          <w:i/>
          <w:sz w:val="24"/>
          <w:szCs w:val="24"/>
        </w:rPr>
        <w:instrText xml:space="preserve"> REF _Toc14337 \h </w:instrText>
      </w:r>
      <w:r>
        <w:rPr>
          <w:b/>
          <w:bCs/>
          <w:i/>
          <w:sz w:val="24"/>
          <w:szCs w:val="24"/>
        </w:rPr>
      </w:r>
      <w:r>
        <w:rPr>
          <w:b/>
          <w:bCs/>
          <w:i/>
          <w:sz w:val="24"/>
          <w:szCs w:val="24"/>
        </w:rPr>
        <w:fldChar w:fldCharType="separate"/>
      </w:r>
      <w:r>
        <w:t xml:space="preserve">Figura 28 - </w:t>
      </w:r>
      <w:r>
        <w:rPr>
          <w:bCs/>
        </w:rPr>
        <w:t>Amplasare independentă a construcţiilor (la distanţe normate)</w:t>
      </w:r>
      <w:r>
        <w:rPr>
          <w:b/>
          <w:bCs/>
          <w:i/>
          <w:sz w:val="24"/>
          <w:szCs w:val="24"/>
        </w:rPr>
        <w:fldChar w:fldCharType="end"/>
      </w:r>
      <w:r>
        <w:rPr>
          <w:i/>
          <w:sz w:val="24"/>
          <w:szCs w:val="24"/>
        </w:rPr>
        <w:t xml:space="preserve"> respectându-se distanțele prevăzute din </w:t>
      </w:r>
      <w:r>
        <w:rPr>
          <w:b/>
          <w:bCs/>
          <w:i/>
          <w:iCs/>
          <w:sz w:val="24"/>
          <w:szCs w:val="24"/>
        </w:rPr>
        <w:fldChar w:fldCharType="begin"/>
      </w:r>
      <w:r>
        <w:rPr>
          <w:b/>
          <w:bCs/>
          <w:i/>
          <w:iCs/>
          <w:sz w:val="24"/>
          <w:szCs w:val="24"/>
        </w:rPr>
        <w:instrText xml:space="preserve"> REF _Ref5126 \h </w:instrText>
      </w:r>
      <w:r>
        <w:rPr>
          <w:b/>
          <w:bCs/>
          <w:i/>
          <w:iCs/>
          <w:sz w:val="24"/>
          <w:szCs w:val="24"/>
        </w:rPr>
      </w:r>
      <w:r>
        <w:rPr>
          <w:b/>
          <w:bCs/>
          <w:i/>
          <w:iCs/>
          <w:sz w:val="24"/>
          <w:szCs w:val="24"/>
        </w:rPr>
        <w:fldChar w:fldCharType="separate"/>
      </w:r>
      <w:r>
        <w:t>Tabelul 145</w:t>
      </w:r>
      <w:r>
        <w:rPr>
          <w:b/>
          <w:bCs/>
          <w:i/>
          <w:iCs/>
          <w:sz w:val="24"/>
          <w:szCs w:val="24"/>
        </w:rPr>
        <w:fldChar w:fldCharType="end"/>
      </w:r>
      <w:r>
        <w:rPr>
          <w:i/>
          <w:sz w:val="24"/>
          <w:szCs w:val="24"/>
        </w:rPr>
        <w:t>, delimitate</w:t>
      </w:r>
      <w:r>
        <w:rPr>
          <w:i/>
          <w:sz w:val="24"/>
          <w:szCs w:val="24"/>
          <w:lang w:val="en-GB"/>
        </w:rPr>
        <w:t xml:space="preserve"> </w:t>
      </w:r>
      <w:r>
        <w:rPr>
          <w:i/>
          <w:sz w:val="24"/>
          <w:szCs w:val="24"/>
        </w:rPr>
        <w:t>cu pereţi rezistenţ</w:t>
      </w:r>
      <w:r>
        <w:rPr>
          <w:i/>
          <w:sz w:val="24"/>
          <w:szCs w:val="24"/>
          <w:lang w:val="en-GB"/>
        </w:rPr>
        <w:t>i</w:t>
      </w:r>
      <w:r>
        <w:rPr>
          <w:i/>
          <w:sz w:val="24"/>
          <w:szCs w:val="24"/>
        </w:rPr>
        <w:t xml:space="preserve"> la foc</w:t>
      </w:r>
      <w:r>
        <w:rPr>
          <w:i/>
          <w:sz w:val="24"/>
          <w:szCs w:val="24"/>
          <w:lang w:val="en-GB"/>
        </w:rPr>
        <w:t xml:space="preserve"> </w:t>
      </w:r>
      <w:r>
        <w:rPr>
          <w:i/>
          <w:sz w:val="24"/>
          <w:szCs w:val="24"/>
        </w:rPr>
        <w:t>de separare a compartimentelor de incendiu</w:t>
      </w:r>
      <w:r>
        <w:rPr>
          <w:i/>
          <w:sz w:val="24"/>
          <w:szCs w:val="24"/>
          <w:lang w:val="en-GB"/>
        </w:rPr>
        <w:t xml:space="preserve"> (</w:t>
      </w:r>
      <w:r>
        <w:rPr>
          <w:i/>
          <w:sz w:val="24"/>
          <w:szCs w:val="24"/>
        </w:rPr>
        <w:t>pereţi</w:t>
      </w:r>
      <w:r>
        <w:rPr>
          <w:i/>
          <w:sz w:val="24"/>
          <w:szCs w:val="24"/>
          <w:lang w:val="en-GB"/>
        </w:rPr>
        <w:t xml:space="preserve"> antifoc) </w:t>
      </w:r>
      <w:r>
        <w:rPr>
          <w:i/>
          <w:sz w:val="24"/>
          <w:szCs w:val="24"/>
        </w:rPr>
        <w:t>şi, după caz, planşee rezistente la foc de separare a compartimentelor de incendiu</w:t>
      </w:r>
      <w:r>
        <w:rPr>
          <w:i/>
          <w:sz w:val="24"/>
          <w:szCs w:val="24"/>
          <w:lang w:val="en-GB"/>
        </w:rPr>
        <w:t xml:space="preserve"> (</w:t>
      </w:r>
      <w:r>
        <w:rPr>
          <w:i/>
          <w:sz w:val="24"/>
          <w:szCs w:val="24"/>
        </w:rPr>
        <w:t>planşee</w:t>
      </w:r>
      <w:r>
        <w:rPr>
          <w:i/>
          <w:sz w:val="24"/>
          <w:szCs w:val="24"/>
          <w:lang w:val="en-GB"/>
        </w:rPr>
        <w:t xml:space="preserve"> antifoc)</w:t>
      </w:r>
      <w:r>
        <w:rPr>
          <w:i/>
          <w:sz w:val="24"/>
          <w:szCs w:val="24"/>
        </w:rPr>
        <w:t xml:space="preserve"> (</w:t>
      </w:r>
      <w:r>
        <w:rPr>
          <w:b/>
          <w:bCs/>
          <w:i/>
          <w:iCs/>
          <w:sz w:val="24"/>
          <w:szCs w:val="24"/>
        </w:rPr>
        <w:fldChar w:fldCharType="begin"/>
      </w:r>
      <w:r>
        <w:rPr>
          <w:b/>
          <w:bCs/>
          <w:i/>
          <w:iCs/>
          <w:sz w:val="24"/>
          <w:szCs w:val="24"/>
        </w:rPr>
        <w:instrText xml:space="preserve"> REF _Toc30213 \h </w:instrText>
      </w:r>
      <w:r>
        <w:rPr>
          <w:b/>
          <w:bCs/>
          <w:i/>
          <w:iCs/>
          <w:sz w:val="24"/>
          <w:szCs w:val="24"/>
        </w:rPr>
      </w:r>
      <w:r>
        <w:rPr>
          <w:b/>
          <w:bCs/>
          <w:i/>
          <w:iCs/>
          <w:sz w:val="24"/>
          <w:szCs w:val="24"/>
        </w:rPr>
        <w:fldChar w:fldCharType="separate"/>
      </w:r>
      <w:r>
        <w:t xml:space="preserve">Figura 29 - </w:t>
      </w:r>
      <w:r>
        <w:rPr>
          <w:bCs/>
        </w:rPr>
        <w:t>Amplasare compartimentată</w:t>
      </w:r>
      <w:r>
        <w:rPr>
          <w:b/>
          <w:bCs/>
          <w:i/>
          <w:iCs/>
          <w:sz w:val="24"/>
          <w:szCs w:val="24"/>
        </w:rPr>
        <w:fldChar w:fldCharType="end"/>
      </w:r>
      <w:r>
        <w:rPr>
          <w:i/>
          <w:sz w:val="24"/>
          <w:szCs w:val="24"/>
        </w:rPr>
        <w:t>) conform condițiilor prevăzute în anexă sau pot fi amplasate comasat (</w:t>
      </w:r>
      <w:r>
        <w:rPr>
          <w:i/>
          <w:sz w:val="24"/>
          <w:szCs w:val="24"/>
        </w:rPr>
        <w:fldChar w:fldCharType="begin"/>
      </w:r>
      <w:r>
        <w:rPr>
          <w:i/>
          <w:sz w:val="24"/>
          <w:szCs w:val="24"/>
        </w:rPr>
        <w:instrText xml:space="preserve"> REF _Toc7148 \h </w:instrText>
      </w:r>
      <w:r>
        <w:rPr>
          <w:i/>
          <w:sz w:val="24"/>
          <w:szCs w:val="24"/>
        </w:rPr>
      </w:r>
      <w:r>
        <w:rPr>
          <w:i/>
          <w:sz w:val="24"/>
          <w:szCs w:val="24"/>
        </w:rPr>
        <w:fldChar w:fldCharType="separate"/>
      </w:r>
      <w:r>
        <w:t xml:space="preserve">Figura 30 - </w:t>
      </w:r>
      <w:r>
        <w:rPr>
          <w:bCs/>
        </w:rPr>
        <w:t>Amplasare comasată a construcţiilor în limita ariilor compartimentelor de incendiu normate (Ac compartiment de incendiu = suma Ac construcţii comasate)</w:t>
      </w:r>
      <w:r>
        <w:rPr>
          <w:i/>
          <w:sz w:val="24"/>
          <w:szCs w:val="24"/>
        </w:rPr>
        <w:fldChar w:fldCharType="end"/>
      </w:r>
      <w:r>
        <w:rPr>
          <w:i/>
          <w:sz w:val="24"/>
          <w:szCs w:val="24"/>
        </w:rPr>
        <w:t>.</w:t>
      </w:r>
    </w:p>
    <w:p w14:paraId="359275CA" w14:textId="77777777" w:rsidR="001C08A5" w:rsidRDefault="00000000">
      <w:pPr>
        <w:spacing w:before="280" w:after="115"/>
        <w:jc w:val="both"/>
        <w:rPr>
          <w:rFonts w:eastAsia="Calibri"/>
          <w:i/>
          <w:sz w:val="24"/>
          <w:szCs w:val="24"/>
          <w:shd w:val="clear" w:color="auto" w:fill="FFFFFF"/>
        </w:rPr>
      </w:pPr>
      <w:r>
        <w:rPr>
          <w:b/>
          <w:bCs/>
          <w:i/>
          <w:sz w:val="24"/>
          <w:szCs w:val="24"/>
          <w:lang w:val="en-GB"/>
        </w:rPr>
        <w:t>(</w:t>
      </w:r>
      <w:r>
        <w:rPr>
          <w:b/>
          <w:bCs/>
          <w:i/>
          <w:sz w:val="24"/>
          <w:szCs w:val="24"/>
        </w:rPr>
        <w:t>2</w:t>
      </w:r>
      <w:r>
        <w:rPr>
          <w:b/>
          <w:bCs/>
          <w:i/>
          <w:sz w:val="24"/>
          <w:szCs w:val="24"/>
          <w:lang w:val="en-GB"/>
        </w:rPr>
        <w:t>)</w:t>
      </w:r>
      <w:r>
        <w:rPr>
          <w:i/>
          <w:sz w:val="24"/>
          <w:szCs w:val="24"/>
          <w:lang w:val="en-GB"/>
        </w:rPr>
        <w:t xml:space="preserve"> </w:t>
      </w:r>
      <w:r>
        <w:rPr>
          <w:rFonts w:eastAsia="Calibri"/>
          <w:i/>
          <w:sz w:val="24"/>
          <w:szCs w:val="24"/>
          <w:shd w:val="clear" w:color="auto" w:fill="FFFFFF"/>
        </w:rPr>
        <w:t>Construcțiile supraterane civile (publice) de producție și/sau depozitare existente, de regulă, sunt amplasate comasat sau grupate la distanțe nenormate între ele, în limitele unor compartimente de incendiu specifice, cu arii maxime admise în funcție de destinație, nivelul de stabilitate la incendiu cel mai dezavantajos, riscul de incendiu și numărul de niveluri normat, (luând în calcul suma ariilor construite efective).</w:t>
      </w:r>
    </w:p>
    <w:p w14:paraId="4EBD8519" w14:textId="77777777" w:rsidR="001C08A5" w:rsidRDefault="00000000">
      <w:pPr>
        <w:jc w:val="both"/>
        <w:rPr>
          <w:i/>
          <w:sz w:val="24"/>
          <w:szCs w:val="24"/>
        </w:rPr>
      </w:pPr>
      <w:r>
        <w:rPr>
          <w:b/>
          <w:bCs/>
          <w:i/>
          <w:sz w:val="24"/>
          <w:szCs w:val="24"/>
          <w:lang w:val="en-GB"/>
        </w:rPr>
        <w:t>(</w:t>
      </w:r>
      <w:r>
        <w:rPr>
          <w:b/>
          <w:bCs/>
          <w:i/>
          <w:sz w:val="24"/>
          <w:szCs w:val="24"/>
        </w:rPr>
        <w:t>3</w:t>
      </w:r>
      <w:r>
        <w:rPr>
          <w:b/>
          <w:bCs/>
          <w:i/>
          <w:sz w:val="24"/>
          <w:szCs w:val="24"/>
          <w:lang w:val="en-GB"/>
        </w:rPr>
        <w:t>)</w:t>
      </w:r>
      <w:r>
        <w:rPr>
          <w:i/>
          <w:sz w:val="24"/>
          <w:szCs w:val="24"/>
          <w:lang w:val="en-GB"/>
        </w:rPr>
        <w:t xml:space="preserve"> </w:t>
      </w:r>
      <w:r>
        <w:rPr>
          <w:i/>
          <w:sz w:val="24"/>
          <w:szCs w:val="24"/>
        </w:rPr>
        <w:t xml:space="preserve">Construcțiile </w:t>
      </w:r>
      <w:r>
        <w:rPr>
          <w:bCs/>
          <w:i/>
          <w:sz w:val="24"/>
          <w:szCs w:val="24"/>
          <w:lang w:val="en-GB"/>
        </w:rPr>
        <w:t xml:space="preserve">existente </w:t>
      </w:r>
      <w:r>
        <w:rPr>
          <w:bCs/>
          <w:i/>
          <w:sz w:val="24"/>
          <w:szCs w:val="24"/>
        </w:rPr>
        <w:t xml:space="preserve">de locuit </w:t>
      </w:r>
      <w:r>
        <w:rPr>
          <w:i/>
          <w:sz w:val="24"/>
          <w:szCs w:val="24"/>
        </w:rPr>
        <w:t xml:space="preserve">cu regim normal de înălțime, fără săli aglomerate și </w:t>
      </w:r>
      <w:r>
        <w:rPr>
          <w:i/>
          <w:sz w:val="24"/>
          <w:szCs w:val="24"/>
          <w:lang w:val="en-GB"/>
        </w:rPr>
        <w:t>cu risc mic de incendiu</w:t>
      </w:r>
      <w:r>
        <w:rPr>
          <w:i/>
          <w:sz w:val="24"/>
          <w:szCs w:val="24"/>
        </w:rPr>
        <w:t xml:space="preserve"> pot fi admise fără normarea distanțelor între ele în interiorul cvartalurilor existente pentru care există rețele de hidranți exteriori</w:t>
      </w:r>
      <w:r>
        <w:rPr>
          <w:i/>
          <w:sz w:val="24"/>
          <w:szCs w:val="24"/>
          <w:lang w:val="en-GB"/>
        </w:rPr>
        <w:t xml:space="preserve"> dimensionate pentru cea mai defavorabila situatie, prev</w:t>
      </w:r>
      <w:r>
        <w:rPr>
          <w:i/>
          <w:sz w:val="24"/>
          <w:szCs w:val="24"/>
        </w:rPr>
        <w:t>ă</w:t>
      </w:r>
      <w:r>
        <w:rPr>
          <w:i/>
          <w:sz w:val="24"/>
          <w:szCs w:val="24"/>
          <w:lang w:val="en-GB"/>
        </w:rPr>
        <w:t>z</w:t>
      </w:r>
      <w:r>
        <w:rPr>
          <w:i/>
          <w:sz w:val="24"/>
          <w:szCs w:val="24"/>
        </w:rPr>
        <w:t>â</w:t>
      </w:r>
      <w:r>
        <w:rPr>
          <w:i/>
          <w:sz w:val="24"/>
          <w:szCs w:val="24"/>
          <w:lang w:val="en-GB"/>
        </w:rPr>
        <w:t>ndu-se m</w:t>
      </w:r>
      <w:r>
        <w:rPr>
          <w:i/>
          <w:sz w:val="24"/>
          <w:szCs w:val="24"/>
        </w:rPr>
        <w:t>ă</w:t>
      </w:r>
      <w:r>
        <w:rPr>
          <w:i/>
          <w:sz w:val="24"/>
          <w:szCs w:val="24"/>
          <w:lang w:val="en-GB"/>
        </w:rPr>
        <w:t>suri compensatorii care vizeaz</w:t>
      </w:r>
      <w:r>
        <w:rPr>
          <w:i/>
          <w:sz w:val="24"/>
          <w:szCs w:val="24"/>
        </w:rPr>
        <w:t>ă</w:t>
      </w:r>
      <w:r>
        <w:rPr>
          <w:i/>
          <w:sz w:val="24"/>
          <w:szCs w:val="24"/>
          <w:lang w:val="en-GB"/>
        </w:rPr>
        <w:t xml:space="preserve"> limitarea propagarii incendiilor de la o construc</w:t>
      </w:r>
      <w:r>
        <w:rPr>
          <w:i/>
          <w:sz w:val="24"/>
          <w:szCs w:val="24"/>
        </w:rPr>
        <w:t>ț</w:t>
      </w:r>
      <w:r>
        <w:rPr>
          <w:i/>
          <w:sz w:val="24"/>
          <w:szCs w:val="24"/>
          <w:lang w:val="en-GB"/>
        </w:rPr>
        <w:t xml:space="preserve">ie la alta, </w:t>
      </w:r>
      <w:r>
        <w:rPr>
          <w:i/>
          <w:sz w:val="24"/>
          <w:szCs w:val="24"/>
        </w:rPr>
        <w:t xml:space="preserve">funcție de  nivelul de stabilitate cel mai defavorabil al clădirilor </w:t>
      </w:r>
      <w:r>
        <w:rPr>
          <w:rFonts w:eastAsia="Calibri"/>
          <w:i/>
          <w:sz w:val="24"/>
          <w:szCs w:val="24"/>
          <w:shd w:val="clear" w:color="auto" w:fill="FFFFFF"/>
        </w:rPr>
        <w:t>existente</w:t>
      </w:r>
      <w:r>
        <w:rPr>
          <w:i/>
          <w:sz w:val="24"/>
          <w:szCs w:val="24"/>
        </w:rPr>
        <w:t xml:space="preserve">, numărul de niveluri maxim admis, luînd în calcul suma efectivă a ariilor construite ale clădirilor </w:t>
      </w:r>
      <w:r>
        <w:rPr>
          <w:rFonts w:eastAsia="Calibri"/>
          <w:i/>
          <w:sz w:val="24"/>
          <w:szCs w:val="24"/>
          <w:shd w:val="clear" w:color="auto" w:fill="FFFFFF"/>
        </w:rPr>
        <w:t>existente</w:t>
      </w:r>
      <w:r>
        <w:rPr>
          <w:i/>
          <w:sz w:val="24"/>
          <w:szCs w:val="24"/>
          <w:lang w:val="en-GB"/>
        </w:rPr>
        <w:t xml:space="preserve">, </w:t>
      </w:r>
      <w:r>
        <w:rPr>
          <w:i/>
          <w:sz w:val="24"/>
          <w:szCs w:val="24"/>
        </w:rPr>
        <w:t>în limita maxim admisă pentru un compartiment de incendiu</w:t>
      </w:r>
      <w:r>
        <w:rPr>
          <w:rFonts w:eastAsia="Calibri"/>
          <w:i/>
          <w:sz w:val="24"/>
          <w:szCs w:val="24"/>
          <w:shd w:val="clear" w:color="auto" w:fill="FFFFFF"/>
        </w:rPr>
        <w:t xml:space="preserve"> conform </w:t>
      </w:r>
      <w:r>
        <w:rPr>
          <w:rFonts w:eastAsia="Calibri"/>
          <w:iCs/>
          <w:shd w:val="clear" w:color="auto" w:fill="FFFFFF"/>
        </w:rPr>
        <w:t>Figura 274</w:t>
      </w:r>
      <w:r>
        <w:rPr>
          <w:i/>
          <w:sz w:val="24"/>
          <w:szCs w:val="24"/>
          <w:lang w:val="en-GB"/>
        </w:rPr>
        <w:t xml:space="preserve">. </w:t>
      </w:r>
      <w:r>
        <w:rPr>
          <w:i/>
          <w:sz w:val="24"/>
          <w:szCs w:val="24"/>
        </w:rPr>
        <w:t>N</w:t>
      </w:r>
      <w:r>
        <w:rPr>
          <w:i/>
          <w:sz w:val="24"/>
          <w:szCs w:val="24"/>
          <w:lang w:val="en-GB"/>
        </w:rPr>
        <w:t>ivelul de stabilitate la incendiu al construcţiei</w:t>
      </w:r>
      <w:r>
        <w:rPr>
          <w:i/>
          <w:sz w:val="24"/>
          <w:szCs w:val="24"/>
        </w:rPr>
        <w:t xml:space="preserve"> existente</w:t>
      </w:r>
      <w:r>
        <w:rPr>
          <w:i/>
          <w:sz w:val="24"/>
          <w:szCs w:val="24"/>
          <w:lang w:val="en-GB"/>
        </w:rPr>
        <w:t xml:space="preserve"> este determinat de elementul său cu cea mai defavorabilă încadrare în valorile normate</w:t>
      </w:r>
      <w:r>
        <w:rPr>
          <w:i/>
          <w:sz w:val="24"/>
          <w:szCs w:val="24"/>
        </w:rPr>
        <w:t xml:space="preserve"> iar n</w:t>
      </w:r>
      <w:r>
        <w:rPr>
          <w:i/>
          <w:sz w:val="24"/>
          <w:szCs w:val="24"/>
          <w:lang w:val="en-GB"/>
        </w:rPr>
        <w:t>ivelul de stabilitate la incendiu</w:t>
      </w:r>
      <w:r>
        <w:rPr>
          <w:i/>
          <w:sz w:val="24"/>
          <w:szCs w:val="24"/>
        </w:rPr>
        <w:t xml:space="preserve"> rezultat prin comasarea construcțiilor existente</w:t>
      </w:r>
      <w:r>
        <w:rPr>
          <w:i/>
          <w:sz w:val="24"/>
          <w:szCs w:val="24"/>
          <w:lang w:val="en-GB"/>
        </w:rPr>
        <w:t xml:space="preserve"> al</w:t>
      </w:r>
      <w:r>
        <w:rPr>
          <w:i/>
          <w:sz w:val="24"/>
          <w:szCs w:val="24"/>
        </w:rPr>
        <w:t xml:space="preserve"> </w:t>
      </w:r>
      <w:r>
        <w:rPr>
          <w:i/>
          <w:sz w:val="24"/>
          <w:szCs w:val="24"/>
          <w:lang w:val="en-GB"/>
        </w:rPr>
        <w:t xml:space="preserve">compartimentului de incendiu, este determinat de </w:t>
      </w:r>
      <w:r>
        <w:rPr>
          <w:i/>
          <w:sz w:val="24"/>
          <w:szCs w:val="24"/>
        </w:rPr>
        <w:t>n</w:t>
      </w:r>
      <w:r>
        <w:rPr>
          <w:i/>
          <w:sz w:val="24"/>
          <w:szCs w:val="24"/>
          <w:lang w:val="en-GB"/>
        </w:rPr>
        <w:t>ivelul de stabilitate la incendiu al construcţiei comasat</w:t>
      </w:r>
      <w:r>
        <w:rPr>
          <w:i/>
          <w:sz w:val="24"/>
          <w:szCs w:val="24"/>
        </w:rPr>
        <w:t>e</w:t>
      </w:r>
      <w:r>
        <w:rPr>
          <w:i/>
          <w:sz w:val="24"/>
          <w:szCs w:val="24"/>
          <w:lang w:val="en-GB"/>
        </w:rPr>
        <w:t xml:space="preserve"> </w:t>
      </w:r>
      <w:r>
        <w:rPr>
          <w:i/>
          <w:sz w:val="24"/>
          <w:szCs w:val="24"/>
        </w:rPr>
        <w:t xml:space="preserve">cel </w:t>
      </w:r>
      <w:r>
        <w:rPr>
          <w:i/>
          <w:sz w:val="24"/>
          <w:szCs w:val="24"/>
          <w:lang w:val="en-GB"/>
        </w:rPr>
        <w:t>mai defavorabil</w:t>
      </w:r>
      <w:r>
        <w:rPr>
          <w:i/>
          <w:sz w:val="24"/>
          <w:szCs w:val="24"/>
        </w:rPr>
        <w:t xml:space="preserve"> raportat la</w:t>
      </w:r>
      <w:r>
        <w:rPr>
          <w:i/>
          <w:sz w:val="24"/>
          <w:szCs w:val="24"/>
          <w:lang w:val="en-GB"/>
        </w:rPr>
        <w:t xml:space="preserve"> încadrare</w:t>
      </w:r>
      <w:r>
        <w:rPr>
          <w:i/>
          <w:sz w:val="24"/>
          <w:szCs w:val="24"/>
        </w:rPr>
        <w:t>a</w:t>
      </w:r>
      <w:r>
        <w:rPr>
          <w:i/>
          <w:sz w:val="24"/>
          <w:szCs w:val="24"/>
          <w:lang w:val="en-GB"/>
        </w:rPr>
        <w:t xml:space="preserve"> în valorile normate</w:t>
      </w:r>
      <w:r>
        <w:rPr>
          <w:i/>
          <w:sz w:val="24"/>
          <w:szCs w:val="24"/>
        </w:rPr>
        <w:t xml:space="preserve"> din anexă. Ariile maxim admise pentru un compartiment de incendiu nu pot fi marite pe proprie raspundere. </w:t>
      </w:r>
    </w:p>
    <w:p w14:paraId="57A7EB32" w14:textId="77777777" w:rsidR="001C08A5" w:rsidRDefault="00000000">
      <w:pPr>
        <w:pStyle w:val="Captionfiganexe"/>
      </w:pPr>
      <w:r>
        <w:rPr>
          <w:noProof/>
        </w:rPr>
        <w:drawing>
          <wp:inline distT="0" distB="0" distL="114300" distR="114300" wp14:anchorId="4AB0E8C3" wp14:editId="7FDE658A">
            <wp:extent cx="5072380" cy="1520190"/>
            <wp:effectExtent l="0" t="0" r="13970" b="3810"/>
            <wp:docPr id="1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5"/>
                    <pic:cNvPicPr>
                      <a:picLocks noChangeAspect="1"/>
                    </pic:cNvPicPr>
                  </pic:nvPicPr>
                  <pic:blipFill>
                    <a:blip r:embed="rId232"/>
                    <a:srcRect l="12358" t="6447" r="7336" b="60075"/>
                    <a:stretch>
                      <a:fillRect/>
                    </a:stretch>
                  </pic:blipFill>
                  <pic:spPr>
                    <a:xfrm>
                      <a:off x="0" y="0"/>
                      <a:ext cx="5072380" cy="1520190"/>
                    </a:xfrm>
                    <a:prstGeom prst="rect">
                      <a:avLst/>
                    </a:prstGeom>
                    <a:noFill/>
                    <a:ln>
                      <a:noFill/>
                    </a:ln>
                  </pic:spPr>
                </pic:pic>
              </a:graphicData>
            </a:graphic>
          </wp:inline>
        </w:drawing>
      </w:r>
    </w:p>
    <w:p w14:paraId="5FF6B235" w14:textId="77777777" w:rsidR="001C08A5" w:rsidRDefault="00000000">
      <w:pPr>
        <w:jc w:val="center"/>
      </w:pPr>
      <w:r>
        <w:rPr>
          <w:b/>
          <w:bCs/>
          <w:i/>
          <w:iCs/>
          <w:sz w:val="22"/>
          <w:szCs w:val="22"/>
        </w:rPr>
        <w:t>PLAN</w:t>
      </w:r>
    </w:p>
    <w:p w14:paraId="161F7B51" w14:textId="77777777" w:rsidR="001C08A5" w:rsidRDefault="00000000">
      <w:pPr>
        <w:pStyle w:val="Captionfiganexe"/>
      </w:pPr>
      <w:r>
        <w:rPr>
          <w:noProof/>
        </w:rPr>
        <w:lastRenderedPageBreak/>
        <w:drawing>
          <wp:inline distT="0" distB="0" distL="114300" distR="114300" wp14:anchorId="11EA6422" wp14:editId="68102FB6">
            <wp:extent cx="5034280" cy="2298700"/>
            <wp:effectExtent l="0" t="0" r="13970" b="6350"/>
            <wp:docPr id="1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5"/>
                    <pic:cNvPicPr>
                      <a:picLocks noChangeAspect="1"/>
                    </pic:cNvPicPr>
                  </pic:nvPicPr>
                  <pic:blipFill>
                    <a:blip r:embed="rId232"/>
                    <a:srcRect l="12358" t="40896" r="7336" b="8109"/>
                    <a:stretch>
                      <a:fillRect/>
                    </a:stretch>
                  </pic:blipFill>
                  <pic:spPr>
                    <a:xfrm>
                      <a:off x="0" y="0"/>
                      <a:ext cx="5034280" cy="2298700"/>
                    </a:xfrm>
                    <a:prstGeom prst="rect">
                      <a:avLst/>
                    </a:prstGeom>
                    <a:noFill/>
                    <a:ln>
                      <a:noFill/>
                    </a:ln>
                  </pic:spPr>
                </pic:pic>
              </a:graphicData>
            </a:graphic>
          </wp:inline>
        </w:drawing>
      </w:r>
    </w:p>
    <w:p w14:paraId="50CA80A8" w14:textId="77777777" w:rsidR="001C08A5" w:rsidRDefault="00000000">
      <w:pPr>
        <w:jc w:val="center"/>
        <w:rPr>
          <w:b/>
          <w:bCs/>
          <w:i/>
          <w:iCs/>
          <w:sz w:val="22"/>
          <w:szCs w:val="22"/>
        </w:rPr>
      </w:pPr>
      <w:r>
        <w:rPr>
          <w:b/>
          <w:bCs/>
          <w:i/>
          <w:iCs/>
          <w:sz w:val="22"/>
          <w:szCs w:val="22"/>
        </w:rPr>
        <w:t xml:space="preserve">SECȚIUNE </w:t>
      </w:r>
    </w:p>
    <w:p w14:paraId="03B689A6" w14:textId="77777777" w:rsidR="001C08A5" w:rsidRDefault="00000000">
      <w:pPr>
        <w:pStyle w:val="BodyText"/>
        <w:jc w:val="center"/>
      </w:pPr>
      <w:r>
        <w:rPr>
          <w:iCs/>
        </w:rPr>
        <w:t xml:space="preserve">Figura 274 - </w:t>
      </w:r>
      <w:r>
        <w:t>Amplasarea construcțiilor existente la distanțe mai mici decât cele normate</w:t>
      </w:r>
    </w:p>
    <w:p w14:paraId="0CCB45E7" w14:textId="77777777" w:rsidR="001C08A5" w:rsidRDefault="001C08A5">
      <w:pPr>
        <w:pStyle w:val="BodyText"/>
        <w:jc w:val="center"/>
      </w:pPr>
    </w:p>
    <w:p w14:paraId="6D4562EA"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2.2.2.</w:t>
      </w:r>
      <w:r>
        <w:rPr>
          <w:rFonts w:eastAsia="Calibri"/>
          <w:i/>
          <w:sz w:val="24"/>
          <w:szCs w:val="24"/>
          <w:shd w:val="clear" w:color="auto" w:fill="FFFFFF"/>
        </w:rPr>
        <w:t xml:space="preserve"> Construcțiile independente existente și grupările sau comasările de construcții existente constituite conform </w:t>
      </w:r>
      <w:r>
        <w:rPr>
          <w:rFonts w:eastAsia="Calibri"/>
          <w:b/>
          <w:bCs/>
          <w:i/>
          <w:sz w:val="24"/>
          <w:szCs w:val="24"/>
          <w:shd w:val="clear" w:color="auto" w:fill="FFFFFF"/>
        </w:rPr>
        <w:t>Art. A.10.2.2.1.</w:t>
      </w:r>
      <w:r>
        <w:rPr>
          <w:rFonts w:eastAsia="Calibri"/>
          <w:i/>
          <w:sz w:val="24"/>
          <w:szCs w:val="24"/>
          <w:shd w:val="clear" w:color="auto" w:fill="FFFFFF"/>
        </w:rPr>
        <w:t xml:space="preserve">, se amplasează astfel încât să nu permită propagarea incendiilor o perioadă de timp normată sau, în cazul prăbușirii, să nu afecteze obiectele învecinate, respectându-se distanțele minime de siguranță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_Ref5126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145</w:t>
      </w:r>
      <w:r>
        <w:rPr>
          <w:rFonts w:eastAsia="Calibri"/>
          <w:b/>
          <w:bCs/>
          <w:i/>
          <w:iCs/>
          <w:sz w:val="24"/>
          <w:szCs w:val="24"/>
          <w:shd w:val="clear" w:color="auto" w:fill="FFFFFF"/>
        </w:rPr>
        <w:fldChar w:fldCharType="end"/>
      </w:r>
      <w:r>
        <w:rPr>
          <w:b/>
          <w:i/>
          <w:sz w:val="24"/>
          <w:szCs w:val="24"/>
        </w:rPr>
        <w:t xml:space="preserve"> </w:t>
      </w:r>
      <w:r>
        <w:rPr>
          <w:rFonts w:eastAsia="Calibri"/>
          <w:i/>
          <w:sz w:val="24"/>
          <w:szCs w:val="24"/>
          <w:shd w:val="clear" w:color="auto" w:fill="FFFFFF"/>
        </w:rPr>
        <w:t xml:space="preserve"> ori compartimentându-se prin pereți rezistenți la foc alcătuiți corespunzător densității sarcinii termice celei mai mari, potrivit normativului și ale prezentei anexe.</w:t>
      </w:r>
    </w:p>
    <w:p w14:paraId="19F0AD76" w14:textId="77777777" w:rsidR="001C08A5" w:rsidRDefault="00000000">
      <w:pPr>
        <w:pStyle w:val="Caption"/>
        <w:shd w:val="clear" w:color="auto" w:fill="FFFFFF"/>
        <w:spacing w:before="0" w:after="150"/>
        <w:jc w:val="both"/>
        <w:rPr>
          <w:rFonts w:eastAsia="Calibri" w:cs="Times New Roman"/>
          <w:shd w:val="clear" w:color="auto" w:fill="FFFFFF"/>
        </w:rPr>
      </w:pPr>
      <w:bookmarkStart w:id="10407" w:name="_Ref5126"/>
      <w:bookmarkStart w:id="10408" w:name="_Ref26646"/>
      <w:bookmarkStart w:id="10409" w:name="_Toc162360195"/>
      <w:r>
        <w:t xml:space="preserve">Tabelul </w:t>
      </w:r>
      <w:r>
        <w:fldChar w:fldCharType="begin"/>
      </w:r>
      <w:r>
        <w:instrText xml:space="preserve"> SEQ Tabelul \* ARABIC </w:instrText>
      </w:r>
      <w:r>
        <w:fldChar w:fldCharType="separate"/>
      </w:r>
      <w:r>
        <w:t>145</w:t>
      </w:r>
      <w:r>
        <w:fldChar w:fldCharType="end"/>
      </w:r>
      <w:bookmarkStart w:id="10410" w:name="_Toc2109"/>
      <w:bookmarkStart w:id="10411" w:name="_Toc21506"/>
      <w:bookmarkStart w:id="10412" w:name="_Toc8985"/>
      <w:bookmarkStart w:id="10413" w:name="_Toc21709"/>
      <w:bookmarkStart w:id="10414" w:name="_Toc28879"/>
      <w:bookmarkStart w:id="10415" w:name="_Toc17711"/>
      <w:bookmarkStart w:id="10416" w:name="_Toc1529"/>
      <w:bookmarkStart w:id="10417" w:name="_Toc19240"/>
      <w:bookmarkStart w:id="10418" w:name="_Toc28291"/>
      <w:bookmarkStart w:id="10419" w:name="_Toc8826"/>
      <w:bookmarkStart w:id="10420" w:name="_Toc30675"/>
      <w:bookmarkEnd w:id="10407"/>
      <w:r>
        <w:t xml:space="preserve">: </w:t>
      </w:r>
      <w:r>
        <w:rPr>
          <w:rFonts w:eastAsia="Calibri"/>
          <w:shd w:val="clear" w:color="auto" w:fill="FFFFFF"/>
        </w:rPr>
        <w:t>Distanțe de siguranță la construcții existente</w:t>
      </w:r>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p>
    <w:tbl>
      <w:tblPr>
        <w:tblW w:w="48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36"/>
        <w:gridCol w:w="2015"/>
        <w:gridCol w:w="2419"/>
        <w:gridCol w:w="2539"/>
      </w:tblGrid>
      <w:tr w:rsidR="001C08A5" w14:paraId="545C93A1" w14:textId="77777777">
        <w:trPr>
          <w:trHeight w:val="555"/>
          <w:jc w:val="center"/>
        </w:trPr>
        <w:tc>
          <w:tcPr>
            <w:tcW w:w="1254" w:type="pct"/>
            <w:vMerge w:val="restart"/>
            <w:tcMar>
              <w:top w:w="0" w:type="dxa"/>
              <w:left w:w="0" w:type="dxa"/>
              <w:bottom w:w="0" w:type="dxa"/>
              <w:right w:w="0" w:type="dxa"/>
            </w:tcMar>
            <w:vAlign w:val="center"/>
          </w:tcPr>
          <w:p w14:paraId="413B447C" w14:textId="77777777" w:rsidR="001C08A5" w:rsidRDefault="00000000">
            <w:pPr>
              <w:jc w:val="center"/>
              <w:rPr>
                <w:b/>
                <w:bCs/>
                <w:i/>
                <w:sz w:val="22"/>
                <w:szCs w:val="22"/>
              </w:rPr>
            </w:pPr>
            <w:r>
              <w:rPr>
                <w:rFonts w:eastAsia="Calibri"/>
                <w:b/>
                <w:bCs/>
                <w:i/>
                <w:sz w:val="22"/>
                <w:szCs w:val="22"/>
                <w:shd w:val="clear" w:color="auto" w:fill="FFFFFF"/>
              </w:rPr>
              <w:t>Nivel de stabilitate la incendiu</w:t>
            </w:r>
          </w:p>
        </w:tc>
        <w:tc>
          <w:tcPr>
            <w:tcW w:w="3745" w:type="pct"/>
            <w:gridSpan w:val="3"/>
            <w:tcMar>
              <w:top w:w="0" w:type="dxa"/>
              <w:left w:w="0" w:type="dxa"/>
              <w:bottom w:w="0" w:type="dxa"/>
              <w:right w:w="0" w:type="dxa"/>
            </w:tcMar>
            <w:vAlign w:val="center"/>
          </w:tcPr>
          <w:p w14:paraId="19BF20DE" w14:textId="77777777" w:rsidR="001C08A5" w:rsidRDefault="00000000">
            <w:pPr>
              <w:jc w:val="center"/>
              <w:rPr>
                <w:b/>
                <w:bCs/>
                <w:i/>
                <w:sz w:val="22"/>
                <w:szCs w:val="22"/>
              </w:rPr>
            </w:pPr>
            <w:r>
              <w:rPr>
                <w:b/>
                <w:bCs/>
                <w:i/>
                <w:sz w:val="22"/>
                <w:szCs w:val="22"/>
                <w:lang w:val="en-US" w:eastAsia="zh-CN" w:bidi="ar"/>
              </w:rPr>
              <w:t>Distanțe minime de siguranță (m) față de construcții</w:t>
            </w:r>
            <w:r>
              <w:rPr>
                <w:b/>
                <w:bCs/>
                <w:i/>
                <w:sz w:val="22"/>
                <w:szCs w:val="22"/>
                <w:lang w:eastAsia="zh-CN" w:bidi="ar"/>
              </w:rPr>
              <w:t xml:space="preserve"> existente</w:t>
            </w:r>
            <w:r>
              <w:rPr>
                <w:b/>
                <w:bCs/>
                <w:i/>
                <w:sz w:val="22"/>
                <w:szCs w:val="22"/>
                <w:lang w:val="en-US" w:eastAsia="zh-CN" w:bidi="ar"/>
              </w:rPr>
              <w:t xml:space="preserve"> având </w:t>
            </w:r>
            <w:r>
              <w:rPr>
                <w:rFonts w:eastAsia="Calibri"/>
                <w:b/>
                <w:bCs/>
                <w:i/>
                <w:sz w:val="22"/>
                <w:szCs w:val="22"/>
                <w:shd w:val="clear" w:color="auto" w:fill="FFFFFF"/>
              </w:rPr>
              <w:t>nivelul de stabilitate la incendiu</w:t>
            </w:r>
          </w:p>
        </w:tc>
      </w:tr>
      <w:tr w:rsidR="001C08A5" w14:paraId="72DB0622" w14:textId="77777777">
        <w:trPr>
          <w:trHeight w:val="345"/>
          <w:jc w:val="center"/>
        </w:trPr>
        <w:tc>
          <w:tcPr>
            <w:tcW w:w="1254" w:type="pct"/>
            <w:vMerge/>
            <w:tcMar>
              <w:top w:w="0" w:type="dxa"/>
              <w:left w:w="0" w:type="dxa"/>
              <w:bottom w:w="0" w:type="dxa"/>
              <w:right w:w="0" w:type="dxa"/>
            </w:tcMar>
            <w:vAlign w:val="center"/>
          </w:tcPr>
          <w:p w14:paraId="7E985D0E" w14:textId="77777777" w:rsidR="001C08A5" w:rsidRDefault="001C08A5">
            <w:pPr>
              <w:jc w:val="center"/>
              <w:rPr>
                <w:b/>
                <w:bCs/>
                <w:i/>
                <w:sz w:val="22"/>
                <w:szCs w:val="22"/>
              </w:rPr>
            </w:pPr>
          </w:p>
        </w:tc>
        <w:tc>
          <w:tcPr>
            <w:tcW w:w="1082" w:type="pct"/>
            <w:tcMar>
              <w:top w:w="0" w:type="dxa"/>
              <w:left w:w="0" w:type="dxa"/>
              <w:bottom w:w="0" w:type="dxa"/>
              <w:right w:w="0" w:type="dxa"/>
            </w:tcMar>
            <w:vAlign w:val="center"/>
          </w:tcPr>
          <w:p w14:paraId="3636CC8F" w14:textId="77777777" w:rsidR="001C08A5" w:rsidRDefault="00000000">
            <w:pPr>
              <w:jc w:val="center"/>
              <w:rPr>
                <w:b/>
                <w:bCs/>
                <w:i/>
                <w:sz w:val="22"/>
                <w:szCs w:val="22"/>
              </w:rPr>
            </w:pPr>
            <w:r>
              <w:rPr>
                <w:b/>
                <w:bCs/>
                <w:i/>
                <w:sz w:val="22"/>
                <w:szCs w:val="22"/>
                <w:lang w:val="en-US" w:eastAsia="zh-CN" w:bidi="ar"/>
              </w:rPr>
              <w:t>I-II</w:t>
            </w:r>
          </w:p>
        </w:tc>
        <w:tc>
          <w:tcPr>
            <w:tcW w:w="1299" w:type="pct"/>
            <w:tcMar>
              <w:top w:w="0" w:type="dxa"/>
              <w:left w:w="0" w:type="dxa"/>
              <w:bottom w:w="0" w:type="dxa"/>
              <w:right w:w="0" w:type="dxa"/>
            </w:tcMar>
            <w:vAlign w:val="center"/>
          </w:tcPr>
          <w:p w14:paraId="6F526822" w14:textId="77777777" w:rsidR="001C08A5" w:rsidRDefault="00000000">
            <w:pPr>
              <w:jc w:val="center"/>
              <w:rPr>
                <w:b/>
                <w:bCs/>
                <w:i/>
                <w:sz w:val="22"/>
                <w:szCs w:val="22"/>
              </w:rPr>
            </w:pPr>
            <w:r>
              <w:rPr>
                <w:b/>
                <w:bCs/>
                <w:i/>
                <w:sz w:val="22"/>
                <w:szCs w:val="22"/>
                <w:lang w:val="en-US" w:eastAsia="zh-CN" w:bidi="ar"/>
              </w:rPr>
              <w:t>III</w:t>
            </w:r>
          </w:p>
        </w:tc>
        <w:tc>
          <w:tcPr>
            <w:tcW w:w="1362" w:type="pct"/>
            <w:tcMar>
              <w:top w:w="0" w:type="dxa"/>
              <w:left w:w="0" w:type="dxa"/>
              <w:bottom w:w="0" w:type="dxa"/>
              <w:right w:w="0" w:type="dxa"/>
            </w:tcMar>
            <w:vAlign w:val="center"/>
          </w:tcPr>
          <w:p w14:paraId="4771C68E" w14:textId="77777777" w:rsidR="001C08A5" w:rsidRDefault="00000000">
            <w:pPr>
              <w:jc w:val="center"/>
              <w:rPr>
                <w:b/>
                <w:bCs/>
                <w:i/>
                <w:sz w:val="22"/>
                <w:szCs w:val="22"/>
              </w:rPr>
            </w:pPr>
            <w:r>
              <w:rPr>
                <w:b/>
                <w:bCs/>
                <w:i/>
                <w:sz w:val="22"/>
                <w:szCs w:val="22"/>
                <w:lang w:val="en-US" w:eastAsia="zh-CN" w:bidi="ar"/>
              </w:rPr>
              <w:t>IV--V</w:t>
            </w:r>
          </w:p>
        </w:tc>
      </w:tr>
      <w:tr w:rsidR="001C08A5" w14:paraId="2FA940BD" w14:textId="77777777">
        <w:trPr>
          <w:trHeight w:val="345"/>
          <w:jc w:val="center"/>
        </w:trPr>
        <w:tc>
          <w:tcPr>
            <w:tcW w:w="1254" w:type="pct"/>
            <w:tcMar>
              <w:top w:w="0" w:type="dxa"/>
              <w:left w:w="0" w:type="dxa"/>
              <w:bottom w:w="0" w:type="dxa"/>
              <w:right w:w="0" w:type="dxa"/>
            </w:tcMar>
          </w:tcPr>
          <w:p w14:paraId="57872A4E" w14:textId="77777777" w:rsidR="001C08A5" w:rsidRDefault="00000000">
            <w:pPr>
              <w:jc w:val="center"/>
              <w:rPr>
                <w:b/>
                <w:bCs/>
                <w:i/>
                <w:sz w:val="22"/>
                <w:szCs w:val="22"/>
              </w:rPr>
            </w:pPr>
            <w:r>
              <w:rPr>
                <w:b/>
                <w:bCs/>
                <w:i/>
                <w:sz w:val="22"/>
                <w:szCs w:val="22"/>
                <w:lang w:val="en-US" w:eastAsia="zh-CN" w:bidi="ar"/>
              </w:rPr>
              <w:t>I-II</w:t>
            </w:r>
          </w:p>
        </w:tc>
        <w:tc>
          <w:tcPr>
            <w:tcW w:w="1082" w:type="pct"/>
            <w:tcMar>
              <w:top w:w="0" w:type="dxa"/>
              <w:left w:w="0" w:type="dxa"/>
              <w:bottom w:w="0" w:type="dxa"/>
              <w:right w:w="0" w:type="dxa"/>
            </w:tcMar>
          </w:tcPr>
          <w:p w14:paraId="776ED829" w14:textId="77777777" w:rsidR="001C08A5" w:rsidRDefault="00000000">
            <w:pPr>
              <w:jc w:val="center"/>
              <w:rPr>
                <w:b/>
                <w:bCs/>
                <w:i/>
                <w:sz w:val="22"/>
                <w:szCs w:val="22"/>
              </w:rPr>
            </w:pPr>
            <w:r>
              <w:rPr>
                <w:b/>
                <w:bCs/>
                <w:i/>
                <w:sz w:val="22"/>
                <w:szCs w:val="22"/>
                <w:lang w:val="en-US" w:eastAsia="zh-CN" w:bidi="ar"/>
              </w:rPr>
              <w:t>6</w:t>
            </w:r>
          </w:p>
        </w:tc>
        <w:tc>
          <w:tcPr>
            <w:tcW w:w="1299" w:type="pct"/>
            <w:tcMar>
              <w:top w:w="0" w:type="dxa"/>
              <w:left w:w="0" w:type="dxa"/>
              <w:bottom w:w="0" w:type="dxa"/>
              <w:right w:w="0" w:type="dxa"/>
            </w:tcMar>
          </w:tcPr>
          <w:p w14:paraId="72679753" w14:textId="77777777" w:rsidR="001C08A5" w:rsidRDefault="00000000">
            <w:pPr>
              <w:jc w:val="center"/>
              <w:rPr>
                <w:b/>
                <w:bCs/>
                <w:i/>
                <w:sz w:val="22"/>
                <w:szCs w:val="22"/>
              </w:rPr>
            </w:pPr>
            <w:r>
              <w:rPr>
                <w:b/>
                <w:bCs/>
                <w:i/>
                <w:sz w:val="22"/>
                <w:szCs w:val="22"/>
                <w:lang w:val="en-US" w:eastAsia="zh-CN" w:bidi="ar"/>
              </w:rPr>
              <w:t>8</w:t>
            </w:r>
          </w:p>
        </w:tc>
        <w:tc>
          <w:tcPr>
            <w:tcW w:w="1362" w:type="pct"/>
            <w:tcMar>
              <w:top w:w="0" w:type="dxa"/>
              <w:left w:w="0" w:type="dxa"/>
              <w:bottom w:w="0" w:type="dxa"/>
              <w:right w:w="0" w:type="dxa"/>
            </w:tcMar>
          </w:tcPr>
          <w:p w14:paraId="0B2543DE" w14:textId="77777777" w:rsidR="001C08A5" w:rsidRDefault="00000000">
            <w:pPr>
              <w:jc w:val="center"/>
              <w:rPr>
                <w:b/>
                <w:bCs/>
                <w:i/>
                <w:sz w:val="22"/>
                <w:szCs w:val="22"/>
              </w:rPr>
            </w:pPr>
            <w:r>
              <w:rPr>
                <w:b/>
                <w:bCs/>
                <w:i/>
                <w:sz w:val="22"/>
                <w:szCs w:val="22"/>
                <w:lang w:val="en-US" w:eastAsia="zh-CN" w:bidi="ar"/>
              </w:rPr>
              <w:t>10</w:t>
            </w:r>
          </w:p>
        </w:tc>
      </w:tr>
      <w:tr w:rsidR="001C08A5" w14:paraId="6E438797" w14:textId="77777777">
        <w:trPr>
          <w:trHeight w:val="345"/>
          <w:jc w:val="center"/>
        </w:trPr>
        <w:tc>
          <w:tcPr>
            <w:tcW w:w="1254" w:type="pct"/>
            <w:tcMar>
              <w:top w:w="0" w:type="dxa"/>
              <w:left w:w="0" w:type="dxa"/>
              <w:bottom w:w="0" w:type="dxa"/>
              <w:right w:w="0" w:type="dxa"/>
            </w:tcMar>
          </w:tcPr>
          <w:p w14:paraId="0B256922" w14:textId="77777777" w:rsidR="001C08A5" w:rsidRDefault="00000000">
            <w:pPr>
              <w:jc w:val="center"/>
              <w:rPr>
                <w:b/>
                <w:bCs/>
                <w:i/>
                <w:sz w:val="22"/>
                <w:szCs w:val="22"/>
              </w:rPr>
            </w:pPr>
            <w:r>
              <w:rPr>
                <w:b/>
                <w:bCs/>
                <w:i/>
                <w:sz w:val="22"/>
                <w:szCs w:val="22"/>
                <w:lang w:val="en-US" w:eastAsia="zh-CN" w:bidi="ar"/>
              </w:rPr>
              <w:t>III</w:t>
            </w:r>
          </w:p>
        </w:tc>
        <w:tc>
          <w:tcPr>
            <w:tcW w:w="1082" w:type="pct"/>
            <w:tcMar>
              <w:top w:w="0" w:type="dxa"/>
              <w:left w:w="0" w:type="dxa"/>
              <w:bottom w:w="0" w:type="dxa"/>
              <w:right w:w="0" w:type="dxa"/>
            </w:tcMar>
          </w:tcPr>
          <w:p w14:paraId="353EE1FE" w14:textId="77777777" w:rsidR="001C08A5" w:rsidRDefault="00000000">
            <w:pPr>
              <w:jc w:val="center"/>
              <w:rPr>
                <w:b/>
                <w:bCs/>
                <w:i/>
                <w:sz w:val="22"/>
                <w:szCs w:val="22"/>
              </w:rPr>
            </w:pPr>
            <w:r>
              <w:rPr>
                <w:b/>
                <w:bCs/>
                <w:i/>
                <w:sz w:val="22"/>
                <w:szCs w:val="22"/>
                <w:lang w:val="en-US" w:eastAsia="zh-CN" w:bidi="ar"/>
              </w:rPr>
              <w:t>8</w:t>
            </w:r>
          </w:p>
        </w:tc>
        <w:tc>
          <w:tcPr>
            <w:tcW w:w="1299" w:type="pct"/>
            <w:tcMar>
              <w:top w:w="0" w:type="dxa"/>
              <w:left w:w="0" w:type="dxa"/>
              <w:bottom w:w="0" w:type="dxa"/>
              <w:right w:w="0" w:type="dxa"/>
            </w:tcMar>
          </w:tcPr>
          <w:p w14:paraId="4870A04B" w14:textId="77777777" w:rsidR="001C08A5" w:rsidRDefault="00000000">
            <w:pPr>
              <w:jc w:val="center"/>
              <w:rPr>
                <w:b/>
                <w:bCs/>
                <w:i/>
                <w:sz w:val="22"/>
                <w:szCs w:val="22"/>
              </w:rPr>
            </w:pPr>
            <w:r>
              <w:rPr>
                <w:b/>
                <w:bCs/>
                <w:i/>
                <w:sz w:val="22"/>
                <w:szCs w:val="22"/>
                <w:lang w:val="en-US" w:eastAsia="zh-CN" w:bidi="ar"/>
              </w:rPr>
              <w:t>10</w:t>
            </w:r>
          </w:p>
        </w:tc>
        <w:tc>
          <w:tcPr>
            <w:tcW w:w="1362" w:type="pct"/>
            <w:tcMar>
              <w:top w:w="0" w:type="dxa"/>
              <w:left w:w="0" w:type="dxa"/>
              <w:bottom w:w="0" w:type="dxa"/>
              <w:right w:w="0" w:type="dxa"/>
            </w:tcMar>
          </w:tcPr>
          <w:p w14:paraId="23C240FA" w14:textId="77777777" w:rsidR="001C08A5" w:rsidRDefault="00000000">
            <w:pPr>
              <w:jc w:val="center"/>
              <w:rPr>
                <w:b/>
                <w:bCs/>
                <w:i/>
                <w:sz w:val="22"/>
                <w:szCs w:val="22"/>
              </w:rPr>
            </w:pPr>
            <w:r>
              <w:rPr>
                <w:b/>
                <w:bCs/>
                <w:i/>
                <w:sz w:val="22"/>
                <w:szCs w:val="22"/>
                <w:lang w:val="en-US" w:eastAsia="zh-CN" w:bidi="ar"/>
              </w:rPr>
              <w:t>12</w:t>
            </w:r>
          </w:p>
        </w:tc>
      </w:tr>
      <w:tr w:rsidR="001C08A5" w14:paraId="16F9ADFD" w14:textId="77777777">
        <w:trPr>
          <w:trHeight w:val="360"/>
          <w:jc w:val="center"/>
        </w:trPr>
        <w:tc>
          <w:tcPr>
            <w:tcW w:w="1254" w:type="pct"/>
            <w:tcMar>
              <w:top w:w="0" w:type="dxa"/>
              <w:left w:w="0" w:type="dxa"/>
              <w:bottom w:w="0" w:type="dxa"/>
              <w:right w:w="0" w:type="dxa"/>
            </w:tcMar>
          </w:tcPr>
          <w:p w14:paraId="2FB5A4B7" w14:textId="77777777" w:rsidR="001C08A5" w:rsidRDefault="00000000">
            <w:pPr>
              <w:jc w:val="center"/>
              <w:rPr>
                <w:b/>
                <w:bCs/>
                <w:i/>
                <w:sz w:val="22"/>
                <w:szCs w:val="22"/>
              </w:rPr>
            </w:pPr>
            <w:r>
              <w:rPr>
                <w:b/>
                <w:bCs/>
                <w:i/>
                <w:sz w:val="22"/>
                <w:szCs w:val="22"/>
                <w:lang w:val="en-US" w:eastAsia="zh-CN" w:bidi="ar"/>
              </w:rPr>
              <w:t>IV--V</w:t>
            </w:r>
          </w:p>
        </w:tc>
        <w:tc>
          <w:tcPr>
            <w:tcW w:w="1082" w:type="pct"/>
            <w:tcMar>
              <w:top w:w="0" w:type="dxa"/>
              <w:left w:w="0" w:type="dxa"/>
              <w:bottom w:w="0" w:type="dxa"/>
              <w:right w:w="0" w:type="dxa"/>
            </w:tcMar>
          </w:tcPr>
          <w:p w14:paraId="667CD9DE" w14:textId="77777777" w:rsidR="001C08A5" w:rsidRDefault="00000000">
            <w:pPr>
              <w:jc w:val="center"/>
              <w:rPr>
                <w:b/>
                <w:bCs/>
                <w:i/>
                <w:sz w:val="22"/>
                <w:szCs w:val="22"/>
              </w:rPr>
            </w:pPr>
            <w:r>
              <w:rPr>
                <w:b/>
                <w:bCs/>
                <w:i/>
                <w:sz w:val="22"/>
                <w:szCs w:val="22"/>
                <w:lang w:val="en-US" w:eastAsia="zh-CN" w:bidi="ar"/>
              </w:rPr>
              <w:t>10</w:t>
            </w:r>
          </w:p>
        </w:tc>
        <w:tc>
          <w:tcPr>
            <w:tcW w:w="1299" w:type="pct"/>
            <w:tcMar>
              <w:top w:w="0" w:type="dxa"/>
              <w:left w:w="0" w:type="dxa"/>
              <w:bottom w:w="0" w:type="dxa"/>
              <w:right w:w="0" w:type="dxa"/>
            </w:tcMar>
          </w:tcPr>
          <w:p w14:paraId="5EBF0E3C" w14:textId="77777777" w:rsidR="001C08A5" w:rsidRDefault="00000000">
            <w:pPr>
              <w:jc w:val="center"/>
              <w:rPr>
                <w:b/>
                <w:bCs/>
                <w:i/>
                <w:sz w:val="22"/>
                <w:szCs w:val="22"/>
              </w:rPr>
            </w:pPr>
            <w:r>
              <w:rPr>
                <w:b/>
                <w:bCs/>
                <w:i/>
                <w:sz w:val="22"/>
                <w:szCs w:val="22"/>
                <w:lang w:val="en-US" w:eastAsia="zh-CN" w:bidi="ar"/>
              </w:rPr>
              <w:t>12</w:t>
            </w:r>
          </w:p>
        </w:tc>
        <w:tc>
          <w:tcPr>
            <w:tcW w:w="1362" w:type="pct"/>
            <w:tcMar>
              <w:top w:w="0" w:type="dxa"/>
              <w:left w:w="0" w:type="dxa"/>
              <w:bottom w:w="0" w:type="dxa"/>
              <w:right w:w="0" w:type="dxa"/>
            </w:tcMar>
          </w:tcPr>
          <w:p w14:paraId="629205E9" w14:textId="77777777" w:rsidR="001C08A5" w:rsidRDefault="00000000">
            <w:pPr>
              <w:jc w:val="center"/>
              <w:rPr>
                <w:b/>
                <w:bCs/>
                <w:i/>
                <w:sz w:val="22"/>
                <w:szCs w:val="22"/>
              </w:rPr>
            </w:pPr>
            <w:r>
              <w:rPr>
                <w:b/>
                <w:bCs/>
                <w:i/>
                <w:sz w:val="22"/>
                <w:szCs w:val="22"/>
                <w:lang w:val="en-US" w:eastAsia="zh-CN" w:bidi="ar"/>
              </w:rPr>
              <w:t>15</w:t>
            </w:r>
          </w:p>
        </w:tc>
      </w:tr>
    </w:tbl>
    <w:p w14:paraId="03947D6F" w14:textId="77777777" w:rsidR="001C08A5" w:rsidRDefault="00000000">
      <w:pPr>
        <w:jc w:val="both"/>
        <w:rPr>
          <w:i/>
          <w:sz w:val="22"/>
          <w:szCs w:val="22"/>
        </w:rPr>
      </w:pPr>
      <w:r>
        <w:rPr>
          <w:i/>
          <w:sz w:val="22"/>
          <w:szCs w:val="22"/>
        </w:rPr>
        <w:t>Note:</w:t>
      </w:r>
    </w:p>
    <w:p w14:paraId="729CB97A" w14:textId="77777777" w:rsidR="001C08A5" w:rsidRDefault="00000000">
      <w:pPr>
        <w:jc w:val="both"/>
        <w:rPr>
          <w:i/>
          <w:sz w:val="22"/>
          <w:szCs w:val="22"/>
        </w:rPr>
      </w:pPr>
      <w:r>
        <w:rPr>
          <w:i/>
          <w:sz w:val="22"/>
          <w:szCs w:val="22"/>
        </w:rPr>
        <w:t>1. Pentru construcțiile existente de producție sau depozitare cu risc mare sau foarte mare, inclusiv explozie volumetrică (din fosta categoria A sau B de pericol de incendiu, distanțele de siguranță față de clădiri existente cu alte riscuri sau categorii de pericol de incendiu, se majorează cu</w:t>
      </w:r>
      <w:r>
        <w:rPr>
          <w:b/>
          <w:bCs/>
          <w:i/>
          <w:sz w:val="22"/>
          <w:szCs w:val="22"/>
        </w:rPr>
        <w:t xml:space="preserve"> 50%,</w:t>
      </w:r>
      <w:r>
        <w:rPr>
          <w:i/>
          <w:sz w:val="22"/>
          <w:szCs w:val="22"/>
        </w:rPr>
        <w:t xml:space="preserve"> fără a fi mai mici de </w:t>
      </w:r>
      <w:r>
        <w:rPr>
          <w:b/>
          <w:bCs/>
          <w:i/>
          <w:sz w:val="22"/>
          <w:szCs w:val="22"/>
        </w:rPr>
        <w:t>15,00 m</w:t>
      </w:r>
      <w:r>
        <w:rPr>
          <w:i/>
          <w:sz w:val="22"/>
          <w:szCs w:val="22"/>
        </w:rPr>
        <w:t>.</w:t>
      </w:r>
    </w:p>
    <w:p w14:paraId="01847955" w14:textId="77777777" w:rsidR="001C08A5" w:rsidRDefault="00000000">
      <w:pPr>
        <w:jc w:val="both"/>
        <w:rPr>
          <w:i/>
          <w:sz w:val="22"/>
          <w:szCs w:val="22"/>
        </w:rPr>
      </w:pPr>
      <w:r>
        <w:rPr>
          <w:i/>
          <w:sz w:val="22"/>
          <w:szCs w:val="22"/>
        </w:rPr>
        <w:t xml:space="preserve">2. În cazuri justificate tehnic, în cadrul limitei de proprietate, investitorii pot stabili distanțe mai mici pe proprie răspundere, prin hotărâri scrise ale consiliilor de conducere respective, dacă adoptă măsuri de protecție compensatorii, stabilite prin proiect de către persoane atestate și scenarii de siguranță la foc. </w:t>
      </w:r>
    </w:p>
    <w:p w14:paraId="522F56AB" w14:textId="77777777" w:rsidR="001C08A5" w:rsidRDefault="001C08A5">
      <w:pPr>
        <w:rPr>
          <w:i/>
          <w:sz w:val="24"/>
          <w:szCs w:val="24"/>
        </w:rPr>
      </w:pPr>
    </w:p>
    <w:p w14:paraId="7D1CBF1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2.2.3.</w:t>
      </w:r>
      <w:r>
        <w:rPr>
          <w:rFonts w:eastAsia="Calibri"/>
          <w:i/>
          <w:sz w:val="24"/>
          <w:szCs w:val="24"/>
          <w:shd w:val="clear" w:color="auto" w:fill="FFFFFF"/>
        </w:rPr>
        <w:t xml:space="preserve"> Construcțiile existente cu destinații sau funcțiuni diferite, grupate sau comasate în cadrul unui compartiment de incendiu, se separă între ele cu pereți și planșee corespunzătoare destinațiilor, riscurilor și categoriilor de incendiu, precum și densității sarcinii termice, conform prevederilor normativului și ale prezentei anexe, iar între compartimentele de incendiu, dacă nu sunt asigurate distanțele de siguranță, se prevăd elemente despărțitoare verticale antifoc sau rezistente la foc (pereți)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corespunzător densității sarcinii termice, dar minimum 3 ore (</w:t>
      </w:r>
      <w:r>
        <w:rPr>
          <w:rFonts w:eastAsia="Calibri"/>
          <w:b/>
          <w:bCs/>
          <w:i/>
          <w:sz w:val="24"/>
          <w:szCs w:val="24"/>
          <w:shd w:val="clear" w:color="auto" w:fill="FFFFFF"/>
        </w:rPr>
        <w:t>REI180</w:t>
      </w:r>
      <w:r>
        <w:rPr>
          <w:rFonts w:eastAsia="Calibri"/>
          <w:i/>
          <w:sz w:val="24"/>
          <w:szCs w:val="24"/>
          <w:shd w:val="clear" w:color="auto" w:fill="FFFFFF"/>
        </w:rPr>
        <w:t xml:space="preserve">) și după caz, rezistente la explozie. În clădiri existente înalte și foarte înalte se pot realiza compartimente de incendiu conform prevederilor specifice acestora. </w:t>
      </w:r>
    </w:p>
    <w:p w14:paraId="52DB4937" w14:textId="77777777" w:rsidR="001C08A5" w:rsidRDefault="00000000">
      <w:pPr>
        <w:pStyle w:val="Heading4"/>
        <w:rPr>
          <w:sz w:val="24"/>
          <w:szCs w:val="24"/>
        </w:rPr>
      </w:pPr>
      <w:bookmarkStart w:id="10421" w:name="_Toc162355523"/>
      <w:bookmarkStart w:id="10422" w:name="_Toc9416"/>
      <w:bookmarkStart w:id="10423" w:name="_Toc13954"/>
      <w:bookmarkStart w:id="10424" w:name="_Toc31330"/>
      <w:bookmarkStart w:id="10425" w:name="_Toc1366"/>
      <w:bookmarkStart w:id="10426" w:name="_Toc1497"/>
      <w:r>
        <w:rPr>
          <w:sz w:val="24"/>
          <w:szCs w:val="24"/>
        </w:rPr>
        <w:t>Conformare la foc</w:t>
      </w:r>
      <w:bookmarkEnd w:id="10421"/>
      <w:bookmarkEnd w:id="10422"/>
      <w:bookmarkEnd w:id="10423"/>
      <w:bookmarkEnd w:id="10424"/>
      <w:bookmarkEnd w:id="10425"/>
      <w:bookmarkEnd w:id="10426"/>
    </w:p>
    <w:p w14:paraId="4194B30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2.2.4.</w:t>
      </w:r>
      <w:r>
        <w:rPr>
          <w:rFonts w:eastAsia="Calibri"/>
          <w:i/>
          <w:sz w:val="24"/>
          <w:szCs w:val="24"/>
          <w:shd w:val="clear" w:color="auto" w:fill="FFFFFF"/>
        </w:rPr>
        <w:t> Construcțiile existente în ansamblu și elementele de construcții ale acestora trebuie astfel alcătuite și conformate încât să nu favorizeze propagarea focului și a fumului.</w:t>
      </w:r>
    </w:p>
    <w:p w14:paraId="00A3CFA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2.2.5.</w:t>
      </w:r>
      <w:r>
        <w:rPr>
          <w:rFonts w:eastAsia="Calibri"/>
          <w:i/>
          <w:sz w:val="24"/>
          <w:szCs w:val="24"/>
          <w:shd w:val="clear" w:color="auto" w:fill="FFFFFF"/>
        </w:rPr>
        <w:t> Pe cât posibil, activitățile cu riscuri mari de incendiu se dispun în zone distincte ale construcției existente, iar cele cu pericol de explozie la ultimul nivel. Atunci când această dispunere nu este posibilă tehnic sau funcțional se iau măsurile de protecție și compartimentare necesare, conform prevederilor normativului și ale prezentei anexe.</w:t>
      </w:r>
    </w:p>
    <w:p w14:paraId="2763276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2.2.6.</w:t>
      </w:r>
      <w:r>
        <w:rPr>
          <w:rFonts w:eastAsia="Calibri"/>
          <w:i/>
          <w:sz w:val="24"/>
          <w:szCs w:val="24"/>
          <w:shd w:val="clear" w:color="auto" w:fill="FFFFFF"/>
        </w:rPr>
        <w:t> Prin dispunerea funcțiunilor în construcția existentă și asigurarea măsurilor de protecție corespunzătoare, se va urmări eliminarea posibilităților de propagare ușoară a fumului și a focului în afara compartimentelor în care s-a produs incendiul, precum și protejarea acestora față de acțiunea unui incendiu din vecinătatea lor.</w:t>
      </w:r>
    </w:p>
    <w:p w14:paraId="21EB17B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2.2.7.</w:t>
      </w:r>
      <w:r>
        <w:rPr>
          <w:rFonts w:eastAsia="Calibri"/>
          <w:i/>
          <w:sz w:val="24"/>
          <w:szCs w:val="24"/>
          <w:shd w:val="clear" w:color="auto" w:fill="FFFFFF"/>
        </w:rPr>
        <w:t> Funcțiunile diferite dintr-o construcție existentă, de regulă, se separă cu elemente de construcții verticale și orizontale rezistente la foc, astfel alcătuite și dimensionate încât să nu pună în pericol viața utilizatorilor un timp determinat.</w:t>
      </w:r>
    </w:p>
    <w:p w14:paraId="52F9E4D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2.2.8.</w:t>
      </w:r>
      <w:r>
        <w:rPr>
          <w:rFonts w:eastAsia="Calibri"/>
          <w:i/>
          <w:sz w:val="24"/>
          <w:szCs w:val="24"/>
          <w:shd w:val="clear" w:color="auto" w:fill="FFFFFF"/>
        </w:rPr>
        <w:t> Construcțiile existente cu funcțiuni mixte (civile, de producție și/sau depozitare), vor avea dispuse funcțiunile periculoase, în zone distincte și prevăzute elemente de separare corespunzătoare riscurilor și categoriilor de incendiu, precum și densității sarcinii termice a acestora, prin pereți și planșee rezistente la foc, ale căror goluri funcțional necesare vor fi protejate corespunzător prevederilor normativului și ale prezentei anexe.</w:t>
      </w:r>
    </w:p>
    <w:p w14:paraId="57CDF3D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2.2.9.</w:t>
      </w:r>
      <w:r>
        <w:rPr>
          <w:rFonts w:eastAsia="Calibri"/>
          <w:i/>
          <w:sz w:val="24"/>
          <w:szCs w:val="24"/>
          <w:shd w:val="clear" w:color="auto" w:fill="FFFFFF"/>
        </w:rPr>
        <w:t> Pentru limitarea propagării fumului și focului în construcții existente, se realizează compartimente de incendiu, iar în interiorul acestor compartimente se recomandă prevederea elementelor de separare rezistente la foc.</w:t>
      </w:r>
    </w:p>
    <w:p w14:paraId="1311A4A8"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2.2.10.</w:t>
      </w:r>
      <w:r>
        <w:rPr>
          <w:rFonts w:eastAsia="Calibri"/>
          <w:i/>
          <w:sz w:val="24"/>
          <w:szCs w:val="24"/>
          <w:shd w:val="clear" w:color="auto" w:fill="FFFFFF"/>
        </w:rPr>
        <w:t xml:space="preserve"> Ariile construite admise pentru compartimente de incendiu ale construcțiilor existente civile (publice), de producție și/sau depozitare, sunt precizate diferențiat în prezenta anexă, corespunzător nivelului de stabilitate la incendiu și destinației construcției respective, conform precizărilor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_Ref5126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145</w:t>
      </w:r>
      <w:r>
        <w:rPr>
          <w:rFonts w:eastAsia="Calibri"/>
          <w:b/>
          <w:bCs/>
          <w:i/>
          <w:iCs/>
          <w:sz w:val="24"/>
          <w:szCs w:val="24"/>
          <w:shd w:val="clear" w:color="auto" w:fill="FFFFFF"/>
        </w:rPr>
        <w:fldChar w:fldCharType="end"/>
      </w:r>
      <w:r>
        <w:rPr>
          <w:rFonts w:eastAsia="Calibri"/>
          <w:i/>
          <w:sz w:val="24"/>
          <w:szCs w:val="24"/>
          <w:shd w:val="clear" w:color="auto" w:fill="FFFFFF"/>
        </w:rPr>
        <w:t>.</w:t>
      </w:r>
    </w:p>
    <w:p w14:paraId="26E67110" w14:textId="77777777" w:rsidR="001C08A5" w:rsidRDefault="00000000">
      <w:pPr>
        <w:pStyle w:val="Heading3"/>
        <w:rPr>
          <w:i/>
          <w:iCs/>
          <w:sz w:val="24"/>
          <w:szCs w:val="24"/>
        </w:rPr>
      </w:pPr>
      <w:bookmarkStart w:id="10427" w:name="_Toc25456"/>
      <w:bookmarkStart w:id="10428" w:name="_Toc162355524"/>
      <w:bookmarkStart w:id="10429" w:name="_Toc9521"/>
      <w:bookmarkStart w:id="10430" w:name="_Toc26543"/>
      <w:bookmarkStart w:id="10431" w:name="_Toc31518"/>
      <w:bookmarkStart w:id="10432" w:name="_Toc4010"/>
      <w:r>
        <w:rPr>
          <w:i/>
          <w:iCs/>
          <w:sz w:val="24"/>
          <w:szCs w:val="24"/>
        </w:rPr>
        <w:t>A.10. 2.3. LIMITAREA PROPAGĂRII INCENDIILOR</w:t>
      </w:r>
      <w:bookmarkEnd w:id="10427"/>
      <w:bookmarkEnd w:id="10428"/>
      <w:bookmarkEnd w:id="10429"/>
      <w:bookmarkEnd w:id="10430"/>
      <w:bookmarkEnd w:id="10431"/>
      <w:bookmarkEnd w:id="10432"/>
    </w:p>
    <w:p w14:paraId="718C36D8" w14:textId="77777777" w:rsidR="001C08A5" w:rsidRDefault="00000000">
      <w:pPr>
        <w:pStyle w:val="Heading4"/>
        <w:rPr>
          <w:sz w:val="24"/>
          <w:szCs w:val="24"/>
        </w:rPr>
      </w:pPr>
      <w:bookmarkStart w:id="10433" w:name="_Toc28133"/>
      <w:bookmarkStart w:id="10434" w:name="_Toc13520"/>
      <w:bookmarkStart w:id="10435" w:name="_Toc162355525"/>
      <w:bookmarkStart w:id="10436" w:name="_Toc30462"/>
      <w:bookmarkStart w:id="10437" w:name="_Toc28357"/>
      <w:bookmarkStart w:id="10438" w:name="_Toc4172"/>
      <w:r>
        <w:rPr>
          <w:sz w:val="24"/>
          <w:szCs w:val="24"/>
        </w:rPr>
        <w:t>Dispoziții generale</w:t>
      </w:r>
      <w:bookmarkEnd w:id="10433"/>
      <w:bookmarkEnd w:id="10434"/>
      <w:bookmarkEnd w:id="10435"/>
      <w:bookmarkEnd w:id="10436"/>
      <w:bookmarkEnd w:id="10437"/>
      <w:bookmarkEnd w:id="10438"/>
    </w:p>
    <w:p w14:paraId="2B20F9F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2.3.1.</w:t>
      </w:r>
      <w:r>
        <w:rPr>
          <w:rFonts w:eastAsia="Calibri"/>
          <w:i/>
          <w:sz w:val="24"/>
          <w:szCs w:val="24"/>
          <w:shd w:val="clear" w:color="auto" w:fill="FFFFFF"/>
        </w:rPr>
        <w:t> Elementele de construcții, pereți și planșee utilizate pentru limitarea propagării incendiilor și a efectelor acestora, precum și a exploziilor, sunt de tipul:</w:t>
      </w:r>
    </w:p>
    <w:p w14:paraId="2B22A8E3"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antifoc (</w:t>
      </w:r>
      <w:r>
        <w:rPr>
          <w:rFonts w:eastAsia="Calibri"/>
          <w:b/>
          <w:bCs/>
          <w:i/>
          <w:sz w:val="24"/>
          <w:szCs w:val="24"/>
          <w:shd w:val="clear" w:color="auto" w:fill="FFFFFF"/>
          <w:lang w:eastAsia="zh-CN" w:bidi="ar"/>
        </w:rPr>
        <w:t xml:space="preserve">REI </w:t>
      </w:r>
      <w:r>
        <w:rPr>
          <w:rFonts w:eastAsia="Calibri"/>
          <w:i/>
          <w:sz w:val="24"/>
          <w:szCs w:val="24"/>
          <w:shd w:val="clear" w:color="auto" w:fill="FFFFFF"/>
          <w:lang w:eastAsia="zh-CN" w:bidi="ar"/>
        </w:rPr>
        <w:t>sau</w:t>
      </w:r>
      <w:r>
        <w:rPr>
          <w:rFonts w:eastAsia="Calibri"/>
          <w:b/>
          <w:bCs/>
          <w:i/>
          <w:sz w:val="24"/>
          <w:szCs w:val="24"/>
          <w:shd w:val="clear" w:color="auto" w:fill="FFFFFF"/>
          <w:lang w:eastAsia="zh-CN" w:bidi="ar"/>
        </w:rPr>
        <w:t xml:space="preserve"> EI-M</w:t>
      </w:r>
      <w:r>
        <w:rPr>
          <w:rFonts w:eastAsia="Calibri"/>
          <w:i/>
          <w:sz w:val="24"/>
          <w:szCs w:val="24"/>
          <w:shd w:val="clear" w:color="auto" w:fill="FFFFFF"/>
          <w:lang w:val="en-US" w:eastAsia="zh-CN" w:bidi="ar"/>
        </w:rPr>
        <w:t>);</w:t>
      </w:r>
    </w:p>
    <w:p w14:paraId="6BB5E7BA"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rezistente la foc (</w:t>
      </w:r>
      <w:r>
        <w:rPr>
          <w:rFonts w:eastAsia="Calibri"/>
          <w:b/>
          <w:bCs/>
          <w:i/>
          <w:sz w:val="24"/>
          <w:szCs w:val="24"/>
          <w:shd w:val="clear" w:color="auto" w:fill="FFFFFF"/>
          <w:lang w:val="en-US" w:eastAsia="zh-CN" w:bidi="ar"/>
        </w:rPr>
        <w:t>REI</w:t>
      </w:r>
      <w:r>
        <w:rPr>
          <w:rFonts w:eastAsia="Calibri"/>
          <w:i/>
          <w:sz w:val="24"/>
          <w:szCs w:val="24"/>
          <w:shd w:val="clear" w:color="auto" w:fill="FFFFFF"/>
          <w:lang w:val="en-US" w:eastAsia="zh-CN" w:bidi="ar"/>
        </w:rPr>
        <w:t xml:space="preserve"> sau </w:t>
      </w:r>
      <w:r>
        <w:rPr>
          <w:rFonts w:eastAsia="Calibri"/>
          <w:b/>
          <w:bCs/>
          <w:i/>
          <w:sz w:val="24"/>
          <w:szCs w:val="24"/>
          <w:shd w:val="clear" w:color="auto" w:fill="FFFFFF"/>
          <w:lang w:val="en-US" w:eastAsia="zh-CN" w:bidi="ar"/>
        </w:rPr>
        <w:t>EI</w:t>
      </w:r>
      <w:r>
        <w:rPr>
          <w:rFonts w:eastAsia="Calibri"/>
          <w:i/>
          <w:sz w:val="24"/>
          <w:szCs w:val="24"/>
          <w:shd w:val="clear" w:color="auto" w:fill="FFFFFF"/>
          <w:lang w:val="en-US" w:eastAsia="zh-CN" w:bidi="ar"/>
        </w:rPr>
        <w:t>);</w:t>
      </w:r>
    </w:p>
    <w:p w14:paraId="3C87AD8D"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rezistente la explozie (</w:t>
      </w:r>
      <w:r>
        <w:rPr>
          <w:rFonts w:eastAsia="Calibri"/>
          <w:b/>
          <w:bCs/>
          <w:i/>
          <w:sz w:val="24"/>
          <w:szCs w:val="24"/>
          <w:shd w:val="clear" w:color="auto" w:fill="FFFFFF"/>
          <w:lang w:val="en-US" w:eastAsia="zh-CN" w:bidi="ar"/>
        </w:rPr>
        <w:t>RE</w:t>
      </w:r>
      <w:r>
        <w:rPr>
          <w:rFonts w:eastAsia="Calibri"/>
          <w:b/>
          <w:bCs/>
          <w:i/>
          <w:sz w:val="24"/>
          <w:szCs w:val="24"/>
          <w:shd w:val="clear" w:color="auto" w:fill="FFFFFF"/>
          <w:lang w:eastAsia="zh-CN" w:bidi="ar"/>
        </w:rPr>
        <w:t>I</w:t>
      </w:r>
      <w:r>
        <w:rPr>
          <w:rFonts w:eastAsia="Calibri"/>
          <w:i/>
          <w:sz w:val="24"/>
          <w:szCs w:val="24"/>
          <w:shd w:val="clear" w:color="auto" w:fill="FFFFFF"/>
          <w:lang w:val="en-US" w:eastAsia="zh-CN" w:bidi="ar"/>
        </w:rPr>
        <w:t>);</w:t>
      </w:r>
    </w:p>
    <w:p w14:paraId="3C19D21D"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etanșe la foc (</w:t>
      </w:r>
      <w:r>
        <w:rPr>
          <w:rFonts w:eastAsia="Calibri"/>
          <w:b/>
          <w:bCs/>
          <w:i/>
          <w:sz w:val="24"/>
          <w:szCs w:val="24"/>
          <w:shd w:val="clear" w:color="auto" w:fill="FFFFFF"/>
          <w:lang w:val="en-US" w:eastAsia="zh-CN" w:bidi="ar"/>
        </w:rPr>
        <w:t>E</w:t>
      </w:r>
      <w:r>
        <w:rPr>
          <w:rFonts w:eastAsia="Calibri"/>
          <w:i/>
          <w:sz w:val="24"/>
          <w:szCs w:val="24"/>
          <w:shd w:val="clear" w:color="auto" w:fill="FFFFFF"/>
          <w:lang w:val="en-US" w:eastAsia="zh-CN" w:bidi="ar"/>
        </w:rPr>
        <w:t>)</w:t>
      </w:r>
    </w:p>
    <w:p w14:paraId="459E7ED9"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Protecția golurilor funcționale din aceste elemente de construcții, se realizează, după caz, cu uși, obloane, cortine, încăperi tampon sau tamburi deschiși, alcătuite și dimensionate conform prevederilor normativului.</w:t>
      </w:r>
    </w:p>
    <w:p w14:paraId="6C751C47"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2.3.2.</w:t>
      </w:r>
      <w:r>
        <w:rPr>
          <w:rFonts w:eastAsia="Calibri"/>
          <w:i/>
          <w:sz w:val="24"/>
          <w:szCs w:val="24"/>
          <w:shd w:val="clear" w:color="auto" w:fill="FFFFFF"/>
        </w:rPr>
        <w:t xml:space="preserve"> În funcție de densitatea cea mai mare a sarcinii termice din spațiile pe care le desparte, de regulă, pereții la construcțiile existente trebuie să reziste la foc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_Ref6109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146</w:t>
      </w:r>
      <w:r>
        <w:rPr>
          <w:rFonts w:eastAsia="Calibri"/>
          <w:b/>
          <w:bCs/>
          <w:i/>
          <w:iCs/>
          <w:sz w:val="24"/>
          <w:szCs w:val="24"/>
          <w:shd w:val="clear" w:color="auto" w:fill="FFFFFF"/>
        </w:rPr>
        <w:fldChar w:fldCharType="end"/>
      </w:r>
      <w:r>
        <w:rPr>
          <w:rFonts w:eastAsia="Calibri"/>
          <w:i/>
          <w:sz w:val="24"/>
          <w:szCs w:val="24"/>
          <w:shd w:val="clear" w:color="auto" w:fill="FFFFFF"/>
        </w:rPr>
        <w:t>, dacă prevederile anexei nu stabilesc alte condiții.</w:t>
      </w:r>
    </w:p>
    <w:p w14:paraId="63CABAA4" w14:textId="77777777" w:rsidR="001C08A5" w:rsidRDefault="00000000">
      <w:pPr>
        <w:pStyle w:val="Caption"/>
        <w:shd w:val="clear" w:color="auto" w:fill="FFFFFF"/>
        <w:spacing w:before="0" w:after="150"/>
        <w:jc w:val="both"/>
        <w:rPr>
          <w:rFonts w:eastAsia="Calibri" w:cs="Times New Roman"/>
          <w:bCs/>
        </w:rPr>
      </w:pPr>
      <w:bookmarkStart w:id="10439" w:name="_Ref6109"/>
      <w:bookmarkStart w:id="10440" w:name="_Ref8036"/>
      <w:bookmarkStart w:id="10441" w:name="_Toc162360196"/>
      <w:r>
        <w:t xml:space="preserve">Tabelul </w:t>
      </w:r>
      <w:r>
        <w:fldChar w:fldCharType="begin"/>
      </w:r>
      <w:r>
        <w:instrText xml:space="preserve"> SEQ Tabelul \* ARABIC </w:instrText>
      </w:r>
      <w:r>
        <w:fldChar w:fldCharType="separate"/>
      </w:r>
      <w:r>
        <w:t>146</w:t>
      </w:r>
      <w:r>
        <w:fldChar w:fldCharType="end"/>
      </w:r>
      <w:bookmarkStart w:id="10442" w:name="_Toc5505"/>
      <w:bookmarkStart w:id="10443" w:name="_Toc10236"/>
      <w:bookmarkStart w:id="10444" w:name="_Toc27448"/>
      <w:bookmarkStart w:id="10445" w:name="_Toc5464"/>
      <w:bookmarkStart w:id="10446" w:name="_Toc20182"/>
      <w:bookmarkStart w:id="10447" w:name="_Toc8683"/>
      <w:bookmarkStart w:id="10448" w:name="_Toc7329"/>
      <w:bookmarkStart w:id="10449" w:name="_Toc13630"/>
      <w:bookmarkStart w:id="10450" w:name="_Toc10040"/>
      <w:bookmarkStart w:id="10451" w:name="_Toc8018"/>
      <w:bookmarkStart w:id="10452" w:name="_Toc12868"/>
      <w:bookmarkEnd w:id="10439"/>
      <w:r>
        <w:t xml:space="preserve">: </w:t>
      </w:r>
      <w:r>
        <w:rPr>
          <w:rFonts w:eastAsia="Calibri"/>
          <w:bCs/>
          <w:shd w:val="clear" w:color="auto" w:fill="FFFFFF"/>
        </w:rPr>
        <w:t>Rezistența la foc a pereților la construcțiile existente</w:t>
      </w:r>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661"/>
        <w:gridCol w:w="4966"/>
      </w:tblGrid>
      <w:tr w:rsidR="001C08A5" w14:paraId="4F670DB9" w14:textId="77777777">
        <w:trPr>
          <w:trHeight w:val="90"/>
          <w:jc w:val="center"/>
        </w:trPr>
        <w:tc>
          <w:tcPr>
            <w:tcW w:w="2421" w:type="pct"/>
            <w:tcMar>
              <w:top w:w="0" w:type="dxa"/>
              <w:left w:w="0" w:type="dxa"/>
              <w:bottom w:w="0" w:type="dxa"/>
              <w:right w:w="0" w:type="dxa"/>
            </w:tcMar>
            <w:vAlign w:val="center"/>
          </w:tcPr>
          <w:p w14:paraId="73670050" w14:textId="77777777" w:rsidR="001C08A5" w:rsidRDefault="00000000">
            <w:pPr>
              <w:jc w:val="center"/>
              <w:rPr>
                <w:b/>
                <w:bCs/>
                <w:i/>
                <w:sz w:val="22"/>
                <w:szCs w:val="22"/>
              </w:rPr>
            </w:pPr>
            <w:r>
              <w:rPr>
                <w:b/>
                <w:bCs/>
                <w:i/>
                <w:sz w:val="22"/>
                <w:szCs w:val="22"/>
                <w:lang w:val="en-US" w:eastAsia="zh-CN" w:bidi="ar"/>
              </w:rPr>
              <w:t>Densitatea sarcinii termice (q)</w:t>
            </w:r>
            <w:r>
              <w:rPr>
                <w:b/>
                <w:bCs/>
                <w:i/>
                <w:sz w:val="22"/>
                <w:szCs w:val="22"/>
                <w:lang w:eastAsia="zh-CN" w:bidi="ar"/>
              </w:rPr>
              <w:t xml:space="preserve"> - </w:t>
            </w:r>
            <w:r>
              <w:rPr>
                <w:b/>
                <w:bCs/>
                <w:i/>
                <w:sz w:val="22"/>
                <w:szCs w:val="22"/>
                <w:lang w:val="en-US" w:eastAsia="zh-CN" w:bidi="ar"/>
              </w:rPr>
              <w:t>(MJ/m</w:t>
            </w:r>
            <w:r>
              <w:rPr>
                <w:b/>
                <w:bCs/>
                <w:i/>
                <w:sz w:val="22"/>
                <w:szCs w:val="22"/>
                <w:vertAlign w:val="superscript"/>
                <w:lang w:val="en-US" w:eastAsia="zh-CN" w:bidi="ar"/>
              </w:rPr>
              <w:t>2</w:t>
            </w:r>
            <w:r>
              <w:rPr>
                <w:b/>
                <w:bCs/>
                <w:i/>
                <w:sz w:val="22"/>
                <w:szCs w:val="22"/>
                <w:lang w:val="en-US" w:eastAsia="zh-CN" w:bidi="ar"/>
              </w:rPr>
              <w:t>)</w:t>
            </w:r>
          </w:p>
        </w:tc>
        <w:tc>
          <w:tcPr>
            <w:tcW w:w="2578" w:type="pct"/>
            <w:tcMar>
              <w:top w:w="0" w:type="dxa"/>
              <w:left w:w="0" w:type="dxa"/>
              <w:bottom w:w="0" w:type="dxa"/>
              <w:right w:w="0" w:type="dxa"/>
            </w:tcMar>
            <w:vAlign w:val="center"/>
          </w:tcPr>
          <w:p w14:paraId="5183FBFE" w14:textId="77777777" w:rsidR="001C08A5" w:rsidRDefault="00000000">
            <w:pPr>
              <w:jc w:val="center"/>
              <w:rPr>
                <w:b/>
                <w:bCs/>
                <w:i/>
                <w:sz w:val="22"/>
                <w:szCs w:val="22"/>
              </w:rPr>
            </w:pPr>
            <w:r>
              <w:rPr>
                <w:b/>
                <w:bCs/>
                <w:i/>
                <w:sz w:val="22"/>
                <w:szCs w:val="22"/>
                <w:lang w:val="en-US" w:eastAsia="zh-CN" w:bidi="ar"/>
              </w:rPr>
              <w:t>Rezistența la foc minimă admisă</w:t>
            </w:r>
          </w:p>
        </w:tc>
      </w:tr>
      <w:tr w:rsidR="001C08A5" w14:paraId="0866C25A" w14:textId="77777777">
        <w:trPr>
          <w:trHeight w:val="156"/>
          <w:jc w:val="center"/>
        </w:trPr>
        <w:tc>
          <w:tcPr>
            <w:tcW w:w="2421" w:type="pct"/>
            <w:tcMar>
              <w:top w:w="0" w:type="dxa"/>
              <w:left w:w="0" w:type="dxa"/>
              <w:bottom w:w="0" w:type="dxa"/>
              <w:right w:w="0" w:type="dxa"/>
            </w:tcMar>
            <w:vAlign w:val="center"/>
          </w:tcPr>
          <w:p w14:paraId="3F8652DD" w14:textId="77777777" w:rsidR="001C08A5" w:rsidRDefault="00000000">
            <w:pPr>
              <w:jc w:val="center"/>
              <w:rPr>
                <w:b/>
                <w:bCs/>
                <w:i/>
                <w:sz w:val="22"/>
                <w:szCs w:val="22"/>
              </w:rPr>
            </w:pPr>
            <w:r>
              <w:rPr>
                <w:b/>
                <w:bCs/>
                <w:i/>
                <w:sz w:val="22"/>
                <w:szCs w:val="22"/>
                <w:lang w:val="en-US" w:eastAsia="zh-CN" w:bidi="ar"/>
              </w:rPr>
              <w:t>&lt; 210</w:t>
            </w:r>
          </w:p>
        </w:tc>
        <w:tc>
          <w:tcPr>
            <w:tcW w:w="2578" w:type="pct"/>
            <w:tcMar>
              <w:top w:w="0" w:type="dxa"/>
              <w:left w:w="0" w:type="dxa"/>
              <w:bottom w:w="0" w:type="dxa"/>
              <w:right w:w="0" w:type="dxa"/>
            </w:tcMar>
            <w:vAlign w:val="center"/>
          </w:tcPr>
          <w:p w14:paraId="1F25CE44" w14:textId="77777777" w:rsidR="001C08A5" w:rsidRDefault="00000000">
            <w:pPr>
              <w:jc w:val="center"/>
              <w:rPr>
                <w:b/>
                <w:bCs/>
                <w:i/>
                <w:sz w:val="22"/>
                <w:szCs w:val="22"/>
              </w:rPr>
            </w:pPr>
            <w:r>
              <w:rPr>
                <w:b/>
                <w:bCs/>
                <w:i/>
                <w:sz w:val="22"/>
                <w:szCs w:val="22"/>
              </w:rPr>
              <w:t>EI/REI 30</w:t>
            </w:r>
          </w:p>
        </w:tc>
      </w:tr>
      <w:tr w:rsidR="001C08A5" w14:paraId="450AF49A" w14:textId="77777777">
        <w:trPr>
          <w:trHeight w:val="142"/>
          <w:jc w:val="center"/>
        </w:trPr>
        <w:tc>
          <w:tcPr>
            <w:tcW w:w="2421" w:type="pct"/>
            <w:tcMar>
              <w:top w:w="0" w:type="dxa"/>
              <w:left w:w="0" w:type="dxa"/>
              <w:bottom w:w="0" w:type="dxa"/>
              <w:right w:w="0" w:type="dxa"/>
            </w:tcMar>
            <w:vAlign w:val="center"/>
          </w:tcPr>
          <w:p w14:paraId="693A9A49" w14:textId="77777777" w:rsidR="001C08A5" w:rsidRDefault="00000000">
            <w:pPr>
              <w:jc w:val="center"/>
              <w:rPr>
                <w:b/>
                <w:bCs/>
                <w:i/>
                <w:sz w:val="22"/>
                <w:szCs w:val="22"/>
              </w:rPr>
            </w:pPr>
            <w:r>
              <w:rPr>
                <w:b/>
                <w:bCs/>
                <w:i/>
                <w:sz w:val="22"/>
                <w:szCs w:val="22"/>
                <w:lang w:val="en-US" w:eastAsia="zh-CN" w:bidi="ar"/>
              </w:rPr>
              <w:t>210 ÷ 420</w:t>
            </w:r>
          </w:p>
        </w:tc>
        <w:tc>
          <w:tcPr>
            <w:tcW w:w="2578" w:type="pct"/>
            <w:tcMar>
              <w:top w:w="0" w:type="dxa"/>
              <w:left w:w="0" w:type="dxa"/>
              <w:bottom w:w="0" w:type="dxa"/>
              <w:right w:w="0" w:type="dxa"/>
            </w:tcMar>
            <w:vAlign w:val="center"/>
          </w:tcPr>
          <w:p w14:paraId="083DC714" w14:textId="77777777" w:rsidR="001C08A5" w:rsidRDefault="00000000">
            <w:pPr>
              <w:jc w:val="center"/>
              <w:rPr>
                <w:b/>
                <w:bCs/>
                <w:i/>
                <w:sz w:val="22"/>
                <w:szCs w:val="22"/>
              </w:rPr>
            </w:pPr>
            <w:r>
              <w:rPr>
                <w:b/>
                <w:bCs/>
                <w:i/>
                <w:sz w:val="22"/>
                <w:szCs w:val="22"/>
              </w:rPr>
              <w:t>EI/REI 60</w:t>
            </w:r>
          </w:p>
        </w:tc>
      </w:tr>
      <w:tr w:rsidR="001C08A5" w14:paraId="3EDC6793" w14:textId="77777777">
        <w:trPr>
          <w:trHeight w:val="156"/>
          <w:jc w:val="center"/>
        </w:trPr>
        <w:tc>
          <w:tcPr>
            <w:tcW w:w="2421" w:type="pct"/>
            <w:tcMar>
              <w:top w:w="0" w:type="dxa"/>
              <w:left w:w="0" w:type="dxa"/>
              <w:bottom w:w="0" w:type="dxa"/>
              <w:right w:w="0" w:type="dxa"/>
            </w:tcMar>
            <w:vAlign w:val="center"/>
          </w:tcPr>
          <w:p w14:paraId="50568379" w14:textId="77777777" w:rsidR="001C08A5" w:rsidRDefault="00000000">
            <w:pPr>
              <w:jc w:val="center"/>
              <w:rPr>
                <w:b/>
                <w:bCs/>
                <w:i/>
                <w:sz w:val="22"/>
                <w:szCs w:val="22"/>
              </w:rPr>
            </w:pPr>
            <w:r>
              <w:rPr>
                <w:b/>
                <w:bCs/>
                <w:i/>
                <w:sz w:val="22"/>
                <w:szCs w:val="22"/>
                <w:lang w:val="en-US" w:eastAsia="zh-CN" w:bidi="ar"/>
              </w:rPr>
              <w:t>421 ÷ 630</w:t>
            </w:r>
          </w:p>
        </w:tc>
        <w:tc>
          <w:tcPr>
            <w:tcW w:w="2578" w:type="pct"/>
            <w:tcMar>
              <w:top w:w="0" w:type="dxa"/>
              <w:left w:w="0" w:type="dxa"/>
              <w:bottom w:w="0" w:type="dxa"/>
              <w:right w:w="0" w:type="dxa"/>
            </w:tcMar>
            <w:vAlign w:val="center"/>
          </w:tcPr>
          <w:p w14:paraId="21FE9665" w14:textId="77777777" w:rsidR="001C08A5" w:rsidRDefault="00000000">
            <w:pPr>
              <w:jc w:val="center"/>
              <w:rPr>
                <w:b/>
                <w:bCs/>
                <w:i/>
                <w:sz w:val="22"/>
                <w:szCs w:val="22"/>
              </w:rPr>
            </w:pPr>
            <w:r>
              <w:rPr>
                <w:b/>
                <w:bCs/>
                <w:i/>
                <w:sz w:val="22"/>
                <w:szCs w:val="22"/>
              </w:rPr>
              <w:t>EI/REI 120</w:t>
            </w:r>
          </w:p>
        </w:tc>
      </w:tr>
      <w:tr w:rsidR="001C08A5" w14:paraId="6BE29CF4" w14:textId="77777777">
        <w:trPr>
          <w:trHeight w:val="155"/>
          <w:jc w:val="center"/>
        </w:trPr>
        <w:tc>
          <w:tcPr>
            <w:tcW w:w="2421" w:type="pct"/>
            <w:tcMar>
              <w:top w:w="0" w:type="dxa"/>
              <w:left w:w="0" w:type="dxa"/>
              <w:bottom w:w="0" w:type="dxa"/>
              <w:right w:w="0" w:type="dxa"/>
            </w:tcMar>
            <w:vAlign w:val="center"/>
          </w:tcPr>
          <w:p w14:paraId="287E45CD" w14:textId="77777777" w:rsidR="001C08A5" w:rsidRDefault="00000000">
            <w:pPr>
              <w:jc w:val="center"/>
              <w:rPr>
                <w:b/>
                <w:bCs/>
                <w:i/>
                <w:sz w:val="22"/>
                <w:szCs w:val="22"/>
              </w:rPr>
            </w:pPr>
            <w:r>
              <w:rPr>
                <w:b/>
                <w:bCs/>
                <w:i/>
                <w:sz w:val="22"/>
                <w:szCs w:val="22"/>
                <w:lang w:val="en-US" w:eastAsia="zh-CN" w:bidi="ar"/>
              </w:rPr>
              <w:t>631 ÷ 840</w:t>
            </w:r>
          </w:p>
        </w:tc>
        <w:tc>
          <w:tcPr>
            <w:tcW w:w="2578" w:type="pct"/>
            <w:tcMar>
              <w:top w:w="0" w:type="dxa"/>
              <w:left w:w="0" w:type="dxa"/>
              <w:bottom w:w="0" w:type="dxa"/>
              <w:right w:w="0" w:type="dxa"/>
            </w:tcMar>
            <w:vAlign w:val="center"/>
          </w:tcPr>
          <w:p w14:paraId="0F488352" w14:textId="77777777" w:rsidR="001C08A5" w:rsidRDefault="00000000">
            <w:pPr>
              <w:jc w:val="center"/>
              <w:rPr>
                <w:b/>
                <w:bCs/>
                <w:i/>
                <w:sz w:val="22"/>
                <w:szCs w:val="22"/>
              </w:rPr>
            </w:pPr>
            <w:r>
              <w:rPr>
                <w:b/>
                <w:bCs/>
                <w:i/>
                <w:sz w:val="22"/>
                <w:szCs w:val="22"/>
              </w:rPr>
              <w:t>EI/REI 180</w:t>
            </w:r>
          </w:p>
        </w:tc>
      </w:tr>
      <w:tr w:rsidR="001C08A5" w14:paraId="58155844" w14:textId="77777777">
        <w:trPr>
          <w:trHeight w:val="128"/>
          <w:jc w:val="center"/>
        </w:trPr>
        <w:tc>
          <w:tcPr>
            <w:tcW w:w="2421" w:type="pct"/>
            <w:tcMar>
              <w:top w:w="0" w:type="dxa"/>
              <w:left w:w="0" w:type="dxa"/>
              <w:bottom w:w="0" w:type="dxa"/>
              <w:right w:w="0" w:type="dxa"/>
            </w:tcMar>
            <w:vAlign w:val="center"/>
          </w:tcPr>
          <w:p w14:paraId="6FAC375F" w14:textId="77777777" w:rsidR="001C08A5" w:rsidRDefault="00000000">
            <w:pPr>
              <w:jc w:val="center"/>
              <w:rPr>
                <w:b/>
                <w:bCs/>
                <w:i/>
                <w:sz w:val="22"/>
                <w:szCs w:val="22"/>
              </w:rPr>
            </w:pPr>
            <w:r>
              <w:rPr>
                <w:b/>
                <w:bCs/>
                <w:i/>
                <w:sz w:val="22"/>
                <w:szCs w:val="22"/>
                <w:lang w:val="en-US" w:eastAsia="zh-CN" w:bidi="ar"/>
              </w:rPr>
              <w:t>841 ÷ 1260</w:t>
            </w:r>
          </w:p>
        </w:tc>
        <w:tc>
          <w:tcPr>
            <w:tcW w:w="2578" w:type="pct"/>
            <w:tcMar>
              <w:top w:w="0" w:type="dxa"/>
              <w:left w:w="0" w:type="dxa"/>
              <w:bottom w:w="0" w:type="dxa"/>
              <w:right w:w="0" w:type="dxa"/>
            </w:tcMar>
            <w:vAlign w:val="center"/>
          </w:tcPr>
          <w:p w14:paraId="3CD525BB" w14:textId="77777777" w:rsidR="001C08A5" w:rsidRDefault="00000000">
            <w:pPr>
              <w:jc w:val="center"/>
              <w:rPr>
                <w:b/>
                <w:bCs/>
                <w:i/>
                <w:sz w:val="22"/>
                <w:szCs w:val="22"/>
              </w:rPr>
            </w:pPr>
            <w:r>
              <w:rPr>
                <w:b/>
                <w:bCs/>
                <w:i/>
                <w:sz w:val="22"/>
                <w:szCs w:val="22"/>
              </w:rPr>
              <w:t>EI/REI 240</w:t>
            </w:r>
            <w:r>
              <w:rPr>
                <w:b/>
                <w:bCs/>
                <w:i/>
                <w:sz w:val="22"/>
                <w:szCs w:val="22"/>
                <w:lang w:val="en-US" w:eastAsia="zh-CN" w:bidi="ar"/>
              </w:rPr>
              <w:t xml:space="preserve"> (</w:t>
            </w:r>
            <w:r>
              <w:rPr>
                <w:b/>
                <w:bCs/>
                <w:i/>
                <w:sz w:val="22"/>
                <w:szCs w:val="22"/>
              </w:rPr>
              <w:t>EI/REI 180</w:t>
            </w:r>
            <w:r>
              <w:rPr>
                <w:b/>
                <w:bCs/>
                <w:i/>
                <w:sz w:val="22"/>
                <w:szCs w:val="22"/>
                <w:lang w:val="en-US" w:eastAsia="zh-CN" w:bidi="ar"/>
              </w:rPr>
              <w:t>) *</w:t>
            </w:r>
          </w:p>
        </w:tc>
      </w:tr>
      <w:tr w:rsidR="001C08A5" w14:paraId="5AB3D3BE" w14:textId="77777777">
        <w:trPr>
          <w:trHeight w:val="155"/>
          <w:jc w:val="center"/>
        </w:trPr>
        <w:tc>
          <w:tcPr>
            <w:tcW w:w="2421" w:type="pct"/>
            <w:tcMar>
              <w:top w:w="0" w:type="dxa"/>
              <w:left w:w="0" w:type="dxa"/>
              <w:bottom w:w="0" w:type="dxa"/>
              <w:right w:w="0" w:type="dxa"/>
            </w:tcMar>
            <w:vAlign w:val="center"/>
          </w:tcPr>
          <w:p w14:paraId="45E800AB" w14:textId="77777777" w:rsidR="001C08A5" w:rsidRDefault="00000000">
            <w:pPr>
              <w:jc w:val="center"/>
              <w:rPr>
                <w:b/>
                <w:bCs/>
                <w:i/>
                <w:sz w:val="22"/>
                <w:szCs w:val="22"/>
              </w:rPr>
            </w:pPr>
            <w:r>
              <w:rPr>
                <w:b/>
                <w:bCs/>
                <w:i/>
                <w:sz w:val="22"/>
                <w:szCs w:val="22"/>
                <w:lang w:val="en-US" w:eastAsia="zh-CN" w:bidi="ar"/>
              </w:rPr>
              <w:t>1261 ÷ 1680</w:t>
            </w:r>
          </w:p>
        </w:tc>
        <w:tc>
          <w:tcPr>
            <w:tcW w:w="2578" w:type="pct"/>
            <w:tcMar>
              <w:top w:w="0" w:type="dxa"/>
              <w:left w:w="0" w:type="dxa"/>
              <w:bottom w:w="0" w:type="dxa"/>
              <w:right w:w="0" w:type="dxa"/>
            </w:tcMar>
            <w:vAlign w:val="center"/>
          </w:tcPr>
          <w:p w14:paraId="706E8366" w14:textId="77777777" w:rsidR="001C08A5" w:rsidRDefault="00000000">
            <w:pPr>
              <w:jc w:val="center"/>
              <w:rPr>
                <w:b/>
                <w:bCs/>
                <w:i/>
                <w:sz w:val="22"/>
                <w:szCs w:val="22"/>
              </w:rPr>
            </w:pPr>
            <w:r>
              <w:rPr>
                <w:b/>
                <w:bCs/>
                <w:i/>
                <w:sz w:val="22"/>
                <w:szCs w:val="22"/>
                <w:lang w:val="en-US" w:eastAsia="zh-CN" w:bidi="ar"/>
              </w:rPr>
              <w:t xml:space="preserve"> (</w:t>
            </w:r>
            <w:r>
              <w:rPr>
                <w:b/>
                <w:bCs/>
                <w:i/>
                <w:sz w:val="22"/>
                <w:szCs w:val="22"/>
              </w:rPr>
              <w:t>EI/REI 180</w:t>
            </w:r>
            <w:r>
              <w:rPr>
                <w:b/>
                <w:bCs/>
                <w:i/>
                <w:sz w:val="22"/>
                <w:szCs w:val="22"/>
                <w:lang w:val="en-US" w:eastAsia="zh-CN" w:bidi="ar"/>
              </w:rPr>
              <w:t>) *</w:t>
            </w:r>
          </w:p>
        </w:tc>
      </w:tr>
      <w:tr w:rsidR="001C08A5" w14:paraId="6A81DB06" w14:textId="77777777">
        <w:trPr>
          <w:trHeight w:val="169"/>
          <w:jc w:val="center"/>
        </w:trPr>
        <w:tc>
          <w:tcPr>
            <w:tcW w:w="2421" w:type="pct"/>
            <w:tcMar>
              <w:top w:w="0" w:type="dxa"/>
              <w:left w:w="0" w:type="dxa"/>
              <w:bottom w:w="0" w:type="dxa"/>
              <w:right w:w="0" w:type="dxa"/>
            </w:tcMar>
            <w:vAlign w:val="center"/>
          </w:tcPr>
          <w:p w14:paraId="3FCF0B3F" w14:textId="77777777" w:rsidR="001C08A5" w:rsidRDefault="00000000">
            <w:pPr>
              <w:jc w:val="center"/>
              <w:rPr>
                <w:b/>
                <w:bCs/>
                <w:i/>
                <w:sz w:val="22"/>
                <w:szCs w:val="22"/>
              </w:rPr>
            </w:pPr>
            <w:r>
              <w:rPr>
                <w:b/>
                <w:bCs/>
                <w:i/>
                <w:sz w:val="22"/>
                <w:szCs w:val="22"/>
                <w:lang w:val="en-US" w:eastAsia="zh-CN" w:bidi="ar"/>
              </w:rPr>
              <w:t>1681 ÷ 2940</w:t>
            </w:r>
          </w:p>
        </w:tc>
        <w:tc>
          <w:tcPr>
            <w:tcW w:w="2578" w:type="pct"/>
            <w:tcMar>
              <w:top w:w="0" w:type="dxa"/>
              <w:left w:w="0" w:type="dxa"/>
              <w:bottom w:w="0" w:type="dxa"/>
              <w:right w:w="0" w:type="dxa"/>
            </w:tcMar>
            <w:vAlign w:val="center"/>
          </w:tcPr>
          <w:p w14:paraId="04EF46F5" w14:textId="77777777" w:rsidR="001C08A5" w:rsidRDefault="00000000">
            <w:pPr>
              <w:jc w:val="center"/>
              <w:rPr>
                <w:b/>
                <w:bCs/>
                <w:i/>
                <w:sz w:val="22"/>
                <w:szCs w:val="22"/>
              </w:rPr>
            </w:pPr>
            <w:r>
              <w:rPr>
                <w:b/>
                <w:bCs/>
                <w:i/>
                <w:sz w:val="22"/>
                <w:szCs w:val="22"/>
                <w:lang w:val="en-US" w:eastAsia="zh-CN" w:bidi="ar"/>
              </w:rPr>
              <w:t xml:space="preserve"> (</w:t>
            </w:r>
            <w:r>
              <w:rPr>
                <w:b/>
                <w:bCs/>
                <w:i/>
                <w:sz w:val="22"/>
                <w:szCs w:val="22"/>
              </w:rPr>
              <w:t>EI/REI 180</w:t>
            </w:r>
            <w:r>
              <w:rPr>
                <w:b/>
                <w:bCs/>
                <w:i/>
                <w:sz w:val="22"/>
                <w:szCs w:val="22"/>
                <w:lang w:val="en-US" w:eastAsia="zh-CN" w:bidi="ar"/>
              </w:rPr>
              <w:t>) *</w:t>
            </w:r>
          </w:p>
        </w:tc>
      </w:tr>
      <w:tr w:rsidR="001C08A5" w14:paraId="7D5A34E5" w14:textId="77777777">
        <w:trPr>
          <w:trHeight w:val="213"/>
          <w:jc w:val="center"/>
        </w:trPr>
        <w:tc>
          <w:tcPr>
            <w:tcW w:w="2421" w:type="pct"/>
            <w:tcMar>
              <w:top w:w="0" w:type="dxa"/>
              <w:left w:w="0" w:type="dxa"/>
              <w:bottom w:w="0" w:type="dxa"/>
              <w:right w:w="0" w:type="dxa"/>
            </w:tcMar>
            <w:vAlign w:val="center"/>
          </w:tcPr>
          <w:p w14:paraId="12BC73F6" w14:textId="77777777" w:rsidR="001C08A5" w:rsidRDefault="00000000">
            <w:pPr>
              <w:jc w:val="center"/>
              <w:rPr>
                <w:b/>
                <w:bCs/>
                <w:i/>
                <w:sz w:val="22"/>
                <w:szCs w:val="22"/>
              </w:rPr>
            </w:pPr>
            <w:r>
              <w:rPr>
                <w:b/>
                <w:bCs/>
                <w:i/>
                <w:sz w:val="22"/>
                <w:szCs w:val="22"/>
                <w:lang w:val="en-US" w:eastAsia="zh-CN" w:bidi="ar"/>
              </w:rPr>
              <w:t>&gt; 2940</w:t>
            </w:r>
          </w:p>
        </w:tc>
        <w:tc>
          <w:tcPr>
            <w:tcW w:w="2578" w:type="pct"/>
            <w:tcMar>
              <w:top w:w="0" w:type="dxa"/>
              <w:left w:w="0" w:type="dxa"/>
              <w:bottom w:w="0" w:type="dxa"/>
              <w:right w:w="0" w:type="dxa"/>
            </w:tcMar>
            <w:vAlign w:val="center"/>
          </w:tcPr>
          <w:p w14:paraId="62B964BB" w14:textId="77777777" w:rsidR="001C08A5" w:rsidRDefault="00000000">
            <w:pPr>
              <w:jc w:val="center"/>
              <w:rPr>
                <w:b/>
                <w:bCs/>
                <w:i/>
                <w:sz w:val="22"/>
                <w:szCs w:val="22"/>
              </w:rPr>
            </w:pPr>
            <w:r>
              <w:rPr>
                <w:b/>
                <w:bCs/>
                <w:i/>
                <w:sz w:val="22"/>
                <w:szCs w:val="22"/>
                <w:lang w:val="en-US" w:eastAsia="zh-CN" w:bidi="ar"/>
              </w:rPr>
              <w:t xml:space="preserve"> (</w:t>
            </w:r>
            <w:r>
              <w:rPr>
                <w:b/>
                <w:bCs/>
                <w:i/>
                <w:sz w:val="22"/>
                <w:szCs w:val="22"/>
              </w:rPr>
              <w:t>EI/REI 180</w:t>
            </w:r>
            <w:r>
              <w:rPr>
                <w:b/>
                <w:bCs/>
                <w:i/>
                <w:sz w:val="22"/>
                <w:szCs w:val="22"/>
                <w:lang w:val="en-US" w:eastAsia="zh-CN" w:bidi="ar"/>
              </w:rPr>
              <w:t>) *</w:t>
            </w:r>
          </w:p>
        </w:tc>
      </w:tr>
    </w:tbl>
    <w:p w14:paraId="08AC22AA" w14:textId="77777777" w:rsidR="001C08A5" w:rsidRDefault="00000000">
      <w:pPr>
        <w:rPr>
          <w:i/>
          <w:sz w:val="22"/>
          <w:szCs w:val="22"/>
        </w:rPr>
      </w:pPr>
      <w:r>
        <w:rPr>
          <w:i/>
          <w:sz w:val="22"/>
          <w:szCs w:val="22"/>
        </w:rPr>
        <w:lastRenderedPageBreak/>
        <w:t>Notă:</w:t>
      </w:r>
    </w:p>
    <w:p w14:paraId="4EBA95C5" w14:textId="77777777" w:rsidR="001C08A5" w:rsidRDefault="00000000">
      <w:pPr>
        <w:rPr>
          <w:i/>
          <w:sz w:val="24"/>
          <w:szCs w:val="24"/>
        </w:rPr>
      </w:pPr>
      <w:r>
        <w:rPr>
          <w:i/>
          <w:sz w:val="22"/>
          <w:szCs w:val="22"/>
        </w:rPr>
        <w:t xml:space="preserve">*) Valoarea de </w:t>
      </w:r>
      <w:r>
        <w:rPr>
          <w:b/>
          <w:bCs/>
          <w:i/>
          <w:sz w:val="22"/>
          <w:szCs w:val="22"/>
        </w:rPr>
        <w:t>EI/REI 180</w:t>
      </w:r>
      <w:r>
        <w:rPr>
          <w:i/>
          <w:sz w:val="22"/>
          <w:szCs w:val="22"/>
        </w:rPr>
        <w:t xml:space="preserve"> (din paranteze) se aplică în toate cazurile în care se prevăd instalații automate de stingere a incendiilor.</w:t>
      </w:r>
    </w:p>
    <w:p w14:paraId="67108161" w14:textId="77777777" w:rsidR="001C08A5" w:rsidRDefault="00000000">
      <w:pPr>
        <w:pStyle w:val="Heading4"/>
        <w:rPr>
          <w:sz w:val="24"/>
          <w:szCs w:val="24"/>
        </w:rPr>
      </w:pPr>
      <w:bookmarkStart w:id="10453" w:name="_Toc24348"/>
      <w:bookmarkStart w:id="10454" w:name="_Toc17987"/>
      <w:bookmarkStart w:id="10455" w:name="_Toc10870"/>
      <w:bookmarkStart w:id="10456" w:name="_Toc162355526"/>
      <w:bookmarkStart w:id="10457" w:name="_Toc315"/>
      <w:bookmarkStart w:id="10458" w:name="_Toc30466"/>
      <w:r>
        <w:rPr>
          <w:sz w:val="24"/>
          <w:szCs w:val="24"/>
        </w:rPr>
        <w:t>Elemente rezistente la foc pentru separarea compartimentelor de incendiu (antifoc) existente şi protecţia golurilor funcţionale de trecere</w:t>
      </w:r>
      <w:bookmarkEnd w:id="10453"/>
      <w:bookmarkEnd w:id="10454"/>
      <w:bookmarkEnd w:id="10455"/>
      <w:bookmarkEnd w:id="10456"/>
      <w:bookmarkEnd w:id="10457"/>
      <w:bookmarkEnd w:id="10458"/>
    </w:p>
    <w:p w14:paraId="7F4045C5" w14:textId="77777777" w:rsidR="001C08A5" w:rsidRDefault="00000000">
      <w:pPr>
        <w:pStyle w:val="Heading5"/>
        <w:rPr>
          <w:sz w:val="24"/>
          <w:szCs w:val="24"/>
        </w:rPr>
      </w:pPr>
      <w:bookmarkStart w:id="10459" w:name="_Toc162355527"/>
      <w:bookmarkStart w:id="10460" w:name="_Toc7833"/>
      <w:bookmarkStart w:id="10461" w:name="_Toc13957"/>
      <w:bookmarkStart w:id="10462" w:name="_Toc1638"/>
      <w:bookmarkStart w:id="10463" w:name="_Toc31424"/>
      <w:bookmarkStart w:id="10464" w:name="_Toc23827"/>
      <w:r>
        <w:rPr>
          <w:sz w:val="24"/>
          <w:szCs w:val="24"/>
          <w:lang w:val="ro-RO"/>
        </w:rPr>
        <w:t>Pereți antifoc</w:t>
      </w:r>
      <w:bookmarkEnd w:id="10459"/>
      <w:bookmarkEnd w:id="10460"/>
      <w:bookmarkEnd w:id="10461"/>
      <w:bookmarkEnd w:id="10462"/>
      <w:bookmarkEnd w:id="10463"/>
      <w:bookmarkEnd w:id="10464"/>
    </w:p>
    <w:p w14:paraId="5FC1871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w:t>
      </w:r>
      <w:r>
        <w:rPr>
          <w:rFonts w:eastAsia="Calibri"/>
          <w:i/>
          <w:sz w:val="24"/>
          <w:szCs w:val="24"/>
          <w:shd w:val="clear" w:color="auto" w:fill="FFFFFF"/>
        </w:rPr>
        <w:t xml:space="preserve"> Pereții antifoc din construcțille existente se execută din materiale </w:t>
      </w:r>
      <w:r>
        <w:rPr>
          <w:b/>
          <w:bCs/>
          <w:i/>
          <w:sz w:val="24"/>
          <w:szCs w:val="24"/>
          <w:lang w:val="en-GB"/>
        </w:rPr>
        <w:t>A1, A2s1d0</w:t>
      </w:r>
      <w:r>
        <w:rPr>
          <w:rFonts w:eastAsia="Calibri"/>
          <w:i/>
          <w:sz w:val="24"/>
          <w:szCs w:val="24"/>
          <w:shd w:val="clear" w:color="auto" w:fill="FFFFFF"/>
        </w:rPr>
        <w:t>, astfel amplasați, alcătuiți și dimensionați încât să reziste la efectele incendiilor din compartimenteie de incendiu pe care le separă.</w:t>
      </w:r>
    </w:p>
    <w:p w14:paraId="1E69106B"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2.3.4.</w:t>
      </w:r>
      <w:r>
        <w:rPr>
          <w:rFonts w:eastAsia="Calibri"/>
          <w:i/>
          <w:sz w:val="24"/>
          <w:szCs w:val="24"/>
          <w:shd w:val="clear" w:color="auto" w:fill="FFFFFF"/>
        </w:rPr>
        <w:t> </w:t>
      </w:r>
      <w:r>
        <w:rPr>
          <w:rFonts w:eastAsia="Calibri"/>
          <w:b/>
          <w:bCs/>
          <w:i/>
          <w:sz w:val="24"/>
          <w:szCs w:val="24"/>
          <w:shd w:val="clear" w:color="auto" w:fill="FFFFFF"/>
        </w:rPr>
        <w:t xml:space="preserve">(1) </w:t>
      </w:r>
      <w:r>
        <w:rPr>
          <w:rFonts w:eastAsia="Calibri"/>
          <w:i/>
          <w:sz w:val="24"/>
          <w:szCs w:val="24"/>
          <w:shd w:val="clear" w:color="auto" w:fill="FFFFFF"/>
        </w:rPr>
        <w:t xml:space="preserve">Pereții antifoc din construcțiile existente trebuie să îndeplinească în caz de incendiu funcția de compartimentare, păstrându-și stabilitatea, rezistențele mecanice și capacitatea de izolare termică pe timpul normat, în funcție de densitatea sarcinii termice conform cu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_Ref6109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146</w:t>
      </w:r>
      <w:r>
        <w:rPr>
          <w:rFonts w:eastAsia="Calibri"/>
          <w:b/>
          <w:bCs/>
          <w:i/>
          <w:iCs/>
          <w:sz w:val="24"/>
          <w:szCs w:val="24"/>
          <w:shd w:val="clear" w:color="auto" w:fill="FFFFFF"/>
        </w:rPr>
        <w:fldChar w:fldCharType="end"/>
      </w:r>
      <w:r>
        <w:rPr>
          <w:b/>
          <w:i/>
          <w:sz w:val="24"/>
          <w:szCs w:val="24"/>
        </w:rPr>
        <w:t>,</w:t>
      </w:r>
      <w:r>
        <w:rPr>
          <w:rFonts w:eastAsia="Calibri"/>
          <w:i/>
          <w:sz w:val="24"/>
          <w:szCs w:val="24"/>
          <w:shd w:val="clear" w:color="auto" w:fill="FFFFFF"/>
        </w:rPr>
        <w:t xml:space="preserve"> dar cel puțin 3 ore (</w:t>
      </w:r>
      <w:r>
        <w:rPr>
          <w:rFonts w:eastAsia="Calibri"/>
          <w:b/>
          <w:bCs/>
          <w:i/>
          <w:sz w:val="24"/>
          <w:szCs w:val="24"/>
          <w:shd w:val="clear" w:color="auto" w:fill="FFFFFF"/>
        </w:rPr>
        <w:t>REI180</w:t>
      </w:r>
      <w:r>
        <w:rPr>
          <w:rFonts w:eastAsia="Calibri"/>
          <w:i/>
          <w:sz w:val="24"/>
          <w:szCs w:val="24"/>
          <w:shd w:val="clear" w:color="auto" w:fill="FFFFFF"/>
        </w:rPr>
        <w:t>).</w:t>
      </w:r>
    </w:p>
    <w:p w14:paraId="3FA7AB25" w14:textId="77777777" w:rsidR="001C08A5" w:rsidRDefault="00000000">
      <w:pPr>
        <w:shd w:val="clear" w:color="auto" w:fill="FFFFFF"/>
        <w:spacing w:after="150"/>
        <w:jc w:val="both"/>
        <w:rPr>
          <w:rFonts w:eastAsia="Calibri"/>
          <w:i/>
          <w:sz w:val="24"/>
          <w:szCs w:val="24"/>
          <w:shd w:val="clear" w:color="auto" w:fill="FFFFFF"/>
        </w:rPr>
      </w:pPr>
      <w:r>
        <w:rPr>
          <w:rFonts w:eastAsia="Calibri"/>
          <w:b/>
          <w:bCs/>
          <w:i/>
          <w:sz w:val="24"/>
          <w:szCs w:val="24"/>
          <w:shd w:val="clear" w:color="auto" w:fill="FFFFFF"/>
        </w:rPr>
        <w:t xml:space="preserve">(2) </w:t>
      </w:r>
      <w:r>
        <w:rPr>
          <w:rFonts w:eastAsia="Calibri"/>
          <w:i/>
          <w:sz w:val="24"/>
          <w:szCs w:val="24"/>
          <w:shd w:val="clear" w:color="auto" w:fill="FFFFFF"/>
        </w:rPr>
        <w:t xml:space="preserve">Pereții antifoc dintre construcțiile existente care se extind cu alte compartimente de incendiu noi (minimum unul) se realizează conform prevederilor normativului (Capitol </w:t>
      </w:r>
      <w:r>
        <w:rPr>
          <w:rFonts w:eastAsia="Calibri"/>
          <w:b/>
          <w:bCs/>
          <w:i/>
          <w:sz w:val="24"/>
          <w:szCs w:val="24"/>
          <w:shd w:val="clear" w:color="auto" w:fill="FFFFFF"/>
        </w:rPr>
        <w:t>2.3.2.1. Pereţi rezistenţi la foc pentru separarea compartimentelor de incendiu</w:t>
      </w:r>
      <w:r>
        <w:rPr>
          <w:rFonts w:eastAsia="Calibri"/>
          <w:i/>
          <w:sz w:val="24"/>
          <w:szCs w:val="24"/>
          <w:shd w:val="clear" w:color="auto" w:fill="FFFFFF"/>
        </w:rPr>
        <w:t>), dar cel puțin 3 ore (</w:t>
      </w:r>
      <w:r>
        <w:rPr>
          <w:rFonts w:eastAsia="Calibri"/>
          <w:b/>
          <w:bCs/>
          <w:i/>
          <w:sz w:val="24"/>
          <w:szCs w:val="24"/>
          <w:shd w:val="clear" w:color="auto" w:fill="FFFFFF"/>
        </w:rPr>
        <w:t>REI180</w:t>
      </w:r>
      <w:r>
        <w:rPr>
          <w:rFonts w:eastAsia="Calibri"/>
          <w:i/>
          <w:sz w:val="24"/>
          <w:szCs w:val="24"/>
          <w:shd w:val="clear" w:color="auto" w:fill="FFFFFF"/>
        </w:rPr>
        <w:t>).</w:t>
      </w:r>
    </w:p>
    <w:p w14:paraId="1E5D6EDA" w14:textId="77777777" w:rsidR="001C08A5" w:rsidRDefault="00000000">
      <w:pPr>
        <w:shd w:val="clear" w:color="auto" w:fill="FFFFFF"/>
        <w:spacing w:after="150"/>
        <w:jc w:val="both"/>
        <w:rPr>
          <w:rFonts w:eastAsia="Calibri"/>
          <w:i/>
          <w:sz w:val="24"/>
          <w:szCs w:val="24"/>
          <w:shd w:val="clear" w:color="auto" w:fill="FFFFFF"/>
        </w:rPr>
      </w:pPr>
      <w:r>
        <w:rPr>
          <w:rFonts w:eastAsia="Calibri"/>
          <w:b/>
          <w:bCs/>
          <w:i/>
          <w:sz w:val="24"/>
          <w:szCs w:val="24"/>
          <w:shd w:val="clear" w:color="auto" w:fill="FFFFFF"/>
        </w:rPr>
        <w:t xml:space="preserve">(3) </w:t>
      </w:r>
      <w:r>
        <w:rPr>
          <w:rFonts w:eastAsia="Calibri"/>
          <w:i/>
          <w:sz w:val="24"/>
          <w:szCs w:val="24"/>
          <w:shd w:val="clear" w:color="auto" w:fill="FFFFFF"/>
        </w:rPr>
        <w:t xml:space="preserve">Pereții antifoc din cadrul extinderilor construcțiilor existente (cu excepția celor prevăzuți la </w:t>
      </w:r>
      <w:r>
        <w:rPr>
          <w:rFonts w:eastAsia="Calibri"/>
          <w:b/>
          <w:i/>
          <w:sz w:val="24"/>
          <w:szCs w:val="24"/>
          <w:shd w:val="clear" w:color="auto" w:fill="FFFFFF"/>
        </w:rPr>
        <w:t xml:space="preserve">A.10. </w:t>
      </w:r>
      <w:r>
        <w:rPr>
          <w:rFonts w:eastAsia="Calibri"/>
          <w:b/>
          <w:bCs/>
          <w:i/>
          <w:sz w:val="24"/>
          <w:szCs w:val="24"/>
          <w:shd w:val="clear" w:color="auto" w:fill="FFFFFF"/>
        </w:rPr>
        <w:t>2.3.4. alin.(2)</w:t>
      </w:r>
      <w:r>
        <w:rPr>
          <w:rFonts w:eastAsia="Calibri"/>
          <w:i/>
          <w:sz w:val="24"/>
          <w:szCs w:val="24"/>
          <w:shd w:val="clear" w:color="auto" w:fill="FFFFFF"/>
        </w:rPr>
        <w:t xml:space="preserve"> dintre construcția existentă și extindere/extinderi)  se realizează conform prevederilor normativului (Capitol </w:t>
      </w:r>
      <w:r>
        <w:rPr>
          <w:rFonts w:eastAsia="Calibri"/>
          <w:b/>
          <w:bCs/>
          <w:i/>
          <w:sz w:val="24"/>
          <w:szCs w:val="24"/>
          <w:shd w:val="clear" w:color="auto" w:fill="FFFFFF"/>
        </w:rPr>
        <w:t>2.3.2.1. Pereţi rezistenţi la foc pentru separarea compartimentelor de incendiu</w:t>
      </w:r>
      <w:r>
        <w:rPr>
          <w:rFonts w:eastAsia="Calibri"/>
          <w:i/>
          <w:sz w:val="24"/>
          <w:szCs w:val="24"/>
          <w:shd w:val="clear" w:color="auto" w:fill="FFFFFF"/>
        </w:rPr>
        <w:t>).</w:t>
      </w:r>
    </w:p>
    <w:p w14:paraId="017274D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w:t>
      </w:r>
      <w:r>
        <w:rPr>
          <w:rFonts w:eastAsia="Calibri"/>
          <w:i/>
          <w:sz w:val="24"/>
          <w:szCs w:val="24"/>
          <w:shd w:val="clear" w:color="auto" w:fill="FFFFFF"/>
        </w:rPr>
        <w:t xml:space="preserve"> În clădirile existente parter și în cazurile precizate în prezenta anexă, compartimentarea antifoc se poate realiza prin pereți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care asigură numai rezistență la foc prevăzută la Art. </w:t>
      </w:r>
      <w:r>
        <w:rPr>
          <w:rFonts w:eastAsia="Calibri"/>
          <w:b/>
          <w:i/>
          <w:sz w:val="24"/>
          <w:szCs w:val="24"/>
          <w:shd w:val="clear" w:color="auto" w:fill="FFFFFF"/>
        </w:rPr>
        <w:t xml:space="preserve">A.10. </w:t>
      </w:r>
      <w:r>
        <w:rPr>
          <w:rFonts w:eastAsia="Calibri"/>
          <w:b/>
          <w:bCs/>
          <w:i/>
          <w:sz w:val="24"/>
          <w:szCs w:val="24"/>
          <w:shd w:val="clear" w:color="auto" w:fill="FFFFFF"/>
        </w:rPr>
        <w:t>2.3.2.</w:t>
      </w:r>
      <w:r>
        <w:rPr>
          <w:rFonts w:eastAsia="Calibri"/>
          <w:i/>
          <w:sz w:val="24"/>
          <w:szCs w:val="24"/>
          <w:shd w:val="clear" w:color="auto" w:fill="FFFFFF"/>
        </w:rPr>
        <w:t xml:space="preserve"> și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_Ref6109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146</w:t>
      </w:r>
      <w:r>
        <w:rPr>
          <w:rFonts w:eastAsia="Calibri"/>
          <w:b/>
          <w:bCs/>
          <w:i/>
          <w:iCs/>
          <w:sz w:val="24"/>
          <w:szCs w:val="24"/>
          <w:shd w:val="clear" w:color="auto" w:fill="FFFFFF"/>
        </w:rPr>
        <w:fldChar w:fldCharType="end"/>
      </w:r>
      <w:r>
        <w:rPr>
          <w:b/>
          <w:i/>
          <w:sz w:val="24"/>
          <w:szCs w:val="24"/>
        </w:rPr>
        <w:t>.</w:t>
      </w:r>
    </w:p>
    <w:p w14:paraId="1EF844A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2.3.6.</w:t>
      </w:r>
      <w:r>
        <w:rPr>
          <w:rFonts w:eastAsia="Calibri"/>
          <w:i/>
          <w:sz w:val="24"/>
          <w:szCs w:val="24"/>
          <w:shd w:val="clear" w:color="auto" w:fill="FFFFFF"/>
        </w:rPr>
        <w:t> În construcțiile existente cu structuri din beton armat sau metalice, pereții antifoc pot fi înglobați direct în aceste structuri, care vor fi astfel executate sau protejate încât să aibă rezistență la foc cel puțin egală cu cu cea necesară pentru pereții antifoc respectivi.</w:t>
      </w:r>
    </w:p>
    <w:p w14:paraId="356F770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2.3.7.</w:t>
      </w:r>
      <w:r>
        <w:rPr>
          <w:rFonts w:eastAsia="Calibri"/>
          <w:i/>
          <w:sz w:val="24"/>
          <w:szCs w:val="24"/>
          <w:shd w:val="clear" w:color="auto" w:fill="FFFFFF"/>
        </w:rPr>
        <w:t> Pereții antifoc din construcțille existente care separă, pe anumite porțiuni ale lor, spații cu pericol de explozie, trebuie să îndeplinească pe aceste porțiuni și condițiile prevăzute pentru pereții rezistenți la explozie.</w:t>
      </w:r>
    </w:p>
    <w:p w14:paraId="1035B57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2.3.8.</w:t>
      </w:r>
      <w:r>
        <w:rPr>
          <w:rFonts w:eastAsia="Calibri"/>
          <w:i/>
          <w:sz w:val="24"/>
          <w:szCs w:val="24"/>
          <w:shd w:val="clear" w:color="auto" w:fill="FFFFFF"/>
        </w:rPr>
        <w:t> Nu se admite încastrarea în pereții antifoc a planșeelor sau a elementelor constructive care au rezistență la foc mai mică de 2 ore, (</w:t>
      </w:r>
      <w:r>
        <w:rPr>
          <w:rFonts w:eastAsia="Calibri"/>
          <w:b/>
          <w:bCs/>
          <w:i/>
          <w:sz w:val="24"/>
          <w:szCs w:val="24"/>
          <w:shd w:val="clear" w:color="auto" w:fill="FFFFFF"/>
        </w:rPr>
        <w:t>REI 120</w:t>
      </w:r>
      <w:r>
        <w:rPr>
          <w:rFonts w:eastAsia="Calibri"/>
          <w:i/>
          <w:sz w:val="24"/>
          <w:szCs w:val="24"/>
          <w:shd w:val="clear" w:color="auto" w:fill="FFFFFF"/>
        </w:rPr>
        <w:t xml:space="preserve"> pentru planșee și </w:t>
      </w:r>
      <w:r>
        <w:rPr>
          <w:rFonts w:eastAsia="Calibri"/>
          <w:b/>
          <w:bCs/>
          <w:i/>
          <w:sz w:val="24"/>
          <w:szCs w:val="24"/>
          <w:shd w:val="clear" w:color="auto" w:fill="FFFFFF"/>
        </w:rPr>
        <w:t>R 120</w:t>
      </w:r>
      <w:r>
        <w:rPr>
          <w:rFonts w:eastAsia="Calibri"/>
          <w:i/>
          <w:sz w:val="24"/>
          <w:szCs w:val="24"/>
          <w:shd w:val="clear" w:color="auto" w:fill="FFFFFF"/>
        </w:rPr>
        <w:t xml:space="preserve"> pentru grinzi, ferme, etc.), permițându-se numai rezervarea acestora (liberă sau articulată). Rezemarea grinzilor metalice pe pereți antifoc se realizează astfel încât grinda dilatată să nu dea împingeri laterale în peretele antifoc.</w:t>
      </w:r>
    </w:p>
    <w:p w14:paraId="777EC89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2.3.9.</w:t>
      </w:r>
      <w:r>
        <w:rPr>
          <w:rFonts w:eastAsia="Calibri"/>
          <w:i/>
          <w:sz w:val="24"/>
          <w:szCs w:val="24"/>
          <w:shd w:val="clear" w:color="auto" w:fill="FFFFFF"/>
        </w:rPr>
        <w:t> Rosturile dintre pereții antifoc existenți și planșee, stâlpi, acoperișuri și pereții exteriori ai construcției existente se etanșează cu materiale care să asigure o rezistență la foc de cel puțin 1 oră și 30 de minute (</w:t>
      </w:r>
      <w:r>
        <w:rPr>
          <w:rFonts w:eastAsia="Calibri"/>
          <w:b/>
          <w:bCs/>
          <w:i/>
          <w:sz w:val="24"/>
          <w:szCs w:val="24"/>
          <w:shd w:val="clear" w:color="auto" w:fill="FFFFFF"/>
        </w:rPr>
        <w:t>EI90</w:t>
      </w:r>
      <w:r>
        <w:rPr>
          <w:rFonts w:eastAsia="Calibri"/>
          <w:i/>
          <w:sz w:val="24"/>
          <w:szCs w:val="24"/>
          <w:shd w:val="clear" w:color="auto" w:fill="FFFFFF"/>
        </w:rPr>
        <w:t xml:space="preserve">). </w:t>
      </w:r>
    </w:p>
    <w:p w14:paraId="55E2B541" w14:textId="77777777" w:rsidR="001C08A5" w:rsidRDefault="00000000">
      <w:pPr>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2.3.10.</w:t>
      </w:r>
      <w:r>
        <w:rPr>
          <w:rFonts w:eastAsia="Calibri"/>
          <w:i/>
          <w:sz w:val="24"/>
          <w:szCs w:val="24"/>
          <w:shd w:val="clear" w:color="auto" w:fill="FFFFFF"/>
        </w:rPr>
        <w:t xml:space="preserve"> Pereții antifoc din construcțiile existente trebuie să depășească planul exterior al acoperișurilor, luminatoarelor, pereților din </w:t>
      </w:r>
      <w:r>
        <w:rPr>
          <w:rFonts w:eastAsia="TimesNewRomanPSMT-Identity-H"/>
          <w:i/>
          <w:sz w:val="24"/>
          <w:szCs w:val="24"/>
        </w:rPr>
        <w:t xml:space="preserve">clasa de reacție la foc </w:t>
      </w:r>
      <w:r>
        <w:rPr>
          <w:rFonts w:eastAsia="TimesNewRomanPSMT-Identity-H"/>
          <w:b/>
          <w:bCs/>
          <w:i/>
          <w:sz w:val="24"/>
          <w:szCs w:val="24"/>
          <w:lang w:eastAsia="zh-CN"/>
        </w:rPr>
        <w:t>Ds1÷s3,d0÷d1</w:t>
      </w:r>
      <w:r>
        <w:rPr>
          <w:rFonts w:eastAsia="TimesNewRomanPSMT-Identity-H"/>
          <w:i/>
          <w:sz w:val="24"/>
          <w:szCs w:val="24"/>
        </w:rPr>
        <w:t xml:space="preserve"> sau clasa de reacție la foc </w:t>
      </w:r>
      <w:r>
        <w:rPr>
          <w:rFonts w:eastAsia="TimesNewRomanPSMT-Identity-H"/>
          <w:b/>
          <w:bCs/>
          <w:i/>
          <w:sz w:val="24"/>
          <w:szCs w:val="24"/>
          <w:lang w:eastAsia="zh-CN"/>
        </w:rPr>
        <w:t>A2s1÷s3,d2; Bs1÷s3,d2; Cs1÷s3,d2; Ds1÷s3,d2; Ed2</w:t>
      </w:r>
      <w:r>
        <w:rPr>
          <w:rFonts w:eastAsia="Calibri"/>
          <w:i/>
          <w:sz w:val="24"/>
          <w:szCs w:val="24"/>
          <w:shd w:val="clear" w:color="auto" w:fill="FFFFFF"/>
        </w:rPr>
        <w:t>, pe care îi intersectează (</w:t>
      </w:r>
      <w:r>
        <w:rPr>
          <w:rFonts w:eastAsia="Calibri"/>
          <w:b/>
          <w:bCs/>
          <w:i/>
          <w:iCs/>
          <w:sz w:val="22"/>
          <w:szCs w:val="22"/>
          <w:shd w:val="clear" w:color="auto" w:fill="FFFFFF"/>
        </w:rPr>
        <w:fldChar w:fldCharType="begin"/>
      </w:r>
      <w:r>
        <w:rPr>
          <w:rFonts w:eastAsia="Calibri"/>
          <w:b/>
          <w:bCs/>
          <w:i/>
          <w:iCs/>
          <w:sz w:val="22"/>
          <w:szCs w:val="22"/>
          <w:shd w:val="clear" w:color="auto" w:fill="FFFFFF"/>
        </w:rPr>
        <w:instrText xml:space="preserve"> REF _Ref5472 \h </w:instrText>
      </w:r>
      <w:r>
        <w:rPr>
          <w:rFonts w:eastAsia="Calibri"/>
          <w:b/>
          <w:bCs/>
          <w:i/>
          <w:iCs/>
          <w:sz w:val="22"/>
          <w:szCs w:val="22"/>
          <w:shd w:val="clear" w:color="auto" w:fill="FFFFFF"/>
        </w:rPr>
      </w:r>
      <w:r>
        <w:rPr>
          <w:rFonts w:eastAsia="Calibri"/>
          <w:b/>
          <w:bCs/>
          <w:i/>
          <w:iCs/>
          <w:sz w:val="22"/>
          <w:szCs w:val="22"/>
          <w:shd w:val="clear" w:color="auto" w:fill="FFFFFF"/>
        </w:rPr>
        <w:fldChar w:fldCharType="separate"/>
      </w:r>
      <w:r>
        <w:rPr>
          <w:sz w:val="22"/>
          <w:szCs w:val="22"/>
        </w:rPr>
        <w:t xml:space="preserve">Figura 36 - </w:t>
      </w:r>
      <w:r>
        <w:rPr>
          <w:bCs/>
          <w:sz w:val="22"/>
          <w:szCs w:val="22"/>
        </w:rPr>
        <w:t xml:space="preserve">Separare compartimente de incendiu cu înălţimi egale </w:t>
      </w:r>
      <w:r>
        <w:rPr>
          <w:sz w:val="22"/>
          <w:szCs w:val="22"/>
        </w:rPr>
        <w:t>prin depășirea acoperișului cu minimum 60 cm (a peretelui antifoc)</w:t>
      </w:r>
      <w:r>
        <w:rPr>
          <w:rFonts w:eastAsia="Calibri"/>
          <w:b/>
          <w:bCs/>
          <w:i/>
          <w:iCs/>
          <w:sz w:val="22"/>
          <w:szCs w:val="22"/>
          <w:shd w:val="clear" w:color="auto" w:fill="FFFFFF"/>
        </w:rPr>
        <w:fldChar w:fldCharType="end"/>
      </w:r>
      <w:r>
        <w:rPr>
          <w:rFonts w:eastAsia="Calibri"/>
          <w:b/>
          <w:bCs/>
          <w:i/>
          <w:iCs/>
          <w:sz w:val="24"/>
          <w:szCs w:val="24"/>
          <w:shd w:val="clear" w:color="auto" w:fill="FFFFFF"/>
        </w:rPr>
        <w:t xml:space="preserve"> </w:t>
      </w:r>
      <w:r>
        <w:rPr>
          <w:rFonts w:eastAsia="Calibri"/>
          <w:i/>
          <w:iCs/>
          <w:sz w:val="24"/>
          <w:szCs w:val="24"/>
          <w:shd w:val="clear" w:color="auto" w:fill="FFFFFF"/>
        </w:rPr>
        <w:t>și</w:t>
      </w:r>
      <w:r>
        <w:rPr>
          <w:rFonts w:eastAsia="Calibri"/>
          <w:b/>
          <w:bCs/>
          <w:i/>
          <w:iCs/>
          <w:sz w:val="22"/>
          <w:szCs w:val="22"/>
          <w:shd w:val="clear" w:color="auto" w:fill="FFFFFF"/>
        </w:rPr>
        <w:t xml:space="preserve"> </w:t>
      </w:r>
      <w:r>
        <w:rPr>
          <w:rFonts w:eastAsia="Calibri"/>
          <w:b/>
          <w:bCs/>
          <w:i/>
          <w:iCs/>
          <w:sz w:val="22"/>
          <w:szCs w:val="22"/>
          <w:shd w:val="clear" w:color="auto" w:fill="FFFFFF"/>
        </w:rPr>
        <w:fldChar w:fldCharType="begin"/>
      </w:r>
      <w:r>
        <w:rPr>
          <w:rFonts w:eastAsia="Calibri"/>
          <w:b/>
          <w:bCs/>
          <w:i/>
          <w:iCs/>
          <w:sz w:val="22"/>
          <w:szCs w:val="22"/>
          <w:shd w:val="clear" w:color="auto" w:fill="FFFFFF"/>
        </w:rPr>
        <w:instrText xml:space="preserve"> REF _Toc32006 \h </w:instrText>
      </w:r>
      <w:r>
        <w:rPr>
          <w:rFonts w:eastAsia="Calibri"/>
          <w:b/>
          <w:bCs/>
          <w:i/>
          <w:iCs/>
          <w:sz w:val="22"/>
          <w:szCs w:val="22"/>
          <w:shd w:val="clear" w:color="auto" w:fill="FFFFFF"/>
        </w:rPr>
      </w:r>
      <w:r>
        <w:rPr>
          <w:rFonts w:eastAsia="Calibri"/>
          <w:b/>
          <w:bCs/>
          <w:i/>
          <w:iCs/>
          <w:sz w:val="22"/>
          <w:szCs w:val="22"/>
          <w:shd w:val="clear" w:color="auto" w:fill="FFFFFF"/>
        </w:rPr>
        <w:fldChar w:fldCharType="separate"/>
      </w:r>
      <w:r>
        <w:rPr>
          <w:sz w:val="22"/>
          <w:szCs w:val="22"/>
        </w:rPr>
        <w:t xml:space="preserve">Figura 37 - </w:t>
      </w:r>
      <w:r>
        <w:rPr>
          <w:bCs/>
          <w:sz w:val="22"/>
          <w:szCs w:val="22"/>
        </w:rPr>
        <w:t>Depăşirea planurilor exterioare ale acoperişurilor și pereţilor combustibili</w:t>
      </w:r>
      <w:r>
        <w:rPr>
          <w:rFonts w:eastAsia="Calibri"/>
          <w:b/>
          <w:bCs/>
          <w:i/>
          <w:iCs/>
          <w:sz w:val="22"/>
          <w:szCs w:val="22"/>
          <w:shd w:val="clear" w:color="auto" w:fill="FFFFFF"/>
        </w:rPr>
        <w:fldChar w:fldCharType="end"/>
      </w:r>
      <w:r>
        <w:rPr>
          <w:rFonts w:eastAsia="Calibri"/>
          <w:b/>
          <w:bCs/>
          <w:i/>
          <w:iCs/>
          <w:sz w:val="24"/>
          <w:szCs w:val="24"/>
          <w:shd w:val="clear" w:color="auto" w:fill="FFFFFF"/>
        </w:rPr>
        <w:t xml:space="preserve"> </w:t>
      </w:r>
      <w:r>
        <w:rPr>
          <w:rFonts w:eastAsia="Calibri"/>
          <w:i/>
          <w:iCs/>
          <w:sz w:val="24"/>
          <w:szCs w:val="24"/>
          <w:shd w:val="clear" w:color="auto" w:fill="FFFFFF"/>
        </w:rPr>
        <w:t xml:space="preserve">precum și </w:t>
      </w:r>
      <w:r>
        <w:rPr>
          <w:rFonts w:eastAsia="Calibri"/>
          <w:i/>
          <w:sz w:val="24"/>
          <w:szCs w:val="24"/>
          <w:shd w:val="clear" w:color="auto" w:fill="FFFFFF"/>
        </w:rPr>
        <w:t xml:space="preserve">conform </w:t>
      </w:r>
      <w:r>
        <w:rPr>
          <w:rFonts w:eastAsia="Calibri"/>
          <w:iCs/>
          <w:sz w:val="22"/>
          <w:szCs w:val="22"/>
          <w:shd w:val="clear" w:color="auto" w:fill="FFFFFF"/>
        </w:rPr>
        <w:t>Figura 275</w:t>
      </w:r>
      <w:r>
        <w:rPr>
          <w:rFonts w:eastAsia="Calibri"/>
          <w:b/>
          <w:bCs/>
          <w:i/>
          <w:iCs/>
          <w:sz w:val="24"/>
          <w:szCs w:val="24"/>
          <w:shd w:val="clear" w:color="auto" w:fill="FFFFFF"/>
        </w:rPr>
        <w:t>)</w:t>
      </w:r>
      <w:r>
        <w:rPr>
          <w:rFonts w:eastAsia="Calibri"/>
          <w:i/>
          <w:sz w:val="24"/>
          <w:szCs w:val="24"/>
          <w:shd w:val="clear" w:color="auto" w:fill="FFFFFF"/>
        </w:rPr>
        <w:t>, astfel:</w:t>
      </w:r>
    </w:p>
    <w:p w14:paraId="75505B72"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w:t>
      </w:r>
      <w:r>
        <w:rPr>
          <w:rFonts w:eastAsia="Calibri"/>
          <w:i/>
          <w:sz w:val="24"/>
          <w:szCs w:val="24"/>
          <w:shd w:val="clear" w:color="auto" w:fill="FFFFFF"/>
          <w:lang w:val="en-US" w:eastAsia="zh-CN" w:bidi="ar"/>
        </w:rPr>
        <w:t> </w:t>
      </w:r>
      <w:r>
        <w:rPr>
          <w:rFonts w:eastAsia="Calibri"/>
          <w:b/>
          <w:bCs/>
          <w:i/>
          <w:sz w:val="24"/>
          <w:szCs w:val="24"/>
          <w:shd w:val="clear" w:color="auto" w:fill="FFFFFF"/>
          <w:lang w:val="en-US" w:eastAsia="zh-CN" w:bidi="ar"/>
        </w:rPr>
        <w:t xml:space="preserve">60 </w:t>
      </w:r>
      <w:r>
        <w:rPr>
          <w:rFonts w:eastAsia="Calibri"/>
          <w:b/>
          <w:bCs/>
          <w:i/>
          <w:sz w:val="24"/>
          <w:szCs w:val="24"/>
          <w:shd w:val="clear" w:color="auto" w:fill="FFFFFF"/>
          <w:lang w:eastAsia="zh-CN" w:bidi="ar"/>
        </w:rPr>
        <w:t>c</w:t>
      </w:r>
      <w:r>
        <w:rPr>
          <w:rFonts w:eastAsia="Calibri"/>
          <w:b/>
          <w:bCs/>
          <w:i/>
          <w:sz w:val="24"/>
          <w:szCs w:val="24"/>
          <w:shd w:val="clear" w:color="auto" w:fill="FFFFFF"/>
          <w:lang w:val="en-US" w:eastAsia="zh-CN" w:bidi="ar"/>
        </w:rPr>
        <w:t>m</w:t>
      </w:r>
      <w:r>
        <w:rPr>
          <w:rFonts w:eastAsia="Calibri"/>
          <w:i/>
          <w:sz w:val="24"/>
          <w:szCs w:val="24"/>
          <w:shd w:val="clear" w:color="auto" w:fill="FFFFFF"/>
          <w:lang w:val="en-US" w:eastAsia="zh-CN" w:bidi="ar"/>
        </w:rPr>
        <w:t xml:space="preserve"> (măsurat pe verticală), față de orice astfel de element combustibil al acoperișurilor și luminatoarelor aflate la mai puțin de </w:t>
      </w:r>
      <w:r>
        <w:rPr>
          <w:rFonts w:eastAsia="Calibri"/>
          <w:b/>
          <w:bCs/>
          <w:i/>
          <w:sz w:val="24"/>
          <w:szCs w:val="24"/>
          <w:shd w:val="clear" w:color="auto" w:fill="FFFFFF"/>
          <w:lang w:val="en-US" w:eastAsia="zh-CN" w:bidi="ar"/>
        </w:rPr>
        <w:t xml:space="preserve">4,00 m </w:t>
      </w:r>
      <w:r>
        <w:rPr>
          <w:rFonts w:eastAsia="Calibri"/>
          <w:i/>
          <w:sz w:val="24"/>
          <w:szCs w:val="24"/>
          <w:shd w:val="clear" w:color="auto" w:fill="FFFFFF"/>
          <w:lang w:val="en-US" w:eastAsia="zh-CN" w:bidi="ar"/>
        </w:rPr>
        <w:t>distanță de peretele antifoc</w:t>
      </w:r>
      <w:r>
        <w:rPr>
          <w:rFonts w:eastAsia="Calibri"/>
          <w:i/>
          <w:sz w:val="24"/>
          <w:szCs w:val="24"/>
          <w:shd w:val="clear" w:color="auto" w:fill="FFFFFF"/>
          <w:lang w:eastAsia="zh-CN" w:bidi="ar"/>
        </w:rPr>
        <w:t xml:space="preserve"> </w:t>
      </w:r>
      <w:r>
        <w:rPr>
          <w:rFonts w:eastAsia="Calibri"/>
          <w:i/>
          <w:sz w:val="24"/>
          <w:szCs w:val="24"/>
          <w:shd w:val="clear" w:color="auto" w:fill="FFFFFF"/>
        </w:rPr>
        <w:t>din construcțile existente</w:t>
      </w:r>
      <w:r>
        <w:rPr>
          <w:rFonts w:eastAsia="Calibri"/>
          <w:i/>
          <w:sz w:val="24"/>
          <w:szCs w:val="24"/>
          <w:shd w:val="clear" w:color="auto" w:fill="FFFFFF"/>
          <w:lang w:val="en-US" w:eastAsia="zh-CN" w:bidi="ar"/>
        </w:rPr>
        <w:t>, inclusiv a acoperișurilor cu suport din tablă și termoizolație șj/sau hidroizolație necombustibile.</w:t>
      </w:r>
    </w:p>
    <w:p w14:paraId="26D126A4" w14:textId="77777777" w:rsidR="001C08A5" w:rsidRDefault="00000000">
      <w:pPr>
        <w:shd w:val="clear" w:color="auto" w:fill="FFFFFF"/>
        <w:ind w:left="144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lastRenderedPageBreak/>
        <w:t>-</w:t>
      </w:r>
      <w:r>
        <w:rPr>
          <w:rFonts w:eastAsia="Calibri"/>
          <w:i/>
          <w:sz w:val="24"/>
          <w:szCs w:val="24"/>
          <w:shd w:val="clear" w:color="auto" w:fill="FFFFFF"/>
          <w:lang w:val="en-US" w:eastAsia="zh-CN" w:bidi="ar"/>
        </w:rPr>
        <w:t> </w:t>
      </w:r>
      <w:r>
        <w:rPr>
          <w:rFonts w:eastAsia="Calibri"/>
          <w:b/>
          <w:bCs/>
          <w:i/>
          <w:sz w:val="24"/>
          <w:szCs w:val="24"/>
          <w:shd w:val="clear" w:color="auto" w:fill="FFFFFF"/>
          <w:lang w:val="en-US" w:eastAsia="zh-CN" w:bidi="ar"/>
        </w:rPr>
        <w:t xml:space="preserve">30 </w:t>
      </w:r>
      <w:r>
        <w:rPr>
          <w:rFonts w:eastAsia="Calibri"/>
          <w:b/>
          <w:bCs/>
          <w:i/>
          <w:sz w:val="24"/>
          <w:szCs w:val="24"/>
          <w:shd w:val="clear" w:color="auto" w:fill="FFFFFF"/>
          <w:lang w:eastAsia="zh-CN" w:bidi="ar"/>
        </w:rPr>
        <w:t>c</w:t>
      </w:r>
      <w:r>
        <w:rPr>
          <w:rFonts w:eastAsia="Calibri"/>
          <w:b/>
          <w:bCs/>
          <w:i/>
          <w:sz w:val="24"/>
          <w:szCs w:val="24"/>
          <w:shd w:val="clear" w:color="auto" w:fill="FFFFFF"/>
          <w:lang w:val="en-US" w:eastAsia="zh-CN" w:bidi="ar"/>
        </w:rPr>
        <w:t>m</w:t>
      </w:r>
      <w:r>
        <w:rPr>
          <w:rFonts w:eastAsia="Calibri"/>
          <w:i/>
          <w:sz w:val="24"/>
          <w:szCs w:val="24"/>
          <w:shd w:val="clear" w:color="auto" w:fill="FFFFFF"/>
          <w:lang w:val="en-US" w:eastAsia="zh-CN" w:bidi="ar"/>
        </w:rPr>
        <w:t xml:space="preserve"> (măsurat pe orizontală) față de pereți exteriori și streașini din </w:t>
      </w:r>
      <w:r>
        <w:rPr>
          <w:rFonts w:eastAsia="TimesNewRomanPSMT-Identity-H"/>
          <w:i/>
          <w:sz w:val="24"/>
          <w:szCs w:val="24"/>
        </w:rPr>
        <w:t xml:space="preserve">clasa de reacție la foc </w:t>
      </w:r>
      <w:r>
        <w:rPr>
          <w:rFonts w:eastAsia="TimesNewRomanPSMT-Identity-H"/>
          <w:b/>
          <w:bCs/>
          <w:i/>
          <w:sz w:val="24"/>
          <w:szCs w:val="24"/>
          <w:lang w:eastAsia="zh-CN"/>
        </w:rPr>
        <w:t>Ds1÷s3,d0÷d1</w:t>
      </w:r>
      <w:r>
        <w:rPr>
          <w:rFonts w:eastAsia="TimesNewRomanPSMT-Identity-H"/>
          <w:i/>
          <w:sz w:val="24"/>
          <w:szCs w:val="24"/>
        </w:rPr>
        <w:t xml:space="preserve"> sau clasa de reacție la foc </w:t>
      </w:r>
      <w:r>
        <w:rPr>
          <w:rFonts w:eastAsia="TimesNewRomanPSMT-Identity-H"/>
          <w:b/>
          <w:bCs/>
          <w:i/>
          <w:sz w:val="24"/>
          <w:szCs w:val="24"/>
          <w:lang w:eastAsia="zh-CN"/>
        </w:rPr>
        <w:t>A2s1÷s3,d2; Bs1÷s3,d2; Cs1÷s3,d2; Ds1÷s3,d2; Ed2</w:t>
      </w:r>
      <w:r>
        <w:rPr>
          <w:rFonts w:eastAsia="Calibri"/>
          <w:i/>
          <w:sz w:val="24"/>
          <w:szCs w:val="24"/>
          <w:shd w:val="clear" w:color="auto" w:fill="FFFFFF"/>
          <w:lang w:val="en-US" w:eastAsia="zh-CN" w:bidi="ar"/>
        </w:rPr>
        <w:t>.</w:t>
      </w:r>
    </w:p>
    <w:p w14:paraId="40C42FBB" w14:textId="77777777" w:rsidR="001C08A5" w:rsidRDefault="001C08A5">
      <w:pPr>
        <w:shd w:val="clear" w:color="auto" w:fill="FFFFFF"/>
        <w:ind w:left="1440" w:firstLine="720"/>
        <w:jc w:val="both"/>
        <w:rPr>
          <w:rFonts w:eastAsia="Calibri"/>
          <w:i/>
          <w:sz w:val="24"/>
          <w:szCs w:val="24"/>
          <w:shd w:val="clear" w:color="auto" w:fill="FFFFFF"/>
          <w:lang w:val="en-US" w:eastAsia="zh-CN" w:bidi="ar"/>
        </w:rPr>
      </w:pPr>
    </w:p>
    <w:p w14:paraId="4167DDB8"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2.3.11.</w:t>
      </w:r>
      <w:r>
        <w:rPr>
          <w:rFonts w:eastAsia="Calibri"/>
          <w:i/>
          <w:sz w:val="24"/>
          <w:szCs w:val="24"/>
          <w:shd w:val="clear" w:color="auto" w:fill="FFFFFF"/>
        </w:rPr>
        <w:t xml:space="preserve"> Depășirea de către pereții antifoc din construcțiile existente a planului acoperișurilor cu învelitoare și termoizolație executate din materiale combustibile montate pe placă din beton armat, precum și a acoperișurilor executate în întregime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nu este obligatorie.</w:t>
      </w:r>
    </w:p>
    <w:p w14:paraId="48B1ABF1"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2.3.12.</w:t>
      </w:r>
      <w:r>
        <w:rPr>
          <w:rFonts w:eastAsia="Calibri"/>
          <w:i/>
          <w:sz w:val="24"/>
          <w:szCs w:val="24"/>
          <w:shd w:val="clear" w:color="auto" w:fill="FFFFFF"/>
        </w:rPr>
        <w:t xml:space="preserve"> Pereții rezistenți la foc din construcțiile existente cu rol de pereți antifoc prevăzuți la Art. </w:t>
      </w:r>
      <w:r>
        <w:rPr>
          <w:rFonts w:eastAsia="Calibri"/>
          <w:b/>
          <w:i/>
          <w:sz w:val="24"/>
          <w:szCs w:val="24"/>
          <w:shd w:val="clear" w:color="auto" w:fill="FFFFFF"/>
        </w:rPr>
        <w:t xml:space="preserve">A.10. </w:t>
      </w:r>
      <w:r>
        <w:rPr>
          <w:rFonts w:eastAsia="Calibri"/>
          <w:b/>
          <w:bCs/>
          <w:i/>
          <w:sz w:val="24"/>
          <w:szCs w:val="24"/>
          <w:shd w:val="clear" w:color="auto" w:fill="FFFFFF"/>
        </w:rPr>
        <w:t>2.3.5.</w:t>
      </w:r>
      <w:r>
        <w:rPr>
          <w:rFonts w:eastAsia="Calibri"/>
          <w:i/>
          <w:sz w:val="24"/>
          <w:szCs w:val="24"/>
          <w:shd w:val="clear" w:color="auto" w:fill="FFFFFF"/>
        </w:rPr>
        <w:t>, trebuie să depășească planul exterior ai acoperișurilor, luminatoarelor pereților etc. combustibili pe care îi intersectează, conform prevederilor stabilite pentru pereții antifoc.</w:t>
      </w:r>
    </w:p>
    <w:p w14:paraId="631E1D0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2.3.13.</w:t>
      </w:r>
      <w:r>
        <w:rPr>
          <w:rFonts w:eastAsia="Calibri"/>
          <w:i/>
          <w:sz w:val="24"/>
          <w:szCs w:val="24"/>
          <w:shd w:val="clear" w:color="auto" w:fill="FFFFFF"/>
        </w:rPr>
        <w:t xml:space="preserve"> Pe acoperișuri, pe o distanță de cel puțin </w:t>
      </w:r>
      <w:r>
        <w:rPr>
          <w:rFonts w:eastAsia="Calibri"/>
          <w:b/>
          <w:bCs/>
          <w:i/>
          <w:sz w:val="24"/>
          <w:szCs w:val="24"/>
          <w:shd w:val="clear" w:color="auto" w:fill="FFFFFF"/>
        </w:rPr>
        <w:t>4,00 m</w:t>
      </w:r>
      <w:r>
        <w:rPr>
          <w:rFonts w:eastAsia="Calibri"/>
          <w:i/>
          <w:sz w:val="24"/>
          <w:szCs w:val="24"/>
          <w:shd w:val="clear" w:color="auto" w:fill="FFFFFF"/>
        </w:rPr>
        <w:t xml:space="preserve"> în ambele părți ale peretelui antifoc sau rezistent la foc din construcțiile existente, luminatoarele trebuie să fie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fixe și cu geam armat (fără ochiuri mobile).</w:t>
      </w:r>
    </w:p>
    <w:p w14:paraId="154DA07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2.3.14.</w:t>
      </w:r>
      <w:r>
        <w:rPr>
          <w:rFonts w:eastAsia="Calibri"/>
          <w:i/>
          <w:sz w:val="24"/>
          <w:szCs w:val="24"/>
          <w:shd w:val="clear" w:color="auto" w:fill="FFFFFF"/>
        </w:rPr>
        <w:t xml:space="preserve"> Depășirea planului acoperișurilor, al streașinilor sau a pereților combustibili, </w:t>
      </w:r>
      <w:r>
        <w:rPr>
          <w:rFonts w:eastAsia="TimesNewRomanPSMT-Identity-H"/>
          <w:i/>
          <w:sz w:val="24"/>
          <w:szCs w:val="24"/>
        </w:rPr>
        <w:t xml:space="preserve">clasa de reacție la foc </w:t>
      </w:r>
      <w:r>
        <w:rPr>
          <w:rFonts w:eastAsia="TimesNewRomanPSMT-Identity-H"/>
          <w:b/>
          <w:bCs/>
          <w:i/>
          <w:sz w:val="24"/>
          <w:szCs w:val="24"/>
          <w:lang w:eastAsia="zh-CN"/>
        </w:rPr>
        <w:t>Ds1÷s3,d0÷d1</w:t>
      </w:r>
      <w:r>
        <w:rPr>
          <w:rFonts w:eastAsia="TimesNewRomanPSMT-Identity-H"/>
          <w:i/>
          <w:sz w:val="24"/>
          <w:szCs w:val="24"/>
        </w:rPr>
        <w:t xml:space="preserve"> sau clasa de reacție la foc </w:t>
      </w:r>
      <w:r>
        <w:rPr>
          <w:rFonts w:eastAsia="TimesNewRomanPSMT-Identity-H"/>
          <w:b/>
          <w:bCs/>
          <w:i/>
          <w:sz w:val="24"/>
          <w:szCs w:val="24"/>
          <w:lang w:eastAsia="zh-CN"/>
        </w:rPr>
        <w:t>A2s1÷s3,d2; Bs1÷s3,d2; Cs1÷s3,d2; Ds1÷s3,d2; Ed2</w:t>
      </w:r>
      <w:r>
        <w:rPr>
          <w:rFonts w:eastAsia="Calibri"/>
          <w:i/>
          <w:sz w:val="24"/>
          <w:szCs w:val="24"/>
          <w:shd w:val="clear" w:color="auto" w:fill="FFFFFF"/>
        </w:rPr>
        <w:t xml:space="preserve">, poate fi înlocuită prin fâșii </w:t>
      </w:r>
      <w:r>
        <w:rPr>
          <w:rFonts w:eastAsia="TimesNewRomanPSMT-Identity-H"/>
          <w:i/>
          <w:sz w:val="24"/>
          <w:szCs w:val="24"/>
        </w:rPr>
        <w:t xml:space="preserve">clasa de reacție la foc </w:t>
      </w:r>
      <w:r>
        <w:rPr>
          <w:b/>
          <w:bCs/>
          <w:i/>
          <w:sz w:val="24"/>
          <w:szCs w:val="24"/>
          <w:lang w:val="en-GB"/>
        </w:rPr>
        <w:t>A1, A2s1d0</w:t>
      </w:r>
      <w:r>
        <w:rPr>
          <w:b/>
          <w:bCs/>
          <w:i/>
          <w:sz w:val="24"/>
          <w:szCs w:val="24"/>
        </w:rPr>
        <w:t xml:space="preserve"> </w:t>
      </w:r>
      <w:r>
        <w:rPr>
          <w:rFonts w:eastAsia="Calibri"/>
          <w:i/>
          <w:sz w:val="24"/>
          <w:szCs w:val="24"/>
          <w:shd w:val="clear" w:color="auto" w:fill="FFFFFF"/>
        </w:rPr>
        <w:t xml:space="preserve">de acoperiș, streașină sau respectiv de perete, cu lățimea de cel puțin </w:t>
      </w:r>
      <w:r>
        <w:rPr>
          <w:rFonts w:eastAsia="Calibri"/>
          <w:b/>
          <w:bCs/>
          <w:i/>
          <w:sz w:val="24"/>
          <w:szCs w:val="24"/>
          <w:shd w:val="clear" w:color="auto" w:fill="FFFFFF"/>
        </w:rPr>
        <w:t>6,00 m</w:t>
      </w:r>
      <w:r>
        <w:rPr>
          <w:rFonts w:eastAsia="Calibri"/>
          <w:i/>
          <w:sz w:val="24"/>
          <w:szCs w:val="24"/>
          <w:shd w:val="clear" w:color="auto" w:fill="FFFFFF"/>
        </w:rPr>
        <w:t>.</w:t>
      </w:r>
    </w:p>
    <w:p w14:paraId="5E12C5A8"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2.3.15.</w:t>
      </w:r>
      <w:r>
        <w:rPr>
          <w:rFonts w:eastAsia="Calibri"/>
          <w:i/>
          <w:sz w:val="24"/>
          <w:szCs w:val="24"/>
          <w:shd w:val="clear" w:color="auto" w:fill="FFFFFF"/>
        </w:rPr>
        <w:t xml:space="preserve"> În cazul clădirilor existente cu înălțimi diferite, de regulă, pereții antifoc se prevăd la construcția existentă cea mai înaltă, pe toată înălțimea acesteia sau pe cel puțin </w:t>
      </w:r>
      <w:r>
        <w:rPr>
          <w:rFonts w:eastAsia="Calibri"/>
          <w:b/>
          <w:bCs/>
          <w:i/>
          <w:sz w:val="24"/>
          <w:szCs w:val="24"/>
          <w:shd w:val="clear" w:color="auto" w:fill="FFFFFF"/>
        </w:rPr>
        <w:t>8,00 m</w:t>
      </w:r>
      <w:r>
        <w:rPr>
          <w:rFonts w:eastAsia="Calibri"/>
          <w:i/>
          <w:sz w:val="24"/>
          <w:szCs w:val="24"/>
          <w:shd w:val="clear" w:color="auto" w:fill="FFFFFF"/>
        </w:rPr>
        <w:t xml:space="preserve"> înălțime față de construcția mai joasă. Se admite prevederea pereților antifoc la construcția existentă mai joasă dacă aceasta este astfel alcătuită încât incendiul să nu se poată propaga prin depășirea peretelui antifoc în acest sens, pe distanța de </w:t>
      </w:r>
      <w:r>
        <w:rPr>
          <w:rFonts w:eastAsia="Calibri"/>
          <w:b/>
          <w:bCs/>
          <w:i/>
          <w:sz w:val="24"/>
          <w:szCs w:val="24"/>
          <w:shd w:val="clear" w:color="auto" w:fill="FFFFFF"/>
        </w:rPr>
        <w:t>6,00 m</w:t>
      </w:r>
      <w:r>
        <w:rPr>
          <w:rFonts w:eastAsia="Calibri"/>
          <w:i/>
          <w:sz w:val="24"/>
          <w:szCs w:val="24"/>
          <w:shd w:val="clear" w:color="auto" w:fill="FFFFFF"/>
        </w:rPr>
        <w:t xml:space="preserve"> de la construcția existentă mai înaltă, porțiunea de clădire existentă mai joasă trebuie să îndeplinească următoarele condiții:</w:t>
      </w:r>
    </w:p>
    <w:p w14:paraId="1135AD9A" w14:textId="77777777" w:rsidR="001C08A5" w:rsidRDefault="00000000">
      <w:pPr>
        <w:shd w:val="clear" w:color="auto" w:fill="FFFFFF"/>
        <w:spacing w:after="150"/>
        <w:ind w:left="144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w:t>
      </w:r>
      <w:r>
        <w:rPr>
          <w:rFonts w:eastAsia="Calibri"/>
          <w:i/>
          <w:sz w:val="24"/>
          <w:szCs w:val="24"/>
          <w:shd w:val="clear" w:color="auto" w:fill="FFFFFF"/>
          <w:lang w:val="en-US" w:eastAsia="zh-CN" w:bidi="ar"/>
        </w:rPr>
        <w:t xml:space="preserve"> acoperișul (terasa) să fie fără goluri, cu rezistență la foc de minimum 1 oră </w:t>
      </w:r>
      <w:r>
        <w:rPr>
          <w:rFonts w:eastAsia="Calibri"/>
          <w:i/>
          <w:sz w:val="24"/>
          <w:szCs w:val="24"/>
          <w:shd w:val="clear" w:color="auto" w:fill="FFFFFF"/>
          <w:lang w:eastAsia="zh-CN" w:bidi="ar"/>
        </w:rPr>
        <w:t>(</w:t>
      </w:r>
      <w:r>
        <w:rPr>
          <w:rFonts w:eastAsia="Calibri"/>
          <w:b/>
          <w:bCs/>
          <w:i/>
          <w:sz w:val="24"/>
          <w:szCs w:val="24"/>
          <w:shd w:val="clear" w:color="auto" w:fill="FFFFFF"/>
          <w:lang w:eastAsia="zh-CN" w:bidi="ar"/>
        </w:rPr>
        <w:t>REI60</w:t>
      </w: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și învelitoare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lang w:val="en-US" w:eastAsia="zh-CN" w:bidi="ar"/>
        </w:rPr>
        <w:t xml:space="preserve"> sau protejată cu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lang w:val="en-US" w:eastAsia="zh-CN" w:bidi="ar"/>
        </w:rPr>
        <w:t xml:space="preserve"> (șapă de ciment slab armată, dale, pietriș, zgură, mortar de perlit, etc);</w:t>
      </w:r>
    </w:p>
    <w:p w14:paraId="5351B22E" w14:textId="77777777" w:rsidR="001C08A5" w:rsidRDefault="00000000">
      <w:pPr>
        <w:shd w:val="clear" w:color="auto" w:fill="FFFFFF"/>
        <w:spacing w:after="150"/>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încăperile </w:t>
      </w:r>
      <w:r>
        <w:rPr>
          <w:rFonts w:eastAsia="Calibri"/>
          <w:i/>
          <w:sz w:val="24"/>
          <w:szCs w:val="24"/>
          <w:shd w:val="clear" w:color="auto" w:fill="FFFFFF"/>
        </w:rPr>
        <w:t xml:space="preserve">existente </w:t>
      </w:r>
      <w:r>
        <w:rPr>
          <w:rFonts w:eastAsia="Calibri"/>
          <w:i/>
          <w:sz w:val="24"/>
          <w:szCs w:val="24"/>
          <w:shd w:val="clear" w:color="auto" w:fill="FFFFFF"/>
          <w:lang w:val="en-US" w:eastAsia="zh-CN" w:bidi="ar"/>
        </w:rPr>
        <w:t>din porțiunea respectivă să fie prevăzute cu instalații automate de stingere a incendiilor, atunci când densitatea sarcinii termice din interiorul lor</w:t>
      </w: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depășește </w:t>
      </w:r>
      <w:r>
        <w:rPr>
          <w:rFonts w:eastAsia="Calibri"/>
          <w:b/>
          <w:bCs/>
          <w:i/>
          <w:sz w:val="24"/>
          <w:szCs w:val="24"/>
          <w:shd w:val="clear" w:color="auto" w:fill="FFFFFF"/>
          <w:lang w:val="en-US" w:eastAsia="zh-CN" w:bidi="ar"/>
        </w:rPr>
        <w:t>840 MJ/mp</w:t>
      </w:r>
      <w:r>
        <w:rPr>
          <w:rFonts w:eastAsia="Calibri"/>
          <w:i/>
          <w:sz w:val="24"/>
          <w:szCs w:val="24"/>
          <w:shd w:val="clear" w:color="auto" w:fill="FFFFFF"/>
          <w:lang w:val="en-US" w:eastAsia="zh-CN" w:bidi="ar"/>
        </w:rPr>
        <w:t>.</w:t>
      </w:r>
    </w:p>
    <w:p w14:paraId="002D6243"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2.3.16.</w:t>
      </w:r>
      <w:r>
        <w:rPr>
          <w:rFonts w:eastAsia="Calibri"/>
          <w:i/>
          <w:sz w:val="24"/>
          <w:szCs w:val="24"/>
          <w:shd w:val="clear" w:color="auto" w:fill="FFFFFF"/>
        </w:rPr>
        <w:t> Pereții antifoc din construcțiile existente se amplasează astfel încât să se evite posibilitățile de propagare a incendiului dintr-un compartiment de incendiu în altul, prin golurile neprotejate din pereții exteriori, dispuse la colțurile intrânde ale construcțiilor, sau prin incendierea unor construcții combustibile existente amplasate în vecinătate .</w:t>
      </w:r>
    </w:p>
    <w:p w14:paraId="681F45C1" w14:textId="77777777" w:rsidR="001C08A5" w:rsidRDefault="00000000">
      <w:pPr>
        <w:shd w:val="clear" w:color="auto" w:fill="FFFFFF"/>
        <w:spacing w:after="150"/>
        <w:jc w:val="center"/>
        <w:rPr>
          <w:rFonts w:eastAsia="Calibri"/>
          <w:i/>
          <w:sz w:val="24"/>
          <w:szCs w:val="24"/>
          <w:shd w:val="clear" w:color="auto" w:fill="FFFFFF"/>
        </w:rPr>
      </w:pPr>
      <w:r>
        <w:rPr>
          <w:rFonts w:eastAsia="Calibri"/>
          <w:i/>
          <w:noProof/>
          <w:sz w:val="24"/>
          <w:szCs w:val="24"/>
          <w:shd w:val="clear" w:color="auto" w:fill="FFFFFF"/>
          <w:lang w:eastAsia="ro-RO"/>
        </w:rPr>
        <w:drawing>
          <wp:inline distT="0" distB="0" distL="114300" distR="114300" wp14:anchorId="50033E45" wp14:editId="2778BF26">
            <wp:extent cx="3903980" cy="1107440"/>
            <wp:effectExtent l="0" t="0" r="1270" b="16510"/>
            <wp:docPr id="570" name="Picture 520"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20" descr="Untitled6"/>
                    <pic:cNvPicPr>
                      <a:picLocks noChangeAspect="1"/>
                    </pic:cNvPicPr>
                  </pic:nvPicPr>
                  <pic:blipFill>
                    <a:blip r:embed="rId536"/>
                    <a:srcRect l="23520" r="12611" b="80627"/>
                    <a:stretch>
                      <a:fillRect/>
                    </a:stretch>
                  </pic:blipFill>
                  <pic:spPr>
                    <a:xfrm>
                      <a:off x="0" y="0"/>
                      <a:ext cx="3903980" cy="1107440"/>
                    </a:xfrm>
                    <a:prstGeom prst="rect">
                      <a:avLst/>
                    </a:prstGeom>
                    <a:noFill/>
                    <a:ln>
                      <a:noFill/>
                    </a:ln>
                  </pic:spPr>
                </pic:pic>
              </a:graphicData>
            </a:graphic>
          </wp:inline>
        </w:drawing>
      </w:r>
    </w:p>
    <w:p w14:paraId="12C3FDC5" w14:textId="77777777" w:rsidR="001C08A5" w:rsidRDefault="00000000">
      <w:pPr>
        <w:shd w:val="clear" w:color="auto" w:fill="FFFFFF"/>
        <w:spacing w:after="150"/>
        <w:jc w:val="center"/>
        <w:rPr>
          <w:rFonts w:eastAsia="Calibri"/>
          <w:i/>
          <w:sz w:val="24"/>
          <w:szCs w:val="24"/>
          <w:shd w:val="clear" w:color="auto" w:fill="FFFFFF"/>
        </w:rPr>
      </w:pPr>
      <w:r>
        <w:rPr>
          <w:rFonts w:eastAsia="Calibri"/>
          <w:i/>
          <w:noProof/>
          <w:sz w:val="24"/>
          <w:szCs w:val="24"/>
          <w:shd w:val="clear" w:color="auto" w:fill="FFFFFF"/>
          <w:lang w:eastAsia="ro-RO"/>
        </w:rPr>
        <w:drawing>
          <wp:inline distT="0" distB="0" distL="114300" distR="114300" wp14:anchorId="5E49E5BA" wp14:editId="53FEF101">
            <wp:extent cx="3903980" cy="1108075"/>
            <wp:effectExtent l="0" t="0" r="1270" b="15875"/>
            <wp:docPr id="571" name="Picture 520"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20" descr="Untitled6"/>
                    <pic:cNvPicPr>
                      <a:picLocks noChangeAspect="1"/>
                    </pic:cNvPicPr>
                  </pic:nvPicPr>
                  <pic:blipFill>
                    <a:blip r:embed="rId536"/>
                    <a:srcRect l="23520" t="18329" r="12611" b="62286"/>
                    <a:stretch>
                      <a:fillRect/>
                    </a:stretch>
                  </pic:blipFill>
                  <pic:spPr>
                    <a:xfrm>
                      <a:off x="0" y="0"/>
                      <a:ext cx="3903980" cy="1108075"/>
                    </a:xfrm>
                    <a:prstGeom prst="rect">
                      <a:avLst/>
                    </a:prstGeom>
                    <a:noFill/>
                    <a:ln>
                      <a:noFill/>
                    </a:ln>
                  </pic:spPr>
                </pic:pic>
              </a:graphicData>
            </a:graphic>
          </wp:inline>
        </w:drawing>
      </w:r>
    </w:p>
    <w:p w14:paraId="03EB2BB6" w14:textId="77777777" w:rsidR="001C08A5" w:rsidRDefault="00000000">
      <w:pPr>
        <w:shd w:val="clear" w:color="auto" w:fill="FFFFFF"/>
        <w:spacing w:after="150"/>
        <w:jc w:val="center"/>
        <w:rPr>
          <w:rFonts w:eastAsia="Calibri"/>
          <w:i/>
          <w:sz w:val="24"/>
          <w:szCs w:val="24"/>
          <w:shd w:val="clear" w:color="auto" w:fill="FFFFFF"/>
        </w:rPr>
      </w:pPr>
      <w:r>
        <w:rPr>
          <w:rFonts w:eastAsia="Calibri"/>
          <w:i/>
          <w:noProof/>
          <w:sz w:val="24"/>
          <w:szCs w:val="24"/>
          <w:shd w:val="clear" w:color="auto" w:fill="FFFFFF"/>
          <w:lang w:eastAsia="ro-RO"/>
        </w:rPr>
        <w:lastRenderedPageBreak/>
        <w:drawing>
          <wp:inline distT="0" distB="0" distL="114300" distR="114300" wp14:anchorId="7670846F" wp14:editId="559584B1">
            <wp:extent cx="3903980" cy="1202690"/>
            <wp:effectExtent l="0" t="0" r="1270" b="16510"/>
            <wp:docPr id="572" name="Picture 520"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20" descr="Untitled6"/>
                    <pic:cNvPicPr>
                      <a:picLocks noChangeAspect="1"/>
                    </pic:cNvPicPr>
                  </pic:nvPicPr>
                  <pic:blipFill>
                    <a:blip r:embed="rId536"/>
                    <a:srcRect l="23520" t="36914" r="12611" b="42046"/>
                    <a:stretch>
                      <a:fillRect/>
                    </a:stretch>
                  </pic:blipFill>
                  <pic:spPr>
                    <a:xfrm>
                      <a:off x="0" y="0"/>
                      <a:ext cx="3903980" cy="1202690"/>
                    </a:xfrm>
                    <a:prstGeom prst="rect">
                      <a:avLst/>
                    </a:prstGeom>
                    <a:noFill/>
                    <a:ln>
                      <a:noFill/>
                    </a:ln>
                  </pic:spPr>
                </pic:pic>
              </a:graphicData>
            </a:graphic>
          </wp:inline>
        </w:drawing>
      </w:r>
    </w:p>
    <w:p w14:paraId="6FF8A0FB" w14:textId="77777777" w:rsidR="001C08A5" w:rsidRDefault="00000000">
      <w:pPr>
        <w:shd w:val="clear" w:color="auto" w:fill="FFFFFF"/>
        <w:spacing w:after="150"/>
        <w:jc w:val="center"/>
        <w:rPr>
          <w:rFonts w:eastAsia="Calibri"/>
          <w:i/>
          <w:sz w:val="24"/>
          <w:szCs w:val="24"/>
          <w:shd w:val="clear" w:color="auto" w:fill="FFFFFF"/>
        </w:rPr>
      </w:pPr>
      <w:r>
        <w:rPr>
          <w:rFonts w:eastAsia="Calibri"/>
          <w:i/>
          <w:noProof/>
          <w:sz w:val="24"/>
          <w:szCs w:val="24"/>
          <w:shd w:val="clear" w:color="auto" w:fill="FFFFFF"/>
          <w:lang w:eastAsia="ro-RO"/>
        </w:rPr>
        <w:drawing>
          <wp:inline distT="0" distB="0" distL="114300" distR="114300" wp14:anchorId="64106991" wp14:editId="64AED5C3">
            <wp:extent cx="3903980" cy="1202690"/>
            <wp:effectExtent l="0" t="0" r="1270" b="16510"/>
            <wp:docPr id="573" name="Picture 520"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icture 520" descr="Untitled6"/>
                    <pic:cNvPicPr>
                      <a:picLocks noChangeAspect="1"/>
                    </pic:cNvPicPr>
                  </pic:nvPicPr>
                  <pic:blipFill>
                    <a:blip r:embed="rId536"/>
                    <a:srcRect l="23520" t="57176" r="12611" b="21784"/>
                    <a:stretch>
                      <a:fillRect/>
                    </a:stretch>
                  </pic:blipFill>
                  <pic:spPr>
                    <a:xfrm>
                      <a:off x="0" y="0"/>
                      <a:ext cx="3903980" cy="1202690"/>
                    </a:xfrm>
                    <a:prstGeom prst="rect">
                      <a:avLst/>
                    </a:prstGeom>
                    <a:noFill/>
                    <a:ln>
                      <a:noFill/>
                    </a:ln>
                  </pic:spPr>
                </pic:pic>
              </a:graphicData>
            </a:graphic>
          </wp:inline>
        </w:drawing>
      </w:r>
    </w:p>
    <w:p w14:paraId="3044C268" w14:textId="77777777" w:rsidR="001C08A5" w:rsidRDefault="00000000">
      <w:pPr>
        <w:shd w:val="clear" w:color="auto" w:fill="FFFFFF"/>
        <w:spacing w:after="150"/>
        <w:jc w:val="center"/>
        <w:rPr>
          <w:rFonts w:eastAsia="Calibri"/>
          <w:i/>
          <w:sz w:val="24"/>
          <w:szCs w:val="24"/>
          <w:shd w:val="clear" w:color="auto" w:fill="FFFFFF"/>
        </w:rPr>
      </w:pPr>
      <w:r>
        <w:rPr>
          <w:rFonts w:eastAsia="Calibri"/>
          <w:i/>
          <w:noProof/>
          <w:sz w:val="24"/>
          <w:szCs w:val="24"/>
          <w:shd w:val="clear" w:color="auto" w:fill="FFFFFF"/>
          <w:lang w:eastAsia="ro-RO"/>
        </w:rPr>
        <w:drawing>
          <wp:inline distT="0" distB="0" distL="114300" distR="114300" wp14:anchorId="224B7DDF" wp14:editId="45289A4B">
            <wp:extent cx="3903980" cy="1282700"/>
            <wp:effectExtent l="0" t="0" r="1270" b="12700"/>
            <wp:docPr id="574" name="Picture 520"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 520" descr="Untitled6"/>
                    <pic:cNvPicPr>
                      <a:picLocks noChangeAspect="1"/>
                    </pic:cNvPicPr>
                  </pic:nvPicPr>
                  <pic:blipFill>
                    <a:blip r:embed="rId536"/>
                    <a:srcRect l="23520" t="77561" r="12611"/>
                    <a:stretch>
                      <a:fillRect/>
                    </a:stretch>
                  </pic:blipFill>
                  <pic:spPr>
                    <a:xfrm>
                      <a:off x="0" y="0"/>
                      <a:ext cx="3903980" cy="1282700"/>
                    </a:xfrm>
                    <a:prstGeom prst="rect">
                      <a:avLst/>
                    </a:prstGeom>
                    <a:noFill/>
                    <a:ln>
                      <a:noFill/>
                    </a:ln>
                  </pic:spPr>
                </pic:pic>
              </a:graphicData>
            </a:graphic>
          </wp:inline>
        </w:drawing>
      </w:r>
    </w:p>
    <w:p w14:paraId="58E2E81F" w14:textId="77777777" w:rsidR="001C08A5" w:rsidRDefault="00000000">
      <w:pPr>
        <w:shd w:val="clear" w:color="auto" w:fill="FFFFFF"/>
        <w:spacing w:after="150"/>
        <w:jc w:val="center"/>
        <w:rPr>
          <w:rFonts w:eastAsia="Calibri"/>
          <w:b/>
          <w:i/>
          <w:sz w:val="24"/>
          <w:szCs w:val="24"/>
          <w:shd w:val="clear" w:color="auto" w:fill="FFFFFF"/>
        </w:rPr>
      </w:pPr>
      <w:r>
        <w:rPr>
          <w:b/>
          <w:bCs/>
          <w:i/>
          <w:iCs/>
          <w:sz w:val="24"/>
          <w:szCs w:val="24"/>
        </w:rPr>
        <w:t xml:space="preserve">Figura 275 - </w:t>
      </w:r>
      <w:r>
        <w:rPr>
          <w:rFonts w:eastAsia="Calibri"/>
          <w:b/>
          <w:i/>
          <w:sz w:val="24"/>
          <w:szCs w:val="24"/>
          <w:shd w:val="clear" w:color="auto" w:fill="FFFFFF"/>
        </w:rPr>
        <w:t>Scheme pereți antifoc la construcții existente</w:t>
      </w:r>
    </w:p>
    <w:p w14:paraId="13EFCD06"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2.3.17.</w:t>
      </w:r>
      <w:r>
        <w:rPr>
          <w:rFonts w:eastAsia="Calibri"/>
          <w:i/>
          <w:sz w:val="24"/>
          <w:szCs w:val="24"/>
          <w:shd w:val="clear" w:color="auto" w:fill="FFFFFF"/>
        </w:rPr>
        <w:t xml:space="preserve"> În cazurile în care pereții antifoc sunt amplasați la colțurile intrânde ale clădirilor existente în formă de L sau U  golurile din pereții exteriori adiacenți se dispun astfel încât distanța dintre ele să fie de cel puțin </w:t>
      </w:r>
      <w:r>
        <w:rPr>
          <w:rFonts w:eastAsia="Calibri"/>
          <w:b/>
          <w:bCs/>
          <w:i/>
          <w:sz w:val="24"/>
          <w:szCs w:val="24"/>
          <w:shd w:val="clear" w:color="auto" w:fill="FFFFFF"/>
        </w:rPr>
        <w:t>4,00 m</w:t>
      </w:r>
      <w:r>
        <w:rPr>
          <w:rFonts w:eastAsia="Calibri"/>
          <w:i/>
          <w:sz w:val="24"/>
          <w:szCs w:val="24"/>
          <w:shd w:val="clear" w:color="auto" w:fill="FFFFFF"/>
        </w:rPr>
        <w:t xml:space="preserve">. Atunci când se prevăd goluri funcționale în această porțiune, se consideră protejate dacă sunt cu tâmplărie fixă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și geam armat, ori cu elemente de închidere rezistente la foc 45 minute (</w:t>
      </w:r>
      <w:r>
        <w:rPr>
          <w:rFonts w:eastAsia="Calibri"/>
          <w:b/>
          <w:bCs/>
          <w:i/>
          <w:sz w:val="24"/>
          <w:szCs w:val="24"/>
          <w:shd w:val="clear" w:color="auto" w:fill="FFFFFF"/>
        </w:rPr>
        <w:t>EI45-C</w:t>
      </w:r>
      <w:r>
        <w:rPr>
          <w:rFonts w:eastAsia="Calibri"/>
          <w:i/>
          <w:sz w:val="24"/>
          <w:szCs w:val="24"/>
          <w:shd w:val="clear" w:color="auto" w:fill="FFFFFF"/>
        </w:rPr>
        <w:t xml:space="preserve">), prevăzute cu autoînchidere sau închidere automată în caz de incendiu, conform </w:t>
      </w:r>
      <w:r>
        <w:rPr>
          <w:rFonts w:eastAsia="Calibri"/>
          <w:iCs/>
          <w:sz w:val="22"/>
          <w:szCs w:val="22"/>
          <w:shd w:val="clear" w:color="auto" w:fill="FFFFFF"/>
        </w:rPr>
        <w:t>Figura 276</w:t>
      </w:r>
      <w:r>
        <w:rPr>
          <w:rFonts w:eastAsia="Calibri"/>
          <w:i/>
          <w:sz w:val="24"/>
          <w:szCs w:val="24"/>
          <w:shd w:val="clear" w:color="auto" w:fill="FFFFFF"/>
        </w:rPr>
        <w:t>.</w:t>
      </w:r>
    </w:p>
    <w:p w14:paraId="719917E6" w14:textId="77777777" w:rsidR="001C08A5" w:rsidRDefault="00000000">
      <w:pPr>
        <w:shd w:val="clear" w:color="auto" w:fill="FFFFFF"/>
        <w:spacing w:after="150"/>
        <w:jc w:val="center"/>
        <w:rPr>
          <w:rFonts w:eastAsia="Calibri"/>
          <w:i/>
          <w:sz w:val="24"/>
          <w:szCs w:val="24"/>
          <w:shd w:val="clear" w:color="auto" w:fill="FFFFFF"/>
        </w:rPr>
      </w:pPr>
      <w:r>
        <w:rPr>
          <w:rFonts w:eastAsia="Calibri"/>
          <w:i/>
          <w:noProof/>
          <w:sz w:val="24"/>
          <w:szCs w:val="24"/>
          <w:shd w:val="clear" w:color="auto" w:fill="FFFFFF"/>
          <w:lang w:eastAsia="ro-RO"/>
        </w:rPr>
        <w:drawing>
          <wp:inline distT="0" distB="0" distL="114300" distR="114300" wp14:anchorId="41B4179F" wp14:editId="34FB0993">
            <wp:extent cx="3507740" cy="2148205"/>
            <wp:effectExtent l="0" t="0" r="16510" b="4445"/>
            <wp:docPr id="575" name="Picture 522"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22" descr="Untitled7"/>
                    <pic:cNvPicPr>
                      <a:picLocks noChangeAspect="1"/>
                    </pic:cNvPicPr>
                  </pic:nvPicPr>
                  <pic:blipFill>
                    <a:blip r:embed="rId537"/>
                    <a:srcRect l="44072" t="6325" r="5528" b="7513"/>
                    <a:stretch>
                      <a:fillRect/>
                    </a:stretch>
                  </pic:blipFill>
                  <pic:spPr>
                    <a:xfrm>
                      <a:off x="0" y="0"/>
                      <a:ext cx="3507740" cy="2148205"/>
                    </a:xfrm>
                    <a:prstGeom prst="rect">
                      <a:avLst/>
                    </a:prstGeom>
                    <a:noFill/>
                    <a:ln>
                      <a:noFill/>
                    </a:ln>
                  </pic:spPr>
                </pic:pic>
              </a:graphicData>
            </a:graphic>
          </wp:inline>
        </w:drawing>
      </w:r>
    </w:p>
    <w:p w14:paraId="1936BFA7" w14:textId="77777777" w:rsidR="001C08A5" w:rsidRDefault="00000000">
      <w:pPr>
        <w:jc w:val="center"/>
        <w:rPr>
          <w:b/>
          <w:bCs/>
          <w:i/>
          <w:iCs/>
          <w:sz w:val="24"/>
          <w:szCs w:val="24"/>
          <w:shd w:val="clear" w:color="auto" w:fill="FFFFFF"/>
        </w:rPr>
      </w:pPr>
      <w:r>
        <w:rPr>
          <w:b/>
          <w:bCs/>
          <w:i/>
          <w:iCs/>
          <w:sz w:val="24"/>
          <w:szCs w:val="24"/>
        </w:rPr>
        <w:t xml:space="preserve">Figura 276 - </w:t>
      </w:r>
      <w:r>
        <w:rPr>
          <w:b/>
          <w:bCs/>
          <w:i/>
          <w:iCs/>
          <w:sz w:val="24"/>
          <w:szCs w:val="24"/>
          <w:shd w:val="clear" w:color="auto" w:fill="FFFFFF"/>
        </w:rPr>
        <w:t>Pereți antifoc amplasați la colțurile intrânde ale clădirilor existente în formă de L sau U la construcții existente</w:t>
      </w:r>
    </w:p>
    <w:p w14:paraId="64632F20" w14:textId="77777777" w:rsidR="001C08A5" w:rsidRDefault="001C08A5">
      <w:pPr>
        <w:jc w:val="center"/>
        <w:rPr>
          <w:b/>
          <w:bCs/>
          <w:i/>
          <w:iCs/>
          <w:sz w:val="24"/>
          <w:szCs w:val="24"/>
          <w:shd w:val="clear" w:color="auto" w:fill="FFFFFF"/>
        </w:rPr>
      </w:pPr>
    </w:p>
    <w:p w14:paraId="4C13C71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2.3.18.</w:t>
      </w:r>
      <w:r>
        <w:rPr>
          <w:rFonts w:eastAsia="Calibri"/>
          <w:i/>
          <w:sz w:val="24"/>
          <w:szCs w:val="24"/>
          <w:shd w:val="clear" w:color="auto" w:fill="FFFFFF"/>
        </w:rPr>
        <w:t xml:space="preserve"> Străpungerea pereților antifoc din construcțiile existente cu elemente metalice este admisă, dacă se iau măsuri împotriva transmiterii căldurii prin conductibilitate (alegerea unor trasee judicioase, îndepărtarea materialelor combustibile, protejarea locală a elementelor metalice, etc). Golurile din jurul elementelor metalice se vor realiza astfel încât să permită dilatarea liberă a acestora și se etanșează cu materiale </w:t>
      </w:r>
      <w:r>
        <w:rPr>
          <w:rFonts w:eastAsia="TimesNewRomanPSMT-Identity-H"/>
          <w:i/>
          <w:sz w:val="24"/>
          <w:szCs w:val="24"/>
        </w:rPr>
        <w:t xml:space="preserve">clasa de reacție la foc </w:t>
      </w:r>
      <w:r>
        <w:rPr>
          <w:rFonts w:eastAsia="Times New Roman"/>
          <w:b/>
          <w:i/>
          <w:sz w:val="24"/>
          <w:szCs w:val="24"/>
        </w:rPr>
        <w:t xml:space="preserve">A1, A2s1d0 </w:t>
      </w:r>
      <w:r>
        <w:rPr>
          <w:rFonts w:eastAsia="Times New Roman"/>
          <w:bCs/>
          <w:i/>
          <w:sz w:val="24"/>
          <w:szCs w:val="24"/>
        </w:rPr>
        <w:t>sau</w:t>
      </w:r>
      <w:r>
        <w:rPr>
          <w:rFonts w:eastAsia="Times New Roman"/>
          <w:b/>
          <w:i/>
          <w:sz w:val="24"/>
          <w:szCs w:val="24"/>
        </w:rPr>
        <w:t xml:space="preserve">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w:t>
      </w:r>
      <w:r>
        <w:rPr>
          <w:rFonts w:eastAsia="TimesNewRomanPSMT-Identity-H"/>
          <w:b/>
          <w:bCs/>
          <w:i/>
          <w:sz w:val="24"/>
          <w:szCs w:val="24"/>
          <w:lang w:eastAsia="zh-CN"/>
        </w:rPr>
        <w:lastRenderedPageBreak/>
        <w:t>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care să asigure o rezistență la foc de minimum 1 oră și 30 de minute (</w:t>
      </w:r>
      <w:r>
        <w:rPr>
          <w:rFonts w:eastAsia="Calibri"/>
          <w:b/>
          <w:bCs/>
          <w:i/>
          <w:sz w:val="24"/>
          <w:szCs w:val="24"/>
          <w:shd w:val="clear" w:color="auto" w:fill="FFFFFF"/>
        </w:rPr>
        <w:t>EI90</w:t>
      </w:r>
      <w:r>
        <w:rPr>
          <w:rFonts w:eastAsia="Calibri"/>
          <w:i/>
          <w:sz w:val="24"/>
          <w:szCs w:val="24"/>
          <w:shd w:val="clear" w:color="auto" w:fill="FFFFFF"/>
        </w:rPr>
        <w:t>).</w:t>
      </w:r>
    </w:p>
    <w:p w14:paraId="2DC905A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2.3.19.</w:t>
      </w:r>
      <w:r>
        <w:rPr>
          <w:rFonts w:eastAsia="Calibri"/>
          <w:i/>
          <w:sz w:val="24"/>
          <w:szCs w:val="24"/>
          <w:shd w:val="clear" w:color="auto" w:fill="FFFFFF"/>
        </w:rPr>
        <w:t> </w:t>
      </w:r>
      <w:r>
        <w:rPr>
          <w:rFonts w:eastAsia="Calibri"/>
          <w:b/>
          <w:bCs/>
          <w:i/>
          <w:sz w:val="24"/>
          <w:szCs w:val="24"/>
          <w:shd w:val="clear" w:color="auto" w:fill="FFFFFF"/>
        </w:rPr>
        <w:t xml:space="preserve">(1) </w:t>
      </w:r>
      <w:r>
        <w:rPr>
          <w:rFonts w:eastAsia="Calibri"/>
          <w:i/>
          <w:sz w:val="24"/>
          <w:szCs w:val="24"/>
          <w:shd w:val="clear" w:color="auto" w:fill="FFFFFF"/>
        </w:rPr>
        <w:t>Traversarea pereților antifoc din construcțiile existente de către conducte, canale de ventilare, conductoare și cabluri electrice, este admisă numai dacă sunt îndeplinite următoarele condiții:</w:t>
      </w:r>
    </w:p>
    <w:p w14:paraId="13EBE5FD"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spațiile libere în jurul conductelor, cablurilor și conductoarelor electrice, etc, (inclusiv cele pozate în canale), se închid cu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lang w:val="en-US" w:eastAsia="zh-CN" w:bidi="ar"/>
        </w:rPr>
        <w:t>, asigurându-se rezistența la foc egală cu cea a peretelui;</w:t>
      </w:r>
    </w:p>
    <w:p w14:paraId="5BE2E576"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canalele de ventilare ce trec prin perete vor fi incombustibile, iar golul dintre perete și acestea se etanșează cu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lang w:val="en-US" w:eastAsia="zh-CN" w:bidi="ar"/>
        </w:rPr>
        <w:t>, rezistente la foc cel puțin 1 oră și 30 de minute</w:t>
      </w:r>
      <w:r>
        <w:rPr>
          <w:rFonts w:eastAsia="Calibri"/>
          <w:i/>
          <w:sz w:val="24"/>
          <w:szCs w:val="24"/>
          <w:shd w:val="clear" w:color="auto" w:fill="FFFFFF"/>
          <w:lang w:eastAsia="zh-CN" w:bidi="ar"/>
        </w:rPr>
        <w:t xml:space="preserve"> (</w:t>
      </w:r>
      <w:r>
        <w:rPr>
          <w:rFonts w:eastAsia="Calibri"/>
          <w:b/>
          <w:bCs/>
          <w:i/>
          <w:sz w:val="24"/>
          <w:szCs w:val="24"/>
          <w:shd w:val="clear" w:color="auto" w:fill="FFFFFF"/>
          <w:lang w:eastAsia="zh-CN" w:bidi="ar"/>
        </w:rPr>
        <w:t>EI90</w:t>
      </w:r>
      <w:r>
        <w:rPr>
          <w:rFonts w:eastAsia="Calibri"/>
          <w:i/>
          <w:sz w:val="24"/>
          <w:szCs w:val="24"/>
          <w:shd w:val="clear" w:color="auto" w:fill="FFFFFF"/>
          <w:lang w:eastAsia="zh-CN" w:bidi="ar"/>
        </w:rPr>
        <w:t>)</w:t>
      </w:r>
      <w:r>
        <w:rPr>
          <w:rFonts w:eastAsia="Calibri"/>
          <w:i/>
          <w:sz w:val="24"/>
          <w:szCs w:val="24"/>
          <w:shd w:val="clear" w:color="auto" w:fill="FFFFFF"/>
          <w:lang w:val="en-US" w:eastAsia="zh-CN" w:bidi="ar"/>
        </w:rPr>
        <w:t>;</w:t>
      </w:r>
    </w:p>
    <w:p w14:paraId="2A89D5CE"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trecerea conductelor și a canalelor de ventilare se realizează astfel încât să nu producă dislocări ale unor porțiuni de perete datorită dilatării lor sub efectul creșterilor de temperatură;</w:t>
      </w:r>
    </w:p>
    <w:p w14:paraId="04DC15EF"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canalele de ventilare se prevăd cu sisteme de obturare, cu închidere automată în caz de incendiu</w:t>
      </w:r>
      <w:r>
        <w:rPr>
          <w:rFonts w:eastAsia="Calibri"/>
          <w:i/>
          <w:sz w:val="24"/>
          <w:szCs w:val="24"/>
          <w:shd w:val="clear" w:color="auto" w:fill="FFFFFF"/>
          <w:lang w:eastAsia="zh-CN" w:bidi="ar"/>
        </w:rPr>
        <w:t xml:space="preserve">, respectiv </w:t>
      </w:r>
      <w:r>
        <w:rPr>
          <w:rFonts w:eastAsia="Calibri"/>
          <w:i/>
          <w:sz w:val="24"/>
          <w:szCs w:val="24"/>
          <w:shd w:val="clear" w:color="auto" w:fill="FFFFFF"/>
          <w:lang w:val="en-US" w:eastAsia="zh-CN" w:bidi="ar"/>
        </w:rPr>
        <w:t>clapete antifoc cu rezistența lafoc</w:t>
      </w: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min.11/2 ore</w:t>
      </w:r>
      <w:r>
        <w:rPr>
          <w:rFonts w:eastAsia="Calibri"/>
          <w:i/>
          <w:sz w:val="24"/>
          <w:szCs w:val="24"/>
          <w:shd w:val="clear" w:color="auto" w:fill="FFFFFF"/>
          <w:lang w:eastAsia="zh-CN" w:bidi="ar"/>
        </w:rPr>
        <w:t xml:space="preserve"> (</w:t>
      </w:r>
      <w:r>
        <w:rPr>
          <w:rFonts w:eastAsia="Calibri"/>
          <w:b/>
          <w:bCs/>
          <w:i/>
          <w:sz w:val="24"/>
          <w:szCs w:val="24"/>
          <w:shd w:val="clear" w:color="auto" w:fill="FFFFFF"/>
          <w:lang w:eastAsia="zh-CN" w:bidi="ar"/>
        </w:rPr>
        <w:t>EI90</w:t>
      </w:r>
      <w:r>
        <w:rPr>
          <w:rFonts w:eastAsia="Calibri"/>
          <w:i/>
          <w:sz w:val="24"/>
          <w:szCs w:val="24"/>
          <w:shd w:val="clear" w:color="auto" w:fill="FFFFFF"/>
          <w:lang w:val="en-US" w:eastAsia="zh-CN" w:bidi="ar"/>
        </w:rPr>
        <w:t>);</w:t>
      </w:r>
    </w:p>
    <w:p w14:paraId="0A4219FD" w14:textId="77777777" w:rsidR="001C08A5" w:rsidRDefault="00000000">
      <w:pPr>
        <w:shd w:val="clear" w:color="auto" w:fill="FFFFFF"/>
        <w:ind w:left="144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se asigură evitarea aprinderii materialelor combustibile din vecinătatea canalelor de ventilare și a conductelor metalice, datorită căldurii transmise prin conductibilitate (trasee corespunzătoare, termoizolare.etc).</w:t>
      </w:r>
    </w:p>
    <w:p w14:paraId="24EBC02D" w14:textId="77777777" w:rsidR="001C08A5" w:rsidRDefault="00000000">
      <w:pPr>
        <w:shd w:val="clear" w:color="auto" w:fill="FFFFFF"/>
        <w:jc w:val="both"/>
        <w:rPr>
          <w:rFonts w:eastAsia="Calibri"/>
          <w:b/>
          <w:bCs/>
          <w:i/>
          <w:sz w:val="24"/>
          <w:szCs w:val="24"/>
          <w:shd w:val="clear" w:color="auto" w:fill="FFFFFF"/>
          <w:lang w:eastAsia="zh-CN"/>
        </w:rPr>
      </w:pPr>
      <w:r>
        <w:rPr>
          <w:rFonts w:eastAsia="Calibri"/>
          <w:b/>
          <w:bCs/>
          <w:i/>
          <w:sz w:val="24"/>
          <w:szCs w:val="24"/>
          <w:shd w:val="clear" w:color="auto" w:fill="FFFFFF"/>
        </w:rPr>
        <w:t xml:space="preserve">(2) </w:t>
      </w:r>
      <w:r>
        <w:rPr>
          <w:rFonts w:eastAsia="Calibri"/>
          <w:i/>
          <w:sz w:val="24"/>
          <w:szCs w:val="24"/>
          <w:shd w:val="clear" w:color="auto" w:fill="FFFFFF"/>
        </w:rPr>
        <w:t>Traversarea pereților antifoc din construcțiile existente care se extind cu alte compartimente de incendiu noi (minimum unul) se realizează conform prevederilor normativului (</w:t>
      </w:r>
      <w:r>
        <w:rPr>
          <w:rFonts w:eastAsia="Calibri"/>
          <w:b/>
          <w:bCs/>
          <w:i/>
          <w:sz w:val="24"/>
          <w:szCs w:val="24"/>
          <w:shd w:val="clear" w:color="auto" w:fill="FFFFFF"/>
        </w:rPr>
        <w:t xml:space="preserve">Art. 2.3.2.1.12.(1)) </w:t>
      </w:r>
      <w:r>
        <w:rPr>
          <w:rFonts w:eastAsia="Calibri"/>
          <w:i/>
          <w:sz w:val="24"/>
          <w:szCs w:val="24"/>
          <w:shd w:val="clear" w:color="auto" w:fill="FFFFFF"/>
        </w:rPr>
        <w:t>și t</w:t>
      </w:r>
      <w:r>
        <w:rPr>
          <w:rFonts w:eastAsia="Calibri" w:hint="eastAsia"/>
          <w:i/>
          <w:sz w:val="24"/>
          <w:szCs w:val="24"/>
          <w:shd w:val="clear" w:color="auto" w:fill="FFFFFF"/>
        </w:rPr>
        <w:t>raversarea pereţilor de sectorizare prevazuți pentru protecţia contra incendiilor care</w:t>
      </w:r>
      <w:r>
        <w:rPr>
          <w:rFonts w:eastAsia="Calibri"/>
          <w:i/>
          <w:sz w:val="24"/>
          <w:szCs w:val="24"/>
          <w:shd w:val="clear" w:color="auto" w:fill="FFFFFF"/>
        </w:rPr>
        <w:t xml:space="preserve"> </w:t>
      </w:r>
      <w:r>
        <w:rPr>
          <w:rFonts w:eastAsia="Calibri" w:hint="eastAsia"/>
          <w:i/>
          <w:sz w:val="24"/>
          <w:szCs w:val="24"/>
          <w:shd w:val="clear" w:color="auto" w:fill="FFFFFF"/>
        </w:rPr>
        <w:t>limitează propagarea în interiorul compartimentelor de incendiu</w:t>
      </w:r>
      <w:r>
        <w:rPr>
          <w:rFonts w:eastAsia="Calibri"/>
          <w:i/>
          <w:sz w:val="24"/>
          <w:szCs w:val="24"/>
          <w:shd w:val="clear" w:color="auto" w:fill="FFFFFF"/>
        </w:rPr>
        <w:t xml:space="preserve"> se realizează conform prevederilor normativului (</w:t>
      </w:r>
      <w:r>
        <w:rPr>
          <w:rFonts w:eastAsia="Calibri"/>
          <w:b/>
          <w:bCs/>
          <w:i/>
          <w:sz w:val="24"/>
          <w:szCs w:val="24"/>
          <w:shd w:val="clear" w:color="auto" w:fill="FFFFFF"/>
        </w:rPr>
        <w:t>Art. 2.3.2.1.12.(2)).</w:t>
      </w:r>
    </w:p>
    <w:p w14:paraId="033839D8" w14:textId="77777777" w:rsidR="001C08A5" w:rsidRDefault="00000000">
      <w:pPr>
        <w:pStyle w:val="Heading5"/>
        <w:rPr>
          <w:sz w:val="24"/>
          <w:szCs w:val="24"/>
          <w:lang w:val="ro-RO"/>
        </w:rPr>
      </w:pPr>
      <w:bookmarkStart w:id="10465" w:name="_Toc26669"/>
      <w:bookmarkStart w:id="10466" w:name="_Toc2967"/>
      <w:bookmarkStart w:id="10467" w:name="_Toc28258"/>
      <w:bookmarkStart w:id="10468" w:name="_Toc22689"/>
      <w:bookmarkStart w:id="10469" w:name="_Toc162355528"/>
      <w:bookmarkStart w:id="10470" w:name="_Toc19389"/>
      <w:r>
        <w:rPr>
          <w:sz w:val="24"/>
          <w:szCs w:val="24"/>
          <w:lang w:val="ro-RO"/>
        </w:rPr>
        <w:t>Protecția golurilor din pereți antifoc</w:t>
      </w:r>
      <w:bookmarkEnd w:id="10465"/>
      <w:bookmarkEnd w:id="10466"/>
      <w:bookmarkEnd w:id="10467"/>
      <w:bookmarkEnd w:id="10468"/>
      <w:bookmarkEnd w:id="10469"/>
      <w:bookmarkEnd w:id="10470"/>
    </w:p>
    <w:p w14:paraId="1F0FCF7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2.3.20.</w:t>
      </w:r>
      <w:r>
        <w:rPr>
          <w:rFonts w:eastAsia="Calibri"/>
          <w:i/>
          <w:sz w:val="24"/>
          <w:szCs w:val="24"/>
          <w:shd w:val="clear" w:color="auto" w:fill="FFFFFF"/>
        </w:rPr>
        <w:t xml:space="preserve"> Pereții antifoc din construcțiile existente, de regulă, se realizează fără goluri. Practicarea unor goluri în acești pereți se admite numai atunci când activitatea sau funcționalitatea impun prevederea lor (pentru circulație, transport, supraveghere, etc.) și sunt protejate corespunzător prevederilor prezentei anexe. Suprafața totală admisă de goluri nu trebuie să fie mai mare de </w:t>
      </w:r>
      <w:r>
        <w:rPr>
          <w:rFonts w:eastAsia="Calibri"/>
          <w:b/>
          <w:bCs/>
          <w:i/>
          <w:sz w:val="24"/>
          <w:szCs w:val="24"/>
          <w:shd w:val="clear" w:color="auto" w:fill="FFFFFF"/>
        </w:rPr>
        <w:t>25%</w:t>
      </w:r>
      <w:r>
        <w:rPr>
          <w:rFonts w:eastAsia="Calibri"/>
          <w:i/>
          <w:sz w:val="24"/>
          <w:szCs w:val="24"/>
          <w:shd w:val="clear" w:color="auto" w:fill="FFFFFF"/>
        </w:rPr>
        <w:t xml:space="preserve"> din cea a peretelui antifoc în care sunt practicate.</w:t>
      </w:r>
    </w:p>
    <w:p w14:paraId="3C97B4D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2.3.21.</w:t>
      </w:r>
      <w:r>
        <w:rPr>
          <w:rFonts w:eastAsia="Calibri"/>
          <w:i/>
          <w:sz w:val="24"/>
          <w:szCs w:val="24"/>
          <w:shd w:val="clear" w:color="auto" w:fill="FFFFFF"/>
        </w:rPr>
        <w:t> Golurile de circulație, transport, supraveghere, etc. din pereții antifoc și, după caz, planșee antifoc din construcțiile existente se protejează obligatoriu cu elemente corespunzătoare, care pot fi: uși, obloane, cortine, încăperi tampon sau tamburi deschiși antifoc, realizate conform prezentei anexe (la planșee se utilizează numai obloane sau chepenguri).</w:t>
      </w:r>
    </w:p>
    <w:p w14:paraId="2301A96C" w14:textId="77777777" w:rsidR="001C08A5" w:rsidRDefault="00000000">
      <w:pPr>
        <w:pStyle w:val="Heading6"/>
        <w:rPr>
          <w:i/>
          <w:iCs/>
        </w:rPr>
      </w:pPr>
      <w:bookmarkStart w:id="10471" w:name="_Toc10278"/>
      <w:bookmarkStart w:id="10472" w:name="_Toc162355529"/>
      <w:bookmarkStart w:id="10473" w:name="_Toc1237"/>
      <w:bookmarkStart w:id="10474" w:name="_Toc18456"/>
      <w:bookmarkStart w:id="10475" w:name="_Toc15036"/>
      <w:bookmarkStart w:id="10476" w:name="_Toc24943"/>
      <w:r>
        <w:rPr>
          <w:i/>
          <w:iCs/>
        </w:rPr>
        <w:t>Uși, obloane, cortine antifoc</w:t>
      </w:r>
      <w:bookmarkEnd w:id="10471"/>
      <w:bookmarkEnd w:id="10472"/>
      <w:bookmarkEnd w:id="10473"/>
      <w:bookmarkEnd w:id="10474"/>
      <w:bookmarkEnd w:id="10475"/>
      <w:bookmarkEnd w:id="10476"/>
    </w:p>
    <w:p w14:paraId="11CD5DBE"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2.3.22.</w:t>
      </w:r>
      <w:r>
        <w:rPr>
          <w:rFonts w:eastAsia="Calibri"/>
          <w:i/>
          <w:sz w:val="24"/>
          <w:szCs w:val="24"/>
          <w:shd w:val="clear" w:color="auto" w:fill="FFFFFF"/>
        </w:rPr>
        <w:t> </w:t>
      </w:r>
      <w:r>
        <w:rPr>
          <w:rFonts w:eastAsia="Calibri"/>
          <w:b/>
          <w:bCs/>
          <w:i/>
          <w:sz w:val="24"/>
          <w:szCs w:val="24"/>
          <w:shd w:val="clear" w:color="auto" w:fill="FFFFFF"/>
        </w:rPr>
        <w:t xml:space="preserve">(1) </w:t>
      </w:r>
      <w:r>
        <w:rPr>
          <w:rFonts w:eastAsia="Calibri"/>
          <w:i/>
          <w:sz w:val="24"/>
          <w:szCs w:val="24"/>
          <w:shd w:val="clear" w:color="auto" w:fill="FFFFFF"/>
        </w:rPr>
        <w:t>Golurile funcționale din pereții antifoc din construcțiile existente, având rezistența la foc 1 oră și 30 minute și echipate cu dispozitive de autoînchidere sau închidere automată în caz de incendiu (</w:t>
      </w:r>
      <w:r>
        <w:rPr>
          <w:rFonts w:eastAsia="Calibri"/>
          <w:b/>
          <w:bCs/>
          <w:i/>
          <w:sz w:val="24"/>
          <w:szCs w:val="24"/>
          <w:shd w:val="clear" w:color="auto" w:fill="FFFFFF"/>
        </w:rPr>
        <w:t>EI90-C</w:t>
      </w:r>
      <w:r>
        <w:rPr>
          <w:rFonts w:eastAsia="Calibri"/>
          <w:i/>
          <w:sz w:val="24"/>
          <w:szCs w:val="24"/>
          <w:shd w:val="clear" w:color="auto" w:fill="FFFFFF"/>
        </w:rPr>
        <w:t>), în funcție de cerințele funcționale.</w:t>
      </w:r>
    </w:p>
    <w:p w14:paraId="0E91FCC5" w14:textId="77777777" w:rsidR="001C08A5" w:rsidRDefault="00000000">
      <w:pPr>
        <w:shd w:val="clear" w:color="auto" w:fill="FFFFFF"/>
        <w:spacing w:after="150"/>
        <w:jc w:val="both"/>
        <w:rPr>
          <w:rFonts w:eastAsia="Calibri"/>
          <w:i/>
          <w:sz w:val="24"/>
          <w:szCs w:val="24"/>
          <w:shd w:val="clear" w:color="auto" w:fill="FFFFFF"/>
        </w:rPr>
      </w:pPr>
      <w:r>
        <w:rPr>
          <w:rFonts w:eastAsia="Calibri"/>
          <w:b/>
          <w:bCs/>
          <w:i/>
          <w:sz w:val="24"/>
          <w:szCs w:val="24"/>
          <w:shd w:val="clear" w:color="auto" w:fill="FFFFFF"/>
        </w:rPr>
        <w:t xml:space="preserve">(2) </w:t>
      </w:r>
      <w:r>
        <w:rPr>
          <w:rFonts w:eastAsia="Calibri"/>
          <w:i/>
          <w:sz w:val="24"/>
          <w:szCs w:val="24"/>
          <w:shd w:val="clear" w:color="auto" w:fill="FFFFFF"/>
        </w:rPr>
        <w:t>Golurile funcționale din pereții antifoc din construcțiile existente care se extind cu alte compartimente de incendiu noi (minimum unul) se realizează conform prevederilor normativului (</w:t>
      </w:r>
      <w:r>
        <w:rPr>
          <w:rFonts w:eastAsia="Calibri"/>
          <w:b/>
          <w:bCs/>
          <w:i/>
          <w:sz w:val="24"/>
          <w:szCs w:val="24"/>
          <w:shd w:val="clear" w:color="auto" w:fill="FFFFFF"/>
        </w:rPr>
        <w:t>Art. 2.3.2.2.2.1</w:t>
      </w:r>
      <w:r>
        <w:rPr>
          <w:rFonts w:eastAsia="Calibri"/>
          <w:i/>
          <w:sz w:val="24"/>
          <w:szCs w:val="24"/>
          <w:shd w:val="clear" w:color="auto" w:fill="FFFFFF"/>
        </w:rPr>
        <w:t>.).</w:t>
      </w:r>
    </w:p>
    <w:p w14:paraId="119AD4A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2.3.23.</w:t>
      </w:r>
      <w:r>
        <w:rPr>
          <w:rFonts w:eastAsia="Calibri"/>
          <w:i/>
          <w:sz w:val="24"/>
          <w:szCs w:val="24"/>
          <w:shd w:val="clear" w:color="auto" w:fill="FFFFFF"/>
        </w:rPr>
        <w:t> Ușile antifoc și sistemele lor de închidere, trebuie să îndeplinească condițiile din reglemetările tehnice și standardele specifice.</w:t>
      </w:r>
    </w:p>
    <w:p w14:paraId="7BDBEDC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2.3.24.</w:t>
      </w:r>
      <w:r>
        <w:rPr>
          <w:rFonts w:eastAsia="Calibri"/>
          <w:i/>
          <w:sz w:val="24"/>
          <w:szCs w:val="24"/>
          <w:shd w:val="clear" w:color="auto" w:fill="FFFFFF"/>
        </w:rPr>
        <w:t> Obloanele antifoc și cortinele de siguranță antifoc, se alcătuiesc și realizează, în general, similar cu ușile antifoc.</w:t>
      </w:r>
    </w:p>
    <w:p w14:paraId="3F3D6AC5" w14:textId="77777777" w:rsidR="001C08A5" w:rsidRDefault="00000000">
      <w:pPr>
        <w:pStyle w:val="Heading6"/>
        <w:rPr>
          <w:i/>
          <w:iCs/>
        </w:rPr>
      </w:pPr>
      <w:bookmarkStart w:id="10477" w:name="_Toc5960"/>
      <w:bookmarkStart w:id="10478" w:name="_Toc162355530"/>
      <w:bookmarkStart w:id="10479" w:name="_Toc28194"/>
      <w:bookmarkStart w:id="10480" w:name="_Toc32669"/>
      <w:bookmarkStart w:id="10481" w:name="_Toc9825"/>
      <w:bookmarkStart w:id="10482" w:name="_Toc22157"/>
      <w:r>
        <w:rPr>
          <w:i/>
          <w:iCs/>
        </w:rPr>
        <w:lastRenderedPageBreak/>
        <w:t>Încăperi tampon antifoc</w:t>
      </w:r>
      <w:bookmarkEnd w:id="10477"/>
      <w:bookmarkEnd w:id="10478"/>
      <w:bookmarkEnd w:id="10479"/>
      <w:bookmarkEnd w:id="10480"/>
      <w:bookmarkEnd w:id="10481"/>
      <w:bookmarkEnd w:id="10482"/>
    </w:p>
    <w:p w14:paraId="3235D71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2.3.25.</w:t>
      </w:r>
      <w:r>
        <w:rPr>
          <w:rFonts w:eastAsia="Calibri"/>
          <w:i/>
          <w:sz w:val="24"/>
          <w:szCs w:val="24"/>
          <w:shd w:val="clear" w:color="auto" w:fill="FFFFFF"/>
        </w:rPr>
        <w:t xml:space="preserve"> În cazul când datorită unor condiții funcționale, protecția golurilor din pereții antifoc nu se poate realiza prin uși, obloane sau cortine antifoc, golurile se pot proteja prin încăperi tampon antifoc. Încăperile antifoc din construcțiile existente se realizează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_Toc28268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 xml:space="preserve">Figura 17 - Încăpere tampon </w:t>
      </w:r>
      <w:r>
        <w:rPr>
          <w:bCs/>
        </w:rPr>
        <w:t>protejată</w:t>
      </w:r>
      <w:r>
        <w:rPr>
          <w:rFonts w:eastAsia="Calibri"/>
          <w:b/>
          <w:bCs/>
          <w:i/>
          <w:iCs/>
          <w:sz w:val="24"/>
          <w:szCs w:val="24"/>
          <w:shd w:val="clear" w:color="auto" w:fill="FFFFFF"/>
        </w:rPr>
        <w:fldChar w:fldCharType="end"/>
      </w:r>
      <w:r>
        <w:rPr>
          <w:rFonts w:eastAsia="Calibri"/>
          <w:i/>
          <w:sz w:val="24"/>
          <w:szCs w:val="24"/>
          <w:shd w:val="clear" w:color="auto" w:fill="FFFFFF"/>
        </w:rPr>
        <w:t xml:space="preserve"> și a condițiilor din prezenta anexă.</w:t>
      </w:r>
    </w:p>
    <w:p w14:paraId="5688764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2.3.26.</w:t>
      </w:r>
      <w:r>
        <w:rPr>
          <w:rFonts w:eastAsia="Calibri"/>
          <w:i/>
          <w:sz w:val="24"/>
          <w:szCs w:val="24"/>
          <w:shd w:val="clear" w:color="auto" w:fill="FFFFFF"/>
        </w:rPr>
        <w:t xml:space="preserve"> Pereții și planșeele încăperilor tampon antifoc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și rezistenți la foc cel puțin 1 oră (</w:t>
      </w:r>
      <w:r>
        <w:rPr>
          <w:rFonts w:eastAsia="Calibri"/>
          <w:b/>
          <w:bCs/>
          <w:i/>
          <w:sz w:val="24"/>
          <w:szCs w:val="24"/>
          <w:shd w:val="clear" w:color="auto" w:fill="FFFFFF"/>
        </w:rPr>
        <w:t>EI/REI60</w:t>
      </w:r>
      <w:r>
        <w:rPr>
          <w:rFonts w:eastAsia="Calibri"/>
          <w:i/>
          <w:sz w:val="24"/>
          <w:szCs w:val="24"/>
          <w:shd w:val="clear" w:color="auto" w:fill="FFFFFF"/>
        </w:rPr>
        <w:t xml:space="preserve"> pereți și </w:t>
      </w:r>
      <w:r>
        <w:rPr>
          <w:rFonts w:eastAsia="Calibri"/>
          <w:b/>
          <w:bCs/>
          <w:i/>
          <w:sz w:val="24"/>
          <w:szCs w:val="24"/>
          <w:shd w:val="clear" w:color="auto" w:fill="FFFFFF"/>
        </w:rPr>
        <w:t>REI60</w:t>
      </w:r>
      <w:r>
        <w:rPr>
          <w:rFonts w:eastAsia="Calibri"/>
          <w:i/>
          <w:sz w:val="24"/>
          <w:szCs w:val="24"/>
          <w:shd w:val="clear" w:color="auto" w:fill="FFFFFF"/>
        </w:rPr>
        <w:t xml:space="preserve"> planșee). Se recomandă ca amplasarea încăperilor tampon să se facă alipit peretelui antifoc din construcțiile existente și să fie dispuse spre spațiile cu densitatea sarcinii termice mai mică.</w:t>
      </w:r>
    </w:p>
    <w:p w14:paraId="4C2F3A9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2.3.27.</w:t>
      </w:r>
      <w:r>
        <w:rPr>
          <w:rFonts w:eastAsia="Calibri"/>
          <w:i/>
          <w:sz w:val="24"/>
          <w:szCs w:val="24"/>
          <w:shd w:val="clear" w:color="auto" w:fill="FFFFFF"/>
        </w:rPr>
        <w:t> În pereții încăperilor tampon se admite practicarea numai a golurilor strict necesare pentru circulație. Pentru realizarea ventilării sau evacuării fumului din încăperile tampon se pot realiza goluri în pereți sau planșee.</w:t>
      </w:r>
    </w:p>
    <w:p w14:paraId="4AE8A6A6"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2.3.28.</w:t>
      </w:r>
      <w:r>
        <w:rPr>
          <w:rFonts w:eastAsia="Calibri"/>
          <w:i/>
          <w:sz w:val="24"/>
          <w:szCs w:val="24"/>
          <w:shd w:val="clear" w:color="auto" w:fill="FFFFFF"/>
        </w:rPr>
        <w:t> Golurile pentru circulație practicate în pereții încăperilor tampon antifoc existente, se protejează cu uși rezistente la foc cel puțin 45 minute (</w:t>
      </w:r>
      <w:r>
        <w:rPr>
          <w:rFonts w:eastAsia="Calibri"/>
          <w:b/>
          <w:bCs/>
          <w:i/>
          <w:sz w:val="24"/>
          <w:szCs w:val="24"/>
          <w:shd w:val="clear" w:color="auto" w:fill="FFFFFF"/>
        </w:rPr>
        <w:t>EI45-C</w:t>
      </w:r>
      <w:r>
        <w:rPr>
          <w:rFonts w:eastAsia="Calibri"/>
          <w:i/>
          <w:sz w:val="24"/>
          <w:szCs w:val="24"/>
          <w:shd w:val="clear" w:color="auto" w:fill="FFFFFF"/>
        </w:rPr>
        <w:t>), prevăzute după caz, cu dispozitive de autoînchidere sau cu închidere automată în caz de incendiu.</w:t>
      </w:r>
    </w:p>
    <w:p w14:paraId="5A4E13AE" w14:textId="77777777" w:rsidR="001C08A5" w:rsidRDefault="00000000">
      <w:pPr>
        <w:shd w:val="clear" w:color="auto" w:fill="FFFFFF"/>
        <w:spacing w:after="150"/>
        <w:jc w:val="both"/>
        <w:rPr>
          <w:rFonts w:eastAsia="Calibri"/>
          <w:i/>
          <w:sz w:val="24"/>
          <w:szCs w:val="24"/>
          <w:shd w:val="clear" w:color="auto" w:fill="FFFFFF"/>
        </w:rPr>
      </w:pPr>
      <w:r>
        <w:rPr>
          <w:rFonts w:eastAsia="Calibri"/>
          <w:b/>
          <w:bCs/>
          <w:i/>
          <w:sz w:val="24"/>
          <w:szCs w:val="24"/>
          <w:shd w:val="clear" w:color="auto" w:fill="FFFFFF"/>
        </w:rPr>
        <w:t xml:space="preserve">(2) </w:t>
      </w:r>
      <w:r>
        <w:rPr>
          <w:rFonts w:eastAsia="Calibri"/>
          <w:i/>
          <w:sz w:val="24"/>
          <w:szCs w:val="24"/>
          <w:shd w:val="clear" w:color="auto" w:fill="FFFFFF"/>
        </w:rPr>
        <w:t>Golurile pentru circulație practicate în pereții încăperilor tampon antifoc din construcțiile existente care se extind cu alte compartimente de incendiu noi (minimum unul) se realizează conform prevederilor normativului (</w:t>
      </w:r>
      <w:r>
        <w:rPr>
          <w:rFonts w:eastAsia="Calibri"/>
          <w:b/>
          <w:bCs/>
          <w:i/>
          <w:sz w:val="24"/>
          <w:szCs w:val="24"/>
          <w:shd w:val="clear" w:color="auto" w:fill="FFFFFF"/>
        </w:rPr>
        <w:t xml:space="preserve">Art. 2.3.2.2.3.1. 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_Ref25415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 Pereți și planșee la încăperi tampon protejate și goluri pentru circulaţie funcţională şi evacuare practicate în pereţii încăperilor tampon</w:t>
      </w:r>
      <w:r>
        <w:rPr>
          <w:rFonts w:eastAsia="Calibri"/>
          <w:b/>
          <w:bCs/>
          <w:i/>
          <w:iCs/>
          <w:sz w:val="24"/>
          <w:szCs w:val="24"/>
          <w:shd w:val="clear" w:color="auto" w:fill="FFFFFF"/>
        </w:rPr>
        <w:fldChar w:fldCharType="end"/>
      </w:r>
      <w:r>
        <w:rPr>
          <w:rFonts w:eastAsia="Calibri"/>
          <w:i/>
          <w:sz w:val="24"/>
          <w:szCs w:val="24"/>
          <w:shd w:val="clear" w:color="auto" w:fill="FFFFFF"/>
        </w:rPr>
        <w:t>).</w:t>
      </w:r>
    </w:p>
    <w:p w14:paraId="0055F134" w14:textId="77777777" w:rsidR="001C08A5" w:rsidRDefault="00000000">
      <w:pPr>
        <w:pStyle w:val="Heading6"/>
        <w:rPr>
          <w:i/>
          <w:iCs/>
        </w:rPr>
      </w:pPr>
      <w:bookmarkStart w:id="10483" w:name="_Toc29853"/>
      <w:bookmarkStart w:id="10484" w:name="_Toc13675"/>
      <w:bookmarkStart w:id="10485" w:name="_Toc22187"/>
      <w:bookmarkStart w:id="10486" w:name="_Toc26467"/>
      <w:bookmarkStart w:id="10487" w:name="_Toc162355531"/>
      <w:bookmarkStart w:id="10488" w:name="_Toc7859"/>
      <w:r>
        <w:rPr>
          <w:i/>
          <w:iCs/>
        </w:rPr>
        <w:t>Tamburi deschiși antifoc</w:t>
      </w:r>
      <w:bookmarkEnd w:id="10483"/>
      <w:bookmarkEnd w:id="10484"/>
      <w:bookmarkEnd w:id="10485"/>
      <w:bookmarkEnd w:id="10486"/>
      <w:bookmarkEnd w:id="10487"/>
      <w:bookmarkEnd w:id="10488"/>
    </w:p>
    <w:p w14:paraId="7C12F61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2.3.29.</w:t>
      </w:r>
      <w:r>
        <w:rPr>
          <w:rFonts w:eastAsia="Calibri"/>
          <w:i/>
          <w:sz w:val="24"/>
          <w:szCs w:val="24"/>
          <w:shd w:val="clear" w:color="auto" w:fill="FFFFFF"/>
        </w:rPr>
        <w:t> În cazuri excepționale, când datorită necesităților funcționale, protecția golurilor din pereții antifoc din construcțiile existente nu se poate realiza cu uși, obloane, cortine sau încăperi tampon antifoc, pot fi prevăzuți tamburi deschiși antifoc.</w:t>
      </w:r>
    </w:p>
    <w:p w14:paraId="7E778B8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2.3.30.</w:t>
      </w:r>
      <w:r>
        <w:rPr>
          <w:rFonts w:eastAsia="Calibri"/>
          <w:i/>
          <w:sz w:val="24"/>
          <w:szCs w:val="24"/>
          <w:shd w:val="clear" w:color="auto" w:fill="FFFFFF"/>
        </w:rPr>
        <w:t xml:space="preserve"> Tamburii deschiși antifoc din construcțiile existente trebuie să aibă lățimea egală cu cea a golului protejat, iar lungimea totală de minimum </w:t>
      </w:r>
      <w:r>
        <w:rPr>
          <w:rFonts w:eastAsia="Calibri"/>
          <w:b/>
          <w:bCs/>
          <w:i/>
          <w:sz w:val="24"/>
          <w:szCs w:val="24"/>
          <w:shd w:val="clear" w:color="auto" w:fill="FFFFFF"/>
        </w:rPr>
        <w:t>4,00 m</w:t>
      </w:r>
      <w:r>
        <w:rPr>
          <w:rFonts w:eastAsia="Calibri"/>
          <w:i/>
          <w:sz w:val="24"/>
          <w:szCs w:val="24"/>
          <w:shd w:val="clear" w:color="auto" w:fill="FFFFFF"/>
        </w:rPr>
        <w:t>. Amplasarea lor poate fi făcută alipit peretelui antifoc din construcțiile existente sau în ambele părți ale acestuia (conform</w:t>
      </w:r>
      <w:r>
        <w:rPr>
          <w:rFonts w:eastAsia="Calibri"/>
          <w:b/>
          <w:bCs/>
          <w:iCs/>
          <w:sz w:val="24"/>
          <w:szCs w:val="24"/>
          <w:shd w:val="clear" w:color="auto" w:fill="FFFFFF"/>
        </w:rPr>
        <w:t xml:space="preserve"> </w:t>
      </w:r>
      <w:r>
        <w:rPr>
          <w:rFonts w:eastAsia="Calibri"/>
          <w:b/>
          <w:bCs/>
          <w:i/>
          <w:sz w:val="24"/>
          <w:szCs w:val="24"/>
          <w:shd w:val="clear" w:color="auto" w:fill="FFFFFF"/>
        </w:rPr>
        <w:fldChar w:fldCharType="begin"/>
      </w:r>
      <w:r>
        <w:rPr>
          <w:rFonts w:eastAsia="Calibri"/>
          <w:b/>
          <w:bCs/>
          <w:i/>
          <w:sz w:val="24"/>
          <w:szCs w:val="24"/>
          <w:shd w:val="clear" w:color="auto" w:fill="FFFFFF"/>
        </w:rPr>
        <w:instrText xml:space="preserve"> REF _Toc1641 \h </w:instrText>
      </w:r>
      <w:r>
        <w:rPr>
          <w:rFonts w:eastAsia="Calibri"/>
          <w:b/>
          <w:bCs/>
          <w:i/>
          <w:sz w:val="24"/>
          <w:szCs w:val="24"/>
          <w:shd w:val="clear" w:color="auto" w:fill="FFFFFF"/>
        </w:rPr>
      </w:r>
      <w:r>
        <w:rPr>
          <w:rFonts w:eastAsia="Calibri"/>
          <w:b/>
          <w:bCs/>
          <w:i/>
          <w:sz w:val="24"/>
          <w:szCs w:val="24"/>
          <w:shd w:val="clear" w:color="auto" w:fill="FFFFFF"/>
        </w:rPr>
        <w:fldChar w:fldCharType="separate"/>
      </w:r>
      <w:r>
        <w:t>Figura 26 - Tambur deschis</w:t>
      </w:r>
      <w:r>
        <w:rPr>
          <w:rFonts w:eastAsia="Calibri"/>
          <w:b/>
          <w:bCs/>
          <w:i/>
          <w:sz w:val="24"/>
          <w:szCs w:val="24"/>
          <w:shd w:val="clear" w:color="auto" w:fill="FFFFFF"/>
        </w:rPr>
        <w:fldChar w:fldCharType="end"/>
      </w:r>
      <w:r>
        <w:rPr>
          <w:rFonts w:eastAsia="Calibri"/>
          <w:i/>
          <w:sz w:val="24"/>
          <w:szCs w:val="24"/>
          <w:shd w:val="clear" w:color="auto" w:fill="FFFFFF"/>
        </w:rPr>
        <w:t>).</w:t>
      </w:r>
    </w:p>
    <w:p w14:paraId="4B31751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2.3.31.</w:t>
      </w:r>
      <w:r>
        <w:rPr>
          <w:rFonts w:eastAsia="Calibri"/>
          <w:i/>
          <w:sz w:val="24"/>
          <w:szCs w:val="24"/>
          <w:shd w:val="clear" w:color="auto" w:fill="FFFFFF"/>
        </w:rPr>
        <w:t xml:space="preserve"> Pereții și planșeele tamburului deschis antifoc din construcțiile existente trebuie să fie realizați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fără goluri și cu rezistența la foc de minimum 1 oră (</w:t>
      </w:r>
      <w:r>
        <w:rPr>
          <w:rFonts w:eastAsia="Calibri"/>
          <w:b/>
          <w:bCs/>
          <w:i/>
          <w:sz w:val="24"/>
          <w:szCs w:val="24"/>
          <w:shd w:val="clear" w:color="auto" w:fill="FFFFFF"/>
        </w:rPr>
        <w:t>EI/REI60</w:t>
      </w:r>
      <w:r>
        <w:rPr>
          <w:rFonts w:eastAsia="Calibri"/>
          <w:i/>
          <w:sz w:val="24"/>
          <w:szCs w:val="24"/>
          <w:shd w:val="clear" w:color="auto" w:fill="FFFFFF"/>
        </w:rPr>
        <w:t xml:space="preserve"> pereți și </w:t>
      </w:r>
      <w:r>
        <w:rPr>
          <w:rFonts w:eastAsia="Calibri"/>
          <w:b/>
          <w:bCs/>
          <w:i/>
          <w:sz w:val="24"/>
          <w:szCs w:val="24"/>
          <w:shd w:val="clear" w:color="auto" w:fill="FFFFFF"/>
        </w:rPr>
        <w:t>REI60</w:t>
      </w:r>
      <w:r>
        <w:rPr>
          <w:rFonts w:eastAsia="Calibri"/>
          <w:i/>
          <w:sz w:val="24"/>
          <w:szCs w:val="24"/>
          <w:shd w:val="clear" w:color="auto" w:fill="FFFFFF"/>
        </w:rPr>
        <w:t xml:space="preserve"> planșee). În tamburii deschiși trebuie să se prevadă sprinklere sau drencere cu acționare automată în caz de incendiu, amplasate câte unul la fiecare </w:t>
      </w:r>
      <w:r>
        <w:rPr>
          <w:rFonts w:eastAsia="Calibri"/>
          <w:b/>
          <w:bCs/>
          <w:i/>
          <w:sz w:val="24"/>
          <w:szCs w:val="24"/>
          <w:shd w:val="clear" w:color="auto" w:fill="FFFFFF"/>
        </w:rPr>
        <w:t>1 m</w:t>
      </w:r>
      <w:r>
        <w:rPr>
          <w:rFonts w:eastAsia="Calibri"/>
          <w:b/>
          <w:bCs/>
          <w:i/>
          <w:sz w:val="24"/>
          <w:szCs w:val="24"/>
          <w:shd w:val="clear" w:color="auto" w:fill="FFFFFF"/>
          <w:vertAlign w:val="superscript"/>
        </w:rPr>
        <w:t>2</w:t>
      </w:r>
      <w:r>
        <w:rPr>
          <w:rFonts w:eastAsia="Calibri"/>
          <w:i/>
          <w:sz w:val="24"/>
          <w:szCs w:val="24"/>
          <w:shd w:val="clear" w:color="auto" w:fill="FFFFFF"/>
        </w:rPr>
        <w:t> de suprafață orizontală a tamburului.</w:t>
      </w:r>
    </w:p>
    <w:p w14:paraId="4366D218" w14:textId="77777777" w:rsidR="001C08A5" w:rsidRDefault="00000000">
      <w:pPr>
        <w:pStyle w:val="Heading5"/>
        <w:rPr>
          <w:sz w:val="24"/>
          <w:szCs w:val="24"/>
          <w:lang w:val="ro-RO"/>
        </w:rPr>
      </w:pPr>
      <w:bookmarkStart w:id="10489" w:name="_Toc24264"/>
      <w:bookmarkStart w:id="10490" w:name="_Toc31769"/>
      <w:bookmarkStart w:id="10491" w:name="_Toc27314"/>
      <w:bookmarkStart w:id="10492" w:name="_Toc17808"/>
      <w:bookmarkStart w:id="10493" w:name="_Toc162355532"/>
      <w:bookmarkStart w:id="10494" w:name="_Toc17385"/>
      <w:r>
        <w:rPr>
          <w:sz w:val="24"/>
          <w:szCs w:val="24"/>
          <w:lang w:val="ro-RO"/>
        </w:rPr>
        <w:t>Planșee antifoc</w:t>
      </w:r>
      <w:bookmarkEnd w:id="10489"/>
      <w:bookmarkEnd w:id="10490"/>
      <w:bookmarkEnd w:id="10491"/>
      <w:bookmarkEnd w:id="10492"/>
      <w:bookmarkEnd w:id="10493"/>
      <w:bookmarkEnd w:id="10494"/>
    </w:p>
    <w:p w14:paraId="5A96C68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2.3.32.</w:t>
      </w:r>
      <w:r>
        <w:rPr>
          <w:rFonts w:eastAsia="Calibri"/>
          <w:i/>
          <w:sz w:val="24"/>
          <w:szCs w:val="24"/>
          <w:shd w:val="clear" w:color="auto" w:fill="FFFFFF"/>
        </w:rPr>
        <w:t> Planșeele antifoc sunt elemente de construcție orizontale sau înclinate care delimitează volume închise din construcții existente înalte și foarte înalte (compartimente existente de incendiu constituite din unul până la trei niveluri succesive cu aria desfășurată prevăzută în prezenta anexă), sau separă funcțiuni cu riscuri mari de incendiu.</w:t>
      </w:r>
    </w:p>
    <w:p w14:paraId="654ADA6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2.3.33.</w:t>
      </w:r>
      <w:r>
        <w:rPr>
          <w:rFonts w:eastAsia="Calibri"/>
          <w:i/>
          <w:sz w:val="24"/>
          <w:szCs w:val="24"/>
          <w:shd w:val="clear" w:color="auto" w:fill="FFFFFF"/>
        </w:rPr>
        <w:t xml:space="preserve"> Planșeele antifoc din construcțiile existente se realizează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cu rezistența la foc minimum 2 ore (</w:t>
      </w:r>
      <w:r>
        <w:rPr>
          <w:rFonts w:eastAsia="Calibri"/>
          <w:b/>
          <w:bCs/>
          <w:i/>
          <w:sz w:val="24"/>
          <w:szCs w:val="24"/>
          <w:shd w:val="clear" w:color="auto" w:fill="FFFFFF"/>
        </w:rPr>
        <w:t>REI120</w:t>
      </w:r>
      <w:r>
        <w:rPr>
          <w:rFonts w:eastAsia="Calibri"/>
          <w:i/>
          <w:sz w:val="24"/>
          <w:szCs w:val="24"/>
          <w:shd w:val="clear" w:color="auto" w:fill="FFFFFF"/>
        </w:rPr>
        <w:t>) și fără goluri sau cu goluri strict funcționale, protejate conform prezentei anexe.</w:t>
      </w:r>
    </w:p>
    <w:p w14:paraId="03AA2F9D" w14:textId="77777777" w:rsidR="001C08A5" w:rsidRDefault="00000000">
      <w:pPr>
        <w:pStyle w:val="Heading4"/>
        <w:rPr>
          <w:sz w:val="24"/>
          <w:szCs w:val="24"/>
        </w:rPr>
      </w:pPr>
      <w:bookmarkStart w:id="10495" w:name="_Toc8883"/>
      <w:bookmarkStart w:id="10496" w:name="_Toc162355533"/>
      <w:bookmarkStart w:id="10497" w:name="_Toc29599"/>
      <w:bookmarkStart w:id="10498" w:name="_Toc31111"/>
      <w:bookmarkStart w:id="10499" w:name="_Toc22495"/>
      <w:bookmarkStart w:id="10500" w:name="_Toc15679"/>
      <w:r>
        <w:rPr>
          <w:sz w:val="24"/>
          <w:szCs w:val="24"/>
        </w:rPr>
        <w:t>Elemente rezistente la foc și protecția golurilor</w:t>
      </w:r>
      <w:bookmarkEnd w:id="10495"/>
      <w:bookmarkEnd w:id="10496"/>
      <w:bookmarkEnd w:id="10497"/>
      <w:bookmarkEnd w:id="10498"/>
      <w:bookmarkEnd w:id="10499"/>
      <w:bookmarkEnd w:id="10500"/>
      <w:r>
        <w:rPr>
          <w:sz w:val="24"/>
          <w:szCs w:val="24"/>
        </w:rPr>
        <w:t xml:space="preserve"> </w:t>
      </w:r>
    </w:p>
    <w:p w14:paraId="32F14D5D" w14:textId="77777777" w:rsidR="001C08A5" w:rsidRDefault="00000000">
      <w:pPr>
        <w:pStyle w:val="Heading5"/>
        <w:rPr>
          <w:sz w:val="24"/>
          <w:szCs w:val="24"/>
          <w:lang w:val="ro-RO"/>
        </w:rPr>
      </w:pPr>
      <w:bookmarkStart w:id="10501" w:name="_Toc3229"/>
      <w:bookmarkStart w:id="10502" w:name="_Toc6156"/>
      <w:bookmarkStart w:id="10503" w:name="_Toc162355534"/>
      <w:bookmarkStart w:id="10504" w:name="_Toc32624"/>
      <w:bookmarkStart w:id="10505" w:name="_Toc20149"/>
      <w:bookmarkStart w:id="10506" w:name="_Toc14114"/>
      <w:r>
        <w:rPr>
          <w:sz w:val="24"/>
          <w:szCs w:val="24"/>
          <w:lang w:val="ro-RO"/>
        </w:rPr>
        <w:t>Pereți și protecția golurilor</w:t>
      </w:r>
      <w:bookmarkEnd w:id="10501"/>
      <w:bookmarkEnd w:id="10502"/>
      <w:bookmarkEnd w:id="10503"/>
      <w:bookmarkEnd w:id="10504"/>
      <w:bookmarkEnd w:id="10505"/>
      <w:bookmarkEnd w:id="10506"/>
    </w:p>
    <w:p w14:paraId="6E31AC8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2.3.34.</w:t>
      </w:r>
      <w:r>
        <w:rPr>
          <w:rFonts w:eastAsia="Calibri"/>
          <w:i/>
          <w:sz w:val="24"/>
          <w:szCs w:val="24"/>
          <w:shd w:val="clear" w:color="auto" w:fill="FFFFFF"/>
        </w:rPr>
        <w:t xml:space="preserve"> Condițiile minime și de rezistență la foc pentru pereții rezistenți la foc din construcțiile existente, sunt stabilite în prezenta anexă, precum și în reglementările tehnice de specialitate. Pentru </w:t>
      </w:r>
      <w:r>
        <w:rPr>
          <w:rFonts w:eastAsia="Calibri"/>
          <w:i/>
          <w:sz w:val="24"/>
          <w:szCs w:val="24"/>
          <w:shd w:val="clear" w:color="auto" w:fill="FFFFFF"/>
        </w:rPr>
        <w:lastRenderedPageBreak/>
        <w:t>cazurile în care reglementările nu prevăd condiții speciale, reacția la foc și rezistența la foc a acestor pereți se stabilește prin documentația tehnico-economică în funcție de nivelul de stabilitate la incendiu al construcției, densitatea sarcinii termice a încăperilor și rolul de separare al pereților.</w:t>
      </w:r>
    </w:p>
    <w:p w14:paraId="02B44BF4"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2.3.35.</w:t>
      </w:r>
      <w:r>
        <w:rPr>
          <w:rFonts w:eastAsia="Calibri"/>
          <w:i/>
          <w:sz w:val="24"/>
          <w:szCs w:val="24"/>
          <w:shd w:val="clear" w:color="auto" w:fill="FFFFFF"/>
        </w:rPr>
        <w:t> Golurile de circulație funcțională practicate în pereții rezistenți la foc din construcțiile existente se protejează corespunzător condițiilor precizate în normativ, în prezenta anexă și în reglementările tehnice de specialitate.</w:t>
      </w:r>
    </w:p>
    <w:p w14:paraId="59D276D4" w14:textId="77777777" w:rsidR="001C08A5" w:rsidRDefault="00000000">
      <w:pPr>
        <w:pStyle w:val="Heading5"/>
        <w:rPr>
          <w:sz w:val="24"/>
          <w:szCs w:val="24"/>
          <w:lang w:val="ro-RO"/>
        </w:rPr>
      </w:pPr>
      <w:bookmarkStart w:id="10507" w:name="_Toc16375"/>
      <w:bookmarkStart w:id="10508" w:name="_Toc6998"/>
      <w:bookmarkStart w:id="10509" w:name="_Toc24351"/>
      <w:bookmarkStart w:id="10510" w:name="_Toc3279"/>
      <w:bookmarkStart w:id="10511" w:name="_Toc11881"/>
      <w:bookmarkStart w:id="10512" w:name="_Toc162355535"/>
      <w:r>
        <w:rPr>
          <w:sz w:val="24"/>
          <w:szCs w:val="24"/>
          <w:lang w:val="ro-RO"/>
        </w:rPr>
        <w:t>Planșee și protecția golurilor</w:t>
      </w:r>
      <w:bookmarkEnd w:id="10507"/>
      <w:bookmarkEnd w:id="10508"/>
      <w:bookmarkEnd w:id="10509"/>
      <w:bookmarkEnd w:id="10510"/>
      <w:bookmarkEnd w:id="10511"/>
      <w:bookmarkEnd w:id="10512"/>
    </w:p>
    <w:p w14:paraId="7A257CC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2.3.36.</w:t>
      </w:r>
      <w:r>
        <w:rPr>
          <w:rFonts w:eastAsia="Calibri"/>
          <w:i/>
          <w:sz w:val="24"/>
          <w:szCs w:val="24"/>
          <w:shd w:val="clear" w:color="auto" w:fill="FFFFFF"/>
        </w:rPr>
        <w:t> Planșeele pot constitui elemente de întârziere a propagării incendiilor în interiorul unui compartiment existent de incendiu, numai atunci când sunt rezistente la foc conform prevederilor prezentei anexe și nu au goluri, sau dacă golurile practicate în ele sunt protejate cu elemente de închidere corespunzătoare.</w:t>
      </w:r>
    </w:p>
    <w:p w14:paraId="0B30E65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2.3.37.</w:t>
      </w:r>
      <w:r>
        <w:rPr>
          <w:rFonts w:eastAsia="Calibri"/>
          <w:i/>
          <w:sz w:val="24"/>
          <w:szCs w:val="24"/>
          <w:shd w:val="clear" w:color="auto" w:fill="FFFFFF"/>
        </w:rPr>
        <w:t> Condițiile privind reacția la foc și rezistența la foc a planșeelor din construcțiile existente folosite pentru a separa între ele spații cu funcțiuni importante și încăperi cu risc mare de incendiu, precum și ale planșeelor care delimitează căi de evacuare, sunt cele prevăzute în prezenta anexă și în reglementări de specialitate.</w:t>
      </w:r>
    </w:p>
    <w:p w14:paraId="6E02523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2.3.38.</w:t>
      </w:r>
      <w:r>
        <w:rPr>
          <w:rFonts w:eastAsia="Calibri"/>
          <w:i/>
          <w:sz w:val="24"/>
          <w:szCs w:val="24"/>
          <w:shd w:val="clear" w:color="auto" w:fill="FFFFFF"/>
        </w:rPr>
        <w:t xml:space="preserve"> Golurile funcționale din planșeele intermediare rezistente la foc din construcțiile existente, care constituie elemente de întârziere a propagării focului, se protejează prin elemente rezistente la foc, prevăzute după caz, cu dispozitive de autoînchidere sau închidere automată în caz de incendiu. În cazuri justificate când nu se pot realiza elemente rezistente la foc, protecția golurilor poate fi asigurată numai prin prevederea pe conturul golului (sub planșeu), a unor ecrane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și perdele de apă cu intrare în funcțiune automată în caz de incendiu, sau alte sisteme de protecție agrementate tehnic.</w:t>
      </w:r>
    </w:p>
    <w:p w14:paraId="6A19701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2.3.39.</w:t>
      </w:r>
      <w:r>
        <w:rPr>
          <w:rFonts w:eastAsia="Calibri"/>
          <w:i/>
          <w:sz w:val="24"/>
          <w:szCs w:val="24"/>
          <w:shd w:val="clear" w:color="auto" w:fill="FFFFFF"/>
        </w:rPr>
        <w:t xml:space="preserve"> În clădirile existente cu pod, de nivelul </w:t>
      </w:r>
      <w:r>
        <w:rPr>
          <w:rFonts w:eastAsia="Calibri"/>
          <w:b/>
          <w:bCs/>
          <w:i/>
          <w:sz w:val="24"/>
          <w:szCs w:val="24"/>
          <w:shd w:val="clear" w:color="auto" w:fill="FFFFFF"/>
        </w:rPr>
        <w:t>I, II</w:t>
      </w:r>
      <w:r>
        <w:rPr>
          <w:rFonts w:eastAsia="Calibri"/>
          <w:i/>
          <w:sz w:val="24"/>
          <w:szCs w:val="24"/>
          <w:shd w:val="clear" w:color="auto" w:fill="FFFFFF"/>
        </w:rPr>
        <w:t xml:space="preserve"> și </w:t>
      </w:r>
      <w:r>
        <w:rPr>
          <w:rFonts w:eastAsia="Calibri"/>
          <w:b/>
          <w:bCs/>
          <w:i/>
          <w:sz w:val="24"/>
          <w:szCs w:val="24"/>
          <w:shd w:val="clear" w:color="auto" w:fill="FFFFFF"/>
        </w:rPr>
        <w:t>III</w:t>
      </w:r>
      <w:r>
        <w:rPr>
          <w:rFonts w:eastAsia="Calibri"/>
          <w:i/>
          <w:sz w:val="24"/>
          <w:szCs w:val="24"/>
          <w:shd w:val="clear" w:color="auto" w:fill="FFFFFF"/>
        </w:rPr>
        <w:t xml:space="preserve"> de stabilitate la incendiu golurile prevăzute în planșeele spre pod se protejează cu elemente de închidere rezistente la foc minimum 30 minute (</w:t>
      </w:r>
      <w:r>
        <w:rPr>
          <w:rFonts w:eastAsia="Calibri"/>
          <w:b/>
          <w:bCs/>
          <w:i/>
          <w:sz w:val="24"/>
          <w:szCs w:val="24"/>
          <w:shd w:val="clear" w:color="auto" w:fill="FFFFFF"/>
        </w:rPr>
        <w:t>EI30</w:t>
      </w:r>
      <w:r>
        <w:rPr>
          <w:rFonts w:eastAsia="Calibri"/>
          <w:i/>
          <w:sz w:val="24"/>
          <w:szCs w:val="24"/>
          <w:shd w:val="clear" w:color="auto" w:fill="FFFFFF"/>
        </w:rPr>
        <w:t xml:space="preserve">). Separarea porțiunilor mansardate ale construcției existente, față de poduri ale acesteia se realizează cu pereți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rezistenți la foc minimum 2 ore (</w:t>
      </w:r>
      <w:r>
        <w:rPr>
          <w:rFonts w:eastAsia="Calibri"/>
          <w:b/>
          <w:bCs/>
          <w:i/>
          <w:sz w:val="24"/>
          <w:szCs w:val="24"/>
          <w:shd w:val="clear" w:color="auto" w:fill="FFFFFF"/>
        </w:rPr>
        <w:t>EI/REI120</w:t>
      </w:r>
      <w:r>
        <w:rPr>
          <w:rFonts w:eastAsia="Calibri"/>
          <w:i/>
          <w:sz w:val="24"/>
          <w:szCs w:val="24"/>
          <w:shd w:val="clear" w:color="auto" w:fill="FFFFFF"/>
        </w:rPr>
        <w:t>), iar golurile de comunicare funcțională din aceștia se protejează cu uși rezistente la foc minimum 45 de minute, echipate cu dispozitive de autoînchidere sau închidere automată în caz de incendiu (</w:t>
      </w:r>
      <w:r>
        <w:rPr>
          <w:rFonts w:eastAsia="Calibri"/>
          <w:b/>
          <w:bCs/>
          <w:i/>
          <w:sz w:val="24"/>
          <w:szCs w:val="24"/>
          <w:shd w:val="clear" w:color="auto" w:fill="FFFFFF"/>
        </w:rPr>
        <w:t>EI45-C</w:t>
      </w:r>
      <w:r>
        <w:rPr>
          <w:rFonts w:eastAsia="Calibri"/>
          <w:i/>
          <w:sz w:val="24"/>
          <w:szCs w:val="24"/>
          <w:shd w:val="clear" w:color="auto" w:fill="FFFFFF"/>
        </w:rPr>
        <w:t>).</w:t>
      </w:r>
    </w:p>
    <w:p w14:paraId="6CEEB185" w14:textId="77777777" w:rsidR="001C08A5" w:rsidRDefault="00000000">
      <w:pPr>
        <w:pStyle w:val="Heading4"/>
        <w:rPr>
          <w:sz w:val="24"/>
          <w:szCs w:val="24"/>
        </w:rPr>
      </w:pPr>
      <w:bookmarkStart w:id="10513" w:name="_Toc26551"/>
      <w:bookmarkStart w:id="10514" w:name="_Toc162355536"/>
      <w:bookmarkStart w:id="10515" w:name="_Toc14699"/>
      <w:bookmarkStart w:id="10516" w:name="_Toc30012"/>
      <w:bookmarkStart w:id="10517" w:name="_Toc2238"/>
      <w:r>
        <w:rPr>
          <w:sz w:val="24"/>
          <w:szCs w:val="24"/>
        </w:rPr>
        <w:t>Elemente rezistente la explozie și protecția golurilor</w:t>
      </w:r>
      <w:bookmarkEnd w:id="10513"/>
      <w:bookmarkEnd w:id="10514"/>
      <w:bookmarkEnd w:id="10515"/>
      <w:bookmarkEnd w:id="10516"/>
      <w:bookmarkEnd w:id="10517"/>
    </w:p>
    <w:p w14:paraId="1C1D22D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2.3.40.</w:t>
      </w:r>
      <w:r>
        <w:rPr>
          <w:rFonts w:eastAsia="Calibri"/>
          <w:i/>
          <w:sz w:val="24"/>
          <w:szCs w:val="24"/>
          <w:shd w:val="clear" w:color="auto" w:fill="FFFFFF"/>
        </w:rPr>
        <w:t xml:space="preserve"> Elementele de separare față de restul construcției existente a încăperilor cu pericol de explozie (categoriile A (BE3a) și B (BE3b) de pericol de incendiu), vor fi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și rezistente la explozie.</w:t>
      </w:r>
    </w:p>
    <w:p w14:paraId="24CF79B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2.3.41.</w:t>
      </w:r>
      <w:r>
        <w:rPr>
          <w:rFonts w:eastAsia="Calibri"/>
          <w:i/>
          <w:sz w:val="24"/>
          <w:szCs w:val="24"/>
          <w:shd w:val="clear" w:color="auto" w:fill="FFFFFF"/>
        </w:rPr>
        <w:t> Separarea încăperilor sau spațiilor cu pericol de explozie față de alte încăperi cu riscuri, categoriile de pericol sau destinații din clădirile existente, inclusiv față de încăperile tampon, trebuie să se facă prin pereți și planșee rezistente la explozie, alcătuite și realizate conform prezentei anexe.</w:t>
      </w:r>
    </w:p>
    <w:p w14:paraId="467C230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2.3.42.</w:t>
      </w:r>
      <w:r>
        <w:rPr>
          <w:rFonts w:eastAsia="Calibri"/>
          <w:i/>
          <w:sz w:val="24"/>
          <w:szCs w:val="24"/>
          <w:shd w:val="clear" w:color="auto" w:fill="FFFFFF"/>
        </w:rPr>
        <w:t> Alcătuirea și dimensionarea pereților rezistenți la explozie se determină prin calcul astfel încât aceștia să nu se prăbușească sub efectul suprapresiunii care se produce în încăperile respective, funcție de suprafețele de decomprimare asigurate (ferestre, panouri, luminatoare, acoperișuri zburătoare, trape, etc).</w:t>
      </w:r>
    </w:p>
    <w:p w14:paraId="23580E4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2.3.43.</w:t>
      </w:r>
      <w:r>
        <w:rPr>
          <w:rFonts w:eastAsia="Calibri"/>
          <w:i/>
          <w:sz w:val="24"/>
          <w:szCs w:val="24"/>
          <w:shd w:val="clear" w:color="auto" w:fill="FFFFFF"/>
        </w:rPr>
        <w:t> Pereții rezistenți la explozie trebuie să împiedice și propagarea incendiului din spațiile învecinate spre încăperile cu pericol de explozie, rezistența lor la foc fiind stabilită în funcție de densitatea sarcinii termice a încăperilor respective.</w:t>
      </w:r>
    </w:p>
    <w:p w14:paraId="0428414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2.3.44.</w:t>
      </w:r>
      <w:r>
        <w:rPr>
          <w:rFonts w:eastAsia="Calibri"/>
          <w:i/>
          <w:sz w:val="24"/>
          <w:szCs w:val="24"/>
          <w:shd w:val="clear" w:color="auto" w:fill="FFFFFF"/>
        </w:rPr>
        <w:t> Practicarea unor goluri în pereții rezistenți la explozie nu este admisă decât în cazuri excepționale, impuse de necesități funcționale și numai dacă sunt protejate corespunzător prevederilor din prezenta anexă.</w:t>
      </w:r>
    </w:p>
    <w:p w14:paraId="175D6DA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2.3.45.</w:t>
      </w:r>
      <w:r>
        <w:rPr>
          <w:rFonts w:eastAsia="Calibri"/>
          <w:i/>
          <w:sz w:val="24"/>
          <w:szCs w:val="24"/>
          <w:shd w:val="clear" w:color="auto" w:fill="FFFFFF"/>
        </w:rPr>
        <w:t> Străpungerea pereților rezistenți la explozie de către conducte, conductori sau cabluri electrice, se admite numai în cazuri de strictă necesitate funcțională, cu condiția respectării prevederilor normativului și ale prezentei anexe.</w:t>
      </w:r>
    </w:p>
    <w:p w14:paraId="76447B3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2.3.46.</w:t>
      </w:r>
      <w:r>
        <w:rPr>
          <w:rFonts w:eastAsia="Calibri"/>
          <w:i/>
          <w:sz w:val="24"/>
          <w:szCs w:val="24"/>
          <w:shd w:val="clear" w:color="auto" w:fill="FFFFFF"/>
        </w:rPr>
        <w:t> Golurile de comunicare funcțională prevăzute în pereții rezistenți la explozie, din construcțiile existente se protejează prin încăperi tampon antiex, și numai în cazuri excepționale justificate tehnic prin tamburi deschiși antiex. Aceeași prevedere se aplică și pentru comunicarea între încăperi cu pericol de explozie, în cazurile în care comunicarea directă ar prejudicia siguranța sau atunci când încăperile sunt situateîn compartimente de incendiu diferite.</w:t>
      </w:r>
    </w:p>
    <w:p w14:paraId="3C385EE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2.3.47.</w:t>
      </w:r>
      <w:r>
        <w:rPr>
          <w:rFonts w:eastAsia="Calibri"/>
          <w:i/>
          <w:sz w:val="24"/>
          <w:szCs w:val="24"/>
          <w:shd w:val="clear" w:color="auto" w:fill="FFFFFF"/>
        </w:rPr>
        <w:t xml:space="preserve"> Încăperile tampon și tamburii deschiși antiex prevăzuți în pereții rezistenți la explozie din construcțiile existente, se realizează similar celor de la pereții antifoc, recomandându-se ca pereții și planșeele acestor încăperi să fie amplasate spre spațiile mai puțin periculoase. Ușile încăperii tampon antiex vor avea asigurate în afară de cerințele prevăzute la Art. </w:t>
      </w:r>
      <w:r>
        <w:rPr>
          <w:rFonts w:eastAsia="Calibri"/>
          <w:b/>
          <w:i/>
          <w:sz w:val="24"/>
          <w:szCs w:val="24"/>
          <w:shd w:val="clear" w:color="auto" w:fill="FFFFFF"/>
        </w:rPr>
        <w:t xml:space="preserve">A.10. </w:t>
      </w:r>
      <w:r>
        <w:rPr>
          <w:rFonts w:eastAsia="Calibri"/>
          <w:b/>
          <w:bCs/>
          <w:i/>
          <w:sz w:val="24"/>
          <w:szCs w:val="24"/>
          <w:shd w:val="clear" w:color="auto" w:fill="FFFFFF"/>
        </w:rPr>
        <w:t>2.3.28.</w:t>
      </w:r>
      <w:r>
        <w:rPr>
          <w:rFonts w:eastAsia="Calibri"/>
          <w:i/>
          <w:sz w:val="24"/>
          <w:szCs w:val="24"/>
          <w:shd w:val="clear" w:color="auto" w:fill="FFFFFF"/>
        </w:rPr>
        <w:t xml:space="preserve"> și măsuri specifice de protecție astfel încât prin manevre să nu permită scântei capabile să inițieze aprinderea amestecurilor explozive respective.</w:t>
      </w:r>
    </w:p>
    <w:p w14:paraId="599E718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2.3.48.</w:t>
      </w:r>
      <w:r>
        <w:rPr>
          <w:rFonts w:eastAsia="Calibri"/>
          <w:i/>
          <w:sz w:val="24"/>
          <w:szCs w:val="24"/>
          <w:shd w:val="clear" w:color="auto" w:fill="FFFFFF"/>
        </w:rPr>
        <w:t> La încăperile tampon și tamburii deschiși antiex ce separă spații în care se produc degajări de gaze, vapori sau praf cu pericol de explozie, trebuie să se ia măsuri pentru ca în timpul exploatării normale să se împiedice trecerea acestora dintr-o parte în cealaltă.</w:t>
      </w:r>
    </w:p>
    <w:p w14:paraId="2E753FAD"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2.3.49.</w:t>
      </w:r>
      <w:r>
        <w:rPr>
          <w:rFonts w:eastAsia="Calibri"/>
          <w:i/>
          <w:sz w:val="24"/>
          <w:szCs w:val="24"/>
          <w:shd w:val="clear" w:color="auto" w:fill="FFFFFF"/>
        </w:rPr>
        <w:t xml:space="preserve"> Pentru planșeele rezistente la explozie din construcțiile existente, se vor respecta prevederile referitoare la alcătuire, dimensionare și celelalte condiții stabilite pentru pereții rezistenți la explozie (de la Art. </w:t>
      </w:r>
      <w:r>
        <w:rPr>
          <w:rFonts w:eastAsia="Calibri"/>
          <w:b/>
          <w:i/>
          <w:sz w:val="24"/>
          <w:szCs w:val="24"/>
          <w:shd w:val="clear" w:color="auto" w:fill="FFFFFF"/>
        </w:rPr>
        <w:t>A.10.</w:t>
      </w:r>
      <w:r>
        <w:rPr>
          <w:rFonts w:eastAsia="Calibri"/>
          <w:b/>
          <w:bCs/>
          <w:i/>
          <w:sz w:val="24"/>
          <w:szCs w:val="24"/>
          <w:shd w:val="clear" w:color="auto" w:fill="FFFFFF"/>
        </w:rPr>
        <w:t xml:space="preserve">2.3.42. </w:t>
      </w:r>
      <w:r>
        <w:rPr>
          <w:rFonts w:eastAsia="Calibri"/>
          <w:i/>
          <w:sz w:val="24"/>
          <w:szCs w:val="24"/>
          <w:shd w:val="clear" w:color="auto" w:fill="FFFFFF"/>
        </w:rPr>
        <w:t xml:space="preserve">până la Art. </w:t>
      </w:r>
      <w:r>
        <w:rPr>
          <w:rFonts w:eastAsia="Calibri"/>
          <w:b/>
          <w:i/>
          <w:sz w:val="24"/>
          <w:szCs w:val="24"/>
          <w:shd w:val="clear" w:color="auto" w:fill="FFFFFF"/>
        </w:rPr>
        <w:t>A.10.</w:t>
      </w:r>
      <w:r>
        <w:rPr>
          <w:rFonts w:eastAsia="Calibri"/>
          <w:b/>
          <w:bCs/>
          <w:i/>
          <w:sz w:val="24"/>
          <w:szCs w:val="24"/>
          <w:shd w:val="clear" w:color="auto" w:fill="FFFFFF"/>
        </w:rPr>
        <w:t>2.3.45.</w:t>
      </w:r>
      <w:r>
        <w:rPr>
          <w:rFonts w:eastAsia="Calibri"/>
          <w:i/>
          <w:sz w:val="24"/>
          <w:szCs w:val="24"/>
          <w:shd w:val="clear" w:color="auto" w:fill="FFFFFF"/>
        </w:rPr>
        <w:t>). Planșeele și elementele lor de susținere vor fi astfel dimensionate și realizate încât să nu fie aruncate de suflul exploziei.</w:t>
      </w:r>
    </w:p>
    <w:p w14:paraId="63189335" w14:textId="77777777" w:rsidR="001C08A5" w:rsidRDefault="00000000">
      <w:pPr>
        <w:pStyle w:val="Heading5"/>
        <w:rPr>
          <w:sz w:val="24"/>
          <w:szCs w:val="24"/>
          <w:lang w:val="ro-RO"/>
        </w:rPr>
      </w:pPr>
      <w:bookmarkStart w:id="10518" w:name="_Toc10344"/>
      <w:bookmarkStart w:id="10519" w:name="_Toc21884"/>
      <w:bookmarkStart w:id="10520" w:name="_Toc11169"/>
      <w:bookmarkStart w:id="10521" w:name="_Toc162355537"/>
      <w:bookmarkStart w:id="10522" w:name="_Toc2931"/>
      <w:bookmarkStart w:id="10523" w:name="_Toc25721"/>
      <w:r>
        <w:rPr>
          <w:sz w:val="24"/>
          <w:szCs w:val="24"/>
          <w:lang w:val="ro-RO"/>
        </w:rPr>
        <w:t>Spații cu pericol de explozie categoria A (BE3a) și B (BE3b) de pericol de incendiu</w:t>
      </w:r>
      <w:bookmarkEnd w:id="10518"/>
      <w:bookmarkEnd w:id="10519"/>
      <w:bookmarkEnd w:id="10520"/>
      <w:bookmarkEnd w:id="10521"/>
      <w:bookmarkEnd w:id="10522"/>
      <w:bookmarkEnd w:id="10523"/>
    </w:p>
    <w:p w14:paraId="40D43D6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2.3.50.</w:t>
      </w:r>
      <w:r>
        <w:rPr>
          <w:rFonts w:eastAsia="Calibri"/>
          <w:i/>
          <w:sz w:val="24"/>
          <w:szCs w:val="24"/>
          <w:shd w:val="clear" w:color="auto" w:fill="FFFFFF"/>
        </w:rPr>
        <w:t xml:space="preserve"> Construcțiile care adăpostesc funcțiuni cu pericol de explozie se realizează din materiale și elemente de construcție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La construcțiile independente cu pericol de explozie se recomandă utilizarea elementelor de construcție ușoare,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iar acoperișul acestor construcții trebuie să fie fără pod.</w:t>
      </w:r>
    </w:p>
    <w:p w14:paraId="2944A0D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2.3.51.</w:t>
      </w:r>
      <w:r>
        <w:rPr>
          <w:rFonts w:eastAsia="Calibri"/>
          <w:i/>
          <w:sz w:val="24"/>
          <w:szCs w:val="24"/>
          <w:shd w:val="clear" w:color="auto" w:fill="FFFFFF"/>
        </w:rPr>
        <w:t xml:space="preserve"> Încăperile și spațiile cu pericol de explozie categoria A (BE3a) sau B (BE3b) de pericol de incendiu, dacă nu pot fi dispuse în afara construcțiilor cu alte destinații, se separă de restul construcției prin elemente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explozie și, după caz, la foc, corespunzător alcătuite și dimensionate în conformitate cu prevederile reglementărilortehnice de specialitate. Planșeele și elementele lor de susținere vor fi astfel executate încât să nu fie deplasate de suflul exploziei.</w:t>
      </w:r>
    </w:p>
    <w:p w14:paraId="48DC0F3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2.3.52.</w:t>
      </w:r>
      <w:r>
        <w:rPr>
          <w:rFonts w:eastAsia="Calibri"/>
          <w:i/>
          <w:sz w:val="24"/>
          <w:szCs w:val="24"/>
          <w:shd w:val="clear" w:color="auto" w:fill="FFFFFF"/>
        </w:rPr>
        <w:t> Practicarea unor goluri în pereții rezistenți la explozie nu este admisă decât în cazuri excepționale, impuse de necesități tehnologice sau funcționale și numai dacă sunt protejate corespunzător prevederilor din prezenta anexă.</w:t>
      </w:r>
    </w:p>
    <w:p w14:paraId="3D4044B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2.3.53.</w:t>
      </w:r>
      <w:r>
        <w:rPr>
          <w:rFonts w:eastAsia="Calibri"/>
          <w:i/>
          <w:sz w:val="24"/>
          <w:szCs w:val="24"/>
          <w:shd w:val="clear" w:color="auto" w:fill="FFFFFF"/>
        </w:rPr>
        <w:t> Străpungerea pereților rezistenți la explozie de către conducte, conductoare sau cabluri electrice, este admisă numai în cazuri de strictă necesitate și în condițiile luării măsurilor de protecție care să asigure împiedicarea trecerii vaporilor, gazelor și prafului combustibil.</w:t>
      </w:r>
    </w:p>
    <w:p w14:paraId="6597E50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2.3.54.</w:t>
      </w:r>
      <w:r>
        <w:rPr>
          <w:rFonts w:eastAsia="Calibri"/>
          <w:i/>
          <w:sz w:val="24"/>
          <w:szCs w:val="24"/>
          <w:shd w:val="clear" w:color="auto" w:fill="FFFFFF"/>
        </w:rPr>
        <w:t> Planșeele rezistente la explozie, trebuie să îndeplinească condițiile asigurate de către pereții rezistenți la explozie ai spațiului respectiv.</w:t>
      </w:r>
    </w:p>
    <w:p w14:paraId="0F396C1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2.3.55.</w:t>
      </w:r>
      <w:r>
        <w:rPr>
          <w:rFonts w:eastAsia="Calibri"/>
          <w:i/>
          <w:sz w:val="24"/>
          <w:szCs w:val="24"/>
          <w:shd w:val="clear" w:color="auto" w:fill="FFFFFF"/>
        </w:rPr>
        <w:t> Încăperile și spațiile cu pericol de explozie nu vor avea tavane false și zone neventilate care să faciliteze producerea concentrațiilor periculoase de aer cu gaze, vapori sau praf combustibil. În încăperile cu degajări de praf combustibil, finisajul va permite curățirea ușoară a suprafețelor.</w:t>
      </w:r>
    </w:p>
    <w:p w14:paraId="28F4C3E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2.3.56.</w:t>
      </w:r>
      <w:r>
        <w:rPr>
          <w:rFonts w:eastAsia="Calibri"/>
          <w:i/>
          <w:sz w:val="24"/>
          <w:szCs w:val="24"/>
          <w:shd w:val="clear" w:color="auto" w:fill="FFFFFF"/>
        </w:rPr>
        <w:t xml:space="preserve"> Încăperile și spațiile închise cu pericol de explozie trebuie să aibe asigurate în pereții exteriori sau în acoperiș, goluri pentru decomprimare în caz de explozie, cu aria totală de minimum </w:t>
      </w:r>
      <w:r>
        <w:rPr>
          <w:rFonts w:eastAsia="Calibri"/>
          <w:b/>
          <w:bCs/>
          <w:i/>
          <w:sz w:val="24"/>
          <w:szCs w:val="24"/>
          <w:shd w:val="clear" w:color="auto" w:fill="FFFFFF"/>
        </w:rPr>
        <w:t>0,05 m</w:t>
      </w:r>
      <w:r>
        <w:rPr>
          <w:rFonts w:eastAsia="Calibri"/>
          <w:b/>
          <w:bCs/>
          <w:i/>
          <w:sz w:val="24"/>
          <w:szCs w:val="24"/>
          <w:shd w:val="clear" w:color="auto" w:fill="FFFFFF"/>
          <w:vertAlign w:val="superscript"/>
        </w:rPr>
        <w:t>2</w:t>
      </w:r>
      <w:r>
        <w:rPr>
          <w:rFonts w:eastAsia="Calibri"/>
          <w:b/>
          <w:bCs/>
          <w:i/>
          <w:sz w:val="24"/>
          <w:szCs w:val="24"/>
          <w:shd w:val="clear" w:color="auto" w:fill="FFFFFF"/>
        </w:rPr>
        <w:t> </w:t>
      </w:r>
      <w:r>
        <w:rPr>
          <w:rFonts w:eastAsia="Calibri"/>
          <w:i/>
          <w:sz w:val="24"/>
          <w:szCs w:val="24"/>
          <w:shd w:val="clear" w:color="auto" w:fill="FFFFFF"/>
        </w:rPr>
        <w:t xml:space="preserve">la </w:t>
      </w:r>
      <w:r>
        <w:rPr>
          <w:rFonts w:eastAsia="Calibri"/>
          <w:b/>
          <w:bCs/>
          <w:i/>
          <w:sz w:val="24"/>
          <w:szCs w:val="24"/>
          <w:shd w:val="clear" w:color="auto" w:fill="FFFFFF"/>
        </w:rPr>
        <w:t>1 m</w:t>
      </w:r>
      <w:r>
        <w:rPr>
          <w:rFonts w:eastAsia="Calibri"/>
          <w:b/>
          <w:bCs/>
          <w:i/>
          <w:sz w:val="24"/>
          <w:szCs w:val="24"/>
          <w:shd w:val="clear" w:color="auto" w:fill="FFFFFF"/>
          <w:vertAlign w:val="superscript"/>
        </w:rPr>
        <w:t>3</w:t>
      </w:r>
      <w:r>
        <w:rPr>
          <w:rFonts w:eastAsia="Calibri"/>
          <w:b/>
          <w:bCs/>
          <w:i/>
          <w:sz w:val="24"/>
          <w:szCs w:val="24"/>
          <w:shd w:val="clear" w:color="auto" w:fill="FFFFFF"/>
        </w:rPr>
        <w:t> </w:t>
      </w:r>
      <w:r>
        <w:rPr>
          <w:rFonts w:eastAsia="Calibri"/>
          <w:i/>
          <w:sz w:val="24"/>
          <w:szCs w:val="24"/>
          <w:shd w:val="clear" w:color="auto" w:fill="FFFFFF"/>
        </w:rPr>
        <w:t xml:space="preserve">din volumul încăperii respective. Adoptarea unui procent mai mic este admisă pe baza unui calcul justificativ, din care să rezulte că prin aceasta stabilitatea clădirii nu este afectată. </w:t>
      </w:r>
      <w:r>
        <w:rPr>
          <w:rFonts w:eastAsia="Calibri"/>
          <w:i/>
          <w:sz w:val="24"/>
          <w:szCs w:val="24"/>
          <w:shd w:val="clear" w:color="auto" w:fill="FFFFFF"/>
        </w:rPr>
        <w:lastRenderedPageBreak/>
        <w:t>Golurile pentru decomprimare se amplasează în vecinătatea surselor de explozie, avându-se în vedere ca efectul suflului exploziei în exteriorul construcției să nu afecteze obiecte învecinatesau căi publice de circulație.</w:t>
      </w:r>
    </w:p>
    <w:p w14:paraId="510CB0C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2.3.57.</w:t>
      </w:r>
      <w:r>
        <w:rPr>
          <w:rFonts w:eastAsia="Calibri"/>
          <w:i/>
          <w:sz w:val="24"/>
          <w:szCs w:val="24"/>
          <w:shd w:val="clear" w:color="auto" w:fill="FFFFFF"/>
        </w:rPr>
        <w:t xml:space="preserve"> Golurile ce se prevăd pentru decomprimare în caz de explozie pot fi neînchise sau închise. Elementele de închidere, proiectate și realizate astfel încât să cedeze la presiunea datorată exploziei, pot fi constituite din: panouri sau porțiuni de perete sau acoperiș de tip ușor (dislocabile sau rabatabile), ferestre și/sau luminatoare cu geam simplu nearmat care să cedeze la presiunea de cel mult </w:t>
      </w:r>
      <w:r>
        <w:rPr>
          <w:rFonts w:eastAsia="Calibri"/>
          <w:b/>
          <w:bCs/>
          <w:i/>
          <w:sz w:val="24"/>
          <w:szCs w:val="24"/>
          <w:shd w:val="clear" w:color="auto" w:fill="FFFFFF"/>
        </w:rPr>
        <w:t>118 daN/m</w:t>
      </w:r>
      <w:r>
        <w:rPr>
          <w:rFonts w:eastAsia="Calibri"/>
          <w:b/>
          <w:bCs/>
          <w:i/>
          <w:sz w:val="24"/>
          <w:szCs w:val="24"/>
          <w:shd w:val="clear" w:color="auto" w:fill="FFFFFF"/>
          <w:vertAlign w:val="superscript"/>
        </w:rPr>
        <w:t>2</w:t>
      </w:r>
      <w:r>
        <w:rPr>
          <w:rFonts w:eastAsia="Calibri"/>
          <w:i/>
          <w:sz w:val="24"/>
          <w:szCs w:val="24"/>
          <w:shd w:val="clear" w:color="auto" w:fill="FFFFFF"/>
        </w:rPr>
        <w:t>.</w:t>
      </w:r>
    </w:p>
    <w:p w14:paraId="6EE610F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2.3.58.</w:t>
      </w:r>
      <w:r>
        <w:rPr>
          <w:rFonts w:eastAsia="Calibri"/>
          <w:i/>
          <w:sz w:val="24"/>
          <w:szCs w:val="24"/>
          <w:shd w:val="clear" w:color="auto" w:fill="FFFFFF"/>
        </w:rPr>
        <w:t> În spațiile în care se pot produce amestecuri explozive de aer cu gaze, vapori sau praf, stratul de uzură al pardoselilor trebuie să fie executat din materiale care la lovire să nu producă scântei capabile să inițieze aprinderea respectivelor amestecuri explozive.</w:t>
      </w:r>
    </w:p>
    <w:p w14:paraId="0B26A62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2.3.59.</w:t>
      </w:r>
      <w:r>
        <w:rPr>
          <w:rFonts w:eastAsia="Calibri"/>
          <w:i/>
          <w:sz w:val="24"/>
          <w:szCs w:val="24"/>
          <w:shd w:val="clear" w:color="auto" w:fill="FFFFFF"/>
        </w:rPr>
        <w:t> În încăperi și spații cu pericol de explozie, tâmplăria și sistemele de acționare a acesteia se vor realiza sau proteja astfel încât, prin manevrare, să nu producă scântei capabile să inițieze aprinderea amestecurilor explozive.</w:t>
      </w:r>
    </w:p>
    <w:p w14:paraId="64C21EAE"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2.3.60.</w:t>
      </w:r>
      <w:r>
        <w:rPr>
          <w:rFonts w:eastAsia="Calibri"/>
          <w:i/>
          <w:sz w:val="24"/>
          <w:szCs w:val="24"/>
          <w:shd w:val="clear" w:color="auto" w:fill="FFFFFF"/>
        </w:rPr>
        <w:t> Delimitarea zonelor din construcții existente până la care se extind măsurile de protecție impuse de spațiile încadrate în categoriile A (BE3a) și B (BE3b) de pericol de incendiu se face având în vedere posibilitatea prezenței amestecurilorde aer cu gaze, vapori sau praf, în concentrații care să prezinte pericol de explozie, în timpul funcționării normale și în caz de avarie a instalațiilor utilitare aferente.</w:t>
      </w:r>
    </w:p>
    <w:p w14:paraId="061FEF9A" w14:textId="77777777" w:rsidR="001C08A5" w:rsidRDefault="00000000">
      <w:pPr>
        <w:pStyle w:val="Heading4"/>
        <w:rPr>
          <w:sz w:val="24"/>
          <w:szCs w:val="24"/>
        </w:rPr>
      </w:pPr>
      <w:bookmarkStart w:id="10524" w:name="_Toc9142"/>
      <w:bookmarkStart w:id="10525" w:name="_Toc5161"/>
      <w:bookmarkStart w:id="10526" w:name="_Toc31361"/>
      <w:bookmarkStart w:id="10527" w:name="_Toc162355538"/>
      <w:bookmarkStart w:id="10528" w:name="_Toc20066"/>
      <w:bookmarkStart w:id="10529" w:name="_Toc3622"/>
      <w:r>
        <w:rPr>
          <w:sz w:val="24"/>
          <w:szCs w:val="24"/>
        </w:rPr>
        <w:t>Elemente etanșe la foc</w:t>
      </w:r>
      <w:bookmarkEnd w:id="10524"/>
      <w:bookmarkEnd w:id="10525"/>
      <w:bookmarkEnd w:id="10526"/>
      <w:bookmarkEnd w:id="10527"/>
      <w:bookmarkEnd w:id="10528"/>
      <w:bookmarkEnd w:id="10529"/>
      <w:r>
        <w:rPr>
          <w:sz w:val="24"/>
          <w:szCs w:val="24"/>
        </w:rPr>
        <w:t xml:space="preserve"> </w:t>
      </w:r>
    </w:p>
    <w:p w14:paraId="12379A2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2.3.61.</w:t>
      </w:r>
      <w:r>
        <w:rPr>
          <w:rFonts w:eastAsia="Calibri"/>
          <w:i/>
          <w:sz w:val="24"/>
          <w:szCs w:val="24"/>
          <w:shd w:val="clear" w:color="auto" w:fill="FFFFFF"/>
        </w:rPr>
        <w:t> Elementele etanșe la foc (E) se prevăd în cazurile, condițiile și în conformitate cu prezenta anexă și reglementările de specialitate.</w:t>
      </w:r>
    </w:p>
    <w:p w14:paraId="7A20736C" w14:textId="77777777" w:rsidR="001C08A5" w:rsidRDefault="00000000">
      <w:pPr>
        <w:shd w:val="clear" w:color="auto" w:fill="FFFFFF"/>
        <w:spacing w:after="150"/>
        <w:jc w:val="both"/>
        <w:rPr>
          <w:rFonts w:eastAsia="Calibri"/>
          <w:b/>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2.3.62.</w:t>
      </w:r>
      <w:r>
        <w:rPr>
          <w:rFonts w:eastAsia="Calibri"/>
          <w:i/>
          <w:sz w:val="24"/>
          <w:szCs w:val="24"/>
          <w:shd w:val="clear" w:color="auto" w:fill="FFFFFF"/>
        </w:rPr>
        <w:t> Pentru ca un element să fie considerat etanș, trebuie să îndeplinească condițiile normate de etanșeitate stabilite în reglementările tehnice.</w:t>
      </w:r>
    </w:p>
    <w:p w14:paraId="49F8E01C" w14:textId="77777777" w:rsidR="001C08A5" w:rsidRDefault="00000000">
      <w:pPr>
        <w:pStyle w:val="Heading3"/>
        <w:rPr>
          <w:i/>
          <w:iCs/>
          <w:sz w:val="24"/>
          <w:szCs w:val="24"/>
        </w:rPr>
      </w:pPr>
      <w:bookmarkStart w:id="10530" w:name="_Toc19800"/>
      <w:bookmarkStart w:id="10531" w:name="_Toc31082"/>
      <w:bookmarkStart w:id="10532" w:name="_Toc162355539"/>
      <w:bookmarkStart w:id="10533" w:name="_Toc6385"/>
      <w:bookmarkStart w:id="10534" w:name="_Toc16155"/>
      <w:bookmarkStart w:id="10535" w:name="_Toc1275"/>
      <w:r>
        <w:rPr>
          <w:i/>
          <w:iCs/>
          <w:sz w:val="24"/>
          <w:szCs w:val="24"/>
        </w:rPr>
        <w:t>A.10. 2.4. ALCĂTUIRI CONSTRUCTIVE</w:t>
      </w:r>
      <w:bookmarkEnd w:id="10530"/>
      <w:bookmarkEnd w:id="10531"/>
      <w:bookmarkEnd w:id="10532"/>
      <w:bookmarkEnd w:id="10533"/>
      <w:bookmarkEnd w:id="10534"/>
      <w:bookmarkEnd w:id="10535"/>
    </w:p>
    <w:p w14:paraId="6BBA5EF9" w14:textId="77777777" w:rsidR="001C08A5" w:rsidRDefault="00000000">
      <w:pPr>
        <w:pStyle w:val="Heading4"/>
        <w:rPr>
          <w:sz w:val="24"/>
          <w:szCs w:val="24"/>
        </w:rPr>
      </w:pPr>
      <w:bookmarkStart w:id="10536" w:name="_Toc28514"/>
      <w:bookmarkStart w:id="10537" w:name="_Toc22870"/>
      <w:bookmarkStart w:id="10538" w:name="_Toc10109"/>
      <w:bookmarkStart w:id="10539" w:name="_Toc2794"/>
      <w:bookmarkStart w:id="10540" w:name="_Toc10963"/>
      <w:bookmarkStart w:id="10541" w:name="_Toc162355540"/>
      <w:r>
        <w:rPr>
          <w:sz w:val="24"/>
          <w:szCs w:val="24"/>
        </w:rPr>
        <w:t>Dispoziții generale</w:t>
      </w:r>
      <w:bookmarkEnd w:id="10536"/>
      <w:bookmarkEnd w:id="10537"/>
      <w:bookmarkEnd w:id="10538"/>
      <w:bookmarkEnd w:id="10539"/>
      <w:bookmarkEnd w:id="10540"/>
      <w:bookmarkEnd w:id="10541"/>
    </w:p>
    <w:p w14:paraId="67DA574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w:t>
      </w:r>
      <w:r>
        <w:rPr>
          <w:rFonts w:eastAsia="Calibri"/>
          <w:i/>
          <w:sz w:val="24"/>
          <w:szCs w:val="24"/>
          <w:shd w:val="clear" w:color="auto" w:fill="FFFFFF"/>
        </w:rPr>
        <w:t> Construcțiile existente și elementele de construcții, în general se alcătuiesc și realizează astfel încât să nu favorizeze apariția și propagarea incendiilor.</w:t>
      </w:r>
    </w:p>
    <w:p w14:paraId="3E529941"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2.4.2.</w:t>
      </w:r>
      <w:r>
        <w:rPr>
          <w:rFonts w:eastAsia="Calibri"/>
          <w:i/>
          <w:sz w:val="24"/>
          <w:szCs w:val="24"/>
          <w:shd w:val="clear" w:color="auto" w:fill="FFFFFF"/>
        </w:rPr>
        <w:t xml:space="preserve"> Elementele de construcție combustibile se recomandă să nu aibă goluri interioare iar eventualele goluri interioare ale acestora vor fi întrerupte, de regulă, la cel mult </w:t>
      </w:r>
      <w:r>
        <w:rPr>
          <w:rFonts w:eastAsia="Calibri"/>
          <w:b/>
          <w:bCs/>
          <w:i/>
          <w:sz w:val="24"/>
          <w:szCs w:val="24"/>
          <w:shd w:val="clear" w:color="auto" w:fill="FFFFFF"/>
        </w:rPr>
        <w:t>3,00 m</w:t>
      </w:r>
      <w:r>
        <w:rPr>
          <w:rFonts w:eastAsia="Calibri"/>
          <w:i/>
          <w:sz w:val="24"/>
          <w:szCs w:val="24"/>
          <w:shd w:val="clear" w:color="auto" w:fill="FFFFFF"/>
        </w:rPr>
        <w:t xml:space="preserve"> pe verticală și </w:t>
      </w:r>
      <w:r>
        <w:rPr>
          <w:rFonts w:eastAsia="Calibri"/>
          <w:b/>
          <w:bCs/>
          <w:i/>
          <w:sz w:val="24"/>
          <w:szCs w:val="24"/>
          <w:shd w:val="clear" w:color="auto" w:fill="FFFFFF"/>
        </w:rPr>
        <w:t>6,00 m</w:t>
      </w:r>
      <w:r>
        <w:rPr>
          <w:rFonts w:eastAsia="Calibri"/>
          <w:i/>
          <w:sz w:val="24"/>
          <w:szCs w:val="24"/>
          <w:shd w:val="clear" w:color="auto" w:fill="FFFFFF"/>
        </w:rPr>
        <w:t xml:space="preserve"> pe orizontală. Întreruperile se pot executa din același material ca și elementul. Golurile din elementele combustibile verticale nu trebuie să comunice cu cele din elementele combustibile orizontale. Întreruperea continuității golurilor orizontale trebuie realizată obligatoriu în dreptul pereților despărțitori iar a celor verticale în dreptul planșeelor. Întreruperea continuității golurilor interioare este obligatorie și la placările combustibile ale pereților și tavanelor, dar nu se referă la canalele de ventilare, la spațiul de deasupra tavanelor suspendate cu rol de ventilare precum și la spațiile din podul clădirilor existente. Se vor respecta și dispozițiile </w:t>
      </w:r>
      <w:r>
        <w:rPr>
          <w:b/>
          <w:i/>
          <w:sz w:val="24"/>
          <w:szCs w:val="24"/>
        </w:rPr>
        <w:t xml:space="preserve">Art. </w:t>
      </w:r>
      <w:r>
        <w:rPr>
          <w:b/>
          <w:bCs/>
          <w:i/>
          <w:sz w:val="24"/>
          <w:szCs w:val="24"/>
        </w:rPr>
        <w:t>2.4.1.1</w:t>
      </w:r>
      <w:r>
        <w:rPr>
          <w:b/>
          <w:i/>
          <w:sz w:val="24"/>
          <w:szCs w:val="24"/>
        </w:rPr>
        <w:t xml:space="preserve">. </w:t>
      </w:r>
      <w:r>
        <w:rPr>
          <w:bCs/>
          <w:i/>
          <w:sz w:val="24"/>
          <w:szCs w:val="24"/>
        </w:rPr>
        <w:t>și</w:t>
      </w:r>
      <w:r>
        <w:rPr>
          <w:b/>
          <w:i/>
          <w:sz w:val="24"/>
          <w:szCs w:val="24"/>
        </w:rPr>
        <w:t xml:space="preserve"> Art. </w:t>
      </w:r>
      <w:r>
        <w:rPr>
          <w:b/>
          <w:bCs/>
          <w:i/>
          <w:sz w:val="24"/>
          <w:szCs w:val="24"/>
        </w:rPr>
        <w:t>2.4.1.2</w:t>
      </w:r>
      <w:r>
        <w:rPr>
          <w:b/>
          <w:i/>
          <w:sz w:val="24"/>
          <w:szCs w:val="24"/>
        </w:rPr>
        <w:t xml:space="preserve">. </w:t>
      </w:r>
      <w:r>
        <w:rPr>
          <w:bCs/>
          <w:i/>
          <w:sz w:val="24"/>
          <w:szCs w:val="24"/>
        </w:rPr>
        <w:t>din normativ.</w:t>
      </w:r>
    </w:p>
    <w:p w14:paraId="01CE2C62"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2.4.3.</w:t>
      </w:r>
      <w:r>
        <w:rPr>
          <w:rFonts w:eastAsia="Calibri"/>
          <w:i/>
          <w:sz w:val="24"/>
          <w:szCs w:val="24"/>
          <w:shd w:val="clear" w:color="auto" w:fill="FFFFFF"/>
        </w:rPr>
        <w:t xml:space="preserve"> Continuitatea componentelor combustibile ale acoperișurilor fără pod, trebuie să se întrerupă cel puțin în dreptul rosturilor de tasare, dilatare sau seismice ale construcțiilor, prin intercalarea unor elemente </w:t>
      </w:r>
      <w:r>
        <w:rPr>
          <w:b/>
          <w:bCs/>
          <w:i/>
          <w:sz w:val="24"/>
          <w:szCs w:val="24"/>
          <w:lang w:val="en-GB"/>
        </w:rPr>
        <w:t>A1, A2s1d0</w:t>
      </w:r>
      <w:r>
        <w:rPr>
          <w:rFonts w:eastAsia="Calibri"/>
          <w:i/>
          <w:sz w:val="24"/>
          <w:szCs w:val="24"/>
          <w:shd w:val="clear" w:color="auto" w:fill="FFFFFF"/>
        </w:rPr>
        <w:t xml:space="preserve">, de minimum </w:t>
      </w:r>
      <w:r>
        <w:rPr>
          <w:rFonts w:eastAsia="Calibri"/>
          <w:b/>
          <w:bCs/>
          <w:i/>
          <w:sz w:val="24"/>
          <w:szCs w:val="24"/>
          <w:shd w:val="clear" w:color="auto" w:fill="FFFFFF"/>
        </w:rPr>
        <w:t>1,00 m</w:t>
      </w:r>
      <w:r>
        <w:rPr>
          <w:rFonts w:eastAsia="Calibri"/>
          <w:i/>
          <w:sz w:val="24"/>
          <w:szCs w:val="24"/>
          <w:shd w:val="clear" w:color="auto" w:fill="FFFFFF"/>
        </w:rPr>
        <w:t xml:space="preserve"> lățime, sau alte sisteme acceptate care să asigure limitarea transmiterii arderii.</w:t>
      </w:r>
    </w:p>
    <w:p w14:paraId="5D894FF1" w14:textId="77777777" w:rsidR="001C08A5" w:rsidRDefault="00000000">
      <w:pPr>
        <w:pStyle w:val="Heading4"/>
        <w:rPr>
          <w:sz w:val="24"/>
          <w:szCs w:val="24"/>
        </w:rPr>
      </w:pPr>
      <w:bookmarkStart w:id="10542" w:name="_Toc20982"/>
      <w:bookmarkStart w:id="10543" w:name="_Toc15499"/>
      <w:bookmarkStart w:id="10544" w:name="_Toc162355541"/>
      <w:bookmarkStart w:id="10545" w:name="_Toc21678"/>
      <w:bookmarkStart w:id="10546" w:name="_Toc8725"/>
      <w:bookmarkStart w:id="10547" w:name="_Toc15565"/>
      <w:r>
        <w:rPr>
          <w:sz w:val="24"/>
          <w:szCs w:val="24"/>
        </w:rPr>
        <w:lastRenderedPageBreak/>
        <w:t>Plafoane suspendate</w:t>
      </w:r>
      <w:bookmarkEnd w:id="10542"/>
      <w:bookmarkEnd w:id="10543"/>
      <w:bookmarkEnd w:id="10544"/>
      <w:bookmarkEnd w:id="10545"/>
      <w:bookmarkEnd w:id="10546"/>
      <w:bookmarkEnd w:id="10547"/>
    </w:p>
    <w:p w14:paraId="77CCAE10"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2.4.4.</w:t>
      </w:r>
      <w:r>
        <w:rPr>
          <w:rFonts w:eastAsia="Calibri"/>
          <w:i/>
          <w:sz w:val="24"/>
          <w:szCs w:val="24"/>
          <w:shd w:val="clear" w:color="auto" w:fill="FFFFFF"/>
        </w:rPr>
        <w:t> Plafoanele suspendate combustibile trebuie să aibe continuitatea întreruptă, cel puțin la limita pereților încăperii și în dreptul rosturilor de tasare-dilatare ale construcției. întreruperile se realizează prin fâșii incombustibile sau spații libere în planul plafonului, de minimum</w:t>
      </w:r>
      <w:r>
        <w:rPr>
          <w:rFonts w:eastAsia="Calibri"/>
          <w:b/>
          <w:bCs/>
          <w:i/>
          <w:sz w:val="24"/>
          <w:szCs w:val="24"/>
          <w:shd w:val="clear" w:color="auto" w:fill="FFFFFF"/>
        </w:rPr>
        <w:t xml:space="preserve"> 60 cm</w:t>
      </w:r>
      <w:r>
        <w:rPr>
          <w:rFonts w:eastAsia="Calibri"/>
          <w:i/>
          <w:sz w:val="24"/>
          <w:szCs w:val="24"/>
          <w:shd w:val="clear" w:color="auto" w:fill="FFFFFF"/>
        </w:rPr>
        <w:t>.</w:t>
      </w:r>
    </w:p>
    <w:p w14:paraId="023E80A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2.4.5.</w:t>
      </w:r>
      <w:r>
        <w:rPr>
          <w:rFonts w:eastAsia="Calibri"/>
          <w:i/>
          <w:sz w:val="24"/>
          <w:szCs w:val="24"/>
          <w:shd w:val="clear" w:color="auto" w:fill="FFFFFF"/>
        </w:rPr>
        <w:t xml:space="preserve"> La plafoanele combustibile sau incombustibile suspendate de planșee, de regulă, continuitatea golului dintre tavan și planșeu se întrerupe, prin diafragme din materiale </w:t>
      </w:r>
      <w:r>
        <w:rPr>
          <w:rFonts w:eastAsia="TimesNewRomanPSMT-Identity-H"/>
          <w:i/>
          <w:sz w:val="24"/>
          <w:szCs w:val="24"/>
        </w:rPr>
        <w:t xml:space="preserve">clasa de reacție la foc </w:t>
      </w:r>
      <w:r>
        <w:rPr>
          <w:rFonts w:eastAsia="Times New Roman"/>
          <w:b/>
          <w:bCs/>
          <w:i/>
          <w:sz w:val="24"/>
          <w:szCs w:val="24"/>
        </w:rPr>
        <w:t>A1, A2s1d0</w:t>
      </w:r>
      <w:r>
        <w:rPr>
          <w:rFonts w:eastAsia="Times New Roman"/>
          <w:bCs/>
          <w:i/>
          <w:sz w:val="24"/>
          <w:szCs w:val="24"/>
        </w:rPr>
        <w:t xml:space="preserve">,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xml:space="preserve">, sau în cazuri justificate tehnic, prin perdele de drencere/ sprinklere deschise, dispuse la maximum </w:t>
      </w:r>
      <w:r>
        <w:rPr>
          <w:rFonts w:eastAsia="Calibri"/>
          <w:b/>
          <w:bCs/>
          <w:i/>
          <w:sz w:val="24"/>
          <w:szCs w:val="24"/>
          <w:shd w:val="clear" w:color="auto" w:fill="FFFFFF"/>
        </w:rPr>
        <w:t>25 m</w:t>
      </w:r>
      <w:r>
        <w:rPr>
          <w:rFonts w:eastAsia="Calibri"/>
          <w:i/>
          <w:sz w:val="24"/>
          <w:szCs w:val="24"/>
          <w:shd w:val="clear" w:color="auto" w:fill="FFFFFF"/>
        </w:rPr>
        <w:t xml:space="preserve"> pe două direcții perpendiculare. Sunt exceptate plafoanele suspendate care nu sunt pline (te tip perforat, lamelar, fagure, grătar sau altele similare).</w:t>
      </w:r>
    </w:p>
    <w:p w14:paraId="32DAE67B" w14:textId="77777777" w:rsidR="001C08A5" w:rsidRDefault="00000000">
      <w:pPr>
        <w:pStyle w:val="Heading4"/>
        <w:rPr>
          <w:sz w:val="24"/>
          <w:szCs w:val="24"/>
        </w:rPr>
      </w:pPr>
      <w:bookmarkStart w:id="10548" w:name="_Toc12320"/>
      <w:bookmarkStart w:id="10549" w:name="_Toc18299"/>
      <w:bookmarkStart w:id="10550" w:name="_Toc32691"/>
      <w:bookmarkStart w:id="10551" w:name="_Toc18733"/>
      <w:bookmarkStart w:id="10552" w:name="_Toc22394"/>
      <w:bookmarkStart w:id="10553" w:name="_Toc162355542"/>
      <w:r>
        <w:rPr>
          <w:sz w:val="24"/>
          <w:szCs w:val="24"/>
        </w:rPr>
        <w:t>Galerii, canale</w:t>
      </w:r>
      <w:bookmarkEnd w:id="10548"/>
      <w:bookmarkEnd w:id="10549"/>
      <w:bookmarkEnd w:id="10550"/>
      <w:bookmarkEnd w:id="10551"/>
      <w:bookmarkEnd w:id="10552"/>
      <w:bookmarkEnd w:id="10553"/>
    </w:p>
    <w:p w14:paraId="12C8C5A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2.4.6.</w:t>
      </w:r>
      <w:r>
        <w:rPr>
          <w:rFonts w:eastAsia="Calibri"/>
          <w:i/>
          <w:sz w:val="24"/>
          <w:szCs w:val="24"/>
          <w:shd w:val="clear" w:color="auto" w:fill="FFFFFF"/>
        </w:rPr>
        <w:t> Montarea în aceeași galerie, canal sau estacadă a unor conducte ori sisteme de transport pentru lichide sau gaze, al căror amestec poate produce explozie sau incendiu, nu este admisă.</w:t>
      </w:r>
    </w:p>
    <w:p w14:paraId="3B53F87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2.4.7.</w:t>
      </w:r>
      <w:r>
        <w:rPr>
          <w:rFonts w:eastAsia="Calibri"/>
          <w:i/>
          <w:sz w:val="24"/>
          <w:szCs w:val="24"/>
          <w:shd w:val="clear" w:color="auto" w:fill="FFFFFF"/>
        </w:rPr>
        <w:t xml:space="preserve"> Galeriile, canalele și estacadele destinate transportării substanțelor combustibile, cele care trec pe deasupra construcțiilor existente, precum și cele care constituie căi de evacuare a persoanelor, vor fi executate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w:t>
      </w:r>
    </w:p>
    <w:p w14:paraId="1F6F50F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2.4.8.</w:t>
      </w:r>
      <w:r>
        <w:rPr>
          <w:rFonts w:eastAsia="Calibri"/>
          <w:i/>
          <w:sz w:val="24"/>
          <w:szCs w:val="24"/>
          <w:shd w:val="clear" w:color="auto" w:fill="FFFFFF"/>
        </w:rPr>
        <w:t> Galeriile și canalele închise, prin care se transportă materialele combustibile sau conțin materiale ori elemente combustibile, vor avea asigurate posibilități de evacuare a fumului și, după caz, a gazelor fierbinți.</w:t>
      </w:r>
    </w:p>
    <w:p w14:paraId="0C829B0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2.4.9.</w:t>
      </w:r>
      <w:r>
        <w:rPr>
          <w:rFonts w:eastAsia="Calibri"/>
          <w:i/>
          <w:sz w:val="24"/>
          <w:szCs w:val="24"/>
          <w:shd w:val="clear" w:color="auto" w:fill="FFFFFF"/>
        </w:rPr>
        <w:t> La trecerea canalelor, conductelor sau cablurilor prin pereți și planșee antifoc sau rezistente la foc, se vor lua măsuri corespunzătoare de etanșare a golurilor din jurul acestora cu alcătuiri rezistente la foc, potrivit prevederilor prezentei anexe.</w:t>
      </w:r>
    </w:p>
    <w:p w14:paraId="0982405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2.4.10.</w:t>
      </w:r>
      <w:r>
        <w:rPr>
          <w:rFonts w:eastAsia="Calibri"/>
          <w:i/>
          <w:sz w:val="24"/>
          <w:szCs w:val="24"/>
          <w:shd w:val="clear" w:color="auto" w:fill="FFFFFF"/>
        </w:rPr>
        <w:t xml:space="preserve"> La intrarea în construcții existente a galeriilor, estacadelor și a canalelor de orice fel, se vor lua măsuri de protecție a golurilor în funcție de natura materialelor din care sunt executate, precum și a celor transportate, de destinația spațiilor spre care acced și de rolul de protecție la foc al peretelui traversat. Atunci când prezenta anexă nu impune măsuri de protecție speciale vor fi prevăzute uși pline, iar în cazuri justificate în care condițiile tehnice sau funcționale nu permit montarea acestora, golurile se pot proteja cu perdele de drencere. Fac excepție estacadele, galeriile și canalele deschise realizate din elemente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prin care se transportă materiale incombustibile, la care protejarea golurilor este obligatorie numai când traversează pereți antifoc.</w:t>
      </w:r>
    </w:p>
    <w:p w14:paraId="64EA6F6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2.4.11.</w:t>
      </w:r>
      <w:r>
        <w:rPr>
          <w:rFonts w:eastAsia="Calibri"/>
          <w:i/>
          <w:sz w:val="24"/>
          <w:szCs w:val="24"/>
          <w:shd w:val="clear" w:color="auto" w:fill="FFFFFF"/>
        </w:rPr>
        <w:t xml:space="preserve"> În construcțiile existente de nivelul </w:t>
      </w:r>
      <w:r>
        <w:rPr>
          <w:rFonts w:eastAsia="Calibri"/>
          <w:b/>
          <w:bCs/>
          <w:i/>
          <w:sz w:val="24"/>
          <w:szCs w:val="24"/>
          <w:shd w:val="clear" w:color="auto" w:fill="FFFFFF"/>
        </w:rPr>
        <w:t xml:space="preserve">I, II </w:t>
      </w:r>
      <w:r>
        <w:rPr>
          <w:rFonts w:eastAsia="Calibri"/>
          <w:i/>
          <w:sz w:val="24"/>
          <w:szCs w:val="24"/>
          <w:shd w:val="clear" w:color="auto" w:fill="FFFFFF"/>
        </w:rPr>
        <w:t xml:space="preserve">și </w:t>
      </w:r>
      <w:r>
        <w:rPr>
          <w:rFonts w:eastAsia="Calibri"/>
          <w:b/>
          <w:bCs/>
          <w:i/>
          <w:sz w:val="24"/>
          <w:szCs w:val="24"/>
          <w:shd w:val="clear" w:color="auto" w:fill="FFFFFF"/>
        </w:rPr>
        <w:t>III</w:t>
      </w:r>
      <w:r>
        <w:rPr>
          <w:rFonts w:eastAsia="Calibri"/>
          <w:i/>
          <w:sz w:val="24"/>
          <w:szCs w:val="24"/>
          <w:shd w:val="clear" w:color="auto" w:fill="FFFFFF"/>
        </w:rPr>
        <w:t xml:space="preserve"> de stabilitate la incendiu, de regulă, pereții tuturor ghenelor verticale pentru conducte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rezistenți la foc minimum 15 minute (</w:t>
      </w:r>
      <w:r>
        <w:rPr>
          <w:rFonts w:eastAsia="Calibri"/>
          <w:b/>
          <w:bCs/>
          <w:i/>
          <w:sz w:val="24"/>
          <w:szCs w:val="24"/>
          <w:shd w:val="clear" w:color="auto" w:fill="FFFFFF"/>
        </w:rPr>
        <w:t>EI15</w:t>
      </w:r>
      <w:r>
        <w:rPr>
          <w:rFonts w:eastAsia="Calibri"/>
          <w:i/>
          <w:sz w:val="24"/>
          <w:szCs w:val="24"/>
          <w:shd w:val="clear" w:color="auto" w:fill="FFFFFF"/>
        </w:rPr>
        <w:t xml:space="preserve">), cu excepția cazurilor menționate în prezenta anexă, în care sunt necesare rezistențe mai mari. Trapele și ușile de vizitare practicate în pereții ghenelor verticale pentru conducte, trebuie să fie realizate din materiale </w:t>
      </w:r>
      <w:r>
        <w:rPr>
          <w:b/>
          <w:bCs/>
          <w:i/>
          <w:sz w:val="24"/>
          <w:szCs w:val="24"/>
          <w:lang w:val="en-GB"/>
        </w:rPr>
        <w:t>A1, A2s1d0</w:t>
      </w:r>
      <w:r>
        <w:rPr>
          <w:rFonts w:eastAsia="Calibri"/>
          <w:i/>
          <w:sz w:val="24"/>
          <w:szCs w:val="24"/>
          <w:shd w:val="clear" w:color="auto" w:fill="FFFFFF"/>
        </w:rPr>
        <w:t xml:space="preserve"> sau, după caz,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w:t>
      </w:r>
    </w:p>
    <w:p w14:paraId="10C034D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2.4.12.</w:t>
      </w:r>
      <w:r>
        <w:rPr>
          <w:rFonts w:eastAsia="Calibri"/>
          <w:i/>
          <w:sz w:val="24"/>
          <w:szCs w:val="24"/>
          <w:shd w:val="clear" w:color="auto" w:fill="FFFFFF"/>
        </w:rPr>
        <w:t xml:space="preserve"> Ghenele verticale pentru conducte și cabluri, la trecerea lor prin planșee vor avea închise spațiile dintre conducte sau cabluri, cu elemente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minimum 30 de minute (</w:t>
      </w:r>
      <w:r>
        <w:rPr>
          <w:rFonts w:eastAsia="Calibri"/>
          <w:b/>
          <w:bCs/>
          <w:i/>
          <w:sz w:val="24"/>
          <w:szCs w:val="24"/>
          <w:shd w:val="clear" w:color="auto" w:fill="FFFFFF"/>
        </w:rPr>
        <w:t>EI30</w:t>
      </w:r>
      <w:r>
        <w:rPr>
          <w:rFonts w:eastAsia="Calibri"/>
          <w:i/>
          <w:sz w:val="24"/>
          <w:szCs w:val="24"/>
          <w:shd w:val="clear" w:color="auto" w:fill="FFFFFF"/>
        </w:rPr>
        <w:t>), în toate cazurile în care pereții și trapele sau ușile lor de vizitare nu sunt rezistente la foc minimum 30 de minute (</w:t>
      </w:r>
      <w:r>
        <w:rPr>
          <w:rFonts w:eastAsia="Calibri"/>
          <w:b/>
          <w:bCs/>
          <w:i/>
          <w:sz w:val="24"/>
          <w:szCs w:val="24"/>
          <w:shd w:val="clear" w:color="auto" w:fill="FFFFFF"/>
        </w:rPr>
        <w:t>EI30</w:t>
      </w:r>
      <w:r>
        <w:rPr>
          <w:rFonts w:eastAsia="Calibri"/>
          <w:i/>
          <w:sz w:val="24"/>
          <w:szCs w:val="24"/>
          <w:shd w:val="clear" w:color="auto" w:fill="FFFFFF"/>
        </w:rPr>
        <w:t xml:space="preserve">). La trecerea prin pereții de compartimentare antifoc existenți, ghenele orizontale se închid în jurul conductelor și a cablurilor, cu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rezistență la foc echivalentă cu cea a elementului străpuns. Elementele și materialele de construcție utilizate pentru protecția, închiderea sau mascarea instalațiilor și a echipamentelor, trebuie să fie cel puțin </w:t>
      </w:r>
      <w:r>
        <w:rPr>
          <w:rFonts w:eastAsia="TimesNewRomanPSMT-Identity-H"/>
          <w:i/>
          <w:sz w:val="24"/>
          <w:szCs w:val="24"/>
        </w:rPr>
        <w:t xml:space="preserve">clasa de reacție la foc </w:t>
      </w:r>
      <w:r>
        <w:rPr>
          <w:rFonts w:eastAsia="TimesNewRomanPSMT-Identity-H"/>
          <w:b/>
          <w:bCs/>
          <w:i/>
          <w:sz w:val="24"/>
          <w:szCs w:val="24"/>
          <w:lang w:eastAsia="zh-CN"/>
        </w:rPr>
        <w:t>Cs1÷s3,d0÷d1</w:t>
      </w:r>
      <w:r>
        <w:rPr>
          <w:rFonts w:eastAsia="Calibri"/>
          <w:i/>
          <w:sz w:val="24"/>
          <w:szCs w:val="24"/>
          <w:shd w:val="clear" w:color="auto" w:fill="FFFFFF"/>
        </w:rPr>
        <w:t xml:space="preserve">, recomandându-se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sau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Calibri"/>
          <w:i/>
          <w:sz w:val="24"/>
          <w:szCs w:val="24"/>
          <w:shd w:val="clear" w:color="auto" w:fill="FFFFFF"/>
        </w:rPr>
        <w:t>.</w:t>
      </w:r>
    </w:p>
    <w:p w14:paraId="38B8941E" w14:textId="77777777" w:rsidR="001C08A5" w:rsidRDefault="00000000">
      <w:pPr>
        <w:pStyle w:val="Heading4"/>
        <w:rPr>
          <w:sz w:val="24"/>
          <w:szCs w:val="24"/>
        </w:rPr>
      </w:pPr>
      <w:bookmarkStart w:id="10554" w:name="_Toc18036"/>
      <w:bookmarkStart w:id="10555" w:name="_Toc7222"/>
      <w:bookmarkStart w:id="10556" w:name="_Toc29944"/>
      <w:bookmarkStart w:id="10557" w:name="_Toc1277"/>
      <w:bookmarkStart w:id="10558" w:name="_Toc162355543"/>
      <w:bookmarkStart w:id="10559" w:name="_Toc16367"/>
      <w:r>
        <w:rPr>
          <w:sz w:val="24"/>
          <w:szCs w:val="24"/>
        </w:rPr>
        <w:lastRenderedPageBreak/>
        <w:t>Coșuri, tuburi</w:t>
      </w:r>
      <w:bookmarkEnd w:id="10554"/>
      <w:bookmarkEnd w:id="10555"/>
      <w:bookmarkEnd w:id="10556"/>
      <w:bookmarkEnd w:id="10557"/>
      <w:bookmarkEnd w:id="10558"/>
      <w:bookmarkEnd w:id="10559"/>
    </w:p>
    <w:p w14:paraId="1C17259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2.4.13.</w:t>
      </w:r>
      <w:r>
        <w:rPr>
          <w:rFonts w:eastAsia="Calibri"/>
          <w:i/>
          <w:sz w:val="24"/>
          <w:szCs w:val="24"/>
          <w:shd w:val="clear" w:color="auto" w:fill="FFFFFF"/>
        </w:rPr>
        <w:t> Coșurile de fum (sau de ventilare) și sobele, se alcătuiesc, execută și izolează față de elementele combustibile ale construcției existente conform reglementărilor tehnice în acest domeniu, astfel încât să nu conducă la incendii datorită transmiterii căldurii sau a scăpărilor de gaze fierbinți, flăcări, scântei, etc.</w:t>
      </w:r>
    </w:p>
    <w:p w14:paraId="3F09811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2.4.14.</w:t>
      </w:r>
      <w:r>
        <w:rPr>
          <w:rFonts w:eastAsia="Calibri"/>
          <w:i/>
          <w:sz w:val="24"/>
          <w:szCs w:val="24"/>
          <w:shd w:val="clear" w:color="auto" w:fill="FFFFFF"/>
        </w:rPr>
        <w:t xml:space="preserve"> Hotele de captare a degajărilor de căldură ale unor echipamente, dispozitive, aparate, etc. și tubulatura acestora, de regulă, vor fi realizate din materiale </w:t>
      </w:r>
      <w:r>
        <w:rPr>
          <w:rFonts w:eastAsia="TimesNewRomanPSMT-Identity-H"/>
          <w:i/>
          <w:sz w:val="24"/>
          <w:szCs w:val="24"/>
        </w:rPr>
        <w:t>clasa de reacție la foc</w:t>
      </w:r>
      <w:r>
        <w:rPr>
          <w:rFonts w:eastAsia="Calibri"/>
          <w:i/>
          <w:sz w:val="24"/>
          <w:szCs w:val="24"/>
          <w:shd w:val="clear" w:color="auto" w:fill="FFFFFF"/>
        </w:rPr>
        <w:t xml:space="preserve"> </w:t>
      </w:r>
      <w:r>
        <w:rPr>
          <w:b/>
          <w:bCs/>
          <w:i/>
          <w:sz w:val="24"/>
          <w:szCs w:val="24"/>
          <w:lang w:val="en-GB"/>
        </w:rPr>
        <w:t>A1, A2s1d0</w:t>
      </w:r>
      <w:r>
        <w:rPr>
          <w:rFonts w:eastAsia="Calibri"/>
          <w:i/>
          <w:sz w:val="24"/>
          <w:szCs w:val="24"/>
          <w:shd w:val="clear" w:color="auto" w:fill="FFFFFF"/>
        </w:rPr>
        <w:t xml:space="preserve"> și izolate față de elementele și materialele combustibile alăturate. În cazuri justificate funcțional, acestea pot fi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 xml:space="preserve">Cs1÷s3,d0÷d1 </w:t>
      </w:r>
      <w:r>
        <w:rPr>
          <w:rFonts w:eastAsia="TimesNewRomanPSMT-Identity-H"/>
          <w:i/>
          <w:sz w:val="24"/>
          <w:szCs w:val="24"/>
          <w:lang w:eastAsia="zh-CN"/>
        </w:rPr>
        <w:t>dacă reglementările tehnice de profil specifică</w:t>
      </w:r>
      <w:r>
        <w:rPr>
          <w:rFonts w:eastAsia="Calibri"/>
          <w:i/>
          <w:sz w:val="24"/>
          <w:szCs w:val="24"/>
          <w:shd w:val="clear" w:color="auto" w:fill="FFFFFF"/>
        </w:rPr>
        <w:t>.</w:t>
      </w:r>
    </w:p>
    <w:p w14:paraId="6AA9755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2.4.15.</w:t>
      </w:r>
      <w:r>
        <w:rPr>
          <w:rFonts w:eastAsia="Calibri"/>
          <w:i/>
          <w:sz w:val="24"/>
          <w:szCs w:val="24"/>
          <w:shd w:val="clear" w:color="auto" w:fill="FFFFFF"/>
        </w:rPr>
        <w:t xml:space="preserve"> Elementele de construcție care separă de restul construcției existente camerele și crematoriile pentru gunoi, vor fi realizate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minimum 1 oră (</w:t>
      </w:r>
      <w:r>
        <w:rPr>
          <w:rFonts w:eastAsia="Calibri"/>
          <w:b/>
          <w:bCs/>
          <w:i/>
          <w:sz w:val="24"/>
          <w:szCs w:val="24"/>
          <w:shd w:val="clear" w:color="auto" w:fill="FFFFFF"/>
        </w:rPr>
        <w:t>EI/REI60</w:t>
      </w:r>
      <w:r>
        <w:rPr>
          <w:rFonts w:eastAsia="Calibri"/>
          <w:i/>
          <w:sz w:val="24"/>
          <w:szCs w:val="24"/>
          <w:shd w:val="clear" w:color="auto" w:fill="FFFFFF"/>
        </w:rPr>
        <w:t xml:space="preserve">) și uși rezistente la foc minimum de </w:t>
      </w:r>
      <w:r>
        <w:rPr>
          <w:rFonts w:eastAsia="Calibri"/>
          <w:b/>
          <w:bCs/>
          <w:i/>
          <w:sz w:val="24"/>
          <w:szCs w:val="24"/>
          <w:shd w:val="clear" w:color="auto" w:fill="FFFFFF"/>
        </w:rPr>
        <w:t>30</w:t>
      </w:r>
      <w:r>
        <w:rPr>
          <w:rFonts w:eastAsia="Calibri"/>
          <w:i/>
          <w:sz w:val="24"/>
          <w:szCs w:val="24"/>
          <w:shd w:val="clear" w:color="auto" w:fill="FFFFFF"/>
        </w:rPr>
        <w:t xml:space="preserve"> de minute (</w:t>
      </w:r>
      <w:r>
        <w:rPr>
          <w:rFonts w:eastAsia="Calibri"/>
          <w:b/>
          <w:bCs/>
          <w:i/>
          <w:sz w:val="24"/>
          <w:szCs w:val="24"/>
          <w:shd w:val="clear" w:color="auto" w:fill="FFFFFF"/>
        </w:rPr>
        <w:t>EI30-C</w:t>
      </w:r>
      <w:r>
        <w:rPr>
          <w:rFonts w:eastAsia="Calibri"/>
          <w:i/>
          <w:sz w:val="24"/>
          <w:szCs w:val="24"/>
          <w:shd w:val="clear" w:color="auto" w:fill="FFFFFF"/>
        </w:rPr>
        <w:t xml:space="preserve">). Camerele și crematoriile vor avea asigurată evacuarea fumului în exterior prin tiraj natural - organizat, minimum </w:t>
      </w:r>
      <w:r>
        <w:rPr>
          <w:rFonts w:eastAsia="Calibri"/>
          <w:b/>
          <w:bCs/>
          <w:i/>
          <w:sz w:val="24"/>
          <w:szCs w:val="24"/>
          <w:shd w:val="clear" w:color="auto" w:fill="FFFFFF"/>
        </w:rPr>
        <w:t>1%</w:t>
      </w:r>
      <w:r>
        <w:rPr>
          <w:rFonts w:eastAsia="Calibri"/>
          <w:i/>
          <w:sz w:val="24"/>
          <w:szCs w:val="24"/>
          <w:shd w:val="clear" w:color="auto" w:fill="FFFFFF"/>
        </w:rPr>
        <w:t xml:space="preserve"> din arie, sau prin sistem de ventilare mecanică.</w:t>
      </w:r>
    </w:p>
    <w:p w14:paraId="02086B3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2.4.16.</w:t>
      </w:r>
      <w:r>
        <w:rPr>
          <w:rFonts w:eastAsia="Calibri"/>
          <w:i/>
          <w:sz w:val="24"/>
          <w:szCs w:val="24"/>
          <w:shd w:val="clear" w:color="auto" w:fill="FFFFFF"/>
        </w:rPr>
        <w:t xml:space="preserve"> Tuburile pentru gunoi vorfi realizate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iar accesul din construcție la acestea se asigură, de regulă, prin exterior (logii, balcoane), sau prin încăpere tampon separată de restul construcției și de casa scării prin pereții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rezistenți la foc minimum 1 oră (</w:t>
      </w:r>
      <w:r>
        <w:rPr>
          <w:rFonts w:eastAsia="Calibri"/>
          <w:b/>
          <w:bCs/>
          <w:i/>
          <w:sz w:val="24"/>
          <w:szCs w:val="24"/>
          <w:shd w:val="clear" w:color="auto" w:fill="FFFFFF"/>
        </w:rPr>
        <w:t>EI/REI60</w:t>
      </w:r>
      <w:r>
        <w:rPr>
          <w:rFonts w:eastAsia="Calibri"/>
          <w:i/>
          <w:sz w:val="24"/>
          <w:szCs w:val="24"/>
          <w:shd w:val="clear" w:color="auto" w:fill="FFFFFF"/>
        </w:rPr>
        <w:t>) și uși pline cu autoînchidere (</w:t>
      </w:r>
      <w:r>
        <w:rPr>
          <w:rFonts w:eastAsia="Calibri"/>
          <w:b/>
          <w:bCs/>
          <w:i/>
          <w:sz w:val="24"/>
          <w:szCs w:val="24"/>
          <w:shd w:val="clear" w:color="auto" w:fill="FFFFFF"/>
        </w:rPr>
        <w:t>-C</w:t>
      </w:r>
      <w:r>
        <w:rPr>
          <w:rFonts w:eastAsia="Calibri"/>
          <w:i/>
          <w:sz w:val="24"/>
          <w:szCs w:val="24"/>
          <w:shd w:val="clear" w:color="auto" w:fill="FFFFFF"/>
        </w:rPr>
        <w:t>), cu excepțiile precizate în prezenta anexă.</w:t>
      </w:r>
    </w:p>
    <w:p w14:paraId="1806158B" w14:textId="77777777" w:rsidR="001C08A5" w:rsidRDefault="00000000">
      <w:pPr>
        <w:pStyle w:val="Heading4"/>
        <w:rPr>
          <w:sz w:val="24"/>
          <w:szCs w:val="24"/>
        </w:rPr>
      </w:pPr>
      <w:bookmarkStart w:id="10560" w:name="_Toc1810"/>
      <w:bookmarkStart w:id="10561" w:name="_Toc162355544"/>
      <w:bookmarkStart w:id="10562" w:name="_Toc5194"/>
      <w:bookmarkStart w:id="10563" w:name="_Toc16748"/>
      <w:bookmarkStart w:id="10564" w:name="_Toc14368"/>
      <w:bookmarkStart w:id="10565" w:name="_Toc13869"/>
      <w:r>
        <w:rPr>
          <w:sz w:val="24"/>
          <w:szCs w:val="24"/>
        </w:rPr>
        <w:t>Ascensoare</w:t>
      </w:r>
      <w:bookmarkEnd w:id="10560"/>
      <w:bookmarkEnd w:id="10561"/>
      <w:bookmarkEnd w:id="10562"/>
      <w:bookmarkEnd w:id="10563"/>
      <w:bookmarkEnd w:id="10564"/>
      <w:bookmarkEnd w:id="10565"/>
    </w:p>
    <w:p w14:paraId="3C7532F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2.4.17.</w:t>
      </w:r>
      <w:r>
        <w:rPr>
          <w:rFonts w:eastAsia="Calibri"/>
          <w:i/>
          <w:sz w:val="24"/>
          <w:szCs w:val="24"/>
          <w:shd w:val="clear" w:color="auto" w:fill="FFFFFF"/>
        </w:rPr>
        <w:t xml:space="preserve"> Puțurile ascensoarelor și în general ale sistemelor de transport pe verticală, inclusiv încăperile pentru mașinile aferente acestora, se separă de restul construcției prin elemente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la foc corespunzătoare riscului (sau fostelor categorii de pericol) de incendiu, tipului de clădire existentă și destinației, dar nu mai puțin de 1 oră pentru pereți (</w:t>
      </w:r>
      <w:r>
        <w:rPr>
          <w:rFonts w:eastAsia="Calibri"/>
          <w:b/>
          <w:bCs/>
          <w:i/>
          <w:sz w:val="24"/>
          <w:szCs w:val="24"/>
          <w:shd w:val="clear" w:color="auto" w:fill="FFFFFF"/>
        </w:rPr>
        <w:t>EI/REI60</w:t>
      </w:r>
      <w:r>
        <w:rPr>
          <w:rFonts w:eastAsia="Calibri"/>
          <w:i/>
          <w:sz w:val="24"/>
          <w:szCs w:val="24"/>
          <w:shd w:val="clear" w:color="auto" w:fill="FFFFFF"/>
        </w:rPr>
        <w:t>) și planșee (</w:t>
      </w:r>
      <w:r>
        <w:rPr>
          <w:rFonts w:eastAsia="Calibri"/>
          <w:b/>
          <w:bCs/>
          <w:i/>
          <w:sz w:val="24"/>
          <w:szCs w:val="24"/>
          <w:shd w:val="clear" w:color="auto" w:fill="FFFFFF"/>
        </w:rPr>
        <w:t>REI60</w:t>
      </w:r>
      <w:r>
        <w:rPr>
          <w:rFonts w:eastAsia="Calibri"/>
          <w:i/>
          <w:sz w:val="24"/>
          <w:szCs w:val="24"/>
          <w:shd w:val="clear" w:color="auto" w:fill="FFFFFF"/>
        </w:rPr>
        <w:t>). Puțurile ascensoarelor de intervenție în caz de incendiu, vor corespunde prevederilor specifice acestora.</w:t>
      </w:r>
    </w:p>
    <w:p w14:paraId="77300FE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2.4.18.</w:t>
      </w:r>
      <w:r>
        <w:rPr>
          <w:rFonts w:eastAsia="Calibri"/>
          <w:i/>
          <w:sz w:val="24"/>
          <w:szCs w:val="24"/>
          <w:shd w:val="clear" w:color="auto" w:fill="FFFFFF"/>
        </w:rPr>
        <w:t> În casele de scări de evacuare nu este admisă amplasarea ascensoarelor pentru materiale, precum și a oricărui sistem de transportde materiale pe verticală.</w:t>
      </w:r>
    </w:p>
    <w:p w14:paraId="09E0092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2.4.19.</w:t>
      </w:r>
      <w:r>
        <w:rPr>
          <w:rFonts w:eastAsia="Calibri"/>
          <w:i/>
          <w:sz w:val="24"/>
          <w:szCs w:val="24"/>
          <w:shd w:val="clear" w:color="auto" w:fill="FFFFFF"/>
        </w:rPr>
        <w:t xml:space="preserve"> Pentru ascensoarele de persoane înglobate în case de scări sau amplasate în atriumuri ori dispuse în exteriorul construcțiilor existente, precum și cele pentru acces la platforme, galerii sau pasarele deschise, nu este obligatorie separarea de restul construcției existente prin elemente rezistente la foc, conform prevederilor Art. </w:t>
      </w:r>
      <w:r>
        <w:rPr>
          <w:rFonts w:eastAsia="Calibri"/>
          <w:b/>
          <w:i/>
          <w:sz w:val="24"/>
          <w:szCs w:val="24"/>
          <w:shd w:val="clear" w:color="auto" w:fill="FFFFFF"/>
        </w:rPr>
        <w:t xml:space="preserve">A.10. </w:t>
      </w:r>
      <w:r>
        <w:rPr>
          <w:rFonts w:eastAsia="Calibri"/>
          <w:b/>
          <w:bCs/>
          <w:i/>
          <w:sz w:val="24"/>
          <w:szCs w:val="24"/>
          <w:shd w:val="clear" w:color="auto" w:fill="FFFFFF"/>
        </w:rPr>
        <w:t>2.4.17.</w:t>
      </w:r>
    </w:p>
    <w:p w14:paraId="72CB37F0" w14:textId="77777777" w:rsidR="001C08A5" w:rsidRDefault="00000000">
      <w:pPr>
        <w:pStyle w:val="Heading4"/>
        <w:rPr>
          <w:sz w:val="24"/>
          <w:szCs w:val="24"/>
        </w:rPr>
      </w:pPr>
      <w:bookmarkStart w:id="10566" w:name="_Toc30024"/>
      <w:bookmarkStart w:id="10567" w:name="_Toc24334"/>
      <w:bookmarkStart w:id="10568" w:name="_Toc5313"/>
      <w:bookmarkStart w:id="10569" w:name="_Toc8154"/>
      <w:bookmarkStart w:id="10570" w:name="_Toc162355545"/>
      <w:bookmarkStart w:id="10571" w:name="_Toc20241"/>
      <w:r>
        <w:rPr>
          <w:sz w:val="24"/>
          <w:szCs w:val="24"/>
        </w:rPr>
        <w:t>Finisaje</w:t>
      </w:r>
      <w:bookmarkEnd w:id="10566"/>
      <w:bookmarkEnd w:id="10567"/>
      <w:bookmarkEnd w:id="10568"/>
      <w:bookmarkEnd w:id="10569"/>
      <w:bookmarkEnd w:id="10570"/>
      <w:bookmarkEnd w:id="10571"/>
    </w:p>
    <w:p w14:paraId="792DE32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2.4.20.</w:t>
      </w:r>
      <w:r>
        <w:rPr>
          <w:rFonts w:eastAsia="Calibri"/>
          <w:i/>
          <w:sz w:val="24"/>
          <w:szCs w:val="24"/>
          <w:shd w:val="clear" w:color="auto" w:fill="FFFFFF"/>
        </w:rPr>
        <w:t xml:space="preserve"> Finisajul pe căile de evacuare a persoanelor trebuie să fie, de regulă,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Se admit pardoseli din lemn și mochete de maximum </w:t>
      </w:r>
      <w:r>
        <w:rPr>
          <w:rFonts w:eastAsia="Calibri"/>
          <w:b/>
          <w:bCs/>
          <w:i/>
          <w:sz w:val="24"/>
          <w:szCs w:val="24"/>
          <w:shd w:val="clear" w:color="auto" w:fill="FFFFFF"/>
        </w:rPr>
        <w:t>2 cm</w:t>
      </w:r>
      <w:r>
        <w:rPr>
          <w:rFonts w:eastAsia="Calibri"/>
          <w:i/>
          <w:sz w:val="24"/>
          <w:szCs w:val="24"/>
          <w:shd w:val="clear" w:color="auto" w:fill="FFFFFF"/>
        </w:rPr>
        <w:t xml:space="preserve"> grosime, precum și finisajele din folii de max. </w:t>
      </w:r>
      <w:r>
        <w:rPr>
          <w:rFonts w:eastAsia="Calibri"/>
          <w:b/>
          <w:bCs/>
          <w:i/>
          <w:sz w:val="24"/>
          <w:szCs w:val="24"/>
          <w:shd w:val="clear" w:color="auto" w:fill="FFFFFF"/>
        </w:rPr>
        <w:t>0,5 cm</w:t>
      </w:r>
      <w:r>
        <w:rPr>
          <w:rFonts w:eastAsia="Calibri"/>
          <w:i/>
          <w:sz w:val="24"/>
          <w:szCs w:val="24"/>
          <w:shd w:val="clear" w:color="auto" w:fill="FFFFFF"/>
        </w:rPr>
        <w:t xml:space="preserve"> grosime, care vor fi lipite pe suport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excepțiile prevăzute în prezenta anexă. Clasele de performanţă privind reacţia la foc a produselor folosite pentru finisarea interioară vor respecta prevederile </w:t>
      </w:r>
      <w:r>
        <w:rPr>
          <w:rFonts w:eastAsia="Calibri"/>
          <w:b/>
          <w:bCs/>
          <w:i/>
          <w:sz w:val="24"/>
          <w:szCs w:val="24"/>
          <w:shd w:val="clear" w:color="auto" w:fill="FFFFFF"/>
        </w:rPr>
        <w:t>Art. 3.1.4.11.</w:t>
      </w:r>
    </w:p>
    <w:p w14:paraId="7071324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2.4.21.</w:t>
      </w:r>
      <w:r>
        <w:rPr>
          <w:rFonts w:eastAsia="Calibri"/>
          <w:i/>
          <w:sz w:val="24"/>
          <w:szCs w:val="24"/>
          <w:shd w:val="clear" w:color="auto" w:fill="FFFFFF"/>
        </w:rPr>
        <w:t xml:space="preserve"> La placarea cu materiale combustibile a pereților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rezistenți la foc, se vor lua măsurile corespunzătoare de protecție, cum sunt: tratare cu substanțe ignifuge, întreruperi locale ale continuității materialelor combustibile, prevederea instalațiilor automate de stingere, etc, conform prevederilor reglementărilor tehnice.</w:t>
      </w:r>
    </w:p>
    <w:p w14:paraId="41A1B9A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2.4.22.</w:t>
      </w:r>
      <w:r>
        <w:rPr>
          <w:rFonts w:eastAsia="Calibri"/>
          <w:i/>
          <w:sz w:val="24"/>
          <w:szCs w:val="24"/>
          <w:shd w:val="clear" w:color="auto" w:fill="FFFFFF"/>
        </w:rPr>
        <w:t xml:space="preserve"> Finisajele și tratamentele termice sau fonice combustibile montate pe pereți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rezistenți la foc, nu vor crea goluri cu adâncimea mai mare de </w:t>
      </w:r>
      <w:r>
        <w:rPr>
          <w:rFonts w:eastAsia="Calibri"/>
          <w:b/>
          <w:bCs/>
          <w:i/>
          <w:sz w:val="24"/>
          <w:szCs w:val="24"/>
          <w:shd w:val="clear" w:color="auto" w:fill="FFFFFF"/>
        </w:rPr>
        <w:t>20 cm</w:t>
      </w:r>
      <w:r>
        <w:rPr>
          <w:rFonts w:eastAsia="Calibri"/>
          <w:i/>
          <w:sz w:val="24"/>
          <w:szCs w:val="24"/>
          <w:shd w:val="clear" w:color="auto" w:fill="FFFFFF"/>
        </w:rPr>
        <w:t xml:space="preserve"> față de aceștia.</w:t>
      </w:r>
    </w:p>
    <w:p w14:paraId="745C5E5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2.4.23.</w:t>
      </w:r>
      <w:r>
        <w:rPr>
          <w:rFonts w:eastAsia="Calibri"/>
          <w:i/>
          <w:sz w:val="24"/>
          <w:szCs w:val="24"/>
          <w:shd w:val="clear" w:color="auto" w:fill="FFFFFF"/>
        </w:rPr>
        <w:t> Plafoanele false, placările, tratamentele termice și fonice, pardoselile înalte, precum și finisajele combustibile vor fi montate sau protejate față de aparate electrice, corpuri de iluminat și în general de orice sursă de încălzire, astfel încât să nu fie posibilă aprinderea lor.</w:t>
      </w:r>
    </w:p>
    <w:p w14:paraId="169BF032" w14:textId="77777777" w:rsidR="001C08A5" w:rsidRDefault="00000000">
      <w:pPr>
        <w:pStyle w:val="Heading4"/>
        <w:rPr>
          <w:sz w:val="24"/>
          <w:szCs w:val="24"/>
        </w:rPr>
      </w:pPr>
      <w:bookmarkStart w:id="10572" w:name="_Toc8449"/>
      <w:bookmarkStart w:id="10573" w:name="_Toc162355546"/>
      <w:bookmarkStart w:id="10574" w:name="_Toc9178"/>
      <w:bookmarkStart w:id="10575" w:name="_Toc23640"/>
      <w:bookmarkStart w:id="10576" w:name="_Toc23729"/>
      <w:bookmarkStart w:id="10577" w:name="_Toc20020"/>
      <w:r>
        <w:rPr>
          <w:sz w:val="24"/>
          <w:szCs w:val="24"/>
        </w:rPr>
        <w:t>Pereți cortină și fațade vitrate</w:t>
      </w:r>
      <w:bookmarkEnd w:id="10572"/>
      <w:bookmarkEnd w:id="10573"/>
      <w:bookmarkEnd w:id="10574"/>
      <w:bookmarkEnd w:id="10575"/>
      <w:bookmarkEnd w:id="10576"/>
      <w:bookmarkEnd w:id="10577"/>
    </w:p>
    <w:p w14:paraId="775A77D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2.4.24.</w:t>
      </w:r>
      <w:r>
        <w:rPr>
          <w:rFonts w:eastAsia="Calibri"/>
          <w:i/>
          <w:sz w:val="24"/>
          <w:szCs w:val="24"/>
          <w:shd w:val="clear" w:color="auto" w:fill="FFFFFF"/>
        </w:rPr>
        <w:t xml:space="preserve"> Pereții cortină utilizați la închiderile perimetrale ale construcțiilor existente, de regulă, se realizează din materiale și elemente de construcție </w:t>
      </w:r>
      <w:r>
        <w:rPr>
          <w:rFonts w:eastAsia="TimesNewRomanPSMT-Identity-H"/>
          <w:i/>
          <w:sz w:val="24"/>
          <w:szCs w:val="24"/>
        </w:rPr>
        <w:t xml:space="preserve">clasa de reacție la foc </w:t>
      </w:r>
      <w:r>
        <w:rPr>
          <w:rFonts w:eastAsia="Times New Roman"/>
          <w:b/>
          <w:bCs/>
          <w:i/>
          <w:sz w:val="24"/>
          <w:szCs w:val="24"/>
        </w:rPr>
        <w:t>A1, A2s1d0</w:t>
      </w:r>
      <w:r>
        <w:rPr>
          <w:rFonts w:eastAsia="Times New Roman"/>
          <w:bCs/>
          <w:i/>
          <w:sz w:val="24"/>
          <w:szCs w:val="24"/>
        </w:rPr>
        <w:t>,</w:t>
      </w:r>
      <w:r>
        <w:rPr>
          <w:rFonts w:eastAsia="Times New Roman"/>
          <w:b/>
          <w:i/>
          <w:sz w:val="24"/>
          <w:szCs w:val="24"/>
        </w:rPr>
        <w:t xml:space="preserve">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asigurând rezistența la foc corespunzătoare condițiilor de încadrare în nivelul de stabilitate la incendiu al construcției existente.</w:t>
      </w:r>
    </w:p>
    <w:p w14:paraId="64B37BF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2.4.25.</w:t>
      </w:r>
      <w:r>
        <w:rPr>
          <w:rFonts w:eastAsia="Calibri"/>
          <w:i/>
          <w:sz w:val="24"/>
          <w:szCs w:val="24"/>
          <w:shd w:val="clear" w:color="auto" w:fill="FFFFFF"/>
        </w:rPr>
        <w:t> Pereții cortină vor fi astfel proiectați, alcătuiți și realizați încât să întârzie propagarea incendiilor de la un nivel la altul, atât prin exteriorul construcției existente (pe fațadă), cât și prin interiorul construcției.</w:t>
      </w:r>
    </w:p>
    <w:p w14:paraId="54A7BA6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2.4.26.</w:t>
      </w:r>
      <w:r>
        <w:rPr>
          <w:rFonts w:eastAsia="Calibri"/>
          <w:i/>
          <w:sz w:val="24"/>
          <w:szCs w:val="24"/>
          <w:shd w:val="clear" w:color="auto" w:fill="FFFFFF"/>
        </w:rPr>
        <w:t xml:space="preserve"> Pentru întârzierea propagării incendiilor prin exteriorul construcției existente (pe fațadă) vitrările pereților cortină și ale fațadelor vitrate se separă pe verticală prin zone pline cu înălțimea de cei puțin </w:t>
      </w:r>
      <w:r>
        <w:rPr>
          <w:rFonts w:eastAsia="Calibri"/>
          <w:b/>
          <w:bCs/>
          <w:i/>
          <w:sz w:val="24"/>
          <w:szCs w:val="24"/>
          <w:shd w:val="clear" w:color="auto" w:fill="FFFFFF"/>
        </w:rPr>
        <w:t>1,20 m</w:t>
      </w:r>
      <w:r>
        <w:rPr>
          <w:rFonts w:eastAsia="Calibri"/>
          <w:i/>
          <w:sz w:val="24"/>
          <w:szCs w:val="24"/>
          <w:shd w:val="clear" w:color="auto" w:fill="FFFFFF"/>
        </w:rPr>
        <w:t>, etanșe la foc minimum 30 minute (</w:t>
      </w:r>
      <w:r>
        <w:rPr>
          <w:rFonts w:eastAsia="Calibri"/>
          <w:b/>
          <w:bCs/>
          <w:i/>
          <w:sz w:val="24"/>
          <w:szCs w:val="24"/>
          <w:shd w:val="clear" w:color="auto" w:fill="FFFFFF"/>
        </w:rPr>
        <w:t>E30</w:t>
      </w:r>
      <w:r>
        <w:rPr>
          <w:rFonts w:eastAsia="Calibri"/>
          <w:i/>
          <w:sz w:val="24"/>
          <w:szCs w:val="24"/>
          <w:shd w:val="clear" w:color="auto" w:fill="FFFFFF"/>
        </w:rPr>
        <w:t xml:space="preserve">). Pentru întârzierea propagării incendiilor între nivelurile construcţiei se poate adopta una din soluțiile prezentate la </w:t>
      </w:r>
      <w:r>
        <w:rPr>
          <w:rFonts w:eastAsia="Calibri"/>
          <w:b/>
          <w:bCs/>
          <w:i/>
          <w:sz w:val="24"/>
          <w:szCs w:val="24"/>
          <w:shd w:val="clear" w:color="auto" w:fill="FFFFFF"/>
        </w:rPr>
        <w:t>Art. 2.3.6.1.2.</w:t>
      </w:r>
      <w:r>
        <w:rPr>
          <w:rFonts w:eastAsia="Calibri"/>
          <w:i/>
          <w:sz w:val="24"/>
          <w:szCs w:val="24"/>
          <w:shd w:val="clear" w:color="auto" w:fill="FFFFFF"/>
        </w:rPr>
        <w:t xml:space="preserve"> </w:t>
      </w:r>
      <w:r>
        <w:rPr>
          <w:rFonts w:ascii="Arial" w:eastAsia="Calibri" w:hAnsi="Arial" w:cs="Arial"/>
          <w:i/>
          <w:sz w:val="24"/>
          <w:szCs w:val="24"/>
          <w:shd w:val="clear" w:color="auto" w:fill="FFFFFF"/>
        </w:rPr>
        <w:t>÷</w:t>
      </w:r>
      <w:r>
        <w:rPr>
          <w:rFonts w:ascii="Arial" w:eastAsia="Calibri"/>
          <w:i/>
          <w:sz w:val="24"/>
          <w:szCs w:val="24"/>
          <w:shd w:val="clear" w:color="auto" w:fill="FFFFFF"/>
        </w:rPr>
        <w:t xml:space="preserve"> </w:t>
      </w:r>
      <w:r>
        <w:rPr>
          <w:rFonts w:eastAsia="Calibri"/>
          <w:b/>
          <w:bCs/>
          <w:i/>
          <w:sz w:val="24"/>
          <w:szCs w:val="24"/>
          <w:shd w:val="clear" w:color="auto" w:fill="FFFFFF"/>
        </w:rPr>
        <w:t>Art. 2.3.6.1.7</w:t>
      </w:r>
      <w:r>
        <w:rPr>
          <w:rFonts w:eastAsia="Calibri"/>
          <w:i/>
          <w:sz w:val="24"/>
          <w:szCs w:val="24"/>
          <w:shd w:val="clear" w:color="auto" w:fill="FFFFFF"/>
        </w:rPr>
        <w:t>.</w:t>
      </w:r>
    </w:p>
    <w:p w14:paraId="41A7BF9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2.4.27.</w:t>
      </w:r>
      <w:r>
        <w:rPr>
          <w:rFonts w:eastAsia="Calibri"/>
          <w:i/>
          <w:sz w:val="24"/>
          <w:szCs w:val="24"/>
          <w:shd w:val="clear" w:color="auto" w:fill="FFFFFF"/>
        </w:rPr>
        <w:t xml:space="preserve"> În dreptul planșeelor de rezistență ale construcției existente și pe toată grosimea acestora, spațiul liber dintre peretele cortină și planșeu se etanșează cu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asigurându-se minimum 30 de minute etanșeitate la foc (</w:t>
      </w:r>
      <w:r>
        <w:rPr>
          <w:rFonts w:eastAsia="Calibri"/>
          <w:b/>
          <w:bCs/>
          <w:i/>
          <w:sz w:val="24"/>
          <w:szCs w:val="24"/>
          <w:shd w:val="clear" w:color="auto" w:fill="FFFFFF"/>
        </w:rPr>
        <w:t>E30</w:t>
      </w:r>
      <w:r>
        <w:rPr>
          <w:rFonts w:eastAsia="Calibri"/>
          <w:i/>
          <w:sz w:val="24"/>
          <w:szCs w:val="24"/>
          <w:shd w:val="clear" w:color="auto" w:fill="FFFFFF"/>
        </w:rPr>
        <w:t>) astfel încât să se întârzie propagarea incendiilor prin interior. În toate situațiile, pentru o mai bună comportare la foc se pot aplica și vopselele termospumante.</w:t>
      </w:r>
    </w:p>
    <w:p w14:paraId="5B6CDA9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2.4.28.</w:t>
      </w:r>
      <w:r>
        <w:rPr>
          <w:rFonts w:eastAsia="Calibri"/>
          <w:i/>
          <w:sz w:val="24"/>
          <w:szCs w:val="24"/>
          <w:shd w:val="clear" w:color="auto" w:fill="FFFFFF"/>
        </w:rPr>
        <w:t xml:space="preserve"> Pentru întârzierea propagării fumului și a focului, la pereții cortină care nu au parapete pline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minimum 30 de minute (</w:t>
      </w:r>
      <w:r>
        <w:rPr>
          <w:rFonts w:eastAsia="Calibri"/>
          <w:b/>
          <w:bCs/>
          <w:i/>
          <w:sz w:val="24"/>
          <w:szCs w:val="24"/>
          <w:shd w:val="clear" w:color="auto" w:fill="FFFFFF"/>
        </w:rPr>
        <w:t>EI30</w:t>
      </w:r>
      <w:r>
        <w:rPr>
          <w:rFonts w:eastAsia="Calibri"/>
          <w:i/>
          <w:sz w:val="24"/>
          <w:szCs w:val="24"/>
          <w:shd w:val="clear" w:color="auto" w:fill="FFFFFF"/>
        </w:rPr>
        <w:t xml:space="preserve">) precum și la fațadele vitrate care nu îndeplinesc condițiile prevăzute la Art. </w:t>
      </w:r>
      <w:r>
        <w:rPr>
          <w:rFonts w:eastAsia="Calibri"/>
          <w:b/>
          <w:i/>
          <w:sz w:val="24"/>
          <w:szCs w:val="24"/>
          <w:shd w:val="clear" w:color="auto" w:fill="FFFFFF"/>
        </w:rPr>
        <w:t xml:space="preserve">A.10. </w:t>
      </w:r>
      <w:r>
        <w:rPr>
          <w:rFonts w:eastAsia="Calibri"/>
          <w:b/>
          <w:bCs/>
          <w:i/>
          <w:sz w:val="24"/>
          <w:szCs w:val="24"/>
          <w:shd w:val="clear" w:color="auto" w:fill="FFFFFF"/>
        </w:rPr>
        <w:t>2.4.26.,</w:t>
      </w:r>
      <w:r>
        <w:rPr>
          <w:rFonts w:eastAsia="Calibri"/>
          <w:i/>
          <w:sz w:val="24"/>
          <w:szCs w:val="24"/>
          <w:shd w:val="clear" w:color="auto" w:fill="FFFFFF"/>
        </w:rPr>
        <w:t xml:space="preserve"> sub planșeele de rezistență ale construcției existente se dispun ecrane continue de cel puțin </w:t>
      </w:r>
      <w:r>
        <w:rPr>
          <w:rFonts w:eastAsia="Calibri"/>
          <w:b/>
          <w:bCs/>
          <w:i/>
          <w:sz w:val="24"/>
          <w:szCs w:val="24"/>
          <w:shd w:val="clear" w:color="auto" w:fill="FFFFFF"/>
        </w:rPr>
        <w:t>50 cm</w:t>
      </w:r>
      <w:r>
        <w:rPr>
          <w:rFonts w:eastAsia="Calibri"/>
          <w:i/>
          <w:sz w:val="24"/>
          <w:szCs w:val="24"/>
          <w:shd w:val="clear" w:color="auto" w:fill="FFFFFF"/>
        </w:rPr>
        <w:t xml:space="preserve"> înălțime din materiale </w:t>
      </w:r>
      <w:r>
        <w:rPr>
          <w:rFonts w:eastAsia="TimesNewRomanPSMT-Identity-H"/>
          <w:i/>
          <w:sz w:val="24"/>
          <w:szCs w:val="24"/>
        </w:rPr>
        <w:t xml:space="preserve">clasa de reacție la foc </w:t>
      </w:r>
      <w:r>
        <w:rPr>
          <w:rFonts w:eastAsia="Calibri"/>
          <w:i/>
          <w:sz w:val="24"/>
          <w:szCs w:val="24"/>
          <w:shd w:val="clear" w:color="auto" w:fill="FFFFFF"/>
        </w:rPr>
        <w:t xml:space="preserve"> </w:t>
      </w:r>
      <w:r>
        <w:rPr>
          <w:b/>
          <w:bCs/>
          <w:i/>
          <w:sz w:val="24"/>
          <w:szCs w:val="24"/>
          <w:lang w:val="en-GB"/>
        </w:rPr>
        <w:t>A1, A2s1d0</w:t>
      </w:r>
      <w:r>
        <w:rPr>
          <w:rFonts w:eastAsia="Calibri"/>
          <w:i/>
          <w:sz w:val="24"/>
          <w:szCs w:val="24"/>
          <w:shd w:val="clear" w:color="auto" w:fill="FFFFFF"/>
        </w:rPr>
        <w:t>, etanșe la foc minimum 30 minute (</w:t>
      </w:r>
      <w:r>
        <w:rPr>
          <w:rFonts w:eastAsia="Calibri"/>
          <w:b/>
          <w:bCs/>
          <w:i/>
          <w:sz w:val="24"/>
          <w:szCs w:val="24"/>
          <w:shd w:val="clear" w:color="auto" w:fill="FFFFFF"/>
        </w:rPr>
        <w:t>E30</w:t>
      </w:r>
      <w:r>
        <w:rPr>
          <w:rFonts w:eastAsia="Calibri"/>
          <w:i/>
          <w:sz w:val="24"/>
          <w:szCs w:val="24"/>
          <w:shd w:val="clear" w:color="auto" w:fill="FFFFFF"/>
        </w:rPr>
        <w:t>). Atunci când plafoanele false sunt dispuse la limita inferioară a ecranelor, în plafoane se vor asigura spații libere (traforuri) prin care fumul să pătrundă în spatele ecranului. Ecranele pot fi înlocuite cu instalație automată tip drencer care să asigure perdea de protecție.</w:t>
      </w:r>
    </w:p>
    <w:p w14:paraId="7A0AC68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2.4.29.</w:t>
      </w:r>
      <w:r>
        <w:rPr>
          <w:rFonts w:eastAsia="Calibri"/>
          <w:i/>
          <w:sz w:val="24"/>
          <w:szCs w:val="24"/>
          <w:shd w:val="clear" w:color="auto" w:fill="FFFFFF"/>
        </w:rPr>
        <w:t> Pereții cortină se ancorează cu elemente din oțel de structura de rezistență a construcției existente pe care o închide perimetral.</w:t>
      </w:r>
    </w:p>
    <w:p w14:paraId="0A6FADB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2.4.30.</w:t>
      </w:r>
      <w:r>
        <w:rPr>
          <w:rFonts w:eastAsia="Calibri"/>
          <w:i/>
          <w:sz w:val="24"/>
          <w:szCs w:val="24"/>
          <w:shd w:val="clear" w:color="auto" w:fill="FFFFFF"/>
        </w:rPr>
        <w:t xml:space="preserve"> Materialele termoizolante utilizate la pereții cortină vor fi </w:t>
      </w:r>
      <w:r>
        <w:rPr>
          <w:rFonts w:eastAsia="TimesNewRomanPSMT-Identity-H"/>
          <w:i/>
          <w:sz w:val="24"/>
          <w:szCs w:val="24"/>
        </w:rPr>
        <w:t xml:space="preserve">clasa de reacție la foc </w:t>
      </w:r>
      <w:r>
        <w:rPr>
          <w:rFonts w:eastAsia="Times New Roman"/>
          <w:b/>
          <w:bCs/>
          <w:i/>
          <w:sz w:val="24"/>
          <w:szCs w:val="24"/>
        </w:rPr>
        <w:t>A1, A2s1d0</w:t>
      </w:r>
      <w:r>
        <w:rPr>
          <w:rFonts w:eastAsia="Times New Roman"/>
          <w:bCs/>
          <w:i/>
          <w:sz w:val="24"/>
          <w:szCs w:val="24"/>
        </w:rPr>
        <w:t>,</w:t>
      </w:r>
      <w:r>
        <w:rPr>
          <w:rFonts w:eastAsia="Times New Roman"/>
          <w:b/>
          <w:i/>
          <w:sz w:val="24"/>
          <w:szCs w:val="24"/>
        </w:rPr>
        <w:t xml:space="preserve">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w:t>
      </w:r>
    </w:p>
    <w:p w14:paraId="796842FB" w14:textId="77777777" w:rsidR="001C08A5" w:rsidRDefault="00000000">
      <w:pPr>
        <w:pStyle w:val="Heading4"/>
        <w:rPr>
          <w:sz w:val="24"/>
          <w:szCs w:val="24"/>
        </w:rPr>
      </w:pPr>
      <w:bookmarkStart w:id="10578" w:name="_Toc10764"/>
      <w:bookmarkStart w:id="10579" w:name="_Toc29376"/>
      <w:bookmarkStart w:id="10580" w:name="_Toc2293"/>
      <w:bookmarkStart w:id="10581" w:name="_Toc1964"/>
      <w:bookmarkStart w:id="10582" w:name="_Toc162355547"/>
      <w:bookmarkStart w:id="10583" w:name="_Toc12849"/>
      <w:r>
        <w:rPr>
          <w:sz w:val="24"/>
          <w:szCs w:val="24"/>
        </w:rPr>
        <w:t>Casa scării</w:t>
      </w:r>
      <w:bookmarkEnd w:id="10578"/>
      <w:bookmarkEnd w:id="10579"/>
      <w:bookmarkEnd w:id="10580"/>
      <w:bookmarkEnd w:id="10581"/>
      <w:bookmarkEnd w:id="10582"/>
      <w:bookmarkEnd w:id="10583"/>
    </w:p>
    <w:p w14:paraId="2FDEA0E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2.4.31.</w:t>
      </w:r>
      <w:r>
        <w:rPr>
          <w:rFonts w:eastAsia="Calibri"/>
          <w:i/>
          <w:sz w:val="24"/>
          <w:szCs w:val="24"/>
          <w:shd w:val="clear" w:color="auto" w:fill="FFFFFF"/>
        </w:rPr>
        <w:t xml:space="preserve"> Pereții caselor de scări închise din construcțiile existente de nivelul de stabilitate la incendiu </w:t>
      </w:r>
      <w:r>
        <w:rPr>
          <w:rFonts w:eastAsia="Calibri"/>
          <w:b/>
          <w:bCs/>
          <w:i/>
          <w:sz w:val="24"/>
          <w:szCs w:val="24"/>
          <w:shd w:val="clear" w:color="auto" w:fill="FFFFFF"/>
        </w:rPr>
        <w:t>I</w:t>
      </w:r>
      <w:r>
        <w:rPr>
          <w:rFonts w:eastAsia="Calibri"/>
          <w:i/>
          <w:sz w:val="24"/>
          <w:szCs w:val="24"/>
          <w:shd w:val="clear" w:color="auto" w:fill="FFFFFF"/>
        </w:rPr>
        <w:t xml:space="preserve"> și </w:t>
      </w:r>
      <w:r>
        <w:rPr>
          <w:rFonts w:eastAsia="Calibri"/>
          <w:b/>
          <w:bCs/>
          <w:i/>
          <w:sz w:val="24"/>
          <w:szCs w:val="24"/>
          <w:shd w:val="clear" w:color="auto" w:fill="FFFFFF"/>
        </w:rPr>
        <w:t>II</w:t>
      </w:r>
      <w:r>
        <w:rPr>
          <w:rFonts w:eastAsia="Calibri"/>
          <w:i/>
          <w:sz w:val="24"/>
          <w:szCs w:val="24"/>
          <w:shd w:val="clear" w:color="auto" w:fill="FFFFFF"/>
        </w:rPr>
        <w:t xml:space="preserve">, de regulă, trebuie să fie </w:t>
      </w:r>
      <w:r>
        <w:rPr>
          <w:rFonts w:eastAsia="TimesNewRomanPSMT-Identity-H"/>
          <w:i/>
          <w:sz w:val="24"/>
          <w:szCs w:val="24"/>
        </w:rPr>
        <w:t xml:space="preserve">clasa de reacție la foc </w:t>
      </w:r>
      <w:r>
        <w:rPr>
          <w:rFonts w:eastAsia="Times New Roman"/>
          <w:b/>
          <w:bCs/>
          <w:i/>
          <w:sz w:val="24"/>
          <w:szCs w:val="24"/>
        </w:rPr>
        <w:t>A1, A2s1d0</w:t>
      </w:r>
      <w:r>
        <w:rPr>
          <w:rFonts w:eastAsia="Calibri"/>
          <w:i/>
          <w:sz w:val="24"/>
          <w:szCs w:val="24"/>
          <w:shd w:val="clear" w:color="auto" w:fill="FFFFFF"/>
        </w:rPr>
        <w:t>, rezistenți la foc minimum 2 ore și 30 de minute (</w:t>
      </w:r>
      <w:r>
        <w:rPr>
          <w:rFonts w:eastAsia="Calibri"/>
          <w:b/>
          <w:bCs/>
          <w:i/>
          <w:sz w:val="24"/>
          <w:szCs w:val="24"/>
          <w:shd w:val="clear" w:color="auto" w:fill="FFFFFF"/>
        </w:rPr>
        <w:t>EI/REI150</w:t>
      </w:r>
      <w:r>
        <w:rPr>
          <w:rFonts w:eastAsia="Calibri"/>
          <w:i/>
          <w:sz w:val="24"/>
          <w:szCs w:val="24"/>
          <w:shd w:val="clear" w:color="auto" w:fill="FFFFFF"/>
        </w:rPr>
        <w:t>) pentru construcțiile edificate înainte de 01 ianuarie 2007 sau rezistenți la foc minimum 3 ore (</w:t>
      </w:r>
      <w:r>
        <w:rPr>
          <w:rFonts w:eastAsia="Calibri"/>
          <w:b/>
          <w:bCs/>
          <w:i/>
          <w:sz w:val="24"/>
          <w:szCs w:val="24"/>
          <w:shd w:val="clear" w:color="auto" w:fill="FFFFFF"/>
        </w:rPr>
        <w:t>EI/REI180</w:t>
      </w:r>
      <w:r>
        <w:rPr>
          <w:rFonts w:eastAsia="Calibri"/>
          <w:i/>
          <w:sz w:val="24"/>
          <w:szCs w:val="24"/>
          <w:shd w:val="clear" w:color="auto" w:fill="FFFFFF"/>
        </w:rPr>
        <w:t xml:space="preserve">) pentru construcțiile edificate dupa data de 01 ianuarie 2007 și după caz, rezistenți la explozie, iar în clădirile cu nivelul de stabilitate la incendiu </w:t>
      </w:r>
      <w:r>
        <w:rPr>
          <w:rFonts w:eastAsia="Calibri"/>
          <w:b/>
          <w:bCs/>
          <w:i/>
          <w:sz w:val="24"/>
          <w:szCs w:val="24"/>
          <w:shd w:val="clear" w:color="auto" w:fill="FFFFFF"/>
        </w:rPr>
        <w:t>IV</w:t>
      </w:r>
      <w:r>
        <w:rPr>
          <w:rFonts w:eastAsia="Calibri"/>
          <w:i/>
          <w:sz w:val="24"/>
          <w:szCs w:val="24"/>
          <w:shd w:val="clear" w:color="auto" w:fill="FFFFFF"/>
        </w:rPr>
        <w:t xml:space="preserve"> și respectiv </w:t>
      </w:r>
      <w:r>
        <w:rPr>
          <w:rFonts w:eastAsia="Calibri"/>
          <w:b/>
          <w:bCs/>
          <w:i/>
          <w:sz w:val="24"/>
          <w:szCs w:val="24"/>
          <w:shd w:val="clear" w:color="auto" w:fill="FFFFFF"/>
        </w:rPr>
        <w:t>V</w:t>
      </w:r>
      <w:r>
        <w:rPr>
          <w:rFonts w:eastAsia="Calibri"/>
          <w:i/>
          <w:sz w:val="24"/>
          <w:szCs w:val="24"/>
          <w:shd w:val="clear" w:color="auto" w:fill="FFFFFF"/>
        </w:rPr>
        <w:t xml:space="preserve">, ei pot fi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cu rezistență la foc de minimum 30 minute (</w:t>
      </w:r>
      <w:r>
        <w:rPr>
          <w:rFonts w:eastAsia="Calibri"/>
          <w:b/>
          <w:bCs/>
          <w:i/>
          <w:sz w:val="24"/>
          <w:szCs w:val="24"/>
          <w:shd w:val="clear" w:color="auto" w:fill="FFFFFF"/>
        </w:rPr>
        <w:t>EI/REI30</w:t>
      </w:r>
      <w:r>
        <w:rPr>
          <w:rFonts w:eastAsia="Calibri"/>
          <w:i/>
          <w:sz w:val="24"/>
          <w:szCs w:val="24"/>
          <w:shd w:val="clear" w:color="auto" w:fill="FFFFFF"/>
        </w:rPr>
        <w:t>) și respectiv 15 minute (</w:t>
      </w:r>
      <w:r>
        <w:rPr>
          <w:rFonts w:eastAsia="Calibri"/>
          <w:b/>
          <w:bCs/>
          <w:i/>
          <w:sz w:val="24"/>
          <w:szCs w:val="24"/>
          <w:shd w:val="clear" w:color="auto" w:fill="FFFFFF"/>
        </w:rPr>
        <w:t>EI/REI15</w:t>
      </w:r>
      <w:r>
        <w:rPr>
          <w:rFonts w:eastAsia="Calibri"/>
          <w:i/>
          <w:sz w:val="24"/>
          <w:szCs w:val="24"/>
          <w:shd w:val="clear" w:color="auto" w:fill="FFFFFF"/>
        </w:rPr>
        <w:t>). Fac excepție situațiile prevăzute în prezenta anexă. Grosimea de perete din spatele nișelor sau șlițurilor prevăzute în pereții caselor de scări, trebuie să asigure rezistență la foc de minimum 45 minute (</w:t>
      </w:r>
      <w:r>
        <w:rPr>
          <w:rFonts w:eastAsia="Calibri"/>
          <w:b/>
          <w:bCs/>
          <w:i/>
          <w:sz w:val="24"/>
          <w:szCs w:val="24"/>
          <w:shd w:val="clear" w:color="auto" w:fill="FFFFFF"/>
        </w:rPr>
        <w:t>EI/REI45</w:t>
      </w:r>
      <w:r>
        <w:rPr>
          <w:rFonts w:eastAsia="Calibri"/>
          <w:i/>
          <w:sz w:val="24"/>
          <w:szCs w:val="24"/>
          <w:shd w:val="clear" w:color="auto" w:fill="FFFFFF"/>
        </w:rPr>
        <w:t xml:space="preserve">) pentru construcțiile cu nivelul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și </w:t>
      </w:r>
      <w:r>
        <w:rPr>
          <w:rFonts w:eastAsia="Calibri"/>
          <w:b/>
          <w:bCs/>
          <w:i/>
          <w:sz w:val="24"/>
          <w:szCs w:val="24"/>
          <w:shd w:val="clear" w:color="auto" w:fill="FFFFFF"/>
        </w:rPr>
        <w:t>III</w:t>
      </w:r>
      <w:r>
        <w:rPr>
          <w:rFonts w:eastAsia="Calibri"/>
          <w:i/>
          <w:sz w:val="24"/>
          <w:szCs w:val="24"/>
          <w:shd w:val="clear" w:color="auto" w:fill="FFFFFF"/>
        </w:rPr>
        <w:t xml:space="preserve"> și respectiv 15 minute (</w:t>
      </w:r>
      <w:r>
        <w:rPr>
          <w:rFonts w:eastAsia="Calibri"/>
          <w:b/>
          <w:bCs/>
          <w:i/>
          <w:sz w:val="24"/>
          <w:szCs w:val="24"/>
          <w:shd w:val="clear" w:color="auto" w:fill="FFFFFF"/>
        </w:rPr>
        <w:t>EI/REI15</w:t>
      </w:r>
      <w:r>
        <w:rPr>
          <w:rFonts w:eastAsia="Calibri"/>
          <w:i/>
          <w:sz w:val="24"/>
          <w:szCs w:val="24"/>
          <w:shd w:val="clear" w:color="auto" w:fill="FFFFFF"/>
        </w:rPr>
        <w:t>) la cele de nivelul de stabilitate la incendiu IV șiV .</w:t>
      </w:r>
    </w:p>
    <w:p w14:paraId="0ACF925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2.4.32.</w:t>
      </w:r>
      <w:r>
        <w:rPr>
          <w:rFonts w:eastAsia="Calibri"/>
          <w:i/>
          <w:sz w:val="24"/>
          <w:szCs w:val="24"/>
          <w:shd w:val="clear" w:color="auto" w:fill="FFFFFF"/>
        </w:rPr>
        <w:t xml:space="preserve"> Planșeele clădirilor existente cu nivelul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și </w:t>
      </w:r>
      <w:r>
        <w:rPr>
          <w:rFonts w:eastAsia="Calibri"/>
          <w:b/>
          <w:bCs/>
          <w:i/>
          <w:sz w:val="24"/>
          <w:szCs w:val="24"/>
          <w:shd w:val="clear" w:color="auto" w:fill="FFFFFF"/>
        </w:rPr>
        <w:t>III</w:t>
      </w:r>
      <w:r>
        <w:rPr>
          <w:rFonts w:eastAsia="Calibri"/>
          <w:i/>
          <w:sz w:val="24"/>
          <w:szCs w:val="24"/>
          <w:shd w:val="clear" w:color="auto" w:fill="FFFFFF"/>
        </w:rPr>
        <w:t xml:space="preserve"> care separă casele de scări și căile lor de ieșire spre exterior față de restul construcției, trebuie să fie </w:t>
      </w:r>
      <w:r>
        <w:rPr>
          <w:rFonts w:eastAsia="TimesNewRomanPSMT-Identity-H"/>
          <w:i/>
          <w:sz w:val="24"/>
          <w:szCs w:val="24"/>
        </w:rPr>
        <w:t xml:space="preserve">clasa de </w:t>
      </w:r>
      <w:r>
        <w:rPr>
          <w:rFonts w:eastAsia="TimesNewRomanPSMT-Identity-H"/>
          <w:i/>
          <w:sz w:val="24"/>
          <w:szCs w:val="24"/>
        </w:rPr>
        <w:lastRenderedPageBreak/>
        <w:t xml:space="preserve">reacție la foc </w:t>
      </w:r>
      <w:r>
        <w:rPr>
          <w:b/>
          <w:bCs/>
          <w:i/>
          <w:sz w:val="24"/>
          <w:szCs w:val="24"/>
          <w:lang w:val="en-GB"/>
        </w:rPr>
        <w:t>A1, A2s1d0</w:t>
      </w:r>
      <w:r>
        <w:rPr>
          <w:rFonts w:eastAsia="Calibri"/>
          <w:i/>
          <w:sz w:val="24"/>
          <w:szCs w:val="24"/>
          <w:shd w:val="clear" w:color="auto" w:fill="FFFFFF"/>
        </w:rPr>
        <w:t xml:space="preserve"> cu rezistență la foc de cel puțin 1 oră (</w:t>
      </w:r>
      <w:r>
        <w:rPr>
          <w:rFonts w:eastAsia="Calibri"/>
          <w:b/>
          <w:bCs/>
          <w:i/>
          <w:sz w:val="24"/>
          <w:szCs w:val="24"/>
          <w:shd w:val="clear" w:color="auto" w:fill="FFFFFF"/>
        </w:rPr>
        <w:t>REI60</w:t>
      </w:r>
      <w:r>
        <w:rPr>
          <w:rFonts w:eastAsia="Calibri"/>
          <w:i/>
          <w:sz w:val="24"/>
          <w:szCs w:val="24"/>
          <w:shd w:val="clear" w:color="auto" w:fill="FFFFFF"/>
        </w:rPr>
        <w:t xml:space="preserve">). La clădirile existente cu nivelul de stabilitate la incendiu </w:t>
      </w:r>
      <w:r>
        <w:rPr>
          <w:rFonts w:eastAsia="Calibri"/>
          <w:b/>
          <w:bCs/>
          <w:i/>
          <w:sz w:val="24"/>
          <w:szCs w:val="24"/>
          <w:shd w:val="clear" w:color="auto" w:fill="FFFFFF"/>
        </w:rPr>
        <w:t>IV</w:t>
      </w:r>
      <w:r>
        <w:rPr>
          <w:rFonts w:eastAsia="Calibri"/>
          <w:i/>
          <w:sz w:val="24"/>
          <w:szCs w:val="24"/>
          <w:shd w:val="clear" w:color="auto" w:fill="FFFFFF"/>
        </w:rPr>
        <w:t xml:space="preserve"> și </w:t>
      </w:r>
      <w:r>
        <w:rPr>
          <w:rFonts w:eastAsia="Calibri"/>
          <w:b/>
          <w:bCs/>
          <w:i/>
          <w:sz w:val="24"/>
          <w:szCs w:val="24"/>
          <w:shd w:val="clear" w:color="auto" w:fill="FFFFFF"/>
        </w:rPr>
        <w:t>V</w:t>
      </w:r>
      <w:r>
        <w:rPr>
          <w:rFonts w:eastAsia="Calibri"/>
          <w:i/>
          <w:sz w:val="24"/>
          <w:szCs w:val="24"/>
          <w:shd w:val="clear" w:color="auto" w:fill="FFFFFF"/>
        </w:rPr>
        <w:t xml:space="preserve"> se vor respecta condițiile de încadrare în nivelul de stabilitate la incendiu.</w:t>
      </w:r>
    </w:p>
    <w:p w14:paraId="582EC87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2.4.33.</w:t>
      </w:r>
      <w:r>
        <w:rPr>
          <w:rFonts w:eastAsia="Calibri"/>
          <w:i/>
          <w:sz w:val="24"/>
          <w:szCs w:val="24"/>
          <w:shd w:val="clear" w:color="auto" w:fill="FFFFFF"/>
        </w:rPr>
        <w:t xml:space="preserve"> Grinzile, podestele și rampele scărilor interioare închise sau deschise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cu rezistența la foc de minimum 1 oră (</w:t>
      </w:r>
      <w:r>
        <w:rPr>
          <w:rFonts w:eastAsia="Calibri"/>
          <w:b/>
          <w:bCs/>
          <w:i/>
          <w:sz w:val="24"/>
          <w:szCs w:val="24"/>
          <w:shd w:val="clear" w:color="auto" w:fill="FFFFFF"/>
        </w:rPr>
        <w:t>R60</w:t>
      </w:r>
      <w:r>
        <w:rPr>
          <w:rFonts w:eastAsia="Calibri"/>
          <w:i/>
          <w:sz w:val="24"/>
          <w:szCs w:val="24"/>
          <w:shd w:val="clear" w:color="auto" w:fill="FFFFFF"/>
        </w:rPr>
        <w:t xml:space="preserve">) în clădirile cu nivelul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și </w:t>
      </w:r>
      <w:r>
        <w:rPr>
          <w:rFonts w:eastAsia="Calibri"/>
          <w:b/>
          <w:bCs/>
          <w:i/>
          <w:sz w:val="24"/>
          <w:szCs w:val="24"/>
          <w:shd w:val="clear" w:color="auto" w:fill="FFFFFF"/>
        </w:rPr>
        <w:t>III</w:t>
      </w:r>
      <w:r>
        <w:rPr>
          <w:rFonts w:eastAsia="Calibri"/>
          <w:i/>
          <w:sz w:val="24"/>
          <w:szCs w:val="24"/>
          <w:shd w:val="clear" w:color="auto" w:fill="FFFFFF"/>
        </w:rPr>
        <w:t xml:space="preserve"> și cel puțin din clasa de reacție la foc </w:t>
      </w:r>
      <w:r>
        <w:rPr>
          <w:rFonts w:eastAsia="TimesNewRomanPSMT-Identity-H"/>
          <w:b/>
          <w:bCs/>
          <w:i/>
          <w:sz w:val="24"/>
          <w:szCs w:val="24"/>
          <w:lang w:eastAsia="zh-CN"/>
        </w:rPr>
        <w:t>Cs1÷s3,d0÷d1</w:t>
      </w:r>
      <w:r>
        <w:rPr>
          <w:rFonts w:eastAsia="Calibri"/>
          <w:i/>
          <w:sz w:val="24"/>
          <w:szCs w:val="24"/>
          <w:shd w:val="clear" w:color="auto" w:fill="FFFFFF"/>
        </w:rPr>
        <w:t xml:space="preserve"> și rezistență la foc 45 minute (</w:t>
      </w:r>
      <w:r>
        <w:rPr>
          <w:rFonts w:eastAsia="Calibri"/>
          <w:b/>
          <w:bCs/>
          <w:i/>
          <w:sz w:val="24"/>
          <w:szCs w:val="24"/>
          <w:shd w:val="clear" w:color="auto" w:fill="FFFFFF"/>
        </w:rPr>
        <w:t>R45</w:t>
      </w:r>
      <w:r>
        <w:rPr>
          <w:rFonts w:eastAsia="Calibri"/>
          <w:i/>
          <w:sz w:val="24"/>
          <w:szCs w:val="24"/>
          <w:shd w:val="clear" w:color="auto" w:fill="FFFFFF"/>
        </w:rPr>
        <w:t xml:space="preserve">) în construcții cu nivelul de stabilitate la incendiu </w:t>
      </w:r>
      <w:r>
        <w:rPr>
          <w:rFonts w:eastAsia="Calibri"/>
          <w:b/>
          <w:bCs/>
          <w:i/>
          <w:sz w:val="24"/>
          <w:szCs w:val="24"/>
          <w:shd w:val="clear" w:color="auto" w:fill="FFFFFF"/>
        </w:rPr>
        <w:t>IV</w:t>
      </w:r>
      <w:r>
        <w:rPr>
          <w:rFonts w:eastAsia="Calibri"/>
          <w:i/>
          <w:sz w:val="24"/>
          <w:szCs w:val="24"/>
          <w:shd w:val="clear" w:color="auto" w:fill="FFFFFF"/>
        </w:rPr>
        <w:t>, respectiv 15 minute (</w:t>
      </w:r>
      <w:r>
        <w:rPr>
          <w:rFonts w:eastAsia="Calibri"/>
          <w:b/>
          <w:bCs/>
          <w:i/>
          <w:sz w:val="24"/>
          <w:szCs w:val="24"/>
          <w:shd w:val="clear" w:color="auto" w:fill="FFFFFF"/>
        </w:rPr>
        <w:t>R15</w:t>
      </w:r>
      <w:r>
        <w:rPr>
          <w:rFonts w:eastAsia="Calibri"/>
          <w:i/>
          <w:sz w:val="24"/>
          <w:szCs w:val="24"/>
          <w:shd w:val="clear" w:color="auto" w:fill="FFFFFF"/>
        </w:rPr>
        <w:t xml:space="preserve">) în construcții cu nivelul de stabilitate la incendiu </w:t>
      </w:r>
      <w:r>
        <w:rPr>
          <w:rFonts w:eastAsia="Calibri"/>
          <w:b/>
          <w:bCs/>
          <w:i/>
          <w:sz w:val="24"/>
          <w:szCs w:val="24"/>
          <w:shd w:val="clear" w:color="auto" w:fill="FFFFFF"/>
        </w:rPr>
        <w:t>V</w:t>
      </w:r>
      <w:r>
        <w:rPr>
          <w:rFonts w:eastAsia="Calibri"/>
          <w:i/>
          <w:sz w:val="24"/>
          <w:szCs w:val="24"/>
          <w:shd w:val="clear" w:color="auto" w:fill="FFFFFF"/>
        </w:rPr>
        <w:t>. Fac excepțiie situațiile precizate în prezenta anexă.</w:t>
      </w:r>
    </w:p>
    <w:p w14:paraId="15CD261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2.4.34.</w:t>
      </w:r>
      <w:r>
        <w:rPr>
          <w:rFonts w:eastAsia="Calibri"/>
          <w:i/>
          <w:sz w:val="24"/>
          <w:szCs w:val="24"/>
          <w:shd w:val="clear" w:color="auto" w:fill="FFFFFF"/>
        </w:rPr>
        <w:t> Elementele de protecție a golurilor de acces la casele de scări de evacuare existente, vor îndeplini condițiile prevăzute în prezenta anexă/ în normativ.</w:t>
      </w:r>
    </w:p>
    <w:p w14:paraId="7A3A33C9" w14:textId="77777777" w:rsidR="001C08A5" w:rsidRDefault="00000000">
      <w:pPr>
        <w:pStyle w:val="Heading4"/>
        <w:rPr>
          <w:sz w:val="24"/>
          <w:szCs w:val="24"/>
        </w:rPr>
      </w:pPr>
      <w:bookmarkStart w:id="10584" w:name="_Toc26421"/>
      <w:bookmarkStart w:id="10585" w:name="_Toc14227"/>
      <w:bookmarkStart w:id="10586" w:name="_Toc162355548"/>
      <w:bookmarkStart w:id="10587" w:name="_Toc18941"/>
      <w:bookmarkStart w:id="10588" w:name="_Toc18485"/>
      <w:bookmarkStart w:id="10589" w:name="_Toc10335"/>
      <w:r>
        <w:rPr>
          <w:sz w:val="24"/>
          <w:szCs w:val="24"/>
        </w:rPr>
        <w:t>Atrium</w:t>
      </w:r>
      <w:bookmarkEnd w:id="10584"/>
      <w:bookmarkEnd w:id="10585"/>
      <w:bookmarkEnd w:id="10586"/>
      <w:bookmarkEnd w:id="10587"/>
      <w:bookmarkEnd w:id="10588"/>
      <w:bookmarkEnd w:id="10589"/>
    </w:p>
    <w:p w14:paraId="25E1AF8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2.4.35.</w:t>
      </w:r>
      <w:r>
        <w:rPr>
          <w:rFonts w:eastAsia="Calibri"/>
          <w:i/>
          <w:sz w:val="24"/>
          <w:szCs w:val="24"/>
          <w:shd w:val="clear" w:color="auto" w:fill="FFFFFF"/>
        </w:rPr>
        <w:t xml:space="preserve"> Prevederile prezentei anexe se referă la atriumurile închise, acoperite cu lățimea de cel puțin </w:t>
      </w:r>
      <w:r>
        <w:rPr>
          <w:b/>
          <w:i/>
          <w:position w:val="-8"/>
          <w:sz w:val="24"/>
          <w:szCs w:val="24"/>
        </w:rPr>
        <w:object w:dxaOrig="570" w:dyaOrig="435" w14:anchorId="1DAB2BF0">
          <v:shape id="_x0000_i1038" type="#_x0000_t75" style="width:28.5pt;height:21.75pt" o:ole="" filled="t">
            <v:fill color2="black"/>
            <v:imagedata r:id="rId538" o:title=""/>
          </v:shape>
          <o:OLEObject Type="Embed" ProgID="Equation.3" ShapeID="_x0000_i1038" DrawAspect="Content" ObjectID="_1773212719" r:id="rId539"/>
        </w:object>
      </w:r>
      <w:r>
        <w:rPr>
          <w:rFonts w:eastAsia="Calibri"/>
          <w:i/>
          <w:sz w:val="24"/>
          <w:szCs w:val="24"/>
          <w:shd w:val="clear" w:color="auto" w:fill="FFFFFF"/>
        </w:rPr>
        <w:t xml:space="preserve"> (în care H este cea mai mică înălțime a atriumului, dar minimum patru niveluri ale construcției existente).</w:t>
      </w:r>
    </w:p>
    <w:p w14:paraId="5E171A6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2.4.36.</w:t>
      </w:r>
      <w:r>
        <w:rPr>
          <w:rFonts w:eastAsia="Calibri"/>
          <w:i/>
          <w:sz w:val="24"/>
          <w:szCs w:val="24"/>
          <w:shd w:val="clear" w:color="auto" w:fill="FFFFFF"/>
        </w:rPr>
        <w:t> Realizarea unor atriumuri care nu îndeplinesc condițiile minime de dimensionare precizate, este admisă numai dacă se iau măsuri corespunzătoare de protecție care să împiedice transmiterea focului de la un nivel la altul, prin efectul de coș (protecția golurilor cu elemente rezistente la foc, copertine, balcoane, perdele de apă, etc, după caz).</w:t>
      </w:r>
    </w:p>
    <w:p w14:paraId="375D4EF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2.4.37.</w:t>
      </w:r>
      <w:r>
        <w:rPr>
          <w:rFonts w:eastAsia="Calibri"/>
          <w:i/>
          <w:sz w:val="24"/>
          <w:szCs w:val="24"/>
          <w:shd w:val="clear" w:color="auto" w:fill="FFFFFF"/>
        </w:rPr>
        <w:t xml:space="preserve"> Pentru închiderile perimetrale ale atriumurilor, de regulă, se utilizează materiale și elemente de construcție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minimum 15 minute (</w:t>
      </w:r>
      <w:r>
        <w:rPr>
          <w:rFonts w:eastAsia="Calibri"/>
          <w:b/>
          <w:bCs/>
          <w:i/>
          <w:sz w:val="24"/>
          <w:szCs w:val="24"/>
          <w:shd w:val="clear" w:color="auto" w:fill="FFFFFF"/>
        </w:rPr>
        <w:t>EI15</w:t>
      </w:r>
      <w:r>
        <w:rPr>
          <w:rFonts w:eastAsia="Calibri"/>
          <w:i/>
          <w:sz w:val="24"/>
          <w:szCs w:val="24"/>
          <w:shd w:val="clear" w:color="auto" w:fill="FFFFFF"/>
        </w:rPr>
        <w:t xml:space="preserve">) cu excepția unor materiale aferente vitrărilor (garnituri, chituri, masticuri, etc.) care pot fi din </w:t>
      </w:r>
      <w:r>
        <w:rPr>
          <w:rFonts w:eastAsia="TimesNewRomanPSMT-Identity-H"/>
          <w:i/>
          <w:sz w:val="24"/>
          <w:szCs w:val="24"/>
        </w:rPr>
        <w:t xml:space="preserve">clasa de reacție la foc </w:t>
      </w:r>
      <w:r>
        <w:rPr>
          <w:rFonts w:eastAsia="TimesNewRomanPSMT-Identity-H"/>
          <w:b/>
          <w:bCs/>
          <w:i/>
          <w:sz w:val="24"/>
          <w:szCs w:val="24"/>
          <w:lang w:eastAsia="zh-CN"/>
        </w:rPr>
        <w:t>A2s1÷s3,d0÷d1; Bs1÷s3,d0÷d1</w:t>
      </w:r>
      <w:r>
        <w:rPr>
          <w:rFonts w:eastAsia="Calibri"/>
          <w:i/>
          <w:sz w:val="24"/>
          <w:szCs w:val="24"/>
          <w:shd w:val="clear" w:color="auto" w:fill="FFFFFF"/>
        </w:rPr>
        <w:t xml:space="preserve"> sau </w:t>
      </w:r>
      <w:r>
        <w:rPr>
          <w:rFonts w:eastAsia="TimesNewRomanPSMT-Identity-H"/>
          <w:i/>
          <w:sz w:val="24"/>
          <w:szCs w:val="24"/>
        </w:rPr>
        <w:t xml:space="preserve">clasa de reacție la foc </w:t>
      </w:r>
      <w:r>
        <w:rPr>
          <w:rFonts w:eastAsia="TimesNewRomanPSMT-Identity-H"/>
          <w:b/>
          <w:bCs/>
          <w:i/>
          <w:sz w:val="24"/>
          <w:szCs w:val="24"/>
          <w:lang w:eastAsia="zh-CN"/>
        </w:rPr>
        <w:t>Cs1÷s3,d0÷d1</w:t>
      </w:r>
      <w:r>
        <w:rPr>
          <w:rFonts w:eastAsia="Calibri"/>
          <w:i/>
          <w:sz w:val="24"/>
          <w:szCs w:val="24"/>
          <w:shd w:val="clear" w:color="auto" w:fill="FFFFFF"/>
        </w:rPr>
        <w:t>.</w:t>
      </w:r>
    </w:p>
    <w:p w14:paraId="11AA45C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2.4.38.</w:t>
      </w:r>
      <w:r>
        <w:rPr>
          <w:rFonts w:eastAsia="Calibri"/>
          <w:i/>
          <w:sz w:val="24"/>
          <w:szCs w:val="24"/>
          <w:shd w:val="clear" w:color="auto" w:fill="FFFFFF"/>
        </w:rPr>
        <w:t xml:space="preserve"> Atunci când atriumurile se închid perimetral cu panouri vitrate față de restul construcției existente, aceste închideri se realizează astfel încât să nu favorizeze propagarea incendiilor de la un nivel la altul. Vitrările se separă pe verticală prin zone pline cu înălțimea de cel puțin </w:t>
      </w:r>
      <w:r>
        <w:rPr>
          <w:rFonts w:eastAsia="Calibri"/>
          <w:b/>
          <w:bCs/>
          <w:i/>
          <w:sz w:val="24"/>
          <w:szCs w:val="24"/>
          <w:shd w:val="clear" w:color="auto" w:fill="FFFFFF"/>
        </w:rPr>
        <w:t>1,20 m</w:t>
      </w:r>
      <w:r>
        <w:rPr>
          <w:rFonts w:eastAsia="Calibri"/>
          <w:i/>
          <w:sz w:val="24"/>
          <w:szCs w:val="24"/>
          <w:shd w:val="clear" w:color="auto" w:fill="FFFFFF"/>
        </w:rPr>
        <w:t>, etanșe la foc minimum 1 oră (</w:t>
      </w:r>
      <w:r>
        <w:rPr>
          <w:rFonts w:eastAsia="Calibri"/>
          <w:b/>
          <w:bCs/>
          <w:i/>
          <w:sz w:val="24"/>
          <w:szCs w:val="24"/>
          <w:shd w:val="clear" w:color="auto" w:fill="FFFFFF"/>
        </w:rPr>
        <w:t>E60</w:t>
      </w:r>
      <w:r>
        <w:rPr>
          <w:rFonts w:eastAsia="Calibri"/>
          <w:i/>
          <w:sz w:val="24"/>
          <w:szCs w:val="24"/>
          <w:shd w:val="clear" w:color="auto" w:fill="FFFFFF"/>
        </w:rPr>
        <w:t xml:space="preserve">).  Zonele pline dintre vitrări, pot fi înlocuite pe planșee orizontale continue (copertine),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minimum 1 oră (</w:t>
      </w:r>
      <w:r>
        <w:rPr>
          <w:rFonts w:eastAsia="Calibri"/>
          <w:b/>
          <w:bCs/>
          <w:i/>
          <w:sz w:val="24"/>
          <w:szCs w:val="24"/>
          <w:shd w:val="clear" w:color="auto" w:fill="FFFFFF"/>
        </w:rPr>
        <w:t>REI60</w:t>
      </w:r>
      <w:r>
        <w:rPr>
          <w:rFonts w:eastAsia="Calibri"/>
          <w:i/>
          <w:sz w:val="24"/>
          <w:szCs w:val="24"/>
          <w:shd w:val="clear" w:color="auto" w:fill="FFFFFF"/>
        </w:rPr>
        <w:t xml:space="preserve">), și lățimea de cel puțin </w:t>
      </w:r>
      <w:r>
        <w:rPr>
          <w:rFonts w:eastAsia="Calibri"/>
          <w:b/>
          <w:bCs/>
          <w:i/>
          <w:sz w:val="24"/>
          <w:szCs w:val="24"/>
          <w:shd w:val="clear" w:color="auto" w:fill="FFFFFF"/>
        </w:rPr>
        <w:t>1,20 m</w:t>
      </w:r>
      <w:r>
        <w:rPr>
          <w:rFonts w:eastAsia="Calibri"/>
          <w:i/>
          <w:sz w:val="24"/>
          <w:szCs w:val="24"/>
          <w:shd w:val="clear" w:color="auto" w:fill="FFFFFF"/>
        </w:rPr>
        <w:t xml:space="preserve"> măsurată pe orizontală.</w:t>
      </w:r>
    </w:p>
    <w:p w14:paraId="4C42943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2.4.39.</w:t>
      </w:r>
      <w:r>
        <w:rPr>
          <w:rFonts w:eastAsia="Calibri"/>
          <w:i/>
          <w:sz w:val="24"/>
          <w:szCs w:val="24"/>
          <w:shd w:val="clear" w:color="auto" w:fill="FFFFFF"/>
        </w:rPr>
        <w:t xml:space="preserve"> Circulațiile comune orizontale care sunt deschise spre atrium, se prevăd la limita lor spre atrium (sub planșee) cu ecrane continue din materiale </w:t>
      </w:r>
      <w:r>
        <w:rPr>
          <w:rFonts w:eastAsia="TimesNewRomanPSMT-Identity-H"/>
          <w:i/>
          <w:sz w:val="24"/>
          <w:szCs w:val="24"/>
        </w:rPr>
        <w:t>clasa de reacție la foc</w:t>
      </w:r>
      <w:r>
        <w:rPr>
          <w:rFonts w:eastAsia="Calibri"/>
          <w:i/>
          <w:sz w:val="24"/>
          <w:szCs w:val="24"/>
          <w:shd w:val="clear" w:color="auto" w:fill="FFFFFF"/>
        </w:rPr>
        <w:t xml:space="preserve"> </w:t>
      </w:r>
      <w:r>
        <w:rPr>
          <w:b/>
          <w:bCs/>
          <w:i/>
          <w:sz w:val="24"/>
          <w:szCs w:val="24"/>
          <w:lang w:val="en-GB"/>
        </w:rPr>
        <w:t>A1, A2s1d0</w:t>
      </w:r>
      <w:r>
        <w:rPr>
          <w:rFonts w:eastAsia="Calibri"/>
          <w:i/>
          <w:sz w:val="24"/>
          <w:szCs w:val="24"/>
          <w:shd w:val="clear" w:color="auto" w:fill="FFFFFF"/>
        </w:rPr>
        <w:t>, etanșe la foc minimum 1 oră (</w:t>
      </w:r>
      <w:r>
        <w:rPr>
          <w:rFonts w:eastAsia="Calibri"/>
          <w:b/>
          <w:bCs/>
          <w:i/>
          <w:sz w:val="24"/>
          <w:szCs w:val="24"/>
          <w:shd w:val="clear" w:color="auto" w:fill="FFFFFF"/>
        </w:rPr>
        <w:t>E60</w:t>
      </w:r>
      <w:r>
        <w:rPr>
          <w:rFonts w:eastAsia="Calibri"/>
          <w:i/>
          <w:sz w:val="24"/>
          <w:szCs w:val="24"/>
          <w:shd w:val="clear" w:color="auto" w:fill="FFFFFF"/>
        </w:rPr>
        <w:t xml:space="preserve">), cu înălțimea de cel puțin </w:t>
      </w:r>
      <w:r>
        <w:rPr>
          <w:rFonts w:eastAsia="Calibri"/>
          <w:b/>
          <w:bCs/>
          <w:i/>
          <w:sz w:val="24"/>
          <w:szCs w:val="24"/>
          <w:shd w:val="clear" w:color="auto" w:fill="FFFFFF"/>
        </w:rPr>
        <w:t>50 cm</w:t>
      </w:r>
      <w:r>
        <w:rPr>
          <w:rFonts w:eastAsia="Calibri"/>
          <w:i/>
          <w:sz w:val="24"/>
          <w:szCs w:val="24"/>
          <w:shd w:val="clear" w:color="auto" w:fill="FFFFFF"/>
        </w:rPr>
        <w:t xml:space="preserve">, realizate similar prevederilor Art. </w:t>
      </w:r>
      <w:r>
        <w:rPr>
          <w:rFonts w:eastAsia="Calibri"/>
          <w:b/>
          <w:i/>
          <w:sz w:val="24"/>
          <w:szCs w:val="24"/>
          <w:shd w:val="clear" w:color="auto" w:fill="FFFFFF"/>
        </w:rPr>
        <w:t xml:space="preserve">A.10. </w:t>
      </w:r>
      <w:r>
        <w:rPr>
          <w:rFonts w:eastAsia="Calibri"/>
          <w:b/>
          <w:bCs/>
          <w:i/>
          <w:sz w:val="24"/>
          <w:szCs w:val="24"/>
          <w:shd w:val="clear" w:color="auto" w:fill="FFFFFF"/>
        </w:rPr>
        <w:t>2.4.28.</w:t>
      </w:r>
      <w:r>
        <w:rPr>
          <w:rFonts w:eastAsia="Calibri"/>
          <w:i/>
          <w:sz w:val="24"/>
          <w:szCs w:val="24"/>
          <w:shd w:val="clear" w:color="auto" w:fill="FFFFFF"/>
        </w:rPr>
        <w:t>, fără a fi admisă înlocuirea lor cu instalație automată tip sprinkler sau drencer.</w:t>
      </w:r>
    </w:p>
    <w:p w14:paraId="313BF38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2.4.40.</w:t>
      </w:r>
      <w:r>
        <w:rPr>
          <w:rFonts w:eastAsia="Calibri"/>
          <w:i/>
          <w:sz w:val="24"/>
          <w:szCs w:val="24"/>
          <w:shd w:val="clear" w:color="auto" w:fill="FFFFFF"/>
        </w:rPr>
        <w:t xml:space="preserve"> Dacă din considerente funcționale se prevăd pereți pentru separarea atriumurilor de restul construcției existente, aceștia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la foc corespunzătoare densității sarcinii termice, dar minimum 1 oră (</w:t>
      </w:r>
      <w:r>
        <w:rPr>
          <w:rFonts w:eastAsia="Calibri"/>
          <w:b/>
          <w:bCs/>
          <w:i/>
          <w:sz w:val="24"/>
          <w:szCs w:val="24"/>
          <w:shd w:val="clear" w:color="auto" w:fill="FFFFFF"/>
        </w:rPr>
        <w:t>EI/REI60</w:t>
      </w:r>
      <w:r>
        <w:rPr>
          <w:rFonts w:eastAsia="Calibri"/>
          <w:i/>
          <w:sz w:val="24"/>
          <w:szCs w:val="24"/>
          <w:shd w:val="clear" w:color="auto" w:fill="FFFFFF"/>
        </w:rPr>
        <w:t xml:space="preserve">). Vitrările acestora nu vor depăși </w:t>
      </w:r>
      <w:r>
        <w:rPr>
          <w:rFonts w:eastAsia="Calibri"/>
          <w:b/>
          <w:bCs/>
          <w:i/>
          <w:sz w:val="24"/>
          <w:szCs w:val="24"/>
          <w:shd w:val="clear" w:color="auto" w:fill="FFFFFF"/>
        </w:rPr>
        <w:t>30%</w:t>
      </w:r>
      <w:r>
        <w:rPr>
          <w:rFonts w:eastAsia="Calibri"/>
          <w:i/>
          <w:sz w:val="24"/>
          <w:szCs w:val="24"/>
          <w:shd w:val="clear" w:color="auto" w:fill="FFFFFF"/>
        </w:rPr>
        <w:t xml:space="preserve"> din suprafața peretelui și vor fi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cel puțin 15 minute (</w:t>
      </w:r>
      <w:r>
        <w:rPr>
          <w:rFonts w:eastAsia="Calibri"/>
          <w:b/>
          <w:bCs/>
          <w:i/>
          <w:sz w:val="24"/>
          <w:szCs w:val="24"/>
          <w:shd w:val="clear" w:color="auto" w:fill="FFFFFF"/>
        </w:rPr>
        <w:t>EI15</w:t>
      </w:r>
      <w:r>
        <w:rPr>
          <w:rFonts w:eastAsia="Calibri"/>
          <w:i/>
          <w:sz w:val="24"/>
          <w:szCs w:val="24"/>
          <w:shd w:val="clear" w:color="auto" w:fill="FFFFFF"/>
        </w:rPr>
        <w:t>), dacă prezenta anexă nu stabilește altfel.</w:t>
      </w:r>
    </w:p>
    <w:p w14:paraId="63FAE9D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2.4.41.</w:t>
      </w:r>
      <w:r>
        <w:rPr>
          <w:rFonts w:eastAsia="Calibri"/>
          <w:i/>
          <w:sz w:val="24"/>
          <w:szCs w:val="24"/>
          <w:shd w:val="clear" w:color="auto" w:fill="FFFFFF"/>
        </w:rPr>
        <w:t xml:space="preserve"> În atriumuri se pot utiliza dotări (fixe sau mobile) din materiale </w:t>
      </w:r>
      <w:r>
        <w:rPr>
          <w:rFonts w:eastAsia="TimesNewRomanPSMT-Identity-H"/>
          <w:i/>
          <w:sz w:val="24"/>
          <w:szCs w:val="24"/>
        </w:rPr>
        <w:t xml:space="preserve">clasa de reacție la foc </w:t>
      </w:r>
      <w:r>
        <w:rPr>
          <w:rFonts w:eastAsia="Times New Roman"/>
          <w:b/>
          <w:i/>
          <w:sz w:val="24"/>
          <w:szCs w:val="24"/>
        </w:rPr>
        <w:t>A1, A2s1d0</w:t>
      </w:r>
      <w:r>
        <w:rPr>
          <w:rFonts w:eastAsia="Times New Roman"/>
          <w:bCs/>
          <w:i/>
          <w:sz w:val="24"/>
          <w:szCs w:val="24"/>
        </w:rPr>
        <w:t>,</w:t>
      </w:r>
      <w:r>
        <w:rPr>
          <w:rFonts w:eastAsia="Times New Roman"/>
          <w:b/>
          <w:i/>
          <w:sz w:val="24"/>
          <w:szCs w:val="24"/>
        </w:rPr>
        <w:t xml:space="preserve">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xml:space="preserve">, iar densitatea sarcinii termice nu va depăși </w:t>
      </w:r>
      <w:r>
        <w:rPr>
          <w:rFonts w:eastAsia="Calibri"/>
          <w:b/>
          <w:bCs/>
          <w:i/>
          <w:sz w:val="24"/>
          <w:szCs w:val="24"/>
          <w:shd w:val="clear" w:color="auto" w:fill="FFFFFF"/>
        </w:rPr>
        <w:t>420 MJ/m</w:t>
      </w:r>
      <w:r>
        <w:rPr>
          <w:rFonts w:eastAsia="Calibri"/>
          <w:b/>
          <w:bCs/>
          <w:i/>
          <w:sz w:val="24"/>
          <w:szCs w:val="24"/>
          <w:shd w:val="clear" w:color="auto" w:fill="FFFFFF"/>
          <w:vertAlign w:val="superscript"/>
        </w:rPr>
        <w:t>2</w:t>
      </w:r>
      <w:r>
        <w:rPr>
          <w:rFonts w:eastAsia="Calibri"/>
          <w:i/>
          <w:sz w:val="24"/>
          <w:szCs w:val="24"/>
          <w:shd w:val="clear" w:color="auto" w:fill="FFFFFF"/>
        </w:rPr>
        <w:t>. La determinarea densității sarcinii termice se ia în considerare cel mai mare nivel al atriumului delimitat de pereți, (în afara celui de la parter).</w:t>
      </w:r>
    </w:p>
    <w:p w14:paraId="2BEAE9B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2.4.42.</w:t>
      </w:r>
      <w:r>
        <w:rPr>
          <w:rFonts w:eastAsia="Calibri"/>
          <w:i/>
          <w:sz w:val="24"/>
          <w:szCs w:val="24"/>
          <w:shd w:val="clear" w:color="auto" w:fill="FFFFFF"/>
        </w:rPr>
        <w:t xml:space="preserve"> Luminatoarele și cupolele care acoperă atriumurile se pot realiza cu structură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și vitrări </w:t>
      </w:r>
      <w:r>
        <w:rPr>
          <w:rFonts w:eastAsia="TimesNewRomanPSMT-Identity-H"/>
          <w:i/>
          <w:sz w:val="24"/>
          <w:szCs w:val="24"/>
        </w:rPr>
        <w:t xml:space="preserve">clasa de reacție la foc </w:t>
      </w:r>
      <w:r>
        <w:rPr>
          <w:rFonts w:eastAsia="Times New Roman"/>
          <w:b/>
          <w:i/>
          <w:sz w:val="24"/>
          <w:szCs w:val="24"/>
        </w:rPr>
        <w:t>A1, A2s1d0</w:t>
      </w:r>
      <w:r>
        <w:rPr>
          <w:rFonts w:eastAsia="Times New Roman"/>
          <w:bCs/>
          <w:i/>
          <w:sz w:val="24"/>
          <w:szCs w:val="24"/>
        </w:rPr>
        <w:t>,</w:t>
      </w:r>
      <w:r>
        <w:rPr>
          <w:rFonts w:eastAsia="Times New Roman"/>
          <w:b/>
          <w:i/>
          <w:sz w:val="24"/>
          <w:szCs w:val="24"/>
        </w:rPr>
        <w:t xml:space="preserve">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xml:space="preserve"> care nu se iau în considerație la determinarea nivelului de stabilitate la incendiu al construcției existente.</w:t>
      </w:r>
    </w:p>
    <w:p w14:paraId="6E14622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2.4.43.</w:t>
      </w:r>
      <w:r>
        <w:rPr>
          <w:rFonts w:eastAsia="Calibri"/>
          <w:i/>
          <w:sz w:val="24"/>
          <w:szCs w:val="24"/>
          <w:shd w:val="clear" w:color="auto" w:fill="FFFFFF"/>
        </w:rPr>
        <w:t xml:space="preserve"> În construcțiile existente cu atrium, nu se recomandă dispunerea adiacentă neseparată de atrium, a unor spații cu risc mare de incendiu. Atunci când totuși se prevăd, (pentru activități comerciale, expoziții permanente cu exponate combustibile și altele similare cu densitatea sarcinii termice peste </w:t>
      </w:r>
      <w:r>
        <w:rPr>
          <w:rFonts w:eastAsia="Calibri"/>
          <w:b/>
          <w:bCs/>
          <w:i/>
          <w:sz w:val="24"/>
          <w:szCs w:val="24"/>
          <w:shd w:val="clear" w:color="auto" w:fill="FFFFFF"/>
        </w:rPr>
        <w:t>840 MJ/m</w:t>
      </w:r>
      <w:r>
        <w:rPr>
          <w:rFonts w:eastAsia="Calibri"/>
          <w:b/>
          <w:bCs/>
          <w:i/>
          <w:sz w:val="24"/>
          <w:szCs w:val="24"/>
          <w:shd w:val="clear" w:color="auto" w:fill="FFFFFF"/>
          <w:vertAlign w:val="superscript"/>
        </w:rPr>
        <w:t>2</w:t>
      </w:r>
      <w:r>
        <w:rPr>
          <w:rFonts w:eastAsia="Calibri"/>
          <w:i/>
          <w:sz w:val="24"/>
          <w:szCs w:val="24"/>
          <w:shd w:val="clear" w:color="auto" w:fill="FFFFFF"/>
        </w:rPr>
        <w:t>), aceste spații se echipează obligatoriu cu instalații automate de semnalizare și stingere a incendiilor.</w:t>
      </w:r>
    </w:p>
    <w:p w14:paraId="1F05474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2.4.44.</w:t>
      </w:r>
      <w:r>
        <w:rPr>
          <w:rFonts w:eastAsia="Calibri"/>
          <w:i/>
          <w:sz w:val="24"/>
          <w:szCs w:val="24"/>
          <w:shd w:val="clear" w:color="auto" w:fill="FFFFFF"/>
        </w:rPr>
        <w:t> Depozitele de materiale și/sau substanțe combustibile neseparate față de atriumuri prin elemente rezistente la foc corespunzătoare densității sarcinii termice, nu sunt admise.</w:t>
      </w:r>
    </w:p>
    <w:p w14:paraId="288B7C87" w14:textId="77777777" w:rsidR="001C08A5" w:rsidRDefault="00000000">
      <w:pPr>
        <w:pStyle w:val="Heading4"/>
        <w:rPr>
          <w:sz w:val="24"/>
          <w:szCs w:val="24"/>
        </w:rPr>
      </w:pPr>
      <w:bookmarkStart w:id="10590" w:name="_Toc31614"/>
      <w:bookmarkStart w:id="10591" w:name="_Toc22957"/>
      <w:bookmarkStart w:id="10592" w:name="_Toc162355549"/>
      <w:bookmarkStart w:id="10593" w:name="_Toc30610"/>
      <w:bookmarkStart w:id="10594" w:name="_Toc28199"/>
      <w:bookmarkStart w:id="10595" w:name="_Toc16584"/>
      <w:r>
        <w:rPr>
          <w:sz w:val="24"/>
          <w:szCs w:val="24"/>
        </w:rPr>
        <w:t>Încăperi de depozitare</w:t>
      </w:r>
      <w:bookmarkEnd w:id="10590"/>
      <w:bookmarkEnd w:id="10591"/>
      <w:bookmarkEnd w:id="10592"/>
      <w:bookmarkEnd w:id="10593"/>
      <w:bookmarkEnd w:id="10594"/>
      <w:bookmarkEnd w:id="10595"/>
    </w:p>
    <w:p w14:paraId="0A3520D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2.4.45.</w:t>
      </w:r>
      <w:r>
        <w:rPr>
          <w:rFonts w:eastAsia="Calibri"/>
          <w:i/>
          <w:sz w:val="24"/>
          <w:szCs w:val="24"/>
          <w:shd w:val="clear" w:color="auto" w:fill="FFFFFF"/>
        </w:rPr>
        <w:t xml:space="preserve"> Încăperile de depozitare a materialelor și substanțelor combustibile solide cu aria mai mare de </w:t>
      </w:r>
      <w:r>
        <w:rPr>
          <w:rFonts w:eastAsia="Calibri"/>
          <w:b/>
          <w:bCs/>
          <w:i/>
          <w:sz w:val="24"/>
          <w:szCs w:val="24"/>
          <w:shd w:val="clear" w:color="auto" w:fill="FFFFFF"/>
        </w:rPr>
        <w:t>36 m</w:t>
      </w:r>
      <w:r>
        <w:rPr>
          <w:rFonts w:eastAsia="Calibri"/>
          <w:b/>
          <w:bCs/>
          <w:i/>
          <w:sz w:val="24"/>
          <w:szCs w:val="24"/>
          <w:shd w:val="clear" w:color="auto" w:fill="FFFFFF"/>
          <w:vertAlign w:val="superscript"/>
        </w:rPr>
        <w:t>2</w:t>
      </w:r>
      <w:r>
        <w:rPr>
          <w:rFonts w:eastAsia="Calibri"/>
          <w:i/>
          <w:sz w:val="24"/>
          <w:szCs w:val="24"/>
          <w:shd w:val="clear" w:color="auto" w:fill="FFFFFF"/>
        </w:rPr>
        <w:t xml:space="preserve"> situate în construcții existente cu alte destinații, de regulă, se separă față de restul construcției existente prin pereți și planșee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având rezistența la foc corespunzătoare densității sarcinii termice (conform Art. </w:t>
      </w:r>
      <w:r>
        <w:rPr>
          <w:rFonts w:eastAsia="Calibri"/>
          <w:b/>
          <w:i/>
          <w:sz w:val="24"/>
          <w:szCs w:val="24"/>
          <w:shd w:val="clear" w:color="auto" w:fill="FFFFFF"/>
        </w:rPr>
        <w:t xml:space="preserve">A.10. </w:t>
      </w:r>
      <w:r>
        <w:rPr>
          <w:rFonts w:eastAsia="Calibri"/>
          <w:b/>
          <w:bCs/>
          <w:i/>
          <w:sz w:val="24"/>
          <w:szCs w:val="24"/>
          <w:shd w:val="clear" w:color="auto" w:fill="FFFFFF"/>
        </w:rPr>
        <w:t xml:space="preserve">2.3.2. </w:t>
      </w:r>
      <w:r>
        <w:rPr>
          <w:rFonts w:eastAsia="Calibri"/>
          <w:i/>
          <w:sz w:val="24"/>
          <w:szCs w:val="24"/>
          <w:shd w:val="clear" w:color="auto" w:fill="FFFFFF"/>
        </w:rPr>
        <w:t xml:space="preserve">și  </w:t>
      </w:r>
      <w:r>
        <w:rPr>
          <w:rFonts w:eastAsia="Calibri"/>
          <w:i/>
          <w:sz w:val="24"/>
          <w:szCs w:val="24"/>
          <w:shd w:val="clear" w:color="auto" w:fill="FFFFFF"/>
        </w:rPr>
        <w:fldChar w:fldCharType="begin"/>
      </w:r>
      <w:r>
        <w:rPr>
          <w:rFonts w:eastAsia="Calibri"/>
          <w:i/>
          <w:sz w:val="24"/>
          <w:szCs w:val="24"/>
          <w:shd w:val="clear" w:color="auto" w:fill="FFFFFF"/>
        </w:rPr>
        <w:instrText xml:space="preserve"> REF _Ref8036 \h </w:instrText>
      </w:r>
      <w:r>
        <w:rPr>
          <w:rFonts w:eastAsia="Calibri"/>
          <w:i/>
          <w:sz w:val="24"/>
          <w:szCs w:val="24"/>
          <w:shd w:val="clear" w:color="auto" w:fill="FFFFFF"/>
        </w:rPr>
      </w:r>
      <w:r>
        <w:rPr>
          <w:rFonts w:eastAsia="Calibri"/>
          <w:i/>
          <w:sz w:val="24"/>
          <w:szCs w:val="24"/>
          <w:shd w:val="clear" w:color="auto" w:fill="FFFFFF"/>
        </w:rPr>
        <w:fldChar w:fldCharType="separate"/>
      </w:r>
      <w:r>
        <w:t xml:space="preserve">Tabelul 146: </w:t>
      </w:r>
      <w:r>
        <w:rPr>
          <w:rFonts w:eastAsia="Calibri"/>
          <w:bCs/>
          <w:shd w:val="clear" w:color="auto" w:fill="FFFFFF"/>
        </w:rPr>
        <w:t>Rezistența la foc a pereților la construcțiile existente</w:t>
      </w:r>
      <w:r>
        <w:rPr>
          <w:rFonts w:eastAsia="Calibri"/>
          <w:i/>
          <w:sz w:val="24"/>
          <w:szCs w:val="24"/>
          <w:shd w:val="clear" w:color="auto" w:fill="FFFFFF"/>
        </w:rPr>
        <w:fldChar w:fldCharType="end"/>
      </w:r>
      <w:r>
        <w:rPr>
          <w:rFonts w:eastAsia="Calibri"/>
          <w:i/>
          <w:sz w:val="24"/>
          <w:szCs w:val="24"/>
          <w:shd w:val="clear" w:color="auto" w:fill="FFFFFF"/>
        </w:rPr>
        <w:t>), dacă prezenta anexă nu stabilește altfel. Construcțiile existente pentru depozite se realizează conform prevederilor specifice.</w:t>
      </w:r>
    </w:p>
    <w:p w14:paraId="33386FE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2.4.46.</w:t>
      </w:r>
      <w:r>
        <w:rPr>
          <w:rFonts w:eastAsia="Calibri"/>
          <w:i/>
          <w:sz w:val="24"/>
          <w:szCs w:val="24"/>
          <w:shd w:val="clear" w:color="auto" w:fill="FFFFFF"/>
        </w:rPr>
        <w:t xml:space="preserve"> Golurile de comunicație funcțională din elementele de compartimentare ale depozitelor precizate la Art. </w:t>
      </w:r>
      <w:r>
        <w:rPr>
          <w:rFonts w:eastAsia="Calibri"/>
          <w:b/>
          <w:i/>
          <w:sz w:val="24"/>
          <w:szCs w:val="24"/>
          <w:shd w:val="clear" w:color="auto" w:fill="FFFFFF"/>
        </w:rPr>
        <w:t xml:space="preserve">A.10. </w:t>
      </w:r>
      <w:r>
        <w:rPr>
          <w:rFonts w:eastAsia="Calibri"/>
          <w:b/>
          <w:bCs/>
          <w:i/>
          <w:sz w:val="24"/>
          <w:szCs w:val="24"/>
          <w:shd w:val="clear" w:color="auto" w:fill="FFFFFF"/>
        </w:rPr>
        <w:t>2.4.45.</w:t>
      </w:r>
      <w:r>
        <w:rPr>
          <w:rFonts w:eastAsia="Calibri"/>
          <w:i/>
          <w:sz w:val="24"/>
          <w:szCs w:val="24"/>
          <w:shd w:val="clear" w:color="auto" w:fill="FFFFFF"/>
        </w:rPr>
        <w:t xml:space="preserve"> se protejează cu elemente corespunzătoare prevederilor prezentei anexe. Evacuarea fumului în caz de incendiu la aceste depozite este obligatorie și se asigură prin dispozitive cu deschiderea automată în caz de incendiu, având aria liberă de minimum </w:t>
      </w:r>
      <w:r>
        <w:rPr>
          <w:rFonts w:eastAsia="Calibri"/>
          <w:b/>
          <w:bCs/>
          <w:i/>
          <w:sz w:val="24"/>
          <w:szCs w:val="24"/>
          <w:shd w:val="clear" w:color="auto" w:fill="FFFFFF"/>
        </w:rPr>
        <w:t>1%</w:t>
      </w:r>
      <w:r>
        <w:rPr>
          <w:rFonts w:eastAsia="Calibri"/>
          <w:i/>
          <w:sz w:val="24"/>
          <w:szCs w:val="24"/>
          <w:shd w:val="clear" w:color="auto" w:fill="FFFFFF"/>
        </w:rPr>
        <w:t xml:space="preserve"> din suprafața pardoselii sau cu sisteme mecanice de desfumare, corespunzătoralcătuite, distribuite și dimensionate.</w:t>
      </w:r>
    </w:p>
    <w:p w14:paraId="1729CE6E" w14:textId="77777777" w:rsidR="001C08A5" w:rsidRDefault="00000000">
      <w:pPr>
        <w:pStyle w:val="Heading4"/>
        <w:rPr>
          <w:sz w:val="24"/>
          <w:szCs w:val="24"/>
        </w:rPr>
      </w:pPr>
      <w:bookmarkStart w:id="10596" w:name="_Toc20287"/>
      <w:bookmarkStart w:id="10597" w:name="_Toc162355550"/>
      <w:bookmarkStart w:id="10598" w:name="_Toc27708"/>
      <w:bookmarkStart w:id="10599" w:name="_Toc20814"/>
      <w:bookmarkStart w:id="10600" w:name="_Toc4334"/>
      <w:bookmarkStart w:id="10601" w:name="_Toc30066"/>
      <w:r>
        <w:rPr>
          <w:sz w:val="24"/>
          <w:szCs w:val="24"/>
        </w:rPr>
        <w:t>Încăperi pentru instalații utilitare</w:t>
      </w:r>
      <w:bookmarkEnd w:id="10596"/>
      <w:bookmarkEnd w:id="10597"/>
      <w:bookmarkEnd w:id="10598"/>
      <w:bookmarkEnd w:id="10599"/>
      <w:bookmarkEnd w:id="10600"/>
      <w:bookmarkEnd w:id="10601"/>
    </w:p>
    <w:p w14:paraId="39E11FD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2.4.47.</w:t>
      </w:r>
      <w:r>
        <w:rPr>
          <w:rFonts w:eastAsia="Calibri"/>
          <w:i/>
          <w:sz w:val="24"/>
          <w:szCs w:val="24"/>
          <w:shd w:val="clear" w:color="auto" w:fill="FFFFFF"/>
        </w:rPr>
        <w:t xml:space="preserve"> Stațiile de pompare a apei pentru incendiu, grupurile electrogene care constituie surse electrice de rezervă ce alimentează dispozitive de protecție la foc, vane de incendiu și altele similare, se separă de restul construcției, de regulă, prin pereți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fără goluri și cu limită de rezistență la foc de cel puțin 3 ore (</w:t>
      </w:r>
      <w:r>
        <w:rPr>
          <w:rFonts w:eastAsia="Calibri"/>
          <w:b/>
          <w:bCs/>
          <w:i/>
          <w:sz w:val="24"/>
          <w:szCs w:val="24"/>
          <w:shd w:val="clear" w:color="auto" w:fill="FFFFFF"/>
        </w:rPr>
        <w:t>EI/REI180</w:t>
      </w:r>
      <w:r>
        <w:rPr>
          <w:rFonts w:eastAsia="Calibri"/>
          <w:i/>
          <w:sz w:val="24"/>
          <w:szCs w:val="24"/>
          <w:shd w:val="clear" w:color="auto" w:fill="FFFFFF"/>
        </w:rPr>
        <w:t>) și planșee 1 oră și 30 de minute (</w:t>
      </w:r>
      <w:r>
        <w:rPr>
          <w:rFonts w:eastAsia="Calibri"/>
          <w:b/>
          <w:bCs/>
          <w:i/>
          <w:sz w:val="24"/>
          <w:szCs w:val="24"/>
          <w:shd w:val="clear" w:color="auto" w:fill="FFFFFF"/>
        </w:rPr>
        <w:t>REI90</w:t>
      </w:r>
      <w:r>
        <w:rPr>
          <w:rFonts w:eastAsia="Calibri"/>
          <w:i/>
          <w:sz w:val="24"/>
          <w:szCs w:val="24"/>
          <w:shd w:val="clear" w:color="auto" w:fill="FFFFFF"/>
        </w:rPr>
        <w:t>), având asigurat acces ușor din exterior. Se admite și comunicarea cu restul construcției a acestor funcțiuni numai dintr-un coridor comun, prin ușă cu rezistența la foc de minimum 1 oră și 30 minute (</w:t>
      </w:r>
      <w:r>
        <w:rPr>
          <w:rFonts w:eastAsia="Calibri"/>
          <w:b/>
          <w:bCs/>
          <w:i/>
          <w:sz w:val="24"/>
          <w:szCs w:val="24"/>
          <w:shd w:val="clear" w:color="auto" w:fill="FFFFFF"/>
        </w:rPr>
        <w:t>EI90-C</w:t>
      </w:r>
      <w:r>
        <w:rPr>
          <w:rFonts w:eastAsia="Calibri"/>
          <w:i/>
          <w:sz w:val="24"/>
          <w:szCs w:val="24"/>
          <w:shd w:val="clear" w:color="auto" w:fill="FFFFFF"/>
        </w:rPr>
        <w:t>), echipată cu dispozitive de autoînchidere sau închidere automată în caz de incendiu. Se vor avea în vedere și prevederile din reglementările tehnice specifice.</w:t>
      </w:r>
    </w:p>
    <w:p w14:paraId="0C8E3DD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2.4.48.</w:t>
      </w:r>
      <w:r>
        <w:rPr>
          <w:rFonts w:eastAsia="Calibri"/>
          <w:i/>
          <w:sz w:val="24"/>
          <w:szCs w:val="24"/>
          <w:shd w:val="clear" w:color="auto" w:fill="FFFFFF"/>
        </w:rPr>
        <w:t xml:space="preserve"> Sălile de cazane aferente sistemului de încălzire centrală se separă de restul construcției existente prin pereți și planșee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la foc conform reglementărilor specifice, dar minimum 1 oră și 30 de minute (pereți </w:t>
      </w:r>
      <w:r>
        <w:rPr>
          <w:rFonts w:eastAsia="Calibri"/>
          <w:b/>
          <w:bCs/>
          <w:i/>
          <w:sz w:val="24"/>
          <w:szCs w:val="24"/>
          <w:shd w:val="clear" w:color="auto" w:fill="FFFFFF"/>
        </w:rPr>
        <w:t>EI/REI90</w:t>
      </w:r>
      <w:r>
        <w:rPr>
          <w:rFonts w:eastAsia="Calibri"/>
          <w:i/>
          <w:sz w:val="24"/>
          <w:szCs w:val="24"/>
          <w:shd w:val="clear" w:color="auto" w:fill="FFFFFF"/>
        </w:rPr>
        <w:t xml:space="preserve"> și planșee </w:t>
      </w:r>
      <w:r>
        <w:rPr>
          <w:rFonts w:eastAsia="Calibri"/>
          <w:b/>
          <w:bCs/>
          <w:i/>
          <w:sz w:val="24"/>
          <w:szCs w:val="24"/>
          <w:shd w:val="clear" w:color="auto" w:fill="FFFFFF"/>
        </w:rPr>
        <w:t>REI90</w:t>
      </w:r>
      <w:r>
        <w:rPr>
          <w:rFonts w:eastAsia="Calibri"/>
          <w:i/>
          <w:sz w:val="24"/>
          <w:szCs w:val="24"/>
          <w:shd w:val="clear" w:color="auto" w:fill="FFFFFF"/>
        </w:rPr>
        <w:t xml:space="preserve">). În pereții de separare se admit goluri de comunicare cu restui construcției existente, protejate cu uși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minimum 15 minute (</w:t>
      </w:r>
      <w:r>
        <w:rPr>
          <w:rFonts w:eastAsia="Calibri"/>
          <w:b/>
          <w:bCs/>
          <w:i/>
          <w:sz w:val="24"/>
          <w:szCs w:val="24"/>
          <w:shd w:val="clear" w:color="auto" w:fill="FFFFFF"/>
        </w:rPr>
        <w:t>EI15</w:t>
      </w:r>
      <w:r>
        <w:rPr>
          <w:rFonts w:eastAsia="Calibri"/>
          <w:i/>
          <w:sz w:val="24"/>
          <w:szCs w:val="24"/>
          <w:shd w:val="clear" w:color="auto" w:fill="FFFFFF"/>
        </w:rPr>
        <w:t>).</w:t>
      </w:r>
    </w:p>
    <w:p w14:paraId="47E71B53" w14:textId="77777777" w:rsidR="001C08A5" w:rsidRDefault="00000000">
      <w:pPr>
        <w:shd w:val="clear" w:color="auto" w:fill="FFFFFF"/>
        <w:spacing w:after="150"/>
        <w:jc w:val="both"/>
        <w:rPr>
          <w:rFonts w:eastAsia="Calibri"/>
          <w:b/>
          <w:bCs/>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2.4.49.</w:t>
      </w:r>
      <w:r>
        <w:rPr>
          <w:rFonts w:eastAsia="Calibri"/>
          <w:i/>
          <w:sz w:val="24"/>
          <w:szCs w:val="24"/>
          <w:shd w:val="clear" w:color="auto" w:fill="FFFFFF"/>
        </w:rPr>
        <w:t xml:space="preserve"> Încăperile pentru ventilatoare, filtre, camere de desprăfuire și cicloane, prin care se vehiculează gaze, vapori, praf sau deșeuri combustibile se separă funcțional față de restul clădirii existente prin elemente despărțitoare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la foc corespunzătoare, dar cel puțin 1 oră (pereți </w:t>
      </w:r>
      <w:r>
        <w:rPr>
          <w:rFonts w:eastAsia="Calibri"/>
          <w:b/>
          <w:bCs/>
          <w:i/>
          <w:sz w:val="24"/>
          <w:szCs w:val="24"/>
          <w:shd w:val="clear" w:color="auto" w:fill="FFFFFF"/>
        </w:rPr>
        <w:t>EI/REI60</w:t>
      </w:r>
      <w:r>
        <w:rPr>
          <w:rFonts w:eastAsia="Calibri"/>
          <w:i/>
          <w:sz w:val="24"/>
          <w:szCs w:val="24"/>
          <w:shd w:val="clear" w:color="auto" w:fill="FFFFFF"/>
        </w:rPr>
        <w:t xml:space="preserve"> și planșee </w:t>
      </w:r>
      <w:r>
        <w:rPr>
          <w:rFonts w:eastAsia="Calibri"/>
          <w:b/>
          <w:bCs/>
          <w:i/>
          <w:sz w:val="24"/>
          <w:szCs w:val="24"/>
          <w:shd w:val="clear" w:color="auto" w:fill="FFFFFF"/>
        </w:rPr>
        <w:t>REI60</w:t>
      </w:r>
      <w:r>
        <w:rPr>
          <w:rFonts w:eastAsia="Calibri"/>
          <w:i/>
          <w:sz w:val="24"/>
          <w:szCs w:val="24"/>
          <w:shd w:val="clear" w:color="auto" w:fill="FFFFFF"/>
        </w:rPr>
        <w:t xml:space="preserve">). Accesul la aceste încăperi, de regulă, trebuie să fie din exterior sau din încăperi fără riscuri sau pericole de incendiu (cu densitatea sarcinii termice mai mică de </w:t>
      </w:r>
      <w:r>
        <w:rPr>
          <w:rFonts w:eastAsia="Calibri"/>
          <w:b/>
          <w:bCs/>
          <w:i/>
          <w:sz w:val="24"/>
          <w:szCs w:val="24"/>
          <w:shd w:val="clear" w:color="auto" w:fill="FFFFFF"/>
        </w:rPr>
        <w:t>105MJ/m</w:t>
      </w:r>
      <w:r>
        <w:rPr>
          <w:rFonts w:eastAsia="Calibri"/>
          <w:b/>
          <w:bCs/>
          <w:i/>
          <w:sz w:val="24"/>
          <w:szCs w:val="24"/>
          <w:shd w:val="clear" w:color="auto" w:fill="FFFFFF"/>
          <w:vertAlign w:val="superscript"/>
        </w:rPr>
        <w:t>2</w:t>
      </w:r>
      <w:r>
        <w:rPr>
          <w:rFonts w:eastAsia="Calibri"/>
          <w:i/>
          <w:sz w:val="24"/>
          <w:szCs w:val="24"/>
          <w:shd w:val="clear" w:color="auto" w:fill="FFFFFF"/>
        </w:rPr>
        <w:t>).</w:t>
      </w:r>
    </w:p>
    <w:p w14:paraId="08101E2A" w14:textId="77777777" w:rsidR="001C08A5" w:rsidRDefault="00000000">
      <w:pPr>
        <w:pStyle w:val="Heading3"/>
        <w:rPr>
          <w:i/>
          <w:iCs/>
          <w:sz w:val="24"/>
          <w:szCs w:val="24"/>
        </w:rPr>
      </w:pPr>
      <w:bookmarkStart w:id="10602" w:name="_Toc7258"/>
      <w:bookmarkStart w:id="10603" w:name="_Toc7257"/>
      <w:bookmarkStart w:id="10604" w:name="_Toc24304"/>
      <w:bookmarkStart w:id="10605" w:name="_Toc31293"/>
      <w:bookmarkStart w:id="10606" w:name="_Toc162355551"/>
      <w:bookmarkStart w:id="10607" w:name="_Toc9950"/>
      <w:r>
        <w:rPr>
          <w:i/>
          <w:iCs/>
          <w:sz w:val="24"/>
          <w:szCs w:val="24"/>
        </w:rPr>
        <w:t>A.10. 2.5. CĂI DE EVACUARE ÎN CAZ DE INCENDIU</w:t>
      </w:r>
      <w:bookmarkEnd w:id="10602"/>
      <w:bookmarkEnd w:id="10603"/>
      <w:bookmarkEnd w:id="10604"/>
      <w:bookmarkEnd w:id="10605"/>
      <w:bookmarkEnd w:id="10606"/>
      <w:bookmarkEnd w:id="10607"/>
    </w:p>
    <w:p w14:paraId="6D61F105" w14:textId="77777777" w:rsidR="001C08A5" w:rsidRDefault="00000000">
      <w:pPr>
        <w:pStyle w:val="Heading4"/>
        <w:rPr>
          <w:sz w:val="24"/>
          <w:szCs w:val="24"/>
        </w:rPr>
      </w:pPr>
      <w:bookmarkStart w:id="10608" w:name="_Toc2287"/>
      <w:bookmarkStart w:id="10609" w:name="_Toc9187"/>
      <w:bookmarkStart w:id="10610" w:name="_Toc9495"/>
      <w:bookmarkStart w:id="10611" w:name="_Toc24371"/>
      <w:bookmarkStart w:id="10612" w:name="_Toc162355552"/>
      <w:bookmarkStart w:id="10613" w:name="_Toc30035"/>
      <w:r>
        <w:rPr>
          <w:sz w:val="24"/>
          <w:szCs w:val="24"/>
        </w:rPr>
        <w:t>Dispoziții generale</w:t>
      </w:r>
      <w:bookmarkEnd w:id="10608"/>
      <w:bookmarkEnd w:id="10609"/>
      <w:bookmarkEnd w:id="10610"/>
      <w:bookmarkEnd w:id="10611"/>
      <w:bookmarkEnd w:id="10612"/>
      <w:bookmarkEnd w:id="10613"/>
    </w:p>
    <w:p w14:paraId="61683CC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w:t>
      </w:r>
      <w:r>
        <w:rPr>
          <w:rFonts w:eastAsia="Calibri"/>
          <w:i/>
          <w:sz w:val="24"/>
          <w:szCs w:val="24"/>
          <w:shd w:val="clear" w:color="auto" w:fill="FFFFFF"/>
        </w:rPr>
        <w:t xml:space="preserve"> În construcții existente, compartimente de incendiu existente, încăperi și alte spații construite vor fi asigurate căi de evacuare prin care, în caz de incendiu, persoanele să poată ajunge în exterior la nivelul terenului sau al unor suprafețe carosabile, în timpul cel mai scurt și în condiții de deplină siguranță. Pentru circulațiile funcționale aferente locurilor în care prezența oamenilor </w:t>
      </w:r>
      <w:r>
        <w:rPr>
          <w:rFonts w:eastAsia="Calibri"/>
          <w:i/>
          <w:sz w:val="24"/>
          <w:szCs w:val="24"/>
          <w:shd w:val="clear" w:color="auto" w:fill="FFFFFF"/>
        </w:rPr>
        <w:lastRenderedPageBreak/>
        <w:t xml:space="preserve">apare întâmplător </w:t>
      </w:r>
      <w:r>
        <w:rPr>
          <w:rFonts w:eastAsia="Calibri"/>
          <w:i/>
          <w:sz w:val="24"/>
          <w:szCs w:val="24"/>
          <w:shd w:val="clear" w:color="auto" w:fill="FFFFFF"/>
        </w:rPr>
        <w:softHyphen/>
        <w:t xml:space="preserve"> sunt vizitate de cel mult </w:t>
      </w:r>
      <w:r>
        <w:rPr>
          <w:rFonts w:eastAsia="Calibri"/>
          <w:b/>
          <w:bCs/>
          <w:i/>
          <w:sz w:val="24"/>
          <w:szCs w:val="24"/>
          <w:shd w:val="clear" w:color="auto" w:fill="FFFFFF"/>
        </w:rPr>
        <w:t>8</w:t>
      </w:r>
      <w:r>
        <w:rPr>
          <w:rFonts w:eastAsia="Calibri"/>
          <w:i/>
          <w:sz w:val="24"/>
          <w:szCs w:val="24"/>
          <w:shd w:val="clear" w:color="auto" w:fill="FFFFFF"/>
        </w:rPr>
        <w:t xml:space="preserve"> ori pe schimb pentru verificări, precum și al încăperilor pentru fumat sau ale grupurilor sanitare, condițiile prevăzute pentru căile de evacuare nu sunt obligatorii.</w:t>
      </w:r>
    </w:p>
    <w:p w14:paraId="76EFC6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w:t>
      </w:r>
      <w:r>
        <w:rPr>
          <w:rFonts w:eastAsia="Calibri"/>
          <w:i/>
          <w:sz w:val="24"/>
          <w:szCs w:val="24"/>
          <w:shd w:val="clear" w:color="auto" w:fill="FFFFFF"/>
        </w:rPr>
        <w:t> Căile de circulație prevăzute pentru funcționarea normală a construcțiilor existente trebuie să asigure și evacuarea persoanelor în caz de incendiu. Căi special destinate evacuării se prevăd numai atunci când cele funcționale sunt insuficiente sau nu pot satisface condițiile de siguranță la foc.</w:t>
      </w:r>
    </w:p>
    <w:p w14:paraId="67A6B44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w:t>
      </w:r>
      <w:r>
        <w:rPr>
          <w:rFonts w:eastAsia="Calibri"/>
          <w:i/>
          <w:sz w:val="24"/>
          <w:szCs w:val="24"/>
          <w:shd w:val="clear" w:color="auto" w:fill="FFFFFF"/>
        </w:rPr>
        <w:t> Prevederile din anexă constituie condiții obligatorii la proiectarea și realizarea căilor de evacuare a persoanelor din construcțiile existente al căror finisaj interior este executat din materiale tradiționale: piatră, ceramică, sticlă, lemn, metal. În cazul materialelor de finisaj care în comparație cu lemnul se aprind mai ușor, propagă flacăra la suprafață mai rapid sau emană mai mult fum ori gaze, prin proiect se vor lua măsuri suplimentare de protecție, în conformitate cu specificațiile tehnice ale produselor respective.</w:t>
      </w:r>
    </w:p>
    <w:p w14:paraId="015E7CA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w:t>
      </w:r>
      <w:r>
        <w:rPr>
          <w:rFonts w:eastAsia="Calibri"/>
          <w:i/>
          <w:sz w:val="24"/>
          <w:szCs w:val="24"/>
          <w:shd w:val="clear" w:color="auto" w:fill="FFFFFF"/>
        </w:rPr>
        <w:t> Căi de evacuare în caz de incendiu sunt considerate circulațiile libere care, îndeplinind condițiile stabilite prin prezentul normativ și anexă, asigură evacuarea prin uși, coridoare, degajamente holuri sau vestibuluri la nivelul terenului sau al unor suprafețe carosabile astfel: direct; prin case de scări de evacuare; prin terase; balcoane; logii,pasaje de evacuare.</w:t>
      </w:r>
    </w:p>
    <w:p w14:paraId="20E003D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w:t>
      </w:r>
      <w:r>
        <w:rPr>
          <w:rFonts w:eastAsia="Calibri"/>
          <w:i/>
          <w:sz w:val="24"/>
          <w:szCs w:val="24"/>
          <w:shd w:val="clear" w:color="auto" w:fill="FFFFFF"/>
        </w:rPr>
        <w:t> Căi de evacuare pot fi considerate și cele care trec prin încăperi sau spații din clădiri existente civile (publice) sau de producție, în conformitate și cu respectarea condițiilor din normativ și prezenta anexă.</w:t>
      </w:r>
    </w:p>
    <w:p w14:paraId="4D00BA7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w:t>
      </w:r>
      <w:r>
        <w:rPr>
          <w:rFonts w:eastAsia="Calibri"/>
          <w:i/>
          <w:sz w:val="24"/>
          <w:szCs w:val="24"/>
          <w:shd w:val="clear" w:color="auto" w:fill="FFFFFF"/>
        </w:rPr>
        <w:t> Nu constituie căi de evacuare în caz de incendiu, în general: ascensoarele; trecerile prin uși antifoc care se pot bloca în poziția închisă sau prin uși încuiate în timpul funcționării normale a clădirii existente; trecerile destinate garniturilor de tren care transportă încărcături periculoase; galeriile, tunelurile, etc. prin care se transportă sau vehiculează substanțe cu pericol de incendiu, explozie, intoxicare, asfixiere cu abur cu presiune mai mare de 1 atm.</w:t>
      </w:r>
    </w:p>
    <w:p w14:paraId="2FFDEDF0"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2.5.7.</w:t>
      </w:r>
      <w:r>
        <w:rPr>
          <w:rFonts w:eastAsia="Calibri"/>
          <w:i/>
          <w:sz w:val="24"/>
          <w:szCs w:val="24"/>
          <w:shd w:val="clear" w:color="auto" w:fill="FFFFFF"/>
        </w:rPr>
        <w:t> Ușile încuiate în timpul funcționării normale, pot constitui a doua cale de evacuare a unei porțiuni din construcție sau a întregii construcții existente, cu excepția sălilor aglomerate, dacă:</w:t>
      </w:r>
    </w:p>
    <w:p w14:paraId="3B9DE0A9" w14:textId="77777777" w:rsidR="001C08A5" w:rsidRDefault="00000000">
      <w:pPr>
        <w:shd w:val="clear" w:color="auto" w:fill="FFFFFF"/>
        <w:spacing w:after="150"/>
        <w:ind w:left="144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alcătuirea și dimensionarea lor corespund prevederilor din </w:t>
      </w:r>
      <w:r>
        <w:rPr>
          <w:rFonts w:eastAsia="Calibri"/>
          <w:i/>
          <w:sz w:val="24"/>
          <w:szCs w:val="24"/>
          <w:shd w:val="clear" w:color="auto" w:fill="FFFFFF"/>
        </w:rPr>
        <w:t>prezenta anexă</w:t>
      </w:r>
      <w:r>
        <w:rPr>
          <w:rFonts w:eastAsia="Calibri"/>
          <w:i/>
          <w:sz w:val="24"/>
          <w:szCs w:val="24"/>
          <w:shd w:val="clear" w:color="auto" w:fill="FFFFFF"/>
          <w:lang w:val="en-US" w:eastAsia="zh-CN" w:bidi="ar"/>
        </w:rPr>
        <w:t>;</w:t>
      </w:r>
    </w:p>
    <w:p w14:paraId="32C09062" w14:textId="77777777" w:rsidR="001C08A5" w:rsidRDefault="00000000">
      <w:pPr>
        <w:shd w:val="clear" w:color="auto" w:fill="FFFFFF"/>
        <w:spacing w:after="150"/>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sunt dotate cu sisteme de închidere - deschidere ușor manevrabile fără cheie, ce pot fi acționate din zona ce se evacuează sau sunt prevăzute cu panouri din sticlă securizată cu dimensiuni care să permită trecerea fluxurilor de evacuare și cu parapete de maximum 0,40 m. în cazul panourilor din sticlă, se vor prevedea mijloace de spargere și indicatoare corespunzătoare. Panourile din sticlă securizată astfel realizate potfi amplasate și independent, lângă uși, marcate corespunzător și astfel dispuse încât să fie ușor de recunoscut.</w:t>
      </w:r>
    </w:p>
    <w:p w14:paraId="206FC30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2.5.8.</w:t>
      </w:r>
      <w:r>
        <w:rPr>
          <w:rFonts w:eastAsia="Calibri"/>
          <w:i/>
          <w:sz w:val="24"/>
          <w:szCs w:val="24"/>
          <w:shd w:val="clear" w:color="auto" w:fill="FFFFFF"/>
        </w:rPr>
        <w:t xml:space="preserve"> Cea de a doua cale de evacuare poate fi constituită și din una sau mai multe ferestre (cu ochiuri mobile de min. </w:t>
      </w:r>
      <w:r>
        <w:rPr>
          <w:rFonts w:eastAsia="Calibri"/>
          <w:b/>
          <w:bCs/>
          <w:i/>
          <w:sz w:val="24"/>
          <w:szCs w:val="24"/>
          <w:shd w:val="clear" w:color="auto" w:fill="FFFFFF"/>
        </w:rPr>
        <w:t>75 cm</w:t>
      </w:r>
      <w:r>
        <w:rPr>
          <w:rFonts w:eastAsia="Calibri"/>
          <w:i/>
          <w:sz w:val="24"/>
          <w:szCs w:val="24"/>
          <w:shd w:val="clear" w:color="auto" w:fill="FFFFFF"/>
        </w:rPr>
        <w:t xml:space="preserve"> lățime și </w:t>
      </w:r>
      <w:r>
        <w:rPr>
          <w:rFonts w:eastAsia="Calibri"/>
          <w:b/>
          <w:bCs/>
          <w:i/>
          <w:sz w:val="24"/>
          <w:szCs w:val="24"/>
          <w:shd w:val="clear" w:color="auto" w:fill="FFFFFF"/>
        </w:rPr>
        <w:t>1,00 m</w:t>
      </w:r>
      <w:r>
        <w:rPr>
          <w:rFonts w:eastAsia="Calibri"/>
          <w:i/>
          <w:sz w:val="24"/>
          <w:szCs w:val="24"/>
          <w:shd w:val="clear" w:color="auto" w:fill="FFFFFF"/>
        </w:rPr>
        <w:t xml:space="preserve"> înălțime liberă), având parapetul la cel mult </w:t>
      </w:r>
      <w:r>
        <w:rPr>
          <w:rFonts w:eastAsia="Calibri"/>
          <w:b/>
          <w:bCs/>
          <w:i/>
          <w:sz w:val="24"/>
          <w:szCs w:val="24"/>
          <w:shd w:val="clear" w:color="auto" w:fill="FFFFFF"/>
        </w:rPr>
        <w:t>1,50 m</w:t>
      </w:r>
      <w:r>
        <w:rPr>
          <w:rFonts w:eastAsia="Calibri"/>
          <w:i/>
          <w:sz w:val="24"/>
          <w:szCs w:val="24"/>
          <w:shd w:val="clear" w:color="auto" w:fill="FFFFFF"/>
        </w:rPr>
        <w:t xml:space="preserve"> deasupra nivelului terenului sau al unei terase prin care se poate face evacuarea la nivelul terenului, pentru:</w:t>
      </w:r>
    </w:p>
    <w:p w14:paraId="7A9A1C63"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xml:space="preserve"> încăperile supraterane cu cel mult </w:t>
      </w:r>
      <w:r>
        <w:rPr>
          <w:rFonts w:eastAsia="Calibri"/>
          <w:b/>
          <w:bCs/>
          <w:i/>
          <w:sz w:val="24"/>
          <w:szCs w:val="24"/>
          <w:shd w:val="clear" w:color="auto" w:fill="FFFFFF"/>
        </w:rPr>
        <w:t>50</w:t>
      </w:r>
      <w:r>
        <w:rPr>
          <w:rFonts w:eastAsia="Calibri"/>
          <w:i/>
          <w:sz w:val="24"/>
          <w:szCs w:val="24"/>
          <w:shd w:val="clear" w:color="auto" w:fill="FFFFFF"/>
        </w:rPr>
        <w:t xml:space="preserve"> de persoane;</w:t>
      </w:r>
    </w:p>
    <w:p w14:paraId="0540064B"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xml:space="preserve"> încăperile situate la subsol sau demisol, dacă pe întreg nivelul există cel mult 30 de persoane și se asigură în interior scări fixe de acces la parapetele mai înalte de 1,20 m. La aceste încăperi se admit și trape de min. </w:t>
      </w:r>
      <w:r>
        <w:rPr>
          <w:rFonts w:eastAsia="Calibri"/>
          <w:b/>
          <w:bCs/>
          <w:i/>
          <w:sz w:val="24"/>
          <w:szCs w:val="24"/>
          <w:shd w:val="clear" w:color="auto" w:fill="FFFFFF"/>
        </w:rPr>
        <w:t>80 cm</w:t>
      </w:r>
      <w:r>
        <w:rPr>
          <w:rFonts w:eastAsia="Calibri"/>
          <w:i/>
          <w:sz w:val="24"/>
          <w:szCs w:val="24"/>
          <w:shd w:val="clear" w:color="auto" w:fill="FFFFFF"/>
        </w:rPr>
        <w:t xml:space="preserve"> x </w:t>
      </w:r>
      <w:r>
        <w:rPr>
          <w:rFonts w:eastAsia="Calibri"/>
          <w:b/>
          <w:bCs/>
          <w:i/>
          <w:sz w:val="24"/>
          <w:szCs w:val="24"/>
          <w:shd w:val="clear" w:color="auto" w:fill="FFFFFF"/>
        </w:rPr>
        <w:t>80 cm</w:t>
      </w:r>
      <w:r>
        <w:rPr>
          <w:rFonts w:eastAsia="Calibri"/>
          <w:i/>
          <w:sz w:val="24"/>
          <w:szCs w:val="24"/>
          <w:shd w:val="clear" w:color="auto" w:fill="FFFFFF"/>
        </w:rPr>
        <w:t xml:space="preserve"> prevăzute în interior cu scări fixe de acces care asigură evacuarea direct din exterior.</w:t>
      </w:r>
    </w:p>
    <w:p w14:paraId="043E1655"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La clădiri existente înalte, foarte înalte și săli aglomerate nu este admisă asigurarea prin ferestre a celei de a doua cale de evacuare.</w:t>
      </w:r>
    </w:p>
    <w:p w14:paraId="5CEB7F5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2.5.9.</w:t>
      </w:r>
      <w:r>
        <w:rPr>
          <w:rFonts w:eastAsia="Calibri"/>
          <w:i/>
          <w:sz w:val="24"/>
          <w:szCs w:val="24"/>
          <w:shd w:val="clear" w:color="auto" w:fill="FFFFFF"/>
        </w:rPr>
        <w:t> Alcătuirea elementelor de construcție și a finisajelor utilizate pe căile de evacuare, se vor stabili în conformitate cu prevederile normativului și ale prezentei anexe.</w:t>
      </w:r>
    </w:p>
    <w:p w14:paraId="5181ED5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2.5.10.</w:t>
      </w:r>
      <w:r>
        <w:rPr>
          <w:rFonts w:eastAsia="Calibri"/>
          <w:i/>
          <w:sz w:val="24"/>
          <w:szCs w:val="24"/>
          <w:shd w:val="clear" w:color="auto" w:fill="FFFFFF"/>
        </w:rPr>
        <w:t> Traseele căilor de evacuare trebuie să fie distincte și independente, astfel stabilite încât să asigure distribuția lor judicioasă, posibilitatea ca persoanele să recunoască cu ușurință traseul spre exterior, precum și circulația lesnicioasă. Căile de evacuare, nu trebuie să conducă spre exterior prin locuri în care circulația poate fi blocată în caz de incendiu datorită flăcărilor, fumului, radiațiilor termice, etc.</w:t>
      </w:r>
    </w:p>
    <w:p w14:paraId="007C4682" w14:textId="77777777" w:rsidR="001C08A5" w:rsidRDefault="00000000">
      <w:pPr>
        <w:pStyle w:val="Heading4"/>
        <w:rPr>
          <w:sz w:val="24"/>
          <w:szCs w:val="24"/>
        </w:rPr>
      </w:pPr>
      <w:bookmarkStart w:id="10614" w:name="_Toc28333"/>
      <w:bookmarkStart w:id="10615" w:name="_Toc29421"/>
      <w:bookmarkStart w:id="10616" w:name="_Toc162355553"/>
      <w:bookmarkStart w:id="10617" w:name="_Toc20315"/>
      <w:bookmarkStart w:id="10618" w:name="_Toc16787"/>
      <w:bookmarkStart w:id="10619" w:name="_Toc4377"/>
      <w:r>
        <w:rPr>
          <w:sz w:val="24"/>
          <w:szCs w:val="24"/>
        </w:rPr>
        <w:t>Număr căi de evacuare</w:t>
      </w:r>
      <w:bookmarkEnd w:id="10614"/>
      <w:bookmarkEnd w:id="10615"/>
      <w:bookmarkEnd w:id="10616"/>
      <w:bookmarkEnd w:id="10617"/>
      <w:bookmarkEnd w:id="10618"/>
      <w:bookmarkEnd w:id="10619"/>
    </w:p>
    <w:p w14:paraId="3AA9996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2.5.11.</w:t>
      </w:r>
      <w:r>
        <w:rPr>
          <w:rFonts w:eastAsia="Calibri"/>
          <w:i/>
          <w:sz w:val="24"/>
          <w:szCs w:val="24"/>
          <w:shd w:val="clear" w:color="auto" w:fill="FFFFFF"/>
        </w:rPr>
        <w:t xml:space="preserve"> În construcții existente, compartimente de incendiu existente sau porțiuni de construcții existente independente din punctul de vedere al circulației, de regulă, persoanele trebuie să aibă acces la cel puțin două căi de evacuare, care pe cât posibil, să ducă în direcții opuse. A doua cale de evacuare poate fi constituită din ferestre sau trape exterioare dacă prin acestea se asigură evacuarea în condiții corespunzătoare de siguranță a persoanelor, conform prevederilor anexei, Art. </w:t>
      </w:r>
      <w:r>
        <w:rPr>
          <w:rFonts w:eastAsia="Calibri"/>
          <w:b/>
          <w:i/>
          <w:sz w:val="24"/>
          <w:szCs w:val="24"/>
          <w:shd w:val="clear" w:color="auto" w:fill="FFFFFF"/>
        </w:rPr>
        <w:t xml:space="preserve">A.10. </w:t>
      </w:r>
      <w:r>
        <w:rPr>
          <w:rFonts w:eastAsia="Calibri"/>
          <w:b/>
          <w:bCs/>
          <w:i/>
          <w:sz w:val="24"/>
          <w:szCs w:val="24"/>
          <w:shd w:val="clear" w:color="auto" w:fill="FFFFFF"/>
        </w:rPr>
        <w:t>2.5.8.</w:t>
      </w:r>
    </w:p>
    <w:p w14:paraId="176EFCC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2.5.12.</w:t>
      </w:r>
      <w:r>
        <w:rPr>
          <w:rFonts w:eastAsia="Calibri"/>
          <w:i/>
          <w:sz w:val="24"/>
          <w:szCs w:val="24"/>
          <w:shd w:val="clear" w:color="auto" w:fill="FFFFFF"/>
        </w:rPr>
        <w:t> Asigurarea unei singure căi de evacuare este admisă atunci când conform proiectului, la fiecare nivel se pot afla simultan maximum 20 de persoane - indiferent de lungimea de evacuare realizată, precum și în cazurile în care numărul persoanelor este mai mare dar lungimea traseului de evacuare se înscrie valoarea admisă pentru coridoare înfundate, în funcție de nivelul de stabilitate la incendiu, risc de incendiu, tip de clădire existentă, și destinație, conform prevederilor din prezenta anexă. La clădirile existente înalte, foarte înalte și sălile aglomerate, precum și în situațiile stabilite în normativ și prezenta anexă, sunt obligatorii minimum două căi de evacuare.</w:t>
      </w:r>
    </w:p>
    <w:p w14:paraId="17E3527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2.5.13.</w:t>
      </w:r>
      <w:r>
        <w:rPr>
          <w:rFonts w:eastAsia="Calibri"/>
          <w:i/>
          <w:sz w:val="24"/>
          <w:szCs w:val="24"/>
          <w:shd w:val="clear" w:color="auto" w:fill="FFFFFF"/>
        </w:rPr>
        <w:t> Alcătuirea și gabaritele căilor de evacuare, lungimea de evacuare, traseele, precum și numărul de fluxuri de evacuare, trebuie să asigure circulația lesnicioasă și fără obstacole, conform prevederilor anexei.</w:t>
      </w:r>
    </w:p>
    <w:p w14:paraId="06DFEE69" w14:textId="77777777" w:rsidR="001C08A5" w:rsidRDefault="00000000">
      <w:pPr>
        <w:pStyle w:val="Heading4"/>
        <w:rPr>
          <w:sz w:val="24"/>
          <w:szCs w:val="24"/>
        </w:rPr>
      </w:pPr>
      <w:bookmarkStart w:id="10620" w:name="_Toc22268"/>
      <w:bookmarkStart w:id="10621" w:name="_Toc162355554"/>
      <w:bookmarkStart w:id="10622" w:name="_Toc11919"/>
      <w:bookmarkStart w:id="10623" w:name="_Toc26788"/>
      <w:bookmarkStart w:id="10624" w:name="_Toc28031"/>
      <w:bookmarkStart w:id="10625" w:name="_Toc25135"/>
      <w:r>
        <w:rPr>
          <w:sz w:val="24"/>
          <w:szCs w:val="24"/>
        </w:rPr>
        <w:t>Alcătuirea căilor de evacuare</w:t>
      </w:r>
      <w:bookmarkEnd w:id="10620"/>
      <w:bookmarkEnd w:id="10621"/>
      <w:bookmarkEnd w:id="10622"/>
      <w:bookmarkEnd w:id="10623"/>
      <w:bookmarkEnd w:id="10624"/>
      <w:bookmarkEnd w:id="10625"/>
    </w:p>
    <w:p w14:paraId="57C9EEAF" w14:textId="77777777" w:rsidR="001C08A5" w:rsidRDefault="00000000">
      <w:pPr>
        <w:pStyle w:val="Heading5"/>
        <w:rPr>
          <w:sz w:val="24"/>
          <w:szCs w:val="24"/>
          <w:lang w:val="ro-RO"/>
        </w:rPr>
      </w:pPr>
      <w:bookmarkStart w:id="10626" w:name="_Toc162355555"/>
      <w:bookmarkStart w:id="10627" w:name="_Toc463"/>
      <w:bookmarkStart w:id="10628" w:name="_Toc15624"/>
      <w:bookmarkStart w:id="10629" w:name="_Toc6831"/>
      <w:bookmarkStart w:id="10630" w:name="_Toc7007"/>
      <w:bookmarkStart w:id="10631" w:name="_Toc24704"/>
      <w:r>
        <w:rPr>
          <w:sz w:val="24"/>
          <w:szCs w:val="24"/>
          <w:lang w:val="ro-RO"/>
        </w:rPr>
        <w:t>Uși</w:t>
      </w:r>
      <w:bookmarkEnd w:id="10626"/>
      <w:bookmarkEnd w:id="10627"/>
      <w:bookmarkEnd w:id="10628"/>
      <w:bookmarkEnd w:id="10629"/>
      <w:bookmarkEnd w:id="10630"/>
      <w:bookmarkEnd w:id="10631"/>
    </w:p>
    <w:p w14:paraId="78D6A6C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2.5.14.</w:t>
      </w:r>
      <w:r>
        <w:rPr>
          <w:rFonts w:eastAsia="Calibri"/>
          <w:i/>
          <w:sz w:val="24"/>
          <w:szCs w:val="24"/>
          <w:shd w:val="clear" w:color="auto" w:fill="FFFFFF"/>
        </w:rPr>
        <w:t> Ușile folosite pe căile de evacuare trebuie să fie cu deschidere de tip obișnuit, pe balamale sau pivoți.</w:t>
      </w:r>
    </w:p>
    <w:p w14:paraId="5DC9467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2.5.15.</w:t>
      </w:r>
      <w:r>
        <w:rPr>
          <w:rFonts w:eastAsia="Calibri"/>
          <w:i/>
          <w:sz w:val="24"/>
          <w:szCs w:val="24"/>
          <w:shd w:val="clear" w:color="auto" w:fill="FFFFFF"/>
        </w:rPr>
        <w:t xml:space="preserve"> Pe căile de evacuare nu se admite utilizarea ușilor care se pot bloca datorită funcționării defectuoase a mecanismelor lor auxiliare, precum și ușile de tip glisant, ghilotină, basculant, etc. Fac excepție ușile pentru maximum </w:t>
      </w:r>
      <w:r>
        <w:rPr>
          <w:rFonts w:eastAsia="Calibri"/>
          <w:b/>
          <w:bCs/>
          <w:i/>
          <w:sz w:val="24"/>
          <w:szCs w:val="24"/>
          <w:shd w:val="clear" w:color="auto" w:fill="FFFFFF"/>
        </w:rPr>
        <w:t>5</w:t>
      </w:r>
      <w:r>
        <w:rPr>
          <w:rFonts w:eastAsia="Calibri"/>
          <w:i/>
          <w:sz w:val="24"/>
          <w:szCs w:val="24"/>
          <w:shd w:val="clear" w:color="auto" w:fill="FFFFFF"/>
        </w:rPr>
        <w:t xml:space="preserve"> persoane capabile să se evacueze singure, precum și cazurile prevăzute în prezenta anexă. Ușile pliante și cele turnante (cu foi care pot fi ușor pliate) pot fi folosite pe căile de evacuare numai dacă în acestea sau în imediata lor apropiere sunt prevăzute uși pietonale obișnuite (pe balamale) sau panouri din sticlă securizată conform Art. </w:t>
      </w:r>
      <w:r>
        <w:rPr>
          <w:rFonts w:eastAsia="Calibri"/>
          <w:b/>
          <w:i/>
          <w:sz w:val="24"/>
          <w:szCs w:val="24"/>
          <w:shd w:val="clear" w:color="auto" w:fill="FFFFFF"/>
        </w:rPr>
        <w:t xml:space="preserve">A.10. </w:t>
      </w:r>
      <w:r>
        <w:rPr>
          <w:rFonts w:eastAsia="Calibri"/>
          <w:b/>
          <w:bCs/>
          <w:i/>
          <w:sz w:val="24"/>
          <w:szCs w:val="24"/>
          <w:shd w:val="clear" w:color="auto" w:fill="FFFFFF"/>
        </w:rPr>
        <w:t>2.5.5.</w:t>
      </w:r>
      <w:r>
        <w:rPr>
          <w:rFonts w:eastAsia="Calibri"/>
          <w:i/>
          <w:sz w:val="24"/>
          <w:szCs w:val="24"/>
          <w:shd w:val="clear" w:color="auto" w:fill="FFFFFF"/>
        </w:rPr>
        <w:t> </w:t>
      </w:r>
    </w:p>
    <w:p w14:paraId="0DA1D86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2.5.16.</w:t>
      </w:r>
      <w:r>
        <w:rPr>
          <w:rFonts w:eastAsia="Calibri"/>
          <w:i/>
          <w:sz w:val="24"/>
          <w:szCs w:val="24"/>
          <w:shd w:val="clear" w:color="auto" w:fill="FFFFFF"/>
        </w:rPr>
        <w:t xml:space="preserve"> Deschiderea ușilor de pe traseul evacuării, de regulă trebuie să se facă în sensul deplasării oamenilor spre exterior, cu excepția ușilor prin care se evacuează cel mult </w:t>
      </w:r>
      <w:r>
        <w:rPr>
          <w:rFonts w:eastAsia="Calibri"/>
          <w:b/>
          <w:bCs/>
          <w:i/>
          <w:sz w:val="24"/>
          <w:szCs w:val="24"/>
          <w:shd w:val="clear" w:color="auto" w:fill="FFFFFF"/>
        </w:rPr>
        <w:t>30</w:t>
      </w:r>
      <w:r>
        <w:rPr>
          <w:rFonts w:eastAsia="Calibri"/>
          <w:i/>
          <w:sz w:val="24"/>
          <w:szCs w:val="24"/>
          <w:shd w:val="clear" w:color="auto" w:fill="FFFFFF"/>
        </w:rPr>
        <w:t xml:space="preserve"> de persoane valide și a cazurilor prevăzute în prezenta anexă.</w:t>
      </w:r>
    </w:p>
    <w:p w14:paraId="14F749E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2.5.17.</w:t>
      </w:r>
      <w:r>
        <w:rPr>
          <w:rFonts w:eastAsia="Calibri"/>
          <w:i/>
          <w:sz w:val="24"/>
          <w:szCs w:val="24"/>
          <w:shd w:val="clear" w:color="auto" w:fill="FFFFFF"/>
        </w:rPr>
        <w:t> Prin deschidere, ușile de evacuare nu trebuie să se împiedice una de alta sau să stânjenească evacuarea.</w:t>
      </w:r>
    </w:p>
    <w:p w14:paraId="6DDAC0A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2.5.18.</w:t>
      </w:r>
      <w:r>
        <w:rPr>
          <w:rFonts w:eastAsia="Calibri"/>
          <w:i/>
          <w:sz w:val="24"/>
          <w:szCs w:val="24"/>
          <w:shd w:val="clear" w:color="auto" w:fill="FFFFFF"/>
        </w:rPr>
        <w:t> În dreptul ușilor de evacuare nu se admit praguri cu înălțimea mai mare de 2,5 cm. Dacă acestea sunt necesare, se vor racorda la pardoseală prin pante. În situațiile admise de prezenta anexă ușile de evacuare practicate în alte uși cu dimensiuni mari, pot avea praguri cu înălțimea cât mai mică, dar nu mai mult de 40 cm.</w:t>
      </w:r>
    </w:p>
    <w:p w14:paraId="7C1E17DD" w14:textId="77777777" w:rsidR="001C08A5" w:rsidRDefault="00000000">
      <w:pPr>
        <w:pStyle w:val="Heading5"/>
        <w:rPr>
          <w:sz w:val="24"/>
          <w:szCs w:val="24"/>
          <w:lang w:val="ro-RO"/>
        </w:rPr>
      </w:pPr>
      <w:bookmarkStart w:id="10632" w:name="_Toc32069"/>
      <w:bookmarkStart w:id="10633" w:name="_Toc26617"/>
      <w:bookmarkStart w:id="10634" w:name="_Toc5637"/>
      <w:bookmarkStart w:id="10635" w:name="_Toc28103"/>
      <w:bookmarkStart w:id="10636" w:name="_Toc162355556"/>
      <w:bookmarkStart w:id="10637" w:name="_Toc27366"/>
      <w:r>
        <w:rPr>
          <w:sz w:val="24"/>
          <w:szCs w:val="24"/>
          <w:lang w:val="ro-RO"/>
        </w:rPr>
        <w:t>Scări interioare</w:t>
      </w:r>
      <w:bookmarkEnd w:id="10632"/>
      <w:bookmarkEnd w:id="10633"/>
      <w:bookmarkEnd w:id="10634"/>
      <w:bookmarkEnd w:id="10635"/>
      <w:bookmarkEnd w:id="10636"/>
      <w:bookmarkEnd w:id="10637"/>
    </w:p>
    <w:p w14:paraId="29867EE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2.5.19.</w:t>
      </w:r>
      <w:r>
        <w:rPr>
          <w:rFonts w:eastAsia="Calibri"/>
          <w:i/>
          <w:sz w:val="24"/>
          <w:szCs w:val="24"/>
          <w:shd w:val="clear" w:color="auto" w:fill="FFFFFF"/>
        </w:rPr>
        <w:t> Scările interioare existente pot fi închise (amplasate în case proprii de scară) sau deschise (amplasate în holuri, vestibuluri, atriumuri, etc.) potrivit prevederilor prezentei anexe. Scările de evacuare, de regulă, trebuie să se ducă, pe aceeași verticală, de la ultimul nivel pentru care asigură evacuarea, până la nivelul ieșirii în exterior la nivelul terenului ori al unor suprafețe exterioare carosabile, sau pe o terasă de pe care evacuarea poate fi continuată până la nivelul terenului. Persoanele intrate în casa scării, trebuie să poată ajunge fără a o mai părăsi, până la nivelul ieșirii în exterior. Fac excepție scările din interiorul apartamentelorde locuit și scările întrerupte la care evacuarea din punctul de întrerupere până la nivelul terenului poate fi continuată în siguranță prin terase sau prin alte case de scări sau holuri cu acces direct în exterior. Legătura directă între două scări interioare întrerupte, trebuie să se realizeze printr-un palier comun.</w:t>
      </w:r>
    </w:p>
    <w:p w14:paraId="27BE78D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2.5.20.</w:t>
      </w:r>
      <w:r>
        <w:rPr>
          <w:rFonts w:eastAsia="Calibri"/>
          <w:i/>
          <w:sz w:val="24"/>
          <w:szCs w:val="24"/>
          <w:shd w:val="clear" w:color="auto" w:fill="FFFFFF"/>
        </w:rPr>
        <w:t> Pentru a împiedica pătrunderea fumului pe căile de evacuare și propagarea incendiilor de la un nivel la altul, scările, indiferent dacă sunt luate sau nu în calcul la evacuare, de regulă, se separă de restul clădirii existente prin pereți și planșee alcătuite conform prezentei anexe. Scări interioare deschise sunt admise numai în cazurile și condițiile menționate în prezenta anexă. Închiderea casei scărilor trebuie să se facă astfel încât accesul persoanelor la cel puțin două scări de evacuare, acolo unde acestea sunt obligatorii, să fie posibil fără a se trece prin casa vreuneia din ele.</w:t>
      </w:r>
    </w:p>
    <w:p w14:paraId="512EE10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2.5.21.</w:t>
      </w:r>
      <w:r>
        <w:rPr>
          <w:rFonts w:eastAsia="Calibri"/>
          <w:i/>
          <w:sz w:val="24"/>
          <w:szCs w:val="24"/>
          <w:shd w:val="clear" w:color="auto" w:fill="FFFFFF"/>
        </w:rPr>
        <w:t> Holurile etajelor în care debușează liber scări de evacuare, pot fi asimilate cu casele de scări, dacă sunt destinate numai pentru circulație sau așteptare și dacă sunt separate față de restul construcției existente, conform prevederilor pentru casele de scări respective.</w:t>
      </w:r>
    </w:p>
    <w:p w14:paraId="0E7B3B8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2.5.22.</w:t>
      </w:r>
      <w:r>
        <w:rPr>
          <w:rFonts w:eastAsia="Calibri"/>
          <w:i/>
          <w:sz w:val="24"/>
          <w:szCs w:val="24"/>
          <w:shd w:val="clear" w:color="auto" w:fill="FFFFFF"/>
        </w:rPr>
        <w:t> În pereții interiori ai caselor de scări se pot practica numai goluri de acces la nivelurile construcției existente. Pentru iluminarea casei de scări, a vestibulurilor de etaj și a coridoarelor, se pot prevedea goluri numai în condițiile admise de prezenta anexă și protejate corespunzător.</w:t>
      </w:r>
    </w:p>
    <w:p w14:paraId="28A7AB8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2.5.23.</w:t>
      </w:r>
      <w:r>
        <w:rPr>
          <w:rFonts w:eastAsia="Calibri"/>
          <w:i/>
          <w:sz w:val="24"/>
          <w:szCs w:val="24"/>
          <w:shd w:val="clear" w:color="auto" w:fill="FFFFFF"/>
        </w:rPr>
        <w:t> Golurile de acces la casele de scări de evacuare, se protejează conform prevederilor normativului, de regulă prin: uși pline sau cu geam simplu sau armat, ori uși etanșe și rezistente la foc, sau încăperi tampon, în situațiile admise conform anexei și corespunzător realizate și echipate. În toate situațiile, ușile de acces la casele de scări, se prevăd cu sisteme de autoînchidere sau închidere automată, după caz, cu excepția celor de la clădirile de locuit existente care nu sunt clădiri înalte sau foarte înalte.</w:t>
      </w:r>
    </w:p>
    <w:p w14:paraId="436BE25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2.5.24.</w:t>
      </w:r>
      <w:r>
        <w:rPr>
          <w:rFonts w:eastAsia="Calibri"/>
          <w:i/>
          <w:sz w:val="24"/>
          <w:szCs w:val="24"/>
          <w:shd w:val="clear" w:color="auto" w:fill="FFFFFF"/>
        </w:rPr>
        <w:t xml:space="preserve"> Casele de scări de evacuare ale nivelurilor supraterane se recomandă să nu fie continuate în subsolul clădirilor existente, iar când aceasta nu este posibil sau justificat, se admite numai în condițiile stabilite la Art. </w:t>
      </w:r>
      <w:r>
        <w:rPr>
          <w:rFonts w:eastAsia="Calibri"/>
          <w:b/>
          <w:i/>
          <w:sz w:val="24"/>
          <w:szCs w:val="24"/>
          <w:shd w:val="clear" w:color="auto" w:fill="FFFFFF"/>
        </w:rPr>
        <w:t xml:space="preserve">A.10. </w:t>
      </w:r>
      <w:r>
        <w:rPr>
          <w:rFonts w:eastAsia="Calibri"/>
          <w:b/>
          <w:bCs/>
          <w:i/>
          <w:sz w:val="24"/>
          <w:szCs w:val="24"/>
          <w:shd w:val="clear" w:color="auto" w:fill="FFFFFF"/>
        </w:rPr>
        <w:t xml:space="preserve">2.5.25. </w:t>
      </w:r>
      <w:r>
        <w:rPr>
          <w:rFonts w:eastAsia="Calibri"/>
          <w:i/>
          <w:sz w:val="24"/>
          <w:szCs w:val="24"/>
          <w:shd w:val="clear" w:color="auto" w:fill="FFFFFF"/>
        </w:rPr>
        <w:t>pâna la</w:t>
      </w:r>
      <w:r>
        <w:rPr>
          <w:rFonts w:eastAsia="Calibri"/>
          <w:b/>
          <w:bCs/>
          <w:i/>
          <w:sz w:val="24"/>
          <w:szCs w:val="24"/>
          <w:shd w:val="clear" w:color="auto" w:fill="FFFFFF"/>
        </w:rPr>
        <w:t xml:space="preserve"> Art. </w:t>
      </w:r>
      <w:r>
        <w:rPr>
          <w:rFonts w:eastAsia="Calibri"/>
          <w:b/>
          <w:i/>
          <w:sz w:val="24"/>
          <w:szCs w:val="24"/>
          <w:shd w:val="clear" w:color="auto" w:fill="FFFFFF"/>
        </w:rPr>
        <w:t xml:space="preserve">A.10. </w:t>
      </w:r>
      <w:r>
        <w:rPr>
          <w:rFonts w:eastAsia="Calibri"/>
          <w:b/>
          <w:bCs/>
          <w:i/>
          <w:sz w:val="24"/>
          <w:szCs w:val="24"/>
          <w:shd w:val="clear" w:color="auto" w:fill="FFFFFF"/>
        </w:rPr>
        <w:t>2.5.28.</w:t>
      </w:r>
    </w:p>
    <w:p w14:paraId="1CD7C37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2.5.25.</w:t>
      </w:r>
      <w:r>
        <w:rPr>
          <w:rFonts w:eastAsia="Calibri"/>
          <w:i/>
          <w:sz w:val="24"/>
          <w:szCs w:val="24"/>
          <w:shd w:val="clear" w:color="auto" w:fill="FFFFFF"/>
        </w:rPr>
        <w:t xml:space="preserve"> Atunci când în subsolurile respective sunt numai încăperi cu risc mic de incendiu și au densitatea sarcinii termice rezultată din mobilier, finisaje și materiale adăpostite de maximum </w:t>
      </w:r>
      <w:r>
        <w:rPr>
          <w:rFonts w:eastAsia="Calibri"/>
          <w:b/>
          <w:bCs/>
          <w:i/>
          <w:sz w:val="24"/>
          <w:szCs w:val="24"/>
          <w:shd w:val="clear" w:color="auto" w:fill="FFFFFF"/>
        </w:rPr>
        <w:t>210 MJ/m</w:t>
      </w:r>
      <w:r>
        <w:rPr>
          <w:rFonts w:eastAsia="Calibri"/>
          <w:b/>
          <w:bCs/>
          <w:i/>
          <w:sz w:val="24"/>
          <w:szCs w:val="24"/>
          <w:shd w:val="clear" w:color="auto" w:fill="FFFFFF"/>
          <w:vertAlign w:val="superscript"/>
        </w:rPr>
        <w:t>2</w:t>
      </w:r>
      <w:r>
        <w:rPr>
          <w:rFonts w:eastAsia="Calibri"/>
          <w:i/>
          <w:sz w:val="24"/>
          <w:szCs w:val="24"/>
          <w:shd w:val="clear" w:color="auto" w:fill="FFFFFF"/>
        </w:rPr>
        <w:t>, scările de evacuare continuate la subsol, se separă în același mod ca la nivelurile supraterane, dacă în anexă nu se dispune altfel.</w:t>
      </w:r>
    </w:p>
    <w:p w14:paraId="1C731A48"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2.5.26.</w:t>
      </w:r>
      <w:r>
        <w:rPr>
          <w:rFonts w:eastAsia="Calibri"/>
          <w:i/>
          <w:sz w:val="24"/>
          <w:szCs w:val="24"/>
          <w:shd w:val="clear" w:color="auto" w:fill="FFFFFF"/>
        </w:rPr>
        <w:t xml:space="preserve"> În cazurile în care încăperile subterane au ferestre cu suprafața totală de min. </w:t>
      </w:r>
      <w:r>
        <w:rPr>
          <w:rFonts w:eastAsia="Calibri"/>
          <w:b/>
          <w:bCs/>
          <w:i/>
          <w:sz w:val="24"/>
          <w:szCs w:val="24"/>
          <w:shd w:val="clear" w:color="auto" w:fill="FFFFFF"/>
        </w:rPr>
        <w:t>1/100</w:t>
      </w:r>
      <w:r>
        <w:rPr>
          <w:rFonts w:eastAsia="Calibri"/>
          <w:i/>
          <w:sz w:val="24"/>
          <w:szCs w:val="24"/>
          <w:shd w:val="clear" w:color="auto" w:fill="FFFFFF"/>
        </w:rPr>
        <w:t xml:space="preserve"> din suprafața pardoselii și adăpostesc destinații (funcțiuni) similare celor de la nivelurile supraterane sau spații tehnice, depozite, ori ateliere de întreținere ocupând cel mult </w:t>
      </w:r>
      <w:r>
        <w:rPr>
          <w:rFonts w:eastAsia="Calibri"/>
          <w:b/>
          <w:bCs/>
          <w:i/>
          <w:sz w:val="24"/>
          <w:szCs w:val="24"/>
          <w:shd w:val="clear" w:color="auto" w:fill="FFFFFF"/>
        </w:rPr>
        <w:t>1/4</w:t>
      </w:r>
      <w:r>
        <w:rPr>
          <w:rFonts w:eastAsia="Calibri"/>
          <w:i/>
          <w:sz w:val="24"/>
          <w:szCs w:val="24"/>
          <w:shd w:val="clear" w:color="auto" w:fill="FFFFFF"/>
        </w:rPr>
        <w:t xml:space="preserve"> din aria construită a nivelului, de regulă, casele de scări continuate la subsol se separă de nivelurile subterane la fel ca la cele supraterane, iar golurile de acces se protejează prin uși rezistente la foc minimum 45 de minute (</w:t>
      </w:r>
      <w:r>
        <w:rPr>
          <w:rFonts w:eastAsia="Calibri"/>
          <w:b/>
          <w:bCs/>
          <w:i/>
          <w:sz w:val="24"/>
          <w:szCs w:val="24"/>
          <w:shd w:val="clear" w:color="auto" w:fill="FFFFFF"/>
        </w:rPr>
        <w:t>EI45-C</w:t>
      </w:r>
      <w:r>
        <w:rPr>
          <w:rFonts w:eastAsia="Calibri"/>
          <w:i/>
          <w:sz w:val="24"/>
          <w:szCs w:val="24"/>
          <w:shd w:val="clear" w:color="auto" w:fill="FFFFFF"/>
        </w:rPr>
        <w:t>), prevăzute cu dispozitive de autoînchidere sau închidere automată în caz de incendiu.</w:t>
      </w:r>
    </w:p>
    <w:p w14:paraId="06C3F26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2.5.27.</w:t>
      </w:r>
      <w:r>
        <w:rPr>
          <w:rFonts w:eastAsia="Calibri"/>
          <w:i/>
          <w:sz w:val="24"/>
          <w:szCs w:val="24"/>
          <w:shd w:val="clear" w:color="auto" w:fill="FFFFFF"/>
        </w:rPr>
        <w:t> Rampa de acces la subsol poate fi dispusă în continuarea casei de scări supraterane, dacă este separată de rampele aferente nivelurilor supraterane prin pereți rezistenți la foc minimum 2 ore și 30 min (</w:t>
      </w:r>
      <w:r>
        <w:rPr>
          <w:rFonts w:eastAsia="Calibri"/>
          <w:b/>
          <w:bCs/>
          <w:i/>
          <w:sz w:val="24"/>
          <w:szCs w:val="24"/>
          <w:shd w:val="clear" w:color="auto" w:fill="FFFFFF"/>
        </w:rPr>
        <w:t>EI/REI150</w:t>
      </w:r>
      <w:r>
        <w:rPr>
          <w:rFonts w:eastAsia="Calibri"/>
          <w:i/>
          <w:sz w:val="24"/>
          <w:szCs w:val="24"/>
          <w:shd w:val="clear" w:color="auto" w:fill="FFFFFF"/>
        </w:rPr>
        <w:t>) pentru construcțiile edificate înainte de 01 ianuarie 2007 sau rezistenți la foc minimum 3 ore (</w:t>
      </w:r>
      <w:r>
        <w:rPr>
          <w:rFonts w:eastAsia="Calibri"/>
          <w:b/>
          <w:bCs/>
          <w:i/>
          <w:sz w:val="24"/>
          <w:szCs w:val="24"/>
          <w:shd w:val="clear" w:color="auto" w:fill="FFFFFF"/>
        </w:rPr>
        <w:t>EI/REI180</w:t>
      </w:r>
      <w:r>
        <w:rPr>
          <w:rFonts w:eastAsia="Calibri"/>
          <w:i/>
          <w:sz w:val="24"/>
          <w:szCs w:val="24"/>
          <w:shd w:val="clear" w:color="auto" w:fill="FFFFFF"/>
        </w:rPr>
        <w:t>) pentru construcțiile edificate dupa data de 01 ianuarie 2007 și planșee rezistente la foc min. 1 oră (</w:t>
      </w:r>
      <w:r>
        <w:rPr>
          <w:rFonts w:eastAsia="Calibri"/>
          <w:b/>
          <w:bCs/>
          <w:i/>
          <w:sz w:val="24"/>
          <w:szCs w:val="24"/>
          <w:shd w:val="clear" w:color="auto" w:fill="FFFFFF"/>
        </w:rPr>
        <w:t>REI60</w:t>
      </w:r>
      <w:r>
        <w:rPr>
          <w:rFonts w:eastAsia="Calibri"/>
          <w:i/>
          <w:sz w:val="24"/>
          <w:szCs w:val="24"/>
          <w:shd w:val="clear" w:color="auto" w:fill="FFFFFF"/>
        </w:rPr>
        <w:t xml:space="preserve">), recomandându-se ca evacuarea subsolului să se realizeze independent de nivelurile supraterane ale clădirii. Subsolul poate continua funcțional cu </w:t>
      </w:r>
      <w:r>
        <w:rPr>
          <w:rFonts w:eastAsia="Calibri"/>
          <w:i/>
          <w:sz w:val="24"/>
          <w:szCs w:val="24"/>
          <w:shd w:val="clear" w:color="auto" w:fill="FFFFFF"/>
        </w:rPr>
        <w:lastRenderedPageBreak/>
        <w:t>casa de scări a nivelurilor supraterane, de regulă, printr-o ușă etanșă la foc 1 oră (</w:t>
      </w:r>
      <w:r>
        <w:rPr>
          <w:rFonts w:eastAsia="Calibri"/>
          <w:b/>
          <w:bCs/>
          <w:i/>
          <w:sz w:val="24"/>
          <w:szCs w:val="24"/>
          <w:shd w:val="clear" w:color="auto" w:fill="FFFFFF"/>
        </w:rPr>
        <w:t>E60-C</w:t>
      </w:r>
      <w:r>
        <w:rPr>
          <w:rFonts w:eastAsia="Calibri"/>
          <w:i/>
          <w:sz w:val="24"/>
          <w:szCs w:val="24"/>
          <w:shd w:val="clear" w:color="auto" w:fill="FFFFFF"/>
        </w:rPr>
        <w:t>) dispusă la cota parterului, în afara cazurilor în care prevederile din prezenta anexă dispun altfel.</w:t>
      </w:r>
    </w:p>
    <w:p w14:paraId="263746B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2.5.28.</w:t>
      </w:r>
      <w:r>
        <w:rPr>
          <w:rFonts w:eastAsia="Calibri"/>
          <w:i/>
          <w:sz w:val="24"/>
          <w:szCs w:val="24"/>
          <w:shd w:val="clear" w:color="auto" w:fill="FFFFFF"/>
        </w:rPr>
        <w:t xml:space="preserve"> Scările supraterane de evacuare a persoanelor pot avea rampe directe (neseparate) spre subsol atunci când asigură accesul la încăperi și spații legate funcțional de cele supraterane și dacă aceste funcționalități sunt separate de restul subsolului cu alte destinații prin pereți </w:t>
      </w:r>
      <w:r>
        <w:rPr>
          <w:rFonts w:eastAsia="TimesNewRomanPSMT-Identity-H"/>
          <w:i/>
          <w:sz w:val="24"/>
          <w:szCs w:val="24"/>
        </w:rPr>
        <w:t xml:space="preserve">clasa de reacție la foc </w:t>
      </w:r>
      <w:r>
        <w:rPr>
          <w:b/>
          <w:bCs/>
          <w:i/>
          <w:sz w:val="24"/>
          <w:szCs w:val="24"/>
          <w:lang w:val="en-GB"/>
        </w:rPr>
        <w:t>A1, A2s1d0</w:t>
      </w:r>
      <w:r>
        <w:rPr>
          <w:b/>
          <w:bCs/>
          <w:i/>
          <w:sz w:val="24"/>
          <w:szCs w:val="24"/>
        </w:rPr>
        <w:t xml:space="preserve"> </w:t>
      </w:r>
      <w:r>
        <w:rPr>
          <w:rFonts w:eastAsia="Calibri"/>
          <w:i/>
          <w:sz w:val="24"/>
          <w:szCs w:val="24"/>
          <w:shd w:val="clear" w:color="auto" w:fill="FFFFFF"/>
        </w:rPr>
        <w:t>rezistenți la foc minimum 3 ore (</w:t>
      </w:r>
      <w:r>
        <w:rPr>
          <w:rFonts w:eastAsia="Calibri"/>
          <w:b/>
          <w:bCs/>
          <w:i/>
          <w:sz w:val="24"/>
          <w:szCs w:val="24"/>
          <w:shd w:val="clear" w:color="auto" w:fill="FFFFFF"/>
        </w:rPr>
        <w:t>EI/REI180</w:t>
      </w:r>
      <w:r>
        <w:rPr>
          <w:rFonts w:eastAsia="Calibri"/>
          <w:i/>
          <w:sz w:val="24"/>
          <w:szCs w:val="24"/>
          <w:shd w:val="clear" w:color="auto" w:fill="FFFFFF"/>
        </w:rPr>
        <w:t>) și uși etanșe la foc 1 oră (</w:t>
      </w:r>
      <w:r>
        <w:rPr>
          <w:rFonts w:eastAsia="Calibri"/>
          <w:b/>
          <w:bCs/>
          <w:i/>
          <w:sz w:val="24"/>
          <w:szCs w:val="24"/>
          <w:shd w:val="clear" w:color="auto" w:fill="FFFFFF"/>
        </w:rPr>
        <w:t>E60-C</w:t>
      </w:r>
      <w:r>
        <w:rPr>
          <w:rFonts w:eastAsia="Calibri"/>
          <w:i/>
          <w:sz w:val="24"/>
          <w:szCs w:val="24"/>
          <w:shd w:val="clear" w:color="auto" w:fill="FFFFFF"/>
        </w:rPr>
        <w:t>) sau 1 h 30' (</w:t>
      </w:r>
      <w:r>
        <w:rPr>
          <w:rFonts w:eastAsia="Calibri"/>
          <w:b/>
          <w:bCs/>
          <w:i/>
          <w:sz w:val="24"/>
          <w:szCs w:val="24"/>
          <w:shd w:val="clear" w:color="auto" w:fill="FFFFFF"/>
        </w:rPr>
        <w:t>E90-C</w:t>
      </w:r>
      <w:r>
        <w:rPr>
          <w:rFonts w:eastAsia="Calibri"/>
          <w:i/>
          <w:sz w:val="24"/>
          <w:szCs w:val="24"/>
          <w:shd w:val="clear" w:color="auto" w:fill="FFFFFF"/>
        </w:rPr>
        <w:t xml:space="preserve">) pentru încăperi cu densitatea sarcinii termice de </w:t>
      </w:r>
      <w:r>
        <w:rPr>
          <w:rFonts w:eastAsia="Calibri"/>
          <w:b/>
          <w:bCs/>
          <w:i/>
          <w:sz w:val="24"/>
          <w:szCs w:val="24"/>
          <w:shd w:val="clear" w:color="auto" w:fill="FFFFFF"/>
        </w:rPr>
        <w:t>840 MJ/m</w:t>
      </w:r>
      <w:r>
        <w:rPr>
          <w:rFonts w:eastAsia="Calibri"/>
          <w:b/>
          <w:bCs/>
          <w:i/>
          <w:sz w:val="24"/>
          <w:szCs w:val="24"/>
          <w:shd w:val="clear" w:color="auto" w:fill="FFFFFF"/>
          <w:vertAlign w:val="superscript"/>
        </w:rPr>
        <w:t>2</w:t>
      </w:r>
      <w:r>
        <w:rPr>
          <w:rFonts w:eastAsia="Calibri"/>
          <w:i/>
          <w:sz w:val="24"/>
          <w:szCs w:val="24"/>
          <w:shd w:val="clear" w:color="auto" w:fill="FFFFFF"/>
        </w:rPr>
        <w:t xml:space="preserve"> sau mai mare).</w:t>
      </w:r>
    </w:p>
    <w:p w14:paraId="31A19B0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2.5.29.</w:t>
      </w:r>
      <w:r>
        <w:rPr>
          <w:rFonts w:eastAsia="Calibri"/>
          <w:i/>
          <w:sz w:val="24"/>
          <w:szCs w:val="24"/>
          <w:shd w:val="clear" w:color="auto" w:fill="FFFFFF"/>
        </w:rPr>
        <w:t> În casele de scări de evacuare nu vor fi amenajate spații de lucru, de depozitare ori cu alte destinații (în afară de circulație) și nu vor fi introduse conducte de gaze naturale pentru utilizări tehnologice, conducte pentru lichide combustibile sau tuburi colectoare de gunoi sau alte materiale. Se admite amplasarea în casa scărilor a instalațiilor care nu prezintă pericol de incendiu sau explozie, dacă nu reduc gabaritul necesar pentru evacuare. În cazul amplasării tuburilor colectoare de gunoi sau alte materiale, în încăperi adiacente separate, dar care comunică cu casele scărilor de evacuare, se vor lua măsuri corespunzătoare pentru a se împiedica pătrunderea fumului și a focului în casa scării.</w:t>
      </w:r>
    </w:p>
    <w:p w14:paraId="1FC5114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2.5.30.</w:t>
      </w:r>
      <w:r>
        <w:rPr>
          <w:rFonts w:eastAsia="Calibri"/>
          <w:i/>
          <w:sz w:val="24"/>
          <w:szCs w:val="24"/>
          <w:shd w:val="clear" w:color="auto" w:fill="FFFFFF"/>
        </w:rPr>
        <w:t> Casele de scări se recomandă să fie luminate natural, direct din exterior.</w:t>
      </w:r>
    </w:p>
    <w:p w14:paraId="6634409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2.5.31.</w:t>
      </w:r>
      <w:r>
        <w:rPr>
          <w:rFonts w:eastAsia="Calibri"/>
          <w:i/>
          <w:sz w:val="24"/>
          <w:szCs w:val="24"/>
          <w:shd w:val="clear" w:color="auto" w:fill="FFFFFF"/>
        </w:rPr>
        <w:t> Iluminatul natural al caselor de scări se poate face indirect, prin goluri protejate cu elemente rezistente la foc minimum 30 minute (</w:t>
      </w:r>
      <w:r>
        <w:rPr>
          <w:rFonts w:eastAsia="Calibri"/>
          <w:b/>
          <w:bCs/>
          <w:i/>
          <w:sz w:val="24"/>
          <w:szCs w:val="24"/>
          <w:shd w:val="clear" w:color="auto" w:fill="FFFFFF"/>
        </w:rPr>
        <w:t>EI30</w:t>
      </w:r>
      <w:r>
        <w:rPr>
          <w:rFonts w:eastAsia="Calibri"/>
          <w:i/>
          <w:sz w:val="24"/>
          <w:szCs w:val="24"/>
          <w:shd w:val="clear" w:color="auto" w:fill="FFFFFF"/>
        </w:rPr>
        <w:t xml:space="preserve">), din coridoare sau încăperi cu densitatea sarcinii termice mai mică de </w:t>
      </w:r>
      <w:r>
        <w:rPr>
          <w:rFonts w:eastAsia="Calibri"/>
          <w:b/>
          <w:bCs/>
          <w:i/>
          <w:sz w:val="24"/>
          <w:szCs w:val="24"/>
          <w:shd w:val="clear" w:color="auto" w:fill="FFFFFF"/>
        </w:rPr>
        <w:t>105 MJ/m</w:t>
      </w:r>
      <w:r>
        <w:rPr>
          <w:rFonts w:eastAsia="Calibri"/>
          <w:b/>
          <w:bCs/>
          <w:i/>
          <w:sz w:val="24"/>
          <w:szCs w:val="24"/>
          <w:shd w:val="clear" w:color="auto" w:fill="FFFFFF"/>
          <w:vertAlign w:val="superscript"/>
        </w:rPr>
        <w:t>2</w:t>
      </w:r>
      <w:r>
        <w:rPr>
          <w:rFonts w:eastAsia="Calibri"/>
          <w:i/>
          <w:sz w:val="24"/>
          <w:szCs w:val="24"/>
          <w:shd w:val="clear" w:color="auto" w:fill="FFFFFF"/>
        </w:rPr>
        <w:t>.</w:t>
      </w:r>
    </w:p>
    <w:p w14:paraId="7D9F718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2.5.32.</w:t>
      </w:r>
      <w:r>
        <w:rPr>
          <w:rFonts w:eastAsia="Calibri"/>
          <w:i/>
          <w:sz w:val="24"/>
          <w:szCs w:val="24"/>
          <w:shd w:val="clear" w:color="auto" w:fill="FFFFFF"/>
        </w:rPr>
        <w:t xml:space="preserve"> În construcții existente de nivelul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și </w:t>
      </w:r>
      <w:r>
        <w:rPr>
          <w:rFonts w:eastAsia="Calibri"/>
          <w:b/>
          <w:bCs/>
          <w:i/>
          <w:sz w:val="24"/>
          <w:szCs w:val="24"/>
          <w:shd w:val="clear" w:color="auto" w:fill="FFFFFF"/>
        </w:rPr>
        <w:t>III</w:t>
      </w:r>
      <w:r>
        <w:rPr>
          <w:rFonts w:eastAsia="Calibri"/>
          <w:i/>
          <w:sz w:val="24"/>
          <w:szCs w:val="24"/>
          <w:shd w:val="clear" w:color="auto" w:fill="FFFFFF"/>
        </w:rPr>
        <w:t xml:space="preserve">, de regulă, iluminatul numai cu lumină artificială se admite dacă se asigură, în caz de incendiu, evacuarea fumului din casele de scări prin dispozitive automate și cu o comandă manuală, având secțiunea de cel puțin </w:t>
      </w:r>
      <w:r>
        <w:rPr>
          <w:rFonts w:eastAsia="Calibri"/>
          <w:b/>
          <w:bCs/>
          <w:i/>
          <w:sz w:val="24"/>
          <w:szCs w:val="24"/>
          <w:shd w:val="clear" w:color="auto" w:fill="FFFFFF"/>
        </w:rPr>
        <w:t>5%</w:t>
      </w:r>
      <w:r>
        <w:rPr>
          <w:rFonts w:eastAsia="Calibri"/>
          <w:i/>
          <w:sz w:val="24"/>
          <w:szCs w:val="24"/>
          <w:shd w:val="clear" w:color="auto" w:fill="FFFFFF"/>
        </w:rPr>
        <w:t xml:space="preserve"> din suprafața orizontală construită a acestora, dar minimum</w:t>
      </w:r>
      <w:r>
        <w:rPr>
          <w:rFonts w:eastAsia="Calibri"/>
          <w:b/>
          <w:bCs/>
          <w:i/>
          <w:sz w:val="24"/>
          <w:szCs w:val="24"/>
          <w:shd w:val="clear" w:color="auto" w:fill="FFFFFF"/>
        </w:rPr>
        <w:t xml:space="preserve"> 1 m</w:t>
      </w:r>
      <w:r>
        <w:rPr>
          <w:rFonts w:eastAsia="Calibri"/>
          <w:b/>
          <w:bCs/>
          <w:i/>
          <w:sz w:val="24"/>
          <w:szCs w:val="24"/>
          <w:shd w:val="clear" w:color="auto" w:fill="FFFFFF"/>
          <w:vertAlign w:val="superscript"/>
        </w:rPr>
        <w:t>2</w:t>
      </w:r>
      <w:r>
        <w:rPr>
          <w:rFonts w:eastAsia="Calibri"/>
          <w:i/>
          <w:sz w:val="24"/>
          <w:szCs w:val="24"/>
          <w:shd w:val="clear" w:color="auto" w:fill="FFFFFF"/>
        </w:rPr>
        <w:t> și se asigură funcționarea în orice moment a unui sistem de iluminat artificial. Excepție fac situațiile nominalizate în prezenta anexă.</w:t>
      </w:r>
    </w:p>
    <w:p w14:paraId="68D2D4C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2.5.33.</w:t>
      </w:r>
      <w:r>
        <w:rPr>
          <w:rFonts w:eastAsia="Calibri"/>
          <w:i/>
          <w:sz w:val="24"/>
          <w:szCs w:val="24"/>
          <w:shd w:val="clear" w:color="auto" w:fill="FFFFFF"/>
        </w:rPr>
        <w:t> Golurile pentru iluminare practicate în pereții exteriori ai caselor de scări vor fi protejate contra radiației termice ce rezultă în timpul eventualelor incendii produse în construcții existente, instalații sau depozite din vecinătatea lor, sau chiar în porțiuni ale aceleiași construcții existente, situate la distanțe mai mici decât cele admise conform prevederilor din Art.</w:t>
      </w:r>
      <w:r>
        <w:rPr>
          <w:rFonts w:eastAsia="Calibri"/>
          <w:b/>
          <w:bCs/>
          <w:i/>
          <w:sz w:val="24"/>
          <w:szCs w:val="24"/>
          <w:shd w:val="clear" w:color="auto" w:fill="FFFFFF"/>
        </w:rPr>
        <w:t xml:space="preserve"> A.10.2.2.2</w:t>
      </w:r>
      <w:r>
        <w:rPr>
          <w:rFonts w:eastAsia="Calibri"/>
          <w:i/>
          <w:sz w:val="24"/>
          <w:szCs w:val="24"/>
          <w:shd w:val="clear" w:color="auto" w:fill="FFFFFF"/>
        </w:rPr>
        <w:t xml:space="preserve">. și </w:t>
      </w:r>
      <w:r>
        <w:rPr>
          <w:b/>
          <w:i/>
          <w:sz w:val="24"/>
          <w:szCs w:val="24"/>
        </w:rPr>
        <w:t>Tabelul A.10.4.</w:t>
      </w:r>
    </w:p>
    <w:p w14:paraId="7B39D1F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2.5.34.</w:t>
      </w:r>
      <w:r>
        <w:rPr>
          <w:rFonts w:eastAsia="Calibri"/>
          <w:i/>
          <w:sz w:val="24"/>
          <w:szCs w:val="24"/>
          <w:shd w:val="clear" w:color="auto" w:fill="FFFFFF"/>
        </w:rPr>
        <w:t> Scări de evacuare interioare deschise se admit în cazurile și condițiile prevederilor anexei, în funcție de destinație, precum și atunci când asigură evacuarea a cel mult două niveluri succesive.</w:t>
      </w:r>
    </w:p>
    <w:p w14:paraId="743A1F9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2.5.35.</w:t>
      </w:r>
      <w:r>
        <w:rPr>
          <w:rFonts w:eastAsia="Calibri"/>
          <w:i/>
          <w:sz w:val="24"/>
          <w:szCs w:val="24"/>
          <w:shd w:val="clear" w:color="auto" w:fill="FFFFFF"/>
        </w:rPr>
        <w:t> Casele de scări de evacuare, trebuie să aibă ieșiri la nivelul terenului sau al unor suprafețe exterioare carosabile, astfel:</w:t>
      </w:r>
    </w:p>
    <w:p w14:paraId="74D9E84C" w14:textId="77777777" w:rsidR="001C08A5" w:rsidRDefault="00000000">
      <w:pPr>
        <w:shd w:val="clear" w:color="auto" w:fill="FFFFFF"/>
        <w:spacing w:after="150"/>
        <w:ind w:left="144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direct în exterior;</w:t>
      </w:r>
    </w:p>
    <w:p w14:paraId="66B197BB" w14:textId="77777777" w:rsidR="001C08A5" w:rsidRDefault="00000000">
      <w:pPr>
        <w:shd w:val="clear" w:color="auto" w:fill="FFFFFF"/>
        <w:spacing w:after="150"/>
        <w:ind w:left="144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prin hol sau vestibul;</w:t>
      </w:r>
    </w:p>
    <w:p w14:paraId="4616BEF8" w14:textId="77777777" w:rsidR="001C08A5" w:rsidRDefault="00000000">
      <w:pPr>
        <w:shd w:val="clear" w:color="auto" w:fill="FFFFFF"/>
        <w:spacing w:after="150"/>
        <w:ind w:left="1440" w:firstLine="720"/>
        <w:jc w:val="both"/>
        <w:rPr>
          <w:rFonts w:eastAsia="Calibri"/>
          <w:i/>
          <w:sz w:val="24"/>
          <w:szCs w:val="24"/>
        </w:rPr>
      </w:pPr>
      <w:r>
        <w:rPr>
          <w:rFonts w:eastAsia="Calibri"/>
          <w:b/>
          <w:bCs/>
          <w:i/>
          <w:sz w:val="24"/>
          <w:szCs w:val="24"/>
          <w:shd w:val="clear" w:color="auto" w:fill="FFFFFF"/>
        </w:rPr>
        <w:t>c)</w:t>
      </w:r>
      <w:r>
        <w:rPr>
          <w:rFonts w:eastAsia="Calibri"/>
          <w:i/>
          <w:sz w:val="24"/>
          <w:szCs w:val="24"/>
          <w:shd w:val="clear" w:color="auto" w:fill="FFFFFF"/>
        </w:rPr>
        <w:t xml:space="preserve"> prin coridor de maximum </w:t>
      </w:r>
      <w:r>
        <w:rPr>
          <w:rFonts w:eastAsia="Calibri"/>
          <w:b/>
          <w:bCs/>
          <w:i/>
          <w:sz w:val="24"/>
          <w:szCs w:val="24"/>
          <w:shd w:val="clear" w:color="auto" w:fill="FFFFFF"/>
        </w:rPr>
        <w:t>10 m</w:t>
      </w:r>
      <w:r>
        <w:rPr>
          <w:rFonts w:eastAsia="Calibri"/>
          <w:i/>
          <w:sz w:val="24"/>
          <w:szCs w:val="24"/>
          <w:shd w:val="clear" w:color="auto" w:fill="FFFFFF"/>
        </w:rPr>
        <w:t xml:space="preserve"> lungime, cu acces în exterior direct sau printr-un hol sau vestibul;</w:t>
      </w:r>
    </w:p>
    <w:p w14:paraId="71A9085B" w14:textId="77777777" w:rsidR="001C08A5" w:rsidRDefault="00000000">
      <w:pPr>
        <w:shd w:val="clear" w:color="auto" w:fill="FFFFFF"/>
        <w:spacing w:after="150"/>
        <w:ind w:left="1440" w:firstLine="720"/>
        <w:jc w:val="both"/>
        <w:rPr>
          <w:rFonts w:eastAsia="Calibri"/>
          <w:i/>
          <w:sz w:val="24"/>
          <w:szCs w:val="24"/>
        </w:rPr>
      </w:pPr>
      <w:r>
        <w:rPr>
          <w:rFonts w:eastAsia="Calibri"/>
          <w:b/>
          <w:bCs/>
          <w:i/>
          <w:sz w:val="24"/>
          <w:szCs w:val="24"/>
          <w:shd w:val="clear" w:color="auto" w:fill="FFFFFF"/>
        </w:rPr>
        <w:t>d)</w:t>
      </w:r>
      <w:r>
        <w:rPr>
          <w:rFonts w:eastAsia="Calibri"/>
          <w:i/>
          <w:sz w:val="24"/>
          <w:szCs w:val="24"/>
          <w:shd w:val="clear" w:color="auto" w:fill="FFFFFF"/>
        </w:rPr>
        <w:t xml:space="preserve"> prin tunel de evacuare sau degajament protejat cu lungimea maximă de </w:t>
      </w:r>
      <w:r>
        <w:rPr>
          <w:rFonts w:eastAsia="Calibri"/>
          <w:b/>
          <w:bCs/>
          <w:i/>
          <w:sz w:val="24"/>
          <w:szCs w:val="24"/>
          <w:shd w:val="clear" w:color="auto" w:fill="FFFFFF"/>
        </w:rPr>
        <w:t>200 m</w:t>
      </w:r>
      <w:r>
        <w:rPr>
          <w:rFonts w:eastAsia="Calibri"/>
          <w:i/>
          <w:sz w:val="24"/>
          <w:szCs w:val="24"/>
          <w:shd w:val="clear" w:color="auto" w:fill="FFFFFF"/>
        </w:rPr>
        <w:t xml:space="preserve">, cu acces în exterior și care este alcătuit din elemente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corespunzător densității sarcinii termice a încăperilor adiacente, fără a fi însă mai mici de 2 ore pentru pereți (</w:t>
      </w:r>
      <w:r>
        <w:rPr>
          <w:rFonts w:eastAsia="Calibri"/>
          <w:b/>
          <w:bCs/>
          <w:i/>
          <w:sz w:val="24"/>
          <w:szCs w:val="24"/>
          <w:shd w:val="clear" w:color="auto" w:fill="FFFFFF"/>
        </w:rPr>
        <w:t>EI/REI120</w:t>
      </w:r>
      <w:r>
        <w:rPr>
          <w:rFonts w:eastAsia="Calibri"/>
          <w:i/>
          <w:sz w:val="24"/>
          <w:szCs w:val="24"/>
          <w:shd w:val="clear" w:color="auto" w:fill="FFFFFF"/>
        </w:rPr>
        <w:t>) și 1 oră pentru planșee (</w:t>
      </w:r>
      <w:r>
        <w:rPr>
          <w:rFonts w:eastAsia="Calibri"/>
          <w:b/>
          <w:bCs/>
          <w:i/>
          <w:sz w:val="24"/>
          <w:szCs w:val="24"/>
          <w:shd w:val="clear" w:color="auto" w:fill="FFFFFF"/>
        </w:rPr>
        <w:t>REI60</w:t>
      </w:r>
      <w:r>
        <w:rPr>
          <w:rFonts w:eastAsia="Calibri"/>
          <w:i/>
          <w:sz w:val="24"/>
          <w:szCs w:val="24"/>
          <w:shd w:val="clear" w:color="auto" w:fill="FFFFFF"/>
        </w:rPr>
        <w:t>). Ușile din pereții tunelului sau ai degajamentului protejat vor fi rezistente la foc 1 oră (</w:t>
      </w:r>
      <w:r>
        <w:rPr>
          <w:rFonts w:eastAsia="Calibri"/>
          <w:b/>
          <w:bCs/>
          <w:i/>
          <w:sz w:val="24"/>
          <w:szCs w:val="24"/>
          <w:shd w:val="clear" w:color="auto" w:fill="FFFFFF"/>
        </w:rPr>
        <w:t>EI60-C</w:t>
      </w:r>
      <w:r>
        <w:rPr>
          <w:rFonts w:eastAsia="Calibri"/>
          <w:i/>
          <w:sz w:val="24"/>
          <w:szCs w:val="24"/>
          <w:shd w:val="clear" w:color="auto" w:fill="FFFFFF"/>
        </w:rPr>
        <w:t xml:space="preserve">) spre încăperi cu sarcina termică peste </w:t>
      </w:r>
      <w:r>
        <w:rPr>
          <w:rFonts w:eastAsia="Calibri"/>
          <w:b/>
          <w:bCs/>
          <w:i/>
          <w:sz w:val="24"/>
          <w:szCs w:val="24"/>
          <w:shd w:val="clear" w:color="auto" w:fill="FFFFFF"/>
        </w:rPr>
        <w:t>420 MJ/m</w:t>
      </w:r>
      <w:r>
        <w:rPr>
          <w:rFonts w:eastAsia="Calibri"/>
          <w:b/>
          <w:bCs/>
          <w:i/>
          <w:sz w:val="24"/>
          <w:szCs w:val="24"/>
          <w:shd w:val="clear" w:color="auto" w:fill="FFFFFF"/>
          <w:vertAlign w:val="superscript"/>
        </w:rPr>
        <w:t>2</w:t>
      </w:r>
      <w:r>
        <w:rPr>
          <w:rFonts w:eastAsia="Calibri"/>
          <w:i/>
          <w:sz w:val="24"/>
          <w:szCs w:val="24"/>
          <w:shd w:val="clear" w:color="auto" w:fill="FFFFFF"/>
        </w:rPr>
        <w:t xml:space="preserve"> și echipate cu dispozitive de autoînchidere automată în caz de incendiu și  rezistente la </w:t>
      </w:r>
      <w:r>
        <w:rPr>
          <w:rFonts w:eastAsia="Calibri"/>
          <w:i/>
          <w:sz w:val="24"/>
          <w:szCs w:val="24"/>
          <w:shd w:val="clear" w:color="auto" w:fill="FFFFFF"/>
        </w:rPr>
        <w:lastRenderedPageBreak/>
        <w:t>foc 1 oră și 30 de minute (</w:t>
      </w:r>
      <w:r>
        <w:rPr>
          <w:rFonts w:eastAsia="Calibri"/>
          <w:b/>
          <w:bCs/>
          <w:i/>
          <w:sz w:val="24"/>
          <w:szCs w:val="24"/>
          <w:shd w:val="clear" w:color="auto" w:fill="FFFFFF"/>
        </w:rPr>
        <w:t>EI90-C</w:t>
      </w:r>
      <w:r>
        <w:rPr>
          <w:rFonts w:eastAsia="Calibri"/>
          <w:i/>
          <w:sz w:val="24"/>
          <w:szCs w:val="24"/>
          <w:shd w:val="clear" w:color="auto" w:fill="FFFFFF"/>
        </w:rPr>
        <w:t xml:space="preserve">) spre încăperi cu sarcina termică peste </w:t>
      </w:r>
      <w:r>
        <w:rPr>
          <w:rFonts w:eastAsia="Calibri"/>
          <w:b/>
          <w:bCs/>
          <w:i/>
          <w:sz w:val="24"/>
          <w:szCs w:val="24"/>
          <w:shd w:val="clear" w:color="auto" w:fill="FFFFFF"/>
        </w:rPr>
        <w:t>840 MJ/m</w:t>
      </w:r>
      <w:r>
        <w:rPr>
          <w:rFonts w:eastAsia="Calibri"/>
          <w:b/>
          <w:bCs/>
          <w:i/>
          <w:sz w:val="24"/>
          <w:szCs w:val="24"/>
          <w:shd w:val="clear" w:color="auto" w:fill="FFFFFF"/>
          <w:vertAlign w:val="superscript"/>
        </w:rPr>
        <w:t>2</w:t>
      </w:r>
      <w:r>
        <w:rPr>
          <w:rFonts w:eastAsia="Calibri"/>
          <w:i/>
          <w:sz w:val="24"/>
          <w:szCs w:val="24"/>
          <w:shd w:val="clear" w:color="auto" w:fill="FFFFFF"/>
        </w:rPr>
        <w:t> și echipate cu dispozitive de autoînchidere automată în caz de incendiu.</w:t>
      </w:r>
    </w:p>
    <w:p w14:paraId="7CB28A35"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 xml:space="preserve">Holul, vestibulul sau coridorul prin care se asigură accesul spre exterior, trebuie să fie separat de încăperile și coridoarele interioare învecinate de la parter prin pereți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rezistenți la foc minimum 1 oră (</w:t>
      </w:r>
      <w:r>
        <w:rPr>
          <w:rFonts w:eastAsia="Calibri"/>
          <w:b/>
          <w:bCs/>
          <w:i/>
          <w:sz w:val="24"/>
          <w:szCs w:val="24"/>
          <w:shd w:val="clear" w:color="auto" w:fill="FFFFFF"/>
        </w:rPr>
        <w:t>EI/REI60</w:t>
      </w:r>
      <w:r>
        <w:rPr>
          <w:rFonts w:eastAsia="Calibri"/>
          <w:i/>
          <w:sz w:val="24"/>
          <w:szCs w:val="24"/>
          <w:shd w:val="clear" w:color="auto" w:fill="FFFFFF"/>
        </w:rPr>
        <w:t>), cu excepția holurilor de tip atrium la care se asigură măsurile de protecție specifice acestora.</w:t>
      </w:r>
    </w:p>
    <w:p w14:paraId="686D1CE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2.5.36.</w:t>
      </w:r>
      <w:r>
        <w:rPr>
          <w:rFonts w:eastAsia="Calibri"/>
          <w:i/>
          <w:sz w:val="24"/>
          <w:szCs w:val="24"/>
          <w:shd w:val="clear" w:color="auto" w:fill="FFFFFF"/>
        </w:rPr>
        <w:t xml:space="preserve"> Holurile de la parter, prin care se asigură accesul spre exterior al scărilor de evacuare, pot comunica liber cu garderobe supravegheate, încăperi de recepție pentru public și spații funcțional necesare (comerț, alimentație, întruniri, etc.). Toate scările de evacuare a nivelurilor supraterane, pot avea accesul spre exterior printr-un hol comun. Scările deschise, în situațiile admise în anexă, pot avea acces spre exterior prin spațiile în care sunt amplasate. Ușile caselor de scări prevăzute pentru asigurarea evacuării în caz de incendiu la nivelul terenului sau al unei suprafețe carosabile, dar neutilizate în circulația funcțională curentă, se prevăd cu panouri de geam securizat, conform Art. </w:t>
      </w:r>
      <w:r>
        <w:rPr>
          <w:rFonts w:eastAsia="Calibri"/>
          <w:b/>
          <w:i/>
          <w:sz w:val="24"/>
          <w:szCs w:val="24"/>
          <w:shd w:val="clear" w:color="auto" w:fill="FFFFFF"/>
        </w:rPr>
        <w:t xml:space="preserve">A.10. </w:t>
      </w:r>
      <w:r>
        <w:rPr>
          <w:rFonts w:eastAsia="Calibri"/>
          <w:b/>
          <w:bCs/>
          <w:i/>
          <w:sz w:val="24"/>
          <w:szCs w:val="24"/>
          <w:shd w:val="clear" w:color="auto" w:fill="FFFFFF"/>
        </w:rPr>
        <w:t>2.5.7.</w:t>
      </w:r>
    </w:p>
    <w:p w14:paraId="3CFA70F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2.5.37.</w:t>
      </w:r>
      <w:r>
        <w:rPr>
          <w:rFonts w:eastAsia="Calibri"/>
          <w:i/>
          <w:sz w:val="24"/>
          <w:szCs w:val="24"/>
          <w:shd w:val="clear" w:color="auto" w:fill="FFFFFF"/>
        </w:rPr>
        <w:t> Grinzile, podestele și treptele scărilor interioare de evacuare din clădiri existente trebuie să îndeplinească condițiile de comportare la foc prevăzute în prezenta anexă.</w:t>
      </w:r>
    </w:p>
    <w:p w14:paraId="6ECC32D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2.5.38.</w:t>
      </w:r>
      <w:r>
        <w:rPr>
          <w:rFonts w:eastAsia="Calibri"/>
          <w:i/>
          <w:sz w:val="24"/>
          <w:szCs w:val="24"/>
          <w:shd w:val="clear" w:color="auto" w:fill="FFFFFF"/>
        </w:rPr>
        <w:t> Înclinarea rampelor scărilor de evacuare, suprafața și forma treptelor și a podestelor, trebuie să permită o circulație lesnicioasă și sigură a persoanelor, respectându-se prevederile reglementărilor specifice.</w:t>
      </w:r>
    </w:p>
    <w:p w14:paraId="2AC6E853"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2.5.39.</w:t>
      </w:r>
      <w:r>
        <w:rPr>
          <w:rFonts w:eastAsia="Calibri"/>
          <w:i/>
          <w:sz w:val="24"/>
          <w:szCs w:val="24"/>
          <w:shd w:val="clear" w:color="auto" w:fill="FFFFFF"/>
        </w:rPr>
        <w:t xml:space="preserve"> Scările cu rampe curbe (elicoidale) sunt considerate căi de evacuare numai în porțiunea de rampă în care lățimea minimă a treptei este de </w:t>
      </w:r>
      <w:r>
        <w:rPr>
          <w:rFonts w:eastAsia="Calibri"/>
          <w:b/>
          <w:bCs/>
          <w:i/>
          <w:sz w:val="24"/>
          <w:szCs w:val="24"/>
          <w:shd w:val="clear" w:color="auto" w:fill="FFFFFF"/>
        </w:rPr>
        <w:t>18</w:t>
      </w:r>
      <w:r>
        <w:rPr>
          <w:rFonts w:eastAsia="Calibri"/>
          <w:i/>
          <w:sz w:val="24"/>
          <w:szCs w:val="24"/>
          <w:shd w:val="clear" w:color="auto" w:fill="FFFFFF"/>
        </w:rPr>
        <w:t xml:space="preserve"> cm, iar lățimea maximă de </w:t>
      </w:r>
      <w:r>
        <w:rPr>
          <w:rFonts w:eastAsia="Calibri"/>
          <w:b/>
          <w:bCs/>
          <w:i/>
          <w:sz w:val="24"/>
          <w:szCs w:val="24"/>
          <w:shd w:val="clear" w:color="auto" w:fill="FFFFFF"/>
        </w:rPr>
        <w:t>40</w:t>
      </w:r>
      <w:r>
        <w:rPr>
          <w:rFonts w:eastAsia="Calibri"/>
          <w:i/>
          <w:sz w:val="24"/>
          <w:szCs w:val="24"/>
          <w:shd w:val="clear" w:color="auto" w:fill="FFFFFF"/>
        </w:rPr>
        <w:t xml:space="preserve"> cm, dacă treptele au aceeași formă și dimensiuni pe toată desfășurarea scării. Se vor respecta condițiile din normativ.</w:t>
      </w:r>
    </w:p>
    <w:p w14:paraId="2BCB94F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2.5.40.</w:t>
      </w:r>
      <w:r>
        <w:rPr>
          <w:rFonts w:eastAsia="Calibri"/>
          <w:i/>
          <w:sz w:val="24"/>
          <w:szCs w:val="24"/>
          <w:shd w:val="clear" w:color="auto" w:fill="FFFFFF"/>
        </w:rPr>
        <w:t> Scările cu trepte balansate pot fi considerate căi de evacuare, numai pentru un singur flux de evacuare a utilizatorilor, dacă îndeplinesc condițiile de alcătuire și dimensionare stabilite în normativ, anexă și reglementările de specialitate.</w:t>
      </w:r>
    </w:p>
    <w:p w14:paraId="3C1F89C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2.5.41.</w:t>
      </w:r>
      <w:r>
        <w:rPr>
          <w:rFonts w:eastAsia="Calibri"/>
          <w:i/>
          <w:sz w:val="24"/>
          <w:szCs w:val="24"/>
          <w:shd w:val="clear" w:color="auto" w:fill="FFFFFF"/>
        </w:rPr>
        <w:t xml:space="preserve"> În construcțiile existente cu trei sau mai multe niveluri, se va asigura posibilitatea de ridicare a furtunurilor până la locul în care urmează a fi folosite, prin ferestrele caselor de scări plasate pe fațadele accesibile (cu condiția ca sub aceste ferestre să nu se prevadă copertine sau elemente constructive proeminente care să împiedice ridicarea furtunurilor). Atunci când casele de scări nu au ferestre, se prevăd goluri cu lățimea de cel puțin </w:t>
      </w:r>
      <w:r>
        <w:rPr>
          <w:rFonts w:eastAsia="Calibri"/>
          <w:b/>
          <w:bCs/>
          <w:i/>
          <w:sz w:val="24"/>
          <w:szCs w:val="24"/>
          <w:shd w:val="clear" w:color="auto" w:fill="FFFFFF"/>
        </w:rPr>
        <w:t>20 cm</w:t>
      </w:r>
      <w:r>
        <w:rPr>
          <w:rFonts w:eastAsia="Calibri"/>
          <w:i/>
          <w:sz w:val="24"/>
          <w:szCs w:val="24"/>
          <w:shd w:val="clear" w:color="auto" w:fill="FFFFFF"/>
        </w:rPr>
        <w:t xml:space="preserve"> situate pe aceeași verticală, practicate în podește ori între vanguri. Fac excepție casele de scări prevăzute cu coloane (conducte) uscate fixe, destinate alimentării cu apă în caz de incendiu.</w:t>
      </w:r>
    </w:p>
    <w:p w14:paraId="20F53EE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2.5.42.</w:t>
      </w:r>
      <w:r>
        <w:rPr>
          <w:rFonts w:eastAsia="Calibri"/>
          <w:i/>
          <w:sz w:val="24"/>
          <w:szCs w:val="24"/>
          <w:shd w:val="clear" w:color="auto" w:fill="FFFFFF"/>
        </w:rPr>
        <w:t xml:space="preserve"> Scările de evacuare pot fi înlocuite în toate cazurile prin planuri înclinate, dacă satisfac prevederile din normativ și reglementările tehnice referitoare la scări (închidere, rezistență la foc, dimensionare, etc). Pantele planurilor înclinate vor fi de maximum </w:t>
      </w:r>
      <w:r>
        <w:rPr>
          <w:rFonts w:eastAsia="Calibri"/>
          <w:b/>
          <w:bCs/>
          <w:i/>
          <w:sz w:val="24"/>
          <w:szCs w:val="24"/>
          <w:shd w:val="clear" w:color="auto" w:fill="FFFFFF"/>
        </w:rPr>
        <w:t>1: 10</w:t>
      </w:r>
      <w:r>
        <w:rPr>
          <w:rFonts w:eastAsia="Calibri"/>
          <w:i/>
          <w:sz w:val="24"/>
          <w:szCs w:val="24"/>
          <w:shd w:val="clear" w:color="auto" w:fill="FFFFFF"/>
        </w:rPr>
        <w:t xml:space="preserve"> (</w:t>
      </w:r>
      <w:r>
        <w:rPr>
          <w:rFonts w:eastAsia="Calibri"/>
          <w:b/>
          <w:bCs/>
          <w:i/>
          <w:sz w:val="24"/>
          <w:szCs w:val="24"/>
          <w:shd w:val="clear" w:color="auto" w:fill="FFFFFF"/>
        </w:rPr>
        <w:t>1: 8</w:t>
      </w:r>
      <w:r>
        <w:rPr>
          <w:rFonts w:eastAsia="Calibri"/>
          <w:i/>
          <w:sz w:val="24"/>
          <w:szCs w:val="24"/>
          <w:shd w:val="clear" w:color="auto" w:fill="FFFFFF"/>
        </w:rPr>
        <w:t xml:space="preserve"> în dreptul ieșirilor din clădire) și prevăzute cu strat de uzură care să împiedice alunecarea persoanelor.</w:t>
      </w:r>
    </w:p>
    <w:p w14:paraId="7B7C0DAB" w14:textId="77777777" w:rsidR="001C08A5" w:rsidRDefault="00000000">
      <w:pPr>
        <w:pStyle w:val="Heading6"/>
        <w:rPr>
          <w:i/>
          <w:iCs/>
        </w:rPr>
      </w:pPr>
      <w:bookmarkStart w:id="10638" w:name="_Toc2980"/>
      <w:bookmarkStart w:id="10639" w:name="_Toc4506"/>
      <w:bookmarkStart w:id="10640" w:name="_Toc24290"/>
      <w:bookmarkStart w:id="10641" w:name="_Toc22900"/>
      <w:bookmarkStart w:id="10642" w:name="_Toc162355557"/>
      <w:bookmarkStart w:id="10643" w:name="_Toc9204"/>
      <w:r>
        <w:rPr>
          <w:i/>
          <w:iCs/>
        </w:rPr>
        <w:t>Scări exterioare deschise</w:t>
      </w:r>
      <w:bookmarkEnd w:id="10638"/>
      <w:bookmarkEnd w:id="10639"/>
      <w:bookmarkEnd w:id="10640"/>
      <w:bookmarkEnd w:id="10641"/>
      <w:bookmarkEnd w:id="10642"/>
      <w:bookmarkEnd w:id="10643"/>
    </w:p>
    <w:p w14:paraId="612557D3"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2.5.43.</w:t>
      </w:r>
      <w:r>
        <w:rPr>
          <w:rFonts w:eastAsia="Calibri"/>
          <w:i/>
          <w:sz w:val="24"/>
          <w:szCs w:val="24"/>
          <w:shd w:val="clear" w:color="auto" w:fill="FFFFFF"/>
        </w:rPr>
        <w:t xml:space="preserve"> Scările de evacuare exterioare deschise pot fi amplasate independent în exteriorul construcției existente sau alipite acesteia pe maximum trei laturi. Ele pot înlocui scările interioare de evacuare necesare sau pot constitui o continuare a acestora, dacă sunt executate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cu rezistență la foc de minimum 15 minute (</w:t>
      </w:r>
      <w:r>
        <w:rPr>
          <w:rFonts w:eastAsia="Calibri"/>
          <w:b/>
          <w:bCs/>
          <w:i/>
          <w:sz w:val="24"/>
          <w:szCs w:val="24"/>
          <w:shd w:val="clear" w:color="auto" w:fill="FFFFFF"/>
        </w:rPr>
        <w:t>R15</w:t>
      </w:r>
      <w:r>
        <w:rPr>
          <w:rFonts w:eastAsia="Calibri"/>
          <w:i/>
          <w:sz w:val="24"/>
          <w:szCs w:val="24"/>
          <w:shd w:val="clear" w:color="auto" w:fill="FFFFFF"/>
        </w:rPr>
        <w:t>) și dacă:</w:t>
      </w:r>
    </w:p>
    <w:p w14:paraId="70A7197C" w14:textId="77777777" w:rsidR="001C08A5" w:rsidRDefault="00000000">
      <w:pPr>
        <w:shd w:val="clear" w:color="auto" w:fill="FFFFFF"/>
        <w:spacing w:after="150"/>
        <w:ind w:left="144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respectă prevederile referitoare la dimensionarea scărilor de evacuare;</w:t>
      </w:r>
    </w:p>
    <w:p w14:paraId="55899019" w14:textId="77777777" w:rsidR="001C08A5" w:rsidRDefault="00000000">
      <w:pPr>
        <w:shd w:val="clear" w:color="auto" w:fill="FFFFFF"/>
        <w:spacing w:after="150"/>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sunt protejate conform </w:t>
      </w:r>
      <w:r>
        <w:rPr>
          <w:rFonts w:eastAsia="Calibri"/>
          <w:i/>
          <w:sz w:val="24"/>
          <w:szCs w:val="24"/>
          <w:shd w:val="clear" w:color="auto" w:fill="FFFFFF"/>
          <w:lang w:eastAsia="zh-CN" w:bidi="ar"/>
        </w:rPr>
        <w:t xml:space="preserve">Art. </w:t>
      </w:r>
      <w:r>
        <w:rPr>
          <w:rFonts w:eastAsia="Calibri"/>
          <w:b/>
          <w:i/>
          <w:sz w:val="24"/>
          <w:szCs w:val="24"/>
          <w:shd w:val="clear" w:color="auto" w:fill="FFFFFF"/>
        </w:rPr>
        <w:t xml:space="preserve">A.10. </w:t>
      </w:r>
      <w:r>
        <w:rPr>
          <w:rFonts w:eastAsia="Calibri"/>
          <w:b/>
          <w:bCs/>
          <w:i/>
          <w:sz w:val="24"/>
          <w:szCs w:val="24"/>
          <w:shd w:val="clear" w:color="auto" w:fill="FFFFFF"/>
        </w:rPr>
        <w:t>2.5.44.</w:t>
      </w:r>
    </w:p>
    <w:p w14:paraId="1969F83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2.5.44.</w:t>
      </w:r>
      <w:r>
        <w:rPr>
          <w:rFonts w:eastAsia="Calibri"/>
          <w:i/>
          <w:sz w:val="24"/>
          <w:szCs w:val="24"/>
          <w:shd w:val="clear" w:color="auto" w:fill="FFFFFF"/>
        </w:rPr>
        <w:t xml:space="preserve"> Scările exterioare deschise de evacuare trebuie să fie astfel amplasate sau protejate, încât circulația să nu poată fi blocată de flăcările sau fumul produs - în caz de incendiu - în construcția existentă pentru care ele asigură evacuarea, ori datorită avarierii unor conducte de </w:t>
      </w:r>
      <w:r>
        <w:rPr>
          <w:rFonts w:eastAsia="Calibri"/>
          <w:i/>
          <w:sz w:val="24"/>
          <w:szCs w:val="24"/>
          <w:shd w:val="clear" w:color="auto" w:fill="FFFFFF"/>
        </w:rPr>
        <w:lastRenderedPageBreak/>
        <w:t xml:space="preserve">aburi, lichide sau gaze combustibile, acizi sau substanțe toxice, etc, amplasate la mai puțin de </w:t>
      </w:r>
      <w:r>
        <w:rPr>
          <w:rFonts w:eastAsia="Calibri"/>
          <w:b/>
          <w:bCs/>
          <w:i/>
          <w:sz w:val="24"/>
          <w:szCs w:val="24"/>
          <w:shd w:val="clear" w:color="auto" w:fill="FFFFFF"/>
        </w:rPr>
        <w:t>3,00 m</w:t>
      </w:r>
      <w:r>
        <w:rPr>
          <w:rFonts w:eastAsia="Calibri"/>
          <w:i/>
          <w:sz w:val="24"/>
          <w:szCs w:val="24"/>
          <w:shd w:val="clear" w:color="auto" w:fill="FFFFFF"/>
        </w:rPr>
        <w:t xml:space="preserve"> de gabaritul scării. Se consideră satisfăcătoare protejarea scărilor prin amplasarea lor în dreptul unor porțiuni pline de perete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și minimum 15 minute rezistență la foc (</w:t>
      </w:r>
      <w:r>
        <w:rPr>
          <w:rFonts w:eastAsia="Calibri"/>
          <w:b/>
          <w:bCs/>
          <w:i/>
          <w:sz w:val="24"/>
          <w:szCs w:val="24"/>
          <w:shd w:val="clear" w:color="auto" w:fill="FFFFFF"/>
        </w:rPr>
        <w:t>EI15</w:t>
      </w:r>
      <w:r>
        <w:rPr>
          <w:rFonts w:eastAsia="Calibri"/>
          <w:i/>
          <w:sz w:val="24"/>
          <w:szCs w:val="24"/>
          <w:shd w:val="clear" w:color="auto" w:fill="FFFFFF"/>
        </w:rPr>
        <w:t xml:space="preserve">), care în proiecție orizontală depășesc minimum </w:t>
      </w:r>
      <w:r>
        <w:rPr>
          <w:rFonts w:eastAsia="Calibri"/>
          <w:b/>
          <w:bCs/>
          <w:i/>
          <w:sz w:val="24"/>
          <w:szCs w:val="24"/>
          <w:shd w:val="clear" w:color="auto" w:fill="FFFFFF"/>
        </w:rPr>
        <w:t>3,00 m</w:t>
      </w:r>
      <w:r>
        <w:rPr>
          <w:rFonts w:eastAsia="Calibri"/>
          <w:i/>
          <w:sz w:val="24"/>
          <w:szCs w:val="24"/>
          <w:shd w:val="clear" w:color="auto" w:fill="FFFFFF"/>
        </w:rPr>
        <w:t xml:space="preserve"> gabaritul scării, sau prin ecranarea scării cu elemente rezistente la foc min. 15 minute (</w:t>
      </w:r>
      <w:r>
        <w:rPr>
          <w:rFonts w:eastAsia="Calibri"/>
          <w:b/>
          <w:bCs/>
          <w:i/>
          <w:sz w:val="24"/>
          <w:szCs w:val="24"/>
          <w:shd w:val="clear" w:color="auto" w:fill="FFFFFF"/>
        </w:rPr>
        <w:t>EI15</w:t>
      </w:r>
      <w:r>
        <w:rPr>
          <w:rFonts w:eastAsia="Calibri"/>
          <w:i/>
          <w:sz w:val="24"/>
          <w:szCs w:val="24"/>
          <w:shd w:val="clear" w:color="auto" w:fill="FFFFFF"/>
        </w:rPr>
        <w:t xml:space="preserve">) față de golurile din perete (cu excepția celor de acces la scări) și conductele menționate mai sus, care se află la distanță mai mică de </w:t>
      </w:r>
      <w:r>
        <w:rPr>
          <w:rFonts w:eastAsia="Calibri"/>
          <w:b/>
          <w:bCs/>
          <w:i/>
          <w:sz w:val="24"/>
          <w:szCs w:val="24"/>
          <w:shd w:val="clear" w:color="auto" w:fill="FFFFFF"/>
        </w:rPr>
        <w:t>3,00</w:t>
      </w:r>
      <w:r>
        <w:rPr>
          <w:rFonts w:eastAsia="Calibri"/>
          <w:i/>
          <w:sz w:val="24"/>
          <w:szCs w:val="24"/>
          <w:shd w:val="clear" w:color="auto" w:fill="FFFFFF"/>
        </w:rPr>
        <w:t xml:space="preserve"> metri. Golurile de acces la scările exterioare deschise se protejează prin uși etanșe la foc 15 minute (</w:t>
      </w:r>
      <w:r>
        <w:rPr>
          <w:rFonts w:eastAsia="Calibri"/>
          <w:b/>
          <w:bCs/>
          <w:i/>
          <w:sz w:val="24"/>
          <w:szCs w:val="24"/>
          <w:shd w:val="clear" w:color="auto" w:fill="FFFFFF"/>
        </w:rPr>
        <w:t>E15-C</w:t>
      </w:r>
      <w:r>
        <w:rPr>
          <w:rFonts w:eastAsia="Calibri"/>
          <w:i/>
          <w:sz w:val="24"/>
          <w:szCs w:val="24"/>
          <w:shd w:val="clear" w:color="auto" w:fill="FFFFFF"/>
        </w:rPr>
        <w:t>), echipate cu sisteme de autoînchidere sau prin treceri șicanate, corespunzător necesităților funcționale.</w:t>
      </w:r>
    </w:p>
    <w:p w14:paraId="1163DD07" w14:textId="77777777" w:rsidR="001C08A5" w:rsidRDefault="00000000">
      <w:pPr>
        <w:pStyle w:val="Heading5"/>
        <w:rPr>
          <w:sz w:val="24"/>
          <w:szCs w:val="24"/>
          <w:lang w:val="ro-RO"/>
        </w:rPr>
      </w:pPr>
      <w:bookmarkStart w:id="10644" w:name="_Toc29380"/>
      <w:bookmarkStart w:id="10645" w:name="_Toc8290"/>
      <w:bookmarkStart w:id="10646" w:name="_Toc10379"/>
      <w:bookmarkStart w:id="10647" w:name="_Toc28581"/>
      <w:bookmarkStart w:id="10648" w:name="_Toc162355558"/>
      <w:bookmarkStart w:id="10649" w:name="_Toc27615"/>
      <w:r>
        <w:rPr>
          <w:sz w:val="24"/>
          <w:szCs w:val="24"/>
          <w:lang w:val="ro-RO"/>
        </w:rPr>
        <w:t>Terase și curți interioare</w:t>
      </w:r>
      <w:bookmarkEnd w:id="10644"/>
      <w:bookmarkEnd w:id="10645"/>
      <w:bookmarkEnd w:id="10646"/>
      <w:bookmarkEnd w:id="10647"/>
      <w:bookmarkEnd w:id="10648"/>
      <w:bookmarkEnd w:id="10649"/>
    </w:p>
    <w:p w14:paraId="3F230BD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2.5.45.</w:t>
      </w:r>
      <w:r>
        <w:rPr>
          <w:rFonts w:eastAsia="Calibri"/>
          <w:i/>
          <w:sz w:val="24"/>
          <w:szCs w:val="24"/>
          <w:shd w:val="clear" w:color="auto" w:fill="FFFFFF"/>
        </w:rPr>
        <w:t xml:space="preserve"> Terasele circulabile, balcoanele și logiile care constituie căi de evacuare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excepția izolațiilor combustibile montate pe placă de beton - rezistente la foc de cel puțin o oră (</w:t>
      </w:r>
      <w:r>
        <w:rPr>
          <w:rFonts w:eastAsia="Calibri"/>
          <w:b/>
          <w:bCs/>
          <w:i/>
          <w:sz w:val="24"/>
          <w:szCs w:val="24"/>
          <w:shd w:val="clear" w:color="auto" w:fill="FFFFFF"/>
        </w:rPr>
        <w:t>REI/R60</w:t>
      </w:r>
      <w:r>
        <w:rPr>
          <w:rFonts w:eastAsia="Calibri"/>
          <w:i/>
          <w:sz w:val="24"/>
          <w:szCs w:val="24"/>
          <w:shd w:val="clear" w:color="auto" w:fill="FFFFFF"/>
        </w:rPr>
        <w:t>) și protejate împotriva blocării circulației prin căderea unor elemente aprinse ale construcției. Terasele cu lățime mai mică de 6,00 m și balcoanele utilizate la evacuare, trebuie să fie protejate cu parapete pline, împotriva efectelor incendiilor de la nivele inferioare sau din vecinătate. Pot servi la evacuare și porțiuni ale teraselor necirculabile, dacă îndeplinesc condițiile de mai sus și se iau măsuri de dirijare, organizare și protecție a traseelor stabilite pentru evacuare.</w:t>
      </w:r>
    </w:p>
    <w:p w14:paraId="3E8B119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2.5.46.</w:t>
      </w:r>
      <w:r>
        <w:rPr>
          <w:rFonts w:eastAsia="Calibri"/>
          <w:i/>
          <w:sz w:val="24"/>
          <w:szCs w:val="24"/>
          <w:shd w:val="clear" w:color="auto" w:fill="FFFFFF"/>
        </w:rPr>
        <w:t xml:space="preserve"> Curțile interioare și spațiile libere dintre construcții existente pot fi luate în considerație pentru evacuarea persoanelor în caz de incendiu dacă au lățimea suficientă pentru trecerea numărului de fluxuri rezultate din calcul, fără a fi mai mică </w:t>
      </w:r>
      <w:r>
        <w:rPr>
          <w:rFonts w:eastAsia="Calibri"/>
          <w:b/>
          <w:bCs/>
          <w:i/>
          <w:sz w:val="24"/>
          <w:szCs w:val="24"/>
          <w:shd w:val="clear" w:color="auto" w:fill="FFFFFF"/>
        </w:rPr>
        <w:t>3,50 m</w:t>
      </w:r>
      <w:r>
        <w:rPr>
          <w:rFonts w:eastAsia="Calibri"/>
          <w:i/>
          <w:sz w:val="24"/>
          <w:szCs w:val="24"/>
          <w:shd w:val="clear" w:color="auto" w:fill="FFFFFF"/>
        </w:rPr>
        <w:t>.</w:t>
      </w:r>
    </w:p>
    <w:p w14:paraId="782E0AA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2.5.47.</w:t>
      </w:r>
      <w:r>
        <w:rPr>
          <w:rFonts w:eastAsia="Calibri"/>
          <w:i/>
          <w:sz w:val="24"/>
          <w:szCs w:val="24"/>
          <w:shd w:val="clear" w:color="auto" w:fill="FFFFFF"/>
        </w:rPr>
        <w:t> Evacuarea prin terase, balcoane, logii, curți interioare sau prin spațiile dintre clădiri existente se poate face numai dacă circulația nu poate fi blocată datorită flăcărilor sau a fumului.</w:t>
      </w:r>
    </w:p>
    <w:p w14:paraId="195B3868" w14:textId="77777777" w:rsidR="001C08A5" w:rsidRDefault="00000000">
      <w:pPr>
        <w:pStyle w:val="Heading5"/>
        <w:rPr>
          <w:sz w:val="24"/>
          <w:szCs w:val="24"/>
          <w:lang w:val="ro-RO"/>
        </w:rPr>
      </w:pPr>
      <w:bookmarkStart w:id="10650" w:name="_Toc28027"/>
      <w:bookmarkStart w:id="10651" w:name="_Toc20648"/>
      <w:bookmarkStart w:id="10652" w:name="_Toc162355559"/>
      <w:bookmarkStart w:id="10653" w:name="_Toc9626"/>
      <w:bookmarkStart w:id="10654" w:name="_Toc16120"/>
      <w:bookmarkStart w:id="10655" w:name="_Toc1457"/>
      <w:r>
        <w:rPr>
          <w:sz w:val="24"/>
          <w:szCs w:val="24"/>
          <w:lang w:val="ro-RO"/>
        </w:rPr>
        <w:t>Dimensionarea căilor de evacuare</w:t>
      </w:r>
      <w:bookmarkEnd w:id="10650"/>
      <w:bookmarkEnd w:id="10651"/>
      <w:bookmarkEnd w:id="10652"/>
      <w:bookmarkEnd w:id="10653"/>
      <w:bookmarkEnd w:id="10654"/>
      <w:bookmarkEnd w:id="10655"/>
    </w:p>
    <w:p w14:paraId="5B8FA6F3" w14:textId="77777777" w:rsidR="001C08A5" w:rsidRDefault="00000000">
      <w:pPr>
        <w:pStyle w:val="Heading6"/>
        <w:rPr>
          <w:i/>
          <w:iCs/>
        </w:rPr>
      </w:pPr>
      <w:bookmarkStart w:id="10656" w:name="_Toc2132"/>
      <w:bookmarkStart w:id="10657" w:name="_Toc29185"/>
      <w:bookmarkStart w:id="10658" w:name="_Toc4301"/>
      <w:bookmarkStart w:id="10659" w:name="_Toc7898"/>
      <w:bookmarkStart w:id="10660" w:name="_Toc162355560"/>
      <w:bookmarkStart w:id="10661" w:name="_Toc10756"/>
      <w:r>
        <w:rPr>
          <w:i/>
          <w:iCs/>
        </w:rPr>
        <w:t>Criterii de calcul</w:t>
      </w:r>
      <w:bookmarkEnd w:id="10656"/>
      <w:bookmarkEnd w:id="10657"/>
      <w:bookmarkEnd w:id="10658"/>
      <w:bookmarkEnd w:id="10659"/>
      <w:bookmarkEnd w:id="10660"/>
      <w:bookmarkEnd w:id="10661"/>
    </w:p>
    <w:p w14:paraId="3104A8D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2.5.48.</w:t>
      </w:r>
      <w:r>
        <w:rPr>
          <w:rFonts w:eastAsia="Calibri"/>
          <w:i/>
          <w:sz w:val="24"/>
          <w:szCs w:val="24"/>
          <w:shd w:val="clear" w:color="auto" w:fill="FFFFFF"/>
        </w:rPr>
        <w:t> Calculul căilor de evacuare (pentru mai mult de cinci persoane) constă în determinarea gabaritelor necesare și stabilirea lungimii traseelor, astfel încât să se asigure evacuarea rapidă din construcția existentă, în timpul normat, în acord cu lungimile de evacuare prevăzute.</w:t>
      </w:r>
    </w:p>
    <w:p w14:paraId="1ACD536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2.5.49.</w:t>
      </w:r>
      <w:r>
        <w:rPr>
          <w:rFonts w:eastAsia="Calibri"/>
          <w:i/>
          <w:sz w:val="24"/>
          <w:szCs w:val="24"/>
          <w:shd w:val="clear" w:color="auto" w:fill="FFFFFF"/>
        </w:rPr>
        <w:t> Evacuarea persoanelor din construcția existentă se consideră că se face ordonat, sub formă de fluxuri (șiruri de persoane așezate una în spatele celeilalte), care circulă prin căile de evacuare spre exteriorul construcției.</w:t>
      </w:r>
    </w:p>
    <w:p w14:paraId="5204C14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2.5.50.</w:t>
      </w:r>
      <w:r>
        <w:rPr>
          <w:rFonts w:eastAsia="Calibri"/>
          <w:i/>
          <w:sz w:val="24"/>
          <w:szCs w:val="24"/>
          <w:shd w:val="clear" w:color="auto" w:fill="FFFFFF"/>
        </w:rPr>
        <w:t> Numărul de fluxuri ce trebuie asigurat pentru evacuarea persoanelor și gabaritele necesare trecerii fluxurilor de evacuare se calculează conform prevederilor anexei.</w:t>
      </w:r>
    </w:p>
    <w:p w14:paraId="1B7873A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2.5.51.</w:t>
      </w:r>
      <w:r>
        <w:rPr>
          <w:rFonts w:eastAsia="Calibri"/>
          <w:i/>
          <w:sz w:val="24"/>
          <w:szCs w:val="24"/>
          <w:shd w:val="clear" w:color="auto" w:fill="FFFFFF"/>
        </w:rPr>
        <w:t> Lățimea rampelor scărilor de evacuare, de regulă, se determină după nivelul din care provine cel mai mare număr de fluxuri, fără a se cumula fluxurile care vin de la niveluri diferite, cu excepțiile prevăzute în anexă.</w:t>
      </w:r>
    </w:p>
    <w:p w14:paraId="76F893F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2.5.52.</w:t>
      </w:r>
      <w:r>
        <w:rPr>
          <w:rFonts w:eastAsia="Calibri"/>
          <w:i/>
          <w:sz w:val="24"/>
          <w:szCs w:val="24"/>
          <w:shd w:val="clear" w:color="auto" w:fill="FFFFFF"/>
        </w:rPr>
        <w:t> Dacă deasupra nivelului care determină dimensionarea rampelor scării se află alte niveluri cu un număr mai mic de persoane, lățimea porțiunii de scară situată deasupra sa poate fi mai mică, fiind dimensionată corespunzător numărului de persoane cel mai mare al unuia din nivelurile respective.</w:t>
      </w:r>
    </w:p>
    <w:p w14:paraId="3952736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2.5.53.</w:t>
      </w:r>
      <w:r>
        <w:rPr>
          <w:rFonts w:eastAsia="Calibri"/>
          <w:i/>
          <w:sz w:val="24"/>
          <w:szCs w:val="24"/>
          <w:shd w:val="clear" w:color="auto" w:fill="FFFFFF"/>
        </w:rPr>
        <w:t xml:space="preserve"> La scările cu rampe ramificate, calculul lățimii se face pentru rampa principală. Lățimea fiecărei rampe ramificate trebuie să fie de cel puțin </w:t>
      </w:r>
      <w:r>
        <w:rPr>
          <w:rFonts w:eastAsia="Calibri"/>
          <w:b/>
          <w:bCs/>
          <w:i/>
          <w:sz w:val="24"/>
          <w:szCs w:val="24"/>
          <w:shd w:val="clear" w:color="auto" w:fill="FFFFFF"/>
        </w:rPr>
        <w:t>60%</w:t>
      </w:r>
      <w:r>
        <w:rPr>
          <w:rFonts w:eastAsia="Calibri"/>
          <w:i/>
          <w:sz w:val="24"/>
          <w:szCs w:val="24"/>
          <w:shd w:val="clear" w:color="auto" w:fill="FFFFFF"/>
        </w:rPr>
        <w:t xml:space="preserve"> din lățimea rampei principale.</w:t>
      </w:r>
    </w:p>
    <w:p w14:paraId="2B231C0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2.5.54.</w:t>
      </w:r>
      <w:r>
        <w:rPr>
          <w:rFonts w:eastAsia="Calibri"/>
          <w:i/>
          <w:sz w:val="24"/>
          <w:szCs w:val="24"/>
          <w:shd w:val="clear" w:color="auto" w:fill="FFFFFF"/>
        </w:rPr>
        <w:t> Lățimea fiecărui podest al scărilor de evacuare nu trebuie să fie mai mică decât cea a celei mai late rampe pe care o intersectează. La scările cu rampe ramificate lățimea podestului central va fi cel puțin egală cu a celei mai late rampe ramificate.</w:t>
      </w:r>
    </w:p>
    <w:p w14:paraId="7CF7F76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2.5.55.</w:t>
      </w:r>
      <w:r>
        <w:rPr>
          <w:rFonts w:eastAsia="Calibri"/>
          <w:i/>
          <w:sz w:val="24"/>
          <w:szCs w:val="24"/>
          <w:shd w:val="clear" w:color="auto" w:fill="FFFFFF"/>
        </w:rPr>
        <w:t> Atunci când căile de evacuare în exterior ale celorlalte niveluri sunt comune cu cele ale parterului, lățimea ieșirilor spre exterior (uși de la nivelul parterului) trebuie să asigure trecerea numărului total de persoane determinat prin însumarea:</w:t>
      </w:r>
    </w:p>
    <w:p w14:paraId="4FDC5FEC"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numărului de persoane care vin prin scări interioare de la nivelul cel mai populat</w:t>
      </w: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al</w:t>
      </w: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clădirii</w:t>
      </w:r>
      <w:r>
        <w:rPr>
          <w:rFonts w:eastAsia="Calibri"/>
          <w:i/>
          <w:sz w:val="24"/>
          <w:szCs w:val="24"/>
          <w:shd w:val="clear" w:color="auto" w:fill="FFFFFF"/>
          <w:lang w:eastAsia="zh-CN" w:bidi="ar"/>
        </w:rPr>
        <w:t xml:space="preserve"> </w:t>
      </w:r>
      <w:r>
        <w:rPr>
          <w:rFonts w:eastAsia="Calibri"/>
          <w:i/>
          <w:sz w:val="24"/>
          <w:szCs w:val="24"/>
          <w:shd w:val="clear" w:color="auto" w:fill="FFFFFF"/>
        </w:rPr>
        <w:t>existente</w:t>
      </w:r>
      <w:r>
        <w:rPr>
          <w:rFonts w:eastAsia="Calibri"/>
          <w:i/>
          <w:sz w:val="24"/>
          <w:szCs w:val="24"/>
          <w:shd w:val="clear" w:color="auto" w:fill="FFFFFF"/>
          <w:lang w:val="en-US" w:eastAsia="zh-CN" w:bidi="ar"/>
        </w:rPr>
        <w:t>;</w:t>
      </w:r>
    </w:p>
    <w:p w14:paraId="5458D1A7"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60% din numărul de persoane aflate la parterul clădirii</w:t>
      </w:r>
      <w:r>
        <w:rPr>
          <w:rFonts w:eastAsia="Calibri"/>
          <w:i/>
          <w:sz w:val="24"/>
          <w:szCs w:val="24"/>
          <w:shd w:val="clear" w:color="auto" w:fill="FFFFFF"/>
          <w:lang w:eastAsia="zh-CN" w:bidi="ar"/>
        </w:rPr>
        <w:t xml:space="preserve"> </w:t>
      </w:r>
      <w:r>
        <w:rPr>
          <w:rFonts w:eastAsia="Calibri"/>
          <w:i/>
          <w:sz w:val="24"/>
          <w:szCs w:val="24"/>
          <w:shd w:val="clear" w:color="auto" w:fill="FFFFFF"/>
        </w:rPr>
        <w:t>existente</w:t>
      </w:r>
      <w:r>
        <w:rPr>
          <w:rFonts w:eastAsia="Calibri"/>
          <w:i/>
          <w:sz w:val="24"/>
          <w:szCs w:val="24"/>
          <w:shd w:val="clear" w:color="auto" w:fill="FFFFFF"/>
          <w:lang w:val="en-US" w:eastAsia="zh-CN" w:bidi="ar"/>
        </w:rPr>
        <w:t>;</w:t>
      </w:r>
    </w:p>
    <w:p w14:paraId="6E6FC33D" w14:textId="77777777" w:rsidR="001C08A5" w:rsidRDefault="00000000">
      <w:pPr>
        <w:shd w:val="clear" w:color="auto" w:fill="FFFFFF"/>
        <w:ind w:left="1440" w:firstLine="720"/>
        <w:jc w:val="both"/>
        <w:rPr>
          <w:rFonts w:eastAsia="Calibri"/>
          <w:i/>
          <w:sz w:val="24"/>
          <w:szCs w:val="24"/>
          <w:shd w:val="clear" w:color="auto" w:fill="FFFFFF"/>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60% din numărul de persoane care vin prin scările interioare de la subsol.</w:t>
      </w:r>
    </w:p>
    <w:p w14:paraId="50A1F79E" w14:textId="77777777" w:rsidR="001C08A5" w:rsidRDefault="00000000">
      <w:pPr>
        <w:pStyle w:val="Heading6"/>
        <w:rPr>
          <w:i/>
          <w:iCs/>
        </w:rPr>
      </w:pPr>
      <w:bookmarkStart w:id="10662" w:name="_Toc21747"/>
      <w:bookmarkStart w:id="10663" w:name="_Toc17457"/>
      <w:bookmarkStart w:id="10664" w:name="_Toc25342"/>
      <w:bookmarkStart w:id="10665" w:name="_Toc162355561"/>
      <w:bookmarkStart w:id="10666" w:name="_Toc28440"/>
      <w:bookmarkStart w:id="10667" w:name="_Toc25544"/>
      <w:r>
        <w:rPr>
          <w:i/>
          <w:iCs/>
        </w:rPr>
        <w:t>Determinarea fluxurilor de evacuare</w:t>
      </w:r>
      <w:bookmarkEnd w:id="10662"/>
      <w:bookmarkEnd w:id="10663"/>
      <w:bookmarkEnd w:id="10664"/>
      <w:bookmarkEnd w:id="10665"/>
      <w:bookmarkEnd w:id="10666"/>
      <w:bookmarkEnd w:id="10667"/>
    </w:p>
    <w:p w14:paraId="70A536F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2.5.56.</w:t>
      </w:r>
      <w:r>
        <w:rPr>
          <w:rFonts w:eastAsia="Calibri"/>
          <w:i/>
          <w:sz w:val="24"/>
          <w:szCs w:val="24"/>
          <w:shd w:val="clear" w:color="auto" w:fill="FFFFFF"/>
        </w:rPr>
        <w:t> Numărul de fluxuri ce trebuie asigurate pentru evacuarea persoanelor se determină cu relația:</w:t>
      </w:r>
    </w:p>
    <w:p w14:paraId="0D3BC33C" w14:textId="77777777" w:rsidR="001C08A5" w:rsidRDefault="00000000">
      <w:pPr>
        <w:shd w:val="clear" w:color="auto" w:fill="FFFFFF"/>
        <w:jc w:val="center"/>
        <w:rPr>
          <w:rFonts w:eastAsia="Calibri"/>
          <w:i/>
          <w:sz w:val="24"/>
          <w:szCs w:val="24"/>
        </w:rPr>
      </w:pPr>
      <w:r>
        <w:rPr>
          <w:rFonts w:eastAsia="Calibri"/>
          <w:i/>
          <w:sz w:val="24"/>
          <w:szCs w:val="24"/>
          <w:shd w:val="clear" w:color="auto" w:fill="FFFFFF"/>
          <w:lang w:val="en-US" w:eastAsia="zh-CN" w:bidi="ar"/>
        </w:rPr>
        <w:t>F = N/C</w:t>
      </w:r>
    </w:p>
    <w:p w14:paraId="48BD8C2B"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în care:</w:t>
      </w:r>
    </w:p>
    <w:p w14:paraId="2AB73061"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F = numărul de fluxuri;</w:t>
      </w:r>
    </w:p>
    <w:p w14:paraId="50C7BC26"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N = numărul de persoane care trebuie să treacă prin calea de evacuare</w:t>
      </w:r>
    </w:p>
    <w:p w14:paraId="1989DF84"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C = capacitatea normată, de evacuare a unui flux;</w:t>
      </w:r>
    </w:p>
    <w:p w14:paraId="59507908"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Rezultatele din relație se rotunjesc la numărul întreg imediat superior.</w:t>
      </w:r>
    </w:p>
    <w:p w14:paraId="7F401CF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2.5.57.</w:t>
      </w:r>
      <w:r>
        <w:rPr>
          <w:rFonts w:eastAsia="Calibri"/>
          <w:i/>
          <w:sz w:val="24"/>
          <w:szCs w:val="24"/>
          <w:shd w:val="clear" w:color="auto" w:fill="FFFFFF"/>
        </w:rPr>
        <w:t> Numărul de persoane (N) pentru care se calculează căile de evacuare este constituit din capacitatea maximă simultană de persoane, stabilită prin proiect pe niveluri și total construcție existentă.</w:t>
      </w:r>
    </w:p>
    <w:p w14:paraId="59A33F1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2.5.58.</w:t>
      </w:r>
      <w:r>
        <w:rPr>
          <w:rFonts w:eastAsia="Calibri"/>
          <w:i/>
          <w:sz w:val="24"/>
          <w:szCs w:val="24"/>
          <w:shd w:val="clear" w:color="auto" w:fill="FFFFFF"/>
        </w:rPr>
        <w:t> Capacitatea de evacuare a unui flux (C) se determină în funcție de tipul, destinația și riscul de incendiu a construcției existente, conform prevederilor anexei.</w:t>
      </w:r>
    </w:p>
    <w:p w14:paraId="66B9153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2.5.59.</w:t>
      </w:r>
      <w:r>
        <w:rPr>
          <w:rFonts w:eastAsia="Calibri"/>
          <w:i/>
          <w:sz w:val="24"/>
          <w:szCs w:val="24"/>
          <w:shd w:val="clear" w:color="auto" w:fill="FFFFFF"/>
        </w:rPr>
        <w:t> Pentru construcțiile existente în care se pot afla simultan un număr mare de persoane, numărul de fluxuri de evacuare rezultat din calcul pentru ușile exterioare ale construcției poate fi redus procentual, cu acordul scris al beneficiarului (cu asumarea răspunderii acestuia), astfel:</w:t>
      </w:r>
    </w:p>
    <w:p w14:paraId="657015CE"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cu </w:t>
      </w:r>
      <w:r>
        <w:rPr>
          <w:rFonts w:eastAsia="Calibri"/>
          <w:b/>
          <w:bCs/>
          <w:i/>
          <w:sz w:val="24"/>
          <w:szCs w:val="24"/>
          <w:shd w:val="clear" w:color="auto" w:fill="FFFFFF"/>
          <w:lang w:val="en-US" w:eastAsia="zh-CN" w:bidi="ar"/>
        </w:rPr>
        <w:t>10%</w:t>
      </w:r>
      <w:r>
        <w:rPr>
          <w:rFonts w:eastAsia="Calibri"/>
          <w:i/>
          <w:sz w:val="24"/>
          <w:szCs w:val="24"/>
          <w:shd w:val="clear" w:color="auto" w:fill="FFFFFF"/>
          <w:lang w:val="en-US" w:eastAsia="zh-CN" w:bidi="ar"/>
        </w:rPr>
        <w:t xml:space="preserve"> pentru cele care necesită </w:t>
      </w:r>
      <w:r>
        <w:rPr>
          <w:rFonts w:eastAsia="Calibri"/>
          <w:b/>
          <w:bCs/>
          <w:i/>
          <w:sz w:val="24"/>
          <w:szCs w:val="24"/>
          <w:shd w:val="clear" w:color="auto" w:fill="FFFFFF"/>
          <w:lang w:val="en-US" w:eastAsia="zh-CN" w:bidi="ar"/>
        </w:rPr>
        <w:t>10-20</w:t>
      </w:r>
      <w:r>
        <w:rPr>
          <w:rFonts w:eastAsia="Calibri"/>
          <w:i/>
          <w:sz w:val="24"/>
          <w:szCs w:val="24"/>
          <w:shd w:val="clear" w:color="auto" w:fill="FFFFFF"/>
          <w:lang w:val="en-US" w:eastAsia="zh-CN" w:bidi="ar"/>
        </w:rPr>
        <w:t xml:space="preserve"> fluxuri de evacuare;</w:t>
      </w:r>
    </w:p>
    <w:p w14:paraId="18016178"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cu </w:t>
      </w:r>
      <w:r>
        <w:rPr>
          <w:rFonts w:eastAsia="Calibri"/>
          <w:b/>
          <w:bCs/>
          <w:i/>
          <w:sz w:val="24"/>
          <w:szCs w:val="24"/>
          <w:shd w:val="clear" w:color="auto" w:fill="FFFFFF"/>
          <w:lang w:val="en-US" w:eastAsia="zh-CN" w:bidi="ar"/>
        </w:rPr>
        <w:t>20%</w:t>
      </w:r>
      <w:r>
        <w:rPr>
          <w:rFonts w:eastAsia="Calibri"/>
          <w:i/>
          <w:sz w:val="24"/>
          <w:szCs w:val="24"/>
          <w:shd w:val="clear" w:color="auto" w:fill="FFFFFF"/>
          <w:lang w:val="en-US" w:eastAsia="zh-CN" w:bidi="ar"/>
        </w:rPr>
        <w:t xml:space="preserve"> pentru </w:t>
      </w:r>
      <w:r>
        <w:rPr>
          <w:rFonts w:eastAsia="Calibri"/>
          <w:b/>
          <w:bCs/>
          <w:i/>
          <w:sz w:val="24"/>
          <w:szCs w:val="24"/>
          <w:shd w:val="clear" w:color="auto" w:fill="FFFFFF"/>
          <w:lang w:val="en-US" w:eastAsia="zh-CN" w:bidi="ar"/>
        </w:rPr>
        <w:t>21-30</w:t>
      </w:r>
      <w:r>
        <w:rPr>
          <w:rFonts w:eastAsia="Calibri"/>
          <w:i/>
          <w:sz w:val="24"/>
          <w:szCs w:val="24"/>
          <w:shd w:val="clear" w:color="auto" w:fill="FFFFFF"/>
          <w:lang w:val="en-US" w:eastAsia="zh-CN" w:bidi="ar"/>
        </w:rPr>
        <w:t xml:space="preserve"> fluxuri;</w:t>
      </w:r>
    </w:p>
    <w:p w14:paraId="08050613" w14:textId="77777777" w:rsidR="001C08A5" w:rsidRDefault="00000000">
      <w:pPr>
        <w:shd w:val="clear" w:color="auto" w:fill="FFFFFF"/>
        <w:ind w:left="720" w:firstLine="720"/>
        <w:jc w:val="both"/>
        <w:rPr>
          <w:rFonts w:eastAsia="Calibri"/>
          <w:i/>
          <w:sz w:val="24"/>
          <w:szCs w:val="24"/>
          <w:shd w:val="clear" w:color="auto" w:fill="FFFFFF"/>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cu </w:t>
      </w:r>
      <w:r>
        <w:rPr>
          <w:rFonts w:eastAsia="Calibri"/>
          <w:b/>
          <w:bCs/>
          <w:i/>
          <w:sz w:val="24"/>
          <w:szCs w:val="24"/>
          <w:shd w:val="clear" w:color="auto" w:fill="FFFFFF"/>
          <w:lang w:val="en-US" w:eastAsia="zh-CN" w:bidi="ar"/>
        </w:rPr>
        <w:t>25%</w:t>
      </w:r>
      <w:r>
        <w:rPr>
          <w:rFonts w:eastAsia="Calibri"/>
          <w:i/>
          <w:sz w:val="24"/>
          <w:szCs w:val="24"/>
          <w:shd w:val="clear" w:color="auto" w:fill="FFFFFF"/>
          <w:lang w:val="en-US" w:eastAsia="zh-CN" w:bidi="ar"/>
        </w:rPr>
        <w:t xml:space="preserve"> pentru mai mult de </w:t>
      </w:r>
      <w:r>
        <w:rPr>
          <w:rFonts w:eastAsia="Calibri"/>
          <w:b/>
          <w:bCs/>
          <w:i/>
          <w:sz w:val="24"/>
          <w:szCs w:val="24"/>
          <w:shd w:val="clear" w:color="auto" w:fill="FFFFFF"/>
          <w:lang w:val="en-US" w:eastAsia="zh-CN" w:bidi="ar"/>
        </w:rPr>
        <w:t>30</w:t>
      </w:r>
      <w:r>
        <w:rPr>
          <w:rFonts w:eastAsia="Calibri"/>
          <w:i/>
          <w:sz w:val="24"/>
          <w:szCs w:val="24"/>
          <w:shd w:val="clear" w:color="auto" w:fill="FFFFFF"/>
          <w:lang w:val="en-US" w:eastAsia="zh-CN" w:bidi="ar"/>
        </w:rPr>
        <w:t xml:space="preserve"> fluxuri.</w:t>
      </w:r>
    </w:p>
    <w:p w14:paraId="43C6B356" w14:textId="77777777" w:rsidR="001C08A5" w:rsidRDefault="00000000">
      <w:pPr>
        <w:pStyle w:val="Heading6"/>
        <w:rPr>
          <w:i/>
          <w:iCs/>
        </w:rPr>
      </w:pPr>
      <w:bookmarkStart w:id="10668" w:name="_Toc162355562"/>
      <w:bookmarkStart w:id="10669" w:name="_Toc18474"/>
      <w:bookmarkStart w:id="10670" w:name="_Toc1619"/>
      <w:bookmarkStart w:id="10671" w:name="_Toc3194"/>
      <w:bookmarkStart w:id="10672" w:name="_Toc5243"/>
      <w:bookmarkStart w:id="10673" w:name="_Toc7334"/>
      <w:r>
        <w:rPr>
          <w:i/>
          <w:iCs/>
        </w:rPr>
        <w:t>Gabaritele căilor de evacuare</w:t>
      </w:r>
      <w:bookmarkEnd w:id="10668"/>
      <w:bookmarkEnd w:id="10669"/>
      <w:bookmarkEnd w:id="10670"/>
      <w:bookmarkEnd w:id="10671"/>
      <w:bookmarkEnd w:id="10672"/>
      <w:bookmarkEnd w:id="10673"/>
    </w:p>
    <w:p w14:paraId="38DAB91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2.5.60.</w:t>
      </w:r>
      <w:r>
        <w:rPr>
          <w:rFonts w:eastAsia="Calibri"/>
          <w:i/>
          <w:sz w:val="24"/>
          <w:szCs w:val="24"/>
          <w:shd w:val="clear" w:color="auto" w:fill="FFFFFF"/>
        </w:rPr>
        <w:t> Lățimea liberă necesară pentru trecerea fluxurilor de evacuare, în raport cu numărul acestora, este de minimum:</w:t>
      </w:r>
    </w:p>
    <w:p w14:paraId="39FA9E50"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80</w:t>
      </w:r>
      <w:r>
        <w:rPr>
          <w:rFonts w:eastAsia="Calibri"/>
          <w:i/>
          <w:sz w:val="24"/>
          <w:szCs w:val="24"/>
          <w:shd w:val="clear" w:color="auto" w:fill="FFFFFF"/>
          <w:lang w:val="en-US" w:eastAsia="zh-CN" w:bidi="ar"/>
        </w:rPr>
        <w:t xml:space="preserve"> </w:t>
      </w:r>
      <w:r>
        <w:rPr>
          <w:rFonts w:eastAsia="Calibri"/>
          <w:i/>
          <w:sz w:val="24"/>
          <w:szCs w:val="24"/>
          <w:shd w:val="clear" w:color="auto" w:fill="FFFFFF"/>
          <w:lang w:eastAsia="zh-CN" w:bidi="ar"/>
        </w:rPr>
        <w:t>c</w:t>
      </w:r>
      <w:r>
        <w:rPr>
          <w:rFonts w:eastAsia="Calibri"/>
          <w:i/>
          <w:sz w:val="24"/>
          <w:szCs w:val="24"/>
          <w:shd w:val="clear" w:color="auto" w:fill="FFFFFF"/>
          <w:lang w:val="en-US" w:eastAsia="zh-CN" w:bidi="ar"/>
        </w:rPr>
        <w:t>m pentru un flux;</w:t>
      </w:r>
    </w:p>
    <w:p w14:paraId="5E98346F"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1,10</w:t>
      </w:r>
      <w:r>
        <w:rPr>
          <w:rFonts w:eastAsia="Calibri"/>
          <w:i/>
          <w:sz w:val="24"/>
          <w:szCs w:val="24"/>
          <w:shd w:val="clear" w:color="auto" w:fill="FFFFFF"/>
          <w:lang w:val="en-US" w:eastAsia="zh-CN" w:bidi="ar"/>
        </w:rPr>
        <w:t xml:space="preserve"> m pentru două fluxuri;</w:t>
      </w:r>
    </w:p>
    <w:p w14:paraId="10206A35"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1,60</w:t>
      </w:r>
      <w:r>
        <w:rPr>
          <w:rFonts w:eastAsia="Calibri"/>
          <w:i/>
          <w:sz w:val="24"/>
          <w:szCs w:val="24"/>
          <w:shd w:val="clear" w:color="auto" w:fill="FFFFFF"/>
          <w:lang w:val="en-US" w:eastAsia="zh-CN" w:bidi="ar"/>
        </w:rPr>
        <w:t xml:space="preserve"> m pentru trei fluxuri;</w:t>
      </w:r>
    </w:p>
    <w:p w14:paraId="46972B9A"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2,10</w:t>
      </w:r>
      <w:r>
        <w:rPr>
          <w:rFonts w:eastAsia="Calibri"/>
          <w:i/>
          <w:sz w:val="24"/>
          <w:szCs w:val="24"/>
          <w:shd w:val="clear" w:color="auto" w:fill="FFFFFF"/>
          <w:lang w:val="en-US" w:eastAsia="zh-CN" w:bidi="ar"/>
        </w:rPr>
        <w:t xml:space="preserve"> m pentru patru fluxuri;</w:t>
      </w:r>
    </w:p>
    <w:p w14:paraId="30707D33"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2,50</w:t>
      </w:r>
      <w:r>
        <w:rPr>
          <w:rFonts w:eastAsia="Calibri"/>
          <w:i/>
          <w:sz w:val="24"/>
          <w:szCs w:val="24"/>
          <w:shd w:val="clear" w:color="auto" w:fill="FFFFFF"/>
          <w:lang w:val="en-US" w:eastAsia="zh-CN" w:bidi="ar"/>
        </w:rPr>
        <w:t xml:space="preserve"> m pentru cinci fluxuri;</w:t>
      </w:r>
    </w:p>
    <w:p w14:paraId="667FE797"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Lățimile intermediare se consideră valabile pentru trecerea numărului inferior de fluxuri.</w:t>
      </w:r>
    </w:p>
    <w:p w14:paraId="53E4726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2.5.61.</w:t>
      </w:r>
      <w:r>
        <w:rPr>
          <w:rFonts w:eastAsia="Calibri"/>
          <w:i/>
          <w:sz w:val="24"/>
          <w:szCs w:val="24"/>
          <w:shd w:val="clear" w:color="auto" w:fill="FFFFFF"/>
        </w:rPr>
        <w:t xml:space="preserve"> Lățimea căilor de evacuare pentru mai mult de </w:t>
      </w:r>
      <w:r>
        <w:rPr>
          <w:rFonts w:eastAsia="Calibri"/>
          <w:b/>
          <w:bCs/>
          <w:i/>
          <w:sz w:val="24"/>
          <w:szCs w:val="24"/>
          <w:shd w:val="clear" w:color="auto" w:fill="FFFFFF"/>
        </w:rPr>
        <w:t>50</w:t>
      </w:r>
      <w:r>
        <w:rPr>
          <w:rFonts w:eastAsia="Calibri"/>
          <w:i/>
          <w:sz w:val="24"/>
          <w:szCs w:val="24"/>
          <w:shd w:val="clear" w:color="auto" w:fill="FFFFFF"/>
        </w:rPr>
        <w:t xml:space="preserve"> de persoane, nu va fi micșorată în sensul de circulație spre exterior, chiar dacă este mai mare decât cea rezultată din calcul.</w:t>
      </w:r>
    </w:p>
    <w:p w14:paraId="7E06D95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2.5.62.</w:t>
      </w:r>
      <w:r>
        <w:rPr>
          <w:rFonts w:eastAsia="Calibri"/>
          <w:i/>
          <w:sz w:val="24"/>
          <w:szCs w:val="24"/>
          <w:shd w:val="clear" w:color="auto" w:fill="FFFFFF"/>
        </w:rPr>
        <w:t xml:space="preserve"> Dimensiunile brute (nefinisate) ale coridoarelor și ale scărilor precum și cele ale golurilor de comunicație practicate în pereții acestora (uși), se stabilesc astfel încât spațiul liber necesar pentru trecerea numărului de fluxuri să nu fie redus cu mai mult de </w:t>
      </w:r>
      <w:r>
        <w:rPr>
          <w:rFonts w:eastAsia="Calibri"/>
          <w:b/>
          <w:bCs/>
          <w:i/>
          <w:sz w:val="24"/>
          <w:szCs w:val="24"/>
          <w:shd w:val="clear" w:color="auto" w:fill="FFFFFF"/>
        </w:rPr>
        <w:t>10 cm</w:t>
      </w:r>
      <w:r>
        <w:rPr>
          <w:rFonts w:eastAsia="Calibri"/>
          <w:i/>
          <w:sz w:val="24"/>
          <w:szCs w:val="24"/>
          <w:shd w:val="clear" w:color="auto" w:fill="FFFFFF"/>
        </w:rPr>
        <w:t xml:space="preserve"> pe înălțimea de maximum </w:t>
      </w:r>
      <w:r>
        <w:rPr>
          <w:rFonts w:eastAsia="Calibri"/>
          <w:b/>
          <w:bCs/>
          <w:i/>
          <w:sz w:val="24"/>
          <w:szCs w:val="24"/>
          <w:shd w:val="clear" w:color="auto" w:fill="FFFFFF"/>
        </w:rPr>
        <w:t>2,10 m</w:t>
      </w:r>
      <w:r>
        <w:rPr>
          <w:rFonts w:eastAsia="Calibri"/>
          <w:i/>
          <w:sz w:val="24"/>
          <w:szCs w:val="24"/>
          <w:shd w:val="clear" w:color="auto" w:fill="FFFFFF"/>
        </w:rPr>
        <w:t xml:space="preserve"> de la cota pardoselii (prin proeminențe ale pereților, tocurilor, căptușelilor, canaturilor, de uși sau ferestre în poziție deschisă, finisajelor interioare, instalațiilor, etc). Lățimea </w:t>
      </w:r>
      <w:r>
        <w:rPr>
          <w:rFonts w:eastAsia="Calibri"/>
          <w:i/>
          <w:sz w:val="24"/>
          <w:szCs w:val="24"/>
          <w:shd w:val="clear" w:color="auto" w:fill="FFFFFF"/>
        </w:rPr>
        <w:lastRenderedPageBreak/>
        <w:t xml:space="preserve">rampelor scărilor se măsoară până la balustrade, (care de regulă nu trebuie să micșoreze gabaritul liberal circulației). Reducerea de </w:t>
      </w:r>
      <w:r>
        <w:rPr>
          <w:rFonts w:eastAsia="Calibri"/>
          <w:b/>
          <w:bCs/>
          <w:i/>
          <w:sz w:val="24"/>
          <w:szCs w:val="24"/>
          <w:shd w:val="clear" w:color="auto" w:fill="FFFFFF"/>
        </w:rPr>
        <w:t>10 cm</w:t>
      </w:r>
      <w:r>
        <w:rPr>
          <w:rFonts w:eastAsia="Calibri"/>
          <w:i/>
          <w:sz w:val="24"/>
          <w:szCs w:val="24"/>
          <w:shd w:val="clear" w:color="auto" w:fill="FFFFFF"/>
        </w:rPr>
        <w:t xml:space="preserve"> se aplică doar pe înălțime.</w:t>
      </w:r>
    </w:p>
    <w:p w14:paraId="67CD210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2.5.63.</w:t>
      </w:r>
      <w:r>
        <w:rPr>
          <w:rFonts w:eastAsia="Calibri"/>
          <w:i/>
          <w:sz w:val="24"/>
          <w:szCs w:val="24"/>
          <w:shd w:val="clear" w:color="auto" w:fill="FFFFFF"/>
        </w:rPr>
        <w:t xml:space="preserve"> În pereții coridoarelorși scărilor pentru evacuarea a mai mult de </w:t>
      </w:r>
      <w:r>
        <w:rPr>
          <w:rFonts w:eastAsia="Calibri"/>
          <w:b/>
          <w:bCs/>
          <w:i/>
          <w:sz w:val="24"/>
          <w:szCs w:val="24"/>
          <w:shd w:val="clear" w:color="auto" w:fill="FFFFFF"/>
        </w:rPr>
        <w:t>50</w:t>
      </w:r>
      <w:r>
        <w:rPr>
          <w:rFonts w:eastAsia="Calibri"/>
          <w:i/>
          <w:sz w:val="24"/>
          <w:szCs w:val="24"/>
          <w:shd w:val="clear" w:color="auto" w:fill="FFFFFF"/>
        </w:rPr>
        <w:t xml:space="preserve"> de persoane sunt admise nișe cu parapetul (limita inferioară) la mai mult de </w:t>
      </w:r>
      <w:r>
        <w:rPr>
          <w:rFonts w:eastAsia="Calibri"/>
          <w:b/>
          <w:bCs/>
          <w:i/>
          <w:sz w:val="24"/>
          <w:szCs w:val="24"/>
          <w:shd w:val="clear" w:color="auto" w:fill="FFFFFF"/>
        </w:rPr>
        <w:t>1,20 m</w:t>
      </w:r>
      <w:r>
        <w:rPr>
          <w:rFonts w:eastAsia="Calibri"/>
          <w:i/>
          <w:sz w:val="24"/>
          <w:szCs w:val="24"/>
          <w:shd w:val="clear" w:color="auto" w:fill="FFFFFF"/>
        </w:rPr>
        <w:t xml:space="preserve"> deasupra pardoselii sau cu marginea lor superioară la maximum </w:t>
      </w:r>
      <w:r>
        <w:rPr>
          <w:rFonts w:eastAsia="Calibri"/>
          <w:b/>
          <w:bCs/>
          <w:i/>
          <w:sz w:val="24"/>
          <w:szCs w:val="24"/>
          <w:shd w:val="clear" w:color="auto" w:fill="FFFFFF"/>
        </w:rPr>
        <w:t>90</w:t>
      </w:r>
      <w:r>
        <w:rPr>
          <w:rFonts w:eastAsia="Calibri"/>
          <w:i/>
          <w:sz w:val="24"/>
          <w:szCs w:val="24"/>
          <w:shd w:val="clear" w:color="auto" w:fill="FFFFFF"/>
        </w:rPr>
        <w:t xml:space="preserve"> cm de pardoseală.</w:t>
      </w:r>
    </w:p>
    <w:p w14:paraId="43798A9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2.5.64.</w:t>
      </w:r>
      <w:r>
        <w:rPr>
          <w:rFonts w:eastAsia="Calibri"/>
          <w:i/>
          <w:sz w:val="24"/>
          <w:szCs w:val="24"/>
          <w:shd w:val="clear" w:color="auto" w:fill="FFFFFF"/>
        </w:rPr>
        <w:t xml:space="preserve"> Lățimea coridoarelor, rampelor și podestelor scărilor ce sunt utilizate pentru evacuarea a peste </w:t>
      </w:r>
      <w:r>
        <w:rPr>
          <w:rFonts w:eastAsia="Calibri"/>
          <w:b/>
          <w:bCs/>
          <w:i/>
          <w:sz w:val="24"/>
          <w:szCs w:val="24"/>
          <w:shd w:val="clear" w:color="auto" w:fill="FFFFFF"/>
        </w:rPr>
        <w:t>50</w:t>
      </w:r>
      <w:r>
        <w:rPr>
          <w:rFonts w:eastAsia="Calibri"/>
          <w:i/>
          <w:sz w:val="24"/>
          <w:szCs w:val="24"/>
          <w:shd w:val="clear" w:color="auto" w:fill="FFFFFF"/>
        </w:rPr>
        <w:t xml:space="preserve"> de persoane nu trebuie să fie redusă de uși sau ferestre care se deschid spre acestea și pot fi blocate în poziție deschisă de persoanele care se deplasează pentru a ieși din construcția existentă. Fac excepție ferestrele al căror parapet este de cel puțin </w:t>
      </w:r>
      <w:r>
        <w:rPr>
          <w:rFonts w:eastAsia="Calibri"/>
          <w:b/>
          <w:bCs/>
          <w:i/>
          <w:sz w:val="24"/>
          <w:szCs w:val="24"/>
          <w:shd w:val="clear" w:color="auto" w:fill="FFFFFF"/>
        </w:rPr>
        <w:t>2,00 m</w:t>
      </w:r>
      <w:r>
        <w:rPr>
          <w:rFonts w:eastAsia="Calibri"/>
          <w:i/>
          <w:sz w:val="24"/>
          <w:szCs w:val="24"/>
          <w:shd w:val="clear" w:color="auto" w:fill="FFFFFF"/>
        </w:rPr>
        <w:t xml:space="preserve"> față de nivelul pardoselii sau al treptelor din dreptul lor.</w:t>
      </w:r>
    </w:p>
    <w:p w14:paraId="28C7D79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2.5.65.</w:t>
      </w:r>
      <w:r>
        <w:rPr>
          <w:rFonts w:eastAsia="Calibri"/>
          <w:i/>
          <w:sz w:val="24"/>
          <w:szCs w:val="24"/>
          <w:shd w:val="clear" w:color="auto" w:fill="FFFFFF"/>
        </w:rPr>
        <w:t xml:space="preserve"> Ușile deschise spre podestele scărilor de evacuare nu trebuie să reducă gabaritul acestora, determinat prin calcul. În fața ușilor ascensoarelor pentru persoane, de regulă, lățimea podestelor scărilor trebuie să fie de cel puțin </w:t>
      </w:r>
      <w:r>
        <w:rPr>
          <w:rFonts w:eastAsia="Calibri"/>
          <w:b/>
          <w:bCs/>
          <w:i/>
          <w:sz w:val="24"/>
          <w:szCs w:val="24"/>
          <w:shd w:val="clear" w:color="auto" w:fill="FFFFFF"/>
        </w:rPr>
        <w:t>1,60 m</w:t>
      </w:r>
      <w:r>
        <w:rPr>
          <w:rFonts w:eastAsia="Calibri"/>
          <w:i/>
          <w:sz w:val="24"/>
          <w:szCs w:val="24"/>
          <w:shd w:val="clear" w:color="auto" w:fill="FFFFFF"/>
        </w:rPr>
        <w:t xml:space="preserve">. Fac excepție cazurile în care ușile de palier ale ascensoarelor sunt glisante sau se închid rotindu-se în același sens cu cel în care se deplasează fluxul de evacuare spre exterior, cazuri în care lățimea podestului se poate reduce la </w:t>
      </w:r>
      <w:r>
        <w:rPr>
          <w:rFonts w:eastAsia="Calibri"/>
          <w:b/>
          <w:bCs/>
          <w:i/>
          <w:sz w:val="24"/>
          <w:szCs w:val="24"/>
          <w:shd w:val="clear" w:color="auto" w:fill="FFFFFF"/>
        </w:rPr>
        <w:t>1,20 m</w:t>
      </w:r>
      <w:r>
        <w:rPr>
          <w:rFonts w:eastAsia="Calibri"/>
          <w:i/>
          <w:sz w:val="24"/>
          <w:szCs w:val="24"/>
          <w:shd w:val="clear" w:color="auto" w:fill="FFFFFF"/>
        </w:rPr>
        <w:t>.</w:t>
      </w:r>
    </w:p>
    <w:p w14:paraId="15A7AAC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2.5.66.</w:t>
      </w:r>
      <w:r>
        <w:rPr>
          <w:rFonts w:eastAsia="Calibri"/>
          <w:i/>
          <w:sz w:val="24"/>
          <w:szCs w:val="24"/>
          <w:shd w:val="clear" w:color="auto" w:fill="FFFFFF"/>
        </w:rPr>
        <w:t xml:space="preserve"> De regulă lățimea liberă de trecere a unei uși de evacuare nu trebuie să depășească </w:t>
      </w:r>
      <w:r>
        <w:rPr>
          <w:rFonts w:eastAsia="Calibri"/>
          <w:b/>
          <w:bCs/>
          <w:i/>
          <w:sz w:val="24"/>
          <w:szCs w:val="24"/>
          <w:shd w:val="clear" w:color="auto" w:fill="FFFFFF"/>
        </w:rPr>
        <w:t>2,50 m</w:t>
      </w:r>
      <w:r>
        <w:rPr>
          <w:rFonts w:eastAsia="Calibri"/>
          <w:i/>
          <w:sz w:val="24"/>
          <w:szCs w:val="24"/>
          <w:shd w:val="clear" w:color="auto" w:fill="FFFFFF"/>
        </w:rPr>
        <w:t xml:space="preserve">. Dacă lățimea ușii este mai mare, ea se împarte cu montanți solid încastrați în spații de trecere cu lățimea de maximum </w:t>
      </w:r>
      <w:r>
        <w:rPr>
          <w:rFonts w:eastAsia="Calibri"/>
          <w:b/>
          <w:bCs/>
          <w:i/>
          <w:sz w:val="24"/>
          <w:szCs w:val="24"/>
          <w:shd w:val="clear" w:color="auto" w:fill="FFFFFF"/>
        </w:rPr>
        <w:t>2,50 m</w:t>
      </w:r>
      <w:r>
        <w:rPr>
          <w:rFonts w:eastAsia="Calibri"/>
          <w:i/>
          <w:sz w:val="24"/>
          <w:szCs w:val="24"/>
          <w:shd w:val="clear" w:color="auto" w:fill="FFFFFF"/>
        </w:rPr>
        <w:t>. Fac excepție ușile a căror lățime este de cel puțin două ori mai mare decât cea necesară trecerii fluxurilor de evacuare, precum și cele monumentale.</w:t>
      </w:r>
    </w:p>
    <w:p w14:paraId="5C4F811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2.5.67.</w:t>
      </w:r>
      <w:r>
        <w:rPr>
          <w:rFonts w:eastAsia="Calibri"/>
          <w:i/>
          <w:sz w:val="24"/>
          <w:szCs w:val="24"/>
          <w:shd w:val="clear" w:color="auto" w:fill="FFFFFF"/>
        </w:rPr>
        <w:t xml:space="preserve"> Lățimea rampei scărilor de evacuare, de regulă, nu trebuie să fie mai mare de </w:t>
      </w:r>
      <w:r>
        <w:rPr>
          <w:rFonts w:eastAsia="Calibri"/>
          <w:b/>
          <w:bCs/>
          <w:i/>
          <w:sz w:val="24"/>
          <w:szCs w:val="24"/>
          <w:shd w:val="clear" w:color="auto" w:fill="FFFFFF"/>
        </w:rPr>
        <w:t>2,50 m</w:t>
      </w:r>
      <w:r>
        <w:rPr>
          <w:rFonts w:eastAsia="Calibri"/>
          <w:i/>
          <w:sz w:val="24"/>
          <w:szCs w:val="24"/>
          <w:shd w:val="clear" w:color="auto" w:fill="FFFFFF"/>
        </w:rPr>
        <w:t xml:space="preserve"> între pereți și balustradă sau între două balustrade ale aceleiași rampe. Atunci când lățimea rampei este mai mare, se împarte prin balustrade intermediare în spații de max. </w:t>
      </w:r>
      <w:r>
        <w:rPr>
          <w:rFonts w:eastAsia="Calibri"/>
          <w:b/>
          <w:bCs/>
          <w:i/>
          <w:sz w:val="24"/>
          <w:szCs w:val="24"/>
          <w:shd w:val="clear" w:color="auto" w:fill="FFFFFF"/>
        </w:rPr>
        <w:t>2,50 m</w:t>
      </w:r>
      <w:r>
        <w:rPr>
          <w:rFonts w:eastAsia="Calibri"/>
          <w:i/>
          <w:sz w:val="24"/>
          <w:szCs w:val="24"/>
          <w:shd w:val="clear" w:color="auto" w:fill="FFFFFF"/>
        </w:rPr>
        <w:t xml:space="preserve"> lățime. Nu este obligatorie prevederea balustradelor intermediare la rampele:</w:t>
      </w:r>
    </w:p>
    <w:p w14:paraId="71181F4D"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folosite urcând, pentru a ajunge la ieșire;</w:t>
      </w:r>
    </w:p>
    <w:p w14:paraId="4575C5E8"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cu lățimea cel puțin de doua ori mai mare decât cea necesară fluxurilor de evacuare, sau sunt scări monumentale.</w:t>
      </w:r>
    </w:p>
    <w:p w14:paraId="523635B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2.5.68.</w:t>
      </w:r>
      <w:r>
        <w:rPr>
          <w:rFonts w:eastAsia="Calibri"/>
          <w:i/>
          <w:sz w:val="24"/>
          <w:szCs w:val="24"/>
          <w:shd w:val="clear" w:color="auto" w:fill="FFFFFF"/>
        </w:rPr>
        <w:t xml:space="preserve"> Înălțimea liberă pe căile de evacuare trebuie să fie de minimum </w:t>
      </w:r>
      <w:r>
        <w:rPr>
          <w:rFonts w:eastAsia="Calibri"/>
          <w:b/>
          <w:bCs/>
          <w:i/>
          <w:sz w:val="24"/>
          <w:szCs w:val="24"/>
          <w:shd w:val="clear" w:color="auto" w:fill="FFFFFF"/>
        </w:rPr>
        <w:t>2,00 m</w:t>
      </w:r>
      <w:r>
        <w:rPr>
          <w:rFonts w:eastAsia="Calibri"/>
          <w:i/>
          <w:sz w:val="24"/>
          <w:szCs w:val="24"/>
          <w:shd w:val="clear" w:color="auto" w:fill="FFFFFF"/>
        </w:rPr>
        <w:t xml:space="preserve">. Pentru poduri sau subsoluri, această înălțime poate fi de minimum </w:t>
      </w:r>
      <w:r>
        <w:rPr>
          <w:rFonts w:eastAsia="Calibri"/>
          <w:b/>
          <w:bCs/>
          <w:i/>
          <w:sz w:val="24"/>
          <w:szCs w:val="24"/>
          <w:shd w:val="clear" w:color="auto" w:fill="FFFFFF"/>
        </w:rPr>
        <w:t>1,90 m</w:t>
      </w:r>
      <w:r>
        <w:rPr>
          <w:rFonts w:eastAsia="Calibri"/>
          <w:i/>
          <w:sz w:val="24"/>
          <w:szCs w:val="24"/>
          <w:shd w:val="clear" w:color="auto" w:fill="FFFFFF"/>
        </w:rPr>
        <w:t xml:space="preserve"> iar ușile din pod și subsol pot avea înălțimea liberă de </w:t>
      </w:r>
      <w:r>
        <w:rPr>
          <w:rFonts w:eastAsia="Calibri"/>
          <w:b/>
          <w:bCs/>
          <w:i/>
          <w:sz w:val="24"/>
          <w:szCs w:val="24"/>
          <w:shd w:val="clear" w:color="auto" w:fill="FFFFFF"/>
        </w:rPr>
        <w:t>1,80 m</w:t>
      </w:r>
      <w:r>
        <w:rPr>
          <w:rFonts w:eastAsia="Calibri"/>
          <w:i/>
          <w:sz w:val="24"/>
          <w:szCs w:val="24"/>
          <w:shd w:val="clear" w:color="auto" w:fill="FFFFFF"/>
        </w:rPr>
        <w:t>.</w:t>
      </w:r>
    </w:p>
    <w:p w14:paraId="04B77E8F" w14:textId="77777777" w:rsidR="001C08A5" w:rsidRDefault="00000000">
      <w:pPr>
        <w:pStyle w:val="Heading6"/>
        <w:rPr>
          <w:i/>
          <w:iCs/>
        </w:rPr>
      </w:pPr>
      <w:bookmarkStart w:id="10674" w:name="_Toc26096"/>
      <w:bookmarkStart w:id="10675" w:name="_Toc26518"/>
      <w:bookmarkStart w:id="10676" w:name="_Toc162355563"/>
      <w:bookmarkStart w:id="10677" w:name="_Toc7967"/>
      <w:bookmarkStart w:id="10678" w:name="_Toc25740"/>
      <w:bookmarkStart w:id="10679" w:name="_Toc20701"/>
      <w:r>
        <w:rPr>
          <w:i/>
          <w:iCs/>
        </w:rPr>
        <w:t>Lungimea căii de evacuare</w:t>
      </w:r>
      <w:bookmarkEnd w:id="10674"/>
      <w:bookmarkEnd w:id="10675"/>
      <w:bookmarkEnd w:id="10676"/>
      <w:bookmarkEnd w:id="10677"/>
      <w:bookmarkEnd w:id="10678"/>
      <w:bookmarkEnd w:id="10679"/>
    </w:p>
    <w:p w14:paraId="0E7ED59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2.5.69.</w:t>
      </w:r>
      <w:r>
        <w:rPr>
          <w:rFonts w:eastAsia="Calibri"/>
          <w:i/>
          <w:sz w:val="24"/>
          <w:szCs w:val="24"/>
          <w:shd w:val="clear" w:color="auto" w:fill="FFFFFF"/>
        </w:rPr>
        <w:t> La determinarea lungimii căii de evacuare, se ia în considerare traseul parcurs în axa căii de evacuare, de la punctul de plecare până la o ieșire în exterior, sau până la o scară de evacuare închisă sau deschisă, ori degajament protejat, ținând seama de poziția diferitelor echipamente sau obiecte cu amplasament fix care trebuie ocolite, respectându-se nivelele de performanță admise în axexă.</w:t>
      </w:r>
    </w:p>
    <w:p w14:paraId="32D4F10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2.5.70.</w:t>
      </w:r>
      <w:r>
        <w:rPr>
          <w:rFonts w:eastAsia="Calibri"/>
          <w:i/>
          <w:sz w:val="24"/>
          <w:szCs w:val="24"/>
          <w:shd w:val="clear" w:color="auto" w:fill="FFFFFF"/>
        </w:rPr>
        <w:t> La stabilirea lungimii căii de evacuare nu se iau în considerație distanțele parcurse:</w:t>
      </w:r>
    </w:p>
    <w:p w14:paraId="2E30487B"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pe scările de evacuare și de la baza acestora spre exterior precum și în interiorul degajamentelor protejate;</w:t>
      </w:r>
    </w:p>
    <w:p w14:paraId="0D595879"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în interiorul încăperilor în care nu se depășește lungimea de evacuare admisă pentru coridoare înfundate.</w:t>
      </w:r>
    </w:p>
    <w:p w14:paraId="37A3DFD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2.5.71.</w:t>
      </w:r>
      <w:r>
        <w:rPr>
          <w:rFonts w:eastAsia="Calibri"/>
          <w:i/>
          <w:sz w:val="24"/>
          <w:szCs w:val="24"/>
          <w:shd w:val="clear" w:color="auto" w:fill="FFFFFF"/>
        </w:rPr>
        <w:t> Determinarea perioadei teoretice de timp necesare evacuării utilizatorilor conform prevederilor din prezenta anexă se efectuează prin posibila raportare a lungimilor de evacuare admise la viteza medie de deplasare, considerată 0,4 m/sec. pe orizontală și 0,3 m/sec. pe verticală (scări, pante).</w:t>
      </w:r>
    </w:p>
    <w:p w14:paraId="24D00D2F" w14:textId="77777777" w:rsidR="001C08A5" w:rsidRDefault="00000000">
      <w:pPr>
        <w:pStyle w:val="Heading6"/>
        <w:rPr>
          <w:i/>
          <w:iCs/>
        </w:rPr>
      </w:pPr>
      <w:bookmarkStart w:id="10680" w:name="_Toc29619"/>
      <w:bookmarkStart w:id="10681" w:name="_Toc473"/>
      <w:bookmarkStart w:id="10682" w:name="_Toc12452"/>
      <w:bookmarkStart w:id="10683" w:name="_Toc162355564"/>
      <w:bookmarkStart w:id="10684" w:name="_Toc18802"/>
      <w:bookmarkStart w:id="10685" w:name="_Toc942"/>
      <w:r>
        <w:rPr>
          <w:i/>
          <w:iCs/>
        </w:rPr>
        <w:lastRenderedPageBreak/>
        <w:t>Marcarea căilor de evacuare</w:t>
      </w:r>
      <w:bookmarkEnd w:id="10680"/>
      <w:bookmarkEnd w:id="10681"/>
      <w:bookmarkEnd w:id="10682"/>
      <w:bookmarkEnd w:id="10683"/>
      <w:bookmarkEnd w:id="10684"/>
      <w:bookmarkEnd w:id="10685"/>
    </w:p>
    <w:p w14:paraId="5C968D2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2.5.72.</w:t>
      </w:r>
      <w:r>
        <w:rPr>
          <w:rFonts w:eastAsia="Calibri"/>
          <w:i/>
          <w:sz w:val="24"/>
          <w:szCs w:val="24"/>
          <w:shd w:val="clear" w:color="auto" w:fill="FFFFFF"/>
        </w:rPr>
        <w:t> Traseele căilor de evacuare trebuie marcate cu indicatoare conform reglementărilor tehnice.</w:t>
      </w:r>
    </w:p>
    <w:p w14:paraId="16B108A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2.5.73.</w:t>
      </w:r>
      <w:r>
        <w:rPr>
          <w:rFonts w:eastAsia="Calibri"/>
          <w:i/>
          <w:sz w:val="24"/>
          <w:szCs w:val="24"/>
          <w:shd w:val="clear" w:color="auto" w:fill="FFFFFF"/>
        </w:rPr>
        <w:t xml:space="preserve"> La clădirile existente cu peste două niveluri supraterane, în cazul coborârii scărilor de evacuare sub nivelul terenului, în condițiile menționate la Art. </w:t>
      </w:r>
      <w:r>
        <w:rPr>
          <w:rFonts w:eastAsia="Calibri"/>
          <w:b/>
          <w:i/>
          <w:sz w:val="24"/>
          <w:szCs w:val="24"/>
          <w:shd w:val="clear" w:color="auto" w:fill="FFFFFF"/>
        </w:rPr>
        <w:t xml:space="preserve">A.10. </w:t>
      </w:r>
      <w:r>
        <w:rPr>
          <w:rFonts w:eastAsia="Calibri"/>
          <w:b/>
          <w:bCs/>
          <w:i/>
          <w:sz w:val="24"/>
          <w:szCs w:val="24"/>
          <w:shd w:val="clear" w:color="auto" w:fill="FFFFFF"/>
        </w:rPr>
        <w:t>2.5.24.</w:t>
      </w:r>
      <w:r>
        <w:rPr>
          <w:rFonts w:eastAsia="Calibri"/>
          <w:i/>
          <w:sz w:val="24"/>
          <w:szCs w:val="24"/>
          <w:shd w:val="clear" w:color="auto" w:fill="FFFFFF"/>
        </w:rPr>
        <w:t>, se vor lua măsuri pentru îndrumarea circulației de evacuare spre ieșirea în exterior.</w:t>
      </w:r>
    </w:p>
    <w:p w14:paraId="20A5A41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2.5.74.</w:t>
      </w:r>
      <w:r>
        <w:rPr>
          <w:rFonts w:eastAsia="Calibri"/>
          <w:i/>
          <w:sz w:val="24"/>
          <w:szCs w:val="24"/>
          <w:shd w:val="clear" w:color="auto" w:fill="FFFFFF"/>
        </w:rPr>
        <w:t> Documentațiile tehnico economice ale construcțiilor existente vor cuprinde, după caz, planuri de evacuare, cu indicarea și marcarea căilor de urmat în caz de incendiu.</w:t>
      </w:r>
    </w:p>
    <w:p w14:paraId="0D94F3C1" w14:textId="77777777" w:rsidR="001C08A5" w:rsidRDefault="00000000">
      <w:pPr>
        <w:pStyle w:val="Heading3"/>
        <w:rPr>
          <w:i/>
          <w:iCs/>
          <w:sz w:val="24"/>
          <w:szCs w:val="24"/>
        </w:rPr>
      </w:pPr>
      <w:bookmarkStart w:id="10686" w:name="_Toc26741"/>
      <w:bookmarkStart w:id="10687" w:name="_Toc4972"/>
      <w:bookmarkStart w:id="10688" w:name="_Toc5"/>
      <w:bookmarkStart w:id="10689" w:name="_Toc162355565"/>
      <w:bookmarkStart w:id="10690" w:name="_Toc7139"/>
      <w:bookmarkStart w:id="10691" w:name="_Toc32336"/>
      <w:r>
        <w:rPr>
          <w:i/>
          <w:iCs/>
          <w:sz w:val="24"/>
          <w:szCs w:val="24"/>
        </w:rPr>
        <w:t>A.10. 2.6. INSTALAȚII UTILITARE AFERENTE CONSTRUCȚIILOR EXISTENTE</w:t>
      </w:r>
      <w:bookmarkEnd w:id="10686"/>
      <w:bookmarkEnd w:id="10687"/>
      <w:bookmarkEnd w:id="10688"/>
      <w:bookmarkEnd w:id="10689"/>
      <w:bookmarkEnd w:id="10690"/>
      <w:bookmarkEnd w:id="10691"/>
    </w:p>
    <w:p w14:paraId="2657EE1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2.6.1.</w:t>
      </w:r>
      <w:r>
        <w:rPr>
          <w:rFonts w:eastAsia="Calibri"/>
          <w:i/>
          <w:sz w:val="24"/>
          <w:szCs w:val="24"/>
          <w:shd w:val="clear" w:color="auto" w:fill="FFFFFF"/>
        </w:rPr>
        <w:t> Instalațiile utilitare aferente construcțiilor existente (hidro, electrice, de încălzire, de ventilare, condiționare și altele asemenea), se proiectează și execută astfel încât să nu contribuie la producerea și propagarea incendiilor, în conformitate cu prevederile prezentei anexe și ale reglementările de specialitate.</w:t>
      </w:r>
    </w:p>
    <w:p w14:paraId="1655739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2.6.2.</w:t>
      </w:r>
      <w:r>
        <w:rPr>
          <w:rFonts w:eastAsia="Calibri"/>
          <w:i/>
          <w:sz w:val="24"/>
          <w:szCs w:val="24"/>
          <w:shd w:val="clear" w:color="auto" w:fill="FFFFFF"/>
        </w:rPr>
        <w:t> Sistemele și instalațiile de încălzire se stabilesc în funcție de riscul de incendiu, destinația, nivelul de stabilitate la incendiu și mărimea construcțiilor existente, fiind interzise cele cu foc deschis în spații (încăperi) care prezintă riscuri mari de incendiu și cele cu pericol de explozie. Instalațiile electrice utilitare aferente construcțiilor existente, vor fi corespunzătoare riscului de incendiu, destinației și mediului respectiv, potrivit reglementărilor tehnice de specialitate ale acestora.</w:t>
      </w:r>
    </w:p>
    <w:p w14:paraId="6740717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2.6.3.</w:t>
      </w:r>
      <w:r>
        <w:rPr>
          <w:rFonts w:eastAsia="Calibri"/>
          <w:i/>
          <w:sz w:val="24"/>
          <w:szCs w:val="24"/>
          <w:shd w:val="clear" w:color="auto" w:fill="FFFFFF"/>
        </w:rPr>
        <w:t> Încăperile și spațiile în care se degajă substanțe combustibile vor avea asigurate instalații pentru evacuarea gazelor, vaporilor, prafului și a pulberilor pe măsura degajării acestora, astfel încât să se evite posibilitatea acumulării lorîn cantități periculoase. La realizarea sistemelor și instalațiilor de ventilare sau condiționare, se va urmări reducerea posibilităților de formare a amestecurilor explozive și de propagare a incendiului prin canalele de ventilare, precum și utilizarea unor materiale, elemente și echipamente corespunzătoare riscului de incendiu, conform reglementărilorde specialitate.</w:t>
      </w:r>
    </w:p>
    <w:p w14:paraId="2E4F08D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2.6.4.</w:t>
      </w:r>
      <w:r>
        <w:rPr>
          <w:rFonts w:eastAsia="Calibri"/>
          <w:i/>
          <w:sz w:val="24"/>
          <w:szCs w:val="24"/>
          <w:shd w:val="clear" w:color="auto" w:fill="FFFFFF"/>
        </w:rPr>
        <w:t> Separarea instalațiilor și a sistemelor de ventilare a spațiilor și încăperilor din categoria A, B (BE 3a,b) și C (BE 2) de pericol de incendiu este obligatorie și în situațiile precizate de prezenta anexă și reglementările tehnice. Evacuarea prin același sistem sau instalație de ventilare (condiționare) a substanțelor care, în amestec mecanic sau combinație chimică pot provoca aprindere sau explozie, este interzisă.</w:t>
      </w:r>
    </w:p>
    <w:p w14:paraId="291271E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2.6.5.</w:t>
      </w:r>
      <w:r>
        <w:rPr>
          <w:rFonts w:eastAsia="Calibri"/>
          <w:i/>
          <w:sz w:val="24"/>
          <w:szCs w:val="24"/>
          <w:shd w:val="clear" w:color="auto" w:fill="FFFFFF"/>
        </w:rPr>
        <w:t> Sistemele și instalațiile de ventilare (condiționare) a încăperilor în care se depozitează, prelucrează sau manipulează substanțe combustibile, a sălilor aglomerate și a încăperilor cu echipamente și, după caz, aparatură de mare valoare sau importanță deosebită, precum și a celor cu riscuri mari de incendiu, vor fi independente de celelalte sisteme sau instalații de ventilare (condiționare) ale construcției existente.</w:t>
      </w:r>
    </w:p>
    <w:p w14:paraId="43A7757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2.6.6.</w:t>
      </w:r>
      <w:r>
        <w:rPr>
          <w:rFonts w:eastAsia="Calibri"/>
          <w:i/>
          <w:sz w:val="24"/>
          <w:szCs w:val="24"/>
          <w:shd w:val="clear" w:color="auto" w:fill="FFFFFF"/>
        </w:rPr>
        <w:t> În interiorul canalelor de ventilare (condiționare) nu se admite montarea conductelor de lichide sau gaze combustibile, precum și a circuitelor electrice.</w:t>
      </w:r>
    </w:p>
    <w:p w14:paraId="0A514C7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2.6.7.</w:t>
      </w:r>
      <w:r>
        <w:rPr>
          <w:rFonts w:eastAsia="Calibri"/>
          <w:i/>
          <w:sz w:val="24"/>
          <w:szCs w:val="24"/>
          <w:shd w:val="clear" w:color="auto" w:fill="FFFFFF"/>
        </w:rPr>
        <w:t> Traversarea elementelor de compartimentare antifoc sau rezistente la foc de către canale de ventilare nu se recomandă. În cazurile în care aceste traversări sunt absolut necesare, se vor lua măsuri pentru evitarea propagării incendiilor în compartimentele învecinate, conform prevederilor normativului și ale anexei.</w:t>
      </w:r>
    </w:p>
    <w:p w14:paraId="6BEE3D1A" w14:textId="77777777" w:rsidR="001C08A5" w:rsidRDefault="00000000">
      <w:pPr>
        <w:pStyle w:val="Heading3"/>
        <w:rPr>
          <w:i/>
          <w:iCs/>
          <w:sz w:val="24"/>
          <w:szCs w:val="24"/>
        </w:rPr>
      </w:pPr>
      <w:bookmarkStart w:id="10692" w:name="_Toc27912"/>
      <w:bookmarkStart w:id="10693" w:name="_Toc28713"/>
      <w:bookmarkStart w:id="10694" w:name="_Toc19025"/>
      <w:bookmarkStart w:id="10695" w:name="_Toc4230"/>
      <w:bookmarkStart w:id="10696" w:name="_Toc162355566"/>
      <w:bookmarkStart w:id="10697" w:name="_Toc22151"/>
      <w:r>
        <w:rPr>
          <w:i/>
          <w:iCs/>
          <w:sz w:val="24"/>
          <w:szCs w:val="24"/>
        </w:rPr>
        <w:t>A.10. 2.7. CĂI DE ACCES, INTERVENȚIE ȘI SALVARE</w:t>
      </w:r>
      <w:bookmarkEnd w:id="10692"/>
      <w:bookmarkEnd w:id="10693"/>
      <w:bookmarkEnd w:id="10694"/>
      <w:bookmarkEnd w:id="10695"/>
      <w:bookmarkEnd w:id="10696"/>
      <w:bookmarkEnd w:id="10697"/>
    </w:p>
    <w:p w14:paraId="2DAAF52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2.7.1.</w:t>
      </w:r>
      <w:r>
        <w:rPr>
          <w:rFonts w:eastAsia="Calibri"/>
          <w:i/>
          <w:sz w:val="24"/>
          <w:szCs w:val="24"/>
          <w:shd w:val="clear" w:color="auto" w:fill="FFFFFF"/>
        </w:rPr>
        <w:t xml:space="preserve"> Pentru asigurarea condițiilor de acces, intervenție și salvare în caz de incendiu la construcții existente și instalații se prevăd căi de circulație (drumuri) necesare funcțional sau fâșii libere de teren, corespunzător amenajate pentru accesul utilajelor și autospecialelor de intervenție </w:t>
      </w:r>
      <w:r>
        <w:rPr>
          <w:rFonts w:eastAsia="Calibri"/>
          <w:i/>
          <w:sz w:val="24"/>
          <w:szCs w:val="24"/>
          <w:shd w:val="clear" w:color="auto" w:fill="FFFFFF"/>
        </w:rPr>
        <w:lastRenderedPageBreak/>
        <w:t>ale pompierilor. Nu este obligatorie asigurarea unor circulații carosabile (drumuri) la cabane, refugii turistice, construcții existente la altitudine (montane), anexe gospodărești, etc. precum și la construcții existente încadrate în categoria de importanță D (redusă).</w:t>
      </w:r>
    </w:p>
    <w:p w14:paraId="128C740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2.7.2.</w:t>
      </w:r>
      <w:r>
        <w:rPr>
          <w:rFonts w:eastAsia="Calibri"/>
          <w:i/>
          <w:sz w:val="24"/>
          <w:szCs w:val="24"/>
          <w:shd w:val="clear" w:color="auto" w:fill="FFFFFF"/>
        </w:rPr>
        <w:t> Căile de circulație (drumurile) prevăzute, vor asigura accesul fără obstacole și pe distanțe cât mai scurte la construcții existente, depozite de substanțe combustibile, puncte de staționare și alimentare ale autospecialelor și surse de apă.</w:t>
      </w:r>
    </w:p>
    <w:p w14:paraId="314BD84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2.7.3.</w:t>
      </w:r>
      <w:r>
        <w:rPr>
          <w:rFonts w:eastAsia="Calibri"/>
          <w:i/>
          <w:sz w:val="24"/>
          <w:szCs w:val="24"/>
          <w:shd w:val="clear" w:color="auto" w:fill="FFFFFF"/>
        </w:rPr>
        <w:t> Căile de circulație și de acces (drumuri) la construcții și incinte construite  existente, care au încrucișări de nivel cu linii de cale ferată pe care pot staționa vagoane, vor fi asigurate cu a doua posibilitate de traversare, astfel încât accesul autospecialelor de intervenție în caz de incendiu să fie posibil permanent.</w:t>
      </w:r>
    </w:p>
    <w:p w14:paraId="45B419C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2.7.4.</w:t>
      </w:r>
      <w:r>
        <w:rPr>
          <w:rFonts w:eastAsia="Calibri"/>
          <w:i/>
          <w:sz w:val="24"/>
          <w:szCs w:val="24"/>
          <w:shd w:val="clear" w:color="auto" w:fill="FFFFFF"/>
        </w:rPr>
        <w:t> Realizarea de curți închise pe toate laturile de construcții existente etajate, nu se recomandă. În cazurile în care se prevăd totuși asemenea curți, în care autospecialele de intervenție ale pompierilor nu au acces, este necesară asigurarea posibilităților de salvare a persoanelor din clădirea existentă prin ferestre sau goluri ale fațadelor construcției existente accesibile pentru intervenția serviciilor și unităților de pompieri, marcându-se corespunzător, astfel încât să fie ușor de recunoscut în caz de incendiu.</w:t>
      </w:r>
    </w:p>
    <w:p w14:paraId="294E54F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2.7.5.</w:t>
      </w:r>
      <w:r>
        <w:rPr>
          <w:rFonts w:eastAsia="Calibri"/>
          <w:i/>
          <w:sz w:val="24"/>
          <w:szCs w:val="24"/>
          <w:shd w:val="clear" w:color="auto" w:fill="FFFFFF"/>
        </w:rPr>
        <w:t xml:space="preserve"> Curțile interioare existente neacoperite cu aria mai mare de </w:t>
      </w:r>
      <w:r>
        <w:rPr>
          <w:rFonts w:eastAsia="Calibri"/>
          <w:b/>
          <w:bCs/>
          <w:i/>
          <w:sz w:val="24"/>
          <w:szCs w:val="24"/>
          <w:shd w:val="clear" w:color="auto" w:fill="FFFFFF"/>
        </w:rPr>
        <w:t>600 m</w:t>
      </w:r>
      <w:r>
        <w:rPr>
          <w:rFonts w:eastAsia="Calibri"/>
          <w:b/>
          <w:bCs/>
          <w:i/>
          <w:sz w:val="24"/>
          <w:szCs w:val="24"/>
          <w:shd w:val="clear" w:color="auto" w:fill="FFFFFF"/>
          <w:vertAlign w:val="superscript"/>
        </w:rPr>
        <w:t>2</w:t>
      </w:r>
      <w:r>
        <w:rPr>
          <w:rFonts w:eastAsia="Calibri"/>
          <w:i/>
          <w:sz w:val="24"/>
          <w:szCs w:val="24"/>
          <w:shd w:val="clear" w:color="auto" w:fill="FFFFFF"/>
        </w:rPr>
        <w:t xml:space="preserve"> și închise pe toate laturile de construcții, situate la nivelul terenului sau al circulațiilor carosabile adiacente ori la o diferență de nivel mai mică de </w:t>
      </w:r>
      <w:r>
        <w:rPr>
          <w:rFonts w:eastAsia="Calibri"/>
          <w:b/>
          <w:bCs/>
          <w:i/>
          <w:sz w:val="24"/>
          <w:szCs w:val="24"/>
          <w:shd w:val="clear" w:color="auto" w:fill="FFFFFF"/>
        </w:rPr>
        <w:t>50 cm</w:t>
      </w:r>
      <w:r>
        <w:rPr>
          <w:rFonts w:eastAsia="Calibri"/>
          <w:i/>
          <w:sz w:val="24"/>
          <w:szCs w:val="24"/>
          <w:shd w:val="clear" w:color="auto" w:fill="FFFFFF"/>
        </w:rPr>
        <w:t xml:space="preserve"> față de aceste circulații, se prevăd obligatoriu cu accese carosabile pentru autospecialele de intervenție în caz de incendiu, cu gabarite de minimum </w:t>
      </w:r>
      <w:r>
        <w:rPr>
          <w:rFonts w:eastAsia="Calibri"/>
          <w:b/>
          <w:bCs/>
          <w:i/>
          <w:sz w:val="24"/>
          <w:szCs w:val="24"/>
          <w:shd w:val="clear" w:color="auto" w:fill="FFFFFF"/>
        </w:rPr>
        <w:t>3,80 m</w:t>
      </w:r>
      <w:r>
        <w:rPr>
          <w:rFonts w:eastAsia="Calibri"/>
          <w:i/>
          <w:sz w:val="24"/>
          <w:szCs w:val="24"/>
          <w:shd w:val="clear" w:color="auto" w:fill="FFFFFF"/>
        </w:rPr>
        <w:t xml:space="preserve"> lățime și </w:t>
      </w:r>
      <w:r>
        <w:rPr>
          <w:rFonts w:eastAsia="Calibri"/>
          <w:b/>
          <w:bCs/>
          <w:i/>
          <w:sz w:val="24"/>
          <w:szCs w:val="24"/>
          <w:shd w:val="clear" w:color="auto" w:fill="FFFFFF"/>
        </w:rPr>
        <w:t>4,20 m</w:t>
      </w:r>
      <w:r>
        <w:rPr>
          <w:rFonts w:eastAsia="Calibri"/>
          <w:i/>
          <w:sz w:val="24"/>
          <w:szCs w:val="24"/>
          <w:shd w:val="clear" w:color="auto" w:fill="FFFFFF"/>
        </w:rPr>
        <w:t xml:space="preserve"> înălțime. Pentru curțile interioare existente menționate, situate la diferențe de nivel mai mari de </w:t>
      </w:r>
      <w:r>
        <w:rPr>
          <w:rFonts w:eastAsia="Calibri"/>
          <w:b/>
          <w:bCs/>
          <w:i/>
          <w:sz w:val="24"/>
          <w:szCs w:val="24"/>
          <w:shd w:val="clear" w:color="auto" w:fill="FFFFFF"/>
        </w:rPr>
        <w:t>50 cm</w:t>
      </w:r>
      <w:r>
        <w:rPr>
          <w:rFonts w:eastAsia="Calibri"/>
          <w:i/>
          <w:sz w:val="24"/>
          <w:szCs w:val="24"/>
          <w:shd w:val="clear" w:color="auto" w:fill="FFFFFF"/>
        </w:rPr>
        <w:t xml:space="preserve"> (fără acces carosabil), se asigură numai acces pentru personalul de intervenție (treceri pietonale), cu lățimea de minim </w:t>
      </w:r>
      <w:r>
        <w:rPr>
          <w:rFonts w:eastAsia="Calibri"/>
          <w:b/>
          <w:bCs/>
          <w:i/>
          <w:sz w:val="24"/>
          <w:szCs w:val="24"/>
          <w:shd w:val="clear" w:color="auto" w:fill="FFFFFF"/>
        </w:rPr>
        <w:t>1,50 m</w:t>
      </w:r>
      <w:r>
        <w:rPr>
          <w:rFonts w:eastAsia="Calibri"/>
          <w:i/>
          <w:sz w:val="24"/>
          <w:szCs w:val="24"/>
          <w:shd w:val="clear" w:color="auto" w:fill="FFFFFF"/>
        </w:rPr>
        <w:t xml:space="preserve"> și înălțimea de </w:t>
      </w:r>
      <w:r>
        <w:rPr>
          <w:rFonts w:eastAsia="Calibri"/>
          <w:b/>
          <w:bCs/>
          <w:i/>
          <w:sz w:val="24"/>
          <w:szCs w:val="24"/>
          <w:shd w:val="clear" w:color="auto" w:fill="FFFFFF"/>
        </w:rPr>
        <w:t>1,90 m</w:t>
      </w:r>
      <w:r>
        <w:rPr>
          <w:rFonts w:eastAsia="Calibri"/>
          <w:i/>
          <w:sz w:val="24"/>
          <w:szCs w:val="24"/>
          <w:shd w:val="clear" w:color="auto" w:fill="FFFFFF"/>
        </w:rPr>
        <w:t>.</w:t>
      </w:r>
    </w:p>
    <w:p w14:paraId="3D1E67D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2.7.6.</w:t>
      </w:r>
      <w:r>
        <w:rPr>
          <w:rFonts w:eastAsia="Calibri"/>
          <w:i/>
          <w:sz w:val="24"/>
          <w:szCs w:val="24"/>
          <w:shd w:val="clear" w:color="auto" w:fill="FFFFFF"/>
        </w:rPr>
        <w:t> Construcțiile existente blindate vor avea asigurate posibilități de acces pentru personalul de intervenție al serviciilor și unităților de pompieri, prin deschideri prevăzute în pereții exteriori, protejate cu panouri ușor demontabile din afară și marcate corespunzător.</w:t>
      </w:r>
    </w:p>
    <w:p w14:paraId="528364D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2.7.7.</w:t>
      </w:r>
      <w:r>
        <w:rPr>
          <w:rFonts w:eastAsia="Calibri"/>
          <w:i/>
          <w:sz w:val="24"/>
          <w:szCs w:val="24"/>
          <w:shd w:val="clear" w:color="auto" w:fill="FFFFFF"/>
        </w:rPr>
        <w:t xml:space="preserve"> Pentru intervenția personalului pompierilor direct din exterior, închiderile perimetrale ale construcțiilor existente cu pereți cortină vor avea marcate panourile de vitrare prin care se poate accede în circulațiile comune orizontale (holuri, vestibuluri, coridoare, etc.) sau în încăperi cu acces permanent în circulațiile comune. Marcarea vizibilă din exterior a cel puțin unui acces pe fiecare etaj al construcției existente este obligatorie la etajele situate până la </w:t>
      </w:r>
      <w:r>
        <w:rPr>
          <w:rFonts w:eastAsia="Calibri"/>
          <w:b/>
          <w:bCs/>
          <w:i/>
          <w:sz w:val="24"/>
          <w:szCs w:val="24"/>
          <w:shd w:val="clear" w:color="auto" w:fill="FFFFFF"/>
        </w:rPr>
        <w:t>28,00 m</w:t>
      </w:r>
      <w:r>
        <w:rPr>
          <w:rFonts w:eastAsia="Calibri"/>
          <w:i/>
          <w:sz w:val="24"/>
          <w:szCs w:val="24"/>
          <w:shd w:val="clear" w:color="auto" w:fill="FFFFFF"/>
        </w:rPr>
        <w:t xml:space="preserve"> față de carosabil, pe toate fațadele accesibile autospecialelor de intervenție ale pompierilor.</w:t>
      </w:r>
    </w:p>
    <w:p w14:paraId="15C0B15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2.7.8.</w:t>
      </w:r>
      <w:r>
        <w:rPr>
          <w:rFonts w:eastAsia="Calibri"/>
          <w:i/>
          <w:sz w:val="24"/>
          <w:szCs w:val="24"/>
          <w:shd w:val="clear" w:color="auto" w:fill="FFFFFF"/>
        </w:rPr>
        <w:t> La construcțiile existente închise perimetral cu pereți cortină se vor asigura circulații carosabile în dreptul panourilor de fațadă marcate pentru accesul echipelor de intervenție ale pompierilor.</w:t>
      </w:r>
    </w:p>
    <w:p w14:paraId="1C5F847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2.7.9.</w:t>
      </w:r>
      <w:r>
        <w:rPr>
          <w:rFonts w:eastAsia="Calibri"/>
          <w:i/>
          <w:sz w:val="24"/>
          <w:szCs w:val="24"/>
          <w:shd w:val="clear" w:color="auto" w:fill="FFFFFF"/>
        </w:rPr>
        <w:t> În interiorul construcțiilor existente, căile de intervenție ale personalului serviciilor și unităților de pompieri vor fi stabilite, amenajate și marcate corespunzător, astfel încât să fie ușor de recunoscut în caz de incendiu.</w:t>
      </w:r>
    </w:p>
    <w:p w14:paraId="176A5FE4" w14:textId="77777777" w:rsidR="001C08A5" w:rsidRDefault="00000000">
      <w:pPr>
        <w:pStyle w:val="Heading3"/>
        <w:rPr>
          <w:i/>
          <w:iCs/>
          <w:sz w:val="24"/>
          <w:szCs w:val="24"/>
        </w:rPr>
      </w:pPr>
      <w:bookmarkStart w:id="10698" w:name="_Toc162355567"/>
      <w:bookmarkStart w:id="10699" w:name="_Toc11322"/>
      <w:bookmarkStart w:id="10700" w:name="_Toc29644"/>
      <w:bookmarkStart w:id="10701" w:name="_Toc17806"/>
      <w:bookmarkStart w:id="10702" w:name="_Toc31620"/>
      <w:bookmarkStart w:id="10703" w:name="_Toc4328"/>
      <w:r>
        <w:rPr>
          <w:i/>
          <w:iCs/>
          <w:sz w:val="24"/>
          <w:szCs w:val="24"/>
        </w:rPr>
        <w:t>A.10. 2.8. DOTAREA CU MIJLOACE DE INTERVENȚIE ȘI SERVICIUL DE POMPIERI</w:t>
      </w:r>
      <w:bookmarkEnd w:id="10698"/>
      <w:bookmarkEnd w:id="10699"/>
      <w:bookmarkEnd w:id="10700"/>
      <w:bookmarkEnd w:id="10701"/>
      <w:bookmarkEnd w:id="10702"/>
      <w:bookmarkEnd w:id="10703"/>
    </w:p>
    <w:p w14:paraId="66ED754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2.8.1.</w:t>
      </w:r>
      <w:r>
        <w:rPr>
          <w:rFonts w:eastAsia="Calibri"/>
          <w:i/>
          <w:sz w:val="24"/>
          <w:szCs w:val="24"/>
          <w:shd w:val="clear" w:color="auto" w:fill="FFFFFF"/>
        </w:rPr>
        <w:t> Pentru asigurarea verificării, supravegherii și intervenției în caz de incendiu, prin proiect se va stabili nivelul de dotare a serviciului de pompieri, în funcție de categoria de importanță, mărimea, destinația și vulnerabilitatea la incendiu a construcției existente.</w:t>
      </w:r>
    </w:p>
    <w:p w14:paraId="3EBA3C7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2.8.2.</w:t>
      </w:r>
      <w:r>
        <w:rPr>
          <w:rFonts w:eastAsia="Calibri"/>
          <w:i/>
          <w:sz w:val="24"/>
          <w:szCs w:val="24"/>
          <w:shd w:val="clear" w:color="auto" w:fill="FFFFFF"/>
        </w:rPr>
        <w:t> Echiparea și dotarea serviciului de pompieri trebuie să corespundă necesităților practice asigurării siguranței la foc a construcției existente, conform reglementărilor specifice, în funcție de riscurile de incendiu și scenariile de siguranță la foc.</w:t>
      </w:r>
    </w:p>
    <w:p w14:paraId="09AEF9E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2.8.3.</w:t>
      </w:r>
      <w:r>
        <w:rPr>
          <w:rFonts w:eastAsia="Calibri"/>
          <w:i/>
          <w:sz w:val="24"/>
          <w:szCs w:val="24"/>
          <w:shd w:val="clear" w:color="auto" w:fill="FFFFFF"/>
        </w:rPr>
        <w:t> În documentația tehnică serviciul de pompieri va avea stabilit spațiul necesar funcționării permanente a acestuia, de regulă, dispus la parterul sau nivelurile supraterane inferioare ale construcției existente.</w:t>
      </w:r>
    </w:p>
    <w:p w14:paraId="18B6B84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2.8.4.</w:t>
      </w:r>
      <w:r>
        <w:rPr>
          <w:rFonts w:eastAsia="Calibri"/>
          <w:i/>
          <w:sz w:val="24"/>
          <w:szCs w:val="24"/>
          <w:shd w:val="clear" w:color="auto" w:fill="FFFFFF"/>
        </w:rPr>
        <w:t> Serviciul de pompieri va fi dotat cu mijloace de iluminat și comunicații, aparatură specifică și echipament de protecție, corespunzător riscurilor de incendiu și tipului de construcție  existentă, asigurându-se rezervele necesare.</w:t>
      </w:r>
    </w:p>
    <w:p w14:paraId="34C7C0E6"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2.8.5.</w:t>
      </w:r>
      <w:r>
        <w:rPr>
          <w:rFonts w:eastAsia="Calibri"/>
          <w:i/>
          <w:sz w:val="24"/>
          <w:szCs w:val="24"/>
          <w:shd w:val="clear" w:color="auto" w:fill="FFFFFF"/>
        </w:rPr>
        <w:t> Construcțiile existente se dotează cu mijloace tehnice de stingere corespunzătoare riscurilor de incendiu specifice, precizându-se în documentație tipul acestora și cantitatea necesară, inclusiv rezervele pentru înlocuirea imediată.</w:t>
      </w:r>
    </w:p>
    <w:p w14:paraId="6E401A3C" w14:textId="77777777" w:rsidR="001C08A5" w:rsidRDefault="00000000">
      <w:pPr>
        <w:pStyle w:val="Heading2"/>
        <w:jc w:val="center"/>
        <w:rPr>
          <w:sz w:val="28"/>
        </w:rPr>
      </w:pPr>
      <w:bookmarkStart w:id="10704" w:name="_Toc1691"/>
      <w:bookmarkStart w:id="10705" w:name="_Toc29262"/>
      <w:bookmarkStart w:id="10706" w:name="_Toc2457"/>
      <w:bookmarkStart w:id="10707" w:name="_Toc324"/>
      <w:bookmarkStart w:id="10708" w:name="_Toc162355568"/>
      <w:bookmarkStart w:id="10709" w:name="_Toc28545"/>
      <w:r>
        <w:rPr>
          <w:sz w:val="28"/>
        </w:rPr>
        <w:t>SECŢIUNEA A II-A</w:t>
      </w:r>
      <w:bookmarkEnd w:id="10704"/>
      <w:bookmarkEnd w:id="10705"/>
      <w:bookmarkEnd w:id="10706"/>
      <w:bookmarkEnd w:id="10707"/>
      <w:bookmarkEnd w:id="10708"/>
      <w:bookmarkEnd w:id="10709"/>
    </w:p>
    <w:p w14:paraId="2C3B521B" w14:textId="77777777" w:rsidR="001C08A5" w:rsidRDefault="00000000">
      <w:pPr>
        <w:pStyle w:val="Heading2"/>
        <w:jc w:val="center"/>
        <w:rPr>
          <w:sz w:val="28"/>
        </w:rPr>
      </w:pPr>
      <w:bookmarkStart w:id="10710" w:name="_Toc9225"/>
      <w:bookmarkStart w:id="10711" w:name="_Toc3512"/>
      <w:bookmarkStart w:id="10712" w:name="_Toc162355569"/>
      <w:bookmarkStart w:id="10713" w:name="_Toc5968"/>
      <w:bookmarkStart w:id="10714" w:name="_Toc5386"/>
      <w:bookmarkStart w:id="10715" w:name="_Toc6721"/>
      <w:r>
        <w:rPr>
          <w:sz w:val="28"/>
        </w:rPr>
        <w:t>CLĂDIRI CIVILE (PUBLICE) EXISTENTE</w:t>
      </w:r>
      <w:bookmarkEnd w:id="10710"/>
      <w:bookmarkEnd w:id="10711"/>
      <w:bookmarkEnd w:id="10712"/>
      <w:bookmarkEnd w:id="10713"/>
      <w:bookmarkEnd w:id="10714"/>
      <w:bookmarkEnd w:id="10715"/>
    </w:p>
    <w:p w14:paraId="7AC99545" w14:textId="77777777" w:rsidR="001C08A5" w:rsidRDefault="00000000">
      <w:pPr>
        <w:pStyle w:val="Heading3"/>
        <w:rPr>
          <w:i/>
          <w:iCs/>
          <w:sz w:val="26"/>
        </w:rPr>
      </w:pPr>
      <w:bookmarkStart w:id="10716" w:name="_Toc18680"/>
      <w:bookmarkStart w:id="10717" w:name="_Toc8359"/>
      <w:bookmarkStart w:id="10718" w:name="_Toc11691"/>
      <w:bookmarkStart w:id="10719" w:name="_Toc20391"/>
      <w:bookmarkStart w:id="10720" w:name="_Toc26858"/>
      <w:bookmarkStart w:id="10721" w:name="_Toc162355570"/>
      <w:r>
        <w:rPr>
          <w:i/>
          <w:iCs/>
          <w:sz w:val="26"/>
        </w:rPr>
        <w:t>CAPITOLUL 3</w:t>
      </w:r>
      <w:bookmarkEnd w:id="10716"/>
      <w:bookmarkEnd w:id="10717"/>
      <w:bookmarkEnd w:id="10718"/>
      <w:bookmarkEnd w:id="10719"/>
      <w:bookmarkEnd w:id="10720"/>
      <w:bookmarkEnd w:id="10721"/>
    </w:p>
    <w:p w14:paraId="22707280" w14:textId="77777777" w:rsidR="001C08A5" w:rsidRDefault="00000000">
      <w:pPr>
        <w:pStyle w:val="Heading3"/>
      </w:pPr>
      <w:bookmarkStart w:id="10722" w:name="_Toc5634"/>
      <w:bookmarkStart w:id="10723" w:name="_Toc9270"/>
      <w:bookmarkStart w:id="10724" w:name="_Toc9868"/>
      <w:bookmarkStart w:id="10725" w:name="_Toc22724"/>
      <w:bookmarkStart w:id="10726" w:name="_Toc7425"/>
      <w:bookmarkStart w:id="10727" w:name="_Toc162355571"/>
      <w:r>
        <w:rPr>
          <w:i/>
          <w:iCs/>
          <w:sz w:val="26"/>
        </w:rPr>
        <w:t>PERFORMANȚE COMUNE CLĂDIRILOR CIVILE (PUBLICE) EXISTENTE</w:t>
      </w:r>
      <w:bookmarkEnd w:id="10722"/>
      <w:bookmarkEnd w:id="10723"/>
      <w:bookmarkEnd w:id="10724"/>
      <w:bookmarkEnd w:id="10725"/>
      <w:bookmarkEnd w:id="10726"/>
      <w:bookmarkEnd w:id="10727"/>
    </w:p>
    <w:p w14:paraId="4EE56AD8" w14:textId="77777777" w:rsidR="001C08A5" w:rsidRDefault="00000000">
      <w:pPr>
        <w:pStyle w:val="Heading3"/>
        <w:rPr>
          <w:i/>
          <w:iCs/>
          <w:sz w:val="24"/>
          <w:szCs w:val="24"/>
        </w:rPr>
      </w:pPr>
      <w:bookmarkStart w:id="10728" w:name="_Toc10126"/>
      <w:bookmarkStart w:id="10729" w:name="_Toc14739"/>
      <w:bookmarkStart w:id="10730" w:name="_Toc30350"/>
      <w:bookmarkStart w:id="10731" w:name="_Toc162355572"/>
      <w:bookmarkStart w:id="10732" w:name="_Toc28105"/>
      <w:bookmarkStart w:id="10733" w:name="_Toc28250"/>
      <w:r>
        <w:rPr>
          <w:i/>
          <w:iCs/>
          <w:sz w:val="24"/>
          <w:szCs w:val="24"/>
        </w:rPr>
        <w:t>A.10. 3.1. RISC DE INCENDIU ȘI NIVEL DE STABILITATE LA INCENDIU</w:t>
      </w:r>
      <w:bookmarkEnd w:id="10728"/>
      <w:bookmarkEnd w:id="10729"/>
      <w:bookmarkEnd w:id="10730"/>
      <w:bookmarkEnd w:id="10731"/>
      <w:bookmarkEnd w:id="10732"/>
      <w:bookmarkEnd w:id="10733"/>
      <w:r>
        <w:rPr>
          <w:i/>
          <w:iCs/>
          <w:sz w:val="24"/>
          <w:szCs w:val="24"/>
        </w:rPr>
        <w:t xml:space="preserve"> </w:t>
      </w:r>
    </w:p>
    <w:p w14:paraId="5240D236" w14:textId="77777777" w:rsidR="001C08A5" w:rsidRDefault="00000000">
      <w:pPr>
        <w:pStyle w:val="Heading4"/>
        <w:rPr>
          <w:sz w:val="24"/>
          <w:szCs w:val="24"/>
        </w:rPr>
      </w:pPr>
      <w:bookmarkStart w:id="10734" w:name="_Toc28569"/>
      <w:bookmarkStart w:id="10735" w:name="_Toc14207"/>
      <w:bookmarkStart w:id="10736" w:name="_Toc26841"/>
      <w:bookmarkStart w:id="10737" w:name="_Toc449"/>
      <w:bookmarkStart w:id="10738" w:name="_Toc11677"/>
      <w:bookmarkStart w:id="10739" w:name="_Toc162355573"/>
      <w:r>
        <w:rPr>
          <w:sz w:val="24"/>
          <w:szCs w:val="24"/>
        </w:rPr>
        <w:t>Riscuri de incendiu</w:t>
      </w:r>
      <w:bookmarkEnd w:id="10734"/>
      <w:bookmarkEnd w:id="10735"/>
      <w:bookmarkEnd w:id="10736"/>
      <w:bookmarkEnd w:id="10737"/>
      <w:bookmarkEnd w:id="10738"/>
      <w:bookmarkEnd w:id="10739"/>
    </w:p>
    <w:p w14:paraId="1BCD311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w:t>
      </w:r>
      <w:r>
        <w:rPr>
          <w:rFonts w:eastAsia="Calibri"/>
          <w:i/>
          <w:sz w:val="24"/>
          <w:szCs w:val="24"/>
          <w:shd w:val="clear" w:color="auto" w:fill="FFFFFF"/>
        </w:rPr>
        <w:t xml:space="preserve"> Încăperile, spațiile și clădirile civile (publice) existente, vor avea determinate riscuri de incendiu, conform prevederilor </w:t>
      </w:r>
      <w:r>
        <w:rPr>
          <w:rFonts w:eastAsia="Calibri"/>
          <w:b/>
          <w:bCs/>
          <w:i/>
          <w:sz w:val="24"/>
          <w:szCs w:val="24"/>
          <w:shd w:val="clear" w:color="auto" w:fill="FFFFFF"/>
        </w:rPr>
        <w:t xml:space="preserve">Art. A.10.2.1.1 </w:t>
      </w:r>
      <w:r>
        <w:rPr>
          <w:rFonts w:eastAsia="Calibri"/>
          <w:i/>
          <w:sz w:val="24"/>
          <w:szCs w:val="24"/>
          <w:shd w:val="clear" w:color="auto" w:fill="FFFFFF"/>
        </w:rPr>
        <w:t>până la</w:t>
      </w:r>
      <w:r>
        <w:rPr>
          <w:rFonts w:eastAsia="Calibri"/>
          <w:b/>
          <w:bCs/>
          <w:i/>
          <w:sz w:val="24"/>
          <w:szCs w:val="24"/>
          <w:shd w:val="clear" w:color="auto" w:fill="FFFFFF"/>
        </w:rPr>
        <w:t xml:space="preserve"> Art. A.10.2.1.3</w:t>
      </w:r>
      <w:r>
        <w:rPr>
          <w:rFonts w:eastAsia="Calibri"/>
          <w:i/>
          <w:sz w:val="24"/>
          <w:szCs w:val="24"/>
          <w:shd w:val="clear" w:color="auto" w:fill="FFFFFF"/>
        </w:rPr>
        <w:t xml:space="preserve"> din prezenta anexă.</w:t>
      </w:r>
    </w:p>
    <w:p w14:paraId="29E21B0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3.1.2.</w:t>
      </w:r>
      <w:r>
        <w:rPr>
          <w:rFonts w:eastAsia="Calibri"/>
          <w:i/>
          <w:sz w:val="24"/>
          <w:szCs w:val="24"/>
          <w:shd w:val="clear" w:color="auto" w:fill="FFFFFF"/>
        </w:rPr>
        <w:t xml:space="preserve"> În funcție de riscurile de incendiu determinate, se asigură condițiile de siguranță la foc performanțele și nivelele de performanță admise în partea I-a a prezentei anexe </w:t>
      </w:r>
      <w:r>
        <w:rPr>
          <w:rFonts w:eastAsia="Calibri"/>
          <w:b/>
          <w:bCs/>
          <w:i/>
          <w:sz w:val="24"/>
          <w:szCs w:val="24"/>
          <w:shd w:val="clear" w:color="auto" w:fill="FFFFFF"/>
        </w:rPr>
        <w:t>"Prevederi comune tuturor construcțiilor"</w:t>
      </w:r>
      <w:r>
        <w:rPr>
          <w:rFonts w:eastAsia="Calibri"/>
          <w:i/>
          <w:sz w:val="24"/>
          <w:szCs w:val="24"/>
          <w:shd w:val="clear" w:color="auto" w:fill="FFFFFF"/>
        </w:rPr>
        <w:t xml:space="preserve"> și în cele din prezenta parte. Prin expertize de securitate la incendiu elaborate conform reglementărilor de specialitate, în situații justificate pot fi adoptate masuri de protecție compensatorii care asigură condițiile de securitate la incendiu și performanțele admise.</w:t>
      </w:r>
    </w:p>
    <w:p w14:paraId="623387D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3.1.3.</w:t>
      </w:r>
      <w:r>
        <w:rPr>
          <w:rFonts w:eastAsia="Calibri"/>
          <w:i/>
          <w:sz w:val="24"/>
          <w:szCs w:val="24"/>
          <w:shd w:val="clear" w:color="auto" w:fill="FFFFFF"/>
        </w:rPr>
        <w:t> Riscurile de incendiu se precizează obligatoriu în documentația tehnică.</w:t>
      </w:r>
    </w:p>
    <w:p w14:paraId="6DEE90E7" w14:textId="77777777" w:rsidR="001C08A5" w:rsidRDefault="00000000">
      <w:pPr>
        <w:pStyle w:val="Heading4"/>
        <w:rPr>
          <w:sz w:val="24"/>
          <w:szCs w:val="24"/>
        </w:rPr>
      </w:pPr>
      <w:bookmarkStart w:id="10740" w:name="_Toc10310"/>
      <w:bookmarkStart w:id="10741" w:name="_Toc9292"/>
      <w:bookmarkStart w:id="10742" w:name="_Toc20928"/>
      <w:bookmarkStart w:id="10743" w:name="_Toc162355574"/>
      <w:bookmarkStart w:id="10744" w:name="_Toc22081"/>
      <w:r>
        <w:rPr>
          <w:sz w:val="24"/>
          <w:szCs w:val="24"/>
        </w:rPr>
        <w:t>Nivel de stabilitate la incendiu</w:t>
      </w:r>
      <w:bookmarkEnd w:id="10740"/>
      <w:bookmarkEnd w:id="10741"/>
      <w:bookmarkEnd w:id="10742"/>
      <w:bookmarkEnd w:id="10743"/>
      <w:bookmarkEnd w:id="10744"/>
    </w:p>
    <w:p w14:paraId="7439D34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3.1.4.</w:t>
      </w:r>
      <w:r>
        <w:rPr>
          <w:rFonts w:eastAsia="Calibri"/>
          <w:i/>
          <w:sz w:val="24"/>
          <w:szCs w:val="24"/>
          <w:shd w:val="clear" w:color="auto" w:fill="FFFFFF"/>
        </w:rPr>
        <w:t xml:space="preserve"> Clădirile civile (publice) existente vor avea nivelul de stabilitate la incendiu și precizat obligatoriu în documentațiile de proiectare. Condițiile minime pe care trebuie să le îndeplinească clădirea existentă, pentru încadrarea într-un anumit nivel de stabilitate la incendiu, sunt cele stabilite în </w:t>
      </w:r>
      <w:r>
        <w:rPr>
          <w:rFonts w:eastAsia="Calibri"/>
          <w:b/>
          <w:bCs/>
          <w:i/>
          <w:sz w:val="24"/>
          <w:szCs w:val="24"/>
          <w:shd w:val="clear" w:color="auto" w:fill="FFFFFF"/>
        </w:rPr>
        <w:t xml:space="preserve">Art. A.10.2.1.8. </w:t>
      </w:r>
      <w:r>
        <w:rPr>
          <w:rFonts w:eastAsia="Calibri"/>
          <w:i/>
          <w:sz w:val="24"/>
          <w:szCs w:val="24"/>
          <w:shd w:val="clear" w:color="auto" w:fill="FFFFFF"/>
        </w:rPr>
        <w:t>până la</w:t>
      </w:r>
      <w:r>
        <w:rPr>
          <w:rFonts w:eastAsia="Calibri"/>
          <w:b/>
          <w:bCs/>
          <w:i/>
          <w:sz w:val="24"/>
          <w:szCs w:val="24"/>
          <w:shd w:val="clear" w:color="auto" w:fill="FFFFFF"/>
        </w:rPr>
        <w:t xml:space="preserve"> Art. A.10.2.1.14.</w:t>
      </w:r>
    </w:p>
    <w:p w14:paraId="696BDB4E" w14:textId="77777777" w:rsidR="001C08A5" w:rsidRDefault="00000000">
      <w:pPr>
        <w:pStyle w:val="Heading3"/>
        <w:rPr>
          <w:i/>
          <w:iCs/>
          <w:sz w:val="24"/>
          <w:szCs w:val="24"/>
        </w:rPr>
      </w:pPr>
      <w:bookmarkStart w:id="10745" w:name="_Toc30980"/>
      <w:bookmarkStart w:id="10746" w:name="_Toc15827"/>
      <w:bookmarkStart w:id="10747" w:name="_Toc14225"/>
      <w:bookmarkStart w:id="10748" w:name="_Toc11872"/>
      <w:bookmarkStart w:id="10749" w:name="_Toc19220"/>
      <w:bookmarkStart w:id="10750" w:name="_Toc162355575"/>
      <w:r>
        <w:rPr>
          <w:i/>
          <w:iCs/>
          <w:sz w:val="24"/>
          <w:szCs w:val="24"/>
        </w:rPr>
        <w:t>A.10. 3.2. AMPLASARE ȘI CONFORMARE LA FOC</w:t>
      </w:r>
      <w:bookmarkEnd w:id="10745"/>
      <w:bookmarkEnd w:id="10746"/>
      <w:bookmarkEnd w:id="10747"/>
      <w:bookmarkEnd w:id="10748"/>
      <w:bookmarkEnd w:id="10749"/>
      <w:bookmarkEnd w:id="10750"/>
    </w:p>
    <w:p w14:paraId="69C9314D" w14:textId="77777777" w:rsidR="001C08A5" w:rsidRDefault="00000000">
      <w:pPr>
        <w:pStyle w:val="Heading4"/>
        <w:rPr>
          <w:sz w:val="24"/>
          <w:szCs w:val="24"/>
        </w:rPr>
      </w:pPr>
      <w:bookmarkStart w:id="10751" w:name="_Toc5361"/>
      <w:bookmarkStart w:id="10752" w:name="_Toc2174"/>
      <w:bookmarkStart w:id="10753" w:name="_Toc162355576"/>
      <w:bookmarkStart w:id="10754" w:name="_Toc31320"/>
      <w:bookmarkStart w:id="10755" w:name="_Toc5932"/>
      <w:bookmarkStart w:id="10756" w:name="_Toc11686"/>
      <w:r>
        <w:rPr>
          <w:sz w:val="24"/>
          <w:szCs w:val="24"/>
        </w:rPr>
        <w:t>Amplasare</w:t>
      </w:r>
      <w:bookmarkEnd w:id="10751"/>
      <w:bookmarkEnd w:id="10752"/>
      <w:bookmarkEnd w:id="10753"/>
      <w:bookmarkEnd w:id="10754"/>
      <w:bookmarkEnd w:id="10755"/>
      <w:bookmarkEnd w:id="10756"/>
    </w:p>
    <w:p w14:paraId="66753B6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3.2.1.</w:t>
      </w:r>
      <w:r>
        <w:rPr>
          <w:rFonts w:eastAsia="Calibri"/>
          <w:i/>
          <w:sz w:val="24"/>
          <w:szCs w:val="24"/>
          <w:shd w:val="clear" w:color="auto" w:fill="FFFFFF"/>
        </w:rPr>
        <w:t> Clădirile civile (publice) existente, independente, comasate sau grupate în conformitate cu recomandările generale, se amplasează în zone ferite de riscuri de incendiu existente în vecinătate, la distanțele de siguranță admise (</w:t>
      </w:r>
      <w:r>
        <w:rPr>
          <w:rFonts w:eastAsia="Calibri"/>
          <w:b/>
          <w:bCs/>
          <w:i/>
          <w:sz w:val="24"/>
          <w:szCs w:val="24"/>
          <w:shd w:val="clear" w:color="auto" w:fill="FFFFFF"/>
        </w:rPr>
        <w:t xml:space="preserve">Art. A.10.2.2.1. </w:t>
      </w:r>
      <w:r>
        <w:rPr>
          <w:rFonts w:eastAsia="Calibri"/>
          <w:i/>
          <w:sz w:val="24"/>
          <w:szCs w:val="24"/>
          <w:shd w:val="clear" w:color="auto" w:fill="FFFFFF"/>
        </w:rPr>
        <w:t>până la</w:t>
      </w:r>
      <w:r>
        <w:rPr>
          <w:rFonts w:eastAsia="Calibri"/>
          <w:b/>
          <w:bCs/>
          <w:i/>
          <w:sz w:val="24"/>
          <w:szCs w:val="24"/>
          <w:shd w:val="clear" w:color="auto" w:fill="FFFFFF"/>
        </w:rPr>
        <w:t xml:space="preserve"> Art. A.10.2.2.3.</w:t>
      </w:r>
      <w:r>
        <w:rPr>
          <w:rFonts w:eastAsia="Calibri"/>
          <w:i/>
          <w:sz w:val="24"/>
          <w:szCs w:val="24"/>
          <w:shd w:val="clear" w:color="auto" w:fill="FFFFFF"/>
        </w:rPr>
        <w:t>), sau se compartimenteaza corespunzător prevederilor din anexă.</w:t>
      </w:r>
    </w:p>
    <w:p w14:paraId="3A73BB0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3.2.2.</w:t>
      </w:r>
      <w:r>
        <w:rPr>
          <w:rFonts w:eastAsia="Calibri"/>
          <w:i/>
          <w:sz w:val="24"/>
          <w:szCs w:val="24"/>
          <w:shd w:val="clear" w:color="auto" w:fill="FFFFFF"/>
        </w:rPr>
        <w:t> Clădirile existente pentru persoane ce nu se pot evacua singure și cele pentru obiecte sau aparataj de importanță deosebită, nu se recomandă a fi comasate cu construcții care au altă destinație. Clădirile existente înalte și foarte înalte, nu se comasează cu construcții care au altă destinație.</w:t>
      </w:r>
    </w:p>
    <w:p w14:paraId="04D9C2C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3.2.3.</w:t>
      </w:r>
      <w:r>
        <w:rPr>
          <w:rFonts w:eastAsia="Calibri"/>
          <w:i/>
          <w:sz w:val="24"/>
          <w:szCs w:val="24"/>
          <w:shd w:val="clear" w:color="auto" w:fill="FFFFFF"/>
        </w:rPr>
        <w:t xml:space="preserve"> În cazul comasării mai multor funcțiuni într-o clădire civilă (publică) existentă funcțiunile se vor separa corespunzător, de regulă, prin pereți și planșee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conform prevederilor anexei.</w:t>
      </w:r>
    </w:p>
    <w:p w14:paraId="3111DC41" w14:textId="77777777" w:rsidR="001C08A5" w:rsidRDefault="00000000">
      <w:pPr>
        <w:pStyle w:val="Heading4"/>
        <w:rPr>
          <w:sz w:val="24"/>
          <w:szCs w:val="24"/>
        </w:rPr>
      </w:pPr>
      <w:bookmarkStart w:id="10757" w:name="_Toc162355577"/>
      <w:bookmarkStart w:id="10758" w:name="_Toc452"/>
      <w:bookmarkStart w:id="10759" w:name="_Toc21831"/>
      <w:bookmarkStart w:id="10760" w:name="_Toc6415"/>
      <w:bookmarkStart w:id="10761" w:name="_Toc12317"/>
      <w:bookmarkStart w:id="10762" w:name="_Toc12212"/>
      <w:r>
        <w:rPr>
          <w:sz w:val="24"/>
          <w:szCs w:val="24"/>
        </w:rPr>
        <w:lastRenderedPageBreak/>
        <w:t>Conformare la foc</w:t>
      </w:r>
      <w:bookmarkEnd w:id="10757"/>
      <w:bookmarkEnd w:id="10758"/>
      <w:bookmarkEnd w:id="10759"/>
      <w:bookmarkEnd w:id="10760"/>
      <w:bookmarkEnd w:id="10761"/>
      <w:bookmarkEnd w:id="10762"/>
    </w:p>
    <w:p w14:paraId="153B778B"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3.2.4.</w:t>
      </w:r>
      <w:r>
        <w:rPr>
          <w:rFonts w:eastAsia="Calibri"/>
          <w:i/>
          <w:sz w:val="24"/>
          <w:szCs w:val="24"/>
          <w:shd w:val="clear" w:color="auto" w:fill="FFFFFF"/>
        </w:rPr>
        <w:t> Prin conformare se vor avea în vedere prevederile</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A.10.2.2.4.</w:t>
      </w:r>
      <w:r>
        <w:rPr>
          <w:rFonts w:eastAsia="Calibri"/>
          <w:i/>
          <w:sz w:val="24"/>
          <w:szCs w:val="24"/>
          <w:shd w:val="clear" w:color="auto" w:fill="FFFFFF"/>
        </w:rPr>
        <w:t xml:space="preserve"> până la</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A.10.2.2.10.</w:t>
      </w:r>
      <w:r>
        <w:rPr>
          <w:rFonts w:eastAsia="Calibri"/>
          <w:i/>
          <w:sz w:val="24"/>
          <w:szCs w:val="24"/>
          <w:shd w:val="clear" w:color="auto" w:fill="FFFFFF"/>
        </w:rPr>
        <w:t xml:space="preserve"> și cele specifice. Ariile construite ale compartimentelor de incendiu admise pentru construcții civile (publice) supraterane existente sunt cele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_Ref8646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147</w:t>
      </w:r>
      <w:r>
        <w:rPr>
          <w:rFonts w:eastAsia="Calibri"/>
          <w:b/>
          <w:bCs/>
          <w:i/>
          <w:iCs/>
          <w:sz w:val="24"/>
          <w:szCs w:val="24"/>
          <w:shd w:val="clear" w:color="auto" w:fill="FFFFFF"/>
        </w:rPr>
        <w:fldChar w:fldCharType="end"/>
      </w:r>
      <w:r>
        <w:rPr>
          <w:rFonts w:eastAsia="Calibri"/>
          <w:i/>
          <w:sz w:val="24"/>
          <w:szCs w:val="24"/>
          <w:shd w:val="clear" w:color="auto" w:fill="FFFFFF"/>
        </w:rPr>
        <w:t xml:space="preserve"> </w:t>
      </w:r>
      <w:r>
        <w:rPr>
          <w:b/>
          <w:i/>
          <w:sz w:val="24"/>
          <w:szCs w:val="24"/>
        </w:rPr>
        <w:t>.</w:t>
      </w:r>
    </w:p>
    <w:p w14:paraId="2565BF61" w14:textId="77777777" w:rsidR="001C08A5" w:rsidRDefault="00000000">
      <w:pPr>
        <w:pStyle w:val="Caption"/>
        <w:shd w:val="clear" w:color="auto" w:fill="FFFFFF"/>
        <w:spacing w:before="0" w:after="150"/>
        <w:jc w:val="both"/>
        <w:rPr>
          <w:rFonts w:cs="Times New Roman"/>
        </w:rPr>
      </w:pPr>
      <w:bookmarkStart w:id="10763" w:name="_Ref8646"/>
      <w:bookmarkStart w:id="10764" w:name="_Ref28145"/>
      <w:bookmarkStart w:id="10765" w:name="_Toc162360197"/>
      <w:r>
        <w:t xml:space="preserve">Tabelul </w:t>
      </w:r>
      <w:r>
        <w:fldChar w:fldCharType="begin"/>
      </w:r>
      <w:r>
        <w:instrText xml:space="preserve"> SEQ Tabelul \* ARABIC </w:instrText>
      </w:r>
      <w:r>
        <w:fldChar w:fldCharType="separate"/>
      </w:r>
      <w:r>
        <w:t>147</w:t>
      </w:r>
      <w:r>
        <w:fldChar w:fldCharType="end"/>
      </w:r>
      <w:bookmarkStart w:id="10766" w:name="_Toc6213"/>
      <w:bookmarkStart w:id="10767" w:name="_Toc4727"/>
      <w:bookmarkStart w:id="10768" w:name="_Toc16829"/>
      <w:bookmarkStart w:id="10769" w:name="_Toc26314"/>
      <w:bookmarkStart w:id="10770" w:name="_Toc17246"/>
      <w:bookmarkStart w:id="10771" w:name="_Toc20179"/>
      <w:bookmarkStart w:id="10772" w:name="_Toc12446"/>
      <w:bookmarkStart w:id="10773" w:name="_Toc27898"/>
      <w:bookmarkStart w:id="10774" w:name="_Toc28021"/>
      <w:bookmarkStart w:id="10775" w:name="_Toc9335"/>
      <w:bookmarkStart w:id="10776" w:name="_Toc30473"/>
      <w:bookmarkEnd w:id="10763"/>
      <w:r>
        <w:t>: Arii construite admise pentru compartimente de incendiu ale clădirilor civile existente (publice) supraterane</w:t>
      </w:r>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p>
    <w:tbl>
      <w:tblPr>
        <w:tblW w:w="0" w:type="auto"/>
        <w:jc w:val="center"/>
        <w:tblCellMar>
          <w:top w:w="15" w:type="dxa"/>
          <w:left w:w="15" w:type="dxa"/>
          <w:bottom w:w="15" w:type="dxa"/>
          <w:right w:w="15" w:type="dxa"/>
        </w:tblCellMar>
        <w:tblLook w:val="04A0" w:firstRow="1" w:lastRow="0" w:firstColumn="1" w:lastColumn="0" w:noHBand="0" w:noVBand="1"/>
      </w:tblPr>
      <w:tblGrid>
        <w:gridCol w:w="2414"/>
        <w:gridCol w:w="3055"/>
        <w:gridCol w:w="4154"/>
      </w:tblGrid>
      <w:tr w:rsidR="001C08A5" w14:paraId="526888BB" w14:textId="77777777">
        <w:trPr>
          <w:trHeight w:val="199"/>
          <w:jc w:val="center"/>
        </w:trPr>
        <w:tc>
          <w:tcPr>
            <w:tcW w:w="2414" w:type="dxa"/>
            <w:vMerge w:val="restart"/>
            <w:tcBorders>
              <w:top w:val="single" w:sz="4" w:space="0" w:color="auto"/>
              <w:left w:val="single" w:sz="6" w:space="0" w:color="333333"/>
              <w:bottom w:val="single" w:sz="6" w:space="0" w:color="333333"/>
              <w:right w:val="single" w:sz="6" w:space="0" w:color="333333"/>
            </w:tcBorders>
            <w:tcMar>
              <w:top w:w="0" w:type="dxa"/>
              <w:left w:w="0" w:type="dxa"/>
              <w:bottom w:w="0" w:type="dxa"/>
              <w:right w:w="0" w:type="dxa"/>
            </w:tcMar>
            <w:vAlign w:val="center"/>
          </w:tcPr>
          <w:p w14:paraId="4B6BA256" w14:textId="77777777" w:rsidR="001C08A5" w:rsidRDefault="00000000">
            <w:pPr>
              <w:jc w:val="center"/>
              <w:rPr>
                <w:b/>
                <w:bCs/>
                <w:i/>
                <w:sz w:val="22"/>
                <w:szCs w:val="22"/>
              </w:rPr>
            </w:pPr>
            <w:r>
              <w:rPr>
                <w:rFonts w:eastAsia="Calibri"/>
                <w:b/>
                <w:bCs/>
                <w:i/>
                <w:sz w:val="22"/>
                <w:szCs w:val="22"/>
                <w:shd w:val="clear" w:color="auto" w:fill="FFFFFF"/>
              </w:rPr>
              <w:t xml:space="preserve">Nivel de stabilitate la incendiu </w:t>
            </w:r>
          </w:p>
        </w:tc>
        <w:tc>
          <w:tcPr>
            <w:tcW w:w="0" w:type="auto"/>
            <w:gridSpan w:val="2"/>
            <w:tcBorders>
              <w:top w:val="single" w:sz="4" w:space="0" w:color="auto"/>
              <w:left w:val="single" w:sz="6" w:space="0" w:color="333333"/>
              <w:bottom w:val="single" w:sz="6" w:space="0" w:color="333333"/>
              <w:right w:val="single" w:sz="6" w:space="0" w:color="333333"/>
            </w:tcBorders>
            <w:tcMar>
              <w:top w:w="0" w:type="dxa"/>
              <w:left w:w="0" w:type="dxa"/>
              <w:bottom w:w="0" w:type="dxa"/>
              <w:right w:w="0" w:type="dxa"/>
            </w:tcMar>
            <w:vAlign w:val="center"/>
          </w:tcPr>
          <w:p w14:paraId="7B3F9C9F" w14:textId="77777777" w:rsidR="001C08A5" w:rsidRDefault="00000000">
            <w:pPr>
              <w:jc w:val="center"/>
              <w:rPr>
                <w:b/>
                <w:bCs/>
                <w:i/>
                <w:sz w:val="22"/>
                <w:szCs w:val="22"/>
              </w:rPr>
            </w:pPr>
            <w:r>
              <w:rPr>
                <w:b/>
                <w:bCs/>
                <w:i/>
                <w:sz w:val="22"/>
                <w:szCs w:val="22"/>
                <w:lang w:val="en-US" w:eastAsia="zh-CN" w:bidi="ar"/>
              </w:rPr>
              <w:t>Aria maximă construită (la sol), a unui compartiment de incendiu</w:t>
            </w:r>
            <w:r>
              <w:rPr>
                <w:b/>
                <w:bCs/>
                <w:i/>
                <w:sz w:val="22"/>
                <w:szCs w:val="22"/>
                <w:lang w:eastAsia="zh-CN" w:bidi="ar"/>
              </w:rPr>
              <w:t xml:space="preserve"> existent</w:t>
            </w:r>
            <w:r>
              <w:rPr>
                <w:b/>
                <w:bCs/>
                <w:i/>
                <w:sz w:val="22"/>
                <w:szCs w:val="22"/>
                <w:lang w:val="en-US" w:eastAsia="zh-CN" w:bidi="ar"/>
              </w:rPr>
              <w:t xml:space="preserve"> (în </w:t>
            </w:r>
            <w:r>
              <w:rPr>
                <w:b/>
                <w:bCs/>
                <w:i/>
                <w:sz w:val="22"/>
                <w:szCs w:val="22"/>
                <w:lang w:eastAsia="zh-CN" w:bidi="ar"/>
              </w:rPr>
              <w:t>m</w:t>
            </w:r>
            <w:r>
              <w:rPr>
                <w:b/>
                <w:bCs/>
                <w:i/>
                <w:sz w:val="22"/>
                <w:szCs w:val="22"/>
                <w:vertAlign w:val="superscript"/>
                <w:lang w:eastAsia="zh-CN" w:bidi="ar"/>
              </w:rPr>
              <w:t>2</w:t>
            </w:r>
            <w:r>
              <w:rPr>
                <w:b/>
                <w:bCs/>
                <w:i/>
                <w:sz w:val="22"/>
                <w:szCs w:val="22"/>
                <w:lang w:val="en-US" w:eastAsia="zh-CN" w:bidi="ar"/>
              </w:rPr>
              <w:t>)</w:t>
            </w:r>
          </w:p>
        </w:tc>
      </w:tr>
      <w:tr w:rsidR="001C08A5" w14:paraId="1D039686" w14:textId="77777777">
        <w:trPr>
          <w:trHeight w:val="182"/>
          <w:jc w:val="center"/>
        </w:trPr>
        <w:tc>
          <w:tcPr>
            <w:tcW w:w="2414" w:type="dxa"/>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F524946" w14:textId="77777777" w:rsidR="001C08A5" w:rsidRDefault="001C08A5">
            <w:pPr>
              <w:jc w:val="center"/>
              <w:rPr>
                <w:b/>
                <w:bCs/>
                <w:i/>
                <w:sz w:val="22"/>
                <w:szCs w:val="22"/>
              </w:rPr>
            </w:pPr>
          </w:p>
        </w:tc>
        <w:tc>
          <w:tcPr>
            <w:tcW w:w="0" w:type="auto"/>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2D1C603" w14:textId="77777777" w:rsidR="001C08A5" w:rsidRDefault="00000000">
            <w:pPr>
              <w:jc w:val="center"/>
              <w:rPr>
                <w:b/>
                <w:bCs/>
                <w:i/>
                <w:sz w:val="22"/>
                <w:szCs w:val="22"/>
              </w:rPr>
            </w:pPr>
            <w:r>
              <w:rPr>
                <w:b/>
                <w:bCs/>
                <w:i/>
                <w:sz w:val="22"/>
                <w:szCs w:val="22"/>
                <w:lang w:val="en-US" w:eastAsia="zh-CN" w:bidi="ar"/>
              </w:rPr>
              <w:t xml:space="preserve">Clădiri </w:t>
            </w:r>
            <w:r>
              <w:rPr>
                <w:b/>
                <w:bCs/>
                <w:i/>
                <w:sz w:val="22"/>
                <w:szCs w:val="22"/>
                <w:lang w:eastAsia="zh-CN" w:bidi="ar"/>
              </w:rPr>
              <w:t xml:space="preserve">existente </w:t>
            </w:r>
            <w:r>
              <w:rPr>
                <w:b/>
                <w:bCs/>
                <w:i/>
                <w:sz w:val="22"/>
                <w:szCs w:val="22"/>
                <w:lang w:val="en-US" w:eastAsia="zh-CN" w:bidi="ar"/>
              </w:rPr>
              <w:t>cu un nivel</w:t>
            </w:r>
          </w:p>
        </w:tc>
        <w:tc>
          <w:tcPr>
            <w:tcW w:w="0" w:type="auto"/>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4A65B26" w14:textId="77777777" w:rsidR="001C08A5" w:rsidRDefault="00000000">
            <w:pPr>
              <w:jc w:val="center"/>
              <w:rPr>
                <w:b/>
                <w:bCs/>
                <w:i/>
                <w:sz w:val="22"/>
                <w:szCs w:val="22"/>
              </w:rPr>
            </w:pPr>
            <w:r>
              <w:rPr>
                <w:b/>
                <w:bCs/>
                <w:i/>
                <w:sz w:val="22"/>
                <w:szCs w:val="22"/>
                <w:lang w:val="en-US" w:eastAsia="zh-CN" w:bidi="ar"/>
              </w:rPr>
              <w:t xml:space="preserve">Clădiri </w:t>
            </w:r>
            <w:r>
              <w:rPr>
                <w:b/>
                <w:bCs/>
                <w:i/>
                <w:sz w:val="22"/>
                <w:szCs w:val="22"/>
                <w:lang w:eastAsia="zh-CN" w:bidi="ar"/>
              </w:rPr>
              <w:t xml:space="preserve">existente </w:t>
            </w:r>
            <w:r>
              <w:rPr>
                <w:b/>
                <w:bCs/>
                <w:i/>
                <w:sz w:val="22"/>
                <w:szCs w:val="22"/>
                <w:lang w:val="en-US" w:eastAsia="zh-CN" w:bidi="ar"/>
              </w:rPr>
              <w:t>cu mai multe niveluri</w:t>
            </w:r>
          </w:p>
        </w:tc>
      </w:tr>
      <w:tr w:rsidR="001C08A5" w14:paraId="34A9EDAC" w14:textId="77777777">
        <w:trPr>
          <w:trHeight w:val="90"/>
          <w:jc w:val="center"/>
        </w:trPr>
        <w:tc>
          <w:tcPr>
            <w:tcW w:w="2414"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DB264BA" w14:textId="77777777" w:rsidR="001C08A5" w:rsidRDefault="00000000">
            <w:pPr>
              <w:jc w:val="center"/>
              <w:rPr>
                <w:b/>
                <w:bCs/>
                <w:i/>
                <w:sz w:val="22"/>
                <w:szCs w:val="22"/>
              </w:rPr>
            </w:pPr>
            <w:r>
              <w:rPr>
                <w:b/>
                <w:bCs/>
                <w:i/>
                <w:sz w:val="22"/>
                <w:szCs w:val="22"/>
                <w:lang w:val="en-US" w:eastAsia="zh-CN" w:bidi="ar"/>
              </w:rPr>
              <w:t>I-II</w:t>
            </w:r>
          </w:p>
        </w:tc>
        <w:tc>
          <w:tcPr>
            <w:tcW w:w="0" w:type="auto"/>
            <w:gridSpan w:val="2"/>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FCF0970" w14:textId="77777777" w:rsidR="001C08A5" w:rsidRDefault="00000000">
            <w:pPr>
              <w:jc w:val="center"/>
              <w:rPr>
                <w:b/>
                <w:bCs/>
                <w:i/>
                <w:sz w:val="22"/>
                <w:szCs w:val="22"/>
              </w:rPr>
            </w:pPr>
            <w:r>
              <w:rPr>
                <w:b/>
                <w:bCs/>
                <w:i/>
                <w:sz w:val="22"/>
                <w:szCs w:val="22"/>
                <w:lang w:val="en-US" w:eastAsia="zh-CN" w:bidi="ar"/>
              </w:rPr>
              <w:t>2500</w:t>
            </w:r>
          </w:p>
        </w:tc>
      </w:tr>
      <w:tr w:rsidR="001C08A5" w14:paraId="5116E9F0" w14:textId="77777777">
        <w:trPr>
          <w:trHeight w:val="90"/>
          <w:jc w:val="center"/>
        </w:trPr>
        <w:tc>
          <w:tcPr>
            <w:tcW w:w="2414"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60FAD1B" w14:textId="77777777" w:rsidR="001C08A5" w:rsidRDefault="00000000">
            <w:pPr>
              <w:jc w:val="center"/>
              <w:rPr>
                <w:b/>
                <w:bCs/>
                <w:i/>
                <w:sz w:val="22"/>
                <w:szCs w:val="22"/>
              </w:rPr>
            </w:pPr>
            <w:r>
              <w:rPr>
                <w:b/>
                <w:bCs/>
                <w:i/>
                <w:sz w:val="22"/>
                <w:szCs w:val="22"/>
                <w:lang w:val="en-US" w:eastAsia="zh-CN" w:bidi="ar"/>
              </w:rPr>
              <w:t>III</w:t>
            </w:r>
          </w:p>
        </w:tc>
        <w:tc>
          <w:tcPr>
            <w:tcW w:w="0" w:type="auto"/>
            <w:gridSpan w:val="2"/>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270EBE7" w14:textId="77777777" w:rsidR="001C08A5" w:rsidRDefault="00000000">
            <w:pPr>
              <w:jc w:val="center"/>
              <w:rPr>
                <w:b/>
                <w:bCs/>
                <w:i/>
                <w:sz w:val="22"/>
                <w:szCs w:val="22"/>
              </w:rPr>
            </w:pPr>
            <w:r>
              <w:rPr>
                <w:b/>
                <w:bCs/>
                <w:i/>
                <w:sz w:val="22"/>
                <w:szCs w:val="22"/>
                <w:lang w:val="en-US" w:eastAsia="zh-CN" w:bidi="ar"/>
              </w:rPr>
              <w:t>1800</w:t>
            </w:r>
          </w:p>
        </w:tc>
      </w:tr>
      <w:tr w:rsidR="001C08A5" w14:paraId="0E7BEF6B" w14:textId="77777777">
        <w:trPr>
          <w:trHeight w:val="193"/>
          <w:jc w:val="center"/>
        </w:trPr>
        <w:tc>
          <w:tcPr>
            <w:tcW w:w="2414"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719810A" w14:textId="77777777" w:rsidR="001C08A5" w:rsidRDefault="00000000">
            <w:pPr>
              <w:jc w:val="center"/>
              <w:rPr>
                <w:b/>
                <w:bCs/>
                <w:i/>
                <w:sz w:val="22"/>
                <w:szCs w:val="22"/>
              </w:rPr>
            </w:pPr>
            <w:r>
              <w:rPr>
                <w:b/>
                <w:bCs/>
                <w:i/>
                <w:sz w:val="22"/>
                <w:szCs w:val="22"/>
                <w:lang w:val="en-US" w:eastAsia="zh-CN" w:bidi="ar"/>
              </w:rPr>
              <w:t>IV</w:t>
            </w:r>
          </w:p>
        </w:tc>
        <w:tc>
          <w:tcPr>
            <w:tcW w:w="0" w:type="auto"/>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8784935" w14:textId="77777777" w:rsidR="001C08A5" w:rsidRDefault="00000000">
            <w:pPr>
              <w:jc w:val="center"/>
              <w:rPr>
                <w:b/>
                <w:bCs/>
                <w:i/>
                <w:sz w:val="22"/>
                <w:szCs w:val="22"/>
              </w:rPr>
            </w:pPr>
            <w:r>
              <w:rPr>
                <w:b/>
                <w:bCs/>
                <w:i/>
                <w:sz w:val="22"/>
                <w:szCs w:val="22"/>
                <w:lang w:val="en-US" w:eastAsia="zh-CN" w:bidi="ar"/>
              </w:rPr>
              <w:t>1400</w:t>
            </w:r>
          </w:p>
        </w:tc>
        <w:tc>
          <w:tcPr>
            <w:tcW w:w="0" w:type="auto"/>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99D3160" w14:textId="77777777" w:rsidR="001C08A5" w:rsidRDefault="00000000">
            <w:pPr>
              <w:jc w:val="center"/>
              <w:rPr>
                <w:b/>
                <w:bCs/>
                <w:i/>
                <w:sz w:val="22"/>
                <w:szCs w:val="22"/>
              </w:rPr>
            </w:pPr>
            <w:r>
              <w:rPr>
                <w:b/>
                <w:bCs/>
                <w:i/>
                <w:sz w:val="22"/>
                <w:szCs w:val="22"/>
                <w:lang w:val="en-US" w:eastAsia="zh-CN" w:bidi="ar"/>
              </w:rPr>
              <w:t>1000</w:t>
            </w:r>
          </w:p>
        </w:tc>
      </w:tr>
      <w:tr w:rsidR="001C08A5" w14:paraId="7F599394" w14:textId="77777777">
        <w:trPr>
          <w:trHeight w:val="142"/>
          <w:jc w:val="center"/>
        </w:trPr>
        <w:tc>
          <w:tcPr>
            <w:tcW w:w="2414"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39C908C" w14:textId="77777777" w:rsidR="001C08A5" w:rsidRDefault="00000000">
            <w:pPr>
              <w:jc w:val="center"/>
              <w:rPr>
                <w:b/>
                <w:bCs/>
                <w:i/>
                <w:sz w:val="22"/>
                <w:szCs w:val="22"/>
              </w:rPr>
            </w:pPr>
            <w:r>
              <w:rPr>
                <w:b/>
                <w:bCs/>
                <w:i/>
                <w:sz w:val="22"/>
                <w:szCs w:val="22"/>
                <w:lang w:val="en-US" w:eastAsia="zh-CN" w:bidi="ar"/>
              </w:rPr>
              <w:t>V</w:t>
            </w:r>
          </w:p>
        </w:tc>
        <w:tc>
          <w:tcPr>
            <w:tcW w:w="0" w:type="auto"/>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86218EF" w14:textId="77777777" w:rsidR="001C08A5" w:rsidRDefault="00000000">
            <w:pPr>
              <w:jc w:val="center"/>
              <w:rPr>
                <w:b/>
                <w:bCs/>
                <w:i/>
                <w:sz w:val="22"/>
                <w:szCs w:val="22"/>
              </w:rPr>
            </w:pPr>
            <w:r>
              <w:rPr>
                <w:b/>
                <w:bCs/>
                <w:i/>
                <w:sz w:val="22"/>
                <w:szCs w:val="22"/>
                <w:lang w:val="en-US" w:eastAsia="zh-CN" w:bidi="ar"/>
              </w:rPr>
              <w:t>1000</w:t>
            </w:r>
          </w:p>
        </w:tc>
        <w:tc>
          <w:tcPr>
            <w:tcW w:w="0" w:type="auto"/>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6636D02" w14:textId="77777777" w:rsidR="001C08A5" w:rsidRDefault="00000000">
            <w:pPr>
              <w:jc w:val="center"/>
              <w:rPr>
                <w:b/>
                <w:bCs/>
                <w:i/>
                <w:sz w:val="22"/>
                <w:szCs w:val="22"/>
              </w:rPr>
            </w:pPr>
            <w:r>
              <w:rPr>
                <w:b/>
                <w:bCs/>
                <w:i/>
                <w:sz w:val="22"/>
                <w:szCs w:val="22"/>
                <w:lang w:val="en-US" w:eastAsia="zh-CN" w:bidi="ar"/>
              </w:rPr>
              <w:t>800</w:t>
            </w:r>
          </w:p>
        </w:tc>
      </w:tr>
    </w:tbl>
    <w:p w14:paraId="2A7F9B43" w14:textId="77777777" w:rsidR="001C08A5" w:rsidRDefault="00000000">
      <w:pPr>
        <w:rPr>
          <w:i/>
          <w:iCs/>
          <w:sz w:val="22"/>
          <w:szCs w:val="22"/>
        </w:rPr>
      </w:pPr>
      <w:r>
        <w:rPr>
          <w:i/>
          <w:iCs/>
          <w:sz w:val="22"/>
          <w:szCs w:val="22"/>
        </w:rPr>
        <w:t>Notă:</w:t>
      </w:r>
    </w:p>
    <w:p w14:paraId="7C7434F9" w14:textId="77777777" w:rsidR="001C08A5" w:rsidRDefault="00000000">
      <w:pPr>
        <w:jc w:val="both"/>
        <w:rPr>
          <w:i/>
          <w:iCs/>
          <w:sz w:val="22"/>
          <w:szCs w:val="22"/>
        </w:rPr>
      </w:pPr>
      <w:r>
        <w:rPr>
          <w:i/>
          <w:iCs/>
          <w:sz w:val="22"/>
          <w:szCs w:val="22"/>
        </w:rPr>
        <w:t xml:space="preserve">1. Pentru clădirile existente echipate cu instalații automate de stingere a incendiilor, ariile se pot majora cu 100%. Atunci când se prevăd instalații automate de semnalizare a incendiilor, ariile se pot majora cu </w:t>
      </w:r>
      <w:r>
        <w:rPr>
          <w:b/>
          <w:bCs/>
          <w:i/>
          <w:iCs/>
          <w:sz w:val="22"/>
          <w:szCs w:val="22"/>
        </w:rPr>
        <w:t>25%</w:t>
      </w:r>
      <w:r>
        <w:rPr>
          <w:i/>
          <w:iCs/>
          <w:sz w:val="22"/>
          <w:szCs w:val="22"/>
        </w:rPr>
        <w:t>. Majorările menționate nu se cumulează.</w:t>
      </w:r>
    </w:p>
    <w:p w14:paraId="11213A48" w14:textId="77777777" w:rsidR="001C08A5" w:rsidRDefault="00000000">
      <w:pPr>
        <w:jc w:val="both"/>
        <w:rPr>
          <w:i/>
          <w:iCs/>
          <w:sz w:val="22"/>
          <w:szCs w:val="22"/>
        </w:rPr>
      </w:pPr>
      <w:r>
        <w:rPr>
          <w:i/>
          <w:iCs/>
          <w:sz w:val="22"/>
          <w:szCs w:val="22"/>
        </w:rPr>
        <w:t>2. În cazuri justificate tehnic, investitorii pot stabili arii construite mai mari pe proprie răspundere, prin hotărâri scrise ale consiliilor de conducere respective, asigurând măsuri suplimentare de protecție și de îmbunătăţire a cerinței de securitate la incendiu (care se efectuează în baza unei expertize tehnice pentru cerința fundamentală securitate la incendiu).</w:t>
      </w:r>
    </w:p>
    <w:p w14:paraId="42C59F84" w14:textId="77777777" w:rsidR="001C08A5" w:rsidRDefault="00000000">
      <w:pPr>
        <w:pStyle w:val="Caption"/>
        <w:spacing w:before="280" w:after="115"/>
        <w:jc w:val="both"/>
        <w:rPr>
          <w:rFonts w:cs="Times New Roman"/>
        </w:rPr>
      </w:pPr>
      <w:bookmarkStart w:id="10777" w:name="_Ref9032"/>
      <w:bookmarkStart w:id="10778" w:name="_Ref27175"/>
      <w:bookmarkStart w:id="10779" w:name="_Toc162360198"/>
      <w:r>
        <w:t xml:space="preserve">Tabelul </w:t>
      </w:r>
      <w:r>
        <w:fldChar w:fldCharType="begin"/>
      </w:r>
      <w:r>
        <w:instrText xml:space="preserve"> SEQ Tabelul \* ARABIC </w:instrText>
      </w:r>
      <w:r>
        <w:fldChar w:fldCharType="separate"/>
      </w:r>
      <w:r>
        <w:t>148</w:t>
      </w:r>
      <w:r>
        <w:fldChar w:fldCharType="end"/>
      </w:r>
      <w:bookmarkStart w:id="10780" w:name="_Toc17358"/>
      <w:bookmarkStart w:id="10781" w:name="_Toc13413"/>
      <w:bookmarkStart w:id="10782" w:name="_Toc8405"/>
      <w:bookmarkStart w:id="10783" w:name="_Toc32167"/>
      <w:bookmarkStart w:id="10784" w:name="_Toc11163"/>
      <w:bookmarkStart w:id="10785" w:name="_Toc29340"/>
      <w:bookmarkStart w:id="10786" w:name="_Toc28452"/>
      <w:bookmarkStart w:id="10787" w:name="_Toc23691"/>
      <w:bookmarkStart w:id="10788" w:name="_Toc17244"/>
      <w:bookmarkStart w:id="10789" w:name="_Toc20711"/>
      <w:bookmarkStart w:id="10790" w:name="_Toc9214"/>
      <w:bookmarkEnd w:id="10777"/>
      <w:r>
        <w:t xml:space="preserve"> - Număr de niveluri supraterane maxim admis și capacitatea clădirilor civile existente cu nivelul de stabilitate la incendiu III, IV și V</w:t>
      </w:r>
      <w:bookmarkEnd w:id="10778"/>
      <w:bookmarkEnd w:id="10779"/>
      <w:bookmarkEnd w:id="10780"/>
      <w:bookmarkEnd w:id="10781"/>
      <w:bookmarkEnd w:id="10782"/>
      <w:bookmarkEnd w:id="10783"/>
      <w:bookmarkEnd w:id="10784"/>
      <w:bookmarkEnd w:id="10785"/>
      <w:bookmarkEnd w:id="10786"/>
      <w:bookmarkEnd w:id="10787"/>
      <w:bookmarkEnd w:id="10788"/>
      <w:bookmarkEnd w:id="10789"/>
      <w:bookmarkEnd w:id="10790"/>
    </w:p>
    <w:tbl>
      <w:tblPr>
        <w:tblW w:w="49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91"/>
        <w:gridCol w:w="4665"/>
        <w:gridCol w:w="1334"/>
        <w:gridCol w:w="1124"/>
        <w:gridCol w:w="931"/>
        <w:gridCol w:w="920"/>
      </w:tblGrid>
      <w:tr w:rsidR="001C08A5" w14:paraId="7A884E25" w14:textId="77777777">
        <w:trPr>
          <w:trHeight w:val="627"/>
          <w:jc w:val="center"/>
        </w:trPr>
        <w:tc>
          <w:tcPr>
            <w:tcW w:w="259" w:type="pct"/>
            <w:vMerge w:val="restart"/>
            <w:tcMar>
              <w:top w:w="0" w:type="dxa"/>
              <w:left w:w="0" w:type="dxa"/>
              <w:bottom w:w="0" w:type="dxa"/>
              <w:right w:w="0" w:type="dxa"/>
            </w:tcMar>
            <w:vAlign w:val="center"/>
          </w:tcPr>
          <w:p w14:paraId="3285701C" w14:textId="77777777" w:rsidR="001C08A5" w:rsidRDefault="00000000">
            <w:pPr>
              <w:jc w:val="center"/>
              <w:rPr>
                <w:b/>
                <w:bCs/>
                <w:i/>
                <w:sz w:val="22"/>
                <w:szCs w:val="22"/>
              </w:rPr>
            </w:pPr>
            <w:r>
              <w:rPr>
                <w:b/>
                <w:bCs/>
                <w:i/>
                <w:sz w:val="22"/>
                <w:szCs w:val="22"/>
                <w:lang w:val="en-US" w:eastAsia="zh-CN" w:bidi="ar"/>
              </w:rPr>
              <w:t>Nr. crt.</w:t>
            </w:r>
          </w:p>
        </w:tc>
        <w:tc>
          <w:tcPr>
            <w:tcW w:w="2463" w:type="pct"/>
            <w:vMerge w:val="restart"/>
            <w:tcMar>
              <w:top w:w="0" w:type="dxa"/>
              <w:left w:w="0" w:type="dxa"/>
              <w:bottom w:w="0" w:type="dxa"/>
              <w:right w:w="0" w:type="dxa"/>
            </w:tcMar>
            <w:vAlign w:val="center"/>
          </w:tcPr>
          <w:p w14:paraId="442A9DE4" w14:textId="77777777" w:rsidR="001C08A5" w:rsidRDefault="00000000">
            <w:pPr>
              <w:jc w:val="center"/>
              <w:rPr>
                <w:b/>
                <w:bCs/>
                <w:i/>
                <w:sz w:val="22"/>
                <w:szCs w:val="22"/>
              </w:rPr>
            </w:pPr>
            <w:r>
              <w:rPr>
                <w:b/>
                <w:bCs/>
                <w:i/>
                <w:sz w:val="22"/>
                <w:szCs w:val="22"/>
                <w:lang w:val="en-US" w:eastAsia="zh-CN" w:bidi="ar"/>
              </w:rPr>
              <w:t>Destinația clădirilor</w:t>
            </w:r>
            <w:r>
              <w:rPr>
                <w:b/>
                <w:bCs/>
                <w:i/>
                <w:sz w:val="22"/>
                <w:szCs w:val="22"/>
                <w:lang w:eastAsia="zh-CN" w:bidi="ar"/>
              </w:rPr>
              <w:t xml:space="preserve"> existente</w:t>
            </w:r>
          </w:p>
        </w:tc>
        <w:tc>
          <w:tcPr>
            <w:tcW w:w="704" w:type="pct"/>
            <w:vMerge w:val="restart"/>
            <w:tcMar>
              <w:top w:w="0" w:type="dxa"/>
              <w:left w:w="0" w:type="dxa"/>
              <w:bottom w:w="0" w:type="dxa"/>
              <w:right w:w="0" w:type="dxa"/>
            </w:tcMar>
            <w:vAlign w:val="center"/>
          </w:tcPr>
          <w:p w14:paraId="31F804C0" w14:textId="77777777" w:rsidR="001C08A5" w:rsidRDefault="00000000">
            <w:pPr>
              <w:jc w:val="center"/>
              <w:rPr>
                <w:b/>
                <w:bCs/>
                <w:i/>
                <w:sz w:val="22"/>
                <w:szCs w:val="22"/>
              </w:rPr>
            </w:pPr>
            <w:r>
              <w:rPr>
                <w:b/>
                <w:bCs/>
                <w:i/>
                <w:sz w:val="22"/>
                <w:szCs w:val="22"/>
                <w:lang w:val="en-US" w:eastAsia="zh-CN" w:bidi="ar"/>
              </w:rPr>
              <w:t>Capacitate (Număr maxim de persoane)</w:t>
            </w:r>
          </w:p>
        </w:tc>
        <w:tc>
          <w:tcPr>
            <w:tcW w:w="1572" w:type="pct"/>
            <w:gridSpan w:val="3"/>
            <w:tcMar>
              <w:top w:w="0" w:type="dxa"/>
              <w:left w:w="0" w:type="dxa"/>
              <w:bottom w:w="0" w:type="dxa"/>
              <w:right w:w="0" w:type="dxa"/>
            </w:tcMar>
            <w:vAlign w:val="center"/>
          </w:tcPr>
          <w:p w14:paraId="12DB1A30" w14:textId="77777777" w:rsidR="001C08A5" w:rsidRDefault="00000000">
            <w:pPr>
              <w:jc w:val="center"/>
              <w:rPr>
                <w:b/>
                <w:bCs/>
                <w:i/>
                <w:sz w:val="22"/>
                <w:szCs w:val="22"/>
              </w:rPr>
            </w:pPr>
            <w:r>
              <w:rPr>
                <w:b/>
                <w:bCs/>
                <w:i/>
                <w:sz w:val="22"/>
                <w:szCs w:val="22"/>
                <w:lang w:val="en-US" w:eastAsia="zh-CN" w:bidi="ar"/>
              </w:rPr>
              <w:t>Număr maxim de niveluri pentru clădiri existente</w:t>
            </w:r>
            <w:r>
              <w:rPr>
                <w:b/>
                <w:bCs/>
                <w:i/>
                <w:sz w:val="22"/>
                <w:szCs w:val="22"/>
                <w:lang w:eastAsia="zh-CN" w:bidi="ar"/>
              </w:rPr>
              <w:t xml:space="preserve"> </w:t>
            </w:r>
            <w:r>
              <w:rPr>
                <w:b/>
                <w:bCs/>
                <w:i/>
                <w:sz w:val="22"/>
                <w:szCs w:val="22"/>
                <w:lang w:val="en-US" w:eastAsia="zh-CN" w:bidi="ar"/>
              </w:rPr>
              <w:t xml:space="preserve">având </w:t>
            </w:r>
            <w:r>
              <w:rPr>
                <w:rFonts w:eastAsia="Calibri"/>
                <w:b/>
                <w:bCs/>
                <w:i/>
                <w:sz w:val="22"/>
                <w:szCs w:val="22"/>
                <w:shd w:val="clear" w:color="auto" w:fill="FFFFFF"/>
              </w:rPr>
              <w:t>nivelul de stabilitate la incendiu III, IV și V</w:t>
            </w:r>
            <w:r>
              <w:rPr>
                <w:b/>
                <w:bCs/>
                <w:i/>
                <w:sz w:val="22"/>
                <w:szCs w:val="22"/>
                <w:lang w:val="en-US" w:eastAsia="zh-CN" w:bidi="ar"/>
              </w:rPr>
              <w:t>:</w:t>
            </w:r>
          </w:p>
        </w:tc>
      </w:tr>
      <w:tr w:rsidR="001C08A5" w14:paraId="632DBF81" w14:textId="77777777">
        <w:trPr>
          <w:trHeight w:val="199"/>
          <w:jc w:val="center"/>
        </w:trPr>
        <w:tc>
          <w:tcPr>
            <w:tcW w:w="259" w:type="pct"/>
            <w:vMerge/>
            <w:tcMar>
              <w:top w:w="0" w:type="dxa"/>
              <w:left w:w="0" w:type="dxa"/>
              <w:bottom w:w="0" w:type="dxa"/>
              <w:right w:w="0" w:type="dxa"/>
            </w:tcMar>
            <w:vAlign w:val="center"/>
          </w:tcPr>
          <w:p w14:paraId="5A2ACFCF" w14:textId="77777777" w:rsidR="001C08A5" w:rsidRDefault="001C08A5">
            <w:pPr>
              <w:jc w:val="center"/>
              <w:rPr>
                <w:b/>
                <w:bCs/>
                <w:i/>
                <w:sz w:val="22"/>
                <w:szCs w:val="22"/>
              </w:rPr>
            </w:pPr>
          </w:p>
        </w:tc>
        <w:tc>
          <w:tcPr>
            <w:tcW w:w="2463" w:type="pct"/>
            <w:vMerge/>
            <w:tcMar>
              <w:top w:w="0" w:type="dxa"/>
              <w:left w:w="0" w:type="dxa"/>
              <w:bottom w:w="0" w:type="dxa"/>
              <w:right w:w="0" w:type="dxa"/>
            </w:tcMar>
            <w:vAlign w:val="center"/>
          </w:tcPr>
          <w:p w14:paraId="37732778" w14:textId="77777777" w:rsidR="001C08A5" w:rsidRDefault="001C08A5">
            <w:pPr>
              <w:jc w:val="center"/>
              <w:rPr>
                <w:b/>
                <w:bCs/>
                <w:i/>
                <w:sz w:val="22"/>
                <w:szCs w:val="22"/>
              </w:rPr>
            </w:pPr>
          </w:p>
        </w:tc>
        <w:tc>
          <w:tcPr>
            <w:tcW w:w="704" w:type="pct"/>
            <w:vMerge/>
            <w:tcMar>
              <w:top w:w="0" w:type="dxa"/>
              <w:left w:w="0" w:type="dxa"/>
              <w:bottom w:w="0" w:type="dxa"/>
              <w:right w:w="0" w:type="dxa"/>
            </w:tcMar>
            <w:vAlign w:val="center"/>
          </w:tcPr>
          <w:p w14:paraId="57BDF651" w14:textId="77777777" w:rsidR="001C08A5" w:rsidRDefault="001C08A5">
            <w:pPr>
              <w:jc w:val="center"/>
              <w:rPr>
                <w:b/>
                <w:bCs/>
                <w:i/>
                <w:sz w:val="22"/>
                <w:szCs w:val="22"/>
              </w:rPr>
            </w:pPr>
          </w:p>
        </w:tc>
        <w:tc>
          <w:tcPr>
            <w:tcW w:w="594" w:type="pct"/>
            <w:tcMar>
              <w:top w:w="0" w:type="dxa"/>
              <w:left w:w="0" w:type="dxa"/>
              <w:bottom w:w="0" w:type="dxa"/>
              <w:right w:w="0" w:type="dxa"/>
            </w:tcMar>
            <w:vAlign w:val="center"/>
          </w:tcPr>
          <w:p w14:paraId="2D9F6575" w14:textId="77777777" w:rsidR="001C08A5" w:rsidRDefault="00000000">
            <w:pPr>
              <w:jc w:val="center"/>
              <w:rPr>
                <w:b/>
                <w:bCs/>
                <w:i/>
                <w:sz w:val="22"/>
                <w:szCs w:val="22"/>
              </w:rPr>
            </w:pPr>
            <w:r>
              <w:rPr>
                <w:b/>
                <w:bCs/>
                <w:i/>
                <w:sz w:val="22"/>
                <w:szCs w:val="22"/>
                <w:lang w:val="en-US" w:eastAsia="zh-CN" w:bidi="ar"/>
              </w:rPr>
              <w:t>III</w:t>
            </w:r>
          </w:p>
        </w:tc>
        <w:tc>
          <w:tcPr>
            <w:tcW w:w="492" w:type="pct"/>
            <w:tcMar>
              <w:top w:w="0" w:type="dxa"/>
              <w:left w:w="0" w:type="dxa"/>
              <w:bottom w:w="0" w:type="dxa"/>
              <w:right w:w="0" w:type="dxa"/>
            </w:tcMar>
            <w:vAlign w:val="center"/>
          </w:tcPr>
          <w:p w14:paraId="5703FFC9" w14:textId="77777777" w:rsidR="001C08A5" w:rsidRDefault="00000000">
            <w:pPr>
              <w:jc w:val="center"/>
              <w:rPr>
                <w:b/>
                <w:bCs/>
                <w:i/>
                <w:sz w:val="22"/>
                <w:szCs w:val="22"/>
              </w:rPr>
            </w:pPr>
            <w:r>
              <w:rPr>
                <w:b/>
                <w:bCs/>
                <w:i/>
                <w:sz w:val="22"/>
                <w:szCs w:val="22"/>
                <w:lang w:val="en-US" w:eastAsia="zh-CN" w:bidi="ar"/>
              </w:rPr>
              <w:t>IV</w:t>
            </w:r>
          </w:p>
        </w:tc>
        <w:tc>
          <w:tcPr>
            <w:tcW w:w="486" w:type="pct"/>
            <w:tcMar>
              <w:top w:w="0" w:type="dxa"/>
              <w:left w:w="0" w:type="dxa"/>
              <w:bottom w:w="0" w:type="dxa"/>
              <w:right w:w="0" w:type="dxa"/>
            </w:tcMar>
            <w:vAlign w:val="center"/>
          </w:tcPr>
          <w:p w14:paraId="4F78AA65" w14:textId="77777777" w:rsidR="001C08A5" w:rsidRDefault="00000000">
            <w:pPr>
              <w:jc w:val="center"/>
              <w:rPr>
                <w:b/>
                <w:bCs/>
                <w:i/>
                <w:sz w:val="22"/>
                <w:szCs w:val="22"/>
              </w:rPr>
            </w:pPr>
            <w:r>
              <w:rPr>
                <w:b/>
                <w:bCs/>
                <w:i/>
                <w:sz w:val="22"/>
                <w:szCs w:val="22"/>
                <w:lang w:val="en-US" w:eastAsia="zh-CN" w:bidi="ar"/>
              </w:rPr>
              <w:t>V</w:t>
            </w:r>
          </w:p>
        </w:tc>
      </w:tr>
      <w:tr w:rsidR="001C08A5" w14:paraId="038A3D4E" w14:textId="77777777">
        <w:trPr>
          <w:trHeight w:val="408"/>
          <w:jc w:val="center"/>
        </w:trPr>
        <w:tc>
          <w:tcPr>
            <w:tcW w:w="259" w:type="pct"/>
            <w:tcMar>
              <w:top w:w="0" w:type="dxa"/>
              <w:left w:w="0" w:type="dxa"/>
              <w:bottom w:w="0" w:type="dxa"/>
              <w:right w:w="0" w:type="dxa"/>
            </w:tcMar>
          </w:tcPr>
          <w:p w14:paraId="6D189765" w14:textId="77777777" w:rsidR="001C08A5" w:rsidRDefault="00000000">
            <w:pPr>
              <w:jc w:val="center"/>
              <w:rPr>
                <w:b/>
                <w:bCs/>
                <w:i/>
                <w:sz w:val="22"/>
                <w:szCs w:val="22"/>
              </w:rPr>
            </w:pPr>
            <w:r>
              <w:rPr>
                <w:b/>
                <w:bCs/>
                <w:i/>
                <w:sz w:val="22"/>
                <w:szCs w:val="22"/>
                <w:lang w:val="en-US" w:eastAsia="zh-CN" w:bidi="ar"/>
              </w:rPr>
              <w:t>1</w:t>
            </w:r>
          </w:p>
        </w:tc>
        <w:tc>
          <w:tcPr>
            <w:tcW w:w="2463" w:type="pct"/>
            <w:tcMar>
              <w:top w:w="0" w:type="dxa"/>
              <w:left w:w="0" w:type="dxa"/>
              <w:bottom w:w="0" w:type="dxa"/>
              <w:right w:w="0" w:type="dxa"/>
            </w:tcMar>
          </w:tcPr>
          <w:p w14:paraId="6374EE3B" w14:textId="77777777" w:rsidR="001C08A5" w:rsidRDefault="00000000">
            <w:pPr>
              <w:rPr>
                <w:i/>
                <w:sz w:val="22"/>
                <w:szCs w:val="22"/>
              </w:rPr>
            </w:pPr>
            <w:r>
              <w:rPr>
                <w:i/>
                <w:sz w:val="22"/>
                <w:szCs w:val="22"/>
                <w:lang w:val="en-US" w:eastAsia="zh-CN" w:bidi="ar"/>
              </w:rPr>
              <w:t>Clădiri</w:t>
            </w:r>
            <w:r>
              <w:rPr>
                <w:i/>
                <w:sz w:val="22"/>
                <w:szCs w:val="22"/>
                <w:lang w:eastAsia="zh-CN" w:bidi="ar"/>
              </w:rPr>
              <w:t xml:space="preserve"> </w:t>
            </w:r>
            <w:r>
              <w:rPr>
                <w:i/>
                <w:sz w:val="22"/>
                <w:szCs w:val="22"/>
                <w:lang w:val="en-US" w:eastAsia="zh-CN" w:bidi="ar"/>
              </w:rPr>
              <w:t>care adăpostesc persoane ce nu se pot evacua singure</w:t>
            </w:r>
          </w:p>
        </w:tc>
        <w:tc>
          <w:tcPr>
            <w:tcW w:w="704" w:type="pct"/>
            <w:tcMar>
              <w:top w:w="0" w:type="dxa"/>
              <w:left w:w="0" w:type="dxa"/>
              <w:bottom w:w="0" w:type="dxa"/>
              <w:right w:w="0" w:type="dxa"/>
            </w:tcMar>
            <w:vAlign w:val="center"/>
          </w:tcPr>
          <w:p w14:paraId="17E4470C" w14:textId="77777777" w:rsidR="001C08A5" w:rsidRDefault="00000000">
            <w:pPr>
              <w:jc w:val="center"/>
              <w:rPr>
                <w:b/>
                <w:bCs/>
                <w:i/>
                <w:sz w:val="22"/>
                <w:szCs w:val="22"/>
              </w:rPr>
            </w:pPr>
            <w:r>
              <w:rPr>
                <w:b/>
                <w:bCs/>
                <w:i/>
                <w:sz w:val="22"/>
                <w:szCs w:val="22"/>
                <w:lang w:val="en-US" w:eastAsia="zh-CN" w:bidi="ar"/>
              </w:rPr>
              <w:t>150</w:t>
            </w:r>
          </w:p>
        </w:tc>
        <w:tc>
          <w:tcPr>
            <w:tcW w:w="594" w:type="pct"/>
            <w:tcMar>
              <w:top w:w="0" w:type="dxa"/>
              <w:left w:w="0" w:type="dxa"/>
              <w:bottom w:w="0" w:type="dxa"/>
              <w:right w:w="0" w:type="dxa"/>
            </w:tcMar>
            <w:vAlign w:val="center"/>
          </w:tcPr>
          <w:p w14:paraId="2B864345" w14:textId="77777777" w:rsidR="001C08A5" w:rsidRDefault="00000000">
            <w:pPr>
              <w:jc w:val="center"/>
              <w:rPr>
                <w:b/>
                <w:bCs/>
                <w:i/>
                <w:sz w:val="22"/>
                <w:szCs w:val="22"/>
              </w:rPr>
            </w:pPr>
            <w:r>
              <w:rPr>
                <w:b/>
                <w:bCs/>
                <w:i/>
                <w:sz w:val="22"/>
                <w:szCs w:val="22"/>
                <w:lang w:val="en-US" w:eastAsia="zh-CN" w:bidi="ar"/>
              </w:rPr>
              <w:t>2</w:t>
            </w:r>
          </w:p>
        </w:tc>
        <w:tc>
          <w:tcPr>
            <w:tcW w:w="492" w:type="pct"/>
            <w:tcMar>
              <w:top w:w="0" w:type="dxa"/>
              <w:left w:w="0" w:type="dxa"/>
              <w:bottom w:w="0" w:type="dxa"/>
              <w:right w:w="0" w:type="dxa"/>
            </w:tcMar>
            <w:vAlign w:val="center"/>
          </w:tcPr>
          <w:p w14:paraId="58CF727A" w14:textId="77777777" w:rsidR="001C08A5" w:rsidRDefault="00000000">
            <w:pPr>
              <w:jc w:val="center"/>
              <w:rPr>
                <w:b/>
                <w:bCs/>
                <w:i/>
                <w:sz w:val="22"/>
                <w:szCs w:val="22"/>
              </w:rPr>
            </w:pPr>
            <w:r>
              <w:rPr>
                <w:b/>
                <w:bCs/>
                <w:i/>
                <w:sz w:val="22"/>
                <w:szCs w:val="22"/>
                <w:lang w:val="en-US" w:eastAsia="zh-CN" w:bidi="ar"/>
              </w:rPr>
              <w:t>1</w:t>
            </w:r>
          </w:p>
        </w:tc>
        <w:tc>
          <w:tcPr>
            <w:tcW w:w="486" w:type="pct"/>
            <w:tcMar>
              <w:top w:w="0" w:type="dxa"/>
              <w:left w:w="0" w:type="dxa"/>
              <w:bottom w:w="0" w:type="dxa"/>
              <w:right w:w="0" w:type="dxa"/>
            </w:tcMar>
            <w:vAlign w:val="center"/>
          </w:tcPr>
          <w:p w14:paraId="296785F1" w14:textId="77777777" w:rsidR="001C08A5" w:rsidRDefault="00000000">
            <w:pPr>
              <w:jc w:val="center"/>
              <w:rPr>
                <w:b/>
                <w:bCs/>
                <w:i/>
                <w:sz w:val="22"/>
                <w:szCs w:val="22"/>
              </w:rPr>
            </w:pPr>
            <w:r>
              <w:rPr>
                <w:b/>
                <w:bCs/>
                <w:i/>
                <w:sz w:val="22"/>
                <w:szCs w:val="22"/>
                <w:lang w:val="en-US" w:eastAsia="zh-CN" w:bidi="ar"/>
              </w:rPr>
              <w:t>1</w:t>
            </w:r>
          </w:p>
        </w:tc>
      </w:tr>
      <w:tr w:rsidR="001C08A5" w14:paraId="2194C0CF" w14:textId="77777777">
        <w:trPr>
          <w:trHeight w:val="345"/>
          <w:jc w:val="center"/>
        </w:trPr>
        <w:tc>
          <w:tcPr>
            <w:tcW w:w="259" w:type="pct"/>
            <w:vMerge w:val="restart"/>
            <w:tcMar>
              <w:top w:w="0" w:type="dxa"/>
              <w:left w:w="0" w:type="dxa"/>
              <w:bottom w:w="0" w:type="dxa"/>
              <w:right w:w="0" w:type="dxa"/>
            </w:tcMar>
          </w:tcPr>
          <w:p w14:paraId="695E8923" w14:textId="77777777" w:rsidR="001C08A5" w:rsidRDefault="00000000">
            <w:pPr>
              <w:jc w:val="center"/>
              <w:rPr>
                <w:b/>
                <w:bCs/>
                <w:i/>
                <w:sz w:val="22"/>
                <w:szCs w:val="22"/>
              </w:rPr>
            </w:pPr>
            <w:r>
              <w:rPr>
                <w:b/>
                <w:bCs/>
                <w:i/>
                <w:sz w:val="22"/>
                <w:szCs w:val="22"/>
                <w:lang w:val="en-US" w:eastAsia="zh-CN" w:bidi="ar"/>
              </w:rPr>
              <w:t>2</w:t>
            </w:r>
          </w:p>
        </w:tc>
        <w:tc>
          <w:tcPr>
            <w:tcW w:w="2463" w:type="pct"/>
            <w:tcMar>
              <w:top w:w="0" w:type="dxa"/>
              <w:left w:w="0" w:type="dxa"/>
              <w:bottom w:w="0" w:type="dxa"/>
              <w:right w:w="0" w:type="dxa"/>
            </w:tcMar>
          </w:tcPr>
          <w:p w14:paraId="6ABFFF92" w14:textId="77777777" w:rsidR="001C08A5" w:rsidRDefault="00000000">
            <w:pPr>
              <w:rPr>
                <w:i/>
                <w:sz w:val="22"/>
                <w:szCs w:val="22"/>
              </w:rPr>
            </w:pPr>
            <w:r>
              <w:rPr>
                <w:i/>
                <w:sz w:val="22"/>
                <w:szCs w:val="22"/>
                <w:lang w:val="en-US" w:eastAsia="zh-CN" w:bidi="ar"/>
              </w:rPr>
              <w:t>Clădiri pentru muzee sau expoziții care nu adăpostesc valori deosebite</w:t>
            </w:r>
          </w:p>
        </w:tc>
        <w:tc>
          <w:tcPr>
            <w:tcW w:w="704" w:type="pct"/>
            <w:tcMar>
              <w:top w:w="0" w:type="dxa"/>
              <w:left w:w="0" w:type="dxa"/>
              <w:bottom w:w="0" w:type="dxa"/>
              <w:right w:w="0" w:type="dxa"/>
            </w:tcMar>
            <w:vAlign w:val="center"/>
          </w:tcPr>
          <w:p w14:paraId="62BC678B" w14:textId="77777777" w:rsidR="001C08A5" w:rsidRDefault="00000000">
            <w:pPr>
              <w:jc w:val="center"/>
              <w:rPr>
                <w:b/>
                <w:bCs/>
                <w:i/>
                <w:sz w:val="22"/>
                <w:szCs w:val="22"/>
              </w:rPr>
            </w:pPr>
            <w:r>
              <w:rPr>
                <w:b/>
                <w:bCs/>
                <w:i/>
                <w:sz w:val="22"/>
                <w:szCs w:val="22"/>
                <w:lang w:val="en-US" w:eastAsia="zh-CN" w:bidi="ar"/>
              </w:rPr>
              <w:t>300</w:t>
            </w:r>
          </w:p>
        </w:tc>
        <w:tc>
          <w:tcPr>
            <w:tcW w:w="594" w:type="pct"/>
            <w:vMerge w:val="restart"/>
            <w:tcMar>
              <w:top w:w="0" w:type="dxa"/>
              <w:left w:w="0" w:type="dxa"/>
              <w:bottom w:w="0" w:type="dxa"/>
              <w:right w:w="0" w:type="dxa"/>
            </w:tcMar>
            <w:vAlign w:val="center"/>
          </w:tcPr>
          <w:p w14:paraId="70DD21B9" w14:textId="77777777" w:rsidR="001C08A5" w:rsidRDefault="00000000">
            <w:pPr>
              <w:jc w:val="center"/>
              <w:rPr>
                <w:b/>
                <w:bCs/>
                <w:i/>
                <w:sz w:val="22"/>
                <w:szCs w:val="22"/>
              </w:rPr>
            </w:pPr>
            <w:r>
              <w:rPr>
                <w:b/>
                <w:bCs/>
                <w:i/>
                <w:sz w:val="22"/>
                <w:szCs w:val="22"/>
                <w:lang w:val="en-US" w:eastAsia="zh-CN" w:bidi="ar"/>
              </w:rPr>
              <w:t>3</w:t>
            </w:r>
          </w:p>
        </w:tc>
        <w:tc>
          <w:tcPr>
            <w:tcW w:w="492" w:type="pct"/>
            <w:vMerge w:val="restart"/>
            <w:tcMar>
              <w:top w:w="0" w:type="dxa"/>
              <w:left w:w="0" w:type="dxa"/>
              <w:bottom w:w="0" w:type="dxa"/>
              <w:right w:w="0" w:type="dxa"/>
            </w:tcMar>
            <w:vAlign w:val="center"/>
          </w:tcPr>
          <w:p w14:paraId="6E63BB6D" w14:textId="77777777" w:rsidR="001C08A5" w:rsidRDefault="00000000">
            <w:pPr>
              <w:jc w:val="center"/>
              <w:rPr>
                <w:b/>
                <w:bCs/>
                <w:i/>
                <w:sz w:val="22"/>
                <w:szCs w:val="22"/>
              </w:rPr>
            </w:pPr>
            <w:r>
              <w:rPr>
                <w:b/>
                <w:bCs/>
                <w:i/>
                <w:sz w:val="22"/>
                <w:szCs w:val="22"/>
                <w:lang w:val="en-US" w:eastAsia="zh-CN" w:bidi="ar"/>
              </w:rPr>
              <w:t>2</w:t>
            </w:r>
          </w:p>
        </w:tc>
        <w:tc>
          <w:tcPr>
            <w:tcW w:w="486" w:type="pct"/>
            <w:vMerge w:val="restart"/>
            <w:tcMar>
              <w:top w:w="0" w:type="dxa"/>
              <w:left w:w="0" w:type="dxa"/>
              <w:bottom w:w="0" w:type="dxa"/>
              <w:right w:w="0" w:type="dxa"/>
            </w:tcMar>
            <w:vAlign w:val="center"/>
          </w:tcPr>
          <w:p w14:paraId="031A434E" w14:textId="77777777" w:rsidR="001C08A5" w:rsidRDefault="00000000">
            <w:pPr>
              <w:jc w:val="center"/>
              <w:rPr>
                <w:b/>
                <w:bCs/>
                <w:i/>
                <w:sz w:val="22"/>
                <w:szCs w:val="22"/>
              </w:rPr>
            </w:pPr>
            <w:r>
              <w:rPr>
                <w:b/>
                <w:bCs/>
                <w:i/>
                <w:sz w:val="22"/>
                <w:szCs w:val="22"/>
                <w:lang w:val="en-US" w:eastAsia="zh-CN" w:bidi="ar"/>
              </w:rPr>
              <w:t>1</w:t>
            </w:r>
          </w:p>
        </w:tc>
      </w:tr>
      <w:tr w:rsidR="001C08A5" w14:paraId="5CE1AA3F" w14:textId="77777777">
        <w:trPr>
          <w:trHeight w:val="239"/>
          <w:jc w:val="center"/>
        </w:trPr>
        <w:tc>
          <w:tcPr>
            <w:tcW w:w="259" w:type="pct"/>
            <w:vMerge/>
            <w:tcMar>
              <w:top w:w="0" w:type="dxa"/>
              <w:left w:w="0" w:type="dxa"/>
              <w:bottom w:w="0" w:type="dxa"/>
              <w:right w:w="0" w:type="dxa"/>
            </w:tcMar>
          </w:tcPr>
          <w:p w14:paraId="62B584E4" w14:textId="77777777" w:rsidR="001C08A5" w:rsidRDefault="001C08A5">
            <w:pPr>
              <w:jc w:val="center"/>
              <w:rPr>
                <w:b/>
                <w:bCs/>
                <w:i/>
                <w:sz w:val="22"/>
                <w:szCs w:val="22"/>
              </w:rPr>
            </w:pPr>
          </w:p>
        </w:tc>
        <w:tc>
          <w:tcPr>
            <w:tcW w:w="2463" w:type="pct"/>
            <w:tcMar>
              <w:top w:w="0" w:type="dxa"/>
              <w:left w:w="0" w:type="dxa"/>
              <w:bottom w:w="0" w:type="dxa"/>
              <w:right w:w="0" w:type="dxa"/>
            </w:tcMar>
          </w:tcPr>
          <w:p w14:paraId="68B7F871" w14:textId="77777777" w:rsidR="001C08A5" w:rsidRDefault="00000000">
            <w:pPr>
              <w:rPr>
                <w:i/>
                <w:sz w:val="22"/>
                <w:szCs w:val="22"/>
              </w:rPr>
            </w:pPr>
            <w:r>
              <w:rPr>
                <w:i/>
                <w:sz w:val="22"/>
                <w:szCs w:val="22"/>
                <w:lang w:val="en-US" w:eastAsia="zh-CN" w:bidi="ar"/>
              </w:rPr>
              <w:t>Clădiri pentru cazare temporară</w:t>
            </w:r>
          </w:p>
        </w:tc>
        <w:tc>
          <w:tcPr>
            <w:tcW w:w="704" w:type="pct"/>
            <w:tcMar>
              <w:top w:w="0" w:type="dxa"/>
              <w:left w:w="0" w:type="dxa"/>
              <w:bottom w:w="0" w:type="dxa"/>
              <w:right w:w="0" w:type="dxa"/>
            </w:tcMar>
            <w:vAlign w:val="center"/>
          </w:tcPr>
          <w:p w14:paraId="74C2EA2E" w14:textId="77777777" w:rsidR="001C08A5" w:rsidRDefault="00000000">
            <w:pPr>
              <w:jc w:val="center"/>
              <w:rPr>
                <w:b/>
                <w:bCs/>
                <w:i/>
                <w:sz w:val="22"/>
                <w:szCs w:val="22"/>
              </w:rPr>
            </w:pPr>
            <w:r>
              <w:rPr>
                <w:b/>
                <w:bCs/>
                <w:i/>
                <w:sz w:val="22"/>
                <w:szCs w:val="22"/>
                <w:lang w:val="en-US" w:eastAsia="zh-CN" w:bidi="ar"/>
              </w:rPr>
              <w:t>200</w:t>
            </w:r>
          </w:p>
        </w:tc>
        <w:tc>
          <w:tcPr>
            <w:tcW w:w="594" w:type="pct"/>
            <w:vMerge/>
            <w:tcMar>
              <w:top w:w="0" w:type="dxa"/>
              <w:left w:w="0" w:type="dxa"/>
              <w:bottom w:w="0" w:type="dxa"/>
              <w:right w:w="0" w:type="dxa"/>
            </w:tcMar>
            <w:vAlign w:val="center"/>
          </w:tcPr>
          <w:p w14:paraId="749ECC76" w14:textId="77777777" w:rsidR="001C08A5" w:rsidRDefault="001C08A5">
            <w:pPr>
              <w:jc w:val="center"/>
              <w:rPr>
                <w:b/>
                <w:bCs/>
                <w:i/>
                <w:sz w:val="22"/>
                <w:szCs w:val="22"/>
              </w:rPr>
            </w:pPr>
          </w:p>
        </w:tc>
        <w:tc>
          <w:tcPr>
            <w:tcW w:w="492" w:type="pct"/>
            <w:vMerge/>
            <w:tcMar>
              <w:top w:w="0" w:type="dxa"/>
              <w:left w:w="0" w:type="dxa"/>
              <w:bottom w:w="0" w:type="dxa"/>
              <w:right w:w="0" w:type="dxa"/>
            </w:tcMar>
            <w:vAlign w:val="center"/>
          </w:tcPr>
          <w:p w14:paraId="0B16BE7C" w14:textId="77777777" w:rsidR="001C08A5" w:rsidRDefault="001C08A5">
            <w:pPr>
              <w:jc w:val="center"/>
              <w:rPr>
                <w:b/>
                <w:bCs/>
                <w:i/>
                <w:sz w:val="22"/>
                <w:szCs w:val="22"/>
              </w:rPr>
            </w:pPr>
          </w:p>
        </w:tc>
        <w:tc>
          <w:tcPr>
            <w:tcW w:w="486" w:type="pct"/>
            <w:vMerge/>
            <w:tcMar>
              <w:top w:w="0" w:type="dxa"/>
              <w:left w:w="0" w:type="dxa"/>
              <w:bottom w:w="0" w:type="dxa"/>
              <w:right w:w="0" w:type="dxa"/>
            </w:tcMar>
            <w:vAlign w:val="center"/>
          </w:tcPr>
          <w:p w14:paraId="02965904" w14:textId="77777777" w:rsidR="001C08A5" w:rsidRDefault="001C08A5">
            <w:pPr>
              <w:jc w:val="center"/>
              <w:rPr>
                <w:b/>
                <w:bCs/>
                <w:i/>
                <w:sz w:val="22"/>
                <w:szCs w:val="22"/>
              </w:rPr>
            </w:pPr>
          </w:p>
        </w:tc>
      </w:tr>
      <w:tr w:rsidR="001C08A5" w14:paraId="7B1F888F" w14:textId="77777777">
        <w:trPr>
          <w:trHeight w:val="408"/>
          <w:jc w:val="center"/>
        </w:trPr>
        <w:tc>
          <w:tcPr>
            <w:tcW w:w="259" w:type="pct"/>
            <w:vMerge/>
            <w:tcMar>
              <w:top w:w="0" w:type="dxa"/>
              <w:left w:w="0" w:type="dxa"/>
              <w:bottom w:w="0" w:type="dxa"/>
              <w:right w:w="0" w:type="dxa"/>
            </w:tcMar>
          </w:tcPr>
          <w:p w14:paraId="584D0AC7" w14:textId="77777777" w:rsidR="001C08A5" w:rsidRDefault="001C08A5">
            <w:pPr>
              <w:jc w:val="center"/>
              <w:rPr>
                <w:b/>
                <w:bCs/>
                <w:i/>
                <w:sz w:val="22"/>
                <w:szCs w:val="22"/>
              </w:rPr>
            </w:pPr>
          </w:p>
        </w:tc>
        <w:tc>
          <w:tcPr>
            <w:tcW w:w="2463" w:type="pct"/>
            <w:tcMar>
              <w:top w:w="0" w:type="dxa"/>
              <w:left w:w="0" w:type="dxa"/>
              <w:bottom w:w="0" w:type="dxa"/>
              <w:right w:w="0" w:type="dxa"/>
            </w:tcMar>
          </w:tcPr>
          <w:p w14:paraId="1EA3679C" w14:textId="77777777" w:rsidR="001C08A5" w:rsidRDefault="00000000">
            <w:pPr>
              <w:rPr>
                <w:i/>
                <w:sz w:val="22"/>
                <w:szCs w:val="22"/>
              </w:rPr>
            </w:pPr>
            <w:r>
              <w:rPr>
                <w:i/>
                <w:sz w:val="22"/>
                <w:szCs w:val="22"/>
                <w:lang w:val="en-US" w:eastAsia="zh-CN" w:bidi="ar"/>
              </w:rPr>
              <w:t>Clădiri pentru învățământ de cultură generală și licee</w:t>
            </w:r>
          </w:p>
        </w:tc>
        <w:tc>
          <w:tcPr>
            <w:tcW w:w="704" w:type="pct"/>
            <w:tcMar>
              <w:top w:w="0" w:type="dxa"/>
              <w:left w:w="0" w:type="dxa"/>
              <w:bottom w:w="0" w:type="dxa"/>
              <w:right w:w="0" w:type="dxa"/>
            </w:tcMar>
            <w:vAlign w:val="center"/>
          </w:tcPr>
          <w:p w14:paraId="7DCA940D" w14:textId="77777777" w:rsidR="001C08A5" w:rsidRDefault="00000000">
            <w:pPr>
              <w:jc w:val="center"/>
              <w:rPr>
                <w:b/>
                <w:bCs/>
                <w:i/>
                <w:sz w:val="22"/>
                <w:szCs w:val="22"/>
              </w:rPr>
            </w:pPr>
            <w:r>
              <w:rPr>
                <w:b/>
                <w:bCs/>
                <w:i/>
                <w:sz w:val="22"/>
                <w:szCs w:val="22"/>
                <w:lang w:val="en-US" w:eastAsia="zh-CN" w:bidi="ar"/>
              </w:rPr>
              <w:t>480</w:t>
            </w:r>
          </w:p>
        </w:tc>
        <w:tc>
          <w:tcPr>
            <w:tcW w:w="594" w:type="pct"/>
            <w:vMerge/>
            <w:tcMar>
              <w:top w:w="0" w:type="dxa"/>
              <w:left w:w="0" w:type="dxa"/>
              <w:bottom w:w="0" w:type="dxa"/>
              <w:right w:w="0" w:type="dxa"/>
            </w:tcMar>
            <w:vAlign w:val="center"/>
          </w:tcPr>
          <w:p w14:paraId="5F9EA265" w14:textId="77777777" w:rsidR="001C08A5" w:rsidRDefault="001C08A5">
            <w:pPr>
              <w:jc w:val="center"/>
              <w:rPr>
                <w:b/>
                <w:bCs/>
                <w:i/>
                <w:sz w:val="22"/>
                <w:szCs w:val="22"/>
              </w:rPr>
            </w:pPr>
          </w:p>
        </w:tc>
        <w:tc>
          <w:tcPr>
            <w:tcW w:w="492" w:type="pct"/>
            <w:vMerge/>
            <w:tcMar>
              <w:top w:w="0" w:type="dxa"/>
              <w:left w:w="0" w:type="dxa"/>
              <w:bottom w:w="0" w:type="dxa"/>
              <w:right w:w="0" w:type="dxa"/>
            </w:tcMar>
            <w:vAlign w:val="center"/>
          </w:tcPr>
          <w:p w14:paraId="63C8D747" w14:textId="77777777" w:rsidR="001C08A5" w:rsidRDefault="001C08A5">
            <w:pPr>
              <w:jc w:val="center"/>
              <w:rPr>
                <w:b/>
                <w:bCs/>
                <w:i/>
                <w:sz w:val="22"/>
                <w:szCs w:val="22"/>
              </w:rPr>
            </w:pPr>
          </w:p>
        </w:tc>
        <w:tc>
          <w:tcPr>
            <w:tcW w:w="486" w:type="pct"/>
            <w:vMerge/>
            <w:tcMar>
              <w:top w:w="0" w:type="dxa"/>
              <w:left w:w="0" w:type="dxa"/>
              <w:bottom w:w="0" w:type="dxa"/>
              <w:right w:w="0" w:type="dxa"/>
            </w:tcMar>
            <w:vAlign w:val="center"/>
          </w:tcPr>
          <w:p w14:paraId="2AF7AFC9" w14:textId="77777777" w:rsidR="001C08A5" w:rsidRDefault="001C08A5">
            <w:pPr>
              <w:jc w:val="center"/>
              <w:rPr>
                <w:b/>
                <w:bCs/>
                <w:i/>
                <w:sz w:val="22"/>
                <w:szCs w:val="22"/>
              </w:rPr>
            </w:pPr>
          </w:p>
        </w:tc>
      </w:tr>
      <w:tr w:rsidR="001C08A5" w14:paraId="0A62F80F" w14:textId="77777777">
        <w:trPr>
          <w:trHeight w:val="225"/>
          <w:jc w:val="center"/>
        </w:trPr>
        <w:tc>
          <w:tcPr>
            <w:tcW w:w="259" w:type="pct"/>
            <w:tcMar>
              <w:top w:w="0" w:type="dxa"/>
              <w:left w:w="0" w:type="dxa"/>
              <w:bottom w:w="0" w:type="dxa"/>
              <w:right w:w="0" w:type="dxa"/>
            </w:tcMar>
          </w:tcPr>
          <w:p w14:paraId="03C6CE4A" w14:textId="77777777" w:rsidR="001C08A5" w:rsidRDefault="00000000">
            <w:pPr>
              <w:jc w:val="center"/>
              <w:rPr>
                <w:b/>
                <w:bCs/>
                <w:i/>
                <w:sz w:val="22"/>
                <w:szCs w:val="22"/>
              </w:rPr>
            </w:pPr>
            <w:r>
              <w:rPr>
                <w:b/>
                <w:bCs/>
                <w:i/>
                <w:sz w:val="22"/>
                <w:szCs w:val="22"/>
                <w:lang w:val="en-US" w:eastAsia="zh-CN" w:bidi="ar"/>
              </w:rPr>
              <w:t>3</w:t>
            </w:r>
          </w:p>
        </w:tc>
        <w:tc>
          <w:tcPr>
            <w:tcW w:w="2463" w:type="pct"/>
            <w:tcMar>
              <w:top w:w="0" w:type="dxa"/>
              <w:left w:w="0" w:type="dxa"/>
              <w:bottom w:w="0" w:type="dxa"/>
              <w:right w:w="0" w:type="dxa"/>
            </w:tcMar>
          </w:tcPr>
          <w:p w14:paraId="7CE49591" w14:textId="77777777" w:rsidR="001C08A5" w:rsidRDefault="00000000">
            <w:pPr>
              <w:rPr>
                <w:i/>
                <w:sz w:val="22"/>
                <w:szCs w:val="22"/>
              </w:rPr>
            </w:pPr>
            <w:r>
              <w:rPr>
                <w:i/>
                <w:sz w:val="22"/>
                <w:szCs w:val="22"/>
                <w:lang w:val="en-US" w:eastAsia="zh-CN" w:bidi="ar"/>
              </w:rPr>
              <w:t>Clădiri de locuit</w:t>
            </w:r>
          </w:p>
        </w:tc>
        <w:tc>
          <w:tcPr>
            <w:tcW w:w="704" w:type="pct"/>
            <w:tcMar>
              <w:top w:w="0" w:type="dxa"/>
              <w:left w:w="0" w:type="dxa"/>
              <w:bottom w:w="0" w:type="dxa"/>
              <w:right w:w="0" w:type="dxa"/>
            </w:tcMar>
            <w:vAlign w:val="center"/>
          </w:tcPr>
          <w:p w14:paraId="684ACDB7" w14:textId="77777777" w:rsidR="001C08A5" w:rsidRDefault="00000000">
            <w:pPr>
              <w:jc w:val="center"/>
              <w:rPr>
                <w:b/>
                <w:bCs/>
                <w:i/>
                <w:sz w:val="22"/>
                <w:szCs w:val="22"/>
              </w:rPr>
            </w:pPr>
            <w:r>
              <w:rPr>
                <w:b/>
                <w:bCs/>
                <w:i/>
                <w:sz w:val="22"/>
                <w:szCs w:val="22"/>
                <w:lang w:val="en-US" w:eastAsia="zh-CN" w:bidi="ar"/>
              </w:rPr>
              <w:t>200</w:t>
            </w:r>
          </w:p>
        </w:tc>
        <w:tc>
          <w:tcPr>
            <w:tcW w:w="594" w:type="pct"/>
            <w:tcMar>
              <w:top w:w="0" w:type="dxa"/>
              <w:left w:w="0" w:type="dxa"/>
              <w:bottom w:w="0" w:type="dxa"/>
              <w:right w:w="0" w:type="dxa"/>
            </w:tcMar>
            <w:vAlign w:val="center"/>
          </w:tcPr>
          <w:p w14:paraId="18C2D101" w14:textId="77777777" w:rsidR="001C08A5" w:rsidRDefault="00000000">
            <w:pPr>
              <w:jc w:val="center"/>
              <w:rPr>
                <w:b/>
                <w:bCs/>
                <w:i/>
                <w:sz w:val="22"/>
                <w:szCs w:val="22"/>
              </w:rPr>
            </w:pPr>
            <w:r>
              <w:rPr>
                <w:b/>
                <w:bCs/>
                <w:i/>
                <w:sz w:val="22"/>
                <w:szCs w:val="22"/>
                <w:lang w:val="en-US" w:eastAsia="zh-CN" w:bidi="ar"/>
              </w:rPr>
              <w:t>5</w:t>
            </w:r>
          </w:p>
        </w:tc>
        <w:tc>
          <w:tcPr>
            <w:tcW w:w="492" w:type="pct"/>
            <w:tcMar>
              <w:top w:w="0" w:type="dxa"/>
              <w:left w:w="0" w:type="dxa"/>
              <w:bottom w:w="0" w:type="dxa"/>
              <w:right w:w="0" w:type="dxa"/>
            </w:tcMar>
            <w:vAlign w:val="center"/>
          </w:tcPr>
          <w:p w14:paraId="04D8DFF2" w14:textId="77777777" w:rsidR="001C08A5" w:rsidRDefault="00000000">
            <w:pPr>
              <w:jc w:val="center"/>
              <w:rPr>
                <w:b/>
                <w:bCs/>
                <w:i/>
                <w:sz w:val="22"/>
                <w:szCs w:val="22"/>
              </w:rPr>
            </w:pPr>
            <w:r>
              <w:rPr>
                <w:b/>
                <w:bCs/>
                <w:i/>
                <w:sz w:val="22"/>
                <w:szCs w:val="22"/>
                <w:lang w:val="en-US" w:eastAsia="zh-CN" w:bidi="ar"/>
              </w:rPr>
              <w:t>3</w:t>
            </w:r>
          </w:p>
        </w:tc>
        <w:tc>
          <w:tcPr>
            <w:tcW w:w="486" w:type="pct"/>
            <w:tcMar>
              <w:top w:w="0" w:type="dxa"/>
              <w:left w:w="0" w:type="dxa"/>
              <w:bottom w:w="0" w:type="dxa"/>
              <w:right w:w="0" w:type="dxa"/>
            </w:tcMar>
            <w:vAlign w:val="center"/>
          </w:tcPr>
          <w:p w14:paraId="0F13EC75" w14:textId="77777777" w:rsidR="001C08A5" w:rsidRDefault="00000000">
            <w:pPr>
              <w:jc w:val="center"/>
              <w:rPr>
                <w:b/>
                <w:bCs/>
                <w:i/>
                <w:sz w:val="22"/>
                <w:szCs w:val="22"/>
              </w:rPr>
            </w:pPr>
            <w:r>
              <w:rPr>
                <w:b/>
                <w:bCs/>
                <w:i/>
                <w:sz w:val="22"/>
                <w:szCs w:val="22"/>
                <w:lang w:val="en-US" w:eastAsia="zh-CN" w:bidi="ar"/>
              </w:rPr>
              <w:t>2</w:t>
            </w:r>
          </w:p>
        </w:tc>
      </w:tr>
      <w:tr w:rsidR="001C08A5" w14:paraId="3A2786CA" w14:textId="77777777">
        <w:trPr>
          <w:trHeight w:val="286"/>
          <w:jc w:val="center"/>
        </w:trPr>
        <w:tc>
          <w:tcPr>
            <w:tcW w:w="259" w:type="pct"/>
            <w:tcMar>
              <w:top w:w="0" w:type="dxa"/>
              <w:left w:w="0" w:type="dxa"/>
              <w:bottom w:w="0" w:type="dxa"/>
              <w:right w:w="0" w:type="dxa"/>
            </w:tcMar>
          </w:tcPr>
          <w:p w14:paraId="11D309BB" w14:textId="77777777" w:rsidR="001C08A5" w:rsidRDefault="00000000">
            <w:pPr>
              <w:jc w:val="center"/>
              <w:rPr>
                <w:b/>
                <w:bCs/>
                <w:i/>
                <w:sz w:val="22"/>
                <w:szCs w:val="22"/>
              </w:rPr>
            </w:pPr>
            <w:r>
              <w:rPr>
                <w:b/>
                <w:bCs/>
                <w:i/>
                <w:sz w:val="22"/>
                <w:szCs w:val="22"/>
                <w:lang w:val="en-US" w:eastAsia="zh-CN" w:bidi="ar"/>
              </w:rPr>
              <w:t>4</w:t>
            </w:r>
          </w:p>
        </w:tc>
        <w:tc>
          <w:tcPr>
            <w:tcW w:w="2463" w:type="pct"/>
            <w:tcMar>
              <w:top w:w="0" w:type="dxa"/>
              <w:left w:w="0" w:type="dxa"/>
              <w:bottom w:w="0" w:type="dxa"/>
              <w:right w:w="0" w:type="dxa"/>
            </w:tcMar>
          </w:tcPr>
          <w:p w14:paraId="6828F9D6" w14:textId="77777777" w:rsidR="001C08A5" w:rsidRDefault="00000000">
            <w:pPr>
              <w:rPr>
                <w:i/>
                <w:sz w:val="22"/>
                <w:szCs w:val="22"/>
              </w:rPr>
            </w:pPr>
            <w:r>
              <w:rPr>
                <w:i/>
                <w:sz w:val="22"/>
                <w:szCs w:val="22"/>
                <w:lang w:val="en-US" w:eastAsia="zh-CN" w:bidi="ar"/>
              </w:rPr>
              <w:t>Clădiri cu alte destinații, fără săli aglomerate</w:t>
            </w:r>
          </w:p>
        </w:tc>
        <w:tc>
          <w:tcPr>
            <w:tcW w:w="704" w:type="pct"/>
            <w:tcMar>
              <w:top w:w="0" w:type="dxa"/>
              <w:left w:w="0" w:type="dxa"/>
              <w:bottom w:w="0" w:type="dxa"/>
              <w:right w:w="0" w:type="dxa"/>
            </w:tcMar>
            <w:vAlign w:val="center"/>
          </w:tcPr>
          <w:p w14:paraId="07057BB6" w14:textId="77777777" w:rsidR="001C08A5" w:rsidRDefault="00000000">
            <w:pPr>
              <w:jc w:val="center"/>
              <w:rPr>
                <w:b/>
                <w:bCs/>
                <w:i/>
                <w:sz w:val="22"/>
                <w:szCs w:val="22"/>
              </w:rPr>
            </w:pPr>
            <w:r>
              <w:rPr>
                <w:b/>
                <w:bCs/>
                <w:i/>
                <w:sz w:val="22"/>
                <w:szCs w:val="22"/>
                <w:lang w:val="en-US" w:eastAsia="zh-CN" w:bidi="ar"/>
              </w:rPr>
              <w:t>300</w:t>
            </w:r>
          </w:p>
        </w:tc>
        <w:tc>
          <w:tcPr>
            <w:tcW w:w="594" w:type="pct"/>
            <w:tcMar>
              <w:top w:w="0" w:type="dxa"/>
              <w:left w:w="0" w:type="dxa"/>
              <w:bottom w:w="0" w:type="dxa"/>
              <w:right w:w="0" w:type="dxa"/>
            </w:tcMar>
            <w:vAlign w:val="center"/>
          </w:tcPr>
          <w:p w14:paraId="786796FB" w14:textId="77777777" w:rsidR="001C08A5" w:rsidRDefault="00000000">
            <w:pPr>
              <w:jc w:val="center"/>
              <w:rPr>
                <w:b/>
                <w:bCs/>
                <w:i/>
                <w:sz w:val="22"/>
                <w:szCs w:val="22"/>
              </w:rPr>
            </w:pPr>
            <w:r>
              <w:rPr>
                <w:b/>
                <w:bCs/>
                <w:i/>
                <w:sz w:val="22"/>
                <w:szCs w:val="22"/>
                <w:lang w:val="en-US" w:eastAsia="zh-CN" w:bidi="ar"/>
              </w:rPr>
              <w:t>5</w:t>
            </w:r>
          </w:p>
        </w:tc>
        <w:tc>
          <w:tcPr>
            <w:tcW w:w="492" w:type="pct"/>
            <w:tcMar>
              <w:top w:w="0" w:type="dxa"/>
              <w:left w:w="0" w:type="dxa"/>
              <w:bottom w:w="0" w:type="dxa"/>
              <w:right w:w="0" w:type="dxa"/>
            </w:tcMar>
            <w:vAlign w:val="center"/>
          </w:tcPr>
          <w:p w14:paraId="39181F48" w14:textId="77777777" w:rsidR="001C08A5" w:rsidRDefault="00000000">
            <w:pPr>
              <w:jc w:val="center"/>
              <w:rPr>
                <w:b/>
                <w:bCs/>
                <w:i/>
                <w:sz w:val="22"/>
                <w:szCs w:val="22"/>
              </w:rPr>
            </w:pPr>
            <w:r>
              <w:rPr>
                <w:b/>
                <w:bCs/>
                <w:i/>
                <w:sz w:val="22"/>
                <w:szCs w:val="22"/>
                <w:lang w:val="en-US" w:eastAsia="zh-CN" w:bidi="ar"/>
              </w:rPr>
              <w:t>2</w:t>
            </w:r>
          </w:p>
        </w:tc>
        <w:tc>
          <w:tcPr>
            <w:tcW w:w="486" w:type="pct"/>
            <w:tcMar>
              <w:top w:w="0" w:type="dxa"/>
              <w:left w:w="0" w:type="dxa"/>
              <w:bottom w:w="0" w:type="dxa"/>
              <w:right w:w="0" w:type="dxa"/>
            </w:tcMar>
            <w:vAlign w:val="center"/>
          </w:tcPr>
          <w:p w14:paraId="6D74EFFC" w14:textId="77777777" w:rsidR="001C08A5" w:rsidRDefault="00000000">
            <w:pPr>
              <w:jc w:val="center"/>
              <w:rPr>
                <w:b/>
                <w:bCs/>
                <w:i/>
                <w:sz w:val="22"/>
                <w:szCs w:val="22"/>
              </w:rPr>
            </w:pPr>
            <w:r>
              <w:rPr>
                <w:b/>
                <w:bCs/>
                <w:i/>
                <w:sz w:val="22"/>
                <w:szCs w:val="22"/>
                <w:lang w:val="en-US" w:eastAsia="zh-CN" w:bidi="ar"/>
              </w:rPr>
              <w:t>1</w:t>
            </w:r>
          </w:p>
        </w:tc>
      </w:tr>
    </w:tbl>
    <w:p w14:paraId="196AD11F" w14:textId="77777777" w:rsidR="001C08A5" w:rsidRDefault="00000000">
      <w:pPr>
        <w:jc w:val="both"/>
        <w:rPr>
          <w:i/>
          <w:iCs/>
          <w:sz w:val="22"/>
          <w:szCs w:val="22"/>
        </w:rPr>
      </w:pPr>
      <w:r>
        <w:rPr>
          <w:i/>
          <w:iCs/>
          <w:sz w:val="22"/>
          <w:szCs w:val="22"/>
        </w:rPr>
        <w:t>Notă:</w:t>
      </w:r>
    </w:p>
    <w:p w14:paraId="31E54EA8" w14:textId="77777777" w:rsidR="001C08A5" w:rsidRDefault="00000000">
      <w:pPr>
        <w:jc w:val="both"/>
        <w:rPr>
          <w:i/>
          <w:iCs/>
          <w:sz w:val="22"/>
          <w:szCs w:val="22"/>
        </w:rPr>
      </w:pPr>
      <w:r>
        <w:rPr>
          <w:i/>
          <w:iCs/>
          <w:sz w:val="22"/>
          <w:szCs w:val="22"/>
        </w:rPr>
        <w:t xml:space="preserve">În cazuri justificate tehnic și asigurând măsuri suplimentare de protecție și de îmbunătăţire a cerinței de securitate la incendiu (care se efectuează în baza unei expertize tehnice pentru cerința fundamentală securitate la incendiu), investitorii pot adopta un singur nivel în plus față de cele admise, pe proprie răspundere, prin hotărâri scrise ale consiliilor de conducere respective, </w:t>
      </w:r>
      <w:r>
        <w:rPr>
          <w:sz w:val="24"/>
          <w:szCs w:val="24"/>
        </w:rPr>
        <w:t>.</w:t>
      </w:r>
    </w:p>
    <w:p w14:paraId="450745F1" w14:textId="77777777" w:rsidR="001C08A5" w:rsidRDefault="001C08A5">
      <w:pPr>
        <w:jc w:val="both"/>
        <w:rPr>
          <w:i/>
          <w:iCs/>
          <w:sz w:val="22"/>
          <w:szCs w:val="22"/>
        </w:rPr>
      </w:pPr>
    </w:p>
    <w:p w14:paraId="4313104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3.2.5.</w:t>
      </w:r>
      <w:r>
        <w:rPr>
          <w:rFonts w:eastAsia="Calibri"/>
          <w:i/>
          <w:sz w:val="24"/>
          <w:szCs w:val="24"/>
          <w:shd w:val="clear" w:color="auto" w:fill="FFFFFF"/>
        </w:rPr>
        <w:t> Între numărul de niveluri al clădirilor existente supraterane, destinația, nivelul de stabilitate la incendiu și capacitatea lor (număr de persoane), se vor/especta următoarele corelații:</w:t>
      </w:r>
    </w:p>
    <w:p w14:paraId="4D63886C" w14:textId="77777777" w:rsidR="001C08A5" w:rsidRDefault="00000000">
      <w:pPr>
        <w:shd w:val="clear" w:color="auto" w:fill="FFFFFF"/>
        <w:spacing w:after="150"/>
        <w:ind w:left="144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xml:space="preserve"> în clădirile existente cu nivelul de stabilitate la incendiu </w:t>
      </w:r>
      <w:r>
        <w:rPr>
          <w:rFonts w:eastAsia="Calibri"/>
          <w:b/>
          <w:bCs/>
          <w:i/>
          <w:sz w:val="24"/>
          <w:szCs w:val="24"/>
          <w:shd w:val="clear" w:color="auto" w:fill="FFFFFF"/>
        </w:rPr>
        <w:t>I și II</w:t>
      </w:r>
      <w:r>
        <w:rPr>
          <w:rFonts w:eastAsia="Calibri"/>
          <w:i/>
          <w:sz w:val="24"/>
          <w:szCs w:val="24"/>
          <w:shd w:val="clear" w:color="auto" w:fill="FFFFFF"/>
        </w:rPr>
        <w:t xml:space="preserve">, indiferent de capacitatea lor, numărul de niveluri supraterane nu se limitează (cu excepția celor cu săli aglomerate de nivelul de stabilitate la incendiu </w:t>
      </w:r>
      <w:r>
        <w:rPr>
          <w:rFonts w:eastAsia="Calibri"/>
          <w:b/>
          <w:bCs/>
          <w:i/>
          <w:sz w:val="24"/>
          <w:szCs w:val="24"/>
          <w:shd w:val="clear" w:color="auto" w:fill="FFFFFF"/>
        </w:rPr>
        <w:t>II</w:t>
      </w:r>
      <w:r>
        <w:rPr>
          <w:rFonts w:eastAsia="Calibri"/>
          <w:i/>
          <w:sz w:val="24"/>
          <w:szCs w:val="24"/>
          <w:shd w:val="clear" w:color="auto" w:fill="FFFFFF"/>
        </w:rPr>
        <w:t>);</w:t>
      </w:r>
    </w:p>
    <w:p w14:paraId="7E7565E8" w14:textId="77777777" w:rsidR="001C08A5" w:rsidRDefault="00000000">
      <w:pPr>
        <w:shd w:val="clear" w:color="auto" w:fill="FFFFFF"/>
        <w:spacing w:after="150"/>
        <w:ind w:left="144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xml:space="preserve"> în clădirile existente cu nivelul de stabilitate la incendiu </w:t>
      </w:r>
      <w:r>
        <w:rPr>
          <w:rFonts w:eastAsia="Calibri"/>
          <w:b/>
          <w:bCs/>
          <w:i/>
          <w:sz w:val="24"/>
          <w:szCs w:val="24"/>
          <w:shd w:val="clear" w:color="auto" w:fill="FFFFFF"/>
        </w:rPr>
        <w:t>III</w:t>
      </w:r>
      <w:r>
        <w:rPr>
          <w:rFonts w:eastAsia="Calibri"/>
          <w:i/>
          <w:sz w:val="24"/>
          <w:szCs w:val="24"/>
          <w:shd w:val="clear" w:color="auto" w:fill="FFFFFF"/>
        </w:rPr>
        <w:t xml:space="preserve">, </w:t>
      </w:r>
      <w:r>
        <w:rPr>
          <w:rFonts w:eastAsia="Calibri"/>
          <w:b/>
          <w:bCs/>
          <w:i/>
          <w:sz w:val="24"/>
          <w:szCs w:val="24"/>
          <w:shd w:val="clear" w:color="auto" w:fill="FFFFFF"/>
        </w:rPr>
        <w:t>IV și V</w:t>
      </w:r>
      <w:r>
        <w:rPr>
          <w:rFonts w:eastAsia="Calibri"/>
          <w:i/>
          <w:sz w:val="24"/>
          <w:szCs w:val="24"/>
          <w:shd w:val="clear" w:color="auto" w:fill="FFFFFF"/>
        </w:rPr>
        <w:t xml:space="preserve">, numărul de niveluri supraterane se limitează în funcție de destinație și de numărul de persoane adăpostit, conform prevederilor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_Ref9032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148</w:t>
      </w:r>
      <w:r>
        <w:rPr>
          <w:rFonts w:eastAsia="Calibri"/>
          <w:b/>
          <w:bCs/>
          <w:i/>
          <w:iCs/>
          <w:sz w:val="24"/>
          <w:szCs w:val="24"/>
          <w:shd w:val="clear" w:color="auto" w:fill="FFFFFF"/>
        </w:rPr>
        <w:fldChar w:fldCharType="end"/>
      </w:r>
      <w:r>
        <w:rPr>
          <w:rFonts w:eastAsia="Calibri"/>
          <w:i/>
          <w:sz w:val="24"/>
          <w:szCs w:val="24"/>
          <w:shd w:val="clear" w:color="auto" w:fill="FFFFFF"/>
        </w:rPr>
        <w:t>.</w:t>
      </w:r>
    </w:p>
    <w:p w14:paraId="78D36AD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3.2.6.</w:t>
      </w:r>
      <w:r>
        <w:rPr>
          <w:rFonts w:eastAsia="Calibri"/>
          <w:i/>
          <w:sz w:val="24"/>
          <w:szCs w:val="24"/>
          <w:shd w:val="clear" w:color="auto" w:fill="FFFFFF"/>
        </w:rPr>
        <w:t xml:space="preserve"> În clădirile civile (publice) existente cu nivelul de stabilitate la incendiu </w:t>
      </w:r>
      <w:r>
        <w:rPr>
          <w:rFonts w:eastAsia="Calibri"/>
          <w:b/>
          <w:bCs/>
          <w:i/>
          <w:sz w:val="24"/>
          <w:szCs w:val="24"/>
          <w:shd w:val="clear" w:color="auto" w:fill="FFFFFF"/>
        </w:rPr>
        <w:t>I</w:t>
      </w:r>
      <w:r>
        <w:rPr>
          <w:rFonts w:eastAsia="Calibri"/>
          <w:i/>
          <w:sz w:val="24"/>
          <w:szCs w:val="24"/>
          <w:shd w:val="clear" w:color="auto" w:fill="FFFFFF"/>
        </w:rPr>
        <w:t xml:space="preserve"> și </w:t>
      </w:r>
      <w:r>
        <w:rPr>
          <w:rFonts w:eastAsia="Calibri"/>
          <w:b/>
          <w:bCs/>
          <w:i/>
          <w:sz w:val="24"/>
          <w:szCs w:val="24"/>
          <w:shd w:val="clear" w:color="auto" w:fill="FFFFFF"/>
        </w:rPr>
        <w:t>II</w:t>
      </w:r>
      <w:r>
        <w:rPr>
          <w:rFonts w:eastAsia="Calibri"/>
          <w:i/>
          <w:sz w:val="24"/>
          <w:szCs w:val="24"/>
          <w:shd w:val="clear" w:color="auto" w:fill="FFFFFF"/>
        </w:rPr>
        <w:t>, este admisă mansardarea (realizarea unui nivel construit în volumul podului) dacă elementele din structura portantă a acoperișului și a încăperilor amenajate sunt incombustibile și separate de restul podului cu ziduri rezistente la foc minim 3 ore (</w:t>
      </w:r>
      <w:r>
        <w:rPr>
          <w:rFonts w:eastAsia="Calibri"/>
          <w:b/>
          <w:bCs/>
          <w:i/>
          <w:sz w:val="24"/>
          <w:szCs w:val="24"/>
          <w:shd w:val="clear" w:color="auto" w:fill="FFFFFF"/>
        </w:rPr>
        <w:t>EI/REI180</w:t>
      </w:r>
      <w:r>
        <w:rPr>
          <w:rFonts w:eastAsia="Calibri"/>
          <w:i/>
          <w:sz w:val="24"/>
          <w:szCs w:val="24"/>
          <w:shd w:val="clear" w:color="auto" w:fill="FFFFFF"/>
        </w:rPr>
        <w:t xml:space="preserve">). În clădiri existente cu nivelul de stabilitate la incendiu </w:t>
      </w:r>
      <w:r>
        <w:rPr>
          <w:rFonts w:eastAsia="Calibri"/>
          <w:b/>
          <w:bCs/>
          <w:i/>
          <w:sz w:val="24"/>
          <w:szCs w:val="24"/>
          <w:shd w:val="clear" w:color="auto" w:fill="FFFFFF"/>
        </w:rPr>
        <w:t>III</w:t>
      </w:r>
      <w:r>
        <w:rPr>
          <w:rFonts w:eastAsia="Calibri"/>
          <w:i/>
          <w:sz w:val="24"/>
          <w:szCs w:val="24"/>
          <w:shd w:val="clear" w:color="auto" w:fill="FFFFFF"/>
        </w:rPr>
        <w:t xml:space="preserve">, </w:t>
      </w:r>
      <w:r>
        <w:rPr>
          <w:rFonts w:eastAsia="Calibri"/>
          <w:b/>
          <w:bCs/>
          <w:i/>
          <w:sz w:val="24"/>
          <w:szCs w:val="24"/>
          <w:shd w:val="clear" w:color="auto" w:fill="FFFFFF"/>
        </w:rPr>
        <w:t>IV</w:t>
      </w:r>
      <w:r>
        <w:rPr>
          <w:rFonts w:eastAsia="Calibri"/>
          <w:i/>
          <w:sz w:val="24"/>
          <w:szCs w:val="24"/>
          <w:shd w:val="clear" w:color="auto" w:fill="FFFFFF"/>
        </w:rPr>
        <w:t xml:space="preserve"> și </w:t>
      </w:r>
      <w:r>
        <w:rPr>
          <w:rFonts w:eastAsia="Calibri"/>
          <w:b/>
          <w:bCs/>
          <w:i/>
          <w:sz w:val="24"/>
          <w:szCs w:val="24"/>
          <w:shd w:val="clear" w:color="auto" w:fill="FFFFFF"/>
        </w:rPr>
        <w:t>V</w:t>
      </w:r>
      <w:r>
        <w:rPr>
          <w:rFonts w:eastAsia="Calibri"/>
          <w:i/>
          <w:sz w:val="24"/>
          <w:szCs w:val="24"/>
          <w:shd w:val="clear" w:color="auto" w:fill="FFFFFF"/>
        </w:rPr>
        <w:t xml:space="preserve">, mansardarea (nivel construit în volumul podului), este admisă în condițiile respectării prevederilor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_Ref9032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148</w:t>
      </w:r>
      <w:r>
        <w:rPr>
          <w:rFonts w:eastAsia="Calibri"/>
          <w:b/>
          <w:bCs/>
          <w:i/>
          <w:iCs/>
          <w:sz w:val="24"/>
          <w:szCs w:val="24"/>
          <w:shd w:val="clear" w:color="auto" w:fill="FFFFFF"/>
        </w:rPr>
        <w:fldChar w:fldCharType="end"/>
      </w:r>
      <w:r>
        <w:rPr>
          <w:rFonts w:eastAsia="Calibri"/>
          <w:i/>
          <w:sz w:val="24"/>
          <w:szCs w:val="24"/>
          <w:shd w:val="clear" w:color="auto" w:fill="FFFFFF"/>
        </w:rPr>
        <w:t>.</w:t>
      </w:r>
    </w:p>
    <w:p w14:paraId="61B6BA2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3.2.7.</w:t>
      </w:r>
      <w:r>
        <w:rPr>
          <w:rFonts w:eastAsia="Calibri"/>
          <w:i/>
          <w:sz w:val="24"/>
          <w:szCs w:val="24"/>
          <w:shd w:val="clear" w:color="auto" w:fill="FFFFFF"/>
        </w:rPr>
        <w:t> Depozitarea mărfurilor și substanțelor cu pericol de explozie în clădirile civile (publice) existente, precum și amplasarea atelierelor în care se utilizează astfel de materiale, nu este admisă decât în cazurile menționate și cu respectarea prevederilor normativului și ale prezentei anexe.</w:t>
      </w:r>
    </w:p>
    <w:p w14:paraId="3A107AB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3.2.8.</w:t>
      </w:r>
      <w:r>
        <w:rPr>
          <w:rFonts w:eastAsia="Calibri"/>
          <w:i/>
          <w:sz w:val="24"/>
          <w:szCs w:val="24"/>
          <w:shd w:val="clear" w:color="auto" w:fill="FFFFFF"/>
        </w:rPr>
        <w:t> Prin conformarea construcțiilor civile (publice) existente se va asigura, pe cât posibil, dispunerea separată a spațiilor cu risc mare de incendiu fața de zonele accesibile publicului, realizând măsurile de protecție necesare conform normativului și ale anexei.</w:t>
      </w:r>
    </w:p>
    <w:p w14:paraId="254033FE" w14:textId="77777777" w:rsidR="001C08A5" w:rsidRDefault="00000000">
      <w:pPr>
        <w:pStyle w:val="Heading3"/>
        <w:rPr>
          <w:i/>
          <w:iCs/>
          <w:sz w:val="24"/>
          <w:szCs w:val="24"/>
        </w:rPr>
      </w:pPr>
      <w:bookmarkStart w:id="10791" w:name="_Toc10570"/>
      <w:bookmarkStart w:id="10792" w:name="_Toc5235"/>
      <w:bookmarkStart w:id="10793" w:name="_Toc7085"/>
      <w:bookmarkStart w:id="10794" w:name="_Toc162355578"/>
      <w:bookmarkStart w:id="10795" w:name="_Toc24844"/>
      <w:bookmarkStart w:id="10796" w:name="_Toc23562"/>
      <w:r>
        <w:rPr>
          <w:i/>
          <w:iCs/>
          <w:sz w:val="24"/>
          <w:szCs w:val="24"/>
        </w:rPr>
        <w:t>A.10. 3.3. ALCĂTUIRI CONSTRUCTIVE</w:t>
      </w:r>
      <w:bookmarkEnd w:id="10791"/>
      <w:bookmarkEnd w:id="10792"/>
      <w:bookmarkEnd w:id="10793"/>
      <w:bookmarkEnd w:id="10794"/>
      <w:bookmarkEnd w:id="10795"/>
      <w:bookmarkEnd w:id="10796"/>
    </w:p>
    <w:p w14:paraId="2B1760A1" w14:textId="77777777" w:rsidR="001C08A5" w:rsidRDefault="00000000">
      <w:pPr>
        <w:shd w:val="clear" w:color="auto" w:fill="FFFFFF"/>
        <w:spacing w:after="150"/>
        <w:jc w:val="both"/>
        <w:rPr>
          <w:b/>
          <w:bCs/>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3.3.1.</w:t>
      </w:r>
      <w:r>
        <w:rPr>
          <w:rFonts w:eastAsia="Calibri"/>
          <w:i/>
          <w:sz w:val="24"/>
          <w:szCs w:val="24"/>
          <w:shd w:val="clear" w:color="auto" w:fill="FFFFFF"/>
        </w:rPr>
        <w:t xml:space="preserve"> Construcțiile civile (publice) existente se alcătuiesc corespunzător prevederilor </w:t>
      </w:r>
      <w:r>
        <w:rPr>
          <w:rFonts w:eastAsia="Calibri"/>
          <w:b/>
          <w:bCs/>
          <w:i/>
          <w:sz w:val="24"/>
          <w:szCs w:val="24"/>
          <w:shd w:val="clear" w:color="auto" w:fill="FFFFFF"/>
        </w:rPr>
        <w:t>Capitolului A.10. 2.4. Alcătuiri constructive</w:t>
      </w:r>
      <w:r>
        <w:rPr>
          <w:rFonts w:eastAsia="Calibri"/>
          <w:i/>
          <w:sz w:val="24"/>
          <w:szCs w:val="24"/>
          <w:shd w:val="clear" w:color="auto" w:fill="FFFFFF"/>
        </w:rPr>
        <w:t xml:space="preserve"> ale prezentei anexe, îndeplinind performanțele comune și specifice ale acestora. Se recomandă utilizarea materialelor și elementelor de construcție </w:t>
      </w:r>
      <w:r>
        <w:rPr>
          <w:rFonts w:eastAsia="TimesNewRomanPSMT-Identity-H"/>
          <w:i/>
          <w:sz w:val="24"/>
          <w:szCs w:val="24"/>
        </w:rPr>
        <w:t xml:space="preserve">clasa de reacție la foc </w:t>
      </w:r>
      <w:r>
        <w:rPr>
          <w:b/>
          <w:bCs/>
          <w:i/>
          <w:sz w:val="24"/>
          <w:szCs w:val="24"/>
          <w:lang w:val="en-GB"/>
        </w:rPr>
        <w:t>A1, A2s1d0</w:t>
      </w:r>
      <w:r>
        <w:rPr>
          <w:b/>
          <w:bCs/>
          <w:i/>
          <w:sz w:val="24"/>
          <w:szCs w:val="24"/>
        </w:rPr>
        <w:t>.</w:t>
      </w:r>
    </w:p>
    <w:p w14:paraId="3AE2D3A9"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3.3.2.</w:t>
      </w:r>
      <w:r>
        <w:rPr>
          <w:rFonts w:eastAsia="Calibri"/>
          <w:i/>
          <w:sz w:val="24"/>
          <w:szCs w:val="24"/>
          <w:shd w:val="clear" w:color="auto" w:fill="FFFFFF"/>
        </w:rPr>
        <w:t xml:space="preserve"> Atunci când conform prevederilor prezentei anexe se pot utiliza materiale și elemente din clasele de combustibile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 xml:space="preserve">Cs1÷s3,d0÷d1 </w:t>
      </w:r>
      <w:r>
        <w:rPr>
          <w:rFonts w:eastAsia="TimesNewRomanPSMT-Identity-H"/>
          <w:i/>
          <w:sz w:val="24"/>
          <w:szCs w:val="24"/>
          <w:lang w:eastAsia="zh-CN"/>
        </w:rPr>
        <w:t xml:space="preserve">sau </w:t>
      </w:r>
      <w:r>
        <w:rPr>
          <w:rFonts w:eastAsia="TimesNewRomanPSMT-Identity-H"/>
          <w:b/>
          <w:bCs/>
          <w:i/>
          <w:sz w:val="24"/>
          <w:szCs w:val="24"/>
          <w:lang w:eastAsia="zh-CN"/>
        </w:rPr>
        <w:t xml:space="preserve">Ds1÷s3,d0÷d1 </w:t>
      </w:r>
      <w:r>
        <w:rPr>
          <w:rFonts w:eastAsia="TimesNewRomanPSMT-Identity-H"/>
          <w:i/>
          <w:sz w:val="24"/>
          <w:szCs w:val="24"/>
          <w:lang w:eastAsia="zh-CN"/>
        </w:rPr>
        <w:t xml:space="preserve">sau </w:t>
      </w:r>
      <w:r>
        <w:rPr>
          <w:rFonts w:eastAsia="TimesNewRomanPSMT-Identity-H"/>
          <w:b/>
          <w:bCs/>
          <w:i/>
          <w:sz w:val="24"/>
          <w:szCs w:val="24"/>
          <w:lang w:eastAsia="zh-CN"/>
        </w:rPr>
        <w:t>A2s1÷s3,d2; Bs1÷s3,d2; Cs1÷s3,d2; Ds1÷s3,d2; Ed2</w:t>
      </w:r>
      <w:r>
        <w:rPr>
          <w:rFonts w:eastAsia="Calibri"/>
          <w:i/>
          <w:sz w:val="24"/>
          <w:szCs w:val="24"/>
          <w:shd w:val="clear" w:color="auto" w:fill="FFFFFF"/>
        </w:rPr>
        <w:t>, în funcție de condițiile specifice și scenariile de siguranță la foc elaborate, precum și de rolul pe care îl au în caz de incendiu, se asigură masurile de protecție corespunzătoare siguranței la foc, potrivit prezentei anexe.</w:t>
      </w:r>
    </w:p>
    <w:p w14:paraId="2ADEC5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3.3.3.</w:t>
      </w:r>
      <w:r>
        <w:rPr>
          <w:rFonts w:eastAsia="Calibri"/>
          <w:i/>
          <w:sz w:val="24"/>
          <w:szCs w:val="24"/>
          <w:shd w:val="clear" w:color="auto" w:fill="FFFFFF"/>
        </w:rPr>
        <w:t> Prin modul de alcătuire și realizare, elementele de construcție utilizate nu trebuie să propage focul cu ușurință.</w:t>
      </w:r>
    </w:p>
    <w:p w14:paraId="3F532C8F" w14:textId="77777777" w:rsidR="001C08A5" w:rsidRDefault="00000000">
      <w:pPr>
        <w:pStyle w:val="Heading3"/>
        <w:rPr>
          <w:i/>
          <w:iCs/>
          <w:sz w:val="24"/>
          <w:szCs w:val="24"/>
        </w:rPr>
      </w:pPr>
      <w:bookmarkStart w:id="10797" w:name="_Toc24575"/>
      <w:bookmarkStart w:id="10798" w:name="_Toc2162"/>
      <w:bookmarkStart w:id="10799" w:name="_Toc25776"/>
      <w:bookmarkStart w:id="10800" w:name="_Toc11985"/>
      <w:bookmarkStart w:id="10801" w:name="_Toc12232"/>
      <w:bookmarkStart w:id="10802" w:name="_Toc162355579"/>
      <w:r>
        <w:rPr>
          <w:i/>
          <w:iCs/>
          <w:sz w:val="24"/>
          <w:szCs w:val="24"/>
        </w:rPr>
        <w:t>A.10. 3.4. LIMITAREA PROPAGĂRII FOCULUI ȘI A FUMULUI</w:t>
      </w:r>
      <w:bookmarkEnd w:id="10797"/>
      <w:bookmarkEnd w:id="10798"/>
      <w:bookmarkEnd w:id="10799"/>
      <w:bookmarkEnd w:id="10800"/>
      <w:bookmarkEnd w:id="10801"/>
      <w:bookmarkEnd w:id="10802"/>
    </w:p>
    <w:p w14:paraId="74E13D3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3.4.1.</w:t>
      </w:r>
      <w:r>
        <w:rPr>
          <w:rFonts w:eastAsia="Calibri"/>
          <w:i/>
          <w:sz w:val="24"/>
          <w:szCs w:val="24"/>
          <w:shd w:val="clear" w:color="auto" w:fill="FFFFFF"/>
        </w:rPr>
        <w:t xml:space="preserve"> Pereții despărțitori prevăzuți pentru limitarea propagării incendiului în cadrul unui compartiment de incendiu, se recomandă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și rezistenți la foc minimum 2 ore (</w:t>
      </w:r>
      <w:r>
        <w:rPr>
          <w:rFonts w:eastAsia="Calibri"/>
          <w:b/>
          <w:bCs/>
          <w:i/>
          <w:sz w:val="24"/>
          <w:szCs w:val="24"/>
          <w:shd w:val="clear" w:color="auto" w:fill="FFFFFF"/>
        </w:rPr>
        <w:t>EI/REI120</w:t>
      </w:r>
      <w:r>
        <w:rPr>
          <w:rFonts w:eastAsia="Calibri"/>
          <w:i/>
          <w:sz w:val="24"/>
          <w:szCs w:val="24"/>
          <w:shd w:val="clear" w:color="auto" w:fill="FFFFFF"/>
        </w:rPr>
        <w:t>) secționând transversal clădirea existentă (pereți care pot fi decalați în plan vertical). Acești pereți, de regulă, se amplasează la cel mult:</w:t>
      </w:r>
    </w:p>
    <w:p w14:paraId="7FF5796F"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110 m</w:t>
      </w:r>
      <w:r>
        <w:rPr>
          <w:rFonts w:eastAsia="Calibri"/>
          <w:i/>
          <w:sz w:val="24"/>
          <w:szCs w:val="24"/>
          <w:shd w:val="clear" w:color="auto" w:fill="FFFFFF"/>
          <w:lang w:val="en-US" w:eastAsia="zh-CN" w:bidi="ar"/>
        </w:rPr>
        <w:t xml:space="preserve"> distanță în clădiri </w:t>
      </w:r>
      <w:r>
        <w:rPr>
          <w:rFonts w:eastAsia="Calibri"/>
          <w:i/>
          <w:sz w:val="24"/>
          <w:szCs w:val="24"/>
          <w:shd w:val="clear" w:color="auto" w:fill="FFFFFF"/>
        </w:rPr>
        <w:t xml:space="preserve">existente </w:t>
      </w:r>
      <w:r>
        <w:rPr>
          <w:rFonts w:eastAsia="Calibri"/>
          <w:i/>
          <w:sz w:val="24"/>
          <w:szCs w:val="24"/>
          <w:shd w:val="clear" w:color="auto" w:fill="FFFFFF"/>
          <w:lang w:eastAsia="zh-CN" w:bidi="ar"/>
        </w:rPr>
        <w:t>cu</w:t>
      </w:r>
      <w:r>
        <w:rPr>
          <w:rFonts w:eastAsia="Calibri"/>
          <w:i/>
          <w:sz w:val="24"/>
          <w:szCs w:val="24"/>
          <w:shd w:val="clear" w:color="auto" w:fill="FFFFFF"/>
          <w:lang w:val="en-US" w:eastAsia="zh-CN" w:bidi="ar"/>
        </w:rPr>
        <w:t xml:space="preserve"> </w:t>
      </w:r>
      <w:r>
        <w:rPr>
          <w:rFonts w:eastAsia="Calibri"/>
          <w:i/>
          <w:sz w:val="24"/>
          <w:szCs w:val="24"/>
          <w:shd w:val="clear" w:color="auto" w:fill="FFFFFF"/>
        </w:rPr>
        <w:t xml:space="preserve">nivelul de stabilitate la incendiu </w:t>
      </w:r>
      <w:r>
        <w:rPr>
          <w:rFonts w:eastAsia="Calibri"/>
          <w:b/>
          <w:bCs/>
          <w:i/>
          <w:sz w:val="24"/>
          <w:szCs w:val="24"/>
          <w:shd w:val="clear" w:color="auto" w:fill="FFFFFF"/>
        </w:rPr>
        <w:t>I, II și III</w:t>
      </w:r>
      <w:r>
        <w:rPr>
          <w:rFonts w:eastAsia="Calibri"/>
          <w:i/>
          <w:sz w:val="24"/>
          <w:szCs w:val="24"/>
          <w:shd w:val="clear" w:color="auto" w:fill="FFFFFF"/>
          <w:lang w:val="en-US" w:eastAsia="zh-CN" w:bidi="ar"/>
        </w:rPr>
        <w:t>;</w:t>
      </w:r>
    </w:p>
    <w:p w14:paraId="07408240" w14:textId="77777777" w:rsidR="001C08A5" w:rsidRDefault="00000000">
      <w:pPr>
        <w:shd w:val="clear" w:color="auto" w:fill="FFFFFF"/>
        <w:ind w:left="144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70 m</w:t>
      </w:r>
      <w:r>
        <w:rPr>
          <w:rFonts w:eastAsia="Calibri"/>
          <w:i/>
          <w:sz w:val="24"/>
          <w:szCs w:val="24"/>
          <w:shd w:val="clear" w:color="auto" w:fill="FFFFFF"/>
          <w:lang w:val="en-US" w:eastAsia="zh-CN" w:bidi="ar"/>
        </w:rPr>
        <w:t xml:space="preserve"> distanța în clădiri </w:t>
      </w:r>
      <w:r>
        <w:rPr>
          <w:rFonts w:eastAsia="Calibri"/>
          <w:i/>
          <w:sz w:val="24"/>
          <w:szCs w:val="24"/>
          <w:shd w:val="clear" w:color="auto" w:fill="FFFFFF"/>
        </w:rPr>
        <w:t xml:space="preserve">existente </w:t>
      </w:r>
      <w:r>
        <w:rPr>
          <w:rFonts w:eastAsia="Calibri"/>
          <w:i/>
          <w:sz w:val="24"/>
          <w:szCs w:val="24"/>
          <w:shd w:val="clear" w:color="auto" w:fill="FFFFFF"/>
          <w:lang w:eastAsia="zh-CN" w:bidi="ar"/>
        </w:rPr>
        <w:t>cu</w:t>
      </w:r>
      <w:r>
        <w:rPr>
          <w:rFonts w:eastAsia="Calibri"/>
          <w:i/>
          <w:sz w:val="24"/>
          <w:szCs w:val="24"/>
          <w:shd w:val="clear" w:color="auto" w:fill="FFFFFF"/>
          <w:lang w:val="en-US" w:eastAsia="zh-CN" w:bidi="ar"/>
        </w:rPr>
        <w:t xml:space="preserve"> </w:t>
      </w:r>
      <w:r>
        <w:rPr>
          <w:rFonts w:eastAsia="Calibri"/>
          <w:i/>
          <w:sz w:val="24"/>
          <w:szCs w:val="24"/>
          <w:shd w:val="clear" w:color="auto" w:fill="FFFFFF"/>
        </w:rPr>
        <w:t xml:space="preserve">nivelul de stabilitate la incendiu </w:t>
      </w:r>
      <w:r>
        <w:rPr>
          <w:rFonts w:eastAsia="Calibri"/>
          <w:b/>
          <w:bCs/>
          <w:i/>
          <w:sz w:val="24"/>
          <w:szCs w:val="24"/>
          <w:shd w:val="clear" w:color="auto" w:fill="FFFFFF"/>
        </w:rPr>
        <w:t>IV și V</w:t>
      </w:r>
      <w:r>
        <w:rPr>
          <w:rFonts w:eastAsia="Calibri"/>
          <w:i/>
          <w:sz w:val="24"/>
          <w:szCs w:val="24"/>
          <w:shd w:val="clear" w:color="auto" w:fill="FFFFFF"/>
          <w:lang w:val="en-US" w:eastAsia="zh-CN" w:bidi="ar"/>
        </w:rPr>
        <w:t>;</w:t>
      </w:r>
    </w:p>
    <w:p w14:paraId="50D18C85"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 xml:space="preserve">La clădirile existente cu pod al căror acoperiș este executat din materiale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 xml:space="preserve">Cs1÷s3,d0÷d1 </w:t>
      </w:r>
      <w:r>
        <w:rPr>
          <w:rFonts w:eastAsia="TimesNewRomanPSMT-Identity-H"/>
          <w:i/>
          <w:sz w:val="24"/>
          <w:szCs w:val="24"/>
          <w:lang w:eastAsia="zh-CN"/>
        </w:rPr>
        <w:t xml:space="preserve">sau </w:t>
      </w:r>
      <w:r>
        <w:rPr>
          <w:rFonts w:eastAsia="TimesNewRomanPSMT-Identity-H"/>
          <w:b/>
          <w:bCs/>
          <w:i/>
          <w:sz w:val="24"/>
          <w:szCs w:val="24"/>
          <w:lang w:eastAsia="zh-CN"/>
        </w:rPr>
        <w:t xml:space="preserve">Ds1÷s3,d0÷d1 </w:t>
      </w:r>
      <w:r>
        <w:rPr>
          <w:rFonts w:eastAsia="TimesNewRomanPSMT-Identity-H"/>
          <w:i/>
          <w:sz w:val="24"/>
          <w:szCs w:val="24"/>
          <w:lang w:eastAsia="zh-CN"/>
        </w:rPr>
        <w:t xml:space="preserve">sau </w:t>
      </w:r>
      <w:r>
        <w:rPr>
          <w:rFonts w:eastAsia="TimesNewRomanPSMT-Identity-H"/>
          <w:b/>
          <w:bCs/>
          <w:i/>
          <w:sz w:val="24"/>
          <w:szCs w:val="24"/>
          <w:lang w:eastAsia="zh-CN"/>
        </w:rPr>
        <w:t xml:space="preserve">A2s1÷s3,d2; Bs1÷s3,d2; Cs1÷s3,d2; Ds1÷s3,d2; Ed2, </w:t>
      </w:r>
      <w:r>
        <w:rPr>
          <w:rFonts w:eastAsia="Calibri"/>
          <w:i/>
          <w:sz w:val="24"/>
          <w:szCs w:val="24"/>
          <w:shd w:val="clear" w:color="auto" w:fill="FFFFFF"/>
        </w:rPr>
        <w:t xml:space="preserve"> pereții respectivi trebuie să separe și volumul podului.</w:t>
      </w:r>
    </w:p>
    <w:p w14:paraId="120897CC"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3.4.2.</w:t>
      </w:r>
      <w:r>
        <w:rPr>
          <w:rFonts w:eastAsia="Calibri"/>
          <w:i/>
          <w:sz w:val="24"/>
          <w:szCs w:val="24"/>
          <w:shd w:val="clear" w:color="auto" w:fill="FFFFFF"/>
        </w:rPr>
        <w:t xml:space="preserve"> În construcții civile (publice) existente, ușile prevăzute pe coridoare care intersectează pereții antifoc și cele din pereții despărțitori prevăzuți la </w:t>
      </w:r>
      <w:r>
        <w:rPr>
          <w:rFonts w:eastAsia="Calibri"/>
          <w:b/>
          <w:bCs/>
          <w:i/>
          <w:sz w:val="24"/>
          <w:szCs w:val="24"/>
          <w:shd w:val="clear" w:color="auto" w:fill="FFFFFF"/>
        </w:rPr>
        <w:t>Art. A.10.3.4.1</w:t>
      </w:r>
      <w:r>
        <w:rPr>
          <w:rFonts w:eastAsia="Calibri"/>
          <w:i/>
          <w:sz w:val="24"/>
          <w:szCs w:val="24"/>
          <w:shd w:val="clear" w:color="auto" w:fill="FFFFFF"/>
        </w:rPr>
        <w:t>., pot fi etanșe la foc minimum 30 de minute (</w:t>
      </w:r>
      <w:r>
        <w:rPr>
          <w:rFonts w:eastAsia="Calibri"/>
          <w:b/>
          <w:bCs/>
          <w:i/>
          <w:sz w:val="24"/>
          <w:szCs w:val="24"/>
          <w:shd w:val="clear" w:color="auto" w:fill="FFFFFF"/>
        </w:rPr>
        <w:t>E30-C</w:t>
      </w:r>
      <w:r>
        <w:rPr>
          <w:rFonts w:eastAsia="Calibri"/>
          <w:i/>
          <w:sz w:val="24"/>
          <w:szCs w:val="24"/>
          <w:shd w:val="clear" w:color="auto" w:fill="FFFFFF"/>
        </w:rPr>
        <w:t>), potrivit prezentei anexe având dispozitive de autoînchidere sau închidere automată în caz de incendiu, conform cerințelor funcționale și de evacuare în caz de incendiu.</w:t>
      </w:r>
    </w:p>
    <w:p w14:paraId="6EB4198A" w14:textId="77777777" w:rsidR="001C08A5" w:rsidRDefault="00000000">
      <w:pPr>
        <w:pStyle w:val="Caption"/>
        <w:shd w:val="clear" w:color="auto" w:fill="FFFFFF"/>
        <w:spacing w:before="0" w:after="150"/>
        <w:jc w:val="both"/>
        <w:rPr>
          <w:rFonts w:eastAsia="Calibri" w:cs="Times New Roman"/>
          <w:bCs/>
        </w:rPr>
      </w:pPr>
      <w:bookmarkStart w:id="10803" w:name="_Ref9313"/>
      <w:bookmarkStart w:id="10804" w:name="_Toc162360199"/>
      <w:r>
        <w:t xml:space="preserve">Tabelul </w:t>
      </w:r>
      <w:r>
        <w:fldChar w:fldCharType="begin"/>
      </w:r>
      <w:r>
        <w:instrText xml:space="preserve"> SEQ Tabelul \* ARABIC </w:instrText>
      </w:r>
      <w:r>
        <w:fldChar w:fldCharType="separate"/>
      </w:r>
      <w:r>
        <w:t>149</w:t>
      </w:r>
      <w:r>
        <w:fldChar w:fldCharType="end"/>
      </w:r>
      <w:bookmarkStart w:id="10805" w:name="_Toc9197"/>
      <w:bookmarkStart w:id="10806" w:name="_Toc17206"/>
      <w:bookmarkStart w:id="10807" w:name="_Toc10496"/>
      <w:bookmarkStart w:id="10808" w:name="_Toc20703"/>
      <w:bookmarkStart w:id="10809" w:name="_Toc17740"/>
      <w:bookmarkStart w:id="10810" w:name="_Toc31140"/>
      <w:bookmarkStart w:id="10811" w:name="_Toc6440"/>
      <w:bookmarkStart w:id="10812" w:name="_Toc30904"/>
      <w:bookmarkStart w:id="10813" w:name="_Toc27370"/>
      <w:bookmarkStart w:id="10814" w:name="_Toc12816"/>
      <w:bookmarkStart w:id="10815" w:name="_Toc3230"/>
      <w:bookmarkEnd w:id="10803"/>
      <w:r>
        <w:t xml:space="preserve">: </w:t>
      </w:r>
      <w:r>
        <w:rPr>
          <w:rFonts w:eastAsia="Calibri"/>
          <w:shd w:val="clear" w:color="auto" w:fill="FFFFFF"/>
        </w:rPr>
        <w:t>Condiții minime pentru pereți și planșee la construcții existente</w:t>
      </w:r>
      <w:bookmarkEnd w:id="10804"/>
      <w:bookmarkEnd w:id="10805"/>
      <w:bookmarkEnd w:id="10806"/>
      <w:bookmarkEnd w:id="10807"/>
      <w:bookmarkEnd w:id="10808"/>
      <w:bookmarkEnd w:id="10809"/>
      <w:bookmarkEnd w:id="10810"/>
      <w:bookmarkEnd w:id="10811"/>
      <w:bookmarkEnd w:id="10812"/>
      <w:bookmarkEnd w:id="10813"/>
      <w:bookmarkEnd w:id="10814"/>
      <w:bookmarkEnd w:id="10815"/>
    </w:p>
    <w:tbl>
      <w:tblPr>
        <w:tblW w:w="50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9"/>
        <w:gridCol w:w="3080"/>
        <w:gridCol w:w="1218"/>
        <w:gridCol w:w="1820"/>
        <w:gridCol w:w="3256"/>
      </w:tblGrid>
      <w:tr w:rsidR="001C08A5" w14:paraId="76C05C4E" w14:textId="77777777">
        <w:trPr>
          <w:trHeight w:val="998"/>
          <w:jc w:val="center"/>
        </w:trPr>
        <w:tc>
          <w:tcPr>
            <w:tcW w:w="167" w:type="pct"/>
            <w:tcMar>
              <w:top w:w="0" w:type="dxa"/>
              <w:left w:w="0" w:type="dxa"/>
              <w:bottom w:w="0" w:type="dxa"/>
              <w:right w:w="0" w:type="dxa"/>
            </w:tcMar>
            <w:vAlign w:val="center"/>
          </w:tcPr>
          <w:p w14:paraId="0E44B853" w14:textId="77777777" w:rsidR="001C08A5" w:rsidRDefault="00000000">
            <w:pPr>
              <w:jc w:val="center"/>
              <w:rPr>
                <w:b/>
                <w:bCs/>
                <w:i/>
                <w:sz w:val="22"/>
                <w:szCs w:val="22"/>
              </w:rPr>
            </w:pPr>
            <w:r>
              <w:rPr>
                <w:b/>
                <w:bCs/>
                <w:i/>
                <w:sz w:val="22"/>
                <w:szCs w:val="22"/>
                <w:lang w:val="en-US" w:eastAsia="zh-CN" w:bidi="ar"/>
              </w:rPr>
              <w:t>Nr. Crt.</w:t>
            </w:r>
          </w:p>
        </w:tc>
        <w:tc>
          <w:tcPr>
            <w:tcW w:w="1586" w:type="pct"/>
            <w:tcMar>
              <w:top w:w="0" w:type="dxa"/>
              <w:left w:w="0" w:type="dxa"/>
              <w:bottom w:w="0" w:type="dxa"/>
              <w:right w:w="0" w:type="dxa"/>
            </w:tcMar>
            <w:vAlign w:val="center"/>
          </w:tcPr>
          <w:p w14:paraId="7D5FFEEC" w14:textId="77777777" w:rsidR="001C08A5" w:rsidRDefault="00000000">
            <w:pPr>
              <w:jc w:val="center"/>
              <w:rPr>
                <w:b/>
                <w:bCs/>
                <w:i/>
                <w:sz w:val="22"/>
                <w:szCs w:val="22"/>
              </w:rPr>
            </w:pPr>
            <w:r>
              <w:rPr>
                <w:b/>
                <w:bCs/>
                <w:i/>
                <w:sz w:val="22"/>
                <w:szCs w:val="22"/>
                <w:lang w:val="en-US" w:eastAsia="zh-CN" w:bidi="ar"/>
              </w:rPr>
              <w:t>Destinația elementului</w:t>
            </w:r>
          </w:p>
        </w:tc>
        <w:tc>
          <w:tcPr>
            <w:tcW w:w="630" w:type="pct"/>
            <w:tcMar>
              <w:top w:w="0" w:type="dxa"/>
              <w:left w:w="0" w:type="dxa"/>
              <w:bottom w:w="0" w:type="dxa"/>
              <w:right w:w="0" w:type="dxa"/>
            </w:tcMar>
            <w:vAlign w:val="center"/>
          </w:tcPr>
          <w:p w14:paraId="66C39B78" w14:textId="77777777" w:rsidR="001C08A5" w:rsidRDefault="00000000">
            <w:pPr>
              <w:jc w:val="center"/>
              <w:rPr>
                <w:b/>
                <w:bCs/>
                <w:i/>
                <w:sz w:val="22"/>
                <w:szCs w:val="22"/>
              </w:rPr>
            </w:pPr>
            <w:r>
              <w:rPr>
                <w:b/>
                <w:bCs/>
                <w:i/>
                <w:sz w:val="22"/>
                <w:szCs w:val="22"/>
              </w:rPr>
              <w:t>Tip element</w:t>
            </w:r>
          </w:p>
        </w:tc>
        <w:tc>
          <w:tcPr>
            <w:tcW w:w="939" w:type="pct"/>
            <w:tcMar>
              <w:top w:w="0" w:type="dxa"/>
              <w:left w:w="0" w:type="dxa"/>
              <w:bottom w:w="0" w:type="dxa"/>
              <w:right w:w="0" w:type="dxa"/>
            </w:tcMar>
            <w:vAlign w:val="center"/>
          </w:tcPr>
          <w:p w14:paraId="79302E9F" w14:textId="77777777" w:rsidR="001C08A5" w:rsidRDefault="00000000">
            <w:pPr>
              <w:jc w:val="center"/>
              <w:rPr>
                <w:b/>
                <w:bCs/>
                <w:i/>
                <w:sz w:val="22"/>
                <w:szCs w:val="22"/>
              </w:rPr>
            </w:pPr>
            <w:r>
              <w:rPr>
                <w:b/>
                <w:bCs/>
                <w:i/>
                <w:sz w:val="22"/>
                <w:szCs w:val="22"/>
                <w:lang w:val="en-US" w:eastAsia="zh-CN" w:bidi="ar"/>
              </w:rPr>
              <w:t xml:space="preserve">Condiții minime de </w:t>
            </w:r>
            <w:r>
              <w:rPr>
                <w:rFonts w:eastAsia="TimesNewRomanPSMT-Identity-H"/>
                <w:b/>
                <w:bCs/>
                <w:i/>
                <w:sz w:val="22"/>
                <w:szCs w:val="22"/>
              </w:rPr>
              <w:t xml:space="preserve">reacție la </w:t>
            </w:r>
            <w:proofErr w:type="gramStart"/>
            <w:r>
              <w:rPr>
                <w:rFonts w:eastAsia="TimesNewRomanPSMT-Identity-H"/>
                <w:b/>
                <w:bCs/>
                <w:i/>
                <w:sz w:val="22"/>
                <w:szCs w:val="22"/>
              </w:rPr>
              <w:t xml:space="preserve">foc </w:t>
            </w:r>
            <w:r>
              <w:rPr>
                <w:b/>
                <w:bCs/>
                <w:i/>
                <w:sz w:val="22"/>
                <w:szCs w:val="22"/>
                <w:lang w:val="en-US" w:eastAsia="zh-CN" w:bidi="ar"/>
              </w:rPr>
              <w:t xml:space="preserve"> și</w:t>
            </w:r>
            <w:proofErr w:type="gramEnd"/>
            <w:r>
              <w:rPr>
                <w:b/>
                <w:bCs/>
                <w:i/>
                <w:sz w:val="22"/>
                <w:szCs w:val="22"/>
                <w:lang w:val="en-US" w:eastAsia="zh-CN" w:bidi="ar"/>
              </w:rPr>
              <w:t xml:space="preserve"> de rez. la foc</w:t>
            </w:r>
          </w:p>
        </w:tc>
        <w:tc>
          <w:tcPr>
            <w:tcW w:w="1676" w:type="pct"/>
            <w:tcMar>
              <w:top w:w="0" w:type="dxa"/>
              <w:left w:w="0" w:type="dxa"/>
              <w:bottom w:w="0" w:type="dxa"/>
              <w:right w:w="0" w:type="dxa"/>
            </w:tcMar>
            <w:vAlign w:val="center"/>
          </w:tcPr>
          <w:p w14:paraId="48797668" w14:textId="77777777" w:rsidR="001C08A5" w:rsidRDefault="00000000">
            <w:pPr>
              <w:jc w:val="center"/>
              <w:rPr>
                <w:b/>
                <w:bCs/>
                <w:i/>
                <w:sz w:val="22"/>
                <w:szCs w:val="22"/>
                <w:lang w:val="en-US" w:eastAsia="zh-CN" w:bidi="ar"/>
              </w:rPr>
            </w:pPr>
            <w:r>
              <w:rPr>
                <w:b/>
                <w:bCs/>
                <w:i/>
                <w:sz w:val="22"/>
                <w:szCs w:val="22"/>
                <w:lang w:val="en-US" w:eastAsia="zh-CN" w:bidi="ar"/>
              </w:rPr>
              <w:t>Observații</w:t>
            </w:r>
          </w:p>
        </w:tc>
      </w:tr>
      <w:tr w:rsidR="001C08A5" w14:paraId="30F86D91" w14:textId="77777777">
        <w:trPr>
          <w:trHeight w:val="975"/>
          <w:jc w:val="center"/>
        </w:trPr>
        <w:tc>
          <w:tcPr>
            <w:tcW w:w="167" w:type="pct"/>
            <w:tcMar>
              <w:top w:w="0" w:type="dxa"/>
              <w:left w:w="0" w:type="dxa"/>
              <w:bottom w:w="0" w:type="dxa"/>
              <w:right w:w="0" w:type="dxa"/>
            </w:tcMar>
          </w:tcPr>
          <w:p w14:paraId="4CA20516" w14:textId="77777777" w:rsidR="001C08A5" w:rsidRDefault="00000000">
            <w:pPr>
              <w:jc w:val="center"/>
              <w:rPr>
                <w:i/>
                <w:sz w:val="22"/>
                <w:szCs w:val="22"/>
              </w:rPr>
            </w:pPr>
            <w:r>
              <w:rPr>
                <w:i/>
                <w:sz w:val="22"/>
                <w:szCs w:val="22"/>
                <w:lang w:val="en-US" w:eastAsia="zh-CN" w:bidi="ar"/>
              </w:rPr>
              <w:t>1</w:t>
            </w:r>
          </w:p>
        </w:tc>
        <w:tc>
          <w:tcPr>
            <w:tcW w:w="1586" w:type="pct"/>
            <w:tcMar>
              <w:top w:w="0" w:type="dxa"/>
              <w:left w:w="0" w:type="dxa"/>
              <w:bottom w:w="0" w:type="dxa"/>
              <w:right w:w="0" w:type="dxa"/>
            </w:tcMar>
            <w:vAlign w:val="center"/>
          </w:tcPr>
          <w:p w14:paraId="7EA9F46E" w14:textId="77777777" w:rsidR="001C08A5" w:rsidRDefault="00000000">
            <w:pPr>
              <w:jc w:val="both"/>
              <w:rPr>
                <w:i/>
                <w:sz w:val="22"/>
                <w:szCs w:val="22"/>
              </w:rPr>
            </w:pPr>
            <w:r>
              <w:rPr>
                <w:i/>
                <w:sz w:val="22"/>
                <w:szCs w:val="22"/>
                <w:lang w:val="en-US" w:eastAsia="zh-CN" w:bidi="ar"/>
              </w:rPr>
              <w:t>Elemente de separare</w:t>
            </w:r>
            <w:r>
              <w:rPr>
                <w:i/>
                <w:sz w:val="22"/>
                <w:szCs w:val="22"/>
                <w:lang w:eastAsia="zh-CN" w:bidi="ar"/>
              </w:rPr>
              <w:t>/</w:t>
            </w:r>
            <w:r>
              <w:rPr>
                <w:i/>
                <w:sz w:val="22"/>
                <w:szCs w:val="22"/>
                <w:lang w:val="en-US" w:eastAsia="zh-CN" w:bidi="ar"/>
              </w:rPr>
              <w:t xml:space="preserve"> despărțit</w:t>
            </w:r>
            <w:r>
              <w:rPr>
                <w:i/>
                <w:sz w:val="22"/>
                <w:szCs w:val="22"/>
                <w:lang w:eastAsia="zh-CN" w:bidi="ar"/>
              </w:rPr>
              <w:t>oare</w:t>
            </w:r>
            <w:r>
              <w:rPr>
                <w:i/>
                <w:sz w:val="22"/>
                <w:szCs w:val="22"/>
                <w:lang w:val="en-US" w:eastAsia="zh-CN" w:bidi="ar"/>
              </w:rPr>
              <w:t xml:space="preserve"> </w:t>
            </w:r>
            <w:r>
              <w:rPr>
                <w:i/>
                <w:sz w:val="22"/>
                <w:szCs w:val="22"/>
                <w:lang w:eastAsia="zh-CN" w:bidi="ar"/>
              </w:rPr>
              <w:t>î</w:t>
            </w:r>
            <w:r>
              <w:rPr>
                <w:i/>
                <w:sz w:val="22"/>
                <w:szCs w:val="22"/>
                <w:lang w:val="en-US" w:eastAsia="zh-CN" w:bidi="ar"/>
              </w:rPr>
              <w:t xml:space="preserve">ntre încăperi administrative etc., din cadrul </w:t>
            </w:r>
            <w:r>
              <w:rPr>
                <w:i/>
                <w:sz w:val="22"/>
                <w:szCs w:val="22"/>
                <w:lang w:val="en-US" w:eastAsia="zh-CN" w:bidi="ar"/>
              </w:rPr>
              <w:lastRenderedPageBreak/>
              <w:t xml:space="preserve">unor grupări cu o arie construită de max. </w:t>
            </w:r>
            <w:r>
              <w:rPr>
                <w:b/>
                <w:bCs/>
                <w:i/>
                <w:sz w:val="22"/>
                <w:szCs w:val="22"/>
                <w:lang w:val="en-US" w:eastAsia="zh-CN" w:bidi="ar"/>
              </w:rPr>
              <w:t>400 m</w:t>
            </w:r>
            <w:r>
              <w:rPr>
                <w:b/>
                <w:bCs/>
                <w:i/>
                <w:sz w:val="22"/>
                <w:szCs w:val="22"/>
                <w:vertAlign w:val="superscript"/>
                <w:lang w:val="en-US" w:eastAsia="zh-CN" w:bidi="ar"/>
              </w:rPr>
              <w:t>2</w:t>
            </w:r>
          </w:p>
        </w:tc>
        <w:tc>
          <w:tcPr>
            <w:tcW w:w="630" w:type="pct"/>
            <w:tcMar>
              <w:top w:w="0" w:type="dxa"/>
              <w:left w:w="0" w:type="dxa"/>
              <w:bottom w:w="0" w:type="dxa"/>
              <w:right w:w="0" w:type="dxa"/>
            </w:tcMar>
            <w:vAlign w:val="center"/>
          </w:tcPr>
          <w:p w14:paraId="59131F30" w14:textId="77777777" w:rsidR="001C08A5" w:rsidRDefault="00000000">
            <w:pPr>
              <w:jc w:val="center"/>
              <w:rPr>
                <w:i/>
                <w:sz w:val="22"/>
                <w:szCs w:val="22"/>
              </w:rPr>
            </w:pPr>
            <w:r>
              <w:rPr>
                <w:i/>
                <w:sz w:val="22"/>
                <w:szCs w:val="22"/>
                <w:lang w:val="en-US" w:eastAsia="zh-CN" w:bidi="ar"/>
              </w:rPr>
              <w:lastRenderedPageBreak/>
              <w:t>pereți:</w:t>
            </w:r>
          </w:p>
        </w:tc>
        <w:tc>
          <w:tcPr>
            <w:tcW w:w="939" w:type="pct"/>
            <w:tcMar>
              <w:top w:w="0" w:type="dxa"/>
              <w:left w:w="0" w:type="dxa"/>
              <w:bottom w:w="0" w:type="dxa"/>
              <w:right w:w="0" w:type="dxa"/>
            </w:tcMar>
            <w:vAlign w:val="center"/>
          </w:tcPr>
          <w:p w14:paraId="4DA05EC3" w14:textId="77777777" w:rsidR="001C08A5" w:rsidRDefault="00000000">
            <w:pPr>
              <w:jc w:val="center"/>
              <w:rPr>
                <w:i/>
                <w:sz w:val="22"/>
                <w:szCs w:val="22"/>
              </w:rPr>
            </w:pPr>
            <w:r>
              <w:rPr>
                <w:rFonts w:eastAsia="TimesNewRomanPSMT-Identity-H"/>
                <w:b/>
                <w:bCs/>
                <w:i/>
                <w:sz w:val="22"/>
                <w:szCs w:val="22"/>
                <w:lang w:eastAsia="zh-CN"/>
              </w:rPr>
              <w:t xml:space="preserve">min. A2s1÷s3,d2; Bs1÷s3,d2; </w:t>
            </w:r>
            <w:r>
              <w:rPr>
                <w:rFonts w:eastAsia="TimesNewRomanPSMT-Identity-H"/>
                <w:b/>
                <w:bCs/>
                <w:i/>
                <w:sz w:val="22"/>
                <w:szCs w:val="22"/>
                <w:lang w:eastAsia="zh-CN"/>
              </w:rPr>
              <w:lastRenderedPageBreak/>
              <w:t>Cs1÷s3,d2; Ds1÷s3,d2; Ed2</w:t>
            </w:r>
          </w:p>
        </w:tc>
        <w:tc>
          <w:tcPr>
            <w:tcW w:w="1676" w:type="pct"/>
            <w:tcMar>
              <w:top w:w="0" w:type="dxa"/>
              <w:left w:w="0" w:type="dxa"/>
              <w:bottom w:w="0" w:type="dxa"/>
              <w:right w:w="0" w:type="dxa"/>
            </w:tcMar>
            <w:vAlign w:val="center"/>
          </w:tcPr>
          <w:p w14:paraId="1C602F04" w14:textId="77777777" w:rsidR="001C08A5" w:rsidRDefault="00000000">
            <w:pPr>
              <w:jc w:val="both"/>
              <w:rPr>
                <w:i/>
                <w:sz w:val="22"/>
                <w:szCs w:val="22"/>
                <w:lang w:val="en-US" w:eastAsia="zh-CN" w:bidi="ar"/>
              </w:rPr>
            </w:pPr>
            <w:r>
              <w:rPr>
                <w:i/>
                <w:sz w:val="22"/>
                <w:szCs w:val="22"/>
                <w:lang w:val="en-US" w:eastAsia="zh-CN" w:bidi="ar"/>
              </w:rPr>
              <w:lastRenderedPageBreak/>
              <w:t>Cu excepția pereților de separare tata de secții de producție, depozite, spații tehnice și căi de evacuare</w:t>
            </w:r>
          </w:p>
        </w:tc>
      </w:tr>
      <w:tr w:rsidR="001C08A5" w14:paraId="760F6DEE" w14:textId="77777777">
        <w:trPr>
          <w:trHeight w:val="1185"/>
          <w:jc w:val="center"/>
        </w:trPr>
        <w:tc>
          <w:tcPr>
            <w:tcW w:w="167" w:type="pct"/>
            <w:tcMar>
              <w:top w:w="0" w:type="dxa"/>
              <w:left w:w="0" w:type="dxa"/>
              <w:bottom w:w="0" w:type="dxa"/>
              <w:right w:w="0" w:type="dxa"/>
            </w:tcMar>
          </w:tcPr>
          <w:p w14:paraId="45902798" w14:textId="77777777" w:rsidR="001C08A5" w:rsidRDefault="00000000">
            <w:pPr>
              <w:jc w:val="center"/>
              <w:rPr>
                <w:i/>
                <w:sz w:val="22"/>
                <w:szCs w:val="22"/>
              </w:rPr>
            </w:pPr>
            <w:r>
              <w:rPr>
                <w:i/>
                <w:sz w:val="22"/>
                <w:szCs w:val="22"/>
                <w:lang w:val="en-US" w:eastAsia="zh-CN" w:bidi="ar"/>
              </w:rPr>
              <w:t>2</w:t>
            </w:r>
          </w:p>
        </w:tc>
        <w:tc>
          <w:tcPr>
            <w:tcW w:w="1586" w:type="pct"/>
            <w:tcMar>
              <w:top w:w="0" w:type="dxa"/>
              <w:left w:w="0" w:type="dxa"/>
              <w:bottom w:w="0" w:type="dxa"/>
              <w:right w:w="0" w:type="dxa"/>
            </w:tcMar>
            <w:vAlign w:val="center"/>
          </w:tcPr>
          <w:p w14:paraId="464BDCD7" w14:textId="77777777" w:rsidR="001C08A5" w:rsidRDefault="00000000">
            <w:pPr>
              <w:jc w:val="both"/>
              <w:rPr>
                <w:i/>
                <w:sz w:val="22"/>
                <w:szCs w:val="22"/>
              </w:rPr>
            </w:pPr>
            <w:r>
              <w:rPr>
                <w:i/>
                <w:sz w:val="22"/>
                <w:szCs w:val="22"/>
                <w:lang w:val="en-US" w:eastAsia="zh-CN" w:bidi="ar"/>
              </w:rPr>
              <w:t>Elemente de separare</w:t>
            </w:r>
            <w:r>
              <w:rPr>
                <w:i/>
                <w:sz w:val="22"/>
                <w:szCs w:val="22"/>
                <w:lang w:eastAsia="zh-CN" w:bidi="ar"/>
              </w:rPr>
              <w:t>/</w:t>
            </w:r>
            <w:r>
              <w:rPr>
                <w:i/>
                <w:sz w:val="22"/>
                <w:szCs w:val="22"/>
                <w:lang w:val="en-US" w:eastAsia="zh-CN" w:bidi="ar"/>
              </w:rPr>
              <w:t xml:space="preserve"> despărțit</w:t>
            </w:r>
            <w:r>
              <w:rPr>
                <w:i/>
                <w:sz w:val="22"/>
                <w:szCs w:val="22"/>
                <w:lang w:eastAsia="zh-CN" w:bidi="ar"/>
              </w:rPr>
              <w:t>oare</w:t>
            </w:r>
            <w:r>
              <w:rPr>
                <w:i/>
                <w:sz w:val="22"/>
                <w:szCs w:val="22"/>
                <w:lang w:val="en-US" w:eastAsia="zh-CN" w:bidi="ar"/>
              </w:rPr>
              <w:t xml:space="preserve"> dintre grupările executate conform nr. crt.</w:t>
            </w:r>
            <w:r>
              <w:rPr>
                <w:b/>
                <w:bCs/>
                <w:i/>
                <w:sz w:val="22"/>
                <w:szCs w:val="22"/>
                <w:lang w:val="en-US" w:eastAsia="zh-CN" w:bidi="ar"/>
              </w:rPr>
              <w:t>1</w:t>
            </w:r>
            <w:r>
              <w:rPr>
                <w:i/>
                <w:sz w:val="22"/>
                <w:szCs w:val="22"/>
                <w:lang w:val="en-US" w:eastAsia="zh-CN" w:bidi="ar"/>
              </w:rPr>
              <w:t>, precum și între încăperile administrative, sociale, etc. și căile de evacuare comune</w:t>
            </w:r>
          </w:p>
        </w:tc>
        <w:tc>
          <w:tcPr>
            <w:tcW w:w="630" w:type="pct"/>
            <w:tcMar>
              <w:top w:w="0" w:type="dxa"/>
              <w:left w:w="0" w:type="dxa"/>
              <w:bottom w:w="0" w:type="dxa"/>
              <w:right w:w="0" w:type="dxa"/>
            </w:tcMar>
            <w:vAlign w:val="center"/>
          </w:tcPr>
          <w:p w14:paraId="67641026" w14:textId="77777777" w:rsidR="001C08A5" w:rsidRDefault="00000000">
            <w:pPr>
              <w:jc w:val="center"/>
              <w:rPr>
                <w:i/>
                <w:sz w:val="22"/>
                <w:szCs w:val="22"/>
              </w:rPr>
            </w:pPr>
            <w:r>
              <w:rPr>
                <w:i/>
                <w:sz w:val="22"/>
                <w:szCs w:val="22"/>
                <w:lang w:val="en-US" w:eastAsia="zh-CN" w:bidi="ar"/>
              </w:rPr>
              <w:t>pereți:</w:t>
            </w:r>
          </w:p>
        </w:tc>
        <w:tc>
          <w:tcPr>
            <w:tcW w:w="939" w:type="pct"/>
            <w:tcMar>
              <w:top w:w="0" w:type="dxa"/>
              <w:left w:w="0" w:type="dxa"/>
              <w:bottom w:w="0" w:type="dxa"/>
              <w:right w:w="0" w:type="dxa"/>
            </w:tcMar>
            <w:vAlign w:val="center"/>
          </w:tcPr>
          <w:p w14:paraId="04CC7F2A" w14:textId="77777777" w:rsidR="001C08A5" w:rsidRDefault="00000000">
            <w:pPr>
              <w:jc w:val="center"/>
              <w:rPr>
                <w:i/>
                <w:sz w:val="22"/>
                <w:szCs w:val="22"/>
                <w:lang w:val="en-US" w:eastAsia="zh-CN" w:bidi="ar"/>
              </w:rPr>
            </w:pPr>
            <w:r>
              <w:rPr>
                <w:b/>
                <w:bCs/>
                <w:i/>
                <w:sz w:val="22"/>
                <w:szCs w:val="22"/>
                <w:lang w:val="en-GB"/>
              </w:rPr>
              <w:t>A1, A2s1d0</w:t>
            </w:r>
          </w:p>
          <w:p w14:paraId="34371D50" w14:textId="77777777" w:rsidR="001C08A5" w:rsidRDefault="00000000">
            <w:pPr>
              <w:jc w:val="center"/>
              <w:rPr>
                <w:i/>
                <w:sz w:val="22"/>
                <w:szCs w:val="22"/>
                <w:lang w:eastAsia="zh-CN" w:bidi="ar"/>
              </w:rPr>
            </w:pPr>
            <w:r>
              <w:rPr>
                <w:i/>
                <w:sz w:val="22"/>
                <w:szCs w:val="22"/>
                <w:lang w:eastAsia="zh-CN" w:bidi="ar"/>
              </w:rPr>
              <w:t>(</w:t>
            </w:r>
            <w:r>
              <w:rPr>
                <w:b/>
                <w:bCs/>
                <w:i/>
                <w:sz w:val="22"/>
                <w:szCs w:val="22"/>
                <w:lang w:eastAsia="zh-CN" w:bidi="ar"/>
              </w:rPr>
              <w:t>EI/REI60</w:t>
            </w:r>
            <w:r>
              <w:rPr>
                <w:i/>
                <w:sz w:val="22"/>
                <w:szCs w:val="22"/>
                <w:lang w:eastAsia="zh-CN" w:bidi="ar"/>
              </w:rPr>
              <w:t>)</w:t>
            </w:r>
          </w:p>
        </w:tc>
        <w:tc>
          <w:tcPr>
            <w:tcW w:w="1676" w:type="pct"/>
            <w:tcMar>
              <w:top w:w="0" w:type="dxa"/>
              <w:left w:w="0" w:type="dxa"/>
              <w:bottom w:w="0" w:type="dxa"/>
              <w:right w:w="0" w:type="dxa"/>
            </w:tcMar>
            <w:vAlign w:val="center"/>
          </w:tcPr>
          <w:p w14:paraId="416C6299" w14:textId="77777777" w:rsidR="001C08A5" w:rsidRDefault="00000000">
            <w:pPr>
              <w:jc w:val="both"/>
              <w:rPr>
                <w:i/>
                <w:sz w:val="22"/>
                <w:szCs w:val="22"/>
                <w:lang w:val="en-US" w:eastAsia="zh-CN" w:bidi="ar"/>
              </w:rPr>
            </w:pPr>
            <w:r>
              <w:rPr>
                <w:i/>
                <w:sz w:val="22"/>
                <w:szCs w:val="22"/>
                <w:lang w:val="en-US" w:eastAsia="zh-CN" w:bidi="ar"/>
              </w:rPr>
              <w:t>Cu excepțiile din</w:t>
            </w:r>
            <w:r>
              <w:rPr>
                <w:i/>
                <w:sz w:val="22"/>
                <w:szCs w:val="22"/>
                <w:lang w:eastAsia="zh-CN" w:bidi="ar"/>
              </w:rPr>
              <w:t xml:space="preserve"> </w:t>
            </w:r>
            <w:r>
              <w:rPr>
                <w:rFonts w:eastAsia="Calibri"/>
                <w:i/>
                <w:sz w:val="22"/>
                <w:szCs w:val="22"/>
                <w:shd w:val="clear" w:color="auto" w:fill="FFFFFF"/>
              </w:rPr>
              <w:t>prezenta anexă</w:t>
            </w:r>
          </w:p>
        </w:tc>
      </w:tr>
      <w:tr w:rsidR="001C08A5" w14:paraId="56B1A585" w14:textId="77777777">
        <w:trPr>
          <w:trHeight w:val="1605"/>
          <w:jc w:val="center"/>
        </w:trPr>
        <w:tc>
          <w:tcPr>
            <w:tcW w:w="167" w:type="pct"/>
            <w:vMerge w:val="restart"/>
            <w:tcMar>
              <w:top w:w="0" w:type="dxa"/>
              <w:left w:w="0" w:type="dxa"/>
              <w:bottom w:w="0" w:type="dxa"/>
              <w:right w:w="0" w:type="dxa"/>
            </w:tcMar>
          </w:tcPr>
          <w:p w14:paraId="48F9484F" w14:textId="77777777" w:rsidR="001C08A5" w:rsidRDefault="00000000">
            <w:pPr>
              <w:jc w:val="center"/>
              <w:rPr>
                <w:i/>
                <w:sz w:val="22"/>
                <w:szCs w:val="22"/>
              </w:rPr>
            </w:pPr>
            <w:r>
              <w:rPr>
                <w:i/>
                <w:sz w:val="22"/>
                <w:szCs w:val="22"/>
                <w:lang w:val="en-US" w:eastAsia="zh-CN" w:bidi="ar"/>
              </w:rPr>
              <w:t>3</w:t>
            </w:r>
          </w:p>
        </w:tc>
        <w:tc>
          <w:tcPr>
            <w:tcW w:w="1586" w:type="pct"/>
            <w:vMerge w:val="restart"/>
            <w:tcMar>
              <w:top w:w="0" w:type="dxa"/>
              <w:left w:w="0" w:type="dxa"/>
              <w:bottom w:w="0" w:type="dxa"/>
              <w:right w:w="0" w:type="dxa"/>
            </w:tcMar>
            <w:vAlign w:val="center"/>
          </w:tcPr>
          <w:p w14:paraId="1E57DA7D" w14:textId="77777777" w:rsidR="001C08A5" w:rsidRDefault="00000000">
            <w:pPr>
              <w:jc w:val="both"/>
              <w:rPr>
                <w:i/>
                <w:sz w:val="22"/>
                <w:szCs w:val="22"/>
              </w:rPr>
            </w:pPr>
            <w:r>
              <w:rPr>
                <w:i/>
                <w:sz w:val="22"/>
                <w:szCs w:val="22"/>
                <w:lang w:val="en-US" w:eastAsia="zh-CN" w:bidi="ar"/>
              </w:rPr>
              <w:t>Elemente de separare între încăperi cu riscuri locale de incendiu (laboratoare, oficii, bucătării. arhive, heliograf, xerox, etc), față de restul clădirii</w:t>
            </w:r>
            <w:r>
              <w:rPr>
                <w:i/>
                <w:sz w:val="22"/>
                <w:szCs w:val="22"/>
                <w:lang w:eastAsia="zh-CN" w:bidi="ar"/>
              </w:rPr>
              <w:t xml:space="preserve"> existente</w:t>
            </w:r>
            <w:r>
              <w:rPr>
                <w:i/>
                <w:sz w:val="22"/>
                <w:szCs w:val="22"/>
                <w:lang w:val="en-US" w:eastAsia="zh-CN" w:bidi="ar"/>
              </w:rPr>
              <w:t>:</w:t>
            </w:r>
            <w:r>
              <w:rPr>
                <w:i/>
                <w:sz w:val="22"/>
                <w:szCs w:val="22"/>
                <w:lang w:val="en-US" w:eastAsia="zh-CN" w:bidi="ar"/>
              </w:rPr>
              <w:br/>
            </w:r>
            <w:r>
              <w:rPr>
                <w:i/>
                <w:sz w:val="22"/>
                <w:szCs w:val="22"/>
                <w:lang w:val="en-US" w:eastAsia="zh-CN" w:bidi="ar"/>
              </w:rPr>
              <w:br/>
            </w:r>
          </w:p>
        </w:tc>
        <w:tc>
          <w:tcPr>
            <w:tcW w:w="630" w:type="pct"/>
            <w:tcMar>
              <w:top w:w="0" w:type="dxa"/>
              <w:left w:w="0" w:type="dxa"/>
              <w:bottom w:w="0" w:type="dxa"/>
              <w:right w:w="0" w:type="dxa"/>
            </w:tcMar>
            <w:vAlign w:val="center"/>
          </w:tcPr>
          <w:p w14:paraId="2B65B472" w14:textId="77777777" w:rsidR="001C08A5" w:rsidRDefault="00000000">
            <w:pPr>
              <w:jc w:val="center"/>
              <w:rPr>
                <w:i/>
                <w:sz w:val="22"/>
                <w:szCs w:val="22"/>
              </w:rPr>
            </w:pPr>
            <w:r>
              <w:rPr>
                <w:i/>
                <w:sz w:val="22"/>
                <w:szCs w:val="22"/>
                <w:lang w:val="en-US" w:eastAsia="zh-CN" w:bidi="ar"/>
              </w:rPr>
              <w:t>pereți:</w:t>
            </w:r>
          </w:p>
        </w:tc>
        <w:tc>
          <w:tcPr>
            <w:tcW w:w="939" w:type="pct"/>
            <w:tcMar>
              <w:top w:w="0" w:type="dxa"/>
              <w:left w:w="0" w:type="dxa"/>
              <w:bottom w:w="0" w:type="dxa"/>
              <w:right w:w="0" w:type="dxa"/>
            </w:tcMar>
            <w:vAlign w:val="center"/>
          </w:tcPr>
          <w:p w14:paraId="77C83461" w14:textId="77777777" w:rsidR="001C08A5" w:rsidRDefault="00000000">
            <w:pPr>
              <w:jc w:val="center"/>
              <w:rPr>
                <w:i/>
                <w:sz w:val="22"/>
                <w:szCs w:val="22"/>
                <w:lang w:val="en-US" w:eastAsia="zh-CN" w:bidi="ar"/>
              </w:rPr>
            </w:pPr>
            <w:r>
              <w:rPr>
                <w:b/>
                <w:bCs/>
                <w:i/>
                <w:sz w:val="22"/>
                <w:szCs w:val="22"/>
                <w:lang w:val="en-GB"/>
              </w:rPr>
              <w:t>A1, A2s1d0</w:t>
            </w:r>
          </w:p>
          <w:p w14:paraId="568E6B91" w14:textId="77777777" w:rsidR="001C08A5" w:rsidRDefault="00000000">
            <w:pPr>
              <w:jc w:val="center"/>
              <w:rPr>
                <w:i/>
                <w:sz w:val="22"/>
                <w:szCs w:val="22"/>
                <w:lang w:val="en-US" w:eastAsia="zh-CN" w:bidi="ar"/>
              </w:rPr>
            </w:pPr>
            <w:r>
              <w:rPr>
                <w:i/>
                <w:sz w:val="22"/>
                <w:szCs w:val="22"/>
                <w:lang w:eastAsia="zh-CN" w:bidi="ar"/>
              </w:rPr>
              <w:t>(</w:t>
            </w:r>
            <w:r>
              <w:rPr>
                <w:b/>
                <w:bCs/>
                <w:i/>
                <w:sz w:val="22"/>
                <w:szCs w:val="22"/>
                <w:lang w:eastAsia="zh-CN" w:bidi="ar"/>
              </w:rPr>
              <w:t>EI/REI60</w:t>
            </w:r>
            <w:r>
              <w:rPr>
                <w:i/>
                <w:sz w:val="22"/>
                <w:szCs w:val="22"/>
                <w:lang w:eastAsia="zh-CN" w:bidi="ar"/>
              </w:rPr>
              <w:t>)</w:t>
            </w:r>
          </w:p>
          <w:p w14:paraId="30C17D1B" w14:textId="77777777" w:rsidR="001C08A5" w:rsidRDefault="001C08A5">
            <w:pPr>
              <w:jc w:val="center"/>
              <w:rPr>
                <w:i/>
                <w:sz w:val="22"/>
                <w:szCs w:val="22"/>
                <w:lang w:val="en-US" w:eastAsia="zh-CN" w:bidi="ar"/>
              </w:rPr>
            </w:pPr>
          </w:p>
        </w:tc>
        <w:tc>
          <w:tcPr>
            <w:tcW w:w="1676" w:type="pct"/>
            <w:vMerge w:val="restart"/>
            <w:tcMar>
              <w:top w:w="0" w:type="dxa"/>
              <w:left w:w="0" w:type="dxa"/>
              <w:bottom w:w="0" w:type="dxa"/>
              <w:right w:w="0" w:type="dxa"/>
            </w:tcMar>
            <w:vAlign w:val="center"/>
          </w:tcPr>
          <w:p w14:paraId="09E95013" w14:textId="77777777" w:rsidR="001C08A5" w:rsidRDefault="00000000">
            <w:pPr>
              <w:jc w:val="both"/>
              <w:rPr>
                <w:i/>
                <w:sz w:val="22"/>
                <w:szCs w:val="22"/>
                <w:lang w:val="en-US" w:eastAsia="zh-CN" w:bidi="ar"/>
              </w:rPr>
            </w:pPr>
            <w:r>
              <w:rPr>
                <w:i/>
                <w:sz w:val="22"/>
                <w:szCs w:val="22"/>
                <w:lang w:val="en-US" w:eastAsia="zh-CN" w:bidi="ar"/>
              </w:rPr>
              <w:t>Se admit uși pline de lemn sau metalice (în pereții respectivi nu se admite practicarea altor goluri în afara ușilor strict necesare pentru circulație); se admit supralumini din cărămizi de sticlă, plăci de tip S, sau geam armat.</w:t>
            </w:r>
          </w:p>
        </w:tc>
      </w:tr>
      <w:tr w:rsidR="001C08A5" w14:paraId="4B5D305A" w14:textId="77777777">
        <w:trPr>
          <w:trHeight w:val="204"/>
          <w:jc w:val="center"/>
        </w:trPr>
        <w:tc>
          <w:tcPr>
            <w:tcW w:w="167" w:type="pct"/>
            <w:vMerge/>
            <w:tcMar>
              <w:top w:w="0" w:type="dxa"/>
              <w:left w:w="0" w:type="dxa"/>
              <w:bottom w:w="0" w:type="dxa"/>
              <w:right w:w="0" w:type="dxa"/>
            </w:tcMar>
          </w:tcPr>
          <w:p w14:paraId="7827B721" w14:textId="77777777" w:rsidR="001C08A5" w:rsidRDefault="001C08A5">
            <w:pPr>
              <w:jc w:val="center"/>
              <w:rPr>
                <w:i/>
                <w:sz w:val="22"/>
                <w:szCs w:val="22"/>
                <w:lang w:val="en-US" w:eastAsia="zh-CN" w:bidi="ar"/>
              </w:rPr>
            </w:pPr>
          </w:p>
        </w:tc>
        <w:tc>
          <w:tcPr>
            <w:tcW w:w="1586" w:type="pct"/>
            <w:vMerge/>
            <w:tcMar>
              <w:top w:w="0" w:type="dxa"/>
              <w:left w:w="0" w:type="dxa"/>
              <w:bottom w:w="0" w:type="dxa"/>
              <w:right w:w="0" w:type="dxa"/>
            </w:tcMar>
            <w:vAlign w:val="center"/>
          </w:tcPr>
          <w:p w14:paraId="26A968B2" w14:textId="77777777" w:rsidR="001C08A5" w:rsidRDefault="001C08A5">
            <w:pPr>
              <w:jc w:val="both"/>
              <w:rPr>
                <w:i/>
                <w:sz w:val="22"/>
                <w:szCs w:val="22"/>
                <w:lang w:val="en-US" w:eastAsia="zh-CN" w:bidi="ar"/>
              </w:rPr>
            </w:pPr>
          </w:p>
        </w:tc>
        <w:tc>
          <w:tcPr>
            <w:tcW w:w="630" w:type="pct"/>
            <w:tcMar>
              <w:top w:w="0" w:type="dxa"/>
              <w:left w:w="0" w:type="dxa"/>
              <w:bottom w:w="0" w:type="dxa"/>
              <w:right w:w="0" w:type="dxa"/>
            </w:tcMar>
            <w:vAlign w:val="center"/>
          </w:tcPr>
          <w:p w14:paraId="4C224A4F" w14:textId="77777777" w:rsidR="001C08A5" w:rsidRDefault="00000000">
            <w:pPr>
              <w:jc w:val="center"/>
              <w:rPr>
                <w:i/>
                <w:sz w:val="22"/>
                <w:szCs w:val="22"/>
              </w:rPr>
            </w:pPr>
            <w:r>
              <w:rPr>
                <w:i/>
                <w:sz w:val="22"/>
                <w:szCs w:val="22"/>
                <w:lang w:val="en-US" w:eastAsia="zh-CN" w:bidi="ar"/>
              </w:rPr>
              <w:t>planșee</w:t>
            </w:r>
          </w:p>
        </w:tc>
        <w:tc>
          <w:tcPr>
            <w:tcW w:w="939" w:type="pct"/>
            <w:tcMar>
              <w:top w:w="0" w:type="dxa"/>
              <w:left w:w="0" w:type="dxa"/>
              <w:bottom w:w="0" w:type="dxa"/>
              <w:right w:w="0" w:type="dxa"/>
            </w:tcMar>
            <w:vAlign w:val="center"/>
          </w:tcPr>
          <w:p w14:paraId="5A8983C7" w14:textId="77777777" w:rsidR="001C08A5" w:rsidRDefault="00000000">
            <w:pPr>
              <w:jc w:val="center"/>
              <w:rPr>
                <w:i/>
                <w:sz w:val="22"/>
                <w:szCs w:val="22"/>
                <w:lang w:val="en-US" w:eastAsia="zh-CN" w:bidi="ar"/>
              </w:rPr>
            </w:pPr>
            <w:r>
              <w:rPr>
                <w:b/>
                <w:bCs/>
                <w:i/>
                <w:sz w:val="22"/>
                <w:szCs w:val="22"/>
                <w:lang w:val="en-GB"/>
              </w:rPr>
              <w:t>A1, A2s1d0</w:t>
            </w:r>
          </w:p>
          <w:p w14:paraId="68914348" w14:textId="77777777" w:rsidR="001C08A5" w:rsidRDefault="00000000">
            <w:pPr>
              <w:jc w:val="center"/>
              <w:rPr>
                <w:i/>
                <w:sz w:val="22"/>
                <w:szCs w:val="22"/>
                <w:lang w:val="en-GB" w:eastAsia="zh-CN" w:bidi="ar"/>
              </w:rPr>
            </w:pPr>
            <w:r>
              <w:rPr>
                <w:i/>
                <w:sz w:val="22"/>
                <w:szCs w:val="22"/>
                <w:lang w:eastAsia="zh-CN" w:bidi="ar"/>
              </w:rPr>
              <w:t>(</w:t>
            </w:r>
            <w:r>
              <w:rPr>
                <w:b/>
                <w:bCs/>
                <w:i/>
                <w:sz w:val="22"/>
                <w:szCs w:val="22"/>
                <w:lang w:eastAsia="zh-CN" w:bidi="ar"/>
              </w:rPr>
              <w:t>REI60</w:t>
            </w:r>
            <w:r>
              <w:rPr>
                <w:i/>
                <w:sz w:val="22"/>
                <w:szCs w:val="22"/>
                <w:lang w:eastAsia="zh-CN" w:bidi="ar"/>
              </w:rPr>
              <w:t>)</w:t>
            </w:r>
          </w:p>
        </w:tc>
        <w:tc>
          <w:tcPr>
            <w:tcW w:w="1676" w:type="pct"/>
            <w:vMerge/>
            <w:tcMar>
              <w:top w:w="0" w:type="dxa"/>
              <w:left w:w="0" w:type="dxa"/>
              <w:bottom w:w="0" w:type="dxa"/>
              <w:right w:w="0" w:type="dxa"/>
            </w:tcMar>
            <w:vAlign w:val="center"/>
          </w:tcPr>
          <w:p w14:paraId="27CF00C4" w14:textId="77777777" w:rsidR="001C08A5" w:rsidRDefault="001C08A5">
            <w:pPr>
              <w:jc w:val="both"/>
              <w:rPr>
                <w:i/>
                <w:sz w:val="22"/>
                <w:szCs w:val="22"/>
                <w:lang w:val="en-US" w:eastAsia="zh-CN" w:bidi="ar"/>
              </w:rPr>
            </w:pPr>
          </w:p>
        </w:tc>
      </w:tr>
      <w:tr w:rsidR="001C08A5" w14:paraId="1B87CBCC" w14:textId="77777777">
        <w:trPr>
          <w:trHeight w:val="90"/>
          <w:jc w:val="center"/>
        </w:trPr>
        <w:tc>
          <w:tcPr>
            <w:tcW w:w="167" w:type="pct"/>
            <w:vMerge w:val="restart"/>
            <w:tcMar>
              <w:top w:w="0" w:type="dxa"/>
              <w:left w:w="0" w:type="dxa"/>
              <w:bottom w:w="0" w:type="dxa"/>
              <w:right w:w="0" w:type="dxa"/>
            </w:tcMar>
          </w:tcPr>
          <w:p w14:paraId="5114BBAB" w14:textId="77777777" w:rsidR="001C08A5" w:rsidRDefault="00000000">
            <w:pPr>
              <w:jc w:val="center"/>
              <w:rPr>
                <w:i/>
                <w:sz w:val="22"/>
                <w:szCs w:val="22"/>
              </w:rPr>
            </w:pPr>
            <w:r>
              <w:rPr>
                <w:i/>
                <w:sz w:val="22"/>
                <w:szCs w:val="22"/>
                <w:lang w:val="en-US" w:eastAsia="zh-CN" w:bidi="ar"/>
              </w:rPr>
              <w:t>4</w:t>
            </w:r>
          </w:p>
        </w:tc>
        <w:tc>
          <w:tcPr>
            <w:tcW w:w="1586" w:type="pct"/>
            <w:vMerge w:val="restart"/>
            <w:tcMar>
              <w:top w:w="0" w:type="dxa"/>
              <w:left w:w="0" w:type="dxa"/>
              <w:bottom w:w="0" w:type="dxa"/>
              <w:right w:w="0" w:type="dxa"/>
            </w:tcMar>
            <w:vAlign w:val="center"/>
          </w:tcPr>
          <w:p w14:paraId="23707A32" w14:textId="77777777" w:rsidR="001C08A5" w:rsidRDefault="00000000">
            <w:pPr>
              <w:jc w:val="both"/>
              <w:rPr>
                <w:i/>
                <w:sz w:val="22"/>
                <w:szCs w:val="22"/>
              </w:rPr>
            </w:pPr>
            <w:r>
              <w:rPr>
                <w:i/>
                <w:sz w:val="22"/>
                <w:szCs w:val="22"/>
                <w:lang w:val="en-US" w:eastAsia="zh-CN" w:bidi="ar"/>
              </w:rPr>
              <w:t xml:space="preserve">Elemente de compartimentare între depozite de materiale combustibile cu aria mai mare de </w:t>
            </w:r>
            <w:r>
              <w:rPr>
                <w:b/>
                <w:bCs/>
                <w:i/>
                <w:sz w:val="22"/>
                <w:szCs w:val="22"/>
                <w:lang w:val="en-US" w:eastAsia="zh-CN" w:bidi="ar"/>
              </w:rPr>
              <w:t>36 m</w:t>
            </w:r>
            <w:r>
              <w:rPr>
                <w:b/>
                <w:bCs/>
                <w:i/>
                <w:sz w:val="22"/>
                <w:szCs w:val="22"/>
                <w:vertAlign w:val="superscript"/>
                <w:lang w:val="en-US" w:eastAsia="zh-CN" w:bidi="ar"/>
              </w:rPr>
              <w:t>2</w:t>
            </w:r>
            <w:r>
              <w:rPr>
                <w:i/>
                <w:sz w:val="22"/>
                <w:szCs w:val="22"/>
                <w:lang w:val="en-US" w:eastAsia="zh-CN" w:bidi="ar"/>
              </w:rPr>
              <w:t xml:space="preserve"> și restul </w:t>
            </w:r>
            <w:r>
              <w:rPr>
                <w:i/>
                <w:sz w:val="22"/>
                <w:szCs w:val="22"/>
                <w:lang w:eastAsia="zh-CN" w:bidi="ar"/>
              </w:rPr>
              <w:t>clădir</w:t>
            </w:r>
            <w:r>
              <w:rPr>
                <w:i/>
                <w:sz w:val="22"/>
                <w:szCs w:val="22"/>
                <w:lang w:val="en-US" w:eastAsia="zh-CN" w:bidi="ar"/>
              </w:rPr>
              <w:t>ii</w:t>
            </w:r>
            <w:r>
              <w:rPr>
                <w:i/>
                <w:sz w:val="22"/>
                <w:szCs w:val="22"/>
                <w:lang w:eastAsia="zh-CN" w:bidi="ar"/>
              </w:rPr>
              <w:t xml:space="preserve"> </w:t>
            </w:r>
            <w:r>
              <w:rPr>
                <w:rFonts w:eastAsia="Calibri"/>
                <w:i/>
                <w:sz w:val="22"/>
                <w:szCs w:val="22"/>
                <w:shd w:val="clear" w:color="auto" w:fill="FFFFFF"/>
              </w:rPr>
              <w:t>existente</w:t>
            </w:r>
            <w:r>
              <w:rPr>
                <w:i/>
                <w:sz w:val="22"/>
                <w:szCs w:val="22"/>
                <w:lang w:val="en-US" w:eastAsia="zh-CN" w:bidi="ar"/>
              </w:rPr>
              <w:t>, precum și între depozitele cu obiecte de valoare (ale muzeelor, arhivelor, bibliotecilor, etc.) în funcție de densitatea sarcinii termice, dar nu mai puțin de:</w:t>
            </w:r>
          </w:p>
        </w:tc>
        <w:tc>
          <w:tcPr>
            <w:tcW w:w="630" w:type="pct"/>
            <w:tcMar>
              <w:top w:w="0" w:type="dxa"/>
              <w:left w:w="0" w:type="dxa"/>
              <w:bottom w:w="0" w:type="dxa"/>
              <w:right w:w="0" w:type="dxa"/>
            </w:tcMar>
            <w:vAlign w:val="center"/>
          </w:tcPr>
          <w:p w14:paraId="2D0C994C" w14:textId="77777777" w:rsidR="001C08A5" w:rsidRDefault="00000000">
            <w:pPr>
              <w:jc w:val="center"/>
              <w:rPr>
                <w:i/>
                <w:sz w:val="22"/>
                <w:szCs w:val="22"/>
              </w:rPr>
            </w:pPr>
            <w:r>
              <w:rPr>
                <w:i/>
                <w:sz w:val="22"/>
                <w:szCs w:val="22"/>
                <w:lang w:val="en-US" w:eastAsia="zh-CN" w:bidi="ar"/>
              </w:rPr>
              <w:t>pereți</w:t>
            </w:r>
          </w:p>
        </w:tc>
        <w:tc>
          <w:tcPr>
            <w:tcW w:w="939" w:type="pct"/>
            <w:tcMar>
              <w:top w:w="0" w:type="dxa"/>
              <w:left w:w="0" w:type="dxa"/>
              <w:bottom w:w="0" w:type="dxa"/>
              <w:right w:w="0" w:type="dxa"/>
            </w:tcMar>
            <w:vAlign w:val="center"/>
          </w:tcPr>
          <w:p w14:paraId="5761B6E0" w14:textId="77777777" w:rsidR="001C08A5" w:rsidRDefault="00000000">
            <w:pPr>
              <w:jc w:val="center"/>
              <w:rPr>
                <w:i/>
                <w:sz w:val="22"/>
                <w:szCs w:val="22"/>
                <w:lang w:val="en-US" w:eastAsia="zh-CN" w:bidi="ar"/>
              </w:rPr>
            </w:pPr>
            <w:r>
              <w:rPr>
                <w:b/>
                <w:bCs/>
                <w:i/>
                <w:sz w:val="22"/>
                <w:szCs w:val="22"/>
                <w:lang w:val="en-GB"/>
              </w:rPr>
              <w:t>A1, A2s1d0</w:t>
            </w:r>
          </w:p>
          <w:p w14:paraId="5AB1870A" w14:textId="77777777" w:rsidR="001C08A5" w:rsidRDefault="00000000">
            <w:pPr>
              <w:jc w:val="center"/>
              <w:rPr>
                <w:i/>
                <w:sz w:val="22"/>
                <w:szCs w:val="22"/>
                <w:lang w:val="en-US" w:eastAsia="zh-CN" w:bidi="ar"/>
              </w:rPr>
            </w:pPr>
            <w:r>
              <w:rPr>
                <w:i/>
                <w:sz w:val="22"/>
                <w:szCs w:val="22"/>
                <w:lang w:eastAsia="zh-CN" w:bidi="ar"/>
              </w:rPr>
              <w:t>(</w:t>
            </w:r>
            <w:r>
              <w:rPr>
                <w:b/>
                <w:bCs/>
                <w:i/>
                <w:sz w:val="22"/>
                <w:szCs w:val="22"/>
                <w:lang w:eastAsia="zh-CN" w:bidi="ar"/>
              </w:rPr>
              <w:t>EI/REI180</w:t>
            </w:r>
            <w:r>
              <w:rPr>
                <w:i/>
                <w:sz w:val="22"/>
                <w:szCs w:val="22"/>
                <w:lang w:eastAsia="zh-CN" w:bidi="ar"/>
              </w:rPr>
              <w:t>)</w:t>
            </w:r>
          </w:p>
          <w:p w14:paraId="67967867" w14:textId="77777777" w:rsidR="001C08A5" w:rsidRDefault="001C08A5">
            <w:pPr>
              <w:jc w:val="center"/>
              <w:rPr>
                <w:i/>
                <w:sz w:val="22"/>
                <w:szCs w:val="22"/>
              </w:rPr>
            </w:pPr>
          </w:p>
        </w:tc>
        <w:tc>
          <w:tcPr>
            <w:tcW w:w="1676" w:type="pct"/>
            <w:vMerge w:val="restart"/>
            <w:tcMar>
              <w:top w:w="0" w:type="dxa"/>
              <w:left w:w="0" w:type="dxa"/>
              <w:bottom w:w="0" w:type="dxa"/>
              <w:right w:w="0" w:type="dxa"/>
            </w:tcMar>
            <w:vAlign w:val="center"/>
          </w:tcPr>
          <w:p w14:paraId="1295E53B" w14:textId="77777777" w:rsidR="001C08A5" w:rsidRDefault="00000000">
            <w:pPr>
              <w:jc w:val="both"/>
              <w:rPr>
                <w:i/>
                <w:sz w:val="22"/>
                <w:szCs w:val="22"/>
                <w:lang w:val="en-US" w:eastAsia="zh-CN" w:bidi="ar"/>
              </w:rPr>
            </w:pPr>
            <w:r>
              <w:rPr>
                <w:i/>
                <w:sz w:val="22"/>
                <w:szCs w:val="22"/>
                <w:lang w:val="en-US" w:eastAsia="zh-CN" w:bidi="ar"/>
              </w:rPr>
              <w:t>Ușile vor fi rezistente la foc 1</w:t>
            </w:r>
            <w:r>
              <w:rPr>
                <w:i/>
                <w:sz w:val="22"/>
                <w:szCs w:val="22"/>
                <w:lang w:eastAsia="zh-CN" w:bidi="ar"/>
              </w:rPr>
              <w:t>și</w:t>
            </w:r>
            <w:r>
              <w:rPr>
                <w:i/>
                <w:sz w:val="22"/>
                <w:szCs w:val="22"/>
                <w:lang w:val="en-US" w:eastAsia="zh-CN" w:bidi="ar"/>
              </w:rPr>
              <w:t>1/2 ore</w:t>
            </w:r>
            <w:r>
              <w:rPr>
                <w:i/>
                <w:sz w:val="22"/>
                <w:szCs w:val="22"/>
                <w:lang w:eastAsia="zh-CN" w:bidi="ar"/>
              </w:rPr>
              <w:t xml:space="preserve"> (</w:t>
            </w:r>
            <w:r>
              <w:rPr>
                <w:b/>
                <w:bCs/>
                <w:i/>
                <w:sz w:val="22"/>
                <w:szCs w:val="22"/>
                <w:lang w:eastAsia="zh-CN" w:bidi="ar"/>
              </w:rPr>
              <w:t>EI90-C</w:t>
            </w:r>
            <w:r>
              <w:rPr>
                <w:i/>
                <w:sz w:val="22"/>
                <w:szCs w:val="22"/>
                <w:lang w:eastAsia="zh-CN" w:bidi="ar"/>
              </w:rPr>
              <w:t>)</w:t>
            </w:r>
            <w:r>
              <w:rPr>
                <w:i/>
                <w:sz w:val="22"/>
                <w:szCs w:val="22"/>
                <w:lang w:val="en-US" w:eastAsia="zh-CN" w:bidi="ar"/>
              </w:rPr>
              <w:t xml:space="preserve">, prevăzute cu dispozitive de autoînchidere sau închidere automată. Dacă există instalații automate de stingere </w:t>
            </w:r>
            <w:proofErr w:type="gramStart"/>
            <w:r>
              <w:rPr>
                <w:i/>
                <w:sz w:val="22"/>
                <w:szCs w:val="22"/>
                <w:lang w:val="en-US" w:eastAsia="zh-CN" w:bidi="ar"/>
              </w:rPr>
              <w:t>a</w:t>
            </w:r>
            <w:proofErr w:type="gramEnd"/>
            <w:r>
              <w:rPr>
                <w:i/>
                <w:sz w:val="22"/>
                <w:szCs w:val="22"/>
                <w:lang w:val="en-US" w:eastAsia="zh-CN" w:bidi="ar"/>
              </w:rPr>
              <w:t xml:space="preserve"> incendiilor, pereții pot avea în toate cazurile 3 ore</w:t>
            </w:r>
            <w:r>
              <w:rPr>
                <w:i/>
                <w:sz w:val="22"/>
                <w:szCs w:val="22"/>
                <w:lang w:eastAsia="zh-CN" w:bidi="ar"/>
              </w:rPr>
              <w:t xml:space="preserve"> (</w:t>
            </w:r>
            <w:r>
              <w:rPr>
                <w:b/>
                <w:bCs/>
                <w:i/>
                <w:sz w:val="22"/>
                <w:szCs w:val="22"/>
                <w:lang w:eastAsia="zh-CN" w:bidi="ar"/>
              </w:rPr>
              <w:t>EI/REI180</w:t>
            </w:r>
            <w:r>
              <w:rPr>
                <w:i/>
                <w:sz w:val="22"/>
                <w:szCs w:val="22"/>
                <w:lang w:eastAsia="zh-CN" w:bidi="ar"/>
              </w:rPr>
              <w:t>)</w:t>
            </w:r>
            <w:r>
              <w:rPr>
                <w:i/>
                <w:sz w:val="22"/>
                <w:szCs w:val="22"/>
                <w:lang w:val="en-US" w:eastAsia="zh-CN" w:bidi="ar"/>
              </w:rPr>
              <w:t>, iar planșeele 1</w:t>
            </w:r>
            <w:r>
              <w:rPr>
                <w:i/>
                <w:sz w:val="22"/>
                <w:szCs w:val="22"/>
                <w:lang w:eastAsia="zh-CN" w:bidi="ar"/>
              </w:rPr>
              <w:t>și</w:t>
            </w:r>
            <w:r>
              <w:rPr>
                <w:i/>
                <w:sz w:val="22"/>
                <w:szCs w:val="22"/>
                <w:lang w:val="en-US" w:eastAsia="zh-CN" w:bidi="ar"/>
              </w:rPr>
              <w:t>1/2ore</w:t>
            </w:r>
            <w:r>
              <w:rPr>
                <w:i/>
                <w:sz w:val="22"/>
                <w:szCs w:val="22"/>
                <w:lang w:eastAsia="zh-CN" w:bidi="ar"/>
              </w:rPr>
              <w:t xml:space="preserve"> (</w:t>
            </w:r>
            <w:r>
              <w:rPr>
                <w:b/>
                <w:bCs/>
                <w:i/>
                <w:sz w:val="22"/>
                <w:szCs w:val="22"/>
                <w:lang w:eastAsia="zh-CN" w:bidi="ar"/>
              </w:rPr>
              <w:t>REI90</w:t>
            </w:r>
            <w:r>
              <w:rPr>
                <w:i/>
                <w:sz w:val="22"/>
                <w:szCs w:val="22"/>
                <w:lang w:eastAsia="zh-CN" w:bidi="ar"/>
              </w:rPr>
              <w:t>)</w:t>
            </w:r>
            <w:r>
              <w:rPr>
                <w:i/>
                <w:sz w:val="22"/>
                <w:szCs w:val="22"/>
                <w:lang w:val="en-US" w:eastAsia="zh-CN" w:bidi="ar"/>
              </w:rPr>
              <w:t xml:space="preserve"> rezistență la foc.</w:t>
            </w:r>
          </w:p>
        </w:tc>
      </w:tr>
      <w:tr w:rsidR="001C08A5" w14:paraId="5BD3FBFA" w14:textId="77777777">
        <w:trPr>
          <w:trHeight w:val="183"/>
          <w:jc w:val="center"/>
        </w:trPr>
        <w:tc>
          <w:tcPr>
            <w:tcW w:w="167" w:type="pct"/>
            <w:vMerge/>
            <w:tcMar>
              <w:top w:w="0" w:type="dxa"/>
              <w:left w:w="0" w:type="dxa"/>
              <w:bottom w:w="0" w:type="dxa"/>
              <w:right w:w="0" w:type="dxa"/>
            </w:tcMar>
          </w:tcPr>
          <w:p w14:paraId="43A20FE6" w14:textId="77777777" w:rsidR="001C08A5" w:rsidRDefault="001C08A5">
            <w:pPr>
              <w:jc w:val="center"/>
              <w:rPr>
                <w:i/>
                <w:sz w:val="22"/>
                <w:szCs w:val="22"/>
                <w:lang w:val="en-US" w:eastAsia="zh-CN" w:bidi="ar"/>
              </w:rPr>
            </w:pPr>
          </w:p>
        </w:tc>
        <w:tc>
          <w:tcPr>
            <w:tcW w:w="1586" w:type="pct"/>
            <w:vMerge/>
            <w:tcMar>
              <w:top w:w="0" w:type="dxa"/>
              <w:left w:w="0" w:type="dxa"/>
              <w:bottom w:w="0" w:type="dxa"/>
              <w:right w:w="0" w:type="dxa"/>
            </w:tcMar>
          </w:tcPr>
          <w:p w14:paraId="3B48CCA3" w14:textId="77777777" w:rsidR="001C08A5" w:rsidRDefault="001C08A5">
            <w:pPr>
              <w:rPr>
                <w:i/>
                <w:sz w:val="22"/>
                <w:szCs w:val="22"/>
                <w:lang w:val="en-US" w:eastAsia="zh-CN" w:bidi="ar"/>
              </w:rPr>
            </w:pPr>
          </w:p>
        </w:tc>
        <w:tc>
          <w:tcPr>
            <w:tcW w:w="630" w:type="pct"/>
            <w:tcMar>
              <w:top w:w="0" w:type="dxa"/>
              <w:left w:w="0" w:type="dxa"/>
              <w:bottom w:w="0" w:type="dxa"/>
              <w:right w:w="0" w:type="dxa"/>
            </w:tcMar>
            <w:vAlign w:val="center"/>
          </w:tcPr>
          <w:p w14:paraId="72DF5A22" w14:textId="77777777" w:rsidR="001C08A5" w:rsidRDefault="00000000">
            <w:pPr>
              <w:jc w:val="center"/>
              <w:rPr>
                <w:i/>
                <w:sz w:val="22"/>
                <w:szCs w:val="22"/>
              </w:rPr>
            </w:pPr>
            <w:r>
              <w:rPr>
                <w:i/>
                <w:sz w:val="22"/>
                <w:szCs w:val="22"/>
                <w:lang w:val="en-US" w:eastAsia="zh-CN" w:bidi="ar"/>
              </w:rPr>
              <w:t>planșee</w:t>
            </w:r>
          </w:p>
        </w:tc>
        <w:tc>
          <w:tcPr>
            <w:tcW w:w="939" w:type="pct"/>
            <w:tcMar>
              <w:top w:w="0" w:type="dxa"/>
              <w:left w:w="0" w:type="dxa"/>
              <w:bottom w:w="0" w:type="dxa"/>
              <w:right w:w="0" w:type="dxa"/>
            </w:tcMar>
            <w:vAlign w:val="center"/>
          </w:tcPr>
          <w:p w14:paraId="7D91D125" w14:textId="77777777" w:rsidR="001C08A5" w:rsidRDefault="00000000">
            <w:pPr>
              <w:jc w:val="center"/>
              <w:rPr>
                <w:i/>
                <w:sz w:val="22"/>
                <w:szCs w:val="22"/>
                <w:lang w:val="en-US" w:eastAsia="zh-CN" w:bidi="ar"/>
              </w:rPr>
            </w:pPr>
            <w:r>
              <w:rPr>
                <w:b/>
                <w:bCs/>
                <w:i/>
                <w:sz w:val="22"/>
                <w:szCs w:val="22"/>
                <w:lang w:val="en-GB"/>
              </w:rPr>
              <w:t>A1, A2s1d0</w:t>
            </w:r>
          </w:p>
          <w:p w14:paraId="5E116FF3" w14:textId="77777777" w:rsidR="001C08A5" w:rsidRDefault="00000000">
            <w:pPr>
              <w:jc w:val="center"/>
              <w:rPr>
                <w:i/>
                <w:sz w:val="22"/>
                <w:szCs w:val="22"/>
                <w:lang w:eastAsia="zh-CN" w:bidi="ar"/>
              </w:rPr>
            </w:pPr>
            <w:r>
              <w:rPr>
                <w:i/>
                <w:sz w:val="22"/>
                <w:szCs w:val="22"/>
                <w:lang w:eastAsia="zh-CN" w:bidi="ar"/>
              </w:rPr>
              <w:t>(</w:t>
            </w:r>
            <w:r>
              <w:rPr>
                <w:b/>
                <w:bCs/>
                <w:i/>
                <w:sz w:val="22"/>
                <w:szCs w:val="22"/>
                <w:lang w:eastAsia="zh-CN" w:bidi="ar"/>
              </w:rPr>
              <w:t>REI120</w:t>
            </w:r>
            <w:r>
              <w:rPr>
                <w:i/>
                <w:sz w:val="22"/>
                <w:szCs w:val="22"/>
                <w:lang w:eastAsia="zh-CN" w:bidi="ar"/>
              </w:rPr>
              <w:t>)</w:t>
            </w:r>
          </w:p>
        </w:tc>
        <w:tc>
          <w:tcPr>
            <w:tcW w:w="1676" w:type="pct"/>
            <w:vMerge/>
            <w:tcMar>
              <w:top w:w="0" w:type="dxa"/>
              <w:left w:w="0" w:type="dxa"/>
              <w:bottom w:w="0" w:type="dxa"/>
              <w:right w:w="0" w:type="dxa"/>
            </w:tcMar>
          </w:tcPr>
          <w:p w14:paraId="5E00B2B0" w14:textId="77777777" w:rsidR="001C08A5" w:rsidRDefault="001C08A5">
            <w:pPr>
              <w:rPr>
                <w:i/>
                <w:sz w:val="22"/>
                <w:szCs w:val="22"/>
                <w:lang w:val="en-US" w:eastAsia="zh-CN" w:bidi="ar"/>
              </w:rPr>
            </w:pPr>
          </w:p>
        </w:tc>
      </w:tr>
    </w:tbl>
    <w:p w14:paraId="6E769131" w14:textId="77777777" w:rsidR="001C08A5" w:rsidRDefault="001C08A5">
      <w:pPr>
        <w:shd w:val="clear" w:color="auto" w:fill="FFFFFF"/>
        <w:spacing w:after="150"/>
        <w:jc w:val="both"/>
        <w:rPr>
          <w:rFonts w:eastAsia="Calibri"/>
          <w:b/>
          <w:bCs/>
          <w:i/>
          <w:sz w:val="24"/>
          <w:szCs w:val="24"/>
          <w:shd w:val="clear" w:color="auto" w:fill="FFFFFF"/>
        </w:rPr>
      </w:pPr>
    </w:p>
    <w:p w14:paraId="55ACE9C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3.4.3.</w:t>
      </w:r>
      <w:r>
        <w:rPr>
          <w:rFonts w:eastAsia="Calibri"/>
          <w:i/>
          <w:sz w:val="24"/>
          <w:szCs w:val="24"/>
          <w:shd w:val="clear" w:color="auto" w:fill="FFFFFF"/>
        </w:rPr>
        <w:t xml:space="preserve"> Funcțiunile cu risc mare de incendiu din clădirile existente se separă cu pereți și planșee </w:t>
      </w:r>
      <w:r>
        <w:rPr>
          <w:b/>
          <w:bCs/>
          <w:i/>
          <w:sz w:val="24"/>
          <w:szCs w:val="24"/>
          <w:lang w:val="en-GB"/>
        </w:rPr>
        <w:t>A1, A2s1d0</w:t>
      </w:r>
      <w:r>
        <w:rPr>
          <w:rFonts w:eastAsia="Calibri"/>
          <w:i/>
          <w:sz w:val="24"/>
          <w:szCs w:val="24"/>
          <w:shd w:val="clear" w:color="auto" w:fill="FFFFFF"/>
        </w:rPr>
        <w:t xml:space="preserve"> având rezistența la foc conform anexei, iar golurile de comunicație protejate corespunzător. Pereții și planșeele de separare a diferitelor funcțiuni cu risc mijlociu de incendiu, comasate într-o clădire civilă (publică) existentă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rezistență la foc de cel puțin 2 ore pentru pereți (</w:t>
      </w:r>
      <w:r>
        <w:rPr>
          <w:rFonts w:eastAsia="Calibri"/>
          <w:b/>
          <w:bCs/>
          <w:i/>
          <w:sz w:val="24"/>
          <w:szCs w:val="24"/>
          <w:shd w:val="clear" w:color="auto" w:fill="FFFFFF"/>
        </w:rPr>
        <w:t>EI/REI120</w:t>
      </w:r>
      <w:r>
        <w:rPr>
          <w:rFonts w:eastAsia="Calibri"/>
          <w:i/>
          <w:sz w:val="24"/>
          <w:szCs w:val="24"/>
          <w:shd w:val="clear" w:color="auto" w:fill="FFFFFF"/>
        </w:rPr>
        <w:t>), respectiv 1 oră pentru planșee (</w:t>
      </w:r>
      <w:r>
        <w:rPr>
          <w:rFonts w:eastAsia="Calibri"/>
          <w:b/>
          <w:bCs/>
          <w:i/>
          <w:sz w:val="24"/>
          <w:szCs w:val="24"/>
          <w:shd w:val="clear" w:color="auto" w:fill="FFFFFF"/>
        </w:rPr>
        <w:t>REI60</w:t>
      </w:r>
      <w:r>
        <w:rPr>
          <w:rFonts w:eastAsia="Calibri"/>
          <w:i/>
          <w:sz w:val="24"/>
          <w:szCs w:val="24"/>
          <w:shd w:val="clear" w:color="auto" w:fill="FFFFFF"/>
        </w:rPr>
        <w:t xml:space="preserve">). În clădirile existente cu nivelul de stabilitate la incendiu </w:t>
      </w:r>
      <w:r>
        <w:rPr>
          <w:rFonts w:eastAsia="Calibri"/>
          <w:b/>
          <w:bCs/>
          <w:i/>
          <w:sz w:val="24"/>
          <w:szCs w:val="24"/>
          <w:shd w:val="clear" w:color="auto" w:fill="FFFFFF"/>
        </w:rPr>
        <w:t>IV și V</w:t>
      </w:r>
      <w:r>
        <w:rPr>
          <w:rFonts w:eastAsia="Calibri"/>
          <w:i/>
          <w:sz w:val="24"/>
          <w:szCs w:val="24"/>
          <w:shd w:val="clear" w:color="auto" w:fill="FFFFFF"/>
        </w:rPr>
        <w:t xml:space="preserve">, pereții și planșeele pot fi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rezistente la foc 30 minute (</w:t>
      </w:r>
      <w:r>
        <w:rPr>
          <w:rFonts w:eastAsia="Calibri"/>
          <w:b/>
          <w:bCs/>
          <w:i/>
          <w:sz w:val="24"/>
          <w:szCs w:val="24"/>
          <w:shd w:val="clear" w:color="auto" w:fill="FFFFFF"/>
        </w:rPr>
        <w:t>EI/REI30</w:t>
      </w:r>
      <w:r>
        <w:rPr>
          <w:rFonts w:eastAsia="Calibri"/>
          <w:i/>
          <w:sz w:val="24"/>
          <w:szCs w:val="24"/>
          <w:shd w:val="clear" w:color="auto" w:fill="FFFFFF"/>
        </w:rPr>
        <w:t xml:space="preserve"> pereți și</w:t>
      </w:r>
      <w:r>
        <w:rPr>
          <w:rFonts w:eastAsia="Calibri"/>
          <w:b/>
          <w:bCs/>
          <w:i/>
          <w:sz w:val="24"/>
          <w:szCs w:val="24"/>
          <w:shd w:val="clear" w:color="auto" w:fill="FFFFFF"/>
        </w:rPr>
        <w:t xml:space="preserve"> REI60 </w:t>
      </w:r>
      <w:r>
        <w:rPr>
          <w:rFonts w:eastAsia="Calibri"/>
          <w:i/>
          <w:sz w:val="24"/>
          <w:szCs w:val="24"/>
          <w:shd w:val="clear" w:color="auto" w:fill="FFFFFF"/>
        </w:rPr>
        <w:t>planșee). Elementele de separare a funcțiunilor cu risc mic, vor respecta condițiile de încadrare în nivelul de stabilitate la incendiu.</w:t>
      </w:r>
    </w:p>
    <w:p w14:paraId="659257F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3.4.4.</w:t>
      </w:r>
      <w:r>
        <w:rPr>
          <w:rFonts w:eastAsia="Calibri"/>
          <w:i/>
          <w:sz w:val="24"/>
          <w:szCs w:val="24"/>
          <w:shd w:val="clear" w:color="auto" w:fill="FFFFFF"/>
        </w:rPr>
        <w:t xml:space="preserve"> Condițiile minime pe care trebuie să le îndeplinească anumiți pereți și planșee din clădirile civile (publice) existente care nu sunt înalte, foarte înalte sau cu săli aglomerate,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_Ref9313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149</w:t>
      </w:r>
      <w:r>
        <w:rPr>
          <w:rFonts w:eastAsia="Calibri"/>
          <w:b/>
          <w:bCs/>
          <w:i/>
          <w:iCs/>
          <w:sz w:val="24"/>
          <w:szCs w:val="24"/>
          <w:shd w:val="clear" w:color="auto" w:fill="FFFFFF"/>
        </w:rPr>
        <w:fldChar w:fldCharType="end"/>
      </w:r>
      <w:r>
        <w:rPr>
          <w:rFonts w:eastAsia="Calibri"/>
          <w:i/>
          <w:sz w:val="24"/>
          <w:szCs w:val="24"/>
          <w:shd w:val="clear" w:color="auto" w:fill="FFFFFF"/>
        </w:rPr>
        <w:t>. Indiferent de tipul și destinația clădirii existente, separarea coridoarelor de evacuare față de grupurile sanitare adiacente (băi, dușuri, W.C.), se poate realiza conform condițiilor normate pentru încadrarea în nivelul de stabilitate la incendiu.</w:t>
      </w:r>
    </w:p>
    <w:p w14:paraId="3A461159" w14:textId="77777777" w:rsidR="001C08A5" w:rsidRDefault="00000000">
      <w:pPr>
        <w:pStyle w:val="Heading3"/>
        <w:rPr>
          <w:i/>
          <w:iCs/>
          <w:sz w:val="24"/>
          <w:szCs w:val="24"/>
        </w:rPr>
      </w:pPr>
      <w:bookmarkStart w:id="10816" w:name="_Toc162355580"/>
      <w:bookmarkStart w:id="10817" w:name="_Toc2608"/>
      <w:bookmarkStart w:id="10818" w:name="_Toc16312"/>
      <w:bookmarkStart w:id="10819" w:name="_Toc32424"/>
      <w:bookmarkStart w:id="10820" w:name="_Toc2455"/>
      <w:bookmarkStart w:id="10821" w:name="_Toc23996"/>
      <w:r>
        <w:rPr>
          <w:i/>
          <w:iCs/>
          <w:sz w:val="24"/>
          <w:szCs w:val="24"/>
        </w:rPr>
        <w:t>A.10. 3.5. CĂI DE EVACUARE ÎN CAZ DE INCENDIU</w:t>
      </w:r>
      <w:bookmarkEnd w:id="10816"/>
      <w:bookmarkEnd w:id="10817"/>
      <w:bookmarkEnd w:id="10818"/>
      <w:bookmarkEnd w:id="10819"/>
      <w:bookmarkEnd w:id="10820"/>
      <w:bookmarkEnd w:id="10821"/>
    </w:p>
    <w:p w14:paraId="2D14630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3.5.1.</w:t>
      </w:r>
      <w:r>
        <w:rPr>
          <w:rFonts w:eastAsia="Calibri"/>
          <w:i/>
          <w:sz w:val="24"/>
          <w:szCs w:val="24"/>
          <w:shd w:val="clear" w:color="auto" w:fill="FFFFFF"/>
        </w:rPr>
        <w:t> Clădirile publice (civile) existente vor avea asigurat numărul necesar de căi de evacuare a utlizatorilor în caz de incendiu, corespunzător dispuse, alcătuite și dimensionate, potrivit prevederilor prezentei anexe (Art.</w:t>
      </w:r>
      <w:r>
        <w:rPr>
          <w:rFonts w:eastAsia="Calibri"/>
          <w:b/>
          <w:bCs/>
          <w:i/>
          <w:sz w:val="24"/>
          <w:szCs w:val="24"/>
          <w:shd w:val="clear" w:color="auto" w:fill="FFFFFF"/>
        </w:rPr>
        <w:t xml:space="preserve"> A.10.2.5.1. </w:t>
      </w:r>
      <w:r>
        <w:rPr>
          <w:rFonts w:eastAsia="Calibri"/>
          <w:i/>
          <w:sz w:val="24"/>
          <w:szCs w:val="24"/>
          <w:shd w:val="clear" w:color="auto" w:fill="FFFFFF"/>
        </w:rPr>
        <w:t>până la</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2.5.74.</w:t>
      </w:r>
      <w:r>
        <w:rPr>
          <w:rFonts w:eastAsia="Calibri"/>
          <w:i/>
          <w:sz w:val="24"/>
          <w:szCs w:val="24"/>
          <w:shd w:val="clear" w:color="auto" w:fill="FFFFFF"/>
        </w:rPr>
        <w:t>).</w:t>
      </w:r>
    </w:p>
    <w:p w14:paraId="02276893"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În clădirile civile (publice) existente care nu sunt înalte sau foarte înalte, golurile de acces la casele de scări pot avea uși pline sau cu geam spre coridoare, vestibuluri de etaj și holuri, dacă se îndeplinesc următoarele condiții:</w:t>
      </w:r>
    </w:p>
    <w:p w14:paraId="3CE373E5" w14:textId="77777777" w:rsidR="001C08A5" w:rsidRDefault="00000000">
      <w:pPr>
        <w:shd w:val="clear" w:color="auto" w:fill="FFFFFF"/>
        <w:spacing w:after="150"/>
        <w:ind w:left="144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pereții și planșeele acestora (coridoare vestibuluri, holuri) au aceeași rezistență la foc cu cele ale caselor de scări;</w:t>
      </w:r>
    </w:p>
    <w:p w14:paraId="7CE1DD46" w14:textId="77777777" w:rsidR="001C08A5" w:rsidRDefault="00000000">
      <w:pPr>
        <w:shd w:val="clear" w:color="auto" w:fill="FFFFFF"/>
        <w:spacing w:after="150"/>
        <w:ind w:left="1440" w:firstLine="720"/>
        <w:jc w:val="both"/>
        <w:rPr>
          <w:rFonts w:eastAsia="Calibri"/>
          <w:i/>
          <w:sz w:val="24"/>
          <w:szCs w:val="24"/>
        </w:rPr>
      </w:pPr>
      <w:r>
        <w:rPr>
          <w:rFonts w:eastAsia="Calibri"/>
          <w:b/>
          <w:bCs/>
          <w:i/>
          <w:sz w:val="24"/>
          <w:szCs w:val="24"/>
          <w:shd w:val="clear" w:color="auto" w:fill="FFFFFF"/>
        </w:rPr>
        <w:lastRenderedPageBreak/>
        <w:t>b)</w:t>
      </w:r>
      <w:r>
        <w:rPr>
          <w:rFonts w:eastAsia="Calibri"/>
          <w:i/>
          <w:sz w:val="24"/>
          <w:szCs w:val="24"/>
          <w:shd w:val="clear" w:color="auto" w:fill="FFFFFF"/>
        </w:rPr>
        <w:t> între coridoare, vestibuluri sau holuri și încăperile adiacente, inclusiv alte case de scări, se prevăd uși pline;</w:t>
      </w:r>
    </w:p>
    <w:p w14:paraId="7FF2C967" w14:textId="77777777" w:rsidR="001C08A5" w:rsidRDefault="00000000">
      <w:pPr>
        <w:shd w:val="clear" w:color="auto" w:fill="FFFFFF"/>
        <w:spacing w:after="150"/>
        <w:ind w:left="1440" w:firstLine="720"/>
        <w:jc w:val="both"/>
        <w:rPr>
          <w:rFonts w:eastAsia="Calibri"/>
          <w:i/>
          <w:sz w:val="24"/>
          <w:szCs w:val="24"/>
        </w:rPr>
      </w:pPr>
      <w:r>
        <w:rPr>
          <w:rFonts w:eastAsia="Calibri"/>
          <w:b/>
          <w:bCs/>
          <w:i/>
          <w:sz w:val="24"/>
          <w:szCs w:val="24"/>
          <w:shd w:val="clear" w:color="auto" w:fill="FFFFFF"/>
        </w:rPr>
        <w:t>c)</w:t>
      </w:r>
      <w:r>
        <w:rPr>
          <w:rFonts w:eastAsia="Calibri"/>
          <w:i/>
          <w:sz w:val="24"/>
          <w:szCs w:val="24"/>
          <w:shd w:val="clear" w:color="auto" w:fill="FFFFFF"/>
        </w:rPr>
        <w:t> eventualele ferestre pentru iluminarea indirectă a coridoarelor de etaj sau a holurilor ori vestibulurilor, practicate în pereții ce le separă de încăperile adiacente, sunt protejate conform Art.</w:t>
      </w:r>
      <w:r>
        <w:rPr>
          <w:rFonts w:eastAsia="Calibri"/>
          <w:b/>
          <w:bCs/>
          <w:i/>
          <w:sz w:val="24"/>
          <w:szCs w:val="24"/>
          <w:shd w:val="clear" w:color="auto" w:fill="FFFFFF"/>
        </w:rPr>
        <w:t xml:space="preserve"> A.10.2.5.31.</w:t>
      </w:r>
    </w:p>
    <w:p w14:paraId="202561BE"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3.5.2.</w:t>
      </w:r>
      <w:r>
        <w:rPr>
          <w:rFonts w:eastAsia="Calibri"/>
          <w:i/>
          <w:sz w:val="24"/>
          <w:szCs w:val="24"/>
          <w:shd w:val="clear" w:color="auto" w:fill="FFFFFF"/>
        </w:rPr>
        <w:t> Sunt admise scări de evacuare interioare deschise în construcțiile publice (civile) existente, dacă servesc la evacuare utilizatorilor a cel mult două niveluri.</w:t>
      </w:r>
    </w:p>
    <w:p w14:paraId="55236A19" w14:textId="77777777" w:rsidR="001C08A5" w:rsidRDefault="00000000">
      <w:pPr>
        <w:pStyle w:val="Caption"/>
        <w:shd w:val="clear" w:color="auto" w:fill="FFFFFF"/>
        <w:spacing w:before="0" w:after="150"/>
        <w:jc w:val="both"/>
      </w:pPr>
      <w:bookmarkStart w:id="10822" w:name="_Ref9469"/>
      <w:bookmarkStart w:id="10823" w:name="_Toc162360200"/>
      <w:r>
        <w:t xml:space="preserve">Tabelul </w:t>
      </w:r>
      <w:r>
        <w:fldChar w:fldCharType="begin"/>
      </w:r>
      <w:r>
        <w:instrText xml:space="preserve"> SEQ Tabelul \* ARABIC </w:instrText>
      </w:r>
      <w:r>
        <w:fldChar w:fldCharType="separate"/>
      </w:r>
      <w:r>
        <w:t>150</w:t>
      </w:r>
      <w:r>
        <w:fldChar w:fldCharType="end"/>
      </w:r>
      <w:bookmarkStart w:id="10824" w:name="_Toc27451"/>
      <w:bookmarkStart w:id="10825" w:name="_Toc2192"/>
      <w:bookmarkStart w:id="10826" w:name="_Toc29078"/>
      <w:bookmarkStart w:id="10827" w:name="_Toc11355"/>
      <w:bookmarkStart w:id="10828" w:name="_Toc5815"/>
      <w:bookmarkStart w:id="10829" w:name="_Toc5419"/>
      <w:bookmarkStart w:id="10830" w:name="_Toc4453"/>
      <w:bookmarkStart w:id="10831" w:name="_Toc25413"/>
      <w:bookmarkStart w:id="10832" w:name="_Toc7478"/>
      <w:bookmarkStart w:id="10833" w:name="_Toc2743"/>
      <w:bookmarkStart w:id="10834" w:name="_Toc24965"/>
      <w:bookmarkEnd w:id="10822"/>
      <w:r>
        <w:t xml:space="preserve">: </w:t>
      </w:r>
      <w:r>
        <w:rPr>
          <w:rFonts w:eastAsia="Calibri"/>
          <w:shd w:val="clear" w:color="auto" w:fill="FFFFFF"/>
        </w:rPr>
        <w:t>Capacități de evacuare la construcții existente</w:t>
      </w:r>
      <w:bookmarkEnd w:id="10823"/>
      <w:bookmarkEnd w:id="10824"/>
      <w:bookmarkEnd w:id="10825"/>
      <w:bookmarkEnd w:id="10826"/>
      <w:bookmarkEnd w:id="10827"/>
      <w:bookmarkEnd w:id="10828"/>
      <w:bookmarkEnd w:id="10829"/>
      <w:bookmarkEnd w:id="10830"/>
      <w:bookmarkEnd w:id="10831"/>
      <w:bookmarkEnd w:id="10832"/>
      <w:bookmarkEnd w:id="10833"/>
      <w:bookmarkEnd w:id="10834"/>
    </w:p>
    <w:tbl>
      <w:tblP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23"/>
        <w:gridCol w:w="6681"/>
        <w:gridCol w:w="2229"/>
      </w:tblGrid>
      <w:tr w:rsidR="001C08A5" w14:paraId="06B6AB27" w14:textId="77777777">
        <w:trPr>
          <w:trHeight w:val="995"/>
          <w:jc w:val="center"/>
        </w:trPr>
        <w:tc>
          <w:tcPr>
            <w:tcW w:w="375" w:type="pct"/>
            <w:tcMar>
              <w:top w:w="0" w:type="dxa"/>
              <w:left w:w="0" w:type="dxa"/>
              <w:bottom w:w="0" w:type="dxa"/>
              <w:right w:w="0" w:type="dxa"/>
            </w:tcMar>
            <w:vAlign w:val="center"/>
          </w:tcPr>
          <w:p w14:paraId="4AAA2423" w14:textId="77777777" w:rsidR="001C08A5" w:rsidRDefault="00000000">
            <w:pPr>
              <w:jc w:val="center"/>
              <w:rPr>
                <w:b/>
                <w:bCs/>
                <w:i/>
                <w:sz w:val="22"/>
                <w:szCs w:val="22"/>
              </w:rPr>
            </w:pPr>
            <w:r>
              <w:rPr>
                <w:b/>
                <w:bCs/>
                <w:i/>
                <w:sz w:val="22"/>
                <w:szCs w:val="22"/>
                <w:lang w:val="en-US" w:eastAsia="zh-CN" w:bidi="ar"/>
              </w:rPr>
              <w:t>Nr. Crt.</w:t>
            </w:r>
          </w:p>
        </w:tc>
        <w:tc>
          <w:tcPr>
            <w:tcW w:w="3466" w:type="pct"/>
            <w:tcMar>
              <w:top w:w="0" w:type="dxa"/>
              <w:left w:w="0" w:type="dxa"/>
              <w:bottom w:w="0" w:type="dxa"/>
              <w:right w:w="0" w:type="dxa"/>
            </w:tcMar>
            <w:vAlign w:val="center"/>
          </w:tcPr>
          <w:p w14:paraId="7C39317F" w14:textId="77777777" w:rsidR="001C08A5" w:rsidRDefault="00000000">
            <w:pPr>
              <w:jc w:val="center"/>
              <w:rPr>
                <w:b/>
                <w:bCs/>
                <w:i/>
                <w:sz w:val="22"/>
                <w:szCs w:val="22"/>
              </w:rPr>
            </w:pPr>
            <w:r>
              <w:rPr>
                <w:b/>
                <w:bCs/>
                <w:i/>
                <w:sz w:val="22"/>
                <w:szCs w:val="22"/>
                <w:lang w:val="en-US" w:eastAsia="zh-CN" w:bidi="ar"/>
              </w:rPr>
              <w:t>Destinația clădiri</w:t>
            </w:r>
            <w:r>
              <w:rPr>
                <w:b/>
                <w:bCs/>
                <w:i/>
                <w:sz w:val="22"/>
                <w:szCs w:val="22"/>
                <w:lang w:eastAsia="zh-CN" w:bidi="ar"/>
              </w:rPr>
              <w:t>i</w:t>
            </w:r>
            <w:r>
              <w:rPr>
                <w:b/>
                <w:bCs/>
                <w:i/>
                <w:sz w:val="22"/>
                <w:szCs w:val="22"/>
                <w:lang w:val="en-US" w:eastAsia="zh-CN" w:bidi="ar"/>
              </w:rPr>
              <w:t xml:space="preserve"> </w:t>
            </w:r>
            <w:r>
              <w:rPr>
                <w:rFonts w:eastAsia="Calibri"/>
                <w:b/>
                <w:bCs/>
                <w:i/>
                <w:sz w:val="22"/>
                <w:szCs w:val="22"/>
                <w:shd w:val="clear" w:color="auto" w:fill="FFFFFF"/>
              </w:rPr>
              <w:t xml:space="preserve">existente </w:t>
            </w:r>
            <w:r>
              <w:rPr>
                <w:b/>
                <w:bCs/>
                <w:i/>
                <w:sz w:val="22"/>
                <w:szCs w:val="22"/>
                <w:lang w:val="en-US" w:eastAsia="zh-CN" w:bidi="ar"/>
              </w:rPr>
              <w:t xml:space="preserve">sau a porțiunii de clădire </w:t>
            </w:r>
            <w:r>
              <w:rPr>
                <w:rFonts w:eastAsia="Calibri"/>
                <w:b/>
                <w:bCs/>
                <w:i/>
                <w:sz w:val="22"/>
                <w:szCs w:val="22"/>
                <w:shd w:val="clear" w:color="auto" w:fill="FFFFFF"/>
              </w:rPr>
              <w:t xml:space="preserve">existentă </w:t>
            </w:r>
            <w:r>
              <w:rPr>
                <w:b/>
                <w:bCs/>
                <w:i/>
                <w:sz w:val="22"/>
                <w:szCs w:val="22"/>
                <w:lang w:val="en-US" w:eastAsia="zh-CN" w:bidi="ar"/>
              </w:rPr>
              <w:t>pentru care se calculează evacuarea</w:t>
            </w:r>
          </w:p>
        </w:tc>
        <w:tc>
          <w:tcPr>
            <w:tcW w:w="1157" w:type="pct"/>
            <w:tcMar>
              <w:top w:w="0" w:type="dxa"/>
              <w:left w:w="0" w:type="dxa"/>
              <w:bottom w:w="0" w:type="dxa"/>
              <w:right w:w="0" w:type="dxa"/>
            </w:tcMar>
            <w:vAlign w:val="center"/>
          </w:tcPr>
          <w:p w14:paraId="392CCCB9" w14:textId="77777777" w:rsidR="001C08A5" w:rsidRDefault="00000000">
            <w:pPr>
              <w:jc w:val="center"/>
              <w:rPr>
                <w:b/>
                <w:bCs/>
                <w:i/>
                <w:sz w:val="22"/>
                <w:szCs w:val="22"/>
              </w:rPr>
            </w:pPr>
            <w:r>
              <w:rPr>
                <w:b/>
                <w:bCs/>
                <w:i/>
                <w:sz w:val="22"/>
                <w:szCs w:val="22"/>
                <w:lang w:val="en-US" w:eastAsia="zh-CN" w:bidi="ar"/>
              </w:rPr>
              <w:t>Capacitatea de evacuare (C) a unui flux (număr de persoane)</w:t>
            </w:r>
          </w:p>
        </w:tc>
      </w:tr>
      <w:tr w:rsidR="001C08A5" w14:paraId="4ABB4C4E" w14:textId="77777777">
        <w:trPr>
          <w:trHeight w:val="1009"/>
          <w:jc w:val="center"/>
        </w:trPr>
        <w:tc>
          <w:tcPr>
            <w:tcW w:w="375" w:type="pct"/>
            <w:tcMar>
              <w:top w:w="0" w:type="dxa"/>
              <w:left w:w="0" w:type="dxa"/>
              <w:bottom w:w="0" w:type="dxa"/>
              <w:right w:w="0" w:type="dxa"/>
            </w:tcMar>
          </w:tcPr>
          <w:p w14:paraId="28D0B7C2" w14:textId="77777777" w:rsidR="001C08A5" w:rsidRDefault="00000000">
            <w:pPr>
              <w:jc w:val="center"/>
              <w:rPr>
                <w:i/>
                <w:sz w:val="22"/>
                <w:szCs w:val="22"/>
              </w:rPr>
            </w:pPr>
            <w:r>
              <w:rPr>
                <w:i/>
                <w:sz w:val="22"/>
                <w:szCs w:val="22"/>
                <w:lang w:val="en-US" w:eastAsia="zh-CN" w:bidi="ar"/>
              </w:rPr>
              <w:t>1.</w:t>
            </w:r>
          </w:p>
        </w:tc>
        <w:tc>
          <w:tcPr>
            <w:tcW w:w="3466" w:type="pct"/>
            <w:tcMar>
              <w:top w:w="0" w:type="dxa"/>
              <w:left w:w="0" w:type="dxa"/>
              <w:bottom w:w="0" w:type="dxa"/>
              <w:right w:w="0" w:type="dxa"/>
            </w:tcMar>
          </w:tcPr>
          <w:p w14:paraId="6A2656FB" w14:textId="77777777" w:rsidR="001C08A5" w:rsidRDefault="00000000">
            <w:pPr>
              <w:jc w:val="both"/>
              <w:rPr>
                <w:i/>
                <w:sz w:val="22"/>
                <w:szCs w:val="22"/>
              </w:rPr>
            </w:pPr>
            <w:r>
              <w:rPr>
                <w:i/>
                <w:sz w:val="22"/>
                <w:szCs w:val="22"/>
                <w:lang w:val="en-US" w:eastAsia="zh-CN" w:bidi="ar"/>
              </w:rPr>
              <w:t>Clădirile care adăpostesc persoane incapabile de a se evacua singure: maternități, staționare medicale, clădiri penlru copii de vârstă preșcolară, ospicii pentru alienați mintali, cămine pentru bătrâni și infirmi, persoane handicapate, etc.</w:t>
            </w:r>
          </w:p>
        </w:tc>
        <w:tc>
          <w:tcPr>
            <w:tcW w:w="1157" w:type="pct"/>
            <w:tcMar>
              <w:top w:w="0" w:type="dxa"/>
              <w:left w:w="0" w:type="dxa"/>
              <w:bottom w:w="0" w:type="dxa"/>
              <w:right w:w="0" w:type="dxa"/>
            </w:tcMar>
            <w:vAlign w:val="center"/>
          </w:tcPr>
          <w:p w14:paraId="5BE3BC4A" w14:textId="77777777" w:rsidR="001C08A5" w:rsidRDefault="00000000">
            <w:pPr>
              <w:jc w:val="center"/>
              <w:rPr>
                <w:b/>
                <w:bCs/>
                <w:i/>
                <w:sz w:val="22"/>
                <w:szCs w:val="22"/>
              </w:rPr>
            </w:pPr>
            <w:r>
              <w:rPr>
                <w:b/>
                <w:bCs/>
                <w:i/>
                <w:sz w:val="22"/>
                <w:szCs w:val="22"/>
                <w:lang w:val="en-US" w:eastAsia="zh-CN" w:bidi="ar"/>
              </w:rPr>
              <w:t>50</w:t>
            </w:r>
          </w:p>
        </w:tc>
      </w:tr>
      <w:tr w:rsidR="001C08A5" w14:paraId="26EE4D7C" w14:textId="77777777">
        <w:trPr>
          <w:trHeight w:val="1124"/>
          <w:jc w:val="center"/>
        </w:trPr>
        <w:tc>
          <w:tcPr>
            <w:tcW w:w="375" w:type="pct"/>
            <w:tcMar>
              <w:top w:w="0" w:type="dxa"/>
              <w:left w:w="0" w:type="dxa"/>
              <w:bottom w:w="0" w:type="dxa"/>
              <w:right w:w="0" w:type="dxa"/>
            </w:tcMar>
          </w:tcPr>
          <w:p w14:paraId="0E6B3BFC" w14:textId="77777777" w:rsidR="001C08A5" w:rsidRDefault="00000000">
            <w:pPr>
              <w:jc w:val="center"/>
              <w:rPr>
                <w:i/>
                <w:sz w:val="22"/>
                <w:szCs w:val="22"/>
              </w:rPr>
            </w:pPr>
            <w:r>
              <w:rPr>
                <w:i/>
                <w:sz w:val="22"/>
                <w:szCs w:val="22"/>
                <w:lang w:val="en-US" w:eastAsia="zh-CN" w:bidi="ar"/>
              </w:rPr>
              <w:t>2.</w:t>
            </w:r>
          </w:p>
        </w:tc>
        <w:tc>
          <w:tcPr>
            <w:tcW w:w="3466" w:type="pct"/>
            <w:tcMar>
              <w:top w:w="0" w:type="dxa"/>
              <w:left w:w="0" w:type="dxa"/>
              <w:bottom w:w="0" w:type="dxa"/>
              <w:right w:w="0" w:type="dxa"/>
            </w:tcMar>
          </w:tcPr>
          <w:p w14:paraId="42E8D863" w14:textId="77777777" w:rsidR="001C08A5" w:rsidRDefault="00000000">
            <w:pPr>
              <w:jc w:val="both"/>
              <w:rPr>
                <w:i/>
                <w:sz w:val="22"/>
                <w:szCs w:val="22"/>
              </w:rPr>
            </w:pPr>
            <w:r>
              <w:rPr>
                <w:i/>
                <w:sz w:val="22"/>
                <w:szCs w:val="22"/>
                <w:lang w:val="en-US" w:eastAsia="zh-CN" w:bidi="ar"/>
              </w:rPr>
              <w:t>Clădirile pentru invățâmânt</w:t>
            </w:r>
            <w:r>
              <w:rPr>
                <w:i/>
                <w:sz w:val="22"/>
                <w:szCs w:val="22"/>
                <w:lang w:eastAsia="zh-CN" w:bidi="ar"/>
              </w:rPr>
              <w:t xml:space="preserve"> </w:t>
            </w:r>
            <w:r>
              <w:rPr>
                <w:i/>
                <w:sz w:val="22"/>
                <w:szCs w:val="22"/>
                <w:lang w:val="en-US" w:eastAsia="zh-CN" w:bidi="ar"/>
              </w:rPr>
              <w:t xml:space="preserve">de toate </w:t>
            </w:r>
            <w:r>
              <w:rPr>
                <w:rFonts w:eastAsia="Calibri"/>
                <w:i/>
                <w:sz w:val="22"/>
                <w:szCs w:val="22"/>
                <w:shd w:val="clear" w:color="auto" w:fill="FFFFFF"/>
              </w:rPr>
              <w:t>nivelurile de stabilitate la incendiu</w:t>
            </w:r>
            <w:r>
              <w:rPr>
                <w:i/>
                <w:sz w:val="22"/>
                <w:szCs w:val="22"/>
                <w:lang w:val="en-US" w:eastAsia="zh-CN" w:bidi="ar"/>
              </w:rPr>
              <w:t>, administrative. sociale laboratoare, studiouri cinematografice, și de radio, săli de adunări, auditorii, magazine, expoziții, alimentație publică, de lectură, sport, așteptare, etc. care nu sunt săli aglomerate sau clădiri înalte ori foarte înalte.</w:t>
            </w:r>
          </w:p>
        </w:tc>
        <w:tc>
          <w:tcPr>
            <w:tcW w:w="1157" w:type="pct"/>
            <w:tcMar>
              <w:top w:w="0" w:type="dxa"/>
              <w:left w:w="0" w:type="dxa"/>
              <w:bottom w:w="0" w:type="dxa"/>
              <w:right w:w="0" w:type="dxa"/>
            </w:tcMar>
            <w:vAlign w:val="center"/>
          </w:tcPr>
          <w:p w14:paraId="79C21D63" w14:textId="77777777" w:rsidR="001C08A5" w:rsidRDefault="00000000">
            <w:pPr>
              <w:jc w:val="center"/>
              <w:rPr>
                <w:b/>
                <w:bCs/>
                <w:i/>
                <w:sz w:val="22"/>
                <w:szCs w:val="22"/>
              </w:rPr>
            </w:pPr>
            <w:r>
              <w:rPr>
                <w:b/>
                <w:bCs/>
                <w:i/>
                <w:sz w:val="22"/>
                <w:szCs w:val="22"/>
                <w:lang w:val="en-US" w:eastAsia="zh-CN" w:bidi="ar"/>
              </w:rPr>
              <w:t>70</w:t>
            </w:r>
          </w:p>
        </w:tc>
      </w:tr>
      <w:tr w:rsidR="001C08A5" w14:paraId="3B2012EC" w14:textId="77777777">
        <w:trPr>
          <w:trHeight w:val="469"/>
          <w:jc w:val="center"/>
        </w:trPr>
        <w:tc>
          <w:tcPr>
            <w:tcW w:w="375" w:type="pct"/>
            <w:tcMar>
              <w:top w:w="0" w:type="dxa"/>
              <w:left w:w="0" w:type="dxa"/>
              <w:bottom w:w="0" w:type="dxa"/>
              <w:right w:w="0" w:type="dxa"/>
            </w:tcMar>
          </w:tcPr>
          <w:p w14:paraId="1F1F64E4" w14:textId="77777777" w:rsidR="001C08A5" w:rsidRDefault="00000000">
            <w:pPr>
              <w:jc w:val="center"/>
              <w:rPr>
                <w:i/>
                <w:sz w:val="22"/>
                <w:szCs w:val="22"/>
              </w:rPr>
            </w:pPr>
            <w:r>
              <w:rPr>
                <w:i/>
                <w:sz w:val="22"/>
                <w:szCs w:val="22"/>
                <w:lang w:val="en-US" w:eastAsia="zh-CN" w:bidi="ar"/>
              </w:rPr>
              <w:t>3.</w:t>
            </w:r>
          </w:p>
        </w:tc>
        <w:tc>
          <w:tcPr>
            <w:tcW w:w="3466" w:type="pct"/>
            <w:tcMar>
              <w:top w:w="0" w:type="dxa"/>
              <w:left w:w="0" w:type="dxa"/>
              <w:bottom w:w="0" w:type="dxa"/>
              <w:right w:w="0" w:type="dxa"/>
            </w:tcMar>
          </w:tcPr>
          <w:p w14:paraId="126E4650" w14:textId="77777777" w:rsidR="001C08A5" w:rsidRDefault="00000000">
            <w:pPr>
              <w:jc w:val="both"/>
              <w:rPr>
                <w:i/>
                <w:sz w:val="22"/>
                <w:szCs w:val="22"/>
              </w:rPr>
            </w:pPr>
            <w:r>
              <w:rPr>
                <w:i/>
                <w:sz w:val="22"/>
                <w:szCs w:val="22"/>
                <w:lang w:val="en-US" w:eastAsia="zh-CN" w:bidi="ar"/>
              </w:rPr>
              <w:t>Clădiri de locuit, administrative, hoteluri, cămine, cabane, etc. care nu sunt clădiri înalte sau foarte înalte.</w:t>
            </w:r>
          </w:p>
        </w:tc>
        <w:tc>
          <w:tcPr>
            <w:tcW w:w="1157" w:type="pct"/>
            <w:tcMar>
              <w:top w:w="0" w:type="dxa"/>
              <w:left w:w="0" w:type="dxa"/>
              <w:bottom w:w="0" w:type="dxa"/>
              <w:right w:w="0" w:type="dxa"/>
            </w:tcMar>
            <w:vAlign w:val="center"/>
          </w:tcPr>
          <w:p w14:paraId="2B8C297B" w14:textId="77777777" w:rsidR="001C08A5" w:rsidRDefault="00000000">
            <w:pPr>
              <w:jc w:val="center"/>
              <w:rPr>
                <w:b/>
                <w:bCs/>
                <w:i/>
                <w:sz w:val="22"/>
                <w:szCs w:val="22"/>
              </w:rPr>
            </w:pPr>
            <w:r>
              <w:rPr>
                <w:b/>
                <w:bCs/>
                <w:i/>
                <w:sz w:val="22"/>
                <w:szCs w:val="22"/>
                <w:lang w:val="en-US" w:eastAsia="zh-CN" w:bidi="ar"/>
              </w:rPr>
              <w:t>80</w:t>
            </w:r>
          </w:p>
        </w:tc>
      </w:tr>
    </w:tbl>
    <w:p w14:paraId="5882CD43" w14:textId="77777777" w:rsidR="001C08A5" w:rsidRDefault="001C08A5">
      <w:pPr>
        <w:shd w:val="clear" w:color="auto" w:fill="FFFFFF"/>
        <w:spacing w:after="150"/>
        <w:jc w:val="both"/>
        <w:rPr>
          <w:rFonts w:eastAsia="Calibri"/>
          <w:b/>
          <w:bCs/>
          <w:i/>
          <w:sz w:val="24"/>
          <w:szCs w:val="24"/>
          <w:shd w:val="clear" w:color="auto" w:fill="FFFFFF"/>
        </w:rPr>
      </w:pPr>
    </w:p>
    <w:p w14:paraId="2D0961E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3.5.3.</w:t>
      </w:r>
      <w:r>
        <w:rPr>
          <w:rFonts w:eastAsia="Calibri"/>
          <w:i/>
          <w:sz w:val="24"/>
          <w:szCs w:val="24"/>
          <w:shd w:val="clear" w:color="auto" w:fill="FFFFFF"/>
        </w:rPr>
        <w:t> Scările amplasate în volumul atriumului și neînchise în case de scări proprii, nu constituie căi de evacuare în caz de incendiu. Fac excepție atriumurile cu înălțimea de maximum patru niveluri ale construcției existente, unde se consideră că pe scara deschisă în atrium, se poate asigura trecerea unui singur flux de evacuare, chiar dacă lățimea rampelor asigură mai multe fluxuri.</w:t>
      </w:r>
    </w:p>
    <w:p w14:paraId="5BFD973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3.5.4.</w:t>
      </w:r>
      <w:r>
        <w:rPr>
          <w:rFonts w:eastAsia="Calibri"/>
          <w:i/>
          <w:sz w:val="24"/>
          <w:szCs w:val="24"/>
          <w:shd w:val="clear" w:color="auto" w:fill="FFFFFF"/>
        </w:rPr>
        <w:t xml:space="preserve"> Lungimile maximum admise ale căilor de evacuare din clădirile civile (publice) existente, sunt cei prevăzuți în prevederile specifice clădirilor civile (publice) existente, iar pentru atriumuri conform Art. </w:t>
      </w:r>
      <w:r>
        <w:rPr>
          <w:rFonts w:eastAsia="Calibri"/>
          <w:b/>
          <w:bCs/>
          <w:i/>
          <w:sz w:val="24"/>
          <w:szCs w:val="24"/>
          <w:shd w:val="clear" w:color="auto" w:fill="FFFFFF"/>
        </w:rPr>
        <w:t xml:space="preserve">A.10.3.5.5. </w:t>
      </w:r>
      <w:r>
        <w:rPr>
          <w:rFonts w:eastAsia="Calibri"/>
          <w:i/>
          <w:sz w:val="24"/>
          <w:szCs w:val="24"/>
          <w:shd w:val="clear" w:color="auto" w:fill="FFFFFF"/>
        </w:rPr>
        <w:t xml:space="preserve">și Art. </w:t>
      </w:r>
      <w:r>
        <w:rPr>
          <w:rFonts w:eastAsia="Calibri"/>
          <w:b/>
          <w:bCs/>
          <w:i/>
          <w:sz w:val="24"/>
          <w:szCs w:val="24"/>
          <w:shd w:val="clear" w:color="auto" w:fill="FFFFFF"/>
        </w:rPr>
        <w:t>A.10.3.5.6.</w:t>
      </w:r>
      <w:r>
        <w:rPr>
          <w:rFonts w:eastAsia="Calibri"/>
          <w:i/>
          <w:sz w:val="24"/>
          <w:szCs w:val="24"/>
          <w:shd w:val="clear" w:color="auto" w:fill="FFFFFF"/>
        </w:rPr>
        <w:t xml:space="preserve"> Capacitățile de evacuare luate în considerare la clădiri civile (publice) existente,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_Ref9469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150</w:t>
      </w:r>
      <w:r>
        <w:rPr>
          <w:rFonts w:eastAsia="Calibri"/>
          <w:b/>
          <w:bCs/>
          <w:i/>
          <w:iCs/>
          <w:sz w:val="24"/>
          <w:szCs w:val="24"/>
          <w:shd w:val="clear" w:color="auto" w:fill="FFFFFF"/>
        </w:rPr>
        <w:fldChar w:fldCharType="end"/>
      </w:r>
      <w:r>
        <w:rPr>
          <w:b/>
          <w:i/>
          <w:sz w:val="24"/>
          <w:szCs w:val="24"/>
        </w:rPr>
        <w:t>.</w:t>
      </w:r>
    </w:p>
    <w:p w14:paraId="2A9FBB1B" w14:textId="77777777" w:rsidR="001C08A5" w:rsidRDefault="00000000">
      <w:pPr>
        <w:shd w:val="clear" w:color="auto" w:fill="FFFFFF"/>
        <w:spacing w:after="150"/>
        <w:jc w:val="both"/>
        <w:rPr>
          <w:rFonts w:eastAsia="Calibri"/>
          <w:b/>
          <w:bCs/>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3.5.5.</w:t>
      </w:r>
      <w:r>
        <w:rPr>
          <w:rFonts w:eastAsia="Calibri"/>
          <w:i/>
          <w:sz w:val="24"/>
          <w:szCs w:val="24"/>
          <w:shd w:val="clear" w:color="auto" w:fill="FFFFFF"/>
        </w:rPr>
        <w:t xml:space="preserve"> Circulațiile comune orizontale deschise spre atrium (platforme, supante, etc), pot constitui căi de evacuare pentru persoanele aflate în încăperile adiacente, atunci când lungimea de evacuare, respectiv distanța ce o au de parcurs, nu depășește valorile maxime admise în </w:t>
      </w:r>
      <w:r>
        <w:rPr>
          <w:rFonts w:eastAsia="Calibri"/>
          <w:i/>
          <w:iCs/>
          <w:sz w:val="24"/>
          <w:szCs w:val="24"/>
          <w:shd w:val="clear" w:color="auto" w:fill="FFFFFF"/>
        </w:rPr>
        <w:fldChar w:fldCharType="begin"/>
      </w:r>
      <w:r>
        <w:rPr>
          <w:rFonts w:eastAsia="Calibri"/>
          <w:i/>
          <w:iCs/>
          <w:sz w:val="24"/>
          <w:szCs w:val="24"/>
          <w:shd w:val="clear" w:color="auto" w:fill="FFFFFF"/>
        </w:rPr>
        <w:instrText xml:space="preserve"> REF _Ref9587 \h </w:instrText>
      </w:r>
      <w:r>
        <w:rPr>
          <w:rFonts w:eastAsia="Calibri"/>
          <w:i/>
          <w:iCs/>
          <w:sz w:val="24"/>
          <w:szCs w:val="24"/>
          <w:shd w:val="clear" w:color="auto" w:fill="FFFFFF"/>
        </w:rPr>
      </w:r>
      <w:r>
        <w:rPr>
          <w:rFonts w:eastAsia="Calibri"/>
          <w:i/>
          <w:iCs/>
          <w:sz w:val="24"/>
          <w:szCs w:val="24"/>
          <w:shd w:val="clear" w:color="auto" w:fill="FFFFFF"/>
        </w:rPr>
        <w:fldChar w:fldCharType="separate"/>
      </w:r>
      <w:r>
        <w:t>Tabelul 50: Lungimi de evacuare pe circulaţiile comune orizontale deschise spre atriumuri</w:t>
      </w:r>
      <w:r>
        <w:rPr>
          <w:rFonts w:eastAsia="Calibri"/>
          <w:i/>
          <w:iCs/>
          <w:sz w:val="24"/>
          <w:szCs w:val="24"/>
          <w:shd w:val="clear" w:color="auto" w:fill="FFFFFF"/>
        </w:rPr>
        <w:fldChar w:fldCharType="end"/>
      </w:r>
      <w:r>
        <w:rPr>
          <w:rFonts w:eastAsia="Calibri"/>
          <w:i/>
          <w:sz w:val="24"/>
          <w:szCs w:val="24"/>
          <w:shd w:val="clear" w:color="auto" w:fill="FFFFFF"/>
        </w:rPr>
        <w:t>, de la ușa acestora până la o casă de scări de evacuare (măsurată în axul căilor), în funcție de nivelul de stabilitate la incendiu al construcției.</w:t>
      </w:r>
    </w:p>
    <w:p w14:paraId="4CD9BA4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3.5.6.</w:t>
      </w:r>
      <w:r>
        <w:rPr>
          <w:rFonts w:eastAsia="Calibri"/>
          <w:i/>
          <w:sz w:val="24"/>
          <w:szCs w:val="24"/>
          <w:shd w:val="clear" w:color="auto" w:fill="FFFFFF"/>
        </w:rPr>
        <w:t xml:space="preserve"> Pentru încăperile de dormit ale hotelurilor, căminelor, spitalelor, locuințelor și altele similare dispuse adiacent atriumurilor, valorile maxime admise ale căilor de evacuare pe circulațiile comune orizontale deschise spre atrium, se reduc cu </w:t>
      </w:r>
      <w:r>
        <w:rPr>
          <w:rFonts w:eastAsia="Calibri"/>
          <w:b/>
          <w:bCs/>
          <w:i/>
          <w:sz w:val="24"/>
          <w:szCs w:val="24"/>
          <w:shd w:val="clear" w:color="auto" w:fill="FFFFFF"/>
        </w:rPr>
        <w:t>50%</w:t>
      </w:r>
      <w:r>
        <w:rPr>
          <w:rFonts w:eastAsia="Calibri"/>
          <w:i/>
          <w:sz w:val="24"/>
          <w:szCs w:val="24"/>
          <w:shd w:val="clear" w:color="auto" w:fill="FFFFFF"/>
        </w:rPr>
        <w:t xml:space="preserve"> față de prevederile stipulate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_Ref9587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50: Lungimi de evacuare pe circulaţiile comune orizontale deschise spre atriumuri</w:t>
      </w:r>
      <w:r>
        <w:rPr>
          <w:rFonts w:eastAsia="Calibri"/>
          <w:b/>
          <w:bCs/>
          <w:i/>
          <w:iCs/>
          <w:sz w:val="24"/>
          <w:szCs w:val="24"/>
          <w:shd w:val="clear" w:color="auto" w:fill="FFFFFF"/>
        </w:rPr>
        <w:fldChar w:fldCharType="end"/>
      </w:r>
      <w:r>
        <w:rPr>
          <w:rFonts w:eastAsia="Calibri"/>
          <w:i/>
          <w:sz w:val="24"/>
          <w:szCs w:val="24"/>
          <w:shd w:val="clear" w:color="auto" w:fill="FFFFFF"/>
        </w:rPr>
        <w:t>.</w:t>
      </w:r>
    </w:p>
    <w:p w14:paraId="57CBE38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3.5.7.</w:t>
      </w:r>
      <w:r>
        <w:rPr>
          <w:rFonts w:eastAsia="Calibri"/>
          <w:i/>
          <w:sz w:val="24"/>
          <w:szCs w:val="24"/>
          <w:shd w:val="clear" w:color="auto" w:fill="FFFFFF"/>
        </w:rPr>
        <w:t> Ușile încăperilor care debușează în circulațiile comune orizontale deschise spre atrium, se alcătuiesc și echipează conform prevederilor normativului referitoare la comunicarea între spații cu destinații diferite și căi de evacuare.</w:t>
      </w:r>
    </w:p>
    <w:p w14:paraId="43E377B2"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3.5.8.</w:t>
      </w:r>
      <w:r>
        <w:rPr>
          <w:rFonts w:eastAsia="Calibri"/>
          <w:i/>
          <w:sz w:val="24"/>
          <w:szCs w:val="24"/>
          <w:shd w:val="clear" w:color="auto" w:fill="FFFFFF"/>
        </w:rPr>
        <w:t xml:space="preserve"> Deschiderea ușilor de pe traseul de evacuare a mai mult de </w:t>
      </w:r>
      <w:r>
        <w:rPr>
          <w:rFonts w:eastAsia="Calibri"/>
          <w:b/>
          <w:bCs/>
          <w:i/>
          <w:sz w:val="24"/>
          <w:szCs w:val="24"/>
          <w:shd w:val="clear" w:color="auto" w:fill="FFFFFF"/>
        </w:rPr>
        <w:t>30</w:t>
      </w:r>
      <w:r>
        <w:rPr>
          <w:rFonts w:eastAsia="Calibri"/>
          <w:i/>
          <w:sz w:val="24"/>
          <w:szCs w:val="24"/>
          <w:shd w:val="clear" w:color="auto" w:fill="FFFFFF"/>
        </w:rPr>
        <w:t xml:space="preserve"> de persoane valide trebuie să se facă în sensul deplasării spre exterior.</w:t>
      </w:r>
    </w:p>
    <w:p w14:paraId="0873CB79" w14:textId="77777777" w:rsidR="001C08A5" w:rsidRDefault="00000000">
      <w:pPr>
        <w:pStyle w:val="Heading3"/>
        <w:rPr>
          <w:i/>
          <w:iCs/>
          <w:sz w:val="24"/>
          <w:szCs w:val="24"/>
        </w:rPr>
      </w:pPr>
      <w:bookmarkStart w:id="10835" w:name="_Toc3497"/>
      <w:bookmarkStart w:id="10836" w:name="_Toc26048"/>
      <w:bookmarkStart w:id="10837" w:name="_Toc31333"/>
      <w:bookmarkStart w:id="10838" w:name="_Toc1569"/>
      <w:bookmarkStart w:id="10839" w:name="_Toc17215"/>
      <w:bookmarkStart w:id="10840" w:name="_Toc162355581"/>
      <w:r>
        <w:rPr>
          <w:i/>
          <w:iCs/>
          <w:sz w:val="24"/>
          <w:szCs w:val="24"/>
        </w:rPr>
        <w:lastRenderedPageBreak/>
        <w:t>A.10. 3.6. INSTALAȚII UTILITARE AFERENTE CLĂDIRILOR CIVILE (PUBLICE)  EXISTENTE</w:t>
      </w:r>
      <w:bookmarkEnd w:id="10835"/>
      <w:bookmarkEnd w:id="10836"/>
      <w:bookmarkEnd w:id="10837"/>
      <w:bookmarkEnd w:id="10838"/>
      <w:bookmarkEnd w:id="10839"/>
      <w:bookmarkEnd w:id="10840"/>
    </w:p>
    <w:p w14:paraId="5D51925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3.6.1.</w:t>
      </w:r>
      <w:r>
        <w:rPr>
          <w:rFonts w:eastAsia="Calibri"/>
          <w:i/>
          <w:sz w:val="24"/>
          <w:szCs w:val="24"/>
          <w:shd w:val="clear" w:color="auto" w:fill="FFFFFF"/>
        </w:rPr>
        <w:t> Echiparea cu instalații utilitare aferente clădirilor civile (publice) existente, se asigură în conformitate cu prevederile reglementărilor de specialitate.</w:t>
      </w:r>
    </w:p>
    <w:p w14:paraId="1D67BB9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3.6.2.</w:t>
      </w:r>
      <w:r>
        <w:rPr>
          <w:rFonts w:eastAsia="Calibri"/>
          <w:i/>
          <w:sz w:val="24"/>
          <w:szCs w:val="24"/>
          <w:shd w:val="clear" w:color="auto" w:fill="FFFFFF"/>
        </w:rPr>
        <w:t xml:space="preserve"> Centralele termice de regulă, pot fi amplasate în clădirile civile (publice) cu condiția separării lor față de restul construcției prin pereți și planșee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și rezistente la foc minimum 3 ore (</w:t>
      </w:r>
      <w:r>
        <w:rPr>
          <w:rFonts w:eastAsia="Calibri"/>
          <w:b/>
          <w:bCs/>
          <w:i/>
          <w:sz w:val="24"/>
          <w:szCs w:val="24"/>
          <w:shd w:val="clear" w:color="auto" w:fill="FFFFFF"/>
        </w:rPr>
        <w:t>EI/REI180</w:t>
      </w:r>
      <w:r>
        <w:rPr>
          <w:rFonts w:eastAsia="Calibri"/>
          <w:i/>
          <w:sz w:val="24"/>
          <w:szCs w:val="24"/>
          <w:shd w:val="clear" w:color="auto" w:fill="FFFFFF"/>
        </w:rPr>
        <w:t>) pentru pereți și 2 ore (</w:t>
      </w:r>
      <w:r>
        <w:rPr>
          <w:rFonts w:eastAsia="Calibri"/>
          <w:b/>
          <w:bCs/>
          <w:i/>
          <w:sz w:val="24"/>
          <w:szCs w:val="24"/>
          <w:shd w:val="clear" w:color="auto" w:fill="FFFFFF"/>
        </w:rPr>
        <w:t>REI120</w:t>
      </w:r>
      <w:r>
        <w:rPr>
          <w:rFonts w:eastAsia="Calibri"/>
          <w:i/>
          <w:sz w:val="24"/>
          <w:szCs w:val="24"/>
          <w:shd w:val="clear" w:color="auto" w:fill="FFFFFF"/>
        </w:rPr>
        <w:t>) pentru planșee, cu acces dintr-un coridor interior, cu excepțiile stabilite în anexă.</w:t>
      </w:r>
    </w:p>
    <w:p w14:paraId="2F95761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3.6.3.</w:t>
      </w:r>
      <w:r>
        <w:rPr>
          <w:rFonts w:eastAsia="Calibri"/>
          <w:i/>
          <w:sz w:val="24"/>
          <w:szCs w:val="24"/>
          <w:shd w:val="clear" w:color="auto" w:fill="FFFFFF"/>
        </w:rPr>
        <w:t xml:space="preserve"> Amplasarea rezervoarelor de lichide combustibile cu temperatura de inflamabilitate a vaporilor mai mică de </w:t>
      </w:r>
      <w:r>
        <w:rPr>
          <w:rFonts w:eastAsia="Calibri"/>
          <w:b/>
          <w:bCs/>
          <w:i/>
          <w:sz w:val="24"/>
          <w:szCs w:val="24"/>
          <w:shd w:val="clear" w:color="auto" w:fill="FFFFFF"/>
        </w:rPr>
        <w:t>55°C</w:t>
      </w:r>
      <w:r>
        <w:rPr>
          <w:rFonts w:eastAsia="Calibri"/>
          <w:i/>
          <w:sz w:val="24"/>
          <w:szCs w:val="24"/>
          <w:shd w:val="clear" w:color="auto" w:fill="FFFFFF"/>
        </w:rPr>
        <w:t xml:space="preserve"> în clădiri civile (publice) existente, de regulă, nu este admisă, cu excepția celor de alimentare a centralelor termice și a grupurilor electrogene aferente clădirii existente, în cantitățile și cu măsurile de protecție stabilite în anexă și în reglementările tehnice de specialitate.</w:t>
      </w:r>
    </w:p>
    <w:p w14:paraId="13E0141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3.6.4.</w:t>
      </w:r>
      <w:r>
        <w:rPr>
          <w:rFonts w:eastAsia="Calibri"/>
          <w:i/>
          <w:sz w:val="24"/>
          <w:szCs w:val="24"/>
          <w:shd w:val="clear" w:color="auto" w:fill="FFFFFF"/>
        </w:rPr>
        <w:t> Pentru instalațiile de încălzire care utilizează gaze sau lichide combustibile, se vor respecta regulile tehnice și de siguranță specifice, conform reglementărilor tehnice de specialitate.</w:t>
      </w:r>
    </w:p>
    <w:p w14:paraId="166F97F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3.6.5.</w:t>
      </w:r>
      <w:r>
        <w:rPr>
          <w:rFonts w:eastAsia="Calibri"/>
          <w:i/>
          <w:sz w:val="24"/>
          <w:szCs w:val="24"/>
          <w:shd w:val="clear" w:color="auto" w:fill="FFFFFF"/>
        </w:rPr>
        <w:t xml:space="preserve"> Bucătăriile și preparările calde vor fi izolate de spațiile accesibile publicului, de regulă, prin pereți și planșee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minimum o oră (</w:t>
      </w:r>
      <w:r>
        <w:rPr>
          <w:rFonts w:eastAsia="Calibri"/>
          <w:b/>
          <w:bCs/>
          <w:i/>
          <w:sz w:val="24"/>
          <w:szCs w:val="24"/>
          <w:shd w:val="clear" w:color="auto" w:fill="FFFFFF"/>
        </w:rPr>
        <w:t xml:space="preserve">EI/REI60 </w:t>
      </w:r>
      <w:r>
        <w:rPr>
          <w:rFonts w:eastAsia="Calibri"/>
          <w:i/>
          <w:sz w:val="24"/>
          <w:szCs w:val="24"/>
          <w:shd w:val="clear" w:color="auto" w:fill="FFFFFF"/>
        </w:rPr>
        <w:t xml:space="preserve">pentru pereți și </w:t>
      </w:r>
      <w:r>
        <w:rPr>
          <w:rFonts w:eastAsia="Calibri"/>
          <w:b/>
          <w:bCs/>
          <w:i/>
          <w:sz w:val="24"/>
          <w:szCs w:val="24"/>
          <w:shd w:val="clear" w:color="auto" w:fill="FFFFFF"/>
        </w:rPr>
        <w:t>REI60</w:t>
      </w:r>
      <w:r>
        <w:rPr>
          <w:rFonts w:eastAsia="Calibri"/>
          <w:i/>
          <w:sz w:val="24"/>
          <w:szCs w:val="24"/>
          <w:shd w:val="clear" w:color="auto" w:fill="FFFFFF"/>
        </w:rPr>
        <w:t xml:space="preserve"> pentru planșee), iar ușile de comunicare vor fi etanșe minimum 15 minute (</w:t>
      </w:r>
      <w:r>
        <w:rPr>
          <w:rFonts w:eastAsia="Calibri"/>
          <w:b/>
          <w:bCs/>
          <w:i/>
          <w:sz w:val="24"/>
          <w:szCs w:val="24"/>
          <w:shd w:val="clear" w:color="auto" w:fill="FFFFFF"/>
        </w:rPr>
        <w:t>E15-C</w:t>
      </w:r>
      <w:r>
        <w:rPr>
          <w:rFonts w:eastAsia="Calibri"/>
          <w:i/>
          <w:sz w:val="24"/>
          <w:szCs w:val="24"/>
          <w:shd w:val="clear" w:color="auto" w:fill="FFFFFF"/>
        </w:rPr>
        <w:t>). Fac excepție situațiile precizate în anexă.</w:t>
      </w:r>
    </w:p>
    <w:p w14:paraId="5226926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3.6.6.</w:t>
      </w:r>
      <w:r>
        <w:rPr>
          <w:rFonts w:eastAsia="Calibri"/>
          <w:i/>
          <w:sz w:val="24"/>
          <w:szCs w:val="24"/>
          <w:shd w:val="clear" w:color="auto" w:fill="FFFFFF"/>
        </w:rPr>
        <w:t xml:space="preserve"> Bucătăriile și preparările calde dispuse liber în spațiile publice existente vor fi delimitate cu ecrane de minimum </w:t>
      </w:r>
      <w:r>
        <w:rPr>
          <w:rFonts w:eastAsia="Calibri"/>
          <w:b/>
          <w:bCs/>
          <w:i/>
          <w:sz w:val="24"/>
          <w:szCs w:val="24"/>
          <w:shd w:val="clear" w:color="auto" w:fill="FFFFFF"/>
        </w:rPr>
        <w:t>50 cm</w:t>
      </w:r>
      <w:r>
        <w:rPr>
          <w:rFonts w:eastAsia="Calibri"/>
          <w:i/>
          <w:sz w:val="24"/>
          <w:szCs w:val="24"/>
          <w:shd w:val="clear" w:color="auto" w:fill="FFFFFF"/>
        </w:rPr>
        <w:t xml:space="preserve"> sub plafon realizate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minimă la foc de 15 minute (</w:t>
      </w:r>
      <w:r>
        <w:rPr>
          <w:rFonts w:eastAsia="Calibri"/>
          <w:b/>
          <w:bCs/>
          <w:i/>
          <w:sz w:val="24"/>
          <w:szCs w:val="24"/>
          <w:shd w:val="clear" w:color="auto" w:fill="FFFFFF"/>
        </w:rPr>
        <w:t>EI15-C</w:t>
      </w:r>
      <w:r>
        <w:rPr>
          <w:rFonts w:eastAsia="Calibri"/>
          <w:i/>
          <w:sz w:val="24"/>
          <w:szCs w:val="24"/>
          <w:shd w:val="clear" w:color="auto" w:fill="FFFFFF"/>
        </w:rPr>
        <w:t>) și asigurate în depresiune față de restul spațiului în care sunt amplasate. La bucătăriile situate în clădirile existente înalte, foarte înalte sau cu săli aglomerate, hotele se prevăd cu instalații speciale de stingere.</w:t>
      </w:r>
    </w:p>
    <w:p w14:paraId="2CCAB2C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3.6.7.</w:t>
      </w:r>
      <w:r>
        <w:rPr>
          <w:rFonts w:eastAsia="Calibri"/>
          <w:i/>
          <w:sz w:val="24"/>
          <w:szCs w:val="24"/>
          <w:shd w:val="clear" w:color="auto" w:fill="FFFFFF"/>
        </w:rPr>
        <w:t> Instalațiile de ventilare mecanică și de condiționare, trebuie proiectate și realizate astfel încât să evite propagarea focului și a fumului în construcția civilă (publică) existentă.</w:t>
      </w:r>
    </w:p>
    <w:p w14:paraId="7738B1A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3.6.8.</w:t>
      </w:r>
      <w:r>
        <w:rPr>
          <w:rFonts w:eastAsia="Calibri"/>
          <w:i/>
          <w:sz w:val="24"/>
          <w:szCs w:val="24"/>
          <w:shd w:val="clear" w:color="auto" w:fill="FFFFFF"/>
        </w:rPr>
        <w:t xml:space="preserve"> Canalele de ventilare vor fi realizate din materiale </w:t>
      </w:r>
      <w:r>
        <w:rPr>
          <w:rFonts w:eastAsia="TimesNewRomanPSMT-Identity-H"/>
          <w:i/>
          <w:sz w:val="24"/>
          <w:szCs w:val="24"/>
        </w:rPr>
        <w:t xml:space="preserve">clasa de reacție la foc </w:t>
      </w:r>
      <w:r>
        <w:rPr>
          <w:b/>
          <w:bCs/>
          <w:i/>
          <w:sz w:val="24"/>
          <w:szCs w:val="24"/>
          <w:lang w:val="en-GB"/>
        </w:rPr>
        <w:t>A1, A2s1d0</w:t>
      </w:r>
      <w:r>
        <w:rPr>
          <w:b/>
          <w:bCs/>
          <w:i/>
          <w:sz w:val="24"/>
          <w:szCs w:val="24"/>
        </w:rPr>
        <w:t xml:space="preserve"> </w:t>
      </w:r>
      <w:r>
        <w:rPr>
          <w:i/>
          <w:sz w:val="24"/>
          <w:szCs w:val="24"/>
        </w:rPr>
        <w:t>sau</w:t>
      </w:r>
      <w:r>
        <w:rPr>
          <w:rFonts w:eastAsia="Calibri"/>
          <w:i/>
          <w:sz w:val="24"/>
          <w:szCs w:val="24"/>
          <w:shd w:val="clear" w:color="auto" w:fill="FFFFFF"/>
        </w:rPr>
        <w:t xml:space="preserve"> conform reglementărilor specifice.</w:t>
      </w:r>
    </w:p>
    <w:p w14:paraId="5504A3E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3.6.9.</w:t>
      </w:r>
      <w:r>
        <w:rPr>
          <w:rFonts w:eastAsia="Calibri"/>
          <w:i/>
          <w:sz w:val="24"/>
          <w:szCs w:val="24"/>
          <w:shd w:val="clear" w:color="auto" w:fill="FFFFFF"/>
        </w:rPr>
        <w:t> Instalațiile electrice vor fi proiectate și realizate conform reglementărilor specifice și nu vor fi utilizate canalizații (trasee) prin care să se propage focul.</w:t>
      </w:r>
    </w:p>
    <w:p w14:paraId="2E1059A4" w14:textId="77777777" w:rsidR="001C08A5" w:rsidRDefault="00000000">
      <w:pPr>
        <w:pStyle w:val="Heading3"/>
        <w:rPr>
          <w:i/>
          <w:iCs/>
          <w:sz w:val="24"/>
          <w:szCs w:val="24"/>
        </w:rPr>
      </w:pPr>
      <w:bookmarkStart w:id="10841" w:name="_Toc13670"/>
      <w:bookmarkStart w:id="10842" w:name="_Toc162355582"/>
      <w:bookmarkStart w:id="10843" w:name="_Toc25449"/>
      <w:bookmarkStart w:id="10844" w:name="_Toc4491"/>
      <w:bookmarkStart w:id="10845" w:name="_Toc17104"/>
      <w:bookmarkStart w:id="10846" w:name="_Toc28350"/>
      <w:r>
        <w:rPr>
          <w:i/>
          <w:iCs/>
          <w:sz w:val="24"/>
          <w:szCs w:val="24"/>
        </w:rPr>
        <w:t>A.10. 3.7. CĂI DE ACCES, INTERVENȚIE ȘI SALVARE</w:t>
      </w:r>
      <w:bookmarkEnd w:id="10841"/>
      <w:bookmarkEnd w:id="10842"/>
      <w:bookmarkEnd w:id="10843"/>
      <w:bookmarkEnd w:id="10844"/>
      <w:bookmarkEnd w:id="10845"/>
      <w:bookmarkEnd w:id="10846"/>
    </w:p>
    <w:p w14:paraId="444BAD1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3.7.1.</w:t>
      </w:r>
      <w:r>
        <w:rPr>
          <w:rFonts w:eastAsia="Calibri"/>
          <w:i/>
          <w:sz w:val="24"/>
          <w:szCs w:val="24"/>
          <w:shd w:val="clear" w:color="auto" w:fill="FFFFFF"/>
        </w:rPr>
        <w:t> Construcțiile civile (publice) existente vor avea asigurate căi de acces, intervenție și salvare, corespunzător alcătuite dimensionate și marcate, astfel încât să poată fi utilizate de personalul care intervine încazde incendiu.</w:t>
      </w:r>
    </w:p>
    <w:p w14:paraId="263B196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3.7.2.</w:t>
      </w:r>
      <w:r>
        <w:rPr>
          <w:rFonts w:eastAsia="Calibri"/>
          <w:i/>
          <w:sz w:val="24"/>
          <w:szCs w:val="24"/>
          <w:shd w:val="clear" w:color="auto" w:fill="FFFFFF"/>
        </w:rPr>
        <w:t> Căile de intervenție exterioare vor permite accesul ușor al autospecialelor de intervenție ale pompierilor, fiind marcate și menținute permanent libere. De regulă, vor asigura intervenția cel puțin la o fațadă a clădirii existente, cu excepția situațiilor precizate în prezenta anexă.</w:t>
      </w:r>
    </w:p>
    <w:p w14:paraId="444A4F0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3.7.3.</w:t>
      </w:r>
      <w:r>
        <w:rPr>
          <w:rFonts w:eastAsia="Calibri"/>
          <w:i/>
          <w:sz w:val="24"/>
          <w:szCs w:val="24"/>
          <w:shd w:val="clear" w:color="auto" w:fill="FFFFFF"/>
        </w:rPr>
        <w:t> În interiorul construcțiilor civile (publice) existente căile de intervenție ale pompierilor, marcate corespunzător, vor permite accesul ușor la principalele circulații funcționale (orizontale și verticale), precum și la spațiile cu risc sau pericol de incendiu.</w:t>
      </w:r>
    </w:p>
    <w:p w14:paraId="71C755E6" w14:textId="77777777" w:rsidR="001C08A5" w:rsidRDefault="00000000">
      <w:pPr>
        <w:pStyle w:val="Heading3"/>
        <w:rPr>
          <w:i/>
          <w:iCs/>
          <w:sz w:val="24"/>
          <w:szCs w:val="24"/>
        </w:rPr>
      </w:pPr>
      <w:bookmarkStart w:id="10847" w:name="_Toc26773"/>
      <w:bookmarkStart w:id="10848" w:name="_Toc27251"/>
      <w:bookmarkStart w:id="10849" w:name="_Toc30564"/>
      <w:bookmarkStart w:id="10850" w:name="_Toc6354"/>
      <w:bookmarkStart w:id="10851" w:name="_Toc162355583"/>
      <w:bookmarkStart w:id="10852" w:name="_Toc5733"/>
      <w:r>
        <w:rPr>
          <w:i/>
          <w:iCs/>
          <w:sz w:val="24"/>
          <w:szCs w:val="24"/>
        </w:rPr>
        <w:t>A.10. 3.8. DOTAREA CU MIJLOACE DE INTERVENȚIE, SERVICIUL DE POMPIERI</w:t>
      </w:r>
      <w:bookmarkEnd w:id="10847"/>
      <w:bookmarkEnd w:id="10848"/>
      <w:bookmarkEnd w:id="10849"/>
      <w:bookmarkEnd w:id="10850"/>
      <w:bookmarkEnd w:id="10851"/>
      <w:bookmarkEnd w:id="10852"/>
    </w:p>
    <w:p w14:paraId="073750E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3.8.1.</w:t>
      </w:r>
      <w:r>
        <w:rPr>
          <w:rFonts w:eastAsia="Calibri"/>
          <w:i/>
          <w:sz w:val="24"/>
          <w:szCs w:val="24"/>
          <w:shd w:val="clear" w:color="auto" w:fill="FFFFFF"/>
        </w:rPr>
        <w:t xml:space="preserve"> Clădirile civile (publice) existent se dotează cu stingătoare, asigurându-se un stingător portativ cu pulbere de </w:t>
      </w:r>
      <w:r>
        <w:rPr>
          <w:rFonts w:eastAsia="Calibri"/>
          <w:b/>
          <w:bCs/>
          <w:i/>
          <w:sz w:val="24"/>
          <w:szCs w:val="24"/>
          <w:shd w:val="clear" w:color="auto" w:fill="FFFFFF"/>
        </w:rPr>
        <w:t>6 Kg</w:t>
      </w:r>
      <w:r>
        <w:rPr>
          <w:rFonts w:eastAsia="Calibri"/>
          <w:i/>
          <w:sz w:val="24"/>
          <w:szCs w:val="24"/>
          <w:shd w:val="clear" w:color="auto" w:fill="FFFFFF"/>
        </w:rPr>
        <w:t xml:space="preserve"> sau echivalentul acestuia pentru o arie construită de maximum </w:t>
      </w:r>
      <w:r>
        <w:rPr>
          <w:rFonts w:eastAsia="Calibri"/>
          <w:b/>
          <w:bCs/>
          <w:i/>
          <w:sz w:val="24"/>
          <w:szCs w:val="24"/>
          <w:shd w:val="clear" w:color="auto" w:fill="FFFFFF"/>
        </w:rPr>
        <w:t>250 m</w:t>
      </w:r>
      <w:r>
        <w:rPr>
          <w:rFonts w:eastAsia="Calibri"/>
          <w:b/>
          <w:bCs/>
          <w:i/>
          <w:sz w:val="24"/>
          <w:szCs w:val="24"/>
          <w:shd w:val="clear" w:color="auto" w:fill="FFFFFF"/>
          <w:vertAlign w:val="superscript"/>
        </w:rPr>
        <w:t>2</w:t>
      </w:r>
      <w:r>
        <w:rPr>
          <w:rFonts w:eastAsia="Calibri"/>
          <w:i/>
          <w:sz w:val="24"/>
          <w:szCs w:val="24"/>
          <w:shd w:val="clear" w:color="auto" w:fill="FFFFFF"/>
        </w:rPr>
        <w:t>, dar minimum 2 stingătoare pe fiecare nivel al clădirii existente. Stingătoarele portative trebuie să conțină produsul de stingere și cantitatea corespunzătoare clasei de periculozitate, previzibile în spațiul respectiv.</w:t>
      </w:r>
    </w:p>
    <w:p w14:paraId="702709E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3.8.2.</w:t>
      </w:r>
      <w:r>
        <w:rPr>
          <w:rFonts w:eastAsia="Calibri"/>
          <w:i/>
          <w:sz w:val="24"/>
          <w:szCs w:val="24"/>
          <w:shd w:val="clear" w:color="auto" w:fill="FFFFFF"/>
        </w:rPr>
        <w:t> Toate mijloacele de intervenție cu care se echipează și dotează clădirile civile (publice) existente vor fi ușor accesibile personalului și menținute în stare de funcționare.</w:t>
      </w:r>
    </w:p>
    <w:p w14:paraId="24B2C86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3.8.3.</w:t>
      </w:r>
      <w:r>
        <w:rPr>
          <w:rFonts w:eastAsia="Calibri"/>
          <w:i/>
          <w:sz w:val="24"/>
          <w:szCs w:val="24"/>
          <w:shd w:val="clear" w:color="auto" w:fill="FFFFFF"/>
        </w:rPr>
        <w:t> În spațiile și încăperile cu risc mare de incendiu sau în care se află substanțe periculoase (parcaje, comerț, etc), după caz se prevăd și stingătoare transportabile, potrivit reglementărilor specifice.</w:t>
      </w:r>
    </w:p>
    <w:p w14:paraId="79BF760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3.8.4.</w:t>
      </w:r>
      <w:r>
        <w:rPr>
          <w:rFonts w:eastAsia="Calibri"/>
          <w:i/>
          <w:sz w:val="24"/>
          <w:szCs w:val="24"/>
          <w:shd w:val="clear" w:color="auto" w:fill="FFFFFF"/>
        </w:rPr>
        <w:t> Organizarea serviciului de pompieri civili, echiparea și dotarea acestuia, se stabilesc potrivit reglementărilor, funcție de destinație, vulnerabilitate, și nivelul de echipare al clădirii existente.</w:t>
      </w:r>
    </w:p>
    <w:p w14:paraId="411FDD7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3.8.5.</w:t>
      </w:r>
      <w:r>
        <w:rPr>
          <w:rFonts w:eastAsia="Calibri"/>
          <w:i/>
          <w:sz w:val="24"/>
          <w:szCs w:val="24"/>
          <w:shd w:val="clear" w:color="auto" w:fill="FFFFFF"/>
        </w:rPr>
        <w:t> De regulă, construcțiile civile (publice) existente vor avea constituite servicii de pompieri civili atunci când capacitatea maximă simultană depășește 500 persoane, precum și atunci când mijloacele de stingere a incendiilor cu care sunt echipate nu sunt cu acționare automată.</w:t>
      </w:r>
    </w:p>
    <w:p w14:paraId="7E80AA1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3.8.6.</w:t>
      </w:r>
      <w:r>
        <w:rPr>
          <w:rFonts w:eastAsia="Calibri"/>
          <w:i/>
          <w:sz w:val="24"/>
          <w:szCs w:val="24"/>
          <w:shd w:val="clear" w:color="auto" w:fill="FFFFFF"/>
        </w:rPr>
        <w:t> Clădirile civile (publice) existent echipate cu instalații automate de semnalizare și stingere a incendiilor, vor avea constituite servicii de pompieri care să asigure numai supravegherea și acționarea instalațiilor specifice.</w:t>
      </w:r>
    </w:p>
    <w:p w14:paraId="290A68EF"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3.8.7.</w:t>
      </w:r>
      <w:r>
        <w:rPr>
          <w:rFonts w:eastAsia="Calibri"/>
          <w:i/>
          <w:sz w:val="24"/>
          <w:szCs w:val="24"/>
          <w:shd w:val="clear" w:color="auto" w:fill="FFFFFF"/>
        </w:rPr>
        <w:t> Numărul personalului serviciului de pompieri se stabilește în funcție de activitățile operative necesare, riscul de incendiu, importanța și vulnerabilitatea construcției existente, efectele incendiului, etc. potrivit reglementărilor tehnice specifice.</w:t>
      </w:r>
    </w:p>
    <w:p w14:paraId="0F686960" w14:textId="77777777" w:rsidR="001C08A5" w:rsidRDefault="00000000">
      <w:pPr>
        <w:pStyle w:val="Heading3"/>
        <w:rPr>
          <w:i/>
          <w:iCs/>
          <w:sz w:val="24"/>
          <w:szCs w:val="24"/>
        </w:rPr>
      </w:pPr>
      <w:bookmarkStart w:id="10853" w:name="_Toc24558"/>
      <w:bookmarkStart w:id="10854" w:name="_Toc8792"/>
      <w:bookmarkStart w:id="10855" w:name="_Toc24449"/>
      <w:bookmarkStart w:id="10856" w:name="_Toc162355584"/>
      <w:bookmarkStart w:id="10857" w:name="_Toc25867"/>
      <w:bookmarkStart w:id="10858" w:name="_Toc24572"/>
      <w:r>
        <w:rPr>
          <w:i/>
          <w:iCs/>
          <w:sz w:val="24"/>
          <w:szCs w:val="24"/>
        </w:rPr>
        <w:t>A.10. 3.9. EVACUARE FUM (DESFUMARE) ȘI GAZE FIERBINȚI</w:t>
      </w:r>
      <w:bookmarkEnd w:id="10853"/>
      <w:bookmarkEnd w:id="10854"/>
      <w:bookmarkEnd w:id="10855"/>
      <w:bookmarkEnd w:id="10856"/>
      <w:bookmarkEnd w:id="10857"/>
      <w:bookmarkEnd w:id="10858"/>
    </w:p>
    <w:p w14:paraId="339F4578"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3.9.1.</w:t>
      </w:r>
      <w:r>
        <w:rPr>
          <w:rFonts w:eastAsia="Calibri"/>
          <w:i/>
          <w:sz w:val="24"/>
          <w:szCs w:val="24"/>
          <w:shd w:val="clear" w:color="auto" w:fill="FFFFFF"/>
        </w:rPr>
        <w:t> În general, spațiile accesibile publicului vor fi astfel realizate și protejate încât să fie ferite de fum în caz de incendiu, respectându-se condițiile specifice stabilite prin prezenta anexă referitoare la desfumare (Capitolul 9 - Secţiunea V - Evacuare fum (desfumare) și gaze fierbinți).</w:t>
      </w:r>
    </w:p>
    <w:p w14:paraId="0038CBE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3.9.2.</w:t>
      </w:r>
      <w:r>
        <w:rPr>
          <w:rFonts w:eastAsia="Calibri"/>
          <w:i/>
          <w:sz w:val="24"/>
          <w:szCs w:val="24"/>
          <w:shd w:val="clear" w:color="auto" w:fill="FFFFFF"/>
        </w:rPr>
        <w:t> Încăperile de depozitare a materialelor și substanțelor combustibile solide, cu aria mai mare de 36 m</w:t>
      </w:r>
      <w:r>
        <w:rPr>
          <w:rFonts w:eastAsia="Calibri"/>
          <w:i/>
          <w:sz w:val="24"/>
          <w:szCs w:val="24"/>
          <w:shd w:val="clear" w:color="auto" w:fill="FFFFFF"/>
          <w:vertAlign w:val="superscript"/>
        </w:rPr>
        <w:t>2</w:t>
      </w:r>
      <w:r>
        <w:rPr>
          <w:rFonts w:eastAsia="Calibri"/>
          <w:i/>
          <w:sz w:val="24"/>
          <w:szCs w:val="24"/>
          <w:shd w:val="clear" w:color="auto" w:fill="FFFFFF"/>
        </w:rPr>
        <w:t xml:space="preserve">, precum și casele de scări de evacuare și încăperile tampon fără lumină naturală, se prevăd cu dispozitive de evacuare a fumului, reprezentând minimum </w:t>
      </w:r>
      <w:r>
        <w:rPr>
          <w:rFonts w:eastAsia="Calibri"/>
          <w:b/>
          <w:bCs/>
          <w:i/>
          <w:sz w:val="24"/>
          <w:szCs w:val="24"/>
          <w:shd w:val="clear" w:color="auto" w:fill="FFFFFF"/>
        </w:rPr>
        <w:t>1 %</w:t>
      </w:r>
      <w:r>
        <w:rPr>
          <w:rFonts w:eastAsia="Calibri"/>
          <w:i/>
          <w:sz w:val="24"/>
          <w:szCs w:val="24"/>
          <w:shd w:val="clear" w:color="auto" w:fill="FFFFFF"/>
        </w:rPr>
        <w:t xml:space="preserve"> din aria respectivă a depozitului și </w:t>
      </w:r>
      <w:r>
        <w:rPr>
          <w:rFonts w:eastAsia="Calibri"/>
          <w:b/>
          <w:bCs/>
          <w:i/>
          <w:sz w:val="24"/>
          <w:szCs w:val="24"/>
          <w:shd w:val="clear" w:color="auto" w:fill="FFFFFF"/>
        </w:rPr>
        <w:t>5%</w:t>
      </w:r>
      <w:r>
        <w:rPr>
          <w:rFonts w:eastAsia="Calibri"/>
          <w:i/>
          <w:sz w:val="24"/>
          <w:szCs w:val="24"/>
          <w:shd w:val="clear" w:color="auto" w:fill="FFFFFF"/>
        </w:rPr>
        <w:t xml:space="preserve"> a ariei construite a casei de scări (dar minimum </w:t>
      </w:r>
      <w:r>
        <w:rPr>
          <w:rFonts w:eastAsia="Calibri"/>
          <w:b/>
          <w:bCs/>
          <w:i/>
          <w:sz w:val="24"/>
          <w:szCs w:val="24"/>
          <w:shd w:val="clear" w:color="auto" w:fill="FFFFFF"/>
        </w:rPr>
        <w:t>1 m</w:t>
      </w:r>
      <w:r>
        <w:rPr>
          <w:rFonts w:eastAsia="Calibri"/>
          <w:b/>
          <w:bCs/>
          <w:i/>
          <w:sz w:val="24"/>
          <w:szCs w:val="24"/>
          <w:shd w:val="clear" w:color="auto" w:fill="FFFFFF"/>
          <w:vertAlign w:val="superscript"/>
        </w:rPr>
        <w:t>2</w:t>
      </w:r>
      <w:r>
        <w:rPr>
          <w:rFonts w:eastAsia="Calibri"/>
          <w:i/>
          <w:sz w:val="24"/>
          <w:szCs w:val="24"/>
          <w:shd w:val="clear" w:color="auto" w:fill="FFFFFF"/>
        </w:rPr>
        <w:t> pentru fiecare scară), sau cu sisteme mecanice de evacuare a fumului.</w:t>
      </w:r>
    </w:p>
    <w:p w14:paraId="1DF36FC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3.9.3.</w:t>
      </w:r>
      <w:r>
        <w:rPr>
          <w:rFonts w:eastAsia="Calibri"/>
          <w:i/>
          <w:sz w:val="24"/>
          <w:szCs w:val="24"/>
          <w:shd w:val="clear" w:color="auto" w:fill="FFFFFF"/>
        </w:rPr>
        <w:t> Circulațiile comune orizontale, inclusiv încăperile tampon și casele de scări de evacuare ale nivelurilor subterane închise, destinate publicului, vor fi prevăzute cu sisteme independente de evacuare afumului (desfumare) față de nivelurile supraterane.</w:t>
      </w:r>
    </w:p>
    <w:p w14:paraId="1F13FFB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3.9.4.</w:t>
      </w:r>
      <w:r>
        <w:rPr>
          <w:rFonts w:eastAsia="Calibri"/>
          <w:i/>
          <w:sz w:val="24"/>
          <w:szCs w:val="24"/>
          <w:shd w:val="clear" w:color="auto" w:fill="FFFFFF"/>
        </w:rPr>
        <w:t xml:space="preserve"> Asigurarea evacuării fumului din atriumuri în caz de incendiu, este obligatorie. Acesta se realizează prin dispozitive cu deschidere automată, care să asigure o suprafață liberă de minimum </w:t>
      </w:r>
      <w:r>
        <w:rPr>
          <w:rFonts w:eastAsia="Calibri"/>
          <w:b/>
          <w:bCs/>
          <w:i/>
          <w:sz w:val="24"/>
          <w:szCs w:val="24"/>
          <w:shd w:val="clear" w:color="auto" w:fill="FFFFFF"/>
        </w:rPr>
        <w:t>1%</w:t>
      </w:r>
      <w:r>
        <w:rPr>
          <w:rFonts w:eastAsia="Calibri"/>
          <w:i/>
          <w:sz w:val="24"/>
          <w:szCs w:val="24"/>
          <w:shd w:val="clear" w:color="auto" w:fill="FFFFFF"/>
        </w:rPr>
        <w:t xml:space="preserve"> din aria celui mai mare nivel al atriumului delimitat de pereți - fără a se lua în considerare cel de la parter - sau prin sistem de evacuare mecanică a fumului, corespunzător alcătuit și dimensionat. În ambele situații, la partea inferioară a atriumurilor se asigură posibilități de admisie a aerului. Acționările automate ale dispozitivelor de evacuare a fumului vor fi dublate de comenzi manuale dispuse la nivelul acceselor din exterior în atrium și la serviciul de pomperi Atunci când se asigură supravegherea permanentă a atriumului, evacuarea fumului (desfumarea) se poate acționa numai manual.</w:t>
      </w:r>
    </w:p>
    <w:p w14:paraId="5D469A6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3.9.5.</w:t>
      </w:r>
      <w:r>
        <w:rPr>
          <w:rFonts w:eastAsia="Calibri"/>
          <w:i/>
          <w:sz w:val="24"/>
          <w:szCs w:val="24"/>
          <w:shd w:val="clear" w:color="auto" w:fill="FFFFFF"/>
        </w:rPr>
        <w:t xml:space="preserve"> Pentru limitarea posibilităților de propagarea a fumului la etajele superioare, atunci când înălțimea atriumului este mai mare de </w:t>
      </w:r>
      <w:r>
        <w:rPr>
          <w:rFonts w:eastAsia="Calibri"/>
          <w:b/>
          <w:bCs/>
          <w:i/>
          <w:sz w:val="24"/>
          <w:szCs w:val="24"/>
          <w:shd w:val="clear" w:color="auto" w:fill="FFFFFF"/>
        </w:rPr>
        <w:t>28,00 m</w:t>
      </w:r>
      <w:r>
        <w:rPr>
          <w:rFonts w:eastAsia="Calibri"/>
          <w:i/>
          <w:sz w:val="24"/>
          <w:szCs w:val="24"/>
          <w:shd w:val="clear" w:color="auto" w:fill="FFFFFF"/>
        </w:rPr>
        <w:t xml:space="preserve">, se recomandă izolarea de atrium a nivelurilor situate în jumătatea superioară a acestuia prin închideri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minimum 15 minute (</w:t>
      </w:r>
      <w:r>
        <w:rPr>
          <w:rFonts w:eastAsia="Calibri"/>
          <w:b/>
          <w:bCs/>
          <w:i/>
          <w:sz w:val="24"/>
          <w:szCs w:val="24"/>
          <w:shd w:val="clear" w:color="auto" w:fill="FFFFFF"/>
        </w:rPr>
        <w:t>EI15</w:t>
      </w:r>
      <w:r>
        <w:rPr>
          <w:rFonts w:eastAsia="Calibri"/>
          <w:i/>
          <w:sz w:val="24"/>
          <w:szCs w:val="24"/>
          <w:shd w:val="clear" w:color="auto" w:fill="FFFFFF"/>
        </w:rPr>
        <w:t>).</w:t>
      </w:r>
    </w:p>
    <w:p w14:paraId="789D2ED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3.9.6.</w:t>
      </w:r>
      <w:r>
        <w:rPr>
          <w:rFonts w:eastAsia="Calibri"/>
          <w:i/>
          <w:sz w:val="24"/>
          <w:szCs w:val="24"/>
          <w:shd w:val="clear" w:color="auto" w:fill="FFFFFF"/>
        </w:rPr>
        <w:t> Toate încăperile și spațiile deschise direct spre atrium (magazine comerciale, expoziții și altele similare care necesită desfumare conform normativului), vor avea asigurate posibilități de evacuare a fumului în caz de incendiu (desfumări) independente de atrium.</w:t>
      </w:r>
    </w:p>
    <w:p w14:paraId="411BB3E5"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3.9.7.</w:t>
      </w:r>
      <w:r>
        <w:rPr>
          <w:rFonts w:eastAsia="Calibri"/>
          <w:i/>
          <w:sz w:val="24"/>
          <w:szCs w:val="24"/>
          <w:shd w:val="clear" w:color="auto" w:fill="FFFFFF"/>
        </w:rPr>
        <w:t xml:space="preserve"> Încăperile necompartimentate, cu aria construită mai mare de </w:t>
      </w:r>
      <w:r>
        <w:rPr>
          <w:rFonts w:eastAsia="Calibri"/>
          <w:b/>
          <w:bCs/>
          <w:i/>
          <w:sz w:val="24"/>
          <w:szCs w:val="24"/>
          <w:shd w:val="clear" w:color="auto" w:fill="FFFFFF"/>
        </w:rPr>
        <w:t>10.400 m</w:t>
      </w:r>
      <w:r>
        <w:rPr>
          <w:rFonts w:eastAsia="Calibri"/>
          <w:b/>
          <w:bCs/>
          <w:i/>
          <w:sz w:val="24"/>
          <w:szCs w:val="24"/>
          <w:shd w:val="clear" w:color="auto" w:fill="FFFFFF"/>
          <w:vertAlign w:val="superscript"/>
        </w:rPr>
        <w:t>2</w:t>
      </w:r>
      <w:r>
        <w:rPr>
          <w:rFonts w:eastAsia="Calibri"/>
          <w:i/>
          <w:sz w:val="24"/>
          <w:szCs w:val="24"/>
          <w:shd w:val="clear" w:color="auto" w:fill="FFFFFF"/>
        </w:rPr>
        <w:t> se prevăd cu sisteme de evacuare a fumului și gazele fierbinți, care să limiteze propagarea incendiilor, conform (Art.</w:t>
      </w:r>
      <w:r>
        <w:rPr>
          <w:rFonts w:eastAsia="Calibri"/>
          <w:b/>
          <w:bCs/>
          <w:i/>
          <w:sz w:val="24"/>
          <w:szCs w:val="24"/>
          <w:shd w:val="clear" w:color="auto" w:fill="FFFFFF"/>
        </w:rPr>
        <w:t xml:space="preserve"> A.10.3.9.36. </w:t>
      </w:r>
      <w:r>
        <w:rPr>
          <w:rFonts w:eastAsia="Calibri"/>
          <w:i/>
          <w:sz w:val="24"/>
          <w:szCs w:val="24"/>
          <w:shd w:val="clear" w:color="auto" w:fill="FFFFFF"/>
        </w:rPr>
        <w:t>la Art</w:t>
      </w:r>
      <w:r>
        <w:rPr>
          <w:rFonts w:eastAsia="Calibri"/>
          <w:b/>
          <w:bCs/>
          <w:i/>
          <w:sz w:val="24"/>
          <w:szCs w:val="24"/>
          <w:shd w:val="clear" w:color="auto" w:fill="FFFFFF"/>
        </w:rPr>
        <w:t>. A.10.3.9.45.</w:t>
      </w:r>
      <w:r>
        <w:rPr>
          <w:rFonts w:eastAsia="Calibri"/>
          <w:i/>
          <w:sz w:val="24"/>
          <w:szCs w:val="24"/>
          <w:shd w:val="clear" w:color="auto" w:fill="FFFFFF"/>
        </w:rPr>
        <w:t>).</w:t>
      </w:r>
    </w:p>
    <w:p w14:paraId="5ED12956" w14:textId="77777777" w:rsidR="001C08A5" w:rsidRDefault="00000000">
      <w:pPr>
        <w:pStyle w:val="Heading3"/>
        <w:rPr>
          <w:i/>
          <w:iCs/>
          <w:sz w:val="24"/>
          <w:szCs w:val="24"/>
        </w:rPr>
      </w:pPr>
      <w:bookmarkStart w:id="10859" w:name="_Toc10037"/>
      <w:bookmarkStart w:id="10860" w:name="_Toc7651"/>
      <w:bookmarkStart w:id="10861" w:name="_Toc162355585"/>
      <w:bookmarkStart w:id="10862" w:name="_Toc18486"/>
      <w:bookmarkStart w:id="10863" w:name="_Toc4872"/>
      <w:bookmarkStart w:id="10864" w:name="_Toc12721"/>
      <w:r>
        <w:rPr>
          <w:i/>
          <w:iCs/>
          <w:sz w:val="24"/>
          <w:szCs w:val="24"/>
        </w:rPr>
        <w:t>A.10. 3.10. PERFORMANȚE ALE UNOR FUNCȚIUNI (DESTINAȚII)</w:t>
      </w:r>
      <w:bookmarkEnd w:id="10859"/>
      <w:bookmarkEnd w:id="10860"/>
      <w:bookmarkEnd w:id="10861"/>
      <w:bookmarkEnd w:id="10862"/>
      <w:bookmarkEnd w:id="10863"/>
      <w:bookmarkEnd w:id="10864"/>
    </w:p>
    <w:p w14:paraId="192BBD95" w14:textId="77777777" w:rsidR="001C08A5" w:rsidRDefault="00000000">
      <w:pPr>
        <w:pStyle w:val="Heading4"/>
        <w:rPr>
          <w:sz w:val="24"/>
          <w:szCs w:val="24"/>
        </w:rPr>
      </w:pPr>
      <w:bookmarkStart w:id="10865" w:name="_Toc22588"/>
      <w:bookmarkStart w:id="10866" w:name="_Toc22309"/>
      <w:bookmarkStart w:id="10867" w:name="_Toc1454"/>
      <w:bookmarkStart w:id="10868" w:name="_Toc162355586"/>
      <w:bookmarkStart w:id="10869" w:name="_Toc22095"/>
      <w:bookmarkStart w:id="10870" w:name="_Toc7446"/>
      <w:r>
        <w:rPr>
          <w:sz w:val="24"/>
          <w:szCs w:val="24"/>
        </w:rPr>
        <w:t>Clădiri existente de locuit</w:t>
      </w:r>
      <w:bookmarkEnd w:id="10865"/>
      <w:bookmarkEnd w:id="10866"/>
      <w:bookmarkEnd w:id="10867"/>
      <w:bookmarkEnd w:id="10868"/>
      <w:bookmarkEnd w:id="10869"/>
      <w:bookmarkEnd w:id="10870"/>
      <w:r>
        <w:rPr>
          <w:sz w:val="24"/>
          <w:szCs w:val="24"/>
        </w:rPr>
        <w:t xml:space="preserve"> </w:t>
      </w:r>
    </w:p>
    <w:p w14:paraId="3E14C1D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w:t>
      </w:r>
      <w:r>
        <w:rPr>
          <w:rFonts w:eastAsia="Calibri"/>
          <w:i/>
          <w:sz w:val="24"/>
          <w:szCs w:val="24"/>
          <w:shd w:val="clear" w:color="auto" w:fill="FFFFFF"/>
        </w:rPr>
        <w:t> Clădirile existente de locuit, individuale (familiale) sau colective, independente sau comasate ori grupate în limitele compartimentelor de incendiu admise pentru clădiri civile existente, se amplasează la distanțe de siguranță, sau se compartimentează corespunzător prevederilor anexei.</w:t>
      </w:r>
    </w:p>
    <w:p w14:paraId="3D5D1E3C" w14:textId="77777777" w:rsidR="001C08A5" w:rsidRDefault="00000000">
      <w:pPr>
        <w:shd w:val="clear" w:color="auto" w:fill="FFFFFF"/>
        <w:spacing w:after="150"/>
        <w:jc w:val="both"/>
        <w:rPr>
          <w:rFonts w:eastAsia="Calibri"/>
          <w:b/>
          <w:bCs/>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3.10.2.</w:t>
      </w:r>
      <w:r>
        <w:rPr>
          <w:rFonts w:eastAsia="Calibri"/>
          <w:i/>
          <w:sz w:val="24"/>
          <w:szCs w:val="24"/>
          <w:shd w:val="clear" w:color="auto" w:fill="FFFFFF"/>
        </w:rPr>
        <w:t> Clădirile de locuit existente se realizează din materiale și elemente de construcție care asigură îndeplinirea prevederilor generale și specifice ale normativului și condițiile de corelație între nivelul de stabilitate la incendiu, numărul de niveluri și aria compartimentului de incendiu, conform prevederilor</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 xml:space="preserve">A.10.3.2.4. </w:t>
      </w:r>
      <w:r>
        <w:rPr>
          <w:rFonts w:eastAsia="Calibri"/>
          <w:i/>
          <w:sz w:val="24"/>
          <w:szCs w:val="24"/>
          <w:shd w:val="clear" w:color="auto" w:fill="FFFFFF"/>
        </w:rPr>
        <w:t>și</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A.10.3.2.5.</w:t>
      </w:r>
    </w:p>
    <w:p w14:paraId="385DC86D" w14:textId="77777777" w:rsidR="001C08A5" w:rsidRDefault="00000000">
      <w:pPr>
        <w:pStyle w:val="Caption"/>
        <w:shd w:val="clear" w:color="auto" w:fill="FFFFFF"/>
        <w:spacing w:before="0" w:after="150"/>
        <w:jc w:val="both"/>
      </w:pPr>
      <w:bookmarkStart w:id="10871" w:name="_Ref10044"/>
      <w:bookmarkStart w:id="10872" w:name="_Toc162360201"/>
      <w:r>
        <w:t xml:space="preserve">Tabelul </w:t>
      </w:r>
      <w:r>
        <w:fldChar w:fldCharType="begin"/>
      </w:r>
      <w:r>
        <w:instrText xml:space="preserve"> SEQ Tabelul \* ARABIC </w:instrText>
      </w:r>
      <w:r>
        <w:fldChar w:fldCharType="separate"/>
      </w:r>
      <w:r>
        <w:t>151</w:t>
      </w:r>
      <w:r>
        <w:fldChar w:fldCharType="end"/>
      </w:r>
      <w:bookmarkStart w:id="10873" w:name="_Toc10997"/>
      <w:bookmarkStart w:id="10874" w:name="_Toc11298"/>
      <w:bookmarkStart w:id="10875" w:name="_Toc16262"/>
      <w:bookmarkStart w:id="10876" w:name="_Toc23148"/>
      <w:bookmarkStart w:id="10877" w:name="_Toc28825"/>
      <w:bookmarkStart w:id="10878" w:name="_Toc32271"/>
      <w:bookmarkStart w:id="10879" w:name="_Toc19644"/>
      <w:bookmarkStart w:id="10880" w:name="_Toc14286"/>
      <w:bookmarkStart w:id="10881" w:name="_Toc5838"/>
      <w:bookmarkStart w:id="10882" w:name="_Toc22429"/>
      <w:bookmarkStart w:id="10883" w:name="_Toc25187"/>
      <w:bookmarkEnd w:id="10871"/>
      <w:r>
        <w:t xml:space="preserve">: </w:t>
      </w:r>
      <w:r>
        <w:rPr>
          <w:rFonts w:eastAsia="Calibri"/>
          <w:bCs/>
          <w:shd w:val="clear" w:color="auto" w:fill="FFFFFF"/>
        </w:rPr>
        <w:t>Condiții pentru elementele de construcție (la clădiri existente)</w:t>
      </w:r>
      <w:bookmarkEnd w:id="10872"/>
      <w:bookmarkEnd w:id="10873"/>
      <w:bookmarkEnd w:id="10874"/>
      <w:bookmarkEnd w:id="10875"/>
      <w:bookmarkEnd w:id="10876"/>
      <w:bookmarkEnd w:id="10877"/>
      <w:bookmarkEnd w:id="10878"/>
      <w:bookmarkEnd w:id="10879"/>
      <w:bookmarkEnd w:id="10880"/>
      <w:bookmarkEnd w:id="10881"/>
      <w:bookmarkEnd w:id="10882"/>
      <w:bookmarkEnd w:id="10883"/>
    </w:p>
    <w:tbl>
      <w:tblPr>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72"/>
        <w:gridCol w:w="3778"/>
        <w:gridCol w:w="2177"/>
        <w:gridCol w:w="3125"/>
      </w:tblGrid>
      <w:tr w:rsidR="001C08A5" w14:paraId="66728797" w14:textId="77777777">
        <w:trPr>
          <w:trHeight w:val="555"/>
        </w:trPr>
        <w:tc>
          <w:tcPr>
            <w:tcW w:w="296" w:type="pct"/>
            <w:tcMar>
              <w:top w:w="0" w:type="dxa"/>
              <w:left w:w="0" w:type="dxa"/>
              <w:bottom w:w="0" w:type="dxa"/>
              <w:right w:w="0" w:type="dxa"/>
            </w:tcMar>
            <w:vAlign w:val="center"/>
          </w:tcPr>
          <w:p w14:paraId="00DED545" w14:textId="77777777" w:rsidR="001C08A5" w:rsidRDefault="00000000">
            <w:pPr>
              <w:jc w:val="center"/>
              <w:rPr>
                <w:b/>
                <w:bCs/>
                <w:i/>
                <w:sz w:val="22"/>
                <w:szCs w:val="22"/>
              </w:rPr>
            </w:pPr>
            <w:r>
              <w:rPr>
                <w:b/>
                <w:bCs/>
                <w:i/>
                <w:sz w:val="22"/>
                <w:szCs w:val="22"/>
                <w:lang w:val="en-US" w:eastAsia="zh-CN" w:bidi="ar"/>
              </w:rPr>
              <w:t>Nr. crt.</w:t>
            </w:r>
          </w:p>
        </w:tc>
        <w:tc>
          <w:tcPr>
            <w:tcW w:w="1956" w:type="pct"/>
            <w:tcMar>
              <w:top w:w="0" w:type="dxa"/>
              <w:left w:w="0" w:type="dxa"/>
              <w:bottom w:w="0" w:type="dxa"/>
              <w:right w:w="0" w:type="dxa"/>
            </w:tcMar>
            <w:vAlign w:val="center"/>
          </w:tcPr>
          <w:p w14:paraId="7FA8591B" w14:textId="77777777" w:rsidR="001C08A5" w:rsidRDefault="00000000">
            <w:pPr>
              <w:jc w:val="center"/>
              <w:rPr>
                <w:b/>
                <w:bCs/>
                <w:i/>
                <w:sz w:val="22"/>
                <w:szCs w:val="22"/>
              </w:rPr>
            </w:pPr>
            <w:r>
              <w:rPr>
                <w:b/>
                <w:bCs/>
                <w:i/>
                <w:sz w:val="22"/>
                <w:szCs w:val="22"/>
                <w:lang w:val="en-US" w:eastAsia="zh-CN" w:bidi="ar"/>
              </w:rPr>
              <w:t>Denumire element</w:t>
            </w:r>
          </w:p>
        </w:tc>
        <w:tc>
          <w:tcPr>
            <w:tcW w:w="1128" w:type="pct"/>
            <w:tcMar>
              <w:top w:w="0" w:type="dxa"/>
              <w:left w:w="0" w:type="dxa"/>
              <w:bottom w:w="0" w:type="dxa"/>
              <w:right w:w="0" w:type="dxa"/>
            </w:tcMar>
            <w:vAlign w:val="center"/>
          </w:tcPr>
          <w:p w14:paraId="786F64FB" w14:textId="77777777" w:rsidR="001C08A5" w:rsidRDefault="00000000">
            <w:pPr>
              <w:jc w:val="center"/>
              <w:rPr>
                <w:b/>
                <w:bCs/>
                <w:i/>
                <w:sz w:val="22"/>
                <w:szCs w:val="22"/>
              </w:rPr>
            </w:pPr>
            <w:r>
              <w:rPr>
                <w:b/>
                <w:bCs/>
                <w:i/>
                <w:sz w:val="22"/>
                <w:szCs w:val="22"/>
                <w:lang w:val="en-US" w:eastAsia="zh-CN" w:bidi="ar"/>
              </w:rPr>
              <w:t>Condiții minime</w:t>
            </w:r>
          </w:p>
        </w:tc>
        <w:tc>
          <w:tcPr>
            <w:tcW w:w="1618" w:type="pct"/>
            <w:tcMar>
              <w:top w:w="0" w:type="dxa"/>
              <w:left w:w="0" w:type="dxa"/>
              <w:bottom w:w="0" w:type="dxa"/>
              <w:right w:w="0" w:type="dxa"/>
            </w:tcMar>
            <w:vAlign w:val="center"/>
          </w:tcPr>
          <w:p w14:paraId="6481E672" w14:textId="77777777" w:rsidR="001C08A5" w:rsidRDefault="00000000">
            <w:pPr>
              <w:jc w:val="center"/>
              <w:rPr>
                <w:b/>
                <w:bCs/>
                <w:i/>
                <w:sz w:val="22"/>
                <w:szCs w:val="22"/>
              </w:rPr>
            </w:pPr>
            <w:r>
              <w:rPr>
                <w:b/>
                <w:bCs/>
                <w:i/>
                <w:sz w:val="22"/>
                <w:szCs w:val="22"/>
                <w:lang w:val="en-US" w:eastAsia="zh-CN" w:bidi="ar"/>
              </w:rPr>
              <w:t>Observații</w:t>
            </w:r>
          </w:p>
        </w:tc>
      </w:tr>
      <w:tr w:rsidR="001C08A5" w14:paraId="47477CB1" w14:textId="77777777">
        <w:trPr>
          <w:trHeight w:val="765"/>
        </w:trPr>
        <w:tc>
          <w:tcPr>
            <w:tcW w:w="296" w:type="pct"/>
            <w:tcMar>
              <w:top w:w="0" w:type="dxa"/>
              <w:left w:w="0" w:type="dxa"/>
              <w:bottom w:w="0" w:type="dxa"/>
              <w:right w:w="0" w:type="dxa"/>
            </w:tcMar>
          </w:tcPr>
          <w:p w14:paraId="52C8A670" w14:textId="77777777" w:rsidR="001C08A5" w:rsidRDefault="00000000">
            <w:pPr>
              <w:jc w:val="center"/>
              <w:rPr>
                <w:i/>
                <w:sz w:val="22"/>
                <w:szCs w:val="22"/>
              </w:rPr>
            </w:pPr>
            <w:r>
              <w:rPr>
                <w:i/>
                <w:sz w:val="22"/>
                <w:szCs w:val="22"/>
                <w:lang w:val="en-US" w:eastAsia="zh-CN" w:bidi="ar"/>
              </w:rPr>
              <w:t>1</w:t>
            </w:r>
          </w:p>
        </w:tc>
        <w:tc>
          <w:tcPr>
            <w:tcW w:w="1956" w:type="pct"/>
            <w:tcMar>
              <w:top w:w="0" w:type="dxa"/>
              <w:left w:w="0" w:type="dxa"/>
              <w:bottom w:w="0" w:type="dxa"/>
              <w:right w:w="0" w:type="dxa"/>
            </w:tcMar>
          </w:tcPr>
          <w:p w14:paraId="76A5F6D1" w14:textId="77777777" w:rsidR="001C08A5" w:rsidRDefault="00000000">
            <w:pPr>
              <w:rPr>
                <w:i/>
                <w:sz w:val="22"/>
                <w:szCs w:val="22"/>
              </w:rPr>
            </w:pPr>
            <w:r>
              <w:rPr>
                <w:i/>
                <w:sz w:val="22"/>
                <w:szCs w:val="22"/>
                <w:lang w:val="en-US" w:eastAsia="zh-CN" w:bidi="ar"/>
              </w:rPr>
              <w:t>Pereți despărțitori între clădiri</w:t>
            </w:r>
            <w:r>
              <w:rPr>
                <w:i/>
                <w:sz w:val="22"/>
                <w:szCs w:val="22"/>
                <w:lang w:eastAsia="zh-CN" w:bidi="ar"/>
              </w:rPr>
              <w:t xml:space="preserve"> existente</w:t>
            </w:r>
            <w:r>
              <w:rPr>
                <w:i/>
                <w:sz w:val="22"/>
                <w:szCs w:val="22"/>
                <w:lang w:val="en-US" w:eastAsia="zh-CN" w:bidi="ar"/>
              </w:rPr>
              <w:t>, tronsoane și apartamente</w:t>
            </w:r>
          </w:p>
        </w:tc>
        <w:tc>
          <w:tcPr>
            <w:tcW w:w="1128" w:type="pct"/>
            <w:tcMar>
              <w:top w:w="0" w:type="dxa"/>
              <w:left w:w="0" w:type="dxa"/>
              <w:bottom w:w="0" w:type="dxa"/>
              <w:right w:w="0" w:type="dxa"/>
            </w:tcMar>
          </w:tcPr>
          <w:p w14:paraId="57FAB1DA" w14:textId="77777777" w:rsidR="001C08A5" w:rsidRDefault="00000000">
            <w:pPr>
              <w:jc w:val="center"/>
              <w:rPr>
                <w:rFonts w:eastAsia="TimesNewRomanPSMT-Identity-H"/>
                <w:i/>
                <w:sz w:val="22"/>
                <w:szCs w:val="22"/>
              </w:rPr>
            </w:pPr>
            <w:r>
              <w:rPr>
                <w:rFonts w:eastAsia="TimesNewRomanPSMT-Identity-H"/>
                <w:i/>
                <w:sz w:val="22"/>
                <w:szCs w:val="22"/>
              </w:rPr>
              <w:t xml:space="preserve">clasa de reacție la foc </w:t>
            </w:r>
          </w:p>
          <w:p w14:paraId="4785D0D6" w14:textId="77777777" w:rsidR="001C08A5" w:rsidRDefault="00000000">
            <w:pPr>
              <w:jc w:val="center"/>
              <w:rPr>
                <w:i/>
                <w:sz w:val="22"/>
                <w:szCs w:val="22"/>
              </w:rPr>
            </w:pPr>
            <w:r>
              <w:rPr>
                <w:b/>
                <w:bCs/>
                <w:i/>
                <w:sz w:val="22"/>
                <w:szCs w:val="22"/>
                <w:lang w:val="en-GB"/>
              </w:rPr>
              <w:t>A1, A2s1d0</w:t>
            </w:r>
            <w:r>
              <w:rPr>
                <w:i/>
                <w:sz w:val="22"/>
                <w:szCs w:val="22"/>
                <w:lang w:val="en-US" w:eastAsia="zh-CN" w:bidi="ar"/>
              </w:rPr>
              <w:br/>
            </w:r>
            <w:r>
              <w:rPr>
                <w:b/>
                <w:bCs/>
                <w:i/>
                <w:sz w:val="22"/>
                <w:szCs w:val="22"/>
                <w:lang w:eastAsia="zh-CN" w:bidi="ar"/>
              </w:rPr>
              <w:t>EI/REI60</w:t>
            </w:r>
          </w:p>
        </w:tc>
        <w:tc>
          <w:tcPr>
            <w:tcW w:w="1618" w:type="pct"/>
            <w:tcMar>
              <w:top w:w="0" w:type="dxa"/>
              <w:left w:w="0" w:type="dxa"/>
              <w:bottom w:w="0" w:type="dxa"/>
              <w:right w:w="0" w:type="dxa"/>
            </w:tcMar>
          </w:tcPr>
          <w:p w14:paraId="73A97702" w14:textId="77777777" w:rsidR="001C08A5" w:rsidRDefault="00000000">
            <w:pPr>
              <w:rPr>
                <w:i/>
                <w:sz w:val="22"/>
                <w:szCs w:val="22"/>
              </w:rPr>
            </w:pPr>
            <w:r>
              <w:rPr>
                <w:i/>
                <w:sz w:val="22"/>
                <w:szCs w:val="22"/>
                <w:lang w:val="en-US" w:eastAsia="zh-CN" w:bidi="ar"/>
              </w:rPr>
              <w:t>In clădiri existent</w:t>
            </w:r>
            <w:r>
              <w:rPr>
                <w:i/>
                <w:sz w:val="22"/>
                <w:szCs w:val="22"/>
                <w:lang w:eastAsia="zh-CN" w:bidi="ar"/>
              </w:rPr>
              <w:t xml:space="preserve">e </w:t>
            </w:r>
            <w:r>
              <w:rPr>
                <w:i/>
                <w:sz w:val="22"/>
                <w:szCs w:val="22"/>
                <w:lang w:val="en-US" w:eastAsia="zh-CN" w:bidi="ar"/>
              </w:rPr>
              <w:t xml:space="preserve">de </w:t>
            </w:r>
            <w:r>
              <w:rPr>
                <w:rFonts w:eastAsia="Calibri"/>
                <w:i/>
                <w:sz w:val="22"/>
                <w:szCs w:val="22"/>
                <w:shd w:val="clear" w:color="auto" w:fill="FFFFFF"/>
              </w:rPr>
              <w:t>nivelul de stabilitate la incendiu</w:t>
            </w:r>
            <w:r>
              <w:rPr>
                <w:i/>
                <w:sz w:val="22"/>
                <w:szCs w:val="22"/>
                <w:lang w:val="en-US" w:eastAsia="zh-CN" w:bidi="ar"/>
              </w:rPr>
              <w:t xml:space="preserve"> </w:t>
            </w:r>
            <w:r>
              <w:rPr>
                <w:b/>
                <w:bCs/>
                <w:i/>
                <w:sz w:val="22"/>
                <w:szCs w:val="22"/>
                <w:lang w:val="en-US" w:eastAsia="zh-CN" w:bidi="ar"/>
              </w:rPr>
              <w:t>IV</w:t>
            </w:r>
            <w:r>
              <w:rPr>
                <w:i/>
                <w:sz w:val="22"/>
                <w:szCs w:val="22"/>
                <w:lang w:val="en-US" w:eastAsia="zh-CN" w:bidi="ar"/>
              </w:rPr>
              <w:t xml:space="preserve"> pot fi </w:t>
            </w:r>
            <w:r>
              <w:rPr>
                <w:rFonts w:eastAsia="TimesNewRomanPSMT-Identity-H"/>
                <w:i/>
                <w:sz w:val="22"/>
                <w:szCs w:val="22"/>
              </w:rPr>
              <w:t xml:space="preserve">clasa de reacție la foc </w:t>
            </w:r>
            <w:r>
              <w:rPr>
                <w:rFonts w:eastAsia="TimesNewRomanPSMT-Identity-H"/>
                <w:b/>
                <w:bCs/>
                <w:i/>
                <w:sz w:val="22"/>
                <w:szCs w:val="22"/>
                <w:lang w:eastAsia="zh-CN"/>
              </w:rPr>
              <w:t>Cs1÷s</w:t>
            </w:r>
            <w:proofErr w:type="gramStart"/>
            <w:r>
              <w:rPr>
                <w:rFonts w:eastAsia="TimesNewRomanPSMT-Identity-H"/>
                <w:b/>
                <w:bCs/>
                <w:i/>
                <w:sz w:val="22"/>
                <w:szCs w:val="22"/>
                <w:lang w:eastAsia="zh-CN"/>
              </w:rPr>
              <w:t>3,d</w:t>
            </w:r>
            <w:proofErr w:type="gramEnd"/>
            <w:r>
              <w:rPr>
                <w:rFonts w:eastAsia="TimesNewRomanPSMT-Identity-H"/>
                <w:b/>
                <w:bCs/>
                <w:i/>
                <w:sz w:val="22"/>
                <w:szCs w:val="22"/>
                <w:lang w:eastAsia="zh-CN"/>
              </w:rPr>
              <w:t>0÷d1</w:t>
            </w:r>
            <w:r>
              <w:rPr>
                <w:i/>
                <w:sz w:val="22"/>
                <w:szCs w:val="22"/>
                <w:lang w:val="en-US" w:eastAsia="zh-CN" w:bidi="ar"/>
              </w:rPr>
              <w:t xml:space="preserve">, iar în cele de </w:t>
            </w:r>
            <w:r>
              <w:rPr>
                <w:rFonts w:eastAsia="Calibri"/>
                <w:i/>
                <w:sz w:val="22"/>
                <w:szCs w:val="22"/>
                <w:shd w:val="clear" w:color="auto" w:fill="FFFFFF"/>
              </w:rPr>
              <w:t>nivelul de stabilitate la incendiu</w:t>
            </w:r>
            <w:r>
              <w:rPr>
                <w:i/>
                <w:sz w:val="22"/>
                <w:szCs w:val="22"/>
                <w:lang w:val="en-US" w:eastAsia="zh-CN" w:bidi="ar"/>
              </w:rPr>
              <w:t xml:space="preserve"> </w:t>
            </w:r>
            <w:r>
              <w:rPr>
                <w:b/>
                <w:bCs/>
                <w:i/>
                <w:sz w:val="22"/>
                <w:szCs w:val="22"/>
                <w:lang w:val="en-US" w:eastAsia="zh-CN" w:bidi="ar"/>
              </w:rPr>
              <w:t>V</w:t>
            </w:r>
            <w:r>
              <w:rPr>
                <w:i/>
                <w:sz w:val="22"/>
                <w:szCs w:val="22"/>
                <w:lang w:val="en-US" w:eastAsia="zh-CN" w:bidi="ar"/>
              </w:rPr>
              <w:t xml:space="preserve"> pot fi </w:t>
            </w:r>
            <w:r>
              <w:rPr>
                <w:rFonts w:eastAsia="TimesNewRomanPSMT-Identity-H"/>
                <w:i/>
                <w:sz w:val="22"/>
                <w:szCs w:val="22"/>
              </w:rPr>
              <w:t xml:space="preserve">clasa de reacție la foc </w:t>
            </w:r>
            <w:r>
              <w:rPr>
                <w:rFonts w:eastAsia="TimesNewRomanPSMT-Identity-H"/>
                <w:b/>
                <w:bCs/>
                <w:i/>
                <w:sz w:val="22"/>
                <w:szCs w:val="22"/>
                <w:lang w:eastAsia="zh-CN"/>
              </w:rPr>
              <w:t>Ds1÷s3,d0÷d1</w:t>
            </w:r>
            <w:r>
              <w:rPr>
                <w:i/>
                <w:sz w:val="22"/>
                <w:szCs w:val="22"/>
                <w:lang w:val="en-US" w:eastAsia="zh-CN" w:bidi="ar"/>
              </w:rPr>
              <w:t>.</w:t>
            </w:r>
          </w:p>
        </w:tc>
      </w:tr>
      <w:tr w:rsidR="001C08A5" w14:paraId="5AA9137D" w14:textId="77777777">
        <w:trPr>
          <w:trHeight w:val="765"/>
        </w:trPr>
        <w:tc>
          <w:tcPr>
            <w:tcW w:w="296" w:type="pct"/>
            <w:tcMar>
              <w:top w:w="0" w:type="dxa"/>
              <w:left w:w="0" w:type="dxa"/>
              <w:bottom w:w="0" w:type="dxa"/>
              <w:right w:w="0" w:type="dxa"/>
            </w:tcMar>
          </w:tcPr>
          <w:p w14:paraId="1C875A9C" w14:textId="77777777" w:rsidR="001C08A5" w:rsidRDefault="00000000">
            <w:pPr>
              <w:jc w:val="center"/>
              <w:rPr>
                <w:i/>
                <w:sz w:val="22"/>
                <w:szCs w:val="22"/>
              </w:rPr>
            </w:pPr>
            <w:r>
              <w:rPr>
                <w:i/>
                <w:sz w:val="22"/>
                <w:szCs w:val="22"/>
                <w:lang w:val="en-US" w:eastAsia="zh-CN" w:bidi="ar"/>
              </w:rPr>
              <w:t>2</w:t>
            </w:r>
          </w:p>
        </w:tc>
        <w:tc>
          <w:tcPr>
            <w:tcW w:w="1956" w:type="pct"/>
            <w:tcMar>
              <w:top w:w="0" w:type="dxa"/>
              <w:left w:w="0" w:type="dxa"/>
              <w:bottom w:w="0" w:type="dxa"/>
              <w:right w:w="0" w:type="dxa"/>
            </w:tcMar>
          </w:tcPr>
          <w:p w14:paraId="0FABD104" w14:textId="77777777" w:rsidR="001C08A5" w:rsidRDefault="00000000">
            <w:pPr>
              <w:rPr>
                <w:i/>
                <w:sz w:val="22"/>
                <w:szCs w:val="22"/>
              </w:rPr>
            </w:pPr>
            <w:r>
              <w:rPr>
                <w:i/>
                <w:sz w:val="22"/>
                <w:szCs w:val="22"/>
                <w:lang w:val="en-US" w:eastAsia="zh-CN" w:bidi="ar"/>
              </w:rPr>
              <w:t>Pereți despărțitori între băi și bucătării, față de celelalte încăperi ale apartamentului în clădiri existent</w:t>
            </w:r>
            <w:r>
              <w:rPr>
                <w:i/>
                <w:sz w:val="22"/>
                <w:szCs w:val="22"/>
                <w:lang w:eastAsia="zh-CN" w:bidi="ar"/>
              </w:rPr>
              <w:t>e cu</w:t>
            </w:r>
            <w:r>
              <w:rPr>
                <w:i/>
                <w:sz w:val="22"/>
                <w:szCs w:val="22"/>
                <w:lang w:val="en-US" w:eastAsia="zh-CN" w:bidi="ar"/>
              </w:rPr>
              <w:t xml:space="preserve"> </w:t>
            </w:r>
            <w:r>
              <w:rPr>
                <w:rFonts w:eastAsia="Calibri"/>
                <w:i/>
                <w:sz w:val="22"/>
                <w:szCs w:val="22"/>
                <w:shd w:val="clear" w:color="auto" w:fill="FFFFFF"/>
              </w:rPr>
              <w:t>nivel de stabilitate la incendiu</w:t>
            </w:r>
            <w:r>
              <w:rPr>
                <w:i/>
                <w:sz w:val="22"/>
                <w:szCs w:val="22"/>
                <w:lang w:val="en-US" w:eastAsia="zh-CN" w:bidi="ar"/>
              </w:rPr>
              <w:t xml:space="preserve"> </w:t>
            </w:r>
            <w:r>
              <w:rPr>
                <w:b/>
                <w:bCs/>
                <w:i/>
                <w:sz w:val="22"/>
                <w:szCs w:val="22"/>
                <w:lang w:val="en-US" w:eastAsia="zh-CN" w:bidi="ar"/>
              </w:rPr>
              <w:t xml:space="preserve">I </w:t>
            </w:r>
            <w:r>
              <w:rPr>
                <w:i/>
                <w:sz w:val="22"/>
                <w:szCs w:val="22"/>
                <w:lang w:eastAsia="zh-CN" w:bidi="ar"/>
              </w:rPr>
              <w:t>și</w:t>
            </w:r>
            <w:r>
              <w:rPr>
                <w:i/>
                <w:sz w:val="22"/>
                <w:szCs w:val="22"/>
                <w:lang w:val="en-US" w:eastAsia="zh-CN" w:bidi="ar"/>
              </w:rPr>
              <w:t xml:space="preserve"> </w:t>
            </w:r>
            <w:r>
              <w:rPr>
                <w:b/>
                <w:bCs/>
                <w:i/>
                <w:sz w:val="22"/>
                <w:szCs w:val="22"/>
                <w:lang w:val="en-US" w:eastAsia="zh-CN" w:bidi="ar"/>
              </w:rPr>
              <w:t>II</w:t>
            </w:r>
            <w:r>
              <w:rPr>
                <w:i/>
                <w:sz w:val="22"/>
                <w:szCs w:val="22"/>
                <w:lang w:val="en-US" w:eastAsia="zh-CN" w:bidi="ar"/>
              </w:rPr>
              <w:t>.</w:t>
            </w:r>
          </w:p>
        </w:tc>
        <w:tc>
          <w:tcPr>
            <w:tcW w:w="1128" w:type="pct"/>
            <w:tcMar>
              <w:top w:w="0" w:type="dxa"/>
              <w:left w:w="0" w:type="dxa"/>
              <w:bottom w:w="0" w:type="dxa"/>
              <w:right w:w="0" w:type="dxa"/>
            </w:tcMar>
          </w:tcPr>
          <w:p w14:paraId="4D7E3EB9" w14:textId="77777777" w:rsidR="001C08A5" w:rsidRDefault="00000000">
            <w:pPr>
              <w:jc w:val="center"/>
              <w:rPr>
                <w:rFonts w:eastAsia="TimesNewRomanPSMT-Identity-H"/>
                <w:i/>
                <w:sz w:val="22"/>
                <w:szCs w:val="22"/>
              </w:rPr>
            </w:pPr>
            <w:r>
              <w:rPr>
                <w:rFonts w:eastAsia="TimesNewRomanPSMT-Identity-H"/>
                <w:i/>
                <w:sz w:val="22"/>
                <w:szCs w:val="22"/>
              </w:rPr>
              <w:t xml:space="preserve">clasa de reacție la foc </w:t>
            </w:r>
          </w:p>
          <w:p w14:paraId="7F3928DA" w14:textId="77777777" w:rsidR="001C08A5" w:rsidRDefault="00000000">
            <w:pPr>
              <w:jc w:val="center"/>
              <w:rPr>
                <w:i/>
                <w:sz w:val="22"/>
                <w:szCs w:val="22"/>
                <w:lang w:val="en-US" w:eastAsia="zh-CN" w:bidi="ar"/>
              </w:rPr>
            </w:pPr>
            <w:r>
              <w:rPr>
                <w:b/>
                <w:bCs/>
                <w:i/>
                <w:sz w:val="22"/>
                <w:szCs w:val="22"/>
                <w:lang w:val="en-GB"/>
              </w:rPr>
              <w:t>A1, A2s1d0</w:t>
            </w:r>
            <w:r>
              <w:rPr>
                <w:i/>
                <w:sz w:val="22"/>
                <w:szCs w:val="22"/>
                <w:lang w:val="en-US" w:eastAsia="zh-CN" w:bidi="ar"/>
              </w:rPr>
              <w:br/>
              <w:t>15 minute</w:t>
            </w:r>
          </w:p>
          <w:p w14:paraId="4EE137BE" w14:textId="77777777" w:rsidR="001C08A5" w:rsidRDefault="00000000">
            <w:pPr>
              <w:jc w:val="center"/>
              <w:rPr>
                <w:i/>
                <w:sz w:val="22"/>
                <w:szCs w:val="22"/>
                <w:lang w:eastAsia="zh-CN" w:bidi="ar"/>
              </w:rPr>
            </w:pPr>
            <w:r>
              <w:rPr>
                <w:i/>
                <w:sz w:val="22"/>
                <w:szCs w:val="22"/>
                <w:lang w:eastAsia="zh-CN" w:bidi="ar"/>
              </w:rPr>
              <w:t>(</w:t>
            </w:r>
            <w:r>
              <w:rPr>
                <w:b/>
                <w:bCs/>
                <w:i/>
                <w:sz w:val="22"/>
                <w:szCs w:val="22"/>
                <w:lang w:eastAsia="zh-CN" w:bidi="ar"/>
              </w:rPr>
              <w:t>EI15</w:t>
            </w:r>
            <w:r>
              <w:rPr>
                <w:i/>
                <w:sz w:val="22"/>
                <w:szCs w:val="22"/>
                <w:lang w:eastAsia="zh-CN" w:bidi="ar"/>
              </w:rPr>
              <w:t>)</w:t>
            </w:r>
          </w:p>
        </w:tc>
        <w:tc>
          <w:tcPr>
            <w:tcW w:w="1618" w:type="pct"/>
            <w:tcMar>
              <w:top w:w="0" w:type="dxa"/>
              <w:left w:w="0" w:type="dxa"/>
              <w:bottom w:w="0" w:type="dxa"/>
              <w:right w:w="0" w:type="dxa"/>
            </w:tcMar>
          </w:tcPr>
          <w:p w14:paraId="31245A4D" w14:textId="77777777" w:rsidR="001C08A5" w:rsidRDefault="00000000">
            <w:pPr>
              <w:jc w:val="center"/>
              <w:rPr>
                <w:i/>
                <w:sz w:val="22"/>
                <w:szCs w:val="22"/>
              </w:rPr>
            </w:pPr>
            <w:r>
              <w:rPr>
                <w:i/>
                <w:sz w:val="22"/>
                <w:szCs w:val="22"/>
                <w:lang w:val="en-US" w:eastAsia="zh-CN" w:bidi="ar"/>
              </w:rPr>
              <w:t>-</w:t>
            </w:r>
          </w:p>
        </w:tc>
      </w:tr>
      <w:tr w:rsidR="001C08A5" w14:paraId="56E7CC77" w14:textId="77777777">
        <w:trPr>
          <w:trHeight w:val="765"/>
        </w:trPr>
        <w:tc>
          <w:tcPr>
            <w:tcW w:w="296" w:type="pct"/>
            <w:tcMar>
              <w:top w:w="0" w:type="dxa"/>
              <w:left w:w="0" w:type="dxa"/>
              <w:bottom w:w="0" w:type="dxa"/>
              <w:right w:w="0" w:type="dxa"/>
            </w:tcMar>
          </w:tcPr>
          <w:p w14:paraId="235D823F" w14:textId="77777777" w:rsidR="001C08A5" w:rsidRDefault="00000000">
            <w:pPr>
              <w:jc w:val="center"/>
              <w:rPr>
                <w:i/>
                <w:sz w:val="22"/>
                <w:szCs w:val="22"/>
              </w:rPr>
            </w:pPr>
            <w:r>
              <w:rPr>
                <w:i/>
                <w:sz w:val="22"/>
                <w:szCs w:val="22"/>
                <w:lang w:val="en-US" w:eastAsia="zh-CN" w:bidi="ar"/>
              </w:rPr>
              <w:t>3</w:t>
            </w:r>
          </w:p>
        </w:tc>
        <w:tc>
          <w:tcPr>
            <w:tcW w:w="1956" w:type="pct"/>
            <w:tcMar>
              <w:top w:w="0" w:type="dxa"/>
              <w:left w:w="0" w:type="dxa"/>
              <w:bottom w:w="0" w:type="dxa"/>
              <w:right w:w="0" w:type="dxa"/>
            </w:tcMar>
          </w:tcPr>
          <w:p w14:paraId="555A6A93" w14:textId="77777777" w:rsidR="001C08A5" w:rsidRDefault="00000000">
            <w:pPr>
              <w:rPr>
                <w:i/>
                <w:sz w:val="22"/>
                <w:szCs w:val="22"/>
              </w:rPr>
            </w:pPr>
            <w:r>
              <w:rPr>
                <w:i/>
                <w:sz w:val="22"/>
                <w:szCs w:val="22"/>
                <w:lang w:val="en-US" w:eastAsia="zh-CN" w:bidi="ar"/>
              </w:rPr>
              <w:t xml:space="preserve">Pereți despărțitori între boxele gospodărești sau de depozitare din subsol sau demisol, în cadrul unor grupări de max. </w:t>
            </w:r>
            <w:r>
              <w:rPr>
                <w:b/>
                <w:bCs/>
                <w:i/>
                <w:sz w:val="22"/>
                <w:szCs w:val="22"/>
                <w:lang w:val="en-US" w:eastAsia="zh-CN" w:bidi="ar"/>
              </w:rPr>
              <w:t>300 m</w:t>
            </w:r>
            <w:r>
              <w:rPr>
                <w:b/>
                <w:bCs/>
                <w:i/>
                <w:sz w:val="22"/>
                <w:szCs w:val="22"/>
                <w:vertAlign w:val="superscript"/>
                <w:lang w:eastAsia="zh-CN" w:bidi="ar"/>
              </w:rPr>
              <w:t>2</w:t>
            </w:r>
            <w:r>
              <w:rPr>
                <w:i/>
                <w:sz w:val="22"/>
                <w:szCs w:val="22"/>
                <w:lang w:val="en-US" w:eastAsia="zh-CN" w:bidi="ar"/>
              </w:rPr>
              <w:t>.</w:t>
            </w:r>
          </w:p>
        </w:tc>
        <w:tc>
          <w:tcPr>
            <w:tcW w:w="1128" w:type="pct"/>
            <w:tcMar>
              <w:top w:w="0" w:type="dxa"/>
              <w:left w:w="0" w:type="dxa"/>
              <w:bottom w:w="0" w:type="dxa"/>
              <w:right w:w="0" w:type="dxa"/>
            </w:tcMar>
          </w:tcPr>
          <w:p w14:paraId="08B77261" w14:textId="77777777" w:rsidR="001C08A5" w:rsidRDefault="00000000">
            <w:pPr>
              <w:jc w:val="center"/>
              <w:rPr>
                <w:i/>
                <w:sz w:val="22"/>
                <w:szCs w:val="22"/>
              </w:rPr>
            </w:pPr>
            <w:r>
              <w:rPr>
                <w:rFonts w:eastAsia="TimesNewRomanPSMT-Identity-H"/>
                <w:i/>
                <w:sz w:val="22"/>
                <w:szCs w:val="22"/>
              </w:rPr>
              <w:t xml:space="preserve">clasa de reacție la foc </w:t>
            </w:r>
            <w:r>
              <w:rPr>
                <w:rFonts w:eastAsia="TimesNewRomanPSMT-Identity-H"/>
                <w:b/>
                <w:bCs/>
                <w:i/>
                <w:sz w:val="22"/>
                <w:szCs w:val="22"/>
                <w:lang w:eastAsia="zh-CN"/>
              </w:rPr>
              <w:t>A2s1÷s3,d2; Bs1÷s3,d2; Cs1÷s3,d2; Ds1÷s3,d2; Ed2</w:t>
            </w:r>
          </w:p>
        </w:tc>
        <w:tc>
          <w:tcPr>
            <w:tcW w:w="1618" w:type="pct"/>
            <w:tcMar>
              <w:top w:w="0" w:type="dxa"/>
              <w:left w:w="0" w:type="dxa"/>
              <w:bottom w:w="0" w:type="dxa"/>
              <w:right w:w="0" w:type="dxa"/>
            </w:tcMar>
          </w:tcPr>
          <w:p w14:paraId="00ABB913" w14:textId="77777777" w:rsidR="001C08A5" w:rsidRDefault="00000000">
            <w:pPr>
              <w:jc w:val="center"/>
              <w:rPr>
                <w:i/>
                <w:sz w:val="22"/>
                <w:szCs w:val="22"/>
              </w:rPr>
            </w:pPr>
            <w:r>
              <w:rPr>
                <w:i/>
                <w:sz w:val="22"/>
                <w:szCs w:val="22"/>
                <w:lang w:val="en-US" w:eastAsia="zh-CN" w:bidi="ar"/>
              </w:rPr>
              <w:t>-</w:t>
            </w:r>
          </w:p>
        </w:tc>
      </w:tr>
      <w:tr w:rsidR="001C08A5" w14:paraId="57188908" w14:textId="77777777">
        <w:trPr>
          <w:trHeight w:val="780"/>
        </w:trPr>
        <w:tc>
          <w:tcPr>
            <w:tcW w:w="296" w:type="pct"/>
            <w:tcMar>
              <w:top w:w="0" w:type="dxa"/>
              <w:left w:w="0" w:type="dxa"/>
              <w:bottom w:w="0" w:type="dxa"/>
              <w:right w:w="0" w:type="dxa"/>
            </w:tcMar>
          </w:tcPr>
          <w:p w14:paraId="159BE4C6" w14:textId="77777777" w:rsidR="001C08A5" w:rsidRDefault="00000000">
            <w:pPr>
              <w:jc w:val="center"/>
              <w:rPr>
                <w:i/>
                <w:sz w:val="22"/>
                <w:szCs w:val="22"/>
              </w:rPr>
            </w:pPr>
            <w:r>
              <w:rPr>
                <w:i/>
                <w:sz w:val="22"/>
                <w:szCs w:val="22"/>
                <w:lang w:val="en-US" w:eastAsia="zh-CN" w:bidi="ar"/>
              </w:rPr>
              <w:t>4</w:t>
            </w:r>
          </w:p>
        </w:tc>
        <w:tc>
          <w:tcPr>
            <w:tcW w:w="1956" w:type="pct"/>
            <w:tcMar>
              <w:top w:w="0" w:type="dxa"/>
              <w:left w:w="0" w:type="dxa"/>
              <w:bottom w:w="0" w:type="dxa"/>
              <w:right w:w="0" w:type="dxa"/>
            </w:tcMar>
          </w:tcPr>
          <w:p w14:paraId="18A44252" w14:textId="77777777" w:rsidR="001C08A5" w:rsidRDefault="00000000">
            <w:pPr>
              <w:rPr>
                <w:i/>
                <w:sz w:val="22"/>
                <w:szCs w:val="22"/>
              </w:rPr>
            </w:pPr>
            <w:r>
              <w:rPr>
                <w:i/>
                <w:sz w:val="22"/>
                <w:szCs w:val="22"/>
                <w:lang w:val="en-US" w:eastAsia="zh-CN" w:bidi="ar"/>
              </w:rPr>
              <w:t>Pereți despărțitori între grupările</w:t>
            </w:r>
            <w:r>
              <w:rPr>
                <w:i/>
                <w:sz w:val="22"/>
                <w:szCs w:val="22"/>
                <w:lang w:val="en-US" w:eastAsia="zh-CN" w:bidi="ar"/>
              </w:rPr>
              <w:br/>
              <w:t>de boxe gospodărești menționate la pct.</w:t>
            </w:r>
            <w:r>
              <w:rPr>
                <w:b/>
                <w:bCs/>
                <w:i/>
                <w:sz w:val="22"/>
                <w:szCs w:val="22"/>
                <w:lang w:val="en-US" w:eastAsia="zh-CN" w:bidi="ar"/>
              </w:rPr>
              <w:t>3</w:t>
            </w:r>
            <w:r>
              <w:rPr>
                <w:i/>
                <w:sz w:val="22"/>
                <w:szCs w:val="22"/>
                <w:lang w:val="en-US" w:eastAsia="zh-CN" w:bidi="ar"/>
              </w:rPr>
              <w:t>, precum și între acestea și spațiile tehnice ale clădirii</w:t>
            </w:r>
            <w:r>
              <w:rPr>
                <w:i/>
                <w:sz w:val="22"/>
                <w:szCs w:val="22"/>
                <w:lang w:eastAsia="zh-CN" w:bidi="ar"/>
              </w:rPr>
              <w:t xml:space="preserve"> existente</w:t>
            </w:r>
          </w:p>
        </w:tc>
        <w:tc>
          <w:tcPr>
            <w:tcW w:w="1128" w:type="pct"/>
            <w:tcMar>
              <w:top w:w="0" w:type="dxa"/>
              <w:left w:w="0" w:type="dxa"/>
              <w:bottom w:w="0" w:type="dxa"/>
              <w:right w:w="0" w:type="dxa"/>
            </w:tcMar>
          </w:tcPr>
          <w:p w14:paraId="7090F4B7" w14:textId="77777777" w:rsidR="001C08A5" w:rsidRDefault="00000000">
            <w:pPr>
              <w:jc w:val="center"/>
              <w:rPr>
                <w:i/>
                <w:sz w:val="22"/>
                <w:szCs w:val="22"/>
                <w:lang w:val="en-US" w:eastAsia="zh-CN" w:bidi="ar"/>
              </w:rPr>
            </w:pPr>
            <w:r>
              <w:rPr>
                <w:rFonts w:eastAsia="TimesNewRomanPSMT-Identity-H"/>
                <w:i/>
                <w:sz w:val="22"/>
                <w:szCs w:val="22"/>
              </w:rPr>
              <w:t xml:space="preserve">clasa de reacție la foc </w:t>
            </w:r>
            <w:r>
              <w:rPr>
                <w:b/>
                <w:bCs/>
                <w:i/>
                <w:sz w:val="22"/>
                <w:szCs w:val="22"/>
                <w:lang w:val="en-GB"/>
              </w:rPr>
              <w:t>A1, A2s1d0</w:t>
            </w:r>
            <w:r>
              <w:rPr>
                <w:i/>
                <w:sz w:val="22"/>
                <w:szCs w:val="22"/>
                <w:lang w:val="en-US" w:eastAsia="zh-CN" w:bidi="ar"/>
              </w:rPr>
              <w:br/>
              <w:t>1 oră</w:t>
            </w:r>
          </w:p>
          <w:p w14:paraId="040901C7" w14:textId="77777777" w:rsidR="001C08A5" w:rsidRDefault="00000000">
            <w:pPr>
              <w:jc w:val="center"/>
              <w:rPr>
                <w:i/>
                <w:sz w:val="22"/>
                <w:szCs w:val="22"/>
                <w:lang w:eastAsia="zh-CN" w:bidi="ar"/>
              </w:rPr>
            </w:pPr>
            <w:r>
              <w:rPr>
                <w:i/>
                <w:sz w:val="22"/>
                <w:szCs w:val="22"/>
                <w:lang w:eastAsia="zh-CN" w:bidi="ar"/>
              </w:rPr>
              <w:t>(</w:t>
            </w:r>
            <w:r>
              <w:rPr>
                <w:b/>
                <w:bCs/>
                <w:i/>
                <w:sz w:val="22"/>
                <w:szCs w:val="22"/>
                <w:lang w:eastAsia="zh-CN" w:bidi="ar"/>
              </w:rPr>
              <w:t>EI/REI60</w:t>
            </w:r>
            <w:r>
              <w:rPr>
                <w:i/>
                <w:sz w:val="22"/>
                <w:szCs w:val="22"/>
                <w:lang w:eastAsia="zh-CN" w:bidi="ar"/>
              </w:rPr>
              <w:t>)</w:t>
            </w:r>
          </w:p>
        </w:tc>
        <w:tc>
          <w:tcPr>
            <w:tcW w:w="1618" w:type="pct"/>
            <w:tcMar>
              <w:top w:w="0" w:type="dxa"/>
              <w:left w:w="0" w:type="dxa"/>
              <w:bottom w:w="0" w:type="dxa"/>
              <w:right w:w="0" w:type="dxa"/>
            </w:tcMar>
          </w:tcPr>
          <w:p w14:paraId="6895D4FB" w14:textId="77777777" w:rsidR="001C08A5" w:rsidRDefault="00000000">
            <w:pPr>
              <w:rPr>
                <w:i/>
                <w:sz w:val="22"/>
                <w:szCs w:val="22"/>
              </w:rPr>
            </w:pPr>
            <w:r>
              <w:rPr>
                <w:i/>
                <w:sz w:val="22"/>
                <w:szCs w:val="22"/>
                <w:lang w:val="en-US" w:eastAsia="zh-CN" w:bidi="ar"/>
              </w:rPr>
              <w:t xml:space="preserve">Ușile spre coridoare vor fi minimum </w:t>
            </w:r>
            <w:r>
              <w:rPr>
                <w:b/>
                <w:bCs/>
                <w:i/>
                <w:sz w:val="22"/>
                <w:szCs w:val="22"/>
                <w:lang w:eastAsia="zh-CN" w:bidi="ar"/>
              </w:rPr>
              <w:t>EI15</w:t>
            </w:r>
          </w:p>
        </w:tc>
      </w:tr>
    </w:tbl>
    <w:p w14:paraId="634DEEAA" w14:textId="77777777" w:rsidR="001C08A5" w:rsidRDefault="001C08A5">
      <w:pPr>
        <w:shd w:val="clear" w:color="auto" w:fill="FFFFFF"/>
        <w:spacing w:after="150"/>
        <w:jc w:val="both"/>
        <w:rPr>
          <w:rFonts w:eastAsia="Calibri"/>
          <w:b/>
          <w:i/>
          <w:sz w:val="24"/>
          <w:szCs w:val="24"/>
          <w:shd w:val="clear" w:color="auto" w:fill="FFFFFF"/>
        </w:rPr>
      </w:pPr>
    </w:p>
    <w:p w14:paraId="3FC9EC24"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3.10.3.</w:t>
      </w:r>
      <w:r>
        <w:rPr>
          <w:rFonts w:eastAsia="Calibri"/>
          <w:i/>
          <w:sz w:val="24"/>
          <w:szCs w:val="24"/>
          <w:shd w:val="clear" w:color="auto" w:fill="FFFFFF"/>
        </w:rPr>
        <w:t xml:space="preserve"> Elementele de construcție ale clădirilor de locuit existente grupate sau comasate în cadrul unui compartiment de incendiu vor îndeplini condițiile stabilite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_Ref10044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151</w:t>
      </w:r>
      <w:r>
        <w:rPr>
          <w:rFonts w:eastAsia="Calibri"/>
          <w:b/>
          <w:bCs/>
          <w:i/>
          <w:iCs/>
          <w:sz w:val="24"/>
          <w:szCs w:val="24"/>
          <w:shd w:val="clear" w:color="auto" w:fill="FFFFFF"/>
        </w:rPr>
        <w:fldChar w:fldCharType="end"/>
      </w:r>
      <w:r>
        <w:rPr>
          <w:rFonts w:eastAsia="Calibri"/>
          <w:i/>
          <w:sz w:val="24"/>
          <w:szCs w:val="24"/>
          <w:shd w:val="clear" w:color="auto" w:fill="FFFFFF"/>
        </w:rPr>
        <w:t xml:space="preserve">, iar pentru elementele nenominalizate se vor respecta condițiile stabilite în Art. </w:t>
      </w:r>
      <w:r>
        <w:rPr>
          <w:rFonts w:eastAsia="Calibri"/>
          <w:b/>
          <w:bCs/>
          <w:i/>
          <w:sz w:val="24"/>
          <w:szCs w:val="24"/>
          <w:shd w:val="clear" w:color="auto" w:fill="FFFFFF"/>
        </w:rPr>
        <w:t>A.10.2.1.9.</w:t>
      </w:r>
      <w:r>
        <w:rPr>
          <w:rFonts w:eastAsia="Calibri"/>
          <w:i/>
          <w:sz w:val="24"/>
          <w:szCs w:val="24"/>
          <w:shd w:val="clear" w:color="auto" w:fill="FFFFFF"/>
        </w:rPr>
        <w:t>, corespunzătoare nivelului de stabilitate la incendiu asigurat. În subsolul sau demisolul clădirilor de locuit existente se pot realiza boxe gospodărești, cu condiția utilizării acestora numai pentru materialele și substanțele admise (fără risc mare de incendiu) și a asigurării măsurilor de protecție corespunzătoare.</w:t>
      </w:r>
    </w:p>
    <w:p w14:paraId="4074E8A3"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3.10.4.</w:t>
      </w:r>
      <w:r>
        <w:rPr>
          <w:rFonts w:eastAsia="Calibri"/>
          <w:i/>
          <w:sz w:val="24"/>
          <w:szCs w:val="24"/>
          <w:shd w:val="clear" w:color="auto" w:fill="FFFFFF"/>
        </w:rPr>
        <w:t xml:space="preserve"> Clădirile individuale existente (familiale) parter sau parter-etaj și eventual mansardă, pot fi realizate din materiale și elemente de construcție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 xml:space="preserve">Cs1÷s3,d0÷d1 </w:t>
      </w:r>
      <w:r>
        <w:rPr>
          <w:rFonts w:eastAsia="TimesNewRomanPSMT-Identity-H"/>
          <w:i/>
          <w:sz w:val="24"/>
          <w:szCs w:val="24"/>
          <w:lang w:eastAsia="zh-CN"/>
        </w:rPr>
        <w:t xml:space="preserve">sau </w:t>
      </w:r>
      <w:r>
        <w:rPr>
          <w:rFonts w:eastAsia="TimesNewRomanPSMT-Identity-H"/>
          <w:b/>
          <w:bCs/>
          <w:i/>
          <w:sz w:val="24"/>
          <w:szCs w:val="24"/>
          <w:lang w:eastAsia="zh-CN"/>
        </w:rPr>
        <w:t xml:space="preserve">Ds1÷s3,d0÷d1 </w:t>
      </w:r>
      <w:r>
        <w:rPr>
          <w:rFonts w:eastAsia="TimesNewRomanPSMT-Identity-H"/>
          <w:i/>
          <w:sz w:val="24"/>
          <w:szCs w:val="24"/>
          <w:lang w:eastAsia="zh-CN"/>
        </w:rPr>
        <w:t xml:space="preserve">sau </w:t>
      </w:r>
      <w:r>
        <w:rPr>
          <w:rFonts w:eastAsia="TimesNewRomanPSMT-Identity-H"/>
          <w:b/>
          <w:bCs/>
          <w:i/>
          <w:sz w:val="24"/>
          <w:szCs w:val="24"/>
          <w:lang w:eastAsia="zh-CN"/>
        </w:rPr>
        <w:t>A2s1÷s3,d2; Bs1÷s3,d2; Cs1÷s3,d2; Ds1÷s3,d2; Ed2</w:t>
      </w:r>
      <w:r>
        <w:rPr>
          <w:rFonts w:eastAsia="Calibri"/>
          <w:i/>
          <w:sz w:val="24"/>
          <w:szCs w:val="24"/>
          <w:shd w:val="clear" w:color="auto" w:fill="FFFFFF"/>
        </w:rPr>
        <w:t>, în condițiile îndeplinirii corelației stabilită în Art.</w:t>
      </w:r>
      <w:r>
        <w:rPr>
          <w:rFonts w:eastAsia="Calibri"/>
          <w:b/>
          <w:bCs/>
          <w:i/>
          <w:sz w:val="24"/>
          <w:szCs w:val="24"/>
          <w:shd w:val="clear" w:color="auto" w:fill="FFFFFF"/>
        </w:rPr>
        <w:t>A.10. 3.2.5.</w:t>
      </w:r>
      <w:r>
        <w:rPr>
          <w:rFonts w:eastAsia="Calibri"/>
          <w:i/>
          <w:sz w:val="24"/>
          <w:szCs w:val="24"/>
          <w:shd w:val="clear" w:color="auto" w:fill="FFFFFF"/>
        </w:rPr>
        <w:t xml:space="preserve"> din anexă.</w:t>
      </w:r>
    </w:p>
    <w:p w14:paraId="600D7A9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3.10.5.</w:t>
      </w:r>
      <w:r>
        <w:rPr>
          <w:rFonts w:eastAsia="Calibri"/>
          <w:i/>
          <w:sz w:val="24"/>
          <w:szCs w:val="24"/>
          <w:shd w:val="clear" w:color="auto" w:fill="FFFFFF"/>
        </w:rPr>
        <w:t xml:space="preserve"> În clădirile de locuit existente individuale (familiale) realizate din materiale combustibile (în condițiile admise de anexă), se recomandă utilizarea finisajelor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în bucătării și alte spații cu foc deschis.</w:t>
      </w:r>
    </w:p>
    <w:p w14:paraId="0025211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3.10.6.</w:t>
      </w:r>
      <w:r>
        <w:rPr>
          <w:rFonts w:eastAsia="Calibri"/>
          <w:i/>
          <w:sz w:val="24"/>
          <w:szCs w:val="24"/>
          <w:shd w:val="clear" w:color="auto" w:fill="FFFFFF"/>
        </w:rPr>
        <w:t xml:space="preserve"> Garajele auto alipite sau înglobate clădirilor de locuit individuale se separă de acestea prin elemente despărțitoare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cu rezistența la foc de cel puțin 1 oră (</w:t>
      </w:r>
      <w:r>
        <w:rPr>
          <w:rFonts w:eastAsia="Calibri"/>
          <w:b/>
          <w:bCs/>
          <w:i/>
          <w:sz w:val="24"/>
          <w:szCs w:val="24"/>
          <w:shd w:val="clear" w:color="auto" w:fill="FFFFFF"/>
        </w:rPr>
        <w:t>EI/REI60</w:t>
      </w:r>
      <w:r>
        <w:rPr>
          <w:rFonts w:eastAsia="Calibri"/>
          <w:i/>
          <w:sz w:val="24"/>
          <w:szCs w:val="24"/>
          <w:shd w:val="clear" w:color="auto" w:fill="FFFFFF"/>
        </w:rPr>
        <w:t>).</w:t>
      </w:r>
    </w:p>
    <w:p w14:paraId="2B7248B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3.10.7.</w:t>
      </w:r>
      <w:r>
        <w:rPr>
          <w:rFonts w:eastAsia="Calibri"/>
          <w:i/>
          <w:sz w:val="24"/>
          <w:szCs w:val="24"/>
          <w:shd w:val="clear" w:color="auto" w:fill="FFFFFF"/>
        </w:rPr>
        <w:t xml:space="preserve"> Blocurile de locuințe colective cu apartamente și/sau garsoniere, se realizează din materiale și elemente de construcție corespunzătoare condițiilor de corelație între nivelul de stabilitate la incendiu, numărul de niveluri și aria compartimentului de incendiu, stabilite în Art. </w:t>
      </w:r>
      <w:r>
        <w:rPr>
          <w:rFonts w:eastAsia="Calibri"/>
          <w:b/>
          <w:bCs/>
          <w:i/>
          <w:sz w:val="24"/>
          <w:szCs w:val="24"/>
          <w:shd w:val="clear" w:color="auto" w:fill="FFFFFF"/>
        </w:rPr>
        <w:t xml:space="preserve">A.10.3.2.5. </w:t>
      </w:r>
      <w:r>
        <w:rPr>
          <w:rFonts w:eastAsia="Calibri"/>
          <w:i/>
          <w:sz w:val="24"/>
          <w:szCs w:val="24"/>
          <w:shd w:val="clear" w:color="auto" w:fill="FFFFFF"/>
        </w:rPr>
        <w:t>Blocurile de locuit existente care se încadrează în categoria clădirilor înalte, sau foarte înalte vor respecta prevederile specifice acestora.</w:t>
      </w:r>
    </w:p>
    <w:p w14:paraId="5A5C6F8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w:t>
      </w:r>
      <w:r>
        <w:rPr>
          <w:rFonts w:eastAsia="Calibri"/>
          <w:i/>
          <w:sz w:val="24"/>
          <w:szCs w:val="24"/>
          <w:shd w:val="clear" w:color="auto" w:fill="FFFFFF"/>
        </w:rPr>
        <w:t xml:space="preserve"> Clădirile existente de locuit colective sunt considerate clădiri înalte, dacă au peste </w:t>
      </w:r>
      <w:r>
        <w:rPr>
          <w:rFonts w:eastAsia="Calibri"/>
          <w:b/>
          <w:bCs/>
          <w:i/>
          <w:sz w:val="24"/>
          <w:szCs w:val="24"/>
          <w:shd w:val="clear" w:color="auto" w:fill="FFFFFF"/>
        </w:rPr>
        <w:t>P+11</w:t>
      </w:r>
      <w:r>
        <w:rPr>
          <w:rFonts w:eastAsia="Calibri"/>
          <w:i/>
          <w:sz w:val="24"/>
          <w:szCs w:val="24"/>
          <w:shd w:val="clear" w:color="auto" w:fill="FFFFFF"/>
        </w:rPr>
        <w:t xml:space="preserve"> niveluri supraterane. Deasupra nivelului limită este admis un singur nivel care ocupă maximum </w:t>
      </w:r>
      <w:r>
        <w:rPr>
          <w:rFonts w:eastAsia="Calibri"/>
          <w:b/>
          <w:bCs/>
          <w:i/>
          <w:sz w:val="24"/>
          <w:szCs w:val="24"/>
          <w:shd w:val="clear" w:color="auto" w:fill="FFFFFF"/>
        </w:rPr>
        <w:t>50%</w:t>
      </w:r>
      <w:r>
        <w:rPr>
          <w:rFonts w:eastAsia="Calibri"/>
          <w:i/>
          <w:sz w:val="24"/>
          <w:szCs w:val="24"/>
          <w:shd w:val="clear" w:color="auto" w:fill="FFFFFF"/>
        </w:rPr>
        <w:t xml:space="preserve"> din aria construită a clădirii și cuprinde numai încăperi pentru mașini ale ascensoarelor, spălătorii și călcătorii comune, precum și spații tehnice. Clădirile existente înalte de locuit, cu înălțimea peste </w:t>
      </w:r>
      <w:r>
        <w:rPr>
          <w:rFonts w:eastAsia="Calibri"/>
          <w:b/>
          <w:bCs/>
          <w:i/>
          <w:sz w:val="24"/>
          <w:szCs w:val="24"/>
          <w:shd w:val="clear" w:color="auto" w:fill="FFFFFF"/>
        </w:rPr>
        <w:t>50 m</w:t>
      </w:r>
      <w:r>
        <w:rPr>
          <w:rFonts w:eastAsia="Calibri"/>
          <w:i/>
          <w:sz w:val="24"/>
          <w:szCs w:val="24"/>
          <w:shd w:val="clear" w:color="auto" w:fill="FFFFFF"/>
        </w:rPr>
        <w:t xml:space="preserve"> - măsurată conform prevederilor normativului, se încadrează în categoria clădirilor foarte înalte.</w:t>
      </w:r>
    </w:p>
    <w:p w14:paraId="272F1DC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w:t>
      </w:r>
      <w:r>
        <w:rPr>
          <w:rFonts w:eastAsia="Calibri"/>
          <w:i/>
          <w:sz w:val="24"/>
          <w:szCs w:val="24"/>
          <w:shd w:val="clear" w:color="auto" w:fill="FFFFFF"/>
        </w:rPr>
        <w:t xml:space="preserve"> În clădirile existente foarte înalte, pereții și planșeele de separare a apartamentelor de locuit față de spațiile învecinate și căile comune de circulație,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cel puțin 1 oră (</w:t>
      </w:r>
      <w:r>
        <w:rPr>
          <w:rFonts w:eastAsia="Calibri"/>
          <w:b/>
          <w:bCs/>
          <w:i/>
          <w:sz w:val="24"/>
          <w:szCs w:val="24"/>
          <w:shd w:val="clear" w:color="auto" w:fill="FFFFFF"/>
        </w:rPr>
        <w:t>EI/REI60</w:t>
      </w:r>
      <w:r>
        <w:rPr>
          <w:rFonts w:eastAsia="Calibri"/>
          <w:i/>
          <w:sz w:val="24"/>
          <w:szCs w:val="24"/>
          <w:shd w:val="clear" w:color="auto" w:fill="FFFFFF"/>
        </w:rPr>
        <w:t xml:space="preserve"> pereți și </w:t>
      </w:r>
      <w:r>
        <w:rPr>
          <w:rFonts w:eastAsia="Calibri"/>
          <w:b/>
          <w:bCs/>
          <w:i/>
          <w:sz w:val="24"/>
          <w:szCs w:val="24"/>
          <w:shd w:val="clear" w:color="auto" w:fill="FFFFFF"/>
        </w:rPr>
        <w:t>REI60</w:t>
      </w:r>
      <w:r>
        <w:rPr>
          <w:rFonts w:eastAsia="Calibri"/>
          <w:i/>
          <w:sz w:val="24"/>
          <w:szCs w:val="24"/>
          <w:shd w:val="clear" w:color="auto" w:fill="FFFFFF"/>
        </w:rPr>
        <w:t xml:space="preserve"> planșee), iar golurile de comunicare funcțională a apartamentelor cu circulațiile comune orizontale se protejează cu uși rezistente la foc și etanșe la fum minimum 30 minute (</w:t>
      </w:r>
      <w:r>
        <w:rPr>
          <w:rFonts w:eastAsia="Calibri"/>
          <w:b/>
          <w:bCs/>
          <w:i/>
          <w:sz w:val="24"/>
          <w:szCs w:val="24"/>
          <w:shd w:val="clear" w:color="auto" w:fill="FFFFFF"/>
        </w:rPr>
        <w:t>EI30-C5S</w:t>
      </w:r>
      <w:r>
        <w:rPr>
          <w:rFonts w:eastAsia="Calibri"/>
          <w:b/>
          <w:bCs/>
          <w:i/>
          <w:sz w:val="24"/>
          <w:szCs w:val="24"/>
          <w:shd w:val="clear" w:color="auto" w:fill="FFFFFF"/>
          <w:vertAlign w:val="subscript"/>
        </w:rPr>
        <w:t>a</w:t>
      </w:r>
      <w:r>
        <w:rPr>
          <w:rFonts w:eastAsia="Calibri"/>
          <w:i/>
          <w:sz w:val="24"/>
          <w:szCs w:val="24"/>
          <w:shd w:val="clear" w:color="auto" w:fill="FFFFFF"/>
        </w:rPr>
        <w:t>) în poziție închisă, fiind prevăzute cu dispozitive de autoînchidere.</w:t>
      </w:r>
    </w:p>
    <w:p w14:paraId="55963AA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3.10.10.</w:t>
      </w:r>
      <w:r>
        <w:rPr>
          <w:rFonts w:eastAsia="Calibri"/>
          <w:i/>
          <w:sz w:val="24"/>
          <w:szCs w:val="24"/>
          <w:shd w:val="clear" w:color="auto" w:fill="FFFFFF"/>
        </w:rPr>
        <w:t xml:space="preserve"> Condițiile de reacție la foc și de rezistență la foc admise pentru pereții care delimitează căile de evacuare din clădirile de locuit existente,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_Ref10211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152</w:t>
      </w:r>
      <w:r>
        <w:rPr>
          <w:rFonts w:eastAsia="Calibri"/>
          <w:b/>
          <w:bCs/>
          <w:i/>
          <w:iCs/>
          <w:sz w:val="24"/>
          <w:szCs w:val="24"/>
          <w:shd w:val="clear" w:color="auto" w:fill="FFFFFF"/>
        </w:rPr>
        <w:fldChar w:fldCharType="end"/>
      </w:r>
      <w:r>
        <w:rPr>
          <w:rFonts w:eastAsia="Calibri"/>
          <w:b/>
          <w:bCs/>
          <w:i/>
          <w:sz w:val="24"/>
          <w:szCs w:val="24"/>
          <w:shd w:val="clear" w:color="auto" w:fill="FFFFFF"/>
        </w:rPr>
        <w:t xml:space="preserve"> </w:t>
      </w:r>
      <w:r>
        <w:rPr>
          <w:rFonts w:eastAsia="Calibri"/>
          <w:i/>
          <w:sz w:val="24"/>
          <w:szCs w:val="24"/>
          <w:shd w:val="clear" w:color="auto" w:fill="FFFFFF"/>
        </w:rPr>
        <w:t>(dacă nu sunt clădiri înalte sau foarte înalte).</w:t>
      </w:r>
    </w:p>
    <w:p w14:paraId="7F55E173" w14:textId="77777777" w:rsidR="001C08A5" w:rsidRDefault="00000000">
      <w:pPr>
        <w:pStyle w:val="Caption"/>
        <w:jc w:val="both"/>
        <w:rPr>
          <w:rFonts w:eastAsia="Calibri" w:cs="Times New Roman"/>
          <w:bCs/>
          <w:shd w:val="clear" w:color="auto" w:fill="FFFFFF"/>
        </w:rPr>
      </w:pPr>
      <w:bookmarkStart w:id="10884" w:name="_Ref10211"/>
      <w:bookmarkStart w:id="10885" w:name="_Toc162360202"/>
      <w:r>
        <w:t xml:space="preserve">Tabelul </w:t>
      </w:r>
      <w:r>
        <w:fldChar w:fldCharType="begin"/>
      </w:r>
      <w:r>
        <w:instrText xml:space="preserve"> SEQ Tabelul \* ARABIC </w:instrText>
      </w:r>
      <w:r>
        <w:fldChar w:fldCharType="separate"/>
      </w:r>
      <w:r>
        <w:t>152</w:t>
      </w:r>
      <w:r>
        <w:fldChar w:fldCharType="end"/>
      </w:r>
      <w:bookmarkStart w:id="10886" w:name="_Toc7407"/>
      <w:bookmarkStart w:id="10887" w:name="_Toc12758"/>
      <w:bookmarkStart w:id="10888" w:name="_Toc8567"/>
      <w:bookmarkStart w:id="10889" w:name="_Toc26124"/>
      <w:bookmarkStart w:id="10890" w:name="_Toc22221"/>
      <w:bookmarkStart w:id="10891" w:name="_Toc12220"/>
      <w:bookmarkStart w:id="10892" w:name="_Toc11772"/>
      <w:bookmarkStart w:id="10893" w:name="_Toc3388"/>
      <w:bookmarkStart w:id="10894" w:name="_Toc114"/>
      <w:bookmarkStart w:id="10895" w:name="_Toc1091"/>
      <w:bookmarkStart w:id="10896" w:name="_Toc30026"/>
      <w:bookmarkEnd w:id="10884"/>
      <w:r>
        <w:t xml:space="preserve">: </w:t>
      </w:r>
      <w:r>
        <w:rPr>
          <w:rFonts w:eastAsia="Calibri"/>
          <w:bCs/>
          <w:shd w:val="clear" w:color="auto" w:fill="FFFFFF"/>
        </w:rPr>
        <w:t>Pereți și uși de separare a căilor comune de circulație și de evacuare la clădiri existente de locuit</w:t>
      </w:r>
      <w:bookmarkEnd w:id="10885"/>
      <w:bookmarkEnd w:id="10886"/>
      <w:bookmarkEnd w:id="10887"/>
      <w:bookmarkEnd w:id="10888"/>
      <w:bookmarkEnd w:id="10889"/>
      <w:bookmarkEnd w:id="10890"/>
      <w:bookmarkEnd w:id="10891"/>
      <w:bookmarkEnd w:id="10892"/>
      <w:bookmarkEnd w:id="10893"/>
      <w:bookmarkEnd w:id="10894"/>
      <w:bookmarkEnd w:id="10895"/>
      <w:bookmarkEnd w:id="10896"/>
    </w:p>
    <w:p w14:paraId="1CB6FA7B" w14:textId="77777777" w:rsidR="001C08A5" w:rsidRDefault="001C08A5">
      <w:pPr>
        <w:pStyle w:val="BodyText"/>
        <w:rPr>
          <w:rFonts w:eastAsia="Calibri"/>
          <w:shd w:val="clear" w:color="auto" w:fill="FFFFFF"/>
        </w:rPr>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44"/>
        <w:gridCol w:w="1736"/>
        <w:gridCol w:w="1735"/>
        <w:gridCol w:w="1735"/>
        <w:gridCol w:w="1735"/>
        <w:gridCol w:w="1742"/>
      </w:tblGrid>
      <w:tr w:rsidR="001C08A5" w14:paraId="5C9FB432" w14:textId="77777777">
        <w:trPr>
          <w:trHeight w:val="390"/>
          <w:tblHeader/>
        </w:trPr>
        <w:tc>
          <w:tcPr>
            <w:tcW w:w="490" w:type="pct"/>
            <w:vMerge w:val="restart"/>
            <w:shd w:val="clear" w:color="auto" w:fill="D7D7D7"/>
            <w:tcMar>
              <w:top w:w="0" w:type="dxa"/>
              <w:left w:w="0" w:type="dxa"/>
              <w:bottom w:w="0" w:type="dxa"/>
              <w:right w:w="0" w:type="dxa"/>
            </w:tcMar>
            <w:vAlign w:val="center"/>
          </w:tcPr>
          <w:p w14:paraId="32B40458" w14:textId="77777777" w:rsidR="001C08A5" w:rsidRDefault="00000000">
            <w:pPr>
              <w:jc w:val="center"/>
              <w:rPr>
                <w:b/>
                <w:bCs/>
                <w:i/>
                <w:sz w:val="22"/>
                <w:szCs w:val="22"/>
              </w:rPr>
            </w:pPr>
            <w:r>
              <w:rPr>
                <w:b/>
                <w:bCs/>
                <w:i/>
                <w:sz w:val="22"/>
                <w:szCs w:val="22"/>
              </w:rPr>
              <w:t>Nivel de stabilitate</w:t>
            </w:r>
          </w:p>
          <w:p w14:paraId="3F177EA2" w14:textId="77777777" w:rsidR="001C08A5" w:rsidRDefault="00000000">
            <w:pPr>
              <w:jc w:val="center"/>
              <w:rPr>
                <w:b/>
                <w:bCs/>
                <w:i/>
                <w:sz w:val="22"/>
                <w:szCs w:val="22"/>
              </w:rPr>
            </w:pPr>
            <w:r>
              <w:rPr>
                <w:b/>
                <w:bCs/>
                <w:i/>
                <w:sz w:val="22"/>
                <w:szCs w:val="22"/>
              </w:rPr>
              <w:t>la incendiu</w:t>
            </w:r>
          </w:p>
        </w:tc>
        <w:tc>
          <w:tcPr>
            <w:tcW w:w="4509" w:type="pct"/>
            <w:gridSpan w:val="5"/>
            <w:shd w:val="clear" w:color="auto" w:fill="D7D7D7"/>
            <w:tcMar>
              <w:top w:w="0" w:type="dxa"/>
              <w:left w:w="0" w:type="dxa"/>
              <w:bottom w:w="0" w:type="dxa"/>
              <w:right w:w="0" w:type="dxa"/>
            </w:tcMar>
            <w:vAlign w:val="center"/>
          </w:tcPr>
          <w:p w14:paraId="0361DE74" w14:textId="77777777" w:rsidR="001C08A5" w:rsidRDefault="00000000">
            <w:pPr>
              <w:jc w:val="center"/>
              <w:rPr>
                <w:b/>
                <w:bCs/>
                <w:i/>
                <w:sz w:val="22"/>
                <w:szCs w:val="22"/>
                <w:lang w:val="en-US" w:eastAsia="zh-CN" w:bidi="ar"/>
              </w:rPr>
            </w:pPr>
            <w:r>
              <w:rPr>
                <w:b/>
                <w:bCs/>
                <w:i/>
                <w:sz w:val="22"/>
                <w:szCs w:val="22"/>
                <w:lang w:val="en-US" w:eastAsia="zh-CN" w:bidi="ar"/>
              </w:rPr>
              <w:t>Nivele de comportare la foc admise</w:t>
            </w:r>
          </w:p>
        </w:tc>
      </w:tr>
      <w:tr w:rsidR="001C08A5" w14:paraId="612222B7" w14:textId="77777777">
        <w:trPr>
          <w:trHeight w:val="375"/>
          <w:tblHeader/>
        </w:trPr>
        <w:tc>
          <w:tcPr>
            <w:tcW w:w="490" w:type="pct"/>
            <w:vMerge/>
            <w:shd w:val="clear" w:color="auto" w:fill="D7D7D7"/>
            <w:tcMar>
              <w:top w:w="0" w:type="dxa"/>
              <w:left w:w="0" w:type="dxa"/>
              <w:bottom w:w="0" w:type="dxa"/>
              <w:right w:w="0" w:type="dxa"/>
            </w:tcMar>
            <w:vAlign w:val="center"/>
          </w:tcPr>
          <w:p w14:paraId="75D0DADF" w14:textId="77777777" w:rsidR="001C08A5" w:rsidRDefault="001C08A5">
            <w:pPr>
              <w:jc w:val="center"/>
              <w:rPr>
                <w:b/>
                <w:bCs/>
                <w:i/>
                <w:sz w:val="22"/>
                <w:szCs w:val="22"/>
              </w:rPr>
            </w:pPr>
          </w:p>
        </w:tc>
        <w:tc>
          <w:tcPr>
            <w:tcW w:w="901" w:type="pct"/>
            <w:shd w:val="clear" w:color="auto" w:fill="D7D7D7"/>
            <w:tcMar>
              <w:top w:w="0" w:type="dxa"/>
              <w:left w:w="0" w:type="dxa"/>
              <w:bottom w:w="0" w:type="dxa"/>
              <w:right w:w="0" w:type="dxa"/>
            </w:tcMar>
            <w:vAlign w:val="center"/>
          </w:tcPr>
          <w:p w14:paraId="68698EC0" w14:textId="77777777" w:rsidR="001C08A5" w:rsidRDefault="00000000">
            <w:pPr>
              <w:jc w:val="center"/>
              <w:rPr>
                <w:b/>
                <w:bCs/>
                <w:i/>
                <w:sz w:val="22"/>
                <w:szCs w:val="22"/>
              </w:rPr>
            </w:pPr>
            <w:r>
              <w:rPr>
                <w:b/>
                <w:bCs/>
                <w:i/>
                <w:sz w:val="22"/>
                <w:szCs w:val="22"/>
                <w:lang w:val="en-US" w:eastAsia="zh-CN" w:bidi="ar"/>
              </w:rPr>
              <w:t>Pereți la coridoare</w:t>
            </w:r>
          </w:p>
        </w:tc>
        <w:tc>
          <w:tcPr>
            <w:tcW w:w="901" w:type="pct"/>
            <w:shd w:val="clear" w:color="auto" w:fill="D7D7D7"/>
            <w:tcMar>
              <w:top w:w="0" w:type="dxa"/>
              <w:left w:w="0" w:type="dxa"/>
              <w:bottom w:w="0" w:type="dxa"/>
              <w:right w:w="0" w:type="dxa"/>
            </w:tcMar>
            <w:vAlign w:val="center"/>
          </w:tcPr>
          <w:p w14:paraId="349651C3" w14:textId="77777777" w:rsidR="001C08A5" w:rsidRDefault="00000000">
            <w:pPr>
              <w:jc w:val="center"/>
              <w:rPr>
                <w:b/>
                <w:bCs/>
                <w:i/>
                <w:sz w:val="22"/>
                <w:szCs w:val="22"/>
              </w:rPr>
            </w:pPr>
            <w:r>
              <w:rPr>
                <w:b/>
                <w:bCs/>
                <w:i/>
                <w:sz w:val="22"/>
                <w:szCs w:val="22"/>
                <w:lang w:val="en-US" w:eastAsia="zh-CN" w:bidi="ar"/>
              </w:rPr>
              <w:t>Pereți la holuri</w:t>
            </w:r>
          </w:p>
        </w:tc>
        <w:tc>
          <w:tcPr>
            <w:tcW w:w="901" w:type="pct"/>
            <w:shd w:val="clear" w:color="auto" w:fill="D7D7D7"/>
            <w:tcMar>
              <w:top w:w="0" w:type="dxa"/>
              <w:left w:w="0" w:type="dxa"/>
              <w:bottom w:w="0" w:type="dxa"/>
              <w:right w:w="0" w:type="dxa"/>
            </w:tcMar>
            <w:vAlign w:val="center"/>
          </w:tcPr>
          <w:p w14:paraId="05CB82E8" w14:textId="77777777" w:rsidR="001C08A5" w:rsidRDefault="00000000">
            <w:pPr>
              <w:jc w:val="center"/>
              <w:rPr>
                <w:b/>
                <w:bCs/>
                <w:i/>
                <w:sz w:val="22"/>
                <w:szCs w:val="22"/>
              </w:rPr>
            </w:pPr>
            <w:r>
              <w:rPr>
                <w:b/>
                <w:bCs/>
                <w:i/>
                <w:sz w:val="22"/>
                <w:szCs w:val="22"/>
              </w:rPr>
              <w:t xml:space="preserve">Uși </w:t>
            </w:r>
            <w:r>
              <w:rPr>
                <w:b/>
                <w:bCs/>
                <w:i/>
                <w:sz w:val="22"/>
                <w:szCs w:val="22"/>
                <w:lang w:val="en-US" w:eastAsia="zh-CN" w:bidi="ar"/>
              </w:rPr>
              <w:t>la</w:t>
            </w:r>
            <w:r>
              <w:rPr>
                <w:b/>
                <w:bCs/>
                <w:i/>
                <w:sz w:val="22"/>
                <w:szCs w:val="22"/>
                <w:lang w:eastAsia="zh-CN" w:bidi="ar"/>
              </w:rPr>
              <w:t xml:space="preserve"> </w:t>
            </w:r>
            <w:r>
              <w:rPr>
                <w:b/>
                <w:bCs/>
                <w:i/>
                <w:sz w:val="22"/>
                <w:szCs w:val="22"/>
                <w:lang w:val="en-US" w:eastAsia="zh-CN" w:bidi="ar"/>
              </w:rPr>
              <w:t>coridoare</w:t>
            </w:r>
            <w:r>
              <w:rPr>
                <w:b/>
                <w:bCs/>
                <w:i/>
                <w:sz w:val="22"/>
                <w:szCs w:val="22"/>
                <w:lang w:eastAsia="zh-CN" w:bidi="ar"/>
              </w:rPr>
              <w:t xml:space="preserve"> și la</w:t>
            </w:r>
            <w:r>
              <w:rPr>
                <w:b/>
                <w:bCs/>
                <w:i/>
                <w:sz w:val="22"/>
                <w:szCs w:val="22"/>
                <w:lang w:val="en-US" w:eastAsia="zh-CN" w:bidi="ar"/>
              </w:rPr>
              <w:t xml:space="preserve"> holuri</w:t>
            </w:r>
            <w:r>
              <w:rPr>
                <w:b/>
                <w:bCs/>
                <w:i/>
                <w:sz w:val="22"/>
                <w:szCs w:val="22"/>
                <w:lang w:eastAsia="zh-CN" w:bidi="ar"/>
              </w:rPr>
              <w:t xml:space="preserve"> </w:t>
            </w:r>
            <w:r>
              <w:rPr>
                <w:i/>
                <w:sz w:val="22"/>
                <w:szCs w:val="22"/>
              </w:rPr>
              <w:t>(cu excepţia celor către case de scări închise)</w:t>
            </w:r>
          </w:p>
        </w:tc>
        <w:tc>
          <w:tcPr>
            <w:tcW w:w="901" w:type="pct"/>
            <w:shd w:val="clear" w:color="auto" w:fill="D7D7D7"/>
            <w:tcMar>
              <w:top w:w="0" w:type="dxa"/>
              <w:left w:w="0" w:type="dxa"/>
              <w:bottom w:w="0" w:type="dxa"/>
              <w:right w:w="0" w:type="dxa"/>
            </w:tcMar>
            <w:vAlign w:val="center"/>
          </w:tcPr>
          <w:p w14:paraId="6B69A252" w14:textId="77777777" w:rsidR="001C08A5" w:rsidRDefault="00000000">
            <w:pPr>
              <w:jc w:val="center"/>
              <w:rPr>
                <w:b/>
                <w:bCs/>
                <w:i/>
                <w:sz w:val="22"/>
                <w:szCs w:val="22"/>
                <w:lang w:eastAsia="zh-CN" w:bidi="ar"/>
              </w:rPr>
            </w:pPr>
            <w:r>
              <w:rPr>
                <w:b/>
                <w:bCs/>
                <w:i/>
                <w:sz w:val="22"/>
                <w:szCs w:val="22"/>
                <w:lang w:val="en-US" w:eastAsia="zh-CN" w:bidi="ar"/>
              </w:rPr>
              <w:t xml:space="preserve">Pereți la case de </w:t>
            </w:r>
            <w:proofErr w:type="gramStart"/>
            <w:r>
              <w:rPr>
                <w:b/>
                <w:bCs/>
                <w:i/>
                <w:sz w:val="22"/>
                <w:szCs w:val="22"/>
                <w:lang w:val="en-US" w:eastAsia="zh-CN" w:bidi="ar"/>
              </w:rPr>
              <w:t>scări</w:t>
            </w:r>
            <w:r>
              <w:rPr>
                <w:b/>
                <w:bCs/>
                <w:i/>
                <w:sz w:val="22"/>
                <w:szCs w:val="22"/>
                <w:lang w:eastAsia="zh-CN" w:bidi="ar"/>
              </w:rPr>
              <w:t xml:space="preserve">  închise</w:t>
            </w:r>
            <w:proofErr w:type="gramEnd"/>
          </w:p>
        </w:tc>
        <w:tc>
          <w:tcPr>
            <w:tcW w:w="903" w:type="pct"/>
            <w:shd w:val="clear" w:color="auto" w:fill="D7D7D7"/>
            <w:tcMar>
              <w:top w:w="0" w:type="dxa"/>
              <w:left w:w="0" w:type="dxa"/>
              <w:bottom w:w="0" w:type="dxa"/>
              <w:right w:w="0" w:type="dxa"/>
            </w:tcMar>
            <w:vAlign w:val="center"/>
          </w:tcPr>
          <w:p w14:paraId="4E850BCA" w14:textId="77777777" w:rsidR="001C08A5" w:rsidRDefault="00000000">
            <w:pPr>
              <w:jc w:val="center"/>
              <w:rPr>
                <w:b/>
                <w:bCs/>
                <w:i/>
                <w:sz w:val="22"/>
                <w:szCs w:val="22"/>
                <w:lang w:eastAsia="zh-CN" w:bidi="ar"/>
              </w:rPr>
            </w:pPr>
            <w:r>
              <w:rPr>
                <w:b/>
                <w:bCs/>
                <w:i/>
                <w:sz w:val="22"/>
                <w:szCs w:val="22"/>
                <w:lang w:eastAsia="zh-CN" w:bidi="ar"/>
              </w:rPr>
              <w:t xml:space="preserve">Uși </w:t>
            </w:r>
            <w:r>
              <w:rPr>
                <w:b/>
                <w:bCs/>
                <w:i/>
                <w:sz w:val="22"/>
                <w:szCs w:val="22"/>
                <w:lang w:val="en-US" w:eastAsia="zh-CN" w:bidi="ar"/>
              </w:rPr>
              <w:t>la case de scări</w:t>
            </w:r>
            <w:r>
              <w:rPr>
                <w:b/>
                <w:bCs/>
                <w:i/>
                <w:sz w:val="22"/>
                <w:szCs w:val="22"/>
                <w:lang w:eastAsia="zh-CN" w:bidi="ar"/>
              </w:rPr>
              <w:t xml:space="preserve"> </w:t>
            </w:r>
            <w:r>
              <w:rPr>
                <w:i/>
                <w:sz w:val="22"/>
                <w:szCs w:val="22"/>
                <w:lang w:eastAsia="zh-CN" w:bidi="ar"/>
              </w:rPr>
              <w:t>(cu excepţia uşilor de apartament)</w:t>
            </w:r>
          </w:p>
        </w:tc>
      </w:tr>
      <w:tr w:rsidR="001C08A5" w14:paraId="48E32BE0" w14:textId="77777777">
        <w:trPr>
          <w:trHeight w:val="345"/>
        </w:trPr>
        <w:tc>
          <w:tcPr>
            <w:tcW w:w="490" w:type="pct"/>
            <w:tcMar>
              <w:top w:w="0" w:type="dxa"/>
              <w:left w:w="0" w:type="dxa"/>
              <w:bottom w:w="0" w:type="dxa"/>
              <w:right w:w="0" w:type="dxa"/>
            </w:tcMar>
            <w:vAlign w:val="center"/>
          </w:tcPr>
          <w:p w14:paraId="759ABA9E" w14:textId="77777777" w:rsidR="001C08A5" w:rsidRDefault="00000000">
            <w:pPr>
              <w:jc w:val="center"/>
              <w:rPr>
                <w:b/>
                <w:bCs/>
                <w:i/>
                <w:sz w:val="22"/>
                <w:szCs w:val="22"/>
              </w:rPr>
            </w:pPr>
            <w:r>
              <w:rPr>
                <w:b/>
                <w:bCs/>
                <w:i/>
                <w:sz w:val="22"/>
                <w:szCs w:val="22"/>
                <w:lang w:val="en-US" w:eastAsia="zh-CN" w:bidi="ar"/>
              </w:rPr>
              <w:t>I</w:t>
            </w:r>
          </w:p>
        </w:tc>
        <w:tc>
          <w:tcPr>
            <w:tcW w:w="901" w:type="pct"/>
            <w:tcMar>
              <w:top w:w="0" w:type="dxa"/>
              <w:left w:w="0" w:type="dxa"/>
              <w:bottom w:w="0" w:type="dxa"/>
              <w:right w:w="0" w:type="dxa"/>
            </w:tcMar>
            <w:vAlign w:val="center"/>
          </w:tcPr>
          <w:p w14:paraId="4BF62E11" w14:textId="77777777" w:rsidR="001C08A5" w:rsidRDefault="00000000">
            <w:pPr>
              <w:jc w:val="center"/>
              <w:rPr>
                <w:b/>
                <w:i/>
                <w:sz w:val="22"/>
                <w:szCs w:val="22"/>
              </w:rPr>
            </w:pPr>
            <w:r>
              <w:rPr>
                <w:b/>
                <w:i/>
                <w:sz w:val="22"/>
                <w:szCs w:val="22"/>
              </w:rPr>
              <w:t>EI/REI 30</w:t>
            </w:r>
          </w:p>
          <w:p w14:paraId="3E5226F4" w14:textId="77777777" w:rsidR="001C08A5" w:rsidRDefault="00000000">
            <w:pPr>
              <w:jc w:val="center"/>
              <w:rPr>
                <w:b/>
                <w:i/>
                <w:sz w:val="22"/>
                <w:szCs w:val="22"/>
              </w:rPr>
            </w:pPr>
            <w:r>
              <w:rPr>
                <w:b/>
                <w:bCs/>
                <w:i/>
                <w:sz w:val="22"/>
                <w:szCs w:val="22"/>
                <w:lang w:val="en-GB"/>
              </w:rPr>
              <w:t>A1, A2s1d0</w:t>
            </w:r>
          </w:p>
        </w:tc>
        <w:tc>
          <w:tcPr>
            <w:tcW w:w="901" w:type="pct"/>
            <w:tcMar>
              <w:top w:w="0" w:type="dxa"/>
              <w:left w:w="0" w:type="dxa"/>
              <w:bottom w:w="0" w:type="dxa"/>
              <w:right w:w="0" w:type="dxa"/>
            </w:tcMar>
            <w:vAlign w:val="center"/>
          </w:tcPr>
          <w:p w14:paraId="70AD443E" w14:textId="77777777" w:rsidR="001C08A5" w:rsidRDefault="00000000">
            <w:pPr>
              <w:jc w:val="center"/>
              <w:rPr>
                <w:b/>
                <w:i/>
                <w:sz w:val="22"/>
                <w:szCs w:val="22"/>
              </w:rPr>
            </w:pPr>
            <w:r>
              <w:rPr>
                <w:b/>
                <w:i/>
                <w:sz w:val="22"/>
                <w:szCs w:val="22"/>
              </w:rPr>
              <w:t>EI/REI 30</w:t>
            </w:r>
          </w:p>
          <w:p w14:paraId="421FE40D" w14:textId="77777777" w:rsidR="001C08A5" w:rsidRDefault="00000000">
            <w:pPr>
              <w:jc w:val="center"/>
              <w:rPr>
                <w:i/>
                <w:sz w:val="22"/>
                <w:szCs w:val="22"/>
              </w:rPr>
            </w:pPr>
            <w:r>
              <w:rPr>
                <w:b/>
                <w:bCs/>
                <w:i/>
                <w:sz w:val="22"/>
                <w:szCs w:val="22"/>
                <w:lang w:val="en-GB"/>
              </w:rPr>
              <w:t>A1, A2s1d0</w:t>
            </w:r>
          </w:p>
        </w:tc>
        <w:tc>
          <w:tcPr>
            <w:tcW w:w="901" w:type="pct"/>
            <w:tcMar>
              <w:top w:w="0" w:type="dxa"/>
              <w:left w:w="0" w:type="dxa"/>
              <w:bottom w:w="0" w:type="dxa"/>
              <w:right w:w="0" w:type="dxa"/>
            </w:tcMar>
            <w:vAlign w:val="center"/>
          </w:tcPr>
          <w:p w14:paraId="5C7CA55B" w14:textId="77777777" w:rsidR="001C08A5" w:rsidRDefault="00000000">
            <w:pPr>
              <w:jc w:val="center"/>
              <w:rPr>
                <w:i/>
                <w:sz w:val="22"/>
                <w:szCs w:val="22"/>
              </w:rPr>
            </w:pPr>
            <w:r>
              <w:rPr>
                <w:i/>
                <w:sz w:val="22"/>
                <w:szCs w:val="22"/>
              </w:rPr>
              <w:t>-</w:t>
            </w:r>
          </w:p>
        </w:tc>
        <w:tc>
          <w:tcPr>
            <w:tcW w:w="901" w:type="pct"/>
            <w:tcMar>
              <w:top w:w="0" w:type="dxa"/>
              <w:left w:w="0" w:type="dxa"/>
              <w:bottom w:w="0" w:type="dxa"/>
              <w:right w:w="0" w:type="dxa"/>
            </w:tcMar>
            <w:vAlign w:val="center"/>
          </w:tcPr>
          <w:p w14:paraId="34E07DB5" w14:textId="77777777" w:rsidR="001C08A5" w:rsidRDefault="00000000">
            <w:pPr>
              <w:jc w:val="center"/>
              <w:rPr>
                <w:b/>
                <w:i/>
                <w:sz w:val="22"/>
                <w:szCs w:val="22"/>
              </w:rPr>
            </w:pPr>
            <w:r>
              <w:rPr>
                <w:b/>
                <w:i/>
                <w:sz w:val="22"/>
                <w:szCs w:val="22"/>
              </w:rPr>
              <w:t>EI/REI 180</w:t>
            </w:r>
          </w:p>
          <w:p w14:paraId="234366F1"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903" w:type="pct"/>
            <w:tcMar>
              <w:top w:w="0" w:type="dxa"/>
              <w:left w:w="0" w:type="dxa"/>
              <w:bottom w:w="0" w:type="dxa"/>
              <w:right w:w="0" w:type="dxa"/>
            </w:tcMar>
            <w:vAlign w:val="center"/>
          </w:tcPr>
          <w:p w14:paraId="6BD0EB63" w14:textId="77777777" w:rsidR="001C08A5" w:rsidRDefault="00000000">
            <w:pPr>
              <w:jc w:val="center"/>
              <w:rPr>
                <w:b/>
                <w:bCs/>
                <w:i/>
                <w:sz w:val="22"/>
                <w:szCs w:val="22"/>
                <w:vertAlign w:val="subscript"/>
                <w:lang w:val="en-GB"/>
              </w:rPr>
            </w:pPr>
            <w:r>
              <w:rPr>
                <w:b/>
                <w:bCs/>
                <w:i/>
                <w:sz w:val="22"/>
                <w:szCs w:val="22"/>
              </w:rPr>
              <w:t xml:space="preserve">E 15 - C5 </w:t>
            </w:r>
            <w:r>
              <w:rPr>
                <w:b/>
                <w:i/>
                <w:sz w:val="22"/>
                <w:szCs w:val="22"/>
              </w:rPr>
              <w:t>S</w:t>
            </w:r>
            <w:r>
              <w:rPr>
                <w:b/>
                <w:bCs/>
                <w:i/>
                <w:sz w:val="22"/>
                <w:szCs w:val="22"/>
                <w:vertAlign w:val="subscript"/>
                <w:lang w:val="en-GB"/>
              </w:rPr>
              <w:t>200</w:t>
            </w:r>
          </w:p>
        </w:tc>
      </w:tr>
      <w:tr w:rsidR="001C08A5" w14:paraId="6E81FCD1" w14:textId="77777777">
        <w:trPr>
          <w:trHeight w:val="345"/>
        </w:trPr>
        <w:tc>
          <w:tcPr>
            <w:tcW w:w="490" w:type="pct"/>
            <w:tcMar>
              <w:top w:w="0" w:type="dxa"/>
              <w:left w:w="0" w:type="dxa"/>
              <w:bottom w:w="0" w:type="dxa"/>
              <w:right w:w="0" w:type="dxa"/>
            </w:tcMar>
            <w:vAlign w:val="center"/>
          </w:tcPr>
          <w:p w14:paraId="4E171467" w14:textId="77777777" w:rsidR="001C08A5" w:rsidRDefault="00000000">
            <w:pPr>
              <w:jc w:val="center"/>
              <w:rPr>
                <w:b/>
                <w:bCs/>
                <w:i/>
                <w:sz w:val="22"/>
                <w:szCs w:val="22"/>
              </w:rPr>
            </w:pPr>
            <w:r>
              <w:rPr>
                <w:b/>
                <w:bCs/>
                <w:i/>
                <w:sz w:val="22"/>
                <w:szCs w:val="22"/>
                <w:lang w:val="en-US" w:eastAsia="zh-CN" w:bidi="ar"/>
              </w:rPr>
              <w:t>II</w:t>
            </w:r>
          </w:p>
        </w:tc>
        <w:tc>
          <w:tcPr>
            <w:tcW w:w="901" w:type="pct"/>
            <w:tcMar>
              <w:top w:w="0" w:type="dxa"/>
              <w:left w:w="0" w:type="dxa"/>
              <w:bottom w:w="0" w:type="dxa"/>
              <w:right w:w="0" w:type="dxa"/>
            </w:tcMar>
            <w:vAlign w:val="center"/>
          </w:tcPr>
          <w:p w14:paraId="6676A010" w14:textId="77777777" w:rsidR="001C08A5" w:rsidRDefault="00000000">
            <w:pPr>
              <w:jc w:val="center"/>
              <w:rPr>
                <w:b/>
                <w:i/>
                <w:sz w:val="22"/>
                <w:szCs w:val="22"/>
              </w:rPr>
            </w:pPr>
            <w:r>
              <w:rPr>
                <w:b/>
                <w:i/>
                <w:sz w:val="22"/>
                <w:szCs w:val="22"/>
              </w:rPr>
              <w:t>EI/REI 30</w:t>
            </w:r>
          </w:p>
          <w:p w14:paraId="6FE76E2F" w14:textId="77777777" w:rsidR="001C08A5" w:rsidRDefault="00000000">
            <w:pPr>
              <w:jc w:val="center"/>
              <w:rPr>
                <w:b/>
                <w:i/>
                <w:sz w:val="22"/>
                <w:szCs w:val="22"/>
              </w:rPr>
            </w:pPr>
            <w:r>
              <w:rPr>
                <w:b/>
                <w:i/>
                <w:sz w:val="22"/>
                <w:szCs w:val="22"/>
              </w:rPr>
              <w:t>A1, A2-s1d0,</w:t>
            </w:r>
          </w:p>
          <w:p w14:paraId="1C7B0241" w14:textId="77777777" w:rsidR="001C08A5" w:rsidRDefault="00000000">
            <w:pPr>
              <w:jc w:val="center"/>
              <w:rPr>
                <w:b/>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901" w:type="pct"/>
            <w:tcMar>
              <w:top w:w="0" w:type="dxa"/>
              <w:left w:w="0" w:type="dxa"/>
              <w:bottom w:w="0" w:type="dxa"/>
              <w:right w:w="0" w:type="dxa"/>
            </w:tcMar>
            <w:vAlign w:val="center"/>
          </w:tcPr>
          <w:p w14:paraId="361230C9" w14:textId="77777777" w:rsidR="001C08A5" w:rsidRDefault="00000000">
            <w:pPr>
              <w:jc w:val="center"/>
              <w:rPr>
                <w:b/>
                <w:i/>
                <w:sz w:val="22"/>
                <w:szCs w:val="22"/>
              </w:rPr>
            </w:pPr>
            <w:r>
              <w:rPr>
                <w:b/>
                <w:i/>
                <w:sz w:val="22"/>
                <w:szCs w:val="22"/>
              </w:rPr>
              <w:t>EI/REI 30</w:t>
            </w:r>
          </w:p>
          <w:p w14:paraId="72E65932" w14:textId="77777777" w:rsidR="001C08A5" w:rsidRDefault="00000000">
            <w:pPr>
              <w:jc w:val="center"/>
              <w:rPr>
                <w:b/>
                <w:i/>
                <w:sz w:val="22"/>
                <w:szCs w:val="22"/>
              </w:rPr>
            </w:pPr>
            <w:r>
              <w:rPr>
                <w:b/>
                <w:i/>
                <w:sz w:val="22"/>
                <w:szCs w:val="22"/>
              </w:rPr>
              <w:t>A1, A2-s1d0,</w:t>
            </w:r>
          </w:p>
          <w:p w14:paraId="09F8CCA0" w14:textId="77777777" w:rsidR="001C08A5" w:rsidRDefault="00000000">
            <w:pPr>
              <w:jc w:val="center"/>
              <w:rPr>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901" w:type="pct"/>
            <w:tcMar>
              <w:top w:w="0" w:type="dxa"/>
              <w:left w:w="0" w:type="dxa"/>
              <w:bottom w:w="0" w:type="dxa"/>
              <w:right w:w="0" w:type="dxa"/>
            </w:tcMar>
            <w:vAlign w:val="center"/>
          </w:tcPr>
          <w:p w14:paraId="28CEDA89" w14:textId="77777777" w:rsidR="001C08A5" w:rsidRDefault="00000000">
            <w:pPr>
              <w:jc w:val="center"/>
              <w:rPr>
                <w:i/>
                <w:sz w:val="22"/>
                <w:szCs w:val="22"/>
              </w:rPr>
            </w:pPr>
            <w:r>
              <w:rPr>
                <w:i/>
                <w:sz w:val="22"/>
                <w:szCs w:val="22"/>
                <w:lang w:eastAsia="zh-CN" w:bidi="ar"/>
              </w:rPr>
              <w:t>-</w:t>
            </w:r>
          </w:p>
        </w:tc>
        <w:tc>
          <w:tcPr>
            <w:tcW w:w="901" w:type="pct"/>
            <w:tcMar>
              <w:top w:w="0" w:type="dxa"/>
              <w:left w:w="0" w:type="dxa"/>
              <w:bottom w:w="0" w:type="dxa"/>
              <w:right w:w="0" w:type="dxa"/>
            </w:tcMar>
            <w:vAlign w:val="center"/>
          </w:tcPr>
          <w:p w14:paraId="22A28D64" w14:textId="77777777" w:rsidR="001C08A5" w:rsidRDefault="00000000">
            <w:pPr>
              <w:jc w:val="center"/>
              <w:rPr>
                <w:b/>
                <w:i/>
                <w:sz w:val="22"/>
                <w:szCs w:val="22"/>
              </w:rPr>
            </w:pPr>
            <w:r>
              <w:rPr>
                <w:b/>
                <w:i/>
                <w:sz w:val="22"/>
                <w:szCs w:val="22"/>
              </w:rPr>
              <w:t>EI/REI 180</w:t>
            </w:r>
          </w:p>
          <w:p w14:paraId="51170414"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903" w:type="pct"/>
            <w:tcMar>
              <w:top w:w="0" w:type="dxa"/>
              <w:left w:w="0" w:type="dxa"/>
              <w:bottom w:w="0" w:type="dxa"/>
              <w:right w:w="0" w:type="dxa"/>
            </w:tcMar>
            <w:vAlign w:val="center"/>
          </w:tcPr>
          <w:p w14:paraId="7B04496E" w14:textId="77777777" w:rsidR="001C08A5" w:rsidRDefault="00000000">
            <w:pPr>
              <w:jc w:val="center"/>
              <w:rPr>
                <w:b/>
                <w:i/>
                <w:sz w:val="22"/>
                <w:szCs w:val="22"/>
              </w:rPr>
            </w:pPr>
            <w:r>
              <w:rPr>
                <w:b/>
                <w:bCs/>
                <w:i/>
                <w:sz w:val="22"/>
                <w:szCs w:val="22"/>
              </w:rPr>
              <w:t xml:space="preserve">E 15 - C5 </w:t>
            </w:r>
            <w:r>
              <w:rPr>
                <w:b/>
                <w:i/>
                <w:sz w:val="22"/>
                <w:szCs w:val="22"/>
              </w:rPr>
              <w:t>S</w:t>
            </w:r>
            <w:r>
              <w:rPr>
                <w:b/>
                <w:bCs/>
                <w:i/>
                <w:sz w:val="22"/>
                <w:szCs w:val="22"/>
                <w:vertAlign w:val="subscript"/>
              </w:rPr>
              <w:t>a</w:t>
            </w:r>
          </w:p>
        </w:tc>
      </w:tr>
      <w:tr w:rsidR="001C08A5" w14:paraId="20A3CFBA" w14:textId="77777777">
        <w:trPr>
          <w:trHeight w:val="345"/>
        </w:trPr>
        <w:tc>
          <w:tcPr>
            <w:tcW w:w="490" w:type="pct"/>
            <w:tcMar>
              <w:top w:w="0" w:type="dxa"/>
              <w:left w:w="0" w:type="dxa"/>
              <w:bottom w:w="0" w:type="dxa"/>
              <w:right w:w="0" w:type="dxa"/>
            </w:tcMar>
            <w:vAlign w:val="center"/>
          </w:tcPr>
          <w:p w14:paraId="0BCCC182" w14:textId="77777777" w:rsidR="001C08A5" w:rsidRDefault="00000000">
            <w:pPr>
              <w:jc w:val="center"/>
              <w:rPr>
                <w:b/>
                <w:bCs/>
                <w:i/>
                <w:sz w:val="22"/>
                <w:szCs w:val="22"/>
              </w:rPr>
            </w:pPr>
            <w:r>
              <w:rPr>
                <w:b/>
                <w:bCs/>
                <w:i/>
                <w:sz w:val="22"/>
                <w:szCs w:val="22"/>
                <w:lang w:val="en-US" w:eastAsia="zh-CN" w:bidi="ar"/>
              </w:rPr>
              <w:t>III</w:t>
            </w:r>
          </w:p>
        </w:tc>
        <w:tc>
          <w:tcPr>
            <w:tcW w:w="901" w:type="pct"/>
            <w:tcMar>
              <w:top w:w="0" w:type="dxa"/>
              <w:left w:w="0" w:type="dxa"/>
              <w:bottom w:w="0" w:type="dxa"/>
              <w:right w:w="0" w:type="dxa"/>
            </w:tcMar>
            <w:vAlign w:val="center"/>
          </w:tcPr>
          <w:p w14:paraId="49285B23" w14:textId="77777777" w:rsidR="001C08A5" w:rsidRDefault="00000000">
            <w:pPr>
              <w:jc w:val="center"/>
              <w:rPr>
                <w:b/>
                <w:i/>
                <w:sz w:val="22"/>
                <w:szCs w:val="22"/>
              </w:rPr>
            </w:pPr>
            <w:r>
              <w:rPr>
                <w:b/>
                <w:i/>
                <w:sz w:val="22"/>
                <w:szCs w:val="22"/>
              </w:rPr>
              <w:t>EI/REI 15</w:t>
            </w:r>
          </w:p>
          <w:p w14:paraId="2C3D2F6C" w14:textId="77777777" w:rsidR="001C08A5" w:rsidRDefault="00000000">
            <w:pPr>
              <w:jc w:val="center"/>
              <w:rPr>
                <w:b/>
                <w:i/>
                <w:sz w:val="22"/>
                <w:szCs w:val="22"/>
              </w:rPr>
            </w:pPr>
            <w:r>
              <w:rPr>
                <w:b/>
                <w:i/>
                <w:sz w:val="22"/>
                <w:szCs w:val="22"/>
              </w:rPr>
              <w:t>A1, A2-s1d0,</w:t>
            </w:r>
          </w:p>
          <w:p w14:paraId="425116AE" w14:textId="77777777" w:rsidR="001C08A5" w:rsidRDefault="00000000">
            <w:pPr>
              <w:jc w:val="center"/>
              <w:rPr>
                <w:b/>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r>
              <w:rPr>
                <w:b/>
                <w:i/>
                <w:sz w:val="22"/>
                <w:szCs w:val="22"/>
              </w:rPr>
              <w:t>,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901" w:type="pct"/>
            <w:tcMar>
              <w:top w:w="0" w:type="dxa"/>
              <w:left w:w="0" w:type="dxa"/>
              <w:bottom w:w="0" w:type="dxa"/>
              <w:right w:w="0" w:type="dxa"/>
            </w:tcMar>
            <w:vAlign w:val="center"/>
          </w:tcPr>
          <w:p w14:paraId="3BDFDFE3" w14:textId="77777777" w:rsidR="001C08A5" w:rsidRDefault="00000000">
            <w:pPr>
              <w:jc w:val="center"/>
              <w:rPr>
                <w:b/>
                <w:i/>
                <w:sz w:val="22"/>
                <w:szCs w:val="22"/>
              </w:rPr>
            </w:pPr>
            <w:r>
              <w:rPr>
                <w:b/>
                <w:i/>
                <w:sz w:val="22"/>
                <w:szCs w:val="22"/>
              </w:rPr>
              <w:t>EI/REI 15</w:t>
            </w:r>
          </w:p>
          <w:p w14:paraId="169CD6AB" w14:textId="77777777" w:rsidR="001C08A5" w:rsidRDefault="00000000">
            <w:pPr>
              <w:jc w:val="center"/>
              <w:rPr>
                <w:b/>
                <w:i/>
                <w:sz w:val="22"/>
                <w:szCs w:val="22"/>
              </w:rPr>
            </w:pPr>
            <w:r>
              <w:rPr>
                <w:b/>
                <w:i/>
                <w:sz w:val="22"/>
                <w:szCs w:val="22"/>
              </w:rPr>
              <w:t>A1, A2-s1d0,</w:t>
            </w:r>
          </w:p>
          <w:p w14:paraId="19E41160" w14:textId="77777777" w:rsidR="001C08A5" w:rsidRDefault="00000000">
            <w:pPr>
              <w:jc w:val="center"/>
              <w:rPr>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r>
              <w:rPr>
                <w:b/>
                <w:i/>
                <w:sz w:val="22"/>
                <w:szCs w:val="22"/>
              </w:rPr>
              <w:t>,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901" w:type="pct"/>
            <w:tcMar>
              <w:top w:w="0" w:type="dxa"/>
              <w:left w:w="0" w:type="dxa"/>
              <w:bottom w:w="0" w:type="dxa"/>
              <w:right w:w="0" w:type="dxa"/>
            </w:tcMar>
            <w:vAlign w:val="center"/>
          </w:tcPr>
          <w:p w14:paraId="5D7B4CA4" w14:textId="77777777" w:rsidR="001C08A5" w:rsidRDefault="00000000">
            <w:pPr>
              <w:jc w:val="center"/>
              <w:rPr>
                <w:i/>
                <w:sz w:val="22"/>
                <w:szCs w:val="22"/>
              </w:rPr>
            </w:pPr>
            <w:r>
              <w:rPr>
                <w:i/>
                <w:sz w:val="22"/>
                <w:szCs w:val="22"/>
                <w:lang w:eastAsia="zh-CN" w:bidi="ar"/>
              </w:rPr>
              <w:t>-</w:t>
            </w:r>
          </w:p>
        </w:tc>
        <w:tc>
          <w:tcPr>
            <w:tcW w:w="901" w:type="pct"/>
            <w:tcMar>
              <w:top w:w="0" w:type="dxa"/>
              <w:left w:w="0" w:type="dxa"/>
              <w:bottom w:w="0" w:type="dxa"/>
              <w:right w:w="0" w:type="dxa"/>
            </w:tcMar>
            <w:vAlign w:val="center"/>
          </w:tcPr>
          <w:p w14:paraId="5E381554" w14:textId="77777777" w:rsidR="001C08A5" w:rsidRDefault="00000000">
            <w:pPr>
              <w:jc w:val="center"/>
              <w:rPr>
                <w:b/>
                <w:i/>
                <w:sz w:val="22"/>
                <w:szCs w:val="22"/>
              </w:rPr>
            </w:pPr>
            <w:r>
              <w:rPr>
                <w:b/>
                <w:i/>
                <w:sz w:val="22"/>
                <w:szCs w:val="22"/>
              </w:rPr>
              <w:t>EI/REI 120</w:t>
            </w:r>
          </w:p>
          <w:p w14:paraId="28972AFB" w14:textId="77777777" w:rsidR="001C08A5" w:rsidRDefault="00000000">
            <w:pPr>
              <w:jc w:val="center"/>
              <w:rPr>
                <w:b/>
                <w:i/>
                <w:sz w:val="22"/>
                <w:szCs w:val="22"/>
              </w:rPr>
            </w:pPr>
            <w:r>
              <w:rPr>
                <w:b/>
                <w:i/>
                <w:sz w:val="22"/>
                <w:szCs w:val="22"/>
              </w:rPr>
              <w:t>A1</w:t>
            </w:r>
            <w:r>
              <w:rPr>
                <w:bCs/>
                <w:i/>
                <w:sz w:val="22"/>
                <w:szCs w:val="22"/>
              </w:rPr>
              <w:t xml:space="preserve"> sau </w:t>
            </w:r>
            <w:r>
              <w:rPr>
                <w:b/>
                <w:i/>
                <w:sz w:val="22"/>
                <w:szCs w:val="22"/>
              </w:rPr>
              <w:t>A2-s1d0</w:t>
            </w:r>
          </w:p>
        </w:tc>
        <w:tc>
          <w:tcPr>
            <w:tcW w:w="903" w:type="pct"/>
            <w:tcMar>
              <w:top w:w="0" w:type="dxa"/>
              <w:left w:w="0" w:type="dxa"/>
              <w:bottom w:w="0" w:type="dxa"/>
              <w:right w:w="0" w:type="dxa"/>
            </w:tcMar>
            <w:vAlign w:val="center"/>
          </w:tcPr>
          <w:p w14:paraId="4A58B580" w14:textId="77777777" w:rsidR="001C08A5" w:rsidRDefault="00000000">
            <w:pPr>
              <w:jc w:val="center"/>
              <w:rPr>
                <w:b/>
                <w:i/>
                <w:sz w:val="22"/>
                <w:szCs w:val="22"/>
              </w:rPr>
            </w:pPr>
            <w:r>
              <w:rPr>
                <w:b/>
                <w:bCs/>
                <w:i/>
                <w:sz w:val="22"/>
                <w:szCs w:val="22"/>
              </w:rPr>
              <w:t xml:space="preserve">E </w:t>
            </w:r>
            <w:r>
              <w:rPr>
                <w:b/>
                <w:bCs/>
                <w:i/>
                <w:sz w:val="22"/>
                <w:szCs w:val="22"/>
                <w:lang w:val="en-GB"/>
              </w:rPr>
              <w:t>15</w:t>
            </w:r>
            <w:r>
              <w:rPr>
                <w:b/>
                <w:bCs/>
                <w:i/>
                <w:sz w:val="22"/>
                <w:szCs w:val="22"/>
              </w:rPr>
              <w:t xml:space="preserve"> - C5 Sa</w:t>
            </w:r>
          </w:p>
          <w:p w14:paraId="4837D2EE" w14:textId="77777777" w:rsidR="001C08A5" w:rsidRDefault="001C08A5">
            <w:pPr>
              <w:jc w:val="center"/>
              <w:rPr>
                <w:b/>
                <w:i/>
                <w:sz w:val="22"/>
                <w:szCs w:val="22"/>
              </w:rPr>
            </w:pPr>
          </w:p>
        </w:tc>
      </w:tr>
      <w:tr w:rsidR="001C08A5" w14:paraId="144F8563" w14:textId="77777777">
        <w:trPr>
          <w:trHeight w:val="345"/>
        </w:trPr>
        <w:tc>
          <w:tcPr>
            <w:tcW w:w="490" w:type="pct"/>
            <w:tcMar>
              <w:top w:w="0" w:type="dxa"/>
              <w:left w:w="0" w:type="dxa"/>
              <w:bottom w:w="0" w:type="dxa"/>
              <w:right w:w="0" w:type="dxa"/>
            </w:tcMar>
            <w:vAlign w:val="center"/>
          </w:tcPr>
          <w:p w14:paraId="4764CF30" w14:textId="77777777" w:rsidR="001C08A5" w:rsidRDefault="00000000">
            <w:pPr>
              <w:jc w:val="center"/>
              <w:rPr>
                <w:b/>
                <w:bCs/>
                <w:i/>
                <w:sz w:val="22"/>
                <w:szCs w:val="22"/>
              </w:rPr>
            </w:pPr>
            <w:r>
              <w:rPr>
                <w:b/>
                <w:bCs/>
                <w:i/>
                <w:sz w:val="22"/>
                <w:szCs w:val="22"/>
                <w:lang w:val="en-US" w:eastAsia="zh-CN" w:bidi="ar"/>
              </w:rPr>
              <w:t>IV</w:t>
            </w:r>
          </w:p>
        </w:tc>
        <w:tc>
          <w:tcPr>
            <w:tcW w:w="901" w:type="pct"/>
            <w:tcMar>
              <w:top w:w="0" w:type="dxa"/>
              <w:left w:w="0" w:type="dxa"/>
              <w:bottom w:w="0" w:type="dxa"/>
              <w:right w:w="0" w:type="dxa"/>
            </w:tcMar>
            <w:vAlign w:val="center"/>
          </w:tcPr>
          <w:p w14:paraId="016D3C42" w14:textId="77777777" w:rsidR="001C08A5" w:rsidRDefault="00000000">
            <w:pPr>
              <w:jc w:val="center"/>
              <w:rPr>
                <w:b/>
                <w:i/>
                <w:sz w:val="22"/>
                <w:szCs w:val="22"/>
              </w:rPr>
            </w:pPr>
            <w:r>
              <w:rPr>
                <w:b/>
                <w:i/>
                <w:sz w:val="22"/>
                <w:szCs w:val="22"/>
              </w:rPr>
              <w:t>-</w:t>
            </w:r>
          </w:p>
          <w:p w14:paraId="56AD5EF5" w14:textId="77777777" w:rsidR="001C08A5" w:rsidRDefault="00000000">
            <w:pPr>
              <w:jc w:val="center"/>
              <w:rPr>
                <w:b/>
                <w:i/>
                <w:sz w:val="22"/>
                <w:szCs w:val="22"/>
              </w:rPr>
            </w:pPr>
            <w:r>
              <w:rPr>
                <w:b/>
                <w:i/>
                <w:sz w:val="22"/>
                <w:szCs w:val="22"/>
              </w:rPr>
              <w:t>A1, A2-s1d0,</w:t>
            </w:r>
          </w:p>
          <w:p w14:paraId="5420B293" w14:textId="77777777" w:rsidR="001C08A5" w:rsidRDefault="00000000">
            <w:pPr>
              <w:jc w:val="center"/>
              <w:rPr>
                <w:b/>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r>
              <w:rPr>
                <w:b/>
                <w:i/>
                <w:sz w:val="22"/>
                <w:szCs w:val="22"/>
              </w:rPr>
              <w:t>,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p w14:paraId="056F80FB" w14:textId="77777777" w:rsidR="001C08A5" w:rsidRDefault="00000000">
            <w:pPr>
              <w:jc w:val="center"/>
              <w:rPr>
                <w:b/>
                <w:i/>
                <w:sz w:val="22"/>
                <w:szCs w:val="22"/>
              </w:rPr>
            </w:pPr>
            <w:r>
              <w:rPr>
                <w:b/>
                <w:i/>
                <w:sz w:val="22"/>
                <w:szCs w:val="22"/>
              </w:rPr>
              <w:t>D-</w:t>
            </w:r>
            <w:r>
              <w:rPr>
                <w:b/>
                <w:i/>
                <w:sz w:val="22"/>
                <w:szCs w:val="22"/>
                <w:lang w:val="en-US" w:eastAsia="zh-CN"/>
              </w:rPr>
              <w:t>s1÷</w:t>
            </w:r>
            <w:r>
              <w:rPr>
                <w:b/>
                <w:i/>
                <w:sz w:val="22"/>
                <w:szCs w:val="22"/>
                <w:lang w:eastAsia="zh-CN"/>
              </w:rPr>
              <w:t>s3</w:t>
            </w:r>
            <w:r>
              <w:rPr>
                <w:b/>
                <w:i/>
                <w:sz w:val="22"/>
                <w:szCs w:val="22"/>
              </w:rPr>
              <w:t>,d0</w:t>
            </w:r>
          </w:p>
        </w:tc>
        <w:tc>
          <w:tcPr>
            <w:tcW w:w="901" w:type="pct"/>
            <w:tcMar>
              <w:top w:w="0" w:type="dxa"/>
              <w:left w:w="0" w:type="dxa"/>
              <w:bottom w:w="0" w:type="dxa"/>
              <w:right w:w="0" w:type="dxa"/>
            </w:tcMar>
            <w:vAlign w:val="center"/>
          </w:tcPr>
          <w:p w14:paraId="21B3CCEA" w14:textId="77777777" w:rsidR="001C08A5" w:rsidRDefault="00000000">
            <w:pPr>
              <w:jc w:val="center"/>
              <w:rPr>
                <w:b/>
                <w:i/>
                <w:sz w:val="22"/>
                <w:szCs w:val="22"/>
              </w:rPr>
            </w:pPr>
            <w:r>
              <w:rPr>
                <w:b/>
                <w:i/>
                <w:sz w:val="22"/>
                <w:szCs w:val="22"/>
              </w:rPr>
              <w:t>-</w:t>
            </w:r>
          </w:p>
          <w:p w14:paraId="09C8FB89" w14:textId="77777777" w:rsidR="001C08A5" w:rsidRDefault="00000000">
            <w:pPr>
              <w:jc w:val="center"/>
              <w:rPr>
                <w:b/>
                <w:i/>
                <w:sz w:val="22"/>
                <w:szCs w:val="22"/>
              </w:rPr>
            </w:pPr>
            <w:r>
              <w:rPr>
                <w:b/>
                <w:i/>
                <w:sz w:val="22"/>
                <w:szCs w:val="22"/>
              </w:rPr>
              <w:t>A1, A2-s1d0,</w:t>
            </w:r>
          </w:p>
          <w:p w14:paraId="7E667807" w14:textId="77777777" w:rsidR="001C08A5" w:rsidRDefault="00000000">
            <w:pPr>
              <w:jc w:val="center"/>
              <w:rPr>
                <w:b/>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r>
              <w:rPr>
                <w:b/>
                <w:i/>
                <w:sz w:val="22"/>
                <w:szCs w:val="22"/>
              </w:rPr>
              <w:t>,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p w14:paraId="3C17ACC3" w14:textId="77777777" w:rsidR="001C08A5" w:rsidRDefault="00000000">
            <w:pPr>
              <w:jc w:val="center"/>
              <w:rPr>
                <w:i/>
                <w:sz w:val="22"/>
                <w:szCs w:val="22"/>
              </w:rPr>
            </w:pPr>
            <w:r>
              <w:rPr>
                <w:b/>
                <w:i/>
                <w:sz w:val="22"/>
                <w:szCs w:val="22"/>
              </w:rPr>
              <w:t>D-</w:t>
            </w:r>
            <w:r>
              <w:rPr>
                <w:b/>
                <w:i/>
                <w:sz w:val="22"/>
                <w:szCs w:val="22"/>
                <w:lang w:val="en-US" w:eastAsia="zh-CN"/>
              </w:rPr>
              <w:t>s1÷</w:t>
            </w:r>
            <w:r>
              <w:rPr>
                <w:b/>
                <w:i/>
                <w:sz w:val="22"/>
                <w:szCs w:val="22"/>
                <w:lang w:eastAsia="zh-CN"/>
              </w:rPr>
              <w:t>s3</w:t>
            </w:r>
            <w:r>
              <w:rPr>
                <w:b/>
                <w:i/>
                <w:sz w:val="22"/>
                <w:szCs w:val="22"/>
              </w:rPr>
              <w:t>,d0</w:t>
            </w:r>
          </w:p>
        </w:tc>
        <w:tc>
          <w:tcPr>
            <w:tcW w:w="901" w:type="pct"/>
            <w:tcMar>
              <w:top w:w="0" w:type="dxa"/>
              <w:left w:w="0" w:type="dxa"/>
              <w:bottom w:w="0" w:type="dxa"/>
              <w:right w:w="0" w:type="dxa"/>
            </w:tcMar>
            <w:vAlign w:val="center"/>
          </w:tcPr>
          <w:p w14:paraId="734B975E" w14:textId="77777777" w:rsidR="001C08A5" w:rsidRDefault="00000000">
            <w:pPr>
              <w:jc w:val="center"/>
              <w:rPr>
                <w:i/>
                <w:sz w:val="22"/>
                <w:szCs w:val="22"/>
              </w:rPr>
            </w:pPr>
            <w:r>
              <w:rPr>
                <w:i/>
                <w:sz w:val="22"/>
                <w:szCs w:val="22"/>
                <w:lang w:eastAsia="zh-CN" w:bidi="ar"/>
              </w:rPr>
              <w:t>-</w:t>
            </w:r>
          </w:p>
        </w:tc>
        <w:tc>
          <w:tcPr>
            <w:tcW w:w="901" w:type="pct"/>
            <w:tcMar>
              <w:top w:w="0" w:type="dxa"/>
              <w:left w:w="0" w:type="dxa"/>
              <w:bottom w:w="0" w:type="dxa"/>
              <w:right w:w="0" w:type="dxa"/>
            </w:tcMar>
            <w:vAlign w:val="center"/>
          </w:tcPr>
          <w:p w14:paraId="35FAEBE2" w14:textId="77777777" w:rsidR="001C08A5" w:rsidRDefault="00000000">
            <w:pPr>
              <w:jc w:val="center"/>
              <w:rPr>
                <w:b/>
                <w:i/>
                <w:sz w:val="22"/>
                <w:szCs w:val="22"/>
              </w:rPr>
            </w:pPr>
            <w:r>
              <w:rPr>
                <w:b/>
                <w:i/>
                <w:sz w:val="22"/>
                <w:szCs w:val="22"/>
              </w:rPr>
              <w:t>EI/REI 15</w:t>
            </w:r>
          </w:p>
          <w:p w14:paraId="763804F4" w14:textId="77777777" w:rsidR="001C08A5" w:rsidRDefault="00000000">
            <w:pPr>
              <w:jc w:val="center"/>
              <w:rPr>
                <w:bCs/>
                <w:i/>
                <w:sz w:val="22"/>
                <w:szCs w:val="22"/>
              </w:rPr>
            </w:pPr>
            <w:r>
              <w:rPr>
                <w:b/>
                <w:bCs/>
                <w:i/>
                <w:sz w:val="22"/>
                <w:szCs w:val="22"/>
              </w:rPr>
              <w:t>A1</w:t>
            </w:r>
            <w:r>
              <w:rPr>
                <w:bCs/>
                <w:i/>
                <w:sz w:val="22"/>
                <w:szCs w:val="22"/>
              </w:rPr>
              <w:t xml:space="preserve">, </w:t>
            </w:r>
            <w:r>
              <w:rPr>
                <w:b/>
                <w:bCs/>
                <w:i/>
                <w:sz w:val="22"/>
                <w:szCs w:val="22"/>
              </w:rPr>
              <w:t>A2-s1d0</w:t>
            </w:r>
            <w:r>
              <w:rPr>
                <w:bCs/>
                <w:i/>
                <w:sz w:val="22"/>
                <w:szCs w:val="22"/>
              </w:rPr>
              <w:t>,</w:t>
            </w:r>
          </w:p>
          <w:p w14:paraId="5E230C42" w14:textId="77777777" w:rsidR="001C08A5" w:rsidRDefault="00000000">
            <w:pPr>
              <w:jc w:val="center"/>
              <w:rPr>
                <w:i/>
                <w:sz w:val="22"/>
                <w:szCs w:val="22"/>
                <w:lang w:val="en-US" w:eastAsia="zh-CN" w:bidi="ar"/>
              </w:rPr>
            </w:pPr>
            <w:r>
              <w:rPr>
                <w:b/>
                <w:bCs/>
                <w:i/>
                <w:sz w:val="22"/>
                <w:szCs w:val="22"/>
              </w:rPr>
              <w:t>B-</w:t>
            </w:r>
            <w:r>
              <w:rPr>
                <w:b/>
                <w:bCs/>
                <w:i/>
                <w:sz w:val="22"/>
                <w:szCs w:val="22"/>
                <w:lang w:val="en-US" w:eastAsia="zh-CN"/>
              </w:rPr>
              <w:t>s1÷</w:t>
            </w:r>
            <w:r>
              <w:rPr>
                <w:b/>
                <w:bCs/>
                <w:i/>
                <w:sz w:val="22"/>
                <w:szCs w:val="22"/>
                <w:lang w:eastAsia="zh-CN"/>
              </w:rPr>
              <w:t>s3</w:t>
            </w:r>
            <w:r>
              <w:rPr>
                <w:b/>
                <w:bCs/>
                <w:i/>
                <w:sz w:val="22"/>
                <w:szCs w:val="22"/>
                <w:lang w:val="en-US" w:eastAsia="zh-CN"/>
              </w:rPr>
              <w:t>,</w:t>
            </w:r>
            <w:r>
              <w:rPr>
                <w:b/>
                <w:bCs/>
                <w:i/>
                <w:sz w:val="22"/>
                <w:szCs w:val="22"/>
                <w:lang w:eastAsia="zh-CN"/>
              </w:rPr>
              <w:t xml:space="preserve"> d0</w:t>
            </w:r>
            <w:r>
              <w:rPr>
                <w:b/>
                <w:bCs/>
                <w:i/>
                <w:sz w:val="22"/>
                <w:szCs w:val="22"/>
                <w:lang w:val="en-US" w:eastAsia="zh-CN"/>
              </w:rPr>
              <w:t>÷d1</w:t>
            </w:r>
          </w:p>
        </w:tc>
        <w:tc>
          <w:tcPr>
            <w:tcW w:w="903" w:type="pct"/>
            <w:tcMar>
              <w:top w:w="0" w:type="dxa"/>
              <w:left w:w="0" w:type="dxa"/>
              <w:bottom w:w="0" w:type="dxa"/>
              <w:right w:w="0" w:type="dxa"/>
            </w:tcMar>
            <w:vAlign w:val="center"/>
          </w:tcPr>
          <w:p w14:paraId="019A377E" w14:textId="77777777" w:rsidR="001C08A5" w:rsidRDefault="00000000">
            <w:pPr>
              <w:jc w:val="center"/>
              <w:rPr>
                <w:i/>
                <w:sz w:val="22"/>
                <w:szCs w:val="22"/>
                <w:lang w:eastAsia="zh-CN" w:bidi="ar"/>
              </w:rPr>
            </w:pPr>
            <w:r>
              <w:rPr>
                <w:i/>
                <w:sz w:val="22"/>
                <w:szCs w:val="22"/>
                <w:lang w:eastAsia="zh-CN" w:bidi="ar"/>
              </w:rPr>
              <w:t>-</w:t>
            </w:r>
          </w:p>
        </w:tc>
      </w:tr>
      <w:tr w:rsidR="001C08A5" w14:paraId="78A97138" w14:textId="77777777">
        <w:trPr>
          <w:trHeight w:val="360"/>
        </w:trPr>
        <w:tc>
          <w:tcPr>
            <w:tcW w:w="490" w:type="pct"/>
            <w:tcMar>
              <w:top w:w="0" w:type="dxa"/>
              <w:left w:w="0" w:type="dxa"/>
              <w:bottom w:w="0" w:type="dxa"/>
              <w:right w:w="0" w:type="dxa"/>
            </w:tcMar>
            <w:vAlign w:val="center"/>
          </w:tcPr>
          <w:p w14:paraId="49BCEBAD" w14:textId="77777777" w:rsidR="001C08A5" w:rsidRDefault="00000000">
            <w:pPr>
              <w:jc w:val="center"/>
              <w:rPr>
                <w:b/>
                <w:bCs/>
                <w:i/>
                <w:sz w:val="22"/>
                <w:szCs w:val="22"/>
              </w:rPr>
            </w:pPr>
            <w:r>
              <w:rPr>
                <w:b/>
                <w:bCs/>
                <w:i/>
                <w:sz w:val="22"/>
                <w:szCs w:val="22"/>
                <w:lang w:val="en-US" w:eastAsia="zh-CN" w:bidi="ar"/>
              </w:rPr>
              <w:t>V</w:t>
            </w:r>
          </w:p>
        </w:tc>
        <w:tc>
          <w:tcPr>
            <w:tcW w:w="901" w:type="pct"/>
            <w:tcMar>
              <w:top w:w="0" w:type="dxa"/>
              <w:left w:w="0" w:type="dxa"/>
              <w:bottom w:w="0" w:type="dxa"/>
              <w:right w:w="0" w:type="dxa"/>
            </w:tcMar>
            <w:vAlign w:val="center"/>
          </w:tcPr>
          <w:p w14:paraId="6FAA207A" w14:textId="77777777" w:rsidR="001C08A5" w:rsidRDefault="00000000">
            <w:pPr>
              <w:jc w:val="center"/>
              <w:rPr>
                <w:b/>
                <w:i/>
                <w:sz w:val="22"/>
                <w:szCs w:val="22"/>
              </w:rPr>
            </w:pPr>
            <w:r>
              <w:rPr>
                <w:b/>
                <w:i/>
                <w:sz w:val="22"/>
                <w:szCs w:val="22"/>
              </w:rPr>
              <w:t>-</w:t>
            </w:r>
          </w:p>
          <w:p w14:paraId="6CACDB8F" w14:textId="77777777" w:rsidR="001C08A5" w:rsidRDefault="00000000">
            <w:pPr>
              <w:jc w:val="center"/>
              <w:rPr>
                <w:b/>
                <w:i/>
                <w:sz w:val="22"/>
                <w:szCs w:val="22"/>
              </w:rPr>
            </w:pPr>
            <w:r>
              <w:rPr>
                <w:b/>
                <w:i/>
                <w:sz w:val="22"/>
                <w:szCs w:val="22"/>
              </w:rPr>
              <w:t>A1, A2-s1d0,</w:t>
            </w:r>
          </w:p>
          <w:p w14:paraId="3E6FE4E0" w14:textId="77777777" w:rsidR="001C08A5" w:rsidRDefault="00000000">
            <w:pPr>
              <w:jc w:val="center"/>
              <w:rPr>
                <w:b/>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r>
              <w:rPr>
                <w:b/>
                <w:i/>
                <w:sz w:val="22"/>
                <w:szCs w:val="22"/>
              </w:rPr>
              <w:t>,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p w14:paraId="65AC3CD0" w14:textId="77777777" w:rsidR="001C08A5" w:rsidRDefault="00000000">
            <w:pPr>
              <w:jc w:val="center"/>
              <w:rPr>
                <w:b/>
                <w:i/>
                <w:sz w:val="22"/>
                <w:szCs w:val="22"/>
              </w:rPr>
            </w:pPr>
            <w:r>
              <w:rPr>
                <w:b/>
                <w:i/>
                <w:sz w:val="22"/>
                <w:szCs w:val="22"/>
              </w:rPr>
              <w:t>D-</w:t>
            </w:r>
            <w:r>
              <w:rPr>
                <w:b/>
                <w:i/>
                <w:sz w:val="22"/>
                <w:szCs w:val="22"/>
                <w:lang w:val="en-US" w:eastAsia="zh-CN"/>
              </w:rPr>
              <w:t>s1÷</w:t>
            </w:r>
            <w:r>
              <w:rPr>
                <w:b/>
                <w:i/>
                <w:sz w:val="22"/>
                <w:szCs w:val="22"/>
                <w:lang w:eastAsia="zh-CN"/>
              </w:rPr>
              <w:t>s3</w:t>
            </w:r>
            <w:r>
              <w:rPr>
                <w:b/>
                <w:i/>
                <w:sz w:val="22"/>
                <w:szCs w:val="22"/>
              </w:rPr>
              <w:t>,d1</w:t>
            </w:r>
          </w:p>
        </w:tc>
        <w:tc>
          <w:tcPr>
            <w:tcW w:w="901" w:type="pct"/>
            <w:tcMar>
              <w:top w:w="0" w:type="dxa"/>
              <w:left w:w="0" w:type="dxa"/>
              <w:bottom w:w="0" w:type="dxa"/>
              <w:right w:w="0" w:type="dxa"/>
            </w:tcMar>
            <w:vAlign w:val="center"/>
          </w:tcPr>
          <w:p w14:paraId="1BA5F6CB" w14:textId="77777777" w:rsidR="001C08A5" w:rsidRDefault="00000000">
            <w:pPr>
              <w:jc w:val="center"/>
              <w:rPr>
                <w:b/>
                <w:i/>
                <w:sz w:val="22"/>
                <w:szCs w:val="22"/>
              </w:rPr>
            </w:pPr>
            <w:r>
              <w:rPr>
                <w:b/>
                <w:i/>
                <w:sz w:val="22"/>
                <w:szCs w:val="22"/>
              </w:rPr>
              <w:t>-</w:t>
            </w:r>
          </w:p>
          <w:p w14:paraId="48F98D8E" w14:textId="77777777" w:rsidR="001C08A5" w:rsidRDefault="00000000">
            <w:pPr>
              <w:jc w:val="center"/>
              <w:rPr>
                <w:b/>
                <w:i/>
                <w:sz w:val="22"/>
                <w:szCs w:val="22"/>
              </w:rPr>
            </w:pPr>
            <w:r>
              <w:rPr>
                <w:b/>
                <w:i/>
                <w:sz w:val="22"/>
                <w:szCs w:val="22"/>
              </w:rPr>
              <w:t>A1, A2-s1d0,</w:t>
            </w:r>
          </w:p>
          <w:p w14:paraId="28B86930" w14:textId="77777777" w:rsidR="001C08A5" w:rsidRDefault="00000000">
            <w:pPr>
              <w:jc w:val="center"/>
              <w:rPr>
                <w:b/>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r>
              <w:rPr>
                <w:b/>
                <w:i/>
                <w:sz w:val="22"/>
                <w:szCs w:val="22"/>
              </w:rPr>
              <w:t>,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p w14:paraId="45A81FCB" w14:textId="77777777" w:rsidR="001C08A5" w:rsidRDefault="00000000">
            <w:pPr>
              <w:jc w:val="center"/>
              <w:rPr>
                <w:i/>
                <w:sz w:val="22"/>
                <w:szCs w:val="22"/>
              </w:rPr>
            </w:pPr>
            <w:r>
              <w:rPr>
                <w:b/>
                <w:i/>
                <w:sz w:val="22"/>
                <w:szCs w:val="22"/>
              </w:rPr>
              <w:t>D-</w:t>
            </w:r>
            <w:r>
              <w:rPr>
                <w:b/>
                <w:i/>
                <w:sz w:val="22"/>
                <w:szCs w:val="22"/>
                <w:lang w:val="en-US" w:eastAsia="zh-CN"/>
              </w:rPr>
              <w:t>s1÷</w:t>
            </w:r>
            <w:r>
              <w:rPr>
                <w:b/>
                <w:i/>
                <w:sz w:val="22"/>
                <w:szCs w:val="22"/>
                <w:lang w:eastAsia="zh-CN"/>
              </w:rPr>
              <w:t>s3</w:t>
            </w:r>
            <w:r>
              <w:rPr>
                <w:b/>
                <w:i/>
                <w:sz w:val="22"/>
                <w:szCs w:val="22"/>
              </w:rPr>
              <w:t>,d1</w:t>
            </w:r>
          </w:p>
        </w:tc>
        <w:tc>
          <w:tcPr>
            <w:tcW w:w="901" w:type="pct"/>
            <w:tcMar>
              <w:top w:w="0" w:type="dxa"/>
              <w:left w:w="0" w:type="dxa"/>
              <w:bottom w:w="0" w:type="dxa"/>
              <w:right w:w="0" w:type="dxa"/>
            </w:tcMar>
            <w:vAlign w:val="center"/>
          </w:tcPr>
          <w:p w14:paraId="5DD881EA" w14:textId="77777777" w:rsidR="001C08A5" w:rsidRDefault="00000000">
            <w:pPr>
              <w:jc w:val="center"/>
              <w:rPr>
                <w:i/>
                <w:sz w:val="22"/>
                <w:szCs w:val="22"/>
              </w:rPr>
            </w:pPr>
            <w:r>
              <w:rPr>
                <w:i/>
                <w:sz w:val="22"/>
                <w:szCs w:val="22"/>
                <w:lang w:eastAsia="zh-CN" w:bidi="ar"/>
              </w:rPr>
              <w:t>-</w:t>
            </w:r>
          </w:p>
        </w:tc>
        <w:tc>
          <w:tcPr>
            <w:tcW w:w="901" w:type="pct"/>
            <w:tcMar>
              <w:top w:w="0" w:type="dxa"/>
              <w:left w:w="0" w:type="dxa"/>
              <w:bottom w:w="0" w:type="dxa"/>
              <w:right w:w="0" w:type="dxa"/>
            </w:tcMar>
            <w:vAlign w:val="center"/>
          </w:tcPr>
          <w:p w14:paraId="55FCDFAC" w14:textId="77777777" w:rsidR="001C08A5" w:rsidRDefault="00000000">
            <w:pPr>
              <w:jc w:val="center"/>
              <w:rPr>
                <w:b/>
                <w:i/>
                <w:sz w:val="22"/>
                <w:szCs w:val="22"/>
              </w:rPr>
            </w:pPr>
            <w:r>
              <w:rPr>
                <w:b/>
                <w:i/>
                <w:sz w:val="22"/>
                <w:szCs w:val="22"/>
              </w:rPr>
              <w:t>EI/REI 15</w:t>
            </w:r>
          </w:p>
          <w:p w14:paraId="611DB860" w14:textId="77777777" w:rsidR="001C08A5" w:rsidRDefault="00000000">
            <w:pPr>
              <w:jc w:val="center"/>
              <w:rPr>
                <w:bCs/>
                <w:i/>
                <w:sz w:val="22"/>
                <w:szCs w:val="22"/>
              </w:rPr>
            </w:pPr>
            <w:r>
              <w:rPr>
                <w:b/>
                <w:bCs/>
                <w:i/>
                <w:sz w:val="22"/>
                <w:szCs w:val="22"/>
              </w:rPr>
              <w:t>A1</w:t>
            </w:r>
            <w:r>
              <w:rPr>
                <w:bCs/>
                <w:i/>
                <w:sz w:val="22"/>
                <w:szCs w:val="22"/>
              </w:rPr>
              <w:t xml:space="preserve">, </w:t>
            </w:r>
            <w:r>
              <w:rPr>
                <w:b/>
                <w:bCs/>
                <w:i/>
                <w:sz w:val="22"/>
                <w:szCs w:val="22"/>
              </w:rPr>
              <w:t>A2-s1d0</w:t>
            </w:r>
            <w:r>
              <w:rPr>
                <w:bCs/>
                <w:i/>
                <w:sz w:val="22"/>
                <w:szCs w:val="22"/>
              </w:rPr>
              <w:t>,</w:t>
            </w:r>
          </w:p>
          <w:p w14:paraId="4C37347C" w14:textId="77777777" w:rsidR="001C08A5" w:rsidRDefault="00000000">
            <w:pPr>
              <w:jc w:val="center"/>
              <w:rPr>
                <w:bCs/>
                <w:i/>
                <w:sz w:val="22"/>
                <w:szCs w:val="22"/>
              </w:rPr>
            </w:pPr>
            <w:r>
              <w:rPr>
                <w:b/>
                <w:bCs/>
                <w:i/>
                <w:sz w:val="22"/>
                <w:szCs w:val="22"/>
              </w:rPr>
              <w:t>B-</w:t>
            </w:r>
            <w:r>
              <w:rPr>
                <w:b/>
                <w:bCs/>
                <w:i/>
                <w:sz w:val="22"/>
                <w:szCs w:val="22"/>
                <w:lang w:val="en-US" w:eastAsia="zh-CN"/>
              </w:rPr>
              <w:t>s1÷</w:t>
            </w:r>
            <w:r>
              <w:rPr>
                <w:b/>
                <w:bCs/>
                <w:i/>
                <w:sz w:val="22"/>
                <w:szCs w:val="22"/>
                <w:lang w:eastAsia="zh-CN"/>
              </w:rPr>
              <w:t>s3</w:t>
            </w:r>
            <w:r>
              <w:rPr>
                <w:b/>
                <w:bCs/>
                <w:i/>
                <w:sz w:val="22"/>
                <w:szCs w:val="22"/>
                <w:lang w:val="en-US" w:eastAsia="zh-CN"/>
              </w:rPr>
              <w:t>,</w:t>
            </w:r>
            <w:r>
              <w:rPr>
                <w:b/>
                <w:bCs/>
                <w:i/>
                <w:sz w:val="22"/>
                <w:szCs w:val="22"/>
                <w:lang w:eastAsia="zh-CN"/>
              </w:rPr>
              <w:t xml:space="preserve"> d0</w:t>
            </w:r>
            <w:r>
              <w:rPr>
                <w:b/>
                <w:bCs/>
                <w:i/>
                <w:sz w:val="22"/>
                <w:szCs w:val="22"/>
                <w:lang w:val="en-US" w:eastAsia="zh-CN"/>
              </w:rPr>
              <w:t>÷d1</w:t>
            </w:r>
            <w:r>
              <w:rPr>
                <w:bCs/>
                <w:i/>
                <w:sz w:val="22"/>
                <w:szCs w:val="22"/>
              </w:rPr>
              <w:t>,</w:t>
            </w:r>
          </w:p>
          <w:p w14:paraId="7CE54B51" w14:textId="77777777" w:rsidR="001C08A5" w:rsidRDefault="00000000">
            <w:pPr>
              <w:jc w:val="center"/>
              <w:rPr>
                <w:i/>
                <w:sz w:val="22"/>
                <w:szCs w:val="22"/>
                <w:lang w:val="en-US" w:eastAsia="zh-CN" w:bidi="ar"/>
              </w:rPr>
            </w:pPr>
            <w:r>
              <w:rPr>
                <w:b/>
                <w:bCs/>
                <w:i/>
                <w:sz w:val="22"/>
                <w:szCs w:val="22"/>
              </w:rPr>
              <w:t>C-</w:t>
            </w:r>
            <w:r>
              <w:rPr>
                <w:b/>
                <w:bCs/>
                <w:i/>
                <w:sz w:val="22"/>
                <w:szCs w:val="22"/>
                <w:lang w:val="en-US" w:eastAsia="zh-CN"/>
              </w:rPr>
              <w:t>s1÷</w:t>
            </w:r>
            <w:r>
              <w:rPr>
                <w:b/>
                <w:bCs/>
                <w:i/>
                <w:sz w:val="22"/>
                <w:szCs w:val="22"/>
                <w:lang w:eastAsia="zh-CN"/>
              </w:rPr>
              <w:t>s3</w:t>
            </w:r>
            <w:r>
              <w:rPr>
                <w:b/>
                <w:bCs/>
                <w:i/>
                <w:sz w:val="22"/>
                <w:szCs w:val="22"/>
                <w:lang w:val="en-US" w:eastAsia="zh-CN"/>
              </w:rPr>
              <w:t xml:space="preserve">, </w:t>
            </w:r>
            <w:r>
              <w:rPr>
                <w:b/>
                <w:bCs/>
                <w:i/>
                <w:sz w:val="22"/>
                <w:szCs w:val="22"/>
                <w:lang w:eastAsia="zh-CN"/>
              </w:rPr>
              <w:t>d0</w:t>
            </w:r>
            <w:r>
              <w:rPr>
                <w:b/>
                <w:bCs/>
                <w:i/>
                <w:sz w:val="22"/>
                <w:szCs w:val="22"/>
                <w:lang w:val="en-US" w:eastAsia="zh-CN"/>
              </w:rPr>
              <w:t>÷d1</w:t>
            </w:r>
          </w:p>
        </w:tc>
        <w:tc>
          <w:tcPr>
            <w:tcW w:w="903" w:type="pct"/>
            <w:tcMar>
              <w:top w:w="0" w:type="dxa"/>
              <w:left w:w="0" w:type="dxa"/>
              <w:bottom w:w="0" w:type="dxa"/>
              <w:right w:w="0" w:type="dxa"/>
            </w:tcMar>
            <w:vAlign w:val="center"/>
          </w:tcPr>
          <w:p w14:paraId="03874D34" w14:textId="77777777" w:rsidR="001C08A5" w:rsidRDefault="00000000">
            <w:pPr>
              <w:jc w:val="center"/>
              <w:rPr>
                <w:i/>
                <w:sz w:val="22"/>
                <w:szCs w:val="22"/>
                <w:lang w:eastAsia="zh-CN" w:bidi="ar"/>
              </w:rPr>
            </w:pPr>
            <w:r>
              <w:rPr>
                <w:i/>
                <w:sz w:val="22"/>
                <w:szCs w:val="22"/>
                <w:lang w:eastAsia="zh-CN" w:bidi="ar"/>
              </w:rPr>
              <w:t>-</w:t>
            </w:r>
          </w:p>
        </w:tc>
      </w:tr>
    </w:tbl>
    <w:p w14:paraId="17696D6E" w14:textId="77777777" w:rsidR="001C08A5" w:rsidRDefault="001C08A5">
      <w:pPr>
        <w:shd w:val="clear" w:color="auto" w:fill="FFFFFF"/>
        <w:spacing w:after="150"/>
        <w:jc w:val="both"/>
        <w:rPr>
          <w:rFonts w:eastAsia="Calibri"/>
          <w:b/>
          <w:bCs/>
          <w:i/>
          <w:sz w:val="24"/>
          <w:szCs w:val="24"/>
          <w:shd w:val="clear" w:color="auto" w:fill="FFFFFF"/>
        </w:rPr>
      </w:pPr>
    </w:p>
    <w:p w14:paraId="4297C0A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3.10.11.</w:t>
      </w:r>
      <w:r>
        <w:rPr>
          <w:rFonts w:eastAsia="Calibri"/>
          <w:i/>
          <w:sz w:val="24"/>
          <w:szCs w:val="24"/>
          <w:shd w:val="clear" w:color="auto" w:fill="FFFFFF"/>
        </w:rPr>
        <w:t xml:space="preserve"> Scările de evacuare a persoanelor de la etajul și eventual mansarda locuințelor individuale precum și din cadrul apartamentelor duplex sau triplex (indiferent de tipul clădirii de locuit existentă), pot fi realizate din materiale </w:t>
      </w:r>
      <w:r>
        <w:rPr>
          <w:rFonts w:eastAsia="TimesNewRomanPSMT-Identity-H"/>
          <w:i/>
          <w:sz w:val="24"/>
          <w:szCs w:val="24"/>
        </w:rPr>
        <w:t xml:space="preserve">clasa de reacție la foc </w:t>
      </w:r>
      <w:r>
        <w:rPr>
          <w:rFonts w:eastAsia="TimesNewRomanPSMT-Identity-H"/>
          <w:b/>
          <w:bCs/>
          <w:i/>
          <w:sz w:val="24"/>
          <w:szCs w:val="24"/>
          <w:lang w:eastAsia="zh-CN"/>
        </w:rPr>
        <w:t>A2s1÷s3,d2; Bs1÷s3,d2; Cs1÷s3,d2; Ds1÷s3,d2; Ed2</w:t>
      </w:r>
      <w:r>
        <w:rPr>
          <w:rFonts w:eastAsia="Calibri"/>
          <w:i/>
          <w:sz w:val="24"/>
          <w:szCs w:val="24"/>
          <w:shd w:val="clear" w:color="auto" w:fill="FFFFFF"/>
        </w:rPr>
        <w:t xml:space="preserve"> și neînchise în case de scări proprii.</w:t>
      </w:r>
    </w:p>
    <w:p w14:paraId="52C64FC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w:t>
      </w:r>
      <w:r>
        <w:rPr>
          <w:rFonts w:eastAsia="Calibri"/>
          <w:i/>
          <w:sz w:val="24"/>
          <w:szCs w:val="24"/>
          <w:shd w:val="clear" w:color="auto" w:fill="FFFFFF"/>
        </w:rPr>
        <w:t xml:space="preserve"> Scările de evacuare a nivelurilor supraterane pot fi continuate în subsolul clădirilor de locuit existente în condițiile stabilite în Art. </w:t>
      </w:r>
      <w:r>
        <w:rPr>
          <w:rFonts w:eastAsia="Calibri"/>
          <w:b/>
          <w:bCs/>
          <w:i/>
          <w:sz w:val="24"/>
          <w:szCs w:val="24"/>
          <w:shd w:val="clear" w:color="auto" w:fill="FFFFFF"/>
        </w:rPr>
        <w:t>A.10.2.5.24.</w:t>
      </w:r>
      <w:r>
        <w:rPr>
          <w:rFonts w:eastAsia="Calibri"/>
          <w:i/>
          <w:sz w:val="24"/>
          <w:szCs w:val="24"/>
          <w:shd w:val="clear" w:color="auto" w:fill="FFFFFF"/>
        </w:rPr>
        <w:t xml:space="preserve"> Sunt exceptate de la prevederile Art. </w:t>
      </w:r>
      <w:r>
        <w:rPr>
          <w:rFonts w:eastAsia="Calibri"/>
          <w:b/>
          <w:bCs/>
          <w:i/>
          <w:sz w:val="24"/>
          <w:szCs w:val="24"/>
          <w:shd w:val="clear" w:color="auto" w:fill="FFFFFF"/>
        </w:rPr>
        <w:t>A.10.2.5.26.</w:t>
      </w:r>
      <w:r>
        <w:rPr>
          <w:rFonts w:eastAsia="Calibri"/>
          <w:i/>
          <w:sz w:val="24"/>
          <w:szCs w:val="24"/>
          <w:shd w:val="clear" w:color="auto" w:fill="FFFFFF"/>
        </w:rPr>
        <w:t>, scările secundare ale clădirilor de locuit, ale căror goluri de acces sunt separate cu uși pline normale de subsolurile în care se găsesc numai încăperi pentru anexe gospodărești, (indiferent de suprafața ferestrelor).</w:t>
      </w:r>
    </w:p>
    <w:p w14:paraId="1CF0982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w:t>
      </w:r>
      <w:r>
        <w:rPr>
          <w:rFonts w:eastAsia="Calibri"/>
          <w:i/>
          <w:sz w:val="24"/>
          <w:szCs w:val="24"/>
          <w:shd w:val="clear" w:color="auto" w:fill="FFFFFF"/>
        </w:rPr>
        <w:t> Deschiderea ușilor de la intrarea în clădirile de locuit existente care nu sunt înalte sau foarte înalte, se poate face spre interior.</w:t>
      </w:r>
    </w:p>
    <w:p w14:paraId="550B10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3.10.14.</w:t>
      </w:r>
      <w:r>
        <w:rPr>
          <w:rFonts w:eastAsia="Calibri"/>
          <w:i/>
          <w:sz w:val="24"/>
          <w:szCs w:val="24"/>
          <w:shd w:val="clear" w:color="auto" w:fill="FFFFFF"/>
        </w:rPr>
        <w:t> Ușile apartamentelor spre casele de scări vor fi de tipul prevăzut în anexă, fără a fi obligatorie prevederea dispozitivelor de autoînchidere la clădirile de locuit care nu se încadrează în categoria clădirilor înalte sau foarte înalte.</w:t>
      </w:r>
    </w:p>
    <w:p w14:paraId="248C83C3"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3.10.15.</w:t>
      </w:r>
      <w:r>
        <w:rPr>
          <w:rFonts w:eastAsia="Calibri"/>
          <w:i/>
          <w:sz w:val="24"/>
          <w:szCs w:val="24"/>
          <w:shd w:val="clear" w:color="auto" w:fill="FFFFFF"/>
        </w:rPr>
        <w:t xml:space="preserve"> Capacitatea de evacuare (C) a unui flux (numărul de persoane) la clădiri de locuit existente, este de </w:t>
      </w:r>
      <w:r>
        <w:rPr>
          <w:rFonts w:eastAsia="Calibri"/>
          <w:b/>
          <w:bCs/>
          <w:i/>
          <w:sz w:val="24"/>
          <w:szCs w:val="24"/>
          <w:shd w:val="clear" w:color="auto" w:fill="FFFFFF"/>
        </w:rPr>
        <w:t>90</w:t>
      </w:r>
      <w:r>
        <w:rPr>
          <w:rFonts w:eastAsia="Calibri"/>
          <w:i/>
          <w:sz w:val="24"/>
          <w:szCs w:val="24"/>
          <w:shd w:val="clear" w:color="auto" w:fill="FFFFFF"/>
        </w:rPr>
        <w:t xml:space="preserve"> persoane.</w:t>
      </w:r>
    </w:p>
    <w:p w14:paraId="3DA7966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3.10.16.</w:t>
      </w:r>
      <w:r>
        <w:rPr>
          <w:rFonts w:eastAsia="Calibri"/>
          <w:i/>
          <w:sz w:val="24"/>
          <w:szCs w:val="24"/>
          <w:shd w:val="clear" w:color="auto" w:fill="FFFFFF"/>
        </w:rPr>
        <w:t xml:space="preserve"> Lungimea maximă admisă a traseului de parcurs pe căile de evacuare în clădiri de locuit existente, care nu se încadrează în categoria clădirilor înalte sau foarte înalte, este precizată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_Ref10374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56: Lungimi de evacuare în clădiri de locuit supraterane cu înălţimi obişnuite</w:t>
      </w:r>
      <w:r>
        <w:rPr>
          <w:rFonts w:eastAsia="Calibri"/>
          <w:b/>
          <w:bCs/>
          <w:i/>
          <w:iCs/>
          <w:sz w:val="24"/>
          <w:szCs w:val="24"/>
          <w:shd w:val="clear" w:color="auto" w:fill="FFFFFF"/>
        </w:rPr>
        <w:fldChar w:fldCharType="end"/>
      </w:r>
      <w:r>
        <w:rPr>
          <w:rFonts w:eastAsia="Calibri"/>
          <w:i/>
          <w:sz w:val="24"/>
          <w:szCs w:val="24"/>
          <w:shd w:val="clear" w:color="auto" w:fill="FFFFFF"/>
        </w:rPr>
        <w:t>.</w:t>
      </w:r>
    </w:p>
    <w:p w14:paraId="61428B1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3.10.17.</w:t>
      </w:r>
      <w:r>
        <w:rPr>
          <w:rFonts w:eastAsia="Calibri"/>
          <w:i/>
          <w:sz w:val="24"/>
          <w:szCs w:val="24"/>
          <w:shd w:val="clear" w:color="auto" w:fill="FFFFFF"/>
        </w:rPr>
        <w:t> Scări cu trepte balansate sunt admise pentru evacuarea persoanelor din clădiri de locuit existente atunci când este necesară asigurarea unui singur flux de evacuare conform prevederilor anexei, precum și balansarea treptelor la prima rampă a scărilor (la nivelul terenului).</w:t>
      </w:r>
    </w:p>
    <w:p w14:paraId="50DFEE97" w14:textId="77777777" w:rsidR="001C08A5" w:rsidRDefault="00000000">
      <w:pPr>
        <w:pStyle w:val="Heading4"/>
        <w:rPr>
          <w:sz w:val="24"/>
          <w:szCs w:val="24"/>
        </w:rPr>
      </w:pPr>
      <w:bookmarkStart w:id="10897" w:name="_Toc6648"/>
      <w:bookmarkStart w:id="10898" w:name="_Toc6704"/>
      <w:bookmarkStart w:id="10899" w:name="_Toc11177"/>
      <w:bookmarkStart w:id="10900" w:name="_Toc24427"/>
      <w:bookmarkStart w:id="10901" w:name="_Toc18835"/>
      <w:bookmarkStart w:id="10902" w:name="_Toc162355587"/>
      <w:r>
        <w:rPr>
          <w:sz w:val="24"/>
          <w:szCs w:val="24"/>
        </w:rPr>
        <w:t>Clădiri administrative existente</w:t>
      </w:r>
      <w:bookmarkEnd w:id="10897"/>
      <w:bookmarkEnd w:id="10898"/>
      <w:bookmarkEnd w:id="10899"/>
      <w:bookmarkEnd w:id="10900"/>
      <w:bookmarkEnd w:id="10901"/>
      <w:bookmarkEnd w:id="10902"/>
    </w:p>
    <w:p w14:paraId="39D0F7E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3.10.18.</w:t>
      </w:r>
      <w:r>
        <w:rPr>
          <w:rFonts w:eastAsia="Calibri"/>
          <w:i/>
          <w:sz w:val="24"/>
          <w:szCs w:val="24"/>
          <w:shd w:val="clear" w:color="auto" w:fill="FFFFFF"/>
        </w:rPr>
        <w:t> Clădirile administrative existente (sedii pentru administrațiile centrale și locale, prefecturi, primării, financiar - bancare, sindicate, birouri, etc), se proiectează și realizează conform prevederilor anexei, având în vedere condițiile specifice.</w:t>
      </w:r>
    </w:p>
    <w:p w14:paraId="20C2A1E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3.10.19.</w:t>
      </w:r>
      <w:r>
        <w:rPr>
          <w:rFonts w:eastAsia="Calibri"/>
          <w:i/>
          <w:sz w:val="24"/>
          <w:szCs w:val="24"/>
          <w:shd w:val="clear" w:color="auto" w:fill="FFFFFF"/>
        </w:rPr>
        <w:t> În funcție de destinație și tip de construcție, clădirile administrative existente se alcătuiesc astfel încât să asigure îndeplinirea condițiilor de corelație dintre nivelul de stabilitate la incendiu, aria compartimentului de incendiu și numărul de niveluri, conform prevederilor</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 xml:space="preserve">A.10.3.2.4. </w:t>
      </w:r>
      <w:r>
        <w:rPr>
          <w:rFonts w:eastAsia="Calibri"/>
          <w:i/>
          <w:sz w:val="24"/>
          <w:szCs w:val="24"/>
          <w:shd w:val="clear" w:color="auto" w:fill="FFFFFF"/>
        </w:rPr>
        <w:t>și</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A.10.3.2.5.</w:t>
      </w:r>
    </w:p>
    <w:p w14:paraId="65CAA82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3.10.20.</w:t>
      </w:r>
      <w:r>
        <w:rPr>
          <w:rFonts w:eastAsia="Calibri"/>
          <w:i/>
          <w:sz w:val="24"/>
          <w:szCs w:val="24"/>
          <w:shd w:val="clear" w:color="auto" w:fill="FFFFFF"/>
        </w:rPr>
        <w:t> În cazul înglobării unor spații/încăperi administrative în clădiri publice existente civile cu alte funcțiuni (de locuit, învățământ, turism, comerț, ș.a.) se respectă prevederile generale de siguranță la foc și dispozițiile specifice.</w:t>
      </w:r>
    </w:p>
    <w:p w14:paraId="2AA1128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3.10.21.</w:t>
      </w:r>
      <w:r>
        <w:rPr>
          <w:rFonts w:eastAsia="Calibri"/>
          <w:i/>
          <w:sz w:val="24"/>
          <w:szCs w:val="24"/>
          <w:shd w:val="clear" w:color="auto" w:fill="FFFFFF"/>
        </w:rPr>
        <w:t xml:space="preserve"> În toate cazurile, nivelurile subterane (subsoluri, demisoluri) vor fi separate de restul construcției existente prin planșee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la foc de minimum 2 ore (</w:t>
      </w:r>
      <w:r>
        <w:rPr>
          <w:rFonts w:eastAsia="Calibri"/>
          <w:b/>
          <w:bCs/>
          <w:i/>
          <w:sz w:val="24"/>
          <w:szCs w:val="24"/>
          <w:shd w:val="clear" w:color="auto" w:fill="FFFFFF"/>
        </w:rPr>
        <w:t>REI120</w:t>
      </w:r>
      <w:r>
        <w:rPr>
          <w:rFonts w:eastAsia="Calibri"/>
          <w:i/>
          <w:sz w:val="24"/>
          <w:szCs w:val="24"/>
          <w:shd w:val="clear" w:color="auto" w:fill="FFFFFF"/>
        </w:rPr>
        <w:t>), inclusiv elementele de susținere ale acestora, dacă în normativ nu sunt prevăzute condiții mai severe.</w:t>
      </w:r>
    </w:p>
    <w:p w14:paraId="0051317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3.10.22.</w:t>
      </w:r>
      <w:r>
        <w:rPr>
          <w:rFonts w:eastAsia="Calibri"/>
          <w:i/>
          <w:sz w:val="24"/>
          <w:szCs w:val="24"/>
          <w:shd w:val="clear" w:color="auto" w:fill="FFFFFF"/>
        </w:rPr>
        <w:t> Scările monumentale pot fi deschise pe toată înălțimea clădirii administrative existente dacă se asigură măsuri de limitare a propagării focului și a fumului și se prevăd scări închise corespunzătoare asigurării evacuării.</w:t>
      </w:r>
    </w:p>
    <w:p w14:paraId="45E298D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3.10.23.</w:t>
      </w:r>
      <w:r>
        <w:rPr>
          <w:rFonts w:eastAsia="Calibri"/>
          <w:i/>
          <w:sz w:val="24"/>
          <w:szCs w:val="24"/>
          <w:shd w:val="clear" w:color="auto" w:fill="FFFFFF"/>
        </w:rPr>
        <w:t> Se recomandă asigurarea iluminatului natural direct al caselor de scări de evacuare.</w:t>
      </w:r>
    </w:p>
    <w:p w14:paraId="210D3876"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3.10.24.</w:t>
      </w:r>
      <w:r>
        <w:rPr>
          <w:rFonts w:eastAsia="Calibri"/>
          <w:i/>
          <w:sz w:val="24"/>
          <w:szCs w:val="24"/>
          <w:shd w:val="clear" w:color="auto" w:fill="FFFFFF"/>
        </w:rPr>
        <w:t xml:space="preserve"> În funcție de nivelul de stabilitate la incendiu al clădirii existente (care nu este înaltă sau foarte înaltă), pereții care separă căile comune de circulație și evacuare a persoanelor față de restul construcției existente, vor îndeplini și condițiile de comportare la foc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_Ref10511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153</w:t>
      </w:r>
      <w:r>
        <w:rPr>
          <w:rFonts w:eastAsia="Calibri"/>
          <w:b/>
          <w:bCs/>
          <w:i/>
          <w:iCs/>
          <w:sz w:val="24"/>
          <w:szCs w:val="24"/>
          <w:shd w:val="clear" w:color="auto" w:fill="FFFFFF"/>
        </w:rPr>
        <w:fldChar w:fldCharType="end"/>
      </w:r>
      <w:r>
        <w:rPr>
          <w:rFonts w:eastAsia="Calibri"/>
          <w:i/>
          <w:sz w:val="24"/>
          <w:szCs w:val="24"/>
          <w:shd w:val="clear" w:color="auto" w:fill="FFFFFF"/>
        </w:rPr>
        <w:t>.</w:t>
      </w:r>
    </w:p>
    <w:p w14:paraId="133BC104" w14:textId="77777777" w:rsidR="001C08A5" w:rsidRDefault="00000000">
      <w:pPr>
        <w:pStyle w:val="Caption"/>
        <w:shd w:val="clear" w:color="auto" w:fill="FFFFFF"/>
        <w:spacing w:before="0" w:after="150"/>
        <w:jc w:val="both"/>
        <w:rPr>
          <w:rFonts w:eastAsia="Calibri" w:cs="Times New Roman"/>
          <w:bCs/>
          <w:shd w:val="clear" w:color="auto" w:fill="FFFFFF"/>
        </w:rPr>
      </w:pPr>
      <w:bookmarkStart w:id="10903" w:name="_Ref10511"/>
      <w:bookmarkStart w:id="10904" w:name="_Toc162360203"/>
      <w:r>
        <w:lastRenderedPageBreak/>
        <w:t xml:space="preserve">Tabelul </w:t>
      </w:r>
      <w:r>
        <w:fldChar w:fldCharType="begin"/>
      </w:r>
      <w:r>
        <w:instrText xml:space="preserve"> SEQ Tabelul \* ARABIC </w:instrText>
      </w:r>
      <w:r>
        <w:fldChar w:fldCharType="separate"/>
      </w:r>
      <w:r>
        <w:t>153</w:t>
      </w:r>
      <w:r>
        <w:fldChar w:fldCharType="end"/>
      </w:r>
      <w:bookmarkStart w:id="10905" w:name="_Toc32030"/>
      <w:bookmarkStart w:id="10906" w:name="_Toc8048"/>
      <w:bookmarkStart w:id="10907" w:name="_Toc101"/>
      <w:bookmarkStart w:id="10908" w:name="_Toc21721"/>
      <w:bookmarkStart w:id="10909" w:name="_Toc2157"/>
      <w:bookmarkStart w:id="10910" w:name="_Toc28718"/>
      <w:bookmarkStart w:id="10911" w:name="_Toc25112"/>
      <w:bookmarkStart w:id="10912" w:name="_Toc19363"/>
      <w:bookmarkStart w:id="10913" w:name="_Toc3483"/>
      <w:bookmarkStart w:id="10914" w:name="_Toc7585"/>
      <w:bookmarkStart w:id="10915" w:name="_Toc16123"/>
      <w:bookmarkEnd w:id="10903"/>
      <w:r>
        <w:t xml:space="preserve">: </w:t>
      </w:r>
      <w:r>
        <w:rPr>
          <w:rFonts w:eastAsia="Calibri"/>
          <w:shd w:val="clear" w:color="auto" w:fill="FFFFFF"/>
        </w:rPr>
        <w:t>Pereți și uși de separare a căilor comune de circulație și de evacuare la clădiri existente cu funcțiune administrativă</w:t>
      </w:r>
      <w:bookmarkEnd w:id="10904"/>
      <w:bookmarkEnd w:id="10905"/>
      <w:bookmarkEnd w:id="10906"/>
      <w:bookmarkEnd w:id="10907"/>
      <w:bookmarkEnd w:id="10908"/>
      <w:bookmarkEnd w:id="10909"/>
      <w:bookmarkEnd w:id="10910"/>
      <w:bookmarkEnd w:id="10911"/>
      <w:bookmarkEnd w:id="10912"/>
      <w:bookmarkEnd w:id="10913"/>
      <w:bookmarkEnd w:id="10914"/>
      <w:bookmarkEnd w:id="10915"/>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02"/>
        <w:gridCol w:w="1468"/>
        <w:gridCol w:w="1468"/>
        <w:gridCol w:w="1406"/>
        <w:gridCol w:w="16"/>
        <w:gridCol w:w="1440"/>
        <w:gridCol w:w="1468"/>
        <w:gridCol w:w="1459"/>
      </w:tblGrid>
      <w:tr w:rsidR="001C08A5" w14:paraId="6101781F" w14:textId="77777777">
        <w:trPr>
          <w:trHeight w:val="390"/>
          <w:tblHeader/>
        </w:trPr>
        <w:tc>
          <w:tcPr>
            <w:tcW w:w="475" w:type="pct"/>
            <w:vMerge w:val="restart"/>
            <w:shd w:val="clear" w:color="auto" w:fill="D7D7D7"/>
            <w:tcMar>
              <w:top w:w="0" w:type="dxa"/>
              <w:left w:w="0" w:type="dxa"/>
              <w:bottom w:w="0" w:type="dxa"/>
              <w:right w:w="0" w:type="dxa"/>
            </w:tcMar>
            <w:vAlign w:val="center"/>
          </w:tcPr>
          <w:p w14:paraId="76686821" w14:textId="77777777" w:rsidR="001C08A5" w:rsidRDefault="00000000">
            <w:pPr>
              <w:jc w:val="center"/>
              <w:rPr>
                <w:b/>
                <w:bCs/>
                <w:i/>
                <w:sz w:val="22"/>
                <w:szCs w:val="22"/>
              </w:rPr>
            </w:pPr>
            <w:r>
              <w:rPr>
                <w:b/>
                <w:bCs/>
                <w:i/>
                <w:sz w:val="22"/>
                <w:szCs w:val="22"/>
              </w:rPr>
              <w:t>Nivel de stabilitate</w:t>
            </w:r>
          </w:p>
          <w:p w14:paraId="1E6FA43D" w14:textId="77777777" w:rsidR="001C08A5" w:rsidRDefault="00000000">
            <w:pPr>
              <w:jc w:val="center"/>
              <w:rPr>
                <w:b/>
                <w:bCs/>
                <w:i/>
                <w:sz w:val="22"/>
                <w:szCs w:val="22"/>
              </w:rPr>
            </w:pPr>
            <w:r>
              <w:rPr>
                <w:b/>
                <w:bCs/>
                <w:i/>
                <w:sz w:val="22"/>
                <w:szCs w:val="22"/>
              </w:rPr>
              <w:t>la incendiu</w:t>
            </w:r>
          </w:p>
        </w:tc>
        <w:tc>
          <w:tcPr>
            <w:tcW w:w="4524" w:type="pct"/>
            <w:gridSpan w:val="7"/>
            <w:shd w:val="clear" w:color="auto" w:fill="D7D7D7"/>
            <w:tcMar>
              <w:top w:w="0" w:type="dxa"/>
              <w:left w:w="0" w:type="dxa"/>
              <w:bottom w:w="0" w:type="dxa"/>
              <w:right w:w="0" w:type="dxa"/>
            </w:tcMar>
            <w:vAlign w:val="center"/>
          </w:tcPr>
          <w:p w14:paraId="3BFC8184" w14:textId="77777777" w:rsidR="001C08A5" w:rsidRDefault="00000000">
            <w:pPr>
              <w:jc w:val="center"/>
              <w:rPr>
                <w:b/>
                <w:bCs/>
                <w:i/>
                <w:sz w:val="22"/>
                <w:szCs w:val="22"/>
                <w:lang w:val="en-US" w:eastAsia="zh-CN" w:bidi="ar"/>
              </w:rPr>
            </w:pPr>
            <w:r>
              <w:rPr>
                <w:b/>
                <w:bCs/>
                <w:i/>
                <w:sz w:val="22"/>
                <w:szCs w:val="22"/>
                <w:lang w:val="en-US" w:eastAsia="zh-CN" w:bidi="ar"/>
              </w:rPr>
              <w:t>Nivele de comportare la foc admise</w:t>
            </w:r>
          </w:p>
        </w:tc>
      </w:tr>
      <w:tr w:rsidR="001C08A5" w14:paraId="643DE615" w14:textId="77777777">
        <w:trPr>
          <w:trHeight w:val="375"/>
          <w:tblHeader/>
        </w:trPr>
        <w:tc>
          <w:tcPr>
            <w:tcW w:w="475" w:type="pct"/>
            <w:vMerge/>
            <w:shd w:val="clear" w:color="auto" w:fill="D7D7D7"/>
            <w:tcMar>
              <w:top w:w="0" w:type="dxa"/>
              <w:left w:w="0" w:type="dxa"/>
              <w:bottom w:w="0" w:type="dxa"/>
              <w:right w:w="0" w:type="dxa"/>
            </w:tcMar>
            <w:vAlign w:val="center"/>
          </w:tcPr>
          <w:p w14:paraId="106A2EEE" w14:textId="77777777" w:rsidR="001C08A5" w:rsidRDefault="001C08A5">
            <w:pPr>
              <w:jc w:val="center"/>
              <w:rPr>
                <w:b/>
                <w:bCs/>
                <w:i/>
                <w:sz w:val="22"/>
                <w:szCs w:val="22"/>
              </w:rPr>
            </w:pPr>
          </w:p>
        </w:tc>
        <w:tc>
          <w:tcPr>
            <w:tcW w:w="751" w:type="pct"/>
            <w:vMerge w:val="restart"/>
            <w:shd w:val="clear" w:color="auto" w:fill="D7D7D7"/>
            <w:tcMar>
              <w:top w:w="0" w:type="dxa"/>
              <w:left w:w="0" w:type="dxa"/>
              <w:bottom w:w="0" w:type="dxa"/>
              <w:right w:w="0" w:type="dxa"/>
            </w:tcMar>
            <w:vAlign w:val="center"/>
          </w:tcPr>
          <w:p w14:paraId="549728FE" w14:textId="77777777" w:rsidR="001C08A5" w:rsidRDefault="00000000">
            <w:pPr>
              <w:jc w:val="center"/>
              <w:rPr>
                <w:b/>
                <w:bCs/>
                <w:i/>
                <w:sz w:val="22"/>
                <w:szCs w:val="22"/>
              </w:rPr>
            </w:pPr>
            <w:r>
              <w:rPr>
                <w:b/>
                <w:bCs/>
                <w:i/>
                <w:sz w:val="22"/>
                <w:szCs w:val="22"/>
                <w:lang w:val="en-US" w:eastAsia="zh-CN" w:bidi="ar"/>
              </w:rPr>
              <w:t>Pereți la coridoare</w:t>
            </w:r>
          </w:p>
        </w:tc>
        <w:tc>
          <w:tcPr>
            <w:tcW w:w="751" w:type="pct"/>
            <w:vMerge w:val="restart"/>
            <w:shd w:val="clear" w:color="auto" w:fill="D7D7D7"/>
            <w:tcMar>
              <w:top w:w="0" w:type="dxa"/>
              <w:left w:w="0" w:type="dxa"/>
              <w:bottom w:w="0" w:type="dxa"/>
              <w:right w:w="0" w:type="dxa"/>
            </w:tcMar>
            <w:vAlign w:val="center"/>
          </w:tcPr>
          <w:p w14:paraId="460C6B85" w14:textId="77777777" w:rsidR="001C08A5" w:rsidRDefault="00000000">
            <w:pPr>
              <w:jc w:val="center"/>
              <w:rPr>
                <w:b/>
                <w:bCs/>
                <w:i/>
                <w:sz w:val="22"/>
                <w:szCs w:val="22"/>
              </w:rPr>
            </w:pPr>
            <w:r>
              <w:rPr>
                <w:b/>
                <w:bCs/>
                <w:i/>
                <w:sz w:val="22"/>
                <w:szCs w:val="22"/>
                <w:lang w:val="en-US" w:eastAsia="zh-CN" w:bidi="ar"/>
              </w:rPr>
              <w:t>Pereți la holuri</w:t>
            </w:r>
          </w:p>
        </w:tc>
        <w:tc>
          <w:tcPr>
            <w:tcW w:w="737" w:type="pct"/>
            <w:shd w:val="clear" w:color="auto" w:fill="D7D7D7"/>
            <w:tcMar>
              <w:top w:w="0" w:type="dxa"/>
              <w:left w:w="0" w:type="dxa"/>
              <w:bottom w:w="0" w:type="dxa"/>
              <w:right w:w="0" w:type="dxa"/>
            </w:tcMar>
            <w:vAlign w:val="center"/>
          </w:tcPr>
          <w:p w14:paraId="65859F96" w14:textId="77777777" w:rsidR="001C08A5" w:rsidRDefault="00000000">
            <w:pPr>
              <w:jc w:val="center"/>
              <w:rPr>
                <w:b/>
                <w:bCs/>
                <w:i/>
                <w:sz w:val="22"/>
                <w:szCs w:val="22"/>
              </w:rPr>
            </w:pPr>
            <w:r>
              <w:rPr>
                <w:b/>
                <w:bCs/>
                <w:i/>
                <w:sz w:val="22"/>
                <w:szCs w:val="22"/>
              </w:rPr>
              <w:t xml:space="preserve">Uși </w:t>
            </w:r>
            <w:r>
              <w:rPr>
                <w:b/>
                <w:bCs/>
                <w:i/>
                <w:sz w:val="22"/>
                <w:szCs w:val="22"/>
                <w:lang w:val="en-US" w:eastAsia="zh-CN" w:bidi="ar"/>
              </w:rPr>
              <w:t>la</w:t>
            </w:r>
            <w:r>
              <w:rPr>
                <w:b/>
                <w:bCs/>
                <w:i/>
                <w:sz w:val="22"/>
                <w:szCs w:val="22"/>
                <w:lang w:eastAsia="zh-CN" w:bidi="ar"/>
              </w:rPr>
              <w:t xml:space="preserve"> </w:t>
            </w:r>
            <w:r>
              <w:rPr>
                <w:b/>
                <w:bCs/>
                <w:i/>
                <w:sz w:val="22"/>
                <w:szCs w:val="22"/>
                <w:lang w:val="en-US" w:eastAsia="zh-CN" w:bidi="ar"/>
              </w:rPr>
              <w:t>coridoare</w:t>
            </w:r>
            <w:r>
              <w:rPr>
                <w:b/>
                <w:bCs/>
                <w:i/>
                <w:sz w:val="22"/>
                <w:szCs w:val="22"/>
                <w:lang w:eastAsia="zh-CN" w:bidi="ar"/>
              </w:rPr>
              <w:t xml:space="preserve"> </w:t>
            </w:r>
          </w:p>
        </w:tc>
        <w:tc>
          <w:tcPr>
            <w:tcW w:w="768" w:type="pct"/>
            <w:gridSpan w:val="2"/>
            <w:shd w:val="clear" w:color="auto" w:fill="D7D7D7"/>
            <w:tcMar>
              <w:top w:w="0" w:type="dxa"/>
              <w:left w:w="0" w:type="dxa"/>
              <w:bottom w:w="0" w:type="dxa"/>
              <w:right w:w="0" w:type="dxa"/>
            </w:tcMar>
            <w:vAlign w:val="center"/>
          </w:tcPr>
          <w:p w14:paraId="52482844" w14:textId="77777777" w:rsidR="001C08A5" w:rsidRDefault="00000000">
            <w:pPr>
              <w:jc w:val="center"/>
              <w:rPr>
                <w:b/>
                <w:bCs/>
                <w:i/>
                <w:sz w:val="22"/>
                <w:szCs w:val="22"/>
                <w:lang w:eastAsia="zh-CN" w:bidi="ar"/>
              </w:rPr>
            </w:pPr>
            <w:r>
              <w:rPr>
                <w:b/>
                <w:bCs/>
                <w:i/>
                <w:sz w:val="22"/>
                <w:szCs w:val="22"/>
              </w:rPr>
              <w:t xml:space="preserve">Uși </w:t>
            </w:r>
            <w:r>
              <w:rPr>
                <w:b/>
                <w:bCs/>
                <w:i/>
                <w:sz w:val="22"/>
                <w:szCs w:val="22"/>
                <w:lang w:val="en-US" w:eastAsia="zh-CN" w:bidi="ar"/>
              </w:rPr>
              <w:t>la holuri</w:t>
            </w:r>
            <w:r>
              <w:rPr>
                <w:b/>
                <w:bCs/>
                <w:i/>
                <w:sz w:val="22"/>
                <w:szCs w:val="22"/>
                <w:lang w:eastAsia="zh-CN" w:bidi="ar"/>
              </w:rPr>
              <w:t xml:space="preserve"> </w:t>
            </w:r>
          </w:p>
        </w:tc>
        <w:tc>
          <w:tcPr>
            <w:tcW w:w="752" w:type="pct"/>
            <w:vMerge w:val="restart"/>
            <w:shd w:val="clear" w:color="auto" w:fill="D7D7D7"/>
            <w:tcMar>
              <w:top w:w="0" w:type="dxa"/>
              <w:left w:w="0" w:type="dxa"/>
              <w:bottom w:w="0" w:type="dxa"/>
              <w:right w:w="0" w:type="dxa"/>
            </w:tcMar>
            <w:vAlign w:val="center"/>
          </w:tcPr>
          <w:p w14:paraId="353D8C53" w14:textId="77777777" w:rsidR="001C08A5" w:rsidRDefault="00000000">
            <w:pPr>
              <w:jc w:val="center"/>
              <w:rPr>
                <w:b/>
                <w:bCs/>
                <w:i/>
                <w:sz w:val="22"/>
                <w:szCs w:val="22"/>
                <w:lang w:eastAsia="zh-CN" w:bidi="ar"/>
              </w:rPr>
            </w:pPr>
            <w:r>
              <w:rPr>
                <w:b/>
                <w:bCs/>
                <w:i/>
                <w:sz w:val="22"/>
                <w:szCs w:val="22"/>
                <w:lang w:val="en-US" w:eastAsia="zh-CN" w:bidi="ar"/>
              </w:rPr>
              <w:t xml:space="preserve">Pereți la case de </w:t>
            </w:r>
            <w:proofErr w:type="gramStart"/>
            <w:r>
              <w:rPr>
                <w:b/>
                <w:bCs/>
                <w:i/>
                <w:sz w:val="22"/>
                <w:szCs w:val="22"/>
                <w:lang w:val="en-US" w:eastAsia="zh-CN" w:bidi="ar"/>
              </w:rPr>
              <w:t>scări</w:t>
            </w:r>
            <w:r>
              <w:rPr>
                <w:b/>
                <w:bCs/>
                <w:i/>
                <w:sz w:val="22"/>
                <w:szCs w:val="22"/>
                <w:lang w:eastAsia="zh-CN" w:bidi="ar"/>
              </w:rPr>
              <w:t xml:space="preserve">  închise</w:t>
            </w:r>
            <w:proofErr w:type="gramEnd"/>
          </w:p>
        </w:tc>
        <w:tc>
          <w:tcPr>
            <w:tcW w:w="763" w:type="pct"/>
            <w:vMerge w:val="restart"/>
            <w:shd w:val="clear" w:color="auto" w:fill="D7D7D7"/>
            <w:tcMar>
              <w:top w:w="0" w:type="dxa"/>
              <w:left w:w="0" w:type="dxa"/>
              <w:bottom w:w="0" w:type="dxa"/>
              <w:right w:w="0" w:type="dxa"/>
            </w:tcMar>
            <w:vAlign w:val="center"/>
          </w:tcPr>
          <w:p w14:paraId="153D1AE8" w14:textId="77777777" w:rsidR="001C08A5" w:rsidRDefault="00000000">
            <w:pPr>
              <w:jc w:val="center"/>
              <w:rPr>
                <w:b/>
                <w:bCs/>
                <w:i/>
                <w:sz w:val="22"/>
                <w:szCs w:val="22"/>
                <w:lang w:eastAsia="zh-CN" w:bidi="ar"/>
              </w:rPr>
            </w:pPr>
            <w:r>
              <w:rPr>
                <w:b/>
                <w:bCs/>
                <w:i/>
                <w:sz w:val="22"/>
                <w:szCs w:val="22"/>
                <w:lang w:eastAsia="zh-CN" w:bidi="ar"/>
              </w:rPr>
              <w:t xml:space="preserve">Uși </w:t>
            </w:r>
            <w:r>
              <w:rPr>
                <w:b/>
                <w:bCs/>
                <w:i/>
                <w:sz w:val="22"/>
                <w:szCs w:val="22"/>
                <w:lang w:val="en-US" w:eastAsia="zh-CN" w:bidi="ar"/>
              </w:rPr>
              <w:t>la case de scări</w:t>
            </w:r>
            <w:r>
              <w:rPr>
                <w:b/>
                <w:bCs/>
                <w:i/>
                <w:sz w:val="22"/>
                <w:szCs w:val="22"/>
                <w:lang w:eastAsia="zh-CN" w:bidi="ar"/>
              </w:rPr>
              <w:t xml:space="preserve">   închise </w:t>
            </w:r>
          </w:p>
        </w:tc>
      </w:tr>
      <w:tr w:rsidR="001C08A5" w14:paraId="43271F17" w14:textId="77777777">
        <w:trPr>
          <w:trHeight w:val="375"/>
          <w:tblHeader/>
        </w:trPr>
        <w:tc>
          <w:tcPr>
            <w:tcW w:w="475" w:type="pct"/>
            <w:vMerge/>
            <w:shd w:val="clear" w:color="auto" w:fill="D7D7D7"/>
            <w:tcMar>
              <w:top w:w="0" w:type="dxa"/>
              <w:left w:w="0" w:type="dxa"/>
              <w:bottom w:w="0" w:type="dxa"/>
              <w:right w:w="0" w:type="dxa"/>
            </w:tcMar>
            <w:vAlign w:val="center"/>
          </w:tcPr>
          <w:p w14:paraId="35B0AF7C" w14:textId="77777777" w:rsidR="001C08A5" w:rsidRDefault="001C08A5">
            <w:pPr>
              <w:jc w:val="center"/>
              <w:rPr>
                <w:b/>
                <w:bCs/>
                <w:i/>
                <w:sz w:val="22"/>
                <w:szCs w:val="22"/>
              </w:rPr>
            </w:pPr>
          </w:p>
        </w:tc>
        <w:tc>
          <w:tcPr>
            <w:tcW w:w="751" w:type="pct"/>
            <w:vMerge/>
            <w:shd w:val="clear" w:color="auto" w:fill="D7D7D7"/>
            <w:tcMar>
              <w:top w:w="0" w:type="dxa"/>
              <w:left w:w="0" w:type="dxa"/>
              <w:bottom w:w="0" w:type="dxa"/>
              <w:right w:w="0" w:type="dxa"/>
            </w:tcMar>
            <w:vAlign w:val="center"/>
          </w:tcPr>
          <w:p w14:paraId="56490B8D" w14:textId="77777777" w:rsidR="001C08A5" w:rsidRDefault="001C08A5">
            <w:pPr>
              <w:jc w:val="center"/>
              <w:rPr>
                <w:b/>
                <w:bCs/>
                <w:i/>
                <w:sz w:val="22"/>
                <w:szCs w:val="22"/>
                <w:lang w:val="en-US" w:eastAsia="zh-CN" w:bidi="ar"/>
              </w:rPr>
            </w:pPr>
          </w:p>
        </w:tc>
        <w:tc>
          <w:tcPr>
            <w:tcW w:w="751" w:type="pct"/>
            <w:vMerge/>
            <w:shd w:val="clear" w:color="auto" w:fill="D7D7D7"/>
            <w:tcMar>
              <w:top w:w="0" w:type="dxa"/>
              <w:left w:w="0" w:type="dxa"/>
              <w:bottom w:w="0" w:type="dxa"/>
              <w:right w:w="0" w:type="dxa"/>
            </w:tcMar>
            <w:vAlign w:val="center"/>
          </w:tcPr>
          <w:p w14:paraId="4B4D0274" w14:textId="77777777" w:rsidR="001C08A5" w:rsidRDefault="001C08A5">
            <w:pPr>
              <w:jc w:val="center"/>
              <w:rPr>
                <w:b/>
                <w:bCs/>
                <w:i/>
                <w:sz w:val="22"/>
                <w:szCs w:val="22"/>
                <w:lang w:val="en-US" w:eastAsia="zh-CN" w:bidi="ar"/>
              </w:rPr>
            </w:pPr>
          </w:p>
        </w:tc>
        <w:tc>
          <w:tcPr>
            <w:tcW w:w="1506" w:type="pct"/>
            <w:gridSpan w:val="3"/>
            <w:shd w:val="clear" w:color="auto" w:fill="D7D7D7"/>
            <w:tcMar>
              <w:top w:w="0" w:type="dxa"/>
              <w:left w:w="0" w:type="dxa"/>
              <w:bottom w:w="0" w:type="dxa"/>
              <w:right w:w="0" w:type="dxa"/>
            </w:tcMar>
            <w:vAlign w:val="center"/>
          </w:tcPr>
          <w:p w14:paraId="6463FAFF" w14:textId="77777777" w:rsidR="001C08A5" w:rsidRDefault="00000000">
            <w:pPr>
              <w:jc w:val="center"/>
              <w:rPr>
                <w:b/>
                <w:bCs/>
                <w:i/>
                <w:sz w:val="22"/>
                <w:szCs w:val="22"/>
                <w:lang w:eastAsia="zh-CN" w:bidi="ar"/>
              </w:rPr>
            </w:pPr>
            <w:r>
              <w:rPr>
                <w:i/>
                <w:sz w:val="22"/>
                <w:szCs w:val="22"/>
              </w:rPr>
              <w:t>(cu excepţia celor către case de scări închise)</w:t>
            </w:r>
          </w:p>
        </w:tc>
        <w:tc>
          <w:tcPr>
            <w:tcW w:w="752" w:type="pct"/>
            <w:vMerge/>
            <w:shd w:val="clear" w:color="auto" w:fill="D7D7D7"/>
            <w:tcMar>
              <w:top w:w="0" w:type="dxa"/>
              <w:left w:w="0" w:type="dxa"/>
              <w:bottom w:w="0" w:type="dxa"/>
              <w:right w:w="0" w:type="dxa"/>
            </w:tcMar>
            <w:vAlign w:val="center"/>
          </w:tcPr>
          <w:p w14:paraId="6AA10730" w14:textId="77777777" w:rsidR="001C08A5" w:rsidRDefault="001C08A5">
            <w:pPr>
              <w:jc w:val="center"/>
              <w:rPr>
                <w:b/>
                <w:bCs/>
                <w:i/>
                <w:sz w:val="22"/>
                <w:szCs w:val="22"/>
                <w:lang w:val="en-US" w:eastAsia="zh-CN" w:bidi="ar"/>
              </w:rPr>
            </w:pPr>
          </w:p>
        </w:tc>
        <w:tc>
          <w:tcPr>
            <w:tcW w:w="763" w:type="pct"/>
            <w:vMerge/>
            <w:shd w:val="clear" w:color="auto" w:fill="D7D7D7"/>
            <w:tcMar>
              <w:top w:w="0" w:type="dxa"/>
              <w:left w:w="0" w:type="dxa"/>
              <w:bottom w:w="0" w:type="dxa"/>
              <w:right w:w="0" w:type="dxa"/>
            </w:tcMar>
            <w:vAlign w:val="center"/>
          </w:tcPr>
          <w:p w14:paraId="3E9DB49F" w14:textId="77777777" w:rsidR="001C08A5" w:rsidRDefault="001C08A5">
            <w:pPr>
              <w:jc w:val="center"/>
              <w:rPr>
                <w:b/>
                <w:bCs/>
                <w:i/>
                <w:sz w:val="22"/>
                <w:szCs w:val="22"/>
                <w:lang w:eastAsia="zh-CN" w:bidi="ar"/>
              </w:rPr>
            </w:pPr>
          </w:p>
        </w:tc>
      </w:tr>
      <w:tr w:rsidR="001C08A5" w14:paraId="0E3359B8" w14:textId="77777777">
        <w:trPr>
          <w:trHeight w:val="345"/>
        </w:trPr>
        <w:tc>
          <w:tcPr>
            <w:tcW w:w="475" w:type="pct"/>
            <w:tcMar>
              <w:top w:w="0" w:type="dxa"/>
              <w:left w:w="0" w:type="dxa"/>
              <w:bottom w:w="0" w:type="dxa"/>
              <w:right w:w="0" w:type="dxa"/>
            </w:tcMar>
            <w:vAlign w:val="center"/>
          </w:tcPr>
          <w:p w14:paraId="4EE07B57" w14:textId="77777777" w:rsidR="001C08A5" w:rsidRDefault="00000000">
            <w:pPr>
              <w:jc w:val="center"/>
              <w:rPr>
                <w:b/>
                <w:bCs/>
                <w:i/>
                <w:sz w:val="22"/>
                <w:szCs w:val="22"/>
              </w:rPr>
            </w:pPr>
            <w:r>
              <w:rPr>
                <w:b/>
                <w:bCs/>
                <w:i/>
                <w:sz w:val="22"/>
                <w:szCs w:val="22"/>
                <w:lang w:val="en-US" w:eastAsia="zh-CN" w:bidi="ar"/>
              </w:rPr>
              <w:t>I</w:t>
            </w:r>
          </w:p>
        </w:tc>
        <w:tc>
          <w:tcPr>
            <w:tcW w:w="751" w:type="pct"/>
            <w:tcMar>
              <w:top w:w="0" w:type="dxa"/>
              <w:left w:w="0" w:type="dxa"/>
              <w:bottom w:w="0" w:type="dxa"/>
              <w:right w:w="0" w:type="dxa"/>
            </w:tcMar>
            <w:vAlign w:val="center"/>
          </w:tcPr>
          <w:p w14:paraId="14E8851C" w14:textId="77777777" w:rsidR="001C08A5" w:rsidRDefault="00000000">
            <w:pPr>
              <w:jc w:val="center"/>
              <w:rPr>
                <w:b/>
                <w:i/>
                <w:sz w:val="22"/>
                <w:szCs w:val="22"/>
              </w:rPr>
            </w:pPr>
            <w:r>
              <w:rPr>
                <w:b/>
                <w:i/>
                <w:sz w:val="22"/>
                <w:szCs w:val="22"/>
              </w:rPr>
              <w:t>EI/REI 60</w:t>
            </w:r>
          </w:p>
          <w:p w14:paraId="3747481B" w14:textId="77777777" w:rsidR="001C08A5" w:rsidRDefault="00000000">
            <w:pPr>
              <w:jc w:val="center"/>
              <w:rPr>
                <w:b/>
                <w:i/>
                <w:sz w:val="22"/>
                <w:szCs w:val="22"/>
              </w:rPr>
            </w:pPr>
            <w:r>
              <w:rPr>
                <w:b/>
                <w:bCs/>
                <w:i/>
                <w:sz w:val="22"/>
                <w:szCs w:val="22"/>
                <w:lang w:val="en-GB"/>
              </w:rPr>
              <w:t>A1, A2s1d0</w:t>
            </w:r>
          </w:p>
        </w:tc>
        <w:tc>
          <w:tcPr>
            <w:tcW w:w="751" w:type="pct"/>
            <w:tcMar>
              <w:top w:w="0" w:type="dxa"/>
              <w:left w:w="0" w:type="dxa"/>
              <w:bottom w:w="0" w:type="dxa"/>
              <w:right w:w="0" w:type="dxa"/>
            </w:tcMar>
            <w:vAlign w:val="center"/>
          </w:tcPr>
          <w:p w14:paraId="44A611D8" w14:textId="77777777" w:rsidR="001C08A5" w:rsidRDefault="00000000">
            <w:pPr>
              <w:jc w:val="center"/>
              <w:rPr>
                <w:b/>
                <w:i/>
                <w:sz w:val="22"/>
                <w:szCs w:val="22"/>
              </w:rPr>
            </w:pPr>
            <w:r>
              <w:rPr>
                <w:b/>
                <w:i/>
                <w:sz w:val="22"/>
                <w:szCs w:val="22"/>
              </w:rPr>
              <w:t>EI/REI 60</w:t>
            </w:r>
          </w:p>
          <w:p w14:paraId="320763BC" w14:textId="77777777" w:rsidR="001C08A5" w:rsidRDefault="00000000">
            <w:pPr>
              <w:jc w:val="center"/>
              <w:rPr>
                <w:i/>
                <w:sz w:val="22"/>
                <w:szCs w:val="22"/>
              </w:rPr>
            </w:pPr>
            <w:r>
              <w:rPr>
                <w:b/>
                <w:bCs/>
                <w:i/>
                <w:sz w:val="22"/>
                <w:szCs w:val="22"/>
                <w:lang w:val="en-GB"/>
              </w:rPr>
              <w:t>A1, A2s1d0</w:t>
            </w:r>
          </w:p>
        </w:tc>
        <w:tc>
          <w:tcPr>
            <w:tcW w:w="1451" w:type="dxa"/>
            <w:gridSpan w:val="2"/>
            <w:tcMar>
              <w:top w:w="0" w:type="dxa"/>
              <w:left w:w="0" w:type="dxa"/>
              <w:bottom w:w="0" w:type="dxa"/>
              <w:right w:w="0" w:type="dxa"/>
            </w:tcMar>
            <w:vAlign w:val="center"/>
          </w:tcPr>
          <w:p w14:paraId="6089FC16" w14:textId="77777777" w:rsidR="001C08A5" w:rsidRDefault="00000000">
            <w:pPr>
              <w:jc w:val="center"/>
              <w:rPr>
                <w:i/>
                <w:sz w:val="22"/>
                <w:szCs w:val="22"/>
              </w:rPr>
            </w:pPr>
            <w:r>
              <w:rPr>
                <w:b/>
                <w:bCs/>
                <w:i/>
                <w:sz w:val="22"/>
                <w:szCs w:val="22"/>
              </w:rPr>
              <w:t>E 30 - C5 Sa</w:t>
            </w:r>
          </w:p>
        </w:tc>
        <w:tc>
          <w:tcPr>
            <w:tcW w:w="753" w:type="pct"/>
            <w:tcMar>
              <w:top w:w="0" w:type="dxa"/>
              <w:left w:w="0" w:type="dxa"/>
              <w:bottom w:w="0" w:type="dxa"/>
              <w:right w:w="0" w:type="dxa"/>
            </w:tcMar>
            <w:vAlign w:val="center"/>
          </w:tcPr>
          <w:p w14:paraId="2898BB33" w14:textId="77777777" w:rsidR="001C08A5" w:rsidRDefault="00000000">
            <w:pPr>
              <w:jc w:val="center"/>
              <w:rPr>
                <w:b/>
                <w:i/>
                <w:sz w:val="22"/>
                <w:szCs w:val="22"/>
              </w:rPr>
            </w:pPr>
            <w:r>
              <w:rPr>
                <w:b/>
                <w:bCs/>
                <w:i/>
                <w:sz w:val="22"/>
                <w:szCs w:val="22"/>
              </w:rPr>
              <w:t>E 30 - C5 Sa</w:t>
            </w:r>
          </w:p>
        </w:tc>
        <w:tc>
          <w:tcPr>
            <w:tcW w:w="752" w:type="pct"/>
            <w:tcMar>
              <w:top w:w="0" w:type="dxa"/>
              <w:left w:w="0" w:type="dxa"/>
              <w:bottom w:w="0" w:type="dxa"/>
              <w:right w:w="0" w:type="dxa"/>
            </w:tcMar>
            <w:vAlign w:val="center"/>
          </w:tcPr>
          <w:p w14:paraId="065259E4" w14:textId="77777777" w:rsidR="001C08A5" w:rsidRDefault="00000000">
            <w:pPr>
              <w:jc w:val="center"/>
              <w:rPr>
                <w:b/>
                <w:i/>
                <w:sz w:val="22"/>
                <w:szCs w:val="22"/>
              </w:rPr>
            </w:pPr>
            <w:r>
              <w:rPr>
                <w:b/>
                <w:i/>
                <w:sz w:val="22"/>
                <w:szCs w:val="22"/>
              </w:rPr>
              <w:t>EI/REI 180</w:t>
            </w:r>
          </w:p>
          <w:p w14:paraId="204F2272" w14:textId="77777777" w:rsidR="001C08A5" w:rsidRDefault="00000000">
            <w:pPr>
              <w:jc w:val="center"/>
              <w:rPr>
                <w:b/>
                <w:i/>
                <w:sz w:val="22"/>
                <w:szCs w:val="22"/>
              </w:rPr>
            </w:pPr>
            <w:r>
              <w:rPr>
                <w:b/>
                <w:bCs/>
                <w:i/>
                <w:sz w:val="22"/>
                <w:szCs w:val="22"/>
                <w:lang w:val="en-GB"/>
              </w:rPr>
              <w:t>A1, A2s1d0</w:t>
            </w:r>
          </w:p>
        </w:tc>
        <w:tc>
          <w:tcPr>
            <w:tcW w:w="763" w:type="pct"/>
            <w:tcMar>
              <w:top w:w="0" w:type="dxa"/>
              <w:left w:w="0" w:type="dxa"/>
              <w:bottom w:w="0" w:type="dxa"/>
              <w:right w:w="0" w:type="dxa"/>
            </w:tcMar>
            <w:vAlign w:val="center"/>
          </w:tcPr>
          <w:p w14:paraId="16E9461C" w14:textId="77777777" w:rsidR="001C08A5" w:rsidRDefault="00000000">
            <w:pPr>
              <w:jc w:val="center"/>
              <w:rPr>
                <w:b/>
                <w:bCs/>
                <w:i/>
                <w:sz w:val="22"/>
                <w:szCs w:val="22"/>
              </w:rPr>
            </w:pPr>
            <w:r>
              <w:rPr>
                <w:b/>
                <w:bCs/>
                <w:i/>
                <w:sz w:val="22"/>
                <w:szCs w:val="22"/>
              </w:rPr>
              <w:t xml:space="preserve">E 60 - C5 </w:t>
            </w:r>
            <w:r>
              <w:rPr>
                <w:b/>
                <w:i/>
                <w:sz w:val="22"/>
                <w:szCs w:val="22"/>
              </w:rPr>
              <w:t>S</w:t>
            </w:r>
            <w:r>
              <w:rPr>
                <w:b/>
                <w:bCs/>
                <w:i/>
                <w:sz w:val="22"/>
                <w:szCs w:val="22"/>
                <w:vertAlign w:val="subscript"/>
                <w:lang w:val="en-GB"/>
              </w:rPr>
              <w:t>200</w:t>
            </w:r>
          </w:p>
        </w:tc>
      </w:tr>
      <w:tr w:rsidR="001C08A5" w14:paraId="791917E6" w14:textId="77777777">
        <w:trPr>
          <w:trHeight w:val="345"/>
        </w:trPr>
        <w:tc>
          <w:tcPr>
            <w:tcW w:w="475" w:type="pct"/>
            <w:tcMar>
              <w:top w:w="0" w:type="dxa"/>
              <w:left w:w="0" w:type="dxa"/>
              <w:bottom w:w="0" w:type="dxa"/>
              <w:right w:w="0" w:type="dxa"/>
            </w:tcMar>
            <w:vAlign w:val="center"/>
          </w:tcPr>
          <w:p w14:paraId="6305AE80" w14:textId="77777777" w:rsidR="001C08A5" w:rsidRDefault="00000000">
            <w:pPr>
              <w:jc w:val="center"/>
              <w:rPr>
                <w:b/>
                <w:bCs/>
                <w:i/>
                <w:sz w:val="22"/>
                <w:szCs w:val="22"/>
              </w:rPr>
            </w:pPr>
            <w:r>
              <w:rPr>
                <w:b/>
                <w:bCs/>
                <w:i/>
                <w:sz w:val="22"/>
                <w:szCs w:val="22"/>
                <w:lang w:val="en-US" w:eastAsia="zh-CN" w:bidi="ar"/>
              </w:rPr>
              <w:t>II</w:t>
            </w:r>
          </w:p>
        </w:tc>
        <w:tc>
          <w:tcPr>
            <w:tcW w:w="751" w:type="pct"/>
            <w:tcMar>
              <w:top w:w="0" w:type="dxa"/>
              <w:left w:w="0" w:type="dxa"/>
              <w:bottom w:w="0" w:type="dxa"/>
              <w:right w:w="0" w:type="dxa"/>
            </w:tcMar>
            <w:vAlign w:val="center"/>
          </w:tcPr>
          <w:p w14:paraId="6C04495A" w14:textId="77777777" w:rsidR="001C08A5" w:rsidRDefault="00000000">
            <w:pPr>
              <w:jc w:val="center"/>
              <w:rPr>
                <w:b/>
                <w:i/>
                <w:sz w:val="22"/>
                <w:szCs w:val="22"/>
              </w:rPr>
            </w:pPr>
            <w:r>
              <w:rPr>
                <w:b/>
                <w:i/>
                <w:sz w:val="22"/>
                <w:szCs w:val="22"/>
              </w:rPr>
              <w:t>EI/REI 45</w:t>
            </w:r>
          </w:p>
          <w:p w14:paraId="7B7EEE43" w14:textId="77777777" w:rsidR="001C08A5" w:rsidRDefault="00000000">
            <w:pPr>
              <w:jc w:val="center"/>
              <w:rPr>
                <w:b/>
                <w:i/>
                <w:sz w:val="22"/>
                <w:szCs w:val="22"/>
              </w:rPr>
            </w:pPr>
            <w:r>
              <w:rPr>
                <w:b/>
                <w:bCs/>
                <w:i/>
                <w:sz w:val="22"/>
                <w:szCs w:val="22"/>
                <w:lang w:val="en-GB"/>
              </w:rPr>
              <w:t>A1, A2s1d0</w:t>
            </w:r>
          </w:p>
        </w:tc>
        <w:tc>
          <w:tcPr>
            <w:tcW w:w="751" w:type="pct"/>
            <w:tcMar>
              <w:top w:w="0" w:type="dxa"/>
              <w:left w:w="0" w:type="dxa"/>
              <w:bottom w:w="0" w:type="dxa"/>
              <w:right w:w="0" w:type="dxa"/>
            </w:tcMar>
            <w:vAlign w:val="center"/>
          </w:tcPr>
          <w:p w14:paraId="4F87882F" w14:textId="77777777" w:rsidR="001C08A5" w:rsidRDefault="00000000">
            <w:pPr>
              <w:jc w:val="center"/>
              <w:rPr>
                <w:b/>
                <w:i/>
                <w:sz w:val="22"/>
                <w:szCs w:val="22"/>
              </w:rPr>
            </w:pPr>
            <w:r>
              <w:rPr>
                <w:b/>
                <w:i/>
                <w:sz w:val="22"/>
                <w:szCs w:val="22"/>
              </w:rPr>
              <w:t>EI/REI 60</w:t>
            </w:r>
          </w:p>
          <w:p w14:paraId="1D80590E" w14:textId="77777777" w:rsidR="001C08A5" w:rsidRDefault="00000000">
            <w:pPr>
              <w:jc w:val="center"/>
              <w:rPr>
                <w:i/>
                <w:sz w:val="22"/>
                <w:szCs w:val="22"/>
              </w:rPr>
            </w:pPr>
            <w:r>
              <w:rPr>
                <w:b/>
                <w:bCs/>
                <w:i/>
                <w:sz w:val="22"/>
                <w:szCs w:val="22"/>
                <w:lang w:val="en-GB"/>
              </w:rPr>
              <w:t>A1, A2s1d0</w:t>
            </w:r>
          </w:p>
        </w:tc>
        <w:tc>
          <w:tcPr>
            <w:tcW w:w="1451" w:type="dxa"/>
            <w:gridSpan w:val="2"/>
            <w:tcMar>
              <w:top w:w="0" w:type="dxa"/>
              <w:left w:w="0" w:type="dxa"/>
              <w:bottom w:w="0" w:type="dxa"/>
              <w:right w:w="0" w:type="dxa"/>
            </w:tcMar>
            <w:vAlign w:val="center"/>
          </w:tcPr>
          <w:p w14:paraId="5FE529BA" w14:textId="77777777" w:rsidR="001C08A5" w:rsidRDefault="00000000">
            <w:pPr>
              <w:jc w:val="center"/>
              <w:rPr>
                <w:i/>
                <w:sz w:val="22"/>
                <w:szCs w:val="22"/>
              </w:rPr>
            </w:pPr>
            <w:r>
              <w:rPr>
                <w:b/>
                <w:bCs/>
                <w:i/>
                <w:sz w:val="22"/>
                <w:szCs w:val="22"/>
              </w:rPr>
              <w:t xml:space="preserve">E </w:t>
            </w:r>
            <w:r>
              <w:rPr>
                <w:b/>
                <w:bCs/>
                <w:i/>
                <w:sz w:val="22"/>
                <w:szCs w:val="22"/>
                <w:lang w:val="en-GB"/>
              </w:rPr>
              <w:t>1</w:t>
            </w:r>
            <w:r>
              <w:rPr>
                <w:b/>
                <w:bCs/>
                <w:i/>
                <w:sz w:val="22"/>
                <w:szCs w:val="22"/>
              </w:rPr>
              <w:t>5 - C5 S</w:t>
            </w:r>
            <w:r>
              <w:rPr>
                <w:b/>
                <w:bCs/>
                <w:i/>
                <w:sz w:val="22"/>
                <w:szCs w:val="22"/>
                <w:lang w:val="en-GB"/>
              </w:rPr>
              <w:t>a</w:t>
            </w:r>
            <w:r>
              <w:rPr>
                <w:b/>
                <w:bCs/>
                <w:i/>
                <w:sz w:val="22"/>
                <w:szCs w:val="22"/>
              </w:rPr>
              <w:t xml:space="preserve"> </w:t>
            </w:r>
            <w:r>
              <w:rPr>
                <w:b/>
                <w:bCs/>
                <w:i/>
              </w:rPr>
              <w:t>sau uși pline din lemn sau metal</w:t>
            </w:r>
          </w:p>
        </w:tc>
        <w:tc>
          <w:tcPr>
            <w:tcW w:w="1455" w:type="dxa"/>
            <w:tcMar>
              <w:top w:w="0" w:type="dxa"/>
              <w:left w:w="0" w:type="dxa"/>
              <w:bottom w:w="0" w:type="dxa"/>
              <w:right w:w="0" w:type="dxa"/>
            </w:tcMar>
            <w:vAlign w:val="center"/>
          </w:tcPr>
          <w:p w14:paraId="757EB4E3" w14:textId="77777777" w:rsidR="001C08A5" w:rsidRDefault="00000000">
            <w:pPr>
              <w:jc w:val="center"/>
              <w:rPr>
                <w:b/>
                <w:i/>
                <w:sz w:val="22"/>
                <w:szCs w:val="22"/>
              </w:rPr>
            </w:pPr>
            <w:r>
              <w:rPr>
                <w:b/>
                <w:bCs/>
                <w:i/>
                <w:sz w:val="22"/>
                <w:szCs w:val="22"/>
              </w:rPr>
              <w:t>E 30 - C5 Sa</w:t>
            </w:r>
          </w:p>
        </w:tc>
        <w:tc>
          <w:tcPr>
            <w:tcW w:w="752" w:type="pct"/>
            <w:tcMar>
              <w:top w:w="0" w:type="dxa"/>
              <w:left w:w="0" w:type="dxa"/>
              <w:bottom w:w="0" w:type="dxa"/>
              <w:right w:w="0" w:type="dxa"/>
            </w:tcMar>
            <w:vAlign w:val="center"/>
          </w:tcPr>
          <w:p w14:paraId="18EE4D05" w14:textId="77777777" w:rsidR="001C08A5" w:rsidRDefault="00000000">
            <w:pPr>
              <w:jc w:val="center"/>
              <w:rPr>
                <w:b/>
                <w:i/>
                <w:sz w:val="22"/>
                <w:szCs w:val="22"/>
              </w:rPr>
            </w:pPr>
            <w:r>
              <w:rPr>
                <w:b/>
                <w:i/>
                <w:sz w:val="22"/>
                <w:szCs w:val="22"/>
              </w:rPr>
              <w:t>EI/REI 180</w:t>
            </w:r>
          </w:p>
          <w:p w14:paraId="090D89AB" w14:textId="77777777" w:rsidR="001C08A5" w:rsidRDefault="00000000">
            <w:pPr>
              <w:jc w:val="center"/>
              <w:rPr>
                <w:b/>
                <w:i/>
                <w:sz w:val="22"/>
                <w:szCs w:val="22"/>
              </w:rPr>
            </w:pPr>
            <w:r>
              <w:rPr>
                <w:b/>
                <w:bCs/>
                <w:i/>
                <w:sz w:val="22"/>
                <w:szCs w:val="22"/>
                <w:lang w:val="en-GB"/>
              </w:rPr>
              <w:t>A1, A2s1d0</w:t>
            </w:r>
          </w:p>
        </w:tc>
        <w:tc>
          <w:tcPr>
            <w:tcW w:w="763" w:type="pct"/>
            <w:tcMar>
              <w:top w:w="0" w:type="dxa"/>
              <w:left w:w="0" w:type="dxa"/>
              <w:bottom w:w="0" w:type="dxa"/>
              <w:right w:w="0" w:type="dxa"/>
            </w:tcMar>
            <w:vAlign w:val="center"/>
          </w:tcPr>
          <w:p w14:paraId="67671838" w14:textId="77777777" w:rsidR="001C08A5" w:rsidRDefault="00000000">
            <w:pPr>
              <w:jc w:val="center"/>
              <w:rPr>
                <w:b/>
                <w:bCs/>
                <w:i/>
                <w:sz w:val="22"/>
                <w:szCs w:val="22"/>
              </w:rPr>
            </w:pPr>
            <w:r>
              <w:rPr>
                <w:b/>
                <w:bCs/>
                <w:i/>
                <w:sz w:val="22"/>
                <w:szCs w:val="22"/>
              </w:rPr>
              <w:t xml:space="preserve">E 30 - C5 </w:t>
            </w:r>
            <w:r>
              <w:rPr>
                <w:b/>
                <w:i/>
                <w:sz w:val="22"/>
                <w:szCs w:val="22"/>
              </w:rPr>
              <w:t>S</w:t>
            </w:r>
            <w:r>
              <w:rPr>
                <w:b/>
                <w:bCs/>
                <w:i/>
                <w:sz w:val="22"/>
                <w:szCs w:val="22"/>
                <w:vertAlign w:val="subscript"/>
              </w:rPr>
              <w:t>a</w:t>
            </w:r>
          </w:p>
        </w:tc>
      </w:tr>
      <w:tr w:rsidR="001C08A5" w14:paraId="75B90651" w14:textId="77777777">
        <w:trPr>
          <w:trHeight w:val="345"/>
        </w:trPr>
        <w:tc>
          <w:tcPr>
            <w:tcW w:w="475" w:type="pct"/>
            <w:tcMar>
              <w:top w:w="0" w:type="dxa"/>
              <w:left w:w="0" w:type="dxa"/>
              <w:bottom w:w="0" w:type="dxa"/>
              <w:right w:w="0" w:type="dxa"/>
            </w:tcMar>
            <w:vAlign w:val="center"/>
          </w:tcPr>
          <w:p w14:paraId="52B6C08C" w14:textId="77777777" w:rsidR="001C08A5" w:rsidRDefault="00000000">
            <w:pPr>
              <w:jc w:val="center"/>
              <w:rPr>
                <w:b/>
                <w:bCs/>
                <w:i/>
                <w:sz w:val="22"/>
                <w:szCs w:val="22"/>
              </w:rPr>
            </w:pPr>
            <w:r>
              <w:rPr>
                <w:b/>
                <w:bCs/>
                <w:i/>
                <w:sz w:val="22"/>
                <w:szCs w:val="22"/>
                <w:lang w:val="en-US" w:eastAsia="zh-CN" w:bidi="ar"/>
              </w:rPr>
              <w:t>III</w:t>
            </w:r>
          </w:p>
        </w:tc>
        <w:tc>
          <w:tcPr>
            <w:tcW w:w="751" w:type="pct"/>
            <w:tcMar>
              <w:top w:w="0" w:type="dxa"/>
              <w:left w:w="0" w:type="dxa"/>
              <w:bottom w:w="0" w:type="dxa"/>
              <w:right w:w="0" w:type="dxa"/>
            </w:tcMar>
            <w:vAlign w:val="center"/>
          </w:tcPr>
          <w:p w14:paraId="4805AD93" w14:textId="77777777" w:rsidR="001C08A5" w:rsidRDefault="00000000">
            <w:pPr>
              <w:jc w:val="center"/>
              <w:rPr>
                <w:b/>
                <w:i/>
                <w:sz w:val="22"/>
                <w:szCs w:val="22"/>
              </w:rPr>
            </w:pPr>
            <w:r>
              <w:rPr>
                <w:b/>
                <w:i/>
                <w:sz w:val="22"/>
                <w:szCs w:val="22"/>
              </w:rPr>
              <w:t>EI/REI 30</w:t>
            </w:r>
          </w:p>
          <w:p w14:paraId="1CE0BDC4" w14:textId="77777777" w:rsidR="001C08A5" w:rsidRDefault="00000000">
            <w:pPr>
              <w:jc w:val="center"/>
              <w:rPr>
                <w:b/>
                <w:i/>
                <w:sz w:val="22"/>
                <w:szCs w:val="22"/>
              </w:rPr>
            </w:pPr>
            <w:r>
              <w:rPr>
                <w:b/>
                <w:bCs/>
                <w:i/>
                <w:sz w:val="22"/>
                <w:szCs w:val="22"/>
                <w:lang w:val="en-GB"/>
              </w:rPr>
              <w:t>A1, A2s1d0</w:t>
            </w:r>
          </w:p>
        </w:tc>
        <w:tc>
          <w:tcPr>
            <w:tcW w:w="751" w:type="pct"/>
            <w:tcMar>
              <w:top w:w="0" w:type="dxa"/>
              <w:left w:w="0" w:type="dxa"/>
              <w:bottom w:w="0" w:type="dxa"/>
              <w:right w:w="0" w:type="dxa"/>
            </w:tcMar>
            <w:vAlign w:val="center"/>
          </w:tcPr>
          <w:p w14:paraId="74DCC81D" w14:textId="77777777" w:rsidR="001C08A5" w:rsidRDefault="00000000">
            <w:pPr>
              <w:jc w:val="center"/>
              <w:rPr>
                <w:b/>
                <w:i/>
                <w:sz w:val="22"/>
                <w:szCs w:val="22"/>
              </w:rPr>
            </w:pPr>
            <w:r>
              <w:rPr>
                <w:b/>
                <w:i/>
                <w:sz w:val="22"/>
                <w:szCs w:val="22"/>
              </w:rPr>
              <w:t>EI/REI 45</w:t>
            </w:r>
          </w:p>
          <w:p w14:paraId="54F5FE6A" w14:textId="77777777" w:rsidR="001C08A5" w:rsidRDefault="00000000">
            <w:pPr>
              <w:jc w:val="center"/>
              <w:rPr>
                <w:i/>
                <w:sz w:val="22"/>
                <w:szCs w:val="22"/>
              </w:rPr>
            </w:pPr>
            <w:r>
              <w:rPr>
                <w:b/>
                <w:bCs/>
                <w:i/>
                <w:sz w:val="22"/>
                <w:szCs w:val="22"/>
                <w:lang w:val="en-GB"/>
              </w:rPr>
              <w:t>A1, A2s1d0</w:t>
            </w:r>
          </w:p>
        </w:tc>
        <w:tc>
          <w:tcPr>
            <w:tcW w:w="1451" w:type="dxa"/>
            <w:gridSpan w:val="2"/>
            <w:tcMar>
              <w:top w:w="0" w:type="dxa"/>
              <w:left w:w="0" w:type="dxa"/>
              <w:bottom w:w="0" w:type="dxa"/>
              <w:right w:w="0" w:type="dxa"/>
            </w:tcMar>
            <w:vAlign w:val="center"/>
          </w:tcPr>
          <w:p w14:paraId="7C2E0856" w14:textId="77777777" w:rsidR="001C08A5" w:rsidRDefault="00000000">
            <w:pPr>
              <w:jc w:val="center"/>
              <w:rPr>
                <w:i/>
                <w:sz w:val="22"/>
                <w:szCs w:val="22"/>
              </w:rPr>
            </w:pPr>
            <w:r>
              <w:rPr>
                <w:b/>
                <w:bCs/>
                <w:i/>
                <w:sz w:val="22"/>
                <w:szCs w:val="22"/>
              </w:rPr>
              <w:t>C5</w:t>
            </w:r>
          </w:p>
        </w:tc>
        <w:tc>
          <w:tcPr>
            <w:tcW w:w="1455" w:type="dxa"/>
            <w:tcMar>
              <w:top w:w="0" w:type="dxa"/>
              <w:left w:w="0" w:type="dxa"/>
              <w:bottom w:w="0" w:type="dxa"/>
              <w:right w:w="0" w:type="dxa"/>
            </w:tcMar>
            <w:vAlign w:val="center"/>
          </w:tcPr>
          <w:p w14:paraId="0D02D7A9" w14:textId="77777777" w:rsidR="001C08A5" w:rsidRDefault="00000000">
            <w:pPr>
              <w:jc w:val="center"/>
              <w:rPr>
                <w:b/>
                <w:i/>
                <w:sz w:val="22"/>
                <w:szCs w:val="22"/>
              </w:rPr>
            </w:pPr>
            <w:r>
              <w:rPr>
                <w:b/>
                <w:bCs/>
                <w:i/>
                <w:sz w:val="22"/>
                <w:szCs w:val="22"/>
              </w:rPr>
              <w:t xml:space="preserve">E </w:t>
            </w:r>
            <w:r>
              <w:rPr>
                <w:b/>
                <w:bCs/>
                <w:i/>
                <w:sz w:val="22"/>
                <w:szCs w:val="22"/>
                <w:lang w:val="en-GB"/>
              </w:rPr>
              <w:t>1</w:t>
            </w:r>
            <w:r>
              <w:rPr>
                <w:b/>
                <w:bCs/>
                <w:i/>
                <w:sz w:val="22"/>
                <w:szCs w:val="22"/>
              </w:rPr>
              <w:t>5 - C5 S</w:t>
            </w:r>
            <w:r>
              <w:rPr>
                <w:b/>
                <w:bCs/>
                <w:i/>
                <w:sz w:val="22"/>
                <w:szCs w:val="22"/>
                <w:lang w:val="en-GB"/>
              </w:rPr>
              <w:t>a</w:t>
            </w:r>
          </w:p>
        </w:tc>
        <w:tc>
          <w:tcPr>
            <w:tcW w:w="752" w:type="pct"/>
            <w:tcMar>
              <w:top w:w="0" w:type="dxa"/>
              <w:left w:w="0" w:type="dxa"/>
              <w:bottom w:w="0" w:type="dxa"/>
              <w:right w:w="0" w:type="dxa"/>
            </w:tcMar>
            <w:vAlign w:val="center"/>
          </w:tcPr>
          <w:p w14:paraId="41183128" w14:textId="77777777" w:rsidR="001C08A5" w:rsidRDefault="00000000">
            <w:pPr>
              <w:jc w:val="center"/>
              <w:rPr>
                <w:b/>
                <w:i/>
                <w:sz w:val="22"/>
                <w:szCs w:val="22"/>
              </w:rPr>
            </w:pPr>
            <w:r>
              <w:rPr>
                <w:b/>
                <w:i/>
                <w:sz w:val="22"/>
                <w:szCs w:val="22"/>
              </w:rPr>
              <w:t>EI/REI 180</w:t>
            </w:r>
          </w:p>
          <w:p w14:paraId="58229F4D" w14:textId="77777777" w:rsidR="001C08A5" w:rsidRDefault="00000000">
            <w:pPr>
              <w:jc w:val="center"/>
              <w:rPr>
                <w:b/>
                <w:i/>
                <w:sz w:val="22"/>
                <w:szCs w:val="22"/>
              </w:rPr>
            </w:pPr>
            <w:r>
              <w:rPr>
                <w:b/>
                <w:bCs/>
                <w:i/>
                <w:sz w:val="22"/>
                <w:szCs w:val="22"/>
                <w:lang w:val="en-GB"/>
              </w:rPr>
              <w:t>A1, A2s1d0</w:t>
            </w:r>
          </w:p>
        </w:tc>
        <w:tc>
          <w:tcPr>
            <w:tcW w:w="763" w:type="pct"/>
            <w:tcMar>
              <w:top w:w="0" w:type="dxa"/>
              <w:left w:w="0" w:type="dxa"/>
              <w:bottom w:w="0" w:type="dxa"/>
              <w:right w:w="0" w:type="dxa"/>
            </w:tcMar>
            <w:vAlign w:val="center"/>
          </w:tcPr>
          <w:p w14:paraId="434629A9" w14:textId="77777777" w:rsidR="001C08A5" w:rsidRDefault="00000000">
            <w:pPr>
              <w:jc w:val="center"/>
              <w:rPr>
                <w:b/>
                <w:i/>
                <w:sz w:val="22"/>
                <w:szCs w:val="22"/>
              </w:rPr>
            </w:pPr>
            <w:r>
              <w:rPr>
                <w:b/>
                <w:bCs/>
                <w:i/>
                <w:sz w:val="22"/>
                <w:szCs w:val="22"/>
              </w:rPr>
              <w:t xml:space="preserve">E 15 - C5 </w:t>
            </w:r>
            <w:r>
              <w:rPr>
                <w:b/>
                <w:i/>
                <w:sz w:val="22"/>
                <w:szCs w:val="22"/>
              </w:rPr>
              <w:t>S</w:t>
            </w:r>
            <w:r>
              <w:rPr>
                <w:b/>
                <w:bCs/>
                <w:i/>
                <w:sz w:val="22"/>
                <w:szCs w:val="22"/>
                <w:vertAlign w:val="subscript"/>
              </w:rPr>
              <w:t>a</w:t>
            </w:r>
          </w:p>
        </w:tc>
      </w:tr>
      <w:tr w:rsidR="001C08A5" w14:paraId="51BFDC7E" w14:textId="77777777">
        <w:trPr>
          <w:trHeight w:val="345"/>
        </w:trPr>
        <w:tc>
          <w:tcPr>
            <w:tcW w:w="475" w:type="pct"/>
            <w:tcMar>
              <w:top w:w="0" w:type="dxa"/>
              <w:left w:w="0" w:type="dxa"/>
              <w:bottom w:w="0" w:type="dxa"/>
              <w:right w:w="0" w:type="dxa"/>
            </w:tcMar>
            <w:vAlign w:val="center"/>
          </w:tcPr>
          <w:p w14:paraId="56344E08" w14:textId="77777777" w:rsidR="001C08A5" w:rsidRDefault="00000000">
            <w:pPr>
              <w:jc w:val="center"/>
              <w:rPr>
                <w:b/>
                <w:bCs/>
                <w:i/>
                <w:sz w:val="22"/>
                <w:szCs w:val="22"/>
              </w:rPr>
            </w:pPr>
            <w:r>
              <w:rPr>
                <w:b/>
                <w:bCs/>
                <w:i/>
                <w:sz w:val="22"/>
                <w:szCs w:val="22"/>
                <w:lang w:val="en-US" w:eastAsia="zh-CN" w:bidi="ar"/>
              </w:rPr>
              <w:t>IV</w:t>
            </w:r>
          </w:p>
        </w:tc>
        <w:tc>
          <w:tcPr>
            <w:tcW w:w="751" w:type="pct"/>
            <w:tcMar>
              <w:top w:w="0" w:type="dxa"/>
              <w:left w:w="0" w:type="dxa"/>
              <w:bottom w:w="0" w:type="dxa"/>
              <w:right w:w="0" w:type="dxa"/>
            </w:tcMar>
            <w:vAlign w:val="center"/>
          </w:tcPr>
          <w:p w14:paraId="2FA26572" w14:textId="77777777" w:rsidR="001C08A5" w:rsidRDefault="00000000">
            <w:pPr>
              <w:jc w:val="center"/>
              <w:rPr>
                <w:b/>
                <w:i/>
                <w:sz w:val="22"/>
                <w:szCs w:val="22"/>
              </w:rPr>
            </w:pPr>
            <w:r>
              <w:rPr>
                <w:b/>
                <w:i/>
                <w:sz w:val="22"/>
                <w:szCs w:val="22"/>
              </w:rPr>
              <w:t>EI/REI 30</w:t>
            </w:r>
          </w:p>
          <w:p w14:paraId="041A8668" w14:textId="77777777" w:rsidR="001C08A5" w:rsidRDefault="00000000">
            <w:pPr>
              <w:jc w:val="center"/>
              <w:rPr>
                <w:b/>
                <w:i/>
                <w:sz w:val="22"/>
                <w:szCs w:val="22"/>
              </w:rPr>
            </w:pPr>
            <w:r>
              <w:rPr>
                <w:b/>
                <w:i/>
                <w:sz w:val="22"/>
                <w:szCs w:val="22"/>
              </w:rPr>
              <w:t xml:space="preserve">min. </w:t>
            </w:r>
          </w:p>
          <w:p w14:paraId="08A2FBE8" w14:textId="77777777" w:rsidR="001C08A5" w:rsidRDefault="00000000">
            <w:pPr>
              <w:jc w:val="center"/>
              <w:rPr>
                <w:b/>
                <w:i/>
                <w:sz w:val="22"/>
                <w:szCs w:val="22"/>
              </w:rPr>
            </w:pPr>
            <w:r>
              <w:rPr>
                <w:b/>
                <w:bCs/>
                <w:i/>
                <w:sz w:val="22"/>
                <w:szCs w:val="22"/>
                <w:lang w:eastAsia="zh-CN"/>
              </w:rPr>
              <w:t>A2s1÷s3,d0÷d1; Bs1÷s3,d0÷d1</w:t>
            </w:r>
          </w:p>
        </w:tc>
        <w:tc>
          <w:tcPr>
            <w:tcW w:w="751" w:type="pct"/>
            <w:tcMar>
              <w:top w:w="0" w:type="dxa"/>
              <w:left w:w="0" w:type="dxa"/>
              <w:bottom w:w="0" w:type="dxa"/>
              <w:right w:w="0" w:type="dxa"/>
            </w:tcMar>
            <w:vAlign w:val="center"/>
          </w:tcPr>
          <w:p w14:paraId="6FA6A8A1" w14:textId="77777777" w:rsidR="001C08A5" w:rsidRDefault="00000000">
            <w:pPr>
              <w:jc w:val="center"/>
              <w:rPr>
                <w:b/>
                <w:i/>
                <w:sz w:val="22"/>
                <w:szCs w:val="22"/>
              </w:rPr>
            </w:pPr>
            <w:r>
              <w:rPr>
                <w:b/>
                <w:i/>
                <w:sz w:val="22"/>
                <w:szCs w:val="22"/>
              </w:rPr>
              <w:t xml:space="preserve">EI/REI 30 </w:t>
            </w:r>
          </w:p>
          <w:p w14:paraId="67A00EEA" w14:textId="77777777" w:rsidR="001C08A5" w:rsidRDefault="00000000">
            <w:pPr>
              <w:jc w:val="center"/>
              <w:rPr>
                <w:b/>
                <w:i/>
                <w:sz w:val="22"/>
                <w:szCs w:val="22"/>
              </w:rPr>
            </w:pPr>
            <w:r>
              <w:rPr>
                <w:b/>
                <w:i/>
                <w:sz w:val="22"/>
                <w:szCs w:val="22"/>
              </w:rPr>
              <w:t xml:space="preserve">min. </w:t>
            </w:r>
          </w:p>
          <w:p w14:paraId="02690C8A" w14:textId="77777777" w:rsidR="001C08A5" w:rsidRDefault="00000000">
            <w:pPr>
              <w:jc w:val="center"/>
              <w:rPr>
                <w:i/>
                <w:sz w:val="22"/>
                <w:szCs w:val="22"/>
              </w:rPr>
            </w:pPr>
            <w:r>
              <w:rPr>
                <w:b/>
                <w:bCs/>
                <w:i/>
                <w:sz w:val="22"/>
                <w:szCs w:val="22"/>
                <w:lang w:eastAsia="zh-CN"/>
              </w:rPr>
              <w:t>A2s1÷s3,d0÷d1; Bs1÷s3,d0÷d1</w:t>
            </w:r>
          </w:p>
        </w:tc>
        <w:tc>
          <w:tcPr>
            <w:tcW w:w="1451" w:type="dxa"/>
            <w:gridSpan w:val="2"/>
            <w:tcMar>
              <w:top w:w="0" w:type="dxa"/>
              <w:left w:w="0" w:type="dxa"/>
              <w:bottom w:w="0" w:type="dxa"/>
              <w:right w:w="0" w:type="dxa"/>
            </w:tcMar>
            <w:vAlign w:val="center"/>
          </w:tcPr>
          <w:p w14:paraId="1312C255" w14:textId="77777777" w:rsidR="001C08A5" w:rsidRDefault="00000000">
            <w:pPr>
              <w:jc w:val="center"/>
              <w:rPr>
                <w:i/>
                <w:sz w:val="22"/>
                <w:szCs w:val="22"/>
              </w:rPr>
            </w:pPr>
            <w:r>
              <w:rPr>
                <w:b/>
                <w:bCs/>
                <w:i/>
                <w:sz w:val="22"/>
                <w:szCs w:val="22"/>
              </w:rPr>
              <w:t>C5</w:t>
            </w:r>
          </w:p>
        </w:tc>
        <w:tc>
          <w:tcPr>
            <w:tcW w:w="753" w:type="pct"/>
            <w:tcMar>
              <w:top w:w="0" w:type="dxa"/>
              <w:left w:w="0" w:type="dxa"/>
              <w:bottom w:w="0" w:type="dxa"/>
              <w:right w:w="0" w:type="dxa"/>
            </w:tcMar>
            <w:vAlign w:val="center"/>
          </w:tcPr>
          <w:p w14:paraId="51B5F333" w14:textId="77777777" w:rsidR="001C08A5" w:rsidRDefault="00000000">
            <w:pPr>
              <w:jc w:val="center"/>
              <w:rPr>
                <w:i/>
                <w:sz w:val="22"/>
                <w:szCs w:val="22"/>
                <w:lang w:val="en-US" w:eastAsia="zh-CN" w:bidi="ar"/>
              </w:rPr>
            </w:pPr>
            <w:r>
              <w:rPr>
                <w:b/>
                <w:bCs/>
                <w:i/>
                <w:sz w:val="22"/>
                <w:szCs w:val="22"/>
              </w:rPr>
              <w:t>C5</w:t>
            </w:r>
          </w:p>
        </w:tc>
        <w:tc>
          <w:tcPr>
            <w:tcW w:w="752" w:type="pct"/>
            <w:tcMar>
              <w:top w:w="0" w:type="dxa"/>
              <w:left w:w="0" w:type="dxa"/>
              <w:bottom w:w="0" w:type="dxa"/>
              <w:right w:w="0" w:type="dxa"/>
            </w:tcMar>
            <w:vAlign w:val="center"/>
          </w:tcPr>
          <w:p w14:paraId="4C3FBE79" w14:textId="77777777" w:rsidR="001C08A5" w:rsidRDefault="00000000">
            <w:pPr>
              <w:jc w:val="center"/>
              <w:rPr>
                <w:b/>
                <w:i/>
                <w:sz w:val="22"/>
                <w:szCs w:val="22"/>
              </w:rPr>
            </w:pPr>
            <w:r>
              <w:rPr>
                <w:b/>
                <w:i/>
                <w:sz w:val="22"/>
                <w:szCs w:val="22"/>
              </w:rPr>
              <w:t>EI/REI 30</w:t>
            </w:r>
          </w:p>
          <w:p w14:paraId="447B04B8" w14:textId="77777777" w:rsidR="001C08A5" w:rsidRDefault="00000000">
            <w:pPr>
              <w:jc w:val="center"/>
              <w:rPr>
                <w:b/>
                <w:i/>
                <w:sz w:val="22"/>
                <w:szCs w:val="22"/>
              </w:rPr>
            </w:pPr>
            <w:r>
              <w:rPr>
                <w:b/>
                <w:i/>
                <w:sz w:val="22"/>
                <w:szCs w:val="22"/>
              </w:rPr>
              <w:t xml:space="preserve">min. </w:t>
            </w:r>
          </w:p>
          <w:p w14:paraId="3E70DBBD" w14:textId="77777777" w:rsidR="001C08A5" w:rsidRDefault="00000000">
            <w:pPr>
              <w:jc w:val="center"/>
              <w:rPr>
                <w:i/>
                <w:sz w:val="22"/>
                <w:szCs w:val="22"/>
                <w:lang w:val="en-US" w:eastAsia="zh-CN" w:bidi="ar"/>
              </w:rPr>
            </w:pPr>
            <w:r>
              <w:rPr>
                <w:b/>
                <w:bCs/>
                <w:i/>
                <w:sz w:val="22"/>
                <w:szCs w:val="22"/>
                <w:lang w:eastAsia="zh-CN"/>
              </w:rPr>
              <w:t>A2s1÷s3,d0÷d1; Bs1÷s3,d0÷d1</w:t>
            </w:r>
          </w:p>
        </w:tc>
        <w:tc>
          <w:tcPr>
            <w:tcW w:w="763" w:type="pct"/>
            <w:tcMar>
              <w:top w:w="0" w:type="dxa"/>
              <w:left w:w="0" w:type="dxa"/>
              <w:bottom w:w="0" w:type="dxa"/>
              <w:right w:w="0" w:type="dxa"/>
            </w:tcMar>
            <w:vAlign w:val="center"/>
          </w:tcPr>
          <w:p w14:paraId="0AAAB3C9" w14:textId="77777777" w:rsidR="001C08A5" w:rsidRDefault="00000000">
            <w:pPr>
              <w:jc w:val="center"/>
              <w:rPr>
                <w:b/>
                <w:bCs/>
                <w:i/>
                <w:sz w:val="22"/>
                <w:szCs w:val="22"/>
              </w:rPr>
            </w:pPr>
            <w:r>
              <w:rPr>
                <w:b/>
                <w:bCs/>
                <w:i/>
                <w:sz w:val="22"/>
                <w:szCs w:val="22"/>
              </w:rPr>
              <w:t>C5</w:t>
            </w:r>
          </w:p>
        </w:tc>
      </w:tr>
      <w:tr w:rsidR="001C08A5" w14:paraId="155C11C2" w14:textId="77777777">
        <w:trPr>
          <w:trHeight w:val="360"/>
        </w:trPr>
        <w:tc>
          <w:tcPr>
            <w:tcW w:w="475" w:type="pct"/>
            <w:tcMar>
              <w:top w:w="0" w:type="dxa"/>
              <w:left w:w="0" w:type="dxa"/>
              <w:bottom w:w="0" w:type="dxa"/>
              <w:right w:w="0" w:type="dxa"/>
            </w:tcMar>
            <w:vAlign w:val="center"/>
          </w:tcPr>
          <w:p w14:paraId="487AA9A3" w14:textId="77777777" w:rsidR="001C08A5" w:rsidRDefault="00000000">
            <w:pPr>
              <w:jc w:val="center"/>
              <w:rPr>
                <w:b/>
                <w:bCs/>
                <w:i/>
                <w:sz w:val="22"/>
                <w:szCs w:val="22"/>
              </w:rPr>
            </w:pPr>
            <w:r>
              <w:rPr>
                <w:b/>
                <w:bCs/>
                <w:i/>
                <w:sz w:val="22"/>
                <w:szCs w:val="22"/>
                <w:lang w:val="en-US" w:eastAsia="zh-CN" w:bidi="ar"/>
              </w:rPr>
              <w:t>V</w:t>
            </w:r>
          </w:p>
        </w:tc>
        <w:tc>
          <w:tcPr>
            <w:tcW w:w="751" w:type="pct"/>
            <w:tcMar>
              <w:top w:w="0" w:type="dxa"/>
              <w:left w:w="0" w:type="dxa"/>
              <w:bottom w:w="0" w:type="dxa"/>
              <w:right w:w="0" w:type="dxa"/>
            </w:tcMar>
            <w:vAlign w:val="center"/>
          </w:tcPr>
          <w:p w14:paraId="24CAA038" w14:textId="77777777" w:rsidR="001C08A5" w:rsidRDefault="00000000">
            <w:pPr>
              <w:jc w:val="center"/>
              <w:rPr>
                <w:b/>
                <w:i/>
                <w:sz w:val="22"/>
                <w:szCs w:val="22"/>
              </w:rPr>
            </w:pPr>
            <w:r>
              <w:rPr>
                <w:b/>
                <w:i/>
                <w:sz w:val="22"/>
                <w:szCs w:val="22"/>
              </w:rPr>
              <w:t>EI/REI 15</w:t>
            </w:r>
          </w:p>
          <w:p w14:paraId="0C713B32" w14:textId="77777777" w:rsidR="001C08A5" w:rsidRDefault="00000000">
            <w:pPr>
              <w:jc w:val="center"/>
              <w:rPr>
                <w:b/>
                <w:i/>
                <w:sz w:val="22"/>
                <w:szCs w:val="22"/>
              </w:rPr>
            </w:pPr>
            <w:r>
              <w:rPr>
                <w:b/>
                <w:i/>
                <w:sz w:val="22"/>
                <w:szCs w:val="22"/>
              </w:rPr>
              <w:t xml:space="preserve">min. </w:t>
            </w:r>
          </w:p>
          <w:p w14:paraId="6EF89F24" w14:textId="77777777" w:rsidR="001C08A5" w:rsidRDefault="00000000">
            <w:pPr>
              <w:jc w:val="center"/>
              <w:rPr>
                <w:b/>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751" w:type="pct"/>
            <w:tcMar>
              <w:top w:w="0" w:type="dxa"/>
              <w:left w:w="0" w:type="dxa"/>
              <w:bottom w:w="0" w:type="dxa"/>
              <w:right w:w="0" w:type="dxa"/>
            </w:tcMar>
            <w:vAlign w:val="center"/>
          </w:tcPr>
          <w:p w14:paraId="52FE07D6" w14:textId="77777777" w:rsidR="001C08A5" w:rsidRDefault="00000000">
            <w:pPr>
              <w:jc w:val="center"/>
              <w:rPr>
                <w:b/>
                <w:i/>
                <w:sz w:val="22"/>
                <w:szCs w:val="22"/>
              </w:rPr>
            </w:pPr>
            <w:r>
              <w:rPr>
                <w:b/>
                <w:i/>
                <w:sz w:val="22"/>
                <w:szCs w:val="22"/>
              </w:rPr>
              <w:t>EI/REI 15</w:t>
            </w:r>
          </w:p>
          <w:p w14:paraId="767F7BF9" w14:textId="77777777" w:rsidR="001C08A5" w:rsidRDefault="00000000">
            <w:pPr>
              <w:jc w:val="center"/>
              <w:rPr>
                <w:b/>
                <w:i/>
                <w:sz w:val="22"/>
                <w:szCs w:val="22"/>
              </w:rPr>
            </w:pPr>
            <w:r>
              <w:rPr>
                <w:b/>
                <w:i/>
                <w:sz w:val="22"/>
                <w:szCs w:val="22"/>
              </w:rPr>
              <w:t xml:space="preserve">min. </w:t>
            </w:r>
          </w:p>
          <w:p w14:paraId="13C3FA7E" w14:textId="77777777" w:rsidR="001C08A5" w:rsidRDefault="00000000">
            <w:pPr>
              <w:jc w:val="center"/>
              <w:rPr>
                <w:i/>
                <w:sz w:val="22"/>
                <w:szCs w:val="22"/>
              </w:rPr>
            </w:pPr>
            <w:r>
              <w:rPr>
                <w:b/>
                <w:i/>
                <w:sz w:val="22"/>
                <w:szCs w:val="22"/>
              </w:rPr>
              <w:t xml:space="preserve">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752" w:type="pct"/>
            <w:gridSpan w:val="2"/>
            <w:tcMar>
              <w:top w:w="0" w:type="dxa"/>
              <w:left w:w="0" w:type="dxa"/>
              <w:bottom w:w="0" w:type="dxa"/>
              <w:right w:w="0" w:type="dxa"/>
            </w:tcMar>
            <w:vAlign w:val="center"/>
          </w:tcPr>
          <w:p w14:paraId="606D7123" w14:textId="77777777" w:rsidR="001C08A5" w:rsidRDefault="00000000">
            <w:pPr>
              <w:jc w:val="center"/>
              <w:rPr>
                <w:i/>
                <w:sz w:val="22"/>
                <w:szCs w:val="22"/>
              </w:rPr>
            </w:pPr>
            <w:r>
              <w:rPr>
                <w:i/>
                <w:sz w:val="22"/>
                <w:szCs w:val="22"/>
              </w:rPr>
              <w:t>-</w:t>
            </w:r>
          </w:p>
        </w:tc>
        <w:tc>
          <w:tcPr>
            <w:tcW w:w="753" w:type="pct"/>
            <w:tcMar>
              <w:top w:w="0" w:type="dxa"/>
              <w:left w:w="0" w:type="dxa"/>
              <w:bottom w:w="0" w:type="dxa"/>
              <w:right w:w="0" w:type="dxa"/>
            </w:tcMar>
            <w:vAlign w:val="center"/>
          </w:tcPr>
          <w:p w14:paraId="619A42D9" w14:textId="77777777" w:rsidR="001C08A5" w:rsidRDefault="00000000">
            <w:pPr>
              <w:jc w:val="center"/>
              <w:rPr>
                <w:i/>
                <w:sz w:val="22"/>
                <w:szCs w:val="22"/>
                <w:lang w:val="en-US" w:eastAsia="zh-CN" w:bidi="ar"/>
              </w:rPr>
            </w:pPr>
            <w:r>
              <w:rPr>
                <w:i/>
                <w:sz w:val="22"/>
                <w:szCs w:val="22"/>
              </w:rPr>
              <w:t>-</w:t>
            </w:r>
          </w:p>
        </w:tc>
        <w:tc>
          <w:tcPr>
            <w:tcW w:w="752" w:type="pct"/>
            <w:tcMar>
              <w:top w:w="0" w:type="dxa"/>
              <w:left w:w="0" w:type="dxa"/>
              <w:bottom w:w="0" w:type="dxa"/>
              <w:right w:w="0" w:type="dxa"/>
            </w:tcMar>
            <w:vAlign w:val="center"/>
          </w:tcPr>
          <w:p w14:paraId="760377B0" w14:textId="77777777" w:rsidR="001C08A5" w:rsidRDefault="00000000">
            <w:pPr>
              <w:jc w:val="center"/>
              <w:rPr>
                <w:b/>
                <w:i/>
                <w:sz w:val="22"/>
                <w:szCs w:val="22"/>
              </w:rPr>
            </w:pPr>
            <w:r>
              <w:rPr>
                <w:b/>
                <w:i/>
                <w:sz w:val="22"/>
                <w:szCs w:val="22"/>
              </w:rPr>
              <w:t>EI/REI 15</w:t>
            </w:r>
          </w:p>
          <w:p w14:paraId="7E139A9D" w14:textId="77777777" w:rsidR="001C08A5" w:rsidRDefault="00000000">
            <w:pPr>
              <w:jc w:val="center"/>
              <w:rPr>
                <w:b/>
                <w:i/>
                <w:sz w:val="22"/>
                <w:szCs w:val="22"/>
              </w:rPr>
            </w:pPr>
            <w:r>
              <w:rPr>
                <w:b/>
                <w:i/>
                <w:sz w:val="22"/>
                <w:szCs w:val="22"/>
              </w:rPr>
              <w:t xml:space="preserve">min. </w:t>
            </w:r>
          </w:p>
          <w:p w14:paraId="511F66A8" w14:textId="77777777" w:rsidR="001C08A5" w:rsidRDefault="00000000">
            <w:pPr>
              <w:jc w:val="center"/>
              <w:rPr>
                <w:i/>
                <w:sz w:val="22"/>
                <w:szCs w:val="22"/>
                <w:lang w:eastAsia="zh-CN" w:bidi="ar"/>
              </w:rPr>
            </w:pPr>
            <w:r>
              <w:rPr>
                <w:b/>
                <w:i/>
                <w:sz w:val="22"/>
                <w:szCs w:val="22"/>
              </w:rPr>
              <w:t xml:space="preserve">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763" w:type="pct"/>
            <w:tcMar>
              <w:top w:w="0" w:type="dxa"/>
              <w:left w:w="0" w:type="dxa"/>
              <w:bottom w:w="0" w:type="dxa"/>
              <w:right w:w="0" w:type="dxa"/>
            </w:tcMar>
            <w:vAlign w:val="center"/>
          </w:tcPr>
          <w:p w14:paraId="3CB20AFB" w14:textId="77777777" w:rsidR="001C08A5" w:rsidRDefault="00000000">
            <w:pPr>
              <w:jc w:val="center"/>
              <w:rPr>
                <w:i/>
                <w:sz w:val="22"/>
                <w:szCs w:val="22"/>
                <w:lang w:eastAsia="zh-CN" w:bidi="ar"/>
              </w:rPr>
            </w:pPr>
            <w:r>
              <w:rPr>
                <w:i/>
                <w:sz w:val="22"/>
                <w:szCs w:val="22"/>
                <w:lang w:eastAsia="zh-CN" w:bidi="ar"/>
              </w:rPr>
              <w:t>-</w:t>
            </w:r>
          </w:p>
        </w:tc>
      </w:tr>
    </w:tbl>
    <w:p w14:paraId="0821F966" w14:textId="77777777" w:rsidR="001C08A5" w:rsidRDefault="001C08A5">
      <w:pPr>
        <w:shd w:val="clear" w:color="auto" w:fill="FFFFFF"/>
        <w:spacing w:after="150"/>
        <w:jc w:val="both"/>
        <w:rPr>
          <w:rFonts w:eastAsia="Calibri"/>
          <w:b/>
          <w:bCs/>
          <w:i/>
          <w:sz w:val="24"/>
          <w:szCs w:val="24"/>
          <w:shd w:val="clear" w:color="auto" w:fill="FFFFFF"/>
        </w:rPr>
      </w:pPr>
    </w:p>
    <w:p w14:paraId="1A69813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3.10.25.</w:t>
      </w:r>
      <w:r>
        <w:rPr>
          <w:rFonts w:eastAsia="Calibri"/>
          <w:i/>
          <w:sz w:val="24"/>
          <w:szCs w:val="24"/>
          <w:shd w:val="clear" w:color="auto" w:fill="FFFFFF"/>
        </w:rPr>
        <w:t xml:space="preserve"> Rampele și podestele scărilor sau ale planurilor înclinate, vor respecta condițiile de la Art. </w:t>
      </w:r>
      <w:r>
        <w:rPr>
          <w:rFonts w:eastAsia="Calibri"/>
          <w:b/>
          <w:bCs/>
          <w:i/>
          <w:sz w:val="24"/>
          <w:szCs w:val="24"/>
          <w:shd w:val="clear" w:color="auto" w:fill="FFFFFF"/>
        </w:rPr>
        <w:t>A.10.2.4.32.</w:t>
      </w:r>
      <w:r>
        <w:rPr>
          <w:rFonts w:eastAsia="Calibri"/>
          <w:i/>
          <w:sz w:val="24"/>
          <w:szCs w:val="24"/>
          <w:shd w:val="clear" w:color="auto" w:fill="FFFFFF"/>
        </w:rPr>
        <w:t xml:space="preserve"> și Art.</w:t>
      </w:r>
      <w:r>
        <w:rPr>
          <w:rFonts w:eastAsia="Calibri"/>
          <w:b/>
          <w:bCs/>
          <w:i/>
          <w:sz w:val="24"/>
          <w:szCs w:val="24"/>
          <w:shd w:val="clear" w:color="auto" w:fill="FFFFFF"/>
        </w:rPr>
        <w:t xml:space="preserve"> A.10.2.4.33.</w:t>
      </w:r>
    </w:p>
    <w:p w14:paraId="5C8E050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3.10.26.</w:t>
      </w:r>
      <w:r>
        <w:rPr>
          <w:rFonts w:eastAsia="Calibri"/>
          <w:i/>
          <w:sz w:val="24"/>
          <w:szCs w:val="24"/>
          <w:shd w:val="clear" w:color="auto" w:fill="FFFFFF"/>
        </w:rPr>
        <w:t xml:space="preserve"> Capacitatea de evacuare (C) a unui flux (F) de evacuare, este de maximum </w:t>
      </w:r>
      <w:r>
        <w:rPr>
          <w:rFonts w:eastAsia="Calibri"/>
          <w:b/>
          <w:bCs/>
          <w:i/>
          <w:sz w:val="24"/>
          <w:szCs w:val="24"/>
          <w:shd w:val="clear" w:color="auto" w:fill="FFFFFF"/>
        </w:rPr>
        <w:t>80</w:t>
      </w:r>
      <w:r>
        <w:rPr>
          <w:rFonts w:eastAsia="Calibri"/>
          <w:i/>
          <w:sz w:val="24"/>
          <w:szCs w:val="24"/>
          <w:shd w:val="clear" w:color="auto" w:fill="FFFFFF"/>
        </w:rPr>
        <w:t xml:space="preserve"> persoane, cu excepția sălilor aglomerate și a clădirilor înalte și foarte înalte la care se respectă măsurile specifice.</w:t>
      </w:r>
    </w:p>
    <w:p w14:paraId="4F648BCE"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3.10.27.</w:t>
      </w:r>
      <w:r>
        <w:rPr>
          <w:rFonts w:eastAsia="Calibri"/>
          <w:i/>
          <w:sz w:val="24"/>
          <w:szCs w:val="24"/>
          <w:shd w:val="clear" w:color="auto" w:fill="FFFFFF"/>
        </w:rPr>
        <w:t xml:space="preserve"> Lungimile maxime admise la căile de evacuare ale clădirilor administrative existente (cu excepția sălilor aglomerate și clădirilor înalte și foarte înalte)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_Ref10847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60: Lungimi de evacuare în clădiri administrative supraterane cu înălţimi obişnuite</w:t>
      </w:r>
      <w:r>
        <w:rPr>
          <w:rFonts w:eastAsia="Calibri"/>
          <w:b/>
          <w:bCs/>
          <w:i/>
          <w:iCs/>
          <w:sz w:val="24"/>
          <w:szCs w:val="24"/>
          <w:shd w:val="clear" w:color="auto" w:fill="FFFFFF"/>
        </w:rPr>
        <w:fldChar w:fldCharType="end"/>
      </w:r>
      <w:r>
        <w:rPr>
          <w:rFonts w:eastAsia="Calibri"/>
          <w:i/>
          <w:sz w:val="24"/>
          <w:szCs w:val="24"/>
          <w:shd w:val="clear" w:color="auto" w:fill="FFFFFF"/>
        </w:rPr>
        <w:t xml:space="preserve"> </w:t>
      </w:r>
      <w:r>
        <w:rPr>
          <w:rFonts w:eastAsia="Calibri"/>
          <w:b/>
          <w:i/>
          <w:sz w:val="24"/>
          <w:szCs w:val="24"/>
          <w:shd w:val="clear" w:color="auto" w:fill="FFFFFF"/>
        </w:rPr>
        <w:t>.</w:t>
      </w:r>
    </w:p>
    <w:p w14:paraId="5F542DA2" w14:textId="77777777" w:rsidR="001C08A5" w:rsidRDefault="00000000">
      <w:pPr>
        <w:pStyle w:val="Heading4"/>
        <w:rPr>
          <w:sz w:val="24"/>
          <w:szCs w:val="24"/>
        </w:rPr>
      </w:pPr>
      <w:bookmarkStart w:id="10916" w:name="_Toc18909"/>
      <w:bookmarkStart w:id="10917" w:name="_Toc162355588"/>
      <w:bookmarkStart w:id="10918" w:name="_Toc1108"/>
      <w:bookmarkStart w:id="10919" w:name="_Toc19741"/>
      <w:bookmarkStart w:id="10920" w:name="_Toc29679"/>
      <w:bookmarkStart w:id="10921" w:name="_Toc27640"/>
      <w:r>
        <w:rPr>
          <w:sz w:val="24"/>
          <w:szCs w:val="24"/>
        </w:rPr>
        <w:t>Clădiri existente pentru comerț</w:t>
      </w:r>
      <w:bookmarkEnd w:id="10916"/>
      <w:bookmarkEnd w:id="10917"/>
      <w:bookmarkEnd w:id="10918"/>
      <w:bookmarkEnd w:id="10919"/>
      <w:bookmarkEnd w:id="10920"/>
      <w:bookmarkEnd w:id="10921"/>
    </w:p>
    <w:p w14:paraId="3B678AD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3.10.28.</w:t>
      </w:r>
      <w:r>
        <w:rPr>
          <w:rFonts w:eastAsia="Calibri"/>
          <w:i/>
          <w:sz w:val="24"/>
          <w:szCs w:val="24"/>
          <w:shd w:val="clear" w:color="auto" w:fill="FFFFFF"/>
        </w:rPr>
        <w:t> Clădirile existente pentru comerț (centre comerciale, magazine, supermagazine, piețe închise, alimentație publică, prestări servicii, service auto și altele similare), în afara măsurilorcomune prevăzute, vor respecta și prevederile specifice.</w:t>
      </w:r>
    </w:p>
    <w:p w14:paraId="0E468F5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3.10.29.</w:t>
      </w:r>
      <w:r>
        <w:rPr>
          <w:rFonts w:eastAsia="Calibri"/>
          <w:i/>
          <w:sz w:val="24"/>
          <w:szCs w:val="24"/>
          <w:shd w:val="clear" w:color="auto" w:fill="FFFFFF"/>
        </w:rPr>
        <w:t xml:space="preserve"> Clădirile existente pentru comerț, independente sau înglobate în clădiri existente cu alte destinații, vor îndeplini condițiile de corelație dintre nivelul de stabilitate la incendiu, numărul de niveluri și aria compartimentului de incendiu, prevăzute la Art. </w:t>
      </w:r>
      <w:r>
        <w:rPr>
          <w:rFonts w:eastAsia="Calibri"/>
          <w:b/>
          <w:bCs/>
          <w:i/>
          <w:sz w:val="24"/>
          <w:szCs w:val="24"/>
          <w:shd w:val="clear" w:color="auto" w:fill="FFFFFF"/>
        </w:rPr>
        <w:t xml:space="preserve">A.10.3.2.4. </w:t>
      </w:r>
      <w:r>
        <w:rPr>
          <w:rFonts w:eastAsia="Calibri"/>
          <w:i/>
          <w:sz w:val="24"/>
          <w:szCs w:val="24"/>
          <w:shd w:val="clear" w:color="auto" w:fill="FFFFFF"/>
        </w:rPr>
        <w:t>și</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A.10.3.2.5.</w:t>
      </w:r>
      <w:r>
        <w:rPr>
          <w:rFonts w:eastAsia="Calibri"/>
          <w:i/>
          <w:sz w:val="24"/>
          <w:szCs w:val="24"/>
          <w:shd w:val="clear" w:color="auto" w:fill="FFFFFF"/>
        </w:rPr>
        <w:t>, iar în cazul înglobării unor spații sau încăperi comerciale în clădiri civile (publice) existente cu alte funcțiuni, se vor respecta prevederile generale ale anexei și dispozițiile specifice.</w:t>
      </w:r>
    </w:p>
    <w:p w14:paraId="43F67EC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3.10.30.</w:t>
      </w:r>
      <w:r>
        <w:rPr>
          <w:rFonts w:eastAsia="Calibri"/>
          <w:i/>
          <w:sz w:val="24"/>
          <w:szCs w:val="24"/>
          <w:shd w:val="clear" w:color="auto" w:fill="FFFFFF"/>
        </w:rPr>
        <w:t> Spațiile comerciale subterane, dispuse în clădiri existente proprii sau în subsolurile construcțiilor existente supraterane cu alte funcțiuni, vor fi proiectate și realizate conform reglementărilor tehnice specifice.</w:t>
      </w:r>
    </w:p>
    <w:p w14:paraId="626BA27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3.10.31.</w:t>
      </w:r>
      <w:r>
        <w:rPr>
          <w:rFonts w:eastAsia="Calibri"/>
          <w:i/>
          <w:sz w:val="24"/>
          <w:szCs w:val="24"/>
          <w:shd w:val="clear" w:color="auto" w:fill="FFFFFF"/>
        </w:rPr>
        <w:t xml:space="preserve"> De regulă, spatiile comerciale subterane închise cu aria mai mare de </w:t>
      </w:r>
      <w:r>
        <w:rPr>
          <w:rFonts w:eastAsia="Calibri"/>
          <w:b/>
          <w:bCs/>
          <w:i/>
          <w:sz w:val="24"/>
          <w:szCs w:val="24"/>
          <w:shd w:val="clear" w:color="auto" w:fill="FFFFFF"/>
        </w:rPr>
        <w:t>300 m</w:t>
      </w:r>
      <w:r>
        <w:rPr>
          <w:rFonts w:eastAsia="Calibri"/>
          <w:b/>
          <w:bCs/>
          <w:i/>
          <w:sz w:val="24"/>
          <w:szCs w:val="24"/>
          <w:shd w:val="clear" w:color="auto" w:fill="FFFFFF"/>
          <w:vertAlign w:val="superscript"/>
        </w:rPr>
        <w:t>2</w:t>
      </w:r>
      <w:r>
        <w:rPr>
          <w:rFonts w:eastAsia="Calibri"/>
          <w:i/>
          <w:sz w:val="24"/>
          <w:szCs w:val="24"/>
          <w:shd w:val="clear" w:color="auto" w:fill="FFFFFF"/>
        </w:rPr>
        <w:t>, vor avea asigurată evacuarea fumuiui (desfumarea) conform prevederilor normativului, inclusiv a căilor de evacuare închise aferente acestora.</w:t>
      </w:r>
    </w:p>
    <w:p w14:paraId="564586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3.10.32.</w:t>
      </w:r>
      <w:r>
        <w:rPr>
          <w:rFonts w:eastAsia="Calibri"/>
          <w:i/>
          <w:sz w:val="24"/>
          <w:szCs w:val="24"/>
          <w:shd w:val="clear" w:color="auto" w:fill="FFFFFF"/>
        </w:rPr>
        <w:t xml:space="preserve"> Depozitele de mână pentru maximum </w:t>
      </w:r>
      <w:r>
        <w:rPr>
          <w:rFonts w:eastAsia="Calibri"/>
          <w:b/>
          <w:bCs/>
          <w:i/>
          <w:sz w:val="24"/>
          <w:szCs w:val="24"/>
          <w:shd w:val="clear" w:color="auto" w:fill="FFFFFF"/>
        </w:rPr>
        <w:t>20%</w:t>
      </w:r>
      <w:r>
        <w:rPr>
          <w:rFonts w:eastAsia="Calibri"/>
          <w:i/>
          <w:sz w:val="24"/>
          <w:szCs w:val="24"/>
          <w:shd w:val="clear" w:color="auto" w:fill="FFFFFF"/>
        </w:rPr>
        <w:t xml:space="preserve"> din produsele expuse spre vânzare, aferente spațiilor comerciale, pot fi separate prin mobilier de spatiile accesibile publicului, dar nu vor avea aria mai mare de </w:t>
      </w:r>
      <w:r>
        <w:rPr>
          <w:rFonts w:eastAsia="Calibri"/>
          <w:b/>
          <w:bCs/>
          <w:i/>
          <w:sz w:val="24"/>
          <w:szCs w:val="24"/>
          <w:shd w:val="clear" w:color="auto" w:fill="FFFFFF"/>
        </w:rPr>
        <w:t>10%</w:t>
      </w:r>
      <w:r>
        <w:rPr>
          <w:rFonts w:eastAsia="Calibri"/>
          <w:i/>
          <w:sz w:val="24"/>
          <w:szCs w:val="24"/>
          <w:shd w:val="clear" w:color="auto" w:fill="FFFFFF"/>
        </w:rPr>
        <w:t xml:space="preserve"> din cea a spațiului de vânzare de pe nivel.</w:t>
      </w:r>
    </w:p>
    <w:p w14:paraId="444D737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3.10.33.</w:t>
      </w:r>
      <w:r>
        <w:rPr>
          <w:rFonts w:eastAsia="Calibri"/>
          <w:i/>
          <w:sz w:val="24"/>
          <w:szCs w:val="24"/>
          <w:shd w:val="clear" w:color="auto" w:fill="FFFFFF"/>
        </w:rPr>
        <w:t xml:space="preserve"> Depozitele de nivel ale magazinelor comerciale vor fi separate de spațiile de vânzare accesibile publicului, prin pereți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xml:space="preserve"> rezistenți la foc minimum 2 ore (</w:t>
      </w:r>
      <w:r>
        <w:rPr>
          <w:rFonts w:eastAsia="Calibri"/>
          <w:b/>
          <w:bCs/>
          <w:i/>
          <w:sz w:val="24"/>
          <w:szCs w:val="24"/>
          <w:shd w:val="clear" w:color="auto" w:fill="FFFFFF"/>
        </w:rPr>
        <w:t>EI/REI120</w:t>
      </w:r>
      <w:r>
        <w:rPr>
          <w:rFonts w:eastAsia="Calibri"/>
          <w:i/>
          <w:sz w:val="24"/>
          <w:szCs w:val="24"/>
          <w:shd w:val="clear" w:color="auto" w:fill="FFFFFF"/>
        </w:rPr>
        <w:t xml:space="preserve">) și planșee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minimum 1½ ore (</w:t>
      </w:r>
      <w:r>
        <w:rPr>
          <w:rFonts w:eastAsia="Calibri"/>
          <w:b/>
          <w:bCs/>
          <w:i/>
          <w:sz w:val="24"/>
          <w:szCs w:val="24"/>
          <w:shd w:val="clear" w:color="auto" w:fill="FFFFFF"/>
        </w:rPr>
        <w:t>REI90</w:t>
      </w:r>
      <w:r>
        <w:rPr>
          <w:rFonts w:eastAsia="Calibri"/>
          <w:i/>
          <w:sz w:val="24"/>
          <w:szCs w:val="24"/>
          <w:shd w:val="clear" w:color="auto" w:fill="FFFFFF"/>
        </w:rPr>
        <w:t>). Golurile de circulație funcțională din aceste elemente despărțitoare se protejează cu uși rezistente la foc minimum 45.de minute (</w:t>
      </w:r>
      <w:r>
        <w:rPr>
          <w:rFonts w:eastAsia="Calibri"/>
          <w:b/>
          <w:bCs/>
          <w:i/>
          <w:sz w:val="24"/>
          <w:szCs w:val="24"/>
          <w:shd w:val="clear" w:color="auto" w:fill="FFFFFF"/>
        </w:rPr>
        <w:t>EI45-C</w:t>
      </w:r>
      <w:r>
        <w:rPr>
          <w:rFonts w:eastAsia="Calibri"/>
          <w:i/>
          <w:sz w:val="24"/>
          <w:szCs w:val="24"/>
          <w:shd w:val="clear" w:color="auto" w:fill="FFFFFF"/>
        </w:rPr>
        <w:t>), prevăzute cu dispozitive de autoînchidere sau închidere automată în caz de incendiu.</w:t>
      </w:r>
    </w:p>
    <w:p w14:paraId="6A529DE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3.10.34.</w:t>
      </w:r>
      <w:r>
        <w:rPr>
          <w:rFonts w:eastAsia="Calibri"/>
          <w:i/>
          <w:sz w:val="24"/>
          <w:szCs w:val="24"/>
          <w:shd w:val="clear" w:color="auto" w:fill="FFFFFF"/>
        </w:rPr>
        <w:t xml:space="preserve"> Depozitele de nivel ale magazinelor comerciale înglobate în construcții existente cu alte destinații, se compartimentează față de restul construcției (cu altă destinație) existente cu elemente de construcție verticale și orizontale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xml:space="preserve"> având rezistența la foc corespunzătoare densității sarcinii termice, conform Art. </w:t>
      </w:r>
      <w:r>
        <w:rPr>
          <w:rFonts w:eastAsia="Calibri"/>
          <w:b/>
          <w:i/>
          <w:sz w:val="24"/>
          <w:szCs w:val="24"/>
          <w:shd w:val="clear" w:color="auto" w:fill="FFFFFF"/>
        </w:rPr>
        <w:t>A.10.</w:t>
      </w:r>
      <w:r>
        <w:rPr>
          <w:rFonts w:eastAsia="Calibri"/>
          <w:b/>
          <w:bCs/>
          <w:i/>
          <w:sz w:val="24"/>
          <w:szCs w:val="24"/>
          <w:shd w:val="clear" w:color="auto" w:fill="FFFFFF"/>
        </w:rPr>
        <w:t>2.3.2.</w:t>
      </w:r>
    </w:p>
    <w:p w14:paraId="7E80775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3.10.35.</w:t>
      </w:r>
      <w:r>
        <w:rPr>
          <w:rFonts w:eastAsia="Calibri"/>
          <w:i/>
          <w:sz w:val="24"/>
          <w:szCs w:val="24"/>
          <w:shd w:val="clear" w:color="auto" w:fill="FFFFFF"/>
        </w:rPr>
        <w:t> Depozitele principale pentru produse combustibile aferente clădirilor sau spațiilor comerciale înglobate în construcții existente cu alte destinații, se compartimentează cu elemente rezistente la foc față de restul construcției existentă, corespunzător densității sarcinii termice, și potrivit prevederilor anexei.</w:t>
      </w:r>
    </w:p>
    <w:p w14:paraId="216E347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3.10.36.</w:t>
      </w:r>
      <w:r>
        <w:rPr>
          <w:rFonts w:eastAsia="Calibri"/>
          <w:i/>
          <w:sz w:val="24"/>
          <w:szCs w:val="24"/>
          <w:shd w:val="clear" w:color="auto" w:fill="FFFFFF"/>
        </w:rPr>
        <w:t> La construcțiile existente pentru comerț, se admit scări interioare deschise între maximum trei niveluri succesive, cu condiția asigurării și a unei scări de evacuare închise. Indiferent de numărul lor, scările deschise constituie o singură cale de evacuare a persoanelor.</w:t>
      </w:r>
    </w:p>
    <w:p w14:paraId="1BDEC0F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3.10.37.</w:t>
      </w:r>
      <w:r>
        <w:rPr>
          <w:rFonts w:eastAsia="Calibri"/>
          <w:i/>
          <w:sz w:val="24"/>
          <w:szCs w:val="24"/>
          <w:shd w:val="clear" w:color="auto" w:fill="FFFFFF"/>
        </w:rPr>
        <w:t xml:space="preserve"> In funcție de nivelul de stabilitate la incendiu al clădirilor existente pentru comerț, pereții căilor de evacuare ale persoanelor (coridoare, holuri, scări închise) vor îndeplini condițiile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_Ref11037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154</w:t>
      </w:r>
      <w:r>
        <w:rPr>
          <w:rFonts w:eastAsia="Calibri"/>
          <w:b/>
          <w:bCs/>
          <w:i/>
          <w:iCs/>
          <w:sz w:val="24"/>
          <w:szCs w:val="24"/>
          <w:shd w:val="clear" w:color="auto" w:fill="FFFFFF"/>
        </w:rPr>
        <w:fldChar w:fldCharType="end"/>
      </w:r>
      <w:r>
        <w:rPr>
          <w:rFonts w:eastAsia="Calibri"/>
          <w:i/>
          <w:sz w:val="24"/>
          <w:szCs w:val="24"/>
          <w:shd w:val="clear" w:color="auto" w:fill="FFFFFF"/>
        </w:rPr>
        <w:t>. Atunci când sunt săli aglomerate sau se află în clădiri existente înalte ori foarte înalte sau sunt subterane, se vor respecta măsurile specifice acestora.</w:t>
      </w:r>
    </w:p>
    <w:p w14:paraId="4B9DD5D7" w14:textId="77777777" w:rsidR="001C08A5" w:rsidRDefault="00000000">
      <w:pPr>
        <w:pStyle w:val="Caption"/>
        <w:jc w:val="both"/>
      </w:pPr>
      <w:bookmarkStart w:id="10922" w:name="_Ref11037"/>
      <w:bookmarkStart w:id="10923" w:name="_Toc162360204"/>
      <w:r>
        <w:t xml:space="preserve">Tabelul </w:t>
      </w:r>
      <w:r>
        <w:fldChar w:fldCharType="begin"/>
      </w:r>
      <w:r>
        <w:instrText xml:space="preserve"> SEQ Tabelul \* ARABIC </w:instrText>
      </w:r>
      <w:r>
        <w:fldChar w:fldCharType="separate"/>
      </w:r>
      <w:r>
        <w:t>154</w:t>
      </w:r>
      <w:r>
        <w:fldChar w:fldCharType="end"/>
      </w:r>
      <w:bookmarkStart w:id="10924" w:name="_Toc12210"/>
      <w:bookmarkStart w:id="10925" w:name="_Toc18394"/>
      <w:bookmarkStart w:id="10926" w:name="_Toc32236"/>
      <w:bookmarkStart w:id="10927" w:name="_Toc8488"/>
      <w:bookmarkStart w:id="10928" w:name="_Toc20862"/>
      <w:bookmarkStart w:id="10929" w:name="_Toc9106"/>
      <w:bookmarkStart w:id="10930" w:name="_Toc19398"/>
      <w:bookmarkStart w:id="10931" w:name="_Toc24227"/>
      <w:bookmarkStart w:id="10932" w:name="_Toc10425"/>
      <w:bookmarkStart w:id="10933" w:name="_Toc1253"/>
      <w:bookmarkStart w:id="10934" w:name="_Toc10857"/>
      <w:bookmarkEnd w:id="10922"/>
      <w:r>
        <w:t xml:space="preserve">: </w:t>
      </w:r>
      <w:r>
        <w:rPr>
          <w:rFonts w:eastAsia="Calibri"/>
          <w:bCs/>
          <w:shd w:val="clear" w:color="auto" w:fill="FFFFFF"/>
        </w:rPr>
        <w:t>Separare a căilor comune de circulație și de evacuare la construcții existente de comerț</w:t>
      </w:r>
      <w:bookmarkEnd w:id="10923"/>
      <w:bookmarkEnd w:id="10924"/>
      <w:bookmarkEnd w:id="10925"/>
      <w:bookmarkEnd w:id="10926"/>
      <w:bookmarkEnd w:id="10927"/>
      <w:bookmarkEnd w:id="10928"/>
      <w:bookmarkEnd w:id="10929"/>
      <w:bookmarkEnd w:id="10930"/>
      <w:bookmarkEnd w:id="10931"/>
      <w:bookmarkEnd w:id="10932"/>
      <w:bookmarkEnd w:id="10933"/>
      <w:bookmarkEnd w:id="10934"/>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02"/>
        <w:gridCol w:w="1468"/>
        <w:gridCol w:w="1468"/>
        <w:gridCol w:w="1406"/>
        <w:gridCol w:w="16"/>
        <w:gridCol w:w="1440"/>
        <w:gridCol w:w="1468"/>
        <w:gridCol w:w="1459"/>
      </w:tblGrid>
      <w:tr w:rsidR="001C08A5" w14:paraId="637F8A9F" w14:textId="77777777">
        <w:trPr>
          <w:trHeight w:val="390"/>
          <w:tblHeader/>
        </w:trPr>
        <w:tc>
          <w:tcPr>
            <w:tcW w:w="475" w:type="pct"/>
            <w:vMerge w:val="restart"/>
            <w:shd w:val="clear" w:color="auto" w:fill="D7D7D7"/>
            <w:tcMar>
              <w:top w:w="0" w:type="dxa"/>
              <w:left w:w="0" w:type="dxa"/>
              <w:bottom w:w="0" w:type="dxa"/>
              <w:right w:w="0" w:type="dxa"/>
            </w:tcMar>
            <w:vAlign w:val="center"/>
          </w:tcPr>
          <w:p w14:paraId="01217A97" w14:textId="77777777" w:rsidR="001C08A5" w:rsidRDefault="00000000">
            <w:pPr>
              <w:jc w:val="center"/>
              <w:rPr>
                <w:b/>
                <w:bCs/>
                <w:i/>
                <w:sz w:val="22"/>
                <w:szCs w:val="22"/>
              </w:rPr>
            </w:pPr>
            <w:r>
              <w:rPr>
                <w:b/>
                <w:bCs/>
                <w:i/>
                <w:sz w:val="22"/>
                <w:szCs w:val="22"/>
              </w:rPr>
              <w:t>Nivel de stabilitate</w:t>
            </w:r>
          </w:p>
          <w:p w14:paraId="7C68B264" w14:textId="77777777" w:rsidR="001C08A5" w:rsidRDefault="00000000">
            <w:pPr>
              <w:jc w:val="center"/>
              <w:rPr>
                <w:b/>
                <w:bCs/>
                <w:i/>
                <w:sz w:val="22"/>
                <w:szCs w:val="22"/>
              </w:rPr>
            </w:pPr>
            <w:r>
              <w:rPr>
                <w:b/>
                <w:bCs/>
                <w:i/>
                <w:sz w:val="22"/>
                <w:szCs w:val="22"/>
              </w:rPr>
              <w:t>la incendiu</w:t>
            </w:r>
          </w:p>
        </w:tc>
        <w:tc>
          <w:tcPr>
            <w:tcW w:w="4524" w:type="pct"/>
            <w:gridSpan w:val="7"/>
            <w:shd w:val="clear" w:color="auto" w:fill="D7D7D7"/>
            <w:tcMar>
              <w:top w:w="0" w:type="dxa"/>
              <w:left w:w="0" w:type="dxa"/>
              <w:bottom w:w="0" w:type="dxa"/>
              <w:right w:w="0" w:type="dxa"/>
            </w:tcMar>
            <w:vAlign w:val="center"/>
          </w:tcPr>
          <w:p w14:paraId="5790A7BB" w14:textId="77777777" w:rsidR="001C08A5" w:rsidRDefault="00000000">
            <w:pPr>
              <w:jc w:val="center"/>
              <w:rPr>
                <w:b/>
                <w:bCs/>
                <w:i/>
                <w:sz w:val="22"/>
                <w:szCs w:val="22"/>
                <w:lang w:val="en-US" w:eastAsia="zh-CN" w:bidi="ar"/>
              </w:rPr>
            </w:pPr>
            <w:r>
              <w:rPr>
                <w:b/>
                <w:bCs/>
                <w:i/>
                <w:sz w:val="22"/>
                <w:szCs w:val="22"/>
                <w:lang w:val="en-US" w:eastAsia="zh-CN" w:bidi="ar"/>
              </w:rPr>
              <w:t>Nivele de comportare la foc admise</w:t>
            </w:r>
          </w:p>
        </w:tc>
      </w:tr>
      <w:tr w:rsidR="001C08A5" w14:paraId="26744F81" w14:textId="77777777">
        <w:trPr>
          <w:trHeight w:val="375"/>
          <w:tblHeader/>
        </w:trPr>
        <w:tc>
          <w:tcPr>
            <w:tcW w:w="475" w:type="pct"/>
            <w:vMerge/>
            <w:shd w:val="clear" w:color="auto" w:fill="D7D7D7"/>
            <w:tcMar>
              <w:top w:w="0" w:type="dxa"/>
              <w:left w:w="0" w:type="dxa"/>
              <w:bottom w:w="0" w:type="dxa"/>
              <w:right w:w="0" w:type="dxa"/>
            </w:tcMar>
            <w:vAlign w:val="center"/>
          </w:tcPr>
          <w:p w14:paraId="2EF5DFDD" w14:textId="77777777" w:rsidR="001C08A5" w:rsidRDefault="001C08A5">
            <w:pPr>
              <w:jc w:val="center"/>
              <w:rPr>
                <w:b/>
                <w:bCs/>
                <w:i/>
                <w:sz w:val="22"/>
                <w:szCs w:val="22"/>
              </w:rPr>
            </w:pPr>
          </w:p>
        </w:tc>
        <w:tc>
          <w:tcPr>
            <w:tcW w:w="751" w:type="pct"/>
            <w:vMerge w:val="restart"/>
            <w:shd w:val="clear" w:color="auto" w:fill="D7D7D7"/>
            <w:tcMar>
              <w:top w:w="0" w:type="dxa"/>
              <w:left w:w="0" w:type="dxa"/>
              <w:bottom w:w="0" w:type="dxa"/>
              <w:right w:w="0" w:type="dxa"/>
            </w:tcMar>
            <w:vAlign w:val="center"/>
          </w:tcPr>
          <w:p w14:paraId="2999DC8E" w14:textId="77777777" w:rsidR="001C08A5" w:rsidRDefault="00000000">
            <w:pPr>
              <w:jc w:val="center"/>
              <w:rPr>
                <w:b/>
                <w:bCs/>
                <w:i/>
                <w:sz w:val="22"/>
                <w:szCs w:val="22"/>
              </w:rPr>
            </w:pPr>
            <w:r>
              <w:rPr>
                <w:b/>
                <w:bCs/>
                <w:i/>
                <w:sz w:val="22"/>
                <w:szCs w:val="22"/>
                <w:lang w:val="en-US" w:eastAsia="zh-CN" w:bidi="ar"/>
              </w:rPr>
              <w:t>Pereți la coridoare</w:t>
            </w:r>
          </w:p>
        </w:tc>
        <w:tc>
          <w:tcPr>
            <w:tcW w:w="751" w:type="pct"/>
            <w:vMerge w:val="restart"/>
            <w:shd w:val="clear" w:color="auto" w:fill="D7D7D7"/>
            <w:tcMar>
              <w:top w:w="0" w:type="dxa"/>
              <w:left w:w="0" w:type="dxa"/>
              <w:bottom w:w="0" w:type="dxa"/>
              <w:right w:w="0" w:type="dxa"/>
            </w:tcMar>
            <w:vAlign w:val="center"/>
          </w:tcPr>
          <w:p w14:paraId="0EAF0111" w14:textId="77777777" w:rsidR="001C08A5" w:rsidRDefault="00000000">
            <w:pPr>
              <w:jc w:val="center"/>
              <w:rPr>
                <w:b/>
                <w:bCs/>
                <w:i/>
                <w:sz w:val="22"/>
                <w:szCs w:val="22"/>
              </w:rPr>
            </w:pPr>
            <w:r>
              <w:rPr>
                <w:b/>
                <w:bCs/>
                <w:i/>
                <w:sz w:val="22"/>
                <w:szCs w:val="22"/>
                <w:lang w:val="en-US" w:eastAsia="zh-CN" w:bidi="ar"/>
              </w:rPr>
              <w:t>Pereți la holuri</w:t>
            </w:r>
          </w:p>
        </w:tc>
        <w:tc>
          <w:tcPr>
            <w:tcW w:w="737" w:type="pct"/>
            <w:shd w:val="clear" w:color="auto" w:fill="D7D7D7"/>
            <w:tcMar>
              <w:top w:w="0" w:type="dxa"/>
              <w:left w:w="0" w:type="dxa"/>
              <w:bottom w:w="0" w:type="dxa"/>
              <w:right w:w="0" w:type="dxa"/>
            </w:tcMar>
            <w:vAlign w:val="center"/>
          </w:tcPr>
          <w:p w14:paraId="6AC8959B" w14:textId="77777777" w:rsidR="001C08A5" w:rsidRDefault="00000000">
            <w:pPr>
              <w:jc w:val="center"/>
              <w:rPr>
                <w:b/>
                <w:bCs/>
                <w:i/>
                <w:sz w:val="22"/>
                <w:szCs w:val="22"/>
              </w:rPr>
            </w:pPr>
            <w:r>
              <w:rPr>
                <w:b/>
                <w:bCs/>
                <w:i/>
                <w:sz w:val="22"/>
                <w:szCs w:val="22"/>
              </w:rPr>
              <w:t xml:space="preserve">Uși </w:t>
            </w:r>
            <w:r>
              <w:rPr>
                <w:b/>
                <w:bCs/>
                <w:i/>
                <w:sz w:val="22"/>
                <w:szCs w:val="22"/>
                <w:lang w:val="en-US" w:eastAsia="zh-CN" w:bidi="ar"/>
              </w:rPr>
              <w:t>la</w:t>
            </w:r>
            <w:r>
              <w:rPr>
                <w:b/>
                <w:bCs/>
                <w:i/>
                <w:sz w:val="22"/>
                <w:szCs w:val="22"/>
                <w:lang w:eastAsia="zh-CN" w:bidi="ar"/>
              </w:rPr>
              <w:t xml:space="preserve"> </w:t>
            </w:r>
            <w:r>
              <w:rPr>
                <w:b/>
                <w:bCs/>
                <w:i/>
                <w:sz w:val="22"/>
                <w:szCs w:val="22"/>
                <w:lang w:val="en-US" w:eastAsia="zh-CN" w:bidi="ar"/>
              </w:rPr>
              <w:t>coridoare</w:t>
            </w:r>
            <w:r>
              <w:rPr>
                <w:b/>
                <w:bCs/>
                <w:i/>
                <w:sz w:val="22"/>
                <w:szCs w:val="22"/>
                <w:lang w:eastAsia="zh-CN" w:bidi="ar"/>
              </w:rPr>
              <w:t xml:space="preserve"> </w:t>
            </w:r>
          </w:p>
        </w:tc>
        <w:tc>
          <w:tcPr>
            <w:tcW w:w="768" w:type="pct"/>
            <w:gridSpan w:val="2"/>
            <w:shd w:val="clear" w:color="auto" w:fill="D7D7D7"/>
            <w:tcMar>
              <w:top w:w="0" w:type="dxa"/>
              <w:left w:w="0" w:type="dxa"/>
              <w:bottom w:w="0" w:type="dxa"/>
              <w:right w:w="0" w:type="dxa"/>
            </w:tcMar>
            <w:vAlign w:val="center"/>
          </w:tcPr>
          <w:p w14:paraId="2C20507F" w14:textId="77777777" w:rsidR="001C08A5" w:rsidRDefault="00000000">
            <w:pPr>
              <w:jc w:val="center"/>
              <w:rPr>
                <w:b/>
                <w:bCs/>
                <w:i/>
                <w:sz w:val="22"/>
                <w:szCs w:val="22"/>
                <w:lang w:eastAsia="zh-CN" w:bidi="ar"/>
              </w:rPr>
            </w:pPr>
            <w:r>
              <w:rPr>
                <w:b/>
                <w:bCs/>
                <w:i/>
                <w:sz w:val="22"/>
                <w:szCs w:val="22"/>
              </w:rPr>
              <w:t xml:space="preserve">Uși </w:t>
            </w:r>
            <w:r>
              <w:rPr>
                <w:b/>
                <w:bCs/>
                <w:i/>
                <w:sz w:val="22"/>
                <w:szCs w:val="22"/>
                <w:lang w:val="en-US" w:eastAsia="zh-CN" w:bidi="ar"/>
              </w:rPr>
              <w:t>la holuri</w:t>
            </w:r>
            <w:r>
              <w:rPr>
                <w:b/>
                <w:bCs/>
                <w:i/>
                <w:sz w:val="22"/>
                <w:szCs w:val="22"/>
                <w:lang w:eastAsia="zh-CN" w:bidi="ar"/>
              </w:rPr>
              <w:t xml:space="preserve"> </w:t>
            </w:r>
          </w:p>
        </w:tc>
        <w:tc>
          <w:tcPr>
            <w:tcW w:w="752" w:type="pct"/>
            <w:vMerge w:val="restart"/>
            <w:shd w:val="clear" w:color="auto" w:fill="D7D7D7"/>
            <w:tcMar>
              <w:top w:w="0" w:type="dxa"/>
              <w:left w:w="0" w:type="dxa"/>
              <w:bottom w:w="0" w:type="dxa"/>
              <w:right w:w="0" w:type="dxa"/>
            </w:tcMar>
            <w:vAlign w:val="center"/>
          </w:tcPr>
          <w:p w14:paraId="6EBCF545" w14:textId="77777777" w:rsidR="001C08A5" w:rsidRDefault="00000000">
            <w:pPr>
              <w:jc w:val="center"/>
              <w:rPr>
                <w:b/>
                <w:bCs/>
                <w:i/>
                <w:sz w:val="22"/>
                <w:szCs w:val="22"/>
                <w:lang w:eastAsia="zh-CN" w:bidi="ar"/>
              </w:rPr>
            </w:pPr>
            <w:r>
              <w:rPr>
                <w:b/>
                <w:bCs/>
                <w:i/>
                <w:sz w:val="22"/>
                <w:szCs w:val="22"/>
                <w:lang w:val="en-US" w:eastAsia="zh-CN" w:bidi="ar"/>
              </w:rPr>
              <w:t xml:space="preserve">Pereți la case de </w:t>
            </w:r>
            <w:proofErr w:type="gramStart"/>
            <w:r>
              <w:rPr>
                <w:b/>
                <w:bCs/>
                <w:i/>
                <w:sz w:val="22"/>
                <w:szCs w:val="22"/>
                <w:lang w:val="en-US" w:eastAsia="zh-CN" w:bidi="ar"/>
              </w:rPr>
              <w:t>scări</w:t>
            </w:r>
            <w:r>
              <w:rPr>
                <w:b/>
                <w:bCs/>
                <w:i/>
                <w:sz w:val="22"/>
                <w:szCs w:val="22"/>
                <w:lang w:eastAsia="zh-CN" w:bidi="ar"/>
              </w:rPr>
              <w:t xml:space="preserve">  închise</w:t>
            </w:r>
            <w:proofErr w:type="gramEnd"/>
          </w:p>
        </w:tc>
        <w:tc>
          <w:tcPr>
            <w:tcW w:w="763" w:type="pct"/>
            <w:vMerge w:val="restart"/>
            <w:shd w:val="clear" w:color="auto" w:fill="D7D7D7"/>
            <w:tcMar>
              <w:top w:w="0" w:type="dxa"/>
              <w:left w:w="0" w:type="dxa"/>
              <w:bottom w:w="0" w:type="dxa"/>
              <w:right w:w="0" w:type="dxa"/>
            </w:tcMar>
            <w:vAlign w:val="center"/>
          </w:tcPr>
          <w:p w14:paraId="621A4FCD" w14:textId="77777777" w:rsidR="001C08A5" w:rsidRDefault="00000000">
            <w:pPr>
              <w:jc w:val="center"/>
              <w:rPr>
                <w:b/>
                <w:bCs/>
                <w:i/>
                <w:sz w:val="22"/>
                <w:szCs w:val="22"/>
                <w:lang w:eastAsia="zh-CN" w:bidi="ar"/>
              </w:rPr>
            </w:pPr>
            <w:r>
              <w:rPr>
                <w:b/>
                <w:bCs/>
                <w:i/>
                <w:sz w:val="22"/>
                <w:szCs w:val="22"/>
                <w:lang w:eastAsia="zh-CN" w:bidi="ar"/>
              </w:rPr>
              <w:t xml:space="preserve">Uși </w:t>
            </w:r>
            <w:r>
              <w:rPr>
                <w:b/>
                <w:bCs/>
                <w:i/>
                <w:sz w:val="22"/>
                <w:szCs w:val="22"/>
                <w:lang w:val="en-US" w:eastAsia="zh-CN" w:bidi="ar"/>
              </w:rPr>
              <w:t>la case de scări</w:t>
            </w:r>
            <w:r>
              <w:rPr>
                <w:b/>
                <w:bCs/>
                <w:i/>
                <w:sz w:val="22"/>
                <w:szCs w:val="22"/>
                <w:lang w:eastAsia="zh-CN" w:bidi="ar"/>
              </w:rPr>
              <w:t xml:space="preserve">   închise </w:t>
            </w:r>
          </w:p>
        </w:tc>
      </w:tr>
      <w:tr w:rsidR="001C08A5" w14:paraId="3B316A83" w14:textId="77777777">
        <w:trPr>
          <w:trHeight w:val="375"/>
          <w:tblHeader/>
        </w:trPr>
        <w:tc>
          <w:tcPr>
            <w:tcW w:w="475" w:type="pct"/>
            <w:vMerge/>
            <w:shd w:val="clear" w:color="auto" w:fill="D7D7D7"/>
            <w:tcMar>
              <w:top w:w="0" w:type="dxa"/>
              <w:left w:w="0" w:type="dxa"/>
              <w:bottom w:w="0" w:type="dxa"/>
              <w:right w:w="0" w:type="dxa"/>
            </w:tcMar>
            <w:vAlign w:val="center"/>
          </w:tcPr>
          <w:p w14:paraId="571ACE25" w14:textId="77777777" w:rsidR="001C08A5" w:rsidRDefault="001C08A5">
            <w:pPr>
              <w:jc w:val="center"/>
              <w:rPr>
                <w:b/>
                <w:bCs/>
                <w:i/>
                <w:sz w:val="22"/>
                <w:szCs w:val="22"/>
              </w:rPr>
            </w:pPr>
          </w:p>
        </w:tc>
        <w:tc>
          <w:tcPr>
            <w:tcW w:w="751" w:type="pct"/>
            <w:vMerge/>
            <w:shd w:val="clear" w:color="auto" w:fill="D7D7D7"/>
            <w:tcMar>
              <w:top w:w="0" w:type="dxa"/>
              <w:left w:w="0" w:type="dxa"/>
              <w:bottom w:w="0" w:type="dxa"/>
              <w:right w:w="0" w:type="dxa"/>
            </w:tcMar>
            <w:vAlign w:val="center"/>
          </w:tcPr>
          <w:p w14:paraId="3A6349D1" w14:textId="77777777" w:rsidR="001C08A5" w:rsidRDefault="001C08A5">
            <w:pPr>
              <w:jc w:val="center"/>
              <w:rPr>
                <w:b/>
                <w:bCs/>
                <w:i/>
                <w:sz w:val="22"/>
                <w:szCs w:val="22"/>
                <w:lang w:val="en-US" w:eastAsia="zh-CN" w:bidi="ar"/>
              </w:rPr>
            </w:pPr>
          </w:p>
        </w:tc>
        <w:tc>
          <w:tcPr>
            <w:tcW w:w="751" w:type="pct"/>
            <w:vMerge/>
            <w:shd w:val="clear" w:color="auto" w:fill="D7D7D7"/>
            <w:tcMar>
              <w:top w:w="0" w:type="dxa"/>
              <w:left w:w="0" w:type="dxa"/>
              <w:bottom w:w="0" w:type="dxa"/>
              <w:right w:w="0" w:type="dxa"/>
            </w:tcMar>
            <w:vAlign w:val="center"/>
          </w:tcPr>
          <w:p w14:paraId="0E13B1BE" w14:textId="77777777" w:rsidR="001C08A5" w:rsidRDefault="001C08A5">
            <w:pPr>
              <w:jc w:val="center"/>
              <w:rPr>
                <w:b/>
                <w:bCs/>
                <w:i/>
                <w:sz w:val="22"/>
                <w:szCs w:val="22"/>
                <w:lang w:val="en-US" w:eastAsia="zh-CN" w:bidi="ar"/>
              </w:rPr>
            </w:pPr>
          </w:p>
        </w:tc>
        <w:tc>
          <w:tcPr>
            <w:tcW w:w="1506" w:type="pct"/>
            <w:gridSpan w:val="3"/>
            <w:shd w:val="clear" w:color="auto" w:fill="D7D7D7"/>
            <w:tcMar>
              <w:top w:w="0" w:type="dxa"/>
              <w:left w:w="0" w:type="dxa"/>
              <w:bottom w:w="0" w:type="dxa"/>
              <w:right w:w="0" w:type="dxa"/>
            </w:tcMar>
            <w:vAlign w:val="center"/>
          </w:tcPr>
          <w:p w14:paraId="24967F32" w14:textId="77777777" w:rsidR="001C08A5" w:rsidRDefault="00000000">
            <w:pPr>
              <w:jc w:val="center"/>
              <w:rPr>
                <w:b/>
                <w:bCs/>
                <w:i/>
                <w:sz w:val="22"/>
                <w:szCs w:val="22"/>
                <w:lang w:eastAsia="zh-CN" w:bidi="ar"/>
              </w:rPr>
            </w:pPr>
            <w:r>
              <w:rPr>
                <w:i/>
                <w:sz w:val="22"/>
                <w:szCs w:val="22"/>
              </w:rPr>
              <w:t>(cu excepţia celor către case de scări închise)</w:t>
            </w:r>
          </w:p>
        </w:tc>
        <w:tc>
          <w:tcPr>
            <w:tcW w:w="752" w:type="pct"/>
            <w:vMerge/>
            <w:shd w:val="clear" w:color="auto" w:fill="D7D7D7"/>
            <w:tcMar>
              <w:top w:w="0" w:type="dxa"/>
              <w:left w:w="0" w:type="dxa"/>
              <w:bottom w:w="0" w:type="dxa"/>
              <w:right w:w="0" w:type="dxa"/>
            </w:tcMar>
            <w:vAlign w:val="center"/>
          </w:tcPr>
          <w:p w14:paraId="3C9A6B58" w14:textId="77777777" w:rsidR="001C08A5" w:rsidRDefault="001C08A5">
            <w:pPr>
              <w:jc w:val="center"/>
              <w:rPr>
                <w:b/>
                <w:bCs/>
                <w:i/>
                <w:sz w:val="22"/>
                <w:szCs w:val="22"/>
                <w:lang w:val="en-US" w:eastAsia="zh-CN" w:bidi="ar"/>
              </w:rPr>
            </w:pPr>
          </w:p>
        </w:tc>
        <w:tc>
          <w:tcPr>
            <w:tcW w:w="763" w:type="pct"/>
            <w:vMerge/>
            <w:shd w:val="clear" w:color="auto" w:fill="D7D7D7"/>
            <w:tcMar>
              <w:top w:w="0" w:type="dxa"/>
              <w:left w:w="0" w:type="dxa"/>
              <w:bottom w:w="0" w:type="dxa"/>
              <w:right w:w="0" w:type="dxa"/>
            </w:tcMar>
            <w:vAlign w:val="center"/>
          </w:tcPr>
          <w:p w14:paraId="0B14E211" w14:textId="77777777" w:rsidR="001C08A5" w:rsidRDefault="001C08A5">
            <w:pPr>
              <w:jc w:val="center"/>
              <w:rPr>
                <w:b/>
                <w:bCs/>
                <w:i/>
                <w:sz w:val="22"/>
                <w:szCs w:val="22"/>
                <w:lang w:eastAsia="zh-CN" w:bidi="ar"/>
              </w:rPr>
            </w:pPr>
          </w:p>
        </w:tc>
      </w:tr>
      <w:tr w:rsidR="001C08A5" w14:paraId="513E4178" w14:textId="77777777">
        <w:trPr>
          <w:trHeight w:val="345"/>
        </w:trPr>
        <w:tc>
          <w:tcPr>
            <w:tcW w:w="475" w:type="pct"/>
            <w:tcMar>
              <w:top w:w="0" w:type="dxa"/>
              <w:left w:w="0" w:type="dxa"/>
              <w:bottom w:w="0" w:type="dxa"/>
              <w:right w:w="0" w:type="dxa"/>
            </w:tcMar>
            <w:vAlign w:val="center"/>
          </w:tcPr>
          <w:p w14:paraId="71CFF03D" w14:textId="77777777" w:rsidR="001C08A5" w:rsidRDefault="00000000">
            <w:pPr>
              <w:jc w:val="center"/>
              <w:rPr>
                <w:b/>
                <w:bCs/>
                <w:i/>
                <w:sz w:val="22"/>
                <w:szCs w:val="22"/>
              </w:rPr>
            </w:pPr>
            <w:r>
              <w:rPr>
                <w:b/>
                <w:bCs/>
                <w:i/>
                <w:sz w:val="22"/>
                <w:szCs w:val="22"/>
                <w:lang w:val="en-US" w:eastAsia="zh-CN" w:bidi="ar"/>
              </w:rPr>
              <w:t>I</w:t>
            </w:r>
          </w:p>
        </w:tc>
        <w:tc>
          <w:tcPr>
            <w:tcW w:w="751" w:type="pct"/>
            <w:tcMar>
              <w:top w:w="0" w:type="dxa"/>
              <w:left w:w="0" w:type="dxa"/>
              <w:bottom w:w="0" w:type="dxa"/>
              <w:right w:w="0" w:type="dxa"/>
            </w:tcMar>
            <w:vAlign w:val="center"/>
          </w:tcPr>
          <w:p w14:paraId="51404D65" w14:textId="77777777" w:rsidR="001C08A5" w:rsidRDefault="00000000">
            <w:pPr>
              <w:jc w:val="center"/>
              <w:rPr>
                <w:b/>
                <w:i/>
                <w:sz w:val="22"/>
                <w:szCs w:val="22"/>
              </w:rPr>
            </w:pPr>
            <w:r>
              <w:rPr>
                <w:b/>
                <w:i/>
                <w:sz w:val="22"/>
                <w:szCs w:val="22"/>
              </w:rPr>
              <w:t>EI/REI 90</w:t>
            </w:r>
          </w:p>
          <w:p w14:paraId="2AE5F1A3" w14:textId="77777777" w:rsidR="001C08A5" w:rsidRDefault="00000000">
            <w:pPr>
              <w:jc w:val="center"/>
              <w:rPr>
                <w:b/>
                <w:i/>
                <w:sz w:val="22"/>
                <w:szCs w:val="22"/>
              </w:rPr>
            </w:pPr>
            <w:r>
              <w:rPr>
                <w:b/>
                <w:bCs/>
                <w:i/>
                <w:sz w:val="22"/>
                <w:szCs w:val="22"/>
                <w:lang w:val="en-GB"/>
              </w:rPr>
              <w:t>A1, A2s1d0</w:t>
            </w:r>
          </w:p>
        </w:tc>
        <w:tc>
          <w:tcPr>
            <w:tcW w:w="751" w:type="pct"/>
            <w:tcMar>
              <w:top w:w="0" w:type="dxa"/>
              <w:left w:w="0" w:type="dxa"/>
              <w:bottom w:w="0" w:type="dxa"/>
              <w:right w:w="0" w:type="dxa"/>
            </w:tcMar>
            <w:vAlign w:val="center"/>
          </w:tcPr>
          <w:p w14:paraId="5273BACD" w14:textId="77777777" w:rsidR="001C08A5" w:rsidRDefault="00000000">
            <w:pPr>
              <w:jc w:val="center"/>
              <w:rPr>
                <w:b/>
                <w:i/>
                <w:sz w:val="22"/>
                <w:szCs w:val="22"/>
              </w:rPr>
            </w:pPr>
            <w:r>
              <w:rPr>
                <w:b/>
                <w:i/>
                <w:sz w:val="22"/>
                <w:szCs w:val="22"/>
              </w:rPr>
              <w:t>EI/REI 90</w:t>
            </w:r>
          </w:p>
          <w:p w14:paraId="3CD23A57" w14:textId="77777777" w:rsidR="001C08A5" w:rsidRDefault="00000000">
            <w:pPr>
              <w:jc w:val="center"/>
              <w:rPr>
                <w:i/>
                <w:sz w:val="22"/>
                <w:szCs w:val="22"/>
              </w:rPr>
            </w:pPr>
            <w:r>
              <w:rPr>
                <w:b/>
                <w:bCs/>
                <w:i/>
                <w:sz w:val="22"/>
                <w:szCs w:val="22"/>
                <w:lang w:val="en-GB"/>
              </w:rPr>
              <w:t>A1, A2s1d0</w:t>
            </w:r>
          </w:p>
        </w:tc>
        <w:tc>
          <w:tcPr>
            <w:tcW w:w="1451" w:type="dxa"/>
            <w:gridSpan w:val="2"/>
            <w:tcMar>
              <w:top w:w="0" w:type="dxa"/>
              <w:left w:w="0" w:type="dxa"/>
              <w:bottom w:w="0" w:type="dxa"/>
              <w:right w:w="0" w:type="dxa"/>
            </w:tcMar>
            <w:vAlign w:val="center"/>
          </w:tcPr>
          <w:p w14:paraId="6814FCB6" w14:textId="77777777" w:rsidR="001C08A5" w:rsidRDefault="00000000">
            <w:pPr>
              <w:jc w:val="center"/>
              <w:rPr>
                <w:i/>
                <w:sz w:val="22"/>
                <w:szCs w:val="22"/>
              </w:rPr>
            </w:pPr>
            <w:r>
              <w:rPr>
                <w:b/>
                <w:bCs/>
                <w:i/>
                <w:sz w:val="22"/>
                <w:szCs w:val="22"/>
              </w:rPr>
              <w:t>E 30 - C5 Sa</w:t>
            </w:r>
          </w:p>
        </w:tc>
        <w:tc>
          <w:tcPr>
            <w:tcW w:w="1455" w:type="dxa"/>
            <w:tcMar>
              <w:top w:w="0" w:type="dxa"/>
              <w:left w:w="0" w:type="dxa"/>
              <w:bottom w:w="0" w:type="dxa"/>
              <w:right w:w="0" w:type="dxa"/>
            </w:tcMar>
            <w:vAlign w:val="center"/>
          </w:tcPr>
          <w:p w14:paraId="082FBB8C" w14:textId="77777777" w:rsidR="001C08A5" w:rsidRDefault="00000000">
            <w:pPr>
              <w:jc w:val="center"/>
              <w:rPr>
                <w:b/>
                <w:i/>
                <w:sz w:val="22"/>
                <w:szCs w:val="22"/>
              </w:rPr>
            </w:pPr>
            <w:r>
              <w:rPr>
                <w:b/>
                <w:bCs/>
                <w:i/>
                <w:sz w:val="22"/>
                <w:szCs w:val="22"/>
              </w:rPr>
              <w:t>E 45 - C5 Sa</w:t>
            </w:r>
          </w:p>
        </w:tc>
        <w:tc>
          <w:tcPr>
            <w:tcW w:w="752" w:type="pct"/>
            <w:tcMar>
              <w:top w:w="0" w:type="dxa"/>
              <w:left w:w="0" w:type="dxa"/>
              <w:bottom w:w="0" w:type="dxa"/>
              <w:right w:w="0" w:type="dxa"/>
            </w:tcMar>
            <w:vAlign w:val="center"/>
          </w:tcPr>
          <w:p w14:paraId="2A3A8CC7" w14:textId="77777777" w:rsidR="001C08A5" w:rsidRDefault="00000000">
            <w:pPr>
              <w:jc w:val="center"/>
              <w:rPr>
                <w:b/>
                <w:i/>
                <w:sz w:val="22"/>
                <w:szCs w:val="22"/>
              </w:rPr>
            </w:pPr>
            <w:r>
              <w:rPr>
                <w:b/>
                <w:i/>
                <w:sz w:val="22"/>
                <w:szCs w:val="22"/>
              </w:rPr>
              <w:t>EI/REI 180</w:t>
            </w:r>
          </w:p>
          <w:p w14:paraId="23377A7F" w14:textId="77777777" w:rsidR="001C08A5" w:rsidRDefault="00000000">
            <w:pPr>
              <w:jc w:val="center"/>
              <w:rPr>
                <w:b/>
                <w:i/>
                <w:sz w:val="22"/>
                <w:szCs w:val="22"/>
              </w:rPr>
            </w:pPr>
            <w:r>
              <w:rPr>
                <w:b/>
                <w:bCs/>
                <w:i/>
                <w:sz w:val="22"/>
                <w:szCs w:val="22"/>
                <w:lang w:val="en-GB"/>
              </w:rPr>
              <w:t>A1, A2s1d0</w:t>
            </w:r>
          </w:p>
        </w:tc>
        <w:tc>
          <w:tcPr>
            <w:tcW w:w="763" w:type="pct"/>
            <w:tcMar>
              <w:top w:w="0" w:type="dxa"/>
              <w:left w:w="0" w:type="dxa"/>
              <w:bottom w:w="0" w:type="dxa"/>
              <w:right w:w="0" w:type="dxa"/>
            </w:tcMar>
            <w:vAlign w:val="center"/>
          </w:tcPr>
          <w:p w14:paraId="22632990" w14:textId="77777777" w:rsidR="001C08A5" w:rsidRDefault="00000000">
            <w:pPr>
              <w:jc w:val="center"/>
              <w:rPr>
                <w:b/>
                <w:bCs/>
                <w:i/>
                <w:sz w:val="22"/>
                <w:szCs w:val="22"/>
              </w:rPr>
            </w:pPr>
            <w:r>
              <w:rPr>
                <w:b/>
                <w:bCs/>
                <w:i/>
                <w:sz w:val="22"/>
                <w:szCs w:val="22"/>
              </w:rPr>
              <w:t xml:space="preserve">E 60 - C5 </w:t>
            </w:r>
            <w:r>
              <w:rPr>
                <w:b/>
                <w:i/>
                <w:sz w:val="22"/>
                <w:szCs w:val="22"/>
              </w:rPr>
              <w:t>S</w:t>
            </w:r>
            <w:r>
              <w:rPr>
                <w:b/>
                <w:bCs/>
                <w:i/>
                <w:sz w:val="22"/>
                <w:szCs w:val="22"/>
                <w:vertAlign w:val="subscript"/>
                <w:lang w:val="en-GB"/>
              </w:rPr>
              <w:t>200</w:t>
            </w:r>
          </w:p>
        </w:tc>
      </w:tr>
      <w:tr w:rsidR="001C08A5" w14:paraId="3267166B" w14:textId="77777777">
        <w:trPr>
          <w:trHeight w:val="345"/>
        </w:trPr>
        <w:tc>
          <w:tcPr>
            <w:tcW w:w="475" w:type="pct"/>
            <w:tcMar>
              <w:top w:w="0" w:type="dxa"/>
              <w:left w:w="0" w:type="dxa"/>
              <w:bottom w:w="0" w:type="dxa"/>
              <w:right w:w="0" w:type="dxa"/>
            </w:tcMar>
            <w:vAlign w:val="center"/>
          </w:tcPr>
          <w:p w14:paraId="5C626F5C" w14:textId="77777777" w:rsidR="001C08A5" w:rsidRDefault="00000000">
            <w:pPr>
              <w:jc w:val="center"/>
              <w:rPr>
                <w:b/>
                <w:bCs/>
                <w:i/>
                <w:sz w:val="22"/>
                <w:szCs w:val="22"/>
              </w:rPr>
            </w:pPr>
            <w:r>
              <w:rPr>
                <w:b/>
                <w:bCs/>
                <w:i/>
                <w:sz w:val="22"/>
                <w:szCs w:val="22"/>
                <w:lang w:val="en-US" w:eastAsia="zh-CN" w:bidi="ar"/>
              </w:rPr>
              <w:t>II</w:t>
            </w:r>
          </w:p>
        </w:tc>
        <w:tc>
          <w:tcPr>
            <w:tcW w:w="751" w:type="pct"/>
            <w:tcMar>
              <w:top w:w="0" w:type="dxa"/>
              <w:left w:w="0" w:type="dxa"/>
              <w:bottom w:w="0" w:type="dxa"/>
              <w:right w:w="0" w:type="dxa"/>
            </w:tcMar>
            <w:vAlign w:val="center"/>
          </w:tcPr>
          <w:p w14:paraId="4757034C" w14:textId="77777777" w:rsidR="001C08A5" w:rsidRDefault="00000000">
            <w:pPr>
              <w:jc w:val="center"/>
              <w:rPr>
                <w:b/>
                <w:i/>
                <w:sz w:val="22"/>
                <w:szCs w:val="22"/>
              </w:rPr>
            </w:pPr>
            <w:r>
              <w:rPr>
                <w:b/>
                <w:i/>
                <w:sz w:val="22"/>
                <w:szCs w:val="22"/>
              </w:rPr>
              <w:t>EI/REI 60</w:t>
            </w:r>
          </w:p>
          <w:p w14:paraId="70266382" w14:textId="77777777" w:rsidR="001C08A5" w:rsidRDefault="00000000">
            <w:pPr>
              <w:jc w:val="center"/>
              <w:rPr>
                <w:b/>
                <w:i/>
                <w:sz w:val="22"/>
                <w:szCs w:val="22"/>
              </w:rPr>
            </w:pPr>
            <w:r>
              <w:rPr>
                <w:b/>
                <w:bCs/>
                <w:i/>
                <w:sz w:val="22"/>
                <w:szCs w:val="22"/>
                <w:lang w:val="en-GB"/>
              </w:rPr>
              <w:t>A1, A2s1d0</w:t>
            </w:r>
          </w:p>
        </w:tc>
        <w:tc>
          <w:tcPr>
            <w:tcW w:w="751" w:type="pct"/>
            <w:tcMar>
              <w:top w:w="0" w:type="dxa"/>
              <w:left w:w="0" w:type="dxa"/>
              <w:bottom w:w="0" w:type="dxa"/>
              <w:right w:w="0" w:type="dxa"/>
            </w:tcMar>
            <w:vAlign w:val="center"/>
          </w:tcPr>
          <w:p w14:paraId="0BC45775" w14:textId="77777777" w:rsidR="001C08A5" w:rsidRDefault="00000000">
            <w:pPr>
              <w:jc w:val="center"/>
              <w:rPr>
                <w:b/>
                <w:i/>
                <w:sz w:val="22"/>
                <w:szCs w:val="22"/>
              </w:rPr>
            </w:pPr>
            <w:r>
              <w:rPr>
                <w:b/>
                <w:i/>
                <w:sz w:val="22"/>
                <w:szCs w:val="22"/>
              </w:rPr>
              <w:t>EI/REI 90</w:t>
            </w:r>
          </w:p>
          <w:p w14:paraId="065BE645" w14:textId="77777777" w:rsidR="001C08A5" w:rsidRDefault="00000000">
            <w:pPr>
              <w:jc w:val="center"/>
              <w:rPr>
                <w:i/>
                <w:sz w:val="22"/>
                <w:szCs w:val="22"/>
              </w:rPr>
            </w:pPr>
            <w:r>
              <w:rPr>
                <w:b/>
                <w:bCs/>
                <w:i/>
                <w:sz w:val="22"/>
                <w:szCs w:val="22"/>
                <w:lang w:val="en-GB"/>
              </w:rPr>
              <w:t>A1, A2s1d0</w:t>
            </w:r>
          </w:p>
        </w:tc>
        <w:tc>
          <w:tcPr>
            <w:tcW w:w="1451" w:type="dxa"/>
            <w:gridSpan w:val="2"/>
            <w:tcMar>
              <w:top w:w="0" w:type="dxa"/>
              <w:left w:w="0" w:type="dxa"/>
              <w:bottom w:w="0" w:type="dxa"/>
              <w:right w:w="0" w:type="dxa"/>
            </w:tcMar>
            <w:vAlign w:val="center"/>
          </w:tcPr>
          <w:p w14:paraId="0E9D927A" w14:textId="77777777" w:rsidR="001C08A5" w:rsidRDefault="00000000">
            <w:pPr>
              <w:jc w:val="center"/>
              <w:rPr>
                <w:i/>
                <w:sz w:val="22"/>
                <w:szCs w:val="22"/>
              </w:rPr>
            </w:pPr>
            <w:r>
              <w:rPr>
                <w:b/>
                <w:bCs/>
                <w:i/>
                <w:sz w:val="22"/>
                <w:szCs w:val="22"/>
              </w:rPr>
              <w:t>E 15 - C5 S</w:t>
            </w:r>
            <w:r>
              <w:rPr>
                <w:b/>
                <w:bCs/>
                <w:i/>
                <w:sz w:val="22"/>
                <w:szCs w:val="22"/>
                <w:lang w:val="en-GB"/>
              </w:rPr>
              <w:t>a</w:t>
            </w:r>
            <w:r>
              <w:rPr>
                <w:b/>
                <w:bCs/>
                <w:i/>
                <w:sz w:val="22"/>
                <w:szCs w:val="22"/>
              </w:rPr>
              <w:t xml:space="preserve"> </w:t>
            </w:r>
            <w:r>
              <w:rPr>
                <w:b/>
                <w:bCs/>
                <w:i/>
              </w:rPr>
              <w:t>sau uși pline din lemn sau metal</w:t>
            </w:r>
          </w:p>
        </w:tc>
        <w:tc>
          <w:tcPr>
            <w:tcW w:w="1455" w:type="dxa"/>
            <w:tcMar>
              <w:top w:w="0" w:type="dxa"/>
              <w:left w:w="0" w:type="dxa"/>
              <w:bottom w:w="0" w:type="dxa"/>
              <w:right w:w="0" w:type="dxa"/>
            </w:tcMar>
            <w:vAlign w:val="center"/>
          </w:tcPr>
          <w:p w14:paraId="4E0908A5" w14:textId="77777777" w:rsidR="001C08A5" w:rsidRDefault="00000000">
            <w:pPr>
              <w:jc w:val="center"/>
              <w:rPr>
                <w:b/>
                <w:i/>
                <w:sz w:val="22"/>
                <w:szCs w:val="22"/>
              </w:rPr>
            </w:pPr>
            <w:r>
              <w:rPr>
                <w:b/>
                <w:bCs/>
                <w:i/>
                <w:sz w:val="22"/>
                <w:szCs w:val="22"/>
              </w:rPr>
              <w:t>E 45 - C5 S</w:t>
            </w:r>
            <w:r>
              <w:rPr>
                <w:b/>
                <w:bCs/>
                <w:i/>
                <w:sz w:val="22"/>
                <w:szCs w:val="22"/>
                <w:lang w:val="en-GB"/>
              </w:rPr>
              <w:t>a</w:t>
            </w:r>
          </w:p>
        </w:tc>
        <w:tc>
          <w:tcPr>
            <w:tcW w:w="752" w:type="pct"/>
            <w:tcMar>
              <w:top w:w="0" w:type="dxa"/>
              <w:left w:w="0" w:type="dxa"/>
              <w:bottom w:w="0" w:type="dxa"/>
              <w:right w:w="0" w:type="dxa"/>
            </w:tcMar>
            <w:vAlign w:val="center"/>
          </w:tcPr>
          <w:p w14:paraId="4B9D6FDE" w14:textId="77777777" w:rsidR="001C08A5" w:rsidRDefault="00000000">
            <w:pPr>
              <w:jc w:val="center"/>
              <w:rPr>
                <w:b/>
                <w:i/>
                <w:sz w:val="22"/>
                <w:szCs w:val="22"/>
              </w:rPr>
            </w:pPr>
            <w:r>
              <w:rPr>
                <w:b/>
                <w:i/>
                <w:sz w:val="22"/>
                <w:szCs w:val="22"/>
              </w:rPr>
              <w:t>EI/REI 180</w:t>
            </w:r>
          </w:p>
          <w:p w14:paraId="71D96DE3" w14:textId="77777777" w:rsidR="001C08A5" w:rsidRDefault="00000000">
            <w:pPr>
              <w:jc w:val="center"/>
              <w:rPr>
                <w:b/>
                <w:i/>
                <w:sz w:val="22"/>
                <w:szCs w:val="22"/>
              </w:rPr>
            </w:pPr>
            <w:r>
              <w:rPr>
                <w:b/>
                <w:bCs/>
                <w:i/>
                <w:sz w:val="22"/>
                <w:szCs w:val="22"/>
                <w:lang w:val="en-GB"/>
              </w:rPr>
              <w:t>A1, A2s1d0</w:t>
            </w:r>
          </w:p>
        </w:tc>
        <w:tc>
          <w:tcPr>
            <w:tcW w:w="763" w:type="pct"/>
            <w:tcMar>
              <w:top w:w="0" w:type="dxa"/>
              <w:left w:w="0" w:type="dxa"/>
              <w:bottom w:w="0" w:type="dxa"/>
              <w:right w:w="0" w:type="dxa"/>
            </w:tcMar>
            <w:vAlign w:val="center"/>
          </w:tcPr>
          <w:p w14:paraId="3D59A04A" w14:textId="77777777" w:rsidR="001C08A5" w:rsidRDefault="00000000">
            <w:pPr>
              <w:jc w:val="center"/>
              <w:rPr>
                <w:b/>
                <w:bCs/>
                <w:i/>
                <w:sz w:val="22"/>
                <w:szCs w:val="22"/>
              </w:rPr>
            </w:pPr>
            <w:r>
              <w:rPr>
                <w:b/>
                <w:bCs/>
                <w:i/>
                <w:sz w:val="22"/>
                <w:szCs w:val="22"/>
              </w:rPr>
              <w:t xml:space="preserve">E 30 - C5 </w:t>
            </w:r>
            <w:r>
              <w:rPr>
                <w:b/>
                <w:i/>
                <w:sz w:val="22"/>
                <w:szCs w:val="22"/>
              </w:rPr>
              <w:t>S</w:t>
            </w:r>
            <w:r>
              <w:rPr>
                <w:b/>
                <w:bCs/>
                <w:i/>
                <w:sz w:val="22"/>
                <w:szCs w:val="22"/>
                <w:vertAlign w:val="subscript"/>
              </w:rPr>
              <w:t>a</w:t>
            </w:r>
          </w:p>
        </w:tc>
      </w:tr>
      <w:tr w:rsidR="001C08A5" w14:paraId="2112D872" w14:textId="77777777">
        <w:trPr>
          <w:trHeight w:val="345"/>
        </w:trPr>
        <w:tc>
          <w:tcPr>
            <w:tcW w:w="475" w:type="pct"/>
            <w:tcMar>
              <w:top w:w="0" w:type="dxa"/>
              <w:left w:w="0" w:type="dxa"/>
              <w:bottom w:w="0" w:type="dxa"/>
              <w:right w:w="0" w:type="dxa"/>
            </w:tcMar>
            <w:vAlign w:val="center"/>
          </w:tcPr>
          <w:p w14:paraId="37D3D10D" w14:textId="77777777" w:rsidR="001C08A5" w:rsidRDefault="00000000">
            <w:pPr>
              <w:jc w:val="center"/>
              <w:rPr>
                <w:b/>
                <w:bCs/>
                <w:i/>
                <w:sz w:val="22"/>
                <w:szCs w:val="22"/>
              </w:rPr>
            </w:pPr>
            <w:r>
              <w:rPr>
                <w:b/>
                <w:bCs/>
                <w:i/>
                <w:sz w:val="22"/>
                <w:szCs w:val="22"/>
                <w:lang w:val="en-US" w:eastAsia="zh-CN" w:bidi="ar"/>
              </w:rPr>
              <w:t>III</w:t>
            </w:r>
          </w:p>
        </w:tc>
        <w:tc>
          <w:tcPr>
            <w:tcW w:w="751" w:type="pct"/>
            <w:tcMar>
              <w:top w:w="0" w:type="dxa"/>
              <w:left w:w="0" w:type="dxa"/>
              <w:bottom w:w="0" w:type="dxa"/>
              <w:right w:w="0" w:type="dxa"/>
            </w:tcMar>
            <w:vAlign w:val="center"/>
          </w:tcPr>
          <w:p w14:paraId="5407B2D1" w14:textId="77777777" w:rsidR="001C08A5" w:rsidRDefault="00000000">
            <w:pPr>
              <w:jc w:val="center"/>
              <w:rPr>
                <w:b/>
                <w:i/>
                <w:sz w:val="22"/>
                <w:szCs w:val="22"/>
              </w:rPr>
            </w:pPr>
            <w:r>
              <w:rPr>
                <w:b/>
                <w:i/>
                <w:sz w:val="22"/>
                <w:szCs w:val="22"/>
              </w:rPr>
              <w:t>EI/REI 45</w:t>
            </w:r>
          </w:p>
          <w:p w14:paraId="4663E6A0" w14:textId="77777777" w:rsidR="001C08A5" w:rsidRDefault="00000000">
            <w:pPr>
              <w:jc w:val="center"/>
              <w:rPr>
                <w:b/>
                <w:i/>
                <w:sz w:val="22"/>
                <w:szCs w:val="22"/>
              </w:rPr>
            </w:pPr>
            <w:r>
              <w:rPr>
                <w:b/>
                <w:bCs/>
                <w:i/>
                <w:sz w:val="22"/>
                <w:szCs w:val="22"/>
                <w:lang w:val="en-GB"/>
              </w:rPr>
              <w:t>A1, A2s1d0</w:t>
            </w:r>
          </w:p>
        </w:tc>
        <w:tc>
          <w:tcPr>
            <w:tcW w:w="751" w:type="pct"/>
            <w:tcMar>
              <w:top w:w="0" w:type="dxa"/>
              <w:left w:w="0" w:type="dxa"/>
              <w:bottom w:w="0" w:type="dxa"/>
              <w:right w:w="0" w:type="dxa"/>
            </w:tcMar>
            <w:vAlign w:val="center"/>
          </w:tcPr>
          <w:p w14:paraId="019354C8" w14:textId="77777777" w:rsidR="001C08A5" w:rsidRDefault="00000000">
            <w:pPr>
              <w:jc w:val="center"/>
              <w:rPr>
                <w:b/>
                <w:i/>
                <w:sz w:val="22"/>
                <w:szCs w:val="22"/>
              </w:rPr>
            </w:pPr>
            <w:r>
              <w:rPr>
                <w:b/>
                <w:i/>
                <w:sz w:val="22"/>
                <w:szCs w:val="22"/>
              </w:rPr>
              <w:t>EI/REI 45</w:t>
            </w:r>
          </w:p>
          <w:p w14:paraId="0C28292B" w14:textId="77777777" w:rsidR="001C08A5" w:rsidRDefault="00000000">
            <w:pPr>
              <w:jc w:val="center"/>
              <w:rPr>
                <w:i/>
                <w:sz w:val="22"/>
                <w:szCs w:val="22"/>
              </w:rPr>
            </w:pPr>
            <w:r>
              <w:rPr>
                <w:b/>
                <w:bCs/>
                <w:i/>
                <w:sz w:val="22"/>
                <w:szCs w:val="22"/>
                <w:lang w:val="en-GB"/>
              </w:rPr>
              <w:t>A1, A2s1d0</w:t>
            </w:r>
          </w:p>
        </w:tc>
        <w:tc>
          <w:tcPr>
            <w:tcW w:w="1451" w:type="dxa"/>
            <w:gridSpan w:val="2"/>
            <w:tcMar>
              <w:top w:w="0" w:type="dxa"/>
              <w:left w:w="0" w:type="dxa"/>
              <w:bottom w:w="0" w:type="dxa"/>
              <w:right w:w="0" w:type="dxa"/>
            </w:tcMar>
            <w:vAlign w:val="center"/>
          </w:tcPr>
          <w:p w14:paraId="7BC0060C" w14:textId="77777777" w:rsidR="001C08A5" w:rsidRDefault="00000000">
            <w:pPr>
              <w:jc w:val="center"/>
              <w:rPr>
                <w:i/>
                <w:sz w:val="22"/>
                <w:szCs w:val="22"/>
              </w:rPr>
            </w:pPr>
            <w:r>
              <w:rPr>
                <w:b/>
                <w:bCs/>
                <w:i/>
                <w:sz w:val="22"/>
                <w:szCs w:val="22"/>
              </w:rPr>
              <w:t xml:space="preserve">E </w:t>
            </w:r>
            <w:r>
              <w:rPr>
                <w:b/>
                <w:bCs/>
                <w:i/>
                <w:sz w:val="22"/>
                <w:szCs w:val="22"/>
                <w:lang w:val="en-GB"/>
              </w:rPr>
              <w:t>1</w:t>
            </w:r>
            <w:r>
              <w:rPr>
                <w:b/>
                <w:bCs/>
                <w:i/>
                <w:sz w:val="22"/>
                <w:szCs w:val="22"/>
              </w:rPr>
              <w:t>5 - C5 S</w:t>
            </w:r>
            <w:r>
              <w:rPr>
                <w:b/>
                <w:bCs/>
                <w:i/>
                <w:sz w:val="22"/>
                <w:szCs w:val="22"/>
                <w:lang w:val="en-GB"/>
              </w:rPr>
              <w:t>a</w:t>
            </w:r>
            <w:r>
              <w:rPr>
                <w:b/>
                <w:bCs/>
                <w:i/>
                <w:sz w:val="22"/>
                <w:szCs w:val="22"/>
              </w:rPr>
              <w:t xml:space="preserve"> </w:t>
            </w:r>
            <w:r>
              <w:rPr>
                <w:b/>
                <w:bCs/>
                <w:i/>
              </w:rPr>
              <w:t>sau uși pline din lemn sau metal</w:t>
            </w:r>
          </w:p>
        </w:tc>
        <w:tc>
          <w:tcPr>
            <w:tcW w:w="1455" w:type="dxa"/>
            <w:tcMar>
              <w:top w:w="0" w:type="dxa"/>
              <w:left w:w="0" w:type="dxa"/>
              <w:bottom w:w="0" w:type="dxa"/>
              <w:right w:w="0" w:type="dxa"/>
            </w:tcMar>
            <w:vAlign w:val="center"/>
          </w:tcPr>
          <w:p w14:paraId="10B5053E" w14:textId="77777777" w:rsidR="001C08A5" w:rsidRDefault="00000000">
            <w:pPr>
              <w:jc w:val="center"/>
              <w:rPr>
                <w:b/>
                <w:i/>
                <w:sz w:val="22"/>
                <w:szCs w:val="22"/>
              </w:rPr>
            </w:pPr>
            <w:r>
              <w:rPr>
                <w:b/>
                <w:bCs/>
                <w:i/>
                <w:sz w:val="22"/>
                <w:szCs w:val="22"/>
              </w:rPr>
              <w:t>E 30 - C5 S</w:t>
            </w:r>
            <w:r>
              <w:rPr>
                <w:b/>
                <w:bCs/>
                <w:i/>
                <w:sz w:val="22"/>
                <w:szCs w:val="22"/>
                <w:lang w:val="en-GB"/>
              </w:rPr>
              <w:t>a</w:t>
            </w:r>
          </w:p>
        </w:tc>
        <w:tc>
          <w:tcPr>
            <w:tcW w:w="752" w:type="pct"/>
            <w:tcMar>
              <w:top w:w="0" w:type="dxa"/>
              <w:left w:w="0" w:type="dxa"/>
              <w:bottom w:w="0" w:type="dxa"/>
              <w:right w:w="0" w:type="dxa"/>
            </w:tcMar>
            <w:vAlign w:val="center"/>
          </w:tcPr>
          <w:p w14:paraId="0B96D599" w14:textId="77777777" w:rsidR="001C08A5" w:rsidRDefault="00000000">
            <w:pPr>
              <w:jc w:val="center"/>
              <w:rPr>
                <w:b/>
                <w:i/>
                <w:sz w:val="22"/>
                <w:szCs w:val="22"/>
              </w:rPr>
            </w:pPr>
            <w:r>
              <w:rPr>
                <w:b/>
                <w:i/>
                <w:sz w:val="22"/>
                <w:szCs w:val="22"/>
              </w:rPr>
              <w:t>EI/REI 180</w:t>
            </w:r>
          </w:p>
          <w:p w14:paraId="348CF94B" w14:textId="77777777" w:rsidR="001C08A5" w:rsidRDefault="00000000">
            <w:pPr>
              <w:jc w:val="center"/>
              <w:rPr>
                <w:b/>
                <w:i/>
                <w:sz w:val="22"/>
                <w:szCs w:val="22"/>
              </w:rPr>
            </w:pPr>
            <w:r>
              <w:rPr>
                <w:b/>
                <w:bCs/>
                <w:i/>
                <w:sz w:val="22"/>
                <w:szCs w:val="22"/>
                <w:lang w:val="en-GB"/>
              </w:rPr>
              <w:t>A1, A2s1d0</w:t>
            </w:r>
          </w:p>
        </w:tc>
        <w:tc>
          <w:tcPr>
            <w:tcW w:w="763" w:type="pct"/>
            <w:tcMar>
              <w:top w:w="0" w:type="dxa"/>
              <w:left w:w="0" w:type="dxa"/>
              <w:bottom w:w="0" w:type="dxa"/>
              <w:right w:w="0" w:type="dxa"/>
            </w:tcMar>
            <w:vAlign w:val="center"/>
          </w:tcPr>
          <w:p w14:paraId="1F447A41" w14:textId="77777777" w:rsidR="001C08A5" w:rsidRDefault="00000000">
            <w:pPr>
              <w:jc w:val="center"/>
              <w:rPr>
                <w:b/>
                <w:i/>
                <w:sz w:val="22"/>
                <w:szCs w:val="22"/>
              </w:rPr>
            </w:pPr>
            <w:r>
              <w:rPr>
                <w:b/>
                <w:bCs/>
                <w:i/>
                <w:sz w:val="22"/>
                <w:szCs w:val="22"/>
              </w:rPr>
              <w:t>E 15 - C5 Sa</w:t>
            </w:r>
          </w:p>
        </w:tc>
      </w:tr>
      <w:tr w:rsidR="001C08A5" w14:paraId="35E1EC46" w14:textId="77777777">
        <w:trPr>
          <w:trHeight w:val="345"/>
        </w:trPr>
        <w:tc>
          <w:tcPr>
            <w:tcW w:w="475" w:type="pct"/>
            <w:tcMar>
              <w:top w:w="0" w:type="dxa"/>
              <w:left w:w="0" w:type="dxa"/>
              <w:bottom w:w="0" w:type="dxa"/>
              <w:right w:w="0" w:type="dxa"/>
            </w:tcMar>
            <w:vAlign w:val="center"/>
          </w:tcPr>
          <w:p w14:paraId="6B06562B" w14:textId="77777777" w:rsidR="001C08A5" w:rsidRDefault="00000000">
            <w:pPr>
              <w:jc w:val="center"/>
              <w:rPr>
                <w:b/>
                <w:bCs/>
                <w:i/>
                <w:sz w:val="22"/>
                <w:szCs w:val="22"/>
              </w:rPr>
            </w:pPr>
            <w:r>
              <w:rPr>
                <w:b/>
                <w:bCs/>
                <w:i/>
                <w:sz w:val="22"/>
                <w:szCs w:val="22"/>
                <w:lang w:val="en-US" w:eastAsia="zh-CN" w:bidi="ar"/>
              </w:rPr>
              <w:t>IV</w:t>
            </w:r>
          </w:p>
        </w:tc>
        <w:tc>
          <w:tcPr>
            <w:tcW w:w="751" w:type="pct"/>
            <w:tcMar>
              <w:top w:w="0" w:type="dxa"/>
              <w:left w:w="0" w:type="dxa"/>
              <w:bottom w:w="0" w:type="dxa"/>
              <w:right w:w="0" w:type="dxa"/>
            </w:tcMar>
            <w:vAlign w:val="center"/>
          </w:tcPr>
          <w:p w14:paraId="6D2497C5" w14:textId="77777777" w:rsidR="001C08A5" w:rsidRDefault="00000000">
            <w:pPr>
              <w:jc w:val="center"/>
              <w:rPr>
                <w:b/>
                <w:i/>
                <w:sz w:val="22"/>
                <w:szCs w:val="22"/>
              </w:rPr>
            </w:pPr>
            <w:r>
              <w:rPr>
                <w:b/>
                <w:i/>
                <w:sz w:val="22"/>
                <w:szCs w:val="22"/>
              </w:rPr>
              <w:t>EI/REI 30</w:t>
            </w:r>
          </w:p>
          <w:p w14:paraId="2FDF4CFD" w14:textId="77777777" w:rsidR="001C08A5" w:rsidRDefault="00000000">
            <w:pPr>
              <w:jc w:val="center"/>
              <w:rPr>
                <w:b/>
                <w:i/>
                <w:sz w:val="22"/>
                <w:szCs w:val="22"/>
              </w:rPr>
            </w:pPr>
            <w:r>
              <w:rPr>
                <w:b/>
                <w:i/>
                <w:sz w:val="22"/>
                <w:szCs w:val="22"/>
              </w:rPr>
              <w:t xml:space="preserve">min. </w:t>
            </w:r>
          </w:p>
          <w:p w14:paraId="24995975" w14:textId="77777777" w:rsidR="001C08A5" w:rsidRDefault="00000000">
            <w:pPr>
              <w:jc w:val="center"/>
              <w:rPr>
                <w:b/>
                <w:i/>
                <w:sz w:val="22"/>
                <w:szCs w:val="22"/>
              </w:rPr>
            </w:pPr>
            <w:r>
              <w:rPr>
                <w:b/>
                <w:bCs/>
                <w:i/>
                <w:sz w:val="22"/>
                <w:szCs w:val="22"/>
                <w:lang w:eastAsia="zh-CN"/>
              </w:rPr>
              <w:t>A2s1÷s3,d0÷d1; Bs1÷s3,d0÷d1</w:t>
            </w:r>
          </w:p>
        </w:tc>
        <w:tc>
          <w:tcPr>
            <w:tcW w:w="751" w:type="pct"/>
            <w:tcMar>
              <w:top w:w="0" w:type="dxa"/>
              <w:left w:w="0" w:type="dxa"/>
              <w:bottom w:w="0" w:type="dxa"/>
              <w:right w:w="0" w:type="dxa"/>
            </w:tcMar>
            <w:vAlign w:val="center"/>
          </w:tcPr>
          <w:p w14:paraId="2A09A549" w14:textId="77777777" w:rsidR="001C08A5" w:rsidRDefault="00000000">
            <w:pPr>
              <w:jc w:val="center"/>
              <w:rPr>
                <w:b/>
                <w:i/>
                <w:sz w:val="22"/>
                <w:szCs w:val="22"/>
              </w:rPr>
            </w:pPr>
            <w:r>
              <w:rPr>
                <w:b/>
                <w:i/>
                <w:sz w:val="22"/>
                <w:szCs w:val="22"/>
              </w:rPr>
              <w:t>EI/REI 30</w:t>
            </w:r>
          </w:p>
          <w:p w14:paraId="4F16BBCF" w14:textId="77777777" w:rsidR="001C08A5" w:rsidRDefault="00000000">
            <w:pPr>
              <w:jc w:val="center"/>
              <w:rPr>
                <w:b/>
                <w:i/>
                <w:sz w:val="22"/>
                <w:szCs w:val="22"/>
              </w:rPr>
            </w:pPr>
            <w:r>
              <w:rPr>
                <w:b/>
                <w:i/>
                <w:sz w:val="22"/>
                <w:szCs w:val="22"/>
              </w:rPr>
              <w:t xml:space="preserve">min. </w:t>
            </w:r>
          </w:p>
          <w:p w14:paraId="362FC952" w14:textId="77777777" w:rsidR="001C08A5" w:rsidRDefault="00000000">
            <w:pPr>
              <w:jc w:val="center"/>
              <w:rPr>
                <w:i/>
                <w:sz w:val="22"/>
                <w:szCs w:val="22"/>
              </w:rPr>
            </w:pPr>
            <w:r>
              <w:rPr>
                <w:b/>
                <w:bCs/>
                <w:i/>
                <w:sz w:val="22"/>
                <w:szCs w:val="22"/>
                <w:lang w:eastAsia="zh-CN"/>
              </w:rPr>
              <w:t>A2s1÷s3,d0÷d1; Bs1÷s3,d0÷d1</w:t>
            </w:r>
          </w:p>
        </w:tc>
        <w:tc>
          <w:tcPr>
            <w:tcW w:w="1451" w:type="dxa"/>
            <w:gridSpan w:val="2"/>
            <w:tcMar>
              <w:top w:w="0" w:type="dxa"/>
              <w:left w:w="0" w:type="dxa"/>
              <w:bottom w:w="0" w:type="dxa"/>
              <w:right w:w="0" w:type="dxa"/>
            </w:tcMar>
            <w:vAlign w:val="center"/>
          </w:tcPr>
          <w:p w14:paraId="624B0F73" w14:textId="77777777" w:rsidR="001C08A5" w:rsidRDefault="00000000">
            <w:pPr>
              <w:jc w:val="center"/>
              <w:rPr>
                <w:i/>
                <w:sz w:val="22"/>
                <w:szCs w:val="22"/>
              </w:rPr>
            </w:pPr>
            <w:r>
              <w:rPr>
                <w:b/>
                <w:bCs/>
                <w:i/>
                <w:sz w:val="22"/>
                <w:szCs w:val="22"/>
              </w:rPr>
              <w:t>C5</w:t>
            </w:r>
          </w:p>
        </w:tc>
        <w:tc>
          <w:tcPr>
            <w:tcW w:w="1455" w:type="dxa"/>
            <w:tcMar>
              <w:top w:w="0" w:type="dxa"/>
              <w:left w:w="0" w:type="dxa"/>
              <w:bottom w:w="0" w:type="dxa"/>
              <w:right w:w="0" w:type="dxa"/>
            </w:tcMar>
            <w:vAlign w:val="center"/>
          </w:tcPr>
          <w:p w14:paraId="749CA59C" w14:textId="77777777" w:rsidR="001C08A5" w:rsidRDefault="00000000">
            <w:pPr>
              <w:jc w:val="center"/>
              <w:rPr>
                <w:i/>
                <w:sz w:val="22"/>
                <w:szCs w:val="22"/>
                <w:lang w:val="en-US" w:eastAsia="zh-CN" w:bidi="ar"/>
              </w:rPr>
            </w:pPr>
            <w:r>
              <w:rPr>
                <w:b/>
                <w:bCs/>
                <w:i/>
                <w:sz w:val="22"/>
                <w:szCs w:val="22"/>
              </w:rPr>
              <w:t>E 15 - C5</w:t>
            </w:r>
          </w:p>
        </w:tc>
        <w:tc>
          <w:tcPr>
            <w:tcW w:w="752" w:type="pct"/>
            <w:tcMar>
              <w:top w:w="0" w:type="dxa"/>
              <w:left w:w="0" w:type="dxa"/>
              <w:bottom w:w="0" w:type="dxa"/>
              <w:right w:w="0" w:type="dxa"/>
            </w:tcMar>
            <w:vAlign w:val="center"/>
          </w:tcPr>
          <w:p w14:paraId="388A5506" w14:textId="77777777" w:rsidR="001C08A5" w:rsidRDefault="00000000">
            <w:pPr>
              <w:jc w:val="center"/>
              <w:rPr>
                <w:b/>
                <w:i/>
                <w:sz w:val="22"/>
                <w:szCs w:val="22"/>
              </w:rPr>
            </w:pPr>
            <w:r>
              <w:rPr>
                <w:b/>
                <w:i/>
                <w:sz w:val="22"/>
                <w:szCs w:val="22"/>
              </w:rPr>
              <w:t>EI/REI 45</w:t>
            </w:r>
          </w:p>
          <w:p w14:paraId="2DEC8AB1" w14:textId="77777777" w:rsidR="001C08A5" w:rsidRDefault="00000000">
            <w:pPr>
              <w:jc w:val="center"/>
              <w:rPr>
                <w:b/>
                <w:i/>
                <w:sz w:val="22"/>
                <w:szCs w:val="22"/>
              </w:rPr>
            </w:pPr>
            <w:r>
              <w:rPr>
                <w:b/>
                <w:i/>
                <w:sz w:val="22"/>
                <w:szCs w:val="22"/>
              </w:rPr>
              <w:t xml:space="preserve">min. </w:t>
            </w:r>
          </w:p>
          <w:p w14:paraId="66917506" w14:textId="77777777" w:rsidR="001C08A5" w:rsidRDefault="00000000">
            <w:pPr>
              <w:jc w:val="center"/>
              <w:rPr>
                <w:i/>
                <w:sz w:val="22"/>
                <w:szCs w:val="22"/>
                <w:lang w:val="en-US" w:eastAsia="zh-CN" w:bidi="ar"/>
              </w:rPr>
            </w:pPr>
            <w:r>
              <w:rPr>
                <w:b/>
                <w:bCs/>
                <w:i/>
                <w:sz w:val="22"/>
                <w:szCs w:val="22"/>
                <w:lang w:eastAsia="zh-CN"/>
              </w:rPr>
              <w:t>A2s1÷s3,d0÷d1; Bs1÷s3,d0÷d1</w:t>
            </w:r>
          </w:p>
        </w:tc>
        <w:tc>
          <w:tcPr>
            <w:tcW w:w="763" w:type="pct"/>
            <w:tcMar>
              <w:top w:w="0" w:type="dxa"/>
              <w:left w:w="0" w:type="dxa"/>
              <w:bottom w:w="0" w:type="dxa"/>
              <w:right w:w="0" w:type="dxa"/>
            </w:tcMar>
            <w:vAlign w:val="center"/>
          </w:tcPr>
          <w:p w14:paraId="75436761" w14:textId="77777777" w:rsidR="001C08A5" w:rsidRDefault="00000000">
            <w:pPr>
              <w:jc w:val="center"/>
              <w:rPr>
                <w:b/>
                <w:bCs/>
                <w:i/>
                <w:sz w:val="22"/>
                <w:szCs w:val="22"/>
              </w:rPr>
            </w:pPr>
            <w:r>
              <w:rPr>
                <w:b/>
                <w:bCs/>
                <w:i/>
                <w:sz w:val="22"/>
                <w:szCs w:val="22"/>
              </w:rPr>
              <w:t>C5 Sa</w:t>
            </w:r>
          </w:p>
        </w:tc>
      </w:tr>
      <w:tr w:rsidR="001C08A5" w14:paraId="483886E7" w14:textId="77777777">
        <w:trPr>
          <w:trHeight w:val="360"/>
        </w:trPr>
        <w:tc>
          <w:tcPr>
            <w:tcW w:w="475" w:type="pct"/>
            <w:tcMar>
              <w:top w:w="0" w:type="dxa"/>
              <w:left w:w="0" w:type="dxa"/>
              <w:bottom w:w="0" w:type="dxa"/>
              <w:right w:w="0" w:type="dxa"/>
            </w:tcMar>
            <w:vAlign w:val="center"/>
          </w:tcPr>
          <w:p w14:paraId="373212F8" w14:textId="77777777" w:rsidR="001C08A5" w:rsidRDefault="00000000">
            <w:pPr>
              <w:jc w:val="center"/>
              <w:rPr>
                <w:b/>
                <w:bCs/>
                <w:i/>
                <w:sz w:val="22"/>
                <w:szCs w:val="22"/>
              </w:rPr>
            </w:pPr>
            <w:r>
              <w:rPr>
                <w:b/>
                <w:bCs/>
                <w:i/>
                <w:sz w:val="22"/>
                <w:szCs w:val="22"/>
                <w:lang w:val="en-US" w:eastAsia="zh-CN" w:bidi="ar"/>
              </w:rPr>
              <w:t>V</w:t>
            </w:r>
          </w:p>
        </w:tc>
        <w:tc>
          <w:tcPr>
            <w:tcW w:w="751" w:type="pct"/>
            <w:tcMar>
              <w:top w:w="0" w:type="dxa"/>
              <w:left w:w="0" w:type="dxa"/>
              <w:bottom w:w="0" w:type="dxa"/>
              <w:right w:w="0" w:type="dxa"/>
            </w:tcMar>
            <w:vAlign w:val="center"/>
          </w:tcPr>
          <w:p w14:paraId="170E9042" w14:textId="77777777" w:rsidR="001C08A5" w:rsidRDefault="00000000">
            <w:pPr>
              <w:jc w:val="center"/>
              <w:rPr>
                <w:b/>
                <w:i/>
                <w:sz w:val="22"/>
                <w:szCs w:val="22"/>
              </w:rPr>
            </w:pPr>
            <w:r>
              <w:rPr>
                <w:b/>
                <w:i/>
                <w:sz w:val="22"/>
                <w:szCs w:val="22"/>
              </w:rPr>
              <w:t>EI/REI 15</w:t>
            </w:r>
          </w:p>
          <w:p w14:paraId="24C0F77D" w14:textId="77777777" w:rsidR="001C08A5" w:rsidRDefault="00000000">
            <w:pPr>
              <w:jc w:val="center"/>
              <w:rPr>
                <w:b/>
                <w:i/>
                <w:sz w:val="22"/>
                <w:szCs w:val="22"/>
              </w:rPr>
            </w:pPr>
            <w:r>
              <w:rPr>
                <w:b/>
                <w:i/>
                <w:sz w:val="22"/>
                <w:szCs w:val="22"/>
              </w:rPr>
              <w:t xml:space="preserve">min. </w:t>
            </w:r>
          </w:p>
          <w:p w14:paraId="19E34324" w14:textId="77777777" w:rsidR="001C08A5" w:rsidRDefault="00000000">
            <w:pPr>
              <w:jc w:val="center"/>
              <w:rPr>
                <w:b/>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751" w:type="pct"/>
            <w:tcMar>
              <w:top w:w="0" w:type="dxa"/>
              <w:left w:w="0" w:type="dxa"/>
              <w:bottom w:w="0" w:type="dxa"/>
              <w:right w:w="0" w:type="dxa"/>
            </w:tcMar>
            <w:vAlign w:val="center"/>
          </w:tcPr>
          <w:p w14:paraId="3E936F8E" w14:textId="77777777" w:rsidR="001C08A5" w:rsidRDefault="00000000">
            <w:pPr>
              <w:jc w:val="center"/>
              <w:rPr>
                <w:b/>
                <w:i/>
                <w:sz w:val="22"/>
                <w:szCs w:val="22"/>
              </w:rPr>
            </w:pPr>
            <w:r>
              <w:rPr>
                <w:b/>
                <w:i/>
                <w:sz w:val="22"/>
                <w:szCs w:val="22"/>
              </w:rPr>
              <w:t>EI/REI 15</w:t>
            </w:r>
          </w:p>
          <w:p w14:paraId="392B6C42" w14:textId="77777777" w:rsidR="001C08A5" w:rsidRDefault="00000000">
            <w:pPr>
              <w:jc w:val="center"/>
              <w:rPr>
                <w:b/>
                <w:i/>
                <w:sz w:val="22"/>
                <w:szCs w:val="22"/>
              </w:rPr>
            </w:pPr>
            <w:r>
              <w:rPr>
                <w:b/>
                <w:i/>
                <w:sz w:val="22"/>
                <w:szCs w:val="22"/>
              </w:rPr>
              <w:t xml:space="preserve">min. </w:t>
            </w:r>
          </w:p>
          <w:p w14:paraId="51E4F95E" w14:textId="77777777" w:rsidR="001C08A5" w:rsidRDefault="00000000">
            <w:pPr>
              <w:jc w:val="center"/>
              <w:rPr>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752" w:type="pct"/>
            <w:gridSpan w:val="2"/>
            <w:tcMar>
              <w:top w:w="0" w:type="dxa"/>
              <w:left w:w="0" w:type="dxa"/>
              <w:bottom w:w="0" w:type="dxa"/>
              <w:right w:w="0" w:type="dxa"/>
            </w:tcMar>
            <w:vAlign w:val="center"/>
          </w:tcPr>
          <w:p w14:paraId="583F595F" w14:textId="77777777" w:rsidR="001C08A5" w:rsidRDefault="00000000">
            <w:pPr>
              <w:jc w:val="center"/>
              <w:rPr>
                <w:i/>
                <w:sz w:val="22"/>
                <w:szCs w:val="22"/>
              </w:rPr>
            </w:pPr>
            <w:r>
              <w:rPr>
                <w:b/>
                <w:bCs/>
                <w:i/>
                <w:sz w:val="22"/>
                <w:szCs w:val="22"/>
              </w:rPr>
              <w:t>C5</w:t>
            </w:r>
          </w:p>
        </w:tc>
        <w:tc>
          <w:tcPr>
            <w:tcW w:w="753" w:type="pct"/>
            <w:tcMar>
              <w:top w:w="0" w:type="dxa"/>
              <w:left w:w="0" w:type="dxa"/>
              <w:bottom w:w="0" w:type="dxa"/>
              <w:right w:w="0" w:type="dxa"/>
            </w:tcMar>
            <w:vAlign w:val="center"/>
          </w:tcPr>
          <w:p w14:paraId="115483A1" w14:textId="77777777" w:rsidR="001C08A5" w:rsidRDefault="00000000">
            <w:pPr>
              <w:jc w:val="center"/>
              <w:rPr>
                <w:i/>
                <w:sz w:val="22"/>
                <w:szCs w:val="22"/>
                <w:lang w:val="en-US" w:eastAsia="zh-CN" w:bidi="ar"/>
              </w:rPr>
            </w:pPr>
            <w:r>
              <w:rPr>
                <w:b/>
                <w:bCs/>
                <w:i/>
                <w:sz w:val="22"/>
                <w:szCs w:val="22"/>
              </w:rPr>
              <w:t>C5</w:t>
            </w:r>
          </w:p>
        </w:tc>
        <w:tc>
          <w:tcPr>
            <w:tcW w:w="752" w:type="pct"/>
            <w:tcMar>
              <w:top w:w="0" w:type="dxa"/>
              <w:left w:w="0" w:type="dxa"/>
              <w:bottom w:w="0" w:type="dxa"/>
              <w:right w:w="0" w:type="dxa"/>
            </w:tcMar>
            <w:vAlign w:val="center"/>
          </w:tcPr>
          <w:p w14:paraId="724A8376" w14:textId="77777777" w:rsidR="001C08A5" w:rsidRDefault="00000000">
            <w:pPr>
              <w:jc w:val="center"/>
              <w:rPr>
                <w:b/>
                <w:i/>
                <w:sz w:val="22"/>
                <w:szCs w:val="22"/>
              </w:rPr>
            </w:pPr>
            <w:r>
              <w:rPr>
                <w:b/>
                <w:i/>
                <w:sz w:val="22"/>
                <w:szCs w:val="22"/>
              </w:rPr>
              <w:t>EI/REI 30</w:t>
            </w:r>
          </w:p>
          <w:p w14:paraId="2FA24D1D" w14:textId="77777777" w:rsidR="001C08A5" w:rsidRDefault="00000000">
            <w:pPr>
              <w:jc w:val="center"/>
              <w:rPr>
                <w:b/>
                <w:i/>
                <w:sz w:val="22"/>
                <w:szCs w:val="22"/>
              </w:rPr>
            </w:pPr>
            <w:r>
              <w:rPr>
                <w:b/>
                <w:i/>
                <w:sz w:val="22"/>
                <w:szCs w:val="22"/>
              </w:rPr>
              <w:t xml:space="preserve">min. </w:t>
            </w:r>
          </w:p>
          <w:p w14:paraId="00752622" w14:textId="77777777" w:rsidR="001C08A5" w:rsidRDefault="00000000">
            <w:pPr>
              <w:jc w:val="center"/>
              <w:rPr>
                <w:i/>
                <w:sz w:val="22"/>
                <w:szCs w:val="22"/>
                <w:lang w:eastAsia="zh-CN" w:bidi="ar"/>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763" w:type="pct"/>
            <w:tcMar>
              <w:top w:w="0" w:type="dxa"/>
              <w:left w:w="0" w:type="dxa"/>
              <w:bottom w:w="0" w:type="dxa"/>
              <w:right w:w="0" w:type="dxa"/>
            </w:tcMar>
            <w:vAlign w:val="center"/>
          </w:tcPr>
          <w:p w14:paraId="29449C9A" w14:textId="77777777" w:rsidR="001C08A5" w:rsidRDefault="00000000">
            <w:pPr>
              <w:jc w:val="center"/>
              <w:rPr>
                <w:i/>
                <w:sz w:val="22"/>
                <w:szCs w:val="22"/>
                <w:lang w:eastAsia="zh-CN" w:bidi="ar"/>
              </w:rPr>
            </w:pPr>
            <w:r>
              <w:rPr>
                <w:b/>
                <w:bCs/>
                <w:i/>
                <w:sz w:val="22"/>
                <w:szCs w:val="22"/>
              </w:rPr>
              <w:t>C5</w:t>
            </w:r>
          </w:p>
        </w:tc>
      </w:tr>
    </w:tbl>
    <w:p w14:paraId="3B9C31C9" w14:textId="77777777" w:rsidR="001C08A5" w:rsidRDefault="001C08A5">
      <w:pPr>
        <w:shd w:val="clear" w:color="auto" w:fill="FFFFFF"/>
        <w:spacing w:after="150"/>
        <w:jc w:val="both"/>
        <w:rPr>
          <w:rFonts w:eastAsia="Calibri"/>
          <w:b/>
          <w:bCs/>
          <w:i/>
          <w:sz w:val="24"/>
          <w:szCs w:val="24"/>
          <w:shd w:val="clear" w:color="auto" w:fill="FFFFFF"/>
        </w:rPr>
      </w:pPr>
    </w:p>
    <w:p w14:paraId="722EB05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3.10.38.</w:t>
      </w:r>
      <w:r>
        <w:rPr>
          <w:rFonts w:eastAsia="Calibri"/>
          <w:i/>
          <w:sz w:val="24"/>
          <w:szCs w:val="24"/>
          <w:shd w:val="clear" w:color="auto" w:fill="FFFFFF"/>
        </w:rPr>
        <w:t xml:space="preserve"> Rampele și podestele scărilor sau planurilor înclinate vor respecta condițiile de la Art. </w:t>
      </w:r>
      <w:r>
        <w:rPr>
          <w:rFonts w:eastAsia="Calibri"/>
          <w:b/>
          <w:i/>
          <w:sz w:val="24"/>
          <w:szCs w:val="24"/>
          <w:shd w:val="clear" w:color="auto" w:fill="FFFFFF"/>
        </w:rPr>
        <w:t>A.10.</w:t>
      </w:r>
      <w:r>
        <w:rPr>
          <w:rFonts w:eastAsia="Calibri"/>
          <w:b/>
          <w:bCs/>
          <w:i/>
          <w:sz w:val="24"/>
          <w:szCs w:val="24"/>
          <w:shd w:val="clear" w:color="auto" w:fill="FFFFFF"/>
        </w:rPr>
        <w:t>2.4.32.</w:t>
      </w:r>
      <w:r>
        <w:rPr>
          <w:rFonts w:eastAsia="Calibri"/>
          <w:i/>
          <w:sz w:val="24"/>
          <w:szCs w:val="24"/>
          <w:shd w:val="clear" w:color="auto" w:fill="FFFFFF"/>
        </w:rPr>
        <w:t xml:space="preserve"> și Art. </w:t>
      </w:r>
      <w:r>
        <w:rPr>
          <w:rFonts w:eastAsia="Calibri"/>
          <w:b/>
          <w:i/>
          <w:sz w:val="24"/>
          <w:szCs w:val="24"/>
          <w:shd w:val="clear" w:color="auto" w:fill="FFFFFF"/>
        </w:rPr>
        <w:t>A.10.</w:t>
      </w:r>
      <w:r>
        <w:rPr>
          <w:rFonts w:eastAsia="Calibri"/>
          <w:b/>
          <w:bCs/>
          <w:i/>
          <w:sz w:val="24"/>
          <w:szCs w:val="24"/>
          <w:shd w:val="clear" w:color="auto" w:fill="FFFFFF"/>
        </w:rPr>
        <w:t>2.4.33.</w:t>
      </w:r>
    </w:p>
    <w:p w14:paraId="04305FB7"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3.10.39.</w:t>
      </w:r>
      <w:r>
        <w:rPr>
          <w:rFonts w:eastAsia="Calibri"/>
          <w:i/>
          <w:sz w:val="24"/>
          <w:szCs w:val="24"/>
          <w:shd w:val="clear" w:color="auto" w:fill="FFFFFF"/>
        </w:rPr>
        <w:t> Capacitatea de evacuare (</w:t>
      </w:r>
      <w:r>
        <w:rPr>
          <w:rFonts w:eastAsia="Calibri"/>
          <w:b/>
          <w:bCs/>
          <w:i/>
          <w:sz w:val="24"/>
          <w:szCs w:val="24"/>
          <w:shd w:val="clear" w:color="auto" w:fill="FFFFFF"/>
        </w:rPr>
        <w:t>C</w:t>
      </w:r>
      <w:r>
        <w:rPr>
          <w:rFonts w:eastAsia="Calibri"/>
          <w:i/>
          <w:sz w:val="24"/>
          <w:szCs w:val="24"/>
          <w:shd w:val="clear" w:color="auto" w:fill="FFFFFF"/>
        </w:rPr>
        <w:t>) a unui flux (</w:t>
      </w:r>
      <w:r>
        <w:rPr>
          <w:rFonts w:eastAsia="Calibri"/>
          <w:b/>
          <w:bCs/>
          <w:i/>
          <w:sz w:val="24"/>
          <w:szCs w:val="24"/>
          <w:shd w:val="clear" w:color="auto" w:fill="FFFFFF"/>
        </w:rPr>
        <w:t>F</w:t>
      </w:r>
      <w:r>
        <w:rPr>
          <w:rFonts w:eastAsia="Calibri"/>
          <w:i/>
          <w:sz w:val="24"/>
          <w:szCs w:val="24"/>
          <w:shd w:val="clear" w:color="auto" w:fill="FFFFFF"/>
        </w:rPr>
        <w:t xml:space="preserve">) de evacuare, este de max. </w:t>
      </w:r>
      <w:r>
        <w:rPr>
          <w:rFonts w:eastAsia="Calibri"/>
          <w:b/>
          <w:bCs/>
          <w:i/>
          <w:sz w:val="24"/>
          <w:szCs w:val="24"/>
          <w:shd w:val="clear" w:color="auto" w:fill="FFFFFF"/>
        </w:rPr>
        <w:t>70</w:t>
      </w:r>
      <w:r>
        <w:rPr>
          <w:rFonts w:eastAsia="Calibri"/>
          <w:i/>
          <w:sz w:val="24"/>
          <w:szCs w:val="24"/>
          <w:shd w:val="clear" w:color="auto" w:fill="FFFFFF"/>
        </w:rPr>
        <w:t xml:space="preserve"> persoane cu excepția sălilor aglomerate.</w:t>
      </w:r>
    </w:p>
    <w:p w14:paraId="4ED49C10"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3.10.40.</w:t>
      </w:r>
      <w:r>
        <w:rPr>
          <w:rFonts w:eastAsia="Calibri"/>
          <w:i/>
          <w:sz w:val="24"/>
          <w:szCs w:val="24"/>
          <w:shd w:val="clear" w:color="auto" w:fill="FFFFFF"/>
        </w:rPr>
        <w:t xml:space="preserve"> Lungimile maxime admise ale căilor de evacuare (cu excepția clădirilor existente cu săli aglomerate și a clădirilor existente înalte și foarte înalte)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_Ref10763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64: Lungimi de evacuare în clădiri pentru comerţ supraterane cu înălţimi obişnuite</w:t>
      </w:r>
      <w:r>
        <w:rPr>
          <w:rFonts w:eastAsia="Calibri"/>
          <w:b/>
          <w:bCs/>
          <w:i/>
          <w:iCs/>
          <w:sz w:val="24"/>
          <w:szCs w:val="24"/>
          <w:shd w:val="clear" w:color="auto" w:fill="FFFFFF"/>
        </w:rPr>
        <w:fldChar w:fldCharType="end"/>
      </w:r>
      <w:r>
        <w:rPr>
          <w:b/>
          <w:i/>
          <w:sz w:val="24"/>
          <w:szCs w:val="24"/>
        </w:rPr>
        <w:t>.</w:t>
      </w:r>
    </w:p>
    <w:p w14:paraId="4D73EE9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3.10.41.</w:t>
      </w:r>
      <w:r>
        <w:rPr>
          <w:rFonts w:eastAsia="Calibri"/>
          <w:i/>
          <w:sz w:val="24"/>
          <w:szCs w:val="24"/>
          <w:shd w:val="clear" w:color="auto" w:fill="FFFFFF"/>
        </w:rPr>
        <w:t> Căile de evacuare ale spațiilor comerciale subterane, de regulă, vor fi independente de cele ale nivelelor supraterane cu altă destinație, iar comunicarea între acestea este admisă numai prin încăperi tampon, în condițiile prevăzute în anexă.</w:t>
      </w:r>
    </w:p>
    <w:p w14:paraId="7394524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3.10.42.</w:t>
      </w:r>
      <w:r>
        <w:rPr>
          <w:rFonts w:eastAsia="Calibri"/>
          <w:i/>
          <w:sz w:val="24"/>
          <w:szCs w:val="24"/>
          <w:shd w:val="clear" w:color="auto" w:fill="FFFFFF"/>
        </w:rPr>
        <w:t xml:space="preserve"> Pentru estimarea numărului de persoane ce au acces în spatiile destinate publicului și care, de regulă, reprezintă cel puțin </w:t>
      </w:r>
      <w:r>
        <w:rPr>
          <w:rFonts w:eastAsia="Calibri"/>
          <w:b/>
          <w:bCs/>
          <w:i/>
          <w:sz w:val="24"/>
          <w:szCs w:val="24"/>
          <w:shd w:val="clear" w:color="auto" w:fill="FFFFFF"/>
        </w:rPr>
        <w:t>2/3</w:t>
      </w:r>
      <w:r>
        <w:rPr>
          <w:rFonts w:eastAsia="Calibri"/>
          <w:i/>
          <w:sz w:val="24"/>
          <w:szCs w:val="24"/>
          <w:shd w:val="clear" w:color="auto" w:fill="FFFFFF"/>
        </w:rPr>
        <w:t xml:space="preserve"> din aria magazinului existent (centrului comercial existent), se vor lua în considerație următoarele densități:</w:t>
      </w:r>
    </w:p>
    <w:p w14:paraId="1C25FFBC"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Pentru magazine se consideră o persoană pe:</w:t>
      </w:r>
    </w:p>
    <w:p w14:paraId="78D085C4"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1m</w:t>
      </w:r>
      <w:r>
        <w:rPr>
          <w:rFonts w:eastAsia="Calibri"/>
          <w:b/>
          <w:bCs/>
          <w:i/>
          <w:sz w:val="24"/>
          <w:szCs w:val="24"/>
          <w:shd w:val="clear" w:color="auto" w:fill="FFFFFF"/>
          <w:vertAlign w:val="superscript"/>
          <w:lang w:val="en-US" w:eastAsia="zh-CN" w:bidi="ar"/>
        </w:rPr>
        <w:t>2</w:t>
      </w:r>
      <w:r>
        <w:rPr>
          <w:rFonts w:eastAsia="Calibri"/>
          <w:i/>
          <w:sz w:val="24"/>
          <w:szCs w:val="24"/>
          <w:shd w:val="clear" w:color="auto" w:fill="FFFFFF"/>
          <w:lang w:val="en-US" w:eastAsia="zh-CN" w:bidi="ar"/>
        </w:rPr>
        <w:t>, la parter;</w:t>
      </w:r>
    </w:p>
    <w:p w14:paraId="72A8B26D"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2 m</w:t>
      </w:r>
      <w:r>
        <w:rPr>
          <w:rFonts w:eastAsia="Calibri"/>
          <w:b/>
          <w:bCs/>
          <w:i/>
          <w:sz w:val="24"/>
          <w:szCs w:val="24"/>
          <w:shd w:val="clear" w:color="auto" w:fill="FFFFFF"/>
          <w:vertAlign w:val="superscript"/>
          <w:lang w:val="en-US" w:eastAsia="zh-CN" w:bidi="ar"/>
        </w:rPr>
        <w:t>2</w:t>
      </w:r>
      <w:r>
        <w:rPr>
          <w:rFonts w:eastAsia="Calibri"/>
          <w:i/>
          <w:sz w:val="24"/>
          <w:szCs w:val="24"/>
          <w:shd w:val="clear" w:color="auto" w:fill="FFFFFF"/>
          <w:lang w:val="en-US" w:eastAsia="zh-CN" w:bidi="ar"/>
        </w:rPr>
        <w:t>, la subsolurile și etajele 1 și 2 (față de teren);</w:t>
      </w:r>
    </w:p>
    <w:p w14:paraId="4CD1F41C"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b/>
          <w:bCs/>
          <w:i/>
          <w:sz w:val="24"/>
          <w:szCs w:val="24"/>
          <w:shd w:val="clear" w:color="auto" w:fill="FFFFFF"/>
          <w:lang w:val="en-US" w:eastAsia="zh-CN" w:bidi="ar"/>
        </w:rPr>
        <w:t>5 m</w:t>
      </w:r>
      <w:r>
        <w:rPr>
          <w:rFonts w:eastAsia="Calibri"/>
          <w:b/>
          <w:bCs/>
          <w:i/>
          <w:sz w:val="24"/>
          <w:szCs w:val="24"/>
          <w:shd w:val="clear" w:color="auto" w:fill="FFFFFF"/>
          <w:vertAlign w:val="superscript"/>
          <w:lang w:val="en-US" w:eastAsia="zh-CN" w:bidi="ar"/>
        </w:rPr>
        <w:t>2</w:t>
      </w:r>
      <w:r>
        <w:rPr>
          <w:rFonts w:eastAsia="Calibri"/>
          <w:i/>
          <w:sz w:val="24"/>
          <w:szCs w:val="24"/>
          <w:shd w:val="clear" w:color="auto" w:fill="FFFFFF"/>
          <w:lang w:val="en-US" w:eastAsia="zh-CN" w:bidi="ar"/>
        </w:rPr>
        <w:t>, la celelalte niveluri ale subsolului și etajelor.</w:t>
      </w:r>
    </w:p>
    <w:p w14:paraId="2D8EC165"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xml:space="preserve"> Pentru centre comerciale existente (cu arie desfășurată de minimum </w:t>
      </w:r>
      <w:r>
        <w:rPr>
          <w:rFonts w:eastAsia="Calibri"/>
          <w:b/>
          <w:bCs/>
          <w:i/>
          <w:sz w:val="24"/>
          <w:szCs w:val="24"/>
          <w:shd w:val="clear" w:color="auto" w:fill="FFFFFF"/>
        </w:rPr>
        <w:t>500 m</w:t>
      </w:r>
      <w:r>
        <w:rPr>
          <w:rFonts w:eastAsia="Calibri"/>
          <w:b/>
          <w:bCs/>
          <w:i/>
          <w:sz w:val="24"/>
          <w:szCs w:val="24"/>
          <w:shd w:val="clear" w:color="auto" w:fill="FFFFFF"/>
          <w:vertAlign w:val="superscript"/>
        </w:rPr>
        <w:t>2</w:t>
      </w:r>
      <w:r>
        <w:rPr>
          <w:rFonts w:eastAsia="Calibri"/>
          <w:i/>
          <w:sz w:val="24"/>
          <w:szCs w:val="24"/>
          <w:shd w:val="clear" w:color="auto" w:fill="FFFFFF"/>
        </w:rPr>
        <w:t xml:space="preserve">) se consideră o persoană la </w:t>
      </w:r>
      <w:r>
        <w:rPr>
          <w:rFonts w:eastAsia="Calibri"/>
          <w:b/>
          <w:bCs/>
          <w:i/>
          <w:sz w:val="24"/>
          <w:szCs w:val="24"/>
          <w:shd w:val="clear" w:color="auto" w:fill="FFFFFF"/>
        </w:rPr>
        <w:t>5 m</w:t>
      </w:r>
      <w:r>
        <w:rPr>
          <w:rFonts w:eastAsia="Calibri"/>
          <w:b/>
          <w:bCs/>
          <w:i/>
          <w:sz w:val="24"/>
          <w:szCs w:val="24"/>
          <w:shd w:val="clear" w:color="auto" w:fill="FFFFFF"/>
          <w:vertAlign w:val="superscript"/>
        </w:rPr>
        <w:t>2</w:t>
      </w:r>
      <w:r>
        <w:rPr>
          <w:rFonts w:eastAsia="Calibri"/>
          <w:i/>
          <w:sz w:val="24"/>
          <w:szCs w:val="24"/>
          <w:shd w:val="clear" w:color="auto" w:fill="FFFFFF"/>
        </w:rPr>
        <w:t>, indiferent de nivel.</w:t>
      </w:r>
    </w:p>
    <w:p w14:paraId="589E16C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3.10.43.</w:t>
      </w:r>
      <w:r>
        <w:rPr>
          <w:rFonts w:eastAsia="Calibri"/>
          <w:i/>
          <w:sz w:val="24"/>
          <w:szCs w:val="24"/>
          <w:shd w:val="clear" w:color="auto" w:fill="FFFFFF"/>
        </w:rPr>
        <w:t> Spațiile comerciale sunt considerate cu risc mare de incendiu, iar atunci când sunt prevăzute cu instalații automate de stingere cu apă, sunt considerate cu risc mijlociu de incendiu.</w:t>
      </w:r>
    </w:p>
    <w:p w14:paraId="43DBECD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3.10.44.</w:t>
      </w:r>
      <w:r>
        <w:rPr>
          <w:rFonts w:eastAsia="Calibri"/>
          <w:i/>
          <w:sz w:val="24"/>
          <w:szCs w:val="24"/>
          <w:shd w:val="clear" w:color="auto" w:fill="FFFFFF"/>
        </w:rPr>
        <w:t> Scările interioare de evacuare ale construcțiilor existente pentru comerț, se recomandă să fie iluminate natural.</w:t>
      </w:r>
    </w:p>
    <w:p w14:paraId="671AB2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3.10.45.</w:t>
      </w:r>
      <w:r>
        <w:rPr>
          <w:rFonts w:eastAsia="Calibri"/>
          <w:i/>
          <w:sz w:val="24"/>
          <w:szCs w:val="24"/>
          <w:shd w:val="clear" w:color="auto" w:fill="FFFFFF"/>
        </w:rPr>
        <w:t> Spațiile comerciale care se încadrează în categoria sălilor aglomerate, vor respecta și condițiile specifice acestora.</w:t>
      </w:r>
    </w:p>
    <w:p w14:paraId="064663C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3.10.46.</w:t>
      </w:r>
      <w:r>
        <w:rPr>
          <w:rFonts w:eastAsia="Calibri"/>
          <w:i/>
          <w:sz w:val="24"/>
          <w:szCs w:val="24"/>
          <w:shd w:val="clear" w:color="auto" w:fill="FFFFFF"/>
        </w:rPr>
        <w:t> În spațiile comerciale nu sunt admise produse explozive sau cu ardere violentă (muniție, artificii, etc), gaze lichefiate și lichide combustibile cu temperatura de inflamabilitate a vaporilorsub 28°C. Fac excepție produsele cosmetice și farmaceutice ambalate în flacoane, precum și magazinele special realizate pentru comercializarea unor produse periculoase.</w:t>
      </w:r>
    </w:p>
    <w:p w14:paraId="556DBE13" w14:textId="77777777" w:rsidR="001C08A5" w:rsidRDefault="00000000">
      <w:pPr>
        <w:pStyle w:val="Heading4"/>
        <w:rPr>
          <w:sz w:val="24"/>
          <w:szCs w:val="24"/>
        </w:rPr>
      </w:pPr>
      <w:bookmarkStart w:id="10935" w:name="_Toc162355589"/>
      <w:bookmarkStart w:id="10936" w:name="_Toc3384"/>
      <w:bookmarkStart w:id="10937" w:name="_Toc30226"/>
      <w:bookmarkStart w:id="10938" w:name="_Toc9879"/>
      <w:bookmarkStart w:id="10939" w:name="_Toc28901"/>
      <w:bookmarkStart w:id="10940" w:name="_Toc27446"/>
      <w:r>
        <w:rPr>
          <w:sz w:val="24"/>
          <w:szCs w:val="24"/>
        </w:rPr>
        <w:t>Clădiri  existente pentru sănătate</w:t>
      </w:r>
      <w:bookmarkEnd w:id="10935"/>
      <w:bookmarkEnd w:id="10936"/>
      <w:bookmarkEnd w:id="10937"/>
      <w:bookmarkEnd w:id="10938"/>
      <w:bookmarkEnd w:id="10939"/>
      <w:bookmarkEnd w:id="10940"/>
    </w:p>
    <w:p w14:paraId="6E21CC5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3.10.47.</w:t>
      </w:r>
      <w:r>
        <w:rPr>
          <w:rFonts w:eastAsia="Calibri"/>
          <w:i/>
          <w:sz w:val="24"/>
          <w:szCs w:val="24"/>
          <w:shd w:val="clear" w:color="auto" w:fill="FFFFFF"/>
        </w:rPr>
        <w:t> Clădirile pentru sănătate existente (spitale, policlinici, dispensare, case de copii, aziluri bătrâni, etc), vor îndeplini condițiile comune prevăzute în normativ, precum și cele din reglementările specifice.</w:t>
      </w:r>
    </w:p>
    <w:p w14:paraId="21AA40D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3.10.48.</w:t>
      </w:r>
      <w:r>
        <w:rPr>
          <w:rFonts w:eastAsia="Calibri"/>
          <w:i/>
          <w:sz w:val="24"/>
          <w:szCs w:val="24"/>
          <w:shd w:val="clear" w:color="auto" w:fill="FFFFFF"/>
        </w:rPr>
        <w:t xml:space="preserve"> Clădirile existente pentru sănătate vor îndeplini condițiile de corelare între nivelul de stabilitate la incendiu, arie construită și număr de niveluri, conform prevederilor Art. </w:t>
      </w:r>
      <w:r>
        <w:rPr>
          <w:rFonts w:eastAsia="Calibri"/>
          <w:b/>
          <w:i/>
          <w:sz w:val="24"/>
          <w:szCs w:val="24"/>
          <w:shd w:val="clear" w:color="auto" w:fill="FFFFFF"/>
        </w:rPr>
        <w:t>A.10.3.2.4</w:t>
      </w:r>
      <w:r>
        <w:rPr>
          <w:rFonts w:eastAsia="Calibri"/>
          <w:b/>
          <w:bCs/>
          <w:i/>
          <w:sz w:val="24"/>
          <w:szCs w:val="24"/>
          <w:shd w:val="clear" w:color="auto" w:fill="FFFFFF"/>
        </w:rPr>
        <w:t xml:space="preserve">. și </w:t>
      </w:r>
      <w:r>
        <w:rPr>
          <w:rFonts w:eastAsia="Calibri"/>
          <w:i/>
          <w:sz w:val="24"/>
          <w:szCs w:val="24"/>
          <w:shd w:val="clear" w:color="auto" w:fill="FFFFFF"/>
        </w:rPr>
        <w:t xml:space="preserve">Art. </w:t>
      </w:r>
      <w:r>
        <w:rPr>
          <w:rFonts w:eastAsia="Calibri"/>
          <w:b/>
          <w:i/>
          <w:sz w:val="24"/>
          <w:szCs w:val="24"/>
          <w:shd w:val="clear" w:color="auto" w:fill="FFFFFF"/>
        </w:rPr>
        <w:t>A.10.</w:t>
      </w:r>
      <w:r>
        <w:rPr>
          <w:rFonts w:eastAsia="Calibri"/>
          <w:b/>
          <w:bCs/>
          <w:i/>
          <w:sz w:val="24"/>
          <w:szCs w:val="24"/>
          <w:shd w:val="clear" w:color="auto" w:fill="FFFFFF"/>
        </w:rPr>
        <w:t>3.2.5.</w:t>
      </w:r>
      <w:r>
        <w:rPr>
          <w:rFonts w:eastAsia="Calibri"/>
          <w:i/>
          <w:sz w:val="24"/>
          <w:szCs w:val="24"/>
          <w:shd w:val="clear" w:color="auto" w:fill="FFFFFF"/>
        </w:rPr>
        <w:t>, recomandându- se utilizarea elementelor de construcții rezistente la foc.</w:t>
      </w:r>
    </w:p>
    <w:p w14:paraId="1B853F6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3.10.49.</w:t>
      </w:r>
      <w:r>
        <w:rPr>
          <w:rFonts w:eastAsia="Calibri"/>
          <w:i/>
          <w:sz w:val="24"/>
          <w:szCs w:val="24"/>
          <w:shd w:val="clear" w:color="auto" w:fill="FFFFFF"/>
        </w:rPr>
        <w:t> În clădirile existente pentru sănătate în care sunt spitalizate persoane care nu se pot deplasa singure, se interzic scări cu rampe curbe sau cu trepte balansate, iar scări deschise se admit doar între două niveluri succesive.</w:t>
      </w:r>
    </w:p>
    <w:p w14:paraId="61DE5C6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3.10.50.</w:t>
      </w:r>
      <w:r>
        <w:rPr>
          <w:rFonts w:eastAsia="Calibri"/>
          <w:i/>
          <w:sz w:val="24"/>
          <w:szCs w:val="24"/>
          <w:shd w:val="clear" w:color="auto" w:fill="FFFFFF"/>
        </w:rPr>
        <w:t> Casele de scări ale clădirilor existente pentru sănătate vor fi, pe cât posibil, iluminate natural.</w:t>
      </w:r>
    </w:p>
    <w:p w14:paraId="2A8CFE7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3.10.51.</w:t>
      </w:r>
      <w:r>
        <w:rPr>
          <w:rFonts w:eastAsia="Calibri"/>
          <w:i/>
          <w:sz w:val="24"/>
          <w:szCs w:val="24"/>
          <w:shd w:val="clear" w:color="auto" w:fill="FFFFFF"/>
        </w:rPr>
        <w:t> În situațiile în care evacuarea persoanelor din clădirea existentă se poate efectua numai cu însoțitori (cu targa sau cu căruciorul), gabaritele minime libere ale căilor de evacuare vor fi următoarele:</w:t>
      </w:r>
    </w:p>
    <w:p w14:paraId="7E0BFE63"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xml:space="preserve"> Lățimi de trecere pentru </w:t>
      </w:r>
      <w:r>
        <w:rPr>
          <w:rFonts w:eastAsia="Calibri"/>
          <w:b/>
          <w:bCs/>
          <w:i/>
          <w:sz w:val="24"/>
          <w:szCs w:val="24"/>
          <w:shd w:val="clear" w:color="auto" w:fill="FFFFFF"/>
        </w:rPr>
        <w:t>2 fluxuri</w:t>
      </w:r>
      <w:r>
        <w:rPr>
          <w:rFonts w:eastAsia="Calibri"/>
          <w:i/>
          <w:sz w:val="24"/>
          <w:szCs w:val="24"/>
          <w:shd w:val="clear" w:color="auto" w:fill="FFFFFF"/>
        </w:rPr>
        <w:t>:</w:t>
      </w:r>
    </w:p>
    <w:p w14:paraId="2D2B1B45"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coridoare și rampe de scări sau planuri înclinate, minimum </w:t>
      </w:r>
      <w:r>
        <w:rPr>
          <w:rFonts w:eastAsia="Calibri"/>
          <w:b/>
          <w:bCs/>
          <w:i/>
          <w:sz w:val="24"/>
          <w:szCs w:val="24"/>
          <w:shd w:val="clear" w:color="auto" w:fill="FFFFFF"/>
          <w:lang w:val="en-US" w:eastAsia="zh-CN" w:bidi="ar"/>
        </w:rPr>
        <w:t>2,20 m</w:t>
      </w:r>
      <w:r>
        <w:rPr>
          <w:rFonts w:eastAsia="Calibri"/>
          <w:i/>
          <w:sz w:val="24"/>
          <w:szCs w:val="24"/>
          <w:shd w:val="clear" w:color="auto" w:fill="FFFFFF"/>
          <w:lang w:val="en-US" w:eastAsia="zh-CN" w:bidi="ar"/>
        </w:rPr>
        <w:t>;</w:t>
      </w:r>
    </w:p>
    <w:p w14:paraId="69C1F0EB"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podește/paliere de scară sau planuri înclinate, minimum </w:t>
      </w:r>
      <w:r>
        <w:rPr>
          <w:rFonts w:eastAsia="Calibri"/>
          <w:b/>
          <w:bCs/>
          <w:i/>
          <w:sz w:val="24"/>
          <w:szCs w:val="24"/>
          <w:shd w:val="clear" w:color="auto" w:fill="FFFFFF"/>
          <w:lang w:val="en-US" w:eastAsia="zh-CN" w:bidi="ar"/>
        </w:rPr>
        <w:t>2,60 m</w:t>
      </w:r>
      <w:r>
        <w:rPr>
          <w:rFonts w:eastAsia="Calibri"/>
          <w:i/>
          <w:sz w:val="24"/>
          <w:szCs w:val="24"/>
          <w:shd w:val="clear" w:color="auto" w:fill="FFFFFF"/>
          <w:lang w:val="en-US" w:eastAsia="zh-CN" w:bidi="ar"/>
        </w:rPr>
        <w:t>;</w:t>
      </w:r>
    </w:p>
    <w:p w14:paraId="504452D1"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w:t>
      </w:r>
      <w:r>
        <w:rPr>
          <w:rFonts w:eastAsia="Calibri"/>
          <w:i/>
          <w:sz w:val="24"/>
          <w:szCs w:val="24"/>
          <w:shd w:val="clear" w:color="auto" w:fill="FFFFFF"/>
          <w:lang w:val="en-US" w:eastAsia="zh-CN" w:bidi="ar"/>
        </w:rPr>
        <w:t xml:space="preserve"> paliere în fața lifturilor de persoane pentru bolnavi transportați cu targa, minimum </w:t>
      </w:r>
      <w:r>
        <w:rPr>
          <w:rFonts w:eastAsia="Calibri"/>
          <w:b/>
          <w:bCs/>
          <w:i/>
          <w:sz w:val="24"/>
          <w:szCs w:val="24"/>
          <w:shd w:val="clear" w:color="auto" w:fill="FFFFFF"/>
          <w:lang w:val="en-US" w:eastAsia="zh-CN" w:bidi="ar"/>
        </w:rPr>
        <w:t>2,50 m</w:t>
      </w:r>
      <w:r>
        <w:rPr>
          <w:rFonts w:eastAsia="Calibri"/>
          <w:b/>
          <w:bCs/>
          <w:i/>
          <w:sz w:val="24"/>
          <w:szCs w:val="24"/>
          <w:shd w:val="clear" w:color="auto" w:fill="FFFFFF"/>
          <w:lang w:eastAsia="zh-CN" w:bidi="ar"/>
        </w:rPr>
        <w:t xml:space="preserve"> </w:t>
      </w:r>
    </w:p>
    <w:p w14:paraId="682A07E5" w14:textId="77777777" w:rsidR="001C08A5" w:rsidRDefault="00000000">
      <w:pPr>
        <w:shd w:val="clear" w:color="auto" w:fill="FFFFFF"/>
        <w:spacing w:after="150"/>
        <w:jc w:val="both"/>
        <w:rPr>
          <w:rFonts w:eastAsia="Calibri"/>
          <w:i/>
          <w:sz w:val="24"/>
          <w:szCs w:val="24"/>
          <w:shd w:val="clear" w:color="auto" w:fill="FFFFFF"/>
        </w:rPr>
      </w:pPr>
      <w:r>
        <w:rPr>
          <w:rFonts w:eastAsia="Calibri"/>
          <w:b/>
          <w:bCs/>
          <w:i/>
          <w:sz w:val="24"/>
          <w:szCs w:val="24"/>
          <w:shd w:val="clear" w:color="auto" w:fill="FFFFFF"/>
        </w:rPr>
        <w:lastRenderedPageBreak/>
        <w:t>b)</w:t>
      </w:r>
      <w:r>
        <w:rPr>
          <w:rFonts w:eastAsia="Calibri"/>
          <w:i/>
          <w:sz w:val="24"/>
          <w:szCs w:val="24"/>
          <w:shd w:val="clear" w:color="auto" w:fill="FFFFFF"/>
        </w:rPr>
        <w:t xml:space="preserve"> Înălțimile de trecere pe căile de evacuare nu vor fi mai mici de </w:t>
      </w:r>
      <w:r>
        <w:rPr>
          <w:rFonts w:eastAsia="Calibri"/>
          <w:b/>
          <w:bCs/>
          <w:i/>
          <w:sz w:val="24"/>
          <w:szCs w:val="24"/>
          <w:shd w:val="clear" w:color="auto" w:fill="FFFFFF"/>
        </w:rPr>
        <w:t xml:space="preserve">2,10 </w:t>
      </w:r>
      <w:r>
        <w:rPr>
          <w:rFonts w:eastAsia="Calibri"/>
          <w:i/>
          <w:sz w:val="24"/>
          <w:szCs w:val="24"/>
          <w:shd w:val="clear" w:color="auto" w:fill="FFFFFF"/>
        </w:rPr>
        <w:t>m.</w:t>
      </w:r>
    </w:p>
    <w:p w14:paraId="2F7DD294" w14:textId="77777777" w:rsidR="001C08A5" w:rsidRDefault="00000000">
      <w:pPr>
        <w:shd w:val="clear" w:color="auto" w:fill="FFFFFF"/>
        <w:spacing w:after="150"/>
        <w:jc w:val="both"/>
        <w:rPr>
          <w:rFonts w:eastAsia="Calibri"/>
          <w:i/>
          <w:sz w:val="24"/>
          <w:szCs w:val="24"/>
          <w:shd w:val="clear" w:color="auto" w:fill="FFFFFF"/>
        </w:rPr>
      </w:pPr>
      <w:r>
        <w:rPr>
          <w:rFonts w:eastAsia="Calibri"/>
          <w:b/>
          <w:bCs/>
          <w:i/>
          <w:sz w:val="24"/>
          <w:szCs w:val="24"/>
          <w:shd w:val="clear" w:color="auto" w:fill="FFFFFF"/>
        </w:rPr>
        <w:t>c)</w:t>
      </w:r>
      <w:r>
        <w:rPr>
          <w:rFonts w:eastAsia="Calibri"/>
          <w:i/>
          <w:sz w:val="24"/>
          <w:szCs w:val="24"/>
          <w:shd w:val="clear" w:color="auto" w:fill="FFFFFF"/>
        </w:rPr>
        <w:t xml:space="preserve"> </w:t>
      </w:r>
      <w:r>
        <w:rPr>
          <w:rFonts w:eastAsia="Calibri"/>
          <w:i/>
          <w:sz w:val="24"/>
          <w:szCs w:val="24"/>
          <w:shd w:val="clear" w:color="auto" w:fill="FFFFFF"/>
          <w:lang w:eastAsia="zh-CN" w:bidi="ar"/>
        </w:rPr>
        <w:t xml:space="preserve">Se vor avea în vedere prevederile </w:t>
      </w:r>
      <w:r>
        <w:rPr>
          <w:rFonts w:eastAsia="Calibri"/>
          <w:b/>
          <w:bCs/>
          <w:i/>
          <w:sz w:val="24"/>
          <w:szCs w:val="24"/>
          <w:shd w:val="clear" w:color="auto" w:fill="FFFFFF"/>
          <w:lang w:eastAsia="zh-CN" w:bidi="ar"/>
        </w:rPr>
        <w:t>Art. 3.2.4.3.</w:t>
      </w:r>
    </w:p>
    <w:p w14:paraId="0904514F"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3.10.52.</w:t>
      </w:r>
      <w:r>
        <w:rPr>
          <w:rFonts w:eastAsia="Calibri"/>
          <w:i/>
          <w:sz w:val="24"/>
          <w:szCs w:val="24"/>
          <w:shd w:val="clear" w:color="auto" w:fill="FFFFFF"/>
        </w:rPr>
        <w:t> În funcție de numărul de niveluri ale construcției existente și de numărul de bolnavi transportabili cu targa sau căruciorul de la nivelul cel mai aglomerat, se recomandă ca ascensoarele pentru aceștia să fie astfel alcătuite constructiv și alimentate cu energie electrică, încât să poată fi utilizate și pentru evacuarea bolnavilor în caz de incendiu.</w:t>
      </w:r>
    </w:p>
    <w:p w14:paraId="05AFF980"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3.10.53.</w:t>
      </w:r>
      <w:r>
        <w:rPr>
          <w:rFonts w:eastAsia="Calibri"/>
          <w:i/>
          <w:sz w:val="24"/>
          <w:szCs w:val="24"/>
          <w:shd w:val="clear" w:color="auto" w:fill="FFFFFF"/>
        </w:rPr>
        <w:t xml:space="preserve"> Lungimile maxime ale căilor de evacuare în clădirile existente pentru sănătate, care nu sunt înalte sau foarte înalte, se asigură ținând seama și de necesitatea transportării bolnavilor cu targa sau căruciorul sunt precizate în conformitate cu prevederile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_Ref11344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67: Lungimi de evacuare în clădiri pentru sănătate supraterane cu înălţimi obişnuite (la care este necesar transportul bolnavilor cu targa sau căruciorul)</w:t>
      </w:r>
      <w:r>
        <w:rPr>
          <w:rFonts w:eastAsia="Calibri"/>
          <w:b/>
          <w:bCs/>
          <w:i/>
          <w:iCs/>
          <w:sz w:val="24"/>
          <w:szCs w:val="24"/>
          <w:shd w:val="clear" w:color="auto" w:fill="FFFFFF"/>
        </w:rPr>
        <w:fldChar w:fldCharType="end"/>
      </w:r>
      <w:r>
        <w:rPr>
          <w:rFonts w:eastAsia="Calibri"/>
          <w:b/>
          <w:bCs/>
          <w:i/>
          <w:iCs/>
          <w:sz w:val="24"/>
          <w:szCs w:val="24"/>
          <w:shd w:val="clear" w:color="auto" w:fill="FFFFFF"/>
        </w:rPr>
        <w:t xml:space="preserve"> </w:t>
      </w:r>
      <w:r>
        <w:rPr>
          <w:rFonts w:eastAsia="Calibri"/>
          <w:i/>
          <w:iCs/>
          <w:sz w:val="24"/>
          <w:szCs w:val="24"/>
          <w:shd w:val="clear" w:color="auto" w:fill="FFFFFF"/>
        </w:rPr>
        <w:t>și</w:t>
      </w:r>
      <w:r>
        <w:rPr>
          <w:rFonts w:eastAsia="Calibri"/>
          <w:b/>
          <w:bCs/>
          <w:i/>
          <w:iCs/>
          <w:sz w:val="24"/>
          <w:szCs w:val="24"/>
          <w:shd w:val="clear" w:color="auto" w:fill="FFFFFF"/>
        </w:rPr>
        <w:t xml:space="preserve">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_Ref11357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68: Lungimi de evacuare în clădiri pentru sănătate supraterane cu înălţimi obişnuite (la care nu este necesar transportul bolnavilor cu targa sau căruciorul)</w:t>
      </w:r>
      <w:r>
        <w:rPr>
          <w:rFonts w:eastAsia="Calibri"/>
          <w:b/>
          <w:bCs/>
          <w:i/>
          <w:iCs/>
          <w:sz w:val="24"/>
          <w:szCs w:val="24"/>
          <w:shd w:val="clear" w:color="auto" w:fill="FFFFFF"/>
        </w:rPr>
        <w:fldChar w:fldCharType="end"/>
      </w:r>
      <w:r>
        <w:rPr>
          <w:b/>
          <w:i/>
          <w:sz w:val="24"/>
          <w:szCs w:val="24"/>
        </w:rPr>
        <w:t>.</w:t>
      </w:r>
    </w:p>
    <w:p w14:paraId="4B036703"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3.10.54.</w:t>
      </w:r>
      <w:r>
        <w:rPr>
          <w:rFonts w:eastAsia="Calibri"/>
          <w:i/>
          <w:sz w:val="24"/>
          <w:szCs w:val="24"/>
          <w:shd w:val="clear" w:color="auto" w:fill="FFFFFF"/>
        </w:rPr>
        <w:t xml:space="preserve"> Comportarea la foc a pereților de pe căile de evacuare, va respecta condițiile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_Ref11540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155</w:t>
      </w:r>
      <w:r>
        <w:rPr>
          <w:rFonts w:eastAsia="Calibri"/>
          <w:b/>
          <w:bCs/>
          <w:i/>
          <w:iCs/>
          <w:sz w:val="24"/>
          <w:szCs w:val="24"/>
          <w:shd w:val="clear" w:color="auto" w:fill="FFFFFF"/>
        </w:rPr>
        <w:fldChar w:fldCharType="end"/>
      </w:r>
      <w:r>
        <w:rPr>
          <w:rFonts w:eastAsia="Calibri"/>
          <w:i/>
          <w:sz w:val="24"/>
          <w:szCs w:val="24"/>
          <w:shd w:val="clear" w:color="auto" w:fill="FFFFFF"/>
        </w:rPr>
        <w:t xml:space="preserve"> (dacă nu sunt clădiri existente înalte sau foarte înalte).</w:t>
      </w:r>
    </w:p>
    <w:p w14:paraId="5C93AAD1" w14:textId="77777777" w:rsidR="001C08A5" w:rsidRDefault="00000000">
      <w:pPr>
        <w:pStyle w:val="Caption"/>
        <w:shd w:val="clear" w:color="auto" w:fill="FFFFFF"/>
        <w:spacing w:before="0" w:after="150"/>
        <w:jc w:val="both"/>
        <w:rPr>
          <w:rFonts w:eastAsia="Calibri" w:cs="Times New Roman"/>
          <w:shd w:val="clear" w:color="auto" w:fill="FFFFFF"/>
        </w:rPr>
      </w:pPr>
      <w:bookmarkStart w:id="10941" w:name="_Ref11540"/>
      <w:bookmarkStart w:id="10942" w:name="_Toc162360205"/>
      <w:r>
        <w:t xml:space="preserve">Tabelul </w:t>
      </w:r>
      <w:r>
        <w:fldChar w:fldCharType="begin"/>
      </w:r>
      <w:r>
        <w:instrText xml:space="preserve"> SEQ Tabelul \* ARABIC </w:instrText>
      </w:r>
      <w:r>
        <w:fldChar w:fldCharType="separate"/>
      </w:r>
      <w:r>
        <w:t>155</w:t>
      </w:r>
      <w:r>
        <w:fldChar w:fldCharType="end"/>
      </w:r>
      <w:bookmarkStart w:id="10943" w:name="_Toc25145"/>
      <w:bookmarkStart w:id="10944" w:name="_Toc22567"/>
      <w:bookmarkStart w:id="10945" w:name="_Toc25625"/>
      <w:bookmarkStart w:id="10946" w:name="_Toc26457"/>
      <w:bookmarkStart w:id="10947" w:name="_Toc21565"/>
      <w:bookmarkStart w:id="10948" w:name="_Toc13045"/>
      <w:bookmarkStart w:id="10949" w:name="_Toc18261"/>
      <w:bookmarkStart w:id="10950" w:name="_Toc8573"/>
      <w:bookmarkStart w:id="10951" w:name="_Toc17046"/>
      <w:bookmarkStart w:id="10952" w:name="_Toc27248"/>
      <w:bookmarkStart w:id="10953" w:name="_Toc7558"/>
      <w:bookmarkEnd w:id="10941"/>
      <w:r>
        <w:t xml:space="preserve">: </w:t>
      </w:r>
      <w:r>
        <w:rPr>
          <w:rFonts w:eastAsia="Calibri"/>
          <w:shd w:val="clear" w:color="auto" w:fill="FFFFFF"/>
        </w:rPr>
        <w:t>Separare a căilor comune de circulație și de evacuare la clădiri existente de sănătate</w:t>
      </w:r>
      <w:bookmarkEnd w:id="10942"/>
      <w:bookmarkEnd w:id="10943"/>
      <w:bookmarkEnd w:id="10944"/>
      <w:bookmarkEnd w:id="10945"/>
      <w:bookmarkEnd w:id="10946"/>
      <w:bookmarkEnd w:id="10947"/>
      <w:bookmarkEnd w:id="10948"/>
      <w:bookmarkEnd w:id="10949"/>
      <w:bookmarkEnd w:id="10950"/>
      <w:bookmarkEnd w:id="10951"/>
      <w:bookmarkEnd w:id="10952"/>
      <w:bookmarkEnd w:id="10953"/>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44"/>
        <w:gridCol w:w="1736"/>
        <w:gridCol w:w="1735"/>
        <w:gridCol w:w="1735"/>
        <w:gridCol w:w="1735"/>
        <w:gridCol w:w="1742"/>
      </w:tblGrid>
      <w:tr w:rsidR="001C08A5" w14:paraId="60BB006D" w14:textId="77777777">
        <w:trPr>
          <w:trHeight w:val="390"/>
          <w:tblHeader/>
        </w:trPr>
        <w:tc>
          <w:tcPr>
            <w:tcW w:w="490" w:type="pct"/>
            <w:vMerge w:val="restart"/>
            <w:shd w:val="clear" w:color="auto" w:fill="D7D7D7"/>
            <w:tcMar>
              <w:top w:w="0" w:type="dxa"/>
              <w:left w:w="0" w:type="dxa"/>
              <w:bottom w:w="0" w:type="dxa"/>
              <w:right w:w="0" w:type="dxa"/>
            </w:tcMar>
            <w:vAlign w:val="center"/>
          </w:tcPr>
          <w:p w14:paraId="280CEDC4" w14:textId="77777777" w:rsidR="001C08A5" w:rsidRDefault="00000000">
            <w:pPr>
              <w:jc w:val="center"/>
              <w:rPr>
                <w:b/>
                <w:bCs/>
                <w:i/>
                <w:sz w:val="22"/>
                <w:szCs w:val="22"/>
              </w:rPr>
            </w:pPr>
            <w:r>
              <w:rPr>
                <w:b/>
                <w:bCs/>
                <w:i/>
                <w:sz w:val="22"/>
                <w:szCs w:val="22"/>
              </w:rPr>
              <w:t>Nivel de stabilitate</w:t>
            </w:r>
          </w:p>
          <w:p w14:paraId="130A49E1" w14:textId="77777777" w:rsidR="001C08A5" w:rsidRDefault="00000000">
            <w:pPr>
              <w:jc w:val="center"/>
              <w:rPr>
                <w:b/>
                <w:bCs/>
                <w:i/>
                <w:sz w:val="22"/>
                <w:szCs w:val="22"/>
              </w:rPr>
            </w:pPr>
            <w:r>
              <w:rPr>
                <w:b/>
                <w:bCs/>
                <w:i/>
                <w:sz w:val="22"/>
                <w:szCs w:val="22"/>
              </w:rPr>
              <w:t>la incendiu</w:t>
            </w:r>
          </w:p>
        </w:tc>
        <w:tc>
          <w:tcPr>
            <w:tcW w:w="4509" w:type="pct"/>
            <w:gridSpan w:val="5"/>
            <w:shd w:val="clear" w:color="auto" w:fill="D7D7D7"/>
            <w:tcMar>
              <w:top w:w="0" w:type="dxa"/>
              <w:left w:w="0" w:type="dxa"/>
              <w:bottom w:w="0" w:type="dxa"/>
              <w:right w:w="0" w:type="dxa"/>
            </w:tcMar>
            <w:vAlign w:val="center"/>
          </w:tcPr>
          <w:p w14:paraId="0CC0EFC5" w14:textId="77777777" w:rsidR="001C08A5" w:rsidRDefault="00000000">
            <w:pPr>
              <w:jc w:val="center"/>
              <w:rPr>
                <w:b/>
                <w:bCs/>
                <w:i/>
                <w:sz w:val="22"/>
                <w:szCs w:val="22"/>
                <w:lang w:val="en-US" w:eastAsia="zh-CN" w:bidi="ar"/>
              </w:rPr>
            </w:pPr>
            <w:r>
              <w:rPr>
                <w:b/>
                <w:bCs/>
                <w:i/>
                <w:sz w:val="22"/>
                <w:szCs w:val="22"/>
                <w:lang w:val="en-US" w:eastAsia="zh-CN" w:bidi="ar"/>
              </w:rPr>
              <w:t>Nivele de comportare la foc admise</w:t>
            </w:r>
          </w:p>
        </w:tc>
      </w:tr>
      <w:tr w:rsidR="001C08A5" w14:paraId="509DCB53" w14:textId="77777777">
        <w:trPr>
          <w:trHeight w:val="375"/>
          <w:tblHeader/>
        </w:trPr>
        <w:tc>
          <w:tcPr>
            <w:tcW w:w="490" w:type="pct"/>
            <w:vMerge/>
            <w:shd w:val="clear" w:color="auto" w:fill="D7D7D7"/>
            <w:tcMar>
              <w:top w:w="0" w:type="dxa"/>
              <w:left w:w="0" w:type="dxa"/>
              <w:bottom w:w="0" w:type="dxa"/>
              <w:right w:w="0" w:type="dxa"/>
            </w:tcMar>
            <w:vAlign w:val="center"/>
          </w:tcPr>
          <w:p w14:paraId="010C47B8" w14:textId="77777777" w:rsidR="001C08A5" w:rsidRDefault="001C08A5">
            <w:pPr>
              <w:jc w:val="center"/>
              <w:rPr>
                <w:b/>
                <w:bCs/>
                <w:i/>
                <w:sz w:val="22"/>
                <w:szCs w:val="22"/>
              </w:rPr>
            </w:pPr>
          </w:p>
        </w:tc>
        <w:tc>
          <w:tcPr>
            <w:tcW w:w="901" w:type="pct"/>
            <w:shd w:val="clear" w:color="auto" w:fill="D7D7D7"/>
            <w:tcMar>
              <w:top w:w="0" w:type="dxa"/>
              <w:left w:w="0" w:type="dxa"/>
              <w:bottom w:w="0" w:type="dxa"/>
              <w:right w:w="0" w:type="dxa"/>
            </w:tcMar>
            <w:vAlign w:val="center"/>
          </w:tcPr>
          <w:p w14:paraId="4F280375" w14:textId="77777777" w:rsidR="001C08A5" w:rsidRDefault="00000000">
            <w:pPr>
              <w:jc w:val="center"/>
              <w:rPr>
                <w:b/>
                <w:bCs/>
                <w:i/>
                <w:sz w:val="22"/>
                <w:szCs w:val="22"/>
              </w:rPr>
            </w:pPr>
            <w:r>
              <w:rPr>
                <w:b/>
                <w:bCs/>
                <w:i/>
                <w:sz w:val="22"/>
                <w:szCs w:val="22"/>
                <w:lang w:val="en-US" w:eastAsia="zh-CN" w:bidi="ar"/>
              </w:rPr>
              <w:t>Pereți la coridoare</w:t>
            </w:r>
          </w:p>
        </w:tc>
        <w:tc>
          <w:tcPr>
            <w:tcW w:w="901" w:type="pct"/>
            <w:shd w:val="clear" w:color="auto" w:fill="D7D7D7"/>
            <w:tcMar>
              <w:top w:w="0" w:type="dxa"/>
              <w:left w:w="0" w:type="dxa"/>
              <w:bottom w:w="0" w:type="dxa"/>
              <w:right w:w="0" w:type="dxa"/>
            </w:tcMar>
            <w:vAlign w:val="center"/>
          </w:tcPr>
          <w:p w14:paraId="4D198063" w14:textId="77777777" w:rsidR="001C08A5" w:rsidRDefault="00000000">
            <w:pPr>
              <w:jc w:val="center"/>
              <w:rPr>
                <w:b/>
                <w:bCs/>
                <w:i/>
                <w:sz w:val="22"/>
                <w:szCs w:val="22"/>
              </w:rPr>
            </w:pPr>
            <w:r>
              <w:rPr>
                <w:b/>
                <w:bCs/>
                <w:i/>
                <w:sz w:val="22"/>
                <w:szCs w:val="22"/>
                <w:lang w:val="en-US" w:eastAsia="zh-CN" w:bidi="ar"/>
              </w:rPr>
              <w:t>Pereți la holuri</w:t>
            </w:r>
          </w:p>
        </w:tc>
        <w:tc>
          <w:tcPr>
            <w:tcW w:w="901" w:type="pct"/>
            <w:shd w:val="clear" w:color="auto" w:fill="D7D7D7"/>
            <w:tcMar>
              <w:top w:w="0" w:type="dxa"/>
              <w:left w:w="0" w:type="dxa"/>
              <w:bottom w:w="0" w:type="dxa"/>
              <w:right w:w="0" w:type="dxa"/>
            </w:tcMar>
            <w:vAlign w:val="center"/>
          </w:tcPr>
          <w:p w14:paraId="665F35F2" w14:textId="77777777" w:rsidR="001C08A5" w:rsidRDefault="00000000">
            <w:pPr>
              <w:jc w:val="center"/>
              <w:rPr>
                <w:b/>
                <w:bCs/>
                <w:i/>
                <w:sz w:val="22"/>
                <w:szCs w:val="22"/>
              </w:rPr>
            </w:pPr>
            <w:r>
              <w:rPr>
                <w:b/>
                <w:bCs/>
                <w:i/>
                <w:sz w:val="22"/>
                <w:szCs w:val="22"/>
              </w:rPr>
              <w:t xml:space="preserve">Uși </w:t>
            </w:r>
            <w:r>
              <w:rPr>
                <w:b/>
                <w:bCs/>
                <w:i/>
                <w:sz w:val="22"/>
                <w:szCs w:val="22"/>
                <w:lang w:val="en-US" w:eastAsia="zh-CN" w:bidi="ar"/>
              </w:rPr>
              <w:t>la</w:t>
            </w:r>
            <w:r>
              <w:rPr>
                <w:b/>
                <w:bCs/>
                <w:i/>
                <w:sz w:val="22"/>
                <w:szCs w:val="22"/>
                <w:lang w:eastAsia="zh-CN" w:bidi="ar"/>
              </w:rPr>
              <w:t xml:space="preserve"> </w:t>
            </w:r>
            <w:r>
              <w:rPr>
                <w:b/>
                <w:bCs/>
                <w:i/>
                <w:sz w:val="22"/>
                <w:szCs w:val="22"/>
                <w:lang w:val="en-US" w:eastAsia="zh-CN" w:bidi="ar"/>
              </w:rPr>
              <w:t>coridoare</w:t>
            </w:r>
            <w:r>
              <w:rPr>
                <w:b/>
                <w:bCs/>
                <w:i/>
                <w:sz w:val="22"/>
                <w:szCs w:val="22"/>
                <w:lang w:eastAsia="zh-CN" w:bidi="ar"/>
              </w:rPr>
              <w:t xml:space="preserve"> și la</w:t>
            </w:r>
            <w:r>
              <w:rPr>
                <w:b/>
                <w:bCs/>
                <w:i/>
                <w:sz w:val="22"/>
                <w:szCs w:val="22"/>
                <w:lang w:val="en-US" w:eastAsia="zh-CN" w:bidi="ar"/>
              </w:rPr>
              <w:t xml:space="preserve"> holuri</w:t>
            </w:r>
            <w:r>
              <w:rPr>
                <w:b/>
                <w:bCs/>
                <w:i/>
                <w:sz w:val="22"/>
                <w:szCs w:val="22"/>
                <w:lang w:eastAsia="zh-CN" w:bidi="ar"/>
              </w:rPr>
              <w:t xml:space="preserve"> </w:t>
            </w:r>
            <w:r>
              <w:rPr>
                <w:i/>
                <w:sz w:val="22"/>
                <w:szCs w:val="22"/>
              </w:rPr>
              <w:t>(cu excepţia celor către case de scări închise)</w:t>
            </w:r>
          </w:p>
        </w:tc>
        <w:tc>
          <w:tcPr>
            <w:tcW w:w="901" w:type="pct"/>
            <w:shd w:val="clear" w:color="auto" w:fill="D7D7D7"/>
            <w:tcMar>
              <w:top w:w="0" w:type="dxa"/>
              <w:left w:w="0" w:type="dxa"/>
              <w:bottom w:w="0" w:type="dxa"/>
              <w:right w:w="0" w:type="dxa"/>
            </w:tcMar>
            <w:vAlign w:val="center"/>
          </w:tcPr>
          <w:p w14:paraId="6DA578E7" w14:textId="77777777" w:rsidR="001C08A5" w:rsidRDefault="00000000">
            <w:pPr>
              <w:jc w:val="center"/>
              <w:rPr>
                <w:b/>
                <w:bCs/>
                <w:i/>
                <w:sz w:val="22"/>
                <w:szCs w:val="22"/>
                <w:lang w:eastAsia="zh-CN" w:bidi="ar"/>
              </w:rPr>
            </w:pPr>
            <w:r>
              <w:rPr>
                <w:b/>
                <w:bCs/>
                <w:i/>
                <w:sz w:val="22"/>
                <w:szCs w:val="22"/>
                <w:lang w:val="en-US" w:eastAsia="zh-CN" w:bidi="ar"/>
              </w:rPr>
              <w:t xml:space="preserve">Pereți la case de </w:t>
            </w:r>
            <w:proofErr w:type="gramStart"/>
            <w:r>
              <w:rPr>
                <w:b/>
                <w:bCs/>
                <w:i/>
                <w:sz w:val="22"/>
                <w:szCs w:val="22"/>
                <w:lang w:val="en-US" w:eastAsia="zh-CN" w:bidi="ar"/>
              </w:rPr>
              <w:t>scări</w:t>
            </w:r>
            <w:r>
              <w:rPr>
                <w:b/>
                <w:bCs/>
                <w:i/>
                <w:sz w:val="22"/>
                <w:szCs w:val="22"/>
                <w:lang w:eastAsia="zh-CN" w:bidi="ar"/>
              </w:rPr>
              <w:t xml:space="preserve">  închise</w:t>
            </w:r>
            <w:proofErr w:type="gramEnd"/>
          </w:p>
        </w:tc>
        <w:tc>
          <w:tcPr>
            <w:tcW w:w="903" w:type="pct"/>
            <w:shd w:val="clear" w:color="auto" w:fill="D7D7D7"/>
            <w:tcMar>
              <w:top w:w="0" w:type="dxa"/>
              <w:left w:w="0" w:type="dxa"/>
              <w:bottom w:w="0" w:type="dxa"/>
              <w:right w:w="0" w:type="dxa"/>
            </w:tcMar>
            <w:vAlign w:val="center"/>
          </w:tcPr>
          <w:p w14:paraId="001C16A8" w14:textId="77777777" w:rsidR="001C08A5" w:rsidRDefault="00000000">
            <w:pPr>
              <w:jc w:val="center"/>
              <w:rPr>
                <w:b/>
                <w:bCs/>
                <w:i/>
                <w:sz w:val="22"/>
                <w:szCs w:val="22"/>
                <w:lang w:eastAsia="zh-CN" w:bidi="ar"/>
              </w:rPr>
            </w:pPr>
            <w:r>
              <w:rPr>
                <w:b/>
                <w:bCs/>
                <w:i/>
                <w:sz w:val="22"/>
                <w:szCs w:val="22"/>
                <w:lang w:eastAsia="zh-CN" w:bidi="ar"/>
              </w:rPr>
              <w:t xml:space="preserve">Uși </w:t>
            </w:r>
            <w:r>
              <w:rPr>
                <w:b/>
                <w:bCs/>
                <w:i/>
                <w:sz w:val="22"/>
                <w:szCs w:val="22"/>
                <w:lang w:val="en-US" w:eastAsia="zh-CN" w:bidi="ar"/>
              </w:rPr>
              <w:t>la case de scări</w:t>
            </w:r>
            <w:r>
              <w:rPr>
                <w:b/>
                <w:bCs/>
                <w:i/>
                <w:sz w:val="22"/>
                <w:szCs w:val="22"/>
                <w:lang w:eastAsia="zh-CN" w:bidi="ar"/>
              </w:rPr>
              <w:t xml:space="preserve"> </w:t>
            </w:r>
            <w:r>
              <w:rPr>
                <w:i/>
                <w:sz w:val="22"/>
                <w:szCs w:val="22"/>
                <w:lang w:eastAsia="zh-CN" w:bidi="ar"/>
              </w:rPr>
              <w:t>(cu excepţia uşilor de apartament)</w:t>
            </w:r>
          </w:p>
        </w:tc>
      </w:tr>
      <w:tr w:rsidR="001C08A5" w14:paraId="2D828EAD" w14:textId="77777777">
        <w:trPr>
          <w:trHeight w:val="345"/>
        </w:trPr>
        <w:tc>
          <w:tcPr>
            <w:tcW w:w="490" w:type="pct"/>
            <w:tcMar>
              <w:top w:w="0" w:type="dxa"/>
              <w:left w:w="0" w:type="dxa"/>
              <w:bottom w:w="0" w:type="dxa"/>
              <w:right w:w="0" w:type="dxa"/>
            </w:tcMar>
            <w:vAlign w:val="center"/>
          </w:tcPr>
          <w:p w14:paraId="508E1402" w14:textId="77777777" w:rsidR="001C08A5" w:rsidRDefault="00000000">
            <w:pPr>
              <w:jc w:val="center"/>
              <w:rPr>
                <w:b/>
                <w:bCs/>
                <w:i/>
                <w:sz w:val="22"/>
                <w:szCs w:val="22"/>
              </w:rPr>
            </w:pPr>
            <w:r>
              <w:rPr>
                <w:b/>
                <w:bCs/>
                <w:i/>
                <w:sz w:val="22"/>
                <w:szCs w:val="22"/>
                <w:lang w:val="en-US" w:eastAsia="zh-CN" w:bidi="ar"/>
              </w:rPr>
              <w:t>I</w:t>
            </w:r>
          </w:p>
        </w:tc>
        <w:tc>
          <w:tcPr>
            <w:tcW w:w="1739" w:type="dxa"/>
            <w:tcMar>
              <w:top w:w="0" w:type="dxa"/>
              <w:left w:w="0" w:type="dxa"/>
              <w:bottom w:w="0" w:type="dxa"/>
              <w:right w:w="0" w:type="dxa"/>
            </w:tcMar>
            <w:vAlign w:val="center"/>
          </w:tcPr>
          <w:p w14:paraId="75A26551" w14:textId="77777777" w:rsidR="001C08A5" w:rsidRDefault="00000000">
            <w:pPr>
              <w:jc w:val="center"/>
              <w:rPr>
                <w:b/>
                <w:i/>
                <w:sz w:val="22"/>
                <w:szCs w:val="22"/>
              </w:rPr>
            </w:pPr>
            <w:r>
              <w:rPr>
                <w:b/>
                <w:i/>
                <w:sz w:val="22"/>
                <w:szCs w:val="22"/>
              </w:rPr>
              <w:t>EI/REI 90</w:t>
            </w:r>
          </w:p>
          <w:p w14:paraId="7215D766" w14:textId="77777777" w:rsidR="001C08A5" w:rsidRDefault="00000000">
            <w:pPr>
              <w:jc w:val="center"/>
              <w:rPr>
                <w:b/>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4AF55160" w14:textId="77777777" w:rsidR="001C08A5" w:rsidRDefault="00000000">
            <w:pPr>
              <w:jc w:val="center"/>
              <w:rPr>
                <w:b/>
                <w:i/>
                <w:sz w:val="22"/>
                <w:szCs w:val="22"/>
              </w:rPr>
            </w:pPr>
            <w:r>
              <w:rPr>
                <w:b/>
                <w:i/>
                <w:sz w:val="22"/>
                <w:szCs w:val="22"/>
              </w:rPr>
              <w:t>EI/REI 90</w:t>
            </w:r>
          </w:p>
          <w:p w14:paraId="403FAA50" w14:textId="77777777" w:rsidR="001C08A5" w:rsidRDefault="00000000">
            <w:pPr>
              <w:jc w:val="center"/>
              <w:rPr>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6575A21E" w14:textId="77777777" w:rsidR="001C08A5" w:rsidRDefault="00000000">
            <w:pPr>
              <w:jc w:val="center"/>
              <w:rPr>
                <w:i/>
                <w:sz w:val="22"/>
                <w:szCs w:val="22"/>
              </w:rPr>
            </w:pPr>
            <w:r>
              <w:rPr>
                <w:b/>
                <w:bCs/>
                <w:i/>
                <w:sz w:val="22"/>
                <w:szCs w:val="22"/>
              </w:rPr>
              <w:t>C5 Sa</w:t>
            </w:r>
          </w:p>
        </w:tc>
        <w:tc>
          <w:tcPr>
            <w:tcW w:w="1739" w:type="dxa"/>
            <w:tcMar>
              <w:top w:w="0" w:type="dxa"/>
              <w:left w:w="0" w:type="dxa"/>
              <w:bottom w:w="0" w:type="dxa"/>
              <w:right w:w="0" w:type="dxa"/>
            </w:tcMar>
            <w:vAlign w:val="center"/>
          </w:tcPr>
          <w:p w14:paraId="6CD937AE" w14:textId="77777777" w:rsidR="001C08A5" w:rsidRDefault="00000000">
            <w:pPr>
              <w:jc w:val="center"/>
              <w:rPr>
                <w:b/>
                <w:i/>
                <w:sz w:val="22"/>
                <w:szCs w:val="22"/>
              </w:rPr>
            </w:pPr>
            <w:r>
              <w:rPr>
                <w:b/>
                <w:i/>
                <w:sz w:val="22"/>
                <w:szCs w:val="22"/>
              </w:rPr>
              <w:t>EI/REI 180</w:t>
            </w:r>
          </w:p>
          <w:p w14:paraId="643A05CB" w14:textId="77777777" w:rsidR="001C08A5" w:rsidRDefault="00000000">
            <w:pPr>
              <w:jc w:val="center"/>
              <w:rPr>
                <w:b/>
                <w:i/>
                <w:sz w:val="22"/>
                <w:szCs w:val="22"/>
              </w:rPr>
            </w:pPr>
            <w:r>
              <w:rPr>
                <w:b/>
                <w:bCs/>
                <w:i/>
                <w:sz w:val="22"/>
                <w:szCs w:val="22"/>
                <w:lang w:val="en-GB"/>
              </w:rPr>
              <w:t>A1, A2s1d0</w:t>
            </w:r>
          </w:p>
        </w:tc>
        <w:tc>
          <w:tcPr>
            <w:tcW w:w="1746" w:type="dxa"/>
            <w:tcMar>
              <w:top w:w="0" w:type="dxa"/>
              <w:left w:w="0" w:type="dxa"/>
              <w:bottom w:w="0" w:type="dxa"/>
              <w:right w:w="0" w:type="dxa"/>
            </w:tcMar>
            <w:vAlign w:val="center"/>
          </w:tcPr>
          <w:p w14:paraId="20FD390E" w14:textId="77777777" w:rsidR="001C08A5" w:rsidRDefault="00000000">
            <w:pPr>
              <w:jc w:val="center"/>
              <w:rPr>
                <w:b/>
                <w:i/>
                <w:sz w:val="22"/>
                <w:szCs w:val="22"/>
              </w:rPr>
            </w:pPr>
            <w:r>
              <w:rPr>
                <w:b/>
                <w:bCs/>
                <w:i/>
                <w:sz w:val="22"/>
                <w:szCs w:val="22"/>
              </w:rPr>
              <w:t xml:space="preserve">E 60 - C5 </w:t>
            </w:r>
            <w:r>
              <w:rPr>
                <w:b/>
                <w:i/>
                <w:sz w:val="22"/>
                <w:szCs w:val="22"/>
              </w:rPr>
              <w:t>S</w:t>
            </w:r>
            <w:r>
              <w:rPr>
                <w:b/>
                <w:bCs/>
                <w:i/>
                <w:sz w:val="22"/>
                <w:szCs w:val="22"/>
                <w:vertAlign w:val="subscript"/>
                <w:lang w:val="en-GB"/>
              </w:rPr>
              <w:t>200</w:t>
            </w:r>
          </w:p>
        </w:tc>
      </w:tr>
      <w:tr w:rsidR="001C08A5" w14:paraId="29251D32" w14:textId="77777777">
        <w:trPr>
          <w:trHeight w:val="345"/>
        </w:trPr>
        <w:tc>
          <w:tcPr>
            <w:tcW w:w="490" w:type="pct"/>
            <w:tcMar>
              <w:top w:w="0" w:type="dxa"/>
              <w:left w:w="0" w:type="dxa"/>
              <w:bottom w:w="0" w:type="dxa"/>
              <w:right w:w="0" w:type="dxa"/>
            </w:tcMar>
            <w:vAlign w:val="center"/>
          </w:tcPr>
          <w:p w14:paraId="04A84C5B" w14:textId="77777777" w:rsidR="001C08A5" w:rsidRDefault="00000000">
            <w:pPr>
              <w:jc w:val="center"/>
              <w:rPr>
                <w:b/>
                <w:bCs/>
                <w:i/>
                <w:sz w:val="22"/>
                <w:szCs w:val="22"/>
              </w:rPr>
            </w:pPr>
            <w:r>
              <w:rPr>
                <w:b/>
                <w:bCs/>
                <w:i/>
                <w:sz w:val="22"/>
                <w:szCs w:val="22"/>
                <w:lang w:val="en-US" w:eastAsia="zh-CN" w:bidi="ar"/>
              </w:rPr>
              <w:t>II</w:t>
            </w:r>
          </w:p>
        </w:tc>
        <w:tc>
          <w:tcPr>
            <w:tcW w:w="1739" w:type="dxa"/>
            <w:tcMar>
              <w:top w:w="0" w:type="dxa"/>
              <w:left w:w="0" w:type="dxa"/>
              <w:bottom w:w="0" w:type="dxa"/>
              <w:right w:w="0" w:type="dxa"/>
            </w:tcMar>
            <w:vAlign w:val="center"/>
          </w:tcPr>
          <w:p w14:paraId="4785F9CD" w14:textId="77777777" w:rsidR="001C08A5" w:rsidRDefault="00000000">
            <w:pPr>
              <w:jc w:val="center"/>
              <w:rPr>
                <w:b/>
                <w:i/>
                <w:sz w:val="22"/>
                <w:szCs w:val="22"/>
              </w:rPr>
            </w:pPr>
            <w:r>
              <w:rPr>
                <w:b/>
                <w:i/>
                <w:sz w:val="22"/>
                <w:szCs w:val="22"/>
              </w:rPr>
              <w:t>EI/REI 90</w:t>
            </w:r>
          </w:p>
          <w:p w14:paraId="79CD16E5" w14:textId="77777777" w:rsidR="001C08A5" w:rsidRDefault="00000000">
            <w:pPr>
              <w:jc w:val="center"/>
              <w:rPr>
                <w:b/>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4BF43ED6" w14:textId="77777777" w:rsidR="001C08A5" w:rsidRDefault="00000000">
            <w:pPr>
              <w:jc w:val="center"/>
              <w:rPr>
                <w:b/>
                <w:i/>
                <w:sz w:val="22"/>
                <w:szCs w:val="22"/>
              </w:rPr>
            </w:pPr>
            <w:r>
              <w:rPr>
                <w:b/>
                <w:i/>
                <w:sz w:val="22"/>
                <w:szCs w:val="22"/>
              </w:rPr>
              <w:t>EI/REI 90</w:t>
            </w:r>
          </w:p>
          <w:p w14:paraId="741B6417" w14:textId="77777777" w:rsidR="001C08A5" w:rsidRDefault="00000000">
            <w:pPr>
              <w:jc w:val="center"/>
              <w:rPr>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59DBCA14" w14:textId="77777777" w:rsidR="001C08A5" w:rsidRDefault="00000000">
            <w:pPr>
              <w:jc w:val="center"/>
              <w:rPr>
                <w:i/>
                <w:sz w:val="22"/>
                <w:szCs w:val="22"/>
              </w:rPr>
            </w:pPr>
            <w:r>
              <w:rPr>
                <w:b/>
                <w:bCs/>
                <w:i/>
                <w:sz w:val="22"/>
                <w:szCs w:val="22"/>
              </w:rPr>
              <w:t>C5 S</w:t>
            </w:r>
            <w:r>
              <w:rPr>
                <w:b/>
                <w:bCs/>
                <w:i/>
                <w:sz w:val="22"/>
                <w:szCs w:val="22"/>
                <w:lang w:val="en-GB"/>
              </w:rPr>
              <w:t>a</w:t>
            </w:r>
          </w:p>
        </w:tc>
        <w:tc>
          <w:tcPr>
            <w:tcW w:w="1739" w:type="dxa"/>
            <w:tcMar>
              <w:top w:w="0" w:type="dxa"/>
              <w:left w:w="0" w:type="dxa"/>
              <w:bottom w:w="0" w:type="dxa"/>
              <w:right w:w="0" w:type="dxa"/>
            </w:tcMar>
            <w:vAlign w:val="center"/>
          </w:tcPr>
          <w:p w14:paraId="5FE447B1" w14:textId="77777777" w:rsidR="001C08A5" w:rsidRDefault="00000000">
            <w:pPr>
              <w:jc w:val="center"/>
              <w:rPr>
                <w:b/>
                <w:i/>
                <w:sz w:val="22"/>
                <w:szCs w:val="22"/>
              </w:rPr>
            </w:pPr>
            <w:r>
              <w:rPr>
                <w:b/>
                <w:i/>
                <w:sz w:val="22"/>
                <w:szCs w:val="22"/>
              </w:rPr>
              <w:t>EI/REI 180</w:t>
            </w:r>
          </w:p>
          <w:p w14:paraId="539F36C1" w14:textId="77777777" w:rsidR="001C08A5" w:rsidRDefault="00000000">
            <w:pPr>
              <w:jc w:val="center"/>
              <w:rPr>
                <w:b/>
                <w:i/>
                <w:sz w:val="22"/>
                <w:szCs w:val="22"/>
              </w:rPr>
            </w:pPr>
            <w:r>
              <w:rPr>
                <w:b/>
                <w:bCs/>
                <w:i/>
                <w:sz w:val="22"/>
                <w:szCs w:val="22"/>
                <w:lang w:val="en-GB"/>
              </w:rPr>
              <w:t>A1, A2s1d0</w:t>
            </w:r>
          </w:p>
        </w:tc>
        <w:tc>
          <w:tcPr>
            <w:tcW w:w="1746" w:type="dxa"/>
            <w:tcMar>
              <w:top w:w="0" w:type="dxa"/>
              <w:left w:w="0" w:type="dxa"/>
              <w:bottom w:w="0" w:type="dxa"/>
              <w:right w:w="0" w:type="dxa"/>
            </w:tcMar>
            <w:vAlign w:val="center"/>
          </w:tcPr>
          <w:p w14:paraId="1E0461B5" w14:textId="77777777" w:rsidR="001C08A5" w:rsidRDefault="00000000">
            <w:pPr>
              <w:jc w:val="center"/>
              <w:rPr>
                <w:b/>
                <w:i/>
                <w:sz w:val="22"/>
                <w:szCs w:val="22"/>
              </w:rPr>
            </w:pPr>
            <w:r>
              <w:rPr>
                <w:b/>
                <w:bCs/>
                <w:i/>
                <w:sz w:val="22"/>
                <w:szCs w:val="22"/>
              </w:rPr>
              <w:t xml:space="preserve">E 45 - C5 </w:t>
            </w:r>
            <w:r>
              <w:rPr>
                <w:b/>
                <w:i/>
                <w:sz w:val="22"/>
                <w:szCs w:val="22"/>
              </w:rPr>
              <w:t>S</w:t>
            </w:r>
            <w:r>
              <w:rPr>
                <w:b/>
                <w:bCs/>
                <w:i/>
                <w:sz w:val="22"/>
                <w:szCs w:val="22"/>
                <w:vertAlign w:val="subscript"/>
                <w:lang w:val="en-GB"/>
              </w:rPr>
              <w:t>200</w:t>
            </w:r>
          </w:p>
        </w:tc>
      </w:tr>
      <w:tr w:rsidR="001C08A5" w14:paraId="274363DD" w14:textId="77777777">
        <w:trPr>
          <w:trHeight w:val="345"/>
        </w:trPr>
        <w:tc>
          <w:tcPr>
            <w:tcW w:w="490" w:type="pct"/>
            <w:tcMar>
              <w:top w:w="0" w:type="dxa"/>
              <w:left w:w="0" w:type="dxa"/>
              <w:bottom w:w="0" w:type="dxa"/>
              <w:right w:w="0" w:type="dxa"/>
            </w:tcMar>
            <w:vAlign w:val="center"/>
          </w:tcPr>
          <w:p w14:paraId="0FDDC2BC" w14:textId="77777777" w:rsidR="001C08A5" w:rsidRDefault="00000000">
            <w:pPr>
              <w:jc w:val="center"/>
              <w:rPr>
                <w:b/>
                <w:bCs/>
                <w:i/>
                <w:sz w:val="22"/>
                <w:szCs w:val="22"/>
              </w:rPr>
            </w:pPr>
            <w:r>
              <w:rPr>
                <w:b/>
                <w:bCs/>
                <w:i/>
                <w:sz w:val="22"/>
                <w:szCs w:val="22"/>
                <w:lang w:val="en-US" w:eastAsia="zh-CN" w:bidi="ar"/>
              </w:rPr>
              <w:t>III</w:t>
            </w:r>
          </w:p>
        </w:tc>
        <w:tc>
          <w:tcPr>
            <w:tcW w:w="1739" w:type="dxa"/>
            <w:tcMar>
              <w:top w:w="0" w:type="dxa"/>
              <w:left w:w="0" w:type="dxa"/>
              <w:bottom w:w="0" w:type="dxa"/>
              <w:right w:w="0" w:type="dxa"/>
            </w:tcMar>
            <w:vAlign w:val="center"/>
          </w:tcPr>
          <w:p w14:paraId="49846948" w14:textId="77777777" w:rsidR="001C08A5" w:rsidRDefault="00000000">
            <w:pPr>
              <w:jc w:val="center"/>
              <w:rPr>
                <w:b/>
                <w:i/>
                <w:sz w:val="22"/>
                <w:szCs w:val="22"/>
              </w:rPr>
            </w:pPr>
            <w:r>
              <w:rPr>
                <w:b/>
                <w:i/>
                <w:sz w:val="22"/>
                <w:szCs w:val="22"/>
              </w:rPr>
              <w:t>EI/REI 45</w:t>
            </w:r>
          </w:p>
          <w:p w14:paraId="77C7D7D4" w14:textId="77777777" w:rsidR="001C08A5" w:rsidRDefault="00000000">
            <w:pPr>
              <w:jc w:val="center"/>
              <w:rPr>
                <w:b/>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48AFD6B4" w14:textId="77777777" w:rsidR="001C08A5" w:rsidRDefault="00000000">
            <w:pPr>
              <w:jc w:val="center"/>
              <w:rPr>
                <w:b/>
                <w:i/>
                <w:sz w:val="22"/>
                <w:szCs w:val="22"/>
              </w:rPr>
            </w:pPr>
            <w:r>
              <w:rPr>
                <w:b/>
                <w:i/>
                <w:sz w:val="22"/>
                <w:szCs w:val="22"/>
              </w:rPr>
              <w:t>EI/REI 45</w:t>
            </w:r>
          </w:p>
          <w:p w14:paraId="1CCC8671" w14:textId="77777777" w:rsidR="001C08A5" w:rsidRDefault="00000000">
            <w:pPr>
              <w:jc w:val="center"/>
              <w:rPr>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6D4E68BA" w14:textId="77777777" w:rsidR="001C08A5" w:rsidRDefault="00000000">
            <w:pPr>
              <w:jc w:val="center"/>
              <w:rPr>
                <w:i/>
                <w:sz w:val="22"/>
                <w:szCs w:val="22"/>
              </w:rPr>
            </w:pPr>
            <w:r>
              <w:rPr>
                <w:b/>
                <w:bCs/>
                <w:i/>
                <w:sz w:val="22"/>
                <w:szCs w:val="22"/>
              </w:rPr>
              <w:t>C5 S</w:t>
            </w:r>
            <w:r>
              <w:rPr>
                <w:b/>
                <w:bCs/>
                <w:i/>
                <w:sz w:val="22"/>
                <w:szCs w:val="22"/>
                <w:lang w:val="en-GB"/>
              </w:rPr>
              <w:t>a</w:t>
            </w:r>
          </w:p>
        </w:tc>
        <w:tc>
          <w:tcPr>
            <w:tcW w:w="1739" w:type="dxa"/>
            <w:tcMar>
              <w:top w:w="0" w:type="dxa"/>
              <w:left w:w="0" w:type="dxa"/>
              <w:bottom w:w="0" w:type="dxa"/>
              <w:right w:w="0" w:type="dxa"/>
            </w:tcMar>
            <w:vAlign w:val="center"/>
          </w:tcPr>
          <w:p w14:paraId="741492F1" w14:textId="77777777" w:rsidR="001C08A5" w:rsidRDefault="00000000">
            <w:pPr>
              <w:jc w:val="center"/>
              <w:rPr>
                <w:b/>
                <w:i/>
                <w:sz w:val="22"/>
                <w:szCs w:val="22"/>
              </w:rPr>
            </w:pPr>
            <w:r>
              <w:rPr>
                <w:b/>
                <w:i/>
                <w:sz w:val="22"/>
                <w:szCs w:val="22"/>
              </w:rPr>
              <w:t>EI/REI 180</w:t>
            </w:r>
          </w:p>
          <w:p w14:paraId="54560CA1" w14:textId="77777777" w:rsidR="001C08A5" w:rsidRDefault="00000000">
            <w:pPr>
              <w:jc w:val="center"/>
              <w:rPr>
                <w:b/>
                <w:i/>
                <w:sz w:val="22"/>
                <w:szCs w:val="22"/>
              </w:rPr>
            </w:pPr>
            <w:r>
              <w:rPr>
                <w:b/>
                <w:bCs/>
                <w:i/>
                <w:sz w:val="22"/>
                <w:szCs w:val="22"/>
                <w:lang w:val="en-GB"/>
              </w:rPr>
              <w:t>A1, A2s1d0</w:t>
            </w:r>
          </w:p>
        </w:tc>
        <w:tc>
          <w:tcPr>
            <w:tcW w:w="1746" w:type="dxa"/>
            <w:tcMar>
              <w:top w:w="0" w:type="dxa"/>
              <w:left w:w="0" w:type="dxa"/>
              <w:bottom w:w="0" w:type="dxa"/>
              <w:right w:w="0" w:type="dxa"/>
            </w:tcMar>
            <w:vAlign w:val="center"/>
          </w:tcPr>
          <w:p w14:paraId="042F57AE" w14:textId="77777777" w:rsidR="001C08A5" w:rsidRDefault="00000000">
            <w:pPr>
              <w:jc w:val="center"/>
              <w:rPr>
                <w:b/>
                <w:i/>
                <w:sz w:val="22"/>
                <w:szCs w:val="22"/>
              </w:rPr>
            </w:pPr>
            <w:r>
              <w:rPr>
                <w:b/>
                <w:bCs/>
                <w:i/>
                <w:sz w:val="22"/>
                <w:szCs w:val="22"/>
              </w:rPr>
              <w:t>E 30 - C5 Sa</w:t>
            </w:r>
          </w:p>
        </w:tc>
      </w:tr>
      <w:tr w:rsidR="001C08A5" w14:paraId="6FAB988B" w14:textId="77777777">
        <w:trPr>
          <w:trHeight w:val="345"/>
        </w:trPr>
        <w:tc>
          <w:tcPr>
            <w:tcW w:w="490" w:type="pct"/>
            <w:tcMar>
              <w:top w:w="0" w:type="dxa"/>
              <w:left w:w="0" w:type="dxa"/>
              <w:bottom w:w="0" w:type="dxa"/>
              <w:right w:w="0" w:type="dxa"/>
            </w:tcMar>
            <w:vAlign w:val="center"/>
          </w:tcPr>
          <w:p w14:paraId="5F5ACADB" w14:textId="77777777" w:rsidR="001C08A5" w:rsidRDefault="00000000">
            <w:pPr>
              <w:jc w:val="center"/>
              <w:rPr>
                <w:b/>
                <w:bCs/>
                <w:i/>
                <w:sz w:val="22"/>
                <w:szCs w:val="22"/>
              </w:rPr>
            </w:pPr>
            <w:r>
              <w:rPr>
                <w:b/>
                <w:bCs/>
                <w:i/>
                <w:sz w:val="22"/>
                <w:szCs w:val="22"/>
                <w:lang w:val="en-US" w:eastAsia="zh-CN" w:bidi="ar"/>
              </w:rPr>
              <w:t>IV</w:t>
            </w:r>
          </w:p>
        </w:tc>
        <w:tc>
          <w:tcPr>
            <w:tcW w:w="1739" w:type="dxa"/>
            <w:tcMar>
              <w:top w:w="0" w:type="dxa"/>
              <w:left w:w="0" w:type="dxa"/>
              <w:bottom w:w="0" w:type="dxa"/>
              <w:right w:w="0" w:type="dxa"/>
            </w:tcMar>
            <w:vAlign w:val="center"/>
          </w:tcPr>
          <w:p w14:paraId="39252EE4" w14:textId="77777777" w:rsidR="001C08A5" w:rsidRDefault="00000000">
            <w:pPr>
              <w:jc w:val="center"/>
              <w:rPr>
                <w:b/>
                <w:i/>
                <w:sz w:val="22"/>
                <w:szCs w:val="22"/>
              </w:rPr>
            </w:pPr>
            <w:r>
              <w:rPr>
                <w:b/>
                <w:i/>
                <w:sz w:val="22"/>
                <w:szCs w:val="22"/>
              </w:rPr>
              <w:t>EI/REI 30</w:t>
            </w:r>
          </w:p>
          <w:p w14:paraId="6284B9EB" w14:textId="77777777" w:rsidR="001C08A5" w:rsidRDefault="00000000">
            <w:pPr>
              <w:jc w:val="center"/>
              <w:rPr>
                <w:b/>
                <w:i/>
                <w:sz w:val="22"/>
                <w:szCs w:val="22"/>
              </w:rPr>
            </w:pPr>
            <w:r>
              <w:rPr>
                <w:b/>
                <w:i/>
                <w:sz w:val="22"/>
                <w:szCs w:val="22"/>
              </w:rPr>
              <w:t xml:space="preserve">min. </w:t>
            </w:r>
          </w:p>
          <w:p w14:paraId="18DD4517" w14:textId="77777777" w:rsidR="001C08A5" w:rsidRDefault="00000000">
            <w:pPr>
              <w:jc w:val="center"/>
              <w:rPr>
                <w:b/>
                <w:i/>
                <w:sz w:val="22"/>
                <w:szCs w:val="22"/>
              </w:rPr>
            </w:pPr>
            <w:r>
              <w:rPr>
                <w:b/>
                <w:bCs/>
                <w:i/>
                <w:sz w:val="22"/>
                <w:szCs w:val="22"/>
                <w:lang w:eastAsia="zh-CN"/>
              </w:rPr>
              <w:t>A2s1÷s3,d0÷d1; Bs1÷s3,d0÷d1</w:t>
            </w:r>
          </w:p>
        </w:tc>
        <w:tc>
          <w:tcPr>
            <w:tcW w:w="1739" w:type="dxa"/>
            <w:tcMar>
              <w:top w:w="0" w:type="dxa"/>
              <w:left w:w="0" w:type="dxa"/>
              <w:bottom w:w="0" w:type="dxa"/>
              <w:right w:w="0" w:type="dxa"/>
            </w:tcMar>
            <w:vAlign w:val="center"/>
          </w:tcPr>
          <w:p w14:paraId="7BB0393A" w14:textId="77777777" w:rsidR="001C08A5" w:rsidRDefault="00000000">
            <w:pPr>
              <w:jc w:val="center"/>
              <w:rPr>
                <w:b/>
                <w:i/>
                <w:sz w:val="22"/>
                <w:szCs w:val="22"/>
              </w:rPr>
            </w:pPr>
            <w:r>
              <w:rPr>
                <w:b/>
                <w:i/>
                <w:sz w:val="22"/>
                <w:szCs w:val="22"/>
              </w:rPr>
              <w:t>EI/REI 30</w:t>
            </w:r>
          </w:p>
          <w:p w14:paraId="329056EA" w14:textId="77777777" w:rsidR="001C08A5" w:rsidRDefault="00000000">
            <w:pPr>
              <w:jc w:val="center"/>
              <w:rPr>
                <w:b/>
                <w:i/>
                <w:sz w:val="22"/>
                <w:szCs w:val="22"/>
              </w:rPr>
            </w:pPr>
            <w:r>
              <w:rPr>
                <w:b/>
                <w:i/>
                <w:sz w:val="22"/>
                <w:szCs w:val="22"/>
              </w:rPr>
              <w:t xml:space="preserve">min. </w:t>
            </w:r>
          </w:p>
          <w:p w14:paraId="666317C3" w14:textId="77777777" w:rsidR="001C08A5" w:rsidRDefault="00000000">
            <w:pPr>
              <w:jc w:val="center"/>
              <w:rPr>
                <w:i/>
                <w:sz w:val="22"/>
                <w:szCs w:val="22"/>
              </w:rPr>
            </w:pPr>
            <w:r>
              <w:rPr>
                <w:b/>
                <w:bCs/>
                <w:i/>
                <w:sz w:val="22"/>
                <w:szCs w:val="22"/>
                <w:lang w:eastAsia="zh-CN"/>
              </w:rPr>
              <w:t>A2s1÷s3,d0÷d1; Bs1÷s3,d0÷d1</w:t>
            </w:r>
          </w:p>
        </w:tc>
        <w:tc>
          <w:tcPr>
            <w:tcW w:w="1739" w:type="dxa"/>
            <w:tcMar>
              <w:top w:w="0" w:type="dxa"/>
              <w:left w:w="0" w:type="dxa"/>
              <w:bottom w:w="0" w:type="dxa"/>
              <w:right w:w="0" w:type="dxa"/>
            </w:tcMar>
            <w:vAlign w:val="center"/>
          </w:tcPr>
          <w:p w14:paraId="02937BFF" w14:textId="77777777" w:rsidR="001C08A5" w:rsidRDefault="00000000">
            <w:pPr>
              <w:jc w:val="center"/>
              <w:rPr>
                <w:i/>
                <w:sz w:val="22"/>
                <w:szCs w:val="22"/>
              </w:rPr>
            </w:pPr>
            <w:r>
              <w:rPr>
                <w:b/>
                <w:bCs/>
                <w:i/>
                <w:sz w:val="22"/>
                <w:szCs w:val="22"/>
              </w:rPr>
              <w:t>C5</w:t>
            </w:r>
          </w:p>
        </w:tc>
        <w:tc>
          <w:tcPr>
            <w:tcW w:w="1739" w:type="dxa"/>
            <w:tcMar>
              <w:top w:w="0" w:type="dxa"/>
              <w:left w:w="0" w:type="dxa"/>
              <w:bottom w:w="0" w:type="dxa"/>
              <w:right w:w="0" w:type="dxa"/>
            </w:tcMar>
            <w:vAlign w:val="center"/>
          </w:tcPr>
          <w:p w14:paraId="6F08852E" w14:textId="77777777" w:rsidR="001C08A5" w:rsidRDefault="00000000">
            <w:pPr>
              <w:jc w:val="center"/>
              <w:rPr>
                <w:b/>
                <w:i/>
                <w:sz w:val="22"/>
                <w:szCs w:val="22"/>
              </w:rPr>
            </w:pPr>
            <w:r>
              <w:rPr>
                <w:b/>
                <w:i/>
                <w:sz w:val="22"/>
                <w:szCs w:val="22"/>
              </w:rPr>
              <w:t>EI/REI 60</w:t>
            </w:r>
          </w:p>
          <w:p w14:paraId="34EA219C" w14:textId="77777777" w:rsidR="001C08A5" w:rsidRDefault="00000000">
            <w:pPr>
              <w:jc w:val="center"/>
              <w:rPr>
                <w:b/>
                <w:i/>
                <w:sz w:val="22"/>
                <w:szCs w:val="22"/>
              </w:rPr>
            </w:pPr>
            <w:r>
              <w:rPr>
                <w:b/>
                <w:i/>
                <w:sz w:val="22"/>
                <w:szCs w:val="22"/>
              </w:rPr>
              <w:t xml:space="preserve">min. </w:t>
            </w:r>
          </w:p>
          <w:p w14:paraId="15183DCF" w14:textId="77777777" w:rsidR="001C08A5" w:rsidRDefault="00000000">
            <w:pPr>
              <w:jc w:val="center"/>
              <w:rPr>
                <w:i/>
                <w:sz w:val="22"/>
                <w:szCs w:val="22"/>
                <w:lang w:val="en-US" w:eastAsia="zh-CN" w:bidi="ar"/>
              </w:rPr>
            </w:pPr>
            <w:r>
              <w:rPr>
                <w:b/>
                <w:bCs/>
                <w:i/>
                <w:sz w:val="22"/>
                <w:szCs w:val="22"/>
                <w:lang w:eastAsia="zh-CN"/>
              </w:rPr>
              <w:t>A2s1÷s3,d0÷d1; Bs1÷s3,d0÷d1</w:t>
            </w:r>
          </w:p>
        </w:tc>
        <w:tc>
          <w:tcPr>
            <w:tcW w:w="1746" w:type="dxa"/>
            <w:tcMar>
              <w:top w:w="0" w:type="dxa"/>
              <w:left w:w="0" w:type="dxa"/>
              <w:bottom w:w="0" w:type="dxa"/>
              <w:right w:w="0" w:type="dxa"/>
            </w:tcMar>
            <w:vAlign w:val="center"/>
          </w:tcPr>
          <w:p w14:paraId="5E07E366" w14:textId="77777777" w:rsidR="001C08A5" w:rsidRDefault="00000000">
            <w:pPr>
              <w:jc w:val="center"/>
              <w:rPr>
                <w:i/>
                <w:sz w:val="22"/>
                <w:szCs w:val="22"/>
                <w:lang w:eastAsia="zh-CN" w:bidi="ar"/>
              </w:rPr>
            </w:pPr>
            <w:r>
              <w:rPr>
                <w:b/>
                <w:bCs/>
                <w:i/>
                <w:sz w:val="22"/>
                <w:szCs w:val="22"/>
              </w:rPr>
              <w:t>E 15 - C5 Sa</w:t>
            </w:r>
          </w:p>
        </w:tc>
      </w:tr>
      <w:tr w:rsidR="001C08A5" w14:paraId="58D328C3" w14:textId="77777777">
        <w:trPr>
          <w:trHeight w:val="360"/>
        </w:trPr>
        <w:tc>
          <w:tcPr>
            <w:tcW w:w="490" w:type="pct"/>
            <w:tcMar>
              <w:top w:w="0" w:type="dxa"/>
              <w:left w:w="0" w:type="dxa"/>
              <w:bottom w:w="0" w:type="dxa"/>
              <w:right w:w="0" w:type="dxa"/>
            </w:tcMar>
            <w:vAlign w:val="center"/>
          </w:tcPr>
          <w:p w14:paraId="2507FA31" w14:textId="77777777" w:rsidR="001C08A5" w:rsidRDefault="00000000">
            <w:pPr>
              <w:jc w:val="center"/>
              <w:rPr>
                <w:b/>
                <w:bCs/>
                <w:i/>
                <w:sz w:val="22"/>
                <w:szCs w:val="22"/>
              </w:rPr>
            </w:pPr>
            <w:r>
              <w:rPr>
                <w:b/>
                <w:bCs/>
                <w:i/>
                <w:sz w:val="22"/>
                <w:szCs w:val="22"/>
                <w:lang w:val="en-US" w:eastAsia="zh-CN" w:bidi="ar"/>
              </w:rPr>
              <w:t>V</w:t>
            </w:r>
          </w:p>
        </w:tc>
        <w:tc>
          <w:tcPr>
            <w:tcW w:w="1739" w:type="dxa"/>
            <w:tcMar>
              <w:top w:w="0" w:type="dxa"/>
              <w:left w:w="0" w:type="dxa"/>
              <w:bottom w:w="0" w:type="dxa"/>
              <w:right w:w="0" w:type="dxa"/>
            </w:tcMar>
            <w:vAlign w:val="center"/>
          </w:tcPr>
          <w:p w14:paraId="3E1600A5" w14:textId="77777777" w:rsidR="001C08A5" w:rsidRDefault="00000000">
            <w:pPr>
              <w:jc w:val="center"/>
              <w:rPr>
                <w:b/>
                <w:i/>
                <w:sz w:val="22"/>
                <w:szCs w:val="22"/>
              </w:rPr>
            </w:pPr>
            <w:r>
              <w:rPr>
                <w:b/>
                <w:i/>
                <w:sz w:val="22"/>
                <w:szCs w:val="22"/>
              </w:rPr>
              <w:t>EI/REI 15</w:t>
            </w:r>
          </w:p>
          <w:p w14:paraId="6D23816C" w14:textId="77777777" w:rsidR="001C08A5" w:rsidRDefault="00000000">
            <w:pPr>
              <w:jc w:val="center"/>
              <w:rPr>
                <w:b/>
                <w:i/>
                <w:sz w:val="22"/>
                <w:szCs w:val="22"/>
              </w:rPr>
            </w:pPr>
            <w:r>
              <w:rPr>
                <w:b/>
                <w:i/>
                <w:sz w:val="22"/>
                <w:szCs w:val="22"/>
              </w:rPr>
              <w:t xml:space="preserve">min. </w:t>
            </w:r>
          </w:p>
          <w:p w14:paraId="0628F104" w14:textId="77777777" w:rsidR="001C08A5" w:rsidRDefault="00000000">
            <w:pPr>
              <w:jc w:val="center"/>
              <w:rPr>
                <w:b/>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6BB2E5C4" w14:textId="77777777" w:rsidR="001C08A5" w:rsidRDefault="00000000">
            <w:pPr>
              <w:jc w:val="center"/>
              <w:rPr>
                <w:b/>
                <w:i/>
                <w:sz w:val="22"/>
                <w:szCs w:val="22"/>
              </w:rPr>
            </w:pPr>
            <w:r>
              <w:rPr>
                <w:b/>
                <w:i/>
                <w:sz w:val="22"/>
                <w:szCs w:val="22"/>
              </w:rPr>
              <w:t>EI/REI 15</w:t>
            </w:r>
          </w:p>
          <w:p w14:paraId="49257CB3" w14:textId="77777777" w:rsidR="001C08A5" w:rsidRDefault="00000000">
            <w:pPr>
              <w:jc w:val="center"/>
              <w:rPr>
                <w:b/>
                <w:i/>
                <w:sz w:val="22"/>
                <w:szCs w:val="22"/>
              </w:rPr>
            </w:pPr>
            <w:r>
              <w:rPr>
                <w:b/>
                <w:i/>
                <w:sz w:val="22"/>
                <w:szCs w:val="22"/>
              </w:rPr>
              <w:t xml:space="preserve">min. </w:t>
            </w:r>
          </w:p>
          <w:p w14:paraId="3E2DB977" w14:textId="77777777" w:rsidR="001C08A5" w:rsidRDefault="00000000">
            <w:pPr>
              <w:jc w:val="center"/>
              <w:rPr>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7B30ED48" w14:textId="77777777" w:rsidR="001C08A5" w:rsidRDefault="00000000">
            <w:pPr>
              <w:jc w:val="center"/>
              <w:rPr>
                <w:i/>
                <w:sz w:val="22"/>
                <w:szCs w:val="22"/>
              </w:rPr>
            </w:pPr>
            <w:r>
              <w:rPr>
                <w:b/>
                <w:bCs/>
                <w:i/>
                <w:sz w:val="22"/>
                <w:szCs w:val="22"/>
              </w:rPr>
              <w:t>C5</w:t>
            </w:r>
          </w:p>
        </w:tc>
        <w:tc>
          <w:tcPr>
            <w:tcW w:w="1739" w:type="dxa"/>
            <w:tcMar>
              <w:top w:w="0" w:type="dxa"/>
              <w:left w:w="0" w:type="dxa"/>
              <w:bottom w:w="0" w:type="dxa"/>
              <w:right w:w="0" w:type="dxa"/>
            </w:tcMar>
            <w:vAlign w:val="center"/>
          </w:tcPr>
          <w:p w14:paraId="1F0BE84E" w14:textId="77777777" w:rsidR="001C08A5" w:rsidRDefault="00000000">
            <w:pPr>
              <w:jc w:val="center"/>
              <w:rPr>
                <w:i/>
                <w:sz w:val="22"/>
                <w:szCs w:val="22"/>
                <w:lang w:val="en-US" w:eastAsia="zh-CN" w:bidi="ar"/>
              </w:rPr>
            </w:pPr>
            <w:r>
              <w:rPr>
                <w:b/>
                <w:bCs/>
                <w:i/>
                <w:sz w:val="22"/>
                <w:szCs w:val="22"/>
              </w:rPr>
              <w:t>Nu se admit</w:t>
            </w:r>
          </w:p>
        </w:tc>
        <w:tc>
          <w:tcPr>
            <w:tcW w:w="1746" w:type="dxa"/>
            <w:tcMar>
              <w:top w:w="0" w:type="dxa"/>
              <w:left w:w="0" w:type="dxa"/>
              <w:bottom w:w="0" w:type="dxa"/>
              <w:right w:w="0" w:type="dxa"/>
            </w:tcMar>
            <w:vAlign w:val="center"/>
          </w:tcPr>
          <w:p w14:paraId="26DBC9A3" w14:textId="77777777" w:rsidR="001C08A5" w:rsidRDefault="00000000">
            <w:pPr>
              <w:jc w:val="center"/>
              <w:rPr>
                <w:i/>
                <w:sz w:val="22"/>
                <w:szCs w:val="22"/>
                <w:lang w:eastAsia="zh-CN" w:bidi="ar"/>
              </w:rPr>
            </w:pPr>
            <w:r>
              <w:rPr>
                <w:b/>
                <w:bCs/>
                <w:i/>
                <w:sz w:val="22"/>
                <w:szCs w:val="22"/>
              </w:rPr>
              <w:t>Nu se admit</w:t>
            </w:r>
          </w:p>
        </w:tc>
      </w:tr>
    </w:tbl>
    <w:p w14:paraId="37CFA3AC" w14:textId="77777777" w:rsidR="001C08A5" w:rsidRDefault="001C08A5">
      <w:pPr>
        <w:shd w:val="clear" w:color="auto" w:fill="FFFFFF"/>
        <w:spacing w:after="150"/>
        <w:jc w:val="both"/>
        <w:rPr>
          <w:rFonts w:eastAsia="Calibri"/>
          <w:b/>
          <w:bCs/>
          <w:i/>
          <w:sz w:val="24"/>
          <w:szCs w:val="24"/>
          <w:shd w:val="clear" w:color="auto" w:fill="FFFFFF"/>
        </w:rPr>
      </w:pPr>
    </w:p>
    <w:p w14:paraId="33C6C75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3.10.55.</w:t>
      </w:r>
      <w:r>
        <w:rPr>
          <w:rFonts w:eastAsia="Calibri"/>
          <w:i/>
          <w:sz w:val="24"/>
          <w:szCs w:val="24"/>
          <w:shd w:val="clear" w:color="auto" w:fill="FFFFFF"/>
        </w:rPr>
        <w:t> Ascensoarele utilizate și pentru evacuarea persoanelor în caz de incendiu (menționate la Art.</w:t>
      </w:r>
      <w:r>
        <w:rPr>
          <w:rFonts w:eastAsia="Calibri"/>
          <w:b/>
          <w:bCs/>
          <w:i/>
          <w:sz w:val="24"/>
          <w:szCs w:val="24"/>
          <w:shd w:val="clear" w:color="auto" w:fill="FFFFFF"/>
        </w:rPr>
        <w:t xml:space="preserve"> A.10.3.10.52.</w:t>
      </w:r>
      <w:r>
        <w:rPr>
          <w:rFonts w:eastAsia="Calibri"/>
          <w:i/>
          <w:sz w:val="24"/>
          <w:szCs w:val="24"/>
          <w:shd w:val="clear" w:color="auto" w:fill="FFFFFF"/>
        </w:rPr>
        <w:t xml:space="preserve">), vor fi amplasate în puțuri proprii, cu pereți din materiale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rezistenți la foc minimum 2 ore (</w:t>
      </w:r>
      <w:r>
        <w:rPr>
          <w:rFonts w:eastAsia="Calibri"/>
          <w:b/>
          <w:bCs/>
          <w:i/>
          <w:sz w:val="24"/>
          <w:szCs w:val="24"/>
          <w:shd w:val="clear" w:color="auto" w:fill="FFFFFF"/>
        </w:rPr>
        <w:t>EI/REI120</w:t>
      </w:r>
      <w:r>
        <w:rPr>
          <w:rFonts w:eastAsia="Calibri"/>
          <w:i/>
          <w:sz w:val="24"/>
          <w:szCs w:val="24"/>
          <w:shd w:val="clear" w:color="auto" w:fill="FFFFFF"/>
        </w:rPr>
        <w:t>).</w:t>
      </w:r>
    </w:p>
    <w:p w14:paraId="6BDB185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3.10.56.</w:t>
      </w:r>
      <w:r>
        <w:rPr>
          <w:rFonts w:eastAsia="Calibri"/>
          <w:i/>
          <w:sz w:val="24"/>
          <w:szCs w:val="24"/>
          <w:shd w:val="clear" w:color="auto" w:fill="FFFFFF"/>
        </w:rPr>
        <w:t xml:space="preserve"> Alcătuirea și realizarea rampelor și podestelor scărilor sau a planurilor înclinate vor respecta condițiile de la Art. </w:t>
      </w:r>
      <w:r>
        <w:rPr>
          <w:rFonts w:eastAsia="Calibri"/>
          <w:b/>
          <w:bCs/>
          <w:i/>
          <w:sz w:val="24"/>
          <w:szCs w:val="24"/>
          <w:shd w:val="clear" w:color="auto" w:fill="FFFFFF"/>
        </w:rPr>
        <w:t xml:space="preserve">A.10.2.4.32. </w:t>
      </w:r>
      <w:r>
        <w:rPr>
          <w:rFonts w:eastAsia="Calibri"/>
          <w:i/>
          <w:sz w:val="24"/>
          <w:szCs w:val="24"/>
          <w:shd w:val="clear" w:color="auto" w:fill="FFFFFF"/>
        </w:rPr>
        <w:t>și</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A.10.2.4.33.</w:t>
      </w:r>
    </w:p>
    <w:p w14:paraId="4F42C95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3.10.57.</w:t>
      </w:r>
      <w:r>
        <w:rPr>
          <w:rFonts w:eastAsia="Calibri"/>
          <w:i/>
          <w:sz w:val="24"/>
          <w:szCs w:val="24"/>
          <w:shd w:val="clear" w:color="auto" w:fill="FFFFFF"/>
        </w:rPr>
        <w:t> Pentru evacuarea bolnavilor transportabili cu targa sau căruciorul, se consideră capacitatea de evacuare (</w:t>
      </w:r>
      <w:r>
        <w:rPr>
          <w:rFonts w:eastAsia="Calibri"/>
          <w:b/>
          <w:bCs/>
          <w:i/>
          <w:sz w:val="24"/>
          <w:szCs w:val="24"/>
          <w:shd w:val="clear" w:color="auto" w:fill="FFFFFF"/>
        </w:rPr>
        <w:t>C</w:t>
      </w:r>
      <w:r>
        <w:rPr>
          <w:rFonts w:eastAsia="Calibri"/>
          <w:i/>
          <w:sz w:val="24"/>
          <w:szCs w:val="24"/>
          <w:shd w:val="clear" w:color="auto" w:fill="FFFFFF"/>
        </w:rPr>
        <w:t>) a unui flux, de maximum</w:t>
      </w:r>
      <w:r>
        <w:rPr>
          <w:rFonts w:eastAsia="Calibri"/>
          <w:b/>
          <w:bCs/>
          <w:i/>
          <w:sz w:val="24"/>
          <w:szCs w:val="24"/>
          <w:shd w:val="clear" w:color="auto" w:fill="FFFFFF"/>
        </w:rPr>
        <w:t xml:space="preserve"> 50</w:t>
      </w:r>
      <w:r>
        <w:rPr>
          <w:rFonts w:eastAsia="Calibri"/>
          <w:i/>
          <w:sz w:val="24"/>
          <w:szCs w:val="24"/>
          <w:shd w:val="clear" w:color="auto" w:fill="FFFFFF"/>
        </w:rPr>
        <w:t xml:space="preserve"> persoane.</w:t>
      </w:r>
    </w:p>
    <w:p w14:paraId="50328D0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3.10.58.</w:t>
      </w:r>
      <w:r>
        <w:rPr>
          <w:rFonts w:eastAsia="Calibri"/>
          <w:i/>
          <w:sz w:val="24"/>
          <w:szCs w:val="24"/>
          <w:shd w:val="clear" w:color="auto" w:fill="FFFFFF"/>
        </w:rPr>
        <w:t> Pentru căile de evacuare a bolnavilor care se pot deplasa singuri, se respectă condițiile generale, dar se interzic scările cu trepte balansate.</w:t>
      </w:r>
    </w:p>
    <w:p w14:paraId="3E594CD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3.10.59.</w:t>
      </w:r>
      <w:r>
        <w:rPr>
          <w:rFonts w:eastAsia="Calibri"/>
          <w:i/>
          <w:sz w:val="24"/>
          <w:szCs w:val="24"/>
          <w:shd w:val="clear" w:color="auto" w:fill="FFFFFF"/>
        </w:rPr>
        <w:t> În clădirile existente pentru sănătate etajate, se recomandă dispunerea încăperilor pentru bolnavi transportabili cu targa sau căruciorul, la primele niveluri supraterane.</w:t>
      </w:r>
    </w:p>
    <w:p w14:paraId="02E695C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3.10.60.</w:t>
      </w:r>
      <w:r>
        <w:rPr>
          <w:rFonts w:eastAsia="Calibri"/>
          <w:i/>
          <w:sz w:val="24"/>
          <w:szCs w:val="24"/>
          <w:shd w:val="clear" w:color="auto" w:fill="FFFFFF"/>
        </w:rPr>
        <w:t> Clădirile existente pentru sănătate cu locuri de spitalizare, vor avea asigurate condiții de acces ale autospecialelor pompierilor cel puțin la două fațade.</w:t>
      </w:r>
    </w:p>
    <w:p w14:paraId="630C9E73" w14:textId="77777777" w:rsidR="001C08A5" w:rsidRDefault="00000000">
      <w:pPr>
        <w:pStyle w:val="Heading4"/>
        <w:rPr>
          <w:sz w:val="24"/>
          <w:szCs w:val="24"/>
        </w:rPr>
      </w:pPr>
      <w:bookmarkStart w:id="10954" w:name="_Toc750"/>
      <w:bookmarkStart w:id="10955" w:name="_Toc162355590"/>
      <w:bookmarkStart w:id="10956" w:name="_Toc31797"/>
      <w:bookmarkStart w:id="10957" w:name="_Toc9412"/>
      <w:bookmarkStart w:id="10958" w:name="_Toc14543"/>
      <w:bookmarkStart w:id="10959" w:name="_Toc17677"/>
      <w:r>
        <w:rPr>
          <w:sz w:val="24"/>
          <w:szCs w:val="24"/>
        </w:rPr>
        <w:lastRenderedPageBreak/>
        <w:t>Clădiri existente pentru cultură</w:t>
      </w:r>
      <w:bookmarkEnd w:id="10954"/>
      <w:bookmarkEnd w:id="10955"/>
      <w:bookmarkEnd w:id="10956"/>
      <w:bookmarkEnd w:id="10957"/>
      <w:bookmarkEnd w:id="10958"/>
      <w:bookmarkEnd w:id="10959"/>
    </w:p>
    <w:p w14:paraId="7627939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3.10.61.</w:t>
      </w:r>
      <w:r>
        <w:rPr>
          <w:rFonts w:eastAsia="Calibri"/>
          <w:i/>
          <w:sz w:val="24"/>
          <w:szCs w:val="24"/>
          <w:shd w:val="clear" w:color="auto" w:fill="FFFFFF"/>
        </w:rPr>
        <w:t> Clădirile existente pentru cultură (expoziții, muzee, biblioteci, cluburi, săli, centre și complexe culturale, cinematografe, teatre, săli polivalente, etc.) în afară de măsurile comune stabilite în prezenta anexă, vor respecta și pe cele specifice.</w:t>
      </w:r>
    </w:p>
    <w:p w14:paraId="67561BB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3.10.62.</w:t>
      </w:r>
      <w:r>
        <w:rPr>
          <w:rFonts w:eastAsia="Calibri"/>
          <w:i/>
          <w:sz w:val="24"/>
          <w:szCs w:val="24"/>
          <w:shd w:val="clear" w:color="auto" w:fill="FFFFFF"/>
        </w:rPr>
        <w:t> Clădirile existente pentru cultură vor îndeplini condițiile de corelare între nivelul de stabilitate la incendiu, aria construită și numărul de niveluri, conform prevederilor din prezenta anexă, iar atunci când cuprind săli aglomerate existente și a celor specifice acestora.</w:t>
      </w:r>
    </w:p>
    <w:p w14:paraId="6D71174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3.10.63.</w:t>
      </w:r>
      <w:r>
        <w:rPr>
          <w:rFonts w:eastAsia="Calibri"/>
          <w:i/>
          <w:sz w:val="24"/>
          <w:szCs w:val="24"/>
          <w:shd w:val="clear" w:color="auto" w:fill="FFFFFF"/>
        </w:rPr>
        <w:t> Condițiile și nivelele de performanță se referă la clădiri existente pentru cultură care nu sunt înalte și foarte înalte și nu se încadrează în categoria sălilor aglomerate.</w:t>
      </w:r>
    </w:p>
    <w:p w14:paraId="269832E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3.10.64.</w:t>
      </w:r>
      <w:r>
        <w:rPr>
          <w:rFonts w:eastAsia="Calibri"/>
          <w:i/>
          <w:sz w:val="24"/>
          <w:szCs w:val="24"/>
          <w:shd w:val="clear" w:color="auto" w:fill="FFFFFF"/>
        </w:rPr>
        <w:t xml:space="preserve"> Se recomandă ca prin alcătuirea clădirilor existente pentru cultură să se asigure nivelurile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sau </w:t>
      </w:r>
      <w:r>
        <w:rPr>
          <w:rFonts w:eastAsia="Calibri"/>
          <w:b/>
          <w:bCs/>
          <w:i/>
          <w:sz w:val="24"/>
          <w:szCs w:val="24"/>
          <w:shd w:val="clear" w:color="auto" w:fill="FFFFFF"/>
        </w:rPr>
        <w:t>III</w:t>
      </w:r>
      <w:r>
        <w:rPr>
          <w:rFonts w:eastAsia="Calibri"/>
          <w:i/>
          <w:sz w:val="24"/>
          <w:szCs w:val="24"/>
          <w:shd w:val="clear" w:color="auto" w:fill="FFFFFF"/>
        </w:rPr>
        <w:t>, în funcție de importanța și valorile de patrimoniu adăpostite, precum și numărul de persoane.</w:t>
      </w:r>
    </w:p>
    <w:p w14:paraId="37E49AE9"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3.10.65.</w:t>
      </w:r>
      <w:r>
        <w:rPr>
          <w:rFonts w:eastAsia="Calibri"/>
          <w:i/>
          <w:sz w:val="24"/>
          <w:szCs w:val="24"/>
          <w:shd w:val="clear" w:color="auto" w:fill="FFFFFF"/>
        </w:rPr>
        <w:t xml:space="preserve"> Căile de evacuare ale construcțiilor existente vor respecta prevederile și nivelele de performanță corespunzătoare nivelul de stabilitate la incendiu asigurat și destinații, conform prevederilor din prezenta anexă. Lungimile maxime ale căilor de evacuare în clădirile existente pentru cultura sunt precizate în </w:t>
      </w:r>
      <w:r>
        <w:rPr>
          <w:rFonts w:eastAsia="Calibri"/>
          <w:i/>
          <w:sz w:val="24"/>
          <w:szCs w:val="24"/>
          <w:shd w:val="clear" w:color="auto" w:fill="FFFFFF"/>
        </w:rPr>
        <w:fldChar w:fldCharType="begin"/>
      </w:r>
      <w:r>
        <w:rPr>
          <w:rFonts w:eastAsia="Calibri"/>
          <w:i/>
          <w:sz w:val="24"/>
          <w:szCs w:val="24"/>
          <w:shd w:val="clear" w:color="auto" w:fill="FFFFFF"/>
        </w:rPr>
        <w:instrText xml:space="preserve"> REF _Ref11683 \h </w:instrText>
      </w:r>
      <w:r>
        <w:rPr>
          <w:rFonts w:eastAsia="Calibri"/>
          <w:i/>
          <w:sz w:val="24"/>
          <w:szCs w:val="24"/>
          <w:shd w:val="clear" w:color="auto" w:fill="FFFFFF"/>
        </w:rPr>
      </w:r>
      <w:r>
        <w:rPr>
          <w:rFonts w:eastAsia="Calibri"/>
          <w:i/>
          <w:sz w:val="24"/>
          <w:szCs w:val="24"/>
          <w:shd w:val="clear" w:color="auto" w:fill="FFFFFF"/>
        </w:rPr>
        <w:fldChar w:fldCharType="separate"/>
      </w:r>
      <w:r>
        <w:t>Tabelul 72: Lungimi de evacuare în clădiri pentru cultură supraterane cu înălţimi obişnuite</w:t>
      </w:r>
      <w:r>
        <w:rPr>
          <w:rFonts w:eastAsia="Calibri"/>
          <w:i/>
          <w:sz w:val="24"/>
          <w:szCs w:val="24"/>
          <w:shd w:val="clear" w:color="auto" w:fill="FFFFFF"/>
        </w:rPr>
        <w:fldChar w:fldCharType="end"/>
      </w:r>
      <w:r>
        <w:rPr>
          <w:b/>
          <w:i/>
          <w:sz w:val="24"/>
          <w:szCs w:val="24"/>
        </w:rPr>
        <w:t xml:space="preserve">. </w:t>
      </w:r>
      <w:r>
        <w:rPr>
          <w:rFonts w:eastAsia="Calibri"/>
          <w:i/>
          <w:sz w:val="24"/>
          <w:szCs w:val="24"/>
          <w:shd w:val="clear" w:color="auto" w:fill="FFFFFF"/>
        </w:rPr>
        <w:t xml:space="preserve">Pentru clădirile existente care nu sunt înalte, foarte înalte sau cu săli aglomerate, comportarea la foc a pereților de pe căile de evacuare, va respecta condițiile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_Ref11814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156</w:t>
      </w:r>
      <w:r>
        <w:rPr>
          <w:rFonts w:eastAsia="Calibri"/>
          <w:b/>
          <w:bCs/>
          <w:i/>
          <w:iCs/>
          <w:sz w:val="24"/>
          <w:szCs w:val="24"/>
          <w:shd w:val="clear" w:color="auto" w:fill="FFFFFF"/>
        </w:rPr>
        <w:fldChar w:fldCharType="end"/>
      </w:r>
      <w:r>
        <w:rPr>
          <w:rFonts w:eastAsia="Calibri"/>
          <w:i/>
          <w:sz w:val="24"/>
          <w:szCs w:val="24"/>
          <w:shd w:val="clear" w:color="auto" w:fill="FFFFFF"/>
        </w:rPr>
        <w:t>.</w:t>
      </w:r>
    </w:p>
    <w:p w14:paraId="5817A6D3" w14:textId="77777777" w:rsidR="001C08A5" w:rsidRDefault="00000000">
      <w:pPr>
        <w:pStyle w:val="Caption"/>
        <w:shd w:val="clear" w:color="auto" w:fill="FFFFFF"/>
        <w:spacing w:before="0" w:after="150"/>
        <w:jc w:val="both"/>
        <w:rPr>
          <w:rFonts w:eastAsia="Calibri" w:cs="Times New Roman"/>
          <w:bCs/>
          <w:shd w:val="clear" w:color="auto" w:fill="FFFFFF"/>
        </w:rPr>
      </w:pPr>
      <w:bookmarkStart w:id="10960" w:name="_Ref11814"/>
      <w:bookmarkStart w:id="10961" w:name="_Toc162360206"/>
      <w:r>
        <w:t xml:space="preserve">Tabelul </w:t>
      </w:r>
      <w:r>
        <w:fldChar w:fldCharType="begin"/>
      </w:r>
      <w:r>
        <w:instrText xml:space="preserve"> SEQ Tabelul \* ARABIC </w:instrText>
      </w:r>
      <w:r>
        <w:fldChar w:fldCharType="separate"/>
      </w:r>
      <w:r>
        <w:t>156</w:t>
      </w:r>
      <w:r>
        <w:fldChar w:fldCharType="end"/>
      </w:r>
      <w:bookmarkStart w:id="10962" w:name="_Toc11937"/>
      <w:bookmarkStart w:id="10963" w:name="_Toc22434"/>
      <w:bookmarkStart w:id="10964" w:name="_Toc23753"/>
      <w:bookmarkStart w:id="10965" w:name="_Toc16725"/>
      <w:bookmarkStart w:id="10966" w:name="_Toc20883"/>
      <w:bookmarkStart w:id="10967" w:name="_Toc16689"/>
      <w:bookmarkStart w:id="10968" w:name="_Toc20079"/>
      <w:bookmarkStart w:id="10969" w:name="_Toc18568"/>
      <w:bookmarkStart w:id="10970" w:name="_Toc25199"/>
      <w:bookmarkStart w:id="10971" w:name="_Toc13674"/>
      <w:bookmarkStart w:id="10972" w:name="_Toc13505"/>
      <w:bookmarkEnd w:id="10960"/>
      <w:r>
        <w:t xml:space="preserve">: </w:t>
      </w:r>
      <w:r>
        <w:rPr>
          <w:rFonts w:eastAsia="Calibri"/>
          <w:bCs/>
          <w:shd w:val="clear" w:color="auto" w:fill="FFFFFF"/>
        </w:rPr>
        <w:t>Separare a căilor comune de circulație și de evacuare la clădiri existente pentru cultură</w:t>
      </w:r>
      <w:bookmarkEnd w:id="10961"/>
      <w:r>
        <w:rPr>
          <w:rFonts w:eastAsia="Calibri"/>
          <w:bCs/>
          <w:shd w:val="clear" w:color="auto" w:fill="FFFFFF"/>
        </w:rPr>
        <w:t xml:space="preserve"> </w:t>
      </w:r>
      <w:bookmarkEnd w:id="10962"/>
      <w:bookmarkEnd w:id="10963"/>
      <w:bookmarkEnd w:id="10964"/>
      <w:bookmarkEnd w:id="10965"/>
      <w:bookmarkEnd w:id="10966"/>
      <w:bookmarkEnd w:id="10967"/>
      <w:bookmarkEnd w:id="10968"/>
      <w:bookmarkEnd w:id="10969"/>
      <w:bookmarkEnd w:id="10970"/>
      <w:bookmarkEnd w:id="10971"/>
      <w:bookmarkEnd w:id="10972"/>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44"/>
        <w:gridCol w:w="1736"/>
        <w:gridCol w:w="1735"/>
        <w:gridCol w:w="1735"/>
        <w:gridCol w:w="1735"/>
        <w:gridCol w:w="1742"/>
      </w:tblGrid>
      <w:tr w:rsidR="001C08A5" w14:paraId="5A4C59D0" w14:textId="77777777">
        <w:trPr>
          <w:trHeight w:val="390"/>
          <w:tblHeader/>
        </w:trPr>
        <w:tc>
          <w:tcPr>
            <w:tcW w:w="490" w:type="pct"/>
            <w:vMerge w:val="restart"/>
            <w:shd w:val="clear" w:color="auto" w:fill="D7D7D7"/>
            <w:tcMar>
              <w:top w:w="0" w:type="dxa"/>
              <w:left w:w="0" w:type="dxa"/>
              <w:bottom w:w="0" w:type="dxa"/>
              <w:right w:w="0" w:type="dxa"/>
            </w:tcMar>
            <w:vAlign w:val="center"/>
          </w:tcPr>
          <w:p w14:paraId="1E67BFC0" w14:textId="77777777" w:rsidR="001C08A5" w:rsidRDefault="00000000">
            <w:pPr>
              <w:jc w:val="center"/>
              <w:rPr>
                <w:b/>
                <w:bCs/>
                <w:i/>
                <w:sz w:val="22"/>
                <w:szCs w:val="22"/>
              </w:rPr>
            </w:pPr>
            <w:r>
              <w:rPr>
                <w:b/>
                <w:bCs/>
                <w:i/>
                <w:sz w:val="22"/>
                <w:szCs w:val="22"/>
              </w:rPr>
              <w:t>Nivel de stabilitate</w:t>
            </w:r>
          </w:p>
          <w:p w14:paraId="0D33ED17" w14:textId="77777777" w:rsidR="001C08A5" w:rsidRDefault="00000000">
            <w:pPr>
              <w:jc w:val="center"/>
              <w:rPr>
                <w:b/>
                <w:bCs/>
                <w:i/>
                <w:sz w:val="22"/>
                <w:szCs w:val="22"/>
              </w:rPr>
            </w:pPr>
            <w:r>
              <w:rPr>
                <w:b/>
                <w:bCs/>
                <w:i/>
                <w:sz w:val="22"/>
                <w:szCs w:val="22"/>
              </w:rPr>
              <w:t>la incendiu</w:t>
            </w:r>
          </w:p>
        </w:tc>
        <w:tc>
          <w:tcPr>
            <w:tcW w:w="4509" w:type="pct"/>
            <w:gridSpan w:val="5"/>
            <w:shd w:val="clear" w:color="auto" w:fill="D7D7D7"/>
            <w:tcMar>
              <w:top w:w="0" w:type="dxa"/>
              <w:left w:w="0" w:type="dxa"/>
              <w:bottom w:w="0" w:type="dxa"/>
              <w:right w:w="0" w:type="dxa"/>
            </w:tcMar>
            <w:vAlign w:val="center"/>
          </w:tcPr>
          <w:p w14:paraId="1C1B31A5" w14:textId="77777777" w:rsidR="001C08A5" w:rsidRDefault="00000000">
            <w:pPr>
              <w:jc w:val="center"/>
              <w:rPr>
                <w:b/>
                <w:bCs/>
                <w:i/>
                <w:sz w:val="22"/>
                <w:szCs w:val="22"/>
                <w:lang w:val="en-US" w:eastAsia="zh-CN" w:bidi="ar"/>
              </w:rPr>
            </w:pPr>
            <w:r>
              <w:rPr>
                <w:b/>
                <w:bCs/>
                <w:i/>
                <w:sz w:val="22"/>
                <w:szCs w:val="22"/>
                <w:lang w:val="en-US" w:eastAsia="zh-CN" w:bidi="ar"/>
              </w:rPr>
              <w:t>Nivele de comportare la foc admise</w:t>
            </w:r>
          </w:p>
        </w:tc>
      </w:tr>
      <w:tr w:rsidR="001C08A5" w14:paraId="7B6003F6" w14:textId="77777777">
        <w:trPr>
          <w:trHeight w:val="375"/>
          <w:tblHeader/>
        </w:trPr>
        <w:tc>
          <w:tcPr>
            <w:tcW w:w="490" w:type="pct"/>
            <w:vMerge/>
            <w:shd w:val="clear" w:color="auto" w:fill="D7D7D7"/>
            <w:tcMar>
              <w:top w:w="0" w:type="dxa"/>
              <w:left w:w="0" w:type="dxa"/>
              <w:bottom w:w="0" w:type="dxa"/>
              <w:right w:w="0" w:type="dxa"/>
            </w:tcMar>
            <w:vAlign w:val="center"/>
          </w:tcPr>
          <w:p w14:paraId="3E1E565B" w14:textId="77777777" w:rsidR="001C08A5" w:rsidRDefault="001C08A5">
            <w:pPr>
              <w:jc w:val="center"/>
              <w:rPr>
                <w:b/>
                <w:bCs/>
                <w:i/>
                <w:sz w:val="22"/>
                <w:szCs w:val="22"/>
              </w:rPr>
            </w:pPr>
          </w:p>
        </w:tc>
        <w:tc>
          <w:tcPr>
            <w:tcW w:w="901" w:type="pct"/>
            <w:shd w:val="clear" w:color="auto" w:fill="D7D7D7"/>
            <w:tcMar>
              <w:top w:w="0" w:type="dxa"/>
              <w:left w:w="0" w:type="dxa"/>
              <w:bottom w:w="0" w:type="dxa"/>
              <w:right w:w="0" w:type="dxa"/>
            </w:tcMar>
            <w:vAlign w:val="center"/>
          </w:tcPr>
          <w:p w14:paraId="2CE3BA13" w14:textId="77777777" w:rsidR="001C08A5" w:rsidRDefault="00000000">
            <w:pPr>
              <w:jc w:val="center"/>
              <w:rPr>
                <w:b/>
                <w:bCs/>
                <w:i/>
                <w:sz w:val="22"/>
                <w:szCs w:val="22"/>
              </w:rPr>
            </w:pPr>
            <w:r>
              <w:rPr>
                <w:b/>
                <w:bCs/>
                <w:i/>
                <w:sz w:val="22"/>
                <w:szCs w:val="22"/>
                <w:lang w:val="en-US" w:eastAsia="zh-CN" w:bidi="ar"/>
              </w:rPr>
              <w:t>Pereți la coridoare</w:t>
            </w:r>
          </w:p>
        </w:tc>
        <w:tc>
          <w:tcPr>
            <w:tcW w:w="901" w:type="pct"/>
            <w:shd w:val="clear" w:color="auto" w:fill="D7D7D7"/>
            <w:tcMar>
              <w:top w:w="0" w:type="dxa"/>
              <w:left w:w="0" w:type="dxa"/>
              <w:bottom w:w="0" w:type="dxa"/>
              <w:right w:w="0" w:type="dxa"/>
            </w:tcMar>
            <w:vAlign w:val="center"/>
          </w:tcPr>
          <w:p w14:paraId="37663CA6" w14:textId="77777777" w:rsidR="001C08A5" w:rsidRDefault="00000000">
            <w:pPr>
              <w:jc w:val="center"/>
              <w:rPr>
                <w:b/>
                <w:bCs/>
                <w:i/>
                <w:sz w:val="22"/>
                <w:szCs w:val="22"/>
              </w:rPr>
            </w:pPr>
            <w:r>
              <w:rPr>
                <w:b/>
                <w:bCs/>
                <w:i/>
                <w:sz w:val="22"/>
                <w:szCs w:val="22"/>
                <w:lang w:val="en-US" w:eastAsia="zh-CN" w:bidi="ar"/>
              </w:rPr>
              <w:t>Pereți la holuri</w:t>
            </w:r>
          </w:p>
        </w:tc>
        <w:tc>
          <w:tcPr>
            <w:tcW w:w="901" w:type="pct"/>
            <w:shd w:val="clear" w:color="auto" w:fill="D7D7D7"/>
            <w:tcMar>
              <w:top w:w="0" w:type="dxa"/>
              <w:left w:w="0" w:type="dxa"/>
              <w:bottom w:w="0" w:type="dxa"/>
              <w:right w:w="0" w:type="dxa"/>
            </w:tcMar>
            <w:vAlign w:val="center"/>
          </w:tcPr>
          <w:p w14:paraId="68318CA9" w14:textId="77777777" w:rsidR="001C08A5" w:rsidRDefault="00000000">
            <w:pPr>
              <w:jc w:val="center"/>
              <w:rPr>
                <w:b/>
                <w:bCs/>
                <w:i/>
                <w:sz w:val="22"/>
                <w:szCs w:val="22"/>
              </w:rPr>
            </w:pPr>
            <w:r>
              <w:rPr>
                <w:b/>
                <w:bCs/>
                <w:i/>
                <w:sz w:val="22"/>
                <w:szCs w:val="22"/>
              </w:rPr>
              <w:t xml:space="preserve">Uși </w:t>
            </w:r>
            <w:r>
              <w:rPr>
                <w:b/>
                <w:bCs/>
                <w:i/>
                <w:sz w:val="22"/>
                <w:szCs w:val="22"/>
                <w:lang w:val="en-US" w:eastAsia="zh-CN" w:bidi="ar"/>
              </w:rPr>
              <w:t>la</w:t>
            </w:r>
            <w:r>
              <w:rPr>
                <w:b/>
                <w:bCs/>
                <w:i/>
                <w:sz w:val="22"/>
                <w:szCs w:val="22"/>
                <w:lang w:eastAsia="zh-CN" w:bidi="ar"/>
              </w:rPr>
              <w:t xml:space="preserve"> </w:t>
            </w:r>
            <w:r>
              <w:rPr>
                <w:b/>
                <w:bCs/>
                <w:i/>
                <w:sz w:val="22"/>
                <w:szCs w:val="22"/>
                <w:lang w:val="en-US" w:eastAsia="zh-CN" w:bidi="ar"/>
              </w:rPr>
              <w:t>coridoare</w:t>
            </w:r>
            <w:r>
              <w:rPr>
                <w:b/>
                <w:bCs/>
                <w:i/>
                <w:sz w:val="22"/>
                <w:szCs w:val="22"/>
                <w:lang w:eastAsia="zh-CN" w:bidi="ar"/>
              </w:rPr>
              <w:t xml:space="preserve"> și la</w:t>
            </w:r>
            <w:r>
              <w:rPr>
                <w:b/>
                <w:bCs/>
                <w:i/>
                <w:sz w:val="22"/>
                <w:szCs w:val="22"/>
                <w:lang w:val="en-US" w:eastAsia="zh-CN" w:bidi="ar"/>
              </w:rPr>
              <w:t xml:space="preserve"> holuri</w:t>
            </w:r>
            <w:r>
              <w:rPr>
                <w:b/>
                <w:bCs/>
                <w:i/>
                <w:sz w:val="22"/>
                <w:szCs w:val="22"/>
                <w:lang w:eastAsia="zh-CN" w:bidi="ar"/>
              </w:rPr>
              <w:t xml:space="preserve"> </w:t>
            </w:r>
            <w:r>
              <w:rPr>
                <w:i/>
                <w:sz w:val="22"/>
                <w:szCs w:val="22"/>
              </w:rPr>
              <w:t>(cu excepţia celor către case de scări închise)</w:t>
            </w:r>
          </w:p>
        </w:tc>
        <w:tc>
          <w:tcPr>
            <w:tcW w:w="901" w:type="pct"/>
            <w:shd w:val="clear" w:color="auto" w:fill="D7D7D7"/>
            <w:tcMar>
              <w:top w:w="0" w:type="dxa"/>
              <w:left w:w="0" w:type="dxa"/>
              <w:bottom w:w="0" w:type="dxa"/>
              <w:right w:w="0" w:type="dxa"/>
            </w:tcMar>
            <w:vAlign w:val="center"/>
          </w:tcPr>
          <w:p w14:paraId="4FEE1FDC" w14:textId="77777777" w:rsidR="001C08A5" w:rsidRDefault="00000000">
            <w:pPr>
              <w:jc w:val="center"/>
              <w:rPr>
                <w:b/>
                <w:bCs/>
                <w:i/>
                <w:sz w:val="22"/>
                <w:szCs w:val="22"/>
                <w:lang w:eastAsia="zh-CN" w:bidi="ar"/>
              </w:rPr>
            </w:pPr>
            <w:r>
              <w:rPr>
                <w:b/>
                <w:bCs/>
                <w:i/>
                <w:sz w:val="22"/>
                <w:szCs w:val="22"/>
                <w:lang w:val="en-US" w:eastAsia="zh-CN" w:bidi="ar"/>
              </w:rPr>
              <w:t xml:space="preserve">Pereți la case de </w:t>
            </w:r>
            <w:proofErr w:type="gramStart"/>
            <w:r>
              <w:rPr>
                <w:b/>
                <w:bCs/>
                <w:i/>
                <w:sz w:val="22"/>
                <w:szCs w:val="22"/>
                <w:lang w:val="en-US" w:eastAsia="zh-CN" w:bidi="ar"/>
              </w:rPr>
              <w:t>scări</w:t>
            </w:r>
            <w:r>
              <w:rPr>
                <w:b/>
                <w:bCs/>
                <w:i/>
                <w:sz w:val="22"/>
                <w:szCs w:val="22"/>
                <w:lang w:eastAsia="zh-CN" w:bidi="ar"/>
              </w:rPr>
              <w:t xml:space="preserve">  închise</w:t>
            </w:r>
            <w:proofErr w:type="gramEnd"/>
          </w:p>
        </w:tc>
        <w:tc>
          <w:tcPr>
            <w:tcW w:w="903" w:type="pct"/>
            <w:shd w:val="clear" w:color="auto" w:fill="D7D7D7"/>
            <w:tcMar>
              <w:top w:w="0" w:type="dxa"/>
              <w:left w:w="0" w:type="dxa"/>
              <w:bottom w:w="0" w:type="dxa"/>
              <w:right w:w="0" w:type="dxa"/>
            </w:tcMar>
            <w:vAlign w:val="center"/>
          </w:tcPr>
          <w:p w14:paraId="7D492D69" w14:textId="77777777" w:rsidR="001C08A5" w:rsidRDefault="00000000">
            <w:pPr>
              <w:jc w:val="center"/>
              <w:rPr>
                <w:b/>
                <w:bCs/>
                <w:i/>
                <w:sz w:val="22"/>
                <w:szCs w:val="22"/>
                <w:lang w:eastAsia="zh-CN" w:bidi="ar"/>
              </w:rPr>
            </w:pPr>
            <w:r>
              <w:rPr>
                <w:b/>
                <w:bCs/>
                <w:i/>
                <w:sz w:val="22"/>
                <w:szCs w:val="22"/>
                <w:lang w:eastAsia="zh-CN" w:bidi="ar"/>
              </w:rPr>
              <w:t xml:space="preserve">Uși </w:t>
            </w:r>
            <w:r>
              <w:rPr>
                <w:b/>
                <w:bCs/>
                <w:i/>
                <w:sz w:val="22"/>
                <w:szCs w:val="22"/>
                <w:lang w:val="en-US" w:eastAsia="zh-CN" w:bidi="ar"/>
              </w:rPr>
              <w:t>la case de scări</w:t>
            </w:r>
            <w:r>
              <w:rPr>
                <w:b/>
                <w:bCs/>
                <w:i/>
                <w:sz w:val="22"/>
                <w:szCs w:val="22"/>
                <w:lang w:eastAsia="zh-CN" w:bidi="ar"/>
              </w:rPr>
              <w:t xml:space="preserve"> </w:t>
            </w:r>
            <w:r>
              <w:rPr>
                <w:i/>
                <w:sz w:val="22"/>
                <w:szCs w:val="22"/>
                <w:lang w:eastAsia="zh-CN" w:bidi="ar"/>
              </w:rPr>
              <w:t>(cu excepţia uşilor de apartament)</w:t>
            </w:r>
          </w:p>
        </w:tc>
      </w:tr>
      <w:tr w:rsidR="001C08A5" w14:paraId="2CD79031" w14:textId="77777777">
        <w:trPr>
          <w:trHeight w:val="345"/>
        </w:trPr>
        <w:tc>
          <w:tcPr>
            <w:tcW w:w="490" w:type="pct"/>
            <w:tcMar>
              <w:top w:w="0" w:type="dxa"/>
              <w:left w:w="0" w:type="dxa"/>
              <w:bottom w:w="0" w:type="dxa"/>
              <w:right w:w="0" w:type="dxa"/>
            </w:tcMar>
            <w:vAlign w:val="center"/>
          </w:tcPr>
          <w:p w14:paraId="2D84E715" w14:textId="77777777" w:rsidR="001C08A5" w:rsidRDefault="00000000">
            <w:pPr>
              <w:jc w:val="center"/>
              <w:rPr>
                <w:b/>
                <w:bCs/>
                <w:i/>
                <w:sz w:val="22"/>
                <w:szCs w:val="22"/>
              </w:rPr>
            </w:pPr>
            <w:r>
              <w:rPr>
                <w:b/>
                <w:bCs/>
                <w:i/>
                <w:sz w:val="22"/>
                <w:szCs w:val="22"/>
                <w:lang w:val="en-US" w:eastAsia="zh-CN" w:bidi="ar"/>
              </w:rPr>
              <w:t>I</w:t>
            </w:r>
          </w:p>
        </w:tc>
        <w:tc>
          <w:tcPr>
            <w:tcW w:w="1739" w:type="dxa"/>
            <w:tcMar>
              <w:top w:w="0" w:type="dxa"/>
              <w:left w:w="0" w:type="dxa"/>
              <w:bottom w:w="0" w:type="dxa"/>
              <w:right w:w="0" w:type="dxa"/>
            </w:tcMar>
            <w:vAlign w:val="center"/>
          </w:tcPr>
          <w:p w14:paraId="5EA1EE10" w14:textId="77777777" w:rsidR="001C08A5" w:rsidRDefault="00000000">
            <w:pPr>
              <w:jc w:val="center"/>
              <w:rPr>
                <w:b/>
                <w:i/>
                <w:sz w:val="22"/>
                <w:szCs w:val="22"/>
              </w:rPr>
            </w:pPr>
            <w:r>
              <w:rPr>
                <w:b/>
                <w:i/>
                <w:sz w:val="22"/>
                <w:szCs w:val="22"/>
              </w:rPr>
              <w:t>EI/REI 90</w:t>
            </w:r>
          </w:p>
          <w:p w14:paraId="0536C910" w14:textId="77777777" w:rsidR="001C08A5" w:rsidRDefault="00000000">
            <w:pPr>
              <w:jc w:val="center"/>
              <w:rPr>
                <w:b/>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21CC17D9" w14:textId="77777777" w:rsidR="001C08A5" w:rsidRDefault="00000000">
            <w:pPr>
              <w:jc w:val="center"/>
              <w:rPr>
                <w:b/>
                <w:i/>
                <w:sz w:val="22"/>
                <w:szCs w:val="22"/>
              </w:rPr>
            </w:pPr>
            <w:r>
              <w:rPr>
                <w:b/>
                <w:i/>
                <w:sz w:val="22"/>
                <w:szCs w:val="22"/>
              </w:rPr>
              <w:t>EI/REI 90</w:t>
            </w:r>
          </w:p>
          <w:p w14:paraId="2DBB99AE" w14:textId="77777777" w:rsidR="001C08A5" w:rsidRDefault="00000000">
            <w:pPr>
              <w:jc w:val="center"/>
              <w:rPr>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11036462" w14:textId="77777777" w:rsidR="001C08A5" w:rsidRDefault="00000000">
            <w:pPr>
              <w:jc w:val="center"/>
              <w:rPr>
                <w:i/>
                <w:sz w:val="22"/>
                <w:szCs w:val="22"/>
              </w:rPr>
            </w:pPr>
            <w:r>
              <w:rPr>
                <w:b/>
                <w:bCs/>
                <w:i/>
                <w:sz w:val="22"/>
                <w:szCs w:val="22"/>
              </w:rPr>
              <w:t>E 30 - C5 Sa</w:t>
            </w:r>
          </w:p>
        </w:tc>
        <w:tc>
          <w:tcPr>
            <w:tcW w:w="1739" w:type="dxa"/>
            <w:tcMar>
              <w:top w:w="0" w:type="dxa"/>
              <w:left w:w="0" w:type="dxa"/>
              <w:bottom w:w="0" w:type="dxa"/>
              <w:right w:w="0" w:type="dxa"/>
            </w:tcMar>
            <w:vAlign w:val="center"/>
          </w:tcPr>
          <w:p w14:paraId="4A2EB19B" w14:textId="77777777" w:rsidR="001C08A5" w:rsidRDefault="00000000">
            <w:pPr>
              <w:jc w:val="center"/>
              <w:rPr>
                <w:b/>
                <w:i/>
                <w:sz w:val="22"/>
                <w:szCs w:val="22"/>
              </w:rPr>
            </w:pPr>
            <w:r>
              <w:rPr>
                <w:b/>
                <w:i/>
                <w:sz w:val="22"/>
                <w:szCs w:val="22"/>
              </w:rPr>
              <w:t>EI/REI 180</w:t>
            </w:r>
          </w:p>
          <w:p w14:paraId="7C607560" w14:textId="77777777" w:rsidR="001C08A5" w:rsidRDefault="00000000">
            <w:pPr>
              <w:jc w:val="center"/>
              <w:rPr>
                <w:b/>
                <w:i/>
                <w:sz w:val="22"/>
                <w:szCs w:val="22"/>
              </w:rPr>
            </w:pPr>
            <w:r>
              <w:rPr>
                <w:b/>
                <w:bCs/>
                <w:i/>
                <w:sz w:val="22"/>
                <w:szCs w:val="22"/>
                <w:lang w:val="en-GB"/>
              </w:rPr>
              <w:t>A1, A2s1d0</w:t>
            </w:r>
          </w:p>
        </w:tc>
        <w:tc>
          <w:tcPr>
            <w:tcW w:w="1746" w:type="dxa"/>
            <w:tcMar>
              <w:top w:w="0" w:type="dxa"/>
              <w:left w:w="0" w:type="dxa"/>
              <w:bottom w:w="0" w:type="dxa"/>
              <w:right w:w="0" w:type="dxa"/>
            </w:tcMar>
            <w:vAlign w:val="center"/>
          </w:tcPr>
          <w:p w14:paraId="1B83DD90" w14:textId="77777777" w:rsidR="001C08A5" w:rsidRDefault="00000000">
            <w:pPr>
              <w:jc w:val="center"/>
              <w:rPr>
                <w:b/>
                <w:i/>
                <w:sz w:val="22"/>
                <w:szCs w:val="22"/>
              </w:rPr>
            </w:pPr>
            <w:r>
              <w:rPr>
                <w:b/>
                <w:bCs/>
                <w:i/>
                <w:sz w:val="22"/>
                <w:szCs w:val="22"/>
              </w:rPr>
              <w:t xml:space="preserve">E 60 - C5 </w:t>
            </w:r>
            <w:r>
              <w:rPr>
                <w:b/>
                <w:i/>
                <w:sz w:val="22"/>
                <w:szCs w:val="22"/>
              </w:rPr>
              <w:t>S</w:t>
            </w:r>
            <w:r>
              <w:rPr>
                <w:b/>
                <w:bCs/>
                <w:i/>
                <w:sz w:val="22"/>
                <w:szCs w:val="22"/>
                <w:vertAlign w:val="subscript"/>
                <w:lang w:val="en-GB"/>
              </w:rPr>
              <w:t>200</w:t>
            </w:r>
          </w:p>
        </w:tc>
      </w:tr>
      <w:tr w:rsidR="001C08A5" w14:paraId="03D58383" w14:textId="77777777">
        <w:trPr>
          <w:trHeight w:val="345"/>
        </w:trPr>
        <w:tc>
          <w:tcPr>
            <w:tcW w:w="490" w:type="pct"/>
            <w:tcMar>
              <w:top w:w="0" w:type="dxa"/>
              <w:left w:w="0" w:type="dxa"/>
              <w:bottom w:w="0" w:type="dxa"/>
              <w:right w:w="0" w:type="dxa"/>
            </w:tcMar>
            <w:vAlign w:val="center"/>
          </w:tcPr>
          <w:p w14:paraId="64C36816" w14:textId="77777777" w:rsidR="001C08A5" w:rsidRDefault="00000000">
            <w:pPr>
              <w:jc w:val="center"/>
              <w:rPr>
                <w:b/>
                <w:bCs/>
                <w:i/>
                <w:sz w:val="22"/>
                <w:szCs w:val="22"/>
              </w:rPr>
            </w:pPr>
            <w:r>
              <w:rPr>
                <w:b/>
                <w:bCs/>
                <w:i/>
                <w:sz w:val="22"/>
                <w:szCs w:val="22"/>
                <w:lang w:val="en-US" w:eastAsia="zh-CN" w:bidi="ar"/>
              </w:rPr>
              <w:t>II</w:t>
            </w:r>
          </w:p>
        </w:tc>
        <w:tc>
          <w:tcPr>
            <w:tcW w:w="1739" w:type="dxa"/>
            <w:tcMar>
              <w:top w:w="0" w:type="dxa"/>
              <w:left w:w="0" w:type="dxa"/>
              <w:bottom w:w="0" w:type="dxa"/>
              <w:right w:w="0" w:type="dxa"/>
            </w:tcMar>
            <w:vAlign w:val="center"/>
          </w:tcPr>
          <w:p w14:paraId="377D0E5A" w14:textId="77777777" w:rsidR="001C08A5" w:rsidRDefault="00000000">
            <w:pPr>
              <w:jc w:val="center"/>
              <w:rPr>
                <w:b/>
                <w:i/>
                <w:sz w:val="22"/>
                <w:szCs w:val="22"/>
              </w:rPr>
            </w:pPr>
            <w:r>
              <w:rPr>
                <w:b/>
                <w:i/>
                <w:sz w:val="22"/>
                <w:szCs w:val="22"/>
              </w:rPr>
              <w:t>EI/REI 90</w:t>
            </w:r>
          </w:p>
          <w:p w14:paraId="539C5DEC" w14:textId="77777777" w:rsidR="001C08A5" w:rsidRDefault="00000000">
            <w:pPr>
              <w:jc w:val="center"/>
              <w:rPr>
                <w:b/>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30CC0EA9" w14:textId="77777777" w:rsidR="001C08A5" w:rsidRDefault="00000000">
            <w:pPr>
              <w:jc w:val="center"/>
              <w:rPr>
                <w:b/>
                <w:i/>
                <w:sz w:val="22"/>
                <w:szCs w:val="22"/>
              </w:rPr>
            </w:pPr>
            <w:r>
              <w:rPr>
                <w:b/>
                <w:i/>
                <w:sz w:val="22"/>
                <w:szCs w:val="22"/>
              </w:rPr>
              <w:t>EI/REI 90</w:t>
            </w:r>
          </w:p>
          <w:p w14:paraId="1F5B40C3" w14:textId="77777777" w:rsidR="001C08A5" w:rsidRDefault="00000000">
            <w:pPr>
              <w:jc w:val="center"/>
              <w:rPr>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0AD04ABD" w14:textId="77777777" w:rsidR="001C08A5" w:rsidRDefault="00000000">
            <w:pPr>
              <w:jc w:val="center"/>
              <w:rPr>
                <w:i/>
                <w:sz w:val="22"/>
                <w:szCs w:val="22"/>
              </w:rPr>
            </w:pPr>
            <w:r>
              <w:rPr>
                <w:b/>
                <w:bCs/>
                <w:i/>
                <w:sz w:val="22"/>
                <w:szCs w:val="22"/>
              </w:rPr>
              <w:t xml:space="preserve">E 15 - C5 Sa </w:t>
            </w:r>
            <w:r>
              <w:rPr>
                <w:b/>
                <w:bCs/>
                <w:i/>
              </w:rPr>
              <w:t>sau uși pline din lemn sau metal</w:t>
            </w:r>
          </w:p>
        </w:tc>
        <w:tc>
          <w:tcPr>
            <w:tcW w:w="1739" w:type="dxa"/>
            <w:tcMar>
              <w:top w:w="0" w:type="dxa"/>
              <w:left w:w="0" w:type="dxa"/>
              <w:bottom w:w="0" w:type="dxa"/>
              <w:right w:w="0" w:type="dxa"/>
            </w:tcMar>
            <w:vAlign w:val="center"/>
          </w:tcPr>
          <w:p w14:paraId="73CFFC97" w14:textId="77777777" w:rsidR="001C08A5" w:rsidRDefault="00000000">
            <w:pPr>
              <w:jc w:val="center"/>
              <w:rPr>
                <w:b/>
                <w:i/>
                <w:sz w:val="22"/>
                <w:szCs w:val="22"/>
              </w:rPr>
            </w:pPr>
            <w:r>
              <w:rPr>
                <w:b/>
                <w:i/>
                <w:sz w:val="22"/>
                <w:szCs w:val="22"/>
              </w:rPr>
              <w:t>EI/REI 180</w:t>
            </w:r>
          </w:p>
          <w:p w14:paraId="0D1A1516" w14:textId="77777777" w:rsidR="001C08A5" w:rsidRDefault="00000000">
            <w:pPr>
              <w:jc w:val="center"/>
              <w:rPr>
                <w:b/>
                <w:i/>
                <w:sz w:val="22"/>
                <w:szCs w:val="22"/>
              </w:rPr>
            </w:pPr>
            <w:r>
              <w:rPr>
                <w:b/>
                <w:bCs/>
                <w:i/>
                <w:sz w:val="22"/>
                <w:szCs w:val="22"/>
                <w:lang w:val="en-GB"/>
              </w:rPr>
              <w:t>A1, A2s1d0</w:t>
            </w:r>
          </w:p>
        </w:tc>
        <w:tc>
          <w:tcPr>
            <w:tcW w:w="1746" w:type="dxa"/>
            <w:tcMar>
              <w:top w:w="0" w:type="dxa"/>
              <w:left w:w="0" w:type="dxa"/>
              <w:bottom w:w="0" w:type="dxa"/>
              <w:right w:w="0" w:type="dxa"/>
            </w:tcMar>
            <w:vAlign w:val="center"/>
          </w:tcPr>
          <w:p w14:paraId="3CA79395" w14:textId="77777777" w:rsidR="001C08A5" w:rsidRDefault="00000000">
            <w:pPr>
              <w:jc w:val="center"/>
              <w:rPr>
                <w:b/>
                <w:i/>
                <w:sz w:val="22"/>
                <w:szCs w:val="22"/>
              </w:rPr>
            </w:pPr>
            <w:r>
              <w:rPr>
                <w:b/>
                <w:bCs/>
                <w:i/>
                <w:sz w:val="22"/>
                <w:szCs w:val="22"/>
              </w:rPr>
              <w:t xml:space="preserve">E 30 - C5 </w:t>
            </w:r>
            <w:r>
              <w:rPr>
                <w:b/>
                <w:i/>
                <w:sz w:val="22"/>
                <w:szCs w:val="22"/>
              </w:rPr>
              <w:t>S</w:t>
            </w:r>
            <w:r>
              <w:rPr>
                <w:b/>
                <w:bCs/>
                <w:i/>
                <w:sz w:val="22"/>
                <w:szCs w:val="22"/>
                <w:vertAlign w:val="subscript"/>
                <w:lang w:val="en-GB"/>
              </w:rPr>
              <w:t>200</w:t>
            </w:r>
          </w:p>
        </w:tc>
      </w:tr>
      <w:tr w:rsidR="001C08A5" w14:paraId="2DAFD83F" w14:textId="77777777">
        <w:trPr>
          <w:trHeight w:val="345"/>
        </w:trPr>
        <w:tc>
          <w:tcPr>
            <w:tcW w:w="490" w:type="pct"/>
            <w:tcMar>
              <w:top w:w="0" w:type="dxa"/>
              <w:left w:w="0" w:type="dxa"/>
              <w:bottom w:w="0" w:type="dxa"/>
              <w:right w:w="0" w:type="dxa"/>
            </w:tcMar>
            <w:vAlign w:val="center"/>
          </w:tcPr>
          <w:p w14:paraId="3122FDE6" w14:textId="77777777" w:rsidR="001C08A5" w:rsidRDefault="00000000">
            <w:pPr>
              <w:jc w:val="center"/>
              <w:rPr>
                <w:b/>
                <w:bCs/>
                <w:i/>
                <w:sz w:val="22"/>
                <w:szCs w:val="22"/>
              </w:rPr>
            </w:pPr>
            <w:r>
              <w:rPr>
                <w:b/>
                <w:bCs/>
                <w:i/>
                <w:sz w:val="22"/>
                <w:szCs w:val="22"/>
                <w:lang w:val="en-US" w:eastAsia="zh-CN" w:bidi="ar"/>
              </w:rPr>
              <w:t>III</w:t>
            </w:r>
          </w:p>
        </w:tc>
        <w:tc>
          <w:tcPr>
            <w:tcW w:w="1739" w:type="dxa"/>
            <w:tcMar>
              <w:top w:w="0" w:type="dxa"/>
              <w:left w:w="0" w:type="dxa"/>
              <w:bottom w:w="0" w:type="dxa"/>
              <w:right w:w="0" w:type="dxa"/>
            </w:tcMar>
            <w:vAlign w:val="center"/>
          </w:tcPr>
          <w:p w14:paraId="26733B12" w14:textId="77777777" w:rsidR="001C08A5" w:rsidRDefault="00000000">
            <w:pPr>
              <w:jc w:val="center"/>
              <w:rPr>
                <w:b/>
                <w:i/>
                <w:sz w:val="22"/>
                <w:szCs w:val="22"/>
              </w:rPr>
            </w:pPr>
            <w:r>
              <w:rPr>
                <w:b/>
                <w:i/>
                <w:sz w:val="22"/>
                <w:szCs w:val="22"/>
              </w:rPr>
              <w:t>EI/REI 45</w:t>
            </w:r>
          </w:p>
          <w:p w14:paraId="2DADE533" w14:textId="77777777" w:rsidR="001C08A5" w:rsidRDefault="00000000">
            <w:pPr>
              <w:jc w:val="center"/>
              <w:rPr>
                <w:b/>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033EB032" w14:textId="77777777" w:rsidR="001C08A5" w:rsidRDefault="00000000">
            <w:pPr>
              <w:jc w:val="center"/>
              <w:rPr>
                <w:b/>
                <w:i/>
                <w:sz w:val="22"/>
                <w:szCs w:val="22"/>
              </w:rPr>
            </w:pPr>
            <w:r>
              <w:rPr>
                <w:b/>
                <w:i/>
                <w:sz w:val="22"/>
                <w:szCs w:val="22"/>
              </w:rPr>
              <w:t>EI/REI 45</w:t>
            </w:r>
          </w:p>
          <w:p w14:paraId="16FA1967" w14:textId="77777777" w:rsidR="001C08A5" w:rsidRDefault="00000000">
            <w:pPr>
              <w:jc w:val="center"/>
              <w:rPr>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13AD307B" w14:textId="77777777" w:rsidR="001C08A5" w:rsidRDefault="00000000">
            <w:pPr>
              <w:jc w:val="center"/>
              <w:rPr>
                <w:i/>
                <w:sz w:val="22"/>
                <w:szCs w:val="22"/>
              </w:rPr>
            </w:pPr>
            <w:r>
              <w:rPr>
                <w:b/>
                <w:bCs/>
                <w:i/>
                <w:sz w:val="22"/>
                <w:szCs w:val="22"/>
              </w:rPr>
              <w:t xml:space="preserve">E </w:t>
            </w:r>
            <w:r>
              <w:rPr>
                <w:b/>
                <w:bCs/>
                <w:i/>
                <w:sz w:val="22"/>
                <w:szCs w:val="22"/>
                <w:lang w:val="en-GB"/>
              </w:rPr>
              <w:t>15</w:t>
            </w:r>
            <w:r>
              <w:rPr>
                <w:b/>
                <w:bCs/>
                <w:i/>
                <w:sz w:val="22"/>
                <w:szCs w:val="22"/>
              </w:rPr>
              <w:t xml:space="preserve"> - C5 Sa </w:t>
            </w:r>
            <w:r>
              <w:rPr>
                <w:b/>
                <w:bCs/>
                <w:i/>
              </w:rPr>
              <w:t>sau uși pline din lemn sau metal</w:t>
            </w:r>
          </w:p>
        </w:tc>
        <w:tc>
          <w:tcPr>
            <w:tcW w:w="1739" w:type="dxa"/>
            <w:tcMar>
              <w:top w:w="0" w:type="dxa"/>
              <w:left w:w="0" w:type="dxa"/>
              <w:bottom w:w="0" w:type="dxa"/>
              <w:right w:w="0" w:type="dxa"/>
            </w:tcMar>
            <w:vAlign w:val="center"/>
          </w:tcPr>
          <w:p w14:paraId="7629A1AB" w14:textId="77777777" w:rsidR="001C08A5" w:rsidRDefault="00000000">
            <w:pPr>
              <w:jc w:val="center"/>
              <w:rPr>
                <w:b/>
                <w:i/>
                <w:sz w:val="22"/>
                <w:szCs w:val="22"/>
              </w:rPr>
            </w:pPr>
            <w:r>
              <w:rPr>
                <w:b/>
                <w:i/>
                <w:sz w:val="22"/>
                <w:szCs w:val="22"/>
              </w:rPr>
              <w:t>EI/REI 180</w:t>
            </w:r>
          </w:p>
          <w:p w14:paraId="362C05CC" w14:textId="77777777" w:rsidR="001C08A5" w:rsidRDefault="00000000">
            <w:pPr>
              <w:jc w:val="center"/>
              <w:rPr>
                <w:b/>
                <w:i/>
                <w:sz w:val="22"/>
                <w:szCs w:val="22"/>
              </w:rPr>
            </w:pPr>
            <w:r>
              <w:rPr>
                <w:b/>
                <w:bCs/>
                <w:i/>
                <w:sz w:val="22"/>
                <w:szCs w:val="22"/>
                <w:lang w:val="en-GB"/>
              </w:rPr>
              <w:t>A1, A2s1d0</w:t>
            </w:r>
          </w:p>
        </w:tc>
        <w:tc>
          <w:tcPr>
            <w:tcW w:w="1746" w:type="dxa"/>
            <w:tcMar>
              <w:top w:w="0" w:type="dxa"/>
              <w:left w:w="0" w:type="dxa"/>
              <w:bottom w:w="0" w:type="dxa"/>
              <w:right w:w="0" w:type="dxa"/>
            </w:tcMar>
            <w:vAlign w:val="center"/>
          </w:tcPr>
          <w:p w14:paraId="51E73382" w14:textId="77777777" w:rsidR="001C08A5" w:rsidRDefault="00000000">
            <w:pPr>
              <w:jc w:val="center"/>
              <w:rPr>
                <w:b/>
                <w:i/>
                <w:sz w:val="22"/>
                <w:szCs w:val="22"/>
              </w:rPr>
            </w:pPr>
            <w:r>
              <w:rPr>
                <w:b/>
                <w:bCs/>
                <w:i/>
                <w:sz w:val="22"/>
                <w:szCs w:val="22"/>
              </w:rPr>
              <w:t>E 15 - C5 Sa</w:t>
            </w:r>
          </w:p>
        </w:tc>
      </w:tr>
      <w:tr w:rsidR="001C08A5" w14:paraId="775A900D" w14:textId="77777777">
        <w:trPr>
          <w:trHeight w:val="345"/>
        </w:trPr>
        <w:tc>
          <w:tcPr>
            <w:tcW w:w="490" w:type="pct"/>
            <w:tcMar>
              <w:top w:w="0" w:type="dxa"/>
              <w:left w:w="0" w:type="dxa"/>
              <w:bottom w:w="0" w:type="dxa"/>
              <w:right w:w="0" w:type="dxa"/>
            </w:tcMar>
            <w:vAlign w:val="center"/>
          </w:tcPr>
          <w:p w14:paraId="4E07B071" w14:textId="77777777" w:rsidR="001C08A5" w:rsidRDefault="00000000">
            <w:pPr>
              <w:jc w:val="center"/>
              <w:rPr>
                <w:b/>
                <w:bCs/>
                <w:i/>
                <w:sz w:val="22"/>
                <w:szCs w:val="22"/>
              </w:rPr>
            </w:pPr>
            <w:r>
              <w:rPr>
                <w:b/>
                <w:bCs/>
                <w:i/>
                <w:sz w:val="22"/>
                <w:szCs w:val="22"/>
                <w:lang w:val="en-US" w:eastAsia="zh-CN" w:bidi="ar"/>
              </w:rPr>
              <w:t>IV</w:t>
            </w:r>
          </w:p>
        </w:tc>
        <w:tc>
          <w:tcPr>
            <w:tcW w:w="1739" w:type="dxa"/>
            <w:tcMar>
              <w:top w:w="0" w:type="dxa"/>
              <w:left w:w="0" w:type="dxa"/>
              <w:bottom w:w="0" w:type="dxa"/>
              <w:right w:w="0" w:type="dxa"/>
            </w:tcMar>
            <w:vAlign w:val="center"/>
          </w:tcPr>
          <w:p w14:paraId="1808CACD" w14:textId="77777777" w:rsidR="001C08A5" w:rsidRDefault="00000000">
            <w:pPr>
              <w:jc w:val="center"/>
              <w:rPr>
                <w:b/>
                <w:i/>
                <w:sz w:val="22"/>
                <w:szCs w:val="22"/>
              </w:rPr>
            </w:pPr>
            <w:r>
              <w:rPr>
                <w:b/>
                <w:i/>
                <w:sz w:val="22"/>
                <w:szCs w:val="22"/>
              </w:rPr>
              <w:t>EI/REI 30</w:t>
            </w:r>
          </w:p>
          <w:p w14:paraId="2458D598" w14:textId="77777777" w:rsidR="001C08A5" w:rsidRDefault="00000000">
            <w:pPr>
              <w:jc w:val="center"/>
              <w:rPr>
                <w:b/>
                <w:i/>
                <w:sz w:val="22"/>
                <w:szCs w:val="22"/>
                <w:lang w:eastAsia="zh-CN"/>
              </w:rPr>
            </w:pPr>
            <w:r>
              <w:rPr>
                <w:b/>
                <w:i/>
                <w:sz w:val="22"/>
                <w:szCs w:val="22"/>
                <w:lang w:eastAsia="zh-CN"/>
              </w:rPr>
              <w:t>min. A2s1÷s3,d0÷d1;</w:t>
            </w:r>
          </w:p>
          <w:p w14:paraId="7F06E7C1" w14:textId="77777777" w:rsidR="001C08A5" w:rsidRDefault="00000000">
            <w:pPr>
              <w:jc w:val="center"/>
              <w:rPr>
                <w:b/>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46F5D884" w14:textId="77777777" w:rsidR="001C08A5" w:rsidRDefault="00000000">
            <w:pPr>
              <w:jc w:val="center"/>
              <w:rPr>
                <w:b/>
                <w:i/>
                <w:sz w:val="22"/>
                <w:szCs w:val="22"/>
              </w:rPr>
            </w:pPr>
            <w:r>
              <w:rPr>
                <w:b/>
                <w:i/>
                <w:sz w:val="22"/>
                <w:szCs w:val="22"/>
              </w:rPr>
              <w:t>EI/REI 30</w:t>
            </w:r>
          </w:p>
          <w:p w14:paraId="60800E1A" w14:textId="77777777" w:rsidR="001C08A5" w:rsidRDefault="00000000">
            <w:pPr>
              <w:jc w:val="center"/>
              <w:rPr>
                <w:b/>
                <w:i/>
                <w:sz w:val="22"/>
                <w:szCs w:val="22"/>
                <w:lang w:eastAsia="zh-CN"/>
              </w:rPr>
            </w:pPr>
            <w:r>
              <w:rPr>
                <w:b/>
                <w:i/>
                <w:sz w:val="22"/>
                <w:szCs w:val="22"/>
                <w:lang w:eastAsia="zh-CN"/>
              </w:rPr>
              <w:t>min. A2s1÷s3,d0÷d1;</w:t>
            </w:r>
          </w:p>
          <w:p w14:paraId="2BA9E698" w14:textId="77777777" w:rsidR="001C08A5" w:rsidRDefault="00000000">
            <w:pPr>
              <w:jc w:val="center"/>
              <w:rPr>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30002552" w14:textId="77777777" w:rsidR="001C08A5" w:rsidRDefault="00000000">
            <w:pPr>
              <w:jc w:val="center"/>
              <w:rPr>
                <w:i/>
                <w:sz w:val="22"/>
                <w:szCs w:val="22"/>
              </w:rPr>
            </w:pPr>
            <w:r>
              <w:rPr>
                <w:b/>
                <w:bCs/>
                <w:i/>
                <w:sz w:val="22"/>
                <w:szCs w:val="22"/>
              </w:rPr>
              <w:t>C5</w:t>
            </w:r>
          </w:p>
        </w:tc>
        <w:tc>
          <w:tcPr>
            <w:tcW w:w="1739" w:type="dxa"/>
            <w:tcMar>
              <w:top w:w="0" w:type="dxa"/>
              <w:left w:w="0" w:type="dxa"/>
              <w:bottom w:w="0" w:type="dxa"/>
              <w:right w:w="0" w:type="dxa"/>
            </w:tcMar>
            <w:vAlign w:val="center"/>
          </w:tcPr>
          <w:p w14:paraId="10A474F0" w14:textId="77777777" w:rsidR="001C08A5" w:rsidRDefault="00000000">
            <w:pPr>
              <w:jc w:val="center"/>
              <w:rPr>
                <w:b/>
                <w:i/>
                <w:sz w:val="22"/>
                <w:szCs w:val="22"/>
              </w:rPr>
            </w:pPr>
            <w:r>
              <w:rPr>
                <w:b/>
                <w:i/>
                <w:sz w:val="22"/>
                <w:szCs w:val="22"/>
              </w:rPr>
              <w:t>EI/REI 60</w:t>
            </w:r>
          </w:p>
          <w:p w14:paraId="1026CCDE" w14:textId="77777777" w:rsidR="001C08A5" w:rsidRDefault="00000000">
            <w:pPr>
              <w:jc w:val="center"/>
              <w:rPr>
                <w:b/>
                <w:i/>
                <w:sz w:val="22"/>
                <w:szCs w:val="22"/>
                <w:lang w:eastAsia="zh-CN"/>
              </w:rPr>
            </w:pPr>
            <w:r>
              <w:rPr>
                <w:b/>
                <w:i/>
                <w:sz w:val="22"/>
                <w:szCs w:val="22"/>
                <w:lang w:eastAsia="zh-CN"/>
              </w:rPr>
              <w:t>min. A2s1÷s3,d0÷d1;</w:t>
            </w:r>
          </w:p>
          <w:p w14:paraId="3B8E2489" w14:textId="77777777" w:rsidR="001C08A5" w:rsidRDefault="00000000">
            <w:pPr>
              <w:jc w:val="center"/>
              <w:rPr>
                <w:i/>
                <w:sz w:val="22"/>
                <w:szCs w:val="22"/>
                <w:lang w:val="en-US" w:eastAsia="zh-CN" w:bidi="ar"/>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46" w:type="dxa"/>
            <w:tcMar>
              <w:top w:w="0" w:type="dxa"/>
              <w:left w:w="0" w:type="dxa"/>
              <w:bottom w:w="0" w:type="dxa"/>
              <w:right w:w="0" w:type="dxa"/>
            </w:tcMar>
            <w:vAlign w:val="center"/>
          </w:tcPr>
          <w:p w14:paraId="571C64F9" w14:textId="77777777" w:rsidR="001C08A5" w:rsidRDefault="00000000">
            <w:pPr>
              <w:jc w:val="center"/>
              <w:rPr>
                <w:i/>
                <w:sz w:val="22"/>
                <w:szCs w:val="22"/>
                <w:lang w:eastAsia="zh-CN" w:bidi="ar"/>
              </w:rPr>
            </w:pPr>
            <w:r>
              <w:rPr>
                <w:b/>
                <w:bCs/>
                <w:i/>
                <w:sz w:val="22"/>
                <w:szCs w:val="22"/>
              </w:rPr>
              <w:t>C5 Sa</w:t>
            </w:r>
          </w:p>
        </w:tc>
      </w:tr>
      <w:tr w:rsidR="001C08A5" w14:paraId="3BA43B63" w14:textId="77777777">
        <w:trPr>
          <w:trHeight w:val="360"/>
        </w:trPr>
        <w:tc>
          <w:tcPr>
            <w:tcW w:w="490" w:type="pct"/>
            <w:tcMar>
              <w:top w:w="0" w:type="dxa"/>
              <w:left w:w="0" w:type="dxa"/>
              <w:bottom w:w="0" w:type="dxa"/>
              <w:right w:w="0" w:type="dxa"/>
            </w:tcMar>
            <w:vAlign w:val="center"/>
          </w:tcPr>
          <w:p w14:paraId="68553CA1" w14:textId="77777777" w:rsidR="001C08A5" w:rsidRDefault="00000000">
            <w:pPr>
              <w:jc w:val="center"/>
              <w:rPr>
                <w:b/>
                <w:bCs/>
                <w:i/>
                <w:sz w:val="22"/>
                <w:szCs w:val="22"/>
              </w:rPr>
            </w:pPr>
            <w:r>
              <w:rPr>
                <w:b/>
                <w:bCs/>
                <w:i/>
                <w:sz w:val="22"/>
                <w:szCs w:val="22"/>
                <w:lang w:val="en-US" w:eastAsia="zh-CN" w:bidi="ar"/>
              </w:rPr>
              <w:t>V</w:t>
            </w:r>
          </w:p>
        </w:tc>
        <w:tc>
          <w:tcPr>
            <w:tcW w:w="1739" w:type="dxa"/>
            <w:tcMar>
              <w:top w:w="0" w:type="dxa"/>
              <w:left w:w="0" w:type="dxa"/>
              <w:bottom w:w="0" w:type="dxa"/>
              <w:right w:w="0" w:type="dxa"/>
            </w:tcMar>
            <w:vAlign w:val="center"/>
          </w:tcPr>
          <w:p w14:paraId="2903DAB6" w14:textId="77777777" w:rsidR="001C08A5" w:rsidRDefault="00000000">
            <w:pPr>
              <w:jc w:val="center"/>
              <w:rPr>
                <w:b/>
                <w:i/>
                <w:sz w:val="22"/>
                <w:szCs w:val="22"/>
              </w:rPr>
            </w:pPr>
            <w:r>
              <w:rPr>
                <w:b/>
                <w:i/>
                <w:sz w:val="22"/>
                <w:szCs w:val="22"/>
              </w:rPr>
              <w:t>EI/REI 15</w:t>
            </w:r>
          </w:p>
          <w:p w14:paraId="13EA3304" w14:textId="77777777" w:rsidR="001C08A5" w:rsidRDefault="00000000">
            <w:pPr>
              <w:jc w:val="center"/>
              <w:rPr>
                <w:b/>
                <w:i/>
                <w:sz w:val="22"/>
                <w:szCs w:val="22"/>
              </w:rPr>
            </w:pPr>
            <w:r>
              <w:rPr>
                <w:b/>
                <w:i/>
                <w:sz w:val="22"/>
                <w:szCs w:val="22"/>
              </w:rPr>
              <w:t>min.</w:t>
            </w:r>
          </w:p>
          <w:p w14:paraId="1AB3CB17" w14:textId="77777777" w:rsidR="001C08A5" w:rsidRDefault="00000000">
            <w:pPr>
              <w:jc w:val="center"/>
              <w:rPr>
                <w:b/>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7E82F264" w14:textId="77777777" w:rsidR="001C08A5" w:rsidRDefault="00000000">
            <w:pPr>
              <w:jc w:val="center"/>
              <w:rPr>
                <w:b/>
                <w:i/>
                <w:sz w:val="22"/>
                <w:szCs w:val="22"/>
              </w:rPr>
            </w:pPr>
            <w:r>
              <w:rPr>
                <w:b/>
                <w:i/>
                <w:sz w:val="22"/>
                <w:szCs w:val="22"/>
              </w:rPr>
              <w:t>EI/REI 15</w:t>
            </w:r>
          </w:p>
          <w:p w14:paraId="0099D9A6" w14:textId="77777777" w:rsidR="001C08A5" w:rsidRDefault="00000000">
            <w:pPr>
              <w:jc w:val="center"/>
              <w:rPr>
                <w:b/>
                <w:i/>
                <w:sz w:val="22"/>
                <w:szCs w:val="22"/>
              </w:rPr>
            </w:pPr>
            <w:r>
              <w:rPr>
                <w:b/>
                <w:i/>
                <w:sz w:val="22"/>
                <w:szCs w:val="22"/>
              </w:rPr>
              <w:t>min.</w:t>
            </w:r>
          </w:p>
          <w:p w14:paraId="293F5766" w14:textId="77777777" w:rsidR="001C08A5" w:rsidRDefault="00000000">
            <w:pPr>
              <w:jc w:val="center"/>
              <w:rPr>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7E08B054" w14:textId="77777777" w:rsidR="001C08A5" w:rsidRDefault="00000000">
            <w:pPr>
              <w:jc w:val="center"/>
              <w:rPr>
                <w:i/>
                <w:sz w:val="22"/>
                <w:szCs w:val="22"/>
              </w:rPr>
            </w:pPr>
            <w:r>
              <w:rPr>
                <w:b/>
                <w:bCs/>
                <w:i/>
                <w:sz w:val="22"/>
                <w:szCs w:val="22"/>
              </w:rPr>
              <w:t>C5</w:t>
            </w:r>
          </w:p>
        </w:tc>
        <w:tc>
          <w:tcPr>
            <w:tcW w:w="1739" w:type="dxa"/>
            <w:tcMar>
              <w:top w:w="0" w:type="dxa"/>
              <w:left w:w="0" w:type="dxa"/>
              <w:bottom w:w="0" w:type="dxa"/>
              <w:right w:w="0" w:type="dxa"/>
            </w:tcMar>
            <w:vAlign w:val="center"/>
          </w:tcPr>
          <w:p w14:paraId="2E618EC6" w14:textId="77777777" w:rsidR="001C08A5" w:rsidRDefault="00000000">
            <w:pPr>
              <w:jc w:val="center"/>
              <w:rPr>
                <w:b/>
                <w:i/>
                <w:sz w:val="22"/>
                <w:szCs w:val="22"/>
              </w:rPr>
            </w:pPr>
            <w:r>
              <w:rPr>
                <w:b/>
                <w:i/>
                <w:sz w:val="22"/>
                <w:szCs w:val="22"/>
              </w:rPr>
              <w:t>EI/REI 30</w:t>
            </w:r>
          </w:p>
          <w:p w14:paraId="6FAF14B9" w14:textId="77777777" w:rsidR="001C08A5" w:rsidRDefault="00000000">
            <w:pPr>
              <w:jc w:val="center"/>
              <w:rPr>
                <w:b/>
                <w:i/>
                <w:sz w:val="22"/>
                <w:szCs w:val="22"/>
              </w:rPr>
            </w:pPr>
            <w:r>
              <w:rPr>
                <w:b/>
                <w:i/>
                <w:sz w:val="22"/>
                <w:szCs w:val="22"/>
              </w:rPr>
              <w:t>min.</w:t>
            </w:r>
          </w:p>
          <w:p w14:paraId="2ABAF266" w14:textId="77777777" w:rsidR="001C08A5" w:rsidRDefault="00000000">
            <w:pPr>
              <w:jc w:val="center"/>
              <w:rPr>
                <w:i/>
                <w:sz w:val="22"/>
                <w:szCs w:val="22"/>
                <w:lang w:val="en-US" w:eastAsia="zh-CN" w:bidi="ar"/>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46" w:type="dxa"/>
            <w:tcMar>
              <w:top w:w="0" w:type="dxa"/>
              <w:left w:w="0" w:type="dxa"/>
              <w:bottom w:w="0" w:type="dxa"/>
              <w:right w:w="0" w:type="dxa"/>
            </w:tcMar>
            <w:vAlign w:val="center"/>
          </w:tcPr>
          <w:p w14:paraId="60F1E9D3" w14:textId="77777777" w:rsidR="001C08A5" w:rsidRDefault="00000000">
            <w:pPr>
              <w:jc w:val="center"/>
              <w:rPr>
                <w:i/>
                <w:sz w:val="22"/>
                <w:szCs w:val="22"/>
                <w:lang w:eastAsia="zh-CN" w:bidi="ar"/>
              </w:rPr>
            </w:pPr>
            <w:r>
              <w:rPr>
                <w:b/>
                <w:bCs/>
                <w:i/>
                <w:sz w:val="22"/>
                <w:szCs w:val="22"/>
              </w:rPr>
              <w:t>C5</w:t>
            </w:r>
          </w:p>
        </w:tc>
      </w:tr>
    </w:tbl>
    <w:p w14:paraId="268728D9" w14:textId="77777777" w:rsidR="001C08A5" w:rsidRDefault="001C08A5">
      <w:pPr>
        <w:shd w:val="clear" w:color="auto" w:fill="FFFFFF"/>
        <w:spacing w:after="150"/>
        <w:jc w:val="both"/>
        <w:rPr>
          <w:rFonts w:eastAsia="Calibri"/>
          <w:b/>
          <w:bCs/>
          <w:i/>
          <w:sz w:val="24"/>
          <w:szCs w:val="24"/>
          <w:shd w:val="clear" w:color="auto" w:fill="FFFFFF"/>
        </w:rPr>
      </w:pPr>
    </w:p>
    <w:p w14:paraId="2A36C52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3.10.66.</w:t>
      </w:r>
      <w:r>
        <w:rPr>
          <w:rFonts w:eastAsia="Calibri"/>
          <w:i/>
          <w:sz w:val="24"/>
          <w:szCs w:val="24"/>
          <w:shd w:val="clear" w:color="auto" w:fill="FFFFFF"/>
        </w:rPr>
        <w:t> Clădirile existente pentru cultura care sunt înalte, foarte înalte sau cuprind săli aglomerate, vor îndeplini nivelele de performanță specifice acestora, corespunzător prevederilor specifice.</w:t>
      </w:r>
    </w:p>
    <w:p w14:paraId="12373FF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3.10.67.</w:t>
      </w:r>
      <w:r>
        <w:rPr>
          <w:rFonts w:eastAsia="Calibri"/>
          <w:i/>
          <w:sz w:val="24"/>
          <w:szCs w:val="24"/>
          <w:shd w:val="clear" w:color="auto" w:fill="FFFFFF"/>
        </w:rPr>
        <w:t xml:space="preserve"> Spațiile accesibile publicului din construcțiile existente pentru cultură vor fi separate de încăperile anexe și tehnice prin pereți și planșee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rezistente la foc conform anexei.</w:t>
      </w:r>
    </w:p>
    <w:p w14:paraId="6C9DC0C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3.10.68.</w:t>
      </w:r>
      <w:r>
        <w:rPr>
          <w:rFonts w:eastAsia="Calibri"/>
          <w:i/>
          <w:sz w:val="24"/>
          <w:szCs w:val="24"/>
          <w:shd w:val="clear" w:color="auto" w:fill="FFFFFF"/>
        </w:rPr>
        <w:t xml:space="preserve"> În sălile de teatru existente care au mai mult de </w:t>
      </w:r>
      <w:r>
        <w:rPr>
          <w:rFonts w:eastAsia="Calibri"/>
          <w:b/>
          <w:bCs/>
          <w:i/>
          <w:sz w:val="24"/>
          <w:szCs w:val="24"/>
          <w:shd w:val="clear" w:color="auto" w:fill="FFFFFF"/>
        </w:rPr>
        <w:t>600</w:t>
      </w:r>
      <w:r>
        <w:rPr>
          <w:rFonts w:eastAsia="Calibri"/>
          <w:i/>
          <w:sz w:val="24"/>
          <w:szCs w:val="24"/>
          <w:shd w:val="clear" w:color="auto" w:fill="FFFFFF"/>
        </w:rPr>
        <w:t xml:space="preserve"> locuri și scenă amenajată, scena și anexele sale (buzunare, depozite, ateliere, etc.) se separă de sala aglomerată, prin pereți antifoc </w:t>
      </w:r>
      <w:r>
        <w:rPr>
          <w:rFonts w:eastAsia="Calibri"/>
          <w:i/>
          <w:sz w:val="24"/>
          <w:szCs w:val="24"/>
          <w:shd w:val="clear" w:color="auto" w:fill="FFFFFF"/>
        </w:rPr>
        <w:lastRenderedPageBreak/>
        <w:t xml:space="preserve">și cortine de siguranță. Față de alte spații accesibile publicului, separarea se face prin ziduri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rezistente la foc minimum 3 ore (</w:t>
      </w:r>
      <w:r>
        <w:rPr>
          <w:rFonts w:eastAsia="Calibri"/>
          <w:b/>
          <w:bCs/>
          <w:i/>
          <w:sz w:val="24"/>
          <w:szCs w:val="24"/>
          <w:shd w:val="clear" w:color="auto" w:fill="FFFFFF"/>
        </w:rPr>
        <w:t>REI180</w:t>
      </w:r>
      <w:r>
        <w:rPr>
          <w:rFonts w:eastAsia="Calibri"/>
          <w:i/>
          <w:sz w:val="24"/>
          <w:szCs w:val="24"/>
          <w:shd w:val="clear" w:color="auto" w:fill="FFFFFF"/>
        </w:rPr>
        <w:t>) și planșee 1 oră și 30 minute (</w:t>
      </w:r>
      <w:r>
        <w:rPr>
          <w:rFonts w:eastAsia="Calibri"/>
          <w:b/>
          <w:bCs/>
          <w:i/>
          <w:sz w:val="24"/>
          <w:szCs w:val="24"/>
          <w:shd w:val="clear" w:color="auto" w:fill="FFFFFF"/>
        </w:rPr>
        <w:t>REI90</w:t>
      </w:r>
      <w:r>
        <w:rPr>
          <w:rFonts w:eastAsia="Calibri"/>
          <w:i/>
          <w:sz w:val="24"/>
          <w:szCs w:val="24"/>
          <w:shd w:val="clear" w:color="auto" w:fill="FFFFFF"/>
        </w:rPr>
        <w:t xml:space="preserve">). Dacă scenele au o suprafață de max. </w:t>
      </w:r>
      <w:r>
        <w:rPr>
          <w:rFonts w:eastAsia="Calibri"/>
          <w:b/>
          <w:bCs/>
          <w:i/>
          <w:sz w:val="24"/>
          <w:szCs w:val="24"/>
          <w:shd w:val="clear" w:color="auto" w:fill="FFFFFF"/>
        </w:rPr>
        <w:t>50 m</w:t>
      </w:r>
      <w:r>
        <w:rPr>
          <w:rFonts w:eastAsia="Calibri"/>
          <w:b/>
          <w:bCs/>
          <w:i/>
          <w:sz w:val="24"/>
          <w:szCs w:val="24"/>
          <w:shd w:val="clear" w:color="auto" w:fill="FFFFFF"/>
          <w:vertAlign w:val="superscript"/>
        </w:rPr>
        <w:t>2</w:t>
      </w:r>
      <w:r>
        <w:rPr>
          <w:rFonts w:eastAsia="Calibri"/>
          <w:i/>
          <w:sz w:val="24"/>
          <w:szCs w:val="24"/>
          <w:shd w:val="clear" w:color="auto" w:fill="FFFFFF"/>
        </w:rPr>
        <w:t>, încăperile pentru artiști pot avea uși de comunicare directă cu sala sau scena.</w:t>
      </w:r>
    </w:p>
    <w:p w14:paraId="7AFA125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3.10.69.</w:t>
      </w:r>
      <w:r>
        <w:rPr>
          <w:rFonts w:eastAsia="Calibri"/>
          <w:i/>
          <w:sz w:val="24"/>
          <w:szCs w:val="24"/>
          <w:shd w:val="clear" w:color="auto" w:fill="FFFFFF"/>
        </w:rPr>
        <w:t> În pereții antifoc ce separă sectorul sălii aglomerate de scena amenajată, în afara golului portal se admite practicarea a câte două goluri de circulație (câte unul de fiecare parte a scenei), la fiecare nivel al clădirii existente, protejate cu încăperi tampon având uși rezistențe la foc 45 de minute (</w:t>
      </w:r>
      <w:r>
        <w:rPr>
          <w:rFonts w:eastAsia="Calibri"/>
          <w:b/>
          <w:bCs/>
          <w:i/>
          <w:sz w:val="24"/>
          <w:szCs w:val="24"/>
          <w:shd w:val="clear" w:color="auto" w:fill="FFFFFF"/>
        </w:rPr>
        <w:t>EI45-C</w:t>
      </w:r>
      <w:r>
        <w:rPr>
          <w:rFonts w:eastAsia="Calibri"/>
          <w:i/>
          <w:sz w:val="24"/>
          <w:szCs w:val="24"/>
          <w:shd w:val="clear" w:color="auto" w:fill="FFFFFF"/>
        </w:rPr>
        <w:t>). În sălile prevăzute cu cortină de siguranță, aceste goluri se amplasează în afara porțiunii de perete din dreptul sălii, astfel încât să nu conducă direct din scenă sau din anexele acesteia în sala aglomerată sau căile de evacuare ale publicului iar golurile trebuie protejate prin uși rezistente la foc de 1 oră și 30 minute (</w:t>
      </w:r>
      <w:r>
        <w:rPr>
          <w:rFonts w:eastAsia="Calibri"/>
          <w:b/>
          <w:bCs/>
          <w:i/>
          <w:sz w:val="24"/>
          <w:szCs w:val="24"/>
          <w:shd w:val="clear" w:color="auto" w:fill="FFFFFF"/>
        </w:rPr>
        <w:t>EI90-C</w:t>
      </w:r>
      <w:r>
        <w:rPr>
          <w:rFonts w:eastAsia="Calibri"/>
          <w:i/>
          <w:sz w:val="24"/>
          <w:szCs w:val="24"/>
          <w:shd w:val="clear" w:color="auto" w:fill="FFFFFF"/>
        </w:rPr>
        <w:t>).</w:t>
      </w:r>
    </w:p>
    <w:p w14:paraId="669DC74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3.10.70.</w:t>
      </w:r>
      <w:r>
        <w:rPr>
          <w:rFonts w:eastAsia="Calibri"/>
          <w:i/>
          <w:sz w:val="24"/>
          <w:szCs w:val="24"/>
          <w:shd w:val="clear" w:color="auto" w:fill="FFFFFF"/>
        </w:rPr>
        <w:t> La săiile prevăzute cu cortine de siguranță, în cazuri de strictă necesitate, legătura dintre scenă și încăperile pentru reflectoare, loji, regie, etc, care comunică liber cu sala, se face prin încăperi tampon cu pereți și planșee cu rezistență la foc de 2 ore (</w:t>
      </w:r>
      <w:r>
        <w:rPr>
          <w:rFonts w:eastAsia="Calibri"/>
          <w:b/>
          <w:bCs/>
          <w:i/>
          <w:sz w:val="24"/>
          <w:szCs w:val="24"/>
          <w:shd w:val="clear" w:color="auto" w:fill="FFFFFF"/>
        </w:rPr>
        <w:t>EI/REI120</w:t>
      </w:r>
      <w:r>
        <w:rPr>
          <w:rFonts w:eastAsia="Calibri"/>
          <w:i/>
          <w:sz w:val="24"/>
          <w:szCs w:val="24"/>
          <w:shd w:val="clear" w:color="auto" w:fill="FFFFFF"/>
        </w:rPr>
        <w:t xml:space="preserve"> pereți și </w:t>
      </w:r>
      <w:r>
        <w:rPr>
          <w:rFonts w:eastAsia="Calibri"/>
          <w:b/>
          <w:bCs/>
          <w:i/>
          <w:sz w:val="24"/>
          <w:szCs w:val="24"/>
          <w:shd w:val="clear" w:color="auto" w:fill="FFFFFF"/>
        </w:rPr>
        <w:t>REI120</w:t>
      </w:r>
      <w:r>
        <w:rPr>
          <w:rFonts w:eastAsia="Calibri"/>
          <w:i/>
          <w:sz w:val="24"/>
          <w:szCs w:val="24"/>
          <w:shd w:val="clear" w:color="auto" w:fill="FFFFFF"/>
        </w:rPr>
        <w:t xml:space="preserve"> planșee), având uși rezistente la foc de min. 1 oră și 30 minute (</w:t>
      </w:r>
      <w:r>
        <w:rPr>
          <w:rFonts w:eastAsia="Calibri"/>
          <w:b/>
          <w:bCs/>
          <w:i/>
          <w:sz w:val="24"/>
          <w:szCs w:val="24"/>
          <w:shd w:val="clear" w:color="auto" w:fill="FFFFFF"/>
        </w:rPr>
        <w:t>EI90-C</w:t>
      </w:r>
      <w:r>
        <w:rPr>
          <w:rFonts w:eastAsia="Calibri"/>
          <w:i/>
          <w:sz w:val="24"/>
          <w:szCs w:val="24"/>
          <w:shd w:val="clear" w:color="auto" w:fill="FFFFFF"/>
        </w:rPr>
        <w:t>), prevăzute cu dispozitive de autoînchidere.</w:t>
      </w:r>
    </w:p>
    <w:p w14:paraId="4DF1DF0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3.10.71.</w:t>
      </w:r>
      <w:r>
        <w:rPr>
          <w:rFonts w:eastAsia="Calibri"/>
          <w:i/>
          <w:sz w:val="24"/>
          <w:szCs w:val="24"/>
          <w:shd w:val="clear" w:color="auto" w:fill="FFFFFF"/>
        </w:rPr>
        <w:t xml:space="preserve"> Pereții și planșeele care separă scena și buzunarele scenei de anexele ei trebuie să fie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cu rezistență la foc de cel puțin 1 oră și 30 minute (</w:t>
      </w:r>
      <w:r>
        <w:rPr>
          <w:rFonts w:eastAsia="Calibri"/>
          <w:b/>
          <w:bCs/>
          <w:i/>
          <w:sz w:val="24"/>
          <w:szCs w:val="24"/>
          <w:shd w:val="clear" w:color="auto" w:fill="FFFFFF"/>
        </w:rPr>
        <w:t>EI/REI90</w:t>
      </w:r>
      <w:r>
        <w:rPr>
          <w:rFonts w:eastAsia="Calibri"/>
          <w:i/>
          <w:sz w:val="24"/>
          <w:szCs w:val="24"/>
          <w:shd w:val="clear" w:color="auto" w:fill="FFFFFF"/>
        </w:rPr>
        <w:t xml:space="preserve"> pereți și </w:t>
      </w:r>
      <w:r>
        <w:rPr>
          <w:rFonts w:eastAsia="Calibri"/>
          <w:b/>
          <w:bCs/>
          <w:i/>
          <w:sz w:val="24"/>
          <w:szCs w:val="24"/>
          <w:shd w:val="clear" w:color="auto" w:fill="FFFFFF"/>
        </w:rPr>
        <w:t>REI90</w:t>
      </w:r>
      <w:r>
        <w:rPr>
          <w:rFonts w:eastAsia="Calibri"/>
          <w:i/>
          <w:sz w:val="24"/>
          <w:szCs w:val="24"/>
          <w:shd w:val="clear" w:color="auto" w:fill="FFFFFF"/>
        </w:rPr>
        <w:t xml:space="preserve"> planșee). Golurile dintre casa scenei și anexele sale (ateliere, cabine, birouri, etc.) inclusiv spre căile de circulație aferente, se protejează prin uși sau alte elemente de protecție, cu rezistența la foc de min. 45 minute (</w:t>
      </w:r>
      <w:r>
        <w:rPr>
          <w:rFonts w:eastAsia="Calibri"/>
          <w:b/>
          <w:bCs/>
          <w:i/>
          <w:sz w:val="24"/>
          <w:szCs w:val="24"/>
          <w:shd w:val="clear" w:color="auto" w:fill="FFFFFF"/>
        </w:rPr>
        <w:t>EI45-C</w:t>
      </w:r>
      <w:r>
        <w:rPr>
          <w:rFonts w:eastAsia="Calibri"/>
          <w:i/>
          <w:sz w:val="24"/>
          <w:szCs w:val="24"/>
          <w:shd w:val="clear" w:color="auto" w:fill="FFFFFF"/>
        </w:rPr>
        <w:t>), echipate cu dispozitive de autoînchidere.</w:t>
      </w:r>
    </w:p>
    <w:p w14:paraId="530513C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3.10.72.</w:t>
      </w:r>
      <w:r>
        <w:rPr>
          <w:rFonts w:eastAsia="Calibri"/>
          <w:i/>
          <w:sz w:val="24"/>
          <w:szCs w:val="24"/>
          <w:shd w:val="clear" w:color="auto" w:fill="FFFFFF"/>
        </w:rPr>
        <w:t xml:space="preserve"> Planșeele cabinelor pentru artiști și ale depozitelor de materiale combustibile amplasate sub scenă, trebuie să fie </w:t>
      </w:r>
      <w:r>
        <w:rPr>
          <w:rFonts w:eastAsia="Calibri"/>
          <w:b/>
          <w:bCs/>
          <w:i/>
          <w:sz w:val="24"/>
          <w:szCs w:val="24"/>
          <w:shd w:val="clear" w:color="auto" w:fill="FFFFFF"/>
        </w:rPr>
        <w:t>A1, A2s1d0</w:t>
      </w:r>
      <w:r>
        <w:rPr>
          <w:rFonts w:eastAsia="Calibri"/>
          <w:i/>
          <w:sz w:val="24"/>
          <w:szCs w:val="24"/>
          <w:shd w:val="clear" w:color="auto" w:fill="FFFFFF"/>
        </w:rPr>
        <w:t xml:space="preserve"> și rezistente la foc cel puțin 1 oră și 30 minute pentru cabine (</w:t>
      </w:r>
      <w:r>
        <w:rPr>
          <w:rFonts w:eastAsia="Calibri"/>
          <w:b/>
          <w:bCs/>
          <w:i/>
          <w:sz w:val="24"/>
          <w:szCs w:val="24"/>
          <w:shd w:val="clear" w:color="auto" w:fill="FFFFFF"/>
        </w:rPr>
        <w:t>REI90</w:t>
      </w:r>
      <w:r>
        <w:rPr>
          <w:rFonts w:eastAsia="Calibri"/>
          <w:i/>
          <w:sz w:val="24"/>
          <w:szCs w:val="24"/>
          <w:shd w:val="clear" w:color="auto" w:fill="FFFFFF"/>
        </w:rPr>
        <w:t>) și 3 ore (</w:t>
      </w:r>
      <w:r>
        <w:rPr>
          <w:rFonts w:eastAsia="Calibri"/>
          <w:b/>
          <w:bCs/>
          <w:i/>
          <w:sz w:val="24"/>
          <w:szCs w:val="24"/>
          <w:shd w:val="clear" w:color="auto" w:fill="FFFFFF"/>
        </w:rPr>
        <w:t>REI180</w:t>
      </w:r>
      <w:r>
        <w:rPr>
          <w:rFonts w:eastAsia="Calibri"/>
          <w:i/>
          <w:sz w:val="24"/>
          <w:szCs w:val="24"/>
          <w:shd w:val="clear" w:color="auto" w:fill="FFFFFF"/>
        </w:rPr>
        <w:t>) pentru depozite.</w:t>
      </w:r>
    </w:p>
    <w:p w14:paraId="04D3F6FC"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3.10.73.</w:t>
      </w:r>
      <w:r>
        <w:rPr>
          <w:rFonts w:eastAsia="Calibri"/>
          <w:i/>
          <w:sz w:val="24"/>
          <w:szCs w:val="24"/>
          <w:shd w:val="clear" w:color="auto" w:fill="FFFFFF"/>
        </w:rPr>
        <w:t xml:space="preserve"> Pereții care separă depozitele cu materiale combustibile și atelierele anexe cu risc mare de incendiu față de restul construcției existente trebuie să fie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cu rezistență la foc de minimum 4 ore (</w:t>
      </w:r>
      <w:r>
        <w:rPr>
          <w:rFonts w:eastAsia="Calibri"/>
          <w:b/>
          <w:bCs/>
          <w:i/>
          <w:sz w:val="24"/>
          <w:szCs w:val="24"/>
          <w:shd w:val="clear" w:color="auto" w:fill="FFFFFF"/>
        </w:rPr>
        <w:t>EI/REI240</w:t>
      </w:r>
      <w:r>
        <w:rPr>
          <w:rFonts w:eastAsia="Calibri"/>
          <w:i/>
          <w:sz w:val="24"/>
          <w:szCs w:val="24"/>
          <w:shd w:val="clear" w:color="auto" w:fill="FFFFFF"/>
        </w:rPr>
        <w:t>) și fără alte goluri decât cele strict necesare circulației. Golurile se protejează cu uși rezistente la foc minimum 1 oră și 30 minute (</w:t>
      </w:r>
      <w:r>
        <w:rPr>
          <w:rFonts w:eastAsia="Calibri"/>
          <w:b/>
          <w:bCs/>
          <w:i/>
          <w:sz w:val="24"/>
          <w:szCs w:val="24"/>
          <w:shd w:val="clear" w:color="auto" w:fill="FFFFFF"/>
        </w:rPr>
        <w:t>EI45-C</w:t>
      </w:r>
      <w:r>
        <w:rPr>
          <w:rFonts w:eastAsia="Calibri"/>
          <w:i/>
          <w:sz w:val="24"/>
          <w:szCs w:val="24"/>
          <w:shd w:val="clear" w:color="auto" w:fill="FFFFFF"/>
        </w:rPr>
        <w:t>), echipate cu dispozitive de autoînchidere sau închidere automată în caz de incendiu.</w:t>
      </w:r>
    </w:p>
    <w:p w14:paraId="52B6DE8A"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3.10.74.</w:t>
      </w:r>
      <w:r>
        <w:rPr>
          <w:rFonts w:eastAsia="Calibri"/>
          <w:i/>
          <w:sz w:val="24"/>
          <w:szCs w:val="24"/>
          <w:shd w:val="clear" w:color="auto" w:fill="FFFFFF"/>
        </w:rPr>
        <w:t xml:space="preserve"> Acoperișul casei scenei și structurile de rezistență a pasarelelor și grătarelor scenei se execută din materiale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Golurile de acces la pasarele se protejează cu uși rezistente la foc 1 oră și 30 minute (</w:t>
      </w:r>
      <w:r>
        <w:rPr>
          <w:rFonts w:eastAsia="Calibri"/>
          <w:b/>
          <w:bCs/>
          <w:i/>
          <w:sz w:val="24"/>
          <w:szCs w:val="24"/>
          <w:shd w:val="clear" w:color="auto" w:fill="FFFFFF"/>
        </w:rPr>
        <w:t>EI90-C</w:t>
      </w:r>
      <w:r>
        <w:rPr>
          <w:rFonts w:eastAsia="Calibri"/>
          <w:i/>
          <w:sz w:val="24"/>
          <w:szCs w:val="24"/>
          <w:shd w:val="clear" w:color="auto" w:fill="FFFFFF"/>
        </w:rPr>
        <w:t xml:space="preserve">), echipate cu dispozitive de autoînchidere. Grătarele pot fi realizate din materiale </w:t>
      </w:r>
      <w:r>
        <w:rPr>
          <w:rFonts w:eastAsia="TimesNewRomanPSMT-Identity-H"/>
          <w:i/>
          <w:sz w:val="24"/>
          <w:szCs w:val="24"/>
        </w:rPr>
        <w:t xml:space="preserve">clasa de reacție la foc </w:t>
      </w:r>
      <w:r>
        <w:rPr>
          <w:rFonts w:eastAsia="Times New Roman"/>
          <w:b/>
          <w:i/>
          <w:sz w:val="24"/>
          <w:szCs w:val="24"/>
        </w:rPr>
        <w:t xml:space="preserve">A1, A2s1d0 </w:t>
      </w:r>
      <w:r>
        <w:rPr>
          <w:rFonts w:eastAsia="Times New Roman"/>
          <w:bCs/>
          <w:i/>
          <w:sz w:val="24"/>
          <w:szCs w:val="24"/>
        </w:rPr>
        <w:t>sau</w:t>
      </w:r>
      <w:r>
        <w:rPr>
          <w:rFonts w:eastAsia="Times New Roman"/>
          <w:b/>
          <w:i/>
          <w:sz w:val="24"/>
          <w:szCs w:val="24"/>
        </w:rPr>
        <w:t xml:space="preserve">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w:t>
      </w:r>
    </w:p>
    <w:p w14:paraId="4C84286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3.10.75.</w:t>
      </w:r>
      <w:r>
        <w:rPr>
          <w:rFonts w:eastAsia="Calibri"/>
          <w:i/>
          <w:sz w:val="24"/>
          <w:szCs w:val="24"/>
          <w:shd w:val="clear" w:color="auto" w:fill="FFFFFF"/>
        </w:rPr>
        <w:t xml:space="preserve"> Planșeele care separă scena sau buzunarele scenei de alte încăperi situate deasupra lor, trebuie să fie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rezistență la foc de min. 2 ore (</w:t>
      </w:r>
      <w:r>
        <w:rPr>
          <w:rFonts w:eastAsia="Calibri"/>
          <w:b/>
          <w:bCs/>
          <w:i/>
          <w:sz w:val="24"/>
          <w:szCs w:val="24"/>
          <w:shd w:val="clear" w:color="auto" w:fill="FFFFFF"/>
        </w:rPr>
        <w:t>REI120</w:t>
      </w:r>
      <w:r>
        <w:rPr>
          <w:rFonts w:eastAsia="Calibri"/>
          <w:i/>
          <w:sz w:val="24"/>
          <w:szCs w:val="24"/>
          <w:shd w:val="clear" w:color="auto" w:fill="FFFFFF"/>
        </w:rPr>
        <w:t>).</w:t>
      </w:r>
    </w:p>
    <w:p w14:paraId="050FC4B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3.10.76.</w:t>
      </w:r>
      <w:r>
        <w:rPr>
          <w:rFonts w:eastAsia="Calibri"/>
          <w:i/>
          <w:sz w:val="24"/>
          <w:szCs w:val="24"/>
          <w:shd w:val="clear" w:color="auto" w:fill="FFFFFF"/>
        </w:rPr>
        <w:t xml:space="preserve"> Pereții și planșeele cabinei de proiecție cu mai mult de un aparat de proiecție a filmelor, ale depozitelor și anexelor sale, trebuie să fie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rezistența la foc de min. 2 ore pentru pereți și respectiv 1 oră pentru planșee (</w:t>
      </w:r>
      <w:r>
        <w:rPr>
          <w:rFonts w:eastAsia="Calibri"/>
          <w:b/>
          <w:bCs/>
          <w:i/>
          <w:sz w:val="24"/>
          <w:szCs w:val="24"/>
          <w:shd w:val="clear" w:color="auto" w:fill="FFFFFF"/>
        </w:rPr>
        <w:t>EI/REI120</w:t>
      </w:r>
      <w:r>
        <w:rPr>
          <w:rFonts w:eastAsia="Calibri"/>
          <w:i/>
          <w:sz w:val="24"/>
          <w:szCs w:val="24"/>
          <w:shd w:val="clear" w:color="auto" w:fill="FFFFFF"/>
        </w:rPr>
        <w:t xml:space="preserve"> pereți și </w:t>
      </w:r>
      <w:r>
        <w:rPr>
          <w:rFonts w:eastAsia="Calibri"/>
          <w:b/>
          <w:bCs/>
          <w:i/>
          <w:sz w:val="24"/>
          <w:szCs w:val="24"/>
          <w:shd w:val="clear" w:color="auto" w:fill="FFFFFF"/>
        </w:rPr>
        <w:t>REI60</w:t>
      </w:r>
      <w:r>
        <w:rPr>
          <w:rFonts w:eastAsia="Calibri"/>
          <w:i/>
          <w:sz w:val="24"/>
          <w:szCs w:val="24"/>
          <w:shd w:val="clear" w:color="auto" w:fill="FFFFFF"/>
        </w:rPr>
        <w:t xml:space="preserve"> planșee).</w:t>
      </w:r>
    </w:p>
    <w:p w14:paraId="48F9DE7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3.10.77.</w:t>
      </w:r>
      <w:r>
        <w:rPr>
          <w:rFonts w:eastAsia="Calibri"/>
          <w:i/>
          <w:sz w:val="24"/>
          <w:szCs w:val="24"/>
          <w:shd w:val="clear" w:color="auto" w:fill="FFFFFF"/>
        </w:rPr>
        <w:t xml:space="preserve"> Cabina de proiecție nu trebuie să comunice direct cu sala în care se află publicul decât prin vizete de proiecție și observare, închise etanș contra fumului cu geamuri și protejate cu obloane metalice, care prin închidere în caz de incendiu, să acționeze aprinderea automată a luminii din sală. Dacă prin proiecția peliculelor de siguranță se folosesc becuri incandescente sau becuri cu descărcări în gaze, având o putere mai mică de </w:t>
      </w:r>
      <w:r>
        <w:rPr>
          <w:rFonts w:eastAsia="Calibri"/>
          <w:b/>
          <w:bCs/>
          <w:i/>
          <w:sz w:val="24"/>
          <w:szCs w:val="24"/>
          <w:shd w:val="clear" w:color="auto" w:fill="FFFFFF"/>
        </w:rPr>
        <w:t>2.000 W</w:t>
      </w:r>
      <w:r>
        <w:rPr>
          <w:rFonts w:eastAsia="Calibri"/>
          <w:i/>
          <w:sz w:val="24"/>
          <w:szCs w:val="24"/>
          <w:shd w:val="clear" w:color="auto" w:fill="FFFFFF"/>
        </w:rPr>
        <w:t>, cabina poate comunica prin uși de 15 minute (</w:t>
      </w:r>
      <w:r>
        <w:rPr>
          <w:rFonts w:eastAsia="Calibri"/>
          <w:b/>
          <w:bCs/>
          <w:i/>
          <w:sz w:val="24"/>
          <w:szCs w:val="24"/>
          <w:shd w:val="clear" w:color="auto" w:fill="FFFFFF"/>
        </w:rPr>
        <w:t>EI15-C</w:t>
      </w:r>
      <w:r>
        <w:rPr>
          <w:rFonts w:eastAsia="Calibri"/>
          <w:i/>
          <w:sz w:val="24"/>
          <w:szCs w:val="24"/>
          <w:shd w:val="clear" w:color="auto" w:fill="FFFFFF"/>
        </w:rPr>
        <w:t xml:space="preserve">) rezistență la foc cu sala în care se află publicul, iar vizetele nu trebuie să fie protejate cu obloane metalice decât dacă depășesc suprafața de </w:t>
      </w:r>
      <w:r>
        <w:rPr>
          <w:rFonts w:eastAsia="Calibri"/>
          <w:b/>
          <w:bCs/>
          <w:i/>
          <w:sz w:val="24"/>
          <w:szCs w:val="24"/>
          <w:shd w:val="clear" w:color="auto" w:fill="FFFFFF"/>
        </w:rPr>
        <w:t>0,16 m</w:t>
      </w:r>
      <w:r>
        <w:rPr>
          <w:rFonts w:eastAsia="Calibri"/>
          <w:b/>
          <w:bCs/>
          <w:i/>
          <w:sz w:val="24"/>
          <w:szCs w:val="24"/>
          <w:shd w:val="clear" w:color="auto" w:fill="FFFFFF"/>
          <w:vertAlign w:val="superscript"/>
        </w:rPr>
        <w:t>2</w:t>
      </w:r>
      <w:r>
        <w:rPr>
          <w:rFonts w:eastAsia="Calibri"/>
          <w:i/>
          <w:sz w:val="24"/>
          <w:szCs w:val="24"/>
          <w:shd w:val="clear" w:color="auto" w:fill="FFFFFF"/>
        </w:rPr>
        <w:t>.</w:t>
      </w:r>
    </w:p>
    <w:p w14:paraId="34D87A7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3.10.78.</w:t>
      </w:r>
      <w:r>
        <w:rPr>
          <w:rFonts w:eastAsia="Calibri"/>
          <w:i/>
          <w:sz w:val="24"/>
          <w:szCs w:val="24"/>
          <w:shd w:val="clear" w:color="auto" w:fill="FFFFFF"/>
        </w:rPr>
        <w:t> Comunicarea cabinei de proiecție pentru pelicule de siguranță și a anexelor sale cu căile de evacuare ale publicului se face numai prin încăperi tampon. Ușile cabinei de proiecție, ale încăperii de derulare, încăperii pentru aparatajul electric și cele ale încăperii tampon prin care comunică cu restul clădirii existente, trebuie să aibă rezistență la foc minimum 15 minute (</w:t>
      </w:r>
      <w:r>
        <w:rPr>
          <w:rFonts w:eastAsia="Calibri"/>
          <w:b/>
          <w:bCs/>
          <w:i/>
          <w:sz w:val="24"/>
          <w:szCs w:val="24"/>
          <w:shd w:val="clear" w:color="auto" w:fill="FFFFFF"/>
        </w:rPr>
        <w:t>EI15-C</w:t>
      </w:r>
      <w:r>
        <w:rPr>
          <w:rFonts w:eastAsia="Calibri"/>
          <w:i/>
          <w:sz w:val="24"/>
          <w:szCs w:val="24"/>
          <w:shd w:val="clear" w:color="auto" w:fill="FFFFFF"/>
        </w:rPr>
        <w:t>). Toate aceste uși trebuie prevăzute cu dispozitive de autoînchidere.</w:t>
      </w:r>
    </w:p>
    <w:p w14:paraId="6FDEC4A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3.10.79.</w:t>
      </w:r>
      <w:r>
        <w:rPr>
          <w:rFonts w:eastAsia="Calibri"/>
          <w:i/>
          <w:sz w:val="24"/>
          <w:szCs w:val="24"/>
          <w:shd w:val="clear" w:color="auto" w:fill="FFFFFF"/>
        </w:rPr>
        <w:t> Comunicarea dintre cabina de proiecție pentru peliculă pe bază de nitroceluloză și anexele sale, precum și cu scările de evacuare care servesc și alte încăperi, se face numai prin încăperi tampon. Ușile cabinei de proiecție, ale anexelor sale și ale încăperii tampon, trebuie să fie rezistente la foc 45 minute și prevăzute cu dispozitive de autoînchidere (</w:t>
      </w:r>
      <w:r>
        <w:rPr>
          <w:rFonts w:eastAsia="Calibri"/>
          <w:b/>
          <w:bCs/>
          <w:i/>
          <w:sz w:val="24"/>
          <w:szCs w:val="24"/>
          <w:shd w:val="clear" w:color="auto" w:fill="FFFFFF"/>
        </w:rPr>
        <w:t>EI45-C</w:t>
      </w:r>
      <w:r>
        <w:rPr>
          <w:rFonts w:eastAsia="Calibri"/>
          <w:i/>
          <w:sz w:val="24"/>
          <w:szCs w:val="24"/>
          <w:shd w:val="clear" w:color="auto" w:fill="FFFFFF"/>
        </w:rPr>
        <w:t>).</w:t>
      </w:r>
    </w:p>
    <w:p w14:paraId="502C097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3.10.80.</w:t>
      </w:r>
      <w:r>
        <w:rPr>
          <w:rFonts w:eastAsia="Calibri"/>
          <w:i/>
          <w:sz w:val="24"/>
          <w:szCs w:val="24"/>
          <w:shd w:val="clear" w:color="auto" w:fill="FFFFFF"/>
        </w:rPr>
        <w:t> Deasupra scenei amenajate nu se recomandă să se amenajeze încăperi cu alte destinații, iar sub scenă nu se vor amplasa depozite de materiale combustibile, precum și ateliere cu risc mare de incendiu.</w:t>
      </w:r>
    </w:p>
    <w:p w14:paraId="44734A2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3.10.81.</w:t>
      </w:r>
      <w:r>
        <w:rPr>
          <w:rFonts w:eastAsia="Calibri"/>
          <w:i/>
          <w:sz w:val="24"/>
          <w:szCs w:val="24"/>
          <w:shd w:val="clear" w:color="auto" w:fill="FFFFFF"/>
        </w:rPr>
        <w:t> Încăperea destinată serviciului de pompieri, aferentă scenelor amenajate ale sălilor cu peste 600 locuri, va avea o bună vizibilitate în scenă și accese ușoare și sigure în caz de incendiu la încăperile unde sunt necesare manevre sau intervenții în asemenea situații, precum și din exterior.</w:t>
      </w:r>
    </w:p>
    <w:p w14:paraId="15EFCD8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3.10.82.</w:t>
      </w:r>
      <w:r>
        <w:rPr>
          <w:rFonts w:eastAsia="Calibri"/>
          <w:i/>
          <w:sz w:val="24"/>
          <w:szCs w:val="24"/>
          <w:shd w:val="clear" w:color="auto" w:fill="FFFFFF"/>
        </w:rPr>
        <w:t> Pentru intervenția în cazde incendiu la părțile superioare ale scenei, la nivelul podiumului de joc, și la subsolul acesteia, se va asigura accesul prin case de scări închise sau prin scări exterioare. Ușile de acces vor fi rezistente la foc minimum 45 de minute și echipate cu dispozitive de autoînchidere (</w:t>
      </w:r>
      <w:r>
        <w:rPr>
          <w:rFonts w:eastAsia="Calibri"/>
          <w:b/>
          <w:bCs/>
          <w:i/>
          <w:sz w:val="24"/>
          <w:szCs w:val="24"/>
          <w:shd w:val="clear" w:color="auto" w:fill="FFFFFF"/>
        </w:rPr>
        <w:t>EI45-C</w:t>
      </w:r>
      <w:r>
        <w:rPr>
          <w:rFonts w:eastAsia="Calibri"/>
          <w:i/>
          <w:sz w:val="24"/>
          <w:szCs w:val="24"/>
          <w:shd w:val="clear" w:color="auto" w:fill="FFFFFF"/>
        </w:rPr>
        <w:t>).</w:t>
      </w:r>
    </w:p>
    <w:p w14:paraId="2BAC58F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3.10.83.</w:t>
      </w:r>
      <w:r>
        <w:rPr>
          <w:rFonts w:eastAsia="Calibri"/>
          <w:i/>
          <w:sz w:val="24"/>
          <w:szCs w:val="24"/>
          <w:shd w:val="clear" w:color="auto" w:fill="FFFFFF"/>
        </w:rPr>
        <w:t> Cortina de siguranță, etanșă contra fumului și rezistentă la foc, trebuie să poată fi coborâtă, în cel mult 40 de secunde, prin comandă de la distanță și manual.</w:t>
      </w:r>
    </w:p>
    <w:p w14:paraId="0DDE841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3.10.84.</w:t>
      </w:r>
      <w:r>
        <w:rPr>
          <w:rFonts w:eastAsia="Calibri"/>
          <w:i/>
          <w:sz w:val="24"/>
          <w:szCs w:val="24"/>
          <w:shd w:val="clear" w:color="auto" w:fill="FFFFFF"/>
        </w:rPr>
        <w:t> Scenele prevăzute cu cortină de siguranță, buzunarele scenelor cu o arie mai mare de 100 m2 și fosele pentru orchestră cu peste 50 persoane se prevăd obligatoriu cu două ieșiri de evacuare.</w:t>
      </w:r>
    </w:p>
    <w:p w14:paraId="2C7DC683"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Notă: Ieșirile din încăperile menționate la Art.</w:t>
      </w:r>
      <w:r>
        <w:rPr>
          <w:rFonts w:eastAsia="Calibri"/>
          <w:b/>
          <w:bCs/>
          <w:i/>
          <w:sz w:val="24"/>
          <w:szCs w:val="24"/>
          <w:shd w:val="clear" w:color="auto" w:fill="FFFFFF"/>
        </w:rPr>
        <w:t xml:space="preserve"> A.10.3.10.84.</w:t>
      </w:r>
      <w:r>
        <w:rPr>
          <w:rFonts w:eastAsia="Calibri"/>
          <w:i/>
          <w:sz w:val="24"/>
          <w:szCs w:val="24"/>
          <w:shd w:val="clear" w:color="auto" w:fill="FFFFFF"/>
        </w:rPr>
        <w:t xml:space="preserve"> trebuie să fie distincte de cele ale sălii; pentru scenele fără cortină de siguranță și fosele cu mai puțin de 50 de persoane, una din căile de evacuare poate trece prin sala aglomerată.</w:t>
      </w:r>
    </w:p>
    <w:p w14:paraId="703561D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3.10.85.</w:t>
      </w:r>
      <w:r>
        <w:rPr>
          <w:rFonts w:eastAsia="Calibri"/>
          <w:i/>
          <w:sz w:val="24"/>
          <w:szCs w:val="24"/>
          <w:shd w:val="clear" w:color="auto" w:fill="FFFFFF"/>
        </w:rPr>
        <w:t> Căile de evacuare ale balcoanelorși lojelor din săli cu scene de teatru, cele ale încăperilor de servire a publicului, precum și cel puțin una dintre cele ale platformelor deschise cu mai mult de 100 persoane din alte categorii de săli, nu trebuie să aibă traseul prin sala aglomerată.</w:t>
      </w:r>
    </w:p>
    <w:p w14:paraId="4AF81FB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3.10.86.</w:t>
      </w:r>
      <w:r>
        <w:rPr>
          <w:rFonts w:eastAsia="Calibri"/>
          <w:i/>
          <w:sz w:val="24"/>
          <w:szCs w:val="24"/>
          <w:shd w:val="clear" w:color="auto" w:fill="FFFFFF"/>
        </w:rPr>
        <w:t> Cel puțin una din căile de evacuare din buzunarele scenei și depozite, trebuie să aibă traseul separat de scenă.</w:t>
      </w:r>
    </w:p>
    <w:p w14:paraId="2BE4C35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3.10.87.</w:t>
      </w:r>
      <w:r>
        <w:rPr>
          <w:rFonts w:eastAsia="Calibri"/>
          <w:i/>
          <w:sz w:val="24"/>
          <w:szCs w:val="24"/>
          <w:shd w:val="clear" w:color="auto" w:fill="FFFFFF"/>
        </w:rPr>
        <w:t xml:space="preserve"> Scenele cu suprafața mai mare de </w:t>
      </w:r>
      <w:r>
        <w:rPr>
          <w:rFonts w:eastAsia="Calibri"/>
          <w:b/>
          <w:bCs/>
          <w:i/>
          <w:sz w:val="24"/>
          <w:szCs w:val="24"/>
          <w:shd w:val="clear" w:color="auto" w:fill="FFFFFF"/>
        </w:rPr>
        <w:t>150 m</w:t>
      </w:r>
      <w:r>
        <w:rPr>
          <w:rFonts w:eastAsia="Calibri"/>
          <w:b/>
          <w:bCs/>
          <w:i/>
          <w:sz w:val="24"/>
          <w:szCs w:val="24"/>
          <w:shd w:val="clear" w:color="auto" w:fill="FFFFFF"/>
          <w:vertAlign w:val="superscript"/>
        </w:rPr>
        <w:t>2</w:t>
      </w:r>
      <w:r>
        <w:rPr>
          <w:rFonts w:eastAsia="Calibri"/>
          <w:b/>
          <w:bCs/>
          <w:i/>
          <w:sz w:val="24"/>
          <w:szCs w:val="24"/>
          <w:shd w:val="clear" w:color="auto" w:fill="FFFFFF"/>
        </w:rPr>
        <w:t> </w:t>
      </w:r>
      <w:r>
        <w:rPr>
          <w:rFonts w:eastAsia="Calibri"/>
          <w:i/>
          <w:sz w:val="24"/>
          <w:szCs w:val="24"/>
          <w:shd w:val="clear" w:color="auto" w:fill="FFFFFF"/>
        </w:rPr>
        <w:t xml:space="preserve">și buzunarele cu înălțimea mai mare de </w:t>
      </w:r>
      <w:r>
        <w:rPr>
          <w:rFonts w:eastAsia="Calibri"/>
          <w:b/>
          <w:bCs/>
          <w:i/>
          <w:sz w:val="24"/>
          <w:szCs w:val="24"/>
          <w:shd w:val="clear" w:color="auto" w:fill="FFFFFF"/>
        </w:rPr>
        <w:t>10 m</w:t>
      </w:r>
      <w:r>
        <w:rPr>
          <w:rFonts w:eastAsia="Calibri"/>
          <w:i/>
          <w:sz w:val="24"/>
          <w:szCs w:val="24"/>
          <w:shd w:val="clear" w:color="auto" w:fill="FFFFFF"/>
        </w:rPr>
        <w:t xml:space="preserve"> vor avea asigurată evacuarea fumului în caz de incendiu (desfumare) prin dispozitive cu suprafața liberă totală de minimum </w:t>
      </w:r>
      <w:r>
        <w:rPr>
          <w:rFonts w:eastAsia="Calibri"/>
          <w:b/>
          <w:bCs/>
          <w:i/>
          <w:sz w:val="24"/>
          <w:szCs w:val="24"/>
          <w:shd w:val="clear" w:color="auto" w:fill="FFFFFF"/>
        </w:rPr>
        <w:t>5%</w:t>
      </w:r>
      <w:r>
        <w:rPr>
          <w:rFonts w:eastAsia="Calibri"/>
          <w:i/>
          <w:sz w:val="24"/>
          <w:szCs w:val="24"/>
          <w:shd w:val="clear" w:color="auto" w:fill="FFFFFF"/>
        </w:rPr>
        <w:t xml:space="preserve"> din aria pardoselii, sau sistem mecanic corespunzătoralcătuitși dimensionat, conform normei tehnice.</w:t>
      </w:r>
    </w:p>
    <w:p w14:paraId="0227762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3.10.88.</w:t>
      </w:r>
      <w:r>
        <w:rPr>
          <w:rFonts w:eastAsia="Calibri"/>
          <w:i/>
          <w:sz w:val="24"/>
          <w:szCs w:val="24"/>
          <w:shd w:val="clear" w:color="auto" w:fill="FFFFFF"/>
        </w:rPr>
        <w:t xml:space="preserve"> Dispozitivele prevăzute pentru evacuarea fumului (desfumare) în caz de incendiu, la scene și buzunarele acestora, vor fi acționate automat fie sub efectul temperaturilor, fie la depășirea unor presiuni de </w:t>
      </w:r>
      <w:r>
        <w:rPr>
          <w:rFonts w:eastAsia="Calibri"/>
          <w:b/>
          <w:bCs/>
          <w:i/>
          <w:sz w:val="24"/>
          <w:szCs w:val="24"/>
          <w:shd w:val="clear" w:color="auto" w:fill="FFFFFF"/>
        </w:rPr>
        <w:t>34 daN/m</w:t>
      </w:r>
      <w:r>
        <w:rPr>
          <w:rFonts w:eastAsia="Calibri"/>
          <w:b/>
          <w:bCs/>
          <w:i/>
          <w:sz w:val="24"/>
          <w:szCs w:val="24"/>
          <w:shd w:val="clear" w:color="auto" w:fill="FFFFFF"/>
          <w:vertAlign w:val="superscript"/>
        </w:rPr>
        <w:t>2</w:t>
      </w:r>
      <w:r>
        <w:rPr>
          <w:rFonts w:eastAsia="Calibri"/>
          <w:b/>
          <w:bCs/>
          <w:i/>
          <w:sz w:val="24"/>
          <w:szCs w:val="24"/>
          <w:shd w:val="clear" w:color="auto" w:fill="FFFFFF"/>
        </w:rPr>
        <w:t> </w:t>
      </w:r>
      <w:r>
        <w:rPr>
          <w:rFonts w:eastAsia="Calibri"/>
          <w:i/>
          <w:sz w:val="24"/>
          <w:szCs w:val="24"/>
          <w:shd w:val="clear" w:color="auto" w:fill="FFFFFF"/>
        </w:rPr>
        <w:t>(35 Kgf/m</w:t>
      </w:r>
      <w:r>
        <w:rPr>
          <w:rFonts w:eastAsia="Calibri"/>
          <w:i/>
          <w:sz w:val="24"/>
          <w:szCs w:val="24"/>
          <w:shd w:val="clear" w:color="auto" w:fill="FFFFFF"/>
          <w:vertAlign w:val="superscript"/>
        </w:rPr>
        <w:t>2</w:t>
      </w:r>
      <w:r>
        <w:rPr>
          <w:rFonts w:eastAsia="Calibri"/>
          <w:i/>
          <w:sz w:val="24"/>
          <w:szCs w:val="24"/>
          <w:shd w:val="clear" w:color="auto" w:fill="FFFFFF"/>
        </w:rPr>
        <w:t xml:space="preserve">) prevăzându-se și posibilitatea acționării lor manuale, din locuri accesibile. Se admite înlocuirea până la </w:t>
      </w:r>
      <w:r>
        <w:rPr>
          <w:rFonts w:eastAsia="Calibri"/>
          <w:b/>
          <w:bCs/>
          <w:i/>
          <w:sz w:val="24"/>
          <w:szCs w:val="24"/>
          <w:shd w:val="clear" w:color="auto" w:fill="FFFFFF"/>
        </w:rPr>
        <w:t>40%</w:t>
      </w:r>
      <w:r>
        <w:rPr>
          <w:rFonts w:eastAsia="Calibri"/>
          <w:i/>
          <w:sz w:val="24"/>
          <w:szCs w:val="24"/>
          <w:shd w:val="clear" w:color="auto" w:fill="FFFFFF"/>
        </w:rPr>
        <w:t xml:space="preserve"> din suprafața dispozitivelor de evacuare a fumului necesare, cu ferestre cu deschidere automată amplasate la partea superioară a scenei (deasupra grătarelor).</w:t>
      </w:r>
    </w:p>
    <w:p w14:paraId="3EEC152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3.10.89.</w:t>
      </w:r>
      <w:r>
        <w:rPr>
          <w:rFonts w:eastAsia="Calibri"/>
          <w:i/>
          <w:sz w:val="24"/>
          <w:szCs w:val="24"/>
          <w:shd w:val="clear" w:color="auto" w:fill="FFFFFF"/>
        </w:rPr>
        <w:t> Pentru intervenție în caz de incendiu se va asigura accesul autospecialelor pompierilor, cel puțin la o fațadă a clădirii existente pentru cultură.</w:t>
      </w:r>
    </w:p>
    <w:p w14:paraId="01F34280" w14:textId="77777777" w:rsidR="001C08A5" w:rsidRDefault="00000000">
      <w:pPr>
        <w:pStyle w:val="Heading4"/>
        <w:rPr>
          <w:sz w:val="24"/>
          <w:szCs w:val="24"/>
        </w:rPr>
      </w:pPr>
      <w:bookmarkStart w:id="10973" w:name="_Toc11680"/>
      <w:bookmarkStart w:id="10974" w:name="_Toc7612"/>
      <w:bookmarkStart w:id="10975" w:name="_Toc162355591"/>
      <w:bookmarkStart w:id="10976" w:name="_Toc9802"/>
      <w:bookmarkStart w:id="10977" w:name="_Toc11114"/>
      <w:bookmarkStart w:id="10978" w:name="_Toc12469"/>
      <w:r>
        <w:rPr>
          <w:sz w:val="24"/>
          <w:szCs w:val="24"/>
        </w:rPr>
        <w:lastRenderedPageBreak/>
        <w:t>Clădiri existente de învățământ</w:t>
      </w:r>
      <w:bookmarkEnd w:id="10973"/>
      <w:bookmarkEnd w:id="10974"/>
      <w:bookmarkEnd w:id="10975"/>
      <w:bookmarkEnd w:id="10976"/>
      <w:bookmarkEnd w:id="10977"/>
      <w:bookmarkEnd w:id="10978"/>
    </w:p>
    <w:p w14:paraId="6C4AD2C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3.10.90.</w:t>
      </w:r>
      <w:r>
        <w:rPr>
          <w:rFonts w:eastAsia="Calibri"/>
          <w:i/>
          <w:sz w:val="24"/>
          <w:szCs w:val="24"/>
          <w:shd w:val="clear" w:color="auto" w:fill="FFFFFF"/>
        </w:rPr>
        <w:t> Clădirile existente de învățământ (preșcolar, școlar și învățământ superior), vor îndeplini nivelele de performanță admise în reglementările tehnice specifice și prevederile din prezenta anexă.</w:t>
      </w:r>
    </w:p>
    <w:p w14:paraId="0D84476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3.10.91.</w:t>
      </w:r>
      <w:r>
        <w:rPr>
          <w:rFonts w:eastAsia="Calibri"/>
          <w:i/>
          <w:sz w:val="24"/>
          <w:szCs w:val="24"/>
          <w:shd w:val="clear" w:color="auto" w:fill="FFFFFF"/>
        </w:rPr>
        <w:t xml:space="preserve"> Amplasarea clădirilor existente, de regulă, se realizează independent, la distanță față de clădirile învecinate cu altă destinație. Se recomandă distanțe majore cu cel puțin </w:t>
      </w:r>
      <w:r>
        <w:rPr>
          <w:rFonts w:eastAsia="Calibri"/>
          <w:b/>
          <w:bCs/>
          <w:i/>
          <w:sz w:val="24"/>
          <w:szCs w:val="24"/>
          <w:shd w:val="clear" w:color="auto" w:fill="FFFFFF"/>
        </w:rPr>
        <w:t>50%</w:t>
      </w:r>
      <w:r>
        <w:rPr>
          <w:rFonts w:eastAsia="Calibri"/>
          <w:i/>
          <w:sz w:val="24"/>
          <w:szCs w:val="24"/>
          <w:shd w:val="clear" w:color="auto" w:fill="FFFFFF"/>
        </w:rPr>
        <w:t xml:space="preserve"> față de cele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_Ref5126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145</w:t>
      </w:r>
      <w:r>
        <w:rPr>
          <w:rFonts w:eastAsia="Calibri"/>
          <w:b/>
          <w:bCs/>
          <w:i/>
          <w:iCs/>
          <w:sz w:val="24"/>
          <w:szCs w:val="24"/>
          <w:shd w:val="clear" w:color="auto" w:fill="FFFFFF"/>
        </w:rPr>
        <w:fldChar w:fldCharType="end"/>
      </w:r>
      <w:r>
        <w:rPr>
          <w:b/>
          <w:i/>
          <w:sz w:val="24"/>
          <w:szCs w:val="24"/>
        </w:rPr>
        <w:t>.</w:t>
      </w:r>
      <w:r>
        <w:rPr>
          <w:rFonts w:eastAsia="Calibri"/>
          <w:i/>
          <w:sz w:val="24"/>
          <w:szCs w:val="24"/>
          <w:shd w:val="clear" w:color="auto" w:fill="FFFFFF"/>
        </w:rPr>
        <w:t xml:space="preserve"> Atunci când se alipesc sau comasează cu alte destinații, se compartimentează corespunzător.</w:t>
      </w:r>
    </w:p>
    <w:p w14:paraId="26B40C9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3.10.92.</w:t>
      </w:r>
      <w:r>
        <w:rPr>
          <w:rFonts w:eastAsia="Calibri"/>
          <w:i/>
          <w:sz w:val="24"/>
          <w:szCs w:val="24"/>
          <w:shd w:val="clear" w:color="auto" w:fill="FFFFFF"/>
        </w:rPr>
        <w:t> Amplasarea clădirilor existente pentru învățământ în apropierea unor clădiri sau instalații cu pericol de incendiu sau explozie, nu este admisă.</w:t>
      </w:r>
    </w:p>
    <w:p w14:paraId="6454C6D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3.10.93.</w:t>
      </w:r>
      <w:r>
        <w:rPr>
          <w:rFonts w:eastAsia="Calibri"/>
          <w:i/>
          <w:sz w:val="24"/>
          <w:szCs w:val="24"/>
          <w:shd w:val="clear" w:color="auto" w:fill="FFFFFF"/>
        </w:rPr>
        <w:t> Clădirile existente de învățământ se proiectează și realizează în conformitate cu prevederile generale, comune și specifice de siguranță la foc, potrivit reglementărilor tehnice de specialitate, asigurându-se îndeplinirea condițiilor și nivelelor de performanță admise, diferențiate în funcție de vârsta utilizatorilor și programele funcționale de învățământ.</w:t>
      </w:r>
    </w:p>
    <w:p w14:paraId="235CFDD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3.10.94.</w:t>
      </w:r>
      <w:r>
        <w:rPr>
          <w:rFonts w:eastAsia="Calibri"/>
          <w:i/>
          <w:sz w:val="24"/>
          <w:szCs w:val="24"/>
          <w:shd w:val="clear" w:color="auto" w:fill="FFFFFF"/>
        </w:rPr>
        <w:t xml:space="preserve"> Încăperile cu risc mijlociu de incendiu (laboratoare, depozite, ateliere școală, etc.) vor fi dispuse, pe cât posibil, izolat față de spațiile cu aglomerări de persoane, sau separate prin elemente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rezistente la foc, alcătuite și realizate corespunzătordensității sarcinii termice și a riscului de incendiu.</w:t>
      </w:r>
    </w:p>
    <w:p w14:paraId="41833C3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3.10.95.</w:t>
      </w:r>
      <w:r>
        <w:rPr>
          <w:rFonts w:eastAsia="Calibri"/>
          <w:i/>
          <w:sz w:val="24"/>
          <w:szCs w:val="24"/>
          <w:shd w:val="clear" w:color="auto" w:fill="FFFFFF"/>
        </w:rPr>
        <w:t> În condițiile asigurării funcționalității specifice, se vor lua măsuri de limitare a surselor potențiale de izbucnire a incendiilor și reducerea materialelor și a substanțelor combustibile din spațiile și zonele accesibile utilizatorilor.</w:t>
      </w:r>
    </w:p>
    <w:p w14:paraId="62A996F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3.10.96.</w:t>
      </w:r>
      <w:r>
        <w:rPr>
          <w:rFonts w:eastAsia="Calibri"/>
          <w:i/>
          <w:sz w:val="24"/>
          <w:szCs w:val="24"/>
          <w:shd w:val="clear" w:color="auto" w:fill="FFFFFF"/>
        </w:rPr>
        <w:t xml:space="preserve"> Spațiile auxiliare anexe (centrale termice, stații tehnice, gospodării de combustibil, grupuri electrogene, etc.) aferente clădirilor existente de învățământ, de regulă, se dispun independent sau atunci când se comasează sau grupează cu construcția existentă de învățământ se separă prin pereți și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rezistente la foc conform reglementărilor tehnice, având accese total separate de cele ale utilizatorilor copii.</w:t>
      </w:r>
    </w:p>
    <w:p w14:paraId="1F1085A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3.10.97.</w:t>
      </w:r>
      <w:r>
        <w:rPr>
          <w:rFonts w:eastAsia="Calibri"/>
          <w:i/>
          <w:sz w:val="24"/>
          <w:szCs w:val="24"/>
          <w:shd w:val="clear" w:color="auto" w:fill="FFFFFF"/>
        </w:rPr>
        <w:t> În spațiile auxiliare și anexe ale clădirii existente de învățământ se vor respecta regulile și măsurile specifice de protecție, în funcție de destinația și riscul de incendiu al acestora.</w:t>
      </w:r>
    </w:p>
    <w:p w14:paraId="57E412E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3.10.98.</w:t>
      </w:r>
      <w:r>
        <w:rPr>
          <w:rFonts w:eastAsia="Calibri"/>
          <w:i/>
          <w:sz w:val="24"/>
          <w:szCs w:val="24"/>
          <w:shd w:val="clear" w:color="auto" w:fill="FFFFFF"/>
        </w:rPr>
        <w:t> Folosirea sau depozitarea lichidelor ori a gazelor combustibile în alte locuri decât cele special amenajate și în cantitățile stabilite, precum și fără îndeplinirea măsurilor de prevenire și stingere a incendiilor specifice acestora, sunt strict interzise.</w:t>
      </w:r>
    </w:p>
    <w:p w14:paraId="63B74EA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3.10.99.</w:t>
      </w:r>
      <w:r>
        <w:rPr>
          <w:rFonts w:eastAsia="Calibri"/>
          <w:i/>
          <w:sz w:val="24"/>
          <w:szCs w:val="24"/>
          <w:shd w:val="clear" w:color="auto" w:fill="FFFFFF"/>
        </w:rPr>
        <w:t xml:space="preserve"> De regulă, clădirile de învățământ existente se realizează din materiale și elemente de construcție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și rezistente la foc, asigurându-se condițiile de corelație între nivelul de stabilitate la incendiu, aria construită și numărul de niveluri stabilite în prezenta anexă Art. </w:t>
      </w:r>
      <w:r>
        <w:rPr>
          <w:rFonts w:eastAsia="Calibri"/>
          <w:b/>
          <w:bCs/>
          <w:i/>
          <w:sz w:val="24"/>
          <w:szCs w:val="24"/>
          <w:shd w:val="clear" w:color="auto" w:fill="FFFFFF"/>
        </w:rPr>
        <w:t xml:space="preserve">A.10.3.2.4. </w:t>
      </w:r>
      <w:r>
        <w:rPr>
          <w:rFonts w:eastAsia="Calibri"/>
          <w:i/>
          <w:sz w:val="24"/>
          <w:szCs w:val="24"/>
          <w:shd w:val="clear" w:color="auto" w:fill="FFFFFF"/>
        </w:rPr>
        <w:t>și</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A.10.3.2.5.</w:t>
      </w:r>
      <w:r>
        <w:rPr>
          <w:rFonts w:eastAsia="Calibri"/>
          <w:i/>
          <w:sz w:val="24"/>
          <w:szCs w:val="24"/>
          <w:shd w:val="clear" w:color="auto" w:fill="FFFFFF"/>
        </w:rPr>
        <w:t>. Utilizarea materialelor și a elementelor de construcție combustibile este admisă în condițiile normativului și ale reglementărilor tehnice specifice.</w:t>
      </w:r>
    </w:p>
    <w:p w14:paraId="0A51A28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3.10.100.</w:t>
      </w:r>
      <w:r>
        <w:rPr>
          <w:rFonts w:eastAsia="Calibri"/>
          <w:i/>
          <w:sz w:val="24"/>
          <w:szCs w:val="24"/>
          <w:shd w:val="clear" w:color="auto" w:fill="FFFFFF"/>
        </w:rPr>
        <w:t> Limitarea propagării fumului în spații, încăperi, coridoare și scări de evacuare se asigură în clădirile existente de învățământ, prin prevederea unor elemente despărțitoare verticale și orizontale (pereți, planșee), corespunzător alcătuite și dimensionate, precum și prin realizare unor posibilități de evacuare ușoară a fumului produs în caz de incendiu, corespunzător reglementărilor specifice.</w:t>
      </w:r>
    </w:p>
    <w:p w14:paraId="78D5F06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3.10.101.</w:t>
      </w:r>
      <w:r>
        <w:rPr>
          <w:rFonts w:eastAsia="Calibri"/>
          <w:i/>
          <w:sz w:val="24"/>
          <w:szCs w:val="24"/>
          <w:shd w:val="clear" w:color="auto" w:fill="FFFFFF"/>
        </w:rPr>
        <w:t> În clădirile de învățământ existente se vor utiliza materiale și finisaje care nu propagă ușor focul.</w:t>
      </w:r>
    </w:p>
    <w:p w14:paraId="4274C94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3.10.102.</w:t>
      </w:r>
      <w:r>
        <w:rPr>
          <w:rFonts w:eastAsia="Calibri"/>
          <w:i/>
          <w:sz w:val="24"/>
          <w:szCs w:val="24"/>
          <w:shd w:val="clear" w:color="auto" w:fill="FFFFFF"/>
        </w:rPr>
        <w:t> Nu este admisă utilizarea materialelor și a finisajelor din mase plastice în spațiile accesibile copiilor și în general, se va elimina utilizarea celor care degajă fum și gaze toxice în caz de incendiu.</w:t>
      </w:r>
    </w:p>
    <w:p w14:paraId="155AA09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3.10.103.</w:t>
      </w:r>
      <w:r>
        <w:rPr>
          <w:rFonts w:eastAsia="Calibri"/>
          <w:i/>
          <w:sz w:val="24"/>
          <w:szCs w:val="24"/>
          <w:shd w:val="clear" w:color="auto" w:fill="FFFFFF"/>
        </w:rPr>
        <w:t> De regulă, clădirile de învățământ existente vor avea asigurate două căi de evacuare, distincte și independente, astfel dispuse și alcătuite încât să poată fi ușor accesibile tuturor utilizatorilor. Fac excepție situațiile prevăzute în reglementările specifice.</w:t>
      </w:r>
    </w:p>
    <w:p w14:paraId="50D01ECB"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În clădirile existente pentru copii de vârstă preșcolară capacitatea de evacuare a unui flux (</w:t>
      </w:r>
      <w:r>
        <w:rPr>
          <w:rFonts w:eastAsia="Calibri"/>
          <w:b/>
          <w:bCs/>
          <w:i/>
          <w:sz w:val="24"/>
          <w:szCs w:val="24"/>
          <w:shd w:val="clear" w:color="auto" w:fill="FFFFFF"/>
        </w:rPr>
        <w:t>C</w:t>
      </w:r>
      <w:r>
        <w:rPr>
          <w:rFonts w:eastAsia="Calibri"/>
          <w:i/>
          <w:sz w:val="24"/>
          <w:szCs w:val="24"/>
          <w:shd w:val="clear" w:color="auto" w:fill="FFFFFF"/>
        </w:rPr>
        <w:t xml:space="preserve">) va fi de maximum </w:t>
      </w:r>
      <w:r>
        <w:rPr>
          <w:rFonts w:eastAsia="Calibri"/>
          <w:b/>
          <w:bCs/>
          <w:i/>
          <w:sz w:val="24"/>
          <w:szCs w:val="24"/>
          <w:shd w:val="clear" w:color="auto" w:fill="FFFFFF"/>
        </w:rPr>
        <w:t>50</w:t>
      </w:r>
      <w:r>
        <w:rPr>
          <w:rFonts w:eastAsia="Calibri"/>
          <w:i/>
          <w:sz w:val="24"/>
          <w:szCs w:val="24"/>
          <w:shd w:val="clear" w:color="auto" w:fill="FFFFFF"/>
        </w:rPr>
        <w:t xml:space="preserve"> de persoane, iar în celelalte construcții de învățământ de maximum </w:t>
      </w:r>
      <w:r>
        <w:rPr>
          <w:rFonts w:eastAsia="Calibri"/>
          <w:b/>
          <w:bCs/>
          <w:i/>
          <w:sz w:val="24"/>
          <w:szCs w:val="24"/>
          <w:shd w:val="clear" w:color="auto" w:fill="FFFFFF"/>
        </w:rPr>
        <w:t>75</w:t>
      </w:r>
      <w:r>
        <w:rPr>
          <w:rFonts w:eastAsia="Calibri"/>
          <w:i/>
          <w:sz w:val="24"/>
          <w:szCs w:val="24"/>
          <w:shd w:val="clear" w:color="auto" w:fill="FFFFFF"/>
        </w:rPr>
        <w:t xml:space="preserve"> de persoane.</w:t>
      </w:r>
    </w:p>
    <w:p w14:paraId="5B3A2C5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3.10.104.</w:t>
      </w:r>
      <w:r>
        <w:rPr>
          <w:rFonts w:eastAsia="Calibri"/>
          <w:i/>
          <w:sz w:val="24"/>
          <w:szCs w:val="24"/>
          <w:shd w:val="clear" w:color="auto" w:fill="FFFFFF"/>
        </w:rPr>
        <w:t> Clădirile de învățământ existente etajate vor avea casele de scări de evacuare închise, conform prevederilor stabilite prin prezenta anexă, indiferent de numărul nivelurilor supraterane ale acestora.</w:t>
      </w:r>
    </w:p>
    <w:p w14:paraId="61C3A9DE"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3.10.105.</w:t>
      </w:r>
      <w:r>
        <w:rPr>
          <w:rFonts w:eastAsia="Calibri"/>
          <w:i/>
          <w:sz w:val="24"/>
          <w:szCs w:val="24"/>
          <w:shd w:val="clear" w:color="auto" w:fill="FFFFFF"/>
        </w:rPr>
        <w:t xml:space="preserve"> Alcătuirea și dimensionarea căilor de evacuare vor corespunde normativului, dar indiferent de lățimile rezultate din calcul, ușile dispuse pe căile de evacuare ale persoanelor vor avea lățimea de minimum </w:t>
      </w:r>
      <w:r>
        <w:rPr>
          <w:rFonts w:eastAsia="Calibri"/>
          <w:b/>
          <w:bCs/>
          <w:i/>
          <w:sz w:val="24"/>
          <w:szCs w:val="24"/>
          <w:shd w:val="clear" w:color="auto" w:fill="FFFFFF"/>
        </w:rPr>
        <w:t>90 cm</w:t>
      </w:r>
      <w:r>
        <w:rPr>
          <w:rFonts w:eastAsia="Calibri"/>
          <w:i/>
          <w:sz w:val="24"/>
          <w:szCs w:val="24"/>
          <w:shd w:val="clear" w:color="auto" w:fill="FFFFFF"/>
        </w:rPr>
        <w:t xml:space="preserve">, iar rampele scărilor și coridoarele de cel puțin </w:t>
      </w:r>
      <w:r>
        <w:rPr>
          <w:rFonts w:eastAsia="Calibri"/>
          <w:b/>
          <w:bCs/>
          <w:i/>
          <w:sz w:val="24"/>
          <w:szCs w:val="24"/>
          <w:shd w:val="clear" w:color="auto" w:fill="FFFFFF"/>
        </w:rPr>
        <w:t>1,20 m</w:t>
      </w:r>
      <w:r>
        <w:rPr>
          <w:rFonts w:eastAsia="Calibri"/>
          <w:i/>
          <w:sz w:val="24"/>
          <w:szCs w:val="24"/>
          <w:shd w:val="clear" w:color="auto" w:fill="FFFFFF"/>
        </w:rPr>
        <w:t xml:space="preserve"> lățime. Comportarea la foc a pereților căilor de evacuare, va respecta condițiile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_Ref12115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157</w:t>
      </w:r>
      <w:r>
        <w:rPr>
          <w:rFonts w:eastAsia="Calibri"/>
          <w:b/>
          <w:bCs/>
          <w:i/>
          <w:iCs/>
          <w:sz w:val="24"/>
          <w:szCs w:val="24"/>
          <w:shd w:val="clear" w:color="auto" w:fill="FFFFFF"/>
        </w:rPr>
        <w:fldChar w:fldCharType="end"/>
      </w:r>
      <w:r>
        <w:rPr>
          <w:rFonts w:eastAsia="Calibri"/>
          <w:i/>
          <w:sz w:val="24"/>
          <w:szCs w:val="24"/>
          <w:shd w:val="clear" w:color="auto" w:fill="FFFFFF"/>
        </w:rPr>
        <w:t>.</w:t>
      </w:r>
    </w:p>
    <w:p w14:paraId="2A58A68E" w14:textId="77777777" w:rsidR="001C08A5" w:rsidRDefault="00000000">
      <w:pPr>
        <w:pStyle w:val="Caption"/>
        <w:shd w:val="clear" w:color="auto" w:fill="FFFFFF"/>
        <w:spacing w:before="0" w:after="150"/>
        <w:jc w:val="both"/>
        <w:rPr>
          <w:rFonts w:eastAsia="Calibri" w:cs="Times New Roman"/>
          <w:bCs/>
          <w:shd w:val="clear" w:color="auto" w:fill="FFFFFF"/>
        </w:rPr>
      </w:pPr>
      <w:bookmarkStart w:id="10979" w:name="_Ref12115"/>
      <w:bookmarkStart w:id="10980" w:name="_Toc162360207"/>
      <w:r>
        <w:t xml:space="preserve">Tabelul </w:t>
      </w:r>
      <w:r>
        <w:fldChar w:fldCharType="begin"/>
      </w:r>
      <w:r>
        <w:instrText xml:space="preserve"> SEQ Tabelul \* ARABIC </w:instrText>
      </w:r>
      <w:r>
        <w:fldChar w:fldCharType="separate"/>
      </w:r>
      <w:r>
        <w:t>157</w:t>
      </w:r>
      <w:r>
        <w:fldChar w:fldCharType="end"/>
      </w:r>
      <w:bookmarkStart w:id="10981" w:name="_Toc18461"/>
      <w:bookmarkStart w:id="10982" w:name="_Toc10946"/>
      <w:bookmarkStart w:id="10983" w:name="_Toc30139"/>
      <w:bookmarkStart w:id="10984" w:name="_Toc12877"/>
      <w:bookmarkStart w:id="10985" w:name="_Toc12894"/>
      <w:bookmarkStart w:id="10986" w:name="_Toc23139"/>
      <w:bookmarkStart w:id="10987" w:name="_Toc31224"/>
      <w:bookmarkStart w:id="10988" w:name="_Toc25066"/>
      <w:bookmarkStart w:id="10989" w:name="_Toc18973"/>
      <w:bookmarkStart w:id="10990" w:name="_Toc25552"/>
      <w:bookmarkStart w:id="10991" w:name="_Toc5543"/>
      <w:bookmarkEnd w:id="10979"/>
      <w:r>
        <w:t xml:space="preserve">: </w:t>
      </w:r>
      <w:r>
        <w:rPr>
          <w:rFonts w:eastAsia="Calibri"/>
          <w:bCs/>
          <w:shd w:val="clear" w:color="auto" w:fill="FFFFFF"/>
        </w:rPr>
        <w:t>Separare a căilor comune de circulație și de evacuare la clădiri existente de învățământ</w:t>
      </w:r>
      <w:bookmarkEnd w:id="10980"/>
      <w:r>
        <w:rPr>
          <w:rFonts w:eastAsia="Calibri"/>
          <w:bCs/>
          <w:shd w:val="clear" w:color="auto" w:fill="FFFFFF"/>
        </w:rPr>
        <w:t xml:space="preserve"> </w:t>
      </w:r>
      <w:bookmarkEnd w:id="10981"/>
      <w:bookmarkEnd w:id="10982"/>
      <w:bookmarkEnd w:id="10983"/>
      <w:bookmarkEnd w:id="10984"/>
      <w:bookmarkEnd w:id="10985"/>
      <w:bookmarkEnd w:id="10986"/>
      <w:bookmarkEnd w:id="10987"/>
      <w:bookmarkEnd w:id="10988"/>
      <w:bookmarkEnd w:id="10989"/>
      <w:bookmarkEnd w:id="10990"/>
      <w:bookmarkEnd w:id="10991"/>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44"/>
        <w:gridCol w:w="1736"/>
        <w:gridCol w:w="1735"/>
        <w:gridCol w:w="1735"/>
        <w:gridCol w:w="1735"/>
        <w:gridCol w:w="1742"/>
      </w:tblGrid>
      <w:tr w:rsidR="001C08A5" w14:paraId="53A8AB70" w14:textId="77777777">
        <w:trPr>
          <w:trHeight w:val="390"/>
          <w:tblHeader/>
        </w:trPr>
        <w:tc>
          <w:tcPr>
            <w:tcW w:w="490" w:type="pct"/>
            <w:vMerge w:val="restart"/>
            <w:shd w:val="clear" w:color="auto" w:fill="D7D7D7"/>
            <w:tcMar>
              <w:top w:w="0" w:type="dxa"/>
              <w:left w:w="0" w:type="dxa"/>
              <w:bottom w:w="0" w:type="dxa"/>
              <w:right w:w="0" w:type="dxa"/>
            </w:tcMar>
            <w:vAlign w:val="center"/>
          </w:tcPr>
          <w:p w14:paraId="25FA678F" w14:textId="77777777" w:rsidR="001C08A5" w:rsidRDefault="00000000">
            <w:pPr>
              <w:jc w:val="center"/>
              <w:rPr>
                <w:b/>
                <w:bCs/>
                <w:i/>
                <w:sz w:val="22"/>
                <w:szCs w:val="22"/>
              </w:rPr>
            </w:pPr>
            <w:r>
              <w:rPr>
                <w:b/>
                <w:bCs/>
                <w:i/>
                <w:sz w:val="22"/>
                <w:szCs w:val="22"/>
              </w:rPr>
              <w:t>Nivel de stabilitate</w:t>
            </w:r>
          </w:p>
          <w:p w14:paraId="1263A7DA" w14:textId="77777777" w:rsidR="001C08A5" w:rsidRDefault="00000000">
            <w:pPr>
              <w:jc w:val="center"/>
              <w:rPr>
                <w:b/>
                <w:bCs/>
                <w:i/>
                <w:sz w:val="22"/>
                <w:szCs w:val="22"/>
              </w:rPr>
            </w:pPr>
            <w:r>
              <w:rPr>
                <w:b/>
                <w:bCs/>
                <w:i/>
                <w:sz w:val="22"/>
                <w:szCs w:val="22"/>
              </w:rPr>
              <w:t>la incendiu</w:t>
            </w:r>
          </w:p>
        </w:tc>
        <w:tc>
          <w:tcPr>
            <w:tcW w:w="4509" w:type="pct"/>
            <w:gridSpan w:val="5"/>
            <w:shd w:val="clear" w:color="auto" w:fill="D7D7D7"/>
            <w:tcMar>
              <w:top w:w="0" w:type="dxa"/>
              <w:left w:w="0" w:type="dxa"/>
              <w:bottom w:w="0" w:type="dxa"/>
              <w:right w:w="0" w:type="dxa"/>
            </w:tcMar>
            <w:vAlign w:val="center"/>
          </w:tcPr>
          <w:p w14:paraId="142B13F0" w14:textId="77777777" w:rsidR="001C08A5" w:rsidRDefault="00000000">
            <w:pPr>
              <w:jc w:val="center"/>
              <w:rPr>
                <w:b/>
                <w:bCs/>
                <w:i/>
                <w:sz w:val="22"/>
                <w:szCs w:val="22"/>
                <w:lang w:val="en-US" w:eastAsia="zh-CN" w:bidi="ar"/>
              </w:rPr>
            </w:pPr>
            <w:r>
              <w:rPr>
                <w:b/>
                <w:bCs/>
                <w:i/>
                <w:sz w:val="22"/>
                <w:szCs w:val="22"/>
                <w:lang w:val="en-US" w:eastAsia="zh-CN" w:bidi="ar"/>
              </w:rPr>
              <w:t>Nivele de comportare la foc admise</w:t>
            </w:r>
          </w:p>
        </w:tc>
      </w:tr>
      <w:tr w:rsidR="001C08A5" w14:paraId="27C7F3E7" w14:textId="77777777">
        <w:trPr>
          <w:trHeight w:val="375"/>
          <w:tblHeader/>
        </w:trPr>
        <w:tc>
          <w:tcPr>
            <w:tcW w:w="490" w:type="pct"/>
            <w:vMerge/>
            <w:shd w:val="clear" w:color="auto" w:fill="D7D7D7"/>
            <w:tcMar>
              <w:top w:w="0" w:type="dxa"/>
              <w:left w:w="0" w:type="dxa"/>
              <w:bottom w:w="0" w:type="dxa"/>
              <w:right w:w="0" w:type="dxa"/>
            </w:tcMar>
            <w:vAlign w:val="center"/>
          </w:tcPr>
          <w:p w14:paraId="08C5CBF2" w14:textId="77777777" w:rsidR="001C08A5" w:rsidRDefault="001C08A5">
            <w:pPr>
              <w:jc w:val="center"/>
              <w:rPr>
                <w:b/>
                <w:bCs/>
                <w:i/>
                <w:sz w:val="22"/>
                <w:szCs w:val="22"/>
              </w:rPr>
            </w:pPr>
          </w:p>
        </w:tc>
        <w:tc>
          <w:tcPr>
            <w:tcW w:w="901" w:type="pct"/>
            <w:shd w:val="clear" w:color="auto" w:fill="D7D7D7"/>
            <w:tcMar>
              <w:top w:w="0" w:type="dxa"/>
              <w:left w:w="0" w:type="dxa"/>
              <w:bottom w:w="0" w:type="dxa"/>
              <w:right w:w="0" w:type="dxa"/>
            </w:tcMar>
            <w:vAlign w:val="center"/>
          </w:tcPr>
          <w:p w14:paraId="272DB7BE" w14:textId="77777777" w:rsidR="001C08A5" w:rsidRDefault="00000000">
            <w:pPr>
              <w:jc w:val="center"/>
              <w:rPr>
                <w:b/>
                <w:bCs/>
                <w:i/>
                <w:sz w:val="22"/>
                <w:szCs w:val="22"/>
              </w:rPr>
            </w:pPr>
            <w:r>
              <w:rPr>
                <w:b/>
                <w:bCs/>
                <w:i/>
                <w:sz w:val="22"/>
                <w:szCs w:val="22"/>
                <w:lang w:val="en-US" w:eastAsia="zh-CN" w:bidi="ar"/>
              </w:rPr>
              <w:t>Pereți la coridoare</w:t>
            </w:r>
          </w:p>
        </w:tc>
        <w:tc>
          <w:tcPr>
            <w:tcW w:w="901" w:type="pct"/>
            <w:shd w:val="clear" w:color="auto" w:fill="D7D7D7"/>
            <w:tcMar>
              <w:top w:w="0" w:type="dxa"/>
              <w:left w:w="0" w:type="dxa"/>
              <w:bottom w:w="0" w:type="dxa"/>
              <w:right w:w="0" w:type="dxa"/>
            </w:tcMar>
            <w:vAlign w:val="center"/>
          </w:tcPr>
          <w:p w14:paraId="1FEEA9AD" w14:textId="77777777" w:rsidR="001C08A5" w:rsidRDefault="00000000">
            <w:pPr>
              <w:jc w:val="center"/>
              <w:rPr>
                <w:b/>
                <w:bCs/>
                <w:i/>
                <w:sz w:val="22"/>
                <w:szCs w:val="22"/>
              </w:rPr>
            </w:pPr>
            <w:r>
              <w:rPr>
                <w:b/>
                <w:bCs/>
                <w:i/>
                <w:sz w:val="22"/>
                <w:szCs w:val="22"/>
                <w:lang w:val="en-US" w:eastAsia="zh-CN" w:bidi="ar"/>
              </w:rPr>
              <w:t>Pereți la holuri</w:t>
            </w:r>
          </w:p>
        </w:tc>
        <w:tc>
          <w:tcPr>
            <w:tcW w:w="901" w:type="pct"/>
            <w:shd w:val="clear" w:color="auto" w:fill="D7D7D7"/>
            <w:tcMar>
              <w:top w:w="0" w:type="dxa"/>
              <w:left w:w="0" w:type="dxa"/>
              <w:bottom w:w="0" w:type="dxa"/>
              <w:right w:w="0" w:type="dxa"/>
            </w:tcMar>
            <w:vAlign w:val="center"/>
          </w:tcPr>
          <w:p w14:paraId="21F0076C" w14:textId="77777777" w:rsidR="001C08A5" w:rsidRDefault="00000000">
            <w:pPr>
              <w:jc w:val="center"/>
              <w:rPr>
                <w:b/>
                <w:bCs/>
                <w:i/>
                <w:sz w:val="22"/>
                <w:szCs w:val="22"/>
              </w:rPr>
            </w:pPr>
            <w:r>
              <w:rPr>
                <w:b/>
                <w:bCs/>
                <w:i/>
                <w:sz w:val="22"/>
                <w:szCs w:val="22"/>
              </w:rPr>
              <w:t xml:space="preserve">Uși </w:t>
            </w:r>
            <w:r>
              <w:rPr>
                <w:b/>
                <w:bCs/>
                <w:i/>
                <w:sz w:val="22"/>
                <w:szCs w:val="22"/>
                <w:lang w:val="en-US" w:eastAsia="zh-CN" w:bidi="ar"/>
              </w:rPr>
              <w:t>la</w:t>
            </w:r>
            <w:r>
              <w:rPr>
                <w:b/>
                <w:bCs/>
                <w:i/>
                <w:sz w:val="22"/>
                <w:szCs w:val="22"/>
                <w:lang w:eastAsia="zh-CN" w:bidi="ar"/>
              </w:rPr>
              <w:t xml:space="preserve"> </w:t>
            </w:r>
            <w:r>
              <w:rPr>
                <w:b/>
                <w:bCs/>
                <w:i/>
                <w:sz w:val="22"/>
                <w:szCs w:val="22"/>
                <w:lang w:val="en-US" w:eastAsia="zh-CN" w:bidi="ar"/>
              </w:rPr>
              <w:t>coridoare</w:t>
            </w:r>
            <w:r>
              <w:rPr>
                <w:b/>
                <w:bCs/>
                <w:i/>
                <w:sz w:val="22"/>
                <w:szCs w:val="22"/>
                <w:lang w:eastAsia="zh-CN" w:bidi="ar"/>
              </w:rPr>
              <w:t xml:space="preserve"> și la</w:t>
            </w:r>
            <w:r>
              <w:rPr>
                <w:b/>
                <w:bCs/>
                <w:i/>
                <w:sz w:val="22"/>
                <w:szCs w:val="22"/>
                <w:lang w:val="en-US" w:eastAsia="zh-CN" w:bidi="ar"/>
              </w:rPr>
              <w:t xml:space="preserve"> holuri</w:t>
            </w:r>
            <w:r>
              <w:rPr>
                <w:b/>
                <w:bCs/>
                <w:i/>
                <w:sz w:val="22"/>
                <w:szCs w:val="22"/>
                <w:lang w:eastAsia="zh-CN" w:bidi="ar"/>
              </w:rPr>
              <w:t xml:space="preserve"> </w:t>
            </w:r>
            <w:r>
              <w:rPr>
                <w:i/>
                <w:sz w:val="22"/>
                <w:szCs w:val="22"/>
              </w:rPr>
              <w:t>(cu excepţia celor către case de scări închise)</w:t>
            </w:r>
          </w:p>
        </w:tc>
        <w:tc>
          <w:tcPr>
            <w:tcW w:w="901" w:type="pct"/>
            <w:shd w:val="clear" w:color="auto" w:fill="D7D7D7"/>
            <w:tcMar>
              <w:top w:w="0" w:type="dxa"/>
              <w:left w:w="0" w:type="dxa"/>
              <w:bottom w:w="0" w:type="dxa"/>
              <w:right w:w="0" w:type="dxa"/>
            </w:tcMar>
            <w:vAlign w:val="center"/>
          </w:tcPr>
          <w:p w14:paraId="10598F35" w14:textId="77777777" w:rsidR="001C08A5" w:rsidRDefault="00000000">
            <w:pPr>
              <w:jc w:val="center"/>
              <w:rPr>
                <w:b/>
                <w:bCs/>
                <w:i/>
                <w:sz w:val="22"/>
                <w:szCs w:val="22"/>
                <w:lang w:eastAsia="zh-CN" w:bidi="ar"/>
              </w:rPr>
            </w:pPr>
            <w:r>
              <w:rPr>
                <w:b/>
                <w:bCs/>
                <w:i/>
                <w:sz w:val="22"/>
                <w:szCs w:val="22"/>
                <w:lang w:val="en-US" w:eastAsia="zh-CN" w:bidi="ar"/>
              </w:rPr>
              <w:t xml:space="preserve">Pereți la case de </w:t>
            </w:r>
            <w:proofErr w:type="gramStart"/>
            <w:r>
              <w:rPr>
                <w:b/>
                <w:bCs/>
                <w:i/>
                <w:sz w:val="22"/>
                <w:szCs w:val="22"/>
                <w:lang w:val="en-US" w:eastAsia="zh-CN" w:bidi="ar"/>
              </w:rPr>
              <w:t>scări</w:t>
            </w:r>
            <w:r>
              <w:rPr>
                <w:b/>
                <w:bCs/>
                <w:i/>
                <w:sz w:val="22"/>
                <w:szCs w:val="22"/>
                <w:lang w:eastAsia="zh-CN" w:bidi="ar"/>
              </w:rPr>
              <w:t xml:space="preserve">  închise</w:t>
            </w:r>
            <w:proofErr w:type="gramEnd"/>
          </w:p>
        </w:tc>
        <w:tc>
          <w:tcPr>
            <w:tcW w:w="903" w:type="pct"/>
            <w:shd w:val="clear" w:color="auto" w:fill="D7D7D7"/>
            <w:tcMar>
              <w:top w:w="0" w:type="dxa"/>
              <w:left w:w="0" w:type="dxa"/>
              <w:bottom w:w="0" w:type="dxa"/>
              <w:right w:w="0" w:type="dxa"/>
            </w:tcMar>
            <w:vAlign w:val="center"/>
          </w:tcPr>
          <w:p w14:paraId="56D796FB" w14:textId="77777777" w:rsidR="001C08A5" w:rsidRDefault="00000000">
            <w:pPr>
              <w:jc w:val="center"/>
              <w:rPr>
                <w:b/>
                <w:bCs/>
                <w:i/>
                <w:sz w:val="22"/>
                <w:szCs w:val="22"/>
                <w:lang w:eastAsia="zh-CN" w:bidi="ar"/>
              </w:rPr>
            </w:pPr>
            <w:r>
              <w:rPr>
                <w:b/>
                <w:bCs/>
                <w:i/>
                <w:sz w:val="22"/>
                <w:szCs w:val="22"/>
                <w:lang w:eastAsia="zh-CN" w:bidi="ar"/>
              </w:rPr>
              <w:t xml:space="preserve">Uși </w:t>
            </w:r>
            <w:r>
              <w:rPr>
                <w:b/>
                <w:bCs/>
                <w:i/>
                <w:sz w:val="22"/>
                <w:szCs w:val="22"/>
                <w:lang w:val="en-US" w:eastAsia="zh-CN" w:bidi="ar"/>
              </w:rPr>
              <w:t>la case de scări</w:t>
            </w:r>
            <w:r>
              <w:rPr>
                <w:b/>
                <w:bCs/>
                <w:i/>
                <w:sz w:val="22"/>
                <w:szCs w:val="22"/>
                <w:lang w:eastAsia="zh-CN" w:bidi="ar"/>
              </w:rPr>
              <w:t xml:space="preserve"> </w:t>
            </w:r>
            <w:r>
              <w:rPr>
                <w:i/>
                <w:sz w:val="22"/>
                <w:szCs w:val="22"/>
                <w:lang w:eastAsia="zh-CN" w:bidi="ar"/>
              </w:rPr>
              <w:t>(cu excepţia uşilor de apartament)</w:t>
            </w:r>
          </w:p>
        </w:tc>
      </w:tr>
      <w:tr w:rsidR="001C08A5" w14:paraId="74C94534" w14:textId="77777777">
        <w:trPr>
          <w:trHeight w:val="345"/>
        </w:trPr>
        <w:tc>
          <w:tcPr>
            <w:tcW w:w="490" w:type="pct"/>
            <w:tcMar>
              <w:top w:w="0" w:type="dxa"/>
              <w:left w:w="0" w:type="dxa"/>
              <w:bottom w:w="0" w:type="dxa"/>
              <w:right w:w="0" w:type="dxa"/>
            </w:tcMar>
            <w:vAlign w:val="center"/>
          </w:tcPr>
          <w:p w14:paraId="3CE49ACB" w14:textId="77777777" w:rsidR="001C08A5" w:rsidRDefault="00000000">
            <w:pPr>
              <w:jc w:val="center"/>
              <w:rPr>
                <w:b/>
                <w:bCs/>
                <w:i/>
                <w:sz w:val="22"/>
                <w:szCs w:val="22"/>
              </w:rPr>
            </w:pPr>
            <w:r>
              <w:rPr>
                <w:b/>
                <w:bCs/>
                <w:i/>
                <w:sz w:val="22"/>
                <w:szCs w:val="22"/>
                <w:lang w:val="en-US" w:eastAsia="zh-CN" w:bidi="ar"/>
              </w:rPr>
              <w:t>I</w:t>
            </w:r>
          </w:p>
        </w:tc>
        <w:tc>
          <w:tcPr>
            <w:tcW w:w="1739" w:type="dxa"/>
            <w:tcMar>
              <w:top w:w="0" w:type="dxa"/>
              <w:left w:w="0" w:type="dxa"/>
              <w:bottom w:w="0" w:type="dxa"/>
              <w:right w:w="0" w:type="dxa"/>
            </w:tcMar>
            <w:vAlign w:val="center"/>
          </w:tcPr>
          <w:p w14:paraId="2913283A" w14:textId="77777777" w:rsidR="001C08A5" w:rsidRDefault="00000000">
            <w:pPr>
              <w:jc w:val="center"/>
              <w:rPr>
                <w:b/>
                <w:i/>
                <w:sz w:val="22"/>
                <w:szCs w:val="22"/>
              </w:rPr>
            </w:pPr>
            <w:r>
              <w:rPr>
                <w:b/>
                <w:i/>
                <w:sz w:val="22"/>
                <w:szCs w:val="22"/>
              </w:rPr>
              <w:t>EI/REI 90</w:t>
            </w:r>
          </w:p>
          <w:p w14:paraId="5EFB01AD" w14:textId="77777777" w:rsidR="001C08A5" w:rsidRDefault="00000000">
            <w:pPr>
              <w:jc w:val="center"/>
              <w:rPr>
                <w:b/>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5E7C240F" w14:textId="77777777" w:rsidR="001C08A5" w:rsidRDefault="00000000">
            <w:pPr>
              <w:jc w:val="center"/>
              <w:rPr>
                <w:b/>
                <w:i/>
                <w:sz w:val="22"/>
                <w:szCs w:val="22"/>
              </w:rPr>
            </w:pPr>
            <w:r>
              <w:rPr>
                <w:b/>
                <w:i/>
                <w:sz w:val="22"/>
                <w:szCs w:val="22"/>
              </w:rPr>
              <w:t>EI/REI 90</w:t>
            </w:r>
          </w:p>
          <w:p w14:paraId="5B8047F6" w14:textId="77777777" w:rsidR="001C08A5" w:rsidRDefault="00000000">
            <w:pPr>
              <w:jc w:val="center"/>
              <w:rPr>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63559383" w14:textId="77777777" w:rsidR="001C08A5" w:rsidRDefault="00000000">
            <w:pPr>
              <w:jc w:val="center"/>
              <w:rPr>
                <w:i/>
                <w:sz w:val="22"/>
                <w:szCs w:val="22"/>
              </w:rPr>
            </w:pPr>
            <w:r>
              <w:rPr>
                <w:b/>
                <w:bCs/>
                <w:i/>
                <w:sz w:val="22"/>
                <w:szCs w:val="22"/>
              </w:rPr>
              <w:t>E 30 - C5 Sa</w:t>
            </w:r>
          </w:p>
        </w:tc>
        <w:tc>
          <w:tcPr>
            <w:tcW w:w="1739" w:type="dxa"/>
            <w:tcMar>
              <w:top w:w="0" w:type="dxa"/>
              <w:left w:w="0" w:type="dxa"/>
              <w:bottom w:w="0" w:type="dxa"/>
              <w:right w:w="0" w:type="dxa"/>
            </w:tcMar>
            <w:vAlign w:val="center"/>
          </w:tcPr>
          <w:p w14:paraId="6508FF0D" w14:textId="77777777" w:rsidR="001C08A5" w:rsidRDefault="00000000">
            <w:pPr>
              <w:jc w:val="center"/>
              <w:rPr>
                <w:b/>
                <w:i/>
                <w:sz w:val="22"/>
                <w:szCs w:val="22"/>
              </w:rPr>
            </w:pPr>
            <w:r>
              <w:rPr>
                <w:b/>
                <w:i/>
                <w:sz w:val="22"/>
                <w:szCs w:val="22"/>
              </w:rPr>
              <w:t>EI/REI 180</w:t>
            </w:r>
          </w:p>
          <w:p w14:paraId="252D763B" w14:textId="77777777" w:rsidR="001C08A5" w:rsidRDefault="00000000">
            <w:pPr>
              <w:jc w:val="center"/>
              <w:rPr>
                <w:b/>
                <w:i/>
                <w:sz w:val="22"/>
                <w:szCs w:val="22"/>
              </w:rPr>
            </w:pPr>
            <w:r>
              <w:rPr>
                <w:b/>
                <w:bCs/>
                <w:i/>
                <w:sz w:val="22"/>
                <w:szCs w:val="22"/>
                <w:lang w:val="en-GB"/>
              </w:rPr>
              <w:t>A1, A2s1d0</w:t>
            </w:r>
          </w:p>
        </w:tc>
        <w:tc>
          <w:tcPr>
            <w:tcW w:w="1746" w:type="dxa"/>
            <w:tcMar>
              <w:top w:w="0" w:type="dxa"/>
              <w:left w:w="0" w:type="dxa"/>
              <w:bottom w:w="0" w:type="dxa"/>
              <w:right w:w="0" w:type="dxa"/>
            </w:tcMar>
            <w:vAlign w:val="center"/>
          </w:tcPr>
          <w:p w14:paraId="5C1D8D79" w14:textId="77777777" w:rsidR="001C08A5" w:rsidRDefault="00000000">
            <w:pPr>
              <w:jc w:val="center"/>
              <w:rPr>
                <w:b/>
                <w:i/>
                <w:sz w:val="22"/>
                <w:szCs w:val="22"/>
              </w:rPr>
            </w:pPr>
            <w:r>
              <w:rPr>
                <w:b/>
                <w:bCs/>
                <w:i/>
                <w:sz w:val="22"/>
                <w:szCs w:val="22"/>
              </w:rPr>
              <w:t xml:space="preserve">E 60 - C5 </w:t>
            </w:r>
            <w:r>
              <w:rPr>
                <w:b/>
                <w:i/>
                <w:sz w:val="22"/>
                <w:szCs w:val="22"/>
              </w:rPr>
              <w:t>S</w:t>
            </w:r>
            <w:r>
              <w:rPr>
                <w:b/>
                <w:bCs/>
                <w:i/>
                <w:sz w:val="22"/>
                <w:szCs w:val="22"/>
                <w:vertAlign w:val="subscript"/>
                <w:lang w:val="en-GB"/>
              </w:rPr>
              <w:t>200</w:t>
            </w:r>
          </w:p>
        </w:tc>
      </w:tr>
      <w:tr w:rsidR="001C08A5" w14:paraId="0EB1A0A8" w14:textId="77777777">
        <w:trPr>
          <w:trHeight w:val="345"/>
        </w:trPr>
        <w:tc>
          <w:tcPr>
            <w:tcW w:w="490" w:type="pct"/>
            <w:tcMar>
              <w:top w:w="0" w:type="dxa"/>
              <w:left w:w="0" w:type="dxa"/>
              <w:bottom w:w="0" w:type="dxa"/>
              <w:right w:w="0" w:type="dxa"/>
            </w:tcMar>
            <w:vAlign w:val="center"/>
          </w:tcPr>
          <w:p w14:paraId="6870CB75" w14:textId="77777777" w:rsidR="001C08A5" w:rsidRDefault="00000000">
            <w:pPr>
              <w:jc w:val="center"/>
              <w:rPr>
                <w:b/>
                <w:bCs/>
                <w:i/>
                <w:sz w:val="22"/>
                <w:szCs w:val="22"/>
              </w:rPr>
            </w:pPr>
            <w:r>
              <w:rPr>
                <w:b/>
                <w:bCs/>
                <w:i/>
                <w:sz w:val="22"/>
                <w:szCs w:val="22"/>
                <w:lang w:val="en-US" w:eastAsia="zh-CN" w:bidi="ar"/>
              </w:rPr>
              <w:t>II</w:t>
            </w:r>
          </w:p>
        </w:tc>
        <w:tc>
          <w:tcPr>
            <w:tcW w:w="1739" w:type="dxa"/>
            <w:tcMar>
              <w:top w:w="0" w:type="dxa"/>
              <w:left w:w="0" w:type="dxa"/>
              <w:bottom w:w="0" w:type="dxa"/>
              <w:right w:w="0" w:type="dxa"/>
            </w:tcMar>
            <w:vAlign w:val="center"/>
          </w:tcPr>
          <w:p w14:paraId="4A3A332D" w14:textId="77777777" w:rsidR="001C08A5" w:rsidRDefault="00000000">
            <w:pPr>
              <w:jc w:val="center"/>
              <w:rPr>
                <w:b/>
                <w:i/>
                <w:sz w:val="22"/>
                <w:szCs w:val="22"/>
              </w:rPr>
            </w:pPr>
            <w:r>
              <w:rPr>
                <w:b/>
                <w:i/>
                <w:sz w:val="22"/>
                <w:szCs w:val="22"/>
              </w:rPr>
              <w:t>EI/REI 90</w:t>
            </w:r>
          </w:p>
          <w:p w14:paraId="35CA1FDD" w14:textId="77777777" w:rsidR="001C08A5" w:rsidRDefault="00000000">
            <w:pPr>
              <w:jc w:val="center"/>
              <w:rPr>
                <w:b/>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263524F3" w14:textId="77777777" w:rsidR="001C08A5" w:rsidRDefault="00000000">
            <w:pPr>
              <w:jc w:val="center"/>
              <w:rPr>
                <w:b/>
                <w:i/>
                <w:sz w:val="22"/>
                <w:szCs w:val="22"/>
              </w:rPr>
            </w:pPr>
            <w:r>
              <w:rPr>
                <w:b/>
                <w:i/>
                <w:sz w:val="22"/>
                <w:szCs w:val="22"/>
              </w:rPr>
              <w:t>EI/REI 90</w:t>
            </w:r>
          </w:p>
          <w:p w14:paraId="5FD73293" w14:textId="77777777" w:rsidR="001C08A5" w:rsidRDefault="00000000">
            <w:pPr>
              <w:jc w:val="center"/>
              <w:rPr>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5DBC295C" w14:textId="77777777" w:rsidR="001C08A5" w:rsidRDefault="00000000">
            <w:pPr>
              <w:jc w:val="center"/>
              <w:rPr>
                <w:i/>
                <w:sz w:val="22"/>
                <w:szCs w:val="22"/>
              </w:rPr>
            </w:pPr>
            <w:r>
              <w:rPr>
                <w:b/>
                <w:bCs/>
                <w:i/>
                <w:sz w:val="22"/>
                <w:szCs w:val="22"/>
              </w:rPr>
              <w:t xml:space="preserve">E 15 - C5 Sa </w:t>
            </w:r>
            <w:r>
              <w:rPr>
                <w:b/>
                <w:bCs/>
                <w:i/>
              </w:rPr>
              <w:t>sau uși pline din lemn sau metal</w:t>
            </w:r>
          </w:p>
        </w:tc>
        <w:tc>
          <w:tcPr>
            <w:tcW w:w="1739" w:type="dxa"/>
            <w:tcMar>
              <w:top w:w="0" w:type="dxa"/>
              <w:left w:w="0" w:type="dxa"/>
              <w:bottom w:w="0" w:type="dxa"/>
              <w:right w:w="0" w:type="dxa"/>
            </w:tcMar>
            <w:vAlign w:val="center"/>
          </w:tcPr>
          <w:p w14:paraId="168BA736" w14:textId="77777777" w:rsidR="001C08A5" w:rsidRDefault="00000000">
            <w:pPr>
              <w:jc w:val="center"/>
              <w:rPr>
                <w:b/>
                <w:i/>
                <w:sz w:val="22"/>
                <w:szCs w:val="22"/>
              </w:rPr>
            </w:pPr>
            <w:r>
              <w:rPr>
                <w:b/>
                <w:i/>
                <w:sz w:val="22"/>
                <w:szCs w:val="22"/>
              </w:rPr>
              <w:t>EI/REI 180</w:t>
            </w:r>
          </w:p>
          <w:p w14:paraId="069A6E9B" w14:textId="77777777" w:rsidR="001C08A5" w:rsidRDefault="00000000">
            <w:pPr>
              <w:jc w:val="center"/>
              <w:rPr>
                <w:b/>
                <w:i/>
                <w:sz w:val="22"/>
                <w:szCs w:val="22"/>
              </w:rPr>
            </w:pPr>
            <w:r>
              <w:rPr>
                <w:b/>
                <w:bCs/>
                <w:i/>
                <w:sz w:val="22"/>
                <w:szCs w:val="22"/>
                <w:lang w:val="en-GB"/>
              </w:rPr>
              <w:t>A1, A2s1d0</w:t>
            </w:r>
          </w:p>
        </w:tc>
        <w:tc>
          <w:tcPr>
            <w:tcW w:w="1746" w:type="dxa"/>
            <w:tcMar>
              <w:top w:w="0" w:type="dxa"/>
              <w:left w:w="0" w:type="dxa"/>
              <w:bottom w:w="0" w:type="dxa"/>
              <w:right w:w="0" w:type="dxa"/>
            </w:tcMar>
            <w:vAlign w:val="center"/>
          </w:tcPr>
          <w:p w14:paraId="6D91D552" w14:textId="77777777" w:rsidR="001C08A5" w:rsidRDefault="00000000">
            <w:pPr>
              <w:jc w:val="center"/>
              <w:rPr>
                <w:b/>
                <w:i/>
                <w:sz w:val="22"/>
                <w:szCs w:val="22"/>
              </w:rPr>
            </w:pPr>
            <w:r>
              <w:rPr>
                <w:b/>
                <w:bCs/>
                <w:i/>
                <w:sz w:val="22"/>
                <w:szCs w:val="22"/>
              </w:rPr>
              <w:t xml:space="preserve">E 30 - C5 </w:t>
            </w:r>
            <w:r>
              <w:rPr>
                <w:b/>
                <w:i/>
                <w:sz w:val="22"/>
                <w:szCs w:val="22"/>
              </w:rPr>
              <w:t>S</w:t>
            </w:r>
            <w:r>
              <w:rPr>
                <w:b/>
                <w:bCs/>
                <w:i/>
                <w:sz w:val="22"/>
                <w:szCs w:val="22"/>
                <w:vertAlign w:val="subscript"/>
                <w:lang w:val="en-GB"/>
              </w:rPr>
              <w:t>200</w:t>
            </w:r>
          </w:p>
        </w:tc>
      </w:tr>
      <w:tr w:rsidR="001C08A5" w14:paraId="349BDE88" w14:textId="77777777">
        <w:trPr>
          <w:trHeight w:val="345"/>
        </w:trPr>
        <w:tc>
          <w:tcPr>
            <w:tcW w:w="490" w:type="pct"/>
            <w:tcMar>
              <w:top w:w="0" w:type="dxa"/>
              <w:left w:w="0" w:type="dxa"/>
              <w:bottom w:w="0" w:type="dxa"/>
              <w:right w:w="0" w:type="dxa"/>
            </w:tcMar>
            <w:vAlign w:val="center"/>
          </w:tcPr>
          <w:p w14:paraId="4F6CF5DE" w14:textId="77777777" w:rsidR="001C08A5" w:rsidRDefault="00000000">
            <w:pPr>
              <w:jc w:val="center"/>
              <w:rPr>
                <w:b/>
                <w:bCs/>
                <w:i/>
                <w:sz w:val="22"/>
                <w:szCs w:val="22"/>
              </w:rPr>
            </w:pPr>
            <w:r>
              <w:rPr>
                <w:b/>
                <w:bCs/>
                <w:i/>
                <w:sz w:val="22"/>
                <w:szCs w:val="22"/>
                <w:lang w:val="en-US" w:eastAsia="zh-CN" w:bidi="ar"/>
              </w:rPr>
              <w:t>III</w:t>
            </w:r>
          </w:p>
        </w:tc>
        <w:tc>
          <w:tcPr>
            <w:tcW w:w="1739" w:type="dxa"/>
            <w:tcMar>
              <w:top w:w="0" w:type="dxa"/>
              <w:left w:w="0" w:type="dxa"/>
              <w:bottom w:w="0" w:type="dxa"/>
              <w:right w:w="0" w:type="dxa"/>
            </w:tcMar>
            <w:vAlign w:val="center"/>
          </w:tcPr>
          <w:p w14:paraId="22211F44" w14:textId="77777777" w:rsidR="001C08A5" w:rsidRDefault="00000000">
            <w:pPr>
              <w:jc w:val="center"/>
              <w:rPr>
                <w:b/>
                <w:i/>
                <w:sz w:val="22"/>
                <w:szCs w:val="22"/>
              </w:rPr>
            </w:pPr>
            <w:r>
              <w:rPr>
                <w:b/>
                <w:i/>
                <w:sz w:val="22"/>
                <w:szCs w:val="22"/>
              </w:rPr>
              <w:t>EI/REI 45</w:t>
            </w:r>
          </w:p>
          <w:p w14:paraId="6BB93078" w14:textId="77777777" w:rsidR="001C08A5" w:rsidRDefault="00000000">
            <w:pPr>
              <w:jc w:val="center"/>
              <w:rPr>
                <w:b/>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3A855159" w14:textId="77777777" w:rsidR="001C08A5" w:rsidRDefault="00000000">
            <w:pPr>
              <w:jc w:val="center"/>
              <w:rPr>
                <w:b/>
                <w:i/>
                <w:sz w:val="22"/>
                <w:szCs w:val="22"/>
              </w:rPr>
            </w:pPr>
            <w:r>
              <w:rPr>
                <w:b/>
                <w:i/>
                <w:sz w:val="22"/>
                <w:szCs w:val="22"/>
              </w:rPr>
              <w:t>EI/REI 45</w:t>
            </w:r>
          </w:p>
          <w:p w14:paraId="278E9096" w14:textId="77777777" w:rsidR="001C08A5" w:rsidRDefault="00000000">
            <w:pPr>
              <w:jc w:val="center"/>
              <w:rPr>
                <w:i/>
                <w:sz w:val="22"/>
                <w:szCs w:val="22"/>
              </w:rPr>
            </w:pPr>
            <w:r>
              <w:rPr>
                <w:b/>
                <w:bCs/>
                <w:i/>
                <w:sz w:val="22"/>
                <w:szCs w:val="22"/>
                <w:lang w:val="en-GB"/>
              </w:rPr>
              <w:t>A1, A2s1d0</w:t>
            </w:r>
          </w:p>
        </w:tc>
        <w:tc>
          <w:tcPr>
            <w:tcW w:w="1739" w:type="dxa"/>
            <w:tcMar>
              <w:top w:w="0" w:type="dxa"/>
              <w:left w:w="0" w:type="dxa"/>
              <w:bottom w:w="0" w:type="dxa"/>
              <w:right w:w="0" w:type="dxa"/>
            </w:tcMar>
            <w:vAlign w:val="center"/>
          </w:tcPr>
          <w:p w14:paraId="234D8863" w14:textId="77777777" w:rsidR="001C08A5" w:rsidRDefault="00000000">
            <w:pPr>
              <w:jc w:val="center"/>
              <w:rPr>
                <w:i/>
                <w:sz w:val="22"/>
                <w:szCs w:val="22"/>
              </w:rPr>
            </w:pPr>
            <w:r>
              <w:rPr>
                <w:b/>
                <w:bCs/>
                <w:i/>
                <w:sz w:val="22"/>
                <w:szCs w:val="22"/>
              </w:rPr>
              <w:t xml:space="preserve">E </w:t>
            </w:r>
            <w:r>
              <w:rPr>
                <w:b/>
                <w:bCs/>
                <w:i/>
                <w:sz w:val="22"/>
                <w:szCs w:val="22"/>
                <w:lang w:val="en-GB"/>
              </w:rPr>
              <w:t>15</w:t>
            </w:r>
            <w:r>
              <w:rPr>
                <w:b/>
                <w:bCs/>
                <w:i/>
                <w:sz w:val="22"/>
                <w:szCs w:val="22"/>
              </w:rPr>
              <w:t xml:space="preserve"> - C5 Sa </w:t>
            </w:r>
            <w:r>
              <w:rPr>
                <w:b/>
                <w:bCs/>
                <w:i/>
              </w:rPr>
              <w:t>sau uși pline din lemn sau metal</w:t>
            </w:r>
          </w:p>
        </w:tc>
        <w:tc>
          <w:tcPr>
            <w:tcW w:w="1739" w:type="dxa"/>
            <w:tcMar>
              <w:top w:w="0" w:type="dxa"/>
              <w:left w:w="0" w:type="dxa"/>
              <w:bottom w:w="0" w:type="dxa"/>
              <w:right w:w="0" w:type="dxa"/>
            </w:tcMar>
            <w:vAlign w:val="center"/>
          </w:tcPr>
          <w:p w14:paraId="7075F2C9" w14:textId="77777777" w:rsidR="001C08A5" w:rsidRDefault="00000000">
            <w:pPr>
              <w:jc w:val="center"/>
              <w:rPr>
                <w:b/>
                <w:i/>
                <w:sz w:val="22"/>
                <w:szCs w:val="22"/>
              </w:rPr>
            </w:pPr>
            <w:r>
              <w:rPr>
                <w:b/>
                <w:i/>
                <w:sz w:val="22"/>
                <w:szCs w:val="22"/>
              </w:rPr>
              <w:t>EI/REI 180</w:t>
            </w:r>
          </w:p>
          <w:p w14:paraId="77F00B64" w14:textId="77777777" w:rsidR="001C08A5" w:rsidRDefault="00000000">
            <w:pPr>
              <w:jc w:val="center"/>
              <w:rPr>
                <w:b/>
                <w:i/>
                <w:sz w:val="22"/>
                <w:szCs w:val="22"/>
              </w:rPr>
            </w:pPr>
            <w:r>
              <w:rPr>
                <w:b/>
                <w:bCs/>
                <w:i/>
                <w:sz w:val="22"/>
                <w:szCs w:val="22"/>
                <w:lang w:val="en-GB"/>
              </w:rPr>
              <w:t>A1, A2s1d0</w:t>
            </w:r>
          </w:p>
        </w:tc>
        <w:tc>
          <w:tcPr>
            <w:tcW w:w="1746" w:type="dxa"/>
            <w:tcMar>
              <w:top w:w="0" w:type="dxa"/>
              <w:left w:w="0" w:type="dxa"/>
              <w:bottom w:w="0" w:type="dxa"/>
              <w:right w:w="0" w:type="dxa"/>
            </w:tcMar>
            <w:vAlign w:val="center"/>
          </w:tcPr>
          <w:p w14:paraId="4EF1FDA1" w14:textId="77777777" w:rsidR="001C08A5" w:rsidRDefault="00000000">
            <w:pPr>
              <w:jc w:val="center"/>
              <w:rPr>
                <w:b/>
                <w:i/>
                <w:sz w:val="22"/>
                <w:szCs w:val="22"/>
              </w:rPr>
            </w:pPr>
            <w:r>
              <w:rPr>
                <w:b/>
                <w:bCs/>
                <w:i/>
                <w:sz w:val="22"/>
                <w:szCs w:val="22"/>
              </w:rPr>
              <w:t>E 15 - C5 Sa</w:t>
            </w:r>
          </w:p>
        </w:tc>
      </w:tr>
      <w:tr w:rsidR="001C08A5" w14:paraId="6933FBA2" w14:textId="77777777">
        <w:trPr>
          <w:trHeight w:val="345"/>
        </w:trPr>
        <w:tc>
          <w:tcPr>
            <w:tcW w:w="490" w:type="pct"/>
            <w:tcMar>
              <w:top w:w="0" w:type="dxa"/>
              <w:left w:w="0" w:type="dxa"/>
              <w:bottom w:w="0" w:type="dxa"/>
              <w:right w:w="0" w:type="dxa"/>
            </w:tcMar>
            <w:vAlign w:val="center"/>
          </w:tcPr>
          <w:p w14:paraId="5AB4E777" w14:textId="77777777" w:rsidR="001C08A5" w:rsidRDefault="00000000">
            <w:pPr>
              <w:jc w:val="center"/>
              <w:rPr>
                <w:b/>
                <w:bCs/>
                <w:i/>
                <w:sz w:val="22"/>
                <w:szCs w:val="22"/>
              </w:rPr>
            </w:pPr>
            <w:r>
              <w:rPr>
                <w:b/>
                <w:bCs/>
                <w:i/>
                <w:sz w:val="22"/>
                <w:szCs w:val="22"/>
                <w:lang w:val="en-US" w:eastAsia="zh-CN" w:bidi="ar"/>
              </w:rPr>
              <w:t>IV</w:t>
            </w:r>
          </w:p>
        </w:tc>
        <w:tc>
          <w:tcPr>
            <w:tcW w:w="1739" w:type="dxa"/>
            <w:tcMar>
              <w:top w:w="0" w:type="dxa"/>
              <w:left w:w="0" w:type="dxa"/>
              <w:bottom w:w="0" w:type="dxa"/>
              <w:right w:w="0" w:type="dxa"/>
            </w:tcMar>
            <w:vAlign w:val="center"/>
          </w:tcPr>
          <w:p w14:paraId="692094D3" w14:textId="77777777" w:rsidR="001C08A5" w:rsidRDefault="00000000">
            <w:pPr>
              <w:jc w:val="center"/>
              <w:rPr>
                <w:b/>
                <w:i/>
                <w:sz w:val="22"/>
                <w:szCs w:val="22"/>
              </w:rPr>
            </w:pPr>
            <w:r>
              <w:rPr>
                <w:b/>
                <w:i/>
                <w:sz w:val="22"/>
                <w:szCs w:val="22"/>
              </w:rPr>
              <w:t>EI/REI 30</w:t>
            </w:r>
          </w:p>
          <w:p w14:paraId="21FA3F44" w14:textId="77777777" w:rsidR="001C08A5" w:rsidRDefault="00000000">
            <w:pPr>
              <w:jc w:val="center"/>
              <w:rPr>
                <w:b/>
                <w:i/>
                <w:sz w:val="22"/>
                <w:szCs w:val="22"/>
                <w:lang w:eastAsia="zh-CN"/>
              </w:rPr>
            </w:pPr>
            <w:r>
              <w:rPr>
                <w:b/>
                <w:i/>
                <w:sz w:val="22"/>
                <w:szCs w:val="22"/>
                <w:lang w:eastAsia="zh-CN"/>
              </w:rPr>
              <w:t>min. A2s1÷s3,d0÷d1;</w:t>
            </w:r>
          </w:p>
          <w:p w14:paraId="1859DAAA" w14:textId="77777777" w:rsidR="001C08A5" w:rsidRDefault="00000000">
            <w:pPr>
              <w:jc w:val="center"/>
              <w:rPr>
                <w:b/>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4A265FC2" w14:textId="77777777" w:rsidR="001C08A5" w:rsidRDefault="00000000">
            <w:pPr>
              <w:jc w:val="center"/>
              <w:rPr>
                <w:b/>
                <w:i/>
                <w:sz w:val="22"/>
                <w:szCs w:val="22"/>
              </w:rPr>
            </w:pPr>
            <w:r>
              <w:rPr>
                <w:b/>
                <w:i/>
                <w:sz w:val="22"/>
                <w:szCs w:val="22"/>
              </w:rPr>
              <w:t>EI/REI 30</w:t>
            </w:r>
          </w:p>
          <w:p w14:paraId="3D347190" w14:textId="77777777" w:rsidR="001C08A5" w:rsidRDefault="00000000">
            <w:pPr>
              <w:jc w:val="center"/>
              <w:rPr>
                <w:b/>
                <w:i/>
                <w:sz w:val="22"/>
                <w:szCs w:val="22"/>
                <w:lang w:eastAsia="zh-CN"/>
              </w:rPr>
            </w:pPr>
            <w:r>
              <w:rPr>
                <w:b/>
                <w:i/>
                <w:sz w:val="22"/>
                <w:szCs w:val="22"/>
                <w:lang w:eastAsia="zh-CN"/>
              </w:rPr>
              <w:t>min. A2s1÷s3,d0÷d1;</w:t>
            </w:r>
          </w:p>
          <w:p w14:paraId="1FF58438" w14:textId="77777777" w:rsidR="001C08A5" w:rsidRDefault="00000000">
            <w:pPr>
              <w:jc w:val="center"/>
              <w:rPr>
                <w:i/>
                <w:sz w:val="22"/>
                <w:szCs w:val="22"/>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28DE2931" w14:textId="77777777" w:rsidR="001C08A5" w:rsidRDefault="00000000">
            <w:pPr>
              <w:jc w:val="center"/>
              <w:rPr>
                <w:i/>
                <w:sz w:val="22"/>
                <w:szCs w:val="22"/>
              </w:rPr>
            </w:pPr>
            <w:r>
              <w:rPr>
                <w:b/>
                <w:bCs/>
                <w:i/>
                <w:sz w:val="22"/>
                <w:szCs w:val="22"/>
              </w:rPr>
              <w:t>C5</w:t>
            </w:r>
          </w:p>
        </w:tc>
        <w:tc>
          <w:tcPr>
            <w:tcW w:w="1739" w:type="dxa"/>
            <w:tcMar>
              <w:top w:w="0" w:type="dxa"/>
              <w:left w:w="0" w:type="dxa"/>
              <w:bottom w:w="0" w:type="dxa"/>
              <w:right w:w="0" w:type="dxa"/>
            </w:tcMar>
            <w:vAlign w:val="center"/>
          </w:tcPr>
          <w:p w14:paraId="6DDF1643" w14:textId="77777777" w:rsidR="001C08A5" w:rsidRDefault="00000000">
            <w:pPr>
              <w:jc w:val="center"/>
              <w:rPr>
                <w:b/>
                <w:i/>
                <w:sz w:val="22"/>
                <w:szCs w:val="22"/>
              </w:rPr>
            </w:pPr>
            <w:r>
              <w:rPr>
                <w:b/>
                <w:i/>
                <w:sz w:val="22"/>
                <w:szCs w:val="22"/>
              </w:rPr>
              <w:t>EI/REI 60</w:t>
            </w:r>
          </w:p>
          <w:p w14:paraId="226603E6" w14:textId="77777777" w:rsidR="001C08A5" w:rsidRDefault="00000000">
            <w:pPr>
              <w:jc w:val="center"/>
              <w:rPr>
                <w:b/>
                <w:i/>
                <w:sz w:val="22"/>
                <w:szCs w:val="22"/>
                <w:lang w:eastAsia="zh-CN"/>
              </w:rPr>
            </w:pPr>
            <w:r>
              <w:rPr>
                <w:b/>
                <w:i/>
                <w:sz w:val="22"/>
                <w:szCs w:val="22"/>
                <w:lang w:eastAsia="zh-CN"/>
              </w:rPr>
              <w:t>min. A2s1÷s3,d0÷d1;</w:t>
            </w:r>
          </w:p>
          <w:p w14:paraId="3EB05643" w14:textId="77777777" w:rsidR="001C08A5" w:rsidRDefault="00000000">
            <w:pPr>
              <w:jc w:val="center"/>
              <w:rPr>
                <w:i/>
                <w:sz w:val="22"/>
                <w:szCs w:val="22"/>
                <w:lang w:val="en-US" w:eastAsia="zh-CN" w:bidi="ar"/>
              </w:rPr>
            </w:pPr>
            <w:r>
              <w:rPr>
                <w:b/>
                <w:i/>
                <w:sz w:val="22"/>
                <w:szCs w:val="22"/>
              </w:rPr>
              <w:t>B-</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46" w:type="dxa"/>
            <w:tcMar>
              <w:top w:w="0" w:type="dxa"/>
              <w:left w:w="0" w:type="dxa"/>
              <w:bottom w:w="0" w:type="dxa"/>
              <w:right w:w="0" w:type="dxa"/>
            </w:tcMar>
            <w:vAlign w:val="center"/>
          </w:tcPr>
          <w:p w14:paraId="0DEA1BAA" w14:textId="77777777" w:rsidR="001C08A5" w:rsidRDefault="00000000">
            <w:pPr>
              <w:jc w:val="center"/>
              <w:rPr>
                <w:i/>
                <w:sz w:val="22"/>
                <w:szCs w:val="22"/>
                <w:lang w:eastAsia="zh-CN" w:bidi="ar"/>
              </w:rPr>
            </w:pPr>
            <w:r>
              <w:rPr>
                <w:b/>
                <w:bCs/>
                <w:i/>
                <w:sz w:val="22"/>
                <w:szCs w:val="22"/>
              </w:rPr>
              <w:t>C5 Sa</w:t>
            </w:r>
          </w:p>
        </w:tc>
      </w:tr>
      <w:tr w:rsidR="001C08A5" w14:paraId="347D5AE6" w14:textId="77777777">
        <w:trPr>
          <w:trHeight w:val="360"/>
        </w:trPr>
        <w:tc>
          <w:tcPr>
            <w:tcW w:w="490" w:type="pct"/>
            <w:tcMar>
              <w:top w:w="0" w:type="dxa"/>
              <w:left w:w="0" w:type="dxa"/>
              <w:bottom w:w="0" w:type="dxa"/>
              <w:right w:w="0" w:type="dxa"/>
            </w:tcMar>
            <w:vAlign w:val="center"/>
          </w:tcPr>
          <w:p w14:paraId="0A495C82" w14:textId="77777777" w:rsidR="001C08A5" w:rsidRDefault="00000000">
            <w:pPr>
              <w:jc w:val="center"/>
              <w:rPr>
                <w:b/>
                <w:bCs/>
                <w:i/>
                <w:sz w:val="22"/>
                <w:szCs w:val="22"/>
              </w:rPr>
            </w:pPr>
            <w:r>
              <w:rPr>
                <w:b/>
                <w:bCs/>
                <w:i/>
                <w:sz w:val="22"/>
                <w:szCs w:val="22"/>
                <w:lang w:val="en-US" w:eastAsia="zh-CN" w:bidi="ar"/>
              </w:rPr>
              <w:t>V</w:t>
            </w:r>
          </w:p>
        </w:tc>
        <w:tc>
          <w:tcPr>
            <w:tcW w:w="1739" w:type="dxa"/>
            <w:tcMar>
              <w:top w:w="0" w:type="dxa"/>
              <w:left w:w="0" w:type="dxa"/>
              <w:bottom w:w="0" w:type="dxa"/>
              <w:right w:w="0" w:type="dxa"/>
            </w:tcMar>
            <w:vAlign w:val="center"/>
          </w:tcPr>
          <w:p w14:paraId="3B6E94DC" w14:textId="77777777" w:rsidR="001C08A5" w:rsidRDefault="00000000">
            <w:pPr>
              <w:jc w:val="center"/>
              <w:rPr>
                <w:b/>
                <w:i/>
                <w:sz w:val="22"/>
                <w:szCs w:val="22"/>
              </w:rPr>
            </w:pPr>
            <w:r>
              <w:rPr>
                <w:b/>
                <w:i/>
                <w:sz w:val="22"/>
                <w:szCs w:val="22"/>
              </w:rPr>
              <w:t>EI/REI 15</w:t>
            </w:r>
          </w:p>
          <w:p w14:paraId="1C518727" w14:textId="77777777" w:rsidR="001C08A5" w:rsidRDefault="00000000">
            <w:pPr>
              <w:jc w:val="center"/>
              <w:rPr>
                <w:b/>
                <w:i/>
                <w:sz w:val="22"/>
                <w:szCs w:val="22"/>
              </w:rPr>
            </w:pPr>
            <w:r>
              <w:rPr>
                <w:b/>
                <w:i/>
                <w:sz w:val="22"/>
                <w:szCs w:val="22"/>
              </w:rPr>
              <w:t>min.</w:t>
            </w:r>
          </w:p>
          <w:p w14:paraId="7EBAA4BA" w14:textId="77777777" w:rsidR="001C08A5" w:rsidRDefault="00000000">
            <w:pPr>
              <w:jc w:val="center"/>
              <w:rPr>
                <w:b/>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594E714C" w14:textId="77777777" w:rsidR="001C08A5" w:rsidRDefault="00000000">
            <w:pPr>
              <w:jc w:val="center"/>
              <w:rPr>
                <w:b/>
                <w:i/>
                <w:sz w:val="22"/>
                <w:szCs w:val="22"/>
              </w:rPr>
            </w:pPr>
            <w:r>
              <w:rPr>
                <w:b/>
                <w:i/>
                <w:sz w:val="22"/>
                <w:szCs w:val="22"/>
              </w:rPr>
              <w:t>EI/REI 15</w:t>
            </w:r>
          </w:p>
          <w:p w14:paraId="315D6905" w14:textId="77777777" w:rsidR="001C08A5" w:rsidRDefault="00000000">
            <w:pPr>
              <w:jc w:val="center"/>
              <w:rPr>
                <w:b/>
                <w:i/>
                <w:sz w:val="22"/>
                <w:szCs w:val="22"/>
              </w:rPr>
            </w:pPr>
            <w:r>
              <w:rPr>
                <w:b/>
                <w:i/>
                <w:sz w:val="22"/>
                <w:szCs w:val="22"/>
              </w:rPr>
              <w:t>min.</w:t>
            </w:r>
          </w:p>
          <w:p w14:paraId="6792BAAF" w14:textId="77777777" w:rsidR="001C08A5" w:rsidRDefault="00000000">
            <w:pPr>
              <w:jc w:val="center"/>
              <w:rPr>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39" w:type="dxa"/>
            <w:tcMar>
              <w:top w:w="0" w:type="dxa"/>
              <w:left w:w="0" w:type="dxa"/>
              <w:bottom w:w="0" w:type="dxa"/>
              <w:right w:w="0" w:type="dxa"/>
            </w:tcMar>
            <w:vAlign w:val="center"/>
          </w:tcPr>
          <w:p w14:paraId="0310AB90" w14:textId="77777777" w:rsidR="001C08A5" w:rsidRDefault="00000000">
            <w:pPr>
              <w:jc w:val="center"/>
              <w:rPr>
                <w:i/>
                <w:sz w:val="22"/>
                <w:szCs w:val="22"/>
              </w:rPr>
            </w:pPr>
            <w:r>
              <w:rPr>
                <w:b/>
                <w:bCs/>
                <w:i/>
                <w:sz w:val="22"/>
                <w:szCs w:val="22"/>
              </w:rPr>
              <w:t>C5</w:t>
            </w:r>
          </w:p>
        </w:tc>
        <w:tc>
          <w:tcPr>
            <w:tcW w:w="1739" w:type="dxa"/>
            <w:tcMar>
              <w:top w:w="0" w:type="dxa"/>
              <w:left w:w="0" w:type="dxa"/>
              <w:bottom w:w="0" w:type="dxa"/>
              <w:right w:w="0" w:type="dxa"/>
            </w:tcMar>
            <w:vAlign w:val="center"/>
          </w:tcPr>
          <w:p w14:paraId="31925A93" w14:textId="77777777" w:rsidR="001C08A5" w:rsidRDefault="00000000">
            <w:pPr>
              <w:jc w:val="center"/>
              <w:rPr>
                <w:b/>
                <w:i/>
                <w:sz w:val="22"/>
                <w:szCs w:val="22"/>
              </w:rPr>
            </w:pPr>
            <w:r>
              <w:rPr>
                <w:b/>
                <w:i/>
                <w:sz w:val="22"/>
                <w:szCs w:val="22"/>
              </w:rPr>
              <w:t>EI/REI 30</w:t>
            </w:r>
          </w:p>
          <w:p w14:paraId="56A99A23" w14:textId="77777777" w:rsidR="001C08A5" w:rsidRDefault="00000000">
            <w:pPr>
              <w:jc w:val="center"/>
              <w:rPr>
                <w:b/>
                <w:i/>
                <w:sz w:val="22"/>
                <w:szCs w:val="22"/>
              </w:rPr>
            </w:pPr>
            <w:r>
              <w:rPr>
                <w:b/>
                <w:i/>
                <w:sz w:val="22"/>
                <w:szCs w:val="22"/>
              </w:rPr>
              <w:t>min.</w:t>
            </w:r>
          </w:p>
          <w:p w14:paraId="438B0E4D" w14:textId="77777777" w:rsidR="001C08A5" w:rsidRDefault="00000000">
            <w:pPr>
              <w:jc w:val="center"/>
              <w:rPr>
                <w:i/>
                <w:sz w:val="22"/>
                <w:szCs w:val="22"/>
                <w:lang w:val="en-US" w:eastAsia="zh-CN" w:bidi="ar"/>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1746" w:type="dxa"/>
            <w:tcMar>
              <w:top w:w="0" w:type="dxa"/>
              <w:left w:w="0" w:type="dxa"/>
              <w:bottom w:w="0" w:type="dxa"/>
              <w:right w:w="0" w:type="dxa"/>
            </w:tcMar>
            <w:vAlign w:val="center"/>
          </w:tcPr>
          <w:p w14:paraId="48B074CB" w14:textId="77777777" w:rsidR="001C08A5" w:rsidRDefault="00000000">
            <w:pPr>
              <w:jc w:val="center"/>
              <w:rPr>
                <w:i/>
                <w:sz w:val="22"/>
                <w:szCs w:val="22"/>
                <w:lang w:eastAsia="zh-CN" w:bidi="ar"/>
              </w:rPr>
            </w:pPr>
            <w:r>
              <w:rPr>
                <w:b/>
                <w:bCs/>
                <w:i/>
                <w:sz w:val="22"/>
                <w:szCs w:val="22"/>
              </w:rPr>
              <w:t>C5</w:t>
            </w:r>
          </w:p>
        </w:tc>
      </w:tr>
    </w:tbl>
    <w:p w14:paraId="48150A83" w14:textId="77777777" w:rsidR="001C08A5" w:rsidRDefault="001C08A5">
      <w:pPr>
        <w:shd w:val="clear" w:color="auto" w:fill="FFFFFF"/>
        <w:spacing w:after="150"/>
        <w:jc w:val="both"/>
        <w:rPr>
          <w:rFonts w:eastAsia="Calibri"/>
          <w:b/>
          <w:bCs/>
          <w:i/>
          <w:sz w:val="24"/>
          <w:szCs w:val="24"/>
          <w:shd w:val="clear" w:color="auto" w:fill="FFFFFF"/>
        </w:rPr>
      </w:pPr>
    </w:p>
    <w:p w14:paraId="6A411F1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3.10.106.</w:t>
      </w:r>
      <w:r>
        <w:rPr>
          <w:rFonts w:eastAsia="Calibri"/>
          <w:i/>
          <w:sz w:val="24"/>
          <w:szCs w:val="24"/>
          <w:shd w:val="clear" w:color="auto" w:fill="FFFFFF"/>
        </w:rPr>
        <w:t xml:space="preserve"> La dimensionarea căilor de evacuare se recomandă majorarea cu </w:t>
      </w:r>
      <w:r>
        <w:rPr>
          <w:rFonts w:eastAsia="Calibri"/>
          <w:b/>
          <w:bCs/>
          <w:i/>
          <w:sz w:val="24"/>
          <w:szCs w:val="24"/>
          <w:shd w:val="clear" w:color="auto" w:fill="FFFFFF"/>
        </w:rPr>
        <w:t>50 %</w:t>
      </w:r>
      <w:r>
        <w:rPr>
          <w:rFonts w:eastAsia="Calibri"/>
          <w:i/>
          <w:sz w:val="24"/>
          <w:szCs w:val="24"/>
          <w:shd w:val="clear" w:color="auto" w:fill="FFFFFF"/>
        </w:rPr>
        <w:t xml:space="preserve"> a lățimilor prevăzute în partea generală a normativului.</w:t>
      </w:r>
    </w:p>
    <w:p w14:paraId="5F5213C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3.10.107.</w:t>
      </w:r>
      <w:r>
        <w:rPr>
          <w:rFonts w:eastAsia="Calibri"/>
          <w:i/>
          <w:sz w:val="24"/>
          <w:szCs w:val="24"/>
          <w:shd w:val="clear" w:color="auto" w:fill="FFFFFF"/>
        </w:rPr>
        <w:t> Casele de copii și grădinițele realizate în construcții etajate existente, se prevăd cu scară exterioară de evacuare (a etajului), indiferent de numărul scărilor interioare.</w:t>
      </w:r>
    </w:p>
    <w:p w14:paraId="6ACDF7D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3.10.108.</w:t>
      </w:r>
      <w:r>
        <w:rPr>
          <w:rFonts w:eastAsia="Calibri"/>
          <w:i/>
          <w:sz w:val="24"/>
          <w:szCs w:val="24"/>
          <w:shd w:val="clear" w:color="auto" w:fill="FFFFFF"/>
        </w:rPr>
        <w:t> Pentru sălile polivalente din construcțiile de învățământ existente se recomandă asigurarea cel puțin a unui acces direct din exterior (ușă exterioară) la nivelul terenului sau o scară exterioară de evacuare.</w:t>
      </w:r>
    </w:p>
    <w:p w14:paraId="7AA9A33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3.10.109.</w:t>
      </w:r>
      <w:r>
        <w:rPr>
          <w:rFonts w:eastAsia="Calibri"/>
          <w:i/>
          <w:sz w:val="24"/>
          <w:szCs w:val="24"/>
          <w:shd w:val="clear" w:color="auto" w:fill="FFFFFF"/>
        </w:rPr>
        <w:t xml:space="preserve"> Lungimile maxime admise ale căilor de evacuare în clădiri pentru învățământ existente în care evacuarea utilizatorilor trebuie dirijată (în învățământ preșcolar, școli, licee, internate), cu excepția clădirilor înalte, foarte înalte și cu săli aglomerate, sunt precizate în </w:t>
      </w:r>
      <w:r>
        <w:rPr>
          <w:rFonts w:eastAsia="Calibri"/>
          <w:i/>
          <w:sz w:val="24"/>
          <w:szCs w:val="24"/>
          <w:shd w:val="clear" w:color="auto" w:fill="FFFFFF"/>
        </w:rPr>
        <w:fldChar w:fldCharType="begin"/>
      </w:r>
      <w:r>
        <w:rPr>
          <w:rFonts w:eastAsia="Calibri"/>
          <w:i/>
          <w:sz w:val="24"/>
          <w:szCs w:val="24"/>
          <w:shd w:val="clear" w:color="auto" w:fill="FFFFFF"/>
        </w:rPr>
        <w:instrText xml:space="preserve"> REF _Ref32462 \h </w:instrText>
      </w:r>
      <w:r>
        <w:rPr>
          <w:rFonts w:eastAsia="Calibri"/>
          <w:i/>
          <w:sz w:val="24"/>
          <w:szCs w:val="24"/>
          <w:shd w:val="clear" w:color="auto" w:fill="FFFFFF"/>
        </w:rPr>
      </w:r>
      <w:r>
        <w:rPr>
          <w:rFonts w:eastAsia="Calibri"/>
          <w:i/>
          <w:sz w:val="24"/>
          <w:szCs w:val="24"/>
          <w:shd w:val="clear" w:color="auto" w:fill="FFFFFF"/>
        </w:rPr>
        <w:fldChar w:fldCharType="separate"/>
      </w:r>
      <w:r>
        <w:t>Tabelul 77: Lungimi de evacuare în clădiri pentru învăţământ supraterane cu înălţimi obişnuite</w:t>
      </w:r>
      <w:r>
        <w:rPr>
          <w:rFonts w:eastAsia="Calibri"/>
          <w:i/>
          <w:sz w:val="24"/>
          <w:szCs w:val="24"/>
          <w:shd w:val="clear" w:color="auto" w:fill="FFFFFF"/>
        </w:rPr>
        <w:fldChar w:fldCharType="end"/>
      </w:r>
      <w:r>
        <w:rPr>
          <w:b/>
          <w:i/>
          <w:sz w:val="24"/>
          <w:szCs w:val="24"/>
        </w:rPr>
        <w:t>, nr. crt. 1</w:t>
      </w:r>
      <w:r>
        <w:rPr>
          <w:rFonts w:eastAsia="Calibri"/>
          <w:i/>
          <w:sz w:val="24"/>
          <w:szCs w:val="24"/>
          <w:shd w:val="clear" w:color="auto" w:fill="FFFFFF"/>
        </w:rPr>
        <w:t>.</w:t>
      </w:r>
    </w:p>
    <w:p w14:paraId="58E719C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3.10.110.</w:t>
      </w:r>
      <w:r>
        <w:rPr>
          <w:rFonts w:eastAsia="Calibri"/>
          <w:i/>
          <w:sz w:val="24"/>
          <w:szCs w:val="24"/>
          <w:shd w:val="clear" w:color="auto" w:fill="FFFFFF"/>
        </w:rPr>
        <w:t xml:space="preserve"> Lungimile maxime admise ale căilor de evacuare în clădiri pentru învățământ superior, cu excepția clădirilor înalte, foarte înalte sau cu săli aglomerate,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_Ref32462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77: Lungimi de evacuare în clădiri pentru învăţământ supraterane cu înălţimi obişnuite</w:t>
      </w:r>
      <w:r>
        <w:rPr>
          <w:rFonts w:eastAsia="Calibri"/>
          <w:b/>
          <w:bCs/>
          <w:i/>
          <w:iCs/>
          <w:sz w:val="24"/>
          <w:szCs w:val="24"/>
          <w:shd w:val="clear" w:color="auto" w:fill="FFFFFF"/>
        </w:rPr>
        <w:fldChar w:fldCharType="end"/>
      </w:r>
      <w:r>
        <w:rPr>
          <w:b/>
          <w:i/>
          <w:sz w:val="24"/>
          <w:szCs w:val="24"/>
        </w:rPr>
        <w:t>, nr. crt. 2</w:t>
      </w:r>
      <w:r>
        <w:rPr>
          <w:rFonts w:eastAsia="Calibri"/>
          <w:i/>
          <w:sz w:val="24"/>
          <w:szCs w:val="24"/>
          <w:shd w:val="clear" w:color="auto" w:fill="FFFFFF"/>
        </w:rPr>
        <w:t>.</w:t>
      </w:r>
    </w:p>
    <w:p w14:paraId="34D47B9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3.10.111.</w:t>
      </w:r>
      <w:r>
        <w:rPr>
          <w:rFonts w:eastAsia="Calibri"/>
          <w:i/>
          <w:sz w:val="24"/>
          <w:szCs w:val="24"/>
          <w:shd w:val="clear" w:color="auto" w:fill="FFFFFF"/>
        </w:rPr>
        <w:t> Clădirile de învățământ existente vor avea asigurat accesul autospecialelor de intervenție în caz de incendiu, la cel puțin două fațade.</w:t>
      </w:r>
    </w:p>
    <w:p w14:paraId="56967F09" w14:textId="77777777" w:rsidR="001C08A5" w:rsidRDefault="00000000">
      <w:pPr>
        <w:pStyle w:val="Heading4"/>
        <w:rPr>
          <w:sz w:val="24"/>
          <w:szCs w:val="24"/>
        </w:rPr>
      </w:pPr>
      <w:bookmarkStart w:id="10992" w:name="_Toc23299"/>
      <w:bookmarkStart w:id="10993" w:name="_Toc15620"/>
      <w:bookmarkStart w:id="10994" w:name="_Toc7626"/>
      <w:bookmarkStart w:id="10995" w:name="_Toc22433"/>
      <w:bookmarkStart w:id="10996" w:name="_Toc162355592"/>
      <w:bookmarkStart w:id="10997" w:name="_Toc10438"/>
      <w:r>
        <w:rPr>
          <w:sz w:val="24"/>
          <w:szCs w:val="24"/>
        </w:rPr>
        <w:t>Clădiri existente pentru turism</w:t>
      </w:r>
      <w:bookmarkEnd w:id="10992"/>
      <w:bookmarkEnd w:id="10993"/>
      <w:bookmarkEnd w:id="10994"/>
      <w:bookmarkEnd w:id="10995"/>
      <w:bookmarkEnd w:id="10996"/>
      <w:bookmarkEnd w:id="10997"/>
    </w:p>
    <w:p w14:paraId="6694700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3.10.112.</w:t>
      </w:r>
      <w:r>
        <w:rPr>
          <w:rFonts w:eastAsia="Calibri"/>
          <w:i/>
          <w:sz w:val="24"/>
          <w:szCs w:val="24"/>
          <w:shd w:val="clear" w:color="auto" w:fill="FFFFFF"/>
        </w:rPr>
        <w:t> Clădirile existente pentru turism (hoteluri, moteluri, vile, bungalouri, cabane, etc), vor îndeplini nivelele de performanță admise în normativ și vor respecta și pe cele specifice.</w:t>
      </w:r>
    </w:p>
    <w:p w14:paraId="679AD51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3.10.113.</w:t>
      </w:r>
      <w:r>
        <w:rPr>
          <w:rFonts w:eastAsia="Calibri"/>
          <w:i/>
          <w:sz w:val="24"/>
          <w:szCs w:val="24"/>
          <w:shd w:val="clear" w:color="auto" w:fill="FFFFFF"/>
        </w:rPr>
        <w:t xml:space="preserve"> În funcție de destinație și tip de construcție existentă, se va asigura corelația între nivelul de stabilitate la incendiu, numărul de niveluri și aria compartimentului de incendiu, conform prevederilor Art. </w:t>
      </w:r>
      <w:r>
        <w:rPr>
          <w:rFonts w:eastAsia="Calibri"/>
          <w:b/>
          <w:bCs/>
          <w:i/>
          <w:sz w:val="24"/>
          <w:szCs w:val="24"/>
          <w:shd w:val="clear" w:color="auto" w:fill="FFFFFF"/>
        </w:rPr>
        <w:t xml:space="preserve">A.10.3.2.4. </w:t>
      </w:r>
      <w:r>
        <w:rPr>
          <w:rFonts w:eastAsia="Calibri"/>
          <w:i/>
          <w:sz w:val="24"/>
          <w:szCs w:val="24"/>
          <w:shd w:val="clear" w:color="auto" w:fill="FFFFFF"/>
        </w:rPr>
        <w:t>și</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A.10.3.2.5.</w:t>
      </w:r>
      <w:r>
        <w:rPr>
          <w:rFonts w:eastAsia="Calibri"/>
          <w:i/>
          <w:sz w:val="24"/>
          <w:szCs w:val="24"/>
          <w:shd w:val="clear" w:color="auto" w:fill="FFFFFF"/>
        </w:rPr>
        <w:t xml:space="preserve"> Pentru clădirile existente turistice care sunt înalte, foarte înalte sau cu săli aglomerate, se vor respecta performanțele specifice ale acestora.</w:t>
      </w:r>
    </w:p>
    <w:p w14:paraId="39EDF30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3.10.114.</w:t>
      </w:r>
      <w:r>
        <w:rPr>
          <w:rFonts w:eastAsia="Calibri"/>
          <w:i/>
          <w:sz w:val="24"/>
          <w:szCs w:val="24"/>
          <w:shd w:val="clear" w:color="auto" w:fill="FFFFFF"/>
        </w:rPr>
        <w:t xml:space="preserve"> Pentru clădirile existente cu destinație turistică având max. </w:t>
      </w:r>
      <w:r>
        <w:rPr>
          <w:rFonts w:eastAsia="Calibri"/>
          <w:b/>
          <w:bCs/>
          <w:i/>
          <w:sz w:val="24"/>
          <w:szCs w:val="24"/>
          <w:shd w:val="clear" w:color="auto" w:fill="FFFFFF"/>
        </w:rPr>
        <w:t>P+2</w:t>
      </w:r>
      <w:r>
        <w:rPr>
          <w:rFonts w:eastAsia="Calibri"/>
          <w:i/>
          <w:sz w:val="24"/>
          <w:szCs w:val="24"/>
          <w:shd w:val="clear" w:color="auto" w:fill="FFFFFF"/>
        </w:rPr>
        <w:t xml:space="preserve"> niveluri (3 niveluri) și cel mult </w:t>
      </w:r>
      <w:r>
        <w:rPr>
          <w:rFonts w:eastAsia="Calibri"/>
          <w:b/>
          <w:bCs/>
          <w:i/>
          <w:sz w:val="24"/>
          <w:szCs w:val="24"/>
          <w:shd w:val="clear" w:color="auto" w:fill="FFFFFF"/>
        </w:rPr>
        <w:t>50</w:t>
      </w:r>
      <w:r>
        <w:rPr>
          <w:rFonts w:eastAsia="Calibri"/>
          <w:i/>
          <w:sz w:val="24"/>
          <w:szCs w:val="24"/>
          <w:shd w:val="clear" w:color="auto" w:fill="FFFFFF"/>
        </w:rPr>
        <w:t xml:space="preserve"> persoane la etaje, se admit scări de evacuare cu trepte balansate dacă acestea asigură trecerea unui singur flux de evacuare, (indiferent dacă lățimea rampei este mai mare) și dacă sunt realizate conform Art. </w:t>
      </w:r>
      <w:r>
        <w:rPr>
          <w:rFonts w:eastAsia="Calibri"/>
          <w:b/>
          <w:bCs/>
          <w:i/>
          <w:sz w:val="24"/>
          <w:szCs w:val="24"/>
          <w:shd w:val="clear" w:color="auto" w:fill="FFFFFF"/>
        </w:rPr>
        <w:t xml:space="preserve">A.10.2.5.40. </w:t>
      </w:r>
    </w:p>
    <w:p w14:paraId="7891304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3.10.115.</w:t>
      </w:r>
      <w:r>
        <w:rPr>
          <w:rFonts w:eastAsia="Calibri"/>
          <w:i/>
          <w:sz w:val="24"/>
          <w:szCs w:val="24"/>
          <w:shd w:val="clear" w:color="auto" w:fill="FFFFFF"/>
        </w:rPr>
        <w:t> Scările monumentale pot fi deschise pe toată înălțimea clădirii existente dacă asigură limitarea propagării focului și a fumului în clădire și sunt realizate și scări închise necesare evacuării.</w:t>
      </w:r>
    </w:p>
    <w:p w14:paraId="74F6F53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3.10.116.</w:t>
      </w:r>
      <w:r>
        <w:rPr>
          <w:rFonts w:eastAsia="Calibri"/>
          <w:i/>
          <w:sz w:val="24"/>
          <w:szCs w:val="24"/>
          <w:shd w:val="clear" w:color="auto" w:fill="FFFFFF"/>
        </w:rPr>
        <w:t xml:space="preserve"> În cazurile în care construcțiile existente au și niveluri subterane (subsoluri, demisol), acestea vor fi separate de nivelurile supraterane prin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rezistente la foc minimum 2 ore (</w:t>
      </w:r>
      <w:r>
        <w:rPr>
          <w:rFonts w:eastAsia="Calibri"/>
          <w:b/>
          <w:bCs/>
          <w:i/>
          <w:sz w:val="24"/>
          <w:szCs w:val="24"/>
          <w:shd w:val="clear" w:color="auto" w:fill="FFFFFF"/>
        </w:rPr>
        <w:t>REI120</w:t>
      </w:r>
      <w:r>
        <w:rPr>
          <w:rFonts w:eastAsia="Calibri"/>
          <w:i/>
          <w:sz w:val="24"/>
          <w:szCs w:val="24"/>
          <w:shd w:val="clear" w:color="auto" w:fill="FFFFFF"/>
        </w:rPr>
        <w:t>).</w:t>
      </w:r>
    </w:p>
    <w:p w14:paraId="412AAAA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3.10.117.</w:t>
      </w:r>
      <w:r>
        <w:rPr>
          <w:rFonts w:eastAsia="Calibri"/>
          <w:i/>
          <w:sz w:val="24"/>
          <w:szCs w:val="24"/>
          <w:shd w:val="clear" w:color="auto" w:fill="FFFFFF"/>
        </w:rPr>
        <w:t> Se recomandă asigurarea iluminatului natural direct al caselor de scări de evacuare.</w:t>
      </w:r>
    </w:p>
    <w:p w14:paraId="1CE0C65F"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3.10.118.</w:t>
      </w:r>
      <w:r>
        <w:rPr>
          <w:rFonts w:eastAsia="Calibri"/>
          <w:i/>
          <w:sz w:val="24"/>
          <w:szCs w:val="24"/>
          <w:shd w:val="clear" w:color="auto" w:fill="FFFFFF"/>
        </w:rPr>
        <w:t xml:space="preserve"> În construcții existente pentru turism, nivelele de comportare la foc ale elementelor care compun căile de evacuare vor fi conforme cu cele stabilite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_Ref12797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158</w:t>
      </w:r>
      <w:r>
        <w:rPr>
          <w:rFonts w:eastAsia="Calibri"/>
          <w:b/>
          <w:bCs/>
          <w:i/>
          <w:iCs/>
          <w:sz w:val="24"/>
          <w:szCs w:val="24"/>
          <w:shd w:val="clear" w:color="auto" w:fill="FFFFFF"/>
        </w:rPr>
        <w:fldChar w:fldCharType="end"/>
      </w:r>
      <w:r>
        <w:rPr>
          <w:rFonts w:eastAsia="Calibri"/>
          <w:i/>
          <w:sz w:val="24"/>
          <w:szCs w:val="24"/>
          <w:shd w:val="clear" w:color="auto" w:fill="FFFFFF"/>
        </w:rPr>
        <w:t>, cu excepția clădirilor înalte, foarte înalte sau cu săli aglomerate, pentru care se respectă prevederile specifice.</w:t>
      </w:r>
    </w:p>
    <w:p w14:paraId="7626E2DB" w14:textId="77777777" w:rsidR="001C08A5" w:rsidRDefault="00000000">
      <w:pPr>
        <w:pStyle w:val="Caption"/>
        <w:shd w:val="clear" w:color="auto" w:fill="FFFFFF"/>
        <w:spacing w:before="0" w:after="150"/>
        <w:jc w:val="both"/>
        <w:rPr>
          <w:rFonts w:eastAsia="Calibri" w:cs="Times New Roman"/>
          <w:bCs/>
          <w:shd w:val="clear" w:color="auto" w:fill="FFFFFF"/>
        </w:rPr>
      </w:pPr>
      <w:bookmarkStart w:id="10998" w:name="_Ref12797"/>
      <w:bookmarkStart w:id="10999" w:name="_Toc162360208"/>
      <w:r>
        <w:t xml:space="preserve">Tabelul </w:t>
      </w:r>
      <w:r>
        <w:fldChar w:fldCharType="begin"/>
      </w:r>
      <w:r>
        <w:instrText xml:space="preserve"> SEQ Tabelul \* ARABIC </w:instrText>
      </w:r>
      <w:r>
        <w:fldChar w:fldCharType="separate"/>
      </w:r>
      <w:r>
        <w:t>158</w:t>
      </w:r>
      <w:r>
        <w:fldChar w:fldCharType="end"/>
      </w:r>
      <w:bookmarkStart w:id="11000" w:name="_Toc29828"/>
      <w:bookmarkStart w:id="11001" w:name="_Toc20629"/>
      <w:bookmarkStart w:id="11002" w:name="_Toc27683"/>
      <w:bookmarkStart w:id="11003" w:name="_Toc25699"/>
      <w:bookmarkStart w:id="11004" w:name="_Toc23515"/>
      <w:bookmarkStart w:id="11005" w:name="_Toc9014"/>
      <w:bookmarkStart w:id="11006" w:name="_Toc26234"/>
      <w:bookmarkStart w:id="11007" w:name="_Toc15904"/>
      <w:bookmarkStart w:id="11008" w:name="_Toc3361"/>
      <w:bookmarkStart w:id="11009" w:name="_Toc19789"/>
      <w:bookmarkStart w:id="11010" w:name="_Toc13079"/>
      <w:bookmarkEnd w:id="10998"/>
      <w:r>
        <w:t xml:space="preserve">: </w:t>
      </w:r>
      <w:r>
        <w:rPr>
          <w:rFonts w:eastAsia="Calibri"/>
          <w:shd w:val="clear" w:color="auto" w:fill="FFFFFF"/>
        </w:rPr>
        <w:t xml:space="preserve">Separare a căilor comune de circulație și de evacuare la clădiri existente pentru turism </w:t>
      </w:r>
      <w:bookmarkEnd w:id="10999"/>
      <w:bookmarkEnd w:id="11000"/>
      <w:bookmarkEnd w:id="11001"/>
      <w:bookmarkEnd w:id="11002"/>
      <w:bookmarkEnd w:id="11003"/>
      <w:bookmarkEnd w:id="11004"/>
      <w:bookmarkEnd w:id="11005"/>
      <w:bookmarkEnd w:id="11006"/>
      <w:bookmarkEnd w:id="11007"/>
      <w:bookmarkEnd w:id="11008"/>
      <w:bookmarkEnd w:id="11009"/>
      <w:bookmarkEnd w:id="11010"/>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02"/>
        <w:gridCol w:w="1468"/>
        <w:gridCol w:w="1468"/>
        <w:gridCol w:w="1406"/>
        <w:gridCol w:w="16"/>
        <w:gridCol w:w="1440"/>
        <w:gridCol w:w="1468"/>
        <w:gridCol w:w="1459"/>
      </w:tblGrid>
      <w:tr w:rsidR="001C08A5" w14:paraId="4C9D6E20" w14:textId="77777777">
        <w:trPr>
          <w:trHeight w:val="390"/>
          <w:tblHeader/>
        </w:trPr>
        <w:tc>
          <w:tcPr>
            <w:tcW w:w="475" w:type="pct"/>
            <w:vMerge w:val="restart"/>
            <w:shd w:val="clear" w:color="auto" w:fill="D7D7D7"/>
            <w:tcMar>
              <w:top w:w="0" w:type="dxa"/>
              <w:left w:w="0" w:type="dxa"/>
              <w:bottom w:w="0" w:type="dxa"/>
              <w:right w:w="0" w:type="dxa"/>
            </w:tcMar>
            <w:vAlign w:val="center"/>
          </w:tcPr>
          <w:p w14:paraId="4CD9DC2D" w14:textId="77777777" w:rsidR="001C08A5" w:rsidRDefault="00000000">
            <w:pPr>
              <w:jc w:val="center"/>
              <w:rPr>
                <w:b/>
                <w:bCs/>
                <w:i/>
                <w:sz w:val="22"/>
                <w:szCs w:val="22"/>
              </w:rPr>
            </w:pPr>
            <w:r>
              <w:rPr>
                <w:b/>
                <w:bCs/>
                <w:i/>
                <w:sz w:val="22"/>
                <w:szCs w:val="22"/>
              </w:rPr>
              <w:t>Nivel de stabilitate</w:t>
            </w:r>
          </w:p>
          <w:p w14:paraId="5CE0847C" w14:textId="77777777" w:rsidR="001C08A5" w:rsidRDefault="00000000">
            <w:pPr>
              <w:jc w:val="center"/>
              <w:rPr>
                <w:b/>
                <w:bCs/>
                <w:i/>
                <w:sz w:val="22"/>
                <w:szCs w:val="22"/>
              </w:rPr>
            </w:pPr>
            <w:r>
              <w:rPr>
                <w:b/>
                <w:bCs/>
                <w:i/>
                <w:sz w:val="22"/>
                <w:szCs w:val="22"/>
              </w:rPr>
              <w:t>la incendiu</w:t>
            </w:r>
          </w:p>
        </w:tc>
        <w:tc>
          <w:tcPr>
            <w:tcW w:w="4524" w:type="pct"/>
            <w:gridSpan w:val="7"/>
            <w:shd w:val="clear" w:color="auto" w:fill="D7D7D7"/>
            <w:tcMar>
              <w:top w:w="0" w:type="dxa"/>
              <w:left w:w="0" w:type="dxa"/>
              <w:bottom w:w="0" w:type="dxa"/>
              <w:right w:w="0" w:type="dxa"/>
            </w:tcMar>
            <w:vAlign w:val="center"/>
          </w:tcPr>
          <w:p w14:paraId="2C477698" w14:textId="77777777" w:rsidR="001C08A5" w:rsidRDefault="00000000">
            <w:pPr>
              <w:jc w:val="center"/>
              <w:rPr>
                <w:b/>
                <w:bCs/>
                <w:i/>
                <w:sz w:val="22"/>
                <w:szCs w:val="22"/>
                <w:lang w:val="en-US" w:eastAsia="zh-CN" w:bidi="ar"/>
              </w:rPr>
            </w:pPr>
            <w:r>
              <w:rPr>
                <w:b/>
                <w:bCs/>
                <w:i/>
                <w:sz w:val="22"/>
                <w:szCs w:val="22"/>
                <w:lang w:val="en-US" w:eastAsia="zh-CN" w:bidi="ar"/>
              </w:rPr>
              <w:t>Nivele de comportare la foc admise</w:t>
            </w:r>
          </w:p>
        </w:tc>
      </w:tr>
      <w:tr w:rsidR="001C08A5" w14:paraId="778EDE04" w14:textId="77777777">
        <w:trPr>
          <w:trHeight w:val="375"/>
          <w:tblHeader/>
        </w:trPr>
        <w:tc>
          <w:tcPr>
            <w:tcW w:w="475" w:type="pct"/>
            <w:vMerge/>
            <w:shd w:val="clear" w:color="auto" w:fill="D7D7D7"/>
            <w:tcMar>
              <w:top w:w="0" w:type="dxa"/>
              <w:left w:w="0" w:type="dxa"/>
              <w:bottom w:w="0" w:type="dxa"/>
              <w:right w:w="0" w:type="dxa"/>
            </w:tcMar>
            <w:vAlign w:val="center"/>
          </w:tcPr>
          <w:p w14:paraId="4E969159" w14:textId="77777777" w:rsidR="001C08A5" w:rsidRDefault="001C08A5">
            <w:pPr>
              <w:jc w:val="center"/>
              <w:rPr>
                <w:b/>
                <w:bCs/>
                <w:i/>
                <w:sz w:val="22"/>
                <w:szCs w:val="22"/>
              </w:rPr>
            </w:pPr>
          </w:p>
        </w:tc>
        <w:tc>
          <w:tcPr>
            <w:tcW w:w="751" w:type="pct"/>
            <w:vMerge w:val="restart"/>
            <w:shd w:val="clear" w:color="auto" w:fill="D7D7D7"/>
            <w:tcMar>
              <w:top w:w="0" w:type="dxa"/>
              <w:left w:w="0" w:type="dxa"/>
              <w:bottom w:w="0" w:type="dxa"/>
              <w:right w:w="0" w:type="dxa"/>
            </w:tcMar>
            <w:vAlign w:val="center"/>
          </w:tcPr>
          <w:p w14:paraId="0152E75E" w14:textId="77777777" w:rsidR="001C08A5" w:rsidRDefault="00000000">
            <w:pPr>
              <w:jc w:val="center"/>
              <w:rPr>
                <w:b/>
                <w:bCs/>
                <w:i/>
                <w:sz w:val="22"/>
                <w:szCs w:val="22"/>
              </w:rPr>
            </w:pPr>
            <w:r>
              <w:rPr>
                <w:b/>
                <w:bCs/>
                <w:i/>
                <w:sz w:val="22"/>
                <w:szCs w:val="22"/>
                <w:lang w:val="en-US" w:eastAsia="zh-CN" w:bidi="ar"/>
              </w:rPr>
              <w:t>Pereți la coridoare</w:t>
            </w:r>
          </w:p>
        </w:tc>
        <w:tc>
          <w:tcPr>
            <w:tcW w:w="751" w:type="pct"/>
            <w:vMerge w:val="restart"/>
            <w:shd w:val="clear" w:color="auto" w:fill="D7D7D7"/>
            <w:tcMar>
              <w:top w:w="0" w:type="dxa"/>
              <w:left w:w="0" w:type="dxa"/>
              <w:bottom w:w="0" w:type="dxa"/>
              <w:right w:w="0" w:type="dxa"/>
            </w:tcMar>
            <w:vAlign w:val="center"/>
          </w:tcPr>
          <w:p w14:paraId="6482A111" w14:textId="77777777" w:rsidR="001C08A5" w:rsidRDefault="00000000">
            <w:pPr>
              <w:jc w:val="center"/>
              <w:rPr>
                <w:b/>
                <w:bCs/>
                <w:i/>
                <w:sz w:val="22"/>
                <w:szCs w:val="22"/>
              </w:rPr>
            </w:pPr>
            <w:r>
              <w:rPr>
                <w:b/>
                <w:bCs/>
                <w:i/>
                <w:sz w:val="22"/>
                <w:szCs w:val="22"/>
                <w:lang w:val="en-US" w:eastAsia="zh-CN" w:bidi="ar"/>
              </w:rPr>
              <w:t>Pereți la holuri</w:t>
            </w:r>
          </w:p>
        </w:tc>
        <w:tc>
          <w:tcPr>
            <w:tcW w:w="737" w:type="pct"/>
            <w:shd w:val="clear" w:color="auto" w:fill="D7D7D7"/>
            <w:tcMar>
              <w:top w:w="0" w:type="dxa"/>
              <w:left w:w="0" w:type="dxa"/>
              <w:bottom w:w="0" w:type="dxa"/>
              <w:right w:w="0" w:type="dxa"/>
            </w:tcMar>
            <w:vAlign w:val="center"/>
          </w:tcPr>
          <w:p w14:paraId="0269F18E" w14:textId="77777777" w:rsidR="001C08A5" w:rsidRDefault="00000000">
            <w:pPr>
              <w:jc w:val="center"/>
              <w:rPr>
                <w:b/>
                <w:bCs/>
                <w:i/>
                <w:sz w:val="22"/>
                <w:szCs w:val="22"/>
              </w:rPr>
            </w:pPr>
            <w:r>
              <w:rPr>
                <w:b/>
                <w:bCs/>
                <w:i/>
                <w:sz w:val="22"/>
                <w:szCs w:val="22"/>
              </w:rPr>
              <w:t xml:space="preserve">Uși </w:t>
            </w:r>
            <w:r>
              <w:rPr>
                <w:b/>
                <w:bCs/>
                <w:i/>
                <w:sz w:val="22"/>
                <w:szCs w:val="22"/>
                <w:lang w:val="en-US" w:eastAsia="zh-CN" w:bidi="ar"/>
              </w:rPr>
              <w:t>la</w:t>
            </w:r>
            <w:r>
              <w:rPr>
                <w:b/>
                <w:bCs/>
                <w:i/>
                <w:sz w:val="22"/>
                <w:szCs w:val="22"/>
                <w:lang w:eastAsia="zh-CN" w:bidi="ar"/>
              </w:rPr>
              <w:t xml:space="preserve"> </w:t>
            </w:r>
            <w:r>
              <w:rPr>
                <w:b/>
                <w:bCs/>
                <w:i/>
                <w:sz w:val="22"/>
                <w:szCs w:val="22"/>
                <w:lang w:val="en-US" w:eastAsia="zh-CN" w:bidi="ar"/>
              </w:rPr>
              <w:t>coridoare</w:t>
            </w:r>
            <w:r>
              <w:rPr>
                <w:b/>
                <w:bCs/>
                <w:i/>
                <w:sz w:val="22"/>
                <w:szCs w:val="22"/>
                <w:lang w:eastAsia="zh-CN" w:bidi="ar"/>
              </w:rPr>
              <w:t xml:space="preserve"> </w:t>
            </w:r>
          </w:p>
        </w:tc>
        <w:tc>
          <w:tcPr>
            <w:tcW w:w="768" w:type="pct"/>
            <w:gridSpan w:val="2"/>
            <w:shd w:val="clear" w:color="auto" w:fill="D7D7D7"/>
            <w:tcMar>
              <w:top w:w="0" w:type="dxa"/>
              <w:left w:w="0" w:type="dxa"/>
              <w:bottom w:w="0" w:type="dxa"/>
              <w:right w:w="0" w:type="dxa"/>
            </w:tcMar>
            <w:vAlign w:val="center"/>
          </w:tcPr>
          <w:p w14:paraId="35649480" w14:textId="77777777" w:rsidR="001C08A5" w:rsidRDefault="00000000">
            <w:pPr>
              <w:jc w:val="center"/>
              <w:rPr>
                <w:b/>
                <w:bCs/>
                <w:i/>
                <w:sz w:val="22"/>
                <w:szCs w:val="22"/>
                <w:lang w:eastAsia="zh-CN" w:bidi="ar"/>
              </w:rPr>
            </w:pPr>
            <w:r>
              <w:rPr>
                <w:b/>
                <w:bCs/>
                <w:i/>
                <w:sz w:val="22"/>
                <w:szCs w:val="22"/>
              </w:rPr>
              <w:t xml:space="preserve">Uși </w:t>
            </w:r>
            <w:r>
              <w:rPr>
                <w:b/>
                <w:bCs/>
                <w:i/>
                <w:sz w:val="22"/>
                <w:szCs w:val="22"/>
                <w:lang w:val="en-US" w:eastAsia="zh-CN" w:bidi="ar"/>
              </w:rPr>
              <w:t>la holuri</w:t>
            </w:r>
            <w:r>
              <w:rPr>
                <w:b/>
                <w:bCs/>
                <w:i/>
                <w:sz w:val="22"/>
                <w:szCs w:val="22"/>
                <w:lang w:eastAsia="zh-CN" w:bidi="ar"/>
              </w:rPr>
              <w:t xml:space="preserve"> </w:t>
            </w:r>
          </w:p>
        </w:tc>
        <w:tc>
          <w:tcPr>
            <w:tcW w:w="752" w:type="pct"/>
            <w:vMerge w:val="restart"/>
            <w:shd w:val="clear" w:color="auto" w:fill="D7D7D7"/>
            <w:tcMar>
              <w:top w:w="0" w:type="dxa"/>
              <w:left w:w="0" w:type="dxa"/>
              <w:bottom w:w="0" w:type="dxa"/>
              <w:right w:w="0" w:type="dxa"/>
            </w:tcMar>
            <w:vAlign w:val="center"/>
          </w:tcPr>
          <w:p w14:paraId="6EA1CA04" w14:textId="77777777" w:rsidR="001C08A5" w:rsidRDefault="00000000">
            <w:pPr>
              <w:jc w:val="center"/>
              <w:rPr>
                <w:b/>
                <w:bCs/>
                <w:i/>
                <w:sz w:val="22"/>
                <w:szCs w:val="22"/>
                <w:lang w:eastAsia="zh-CN" w:bidi="ar"/>
              </w:rPr>
            </w:pPr>
            <w:r>
              <w:rPr>
                <w:b/>
                <w:bCs/>
                <w:i/>
                <w:sz w:val="22"/>
                <w:szCs w:val="22"/>
                <w:lang w:val="en-US" w:eastAsia="zh-CN" w:bidi="ar"/>
              </w:rPr>
              <w:t xml:space="preserve">Pereți la case de </w:t>
            </w:r>
            <w:proofErr w:type="gramStart"/>
            <w:r>
              <w:rPr>
                <w:b/>
                <w:bCs/>
                <w:i/>
                <w:sz w:val="22"/>
                <w:szCs w:val="22"/>
                <w:lang w:val="en-US" w:eastAsia="zh-CN" w:bidi="ar"/>
              </w:rPr>
              <w:t>scări</w:t>
            </w:r>
            <w:r>
              <w:rPr>
                <w:b/>
                <w:bCs/>
                <w:i/>
                <w:sz w:val="22"/>
                <w:szCs w:val="22"/>
                <w:lang w:eastAsia="zh-CN" w:bidi="ar"/>
              </w:rPr>
              <w:t xml:space="preserve">  închise</w:t>
            </w:r>
            <w:proofErr w:type="gramEnd"/>
          </w:p>
        </w:tc>
        <w:tc>
          <w:tcPr>
            <w:tcW w:w="763" w:type="pct"/>
            <w:vMerge w:val="restart"/>
            <w:shd w:val="clear" w:color="auto" w:fill="D7D7D7"/>
            <w:tcMar>
              <w:top w:w="0" w:type="dxa"/>
              <w:left w:w="0" w:type="dxa"/>
              <w:bottom w:w="0" w:type="dxa"/>
              <w:right w:w="0" w:type="dxa"/>
            </w:tcMar>
            <w:vAlign w:val="center"/>
          </w:tcPr>
          <w:p w14:paraId="4FCFF24A" w14:textId="77777777" w:rsidR="001C08A5" w:rsidRDefault="00000000">
            <w:pPr>
              <w:jc w:val="center"/>
              <w:rPr>
                <w:b/>
                <w:bCs/>
                <w:i/>
                <w:sz w:val="22"/>
                <w:szCs w:val="22"/>
                <w:lang w:eastAsia="zh-CN" w:bidi="ar"/>
              </w:rPr>
            </w:pPr>
            <w:r>
              <w:rPr>
                <w:b/>
                <w:bCs/>
                <w:i/>
                <w:sz w:val="22"/>
                <w:szCs w:val="22"/>
                <w:lang w:eastAsia="zh-CN" w:bidi="ar"/>
              </w:rPr>
              <w:t xml:space="preserve">Uși </w:t>
            </w:r>
            <w:r>
              <w:rPr>
                <w:b/>
                <w:bCs/>
                <w:i/>
                <w:sz w:val="22"/>
                <w:szCs w:val="22"/>
                <w:lang w:val="en-US" w:eastAsia="zh-CN" w:bidi="ar"/>
              </w:rPr>
              <w:t>la case de scări</w:t>
            </w:r>
            <w:r>
              <w:rPr>
                <w:b/>
                <w:bCs/>
                <w:i/>
                <w:sz w:val="22"/>
                <w:szCs w:val="22"/>
                <w:lang w:eastAsia="zh-CN" w:bidi="ar"/>
              </w:rPr>
              <w:t xml:space="preserve">   închise </w:t>
            </w:r>
          </w:p>
        </w:tc>
      </w:tr>
      <w:tr w:rsidR="001C08A5" w14:paraId="39BE146B" w14:textId="77777777">
        <w:trPr>
          <w:trHeight w:val="375"/>
          <w:tblHeader/>
        </w:trPr>
        <w:tc>
          <w:tcPr>
            <w:tcW w:w="475" w:type="pct"/>
            <w:vMerge/>
            <w:shd w:val="clear" w:color="auto" w:fill="D7D7D7"/>
            <w:tcMar>
              <w:top w:w="0" w:type="dxa"/>
              <w:left w:w="0" w:type="dxa"/>
              <w:bottom w:w="0" w:type="dxa"/>
              <w:right w:w="0" w:type="dxa"/>
            </w:tcMar>
            <w:vAlign w:val="center"/>
          </w:tcPr>
          <w:p w14:paraId="3EE83730" w14:textId="77777777" w:rsidR="001C08A5" w:rsidRDefault="001C08A5">
            <w:pPr>
              <w:jc w:val="center"/>
              <w:rPr>
                <w:b/>
                <w:bCs/>
                <w:i/>
                <w:sz w:val="22"/>
                <w:szCs w:val="22"/>
              </w:rPr>
            </w:pPr>
          </w:p>
        </w:tc>
        <w:tc>
          <w:tcPr>
            <w:tcW w:w="751" w:type="pct"/>
            <w:vMerge/>
            <w:shd w:val="clear" w:color="auto" w:fill="D7D7D7"/>
            <w:tcMar>
              <w:top w:w="0" w:type="dxa"/>
              <w:left w:w="0" w:type="dxa"/>
              <w:bottom w:w="0" w:type="dxa"/>
              <w:right w:w="0" w:type="dxa"/>
            </w:tcMar>
            <w:vAlign w:val="center"/>
          </w:tcPr>
          <w:p w14:paraId="6D9A1077" w14:textId="77777777" w:rsidR="001C08A5" w:rsidRDefault="001C08A5">
            <w:pPr>
              <w:jc w:val="center"/>
              <w:rPr>
                <w:b/>
                <w:bCs/>
                <w:i/>
                <w:sz w:val="22"/>
                <w:szCs w:val="22"/>
                <w:lang w:val="en-US" w:eastAsia="zh-CN" w:bidi="ar"/>
              </w:rPr>
            </w:pPr>
          </w:p>
        </w:tc>
        <w:tc>
          <w:tcPr>
            <w:tcW w:w="751" w:type="pct"/>
            <w:vMerge/>
            <w:shd w:val="clear" w:color="auto" w:fill="D7D7D7"/>
            <w:tcMar>
              <w:top w:w="0" w:type="dxa"/>
              <w:left w:w="0" w:type="dxa"/>
              <w:bottom w:w="0" w:type="dxa"/>
              <w:right w:w="0" w:type="dxa"/>
            </w:tcMar>
            <w:vAlign w:val="center"/>
          </w:tcPr>
          <w:p w14:paraId="4A7691E0" w14:textId="77777777" w:rsidR="001C08A5" w:rsidRDefault="001C08A5">
            <w:pPr>
              <w:jc w:val="center"/>
              <w:rPr>
                <w:b/>
                <w:bCs/>
                <w:i/>
                <w:sz w:val="22"/>
                <w:szCs w:val="22"/>
                <w:lang w:val="en-US" w:eastAsia="zh-CN" w:bidi="ar"/>
              </w:rPr>
            </w:pPr>
          </w:p>
        </w:tc>
        <w:tc>
          <w:tcPr>
            <w:tcW w:w="1506" w:type="pct"/>
            <w:gridSpan w:val="3"/>
            <w:shd w:val="clear" w:color="auto" w:fill="D7D7D7"/>
            <w:tcMar>
              <w:top w:w="0" w:type="dxa"/>
              <w:left w:w="0" w:type="dxa"/>
              <w:bottom w:w="0" w:type="dxa"/>
              <w:right w:w="0" w:type="dxa"/>
            </w:tcMar>
            <w:vAlign w:val="center"/>
          </w:tcPr>
          <w:p w14:paraId="41C726E6" w14:textId="77777777" w:rsidR="001C08A5" w:rsidRDefault="00000000">
            <w:pPr>
              <w:jc w:val="center"/>
              <w:rPr>
                <w:b/>
                <w:bCs/>
                <w:i/>
                <w:sz w:val="22"/>
                <w:szCs w:val="22"/>
                <w:lang w:eastAsia="zh-CN" w:bidi="ar"/>
              </w:rPr>
            </w:pPr>
            <w:r>
              <w:rPr>
                <w:i/>
                <w:sz w:val="22"/>
                <w:szCs w:val="22"/>
              </w:rPr>
              <w:t>(cu excepţia celor către case de scări închise)</w:t>
            </w:r>
          </w:p>
        </w:tc>
        <w:tc>
          <w:tcPr>
            <w:tcW w:w="752" w:type="pct"/>
            <w:vMerge/>
            <w:shd w:val="clear" w:color="auto" w:fill="D7D7D7"/>
            <w:tcMar>
              <w:top w:w="0" w:type="dxa"/>
              <w:left w:w="0" w:type="dxa"/>
              <w:bottom w:w="0" w:type="dxa"/>
              <w:right w:w="0" w:type="dxa"/>
            </w:tcMar>
            <w:vAlign w:val="center"/>
          </w:tcPr>
          <w:p w14:paraId="102C2E4F" w14:textId="77777777" w:rsidR="001C08A5" w:rsidRDefault="001C08A5">
            <w:pPr>
              <w:jc w:val="center"/>
              <w:rPr>
                <w:b/>
                <w:bCs/>
                <w:i/>
                <w:sz w:val="22"/>
                <w:szCs w:val="22"/>
                <w:lang w:val="en-US" w:eastAsia="zh-CN" w:bidi="ar"/>
              </w:rPr>
            </w:pPr>
          </w:p>
        </w:tc>
        <w:tc>
          <w:tcPr>
            <w:tcW w:w="763" w:type="pct"/>
            <w:vMerge/>
            <w:shd w:val="clear" w:color="auto" w:fill="D7D7D7"/>
            <w:tcMar>
              <w:top w:w="0" w:type="dxa"/>
              <w:left w:w="0" w:type="dxa"/>
              <w:bottom w:w="0" w:type="dxa"/>
              <w:right w:w="0" w:type="dxa"/>
            </w:tcMar>
            <w:vAlign w:val="center"/>
          </w:tcPr>
          <w:p w14:paraId="09F93DA2" w14:textId="77777777" w:rsidR="001C08A5" w:rsidRDefault="001C08A5">
            <w:pPr>
              <w:jc w:val="center"/>
              <w:rPr>
                <w:b/>
                <w:bCs/>
                <w:i/>
                <w:sz w:val="22"/>
                <w:szCs w:val="22"/>
                <w:lang w:eastAsia="zh-CN" w:bidi="ar"/>
              </w:rPr>
            </w:pPr>
          </w:p>
        </w:tc>
      </w:tr>
      <w:tr w:rsidR="001C08A5" w14:paraId="05F7A5B8" w14:textId="77777777">
        <w:trPr>
          <w:trHeight w:val="345"/>
        </w:trPr>
        <w:tc>
          <w:tcPr>
            <w:tcW w:w="475" w:type="pct"/>
            <w:tcMar>
              <w:top w:w="0" w:type="dxa"/>
              <w:left w:w="0" w:type="dxa"/>
              <w:bottom w:w="0" w:type="dxa"/>
              <w:right w:w="0" w:type="dxa"/>
            </w:tcMar>
            <w:vAlign w:val="center"/>
          </w:tcPr>
          <w:p w14:paraId="4C2218EC" w14:textId="77777777" w:rsidR="001C08A5" w:rsidRDefault="00000000">
            <w:pPr>
              <w:jc w:val="center"/>
              <w:rPr>
                <w:b/>
                <w:bCs/>
                <w:i/>
                <w:sz w:val="22"/>
                <w:szCs w:val="22"/>
              </w:rPr>
            </w:pPr>
            <w:r>
              <w:rPr>
                <w:b/>
                <w:bCs/>
                <w:i/>
                <w:sz w:val="22"/>
                <w:szCs w:val="22"/>
                <w:lang w:val="en-US" w:eastAsia="zh-CN" w:bidi="ar"/>
              </w:rPr>
              <w:t>I</w:t>
            </w:r>
          </w:p>
        </w:tc>
        <w:tc>
          <w:tcPr>
            <w:tcW w:w="751" w:type="pct"/>
            <w:tcMar>
              <w:top w:w="0" w:type="dxa"/>
              <w:left w:w="0" w:type="dxa"/>
              <w:bottom w:w="0" w:type="dxa"/>
              <w:right w:w="0" w:type="dxa"/>
            </w:tcMar>
            <w:vAlign w:val="center"/>
          </w:tcPr>
          <w:p w14:paraId="5322FD96" w14:textId="77777777" w:rsidR="001C08A5" w:rsidRDefault="00000000">
            <w:pPr>
              <w:jc w:val="center"/>
              <w:rPr>
                <w:b/>
                <w:i/>
                <w:sz w:val="22"/>
                <w:szCs w:val="22"/>
              </w:rPr>
            </w:pPr>
            <w:r>
              <w:rPr>
                <w:b/>
                <w:i/>
                <w:sz w:val="22"/>
                <w:szCs w:val="22"/>
              </w:rPr>
              <w:t>EI/REI 90</w:t>
            </w:r>
          </w:p>
          <w:p w14:paraId="006733E5" w14:textId="77777777" w:rsidR="001C08A5" w:rsidRDefault="00000000">
            <w:pPr>
              <w:jc w:val="center"/>
              <w:rPr>
                <w:b/>
                <w:i/>
                <w:sz w:val="22"/>
                <w:szCs w:val="22"/>
              </w:rPr>
            </w:pPr>
            <w:r>
              <w:rPr>
                <w:b/>
                <w:bCs/>
                <w:i/>
                <w:sz w:val="22"/>
                <w:szCs w:val="22"/>
                <w:lang w:val="en-GB"/>
              </w:rPr>
              <w:t>A1, A2s1d0</w:t>
            </w:r>
          </w:p>
        </w:tc>
        <w:tc>
          <w:tcPr>
            <w:tcW w:w="751" w:type="pct"/>
            <w:tcMar>
              <w:top w:w="0" w:type="dxa"/>
              <w:left w:w="0" w:type="dxa"/>
              <w:bottom w:w="0" w:type="dxa"/>
              <w:right w:w="0" w:type="dxa"/>
            </w:tcMar>
            <w:vAlign w:val="center"/>
          </w:tcPr>
          <w:p w14:paraId="123E87D9" w14:textId="77777777" w:rsidR="001C08A5" w:rsidRDefault="00000000">
            <w:pPr>
              <w:jc w:val="center"/>
              <w:rPr>
                <w:b/>
                <w:i/>
                <w:sz w:val="22"/>
                <w:szCs w:val="22"/>
              </w:rPr>
            </w:pPr>
            <w:r>
              <w:rPr>
                <w:b/>
                <w:i/>
                <w:sz w:val="22"/>
                <w:szCs w:val="22"/>
              </w:rPr>
              <w:t>EI/REI 90</w:t>
            </w:r>
          </w:p>
          <w:p w14:paraId="03EE5765" w14:textId="77777777" w:rsidR="001C08A5" w:rsidRDefault="00000000">
            <w:pPr>
              <w:jc w:val="center"/>
              <w:rPr>
                <w:i/>
                <w:sz w:val="22"/>
                <w:szCs w:val="22"/>
              </w:rPr>
            </w:pPr>
            <w:r>
              <w:rPr>
                <w:b/>
                <w:bCs/>
                <w:i/>
                <w:sz w:val="22"/>
                <w:szCs w:val="22"/>
                <w:lang w:val="en-GB"/>
              </w:rPr>
              <w:t>A1, A2s1d0</w:t>
            </w:r>
          </w:p>
        </w:tc>
        <w:tc>
          <w:tcPr>
            <w:tcW w:w="1451" w:type="dxa"/>
            <w:gridSpan w:val="2"/>
            <w:tcMar>
              <w:top w:w="0" w:type="dxa"/>
              <w:left w:w="0" w:type="dxa"/>
              <w:bottom w:w="0" w:type="dxa"/>
              <w:right w:w="0" w:type="dxa"/>
            </w:tcMar>
            <w:vAlign w:val="center"/>
          </w:tcPr>
          <w:p w14:paraId="699B6B14" w14:textId="77777777" w:rsidR="001C08A5" w:rsidRDefault="00000000">
            <w:pPr>
              <w:jc w:val="center"/>
              <w:rPr>
                <w:i/>
                <w:sz w:val="22"/>
                <w:szCs w:val="22"/>
              </w:rPr>
            </w:pPr>
            <w:r>
              <w:rPr>
                <w:b/>
                <w:bCs/>
                <w:i/>
                <w:sz w:val="22"/>
                <w:szCs w:val="22"/>
              </w:rPr>
              <w:t>E 30 - C5 Sa</w:t>
            </w:r>
          </w:p>
        </w:tc>
        <w:tc>
          <w:tcPr>
            <w:tcW w:w="753" w:type="pct"/>
            <w:tcMar>
              <w:top w:w="0" w:type="dxa"/>
              <w:left w:w="0" w:type="dxa"/>
              <w:bottom w:w="0" w:type="dxa"/>
              <w:right w:w="0" w:type="dxa"/>
            </w:tcMar>
            <w:vAlign w:val="center"/>
          </w:tcPr>
          <w:p w14:paraId="0A67C2CE" w14:textId="77777777" w:rsidR="001C08A5" w:rsidRDefault="00000000">
            <w:pPr>
              <w:jc w:val="center"/>
              <w:rPr>
                <w:b/>
                <w:i/>
                <w:sz w:val="22"/>
                <w:szCs w:val="22"/>
              </w:rPr>
            </w:pPr>
            <w:r>
              <w:rPr>
                <w:b/>
                <w:bCs/>
                <w:i/>
                <w:sz w:val="22"/>
                <w:szCs w:val="22"/>
              </w:rPr>
              <w:t>E 30 - C5 Sa</w:t>
            </w:r>
          </w:p>
        </w:tc>
        <w:tc>
          <w:tcPr>
            <w:tcW w:w="752" w:type="pct"/>
            <w:tcMar>
              <w:top w:w="0" w:type="dxa"/>
              <w:left w:w="0" w:type="dxa"/>
              <w:bottom w:w="0" w:type="dxa"/>
              <w:right w:w="0" w:type="dxa"/>
            </w:tcMar>
            <w:vAlign w:val="center"/>
          </w:tcPr>
          <w:p w14:paraId="49A90B0A" w14:textId="77777777" w:rsidR="001C08A5" w:rsidRDefault="00000000">
            <w:pPr>
              <w:jc w:val="center"/>
              <w:rPr>
                <w:b/>
                <w:i/>
                <w:sz w:val="22"/>
                <w:szCs w:val="22"/>
              </w:rPr>
            </w:pPr>
            <w:r>
              <w:rPr>
                <w:b/>
                <w:i/>
                <w:sz w:val="22"/>
                <w:szCs w:val="22"/>
              </w:rPr>
              <w:t>EI/REI 180</w:t>
            </w:r>
          </w:p>
          <w:p w14:paraId="75194CEE" w14:textId="77777777" w:rsidR="001C08A5" w:rsidRDefault="00000000">
            <w:pPr>
              <w:jc w:val="center"/>
              <w:rPr>
                <w:b/>
                <w:i/>
                <w:sz w:val="22"/>
                <w:szCs w:val="22"/>
              </w:rPr>
            </w:pPr>
            <w:r>
              <w:rPr>
                <w:b/>
                <w:bCs/>
                <w:i/>
                <w:sz w:val="22"/>
                <w:szCs w:val="22"/>
                <w:lang w:val="en-GB"/>
              </w:rPr>
              <w:t>A1, A2s1d0</w:t>
            </w:r>
          </w:p>
        </w:tc>
        <w:tc>
          <w:tcPr>
            <w:tcW w:w="763" w:type="pct"/>
            <w:tcMar>
              <w:top w:w="0" w:type="dxa"/>
              <w:left w:w="0" w:type="dxa"/>
              <w:bottom w:w="0" w:type="dxa"/>
              <w:right w:w="0" w:type="dxa"/>
            </w:tcMar>
            <w:vAlign w:val="center"/>
          </w:tcPr>
          <w:p w14:paraId="66A93F8B" w14:textId="77777777" w:rsidR="001C08A5" w:rsidRDefault="00000000">
            <w:pPr>
              <w:jc w:val="center"/>
              <w:rPr>
                <w:b/>
                <w:bCs/>
                <w:i/>
                <w:sz w:val="22"/>
                <w:szCs w:val="22"/>
              </w:rPr>
            </w:pPr>
            <w:r>
              <w:rPr>
                <w:b/>
                <w:bCs/>
                <w:i/>
                <w:sz w:val="22"/>
                <w:szCs w:val="22"/>
              </w:rPr>
              <w:t xml:space="preserve">E 60 - C5 </w:t>
            </w:r>
            <w:r>
              <w:rPr>
                <w:b/>
                <w:i/>
                <w:sz w:val="22"/>
                <w:szCs w:val="22"/>
              </w:rPr>
              <w:t>S</w:t>
            </w:r>
            <w:r>
              <w:rPr>
                <w:b/>
                <w:bCs/>
                <w:i/>
                <w:sz w:val="22"/>
                <w:szCs w:val="22"/>
                <w:vertAlign w:val="subscript"/>
                <w:lang w:val="en-GB"/>
              </w:rPr>
              <w:t>200</w:t>
            </w:r>
          </w:p>
        </w:tc>
      </w:tr>
      <w:tr w:rsidR="001C08A5" w14:paraId="2E73A6F8" w14:textId="77777777">
        <w:trPr>
          <w:trHeight w:val="345"/>
        </w:trPr>
        <w:tc>
          <w:tcPr>
            <w:tcW w:w="475" w:type="pct"/>
            <w:tcMar>
              <w:top w:w="0" w:type="dxa"/>
              <w:left w:w="0" w:type="dxa"/>
              <w:bottom w:w="0" w:type="dxa"/>
              <w:right w:w="0" w:type="dxa"/>
            </w:tcMar>
            <w:vAlign w:val="center"/>
          </w:tcPr>
          <w:p w14:paraId="089D3EBE" w14:textId="77777777" w:rsidR="001C08A5" w:rsidRDefault="00000000">
            <w:pPr>
              <w:jc w:val="center"/>
              <w:rPr>
                <w:b/>
                <w:bCs/>
                <w:i/>
                <w:sz w:val="22"/>
                <w:szCs w:val="22"/>
              </w:rPr>
            </w:pPr>
            <w:r>
              <w:rPr>
                <w:b/>
                <w:bCs/>
                <w:i/>
                <w:sz w:val="22"/>
                <w:szCs w:val="22"/>
                <w:lang w:val="en-US" w:eastAsia="zh-CN" w:bidi="ar"/>
              </w:rPr>
              <w:t>II</w:t>
            </w:r>
          </w:p>
        </w:tc>
        <w:tc>
          <w:tcPr>
            <w:tcW w:w="751" w:type="pct"/>
            <w:tcMar>
              <w:top w:w="0" w:type="dxa"/>
              <w:left w:w="0" w:type="dxa"/>
              <w:bottom w:w="0" w:type="dxa"/>
              <w:right w:w="0" w:type="dxa"/>
            </w:tcMar>
            <w:vAlign w:val="center"/>
          </w:tcPr>
          <w:p w14:paraId="137CA9A9" w14:textId="77777777" w:rsidR="001C08A5" w:rsidRDefault="00000000">
            <w:pPr>
              <w:jc w:val="center"/>
              <w:rPr>
                <w:b/>
                <w:i/>
                <w:sz w:val="22"/>
                <w:szCs w:val="22"/>
              </w:rPr>
            </w:pPr>
            <w:r>
              <w:rPr>
                <w:b/>
                <w:i/>
                <w:sz w:val="22"/>
                <w:szCs w:val="22"/>
              </w:rPr>
              <w:t>EI/REI 90</w:t>
            </w:r>
          </w:p>
          <w:p w14:paraId="3085796F" w14:textId="77777777" w:rsidR="001C08A5" w:rsidRDefault="00000000">
            <w:pPr>
              <w:jc w:val="center"/>
              <w:rPr>
                <w:b/>
                <w:i/>
                <w:sz w:val="22"/>
                <w:szCs w:val="22"/>
              </w:rPr>
            </w:pPr>
            <w:r>
              <w:rPr>
                <w:b/>
                <w:bCs/>
                <w:i/>
                <w:sz w:val="22"/>
                <w:szCs w:val="22"/>
                <w:lang w:val="en-GB"/>
              </w:rPr>
              <w:t>A1, A2s1d0</w:t>
            </w:r>
          </w:p>
        </w:tc>
        <w:tc>
          <w:tcPr>
            <w:tcW w:w="751" w:type="pct"/>
            <w:tcMar>
              <w:top w:w="0" w:type="dxa"/>
              <w:left w:w="0" w:type="dxa"/>
              <w:bottom w:w="0" w:type="dxa"/>
              <w:right w:w="0" w:type="dxa"/>
            </w:tcMar>
            <w:vAlign w:val="center"/>
          </w:tcPr>
          <w:p w14:paraId="0B906447" w14:textId="77777777" w:rsidR="001C08A5" w:rsidRDefault="00000000">
            <w:pPr>
              <w:jc w:val="center"/>
              <w:rPr>
                <w:b/>
                <w:i/>
                <w:sz w:val="22"/>
                <w:szCs w:val="22"/>
              </w:rPr>
            </w:pPr>
            <w:r>
              <w:rPr>
                <w:b/>
                <w:i/>
                <w:sz w:val="22"/>
                <w:szCs w:val="22"/>
              </w:rPr>
              <w:t>EI/REI 90</w:t>
            </w:r>
          </w:p>
          <w:p w14:paraId="3D63C02D" w14:textId="77777777" w:rsidR="001C08A5" w:rsidRDefault="00000000">
            <w:pPr>
              <w:jc w:val="center"/>
              <w:rPr>
                <w:i/>
                <w:sz w:val="22"/>
                <w:szCs w:val="22"/>
              </w:rPr>
            </w:pPr>
            <w:r>
              <w:rPr>
                <w:b/>
                <w:bCs/>
                <w:i/>
                <w:sz w:val="22"/>
                <w:szCs w:val="22"/>
                <w:lang w:val="en-GB"/>
              </w:rPr>
              <w:t>A1, A2s1d0</w:t>
            </w:r>
          </w:p>
        </w:tc>
        <w:tc>
          <w:tcPr>
            <w:tcW w:w="1451" w:type="dxa"/>
            <w:gridSpan w:val="2"/>
            <w:tcMar>
              <w:top w:w="0" w:type="dxa"/>
              <w:left w:w="0" w:type="dxa"/>
              <w:bottom w:w="0" w:type="dxa"/>
              <w:right w:w="0" w:type="dxa"/>
            </w:tcMar>
            <w:vAlign w:val="center"/>
          </w:tcPr>
          <w:p w14:paraId="36D043A8" w14:textId="77777777" w:rsidR="001C08A5" w:rsidRDefault="00000000">
            <w:pPr>
              <w:jc w:val="center"/>
              <w:rPr>
                <w:i/>
                <w:sz w:val="22"/>
                <w:szCs w:val="22"/>
              </w:rPr>
            </w:pPr>
            <w:r>
              <w:rPr>
                <w:b/>
                <w:bCs/>
                <w:i/>
                <w:sz w:val="22"/>
                <w:szCs w:val="22"/>
              </w:rPr>
              <w:t xml:space="preserve">E </w:t>
            </w:r>
            <w:r>
              <w:rPr>
                <w:b/>
                <w:bCs/>
                <w:i/>
                <w:sz w:val="22"/>
                <w:szCs w:val="22"/>
                <w:lang w:val="en-GB"/>
              </w:rPr>
              <w:t>1</w:t>
            </w:r>
            <w:r>
              <w:rPr>
                <w:b/>
                <w:bCs/>
                <w:i/>
                <w:sz w:val="22"/>
                <w:szCs w:val="22"/>
              </w:rPr>
              <w:t>5 - C5 S</w:t>
            </w:r>
            <w:r>
              <w:rPr>
                <w:b/>
                <w:bCs/>
                <w:i/>
                <w:sz w:val="22"/>
                <w:szCs w:val="22"/>
                <w:lang w:val="en-GB"/>
              </w:rPr>
              <w:t>a</w:t>
            </w:r>
            <w:r>
              <w:rPr>
                <w:b/>
                <w:bCs/>
                <w:i/>
                <w:sz w:val="22"/>
                <w:szCs w:val="22"/>
              </w:rPr>
              <w:t xml:space="preserve"> </w:t>
            </w:r>
            <w:r>
              <w:rPr>
                <w:b/>
                <w:bCs/>
                <w:i/>
              </w:rPr>
              <w:t>sau uși pline din lemn sau metal</w:t>
            </w:r>
          </w:p>
        </w:tc>
        <w:tc>
          <w:tcPr>
            <w:tcW w:w="1455" w:type="dxa"/>
            <w:tcMar>
              <w:top w:w="0" w:type="dxa"/>
              <w:left w:w="0" w:type="dxa"/>
              <w:bottom w:w="0" w:type="dxa"/>
              <w:right w:w="0" w:type="dxa"/>
            </w:tcMar>
            <w:vAlign w:val="center"/>
          </w:tcPr>
          <w:p w14:paraId="6EC05E8B" w14:textId="77777777" w:rsidR="001C08A5" w:rsidRDefault="00000000">
            <w:pPr>
              <w:jc w:val="center"/>
              <w:rPr>
                <w:b/>
                <w:i/>
                <w:sz w:val="22"/>
                <w:szCs w:val="22"/>
              </w:rPr>
            </w:pPr>
            <w:r>
              <w:rPr>
                <w:b/>
                <w:bCs/>
                <w:i/>
                <w:sz w:val="22"/>
                <w:szCs w:val="22"/>
              </w:rPr>
              <w:t xml:space="preserve">E 15 - C5 Sa </w:t>
            </w:r>
            <w:r>
              <w:rPr>
                <w:b/>
                <w:bCs/>
                <w:i/>
              </w:rPr>
              <w:t>sau uși pline din lemn sau metal</w:t>
            </w:r>
          </w:p>
        </w:tc>
        <w:tc>
          <w:tcPr>
            <w:tcW w:w="752" w:type="pct"/>
            <w:tcMar>
              <w:top w:w="0" w:type="dxa"/>
              <w:left w:w="0" w:type="dxa"/>
              <w:bottom w:w="0" w:type="dxa"/>
              <w:right w:w="0" w:type="dxa"/>
            </w:tcMar>
            <w:vAlign w:val="center"/>
          </w:tcPr>
          <w:p w14:paraId="64F7E485" w14:textId="77777777" w:rsidR="001C08A5" w:rsidRDefault="00000000">
            <w:pPr>
              <w:jc w:val="center"/>
              <w:rPr>
                <w:b/>
                <w:i/>
                <w:sz w:val="22"/>
                <w:szCs w:val="22"/>
              </w:rPr>
            </w:pPr>
            <w:r>
              <w:rPr>
                <w:b/>
                <w:i/>
                <w:sz w:val="22"/>
                <w:szCs w:val="22"/>
              </w:rPr>
              <w:t>EI/REI 180</w:t>
            </w:r>
          </w:p>
          <w:p w14:paraId="15069D0F" w14:textId="77777777" w:rsidR="001C08A5" w:rsidRDefault="00000000">
            <w:pPr>
              <w:jc w:val="center"/>
              <w:rPr>
                <w:b/>
                <w:i/>
                <w:sz w:val="22"/>
                <w:szCs w:val="22"/>
              </w:rPr>
            </w:pPr>
            <w:r>
              <w:rPr>
                <w:b/>
                <w:bCs/>
                <w:i/>
                <w:sz w:val="22"/>
                <w:szCs w:val="22"/>
                <w:lang w:val="en-GB"/>
              </w:rPr>
              <w:t>A1, A2s1d0</w:t>
            </w:r>
          </w:p>
        </w:tc>
        <w:tc>
          <w:tcPr>
            <w:tcW w:w="763" w:type="pct"/>
            <w:tcMar>
              <w:top w:w="0" w:type="dxa"/>
              <w:left w:w="0" w:type="dxa"/>
              <w:bottom w:w="0" w:type="dxa"/>
              <w:right w:w="0" w:type="dxa"/>
            </w:tcMar>
            <w:vAlign w:val="center"/>
          </w:tcPr>
          <w:p w14:paraId="39C3FAA7" w14:textId="77777777" w:rsidR="001C08A5" w:rsidRDefault="00000000">
            <w:pPr>
              <w:jc w:val="center"/>
              <w:rPr>
                <w:b/>
                <w:bCs/>
                <w:i/>
                <w:sz w:val="22"/>
                <w:szCs w:val="22"/>
              </w:rPr>
            </w:pPr>
            <w:r>
              <w:rPr>
                <w:b/>
                <w:bCs/>
                <w:i/>
                <w:sz w:val="22"/>
                <w:szCs w:val="22"/>
              </w:rPr>
              <w:t xml:space="preserve">E 30 - C5 </w:t>
            </w:r>
            <w:r>
              <w:rPr>
                <w:b/>
                <w:i/>
                <w:sz w:val="22"/>
                <w:szCs w:val="22"/>
              </w:rPr>
              <w:t>S</w:t>
            </w:r>
            <w:r>
              <w:rPr>
                <w:b/>
                <w:bCs/>
                <w:i/>
                <w:sz w:val="22"/>
                <w:szCs w:val="22"/>
                <w:vertAlign w:val="subscript"/>
              </w:rPr>
              <w:t>a</w:t>
            </w:r>
          </w:p>
        </w:tc>
      </w:tr>
      <w:tr w:rsidR="001C08A5" w14:paraId="067B048E" w14:textId="77777777">
        <w:trPr>
          <w:trHeight w:val="345"/>
        </w:trPr>
        <w:tc>
          <w:tcPr>
            <w:tcW w:w="475" w:type="pct"/>
            <w:tcMar>
              <w:top w:w="0" w:type="dxa"/>
              <w:left w:w="0" w:type="dxa"/>
              <w:bottom w:w="0" w:type="dxa"/>
              <w:right w:w="0" w:type="dxa"/>
            </w:tcMar>
            <w:vAlign w:val="center"/>
          </w:tcPr>
          <w:p w14:paraId="25D94AD1" w14:textId="77777777" w:rsidR="001C08A5" w:rsidRDefault="00000000">
            <w:pPr>
              <w:jc w:val="center"/>
              <w:rPr>
                <w:b/>
                <w:bCs/>
                <w:i/>
                <w:sz w:val="22"/>
                <w:szCs w:val="22"/>
              </w:rPr>
            </w:pPr>
            <w:r>
              <w:rPr>
                <w:b/>
                <w:bCs/>
                <w:i/>
                <w:sz w:val="22"/>
                <w:szCs w:val="22"/>
                <w:lang w:val="en-US" w:eastAsia="zh-CN" w:bidi="ar"/>
              </w:rPr>
              <w:t>III</w:t>
            </w:r>
          </w:p>
        </w:tc>
        <w:tc>
          <w:tcPr>
            <w:tcW w:w="751" w:type="pct"/>
            <w:tcMar>
              <w:top w:w="0" w:type="dxa"/>
              <w:left w:w="0" w:type="dxa"/>
              <w:bottom w:w="0" w:type="dxa"/>
              <w:right w:w="0" w:type="dxa"/>
            </w:tcMar>
            <w:vAlign w:val="center"/>
          </w:tcPr>
          <w:p w14:paraId="1C17FBC9" w14:textId="77777777" w:rsidR="001C08A5" w:rsidRDefault="00000000">
            <w:pPr>
              <w:jc w:val="center"/>
              <w:rPr>
                <w:b/>
                <w:i/>
                <w:sz w:val="22"/>
                <w:szCs w:val="22"/>
              </w:rPr>
            </w:pPr>
            <w:r>
              <w:rPr>
                <w:b/>
                <w:i/>
                <w:sz w:val="22"/>
                <w:szCs w:val="22"/>
              </w:rPr>
              <w:t>EI/REI 45</w:t>
            </w:r>
          </w:p>
          <w:p w14:paraId="5F2308E9" w14:textId="77777777" w:rsidR="001C08A5" w:rsidRDefault="00000000">
            <w:pPr>
              <w:jc w:val="center"/>
              <w:rPr>
                <w:b/>
                <w:i/>
                <w:sz w:val="22"/>
                <w:szCs w:val="22"/>
              </w:rPr>
            </w:pPr>
            <w:r>
              <w:rPr>
                <w:b/>
                <w:bCs/>
                <w:i/>
                <w:sz w:val="22"/>
                <w:szCs w:val="22"/>
                <w:lang w:val="en-GB"/>
              </w:rPr>
              <w:t>A1, A2s1d0</w:t>
            </w:r>
          </w:p>
        </w:tc>
        <w:tc>
          <w:tcPr>
            <w:tcW w:w="751" w:type="pct"/>
            <w:tcMar>
              <w:top w:w="0" w:type="dxa"/>
              <w:left w:w="0" w:type="dxa"/>
              <w:bottom w:w="0" w:type="dxa"/>
              <w:right w:w="0" w:type="dxa"/>
            </w:tcMar>
            <w:vAlign w:val="center"/>
          </w:tcPr>
          <w:p w14:paraId="5E19CA01" w14:textId="77777777" w:rsidR="001C08A5" w:rsidRDefault="00000000">
            <w:pPr>
              <w:jc w:val="center"/>
              <w:rPr>
                <w:b/>
                <w:i/>
                <w:sz w:val="22"/>
                <w:szCs w:val="22"/>
              </w:rPr>
            </w:pPr>
            <w:r>
              <w:rPr>
                <w:b/>
                <w:i/>
                <w:sz w:val="22"/>
                <w:szCs w:val="22"/>
              </w:rPr>
              <w:t>EI/REI 45</w:t>
            </w:r>
          </w:p>
          <w:p w14:paraId="1E676FC4" w14:textId="77777777" w:rsidR="001C08A5" w:rsidRDefault="00000000">
            <w:pPr>
              <w:jc w:val="center"/>
              <w:rPr>
                <w:i/>
                <w:sz w:val="22"/>
                <w:szCs w:val="22"/>
              </w:rPr>
            </w:pPr>
            <w:r>
              <w:rPr>
                <w:b/>
                <w:bCs/>
                <w:i/>
                <w:sz w:val="22"/>
                <w:szCs w:val="22"/>
                <w:lang w:val="en-GB"/>
              </w:rPr>
              <w:t>A1, A2s1d0</w:t>
            </w:r>
          </w:p>
        </w:tc>
        <w:tc>
          <w:tcPr>
            <w:tcW w:w="1451" w:type="dxa"/>
            <w:gridSpan w:val="2"/>
            <w:tcMar>
              <w:top w:w="0" w:type="dxa"/>
              <w:left w:w="0" w:type="dxa"/>
              <w:bottom w:w="0" w:type="dxa"/>
              <w:right w:w="0" w:type="dxa"/>
            </w:tcMar>
            <w:vAlign w:val="center"/>
          </w:tcPr>
          <w:p w14:paraId="01377F29" w14:textId="77777777" w:rsidR="001C08A5" w:rsidRDefault="00000000">
            <w:pPr>
              <w:jc w:val="center"/>
              <w:rPr>
                <w:i/>
                <w:sz w:val="22"/>
                <w:szCs w:val="22"/>
              </w:rPr>
            </w:pPr>
            <w:r>
              <w:rPr>
                <w:b/>
                <w:bCs/>
                <w:i/>
                <w:sz w:val="22"/>
                <w:szCs w:val="22"/>
              </w:rPr>
              <w:t>C5</w:t>
            </w:r>
          </w:p>
        </w:tc>
        <w:tc>
          <w:tcPr>
            <w:tcW w:w="1455" w:type="dxa"/>
            <w:tcMar>
              <w:top w:w="0" w:type="dxa"/>
              <w:left w:w="0" w:type="dxa"/>
              <w:bottom w:w="0" w:type="dxa"/>
              <w:right w:w="0" w:type="dxa"/>
            </w:tcMar>
            <w:vAlign w:val="center"/>
          </w:tcPr>
          <w:p w14:paraId="4915E9E9" w14:textId="77777777" w:rsidR="001C08A5" w:rsidRDefault="00000000">
            <w:pPr>
              <w:jc w:val="center"/>
              <w:rPr>
                <w:b/>
                <w:i/>
                <w:sz w:val="22"/>
                <w:szCs w:val="22"/>
              </w:rPr>
            </w:pPr>
            <w:r>
              <w:rPr>
                <w:b/>
                <w:bCs/>
                <w:i/>
                <w:sz w:val="22"/>
                <w:szCs w:val="22"/>
              </w:rPr>
              <w:t xml:space="preserve">E </w:t>
            </w:r>
            <w:r>
              <w:rPr>
                <w:b/>
                <w:bCs/>
                <w:i/>
                <w:sz w:val="22"/>
                <w:szCs w:val="22"/>
                <w:lang w:val="en-GB"/>
              </w:rPr>
              <w:t>1</w:t>
            </w:r>
            <w:r>
              <w:rPr>
                <w:b/>
                <w:bCs/>
                <w:i/>
                <w:sz w:val="22"/>
                <w:szCs w:val="22"/>
              </w:rPr>
              <w:t>5 - C5 S</w:t>
            </w:r>
            <w:r>
              <w:rPr>
                <w:b/>
                <w:bCs/>
                <w:i/>
                <w:sz w:val="22"/>
                <w:szCs w:val="22"/>
                <w:lang w:val="en-GB"/>
              </w:rPr>
              <w:t>a</w:t>
            </w:r>
            <w:r>
              <w:rPr>
                <w:b/>
                <w:bCs/>
                <w:i/>
                <w:sz w:val="22"/>
                <w:szCs w:val="22"/>
              </w:rPr>
              <w:t xml:space="preserve"> </w:t>
            </w:r>
            <w:r>
              <w:rPr>
                <w:b/>
                <w:bCs/>
                <w:i/>
              </w:rPr>
              <w:t>sau uși pline din lemn sau metal</w:t>
            </w:r>
          </w:p>
        </w:tc>
        <w:tc>
          <w:tcPr>
            <w:tcW w:w="752" w:type="pct"/>
            <w:tcMar>
              <w:top w:w="0" w:type="dxa"/>
              <w:left w:w="0" w:type="dxa"/>
              <w:bottom w:w="0" w:type="dxa"/>
              <w:right w:w="0" w:type="dxa"/>
            </w:tcMar>
            <w:vAlign w:val="center"/>
          </w:tcPr>
          <w:p w14:paraId="68BB7B51" w14:textId="77777777" w:rsidR="001C08A5" w:rsidRDefault="00000000">
            <w:pPr>
              <w:jc w:val="center"/>
              <w:rPr>
                <w:b/>
                <w:i/>
                <w:sz w:val="22"/>
                <w:szCs w:val="22"/>
              </w:rPr>
            </w:pPr>
            <w:r>
              <w:rPr>
                <w:b/>
                <w:i/>
                <w:sz w:val="22"/>
                <w:szCs w:val="22"/>
              </w:rPr>
              <w:t>EI/REI 180</w:t>
            </w:r>
          </w:p>
          <w:p w14:paraId="7B76B866" w14:textId="77777777" w:rsidR="001C08A5" w:rsidRDefault="00000000">
            <w:pPr>
              <w:jc w:val="center"/>
              <w:rPr>
                <w:b/>
                <w:i/>
                <w:sz w:val="22"/>
                <w:szCs w:val="22"/>
              </w:rPr>
            </w:pPr>
            <w:r>
              <w:rPr>
                <w:b/>
                <w:bCs/>
                <w:i/>
                <w:sz w:val="22"/>
                <w:szCs w:val="22"/>
                <w:lang w:val="en-GB"/>
              </w:rPr>
              <w:t>A1, A2s1d0</w:t>
            </w:r>
          </w:p>
        </w:tc>
        <w:tc>
          <w:tcPr>
            <w:tcW w:w="763" w:type="pct"/>
            <w:tcMar>
              <w:top w:w="0" w:type="dxa"/>
              <w:left w:w="0" w:type="dxa"/>
              <w:bottom w:w="0" w:type="dxa"/>
              <w:right w:w="0" w:type="dxa"/>
            </w:tcMar>
            <w:vAlign w:val="center"/>
          </w:tcPr>
          <w:p w14:paraId="148D296D" w14:textId="77777777" w:rsidR="001C08A5" w:rsidRDefault="00000000">
            <w:pPr>
              <w:jc w:val="center"/>
              <w:rPr>
                <w:b/>
                <w:i/>
                <w:sz w:val="22"/>
                <w:szCs w:val="22"/>
              </w:rPr>
            </w:pPr>
            <w:r>
              <w:rPr>
                <w:b/>
                <w:bCs/>
                <w:i/>
                <w:sz w:val="22"/>
                <w:szCs w:val="22"/>
              </w:rPr>
              <w:t>E 15 - C5 Sa</w:t>
            </w:r>
          </w:p>
        </w:tc>
      </w:tr>
      <w:tr w:rsidR="001C08A5" w14:paraId="530A086B" w14:textId="77777777">
        <w:trPr>
          <w:trHeight w:val="345"/>
        </w:trPr>
        <w:tc>
          <w:tcPr>
            <w:tcW w:w="475" w:type="pct"/>
            <w:tcMar>
              <w:top w:w="0" w:type="dxa"/>
              <w:left w:w="0" w:type="dxa"/>
              <w:bottom w:w="0" w:type="dxa"/>
              <w:right w:w="0" w:type="dxa"/>
            </w:tcMar>
            <w:vAlign w:val="center"/>
          </w:tcPr>
          <w:p w14:paraId="386A79C7" w14:textId="77777777" w:rsidR="001C08A5" w:rsidRDefault="00000000">
            <w:pPr>
              <w:jc w:val="center"/>
              <w:rPr>
                <w:b/>
                <w:bCs/>
                <w:i/>
                <w:sz w:val="22"/>
                <w:szCs w:val="22"/>
              </w:rPr>
            </w:pPr>
            <w:r>
              <w:rPr>
                <w:b/>
                <w:bCs/>
                <w:i/>
                <w:sz w:val="22"/>
                <w:szCs w:val="22"/>
                <w:lang w:val="en-US" w:eastAsia="zh-CN" w:bidi="ar"/>
              </w:rPr>
              <w:t>IV</w:t>
            </w:r>
          </w:p>
        </w:tc>
        <w:tc>
          <w:tcPr>
            <w:tcW w:w="751" w:type="pct"/>
            <w:tcMar>
              <w:top w:w="0" w:type="dxa"/>
              <w:left w:w="0" w:type="dxa"/>
              <w:bottom w:w="0" w:type="dxa"/>
              <w:right w:w="0" w:type="dxa"/>
            </w:tcMar>
            <w:vAlign w:val="center"/>
          </w:tcPr>
          <w:p w14:paraId="67CE97FD" w14:textId="77777777" w:rsidR="001C08A5" w:rsidRDefault="00000000">
            <w:pPr>
              <w:jc w:val="center"/>
              <w:rPr>
                <w:b/>
                <w:i/>
                <w:sz w:val="22"/>
                <w:szCs w:val="22"/>
              </w:rPr>
            </w:pPr>
            <w:r>
              <w:rPr>
                <w:b/>
                <w:i/>
                <w:sz w:val="22"/>
                <w:szCs w:val="22"/>
              </w:rPr>
              <w:t>EI/REI 30</w:t>
            </w:r>
          </w:p>
          <w:p w14:paraId="7BA9B6CC" w14:textId="77777777" w:rsidR="001C08A5" w:rsidRDefault="00000000">
            <w:pPr>
              <w:jc w:val="center"/>
              <w:rPr>
                <w:b/>
                <w:i/>
                <w:sz w:val="22"/>
                <w:szCs w:val="22"/>
              </w:rPr>
            </w:pPr>
            <w:r>
              <w:rPr>
                <w:b/>
                <w:i/>
                <w:sz w:val="22"/>
                <w:szCs w:val="22"/>
              </w:rPr>
              <w:t xml:space="preserve">min. </w:t>
            </w:r>
          </w:p>
          <w:p w14:paraId="38D6B3E9" w14:textId="77777777" w:rsidR="001C08A5" w:rsidRDefault="00000000">
            <w:pPr>
              <w:jc w:val="center"/>
              <w:rPr>
                <w:b/>
                <w:i/>
                <w:sz w:val="22"/>
                <w:szCs w:val="22"/>
              </w:rPr>
            </w:pPr>
            <w:r>
              <w:rPr>
                <w:b/>
                <w:bCs/>
                <w:i/>
                <w:sz w:val="22"/>
                <w:szCs w:val="22"/>
                <w:lang w:eastAsia="zh-CN"/>
              </w:rPr>
              <w:t>A2s1÷s3,d0÷d1; Bs1÷s3,d0÷d1</w:t>
            </w:r>
          </w:p>
        </w:tc>
        <w:tc>
          <w:tcPr>
            <w:tcW w:w="751" w:type="pct"/>
            <w:tcMar>
              <w:top w:w="0" w:type="dxa"/>
              <w:left w:w="0" w:type="dxa"/>
              <w:bottom w:w="0" w:type="dxa"/>
              <w:right w:w="0" w:type="dxa"/>
            </w:tcMar>
            <w:vAlign w:val="center"/>
          </w:tcPr>
          <w:p w14:paraId="1FC0B89B" w14:textId="77777777" w:rsidR="001C08A5" w:rsidRDefault="00000000">
            <w:pPr>
              <w:jc w:val="center"/>
              <w:rPr>
                <w:b/>
                <w:i/>
                <w:sz w:val="22"/>
                <w:szCs w:val="22"/>
              </w:rPr>
            </w:pPr>
            <w:r>
              <w:rPr>
                <w:b/>
                <w:i/>
                <w:sz w:val="22"/>
                <w:szCs w:val="22"/>
              </w:rPr>
              <w:t xml:space="preserve">EI/REI 30 </w:t>
            </w:r>
          </w:p>
          <w:p w14:paraId="3F76C64F" w14:textId="77777777" w:rsidR="001C08A5" w:rsidRDefault="00000000">
            <w:pPr>
              <w:jc w:val="center"/>
              <w:rPr>
                <w:b/>
                <w:i/>
                <w:sz w:val="22"/>
                <w:szCs w:val="22"/>
              </w:rPr>
            </w:pPr>
            <w:r>
              <w:rPr>
                <w:b/>
                <w:i/>
                <w:sz w:val="22"/>
                <w:szCs w:val="22"/>
              </w:rPr>
              <w:t xml:space="preserve">min. </w:t>
            </w:r>
          </w:p>
          <w:p w14:paraId="4AA2A0C9" w14:textId="77777777" w:rsidR="001C08A5" w:rsidRDefault="00000000">
            <w:pPr>
              <w:jc w:val="center"/>
              <w:rPr>
                <w:i/>
                <w:sz w:val="22"/>
                <w:szCs w:val="22"/>
              </w:rPr>
            </w:pPr>
            <w:r>
              <w:rPr>
                <w:b/>
                <w:bCs/>
                <w:i/>
                <w:sz w:val="22"/>
                <w:szCs w:val="22"/>
                <w:lang w:eastAsia="zh-CN"/>
              </w:rPr>
              <w:t>A2s1÷s3,d0÷d1; Bs1÷s3,d0÷d1</w:t>
            </w:r>
          </w:p>
        </w:tc>
        <w:tc>
          <w:tcPr>
            <w:tcW w:w="1451" w:type="dxa"/>
            <w:gridSpan w:val="2"/>
            <w:tcMar>
              <w:top w:w="0" w:type="dxa"/>
              <w:left w:w="0" w:type="dxa"/>
              <w:bottom w:w="0" w:type="dxa"/>
              <w:right w:w="0" w:type="dxa"/>
            </w:tcMar>
            <w:vAlign w:val="center"/>
          </w:tcPr>
          <w:p w14:paraId="5BFF21EC" w14:textId="77777777" w:rsidR="001C08A5" w:rsidRDefault="00000000">
            <w:pPr>
              <w:jc w:val="center"/>
              <w:rPr>
                <w:i/>
                <w:sz w:val="22"/>
                <w:szCs w:val="22"/>
              </w:rPr>
            </w:pPr>
            <w:r>
              <w:rPr>
                <w:b/>
                <w:bCs/>
                <w:i/>
                <w:sz w:val="22"/>
                <w:szCs w:val="22"/>
              </w:rPr>
              <w:t>C5</w:t>
            </w:r>
          </w:p>
        </w:tc>
        <w:tc>
          <w:tcPr>
            <w:tcW w:w="753" w:type="pct"/>
            <w:tcMar>
              <w:top w:w="0" w:type="dxa"/>
              <w:left w:w="0" w:type="dxa"/>
              <w:bottom w:w="0" w:type="dxa"/>
              <w:right w:w="0" w:type="dxa"/>
            </w:tcMar>
            <w:vAlign w:val="center"/>
          </w:tcPr>
          <w:p w14:paraId="65C551F1" w14:textId="77777777" w:rsidR="001C08A5" w:rsidRDefault="00000000">
            <w:pPr>
              <w:jc w:val="center"/>
              <w:rPr>
                <w:i/>
                <w:sz w:val="22"/>
                <w:szCs w:val="22"/>
                <w:lang w:val="en-US" w:eastAsia="zh-CN" w:bidi="ar"/>
              </w:rPr>
            </w:pPr>
            <w:r>
              <w:rPr>
                <w:b/>
                <w:bCs/>
                <w:i/>
                <w:sz w:val="22"/>
                <w:szCs w:val="22"/>
              </w:rPr>
              <w:t>C5</w:t>
            </w:r>
          </w:p>
        </w:tc>
        <w:tc>
          <w:tcPr>
            <w:tcW w:w="752" w:type="pct"/>
            <w:tcMar>
              <w:top w:w="0" w:type="dxa"/>
              <w:left w:w="0" w:type="dxa"/>
              <w:bottom w:w="0" w:type="dxa"/>
              <w:right w:w="0" w:type="dxa"/>
            </w:tcMar>
            <w:vAlign w:val="center"/>
          </w:tcPr>
          <w:p w14:paraId="5DE58A60" w14:textId="77777777" w:rsidR="001C08A5" w:rsidRDefault="00000000">
            <w:pPr>
              <w:jc w:val="center"/>
              <w:rPr>
                <w:b/>
                <w:i/>
                <w:sz w:val="22"/>
                <w:szCs w:val="22"/>
              </w:rPr>
            </w:pPr>
            <w:r>
              <w:rPr>
                <w:b/>
                <w:i/>
                <w:sz w:val="22"/>
                <w:szCs w:val="22"/>
              </w:rPr>
              <w:t>EI/REI 60</w:t>
            </w:r>
          </w:p>
          <w:p w14:paraId="49FA806E" w14:textId="77777777" w:rsidR="001C08A5" w:rsidRDefault="00000000">
            <w:pPr>
              <w:jc w:val="center"/>
              <w:rPr>
                <w:b/>
                <w:i/>
                <w:sz w:val="22"/>
                <w:szCs w:val="22"/>
              </w:rPr>
            </w:pPr>
            <w:r>
              <w:rPr>
                <w:b/>
                <w:i/>
                <w:sz w:val="22"/>
                <w:szCs w:val="22"/>
              </w:rPr>
              <w:t xml:space="preserve">min. </w:t>
            </w:r>
          </w:p>
          <w:p w14:paraId="2A1DE9F5" w14:textId="77777777" w:rsidR="001C08A5" w:rsidRDefault="00000000">
            <w:pPr>
              <w:jc w:val="center"/>
              <w:rPr>
                <w:i/>
                <w:sz w:val="22"/>
                <w:szCs w:val="22"/>
                <w:lang w:val="en-US" w:eastAsia="zh-CN" w:bidi="ar"/>
              </w:rPr>
            </w:pPr>
            <w:r>
              <w:rPr>
                <w:b/>
                <w:bCs/>
                <w:i/>
                <w:sz w:val="22"/>
                <w:szCs w:val="22"/>
                <w:lang w:eastAsia="zh-CN"/>
              </w:rPr>
              <w:t>A2s1÷s3,d0÷d1; Bs1÷s3,d0÷d1</w:t>
            </w:r>
          </w:p>
        </w:tc>
        <w:tc>
          <w:tcPr>
            <w:tcW w:w="763" w:type="pct"/>
            <w:tcMar>
              <w:top w:w="0" w:type="dxa"/>
              <w:left w:w="0" w:type="dxa"/>
              <w:bottom w:w="0" w:type="dxa"/>
              <w:right w:w="0" w:type="dxa"/>
            </w:tcMar>
            <w:vAlign w:val="center"/>
          </w:tcPr>
          <w:p w14:paraId="58A5285B" w14:textId="77777777" w:rsidR="001C08A5" w:rsidRDefault="00000000">
            <w:pPr>
              <w:jc w:val="center"/>
              <w:rPr>
                <w:b/>
                <w:bCs/>
                <w:i/>
                <w:sz w:val="22"/>
                <w:szCs w:val="22"/>
              </w:rPr>
            </w:pPr>
            <w:r>
              <w:rPr>
                <w:b/>
                <w:bCs/>
                <w:i/>
                <w:sz w:val="22"/>
                <w:szCs w:val="22"/>
              </w:rPr>
              <w:t>C5 S</w:t>
            </w:r>
            <w:r>
              <w:rPr>
                <w:b/>
                <w:bCs/>
                <w:i/>
                <w:sz w:val="22"/>
                <w:szCs w:val="22"/>
                <w:lang w:val="en-GB"/>
              </w:rPr>
              <w:t>a</w:t>
            </w:r>
          </w:p>
        </w:tc>
      </w:tr>
      <w:tr w:rsidR="001C08A5" w14:paraId="63F513E4" w14:textId="77777777">
        <w:trPr>
          <w:trHeight w:val="360"/>
        </w:trPr>
        <w:tc>
          <w:tcPr>
            <w:tcW w:w="475" w:type="pct"/>
            <w:tcMar>
              <w:top w:w="0" w:type="dxa"/>
              <w:left w:w="0" w:type="dxa"/>
              <w:bottom w:w="0" w:type="dxa"/>
              <w:right w:w="0" w:type="dxa"/>
            </w:tcMar>
            <w:vAlign w:val="center"/>
          </w:tcPr>
          <w:p w14:paraId="42F1D726" w14:textId="77777777" w:rsidR="001C08A5" w:rsidRDefault="00000000">
            <w:pPr>
              <w:jc w:val="center"/>
              <w:rPr>
                <w:b/>
                <w:bCs/>
                <w:i/>
                <w:sz w:val="22"/>
                <w:szCs w:val="22"/>
              </w:rPr>
            </w:pPr>
            <w:r>
              <w:rPr>
                <w:b/>
                <w:bCs/>
                <w:i/>
                <w:sz w:val="22"/>
                <w:szCs w:val="22"/>
                <w:lang w:val="en-US" w:eastAsia="zh-CN" w:bidi="ar"/>
              </w:rPr>
              <w:t>V</w:t>
            </w:r>
          </w:p>
        </w:tc>
        <w:tc>
          <w:tcPr>
            <w:tcW w:w="751" w:type="pct"/>
            <w:tcMar>
              <w:top w:w="0" w:type="dxa"/>
              <w:left w:w="0" w:type="dxa"/>
              <w:bottom w:w="0" w:type="dxa"/>
              <w:right w:w="0" w:type="dxa"/>
            </w:tcMar>
            <w:vAlign w:val="center"/>
          </w:tcPr>
          <w:p w14:paraId="52D7A452" w14:textId="77777777" w:rsidR="001C08A5" w:rsidRDefault="00000000">
            <w:pPr>
              <w:jc w:val="center"/>
              <w:rPr>
                <w:b/>
                <w:i/>
                <w:sz w:val="22"/>
                <w:szCs w:val="22"/>
              </w:rPr>
            </w:pPr>
            <w:r>
              <w:rPr>
                <w:b/>
                <w:i/>
                <w:sz w:val="22"/>
                <w:szCs w:val="22"/>
              </w:rPr>
              <w:t>EI/REI 15</w:t>
            </w:r>
          </w:p>
          <w:p w14:paraId="35C7BDA0" w14:textId="77777777" w:rsidR="001C08A5" w:rsidRDefault="00000000">
            <w:pPr>
              <w:jc w:val="center"/>
              <w:rPr>
                <w:b/>
                <w:i/>
                <w:sz w:val="22"/>
                <w:szCs w:val="22"/>
              </w:rPr>
            </w:pPr>
            <w:r>
              <w:rPr>
                <w:b/>
                <w:i/>
                <w:sz w:val="22"/>
                <w:szCs w:val="22"/>
              </w:rPr>
              <w:t xml:space="preserve">min. </w:t>
            </w:r>
          </w:p>
          <w:p w14:paraId="4AC262D0" w14:textId="77777777" w:rsidR="001C08A5" w:rsidRDefault="00000000">
            <w:pPr>
              <w:jc w:val="center"/>
              <w:rPr>
                <w:b/>
                <w:i/>
                <w:sz w:val="22"/>
                <w:szCs w:val="22"/>
              </w:rPr>
            </w:pPr>
            <w:r>
              <w:rPr>
                <w:b/>
                <w:i/>
                <w:sz w:val="22"/>
                <w:szCs w:val="22"/>
              </w:rPr>
              <w:t>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751" w:type="pct"/>
            <w:tcMar>
              <w:top w:w="0" w:type="dxa"/>
              <w:left w:w="0" w:type="dxa"/>
              <w:bottom w:w="0" w:type="dxa"/>
              <w:right w:w="0" w:type="dxa"/>
            </w:tcMar>
            <w:vAlign w:val="center"/>
          </w:tcPr>
          <w:p w14:paraId="1E55AE8A" w14:textId="77777777" w:rsidR="001C08A5" w:rsidRDefault="00000000">
            <w:pPr>
              <w:jc w:val="center"/>
              <w:rPr>
                <w:b/>
                <w:i/>
                <w:sz w:val="22"/>
                <w:szCs w:val="22"/>
              </w:rPr>
            </w:pPr>
            <w:r>
              <w:rPr>
                <w:b/>
                <w:i/>
                <w:sz w:val="22"/>
                <w:szCs w:val="22"/>
              </w:rPr>
              <w:t>EI/REI 15</w:t>
            </w:r>
          </w:p>
          <w:p w14:paraId="5815A9F7" w14:textId="77777777" w:rsidR="001C08A5" w:rsidRDefault="00000000">
            <w:pPr>
              <w:jc w:val="center"/>
              <w:rPr>
                <w:b/>
                <w:i/>
                <w:sz w:val="22"/>
                <w:szCs w:val="22"/>
              </w:rPr>
            </w:pPr>
            <w:r>
              <w:rPr>
                <w:b/>
                <w:i/>
                <w:sz w:val="22"/>
                <w:szCs w:val="22"/>
              </w:rPr>
              <w:t xml:space="preserve">min. </w:t>
            </w:r>
          </w:p>
          <w:p w14:paraId="52264DA8" w14:textId="77777777" w:rsidR="001C08A5" w:rsidRDefault="00000000">
            <w:pPr>
              <w:jc w:val="center"/>
              <w:rPr>
                <w:i/>
                <w:sz w:val="22"/>
                <w:szCs w:val="22"/>
              </w:rPr>
            </w:pPr>
            <w:r>
              <w:rPr>
                <w:b/>
                <w:i/>
                <w:sz w:val="22"/>
                <w:szCs w:val="22"/>
              </w:rPr>
              <w:t xml:space="preserve">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752" w:type="pct"/>
            <w:gridSpan w:val="2"/>
            <w:tcMar>
              <w:top w:w="0" w:type="dxa"/>
              <w:left w:w="0" w:type="dxa"/>
              <w:bottom w:w="0" w:type="dxa"/>
              <w:right w:w="0" w:type="dxa"/>
            </w:tcMar>
            <w:vAlign w:val="center"/>
          </w:tcPr>
          <w:p w14:paraId="227E1993" w14:textId="77777777" w:rsidR="001C08A5" w:rsidRDefault="00000000">
            <w:pPr>
              <w:jc w:val="center"/>
              <w:rPr>
                <w:i/>
                <w:sz w:val="22"/>
                <w:szCs w:val="22"/>
              </w:rPr>
            </w:pPr>
            <w:r>
              <w:rPr>
                <w:i/>
                <w:sz w:val="22"/>
                <w:szCs w:val="22"/>
              </w:rPr>
              <w:t>-</w:t>
            </w:r>
          </w:p>
        </w:tc>
        <w:tc>
          <w:tcPr>
            <w:tcW w:w="753" w:type="pct"/>
            <w:tcMar>
              <w:top w:w="0" w:type="dxa"/>
              <w:left w:w="0" w:type="dxa"/>
              <w:bottom w:w="0" w:type="dxa"/>
              <w:right w:w="0" w:type="dxa"/>
            </w:tcMar>
            <w:vAlign w:val="center"/>
          </w:tcPr>
          <w:p w14:paraId="5AA7D353" w14:textId="77777777" w:rsidR="001C08A5" w:rsidRDefault="00000000">
            <w:pPr>
              <w:jc w:val="center"/>
              <w:rPr>
                <w:i/>
                <w:sz w:val="22"/>
                <w:szCs w:val="22"/>
                <w:lang w:val="en-US" w:eastAsia="zh-CN" w:bidi="ar"/>
              </w:rPr>
            </w:pPr>
            <w:r>
              <w:rPr>
                <w:i/>
                <w:sz w:val="22"/>
                <w:szCs w:val="22"/>
              </w:rPr>
              <w:t>-</w:t>
            </w:r>
          </w:p>
        </w:tc>
        <w:tc>
          <w:tcPr>
            <w:tcW w:w="752" w:type="pct"/>
            <w:tcMar>
              <w:top w:w="0" w:type="dxa"/>
              <w:left w:w="0" w:type="dxa"/>
              <w:bottom w:w="0" w:type="dxa"/>
              <w:right w:w="0" w:type="dxa"/>
            </w:tcMar>
            <w:vAlign w:val="center"/>
          </w:tcPr>
          <w:p w14:paraId="7362F675" w14:textId="77777777" w:rsidR="001C08A5" w:rsidRDefault="00000000">
            <w:pPr>
              <w:jc w:val="center"/>
              <w:rPr>
                <w:b/>
                <w:i/>
                <w:sz w:val="22"/>
                <w:szCs w:val="22"/>
              </w:rPr>
            </w:pPr>
            <w:r>
              <w:rPr>
                <w:b/>
                <w:i/>
                <w:sz w:val="22"/>
                <w:szCs w:val="22"/>
              </w:rPr>
              <w:t>EI/REI 45</w:t>
            </w:r>
          </w:p>
          <w:p w14:paraId="3695E881" w14:textId="77777777" w:rsidR="001C08A5" w:rsidRDefault="00000000">
            <w:pPr>
              <w:jc w:val="center"/>
              <w:rPr>
                <w:b/>
                <w:i/>
                <w:sz w:val="22"/>
                <w:szCs w:val="22"/>
              </w:rPr>
            </w:pPr>
            <w:r>
              <w:rPr>
                <w:b/>
                <w:i/>
                <w:sz w:val="22"/>
                <w:szCs w:val="22"/>
              </w:rPr>
              <w:t xml:space="preserve">min. </w:t>
            </w:r>
          </w:p>
          <w:p w14:paraId="30057C66" w14:textId="77777777" w:rsidR="001C08A5" w:rsidRDefault="00000000">
            <w:pPr>
              <w:jc w:val="center"/>
              <w:rPr>
                <w:i/>
                <w:sz w:val="22"/>
                <w:szCs w:val="22"/>
                <w:lang w:eastAsia="zh-CN" w:bidi="ar"/>
              </w:rPr>
            </w:pPr>
            <w:r>
              <w:rPr>
                <w:b/>
                <w:i/>
                <w:sz w:val="22"/>
                <w:szCs w:val="22"/>
              </w:rPr>
              <w:t xml:space="preserve"> C-</w:t>
            </w:r>
            <w:r>
              <w:rPr>
                <w:b/>
                <w:i/>
                <w:sz w:val="22"/>
                <w:szCs w:val="22"/>
                <w:lang w:val="en-US" w:eastAsia="zh-CN"/>
              </w:rPr>
              <w:t>s1÷</w:t>
            </w:r>
            <w:r>
              <w:rPr>
                <w:b/>
                <w:i/>
                <w:sz w:val="22"/>
                <w:szCs w:val="22"/>
                <w:lang w:eastAsia="zh-CN"/>
              </w:rPr>
              <w:t>s3</w:t>
            </w:r>
            <w:r>
              <w:rPr>
                <w:b/>
                <w:i/>
                <w:sz w:val="22"/>
                <w:szCs w:val="22"/>
                <w:lang w:val="en-US" w:eastAsia="zh-CN"/>
              </w:rPr>
              <w:t xml:space="preserve">, </w:t>
            </w:r>
            <w:r>
              <w:rPr>
                <w:b/>
                <w:i/>
                <w:sz w:val="22"/>
                <w:szCs w:val="22"/>
                <w:lang w:eastAsia="zh-CN"/>
              </w:rPr>
              <w:t>d0</w:t>
            </w:r>
            <w:r>
              <w:rPr>
                <w:b/>
                <w:i/>
                <w:sz w:val="22"/>
                <w:szCs w:val="22"/>
                <w:lang w:val="en-US" w:eastAsia="zh-CN"/>
              </w:rPr>
              <w:t>÷d1</w:t>
            </w:r>
          </w:p>
        </w:tc>
        <w:tc>
          <w:tcPr>
            <w:tcW w:w="763" w:type="pct"/>
            <w:tcMar>
              <w:top w:w="0" w:type="dxa"/>
              <w:left w:w="0" w:type="dxa"/>
              <w:bottom w:w="0" w:type="dxa"/>
              <w:right w:w="0" w:type="dxa"/>
            </w:tcMar>
            <w:vAlign w:val="center"/>
          </w:tcPr>
          <w:p w14:paraId="5D821F3B" w14:textId="77777777" w:rsidR="001C08A5" w:rsidRDefault="00000000">
            <w:pPr>
              <w:jc w:val="center"/>
              <w:rPr>
                <w:i/>
                <w:sz w:val="22"/>
                <w:szCs w:val="22"/>
                <w:lang w:eastAsia="zh-CN" w:bidi="ar"/>
              </w:rPr>
            </w:pPr>
            <w:r>
              <w:rPr>
                <w:b/>
                <w:bCs/>
                <w:i/>
                <w:sz w:val="22"/>
                <w:szCs w:val="22"/>
                <w:lang w:eastAsia="zh-CN" w:bidi="ar"/>
              </w:rPr>
              <w:t>C5</w:t>
            </w:r>
          </w:p>
        </w:tc>
      </w:tr>
    </w:tbl>
    <w:p w14:paraId="4C08FC87" w14:textId="77777777" w:rsidR="001C08A5" w:rsidRDefault="001C08A5">
      <w:pPr>
        <w:shd w:val="clear" w:color="auto" w:fill="FFFFFF"/>
        <w:spacing w:after="150"/>
        <w:jc w:val="both"/>
        <w:rPr>
          <w:rFonts w:eastAsia="Calibri"/>
          <w:i/>
          <w:sz w:val="24"/>
          <w:szCs w:val="24"/>
          <w:shd w:val="clear" w:color="auto" w:fill="FFFFFF"/>
        </w:rPr>
      </w:pPr>
    </w:p>
    <w:p w14:paraId="0FCC93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3.10.119.</w:t>
      </w:r>
      <w:r>
        <w:rPr>
          <w:rFonts w:eastAsia="Calibri"/>
          <w:i/>
          <w:sz w:val="24"/>
          <w:szCs w:val="24"/>
          <w:shd w:val="clear" w:color="auto" w:fill="FFFFFF"/>
        </w:rPr>
        <w:t xml:space="preserve"> Rampele și podestele scărilor sau planurilor înclinate, vor respecta condițiile de la Art. </w:t>
      </w:r>
      <w:r>
        <w:rPr>
          <w:rFonts w:eastAsia="Calibri"/>
          <w:b/>
          <w:bCs/>
          <w:i/>
          <w:sz w:val="24"/>
          <w:szCs w:val="24"/>
          <w:shd w:val="clear" w:color="auto" w:fill="FFFFFF"/>
        </w:rPr>
        <w:t xml:space="preserve">A.10.2.4.32. </w:t>
      </w:r>
      <w:r>
        <w:rPr>
          <w:rFonts w:eastAsia="Calibri"/>
          <w:i/>
          <w:sz w:val="24"/>
          <w:szCs w:val="24"/>
          <w:shd w:val="clear" w:color="auto" w:fill="FFFFFF"/>
        </w:rPr>
        <w:t>și</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A.10.2.4.33.</w:t>
      </w:r>
    </w:p>
    <w:p w14:paraId="364AE68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3.10.120.</w:t>
      </w:r>
      <w:r>
        <w:rPr>
          <w:rFonts w:eastAsia="Calibri"/>
          <w:i/>
          <w:sz w:val="24"/>
          <w:szCs w:val="24"/>
          <w:shd w:val="clear" w:color="auto" w:fill="FFFFFF"/>
        </w:rPr>
        <w:t> Capacitatea (</w:t>
      </w:r>
      <w:r>
        <w:rPr>
          <w:rFonts w:eastAsia="Calibri"/>
          <w:b/>
          <w:bCs/>
          <w:i/>
          <w:sz w:val="24"/>
          <w:szCs w:val="24"/>
          <w:shd w:val="clear" w:color="auto" w:fill="FFFFFF"/>
        </w:rPr>
        <w:t>C</w:t>
      </w:r>
      <w:r>
        <w:rPr>
          <w:rFonts w:eastAsia="Calibri"/>
          <w:i/>
          <w:sz w:val="24"/>
          <w:szCs w:val="24"/>
          <w:shd w:val="clear" w:color="auto" w:fill="FFFFFF"/>
        </w:rPr>
        <w:t>) a unui flux (</w:t>
      </w:r>
      <w:r>
        <w:rPr>
          <w:rFonts w:eastAsia="Calibri"/>
          <w:b/>
          <w:bCs/>
          <w:i/>
          <w:sz w:val="24"/>
          <w:szCs w:val="24"/>
          <w:shd w:val="clear" w:color="auto" w:fill="FFFFFF"/>
        </w:rPr>
        <w:t>F</w:t>
      </w:r>
      <w:r>
        <w:rPr>
          <w:rFonts w:eastAsia="Calibri"/>
          <w:i/>
          <w:sz w:val="24"/>
          <w:szCs w:val="24"/>
          <w:shd w:val="clear" w:color="auto" w:fill="FFFFFF"/>
        </w:rPr>
        <w:t xml:space="preserve">) de evacuare, este de maximum </w:t>
      </w:r>
      <w:r>
        <w:rPr>
          <w:rFonts w:eastAsia="Calibri"/>
          <w:b/>
          <w:bCs/>
          <w:i/>
          <w:sz w:val="24"/>
          <w:szCs w:val="24"/>
          <w:shd w:val="clear" w:color="auto" w:fill="FFFFFF"/>
        </w:rPr>
        <w:t xml:space="preserve">70 </w:t>
      </w:r>
      <w:r>
        <w:rPr>
          <w:rFonts w:eastAsia="Calibri"/>
          <w:i/>
          <w:sz w:val="24"/>
          <w:szCs w:val="24"/>
          <w:shd w:val="clear" w:color="auto" w:fill="FFFFFF"/>
        </w:rPr>
        <w:t>de persoane.</w:t>
      </w:r>
    </w:p>
    <w:p w14:paraId="727AEB8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3.10.121.</w:t>
      </w:r>
      <w:r>
        <w:rPr>
          <w:rFonts w:eastAsia="Calibri"/>
          <w:i/>
          <w:sz w:val="24"/>
          <w:szCs w:val="24"/>
          <w:shd w:val="clear" w:color="auto" w:fill="FFFFFF"/>
        </w:rPr>
        <w:t xml:space="preserve"> Lungimile maxime ale căilor de evacuare în clădiri pentru turism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_Ref12937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80: Lungimi de evacuare în clădiri pentru turism supraterane cu înălţimi obişnuite</w:t>
      </w:r>
      <w:r>
        <w:rPr>
          <w:rFonts w:eastAsia="Calibri"/>
          <w:b/>
          <w:bCs/>
          <w:i/>
          <w:iCs/>
          <w:sz w:val="24"/>
          <w:szCs w:val="24"/>
          <w:shd w:val="clear" w:color="auto" w:fill="FFFFFF"/>
        </w:rPr>
        <w:fldChar w:fldCharType="end"/>
      </w:r>
      <w:r>
        <w:rPr>
          <w:rFonts w:eastAsia="Calibri"/>
          <w:i/>
          <w:sz w:val="24"/>
          <w:szCs w:val="24"/>
          <w:shd w:val="clear" w:color="auto" w:fill="FFFFFF"/>
        </w:rPr>
        <w:t xml:space="preserve"> (cu excepția clădirilor existente înalte, foarte înalte sau cu săli aglomerate).</w:t>
      </w:r>
    </w:p>
    <w:p w14:paraId="70ABCC5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3.10.122.</w:t>
      </w:r>
      <w:r>
        <w:rPr>
          <w:rFonts w:eastAsia="Calibri"/>
          <w:i/>
          <w:sz w:val="24"/>
          <w:szCs w:val="24"/>
          <w:shd w:val="clear" w:color="auto" w:fill="FFFFFF"/>
        </w:rPr>
        <w:t xml:space="preserve"> Pereții căilor de evacuare a persoanelor (dacă nu sunt clădiri existente înalte sau foarte înalte), vor respecta condițiile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_Ref12797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158</w:t>
      </w:r>
      <w:r>
        <w:rPr>
          <w:rFonts w:eastAsia="Calibri"/>
          <w:b/>
          <w:bCs/>
          <w:i/>
          <w:iCs/>
          <w:sz w:val="24"/>
          <w:szCs w:val="24"/>
          <w:shd w:val="clear" w:color="auto" w:fill="FFFFFF"/>
        </w:rPr>
        <w:fldChar w:fldCharType="end"/>
      </w:r>
      <w:r>
        <w:rPr>
          <w:b/>
          <w:i/>
          <w:sz w:val="24"/>
          <w:szCs w:val="24"/>
        </w:rPr>
        <w:t>.</w:t>
      </w:r>
    </w:p>
    <w:p w14:paraId="09CA8444"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3.10.123.</w:t>
      </w:r>
      <w:r>
        <w:rPr>
          <w:rFonts w:eastAsia="Calibri"/>
          <w:i/>
          <w:sz w:val="24"/>
          <w:szCs w:val="24"/>
          <w:shd w:val="clear" w:color="auto" w:fill="FFFFFF"/>
        </w:rPr>
        <w:t> Clădirile existente pentru turism vor avea asigurat accesul autospecialelor pentru intervenție în caz de incendiu, la cel puțin două fațade.</w:t>
      </w:r>
    </w:p>
    <w:p w14:paraId="3940DEC6" w14:textId="77777777" w:rsidR="001C08A5" w:rsidRDefault="00000000">
      <w:pPr>
        <w:pStyle w:val="Heading4"/>
        <w:rPr>
          <w:sz w:val="24"/>
          <w:szCs w:val="24"/>
        </w:rPr>
      </w:pPr>
      <w:bookmarkStart w:id="11011" w:name="_Toc32616"/>
      <w:bookmarkStart w:id="11012" w:name="_Toc1102"/>
      <w:bookmarkStart w:id="11013" w:name="_Toc24506"/>
      <w:bookmarkStart w:id="11014" w:name="_Toc6171"/>
      <w:bookmarkStart w:id="11015" w:name="_Toc162355593"/>
      <w:r>
        <w:rPr>
          <w:sz w:val="24"/>
          <w:szCs w:val="24"/>
        </w:rPr>
        <w:t>Clădiri existente de cult</w:t>
      </w:r>
      <w:bookmarkEnd w:id="11011"/>
      <w:bookmarkEnd w:id="11012"/>
      <w:bookmarkEnd w:id="11013"/>
      <w:bookmarkEnd w:id="11014"/>
      <w:bookmarkEnd w:id="11015"/>
    </w:p>
    <w:p w14:paraId="08AF230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3.10.124.</w:t>
      </w:r>
      <w:r>
        <w:rPr>
          <w:rFonts w:eastAsia="Calibri"/>
          <w:i/>
          <w:sz w:val="24"/>
          <w:szCs w:val="24"/>
          <w:shd w:val="clear" w:color="auto" w:fill="FFFFFF"/>
        </w:rPr>
        <w:t> Clădirile existente de cult (catedrale, biserici, lăcașuri, case de rugăciuni, sinagogi, temple, etc), precum și ansamb lurile mănăstirești, vor îndeplini performanțele corespunzătoare stabilite în prezenta anexă, completate cu cele specifice acestora.</w:t>
      </w:r>
    </w:p>
    <w:p w14:paraId="41DEA55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3.10.125.</w:t>
      </w:r>
      <w:r>
        <w:rPr>
          <w:rFonts w:eastAsia="Calibri"/>
          <w:i/>
          <w:sz w:val="24"/>
          <w:szCs w:val="24"/>
          <w:shd w:val="clear" w:color="auto" w:fill="FFFFFF"/>
        </w:rPr>
        <w:t xml:space="preserve"> Amplasarea clădirilor existente de cult, de regulă, se realizează independent, la distanță față de clădiri existente învecinate, conform prevederilor din Art. </w:t>
      </w:r>
      <w:r>
        <w:rPr>
          <w:rFonts w:eastAsia="Calibri"/>
          <w:b/>
          <w:bCs/>
          <w:i/>
          <w:sz w:val="24"/>
          <w:szCs w:val="24"/>
          <w:shd w:val="clear" w:color="auto" w:fill="FFFFFF"/>
        </w:rPr>
        <w:t>A.10.2.2.2.</w:t>
      </w:r>
      <w:r>
        <w:rPr>
          <w:rFonts w:eastAsia="Calibri"/>
          <w:i/>
          <w:sz w:val="24"/>
          <w:szCs w:val="24"/>
          <w:shd w:val="clear" w:color="auto" w:fill="FFFFFF"/>
        </w:rPr>
        <w:t xml:space="preserve"> 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_Ref5126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145</w:t>
      </w:r>
      <w:r>
        <w:rPr>
          <w:rFonts w:eastAsia="Calibri"/>
          <w:b/>
          <w:bCs/>
          <w:i/>
          <w:iCs/>
          <w:sz w:val="24"/>
          <w:szCs w:val="24"/>
          <w:shd w:val="clear" w:color="auto" w:fill="FFFFFF"/>
        </w:rPr>
        <w:fldChar w:fldCharType="end"/>
      </w:r>
      <w:r>
        <w:rPr>
          <w:rFonts w:eastAsia="Calibri"/>
          <w:i/>
          <w:sz w:val="24"/>
          <w:szCs w:val="24"/>
          <w:shd w:val="clear" w:color="auto" w:fill="FFFFFF"/>
        </w:rPr>
        <w:t>, sau sunt compartimentate față de acestea.</w:t>
      </w:r>
    </w:p>
    <w:p w14:paraId="157AF65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3.10.126.</w:t>
      </w:r>
      <w:r>
        <w:rPr>
          <w:rFonts w:eastAsia="Calibri"/>
          <w:i/>
          <w:sz w:val="24"/>
          <w:szCs w:val="24"/>
          <w:shd w:val="clear" w:color="auto" w:fill="FFFFFF"/>
        </w:rPr>
        <w:t> În cadrul ansamblurilor mănăstirești, clădirile de cult pot fi comasate sau grupate cu alte construcții existente ale mănăstirii, în cadrul compartimentelor de incendiu normate (prevăzute prin prezenta anexă).</w:t>
      </w:r>
    </w:p>
    <w:p w14:paraId="294956B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3.10.127.</w:t>
      </w:r>
      <w:r>
        <w:rPr>
          <w:rFonts w:eastAsia="Calibri"/>
          <w:i/>
          <w:sz w:val="24"/>
          <w:szCs w:val="24"/>
          <w:shd w:val="clear" w:color="auto" w:fill="FFFFFF"/>
        </w:rPr>
        <w:t> Clădirile existente de cult parter, cu capacitatea maximă simultană de</w:t>
      </w:r>
      <w:r>
        <w:rPr>
          <w:rFonts w:eastAsia="Calibri"/>
          <w:b/>
          <w:bCs/>
          <w:i/>
          <w:sz w:val="24"/>
          <w:szCs w:val="24"/>
          <w:shd w:val="clear" w:color="auto" w:fill="FFFFFF"/>
        </w:rPr>
        <w:t xml:space="preserve"> 200</w:t>
      </w:r>
      <w:r>
        <w:rPr>
          <w:rFonts w:eastAsia="Calibri"/>
          <w:i/>
          <w:sz w:val="24"/>
          <w:szCs w:val="24"/>
          <w:shd w:val="clear" w:color="auto" w:fill="FFFFFF"/>
        </w:rPr>
        <w:t xml:space="preserve"> persoane pot fi realizate din materiale și elemente de construcție </w:t>
      </w:r>
      <w:r>
        <w:rPr>
          <w:rFonts w:eastAsia="TimesNewRomanPSMT-Identity-H"/>
          <w:i/>
          <w:sz w:val="24"/>
          <w:szCs w:val="24"/>
        </w:rPr>
        <w:t xml:space="preserve">clasa de reacție la foc </w:t>
      </w:r>
      <w:r>
        <w:rPr>
          <w:rFonts w:eastAsia="TimesNewRomanPSMT-Identity-H"/>
          <w:b/>
          <w:bCs/>
          <w:i/>
          <w:sz w:val="24"/>
          <w:szCs w:val="24"/>
          <w:lang w:eastAsia="zh-CN"/>
        </w:rPr>
        <w:t>A2s1÷s3,d2; Bs1÷s3,d2; Cs1÷s3,d2; Ds1÷s3,d2; Ed2</w:t>
      </w:r>
      <w:r>
        <w:rPr>
          <w:rFonts w:eastAsia="Calibri"/>
          <w:i/>
          <w:sz w:val="24"/>
          <w:szCs w:val="24"/>
          <w:shd w:val="clear" w:color="auto" w:fill="FFFFFF"/>
        </w:rPr>
        <w:t xml:space="preserve"> și asigurate numai cu stingătoare în caz de incendiu, iar pentru cele cu capacități simultane mai mari, se respectă prevederile specifice sălilor aglomerate.</w:t>
      </w:r>
    </w:p>
    <w:p w14:paraId="7D90DF5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3.10.128.</w:t>
      </w:r>
      <w:r>
        <w:rPr>
          <w:rFonts w:eastAsia="Calibri"/>
          <w:i/>
          <w:sz w:val="24"/>
          <w:szCs w:val="24"/>
          <w:shd w:val="clear" w:color="auto" w:fill="FFFFFF"/>
        </w:rPr>
        <w:t> Clădirile existente de cult, indiferent de capacitatea maximă simultană, vor avea asigurate cel puțin două căi de evacuare a persoanelor, distincte și independente. Excepție fac cele cu capacitatea maximă simultană de 30 persoane.</w:t>
      </w:r>
    </w:p>
    <w:p w14:paraId="39D5925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3.10.129.</w:t>
      </w:r>
      <w:r>
        <w:rPr>
          <w:rFonts w:eastAsia="Calibri"/>
          <w:i/>
          <w:sz w:val="24"/>
          <w:szCs w:val="24"/>
          <w:shd w:val="clear" w:color="auto" w:fill="FFFFFF"/>
        </w:rPr>
        <w:t xml:space="preserve"> Clădirile existente de cult de nivelul de stabilitate la incendiu </w:t>
      </w:r>
      <w:r>
        <w:rPr>
          <w:rFonts w:eastAsia="Calibri"/>
          <w:b/>
          <w:bCs/>
          <w:i/>
          <w:sz w:val="24"/>
          <w:szCs w:val="24"/>
          <w:shd w:val="clear" w:color="auto" w:fill="FFFFFF"/>
        </w:rPr>
        <w:t>III</w:t>
      </w:r>
      <w:r>
        <w:rPr>
          <w:rFonts w:eastAsia="Calibri"/>
          <w:i/>
          <w:sz w:val="24"/>
          <w:szCs w:val="24"/>
          <w:shd w:val="clear" w:color="auto" w:fill="FFFFFF"/>
        </w:rPr>
        <w:t>-</w:t>
      </w:r>
      <w:r>
        <w:rPr>
          <w:rFonts w:eastAsia="Calibri"/>
          <w:b/>
          <w:bCs/>
          <w:i/>
          <w:sz w:val="24"/>
          <w:szCs w:val="24"/>
          <w:shd w:val="clear" w:color="auto" w:fill="FFFFFF"/>
        </w:rPr>
        <w:t>V</w:t>
      </w:r>
      <w:r>
        <w:rPr>
          <w:rFonts w:eastAsia="Calibri"/>
          <w:i/>
          <w:sz w:val="24"/>
          <w:szCs w:val="24"/>
          <w:shd w:val="clear" w:color="auto" w:fill="FFFFFF"/>
        </w:rPr>
        <w:t xml:space="preserve">, pot avea subpantă (balcon) pentru maximum </w:t>
      </w:r>
      <w:r>
        <w:rPr>
          <w:rFonts w:eastAsia="Calibri"/>
          <w:b/>
          <w:bCs/>
          <w:i/>
          <w:sz w:val="24"/>
          <w:szCs w:val="24"/>
          <w:shd w:val="clear" w:color="auto" w:fill="FFFFFF"/>
        </w:rPr>
        <w:t>30</w:t>
      </w:r>
      <w:r>
        <w:rPr>
          <w:rFonts w:eastAsia="Calibri"/>
          <w:i/>
          <w:sz w:val="24"/>
          <w:szCs w:val="24"/>
          <w:shd w:val="clear" w:color="auto" w:fill="FFFFFF"/>
        </w:rPr>
        <w:t xml:space="preserve"> persoane și a căror evacuare se poate realiza printr-o scară deschisă în parterul clădirii.</w:t>
      </w:r>
    </w:p>
    <w:p w14:paraId="515B8C7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3.10.130.</w:t>
      </w:r>
      <w:r>
        <w:rPr>
          <w:rFonts w:eastAsia="Calibri"/>
          <w:i/>
          <w:sz w:val="24"/>
          <w:szCs w:val="24"/>
          <w:shd w:val="clear" w:color="auto" w:fill="FFFFFF"/>
        </w:rPr>
        <w:t> Clădirile existente de cult cu subsol, vor avea asigurat accesul separat al subsolului și în cazul în care acesta cuprinde spații funcționale necesare cultului, se pot realiza și circulații interioare între subsol și parter, cu condiția ca acestea să fie prevăzute cu uși rezistente la foc minimum 30 de minute (</w:t>
      </w:r>
      <w:r>
        <w:rPr>
          <w:rFonts w:eastAsia="Calibri"/>
          <w:b/>
          <w:bCs/>
          <w:i/>
          <w:sz w:val="24"/>
          <w:szCs w:val="24"/>
          <w:shd w:val="clear" w:color="auto" w:fill="FFFFFF"/>
        </w:rPr>
        <w:t>EI30-C</w:t>
      </w:r>
      <w:r>
        <w:rPr>
          <w:rFonts w:eastAsia="Calibri"/>
          <w:i/>
          <w:sz w:val="24"/>
          <w:szCs w:val="24"/>
          <w:shd w:val="clear" w:color="auto" w:fill="FFFFFF"/>
        </w:rPr>
        <w:t>) și echipate cu dispozitive de autoînchidere sau închidere automată în caz de incendiu.</w:t>
      </w:r>
    </w:p>
    <w:p w14:paraId="4029676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3.10.131.</w:t>
      </w:r>
      <w:r>
        <w:rPr>
          <w:rFonts w:eastAsia="Calibri"/>
          <w:i/>
          <w:sz w:val="24"/>
          <w:szCs w:val="24"/>
          <w:shd w:val="clear" w:color="auto" w:fill="FFFFFF"/>
        </w:rPr>
        <w:t> Utilizarea focului deschis (lumânări, candele, etc.) în clădirile existente de cult este admisă numai în condițiile asigurării măsurilor specifice de prevenire a incendiilor și, după caz, numai în locurile stabilite și amenajate corespunzător.</w:t>
      </w:r>
    </w:p>
    <w:p w14:paraId="0F71E6D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3.10.132.</w:t>
      </w:r>
      <w:r>
        <w:rPr>
          <w:rFonts w:eastAsia="Calibri"/>
          <w:i/>
          <w:sz w:val="24"/>
          <w:szCs w:val="24"/>
          <w:shd w:val="clear" w:color="auto" w:fill="FFFFFF"/>
        </w:rPr>
        <w:t xml:space="preserve"> Clădirile existente de cult cu capacitatea de </w:t>
      </w:r>
      <w:r>
        <w:rPr>
          <w:rFonts w:eastAsia="Calibri"/>
          <w:b/>
          <w:bCs/>
          <w:i/>
          <w:sz w:val="24"/>
          <w:szCs w:val="24"/>
          <w:shd w:val="clear" w:color="auto" w:fill="FFFFFF"/>
        </w:rPr>
        <w:t>30</w:t>
      </w:r>
      <w:r>
        <w:rPr>
          <w:rFonts w:eastAsia="Calibri"/>
          <w:i/>
          <w:sz w:val="24"/>
          <w:szCs w:val="24"/>
          <w:shd w:val="clear" w:color="auto" w:fill="FFFFFF"/>
        </w:rPr>
        <w:t xml:space="preserve"> de persoane și mai mult, vor avea ușile de evacuare cu deschiderea în exterior.</w:t>
      </w:r>
    </w:p>
    <w:p w14:paraId="1FB2887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3.10.133.</w:t>
      </w:r>
      <w:r>
        <w:rPr>
          <w:rFonts w:eastAsia="Calibri"/>
          <w:i/>
          <w:sz w:val="24"/>
          <w:szCs w:val="24"/>
          <w:shd w:val="clear" w:color="auto" w:fill="FFFFFF"/>
        </w:rPr>
        <w:t> Clădirile existente de cult prevăzute cu locuri fixe (scaune, bănci, strane), vor avea acest mobilier fixat de pardoseală ori pereți, sau solidarizat pe pachete de scaune (bănci), conform prevederilor Art.</w:t>
      </w:r>
      <w:r>
        <w:rPr>
          <w:rFonts w:eastAsia="Calibri"/>
          <w:b/>
          <w:bCs/>
          <w:i/>
          <w:sz w:val="24"/>
          <w:szCs w:val="24"/>
          <w:shd w:val="clear" w:color="auto" w:fill="FFFFFF"/>
        </w:rPr>
        <w:t xml:space="preserve"> A.10.4.1.45.</w:t>
      </w:r>
    </w:p>
    <w:p w14:paraId="1F29674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3.10.134.</w:t>
      </w:r>
      <w:r>
        <w:rPr>
          <w:rFonts w:eastAsia="Calibri"/>
          <w:i/>
          <w:sz w:val="24"/>
          <w:szCs w:val="24"/>
          <w:shd w:val="clear" w:color="auto" w:fill="FFFFFF"/>
        </w:rPr>
        <w:t xml:space="preserve"> Lungimile maxime admise ale căilor de evacuare în clădiri existente de cult,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_Ref13378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81: Lungimi de evacuare în clădiri de cult supraterane cu înălţimi obişnuite</w:t>
      </w:r>
      <w:r>
        <w:rPr>
          <w:rFonts w:eastAsia="Calibri"/>
          <w:b/>
          <w:bCs/>
          <w:i/>
          <w:iCs/>
          <w:sz w:val="24"/>
          <w:szCs w:val="24"/>
          <w:shd w:val="clear" w:color="auto" w:fill="FFFFFF"/>
        </w:rPr>
        <w:fldChar w:fldCharType="end"/>
      </w:r>
      <w:r>
        <w:rPr>
          <w:rFonts w:eastAsia="Calibri"/>
          <w:i/>
          <w:sz w:val="24"/>
          <w:szCs w:val="24"/>
          <w:shd w:val="clear" w:color="auto" w:fill="FFFFFF"/>
        </w:rPr>
        <w:t>, (cu excepția sălilor aglomerate).</w:t>
      </w:r>
    </w:p>
    <w:p w14:paraId="126C4E9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3.10.135.</w:t>
      </w:r>
      <w:r>
        <w:rPr>
          <w:rFonts w:eastAsia="Calibri"/>
          <w:i/>
          <w:sz w:val="24"/>
          <w:szCs w:val="24"/>
          <w:shd w:val="clear" w:color="auto" w:fill="FFFFFF"/>
        </w:rPr>
        <w:t> Înstalațiile utilitare aferente clădirilor existente de cult (sanitare, electrice, încălzire, ventilare, etc), se proiectează și realizează conform prevederilor reglementărilortehnice specifice acestora.</w:t>
      </w:r>
    </w:p>
    <w:p w14:paraId="6010908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3.10.136.</w:t>
      </w:r>
      <w:r>
        <w:rPr>
          <w:rFonts w:eastAsia="Calibri"/>
          <w:i/>
          <w:sz w:val="24"/>
          <w:szCs w:val="24"/>
          <w:shd w:val="clear" w:color="auto" w:fill="FFFFFF"/>
        </w:rPr>
        <w:t> În afara cazurilor exceptate în prezentele prevederi specifice, echiparea și dotarea clădirilor existente de cult cu instalații și mijloace de semnalizare și stingere a incendiilor, se realizează conform reglementărilortehnice specifice.</w:t>
      </w:r>
    </w:p>
    <w:p w14:paraId="7684C34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3.10.137.</w:t>
      </w:r>
      <w:r>
        <w:rPr>
          <w:rFonts w:eastAsia="Calibri"/>
          <w:i/>
          <w:sz w:val="24"/>
          <w:szCs w:val="24"/>
          <w:shd w:val="clear" w:color="auto" w:fill="FFFFFF"/>
        </w:rPr>
        <w:t> Clădirile existente de cult vor avea asigurat accesul autospecialelor de intervenție în caz de incendiu, cel puțin la o fațadă.</w:t>
      </w:r>
    </w:p>
    <w:p w14:paraId="5E43BABA" w14:textId="77777777" w:rsidR="001C08A5" w:rsidRDefault="00000000">
      <w:pPr>
        <w:pStyle w:val="Heading4"/>
        <w:rPr>
          <w:sz w:val="24"/>
          <w:szCs w:val="24"/>
        </w:rPr>
      </w:pPr>
      <w:bookmarkStart w:id="11016" w:name="_Toc162355594"/>
      <w:bookmarkStart w:id="11017" w:name="_Toc21626"/>
      <w:bookmarkStart w:id="11018" w:name="_Toc21119"/>
      <w:bookmarkStart w:id="11019" w:name="_Toc24165"/>
      <w:bookmarkStart w:id="11020" w:name="_Toc26632"/>
      <w:bookmarkStart w:id="11021" w:name="_Toc16921"/>
      <w:r>
        <w:rPr>
          <w:sz w:val="24"/>
          <w:szCs w:val="24"/>
        </w:rPr>
        <w:t>Clădiri existente de sport</w:t>
      </w:r>
      <w:bookmarkEnd w:id="11016"/>
      <w:bookmarkEnd w:id="11017"/>
      <w:bookmarkEnd w:id="11018"/>
      <w:bookmarkEnd w:id="11019"/>
      <w:bookmarkEnd w:id="11020"/>
      <w:bookmarkEnd w:id="11021"/>
    </w:p>
    <w:p w14:paraId="675F663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3.10.138.</w:t>
      </w:r>
      <w:r>
        <w:rPr>
          <w:rFonts w:eastAsia="Calibri"/>
          <w:i/>
          <w:sz w:val="24"/>
          <w:szCs w:val="24"/>
          <w:shd w:val="clear" w:color="auto" w:fill="FFFFFF"/>
        </w:rPr>
        <w:t xml:space="preserve"> Clădirile existente de sport se proiectează și realizează în conformitate cu prevederile din prezenta anexă și ale reglementărilor specifice, asigurând condiții de siguranță la foc corespunzătoare. În construcții existente pentru sport, nivelele de comportare la foc ale elementelor care compun căile de evacuare vor fi conforme cu cele stabilite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_Ref13515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82: Comportare la foc a pereţilor, uşilor și planşeelor de separare a caselor de scări închise din clădirile pentru sport supraterane cu înălţimi obişnuite</w:t>
      </w:r>
      <w:r>
        <w:rPr>
          <w:rFonts w:eastAsia="Calibri"/>
          <w:b/>
          <w:bCs/>
          <w:i/>
          <w:iCs/>
          <w:sz w:val="24"/>
          <w:szCs w:val="24"/>
          <w:shd w:val="clear" w:color="auto" w:fill="FFFFFF"/>
        </w:rPr>
        <w:fldChar w:fldCharType="end"/>
      </w:r>
      <w:r>
        <w:rPr>
          <w:rFonts w:eastAsia="Calibri"/>
          <w:i/>
          <w:iCs/>
          <w:sz w:val="24"/>
          <w:szCs w:val="24"/>
          <w:shd w:val="clear" w:color="auto" w:fill="FFFFFF"/>
        </w:rPr>
        <w:t xml:space="preserve"> și</w:t>
      </w:r>
      <w:r>
        <w:rPr>
          <w:rFonts w:eastAsia="Calibri"/>
          <w:b/>
          <w:bCs/>
          <w:i/>
          <w:iCs/>
          <w:sz w:val="24"/>
          <w:szCs w:val="24"/>
          <w:shd w:val="clear" w:color="auto" w:fill="FFFFFF"/>
        </w:rPr>
        <w:t xml:space="preserve">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_Ref13532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83: Comportarea la foc a pereţilor, uşilor și planşeelor de separare a căilor de evacuare orizontale (coridoare şi holuri) din clădirile pentru sport supraterane cu înălţimi obişnuite</w:t>
      </w:r>
      <w:r>
        <w:rPr>
          <w:rFonts w:eastAsia="Calibri"/>
          <w:b/>
          <w:bCs/>
          <w:i/>
          <w:iCs/>
          <w:sz w:val="24"/>
          <w:szCs w:val="24"/>
          <w:shd w:val="clear" w:color="auto" w:fill="FFFFFF"/>
        </w:rPr>
        <w:fldChar w:fldCharType="end"/>
      </w:r>
      <w:r>
        <w:rPr>
          <w:rFonts w:eastAsia="Calibri"/>
          <w:i/>
          <w:sz w:val="24"/>
          <w:szCs w:val="24"/>
          <w:shd w:val="clear" w:color="auto" w:fill="FFFFFF"/>
        </w:rPr>
        <w:t xml:space="preserve">, cu excepția clădirilor înalte, foarte înalte sau cu săli aglomerate, pentru care se respectă prevederile specifice. Lungimile maxime ale căilor de evacuare în clădiri de sport sunt precizate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_Ref13698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84: Lungimi de evacuare în clădiri pentru sport supraterane închise, cu înălţimi obişnuite</w:t>
      </w:r>
      <w:r>
        <w:rPr>
          <w:rFonts w:eastAsia="Calibri"/>
          <w:b/>
          <w:bCs/>
          <w:i/>
          <w:iCs/>
          <w:sz w:val="24"/>
          <w:szCs w:val="24"/>
          <w:shd w:val="clear" w:color="auto" w:fill="FFFFFF"/>
        </w:rPr>
        <w:fldChar w:fldCharType="end"/>
      </w:r>
      <w:r>
        <w:rPr>
          <w:rFonts w:eastAsia="Calibri"/>
          <w:i/>
          <w:sz w:val="24"/>
          <w:szCs w:val="24"/>
          <w:shd w:val="clear" w:color="auto" w:fill="FFFFFF"/>
        </w:rPr>
        <w:t xml:space="preserve"> (cu excepția clădirilor existente înalte, foarte înalte sau cu săli aglomerate).</w:t>
      </w:r>
    </w:p>
    <w:p w14:paraId="51E1DE8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3.10.139.</w:t>
      </w:r>
      <w:r>
        <w:rPr>
          <w:rFonts w:eastAsia="Calibri"/>
          <w:i/>
          <w:sz w:val="24"/>
          <w:szCs w:val="24"/>
          <w:shd w:val="clear" w:color="auto" w:fill="FFFFFF"/>
        </w:rPr>
        <w:t> Amenajările existente și construcțiile existente de sport în aer liber (terenuri, bazine, etc), vor respecta reglementările de specialitate ale acestora.</w:t>
      </w:r>
    </w:p>
    <w:p w14:paraId="61225C2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3.10.140.</w:t>
      </w:r>
      <w:r>
        <w:rPr>
          <w:rFonts w:eastAsia="Calibri"/>
          <w:i/>
          <w:sz w:val="24"/>
          <w:szCs w:val="24"/>
          <w:shd w:val="clear" w:color="auto" w:fill="FFFFFF"/>
        </w:rPr>
        <w:t> Pentru clădirile existente de sport care se încadrează în categoria sălilor aglomerate, vor fi respectate prevederile din prezenta anexă referitoare la aceste săli.</w:t>
      </w:r>
    </w:p>
    <w:p w14:paraId="7E36E53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3.10.141.</w:t>
      </w:r>
      <w:r>
        <w:rPr>
          <w:rFonts w:eastAsia="Calibri"/>
          <w:i/>
          <w:sz w:val="24"/>
          <w:szCs w:val="24"/>
          <w:shd w:val="clear" w:color="auto" w:fill="FFFFFF"/>
        </w:rPr>
        <w:t> Clădirile existente de sport (închise), se echipează și dotează cu instalații și mijloace de prevenire și stingere a incendiilor, potrivit reglementărilorde specialitate.</w:t>
      </w:r>
    </w:p>
    <w:p w14:paraId="1B054C8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3.10.142.</w:t>
      </w:r>
      <w:r>
        <w:rPr>
          <w:rFonts w:eastAsia="Calibri"/>
          <w:i/>
          <w:sz w:val="24"/>
          <w:szCs w:val="24"/>
          <w:shd w:val="clear" w:color="auto" w:fill="FFFFFF"/>
        </w:rPr>
        <w:t> Clădirile existente de sport vor avea asigurate condiții de intervenție a autospecialelor, la cel puțin o fațadă a acestora, iar atunci când sunt săli aglomerate, la minimum două fațade.</w:t>
      </w:r>
    </w:p>
    <w:p w14:paraId="355571CB" w14:textId="77777777" w:rsidR="001C08A5" w:rsidRDefault="00000000">
      <w:pPr>
        <w:pStyle w:val="Heading3"/>
        <w:rPr>
          <w:i/>
          <w:iCs/>
          <w:sz w:val="24"/>
          <w:szCs w:val="24"/>
        </w:rPr>
      </w:pPr>
      <w:bookmarkStart w:id="11022" w:name="_Toc646"/>
      <w:bookmarkStart w:id="11023" w:name="_Toc162355595"/>
      <w:bookmarkStart w:id="11024" w:name="_Toc29920"/>
      <w:bookmarkStart w:id="11025" w:name="_Toc16939"/>
      <w:bookmarkStart w:id="11026" w:name="_Toc14403"/>
      <w:bookmarkStart w:id="11027" w:name="_Toc26499"/>
      <w:r>
        <w:rPr>
          <w:i/>
          <w:iCs/>
          <w:sz w:val="24"/>
          <w:szCs w:val="24"/>
        </w:rPr>
        <w:t>A.10. 3.11. PERFORMANȚE PROPRII UNOR AMENAJĂRI ȘI CLĂDIRI EXISTENTE</w:t>
      </w:r>
      <w:bookmarkEnd w:id="11022"/>
      <w:bookmarkEnd w:id="11023"/>
      <w:bookmarkEnd w:id="11024"/>
      <w:bookmarkEnd w:id="11025"/>
      <w:bookmarkEnd w:id="11026"/>
      <w:bookmarkEnd w:id="11027"/>
      <w:r>
        <w:rPr>
          <w:i/>
          <w:iCs/>
          <w:sz w:val="24"/>
          <w:szCs w:val="24"/>
        </w:rPr>
        <w:t xml:space="preserve"> </w:t>
      </w:r>
    </w:p>
    <w:p w14:paraId="29FB4CAB" w14:textId="77777777" w:rsidR="001C08A5" w:rsidRDefault="00000000">
      <w:pPr>
        <w:pStyle w:val="Heading4"/>
        <w:rPr>
          <w:sz w:val="24"/>
          <w:szCs w:val="24"/>
        </w:rPr>
      </w:pPr>
      <w:bookmarkStart w:id="11028" w:name="_Toc162355596"/>
      <w:bookmarkStart w:id="11029" w:name="_Toc8517"/>
      <w:bookmarkStart w:id="11030" w:name="_Toc21276"/>
      <w:bookmarkStart w:id="11031" w:name="_Toc29009"/>
      <w:bookmarkStart w:id="11032" w:name="_Toc12253"/>
      <w:bookmarkStart w:id="11033" w:name="_Toc13125"/>
      <w:r>
        <w:rPr>
          <w:sz w:val="24"/>
          <w:szCs w:val="24"/>
        </w:rPr>
        <w:t>Amenajări în aer liber</w:t>
      </w:r>
      <w:bookmarkEnd w:id="11028"/>
      <w:bookmarkEnd w:id="11029"/>
      <w:bookmarkEnd w:id="11030"/>
      <w:bookmarkEnd w:id="11031"/>
      <w:bookmarkEnd w:id="11032"/>
      <w:bookmarkEnd w:id="11033"/>
    </w:p>
    <w:p w14:paraId="28B9006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w:t>
      </w:r>
      <w:r>
        <w:rPr>
          <w:rFonts w:eastAsia="Calibri"/>
          <w:i/>
          <w:sz w:val="24"/>
          <w:szCs w:val="24"/>
          <w:shd w:val="clear" w:color="auto" w:fill="FFFFFF"/>
        </w:rPr>
        <w:t> La proiectarea și realizarea amenajărilor în aer liber, cum sunt cele pentru întruniri, concerte, cinematografe, spectacole, etc. (fără pereți și acoperiș), se asigură respectarea măsurilor de siguranță la foc stabilite pentru acestea (proprii).</w:t>
      </w:r>
    </w:p>
    <w:p w14:paraId="5C507549"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3.11.2.</w:t>
      </w:r>
      <w:r>
        <w:rPr>
          <w:rFonts w:eastAsia="Calibri"/>
          <w:i/>
          <w:sz w:val="24"/>
          <w:szCs w:val="24"/>
          <w:shd w:val="clear" w:color="auto" w:fill="FFFFFF"/>
        </w:rPr>
        <w:t xml:space="preserve"> Amenajările în aer liber se dotează cu mijloace de primă intervenţie, asigurându-se câte un stingător portativ cu performanţa minimă de stingere </w:t>
      </w:r>
      <w:r>
        <w:rPr>
          <w:rFonts w:eastAsia="Calibri"/>
          <w:b/>
          <w:bCs/>
          <w:i/>
          <w:sz w:val="24"/>
          <w:szCs w:val="24"/>
          <w:shd w:val="clear" w:color="auto" w:fill="FFFFFF"/>
        </w:rPr>
        <w:t>21A</w:t>
      </w:r>
      <w:r>
        <w:rPr>
          <w:rFonts w:eastAsia="Calibri"/>
          <w:i/>
          <w:sz w:val="24"/>
          <w:szCs w:val="24"/>
          <w:shd w:val="clear" w:color="auto" w:fill="FFFFFF"/>
        </w:rPr>
        <w:t xml:space="preserve"> şi </w:t>
      </w:r>
      <w:r>
        <w:rPr>
          <w:rFonts w:eastAsia="Calibri"/>
          <w:b/>
          <w:bCs/>
          <w:i/>
          <w:sz w:val="24"/>
          <w:szCs w:val="24"/>
          <w:shd w:val="clear" w:color="auto" w:fill="FFFFFF"/>
        </w:rPr>
        <w:t>113B</w:t>
      </w:r>
      <w:r>
        <w:rPr>
          <w:rFonts w:eastAsia="Calibri"/>
          <w:i/>
          <w:sz w:val="24"/>
          <w:szCs w:val="24"/>
          <w:shd w:val="clear" w:color="auto" w:fill="FFFFFF"/>
        </w:rPr>
        <w:t xml:space="preserve"> la fiecare </w:t>
      </w:r>
      <w:r>
        <w:rPr>
          <w:rFonts w:eastAsia="Calibri"/>
          <w:b/>
          <w:bCs/>
          <w:i/>
          <w:sz w:val="24"/>
          <w:szCs w:val="24"/>
          <w:shd w:val="clear" w:color="auto" w:fill="FFFFFF"/>
        </w:rPr>
        <w:t>250 m</w:t>
      </w:r>
      <w:r>
        <w:rPr>
          <w:rFonts w:eastAsia="Calibri"/>
          <w:b/>
          <w:bCs/>
          <w:i/>
          <w:sz w:val="24"/>
          <w:szCs w:val="24"/>
          <w:shd w:val="clear" w:color="auto" w:fill="FFFFFF"/>
          <w:vertAlign w:val="superscript"/>
        </w:rPr>
        <w:t>2</w:t>
      </w:r>
      <w:r>
        <w:rPr>
          <w:rFonts w:eastAsia="Calibri"/>
          <w:i/>
          <w:sz w:val="24"/>
          <w:szCs w:val="24"/>
          <w:shd w:val="clear" w:color="auto" w:fill="FFFFFF"/>
        </w:rPr>
        <w:t xml:space="preserve"> şi un stingător transportabil cu performanţe de stingere pentru focare tip </w:t>
      </w:r>
      <w:r>
        <w:rPr>
          <w:rFonts w:eastAsia="Calibri"/>
          <w:b/>
          <w:bCs/>
          <w:i/>
          <w:sz w:val="24"/>
          <w:szCs w:val="24"/>
          <w:shd w:val="clear" w:color="auto" w:fill="FFFFFF"/>
        </w:rPr>
        <w:t>A</w:t>
      </w:r>
      <w:r>
        <w:rPr>
          <w:rFonts w:eastAsia="Calibri"/>
          <w:i/>
          <w:sz w:val="24"/>
          <w:szCs w:val="24"/>
          <w:shd w:val="clear" w:color="auto" w:fill="FFFFFF"/>
        </w:rPr>
        <w:t xml:space="preserve"> şi </w:t>
      </w:r>
      <w:r>
        <w:rPr>
          <w:rFonts w:eastAsia="Calibri"/>
          <w:b/>
          <w:bCs/>
          <w:i/>
          <w:sz w:val="24"/>
          <w:szCs w:val="24"/>
          <w:shd w:val="clear" w:color="auto" w:fill="FFFFFF"/>
        </w:rPr>
        <w:t>B</w:t>
      </w:r>
      <w:r>
        <w:rPr>
          <w:rFonts w:eastAsia="Calibri"/>
          <w:i/>
          <w:sz w:val="24"/>
          <w:szCs w:val="24"/>
          <w:shd w:val="clear" w:color="auto" w:fill="FFFFFF"/>
        </w:rPr>
        <w:t xml:space="preserve"> cu încărcătura nominală de </w:t>
      </w:r>
      <w:r>
        <w:rPr>
          <w:rFonts w:eastAsia="Calibri"/>
          <w:b/>
          <w:bCs/>
          <w:i/>
          <w:sz w:val="24"/>
          <w:szCs w:val="24"/>
          <w:shd w:val="clear" w:color="auto" w:fill="FFFFFF"/>
        </w:rPr>
        <w:t>50</w:t>
      </w:r>
      <w:r>
        <w:rPr>
          <w:rFonts w:eastAsia="Calibri"/>
          <w:i/>
          <w:sz w:val="24"/>
          <w:szCs w:val="24"/>
          <w:shd w:val="clear" w:color="auto" w:fill="FFFFFF"/>
        </w:rPr>
        <w:t xml:space="preserve"> kg la maximum </w:t>
      </w:r>
      <w:r>
        <w:rPr>
          <w:rFonts w:eastAsia="Calibri"/>
          <w:b/>
          <w:bCs/>
          <w:i/>
          <w:sz w:val="24"/>
          <w:szCs w:val="24"/>
          <w:shd w:val="clear" w:color="auto" w:fill="FFFFFF"/>
        </w:rPr>
        <w:t>1.000 m</w:t>
      </w:r>
      <w:r>
        <w:rPr>
          <w:rFonts w:eastAsia="Calibri"/>
          <w:b/>
          <w:bCs/>
          <w:i/>
          <w:sz w:val="24"/>
          <w:szCs w:val="24"/>
          <w:shd w:val="clear" w:color="auto" w:fill="FFFFFF"/>
          <w:vertAlign w:val="superscript"/>
        </w:rPr>
        <w:t>2</w:t>
      </w:r>
      <w:r>
        <w:rPr>
          <w:rFonts w:eastAsia="Calibri"/>
          <w:i/>
          <w:sz w:val="24"/>
          <w:szCs w:val="24"/>
          <w:shd w:val="clear" w:color="auto" w:fill="FFFFFF"/>
        </w:rPr>
        <w:t>. Se respectă prevederile din OMAI 14/2009.</w:t>
      </w:r>
    </w:p>
    <w:p w14:paraId="15B04884" w14:textId="77777777" w:rsidR="001C08A5" w:rsidRDefault="00000000">
      <w:pPr>
        <w:pStyle w:val="Heading4"/>
        <w:rPr>
          <w:sz w:val="24"/>
          <w:szCs w:val="24"/>
        </w:rPr>
      </w:pPr>
      <w:bookmarkStart w:id="11034" w:name="_Toc2654"/>
      <w:bookmarkStart w:id="11035" w:name="_Toc17098"/>
      <w:bookmarkStart w:id="11036" w:name="_Toc23680"/>
      <w:bookmarkStart w:id="11037" w:name="_Toc18540"/>
      <w:bookmarkStart w:id="11038" w:name="_Toc162355597"/>
      <w:bookmarkStart w:id="11039" w:name="_Toc14532"/>
      <w:r>
        <w:rPr>
          <w:sz w:val="24"/>
          <w:szCs w:val="24"/>
        </w:rPr>
        <w:t>Campinguri, sate de vacanță existente</w:t>
      </w:r>
      <w:bookmarkEnd w:id="11034"/>
      <w:bookmarkEnd w:id="11035"/>
      <w:bookmarkEnd w:id="11036"/>
      <w:bookmarkEnd w:id="11037"/>
      <w:bookmarkEnd w:id="11038"/>
      <w:bookmarkEnd w:id="11039"/>
      <w:r>
        <w:rPr>
          <w:sz w:val="24"/>
          <w:szCs w:val="24"/>
        </w:rPr>
        <w:t xml:space="preserve"> </w:t>
      </w:r>
    </w:p>
    <w:p w14:paraId="26DA9F03"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3.11.3.</w:t>
      </w:r>
      <w:r>
        <w:rPr>
          <w:rFonts w:eastAsia="Calibri"/>
          <w:i/>
          <w:sz w:val="24"/>
          <w:szCs w:val="24"/>
          <w:shd w:val="clear" w:color="auto" w:fill="FFFFFF"/>
        </w:rPr>
        <w:t> Proiectarea și executarea campingurilor existente (amenajări pentru amplasarea corturilor, rulotelor, căsuțelor provizorii, etc), cu sau fără clădiri utilitare, se realizează conform prevederilor proprii de siguranță la foc a acestora.</w:t>
      </w:r>
    </w:p>
    <w:p w14:paraId="2C12EC4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3.11.4.</w:t>
      </w:r>
      <w:r>
        <w:rPr>
          <w:rFonts w:eastAsia="Calibri"/>
          <w:i/>
          <w:sz w:val="24"/>
          <w:szCs w:val="24"/>
          <w:shd w:val="clear" w:color="auto" w:fill="FFFFFF"/>
        </w:rPr>
        <w:t> Pentru clădirile existente utilitare și anexe definitive ale campingurilor (pentru comerț, alimentație publică, cluburi, discoteci, grupuri sociale, centrale și spații tehnice, etc), vor fi respectate prevederile generale și specifice cuprinse în anexă.</w:t>
      </w:r>
    </w:p>
    <w:p w14:paraId="6CFEACB1"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3.11.5.</w:t>
      </w:r>
      <w:r>
        <w:rPr>
          <w:rFonts w:eastAsia="Calibri"/>
          <w:i/>
          <w:sz w:val="24"/>
          <w:szCs w:val="24"/>
          <w:shd w:val="clear" w:color="auto" w:fill="FFFFFF"/>
        </w:rPr>
        <w:t xml:space="preserve"> Campingurile existente se amplasează la distanțe corespunzătoare față de vecinătăți cu riscuri de incendiu, inclusiv față de drumuri internaționale și naționale, de regulă, la mai mult de 50 m. </w:t>
      </w:r>
    </w:p>
    <w:p w14:paraId="0133E0C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3.11.6.</w:t>
      </w:r>
      <w:r>
        <w:rPr>
          <w:rFonts w:eastAsia="Calibri"/>
          <w:i/>
          <w:sz w:val="24"/>
          <w:szCs w:val="24"/>
          <w:shd w:val="clear" w:color="auto" w:fill="FFFFFF"/>
        </w:rPr>
        <w:t xml:space="preserve"> Campingurile existente se amplasează la distanțe de minimum </w:t>
      </w:r>
      <w:r>
        <w:rPr>
          <w:rFonts w:eastAsia="Calibri"/>
          <w:b/>
          <w:bCs/>
          <w:i/>
          <w:sz w:val="24"/>
          <w:szCs w:val="24"/>
          <w:shd w:val="clear" w:color="auto" w:fill="FFFFFF"/>
        </w:rPr>
        <w:t>100 m</w:t>
      </w:r>
      <w:r>
        <w:rPr>
          <w:rFonts w:eastAsia="Calibri"/>
          <w:i/>
          <w:sz w:val="24"/>
          <w:szCs w:val="24"/>
          <w:shd w:val="clear" w:color="auto" w:fill="FFFFFF"/>
        </w:rPr>
        <w:t xml:space="preserve"> față de linii curente de cale ferată.</w:t>
      </w:r>
    </w:p>
    <w:p w14:paraId="3E435AC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3.11.7.</w:t>
      </w:r>
      <w:r>
        <w:rPr>
          <w:rFonts w:eastAsia="Calibri"/>
          <w:i/>
          <w:sz w:val="24"/>
          <w:szCs w:val="24"/>
          <w:shd w:val="clear" w:color="auto" w:fill="FFFFFF"/>
        </w:rPr>
        <w:t xml:space="preserve"> Prin organizarea interioară a campingurilor existente se va asigura realizarea unor platforme de campare cu aria de maximum </w:t>
      </w:r>
      <w:r>
        <w:rPr>
          <w:rFonts w:eastAsia="Calibri"/>
          <w:b/>
          <w:bCs/>
          <w:i/>
          <w:sz w:val="24"/>
          <w:szCs w:val="24"/>
          <w:shd w:val="clear" w:color="auto" w:fill="FFFFFF"/>
        </w:rPr>
        <w:t>800 m</w:t>
      </w:r>
      <w:r>
        <w:rPr>
          <w:rFonts w:eastAsia="Calibri"/>
          <w:b/>
          <w:bCs/>
          <w:i/>
          <w:sz w:val="24"/>
          <w:szCs w:val="24"/>
          <w:shd w:val="clear" w:color="auto" w:fill="FFFFFF"/>
          <w:vertAlign w:val="superscript"/>
        </w:rPr>
        <w:t>2</w:t>
      </w:r>
      <w:r>
        <w:rPr>
          <w:rFonts w:eastAsia="Calibri"/>
          <w:i/>
          <w:sz w:val="24"/>
          <w:szCs w:val="24"/>
          <w:shd w:val="clear" w:color="auto" w:fill="FFFFFF"/>
        </w:rPr>
        <w:t>, delimitate de circulații carosabile care să permită intervenția de stingere cel puțin pe o latură.</w:t>
      </w:r>
    </w:p>
    <w:p w14:paraId="38FF7E3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3.11.8.</w:t>
      </w:r>
      <w:r>
        <w:rPr>
          <w:rFonts w:eastAsia="Calibri"/>
          <w:i/>
          <w:sz w:val="24"/>
          <w:szCs w:val="24"/>
          <w:shd w:val="clear" w:color="auto" w:fill="FFFFFF"/>
        </w:rPr>
        <w:t> Platformele amenajate pentru campare vor fi delimitate și marcate corespunzător.</w:t>
      </w:r>
    </w:p>
    <w:p w14:paraId="3C9A8A3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3.11.9.</w:t>
      </w:r>
      <w:r>
        <w:rPr>
          <w:rFonts w:eastAsia="Calibri"/>
          <w:i/>
          <w:sz w:val="24"/>
          <w:szCs w:val="24"/>
          <w:shd w:val="clear" w:color="auto" w:fill="FFFFFF"/>
        </w:rPr>
        <w:t xml:space="preserve"> Clădirile existente utilitare și anexă definitive se amplasează la distanțele de siguranță stabilite la Art. </w:t>
      </w:r>
      <w:r>
        <w:rPr>
          <w:rFonts w:eastAsia="Calibri"/>
          <w:b/>
          <w:bCs/>
          <w:i/>
          <w:sz w:val="24"/>
          <w:szCs w:val="24"/>
          <w:shd w:val="clear" w:color="auto" w:fill="FFFFFF"/>
        </w:rPr>
        <w:t>A.10.2.2.2.</w:t>
      </w:r>
      <w:r>
        <w:rPr>
          <w:rFonts w:eastAsia="Calibri"/>
          <w:i/>
          <w:sz w:val="24"/>
          <w:szCs w:val="24"/>
          <w:shd w:val="clear" w:color="auto" w:fill="FFFFFF"/>
        </w:rPr>
        <w:t xml:space="preserve"> 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_Ref5126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145</w:t>
      </w:r>
      <w:r>
        <w:rPr>
          <w:rFonts w:eastAsia="Calibri"/>
          <w:b/>
          <w:bCs/>
          <w:i/>
          <w:iCs/>
          <w:sz w:val="24"/>
          <w:szCs w:val="24"/>
          <w:shd w:val="clear" w:color="auto" w:fill="FFFFFF"/>
        </w:rPr>
        <w:fldChar w:fldCharType="end"/>
      </w:r>
      <w:r>
        <w:rPr>
          <w:rFonts w:eastAsia="Calibri"/>
          <w:i/>
          <w:sz w:val="24"/>
          <w:szCs w:val="24"/>
          <w:shd w:val="clear" w:color="auto" w:fill="FFFFFF"/>
        </w:rPr>
        <w:t xml:space="preserve">, considerând platformele de campare drept construcții existente de nivelul de stabilitate la incendiu </w:t>
      </w:r>
      <w:r>
        <w:rPr>
          <w:rFonts w:eastAsia="Calibri"/>
          <w:b/>
          <w:bCs/>
          <w:i/>
          <w:sz w:val="24"/>
          <w:szCs w:val="24"/>
          <w:shd w:val="clear" w:color="auto" w:fill="FFFFFF"/>
        </w:rPr>
        <w:t>V</w:t>
      </w:r>
      <w:r>
        <w:rPr>
          <w:rFonts w:eastAsia="Calibri"/>
          <w:i/>
          <w:sz w:val="24"/>
          <w:szCs w:val="24"/>
          <w:shd w:val="clear" w:color="auto" w:fill="FFFFFF"/>
        </w:rPr>
        <w:t>.</w:t>
      </w:r>
    </w:p>
    <w:p w14:paraId="0FB5C96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3.11.10.</w:t>
      </w:r>
      <w:r>
        <w:rPr>
          <w:rFonts w:eastAsia="Calibri"/>
          <w:i/>
          <w:sz w:val="24"/>
          <w:szCs w:val="24"/>
          <w:shd w:val="clear" w:color="auto" w:fill="FFFFFF"/>
        </w:rPr>
        <w:t xml:space="preserve"> Pentru limitarea propagării ușoare a focului, între platformele de campare (fiecare având maximum </w:t>
      </w:r>
      <w:r>
        <w:rPr>
          <w:rFonts w:eastAsia="Calibri"/>
          <w:b/>
          <w:bCs/>
          <w:i/>
          <w:sz w:val="24"/>
          <w:szCs w:val="24"/>
          <w:shd w:val="clear" w:color="auto" w:fill="FFFFFF"/>
        </w:rPr>
        <w:t>800 m</w:t>
      </w:r>
      <w:r>
        <w:rPr>
          <w:rFonts w:eastAsia="Calibri"/>
          <w:b/>
          <w:bCs/>
          <w:i/>
          <w:sz w:val="24"/>
          <w:szCs w:val="24"/>
          <w:shd w:val="clear" w:color="auto" w:fill="FFFFFF"/>
          <w:vertAlign w:val="superscript"/>
        </w:rPr>
        <w:t>2</w:t>
      </w:r>
      <w:r>
        <w:rPr>
          <w:rFonts w:eastAsia="Calibri"/>
          <w:i/>
          <w:sz w:val="24"/>
          <w:szCs w:val="24"/>
          <w:shd w:val="clear" w:color="auto" w:fill="FFFFFF"/>
        </w:rPr>
        <w:t xml:space="preserve">), se asigură cel puțin distanța de siguranță dintre construcții existente de nivelul de stabilitate la incendiu </w:t>
      </w:r>
      <w:r>
        <w:rPr>
          <w:rFonts w:eastAsia="Calibri"/>
          <w:b/>
          <w:bCs/>
          <w:i/>
          <w:sz w:val="24"/>
          <w:szCs w:val="24"/>
          <w:shd w:val="clear" w:color="auto" w:fill="FFFFFF"/>
        </w:rPr>
        <w:t>V</w:t>
      </w:r>
      <w:r>
        <w:rPr>
          <w:rFonts w:eastAsia="Calibri"/>
          <w:i/>
          <w:sz w:val="24"/>
          <w:szCs w:val="24"/>
          <w:shd w:val="clear" w:color="auto" w:fill="FFFFFF"/>
        </w:rPr>
        <w:t>.</w:t>
      </w:r>
    </w:p>
    <w:p w14:paraId="4BFB872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3.11.11.</w:t>
      </w:r>
      <w:r>
        <w:rPr>
          <w:rFonts w:eastAsia="Calibri"/>
          <w:i/>
          <w:sz w:val="24"/>
          <w:szCs w:val="24"/>
          <w:shd w:val="clear" w:color="auto" w:fill="FFFFFF"/>
        </w:rPr>
        <w:t xml:space="preserve"> Incintele campingurilor existente cu aria totală mai mare de </w:t>
      </w:r>
      <w:r>
        <w:rPr>
          <w:rFonts w:eastAsia="Calibri"/>
          <w:b/>
          <w:bCs/>
          <w:i/>
          <w:sz w:val="24"/>
          <w:szCs w:val="24"/>
          <w:shd w:val="clear" w:color="auto" w:fill="FFFFFF"/>
        </w:rPr>
        <w:t>3000 m</w:t>
      </w:r>
      <w:r>
        <w:rPr>
          <w:rFonts w:eastAsia="Calibri"/>
          <w:b/>
          <w:bCs/>
          <w:i/>
          <w:sz w:val="24"/>
          <w:szCs w:val="24"/>
          <w:shd w:val="clear" w:color="auto" w:fill="FFFFFF"/>
          <w:vertAlign w:val="superscript"/>
        </w:rPr>
        <w:t>2</w:t>
      </w:r>
      <w:r>
        <w:rPr>
          <w:rFonts w:eastAsia="Calibri"/>
          <w:i/>
          <w:sz w:val="24"/>
          <w:szCs w:val="24"/>
          <w:shd w:val="clear" w:color="auto" w:fill="FFFFFF"/>
        </w:rPr>
        <w:t> se prevăd cu mijloace de alarmare în caz de incendiu și posibilități de alertarea pompierilor.</w:t>
      </w:r>
    </w:p>
    <w:p w14:paraId="0B7D834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3.11.12.</w:t>
      </w:r>
      <w:r>
        <w:rPr>
          <w:rFonts w:eastAsia="Calibri"/>
          <w:i/>
          <w:sz w:val="24"/>
          <w:szCs w:val="24"/>
          <w:shd w:val="clear" w:color="auto" w:fill="FFFFFF"/>
        </w:rPr>
        <w:t xml:space="preserve"> La incintele campingurilor existente cu aria de </w:t>
      </w:r>
      <w:r>
        <w:rPr>
          <w:rFonts w:eastAsia="Calibri"/>
          <w:b/>
          <w:bCs/>
          <w:i/>
          <w:sz w:val="24"/>
          <w:szCs w:val="24"/>
          <w:shd w:val="clear" w:color="auto" w:fill="FFFFFF"/>
        </w:rPr>
        <w:t>5.000 m</w:t>
      </w:r>
      <w:r>
        <w:rPr>
          <w:rFonts w:eastAsia="Calibri"/>
          <w:b/>
          <w:bCs/>
          <w:i/>
          <w:sz w:val="24"/>
          <w:szCs w:val="24"/>
          <w:shd w:val="clear" w:color="auto" w:fill="FFFFFF"/>
          <w:vertAlign w:val="superscript"/>
        </w:rPr>
        <w:t>2</w:t>
      </w:r>
      <w:r>
        <w:rPr>
          <w:rFonts w:eastAsia="Calibri"/>
          <w:i/>
          <w:sz w:val="24"/>
          <w:szCs w:val="24"/>
          <w:shd w:val="clear" w:color="auto" w:fill="FFFFFF"/>
        </w:rPr>
        <w:t xml:space="preserve"> și mai mult se recomandă stingerea din exterior a incendiilor, prin rețele cu hidranți exteriori de incendiu sau bazine de apă și pompe mobile. Debitul de stingere va fi de minimum </w:t>
      </w:r>
      <w:r>
        <w:rPr>
          <w:rFonts w:eastAsia="Calibri"/>
          <w:b/>
          <w:bCs/>
          <w:i/>
          <w:sz w:val="24"/>
          <w:szCs w:val="24"/>
          <w:shd w:val="clear" w:color="auto" w:fill="FFFFFF"/>
        </w:rPr>
        <w:t>4,2 1/s</w:t>
      </w:r>
      <w:r>
        <w:rPr>
          <w:rFonts w:eastAsia="Calibri"/>
          <w:i/>
          <w:sz w:val="24"/>
          <w:szCs w:val="24"/>
          <w:shd w:val="clear" w:color="auto" w:fill="FFFFFF"/>
        </w:rPr>
        <w:t xml:space="preserve">, pentru o perioadă de funcționare de </w:t>
      </w:r>
      <w:r>
        <w:rPr>
          <w:rFonts w:eastAsia="Calibri"/>
          <w:b/>
          <w:bCs/>
          <w:i/>
          <w:sz w:val="24"/>
          <w:szCs w:val="24"/>
          <w:shd w:val="clear" w:color="auto" w:fill="FFFFFF"/>
        </w:rPr>
        <w:t>60</w:t>
      </w:r>
      <w:r>
        <w:rPr>
          <w:rFonts w:eastAsia="Calibri"/>
          <w:i/>
          <w:sz w:val="24"/>
          <w:szCs w:val="24"/>
          <w:shd w:val="clear" w:color="auto" w:fill="FFFFFF"/>
        </w:rPr>
        <w:t xml:space="preserve"> minute și se respectă normativul de stingere de profil.</w:t>
      </w:r>
    </w:p>
    <w:p w14:paraId="6921B13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3.11.13.</w:t>
      </w:r>
      <w:r>
        <w:rPr>
          <w:rFonts w:eastAsia="Calibri"/>
          <w:i/>
          <w:sz w:val="24"/>
          <w:szCs w:val="24"/>
          <w:shd w:val="clear" w:color="auto" w:fill="FFFFFF"/>
        </w:rPr>
        <w:t> Clădirile existente utilitare și anexă definitive, se prevăd cu instalații de semnalizare și stingere a incendiilor potrivit reglementărilor specifice.</w:t>
      </w:r>
    </w:p>
    <w:p w14:paraId="4C97E82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3.11.14.</w:t>
      </w:r>
      <w:r>
        <w:rPr>
          <w:rFonts w:eastAsia="Calibri"/>
          <w:i/>
          <w:sz w:val="24"/>
          <w:szCs w:val="24"/>
          <w:shd w:val="clear" w:color="auto" w:fill="FFFFFF"/>
        </w:rPr>
        <w:t> Campingurile existente se dotează cu mijloace de primă intervenție asigurându-se cel puțin un pichet exterior de incendiu la fiecare platformă de campare. Construcțiile existente definitive se dotează cu mijloace de stingere, potrivit reglementărilor tehnice de specialitate.</w:t>
      </w:r>
    </w:p>
    <w:p w14:paraId="7AB1752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3.11.15.</w:t>
      </w:r>
      <w:r>
        <w:rPr>
          <w:rFonts w:eastAsia="Calibri"/>
          <w:i/>
          <w:sz w:val="24"/>
          <w:szCs w:val="24"/>
          <w:shd w:val="clear" w:color="auto" w:fill="FFFFFF"/>
        </w:rPr>
        <w:t> Serviciul de pompieri se constituie și organizează la campingurile cu aria incintei de 10000 m</w:t>
      </w:r>
      <w:r>
        <w:rPr>
          <w:rFonts w:eastAsia="Calibri"/>
          <w:i/>
          <w:sz w:val="24"/>
          <w:szCs w:val="24"/>
          <w:shd w:val="clear" w:color="auto" w:fill="FFFFFF"/>
          <w:vertAlign w:val="superscript"/>
        </w:rPr>
        <w:t>2</w:t>
      </w:r>
      <w:r>
        <w:rPr>
          <w:rFonts w:eastAsia="Calibri"/>
          <w:i/>
          <w:sz w:val="24"/>
          <w:szCs w:val="24"/>
          <w:shd w:val="clear" w:color="auto" w:fill="FFFFFF"/>
        </w:rPr>
        <w:t> și mai mult.</w:t>
      </w:r>
    </w:p>
    <w:p w14:paraId="04E875B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3.11.16.</w:t>
      </w:r>
      <w:r>
        <w:rPr>
          <w:rFonts w:eastAsia="Calibri"/>
          <w:i/>
          <w:sz w:val="24"/>
          <w:szCs w:val="24"/>
          <w:shd w:val="clear" w:color="auto" w:fill="FFFFFF"/>
        </w:rPr>
        <w:t> Prevederea și realizarea instalațiilor utilitare aferente, se asigură potrivit reglementărilortehnice de specialitate.</w:t>
      </w:r>
    </w:p>
    <w:p w14:paraId="64F7F25F" w14:textId="77777777" w:rsidR="001C08A5" w:rsidRDefault="00000000">
      <w:pPr>
        <w:pStyle w:val="Heading4"/>
        <w:rPr>
          <w:sz w:val="24"/>
          <w:szCs w:val="24"/>
        </w:rPr>
      </w:pPr>
      <w:bookmarkStart w:id="11040" w:name="_Toc162355598"/>
      <w:bookmarkStart w:id="11041" w:name="_Toc23730"/>
      <w:bookmarkStart w:id="11042" w:name="_Toc1307"/>
      <w:bookmarkStart w:id="11043" w:name="_Toc27826"/>
      <w:bookmarkStart w:id="11044" w:name="_Toc5054"/>
      <w:bookmarkStart w:id="11045" w:name="_Toc22582"/>
      <w:r>
        <w:rPr>
          <w:sz w:val="24"/>
          <w:szCs w:val="24"/>
        </w:rPr>
        <w:t>Clădiri montane existente</w:t>
      </w:r>
      <w:bookmarkEnd w:id="11040"/>
      <w:bookmarkEnd w:id="11041"/>
      <w:bookmarkEnd w:id="11042"/>
      <w:bookmarkEnd w:id="11043"/>
      <w:bookmarkEnd w:id="11044"/>
      <w:bookmarkEnd w:id="11045"/>
      <w:r>
        <w:rPr>
          <w:sz w:val="24"/>
          <w:szCs w:val="24"/>
        </w:rPr>
        <w:t xml:space="preserve"> </w:t>
      </w:r>
    </w:p>
    <w:p w14:paraId="171A160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3.11.17.</w:t>
      </w:r>
      <w:r>
        <w:rPr>
          <w:rFonts w:eastAsia="Calibri"/>
          <w:i/>
          <w:sz w:val="24"/>
          <w:szCs w:val="24"/>
          <w:shd w:val="clear" w:color="auto" w:fill="FFFFFF"/>
        </w:rPr>
        <w:t> La proiectarea și realizarea clădirilor existente amplasate izolat, în zone montane, la înălțime și în afara localităților, (denumite montane), cum sunt cabanele, hotelurile, sanatoriile, etc, se asigură proiectarea prevederilor din prezenta anexă completate cu cele specifice acestora.</w:t>
      </w:r>
    </w:p>
    <w:p w14:paraId="5ECB08F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3.11.18.</w:t>
      </w:r>
      <w:r>
        <w:rPr>
          <w:rFonts w:eastAsia="Calibri"/>
          <w:i/>
          <w:sz w:val="24"/>
          <w:szCs w:val="24"/>
          <w:shd w:val="clear" w:color="auto" w:fill="FFFFFF"/>
        </w:rPr>
        <w:t> Prin amplasare se va asigura limitarea propagării ușoare a incendiilor la vecinătăți, (clădiri, instalații, masive împădurite, etc), prin distanțe de siguranță recomandate de cel puțin</w:t>
      </w:r>
      <w:r>
        <w:rPr>
          <w:rFonts w:eastAsia="Calibri"/>
          <w:b/>
          <w:bCs/>
          <w:i/>
          <w:sz w:val="24"/>
          <w:szCs w:val="24"/>
          <w:shd w:val="clear" w:color="auto" w:fill="FFFFFF"/>
        </w:rPr>
        <w:t xml:space="preserve"> 5</w:t>
      </w:r>
      <w:r>
        <w:rPr>
          <w:rFonts w:eastAsia="Calibri"/>
          <w:i/>
          <w:sz w:val="24"/>
          <w:szCs w:val="24"/>
          <w:shd w:val="clear" w:color="auto" w:fill="FFFFFF"/>
        </w:rPr>
        <w:t xml:space="preserve"> ori înălțimea clădirii, dar minimum cele normate prin prezenta anexă.</w:t>
      </w:r>
    </w:p>
    <w:p w14:paraId="2E24CFF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3.11.19.</w:t>
      </w:r>
      <w:r>
        <w:rPr>
          <w:rFonts w:eastAsia="Calibri"/>
          <w:i/>
          <w:sz w:val="24"/>
          <w:szCs w:val="24"/>
          <w:shd w:val="clear" w:color="auto" w:fill="FFFFFF"/>
        </w:rPr>
        <w:t xml:space="preserve"> Clădirile existente montane, prin conformare vor avea spațiile de cazare separate de celelalte funcțiuni (restaurante, bucătării, etc.) prin elemente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xml:space="preserve"> și rezistente la foc minimum 1 oră (</w:t>
      </w:r>
      <w:r>
        <w:rPr>
          <w:rFonts w:eastAsia="Calibri"/>
          <w:b/>
          <w:bCs/>
          <w:i/>
          <w:sz w:val="24"/>
          <w:szCs w:val="24"/>
          <w:shd w:val="clear" w:color="auto" w:fill="FFFFFF"/>
        </w:rPr>
        <w:t>EI/REI60</w:t>
      </w:r>
      <w:r>
        <w:rPr>
          <w:rFonts w:eastAsia="Calibri"/>
          <w:i/>
          <w:sz w:val="24"/>
          <w:szCs w:val="24"/>
          <w:shd w:val="clear" w:color="auto" w:fill="FFFFFF"/>
        </w:rPr>
        <w:t xml:space="preserve"> pereți și </w:t>
      </w:r>
      <w:r>
        <w:rPr>
          <w:rFonts w:eastAsia="Calibri"/>
          <w:b/>
          <w:bCs/>
          <w:i/>
          <w:sz w:val="24"/>
          <w:szCs w:val="24"/>
          <w:shd w:val="clear" w:color="auto" w:fill="FFFFFF"/>
        </w:rPr>
        <w:t>REI60</w:t>
      </w:r>
      <w:r>
        <w:rPr>
          <w:rFonts w:eastAsia="Calibri"/>
          <w:i/>
          <w:sz w:val="24"/>
          <w:szCs w:val="24"/>
          <w:shd w:val="clear" w:color="auto" w:fill="FFFFFF"/>
        </w:rPr>
        <w:t xml:space="preserve"> planșee). Pentru sanatorii se respectă și dispozițiile specifice clădirilor de sănătate.</w:t>
      </w:r>
    </w:p>
    <w:p w14:paraId="554A17F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3.11.20.</w:t>
      </w:r>
      <w:r>
        <w:rPr>
          <w:rFonts w:eastAsia="Calibri"/>
          <w:i/>
          <w:sz w:val="24"/>
          <w:szCs w:val="24"/>
          <w:shd w:val="clear" w:color="auto" w:fill="FFFFFF"/>
        </w:rPr>
        <w:t xml:space="preserve"> Clădirile existente montane pot fi de nivelul de stabilitate la incendiu V de rezistență la foc și maximum trei niveluri, dacă se asigură un sistem automat de semnalizare și alarmare imediată a utilizatorilor, iar capacitatea maximă simultană este de maximum </w:t>
      </w:r>
      <w:r>
        <w:rPr>
          <w:rFonts w:eastAsia="Calibri"/>
          <w:b/>
          <w:bCs/>
          <w:i/>
          <w:sz w:val="24"/>
          <w:szCs w:val="24"/>
          <w:shd w:val="clear" w:color="auto" w:fill="FFFFFF"/>
        </w:rPr>
        <w:t>100</w:t>
      </w:r>
      <w:r>
        <w:rPr>
          <w:rFonts w:eastAsia="Calibri"/>
          <w:i/>
          <w:sz w:val="24"/>
          <w:szCs w:val="24"/>
          <w:shd w:val="clear" w:color="auto" w:fill="FFFFFF"/>
        </w:rPr>
        <w:t xml:space="preserve"> persoane.</w:t>
      </w:r>
    </w:p>
    <w:p w14:paraId="1685EFD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3.11.21.</w:t>
      </w:r>
      <w:r>
        <w:rPr>
          <w:rFonts w:eastAsia="Calibri"/>
          <w:i/>
          <w:sz w:val="24"/>
          <w:szCs w:val="24"/>
          <w:shd w:val="clear" w:color="auto" w:fill="FFFFFF"/>
        </w:rPr>
        <w:t xml:space="preserve"> Se recomandă ca prin proiectare și realizare, ariile construite, menționate la Art. </w:t>
      </w:r>
      <w:r>
        <w:rPr>
          <w:rFonts w:eastAsia="Calibri"/>
          <w:b/>
          <w:bCs/>
          <w:i/>
          <w:sz w:val="24"/>
          <w:szCs w:val="24"/>
          <w:shd w:val="clear" w:color="auto" w:fill="FFFFFF"/>
        </w:rPr>
        <w:t>A.10.3.2.4.</w:t>
      </w:r>
      <w:r>
        <w:rPr>
          <w:rFonts w:eastAsia="Calibri"/>
          <w:i/>
          <w:sz w:val="24"/>
          <w:szCs w:val="24"/>
          <w:shd w:val="clear" w:color="auto" w:fill="FFFFFF"/>
        </w:rPr>
        <w:t xml:space="preserve">, să fie reduse cu 50% pentru nivelul de stabilitate la incendiu </w:t>
      </w:r>
      <w:r>
        <w:rPr>
          <w:rFonts w:eastAsia="Calibri"/>
          <w:b/>
          <w:bCs/>
          <w:i/>
          <w:sz w:val="24"/>
          <w:szCs w:val="24"/>
          <w:shd w:val="clear" w:color="auto" w:fill="FFFFFF"/>
        </w:rPr>
        <w:t>IV</w:t>
      </w:r>
      <w:r>
        <w:rPr>
          <w:rFonts w:eastAsia="Calibri"/>
          <w:i/>
          <w:sz w:val="24"/>
          <w:szCs w:val="24"/>
          <w:shd w:val="clear" w:color="auto" w:fill="FFFFFF"/>
        </w:rPr>
        <w:t xml:space="preserve"> și </w:t>
      </w:r>
      <w:r>
        <w:rPr>
          <w:rFonts w:eastAsia="Calibri"/>
          <w:b/>
          <w:bCs/>
          <w:i/>
          <w:sz w:val="24"/>
          <w:szCs w:val="24"/>
          <w:shd w:val="clear" w:color="auto" w:fill="FFFFFF"/>
        </w:rPr>
        <w:t>V</w:t>
      </w:r>
      <w:r>
        <w:rPr>
          <w:rFonts w:eastAsia="Calibri"/>
          <w:i/>
          <w:sz w:val="24"/>
          <w:szCs w:val="24"/>
          <w:shd w:val="clear" w:color="auto" w:fill="FFFFFF"/>
        </w:rPr>
        <w:t xml:space="preserve"> ale construcțiilor montane.</w:t>
      </w:r>
    </w:p>
    <w:p w14:paraId="2B4DE84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3.11.22.</w:t>
      </w:r>
      <w:r>
        <w:rPr>
          <w:rFonts w:eastAsia="Calibri"/>
          <w:i/>
          <w:sz w:val="24"/>
          <w:szCs w:val="24"/>
          <w:shd w:val="clear" w:color="auto" w:fill="FFFFFF"/>
        </w:rPr>
        <w:t> Prin alcătuirea elementelor de construcție se vor limita posibilitățile de transmitere ușoară a incendiilor (pe verticală și orizontală).</w:t>
      </w:r>
    </w:p>
    <w:p w14:paraId="66D51DA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3.11.23.</w:t>
      </w:r>
      <w:r>
        <w:rPr>
          <w:rFonts w:eastAsia="Calibri"/>
          <w:i/>
          <w:sz w:val="24"/>
          <w:szCs w:val="24"/>
          <w:shd w:val="clear" w:color="auto" w:fill="FFFFFF"/>
        </w:rPr>
        <w:t> Căile de evacuare a persoanelor în caz de incendiu vor fi sigure, separate de restul construcției prin elemente rezistente la foc minimum 30 de minute (</w:t>
      </w:r>
      <w:r>
        <w:rPr>
          <w:rFonts w:eastAsia="Calibri"/>
          <w:b/>
          <w:bCs/>
          <w:i/>
          <w:sz w:val="24"/>
          <w:szCs w:val="24"/>
          <w:shd w:val="clear" w:color="auto" w:fill="FFFFFF"/>
        </w:rPr>
        <w:t>EI/REI30</w:t>
      </w:r>
      <w:r>
        <w:rPr>
          <w:rFonts w:eastAsia="Calibri"/>
          <w:i/>
          <w:sz w:val="24"/>
          <w:szCs w:val="24"/>
          <w:shd w:val="clear" w:color="auto" w:fill="FFFFFF"/>
        </w:rPr>
        <w:t xml:space="preserve">), iar scările se închid în case de scări separate de restul clădirii prin perete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xml:space="preserve"> cu rezistența la foc de minimum 1 oră (</w:t>
      </w:r>
      <w:r>
        <w:rPr>
          <w:rFonts w:eastAsia="Calibri"/>
          <w:b/>
          <w:bCs/>
          <w:i/>
          <w:sz w:val="24"/>
          <w:szCs w:val="24"/>
          <w:shd w:val="clear" w:color="auto" w:fill="FFFFFF"/>
        </w:rPr>
        <w:t>EI/REI60</w:t>
      </w:r>
      <w:r>
        <w:rPr>
          <w:rFonts w:eastAsia="Calibri"/>
          <w:i/>
          <w:sz w:val="24"/>
          <w:szCs w:val="24"/>
          <w:shd w:val="clear" w:color="auto" w:fill="FFFFFF"/>
        </w:rPr>
        <w:t>), atunci când asigură evacuarea a mai mult de un nivel.</w:t>
      </w:r>
    </w:p>
    <w:p w14:paraId="18E0319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3.11.24.</w:t>
      </w:r>
      <w:r>
        <w:rPr>
          <w:rFonts w:eastAsia="Calibri"/>
          <w:i/>
          <w:sz w:val="24"/>
          <w:szCs w:val="24"/>
          <w:shd w:val="clear" w:color="auto" w:fill="FFFFFF"/>
        </w:rPr>
        <w:t xml:space="preserve"> Se recomandă ca lungimile traseelor de evacuare a persoanelor la construcții existente de nivelul de stabilitate la incendiu </w:t>
      </w:r>
      <w:r>
        <w:rPr>
          <w:rFonts w:eastAsia="Calibri"/>
          <w:b/>
          <w:bCs/>
          <w:i/>
          <w:sz w:val="24"/>
          <w:szCs w:val="24"/>
          <w:shd w:val="clear" w:color="auto" w:fill="FFFFFF"/>
        </w:rPr>
        <w:t>IV</w:t>
      </w:r>
      <w:r>
        <w:rPr>
          <w:rFonts w:eastAsia="Calibri"/>
          <w:i/>
          <w:sz w:val="24"/>
          <w:szCs w:val="24"/>
          <w:shd w:val="clear" w:color="auto" w:fill="FFFFFF"/>
        </w:rPr>
        <w:t xml:space="preserve"> și </w:t>
      </w:r>
      <w:r>
        <w:rPr>
          <w:rFonts w:eastAsia="Calibri"/>
          <w:b/>
          <w:bCs/>
          <w:i/>
          <w:sz w:val="24"/>
          <w:szCs w:val="24"/>
          <w:shd w:val="clear" w:color="auto" w:fill="FFFFFF"/>
        </w:rPr>
        <w:t>V</w:t>
      </w:r>
      <w:r>
        <w:rPr>
          <w:rFonts w:eastAsia="Calibri"/>
          <w:i/>
          <w:sz w:val="24"/>
          <w:szCs w:val="24"/>
          <w:shd w:val="clear" w:color="auto" w:fill="FFFFFF"/>
        </w:rPr>
        <w:t xml:space="preserve"> să fie reduse cu cel puțin </w:t>
      </w:r>
      <w:r>
        <w:rPr>
          <w:rFonts w:eastAsia="Calibri"/>
          <w:b/>
          <w:bCs/>
          <w:i/>
          <w:sz w:val="24"/>
          <w:szCs w:val="24"/>
          <w:shd w:val="clear" w:color="auto" w:fill="FFFFFF"/>
        </w:rPr>
        <w:t>25%</w:t>
      </w:r>
      <w:r>
        <w:rPr>
          <w:rFonts w:eastAsia="Calibri"/>
          <w:i/>
          <w:sz w:val="24"/>
          <w:szCs w:val="24"/>
          <w:shd w:val="clear" w:color="auto" w:fill="FFFFFF"/>
        </w:rPr>
        <w:t xml:space="preserve"> față de cele menționate în Art.</w:t>
      </w:r>
      <w:r>
        <w:rPr>
          <w:rFonts w:eastAsia="Calibri"/>
          <w:b/>
          <w:bCs/>
          <w:i/>
          <w:sz w:val="24"/>
          <w:szCs w:val="24"/>
          <w:shd w:val="clear" w:color="auto" w:fill="FFFFFF"/>
        </w:rPr>
        <w:t xml:space="preserve"> A.10.3.10.121.</w:t>
      </w:r>
    </w:p>
    <w:p w14:paraId="6BDA589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3.11.25.</w:t>
      </w:r>
      <w:r>
        <w:rPr>
          <w:rFonts w:eastAsia="Calibri"/>
          <w:i/>
          <w:sz w:val="24"/>
          <w:szCs w:val="24"/>
          <w:shd w:val="clear" w:color="auto" w:fill="FFFFFF"/>
        </w:rPr>
        <w:t xml:space="preserve"> Spațiile tehnice anexe (centrală termică, grup electrogen, stație pompare, etc, inclusiv depozite de materiale sau substanțe combustibile), se recomandă să fie realizate în construcție existentă independentă. Atunci când acestea se dispun alipit sau înglobat în clădirea existentă, se separă cu elemente de construcție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și rezistente la foc minimum 1 h 30 minute (</w:t>
      </w:r>
      <w:r>
        <w:rPr>
          <w:rFonts w:eastAsia="Calibri"/>
          <w:b/>
          <w:bCs/>
          <w:i/>
          <w:sz w:val="24"/>
          <w:szCs w:val="24"/>
          <w:shd w:val="clear" w:color="auto" w:fill="FFFFFF"/>
        </w:rPr>
        <w:t>EI/REI90</w:t>
      </w:r>
      <w:r>
        <w:rPr>
          <w:rFonts w:eastAsia="Calibri"/>
          <w:i/>
          <w:sz w:val="24"/>
          <w:szCs w:val="24"/>
          <w:shd w:val="clear" w:color="auto" w:fill="FFFFFF"/>
        </w:rPr>
        <w:t xml:space="preserve"> pereți și </w:t>
      </w:r>
      <w:r>
        <w:rPr>
          <w:rFonts w:eastAsia="Calibri"/>
          <w:b/>
          <w:bCs/>
          <w:i/>
          <w:sz w:val="24"/>
          <w:szCs w:val="24"/>
          <w:shd w:val="clear" w:color="auto" w:fill="FFFFFF"/>
        </w:rPr>
        <w:t>REI90</w:t>
      </w:r>
      <w:r>
        <w:rPr>
          <w:rFonts w:eastAsia="Calibri"/>
          <w:i/>
          <w:sz w:val="24"/>
          <w:szCs w:val="24"/>
          <w:shd w:val="clear" w:color="auto" w:fill="FFFFFF"/>
        </w:rPr>
        <w:t xml:space="preserve"> planșee).</w:t>
      </w:r>
    </w:p>
    <w:p w14:paraId="3285C60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3.11.26.</w:t>
      </w:r>
      <w:r>
        <w:rPr>
          <w:rFonts w:eastAsia="Calibri"/>
          <w:i/>
          <w:sz w:val="24"/>
          <w:szCs w:val="24"/>
          <w:shd w:val="clear" w:color="auto" w:fill="FFFFFF"/>
        </w:rPr>
        <w:t> Clădirile existente montane se dotează cu mijloace de primă intervenție (stingătoare portative, transportabile și pichete de incendiu), corespunzător condițiilor specifice. Clădirile existente cu capacități maxime simultane mai mari de 100 persoane și P+3 etaje se echipează și cu instalații de stingere, conform reglementărilortehnice de specialitate.</w:t>
      </w:r>
    </w:p>
    <w:p w14:paraId="510A589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3.11.27.</w:t>
      </w:r>
      <w:r>
        <w:rPr>
          <w:rFonts w:eastAsia="Calibri"/>
          <w:i/>
          <w:sz w:val="24"/>
          <w:szCs w:val="24"/>
          <w:shd w:val="clear" w:color="auto" w:fill="FFFFFF"/>
        </w:rPr>
        <w:t> Clădirile existente montane vor avea instalațiile utilitare aferente proiectate și realizate în conformitate cu prevederile reglementărilor de specialitate ale acestora.</w:t>
      </w:r>
    </w:p>
    <w:p w14:paraId="14F5DAE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3.11.28.</w:t>
      </w:r>
      <w:r>
        <w:rPr>
          <w:rFonts w:eastAsia="Calibri"/>
          <w:i/>
          <w:sz w:val="24"/>
          <w:szCs w:val="24"/>
          <w:shd w:val="clear" w:color="auto" w:fill="FFFFFF"/>
        </w:rPr>
        <w:t> Încălzirea locală, cu sobe cu acumulare de căldură, este admisă în clădiri existente cu maximum trei niveluri, cu condiția îndeplinirii măsurilorde protecție locale corespunzătoare.</w:t>
      </w:r>
    </w:p>
    <w:p w14:paraId="36DC547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3.11.29.</w:t>
      </w:r>
      <w:r>
        <w:rPr>
          <w:rFonts w:eastAsia="Calibri"/>
          <w:i/>
          <w:sz w:val="24"/>
          <w:szCs w:val="24"/>
          <w:shd w:val="clear" w:color="auto" w:fill="FFFFFF"/>
        </w:rPr>
        <w:t xml:space="preserve"> La clădirile existente montane cu capacități mai mari de </w:t>
      </w:r>
      <w:r>
        <w:rPr>
          <w:rFonts w:eastAsia="Calibri"/>
          <w:b/>
          <w:bCs/>
          <w:i/>
          <w:sz w:val="24"/>
          <w:szCs w:val="24"/>
          <w:shd w:val="clear" w:color="auto" w:fill="FFFFFF"/>
        </w:rPr>
        <w:t>300</w:t>
      </w:r>
      <w:r>
        <w:rPr>
          <w:rFonts w:eastAsia="Calibri"/>
          <w:i/>
          <w:sz w:val="24"/>
          <w:szCs w:val="24"/>
          <w:shd w:val="clear" w:color="auto" w:fill="FFFFFF"/>
        </w:rPr>
        <w:t xml:space="preserve"> locuri, vor fi organizate servicii de pompieri constituite din personal special instruit.</w:t>
      </w:r>
    </w:p>
    <w:p w14:paraId="3DA0628B" w14:textId="77777777" w:rsidR="001C08A5" w:rsidRDefault="00000000">
      <w:pPr>
        <w:pStyle w:val="Heading4"/>
        <w:rPr>
          <w:sz w:val="24"/>
          <w:szCs w:val="24"/>
        </w:rPr>
      </w:pPr>
      <w:bookmarkStart w:id="11046" w:name="_Toc15064"/>
      <w:bookmarkStart w:id="11047" w:name="_Toc10505"/>
      <w:bookmarkStart w:id="11048" w:name="_Toc162355599"/>
      <w:bookmarkStart w:id="11049" w:name="_Toc4977"/>
      <w:bookmarkStart w:id="11050" w:name="_Toc3893"/>
      <w:r>
        <w:rPr>
          <w:sz w:val="24"/>
          <w:szCs w:val="24"/>
        </w:rPr>
        <w:t>Parcaje pentru autoturisme</w:t>
      </w:r>
      <w:bookmarkEnd w:id="11046"/>
      <w:bookmarkEnd w:id="11047"/>
      <w:bookmarkEnd w:id="11048"/>
      <w:bookmarkEnd w:id="11049"/>
      <w:bookmarkEnd w:id="11050"/>
    </w:p>
    <w:p w14:paraId="4CF1532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3.11.30.</w:t>
      </w:r>
      <w:r>
        <w:rPr>
          <w:rFonts w:eastAsia="Calibri"/>
          <w:i/>
          <w:sz w:val="24"/>
          <w:szCs w:val="24"/>
          <w:shd w:val="clear" w:color="auto" w:fill="FFFFFF"/>
        </w:rPr>
        <w:t xml:space="preserve"> La proiectarea și realizarea parcajelor existente pentru autoturisme, se asigură măsurile de siguranță la foc prevăzute în prezentele dispoziții, completate cu precizările din secțiunea </w:t>
      </w:r>
      <w:r>
        <w:rPr>
          <w:rFonts w:eastAsia="Calibri"/>
          <w:b/>
          <w:bCs/>
          <w:i/>
          <w:sz w:val="24"/>
          <w:szCs w:val="24"/>
          <w:shd w:val="clear" w:color="auto" w:fill="FFFFFF"/>
        </w:rPr>
        <w:t>3.2.11. Parcaje pentru autoturisme</w:t>
      </w:r>
      <w:r>
        <w:rPr>
          <w:rFonts w:eastAsia="Calibri"/>
          <w:i/>
          <w:sz w:val="24"/>
          <w:szCs w:val="24"/>
          <w:shd w:val="clear" w:color="auto" w:fill="FFFFFF"/>
        </w:rPr>
        <w:t xml:space="preserve"> din normativ (pentru situațiile care în prezenta anexă nu sunt precizate).</w:t>
      </w:r>
    </w:p>
    <w:p w14:paraId="610ECA4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3.11.31.</w:t>
      </w:r>
      <w:r>
        <w:rPr>
          <w:rFonts w:eastAsia="Calibri"/>
          <w:i/>
          <w:sz w:val="24"/>
          <w:szCs w:val="24"/>
          <w:shd w:val="clear" w:color="auto" w:fill="FFFFFF"/>
        </w:rPr>
        <w:t> Spațiile închise pentru parcarea autoturismelor aferente clădirilor civile existente (publice) sau destinate publicului (parcaje publice), sunt considerate spații sau, după caz, clădiri civile existente (publice), cu risc mare de incendiu.</w:t>
      </w:r>
    </w:p>
    <w:p w14:paraId="0F7366A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3.11.32.</w:t>
      </w:r>
      <w:r>
        <w:rPr>
          <w:rFonts w:eastAsia="Calibri"/>
          <w:i/>
          <w:sz w:val="24"/>
          <w:szCs w:val="24"/>
          <w:shd w:val="clear" w:color="auto" w:fill="FFFFFF"/>
        </w:rPr>
        <w:t> Amplasarea acestor parcaje publice închise pentru autoturisme poate fi realizată înglobat în clădiri publice existente (civile), alipit acestora, sau independente la distanțele admise, sau compartimentate corespunzător prevederilor din prezenta anexă.</w:t>
      </w:r>
    </w:p>
    <w:p w14:paraId="5935F27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3.11.33.</w:t>
      </w:r>
      <w:r>
        <w:rPr>
          <w:rFonts w:eastAsia="Calibri"/>
          <w:i/>
          <w:sz w:val="24"/>
          <w:szCs w:val="24"/>
          <w:shd w:val="clear" w:color="auto" w:fill="FFFFFF"/>
        </w:rPr>
        <w:t> Parcajele publice închise vor fi conformate la foc astfel încât să asigure funcționalitatea și totodată limitarea propagării incendiilor în clădirile civile publiceexistente .</w:t>
      </w:r>
    </w:p>
    <w:p w14:paraId="05A41C0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3.11.34.</w:t>
      </w:r>
      <w:r>
        <w:rPr>
          <w:rFonts w:eastAsia="Calibri"/>
          <w:i/>
          <w:sz w:val="24"/>
          <w:szCs w:val="24"/>
          <w:shd w:val="clear" w:color="auto" w:fill="FFFFFF"/>
        </w:rPr>
        <w:t xml:space="preserve"> Se recomandă ca parcajele publice închise existente pentru mai mult de </w:t>
      </w:r>
      <w:r>
        <w:rPr>
          <w:rFonts w:eastAsia="Calibri"/>
          <w:b/>
          <w:bCs/>
          <w:i/>
          <w:sz w:val="24"/>
          <w:szCs w:val="24"/>
          <w:shd w:val="clear" w:color="auto" w:fill="FFFFFF"/>
        </w:rPr>
        <w:t xml:space="preserve">5 </w:t>
      </w:r>
      <w:r>
        <w:rPr>
          <w:rFonts w:eastAsia="Calibri"/>
          <w:i/>
          <w:sz w:val="24"/>
          <w:szCs w:val="24"/>
          <w:shd w:val="clear" w:color="auto" w:fill="FFFFFF"/>
        </w:rPr>
        <w:t xml:space="preserve">autoturisme, să fie realizate, după caz, din materiale și elemente de construcție corespunzătoare nivelului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și </w:t>
      </w:r>
      <w:r>
        <w:rPr>
          <w:rFonts w:eastAsia="Calibri"/>
          <w:b/>
          <w:bCs/>
          <w:i/>
          <w:sz w:val="24"/>
          <w:szCs w:val="24"/>
          <w:shd w:val="clear" w:color="auto" w:fill="FFFFFF"/>
        </w:rPr>
        <w:t>III</w:t>
      </w:r>
      <w:r>
        <w:rPr>
          <w:rFonts w:eastAsia="Calibri"/>
          <w:i/>
          <w:sz w:val="24"/>
          <w:szCs w:val="24"/>
          <w:shd w:val="clear" w:color="auto" w:fill="FFFFFF"/>
        </w:rPr>
        <w:t>.</w:t>
      </w:r>
    </w:p>
    <w:p w14:paraId="03D4B72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3.11.35.</w:t>
      </w:r>
      <w:r>
        <w:rPr>
          <w:rFonts w:eastAsia="Calibri"/>
          <w:i/>
          <w:sz w:val="24"/>
          <w:szCs w:val="24"/>
          <w:shd w:val="clear" w:color="auto" w:fill="FFFFFF"/>
        </w:rPr>
        <w:t xml:space="preserve"> Parcajele publice existente închise pentru maximum </w:t>
      </w:r>
      <w:r>
        <w:rPr>
          <w:rFonts w:eastAsia="Calibri"/>
          <w:b/>
          <w:bCs/>
          <w:i/>
          <w:sz w:val="24"/>
          <w:szCs w:val="24"/>
          <w:shd w:val="clear" w:color="auto" w:fill="FFFFFF"/>
        </w:rPr>
        <w:t>5</w:t>
      </w:r>
      <w:r>
        <w:rPr>
          <w:rFonts w:eastAsia="Calibri"/>
          <w:i/>
          <w:sz w:val="24"/>
          <w:szCs w:val="24"/>
          <w:shd w:val="clear" w:color="auto" w:fill="FFFFFF"/>
        </w:rPr>
        <w:t xml:space="preserve"> autoturisme, pot fi de nivelul de stabilitate la incendiu </w:t>
      </w:r>
      <w:r>
        <w:rPr>
          <w:rFonts w:eastAsia="Calibri"/>
          <w:b/>
          <w:bCs/>
          <w:i/>
          <w:sz w:val="24"/>
          <w:szCs w:val="24"/>
          <w:shd w:val="clear" w:color="auto" w:fill="FFFFFF"/>
        </w:rPr>
        <w:t xml:space="preserve">IV </w:t>
      </w:r>
      <w:r>
        <w:rPr>
          <w:rFonts w:eastAsia="Calibri"/>
          <w:i/>
          <w:sz w:val="24"/>
          <w:szCs w:val="24"/>
          <w:shd w:val="clear" w:color="auto" w:fill="FFFFFF"/>
        </w:rPr>
        <w:t xml:space="preserve">sau </w:t>
      </w:r>
      <w:r>
        <w:rPr>
          <w:rFonts w:eastAsia="Calibri"/>
          <w:b/>
          <w:bCs/>
          <w:i/>
          <w:sz w:val="24"/>
          <w:szCs w:val="24"/>
          <w:shd w:val="clear" w:color="auto" w:fill="FFFFFF"/>
        </w:rPr>
        <w:t>V</w:t>
      </w:r>
      <w:r>
        <w:rPr>
          <w:rFonts w:eastAsia="Calibri"/>
          <w:i/>
          <w:sz w:val="24"/>
          <w:szCs w:val="24"/>
          <w:shd w:val="clear" w:color="auto" w:fill="FFFFFF"/>
        </w:rPr>
        <w:t>.</w:t>
      </w:r>
    </w:p>
    <w:p w14:paraId="12830EE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3.11.36.</w:t>
      </w:r>
      <w:r>
        <w:rPr>
          <w:rFonts w:eastAsia="Calibri"/>
          <w:i/>
          <w:sz w:val="24"/>
          <w:szCs w:val="24"/>
          <w:shd w:val="clear" w:color="auto" w:fill="FFFFFF"/>
        </w:rPr>
        <w:t xml:space="preserve"> Parcajele închise publice existente se separă de clădirea civilă existentă (publică) în care sunt înglobate, prin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rezistente la foc minimum 3 h (</w:t>
      </w:r>
      <w:r>
        <w:rPr>
          <w:rFonts w:eastAsia="Calibri"/>
          <w:b/>
          <w:bCs/>
          <w:i/>
          <w:sz w:val="24"/>
          <w:szCs w:val="24"/>
          <w:shd w:val="clear" w:color="auto" w:fill="FFFFFF"/>
        </w:rPr>
        <w:t>REI180</w:t>
      </w:r>
      <w:r>
        <w:rPr>
          <w:rFonts w:eastAsia="Calibri"/>
          <w:i/>
          <w:sz w:val="24"/>
          <w:szCs w:val="24"/>
          <w:shd w:val="clear" w:color="auto" w:fill="FFFFFF"/>
        </w:rPr>
        <w:t xml:space="preserve">) și pereți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rezistenți la foc minimum 4 ore (</w:t>
      </w:r>
      <w:r>
        <w:rPr>
          <w:rFonts w:eastAsia="Calibri"/>
          <w:b/>
          <w:bCs/>
          <w:i/>
          <w:sz w:val="24"/>
          <w:szCs w:val="24"/>
          <w:shd w:val="clear" w:color="auto" w:fill="FFFFFF"/>
        </w:rPr>
        <w:t>EI/REI240</w:t>
      </w:r>
      <w:r>
        <w:rPr>
          <w:rFonts w:eastAsia="Calibri"/>
          <w:i/>
          <w:sz w:val="24"/>
          <w:szCs w:val="24"/>
          <w:shd w:val="clear" w:color="auto" w:fill="FFFFFF"/>
        </w:rPr>
        <w:t>), dacă normativul nu prevede măsuri mai severe.</w:t>
      </w:r>
    </w:p>
    <w:p w14:paraId="48DEEB6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3.11.37.</w:t>
      </w:r>
      <w:r>
        <w:rPr>
          <w:rFonts w:eastAsia="Calibri"/>
          <w:i/>
          <w:sz w:val="24"/>
          <w:szCs w:val="24"/>
          <w:shd w:val="clear" w:color="auto" w:fill="FFFFFF"/>
        </w:rPr>
        <w:t xml:space="preserve"> Parcajele închise alipite clădirilor de locuit existente și având capacitatea de maximum </w:t>
      </w:r>
      <w:r>
        <w:rPr>
          <w:rFonts w:eastAsia="Calibri"/>
          <w:b/>
          <w:bCs/>
          <w:i/>
          <w:sz w:val="24"/>
          <w:szCs w:val="24"/>
          <w:shd w:val="clear" w:color="auto" w:fill="FFFFFF"/>
        </w:rPr>
        <w:t>3</w:t>
      </w:r>
      <w:r>
        <w:rPr>
          <w:rFonts w:eastAsia="Calibri"/>
          <w:i/>
          <w:sz w:val="24"/>
          <w:szCs w:val="24"/>
          <w:shd w:val="clear" w:color="auto" w:fill="FFFFFF"/>
        </w:rPr>
        <w:t xml:space="preserve"> autoturisme, pot fi separate de acestea prin pereți despărțitori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rezistența la foc de minimum 1 h (</w:t>
      </w:r>
      <w:r>
        <w:rPr>
          <w:rFonts w:eastAsia="Calibri"/>
          <w:b/>
          <w:bCs/>
          <w:i/>
          <w:sz w:val="24"/>
          <w:szCs w:val="24"/>
          <w:shd w:val="clear" w:color="auto" w:fill="FFFFFF"/>
        </w:rPr>
        <w:t>EI/REI60</w:t>
      </w:r>
      <w:r>
        <w:rPr>
          <w:rFonts w:eastAsia="Calibri"/>
          <w:i/>
          <w:sz w:val="24"/>
          <w:szCs w:val="24"/>
          <w:shd w:val="clear" w:color="auto" w:fill="FFFFFF"/>
        </w:rPr>
        <w:t>).</w:t>
      </w:r>
    </w:p>
    <w:p w14:paraId="2AF9156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3.11.38.</w:t>
      </w:r>
      <w:r>
        <w:rPr>
          <w:rFonts w:eastAsia="Calibri"/>
          <w:i/>
          <w:sz w:val="24"/>
          <w:szCs w:val="24"/>
          <w:shd w:val="clear" w:color="auto" w:fill="FFFFFF"/>
        </w:rPr>
        <w:t xml:space="preserve"> Parcajele publice închise vor avea asigurate posibilități de evacuare a utilizatorilor în caz de incendiu, cu lungime de evacuare care să nu depășească </w:t>
      </w:r>
      <w:r>
        <w:rPr>
          <w:rFonts w:eastAsia="Calibri"/>
          <w:b/>
          <w:bCs/>
          <w:i/>
          <w:sz w:val="24"/>
          <w:szCs w:val="24"/>
          <w:shd w:val="clear" w:color="auto" w:fill="FFFFFF"/>
        </w:rPr>
        <w:t>40 m</w:t>
      </w:r>
      <w:r>
        <w:rPr>
          <w:rFonts w:eastAsia="Calibri"/>
          <w:i/>
          <w:sz w:val="24"/>
          <w:szCs w:val="24"/>
          <w:shd w:val="clear" w:color="auto" w:fill="FFFFFF"/>
        </w:rPr>
        <w:t xml:space="preserve"> în două direcții și respectiv </w:t>
      </w:r>
      <w:r>
        <w:rPr>
          <w:rFonts w:eastAsia="Calibri"/>
          <w:b/>
          <w:bCs/>
          <w:i/>
          <w:sz w:val="24"/>
          <w:szCs w:val="24"/>
          <w:shd w:val="clear" w:color="auto" w:fill="FFFFFF"/>
        </w:rPr>
        <w:t>25 m</w:t>
      </w:r>
      <w:r>
        <w:rPr>
          <w:rFonts w:eastAsia="Calibri"/>
          <w:i/>
          <w:sz w:val="24"/>
          <w:szCs w:val="24"/>
          <w:shd w:val="clear" w:color="auto" w:fill="FFFFFF"/>
        </w:rPr>
        <w:t xml:space="preserve"> într-o direcție (coridor înfundat) în construcții existente de nivelul de stabilitate la incendiu </w:t>
      </w:r>
      <w:r>
        <w:rPr>
          <w:rFonts w:eastAsia="Calibri"/>
          <w:b/>
          <w:bCs/>
          <w:i/>
          <w:sz w:val="24"/>
          <w:szCs w:val="24"/>
          <w:shd w:val="clear" w:color="auto" w:fill="FFFFFF"/>
        </w:rPr>
        <w:t>I-II</w:t>
      </w:r>
      <w:r>
        <w:rPr>
          <w:rFonts w:eastAsia="Calibri"/>
          <w:i/>
          <w:sz w:val="24"/>
          <w:szCs w:val="24"/>
          <w:shd w:val="clear" w:color="auto" w:fill="FFFFFF"/>
        </w:rPr>
        <w:t xml:space="preserve"> și respectiv </w:t>
      </w:r>
      <w:r>
        <w:rPr>
          <w:rFonts w:eastAsia="Calibri"/>
          <w:b/>
          <w:bCs/>
          <w:i/>
          <w:sz w:val="24"/>
          <w:szCs w:val="24"/>
          <w:shd w:val="clear" w:color="auto" w:fill="FFFFFF"/>
        </w:rPr>
        <w:t>30 m</w:t>
      </w:r>
      <w:r>
        <w:rPr>
          <w:rFonts w:eastAsia="Calibri"/>
          <w:i/>
          <w:sz w:val="24"/>
          <w:szCs w:val="24"/>
          <w:shd w:val="clear" w:color="auto" w:fill="FFFFFF"/>
        </w:rPr>
        <w:t xml:space="preserve"> și </w:t>
      </w:r>
      <w:r>
        <w:rPr>
          <w:rFonts w:eastAsia="Calibri"/>
          <w:b/>
          <w:bCs/>
          <w:i/>
          <w:sz w:val="24"/>
          <w:szCs w:val="24"/>
          <w:shd w:val="clear" w:color="auto" w:fill="FFFFFF"/>
        </w:rPr>
        <w:t>16 m</w:t>
      </w:r>
      <w:r>
        <w:rPr>
          <w:rFonts w:eastAsia="Calibri"/>
          <w:i/>
          <w:sz w:val="24"/>
          <w:szCs w:val="24"/>
          <w:shd w:val="clear" w:color="auto" w:fill="FFFFFF"/>
        </w:rPr>
        <w:t xml:space="preserve"> la cele de nivelul de stabilitate la incendiu </w:t>
      </w:r>
      <w:r>
        <w:rPr>
          <w:rFonts w:eastAsia="Calibri"/>
          <w:b/>
          <w:bCs/>
          <w:i/>
          <w:sz w:val="24"/>
          <w:szCs w:val="24"/>
          <w:shd w:val="clear" w:color="auto" w:fill="FFFFFF"/>
        </w:rPr>
        <w:t>III</w:t>
      </w:r>
      <w:r>
        <w:rPr>
          <w:rFonts w:eastAsia="Calibri"/>
          <w:i/>
          <w:sz w:val="24"/>
          <w:szCs w:val="24"/>
          <w:shd w:val="clear" w:color="auto" w:fill="FFFFFF"/>
        </w:rPr>
        <w:t xml:space="preserve">. În construcții de nivelul de stabilitate la incendiu </w:t>
      </w:r>
      <w:r>
        <w:rPr>
          <w:rFonts w:eastAsia="Calibri"/>
          <w:b/>
          <w:bCs/>
          <w:i/>
          <w:sz w:val="24"/>
          <w:szCs w:val="24"/>
          <w:shd w:val="clear" w:color="auto" w:fill="FFFFFF"/>
        </w:rPr>
        <w:t>IV</w:t>
      </w:r>
      <w:r>
        <w:rPr>
          <w:rFonts w:eastAsia="Calibri"/>
          <w:i/>
          <w:sz w:val="24"/>
          <w:szCs w:val="24"/>
          <w:shd w:val="clear" w:color="auto" w:fill="FFFFFF"/>
        </w:rPr>
        <w:t xml:space="preserve"> și </w:t>
      </w:r>
      <w:r>
        <w:rPr>
          <w:rFonts w:eastAsia="Calibri"/>
          <w:b/>
          <w:bCs/>
          <w:i/>
          <w:sz w:val="24"/>
          <w:szCs w:val="24"/>
          <w:shd w:val="clear" w:color="auto" w:fill="FFFFFF"/>
        </w:rPr>
        <w:t>V</w:t>
      </w:r>
      <w:r>
        <w:rPr>
          <w:rFonts w:eastAsia="Calibri"/>
          <w:i/>
          <w:sz w:val="24"/>
          <w:szCs w:val="24"/>
          <w:shd w:val="clear" w:color="auto" w:fill="FFFFFF"/>
        </w:rPr>
        <w:t xml:space="preserve">, lungimea de evacuare până la o ușă în exterior, nu va depăși </w:t>
      </w:r>
      <w:r>
        <w:rPr>
          <w:rFonts w:eastAsia="Calibri"/>
          <w:b/>
          <w:bCs/>
          <w:i/>
          <w:sz w:val="24"/>
          <w:szCs w:val="24"/>
          <w:shd w:val="clear" w:color="auto" w:fill="FFFFFF"/>
        </w:rPr>
        <w:t>12 m</w:t>
      </w:r>
      <w:r>
        <w:rPr>
          <w:rFonts w:eastAsia="Calibri"/>
          <w:i/>
          <w:sz w:val="24"/>
          <w:szCs w:val="24"/>
          <w:shd w:val="clear" w:color="auto" w:fill="FFFFFF"/>
        </w:rPr>
        <w:t>.</w:t>
      </w:r>
    </w:p>
    <w:p w14:paraId="30B6BB2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3.11.39.</w:t>
      </w:r>
      <w:r>
        <w:rPr>
          <w:rFonts w:eastAsia="Calibri"/>
          <w:i/>
          <w:sz w:val="24"/>
          <w:szCs w:val="24"/>
          <w:shd w:val="clear" w:color="auto" w:fill="FFFFFF"/>
        </w:rPr>
        <w:t> Asigurarea condițiilor de evacuare în parcajele publice etajate existente se realizează potrivit prevederilor din prezenta anexă.</w:t>
      </w:r>
    </w:p>
    <w:p w14:paraId="6D35A8F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3.11.40.</w:t>
      </w:r>
      <w:r>
        <w:rPr>
          <w:rFonts w:eastAsia="Calibri"/>
          <w:i/>
          <w:sz w:val="24"/>
          <w:szCs w:val="24"/>
          <w:shd w:val="clear" w:color="auto" w:fill="FFFFFF"/>
        </w:rPr>
        <w:t xml:space="preserve"> Parcajele publice existente închise pentru autoturisme, cu capacitatea mai mare de </w:t>
      </w:r>
      <w:r>
        <w:rPr>
          <w:rFonts w:eastAsia="Calibri"/>
          <w:b/>
          <w:bCs/>
          <w:i/>
          <w:sz w:val="24"/>
          <w:szCs w:val="24"/>
          <w:shd w:val="clear" w:color="auto" w:fill="FFFFFF"/>
        </w:rPr>
        <w:t>5</w:t>
      </w:r>
      <w:r>
        <w:rPr>
          <w:rFonts w:eastAsia="Calibri"/>
          <w:i/>
          <w:sz w:val="24"/>
          <w:szCs w:val="24"/>
          <w:shd w:val="clear" w:color="auto" w:fill="FFFFFF"/>
        </w:rPr>
        <w:t xml:space="preserve"> locuri de parcare, se asigură cu dispozitive de evacuare a fumuiui produs în caz de incendiu (desfumare), asigurând </w:t>
      </w:r>
      <w:r>
        <w:rPr>
          <w:rFonts w:eastAsia="Calibri"/>
          <w:b/>
          <w:bCs/>
          <w:i/>
          <w:sz w:val="24"/>
          <w:szCs w:val="24"/>
          <w:shd w:val="clear" w:color="auto" w:fill="FFFFFF"/>
        </w:rPr>
        <w:t>1%</w:t>
      </w:r>
      <w:r>
        <w:rPr>
          <w:rFonts w:eastAsia="Calibri"/>
          <w:i/>
          <w:sz w:val="24"/>
          <w:szCs w:val="24"/>
          <w:shd w:val="clear" w:color="auto" w:fill="FFFFFF"/>
        </w:rPr>
        <w:t xml:space="preserve"> din arie, corespunzător alcătuite și dimensionate potrivit normativului sau sisteme mecanice de evacuare a fumului.</w:t>
      </w:r>
    </w:p>
    <w:p w14:paraId="3EA1077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3.11.41.</w:t>
      </w:r>
      <w:r>
        <w:rPr>
          <w:rFonts w:eastAsia="Calibri"/>
          <w:i/>
          <w:sz w:val="24"/>
          <w:szCs w:val="24"/>
          <w:shd w:val="clear" w:color="auto" w:fill="FFFFFF"/>
        </w:rPr>
        <w:t> Echiparea și dotarea cu instalații și mijloace de prevenire și stingere se asigură potrivit normativului.</w:t>
      </w:r>
    </w:p>
    <w:p w14:paraId="42A84F5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3.11.42.</w:t>
      </w:r>
      <w:r>
        <w:rPr>
          <w:rFonts w:eastAsia="Calibri"/>
          <w:i/>
          <w:sz w:val="24"/>
          <w:szCs w:val="24"/>
          <w:shd w:val="clear" w:color="auto" w:fill="FFFFFF"/>
        </w:rPr>
        <w:t> Proiectarea și realizarea instalațiilor utilitare aferente parcajelor publice existente pentru autoturisme se asigură în conformitate cu prevederile reglementărilor de specialitate.</w:t>
      </w:r>
    </w:p>
    <w:p w14:paraId="4DF8F17B"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3.11.43.</w:t>
      </w:r>
      <w:r>
        <w:rPr>
          <w:rFonts w:eastAsia="Calibri"/>
          <w:i/>
          <w:sz w:val="24"/>
          <w:szCs w:val="24"/>
          <w:shd w:val="clear" w:color="auto" w:fill="FFFFFF"/>
        </w:rPr>
        <w:t xml:space="preserve"> Parcajele publice existente închise pentru autoturisme cu capacitatea mai mare de </w:t>
      </w:r>
      <w:r>
        <w:rPr>
          <w:rFonts w:eastAsia="Calibri"/>
          <w:b/>
          <w:bCs/>
          <w:i/>
          <w:sz w:val="24"/>
          <w:szCs w:val="24"/>
          <w:shd w:val="clear" w:color="auto" w:fill="FFFFFF"/>
        </w:rPr>
        <w:t>500</w:t>
      </w:r>
      <w:r>
        <w:rPr>
          <w:rFonts w:eastAsia="Calibri"/>
          <w:i/>
          <w:sz w:val="24"/>
          <w:szCs w:val="24"/>
          <w:shd w:val="clear" w:color="auto" w:fill="FFFFFF"/>
        </w:rPr>
        <w:t xml:space="preserve"> locuri de parcare, vor avea constituite servicii de pompieri.</w:t>
      </w:r>
    </w:p>
    <w:p w14:paraId="6254E7F4" w14:textId="77777777" w:rsidR="001C08A5" w:rsidRDefault="00000000">
      <w:pPr>
        <w:pStyle w:val="Heading3"/>
        <w:rPr>
          <w:i/>
          <w:iCs/>
          <w:sz w:val="26"/>
        </w:rPr>
      </w:pPr>
      <w:bookmarkStart w:id="11051" w:name="_Toc24529"/>
      <w:bookmarkStart w:id="11052" w:name="_Toc7811"/>
      <w:bookmarkStart w:id="11053" w:name="_Toc162355600"/>
      <w:bookmarkStart w:id="11054" w:name="_Toc15710"/>
      <w:bookmarkStart w:id="11055" w:name="_Toc22701"/>
      <w:bookmarkStart w:id="11056" w:name="_Toc16668"/>
      <w:r>
        <w:rPr>
          <w:i/>
          <w:iCs/>
          <w:sz w:val="26"/>
        </w:rPr>
        <w:t>CAPITOLUL 4</w:t>
      </w:r>
      <w:bookmarkEnd w:id="11051"/>
      <w:bookmarkEnd w:id="11052"/>
      <w:bookmarkEnd w:id="11053"/>
      <w:bookmarkEnd w:id="11054"/>
      <w:bookmarkEnd w:id="11055"/>
      <w:bookmarkEnd w:id="11056"/>
    </w:p>
    <w:p w14:paraId="6E536789" w14:textId="77777777" w:rsidR="001C08A5" w:rsidRDefault="00000000">
      <w:pPr>
        <w:pStyle w:val="Heading3"/>
        <w:rPr>
          <w:i/>
          <w:iCs/>
          <w:sz w:val="26"/>
        </w:rPr>
      </w:pPr>
      <w:bookmarkStart w:id="11057" w:name="_Toc27185"/>
      <w:bookmarkStart w:id="11058" w:name="_Toc162355601"/>
      <w:bookmarkStart w:id="11059" w:name="_Toc13438"/>
      <w:bookmarkStart w:id="11060" w:name="_Toc31608"/>
      <w:bookmarkStart w:id="11061" w:name="_Toc230"/>
      <w:bookmarkStart w:id="11062" w:name="_Toc16963"/>
      <w:r>
        <w:rPr>
          <w:i/>
          <w:iCs/>
          <w:sz w:val="26"/>
        </w:rPr>
        <w:t>PERFORMANȚE SPECIFICE CLĂDIRILOR CIVILE (PUBLICE) EXISTENTE</w:t>
      </w:r>
      <w:bookmarkEnd w:id="11057"/>
      <w:bookmarkEnd w:id="11058"/>
      <w:bookmarkEnd w:id="11059"/>
      <w:bookmarkEnd w:id="11060"/>
      <w:bookmarkEnd w:id="11061"/>
      <w:bookmarkEnd w:id="11062"/>
    </w:p>
    <w:p w14:paraId="10B7E231" w14:textId="77777777" w:rsidR="001C08A5" w:rsidRDefault="00000000">
      <w:pPr>
        <w:pStyle w:val="Heading3"/>
        <w:rPr>
          <w:i/>
          <w:iCs/>
          <w:sz w:val="24"/>
          <w:szCs w:val="24"/>
        </w:rPr>
      </w:pPr>
      <w:bookmarkStart w:id="11063" w:name="_Toc15257"/>
      <w:bookmarkStart w:id="11064" w:name="_Toc14821"/>
      <w:bookmarkStart w:id="11065" w:name="_Toc24922"/>
      <w:bookmarkStart w:id="11066" w:name="_Toc162355602"/>
      <w:bookmarkStart w:id="11067" w:name="_Toc9901"/>
      <w:bookmarkStart w:id="11068" w:name="_Toc32635"/>
      <w:r>
        <w:rPr>
          <w:i/>
          <w:iCs/>
          <w:sz w:val="26"/>
        </w:rPr>
        <w:t>PERFORMANȚE ALE UNOR TIPURI DE CLĂDIRI CIVILE (PUBLICE) EXISTENTE</w:t>
      </w:r>
      <w:bookmarkEnd w:id="11063"/>
      <w:bookmarkEnd w:id="11064"/>
      <w:bookmarkEnd w:id="11065"/>
      <w:bookmarkEnd w:id="11066"/>
      <w:bookmarkEnd w:id="11067"/>
      <w:bookmarkEnd w:id="11068"/>
    </w:p>
    <w:p w14:paraId="796D292B" w14:textId="77777777" w:rsidR="001C08A5" w:rsidRDefault="00000000">
      <w:pPr>
        <w:pStyle w:val="Heading3"/>
        <w:rPr>
          <w:i/>
          <w:iCs/>
          <w:sz w:val="24"/>
          <w:szCs w:val="24"/>
        </w:rPr>
      </w:pPr>
      <w:bookmarkStart w:id="11069" w:name="_Toc26365"/>
      <w:bookmarkStart w:id="11070" w:name="_Toc162355603"/>
      <w:bookmarkStart w:id="11071" w:name="_Toc15252"/>
      <w:bookmarkStart w:id="11072" w:name="_Toc26280"/>
      <w:bookmarkStart w:id="11073" w:name="_Toc20534"/>
      <w:bookmarkStart w:id="11074" w:name="_Toc11416"/>
      <w:r>
        <w:rPr>
          <w:i/>
          <w:iCs/>
          <w:sz w:val="24"/>
          <w:szCs w:val="24"/>
        </w:rPr>
        <w:t>A.10. 4.1. PERFORMANȚE ALE UNOR TIPURI DE CLĂDIRI CIVILE (PUBLICE) EXISTENTE</w:t>
      </w:r>
      <w:bookmarkEnd w:id="11069"/>
      <w:bookmarkEnd w:id="11070"/>
      <w:bookmarkEnd w:id="11071"/>
      <w:bookmarkEnd w:id="11072"/>
      <w:bookmarkEnd w:id="11073"/>
      <w:bookmarkEnd w:id="11074"/>
    </w:p>
    <w:p w14:paraId="6BD15FBD" w14:textId="77777777" w:rsidR="001C08A5" w:rsidRDefault="00000000">
      <w:pPr>
        <w:pStyle w:val="Heading4"/>
        <w:rPr>
          <w:sz w:val="24"/>
          <w:szCs w:val="24"/>
        </w:rPr>
      </w:pPr>
      <w:bookmarkStart w:id="11075" w:name="_Toc27918"/>
      <w:bookmarkStart w:id="11076" w:name="_Toc1017"/>
      <w:bookmarkStart w:id="11077" w:name="_Toc5049"/>
      <w:bookmarkStart w:id="11078" w:name="_Toc21481"/>
      <w:bookmarkStart w:id="11079" w:name="_Toc11476"/>
      <w:bookmarkStart w:id="11080" w:name="_Toc162355604"/>
      <w:r>
        <w:rPr>
          <w:sz w:val="24"/>
          <w:szCs w:val="24"/>
        </w:rPr>
        <w:t>Clădiri existente înalte și foarte înalte</w:t>
      </w:r>
      <w:bookmarkEnd w:id="11075"/>
      <w:bookmarkEnd w:id="11076"/>
      <w:bookmarkEnd w:id="11077"/>
      <w:bookmarkEnd w:id="11078"/>
      <w:bookmarkEnd w:id="11079"/>
      <w:bookmarkEnd w:id="11080"/>
    </w:p>
    <w:p w14:paraId="5A52BF1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w:t>
      </w:r>
      <w:r>
        <w:rPr>
          <w:rFonts w:eastAsia="Calibri"/>
          <w:i/>
          <w:sz w:val="24"/>
          <w:szCs w:val="24"/>
          <w:shd w:val="clear" w:color="auto" w:fill="FFFFFF"/>
        </w:rPr>
        <w:t xml:space="preserve"> Clădirile existente înalte și foarte înalte vor fi de nivelul de stabilitate la incendiu I. Atunci când au porțiuni cu înălțimea mai mică de 28 m, se admite că acestea să fie de nivelul de stabilitate la incendiu II, dacă în caz de incendiu nu afectează stabilitatea clădirii existente. Acoperișurile sau terasele acestor tipuri de clădiri existente, se realizează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w:t>
      </w:r>
    </w:p>
    <w:p w14:paraId="3379785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w:t>
      </w:r>
      <w:r>
        <w:rPr>
          <w:rFonts w:eastAsia="Calibri"/>
          <w:i/>
          <w:sz w:val="24"/>
          <w:szCs w:val="24"/>
          <w:shd w:val="clear" w:color="auto" w:fill="FFFFFF"/>
        </w:rPr>
        <w:t xml:space="preserve"> În clădirile existente înalte și foarte înalte compartimentele de incendiu pot fi constituite din clădiri existente independente, porțiuni ale acestora cu arii construite la sol admise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_Ref8646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147</w:t>
      </w:r>
      <w:r>
        <w:rPr>
          <w:rFonts w:eastAsia="Calibri"/>
          <w:b/>
          <w:bCs/>
          <w:i/>
          <w:iCs/>
          <w:sz w:val="24"/>
          <w:szCs w:val="24"/>
          <w:shd w:val="clear" w:color="auto" w:fill="FFFFFF"/>
        </w:rPr>
        <w:fldChar w:fldCharType="end"/>
      </w:r>
      <w:r>
        <w:rPr>
          <w:rFonts w:eastAsia="Calibri"/>
          <w:i/>
          <w:sz w:val="24"/>
          <w:szCs w:val="24"/>
          <w:shd w:val="clear" w:color="auto" w:fill="FFFFFF"/>
        </w:rPr>
        <w:t xml:space="preserve">, </w:t>
      </w:r>
      <w:r>
        <w:rPr>
          <w:rFonts w:eastAsia="Calibri"/>
          <w:i/>
          <w:sz w:val="24"/>
          <w:szCs w:val="24"/>
          <w:shd w:val="clear" w:color="auto" w:fill="FFFFFF"/>
        </w:rPr>
        <w:lastRenderedPageBreak/>
        <w:t xml:space="preserve">sau din volume închise ale acestora, (porțiuni volumetrice cuprinzând unul până la trei niveluri construite succesive) cu aria totală desfășurată de maximum </w:t>
      </w:r>
      <w:r>
        <w:rPr>
          <w:rFonts w:eastAsia="Calibri"/>
          <w:b/>
          <w:bCs/>
          <w:i/>
          <w:sz w:val="24"/>
          <w:szCs w:val="24"/>
          <w:shd w:val="clear" w:color="auto" w:fill="FFFFFF"/>
        </w:rPr>
        <w:t>2.500 m</w:t>
      </w:r>
      <w:r>
        <w:rPr>
          <w:rFonts w:eastAsia="Calibri"/>
          <w:b/>
          <w:bCs/>
          <w:i/>
          <w:sz w:val="24"/>
          <w:szCs w:val="24"/>
          <w:shd w:val="clear" w:color="auto" w:fill="FFFFFF"/>
          <w:vertAlign w:val="superscript"/>
        </w:rPr>
        <w:t>2</w:t>
      </w:r>
      <w:r>
        <w:rPr>
          <w:rFonts w:eastAsia="Calibri"/>
          <w:i/>
          <w:sz w:val="24"/>
          <w:szCs w:val="24"/>
          <w:shd w:val="clear" w:color="auto" w:fill="FFFFFF"/>
        </w:rPr>
        <w:t xml:space="preserve">, delimitate de elemente de compartimentare verticale și orizontale (pereți și planșee). Pereții și planșeele de compartimentare a volumelor închise menționate, vor fi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la foc a pereților stabilită în funcție de densitatea sarcinii termice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_Ref6109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146</w:t>
      </w:r>
      <w:r>
        <w:rPr>
          <w:rFonts w:eastAsia="Calibri"/>
          <w:b/>
          <w:bCs/>
          <w:i/>
          <w:iCs/>
          <w:sz w:val="24"/>
          <w:szCs w:val="24"/>
          <w:shd w:val="clear" w:color="auto" w:fill="FFFFFF"/>
        </w:rPr>
        <w:fldChar w:fldCharType="end"/>
      </w:r>
      <w:r>
        <w:rPr>
          <w:rFonts w:eastAsia="Calibri"/>
          <w:i/>
          <w:sz w:val="24"/>
          <w:szCs w:val="24"/>
          <w:shd w:val="clear" w:color="auto" w:fill="FFFFFF"/>
        </w:rPr>
        <w:t>, iar a planșeelor de minimum 2 ore (</w:t>
      </w:r>
      <w:r>
        <w:rPr>
          <w:rFonts w:eastAsia="Calibri"/>
          <w:b/>
          <w:bCs/>
          <w:i/>
          <w:sz w:val="24"/>
          <w:szCs w:val="24"/>
          <w:shd w:val="clear" w:color="auto" w:fill="FFFFFF"/>
        </w:rPr>
        <w:t>REI120</w:t>
      </w:r>
      <w:r>
        <w:rPr>
          <w:rFonts w:eastAsia="Calibri"/>
          <w:i/>
          <w:sz w:val="24"/>
          <w:szCs w:val="24"/>
          <w:shd w:val="clear" w:color="auto" w:fill="FFFFFF"/>
        </w:rPr>
        <w:t>).</w:t>
      </w:r>
    </w:p>
    <w:p w14:paraId="560AC18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4.1.3.</w:t>
      </w:r>
      <w:r>
        <w:rPr>
          <w:rFonts w:eastAsia="Calibri"/>
          <w:i/>
          <w:sz w:val="24"/>
          <w:szCs w:val="24"/>
          <w:shd w:val="clear" w:color="auto" w:fill="FFFFFF"/>
        </w:rPr>
        <w:t xml:space="preserve"> În clădiri existente înalte și foarte înalte, densitatea sarcinii termice, rezultată din materialele și elementele de construcție utilizate (cu excepția pardoselilor lipite), nu va fi mai mare de </w:t>
      </w:r>
      <w:r>
        <w:rPr>
          <w:rFonts w:eastAsia="Calibri"/>
          <w:b/>
          <w:bCs/>
          <w:i/>
          <w:sz w:val="24"/>
          <w:szCs w:val="24"/>
          <w:shd w:val="clear" w:color="auto" w:fill="FFFFFF"/>
        </w:rPr>
        <w:t>275 MJ/m</w:t>
      </w:r>
      <w:r>
        <w:rPr>
          <w:rFonts w:eastAsia="Calibri"/>
          <w:b/>
          <w:bCs/>
          <w:i/>
          <w:sz w:val="24"/>
          <w:szCs w:val="24"/>
          <w:shd w:val="clear" w:color="auto" w:fill="FFFFFF"/>
          <w:vertAlign w:val="superscript"/>
        </w:rPr>
        <w:t>2</w:t>
      </w:r>
      <w:r>
        <w:rPr>
          <w:rFonts w:eastAsia="Calibri"/>
          <w:i/>
          <w:sz w:val="24"/>
          <w:szCs w:val="24"/>
          <w:shd w:val="clear" w:color="auto" w:fill="FFFFFF"/>
        </w:rPr>
        <w:t xml:space="preserve">. Densitatea sarcinii termice totale rezultată din materiale și elemente de construcție, finisaje, mobilier și alte materiale adăpostite, se recomandă să nu depășească </w:t>
      </w:r>
      <w:r>
        <w:rPr>
          <w:rFonts w:eastAsia="Calibri"/>
          <w:b/>
          <w:bCs/>
          <w:i/>
          <w:sz w:val="24"/>
          <w:szCs w:val="24"/>
          <w:shd w:val="clear" w:color="auto" w:fill="FFFFFF"/>
        </w:rPr>
        <w:t>840 MJ / m</w:t>
      </w:r>
      <w:r>
        <w:rPr>
          <w:rFonts w:eastAsia="Calibri"/>
          <w:b/>
          <w:bCs/>
          <w:i/>
          <w:sz w:val="24"/>
          <w:szCs w:val="24"/>
          <w:shd w:val="clear" w:color="auto" w:fill="FFFFFF"/>
          <w:vertAlign w:val="superscript"/>
        </w:rPr>
        <w:t>2</w:t>
      </w:r>
      <w:r>
        <w:rPr>
          <w:rFonts w:eastAsia="Calibri"/>
          <w:i/>
          <w:sz w:val="24"/>
          <w:szCs w:val="24"/>
          <w:shd w:val="clear" w:color="auto" w:fill="FFFFFF"/>
        </w:rPr>
        <w:t>.</w:t>
      </w:r>
    </w:p>
    <w:p w14:paraId="75AE3D2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4.1.4.</w:t>
      </w:r>
      <w:r>
        <w:rPr>
          <w:rFonts w:eastAsia="Calibri"/>
          <w:i/>
          <w:sz w:val="24"/>
          <w:szCs w:val="24"/>
          <w:shd w:val="clear" w:color="auto" w:fill="FFFFFF"/>
        </w:rPr>
        <w:t xml:space="preserve"> Încăperile cu densitatea sarcinii termice peste </w:t>
      </w:r>
      <w:r>
        <w:rPr>
          <w:rFonts w:eastAsia="Calibri"/>
          <w:b/>
          <w:bCs/>
          <w:i/>
          <w:sz w:val="24"/>
          <w:szCs w:val="24"/>
          <w:shd w:val="clear" w:color="auto" w:fill="FFFFFF"/>
        </w:rPr>
        <w:t>840 MJ/m</w:t>
      </w:r>
      <w:r>
        <w:rPr>
          <w:rFonts w:eastAsia="Calibri"/>
          <w:b/>
          <w:bCs/>
          <w:i/>
          <w:sz w:val="24"/>
          <w:szCs w:val="24"/>
          <w:shd w:val="clear" w:color="auto" w:fill="FFFFFF"/>
          <w:vertAlign w:val="superscript"/>
        </w:rPr>
        <w:t>2</w:t>
      </w:r>
      <w:r>
        <w:rPr>
          <w:rFonts w:eastAsia="Calibri"/>
          <w:i/>
          <w:sz w:val="24"/>
          <w:szCs w:val="24"/>
          <w:shd w:val="clear" w:color="auto" w:fill="FFFFFF"/>
        </w:rPr>
        <w:t> se separă de restul clădirii existente prin pereți cu rezistența la foc corespunzătoare densității sarcinii termice dar minimum 3 ore (</w:t>
      </w:r>
      <w:r>
        <w:rPr>
          <w:rFonts w:eastAsia="Calibri"/>
          <w:b/>
          <w:bCs/>
          <w:i/>
          <w:sz w:val="24"/>
          <w:szCs w:val="24"/>
          <w:shd w:val="clear" w:color="auto" w:fill="FFFFFF"/>
        </w:rPr>
        <w:t>EI/REI180</w:t>
      </w:r>
      <w:r>
        <w:rPr>
          <w:rFonts w:eastAsia="Calibri"/>
          <w:i/>
          <w:sz w:val="24"/>
          <w:szCs w:val="24"/>
          <w:shd w:val="clear" w:color="auto" w:fill="FFFFFF"/>
        </w:rPr>
        <w:t>) și planșee cu rezistența la foc 2 ore (</w:t>
      </w:r>
      <w:r>
        <w:rPr>
          <w:rFonts w:eastAsia="Calibri"/>
          <w:b/>
          <w:bCs/>
          <w:i/>
          <w:sz w:val="24"/>
          <w:szCs w:val="24"/>
          <w:shd w:val="clear" w:color="auto" w:fill="FFFFFF"/>
        </w:rPr>
        <w:t>REI120</w:t>
      </w:r>
      <w:r>
        <w:rPr>
          <w:rFonts w:eastAsia="Calibri"/>
          <w:i/>
          <w:sz w:val="24"/>
          <w:szCs w:val="24"/>
          <w:shd w:val="clear" w:color="auto" w:fill="FFFFFF"/>
        </w:rPr>
        <w:t>) în clădiri existente foarte înalte și respectiv o oră (</w:t>
      </w:r>
      <w:r>
        <w:rPr>
          <w:rFonts w:eastAsia="Calibri"/>
          <w:b/>
          <w:bCs/>
          <w:i/>
          <w:sz w:val="24"/>
          <w:szCs w:val="24"/>
          <w:shd w:val="clear" w:color="auto" w:fill="FFFFFF"/>
        </w:rPr>
        <w:t>EI/REI60</w:t>
      </w:r>
      <w:r>
        <w:rPr>
          <w:rFonts w:eastAsia="Calibri"/>
          <w:i/>
          <w:sz w:val="24"/>
          <w:szCs w:val="24"/>
          <w:shd w:val="clear" w:color="auto" w:fill="FFFFFF"/>
        </w:rPr>
        <w:t xml:space="preserve"> pereți și </w:t>
      </w:r>
      <w:r>
        <w:rPr>
          <w:rFonts w:eastAsia="Calibri"/>
          <w:b/>
          <w:bCs/>
          <w:i/>
          <w:sz w:val="24"/>
          <w:szCs w:val="24"/>
          <w:shd w:val="clear" w:color="auto" w:fill="FFFFFF"/>
        </w:rPr>
        <w:t>REI60</w:t>
      </w:r>
      <w:r>
        <w:rPr>
          <w:rFonts w:eastAsia="Calibri"/>
          <w:i/>
          <w:sz w:val="24"/>
          <w:szCs w:val="24"/>
          <w:shd w:val="clear" w:color="auto" w:fill="FFFFFF"/>
        </w:rPr>
        <w:t xml:space="preserve"> planșee) în clădiri existente înalte. În clădirile existente înalte, golurile de comunicație cu căile de evacuare pot fi protejate cu uși, obloane sau cortine rezistente la foc minimum 1 h 30 minute (</w:t>
      </w:r>
      <w:r>
        <w:rPr>
          <w:rFonts w:eastAsia="Calibri"/>
          <w:b/>
          <w:bCs/>
          <w:i/>
          <w:sz w:val="24"/>
          <w:szCs w:val="24"/>
          <w:shd w:val="clear" w:color="auto" w:fill="FFFFFF"/>
        </w:rPr>
        <w:t>EI90-C</w:t>
      </w:r>
      <w:r>
        <w:rPr>
          <w:rFonts w:eastAsia="Calibri"/>
          <w:i/>
          <w:sz w:val="24"/>
          <w:szCs w:val="24"/>
          <w:shd w:val="clear" w:color="auto" w:fill="FFFFFF"/>
        </w:rPr>
        <w:t>), prevăzute cu dispozitive de autoînchidere sau închidere automată în caz de incendiu.</w:t>
      </w:r>
    </w:p>
    <w:p w14:paraId="386D632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w:t>
      </w:r>
      <w:r>
        <w:rPr>
          <w:rFonts w:eastAsia="Calibri"/>
          <w:i/>
          <w:sz w:val="24"/>
          <w:szCs w:val="24"/>
          <w:shd w:val="clear" w:color="auto" w:fill="FFFFFF"/>
        </w:rPr>
        <w:t> Pentru încăperile clădirilor existente foarte înalte în care densitatea sarcinii termice depășește 840 MJ/m</w:t>
      </w:r>
      <w:r>
        <w:rPr>
          <w:rFonts w:eastAsia="Calibri"/>
          <w:i/>
          <w:sz w:val="24"/>
          <w:szCs w:val="24"/>
          <w:shd w:val="clear" w:color="auto" w:fill="FFFFFF"/>
          <w:vertAlign w:val="superscript"/>
        </w:rPr>
        <w:t>2</w:t>
      </w:r>
      <w:r>
        <w:rPr>
          <w:rFonts w:eastAsia="Calibri"/>
          <w:i/>
          <w:sz w:val="24"/>
          <w:szCs w:val="24"/>
          <w:shd w:val="clear" w:color="auto" w:fill="FFFFFF"/>
        </w:rPr>
        <w:t xml:space="preserve">, se asigură separarea acestora prin elemente de compartimentare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corespunzător densității sarcinii termice și (încăperile respective) se prevăd cu instalații automate de semnalizare și stingere a incendiilor. În clădiri existente foarte înalte golurile de comunicație cu căile de evacuare practicate în acești pereți trebuie să fie protejate prin încăperi tampon și uși cu rezistență la foc de minimum 45 minute (</w:t>
      </w:r>
      <w:r>
        <w:rPr>
          <w:rFonts w:eastAsia="Calibri"/>
          <w:b/>
          <w:bCs/>
          <w:i/>
          <w:sz w:val="24"/>
          <w:szCs w:val="24"/>
          <w:shd w:val="clear" w:color="auto" w:fill="FFFFFF"/>
        </w:rPr>
        <w:t>EI45-C</w:t>
      </w:r>
      <w:r>
        <w:rPr>
          <w:rFonts w:eastAsia="Calibri"/>
          <w:i/>
          <w:sz w:val="24"/>
          <w:szCs w:val="24"/>
          <w:shd w:val="clear" w:color="auto" w:fill="FFFFFF"/>
        </w:rPr>
        <w:t>) prevăzute cu dispozitive de autoînchidere, sau în cazuri justificate tehnic prin tamburi deschiși.</w:t>
      </w:r>
    </w:p>
    <w:p w14:paraId="5781A26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w:t>
      </w:r>
      <w:r>
        <w:rPr>
          <w:rFonts w:eastAsia="Calibri"/>
          <w:i/>
          <w:sz w:val="24"/>
          <w:szCs w:val="24"/>
          <w:shd w:val="clear" w:color="auto" w:fill="FFFFFF"/>
        </w:rPr>
        <w:t xml:space="preserve"> Pentru limitarea propagării incendiilor, între porțiunile de clădiri existente cu destinații diferite, precum și între căile de evacuare și încăperile adiacente acestora, se prevăd pereți și planșee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în funcție de destinație și de densitatea sarcinii termice. Elementele de construcție portante ale clădirii existente înalte sau foarte înalte, care străbat încăperi cu destinații diferite, vor fi alcătuite și protejate astfel încât stabilitatea clădirii existente să nu fie afectată în caz de incendiu.</w:t>
      </w:r>
    </w:p>
    <w:p w14:paraId="23408EC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w:t>
      </w:r>
      <w:r>
        <w:rPr>
          <w:rFonts w:eastAsia="Calibri"/>
          <w:i/>
          <w:sz w:val="24"/>
          <w:szCs w:val="24"/>
          <w:shd w:val="clear" w:color="auto" w:fill="FFFFFF"/>
        </w:rPr>
        <w:t> În pereții dintre compartimentele de incendiu, comunicarea se face prin încăperi tampon ale căror uși sunt etanșe la foc minimum 1 oră (</w:t>
      </w:r>
      <w:r>
        <w:rPr>
          <w:rFonts w:eastAsia="Calibri"/>
          <w:b/>
          <w:bCs/>
          <w:i/>
          <w:sz w:val="24"/>
          <w:szCs w:val="24"/>
          <w:shd w:val="clear" w:color="auto" w:fill="FFFFFF"/>
        </w:rPr>
        <w:t>E60-C</w:t>
      </w:r>
      <w:r>
        <w:rPr>
          <w:rFonts w:eastAsia="Calibri"/>
          <w:i/>
          <w:sz w:val="24"/>
          <w:szCs w:val="24"/>
          <w:shd w:val="clear" w:color="auto" w:fill="FFFFFF"/>
        </w:rPr>
        <w:t xml:space="preserve">) în clădiri existente foarte înalte (ce depășesc </w:t>
      </w:r>
      <w:r>
        <w:rPr>
          <w:rFonts w:eastAsia="Calibri"/>
          <w:b/>
          <w:bCs/>
          <w:i/>
          <w:sz w:val="24"/>
          <w:szCs w:val="24"/>
          <w:shd w:val="clear" w:color="auto" w:fill="FFFFFF"/>
        </w:rPr>
        <w:t>45 m</w:t>
      </w:r>
      <w:r>
        <w:rPr>
          <w:rFonts w:eastAsia="Calibri"/>
          <w:i/>
          <w:sz w:val="24"/>
          <w:szCs w:val="24"/>
          <w:shd w:val="clear" w:color="auto" w:fill="FFFFFF"/>
        </w:rPr>
        <w:t>) sau uși etanșe la foc 30 minute (</w:t>
      </w:r>
      <w:r>
        <w:rPr>
          <w:rFonts w:eastAsia="Calibri"/>
          <w:b/>
          <w:bCs/>
          <w:i/>
          <w:sz w:val="24"/>
          <w:szCs w:val="24"/>
          <w:shd w:val="clear" w:color="auto" w:fill="FFFFFF"/>
        </w:rPr>
        <w:t>E30-C</w:t>
      </w:r>
      <w:r>
        <w:rPr>
          <w:rFonts w:eastAsia="Calibri"/>
          <w:i/>
          <w:sz w:val="24"/>
          <w:szCs w:val="24"/>
          <w:shd w:val="clear" w:color="auto" w:fill="FFFFFF"/>
        </w:rPr>
        <w:t xml:space="preserve">) la cele înalte (între </w:t>
      </w:r>
      <w:r>
        <w:rPr>
          <w:rFonts w:eastAsia="Calibri"/>
          <w:b/>
          <w:bCs/>
          <w:i/>
          <w:sz w:val="24"/>
          <w:szCs w:val="24"/>
          <w:shd w:val="clear" w:color="auto" w:fill="FFFFFF"/>
        </w:rPr>
        <w:t>28</w:t>
      </w:r>
      <w:r>
        <w:rPr>
          <w:rFonts w:eastAsia="Calibri"/>
          <w:i/>
          <w:sz w:val="24"/>
          <w:szCs w:val="24"/>
          <w:shd w:val="clear" w:color="auto" w:fill="FFFFFF"/>
        </w:rPr>
        <w:t xml:space="preserve"> și </w:t>
      </w:r>
      <w:r>
        <w:rPr>
          <w:rFonts w:eastAsia="Calibri"/>
          <w:b/>
          <w:bCs/>
          <w:i/>
          <w:sz w:val="24"/>
          <w:szCs w:val="24"/>
          <w:shd w:val="clear" w:color="auto" w:fill="FFFFFF"/>
        </w:rPr>
        <w:t>45 m</w:t>
      </w:r>
      <w:r>
        <w:rPr>
          <w:rFonts w:eastAsia="Calibri"/>
          <w:i/>
          <w:sz w:val="24"/>
          <w:szCs w:val="24"/>
          <w:shd w:val="clear" w:color="auto" w:fill="FFFFFF"/>
        </w:rPr>
        <w:t>). În ambele situații ușile încăperilor tampon se prevăd cu sisteme de autoînchidere sau închidere automată în caz de incendiu.</w:t>
      </w:r>
    </w:p>
    <w:p w14:paraId="7EB25310"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4.1.8.</w:t>
      </w:r>
      <w:r>
        <w:rPr>
          <w:rFonts w:eastAsia="Calibri"/>
          <w:i/>
          <w:sz w:val="24"/>
          <w:szCs w:val="24"/>
          <w:shd w:val="clear" w:color="auto" w:fill="FFFFFF"/>
        </w:rPr>
        <w:t xml:space="preserve"> Pentru limitarea propagării incendiilor în interiorul compartimentelor de incendiu, pereții despărțitori dintre porțiunile de clădire existentă cu destinații diferite, precum și cei dintre circulațiile comune de evacuare și încăperile adiacente,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conform prevederilor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_Ref14711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159</w:t>
      </w:r>
      <w:r>
        <w:rPr>
          <w:rFonts w:eastAsia="Calibri"/>
          <w:b/>
          <w:bCs/>
          <w:i/>
          <w:iCs/>
          <w:sz w:val="24"/>
          <w:szCs w:val="24"/>
          <w:shd w:val="clear" w:color="auto" w:fill="FFFFFF"/>
        </w:rPr>
        <w:fldChar w:fldCharType="end"/>
      </w:r>
      <w:r>
        <w:rPr>
          <w:rFonts w:eastAsia="Calibri"/>
          <w:i/>
          <w:sz w:val="24"/>
          <w:szCs w:val="24"/>
          <w:shd w:val="clear" w:color="auto" w:fill="FFFFFF"/>
        </w:rPr>
        <w:t> rezistenți la foc min. 2 ore (</w:t>
      </w:r>
      <w:r>
        <w:rPr>
          <w:rFonts w:eastAsia="Calibri"/>
          <w:b/>
          <w:bCs/>
          <w:i/>
          <w:sz w:val="24"/>
          <w:szCs w:val="24"/>
          <w:shd w:val="clear" w:color="auto" w:fill="FFFFFF"/>
        </w:rPr>
        <w:t>REI/EI180</w:t>
      </w:r>
      <w:r>
        <w:rPr>
          <w:rFonts w:eastAsia="Calibri"/>
          <w:i/>
          <w:sz w:val="24"/>
          <w:szCs w:val="24"/>
          <w:shd w:val="clear" w:color="auto" w:fill="FFFFFF"/>
        </w:rPr>
        <w:t xml:space="preserve">), iar planșeele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cel puțin o oră (</w:t>
      </w:r>
      <w:r>
        <w:rPr>
          <w:rFonts w:eastAsia="Calibri"/>
          <w:b/>
          <w:bCs/>
          <w:i/>
          <w:sz w:val="24"/>
          <w:szCs w:val="24"/>
          <w:shd w:val="clear" w:color="auto" w:fill="FFFFFF"/>
        </w:rPr>
        <w:t>REI60</w:t>
      </w:r>
      <w:r>
        <w:rPr>
          <w:rFonts w:eastAsia="Calibri"/>
          <w:i/>
          <w:sz w:val="24"/>
          <w:szCs w:val="24"/>
          <w:shd w:val="clear" w:color="auto" w:fill="FFFFFF"/>
        </w:rPr>
        <w:t xml:space="preserve">). În clădiri existente înalte și foarte înalte, utilizarea pereților despărțitori din clasele de reacție la foc </w:t>
      </w:r>
      <w:r>
        <w:rPr>
          <w:rFonts w:eastAsia="TimesNewRomanPSMT-Identity-H"/>
          <w:i/>
          <w:sz w:val="24"/>
          <w:szCs w:val="24"/>
        </w:rPr>
        <w:t xml:space="preserve">clasa de reacție la foc </w:t>
      </w:r>
      <w:r>
        <w:rPr>
          <w:rFonts w:eastAsia="TimesNewRomanPSMT-Identity-H"/>
          <w:b/>
          <w:bCs/>
          <w:i/>
          <w:sz w:val="24"/>
          <w:szCs w:val="24"/>
          <w:lang w:eastAsia="zh-CN"/>
        </w:rPr>
        <w:t xml:space="preserve">Cs1÷s3,d0÷d1 </w:t>
      </w:r>
      <w:r>
        <w:rPr>
          <w:rFonts w:eastAsia="TimesNewRomanPSMT-Identity-H"/>
          <w:i/>
          <w:sz w:val="24"/>
          <w:szCs w:val="24"/>
          <w:lang w:eastAsia="zh-CN"/>
        </w:rPr>
        <w:t xml:space="preserve">sau </w:t>
      </w:r>
      <w:r>
        <w:rPr>
          <w:rFonts w:eastAsia="TimesNewRomanPSMT-Identity-H"/>
          <w:b/>
          <w:bCs/>
          <w:i/>
          <w:sz w:val="24"/>
          <w:szCs w:val="24"/>
          <w:lang w:eastAsia="zh-CN"/>
        </w:rPr>
        <w:t xml:space="preserve">Ds1÷s3,d0÷d1 </w:t>
      </w:r>
      <w:r>
        <w:rPr>
          <w:rFonts w:eastAsia="TimesNewRomanPSMT-Identity-H"/>
          <w:i/>
          <w:sz w:val="24"/>
          <w:szCs w:val="24"/>
          <w:lang w:eastAsia="zh-CN"/>
        </w:rPr>
        <w:t xml:space="preserve">sau </w:t>
      </w:r>
      <w:r>
        <w:rPr>
          <w:rFonts w:eastAsia="TimesNewRomanPSMT-Identity-H"/>
          <w:b/>
          <w:bCs/>
          <w:i/>
          <w:sz w:val="24"/>
          <w:szCs w:val="24"/>
          <w:lang w:eastAsia="zh-CN"/>
        </w:rPr>
        <w:t>A2s1÷s3,d2; Bs1÷s3,d2; Cs1÷s3,d2; Ds1÷s3,d2; Ed2</w:t>
      </w:r>
      <w:r>
        <w:rPr>
          <w:rFonts w:eastAsia="Calibri"/>
          <w:i/>
          <w:sz w:val="24"/>
          <w:szCs w:val="24"/>
          <w:shd w:val="clear" w:color="auto" w:fill="FFFFFF"/>
        </w:rPr>
        <w:t>, este interzisă.</w:t>
      </w:r>
    </w:p>
    <w:p w14:paraId="1A2986CC" w14:textId="77777777" w:rsidR="001C08A5" w:rsidRDefault="00000000">
      <w:pPr>
        <w:pStyle w:val="Caption"/>
        <w:shd w:val="clear" w:color="auto" w:fill="FFFFFF"/>
        <w:spacing w:before="0" w:after="150"/>
        <w:jc w:val="both"/>
        <w:rPr>
          <w:rFonts w:eastAsia="Calibri" w:cs="Times New Roman"/>
          <w:shd w:val="clear" w:color="auto" w:fill="FFFFFF"/>
        </w:rPr>
      </w:pPr>
      <w:bookmarkStart w:id="11081" w:name="_Ref14711"/>
      <w:bookmarkStart w:id="11082" w:name="_Toc162360209"/>
      <w:r>
        <w:t xml:space="preserve">Tabelul </w:t>
      </w:r>
      <w:r>
        <w:fldChar w:fldCharType="begin"/>
      </w:r>
      <w:r>
        <w:instrText xml:space="preserve"> SEQ Tabelul \* ARABIC </w:instrText>
      </w:r>
      <w:r>
        <w:fldChar w:fldCharType="separate"/>
      </w:r>
      <w:r>
        <w:t>159</w:t>
      </w:r>
      <w:r>
        <w:fldChar w:fldCharType="end"/>
      </w:r>
      <w:bookmarkStart w:id="11083" w:name="_Toc22535"/>
      <w:bookmarkStart w:id="11084" w:name="_Toc9237"/>
      <w:bookmarkStart w:id="11085" w:name="_Toc15150"/>
      <w:bookmarkStart w:id="11086" w:name="_Toc148"/>
      <w:bookmarkStart w:id="11087" w:name="_Toc12020"/>
      <w:bookmarkStart w:id="11088" w:name="_Toc21559"/>
      <w:bookmarkStart w:id="11089" w:name="_Toc16220"/>
      <w:bookmarkStart w:id="11090" w:name="_Toc22667"/>
      <w:bookmarkStart w:id="11091" w:name="_Toc9567"/>
      <w:bookmarkStart w:id="11092" w:name="_Toc26571"/>
      <w:bookmarkStart w:id="11093" w:name="_Toc29383"/>
      <w:bookmarkEnd w:id="11081"/>
      <w:r>
        <w:t xml:space="preserve">: </w:t>
      </w:r>
      <w:r>
        <w:rPr>
          <w:rFonts w:eastAsia="Calibri"/>
          <w:shd w:val="clear" w:color="auto" w:fill="FFFFFF"/>
        </w:rPr>
        <w:t>Pereți de separare a căilor comune de circulație și de evacuare la clădiri existente înalte și foarte înalte</w:t>
      </w:r>
      <w:bookmarkEnd w:id="11082"/>
      <w:bookmarkEnd w:id="11083"/>
      <w:bookmarkEnd w:id="11084"/>
      <w:bookmarkEnd w:id="11085"/>
      <w:bookmarkEnd w:id="11086"/>
      <w:bookmarkEnd w:id="11087"/>
      <w:bookmarkEnd w:id="11088"/>
      <w:bookmarkEnd w:id="11089"/>
      <w:bookmarkEnd w:id="11090"/>
      <w:bookmarkEnd w:id="11091"/>
      <w:bookmarkEnd w:id="11092"/>
      <w:bookmarkEnd w:id="11093"/>
    </w:p>
    <w:tbl>
      <w:tblPr>
        <w:tblStyle w:val="TableGrid"/>
        <w:tblW w:w="0" w:type="auto"/>
        <w:tblLook w:val="04A0" w:firstRow="1" w:lastRow="0" w:firstColumn="1" w:lastColumn="0" w:noHBand="0" w:noVBand="1"/>
      </w:tblPr>
      <w:tblGrid>
        <w:gridCol w:w="1924"/>
        <w:gridCol w:w="1912"/>
        <w:gridCol w:w="1931"/>
        <w:gridCol w:w="1931"/>
        <w:gridCol w:w="1931"/>
      </w:tblGrid>
      <w:tr w:rsidR="001C08A5" w14:paraId="10573757" w14:textId="77777777">
        <w:tc>
          <w:tcPr>
            <w:tcW w:w="1970" w:type="dxa"/>
            <w:vMerge w:val="restart"/>
            <w:vAlign w:val="center"/>
          </w:tcPr>
          <w:p w14:paraId="46250EDC" w14:textId="77777777" w:rsidR="001C08A5" w:rsidRDefault="00000000">
            <w:pPr>
              <w:jc w:val="center"/>
              <w:rPr>
                <w:b/>
                <w:bCs/>
                <w:i/>
                <w:sz w:val="22"/>
                <w:szCs w:val="22"/>
              </w:rPr>
            </w:pPr>
            <w:r>
              <w:rPr>
                <w:b/>
                <w:bCs/>
                <w:i/>
                <w:sz w:val="22"/>
                <w:szCs w:val="22"/>
                <w:lang w:eastAsia="zh-CN" w:bidi="ar"/>
              </w:rPr>
              <w:t>N</w:t>
            </w:r>
            <w:r>
              <w:rPr>
                <w:rFonts w:eastAsia="Calibri"/>
                <w:b/>
                <w:bCs/>
                <w:i/>
                <w:sz w:val="22"/>
                <w:szCs w:val="22"/>
                <w:shd w:val="clear" w:color="auto" w:fill="FFFFFF"/>
              </w:rPr>
              <w:t>ivel de stabilitate la incendiu</w:t>
            </w:r>
          </w:p>
        </w:tc>
        <w:tc>
          <w:tcPr>
            <w:tcW w:w="1971" w:type="dxa"/>
            <w:vMerge w:val="restart"/>
            <w:vAlign w:val="center"/>
          </w:tcPr>
          <w:p w14:paraId="16B7E418" w14:textId="77777777" w:rsidR="001C08A5" w:rsidRDefault="00000000">
            <w:pPr>
              <w:jc w:val="center"/>
              <w:rPr>
                <w:b/>
                <w:bCs/>
                <w:i/>
                <w:sz w:val="22"/>
                <w:szCs w:val="22"/>
              </w:rPr>
            </w:pPr>
            <w:r>
              <w:rPr>
                <w:b/>
                <w:bCs/>
                <w:i/>
                <w:sz w:val="22"/>
                <w:szCs w:val="22"/>
                <w:lang w:eastAsia="zh-CN" w:bidi="ar"/>
              </w:rPr>
              <w:t>C</w:t>
            </w:r>
            <w:r>
              <w:rPr>
                <w:b/>
                <w:bCs/>
                <w:i/>
                <w:sz w:val="22"/>
                <w:szCs w:val="22"/>
                <w:lang w:val="en-US" w:eastAsia="zh-CN" w:bidi="ar"/>
              </w:rPr>
              <w:t>lădiri</w:t>
            </w:r>
          </w:p>
        </w:tc>
        <w:tc>
          <w:tcPr>
            <w:tcW w:w="5913" w:type="dxa"/>
            <w:gridSpan w:val="3"/>
            <w:vAlign w:val="center"/>
          </w:tcPr>
          <w:p w14:paraId="27B61BDA" w14:textId="77777777" w:rsidR="001C08A5" w:rsidRDefault="00000000">
            <w:pPr>
              <w:jc w:val="center"/>
              <w:rPr>
                <w:b/>
                <w:bCs/>
                <w:i/>
                <w:sz w:val="22"/>
                <w:szCs w:val="22"/>
              </w:rPr>
            </w:pPr>
            <w:r>
              <w:rPr>
                <w:b/>
                <w:bCs/>
                <w:i/>
                <w:sz w:val="22"/>
                <w:szCs w:val="22"/>
                <w:lang w:val="en-US" w:eastAsia="zh-CN" w:bidi="ar"/>
              </w:rPr>
              <w:t>Nivele minime de comportare la foc admise pentru pereți in funcție de destinația și densitatea sarcinii termice a spațiilor adiacente</w:t>
            </w:r>
          </w:p>
        </w:tc>
      </w:tr>
      <w:tr w:rsidR="001C08A5" w14:paraId="6FDBB25F" w14:textId="77777777">
        <w:tc>
          <w:tcPr>
            <w:tcW w:w="1970" w:type="dxa"/>
            <w:vMerge/>
            <w:vAlign w:val="center"/>
          </w:tcPr>
          <w:p w14:paraId="7CF2C078" w14:textId="77777777" w:rsidR="001C08A5" w:rsidRDefault="001C08A5">
            <w:pPr>
              <w:jc w:val="center"/>
              <w:rPr>
                <w:b/>
                <w:bCs/>
                <w:i/>
                <w:sz w:val="22"/>
                <w:szCs w:val="22"/>
              </w:rPr>
            </w:pPr>
          </w:p>
        </w:tc>
        <w:tc>
          <w:tcPr>
            <w:tcW w:w="1971" w:type="dxa"/>
            <w:vMerge/>
            <w:vAlign w:val="center"/>
          </w:tcPr>
          <w:p w14:paraId="07CEC0D2" w14:textId="77777777" w:rsidR="001C08A5" w:rsidRDefault="001C08A5">
            <w:pPr>
              <w:widowControl/>
              <w:jc w:val="center"/>
              <w:rPr>
                <w:sz w:val="22"/>
                <w:szCs w:val="22"/>
              </w:rPr>
            </w:pPr>
          </w:p>
        </w:tc>
        <w:tc>
          <w:tcPr>
            <w:tcW w:w="1971" w:type="dxa"/>
            <w:vAlign w:val="center"/>
          </w:tcPr>
          <w:p w14:paraId="21C7EA45" w14:textId="77777777" w:rsidR="001C08A5" w:rsidRDefault="00000000">
            <w:pPr>
              <w:widowControl/>
              <w:jc w:val="center"/>
              <w:rPr>
                <w:sz w:val="22"/>
                <w:szCs w:val="22"/>
              </w:rPr>
            </w:pPr>
            <w:r>
              <w:rPr>
                <w:i/>
                <w:sz w:val="22"/>
                <w:szCs w:val="22"/>
                <w:lang w:val="en-US" w:eastAsia="zh-CN" w:bidi="ar"/>
              </w:rPr>
              <w:t>la coridoare</w:t>
            </w:r>
          </w:p>
        </w:tc>
        <w:tc>
          <w:tcPr>
            <w:tcW w:w="1971" w:type="dxa"/>
            <w:vAlign w:val="center"/>
          </w:tcPr>
          <w:p w14:paraId="0D731277" w14:textId="77777777" w:rsidR="001C08A5" w:rsidRDefault="00000000">
            <w:pPr>
              <w:widowControl/>
              <w:jc w:val="center"/>
              <w:rPr>
                <w:sz w:val="22"/>
                <w:szCs w:val="22"/>
              </w:rPr>
            </w:pPr>
            <w:r>
              <w:rPr>
                <w:i/>
                <w:sz w:val="22"/>
                <w:szCs w:val="22"/>
                <w:lang w:val="en-US" w:eastAsia="zh-CN" w:bidi="ar"/>
              </w:rPr>
              <w:t>la holuri</w:t>
            </w:r>
          </w:p>
        </w:tc>
        <w:tc>
          <w:tcPr>
            <w:tcW w:w="1971" w:type="dxa"/>
            <w:vAlign w:val="center"/>
          </w:tcPr>
          <w:p w14:paraId="129817F4" w14:textId="77777777" w:rsidR="001C08A5" w:rsidRDefault="00000000">
            <w:pPr>
              <w:widowControl/>
              <w:jc w:val="center"/>
              <w:rPr>
                <w:i/>
                <w:sz w:val="22"/>
                <w:szCs w:val="22"/>
                <w:lang w:val="en-US" w:eastAsia="zh-CN" w:bidi="ar"/>
              </w:rPr>
            </w:pPr>
            <w:r>
              <w:rPr>
                <w:i/>
                <w:sz w:val="22"/>
                <w:szCs w:val="22"/>
                <w:lang w:val="en-US" w:eastAsia="zh-CN" w:bidi="ar"/>
              </w:rPr>
              <w:t>la case de scări închise</w:t>
            </w:r>
          </w:p>
        </w:tc>
      </w:tr>
      <w:tr w:rsidR="001C08A5" w14:paraId="5EF7A0CC" w14:textId="77777777">
        <w:tc>
          <w:tcPr>
            <w:tcW w:w="1970" w:type="dxa"/>
            <w:vMerge w:val="restart"/>
            <w:vAlign w:val="center"/>
          </w:tcPr>
          <w:p w14:paraId="5A56D255" w14:textId="77777777" w:rsidR="001C08A5" w:rsidRDefault="00000000">
            <w:pPr>
              <w:jc w:val="center"/>
              <w:rPr>
                <w:b/>
                <w:bCs/>
                <w:i/>
                <w:sz w:val="22"/>
                <w:szCs w:val="22"/>
              </w:rPr>
            </w:pPr>
            <w:r>
              <w:rPr>
                <w:b/>
                <w:bCs/>
                <w:i/>
                <w:sz w:val="22"/>
                <w:szCs w:val="22"/>
                <w:lang w:val="en-US" w:eastAsia="zh-CN" w:bidi="ar"/>
              </w:rPr>
              <w:lastRenderedPageBreak/>
              <w:t>I</w:t>
            </w:r>
          </w:p>
        </w:tc>
        <w:tc>
          <w:tcPr>
            <w:tcW w:w="1971" w:type="dxa"/>
            <w:vAlign w:val="center"/>
          </w:tcPr>
          <w:p w14:paraId="4FCFEF67" w14:textId="77777777" w:rsidR="001C08A5" w:rsidRDefault="00000000">
            <w:pPr>
              <w:jc w:val="center"/>
              <w:rPr>
                <w:b/>
                <w:bCs/>
                <w:i/>
                <w:sz w:val="22"/>
                <w:szCs w:val="22"/>
              </w:rPr>
            </w:pPr>
            <w:r>
              <w:rPr>
                <w:b/>
                <w:bCs/>
                <w:i/>
                <w:sz w:val="22"/>
                <w:szCs w:val="22"/>
                <w:lang w:val="en-US" w:eastAsia="zh-CN" w:bidi="ar"/>
              </w:rPr>
              <w:t>foarte înalte</w:t>
            </w:r>
          </w:p>
        </w:tc>
        <w:tc>
          <w:tcPr>
            <w:tcW w:w="1971" w:type="dxa"/>
            <w:vAlign w:val="center"/>
          </w:tcPr>
          <w:p w14:paraId="77202B2A" w14:textId="77777777" w:rsidR="001C08A5" w:rsidRDefault="00000000">
            <w:pPr>
              <w:widowControl/>
              <w:jc w:val="center"/>
              <w:rPr>
                <w:i/>
                <w:sz w:val="22"/>
                <w:szCs w:val="22"/>
                <w:lang w:val="en-US" w:eastAsia="zh-CN" w:bidi="ar"/>
              </w:rPr>
            </w:pPr>
            <w:r>
              <w:rPr>
                <w:b/>
                <w:bCs/>
                <w:i/>
                <w:sz w:val="22"/>
                <w:szCs w:val="22"/>
                <w:lang w:val="en-GB"/>
              </w:rPr>
              <w:t>A1, A2s1d0</w:t>
            </w:r>
          </w:p>
          <w:p w14:paraId="2824E7EA" w14:textId="77777777" w:rsidR="001C08A5" w:rsidRDefault="00000000">
            <w:pPr>
              <w:widowControl/>
              <w:jc w:val="center"/>
              <w:rPr>
                <w:b/>
                <w:bCs/>
                <w:i/>
                <w:sz w:val="22"/>
                <w:szCs w:val="22"/>
              </w:rPr>
            </w:pPr>
            <w:r>
              <w:rPr>
                <w:b/>
                <w:bCs/>
                <w:i/>
                <w:sz w:val="22"/>
                <w:szCs w:val="22"/>
                <w:lang w:val="en-US" w:eastAsia="zh-CN" w:bidi="ar"/>
              </w:rPr>
              <w:t xml:space="preserve">≥ </w:t>
            </w:r>
            <w:r>
              <w:rPr>
                <w:rFonts w:eastAsia="Calibri"/>
                <w:b/>
                <w:bCs/>
                <w:i/>
                <w:sz w:val="22"/>
                <w:szCs w:val="22"/>
                <w:shd w:val="clear" w:color="auto" w:fill="FFFFFF"/>
              </w:rPr>
              <w:t>EI/REI120</w:t>
            </w:r>
          </w:p>
        </w:tc>
        <w:tc>
          <w:tcPr>
            <w:tcW w:w="1971" w:type="dxa"/>
            <w:vAlign w:val="center"/>
          </w:tcPr>
          <w:p w14:paraId="2AE1C703" w14:textId="77777777" w:rsidR="001C08A5" w:rsidRDefault="00000000">
            <w:pPr>
              <w:widowControl/>
              <w:jc w:val="center"/>
              <w:rPr>
                <w:i/>
                <w:sz w:val="22"/>
                <w:szCs w:val="22"/>
                <w:lang w:val="en-US" w:eastAsia="zh-CN" w:bidi="ar"/>
              </w:rPr>
            </w:pPr>
            <w:r>
              <w:rPr>
                <w:b/>
                <w:bCs/>
                <w:i/>
                <w:sz w:val="22"/>
                <w:szCs w:val="22"/>
                <w:lang w:val="en-GB"/>
              </w:rPr>
              <w:t>A1, A2s1d0</w:t>
            </w:r>
          </w:p>
          <w:p w14:paraId="329C911D" w14:textId="77777777" w:rsidR="001C08A5" w:rsidRDefault="00000000">
            <w:pPr>
              <w:widowControl/>
              <w:jc w:val="center"/>
              <w:rPr>
                <w:b/>
                <w:bCs/>
                <w:i/>
                <w:sz w:val="22"/>
                <w:szCs w:val="22"/>
              </w:rPr>
            </w:pPr>
            <w:r>
              <w:rPr>
                <w:b/>
                <w:bCs/>
                <w:i/>
                <w:sz w:val="22"/>
                <w:szCs w:val="22"/>
                <w:lang w:val="en-US" w:eastAsia="zh-CN" w:bidi="ar"/>
              </w:rPr>
              <w:t xml:space="preserve">≥ </w:t>
            </w:r>
            <w:r>
              <w:rPr>
                <w:rFonts w:eastAsia="Calibri"/>
                <w:b/>
                <w:bCs/>
                <w:i/>
                <w:sz w:val="22"/>
                <w:szCs w:val="22"/>
                <w:shd w:val="clear" w:color="auto" w:fill="FFFFFF"/>
              </w:rPr>
              <w:t>EI/REI120</w:t>
            </w:r>
          </w:p>
        </w:tc>
        <w:tc>
          <w:tcPr>
            <w:tcW w:w="1971" w:type="dxa"/>
            <w:vAlign w:val="center"/>
          </w:tcPr>
          <w:p w14:paraId="3B77C2E7" w14:textId="77777777" w:rsidR="001C08A5" w:rsidRDefault="00000000">
            <w:pPr>
              <w:widowControl/>
              <w:jc w:val="center"/>
              <w:rPr>
                <w:i/>
                <w:sz w:val="22"/>
                <w:szCs w:val="22"/>
                <w:lang w:val="en-US" w:eastAsia="zh-CN" w:bidi="ar"/>
              </w:rPr>
            </w:pPr>
            <w:r>
              <w:rPr>
                <w:b/>
                <w:bCs/>
                <w:i/>
                <w:sz w:val="22"/>
                <w:szCs w:val="22"/>
                <w:lang w:val="en-GB"/>
              </w:rPr>
              <w:t>A1, A2s1d0</w:t>
            </w:r>
          </w:p>
          <w:p w14:paraId="7C7CE8B0" w14:textId="77777777" w:rsidR="001C08A5" w:rsidRDefault="00000000">
            <w:pPr>
              <w:jc w:val="center"/>
              <w:rPr>
                <w:b/>
                <w:bCs/>
                <w:i/>
                <w:sz w:val="22"/>
                <w:szCs w:val="22"/>
                <w:lang w:val="en-US" w:eastAsia="zh-CN" w:bidi="ar"/>
              </w:rPr>
            </w:pPr>
            <w:r>
              <w:rPr>
                <w:rFonts w:eastAsia="Calibri"/>
                <w:b/>
                <w:bCs/>
                <w:i/>
                <w:sz w:val="22"/>
                <w:szCs w:val="22"/>
                <w:shd w:val="clear" w:color="auto" w:fill="FFFFFF"/>
              </w:rPr>
              <w:t>EI/REI180</w:t>
            </w:r>
          </w:p>
        </w:tc>
      </w:tr>
      <w:tr w:rsidR="001C08A5" w14:paraId="4FA56D76" w14:textId="77777777">
        <w:tc>
          <w:tcPr>
            <w:tcW w:w="1970" w:type="dxa"/>
            <w:vMerge/>
            <w:vAlign w:val="center"/>
          </w:tcPr>
          <w:p w14:paraId="5CE08B7F" w14:textId="77777777" w:rsidR="001C08A5" w:rsidRDefault="001C08A5">
            <w:pPr>
              <w:jc w:val="center"/>
              <w:rPr>
                <w:b/>
                <w:bCs/>
                <w:i/>
                <w:sz w:val="22"/>
                <w:szCs w:val="22"/>
              </w:rPr>
            </w:pPr>
          </w:p>
        </w:tc>
        <w:tc>
          <w:tcPr>
            <w:tcW w:w="1971" w:type="dxa"/>
            <w:vAlign w:val="center"/>
          </w:tcPr>
          <w:p w14:paraId="2D547BBA" w14:textId="77777777" w:rsidR="001C08A5" w:rsidRDefault="00000000">
            <w:pPr>
              <w:jc w:val="center"/>
              <w:rPr>
                <w:b/>
                <w:bCs/>
                <w:i/>
                <w:sz w:val="22"/>
                <w:szCs w:val="22"/>
              </w:rPr>
            </w:pPr>
            <w:proofErr w:type="gramStart"/>
            <w:r>
              <w:rPr>
                <w:b/>
                <w:bCs/>
                <w:i/>
                <w:sz w:val="22"/>
                <w:szCs w:val="22"/>
                <w:lang w:val="en-US" w:eastAsia="zh-CN" w:bidi="ar"/>
              </w:rPr>
              <w:t>clădiri  înalte</w:t>
            </w:r>
            <w:proofErr w:type="gramEnd"/>
          </w:p>
        </w:tc>
        <w:tc>
          <w:tcPr>
            <w:tcW w:w="1971" w:type="dxa"/>
            <w:vAlign w:val="center"/>
          </w:tcPr>
          <w:p w14:paraId="1D1B5A53" w14:textId="77777777" w:rsidR="001C08A5" w:rsidRDefault="00000000">
            <w:pPr>
              <w:widowControl/>
              <w:jc w:val="center"/>
              <w:rPr>
                <w:i/>
                <w:sz w:val="22"/>
                <w:szCs w:val="22"/>
                <w:lang w:val="en-US" w:eastAsia="zh-CN" w:bidi="ar"/>
              </w:rPr>
            </w:pPr>
            <w:r>
              <w:rPr>
                <w:b/>
                <w:bCs/>
                <w:i/>
                <w:sz w:val="22"/>
                <w:szCs w:val="22"/>
                <w:lang w:val="en-GB"/>
              </w:rPr>
              <w:t>A1, A2s1d0</w:t>
            </w:r>
          </w:p>
          <w:p w14:paraId="3D64EE21" w14:textId="77777777" w:rsidR="001C08A5" w:rsidRDefault="00000000">
            <w:pPr>
              <w:widowControl/>
              <w:jc w:val="center"/>
              <w:rPr>
                <w:sz w:val="22"/>
                <w:szCs w:val="22"/>
              </w:rPr>
            </w:pPr>
            <w:r>
              <w:rPr>
                <w:b/>
                <w:bCs/>
                <w:i/>
                <w:sz w:val="22"/>
                <w:szCs w:val="22"/>
                <w:lang w:val="en-US" w:eastAsia="zh-CN" w:bidi="ar"/>
              </w:rPr>
              <w:t xml:space="preserve">≥ </w:t>
            </w:r>
            <w:r>
              <w:rPr>
                <w:rFonts w:eastAsia="Calibri"/>
                <w:b/>
                <w:bCs/>
                <w:i/>
                <w:sz w:val="22"/>
                <w:szCs w:val="22"/>
                <w:shd w:val="clear" w:color="auto" w:fill="FFFFFF"/>
              </w:rPr>
              <w:t>EI/REI60</w:t>
            </w:r>
          </w:p>
        </w:tc>
        <w:tc>
          <w:tcPr>
            <w:tcW w:w="1971" w:type="dxa"/>
            <w:vAlign w:val="center"/>
          </w:tcPr>
          <w:p w14:paraId="641048DE" w14:textId="77777777" w:rsidR="001C08A5" w:rsidRDefault="00000000">
            <w:pPr>
              <w:widowControl/>
              <w:jc w:val="center"/>
              <w:rPr>
                <w:i/>
                <w:sz w:val="22"/>
                <w:szCs w:val="22"/>
                <w:lang w:val="en-US" w:eastAsia="zh-CN" w:bidi="ar"/>
              </w:rPr>
            </w:pPr>
            <w:r>
              <w:rPr>
                <w:b/>
                <w:bCs/>
                <w:i/>
                <w:sz w:val="22"/>
                <w:szCs w:val="22"/>
                <w:lang w:val="en-GB"/>
              </w:rPr>
              <w:t>A1, A2s1d0</w:t>
            </w:r>
          </w:p>
          <w:p w14:paraId="5FC86787" w14:textId="77777777" w:rsidR="001C08A5" w:rsidRDefault="00000000">
            <w:pPr>
              <w:widowControl/>
              <w:jc w:val="center"/>
              <w:rPr>
                <w:sz w:val="22"/>
                <w:szCs w:val="22"/>
              </w:rPr>
            </w:pPr>
            <w:r>
              <w:rPr>
                <w:b/>
                <w:bCs/>
                <w:i/>
                <w:sz w:val="22"/>
                <w:szCs w:val="22"/>
                <w:lang w:val="en-US" w:eastAsia="zh-CN" w:bidi="ar"/>
              </w:rPr>
              <w:t xml:space="preserve">≥ </w:t>
            </w:r>
            <w:r>
              <w:rPr>
                <w:rFonts w:eastAsia="Calibri"/>
                <w:b/>
                <w:bCs/>
                <w:i/>
                <w:sz w:val="22"/>
                <w:szCs w:val="22"/>
                <w:shd w:val="clear" w:color="auto" w:fill="FFFFFF"/>
              </w:rPr>
              <w:t>EI/REI60</w:t>
            </w:r>
          </w:p>
        </w:tc>
        <w:tc>
          <w:tcPr>
            <w:tcW w:w="1971" w:type="dxa"/>
            <w:vAlign w:val="center"/>
          </w:tcPr>
          <w:p w14:paraId="2638A20D" w14:textId="77777777" w:rsidR="001C08A5" w:rsidRDefault="00000000">
            <w:pPr>
              <w:widowControl/>
              <w:jc w:val="center"/>
              <w:rPr>
                <w:i/>
                <w:sz w:val="22"/>
                <w:szCs w:val="22"/>
                <w:lang w:val="en-US" w:eastAsia="zh-CN" w:bidi="ar"/>
              </w:rPr>
            </w:pPr>
            <w:r>
              <w:rPr>
                <w:b/>
                <w:bCs/>
                <w:i/>
                <w:sz w:val="22"/>
                <w:szCs w:val="22"/>
                <w:lang w:val="en-GB"/>
              </w:rPr>
              <w:t>A1, A2s1d0</w:t>
            </w:r>
          </w:p>
          <w:p w14:paraId="65AD97CD" w14:textId="77777777" w:rsidR="001C08A5" w:rsidRDefault="00000000">
            <w:pPr>
              <w:widowControl/>
              <w:jc w:val="center"/>
              <w:rPr>
                <w:sz w:val="22"/>
                <w:szCs w:val="22"/>
              </w:rPr>
            </w:pPr>
            <w:r>
              <w:rPr>
                <w:b/>
                <w:bCs/>
                <w:i/>
                <w:sz w:val="22"/>
                <w:szCs w:val="22"/>
                <w:lang w:val="en-US" w:eastAsia="zh-CN" w:bidi="ar"/>
              </w:rPr>
              <w:t xml:space="preserve">≥ </w:t>
            </w:r>
            <w:r>
              <w:rPr>
                <w:rFonts w:eastAsia="Calibri"/>
                <w:b/>
                <w:bCs/>
                <w:i/>
                <w:sz w:val="22"/>
                <w:szCs w:val="22"/>
                <w:shd w:val="clear" w:color="auto" w:fill="FFFFFF"/>
              </w:rPr>
              <w:t>EI/REI180</w:t>
            </w:r>
          </w:p>
        </w:tc>
      </w:tr>
    </w:tbl>
    <w:p w14:paraId="1865277A" w14:textId="77777777" w:rsidR="001C08A5" w:rsidRDefault="001C08A5">
      <w:pPr>
        <w:shd w:val="clear" w:color="auto" w:fill="FFFFFF"/>
        <w:spacing w:after="150"/>
        <w:jc w:val="both"/>
        <w:rPr>
          <w:rFonts w:eastAsia="Calibri"/>
          <w:b/>
          <w:bCs/>
          <w:i/>
          <w:sz w:val="24"/>
          <w:szCs w:val="24"/>
          <w:shd w:val="clear" w:color="auto" w:fill="FFFFFF"/>
        </w:rPr>
      </w:pPr>
    </w:p>
    <w:p w14:paraId="7BA8447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4.1.9.</w:t>
      </w:r>
      <w:r>
        <w:rPr>
          <w:rFonts w:eastAsia="Calibri"/>
          <w:i/>
          <w:sz w:val="24"/>
          <w:szCs w:val="24"/>
          <w:shd w:val="clear" w:color="auto" w:fill="FFFFFF"/>
        </w:rPr>
        <w:t xml:space="preserve"> La nivelurile supraterane, golurile de acces la scările de evacuare se protejează cu încăperi tampon care asigură împiedicarea propagării fumului conform prevederilor din prezenta anexă, realizate cu pereți și planșeu </w:t>
      </w:r>
      <w:r>
        <w:rPr>
          <w:b/>
          <w:bCs/>
          <w:i/>
          <w:sz w:val="24"/>
          <w:szCs w:val="24"/>
          <w:lang w:val="en-GB"/>
        </w:rPr>
        <w:t>A1, A2s1d0</w:t>
      </w:r>
      <w:r>
        <w:rPr>
          <w:rFonts w:eastAsia="Calibri"/>
          <w:i/>
          <w:sz w:val="24"/>
          <w:szCs w:val="24"/>
          <w:shd w:val="clear" w:color="auto" w:fill="FFFFFF"/>
        </w:rPr>
        <w:t xml:space="preserve"> rezistente la foc minimum 60 de minute (</w:t>
      </w:r>
      <w:r>
        <w:rPr>
          <w:rFonts w:eastAsia="Calibri"/>
          <w:b/>
          <w:bCs/>
          <w:i/>
          <w:sz w:val="24"/>
          <w:szCs w:val="24"/>
          <w:shd w:val="clear" w:color="auto" w:fill="FFFFFF"/>
        </w:rPr>
        <w:t>EI/REI60</w:t>
      </w:r>
      <w:r>
        <w:rPr>
          <w:rFonts w:eastAsia="Calibri"/>
          <w:i/>
          <w:sz w:val="24"/>
          <w:szCs w:val="24"/>
          <w:shd w:val="clear" w:color="auto" w:fill="FFFFFF"/>
        </w:rPr>
        <w:t xml:space="preserve"> pereți și </w:t>
      </w:r>
      <w:r>
        <w:rPr>
          <w:rFonts w:eastAsia="Calibri"/>
          <w:b/>
          <w:bCs/>
          <w:i/>
          <w:sz w:val="24"/>
          <w:szCs w:val="24"/>
          <w:shd w:val="clear" w:color="auto" w:fill="FFFFFF"/>
        </w:rPr>
        <w:t>REI60</w:t>
      </w:r>
      <w:r>
        <w:rPr>
          <w:rFonts w:eastAsia="Calibri"/>
          <w:i/>
          <w:sz w:val="24"/>
          <w:szCs w:val="24"/>
          <w:shd w:val="clear" w:color="auto" w:fill="FFFFFF"/>
        </w:rPr>
        <w:t xml:space="preserve"> planșee) și prevăzute cu uși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sau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xml:space="preserve"> etanșe la foc minimum 30 de minute (</w:t>
      </w:r>
      <w:r>
        <w:rPr>
          <w:rFonts w:eastAsia="Calibri"/>
          <w:b/>
          <w:bCs/>
          <w:i/>
          <w:sz w:val="24"/>
          <w:szCs w:val="24"/>
          <w:shd w:val="clear" w:color="auto" w:fill="FFFFFF"/>
        </w:rPr>
        <w:t>E30-C</w:t>
      </w:r>
      <w:r>
        <w:rPr>
          <w:rFonts w:eastAsia="Calibri"/>
          <w:i/>
          <w:sz w:val="24"/>
          <w:szCs w:val="24"/>
          <w:shd w:val="clear" w:color="auto" w:fill="FFFFFF"/>
        </w:rPr>
        <w:t xml:space="preserve">) în clădiri existente înalte și respectiv, uși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sau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Calibri"/>
          <w:i/>
          <w:sz w:val="24"/>
          <w:szCs w:val="24"/>
          <w:shd w:val="clear" w:color="auto" w:fill="FFFFFF"/>
        </w:rPr>
        <w:t xml:space="preserve"> etanșe la foc minimum 60 de minute (</w:t>
      </w:r>
      <w:r>
        <w:rPr>
          <w:rFonts w:eastAsia="Calibri"/>
          <w:b/>
          <w:bCs/>
          <w:i/>
          <w:sz w:val="24"/>
          <w:szCs w:val="24"/>
          <w:shd w:val="clear" w:color="auto" w:fill="FFFFFF"/>
        </w:rPr>
        <w:t>E60-C</w:t>
      </w:r>
      <w:r>
        <w:rPr>
          <w:rFonts w:eastAsia="Calibri"/>
          <w:i/>
          <w:sz w:val="24"/>
          <w:szCs w:val="24"/>
          <w:shd w:val="clear" w:color="auto" w:fill="FFFFFF"/>
        </w:rPr>
        <w:t xml:space="preserve">) în clădiri existente foarte înalte. Rampele scărilor aferente nivelurilor subterane se separă de cele supraterane prin pereți și planșee </w:t>
      </w:r>
      <w:r>
        <w:rPr>
          <w:rFonts w:eastAsia="TimesNewRomanPSMT-Identity-H"/>
          <w:i/>
          <w:sz w:val="24"/>
          <w:szCs w:val="24"/>
        </w:rPr>
        <w:t xml:space="preserve">clasa de reacție la foc </w:t>
      </w:r>
      <w:r>
        <w:rPr>
          <w:rFonts w:eastAsia="Calibri"/>
          <w:b/>
          <w:bCs/>
          <w:i/>
          <w:sz w:val="24"/>
          <w:szCs w:val="24"/>
          <w:shd w:val="clear" w:color="auto" w:fill="FFFFFF"/>
        </w:rPr>
        <w:t>A1, A2s1d0</w:t>
      </w:r>
      <w:r>
        <w:rPr>
          <w:rFonts w:eastAsia="Calibri"/>
          <w:i/>
          <w:sz w:val="24"/>
          <w:szCs w:val="24"/>
          <w:shd w:val="clear" w:color="auto" w:fill="FFFFFF"/>
        </w:rPr>
        <w:t>, rezistente la foc. Comunicarea între rampele subterane și cele supraterane este admisă printr-o ușă rezistentă la foc minimum</w:t>
      </w:r>
      <w:r>
        <w:rPr>
          <w:rFonts w:eastAsia="Calibri"/>
          <w:b/>
          <w:bCs/>
          <w:i/>
          <w:sz w:val="24"/>
          <w:szCs w:val="24"/>
          <w:shd w:val="clear" w:color="auto" w:fill="FFFFFF"/>
        </w:rPr>
        <w:t xml:space="preserve"> 90</w:t>
      </w:r>
      <w:r>
        <w:rPr>
          <w:rFonts w:eastAsia="Calibri"/>
          <w:i/>
          <w:sz w:val="24"/>
          <w:szCs w:val="24"/>
          <w:shd w:val="clear" w:color="auto" w:fill="FFFFFF"/>
        </w:rPr>
        <w:t xml:space="preserve"> de minute (</w:t>
      </w:r>
      <w:r>
        <w:rPr>
          <w:rFonts w:eastAsia="Calibri"/>
          <w:b/>
          <w:bCs/>
          <w:i/>
          <w:sz w:val="24"/>
          <w:szCs w:val="24"/>
          <w:shd w:val="clear" w:color="auto" w:fill="FFFFFF"/>
        </w:rPr>
        <w:t>EI90-C</w:t>
      </w:r>
      <w:r>
        <w:rPr>
          <w:rFonts w:eastAsia="Calibri"/>
          <w:i/>
          <w:sz w:val="24"/>
          <w:szCs w:val="24"/>
          <w:shd w:val="clear" w:color="auto" w:fill="FFFFFF"/>
        </w:rPr>
        <w:t xml:space="preserve">). La nivelurile subterane accesul la casele de scări este admis numai prin încăperi tampon prevăzute cu uși rezistente la foc minim </w:t>
      </w:r>
      <w:r>
        <w:rPr>
          <w:rFonts w:eastAsia="Calibri"/>
          <w:b/>
          <w:bCs/>
          <w:i/>
          <w:sz w:val="24"/>
          <w:szCs w:val="24"/>
          <w:shd w:val="clear" w:color="auto" w:fill="FFFFFF"/>
        </w:rPr>
        <w:t>60</w:t>
      </w:r>
      <w:r>
        <w:rPr>
          <w:rFonts w:eastAsia="Calibri"/>
          <w:i/>
          <w:sz w:val="24"/>
          <w:szCs w:val="24"/>
          <w:shd w:val="clear" w:color="auto" w:fill="FFFFFF"/>
        </w:rPr>
        <w:t xml:space="preserve"> de minute (</w:t>
      </w:r>
      <w:r>
        <w:rPr>
          <w:rFonts w:eastAsia="Calibri"/>
          <w:b/>
          <w:bCs/>
          <w:i/>
          <w:sz w:val="24"/>
          <w:szCs w:val="24"/>
          <w:shd w:val="clear" w:color="auto" w:fill="FFFFFF"/>
        </w:rPr>
        <w:t>EI60-C</w:t>
      </w:r>
      <w:r>
        <w:rPr>
          <w:rFonts w:eastAsia="Calibri"/>
          <w:i/>
          <w:sz w:val="24"/>
          <w:szCs w:val="24"/>
          <w:shd w:val="clear" w:color="auto" w:fill="FFFFFF"/>
        </w:rPr>
        <w:t>) și asigurată evacuarea fumului. În toate situațiile, ușile încăperilor tampon se echipează cu sisteme de autoînchidere sau închidere automată în caz de incendiu.</w:t>
      </w:r>
    </w:p>
    <w:p w14:paraId="01577E9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4.1.10.</w:t>
      </w:r>
      <w:r>
        <w:rPr>
          <w:rFonts w:eastAsia="Calibri"/>
          <w:i/>
          <w:sz w:val="24"/>
          <w:szCs w:val="24"/>
          <w:shd w:val="clear" w:color="auto" w:fill="FFFFFF"/>
        </w:rPr>
        <w:t xml:space="preserve"> Închiderile perimetrale exterioare ale clădirilor existente înalte și foarte înalte vor fi astfel proiectate și realizate încât să limiteze transmiterea incendiilorde la un nivel la altul. Închiderile perimetrale exterioare se realizează din elemente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minimum 15 minute (</w:t>
      </w:r>
      <w:r>
        <w:rPr>
          <w:rFonts w:eastAsia="Calibri"/>
          <w:b/>
          <w:bCs/>
          <w:i/>
          <w:sz w:val="24"/>
          <w:szCs w:val="24"/>
          <w:shd w:val="clear" w:color="auto" w:fill="FFFFFF"/>
        </w:rPr>
        <w:t>EI15-C</w:t>
      </w:r>
      <w:r>
        <w:rPr>
          <w:rFonts w:eastAsia="Calibri"/>
          <w:i/>
          <w:sz w:val="24"/>
          <w:szCs w:val="24"/>
          <w:shd w:val="clear" w:color="auto" w:fill="FFFFFF"/>
        </w:rPr>
        <w:t xml:space="preserve">). Pentru limitarea transmiterii incendiilor pe fațade se prevăd separări de minimum </w:t>
      </w:r>
      <w:r>
        <w:rPr>
          <w:rFonts w:eastAsia="Calibri"/>
          <w:b/>
          <w:bCs/>
          <w:i/>
          <w:sz w:val="24"/>
          <w:szCs w:val="24"/>
          <w:shd w:val="clear" w:color="auto" w:fill="FFFFFF"/>
        </w:rPr>
        <w:t>1,20 m</w:t>
      </w:r>
      <w:r>
        <w:rPr>
          <w:rFonts w:eastAsia="Calibri"/>
          <w:i/>
          <w:sz w:val="24"/>
          <w:szCs w:val="24"/>
          <w:shd w:val="clear" w:color="auto" w:fill="FFFFFF"/>
        </w:rPr>
        <w:t xml:space="preserv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etanșe la foc minimum 30 de minute (</w:t>
      </w:r>
      <w:r>
        <w:rPr>
          <w:rFonts w:eastAsia="Calibri"/>
          <w:b/>
          <w:bCs/>
          <w:i/>
          <w:sz w:val="24"/>
          <w:szCs w:val="24"/>
          <w:shd w:val="clear" w:color="auto" w:fill="FFFFFF"/>
        </w:rPr>
        <w:t>E30</w:t>
      </w:r>
      <w:r>
        <w:rPr>
          <w:rFonts w:eastAsia="Calibri"/>
          <w:i/>
          <w:sz w:val="24"/>
          <w:szCs w:val="24"/>
          <w:shd w:val="clear" w:color="auto" w:fill="FFFFFF"/>
        </w:rPr>
        <w:t xml:space="preserve">) între vitrări și se utilizează numai tâmplărie exterioară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w:t>
      </w:r>
    </w:p>
    <w:p w14:paraId="149F6BE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4.1.11.</w:t>
      </w:r>
      <w:r>
        <w:rPr>
          <w:rFonts w:eastAsia="Calibri"/>
          <w:i/>
          <w:sz w:val="24"/>
          <w:szCs w:val="24"/>
          <w:shd w:val="clear" w:color="auto" w:fill="FFFFFF"/>
        </w:rPr>
        <w:t xml:space="preserve"> Elementele de compartimentare dintre spațiile de parcare a autovehiculelor și clădirile existente înalte și foarte înalte de care se alipesc sau în care se înglobează,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rezistență la foc de minimum 4 ore pentru pereți și 3 ore pentru planșee (</w:t>
      </w:r>
      <w:r>
        <w:rPr>
          <w:rFonts w:eastAsia="Calibri"/>
          <w:b/>
          <w:bCs/>
          <w:i/>
          <w:sz w:val="24"/>
          <w:szCs w:val="24"/>
          <w:shd w:val="clear" w:color="auto" w:fill="FFFFFF"/>
        </w:rPr>
        <w:t>EI/REI240</w:t>
      </w:r>
      <w:r>
        <w:rPr>
          <w:rFonts w:eastAsia="Calibri"/>
          <w:i/>
          <w:sz w:val="24"/>
          <w:szCs w:val="24"/>
          <w:shd w:val="clear" w:color="auto" w:fill="FFFFFF"/>
        </w:rPr>
        <w:t xml:space="preserve"> pereți și </w:t>
      </w:r>
      <w:r>
        <w:rPr>
          <w:rFonts w:eastAsia="Calibri"/>
          <w:b/>
          <w:bCs/>
          <w:i/>
          <w:sz w:val="24"/>
          <w:szCs w:val="24"/>
          <w:shd w:val="clear" w:color="auto" w:fill="FFFFFF"/>
        </w:rPr>
        <w:t>REI180</w:t>
      </w:r>
      <w:r>
        <w:rPr>
          <w:rFonts w:eastAsia="Calibri"/>
          <w:i/>
          <w:sz w:val="24"/>
          <w:szCs w:val="24"/>
          <w:shd w:val="clear" w:color="auto" w:fill="FFFFFF"/>
        </w:rPr>
        <w:t xml:space="preserve"> planșee). În acești pereți se admite practicarea unor goluri de comunicație funcțională însă protejate prin încăperi tampon ale căror uși trebuie să fie rezistente la foc minimum 1 oră (</w:t>
      </w:r>
      <w:r>
        <w:rPr>
          <w:rFonts w:eastAsia="Calibri"/>
          <w:b/>
          <w:bCs/>
          <w:i/>
          <w:sz w:val="24"/>
          <w:szCs w:val="24"/>
          <w:shd w:val="clear" w:color="auto" w:fill="FFFFFF"/>
        </w:rPr>
        <w:t>EI90-C</w:t>
      </w:r>
      <w:r>
        <w:rPr>
          <w:rFonts w:eastAsia="Calibri"/>
          <w:i/>
          <w:sz w:val="24"/>
          <w:szCs w:val="24"/>
          <w:shd w:val="clear" w:color="auto" w:fill="FFFFFF"/>
        </w:rPr>
        <w:t>) și prevăzute cu dispozitive de autoînchidere sau închidere automată în caz de incendiu sau în cazuri justificate tehnic cu tamburi deschiși, realizați conform prevederilor stabilite prin prezenta anexă și ale prezentei anexe.</w:t>
      </w:r>
    </w:p>
    <w:p w14:paraId="42FB2D9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4.1.12.</w:t>
      </w:r>
      <w:r>
        <w:rPr>
          <w:rFonts w:eastAsia="Calibri"/>
          <w:i/>
          <w:sz w:val="24"/>
          <w:szCs w:val="24"/>
          <w:shd w:val="clear" w:color="auto" w:fill="FFFFFF"/>
        </w:rPr>
        <w:t xml:space="preserve"> Ghenele verticale pentru instalații se separă de restul construcției existente prin pereți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la foc minimum 60 de minute (</w:t>
      </w:r>
      <w:r>
        <w:rPr>
          <w:rFonts w:eastAsia="Calibri"/>
          <w:b/>
          <w:bCs/>
          <w:i/>
          <w:sz w:val="24"/>
          <w:szCs w:val="24"/>
          <w:shd w:val="clear" w:color="auto" w:fill="FFFFFF"/>
        </w:rPr>
        <w:t>EI60</w:t>
      </w:r>
      <w:r>
        <w:rPr>
          <w:rFonts w:eastAsia="Calibri"/>
          <w:i/>
          <w:sz w:val="24"/>
          <w:szCs w:val="24"/>
          <w:shd w:val="clear" w:color="auto" w:fill="FFFFFF"/>
        </w:rPr>
        <w:t xml:space="preserve">). Trapele și ușile de vizitare practicate în pereții ghenelor verticale trebuie să fie realizate din materiale </w:t>
      </w:r>
      <w:r>
        <w:rPr>
          <w:b/>
          <w:bCs/>
          <w:i/>
          <w:sz w:val="24"/>
          <w:szCs w:val="24"/>
          <w:lang w:val="en-GB"/>
        </w:rPr>
        <w:t>A1, A2s1d0</w:t>
      </w:r>
      <w:r>
        <w:rPr>
          <w:rFonts w:eastAsia="Calibri"/>
          <w:i/>
          <w:sz w:val="24"/>
          <w:szCs w:val="24"/>
          <w:shd w:val="clear" w:color="auto" w:fill="FFFFFF"/>
        </w:rPr>
        <w:t xml:space="preserve"> cu rezistența la foc minimum 30 de minute (</w:t>
      </w:r>
      <w:r>
        <w:rPr>
          <w:rFonts w:eastAsia="Calibri"/>
          <w:b/>
          <w:bCs/>
          <w:i/>
          <w:sz w:val="24"/>
          <w:szCs w:val="24"/>
          <w:shd w:val="clear" w:color="auto" w:fill="FFFFFF"/>
        </w:rPr>
        <w:t>EI30</w:t>
      </w:r>
      <w:r>
        <w:rPr>
          <w:rFonts w:eastAsia="Calibri"/>
          <w:i/>
          <w:sz w:val="24"/>
          <w:szCs w:val="24"/>
          <w:shd w:val="clear" w:color="auto" w:fill="FFFFFF"/>
        </w:rPr>
        <w:t xml:space="preserve">) și nu se vor deschide în casa scării. Ghenele verticale, de regulă, se separă la trecerea prin planșee care delimitează compartimente de incendiu, cu elemente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care vor asigura aceeași rezistență la foc cu a planșeului străpuns, iar atunci când separarea nu este posibilă sau justificată tehnic, pereții ghenelor vor fi de minimum 3 ore rezistență la foc (</w:t>
      </w:r>
      <w:r>
        <w:rPr>
          <w:rFonts w:eastAsia="Calibri"/>
          <w:b/>
          <w:bCs/>
          <w:i/>
          <w:sz w:val="24"/>
          <w:szCs w:val="24"/>
          <w:shd w:val="clear" w:color="auto" w:fill="FFFFFF"/>
        </w:rPr>
        <w:t>EI/REI180</w:t>
      </w:r>
      <w:r>
        <w:rPr>
          <w:rFonts w:eastAsia="Calibri"/>
          <w:i/>
          <w:sz w:val="24"/>
          <w:szCs w:val="24"/>
          <w:shd w:val="clear" w:color="auto" w:fill="FFFFFF"/>
        </w:rPr>
        <w:t>) și ușile (trapele) lor de vizitare, de 1 oră și 30 minute (</w:t>
      </w:r>
      <w:r>
        <w:rPr>
          <w:rFonts w:eastAsia="Calibri"/>
          <w:b/>
          <w:bCs/>
          <w:i/>
          <w:sz w:val="24"/>
          <w:szCs w:val="24"/>
          <w:shd w:val="clear" w:color="auto" w:fill="FFFFFF"/>
        </w:rPr>
        <w:t>EI90-C</w:t>
      </w:r>
      <w:r>
        <w:rPr>
          <w:rFonts w:eastAsia="Calibri"/>
          <w:i/>
          <w:sz w:val="24"/>
          <w:szCs w:val="24"/>
          <w:shd w:val="clear" w:color="auto" w:fill="FFFFFF"/>
        </w:rPr>
        <w:t>). Ghenele (canalele) orizontale se închid cu diafragme incombustibile la trecerea prin pereții care delimitează compartimentele de incendiu, asigurând o rezistență la foc egală cu a elementului străpuns.</w:t>
      </w:r>
    </w:p>
    <w:p w14:paraId="391214A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4.1.13.</w:t>
      </w:r>
      <w:r>
        <w:rPr>
          <w:rFonts w:eastAsia="Calibri"/>
          <w:i/>
          <w:sz w:val="24"/>
          <w:szCs w:val="24"/>
          <w:shd w:val="clear" w:color="auto" w:fill="FFFFFF"/>
        </w:rPr>
        <w:t> Circulațiile comune orizontale și casele de scări care nu au goluri directe în exterior prin care să se poată evacua fumul în caz de incendiu, se echipează cu dispozitive sau sisteme de evacuare a acestuia (desfumare), realizate conform prevederilor din prezenta anexă și ale prezentei anexe. Evacuarea fumului (desfumarea) spațiilor și încăperilor subterane (subsol), se asigură independent de cel al nivelurilor supraterane.</w:t>
      </w:r>
    </w:p>
    <w:p w14:paraId="05AF0B6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4.1.14.</w:t>
      </w:r>
      <w:r>
        <w:rPr>
          <w:rFonts w:eastAsia="Calibri"/>
          <w:i/>
          <w:sz w:val="24"/>
          <w:szCs w:val="24"/>
          <w:shd w:val="clear" w:color="auto" w:fill="FFFFFF"/>
        </w:rPr>
        <w:t> Materialele și finisajele utilizate în clădirile existente înalte și foarte înalte nu trebuie să permită propagarea rapidă a incendiilor.</w:t>
      </w:r>
    </w:p>
    <w:p w14:paraId="27556C3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4.1.15.</w:t>
      </w:r>
      <w:r>
        <w:rPr>
          <w:rFonts w:eastAsia="Calibri"/>
          <w:i/>
          <w:sz w:val="24"/>
          <w:szCs w:val="24"/>
          <w:shd w:val="clear" w:color="auto" w:fill="FFFFFF"/>
        </w:rPr>
        <w:t xml:space="preserve"> Finisajul pe căile de evacuare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excepția pardoselilor din mochete de maximum 20 mm grosime si a finisajelor din folii de max. 5 mm grosime, care pot fi din </w:t>
      </w:r>
      <w:r>
        <w:rPr>
          <w:rFonts w:eastAsia="TimesNewRomanPSMT-Identity-H"/>
          <w:i/>
          <w:sz w:val="24"/>
          <w:szCs w:val="24"/>
        </w:rPr>
        <w:t xml:space="preserve">clasa de reacție la foc </w:t>
      </w:r>
      <w:r>
        <w:rPr>
          <w:rFonts w:eastAsia="Times New Roman"/>
          <w:b/>
          <w:i/>
          <w:sz w:val="24"/>
          <w:szCs w:val="24"/>
        </w:rPr>
        <w:t xml:space="preserve">A1, A2s1d0 </w:t>
      </w:r>
      <w:r>
        <w:rPr>
          <w:rFonts w:eastAsia="Times New Roman"/>
          <w:bCs/>
          <w:i/>
          <w:sz w:val="24"/>
          <w:szCs w:val="24"/>
        </w:rPr>
        <w:t>sau</w:t>
      </w:r>
      <w:r>
        <w:rPr>
          <w:rFonts w:eastAsia="Times New Roman"/>
          <w:b/>
          <w:i/>
          <w:sz w:val="24"/>
          <w:szCs w:val="24"/>
        </w:rPr>
        <w:t xml:space="preserve">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p>
    <w:p w14:paraId="13259F9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4.1.16.</w:t>
      </w:r>
      <w:r>
        <w:rPr>
          <w:rFonts w:eastAsia="Calibri"/>
          <w:i/>
          <w:sz w:val="24"/>
          <w:szCs w:val="24"/>
          <w:shd w:val="clear" w:color="auto" w:fill="FFFFFF"/>
        </w:rPr>
        <w:t xml:space="preserve"> Plafoanele suspendate vor fi din clasa </w:t>
      </w:r>
      <w:r>
        <w:rPr>
          <w:rFonts w:eastAsia="TimesNewRomanPSMT-Identity-H"/>
          <w:i/>
          <w:sz w:val="24"/>
          <w:szCs w:val="24"/>
        </w:rPr>
        <w:t xml:space="preserve">de reacție la foc </w:t>
      </w:r>
      <w:r>
        <w:rPr>
          <w:rFonts w:eastAsia="Times New Roman"/>
          <w:b/>
          <w:i/>
          <w:sz w:val="24"/>
          <w:szCs w:val="24"/>
        </w:rPr>
        <w:t>A1, A2s1d0</w:t>
      </w:r>
      <w:r>
        <w:rPr>
          <w:rFonts w:eastAsia="Calibri"/>
          <w:i/>
          <w:sz w:val="24"/>
          <w:szCs w:val="24"/>
          <w:shd w:val="clear" w:color="auto" w:fill="FFFFFF"/>
        </w:rPr>
        <w:t xml:space="preserve">, cu elemente de susținere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min 30 de minute (</w:t>
      </w:r>
      <w:r>
        <w:rPr>
          <w:rFonts w:eastAsia="Calibri"/>
          <w:b/>
          <w:bCs/>
          <w:i/>
          <w:sz w:val="24"/>
          <w:szCs w:val="24"/>
          <w:shd w:val="clear" w:color="auto" w:fill="FFFFFF"/>
        </w:rPr>
        <w:t>EI30 a↔b</w:t>
      </w:r>
      <w:r>
        <w:rPr>
          <w:rFonts w:eastAsia="Calibri"/>
          <w:i/>
          <w:sz w:val="24"/>
          <w:szCs w:val="24"/>
          <w:shd w:val="clear" w:color="auto" w:fill="FFFFFF"/>
        </w:rPr>
        <w:t xml:space="preserve">). Spațiul dintre plafonul suspendat și planșeul de rezistență se va întrerupe prin diafragme cu aceeași rezistență la foc, situate la maximum </w:t>
      </w:r>
      <w:r>
        <w:rPr>
          <w:rFonts w:eastAsia="Calibri"/>
          <w:b/>
          <w:bCs/>
          <w:i/>
          <w:sz w:val="24"/>
          <w:szCs w:val="24"/>
          <w:shd w:val="clear" w:color="auto" w:fill="FFFFFF"/>
        </w:rPr>
        <w:t>25 m</w:t>
      </w:r>
      <w:r>
        <w:rPr>
          <w:rFonts w:eastAsia="Calibri"/>
          <w:i/>
          <w:sz w:val="24"/>
          <w:szCs w:val="24"/>
          <w:shd w:val="clear" w:color="auto" w:fill="FFFFFF"/>
        </w:rPr>
        <w:t xml:space="preserve"> pe două direcții perpendiculare.</w:t>
      </w:r>
    </w:p>
    <w:p w14:paraId="25678E3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4.1.17.</w:t>
      </w:r>
      <w:r>
        <w:rPr>
          <w:rFonts w:eastAsia="Calibri"/>
          <w:i/>
          <w:sz w:val="24"/>
          <w:szCs w:val="24"/>
          <w:shd w:val="clear" w:color="auto" w:fill="FFFFFF"/>
        </w:rPr>
        <w:t xml:space="preserve"> Ascensoarele din clădiri existente înalte și foarte înalte vor avea puțuri de ascensoare proprii, separate de restul construcției existente prin pereți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rezistenți la foc minimum 2 ore (</w:t>
      </w:r>
      <w:r>
        <w:rPr>
          <w:rFonts w:eastAsia="Calibri"/>
          <w:b/>
          <w:bCs/>
          <w:i/>
          <w:sz w:val="24"/>
          <w:szCs w:val="24"/>
          <w:shd w:val="clear" w:color="auto" w:fill="FFFFFF"/>
        </w:rPr>
        <w:t>EI/REI120</w:t>
      </w:r>
      <w:r>
        <w:rPr>
          <w:rFonts w:eastAsia="Calibri"/>
          <w:i/>
          <w:sz w:val="24"/>
          <w:szCs w:val="24"/>
          <w:shd w:val="clear" w:color="auto" w:fill="FFFFFF"/>
        </w:rPr>
        <w:t>), în care sunt admise numai goluri de acces din nivelurile construcției existente. Într-un singur puț, se pot dispune maximum trei cabine de ascensor.</w:t>
      </w:r>
    </w:p>
    <w:p w14:paraId="10C7963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4.1.18.</w:t>
      </w:r>
      <w:r>
        <w:rPr>
          <w:rFonts w:eastAsia="Calibri"/>
          <w:i/>
          <w:sz w:val="24"/>
          <w:szCs w:val="24"/>
          <w:shd w:val="clear" w:color="auto" w:fill="FFFFFF"/>
        </w:rPr>
        <w:t> În clădirile existente foarte înalte, golurile de acces la ascensoare din nivelurile supraterane (de palier) se protejează cu uși rezistente la foc minimum 2 ore (</w:t>
      </w:r>
      <w:r>
        <w:rPr>
          <w:rFonts w:eastAsia="Calibri"/>
          <w:b/>
          <w:bCs/>
          <w:i/>
          <w:sz w:val="24"/>
          <w:szCs w:val="24"/>
          <w:shd w:val="clear" w:color="auto" w:fill="FFFFFF"/>
        </w:rPr>
        <w:t>EI120</w:t>
      </w:r>
      <w:r>
        <w:rPr>
          <w:rFonts w:eastAsia="Calibri"/>
          <w:i/>
          <w:sz w:val="24"/>
          <w:szCs w:val="24"/>
          <w:shd w:val="clear" w:color="auto" w:fill="FFFFFF"/>
        </w:rPr>
        <w:t xml:space="preserve">), cu închidere automată, sau prin realizarea unor paliere de acces la ascensoare separate de circulațiile comune orizontale cu uși rezistente la foc, caz în care, prin însumarea rezistențelor la foc ale acestor uși cu cele ale ușilor ascensoarelor (de palier) se asigură minimum </w:t>
      </w:r>
      <w:r>
        <w:rPr>
          <w:rFonts w:eastAsia="Calibri"/>
          <w:b/>
          <w:bCs/>
          <w:i/>
          <w:sz w:val="24"/>
          <w:szCs w:val="24"/>
          <w:shd w:val="clear" w:color="auto" w:fill="FFFFFF"/>
        </w:rPr>
        <w:t>2 ore</w:t>
      </w:r>
      <w:r>
        <w:rPr>
          <w:rFonts w:eastAsia="Calibri"/>
          <w:i/>
          <w:sz w:val="24"/>
          <w:szCs w:val="24"/>
          <w:shd w:val="clear" w:color="auto" w:fill="FFFFFF"/>
        </w:rPr>
        <w:t xml:space="preserve"> rezistență la foc. În aceleași condiții, la clădirile existente înalte golurile de acces la ascensoare (de palier) se protejează cu uși rezistente la foc minimum 1 oră (</w:t>
      </w:r>
      <w:r>
        <w:rPr>
          <w:rFonts w:eastAsia="Calibri"/>
          <w:b/>
          <w:bCs/>
          <w:i/>
          <w:sz w:val="24"/>
          <w:szCs w:val="24"/>
          <w:shd w:val="clear" w:color="auto" w:fill="FFFFFF"/>
        </w:rPr>
        <w:t>EI60</w:t>
      </w:r>
      <w:r>
        <w:rPr>
          <w:rFonts w:eastAsia="Calibri"/>
          <w:i/>
          <w:sz w:val="24"/>
          <w:szCs w:val="24"/>
          <w:shd w:val="clear" w:color="auto" w:fill="FFFFFF"/>
        </w:rPr>
        <w:t>).</w:t>
      </w:r>
    </w:p>
    <w:p w14:paraId="53DAAB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4.1.19.</w:t>
      </w:r>
      <w:r>
        <w:rPr>
          <w:rFonts w:eastAsia="Calibri"/>
          <w:i/>
          <w:sz w:val="24"/>
          <w:szCs w:val="24"/>
          <w:shd w:val="clear" w:color="auto" w:fill="FFFFFF"/>
        </w:rPr>
        <w:t> Când ascensoarele debușează în subsolurile clădirii existente, golurile de comunicare cu nivelurile subterane se protejează obligatoriu cu încăperi tampon prevăzute cu uși rezistente la foc minimum 1 oră și 30 de minute (</w:t>
      </w:r>
      <w:r>
        <w:rPr>
          <w:rFonts w:eastAsia="Calibri"/>
          <w:b/>
          <w:bCs/>
          <w:i/>
          <w:sz w:val="24"/>
          <w:szCs w:val="24"/>
          <w:shd w:val="clear" w:color="auto" w:fill="FFFFFF"/>
        </w:rPr>
        <w:t>EI90-C</w:t>
      </w:r>
      <w:r>
        <w:rPr>
          <w:rFonts w:eastAsia="Calibri"/>
          <w:i/>
          <w:sz w:val="24"/>
          <w:szCs w:val="24"/>
          <w:shd w:val="clear" w:color="auto" w:fill="FFFFFF"/>
        </w:rPr>
        <w:t>) și echipate cu dispozitive de autoînchidere. Fac excepție subsolurile cu risc mic de incendiu, care se separă la fel cu nivelurile supraterane.</w:t>
      </w:r>
    </w:p>
    <w:p w14:paraId="06F9C53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4.1.20.</w:t>
      </w:r>
      <w:r>
        <w:rPr>
          <w:rFonts w:eastAsia="Calibri"/>
          <w:i/>
          <w:sz w:val="24"/>
          <w:szCs w:val="24"/>
          <w:shd w:val="clear" w:color="auto" w:fill="FFFFFF"/>
        </w:rPr>
        <w:t> Închiderea automată a ușilor de protecție a golurilor de acces la ascensoare (la toate nivelurile clădirii existente) trebuie asigurată centralizat la darea alarmei și local, atunci când temperatura atinge 90°C la partea lor superioară, având prevăzute și acționări manuale.</w:t>
      </w:r>
    </w:p>
    <w:p w14:paraId="370F00D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4.1.21.</w:t>
      </w:r>
      <w:r>
        <w:rPr>
          <w:rFonts w:eastAsia="Calibri"/>
          <w:i/>
          <w:sz w:val="24"/>
          <w:szCs w:val="24"/>
          <w:shd w:val="clear" w:color="auto" w:fill="FFFFFF"/>
        </w:rPr>
        <w:t> În cazul defectării sau opririi, ascensoarele vor fi astfel realizate încât să permită aducerea cabinelor la un palier de acces apropiat iar în caz de incendiu toate cabinele vor fi aduse automat la parter. Aceste prevederi sunt obligatorii și la alte sisteme de transport sau circulație pe verticală ce se prevăd în clădirile existente înalte și foarte înalte (monte-charge, elevatoare, etc).</w:t>
      </w:r>
    </w:p>
    <w:p w14:paraId="559FB3E9"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4.1.22.</w:t>
      </w:r>
      <w:r>
        <w:rPr>
          <w:rFonts w:eastAsia="Calibri"/>
          <w:i/>
          <w:sz w:val="24"/>
          <w:szCs w:val="24"/>
          <w:shd w:val="clear" w:color="auto" w:fill="FFFFFF"/>
        </w:rPr>
        <w:t> În clădirile existente înalte, cel puțin unul din ascensoare, ușor accesibil, se va realiza corespunzător cerințelor asigurării operațiunilor de intervenție în caz de incendiu. în clădirile foarte înalte este obligatorie realizarea a cel puțin două asemenea ascensoare de intervenție.</w:t>
      </w:r>
    </w:p>
    <w:p w14:paraId="6AC5C4E3" w14:textId="77777777" w:rsidR="001C08A5" w:rsidRDefault="00000000">
      <w:pPr>
        <w:pStyle w:val="Caption"/>
        <w:shd w:val="clear" w:color="auto" w:fill="FFFFFF"/>
        <w:spacing w:before="0" w:after="150"/>
        <w:jc w:val="both"/>
        <w:rPr>
          <w:rFonts w:eastAsia="Calibri" w:cs="Times New Roman"/>
          <w:shd w:val="clear" w:color="auto" w:fill="FFFFFF"/>
        </w:rPr>
      </w:pPr>
      <w:bookmarkStart w:id="11094" w:name="_Ref14916"/>
      <w:bookmarkStart w:id="11095" w:name="_Toc162360210"/>
      <w:r>
        <w:t xml:space="preserve">Tabelul </w:t>
      </w:r>
      <w:r>
        <w:fldChar w:fldCharType="begin"/>
      </w:r>
      <w:r>
        <w:instrText xml:space="preserve"> SEQ Tabelul \* ARABIC </w:instrText>
      </w:r>
      <w:r>
        <w:fldChar w:fldCharType="separate"/>
      </w:r>
      <w:r>
        <w:t>160</w:t>
      </w:r>
      <w:r>
        <w:fldChar w:fldCharType="end"/>
      </w:r>
      <w:bookmarkStart w:id="11096" w:name="_Toc23973"/>
      <w:bookmarkStart w:id="11097" w:name="_Toc9740"/>
      <w:bookmarkStart w:id="11098" w:name="_Toc406"/>
      <w:bookmarkStart w:id="11099" w:name="_Toc13029"/>
      <w:bookmarkStart w:id="11100" w:name="_Toc27820"/>
      <w:bookmarkStart w:id="11101" w:name="_Toc19447"/>
      <w:bookmarkStart w:id="11102" w:name="_Toc11390"/>
      <w:bookmarkStart w:id="11103" w:name="_Toc4428"/>
      <w:bookmarkStart w:id="11104" w:name="_Toc18425"/>
      <w:bookmarkStart w:id="11105" w:name="_Toc27488"/>
      <w:bookmarkStart w:id="11106" w:name="_Toc280"/>
      <w:bookmarkEnd w:id="11094"/>
      <w:r>
        <w:t xml:space="preserve">: </w:t>
      </w:r>
      <w:r>
        <w:rPr>
          <w:rFonts w:eastAsia="Calibri"/>
          <w:shd w:val="clear" w:color="auto" w:fill="FFFFFF"/>
        </w:rPr>
        <w:t>Lungimi de evacuare la clădiri existente înalte și foarte înalte</w:t>
      </w:r>
      <w:bookmarkEnd w:id="11095"/>
      <w:bookmarkEnd w:id="11096"/>
      <w:bookmarkEnd w:id="11097"/>
      <w:bookmarkEnd w:id="11098"/>
      <w:bookmarkEnd w:id="11099"/>
      <w:bookmarkEnd w:id="11100"/>
      <w:bookmarkEnd w:id="11101"/>
      <w:bookmarkEnd w:id="11102"/>
      <w:bookmarkEnd w:id="11103"/>
      <w:bookmarkEnd w:id="11104"/>
      <w:bookmarkEnd w:id="11105"/>
      <w:bookmarkEnd w:id="11106"/>
    </w:p>
    <w:tbl>
      <w:tblPr>
        <w:tblW w:w="93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54"/>
        <w:gridCol w:w="1684"/>
        <w:gridCol w:w="1596"/>
        <w:gridCol w:w="1747"/>
        <w:gridCol w:w="1446"/>
      </w:tblGrid>
      <w:tr w:rsidR="001C08A5" w14:paraId="43711E3E" w14:textId="77777777">
        <w:trPr>
          <w:trHeight w:val="345"/>
          <w:jc w:val="center"/>
        </w:trPr>
        <w:tc>
          <w:tcPr>
            <w:tcW w:w="2854" w:type="dxa"/>
            <w:vMerge w:val="restart"/>
            <w:tcMar>
              <w:top w:w="0" w:type="dxa"/>
              <w:left w:w="0" w:type="dxa"/>
              <w:bottom w:w="0" w:type="dxa"/>
              <w:right w:w="0" w:type="dxa"/>
            </w:tcMar>
            <w:vAlign w:val="center"/>
          </w:tcPr>
          <w:p w14:paraId="401F311A" w14:textId="77777777" w:rsidR="001C08A5" w:rsidRDefault="00000000">
            <w:pPr>
              <w:jc w:val="center"/>
              <w:rPr>
                <w:b/>
                <w:bCs/>
                <w:i/>
                <w:sz w:val="22"/>
                <w:szCs w:val="22"/>
              </w:rPr>
            </w:pPr>
            <w:r>
              <w:rPr>
                <w:b/>
                <w:bCs/>
                <w:i/>
                <w:sz w:val="22"/>
                <w:szCs w:val="22"/>
                <w:lang w:val="en-US" w:eastAsia="zh-CN" w:bidi="ar"/>
              </w:rPr>
              <w:t xml:space="preserve">Destinația clădirii </w:t>
            </w:r>
            <w:r>
              <w:rPr>
                <w:rFonts w:eastAsia="Calibri"/>
                <w:b/>
                <w:bCs/>
                <w:i/>
                <w:sz w:val="22"/>
                <w:szCs w:val="22"/>
                <w:shd w:val="clear" w:color="auto" w:fill="FFFFFF"/>
              </w:rPr>
              <w:t xml:space="preserve">existente </w:t>
            </w:r>
            <w:r>
              <w:rPr>
                <w:b/>
                <w:bCs/>
                <w:i/>
                <w:sz w:val="22"/>
                <w:szCs w:val="22"/>
                <w:lang w:val="en-US" w:eastAsia="zh-CN" w:bidi="ar"/>
              </w:rPr>
              <w:t>înalte sau foarte înalte</w:t>
            </w:r>
          </w:p>
        </w:tc>
        <w:tc>
          <w:tcPr>
            <w:tcW w:w="3280" w:type="dxa"/>
            <w:gridSpan w:val="2"/>
            <w:tcMar>
              <w:top w:w="0" w:type="dxa"/>
              <w:left w:w="0" w:type="dxa"/>
              <w:bottom w:w="0" w:type="dxa"/>
              <w:right w:w="0" w:type="dxa"/>
            </w:tcMar>
            <w:vAlign w:val="center"/>
          </w:tcPr>
          <w:p w14:paraId="07AB7702" w14:textId="77777777" w:rsidR="001C08A5" w:rsidRDefault="00000000">
            <w:pPr>
              <w:jc w:val="center"/>
              <w:rPr>
                <w:b/>
                <w:bCs/>
                <w:i/>
                <w:sz w:val="22"/>
                <w:szCs w:val="22"/>
              </w:rPr>
            </w:pPr>
            <w:r>
              <w:rPr>
                <w:b/>
                <w:bCs/>
                <w:i/>
                <w:sz w:val="22"/>
                <w:szCs w:val="22"/>
                <w:lang w:val="en-US" w:eastAsia="zh-CN" w:bidi="ar"/>
              </w:rPr>
              <w:t>CLĂDIRI EXISTENTE ÎNALTE</w:t>
            </w:r>
          </w:p>
        </w:tc>
        <w:tc>
          <w:tcPr>
            <w:tcW w:w="3193" w:type="dxa"/>
            <w:gridSpan w:val="2"/>
            <w:tcMar>
              <w:top w:w="0" w:type="dxa"/>
              <w:left w:w="0" w:type="dxa"/>
              <w:bottom w:w="0" w:type="dxa"/>
              <w:right w:w="0" w:type="dxa"/>
            </w:tcMar>
            <w:vAlign w:val="center"/>
          </w:tcPr>
          <w:p w14:paraId="580142EB" w14:textId="77777777" w:rsidR="001C08A5" w:rsidRDefault="00000000">
            <w:pPr>
              <w:jc w:val="center"/>
              <w:rPr>
                <w:b/>
                <w:bCs/>
                <w:i/>
                <w:sz w:val="22"/>
                <w:szCs w:val="22"/>
              </w:rPr>
            </w:pPr>
            <w:r>
              <w:rPr>
                <w:b/>
                <w:bCs/>
                <w:i/>
                <w:sz w:val="22"/>
                <w:szCs w:val="22"/>
                <w:lang w:val="en-US" w:eastAsia="zh-CN" w:bidi="ar"/>
              </w:rPr>
              <w:t xml:space="preserve">CLĂDIRI </w:t>
            </w:r>
            <w:r>
              <w:rPr>
                <w:rFonts w:eastAsia="Calibri"/>
                <w:b/>
                <w:bCs/>
                <w:i/>
                <w:sz w:val="22"/>
                <w:szCs w:val="22"/>
                <w:shd w:val="clear" w:color="auto" w:fill="FFFFFF"/>
              </w:rPr>
              <w:t xml:space="preserve">EXISTENTE </w:t>
            </w:r>
            <w:r>
              <w:rPr>
                <w:b/>
                <w:bCs/>
                <w:i/>
                <w:sz w:val="22"/>
                <w:szCs w:val="22"/>
                <w:lang w:val="en-US" w:eastAsia="zh-CN" w:bidi="ar"/>
              </w:rPr>
              <w:t>FOARTE ÎNALTE</w:t>
            </w:r>
          </w:p>
        </w:tc>
      </w:tr>
      <w:tr w:rsidR="001C08A5" w14:paraId="035E3729" w14:textId="77777777">
        <w:trPr>
          <w:trHeight w:val="345"/>
          <w:jc w:val="center"/>
        </w:trPr>
        <w:tc>
          <w:tcPr>
            <w:tcW w:w="2854" w:type="dxa"/>
            <w:vMerge/>
            <w:tcMar>
              <w:top w:w="0" w:type="dxa"/>
              <w:left w:w="0" w:type="dxa"/>
              <w:bottom w:w="0" w:type="dxa"/>
              <w:right w:w="0" w:type="dxa"/>
            </w:tcMar>
            <w:vAlign w:val="center"/>
          </w:tcPr>
          <w:p w14:paraId="65A20770" w14:textId="77777777" w:rsidR="001C08A5" w:rsidRDefault="001C08A5">
            <w:pPr>
              <w:jc w:val="center"/>
              <w:rPr>
                <w:b/>
                <w:bCs/>
                <w:i/>
                <w:sz w:val="22"/>
                <w:szCs w:val="22"/>
              </w:rPr>
            </w:pPr>
          </w:p>
        </w:tc>
        <w:tc>
          <w:tcPr>
            <w:tcW w:w="0" w:type="auto"/>
            <w:gridSpan w:val="4"/>
            <w:tcMar>
              <w:top w:w="0" w:type="dxa"/>
              <w:left w:w="0" w:type="dxa"/>
              <w:bottom w:w="0" w:type="dxa"/>
              <w:right w:w="0" w:type="dxa"/>
            </w:tcMar>
            <w:vAlign w:val="center"/>
          </w:tcPr>
          <w:p w14:paraId="14044881" w14:textId="77777777" w:rsidR="001C08A5" w:rsidRDefault="00000000">
            <w:pPr>
              <w:jc w:val="center"/>
              <w:rPr>
                <w:b/>
                <w:bCs/>
                <w:i/>
                <w:sz w:val="22"/>
                <w:szCs w:val="22"/>
              </w:rPr>
            </w:pPr>
            <w:r>
              <w:rPr>
                <w:b/>
                <w:bCs/>
                <w:i/>
                <w:sz w:val="22"/>
                <w:szCs w:val="22"/>
                <w:lang w:val="en-US" w:eastAsia="zh-CN" w:bidi="ar"/>
              </w:rPr>
              <w:t>lungimea maximă a căii de evacuare</w:t>
            </w:r>
          </w:p>
        </w:tc>
      </w:tr>
      <w:tr w:rsidR="001C08A5" w14:paraId="0269A5D9" w14:textId="77777777">
        <w:trPr>
          <w:trHeight w:val="975"/>
          <w:jc w:val="center"/>
        </w:trPr>
        <w:tc>
          <w:tcPr>
            <w:tcW w:w="2854" w:type="dxa"/>
            <w:vMerge/>
            <w:tcMar>
              <w:top w:w="0" w:type="dxa"/>
              <w:left w:w="0" w:type="dxa"/>
              <w:bottom w:w="0" w:type="dxa"/>
              <w:right w:w="0" w:type="dxa"/>
            </w:tcMar>
            <w:vAlign w:val="center"/>
          </w:tcPr>
          <w:p w14:paraId="5076DF82" w14:textId="77777777" w:rsidR="001C08A5" w:rsidRDefault="001C08A5">
            <w:pPr>
              <w:jc w:val="center"/>
              <w:rPr>
                <w:b/>
                <w:bCs/>
                <w:i/>
                <w:sz w:val="22"/>
                <w:szCs w:val="22"/>
              </w:rPr>
            </w:pPr>
          </w:p>
        </w:tc>
        <w:tc>
          <w:tcPr>
            <w:tcW w:w="1684" w:type="dxa"/>
            <w:vMerge w:val="restart"/>
            <w:tcMar>
              <w:top w:w="0" w:type="dxa"/>
              <w:left w:w="0" w:type="dxa"/>
              <w:bottom w:w="0" w:type="dxa"/>
              <w:right w:w="0" w:type="dxa"/>
            </w:tcMar>
            <w:vAlign w:val="center"/>
          </w:tcPr>
          <w:p w14:paraId="7B69603B" w14:textId="77777777" w:rsidR="001C08A5" w:rsidRDefault="00000000">
            <w:pPr>
              <w:jc w:val="center"/>
              <w:rPr>
                <w:b/>
                <w:bCs/>
                <w:i/>
                <w:sz w:val="22"/>
                <w:szCs w:val="22"/>
                <w:lang w:val="en-US" w:eastAsia="zh-CN" w:bidi="ar"/>
              </w:rPr>
            </w:pPr>
            <w:r>
              <w:rPr>
                <w:b/>
                <w:bCs/>
                <w:i/>
                <w:sz w:val="22"/>
                <w:szCs w:val="22"/>
                <w:lang w:val="en-US" w:eastAsia="zh-CN" w:bidi="ar"/>
              </w:rPr>
              <w:t>în două direcții diferite</w:t>
            </w:r>
          </w:p>
          <w:p w14:paraId="149DA7C1" w14:textId="77777777" w:rsidR="001C08A5" w:rsidRDefault="00000000">
            <w:pPr>
              <w:jc w:val="center"/>
              <w:rPr>
                <w:b/>
                <w:bCs/>
                <w:i/>
                <w:sz w:val="22"/>
                <w:szCs w:val="22"/>
              </w:rPr>
            </w:pPr>
            <w:r>
              <w:rPr>
                <w:b/>
                <w:bCs/>
                <w:i/>
                <w:sz w:val="22"/>
                <w:szCs w:val="22"/>
                <w:lang w:val="en-US" w:eastAsia="zh-CN" w:bidi="ar"/>
              </w:rPr>
              <w:t>metri</w:t>
            </w:r>
          </w:p>
        </w:tc>
        <w:tc>
          <w:tcPr>
            <w:tcW w:w="1596" w:type="dxa"/>
            <w:vMerge w:val="restart"/>
            <w:tcMar>
              <w:top w:w="0" w:type="dxa"/>
              <w:left w:w="0" w:type="dxa"/>
              <w:bottom w:w="0" w:type="dxa"/>
              <w:right w:w="0" w:type="dxa"/>
            </w:tcMar>
            <w:vAlign w:val="center"/>
          </w:tcPr>
          <w:p w14:paraId="7F395560" w14:textId="77777777" w:rsidR="001C08A5" w:rsidRDefault="00000000">
            <w:pPr>
              <w:jc w:val="center"/>
              <w:rPr>
                <w:b/>
                <w:bCs/>
                <w:i/>
                <w:sz w:val="22"/>
                <w:szCs w:val="22"/>
                <w:lang w:val="en-US" w:eastAsia="zh-CN" w:bidi="ar"/>
              </w:rPr>
            </w:pPr>
            <w:r>
              <w:rPr>
                <w:b/>
                <w:bCs/>
                <w:i/>
                <w:sz w:val="22"/>
                <w:szCs w:val="22"/>
                <w:lang w:val="en-US" w:eastAsia="zh-CN" w:bidi="ar"/>
              </w:rPr>
              <w:t>într-o singură direcție (coridor înfundat)</w:t>
            </w:r>
          </w:p>
          <w:p w14:paraId="558D41E7" w14:textId="77777777" w:rsidR="001C08A5" w:rsidRDefault="00000000">
            <w:pPr>
              <w:jc w:val="center"/>
              <w:rPr>
                <w:b/>
                <w:bCs/>
                <w:i/>
                <w:sz w:val="22"/>
                <w:szCs w:val="22"/>
              </w:rPr>
            </w:pPr>
            <w:r>
              <w:rPr>
                <w:b/>
                <w:bCs/>
                <w:i/>
                <w:sz w:val="22"/>
                <w:szCs w:val="22"/>
                <w:lang w:val="en-US" w:eastAsia="zh-CN" w:bidi="ar"/>
              </w:rPr>
              <w:t>metri</w:t>
            </w:r>
          </w:p>
        </w:tc>
        <w:tc>
          <w:tcPr>
            <w:tcW w:w="1747" w:type="dxa"/>
            <w:vMerge w:val="restart"/>
            <w:tcMar>
              <w:top w:w="0" w:type="dxa"/>
              <w:left w:w="0" w:type="dxa"/>
              <w:bottom w:w="0" w:type="dxa"/>
              <w:right w:w="0" w:type="dxa"/>
            </w:tcMar>
            <w:vAlign w:val="center"/>
          </w:tcPr>
          <w:p w14:paraId="272628D7" w14:textId="77777777" w:rsidR="001C08A5" w:rsidRDefault="00000000">
            <w:pPr>
              <w:jc w:val="center"/>
              <w:rPr>
                <w:b/>
                <w:bCs/>
                <w:i/>
                <w:sz w:val="22"/>
                <w:szCs w:val="22"/>
                <w:lang w:val="en-US" w:eastAsia="zh-CN" w:bidi="ar"/>
              </w:rPr>
            </w:pPr>
            <w:r>
              <w:rPr>
                <w:b/>
                <w:bCs/>
                <w:i/>
                <w:sz w:val="22"/>
                <w:szCs w:val="22"/>
                <w:lang w:val="en-US" w:eastAsia="zh-CN" w:bidi="ar"/>
              </w:rPr>
              <w:t>în două direcții diferite</w:t>
            </w:r>
          </w:p>
          <w:p w14:paraId="7DF9857C" w14:textId="77777777" w:rsidR="001C08A5" w:rsidRDefault="00000000">
            <w:pPr>
              <w:jc w:val="center"/>
              <w:rPr>
                <w:b/>
                <w:bCs/>
                <w:i/>
                <w:sz w:val="22"/>
                <w:szCs w:val="22"/>
              </w:rPr>
            </w:pPr>
            <w:r>
              <w:rPr>
                <w:b/>
                <w:bCs/>
                <w:i/>
                <w:sz w:val="22"/>
                <w:szCs w:val="22"/>
                <w:lang w:val="en-US" w:eastAsia="zh-CN" w:bidi="ar"/>
              </w:rPr>
              <w:t>metri</w:t>
            </w:r>
          </w:p>
        </w:tc>
        <w:tc>
          <w:tcPr>
            <w:tcW w:w="1446" w:type="dxa"/>
            <w:vMerge w:val="restart"/>
            <w:tcMar>
              <w:top w:w="0" w:type="dxa"/>
              <w:left w:w="0" w:type="dxa"/>
              <w:bottom w:w="0" w:type="dxa"/>
              <w:right w:w="0" w:type="dxa"/>
            </w:tcMar>
            <w:vAlign w:val="center"/>
          </w:tcPr>
          <w:p w14:paraId="6882EDE4" w14:textId="77777777" w:rsidR="001C08A5" w:rsidRDefault="00000000">
            <w:pPr>
              <w:jc w:val="center"/>
              <w:rPr>
                <w:b/>
                <w:bCs/>
                <w:i/>
                <w:sz w:val="22"/>
                <w:szCs w:val="22"/>
                <w:lang w:val="en-US" w:eastAsia="zh-CN" w:bidi="ar"/>
              </w:rPr>
            </w:pPr>
            <w:r>
              <w:rPr>
                <w:b/>
                <w:bCs/>
                <w:i/>
                <w:sz w:val="22"/>
                <w:szCs w:val="22"/>
                <w:lang w:val="en-US" w:eastAsia="zh-CN" w:bidi="ar"/>
              </w:rPr>
              <w:t>într-o singură direcție (coridor înfundat)</w:t>
            </w:r>
          </w:p>
          <w:p w14:paraId="01ED29CF" w14:textId="77777777" w:rsidR="001C08A5" w:rsidRDefault="00000000">
            <w:pPr>
              <w:jc w:val="center"/>
              <w:rPr>
                <w:b/>
                <w:bCs/>
                <w:i/>
                <w:sz w:val="22"/>
                <w:szCs w:val="22"/>
              </w:rPr>
            </w:pPr>
            <w:r>
              <w:rPr>
                <w:b/>
                <w:bCs/>
                <w:i/>
                <w:sz w:val="22"/>
                <w:szCs w:val="22"/>
                <w:lang w:val="en-US" w:eastAsia="zh-CN" w:bidi="ar"/>
              </w:rPr>
              <w:t>metri</w:t>
            </w:r>
          </w:p>
        </w:tc>
      </w:tr>
      <w:tr w:rsidR="001C08A5" w14:paraId="70D0B8C2" w14:textId="77777777">
        <w:trPr>
          <w:trHeight w:val="345"/>
          <w:jc w:val="center"/>
        </w:trPr>
        <w:tc>
          <w:tcPr>
            <w:tcW w:w="2854" w:type="dxa"/>
            <w:vMerge/>
            <w:tcMar>
              <w:top w:w="0" w:type="dxa"/>
              <w:left w:w="0" w:type="dxa"/>
              <w:bottom w:w="0" w:type="dxa"/>
              <w:right w:w="0" w:type="dxa"/>
            </w:tcMar>
            <w:vAlign w:val="center"/>
          </w:tcPr>
          <w:p w14:paraId="2A0C196D" w14:textId="77777777" w:rsidR="001C08A5" w:rsidRDefault="001C08A5">
            <w:pPr>
              <w:jc w:val="center"/>
              <w:rPr>
                <w:i/>
                <w:sz w:val="22"/>
                <w:szCs w:val="22"/>
              </w:rPr>
            </w:pPr>
          </w:p>
        </w:tc>
        <w:tc>
          <w:tcPr>
            <w:tcW w:w="1684" w:type="dxa"/>
            <w:vMerge/>
            <w:tcMar>
              <w:top w:w="0" w:type="dxa"/>
              <w:left w:w="0" w:type="dxa"/>
              <w:bottom w:w="0" w:type="dxa"/>
              <w:right w:w="0" w:type="dxa"/>
            </w:tcMar>
            <w:vAlign w:val="center"/>
          </w:tcPr>
          <w:p w14:paraId="2D383FCA" w14:textId="77777777" w:rsidR="001C08A5" w:rsidRDefault="001C08A5">
            <w:pPr>
              <w:jc w:val="center"/>
              <w:rPr>
                <w:i/>
                <w:sz w:val="22"/>
                <w:szCs w:val="22"/>
              </w:rPr>
            </w:pPr>
          </w:p>
        </w:tc>
        <w:tc>
          <w:tcPr>
            <w:tcW w:w="1596" w:type="dxa"/>
            <w:vMerge/>
            <w:tcMar>
              <w:top w:w="0" w:type="dxa"/>
              <w:left w:w="0" w:type="dxa"/>
              <w:bottom w:w="0" w:type="dxa"/>
              <w:right w:w="0" w:type="dxa"/>
            </w:tcMar>
            <w:vAlign w:val="center"/>
          </w:tcPr>
          <w:p w14:paraId="61F3E85F" w14:textId="77777777" w:rsidR="001C08A5" w:rsidRDefault="001C08A5">
            <w:pPr>
              <w:jc w:val="center"/>
              <w:rPr>
                <w:i/>
                <w:sz w:val="22"/>
                <w:szCs w:val="22"/>
              </w:rPr>
            </w:pPr>
          </w:p>
        </w:tc>
        <w:tc>
          <w:tcPr>
            <w:tcW w:w="1747" w:type="dxa"/>
            <w:vMerge/>
            <w:tcMar>
              <w:top w:w="0" w:type="dxa"/>
              <w:left w:w="0" w:type="dxa"/>
              <w:bottom w:w="0" w:type="dxa"/>
              <w:right w:w="0" w:type="dxa"/>
            </w:tcMar>
            <w:vAlign w:val="center"/>
          </w:tcPr>
          <w:p w14:paraId="652662FF" w14:textId="77777777" w:rsidR="001C08A5" w:rsidRDefault="001C08A5">
            <w:pPr>
              <w:jc w:val="center"/>
              <w:rPr>
                <w:i/>
                <w:sz w:val="22"/>
                <w:szCs w:val="22"/>
              </w:rPr>
            </w:pPr>
          </w:p>
        </w:tc>
        <w:tc>
          <w:tcPr>
            <w:tcW w:w="1446" w:type="dxa"/>
            <w:vMerge/>
            <w:tcMar>
              <w:top w:w="0" w:type="dxa"/>
              <w:left w:w="0" w:type="dxa"/>
              <w:bottom w:w="0" w:type="dxa"/>
              <w:right w:w="0" w:type="dxa"/>
            </w:tcMar>
            <w:vAlign w:val="center"/>
          </w:tcPr>
          <w:p w14:paraId="0CB0AC5A" w14:textId="77777777" w:rsidR="001C08A5" w:rsidRDefault="001C08A5">
            <w:pPr>
              <w:jc w:val="center"/>
              <w:rPr>
                <w:i/>
                <w:sz w:val="22"/>
                <w:szCs w:val="22"/>
              </w:rPr>
            </w:pPr>
          </w:p>
        </w:tc>
      </w:tr>
      <w:tr w:rsidR="001C08A5" w14:paraId="11D3613B" w14:textId="77777777">
        <w:trPr>
          <w:trHeight w:val="555"/>
          <w:jc w:val="center"/>
        </w:trPr>
        <w:tc>
          <w:tcPr>
            <w:tcW w:w="2854" w:type="dxa"/>
            <w:tcMar>
              <w:top w:w="0" w:type="dxa"/>
              <w:left w:w="0" w:type="dxa"/>
              <w:bottom w:w="0" w:type="dxa"/>
              <w:right w:w="0" w:type="dxa"/>
            </w:tcMar>
          </w:tcPr>
          <w:p w14:paraId="124CCFEF" w14:textId="77777777" w:rsidR="001C08A5" w:rsidRDefault="00000000">
            <w:pPr>
              <w:jc w:val="center"/>
              <w:rPr>
                <w:b/>
                <w:bCs/>
                <w:i/>
                <w:sz w:val="22"/>
                <w:szCs w:val="22"/>
              </w:rPr>
            </w:pPr>
            <w:r>
              <w:rPr>
                <w:b/>
                <w:bCs/>
                <w:i/>
                <w:sz w:val="22"/>
                <w:szCs w:val="22"/>
                <w:lang w:val="en-US" w:eastAsia="zh-CN" w:bidi="ar"/>
              </w:rPr>
              <w:t>Publică, admini- strativă, birouri, învățământ, etc.</w:t>
            </w:r>
          </w:p>
        </w:tc>
        <w:tc>
          <w:tcPr>
            <w:tcW w:w="1684" w:type="dxa"/>
            <w:tcMar>
              <w:top w:w="0" w:type="dxa"/>
              <w:left w:w="0" w:type="dxa"/>
              <w:bottom w:w="0" w:type="dxa"/>
              <w:right w:w="0" w:type="dxa"/>
            </w:tcMar>
          </w:tcPr>
          <w:p w14:paraId="27D1B534" w14:textId="77777777" w:rsidR="001C08A5" w:rsidRDefault="00000000">
            <w:pPr>
              <w:jc w:val="center"/>
              <w:rPr>
                <w:b/>
                <w:bCs/>
                <w:i/>
                <w:sz w:val="22"/>
                <w:szCs w:val="22"/>
              </w:rPr>
            </w:pPr>
            <w:r>
              <w:rPr>
                <w:b/>
                <w:bCs/>
                <w:i/>
                <w:sz w:val="22"/>
                <w:szCs w:val="22"/>
                <w:lang w:val="en-US" w:eastAsia="zh-CN" w:bidi="ar"/>
              </w:rPr>
              <w:t>35</w:t>
            </w:r>
          </w:p>
        </w:tc>
        <w:tc>
          <w:tcPr>
            <w:tcW w:w="1596" w:type="dxa"/>
            <w:tcMar>
              <w:top w:w="0" w:type="dxa"/>
              <w:left w:w="0" w:type="dxa"/>
              <w:bottom w:w="0" w:type="dxa"/>
              <w:right w:w="0" w:type="dxa"/>
            </w:tcMar>
          </w:tcPr>
          <w:p w14:paraId="33215A44" w14:textId="77777777" w:rsidR="001C08A5" w:rsidRDefault="00000000">
            <w:pPr>
              <w:jc w:val="center"/>
              <w:rPr>
                <w:b/>
                <w:bCs/>
                <w:i/>
                <w:sz w:val="22"/>
                <w:szCs w:val="22"/>
              </w:rPr>
            </w:pPr>
            <w:r>
              <w:rPr>
                <w:b/>
                <w:bCs/>
                <w:i/>
                <w:sz w:val="22"/>
                <w:szCs w:val="22"/>
                <w:lang w:val="en-US" w:eastAsia="zh-CN" w:bidi="ar"/>
              </w:rPr>
              <w:t>15</w:t>
            </w:r>
          </w:p>
        </w:tc>
        <w:tc>
          <w:tcPr>
            <w:tcW w:w="1747" w:type="dxa"/>
            <w:tcMar>
              <w:top w:w="0" w:type="dxa"/>
              <w:left w:w="0" w:type="dxa"/>
              <w:bottom w:w="0" w:type="dxa"/>
              <w:right w:w="0" w:type="dxa"/>
            </w:tcMar>
          </w:tcPr>
          <w:p w14:paraId="2190BC65" w14:textId="77777777" w:rsidR="001C08A5" w:rsidRDefault="00000000">
            <w:pPr>
              <w:jc w:val="center"/>
              <w:rPr>
                <w:b/>
                <w:bCs/>
                <w:i/>
                <w:sz w:val="22"/>
                <w:szCs w:val="22"/>
              </w:rPr>
            </w:pPr>
            <w:r>
              <w:rPr>
                <w:b/>
                <w:bCs/>
                <w:i/>
                <w:sz w:val="22"/>
                <w:szCs w:val="22"/>
                <w:lang w:val="en-US" w:eastAsia="zh-CN" w:bidi="ar"/>
              </w:rPr>
              <w:t>25</w:t>
            </w:r>
          </w:p>
        </w:tc>
        <w:tc>
          <w:tcPr>
            <w:tcW w:w="1446" w:type="dxa"/>
            <w:tcMar>
              <w:top w:w="0" w:type="dxa"/>
              <w:left w:w="0" w:type="dxa"/>
              <w:bottom w:w="0" w:type="dxa"/>
              <w:right w:w="0" w:type="dxa"/>
            </w:tcMar>
          </w:tcPr>
          <w:p w14:paraId="4898326D" w14:textId="77777777" w:rsidR="001C08A5" w:rsidRDefault="00000000">
            <w:pPr>
              <w:jc w:val="center"/>
              <w:rPr>
                <w:b/>
                <w:bCs/>
                <w:i/>
                <w:sz w:val="22"/>
                <w:szCs w:val="22"/>
              </w:rPr>
            </w:pPr>
            <w:r>
              <w:rPr>
                <w:b/>
                <w:bCs/>
                <w:i/>
                <w:sz w:val="22"/>
                <w:szCs w:val="22"/>
                <w:lang w:val="en-US" w:eastAsia="zh-CN" w:bidi="ar"/>
              </w:rPr>
              <w:t>10</w:t>
            </w:r>
          </w:p>
        </w:tc>
      </w:tr>
      <w:tr w:rsidR="001C08A5" w14:paraId="5D0C2473" w14:textId="77777777">
        <w:trPr>
          <w:trHeight w:val="570"/>
          <w:jc w:val="center"/>
        </w:trPr>
        <w:tc>
          <w:tcPr>
            <w:tcW w:w="2854" w:type="dxa"/>
            <w:tcMar>
              <w:top w:w="0" w:type="dxa"/>
              <w:left w:w="0" w:type="dxa"/>
              <w:bottom w:w="0" w:type="dxa"/>
              <w:right w:w="0" w:type="dxa"/>
            </w:tcMar>
          </w:tcPr>
          <w:p w14:paraId="7545E1E8" w14:textId="77777777" w:rsidR="001C08A5" w:rsidRDefault="00000000">
            <w:pPr>
              <w:jc w:val="center"/>
              <w:rPr>
                <w:b/>
                <w:bCs/>
                <w:i/>
                <w:sz w:val="22"/>
                <w:szCs w:val="22"/>
              </w:rPr>
            </w:pPr>
            <w:r>
              <w:rPr>
                <w:b/>
                <w:bCs/>
                <w:i/>
                <w:sz w:val="22"/>
                <w:szCs w:val="22"/>
                <w:lang w:val="en-US" w:eastAsia="zh-CN" w:bidi="ar"/>
              </w:rPr>
              <w:t>Locuinte, hoteluri, sănătate</w:t>
            </w:r>
          </w:p>
        </w:tc>
        <w:tc>
          <w:tcPr>
            <w:tcW w:w="1684" w:type="dxa"/>
            <w:tcMar>
              <w:top w:w="0" w:type="dxa"/>
              <w:left w:w="0" w:type="dxa"/>
              <w:bottom w:w="0" w:type="dxa"/>
              <w:right w:w="0" w:type="dxa"/>
            </w:tcMar>
          </w:tcPr>
          <w:p w14:paraId="14F87A71" w14:textId="77777777" w:rsidR="001C08A5" w:rsidRDefault="00000000">
            <w:pPr>
              <w:jc w:val="center"/>
              <w:rPr>
                <w:b/>
                <w:bCs/>
                <w:i/>
                <w:sz w:val="22"/>
                <w:szCs w:val="22"/>
              </w:rPr>
            </w:pPr>
            <w:r>
              <w:rPr>
                <w:b/>
                <w:bCs/>
                <w:i/>
                <w:sz w:val="22"/>
                <w:szCs w:val="22"/>
                <w:lang w:val="en-US" w:eastAsia="zh-CN" w:bidi="ar"/>
              </w:rPr>
              <w:t>35</w:t>
            </w:r>
          </w:p>
        </w:tc>
        <w:tc>
          <w:tcPr>
            <w:tcW w:w="1596" w:type="dxa"/>
            <w:tcMar>
              <w:top w:w="0" w:type="dxa"/>
              <w:left w:w="0" w:type="dxa"/>
              <w:bottom w:w="0" w:type="dxa"/>
              <w:right w:w="0" w:type="dxa"/>
            </w:tcMar>
          </w:tcPr>
          <w:p w14:paraId="1B7E0FF4" w14:textId="77777777" w:rsidR="001C08A5" w:rsidRDefault="00000000">
            <w:pPr>
              <w:jc w:val="center"/>
              <w:rPr>
                <w:b/>
                <w:bCs/>
                <w:i/>
                <w:sz w:val="22"/>
                <w:szCs w:val="22"/>
              </w:rPr>
            </w:pPr>
            <w:r>
              <w:rPr>
                <w:b/>
                <w:bCs/>
                <w:i/>
                <w:sz w:val="22"/>
                <w:szCs w:val="22"/>
                <w:lang w:val="en-US" w:eastAsia="zh-CN" w:bidi="ar"/>
              </w:rPr>
              <w:t>15</w:t>
            </w:r>
          </w:p>
        </w:tc>
        <w:tc>
          <w:tcPr>
            <w:tcW w:w="1747" w:type="dxa"/>
            <w:tcMar>
              <w:top w:w="0" w:type="dxa"/>
              <w:left w:w="0" w:type="dxa"/>
              <w:bottom w:w="0" w:type="dxa"/>
              <w:right w:w="0" w:type="dxa"/>
            </w:tcMar>
          </w:tcPr>
          <w:p w14:paraId="4E36C162" w14:textId="77777777" w:rsidR="001C08A5" w:rsidRDefault="00000000">
            <w:pPr>
              <w:jc w:val="center"/>
              <w:rPr>
                <w:b/>
                <w:bCs/>
                <w:i/>
                <w:sz w:val="22"/>
                <w:szCs w:val="22"/>
              </w:rPr>
            </w:pPr>
            <w:r>
              <w:rPr>
                <w:b/>
                <w:bCs/>
                <w:i/>
                <w:sz w:val="22"/>
                <w:szCs w:val="22"/>
                <w:lang w:val="en-US" w:eastAsia="zh-CN" w:bidi="ar"/>
              </w:rPr>
              <w:t>20</w:t>
            </w:r>
          </w:p>
        </w:tc>
        <w:tc>
          <w:tcPr>
            <w:tcW w:w="1446" w:type="dxa"/>
            <w:tcMar>
              <w:top w:w="0" w:type="dxa"/>
              <w:left w:w="0" w:type="dxa"/>
              <w:bottom w:w="0" w:type="dxa"/>
              <w:right w:w="0" w:type="dxa"/>
            </w:tcMar>
          </w:tcPr>
          <w:p w14:paraId="25A599DB" w14:textId="77777777" w:rsidR="001C08A5" w:rsidRDefault="00000000">
            <w:pPr>
              <w:jc w:val="center"/>
              <w:rPr>
                <w:b/>
                <w:bCs/>
                <w:i/>
                <w:sz w:val="22"/>
                <w:szCs w:val="22"/>
              </w:rPr>
            </w:pPr>
            <w:r>
              <w:rPr>
                <w:b/>
                <w:bCs/>
                <w:i/>
                <w:sz w:val="22"/>
                <w:szCs w:val="22"/>
                <w:lang w:val="en-US" w:eastAsia="zh-CN" w:bidi="ar"/>
              </w:rPr>
              <w:t>10</w:t>
            </w:r>
          </w:p>
        </w:tc>
      </w:tr>
    </w:tbl>
    <w:p w14:paraId="35DF2AF7" w14:textId="77777777" w:rsidR="001C08A5" w:rsidRDefault="001C08A5">
      <w:pPr>
        <w:shd w:val="clear" w:color="auto" w:fill="FFFFFF"/>
        <w:spacing w:after="150"/>
        <w:jc w:val="both"/>
        <w:rPr>
          <w:rFonts w:eastAsia="Calibri"/>
          <w:b/>
          <w:i/>
          <w:sz w:val="24"/>
          <w:szCs w:val="24"/>
          <w:shd w:val="clear" w:color="auto" w:fill="FFFFFF"/>
        </w:rPr>
      </w:pPr>
    </w:p>
    <w:p w14:paraId="4D8021B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4.1.23.</w:t>
      </w:r>
      <w:r>
        <w:rPr>
          <w:rFonts w:eastAsia="Calibri"/>
          <w:i/>
          <w:sz w:val="24"/>
          <w:szCs w:val="24"/>
          <w:shd w:val="clear" w:color="auto" w:fill="FFFFFF"/>
        </w:rPr>
        <w:t xml:space="preserve"> Ascensoarele pentru intervenție în caz de incendiu, vor asigura capacitatea de transport a 3-5 servanți cu echipamentul respectiv (minimum </w:t>
      </w:r>
      <w:r>
        <w:rPr>
          <w:rFonts w:eastAsia="Calibri"/>
          <w:b/>
          <w:bCs/>
          <w:i/>
          <w:sz w:val="24"/>
          <w:szCs w:val="24"/>
          <w:shd w:val="clear" w:color="auto" w:fill="FFFFFF"/>
        </w:rPr>
        <w:t>500 Kg</w:t>
      </w:r>
      <w:r>
        <w:rPr>
          <w:rFonts w:eastAsia="Calibri"/>
          <w:i/>
          <w:sz w:val="24"/>
          <w:szCs w:val="24"/>
          <w:shd w:val="clear" w:color="auto" w:fill="FFFFFF"/>
        </w:rPr>
        <w:t xml:space="preserve">) și vor fi astfel realizate și separate de restul construcției existente, încât să funcționeze cel puțin </w:t>
      </w:r>
      <w:r>
        <w:rPr>
          <w:rFonts w:eastAsia="Calibri"/>
          <w:b/>
          <w:bCs/>
          <w:i/>
          <w:sz w:val="24"/>
          <w:szCs w:val="24"/>
          <w:shd w:val="clear" w:color="auto" w:fill="FFFFFF"/>
        </w:rPr>
        <w:t>2 ore</w:t>
      </w:r>
      <w:r>
        <w:rPr>
          <w:rFonts w:eastAsia="Calibri"/>
          <w:i/>
          <w:sz w:val="24"/>
          <w:szCs w:val="24"/>
          <w:shd w:val="clear" w:color="auto" w:fill="FFFFFF"/>
        </w:rPr>
        <w:t xml:space="preserve"> de la izbucnirea incendiului. Aceste ascensoare vor asigura accesul pompierilor la toate nivelurile clădirii, fiind echipate cu dispozitive de apel prioritaral acestora în caz de incendiu.</w:t>
      </w:r>
    </w:p>
    <w:p w14:paraId="479B51F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4.1.24.</w:t>
      </w:r>
      <w:r>
        <w:rPr>
          <w:rFonts w:eastAsia="Calibri"/>
          <w:i/>
          <w:sz w:val="24"/>
          <w:szCs w:val="24"/>
          <w:shd w:val="clear" w:color="auto" w:fill="FFFFFF"/>
        </w:rPr>
        <w:t xml:space="preserve"> În clădirile existente înalte și foarte înalte este obligatorie asigurarea a cel puțin două căi de evacuare distincte și independente. Capacitatea de evacuare (C) a unui flux de evacuare luat în calcul la clădirile înalte și foarte înalte este de </w:t>
      </w:r>
      <w:r>
        <w:rPr>
          <w:rFonts w:eastAsia="Calibri"/>
          <w:b/>
          <w:bCs/>
          <w:i/>
          <w:sz w:val="24"/>
          <w:szCs w:val="24"/>
          <w:shd w:val="clear" w:color="auto" w:fill="FFFFFF"/>
        </w:rPr>
        <w:t>70</w:t>
      </w:r>
      <w:r>
        <w:rPr>
          <w:rFonts w:eastAsia="Calibri"/>
          <w:i/>
          <w:sz w:val="24"/>
          <w:szCs w:val="24"/>
          <w:shd w:val="clear" w:color="auto" w:fill="FFFFFF"/>
        </w:rPr>
        <w:t xml:space="preserve"> persoane, dacă în normativ sau prezenta anexă nu sunt stabilite capacități mai mici pentru unele destinații nominalizate. Lungimea maximă admisă a traseului parcurs pe căile de evacuare, de la ușa încăperii până la cea mai apropiată ușă a încăperii tampon de acces în casa scării de evacuare sau degajamentul protejat (măsurată conform Art.</w:t>
      </w:r>
      <w:r>
        <w:rPr>
          <w:rFonts w:eastAsia="Calibri"/>
          <w:b/>
          <w:bCs/>
          <w:i/>
          <w:sz w:val="24"/>
          <w:szCs w:val="24"/>
          <w:shd w:val="clear" w:color="auto" w:fill="FFFFFF"/>
        </w:rPr>
        <w:t xml:space="preserve"> A.10.2.5.69.</w:t>
      </w:r>
      <w:r>
        <w:rPr>
          <w:rFonts w:eastAsia="Calibri"/>
          <w:i/>
          <w:sz w:val="24"/>
          <w:szCs w:val="24"/>
          <w:shd w:val="clear" w:color="auto" w:fill="FFFFFF"/>
        </w:rPr>
        <w:t xml:space="preserve">), în funcție de destinația clădirii existente, vor respecta prevederile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_Ref14916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160</w:t>
      </w:r>
      <w:r>
        <w:rPr>
          <w:rFonts w:eastAsia="Calibri"/>
          <w:b/>
          <w:bCs/>
          <w:i/>
          <w:iCs/>
          <w:sz w:val="24"/>
          <w:szCs w:val="24"/>
          <w:shd w:val="clear" w:color="auto" w:fill="FFFFFF"/>
        </w:rPr>
        <w:fldChar w:fldCharType="end"/>
      </w:r>
      <w:r>
        <w:rPr>
          <w:b/>
          <w:i/>
          <w:sz w:val="24"/>
          <w:szCs w:val="24"/>
        </w:rPr>
        <w:t>.</w:t>
      </w:r>
    </w:p>
    <w:p w14:paraId="2CA41F5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4.1.25.</w:t>
      </w:r>
      <w:r>
        <w:rPr>
          <w:rFonts w:eastAsia="Calibri"/>
          <w:i/>
          <w:sz w:val="24"/>
          <w:szCs w:val="24"/>
          <w:shd w:val="clear" w:color="auto" w:fill="FFFFFF"/>
        </w:rPr>
        <w:t> În clădirile existente înalte și foarte înalte, la toate nivelurile, fiecare dintre scările de evacuare trebuie să fie ușor accesibile prin trasee independente, de regulă, cu direcții diferite de deplasare iar, iar cel puțin una dintre scările de evacuare, trebuie să aibă acces pe terasă peste ultimul nivel. La utilizarea scărilor rulante se respectă prevederile Art.</w:t>
      </w:r>
      <w:r>
        <w:rPr>
          <w:rFonts w:eastAsia="Calibri"/>
          <w:b/>
          <w:bCs/>
          <w:i/>
          <w:sz w:val="24"/>
          <w:szCs w:val="24"/>
          <w:shd w:val="clear" w:color="auto" w:fill="FFFFFF"/>
        </w:rPr>
        <w:t xml:space="preserve"> A.10.4.1.54.</w:t>
      </w:r>
    </w:p>
    <w:p w14:paraId="2F52FF5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4.1.26.</w:t>
      </w:r>
      <w:r>
        <w:rPr>
          <w:rFonts w:eastAsia="Calibri"/>
          <w:i/>
          <w:sz w:val="24"/>
          <w:szCs w:val="24"/>
          <w:shd w:val="clear" w:color="auto" w:fill="FFFFFF"/>
        </w:rPr>
        <w:t> Clădirile existente înalte și foarte înalte se echipează și dotează cu mijloace, instalații și sisteme de prevenire și stingere a incendiilor, conform prevederilor reglementărilor tehnice specifice. Fac excepție clădirile de locuit. La clădirile existente înalte și foarte înalte se asigură căi de intervenție exterioare pentru autospeciale de intervenție, cel puțin pe două laturi.</w:t>
      </w:r>
    </w:p>
    <w:p w14:paraId="1E1A389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4.1.27.</w:t>
      </w:r>
      <w:r>
        <w:rPr>
          <w:rFonts w:eastAsia="Calibri"/>
          <w:i/>
          <w:sz w:val="24"/>
          <w:szCs w:val="24"/>
          <w:shd w:val="clear" w:color="auto" w:fill="FFFFFF"/>
        </w:rPr>
        <w:t> Clădirile existente foarte înalte vor avea constituite servicii de pompieri, corespunzător echipate și dotate, dispuse pe cât posibil în apropierea unui acces de la nivelul terenului.</w:t>
      </w:r>
    </w:p>
    <w:p w14:paraId="6EF9FB74" w14:textId="77777777" w:rsidR="001C08A5" w:rsidRDefault="00000000">
      <w:pPr>
        <w:pStyle w:val="Heading4"/>
        <w:rPr>
          <w:sz w:val="24"/>
          <w:szCs w:val="24"/>
        </w:rPr>
      </w:pPr>
      <w:bookmarkStart w:id="11107" w:name="_Toc162355605"/>
      <w:bookmarkStart w:id="11108" w:name="_Toc30078"/>
      <w:bookmarkStart w:id="11109" w:name="_Toc10987"/>
      <w:bookmarkStart w:id="11110" w:name="_Toc18602"/>
      <w:bookmarkStart w:id="11111" w:name="_Toc9643"/>
      <w:r>
        <w:rPr>
          <w:sz w:val="24"/>
          <w:szCs w:val="24"/>
        </w:rPr>
        <w:t>Clădiri existente cu săli aglomerate</w:t>
      </w:r>
      <w:bookmarkEnd w:id="11107"/>
      <w:bookmarkEnd w:id="11108"/>
      <w:bookmarkEnd w:id="11109"/>
      <w:bookmarkEnd w:id="11110"/>
      <w:bookmarkEnd w:id="11111"/>
    </w:p>
    <w:p w14:paraId="073081F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4.1.28.</w:t>
      </w:r>
      <w:r>
        <w:rPr>
          <w:rFonts w:eastAsia="Calibri"/>
          <w:i/>
          <w:sz w:val="24"/>
          <w:szCs w:val="24"/>
          <w:shd w:val="clear" w:color="auto" w:fill="FFFFFF"/>
        </w:rPr>
        <w:t> La sălile aglomerate, măsurile de siguranță la foc se stabilesc în funcție de capacitate, destinație, respectiv categoria sălii și nivelul de stabilitate la incendiu al clădirii existente.</w:t>
      </w:r>
    </w:p>
    <w:p w14:paraId="6AF7694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4.1.29.</w:t>
      </w:r>
      <w:r>
        <w:rPr>
          <w:rFonts w:eastAsia="Calibri"/>
          <w:i/>
          <w:sz w:val="24"/>
          <w:szCs w:val="24"/>
          <w:shd w:val="clear" w:color="auto" w:fill="FFFFFF"/>
        </w:rPr>
        <w:t> Pentru sălile cu mai multe funcțiuni, măsurile de protecție se asigură în funcție de categoria cea mai defavorabilă a sălii, conform prevederilor stabilite prin prezenta anexă și ale prezentei anexe.</w:t>
      </w:r>
    </w:p>
    <w:p w14:paraId="308F9720"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4.1.30.</w:t>
      </w:r>
      <w:r>
        <w:rPr>
          <w:rFonts w:eastAsia="Calibri"/>
          <w:i/>
          <w:sz w:val="24"/>
          <w:szCs w:val="24"/>
          <w:shd w:val="clear" w:color="auto" w:fill="FFFFFF"/>
        </w:rPr>
        <w:t xml:space="preserve"> După destinație, sălile aglomerate pot fi de categoria S1 sau S2, conform specificațiilor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_Ref15132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161</w:t>
      </w:r>
      <w:r>
        <w:rPr>
          <w:rFonts w:eastAsia="Calibri"/>
          <w:b/>
          <w:bCs/>
          <w:i/>
          <w:iCs/>
          <w:sz w:val="24"/>
          <w:szCs w:val="24"/>
          <w:shd w:val="clear" w:color="auto" w:fill="FFFFFF"/>
        </w:rPr>
        <w:fldChar w:fldCharType="end"/>
      </w:r>
      <w:r>
        <w:rPr>
          <w:b/>
          <w:i/>
          <w:sz w:val="24"/>
          <w:szCs w:val="24"/>
        </w:rPr>
        <w:t>.</w:t>
      </w:r>
    </w:p>
    <w:p w14:paraId="0FA56CB0" w14:textId="77777777" w:rsidR="001C08A5" w:rsidRDefault="00000000">
      <w:pPr>
        <w:pStyle w:val="Caption"/>
        <w:shd w:val="clear" w:color="auto" w:fill="FFFFFF"/>
        <w:spacing w:before="0" w:after="150"/>
        <w:jc w:val="both"/>
        <w:rPr>
          <w:rFonts w:cs="Times New Roman"/>
        </w:rPr>
      </w:pPr>
      <w:bookmarkStart w:id="11112" w:name="_Ref15132"/>
      <w:bookmarkStart w:id="11113" w:name="_Toc162360211"/>
      <w:r>
        <w:t xml:space="preserve">Tabelul </w:t>
      </w:r>
      <w:r>
        <w:fldChar w:fldCharType="begin"/>
      </w:r>
      <w:r>
        <w:instrText xml:space="preserve"> SEQ Tabelul \* ARABIC </w:instrText>
      </w:r>
      <w:r>
        <w:fldChar w:fldCharType="separate"/>
      </w:r>
      <w:r>
        <w:t>161</w:t>
      </w:r>
      <w:r>
        <w:fldChar w:fldCharType="end"/>
      </w:r>
      <w:bookmarkStart w:id="11114" w:name="_Toc666"/>
      <w:bookmarkStart w:id="11115" w:name="_Toc4193"/>
      <w:bookmarkStart w:id="11116" w:name="_Toc23695"/>
      <w:bookmarkStart w:id="11117" w:name="_Toc13318"/>
      <w:bookmarkStart w:id="11118" w:name="_Toc19824"/>
      <w:bookmarkStart w:id="11119" w:name="_Toc7954"/>
      <w:bookmarkStart w:id="11120" w:name="_Toc23443"/>
      <w:bookmarkStart w:id="11121" w:name="_Toc5709"/>
      <w:bookmarkStart w:id="11122" w:name="_Toc12902"/>
      <w:bookmarkStart w:id="11123" w:name="_Toc29090"/>
      <w:bookmarkStart w:id="11124" w:name="_Toc642"/>
      <w:bookmarkEnd w:id="11112"/>
      <w:r>
        <w:t>: Categorii de săli aglomerate la clădiri existente</w:t>
      </w:r>
      <w:bookmarkEnd w:id="11113"/>
      <w:bookmarkEnd w:id="11114"/>
      <w:bookmarkEnd w:id="11115"/>
      <w:bookmarkEnd w:id="11116"/>
      <w:bookmarkEnd w:id="11117"/>
      <w:bookmarkEnd w:id="11118"/>
      <w:bookmarkEnd w:id="11119"/>
      <w:bookmarkEnd w:id="11120"/>
      <w:bookmarkEnd w:id="11121"/>
      <w:bookmarkEnd w:id="11122"/>
      <w:bookmarkEnd w:id="11123"/>
      <w:bookmarkEnd w:id="11124"/>
    </w:p>
    <w:tbl>
      <w:tblPr>
        <w:tblW w:w="9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646"/>
        <w:gridCol w:w="7663"/>
      </w:tblGrid>
      <w:tr w:rsidR="001C08A5" w14:paraId="00280066" w14:textId="77777777">
        <w:trPr>
          <w:trHeight w:val="555"/>
          <w:jc w:val="center"/>
        </w:trPr>
        <w:tc>
          <w:tcPr>
            <w:tcW w:w="1646" w:type="dxa"/>
            <w:tcMar>
              <w:top w:w="0" w:type="dxa"/>
              <w:left w:w="0" w:type="dxa"/>
              <w:bottom w:w="0" w:type="dxa"/>
              <w:right w:w="0" w:type="dxa"/>
            </w:tcMar>
            <w:vAlign w:val="center"/>
          </w:tcPr>
          <w:p w14:paraId="5847490B" w14:textId="77777777" w:rsidR="001C08A5" w:rsidRDefault="00000000">
            <w:pPr>
              <w:jc w:val="center"/>
              <w:rPr>
                <w:b/>
                <w:bCs/>
                <w:i/>
                <w:sz w:val="22"/>
                <w:szCs w:val="22"/>
              </w:rPr>
            </w:pPr>
            <w:r>
              <w:rPr>
                <w:b/>
                <w:bCs/>
                <w:i/>
                <w:sz w:val="22"/>
                <w:szCs w:val="22"/>
                <w:lang w:val="en-US" w:eastAsia="zh-CN" w:bidi="ar"/>
              </w:rPr>
              <w:t>Săli aglomerate</w:t>
            </w:r>
            <w:r>
              <w:rPr>
                <w:b/>
                <w:bCs/>
                <w:i/>
                <w:sz w:val="22"/>
                <w:szCs w:val="22"/>
                <w:lang w:eastAsia="zh-CN" w:bidi="ar"/>
              </w:rPr>
              <w:t xml:space="preserve"> </w:t>
            </w:r>
            <w:r>
              <w:rPr>
                <w:rFonts w:eastAsia="Calibri"/>
                <w:b/>
                <w:bCs/>
                <w:i/>
                <w:sz w:val="22"/>
                <w:szCs w:val="22"/>
                <w:shd w:val="clear" w:color="auto" w:fill="FFFFFF"/>
              </w:rPr>
              <w:t xml:space="preserve">existente </w:t>
            </w:r>
          </w:p>
        </w:tc>
        <w:tc>
          <w:tcPr>
            <w:tcW w:w="7663" w:type="dxa"/>
            <w:tcMar>
              <w:top w:w="0" w:type="dxa"/>
              <w:left w:w="0" w:type="dxa"/>
              <w:bottom w:w="0" w:type="dxa"/>
              <w:right w:w="0" w:type="dxa"/>
            </w:tcMar>
            <w:vAlign w:val="center"/>
          </w:tcPr>
          <w:p w14:paraId="41CA122C" w14:textId="77777777" w:rsidR="001C08A5" w:rsidRDefault="00000000">
            <w:pPr>
              <w:jc w:val="center"/>
              <w:rPr>
                <w:b/>
                <w:bCs/>
                <w:i/>
                <w:sz w:val="22"/>
                <w:szCs w:val="22"/>
              </w:rPr>
            </w:pPr>
            <w:r>
              <w:rPr>
                <w:b/>
                <w:bCs/>
                <w:i/>
                <w:sz w:val="22"/>
                <w:szCs w:val="22"/>
                <w:lang w:val="en-US" w:eastAsia="zh-CN" w:bidi="ar"/>
              </w:rPr>
              <w:t>Destinația sălii aglomerate</w:t>
            </w:r>
            <w:r>
              <w:rPr>
                <w:b/>
                <w:bCs/>
                <w:i/>
                <w:sz w:val="22"/>
                <w:szCs w:val="22"/>
                <w:lang w:eastAsia="zh-CN" w:bidi="ar"/>
              </w:rPr>
              <w:t xml:space="preserve"> </w:t>
            </w:r>
            <w:r>
              <w:rPr>
                <w:rFonts w:eastAsia="Calibri"/>
                <w:b/>
                <w:bCs/>
                <w:i/>
                <w:sz w:val="22"/>
                <w:szCs w:val="22"/>
                <w:shd w:val="clear" w:color="auto" w:fill="FFFFFF"/>
              </w:rPr>
              <w:t xml:space="preserve">existente </w:t>
            </w:r>
          </w:p>
        </w:tc>
      </w:tr>
      <w:tr w:rsidR="001C08A5" w14:paraId="4FCA2975" w14:textId="77777777">
        <w:trPr>
          <w:trHeight w:val="555"/>
          <w:jc w:val="center"/>
        </w:trPr>
        <w:tc>
          <w:tcPr>
            <w:tcW w:w="1646" w:type="dxa"/>
            <w:tcMar>
              <w:top w:w="0" w:type="dxa"/>
              <w:left w:w="0" w:type="dxa"/>
              <w:bottom w:w="0" w:type="dxa"/>
              <w:right w:w="0" w:type="dxa"/>
            </w:tcMar>
            <w:vAlign w:val="center"/>
          </w:tcPr>
          <w:p w14:paraId="19A3F770" w14:textId="77777777" w:rsidR="001C08A5" w:rsidRDefault="00000000">
            <w:pPr>
              <w:jc w:val="center"/>
              <w:rPr>
                <w:b/>
                <w:bCs/>
                <w:i/>
                <w:sz w:val="22"/>
                <w:szCs w:val="22"/>
              </w:rPr>
            </w:pPr>
            <w:r>
              <w:rPr>
                <w:b/>
                <w:bCs/>
                <w:i/>
                <w:sz w:val="22"/>
                <w:szCs w:val="22"/>
                <w:lang w:val="en-US" w:eastAsia="zh-CN" w:bidi="ar"/>
              </w:rPr>
              <w:t>S1</w:t>
            </w:r>
          </w:p>
        </w:tc>
        <w:tc>
          <w:tcPr>
            <w:tcW w:w="7663" w:type="dxa"/>
            <w:tcMar>
              <w:top w:w="0" w:type="dxa"/>
              <w:left w:w="0" w:type="dxa"/>
              <w:bottom w:w="0" w:type="dxa"/>
              <w:right w:w="0" w:type="dxa"/>
            </w:tcMar>
            <w:vAlign w:val="center"/>
          </w:tcPr>
          <w:p w14:paraId="425847E0" w14:textId="77777777" w:rsidR="001C08A5" w:rsidRDefault="00000000">
            <w:pPr>
              <w:rPr>
                <w:i/>
                <w:sz w:val="22"/>
                <w:szCs w:val="22"/>
              </w:rPr>
            </w:pPr>
            <w:r>
              <w:rPr>
                <w:i/>
                <w:sz w:val="22"/>
                <w:szCs w:val="22"/>
                <w:lang w:val="en-US" w:eastAsia="zh-CN" w:bidi="ar"/>
              </w:rPr>
              <w:t>Teatre dramatice și muzicale, săli de spectacole, circuri, expoziții comerciale, muzee cu exponate combustibile, magazine cu mărfuri combustibile, etc.</w:t>
            </w:r>
          </w:p>
        </w:tc>
      </w:tr>
      <w:tr w:rsidR="001C08A5" w14:paraId="6CE186A0" w14:textId="77777777">
        <w:trPr>
          <w:trHeight w:val="780"/>
          <w:jc w:val="center"/>
        </w:trPr>
        <w:tc>
          <w:tcPr>
            <w:tcW w:w="1646" w:type="dxa"/>
            <w:tcMar>
              <w:top w:w="0" w:type="dxa"/>
              <w:left w:w="0" w:type="dxa"/>
              <w:bottom w:w="0" w:type="dxa"/>
              <w:right w:w="0" w:type="dxa"/>
            </w:tcMar>
            <w:vAlign w:val="center"/>
          </w:tcPr>
          <w:p w14:paraId="19A54BB1" w14:textId="77777777" w:rsidR="001C08A5" w:rsidRDefault="00000000">
            <w:pPr>
              <w:jc w:val="center"/>
              <w:rPr>
                <w:b/>
                <w:bCs/>
                <w:i/>
                <w:sz w:val="22"/>
                <w:szCs w:val="22"/>
              </w:rPr>
            </w:pPr>
            <w:r>
              <w:rPr>
                <w:b/>
                <w:bCs/>
                <w:i/>
                <w:sz w:val="22"/>
                <w:szCs w:val="22"/>
                <w:lang w:val="en-US" w:eastAsia="zh-CN" w:bidi="ar"/>
              </w:rPr>
              <w:t>S2</w:t>
            </w:r>
          </w:p>
        </w:tc>
        <w:tc>
          <w:tcPr>
            <w:tcW w:w="7663" w:type="dxa"/>
            <w:tcMar>
              <w:top w:w="0" w:type="dxa"/>
              <w:left w:w="0" w:type="dxa"/>
              <w:bottom w:w="0" w:type="dxa"/>
              <w:right w:w="0" w:type="dxa"/>
            </w:tcMar>
            <w:vAlign w:val="center"/>
          </w:tcPr>
          <w:p w14:paraId="75558523" w14:textId="77777777" w:rsidR="001C08A5" w:rsidRDefault="00000000">
            <w:pPr>
              <w:rPr>
                <w:i/>
                <w:sz w:val="22"/>
                <w:szCs w:val="22"/>
              </w:rPr>
            </w:pPr>
            <w:r>
              <w:rPr>
                <w:i/>
                <w:sz w:val="22"/>
                <w:szCs w:val="22"/>
                <w:lang w:val="en-US" w:eastAsia="zh-CN" w:bidi="ar"/>
              </w:rPr>
              <w:t>Săli pentru proiecții cinematografice, cantine și restaurante, săli de lectură, muzee cu exponate incombustibile, expoziții permanente de artă, auditorii, săli de întruniri, de dans, de concert, de sport, de așteptare, vestiare, de cult, discotecă, etc.</w:t>
            </w:r>
          </w:p>
        </w:tc>
      </w:tr>
    </w:tbl>
    <w:p w14:paraId="22F68C28" w14:textId="77777777" w:rsidR="001C08A5" w:rsidRDefault="00000000">
      <w:pPr>
        <w:rPr>
          <w:i/>
          <w:iCs/>
          <w:sz w:val="22"/>
          <w:szCs w:val="22"/>
        </w:rPr>
      </w:pPr>
      <w:r>
        <w:rPr>
          <w:i/>
          <w:iCs/>
          <w:sz w:val="22"/>
          <w:szCs w:val="22"/>
        </w:rPr>
        <w:t>Notă:</w:t>
      </w:r>
    </w:p>
    <w:p w14:paraId="676BA0E3" w14:textId="77777777" w:rsidR="001C08A5" w:rsidRDefault="00000000">
      <w:pPr>
        <w:rPr>
          <w:i/>
          <w:iCs/>
          <w:sz w:val="22"/>
          <w:szCs w:val="22"/>
        </w:rPr>
      </w:pPr>
      <w:r>
        <w:rPr>
          <w:i/>
          <w:iCs/>
          <w:sz w:val="22"/>
          <w:szCs w:val="22"/>
        </w:rPr>
        <w:t>Sălile aglomerate a căror destinație nu este cuprinsă în tabel, se încadrează prin asimilare.</w:t>
      </w:r>
    </w:p>
    <w:p w14:paraId="270813CF" w14:textId="77777777" w:rsidR="001C08A5" w:rsidRDefault="001C08A5">
      <w:pPr>
        <w:rPr>
          <w:i/>
          <w:iCs/>
          <w:sz w:val="22"/>
          <w:szCs w:val="22"/>
        </w:rPr>
      </w:pPr>
    </w:p>
    <w:p w14:paraId="7BECC2E3"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4.1.31.</w:t>
      </w:r>
      <w:r>
        <w:rPr>
          <w:rFonts w:eastAsia="Calibri"/>
          <w:i/>
          <w:sz w:val="24"/>
          <w:szCs w:val="24"/>
          <w:shd w:val="clear" w:color="auto" w:fill="FFFFFF"/>
        </w:rPr>
        <w:t xml:space="preserve"> Corelația între categoria sălilor, numărul de locuitori, numărul de niveluri și nivelul de stabilitate la incendiu al clădirilor existente cu săli aglomerate se asigură conform prevederilor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_Ref15305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162</w:t>
      </w:r>
      <w:r>
        <w:rPr>
          <w:rFonts w:eastAsia="Calibri"/>
          <w:b/>
          <w:bCs/>
          <w:i/>
          <w:iCs/>
          <w:sz w:val="24"/>
          <w:szCs w:val="24"/>
          <w:shd w:val="clear" w:color="auto" w:fill="FFFFFF"/>
        </w:rPr>
        <w:fldChar w:fldCharType="end"/>
      </w:r>
      <w:r>
        <w:rPr>
          <w:rFonts w:eastAsia="Calibri"/>
          <w:b/>
          <w:bCs/>
          <w:i/>
          <w:iCs/>
          <w:sz w:val="24"/>
          <w:szCs w:val="24"/>
          <w:shd w:val="clear" w:color="auto" w:fill="FFFFFF"/>
        </w:rPr>
        <w:t xml:space="preserve"> </w:t>
      </w:r>
      <w:r>
        <w:rPr>
          <w:rFonts w:eastAsia="Calibri"/>
          <w:i/>
          <w:iCs/>
          <w:sz w:val="24"/>
          <w:szCs w:val="24"/>
          <w:shd w:val="clear" w:color="auto" w:fill="FFFFFF"/>
        </w:rPr>
        <w:t>și</w:t>
      </w:r>
      <w:r>
        <w:rPr>
          <w:rFonts w:eastAsia="Calibri"/>
          <w:b/>
          <w:bCs/>
          <w:i/>
          <w:iCs/>
          <w:sz w:val="24"/>
          <w:szCs w:val="24"/>
          <w:shd w:val="clear" w:color="auto" w:fill="FFFFFF"/>
        </w:rPr>
        <w:t xml:space="preserve">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_Ref15315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163</w:t>
      </w:r>
      <w:r>
        <w:rPr>
          <w:rFonts w:eastAsia="Calibri"/>
          <w:b/>
          <w:bCs/>
          <w:i/>
          <w:iCs/>
          <w:sz w:val="24"/>
          <w:szCs w:val="24"/>
          <w:shd w:val="clear" w:color="auto" w:fill="FFFFFF"/>
        </w:rPr>
        <w:fldChar w:fldCharType="end"/>
      </w:r>
      <w:r>
        <w:rPr>
          <w:b/>
          <w:i/>
          <w:sz w:val="24"/>
          <w:szCs w:val="24"/>
        </w:rPr>
        <w:t>.</w:t>
      </w:r>
    </w:p>
    <w:p w14:paraId="44FD84BD" w14:textId="77777777" w:rsidR="001C08A5" w:rsidRDefault="00000000">
      <w:pPr>
        <w:pStyle w:val="Caption"/>
        <w:shd w:val="clear" w:color="auto" w:fill="FFFFFF"/>
        <w:spacing w:before="0" w:after="150"/>
        <w:jc w:val="both"/>
      </w:pPr>
      <w:bookmarkStart w:id="11125" w:name="_Ref15305"/>
      <w:bookmarkStart w:id="11126" w:name="_Toc162360212"/>
      <w:r>
        <w:t xml:space="preserve">Tabelul </w:t>
      </w:r>
      <w:r>
        <w:fldChar w:fldCharType="begin"/>
      </w:r>
      <w:r>
        <w:instrText xml:space="preserve"> SEQ Tabelul \* ARABIC </w:instrText>
      </w:r>
      <w:r>
        <w:fldChar w:fldCharType="separate"/>
      </w:r>
      <w:r>
        <w:t>162</w:t>
      </w:r>
      <w:r>
        <w:fldChar w:fldCharType="end"/>
      </w:r>
      <w:bookmarkStart w:id="11127" w:name="_Toc32717"/>
      <w:bookmarkStart w:id="11128" w:name="_Toc18500"/>
      <w:bookmarkStart w:id="11129" w:name="_Toc6225"/>
      <w:bookmarkStart w:id="11130" w:name="_Toc24419"/>
      <w:bookmarkStart w:id="11131" w:name="_Toc18290"/>
      <w:bookmarkStart w:id="11132" w:name="_Toc12062"/>
      <w:bookmarkStart w:id="11133" w:name="_Toc23170"/>
      <w:bookmarkStart w:id="11134" w:name="_Toc15708"/>
      <w:bookmarkStart w:id="11135" w:name="_Toc21943"/>
      <w:bookmarkStart w:id="11136" w:name="_Toc23399"/>
      <w:bookmarkStart w:id="11137" w:name="_Toc31808"/>
      <w:bookmarkEnd w:id="11125"/>
      <w:r>
        <w:t>: Corelația admisă între amplasarea și categoria sălilor, numărul de locuri și nivelul de stabilitate la incendiu al clădirilor existente cu săli aglomerate</w:t>
      </w:r>
      <w:bookmarkEnd w:id="11126"/>
      <w:bookmarkEnd w:id="11127"/>
      <w:bookmarkEnd w:id="11128"/>
      <w:bookmarkEnd w:id="11129"/>
      <w:bookmarkEnd w:id="11130"/>
      <w:bookmarkEnd w:id="11131"/>
      <w:bookmarkEnd w:id="11132"/>
      <w:bookmarkEnd w:id="11133"/>
      <w:bookmarkEnd w:id="11134"/>
      <w:bookmarkEnd w:id="11135"/>
      <w:bookmarkEnd w:id="11136"/>
      <w:bookmarkEnd w:id="11137"/>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140"/>
        <w:gridCol w:w="1294"/>
        <w:gridCol w:w="1324"/>
        <w:gridCol w:w="1215"/>
        <w:gridCol w:w="1204"/>
      </w:tblGrid>
      <w:tr w:rsidR="001C08A5" w14:paraId="3D03AA31" w14:textId="77777777">
        <w:trPr>
          <w:trHeight w:val="765"/>
          <w:jc w:val="center"/>
        </w:trPr>
        <w:tc>
          <w:tcPr>
            <w:tcW w:w="4140" w:type="dxa"/>
            <w:vMerge w:val="restart"/>
            <w:tcMar>
              <w:top w:w="0" w:type="dxa"/>
              <w:left w:w="0" w:type="dxa"/>
              <w:bottom w:w="0" w:type="dxa"/>
              <w:right w:w="0" w:type="dxa"/>
            </w:tcMar>
            <w:vAlign w:val="center"/>
          </w:tcPr>
          <w:p w14:paraId="4CDA0D51" w14:textId="77777777" w:rsidR="001C08A5" w:rsidRDefault="00000000">
            <w:pPr>
              <w:jc w:val="center"/>
              <w:rPr>
                <w:b/>
                <w:bCs/>
                <w:i/>
                <w:sz w:val="22"/>
                <w:szCs w:val="22"/>
              </w:rPr>
            </w:pPr>
            <w:r>
              <w:rPr>
                <w:b/>
                <w:bCs/>
                <w:i/>
                <w:sz w:val="22"/>
                <w:szCs w:val="22"/>
                <w:lang w:val="en-US" w:eastAsia="zh-CN" w:bidi="ar"/>
              </w:rPr>
              <w:lastRenderedPageBreak/>
              <w:t>Amplasarea sălilor aglomerate</w:t>
            </w:r>
            <w:r>
              <w:rPr>
                <w:b/>
                <w:bCs/>
                <w:i/>
                <w:sz w:val="22"/>
                <w:szCs w:val="22"/>
                <w:lang w:eastAsia="zh-CN" w:bidi="ar"/>
              </w:rPr>
              <w:t xml:space="preserve"> </w:t>
            </w:r>
            <w:r>
              <w:rPr>
                <w:rFonts w:eastAsia="Calibri"/>
                <w:b/>
                <w:bCs/>
                <w:i/>
                <w:sz w:val="22"/>
                <w:szCs w:val="22"/>
                <w:shd w:val="clear" w:color="auto" w:fill="FFFFFF"/>
              </w:rPr>
              <w:t xml:space="preserve">existente </w:t>
            </w:r>
          </w:p>
        </w:tc>
        <w:tc>
          <w:tcPr>
            <w:tcW w:w="1294" w:type="dxa"/>
            <w:vMerge w:val="restart"/>
            <w:tcMar>
              <w:top w:w="0" w:type="dxa"/>
              <w:left w:w="0" w:type="dxa"/>
              <w:bottom w:w="0" w:type="dxa"/>
              <w:right w:w="0" w:type="dxa"/>
            </w:tcMar>
            <w:vAlign w:val="center"/>
          </w:tcPr>
          <w:p w14:paraId="643DC147" w14:textId="77777777" w:rsidR="001C08A5" w:rsidRDefault="00000000">
            <w:pPr>
              <w:jc w:val="center"/>
              <w:rPr>
                <w:b/>
                <w:bCs/>
                <w:i/>
                <w:sz w:val="22"/>
                <w:szCs w:val="22"/>
              </w:rPr>
            </w:pPr>
            <w:r>
              <w:rPr>
                <w:b/>
                <w:bCs/>
                <w:i/>
                <w:sz w:val="22"/>
                <w:szCs w:val="22"/>
                <w:lang w:val="en-US" w:eastAsia="zh-CN" w:bidi="ar"/>
              </w:rPr>
              <w:t>Categoria sălii</w:t>
            </w:r>
            <w:r>
              <w:rPr>
                <w:b/>
                <w:bCs/>
                <w:i/>
                <w:sz w:val="22"/>
                <w:szCs w:val="22"/>
                <w:lang w:eastAsia="zh-CN" w:bidi="ar"/>
              </w:rPr>
              <w:t xml:space="preserve"> </w:t>
            </w:r>
            <w:r>
              <w:rPr>
                <w:rFonts w:eastAsia="Calibri"/>
                <w:b/>
                <w:bCs/>
                <w:i/>
                <w:sz w:val="22"/>
                <w:szCs w:val="22"/>
                <w:shd w:val="clear" w:color="auto" w:fill="FFFFFF"/>
              </w:rPr>
              <w:t xml:space="preserve">existente </w:t>
            </w:r>
          </w:p>
        </w:tc>
        <w:tc>
          <w:tcPr>
            <w:tcW w:w="3743" w:type="dxa"/>
            <w:gridSpan w:val="3"/>
            <w:tcMar>
              <w:top w:w="0" w:type="dxa"/>
              <w:left w:w="0" w:type="dxa"/>
              <w:bottom w:w="0" w:type="dxa"/>
              <w:right w:w="0" w:type="dxa"/>
            </w:tcMar>
            <w:vAlign w:val="center"/>
          </w:tcPr>
          <w:p w14:paraId="302CAD5E" w14:textId="77777777" w:rsidR="001C08A5" w:rsidRDefault="00000000">
            <w:pPr>
              <w:jc w:val="center"/>
              <w:rPr>
                <w:b/>
                <w:bCs/>
                <w:i/>
                <w:sz w:val="22"/>
                <w:szCs w:val="22"/>
              </w:rPr>
            </w:pPr>
            <w:r>
              <w:rPr>
                <w:b/>
                <w:bCs/>
                <w:i/>
                <w:sz w:val="22"/>
                <w:szCs w:val="22"/>
                <w:lang w:val="en-US" w:eastAsia="zh-CN" w:bidi="ar"/>
              </w:rPr>
              <w:t xml:space="preserve">Capacitatea (numărul maxim de locuri) în funcție de </w:t>
            </w:r>
            <w:r>
              <w:rPr>
                <w:rFonts w:eastAsia="Calibri"/>
                <w:b/>
                <w:bCs/>
                <w:i/>
                <w:sz w:val="22"/>
                <w:szCs w:val="22"/>
                <w:shd w:val="clear" w:color="auto" w:fill="FFFFFF"/>
              </w:rPr>
              <w:t>nivelul de stabilitate la incendiu</w:t>
            </w:r>
            <w:r>
              <w:rPr>
                <w:b/>
                <w:bCs/>
                <w:i/>
                <w:sz w:val="22"/>
                <w:szCs w:val="22"/>
                <w:lang w:val="en-US" w:eastAsia="zh-CN" w:bidi="ar"/>
              </w:rPr>
              <w:t xml:space="preserve"> al clădirii</w:t>
            </w:r>
            <w:r>
              <w:rPr>
                <w:rFonts w:eastAsia="Calibri"/>
                <w:b/>
                <w:bCs/>
                <w:i/>
                <w:sz w:val="22"/>
                <w:szCs w:val="22"/>
                <w:shd w:val="clear" w:color="auto" w:fill="FFFFFF"/>
              </w:rPr>
              <w:t xml:space="preserve">existente </w:t>
            </w:r>
          </w:p>
        </w:tc>
      </w:tr>
      <w:tr w:rsidR="001C08A5" w14:paraId="219FB979" w14:textId="77777777">
        <w:trPr>
          <w:trHeight w:val="345"/>
          <w:jc w:val="center"/>
        </w:trPr>
        <w:tc>
          <w:tcPr>
            <w:tcW w:w="4140" w:type="dxa"/>
            <w:vMerge/>
            <w:tcMar>
              <w:top w:w="0" w:type="dxa"/>
              <w:left w:w="0" w:type="dxa"/>
              <w:bottom w:w="0" w:type="dxa"/>
              <w:right w:w="0" w:type="dxa"/>
            </w:tcMar>
            <w:vAlign w:val="center"/>
          </w:tcPr>
          <w:p w14:paraId="50A4F8BC" w14:textId="77777777" w:rsidR="001C08A5" w:rsidRDefault="001C08A5">
            <w:pPr>
              <w:jc w:val="center"/>
              <w:rPr>
                <w:b/>
                <w:bCs/>
                <w:i/>
                <w:sz w:val="22"/>
                <w:szCs w:val="22"/>
              </w:rPr>
            </w:pPr>
          </w:p>
        </w:tc>
        <w:tc>
          <w:tcPr>
            <w:tcW w:w="1294" w:type="dxa"/>
            <w:vMerge/>
            <w:tcMar>
              <w:top w:w="0" w:type="dxa"/>
              <w:left w:w="0" w:type="dxa"/>
              <w:bottom w:w="0" w:type="dxa"/>
              <w:right w:w="0" w:type="dxa"/>
            </w:tcMar>
            <w:vAlign w:val="center"/>
          </w:tcPr>
          <w:p w14:paraId="63E72374" w14:textId="77777777" w:rsidR="001C08A5" w:rsidRDefault="001C08A5">
            <w:pPr>
              <w:jc w:val="center"/>
              <w:rPr>
                <w:b/>
                <w:bCs/>
                <w:i/>
                <w:sz w:val="22"/>
                <w:szCs w:val="22"/>
              </w:rPr>
            </w:pPr>
          </w:p>
        </w:tc>
        <w:tc>
          <w:tcPr>
            <w:tcW w:w="1324" w:type="dxa"/>
            <w:tcMar>
              <w:top w:w="0" w:type="dxa"/>
              <w:left w:w="0" w:type="dxa"/>
              <w:bottom w:w="0" w:type="dxa"/>
              <w:right w:w="0" w:type="dxa"/>
            </w:tcMar>
            <w:vAlign w:val="center"/>
          </w:tcPr>
          <w:p w14:paraId="35480D35" w14:textId="77777777" w:rsidR="001C08A5" w:rsidRDefault="00000000">
            <w:pPr>
              <w:jc w:val="center"/>
              <w:rPr>
                <w:b/>
                <w:bCs/>
                <w:i/>
                <w:sz w:val="22"/>
                <w:szCs w:val="22"/>
              </w:rPr>
            </w:pPr>
            <w:r>
              <w:rPr>
                <w:b/>
                <w:bCs/>
                <w:i/>
                <w:sz w:val="22"/>
                <w:szCs w:val="22"/>
                <w:lang w:val="en-US" w:eastAsia="zh-CN" w:bidi="ar"/>
              </w:rPr>
              <w:t>I</w:t>
            </w:r>
          </w:p>
        </w:tc>
        <w:tc>
          <w:tcPr>
            <w:tcW w:w="1215" w:type="dxa"/>
            <w:tcMar>
              <w:top w:w="0" w:type="dxa"/>
              <w:left w:w="0" w:type="dxa"/>
              <w:bottom w:w="0" w:type="dxa"/>
              <w:right w:w="0" w:type="dxa"/>
            </w:tcMar>
            <w:vAlign w:val="center"/>
          </w:tcPr>
          <w:p w14:paraId="282F6B98" w14:textId="77777777" w:rsidR="001C08A5" w:rsidRDefault="00000000">
            <w:pPr>
              <w:jc w:val="center"/>
              <w:rPr>
                <w:b/>
                <w:bCs/>
                <w:i/>
                <w:sz w:val="22"/>
                <w:szCs w:val="22"/>
              </w:rPr>
            </w:pPr>
            <w:r>
              <w:rPr>
                <w:b/>
                <w:bCs/>
                <w:i/>
                <w:sz w:val="22"/>
                <w:szCs w:val="22"/>
                <w:lang w:val="en-US" w:eastAsia="zh-CN" w:bidi="ar"/>
              </w:rPr>
              <w:t>II</w:t>
            </w:r>
          </w:p>
        </w:tc>
        <w:tc>
          <w:tcPr>
            <w:tcW w:w="1204" w:type="dxa"/>
            <w:tcMar>
              <w:top w:w="0" w:type="dxa"/>
              <w:left w:w="0" w:type="dxa"/>
              <w:bottom w:w="0" w:type="dxa"/>
              <w:right w:w="0" w:type="dxa"/>
            </w:tcMar>
            <w:vAlign w:val="center"/>
          </w:tcPr>
          <w:p w14:paraId="3E3F68AE" w14:textId="77777777" w:rsidR="001C08A5" w:rsidRDefault="00000000">
            <w:pPr>
              <w:jc w:val="center"/>
              <w:rPr>
                <w:b/>
                <w:bCs/>
                <w:i/>
                <w:sz w:val="22"/>
                <w:szCs w:val="22"/>
              </w:rPr>
            </w:pPr>
            <w:r>
              <w:rPr>
                <w:b/>
                <w:bCs/>
                <w:i/>
                <w:sz w:val="22"/>
                <w:szCs w:val="22"/>
                <w:lang w:val="en-US" w:eastAsia="zh-CN" w:bidi="ar"/>
              </w:rPr>
              <w:t>III</w:t>
            </w:r>
          </w:p>
        </w:tc>
      </w:tr>
      <w:tr w:rsidR="001C08A5" w14:paraId="010F8FA2" w14:textId="77777777">
        <w:trPr>
          <w:trHeight w:val="345"/>
          <w:jc w:val="center"/>
        </w:trPr>
        <w:tc>
          <w:tcPr>
            <w:tcW w:w="4140" w:type="dxa"/>
            <w:vMerge w:val="restart"/>
            <w:tcMar>
              <w:top w:w="0" w:type="dxa"/>
              <w:left w:w="0" w:type="dxa"/>
              <w:bottom w:w="0" w:type="dxa"/>
              <w:right w:w="0" w:type="dxa"/>
            </w:tcMar>
          </w:tcPr>
          <w:p w14:paraId="079B1DC5" w14:textId="77777777" w:rsidR="001C08A5" w:rsidRDefault="00000000">
            <w:pPr>
              <w:jc w:val="center"/>
              <w:rPr>
                <w:b/>
                <w:bCs/>
                <w:i/>
                <w:sz w:val="22"/>
                <w:szCs w:val="22"/>
              </w:rPr>
            </w:pPr>
            <w:r>
              <w:rPr>
                <w:b/>
                <w:bCs/>
                <w:i/>
                <w:sz w:val="22"/>
                <w:szCs w:val="22"/>
                <w:lang w:val="en-US" w:eastAsia="zh-CN" w:bidi="ar"/>
              </w:rPr>
              <w:t>Independentă sau compartiment de incendiu</w:t>
            </w:r>
          </w:p>
        </w:tc>
        <w:tc>
          <w:tcPr>
            <w:tcW w:w="1294" w:type="dxa"/>
            <w:tcMar>
              <w:top w:w="0" w:type="dxa"/>
              <w:left w:w="0" w:type="dxa"/>
              <w:bottom w:w="0" w:type="dxa"/>
              <w:right w:w="0" w:type="dxa"/>
            </w:tcMar>
          </w:tcPr>
          <w:p w14:paraId="64D1B4A1" w14:textId="77777777" w:rsidR="001C08A5" w:rsidRDefault="00000000">
            <w:pPr>
              <w:jc w:val="center"/>
              <w:rPr>
                <w:b/>
                <w:bCs/>
                <w:i/>
                <w:sz w:val="22"/>
                <w:szCs w:val="22"/>
              </w:rPr>
            </w:pPr>
            <w:r>
              <w:rPr>
                <w:b/>
                <w:bCs/>
                <w:i/>
                <w:sz w:val="22"/>
                <w:szCs w:val="22"/>
                <w:lang w:val="en-US" w:eastAsia="zh-CN" w:bidi="ar"/>
              </w:rPr>
              <w:t>S1</w:t>
            </w:r>
          </w:p>
        </w:tc>
        <w:tc>
          <w:tcPr>
            <w:tcW w:w="1324" w:type="dxa"/>
            <w:vMerge w:val="restart"/>
            <w:tcMar>
              <w:top w:w="0" w:type="dxa"/>
              <w:left w:w="0" w:type="dxa"/>
              <w:bottom w:w="0" w:type="dxa"/>
              <w:right w:w="0" w:type="dxa"/>
            </w:tcMar>
          </w:tcPr>
          <w:p w14:paraId="5C0B68D1" w14:textId="77777777" w:rsidR="001C08A5" w:rsidRDefault="00000000">
            <w:pPr>
              <w:jc w:val="center"/>
              <w:rPr>
                <w:b/>
                <w:bCs/>
                <w:i/>
                <w:sz w:val="22"/>
                <w:szCs w:val="22"/>
              </w:rPr>
            </w:pPr>
            <w:r>
              <w:rPr>
                <w:b/>
                <w:bCs/>
                <w:i/>
                <w:sz w:val="22"/>
                <w:szCs w:val="22"/>
                <w:lang w:val="en-US" w:eastAsia="zh-CN" w:bidi="ar"/>
              </w:rPr>
              <w:t>Nelimitat</w:t>
            </w:r>
          </w:p>
        </w:tc>
        <w:tc>
          <w:tcPr>
            <w:tcW w:w="1215" w:type="dxa"/>
            <w:tcMar>
              <w:top w:w="0" w:type="dxa"/>
              <w:left w:w="0" w:type="dxa"/>
              <w:bottom w:w="0" w:type="dxa"/>
              <w:right w:w="0" w:type="dxa"/>
            </w:tcMar>
          </w:tcPr>
          <w:p w14:paraId="3CC0FC15" w14:textId="77777777" w:rsidR="001C08A5" w:rsidRDefault="00000000">
            <w:pPr>
              <w:jc w:val="center"/>
              <w:rPr>
                <w:b/>
                <w:bCs/>
                <w:i/>
                <w:sz w:val="22"/>
                <w:szCs w:val="22"/>
              </w:rPr>
            </w:pPr>
            <w:r>
              <w:rPr>
                <w:b/>
                <w:bCs/>
                <w:i/>
                <w:sz w:val="22"/>
                <w:szCs w:val="22"/>
                <w:lang w:val="en-US" w:eastAsia="zh-CN" w:bidi="ar"/>
              </w:rPr>
              <w:t>5000</w:t>
            </w:r>
          </w:p>
        </w:tc>
        <w:tc>
          <w:tcPr>
            <w:tcW w:w="1204" w:type="dxa"/>
            <w:tcMar>
              <w:top w:w="0" w:type="dxa"/>
              <w:left w:w="0" w:type="dxa"/>
              <w:bottom w:w="0" w:type="dxa"/>
              <w:right w:w="0" w:type="dxa"/>
            </w:tcMar>
          </w:tcPr>
          <w:p w14:paraId="52938985" w14:textId="77777777" w:rsidR="001C08A5" w:rsidRDefault="00000000">
            <w:pPr>
              <w:jc w:val="center"/>
              <w:rPr>
                <w:b/>
                <w:bCs/>
                <w:i/>
                <w:sz w:val="22"/>
                <w:szCs w:val="22"/>
              </w:rPr>
            </w:pPr>
            <w:r>
              <w:rPr>
                <w:b/>
                <w:bCs/>
                <w:i/>
                <w:sz w:val="22"/>
                <w:szCs w:val="22"/>
                <w:lang w:val="en-US" w:eastAsia="zh-CN" w:bidi="ar"/>
              </w:rPr>
              <w:t>1000</w:t>
            </w:r>
          </w:p>
        </w:tc>
      </w:tr>
      <w:tr w:rsidR="001C08A5" w14:paraId="51A5D90D" w14:textId="77777777">
        <w:trPr>
          <w:trHeight w:val="345"/>
          <w:jc w:val="center"/>
        </w:trPr>
        <w:tc>
          <w:tcPr>
            <w:tcW w:w="4140" w:type="dxa"/>
            <w:vMerge/>
            <w:tcMar>
              <w:top w:w="0" w:type="dxa"/>
              <w:left w:w="0" w:type="dxa"/>
              <w:bottom w:w="0" w:type="dxa"/>
              <w:right w:w="0" w:type="dxa"/>
            </w:tcMar>
          </w:tcPr>
          <w:p w14:paraId="4D05E4EF" w14:textId="77777777" w:rsidR="001C08A5" w:rsidRDefault="001C08A5">
            <w:pPr>
              <w:jc w:val="center"/>
              <w:rPr>
                <w:b/>
                <w:bCs/>
                <w:i/>
                <w:sz w:val="22"/>
                <w:szCs w:val="22"/>
              </w:rPr>
            </w:pPr>
          </w:p>
        </w:tc>
        <w:tc>
          <w:tcPr>
            <w:tcW w:w="1294" w:type="dxa"/>
            <w:tcMar>
              <w:top w:w="0" w:type="dxa"/>
              <w:left w:w="0" w:type="dxa"/>
              <w:bottom w:w="0" w:type="dxa"/>
              <w:right w:w="0" w:type="dxa"/>
            </w:tcMar>
          </w:tcPr>
          <w:p w14:paraId="762C8FAC" w14:textId="77777777" w:rsidR="001C08A5" w:rsidRDefault="00000000">
            <w:pPr>
              <w:jc w:val="center"/>
              <w:rPr>
                <w:b/>
                <w:bCs/>
                <w:i/>
                <w:sz w:val="22"/>
                <w:szCs w:val="22"/>
              </w:rPr>
            </w:pPr>
            <w:r>
              <w:rPr>
                <w:b/>
                <w:bCs/>
                <w:i/>
                <w:sz w:val="22"/>
                <w:szCs w:val="22"/>
                <w:lang w:val="en-US" w:eastAsia="zh-CN" w:bidi="ar"/>
              </w:rPr>
              <w:t>S2</w:t>
            </w:r>
          </w:p>
        </w:tc>
        <w:tc>
          <w:tcPr>
            <w:tcW w:w="1324" w:type="dxa"/>
            <w:vMerge/>
            <w:tcMar>
              <w:top w:w="0" w:type="dxa"/>
              <w:left w:w="0" w:type="dxa"/>
              <w:bottom w:w="0" w:type="dxa"/>
              <w:right w:w="0" w:type="dxa"/>
            </w:tcMar>
          </w:tcPr>
          <w:p w14:paraId="26909F8A" w14:textId="77777777" w:rsidR="001C08A5" w:rsidRDefault="001C08A5">
            <w:pPr>
              <w:jc w:val="center"/>
              <w:rPr>
                <w:b/>
                <w:bCs/>
                <w:i/>
                <w:sz w:val="22"/>
                <w:szCs w:val="22"/>
              </w:rPr>
            </w:pPr>
          </w:p>
        </w:tc>
        <w:tc>
          <w:tcPr>
            <w:tcW w:w="1215" w:type="dxa"/>
            <w:tcMar>
              <w:top w:w="0" w:type="dxa"/>
              <w:left w:w="0" w:type="dxa"/>
              <w:bottom w:w="0" w:type="dxa"/>
              <w:right w:w="0" w:type="dxa"/>
            </w:tcMar>
          </w:tcPr>
          <w:p w14:paraId="154533E6" w14:textId="77777777" w:rsidR="001C08A5" w:rsidRDefault="00000000">
            <w:pPr>
              <w:jc w:val="center"/>
              <w:rPr>
                <w:b/>
                <w:bCs/>
                <w:i/>
                <w:sz w:val="22"/>
                <w:szCs w:val="22"/>
              </w:rPr>
            </w:pPr>
            <w:r>
              <w:rPr>
                <w:b/>
                <w:bCs/>
                <w:i/>
                <w:sz w:val="22"/>
                <w:szCs w:val="22"/>
                <w:lang w:val="en-US" w:eastAsia="zh-CN" w:bidi="ar"/>
              </w:rPr>
              <w:t>Nelimitat</w:t>
            </w:r>
          </w:p>
        </w:tc>
        <w:tc>
          <w:tcPr>
            <w:tcW w:w="1204" w:type="dxa"/>
            <w:tcMar>
              <w:top w:w="0" w:type="dxa"/>
              <w:left w:w="0" w:type="dxa"/>
              <w:bottom w:w="0" w:type="dxa"/>
              <w:right w:w="0" w:type="dxa"/>
            </w:tcMar>
          </w:tcPr>
          <w:p w14:paraId="1AE4ABF7" w14:textId="77777777" w:rsidR="001C08A5" w:rsidRDefault="00000000">
            <w:pPr>
              <w:jc w:val="center"/>
              <w:rPr>
                <w:b/>
                <w:bCs/>
                <w:i/>
                <w:sz w:val="22"/>
                <w:szCs w:val="22"/>
              </w:rPr>
            </w:pPr>
            <w:r>
              <w:rPr>
                <w:b/>
                <w:bCs/>
                <w:i/>
                <w:sz w:val="22"/>
                <w:szCs w:val="22"/>
                <w:lang w:val="en-US" w:eastAsia="zh-CN" w:bidi="ar"/>
              </w:rPr>
              <w:t>1500</w:t>
            </w:r>
          </w:p>
        </w:tc>
      </w:tr>
      <w:tr w:rsidR="001C08A5" w14:paraId="2DAD894B" w14:textId="77777777">
        <w:trPr>
          <w:trHeight w:val="495"/>
          <w:jc w:val="center"/>
        </w:trPr>
        <w:tc>
          <w:tcPr>
            <w:tcW w:w="4140" w:type="dxa"/>
            <w:vMerge w:val="restart"/>
            <w:tcMar>
              <w:top w:w="0" w:type="dxa"/>
              <w:left w:w="0" w:type="dxa"/>
              <w:bottom w:w="0" w:type="dxa"/>
              <w:right w:w="0" w:type="dxa"/>
            </w:tcMar>
          </w:tcPr>
          <w:p w14:paraId="6284BC02" w14:textId="77777777" w:rsidR="001C08A5" w:rsidRDefault="00000000">
            <w:pPr>
              <w:jc w:val="center"/>
              <w:rPr>
                <w:b/>
                <w:bCs/>
                <w:i/>
                <w:sz w:val="22"/>
                <w:szCs w:val="22"/>
              </w:rPr>
            </w:pPr>
            <w:r>
              <w:rPr>
                <w:b/>
                <w:bCs/>
                <w:i/>
                <w:sz w:val="22"/>
                <w:szCs w:val="22"/>
                <w:lang w:val="en-US" w:eastAsia="zh-CN" w:bidi="ar"/>
              </w:rPr>
              <w:t xml:space="preserve">Alipită pe o latură la construcții </w:t>
            </w:r>
            <w:r>
              <w:rPr>
                <w:rFonts w:eastAsia="Calibri"/>
                <w:b/>
                <w:bCs/>
                <w:i/>
                <w:sz w:val="22"/>
                <w:szCs w:val="22"/>
                <w:shd w:val="clear" w:color="auto" w:fill="FFFFFF"/>
              </w:rPr>
              <w:t xml:space="preserve">existente </w:t>
            </w:r>
            <w:r>
              <w:rPr>
                <w:b/>
                <w:bCs/>
                <w:i/>
                <w:sz w:val="22"/>
                <w:szCs w:val="22"/>
                <w:lang w:val="en-US" w:eastAsia="zh-CN" w:bidi="ar"/>
              </w:rPr>
              <w:t>cu alte destinații sau mai multe săli aglomerate comasate într-o clădire</w:t>
            </w:r>
            <w:r>
              <w:rPr>
                <w:b/>
                <w:bCs/>
                <w:i/>
                <w:sz w:val="22"/>
                <w:szCs w:val="22"/>
                <w:lang w:eastAsia="zh-CN" w:bidi="ar"/>
              </w:rPr>
              <w:t xml:space="preserve"> </w:t>
            </w:r>
            <w:r>
              <w:rPr>
                <w:rFonts w:eastAsia="Calibri"/>
                <w:b/>
                <w:bCs/>
                <w:i/>
                <w:sz w:val="22"/>
                <w:szCs w:val="22"/>
                <w:shd w:val="clear" w:color="auto" w:fill="FFFFFF"/>
              </w:rPr>
              <w:t>existentă</w:t>
            </w:r>
          </w:p>
        </w:tc>
        <w:tc>
          <w:tcPr>
            <w:tcW w:w="1294" w:type="dxa"/>
            <w:tcMar>
              <w:top w:w="0" w:type="dxa"/>
              <w:left w:w="0" w:type="dxa"/>
              <w:bottom w:w="0" w:type="dxa"/>
              <w:right w:w="0" w:type="dxa"/>
            </w:tcMar>
          </w:tcPr>
          <w:p w14:paraId="192D9556" w14:textId="77777777" w:rsidR="001C08A5" w:rsidRDefault="00000000">
            <w:pPr>
              <w:jc w:val="center"/>
              <w:rPr>
                <w:b/>
                <w:bCs/>
                <w:i/>
                <w:sz w:val="22"/>
                <w:szCs w:val="22"/>
              </w:rPr>
            </w:pPr>
            <w:r>
              <w:rPr>
                <w:b/>
                <w:bCs/>
                <w:i/>
                <w:sz w:val="22"/>
                <w:szCs w:val="22"/>
                <w:lang w:val="en-US" w:eastAsia="zh-CN" w:bidi="ar"/>
              </w:rPr>
              <w:t>S1</w:t>
            </w:r>
          </w:p>
        </w:tc>
        <w:tc>
          <w:tcPr>
            <w:tcW w:w="1324" w:type="dxa"/>
            <w:tcMar>
              <w:top w:w="0" w:type="dxa"/>
              <w:left w:w="0" w:type="dxa"/>
              <w:bottom w:w="0" w:type="dxa"/>
              <w:right w:w="0" w:type="dxa"/>
            </w:tcMar>
          </w:tcPr>
          <w:p w14:paraId="04C6BA58" w14:textId="77777777" w:rsidR="001C08A5" w:rsidRDefault="00000000">
            <w:pPr>
              <w:jc w:val="center"/>
              <w:rPr>
                <w:b/>
                <w:bCs/>
                <w:i/>
                <w:sz w:val="22"/>
                <w:szCs w:val="22"/>
              </w:rPr>
            </w:pPr>
            <w:r>
              <w:rPr>
                <w:b/>
                <w:bCs/>
                <w:i/>
                <w:sz w:val="22"/>
                <w:szCs w:val="22"/>
                <w:lang w:val="en-US" w:eastAsia="zh-CN" w:bidi="ar"/>
              </w:rPr>
              <w:t>5000</w:t>
            </w:r>
          </w:p>
        </w:tc>
        <w:tc>
          <w:tcPr>
            <w:tcW w:w="1215" w:type="dxa"/>
            <w:tcMar>
              <w:top w:w="0" w:type="dxa"/>
              <w:left w:w="0" w:type="dxa"/>
              <w:bottom w:w="0" w:type="dxa"/>
              <w:right w:w="0" w:type="dxa"/>
            </w:tcMar>
          </w:tcPr>
          <w:p w14:paraId="56E77AFD" w14:textId="77777777" w:rsidR="001C08A5" w:rsidRDefault="00000000">
            <w:pPr>
              <w:jc w:val="center"/>
              <w:rPr>
                <w:b/>
                <w:bCs/>
                <w:i/>
                <w:sz w:val="22"/>
                <w:szCs w:val="22"/>
              </w:rPr>
            </w:pPr>
            <w:r>
              <w:rPr>
                <w:b/>
                <w:bCs/>
                <w:i/>
                <w:sz w:val="22"/>
                <w:szCs w:val="22"/>
                <w:lang w:val="en-US" w:eastAsia="zh-CN" w:bidi="ar"/>
              </w:rPr>
              <w:t>2000</w:t>
            </w:r>
          </w:p>
        </w:tc>
        <w:tc>
          <w:tcPr>
            <w:tcW w:w="1204" w:type="dxa"/>
            <w:tcMar>
              <w:top w:w="0" w:type="dxa"/>
              <w:left w:w="0" w:type="dxa"/>
              <w:bottom w:w="0" w:type="dxa"/>
              <w:right w:w="0" w:type="dxa"/>
            </w:tcMar>
          </w:tcPr>
          <w:p w14:paraId="09661E85" w14:textId="77777777" w:rsidR="001C08A5" w:rsidRDefault="00000000">
            <w:pPr>
              <w:jc w:val="center"/>
              <w:rPr>
                <w:b/>
                <w:bCs/>
                <w:i/>
                <w:sz w:val="22"/>
                <w:szCs w:val="22"/>
              </w:rPr>
            </w:pPr>
            <w:r>
              <w:rPr>
                <w:b/>
                <w:bCs/>
                <w:i/>
                <w:sz w:val="22"/>
                <w:szCs w:val="22"/>
                <w:lang w:val="en-US" w:eastAsia="zh-CN" w:bidi="ar"/>
              </w:rPr>
              <w:t>1000</w:t>
            </w:r>
          </w:p>
        </w:tc>
      </w:tr>
      <w:tr w:rsidR="001C08A5" w14:paraId="117C8E5D" w14:textId="77777777">
        <w:trPr>
          <w:trHeight w:val="350"/>
          <w:jc w:val="center"/>
        </w:trPr>
        <w:tc>
          <w:tcPr>
            <w:tcW w:w="4140" w:type="dxa"/>
            <w:vMerge/>
            <w:tcMar>
              <w:top w:w="0" w:type="dxa"/>
              <w:left w:w="0" w:type="dxa"/>
              <w:bottom w:w="0" w:type="dxa"/>
              <w:right w:w="0" w:type="dxa"/>
            </w:tcMar>
          </w:tcPr>
          <w:p w14:paraId="7578C5D4" w14:textId="77777777" w:rsidR="001C08A5" w:rsidRDefault="001C08A5">
            <w:pPr>
              <w:jc w:val="center"/>
              <w:rPr>
                <w:b/>
                <w:bCs/>
                <w:i/>
                <w:sz w:val="22"/>
                <w:szCs w:val="22"/>
              </w:rPr>
            </w:pPr>
          </w:p>
        </w:tc>
        <w:tc>
          <w:tcPr>
            <w:tcW w:w="1294" w:type="dxa"/>
            <w:tcMar>
              <w:top w:w="0" w:type="dxa"/>
              <w:left w:w="0" w:type="dxa"/>
              <w:bottom w:w="0" w:type="dxa"/>
              <w:right w:w="0" w:type="dxa"/>
            </w:tcMar>
          </w:tcPr>
          <w:p w14:paraId="354A5013" w14:textId="77777777" w:rsidR="001C08A5" w:rsidRDefault="00000000">
            <w:pPr>
              <w:jc w:val="center"/>
              <w:rPr>
                <w:b/>
                <w:bCs/>
                <w:i/>
                <w:sz w:val="22"/>
                <w:szCs w:val="22"/>
              </w:rPr>
            </w:pPr>
            <w:r>
              <w:rPr>
                <w:b/>
                <w:bCs/>
                <w:i/>
                <w:sz w:val="22"/>
                <w:szCs w:val="22"/>
                <w:lang w:val="en-US" w:eastAsia="zh-CN" w:bidi="ar"/>
              </w:rPr>
              <w:t>S2</w:t>
            </w:r>
          </w:p>
        </w:tc>
        <w:tc>
          <w:tcPr>
            <w:tcW w:w="1324" w:type="dxa"/>
            <w:tcMar>
              <w:top w:w="0" w:type="dxa"/>
              <w:left w:w="0" w:type="dxa"/>
              <w:bottom w:w="0" w:type="dxa"/>
              <w:right w:w="0" w:type="dxa"/>
            </w:tcMar>
          </w:tcPr>
          <w:p w14:paraId="7EEEBEB1" w14:textId="77777777" w:rsidR="001C08A5" w:rsidRDefault="00000000">
            <w:pPr>
              <w:jc w:val="center"/>
              <w:rPr>
                <w:b/>
                <w:bCs/>
                <w:i/>
                <w:sz w:val="22"/>
                <w:szCs w:val="22"/>
              </w:rPr>
            </w:pPr>
            <w:r>
              <w:rPr>
                <w:b/>
                <w:bCs/>
                <w:i/>
                <w:sz w:val="22"/>
                <w:szCs w:val="22"/>
                <w:lang w:val="en-US" w:eastAsia="zh-CN" w:bidi="ar"/>
              </w:rPr>
              <w:t>6000</w:t>
            </w:r>
          </w:p>
        </w:tc>
        <w:tc>
          <w:tcPr>
            <w:tcW w:w="1215" w:type="dxa"/>
            <w:tcMar>
              <w:top w:w="0" w:type="dxa"/>
              <w:left w:w="0" w:type="dxa"/>
              <w:bottom w:w="0" w:type="dxa"/>
              <w:right w:w="0" w:type="dxa"/>
            </w:tcMar>
          </w:tcPr>
          <w:p w14:paraId="28168BAE" w14:textId="77777777" w:rsidR="001C08A5" w:rsidRDefault="00000000">
            <w:pPr>
              <w:jc w:val="center"/>
              <w:rPr>
                <w:b/>
                <w:bCs/>
                <w:i/>
                <w:sz w:val="22"/>
                <w:szCs w:val="22"/>
              </w:rPr>
            </w:pPr>
            <w:r>
              <w:rPr>
                <w:b/>
                <w:bCs/>
                <w:i/>
                <w:sz w:val="22"/>
                <w:szCs w:val="22"/>
                <w:lang w:val="en-US" w:eastAsia="zh-CN" w:bidi="ar"/>
              </w:rPr>
              <w:t>4000</w:t>
            </w:r>
          </w:p>
        </w:tc>
        <w:tc>
          <w:tcPr>
            <w:tcW w:w="1204" w:type="dxa"/>
            <w:tcMar>
              <w:top w:w="0" w:type="dxa"/>
              <w:left w:w="0" w:type="dxa"/>
              <w:bottom w:w="0" w:type="dxa"/>
              <w:right w:w="0" w:type="dxa"/>
            </w:tcMar>
          </w:tcPr>
          <w:p w14:paraId="03F963F6" w14:textId="77777777" w:rsidR="001C08A5" w:rsidRDefault="00000000">
            <w:pPr>
              <w:jc w:val="center"/>
              <w:rPr>
                <w:b/>
                <w:bCs/>
                <w:i/>
                <w:sz w:val="22"/>
                <w:szCs w:val="22"/>
              </w:rPr>
            </w:pPr>
            <w:r>
              <w:rPr>
                <w:b/>
                <w:bCs/>
                <w:i/>
                <w:sz w:val="22"/>
                <w:szCs w:val="22"/>
                <w:lang w:val="en-US" w:eastAsia="zh-CN" w:bidi="ar"/>
              </w:rPr>
              <w:t>2000</w:t>
            </w:r>
          </w:p>
        </w:tc>
      </w:tr>
      <w:tr w:rsidR="001C08A5" w14:paraId="16A119C8" w14:textId="77777777">
        <w:trPr>
          <w:trHeight w:val="345"/>
          <w:jc w:val="center"/>
        </w:trPr>
        <w:tc>
          <w:tcPr>
            <w:tcW w:w="4140" w:type="dxa"/>
            <w:vMerge w:val="restart"/>
            <w:tcMar>
              <w:top w:w="0" w:type="dxa"/>
              <w:left w:w="0" w:type="dxa"/>
              <w:bottom w:w="0" w:type="dxa"/>
              <w:right w:w="0" w:type="dxa"/>
            </w:tcMar>
          </w:tcPr>
          <w:p w14:paraId="726E4FE3" w14:textId="77777777" w:rsidR="001C08A5" w:rsidRDefault="00000000">
            <w:pPr>
              <w:jc w:val="center"/>
              <w:rPr>
                <w:b/>
                <w:bCs/>
                <w:i/>
                <w:sz w:val="22"/>
                <w:szCs w:val="22"/>
              </w:rPr>
            </w:pPr>
            <w:r>
              <w:rPr>
                <w:b/>
                <w:bCs/>
                <w:i/>
                <w:sz w:val="22"/>
                <w:szCs w:val="22"/>
                <w:lang w:val="en-US" w:eastAsia="zh-CN" w:bidi="ar"/>
              </w:rPr>
              <w:t xml:space="preserve">Înglobată în construcții </w:t>
            </w:r>
            <w:r>
              <w:rPr>
                <w:rFonts w:eastAsia="Calibri"/>
                <w:b/>
                <w:bCs/>
                <w:i/>
                <w:sz w:val="22"/>
                <w:szCs w:val="22"/>
                <w:shd w:val="clear" w:color="auto" w:fill="FFFFFF"/>
              </w:rPr>
              <w:t xml:space="preserve">existente </w:t>
            </w:r>
            <w:r>
              <w:rPr>
                <w:b/>
                <w:bCs/>
                <w:i/>
                <w:sz w:val="22"/>
                <w:szCs w:val="22"/>
                <w:lang w:val="en-US" w:eastAsia="zh-CN" w:bidi="ar"/>
              </w:rPr>
              <w:t>cu alte destinații</w:t>
            </w:r>
          </w:p>
        </w:tc>
        <w:tc>
          <w:tcPr>
            <w:tcW w:w="1294" w:type="dxa"/>
            <w:tcMar>
              <w:top w:w="0" w:type="dxa"/>
              <w:left w:w="0" w:type="dxa"/>
              <w:bottom w:w="0" w:type="dxa"/>
              <w:right w:w="0" w:type="dxa"/>
            </w:tcMar>
          </w:tcPr>
          <w:p w14:paraId="0CFBA9F5" w14:textId="77777777" w:rsidR="001C08A5" w:rsidRDefault="00000000">
            <w:pPr>
              <w:jc w:val="center"/>
              <w:rPr>
                <w:b/>
                <w:bCs/>
                <w:i/>
                <w:sz w:val="22"/>
                <w:szCs w:val="22"/>
              </w:rPr>
            </w:pPr>
            <w:r>
              <w:rPr>
                <w:b/>
                <w:bCs/>
                <w:i/>
                <w:sz w:val="22"/>
                <w:szCs w:val="22"/>
                <w:lang w:val="en-US" w:eastAsia="zh-CN" w:bidi="ar"/>
              </w:rPr>
              <w:t>S1</w:t>
            </w:r>
          </w:p>
        </w:tc>
        <w:tc>
          <w:tcPr>
            <w:tcW w:w="1324" w:type="dxa"/>
            <w:tcMar>
              <w:top w:w="0" w:type="dxa"/>
              <w:left w:w="0" w:type="dxa"/>
              <w:bottom w:w="0" w:type="dxa"/>
              <w:right w:w="0" w:type="dxa"/>
            </w:tcMar>
          </w:tcPr>
          <w:p w14:paraId="2DB3E476" w14:textId="77777777" w:rsidR="001C08A5" w:rsidRDefault="00000000">
            <w:pPr>
              <w:jc w:val="center"/>
              <w:rPr>
                <w:b/>
                <w:bCs/>
                <w:i/>
                <w:sz w:val="22"/>
                <w:szCs w:val="22"/>
              </w:rPr>
            </w:pPr>
            <w:r>
              <w:rPr>
                <w:b/>
                <w:bCs/>
                <w:i/>
                <w:sz w:val="22"/>
                <w:szCs w:val="22"/>
                <w:lang w:val="en-US" w:eastAsia="zh-CN" w:bidi="ar"/>
              </w:rPr>
              <w:t>3000</w:t>
            </w:r>
          </w:p>
        </w:tc>
        <w:tc>
          <w:tcPr>
            <w:tcW w:w="1215" w:type="dxa"/>
            <w:tcMar>
              <w:top w:w="0" w:type="dxa"/>
              <w:left w:w="0" w:type="dxa"/>
              <w:bottom w:w="0" w:type="dxa"/>
              <w:right w:w="0" w:type="dxa"/>
            </w:tcMar>
          </w:tcPr>
          <w:p w14:paraId="69504F24" w14:textId="77777777" w:rsidR="001C08A5" w:rsidRDefault="00000000">
            <w:pPr>
              <w:jc w:val="center"/>
              <w:rPr>
                <w:b/>
                <w:bCs/>
                <w:i/>
                <w:sz w:val="22"/>
                <w:szCs w:val="22"/>
              </w:rPr>
            </w:pPr>
            <w:r>
              <w:rPr>
                <w:b/>
                <w:bCs/>
                <w:i/>
                <w:sz w:val="22"/>
                <w:szCs w:val="22"/>
                <w:lang w:val="en-US" w:eastAsia="zh-CN" w:bidi="ar"/>
              </w:rPr>
              <w:t>2000</w:t>
            </w:r>
          </w:p>
        </w:tc>
        <w:tc>
          <w:tcPr>
            <w:tcW w:w="1204" w:type="dxa"/>
            <w:tcMar>
              <w:top w:w="0" w:type="dxa"/>
              <w:left w:w="0" w:type="dxa"/>
              <w:bottom w:w="0" w:type="dxa"/>
              <w:right w:w="0" w:type="dxa"/>
            </w:tcMar>
          </w:tcPr>
          <w:p w14:paraId="48F914D5" w14:textId="77777777" w:rsidR="001C08A5" w:rsidRDefault="00000000">
            <w:pPr>
              <w:jc w:val="center"/>
              <w:rPr>
                <w:b/>
                <w:bCs/>
                <w:i/>
                <w:sz w:val="22"/>
                <w:szCs w:val="22"/>
              </w:rPr>
            </w:pPr>
            <w:r>
              <w:rPr>
                <w:b/>
                <w:bCs/>
                <w:i/>
                <w:sz w:val="22"/>
                <w:szCs w:val="22"/>
                <w:lang w:val="en-US" w:eastAsia="zh-CN" w:bidi="ar"/>
              </w:rPr>
              <w:t>1000</w:t>
            </w:r>
          </w:p>
        </w:tc>
      </w:tr>
      <w:tr w:rsidR="001C08A5" w14:paraId="640C50D9" w14:textId="77777777">
        <w:trPr>
          <w:trHeight w:val="360"/>
          <w:jc w:val="center"/>
        </w:trPr>
        <w:tc>
          <w:tcPr>
            <w:tcW w:w="4140" w:type="dxa"/>
            <w:vMerge/>
            <w:tcMar>
              <w:top w:w="0" w:type="dxa"/>
              <w:left w:w="0" w:type="dxa"/>
              <w:bottom w:w="0" w:type="dxa"/>
              <w:right w:w="0" w:type="dxa"/>
            </w:tcMar>
          </w:tcPr>
          <w:p w14:paraId="3D66BE6F" w14:textId="77777777" w:rsidR="001C08A5" w:rsidRDefault="001C08A5">
            <w:pPr>
              <w:jc w:val="center"/>
              <w:rPr>
                <w:b/>
                <w:bCs/>
                <w:i/>
                <w:sz w:val="22"/>
                <w:szCs w:val="22"/>
              </w:rPr>
            </w:pPr>
          </w:p>
        </w:tc>
        <w:tc>
          <w:tcPr>
            <w:tcW w:w="1294" w:type="dxa"/>
            <w:tcMar>
              <w:top w:w="0" w:type="dxa"/>
              <w:left w:w="0" w:type="dxa"/>
              <w:bottom w:w="0" w:type="dxa"/>
              <w:right w:w="0" w:type="dxa"/>
            </w:tcMar>
          </w:tcPr>
          <w:p w14:paraId="29A48BAE" w14:textId="77777777" w:rsidR="001C08A5" w:rsidRDefault="00000000">
            <w:pPr>
              <w:jc w:val="center"/>
              <w:rPr>
                <w:b/>
                <w:bCs/>
                <w:i/>
                <w:sz w:val="22"/>
                <w:szCs w:val="22"/>
              </w:rPr>
            </w:pPr>
            <w:r>
              <w:rPr>
                <w:b/>
                <w:bCs/>
                <w:i/>
                <w:sz w:val="22"/>
                <w:szCs w:val="22"/>
                <w:lang w:val="en-US" w:eastAsia="zh-CN" w:bidi="ar"/>
              </w:rPr>
              <w:t>S2</w:t>
            </w:r>
          </w:p>
        </w:tc>
        <w:tc>
          <w:tcPr>
            <w:tcW w:w="1324" w:type="dxa"/>
            <w:tcMar>
              <w:top w:w="0" w:type="dxa"/>
              <w:left w:w="0" w:type="dxa"/>
              <w:bottom w:w="0" w:type="dxa"/>
              <w:right w:w="0" w:type="dxa"/>
            </w:tcMar>
          </w:tcPr>
          <w:p w14:paraId="288F6682" w14:textId="77777777" w:rsidR="001C08A5" w:rsidRDefault="00000000">
            <w:pPr>
              <w:jc w:val="center"/>
              <w:rPr>
                <w:b/>
                <w:bCs/>
                <w:i/>
                <w:sz w:val="22"/>
                <w:szCs w:val="22"/>
              </w:rPr>
            </w:pPr>
            <w:r>
              <w:rPr>
                <w:b/>
                <w:bCs/>
                <w:i/>
                <w:sz w:val="22"/>
                <w:szCs w:val="22"/>
                <w:lang w:val="en-US" w:eastAsia="zh-CN" w:bidi="ar"/>
              </w:rPr>
              <w:t>5000</w:t>
            </w:r>
          </w:p>
        </w:tc>
        <w:tc>
          <w:tcPr>
            <w:tcW w:w="1215" w:type="dxa"/>
            <w:tcMar>
              <w:top w:w="0" w:type="dxa"/>
              <w:left w:w="0" w:type="dxa"/>
              <w:bottom w:w="0" w:type="dxa"/>
              <w:right w:w="0" w:type="dxa"/>
            </w:tcMar>
          </w:tcPr>
          <w:p w14:paraId="205C49F8" w14:textId="77777777" w:rsidR="001C08A5" w:rsidRDefault="00000000">
            <w:pPr>
              <w:jc w:val="center"/>
              <w:rPr>
                <w:b/>
                <w:bCs/>
                <w:i/>
                <w:sz w:val="22"/>
                <w:szCs w:val="22"/>
              </w:rPr>
            </w:pPr>
            <w:r>
              <w:rPr>
                <w:b/>
                <w:bCs/>
                <w:i/>
                <w:sz w:val="22"/>
                <w:szCs w:val="22"/>
                <w:lang w:val="en-US" w:eastAsia="zh-CN" w:bidi="ar"/>
              </w:rPr>
              <w:t>3000</w:t>
            </w:r>
          </w:p>
        </w:tc>
        <w:tc>
          <w:tcPr>
            <w:tcW w:w="1204" w:type="dxa"/>
            <w:tcMar>
              <w:top w:w="0" w:type="dxa"/>
              <w:left w:w="0" w:type="dxa"/>
              <w:bottom w:w="0" w:type="dxa"/>
              <w:right w:w="0" w:type="dxa"/>
            </w:tcMar>
          </w:tcPr>
          <w:p w14:paraId="0F8E602D" w14:textId="77777777" w:rsidR="001C08A5" w:rsidRDefault="00000000">
            <w:pPr>
              <w:jc w:val="center"/>
              <w:rPr>
                <w:b/>
                <w:bCs/>
                <w:i/>
                <w:sz w:val="22"/>
                <w:szCs w:val="22"/>
              </w:rPr>
            </w:pPr>
            <w:r>
              <w:rPr>
                <w:b/>
                <w:bCs/>
                <w:i/>
                <w:sz w:val="22"/>
                <w:szCs w:val="22"/>
                <w:lang w:val="en-US" w:eastAsia="zh-CN" w:bidi="ar"/>
              </w:rPr>
              <w:t>1500</w:t>
            </w:r>
          </w:p>
        </w:tc>
      </w:tr>
    </w:tbl>
    <w:p w14:paraId="47867F01" w14:textId="77777777" w:rsidR="001C08A5" w:rsidRDefault="001C08A5"/>
    <w:p w14:paraId="0DC331F7" w14:textId="77777777" w:rsidR="001C08A5" w:rsidRDefault="00000000">
      <w:pPr>
        <w:pStyle w:val="Caption"/>
        <w:jc w:val="both"/>
      </w:pPr>
      <w:bookmarkStart w:id="11138" w:name="_Ref15315"/>
      <w:bookmarkStart w:id="11139" w:name="_Toc162360213"/>
      <w:r>
        <w:t xml:space="preserve">Tabelul </w:t>
      </w:r>
      <w:r>
        <w:fldChar w:fldCharType="begin"/>
      </w:r>
      <w:r>
        <w:instrText xml:space="preserve"> SEQ Tabelul \* ARABIC </w:instrText>
      </w:r>
      <w:r>
        <w:fldChar w:fldCharType="separate"/>
      </w:r>
      <w:r>
        <w:t>163</w:t>
      </w:r>
      <w:r>
        <w:fldChar w:fldCharType="end"/>
      </w:r>
      <w:bookmarkStart w:id="11140" w:name="_Toc32568"/>
      <w:bookmarkStart w:id="11141" w:name="_Toc29355"/>
      <w:bookmarkStart w:id="11142" w:name="_Toc3368"/>
      <w:bookmarkStart w:id="11143" w:name="_Toc5201"/>
      <w:bookmarkStart w:id="11144" w:name="_Toc7403"/>
      <w:bookmarkStart w:id="11145" w:name="_Toc32059"/>
      <w:bookmarkStart w:id="11146" w:name="_Toc4349"/>
      <w:bookmarkStart w:id="11147" w:name="_Toc28561"/>
      <w:bookmarkStart w:id="11148" w:name="_Toc8836"/>
      <w:bookmarkStart w:id="11149" w:name="_Toc32145"/>
      <w:bookmarkStart w:id="11150" w:name="_Toc13080"/>
      <w:bookmarkEnd w:id="11138"/>
      <w:r>
        <w:t xml:space="preserve">: </w:t>
      </w:r>
      <w:r>
        <w:rPr>
          <w:bCs/>
        </w:rPr>
        <w:t>Numărul de niveluri supraterane admis în clădiri cu săli aglomerate (porțiunea în care publicul are acces)</w:t>
      </w:r>
      <w:bookmarkEnd w:id="11139"/>
      <w:bookmarkEnd w:id="11140"/>
      <w:bookmarkEnd w:id="11141"/>
      <w:bookmarkEnd w:id="11142"/>
      <w:bookmarkEnd w:id="11143"/>
      <w:bookmarkEnd w:id="11144"/>
      <w:bookmarkEnd w:id="11145"/>
      <w:bookmarkEnd w:id="11146"/>
      <w:bookmarkEnd w:id="11147"/>
      <w:bookmarkEnd w:id="11148"/>
      <w:bookmarkEnd w:id="11149"/>
      <w:bookmarkEnd w:id="11150"/>
    </w:p>
    <w:tbl>
      <w:tblPr>
        <w:tblW w:w="68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22"/>
        <w:gridCol w:w="1915"/>
        <w:gridCol w:w="1679"/>
        <w:gridCol w:w="1900"/>
      </w:tblGrid>
      <w:tr w:rsidR="001C08A5" w14:paraId="0C134390" w14:textId="77777777">
        <w:trPr>
          <w:trHeight w:val="555"/>
          <w:jc w:val="center"/>
        </w:trPr>
        <w:tc>
          <w:tcPr>
            <w:tcW w:w="1322" w:type="dxa"/>
            <w:vMerge w:val="restart"/>
            <w:tcMar>
              <w:top w:w="0" w:type="dxa"/>
              <w:left w:w="0" w:type="dxa"/>
              <w:bottom w:w="0" w:type="dxa"/>
              <w:right w:w="0" w:type="dxa"/>
            </w:tcMar>
            <w:vAlign w:val="center"/>
          </w:tcPr>
          <w:p w14:paraId="14609A17" w14:textId="77777777" w:rsidR="001C08A5" w:rsidRDefault="00000000">
            <w:pPr>
              <w:jc w:val="center"/>
              <w:rPr>
                <w:b/>
                <w:bCs/>
                <w:i/>
                <w:sz w:val="22"/>
                <w:szCs w:val="22"/>
              </w:rPr>
            </w:pPr>
            <w:r>
              <w:rPr>
                <w:b/>
                <w:bCs/>
                <w:i/>
                <w:sz w:val="22"/>
                <w:szCs w:val="22"/>
                <w:lang w:val="en-US" w:eastAsia="zh-CN" w:bidi="ar"/>
              </w:rPr>
              <w:t>Categoria sălii</w:t>
            </w:r>
            <w:r>
              <w:rPr>
                <w:b/>
                <w:bCs/>
                <w:i/>
                <w:sz w:val="22"/>
                <w:szCs w:val="22"/>
                <w:lang w:eastAsia="zh-CN" w:bidi="ar"/>
              </w:rPr>
              <w:t xml:space="preserve"> aglomerate </w:t>
            </w:r>
            <w:r>
              <w:rPr>
                <w:rFonts w:eastAsia="Calibri"/>
                <w:b/>
                <w:bCs/>
                <w:i/>
                <w:sz w:val="22"/>
                <w:szCs w:val="22"/>
                <w:shd w:val="clear" w:color="auto" w:fill="FFFFFF"/>
              </w:rPr>
              <w:t xml:space="preserve">existente </w:t>
            </w:r>
          </w:p>
        </w:tc>
        <w:tc>
          <w:tcPr>
            <w:tcW w:w="5494" w:type="dxa"/>
            <w:gridSpan w:val="3"/>
            <w:tcMar>
              <w:top w:w="0" w:type="dxa"/>
              <w:left w:w="0" w:type="dxa"/>
              <w:bottom w:w="0" w:type="dxa"/>
              <w:right w:w="0" w:type="dxa"/>
            </w:tcMar>
            <w:vAlign w:val="center"/>
          </w:tcPr>
          <w:p w14:paraId="59041129" w14:textId="77777777" w:rsidR="001C08A5" w:rsidRDefault="00000000">
            <w:pPr>
              <w:jc w:val="center"/>
              <w:rPr>
                <w:b/>
                <w:bCs/>
                <w:i/>
                <w:sz w:val="22"/>
                <w:szCs w:val="22"/>
              </w:rPr>
            </w:pPr>
            <w:r>
              <w:rPr>
                <w:b/>
                <w:bCs/>
                <w:i/>
                <w:sz w:val="22"/>
                <w:szCs w:val="22"/>
                <w:lang w:val="en-US" w:eastAsia="zh-CN" w:bidi="ar"/>
              </w:rPr>
              <w:t xml:space="preserve">Numărul maxim de niveluri supraterane admis în clădiri </w:t>
            </w:r>
            <w:r>
              <w:rPr>
                <w:rFonts w:eastAsia="Calibri"/>
                <w:b/>
                <w:bCs/>
                <w:i/>
                <w:sz w:val="22"/>
                <w:szCs w:val="22"/>
                <w:shd w:val="clear" w:color="auto" w:fill="FFFFFF"/>
              </w:rPr>
              <w:t xml:space="preserve">existente </w:t>
            </w:r>
            <w:r>
              <w:rPr>
                <w:b/>
                <w:bCs/>
                <w:i/>
                <w:sz w:val="22"/>
                <w:szCs w:val="22"/>
                <w:lang w:val="en-US" w:eastAsia="zh-CN" w:bidi="ar"/>
              </w:rPr>
              <w:t xml:space="preserve">având </w:t>
            </w:r>
            <w:r>
              <w:rPr>
                <w:rFonts w:eastAsia="Calibri"/>
                <w:b/>
                <w:bCs/>
                <w:i/>
                <w:sz w:val="22"/>
                <w:szCs w:val="22"/>
                <w:shd w:val="clear" w:color="auto" w:fill="FFFFFF"/>
              </w:rPr>
              <w:t>nivelul de stabilitate la incendiu</w:t>
            </w:r>
          </w:p>
        </w:tc>
      </w:tr>
      <w:tr w:rsidR="001C08A5" w14:paraId="04089E4E" w14:textId="77777777">
        <w:trPr>
          <w:trHeight w:val="345"/>
          <w:jc w:val="center"/>
        </w:trPr>
        <w:tc>
          <w:tcPr>
            <w:tcW w:w="1322" w:type="dxa"/>
            <w:vMerge/>
            <w:tcMar>
              <w:top w:w="0" w:type="dxa"/>
              <w:left w:w="0" w:type="dxa"/>
              <w:bottom w:w="0" w:type="dxa"/>
              <w:right w:w="0" w:type="dxa"/>
            </w:tcMar>
            <w:vAlign w:val="center"/>
          </w:tcPr>
          <w:p w14:paraId="5A13B3D8" w14:textId="77777777" w:rsidR="001C08A5" w:rsidRDefault="001C08A5">
            <w:pPr>
              <w:jc w:val="center"/>
              <w:rPr>
                <w:b/>
                <w:bCs/>
                <w:i/>
                <w:sz w:val="22"/>
                <w:szCs w:val="22"/>
              </w:rPr>
            </w:pPr>
          </w:p>
        </w:tc>
        <w:tc>
          <w:tcPr>
            <w:tcW w:w="1915" w:type="dxa"/>
            <w:tcMar>
              <w:top w:w="0" w:type="dxa"/>
              <w:left w:w="0" w:type="dxa"/>
              <w:bottom w:w="0" w:type="dxa"/>
              <w:right w:w="0" w:type="dxa"/>
            </w:tcMar>
            <w:vAlign w:val="center"/>
          </w:tcPr>
          <w:p w14:paraId="40E738B7" w14:textId="77777777" w:rsidR="001C08A5" w:rsidRDefault="00000000">
            <w:pPr>
              <w:jc w:val="center"/>
              <w:rPr>
                <w:b/>
                <w:bCs/>
                <w:i/>
                <w:sz w:val="22"/>
                <w:szCs w:val="22"/>
              </w:rPr>
            </w:pPr>
            <w:r>
              <w:rPr>
                <w:b/>
                <w:bCs/>
                <w:i/>
                <w:sz w:val="22"/>
                <w:szCs w:val="22"/>
                <w:lang w:val="en-US" w:eastAsia="zh-CN" w:bidi="ar"/>
              </w:rPr>
              <w:t>I</w:t>
            </w:r>
          </w:p>
        </w:tc>
        <w:tc>
          <w:tcPr>
            <w:tcW w:w="1679" w:type="dxa"/>
            <w:tcMar>
              <w:top w:w="0" w:type="dxa"/>
              <w:left w:w="0" w:type="dxa"/>
              <w:bottom w:w="0" w:type="dxa"/>
              <w:right w:w="0" w:type="dxa"/>
            </w:tcMar>
            <w:vAlign w:val="center"/>
          </w:tcPr>
          <w:p w14:paraId="017796C2" w14:textId="77777777" w:rsidR="001C08A5" w:rsidRDefault="00000000">
            <w:pPr>
              <w:jc w:val="center"/>
              <w:rPr>
                <w:b/>
                <w:bCs/>
                <w:i/>
                <w:sz w:val="22"/>
                <w:szCs w:val="22"/>
              </w:rPr>
            </w:pPr>
            <w:r>
              <w:rPr>
                <w:b/>
                <w:bCs/>
                <w:i/>
                <w:sz w:val="22"/>
                <w:szCs w:val="22"/>
                <w:lang w:val="en-US" w:eastAsia="zh-CN" w:bidi="ar"/>
              </w:rPr>
              <w:t>II</w:t>
            </w:r>
          </w:p>
        </w:tc>
        <w:tc>
          <w:tcPr>
            <w:tcW w:w="1900" w:type="dxa"/>
            <w:tcMar>
              <w:top w:w="0" w:type="dxa"/>
              <w:left w:w="0" w:type="dxa"/>
              <w:bottom w:w="0" w:type="dxa"/>
              <w:right w:w="0" w:type="dxa"/>
            </w:tcMar>
            <w:vAlign w:val="center"/>
          </w:tcPr>
          <w:p w14:paraId="63DF2E85" w14:textId="77777777" w:rsidR="001C08A5" w:rsidRDefault="00000000">
            <w:pPr>
              <w:jc w:val="center"/>
              <w:rPr>
                <w:b/>
                <w:bCs/>
                <w:i/>
                <w:sz w:val="22"/>
                <w:szCs w:val="22"/>
              </w:rPr>
            </w:pPr>
            <w:r>
              <w:rPr>
                <w:b/>
                <w:bCs/>
                <w:i/>
                <w:sz w:val="22"/>
                <w:szCs w:val="22"/>
                <w:lang w:val="en-US" w:eastAsia="zh-CN" w:bidi="ar"/>
              </w:rPr>
              <w:t>III</w:t>
            </w:r>
          </w:p>
        </w:tc>
      </w:tr>
      <w:tr w:rsidR="001C08A5" w14:paraId="0692B61A" w14:textId="77777777">
        <w:trPr>
          <w:trHeight w:val="345"/>
          <w:jc w:val="center"/>
        </w:trPr>
        <w:tc>
          <w:tcPr>
            <w:tcW w:w="1322" w:type="dxa"/>
            <w:tcMar>
              <w:top w:w="0" w:type="dxa"/>
              <w:left w:w="0" w:type="dxa"/>
              <w:bottom w:w="0" w:type="dxa"/>
              <w:right w:w="0" w:type="dxa"/>
            </w:tcMar>
          </w:tcPr>
          <w:p w14:paraId="59ADCA2F" w14:textId="77777777" w:rsidR="001C08A5" w:rsidRDefault="00000000">
            <w:pPr>
              <w:jc w:val="center"/>
              <w:rPr>
                <w:b/>
                <w:bCs/>
                <w:i/>
                <w:sz w:val="22"/>
                <w:szCs w:val="22"/>
              </w:rPr>
            </w:pPr>
            <w:r>
              <w:rPr>
                <w:b/>
                <w:bCs/>
                <w:i/>
                <w:sz w:val="22"/>
                <w:szCs w:val="22"/>
                <w:lang w:val="en-US" w:eastAsia="zh-CN" w:bidi="ar"/>
              </w:rPr>
              <w:t>S1</w:t>
            </w:r>
          </w:p>
        </w:tc>
        <w:tc>
          <w:tcPr>
            <w:tcW w:w="1915" w:type="dxa"/>
            <w:tcMar>
              <w:top w:w="0" w:type="dxa"/>
              <w:left w:w="0" w:type="dxa"/>
              <w:bottom w:w="0" w:type="dxa"/>
              <w:right w:w="0" w:type="dxa"/>
            </w:tcMar>
          </w:tcPr>
          <w:p w14:paraId="7B326196" w14:textId="77777777" w:rsidR="001C08A5" w:rsidRDefault="00000000">
            <w:pPr>
              <w:jc w:val="center"/>
              <w:rPr>
                <w:b/>
                <w:bCs/>
                <w:i/>
                <w:sz w:val="22"/>
                <w:szCs w:val="22"/>
              </w:rPr>
            </w:pPr>
            <w:r>
              <w:rPr>
                <w:b/>
                <w:bCs/>
                <w:i/>
                <w:sz w:val="22"/>
                <w:szCs w:val="22"/>
                <w:lang w:val="en-US" w:eastAsia="zh-CN" w:bidi="ar"/>
              </w:rPr>
              <w:t>Nelimitat</w:t>
            </w:r>
          </w:p>
        </w:tc>
        <w:tc>
          <w:tcPr>
            <w:tcW w:w="1679" w:type="dxa"/>
            <w:tcMar>
              <w:top w:w="0" w:type="dxa"/>
              <w:left w:w="0" w:type="dxa"/>
              <w:bottom w:w="0" w:type="dxa"/>
              <w:right w:w="0" w:type="dxa"/>
            </w:tcMar>
          </w:tcPr>
          <w:p w14:paraId="56D6A2A3" w14:textId="77777777" w:rsidR="001C08A5" w:rsidRDefault="00000000">
            <w:pPr>
              <w:jc w:val="center"/>
              <w:rPr>
                <w:b/>
                <w:bCs/>
                <w:i/>
                <w:sz w:val="22"/>
                <w:szCs w:val="22"/>
              </w:rPr>
            </w:pPr>
            <w:r>
              <w:rPr>
                <w:b/>
                <w:bCs/>
                <w:i/>
                <w:sz w:val="22"/>
                <w:szCs w:val="22"/>
                <w:lang w:val="en-US" w:eastAsia="zh-CN" w:bidi="ar"/>
              </w:rPr>
              <w:t>5</w:t>
            </w:r>
          </w:p>
        </w:tc>
        <w:tc>
          <w:tcPr>
            <w:tcW w:w="1900" w:type="dxa"/>
            <w:tcMar>
              <w:top w:w="0" w:type="dxa"/>
              <w:left w:w="0" w:type="dxa"/>
              <w:bottom w:w="0" w:type="dxa"/>
              <w:right w:w="0" w:type="dxa"/>
            </w:tcMar>
          </w:tcPr>
          <w:p w14:paraId="032A3DD5" w14:textId="77777777" w:rsidR="001C08A5" w:rsidRDefault="00000000">
            <w:pPr>
              <w:jc w:val="center"/>
              <w:rPr>
                <w:b/>
                <w:bCs/>
                <w:i/>
                <w:sz w:val="22"/>
                <w:szCs w:val="22"/>
              </w:rPr>
            </w:pPr>
            <w:r>
              <w:rPr>
                <w:b/>
                <w:bCs/>
                <w:i/>
                <w:sz w:val="22"/>
                <w:szCs w:val="22"/>
                <w:lang w:val="en-US" w:eastAsia="zh-CN" w:bidi="ar"/>
              </w:rPr>
              <w:t>2</w:t>
            </w:r>
          </w:p>
        </w:tc>
      </w:tr>
      <w:tr w:rsidR="001C08A5" w14:paraId="23F21A71" w14:textId="77777777">
        <w:trPr>
          <w:trHeight w:val="360"/>
          <w:jc w:val="center"/>
        </w:trPr>
        <w:tc>
          <w:tcPr>
            <w:tcW w:w="1322" w:type="dxa"/>
            <w:tcMar>
              <w:top w:w="0" w:type="dxa"/>
              <w:left w:w="0" w:type="dxa"/>
              <w:bottom w:w="0" w:type="dxa"/>
              <w:right w:w="0" w:type="dxa"/>
            </w:tcMar>
          </w:tcPr>
          <w:p w14:paraId="4560ACE2" w14:textId="77777777" w:rsidR="001C08A5" w:rsidRDefault="00000000">
            <w:pPr>
              <w:jc w:val="center"/>
              <w:rPr>
                <w:b/>
                <w:bCs/>
                <w:i/>
                <w:sz w:val="22"/>
                <w:szCs w:val="22"/>
              </w:rPr>
            </w:pPr>
            <w:r>
              <w:rPr>
                <w:b/>
                <w:bCs/>
                <w:i/>
                <w:sz w:val="22"/>
                <w:szCs w:val="22"/>
                <w:lang w:val="en-US" w:eastAsia="zh-CN" w:bidi="ar"/>
              </w:rPr>
              <w:t>S2</w:t>
            </w:r>
          </w:p>
        </w:tc>
        <w:tc>
          <w:tcPr>
            <w:tcW w:w="1915" w:type="dxa"/>
            <w:tcMar>
              <w:top w:w="0" w:type="dxa"/>
              <w:left w:w="0" w:type="dxa"/>
              <w:bottom w:w="0" w:type="dxa"/>
              <w:right w:w="0" w:type="dxa"/>
            </w:tcMar>
          </w:tcPr>
          <w:p w14:paraId="28D535BB" w14:textId="77777777" w:rsidR="001C08A5" w:rsidRDefault="00000000">
            <w:pPr>
              <w:jc w:val="center"/>
              <w:rPr>
                <w:b/>
                <w:bCs/>
                <w:i/>
                <w:sz w:val="22"/>
                <w:szCs w:val="22"/>
              </w:rPr>
            </w:pPr>
            <w:r>
              <w:rPr>
                <w:b/>
                <w:bCs/>
                <w:i/>
                <w:sz w:val="22"/>
                <w:szCs w:val="22"/>
                <w:lang w:val="en-US" w:eastAsia="zh-CN" w:bidi="ar"/>
              </w:rPr>
              <w:t>Nelimitat</w:t>
            </w:r>
          </w:p>
        </w:tc>
        <w:tc>
          <w:tcPr>
            <w:tcW w:w="1679" w:type="dxa"/>
            <w:tcMar>
              <w:top w:w="0" w:type="dxa"/>
              <w:left w:w="0" w:type="dxa"/>
              <w:bottom w:w="0" w:type="dxa"/>
              <w:right w:w="0" w:type="dxa"/>
            </w:tcMar>
          </w:tcPr>
          <w:p w14:paraId="167B171C" w14:textId="77777777" w:rsidR="001C08A5" w:rsidRDefault="00000000">
            <w:pPr>
              <w:jc w:val="center"/>
              <w:rPr>
                <w:b/>
                <w:bCs/>
                <w:i/>
                <w:sz w:val="22"/>
                <w:szCs w:val="22"/>
              </w:rPr>
            </w:pPr>
            <w:r>
              <w:rPr>
                <w:b/>
                <w:bCs/>
                <w:i/>
                <w:sz w:val="22"/>
                <w:szCs w:val="22"/>
                <w:lang w:val="en-US" w:eastAsia="zh-CN" w:bidi="ar"/>
              </w:rPr>
              <w:t>6</w:t>
            </w:r>
          </w:p>
        </w:tc>
        <w:tc>
          <w:tcPr>
            <w:tcW w:w="1900" w:type="dxa"/>
            <w:tcMar>
              <w:top w:w="0" w:type="dxa"/>
              <w:left w:w="0" w:type="dxa"/>
              <w:bottom w:w="0" w:type="dxa"/>
              <w:right w:w="0" w:type="dxa"/>
            </w:tcMar>
          </w:tcPr>
          <w:p w14:paraId="0B324E4A" w14:textId="77777777" w:rsidR="001C08A5" w:rsidRDefault="00000000">
            <w:pPr>
              <w:jc w:val="center"/>
              <w:rPr>
                <w:b/>
                <w:bCs/>
                <w:i/>
                <w:sz w:val="22"/>
                <w:szCs w:val="22"/>
              </w:rPr>
            </w:pPr>
            <w:r>
              <w:rPr>
                <w:b/>
                <w:bCs/>
                <w:i/>
                <w:sz w:val="22"/>
                <w:szCs w:val="22"/>
                <w:lang w:val="en-US" w:eastAsia="zh-CN" w:bidi="ar"/>
              </w:rPr>
              <w:t>3</w:t>
            </w:r>
          </w:p>
        </w:tc>
      </w:tr>
    </w:tbl>
    <w:p w14:paraId="19ED2550" w14:textId="77777777" w:rsidR="001C08A5" w:rsidRDefault="00000000">
      <w:pPr>
        <w:jc w:val="both"/>
        <w:rPr>
          <w:i/>
          <w:iCs/>
          <w:sz w:val="22"/>
          <w:szCs w:val="22"/>
        </w:rPr>
      </w:pPr>
      <w:r>
        <w:rPr>
          <w:i/>
          <w:iCs/>
          <w:sz w:val="22"/>
          <w:szCs w:val="22"/>
        </w:rPr>
        <w:t>Notă (</w:t>
      </w:r>
      <w:r>
        <w:rPr>
          <w:b/>
          <w:bCs/>
          <w:i/>
          <w:iCs/>
          <w:sz w:val="22"/>
          <w:szCs w:val="22"/>
        </w:rPr>
        <w:fldChar w:fldCharType="begin"/>
      </w:r>
      <w:r>
        <w:rPr>
          <w:b/>
          <w:bCs/>
          <w:i/>
          <w:iCs/>
          <w:sz w:val="22"/>
          <w:szCs w:val="22"/>
        </w:rPr>
        <w:instrText xml:space="preserve"> REF _Ref15305 \h </w:instrText>
      </w:r>
      <w:r>
        <w:rPr>
          <w:b/>
          <w:bCs/>
          <w:i/>
          <w:iCs/>
          <w:sz w:val="22"/>
          <w:szCs w:val="22"/>
        </w:rPr>
      </w:r>
      <w:r>
        <w:rPr>
          <w:b/>
          <w:bCs/>
          <w:i/>
          <w:iCs/>
          <w:sz w:val="22"/>
          <w:szCs w:val="22"/>
        </w:rPr>
        <w:fldChar w:fldCharType="separate"/>
      </w:r>
      <w:r>
        <w:t>Tabelul 162</w:t>
      </w:r>
      <w:r>
        <w:rPr>
          <w:b/>
          <w:bCs/>
          <w:i/>
          <w:iCs/>
          <w:sz w:val="22"/>
          <w:szCs w:val="22"/>
        </w:rPr>
        <w:fldChar w:fldCharType="end"/>
      </w:r>
      <w:r>
        <w:rPr>
          <w:b/>
          <w:bCs/>
          <w:i/>
          <w:iCs/>
          <w:sz w:val="22"/>
          <w:szCs w:val="22"/>
        </w:rPr>
        <w:t xml:space="preserve"> </w:t>
      </w:r>
      <w:r>
        <w:rPr>
          <w:i/>
          <w:iCs/>
          <w:sz w:val="22"/>
          <w:szCs w:val="22"/>
        </w:rPr>
        <w:t>și</w:t>
      </w:r>
      <w:r>
        <w:rPr>
          <w:b/>
          <w:bCs/>
          <w:i/>
          <w:iCs/>
          <w:sz w:val="22"/>
          <w:szCs w:val="22"/>
        </w:rPr>
        <w:t xml:space="preserve"> </w:t>
      </w:r>
      <w:r>
        <w:rPr>
          <w:b/>
          <w:bCs/>
          <w:i/>
          <w:iCs/>
          <w:sz w:val="22"/>
          <w:szCs w:val="22"/>
        </w:rPr>
        <w:fldChar w:fldCharType="begin"/>
      </w:r>
      <w:r>
        <w:rPr>
          <w:b/>
          <w:bCs/>
          <w:i/>
          <w:iCs/>
          <w:sz w:val="22"/>
          <w:szCs w:val="22"/>
        </w:rPr>
        <w:instrText xml:space="preserve"> REF _Ref15315 \h </w:instrText>
      </w:r>
      <w:r>
        <w:rPr>
          <w:b/>
          <w:bCs/>
          <w:i/>
          <w:iCs/>
          <w:sz w:val="22"/>
          <w:szCs w:val="22"/>
        </w:rPr>
      </w:r>
      <w:r>
        <w:rPr>
          <w:b/>
          <w:bCs/>
          <w:i/>
          <w:iCs/>
          <w:sz w:val="22"/>
          <w:szCs w:val="22"/>
        </w:rPr>
        <w:fldChar w:fldCharType="separate"/>
      </w:r>
      <w:r>
        <w:t>Tabelul 163</w:t>
      </w:r>
      <w:r>
        <w:rPr>
          <w:b/>
          <w:bCs/>
          <w:i/>
          <w:iCs/>
          <w:sz w:val="22"/>
          <w:szCs w:val="22"/>
        </w:rPr>
        <w:fldChar w:fldCharType="end"/>
      </w:r>
      <w:r>
        <w:rPr>
          <w:i/>
          <w:iCs/>
          <w:sz w:val="22"/>
          <w:szCs w:val="22"/>
        </w:rPr>
        <w:t>):</w:t>
      </w:r>
    </w:p>
    <w:p w14:paraId="39BD33BF" w14:textId="77777777" w:rsidR="001C08A5" w:rsidRDefault="00000000">
      <w:pPr>
        <w:jc w:val="both"/>
        <w:rPr>
          <w:i/>
          <w:iCs/>
          <w:sz w:val="22"/>
          <w:szCs w:val="22"/>
        </w:rPr>
      </w:pPr>
      <w:r>
        <w:rPr>
          <w:i/>
          <w:iCs/>
          <w:sz w:val="22"/>
          <w:szCs w:val="22"/>
        </w:rPr>
        <w:t>În cazuri justificate tehnic și asigurând măsuri suplimentare de protecție și de îmbunătăţire a cerinței de securitate la incendiu (care se efectuează în baza unei expertize tehnice pentru cerința fundamentală securitate la incendiu),, investitorii pot stabili capacități mai mari sau număr sporit de niveluri, pe proprie răspundere, prin hotărâri scrise ale consiliilor de conducere respective.</w:t>
      </w:r>
    </w:p>
    <w:p w14:paraId="2A76FD61" w14:textId="77777777" w:rsidR="001C08A5" w:rsidRDefault="001C08A5">
      <w:pPr>
        <w:rPr>
          <w:i/>
          <w:iCs/>
          <w:sz w:val="22"/>
          <w:szCs w:val="22"/>
        </w:rPr>
      </w:pPr>
    </w:p>
    <w:p w14:paraId="31E347A8"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4.1.32.</w:t>
      </w:r>
      <w:r>
        <w:rPr>
          <w:rFonts w:eastAsia="Calibri"/>
          <w:i/>
          <w:sz w:val="24"/>
          <w:szCs w:val="24"/>
          <w:shd w:val="clear" w:color="auto" w:fill="FFFFFF"/>
        </w:rPr>
        <w:t> Amenajarea sau realizarea sălilor aglomerate în clădiri existente independente parter, de nivelul de stabilitate la incendiu IV</w:t>
      </w:r>
      <w:r>
        <w:rPr>
          <w:rFonts w:eastAsia="Calibri"/>
          <w:b/>
          <w:bCs/>
          <w:i/>
          <w:sz w:val="24"/>
          <w:szCs w:val="24"/>
          <w:shd w:val="clear" w:color="auto" w:fill="FFFFFF"/>
        </w:rPr>
        <w:t>-</w:t>
      </w:r>
      <w:r>
        <w:rPr>
          <w:rFonts w:eastAsia="Calibri"/>
          <w:i/>
          <w:sz w:val="24"/>
          <w:szCs w:val="24"/>
          <w:shd w:val="clear" w:color="auto" w:fill="FFFFFF"/>
        </w:rPr>
        <w:t> V se admite numai pentru:</w:t>
      </w:r>
    </w:p>
    <w:p w14:paraId="7740D491" w14:textId="77777777" w:rsidR="001C08A5" w:rsidRDefault="00000000">
      <w:pPr>
        <w:shd w:val="clear" w:color="auto" w:fill="FFFFFF"/>
        <w:spacing w:after="150"/>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circuri mobile, magazine și centre comerciale, întruniri, la care se asigură evacuarea rapidă a spectatorilor direct în exterior;</w:t>
      </w:r>
    </w:p>
    <w:p w14:paraId="0D27A508" w14:textId="77777777" w:rsidR="001C08A5" w:rsidRDefault="00000000">
      <w:pPr>
        <w:shd w:val="clear" w:color="auto" w:fill="FFFFFF"/>
        <w:spacing w:after="150"/>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cluburi și discoteci, precum și cinematografe cu funcționare sezonieră având maximum 300 de locuri;</w:t>
      </w:r>
    </w:p>
    <w:p w14:paraId="44F2DC2D" w14:textId="77777777" w:rsidR="001C08A5" w:rsidRDefault="00000000">
      <w:pPr>
        <w:shd w:val="clear" w:color="auto" w:fill="FFFFFF"/>
        <w:spacing w:after="150"/>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expoziții provizorii de importanță locală care nu adăpostesc exponate de valoare, potrivit declarației proprietarului (investitorului).</w:t>
      </w:r>
    </w:p>
    <w:p w14:paraId="33F593F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4.1.33.</w:t>
      </w:r>
      <w:r>
        <w:rPr>
          <w:rFonts w:eastAsia="Calibri"/>
          <w:i/>
          <w:sz w:val="24"/>
          <w:szCs w:val="24"/>
          <w:shd w:val="clear" w:color="auto" w:fill="FFFFFF"/>
        </w:rPr>
        <w:t xml:space="preserve"> Porțiunile de clădire existentă aferente sălilor aglomerate înglobate în clădiri existente cu alte destinații trebuie să fie separate de restul construcției existente prin elemente de construcții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la foc de min. 3 ore pentru pereți (</w:t>
      </w:r>
      <w:r>
        <w:rPr>
          <w:rFonts w:eastAsia="Calibri"/>
          <w:b/>
          <w:bCs/>
          <w:i/>
          <w:sz w:val="24"/>
          <w:szCs w:val="24"/>
          <w:shd w:val="clear" w:color="auto" w:fill="FFFFFF"/>
        </w:rPr>
        <w:t>EI/REI180</w:t>
      </w:r>
      <w:r>
        <w:rPr>
          <w:rFonts w:eastAsia="Calibri"/>
          <w:i/>
          <w:sz w:val="24"/>
          <w:szCs w:val="24"/>
          <w:shd w:val="clear" w:color="auto" w:fill="FFFFFF"/>
        </w:rPr>
        <w:t>) și 1½ ore pentru planșee (</w:t>
      </w:r>
      <w:r>
        <w:rPr>
          <w:rFonts w:eastAsia="Calibri"/>
          <w:b/>
          <w:bCs/>
          <w:i/>
          <w:sz w:val="24"/>
          <w:szCs w:val="24"/>
          <w:shd w:val="clear" w:color="auto" w:fill="FFFFFF"/>
        </w:rPr>
        <w:t>REI120</w:t>
      </w:r>
      <w:r>
        <w:rPr>
          <w:rFonts w:eastAsia="Calibri"/>
          <w:i/>
          <w:sz w:val="24"/>
          <w:szCs w:val="24"/>
          <w:shd w:val="clear" w:color="auto" w:fill="FFFFFF"/>
        </w:rPr>
        <w:t>). Fac excepție situațiile precizate în prezenta anexă. În mod similar se separă între ele și porțiunile de clădire existentă aferente mai multor săli aglomerate comasate, indiferent de destinație.</w:t>
      </w:r>
    </w:p>
    <w:p w14:paraId="6F3B7BD2"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NOTĂ:</w:t>
      </w:r>
    </w:p>
    <w:p w14:paraId="580A0D7D"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1.</w:t>
      </w:r>
      <w:r>
        <w:rPr>
          <w:rFonts w:eastAsia="Calibri"/>
          <w:i/>
          <w:sz w:val="24"/>
          <w:szCs w:val="24"/>
          <w:shd w:val="clear" w:color="auto" w:fill="FFFFFF"/>
        </w:rPr>
        <w:t> La cluburi, discoteci și cămine culturale,, porțiunile aferente diferitelor activități de club pot comunica liber cu sectorul de recepție al sălii de spectacole, precum și cu celelalte săli aglomerate (de reuniuni, conferințe, etc).</w:t>
      </w:r>
    </w:p>
    <w:p w14:paraId="14B46B53"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2.</w:t>
      </w:r>
      <w:r>
        <w:rPr>
          <w:rFonts w:eastAsia="Calibri"/>
          <w:i/>
          <w:sz w:val="24"/>
          <w:szCs w:val="24"/>
          <w:shd w:val="clear" w:color="auto" w:fill="FFFFFF"/>
        </w:rPr>
        <w:t> Vestiarele, birourile, amfiteatrele și sălile de ședințe din clădiri existente administrative, de învățământ, și alte clădiri civile cu activități similare, pot avea căi de evacuare comune cu cele ale clădirii existente în care sunt situate.</w:t>
      </w:r>
    </w:p>
    <w:p w14:paraId="68860CBE"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lastRenderedPageBreak/>
        <w:t>3.</w:t>
      </w:r>
      <w:r>
        <w:rPr>
          <w:rFonts w:eastAsia="Calibri"/>
          <w:i/>
          <w:sz w:val="24"/>
          <w:szCs w:val="24"/>
          <w:shd w:val="clear" w:color="auto" w:fill="FFFFFF"/>
        </w:rPr>
        <w:t> Sălile de concerte, sălile de întruniri, auditoriile, sălile de lectură, saloanele de dans, discotecile, sălile de sport, sălile de alimentație publică, sălile de așteptare, muzeele și expozițiile cu exponate incombustibile din clădiri existente publice, pot avea goluri în pereții ce le separă, protejate cu uși etanșe la foc minimum 15 minute (</w:t>
      </w:r>
      <w:r>
        <w:rPr>
          <w:rFonts w:eastAsia="Calibri"/>
          <w:b/>
          <w:bCs/>
          <w:i/>
          <w:sz w:val="24"/>
          <w:szCs w:val="24"/>
          <w:shd w:val="clear" w:color="auto" w:fill="FFFFFF"/>
        </w:rPr>
        <w:t>E15-C</w:t>
      </w:r>
      <w:r>
        <w:rPr>
          <w:rFonts w:eastAsia="Calibri"/>
          <w:i/>
          <w:sz w:val="24"/>
          <w:szCs w:val="24"/>
          <w:shd w:val="clear" w:color="auto" w:fill="FFFFFF"/>
        </w:rPr>
        <w:t>).</w:t>
      </w:r>
    </w:p>
    <w:p w14:paraId="79A3BAB3" w14:textId="77777777" w:rsidR="001C08A5" w:rsidRDefault="00000000">
      <w:pPr>
        <w:shd w:val="clear" w:color="auto" w:fill="FFFFFF"/>
        <w:spacing w:after="150"/>
        <w:jc w:val="both"/>
        <w:rPr>
          <w:rFonts w:eastAsia="Calibri"/>
          <w:i/>
          <w:sz w:val="24"/>
          <w:szCs w:val="24"/>
          <w:shd w:val="clear" w:color="auto" w:fill="FFFFFF"/>
        </w:rPr>
      </w:pPr>
      <w:r>
        <w:rPr>
          <w:rFonts w:eastAsia="Calibri"/>
          <w:b/>
          <w:bCs/>
          <w:i/>
          <w:sz w:val="24"/>
          <w:szCs w:val="24"/>
          <w:shd w:val="clear" w:color="auto" w:fill="FFFFFF"/>
        </w:rPr>
        <w:t>4.</w:t>
      </w:r>
      <w:r>
        <w:rPr>
          <w:rFonts w:eastAsia="Calibri"/>
          <w:i/>
          <w:sz w:val="24"/>
          <w:szCs w:val="24"/>
          <w:shd w:val="clear" w:color="auto" w:fill="FFFFFF"/>
        </w:rPr>
        <w:t> Sălile aglomerate, comasate într-o clădire existentă, pot avea goluri pentru circulație între porțiunile comune de clădire existentă aferentă, protejate cu uși etanșe la foc 15 minute (</w:t>
      </w:r>
      <w:r>
        <w:rPr>
          <w:rFonts w:eastAsia="Calibri"/>
          <w:b/>
          <w:bCs/>
          <w:i/>
          <w:sz w:val="24"/>
          <w:szCs w:val="24"/>
          <w:shd w:val="clear" w:color="auto" w:fill="FFFFFF"/>
        </w:rPr>
        <w:t>E15-C</w:t>
      </w:r>
      <w:r>
        <w:rPr>
          <w:rFonts w:eastAsia="Calibri"/>
          <w:i/>
          <w:sz w:val="24"/>
          <w:szCs w:val="24"/>
          <w:shd w:val="clear" w:color="auto" w:fill="FFFFFF"/>
        </w:rPr>
        <w:t>).</w:t>
      </w:r>
    </w:p>
    <w:p w14:paraId="193E5187" w14:textId="77777777" w:rsidR="001C08A5" w:rsidRDefault="00000000">
      <w:pPr>
        <w:pStyle w:val="Caption"/>
        <w:shd w:val="clear" w:color="auto" w:fill="FFFFFF"/>
        <w:spacing w:before="0" w:after="150"/>
        <w:jc w:val="both"/>
        <w:rPr>
          <w:rFonts w:eastAsia="Calibri" w:cs="Times New Roman"/>
          <w:shd w:val="clear" w:color="auto" w:fill="FFFFFF"/>
        </w:rPr>
      </w:pPr>
      <w:bookmarkStart w:id="11151" w:name="_Ref15782"/>
      <w:bookmarkStart w:id="11152" w:name="_Toc162360214"/>
      <w:r>
        <w:t xml:space="preserve">Tabelul </w:t>
      </w:r>
      <w:r>
        <w:fldChar w:fldCharType="begin"/>
      </w:r>
      <w:r>
        <w:instrText xml:space="preserve"> SEQ Tabelul \* ARABIC </w:instrText>
      </w:r>
      <w:r>
        <w:fldChar w:fldCharType="separate"/>
      </w:r>
      <w:r>
        <w:t>164</w:t>
      </w:r>
      <w:r>
        <w:fldChar w:fldCharType="end"/>
      </w:r>
      <w:bookmarkStart w:id="11153" w:name="_Toc10941"/>
      <w:bookmarkStart w:id="11154" w:name="_Toc13972"/>
      <w:bookmarkStart w:id="11155" w:name="_Toc27856"/>
      <w:bookmarkStart w:id="11156" w:name="_Toc6239"/>
      <w:bookmarkStart w:id="11157" w:name="_Toc30154"/>
      <w:bookmarkStart w:id="11158" w:name="_Toc32359"/>
      <w:bookmarkStart w:id="11159" w:name="_Toc17348"/>
      <w:bookmarkStart w:id="11160" w:name="_Toc16345"/>
      <w:bookmarkStart w:id="11161" w:name="_Toc32397"/>
      <w:bookmarkStart w:id="11162" w:name="_Toc5208"/>
      <w:bookmarkStart w:id="11163" w:name="_Toc6052"/>
      <w:bookmarkEnd w:id="11151"/>
      <w:r>
        <w:t xml:space="preserve">: </w:t>
      </w:r>
      <w:r>
        <w:rPr>
          <w:rFonts w:eastAsia="Calibri"/>
          <w:shd w:val="clear" w:color="auto" w:fill="FFFFFF"/>
        </w:rPr>
        <w:t>Elemente de separare la săli aglomerate în clădiri existente</w:t>
      </w:r>
      <w:bookmarkEnd w:id="11152"/>
      <w:bookmarkEnd w:id="11153"/>
      <w:bookmarkEnd w:id="11154"/>
      <w:bookmarkEnd w:id="11155"/>
      <w:bookmarkEnd w:id="11156"/>
      <w:bookmarkEnd w:id="11157"/>
      <w:bookmarkEnd w:id="11158"/>
      <w:bookmarkEnd w:id="11159"/>
      <w:bookmarkEnd w:id="11160"/>
      <w:bookmarkEnd w:id="11161"/>
      <w:bookmarkEnd w:id="11162"/>
      <w:bookmarkEnd w:id="11163"/>
    </w:p>
    <w:tbl>
      <w:tblPr>
        <w:tblW w:w="9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37"/>
        <w:gridCol w:w="2560"/>
        <w:gridCol w:w="1421"/>
        <w:gridCol w:w="1246"/>
        <w:gridCol w:w="1433"/>
        <w:gridCol w:w="2551"/>
      </w:tblGrid>
      <w:tr w:rsidR="001C08A5" w14:paraId="7E807262" w14:textId="77777777">
        <w:trPr>
          <w:trHeight w:val="765"/>
          <w:jc w:val="center"/>
        </w:trPr>
        <w:tc>
          <w:tcPr>
            <w:tcW w:w="337" w:type="dxa"/>
            <w:vMerge w:val="restart"/>
            <w:tcMar>
              <w:top w:w="0" w:type="dxa"/>
              <w:left w:w="0" w:type="dxa"/>
              <w:bottom w:w="0" w:type="dxa"/>
              <w:right w:w="0" w:type="dxa"/>
            </w:tcMar>
            <w:vAlign w:val="center"/>
          </w:tcPr>
          <w:p w14:paraId="06CA5C1F" w14:textId="77777777" w:rsidR="001C08A5" w:rsidRDefault="00000000">
            <w:pPr>
              <w:jc w:val="center"/>
              <w:rPr>
                <w:i/>
                <w:sz w:val="22"/>
                <w:szCs w:val="22"/>
              </w:rPr>
            </w:pPr>
            <w:r>
              <w:rPr>
                <w:i/>
                <w:sz w:val="22"/>
                <w:szCs w:val="22"/>
                <w:lang w:val="en-US" w:eastAsia="zh-CN" w:bidi="ar"/>
              </w:rPr>
              <w:t>Nr. crt.</w:t>
            </w:r>
          </w:p>
        </w:tc>
        <w:tc>
          <w:tcPr>
            <w:tcW w:w="2560" w:type="dxa"/>
            <w:vMerge w:val="restart"/>
            <w:tcMar>
              <w:top w:w="0" w:type="dxa"/>
              <w:left w:w="0" w:type="dxa"/>
              <w:bottom w:w="0" w:type="dxa"/>
              <w:right w:w="0" w:type="dxa"/>
            </w:tcMar>
            <w:vAlign w:val="center"/>
          </w:tcPr>
          <w:p w14:paraId="1C3CCDF5" w14:textId="77777777" w:rsidR="001C08A5" w:rsidRDefault="00000000">
            <w:pPr>
              <w:jc w:val="center"/>
              <w:rPr>
                <w:i/>
                <w:sz w:val="22"/>
                <w:szCs w:val="22"/>
              </w:rPr>
            </w:pPr>
            <w:r>
              <w:rPr>
                <w:i/>
                <w:sz w:val="22"/>
                <w:szCs w:val="22"/>
                <w:lang w:val="en-US" w:eastAsia="zh-CN" w:bidi="ar"/>
              </w:rPr>
              <w:t>Destinația elementului</w:t>
            </w:r>
          </w:p>
        </w:tc>
        <w:tc>
          <w:tcPr>
            <w:tcW w:w="1421" w:type="dxa"/>
            <w:vMerge w:val="restart"/>
            <w:tcMar>
              <w:top w:w="0" w:type="dxa"/>
              <w:left w:w="0" w:type="dxa"/>
              <w:bottom w:w="0" w:type="dxa"/>
              <w:right w:w="0" w:type="dxa"/>
            </w:tcMar>
            <w:vAlign w:val="center"/>
          </w:tcPr>
          <w:p w14:paraId="63B5E86C" w14:textId="77777777" w:rsidR="001C08A5" w:rsidRDefault="00000000">
            <w:pPr>
              <w:jc w:val="center"/>
              <w:rPr>
                <w:i/>
                <w:sz w:val="22"/>
                <w:szCs w:val="22"/>
              </w:rPr>
            </w:pPr>
            <w:r>
              <w:rPr>
                <w:rFonts w:eastAsia="Calibri"/>
                <w:i/>
                <w:sz w:val="22"/>
                <w:szCs w:val="22"/>
                <w:shd w:val="clear" w:color="auto" w:fill="FFFFFF"/>
              </w:rPr>
              <w:t>nivelul de stabilitate la incendiu</w:t>
            </w:r>
            <w:r>
              <w:rPr>
                <w:i/>
                <w:sz w:val="22"/>
                <w:szCs w:val="22"/>
                <w:lang w:val="en-US" w:eastAsia="zh-CN" w:bidi="ar"/>
              </w:rPr>
              <w:t xml:space="preserve"> al clădiri i</w:t>
            </w:r>
            <w:r>
              <w:rPr>
                <w:rFonts w:eastAsia="Calibri"/>
                <w:i/>
                <w:sz w:val="22"/>
                <w:szCs w:val="22"/>
                <w:shd w:val="clear" w:color="auto" w:fill="FFFFFF"/>
              </w:rPr>
              <w:t xml:space="preserve">existente </w:t>
            </w:r>
          </w:p>
        </w:tc>
        <w:tc>
          <w:tcPr>
            <w:tcW w:w="2679" w:type="dxa"/>
            <w:gridSpan w:val="2"/>
            <w:tcMar>
              <w:top w:w="0" w:type="dxa"/>
              <w:left w:w="0" w:type="dxa"/>
              <w:bottom w:w="0" w:type="dxa"/>
              <w:right w:w="0" w:type="dxa"/>
            </w:tcMar>
            <w:vAlign w:val="center"/>
          </w:tcPr>
          <w:p w14:paraId="54A26ED2" w14:textId="77777777" w:rsidR="001C08A5" w:rsidRDefault="00000000">
            <w:pPr>
              <w:jc w:val="center"/>
              <w:rPr>
                <w:i/>
                <w:sz w:val="22"/>
                <w:szCs w:val="22"/>
              </w:rPr>
            </w:pPr>
            <w:r>
              <w:rPr>
                <w:i/>
                <w:sz w:val="22"/>
                <w:szCs w:val="22"/>
                <w:lang w:val="en-US" w:eastAsia="zh-CN" w:bidi="ar"/>
              </w:rPr>
              <w:t xml:space="preserve">Condiții minime </w:t>
            </w:r>
            <w:r>
              <w:rPr>
                <w:i/>
                <w:sz w:val="22"/>
                <w:szCs w:val="22"/>
                <w:lang w:eastAsia="zh-CN" w:bidi="ar"/>
              </w:rPr>
              <w:t xml:space="preserve">privind </w:t>
            </w:r>
            <w:r>
              <w:rPr>
                <w:rFonts w:eastAsia="TimesNewRomanPSMT-Identity-H"/>
                <w:i/>
                <w:sz w:val="22"/>
                <w:szCs w:val="22"/>
              </w:rPr>
              <w:t>clasa de reacție la foc</w:t>
            </w:r>
            <w:r>
              <w:rPr>
                <w:i/>
                <w:sz w:val="22"/>
                <w:szCs w:val="22"/>
                <w:lang w:val="en-US" w:eastAsia="zh-CN" w:bidi="ar"/>
              </w:rPr>
              <w:t xml:space="preserve"> și</w:t>
            </w:r>
            <w:r>
              <w:rPr>
                <w:i/>
                <w:sz w:val="22"/>
                <w:szCs w:val="22"/>
                <w:lang w:eastAsia="zh-CN" w:bidi="ar"/>
              </w:rPr>
              <w:t xml:space="preserve"> </w:t>
            </w:r>
            <w:r>
              <w:rPr>
                <w:i/>
                <w:sz w:val="22"/>
                <w:szCs w:val="22"/>
                <w:lang w:val="en-US" w:eastAsia="zh-CN" w:bidi="ar"/>
              </w:rPr>
              <w:t>rezistența la foc</w:t>
            </w:r>
          </w:p>
        </w:tc>
        <w:tc>
          <w:tcPr>
            <w:tcW w:w="2551" w:type="dxa"/>
            <w:vMerge w:val="restart"/>
            <w:tcMar>
              <w:top w:w="0" w:type="dxa"/>
              <w:left w:w="0" w:type="dxa"/>
              <w:bottom w:w="0" w:type="dxa"/>
              <w:right w:w="0" w:type="dxa"/>
            </w:tcMar>
            <w:vAlign w:val="center"/>
          </w:tcPr>
          <w:p w14:paraId="7682443B" w14:textId="77777777" w:rsidR="001C08A5" w:rsidRDefault="00000000">
            <w:pPr>
              <w:jc w:val="center"/>
              <w:rPr>
                <w:i/>
                <w:sz w:val="22"/>
                <w:szCs w:val="22"/>
              </w:rPr>
            </w:pPr>
            <w:r>
              <w:rPr>
                <w:i/>
                <w:sz w:val="22"/>
                <w:szCs w:val="22"/>
                <w:lang w:val="en-US" w:eastAsia="zh-CN" w:bidi="ar"/>
              </w:rPr>
              <w:t>Observații</w:t>
            </w:r>
          </w:p>
        </w:tc>
      </w:tr>
      <w:tr w:rsidR="001C08A5" w14:paraId="2F4678CC" w14:textId="77777777">
        <w:trPr>
          <w:trHeight w:val="345"/>
          <w:jc w:val="center"/>
        </w:trPr>
        <w:tc>
          <w:tcPr>
            <w:tcW w:w="337" w:type="dxa"/>
            <w:vMerge/>
            <w:tcMar>
              <w:top w:w="0" w:type="dxa"/>
              <w:left w:w="0" w:type="dxa"/>
              <w:bottom w:w="0" w:type="dxa"/>
              <w:right w:w="0" w:type="dxa"/>
            </w:tcMar>
            <w:vAlign w:val="center"/>
          </w:tcPr>
          <w:p w14:paraId="20B1099F" w14:textId="77777777" w:rsidR="001C08A5" w:rsidRDefault="001C08A5">
            <w:pPr>
              <w:jc w:val="center"/>
              <w:rPr>
                <w:i/>
                <w:sz w:val="22"/>
                <w:szCs w:val="22"/>
              </w:rPr>
            </w:pPr>
          </w:p>
        </w:tc>
        <w:tc>
          <w:tcPr>
            <w:tcW w:w="2560" w:type="dxa"/>
            <w:vMerge/>
            <w:tcMar>
              <w:top w:w="0" w:type="dxa"/>
              <w:left w:w="0" w:type="dxa"/>
              <w:bottom w:w="0" w:type="dxa"/>
              <w:right w:w="0" w:type="dxa"/>
            </w:tcMar>
            <w:vAlign w:val="center"/>
          </w:tcPr>
          <w:p w14:paraId="42CAE184" w14:textId="77777777" w:rsidR="001C08A5" w:rsidRDefault="001C08A5">
            <w:pPr>
              <w:jc w:val="center"/>
              <w:rPr>
                <w:i/>
                <w:sz w:val="22"/>
                <w:szCs w:val="22"/>
              </w:rPr>
            </w:pPr>
          </w:p>
        </w:tc>
        <w:tc>
          <w:tcPr>
            <w:tcW w:w="1421" w:type="dxa"/>
            <w:vMerge/>
            <w:tcMar>
              <w:top w:w="0" w:type="dxa"/>
              <w:left w:w="0" w:type="dxa"/>
              <w:bottom w:w="0" w:type="dxa"/>
              <w:right w:w="0" w:type="dxa"/>
            </w:tcMar>
            <w:vAlign w:val="center"/>
          </w:tcPr>
          <w:p w14:paraId="7C3A6D1A" w14:textId="77777777" w:rsidR="001C08A5" w:rsidRDefault="001C08A5">
            <w:pPr>
              <w:jc w:val="center"/>
              <w:rPr>
                <w:i/>
                <w:sz w:val="22"/>
                <w:szCs w:val="22"/>
              </w:rPr>
            </w:pPr>
          </w:p>
        </w:tc>
        <w:tc>
          <w:tcPr>
            <w:tcW w:w="1246" w:type="dxa"/>
            <w:tcMar>
              <w:top w:w="0" w:type="dxa"/>
              <w:left w:w="0" w:type="dxa"/>
              <w:bottom w:w="0" w:type="dxa"/>
              <w:right w:w="0" w:type="dxa"/>
            </w:tcMar>
            <w:vAlign w:val="center"/>
          </w:tcPr>
          <w:p w14:paraId="68786AB7" w14:textId="77777777" w:rsidR="001C08A5" w:rsidRDefault="00000000">
            <w:pPr>
              <w:jc w:val="center"/>
              <w:rPr>
                <w:i/>
                <w:sz w:val="22"/>
                <w:szCs w:val="22"/>
              </w:rPr>
            </w:pPr>
            <w:r>
              <w:rPr>
                <w:i/>
                <w:sz w:val="22"/>
                <w:szCs w:val="22"/>
                <w:lang w:val="en-US" w:eastAsia="zh-CN" w:bidi="ar"/>
              </w:rPr>
              <w:t>pereți</w:t>
            </w:r>
          </w:p>
        </w:tc>
        <w:tc>
          <w:tcPr>
            <w:tcW w:w="1433" w:type="dxa"/>
            <w:tcMar>
              <w:top w:w="0" w:type="dxa"/>
              <w:left w:w="0" w:type="dxa"/>
              <w:bottom w:w="0" w:type="dxa"/>
              <w:right w:w="0" w:type="dxa"/>
            </w:tcMar>
            <w:vAlign w:val="center"/>
          </w:tcPr>
          <w:p w14:paraId="6EA2DA73" w14:textId="77777777" w:rsidR="001C08A5" w:rsidRDefault="00000000">
            <w:pPr>
              <w:jc w:val="center"/>
              <w:rPr>
                <w:i/>
                <w:sz w:val="22"/>
                <w:szCs w:val="22"/>
              </w:rPr>
            </w:pPr>
            <w:r>
              <w:rPr>
                <w:i/>
                <w:sz w:val="22"/>
                <w:szCs w:val="22"/>
                <w:lang w:val="en-US" w:eastAsia="zh-CN" w:bidi="ar"/>
              </w:rPr>
              <w:t>planșee</w:t>
            </w:r>
          </w:p>
        </w:tc>
        <w:tc>
          <w:tcPr>
            <w:tcW w:w="2551" w:type="dxa"/>
            <w:vMerge/>
            <w:tcMar>
              <w:top w:w="0" w:type="dxa"/>
              <w:left w:w="0" w:type="dxa"/>
              <w:bottom w:w="0" w:type="dxa"/>
              <w:right w:w="0" w:type="dxa"/>
            </w:tcMar>
            <w:vAlign w:val="center"/>
          </w:tcPr>
          <w:p w14:paraId="78A36429" w14:textId="77777777" w:rsidR="001C08A5" w:rsidRDefault="001C08A5">
            <w:pPr>
              <w:jc w:val="center"/>
              <w:rPr>
                <w:i/>
                <w:sz w:val="22"/>
                <w:szCs w:val="22"/>
              </w:rPr>
            </w:pPr>
          </w:p>
        </w:tc>
      </w:tr>
      <w:tr w:rsidR="001C08A5" w14:paraId="29DCDA9F" w14:textId="77777777">
        <w:trPr>
          <w:trHeight w:val="975"/>
          <w:jc w:val="center"/>
        </w:trPr>
        <w:tc>
          <w:tcPr>
            <w:tcW w:w="337" w:type="dxa"/>
            <w:tcMar>
              <w:top w:w="0" w:type="dxa"/>
              <w:left w:w="0" w:type="dxa"/>
              <w:bottom w:w="0" w:type="dxa"/>
              <w:right w:w="0" w:type="dxa"/>
            </w:tcMar>
          </w:tcPr>
          <w:p w14:paraId="3D950659" w14:textId="77777777" w:rsidR="001C08A5" w:rsidRDefault="00000000">
            <w:pPr>
              <w:jc w:val="center"/>
              <w:rPr>
                <w:i/>
                <w:sz w:val="22"/>
                <w:szCs w:val="22"/>
              </w:rPr>
            </w:pPr>
            <w:r>
              <w:rPr>
                <w:i/>
                <w:sz w:val="22"/>
                <w:szCs w:val="22"/>
                <w:lang w:val="en-US" w:eastAsia="zh-CN" w:bidi="ar"/>
              </w:rPr>
              <w:t>1.</w:t>
            </w:r>
          </w:p>
        </w:tc>
        <w:tc>
          <w:tcPr>
            <w:tcW w:w="2560" w:type="dxa"/>
            <w:tcMar>
              <w:top w:w="0" w:type="dxa"/>
              <w:left w:w="0" w:type="dxa"/>
              <w:bottom w:w="0" w:type="dxa"/>
              <w:right w:w="0" w:type="dxa"/>
            </w:tcMar>
          </w:tcPr>
          <w:p w14:paraId="19214ED0" w14:textId="77777777" w:rsidR="001C08A5" w:rsidRDefault="00000000">
            <w:pPr>
              <w:rPr>
                <w:i/>
                <w:sz w:val="22"/>
                <w:szCs w:val="22"/>
              </w:rPr>
            </w:pPr>
            <w:r>
              <w:rPr>
                <w:i/>
                <w:sz w:val="22"/>
                <w:szCs w:val="22"/>
                <w:lang w:val="en-US" w:eastAsia="zh-CN" w:bidi="ar"/>
              </w:rPr>
              <w:t>Planșeele nivelurilor intermediare amenajate în interiorul sălilor aglomerate (logii, balcoane, platforme, etc.)</w:t>
            </w:r>
          </w:p>
        </w:tc>
        <w:tc>
          <w:tcPr>
            <w:tcW w:w="1421" w:type="dxa"/>
            <w:tcMar>
              <w:top w:w="0" w:type="dxa"/>
              <w:left w:w="0" w:type="dxa"/>
              <w:bottom w:w="0" w:type="dxa"/>
              <w:right w:w="0" w:type="dxa"/>
            </w:tcMar>
            <w:vAlign w:val="center"/>
          </w:tcPr>
          <w:p w14:paraId="2DD94A2B" w14:textId="77777777" w:rsidR="001C08A5" w:rsidRDefault="00000000">
            <w:pPr>
              <w:jc w:val="center"/>
              <w:rPr>
                <w:b/>
                <w:bCs/>
                <w:i/>
                <w:sz w:val="22"/>
                <w:szCs w:val="22"/>
              </w:rPr>
            </w:pPr>
            <w:r>
              <w:rPr>
                <w:b/>
                <w:bCs/>
                <w:i/>
                <w:sz w:val="22"/>
                <w:szCs w:val="22"/>
                <w:lang w:val="en-US" w:eastAsia="zh-CN" w:bidi="ar"/>
              </w:rPr>
              <w:t>I-III</w:t>
            </w:r>
          </w:p>
        </w:tc>
        <w:tc>
          <w:tcPr>
            <w:tcW w:w="1246" w:type="dxa"/>
            <w:tcMar>
              <w:top w:w="0" w:type="dxa"/>
              <w:left w:w="0" w:type="dxa"/>
              <w:bottom w:w="0" w:type="dxa"/>
              <w:right w:w="0" w:type="dxa"/>
            </w:tcMar>
            <w:vAlign w:val="center"/>
          </w:tcPr>
          <w:p w14:paraId="03FF2DD7" w14:textId="77777777" w:rsidR="001C08A5" w:rsidRDefault="00000000">
            <w:pPr>
              <w:jc w:val="center"/>
              <w:rPr>
                <w:i/>
                <w:sz w:val="22"/>
                <w:szCs w:val="22"/>
              </w:rPr>
            </w:pPr>
            <w:r>
              <w:rPr>
                <w:i/>
                <w:sz w:val="22"/>
                <w:szCs w:val="22"/>
                <w:lang w:val="en-US" w:eastAsia="zh-CN" w:bidi="ar"/>
              </w:rPr>
              <w:t>-</w:t>
            </w:r>
          </w:p>
        </w:tc>
        <w:tc>
          <w:tcPr>
            <w:tcW w:w="1433" w:type="dxa"/>
            <w:tcMar>
              <w:top w:w="0" w:type="dxa"/>
              <w:left w:w="0" w:type="dxa"/>
              <w:bottom w:w="0" w:type="dxa"/>
              <w:right w:w="0" w:type="dxa"/>
            </w:tcMar>
            <w:vAlign w:val="center"/>
          </w:tcPr>
          <w:p w14:paraId="6F8E38E4" w14:textId="77777777" w:rsidR="001C08A5" w:rsidRDefault="00000000">
            <w:pPr>
              <w:jc w:val="center"/>
              <w:rPr>
                <w:i/>
                <w:sz w:val="22"/>
                <w:szCs w:val="22"/>
                <w:lang w:val="en-US" w:eastAsia="zh-CN" w:bidi="ar"/>
              </w:rPr>
            </w:pPr>
            <w:r>
              <w:rPr>
                <w:b/>
                <w:bCs/>
                <w:i/>
                <w:sz w:val="22"/>
                <w:szCs w:val="22"/>
                <w:lang w:val="en-GB"/>
              </w:rPr>
              <w:t>A1, A2s1d0</w:t>
            </w:r>
          </w:p>
          <w:p w14:paraId="3E296DFA" w14:textId="77777777" w:rsidR="001C08A5" w:rsidRDefault="00000000">
            <w:pPr>
              <w:jc w:val="center"/>
              <w:rPr>
                <w:i/>
                <w:sz w:val="22"/>
                <w:szCs w:val="22"/>
              </w:rPr>
            </w:pPr>
            <w:r>
              <w:rPr>
                <w:i/>
                <w:sz w:val="22"/>
                <w:szCs w:val="22"/>
                <w:lang w:val="en-US" w:eastAsia="zh-CN" w:bidi="ar"/>
              </w:rPr>
              <w:t>*</w:t>
            </w:r>
          </w:p>
        </w:tc>
        <w:tc>
          <w:tcPr>
            <w:tcW w:w="2551" w:type="dxa"/>
            <w:tcMar>
              <w:top w:w="0" w:type="dxa"/>
              <w:left w:w="0" w:type="dxa"/>
              <w:bottom w:w="0" w:type="dxa"/>
              <w:right w:w="0" w:type="dxa"/>
            </w:tcMar>
          </w:tcPr>
          <w:p w14:paraId="566CE011" w14:textId="77777777" w:rsidR="001C08A5" w:rsidRDefault="00000000">
            <w:pPr>
              <w:rPr>
                <w:i/>
                <w:sz w:val="22"/>
                <w:szCs w:val="22"/>
              </w:rPr>
            </w:pPr>
            <w:r>
              <w:rPr>
                <w:i/>
                <w:sz w:val="22"/>
                <w:szCs w:val="22"/>
                <w:lang w:val="en-US" w:eastAsia="zh-CN" w:bidi="ar"/>
              </w:rPr>
              <w:t xml:space="preserve">* Condițiile rezultate din </w:t>
            </w:r>
            <w:r>
              <w:rPr>
                <w:rFonts w:eastAsia="Calibri"/>
                <w:i/>
                <w:sz w:val="22"/>
                <w:szCs w:val="22"/>
                <w:shd w:val="clear" w:color="auto" w:fill="FFFFFF"/>
              </w:rPr>
              <w:t>nivelul de stabilitate la incendiu</w:t>
            </w:r>
            <w:r>
              <w:rPr>
                <w:i/>
                <w:sz w:val="22"/>
                <w:szCs w:val="22"/>
                <w:lang w:val="en-US" w:eastAsia="zh-CN" w:bidi="ar"/>
              </w:rPr>
              <w:t xml:space="preserve"> al clădirii</w:t>
            </w:r>
            <w:r>
              <w:rPr>
                <w:i/>
                <w:sz w:val="22"/>
                <w:szCs w:val="22"/>
                <w:lang w:eastAsia="zh-CN" w:bidi="ar"/>
              </w:rPr>
              <w:t xml:space="preserve"> </w:t>
            </w:r>
            <w:r>
              <w:rPr>
                <w:rFonts w:eastAsia="Calibri"/>
                <w:i/>
                <w:sz w:val="22"/>
                <w:szCs w:val="22"/>
                <w:shd w:val="clear" w:color="auto" w:fill="FFFFFF"/>
              </w:rPr>
              <w:t xml:space="preserve">existente </w:t>
            </w:r>
          </w:p>
        </w:tc>
      </w:tr>
      <w:tr w:rsidR="001C08A5" w14:paraId="6B2C4E45" w14:textId="77777777">
        <w:trPr>
          <w:trHeight w:val="810"/>
          <w:jc w:val="center"/>
        </w:trPr>
        <w:tc>
          <w:tcPr>
            <w:tcW w:w="337" w:type="dxa"/>
            <w:vMerge w:val="restart"/>
            <w:tcMar>
              <w:top w:w="0" w:type="dxa"/>
              <w:left w:w="0" w:type="dxa"/>
              <w:bottom w:w="0" w:type="dxa"/>
              <w:right w:w="0" w:type="dxa"/>
            </w:tcMar>
          </w:tcPr>
          <w:p w14:paraId="18BBD590" w14:textId="77777777" w:rsidR="001C08A5" w:rsidRDefault="00000000">
            <w:pPr>
              <w:jc w:val="center"/>
              <w:rPr>
                <w:i/>
                <w:sz w:val="22"/>
                <w:szCs w:val="22"/>
              </w:rPr>
            </w:pPr>
            <w:r>
              <w:rPr>
                <w:i/>
                <w:sz w:val="22"/>
                <w:szCs w:val="22"/>
                <w:lang w:val="en-US" w:eastAsia="zh-CN" w:bidi="ar"/>
              </w:rPr>
              <w:t>2.</w:t>
            </w:r>
          </w:p>
        </w:tc>
        <w:tc>
          <w:tcPr>
            <w:tcW w:w="2560" w:type="dxa"/>
            <w:vMerge w:val="restart"/>
            <w:tcMar>
              <w:top w:w="0" w:type="dxa"/>
              <w:left w:w="0" w:type="dxa"/>
              <w:bottom w:w="0" w:type="dxa"/>
              <w:right w:w="0" w:type="dxa"/>
            </w:tcMar>
          </w:tcPr>
          <w:p w14:paraId="78FCB9F2" w14:textId="77777777" w:rsidR="001C08A5" w:rsidRDefault="00000000">
            <w:pPr>
              <w:rPr>
                <w:i/>
                <w:sz w:val="22"/>
                <w:szCs w:val="22"/>
              </w:rPr>
            </w:pPr>
            <w:r>
              <w:rPr>
                <w:i/>
                <w:sz w:val="22"/>
                <w:szCs w:val="22"/>
                <w:lang w:val="en-US" w:eastAsia="zh-CN" w:bidi="ar"/>
              </w:rPr>
              <w:t>Elemente ce separă de restul construcției</w:t>
            </w:r>
            <w:r>
              <w:rPr>
                <w:i/>
                <w:sz w:val="22"/>
                <w:szCs w:val="22"/>
                <w:lang w:eastAsia="zh-CN" w:bidi="ar"/>
              </w:rPr>
              <w:t xml:space="preserve"> </w:t>
            </w:r>
            <w:r>
              <w:rPr>
                <w:rFonts w:eastAsia="Calibri"/>
                <w:i/>
                <w:sz w:val="22"/>
                <w:szCs w:val="22"/>
                <w:shd w:val="clear" w:color="auto" w:fill="FFFFFF"/>
              </w:rPr>
              <w:t>existente</w:t>
            </w:r>
            <w:r>
              <w:rPr>
                <w:i/>
                <w:sz w:val="22"/>
                <w:szCs w:val="22"/>
                <w:lang w:val="en-US" w:eastAsia="zh-CN" w:bidi="ar"/>
              </w:rPr>
              <w:t xml:space="preserve"> încăperile în care are acces publicul din săi polivalente, expoziții, etc, inclusiv căile de evacuare ale acestora cu excepția planșeelor peste subsol.</w:t>
            </w:r>
          </w:p>
        </w:tc>
        <w:tc>
          <w:tcPr>
            <w:tcW w:w="1421" w:type="dxa"/>
            <w:tcMar>
              <w:top w:w="0" w:type="dxa"/>
              <w:left w:w="0" w:type="dxa"/>
              <w:bottom w:w="0" w:type="dxa"/>
              <w:right w:w="0" w:type="dxa"/>
            </w:tcMar>
            <w:vAlign w:val="center"/>
          </w:tcPr>
          <w:p w14:paraId="12766171" w14:textId="77777777" w:rsidR="001C08A5" w:rsidRDefault="00000000">
            <w:pPr>
              <w:jc w:val="center"/>
              <w:rPr>
                <w:b/>
                <w:bCs/>
                <w:i/>
                <w:sz w:val="22"/>
                <w:szCs w:val="22"/>
              </w:rPr>
            </w:pPr>
            <w:r>
              <w:rPr>
                <w:b/>
                <w:bCs/>
                <w:i/>
                <w:sz w:val="22"/>
                <w:szCs w:val="22"/>
                <w:lang w:val="en-US" w:eastAsia="zh-CN" w:bidi="ar"/>
              </w:rPr>
              <w:t>I-II</w:t>
            </w:r>
          </w:p>
        </w:tc>
        <w:tc>
          <w:tcPr>
            <w:tcW w:w="1246" w:type="dxa"/>
            <w:tcMar>
              <w:top w:w="0" w:type="dxa"/>
              <w:left w:w="0" w:type="dxa"/>
              <w:bottom w:w="0" w:type="dxa"/>
              <w:right w:w="0" w:type="dxa"/>
            </w:tcMar>
            <w:vAlign w:val="center"/>
          </w:tcPr>
          <w:p w14:paraId="6284EE83" w14:textId="77777777" w:rsidR="001C08A5" w:rsidRDefault="00000000">
            <w:pPr>
              <w:jc w:val="center"/>
              <w:rPr>
                <w:i/>
                <w:sz w:val="22"/>
                <w:szCs w:val="22"/>
                <w:lang w:val="en-US" w:eastAsia="zh-CN" w:bidi="ar"/>
              </w:rPr>
            </w:pPr>
            <w:r>
              <w:rPr>
                <w:b/>
                <w:bCs/>
                <w:i/>
                <w:sz w:val="22"/>
                <w:szCs w:val="22"/>
                <w:lang w:val="en-GB"/>
              </w:rPr>
              <w:t>A1, A2s1d0</w:t>
            </w:r>
            <w:r>
              <w:rPr>
                <w:i/>
                <w:sz w:val="22"/>
                <w:szCs w:val="22"/>
                <w:lang w:val="en-US" w:eastAsia="zh-CN" w:bidi="ar"/>
              </w:rPr>
              <w:t xml:space="preserve"> 1</w:t>
            </w:r>
          </w:p>
          <w:p w14:paraId="20BEF5DA" w14:textId="77777777" w:rsidR="001C08A5" w:rsidRDefault="00000000">
            <w:pPr>
              <w:jc w:val="center"/>
              <w:rPr>
                <w:i/>
                <w:sz w:val="22"/>
                <w:szCs w:val="22"/>
                <w:lang w:val="en-US" w:eastAsia="zh-CN" w:bidi="ar"/>
              </w:rPr>
            </w:pPr>
            <w:r>
              <w:rPr>
                <w:rFonts w:eastAsia="Calibri"/>
                <w:i/>
                <w:sz w:val="22"/>
                <w:szCs w:val="22"/>
                <w:shd w:val="clear" w:color="auto" w:fill="FFFFFF"/>
              </w:rPr>
              <w:t>(</w:t>
            </w:r>
            <w:r>
              <w:rPr>
                <w:rFonts w:eastAsia="Calibri"/>
                <w:b/>
                <w:bCs/>
                <w:i/>
                <w:sz w:val="22"/>
                <w:szCs w:val="22"/>
                <w:shd w:val="clear" w:color="auto" w:fill="FFFFFF"/>
              </w:rPr>
              <w:t>EI/REI90</w:t>
            </w:r>
            <w:r>
              <w:rPr>
                <w:rFonts w:eastAsia="Calibri"/>
                <w:i/>
                <w:sz w:val="22"/>
                <w:szCs w:val="22"/>
                <w:shd w:val="clear" w:color="auto" w:fill="FFFFFF"/>
              </w:rPr>
              <w:t>)</w:t>
            </w:r>
          </w:p>
        </w:tc>
        <w:tc>
          <w:tcPr>
            <w:tcW w:w="1433" w:type="dxa"/>
            <w:tcMar>
              <w:top w:w="0" w:type="dxa"/>
              <w:left w:w="0" w:type="dxa"/>
              <w:bottom w:w="0" w:type="dxa"/>
              <w:right w:w="0" w:type="dxa"/>
            </w:tcMar>
            <w:vAlign w:val="center"/>
          </w:tcPr>
          <w:p w14:paraId="58EA7300" w14:textId="77777777" w:rsidR="001C08A5" w:rsidRDefault="00000000">
            <w:pPr>
              <w:jc w:val="center"/>
              <w:rPr>
                <w:i/>
                <w:sz w:val="22"/>
                <w:szCs w:val="22"/>
                <w:lang w:val="en-US" w:eastAsia="zh-CN" w:bidi="ar"/>
              </w:rPr>
            </w:pPr>
            <w:r>
              <w:rPr>
                <w:b/>
                <w:bCs/>
                <w:i/>
                <w:sz w:val="22"/>
                <w:szCs w:val="22"/>
                <w:lang w:val="en-GB"/>
              </w:rPr>
              <w:t>A1, A2s1d0</w:t>
            </w:r>
          </w:p>
          <w:p w14:paraId="354AB9CB" w14:textId="77777777" w:rsidR="001C08A5" w:rsidRDefault="00000000">
            <w:pPr>
              <w:jc w:val="center"/>
              <w:rPr>
                <w:i/>
                <w:sz w:val="22"/>
                <w:szCs w:val="22"/>
                <w:lang w:val="en-US" w:eastAsia="zh-CN" w:bidi="ar"/>
              </w:rPr>
            </w:pPr>
            <w:r>
              <w:rPr>
                <w:rFonts w:eastAsia="Calibri"/>
                <w:i/>
                <w:sz w:val="22"/>
                <w:szCs w:val="22"/>
                <w:shd w:val="clear" w:color="auto" w:fill="FFFFFF"/>
              </w:rPr>
              <w:t>(</w:t>
            </w:r>
            <w:r>
              <w:rPr>
                <w:rFonts w:eastAsia="Calibri"/>
                <w:b/>
                <w:bCs/>
                <w:i/>
                <w:sz w:val="22"/>
                <w:szCs w:val="22"/>
                <w:shd w:val="clear" w:color="auto" w:fill="FFFFFF"/>
              </w:rPr>
              <w:t>REI60</w:t>
            </w:r>
            <w:r>
              <w:rPr>
                <w:rFonts w:eastAsia="Calibri"/>
                <w:i/>
                <w:sz w:val="22"/>
                <w:szCs w:val="22"/>
                <w:shd w:val="clear" w:color="auto" w:fill="FFFFFF"/>
              </w:rPr>
              <w:t>)</w:t>
            </w:r>
          </w:p>
        </w:tc>
        <w:tc>
          <w:tcPr>
            <w:tcW w:w="2551" w:type="dxa"/>
            <w:vMerge w:val="restart"/>
            <w:tcMar>
              <w:top w:w="0" w:type="dxa"/>
              <w:left w:w="0" w:type="dxa"/>
              <w:bottom w:w="0" w:type="dxa"/>
              <w:right w:w="0" w:type="dxa"/>
            </w:tcMar>
          </w:tcPr>
          <w:p w14:paraId="0EC65EB7" w14:textId="77777777" w:rsidR="001C08A5" w:rsidRDefault="00000000">
            <w:pPr>
              <w:rPr>
                <w:i/>
                <w:sz w:val="22"/>
                <w:szCs w:val="22"/>
              </w:rPr>
            </w:pPr>
            <w:r>
              <w:rPr>
                <w:i/>
                <w:sz w:val="22"/>
                <w:szCs w:val="22"/>
                <w:lang w:val="en-US" w:eastAsia="zh-CN" w:bidi="ar"/>
              </w:rPr>
              <w:t xml:space="preserve">Elementele pot fi </w:t>
            </w:r>
            <w:r>
              <w:rPr>
                <w:rFonts w:eastAsia="TimesNewRomanPSMT-Identity-H"/>
                <w:i/>
                <w:sz w:val="22"/>
                <w:szCs w:val="22"/>
              </w:rPr>
              <w:t xml:space="preserve">clasa de reacție la foc </w:t>
            </w:r>
            <w:r>
              <w:rPr>
                <w:rFonts w:eastAsia="TimesNewRomanPSMT-Identity-H"/>
                <w:b/>
                <w:bCs/>
                <w:i/>
                <w:sz w:val="22"/>
                <w:szCs w:val="22"/>
                <w:lang w:eastAsia="zh-CN"/>
              </w:rPr>
              <w:t>Cs1÷s</w:t>
            </w:r>
            <w:proofErr w:type="gramStart"/>
            <w:r>
              <w:rPr>
                <w:rFonts w:eastAsia="TimesNewRomanPSMT-Identity-H"/>
                <w:b/>
                <w:bCs/>
                <w:i/>
                <w:sz w:val="22"/>
                <w:szCs w:val="22"/>
                <w:lang w:eastAsia="zh-CN"/>
              </w:rPr>
              <w:t>3,d</w:t>
            </w:r>
            <w:proofErr w:type="gramEnd"/>
            <w:r>
              <w:rPr>
                <w:rFonts w:eastAsia="TimesNewRomanPSMT-Identity-H"/>
                <w:b/>
                <w:bCs/>
                <w:i/>
                <w:sz w:val="22"/>
                <w:szCs w:val="22"/>
                <w:lang w:eastAsia="zh-CN"/>
              </w:rPr>
              <w:t>0÷d1</w:t>
            </w:r>
            <w:r>
              <w:rPr>
                <w:i/>
                <w:sz w:val="22"/>
                <w:szCs w:val="22"/>
                <w:lang w:val="en-US" w:eastAsia="zh-CN" w:bidi="ar"/>
              </w:rPr>
              <w:t xml:space="preserve"> la cinematografe, cluburi, muzee și expoziții cu capacitate mai mică de 300 de locuri situate în clădiri </w:t>
            </w:r>
            <w:r>
              <w:rPr>
                <w:rFonts w:eastAsia="Calibri"/>
                <w:i/>
                <w:sz w:val="22"/>
                <w:szCs w:val="22"/>
                <w:shd w:val="clear" w:color="auto" w:fill="FFFFFF"/>
              </w:rPr>
              <w:t xml:space="preserve">existente </w:t>
            </w:r>
            <w:r>
              <w:rPr>
                <w:i/>
                <w:sz w:val="22"/>
                <w:szCs w:val="22"/>
                <w:lang w:eastAsia="zh-CN" w:bidi="ar"/>
              </w:rPr>
              <w:t>cu</w:t>
            </w:r>
            <w:r>
              <w:rPr>
                <w:i/>
                <w:sz w:val="22"/>
                <w:szCs w:val="22"/>
                <w:lang w:val="en-US" w:eastAsia="zh-CN" w:bidi="ar"/>
              </w:rPr>
              <w:t xml:space="preserve"> </w:t>
            </w:r>
            <w:r>
              <w:rPr>
                <w:rFonts w:eastAsia="Calibri"/>
                <w:i/>
                <w:sz w:val="22"/>
                <w:szCs w:val="22"/>
                <w:shd w:val="clear" w:color="auto" w:fill="FFFFFF"/>
              </w:rPr>
              <w:t>nivelul de stabilitate la incendiu</w:t>
            </w:r>
            <w:r>
              <w:rPr>
                <w:i/>
                <w:sz w:val="22"/>
                <w:szCs w:val="22"/>
                <w:lang w:val="en-US" w:eastAsia="zh-CN" w:bidi="ar"/>
              </w:rPr>
              <w:t xml:space="preserve"> </w:t>
            </w:r>
            <w:r>
              <w:rPr>
                <w:b/>
                <w:bCs/>
                <w:i/>
                <w:sz w:val="22"/>
                <w:szCs w:val="22"/>
                <w:lang w:val="en-US" w:eastAsia="zh-CN" w:bidi="ar"/>
              </w:rPr>
              <w:t>III</w:t>
            </w:r>
            <w:r>
              <w:rPr>
                <w:i/>
                <w:sz w:val="22"/>
                <w:szCs w:val="22"/>
                <w:lang w:val="en-US" w:eastAsia="zh-CN" w:bidi="ar"/>
              </w:rPr>
              <w:t>.</w:t>
            </w:r>
          </w:p>
        </w:tc>
      </w:tr>
      <w:tr w:rsidR="001C08A5" w14:paraId="3082EB68" w14:textId="77777777">
        <w:trPr>
          <w:trHeight w:val="795"/>
          <w:jc w:val="center"/>
        </w:trPr>
        <w:tc>
          <w:tcPr>
            <w:tcW w:w="337" w:type="dxa"/>
            <w:vMerge/>
            <w:tcMar>
              <w:top w:w="0" w:type="dxa"/>
              <w:left w:w="0" w:type="dxa"/>
              <w:bottom w:w="0" w:type="dxa"/>
              <w:right w:w="0" w:type="dxa"/>
            </w:tcMar>
          </w:tcPr>
          <w:p w14:paraId="1DC3AB53" w14:textId="77777777" w:rsidR="001C08A5" w:rsidRDefault="001C08A5">
            <w:pPr>
              <w:jc w:val="center"/>
              <w:rPr>
                <w:i/>
                <w:sz w:val="22"/>
                <w:szCs w:val="22"/>
              </w:rPr>
            </w:pPr>
          </w:p>
        </w:tc>
        <w:tc>
          <w:tcPr>
            <w:tcW w:w="2560" w:type="dxa"/>
            <w:vMerge/>
            <w:tcMar>
              <w:top w:w="0" w:type="dxa"/>
              <w:left w:w="0" w:type="dxa"/>
              <w:bottom w:w="0" w:type="dxa"/>
              <w:right w:w="0" w:type="dxa"/>
            </w:tcMar>
          </w:tcPr>
          <w:p w14:paraId="7690452C" w14:textId="77777777" w:rsidR="001C08A5" w:rsidRDefault="001C08A5">
            <w:pPr>
              <w:rPr>
                <w:i/>
                <w:sz w:val="22"/>
                <w:szCs w:val="22"/>
              </w:rPr>
            </w:pPr>
          </w:p>
        </w:tc>
        <w:tc>
          <w:tcPr>
            <w:tcW w:w="1421" w:type="dxa"/>
            <w:tcMar>
              <w:top w:w="0" w:type="dxa"/>
              <w:left w:w="0" w:type="dxa"/>
              <w:bottom w:w="0" w:type="dxa"/>
              <w:right w:w="0" w:type="dxa"/>
            </w:tcMar>
            <w:vAlign w:val="center"/>
          </w:tcPr>
          <w:p w14:paraId="17BAA7C4" w14:textId="77777777" w:rsidR="001C08A5" w:rsidRDefault="00000000">
            <w:pPr>
              <w:jc w:val="center"/>
              <w:rPr>
                <w:b/>
                <w:bCs/>
                <w:i/>
                <w:sz w:val="22"/>
                <w:szCs w:val="22"/>
              </w:rPr>
            </w:pPr>
            <w:r>
              <w:rPr>
                <w:b/>
                <w:bCs/>
                <w:i/>
                <w:sz w:val="22"/>
                <w:szCs w:val="22"/>
                <w:lang w:val="en-US" w:eastAsia="zh-CN" w:bidi="ar"/>
              </w:rPr>
              <w:t>III</w:t>
            </w:r>
          </w:p>
        </w:tc>
        <w:tc>
          <w:tcPr>
            <w:tcW w:w="1246" w:type="dxa"/>
            <w:tcMar>
              <w:top w:w="0" w:type="dxa"/>
              <w:left w:w="0" w:type="dxa"/>
              <w:bottom w:w="0" w:type="dxa"/>
              <w:right w:w="0" w:type="dxa"/>
            </w:tcMar>
            <w:vAlign w:val="center"/>
          </w:tcPr>
          <w:p w14:paraId="6EC2CA90" w14:textId="77777777" w:rsidR="001C08A5" w:rsidRDefault="00000000">
            <w:pPr>
              <w:jc w:val="center"/>
              <w:rPr>
                <w:i/>
                <w:sz w:val="22"/>
                <w:szCs w:val="22"/>
                <w:lang w:val="en-US" w:eastAsia="zh-CN" w:bidi="ar"/>
              </w:rPr>
            </w:pPr>
            <w:r>
              <w:rPr>
                <w:b/>
                <w:bCs/>
                <w:i/>
                <w:sz w:val="22"/>
                <w:szCs w:val="22"/>
                <w:lang w:val="en-GB"/>
              </w:rPr>
              <w:t>A1, A2s1d0</w:t>
            </w:r>
          </w:p>
          <w:p w14:paraId="41E1F7A4" w14:textId="77777777" w:rsidR="001C08A5" w:rsidRDefault="00000000">
            <w:pPr>
              <w:jc w:val="center"/>
              <w:rPr>
                <w:i/>
                <w:sz w:val="22"/>
                <w:szCs w:val="22"/>
                <w:lang w:val="en-US" w:eastAsia="zh-CN" w:bidi="ar"/>
              </w:rPr>
            </w:pPr>
            <w:r>
              <w:rPr>
                <w:rFonts w:eastAsia="Calibri"/>
                <w:i/>
                <w:sz w:val="22"/>
                <w:szCs w:val="22"/>
                <w:shd w:val="clear" w:color="auto" w:fill="FFFFFF"/>
              </w:rPr>
              <w:t>(</w:t>
            </w:r>
            <w:r>
              <w:rPr>
                <w:rFonts w:eastAsia="Calibri"/>
                <w:b/>
                <w:bCs/>
                <w:i/>
                <w:sz w:val="22"/>
                <w:szCs w:val="22"/>
                <w:shd w:val="clear" w:color="auto" w:fill="FFFFFF"/>
              </w:rPr>
              <w:t>EI/REI60</w:t>
            </w:r>
            <w:r>
              <w:rPr>
                <w:rFonts w:eastAsia="Calibri"/>
                <w:i/>
                <w:sz w:val="22"/>
                <w:szCs w:val="22"/>
                <w:shd w:val="clear" w:color="auto" w:fill="FFFFFF"/>
              </w:rPr>
              <w:t>)</w:t>
            </w:r>
          </w:p>
        </w:tc>
        <w:tc>
          <w:tcPr>
            <w:tcW w:w="1433" w:type="dxa"/>
            <w:tcMar>
              <w:top w:w="0" w:type="dxa"/>
              <w:left w:w="0" w:type="dxa"/>
              <w:bottom w:w="0" w:type="dxa"/>
              <w:right w:w="0" w:type="dxa"/>
            </w:tcMar>
            <w:vAlign w:val="center"/>
          </w:tcPr>
          <w:p w14:paraId="14E615D6" w14:textId="77777777" w:rsidR="001C08A5" w:rsidRDefault="00000000">
            <w:pPr>
              <w:jc w:val="center"/>
              <w:rPr>
                <w:i/>
                <w:sz w:val="22"/>
                <w:szCs w:val="22"/>
                <w:lang w:val="en-US" w:eastAsia="zh-CN" w:bidi="ar"/>
              </w:rPr>
            </w:pPr>
            <w:r>
              <w:rPr>
                <w:b/>
                <w:bCs/>
                <w:i/>
                <w:sz w:val="22"/>
                <w:szCs w:val="22"/>
                <w:lang w:val="en-GB"/>
              </w:rPr>
              <w:t>A1, A2s1d0</w:t>
            </w:r>
          </w:p>
          <w:p w14:paraId="59E0829D" w14:textId="77777777" w:rsidR="001C08A5" w:rsidRDefault="00000000">
            <w:pPr>
              <w:jc w:val="center"/>
              <w:rPr>
                <w:i/>
                <w:sz w:val="22"/>
                <w:szCs w:val="22"/>
                <w:lang w:val="en-US" w:eastAsia="zh-CN" w:bidi="ar"/>
              </w:rPr>
            </w:pPr>
            <w:r>
              <w:rPr>
                <w:rFonts w:eastAsia="Calibri"/>
                <w:i/>
                <w:sz w:val="22"/>
                <w:szCs w:val="22"/>
                <w:shd w:val="clear" w:color="auto" w:fill="FFFFFF"/>
              </w:rPr>
              <w:t>(</w:t>
            </w:r>
            <w:r>
              <w:rPr>
                <w:rFonts w:eastAsia="Calibri"/>
                <w:b/>
                <w:bCs/>
                <w:i/>
                <w:sz w:val="22"/>
                <w:szCs w:val="22"/>
                <w:shd w:val="clear" w:color="auto" w:fill="FFFFFF"/>
              </w:rPr>
              <w:t>REI45</w:t>
            </w:r>
            <w:r>
              <w:rPr>
                <w:rFonts w:eastAsia="Calibri"/>
                <w:i/>
                <w:sz w:val="22"/>
                <w:szCs w:val="22"/>
                <w:shd w:val="clear" w:color="auto" w:fill="FFFFFF"/>
              </w:rPr>
              <w:t>)</w:t>
            </w:r>
          </w:p>
        </w:tc>
        <w:tc>
          <w:tcPr>
            <w:tcW w:w="2551" w:type="dxa"/>
            <w:vMerge/>
            <w:tcMar>
              <w:top w:w="0" w:type="dxa"/>
              <w:left w:w="0" w:type="dxa"/>
              <w:bottom w:w="0" w:type="dxa"/>
              <w:right w:w="0" w:type="dxa"/>
            </w:tcMar>
          </w:tcPr>
          <w:p w14:paraId="14FFB301" w14:textId="77777777" w:rsidR="001C08A5" w:rsidRDefault="001C08A5">
            <w:pPr>
              <w:rPr>
                <w:i/>
                <w:sz w:val="22"/>
                <w:szCs w:val="22"/>
              </w:rPr>
            </w:pPr>
          </w:p>
        </w:tc>
      </w:tr>
      <w:tr w:rsidR="001C08A5" w14:paraId="7CF92521" w14:textId="77777777">
        <w:trPr>
          <w:trHeight w:val="565"/>
          <w:jc w:val="center"/>
        </w:trPr>
        <w:tc>
          <w:tcPr>
            <w:tcW w:w="337" w:type="dxa"/>
            <w:tcMar>
              <w:top w:w="0" w:type="dxa"/>
              <w:left w:w="0" w:type="dxa"/>
              <w:bottom w:w="0" w:type="dxa"/>
              <w:right w:w="0" w:type="dxa"/>
            </w:tcMar>
          </w:tcPr>
          <w:p w14:paraId="298DB78B" w14:textId="77777777" w:rsidR="001C08A5" w:rsidRDefault="00000000">
            <w:pPr>
              <w:jc w:val="center"/>
              <w:rPr>
                <w:i/>
                <w:sz w:val="22"/>
                <w:szCs w:val="22"/>
              </w:rPr>
            </w:pPr>
            <w:r>
              <w:rPr>
                <w:i/>
                <w:sz w:val="22"/>
                <w:szCs w:val="22"/>
                <w:lang w:val="en-US" w:eastAsia="zh-CN" w:bidi="ar"/>
              </w:rPr>
              <w:t>3.</w:t>
            </w:r>
          </w:p>
        </w:tc>
        <w:tc>
          <w:tcPr>
            <w:tcW w:w="2560" w:type="dxa"/>
            <w:tcMar>
              <w:top w:w="0" w:type="dxa"/>
              <w:left w:w="0" w:type="dxa"/>
              <w:bottom w:w="0" w:type="dxa"/>
              <w:right w:w="0" w:type="dxa"/>
            </w:tcMar>
          </w:tcPr>
          <w:p w14:paraId="3CC72344" w14:textId="77777777" w:rsidR="001C08A5" w:rsidRDefault="00000000">
            <w:pPr>
              <w:rPr>
                <w:i/>
                <w:sz w:val="22"/>
                <w:szCs w:val="22"/>
              </w:rPr>
            </w:pPr>
            <w:r>
              <w:rPr>
                <w:i/>
                <w:sz w:val="22"/>
                <w:szCs w:val="22"/>
                <w:lang w:val="en-US" w:eastAsia="zh-CN" w:bidi="ar"/>
              </w:rPr>
              <w:t>Planșeele peste subsol sau demisol atât la încăperile accesibile publicu- lui, cât și la căile lor de evacuare, precum și la ateliere.</w:t>
            </w:r>
          </w:p>
        </w:tc>
        <w:tc>
          <w:tcPr>
            <w:tcW w:w="1421" w:type="dxa"/>
            <w:tcMar>
              <w:top w:w="0" w:type="dxa"/>
              <w:left w:w="0" w:type="dxa"/>
              <w:bottom w:w="0" w:type="dxa"/>
              <w:right w:w="0" w:type="dxa"/>
            </w:tcMar>
            <w:vAlign w:val="center"/>
          </w:tcPr>
          <w:p w14:paraId="3EA0C464" w14:textId="77777777" w:rsidR="001C08A5" w:rsidRDefault="00000000">
            <w:pPr>
              <w:jc w:val="center"/>
              <w:rPr>
                <w:i/>
                <w:sz w:val="22"/>
                <w:szCs w:val="22"/>
              </w:rPr>
            </w:pPr>
            <w:r>
              <w:rPr>
                <w:b/>
                <w:bCs/>
                <w:i/>
                <w:sz w:val="22"/>
                <w:szCs w:val="22"/>
                <w:lang w:val="en-US" w:eastAsia="zh-CN" w:bidi="ar"/>
              </w:rPr>
              <w:t>I-III</w:t>
            </w:r>
          </w:p>
        </w:tc>
        <w:tc>
          <w:tcPr>
            <w:tcW w:w="1246" w:type="dxa"/>
            <w:tcMar>
              <w:top w:w="0" w:type="dxa"/>
              <w:left w:w="0" w:type="dxa"/>
              <w:bottom w:w="0" w:type="dxa"/>
              <w:right w:w="0" w:type="dxa"/>
            </w:tcMar>
            <w:vAlign w:val="center"/>
          </w:tcPr>
          <w:p w14:paraId="389AFE41" w14:textId="77777777" w:rsidR="001C08A5" w:rsidRDefault="00000000">
            <w:pPr>
              <w:jc w:val="center"/>
              <w:rPr>
                <w:i/>
                <w:sz w:val="22"/>
                <w:szCs w:val="22"/>
              </w:rPr>
            </w:pPr>
            <w:r>
              <w:rPr>
                <w:i/>
                <w:sz w:val="22"/>
                <w:szCs w:val="22"/>
                <w:lang w:val="en-US" w:eastAsia="zh-CN" w:bidi="ar"/>
              </w:rPr>
              <w:t>-</w:t>
            </w:r>
          </w:p>
        </w:tc>
        <w:tc>
          <w:tcPr>
            <w:tcW w:w="1433" w:type="dxa"/>
            <w:tcMar>
              <w:top w:w="0" w:type="dxa"/>
              <w:left w:w="0" w:type="dxa"/>
              <w:bottom w:w="0" w:type="dxa"/>
              <w:right w:w="0" w:type="dxa"/>
            </w:tcMar>
            <w:vAlign w:val="center"/>
          </w:tcPr>
          <w:p w14:paraId="2D18D9DB" w14:textId="77777777" w:rsidR="001C08A5" w:rsidRDefault="00000000">
            <w:pPr>
              <w:jc w:val="center"/>
              <w:rPr>
                <w:i/>
                <w:sz w:val="22"/>
                <w:szCs w:val="22"/>
                <w:lang w:val="en-US" w:eastAsia="zh-CN" w:bidi="ar"/>
              </w:rPr>
            </w:pPr>
            <w:r>
              <w:rPr>
                <w:b/>
                <w:bCs/>
                <w:i/>
                <w:sz w:val="22"/>
                <w:szCs w:val="22"/>
                <w:lang w:val="en-GB"/>
              </w:rPr>
              <w:t>A1, A2s1d0</w:t>
            </w:r>
          </w:p>
          <w:p w14:paraId="2D6A8306" w14:textId="77777777" w:rsidR="001C08A5" w:rsidRDefault="00000000">
            <w:pPr>
              <w:jc w:val="center"/>
              <w:rPr>
                <w:i/>
                <w:sz w:val="22"/>
                <w:szCs w:val="22"/>
                <w:lang w:val="en-US" w:eastAsia="zh-CN" w:bidi="ar"/>
              </w:rPr>
            </w:pPr>
            <w:r>
              <w:rPr>
                <w:rFonts w:eastAsia="Calibri"/>
                <w:i/>
                <w:sz w:val="22"/>
                <w:szCs w:val="22"/>
                <w:shd w:val="clear" w:color="auto" w:fill="FFFFFF"/>
              </w:rPr>
              <w:t>(</w:t>
            </w:r>
            <w:r>
              <w:rPr>
                <w:rFonts w:eastAsia="Calibri"/>
                <w:b/>
                <w:bCs/>
                <w:i/>
                <w:sz w:val="22"/>
                <w:szCs w:val="22"/>
                <w:shd w:val="clear" w:color="auto" w:fill="FFFFFF"/>
              </w:rPr>
              <w:t>REI90</w:t>
            </w:r>
            <w:r>
              <w:rPr>
                <w:rFonts w:eastAsia="Calibri"/>
                <w:i/>
                <w:sz w:val="22"/>
                <w:szCs w:val="22"/>
                <w:shd w:val="clear" w:color="auto" w:fill="FFFFFF"/>
              </w:rPr>
              <w:t>)</w:t>
            </w:r>
          </w:p>
        </w:tc>
        <w:tc>
          <w:tcPr>
            <w:tcW w:w="2551" w:type="dxa"/>
            <w:tcMar>
              <w:top w:w="0" w:type="dxa"/>
              <w:left w:w="0" w:type="dxa"/>
              <w:bottom w:w="0" w:type="dxa"/>
              <w:right w:w="0" w:type="dxa"/>
            </w:tcMar>
          </w:tcPr>
          <w:p w14:paraId="6A313633" w14:textId="77777777" w:rsidR="001C08A5" w:rsidRDefault="00000000">
            <w:pPr>
              <w:rPr>
                <w:i/>
                <w:sz w:val="22"/>
                <w:szCs w:val="22"/>
              </w:rPr>
            </w:pPr>
            <w:r>
              <w:rPr>
                <w:i/>
                <w:sz w:val="22"/>
                <w:szCs w:val="22"/>
                <w:lang w:val="en-US" w:eastAsia="zh-CN" w:bidi="ar"/>
              </w:rPr>
              <w:t>în săli de alimentație publică, rezistența la foc se poate reduce la 1 oră cu excepția planșeelor peste depozite de materiale combustibile</w:t>
            </w:r>
          </w:p>
        </w:tc>
      </w:tr>
      <w:tr w:rsidR="001C08A5" w14:paraId="6C7167D4" w14:textId="77777777">
        <w:trPr>
          <w:trHeight w:val="1410"/>
          <w:jc w:val="center"/>
        </w:trPr>
        <w:tc>
          <w:tcPr>
            <w:tcW w:w="337" w:type="dxa"/>
            <w:tcMar>
              <w:top w:w="0" w:type="dxa"/>
              <w:left w:w="0" w:type="dxa"/>
              <w:bottom w:w="0" w:type="dxa"/>
              <w:right w:w="0" w:type="dxa"/>
            </w:tcMar>
          </w:tcPr>
          <w:p w14:paraId="7D1264B0" w14:textId="77777777" w:rsidR="001C08A5" w:rsidRDefault="00000000">
            <w:pPr>
              <w:jc w:val="center"/>
              <w:rPr>
                <w:i/>
                <w:sz w:val="22"/>
                <w:szCs w:val="22"/>
              </w:rPr>
            </w:pPr>
            <w:r>
              <w:rPr>
                <w:i/>
                <w:sz w:val="22"/>
                <w:szCs w:val="22"/>
                <w:lang w:val="en-US" w:eastAsia="zh-CN" w:bidi="ar"/>
              </w:rPr>
              <w:t>4.</w:t>
            </w:r>
          </w:p>
        </w:tc>
        <w:tc>
          <w:tcPr>
            <w:tcW w:w="2560" w:type="dxa"/>
            <w:tcMar>
              <w:top w:w="0" w:type="dxa"/>
              <w:left w:w="0" w:type="dxa"/>
              <w:bottom w:w="0" w:type="dxa"/>
              <w:right w:w="0" w:type="dxa"/>
            </w:tcMar>
          </w:tcPr>
          <w:p w14:paraId="45AD9DF6" w14:textId="77777777" w:rsidR="001C08A5" w:rsidRDefault="00000000">
            <w:pPr>
              <w:rPr>
                <w:i/>
                <w:sz w:val="22"/>
                <w:szCs w:val="22"/>
              </w:rPr>
            </w:pPr>
            <w:r>
              <w:rPr>
                <w:i/>
                <w:sz w:val="22"/>
                <w:szCs w:val="22"/>
                <w:lang w:val="en-US" w:eastAsia="zh-CN" w:bidi="ar"/>
              </w:rPr>
              <w:t>Elemente de separare între depozitele de obiecte de valoare ale muzeelor, arhi- velor, bibliotecilor și restul construcției</w:t>
            </w:r>
            <w:r>
              <w:rPr>
                <w:i/>
                <w:sz w:val="22"/>
                <w:szCs w:val="22"/>
                <w:lang w:eastAsia="zh-CN" w:bidi="ar"/>
              </w:rPr>
              <w:t xml:space="preserve"> </w:t>
            </w:r>
            <w:r>
              <w:rPr>
                <w:rFonts w:eastAsia="Calibri"/>
                <w:i/>
                <w:sz w:val="22"/>
                <w:szCs w:val="22"/>
                <w:shd w:val="clear" w:color="auto" w:fill="FFFFFF"/>
              </w:rPr>
              <w:t xml:space="preserve">existente </w:t>
            </w:r>
          </w:p>
        </w:tc>
        <w:tc>
          <w:tcPr>
            <w:tcW w:w="1421" w:type="dxa"/>
            <w:tcMar>
              <w:top w:w="0" w:type="dxa"/>
              <w:left w:w="0" w:type="dxa"/>
              <w:bottom w:w="0" w:type="dxa"/>
              <w:right w:w="0" w:type="dxa"/>
            </w:tcMar>
            <w:vAlign w:val="center"/>
          </w:tcPr>
          <w:p w14:paraId="3091C11B" w14:textId="77777777" w:rsidR="001C08A5" w:rsidRDefault="00000000">
            <w:pPr>
              <w:jc w:val="center"/>
              <w:rPr>
                <w:i/>
                <w:sz w:val="22"/>
                <w:szCs w:val="22"/>
              </w:rPr>
            </w:pPr>
            <w:r>
              <w:rPr>
                <w:b/>
                <w:bCs/>
                <w:i/>
                <w:sz w:val="22"/>
                <w:szCs w:val="22"/>
                <w:lang w:val="en-US" w:eastAsia="zh-CN" w:bidi="ar"/>
              </w:rPr>
              <w:t>I-III</w:t>
            </w:r>
          </w:p>
        </w:tc>
        <w:tc>
          <w:tcPr>
            <w:tcW w:w="1246" w:type="dxa"/>
            <w:tcMar>
              <w:top w:w="0" w:type="dxa"/>
              <w:left w:w="0" w:type="dxa"/>
              <w:bottom w:w="0" w:type="dxa"/>
              <w:right w:w="0" w:type="dxa"/>
            </w:tcMar>
            <w:vAlign w:val="center"/>
          </w:tcPr>
          <w:p w14:paraId="62AA015F" w14:textId="77777777" w:rsidR="001C08A5" w:rsidRDefault="00000000">
            <w:pPr>
              <w:jc w:val="center"/>
              <w:rPr>
                <w:i/>
                <w:sz w:val="22"/>
                <w:szCs w:val="22"/>
                <w:lang w:val="en-US" w:eastAsia="zh-CN" w:bidi="ar"/>
              </w:rPr>
            </w:pPr>
            <w:r>
              <w:rPr>
                <w:b/>
                <w:bCs/>
                <w:i/>
                <w:sz w:val="22"/>
                <w:szCs w:val="22"/>
                <w:lang w:val="en-GB"/>
              </w:rPr>
              <w:t>A1, A2s1d0</w:t>
            </w:r>
          </w:p>
          <w:p w14:paraId="2F038E2D" w14:textId="77777777" w:rsidR="001C08A5" w:rsidRDefault="00000000">
            <w:pPr>
              <w:jc w:val="center"/>
              <w:rPr>
                <w:i/>
                <w:sz w:val="22"/>
                <w:szCs w:val="22"/>
                <w:lang w:val="en-US" w:eastAsia="zh-CN" w:bidi="ar"/>
              </w:rPr>
            </w:pPr>
            <w:r>
              <w:rPr>
                <w:rFonts w:eastAsia="Calibri"/>
                <w:i/>
                <w:sz w:val="22"/>
                <w:szCs w:val="22"/>
                <w:shd w:val="clear" w:color="auto" w:fill="FFFFFF"/>
              </w:rPr>
              <w:t>(</w:t>
            </w:r>
            <w:r>
              <w:rPr>
                <w:rFonts w:eastAsia="Calibri"/>
                <w:b/>
                <w:bCs/>
                <w:i/>
                <w:sz w:val="22"/>
                <w:szCs w:val="22"/>
                <w:shd w:val="clear" w:color="auto" w:fill="FFFFFF"/>
              </w:rPr>
              <w:t>EI/REI180</w:t>
            </w:r>
            <w:r>
              <w:rPr>
                <w:rFonts w:eastAsia="Calibri"/>
                <w:i/>
                <w:sz w:val="22"/>
                <w:szCs w:val="22"/>
                <w:shd w:val="clear" w:color="auto" w:fill="FFFFFF"/>
              </w:rPr>
              <w:t>)</w:t>
            </w:r>
          </w:p>
        </w:tc>
        <w:tc>
          <w:tcPr>
            <w:tcW w:w="1433" w:type="dxa"/>
            <w:tcMar>
              <w:top w:w="0" w:type="dxa"/>
              <w:left w:w="0" w:type="dxa"/>
              <w:bottom w:w="0" w:type="dxa"/>
              <w:right w:w="0" w:type="dxa"/>
            </w:tcMar>
            <w:vAlign w:val="center"/>
          </w:tcPr>
          <w:p w14:paraId="36722712" w14:textId="77777777" w:rsidR="001C08A5" w:rsidRDefault="00000000">
            <w:pPr>
              <w:jc w:val="center"/>
              <w:rPr>
                <w:i/>
                <w:sz w:val="22"/>
                <w:szCs w:val="22"/>
                <w:lang w:val="en-US" w:eastAsia="zh-CN" w:bidi="ar"/>
              </w:rPr>
            </w:pPr>
            <w:r>
              <w:rPr>
                <w:b/>
                <w:bCs/>
                <w:i/>
                <w:sz w:val="22"/>
                <w:szCs w:val="22"/>
                <w:lang w:val="en-GB"/>
              </w:rPr>
              <w:t>A1, A2s1d0</w:t>
            </w:r>
          </w:p>
          <w:p w14:paraId="5451A565" w14:textId="77777777" w:rsidR="001C08A5" w:rsidRDefault="00000000">
            <w:pPr>
              <w:jc w:val="center"/>
              <w:rPr>
                <w:i/>
                <w:sz w:val="22"/>
                <w:szCs w:val="22"/>
                <w:lang w:val="en-US" w:eastAsia="zh-CN" w:bidi="ar"/>
              </w:rPr>
            </w:pPr>
            <w:r>
              <w:rPr>
                <w:rFonts w:eastAsia="Calibri"/>
                <w:i/>
                <w:sz w:val="22"/>
                <w:szCs w:val="22"/>
                <w:shd w:val="clear" w:color="auto" w:fill="FFFFFF"/>
              </w:rPr>
              <w:t>(</w:t>
            </w:r>
            <w:r>
              <w:rPr>
                <w:rFonts w:eastAsia="Calibri"/>
                <w:b/>
                <w:bCs/>
                <w:i/>
                <w:sz w:val="22"/>
                <w:szCs w:val="22"/>
                <w:shd w:val="clear" w:color="auto" w:fill="FFFFFF"/>
              </w:rPr>
              <w:t>REI60</w:t>
            </w:r>
            <w:r>
              <w:rPr>
                <w:rFonts w:eastAsia="Calibri"/>
                <w:i/>
                <w:sz w:val="22"/>
                <w:szCs w:val="22"/>
                <w:shd w:val="clear" w:color="auto" w:fill="FFFFFF"/>
              </w:rPr>
              <w:t>)</w:t>
            </w:r>
          </w:p>
          <w:p w14:paraId="5B42F4F2" w14:textId="77777777" w:rsidR="001C08A5" w:rsidRDefault="001C08A5">
            <w:pPr>
              <w:jc w:val="center"/>
              <w:rPr>
                <w:i/>
                <w:sz w:val="22"/>
                <w:szCs w:val="22"/>
                <w:lang w:val="en-US" w:eastAsia="zh-CN" w:bidi="ar"/>
              </w:rPr>
            </w:pPr>
          </w:p>
        </w:tc>
        <w:tc>
          <w:tcPr>
            <w:tcW w:w="2551" w:type="dxa"/>
            <w:tcMar>
              <w:top w:w="0" w:type="dxa"/>
              <w:left w:w="0" w:type="dxa"/>
              <w:bottom w:w="0" w:type="dxa"/>
              <w:right w:w="0" w:type="dxa"/>
            </w:tcMar>
          </w:tcPr>
          <w:p w14:paraId="32BBDF47" w14:textId="77777777" w:rsidR="001C08A5" w:rsidRDefault="00000000">
            <w:pPr>
              <w:rPr>
                <w:i/>
                <w:sz w:val="22"/>
                <w:szCs w:val="22"/>
              </w:rPr>
            </w:pPr>
            <w:r>
              <w:rPr>
                <w:i/>
                <w:sz w:val="22"/>
                <w:szCs w:val="22"/>
                <w:lang w:val="en-US" w:eastAsia="zh-CN" w:bidi="ar"/>
              </w:rPr>
              <w:t>Ușile depozitelor vor fi rezistente la foc 1 1 ore echipate cu 2 dispozitive de autoinchidere sau închidere automată în caz de incendiu</w:t>
            </w:r>
          </w:p>
        </w:tc>
      </w:tr>
    </w:tbl>
    <w:p w14:paraId="55A92354" w14:textId="77777777" w:rsidR="001C08A5" w:rsidRDefault="001C08A5">
      <w:pPr>
        <w:shd w:val="clear" w:color="auto" w:fill="FFFFFF"/>
        <w:spacing w:after="150"/>
        <w:jc w:val="both"/>
        <w:rPr>
          <w:rFonts w:eastAsia="Calibri"/>
          <w:b/>
          <w:i/>
          <w:sz w:val="24"/>
          <w:szCs w:val="24"/>
          <w:shd w:val="clear" w:color="auto" w:fill="FFFFFF"/>
        </w:rPr>
      </w:pPr>
    </w:p>
    <w:p w14:paraId="54BD3C5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4.1.34.</w:t>
      </w:r>
      <w:r>
        <w:rPr>
          <w:rFonts w:eastAsia="Calibri"/>
          <w:i/>
          <w:sz w:val="24"/>
          <w:szCs w:val="24"/>
          <w:shd w:val="clear" w:color="auto" w:fill="FFFFFF"/>
        </w:rPr>
        <w:t xml:space="preserve"> În interiorul compartimentelor de incendiu sau funcționale ale sălilor aglomerate existente, încăperile cu risc mare de incendiu sau care adăpostesc aparataj ori obiecte de importanță deosebită, se separă de restul construcției existente prin pereți și planșee a căror rezistență la foc se stabilește în funcție de densitatea sarcinii termice, de importanța bunurilor și de nivelul riscului de incendiu. Cabinele tehnice necesare funcțional, pot avea spre sală geamuri rezistente la foc sau protejate cu obloane rezistente la foc sau cu perdele de drencere, dacă aceste cabine se separă de restul clădirii existente în aceleași condiții ca și sala aglomerată. Elementele de separare trebuie să îndeplinească pe lângă cerințele de mai sus și condițiile din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_Ref15782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164</w:t>
      </w:r>
      <w:r>
        <w:rPr>
          <w:rFonts w:eastAsia="Calibri"/>
          <w:b/>
          <w:bCs/>
          <w:i/>
          <w:iCs/>
          <w:sz w:val="24"/>
          <w:szCs w:val="24"/>
          <w:shd w:val="clear" w:color="auto" w:fill="FFFFFF"/>
        </w:rPr>
        <w:fldChar w:fldCharType="end"/>
      </w:r>
      <w:r>
        <w:rPr>
          <w:rFonts w:eastAsia="Calibri"/>
          <w:i/>
          <w:sz w:val="24"/>
          <w:szCs w:val="24"/>
          <w:shd w:val="clear" w:color="auto" w:fill="FFFFFF"/>
        </w:rPr>
        <w:t>.</w:t>
      </w:r>
    </w:p>
    <w:p w14:paraId="7AC07B8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4.1.35.</w:t>
      </w:r>
      <w:r>
        <w:rPr>
          <w:rFonts w:eastAsia="Calibri"/>
          <w:i/>
          <w:sz w:val="24"/>
          <w:szCs w:val="24"/>
          <w:shd w:val="clear" w:color="auto" w:fill="FFFFFF"/>
        </w:rPr>
        <w:t xml:space="preserve"> Pereții și planșeele de separare a spațiilor închise pentru parcarea autovehiculelor față de clădirile existente cu săli aglomerate trebuie să fie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rezistente la foc min. 4 ore pentru pereți și respectiv 2 ore pentru planșee (</w:t>
      </w:r>
      <w:r>
        <w:rPr>
          <w:rFonts w:eastAsia="Calibri"/>
          <w:b/>
          <w:bCs/>
          <w:i/>
          <w:sz w:val="24"/>
          <w:szCs w:val="24"/>
          <w:shd w:val="clear" w:color="auto" w:fill="FFFFFF"/>
        </w:rPr>
        <w:t>EI/REI240</w:t>
      </w:r>
      <w:r>
        <w:rPr>
          <w:rFonts w:eastAsia="Calibri"/>
          <w:i/>
          <w:sz w:val="24"/>
          <w:szCs w:val="24"/>
          <w:shd w:val="clear" w:color="auto" w:fill="FFFFFF"/>
        </w:rPr>
        <w:t xml:space="preserve"> pereți și </w:t>
      </w:r>
      <w:r>
        <w:rPr>
          <w:rFonts w:eastAsia="Calibri"/>
          <w:b/>
          <w:bCs/>
          <w:i/>
          <w:sz w:val="24"/>
          <w:szCs w:val="24"/>
          <w:shd w:val="clear" w:color="auto" w:fill="FFFFFF"/>
        </w:rPr>
        <w:t>REI120</w:t>
      </w:r>
      <w:r>
        <w:rPr>
          <w:rFonts w:eastAsia="Calibri"/>
          <w:i/>
          <w:sz w:val="24"/>
          <w:szCs w:val="24"/>
          <w:shd w:val="clear" w:color="auto" w:fill="FFFFFF"/>
        </w:rPr>
        <w:t xml:space="preserve"> planșee). În acești pereți se admit numai goluri de acces necesare circulației, protejate cu uși rezistente la foc 1 oră și 30 de minute (</w:t>
      </w:r>
      <w:r>
        <w:rPr>
          <w:rFonts w:eastAsia="Calibri"/>
          <w:b/>
          <w:bCs/>
          <w:i/>
          <w:sz w:val="24"/>
          <w:szCs w:val="24"/>
          <w:shd w:val="clear" w:color="auto" w:fill="FFFFFF"/>
        </w:rPr>
        <w:t>EI90-C</w:t>
      </w:r>
      <w:r>
        <w:rPr>
          <w:rFonts w:eastAsia="Calibri"/>
          <w:i/>
          <w:sz w:val="24"/>
          <w:szCs w:val="24"/>
          <w:shd w:val="clear" w:color="auto" w:fill="FFFFFF"/>
        </w:rPr>
        <w:t>), sau încăperi tampon prevăzute cu uși rezistente la foc 45 de minute (</w:t>
      </w:r>
      <w:r>
        <w:rPr>
          <w:rFonts w:eastAsia="Calibri"/>
          <w:b/>
          <w:bCs/>
          <w:i/>
          <w:sz w:val="24"/>
          <w:szCs w:val="24"/>
          <w:shd w:val="clear" w:color="auto" w:fill="FFFFFF"/>
        </w:rPr>
        <w:t>EI45-C</w:t>
      </w:r>
      <w:r>
        <w:rPr>
          <w:rFonts w:eastAsia="Calibri"/>
          <w:i/>
          <w:sz w:val="24"/>
          <w:szCs w:val="24"/>
          <w:shd w:val="clear" w:color="auto" w:fill="FFFFFF"/>
        </w:rPr>
        <w:t>), echipate cu dispozitive de autoînchidere sau închidere automată în caz de incendiu.</w:t>
      </w:r>
    </w:p>
    <w:p w14:paraId="454F73B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4.1.36.</w:t>
      </w:r>
      <w:r>
        <w:rPr>
          <w:rFonts w:eastAsia="Calibri"/>
          <w:i/>
          <w:sz w:val="24"/>
          <w:szCs w:val="24"/>
          <w:shd w:val="clear" w:color="auto" w:fill="FFFFFF"/>
        </w:rPr>
        <w:t xml:space="preserve"> Pentru evacuarea fumului degajat în caz de incendiu (desfumare), la partea superioară a sălilor aglomerate existente în care are acces publicul, se prevăd dispozitive amplasate judicios, a căror suprafață totală va fi cel puțin </w:t>
      </w:r>
      <w:r>
        <w:rPr>
          <w:rFonts w:eastAsia="Calibri"/>
          <w:b/>
          <w:bCs/>
          <w:i/>
          <w:sz w:val="24"/>
          <w:szCs w:val="24"/>
          <w:shd w:val="clear" w:color="auto" w:fill="FFFFFF"/>
        </w:rPr>
        <w:t>1/100</w:t>
      </w:r>
      <w:r>
        <w:rPr>
          <w:rFonts w:eastAsia="Calibri"/>
          <w:i/>
          <w:sz w:val="24"/>
          <w:szCs w:val="24"/>
          <w:shd w:val="clear" w:color="auto" w:fill="FFFFFF"/>
        </w:rPr>
        <w:t xml:space="preserve"> din suprafața sălii sau se asigură desfumarea prin sistem mecanic.</w:t>
      </w:r>
    </w:p>
    <w:p w14:paraId="1416D13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4.1.37.</w:t>
      </w:r>
      <w:r>
        <w:rPr>
          <w:rFonts w:eastAsia="Calibri"/>
          <w:i/>
          <w:sz w:val="24"/>
          <w:szCs w:val="24"/>
          <w:shd w:val="clear" w:color="auto" w:fill="FFFFFF"/>
        </w:rPr>
        <w:t xml:space="preserve"> Dispozitivele pentru evacuarea fumului în caz de incendiu ce se prevăd la partea superioară a sălilor accesibile publicului vor fi repartizate cât mai uniform. Acestea pot comunica cu exteriorul, fie direct, fie prin coșuri de evacuare cu secțiune echivalentă, având pereți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rezistența la foc de min. 30 minute (</w:t>
      </w:r>
      <w:r>
        <w:rPr>
          <w:rFonts w:eastAsia="Calibri"/>
          <w:b/>
          <w:bCs/>
          <w:i/>
          <w:sz w:val="24"/>
          <w:szCs w:val="24"/>
          <w:shd w:val="clear" w:color="auto" w:fill="FFFFFF"/>
        </w:rPr>
        <w:t>EI30</w:t>
      </w:r>
      <w:r>
        <w:rPr>
          <w:rFonts w:eastAsia="Calibri"/>
          <w:i/>
          <w:sz w:val="24"/>
          <w:szCs w:val="24"/>
          <w:shd w:val="clear" w:color="auto" w:fill="FFFFFF"/>
        </w:rPr>
        <w:t>). Dispozitivele de evacuare a fumului, trebuie să poată fi acționate și prin comenzi manuale, ușoraccesibiledelanivelulsălii.</w:t>
      </w:r>
    </w:p>
    <w:p w14:paraId="4A657C2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4.1.38.</w:t>
      </w:r>
      <w:r>
        <w:rPr>
          <w:rFonts w:eastAsia="Calibri"/>
          <w:i/>
          <w:sz w:val="24"/>
          <w:szCs w:val="24"/>
          <w:shd w:val="clear" w:color="auto" w:fill="FFFFFF"/>
        </w:rPr>
        <w:t> Elemente decorative interioare, finisajele, tratamentele termice și acustice ale sălilor aglomerate existente vor fi astfel alcătuite și realizate încât să nu propage incendiul cu ușurință, conform prevederilor prezentei anexe.</w:t>
      </w:r>
    </w:p>
    <w:p w14:paraId="3259CFF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4.1.39.</w:t>
      </w:r>
      <w:r>
        <w:rPr>
          <w:rFonts w:eastAsia="Calibri"/>
          <w:i/>
          <w:sz w:val="24"/>
          <w:szCs w:val="24"/>
          <w:shd w:val="clear" w:color="auto" w:fill="FFFFFF"/>
        </w:rPr>
        <w:t xml:space="preserve"> Elementele decorative interioare, finisajele precum și tratamentele termice și acustice ale sălilor aglomerate existente, de regulă, vor fi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Acestea pot fi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xml:space="preserve"> sau executate din lemn și ignifugate cel puțin pe partea neaparentă, inclusiv scheletul de montare. Se recomandă ca distanțele dintre finisaje sau tratamente acustice și pereții suport să nu fie mai mare de 15 cm. Golurile astfel realizate vor fi împărțite prin diafragme, (care pot fi din lemn ignifugat), în celule cu dimensiuni maxime de </w:t>
      </w:r>
      <w:r>
        <w:rPr>
          <w:rFonts w:eastAsia="Calibri"/>
          <w:b/>
          <w:bCs/>
          <w:i/>
          <w:sz w:val="24"/>
          <w:szCs w:val="24"/>
          <w:shd w:val="clear" w:color="auto" w:fill="FFFFFF"/>
        </w:rPr>
        <w:t>3,00</w:t>
      </w:r>
      <w:r>
        <w:rPr>
          <w:rFonts w:eastAsia="Calibri"/>
          <w:i/>
          <w:sz w:val="24"/>
          <w:szCs w:val="24"/>
          <w:shd w:val="clear" w:color="auto" w:fill="FFFFFF"/>
        </w:rPr>
        <w:t xml:space="preserve"> x </w:t>
      </w:r>
      <w:r>
        <w:rPr>
          <w:rFonts w:eastAsia="Calibri"/>
          <w:b/>
          <w:bCs/>
          <w:i/>
          <w:sz w:val="24"/>
          <w:szCs w:val="24"/>
          <w:shd w:val="clear" w:color="auto" w:fill="FFFFFF"/>
        </w:rPr>
        <w:t>3,00</w:t>
      </w:r>
      <w:r>
        <w:rPr>
          <w:rFonts w:eastAsia="Calibri"/>
          <w:i/>
          <w:sz w:val="24"/>
          <w:szCs w:val="24"/>
          <w:shd w:val="clear" w:color="auto" w:fill="FFFFFF"/>
        </w:rPr>
        <w:t xml:space="preserve"> m, astfel încât să se evite formarea de curenți favorabil dezvoltării incendiilor.</w:t>
      </w:r>
    </w:p>
    <w:p w14:paraId="3A8B4B9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4.1.40.</w:t>
      </w:r>
      <w:r>
        <w:rPr>
          <w:rFonts w:eastAsia="Calibri"/>
          <w:i/>
          <w:sz w:val="24"/>
          <w:szCs w:val="24"/>
          <w:shd w:val="clear" w:color="auto" w:fill="FFFFFF"/>
        </w:rPr>
        <w:t xml:space="preserve"> În sălile aglomerate existente și anexele lor în care publicul are acces, plafoanele suspendate vor fi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Se pot utiliza și zone de plafoane suspendate executate din </w:t>
      </w:r>
      <w:r>
        <w:rPr>
          <w:rFonts w:eastAsia="TimesNewRomanPSMT-Identity-H"/>
          <w:i/>
          <w:sz w:val="24"/>
          <w:szCs w:val="24"/>
        </w:rPr>
        <w:t xml:space="preserve">clasa de reacție la foc </w:t>
      </w:r>
      <w:r>
        <w:rPr>
          <w:rFonts w:eastAsia="TimesNewRomanPSMT-Identity-H"/>
          <w:b/>
          <w:bCs/>
          <w:i/>
          <w:sz w:val="24"/>
          <w:szCs w:val="24"/>
          <w:lang w:eastAsia="zh-CN"/>
        </w:rPr>
        <w:t>A2s1÷s3,d0÷d1</w:t>
      </w:r>
      <w:r>
        <w:rPr>
          <w:rFonts w:eastAsia="TimesNewRomanPSMT-Identity-H"/>
          <w:i/>
          <w:sz w:val="24"/>
          <w:szCs w:val="24"/>
          <w:lang w:eastAsia="zh-CN"/>
        </w:rPr>
        <w:t>;</w:t>
      </w:r>
      <w:r>
        <w:rPr>
          <w:rFonts w:eastAsia="TimesNewRomanPSMT-Identity-H"/>
          <w:b/>
          <w:bCs/>
          <w:i/>
          <w:sz w:val="24"/>
          <w:szCs w:val="24"/>
          <w:lang w:eastAsia="zh-CN"/>
        </w:rPr>
        <w:t xml:space="preserve"> Bs1÷s3,d0÷d1</w:t>
      </w:r>
      <w:r>
        <w:rPr>
          <w:rFonts w:eastAsia="TimesNewRomanPSMT-Identity-H"/>
          <w:i/>
          <w:sz w:val="24"/>
          <w:szCs w:val="24"/>
          <w:lang w:eastAsia="zh-CN"/>
        </w:rPr>
        <w:t xml:space="preserve"> sau</w:t>
      </w:r>
      <w:r>
        <w:rPr>
          <w:rFonts w:eastAsia="Calibri"/>
          <w:i/>
          <w:sz w:val="24"/>
          <w:szCs w:val="24"/>
          <w:shd w:val="clear" w:color="auto" w:fill="FFFFFF"/>
        </w:rPr>
        <w:t xml:space="preserve"> </w:t>
      </w:r>
      <w:r>
        <w:rPr>
          <w:rFonts w:eastAsia="TimesNewRomanPSMT-Identity-H"/>
          <w:b/>
          <w:bCs/>
          <w:i/>
          <w:sz w:val="24"/>
          <w:szCs w:val="24"/>
          <w:lang w:eastAsia="zh-CN"/>
        </w:rPr>
        <w:t>Cs1÷s3,d0÷d1</w:t>
      </w:r>
      <w:r>
        <w:rPr>
          <w:rFonts w:eastAsia="Calibri"/>
          <w:i/>
          <w:sz w:val="24"/>
          <w:szCs w:val="24"/>
          <w:shd w:val="clear" w:color="auto" w:fill="FFFFFF"/>
        </w:rPr>
        <w:t xml:space="preserve"> sau din lemn ignifugat, dacă se asigură măsuri corespunzătoare de împiedicare a transmiterii incendiilor de la o porțiune la alta (prin distanțe, fâșii incombustibile, etc). În toate cazurile plafoanele suspendate vor avea elemente de susținere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minimum 30 minute (sau plafon plin </w:t>
      </w:r>
      <w:r>
        <w:rPr>
          <w:rFonts w:eastAsia="Calibri"/>
          <w:b/>
          <w:bCs/>
          <w:i/>
          <w:sz w:val="24"/>
          <w:szCs w:val="24"/>
          <w:shd w:val="clear" w:color="auto" w:fill="FFFFFF"/>
        </w:rPr>
        <w:t>EI30 a↔b</w:t>
      </w:r>
      <w:r>
        <w:rPr>
          <w:rFonts w:eastAsia="Calibri"/>
          <w:i/>
          <w:sz w:val="24"/>
          <w:szCs w:val="24"/>
          <w:shd w:val="clear" w:color="auto" w:fill="FFFFFF"/>
        </w:rPr>
        <w:t xml:space="preserve">), iar spațiul dintre plafonul suspendat și planșeul de rezistență va fi întrerupt la maximum </w:t>
      </w:r>
      <w:r>
        <w:rPr>
          <w:rFonts w:eastAsia="Calibri"/>
          <w:b/>
          <w:bCs/>
          <w:i/>
          <w:sz w:val="24"/>
          <w:szCs w:val="24"/>
          <w:shd w:val="clear" w:color="auto" w:fill="FFFFFF"/>
        </w:rPr>
        <w:t>25 m</w:t>
      </w:r>
      <w:r>
        <w:rPr>
          <w:rFonts w:eastAsia="Calibri"/>
          <w:i/>
          <w:sz w:val="24"/>
          <w:szCs w:val="24"/>
          <w:shd w:val="clear" w:color="auto" w:fill="FFFFFF"/>
        </w:rPr>
        <w:t xml:space="preserve"> (pe două direcții perpendiculare), cu diafragme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w:t>
      </w:r>
    </w:p>
    <w:p w14:paraId="0CDF76B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4.1.41.</w:t>
      </w:r>
      <w:r>
        <w:rPr>
          <w:rFonts w:eastAsia="Calibri"/>
          <w:i/>
          <w:sz w:val="24"/>
          <w:szCs w:val="24"/>
          <w:shd w:val="clear" w:color="auto" w:fill="FFFFFF"/>
        </w:rPr>
        <w:t> Este obligatoriu să se asigure cel puțin două ieșiri de evacuare distincte și judicios distribuite, pentru:</w:t>
      </w:r>
    </w:p>
    <w:p w14:paraId="73D9E6F3"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xml:space="preserve"> fiecare nivel al sălilor aglomerate existente, precum și pentru nivelurile de lojii existente și balcoane existente cu mai mult de </w:t>
      </w:r>
      <w:r>
        <w:rPr>
          <w:rFonts w:eastAsia="Calibri"/>
          <w:b/>
          <w:bCs/>
          <w:i/>
          <w:sz w:val="24"/>
          <w:szCs w:val="24"/>
          <w:shd w:val="clear" w:color="auto" w:fill="FFFFFF"/>
        </w:rPr>
        <w:t>100</w:t>
      </w:r>
      <w:r>
        <w:rPr>
          <w:rFonts w:eastAsia="Calibri"/>
          <w:i/>
          <w:sz w:val="24"/>
          <w:szCs w:val="24"/>
          <w:shd w:val="clear" w:color="auto" w:fill="FFFFFF"/>
        </w:rPr>
        <w:t xml:space="preserve"> persoane;</w:t>
      </w:r>
    </w:p>
    <w:p w14:paraId="097DF962"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xml:space="preserve"> foaiere, bufete, garderobe și alte încăperi de servire a publicului (existente), cu aria de peste </w:t>
      </w:r>
      <w:r>
        <w:rPr>
          <w:rFonts w:eastAsia="Calibri"/>
          <w:b/>
          <w:bCs/>
          <w:i/>
          <w:sz w:val="24"/>
          <w:szCs w:val="24"/>
          <w:shd w:val="clear" w:color="auto" w:fill="FFFFFF"/>
        </w:rPr>
        <w:t>100 m</w:t>
      </w:r>
      <w:r>
        <w:rPr>
          <w:rFonts w:eastAsia="Calibri"/>
          <w:b/>
          <w:bCs/>
          <w:i/>
          <w:sz w:val="24"/>
          <w:szCs w:val="24"/>
          <w:shd w:val="clear" w:color="auto" w:fill="FFFFFF"/>
          <w:vertAlign w:val="superscript"/>
        </w:rPr>
        <w:t>2</w:t>
      </w:r>
      <w:r>
        <w:rPr>
          <w:rFonts w:eastAsia="Calibri"/>
          <w:i/>
          <w:sz w:val="24"/>
          <w:szCs w:val="24"/>
          <w:shd w:val="clear" w:color="auto" w:fill="FFFFFF"/>
        </w:rPr>
        <w:t>.</w:t>
      </w:r>
    </w:p>
    <w:p w14:paraId="40D4D6E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4.1.42.</w:t>
      </w:r>
      <w:r>
        <w:rPr>
          <w:rFonts w:eastAsia="Calibri"/>
          <w:i/>
          <w:sz w:val="24"/>
          <w:szCs w:val="24"/>
          <w:shd w:val="clear" w:color="auto" w:fill="FFFFFF"/>
        </w:rPr>
        <w:t> La sălile existente cu scene sau podiumuri, circulația de evacuare va fi astfel organizată încât, de regulă, publicul să nu se deplaseze în direcția scenei. Nu se admite evacuarea prin scenă sau podium a publicului din sală. Gabaritele culoarelor de evacuare din interiorul sălilor vor corespunde prevederilor Art.</w:t>
      </w:r>
      <w:r>
        <w:rPr>
          <w:rFonts w:eastAsia="Calibri"/>
          <w:b/>
          <w:bCs/>
          <w:i/>
          <w:sz w:val="24"/>
          <w:szCs w:val="24"/>
          <w:shd w:val="clear" w:color="auto" w:fill="FFFFFF"/>
        </w:rPr>
        <w:t xml:space="preserve"> A.10.2.5.60.</w:t>
      </w:r>
    </w:p>
    <w:p w14:paraId="40444B02"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4.1.43.</w:t>
      </w:r>
      <w:r>
        <w:rPr>
          <w:rFonts w:eastAsia="Calibri"/>
          <w:i/>
          <w:sz w:val="24"/>
          <w:szCs w:val="24"/>
          <w:shd w:val="clear" w:color="auto" w:fill="FFFFFF"/>
        </w:rPr>
        <w:t xml:space="preserve"> Capacitățile de evacuare "C" a unui flux de evacuare luat în calcul la sălile aglomerate existente sunt stabilite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_Ref15939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165</w:t>
      </w:r>
      <w:r>
        <w:rPr>
          <w:rFonts w:eastAsia="Calibri"/>
          <w:b/>
          <w:bCs/>
          <w:i/>
          <w:iCs/>
          <w:sz w:val="24"/>
          <w:szCs w:val="24"/>
          <w:shd w:val="clear" w:color="auto" w:fill="FFFFFF"/>
        </w:rPr>
        <w:fldChar w:fldCharType="end"/>
      </w:r>
      <w:r>
        <w:rPr>
          <w:b/>
          <w:i/>
          <w:sz w:val="24"/>
          <w:szCs w:val="24"/>
        </w:rPr>
        <w:t>.</w:t>
      </w:r>
    </w:p>
    <w:p w14:paraId="16FE5A54" w14:textId="77777777" w:rsidR="001C08A5" w:rsidRDefault="00000000">
      <w:pPr>
        <w:pStyle w:val="Caption"/>
        <w:shd w:val="clear" w:color="auto" w:fill="FFFFFF"/>
        <w:spacing w:before="0" w:after="150"/>
        <w:jc w:val="both"/>
        <w:rPr>
          <w:rFonts w:cs="Times New Roman"/>
        </w:rPr>
      </w:pPr>
      <w:bookmarkStart w:id="11164" w:name="_Ref15939"/>
      <w:bookmarkStart w:id="11165" w:name="_Toc162360215"/>
      <w:r>
        <w:t xml:space="preserve">Tabelul </w:t>
      </w:r>
      <w:r>
        <w:fldChar w:fldCharType="begin"/>
      </w:r>
      <w:r>
        <w:instrText xml:space="preserve"> SEQ Tabelul \* ARABIC </w:instrText>
      </w:r>
      <w:r>
        <w:fldChar w:fldCharType="separate"/>
      </w:r>
      <w:r>
        <w:t>165</w:t>
      </w:r>
      <w:r>
        <w:fldChar w:fldCharType="end"/>
      </w:r>
      <w:bookmarkStart w:id="11166" w:name="_Toc9470"/>
      <w:bookmarkStart w:id="11167" w:name="_Toc9938"/>
      <w:bookmarkStart w:id="11168" w:name="_Toc18977"/>
      <w:bookmarkStart w:id="11169" w:name="_Toc14323"/>
      <w:bookmarkStart w:id="11170" w:name="_Toc8669"/>
      <w:bookmarkStart w:id="11171" w:name="_Toc4117"/>
      <w:bookmarkStart w:id="11172" w:name="_Toc25568"/>
      <w:bookmarkStart w:id="11173" w:name="_Toc4320"/>
      <w:bookmarkStart w:id="11174" w:name="_Toc5673"/>
      <w:bookmarkStart w:id="11175" w:name="_Toc30570"/>
      <w:bookmarkStart w:id="11176" w:name="_Toc21222"/>
      <w:bookmarkStart w:id="11177" w:name="_Toc25624"/>
      <w:bookmarkEnd w:id="11164"/>
      <w:r>
        <w:t>: Capacitatea de evacuare</w:t>
      </w:r>
      <w:r>
        <w:rPr>
          <w:rFonts w:eastAsia="Calibri"/>
          <w:bCs/>
        </w:rPr>
        <w:t xml:space="preserve"> la săli aglomerate în clădiri existente</w:t>
      </w:r>
      <w:bookmarkEnd w:id="11165"/>
      <w:bookmarkEnd w:id="11166"/>
      <w:bookmarkEnd w:id="11167"/>
      <w:bookmarkEnd w:id="11168"/>
      <w:bookmarkEnd w:id="11169"/>
      <w:bookmarkEnd w:id="11170"/>
      <w:bookmarkEnd w:id="11171"/>
      <w:bookmarkEnd w:id="11172"/>
      <w:bookmarkEnd w:id="11173"/>
      <w:bookmarkEnd w:id="11174"/>
      <w:bookmarkEnd w:id="11175"/>
      <w:bookmarkEnd w:id="11176"/>
      <w:bookmarkEnd w:id="11177"/>
    </w:p>
    <w:tbl>
      <w:tblPr>
        <w:tblW w:w="7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26"/>
        <w:gridCol w:w="2669"/>
        <w:gridCol w:w="682"/>
        <w:gridCol w:w="3660"/>
      </w:tblGrid>
      <w:tr w:rsidR="001C08A5" w14:paraId="71445FBA" w14:textId="77777777">
        <w:trPr>
          <w:trHeight w:val="765"/>
          <w:jc w:val="center"/>
        </w:trPr>
        <w:tc>
          <w:tcPr>
            <w:tcW w:w="626" w:type="dxa"/>
            <w:tcMar>
              <w:top w:w="0" w:type="dxa"/>
              <w:left w:w="0" w:type="dxa"/>
              <w:bottom w:w="0" w:type="dxa"/>
              <w:right w:w="0" w:type="dxa"/>
            </w:tcMar>
            <w:vAlign w:val="center"/>
          </w:tcPr>
          <w:p w14:paraId="36DC10BF" w14:textId="77777777" w:rsidR="001C08A5" w:rsidRDefault="00000000">
            <w:pPr>
              <w:jc w:val="center"/>
              <w:rPr>
                <w:i/>
                <w:sz w:val="22"/>
                <w:szCs w:val="22"/>
              </w:rPr>
            </w:pPr>
            <w:r>
              <w:rPr>
                <w:i/>
                <w:sz w:val="22"/>
                <w:szCs w:val="22"/>
                <w:lang w:val="en-US" w:eastAsia="zh-CN" w:bidi="ar"/>
              </w:rPr>
              <w:t>Nr. crt.</w:t>
            </w:r>
          </w:p>
        </w:tc>
        <w:tc>
          <w:tcPr>
            <w:tcW w:w="3351" w:type="dxa"/>
            <w:gridSpan w:val="2"/>
            <w:tcMar>
              <w:top w:w="0" w:type="dxa"/>
              <w:left w:w="0" w:type="dxa"/>
              <w:bottom w:w="0" w:type="dxa"/>
              <w:right w:w="0" w:type="dxa"/>
            </w:tcMar>
            <w:vAlign w:val="center"/>
          </w:tcPr>
          <w:p w14:paraId="337B4D20" w14:textId="77777777" w:rsidR="001C08A5" w:rsidRDefault="00000000">
            <w:pPr>
              <w:jc w:val="center"/>
              <w:rPr>
                <w:i/>
                <w:sz w:val="22"/>
                <w:szCs w:val="22"/>
              </w:rPr>
            </w:pPr>
            <w:r>
              <w:rPr>
                <w:i/>
                <w:sz w:val="22"/>
                <w:szCs w:val="22"/>
                <w:lang w:val="en-US" w:eastAsia="zh-CN" w:bidi="ar"/>
              </w:rPr>
              <w:t xml:space="preserve">Tipul sălii aglomerate și </w:t>
            </w:r>
            <w:r>
              <w:rPr>
                <w:rFonts w:eastAsia="Calibri"/>
                <w:i/>
                <w:sz w:val="22"/>
                <w:szCs w:val="22"/>
                <w:shd w:val="clear" w:color="auto" w:fill="FFFFFF"/>
              </w:rPr>
              <w:t>nivelul de stabilitate la incendiu</w:t>
            </w:r>
            <w:r>
              <w:rPr>
                <w:i/>
                <w:sz w:val="22"/>
                <w:szCs w:val="22"/>
                <w:lang w:val="en-US" w:eastAsia="zh-CN" w:bidi="ar"/>
              </w:rPr>
              <w:t xml:space="preserve"> al clădirii</w:t>
            </w:r>
          </w:p>
        </w:tc>
        <w:tc>
          <w:tcPr>
            <w:tcW w:w="3660" w:type="dxa"/>
            <w:tcMar>
              <w:top w:w="0" w:type="dxa"/>
              <w:left w:w="0" w:type="dxa"/>
              <w:bottom w:w="0" w:type="dxa"/>
              <w:right w:w="0" w:type="dxa"/>
            </w:tcMar>
            <w:vAlign w:val="center"/>
          </w:tcPr>
          <w:p w14:paraId="1C4A8105" w14:textId="77777777" w:rsidR="001C08A5" w:rsidRDefault="00000000">
            <w:pPr>
              <w:jc w:val="center"/>
              <w:rPr>
                <w:i/>
                <w:sz w:val="22"/>
                <w:szCs w:val="22"/>
              </w:rPr>
            </w:pPr>
            <w:r>
              <w:rPr>
                <w:i/>
                <w:sz w:val="22"/>
                <w:szCs w:val="22"/>
                <w:lang w:val="en-US" w:eastAsia="zh-CN" w:bidi="ar"/>
              </w:rPr>
              <w:t>Capacitate de evacuare "C" a unui flux de evacuare (număr de persoane)</w:t>
            </w:r>
          </w:p>
        </w:tc>
      </w:tr>
      <w:tr w:rsidR="001C08A5" w14:paraId="44D5352A" w14:textId="77777777">
        <w:trPr>
          <w:trHeight w:val="345"/>
          <w:jc w:val="center"/>
        </w:trPr>
        <w:tc>
          <w:tcPr>
            <w:tcW w:w="626" w:type="dxa"/>
            <w:vMerge w:val="restart"/>
            <w:tcMar>
              <w:top w:w="0" w:type="dxa"/>
              <w:left w:w="0" w:type="dxa"/>
              <w:bottom w:w="0" w:type="dxa"/>
              <w:right w:w="0" w:type="dxa"/>
            </w:tcMar>
          </w:tcPr>
          <w:p w14:paraId="67194446" w14:textId="77777777" w:rsidR="001C08A5" w:rsidRDefault="00000000">
            <w:pPr>
              <w:jc w:val="center"/>
              <w:rPr>
                <w:i/>
                <w:sz w:val="22"/>
                <w:szCs w:val="22"/>
              </w:rPr>
            </w:pPr>
            <w:r>
              <w:rPr>
                <w:i/>
                <w:sz w:val="22"/>
                <w:szCs w:val="22"/>
                <w:lang w:val="en-US" w:eastAsia="zh-CN" w:bidi="ar"/>
              </w:rPr>
              <w:t>1.</w:t>
            </w:r>
          </w:p>
        </w:tc>
        <w:tc>
          <w:tcPr>
            <w:tcW w:w="2669" w:type="dxa"/>
            <w:vMerge w:val="restart"/>
            <w:tcMar>
              <w:top w:w="0" w:type="dxa"/>
              <w:left w:w="0" w:type="dxa"/>
              <w:bottom w:w="0" w:type="dxa"/>
              <w:right w:w="0" w:type="dxa"/>
            </w:tcMar>
          </w:tcPr>
          <w:p w14:paraId="4F5D2C3D" w14:textId="77777777" w:rsidR="001C08A5" w:rsidRDefault="00000000">
            <w:pPr>
              <w:rPr>
                <w:i/>
                <w:sz w:val="22"/>
                <w:szCs w:val="22"/>
              </w:rPr>
            </w:pPr>
            <w:r>
              <w:rPr>
                <w:i/>
                <w:sz w:val="22"/>
                <w:szCs w:val="22"/>
                <w:lang w:val="en-US" w:eastAsia="zh-CN" w:bidi="ar"/>
              </w:rPr>
              <w:t xml:space="preserve">Sală aglomerată tip S1 și </w:t>
            </w:r>
            <w:r>
              <w:rPr>
                <w:rFonts w:eastAsia="Calibri"/>
                <w:i/>
                <w:sz w:val="22"/>
                <w:szCs w:val="22"/>
                <w:shd w:val="clear" w:color="auto" w:fill="FFFFFF"/>
              </w:rPr>
              <w:t>nivel de stabilitate la incendiu</w:t>
            </w:r>
          </w:p>
        </w:tc>
        <w:tc>
          <w:tcPr>
            <w:tcW w:w="682" w:type="dxa"/>
            <w:tcMar>
              <w:top w:w="0" w:type="dxa"/>
              <w:left w:w="0" w:type="dxa"/>
              <w:bottom w:w="0" w:type="dxa"/>
              <w:right w:w="0" w:type="dxa"/>
            </w:tcMar>
          </w:tcPr>
          <w:p w14:paraId="4476EED6" w14:textId="77777777" w:rsidR="001C08A5" w:rsidRDefault="00000000">
            <w:pPr>
              <w:jc w:val="center"/>
              <w:rPr>
                <w:b/>
                <w:bCs/>
                <w:i/>
                <w:sz w:val="22"/>
                <w:szCs w:val="22"/>
              </w:rPr>
            </w:pPr>
            <w:r>
              <w:rPr>
                <w:b/>
                <w:bCs/>
                <w:i/>
                <w:sz w:val="22"/>
                <w:szCs w:val="22"/>
                <w:lang w:val="en-US" w:eastAsia="zh-CN" w:bidi="ar"/>
              </w:rPr>
              <w:t>I-II</w:t>
            </w:r>
          </w:p>
        </w:tc>
        <w:tc>
          <w:tcPr>
            <w:tcW w:w="3660" w:type="dxa"/>
            <w:tcMar>
              <w:top w:w="0" w:type="dxa"/>
              <w:left w:w="0" w:type="dxa"/>
              <w:bottom w:w="0" w:type="dxa"/>
              <w:right w:w="0" w:type="dxa"/>
            </w:tcMar>
          </w:tcPr>
          <w:p w14:paraId="21B556F2" w14:textId="77777777" w:rsidR="001C08A5" w:rsidRDefault="00000000">
            <w:pPr>
              <w:jc w:val="center"/>
              <w:rPr>
                <w:b/>
                <w:bCs/>
                <w:i/>
                <w:sz w:val="22"/>
                <w:szCs w:val="22"/>
              </w:rPr>
            </w:pPr>
            <w:r>
              <w:rPr>
                <w:b/>
                <w:bCs/>
                <w:i/>
                <w:sz w:val="22"/>
                <w:szCs w:val="22"/>
                <w:lang w:val="en-US" w:eastAsia="zh-CN" w:bidi="ar"/>
              </w:rPr>
              <w:t>50 (70) *</w:t>
            </w:r>
          </w:p>
        </w:tc>
      </w:tr>
      <w:tr w:rsidR="001C08A5" w14:paraId="7EB909DC" w14:textId="77777777">
        <w:trPr>
          <w:trHeight w:val="345"/>
          <w:jc w:val="center"/>
        </w:trPr>
        <w:tc>
          <w:tcPr>
            <w:tcW w:w="626" w:type="dxa"/>
            <w:vMerge/>
            <w:tcMar>
              <w:top w:w="0" w:type="dxa"/>
              <w:left w:w="0" w:type="dxa"/>
              <w:bottom w:w="0" w:type="dxa"/>
              <w:right w:w="0" w:type="dxa"/>
            </w:tcMar>
          </w:tcPr>
          <w:p w14:paraId="42656F63" w14:textId="77777777" w:rsidR="001C08A5" w:rsidRDefault="001C08A5">
            <w:pPr>
              <w:jc w:val="center"/>
              <w:rPr>
                <w:i/>
                <w:sz w:val="22"/>
                <w:szCs w:val="22"/>
              </w:rPr>
            </w:pPr>
          </w:p>
        </w:tc>
        <w:tc>
          <w:tcPr>
            <w:tcW w:w="2669" w:type="dxa"/>
            <w:vMerge/>
            <w:tcMar>
              <w:top w:w="0" w:type="dxa"/>
              <w:left w:w="0" w:type="dxa"/>
              <w:bottom w:w="0" w:type="dxa"/>
              <w:right w:w="0" w:type="dxa"/>
            </w:tcMar>
          </w:tcPr>
          <w:p w14:paraId="486F0EB8" w14:textId="77777777" w:rsidR="001C08A5" w:rsidRDefault="001C08A5">
            <w:pPr>
              <w:rPr>
                <w:i/>
                <w:sz w:val="22"/>
                <w:szCs w:val="22"/>
              </w:rPr>
            </w:pPr>
          </w:p>
        </w:tc>
        <w:tc>
          <w:tcPr>
            <w:tcW w:w="682" w:type="dxa"/>
            <w:tcMar>
              <w:top w:w="0" w:type="dxa"/>
              <w:left w:w="0" w:type="dxa"/>
              <w:bottom w:w="0" w:type="dxa"/>
              <w:right w:w="0" w:type="dxa"/>
            </w:tcMar>
          </w:tcPr>
          <w:p w14:paraId="679475F1" w14:textId="77777777" w:rsidR="001C08A5" w:rsidRDefault="00000000">
            <w:pPr>
              <w:jc w:val="center"/>
              <w:rPr>
                <w:b/>
                <w:bCs/>
                <w:i/>
                <w:sz w:val="22"/>
                <w:szCs w:val="22"/>
              </w:rPr>
            </w:pPr>
            <w:r>
              <w:rPr>
                <w:b/>
                <w:bCs/>
                <w:i/>
                <w:sz w:val="22"/>
                <w:szCs w:val="22"/>
                <w:lang w:val="en-US" w:eastAsia="zh-CN" w:bidi="ar"/>
              </w:rPr>
              <w:t>III</w:t>
            </w:r>
          </w:p>
        </w:tc>
        <w:tc>
          <w:tcPr>
            <w:tcW w:w="3660" w:type="dxa"/>
            <w:tcMar>
              <w:top w:w="0" w:type="dxa"/>
              <w:left w:w="0" w:type="dxa"/>
              <w:bottom w:w="0" w:type="dxa"/>
              <w:right w:w="0" w:type="dxa"/>
            </w:tcMar>
          </w:tcPr>
          <w:p w14:paraId="457D9B3B" w14:textId="77777777" w:rsidR="001C08A5" w:rsidRDefault="00000000">
            <w:pPr>
              <w:jc w:val="center"/>
              <w:rPr>
                <w:b/>
                <w:bCs/>
                <w:i/>
                <w:sz w:val="22"/>
                <w:szCs w:val="22"/>
              </w:rPr>
            </w:pPr>
            <w:r>
              <w:rPr>
                <w:b/>
                <w:bCs/>
                <w:i/>
                <w:sz w:val="22"/>
                <w:szCs w:val="22"/>
                <w:lang w:val="en-US" w:eastAsia="zh-CN" w:bidi="ar"/>
              </w:rPr>
              <w:t>35 (50) *</w:t>
            </w:r>
          </w:p>
        </w:tc>
      </w:tr>
      <w:tr w:rsidR="001C08A5" w14:paraId="3A22B251" w14:textId="77777777">
        <w:trPr>
          <w:trHeight w:val="345"/>
          <w:jc w:val="center"/>
        </w:trPr>
        <w:tc>
          <w:tcPr>
            <w:tcW w:w="626" w:type="dxa"/>
            <w:vMerge/>
            <w:tcMar>
              <w:top w:w="0" w:type="dxa"/>
              <w:left w:w="0" w:type="dxa"/>
              <w:bottom w:w="0" w:type="dxa"/>
              <w:right w:w="0" w:type="dxa"/>
            </w:tcMar>
          </w:tcPr>
          <w:p w14:paraId="1BBC3E8D" w14:textId="77777777" w:rsidR="001C08A5" w:rsidRDefault="001C08A5">
            <w:pPr>
              <w:jc w:val="center"/>
              <w:rPr>
                <w:i/>
                <w:sz w:val="22"/>
                <w:szCs w:val="22"/>
              </w:rPr>
            </w:pPr>
          </w:p>
        </w:tc>
        <w:tc>
          <w:tcPr>
            <w:tcW w:w="2669" w:type="dxa"/>
            <w:vMerge/>
            <w:tcMar>
              <w:top w:w="0" w:type="dxa"/>
              <w:left w:w="0" w:type="dxa"/>
              <w:bottom w:w="0" w:type="dxa"/>
              <w:right w:w="0" w:type="dxa"/>
            </w:tcMar>
          </w:tcPr>
          <w:p w14:paraId="1FB863FE" w14:textId="77777777" w:rsidR="001C08A5" w:rsidRDefault="001C08A5">
            <w:pPr>
              <w:rPr>
                <w:i/>
                <w:sz w:val="22"/>
                <w:szCs w:val="22"/>
              </w:rPr>
            </w:pPr>
          </w:p>
        </w:tc>
        <w:tc>
          <w:tcPr>
            <w:tcW w:w="682" w:type="dxa"/>
            <w:tcMar>
              <w:top w:w="0" w:type="dxa"/>
              <w:left w:w="0" w:type="dxa"/>
              <w:bottom w:w="0" w:type="dxa"/>
              <w:right w:w="0" w:type="dxa"/>
            </w:tcMar>
          </w:tcPr>
          <w:p w14:paraId="7FE0C6A9" w14:textId="77777777" w:rsidR="001C08A5" w:rsidRDefault="00000000">
            <w:pPr>
              <w:jc w:val="center"/>
              <w:rPr>
                <w:b/>
                <w:bCs/>
                <w:i/>
                <w:sz w:val="22"/>
                <w:szCs w:val="22"/>
              </w:rPr>
            </w:pPr>
            <w:r>
              <w:rPr>
                <w:b/>
                <w:bCs/>
                <w:i/>
                <w:sz w:val="22"/>
                <w:szCs w:val="22"/>
                <w:lang w:val="en-US" w:eastAsia="zh-CN" w:bidi="ar"/>
              </w:rPr>
              <w:t>IV-V</w:t>
            </w:r>
          </w:p>
        </w:tc>
        <w:tc>
          <w:tcPr>
            <w:tcW w:w="3660" w:type="dxa"/>
            <w:tcMar>
              <w:top w:w="0" w:type="dxa"/>
              <w:left w:w="0" w:type="dxa"/>
              <w:bottom w:w="0" w:type="dxa"/>
              <w:right w:w="0" w:type="dxa"/>
            </w:tcMar>
          </w:tcPr>
          <w:p w14:paraId="6D3234DB" w14:textId="77777777" w:rsidR="001C08A5" w:rsidRDefault="00000000">
            <w:pPr>
              <w:jc w:val="center"/>
              <w:rPr>
                <w:b/>
                <w:bCs/>
                <w:i/>
                <w:sz w:val="22"/>
                <w:szCs w:val="22"/>
              </w:rPr>
            </w:pPr>
            <w:r>
              <w:rPr>
                <w:b/>
                <w:bCs/>
                <w:i/>
                <w:sz w:val="22"/>
                <w:szCs w:val="22"/>
                <w:lang w:val="en-US" w:eastAsia="zh-CN" w:bidi="ar"/>
              </w:rPr>
              <w:t>25</w:t>
            </w:r>
          </w:p>
        </w:tc>
      </w:tr>
      <w:tr w:rsidR="001C08A5" w14:paraId="3EC44035" w14:textId="77777777">
        <w:trPr>
          <w:trHeight w:val="345"/>
          <w:jc w:val="center"/>
        </w:trPr>
        <w:tc>
          <w:tcPr>
            <w:tcW w:w="626" w:type="dxa"/>
            <w:vMerge w:val="restart"/>
            <w:tcMar>
              <w:top w:w="0" w:type="dxa"/>
              <w:left w:w="0" w:type="dxa"/>
              <w:bottom w:w="0" w:type="dxa"/>
              <w:right w:w="0" w:type="dxa"/>
            </w:tcMar>
          </w:tcPr>
          <w:p w14:paraId="601F9189" w14:textId="77777777" w:rsidR="001C08A5" w:rsidRDefault="00000000">
            <w:pPr>
              <w:jc w:val="center"/>
              <w:rPr>
                <w:i/>
                <w:sz w:val="22"/>
                <w:szCs w:val="22"/>
              </w:rPr>
            </w:pPr>
            <w:r>
              <w:rPr>
                <w:i/>
                <w:sz w:val="22"/>
                <w:szCs w:val="22"/>
                <w:lang w:val="en-US" w:eastAsia="zh-CN" w:bidi="ar"/>
              </w:rPr>
              <w:t>2.</w:t>
            </w:r>
          </w:p>
        </w:tc>
        <w:tc>
          <w:tcPr>
            <w:tcW w:w="2669" w:type="dxa"/>
            <w:vMerge w:val="restart"/>
            <w:tcMar>
              <w:top w:w="0" w:type="dxa"/>
              <w:left w:w="0" w:type="dxa"/>
              <w:bottom w:w="0" w:type="dxa"/>
              <w:right w:w="0" w:type="dxa"/>
            </w:tcMar>
          </w:tcPr>
          <w:p w14:paraId="361F12E1" w14:textId="77777777" w:rsidR="001C08A5" w:rsidRDefault="00000000">
            <w:pPr>
              <w:rPr>
                <w:i/>
                <w:sz w:val="22"/>
                <w:szCs w:val="22"/>
              </w:rPr>
            </w:pPr>
            <w:r>
              <w:rPr>
                <w:i/>
                <w:sz w:val="22"/>
                <w:szCs w:val="22"/>
                <w:lang w:val="en-US" w:eastAsia="zh-CN" w:bidi="ar"/>
              </w:rPr>
              <w:t xml:space="preserve">Sală aglomerată tip S2 și </w:t>
            </w:r>
            <w:r>
              <w:rPr>
                <w:rFonts w:eastAsia="Calibri"/>
                <w:i/>
                <w:sz w:val="22"/>
                <w:szCs w:val="22"/>
                <w:shd w:val="clear" w:color="auto" w:fill="FFFFFF"/>
              </w:rPr>
              <w:t>nivel de stabilitate la incendiu</w:t>
            </w:r>
          </w:p>
        </w:tc>
        <w:tc>
          <w:tcPr>
            <w:tcW w:w="682" w:type="dxa"/>
            <w:tcMar>
              <w:top w:w="0" w:type="dxa"/>
              <w:left w:w="0" w:type="dxa"/>
              <w:bottom w:w="0" w:type="dxa"/>
              <w:right w:w="0" w:type="dxa"/>
            </w:tcMar>
          </w:tcPr>
          <w:p w14:paraId="612420F8" w14:textId="77777777" w:rsidR="001C08A5" w:rsidRDefault="00000000">
            <w:pPr>
              <w:jc w:val="center"/>
              <w:rPr>
                <w:b/>
                <w:bCs/>
                <w:i/>
                <w:sz w:val="22"/>
                <w:szCs w:val="22"/>
              </w:rPr>
            </w:pPr>
            <w:r>
              <w:rPr>
                <w:b/>
                <w:bCs/>
                <w:i/>
                <w:sz w:val="22"/>
                <w:szCs w:val="22"/>
                <w:lang w:val="en-US" w:eastAsia="zh-CN" w:bidi="ar"/>
              </w:rPr>
              <w:t>I-II</w:t>
            </w:r>
          </w:p>
        </w:tc>
        <w:tc>
          <w:tcPr>
            <w:tcW w:w="3660" w:type="dxa"/>
            <w:tcMar>
              <w:top w:w="0" w:type="dxa"/>
              <w:left w:w="0" w:type="dxa"/>
              <w:bottom w:w="0" w:type="dxa"/>
              <w:right w:w="0" w:type="dxa"/>
            </w:tcMar>
          </w:tcPr>
          <w:p w14:paraId="4211C520" w14:textId="77777777" w:rsidR="001C08A5" w:rsidRDefault="00000000">
            <w:pPr>
              <w:jc w:val="center"/>
              <w:rPr>
                <w:b/>
                <w:bCs/>
                <w:i/>
                <w:sz w:val="22"/>
                <w:szCs w:val="22"/>
              </w:rPr>
            </w:pPr>
            <w:r>
              <w:rPr>
                <w:b/>
                <w:bCs/>
                <w:i/>
                <w:sz w:val="22"/>
                <w:szCs w:val="22"/>
                <w:lang w:val="en-US" w:eastAsia="zh-CN" w:bidi="ar"/>
              </w:rPr>
              <w:t>65 (100) *</w:t>
            </w:r>
          </w:p>
        </w:tc>
      </w:tr>
      <w:tr w:rsidR="001C08A5" w14:paraId="10D77ED4" w14:textId="77777777">
        <w:trPr>
          <w:trHeight w:val="345"/>
          <w:jc w:val="center"/>
        </w:trPr>
        <w:tc>
          <w:tcPr>
            <w:tcW w:w="626" w:type="dxa"/>
            <w:vMerge/>
            <w:tcMar>
              <w:top w:w="0" w:type="dxa"/>
              <w:left w:w="0" w:type="dxa"/>
              <w:bottom w:w="0" w:type="dxa"/>
              <w:right w:w="0" w:type="dxa"/>
            </w:tcMar>
          </w:tcPr>
          <w:p w14:paraId="09DFF418" w14:textId="77777777" w:rsidR="001C08A5" w:rsidRDefault="001C08A5">
            <w:pPr>
              <w:jc w:val="center"/>
              <w:rPr>
                <w:i/>
                <w:sz w:val="22"/>
                <w:szCs w:val="22"/>
              </w:rPr>
            </w:pPr>
          </w:p>
        </w:tc>
        <w:tc>
          <w:tcPr>
            <w:tcW w:w="2669" w:type="dxa"/>
            <w:vMerge/>
            <w:tcMar>
              <w:top w:w="0" w:type="dxa"/>
              <w:left w:w="0" w:type="dxa"/>
              <w:bottom w:w="0" w:type="dxa"/>
              <w:right w:w="0" w:type="dxa"/>
            </w:tcMar>
          </w:tcPr>
          <w:p w14:paraId="6FA3F117" w14:textId="77777777" w:rsidR="001C08A5" w:rsidRDefault="001C08A5">
            <w:pPr>
              <w:rPr>
                <w:i/>
                <w:sz w:val="22"/>
                <w:szCs w:val="22"/>
              </w:rPr>
            </w:pPr>
          </w:p>
        </w:tc>
        <w:tc>
          <w:tcPr>
            <w:tcW w:w="682" w:type="dxa"/>
            <w:tcMar>
              <w:top w:w="0" w:type="dxa"/>
              <w:left w:w="0" w:type="dxa"/>
              <w:bottom w:w="0" w:type="dxa"/>
              <w:right w:w="0" w:type="dxa"/>
            </w:tcMar>
          </w:tcPr>
          <w:p w14:paraId="7F64FE48" w14:textId="77777777" w:rsidR="001C08A5" w:rsidRDefault="00000000">
            <w:pPr>
              <w:jc w:val="center"/>
              <w:rPr>
                <w:b/>
                <w:bCs/>
                <w:i/>
                <w:sz w:val="22"/>
                <w:szCs w:val="22"/>
              </w:rPr>
            </w:pPr>
            <w:r>
              <w:rPr>
                <w:b/>
                <w:bCs/>
                <w:i/>
                <w:sz w:val="22"/>
                <w:szCs w:val="22"/>
                <w:lang w:val="en-US" w:eastAsia="zh-CN" w:bidi="ar"/>
              </w:rPr>
              <w:t>III</w:t>
            </w:r>
          </w:p>
        </w:tc>
        <w:tc>
          <w:tcPr>
            <w:tcW w:w="3660" w:type="dxa"/>
            <w:tcMar>
              <w:top w:w="0" w:type="dxa"/>
              <w:left w:w="0" w:type="dxa"/>
              <w:bottom w:w="0" w:type="dxa"/>
              <w:right w:w="0" w:type="dxa"/>
            </w:tcMar>
          </w:tcPr>
          <w:p w14:paraId="607C04F8" w14:textId="77777777" w:rsidR="001C08A5" w:rsidRDefault="00000000">
            <w:pPr>
              <w:jc w:val="center"/>
              <w:rPr>
                <w:b/>
                <w:bCs/>
                <w:i/>
                <w:sz w:val="22"/>
                <w:szCs w:val="22"/>
              </w:rPr>
            </w:pPr>
            <w:r>
              <w:rPr>
                <w:b/>
                <w:bCs/>
                <w:i/>
                <w:sz w:val="22"/>
                <w:szCs w:val="22"/>
                <w:lang w:val="en-US" w:eastAsia="zh-CN" w:bidi="ar"/>
              </w:rPr>
              <w:t>50 (75) *</w:t>
            </w:r>
          </w:p>
        </w:tc>
      </w:tr>
      <w:tr w:rsidR="001C08A5" w14:paraId="691B8CA8" w14:textId="77777777">
        <w:trPr>
          <w:trHeight w:val="345"/>
          <w:jc w:val="center"/>
        </w:trPr>
        <w:tc>
          <w:tcPr>
            <w:tcW w:w="626" w:type="dxa"/>
            <w:vMerge/>
            <w:tcMar>
              <w:top w:w="0" w:type="dxa"/>
              <w:left w:w="0" w:type="dxa"/>
              <w:bottom w:w="0" w:type="dxa"/>
              <w:right w:w="0" w:type="dxa"/>
            </w:tcMar>
          </w:tcPr>
          <w:p w14:paraId="36295199" w14:textId="77777777" w:rsidR="001C08A5" w:rsidRDefault="001C08A5">
            <w:pPr>
              <w:jc w:val="center"/>
              <w:rPr>
                <w:i/>
                <w:sz w:val="22"/>
                <w:szCs w:val="22"/>
              </w:rPr>
            </w:pPr>
          </w:p>
        </w:tc>
        <w:tc>
          <w:tcPr>
            <w:tcW w:w="2669" w:type="dxa"/>
            <w:vMerge/>
            <w:tcMar>
              <w:top w:w="0" w:type="dxa"/>
              <w:left w:w="0" w:type="dxa"/>
              <w:bottom w:w="0" w:type="dxa"/>
              <w:right w:w="0" w:type="dxa"/>
            </w:tcMar>
          </w:tcPr>
          <w:p w14:paraId="6A2C3877" w14:textId="77777777" w:rsidR="001C08A5" w:rsidRDefault="001C08A5">
            <w:pPr>
              <w:rPr>
                <w:i/>
                <w:sz w:val="22"/>
                <w:szCs w:val="22"/>
              </w:rPr>
            </w:pPr>
          </w:p>
        </w:tc>
        <w:tc>
          <w:tcPr>
            <w:tcW w:w="682" w:type="dxa"/>
            <w:tcMar>
              <w:top w:w="0" w:type="dxa"/>
              <w:left w:w="0" w:type="dxa"/>
              <w:bottom w:w="0" w:type="dxa"/>
              <w:right w:w="0" w:type="dxa"/>
            </w:tcMar>
          </w:tcPr>
          <w:p w14:paraId="3D7F1DEC" w14:textId="77777777" w:rsidR="001C08A5" w:rsidRDefault="00000000">
            <w:pPr>
              <w:jc w:val="center"/>
              <w:rPr>
                <w:b/>
                <w:bCs/>
                <w:i/>
                <w:sz w:val="22"/>
                <w:szCs w:val="22"/>
              </w:rPr>
            </w:pPr>
            <w:r>
              <w:rPr>
                <w:b/>
                <w:bCs/>
                <w:i/>
                <w:sz w:val="22"/>
                <w:szCs w:val="22"/>
                <w:lang w:val="en-US" w:eastAsia="zh-CN" w:bidi="ar"/>
              </w:rPr>
              <w:t>IV</w:t>
            </w:r>
          </w:p>
        </w:tc>
        <w:tc>
          <w:tcPr>
            <w:tcW w:w="3660" w:type="dxa"/>
            <w:tcMar>
              <w:top w:w="0" w:type="dxa"/>
              <w:left w:w="0" w:type="dxa"/>
              <w:bottom w:w="0" w:type="dxa"/>
              <w:right w:w="0" w:type="dxa"/>
            </w:tcMar>
          </w:tcPr>
          <w:p w14:paraId="50ABC7C4" w14:textId="77777777" w:rsidR="001C08A5" w:rsidRDefault="00000000">
            <w:pPr>
              <w:jc w:val="center"/>
              <w:rPr>
                <w:b/>
                <w:bCs/>
                <w:i/>
                <w:sz w:val="22"/>
                <w:szCs w:val="22"/>
              </w:rPr>
            </w:pPr>
            <w:r>
              <w:rPr>
                <w:b/>
                <w:bCs/>
                <w:i/>
                <w:sz w:val="22"/>
                <w:szCs w:val="22"/>
                <w:lang w:val="en-US" w:eastAsia="zh-CN" w:bidi="ar"/>
              </w:rPr>
              <w:t>35</w:t>
            </w:r>
          </w:p>
        </w:tc>
      </w:tr>
      <w:tr w:rsidR="001C08A5" w14:paraId="713A354C" w14:textId="77777777">
        <w:trPr>
          <w:trHeight w:val="360"/>
          <w:jc w:val="center"/>
        </w:trPr>
        <w:tc>
          <w:tcPr>
            <w:tcW w:w="626" w:type="dxa"/>
            <w:vMerge/>
            <w:tcMar>
              <w:top w:w="0" w:type="dxa"/>
              <w:left w:w="0" w:type="dxa"/>
              <w:bottom w:w="0" w:type="dxa"/>
              <w:right w:w="0" w:type="dxa"/>
            </w:tcMar>
          </w:tcPr>
          <w:p w14:paraId="60EFFCCB" w14:textId="77777777" w:rsidR="001C08A5" w:rsidRDefault="001C08A5">
            <w:pPr>
              <w:jc w:val="center"/>
              <w:rPr>
                <w:i/>
                <w:sz w:val="22"/>
                <w:szCs w:val="22"/>
              </w:rPr>
            </w:pPr>
          </w:p>
        </w:tc>
        <w:tc>
          <w:tcPr>
            <w:tcW w:w="2669" w:type="dxa"/>
            <w:vMerge/>
            <w:tcMar>
              <w:top w:w="0" w:type="dxa"/>
              <w:left w:w="0" w:type="dxa"/>
              <w:bottom w:w="0" w:type="dxa"/>
              <w:right w:w="0" w:type="dxa"/>
            </w:tcMar>
          </w:tcPr>
          <w:p w14:paraId="71C1E9EF" w14:textId="77777777" w:rsidR="001C08A5" w:rsidRDefault="001C08A5">
            <w:pPr>
              <w:rPr>
                <w:i/>
                <w:sz w:val="22"/>
                <w:szCs w:val="22"/>
              </w:rPr>
            </w:pPr>
          </w:p>
        </w:tc>
        <w:tc>
          <w:tcPr>
            <w:tcW w:w="682" w:type="dxa"/>
            <w:tcMar>
              <w:top w:w="0" w:type="dxa"/>
              <w:left w:w="0" w:type="dxa"/>
              <w:bottom w:w="0" w:type="dxa"/>
              <w:right w:w="0" w:type="dxa"/>
            </w:tcMar>
          </w:tcPr>
          <w:p w14:paraId="37386F22" w14:textId="77777777" w:rsidR="001C08A5" w:rsidRDefault="00000000">
            <w:pPr>
              <w:jc w:val="center"/>
              <w:rPr>
                <w:b/>
                <w:bCs/>
                <w:i/>
                <w:sz w:val="22"/>
                <w:szCs w:val="22"/>
              </w:rPr>
            </w:pPr>
            <w:r>
              <w:rPr>
                <w:b/>
                <w:bCs/>
                <w:i/>
                <w:sz w:val="22"/>
                <w:szCs w:val="22"/>
                <w:lang w:val="en-US" w:eastAsia="zh-CN" w:bidi="ar"/>
              </w:rPr>
              <w:t>V</w:t>
            </w:r>
          </w:p>
        </w:tc>
        <w:tc>
          <w:tcPr>
            <w:tcW w:w="3660" w:type="dxa"/>
            <w:tcMar>
              <w:top w:w="0" w:type="dxa"/>
              <w:left w:w="0" w:type="dxa"/>
              <w:bottom w:w="0" w:type="dxa"/>
              <w:right w:w="0" w:type="dxa"/>
            </w:tcMar>
          </w:tcPr>
          <w:p w14:paraId="0B0C4831" w14:textId="77777777" w:rsidR="001C08A5" w:rsidRDefault="00000000">
            <w:pPr>
              <w:jc w:val="center"/>
              <w:rPr>
                <w:b/>
                <w:bCs/>
                <w:i/>
                <w:sz w:val="22"/>
                <w:szCs w:val="22"/>
              </w:rPr>
            </w:pPr>
            <w:r>
              <w:rPr>
                <w:b/>
                <w:bCs/>
                <w:i/>
                <w:sz w:val="22"/>
                <w:szCs w:val="22"/>
                <w:lang w:val="en-US" w:eastAsia="zh-CN" w:bidi="ar"/>
              </w:rPr>
              <w:t>25</w:t>
            </w:r>
          </w:p>
        </w:tc>
      </w:tr>
    </w:tbl>
    <w:p w14:paraId="611B98F9" w14:textId="77777777" w:rsidR="001C08A5" w:rsidRDefault="00000000">
      <w:pPr>
        <w:jc w:val="both"/>
        <w:rPr>
          <w:i/>
          <w:iCs/>
          <w:sz w:val="22"/>
          <w:szCs w:val="22"/>
        </w:rPr>
      </w:pPr>
      <w:r>
        <w:rPr>
          <w:i/>
          <w:iCs/>
          <w:sz w:val="22"/>
          <w:szCs w:val="22"/>
        </w:rPr>
        <w:t>Notă :</w:t>
      </w:r>
    </w:p>
    <w:p w14:paraId="7AC865BD" w14:textId="77777777" w:rsidR="001C08A5" w:rsidRDefault="00000000">
      <w:pPr>
        <w:jc w:val="both"/>
        <w:rPr>
          <w:i/>
          <w:iCs/>
          <w:sz w:val="22"/>
          <w:szCs w:val="22"/>
        </w:rPr>
      </w:pPr>
      <w:r>
        <w:rPr>
          <w:i/>
          <w:iCs/>
          <w:sz w:val="22"/>
          <w:szCs w:val="22"/>
        </w:rPr>
        <w:t>*) Valorile din paranteze se referă numai la circulațiile (trecerile) de evacuare din interiorul sălilor aglomerate existente (până la ușile de evacuare ale sălii).</w:t>
      </w:r>
    </w:p>
    <w:p w14:paraId="74F40954" w14:textId="77777777" w:rsidR="001C08A5" w:rsidRDefault="001C08A5"/>
    <w:p w14:paraId="5116DD8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4.1.44.</w:t>
      </w:r>
      <w:r>
        <w:rPr>
          <w:rFonts w:eastAsia="Calibri"/>
          <w:i/>
          <w:sz w:val="24"/>
          <w:szCs w:val="24"/>
          <w:shd w:val="clear" w:color="auto" w:fill="FFFFFF"/>
        </w:rPr>
        <w:t xml:space="preserve"> Lungimile maxime admise pe traseul parcurs pe căile de evacuare, sunt stabilite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_Ref16141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166</w:t>
      </w:r>
      <w:r>
        <w:rPr>
          <w:rFonts w:eastAsia="Calibri"/>
          <w:b/>
          <w:bCs/>
          <w:i/>
          <w:iCs/>
          <w:sz w:val="24"/>
          <w:szCs w:val="24"/>
          <w:shd w:val="clear" w:color="auto" w:fill="FFFFFF"/>
        </w:rPr>
        <w:fldChar w:fldCharType="end"/>
      </w:r>
      <w:r>
        <w:rPr>
          <w:rFonts w:eastAsia="Calibri"/>
          <w:i/>
          <w:sz w:val="24"/>
          <w:szCs w:val="24"/>
          <w:shd w:val="clear" w:color="auto" w:fill="FFFFFF"/>
        </w:rPr>
        <w:t>.</w:t>
      </w:r>
    </w:p>
    <w:p w14:paraId="753CF07C"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4.1.45.</w:t>
      </w:r>
      <w:r>
        <w:rPr>
          <w:rFonts w:eastAsia="Calibri"/>
          <w:i/>
          <w:sz w:val="24"/>
          <w:szCs w:val="24"/>
          <w:shd w:val="clear" w:color="auto" w:fill="FFFFFF"/>
        </w:rPr>
        <w:t xml:space="preserve"> Pentru asigurarea evacuării rapide și fără accidente a publicului, în sălile aglomerate existente, scaunele, băncile și în general mobilierul, se fixează de pardoseală, astfel încât să nu fie răsturnate în caz de panică. Fac excepție lojiile, în care se admit maximum </w:t>
      </w:r>
      <w:r>
        <w:rPr>
          <w:rFonts w:eastAsia="Calibri"/>
          <w:b/>
          <w:bCs/>
          <w:i/>
          <w:sz w:val="24"/>
          <w:szCs w:val="24"/>
          <w:shd w:val="clear" w:color="auto" w:fill="FFFFFF"/>
        </w:rPr>
        <w:t>12</w:t>
      </w:r>
      <w:r>
        <w:rPr>
          <w:rFonts w:eastAsia="Calibri"/>
          <w:i/>
          <w:sz w:val="24"/>
          <w:szCs w:val="24"/>
          <w:shd w:val="clear" w:color="auto" w:fill="FFFFFF"/>
        </w:rPr>
        <w:t xml:space="preserve"> scaune mobile, precum și expozițiile și saloanele de dans, în care se recomandă solidarizarea lor pe pachete (fără fixare de pardoseală). La sălile de întruniri existente cu o capacitate de maximum </w:t>
      </w:r>
      <w:r>
        <w:rPr>
          <w:rFonts w:eastAsia="Calibri"/>
          <w:b/>
          <w:bCs/>
          <w:i/>
          <w:sz w:val="24"/>
          <w:szCs w:val="24"/>
          <w:shd w:val="clear" w:color="auto" w:fill="FFFFFF"/>
        </w:rPr>
        <w:t xml:space="preserve">200 </w:t>
      </w:r>
      <w:r>
        <w:rPr>
          <w:rFonts w:eastAsia="Calibri"/>
          <w:i/>
          <w:sz w:val="24"/>
          <w:szCs w:val="24"/>
          <w:shd w:val="clear" w:color="auto" w:fill="FFFFFF"/>
        </w:rPr>
        <w:t xml:space="preserve">de locuri, scaunele și băncile pot fi nefixate de pardoseală, cu condiția solidarizării între ele pe pachete de minimum trei rânduri. La sălile polivalente existente se recomandă ca scaunele să fie legate rigid între ele pe șiruri și rânduri. Fiecare șir sau rând trebuie fixat solid la cele două capete, de pardoseală ori pereți, sau prins solidar de celelalte rânduri astfel încât să devină un pachet. În toate situațiile, barele de fixare perpendiculare pe rânduri și aplicate la nivelul pardoselii vor avea cel mult </w:t>
      </w:r>
      <w:r>
        <w:rPr>
          <w:rFonts w:eastAsia="Calibri"/>
          <w:b/>
          <w:bCs/>
          <w:i/>
          <w:sz w:val="24"/>
          <w:szCs w:val="24"/>
          <w:shd w:val="clear" w:color="auto" w:fill="FFFFFF"/>
        </w:rPr>
        <w:t>20</w:t>
      </w:r>
      <w:r>
        <w:rPr>
          <w:rFonts w:eastAsia="Calibri"/>
          <w:i/>
          <w:sz w:val="24"/>
          <w:szCs w:val="24"/>
          <w:shd w:val="clear" w:color="auto" w:fill="FFFFFF"/>
        </w:rPr>
        <w:t xml:space="preserve"> mm grosime, iar profilul rotunjit.</w:t>
      </w:r>
    </w:p>
    <w:p w14:paraId="3DE2B597" w14:textId="77777777" w:rsidR="001C08A5" w:rsidRDefault="00000000">
      <w:pPr>
        <w:pStyle w:val="Caption"/>
        <w:shd w:val="clear" w:color="auto" w:fill="FFFFFF"/>
        <w:spacing w:before="0" w:after="150"/>
        <w:jc w:val="both"/>
        <w:rPr>
          <w:rFonts w:eastAsia="Calibri" w:cs="Times New Roman"/>
          <w:bCs/>
          <w:shd w:val="clear" w:color="auto" w:fill="FFFFFF"/>
        </w:rPr>
      </w:pPr>
      <w:bookmarkStart w:id="11178" w:name="_Ref16141"/>
      <w:bookmarkStart w:id="11179" w:name="_Toc162360216"/>
      <w:r>
        <w:t xml:space="preserve">Tabelul </w:t>
      </w:r>
      <w:r>
        <w:fldChar w:fldCharType="begin"/>
      </w:r>
      <w:r>
        <w:instrText xml:space="preserve"> SEQ Tabelul \* ARABIC </w:instrText>
      </w:r>
      <w:r>
        <w:fldChar w:fldCharType="separate"/>
      </w:r>
      <w:r>
        <w:t>166</w:t>
      </w:r>
      <w:r>
        <w:fldChar w:fldCharType="end"/>
      </w:r>
      <w:bookmarkStart w:id="11180" w:name="_Toc13355"/>
      <w:bookmarkStart w:id="11181" w:name="_Toc16840"/>
      <w:bookmarkStart w:id="11182" w:name="_Toc23030"/>
      <w:bookmarkStart w:id="11183" w:name="_Toc21790"/>
      <w:bookmarkStart w:id="11184" w:name="_Toc17957"/>
      <w:bookmarkStart w:id="11185" w:name="_Toc1053"/>
      <w:bookmarkStart w:id="11186" w:name="_Toc27147"/>
      <w:bookmarkStart w:id="11187" w:name="_Toc25283"/>
      <w:bookmarkStart w:id="11188" w:name="_Toc29882"/>
      <w:bookmarkStart w:id="11189" w:name="_Toc3635"/>
      <w:bookmarkStart w:id="11190" w:name="_Toc28227"/>
      <w:bookmarkStart w:id="11191" w:name="_Toc31201"/>
      <w:bookmarkEnd w:id="11178"/>
      <w:r>
        <w:t xml:space="preserve">: </w:t>
      </w:r>
      <w:r>
        <w:rPr>
          <w:rFonts w:eastAsia="Calibri"/>
          <w:bCs/>
          <w:shd w:val="clear" w:color="auto" w:fill="FFFFFF"/>
        </w:rPr>
        <w:t>Lungimi de evacuare la săli aglomerate în clădiri existente</w:t>
      </w:r>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p>
    <w:tbl>
      <w:tblPr>
        <w:tblW w:w="9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49"/>
        <w:gridCol w:w="1262"/>
        <w:gridCol w:w="1117"/>
        <w:gridCol w:w="2035"/>
        <w:gridCol w:w="3765"/>
      </w:tblGrid>
      <w:tr w:rsidR="001C08A5" w14:paraId="491CE43C" w14:textId="77777777">
        <w:trPr>
          <w:trHeight w:val="345"/>
          <w:jc w:val="center"/>
        </w:trPr>
        <w:tc>
          <w:tcPr>
            <w:tcW w:w="1349" w:type="dxa"/>
            <w:vMerge w:val="restart"/>
            <w:tcMar>
              <w:top w:w="0" w:type="dxa"/>
              <w:left w:w="0" w:type="dxa"/>
              <w:bottom w:w="0" w:type="dxa"/>
              <w:right w:w="0" w:type="dxa"/>
            </w:tcMar>
            <w:vAlign w:val="center"/>
          </w:tcPr>
          <w:p w14:paraId="3D5D351A" w14:textId="77777777" w:rsidR="001C08A5" w:rsidRDefault="00000000">
            <w:pPr>
              <w:jc w:val="center"/>
              <w:rPr>
                <w:b/>
                <w:bCs/>
                <w:i/>
                <w:sz w:val="22"/>
                <w:szCs w:val="22"/>
              </w:rPr>
            </w:pPr>
            <w:r>
              <w:rPr>
                <w:b/>
                <w:bCs/>
                <w:i/>
                <w:sz w:val="22"/>
                <w:szCs w:val="22"/>
                <w:lang w:val="en-US" w:eastAsia="zh-CN" w:bidi="ar"/>
              </w:rPr>
              <w:t>Categoria sălii aglomerate</w:t>
            </w:r>
          </w:p>
        </w:tc>
        <w:tc>
          <w:tcPr>
            <w:tcW w:w="1262" w:type="dxa"/>
            <w:vMerge w:val="restart"/>
            <w:tcMar>
              <w:top w:w="0" w:type="dxa"/>
              <w:left w:w="0" w:type="dxa"/>
              <w:bottom w:w="0" w:type="dxa"/>
              <w:right w:w="0" w:type="dxa"/>
            </w:tcMar>
            <w:vAlign w:val="center"/>
          </w:tcPr>
          <w:p w14:paraId="3BCAF8B8" w14:textId="77777777" w:rsidR="001C08A5" w:rsidRDefault="00000000">
            <w:pPr>
              <w:jc w:val="center"/>
              <w:rPr>
                <w:b/>
                <w:bCs/>
                <w:i/>
                <w:sz w:val="22"/>
                <w:szCs w:val="22"/>
              </w:rPr>
            </w:pPr>
            <w:r>
              <w:rPr>
                <w:rFonts w:eastAsia="Calibri"/>
                <w:b/>
                <w:bCs/>
                <w:i/>
                <w:sz w:val="22"/>
                <w:szCs w:val="22"/>
                <w:shd w:val="clear" w:color="auto" w:fill="FFFFFF"/>
              </w:rPr>
              <w:t>Nivelul de stabilitate la incendiu</w:t>
            </w:r>
            <w:r>
              <w:rPr>
                <w:b/>
                <w:bCs/>
                <w:i/>
                <w:sz w:val="22"/>
                <w:szCs w:val="22"/>
                <w:lang w:val="en-US" w:eastAsia="zh-CN" w:bidi="ar"/>
              </w:rPr>
              <w:t xml:space="preserve"> al clădirii</w:t>
            </w:r>
          </w:p>
        </w:tc>
        <w:tc>
          <w:tcPr>
            <w:tcW w:w="6917" w:type="dxa"/>
            <w:gridSpan w:val="3"/>
            <w:tcMar>
              <w:top w:w="0" w:type="dxa"/>
              <w:left w:w="0" w:type="dxa"/>
              <w:bottom w:w="0" w:type="dxa"/>
              <w:right w:w="0" w:type="dxa"/>
            </w:tcMar>
            <w:vAlign w:val="center"/>
          </w:tcPr>
          <w:p w14:paraId="74B46F40" w14:textId="77777777" w:rsidR="001C08A5" w:rsidRDefault="00000000">
            <w:pPr>
              <w:jc w:val="center"/>
              <w:rPr>
                <w:b/>
                <w:bCs/>
                <w:i/>
                <w:sz w:val="22"/>
                <w:szCs w:val="22"/>
              </w:rPr>
            </w:pPr>
            <w:r>
              <w:rPr>
                <w:b/>
                <w:bCs/>
                <w:i/>
                <w:sz w:val="22"/>
                <w:szCs w:val="22"/>
                <w:lang w:eastAsia="zh-CN" w:bidi="ar"/>
              </w:rPr>
              <w:t>L</w:t>
            </w:r>
            <w:r>
              <w:rPr>
                <w:b/>
                <w:bCs/>
                <w:i/>
                <w:sz w:val="22"/>
                <w:szCs w:val="22"/>
                <w:lang w:val="en-US" w:eastAsia="zh-CN" w:bidi="ar"/>
              </w:rPr>
              <w:t>ungime maximă a căii de evacuare</w:t>
            </w:r>
          </w:p>
        </w:tc>
      </w:tr>
      <w:tr w:rsidR="001C08A5" w14:paraId="7B8B5517" w14:textId="77777777">
        <w:trPr>
          <w:trHeight w:val="765"/>
          <w:jc w:val="center"/>
        </w:trPr>
        <w:tc>
          <w:tcPr>
            <w:tcW w:w="1349" w:type="dxa"/>
            <w:vMerge/>
            <w:tcMar>
              <w:top w:w="0" w:type="dxa"/>
              <w:left w:w="0" w:type="dxa"/>
              <w:bottom w:w="0" w:type="dxa"/>
              <w:right w:w="0" w:type="dxa"/>
            </w:tcMar>
            <w:vAlign w:val="center"/>
          </w:tcPr>
          <w:p w14:paraId="746CA08B" w14:textId="77777777" w:rsidR="001C08A5" w:rsidRDefault="001C08A5">
            <w:pPr>
              <w:jc w:val="center"/>
              <w:rPr>
                <w:b/>
                <w:bCs/>
                <w:i/>
                <w:sz w:val="22"/>
                <w:szCs w:val="22"/>
              </w:rPr>
            </w:pPr>
          </w:p>
        </w:tc>
        <w:tc>
          <w:tcPr>
            <w:tcW w:w="1262" w:type="dxa"/>
            <w:vMerge/>
            <w:tcMar>
              <w:top w:w="0" w:type="dxa"/>
              <w:left w:w="0" w:type="dxa"/>
              <w:bottom w:w="0" w:type="dxa"/>
              <w:right w:w="0" w:type="dxa"/>
            </w:tcMar>
            <w:vAlign w:val="center"/>
          </w:tcPr>
          <w:p w14:paraId="0657F108" w14:textId="77777777" w:rsidR="001C08A5" w:rsidRDefault="001C08A5">
            <w:pPr>
              <w:jc w:val="center"/>
              <w:rPr>
                <w:b/>
                <w:bCs/>
                <w:i/>
                <w:sz w:val="22"/>
                <w:szCs w:val="22"/>
              </w:rPr>
            </w:pPr>
          </w:p>
        </w:tc>
        <w:tc>
          <w:tcPr>
            <w:tcW w:w="1117" w:type="dxa"/>
            <w:vMerge w:val="restart"/>
            <w:tcMar>
              <w:top w:w="0" w:type="dxa"/>
              <w:left w:w="0" w:type="dxa"/>
              <w:bottom w:w="0" w:type="dxa"/>
              <w:right w:w="0" w:type="dxa"/>
            </w:tcMar>
            <w:vAlign w:val="center"/>
          </w:tcPr>
          <w:p w14:paraId="76C66F2F" w14:textId="77777777" w:rsidR="001C08A5" w:rsidRDefault="00000000">
            <w:pPr>
              <w:jc w:val="center"/>
              <w:rPr>
                <w:b/>
                <w:bCs/>
                <w:i/>
                <w:sz w:val="22"/>
                <w:szCs w:val="22"/>
              </w:rPr>
            </w:pPr>
            <w:r>
              <w:rPr>
                <w:b/>
                <w:bCs/>
                <w:i/>
                <w:sz w:val="22"/>
                <w:szCs w:val="22"/>
                <w:lang w:val="en-US" w:eastAsia="zh-CN" w:bidi="ar"/>
              </w:rPr>
              <w:t>Până la o ușă a sălii aglomerate</w:t>
            </w:r>
          </w:p>
        </w:tc>
        <w:tc>
          <w:tcPr>
            <w:tcW w:w="5800" w:type="dxa"/>
            <w:gridSpan w:val="2"/>
            <w:tcMar>
              <w:top w:w="0" w:type="dxa"/>
              <w:left w:w="0" w:type="dxa"/>
              <w:bottom w:w="0" w:type="dxa"/>
              <w:right w:w="0" w:type="dxa"/>
            </w:tcMar>
            <w:vAlign w:val="center"/>
          </w:tcPr>
          <w:p w14:paraId="35A44F84" w14:textId="77777777" w:rsidR="001C08A5" w:rsidRDefault="00000000">
            <w:pPr>
              <w:jc w:val="center"/>
              <w:rPr>
                <w:b/>
                <w:bCs/>
                <w:i/>
                <w:sz w:val="22"/>
                <w:szCs w:val="22"/>
              </w:rPr>
            </w:pPr>
            <w:r>
              <w:rPr>
                <w:b/>
                <w:bCs/>
                <w:i/>
                <w:sz w:val="22"/>
                <w:szCs w:val="22"/>
                <w:lang w:val="en-US" w:eastAsia="zh-CN" w:bidi="ar"/>
              </w:rPr>
              <w:t>De la ușa sălii aglomerate în exterior, la o scară</w:t>
            </w:r>
            <w:r>
              <w:rPr>
                <w:b/>
                <w:bCs/>
                <w:i/>
                <w:sz w:val="22"/>
                <w:szCs w:val="22"/>
                <w:lang w:eastAsia="zh-CN" w:bidi="ar"/>
              </w:rPr>
              <w:t>, încăpere tampon</w:t>
            </w:r>
            <w:r>
              <w:rPr>
                <w:b/>
                <w:bCs/>
                <w:i/>
                <w:sz w:val="22"/>
                <w:szCs w:val="22"/>
                <w:lang w:val="en-US" w:eastAsia="zh-CN" w:bidi="ar"/>
              </w:rPr>
              <w:t xml:space="preserve"> sau degajament protejat, când evacuarea se face:</w:t>
            </w:r>
          </w:p>
        </w:tc>
      </w:tr>
      <w:tr w:rsidR="001C08A5" w14:paraId="3C5EEF6D" w14:textId="77777777">
        <w:trPr>
          <w:trHeight w:val="555"/>
          <w:jc w:val="center"/>
        </w:trPr>
        <w:tc>
          <w:tcPr>
            <w:tcW w:w="1349" w:type="dxa"/>
            <w:vMerge/>
            <w:tcMar>
              <w:top w:w="0" w:type="dxa"/>
              <w:left w:w="0" w:type="dxa"/>
              <w:bottom w:w="0" w:type="dxa"/>
              <w:right w:w="0" w:type="dxa"/>
            </w:tcMar>
            <w:vAlign w:val="center"/>
          </w:tcPr>
          <w:p w14:paraId="2B4C40E7" w14:textId="77777777" w:rsidR="001C08A5" w:rsidRDefault="001C08A5">
            <w:pPr>
              <w:jc w:val="center"/>
              <w:rPr>
                <w:b/>
                <w:bCs/>
                <w:i/>
                <w:sz w:val="22"/>
                <w:szCs w:val="22"/>
              </w:rPr>
            </w:pPr>
          </w:p>
        </w:tc>
        <w:tc>
          <w:tcPr>
            <w:tcW w:w="1262" w:type="dxa"/>
            <w:vMerge/>
            <w:tcMar>
              <w:top w:w="0" w:type="dxa"/>
              <w:left w:w="0" w:type="dxa"/>
              <w:bottom w:w="0" w:type="dxa"/>
              <w:right w:w="0" w:type="dxa"/>
            </w:tcMar>
            <w:vAlign w:val="center"/>
          </w:tcPr>
          <w:p w14:paraId="2762A6FA" w14:textId="77777777" w:rsidR="001C08A5" w:rsidRDefault="001C08A5">
            <w:pPr>
              <w:jc w:val="center"/>
              <w:rPr>
                <w:b/>
                <w:bCs/>
                <w:i/>
                <w:sz w:val="22"/>
                <w:szCs w:val="22"/>
              </w:rPr>
            </w:pPr>
          </w:p>
        </w:tc>
        <w:tc>
          <w:tcPr>
            <w:tcW w:w="1117" w:type="dxa"/>
            <w:vMerge/>
            <w:tcMar>
              <w:top w:w="0" w:type="dxa"/>
              <w:left w:w="0" w:type="dxa"/>
              <w:bottom w:w="0" w:type="dxa"/>
              <w:right w:w="0" w:type="dxa"/>
            </w:tcMar>
            <w:vAlign w:val="center"/>
          </w:tcPr>
          <w:p w14:paraId="0EAC7C1F" w14:textId="77777777" w:rsidR="001C08A5" w:rsidRDefault="001C08A5">
            <w:pPr>
              <w:jc w:val="center"/>
              <w:rPr>
                <w:b/>
                <w:bCs/>
                <w:i/>
                <w:sz w:val="22"/>
                <w:szCs w:val="22"/>
              </w:rPr>
            </w:pPr>
          </w:p>
        </w:tc>
        <w:tc>
          <w:tcPr>
            <w:tcW w:w="2035" w:type="dxa"/>
            <w:tcMar>
              <w:top w:w="0" w:type="dxa"/>
              <w:left w:w="0" w:type="dxa"/>
              <w:bottom w:w="0" w:type="dxa"/>
              <w:right w:w="0" w:type="dxa"/>
            </w:tcMar>
            <w:vAlign w:val="center"/>
          </w:tcPr>
          <w:p w14:paraId="0A2266B0" w14:textId="77777777" w:rsidR="001C08A5" w:rsidRDefault="00000000">
            <w:pPr>
              <w:jc w:val="center"/>
              <w:rPr>
                <w:b/>
                <w:bCs/>
                <w:i/>
                <w:sz w:val="22"/>
                <w:szCs w:val="22"/>
              </w:rPr>
            </w:pPr>
            <w:r>
              <w:rPr>
                <w:b/>
                <w:bCs/>
                <w:i/>
                <w:sz w:val="22"/>
                <w:szCs w:val="22"/>
                <w:lang w:val="en-US" w:eastAsia="zh-CN" w:bidi="ar"/>
              </w:rPr>
              <w:t>în două direcții diferite</w:t>
            </w:r>
          </w:p>
        </w:tc>
        <w:tc>
          <w:tcPr>
            <w:tcW w:w="3765" w:type="dxa"/>
            <w:tcMar>
              <w:top w:w="0" w:type="dxa"/>
              <w:left w:w="0" w:type="dxa"/>
              <w:bottom w:w="0" w:type="dxa"/>
              <w:right w:w="0" w:type="dxa"/>
            </w:tcMar>
            <w:vAlign w:val="center"/>
          </w:tcPr>
          <w:p w14:paraId="64CA34F8" w14:textId="77777777" w:rsidR="001C08A5" w:rsidRDefault="00000000">
            <w:pPr>
              <w:jc w:val="center"/>
              <w:rPr>
                <w:b/>
                <w:bCs/>
                <w:i/>
                <w:sz w:val="22"/>
                <w:szCs w:val="22"/>
              </w:rPr>
            </w:pPr>
            <w:r>
              <w:rPr>
                <w:b/>
                <w:bCs/>
                <w:i/>
                <w:sz w:val="22"/>
                <w:szCs w:val="22"/>
                <w:lang w:val="en-US" w:eastAsia="zh-CN" w:bidi="ar"/>
              </w:rPr>
              <w:t>într-o singură direcție (coridor înfundat)</w:t>
            </w:r>
          </w:p>
        </w:tc>
      </w:tr>
      <w:tr w:rsidR="001C08A5" w14:paraId="34CFEE08" w14:textId="77777777">
        <w:trPr>
          <w:trHeight w:val="345"/>
          <w:jc w:val="center"/>
        </w:trPr>
        <w:tc>
          <w:tcPr>
            <w:tcW w:w="1349" w:type="dxa"/>
            <w:vMerge/>
            <w:tcMar>
              <w:top w:w="0" w:type="dxa"/>
              <w:left w:w="0" w:type="dxa"/>
              <w:bottom w:w="0" w:type="dxa"/>
              <w:right w:w="0" w:type="dxa"/>
            </w:tcMar>
            <w:vAlign w:val="center"/>
          </w:tcPr>
          <w:p w14:paraId="21140091" w14:textId="77777777" w:rsidR="001C08A5" w:rsidRDefault="001C08A5">
            <w:pPr>
              <w:jc w:val="center"/>
              <w:rPr>
                <w:b/>
                <w:bCs/>
                <w:i/>
                <w:sz w:val="22"/>
                <w:szCs w:val="22"/>
              </w:rPr>
            </w:pPr>
          </w:p>
        </w:tc>
        <w:tc>
          <w:tcPr>
            <w:tcW w:w="1262" w:type="dxa"/>
            <w:vMerge/>
            <w:tcMar>
              <w:top w:w="0" w:type="dxa"/>
              <w:left w:w="0" w:type="dxa"/>
              <w:bottom w:w="0" w:type="dxa"/>
              <w:right w:w="0" w:type="dxa"/>
            </w:tcMar>
            <w:vAlign w:val="center"/>
          </w:tcPr>
          <w:p w14:paraId="17667798" w14:textId="77777777" w:rsidR="001C08A5" w:rsidRDefault="001C08A5">
            <w:pPr>
              <w:jc w:val="center"/>
              <w:rPr>
                <w:b/>
                <w:bCs/>
                <w:i/>
                <w:sz w:val="22"/>
                <w:szCs w:val="22"/>
              </w:rPr>
            </w:pPr>
          </w:p>
        </w:tc>
        <w:tc>
          <w:tcPr>
            <w:tcW w:w="1117" w:type="dxa"/>
            <w:tcMar>
              <w:top w:w="0" w:type="dxa"/>
              <w:left w:w="0" w:type="dxa"/>
              <w:bottom w:w="0" w:type="dxa"/>
              <w:right w:w="0" w:type="dxa"/>
            </w:tcMar>
            <w:vAlign w:val="center"/>
          </w:tcPr>
          <w:p w14:paraId="5106CF8B" w14:textId="77777777" w:rsidR="001C08A5" w:rsidRDefault="00000000">
            <w:pPr>
              <w:jc w:val="center"/>
              <w:rPr>
                <w:b/>
                <w:bCs/>
                <w:i/>
                <w:sz w:val="22"/>
                <w:szCs w:val="22"/>
              </w:rPr>
            </w:pPr>
            <w:r>
              <w:rPr>
                <w:b/>
                <w:bCs/>
                <w:i/>
                <w:sz w:val="22"/>
                <w:szCs w:val="22"/>
                <w:lang w:val="en-US" w:eastAsia="zh-CN" w:bidi="ar"/>
              </w:rPr>
              <w:t>metri</w:t>
            </w:r>
          </w:p>
        </w:tc>
        <w:tc>
          <w:tcPr>
            <w:tcW w:w="2035" w:type="dxa"/>
            <w:tcMar>
              <w:top w:w="0" w:type="dxa"/>
              <w:left w:w="0" w:type="dxa"/>
              <w:bottom w:w="0" w:type="dxa"/>
              <w:right w:w="0" w:type="dxa"/>
            </w:tcMar>
            <w:vAlign w:val="center"/>
          </w:tcPr>
          <w:p w14:paraId="0D54F2B9" w14:textId="77777777" w:rsidR="001C08A5" w:rsidRDefault="00000000">
            <w:pPr>
              <w:jc w:val="center"/>
              <w:rPr>
                <w:b/>
                <w:bCs/>
                <w:i/>
                <w:sz w:val="22"/>
                <w:szCs w:val="22"/>
              </w:rPr>
            </w:pPr>
            <w:r>
              <w:rPr>
                <w:b/>
                <w:bCs/>
                <w:i/>
                <w:sz w:val="22"/>
                <w:szCs w:val="22"/>
                <w:lang w:val="en-US" w:eastAsia="zh-CN" w:bidi="ar"/>
              </w:rPr>
              <w:t>metri</w:t>
            </w:r>
          </w:p>
        </w:tc>
        <w:tc>
          <w:tcPr>
            <w:tcW w:w="3765" w:type="dxa"/>
            <w:tcMar>
              <w:top w:w="0" w:type="dxa"/>
              <w:left w:w="0" w:type="dxa"/>
              <w:bottom w:w="0" w:type="dxa"/>
              <w:right w:w="0" w:type="dxa"/>
            </w:tcMar>
            <w:vAlign w:val="center"/>
          </w:tcPr>
          <w:p w14:paraId="0EF053EA" w14:textId="77777777" w:rsidR="001C08A5" w:rsidRDefault="00000000">
            <w:pPr>
              <w:jc w:val="center"/>
              <w:rPr>
                <w:b/>
                <w:bCs/>
                <w:i/>
                <w:sz w:val="22"/>
                <w:szCs w:val="22"/>
              </w:rPr>
            </w:pPr>
            <w:r>
              <w:rPr>
                <w:b/>
                <w:bCs/>
                <w:i/>
                <w:sz w:val="22"/>
                <w:szCs w:val="22"/>
                <w:lang w:val="en-US" w:eastAsia="zh-CN" w:bidi="ar"/>
              </w:rPr>
              <w:t>metri</w:t>
            </w:r>
          </w:p>
        </w:tc>
      </w:tr>
      <w:tr w:rsidR="001C08A5" w14:paraId="43A34C9B" w14:textId="77777777">
        <w:trPr>
          <w:trHeight w:val="345"/>
          <w:jc w:val="center"/>
        </w:trPr>
        <w:tc>
          <w:tcPr>
            <w:tcW w:w="1349" w:type="dxa"/>
            <w:vMerge w:val="restart"/>
            <w:tcMar>
              <w:top w:w="0" w:type="dxa"/>
              <w:left w:w="0" w:type="dxa"/>
              <w:bottom w:w="0" w:type="dxa"/>
              <w:right w:w="0" w:type="dxa"/>
            </w:tcMar>
          </w:tcPr>
          <w:p w14:paraId="27EB8153" w14:textId="77777777" w:rsidR="001C08A5" w:rsidRDefault="00000000">
            <w:pPr>
              <w:jc w:val="center"/>
              <w:rPr>
                <w:b/>
                <w:bCs/>
                <w:i/>
                <w:sz w:val="22"/>
                <w:szCs w:val="22"/>
              </w:rPr>
            </w:pPr>
            <w:r>
              <w:rPr>
                <w:b/>
                <w:bCs/>
                <w:i/>
                <w:sz w:val="22"/>
                <w:szCs w:val="22"/>
                <w:lang w:val="en-US" w:eastAsia="zh-CN" w:bidi="ar"/>
              </w:rPr>
              <w:t>Sala S1</w:t>
            </w:r>
          </w:p>
        </w:tc>
        <w:tc>
          <w:tcPr>
            <w:tcW w:w="1262" w:type="dxa"/>
            <w:tcMar>
              <w:top w:w="0" w:type="dxa"/>
              <w:left w:w="0" w:type="dxa"/>
              <w:bottom w:w="0" w:type="dxa"/>
              <w:right w:w="0" w:type="dxa"/>
            </w:tcMar>
          </w:tcPr>
          <w:p w14:paraId="10CD0D85" w14:textId="77777777" w:rsidR="001C08A5" w:rsidRDefault="00000000">
            <w:pPr>
              <w:jc w:val="center"/>
              <w:rPr>
                <w:b/>
                <w:bCs/>
                <w:i/>
                <w:sz w:val="22"/>
                <w:szCs w:val="22"/>
              </w:rPr>
            </w:pPr>
            <w:r>
              <w:rPr>
                <w:b/>
                <w:bCs/>
                <w:i/>
                <w:sz w:val="22"/>
                <w:szCs w:val="22"/>
                <w:lang w:val="en-US" w:eastAsia="zh-CN" w:bidi="ar"/>
              </w:rPr>
              <w:t>I și II</w:t>
            </w:r>
          </w:p>
        </w:tc>
        <w:tc>
          <w:tcPr>
            <w:tcW w:w="1117" w:type="dxa"/>
            <w:tcMar>
              <w:top w:w="0" w:type="dxa"/>
              <w:left w:w="0" w:type="dxa"/>
              <w:bottom w:w="0" w:type="dxa"/>
              <w:right w:w="0" w:type="dxa"/>
            </w:tcMar>
          </w:tcPr>
          <w:p w14:paraId="258C5BEB" w14:textId="77777777" w:rsidR="001C08A5" w:rsidRDefault="00000000">
            <w:pPr>
              <w:jc w:val="center"/>
              <w:rPr>
                <w:b/>
                <w:bCs/>
                <w:i/>
                <w:sz w:val="22"/>
                <w:szCs w:val="22"/>
              </w:rPr>
            </w:pPr>
            <w:r>
              <w:rPr>
                <w:b/>
                <w:bCs/>
                <w:i/>
                <w:sz w:val="22"/>
                <w:szCs w:val="22"/>
                <w:lang w:val="en-US" w:eastAsia="zh-CN" w:bidi="ar"/>
              </w:rPr>
              <w:t>32</w:t>
            </w:r>
          </w:p>
        </w:tc>
        <w:tc>
          <w:tcPr>
            <w:tcW w:w="2035" w:type="dxa"/>
            <w:tcMar>
              <w:top w:w="0" w:type="dxa"/>
              <w:left w:w="0" w:type="dxa"/>
              <w:bottom w:w="0" w:type="dxa"/>
              <w:right w:w="0" w:type="dxa"/>
            </w:tcMar>
          </w:tcPr>
          <w:p w14:paraId="14AF0D7B" w14:textId="77777777" w:rsidR="001C08A5" w:rsidRDefault="00000000">
            <w:pPr>
              <w:jc w:val="center"/>
              <w:rPr>
                <w:b/>
                <w:bCs/>
                <w:i/>
                <w:sz w:val="22"/>
                <w:szCs w:val="22"/>
              </w:rPr>
            </w:pPr>
            <w:r>
              <w:rPr>
                <w:b/>
                <w:bCs/>
                <w:i/>
                <w:sz w:val="22"/>
                <w:szCs w:val="22"/>
                <w:lang w:val="en-US" w:eastAsia="zh-CN" w:bidi="ar"/>
              </w:rPr>
              <w:t>35</w:t>
            </w:r>
          </w:p>
        </w:tc>
        <w:tc>
          <w:tcPr>
            <w:tcW w:w="3765" w:type="dxa"/>
            <w:tcMar>
              <w:top w:w="0" w:type="dxa"/>
              <w:left w:w="0" w:type="dxa"/>
              <w:bottom w:w="0" w:type="dxa"/>
              <w:right w:w="0" w:type="dxa"/>
            </w:tcMar>
          </w:tcPr>
          <w:p w14:paraId="1AA4E9A0" w14:textId="77777777" w:rsidR="001C08A5" w:rsidRDefault="00000000">
            <w:pPr>
              <w:jc w:val="center"/>
              <w:rPr>
                <w:b/>
                <w:bCs/>
                <w:i/>
                <w:sz w:val="22"/>
                <w:szCs w:val="22"/>
              </w:rPr>
            </w:pPr>
            <w:r>
              <w:rPr>
                <w:b/>
                <w:bCs/>
                <w:i/>
                <w:sz w:val="22"/>
                <w:szCs w:val="22"/>
                <w:lang w:val="en-US" w:eastAsia="zh-CN" w:bidi="ar"/>
              </w:rPr>
              <w:t>20</w:t>
            </w:r>
          </w:p>
        </w:tc>
      </w:tr>
      <w:tr w:rsidR="001C08A5" w14:paraId="25692CEE" w14:textId="77777777">
        <w:trPr>
          <w:trHeight w:val="345"/>
          <w:jc w:val="center"/>
        </w:trPr>
        <w:tc>
          <w:tcPr>
            <w:tcW w:w="1349" w:type="dxa"/>
            <w:vMerge/>
            <w:tcMar>
              <w:top w:w="0" w:type="dxa"/>
              <w:left w:w="0" w:type="dxa"/>
              <w:bottom w:w="0" w:type="dxa"/>
              <w:right w:w="0" w:type="dxa"/>
            </w:tcMar>
          </w:tcPr>
          <w:p w14:paraId="6ABEB9F6" w14:textId="77777777" w:rsidR="001C08A5" w:rsidRDefault="001C08A5">
            <w:pPr>
              <w:jc w:val="center"/>
              <w:rPr>
                <w:b/>
                <w:bCs/>
                <w:i/>
                <w:sz w:val="22"/>
                <w:szCs w:val="22"/>
              </w:rPr>
            </w:pPr>
          </w:p>
        </w:tc>
        <w:tc>
          <w:tcPr>
            <w:tcW w:w="1262" w:type="dxa"/>
            <w:tcMar>
              <w:top w:w="0" w:type="dxa"/>
              <w:left w:w="0" w:type="dxa"/>
              <w:bottom w:w="0" w:type="dxa"/>
              <w:right w:w="0" w:type="dxa"/>
            </w:tcMar>
          </w:tcPr>
          <w:p w14:paraId="31F10289" w14:textId="77777777" w:rsidR="001C08A5" w:rsidRDefault="00000000">
            <w:pPr>
              <w:jc w:val="center"/>
              <w:rPr>
                <w:b/>
                <w:bCs/>
                <w:i/>
                <w:sz w:val="22"/>
                <w:szCs w:val="22"/>
              </w:rPr>
            </w:pPr>
            <w:r>
              <w:rPr>
                <w:b/>
                <w:bCs/>
                <w:i/>
                <w:sz w:val="22"/>
                <w:szCs w:val="22"/>
                <w:lang w:val="en-US" w:eastAsia="zh-CN" w:bidi="ar"/>
              </w:rPr>
              <w:t>III</w:t>
            </w:r>
          </w:p>
        </w:tc>
        <w:tc>
          <w:tcPr>
            <w:tcW w:w="1117" w:type="dxa"/>
            <w:tcMar>
              <w:top w:w="0" w:type="dxa"/>
              <w:left w:w="0" w:type="dxa"/>
              <w:bottom w:w="0" w:type="dxa"/>
              <w:right w:w="0" w:type="dxa"/>
            </w:tcMar>
          </w:tcPr>
          <w:p w14:paraId="05FB1864" w14:textId="77777777" w:rsidR="001C08A5" w:rsidRDefault="00000000">
            <w:pPr>
              <w:jc w:val="center"/>
              <w:rPr>
                <w:b/>
                <w:bCs/>
                <w:i/>
                <w:sz w:val="22"/>
                <w:szCs w:val="22"/>
              </w:rPr>
            </w:pPr>
            <w:r>
              <w:rPr>
                <w:b/>
                <w:bCs/>
                <w:i/>
                <w:sz w:val="22"/>
                <w:szCs w:val="22"/>
                <w:lang w:val="en-US" w:eastAsia="zh-CN" w:bidi="ar"/>
              </w:rPr>
              <w:t>24</w:t>
            </w:r>
          </w:p>
        </w:tc>
        <w:tc>
          <w:tcPr>
            <w:tcW w:w="2035" w:type="dxa"/>
            <w:tcMar>
              <w:top w:w="0" w:type="dxa"/>
              <w:left w:w="0" w:type="dxa"/>
              <w:bottom w:w="0" w:type="dxa"/>
              <w:right w:w="0" w:type="dxa"/>
            </w:tcMar>
          </w:tcPr>
          <w:p w14:paraId="0CE366E8" w14:textId="77777777" w:rsidR="001C08A5" w:rsidRDefault="00000000">
            <w:pPr>
              <w:jc w:val="center"/>
              <w:rPr>
                <w:b/>
                <w:bCs/>
                <w:i/>
                <w:sz w:val="22"/>
                <w:szCs w:val="22"/>
              </w:rPr>
            </w:pPr>
            <w:r>
              <w:rPr>
                <w:b/>
                <w:bCs/>
                <w:i/>
                <w:sz w:val="22"/>
                <w:szCs w:val="22"/>
                <w:lang w:val="en-US" w:eastAsia="zh-CN" w:bidi="ar"/>
              </w:rPr>
              <w:t>25</w:t>
            </w:r>
          </w:p>
        </w:tc>
        <w:tc>
          <w:tcPr>
            <w:tcW w:w="3765" w:type="dxa"/>
            <w:tcMar>
              <w:top w:w="0" w:type="dxa"/>
              <w:left w:w="0" w:type="dxa"/>
              <w:bottom w:w="0" w:type="dxa"/>
              <w:right w:w="0" w:type="dxa"/>
            </w:tcMar>
          </w:tcPr>
          <w:p w14:paraId="0AEF9D10" w14:textId="77777777" w:rsidR="001C08A5" w:rsidRDefault="00000000">
            <w:pPr>
              <w:jc w:val="center"/>
              <w:rPr>
                <w:b/>
                <w:bCs/>
                <w:i/>
                <w:sz w:val="22"/>
                <w:szCs w:val="22"/>
              </w:rPr>
            </w:pPr>
            <w:r>
              <w:rPr>
                <w:b/>
                <w:bCs/>
                <w:i/>
                <w:sz w:val="22"/>
                <w:szCs w:val="22"/>
                <w:lang w:val="en-US" w:eastAsia="zh-CN" w:bidi="ar"/>
              </w:rPr>
              <w:t>15</w:t>
            </w:r>
          </w:p>
        </w:tc>
      </w:tr>
      <w:tr w:rsidR="001C08A5" w14:paraId="4CE81768" w14:textId="77777777">
        <w:trPr>
          <w:trHeight w:val="345"/>
          <w:jc w:val="center"/>
        </w:trPr>
        <w:tc>
          <w:tcPr>
            <w:tcW w:w="1349" w:type="dxa"/>
            <w:vMerge/>
            <w:tcMar>
              <w:top w:w="0" w:type="dxa"/>
              <w:left w:w="0" w:type="dxa"/>
              <w:bottom w:w="0" w:type="dxa"/>
              <w:right w:w="0" w:type="dxa"/>
            </w:tcMar>
          </w:tcPr>
          <w:p w14:paraId="4EED7031" w14:textId="77777777" w:rsidR="001C08A5" w:rsidRDefault="001C08A5">
            <w:pPr>
              <w:jc w:val="center"/>
              <w:rPr>
                <w:b/>
                <w:bCs/>
                <w:i/>
                <w:sz w:val="22"/>
                <w:szCs w:val="22"/>
              </w:rPr>
            </w:pPr>
          </w:p>
        </w:tc>
        <w:tc>
          <w:tcPr>
            <w:tcW w:w="1262" w:type="dxa"/>
            <w:tcMar>
              <w:top w:w="0" w:type="dxa"/>
              <w:left w:w="0" w:type="dxa"/>
              <w:bottom w:w="0" w:type="dxa"/>
              <w:right w:w="0" w:type="dxa"/>
            </w:tcMar>
          </w:tcPr>
          <w:p w14:paraId="05F5D774" w14:textId="77777777" w:rsidR="001C08A5" w:rsidRDefault="00000000">
            <w:pPr>
              <w:jc w:val="center"/>
              <w:rPr>
                <w:b/>
                <w:bCs/>
                <w:i/>
                <w:sz w:val="22"/>
                <w:szCs w:val="22"/>
              </w:rPr>
            </w:pPr>
            <w:r>
              <w:rPr>
                <w:b/>
                <w:bCs/>
                <w:i/>
                <w:sz w:val="22"/>
                <w:szCs w:val="22"/>
                <w:lang w:val="en-US" w:eastAsia="zh-CN" w:bidi="ar"/>
              </w:rPr>
              <w:t>IV și V</w:t>
            </w:r>
          </w:p>
        </w:tc>
        <w:tc>
          <w:tcPr>
            <w:tcW w:w="1117" w:type="dxa"/>
            <w:tcMar>
              <w:top w:w="0" w:type="dxa"/>
              <w:left w:w="0" w:type="dxa"/>
              <w:bottom w:w="0" w:type="dxa"/>
              <w:right w:w="0" w:type="dxa"/>
            </w:tcMar>
          </w:tcPr>
          <w:p w14:paraId="435733D7" w14:textId="77777777" w:rsidR="001C08A5" w:rsidRDefault="00000000">
            <w:pPr>
              <w:jc w:val="center"/>
              <w:rPr>
                <w:b/>
                <w:bCs/>
                <w:i/>
                <w:sz w:val="22"/>
                <w:szCs w:val="22"/>
              </w:rPr>
            </w:pPr>
            <w:r>
              <w:rPr>
                <w:b/>
                <w:bCs/>
                <w:i/>
                <w:sz w:val="22"/>
                <w:szCs w:val="22"/>
                <w:lang w:val="en-US" w:eastAsia="zh-CN" w:bidi="ar"/>
              </w:rPr>
              <w:t>12</w:t>
            </w:r>
          </w:p>
        </w:tc>
        <w:tc>
          <w:tcPr>
            <w:tcW w:w="2035" w:type="dxa"/>
            <w:tcMar>
              <w:top w:w="0" w:type="dxa"/>
              <w:left w:w="0" w:type="dxa"/>
              <w:bottom w:w="0" w:type="dxa"/>
              <w:right w:w="0" w:type="dxa"/>
            </w:tcMar>
          </w:tcPr>
          <w:p w14:paraId="036C8983" w14:textId="77777777" w:rsidR="001C08A5" w:rsidRDefault="00000000">
            <w:pPr>
              <w:jc w:val="center"/>
              <w:rPr>
                <w:b/>
                <w:bCs/>
                <w:i/>
                <w:sz w:val="22"/>
                <w:szCs w:val="22"/>
              </w:rPr>
            </w:pPr>
            <w:r>
              <w:rPr>
                <w:b/>
                <w:bCs/>
                <w:i/>
                <w:sz w:val="22"/>
                <w:szCs w:val="22"/>
                <w:lang w:val="en-US" w:eastAsia="zh-CN" w:bidi="ar"/>
              </w:rPr>
              <w:t>10</w:t>
            </w:r>
          </w:p>
        </w:tc>
        <w:tc>
          <w:tcPr>
            <w:tcW w:w="3765" w:type="dxa"/>
            <w:tcMar>
              <w:top w:w="0" w:type="dxa"/>
              <w:left w:w="0" w:type="dxa"/>
              <w:bottom w:w="0" w:type="dxa"/>
              <w:right w:w="0" w:type="dxa"/>
            </w:tcMar>
          </w:tcPr>
          <w:p w14:paraId="75E42839" w14:textId="77777777" w:rsidR="001C08A5" w:rsidRDefault="00000000">
            <w:pPr>
              <w:jc w:val="center"/>
              <w:rPr>
                <w:b/>
                <w:bCs/>
                <w:i/>
                <w:sz w:val="22"/>
                <w:szCs w:val="22"/>
              </w:rPr>
            </w:pPr>
            <w:r>
              <w:rPr>
                <w:b/>
                <w:bCs/>
                <w:i/>
                <w:sz w:val="22"/>
                <w:szCs w:val="22"/>
                <w:lang w:val="en-US" w:eastAsia="zh-CN" w:bidi="ar"/>
              </w:rPr>
              <w:t>10</w:t>
            </w:r>
          </w:p>
        </w:tc>
      </w:tr>
      <w:tr w:rsidR="001C08A5" w14:paraId="64C31D94" w14:textId="77777777">
        <w:trPr>
          <w:trHeight w:val="345"/>
          <w:jc w:val="center"/>
        </w:trPr>
        <w:tc>
          <w:tcPr>
            <w:tcW w:w="1349" w:type="dxa"/>
            <w:vMerge w:val="restart"/>
            <w:tcMar>
              <w:top w:w="0" w:type="dxa"/>
              <w:left w:w="0" w:type="dxa"/>
              <w:bottom w:w="0" w:type="dxa"/>
              <w:right w:w="0" w:type="dxa"/>
            </w:tcMar>
          </w:tcPr>
          <w:p w14:paraId="7ED6BEA1" w14:textId="77777777" w:rsidR="001C08A5" w:rsidRDefault="00000000">
            <w:pPr>
              <w:jc w:val="center"/>
              <w:rPr>
                <w:b/>
                <w:bCs/>
                <w:i/>
                <w:sz w:val="22"/>
                <w:szCs w:val="22"/>
              </w:rPr>
            </w:pPr>
            <w:r>
              <w:rPr>
                <w:b/>
                <w:bCs/>
                <w:i/>
                <w:sz w:val="22"/>
                <w:szCs w:val="22"/>
                <w:lang w:val="en-US" w:eastAsia="zh-CN" w:bidi="ar"/>
              </w:rPr>
              <w:t>Sala S2</w:t>
            </w:r>
          </w:p>
        </w:tc>
        <w:tc>
          <w:tcPr>
            <w:tcW w:w="1262" w:type="dxa"/>
            <w:tcMar>
              <w:top w:w="0" w:type="dxa"/>
              <w:left w:w="0" w:type="dxa"/>
              <w:bottom w:w="0" w:type="dxa"/>
              <w:right w:w="0" w:type="dxa"/>
            </w:tcMar>
          </w:tcPr>
          <w:p w14:paraId="0F5C1C21" w14:textId="77777777" w:rsidR="001C08A5" w:rsidRDefault="00000000">
            <w:pPr>
              <w:jc w:val="center"/>
              <w:rPr>
                <w:b/>
                <w:bCs/>
                <w:i/>
                <w:sz w:val="22"/>
                <w:szCs w:val="22"/>
              </w:rPr>
            </w:pPr>
            <w:r>
              <w:rPr>
                <w:b/>
                <w:bCs/>
                <w:i/>
                <w:sz w:val="22"/>
                <w:szCs w:val="22"/>
                <w:lang w:val="en-US" w:eastAsia="zh-CN" w:bidi="ar"/>
              </w:rPr>
              <w:t>I și II</w:t>
            </w:r>
          </w:p>
        </w:tc>
        <w:tc>
          <w:tcPr>
            <w:tcW w:w="1117" w:type="dxa"/>
            <w:tcMar>
              <w:top w:w="0" w:type="dxa"/>
              <w:left w:w="0" w:type="dxa"/>
              <w:bottom w:w="0" w:type="dxa"/>
              <w:right w:w="0" w:type="dxa"/>
            </w:tcMar>
          </w:tcPr>
          <w:p w14:paraId="5BAFD85B" w14:textId="77777777" w:rsidR="001C08A5" w:rsidRDefault="00000000">
            <w:pPr>
              <w:jc w:val="center"/>
              <w:rPr>
                <w:b/>
                <w:bCs/>
                <w:i/>
                <w:sz w:val="22"/>
                <w:szCs w:val="22"/>
              </w:rPr>
            </w:pPr>
            <w:r>
              <w:rPr>
                <w:b/>
                <w:bCs/>
                <w:i/>
                <w:sz w:val="22"/>
                <w:szCs w:val="22"/>
                <w:lang w:val="en-US" w:eastAsia="zh-CN" w:bidi="ar"/>
              </w:rPr>
              <w:t>40</w:t>
            </w:r>
          </w:p>
        </w:tc>
        <w:tc>
          <w:tcPr>
            <w:tcW w:w="2035" w:type="dxa"/>
            <w:tcMar>
              <w:top w:w="0" w:type="dxa"/>
              <w:left w:w="0" w:type="dxa"/>
              <w:bottom w:w="0" w:type="dxa"/>
              <w:right w:w="0" w:type="dxa"/>
            </w:tcMar>
          </w:tcPr>
          <w:p w14:paraId="040C0802" w14:textId="77777777" w:rsidR="001C08A5" w:rsidRDefault="00000000">
            <w:pPr>
              <w:jc w:val="center"/>
              <w:rPr>
                <w:b/>
                <w:bCs/>
                <w:i/>
                <w:sz w:val="22"/>
                <w:szCs w:val="22"/>
              </w:rPr>
            </w:pPr>
            <w:r>
              <w:rPr>
                <w:b/>
                <w:bCs/>
                <w:i/>
                <w:sz w:val="22"/>
                <w:szCs w:val="22"/>
                <w:lang w:val="en-US" w:eastAsia="zh-CN" w:bidi="ar"/>
              </w:rPr>
              <w:t>35</w:t>
            </w:r>
          </w:p>
        </w:tc>
        <w:tc>
          <w:tcPr>
            <w:tcW w:w="3765" w:type="dxa"/>
            <w:tcMar>
              <w:top w:w="0" w:type="dxa"/>
              <w:left w:w="0" w:type="dxa"/>
              <w:bottom w:w="0" w:type="dxa"/>
              <w:right w:w="0" w:type="dxa"/>
            </w:tcMar>
          </w:tcPr>
          <w:p w14:paraId="5C9BEC3F" w14:textId="77777777" w:rsidR="001C08A5" w:rsidRDefault="00000000">
            <w:pPr>
              <w:jc w:val="center"/>
              <w:rPr>
                <w:b/>
                <w:bCs/>
                <w:i/>
                <w:sz w:val="22"/>
                <w:szCs w:val="22"/>
              </w:rPr>
            </w:pPr>
            <w:r>
              <w:rPr>
                <w:b/>
                <w:bCs/>
                <w:i/>
                <w:sz w:val="22"/>
                <w:szCs w:val="22"/>
                <w:lang w:val="en-US" w:eastAsia="zh-CN" w:bidi="ar"/>
              </w:rPr>
              <w:t>20</w:t>
            </w:r>
          </w:p>
        </w:tc>
      </w:tr>
      <w:tr w:rsidR="001C08A5" w14:paraId="40F72969" w14:textId="77777777">
        <w:trPr>
          <w:trHeight w:val="345"/>
          <w:jc w:val="center"/>
        </w:trPr>
        <w:tc>
          <w:tcPr>
            <w:tcW w:w="1349" w:type="dxa"/>
            <w:vMerge/>
            <w:tcMar>
              <w:top w:w="0" w:type="dxa"/>
              <w:left w:w="0" w:type="dxa"/>
              <w:bottom w:w="0" w:type="dxa"/>
              <w:right w:w="0" w:type="dxa"/>
            </w:tcMar>
          </w:tcPr>
          <w:p w14:paraId="2C5297CD" w14:textId="77777777" w:rsidR="001C08A5" w:rsidRDefault="001C08A5">
            <w:pPr>
              <w:jc w:val="center"/>
              <w:rPr>
                <w:b/>
                <w:bCs/>
                <w:i/>
                <w:sz w:val="22"/>
                <w:szCs w:val="22"/>
              </w:rPr>
            </w:pPr>
          </w:p>
        </w:tc>
        <w:tc>
          <w:tcPr>
            <w:tcW w:w="1262" w:type="dxa"/>
            <w:tcMar>
              <w:top w:w="0" w:type="dxa"/>
              <w:left w:w="0" w:type="dxa"/>
              <w:bottom w:w="0" w:type="dxa"/>
              <w:right w:w="0" w:type="dxa"/>
            </w:tcMar>
          </w:tcPr>
          <w:p w14:paraId="77964F90" w14:textId="77777777" w:rsidR="001C08A5" w:rsidRDefault="00000000">
            <w:pPr>
              <w:jc w:val="center"/>
              <w:rPr>
                <w:b/>
                <w:bCs/>
                <w:i/>
                <w:sz w:val="22"/>
                <w:szCs w:val="22"/>
              </w:rPr>
            </w:pPr>
            <w:r>
              <w:rPr>
                <w:b/>
                <w:bCs/>
                <w:i/>
                <w:sz w:val="22"/>
                <w:szCs w:val="22"/>
                <w:lang w:val="en-US" w:eastAsia="zh-CN" w:bidi="ar"/>
              </w:rPr>
              <w:t>III</w:t>
            </w:r>
          </w:p>
        </w:tc>
        <w:tc>
          <w:tcPr>
            <w:tcW w:w="1117" w:type="dxa"/>
            <w:tcMar>
              <w:top w:w="0" w:type="dxa"/>
              <w:left w:w="0" w:type="dxa"/>
              <w:bottom w:w="0" w:type="dxa"/>
              <w:right w:w="0" w:type="dxa"/>
            </w:tcMar>
          </w:tcPr>
          <w:p w14:paraId="5C773B13" w14:textId="77777777" w:rsidR="001C08A5" w:rsidRDefault="00000000">
            <w:pPr>
              <w:jc w:val="center"/>
              <w:rPr>
                <w:b/>
                <w:bCs/>
                <w:i/>
                <w:sz w:val="22"/>
                <w:szCs w:val="22"/>
              </w:rPr>
            </w:pPr>
            <w:r>
              <w:rPr>
                <w:b/>
                <w:bCs/>
                <w:i/>
                <w:sz w:val="22"/>
                <w:szCs w:val="22"/>
                <w:lang w:val="en-US" w:eastAsia="zh-CN" w:bidi="ar"/>
              </w:rPr>
              <w:t>32</w:t>
            </w:r>
          </w:p>
        </w:tc>
        <w:tc>
          <w:tcPr>
            <w:tcW w:w="2035" w:type="dxa"/>
            <w:tcMar>
              <w:top w:w="0" w:type="dxa"/>
              <w:left w:w="0" w:type="dxa"/>
              <w:bottom w:w="0" w:type="dxa"/>
              <w:right w:w="0" w:type="dxa"/>
            </w:tcMar>
          </w:tcPr>
          <w:p w14:paraId="65223A2B" w14:textId="77777777" w:rsidR="001C08A5" w:rsidRDefault="00000000">
            <w:pPr>
              <w:jc w:val="center"/>
              <w:rPr>
                <w:b/>
                <w:bCs/>
                <w:i/>
                <w:sz w:val="22"/>
                <w:szCs w:val="22"/>
              </w:rPr>
            </w:pPr>
            <w:r>
              <w:rPr>
                <w:b/>
                <w:bCs/>
                <w:i/>
                <w:sz w:val="22"/>
                <w:szCs w:val="22"/>
                <w:lang w:val="en-US" w:eastAsia="zh-CN" w:bidi="ar"/>
              </w:rPr>
              <w:t>25</w:t>
            </w:r>
          </w:p>
        </w:tc>
        <w:tc>
          <w:tcPr>
            <w:tcW w:w="3765" w:type="dxa"/>
            <w:tcMar>
              <w:top w:w="0" w:type="dxa"/>
              <w:left w:w="0" w:type="dxa"/>
              <w:bottom w:w="0" w:type="dxa"/>
              <w:right w:w="0" w:type="dxa"/>
            </w:tcMar>
          </w:tcPr>
          <w:p w14:paraId="6D1E5D88" w14:textId="77777777" w:rsidR="001C08A5" w:rsidRDefault="00000000">
            <w:pPr>
              <w:jc w:val="center"/>
              <w:rPr>
                <w:b/>
                <w:bCs/>
                <w:i/>
                <w:sz w:val="22"/>
                <w:szCs w:val="22"/>
              </w:rPr>
            </w:pPr>
            <w:r>
              <w:rPr>
                <w:b/>
                <w:bCs/>
                <w:i/>
                <w:sz w:val="22"/>
                <w:szCs w:val="22"/>
                <w:lang w:val="en-US" w:eastAsia="zh-CN" w:bidi="ar"/>
              </w:rPr>
              <w:t>15</w:t>
            </w:r>
          </w:p>
        </w:tc>
      </w:tr>
      <w:tr w:rsidR="001C08A5" w14:paraId="60BB31FD" w14:textId="77777777">
        <w:trPr>
          <w:trHeight w:val="345"/>
          <w:jc w:val="center"/>
        </w:trPr>
        <w:tc>
          <w:tcPr>
            <w:tcW w:w="1349" w:type="dxa"/>
            <w:vMerge/>
            <w:tcMar>
              <w:top w:w="0" w:type="dxa"/>
              <w:left w:w="0" w:type="dxa"/>
              <w:bottom w:w="0" w:type="dxa"/>
              <w:right w:w="0" w:type="dxa"/>
            </w:tcMar>
          </w:tcPr>
          <w:p w14:paraId="64FC767C" w14:textId="77777777" w:rsidR="001C08A5" w:rsidRDefault="001C08A5">
            <w:pPr>
              <w:jc w:val="center"/>
              <w:rPr>
                <w:b/>
                <w:bCs/>
                <w:i/>
                <w:sz w:val="22"/>
                <w:szCs w:val="22"/>
              </w:rPr>
            </w:pPr>
          </w:p>
        </w:tc>
        <w:tc>
          <w:tcPr>
            <w:tcW w:w="1262" w:type="dxa"/>
            <w:tcMar>
              <w:top w:w="0" w:type="dxa"/>
              <w:left w:w="0" w:type="dxa"/>
              <w:bottom w:w="0" w:type="dxa"/>
              <w:right w:w="0" w:type="dxa"/>
            </w:tcMar>
          </w:tcPr>
          <w:p w14:paraId="445A6EFA" w14:textId="77777777" w:rsidR="001C08A5" w:rsidRDefault="00000000">
            <w:pPr>
              <w:jc w:val="center"/>
              <w:rPr>
                <w:b/>
                <w:bCs/>
                <w:i/>
                <w:sz w:val="22"/>
                <w:szCs w:val="22"/>
              </w:rPr>
            </w:pPr>
            <w:r>
              <w:rPr>
                <w:b/>
                <w:bCs/>
                <w:i/>
                <w:sz w:val="22"/>
                <w:szCs w:val="22"/>
                <w:lang w:val="en-US" w:eastAsia="zh-CN" w:bidi="ar"/>
              </w:rPr>
              <w:t>IV</w:t>
            </w:r>
          </w:p>
        </w:tc>
        <w:tc>
          <w:tcPr>
            <w:tcW w:w="1117" w:type="dxa"/>
            <w:tcMar>
              <w:top w:w="0" w:type="dxa"/>
              <w:left w:w="0" w:type="dxa"/>
              <w:bottom w:w="0" w:type="dxa"/>
              <w:right w:w="0" w:type="dxa"/>
            </w:tcMar>
          </w:tcPr>
          <w:p w14:paraId="5C60574B" w14:textId="77777777" w:rsidR="001C08A5" w:rsidRDefault="00000000">
            <w:pPr>
              <w:jc w:val="center"/>
              <w:rPr>
                <w:b/>
                <w:bCs/>
                <w:i/>
                <w:sz w:val="22"/>
                <w:szCs w:val="22"/>
              </w:rPr>
            </w:pPr>
            <w:r>
              <w:rPr>
                <w:b/>
                <w:bCs/>
                <w:i/>
                <w:sz w:val="22"/>
                <w:szCs w:val="22"/>
                <w:lang w:val="en-US" w:eastAsia="zh-CN" w:bidi="ar"/>
              </w:rPr>
              <w:t>24</w:t>
            </w:r>
          </w:p>
        </w:tc>
        <w:tc>
          <w:tcPr>
            <w:tcW w:w="2035" w:type="dxa"/>
            <w:tcMar>
              <w:top w:w="0" w:type="dxa"/>
              <w:left w:w="0" w:type="dxa"/>
              <w:bottom w:w="0" w:type="dxa"/>
              <w:right w:w="0" w:type="dxa"/>
            </w:tcMar>
          </w:tcPr>
          <w:p w14:paraId="7701B65A" w14:textId="77777777" w:rsidR="001C08A5" w:rsidRDefault="00000000">
            <w:pPr>
              <w:jc w:val="center"/>
              <w:rPr>
                <w:b/>
                <w:bCs/>
                <w:i/>
                <w:sz w:val="22"/>
                <w:szCs w:val="22"/>
              </w:rPr>
            </w:pPr>
            <w:r>
              <w:rPr>
                <w:b/>
                <w:bCs/>
                <w:i/>
                <w:sz w:val="22"/>
                <w:szCs w:val="22"/>
                <w:lang w:val="en-US" w:eastAsia="zh-CN" w:bidi="ar"/>
              </w:rPr>
              <w:t>16</w:t>
            </w:r>
          </w:p>
        </w:tc>
        <w:tc>
          <w:tcPr>
            <w:tcW w:w="3765" w:type="dxa"/>
            <w:tcMar>
              <w:top w:w="0" w:type="dxa"/>
              <w:left w:w="0" w:type="dxa"/>
              <w:bottom w:w="0" w:type="dxa"/>
              <w:right w:w="0" w:type="dxa"/>
            </w:tcMar>
          </w:tcPr>
          <w:p w14:paraId="17BDA04C" w14:textId="77777777" w:rsidR="001C08A5" w:rsidRDefault="00000000">
            <w:pPr>
              <w:jc w:val="center"/>
              <w:rPr>
                <w:b/>
                <w:bCs/>
                <w:i/>
                <w:sz w:val="22"/>
                <w:szCs w:val="22"/>
              </w:rPr>
            </w:pPr>
            <w:r>
              <w:rPr>
                <w:b/>
                <w:bCs/>
                <w:i/>
                <w:sz w:val="22"/>
                <w:szCs w:val="22"/>
                <w:lang w:val="en-US" w:eastAsia="zh-CN" w:bidi="ar"/>
              </w:rPr>
              <w:t>12</w:t>
            </w:r>
          </w:p>
        </w:tc>
      </w:tr>
      <w:tr w:rsidR="001C08A5" w14:paraId="2FC83EE4" w14:textId="77777777">
        <w:trPr>
          <w:trHeight w:val="360"/>
          <w:jc w:val="center"/>
        </w:trPr>
        <w:tc>
          <w:tcPr>
            <w:tcW w:w="1349" w:type="dxa"/>
            <w:vMerge/>
            <w:tcMar>
              <w:top w:w="0" w:type="dxa"/>
              <w:left w:w="0" w:type="dxa"/>
              <w:bottom w:w="0" w:type="dxa"/>
              <w:right w:w="0" w:type="dxa"/>
            </w:tcMar>
          </w:tcPr>
          <w:p w14:paraId="0879A176" w14:textId="77777777" w:rsidR="001C08A5" w:rsidRDefault="001C08A5">
            <w:pPr>
              <w:jc w:val="center"/>
              <w:rPr>
                <w:b/>
                <w:bCs/>
                <w:i/>
                <w:sz w:val="22"/>
                <w:szCs w:val="22"/>
              </w:rPr>
            </w:pPr>
          </w:p>
        </w:tc>
        <w:tc>
          <w:tcPr>
            <w:tcW w:w="1262" w:type="dxa"/>
            <w:tcMar>
              <w:top w:w="0" w:type="dxa"/>
              <w:left w:w="0" w:type="dxa"/>
              <w:bottom w:w="0" w:type="dxa"/>
              <w:right w:w="0" w:type="dxa"/>
            </w:tcMar>
          </w:tcPr>
          <w:p w14:paraId="3D33EA95" w14:textId="77777777" w:rsidR="001C08A5" w:rsidRDefault="00000000">
            <w:pPr>
              <w:jc w:val="center"/>
              <w:rPr>
                <w:b/>
                <w:bCs/>
                <w:i/>
                <w:sz w:val="22"/>
                <w:szCs w:val="22"/>
              </w:rPr>
            </w:pPr>
            <w:r>
              <w:rPr>
                <w:b/>
                <w:bCs/>
                <w:i/>
                <w:sz w:val="22"/>
                <w:szCs w:val="22"/>
                <w:lang w:val="en-US" w:eastAsia="zh-CN" w:bidi="ar"/>
              </w:rPr>
              <w:t>V</w:t>
            </w:r>
          </w:p>
        </w:tc>
        <w:tc>
          <w:tcPr>
            <w:tcW w:w="1117" w:type="dxa"/>
            <w:tcMar>
              <w:top w:w="0" w:type="dxa"/>
              <w:left w:w="0" w:type="dxa"/>
              <w:bottom w:w="0" w:type="dxa"/>
              <w:right w:w="0" w:type="dxa"/>
            </w:tcMar>
          </w:tcPr>
          <w:p w14:paraId="0BBB313F" w14:textId="77777777" w:rsidR="001C08A5" w:rsidRDefault="00000000">
            <w:pPr>
              <w:jc w:val="center"/>
              <w:rPr>
                <w:b/>
                <w:bCs/>
                <w:i/>
                <w:sz w:val="22"/>
                <w:szCs w:val="22"/>
              </w:rPr>
            </w:pPr>
            <w:r>
              <w:rPr>
                <w:b/>
                <w:bCs/>
                <w:i/>
                <w:sz w:val="22"/>
                <w:szCs w:val="22"/>
                <w:lang w:val="en-US" w:eastAsia="zh-CN" w:bidi="ar"/>
              </w:rPr>
              <w:t>12</w:t>
            </w:r>
          </w:p>
        </w:tc>
        <w:tc>
          <w:tcPr>
            <w:tcW w:w="2035" w:type="dxa"/>
            <w:tcMar>
              <w:top w:w="0" w:type="dxa"/>
              <w:left w:w="0" w:type="dxa"/>
              <w:bottom w:w="0" w:type="dxa"/>
              <w:right w:w="0" w:type="dxa"/>
            </w:tcMar>
          </w:tcPr>
          <w:p w14:paraId="275CEC92" w14:textId="77777777" w:rsidR="001C08A5" w:rsidRDefault="00000000">
            <w:pPr>
              <w:jc w:val="center"/>
              <w:rPr>
                <w:b/>
                <w:bCs/>
                <w:i/>
                <w:sz w:val="22"/>
                <w:szCs w:val="22"/>
              </w:rPr>
            </w:pPr>
            <w:r>
              <w:rPr>
                <w:b/>
                <w:bCs/>
                <w:i/>
                <w:sz w:val="22"/>
                <w:szCs w:val="22"/>
                <w:lang w:val="en-US" w:eastAsia="zh-CN" w:bidi="ar"/>
              </w:rPr>
              <w:t>10</w:t>
            </w:r>
          </w:p>
        </w:tc>
        <w:tc>
          <w:tcPr>
            <w:tcW w:w="3765" w:type="dxa"/>
            <w:tcMar>
              <w:top w:w="0" w:type="dxa"/>
              <w:left w:w="0" w:type="dxa"/>
              <w:bottom w:w="0" w:type="dxa"/>
              <w:right w:w="0" w:type="dxa"/>
            </w:tcMar>
          </w:tcPr>
          <w:p w14:paraId="32EC56BC" w14:textId="77777777" w:rsidR="001C08A5" w:rsidRDefault="00000000">
            <w:pPr>
              <w:jc w:val="center"/>
              <w:rPr>
                <w:b/>
                <w:bCs/>
                <w:i/>
                <w:sz w:val="22"/>
                <w:szCs w:val="22"/>
              </w:rPr>
            </w:pPr>
            <w:r>
              <w:rPr>
                <w:b/>
                <w:bCs/>
                <w:i/>
                <w:sz w:val="22"/>
                <w:szCs w:val="22"/>
                <w:lang w:val="en-US" w:eastAsia="zh-CN" w:bidi="ar"/>
              </w:rPr>
              <w:t>10</w:t>
            </w:r>
          </w:p>
        </w:tc>
      </w:tr>
    </w:tbl>
    <w:p w14:paraId="30218D71" w14:textId="77777777" w:rsidR="001C08A5" w:rsidRDefault="00000000">
      <w:pPr>
        <w:jc w:val="both"/>
        <w:rPr>
          <w:i/>
          <w:iCs/>
          <w:sz w:val="22"/>
          <w:szCs w:val="22"/>
        </w:rPr>
      </w:pPr>
      <w:r>
        <w:rPr>
          <w:i/>
          <w:iCs/>
          <w:sz w:val="22"/>
          <w:szCs w:val="22"/>
        </w:rPr>
        <w:t>Notă :</w:t>
      </w:r>
    </w:p>
    <w:p w14:paraId="123BEF03" w14:textId="77777777" w:rsidR="001C08A5" w:rsidRDefault="00000000">
      <w:pPr>
        <w:jc w:val="both"/>
        <w:rPr>
          <w:i/>
          <w:iCs/>
          <w:sz w:val="22"/>
          <w:szCs w:val="22"/>
        </w:rPr>
      </w:pPr>
      <w:r>
        <w:rPr>
          <w:i/>
          <w:iCs/>
          <w:sz w:val="22"/>
          <w:szCs w:val="22"/>
        </w:rPr>
        <w:t>1. Traseele prin foaiere și holuri ale sălii aglomerate existente, nu se iau în considerare la stabilirea lungimii de evacuare normată conform prevederilor din prezenta anexă. Foaierele și holurile vor avea asigurate condițiile de evacuare stabilite pentru sala aglomerată respectivă.</w:t>
      </w:r>
    </w:p>
    <w:p w14:paraId="204CFA18" w14:textId="77777777" w:rsidR="001C08A5" w:rsidRDefault="00000000">
      <w:pPr>
        <w:jc w:val="both"/>
        <w:rPr>
          <w:i/>
          <w:iCs/>
          <w:sz w:val="22"/>
          <w:szCs w:val="22"/>
        </w:rPr>
      </w:pPr>
      <w:r>
        <w:rPr>
          <w:i/>
          <w:iCs/>
          <w:sz w:val="22"/>
          <w:szCs w:val="22"/>
        </w:rPr>
        <w:t>2. Lungimea coridorului înfundat se referă la porțiuni de trasee prin care se accede la două căi de evacuare, precum și la spațiile pentru care sunt admise.</w:t>
      </w:r>
    </w:p>
    <w:p w14:paraId="44232071" w14:textId="77777777" w:rsidR="001C08A5" w:rsidRDefault="001C08A5">
      <w:pPr>
        <w:jc w:val="both"/>
        <w:rPr>
          <w:i/>
          <w:iCs/>
          <w:sz w:val="22"/>
          <w:szCs w:val="22"/>
        </w:rPr>
      </w:pPr>
    </w:p>
    <w:p w14:paraId="12A071F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4.1.46.</w:t>
      </w:r>
      <w:r>
        <w:rPr>
          <w:rFonts w:eastAsia="Calibri"/>
          <w:i/>
          <w:sz w:val="24"/>
          <w:szCs w:val="24"/>
          <w:shd w:val="clear" w:color="auto" w:fill="FFFFFF"/>
        </w:rPr>
        <w:t> Amplasarea mobilierului în sălile aglomerate existente se face astfel încât să se realizeze culoare de trecere cu lățimi corespunzătoare, care să asigure accesul publicului la ieșirile din sală.</w:t>
      </w:r>
    </w:p>
    <w:p w14:paraId="304094DA"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4.1.47.</w:t>
      </w:r>
      <w:r>
        <w:rPr>
          <w:rFonts w:eastAsia="Calibri"/>
          <w:i/>
          <w:sz w:val="24"/>
          <w:szCs w:val="24"/>
          <w:shd w:val="clear" w:color="auto" w:fill="FFFFFF"/>
        </w:rPr>
        <w:t> La sălile existente cu locuri pe scaune sau bănci, în culoarele dintre pachetele de locuri se pot prevede strapontine, dacă:</w:t>
      </w:r>
    </w:p>
    <w:p w14:paraId="389B48A9" w14:textId="77777777" w:rsidR="001C08A5" w:rsidRDefault="00000000">
      <w:pPr>
        <w:shd w:val="clear" w:color="auto" w:fill="FFFFFF"/>
        <w:spacing w:after="150"/>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se ridică automat și se mențin în această poziție, atunci când nu suntfoiosite, lăsând liberă lățimea culoarului rezultată din calcul;</w:t>
      </w:r>
    </w:p>
    <w:p w14:paraId="383F5097" w14:textId="77777777" w:rsidR="001C08A5" w:rsidRDefault="00000000">
      <w:pPr>
        <w:shd w:val="clear" w:color="auto" w:fill="FFFFFF"/>
        <w:spacing w:after="150"/>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fiind coborâte, rămâne liber un</w:t>
      </w: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culoarde minimum 80 </w:t>
      </w:r>
      <w:r>
        <w:rPr>
          <w:rFonts w:eastAsia="Calibri"/>
          <w:i/>
          <w:sz w:val="24"/>
          <w:szCs w:val="24"/>
          <w:shd w:val="clear" w:color="auto" w:fill="FFFFFF"/>
          <w:lang w:eastAsia="zh-CN" w:bidi="ar"/>
        </w:rPr>
        <w:t>c</w:t>
      </w:r>
      <w:r>
        <w:rPr>
          <w:rFonts w:eastAsia="Calibri"/>
          <w:i/>
          <w:sz w:val="24"/>
          <w:szCs w:val="24"/>
          <w:shd w:val="clear" w:color="auto" w:fill="FFFFFF"/>
          <w:lang w:val="en-US" w:eastAsia="zh-CN" w:bidi="ar"/>
        </w:rPr>
        <w:t>m;</w:t>
      </w:r>
    </w:p>
    <w:p w14:paraId="7003787C"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lang w:val="en-US" w:eastAsia="zh-CN" w:bidi="ar"/>
        </w:rPr>
        <w:t> nu reduc (în poziție ridicată sau coborâtă) lățimea spațiului de circulație pentru evacuare, determinat prin calcul, între pachetele de scaune.</w:t>
      </w:r>
    </w:p>
    <w:p w14:paraId="50321FC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4.1.48.</w:t>
      </w:r>
      <w:r>
        <w:rPr>
          <w:rFonts w:eastAsia="Calibri"/>
          <w:i/>
          <w:sz w:val="24"/>
          <w:szCs w:val="24"/>
          <w:shd w:val="clear" w:color="auto" w:fill="FFFFFF"/>
        </w:rPr>
        <w:t> Pe culoarele de evacuare din săli aglomerate existente, nu se admit trepte în lungul spațiilor libere de trecere dintre rândurile de scaune.</w:t>
      </w:r>
    </w:p>
    <w:p w14:paraId="2DF95947"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4.1.49.</w:t>
      </w:r>
      <w:r>
        <w:rPr>
          <w:rFonts w:eastAsia="Calibri"/>
          <w:i/>
          <w:sz w:val="24"/>
          <w:szCs w:val="24"/>
          <w:shd w:val="clear" w:color="auto" w:fill="FFFFFF"/>
        </w:rPr>
        <w:t xml:space="preserve"> La sălile de spectacole, auditorii, săli de concerte, polivalente și altele similare existente, numărul maxim de locuri dintr-un rând se stabilește în funcție de nivelul de stabilitate la incendiu al clădirii existente și de modul în care se face evacuarea persoanelor din rând,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_Ref16278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167</w:t>
      </w:r>
      <w:r>
        <w:rPr>
          <w:rFonts w:eastAsia="Calibri"/>
          <w:b/>
          <w:bCs/>
          <w:i/>
          <w:iCs/>
          <w:sz w:val="24"/>
          <w:szCs w:val="24"/>
          <w:shd w:val="clear" w:color="auto" w:fill="FFFFFF"/>
        </w:rPr>
        <w:fldChar w:fldCharType="end"/>
      </w:r>
      <w:r>
        <w:rPr>
          <w:rFonts w:eastAsia="Calibri"/>
          <w:i/>
          <w:sz w:val="24"/>
          <w:szCs w:val="24"/>
          <w:shd w:val="clear" w:color="auto" w:fill="FFFFFF"/>
        </w:rPr>
        <w:t xml:space="preserve">. Numărul de locuri dintr-un rând nu se limitează în clădiri existente de nivelul de stabilitate la incendiu </w:t>
      </w:r>
      <w:r>
        <w:rPr>
          <w:rFonts w:eastAsia="Calibri"/>
          <w:b/>
          <w:bCs/>
          <w:i/>
          <w:sz w:val="24"/>
          <w:szCs w:val="24"/>
          <w:shd w:val="clear" w:color="auto" w:fill="FFFFFF"/>
        </w:rPr>
        <w:t>I</w:t>
      </w:r>
      <w:r>
        <w:rPr>
          <w:rFonts w:eastAsia="Calibri"/>
          <w:i/>
          <w:sz w:val="24"/>
          <w:szCs w:val="24"/>
          <w:shd w:val="clear" w:color="auto" w:fill="FFFFFF"/>
        </w:rPr>
        <w:t xml:space="preserve"> sau </w:t>
      </w:r>
      <w:r>
        <w:rPr>
          <w:rFonts w:eastAsia="Calibri"/>
          <w:b/>
          <w:bCs/>
          <w:i/>
          <w:sz w:val="24"/>
          <w:szCs w:val="24"/>
          <w:shd w:val="clear" w:color="auto" w:fill="FFFFFF"/>
        </w:rPr>
        <w:t>II</w:t>
      </w:r>
      <w:r>
        <w:rPr>
          <w:rFonts w:eastAsia="Calibri"/>
          <w:i/>
          <w:sz w:val="24"/>
          <w:szCs w:val="24"/>
          <w:shd w:val="clear" w:color="auto" w:fill="FFFFFF"/>
        </w:rPr>
        <w:t xml:space="preserve">, dacă se prevăd uși amplasate în pereții laterali ai sălii, astfel încât la fiecare capăt al unui grup de patru rânduri de scaune să existe câte o ușă cu lățimea de min. </w:t>
      </w:r>
      <w:r>
        <w:rPr>
          <w:rFonts w:eastAsia="Calibri"/>
          <w:b/>
          <w:bCs/>
          <w:i/>
          <w:sz w:val="24"/>
          <w:szCs w:val="24"/>
          <w:shd w:val="clear" w:color="auto" w:fill="FFFFFF"/>
        </w:rPr>
        <w:t>1,10 m</w:t>
      </w:r>
      <w:r>
        <w:rPr>
          <w:rFonts w:eastAsia="Calibri"/>
          <w:i/>
          <w:sz w:val="24"/>
          <w:szCs w:val="24"/>
          <w:shd w:val="clear" w:color="auto" w:fill="FFFFFF"/>
        </w:rPr>
        <w:t>.</w:t>
      </w:r>
    </w:p>
    <w:p w14:paraId="51E2BFAD" w14:textId="77777777" w:rsidR="001C08A5" w:rsidRDefault="00000000">
      <w:pPr>
        <w:pStyle w:val="Caption"/>
        <w:shd w:val="clear" w:color="auto" w:fill="FFFFFF"/>
        <w:spacing w:before="0" w:after="150"/>
        <w:jc w:val="both"/>
        <w:rPr>
          <w:rFonts w:eastAsia="Calibri" w:cs="Times New Roman"/>
          <w:bCs/>
          <w:shd w:val="clear" w:color="auto" w:fill="FFFFFF"/>
        </w:rPr>
      </w:pPr>
      <w:bookmarkStart w:id="11192" w:name="_Ref16278"/>
      <w:bookmarkStart w:id="11193" w:name="_Toc162360217"/>
      <w:r>
        <w:t xml:space="preserve">Tabelul </w:t>
      </w:r>
      <w:r>
        <w:fldChar w:fldCharType="begin"/>
      </w:r>
      <w:r>
        <w:instrText xml:space="preserve"> SEQ Tabelul \* ARABIC </w:instrText>
      </w:r>
      <w:r>
        <w:fldChar w:fldCharType="separate"/>
      </w:r>
      <w:r>
        <w:t>167</w:t>
      </w:r>
      <w:r>
        <w:fldChar w:fldCharType="end"/>
      </w:r>
      <w:bookmarkStart w:id="11194" w:name="_Toc22466"/>
      <w:bookmarkStart w:id="11195" w:name="_Toc1852"/>
      <w:bookmarkStart w:id="11196" w:name="_Toc15901"/>
      <w:bookmarkStart w:id="11197" w:name="_Toc25387"/>
      <w:bookmarkStart w:id="11198" w:name="_Toc28950"/>
      <w:bookmarkStart w:id="11199" w:name="_Toc7686"/>
      <w:bookmarkStart w:id="11200" w:name="_Toc20154"/>
      <w:bookmarkStart w:id="11201" w:name="_Toc15500"/>
      <w:bookmarkStart w:id="11202" w:name="_Toc23664"/>
      <w:bookmarkStart w:id="11203" w:name="_Toc3866"/>
      <w:bookmarkStart w:id="11204" w:name="_Toc14615"/>
      <w:bookmarkStart w:id="11205" w:name="_Toc21077"/>
      <w:bookmarkEnd w:id="11192"/>
      <w:r>
        <w:t xml:space="preserve">: </w:t>
      </w:r>
      <w:r>
        <w:rPr>
          <w:rFonts w:eastAsia="Calibri"/>
          <w:bCs/>
          <w:shd w:val="clear" w:color="auto" w:fill="FFFFFF"/>
        </w:rPr>
        <w:t>Numărul de locuri dintr-un rând de scaune la săli aglomerate în clădiri existente</w:t>
      </w:r>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p>
    <w:tbl>
      <w:tblPr>
        <w:tblW w:w="6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903"/>
        <w:gridCol w:w="1473"/>
        <w:gridCol w:w="1515"/>
        <w:gridCol w:w="1798"/>
      </w:tblGrid>
      <w:tr w:rsidR="001C08A5" w14:paraId="1544A578" w14:textId="77777777">
        <w:trPr>
          <w:trHeight w:val="345"/>
          <w:jc w:val="center"/>
        </w:trPr>
        <w:tc>
          <w:tcPr>
            <w:tcW w:w="1903" w:type="dxa"/>
            <w:vMerge w:val="restart"/>
            <w:tcMar>
              <w:top w:w="0" w:type="dxa"/>
              <w:left w:w="0" w:type="dxa"/>
              <w:bottom w:w="0" w:type="dxa"/>
              <w:right w:w="0" w:type="dxa"/>
            </w:tcMar>
            <w:vAlign w:val="center"/>
          </w:tcPr>
          <w:p w14:paraId="02E0233F" w14:textId="77777777" w:rsidR="001C08A5" w:rsidRDefault="00000000">
            <w:pPr>
              <w:jc w:val="center"/>
              <w:rPr>
                <w:b/>
                <w:bCs/>
                <w:i/>
                <w:sz w:val="22"/>
                <w:szCs w:val="22"/>
              </w:rPr>
            </w:pPr>
            <w:r>
              <w:rPr>
                <w:b/>
                <w:bCs/>
                <w:i/>
                <w:sz w:val="22"/>
                <w:szCs w:val="22"/>
                <w:lang w:val="en-US" w:eastAsia="zh-CN" w:bidi="ar"/>
              </w:rPr>
              <w:t>Modul de evacuare al persoanelor aflate pe un rând</w:t>
            </w:r>
          </w:p>
        </w:tc>
        <w:tc>
          <w:tcPr>
            <w:tcW w:w="4786" w:type="dxa"/>
            <w:gridSpan w:val="3"/>
            <w:tcMar>
              <w:top w:w="0" w:type="dxa"/>
              <w:left w:w="0" w:type="dxa"/>
              <w:bottom w:w="0" w:type="dxa"/>
              <w:right w:w="0" w:type="dxa"/>
            </w:tcMar>
            <w:vAlign w:val="center"/>
          </w:tcPr>
          <w:p w14:paraId="6BB4E1BB" w14:textId="77777777" w:rsidR="001C08A5" w:rsidRDefault="00000000">
            <w:pPr>
              <w:jc w:val="center"/>
              <w:rPr>
                <w:i/>
                <w:sz w:val="22"/>
                <w:szCs w:val="22"/>
              </w:rPr>
            </w:pPr>
            <w:r>
              <w:rPr>
                <w:rFonts w:eastAsia="Calibri"/>
                <w:b/>
                <w:bCs/>
                <w:i/>
                <w:sz w:val="22"/>
                <w:szCs w:val="22"/>
                <w:shd w:val="clear" w:color="auto" w:fill="FFFFFF"/>
              </w:rPr>
              <w:t>Nivelul de stabilitate la incendiu</w:t>
            </w:r>
            <w:r>
              <w:rPr>
                <w:b/>
                <w:bCs/>
                <w:i/>
                <w:sz w:val="22"/>
                <w:szCs w:val="22"/>
                <w:lang w:val="en-US" w:eastAsia="zh-CN" w:bidi="ar"/>
              </w:rPr>
              <w:t xml:space="preserve"> al clădirii</w:t>
            </w:r>
          </w:p>
        </w:tc>
      </w:tr>
      <w:tr w:rsidR="001C08A5" w14:paraId="06CF233E" w14:textId="77777777">
        <w:trPr>
          <w:trHeight w:val="345"/>
          <w:jc w:val="center"/>
        </w:trPr>
        <w:tc>
          <w:tcPr>
            <w:tcW w:w="1903" w:type="dxa"/>
            <w:vMerge/>
            <w:tcMar>
              <w:top w:w="0" w:type="dxa"/>
              <w:left w:w="0" w:type="dxa"/>
              <w:bottom w:w="0" w:type="dxa"/>
              <w:right w:w="0" w:type="dxa"/>
            </w:tcMar>
            <w:vAlign w:val="center"/>
          </w:tcPr>
          <w:p w14:paraId="058CB19B" w14:textId="77777777" w:rsidR="001C08A5" w:rsidRDefault="001C08A5">
            <w:pPr>
              <w:jc w:val="center"/>
              <w:rPr>
                <w:b/>
                <w:bCs/>
                <w:i/>
                <w:sz w:val="22"/>
                <w:szCs w:val="22"/>
              </w:rPr>
            </w:pPr>
          </w:p>
        </w:tc>
        <w:tc>
          <w:tcPr>
            <w:tcW w:w="1473" w:type="dxa"/>
            <w:tcMar>
              <w:top w:w="0" w:type="dxa"/>
              <w:left w:w="0" w:type="dxa"/>
              <w:bottom w:w="0" w:type="dxa"/>
              <w:right w:w="0" w:type="dxa"/>
            </w:tcMar>
            <w:vAlign w:val="center"/>
          </w:tcPr>
          <w:p w14:paraId="018645F4" w14:textId="77777777" w:rsidR="001C08A5" w:rsidRDefault="00000000">
            <w:pPr>
              <w:jc w:val="center"/>
              <w:rPr>
                <w:b/>
                <w:bCs/>
                <w:i/>
                <w:sz w:val="22"/>
                <w:szCs w:val="22"/>
              </w:rPr>
            </w:pPr>
            <w:r>
              <w:rPr>
                <w:b/>
                <w:bCs/>
                <w:i/>
                <w:sz w:val="22"/>
                <w:szCs w:val="22"/>
                <w:lang w:val="en-US" w:eastAsia="zh-CN" w:bidi="ar"/>
              </w:rPr>
              <w:t>I și II</w:t>
            </w:r>
          </w:p>
        </w:tc>
        <w:tc>
          <w:tcPr>
            <w:tcW w:w="1515" w:type="dxa"/>
            <w:tcMar>
              <w:top w:w="0" w:type="dxa"/>
              <w:left w:w="0" w:type="dxa"/>
              <w:bottom w:w="0" w:type="dxa"/>
              <w:right w:w="0" w:type="dxa"/>
            </w:tcMar>
            <w:vAlign w:val="center"/>
          </w:tcPr>
          <w:p w14:paraId="17364F6D" w14:textId="77777777" w:rsidR="001C08A5" w:rsidRDefault="00000000">
            <w:pPr>
              <w:jc w:val="center"/>
              <w:rPr>
                <w:b/>
                <w:bCs/>
                <w:i/>
                <w:sz w:val="22"/>
                <w:szCs w:val="22"/>
              </w:rPr>
            </w:pPr>
            <w:r>
              <w:rPr>
                <w:b/>
                <w:bCs/>
                <w:i/>
                <w:sz w:val="22"/>
                <w:szCs w:val="22"/>
                <w:lang w:val="en-US" w:eastAsia="zh-CN" w:bidi="ar"/>
              </w:rPr>
              <w:t>III</w:t>
            </w:r>
          </w:p>
        </w:tc>
        <w:tc>
          <w:tcPr>
            <w:tcW w:w="1798" w:type="dxa"/>
            <w:tcMar>
              <w:top w:w="0" w:type="dxa"/>
              <w:left w:w="0" w:type="dxa"/>
              <w:bottom w:w="0" w:type="dxa"/>
              <w:right w:w="0" w:type="dxa"/>
            </w:tcMar>
            <w:vAlign w:val="center"/>
          </w:tcPr>
          <w:p w14:paraId="1991BB67" w14:textId="77777777" w:rsidR="001C08A5" w:rsidRDefault="00000000">
            <w:pPr>
              <w:jc w:val="center"/>
              <w:rPr>
                <w:b/>
                <w:bCs/>
                <w:i/>
                <w:sz w:val="22"/>
                <w:szCs w:val="22"/>
              </w:rPr>
            </w:pPr>
            <w:r>
              <w:rPr>
                <w:b/>
                <w:bCs/>
                <w:i/>
                <w:sz w:val="22"/>
                <w:szCs w:val="22"/>
                <w:lang w:val="en-US" w:eastAsia="zh-CN" w:bidi="ar"/>
              </w:rPr>
              <w:t>IV și V</w:t>
            </w:r>
          </w:p>
        </w:tc>
      </w:tr>
      <w:tr w:rsidR="001C08A5" w14:paraId="7575040C" w14:textId="77777777">
        <w:trPr>
          <w:trHeight w:val="345"/>
          <w:jc w:val="center"/>
        </w:trPr>
        <w:tc>
          <w:tcPr>
            <w:tcW w:w="1903" w:type="dxa"/>
            <w:vMerge/>
            <w:tcMar>
              <w:top w:w="0" w:type="dxa"/>
              <w:left w:w="0" w:type="dxa"/>
              <w:bottom w:w="0" w:type="dxa"/>
              <w:right w:w="0" w:type="dxa"/>
            </w:tcMar>
            <w:vAlign w:val="center"/>
          </w:tcPr>
          <w:p w14:paraId="5387C1EC" w14:textId="77777777" w:rsidR="001C08A5" w:rsidRDefault="001C08A5">
            <w:pPr>
              <w:jc w:val="center"/>
              <w:rPr>
                <w:b/>
                <w:bCs/>
                <w:i/>
                <w:sz w:val="22"/>
                <w:szCs w:val="22"/>
              </w:rPr>
            </w:pPr>
          </w:p>
        </w:tc>
        <w:tc>
          <w:tcPr>
            <w:tcW w:w="4786" w:type="dxa"/>
            <w:gridSpan w:val="3"/>
            <w:tcMar>
              <w:top w:w="0" w:type="dxa"/>
              <w:left w:w="0" w:type="dxa"/>
              <w:bottom w:w="0" w:type="dxa"/>
              <w:right w:w="0" w:type="dxa"/>
            </w:tcMar>
            <w:vAlign w:val="center"/>
          </w:tcPr>
          <w:p w14:paraId="1A276C5E" w14:textId="77777777" w:rsidR="001C08A5" w:rsidRDefault="00000000">
            <w:pPr>
              <w:jc w:val="center"/>
              <w:rPr>
                <w:b/>
                <w:bCs/>
                <w:i/>
                <w:sz w:val="22"/>
                <w:szCs w:val="22"/>
              </w:rPr>
            </w:pPr>
            <w:r>
              <w:rPr>
                <w:b/>
                <w:bCs/>
                <w:i/>
                <w:sz w:val="22"/>
                <w:szCs w:val="22"/>
                <w:lang w:val="en-US" w:eastAsia="zh-CN" w:bidi="ar"/>
              </w:rPr>
              <w:t>Numărul de locuri dintr-un rând</w:t>
            </w:r>
          </w:p>
        </w:tc>
      </w:tr>
      <w:tr w:rsidR="001C08A5" w14:paraId="107C7D60" w14:textId="77777777">
        <w:trPr>
          <w:trHeight w:val="345"/>
          <w:jc w:val="center"/>
        </w:trPr>
        <w:tc>
          <w:tcPr>
            <w:tcW w:w="1903" w:type="dxa"/>
            <w:tcMar>
              <w:top w:w="0" w:type="dxa"/>
              <w:left w:w="0" w:type="dxa"/>
              <w:bottom w:w="0" w:type="dxa"/>
              <w:right w:w="0" w:type="dxa"/>
            </w:tcMar>
          </w:tcPr>
          <w:p w14:paraId="25293F84" w14:textId="77777777" w:rsidR="001C08A5" w:rsidRDefault="00000000">
            <w:pPr>
              <w:jc w:val="center"/>
              <w:rPr>
                <w:b/>
                <w:bCs/>
                <w:i/>
                <w:sz w:val="22"/>
                <w:szCs w:val="22"/>
              </w:rPr>
            </w:pPr>
            <w:r>
              <w:rPr>
                <w:b/>
                <w:bCs/>
                <w:i/>
                <w:sz w:val="22"/>
                <w:szCs w:val="22"/>
                <w:lang w:val="en-US" w:eastAsia="zh-CN" w:bidi="ar"/>
              </w:rPr>
              <w:t>Pe la un capăt</w:t>
            </w:r>
          </w:p>
        </w:tc>
        <w:tc>
          <w:tcPr>
            <w:tcW w:w="1473" w:type="dxa"/>
            <w:tcMar>
              <w:top w:w="0" w:type="dxa"/>
              <w:left w:w="0" w:type="dxa"/>
              <w:bottom w:w="0" w:type="dxa"/>
              <w:right w:w="0" w:type="dxa"/>
            </w:tcMar>
          </w:tcPr>
          <w:p w14:paraId="3A7667DF" w14:textId="77777777" w:rsidR="001C08A5" w:rsidRDefault="00000000">
            <w:pPr>
              <w:jc w:val="center"/>
              <w:rPr>
                <w:b/>
                <w:bCs/>
                <w:i/>
                <w:sz w:val="22"/>
                <w:szCs w:val="22"/>
              </w:rPr>
            </w:pPr>
            <w:r>
              <w:rPr>
                <w:b/>
                <w:bCs/>
                <w:i/>
                <w:sz w:val="22"/>
                <w:szCs w:val="22"/>
                <w:lang w:val="en-US" w:eastAsia="zh-CN" w:bidi="ar"/>
              </w:rPr>
              <w:t>25</w:t>
            </w:r>
          </w:p>
        </w:tc>
        <w:tc>
          <w:tcPr>
            <w:tcW w:w="1515" w:type="dxa"/>
            <w:tcMar>
              <w:top w:w="0" w:type="dxa"/>
              <w:left w:w="0" w:type="dxa"/>
              <w:bottom w:w="0" w:type="dxa"/>
              <w:right w:w="0" w:type="dxa"/>
            </w:tcMar>
          </w:tcPr>
          <w:p w14:paraId="6B7BA356" w14:textId="77777777" w:rsidR="001C08A5" w:rsidRDefault="00000000">
            <w:pPr>
              <w:jc w:val="center"/>
              <w:rPr>
                <w:b/>
                <w:bCs/>
                <w:i/>
                <w:sz w:val="22"/>
                <w:szCs w:val="22"/>
              </w:rPr>
            </w:pPr>
            <w:r>
              <w:rPr>
                <w:b/>
                <w:bCs/>
                <w:i/>
                <w:sz w:val="22"/>
                <w:szCs w:val="22"/>
                <w:lang w:val="en-US" w:eastAsia="zh-CN" w:bidi="ar"/>
              </w:rPr>
              <w:t>14</w:t>
            </w:r>
          </w:p>
        </w:tc>
        <w:tc>
          <w:tcPr>
            <w:tcW w:w="1798" w:type="dxa"/>
            <w:tcMar>
              <w:top w:w="0" w:type="dxa"/>
              <w:left w:w="0" w:type="dxa"/>
              <w:bottom w:w="0" w:type="dxa"/>
              <w:right w:w="0" w:type="dxa"/>
            </w:tcMar>
          </w:tcPr>
          <w:p w14:paraId="01360578" w14:textId="77777777" w:rsidR="001C08A5" w:rsidRDefault="00000000">
            <w:pPr>
              <w:jc w:val="center"/>
              <w:rPr>
                <w:b/>
                <w:bCs/>
                <w:i/>
                <w:sz w:val="22"/>
                <w:szCs w:val="22"/>
              </w:rPr>
            </w:pPr>
            <w:r>
              <w:rPr>
                <w:b/>
                <w:bCs/>
                <w:i/>
                <w:sz w:val="22"/>
                <w:szCs w:val="22"/>
                <w:lang w:val="en-US" w:eastAsia="zh-CN" w:bidi="ar"/>
              </w:rPr>
              <w:t>10</w:t>
            </w:r>
            <w:r>
              <w:rPr>
                <w:b/>
                <w:bCs/>
                <w:i/>
                <w:sz w:val="22"/>
                <w:szCs w:val="22"/>
                <w:lang w:eastAsia="zh-CN" w:bidi="ar"/>
              </w:rPr>
              <w:t xml:space="preserve"> </w:t>
            </w:r>
            <w:r>
              <w:rPr>
                <w:b/>
                <w:bCs/>
                <w:i/>
                <w:sz w:val="22"/>
                <w:szCs w:val="22"/>
                <w:lang w:val="en-US" w:eastAsia="zh-CN" w:bidi="ar"/>
              </w:rPr>
              <w:t>x)</w:t>
            </w:r>
          </w:p>
        </w:tc>
      </w:tr>
      <w:tr w:rsidR="001C08A5" w14:paraId="38C86C33" w14:textId="77777777">
        <w:trPr>
          <w:trHeight w:val="360"/>
          <w:jc w:val="center"/>
        </w:trPr>
        <w:tc>
          <w:tcPr>
            <w:tcW w:w="1903" w:type="dxa"/>
            <w:tcMar>
              <w:top w:w="0" w:type="dxa"/>
              <w:left w:w="0" w:type="dxa"/>
              <w:bottom w:w="0" w:type="dxa"/>
              <w:right w:w="0" w:type="dxa"/>
            </w:tcMar>
          </w:tcPr>
          <w:p w14:paraId="12E288DF" w14:textId="77777777" w:rsidR="001C08A5" w:rsidRDefault="00000000">
            <w:pPr>
              <w:jc w:val="center"/>
              <w:rPr>
                <w:b/>
                <w:bCs/>
                <w:i/>
                <w:sz w:val="22"/>
                <w:szCs w:val="22"/>
              </w:rPr>
            </w:pPr>
            <w:r>
              <w:rPr>
                <w:b/>
                <w:bCs/>
                <w:i/>
                <w:sz w:val="22"/>
                <w:szCs w:val="22"/>
                <w:lang w:val="en-US" w:eastAsia="zh-CN" w:bidi="ar"/>
              </w:rPr>
              <w:t>Pe la ambele capete</w:t>
            </w:r>
          </w:p>
        </w:tc>
        <w:tc>
          <w:tcPr>
            <w:tcW w:w="1473" w:type="dxa"/>
            <w:tcMar>
              <w:top w:w="0" w:type="dxa"/>
              <w:left w:w="0" w:type="dxa"/>
              <w:bottom w:w="0" w:type="dxa"/>
              <w:right w:w="0" w:type="dxa"/>
            </w:tcMar>
          </w:tcPr>
          <w:p w14:paraId="17A98C72" w14:textId="77777777" w:rsidR="001C08A5" w:rsidRDefault="00000000">
            <w:pPr>
              <w:jc w:val="center"/>
              <w:rPr>
                <w:b/>
                <w:bCs/>
                <w:i/>
                <w:sz w:val="22"/>
                <w:szCs w:val="22"/>
              </w:rPr>
            </w:pPr>
            <w:r>
              <w:rPr>
                <w:b/>
                <w:bCs/>
                <w:i/>
                <w:sz w:val="22"/>
                <w:szCs w:val="22"/>
                <w:lang w:val="en-US" w:eastAsia="zh-CN" w:bidi="ar"/>
              </w:rPr>
              <w:t>40</w:t>
            </w:r>
          </w:p>
        </w:tc>
        <w:tc>
          <w:tcPr>
            <w:tcW w:w="1515" w:type="dxa"/>
            <w:tcMar>
              <w:top w:w="0" w:type="dxa"/>
              <w:left w:w="0" w:type="dxa"/>
              <w:bottom w:w="0" w:type="dxa"/>
              <w:right w:w="0" w:type="dxa"/>
            </w:tcMar>
          </w:tcPr>
          <w:p w14:paraId="5E7DC0CD" w14:textId="77777777" w:rsidR="001C08A5" w:rsidRDefault="00000000">
            <w:pPr>
              <w:jc w:val="center"/>
              <w:rPr>
                <w:b/>
                <w:bCs/>
                <w:i/>
                <w:sz w:val="22"/>
                <w:szCs w:val="22"/>
              </w:rPr>
            </w:pPr>
            <w:r>
              <w:rPr>
                <w:b/>
                <w:bCs/>
                <w:i/>
                <w:sz w:val="22"/>
                <w:szCs w:val="22"/>
                <w:lang w:val="en-US" w:eastAsia="zh-CN" w:bidi="ar"/>
              </w:rPr>
              <w:t>25</w:t>
            </w:r>
          </w:p>
        </w:tc>
        <w:tc>
          <w:tcPr>
            <w:tcW w:w="1798" w:type="dxa"/>
            <w:tcMar>
              <w:top w:w="0" w:type="dxa"/>
              <w:left w:w="0" w:type="dxa"/>
              <w:bottom w:w="0" w:type="dxa"/>
              <w:right w:w="0" w:type="dxa"/>
            </w:tcMar>
          </w:tcPr>
          <w:p w14:paraId="195A5054" w14:textId="77777777" w:rsidR="001C08A5" w:rsidRDefault="00000000">
            <w:pPr>
              <w:jc w:val="center"/>
              <w:rPr>
                <w:b/>
                <w:bCs/>
                <w:i/>
                <w:sz w:val="22"/>
                <w:szCs w:val="22"/>
              </w:rPr>
            </w:pPr>
            <w:r>
              <w:rPr>
                <w:b/>
                <w:bCs/>
                <w:i/>
                <w:sz w:val="22"/>
                <w:szCs w:val="22"/>
                <w:lang w:val="en-US" w:eastAsia="zh-CN" w:bidi="ar"/>
              </w:rPr>
              <w:t>20</w:t>
            </w:r>
          </w:p>
        </w:tc>
      </w:tr>
    </w:tbl>
    <w:p w14:paraId="7BEBB784" w14:textId="77777777" w:rsidR="001C08A5" w:rsidRDefault="00000000">
      <w:pPr>
        <w:jc w:val="both"/>
        <w:rPr>
          <w:i/>
          <w:iCs/>
          <w:sz w:val="22"/>
          <w:szCs w:val="22"/>
        </w:rPr>
      </w:pPr>
      <w:r>
        <w:rPr>
          <w:i/>
          <w:iCs/>
          <w:sz w:val="22"/>
          <w:szCs w:val="22"/>
        </w:rPr>
        <w:t>Notă:</w:t>
      </w:r>
    </w:p>
    <w:p w14:paraId="1CEC3EBD" w14:textId="77777777" w:rsidR="001C08A5" w:rsidRDefault="00000000">
      <w:pPr>
        <w:jc w:val="both"/>
        <w:rPr>
          <w:i/>
          <w:iCs/>
          <w:sz w:val="22"/>
          <w:szCs w:val="22"/>
        </w:rPr>
      </w:pPr>
      <w:r>
        <w:rPr>
          <w:i/>
          <w:iCs/>
          <w:sz w:val="22"/>
          <w:szCs w:val="22"/>
        </w:rPr>
        <w:t xml:space="preserve">x) în cazurile când este admisă amenajarea sălilor în construcții existente de nivelul de stabilitate la incendiu </w:t>
      </w:r>
      <w:r>
        <w:rPr>
          <w:b/>
          <w:bCs/>
          <w:i/>
          <w:iCs/>
          <w:sz w:val="22"/>
          <w:szCs w:val="22"/>
        </w:rPr>
        <w:t>IV</w:t>
      </w:r>
      <w:r>
        <w:rPr>
          <w:i/>
          <w:iCs/>
          <w:sz w:val="22"/>
          <w:szCs w:val="22"/>
        </w:rPr>
        <w:t xml:space="preserve"> și </w:t>
      </w:r>
      <w:r>
        <w:rPr>
          <w:b/>
          <w:bCs/>
          <w:i/>
          <w:iCs/>
          <w:sz w:val="22"/>
          <w:szCs w:val="22"/>
        </w:rPr>
        <w:t>V</w:t>
      </w:r>
      <w:r>
        <w:rPr>
          <w:i/>
          <w:iCs/>
          <w:sz w:val="22"/>
          <w:szCs w:val="22"/>
        </w:rPr>
        <w:t xml:space="preserve"> și nu au instalație interioară de stingere, evacuarea rândurile se asigură obligatoriu la ambele capete.</w:t>
      </w:r>
    </w:p>
    <w:p w14:paraId="2E2F8ED6" w14:textId="77777777" w:rsidR="001C08A5" w:rsidRDefault="001C08A5">
      <w:pPr>
        <w:jc w:val="both"/>
        <w:rPr>
          <w:i/>
          <w:iCs/>
          <w:sz w:val="22"/>
          <w:szCs w:val="22"/>
        </w:rPr>
      </w:pPr>
    </w:p>
    <w:p w14:paraId="718767B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4.1.50.</w:t>
      </w:r>
      <w:r>
        <w:rPr>
          <w:rFonts w:eastAsia="Calibri"/>
          <w:i/>
          <w:sz w:val="24"/>
          <w:szCs w:val="24"/>
          <w:shd w:val="clear" w:color="auto" w:fill="FFFFFF"/>
        </w:rPr>
        <w:t xml:space="preserve"> Spațiul liber de trecere dintre rândurile de scaune trebuie să fie de minimum </w:t>
      </w:r>
      <w:r>
        <w:rPr>
          <w:rFonts w:eastAsia="Calibri"/>
          <w:b/>
          <w:bCs/>
          <w:i/>
          <w:sz w:val="24"/>
          <w:szCs w:val="24"/>
          <w:shd w:val="clear" w:color="auto" w:fill="FFFFFF"/>
        </w:rPr>
        <w:t>45 cm</w:t>
      </w:r>
      <w:r>
        <w:rPr>
          <w:rFonts w:eastAsia="Calibri"/>
          <w:i/>
          <w:sz w:val="24"/>
          <w:szCs w:val="24"/>
          <w:shd w:val="clear" w:color="auto" w:fill="FFFFFF"/>
        </w:rPr>
        <w:t>.</w:t>
      </w:r>
    </w:p>
    <w:p w14:paraId="72A34F6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4.1.51.</w:t>
      </w:r>
      <w:r>
        <w:rPr>
          <w:rFonts w:eastAsia="Calibri"/>
          <w:i/>
          <w:sz w:val="24"/>
          <w:szCs w:val="24"/>
          <w:shd w:val="clear" w:color="auto" w:fill="FFFFFF"/>
        </w:rPr>
        <w:t> La amplasarea mobilierului în săli cu locuri la mese, trebuie să se asigure culoare de evacuare în caz de incendiu ținând seama și de următoarele recomandări:</w:t>
      </w:r>
    </w:p>
    <w:p w14:paraId="7E2A97A8"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val="en-US" w:eastAsia="zh-CN" w:bidi="ar"/>
        </w:rPr>
        <w:t xml:space="preserve">- mesele de max. </w:t>
      </w:r>
      <w:r>
        <w:rPr>
          <w:rFonts w:eastAsia="Calibri"/>
          <w:b/>
          <w:bCs/>
          <w:i/>
          <w:sz w:val="24"/>
          <w:szCs w:val="24"/>
          <w:shd w:val="clear" w:color="auto" w:fill="FFFFFF"/>
          <w:lang w:val="en-US" w:eastAsia="zh-CN" w:bidi="ar"/>
        </w:rPr>
        <w:t>8</w:t>
      </w:r>
      <w:r>
        <w:rPr>
          <w:rFonts w:eastAsia="Calibri"/>
          <w:i/>
          <w:sz w:val="24"/>
          <w:szCs w:val="24"/>
          <w:shd w:val="clear" w:color="auto" w:fill="FFFFFF"/>
          <w:lang w:val="en-US" w:eastAsia="zh-CN" w:bidi="ar"/>
        </w:rPr>
        <w:t xml:space="preserve"> locuri se amplasează cu cel puțin o parte a lor, lângă un culoar;</w:t>
      </w:r>
    </w:p>
    <w:p w14:paraId="4308F580"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val="en-US" w:eastAsia="zh-CN" w:bidi="ar"/>
        </w:rPr>
        <w:t xml:space="preserve">- mese dreptunghiulare, amplasate cu latura lungă perpendiculară pe culoarele de evacuare, vor avea pe fiecare latură cel mult </w:t>
      </w:r>
      <w:r>
        <w:rPr>
          <w:rFonts w:eastAsia="Calibri"/>
          <w:b/>
          <w:bCs/>
          <w:i/>
          <w:sz w:val="24"/>
          <w:szCs w:val="24"/>
          <w:shd w:val="clear" w:color="auto" w:fill="FFFFFF"/>
          <w:lang w:val="en-US" w:eastAsia="zh-CN" w:bidi="ar"/>
        </w:rPr>
        <w:t>8</w:t>
      </w:r>
      <w:r>
        <w:rPr>
          <w:rFonts w:eastAsia="Calibri"/>
          <w:i/>
          <w:sz w:val="24"/>
          <w:szCs w:val="24"/>
          <w:shd w:val="clear" w:color="auto" w:fill="FFFFFF"/>
          <w:lang w:val="en-US" w:eastAsia="zh-CN" w:bidi="ar"/>
        </w:rPr>
        <w:t xml:space="preserve"> locuri,</w:t>
      </w:r>
    </w:p>
    <w:p w14:paraId="49BF17E0" w14:textId="77777777" w:rsidR="001C08A5" w:rsidRDefault="00000000">
      <w:pPr>
        <w:shd w:val="clear" w:color="auto" w:fill="FFFFFF"/>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 dacă au acces la un singur culoar sau </w:t>
      </w:r>
      <w:r>
        <w:rPr>
          <w:rFonts w:eastAsia="Calibri"/>
          <w:b/>
          <w:bCs/>
          <w:i/>
          <w:sz w:val="24"/>
          <w:szCs w:val="24"/>
          <w:shd w:val="clear" w:color="auto" w:fill="FFFFFF"/>
          <w:lang w:val="en-US" w:eastAsia="zh-CN" w:bidi="ar"/>
        </w:rPr>
        <w:t>16</w:t>
      </w:r>
      <w:r>
        <w:rPr>
          <w:rFonts w:eastAsia="Calibri"/>
          <w:i/>
          <w:sz w:val="24"/>
          <w:szCs w:val="24"/>
          <w:shd w:val="clear" w:color="auto" w:fill="FFFFFF"/>
          <w:lang w:val="en-US" w:eastAsia="zh-CN" w:bidi="ar"/>
        </w:rPr>
        <w:t xml:space="preserve"> locuri dacă au acces la două culoare de evacuare. La capetele acestor mese nu se prevăd scauneîn culoarele de evacuare.</w:t>
      </w:r>
    </w:p>
    <w:p w14:paraId="4303C730" w14:textId="77777777" w:rsidR="001C08A5" w:rsidRDefault="00000000">
      <w:pPr>
        <w:shd w:val="clear" w:color="auto" w:fill="FFFFFF"/>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 dacă numărul de locuri de pe o latură este mai mare de trei (între un culoar de evacuare și perete) sau de șase (între două culoare) se prevăd treceri de acces la culoarele de evacuare, având o lățime liberă de cel puțin </w:t>
      </w:r>
      <w:r>
        <w:rPr>
          <w:rFonts w:eastAsia="Calibri"/>
          <w:b/>
          <w:bCs/>
          <w:i/>
          <w:sz w:val="24"/>
          <w:szCs w:val="24"/>
          <w:shd w:val="clear" w:color="auto" w:fill="FFFFFF"/>
          <w:lang w:val="en-US" w:eastAsia="zh-CN" w:bidi="ar"/>
        </w:rPr>
        <w:t>45</w:t>
      </w:r>
      <w:r>
        <w:rPr>
          <w:rFonts w:eastAsia="Calibri"/>
          <w:i/>
          <w:sz w:val="24"/>
          <w:szCs w:val="24"/>
          <w:shd w:val="clear" w:color="auto" w:fill="FFFFFF"/>
          <w:lang w:val="en-US" w:eastAsia="zh-CN" w:bidi="ar"/>
        </w:rPr>
        <w:t xml:space="preserve"> </w:t>
      </w:r>
      <w:r>
        <w:rPr>
          <w:rFonts w:eastAsia="Calibri"/>
          <w:i/>
          <w:sz w:val="24"/>
          <w:szCs w:val="24"/>
          <w:shd w:val="clear" w:color="auto" w:fill="FFFFFF"/>
          <w:lang w:eastAsia="zh-CN" w:bidi="ar"/>
        </w:rPr>
        <w:t>c</w:t>
      </w:r>
      <w:r>
        <w:rPr>
          <w:rFonts w:eastAsia="Calibri"/>
          <w:i/>
          <w:sz w:val="24"/>
          <w:szCs w:val="24"/>
          <w:shd w:val="clear" w:color="auto" w:fill="FFFFFF"/>
          <w:lang w:val="en-US" w:eastAsia="zh-CN" w:bidi="ar"/>
        </w:rPr>
        <w:t>m;</w:t>
      </w:r>
    </w:p>
    <w:p w14:paraId="02FD5BFA" w14:textId="77777777" w:rsidR="001C08A5" w:rsidRDefault="00000000">
      <w:pPr>
        <w:shd w:val="clear" w:color="auto" w:fill="FFFFFF"/>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lățimea liberă a culoarelor de evacuare trebuie să asigure trecerea numărului de fluxuri determinat prin calcul;</w:t>
      </w:r>
    </w:p>
    <w:p w14:paraId="4CBE29A3" w14:textId="77777777" w:rsidR="001C08A5" w:rsidRDefault="00000000">
      <w:pPr>
        <w:shd w:val="clear" w:color="auto" w:fill="FFFFFF"/>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 la determinarea lățimilor libere de trecere se au în vedere și dimensiunile scaunelor, retrase la o distanță de </w:t>
      </w:r>
      <w:r>
        <w:rPr>
          <w:rFonts w:eastAsia="Calibri"/>
          <w:b/>
          <w:bCs/>
          <w:i/>
          <w:sz w:val="24"/>
          <w:szCs w:val="24"/>
          <w:shd w:val="clear" w:color="auto" w:fill="FFFFFF"/>
          <w:lang w:val="en-US" w:eastAsia="zh-CN" w:bidi="ar"/>
        </w:rPr>
        <w:t>15</w:t>
      </w:r>
      <w:r>
        <w:rPr>
          <w:rFonts w:eastAsia="Calibri"/>
          <w:i/>
          <w:sz w:val="24"/>
          <w:szCs w:val="24"/>
          <w:shd w:val="clear" w:color="auto" w:fill="FFFFFF"/>
          <w:lang w:val="en-US" w:eastAsia="zh-CN" w:bidi="ar"/>
        </w:rPr>
        <w:t xml:space="preserve"> </w:t>
      </w:r>
      <w:r>
        <w:rPr>
          <w:rFonts w:eastAsia="Calibri"/>
          <w:i/>
          <w:sz w:val="24"/>
          <w:szCs w:val="24"/>
          <w:shd w:val="clear" w:color="auto" w:fill="FFFFFF"/>
          <w:lang w:eastAsia="zh-CN" w:bidi="ar"/>
        </w:rPr>
        <w:t>c</w:t>
      </w:r>
      <w:r>
        <w:rPr>
          <w:rFonts w:eastAsia="Calibri"/>
          <w:i/>
          <w:sz w:val="24"/>
          <w:szCs w:val="24"/>
          <w:shd w:val="clear" w:color="auto" w:fill="FFFFFF"/>
          <w:lang w:val="en-US" w:eastAsia="zh-CN" w:bidi="ar"/>
        </w:rPr>
        <w:t>m de marginea mesei.</w:t>
      </w:r>
    </w:p>
    <w:p w14:paraId="36502550" w14:textId="77777777" w:rsidR="001C08A5" w:rsidRDefault="001C08A5">
      <w:pPr>
        <w:shd w:val="clear" w:color="auto" w:fill="FFFFFF"/>
        <w:spacing w:after="150"/>
        <w:jc w:val="both"/>
        <w:rPr>
          <w:rFonts w:eastAsia="Calibri"/>
          <w:b/>
          <w:i/>
          <w:sz w:val="24"/>
          <w:szCs w:val="24"/>
          <w:shd w:val="clear" w:color="auto" w:fill="FFFFFF"/>
        </w:rPr>
      </w:pPr>
    </w:p>
    <w:p w14:paraId="3BB4496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4.1.52.</w:t>
      </w:r>
      <w:r>
        <w:rPr>
          <w:rFonts w:eastAsia="Calibri"/>
          <w:i/>
          <w:sz w:val="24"/>
          <w:szCs w:val="24"/>
          <w:shd w:val="clear" w:color="auto" w:fill="FFFFFF"/>
        </w:rPr>
        <w:t> Utilizarea draperiilor, perdelelor, cortinelor, etc. care pot întrerupe căile de evacuare ale sălilor aglomerate existente, chiar atunci când sunt incombustibile, este interzisă. Pe căile de evacuare ale sălilor aglomerate nu se admit uși false sau placări cu oglinzi.</w:t>
      </w:r>
    </w:p>
    <w:p w14:paraId="0E70B80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4.1.53.</w:t>
      </w:r>
      <w:r>
        <w:rPr>
          <w:rFonts w:eastAsia="Calibri"/>
          <w:i/>
          <w:sz w:val="24"/>
          <w:szCs w:val="24"/>
          <w:shd w:val="clear" w:color="auto" w:fill="FFFFFF"/>
        </w:rPr>
        <w:t> Mobilierul care delimitează căi de evacuare comune interioare va asigura condiții corespunzătoare de evacuare a utilizatorilor.</w:t>
      </w:r>
    </w:p>
    <w:p w14:paraId="154FD21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4.1.54.</w:t>
      </w:r>
      <w:r>
        <w:rPr>
          <w:rFonts w:eastAsia="Calibri"/>
          <w:i/>
          <w:sz w:val="24"/>
          <w:szCs w:val="24"/>
          <w:shd w:val="clear" w:color="auto" w:fill="FFFFFF"/>
        </w:rPr>
        <w:t> În clădiri cu aglomerări de persoane existente sau cu săli aglomerate existente se admit scări rulante, cu condiția asigurării căilor de evacuare distincte și independente prin scări normale, realizate conform prezentei anexe. Pentru împiedicarea pătrunderii fumului de la un nivel la altul, sub plafoane se vor lua măsuri de ecranare a golului scării rulante și protejarea lui cu perdele de apă cu intrarea în funcțiune automată, și/sau manuală, în caz de incendiu. La fiecare nivel se va indica cea mai apropiată cale de evacuare. Indiferent de lățimea rampei, scara rulantă poate fi considerată că asigură trecerea unui singur flux de evacuare dacă:</w:t>
      </w:r>
    </w:p>
    <w:p w14:paraId="323A5F2B"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poate fi oprită, de la fiecare nivel, printr-o comandă manuală ușor accesibilă;</w:t>
      </w:r>
    </w:p>
    <w:p w14:paraId="0461C6AC" w14:textId="77777777" w:rsidR="001C08A5" w:rsidRDefault="00000000">
      <w:pPr>
        <w:shd w:val="clear" w:color="auto" w:fill="FFFFFF"/>
        <w:ind w:left="720" w:firstLine="720"/>
        <w:jc w:val="both"/>
        <w:rPr>
          <w:rFonts w:eastAsia="Calibri"/>
          <w:i/>
          <w:sz w:val="24"/>
          <w:szCs w:val="24"/>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este executată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lang w:val="en-US" w:eastAsia="zh-CN" w:bidi="ar"/>
        </w:rPr>
        <w:t>, cu excepția finisajului treptelor precum și a balustradelor și roților de antrenare;</w:t>
      </w:r>
    </w:p>
    <w:p w14:paraId="360F63FD" w14:textId="77777777" w:rsidR="001C08A5" w:rsidRDefault="00000000">
      <w:pPr>
        <w:shd w:val="clear" w:color="auto" w:fill="FFFFFF"/>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lățimea treptelor este de cel puțin </w:t>
      </w:r>
      <w:r>
        <w:rPr>
          <w:rFonts w:eastAsia="Calibri"/>
          <w:b/>
          <w:bCs/>
          <w:i/>
          <w:sz w:val="24"/>
          <w:szCs w:val="24"/>
          <w:shd w:val="clear" w:color="auto" w:fill="FFFFFF"/>
          <w:lang w:val="en-US" w:eastAsia="zh-CN" w:bidi="ar"/>
        </w:rPr>
        <w:t>25</w:t>
      </w:r>
      <w:r>
        <w:rPr>
          <w:rFonts w:eastAsia="Calibri"/>
          <w:i/>
          <w:sz w:val="24"/>
          <w:szCs w:val="24"/>
          <w:shd w:val="clear" w:color="auto" w:fill="FFFFFF"/>
          <w:lang w:val="en-US" w:eastAsia="zh-CN" w:bidi="ar"/>
        </w:rPr>
        <w:t xml:space="preserve"> cm.</w:t>
      </w:r>
    </w:p>
    <w:p w14:paraId="077BC0E6" w14:textId="77777777" w:rsidR="001C08A5" w:rsidRDefault="001C08A5">
      <w:pPr>
        <w:shd w:val="clear" w:color="auto" w:fill="FFFFFF"/>
        <w:ind w:left="720" w:firstLine="720"/>
        <w:jc w:val="both"/>
        <w:rPr>
          <w:rFonts w:eastAsia="Calibri"/>
          <w:i/>
          <w:sz w:val="24"/>
          <w:szCs w:val="24"/>
          <w:shd w:val="clear" w:color="auto" w:fill="FFFFFF"/>
          <w:lang w:bidi="ar"/>
        </w:rPr>
      </w:pPr>
    </w:p>
    <w:p w14:paraId="31A3DED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4.1.55.</w:t>
      </w:r>
      <w:r>
        <w:rPr>
          <w:rFonts w:eastAsia="Calibri"/>
          <w:i/>
          <w:sz w:val="24"/>
          <w:szCs w:val="24"/>
          <w:shd w:val="clear" w:color="auto" w:fill="FFFFFF"/>
        </w:rPr>
        <w:t> Ușile de pe traseul evacuării publicului din sălile aglomerate existente trebuie să se deschidă în sensul evacuării la simpla apăsare a sistemelor de închidere (bară de siguranță) și să nu aibă proeminențe care ar putea îngreuna trecerea persoanelor. La ușile exterioare sau care separa alte funcțiuni din clădiri existente , se permit sisteme de zăvorâre fără încuiere, ușor de acționat în condițiile aglomerării persoanelorîn fața lor.</w:t>
      </w:r>
    </w:p>
    <w:p w14:paraId="76A7D8A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4.1.56.</w:t>
      </w:r>
      <w:r>
        <w:rPr>
          <w:rFonts w:eastAsia="Calibri"/>
          <w:i/>
          <w:sz w:val="24"/>
          <w:szCs w:val="24"/>
          <w:shd w:val="clear" w:color="auto" w:fill="FFFFFF"/>
        </w:rPr>
        <w:t xml:space="preserve"> În sălile aglomerate existente, distanța dintre tocul ușii și prima treaptă a unei rampe care coboară, trebuie să fie de minimum </w:t>
      </w:r>
      <w:r>
        <w:rPr>
          <w:rFonts w:eastAsia="Calibri"/>
          <w:b/>
          <w:bCs/>
          <w:i/>
          <w:sz w:val="24"/>
          <w:szCs w:val="24"/>
          <w:shd w:val="clear" w:color="auto" w:fill="FFFFFF"/>
        </w:rPr>
        <w:t>1,60</w:t>
      </w:r>
      <w:r>
        <w:rPr>
          <w:rFonts w:eastAsia="Calibri"/>
          <w:i/>
          <w:sz w:val="24"/>
          <w:szCs w:val="24"/>
          <w:shd w:val="clear" w:color="auto" w:fill="FFFFFF"/>
        </w:rPr>
        <w:t xml:space="preserve"> m în fața ușilor și de </w:t>
      </w:r>
      <w:r>
        <w:rPr>
          <w:rFonts w:eastAsia="Calibri"/>
          <w:b/>
          <w:bCs/>
          <w:i/>
          <w:sz w:val="24"/>
          <w:szCs w:val="24"/>
          <w:shd w:val="clear" w:color="auto" w:fill="FFFFFF"/>
        </w:rPr>
        <w:t>1,00</w:t>
      </w:r>
      <w:r>
        <w:rPr>
          <w:rFonts w:eastAsia="Calibri"/>
          <w:i/>
          <w:sz w:val="24"/>
          <w:szCs w:val="24"/>
          <w:shd w:val="clear" w:color="auto" w:fill="FFFFFF"/>
        </w:rPr>
        <w:t xml:space="preserve"> m lateral.</w:t>
      </w:r>
    </w:p>
    <w:p w14:paraId="202F91F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4.1.57.</w:t>
      </w:r>
      <w:r>
        <w:rPr>
          <w:rFonts w:eastAsia="Calibri"/>
          <w:i/>
          <w:sz w:val="24"/>
          <w:szCs w:val="24"/>
          <w:shd w:val="clear" w:color="auto" w:fill="FFFFFF"/>
        </w:rPr>
        <w:t xml:space="preserve"> Lățimea scărilor de evacuare în condițiile în care publicul aflat la diferite niveluri, poate observa incendiul în același timp, îndreptându-se simultan spre scări, se determină după numărul de fluxuri ce provin din nivelul cel mai populat, la care se adaugă pentru fiecare din celelalte niveluri, lățimea necesară pentru evacuarea a </w:t>
      </w:r>
      <w:r>
        <w:rPr>
          <w:rFonts w:eastAsia="Calibri"/>
          <w:b/>
          <w:bCs/>
          <w:i/>
          <w:sz w:val="24"/>
          <w:szCs w:val="24"/>
          <w:shd w:val="clear" w:color="auto" w:fill="FFFFFF"/>
        </w:rPr>
        <w:t>25%</w:t>
      </w:r>
      <w:r>
        <w:rPr>
          <w:rFonts w:eastAsia="Calibri"/>
          <w:i/>
          <w:sz w:val="24"/>
          <w:szCs w:val="24"/>
          <w:shd w:val="clear" w:color="auto" w:fill="FFFFFF"/>
        </w:rPr>
        <w:t xml:space="preserve"> din persoanele aflate la nivelul respectiv.</w:t>
      </w:r>
    </w:p>
    <w:p w14:paraId="5C0001D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4.1.58.</w:t>
      </w:r>
      <w:r>
        <w:rPr>
          <w:rFonts w:eastAsia="Calibri"/>
          <w:i/>
          <w:sz w:val="24"/>
          <w:szCs w:val="24"/>
          <w:shd w:val="clear" w:color="auto" w:fill="FFFFFF"/>
        </w:rPr>
        <w:t> Ușile de acces la casele scărilor de evacuare închise vor fi pline. Aceste uși pot fi cu geam (cu excepția sălilor de teatru), dacă sunt prevăzute instalații automate de stingere în clădire, inclusiv pe podestele caselor de scări respective.</w:t>
      </w:r>
    </w:p>
    <w:p w14:paraId="075406D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4.1.59.</w:t>
      </w:r>
      <w:r>
        <w:rPr>
          <w:rFonts w:eastAsia="Calibri"/>
          <w:i/>
          <w:sz w:val="24"/>
          <w:szCs w:val="24"/>
          <w:shd w:val="clear" w:color="auto" w:fill="FFFFFF"/>
        </w:rPr>
        <w:t> În clădirile existente cu săli aglomerate, circulațiile comune orizontale și casele de scări închise ce nu au goluri prin care în caz de incendiu fumul să se poată evacua direct în exterior, trebuie prevăzute cu evacuare a acestuia (desfumare), realizată conform prevederilor din prezenta anexă sau ale prezentei anexe.</w:t>
      </w:r>
    </w:p>
    <w:p w14:paraId="3D96A57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4.1.60.</w:t>
      </w:r>
      <w:r>
        <w:rPr>
          <w:rFonts w:eastAsia="Calibri"/>
          <w:i/>
          <w:sz w:val="24"/>
          <w:szCs w:val="24"/>
          <w:shd w:val="clear" w:color="auto" w:fill="FFFFFF"/>
        </w:rPr>
        <w:t> Lățimea ieșirilor (ușilor) de evacuare de la nivelul terenului, trebuie să asigure trecerea numărului total de fluxuri care vin prin scări și a tuturor persoanelor de la parter.</w:t>
      </w:r>
    </w:p>
    <w:p w14:paraId="5755C34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4.1.61.</w:t>
      </w:r>
      <w:r>
        <w:rPr>
          <w:rFonts w:eastAsia="Calibri"/>
          <w:i/>
          <w:sz w:val="24"/>
          <w:szCs w:val="24"/>
          <w:shd w:val="clear" w:color="auto" w:fill="FFFFFF"/>
        </w:rPr>
        <w:t> Proiecția de filme și diapozitive trebuie să se facă din cabine special amenajate, atunci când se utilizează mai mult de un aparat de proiecție a filmelor neinflamabile, precum și indiferent de numărul aparatelorla proiecțiafilmelorpe bază de nitroceluloză.</w:t>
      </w:r>
    </w:p>
    <w:p w14:paraId="1030815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4.1.62.</w:t>
      </w:r>
      <w:r>
        <w:rPr>
          <w:rFonts w:eastAsia="Calibri"/>
          <w:i/>
          <w:sz w:val="24"/>
          <w:szCs w:val="24"/>
          <w:shd w:val="clear" w:color="auto" w:fill="FFFFFF"/>
        </w:rPr>
        <w:t> Cabina de proiecție pentru pelicula de siguranță și anexele sale trebuie să aibă acces la o cale de evacuare, care poate fi comună cu cele ale publicului, fără a se trece prin sală. La cabinele de proiecție pentru peliculă de nitroceluloză, se prevede și a doua cale de evacuare, independentă de cele ale publicului. Accesul din cabinele de proiecție și anexele acestora la căile de evacuare ale publicului, este admis numai prin încăperi tampon. A doua cale de evacuare a cabinelor de proiecție poate fi o scară spirală ori cu trepte balansate, sau cu o scară metalică verticală având lățimea de minimum</w:t>
      </w:r>
      <w:r>
        <w:rPr>
          <w:rFonts w:eastAsia="Calibri"/>
          <w:b/>
          <w:bCs/>
          <w:i/>
          <w:sz w:val="24"/>
          <w:szCs w:val="24"/>
          <w:shd w:val="clear" w:color="auto" w:fill="FFFFFF"/>
        </w:rPr>
        <w:t xml:space="preserve"> 80</w:t>
      </w:r>
      <w:r>
        <w:rPr>
          <w:rFonts w:eastAsia="Calibri"/>
          <w:i/>
          <w:sz w:val="24"/>
          <w:szCs w:val="24"/>
          <w:shd w:val="clear" w:color="auto" w:fill="FFFFFF"/>
        </w:rPr>
        <w:t xml:space="preserve"> cm.</w:t>
      </w:r>
    </w:p>
    <w:p w14:paraId="2FDE893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4.1.63.</w:t>
      </w:r>
      <w:r>
        <w:rPr>
          <w:rFonts w:eastAsia="Calibri"/>
          <w:i/>
          <w:sz w:val="24"/>
          <w:szCs w:val="24"/>
          <w:shd w:val="clear" w:color="auto" w:fill="FFFFFF"/>
        </w:rPr>
        <w:t> În fața ieșirilor din clădiri existente sau săli aglomerate existente trebuie asigurat un spațiu liber pentru persoanele ce se evacuează.</w:t>
      </w:r>
    </w:p>
    <w:p w14:paraId="0743266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4.1.64.</w:t>
      </w:r>
      <w:r>
        <w:rPr>
          <w:rFonts w:eastAsia="Calibri"/>
          <w:i/>
          <w:sz w:val="24"/>
          <w:szCs w:val="24"/>
          <w:shd w:val="clear" w:color="auto" w:fill="FFFFFF"/>
        </w:rPr>
        <w:t xml:space="preserve"> Clădirile cu săli aglomerate existente vor fi ușor accesibile din drumuri publice, asigurându-se condiții de desfășurare corespunzătoare a operațiunilor de stingere și salvare a persoanelor în caz de incendiu. Platformele exterioare pentru parcarea autovehiculelor situate în vecinătatea clădirilor cu săli aglomerate, trebuie amplasate în afara gabaritului liber necesar pentru </w:t>
      </w:r>
      <w:r>
        <w:rPr>
          <w:rFonts w:eastAsia="Calibri"/>
          <w:i/>
          <w:sz w:val="24"/>
          <w:szCs w:val="24"/>
          <w:shd w:val="clear" w:color="auto" w:fill="FFFFFF"/>
        </w:rPr>
        <w:lastRenderedPageBreak/>
        <w:t>evacuarea publicului din clădiri și a căilor de acces a autospecialelor pompierilor lafațadele clădirii existente și la sursele de alimentare cu apă.</w:t>
      </w:r>
    </w:p>
    <w:p w14:paraId="3624F6F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4.1.65.</w:t>
      </w:r>
      <w:r>
        <w:rPr>
          <w:rFonts w:eastAsia="Calibri"/>
          <w:i/>
          <w:sz w:val="24"/>
          <w:szCs w:val="24"/>
          <w:shd w:val="clear" w:color="auto" w:fill="FFFFFF"/>
        </w:rPr>
        <w:t> Scările de evacuare a persoanelor din sălile aglomerate existente pot avea rampe directe spre subsol, atunci când asigură accesul la spații destinate publicului, iar acestea sunt separate corespunzător față de alte funcțiuni dispuse în subsol.</w:t>
      </w:r>
    </w:p>
    <w:p w14:paraId="4323286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4.1.66.</w:t>
      </w:r>
      <w:r>
        <w:rPr>
          <w:rFonts w:eastAsia="Calibri"/>
          <w:i/>
          <w:sz w:val="24"/>
          <w:szCs w:val="24"/>
          <w:shd w:val="clear" w:color="auto" w:fill="FFFFFF"/>
        </w:rPr>
        <w:t xml:space="preserve"> Scările exterioare folosite pentru evacuarea sălilor aglomerate trebui să aibe o înclinare de maximum </w:t>
      </w:r>
      <w:r>
        <w:rPr>
          <w:rFonts w:eastAsia="Calibri"/>
          <w:b/>
          <w:bCs/>
          <w:i/>
          <w:sz w:val="24"/>
          <w:szCs w:val="24"/>
          <w:shd w:val="clear" w:color="auto" w:fill="FFFFFF"/>
        </w:rPr>
        <w:t>1:2</w:t>
      </w:r>
      <w:r>
        <w:rPr>
          <w:rFonts w:eastAsia="Calibri"/>
          <w:i/>
          <w:sz w:val="24"/>
          <w:szCs w:val="24"/>
          <w:shd w:val="clear" w:color="auto" w:fill="FFFFFF"/>
        </w:rPr>
        <w:t xml:space="preserve">, iar rampele și podestele se recomandă de minimum </w:t>
      </w:r>
      <w:r>
        <w:rPr>
          <w:rFonts w:eastAsia="Calibri"/>
          <w:b/>
          <w:bCs/>
          <w:i/>
          <w:sz w:val="24"/>
          <w:szCs w:val="24"/>
          <w:shd w:val="clear" w:color="auto" w:fill="FFFFFF"/>
        </w:rPr>
        <w:t>1,60</w:t>
      </w:r>
      <w:r>
        <w:rPr>
          <w:rFonts w:eastAsia="Calibri"/>
          <w:i/>
          <w:sz w:val="24"/>
          <w:szCs w:val="24"/>
          <w:shd w:val="clear" w:color="auto" w:fill="FFFFFF"/>
        </w:rPr>
        <w:t xml:space="preserve"> m lățime și să fie acoperite. Planurile înclinate acoperite sunt admise ca ieșiri de evacuare dacă îndeplinesc condițiile specifice acestora.</w:t>
      </w:r>
    </w:p>
    <w:p w14:paraId="36D142D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4.1.67.</w:t>
      </w:r>
      <w:r>
        <w:rPr>
          <w:rFonts w:eastAsia="Calibri"/>
          <w:i/>
          <w:sz w:val="24"/>
          <w:szCs w:val="24"/>
          <w:shd w:val="clear" w:color="auto" w:fill="FFFFFF"/>
        </w:rPr>
        <w:t xml:space="preserve"> Curțile interioare și spațiile dintre clădirile existente cu săli aglomerate pot fi luate în considerare pentru evacuarea persoanelor în caz de incendiu, dacă au lățimea suficientă pentru trecerea numărului de fluxuri rezultatdin calcul, dar nu mai puțin de </w:t>
      </w:r>
      <w:r>
        <w:rPr>
          <w:rFonts w:eastAsia="Calibri"/>
          <w:b/>
          <w:bCs/>
          <w:i/>
          <w:sz w:val="24"/>
          <w:szCs w:val="24"/>
          <w:shd w:val="clear" w:color="auto" w:fill="FFFFFF"/>
        </w:rPr>
        <w:t>10,00</w:t>
      </w:r>
      <w:r>
        <w:rPr>
          <w:rFonts w:eastAsia="Calibri"/>
          <w:i/>
          <w:sz w:val="24"/>
          <w:szCs w:val="24"/>
          <w:shd w:val="clear" w:color="auto" w:fill="FFFFFF"/>
        </w:rPr>
        <w:t xml:space="preserve"> m.</w:t>
      </w:r>
    </w:p>
    <w:p w14:paraId="14FD3880" w14:textId="77777777" w:rsidR="001C08A5" w:rsidRDefault="00000000">
      <w:pPr>
        <w:pStyle w:val="Heading4"/>
        <w:rPr>
          <w:sz w:val="24"/>
          <w:szCs w:val="24"/>
        </w:rPr>
      </w:pPr>
      <w:bookmarkStart w:id="11206" w:name="_Toc4348"/>
      <w:bookmarkStart w:id="11207" w:name="_Toc6891"/>
      <w:bookmarkStart w:id="11208" w:name="_Toc7449"/>
      <w:bookmarkStart w:id="11209" w:name="_Toc162355606"/>
      <w:bookmarkStart w:id="11210" w:name="_Toc22979"/>
      <w:bookmarkStart w:id="11211" w:name="_Toc22019"/>
      <w:r>
        <w:rPr>
          <w:sz w:val="24"/>
          <w:szCs w:val="24"/>
        </w:rPr>
        <w:t>Clădiri existente subterane</w:t>
      </w:r>
      <w:bookmarkEnd w:id="11206"/>
      <w:bookmarkEnd w:id="11207"/>
      <w:bookmarkEnd w:id="11208"/>
      <w:bookmarkEnd w:id="11209"/>
      <w:bookmarkEnd w:id="11210"/>
      <w:bookmarkEnd w:id="11211"/>
    </w:p>
    <w:p w14:paraId="516D418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4.1.68.</w:t>
      </w:r>
      <w:r>
        <w:rPr>
          <w:rFonts w:eastAsia="Calibri"/>
          <w:i/>
          <w:sz w:val="24"/>
          <w:szCs w:val="24"/>
          <w:shd w:val="clear" w:color="auto" w:fill="FFFFFF"/>
        </w:rPr>
        <w:t> Clădirile civile (publice) existente subterane pot fi amplasate independent funcțional de alte clădiri existente civile sau alipite ori comasate unor clădiri (publice) supraterane existente.</w:t>
      </w:r>
    </w:p>
    <w:p w14:paraId="6778506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4.1.69.</w:t>
      </w:r>
      <w:r>
        <w:rPr>
          <w:rFonts w:eastAsia="Calibri"/>
          <w:i/>
          <w:sz w:val="24"/>
          <w:szCs w:val="24"/>
          <w:shd w:val="clear" w:color="auto" w:fill="FFFFFF"/>
        </w:rPr>
        <w:t> Modificările la parcajele subterane din clădirile civile (publice) subterane independente existente se proiectează și realizează conform prevederilor stabilite prin normativul de profil, iar cele comasate în clădiri existente civile supraterane existente (subsoluri ale acestora), conform prevederilor prezentului normativ.</w:t>
      </w:r>
    </w:p>
    <w:p w14:paraId="0DB26B2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4.1.70.</w:t>
      </w:r>
      <w:r>
        <w:rPr>
          <w:rFonts w:eastAsia="Calibri"/>
          <w:i/>
          <w:sz w:val="24"/>
          <w:szCs w:val="24"/>
          <w:shd w:val="clear" w:color="auto" w:fill="FFFFFF"/>
        </w:rPr>
        <w:t> În subsolurile clădirilor civile (publice) supraterane existente, prin modul de dispunere a funcțiunilor și asigurarea măsurilor de protecție corespunzătoare conform prevederilor din prezenta anexă se va asigura limitarea propagării fumului și a focului la nivelurile supraterane ale clădirii existente.</w:t>
      </w:r>
    </w:p>
    <w:p w14:paraId="10C451F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4.1.71.</w:t>
      </w:r>
      <w:r>
        <w:rPr>
          <w:rFonts w:eastAsia="Calibri"/>
          <w:i/>
          <w:sz w:val="24"/>
          <w:szCs w:val="24"/>
          <w:shd w:val="clear" w:color="auto" w:fill="FFFFFF"/>
        </w:rPr>
        <w:t> În subsolurile clădirilor civile (publice) existente supraterane nu este admisă dispunerea unor spații sau încăperi cu pericol de explozie, cu substanțe sau produse explozive, ori gaze lichefiate. De asemenea, nu sunt admise lichide combustibile cu temperatura de inflamabilitate sub 55°C în alte locuri decât în cele special amenajate și marcate, în cantitățile și condițiile stabilite.</w:t>
      </w:r>
    </w:p>
    <w:p w14:paraId="5689321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4.1.72.</w:t>
      </w:r>
      <w:r>
        <w:rPr>
          <w:rFonts w:eastAsia="Calibri"/>
          <w:i/>
          <w:sz w:val="24"/>
          <w:szCs w:val="24"/>
          <w:shd w:val="clear" w:color="auto" w:fill="FFFFFF"/>
        </w:rPr>
        <w:t> Porțiunile subterane (subsolurile) ale clădirilor civile (publice) supraterane existente, vor respecta condițiile de încadrare în nivelul de stabilitate la incendiu al clădirii supraterane existente, conform prevederilor din prezenta anexă, iar încăperile respective vor avea stabilite și precizate riscurile de incendiu specifice.</w:t>
      </w:r>
    </w:p>
    <w:p w14:paraId="68529F0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4.1.73.</w:t>
      </w:r>
      <w:r>
        <w:rPr>
          <w:rFonts w:eastAsia="Calibri"/>
          <w:i/>
          <w:sz w:val="24"/>
          <w:szCs w:val="24"/>
          <w:shd w:val="clear" w:color="auto" w:fill="FFFFFF"/>
        </w:rPr>
        <w:t> Încăperile și spațiile tehnice dispuse în subsolurile clădirilor civile (publice) existente, vor fi proiectate și realizate conform prevederilor prezentei anexe și ale reglementărilor tehnice specifice, asigurându-se evitarea izbucnirii unor incendii la acestea, și propagarea fumului și a focului la clădirea existentă supraterană și la vecinătăți.</w:t>
      </w:r>
    </w:p>
    <w:p w14:paraId="44AAA14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4.1.74.</w:t>
      </w:r>
      <w:r>
        <w:rPr>
          <w:rFonts w:eastAsia="Calibri"/>
          <w:i/>
          <w:sz w:val="24"/>
          <w:szCs w:val="24"/>
          <w:shd w:val="clear" w:color="auto" w:fill="FFFFFF"/>
        </w:rPr>
        <w:t> Materiale și elemente de construcție utilizate în subsoluri vor îndeplini condițiile de reacție la foc și rezistență la foc stabilite în prezenta anexă, fiind astfel alcătuite și realizate încât să nu constituie căi de propagare ușoară a fumului și focului.</w:t>
      </w:r>
    </w:p>
    <w:p w14:paraId="60F94E2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4.1.75.</w:t>
      </w:r>
      <w:r>
        <w:rPr>
          <w:rFonts w:eastAsia="Calibri"/>
          <w:i/>
          <w:sz w:val="24"/>
          <w:szCs w:val="24"/>
          <w:shd w:val="clear" w:color="auto" w:fill="FFFFFF"/>
        </w:rPr>
        <w:t xml:space="preserve"> Încăperile din subsol cu risc mare de incendiu vor fi separate de restul clădirii existente prin pereți și planșee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cu rezistența la foc stabilită conform prevederilor din prezenta anexă, iar golurile de circulație funcțională din acestea, protejate corespunzător.</w:t>
      </w:r>
    </w:p>
    <w:p w14:paraId="5737D43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4.1.76.</w:t>
      </w:r>
      <w:r>
        <w:rPr>
          <w:rFonts w:eastAsia="Calibri"/>
          <w:i/>
          <w:sz w:val="24"/>
          <w:szCs w:val="24"/>
          <w:shd w:val="clear" w:color="auto" w:fill="FFFFFF"/>
        </w:rPr>
        <w:t xml:space="preserve"> Casele de scări și puțurile pentru ascensoare sau alte sisteme de transport pe verticală - inclusiv încăperile pentru mașinile aferente acestora dispuse în subsol - vor fi separate de restul clădirii existente prin elemente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rezistente la foc conform </w:t>
      </w:r>
      <w:r>
        <w:rPr>
          <w:rFonts w:eastAsia="Calibri"/>
          <w:i/>
          <w:sz w:val="24"/>
          <w:szCs w:val="24"/>
          <w:shd w:val="clear" w:color="auto" w:fill="FFFFFF"/>
        </w:rPr>
        <w:lastRenderedPageBreak/>
        <w:t>prevederilor din prezenta anexă, iar golurile de acces protejate corespunzător cerințelor specifice clădirii supraterane existente.</w:t>
      </w:r>
    </w:p>
    <w:p w14:paraId="13D5BFC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4.1.77.</w:t>
      </w:r>
      <w:r>
        <w:rPr>
          <w:rFonts w:eastAsia="Calibri"/>
          <w:i/>
          <w:sz w:val="24"/>
          <w:szCs w:val="24"/>
          <w:shd w:val="clear" w:color="auto" w:fill="FFFFFF"/>
        </w:rPr>
        <w:t> Finisajele, tratamentele termice și acustice vor respecta prevederile specifice stabilite în prezenta anexă și în reglementările tehnice specifice.</w:t>
      </w:r>
    </w:p>
    <w:p w14:paraId="0A2A7E0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4.1.78.</w:t>
      </w:r>
      <w:r>
        <w:rPr>
          <w:rFonts w:eastAsia="Calibri"/>
          <w:i/>
          <w:sz w:val="24"/>
          <w:szCs w:val="24"/>
          <w:shd w:val="clear" w:color="auto" w:fill="FFFFFF"/>
        </w:rPr>
        <w:t> Căile prevăzute pentru circulația funcțională în subsolurile clădirilor civile (publice) existente supraterane, vor fi alcătuite și dimensionate astfel încât să îndeplinească condițiile necesare asigurării evacuării în caz de incendiu, conform prevederilor din prezenta anexă.</w:t>
      </w:r>
    </w:p>
    <w:p w14:paraId="1B30778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4.1.79.</w:t>
      </w:r>
      <w:r>
        <w:rPr>
          <w:rFonts w:eastAsia="Calibri"/>
          <w:i/>
          <w:sz w:val="24"/>
          <w:szCs w:val="24"/>
          <w:shd w:val="clear" w:color="auto" w:fill="FFFFFF"/>
        </w:rPr>
        <w:t> Subsolurile clădirilor civile (publice) existente supraterane, vor avea asigurate căi de evacuare conform prevederilor din prezenta anexă aplicabile clădirii existente supraterane, astfel încât în caz de incendiu utilizatorii să poată ajunge în exterior, la nivelul terenului, în timp cât mai scurt și în condiții de siguranță.</w:t>
      </w:r>
    </w:p>
    <w:p w14:paraId="2D66525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4.1.80.</w:t>
      </w:r>
      <w:r>
        <w:rPr>
          <w:rFonts w:eastAsia="Calibri"/>
          <w:i/>
          <w:sz w:val="24"/>
          <w:szCs w:val="24"/>
          <w:shd w:val="clear" w:color="auto" w:fill="FFFFFF"/>
        </w:rPr>
        <w:t> Traseele căilor de evacuare din spațiile publice subterane (subsoluri) trebuie astfel stabilite încât printr-o distribuție judicioasă a acestora și dimensionare să se asigure recunoașterea cu ușurință a direcției spre exterior, precum și circulația lesnicioasă a utilizatorilor.</w:t>
      </w:r>
    </w:p>
    <w:p w14:paraId="49723E8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4.1.81.</w:t>
      </w:r>
      <w:r>
        <w:rPr>
          <w:rFonts w:eastAsia="Calibri"/>
          <w:i/>
          <w:sz w:val="24"/>
          <w:szCs w:val="24"/>
          <w:shd w:val="clear" w:color="auto" w:fill="FFFFFF"/>
        </w:rPr>
        <w:t> Scările de evacuare a utilizatorilor spațiilor subterane (subsoluri) în afară de cazurile admise de anexă vor fi închise în case de scări și vor avea separate rampele subterane de rampele scărilor supraterane. Se pot asigura numai legături funcționale între rampele subterane și cele supraterane prin goluri de circulație alcătuite și protejate conform prevederilor din prezenta anexă.</w:t>
      </w:r>
    </w:p>
    <w:p w14:paraId="3ED4C5B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4.1.82.</w:t>
      </w:r>
      <w:r>
        <w:rPr>
          <w:rFonts w:eastAsia="Calibri"/>
          <w:i/>
          <w:sz w:val="24"/>
          <w:szCs w:val="24"/>
          <w:shd w:val="clear" w:color="auto" w:fill="FFFFFF"/>
        </w:rPr>
        <w:t> Capacitățile fluxurilor de evacuare și lungimile maxime ale căilor de evacuare ce trebuie asigurați, sunt cei precizați în anexă în funcție de nivelul de stabilitate la incendiu al clădirii supraterane, tipul acesteia și destinație.</w:t>
      </w:r>
    </w:p>
    <w:p w14:paraId="03B1B1B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4.1.83.</w:t>
      </w:r>
      <w:r>
        <w:rPr>
          <w:rFonts w:eastAsia="Calibri"/>
          <w:i/>
          <w:sz w:val="24"/>
          <w:szCs w:val="24"/>
          <w:shd w:val="clear" w:color="auto" w:fill="FFFFFF"/>
        </w:rPr>
        <w:t> Evacuarea fumului (desfumarea) din încăperile și spațiile subterane se asigură în cazurile și condițiile precizate în anexă, pe niveluri ale subsolului, independent de evacuarea fumului (desfumarea) nivelurilor supraterane ale clădirii.</w:t>
      </w:r>
    </w:p>
    <w:p w14:paraId="52FB376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4.1.84.</w:t>
      </w:r>
      <w:r>
        <w:rPr>
          <w:rFonts w:eastAsia="Calibri"/>
          <w:i/>
          <w:sz w:val="24"/>
          <w:szCs w:val="24"/>
          <w:shd w:val="clear" w:color="auto" w:fill="FFFFFF"/>
        </w:rPr>
        <w:t> Echiparea și dotarea spațiilor din subsolul clădirilor supraterane existente cu mijloace și instalații de semnalizare și stingere a incendiilor, se realizează conform prevederilor din prezenta anexă și reglementărilor tehnice de specialitate având în vedere ansamblul clădirii supraterane.</w:t>
      </w:r>
    </w:p>
    <w:p w14:paraId="0A88812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4.1.85.</w:t>
      </w:r>
      <w:r>
        <w:rPr>
          <w:rFonts w:eastAsia="Calibri"/>
          <w:i/>
          <w:sz w:val="24"/>
          <w:szCs w:val="24"/>
          <w:shd w:val="clear" w:color="auto" w:fill="FFFFFF"/>
        </w:rPr>
        <w:t> Debitele instalațiilor de stingere cu care se echipează, vor fi egal determinate de compartimentul de incendiu suprateran al clădirii existente respective.</w:t>
      </w:r>
    </w:p>
    <w:p w14:paraId="31CF3A6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4.1.86.</w:t>
      </w:r>
      <w:r>
        <w:rPr>
          <w:rFonts w:eastAsia="Calibri"/>
          <w:i/>
          <w:sz w:val="24"/>
          <w:szCs w:val="24"/>
          <w:shd w:val="clear" w:color="auto" w:fill="FFFFFF"/>
        </w:rPr>
        <w:t> Instalațiile utilitare aferente spațiilor și încăperilor din subsolurile clădirilor civile (publice) existente supraterane, se proiectează și execută astfel încât să evite producerea și propagarea incendiilor, corespunzător prevederilor reglementărilor tehnice de specialitate (sanitare, electrice, termice, ventilare-condiționare, etc).</w:t>
      </w:r>
    </w:p>
    <w:p w14:paraId="7600C368"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4.1.87.</w:t>
      </w:r>
      <w:r>
        <w:rPr>
          <w:rFonts w:eastAsia="Calibri"/>
          <w:i/>
          <w:sz w:val="24"/>
          <w:szCs w:val="24"/>
          <w:shd w:val="clear" w:color="auto" w:fill="FFFFFF"/>
        </w:rPr>
        <w:t> Pentru asigurarea condițiilor corespunzătoare de intervenție și salvare în caz de incendiu, se prevăd accese din exterior și circulații interioare corespunzător alcătuite, protejate și marcate.</w:t>
      </w:r>
    </w:p>
    <w:p w14:paraId="165550E3" w14:textId="77777777" w:rsidR="001C08A5" w:rsidRDefault="00000000">
      <w:pPr>
        <w:pStyle w:val="Heading2"/>
        <w:jc w:val="center"/>
        <w:rPr>
          <w:sz w:val="28"/>
        </w:rPr>
      </w:pPr>
      <w:bookmarkStart w:id="11212" w:name="_Toc6929"/>
      <w:bookmarkStart w:id="11213" w:name="_Toc162355607"/>
      <w:bookmarkStart w:id="11214" w:name="_Toc15819"/>
      <w:bookmarkStart w:id="11215" w:name="_Toc24343"/>
      <w:bookmarkStart w:id="11216" w:name="_Toc32046"/>
      <w:bookmarkStart w:id="11217" w:name="_Toc27199"/>
      <w:r>
        <w:rPr>
          <w:sz w:val="28"/>
        </w:rPr>
        <w:lastRenderedPageBreak/>
        <w:t>SECŢIUNEA III</w:t>
      </w:r>
      <w:bookmarkEnd w:id="11212"/>
      <w:bookmarkEnd w:id="11213"/>
      <w:bookmarkEnd w:id="11214"/>
      <w:bookmarkEnd w:id="11215"/>
      <w:bookmarkEnd w:id="11216"/>
      <w:bookmarkEnd w:id="11217"/>
    </w:p>
    <w:p w14:paraId="620CE1B7" w14:textId="77777777" w:rsidR="001C08A5" w:rsidRDefault="00000000">
      <w:pPr>
        <w:pStyle w:val="Heading2"/>
        <w:jc w:val="center"/>
        <w:rPr>
          <w:sz w:val="28"/>
        </w:rPr>
      </w:pPr>
      <w:bookmarkStart w:id="11218" w:name="_Toc4759"/>
      <w:bookmarkStart w:id="11219" w:name="_Toc162355608"/>
      <w:bookmarkStart w:id="11220" w:name="_Toc28596"/>
      <w:bookmarkStart w:id="11221" w:name="_Toc30070"/>
      <w:bookmarkStart w:id="11222" w:name="_Toc23677"/>
      <w:bookmarkStart w:id="11223" w:name="_Toc2869"/>
      <w:r>
        <w:rPr>
          <w:sz w:val="28"/>
        </w:rPr>
        <w:t>CONSTRUCȚII DE PRODUCȚIE ȘI/SAU DEPOZITARE</w:t>
      </w:r>
      <w:bookmarkEnd w:id="11218"/>
      <w:bookmarkEnd w:id="11219"/>
      <w:bookmarkEnd w:id="11220"/>
      <w:bookmarkEnd w:id="11221"/>
      <w:bookmarkEnd w:id="11222"/>
      <w:bookmarkEnd w:id="11223"/>
    </w:p>
    <w:p w14:paraId="233C0DBD" w14:textId="77777777" w:rsidR="001C08A5" w:rsidRDefault="00000000">
      <w:pPr>
        <w:pStyle w:val="Heading3"/>
        <w:rPr>
          <w:i/>
          <w:iCs/>
          <w:sz w:val="26"/>
        </w:rPr>
      </w:pPr>
      <w:bookmarkStart w:id="11224" w:name="_Toc9498"/>
      <w:bookmarkStart w:id="11225" w:name="_Toc162355609"/>
      <w:bookmarkStart w:id="11226" w:name="_Toc13379"/>
      <w:bookmarkStart w:id="11227" w:name="_Toc11038"/>
      <w:bookmarkStart w:id="11228" w:name="_Toc11707"/>
      <w:r>
        <w:rPr>
          <w:i/>
          <w:iCs/>
          <w:sz w:val="26"/>
        </w:rPr>
        <w:t>CAPITOLUL 5</w:t>
      </w:r>
      <w:bookmarkEnd w:id="11224"/>
      <w:bookmarkEnd w:id="11225"/>
      <w:bookmarkEnd w:id="11226"/>
      <w:bookmarkEnd w:id="11227"/>
      <w:bookmarkEnd w:id="11228"/>
      <w:r>
        <w:rPr>
          <w:i/>
          <w:iCs/>
          <w:sz w:val="26"/>
        </w:rPr>
        <w:t xml:space="preserve"> </w:t>
      </w:r>
    </w:p>
    <w:p w14:paraId="51E7C07C" w14:textId="77777777" w:rsidR="001C08A5" w:rsidRDefault="00000000">
      <w:pPr>
        <w:pStyle w:val="Heading3"/>
        <w:rPr>
          <w:i/>
          <w:iCs/>
          <w:sz w:val="26"/>
        </w:rPr>
      </w:pPr>
      <w:bookmarkStart w:id="11229" w:name="_Toc19319"/>
      <w:bookmarkStart w:id="11230" w:name="_Toc28985"/>
      <w:bookmarkStart w:id="11231" w:name="_Toc29554"/>
      <w:bookmarkStart w:id="11232" w:name="_Toc5856"/>
      <w:bookmarkStart w:id="11233" w:name="_Toc162355610"/>
      <w:bookmarkStart w:id="11234" w:name="_Toc17851"/>
      <w:r>
        <w:rPr>
          <w:i/>
          <w:iCs/>
          <w:sz w:val="26"/>
        </w:rPr>
        <w:t>PERFORMANȚE COMUNE CONSTRUCȚIILOR DE PRODUCȚIE ȘI/SAU DEPOZITARE</w:t>
      </w:r>
      <w:bookmarkEnd w:id="11229"/>
      <w:bookmarkEnd w:id="11230"/>
      <w:bookmarkEnd w:id="11231"/>
      <w:bookmarkEnd w:id="11232"/>
      <w:bookmarkEnd w:id="11233"/>
      <w:bookmarkEnd w:id="11234"/>
    </w:p>
    <w:p w14:paraId="42D0310F" w14:textId="77777777" w:rsidR="001C08A5" w:rsidRDefault="00000000">
      <w:pPr>
        <w:pStyle w:val="Heading3"/>
        <w:rPr>
          <w:rFonts w:eastAsia="Calibri" w:cs="Times New Roman"/>
          <w:i/>
          <w:sz w:val="24"/>
          <w:szCs w:val="24"/>
          <w:shd w:val="clear" w:color="auto" w:fill="FFFFFF"/>
        </w:rPr>
      </w:pPr>
      <w:bookmarkStart w:id="11235" w:name="_Toc162355611"/>
      <w:bookmarkStart w:id="11236" w:name="_Toc13307"/>
      <w:bookmarkStart w:id="11237" w:name="_Toc17714"/>
      <w:bookmarkStart w:id="11238" w:name="_Toc20831"/>
      <w:bookmarkStart w:id="11239" w:name="_Toc23480"/>
      <w:bookmarkStart w:id="11240" w:name="_Toc16318"/>
      <w:r>
        <w:rPr>
          <w:i/>
          <w:iCs/>
          <w:sz w:val="24"/>
          <w:szCs w:val="24"/>
        </w:rPr>
        <w:t>A.10. 5.1. RISC DE INCENDIU (CATEGORII DE PERICOL DE INCENDIU) ȘI NIVEL DE STABILITATE LA INCENDIU</w:t>
      </w:r>
      <w:bookmarkEnd w:id="11235"/>
      <w:bookmarkEnd w:id="11236"/>
      <w:bookmarkEnd w:id="11237"/>
      <w:bookmarkEnd w:id="11238"/>
      <w:bookmarkEnd w:id="11239"/>
      <w:bookmarkEnd w:id="11240"/>
    </w:p>
    <w:p w14:paraId="47F6E863" w14:textId="77777777" w:rsidR="001C08A5" w:rsidRDefault="00000000">
      <w:pPr>
        <w:pStyle w:val="Heading4"/>
        <w:rPr>
          <w:sz w:val="24"/>
          <w:szCs w:val="24"/>
        </w:rPr>
      </w:pPr>
      <w:bookmarkStart w:id="11241" w:name="_Toc31733"/>
      <w:bookmarkStart w:id="11242" w:name="_Toc17712"/>
      <w:bookmarkStart w:id="11243" w:name="_Toc9351"/>
      <w:bookmarkStart w:id="11244" w:name="_Toc162355612"/>
      <w:bookmarkStart w:id="11245" w:name="_Toc22572"/>
      <w:bookmarkStart w:id="11246" w:name="_Toc30021"/>
      <w:r>
        <w:rPr>
          <w:sz w:val="24"/>
          <w:szCs w:val="24"/>
        </w:rPr>
        <w:t>Categorii de pericol de incendiu</w:t>
      </w:r>
      <w:bookmarkEnd w:id="11241"/>
      <w:bookmarkEnd w:id="11242"/>
      <w:bookmarkEnd w:id="11243"/>
      <w:bookmarkEnd w:id="11244"/>
      <w:bookmarkEnd w:id="11245"/>
      <w:bookmarkEnd w:id="11246"/>
    </w:p>
    <w:p w14:paraId="663DF2E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5.1.1.</w:t>
      </w:r>
      <w:r>
        <w:rPr>
          <w:rFonts w:eastAsia="Calibri"/>
          <w:i/>
          <w:sz w:val="24"/>
          <w:szCs w:val="24"/>
          <w:shd w:val="clear" w:color="auto" w:fill="FFFFFF"/>
        </w:rPr>
        <w:t xml:space="preserve"> Zonele, încăperile, compartimentele de incendiu și construcțiile existente independente de producție și/sau depozitare vor avea determinate categorii de pericol de incendiu, conform prevederilor Art. </w:t>
      </w:r>
      <w:r>
        <w:rPr>
          <w:rFonts w:eastAsia="Calibri"/>
          <w:b/>
          <w:bCs/>
          <w:i/>
          <w:sz w:val="24"/>
          <w:szCs w:val="24"/>
          <w:shd w:val="clear" w:color="auto" w:fill="FFFFFF"/>
        </w:rPr>
        <w:t xml:space="preserve">A.10.2.1.4.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A.10.2.1.7.</w:t>
      </w:r>
      <w:r>
        <w:rPr>
          <w:rFonts w:eastAsia="Calibri"/>
          <w:i/>
          <w:sz w:val="24"/>
          <w:szCs w:val="24"/>
          <w:shd w:val="clear" w:color="auto" w:fill="FFFFFF"/>
        </w:rPr>
        <w:t xml:space="preserve"> din prezenta anexă. Atunci când în construcțiile existente respective sunt utilizate sau depozitate lichide combustibile, se respectă și măsurile specifice acestora, conform prevederilor din prezenta anexă. Încăperile, compartimentele și construcțiile existente pentru parcarea autovehiculelor, care nu sunt publice, se încadrează în categorii de pericol de incendiu.</w:t>
      </w:r>
    </w:p>
    <w:p w14:paraId="719D93E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5.1.2.</w:t>
      </w:r>
      <w:r>
        <w:rPr>
          <w:rFonts w:eastAsia="Calibri"/>
          <w:i/>
          <w:sz w:val="24"/>
          <w:szCs w:val="24"/>
          <w:shd w:val="clear" w:color="auto" w:fill="FFFFFF"/>
        </w:rPr>
        <w:t> În funcție de categoriile de pericol de incendiu determinate și precizate obligatoriu în documentație se asigură măsurile de siguranță la foc și nivelele de performanță comune și specifice prevăzute în anexă.</w:t>
      </w:r>
    </w:p>
    <w:p w14:paraId="454050B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5.1.3.</w:t>
      </w:r>
      <w:r>
        <w:rPr>
          <w:rFonts w:eastAsia="Calibri"/>
          <w:i/>
          <w:sz w:val="24"/>
          <w:szCs w:val="24"/>
          <w:shd w:val="clear" w:color="auto" w:fill="FFFFFF"/>
        </w:rPr>
        <w:t> La instalațiile tehnologice de producție amplasate în aer liber, categoria de pericol de incendiu se determină de tehnolog, independent pentru fiecare instalație care prezintă caracteristici diferite din acest punct de vedere, stabilind și după caz asigurând măsurile de siguranță la foc și nivelele de performanță necesare precizând obligatoriu zonele până la care se aplică măsurile de protecție stabilite.</w:t>
      </w:r>
    </w:p>
    <w:p w14:paraId="4F65A57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5.1.4.</w:t>
      </w:r>
      <w:r>
        <w:rPr>
          <w:rFonts w:eastAsia="Calibri"/>
          <w:i/>
          <w:sz w:val="24"/>
          <w:szCs w:val="24"/>
          <w:shd w:val="clear" w:color="auto" w:fill="FFFFFF"/>
        </w:rPr>
        <w:t> Delimitarea zonelor până la care se extind măsurile de siguranță la foc impuse de categoriile A și B (BE3) de pericol de incendiu se face având în vedere posibilitatea prezenței - în timpul funcționării normale și în caz de avarie a amestecurilor de aer cu gaze, vapori sau praf, în concentrații cu pericol de explozie.</w:t>
      </w:r>
    </w:p>
    <w:p w14:paraId="0988D0E5" w14:textId="77777777" w:rsidR="001C08A5" w:rsidRDefault="00000000">
      <w:pPr>
        <w:pStyle w:val="Heading4"/>
        <w:rPr>
          <w:sz w:val="24"/>
          <w:szCs w:val="24"/>
        </w:rPr>
      </w:pPr>
      <w:bookmarkStart w:id="11247" w:name="_Toc31635"/>
      <w:bookmarkStart w:id="11248" w:name="_Toc29367"/>
      <w:bookmarkStart w:id="11249" w:name="_Toc26641"/>
      <w:bookmarkStart w:id="11250" w:name="_Toc2748"/>
      <w:bookmarkStart w:id="11251" w:name="_Toc8547"/>
      <w:bookmarkStart w:id="11252" w:name="_Toc162355613"/>
      <w:r>
        <w:rPr>
          <w:sz w:val="24"/>
          <w:szCs w:val="24"/>
        </w:rPr>
        <w:t>Nivel de stabilitate la incendiu</w:t>
      </w:r>
      <w:bookmarkEnd w:id="11247"/>
      <w:bookmarkEnd w:id="11248"/>
      <w:bookmarkEnd w:id="11249"/>
      <w:bookmarkEnd w:id="11250"/>
      <w:bookmarkEnd w:id="11251"/>
      <w:bookmarkEnd w:id="11252"/>
    </w:p>
    <w:p w14:paraId="60C2A9C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5.1.5.</w:t>
      </w:r>
      <w:r>
        <w:rPr>
          <w:rFonts w:eastAsia="Calibri"/>
          <w:i/>
          <w:sz w:val="24"/>
          <w:szCs w:val="24"/>
          <w:shd w:val="clear" w:color="auto" w:fill="FFFFFF"/>
        </w:rPr>
        <w:t> Construcțiile existente și după caz, compartimentele de incendiu existente destinate producției și/sau depozitării vor avea determinat și precizat în documentație nivelul de stabilitate la incendiu.</w:t>
      </w:r>
    </w:p>
    <w:p w14:paraId="26F8D153"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Condițiile minime pe care trebuie să ie îndeplinească construcția existentă pentru încadrarea într- un anumit nivelul de stabilitate la incendiu, sunt cele precizate în Art.</w:t>
      </w:r>
      <w:r>
        <w:rPr>
          <w:rFonts w:eastAsia="Calibri"/>
          <w:b/>
          <w:bCs/>
          <w:i/>
          <w:sz w:val="24"/>
          <w:szCs w:val="24"/>
          <w:shd w:val="clear" w:color="auto" w:fill="FFFFFF"/>
        </w:rPr>
        <w:t xml:space="preserve"> A.10.2.1.8</w:t>
      </w:r>
      <w:r>
        <w:rPr>
          <w:rFonts w:eastAsia="Calibri"/>
          <w:i/>
          <w:sz w:val="24"/>
          <w:szCs w:val="24"/>
          <w:shd w:val="clear" w:color="auto" w:fill="FFFFFF"/>
        </w:rPr>
        <w:t>. la Art.</w:t>
      </w:r>
      <w:r>
        <w:rPr>
          <w:rFonts w:eastAsia="Calibri"/>
          <w:b/>
          <w:bCs/>
          <w:i/>
          <w:sz w:val="24"/>
          <w:szCs w:val="24"/>
          <w:shd w:val="clear" w:color="auto" w:fill="FFFFFF"/>
        </w:rPr>
        <w:t xml:space="preserve"> A.10.2.1.14.</w:t>
      </w:r>
    </w:p>
    <w:p w14:paraId="32832B4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5.1.6.</w:t>
      </w:r>
      <w:r>
        <w:rPr>
          <w:rFonts w:eastAsia="Calibri"/>
          <w:i/>
          <w:sz w:val="24"/>
          <w:szCs w:val="24"/>
          <w:shd w:val="clear" w:color="auto" w:fill="FFFFFF"/>
        </w:rPr>
        <w:t> Structurile metalice neprotejate sau parțial protejate la foc, în zonele expuse direct radiației termice pot fi utilizate la construcții de producție și/sau depozitare de nivelul de stabilitate la incendiu II, indiferent de densitatea sarcinii termice, în următoarele situații:</w:t>
      </w:r>
    </w:p>
    <w:p w14:paraId="6D21141E" w14:textId="77777777" w:rsidR="001C08A5" w:rsidRDefault="00000000">
      <w:pPr>
        <w:numPr>
          <w:ilvl w:val="0"/>
          <w:numId w:val="109"/>
        </w:numPr>
        <w:shd w:val="clear" w:color="auto" w:fill="FFFFFF"/>
        <w:tabs>
          <w:tab w:val="clear" w:pos="840"/>
          <w:tab w:val="left" w:pos="420"/>
        </w:tabs>
        <w:jc w:val="both"/>
        <w:rPr>
          <w:rFonts w:eastAsia="Calibri"/>
          <w:i/>
          <w:sz w:val="24"/>
          <w:szCs w:val="24"/>
        </w:rPr>
      </w:pPr>
      <w:r>
        <w:rPr>
          <w:rFonts w:eastAsia="Calibri"/>
          <w:i/>
          <w:sz w:val="24"/>
          <w:szCs w:val="24"/>
          <w:shd w:val="clear" w:color="auto" w:fill="FFFFFF"/>
          <w:lang w:val="en-US" w:eastAsia="zh-CN" w:bidi="ar"/>
        </w:rPr>
        <w:t>construcții (compartimente de incendiu), de producție și/sau depozitare încadrate în categoria D (BEI a) sau E (BE1 b) de pericol de incendiu;</w:t>
      </w:r>
    </w:p>
    <w:p w14:paraId="290DB95D" w14:textId="77777777" w:rsidR="001C08A5" w:rsidRDefault="00000000">
      <w:pPr>
        <w:numPr>
          <w:ilvl w:val="0"/>
          <w:numId w:val="109"/>
        </w:numPr>
        <w:shd w:val="clear" w:color="auto" w:fill="FFFFFF"/>
        <w:tabs>
          <w:tab w:val="clear" w:pos="840"/>
          <w:tab w:val="left" w:pos="420"/>
        </w:tabs>
        <w:jc w:val="both"/>
        <w:rPr>
          <w:rFonts w:eastAsia="Calibri"/>
          <w:i/>
          <w:sz w:val="24"/>
          <w:szCs w:val="24"/>
        </w:rPr>
      </w:pPr>
      <w:r>
        <w:rPr>
          <w:rFonts w:eastAsia="Calibri"/>
          <w:i/>
          <w:sz w:val="24"/>
          <w:szCs w:val="24"/>
          <w:shd w:val="clear" w:color="auto" w:fill="FFFFFF"/>
          <w:lang w:val="en-US" w:eastAsia="zh-CN" w:bidi="ar"/>
        </w:rPr>
        <w:t xml:space="preserve">construcții (compartimente de incendiu), de producție și/sau depozitare </w:t>
      </w:r>
      <w:r>
        <w:rPr>
          <w:rFonts w:eastAsia="Calibri"/>
          <w:i/>
          <w:sz w:val="24"/>
          <w:szCs w:val="24"/>
          <w:shd w:val="clear" w:color="auto" w:fill="FFFFFF"/>
        </w:rPr>
        <w:t xml:space="preserve">existente </w:t>
      </w:r>
      <w:r>
        <w:rPr>
          <w:rFonts w:eastAsia="Calibri"/>
          <w:i/>
          <w:sz w:val="24"/>
          <w:szCs w:val="24"/>
          <w:shd w:val="clear" w:color="auto" w:fill="FFFFFF"/>
          <w:lang w:val="en-US" w:eastAsia="zh-CN" w:bidi="ar"/>
        </w:rPr>
        <w:t xml:space="preserve">încadrate în categoria C (BE2) de pericol de incendiu, cu aria construită de maximum 2000 m2 și cel mult 3 niveluri supraterane, dacă se asigură limitarea propagării ușoare </w:t>
      </w:r>
      <w:proofErr w:type="gramStart"/>
      <w:r>
        <w:rPr>
          <w:rFonts w:eastAsia="Calibri"/>
          <w:i/>
          <w:sz w:val="24"/>
          <w:szCs w:val="24"/>
          <w:shd w:val="clear" w:color="auto" w:fill="FFFFFF"/>
          <w:lang w:val="en-US" w:eastAsia="zh-CN" w:bidi="ar"/>
        </w:rPr>
        <w:t>a</w:t>
      </w:r>
      <w:proofErr w:type="gramEnd"/>
      <w:r>
        <w:rPr>
          <w:rFonts w:eastAsia="Calibri"/>
          <w:i/>
          <w:sz w:val="24"/>
          <w:szCs w:val="24"/>
          <w:shd w:val="clear" w:color="auto" w:fill="FFFFFF"/>
          <w:lang w:val="en-US" w:eastAsia="zh-CN" w:bidi="ar"/>
        </w:rPr>
        <w:t xml:space="preserve"> incendiilor de la un nivel la altui;</w:t>
      </w:r>
    </w:p>
    <w:p w14:paraId="0E8CDF02" w14:textId="77777777" w:rsidR="001C08A5" w:rsidRDefault="00000000">
      <w:pPr>
        <w:numPr>
          <w:ilvl w:val="0"/>
          <w:numId w:val="109"/>
        </w:numPr>
        <w:shd w:val="clear" w:color="auto" w:fill="FFFFFF"/>
        <w:tabs>
          <w:tab w:val="clear" w:pos="840"/>
          <w:tab w:val="left" w:pos="420"/>
        </w:tabs>
        <w:jc w:val="both"/>
        <w:rPr>
          <w:rFonts w:eastAsia="Calibri"/>
          <w:i/>
          <w:sz w:val="24"/>
          <w:szCs w:val="24"/>
        </w:rPr>
      </w:pPr>
      <w:r>
        <w:rPr>
          <w:rFonts w:eastAsia="Calibri"/>
          <w:i/>
          <w:sz w:val="24"/>
          <w:szCs w:val="24"/>
          <w:shd w:val="clear" w:color="auto" w:fill="FFFFFF"/>
          <w:lang w:val="en-US" w:eastAsia="zh-CN" w:bidi="ar"/>
        </w:rPr>
        <w:t xml:space="preserve">construcții parter </w:t>
      </w:r>
      <w:r>
        <w:rPr>
          <w:rFonts w:eastAsia="Calibri"/>
          <w:i/>
          <w:sz w:val="24"/>
          <w:szCs w:val="24"/>
          <w:shd w:val="clear" w:color="auto" w:fill="FFFFFF"/>
        </w:rPr>
        <w:t xml:space="preserve">existente </w:t>
      </w:r>
      <w:r>
        <w:rPr>
          <w:rFonts w:eastAsia="Calibri"/>
          <w:i/>
          <w:sz w:val="24"/>
          <w:szCs w:val="24"/>
          <w:shd w:val="clear" w:color="auto" w:fill="FFFFFF"/>
          <w:lang w:eastAsia="zh-CN" w:bidi="ar"/>
        </w:rPr>
        <w:t xml:space="preserve">cu </w:t>
      </w:r>
      <w:r>
        <w:rPr>
          <w:rFonts w:eastAsia="Calibri"/>
          <w:i/>
          <w:sz w:val="24"/>
          <w:szCs w:val="24"/>
          <w:shd w:val="clear" w:color="auto" w:fill="FFFFFF"/>
          <w:lang w:val="en-US" w:eastAsia="zh-CN" w:bidi="ar"/>
        </w:rPr>
        <w:t xml:space="preserve">peste 6,00 m înălțime </w:t>
      </w:r>
      <w:r>
        <w:rPr>
          <w:rFonts w:eastAsia="Calibri"/>
          <w:i/>
          <w:sz w:val="24"/>
          <w:szCs w:val="24"/>
          <w:shd w:val="clear" w:color="auto" w:fill="FFFFFF"/>
          <w:lang w:eastAsia="zh-CN" w:bidi="ar"/>
        </w:rPr>
        <w:t xml:space="preserve">de depozitare </w:t>
      </w:r>
      <w:r>
        <w:rPr>
          <w:rFonts w:eastAsia="Calibri"/>
          <w:i/>
          <w:sz w:val="24"/>
          <w:szCs w:val="24"/>
          <w:shd w:val="clear" w:color="auto" w:fill="FFFFFF"/>
          <w:lang w:val="en-US" w:eastAsia="zh-CN" w:bidi="ar"/>
        </w:rPr>
        <w:t>a stivelor, protejate cu instalații automate de stingere cu apă;</w:t>
      </w:r>
    </w:p>
    <w:p w14:paraId="4D54085F" w14:textId="77777777" w:rsidR="001C08A5" w:rsidRDefault="00000000">
      <w:pPr>
        <w:numPr>
          <w:ilvl w:val="0"/>
          <w:numId w:val="109"/>
        </w:numPr>
        <w:shd w:val="clear" w:color="auto" w:fill="FFFFFF"/>
        <w:tabs>
          <w:tab w:val="clear" w:pos="840"/>
          <w:tab w:val="left" w:pos="420"/>
        </w:tabs>
        <w:jc w:val="both"/>
        <w:rPr>
          <w:rFonts w:eastAsia="Calibri"/>
          <w:i/>
          <w:sz w:val="24"/>
          <w:szCs w:val="24"/>
        </w:rPr>
      </w:pPr>
      <w:r>
        <w:rPr>
          <w:rFonts w:eastAsia="Calibri"/>
          <w:i/>
          <w:sz w:val="24"/>
          <w:szCs w:val="24"/>
          <w:shd w:val="clear" w:color="auto" w:fill="FFFFFF"/>
          <w:lang w:val="en-US" w:eastAsia="zh-CN" w:bidi="ar"/>
        </w:rPr>
        <w:lastRenderedPageBreak/>
        <w:t xml:space="preserve">construcții </w:t>
      </w:r>
      <w:r>
        <w:rPr>
          <w:rFonts w:eastAsia="Calibri"/>
          <w:i/>
          <w:sz w:val="24"/>
          <w:szCs w:val="24"/>
          <w:shd w:val="clear" w:color="auto" w:fill="FFFFFF"/>
        </w:rPr>
        <w:t xml:space="preserve">existente </w:t>
      </w:r>
      <w:r>
        <w:rPr>
          <w:rFonts w:eastAsia="Calibri"/>
          <w:i/>
          <w:sz w:val="24"/>
          <w:szCs w:val="24"/>
          <w:shd w:val="clear" w:color="auto" w:fill="FFFFFF"/>
          <w:lang w:val="en-US" w:eastAsia="zh-CN" w:bidi="ar"/>
        </w:rPr>
        <w:t xml:space="preserve">pentru parcarea autovehiculelor acoperite dar deschise perimetral, conform </w:t>
      </w:r>
      <w:r>
        <w:rPr>
          <w:rFonts w:eastAsia="Calibri"/>
          <w:i/>
          <w:sz w:val="24"/>
          <w:szCs w:val="24"/>
          <w:shd w:val="clear" w:color="auto" w:fill="FFFFFF"/>
          <w:lang w:eastAsia="zh-CN" w:bidi="ar"/>
        </w:rPr>
        <w:t>prevederilor din prezenta anexă</w:t>
      </w:r>
      <w:r>
        <w:rPr>
          <w:rFonts w:eastAsia="Calibri"/>
          <w:i/>
          <w:sz w:val="24"/>
          <w:szCs w:val="24"/>
          <w:shd w:val="clear" w:color="auto" w:fill="FFFFFF"/>
          <w:lang w:val="en-US" w:eastAsia="zh-CN" w:bidi="ar"/>
        </w:rPr>
        <w:t>.</w:t>
      </w:r>
    </w:p>
    <w:p w14:paraId="2BD20AA4" w14:textId="77777777" w:rsidR="001C08A5" w:rsidRDefault="00000000">
      <w:pPr>
        <w:shd w:val="clear" w:color="auto" w:fill="FFFFFF"/>
        <w:spacing w:after="150"/>
        <w:jc w:val="both"/>
        <w:rPr>
          <w:rFonts w:eastAsia="Calibri"/>
          <w:i/>
          <w:sz w:val="22"/>
          <w:szCs w:val="22"/>
        </w:rPr>
      </w:pPr>
      <w:r>
        <w:rPr>
          <w:rFonts w:eastAsia="Calibri"/>
          <w:b/>
          <w:bCs/>
          <w:i/>
          <w:sz w:val="22"/>
          <w:szCs w:val="22"/>
          <w:shd w:val="clear" w:color="auto" w:fill="FFFFFF"/>
        </w:rPr>
        <w:t>NOTĂ:</w:t>
      </w:r>
    </w:p>
    <w:p w14:paraId="33EEFF29" w14:textId="77777777" w:rsidR="001C08A5" w:rsidRDefault="00000000">
      <w:pPr>
        <w:shd w:val="clear" w:color="auto" w:fill="FFFFFF"/>
        <w:spacing w:after="150"/>
        <w:jc w:val="both"/>
        <w:rPr>
          <w:rFonts w:eastAsia="Calibri"/>
          <w:i/>
          <w:sz w:val="22"/>
          <w:szCs w:val="22"/>
        </w:rPr>
      </w:pPr>
      <w:r>
        <w:rPr>
          <w:rFonts w:eastAsia="Calibri"/>
          <w:i/>
          <w:sz w:val="22"/>
          <w:szCs w:val="22"/>
          <w:shd w:val="clear" w:color="auto" w:fill="FFFFFF"/>
        </w:rPr>
        <w:t>La reducerea rezistenței la foc a structurilor metalice, se va avea în vedere roiul fiecărui element în asigurarea stabilității construcției existente, categoria de importanță a acesteia, numărul utilizatorilor, valoarea bunurilor adăpostite și urmările posibile ale prăbușirii construcției existente.</w:t>
      </w:r>
    </w:p>
    <w:p w14:paraId="72BF899B" w14:textId="77777777" w:rsidR="001C08A5" w:rsidRDefault="00000000">
      <w:pPr>
        <w:pStyle w:val="Heading3"/>
        <w:rPr>
          <w:i/>
          <w:iCs/>
          <w:sz w:val="24"/>
          <w:szCs w:val="24"/>
        </w:rPr>
      </w:pPr>
      <w:bookmarkStart w:id="11253" w:name="_Toc18288"/>
      <w:bookmarkStart w:id="11254" w:name="_Toc6274"/>
      <w:bookmarkStart w:id="11255" w:name="_Toc20558"/>
      <w:bookmarkStart w:id="11256" w:name="_Toc162355614"/>
      <w:bookmarkStart w:id="11257" w:name="_Toc8056"/>
      <w:bookmarkStart w:id="11258" w:name="_Toc29488"/>
      <w:r>
        <w:rPr>
          <w:i/>
          <w:iCs/>
          <w:sz w:val="24"/>
          <w:szCs w:val="24"/>
        </w:rPr>
        <w:t>A.10. 5.2. AMPLASAREA ȘI CONFORMAREA LA FOC</w:t>
      </w:r>
      <w:bookmarkEnd w:id="11253"/>
      <w:bookmarkEnd w:id="11254"/>
      <w:bookmarkEnd w:id="11255"/>
      <w:bookmarkEnd w:id="11256"/>
      <w:bookmarkEnd w:id="11257"/>
      <w:bookmarkEnd w:id="11258"/>
    </w:p>
    <w:p w14:paraId="390EE49D" w14:textId="77777777" w:rsidR="001C08A5" w:rsidRDefault="00000000">
      <w:pPr>
        <w:pStyle w:val="Heading4"/>
        <w:rPr>
          <w:sz w:val="24"/>
          <w:szCs w:val="24"/>
        </w:rPr>
      </w:pPr>
      <w:bookmarkStart w:id="11259" w:name="_Toc11997"/>
      <w:bookmarkStart w:id="11260" w:name="_Toc162355615"/>
      <w:bookmarkStart w:id="11261" w:name="_Toc21034"/>
      <w:bookmarkStart w:id="11262" w:name="_Toc141"/>
      <w:bookmarkStart w:id="11263" w:name="_Toc139"/>
      <w:r>
        <w:rPr>
          <w:sz w:val="24"/>
          <w:szCs w:val="24"/>
        </w:rPr>
        <w:t>Amplasare</w:t>
      </w:r>
      <w:bookmarkEnd w:id="11259"/>
      <w:bookmarkEnd w:id="11260"/>
      <w:bookmarkEnd w:id="11261"/>
      <w:bookmarkEnd w:id="11262"/>
      <w:bookmarkEnd w:id="11263"/>
    </w:p>
    <w:p w14:paraId="0B6524B1"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5.2.1.</w:t>
      </w:r>
      <w:r>
        <w:rPr>
          <w:rFonts w:eastAsia="Calibri"/>
          <w:i/>
          <w:sz w:val="24"/>
          <w:szCs w:val="24"/>
          <w:shd w:val="clear" w:color="auto" w:fill="FFFFFF"/>
        </w:rPr>
        <w:t> Construcțiile existente de producție și/sau depozitare independente, comasate sau grupate în conformitate cu recomandările generale se amplasează la distanțele de siguranță stabilite în Art.</w:t>
      </w:r>
      <w:r>
        <w:rPr>
          <w:rFonts w:eastAsia="Calibri"/>
          <w:b/>
          <w:bCs/>
          <w:i/>
          <w:sz w:val="24"/>
          <w:szCs w:val="24"/>
          <w:shd w:val="clear" w:color="auto" w:fill="FFFFFF"/>
        </w:rPr>
        <w:t xml:space="preserve"> A.10.2.2.1</w:t>
      </w:r>
      <w:r>
        <w:rPr>
          <w:rFonts w:eastAsia="Calibri"/>
          <w:i/>
          <w:sz w:val="24"/>
          <w:szCs w:val="24"/>
          <w:shd w:val="clear" w:color="auto" w:fill="FFFFFF"/>
        </w:rPr>
        <w:t>. la Art.</w:t>
      </w:r>
      <w:r>
        <w:rPr>
          <w:rFonts w:eastAsia="Calibri"/>
          <w:b/>
          <w:bCs/>
          <w:i/>
          <w:sz w:val="24"/>
          <w:szCs w:val="24"/>
          <w:shd w:val="clear" w:color="auto" w:fill="FFFFFF"/>
        </w:rPr>
        <w:t xml:space="preserve"> A.10.2.2.3.</w:t>
      </w:r>
      <w:r>
        <w:rPr>
          <w:rFonts w:eastAsia="Calibri"/>
          <w:i/>
          <w:sz w:val="24"/>
          <w:szCs w:val="24"/>
          <w:shd w:val="clear" w:color="auto" w:fill="FFFFFF"/>
        </w:rPr>
        <w:t>, sau se compartimentează corespunzător.</w:t>
      </w:r>
    </w:p>
    <w:p w14:paraId="423D62F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5.2.2.</w:t>
      </w:r>
      <w:r>
        <w:rPr>
          <w:rFonts w:eastAsia="Calibri"/>
          <w:i/>
          <w:sz w:val="24"/>
          <w:szCs w:val="24"/>
          <w:shd w:val="clear" w:color="auto" w:fill="FFFFFF"/>
        </w:rPr>
        <w:t> Construcțiile existente de producție și/sau depozitare încadrate în categoria A sau B (BE3ab) de pericol de incendiu, de regulă, vor fi amplasate independent, la distanțe normate (conform prevederilor din prezenta anexă) sau compartimentate față de alte construcții existente sau instalații existente, iar porțiunile de construcție existentă alipite ori înglobate vor fi separate de restul construcției existente, prin elemente de compartimentare corespunzătoare, având în vedere și prevederile Art.</w:t>
      </w:r>
      <w:r>
        <w:rPr>
          <w:rFonts w:eastAsia="Calibri"/>
          <w:b/>
          <w:bCs/>
          <w:i/>
          <w:sz w:val="24"/>
          <w:szCs w:val="24"/>
          <w:shd w:val="clear" w:color="auto" w:fill="FFFFFF"/>
        </w:rPr>
        <w:t xml:space="preserve"> A.10.2.1.6</w:t>
      </w:r>
      <w:r>
        <w:rPr>
          <w:rFonts w:eastAsia="Calibri"/>
          <w:i/>
          <w:sz w:val="24"/>
          <w:szCs w:val="24"/>
          <w:shd w:val="clear" w:color="auto" w:fill="FFFFFF"/>
        </w:rPr>
        <w:t>. și Art.</w:t>
      </w:r>
      <w:r>
        <w:rPr>
          <w:rFonts w:eastAsia="Calibri"/>
          <w:b/>
          <w:bCs/>
          <w:i/>
          <w:sz w:val="24"/>
          <w:szCs w:val="24"/>
          <w:shd w:val="clear" w:color="auto" w:fill="FFFFFF"/>
        </w:rPr>
        <w:t xml:space="preserve"> A.10.2.1.7.</w:t>
      </w:r>
    </w:p>
    <w:p w14:paraId="480B185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5.2.3.</w:t>
      </w:r>
      <w:r>
        <w:rPr>
          <w:rFonts w:eastAsia="Calibri"/>
          <w:i/>
          <w:sz w:val="24"/>
          <w:szCs w:val="24"/>
          <w:shd w:val="clear" w:color="auto" w:fill="FFFFFF"/>
        </w:rPr>
        <w:t> La construcții existente independente, porțiuni, spații ori încăperi cu pericol de explozie - categoriile A și B (BE3 ab) - se vor preciza și delimita obligatoriu zonele de protecție până la care trebuie asigurate măsurile specifice acestora.</w:t>
      </w:r>
    </w:p>
    <w:p w14:paraId="6CB2982D" w14:textId="77777777" w:rsidR="001C08A5" w:rsidRDefault="00000000">
      <w:pPr>
        <w:pStyle w:val="Heading4"/>
        <w:rPr>
          <w:sz w:val="24"/>
          <w:szCs w:val="24"/>
        </w:rPr>
      </w:pPr>
      <w:bookmarkStart w:id="11264" w:name="_Toc15863"/>
      <w:bookmarkStart w:id="11265" w:name="_Toc162355616"/>
      <w:bookmarkStart w:id="11266" w:name="_Toc10606"/>
      <w:bookmarkStart w:id="11267" w:name="_Toc7048"/>
      <w:bookmarkStart w:id="11268" w:name="_Toc31021"/>
      <w:bookmarkStart w:id="11269" w:name="_Toc21451"/>
      <w:r>
        <w:rPr>
          <w:sz w:val="24"/>
          <w:szCs w:val="24"/>
        </w:rPr>
        <w:t>Conformare la foc</w:t>
      </w:r>
      <w:bookmarkEnd w:id="11264"/>
      <w:bookmarkEnd w:id="11265"/>
      <w:bookmarkEnd w:id="11266"/>
      <w:bookmarkEnd w:id="11267"/>
      <w:bookmarkEnd w:id="11268"/>
      <w:bookmarkEnd w:id="11269"/>
    </w:p>
    <w:p w14:paraId="1A84E1D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5.2.4.</w:t>
      </w:r>
      <w:r>
        <w:rPr>
          <w:rFonts w:eastAsia="Calibri"/>
          <w:i/>
          <w:sz w:val="24"/>
          <w:szCs w:val="24"/>
          <w:shd w:val="clear" w:color="auto" w:fill="FFFFFF"/>
        </w:rPr>
        <w:t> Conformarea la foc a construcțiilor existente și compartimentelor existente de incendiu destinate producției și/sau depozitării, va avea în vedere prevederile Art.</w:t>
      </w:r>
      <w:r>
        <w:rPr>
          <w:rFonts w:eastAsia="Calibri"/>
          <w:b/>
          <w:bCs/>
          <w:i/>
          <w:sz w:val="24"/>
          <w:szCs w:val="24"/>
          <w:shd w:val="clear" w:color="auto" w:fill="FFFFFF"/>
        </w:rPr>
        <w:t xml:space="preserve"> A.10.2.2.5</w:t>
      </w:r>
      <w:r>
        <w:rPr>
          <w:rFonts w:eastAsia="Calibri"/>
          <w:i/>
          <w:sz w:val="24"/>
          <w:szCs w:val="24"/>
          <w:shd w:val="clear" w:color="auto" w:fill="FFFFFF"/>
        </w:rPr>
        <w:t>. la Art.</w:t>
      </w:r>
      <w:r>
        <w:rPr>
          <w:rFonts w:eastAsia="Calibri"/>
          <w:b/>
          <w:bCs/>
          <w:i/>
          <w:sz w:val="24"/>
          <w:szCs w:val="24"/>
          <w:shd w:val="clear" w:color="auto" w:fill="FFFFFF"/>
        </w:rPr>
        <w:t xml:space="preserve"> A.10.2.2.10.</w:t>
      </w:r>
      <w:r>
        <w:rPr>
          <w:rFonts w:eastAsia="Calibri"/>
          <w:i/>
          <w:sz w:val="24"/>
          <w:szCs w:val="24"/>
          <w:shd w:val="clear" w:color="auto" w:fill="FFFFFF"/>
        </w:rPr>
        <w:t>,  și cele specifice acestora, asigurând îndeplinirea condițiilor de corelație dintre categoria de pericol, nivelul de stabilitate la incendiu, numărul de niveluri și aria construită.</w:t>
      </w:r>
    </w:p>
    <w:p w14:paraId="76D9F4A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5.2.5.</w:t>
      </w:r>
      <w:r>
        <w:rPr>
          <w:rFonts w:eastAsia="Calibri"/>
          <w:i/>
          <w:sz w:val="24"/>
          <w:szCs w:val="24"/>
          <w:shd w:val="clear" w:color="auto" w:fill="FFFFFF"/>
        </w:rPr>
        <w:t xml:space="preserve"> Ariile construite ale construcțiilor existente și compartimentelor de incendiu existente și numărul de niveluri admise pentru construcții de producție și/sau depozitare, sunt cele precizate în </w:t>
      </w:r>
      <w:r>
        <w:rPr>
          <w:rFonts w:eastAsia="Calibri"/>
          <w:b/>
          <w:bCs/>
          <w:i/>
          <w:iCs/>
          <w:sz w:val="24"/>
          <w:szCs w:val="24"/>
        </w:rPr>
        <w:fldChar w:fldCharType="begin"/>
      </w:r>
      <w:r>
        <w:rPr>
          <w:rFonts w:eastAsia="Calibri"/>
          <w:b/>
          <w:bCs/>
          <w:i/>
          <w:iCs/>
          <w:sz w:val="24"/>
          <w:szCs w:val="24"/>
        </w:rPr>
        <w:instrText xml:space="preserve"> REF _Ref16454 \h </w:instrText>
      </w:r>
      <w:r>
        <w:rPr>
          <w:rFonts w:eastAsia="Calibri"/>
          <w:b/>
          <w:bCs/>
          <w:i/>
          <w:iCs/>
          <w:sz w:val="24"/>
          <w:szCs w:val="24"/>
        </w:rPr>
      </w:r>
      <w:r>
        <w:rPr>
          <w:rFonts w:eastAsia="Calibri"/>
          <w:b/>
          <w:bCs/>
          <w:i/>
          <w:iCs/>
          <w:sz w:val="24"/>
          <w:szCs w:val="24"/>
        </w:rPr>
        <w:fldChar w:fldCharType="separate"/>
      </w:r>
      <w:r>
        <w:t>Tabelul 168</w:t>
      </w:r>
      <w:r>
        <w:rPr>
          <w:rFonts w:eastAsia="Calibri"/>
          <w:b/>
          <w:bCs/>
          <w:i/>
          <w:iCs/>
          <w:sz w:val="24"/>
          <w:szCs w:val="24"/>
        </w:rPr>
        <w:fldChar w:fldCharType="end"/>
      </w:r>
      <w:r>
        <w:rPr>
          <w:b/>
          <w:i/>
          <w:sz w:val="24"/>
          <w:szCs w:val="24"/>
        </w:rPr>
        <w:t>.</w:t>
      </w:r>
    </w:p>
    <w:p w14:paraId="228BF0A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5.2.6.</w:t>
      </w:r>
      <w:r>
        <w:rPr>
          <w:rFonts w:eastAsia="Calibri"/>
          <w:i/>
          <w:sz w:val="24"/>
          <w:szCs w:val="24"/>
          <w:shd w:val="clear" w:color="auto" w:fill="FFFFFF"/>
        </w:rPr>
        <w:t> Nu se recomandă dispunerea încăperilor și spațiilor existente încadrate în categoria A sau B (BE3a,b) de pericol de incendiu, în subsolurile construcțiilor existente supraterane, iar atunci când aceasta este justificată tehnic numai în condițiile separării prin planșeu rezistent la explozie.</w:t>
      </w:r>
    </w:p>
    <w:p w14:paraId="6D9B266E"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5.2.7.</w:t>
      </w:r>
      <w:r>
        <w:rPr>
          <w:rFonts w:eastAsia="Calibri"/>
          <w:i/>
          <w:sz w:val="24"/>
          <w:szCs w:val="24"/>
          <w:shd w:val="clear" w:color="auto" w:fill="FFFFFF"/>
        </w:rPr>
        <w:t> În spațiile de producție nu se vor depozita liber materiale sau substanțe (combustibile sau incombustibile), decât în cantitățile și sorturile strict necesare fluxului tehnologic pentru schimb de lucru.</w:t>
      </w:r>
    </w:p>
    <w:p w14:paraId="741E30E9" w14:textId="77777777" w:rsidR="001C08A5" w:rsidRDefault="00000000">
      <w:pPr>
        <w:pStyle w:val="Caption"/>
        <w:shd w:val="clear" w:color="auto" w:fill="FFFFFF"/>
        <w:spacing w:before="0" w:after="150"/>
        <w:jc w:val="both"/>
        <w:rPr>
          <w:rFonts w:eastAsia="Calibri" w:cs="Times New Roman"/>
          <w:bCs/>
          <w:shd w:val="clear" w:color="auto" w:fill="FFFFFF"/>
        </w:rPr>
      </w:pPr>
      <w:bookmarkStart w:id="11270" w:name="_Ref16454"/>
      <w:bookmarkStart w:id="11271" w:name="_Toc162360218"/>
      <w:bookmarkStart w:id="11272" w:name="_Ref5993"/>
      <w:r>
        <w:t xml:space="preserve">Tabelul </w:t>
      </w:r>
      <w:r>
        <w:fldChar w:fldCharType="begin"/>
      </w:r>
      <w:r>
        <w:instrText xml:space="preserve"> SEQ Tabelul \* ARABIC </w:instrText>
      </w:r>
      <w:r>
        <w:fldChar w:fldCharType="separate"/>
      </w:r>
      <w:r>
        <w:t>168</w:t>
      </w:r>
      <w:r>
        <w:fldChar w:fldCharType="end"/>
      </w:r>
      <w:bookmarkStart w:id="11273" w:name="_Toc21126"/>
      <w:bookmarkStart w:id="11274" w:name="_Toc27096"/>
      <w:bookmarkStart w:id="11275" w:name="_Toc23232"/>
      <w:bookmarkStart w:id="11276" w:name="_Toc31073"/>
      <w:bookmarkStart w:id="11277" w:name="_Toc28388"/>
      <w:bookmarkStart w:id="11278" w:name="_Toc16969"/>
      <w:bookmarkStart w:id="11279" w:name="_Toc19549"/>
      <w:bookmarkStart w:id="11280" w:name="_Toc11489"/>
      <w:bookmarkStart w:id="11281" w:name="_Toc2456"/>
      <w:bookmarkStart w:id="11282" w:name="_Toc7503"/>
      <w:bookmarkStart w:id="11283" w:name="_Toc28521"/>
      <w:bookmarkStart w:id="11284" w:name="_Toc3585"/>
      <w:bookmarkEnd w:id="11270"/>
      <w:r>
        <w:t xml:space="preserve">: </w:t>
      </w:r>
      <w:r>
        <w:rPr>
          <w:rFonts w:eastAsia="Calibri"/>
          <w:bCs/>
          <w:shd w:val="clear" w:color="auto" w:fill="FFFFFF"/>
        </w:rPr>
        <w:t>Arii construite și număr de niveluri admise pentru construcții existente și compartimente de incendiu ale construcțiilor existente de producție și/sau depozitare</w:t>
      </w:r>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p>
    <w:tbl>
      <w:tblPr>
        <w:tblW w:w="4998" w:type="pct"/>
        <w:jc w:val="center"/>
        <w:tblCellMar>
          <w:top w:w="15" w:type="dxa"/>
          <w:left w:w="15" w:type="dxa"/>
          <w:bottom w:w="15" w:type="dxa"/>
          <w:right w:w="15" w:type="dxa"/>
        </w:tblCellMar>
        <w:tblLook w:val="04A0" w:firstRow="1" w:lastRow="0" w:firstColumn="1" w:lastColumn="0" w:noHBand="0" w:noVBand="1"/>
      </w:tblPr>
      <w:tblGrid>
        <w:gridCol w:w="1538"/>
        <w:gridCol w:w="1696"/>
        <w:gridCol w:w="1549"/>
        <w:gridCol w:w="1606"/>
        <w:gridCol w:w="1622"/>
        <w:gridCol w:w="1608"/>
      </w:tblGrid>
      <w:tr w:rsidR="001C08A5" w14:paraId="7059615B" w14:textId="77777777">
        <w:trPr>
          <w:trHeight w:val="765"/>
          <w:jc w:val="center"/>
        </w:trPr>
        <w:tc>
          <w:tcPr>
            <w:tcW w:w="799"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5474AAA" w14:textId="77777777" w:rsidR="001C08A5" w:rsidRDefault="00000000">
            <w:pPr>
              <w:jc w:val="center"/>
              <w:rPr>
                <w:b/>
                <w:bCs/>
                <w:i/>
                <w:sz w:val="22"/>
                <w:szCs w:val="22"/>
              </w:rPr>
            </w:pPr>
            <w:r>
              <w:rPr>
                <w:b/>
                <w:bCs/>
                <w:i/>
                <w:sz w:val="22"/>
                <w:szCs w:val="22"/>
                <w:lang w:val="en-US" w:eastAsia="zh-CN" w:bidi="ar"/>
              </w:rPr>
              <w:t>Categoria de pericol de incendiu</w:t>
            </w:r>
          </w:p>
        </w:tc>
        <w:tc>
          <w:tcPr>
            <w:tcW w:w="881"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B082483" w14:textId="77777777" w:rsidR="001C08A5" w:rsidRDefault="00000000">
            <w:pPr>
              <w:jc w:val="center"/>
              <w:rPr>
                <w:b/>
                <w:bCs/>
                <w:i/>
                <w:sz w:val="22"/>
                <w:szCs w:val="22"/>
              </w:rPr>
            </w:pPr>
            <w:r>
              <w:rPr>
                <w:rFonts w:eastAsia="Calibri"/>
                <w:b/>
                <w:bCs/>
                <w:i/>
                <w:sz w:val="22"/>
                <w:szCs w:val="22"/>
                <w:shd w:val="clear" w:color="auto" w:fill="FFFFFF"/>
              </w:rPr>
              <w:t>Nivelul de stabilitate la incendiu</w:t>
            </w:r>
          </w:p>
        </w:tc>
        <w:tc>
          <w:tcPr>
            <w:tcW w:w="805"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26D9DBD" w14:textId="77777777" w:rsidR="001C08A5" w:rsidRDefault="00000000">
            <w:pPr>
              <w:jc w:val="center"/>
              <w:rPr>
                <w:b/>
                <w:bCs/>
                <w:i/>
                <w:sz w:val="22"/>
                <w:szCs w:val="22"/>
              </w:rPr>
            </w:pPr>
            <w:r>
              <w:rPr>
                <w:b/>
                <w:bCs/>
                <w:i/>
                <w:sz w:val="22"/>
                <w:szCs w:val="22"/>
                <w:lang w:val="en-US" w:eastAsia="zh-CN" w:bidi="ar"/>
              </w:rPr>
              <w:t>Număr de niveluri admise</w:t>
            </w:r>
          </w:p>
        </w:tc>
        <w:tc>
          <w:tcPr>
            <w:tcW w:w="2514" w:type="pct"/>
            <w:gridSpan w:val="3"/>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24947EF" w14:textId="77777777" w:rsidR="001C08A5" w:rsidRDefault="00000000">
            <w:pPr>
              <w:jc w:val="center"/>
              <w:rPr>
                <w:b/>
                <w:bCs/>
                <w:i/>
                <w:sz w:val="22"/>
                <w:szCs w:val="22"/>
              </w:rPr>
            </w:pPr>
            <w:r>
              <w:rPr>
                <w:b/>
                <w:bCs/>
                <w:i/>
                <w:sz w:val="22"/>
                <w:szCs w:val="22"/>
                <w:lang w:val="en-US" w:eastAsia="zh-CN" w:bidi="ar"/>
              </w:rPr>
              <w:t>Aria maximă construită (la sol) admisă pentru construcții sau un compartiment de incendiu (m</w:t>
            </w:r>
            <w:r>
              <w:rPr>
                <w:b/>
                <w:bCs/>
                <w:i/>
                <w:sz w:val="22"/>
                <w:szCs w:val="22"/>
                <w:vertAlign w:val="superscript"/>
                <w:lang w:val="en-US" w:eastAsia="zh-CN" w:bidi="ar"/>
              </w:rPr>
              <w:t>2</w:t>
            </w:r>
            <w:r>
              <w:rPr>
                <w:b/>
                <w:bCs/>
                <w:i/>
                <w:sz w:val="22"/>
                <w:szCs w:val="22"/>
                <w:lang w:val="en-US" w:eastAsia="zh-CN" w:bidi="ar"/>
              </w:rPr>
              <w:t>)</w:t>
            </w:r>
          </w:p>
        </w:tc>
      </w:tr>
      <w:tr w:rsidR="001C08A5" w14:paraId="14FD1F81" w14:textId="77777777">
        <w:trPr>
          <w:trHeight w:val="76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FF8CF7A" w14:textId="77777777" w:rsidR="001C08A5" w:rsidRDefault="001C08A5">
            <w:pPr>
              <w:jc w:val="center"/>
              <w:rPr>
                <w:b/>
                <w:bCs/>
                <w:i/>
                <w:sz w:val="22"/>
                <w:szCs w:val="22"/>
              </w:rPr>
            </w:pPr>
          </w:p>
        </w:tc>
        <w:tc>
          <w:tcPr>
            <w:tcW w:w="881"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73C590D" w14:textId="77777777" w:rsidR="001C08A5" w:rsidRDefault="001C08A5">
            <w:pPr>
              <w:jc w:val="center"/>
              <w:rPr>
                <w:b/>
                <w:bCs/>
                <w:i/>
                <w:sz w:val="22"/>
                <w:szCs w:val="22"/>
              </w:rPr>
            </w:pPr>
          </w:p>
        </w:tc>
        <w:tc>
          <w:tcPr>
            <w:tcW w:w="805"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13150D7" w14:textId="77777777" w:rsidR="001C08A5" w:rsidRDefault="001C08A5">
            <w:pPr>
              <w:jc w:val="center"/>
              <w:rPr>
                <w:b/>
                <w:bCs/>
                <w:i/>
                <w:sz w:val="22"/>
                <w:szCs w:val="22"/>
              </w:rPr>
            </w:pP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BF73188" w14:textId="77777777" w:rsidR="001C08A5" w:rsidRDefault="00000000">
            <w:pPr>
              <w:jc w:val="center"/>
              <w:rPr>
                <w:b/>
                <w:bCs/>
                <w:i/>
                <w:sz w:val="22"/>
                <w:szCs w:val="22"/>
              </w:rPr>
            </w:pPr>
            <w:r>
              <w:rPr>
                <w:b/>
                <w:bCs/>
                <w:i/>
                <w:sz w:val="22"/>
                <w:szCs w:val="22"/>
                <w:lang w:val="en-US" w:eastAsia="zh-CN" w:bidi="ar"/>
              </w:rPr>
              <w:t>Clădire parter</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533F7B0" w14:textId="77777777" w:rsidR="001C08A5" w:rsidRDefault="00000000">
            <w:pPr>
              <w:jc w:val="center"/>
              <w:rPr>
                <w:b/>
                <w:bCs/>
                <w:i/>
                <w:sz w:val="22"/>
                <w:szCs w:val="22"/>
              </w:rPr>
            </w:pPr>
            <w:r>
              <w:rPr>
                <w:b/>
                <w:bCs/>
                <w:i/>
                <w:sz w:val="22"/>
                <w:szCs w:val="22"/>
                <w:lang w:val="en-US" w:eastAsia="zh-CN" w:bidi="ar"/>
              </w:rPr>
              <w:t>Clădire cu două niveluri</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5B1E725" w14:textId="77777777" w:rsidR="001C08A5" w:rsidRDefault="00000000">
            <w:pPr>
              <w:jc w:val="center"/>
              <w:rPr>
                <w:b/>
                <w:bCs/>
                <w:i/>
                <w:sz w:val="22"/>
                <w:szCs w:val="22"/>
              </w:rPr>
            </w:pPr>
            <w:r>
              <w:rPr>
                <w:b/>
                <w:bCs/>
                <w:i/>
                <w:sz w:val="22"/>
                <w:szCs w:val="22"/>
                <w:lang w:val="en-US" w:eastAsia="zh-CN" w:bidi="ar"/>
              </w:rPr>
              <w:t>Clădire cu trei sau mai multe niveluri</w:t>
            </w:r>
          </w:p>
        </w:tc>
      </w:tr>
      <w:tr w:rsidR="001C08A5" w14:paraId="09A13E60" w14:textId="77777777">
        <w:trPr>
          <w:trHeight w:val="345"/>
          <w:jc w:val="center"/>
        </w:trPr>
        <w:tc>
          <w:tcPr>
            <w:tcW w:w="799"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DAE6005" w14:textId="77777777" w:rsidR="001C08A5" w:rsidRDefault="00000000">
            <w:pPr>
              <w:jc w:val="center"/>
              <w:rPr>
                <w:b/>
                <w:bCs/>
                <w:i/>
                <w:sz w:val="22"/>
                <w:szCs w:val="22"/>
              </w:rPr>
            </w:pPr>
            <w:r>
              <w:rPr>
                <w:b/>
                <w:bCs/>
                <w:i/>
                <w:sz w:val="22"/>
                <w:szCs w:val="22"/>
                <w:lang w:val="en-US" w:eastAsia="zh-CN" w:bidi="ar"/>
              </w:rPr>
              <w:t>0</w:t>
            </w: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5A67696" w14:textId="77777777" w:rsidR="001C08A5" w:rsidRDefault="00000000">
            <w:pPr>
              <w:jc w:val="center"/>
              <w:rPr>
                <w:b/>
                <w:bCs/>
                <w:i/>
                <w:sz w:val="22"/>
                <w:szCs w:val="22"/>
              </w:rPr>
            </w:pPr>
            <w:r>
              <w:rPr>
                <w:b/>
                <w:bCs/>
                <w:i/>
                <w:sz w:val="22"/>
                <w:szCs w:val="22"/>
                <w:lang w:val="en-US" w:eastAsia="zh-CN" w:bidi="ar"/>
              </w:rPr>
              <w:t>1</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E201901" w14:textId="77777777" w:rsidR="001C08A5" w:rsidRDefault="00000000">
            <w:pPr>
              <w:jc w:val="center"/>
              <w:rPr>
                <w:b/>
                <w:bCs/>
                <w:i/>
                <w:sz w:val="22"/>
                <w:szCs w:val="22"/>
              </w:rPr>
            </w:pPr>
            <w:r>
              <w:rPr>
                <w:b/>
                <w:bCs/>
                <w:i/>
                <w:sz w:val="22"/>
                <w:szCs w:val="22"/>
                <w:lang w:val="en-US" w:eastAsia="zh-CN" w:bidi="ar"/>
              </w:rPr>
              <w:t>2</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06C2443" w14:textId="77777777" w:rsidR="001C08A5" w:rsidRDefault="00000000">
            <w:pPr>
              <w:jc w:val="center"/>
              <w:rPr>
                <w:b/>
                <w:bCs/>
                <w:i/>
                <w:sz w:val="22"/>
                <w:szCs w:val="22"/>
              </w:rPr>
            </w:pPr>
            <w:r>
              <w:rPr>
                <w:b/>
                <w:bCs/>
                <w:i/>
                <w:sz w:val="22"/>
                <w:szCs w:val="22"/>
                <w:lang w:val="en-US" w:eastAsia="zh-CN" w:bidi="ar"/>
              </w:rPr>
              <w:t>3</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FB80392" w14:textId="77777777" w:rsidR="001C08A5" w:rsidRDefault="00000000">
            <w:pPr>
              <w:jc w:val="center"/>
              <w:rPr>
                <w:b/>
                <w:bCs/>
                <w:i/>
                <w:sz w:val="22"/>
                <w:szCs w:val="22"/>
              </w:rPr>
            </w:pPr>
            <w:r>
              <w:rPr>
                <w:b/>
                <w:bCs/>
                <w:i/>
                <w:sz w:val="22"/>
                <w:szCs w:val="22"/>
                <w:lang w:val="en-US" w:eastAsia="zh-CN" w:bidi="ar"/>
              </w:rPr>
              <w:t>4</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16DBABA" w14:textId="77777777" w:rsidR="001C08A5" w:rsidRDefault="00000000">
            <w:pPr>
              <w:jc w:val="center"/>
              <w:rPr>
                <w:b/>
                <w:bCs/>
                <w:i/>
                <w:sz w:val="22"/>
                <w:szCs w:val="22"/>
              </w:rPr>
            </w:pPr>
            <w:r>
              <w:rPr>
                <w:b/>
                <w:bCs/>
                <w:i/>
                <w:sz w:val="22"/>
                <w:szCs w:val="22"/>
                <w:lang w:val="en-US" w:eastAsia="zh-CN" w:bidi="ar"/>
              </w:rPr>
              <w:t>5</w:t>
            </w:r>
          </w:p>
        </w:tc>
      </w:tr>
      <w:tr w:rsidR="001C08A5" w14:paraId="6B493B79" w14:textId="77777777">
        <w:trPr>
          <w:trHeight w:val="555"/>
          <w:jc w:val="center"/>
        </w:trPr>
        <w:tc>
          <w:tcPr>
            <w:tcW w:w="799"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9E2A353" w14:textId="77777777" w:rsidR="001C08A5" w:rsidRDefault="00000000">
            <w:pPr>
              <w:jc w:val="center"/>
              <w:rPr>
                <w:b/>
                <w:bCs/>
                <w:i/>
                <w:sz w:val="22"/>
                <w:szCs w:val="22"/>
              </w:rPr>
            </w:pPr>
            <w:r>
              <w:rPr>
                <w:b/>
                <w:bCs/>
                <w:i/>
                <w:sz w:val="22"/>
                <w:szCs w:val="22"/>
                <w:lang w:val="en-US" w:eastAsia="zh-CN" w:bidi="ar"/>
              </w:rPr>
              <w:t>A, B (BE3ab)</w:t>
            </w: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6A04E57" w14:textId="77777777" w:rsidR="001C08A5" w:rsidRDefault="00000000">
            <w:pPr>
              <w:jc w:val="center"/>
              <w:rPr>
                <w:b/>
                <w:bCs/>
                <w:i/>
                <w:sz w:val="22"/>
                <w:szCs w:val="22"/>
              </w:rPr>
            </w:pPr>
            <w:r>
              <w:rPr>
                <w:b/>
                <w:bCs/>
                <w:i/>
                <w:sz w:val="22"/>
                <w:szCs w:val="22"/>
                <w:lang w:val="en-US" w:eastAsia="zh-CN" w:bidi="ar"/>
              </w:rPr>
              <w:t>I-II</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EEA395E" w14:textId="77777777" w:rsidR="001C08A5" w:rsidRDefault="00000000">
            <w:pPr>
              <w:jc w:val="center"/>
              <w:rPr>
                <w:b/>
                <w:bCs/>
                <w:i/>
                <w:sz w:val="22"/>
                <w:szCs w:val="22"/>
              </w:rPr>
            </w:pPr>
            <w:r>
              <w:rPr>
                <w:b/>
                <w:bCs/>
                <w:i/>
                <w:sz w:val="22"/>
                <w:szCs w:val="22"/>
                <w:lang w:val="en-US" w:eastAsia="zh-CN" w:bidi="ar"/>
              </w:rPr>
              <w:t>6</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AA7BC37" w14:textId="77777777" w:rsidR="001C08A5" w:rsidRDefault="00000000">
            <w:pPr>
              <w:jc w:val="center"/>
              <w:rPr>
                <w:b/>
                <w:bCs/>
                <w:i/>
                <w:sz w:val="22"/>
                <w:szCs w:val="22"/>
              </w:rPr>
            </w:pPr>
            <w:r>
              <w:rPr>
                <w:b/>
                <w:bCs/>
                <w:i/>
                <w:sz w:val="22"/>
                <w:szCs w:val="22"/>
                <w:lang w:val="en-US" w:eastAsia="zh-CN" w:bidi="ar"/>
              </w:rPr>
              <w:t>nelimitat</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FEC677D" w14:textId="77777777" w:rsidR="001C08A5" w:rsidRDefault="00000000">
            <w:pPr>
              <w:jc w:val="center"/>
              <w:rPr>
                <w:b/>
                <w:bCs/>
                <w:i/>
                <w:sz w:val="22"/>
                <w:szCs w:val="22"/>
              </w:rPr>
            </w:pPr>
            <w:r>
              <w:rPr>
                <w:b/>
                <w:bCs/>
                <w:i/>
                <w:sz w:val="22"/>
                <w:szCs w:val="22"/>
                <w:lang w:val="en-US" w:eastAsia="zh-CN" w:bidi="ar"/>
              </w:rPr>
              <w:t>nelimitat</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B4B1A9F" w14:textId="77777777" w:rsidR="001C08A5" w:rsidRDefault="00000000">
            <w:pPr>
              <w:jc w:val="center"/>
              <w:rPr>
                <w:b/>
                <w:bCs/>
                <w:i/>
                <w:sz w:val="22"/>
                <w:szCs w:val="22"/>
              </w:rPr>
            </w:pPr>
            <w:r>
              <w:rPr>
                <w:b/>
                <w:bCs/>
                <w:i/>
                <w:sz w:val="22"/>
                <w:szCs w:val="22"/>
                <w:lang w:val="en-US" w:eastAsia="zh-CN" w:bidi="ar"/>
              </w:rPr>
              <w:t>nelimitat</w:t>
            </w:r>
          </w:p>
        </w:tc>
      </w:tr>
      <w:tr w:rsidR="001C08A5" w14:paraId="58E4EF9D" w14:textId="77777777">
        <w:trPr>
          <w:trHeight w:val="345"/>
          <w:jc w:val="center"/>
        </w:trPr>
        <w:tc>
          <w:tcPr>
            <w:tcW w:w="799"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37B7881" w14:textId="77777777" w:rsidR="001C08A5" w:rsidRDefault="00000000">
            <w:pPr>
              <w:jc w:val="center"/>
              <w:rPr>
                <w:b/>
                <w:bCs/>
                <w:i/>
                <w:sz w:val="22"/>
                <w:szCs w:val="22"/>
              </w:rPr>
            </w:pPr>
            <w:r>
              <w:rPr>
                <w:b/>
                <w:bCs/>
                <w:i/>
                <w:sz w:val="22"/>
                <w:szCs w:val="22"/>
                <w:lang w:val="en-US" w:eastAsia="zh-CN" w:bidi="ar"/>
              </w:rPr>
              <w:t>C (BE2)</w:t>
            </w: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2CAEE43" w14:textId="77777777" w:rsidR="001C08A5" w:rsidRDefault="00000000">
            <w:pPr>
              <w:jc w:val="center"/>
              <w:rPr>
                <w:b/>
                <w:bCs/>
                <w:i/>
                <w:sz w:val="22"/>
                <w:szCs w:val="22"/>
              </w:rPr>
            </w:pPr>
            <w:r>
              <w:rPr>
                <w:b/>
                <w:bCs/>
                <w:i/>
                <w:sz w:val="22"/>
                <w:szCs w:val="22"/>
                <w:lang w:val="en-US" w:eastAsia="zh-CN" w:bidi="ar"/>
              </w:rPr>
              <w:t>I</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E2374DB" w14:textId="77777777" w:rsidR="001C08A5" w:rsidRDefault="00000000">
            <w:pPr>
              <w:jc w:val="center"/>
              <w:rPr>
                <w:b/>
                <w:bCs/>
                <w:i/>
                <w:sz w:val="22"/>
                <w:szCs w:val="22"/>
              </w:rPr>
            </w:pPr>
            <w:r>
              <w:rPr>
                <w:b/>
                <w:bCs/>
                <w:i/>
                <w:sz w:val="22"/>
                <w:szCs w:val="22"/>
                <w:lang w:val="en-US" w:eastAsia="zh-CN" w:bidi="ar"/>
              </w:rPr>
              <w:t>nelimitat</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146BA58" w14:textId="77777777" w:rsidR="001C08A5" w:rsidRDefault="00000000">
            <w:pPr>
              <w:jc w:val="center"/>
              <w:rPr>
                <w:b/>
                <w:bCs/>
                <w:i/>
                <w:sz w:val="22"/>
                <w:szCs w:val="22"/>
              </w:rPr>
            </w:pPr>
            <w:r>
              <w:rPr>
                <w:b/>
                <w:bCs/>
                <w:i/>
                <w:sz w:val="22"/>
                <w:szCs w:val="22"/>
                <w:lang w:val="en-US" w:eastAsia="zh-CN" w:bidi="ar"/>
              </w:rPr>
              <w:t>nelimitat</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1679212" w14:textId="77777777" w:rsidR="001C08A5" w:rsidRDefault="00000000">
            <w:pPr>
              <w:jc w:val="center"/>
              <w:rPr>
                <w:b/>
                <w:bCs/>
                <w:i/>
                <w:sz w:val="22"/>
                <w:szCs w:val="22"/>
              </w:rPr>
            </w:pPr>
            <w:r>
              <w:rPr>
                <w:b/>
                <w:bCs/>
                <w:i/>
                <w:sz w:val="22"/>
                <w:szCs w:val="22"/>
                <w:lang w:val="en-US" w:eastAsia="zh-CN" w:bidi="ar"/>
              </w:rPr>
              <w:t>nelimitat</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D5B76B0" w14:textId="77777777" w:rsidR="001C08A5" w:rsidRDefault="00000000">
            <w:pPr>
              <w:jc w:val="center"/>
              <w:rPr>
                <w:b/>
                <w:bCs/>
                <w:i/>
                <w:sz w:val="22"/>
                <w:szCs w:val="22"/>
              </w:rPr>
            </w:pPr>
            <w:r>
              <w:rPr>
                <w:b/>
                <w:bCs/>
                <w:i/>
                <w:sz w:val="22"/>
                <w:szCs w:val="22"/>
                <w:lang w:val="en-US" w:eastAsia="zh-CN" w:bidi="ar"/>
              </w:rPr>
              <w:t>nelimitat</w:t>
            </w:r>
          </w:p>
        </w:tc>
      </w:tr>
      <w:tr w:rsidR="001C08A5" w14:paraId="0FF7F92B" w14:textId="77777777">
        <w:trPr>
          <w:trHeight w:val="34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1C94448"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14D6DBB" w14:textId="77777777" w:rsidR="001C08A5" w:rsidRDefault="00000000">
            <w:pPr>
              <w:jc w:val="center"/>
              <w:rPr>
                <w:b/>
                <w:bCs/>
                <w:i/>
                <w:sz w:val="22"/>
                <w:szCs w:val="22"/>
              </w:rPr>
            </w:pPr>
            <w:r>
              <w:rPr>
                <w:b/>
                <w:bCs/>
                <w:i/>
                <w:sz w:val="22"/>
                <w:szCs w:val="22"/>
                <w:lang w:val="en-US" w:eastAsia="zh-CN" w:bidi="ar"/>
              </w:rPr>
              <w:t>II</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2773DCF" w14:textId="77777777" w:rsidR="001C08A5" w:rsidRDefault="00000000">
            <w:pPr>
              <w:jc w:val="center"/>
              <w:rPr>
                <w:b/>
                <w:bCs/>
                <w:i/>
                <w:sz w:val="22"/>
                <w:szCs w:val="22"/>
              </w:rPr>
            </w:pPr>
            <w:r>
              <w:rPr>
                <w:b/>
                <w:bCs/>
                <w:i/>
                <w:sz w:val="22"/>
                <w:szCs w:val="22"/>
                <w:lang w:val="en-US" w:eastAsia="zh-CN" w:bidi="ar"/>
              </w:rPr>
              <w:t>6</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38ADB63" w14:textId="77777777" w:rsidR="001C08A5" w:rsidRDefault="00000000">
            <w:pPr>
              <w:jc w:val="center"/>
              <w:rPr>
                <w:b/>
                <w:bCs/>
                <w:i/>
                <w:sz w:val="22"/>
                <w:szCs w:val="22"/>
              </w:rPr>
            </w:pPr>
            <w:r>
              <w:rPr>
                <w:b/>
                <w:bCs/>
                <w:i/>
                <w:sz w:val="22"/>
                <w:szCs w:val="22"/>
                <w:lang w:val="en-US" w:eastAsia="zh-CN" w:bidi="ar"/>
              </w:rPr>
              <w:t>nelimitat</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10F11E3" w14:textId="77777777" w:rsidR="001C08A5" w:rsidRDefault="00000000">
            <w:pPr>
              <w:jc w:val="center"/>
              <w:rPr>
                <w:b/>
                <w:bCs/>
                <w:i/>
                <w:sz w:val="22"/>
                <w:szCs w:val="22"/>
              </w:rPr>
            </w:pPr>
            <w:r>
              <w:rPr>
                <w:b/>
                <w:bCs/>
                <w:i/>
                <w:sz w:val="22"/>
                <w:szCs w:val="22"/>
                <w:lang w:val="en-US" w:eastAsia="zh-CN" w:bidi="ar"/>
              </w:rPr>
              <w:t>11.700</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A2DF40A" w14:textId="77777777" w:rsidR="001C08A5" w:rsidRDefault="00000000">
            <w:pPr>
              <w:jc w:val="center"/>
              <w:rPr>
                <w:b/>
                <w:bCs/>
                <w:i/>
                <w:sz w:val="22"/>
                <w:szCs w:val="22"/>
              </w:rPr>
            </w:pPr>
            <w:r>
              <w:rPr>
                <w:b/>
                <w:bCs/>
                <w:i/>
                <w:sz w:val="22"/>
                <w:szCs w:val="22"/>
                <w:lang w:val="en-US" w:eastAsia="zh-CN" w:bidi="ar"/>
              </w:rPr>
              <w:t>7.800</w:t>
            </w:r>
          </w:p>
        </w:tc>
      </w:tr>
      <w:tr w:rsidR="001C08A5" w14:paraId="7EEC3009" w14:textId="77777777">
        <w:trPr>
          <w:trHeight w:val="34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71E9F91"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CDC5951" w14:textId="77777777" w:rsidR="001C08A5" w:rsidRDefault="00000000">
            <w:pPr>
              <w:jc w:val="center"/>
              <w:rPr>
                <w:b/>
                <w:bCs/>
                <w:i/>
                <w:sz w:val="22"/>
                <w:szCs w:val="22"/>
              </w:rPr>
            </w:pPr>
            <w:r>
              <w:rPr>
                <w:b/>
                <w:bCs/>
                <w:i/>
                <w:sz w:val="22"/>
                <w:szCs w:val="22"/>
                <w:lang w:val="en-US" w:eastAsia="zh-CN" w:bidi="ar"/>
              </w:rPr>
              <w:t>III</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C5B3186" w14:textId="77777777" w:rsidR="001C08A5" w:rsidRDefault="00000000">
            <w:pPr>
              <w:jc w:val="center"/>
              <w:rPr>
                <w:b/>
                <w:bCs/>
                <w:i/>
                <w:sz w:val="22"/>
                <w:szCs w:val="22"/>
              </w:rPr>
            </w:pPr>
            <w:r>
              <w:rPr>
                <w:b/>
                <w:bCs/>
                <w:i/>
                <w:sz w:val="22"/>
                <w:szCs w:val="22"/>
                <w:lang w:val="en-US" w:eastAsia="zh-CN" w:bidi="ar"/>
              </w:rPr>
              <w:t>3</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187A4E3" w14:textId="77777777" w:rsidR="001C08A5" w:rsidRDefault="00000000">
            <w:pPr>
              <w:jc w:val="center"/>
              <w:rPr>
                <w:b/>
                <w:bCs/>
                <w:i/>
                <w:sz w:val="22"/>
                <w:szCs w:val="22"/>
              </w:rPr>
            </w:pPr>
            <w:r>
              <w:rPr>
                <w:b/>
                <w:bCs/>
                <w:i/>
                <w:sz w:val="22"/>
                <w:szCs w:val="22"/>
                <w:lang w:val="en-US" w:eastAsia="zh-CN" w:bidi="ar"/>
              </w:rPr>
              <w:t>5.200</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BCD960B" w14:textId="77777777" w:rsidR="001C08A5" w:rsidRDefault="00000000">
            <w:pPr>
              <w:jc w:val="center"/>
              <w:rPr>
                <w:b/>
                <w:bCs/>
                <w:i/>
                <w:sz w:val="22"/>
                <w:szCs w:val="22"/>
              </w:rPr>
            </w:pPr>
            <w:r>
              <w:rPr>
                <w:b/>
                <w:bCs/>
                <w:i/>
                <w:sz w:val="22"/>
                <w:szCs w:val="22"/>
                <w:lang w:val="en-US" w:eastAsia="zh-CN" w:bidi="ar"/>
              </w:rPr>
              <w:t>3.500</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9020E52" w14:textId="77777777" w:rsidR="001C08A5" w:rsidRDefault="00000000">
            <w:pPr>
              <w:jc w:val="center"/>
              <w:rPr>
                <w:b/>
                <w:bCs/>
                <w:i/>
                <w:sz w:val="22"/>
                <w:szCs w:val="22"/>
              </w:rPr>
            </w:pPr>
            <w:r>
              <w:rPr>
                <w:b/>
                <w:bCs/>
                <w:i/>
                <w:sz w:val="22"/>
                <w:szCs w:val="22"/>
                <w:lang w:val="en-US" w:eastAsia="zh-CN" w:bidi="ar"/>
              </w:rPr>
              <w:t>2.600</w:t>
            </w:r>
          </w:p>
        </w:tc>
      </w:tr>
      <w:tr w:rsidR="001C08A5" w14:paraId="4B8FA645" w14:textId="77777777">
        <w:trPr>
          <w:trHeight w:val="34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5FBB7B7"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4C3B76D" w14:textId="77777777" w:rsidR="001C08A5" w:rsidRDefault="00000000">
            <w:pPr>
              <w:jc w:val="center"/>
              <w:rPr>
                <w:b/>
                <w:bCs/>
                <w:i/>
                <w:sz w:val="22"/>
                <w:szCs w:val="22"/>
              </w:rPr>
            </w:pPr>
            <w:r>
              <w:rPr>
                <w:b/>
                <w:bCs/>
                <w:i/>
                <w:sz w:val="22"/>
                <w:szCs w:val="22"/>
                <w:lang w:val="en-US" w:eastAsia="zh-CN" w:bidi="ar"/>
              </w:rPr>
              <w:t>IV</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360C988" w14:textId="77777777" w:rsidR="001C08A5" w:rsidRDefault="00000000">
            <w:pPr>
              <w:jc w:val="center"/>
              <w:rPr>
                <w:b/>
                <w:bCs/>
                <w:i/>
                <w:sz w:val="22"/>
                <w:szCs w:val="22"/>
              </w:rPr>
            </w:pPr>
            <w:r>
              <w:rPr>
                <w:b/>
                <w:bCs/>
                <w:i/>
                <w:sz w:val="22"/>
                <w:szCs w:val="22"/>
                <w:lang w:val="en-US" w:eastAsia="zh-CN" w:bidi="ar"/>
              </w:rPr>
              <w:t>2</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32046B0" w14:textId="77777777" w:rsidR="001C08A5" w:rsidRDefault="00000000">
            <w:pPr>
              <w:jc w:val="center"/>
              <w:rPr>
                <w:b/>
                <w:bCs/>
                <w:i/>
                <w:sz w:val="22"/>
                <w:szCs w:val="22"/>
              </w:rPr>
            </w:pPr>
            <w:r>
              <w:rPr>
                <w:b/>
                <w:bCs/>
                <w:i/>
                <w:sz w:val="22"/>
                <w:szCs w:val="22"/>
                <w:lang w:val="en-US" w:eastAsia="zh-CN" w:bidi="ar"/>
              </w:rPr>
              <w:t>2.800</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844B770" w14:textId="77777777" w:rsidR="001C08A5" w:rsidRDefault="00000000">
            <w:pPr>
              <w:jc w:val="center"/>
              <w:rPr>
                <w:b/>
                <w:bCs/>
                <w:i/>
                <w:sz w:val="22"/>
                <w:szCs w:val="22"/>
              </w:rPr>
            </w:pPr>
            <w:r>
              <w:rPr>
                <w:b/>
                <w:bCs/>
                <w:i/>
                <w:sz w:val="22"/>
                <w:szCs w:val="22"/>
                <w:lang w:val="en-US" w:eastAsia="zh-CN" w:bidi="ar"/>
              </w:rPr>
              <w:t>2.000</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F3E13F0" w14:textId="77777777" w:rsidR="001C08A5" w:rsidRDefault="00000000">
            <w:pPr>
              <w:jc w:val="center"/>
              <w:rPr>
                <w:b/>
                <w:bCs/>
                <w:i/>
                <w:sz w:val="22"/>
                <w:szCs w:val="22"/>
              </w:rPr>
            </w:pPr>
            <w:r>
              <w:rPr>
                <w:b/>
                <w:bCs/>
                <w:i/>
                <w:sz w:val="22"/>
                <w:szCs w:val="22"/>
                <w:lang w:val="en-US" w:eastAsia="zh-CN" w:bidi="ar"/>
              </w:rPr>
              <w:t>nu se admit</w:t>
            </w:r>
          </w:p>
        </w:tc>
      </w:tr>
      <w:tr w:rsidR="001C08A5" w14:paraId="0B815835" w14:textId="77777777">
        <w:trPr>
          <w:trHeight w:val="34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0EA74DD"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D922D49" w14:textId="77777777" w:rsidR="001C08A5" w:rsidRDefault="00000000">
            <w:pPr>
              <w:jc w:val="center"/>
              <w:rPr>
                <w:b/>
                <w:bCs/>
                <w:i/>
                <w:sz w:val="22"/>
                <w:szCs w:val="22"/>
              </w:rPr>
            </w:pPr>
            <w:r>
              <w:rPr>
                <w:b/>
                <w:bCs/>
                <w:i/>
                <w:sz w:val="22"/>
                <w:szCs w:val="22"/>
                <w:lang w:val="en-US" w:eastAsia="zh-CN" w:bidi="ar"/>
              </w:rPr>
              <w:t>V</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BE00BAF" w14:textId="77777777" w:rsidR="001C08A5" w:rsidRDefault="00000000">
            <w:pPr>
              <w:jc w:val="center"/>
              <w:rPr>
                <w:b/>
                <w:bCs/>
                <w:i/>
                <w:sz w:val="22"/>
                <w:szCs w:val="22"/>
              </w:rPr>
            </w:pPr>
            <w:r>
              <w:rPr>
                <w:b/>
                <w:bCs/>
                <w:i/>
                <w:sz w:val="22"/>
                <w:szCs w:val="22"/>
                <w:lang w:val="en-US" w:eastAsia="zh-CN" w:bidi="ar"/>
              </w:rPr>
              <w:t>1</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D2CFAF6" w14:textId="77777777" w:rsidR="001C08A5" w:rsidRDefault="00000000">
            <w:pPr>
              <w:jc w:val="center"/>
              <w:rPr>
                <w:b/>
                <w:bCs/>
                <w:i/>
                <w:sz w:val="22"/>
                <w:szCs w:val="22"/>
              </w:rPr>
            </w:pPr>
            <w:r>
              <w:rPr>
                <w:b/>
                <w:bCs/>
                <w:i/>
                <w:sz w:val="22"/>
                <w:szCs w:val="22"/>
                <w:lang w:val="en-US" w:eastAsia="zh-CN" w:bidi="ar"/>
              </w:rPr>
              <w:t>1.200</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1A486A9" w14:textId="77777777" w:rsidR="001C08A5" w:rsidRDefault="00000000">
            <w:pPr>
              <w:jc w:val="center"/>
              <w:rPr>
                <w:b/>
                <w:bCs/>
                <w:i/>
                <w:sz w:val="22"/>
                <w:szCs w:val="22"/>
              </w:rPr>
            </w:pPr>
            <w:r>
              <w:rPr>
                <w:b/>
                <w:bCs/>
                <w:i/>
                <w:sz w:val="22"/>
                <w:szCs w:val="22"/>
                <w:lang w:val="en-US" w:eastAsia="zh-CN" w:bidi="ar"/>
              </w:rPr>
              <w:t>nu se admit</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FCECC53" w14:textId="77777777" w:rsidR="001C08A5" w:rsidRDefault="00000000">
            <w:pPr>
              <w:jc w:val="center"/>
              <w:rPr>
                <w:b/>
                <w:bCs/>
                <w:i/>
                <w:sz w:val="22"/>
                <w:szCs w:val="22"/>
              </w:rPr>
            </w:pPr>
            <w:r>
              <w:rPr>
                <w:b/>
                <w:bCs/>
                <w:i/>
                <w:sz w:val="22"/>
                <w:szCs w:val="22"/>
                <w:lang w:val="en-US" w:eastAsia="zh-CN" w:bidi="ar"/>
              </w:rPr>
              <w:t>nu se admit</w:t>
            </w:r>
          </w:p>
        </w:tc>
      </w:tr>
      <w:tr w:rsidR="001C08A5" w14:paraId="7A637AC2" w14:textId="77777777">
        <w:trPr>
          <w:trHeight w:val="345"/>
          <w:jc w:val="center"/>
        </w:trPr>
        <w:tc>
          <w:tcPr>
            <w:tcW w:w="799"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C21AABD" w14:textId="77777777" w:rsidR="001C08A5" w:rsidRDefault="00000000">
            <w:pPr>
              <w:jc w:val="center"/>
              <w:rPr>
                <w:b/>
                <w:bCs/>
                <w:i/>
                <w:sz w:val="22"/>
                <w:szCs w:val="22"/>
              </w:rPr>
            </w:pPr>
            <w:r>
              <w:rPr>
                <w:b/>
                <w:bCs/>
                <w:i/>
                <w:sz w:val="22"/>
                <w:szCs w:val="22"/>
                <w:lang w:val="en-US" w:eastAsia="zh-CN" w:bidi="ar"/>
              </w:rPr>
              <w:t>D (BE1a)</w:t>
            </w: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2A00B6C" w14:textId="77777777" w:rsidR="001C08A5" w:rsidRDefault="00000000">
            <w:pPr>
              <w:jc w:val="center"/>
              <w:rPr>
                <w:b/>
                <w:bCs/>
                <w:i/>
                <w:sz w:val="22"/>
                <w:szCs w:val="22"/>
              </w:rPr>
            </w:pPr>
            <w:r>
              <w:rPr>
                <w:b/>
                <w:bCs/>
                <w:i/>
                <w:sz w:val="22"/>
                <w:szCs w:val="22"/>
                <w:lang w:val="en-US" w:eastAsia="zh-CN" w:bidi="ar"/>
              </w:rPr>
              <w:t>I-II</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0E30454" w14:textId="77777777" w:rsidR="001C08A5" w:rsidRDefault="00000000">
            <w:pPr>
              <w:jc w:val="center"/>
              <w:rPr>
                <w:b/>
                <w:bCs/>
                <w:i/>
                <w:sz w:val="22"/>
                <w:szCs w:val="22"/>
              </w:rPr>
            </w:pPr>
            <w:r>
              <w:rPr>
                <w:b/>
                <w:bCs/>
                <w:i/>
                <w:sz w:val="22"/>
                <w:szCs w:val="22"/>
                <w:lang w:val="en-US" w:eastAsia="zh-CN" w:bidi="ar"/>
              </w:rPr>
              <w:t>nelimitat</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029D90A" w14:textId="77777777" w:rsidR="001C08A5" w:rsidRDefault="00000000">
            <w:pPr>
              <w:jc w:val="center"/>
              <w:rPr>
                <w:b/>
                <w:bCs/>
                <w:i/>
                <w:sz w:val="22"/>
                <w:szCs w:val="22"/>
              </w:rPr>
            </w:pPr>
            <w:r>
              <w:rPr>
                <w:b/>
                <w:bCs/>
                <w:i/>
                <w:sz w:val="22"/>
                <w:szCs w:val="22"/>
                <w:lang w:val="en-US" w:eastAsia="zh-CN" w:bidi="ar"/>
              </w:rPr>
              <w:t>nelimitat</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0783C42" w14:textId="77777777" w:rsidR="001C08A5" w:rsidRDefault="00000000">
            <w:pPr>
              <w:jc w:val="center"/>
              <w:rPr>
                <w:b/>
                <w:bCs/>
                <w:i/>
                <w:sz w:val="22"/>
                <w:szCs w:val="22"/>
              </w:rPr>
            </w:pPr>
            <w:r>
              <w:rPr>
                <w:b/>
                <w:bCs/>
                <w:i/>
                <w:sz w:val="22"/>
                <w:szCs w:val="22"/>
                <w:lang w:val="en-US" w:eastAsia="zh-CN" w:bidi="ar"/>
              </w:rPr>
              <w:t>nelimitat</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FAC91D5" w14:textId="77777777" w:rsidR="001C08A5" w:rsidRDefault="00000000">
            <w:pPr>
              <w:jc w:val="center"/>
              <w:rPr>
                <w:b/>
                <w:bCs/>
                <w:i/>
                <w:sz w:val="22"/>
                <w:szCs w:val="22"/>
              </w:rPr>
            </w:pPr>
            <w:r>
              <w:rPr>
                <w:b/>
                <w:bCs/>
                <w:i/>
                <w:sz w:val="22"/>
                <w:szCs w:val="22"/>
                <w:lang w:val="en-US" w:eastAsia="zh-CN" w:bidi="ar"/>
              </w:rPr>
              <w:t>nelimitat</w:t>
            </w:r>
          </w:p>
        </w:tc>
      </w:tr>
      <w:tr w:rsidR="001C08A5" w14:paraId="1552D53C" w14:textId="77777777">
        <w:trPr>
          <w:trHeight w:val="34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5695145"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45FBA61" w14:textId="77777777" w:rsidR="001C08A5" w:rsidRDefault="00000000">
            <w:pPr>
              <w:jc w:val="center"/>
              <w:rPr>
                <w:b/>
                <w:bCs/>
                <w:i/>
                <w:sz w:val="22"/>
                <w:szCs w:val="22"/>
              </w:rPr>
            </w:pPr>
            <w:r>
              <w:rPr>
                <w:b/>
                <w:bCs/>
                <w:i/>
                <w:sz w:val="22"/>
                <w:szCs w:val="22"/>
                <w:lang w:val="en-US" w:eastAsia="zh-CN" w:bidi="ar"/>
              </w:rPr>
              <w:t>III</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77DEDD0" w14:textId="77777777" w:rsidR="001C08A5" w:rsidRDefault="00000000">
            <w:pPr>
              <w:jc w:val="center"/>
              <w:rPr>
                <w:b/>
                <w:bCs/>
                <w:i/>
                <w:sz w:val="22"/>
                <w:szCs w:val="22"/>
              </w:rPr>
            </w:pPr>
            <w:r>
              <w:rPr>
                <w:b/>
                <w:bCs/>
                <w:i/>
                <w:sz w:val="22"/>
                <w:szCs w:val="22"/>
                <w:lang w:val="en-US" w:eastAsia="zh-CN" w:bidi="ar"/>
              </w:rPr>
              <w:t>3</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518FE7C" w14:textId="77777777" w:rsidR="001C08A5" w:rsidRDefault="00000000">
            <w:pPr>
              <w:jc w:val="center"/>
              <w:rPr>
                <w:b/>
                <w:bCs/>
                <w:i/>
                <w:sz w:val="22"/>
                <w:szCs w:val="22"/>
              </w:rPr>
            </w:pPr>
            <w:r>
              <w:rPr>
                <w:b/>
                <w:bCs/>
                <w:i/>
                <w:sz w:val="22"/>
                <w:szCs w:val="22"/>
                <w:lang w:val="en-US" w:eastAsia="zh-CN" w:bidi="ar"/>
              </w:rPr>
              <w:t>6.500</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AE79E2F" w14:textId="77777777" w:rsidR="001C08A5" w:rsidRDefault="00000000">
            <w:pPr>
              <w:jc w:val="center"/>
              <w:rPr>
                <w:b/>
                <w:bCs/>
                <w:i/>
                <w:sz w:val="22"/>
                <w:szCs w:val="22"/>
              </w:rPr>
            </w:pPr>
            <w:r>
              <w:rPr>
                <w:b/>
                <w:bCs/>
                <w:i/>
                <w:sz w:val="22"/>
                <w:szCs w:val="22"/>
                <w:lang w:val="en-US" w:eastAsia="zh-CN" w:bidi="ar"/>
              </w:rPr>
              <w:t>5.200</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2AC4153" w14:textId="77777777" w:rsidR="001C08A5" w:rsidRDefault="00000000">
            <w:pPr>
              <w:jc w:val="center"/>
              <w:rPr>
                <w:b/>
                <w:bCs/>
                <w:i/>
                <w:sz w:val="22"/>
                <w:szCs w:val="22"/>
              </w:rPr>
            </w:pPr>
            <w:r>
              <w:rPr>
                <w:b/>
                <w:bCs/>
                <w:i/>
                <w:sz w:val="22"/>
                <w:szCs w:val="22"/>
                <w:lang w:val="en-US" w:eastAsia="zh-CN" w:bidi="ar"/>
              </w:rPr>
              <w:t>3.500</w:t>
            </w:r>
          </w:p>
        </w:tc>
      </w:tr>
      <w:tr w:rsidR="001C08A5" w14:paraId="61D47B7C" w14:textId="77777777">
        <w:trPr>
          <w:trHeight w:val="34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5CB2E99"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EC76836" w14:textId="77777777" w:rsidR="001C08A5" w:rsidRDefault="00000000">
            <w:pPr>
              <w:jc w:val="center"/>
              <w:rPr>
                <w:b/>
                <w:bCs/>
                <w:i/>
                <w:sz w:val="22"/>
                <w:szCs w:val="22"/>
              </w:rPr>
            </w:pPr>
            <w:r>
              <w:rPr>
                <w:b/>
                <w:bCs/>
                <w:i/>
                <w:sz w:val="22"/>
                <w:szCs w:val="22"/>
                <w:lang w:val="en-US" w:eastAsia="zh-CN" w:bidi="ar"/>
              </w:rPr>
              <w:t>IV</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2F5EE81" w14:textId="77777777" w:rsidR="001C08A5" w:rsidRDefault="00000000">
            <w:pPr>
              <w:jc w:val="center"/>
              <w:rPr>
                <w:b/>
                <w:bCs/>
                <w:i/>
                <w:sz w:val="22"/>
                <w:szCs w:val="22"/>
              </w:rPr>
            </w:pPr>
            <w:r>
              <w:rPr>
                <w:b/>
                <w:bCs/>
                <w:i/>
                <w:sz w:val="22"/>
                <w:szCs w:val="22"/>
                <w:lang w:val="en-US" w:eastAsia="zh-CN" w:bidi="ar"/>
              </w:rPr>
              <w:t>2</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FCBB3AF" w14:textId="77777777" w:rsidR="001C08A5" w:rsidRDefault="00000000">
            <w:pPr>
              <w:jc w:val="center"/>
              <w:rPr>
                <w:b/>
                <w:bCs/>
                <w:i/>
                <w:sz w:val="22"/>
                <w:szCs w:val="22"/>
              </w:rPr>
            </w:pPr>
            <w:r>
              <w:rPr>
                <w:b/>
                <w:bCs/>
                <w:i/>
                <w:sz w:val="22"/>
                <w:szCs w:val="22"/>
                <w:lang w:val="en-US" w:eastAsia="zh-CN" w:bidi="ar"/>
              </w:rPr>
              <w:t>3.500</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4B94532" w14:textId="77777777" w:rsidR="001C08A5" w:rsidRDefault="00000000">
            <w:pPr>
              <w:jc w:val="center"/>
              <w:rPr>
                <w:b/>
                <w:bCs/>
                <w:i/>
                <w:sz w:val="22"/>
                <w:szCs w:val="22"/>
              </w:rPr>
            </w:pPr>
            <w:r>
              <w:rPr>
                <w:b/>
                <w:bCs/>
                <w:i/>
                <w:sz w:val="22"/>
                <w:szCs w:val="22"/>
                <w:lang w:val="en-US" w:eastAsia="zh-CN" w:bidi="ar"/>
              </w:rPr>
              <w:t>2.600</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2A07C7D" w14:textId="77777777" w:rsidR="001C08A5" w:rsidRDefault="00000000">
            <w:pPr>
              <w:jc w:val="center"/>
              <w:rPr>
                <w:b/>
                <w:bCs/>
                <w:i/>
                <w:sz w:val="22"/>
                <w:szCs w:val="22"/>
              </w:rPr>
            </w:pPr>
            <w:r>
              <w:rPr>
                <w:b/>
                <w:bCs/>
                <w:i/>
                <w:sz w:val="22"/>
                <w:szCs w:val="22"/>
                <w:lang w:val="en-US" w:eastAsia="zh-CN" w:bidi="ar"/>
              </w:rPr>
              <w:t>nu se admit</w:t>
            </w:r>
          </w:p>
        </w:tc>
      </w:tr>
      <w:tr w:rsidR="001C08A5" w14:paraId="69E9F2B0" w14:textId="77777777">
        <w:trPr>
          <w:trHeight w:val="34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F92271B"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4F3063C" w14:textId="77777777" w:rsidR="001C08A5" w:rsidRDefault="00000000">
            <w:pPr>
              <w:jc w:val="center"/>
              <w:rPr>
                <w:b/>
                <w:bCs/>
                <w:i/>
                <w:sz w:val="22"/>
                <w:szCs w:val="22"/>
              </w:rPr>
            </w:pPr>
            <w:r>
              <w:rPr>
                <w:b/>
                <w:bCs/>
                <w:i/>
                <w:sz w:val="22"/>
                <w:szCs w:val="22"/>
                <w:lang w:val="en-US" w:eastAsia="zh-CN" w:bidi="ar"/>
              </w:rPr>
              <w:t>V</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A42F3F4" w14:textId="77777777" w:rsidR="001C08A5" w:rsidRDefault="00000000">
            <w:pPr>
              <w:jc w:val="center"/>
              <w:rPr>
                <w:b/>
                <w:bCs/>
                <w:i/>
                <w:sz w:val="22"/>
                <w:szCs w:val="22"/>
              </w:rPr>
            </w:pPr>
            <w:r>
              <w:rPr>
                <w:b/>
                <w:bCs/>
                <w:i/>
                <w:sz w:val="22"/>
                <w:szCs w:val="22"/>
                <w:lang w:val="en-US" w:eastAsia="zh-CN" w:bidi="ar"/>
              </w:rPr>
              <w:t>1</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595AE69" w14:textId="77777777" w:rsidR="001C08A5" w:rsidRDefault="00000000">
            <w:pPr>
              <w:jc w:val="center"/>
              <w:rPr>
                <w:b/>
                <w:bCs/>
                <w:i/>
                <w:sz w:val="22"/>
                <w:szCs w:val="22"/>
              </w:rPr>
            </w:pPr>
            <w:r>
              <w:rPr>
                <w:b/>
                <w:bCs/>
                <w:i/>
                <w:sz w:val="22"/>
                <w:szCs w:val="22"/>
                <w:lang w:val="en-US" w:eastAsia="zh-CN" w:bidi="ar"/>
              </w:rPr>
              <w:t>1.500</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A50B2A8" w14:textId="77777777" w:rsidR="001C08A5" w:rsidRDefault="00000000">
            <w:pPr>
              <w:jc w:val="center"/>
              <w:rPr>
                <w:b/>
                <w:bCs/>
                <w:i/>
                <w:sz w:val="22"/>
                <w:szCs w:val="22"/>
              </w:rPr>
            </w:pPr>
            <w:r>
              <w:rPr>
                <w:b/>
                <w:bCs/>
                <w:i/>
                <w:sz w:val="22"/>
                <w:szCs w:val="22"/>
                <w:lang w:val="en-US" w:eastAsia="zh-CN" w:bidi="ar"/>
              </w:rPr>
              <w:t>nu se admit</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4E2BFEE" w14:textId="77777777" w:rsidR="001C08A5" w:rsidRDefault="00000000">
            <w:pPr>
              <w:jc w:val="center"/>
              <w:rPr>
                <w:b/>
                <w:bCs/>
                <w:i/>
                <w:sz w:val="22"/>
                <w:szCs w:val="22"/>
              </w:rPr>
            </w:pPr>
            <w:r>
              <w:rPr>
                <w:b/>
                <w:bCs/>
                <w:i/>
                <w:sz w:val="22"/>
                <w:szCs w:val="22"/>
                <w:lang w:val="en-US" w:eastAsia="zh-CN" w:bidi="ar"/>
              </w:rPr>
              <w:t>nu se admit</w:t>
            </w:r>
          </w:p>
        </w:tc>
      </w:tr>
      <w:tr w:rsidR="001C08A5" w14:paraId="455555DA" w14:textId="77777777">
        <w:trPr>
          <w:trHeight w:val="345"/>
          <w:jc w:val="center"/>
        </w:trPr>
        <w:tc>
          <w:tcPr>
            <w:tcW w:w="799"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F1032FD" w14:textId="77777777" w:rsidR="001C08A5" w:rsidRDefault="00000000">
            <w:pPr>
              <w:jc w:val="center"/>
              <w:rPr>
                <w:b/>
                <w:bCs/>
                <w:i/>
                <w:sz w:val="22"/>
                <w:szCs w:val="22"/>
              </w:rPr>
            </w:pPr>
            <w:r>
              <w:rPr>
                <w:b/>
                <w:bCs/>
                <w:i/>
                <w:sz w:val="22"/>
                <w:szCs w:val="22"/>
                <w:lang w:val="en-US" w:eastAsia="zh-CN" w:bidi="ar"/>
              </w:rPr>
              <w:t>E (BE1b)</w:t>
            </w: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B80E0B6" w14:textId="77777777" w:rsidR="001C08A5" w:rsidRDefault="00000000">
            <w:pPr>
              <w:jc w:val="center"/>
              <w:rPr>
                <w:b/>
                <w:bCs/>
                <w:i/>
                <w:sz w:val="22"/>
                <w:szCs w:val="22"/>
              </w:rPr>
            </w:pPr>
            <w:r>
              <w:rPr>
                <w:b/>
                <w:bCs/>
                <w:i/>
                <w:sz w:val="22"/>
                <w:szCs w:val="22"/>
                <w:lang w:val="en-US" w:eastAsia="zh-CN" w:bidi="ar"/>
              </w:rPr>
              <w:t>I-II</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A3986EC" w14:textId="77777777" w:rsidR="001C08A5" w:rsidRDefault="00000000">
            <w:pPr>
              <w:jc w:val="center"/>
              <w:rPr>
                <w:b/>
                <w:bCs/>
                <w:i/>
                <w:sz w:val="22"/>
                <w:szCs w:val="22"/>
              </w:rPr>
            </w:pPr>
            <w:r>
              <w:rPr>
                <w:b/>
                <w:bCs/>
                <w:i/>
                <w:sz w:val="22"/>
                <w:szCs w:val="22"/>
                <w:lang w:val="en-US" w:eastAsia="zh-CN" w:bidi="ar"/>
              </w:rPr>
              <w:t>nelimitat</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BF9FFA5" w14:textId="77777777" w:rsidR="001C08A5" w:rsidRDefault="00000000">
            <w:pPr>
              <w:jc w:val="center"/>
              <w:rPr>
                <w:b/>
                <w:bCs/>
                <w:i/>
                <w:sz w:val="22"/>
                <w:szCs w:val="22"/>
              </w:rPr>
            </w:pPr>
            <w:r>
              <w:rPr>
                <w:b/>
                <w:bCs/>
                <w:i/>
                <w:sz w:val="22"/>
                <w:szCs w:val="22"/>
                <w:lang w:val="en-US" w:eastAsia="zh-CN" w:bidi="ar"/>
              </w:rPr>
              <w:t>nelimitat</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0D15D11" w14:textId="77777777" w:rsidR="001C08A5" w:rsidRDefault="00000000">
            <w:pPr>
              <w:jc w:val="center"/>
              <w:rPr>
                <w:b/>
                <w:bCs/>
                <w:i/>
                <w:sz w:val="22"/>
                <w:szCs w:val="22"/>
              </w:rPr>
            </w:pPr>
            <w:r>
              <w:rPr>
                <w:b/>
                <w:bCs/>
                <w:i/>
                <w:sz w:val="22"/>
                <w:szCs w:val="22"/>
                <w:lang w:val="en-US" w:eastAsia="zh-CN" w:bidi="ar"/>
              </w:rPr>
              <w:t>nu se admit</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AEC4665" w14:textId="77777777" w:rsidR="001C08A5" w:rsidRDefault="00000000">
            <w:pPr>
              <w:jc w:val="center"/>
              <w:rPr>
                <w:b/>
                <w:bCs/>
                <w:i/>
                <w:sz w:val="22"/>
                <w:szCs w:val="22"/>
              </w:rPr>
            </w:pPr>
            <w:r>
              <w:rPr>
                <w:b/>
                <w:bCs/>
                <w:i/>
                <w:sz w:val="22"/>
                <w:szCs w:val="22"/>
                <w:lang w:val="en-US" w:eastAsia="zh-CN" w:bidi="ar"/>
              </w:rPr>
              <w:t>nelimitat</w:t>
            </w:r>
          </w:p>
        </w:tc>
      </w:tr>
      <w:tr w:rsidR="001C08A5" w14:paraId="0B8C4B28" w14:textId="77777777">
        <w:trPr>
          <w:trHeight w:val="34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5CB58C5"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5196FD6" w14:textId="77777777" w:rsidR="001C08A5" w:rsidRDefault="00000000">
            <w:pPr>
              <w:jc w:val="center"/>
              <w:rPr>
                <w:b/>
                <w:bCs/>
                <w:i/>
                <w:sz w:val="22"/>
                <w:szCs w:val="22"/>
              </w:rPr>
            </w:pPr>
            <w:r>
              <w:rPr>
                <w:b/>
                <w:bCs/>
                <w:i/>
                <w:sz w:val="22"/>
                <w:szCs w:val="22"/>
                <w:lang w:val="en-US" w:eastAsia="zh-CN" w:bidi="ar"/>
              </w:rPr>
              <w:t>III</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BE4185F" w14:textId="77777777" w:rsidR="001C08A5" w:rsidRDefault="00000000">
            <w:pPr>
              <w:jc w:val="center"/>
              <w:rPr>
                <w:b/>
                <w:bCs/>
                <w:i/>
                <w:sz w:val="22"/>
                <w:szCs w:val="22"/>
              </w:rPr>
            </w:pPr>
            <w:r>
              <w:rPr>
                <w:b/>
                <w:bCs/>
                <w:i/>
                <w:sz w:val="22"/>
                <w:szCs w:val="22"/>
                <w:lang w:val="en-US" w:eastAsia="zh-CN" w:bidi="ar"/>
              </w:rPr>
              <w:t>3</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887ADC2" w14:textId="77777777" w:rsidR="001C08A5" w:rsidRDefault="00000000">
            <w:pPr>
              <w:jc w:val="center"/>
              <w:rPr>
                <w:b/>
                <w:bCs/>
                <w:i/>
                <w:sz w:val="22"/>
                <w:szCs w:val="22"/>
              </w:rPr>
            </w:pPr>
            <w:r>
              <w:rPr>
                <w:b/>
                <w:bCs/>
                <w:i/>
                <w:sz w:val="22"/>
                <w:szCs w:val="22"/>
                <w:lang w:val="en-US" w:eastAsia="zh-CN" w:bidi="ar"/>
              </w:rPr>
              <w:t>7.800</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821BCA0" w14:textId="77777777" w:rsidR="001C08A5" w:rsidRDefault="00000000">
            <w:pPr>
              <w:jc w:val="center"/>
              <w:rPr>
                <w:b/>
                <w:bCs/>
                <w:i/>
                <w:sz w:val="22"/>
                <w:szCs w:val="22"/>
              </w:rPr>
            </w:pPr>
            <w:r>
              <w:rPr>
                <w:b/>
                <w:bCs/>
                <w:i/>
                <w:sz w:val="22"/>
                <w:szCs w:val="22"/>
                <w:lang w:val="en-US" w:eastAsia="zh-CN" w:bidi="ar"/>
              </w:rPr>
              <w:t>6.500</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14E1519" w14:textId="77777777" w:rsidR="001C08A5" w:rsidRDefault="00000000">
            <w:pPr>
              <w:jc w:val="center"/>
              <w:rPr>
                <w:b/>
                <w:bCs/>
                <w:i/>
                <w:sz w:val="22"/>
                <w:szCs w:val="22"/>
              </w:rPr>
            </w:pPr>
            <w:r>
              <w:rPr>
                <w:b/>
                <w:bCs/>
                <w:i/>
                <w:sz w:val="22"/>
                <w:szCs w:val="22"/>
                <w:lang w:val="en-US" w:eastAsia="zh-CN" w:bidi="ar"/>
              </w:rPr>
              <w:t>3.500</w:t>
            </w:r>
          </w:p>
        </w:tc>
      </w:tr>
      <w:tr w:rsidR="001C08A5" w14:paraId="44661E14" w14:textId="77777777">
        <w:trPr>
          <w:trHeight w:val="345"/>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02C06AA"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4086606" w14:textId="77777777" w:rsidR="001C08A5" w:rsidRDefault="00000000">
            <w:pPr>
              <w:jc w:val="center"/>
              <w:rPr>
                <w:b/>
                <w:bCs/>
                <w:i/>
                <w:sz w:val="22"/>
                <w:szCs w:val="22"/>
              </w:rPr>
            </w:pPr>
            <w:r>
              <w:rPr>
                <w:b/>
                <w:bCs/>
                <w:i/>
                <w:sz w:val="22"/>
                <w:szCs w:val="22"/>
                <w:lang w:val="en-US" w:eastAsia="zh-CN" w:bidi="ar"/>
              </w:rPr>
              <w:t>IV</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13ECBD8" w14:textId="77777777" w:rsidR="001C08A5" w:rsidRDefault="00000000">
            <w:pPr>
              <w:jc w:val="center"/>
              <w:rPr>
                <w:b/>
                <w:bCs/>
                <w:i/>
                <w:sz w:val="22"/>
                <w:szCs w:val="22"/>
              </w:rPr>
            </w:pPr>
            <w:r>
              <w:rPr>
                <w:b/>
                <w:bCs/>
                <w:i/>
                <w:sz w:val="22"/>
                <w:szCs w:val="22"/>
                <w:lang w:val="en-US" w:eastAsia="zh-CN" w:bidi="ar"/>
              </w:rPr>
              <w:t>2</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11F0B3D" w14:textId="77777777" w:rsidR="001C08A5" w:rsidRDefault="00000000">
            <w:pPr>
              <w:jc w:val="center"/>
              <w:rPr>
                <w:b/>
                <w:bCs/>
                <w:i/>
                <w:sz w:val="22"/>
                <w:szCs w:val="22"/>
              </w:rPr>
            </w:pPr>
            <w:r>
              <w:rPr>
                <w:b/>
                <w:bCs/>
                <w:i/>
                <w:sz w:val="22"/>
                <w:szCs w:val="22"/>
                <w:lang w:val="en-US" w:eastAsia="zh-CN" w:bidi="ar"/>
              </w:rPr>
              <w:t>3.500</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EFF00F8" w14:textId="77777777" w:rsidR="001C08A5" w:rsidRDefault="00000000">
            <w:pPr>
              <w:jc w:val="center"/>
              <w:rPr>
                <w:b/>
                <w:bCs/>
                <w:i/>
                <w:sz w:val="22"/>
                <w:szCs w:val="22"/>
              </w:rPr>
            </w:pPr>
            <w:r>
              <w:rPr>
                <w:b/>
                <w:bCs/>
                <w:i/>
                <w:sz w:val="22"/>
                <w:szCs w:val="22"/>
                <w:lang w:val="en-US" w:eastAsia="zh-CN" w:bidi="ar"/>
              </w:rPr>
              <w:t>2.600</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7D513D1" w14:textId="77777777" w:rsidR="001C08A5" w:rsidRDefault="00000000">
            <w:pPr>
              <w:jc w:val="center"/>
              <w:rPr>
                <w:b/>
                <w:bCs/>
                <w:i/>
                <w:sz w:val="22"/>
                <w:szCs w:val="22"/>
              </w:rPr>
            </w:pPr>
            <w:r>
              <w:rPr>
                <w:b/>
                <w:bCs/>
                <w:i/>
                <w:sz w:val="22"/>
                <w:szCs w:val="22"/>
                <w:lang w:val="en-US" w:eastAsia="zh-CN" w:bidi="ar"/>
              </w:rPr>
              <w:t>nu se admit</w:t>
            </w:r>
          </w:p>
        </w:tc>
      </w:tr>
      <w:tr w:rsidR="001C08A5" w14:paraId="7882B354" w14:textId="77777777">
        <w:trPr>
          <w:trHeight w:val="360"/>
          <w:jc w:val="center"/>
        </w:trPr>
        <w:tc>
          <w:tcPr>
            <w:tcW w:w="799"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C9CC780" w14:textId="77777777" w:rsidR="001C08A5" w:rsidRDefault="001C08A5">
            <w:pPr>
              <w:jc w:val="center"/>
              <w:rPr>
                <w:b/>
                <w:bCs/>
                <w:i/>
                <w:sz w:val="22"/>
                <w:szCs w:val="22"/>
              </w:rPr>
            </w:pPr>
          </w:p>
        </w:tc>
        <w:tc>
          <w:tcPr>
            <w:tcW w:w="88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59E31FF" w14:textId="77777777" w:rsidR="001C08A5" w:rsidRDefault="00000000">
            <w:pPr>
              <w:jc w:val="center"/>
              <w:rPr>
                <w:b/>
                <w:bCs/>
                <w:i/>
                <w:sz w:val="22"/>
                <w:szCs w:val="22"/>
              </w:rPr>
            </w:pPr>
            <w:r>
              <w:rPr>
                <w:b/>
                <w:bCs/>
                <w:i/>
                <w:sz w:val="22"/>
                <w:szCs w:val="22"/>
                <w:lang w:val="en-US" w:eastAsia="zh-CN" w:bidi="ar"/>
              </w:rPr>
              <w:t>V</w:t>
            </w:r>
          </w:p>
        </w:tc>
        <w:tc>
          <w:tcPr>
            <w:tcW w:w="80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0F0DBD3" w14:textId="77777777" w:rsidR="001C08A5" w:rsidRDefault="00000000">
            <w:pPr>
              <w:jc w:val="center"/>
              <w:rPr>
                <w:b/>
                <w:bCs/>
                <w:i/>
                <w:sz w:val="22"/>
                <w:szCs w:val="22"/>
              </w:rPr>
            </w:pPr>
            <w:r>
              <w:rPr>
                <w:b/>
                <w:bCs/>
                <w:i/>
                <w:sz w:val="22"/>
                <w:szCs w:val="22"/>
                <w:lang w:val="en-US" w:eastAsia="zh-CN" w:bidi="ar"/>
              </w:rPr>
              <w:t>2</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32E25D7" w14:textId="77777777" w:rsidR="001C08A5" w:rsidRDefault="00000000">
            <w:pPr>
              <w:jc w:val="center"/>
              <w:rPr>
                <w:b/>
                <w:bCs/>
                <w:i/>
                <w:sz w:val="22"/>
                <w:szCs w:val="22"/>
              </w:rPr>
            </w:pPr>
            <w:r>
              <w:rPr>
                <w:b/>
                <w:bCs/>
                <w:i/>
                <w:sz w:val="22"/>
                <w:szCs w:val="22"/>
                <w:lang w:val="en-US" w:eastAsia="zh-CN" w:bidi="ar"/>
              </w:rPr>
              <w:t>2.600</w:t>
            </w:r>
          </w:p>
        </w:tc>
        <w:tc>
          <w:tcPr>
            <w:tcW w:w="84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C6E6A11" w14:textId="77777777" w:rsidR="001C08A5" w:rsidRDefault="00000000">
            <w:pPr>
              <w:jc w:val="center"/>
              <w:rPr>
                <w:b/>
                <w:bCs/>
                <w:i/>
                <w:sz w:val="22"/>
                <w:szCs w:val="22"/>
              </w:rPr>
            </w:pPr>
            <w:r>
              <w:rPr>
                <w:b/>
                <w:bCs/>
                <w:i/>
                <w:sz w:val="22"/>
                <w:szCs w:val="22"/>
                <w:lang w:val="en-US" w:eastAsia="zh-CN" w:bidi="ar"/>
              </w:rPr>
              <w:t>1.500</w:t>
            </w:r>
          </w:p>
        </w:tc>
        <w:tc>
          <w:tcPr>
            <w:tcW w:w="8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2E7FA85" w14:textId="77777777" w:rsidR="001C08A5" w:rsidRDefault="00000000">
            <w:pPr>
              <w:jc w:val="center"/>
              <w:rPr>
                <w:b/>
                <w:bCs/>
                <w:i/>
                <w:sz w:val="22"/>
                <w:szCs w:val="22"/>
              </w:rPr>
            </w:pPr>
            <w:r>
              <w:rPr>
                <w:b/>
                <w:bCs/>
                <w:i/>
                <w:sz w:val="22"/>
                <w:szCs w:val="22"/>
                <w:lang w:val="en-US" w:eastAsia="zh-CN" w:bidi="ar"/>
              </w:rPr>
              <w:t>nu se admit</w:t>
            </w:r>
          </w:p>
        </w:tc>
      </w:tr>
    </w:tbl>
    <w:p w14:paraId="492696C0" w14:textId="77777777" w:rsidR="001C08A5" w:rsidRDefault="00000000">
      <w:pPr>
        <w:jc w:val="both"/>
        <w:rPr>
          <w:i/>
          <w:iCs/>
          <w:sz w:val="22"/>
          <w:szCs w:val="22"/>
        </w:rPr>
      </w:pPr>
      <w:r>
        <w:rPr>
          <w:i/>
          <w:iCs/>
          <w:sz w:val="22"/>
          <w:szCs w:val="22"/>
        </w:rPr>
        <w:t>Note :</w:t>
      </w:r>
    </w:p>
    <w:p w14:paraId="687219B1" w14:textId="77777777" w:rsidR="001C08A5" w:rsidRDefault="00000000">
      <w:pPr>
        <w:jc w:val="both"/>
        <w:rPr>
          <w:i/>
          <w:iCs/>
          <w:sz w:val="22"/>
          <w:szCs w:val="22"/>
        </w:rPr>
      </w:pPr>
      <w:r>
        <w:rPr>
          <w:i/>
          <w:iCs/>
          <w:sz w:val="22"/>
          <w:szCs w:val="22"/>
        </w:rPr>
        <w:t xml:space="preserve">1. Ariile construite se pot majora cu </w:t>
      </w:r>
      <w:r>
        <w:rPr>
          <w:b/>
          <w:bCs/>
          <w:i/>
          <w:iCs/>
          <w:sz w:val="22"/>
          <w:szCs w:val="22"/>
        </w:rPr>
        <w:t>100%</w:t>
      </w:r>
      <w:r>
        <w:rPr>
          <w:i/>
          <w:iCs/>
          <w:sz w:val="22"/>
          <w:szCs w:val="22"/>
        </w:rPr>
        <w:t xml:space="preserve"> pentru construcțiile existente și compartimentele de incendiu existente echipate cu instalații automate de stingere, sau cu </w:t>
      </w:r>
      <w:r>
        <w:rPr>
          <w:b/>
          <w:bCs/>
          <w:i/>
          <w:iCs/>
          <w:sz w:val="22"/>
          <w:szCs w:val="22"/>
        </w:rPr>
        <w:t>50%</w:t>
      </w:r>
      <w:r>
        <w:rPr>
          <w:i/>
          <w:iCs/>
          <w:sz w:val="22"/>
          <w:szCs w:val="22"/>
        </w:rPr>
        <w:t xml:space="preserve"> pentru ceie prevăzute cu sisteme corespunzătoare pentru evacuarea fumului și a gazelor fierbinți produse în timpul incendiului, respectiv cu </w:t>
      </w:r>
      <w:r>
        <w:rPr>
          <w:b/>
          <w:bCs/>
          <w:i/>
          <w:iCs/>
          <w:sz w:val="22"/>
          <w:szCs w:val="22"/>
        </w:rPr>
        <w:t>25%</w:t>
      </w:r>
      <w:r>
        <w:rPr>
          <w:i/>
          <w:iCs/>
          <w:sz w:val="22"/>
          <w:szCs w:val="22"/>
        </w:rPr>
        <w:t xml:space="preserve"> pentru cele echipate cu instalații automate de semnalizare a incendiilor. Majorările menționate nu se cumulează.</w:t>
      </w:r>
    </w:p>
    <w:p w14:paraId="7C508240" w14:textId="77777777" w:rsidR="001C08A5" w:rsidRDefault="00000000">
      <w:pPr>
        <w:jc w:val="both"/>
        <w:rPr>
          <w:i/>
          <w:iCs/>
          <w:sz w:val="22"/>
          <w:szCs w:val="22"/>
        </w:rPr>
      </w:pPr>
      <w:r>
        <w:rPr>
          <w:i/>
          <w:iCs/>
          <w:sz w:val="22"/>
          <w:szCs w:val="22"/>
        </w:rPr>
        <w:t xml:space="preserve">2. La construcții existente și compartimente de incendiu existente cu două sau mai multe niveluri, se poate mări aria parterului acestora în limitele admise numai pentru construcții existente parter, dacă planșeul de deasupra parterului este clasa de reacție la foc </w:t>
      </w:r>
      <w:r>
        <w:rPr>
          <w:b/>
          <w:bCs/>
          <w:i/>
          <w:iCs/>
          <w:sz w:val="22"/>
          <w:szCs w:val="22"/>
        </w:rPr>
        <w:t>A1</w:t>
      </w:r>
      <w:r>
        <w:rPr>
          <w:i/>
          <w:iCs/>
          <w:sz w:val="22"/>
          <w:szCs w:val="22"/>
        </w:rPr>
        <w:t xml:space="preserve">, </w:t>
      </w:r>
      <w:r>
        <w:rPr>
          <w:b/>
          <w:bCs/>
          <w:i/>
          <w:iCs/>
          <w:sz w:val="22"/>
          <w:szCs w:val="22"/>
        </w:rPr>
        <w:t>A2s1d0</w:t>
      </w:r>
      <w:r>
        <w:rPr>
          <w:i/>
          <w:iCs/>
          <w:sz w:val="22"/>
          <w:szCs w:val="22"/>
        </w:rPr>
        <w:t>, rezistent la foc minimum 2 ore 30 minute (</w:t>
      </w:r>
      <w:r>
        <w:rPr>
          <w:b/>
          <w:bCs/>
          <w:i/>
          <w:iCs/>
          <w:sz w:val="22"/>
          <w:szCs w:val="22"/>
        </w:rPr>
        <w:t>REI150</w:t>
      </w:r>
      <w:r>
        <w:rPr>
          <w:i/>
          <w:iCs/>
          <w:sz w:val="22"/>
          <w:szCs w:val="22"/>
        </w:rPr>
        <w:t xml:space="preserve">) pentru construcțiile </w:t>
      </w:r>
      <w:r>
        <w:rPr>
          <w:b/>
          <w:bCs/>
          <w:i/>
          <w:iCs/>
          <w:sz w:val="22"/>
          <w:szCs w:val="22"/>
        </w:rPr>
        <w:t>edificate înainte de 01 ianuarie 2007</w:t>
      </w:r>
      <w:r>
        <w:rPr>
          <w:i/>
          <w:iCs/>
          <w:sz w:val="22"/>
          <w:szCs w:val="22"/>
        </w:rPr>
        <w:t xml:space="preserve"> sau rezistenți la foc minimum 3 ore (</w:t>
      </w:r>
      <w:r>
        <w:rPr>
          <w:b/>
          <w:bCs/>
          <w:i/>
          <w:iCs/>
          <w:sz w:val="22"/>
          <w:szCs w:val="22"/>
        </w:rPr>
        <w:t>REI180</w:t>
      </w:r>
      <w:r>
        <w:rPr>
          <w:i/>
          <w:iCs/>
          <w:sz w:val="22"/>
          <w:szCs w:val="22"/>
        </w:rPr>
        <w:t xml:space="preserve">) pentru construcțiile </w:t>
      </w:r>
      <w:r>
        <w:rPr>
          <w:b/>
          <w:bCs/>
          <w:i/>
          <w:iCs/>
          <w:sz w:val="22"/>
          <w:szCs w:val="22"/>
        </w:rPr>
        <w:t>edificate dupa data de 01 ianuarie 2007</w:t>
      </w:r>
      <w:r>
        <w:rPr>
          <w:i/>
          <w:iCs/>
          <w:sz w:val="22"/>
          <w:szCs w:val="22"/>
        </w:rPr>
        <w:t xml:space="preserve"> și nu are goluri.</w:t>
      </w:r>
    </w:p>
    <w:p w14:paraId="37A1C11E" w14:textId="77777777" w:rsidR="001C08A5" w:rsidRDefault="00000000">
      <w:pPr>
        <w:jc w:val="both"/>
        <w:rPr>
          <w:i/>
          <w:iCs/>
          <w:sz w:val="22"/>
          <w:szCs w:val="22"/>
        </w:rPr>
      </w:pPr>
      <w:r>
        <w:rPr>
          <w:i/>
          <w:iCs/>
          <w:sz w:val="22"/>
          <w:szCs w:val="22"/>
        </w:rPr>
        <w:t xml:space="preserve">3. În cazuri justificate tehnic și asigurând măsuri suplimentare de protecție și de îmbunătăţire a cerinței de securitate la incendiu (care se efectuează în baza unei expertize tehnice pentru cerința fundamentală securitate la incendiu), investitorii pot stabili arii construit mai mari pe proprie răspundere prin hotărâri scrise ale consiliilor de conducere respective. În aceleași condiții, la construcții existente de nivelul de stabilitate la incendiu </w:t>
      </w:r>
      <w:r>
        <w:rPr>
          <w:b/>
          <w:bCs/>
          <w:i/>
          <w:iCs/>
          <w:sz w:val="22"/>
          <w:szCs w:val="22"/>
        </w:rPr>
        <w:t>II</w:t>
      </w:r>
      <w:r>
        <w:rPr>
          <w:i/>
          <w:iCs/>
          <w:sz w:val="22"/>
          <w:szCs w:val="22"/>
        </w:rPr>
        <w:t xml:space="preserve"> pot mări numărul de niveluri dacă procesul tehnologic o impune, cu condiția luării unor măsuri de protecție care să reducă posibilitățile de propagare a incendiilor de la un nivel la altul.</w:t>
      </w:r>
    </w:p>
    <w:p w14:paraId="537A7D14" w14:textId="77777777" w:rsidR="001C08A5" w:rsidRDefault="001C08A5">
      <w:pPr>
        <w:jc w:val="both"/>
        <w:rPr>
          <w:i/>
          <w:iCs/>
          <w:sz w:val="22"/>
          <w:szCs w:val="22"/>
        </w:rPr>
      </w:pPr>
    </w:p>
    <w:p w14:paraId="1D1D58A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5.2.8.</w:t>
      </w:r>
      <w:r>
        <w:rPr>
          <w:rFonts w:eastAsia="Calibri"/>
          <w:i/>
          <w:sz w:val="24"/>
          <w:szCs w:val="24"/>
          <w:shd w:val="clear" w:color="auto" w:fill="FFFFFF"/>
        </w:rPr>
        <w:t> Prin conformarea spațiilor de producție și/sau depozitare existente se va urmări limitarea posibilităților de propagare a focului și a fumului, asigurându-se dispunerea celor periculoase în zone distincte și cu luarea măsurilor de protecție necesare.</w:t>
      </w:r>
    </w:p>
    <w:p w14:paraId="09DF108F" w14:textId="77777777" w:rsidR="001C08A5" w:rsidRDefault="00000000">
      <w:pPr>
        <w:pStyle w:val="Heading3"/>
        <w:rPr>
          <w:i/>
          <w:iCs/>
          <w:sz w:val="24"/>
          <w:szCs w:val="24"/>
        </w:rPr>
      </w:pPr>
      <w:bookmarkStart w:id="11285" w:name="_Toc14127"/>
      <w:bookmarkStart w:id="11286" w:name="_Toc4603"/>
      <w:bookmarkStart w:id="11287" w:name="_Toc10081"/>
      <w:bookmarkStart w:id="11288" w:name="_Toc162355617"/>
      <w:bookmarkStart w:id="11289" w:name="_Toc28271"/>
      <w:bookmarkStart w:id="11290" w:name="_Toc29713"/>
      <w:r>
        <w:rPr>
          <w:i/>
          <w:iCs/>
          <w:sz w:val="24"/>
          <w:szCs w:val="24"/>
        </w:rPr>
        <w:t>A.10. 5.3. ALCĂTUIRI CONSTRUCTIVE</w:t>
      </w:r>
      <w:bookmarkEnd w:id="11285"/>
      <w:bookmarkEnd w:id="11286"/>
      <w:bookmarkEnd w:id="11287"/>
      <w:bookmarkEnd w:id="11288"/>
      <w:bookmarkEnd w:id="11289"/>
      <w:bookmarkEnd w:id="11290"/>
    </w:p>
    <w:p w14:paraId="4D8AE42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5.3.1.</w:t>
      </w:r>
      <w:r>
        <w:rPr>
          <w:rFonts w:eastAsia="Calibri"/>
          <w:i/>
          <w:sz w:val="24"/>
          <w:szCs w:val="24"/>
          <w:shd w:val="clear" w:color="auto" w:fill="FFFFFF"/>
        </w:rPr>
        <w:t xml:space="preserve"> Construcțiile existente de producție și/sau depozitare se alcătuiesc corespunzător prevederilor </w:t>
      </w:r>
      <w:r>
        <w:rPr>
          <w:rFonts w:eastAsia="Calibri"/>
          <w:b/>
          <w:bCs/>
          <w:i/>
          <w:sz w:val="24"/>
          <w:szCs w:val="24"/>
          <w:shd w:val="clear" w:color="auto" w:fill="FFFFFF"/>
        </w:rPr>
        <w:t>subcapitolului 2.4.</w:t>
      </w:r>
      <w:r>
        <w:rPr>
          <w:rFonts w:eastAsia="Calibri"/>
          <w:i/>
          <w:sz w:val="24"/>
          <w:szCs w:val="24"/>
          <w:shd w:val="clear" w:color="auto" w:fill="FFFFFF"/>
        </w:rPr>
        <w:t xml:space="preserve"> al anexei, îndeplinind performanțele admise.</w:t>
      </w:r>
    </w:p>
    <w:p w14:paraId="645FEB2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5.3.2.</w:t>
      </w:r>
      <w:r>
        <w:rPr>
          <w:rFonts w:eastAsia="Calibri"/>
          <w:i/>
          <w:sz w:val="24"/>
          <w:szCs w:val="24"/>
          <w:shd w:val="clear" w:color="auto" w:fill="FFFFFF"/>
        </w:rPr>
        <w:t> Prin modul de alcătuire și realizare, elementele de construcție utilizate nu trebuie să propage focul cu ușurință.</w:t>
      </w:r>
    </w:p>
    <w:p w14:paraId="4ECD5DC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5.3.3.</w:t>
      </w:r>
      <w:r>
        <w:rPr>
          <w:rFonts w:eastAsia="Calibri"/>
          <w:i/>
          <w:sz w:val="24"/>
          <w:szCs w:val="24"/>
          <w:shd w:val="clear" w:color="auto" w:fill="FFFFFF"/>
        </w:rPr>
        <w:t> Golurile interioare constructive aie elementelor de construcție vor avea continuitatea întreruptă, astfel încât să nu favorizeze propagarea fumului și a focului în construcție existentă.</w:t>
      </w:r>
    </w:p>
    <w:p w14:paraId="3794A6D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5.3.4.</w:t>
      </w:r>
      <w:r>
        <w:rPr>
          <w:rFonts w:eastAsia="Calibri"/>
          <w:i/>
          <w:sz w:val="24"/>
          <w:szCs w:val="24"/>
          <w:shd w:val="clear" w:color="auto" w:fill="FFFFFF"/>
        </w:rPr>
        <w:t xml:space="preserve"> Încăperile și spațiile închise încadrate în categoria D (BE1a) de pericol de incendiu, trebuie să aibe pereți și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w:t>
      </w:r>
    </w:p>
    <w:p w14:paraId="5CD15B5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5.3.5.</w:t>
      </w:r>
      <w:r>
        <w:rPr>
          <w:rFonts w:eastAsia="Calibri"/>
          <w:i/>
          <w:sz w:val="24"/>
          <w:szCs w:val="24"/>
          <w:shd w:val="clear" w:color="auto" w:fill="FFFFFF"/>
        </w:rPr>
        <w:t> Plafoanele faise (incombustibile sau combustibile) nu sunt admise la încăperi și spații închise încadrate în categoriile A sau B (BE3a,b) de pericol de incendiu.</w:t>
      </w:r>
    </w:p>
    <w:p w14:paraId="66AB407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5.3.6.</w:t>
      </w:r>
      <w:r>
        <w:rPr>
          <w:rFonts w:eastAsia="Calibri"/>
          <w:i/>
          <w:sz w:val="24"/>
          <w:szCs w:val="24"/>
          <w:shd w:val="clear" w:color="auto" w:fill="FFFFFF"/>
        </w:rPr>
        <w:t xml:space="preserve"> Elementele de construcție care delimitează spații cu pericol de explozie, din categoriile A și B (BE3a,b) de pericol de incendiu, vor fi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iar atunci când le separă de restul construcției existente și rezistente la expiozie.</w:t>
      </w:r>
    </w:p>
    <w:p w14:paraId="52D5508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5.3.7.</w:t>
      </w:r>
      <w:r>
        <w:rPr>
          <w:rFonts w:eastAsia="Calibri"/>
          <w:i/>
          <w:sz w:val="24"/>
          <w:szCs w:val="24"/>
          <w:shd w:val="clear" w:color="auto" w:fill="FFFFFF"/>
        </w:rPr>
        <w:t xml:space="preserve"> Grinzile, rampele, podesteleși treptele scărilor interioare de circulație funcțională la platforme de lucru - fără locuri permanente de muncă - pot fi alcătuite și realizate din materiale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și neînchise în case de scări proprii.</w:t>
      </w:r>
    </w:p>
    <w:p w14:paraId="5C800EF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5.3.8.</w:t>
      </w:r>
      <w:r>
        <w:rPr>
          <w:rFonts w:eastAsia="Calibri"/>
          <w:i/>
          <w:sz w:val="24"/>
          <w:szCs w:val="24"/>
          <w:shd w:val="clear" w:color="auto" w:fill="FFFFFF"/>
        </w:rPr>
        <w:t xml:space="preserve"> Încăperile de depozitare cu aria mal mare de </w:t>
      </w:r>
      <w:r>
        <w:rPr>
          <w:rFonts w:eastAsia="Calibri"/>
          <w:b/>
          <w:bCs/>
          <w:i/>
          <w:sz w:val="24"/>
          <w:szCs w:val="24"/>
          <w:shd w:val="clear" w:color="auto" w:fill="FFFFFF"/>
        </w:rPr>
        <w:t>36 m</w:t>
      </w:r>
      <w:r>
        <w:rPr>
          <w:rFonts w:eastAsia="Calibri"/>
          <w:b/>
          <w:bCs/>
          <w:i/>
          <w:sz w:val="24"/>
          <w:szCs w:val="24"/>
          <w:shd w:val="clear" w:color="auto" w:fill="FFFFFF"/>
          <w:vertAlign w:val="superscript"/>
        </w:rPr>
        <w:t>2</w:t>
      </w:r>
      <w:r>
        <w:rPr>
          <w:rFonts w:eastAsia="Calibri"/>
          <w:i/>
          <w:sz w:val="24"/>
          <w:szCs w:val="24"/>
          <w:shd w:val="clear" w:color="auto" w:fill="FFFFFF"/>
        </w:rPr>
        <w:t xml:space="preserve">, se alcătuiesc și se realizează conform prevederilor Art. </w:t>
      </w:r>
      <w:r>
        <w:rPr>
          <w:rFonts w:eastAsia="Calibri"/>
          <w:b/>
          <w:bCs/>
          <w:i/>
          <w:sz w:val="24"/>
          <w:szCs w:val="24"/>
          <w:shd w:val="clear" w:color="auto" w:fill="FFFFFF"/>
        </w:rPr>
        <w:t xml:space="preserve">A.10.2.4.45. </w:t>
      </w:r>
      <w:r>
        <w:rPr>
          <w:rFonts w:eastAsia="Calibri"/>
          <w:i/>
          <w:sz w:val="24"/>
          <w:szCs w:val="24"/>
          <w:shd w:val="clear" w:color="auto" w:fill="FFFFFF"/>
        </w:rPr>
        <w:t>și</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A.10.2.4.46.</w:t>
      </w:r>
      <w:r>
        <w:rPr>
          <w:rFonts w:eastAsia="Calibri"/>
          <w:i/>
          <w:sz w:val="24"/>
          <w:szCs w:val="24"/>
          <w:shd w:val="clear" w:color="auto" w:fill="FFFFFF"/>
        </w:rPr>
        <w:t>., precum și a prevederilor specifice acestora.</w:t>
      </w:r>
    </w:p>
    <w:p w14:paraId="37CAAFC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5.3.9.</w:t>
      </w:r>
      <w:r>
        <w:rPr>
          <w:rFonts w:eastAsia="Calibri"/>
          <w:i/>
          <w:sz w:val="24"/>
          <w:szCs w:val="24"/>
          <w:shd w:val="clear" w:color="auto" w:fill="FFFFFF"/>
        </w:rPr>
        <w:t xml:space="preserve"> Spațiile, încăperile și construcțiile existente încadrate în categoria A sau B (BE3a,b) de pericol de incendiu, se alcătuiesc potrivit prevederilor Art. </w:t>
      </w:r>
      <w:r>
        <w:rPr>
          <w:rFonts w:eastAsia="Calibri"/>
          <w:b/>
          <w:bCs/>
          <w:i/>
          <w:sz w:val="24"/>
          <w:szCs w:val="24"/>
          <w:shd w:val="clear" w:color="auto" w:fill="FFFFFF"/>
        </w:rPr>
        <w:t xml:space="preserve">A.10.2.4.50. </w:t>
      </w:r>
      <w:r>
        <w:rPr>
          <w:rFonts w:eastAsia="Calibri"/>
          <w:i/>
          <w:sz w:val="24"/>
          <w:szCs w:val="24"/>
          <w:shd w:val="clear" w:color="auto" w:fill="FFFFFF"/>
        </w:rPr>
        <w:t>la</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A.10.2.4.60.</w:t>
      </w:r>
      <w:r>
        <w:rPr>
          <w:rFonts w:eastAsia="Calibri"/>
          <w:i/>
          <w:sz w:val="24"/>
          <w:szCs w:val="24"/>
          <w:shd w:val="clear" w:color="auto" w:fill="FFFFFF"/>
        </w:rPr>
        <w:t>. din prezenta anexă și a reglementărilor tehnice specifice.</w:t>
      </w:r>
    </w:p>
    <w:p w14:paraId="75C58EBF" w14:textId="77777777" w:rsidR="001C08A5" w:rsidRDefault="00000000">
      <w:pPr>
        <w:pStyle w:val="Heading3"/>
        <w:rPr>
          <w:i/>
          <w:iCs/>
          <w:sz w:val="24"/>
          <w:szCs w:val="24"/>
        </w:rPr>
      </w:pPr>
      <w:bookmarkStart w:id="11291" w:name="_Toc20738"/>
      <w:bookmarkStart w:id="11292" w:name="_Toc13442"/>
      <w:bookmarkStart w:id="11293" w:name="_Toc20723"/>
      <w:bookmarkStart w:id="11294" w:name="_Toc14797"/>
      <w:bookmarkStart w:id="11295" w:name="_Toc19219"/>
      <w:bookmarkStart w:id="11296" w:name="_Toc162355618"/>
      <w:r>
        <w:rPr>
          <w:i/>
          <w:iCs/>
          <w:sz w:val="24"/>
          <w:szCs w:val="24"/>
        </w:rPr>
        <w:t>A.10. 5.4. LIMITAREA PROPAGĂRII FOCULUI ȘI A FUMULUI</w:t>
      </w:r>
      <w:bookmarkEnd w:id="11291"/>
      <w:bookmarkEnd w:id="11292"/>
      <w:bookmarkEnd w:id="11293"/>
      <w:bookmarkEnd w:id="11294"/>
      <w:bookmarkEnd w:id="11295"/>
      <w:bookmarkEnd w:id="11296"/>
    </w:p>
    <w:p w14:paraId="37023D7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5.4.1.</w:t>
      </w:r>
      <w:r>
        <w:rPr>
          <w:rFonts w:eastAsia="Calibri"/>
          <w:i/>
          <w:sz w:val="24"/>
          <w:szCs w:val="24"/>
          <w:shd w:val="clear" w:color="auto" w:fill="FFFFFF"/>
        </w:rPr>
        <w:t> Compartimentele de incendiu existente constituite conform prevederilor anexei, se separă de restul construcției existente prin elemente corespunzătoare categoriei de pericol de incendiu și densității sarcinii termice asigurând nivelul de performanță normat (conform prevederilor din prezenta anexă). În același mod vor fi separate între ele și porțiuni ale construcției existente încadrate în categorii de pericol de incendiu diferite.</w:t>
      </w:r>
    </w:p>
    <w:p w14:paraId="6BFC85F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5.4.2.</w:t>
      </w:r>
      <w:r>
        <w:rPr>
          <w:rFonts w:eastAsia="Calibri"/>
          <w:i/>
          <w:sz w:val="24"/>
          <w:szCs w:val="24"/>
          <w:shd w:val="clear" w:color="auto" w:fill="FFFFFF"/>
        </w:rPr>
        <w:t> În interiorul compartimentelor de incendiu existente, se prevăd elemente despărțitoare orizontale și/sau verticale, care să împiedice propagarea focului și a fumului pe arii mari construite.</w:t>
      </w:r>
    </w:p>
    <w:p w14:paraId="51AB89F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5.4.3.</w:t>
      </w:r>
      <w:r>
        <w:rPr>
          <w:rFonts w:eastAsia="Calibri"/>
          <w:i/>
          <w:sz w:val="24"/>
          <w:szCs w:val="24"/>
          <w:shd w:val="clear" w:color="auto" w:fill="FFFFFF"/>
        </w:rPr>
        <w:t xml:space="preserve"> Elementele de construcție utilizate pentru împiedicarea propagării focuiui și a fumului vor fi de tipul celor stabilite în </w:t>
      </w:r>
      <w:r>
        <w:rPr>
          <w:rFonts w:eastAsia="Calibri"/>
          <w:b/>
          <w:bCs/>
          <w:i/>
          <w:sz w:val="24"/>
          <w:szCs w:val="24"/>
          <w:shd w:val="clear" w:color="auto" w:fill="FFFFFF"/>
        </w:rPr>
        <w:t>subcapitolului 2.3.</w:t>
      </w:r>
      <w:r>
        <w:rPr>
          <w:rFonts w:eastAsia="Calibri"/>
          <w:i/>
          <w:sz w:val="24"/>
          <w:szCs w:val="24"/>
          <w:shd w:val="clear" w:color="auto" w:fill="FFFFFF"/>
        </w:rPr>
        <w:t xml:space="preserve"> din anexă, precum și la Art. </w:t>
      </w:r>
      <w:r>
        <w:rPr>
          <w:rFonts w:eastAsia="Calibri"/>
          <w:b/>
          <w:bCs/>
          <w:i/>
          <w:sz w:val="24"/>
          <w:szCs w:val="24"/>
          <w:shd w:val="clear" w:color="auto" w:fill="FFFFFF"/>
        </w:rPr>
        <w:t xml:space="preserve">A.10.9.36.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A.10.9.45.</w:t>
      </w:r>
    </w:p>
    <w:p w14:paraId="3CD824F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5.4.4.</w:t>
      </w:r>
      <w:r>
        <w:rPr>
          <w:rFonts w:eastAsia="Calibri"/>
          <w:i/>
          <w:sz w:val="24"/>
          <w:szCs w:val="24"/>
          <w:shd w:val="clear" w:color="auto" w:fill="FFFFFF"/>
        </w:rPr>
        <w:t> In construcțiile existente parter, încadrate în categoriile C, D sau E (BE2, BE1a,b) de pericol de incendiu se admite separarea categoriilor mai periculoase (C sau D (BE2 ori BE1a)), cu aria mai mare de 400 m</w:t>
      </w:r>
      <w:r>
        <w:rPr>
          <w:rFonts w:eastAsia="Calibri"/>
          <w:i/>
          <w:sz w:val="24"/>
          <w:szCs w:val="24"/>
          <w:shd w:val="clear" w:color="auto" w:fill="FFFFFF"/>
          <w:vertAlign w:val="superscript"/>
        </w:rPr>
        <w:t>2</w:t>
      </w:r>
      <w:r>
        <w:rPr>
          <w:rFonts w:eastAsia="Calibri"/>
          <w:i/>
          <w:sz w:val="24"/>
          <w:szCs w:val="24"/>
          <w:shd w:val="clear" w:color="auto" w:fill="FFFFFF"/>
        </w:rPr>
        <w:t xml:space="preserve"> sau cu un volum mai mare de 10% din cel al compartimentului de incendiu existent, prin pereți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și rezistenți la foc minimum 3 ore (</w:t>
      </w:r>
      <w:r>
        <w:rPr>
          <w:rFonts w:eastAsia="Calibri"/>
          <w:b/>
          <w:bCs/>
          <w:i/>
          <w:sz w:val="24"/>
          <w:szCs w:val="24"/>
          <w:shd w:val="clear" w:color="auto" w:fill="FFFFFF"/>
        </w:rPr>
        <w:t>EI/REI180</w:t>
      </w:r>
      <w:r>
        <w:rPr>
          <w:rFonts w:eastAsia="Calibri"/>
          <w:i/>
          <w:sz w:val="24"/>
          <w:szCs w:val="24"/>
          <w:shd w:val="clear" w:color="auto" w:fill="FFFFFF"/>
        </w:rPr>
        <w:t>) atunci când separă categoria C (BE2) față de categoria D sau E (BE 1 a, b) și respectiv 2 ore (</w:t>
      </w:r>
      <w:r>
        <w:rPr>
          <w:rFonts w:eastAsia="Calibri"/>
          <w:b/>
          <w:bCs/>
          <w:i/>
          <w:sz w:val="24"/>
          <w:szCs w:val="24"/>
          <w:shd w:val="clear" w:color="auto" w:fill="FFFFFF"/>
        </w:rPr>
        <w:t>EI/REI120</w:t>
      </w:r>
      <w:r>
        <w:rPr>
          <w:rFonts w:eastAsia="Calibri"/>
          <w:i/>
          <w:sz w:val="24"/>
          <w:szCs w:val="24"/>
          <w:shd w:val="clear" w:color="auto" w:fill="FFFFFF"/>
        </w:rPr>
        <w:t>) când separă categoria D (BE1a) față de categoria E (BE1b) de pericol de incendiu (ca înlocuitori ai pereților antifoc).</w:t>
      </w:r>
    </w:p>
    <w:p w14:paraId="4B0FE57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5.4.5.</w:t>
      </w:r>
      <w:r>
        <w:rPr>
          <w:rFonts w:eastAsia="Calibri"/>
          <w:i/>
          <w:sz w:val="24"/>
          <w:szCs w:val="24"/>
          <w:shd w:val="clear" w:color="auto" w:fill="FFFFFF"/>
        </w:rPr>
        <w:t xml:space="preserve"> În cadrul compartimentelor de incendiu existente ale construcțiilor de producere și/sau depozitare existente de nivelul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și </w:t>
      </w:r>
      <w:r>
        <w:rPr>
          <w:rFonts w:eastAsia="Calibri"/>
          <w:b/>
          <w:bCs/>
          <w:i/>
          <w:sz w:val="24"/>
          <w:szCs w:val="24"/>
          <w:shd w:val="clear" w:color="auto" w:fill="FFFFFF"/>
        </w:rPr>
        <w:t>III</w:t>
      </w:r>
      <w:r>
        <w:rPr>
          <w:rFonts w:eastAsia="Calibri"/>
          <w:i/>
          <w:sz w:val="24"/>
          <w:szCs w:val="24"/>
          <w:shd w:val="clear" w:color="auto" w:fill="FFFFFF"/>
        </w:rPr>
        <w:t xml:space="preserve"> de rezistență la foc, atunci când din motive funcționale se prevăd pereți interiori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rezistența la foc de minimum 1 oră (</w:t>
      </w:r>
      <w:r>
        <w:rPr>
          <w:rFonts w:eastAsia="Calibri"/>
          <w:b/>
          <w:bCs/>
          <w:i/>
          <w:sz w:val="24"/>
          <w:szCs w:val="24"/>
          <w:shd w:val="clear" w:color="auto" w:fill="FFFFFF"/>
        </w:rPr>
        <w:t>EI/REI60</w:t>
      </w:r>
      <w:r>
        <w:rPr>
          <w:rFonts w:eastAsia="Calibri"/>
          <w:i/>
          <w:sz w:val="24"/>
          <w:szCs w:val="24"/>
          <w:shd w:val="clear" w:color="auto" w:fill="FFFFFF"/>
        </w:rPr>
        <w:t>), care separă între ele încăperi din aceeași categorie de incendiu A, B sau C (BE3a,b sau BE2), golurile de circulație din acești pereți se protejează cu uși rezistente la foc 45 minute (</w:t>
      </w:r>
      <w:r>
        <w:rPr>
          <w:rFonts w:eastAsia="Calibri"/>
          <w:b/>
          <w:bCs/>
          <w:i/>
          <w:sz w:val="24"/>
          <w:szCs w:val="24"/>
          <w:shd w:val="clear" w:color="auto" w:fill="FFFFFF"/>
        </w:rPr>
        <w:t>EI45-C</w:t>
      </w:r>
      <w:r>
        <w:rPr>
          <w:rFonts w:eastAsia="Calibri"/>
          <w:i/>
          <w:sz w:val="24"/>
          <w:szCs w:val="24"/>
          <w:shd w:val="clear" w:color="auto" w:fill="FFFFFF"/>
        </w:rPr>
        <w:t xml:space="preserve">), echipate cu dispozitive de autoînchidere sau închidere automată în caz de incendiu. Această prevedere nu este obligatorie pentru golurile de circulație dintre grupuri de încăperi din aceeași categorie de pericol de incendiu, care prin însumarea ariilor au mai puțin de </w:t>
      </w:r>
      <w:r>
        <w:rPr>
          <w:rFonts w:eastAsia="Calibri"/>
          <w:b/>
          <w:bCs/>
          <w:i/>
          <w:sz w:val="24"/>
          <w:szCs w:val="24"/>
          <w:shd w:val="clear" w:color="auto" w:fill="FFFFFF"/>
        </w:rPr>
        <w:t>400 m</w:t>
      </w:r>
      <w:r>
        <w:rPr>
          <w:rFonts w:eastAsia="Calibri"/>
          <w:b/>
          <w:bCs/>
          <w:i/>
          <w:sz w:val="24"/>
          <w:szCs w:val="24"/>
          <w:shd w:val="clear" w:color="auto" w:fill="FFFFFF"/>
          <w:vertAlign w:val="superscript"/>
        </w:rPr>
        <w:t>2</w:t>
      </w:r>
      <w:r>
        <w:rPr>
          <w:rFonts w:eastAsia="Calibri"/>
          <w:i/>
          <w:sz w:val="24"/>
          <w:szCs w:val="24"/>
          <w:shd w:val="clear" w:color="auto" w:fill="FFFFFF"/>
        </w:rPr>
        <w:t>.</w:t>
      </w:r>
    </w:p>
    <w:p w14:paraId="3BE2BAC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5.4.6.</w:t>
      </w:r>
      <w:r>
        <w:rPr>
          <w:rFonts w:eastAsia="Calibri"/>
          <w:i/>
          <w:sz w:val="24"/>
          <w:szCs w:val="24"/>
          <w:shd w:val="clear" w:color="auto" w:fill="FFFFFF"/>
        </w:rPr>
        <w:t> În pereții de separare a caselor de scări și a ascensoarelor, față de încăperi sau grupuri de încăperi de categoria C (BE2) de pericol de incendiu cu aria mai mare de 400 m</w:t>
      </w:r>
      <w:r>
        <w:rPr>
          <w:rFonts w:eastAsia="Calibri"/>
          <w:i/>
          <w:sz w:val="24"/>
          <w:szCs w:val="24"/>
          <w:shd w:val="clear" w:color="auto" w:fill="FFFFFF"/>
          <w:vertAlign w:val="superscript"/>
        </w:rPr>
        <w:t>2</w:t>
      </w:r>
      <w:r>
        <w:rPr>
          <w:rFonts w:eastAsia="Calibri"/>
          <w:i/>
          <w:sz w:val="24"/>
          <w:szCs w:val="24"/>
          <w:shd w:val="clear" w:color="auto" w:fill="FFFFFF"/>
        </w:rPr>
        <w:t>, golurile de circulație se protejează cu uși rezistente la foc 45 minute (</w:t>
      </w:r>
      <w:r>
        <w:rPr>
          <w:rFonts w:eastAsia="Calibri"/>
          <w:b/>
          <w:bCs/>
          <w:i/>
          <w:sz w:val="24"/>
          <w:szCs w:val="24"/>
          <w:shd w:val="clear" w:color="auto" w:fill="FFFFFF"/>
        </w:rPr>
        <w:t>EI45-C</w:t>
      </w:r>
      <w:r>
        <w:rPr>
          <w:rFonts w:eastAsia="Calibri"/>
          <w:i/>
          <w:sz w:val="24"/>
          <w:szCs w:val="24"/>
          <w:shd w:val="clear" w:color="auto" w:fill="FFFFFF"/>
        </w:rPr>
        <w:t xml:space="preserve">), echipate cu dispozitive de autoînchidere sau închidere automată în caz de incendiu. Atunci când pereții de separare a caselor de scări și ai ascensoarelor sunt rezistenți la explozie corespunzător categoriilor A sau B (BE3) de pericol, indiferent de aria acestora, golurile de circulație funcțională se protejează corespunzător prevederilor Art. </w:t>
      </w:r>
      <w:r>
        <w:rPr>
          <w:rFonts w:eastAsia="Calibri"/>
          <w:b/>
          <w:bCs/>
          <w:i/>
          <w:sz w:val="24"/>
          <w:szCs w:val="24"/>
          <w:shd w:val="clear" w:color="auto" w:fill="FFFFFF"/>
        </w:rPr>
        <w:t xml:space="preserve">A.10.2.3.46. </w:t>
      </w:r>
      <w:r>
        <w:rPr>
          <w:rFonts w:eastAsia="Calibri"/>
          <w:i/>
          <w:sz w:val="24"/>
          <w:szCs w:val="24"/>
          <w:shd w:val="clear" w:color="auto" w:fill="FFFFFF"/>
        </w:rPr>
        <w:t>până la</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A.10.2.3.48.</w:t>
      </w:r>
    </w:p>
    <w:p w14:paraId="0423649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5.4.7.</w:t>
      </w:r>
      <w:r>
        <w:rPr>
          <w:rFonts w:eastAsia="Calibri"/>
          <w:i/>
          <w:sz w:val="24"/>
          <w:szCs w:val="24"/>
          <w:shd w:val="clear" w:color="auto" w:fill="FFFFFF"/>
        </w:rPr>
        <w:t xml:space="preserve"> Pereții și planșeele de separare a anexelor tehnico - sociale, laboratoarelor și atelierelor anexă față de spațiile din categoriile A sau B (BE3a,b) de pericol de incendiu, trebuie să fie rezistente la explozie, iar golurile de comunicare strict funcționale din acestea protejate corespunzător prevederilor Art. </w:t>
      </w:r>
      <w:r>
        <w:rPr>
          <w:rFonts w:eastAsia="Calibri"/>
          <w:b/>
          <w:bCs/>
          <w:i/>
          <w:sz w:val="24"/>
          <w:szCs w:val="24"/>
          <w:shd w:val="clear" w:color="auto" w:fill="FFFFFF"/>
        </w:rPr>
        <w:t xml:space="preserve">A.10.2.3.40. </w:t>
      </w:r>
      <w:r>
        <w:rPr>
          <w:rFonts w:eastAsia="Calibri"/>
          <w:i/>
          <w:sz w:val="24"/>
          <w:szCs w:val="24"/>
          <w:shd w:val="clear" w:color="auto" w:fill="FFFFFF"/>
        </w:rPr>
        <w:t>până la</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A.10.2.3.50.</w:t>
      </w:r>
    </w:p>
    <w:p w14:paraId="5CD7C77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5.4.8.</w:t>
      </w:r>
      <w:r>
        <w:rPr>
          <w:rFonts w:eastAsia="Calibri"/>
          <w:i/>
          <w:sz w:val="24"/>
          <w:szCs w:val="24"/>
          <w:shd w:val="clear" w:color="auto" w:fill="FFFFFF"/>
        </w:rPr>
        <w:t xml:space="preserve"> Pereții despărțitori dintre spațiile din categoria C (BE2) de pericol de incendiu și anexele tehnico - sociale, laboratoarele și atelierele anexă ale acestora (cu excepția grupurilor sanitare), trebuie să fie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rezistența la foc de minimum 2 ore (</w:t>
      </w:r>
      <w:r>
        <w:rPr>
          <w:rFonts w:eastAsia="Calibri"/>
          <w:b/>
          <w:bCs/>
          <w:i/>
          <w:sz w:val="24"/>
          <w:szCs w:val="24"/>
          <w:shd w:val="clear" w:color="auto" w:fill="FFFFFF"/>
        </w:rPr>
        <w:t>REI/EI120</w:t>
      </w:r>
      <w:r>
        <w:rPr>
          <w:rFonts w:eastAsia="Calibri"/>
          <w:i/>
          <w:sz w:val="24"/>
          <w:szCs w:val="24"/>
          <w:shd w:val="clear" w:color="auto" w:fill="FFFFFF"/>
        </w:rPr>
        <w:t>). Golurile de comunicare din acești pereți se protejează cu uși rezistente la foc minimum 45 minute (</w:t>
      </w:r>
      <w:r>
        <w:rPr>
          <w:rFonts w:eastAsia="Calibri"/>
          <w:b/>
          <w:bCs/>
          <w:i/>
          <w:sz w:val="24"/>
          <w:szCs w:val="24"/>
          <w:shd w:val="clear" w:color="auto" w:fill="FFFFFF"/>
        </w:rPr>
        <w:t>EI45-C</w:t>
      </w:r>
      <w:r>
        <w:rPr>
          <w:rFonts w:eastAsia="Calibri"/>
          <w:i/>
          <w:sz w:val="24"/>
          <w:szCs w:val="24"/>
          <w:shd w:val="clear" w:color="auto" w:fill="FFFFFF"/>
        </w:rPr>
        <w:t xml:space="preserve">), echipate cu dispozitive de autoînchidere sau închidere automată în caz de incendiu. Planșeele de separare vor fi </w:t>
      </w:r>
      <w:r>
        <w:rPr>
          <w:rFonts w:eastAsia="Calibri"/>
          <w:b/>
          <w:bCs/>
          <w:i/>
          <w:sz w:val="24"/>
          <w:szCs w:val="24"/>
          <w:shd w:val="clear" w:color="auto" w:fill="FFFFFF"/>
        </w:rPr>
        <w:t>A1, A2s1d0</w:t>
      </w:r>
      <w:r>
        <w:rPr>
          <w:rFonts w:eastAsia="Calibri"/>
          <w:i/>
          <w:sz w:val="24"/>
          <w:szCs w:val="24"/>
          <w:shd w:val="clear" w:color="auto" w:fill="FFFFFF"/>
        </w:rPr>
        <w:t>, rezistente la foc minimum 45 de minute (</w:t>
      </w:r>
      <w:r>
        <w:rPr>
          <w:rFonts w:eastAsia="Calibri"/>
          <w:b/>
          <w:bCs/>
          <w:i/>
          <w:sz w:val="24"/>
          <w:szCs w:val="24"/>
          <w:shd w:val="clear" w:color="auto" w:fill="FFFFFF"/>
        </w:rPr>
        <w:t>REI45</w:t>
      </w:r>
      <w:r>
        <w:rPr>
          <w:rFonts w:eastAsia="Calibri"/>
          <w:i/>
          <w:sz w:val="24"/>
          <w:szCs w:val="24"/>
          <w:shd w:val="clear" w:color="auto" w:fill="FFFFFF"/>
        </w:rPr>
        <w:t>), iar eventualele goluri din acestea protejate cu elemente de închidere rezistente la foc minimum 45 de minute (</w:t>
      </w:r>
      <w:r>
        <w:rPr>
          <w:rFonts w:eastAsia="Calibri"/>
          <w:b/>
          <w:bCs/>
          <w:i/>
          <w:sz w:val="24"/>
          <w:szCs w:val="24"/>
          <w:shd w:val="clear" w:color="auto" w:fill="FFFFFF"/>
        </w:rPr>
        <w:t>EI45</w:t>
      </w:r>
      <w:r>
        <w:rPr>
          <w:rFonts w:eastAsia="Calibri"/>
          <w:i/>
          <w:sz w:val="24"/>
          <w:szCs w:val="24"/>
          <w:shd w:val="clear" w:color="auto" w:fill="FFFFFF"/>
        </w:rPr>
        <w:t>).</w:t>
      </w:r>
    </w:p>
    <w:p w14:paraId="5D0BA6F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5.4.9.</w:t>
      </w:r>
      <w:r>
        <w:rPr>
          <w:rFonts w:eastAsia="Calibri"/>
          <w:i/>
          <w:sz w:val="24"/>
          <w:szCs w:val="24"/>
          <w:shd w:val="clear" w:color="auto" w:fill="FFFFFF"/>
        </w:rPr>
        <w:t xml:space="preserve"> În spațiile închise (încăperile) pentru producție din categoriile C, D sau E (BE2 sau BE1a,b) de pericol de incendiu, este admisă realizarea birourilor destinate personalului care conduce nemijlocit producția (maiștri, supraveghetori, conducere, etc), cu elemente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și care pot avea ferestre cu geamuri spre spațiul de producție.</w:t>
      </w:r>
    </w:p>
    <w:p w14:paraId="231185A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5.4.10.</w:t>
      </w:r>
      <w:r>
        <w:rPr>
          <w:rFonts w:eastAsia="Calibri"/>
          <w:i/>
          <w:sz w:val="24"/>
          <w:szCs w:val="24"/>
          <w:shd w:val="clear" w:color="auto" w:fill="FFFFFF"/>
        </w:rPr>
        <w:t xml:space="preserve"> Pentru limitarea propagării focului și a fumului în spațiile închise (camerele) cu arii libere (fără pereți interiori) mai mari de </w:t>
      </w:r>
      <w:r>
        <w:rPr>
          <w:rFonts w:eastAsia="Calibri"/>
          <w:b/>
          <w:bCs/>
          <w:i/>
          <w:sz w:val="24"/>
          <w:szCs w:val="24"/>
          <w:shd w:val="clear" w:color="auto" w:fill="FFFFFF"/>
        </w:rPr>
        <w:t>10.400 m</w:t>
      </w:r>
      <w:r>
        <w:rPr>
          <w:rFonts w:eastAsia="Calibri"/>
          <w:b/>
          <w:bCs/>
          <w:i/>
          <w:sz w:val="24"/>
          <w:szCs w:val="24"/>
          <w:shd w:val="clear" w:color="auto" w:fill="FFFFFF"/>
          <w:vertAlign w:val="superscript"/>
        </w:rPr>
        <w:t>2</w:t>
      </w:r>
      <w:r>
        <w:rPr>
          <w:rFonts w:eastAsia="Calibri"/>
          <w:i/>
          <w:sz w:val="24"/>
          <w:szCs w:val="24"/>
          <w:shd w:val="clear" w:color="auto" w:fill="FFFFFF"/>
        </w:rPr>
        <w:t xml:space="preserve">, din categoriile A, B și C (BE3a,b și BE2) de pericol de incendiu, sub tavanul (intradosul planșeului) acestora se prevăd sisteme de evacuare a fumului și gazelor fierbinți, alcătuite din dispozitive pentru evacuarea produselor arderii și ecrane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conform prevederilor Art. </w:t>
      </w:r>
      <w:r>
        <w:rPr>
          <w:rFonts w:eastAsia="Calibri"/>
          <w:b/>
          <w:bCs/>
          <w:i/>
          <w:sz w:val="24"/>
          <w:szCs w:val="24"/>
          <w:shd w:val="clear" w:color="auto" w:fill="FFFFFF"/>
        </w:rPr>
        <w:t xml:space="preserve">A.10.9.36.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A.10.9.45.</w:t>
      </w:r>
    </w:p>
    <w:p w14:paraId="72407642" w14:textId="77777777" w:rsidR="001C08A5" w:rsidRDefault="00000000">
      <w:pPr>
        <w:pStyle w:val="Heading3"/>
        <w:rPr>
          <w:i/>
          <w:iCs/>
          <w:sz w:val="24"/>
          <w:szCs w:val="24"/>
        </w:rPr>
      </w:pPr>
      <w:bookmarkStart w:id="11297" w:name="_Toc8207"/>
      <w:bookmarkStart w:id="11298" w:name="_Toc17168"/>
      <w:bookmarkStart w:id="11299" w:name="_Toc10514"/>
      <w:bookmarkStart w:id="11300" w:name="_Toc162355619"/>
      <w:bookmarkStart w:id="11301" w:name="_Toc14754"/>
      <w:bookmarkStart w:id="11302" w:name="_Toc18804"/>
      <w:r>
        <w:rPr>
          <w:i/>
          <w:iCs/>
          <w:sz w:val="24"/>
          <w:szCs w:val="24"/>
        </w:rPr>
        <w:t>A.10. 5.5. EVACUARE FUM (DESFUMARE)</w:t>
      </w:r>
      <w:bookmarkEnd w:id="11297"/>
      <w:bookmarkEnd w:id="11298"/>
      <w:bookmarkEnd w:id="11299"/>
      <w:bookmarkEnd w:id="11300"/>
      <w:bookmarkEnd w:id="11301"/>
      <w:bookmarkEnd w:id="11302"/>
    </w:p>
    <w:p w14:paraId="2E05BD1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5.5.1.</w:t>
      </w:r>
      <w:r>
        <w:rPr>
          <w:rFonts w:eastAsia="Calibri"/>
          <w:i/>
          <w:sz w:val="24"/>
          <w:szCs w:val="24"/>
          <w:shd w:val="clear" w:color="auto" w:fill="FFFFFF"/>
        </w:rPr>
        <w:t xml:space="preserve"> Asigurarea evacuării fumului (desfumare) prin tiraj natural organizat sau prin ventilare mecanică, se realizează conform prevederilor Art. </w:t>
      </w:r>
      <w:r>
        <w:rPr>
          <w:rFonts w:eastAsia="Calibri"/>
          <w:b/>
          <w:bCs/>
          <w:i/>
          <w:sz w:val="24"/>
          <w:szCs w:val="24"/>
          <w:shd w:val="clear" w:color="auto" w:fill="FFFFFF"/>
        </w:rPr>
        <w:t xml:space="preserve">A.10.9.1.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A.10.9.30.</w:t>
      </w:r>
      <w:r>
        <w:rPr>
          <w:rFonts w:eastAsia="Calibri"/>
          <w:i/>
          <w:sz w:val="24"/>
          <w:szCs w:val="24"/>
          <w:shd w:val="clear" w:color="auto" w:fill="FFFFFF"/>
        </w:rPr>
        <w:t xml:space="preserve"> ale anexei, respectându-se și condițiile specifice.</w:t>
      </w:r>
    </w:p>
    <w:p w14:paraId="2D33B94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5.5.2.</w:t>
      </w:r>
      <w:r>
        <w:rPr>
          <w:rFonts w:eastAsia="Calibri"/>
          <w:i/>
          <w:sz w:val="24"/>
          <w:szCs w:val="24"/>
          <w:shd w:val="clear" w:color="auto" w:fill="FFFFFF"/>
        </w:rPr>
        <w:t> Este obligatorie asigurarea evacuării fumului la construcțiile existente de producție și cele de depozitare precizate în anexă. Dispozitivele pentru evacuarea fumului prin tiraj natural-organizat, pot fi dispuse în acoperiș sau în treimea superioară a pereților exteriori (situație, în care pot asigura desfumarea numai pe maximum 30 m adâncime a încăperii). Dispozitivele vor asigura suprafața liberă normată în cazurile și condițiile stabilite de anexă, urmărindu-se distribuirea lor cât mai uniformă.</w:t>
      </w:r>
    </w:p>
    <w:p w14:paraId="3456B84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5.5.3.</w:t>
      </w:r>
      <w:r>
        <w:rPr>
          <w:rFonts w:eastAsia="Calibri"/>
          <w:i/>
          <w:sz w:val="24"/>
          <w:szCs w:val="24"/>
          <w:shd w:val="clear" w:color="auto" w:fill="FFFFFF"/>
        </w:rPr>
        <w:t> Construcțiile existente pentru depozite și încăperile pentru depozitare cu aria mai mare de 36 m2, încadrate în categoriile A, B sau C (BE3a,b sau BE2) de pericol de incendiu, vor avea asigurată evacuarea fumului (desfumarea) prin tiraj natural - organizat, cu dispozitive având suprafața liberă însumată de cel puțin 1% din aria spațiilor respective, sau sistem mecanic corespunzător.</w:t>
      </w:r>
    </w:p>
    <w:p w14:paraId="7DE9129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5.5.4.</w:t>
      </w:r>
      <w:r>
        <w:rPr>
          <w:rFonts w:eastAsia="Calibri"/>
          <w:i/>
          <w:sz w:val="24"/>
          <w:szCs w:val="24"/>
          <w:shd w:val="clear" w:color="auto" w:fill="FFFFFF"/>
        </w:rPr>
        <w:t> Casele de scări închise, care nu au ferestre spre exterior și după caz, încăperile tampon de acces la acestea, vor avea asigurate posibilități de evacuare a fumului (desfumare), prin tiraj natural - organizat.</w:t>
      </w:r>
    </w:p>
    <w:p w14:paraId="717B735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5.5.5.</w:t>
      </w:r>
      <w:r>
        <w:rPr>
          <w:rFonts w:eastAsia="Calibri"/>
          <w:i/>
          <w:sz w:val="24"/>
          <w:szCs w:val="24"/>
          <w:shd w:val="clear" w:color="auto" w:fill="FFFFFF"/>
        </w:rPr>
        <w:t> În toate situațiile exceptând casele de scări evacuarea natural-organizată a fumului se poate înlocui cu evacuarea mecanică a acestuia, alcătuită și realizată conform prevederilor din prezenta anexă.</w:t>
      </w:r>
    </w:p>
    <w:p w14:paraId="2805935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5.5.6.</w:t>
      </w:r>
      <w:r>
        <w:rPr>
          <w:rFonts w:eastAsia="Calibri"/>
          <w:i/>
          <w:sz w:val="24"/>
          <w:szCs w:val="24"/>
          <w:shd w:val="clear" w:color="auto" w:fill="FFFFFF"/>
        </w:rPr>
        <w:t> Atunci când se asigură sisteme de evacuare a fumului și gazelor fierbinți produse în caz de incendiu (conform Art.</w:t>
      </w:r>
      <w:r>
        <w:rPr>
          <w:rFonts w:eastAsia="Calibri"/>
          <w:b/>
          <w:bCs/>
          <w:i/>
          <w:sz w:val="24"/>
          <w:szCs w:val="24"/>
          <w:shd w:val="clear" w:color="auto" w:fill="FFFFFF"/>
        </w:rPr>
        <w:t xml:space="preserve"> A.10.5.4.10.</w:t>
      </w:r>
      <w:r>
        <w:rPr>
          <w:rFonts w:eastAsia="Calibri"/>
          <w:i/>
          <w:sz w:val="24"/>
          <w:szCs w:val="24"/>
          <w:shd w:val="clear" w:color="auto" w:fill="FFFFFF"/>
        </w:rPr>
        <w:t>), nu mai este obligatorie evacuarea fumului (desfumare).</w:t>
      </w:r>
    </w:p>
    <w:p w14:paraId="78F1973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5.5.7.</w:t>
      </w:r>
      <w:r>
        <w:rPr>
          <w:rFonts w:eastAsia="Calibri"/>
          <w:i/>
          <w:sz w:val="24"/>
          <w:szCs w:val="24"/>
          <w:shd w:val="clear" w:color="auto" w:fill="FFFFFF"/>
        </w:rPr>
        <w:t> Evacuarea fumului (desfumarea) din spațiile de depozitare va fi independentă de cea a spațiilor de producție, indiferent de modul în care se realizează (prin tiraj natural organizat sau ventilare mecanică).</w:t>
      </w:r>
    </w:p>
    <w:p w14:paraId="6742FE6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5.5.8.</w:t>
      </w:r>
      <w:r>
        <w:rPr>
          <w:rFonts w:eastAsia="Calibri"/>
          <w:i/>
          <w:sz w:val="24"/>
          <w:szCs w:val="24"/>
          <w:shd w:val="clear" w:color="auto" w:fill="FFFFFF"/>
        </w:rPr>
        <w:t> Canalele de evacuare a fumului (desfumare) care străbat spații ori încăperi cu alte funcțiuni sau categorii, de pericol de incendiu decât cele pentru care sunt prevăzute, vor avea pereții astfel realizați încât să îndeplinească condițiile impuse de funcțiunile și categoriile de pericol respective.</w:t>
      </w:r>
    </w:p>
    <w:p w14:paraId="1027C012" w14:textId="77777777" w:rsidR="001C08A5" w:rsidRDefault="00000000">
      <w:pPr>
        <w:pStyle w:val="Heading3"/>
        <w:rPr>
          <w:i/>
          <w:iCs/>
          <w:sz w:val="24"/>
          <w:szCs w:val="24"/>
        </w:rPr>
      </w:pPr>
      <w:bookmarkStart w:id="11303" w:name="_Toc21809"/>
      <w:bookmarkStart w:id="11304" w:name="_Toc6210"/>
      <w:bookmarkStart w:id="11305" w:name="_Toc8224"/>
      <w:bookmarkStart w:id="11306" w:name="_Toc8652"/>
      <w:bookmarkStart w:id="11307" w:name="_Toc162355620"/>
      <w:bookmarkStart w:id="11308" w:name="_Toc17015"/>
      <w:r>
        <w:rPr>
          <w:i/>
          <w:iCs/>
          <w:sz w:val="24"/>
          <w:szCs w:val="24"/>
        </w:rPr>
        <w:lastRenderedPageBreak/>
        <w:t>A.10. 5.6. CĂI DE EVACUARE ÎN CAZ DE INCENDIU</w:t>
      </w:r>
      <w:bookmarkEnd w:id="11303"/>
      <w:bookmarkEnd w:id="11304"/>
      <w:bookmarkEnd w:id="11305"/>
      <w:bookmarkEnd w:id="11306"/>
      <w:bookmarkEnd w:id="11307"/>
      <w:bookmarkEnd w:id="11308"/>
    </w:p>
    <w:p w14:paraId="60001A8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5.6.1.</w:t>
      </w:r>
      <w:r>
        <w:rPr>
          <w:rFonts w:eastAsia="Calibri"/>
          <w:i/>
          <w:sz w:val="24"/>
          <w:szCs w:val="24"/>
          <w:shd w:val="clear" w:color="auto" w:fill="FFFFFF"/>
        </w:rPr>
        <w:t> Construcțiile existente de producție și/sau depozitare vor avea asigurate căi de evacuare în caz de incendiu în număr suficient, corespunzător dispuse, alcătuite și dimensionate, potrivit prevederilor Art.</w:t>
      </w:r>
      <w:r>
        <w:rPr>
          <w:rFonts w:eastAsia="Calibri"/>
          <w:b/>
          <w:bCs/>
          <w:i/>
          <w:sz w:val="24"/>
          <w:szCs w:val="24"/>
          <w:shd w:val="clear" w:color="auto" w:fill="FFFFFF"/>
        </w:rPr>
        <w:t xml:space="preserve"> A.10.2.5.1.</w:t>
      </w:r>
      <w:r>
        <w:rPr>
          <w:rFonts w:eastAsia="Calibri"/>
          <w:i/>
          <w:sz w:val="24"/>
          <w:szCs w:val="24"/>
          <w:shd w:val="clear" w:color="auto" w:fill="FFFFFF"/>
        </w:rPr>
        <w:t xml:space="preserve"> la Art.</w:t>
      </w:r>
      <w:r>
        <w:rPr>
          <w:rFonts w:eastAsia="Calibri"/>
          <w:b/>
          <w:bCs/>
          <w:i/>
          <w:sz w:val="24"/>
          <w:szCs w:val="24"/>
          <w:shd w:val="clear" w:color="auto" w:fill="FFFFFF"/>
        </w:rPr>
        <w:t xml:space="preserve"> A.10.2.5.74.</w:t>
      </w:r>
      <w:r>
        <w:rPr>
          <w:rFonts w:eastAsia="Calibri"/>
          <w:i/>
          <w:sz w:val="24"/>
          <w:szCs w:val="24"/>
          <w:shd w:val="clear" w:color="auto" w:fill="FFFFFF"/>
        </w:rPr>
        <w:t xml:space="preserve"> și ale celor specifice. La depozitele fără personal permanent de lucru, nu este obligatorie asigurarea căilor de evacuare în caz de incendiu.</w:t>
      </w:r>
    </w:p>
    <w:p w14:paraId="7F076CE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5.6.2.</w:t>
      </w:r>
      <w:r>
        <w:rPr>
          <w:rFonts w:eastAsia="Calibri"/>
          <w:i/>
          <w:sz w:val="24"/>
          <w:szCs w:val="24"/>
          <w:shd w:val="clear" w:color="auto" w:fill="FFFFFF"/>
        </w:rPr>
        <w:t> În construcțiile existente de producție și/sau depozitare, pot fi considerate căi de evacuare și cele care trec prin:</w:t>
      </w:r>
    </w:p>
    <w:p w14:paraId="5AEA10BE"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încăperi sau spații din categoriile D sau E (BE1 a,b) de pericol de incendiu, dacă servesc la evacuarea persoanelor din spațiile de producție învecinate sau din anexele tehnico - sociale ale acestora, precum și în cazurile stabilite la Art.</w:t>
      </w:r>
      <w:r>
        <w:rPr>
          <w:rFonts w:eastAsia="Calibri"/>
          <w:b/>
          <w:bCs/>
          <w:i/>
          <w:sz w:val="24"/>
          <w:szCs w:val="24"/>
          <w:shd w:val="clear" w:color="auto" w:fill="FFFFFF"/>
        </w:rPr>
        <w:t xml:space="preserve"> A.10.5.6.3.</w:t>
      </w:r>
      <w:r>
        <w:rPr>
          <w:rFonts w:eastAsia="Calibri"/>
          <w:i/>
          <w:sz w:val="24"/>
          <w:szCs w:val="24"/>
          <w:shd w:val="clear" w:color="auto" w:fill="FFFFFF"/>
        </w:rPr>
        <w:t xml:space="preserve"> și Art.</w:t>
      </w:r>
      <w:r>
        <w:rPr>
          <w:rFonts w:eastAsia="Calibri"/>
          <w:b/>
          <w:bCs/>
          <w:i/>
          <w:sz w:val="24"/>
          <w:szCs w:val="24"/>
          <w:shd w:val="clear" w:color="auto" w:fill="FFFFFF"/>
        </w:rPr>
        <w:t xml:space="preserve"> A.10.5.6.6.</w:t>
      </w:r>
      <w:r>
        <w:rPr>
          <w:rFonts w:eastAsia="Calibri"/>
          <w:i/>
          <w:sz w:val="24"/>
          <w:szCs w:val="24"/>
          <w:shd w:val="clear" w:color="auto" w:fill="FFFFFF"/>
        </w:rPr>
        <w:t>;</w:t>
      </w:r>
    </w:p>
    <w:p w14:paraId="60912AA7"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încăperi sau spații din categoria C (BE2) de pericol de incendiu, dacă servesc la evacuarea persoanelor din spațiile de producție învecinate, atunci când nu constituie singura lor cale de evacuare; a doua cale de evacuare poate fi constituită tot de un spațiu din categoria C (BE2) de incendiu, dacă traseele sunt distincte și separate între eie prin pereți rezistenți la foc minimum 1 oră (</w:t>
      </w:r>
      <w:r>
        <w:rPr>
          <w:rFonts w:eastAsia="Calibri"/>
          <w:b/>
          <w:bCs/>
          <w:i/>
          <w:sz w:val="24"/>
          <w:szCs w:val="24"/>
          <w:shd w:val="clear" w:color="auto" w:fill="FFFFFF"/>
        </w:rPr>
        <w:t>REI/EI60</w:t>
      </w:r>
      <w:r>
        <w:rPr>
          <w:rFonts w:eastAsia="Calibri"/>
          <w:i/>
          <w:sz w:val="24"/>
          <w:szCs w:val="24"/>
          <w:shd w:val="clear" w:color="auto" w:fill="FFFFFF"/>
        </w:rPr>
        <w:t>), iar golurile de circulație din aceștia sunt protejate cu elemente de închidere corespunzătoare, echipate cu dispozitive de autoînchidere sau închidere automată în caz de incendiu;</w:t>
      </w:r>
    </w:p>
    <w:p w14:paraId="3C1E3C82"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c)</w:t>
      </w:r>
      <w:r>
        <w:rPr>
          <w:rFonts w:eastAsia="Calibri"/>
          <w:i/>
          <w:sz w:val="24"/>
          <w:szCs w:val="24"/>
          <w:shd w:val="clear" w:color="auto" w:fill="FFFFFF"/>
        </w:rPr>
        <w:t> încăperi sau spații din categoriile A sau B (BE3a,b) de pericol de incendiu, dacă servesc la evacuarea persoanelor din spații de producție sau depozitare din aceeași categorie de pericol de incendiu și nu constituie singura posibilitate de evacuare.</w:t>
      </w:r>
    </w:p>
    <w:p w14:paraId="6F041A0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5.6.3.</w:t>
      </w:r>
      <w:r>
        <w:rPr>
          <w:rFonts w:eastAsia="Calibri"/>
          <w:i/>
          <w:sz w:val="24"/>
          <w:szCs w:val="24"/>
          <w:shd w:val="clear" w:color="auto" w:fill="FFFFFF"/>
        </w:rPr>
        <w:t> Evacuarea persoanelor din birourile destinate celor care conduc nemijlocit producția (maiștri, supraveghetori, conducerea, etc.) amplasate în spațiul de producție sau depozitare se poate asigura numai prin spațiul respectiv.</w:t>
      </w:r>
    </w:p>
    <w:p w14:paraId="0B67270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5.6.4.</w:t>
      </w:r>
      <w:r>
        <w:rPr>
          <w:rFonts w:eastAsia="Calibri"/>
          <w:i/>
          <w:sz w:val="24"/>
          <w:szCs w:val="24"/>
          <w:shd w:val="clear" w:color="auto" w:fill="FFFFFF"/>
        </w:rPr>
        <w:t> Golurile de acces la scările de evacuare închise din construcțiile existente de producție și /sau depozitare, se protejează prin:</w:t>
      </w:r>
    </w:p>
    <w:p w14:paraId="0F502E81"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uși pline sau cu geam armat, atunci când accesul la scară se face din spații închise (încăperi) din categoria D sau E (BE1a,b) de incendiu;</w:t>
      </w:r>
    </w:p>
    <w:p w14:paraId="1214B5E0"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uși rezistente la foc minimum 45 de minute (</w:t>
      </w:r>
      <w:r>
        <w:rPr>
          <w:rFonts w:eastAsia="Calibri"/>
          <w:b/>
          <w:bCs/>
          <w:i/>
          <w:sz w:val="24"/>
          <w:szCs w:val="24"/>
          <w:shd w:val="clear" w:color="auto" w:fill="FFFFFF"/>
        </w:rPr>
        <w:t>EI45-C</w:t>
      </w:r>
      <w:r>
        <w:rPr>
          <w:rFonts w:eastAsia="Calibri"/>
          <w:i/>
          <w:sz w:val="24"/>
          <w:szCs w:val="24"/>
          <w:shd w:val="clear" w:color="auto" w:fill="FFFFFF"/>
        </w:rPr>
        <w:t>), atunci când accesul la scară se face din spații de producție închise (încăperi) din categoria C (BE2) de pericol de incendiu;</w:t>
      </w:r>
    </w:p>
    <w:p w14:paraId="3F920FE4"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c)</w:t>
      </w:r>
      <w:r>
        <w:rPr>
          <w:rFonts w:eastAsia="Calibri"/>
          <w:i/>
          <w:sz w:val="24"/>
          <w:szCs w:val="24"/>
          <w:shd w:val="clear" w:color="auto" w:fill="FFFFFF"/>
        </w:rPr>
        <w:t> încăperi tampon ventilate în suprapresiune având uși rezistente la foc minimum 45 de minute (</w:t>
      </w:r>
      <w:r>
        <w:rPr>
          <w:rFonts w:eastAsia="Calibri"/>
          <w:b/>
          <w:bCs/>
          <w:i/>
          <w:sz w:val="24"/>
          <w:szCs w:val="24"/>
          <w:shd w:val="clear" w:color="auto" w:fill="FFFFFF"/>
        </w:rPr>
        <w:t>EI45-C</w:t>
      </w:r>
      <w:r>
        <w:rPr>
          <w:rFonts w:eastAsia="Calibri"/>
          <w:i/>
          <w:sz w:val="24"/>
          <w:szCs w:val="24"/>
          <w:shd w:val="clear" w:color="auto" w:fill="FFFFFF"/>
        </w:rPr>
        <w:t>), atunci când accesul la scară se face din spații de producțiesau depozitare închise (încăperi) din categoriile A sau B (BE3a,b) de pericol de incendiu;</w:t>
      </w:r>
    </w:p>
    <w:p w14:paraId="61787C89"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d)</w:t>
      </w:r>
      <w:r>
        <w:rPr>
          <w:rFonts w:eastAsia="Calibri"/>
          <w:i/>
          <w:sz w:val="24"/>
          <w:szCs w:val="24"/>
          <w:shd w:val="clear" w:color="auto" w:fill="FFFFFF"/>
        </w:rPr>
        <w:t> uși rezistente la foc minimum 1 oră și 30 de minute (</w:t>
      </w:r>
      <w:r>
        <w:rPr>
          <w:rFonts w:eastAsia="Calibri"/>
          <w:b/>
          <w:bCs/>
          <w:i/>
          <w:sz w:val="24"/>
          <w:szCs w:val="24"/>
          <w:shd w:val="clear" w:color="auto" w:fill="FFFFFF"/>
        </w:rPr>
        <w:t>EI90-C</w:t>
      </w:r>
      <w:r>
        <w:rPr>
          <w:rFonts w:eastAsia="Calibri"/>
          <w:i/>
          <w:sz w:val="24"/>
          <w:szCs w:val="24"/>
          <w:shd w:val="clear" w:color="auto" w:fill="FFFFFF"/>
        </w:rPr>
        <w:t>) sau încăperi tampon cu uși de 45 de minute (</w:t>
      </w:r>
      <w:r>
        <w:rPr>
          <w:rFonts w:eastAsia="Calibri"/>
          <w:b/>
          <w:bCs/>
          <w:i/>
          <w:sz w:val="24"/>
          <w:szCs w:val="24"/>
          <w:shd w:val="clear" w:color="auto" w:fill="FFFFFF"/>
        </w:rPr>
        <w:t>EI45-C</w:t>
      </w:r>
      <w:r>
        <w:rPr>
          <w:rFonts w:eastAsia="Calibri"/>
          <w:i/>
          <w:sz w:val="24"/>
          <w:szCs w:val="24"/>
          <w:shd w:val="clear" w:color="auto" w:fill="FFFFFF"/>
        </w:rPr>
        <w:t>), atunci când spațiile închise (încăperile) sunt de depozitare a materialelor sau substanțelor combusțibilie.</w:t>
      </w:r>
    </w:p>
    <w:p w14:paraId="664E8462"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În toate situațiile, ușile de protecție a golurilor de acces la casele de scări se echipează cu dispozitive de autoînchidere.</w:t>
      </w:r>
    </w:p>
    <w:p w14:paraId="6D39A40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5.6.5.</w:t>
      </w:r>
      <w:r>
        <w:rPr>
          <w:rFonts w:eastAsia="Calibri"/>
          <w:i/>
          <w:sz w:val="24"/>
          <w:szCs w:val="24"/>
          <w:shd w:val="clear" w:color="auto" w:fill="FFFFFF"/>
        </w:rPr>
        <w:t> Golurile de acces la ascensoare sau alte mijloace de transport pe verticală (palier), din construcțiile existente de producție și/sau depozitare se protejează cu:</w:t>
      </w:r>
    </w:p>
    <w:p w14:paraId="5756871E"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xml:space="preserve"> uși pline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atunci când accesul se realizează din spații de producție și/sau depozitare închise (camere) încadrate în categoria D sau E (BE1 a,b) de pericol de incendiu;</w:t>
      </w:r>
    </w:p>
    <w:p w14:paraId="2D8A7D5D"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uși rezistente la foc minimum 45 minute (</w:t>
      </w:r>
      <w:r>
        <w:rPr>
          <w:rFonts w:eastAsia="Calibri"/>
          <w:b/>
          <w:bCs/>
          <w:i/>
          <w:sz w:val="24"/>
          <w:szCs w:val="24"/>
          <w:shd w:val="clear" w:color="auto" w:fill="FFFFFF"/>
        </w:rPr>
        <w:t>EI45-C</w:t>
      </w:r>
      <w:r>
        <w:rPr>
          <w:rFonts w:eastAsia="Calibri"/>
          <w:i/>
          <w:sz w:val="24"/>
          <w:szCs w:val="24"/>
          <w:shd w:val="clear" w:color="auto" w:fill="FFFFFF"/>
        </w:rPr>
        <w:t>), atunci când accesul se realizează din spații de producție închise (camere) din categoria C (BE2) de pericol de incendiu;</w:t>
      </w:r>
    </w:p>
    <w:p w14:paraId="34F82F1B" w14:textId="77777777" w:rsidR="001C08A5" w:rsidRDefault="00000000">
      <w:pPr>
        <w:shd w:val="clear" w:color="auto" w:fill="FFFFFF"/>
        <w:spacing w:after="150"/>
        <w:ind w:left="720" w:firstLine="720"/>
        <w:jc w:val="both"/>
        <w:rPr>
          <w:rFonts w:eastAsia="Calibri"/>
          <w:i/>
          <w:sz w:val="24"/>
          <w:szCs w:val="24"/>
          <w:shd w:val="clear" w:color="auto" w:fill="FFFFFF"/>
        </w:rPr>
      </w:pPr>
      <w:r>
        <w:rPr>
          <w:rFonts w:eastAsia="Calibri"/>
          <w:b/>
          <w:bCs/>
          <w:i/>
          <w:sz w:val="24"/>
          <w:szCs w:val="24"/>
          <w:shd w:val="clear" w:color="auto" w:fill="FFFFFF"/>
        </w:rPr>
        <w:lastRenderedPageBreak/>
        <w:t>c)</w:t>
      </w:r>
      <w:r>
        <w:rPr>
          <w:rFonts w:eastAsia="Calibri"/>
          <w:i/>
          <w:sz w:val="24"/>
          <w:szCs w:val="24"/>
          <w:shd w:val="clear" w:color="auto" w:fill="FFFFFF"/>
        </w:rPr>
        <w:t> încăperi tampon ventilate în suprapresiune și prevăzute cu uși rezistente la foc minimum 45 de minute (</w:t>
      </w:r>
      <w:r>
        <w:rPr>
          <w:rFonts w:eastAsia="Calibri"/>
          <w:b/>
          <w:bCs/>
          <w:i/>
          <w:sz w:val="24"/>
          <w:szCs w:val="24"/>
          <w:shd w:val="clear" w:color="auto" w:fill="FFFFFF"/>
        </w:rPr>
        <w:t>EI45-C</w:t>
      </w:r>
      <w:r>
        <w:rPr>
          <w:rFonts w:eastAsia="Calibri"/>
          <w:i/>
          <w:sz w:val="24"/>
          <w:szCs w:val="24"/>
          <w:shd w:val="clear" w:color="auto" w:fill="FFFFFF"/>
        </w:rPr>
        <w:t xml:space="preserve">), atunci când accesul se realizează din spații de producție sau depozitare închise (camere) din categoria Asau B (BE3a,b) de pericol de incendiu; </w:t>
      </w:r>
    </w:p>
    <w:p w14:paraId="3033DBE0" w14:textId="77777777" w:rsidR="001C08A5" w:rsidRDefault="00000000">
      <w:pPr>
        <w:shd w:val="clear" w:color="auto" w:fill="FFFFFF"/>
        <w:spacing w:after="150"/>
        <w:ind w:left="720" w:firstLine="720"/>
        <w:jc w:val="both"/>
        <w:rPr>
          <w:rFonts w:eastAsia="Calibri"/>
          <w:i/>
          <w:sz w:val="24"/>
          <w:szCs w:val="24"/>
          <w:shd w:val="clear" w:color="auto" w:fill="FFFFFF"/>
        </w:rPr>
      </w:pPr>
      <w:r>
        <w:rPr>
          <w:rFonts w:eastAsia="Calibri"/>
          <w:b/>
          <w:bCs/>
          <w:i/>
          <w:sz w:val="24"/>
          <w:szCs w:val="24"/>
          <w:shd w:val="clear" w:color="auto" w:fill="FFFFFF"/>
        </w:rPr>
        <w:t>d</w:t>
      </w:r>
      <w:r>
        <w:rPr>
          <w:rFonts w:eastAsia="Calibri"/>
          <w:i/>
          <w:sz w:val="24"/>
          <w:szCs w:val="24"/>
          <w:shd w:val="clear" w:color="auto" w:fill="FFFFFF"/>
        </w:rPr>
        <w:t>) uși rezistente la foc 1 oră și 30 de minute (</w:t>
      </w:r>
      <w:r>
        <w:rPr>
          <w:rFonts w:eastAsia="Calibri"/>
          <w:b/>
          <w:bCs/>
          <w:i/>
          <w:sz w:val="24"/>
          <w:szCs w:val="24"/>
          <w:shd w:val="clear" w:color="auto" w:fill="FFFFFF"/>
        </w:rPr>
        <w:t>EI90-C</w:t>
      </w:r>
      <w:r>
        <w:rPr>
          <w:rFonts w:eastAsia="Calibri"/>
          <w:i/>
          <w:sz w:val="24"/>
          <w:szCs w:val="24"/>
          <w:shd w:val="clear" w:color="auto" w:fill="FFFFFF"/>
        </w:rPr>
        <w:t>) sau încăperi tampon prevăzute cu uși rezistente la foc 45 de minute (</w:t>
      </w:r>
      <w:r>
        <w:rPr>
          <w:rFonts w:eastAsia="Calibri"/>
          <w:b/>
          <w:bCs/>
          <w:i/>
          <w:sz w:val="24"/>
          <w:szCs w:val="24"/>
          <w:shd w:val="clear" w:color="auto" w:fill="FFFFFF"/>
        </w:rPr>
        <w:t>EI45-C</w:t>
      </w:r>
      <w:r>
        <w:rPr>
          <w:rFonts w:eastAsia="Calibri"/>
          <w:i/>
          <w:sz w:val="24"/>
          <w:szCs w:val="24"/>
          <w:shd w:val="clear" w:color="auto" w:fill="FFFFFF"/>
        </w:rPr>
        <w:t xml:space="preserve">), atunci când accesul se realizează din spații închise (camere) de depozitare a materialelor sau substanțelor combustibile. </w:t>
      </w:r>
    </w:p>
    <w:p w14:paraId="5086FBA3"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Ușile de protecție a golurilor de acces la ascensoare de palier se echipează cu dispozitive de autoînchidere sau după caz, cu închidere automată în caz de incendiu.</w:t>
      </w:r>
    </w:p>
    <w:p w14:paraId="65707F3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5.6.6.</w:t>
      </w:r>
      <w:r>
        <w:rPr>
          <w:rFonts w:eastAsia="Calibri"/>
          <w:i/>
          <w:sz w:val="24"/>
          <w:szCs w:val="24"/>
          <w:shd w:val="clear" w:color="auto" w:fill="FFFFFF"/>
        </w:rPr>
        <w:t> Scări de evacuare interioare deschise, sunt admise în construcțiile existente de producție și/sau depozitare, în următoarele cazuri:</w:t>
      </w:r>
    </w:p>
    <w:p w14:paraId="27CC78FB"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xml:space="preserve"> construcții existente de nivelul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și </w:t>
      </w:r>
      <w:r>
        <w:rPr>
          <w:rFonts w:eastAsia="Calibri"/>
          <w:b/>
          <w:bCs/>
          <w:i/>
          <w:sz w:val="24"/>
          <w:szCs w:val="24"/>
          <w:shd w:val="clear" w:color="auto" w:fill="FFFFFF"/>
        </w:rPr>
        <w:t>III</w:t>
      </w:r>
      <w:r>
        <w:rPr>
          <w:rFonts w:eastAsia="Calibri"/>
          <w:i/>
          <w:sz w:val="24"/>
          <w:szCs w:val="24"/>
          <w:shd w:val="clear" w:color="auto" w:fill="FFFFFF"/>
        </w:rPr>
        <w:t>, încadrate în categoria E (BE1b) de pericol de incendiu, dacă servesc la evacuarea persoanelor de la cel mult două niveluri și în total numărul acestora nu depășește 100 de persoane;</w:t>
      </w:r>
    </w:p>
    <w:p w14:paraId="6A4A0A86"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construcții existente de nivelul de stabilitate la incendiu I și II, din categoria D (BE1a) de pericol de incendiu, dacă servesc la evacuarea persoanelor de la cel mult două niveluri și în total, numărul acestora nu depășește 50 de persoane;</w:t>
      </w:r>
    </w:p>
    <w:p w14:paraId="3582B29D"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c)</w:t>
      </w:r>
      <w:r>
        <w:rPr>
          <w:rFonts w:eastAsia="Calibri"/>
          <w:i/>
          <w:sz w:val="24"/>
          <w:szCs w:val="24"/>
          <w:shd w:val="clear" w:color="auto" w:fill="FFFFFF"/>
        </w:rPr>
        <w:t> construcții existente de nivelul de stabilitate la incendiu I și II, din categoria C (BE2) de pericol de incendiu, dacă servesc la evacuarea unui singur nivel, iar numărul total de persoane este de maximum 30.</w:t>
      </w:r>
    </w:p>
    <w:p w14:paraId="720AF52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5.6.7.</w:t>
      </w:r>
      <w:r>
        <w:rPr>
          <w:rFonts w:eastAsia="Calibri"/>
          <w:i/>
          <w:sz w:val="24"/>
          <w:szCs w:val="24"/>
          <w:shd w:val="clear" w:color="auto" w:fill="FFFFFF"/>
        </w:rPr>
        <w:t> Grinzile, rampele, podestele și treptele scărilor interioare deschise de evacuare menționate la Art.</w:t>
      </w:r>
      <w:r>
        <w:rPr>
          <w:rFonts w:eastAsia="Calibri"/>
          <w:b/>
          <w:bCs/>
          <w:i/>
          <w:sz w:val="24"/>
          <w:szCs w:val="24"/>
          <w:shd w:val="clear" w:color="auto" w:fill="FFFFFF"/>
        </w:rPr>
        <w:t xml:space="preserve"> A.10.5.6.6.</w:t>
      </w:r>
      <w:r>
        <w:rPr>
          <w:rFonts w:eastAsia="Calibri"/>
          <w:i/>
          <w:sz w:val="24"/>
          <w:szCs w:val="24"/>
          <w:shd w:val="clear" w:color="auto" w:fill="FFFFFF"/>
        </w:rPr>
        <w:t>, trebuie să îndeplinească condițiile de comportare la foc stabilite la</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A.10.2.4.33.</w:t>
      </w:r>
      <w:r>
        <w:rPr>
          <w:rFonts w:eastAsia="Calibri"/>
          <w:i/>
          <w:sz w:val="24"/>
          <w:szCs w:val="24"/>
          <w:shd w:val="clear" w:color="auto" w:fill="FFFFFF"/>
        </w:rPr>
        <w:t xml:space="preserve"> În construcții existente de producție de nivelul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w:t>
      </w:r>
      <w:r>
        <w:rPr>
          <w:rFonts w:eastAsia="Calibri"/>
          <w:b/>
          <w:bCs/>
          <w:i/>
          <w:sz w:val="24"/>
          <w:szCs w:val="24"/>
          <w:shd w:val="clear" w:color="auto" w:fill="FFFFFF"/>
        </w:rPr>
        <w:t>III</w:t>
      </w:r>
      <w:r>
        <w:rPr>
          <w:rFonts w:eastAsia="Calibri"/>
          <w:i/>
          <w:sz w:val="24"/>
          <w:szCs w:val="24"/>
          <w:shd w:val="clear" w:color="auto" w:fill="FFFFFF"/>
        </w:rPr>
        <w:t xml:space="preserve">, </w:t>
      </w:r>
      <w:r>
        <w:rPr>
          <w:rFonts w:eastAsia="Calibri"/>
          <w:b/>
          <w:bCs/>
          <w:i/>
          <w:sz w:val="24"/>
          <w:szCs w:val="24"/>
          <w:shd w:val="clear" w:color="auto" w:fill="FFFFFF"/>
        </w:rPr>
        <w:t>IV</w:t>
      </w:r>
      <w:r>
        <w:rPr>
          <w:rFonts w:eastAsia="Calibri"/>
          <w:i/>
          <w:sz w:val="24"/>
          <w:szCs w:val="24"/>
          <w:shd w:val="clear" w:color="auto" w:fill="FFFFFF"/>
        </w:rPr>
        <w:t xml:space="preserve"> și </w:t>
      </w:r>
      <w:r>
        <w:rPr>
          <w:rFonts w:eastAsia="Calibri"/>
          <w:b/>
          <w:bCs/>
          <w:i/>
          <w:sz w:val="24"/>
          <w:szCs w:val="24"/>
          <w:shd w:val="clear" w:color="auto" w:fill="FFFFFF"/>
        </w:rPr>
        <w:t xml:space="preserve">V </w:t>
      </w:r>
      <w:r>
        <w:rPr>
          <w:rFonts w:eastAsia="Calibri"/>
          <w:i/>
          <w:sz w:val="24"/>
          <w:szCs w:val="24"/>
          <w:shd w:val="clear" w:color="auto" w:fill="FFFFFF"/>
        </w:rPr>
        <w:t xml:space="preserve">indiferent de categoria de pericol de incendiu, atunci când scările deschise sunt prevăzute numai pentru accesul personalului la mașini, utilaje, pasarele, platforme deschise, planșee cu goluri neprotejate, etc. - care nu constituie locuri permanente (fixe) de lucru, grinzile, podestele și treptele acestor scări deschise de acces pot fi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cu rezistența la foc de minimum 15 minute (</w:t>
      </w:r>
      <w:r>
        <w:rPr>
          <w:rFonts w:eastAsia="Calibri"/>
          <w:b/>
          <w:bCs/>
          <w:i/>
          <w:sz w:val="24"/>
          <w:szCs w:val="24"/>
          <w:shd w:val="clear" w:color="auto" w:fill="FFFFFF"/>
        </w:rPr>
        <w:t>R15</w:t>
      </w:r>
      <w:r>
        <w:rPr>
          <w:rFonts w:eastAsia="Calibri"/>
          <w:i/>
          <w:sz w:val="24"/>
          <w:szCs w:val="24"/>
          <w:shd w:val="clear" w:color="auto" w:fill="FFFFFF"/>
        </w:rPr>
        <w:t>).</w:t>
      </w:r>
    </w:p>
    <w:p w14:paraId="296B6A8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5.6.8.</w:t>
      </w:r>
      <w:r>
        <w:rPr>
          <w:rFonts w:eastAsia="Calibri"/>
          <w:i/>
          <w:sz w:val="24"/>
          <w:szCs w:val="24"/>
          <w:shd w:val="clear" w:color="auto" w:fill="FFFFFF"/>
        </w:rPr>
        <w:t xml:space="preserve"> În construcțiile existente de producție și/sau depozitare, rampele scărilor aferente subsolului vor fi separate de rampele scărilor supraterane, inclusiv de parterul construcției existente, de regulă, prin elemente de construcție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cu rezistența la foc stabilită în funcție de densitatea sarcinii termice, asigurându-se accesul la rampele subterane direct din exterior. Eventualele goluri de acces funcțional între rampele subsolului și cele supraterane la nivelul parterului, se protejează cu elemente de închidere rezistente la foc 1 oră și 30 de minute (</w:t>
      </w:r>
      <w:r>
        <w:rPr>
          <w:rFonts w:eastAsia="Calibri"/>
          <w:b/>
          <w:bCs/>
          <w:i/>
          <w:sz w:val="24"/>
          <w:szCs w:val="24"/>
          <w:shd w:val="clear" w:color="auto" w:fill="FFFFFF"/>
        </w:rPr>
        <w:t>EI90-C</w:t>
      </w:r>
      <w:r>
        <w:rPr>
          <w:rFonts w:eastAsia="Calibri"/>
          <w:i/>
          <w:sz w:val="24"/>
          <w:szCs w:val="24"/>
          <w:shd w:val="clear" w:color="auto" w:fill="FFFFFF"/>
        </w:rPr>
        <w:t>) echipate cu dispozitive de autoînchidere. Fac excepție accesele strict funcționale la subsolurile tehnice, precum și cazurile în care subsolul nu este separat de construcția existentă supraterană prin planșeu plin, rezistent la foc.</w:t>
      </w:r>
    </w:p>
    <w:p w14:paraId="18E3827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5.6.9.</w:t>
      </w:r>
      <w:r>
        <w:rPr>
          <w:rFonts w:eastAsia="Calibri"/>
          <w:i/>
          <w:sz w:val="24"/>
          <w:szCs w:val="24"/>
          <w:shd w:val="clear" w:color="auto" w:fill="FFFFFF"/>
        </w:rPr>
        <w:t> Pentru evacuarea persoanelor din locurile permanente de lucru ale platformelor supraterane de producție și/sau depozitare deschise {fără închideri perimetrale), inclusiv a încăperilor de lucru amenajate pe acestea, se vor asigura - indiferent de numărul de niveluri și categoria de pericol de incendiu - scări închise sau deschise de evacuare, amplasate, alcătuite și realizate conform prevederilor din prezenta anexă.</w:t>
      </w:r>
    </w:p>
    <w:p w14:paraId="6B10972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5.6.10.</w:t>
      </w:r>
      <w:r>
        <w:rPr>
          <w:rFonts w:eastAsia="Calibri"/>
          <w:i/>
          <w:sz w:val="24"/>
          <w:szCs w:val="24"/>
          <w:shd w:val="clear" w:color="auto" w:fill="FFFFFF"/>
        </w:rPr>
        <w:t> Scările exterioare deschise de evacuare, se amplasează și realizează astfel încât circulația utilizatorilor să nu poată fi blocată de flăcările sau fumul produs în caz de incendiu la construcția existentă (platformele) pentru care se prevăd, sau la obiecte situate în vecinătate.</w:t>
      </w:r>
    </w:p>
    <w:p w14:paraId="7684569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5.6.11.</w:t>
      </w:r>
      <w:r>
        <w:rPr>
          <w:rFonts w:eastAsia="Calibri"/>
          <w:i/>
          <w:sz w:val="24"/>
          <w:szCs w:val="24"/>
          <w:shd w:val="clear" w:color="auto" w:fill="FFFFFF"/>
        </w:rPr>
        <w:t xml:space="preserve"> La determinarea fluxurilor de evacuare ce trebuie asigurate în caz de incendiu, la construcțiile existente de producție se ia în considerare totalul personalului permanent din cel mai numeros schimb, stabilit prin proiect. Pentru depozite se ia în considerare personalul cu activitate </w:t>
      </w:r>
      <w:r>
        <w:rPr>
          <w:rFonts w:eastAsia="Calibri"/>
          <w:i/>
          <w:sz w:val="24"/>
          <w:szCs w:val="24"/>
          <w:shd w:val="clear" w:color="auto" w:fill="FFFFFF"/>
        </w:rPr>
        <w:lastRenderedPageBreak/>
        <w:t>permanentă stabilit prin proiect. Atunci când nu este necesar permanent în depozit, condițiile de evacuare nu sunt obligatorii.</w:t>
      </w:r>
    </w:p>
    <w:p w14:paraId="4DF9BB96"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5.6.12.</w:t>
      </w:r>
      <w:r>
        <w:rPr>
          <w:rFonts w:eastAsia="Calibri"/>
          <w:i/>
          <w:sz w:val="24"/>
          <w:szCs w:val="24"/>
          <w:shd w:val="clear" w:color="auto" w:fill="FFFFFF"/>
        </w:rPr>
        <w:t xml:space="preserve"> Capacitatea de evacuare a unui flux (C) se determină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_Ref16677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169</w:t>
      </w:r>
      <w:r>
        <w:rPr>
          <w:rFonts w:eastAsia="Calibri"/>
          <w:b/>
          <w:bCs/>
          <w:i/>
          <w:iCs/>
          <w:sz w:val="24"/>
          <w:szCs w:val="24"/>
          <w:shd w:val="clear" w:color="auto" w:fill="FFFFFF"/>
        </w:rPr>
        <w:fldChar w:fldCharType="end"/>
      </w:r>
      <w:r>
        <w:rPr>
          <w:b/>
          <w:i/>
          <w:sz w:val="24"/>
          <w:szCs w:val="24"/>
        </w:rPr>
        <w:t>.</w:t>
      </w:r>
    </w:p>
    <w:p w14:paraId="009E4B47" w14:textId="77777777" w:rsidR="001C08A5" w:rsidRDefault="00000000">
      <w:pPr>
        <w:pStyle w:val="Caption"/>
        <w:shd w:val="clear" w:color="auto" w:fill="FFFFFF"/>
        <w:spacing w:before="0" w:after="150"/>
        <w:jc w:val="both"/>
        <w:rPr>
          <w:rFonts w:cs="Times New Roman"/>
        </w:rPr>
      </w:pPr>
      <w:bookmarkStart w:id="11309" w:name="_Ref16677"/>
      <w:bookmarkStart w:id="11310" w:name="_Toc162360219"/>
      <w:r>
        <w:t xml:space="preserve">Tabelul </w:t>
      </w:r>
      <w:r>
        <w:fldChar w:fldCharType="begin"/>
      </w:r>
      <w:r>
        <w:instrText xml:space="preserve"> SEQ Tabelul \* ARABIC </w:instrText>
      </w:r>
      <w:r>
        <w:fldChar w:fldCharType="separate"/>
      </w:r>
      <w:r>
        <w:t>169</w:t>
      </w:r>
      <w:r>
        <w:fldChar w:fldCharType="end"/>
      </w:r>
      <w:bookmarkStart w:id="11311" w:name="_Toc10020"/>
      <w:bookmarkStart w:id="11312" w:name="_Toc4795"/>
      <w:bookmarkStart w:id="11313" w:name="_Toc5494"/>
      <w:bookmarkStart w:id="11314" w:name="_Toc8019"/>
      <w:bookmarkStart w:id="11315" w:name="_Toc24221"/>
      <w:bookmarkStart w:id="11316" w:name="_Toc3568"/>
      <w:bookmarkStart w:id="11317" w:name="_Toc27913"/>
      <w:bookmarkStart w:id="11318" w:name="_Toc11370"/>
      <w:bookmarkStart w:id="11319" w:name="_Toc27685"/>
      <w:bookmarkStart w:id="11320" w:name="_Toc10902"/>
      <w:bookmarkStart w:id="11321" w:name="_Toc6931"/>
      <w:bookmarkStart w:id="11322" w:name="_Toc1798"/>
      <w:bookmarkEnd w:id="11309"/>
      <w:r>
        <w:t xml:space="preserve">: Capacități de evacuare </w:t>
      </w:r>
      <w:r>
        <w:rPr>
          <w:rFonts w:eastAsia="Calibri"/>
          <w:bCs/>
          <w:shd w:val="clear" w:color="auto" w:fill="FFFFFF"/>
        </w:rPr>
        <w:t>pentru construcții existente și compartimente de incendiu ale construcțiilor existente de producție și/sau depozitare</w:t>
      </w:r>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p>
    <w:tbl>
      <w:tblPr>
        <w:tblW w:w="4999" w:type="pct"/>
        <w:jc w:val="center"/>
        <w:tblCellMar>
          <w:top w:w="15" w:type="dxa"/>
          <w:left w:w="15" w:type="dxa"/>
          <w:bottom w:w="15" w:type="dxa"/>
          <w:right w:w="15" w:type="dxa"/>
        </w:tblCellMar>
        <w:tblLook w:val="04A0" w:firstRow="1" w:lastRow="0" w:firstColumn="1" w:lastColumn="0" w:noHBand="0" w:noVBand="1"/>
      </w:tblPr>
      <w:tblGrid>
        <w:gridCol w:w="27"/>
        <w:gridCol w:w="4784"/>
        <w:gridCol w:w="4818"/>
      </w:tblGrid>
      <w:tr w:rsidR="001C08A5" w14:paraId="1C11736C" w14:textId="77777777">
        <w:trPr>
          <w:trHeight w:val="765"/>
          <w:jc w:val="center"/>
        </w:trPr>
        <w:tc>
          <w:tcPr>
            <w:tcW w:w="14" w:type="pct"/>
            <w:tcMar>
              <w:top w:w="0" w:type="dxa"/>
              <w:left w:w="0" w:type="dxa"/>
              <w:bottom w:w="0" w:type="dxa"/>
              <w:right w:w="0" w:type="dxa"/>
            </w:tcMar>
            <w:vAlign w:val="center"/>
          </w:tcPr>
          <w:p w14:paraId="53BA97D7" w14:textId="77777777" w:rsidR="001C08A5" w:rsidRDefault="001C08A5">
            <w:pPr>
              <w:rPr>
                <w:i/>
                <w:sz w:val="22"/>
                <w:szCs w:val="22"/>
              </w:rPr>
            </w:pPr>
          </w:p>
        </w:tc>
        <w:tc>
          <w:tcPr>
            <w:tcW w:w="24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8600406" w14:textId="77777777" w:rsidR="001C08A5" w:rsidRDefault="00000000">
            <w:pPr>
              <w:jc w:val="center"/>
              <w:rPr>
                <w:i/>
                <w:sz w:val="22"/>
                <w:szCs w:val="22"/>
              </w:rPr>
            </w:pPr>
            <w:r>
              <w:rPr>
                <w:i/>
                <w:sz w:val="22"/>
                <w:szCs w:val="22"/>
                <w:lang w:val="en-US" w:eastAsia="zh-CN" w:bidi="ar"/>
              </w:rPr>
              <w:t xml:space="preserve">Construcții </w:t>
            </w:r>
            <w:r>
              <w:rPr>
                <w:rFonts w:eastAsia="Calibri"/>
                <w:i/>
                <w:sz w:val="22"/>
                <w:szCs w:val="22"/>
                <w:shd w:val="clear" w:color="auto" w:fill="FFFFFF"/>
              </w:rPr>
              <w:t xml:space="preserve">existente </w:t>
            </w:r>
            <w:r>
              <w:rPr>
                <w:i/>
                <w:sz w:val="22"/>
                <w:szCs w:val="22"/>
                <w:lang w:val="en-US" w:eastAsia="zh-CN" w:bidi="ar"/>
              </w:rPr>
              <w:t>de producție și/sau depozitare din categoria de pericol de incendiu:</w:t>
            </w:r>
          </w:p>
        </w:tc>
        <w:tc>
          <w:tcPr>
            <w:tcW w:w="250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6873537" w14:textId="77777777" w:rsidR="001C08A5" w:rsidRDefault="00000000">
            <w:pPr>
              <w:jc w:val="center"/>
              <w:rPr>
                <w:i/>
                <w:sz w:val="22"/>
                <w:szCs w:val="22"/>
              </w:rPr>
            </w:pPr>
            <w:r>
              <w:rPr>
                <w:i/>
                <w:sz w:val="22"/>
                <w:szCs w:val="22"/>
                <w:lang w:val="en-US" w:eastAsia="zh-CN" w:bidi="ar"/>
              </w:rPr>
              <w:t>Capacitatea de evacuare (C) a unui flux (număr de persoane)</w:t>
            </w:r>
          </w:p>
        </w:tc>
      </w:tr>
      <w:tr w:rsidR="001C08A5" w14:paraId="6984F836" w14:textId="77777777">
        <w:trPr>
          <w:trHeight w:val="345"/>
          <w:jc w:val="center"/>
        </w:trPr>
        <w:tc>
          <w:tcPr>
            <w:tcW w:w="14" w:type="pct"/>
            <w:tcMar>
              <w:top w:w="0" w:type="dxa"/>
              <w:left w:w="0" w:type="dxa"/>
              <w:bottom w:w="0" w:type="dxa"/>
              <w:right w:w="0" w:type="dxa"/>
            </w:tcMar>
            <w:vAlign w:val="center"/>
          </w:tcPr>
          <w:p w14:paraId="6485B40C" w14:textId="77777777" w:rsidR="001C08A5" w:rsidRDefault="001C08A5">
            <w:pPr>
              <w:rPr>
                <w:i/>
                <w:sz w:val="22"/>
                <w:szCs w:val="22"/>
              </w:rPr>
            </w:pPr>
          </w:p>
        </w:tc>
        <w:tc>
          <w:tcPr>
            <w:tcW w:w="24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8592AF0" w14:textId="77777777" w:rsidR="001C08A5" w:rsidRDefault="00000000">
            <w:pPr>
              <w:jc w:val="center"/>
              <w:rPr>
                <w:b/>
                <w:bCs/>
                <w:i/>
                <w:sz w:val="22"/>
                <w:szCs w:val="22"/>
              </w:rPr>
            </w:pPr>
            <w:r>
              <w:rPr>
                <w:b/>
                <w:bCs/>
                <w:i/>
                <w:sz w:val="22"/>
                <w:szCs w:val="22"/>
                <w:lang w:val="en-US" w:eastAsia="zh-CN" w:bidi="ar"/>
              </w:rPr>
              <w:t>A- B (BE 3 a, b)</w:t>
            </w:r>
          </w:p>
        </w:tc>
        <w:tc>
          <w:tcPr>
            <w:tcW w:w="250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FD13FB0" w14:textId="77777777" w:rsidR="001C08A5" w:rsidRDefault="00000000">
            <w:pPr>
              <w:jc w:val="center"/>
              <w:rPr>
                <w:b/>
                <w:bCs/>
                <w:i/>
                <w:sz w:val="22"/>
                <w:szCs w:val="22"/>
              </w:rPr>
            </w:pPr>
            <w:r>
              <w:rPr>
                <w:b/>
                <w:bCs/>
                <w:i/>
                <w:sz w:val="22"/>
                <w:szCs w:val="22"/>
                <w:lang w:val="en-US" w:eastAsia="zh-CN" w:bidi="ar"/>
              </w:rPr>
              <w:t>65</w:t>
            </w:r>
          </w:p>
        </w:tc>
      </w:tr>
      <w:tr w:rsidR="001C08A5" w14:paraId="565A5217" w14:textId="77777777">
        <w:trPr>
          <w:trHeight w:val="345"/>
          <w:jc w:val="center"/>
        </w:trPr>
        <w:tc>
          <w:tcPr>
            <w:tcW w:w="14" w:type="pct"/>
            <w:tcMar>
              <w:top w:w="0" w:type="dxa"/>
              <w:left w:w="0" w:type="dxa"/>
              <w:bottom w:w="0" w:type="dxa"/>
              <w:right w:w="0" w:type="dxa"/>
            </w:tcMar>
            <w:vAlign w:val="center"/>
          </w:tcPr>
          <w:p w14:paraId="2D330F14" w14:textId="77777777" w:rsidR="001C08A5" w:rsidRDefault="001C08A5">
            <w:pPr>
              <w:rPr>
                <w:i/>
                <w:sz w:val="22"/>
                <w:szCs w:val="22"/>
              </w:rPr>
            </w:pPr>
          </w:p>
        </w:tc>
        <w:tc>
          <w:tcPr>
            <w:tcW w:w="24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AD6357B" w14:textId="77777777" w:rsidR="001C08A5" w:rsidRDefault="00000000">
            <w:pPr>
              <w:jc w:val="center"/>
              <w:rPr>
                <w:b/>
                <w:bCs/>
                <w:i/>
                <w:sz w:val="22"/>
                <w:szCs w:val="22"/>
              </w:rPr>
            </w:pPr>
            <w:r>
              <w:rPr>
                <w:b/>
                <w:bCs/>
                <w:i/>
                <w:sz w:val="22"/>
                <w:szCs w:val="22"/>
                <w:lang w:val="en-US" w:eastAsia="zh-CN" w:bidi="ar"/>
              </w:rPr>
              <w:t>C (BE2)</w:t>
            </w:r>
          </w:p>
        </w:tc>
        <w:tc>
          <w:tcPr>
            <w:tcW w:w="250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6CE608A" w14:textId="77777777" w:rsidR="001C08A5" w:rsidRDefault="00000000">
            <w:pPr>
              <w:jc w:val="center"/>
              <w:rPr>
                <w:b/>
                <w:bCs/>
                <w:i/>
                <w:sz w:val="22"/>
                <w:szCs w:val="22"/>
              </w:rPr>
            </w:pPr>
            <w:r>
              <w:rPr>
                <w:b/>
                <w:bCs/>
                <w:i/>
                <w:sz w:val="22"/>
                <w:szCs w:val="22"/>
                <w:lang w:val="en-US" w:eastAsia="zh-CN" w:bidi="ar"/>
              </w:rPr>
              <w:t>75</w:t>
            </w:r>
          </w:p>
        </w:tc>
      </w:tr>
      <w:tr w:rsidR="001C08A5" w14:paraId="4422B83C" w14:textId="77777777">
        <w:trPr>
          <w:trHeight w:val="360"/>
          <w:jc w:val="center"/>
        </w:trPr>
        <w:tc>
          <w:tcPr>
            <w:tcW w:w="14" w:type="pct"/>
            <w:tcMar>
              <w:top w:w="0" w:type="dxa"/>
              <w:left w:w="0" w:type="dxa"/>
              <w:bottom w:w="0" w:type="dxa"/>
              <w:right w:w="0" w:type="dxa"/>
            </w:tcMar>
            <w:vAlign w:val="center"/>
          </w:tcPr>
          <w:p w14:paraId="620C32E4" w14:textId="77777777" w:rsidR="001C08A5" w:rsidRDefault="001C08A5">
            <w:pPr>
              <w:rPr>
                <w:i/>
                <w:sz w:val="22"/>
                <w:szCs w:val="22"/>
              </w:rPr>
            </w:pPr>
          </w:p>
        </w:tc>
        <w:tc>
          <w:tcPr>
            <w:tcW w:w="248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9093C4F" w14:textId="77777777" w:rsidR="001C08A5" w:rsidRDefault="00000000">
            <w:pPr>
              <w:jc w:val="center"/>
              <w:rPr>
                <w:b/>
                <w:bCs/>
                <w:i/>
                <w:sz w:val="22"/>
                <w:szCs w:val="22"/>
              </w:rPr>
            </w:pPr>
            <w:r>
              <w:rPr>
                <w:b/>
                <w:bCs/>
                <w:i/>
                <w:sz w:val="22"/>
                <w:szCs w:val="22"/>
                <w:lang w:val="en-US" w:eastAsia="zh-CN" w:bidi="ar"/>
              </w:rPr>
              <w:t>D-E (BE1</w:t>
            </w:r>
            <w:proofErr w:type="gramStart"/>
            <w:r>
              <w:rPr>
                <w:b/>
                <w:bCs/>
                <w:i/>
                <w:sz w:val="22"/>
                <w:szCs w:val="22"/>
                <w:lang w:val="en-US" w:eastAsia="zh-CN" w:bidi="ar"/>
              </w:rPr>
              <w:t>a,b</w:t>
            </w:r>
            <w:proofErr w:type="gramEnd"/>
            <w:r>
              <w:rPr>
                <w:b/>
                <w:bCs/>
                <w:i/>
                <w:sz w:val="22"/>
                <w:szCs w:val="22"/>
                <w:lang w:val="en-US" w:eastAsia="zh-CN" w:bidi="ar"/>
              </w:rPr>
              <w:t>)</w:t>
            </w:r>
          </w:p>
        </w:tc>
        <w:tc>
          <w:tcPr>
            <w:tcW w:w="2501"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25B5041" w14:textId="77777777" w:rsidR="001C08A5" w:rsidRDefault="00000000">
            <w:pPr>
              <w:jc w:val="center"/>
              <w:rPr>
                <w:b/>
                <w:bCs/>
                <w:i/>
                <w:sz w:val="22"/>
                <w:szCs w:val="22"/>
              </w:rPr>
            </w:pPr>
            <w:r>
              <w:rPr>
                <w:b/>
                <w:bCs/>
                <w:i/>
                <w:sz w:val="22"/>
                <w:szCs w:val="22"/>
                <w:lang w:val="en-US" w:eastAsia="zh-CN" w:bidi="ar"/>
              </w:rPr>
              <w:t>90</w:t>
            </w:r>
          </w:p>
        </w:tc>
      </w:tr>
    </w:tbl>
    <w:p w14:paraId="0302C1D9" w14:textId="77777777" w:rsidR="001C08A5" w:rsidRDefault="001C08A5">
      <w:pPr>
        <w:shd w:val="clear" w:color="auto" w:fill="FFFFFF"/>
        <w:spacing w:after="150"/>
        <w:jc w:val="both"/>
        <w:rPr>
          <w:rFonts w:eastAsia="Calibri"/>
          <w:b/>
          <w:i/>
          <w:sz w:val="24"/>
          <w:szCs w:val="24"/>
          <w:shd w:val="clear" w:color="auto" w:fill="FFFFFF"/>
        </w:rPr>
      </w:pPr>
    </w:p>
    <w:p w14:paraId="1BD35277"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5.6.13.</w:t>
      </w:r>
      <w:r>
        <w:rPr>
          <w:rFonts w:eastAsia="Calibri"/>
          <w:i/>
          <w:sz w:val="24"/>
          <w:szCs w:val="24"/>
          <w:shd w:val="clear" w:color="auto" w:fill="FFFFFF"/>
        </w:rPr>
        <w:t xml:space="preserve"> Lungimile maximum admise ale căilor de evacuare din construcțiile existente de producție și/sau depozitare, sunt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_Ref16814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170</w:t>
      </w:r>
      <w:r>
        <w:rPr>
          <w:rFonts w:eastAsia="Calibri"/>
          <w:b/>
          <w:bCs/>
          <w:i/>
          <w:iCs/>
          <w:sz w:val="24"/>
          <w:szCs w:val="24"/>
          <w:shd w:val="clear" w:color="auto" w:fill="FFFFFF"/>
        </w:rPr>
        <w:fldChar w:fldCharType="end"/>
      </w:r>
      <w:r>
        <w:rPr>
          <w:b/>
          <w:i/>
          <w:sz w:val="24"/>
          <w:szCs w:val="24"/>
        </w:rPr>
        <w:t>.</w:t>
      </w:r>
    </w:p>
    <w:p w14:paraId="150F4E4A" w14:textId="77777777" w:rsidR="001C08A5" w:rsidRDefault="00000000">
      <w:pPr>
        <w:pStyle w:val="Caption"/>
        <w:shd w:val="clear" w:color="auto" w:fill="FFFFFF"/>
        <w:spacing w:before="0" w:after="150"/>
        <w:jc w:val="both"/>
        <w:rPr>
          <w:rFonts w:cs="Times New Roman"/>
        </w:rPr>
      </w:pPr>
      <w:bookmarkStart w:id="11323" w:name="_Ref16814"/>
      <w:bookmarkStart w:id="11324" w:name="_Toc162360220"/>
      <w:r>
        <w:t xml:space="preserve">Tabelul </w:t>
      </w:r>
      <w:r>
        <w:fldChar w:fldCharType="begin"/>
      </w:r>
      <w:r>
        <w:instrText xml:space="preserve"> SEQ Tabelul \* ARABIC </w:instrText>
      </w:r>
      <w:r>
        <w:fldChar w:fldCharType="separate"/>
      </w:r>
      <w:r>
        <w:t>170</w:t>
      </w:r>
      <w:r>
        <w:fldChar w:fldCharType="end"/>
      </w:r>
      <w:bookmarkStart w:id="11325" w:name="_Toc25927"/>
      <w:bookmarkStart w:id="11326" w:name="_Toc19029"/>
      <w:bookmarkStart w:id="11327" w:name="_Toc850"/>
      <w:bookmarkStart w:id="11328" w:name="_Toc22387"/>
      <w:bookmarkStart w:id="11329" w:name="_Toc25865"/>
      <w:bookmarkStart w:id="11330" w:name="_Toc18418"/>
      <w:bookmarkStart w:id="11331" w:name="_Toc26966"/>
      <w:bookmarkStart w:id="11332" w:name="_Toc27379"/>
      <w:bookmarkStart w:id="11333" w:name="_Toc6773"/>
      <w:bookmarkStart w:id="11334" w:name="_Toc6134"/>
      <w:bookmarkStart w:id="11335" w:name="_Toc11346"/>
      <w:bookmarkEnd w:id="11323"/>
      <w:r>
        <w:t>: Lungimi de evacuare pentru construcții existente și compartimente de incendiu ale construcțiilor existente de producție și/sau depozitare</w:t>
      </w:r>
      <w:bookmarkEnd w:id="11324"/>
      <w:bookmarkEnd w:id="11325"/>
      <w:bookmarkEnd w:id="11326"/>
      <w:bookmarkEnd w:id="11327"/>
      <w:bookmarkEnd w:id="11328"/>
      <w:bookmarkEnd w:id="11329"/>
      <w:bookmarkEnd w:id="11330"/>
      <w:bookmarkEnd w:id="11331"/>
      <w:bookmarkEnd w:id="11332"/>
      <w:bookmarkEnd w:id="11333"/>
      <w:bookmarkEnd w:id="11334"/>
      <w:bookmarkEnd w:id="11335"/>
    </w:p>
    <w:tbl>
      <w:tblPr>
        <w:tblW w:w="4998" w:type="pct"/>
        <w:jc w:val="center"/>
        <w:tblCellMar>
          <w:top w:w="15" w:type="dxa"/>
          <w:left w:w="15" w:type="dxa"/>
          <w:bottom w:w="15" w:type="dxa"/>
          <w:right w:w="15" w:type="dxa"/>
        </w:tblCellMar>
        <w:tblLook w:val="04A0" w:firstRow="1" w:lastRow="0" w:firstColumn="1" w:lastColumn="0" w:noHBand="0" w:noVBand="1"/>
      </w:tblPr>
      <w:tblGrid>
        <w:gridCol w:w="22"/>
        <w:gridCol w:w="1855"/>
        <w:gridCol w:w="1834"/>
        <w:gridCol w:w="2186"/>
        <w:gridCol w:w="1824"/>
        <w:gridCol w:w="1906"/>
      </w:tblGrid>
      <w:tr w:rsidR="001C08A5" w14:paraId="12B032F3" w14:textId="77777777">
        <w:trPr>
          <w:trHeight w:val="765"/>
          <w:jc w:val="center"/>
        </w:trPr>
        <w:tc>
          <w:tcPr>
            <w:tcW w:w="11" w:type="pct"/>
            <w:tcMar>
              <w:top w:w="0" w:type="dxa"/>
              <w:left w:w="0" w:type="dxa"/>
              <w:bottom w:w="0" w:type="dxa"/>
              <w:right w:w="0" w:type="dxa"/>
            </w:tcMar>
            <w:vAlign w:val="center"/>
          </w:tcPr>
          <w:p w14:paraId="073B3A10" w14:textId="77777777" w:rsidR="001C08A5" w:rsidRDefault="001C08A5">
            <w:pPr>
              <w:rPr>
                <w:b/>
                <w:bCs/>
                <w:i/>
                <w:sz w:val="22"/>
                <w:szCs w:val="22"/>
              </w:rPr>
            </w:pPr>
          </w:p>
        </w:tc>
        <w:tc>
          <w:tcPr>
            <w:tcW w:w="1915" w:type="pct"/>
            <w:gridSpan w:val="2"/>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62F2EBD" w14:textId="77777777" w:rsidR="001C08A5" w:rsidRDefault="00000000">
            <w:pPr>
              <w:jc w:val="center"/>
              <w:rPr>
                <w:b/>
                <w:bCs/>
                <w:i/>
                <w:sz w:val="22"/>
                <w:szCs w:val="22"/>
              </w:rPr>
            </w:pPr>
            <w:r>
              <w:rPr>
                <w:b/>
                <w:bCs/>
                <w:i/>
                <w:sz w:val="22"/>
                <w:szCs w:val="22"/>
                <w:lang w:val="en-US" w:eastAsia="zh-CN" w:bidi="ar"/>
              </w:rPr>
              <w:t xml:space="preserve">Construcții </w:t>
            </w:r>
            <w:r>
              <w:rPr>
                <w:rFonts w:eastAsia="Calibri"/>
                <w:b/>
                <w:bCs/>
                <w:i/>
                <w:sz w:val="22"/>
                <w:szCs w:val="22"/>
                <w:shd w:val="clear" w:color="auto" w:fill="FFFFFF"/>
              </w:rPr>
              <w:t xml:space="preserve">existente </w:t>
            </w:r>
            <w:r>
              <w:rPr>
                <w:b/>
                <w:bCs/>
                <w:i/>
                <w:sz w:val="22"/>
                <w:szCs w:val="22"/>
                <w:lang w:val="en-US" w:eastAsia="zh-CN" w:bidi="ar"/>
              </w:rPr>
              <w:t>de producție și/sau depozitare</w:t>
            </w:r>
          </w:p>
        </w:tc>
        <w:tc>
          <w:tcPr>
            <w:tcW w:w="3072" w:type="pct"/>
            <w:gridSpan w:val="3"/>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B20C19B" w14:textId="77777777" w:rsidR="001C08A5" w:rsidRDefault="00000000">
            <w:pPr>
              <w:jc w:val="center"/>
              <w:rPr>
                <w:b/>
                <w:bCs/>
                <w:i/>
                <w:sz w:val="22"/>
                <w:szCs w:val="22"/>
              </w:rPr>
            </w:pPr>
            <w:r>
              <w:rPr>
                <w:b/>
                <w:bCs/>
                <w:i/>
                <w:sz w:val="22"/>
                <w:szCs w:val="22"/>
                <w:lang w:val="en-US" w:eastAsia="zh-CN" w:bidi="ar"/>
              </w:rPr>
              <w:t>lungime căi de evacuare</w:t>
            </w:r>
          </w:p>
        </w:tc>
      </w:tr>
      <w:tr w:rsidR="001C08A5" w14:paraId="01A9988A" w14:textId="77777777">
        <w:trPr>
          <w:trHeight w:val="765"/>
          <w:jc w:val="center"/>
        </w:trPr>
        <w:tc>
          <w:tcPr>
            <w:tcW w:w="11" w:type="pct"/>
            <w:tcMar>
              <w:top w:w="0" w:type="dxa"/>
              <w:left w:w="0" w:type="dxa"/>
              <w:bottom w:w="0" w:type="dxa"/>
              <w:right w:w="0" w:type="dxa"/>
            </w:tcMar>
            <w:vAlign w:val="center"/>
          </w:tcPr>
          <w:p w14:paraId="0C9F4D60" w14:textId="77777777" w:rsidR="001C08A5" w:rsidRDefault="001C08A5">
            <w:pPr>
              <w:rPr>
                <w:b/>
                <w:bCs/>
                <w:i/>
                <w:sz w:val="22"/>
                <w:szCs w:val="22"/>
              </w:rPr>
            </w:pPr>
          </w:p>
        </w:tc>
        <w:tc>
          <w:tcPr>
            <w:tcW w:w="963"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6681F16" w14:textId="77777777" w:rsidR="001C08A5" w:rsidRDefault="00000000">
            <w:pPr>
              <w:jc w:val="center"/>
              <w:rPr>
                <w:b/>
                <w:bCs/>
                <w:i/>
                <w:sz w:val="22"/>
                <w:szCs w:val="22"/>
              </w:rPr>
            </w:pPr>
            <w:r>
              <w:rPr>
                <w:b/>
                <w:bCs/>
                <w:i/>
                <w:sz w:val="22"/>
                <w:szCs w:val="22"/>
                <w:lang w:val="en-US" w:eastAsia="zh-CN" w:bidi="ar"/>
              </w:rPr>
              <w:t>Categoria de pericol de incendiu</w:t>
            </w:r>
          </w:p>
        </w:tc>
        <w:tc>
          <w:tcPr>
            <w:tcW w:w="952"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37D6635" w14:textId="77777777" w:rsidR="001C08A5" w:rsidRDefault="00000000">
            <w:pPr>
              <w:jc w:val="center"/>
              <w:rPr>
                <w:b/>
                <w:bCs/>
                <w:i/>
                <w:sz w:val="22"/>
                <w:szCs w:val="22"/>
              </w:rPr>
            </w:pPr>
            <w:r>
              <w:rPr>
                <w:rFonts w:eastAsia="Calibri"/>
                <w:b/>
                <w:bCs/>
                <w:i/>
                <w:sz w:val="22"/>
                <w:szCs w:val="22"/>
                <w:shd w:val="clear" w:color="auto" w:fill="FFFFFF"/>
              </w:rPr>
              <w:t>Nivelul de stabilitate la incendiu</w:t>
            </w:r>
          </w:p>
        </w:tc>
        <w:tc>
          <w:tcPr>
            <w:tcW w:w="2082" w:type="pct"/>
            <w:gridSpan w:val="2"/>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CC6E994" w14:textId="77777777" w:rsidR="001C08A5" w:rsidRDefault="00000000">
            <w:pPr>
              <w:jc w:val="center"/>
              <w:rPr>
                <w:b/>
                <w:bCs/>
                <w:i/>
                <w:sz w:val="22"/>
                <w:szCs w:val="22"/>
              </w:rPr>
            </w:pPr>
            <w:r>
              <w:rPr>
                <w:b/>
                <w:bCs/>
                <w:i/>
                <w:sz w:val="22"/>
                <w:szCs w:val="22"/>
                <w:lang w:val="en-US" w:eastAsia="zh-CN" w:bidi="ar"/>
              </w:rPr>
              <w:t>în două direcții diferite</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5FBA303" w14:textId="77777777" w:rsidR="001C08A5" w:rsidRDefault="00000000">
            <w:pPr>
              <w:jc w:val="center"/>
              <w:rPr>
                <w:b/>
                <w:bCs/>
                <w:i/>
                <w:sz w:val="22"/>
                <w:szCs w:val="22"/>
              </w:rPr>
            </w:pPr>
            <w:r>
              <w:rPr>
                <w:b/>
                <w:bCs/>
                <w:i/>
                <w:sz w:val="22"/>
                <w:szCs w:val="22"/>
                <w:lang w:val="en-US" w:eastAsia="zh-CN" w:bidi="ar"/>
              </w:rPr>
              <w:t>într-o singură direcție (coridor înfundat)</w:t>
            </w:r>
          </w:p>
        </w:tc>
      </w:tr>
      <w:tr w:rsidR="001C08A5" w14:paraId="7985EB3C" w14:textId="77777777">
        <w:trPr>
          <w:trHeight w:val="555"/>
          <w:jc w:val="center"/>
        </w:trPr>
        <w:tc>
          <w:tcPr>
            <w:tcW w:w="11" w:type="pct"/>
            <w:tcMar>
              <w:top w:w="0" w:type="dxa"/>
              <w:left w:w="0" w:type="dxa"/>
              <w:bottom w:w="0" w:type="dxa"/>
              <w:right w:w="0" w:type="dxa"/>
            </w:tcMar>
            <w:vAlign w:val="center"/>
          </w:tcPr>
          <w:p w14:paraId="624D8F91" w14:textId="77777777" w:rsidR="001C08A5" w:rsidRDefault="001C08A5">
            <w:pPr>
              <w:rPr>
                <w:b/>
                <w:bCs/>
                <w:i/>
                <w:sz w:val="22"/>
                <w:szCs w:val="22"/>
              </w:rPr>
            </w:pPr>
          </w:p>
        </w:tc>
        <w:tc>
          <w:tcPr>
            <w:tcW w:w="963"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48998AC" w14:textId="77777777" w:rsidR="001C08A5" w:rsidRDefault="001C08A5">
            <w:pPr>
              <w:jc w:val="center"/>
              <w:rPr>
                <w:b/>
                <w:bCs/>
                <w:i/>
                <w:sz w:val="22"/>
                <w:szCs w:val="22"/>
              </w:rPr>
            </w:pPr>
          </w:p>
        </w:tc>
        <w:tc>
          <w:tcPr>
            <w:tcW w:w="952"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DB2F279" w14:textId="77777777" w:rsidR="001C08A5" w:rsidRDefault="001C08A5">
            <w:pPr>
              <w:jc w:val="center"/>
              <w:rPr>
                <w:b/>
                <w:bCs/>
                <w:i/>
                <w:sz w:val="22"/>
                <w:szCs w:val="22"/>
              </w:rPr>
            </w:pP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50CECB1" w14:textId="77777777" w:rsidR="001C08A5" w:rsidRDefault="00000000">
            <w:pPr>
              <w:jc w:val="center"/>
              <w:rPr>
                <w:b/>
                <w:bCs/>
                <w:i/>
                <w:sz w:val="22"/>
                <w:szCs w:val="22"/>
              </w:rPr>
            </w:pPr>
            <w:r>
              <w:rPr>
                <w:b/>
                <w:bCs/>
                <w:i/>
                <w:sz w:val="22"/>
                <w:szCs w:val="22"/>
                <w:lang w:val="en-US" w:eastAsia="zh-CN" w:bidi="ar"/>
              </w:rPr>
              <w:t>Pentru parterul construcției</w:t>
            </w:r>
            <w:r>
              <w:rPr>
                <w:b/>
                <w:bCs/>
                <w:i/>
                <w:sz w:val="22"/>
                <w:szCs w:val="22"/>
                <w:lang w:eastAsia="zh-CN" w:bidi="ar"/>
              </w:rPr>
              <w:t xml:space="preserve"> </w:t>
            </w:r>
            <w:r>
              <w:rPr>
                <w:rFonts w:eastAsia="Calibri"/>
                <w:b/>
                <w:bCs/>
                <w:i/>
                <w:sz w:val="22"/>
                <w:szCs w:val="22"/>
                <w:shd w:val="clear" w:color="auto" w:fill="FFFFFF"/>
              </w:rPr>
              <w:t xml:space="preserve">existente </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BE108E3" w14:textId="77777777" w:rsidR="001C08A5" w:rsidRDefault="00000000">
            <w:pPr>
              <w:jc w:val="center"/>
              <w:rPr>
                <w:b/>
                <w:bCs/>
                <w:i/>
                <w:sz w:val="22"/>
                <w:szCs w:val="22"/>
              </w:rPr>
            </w:pPr>
            <w:r>
              <w:rPr>
                <w:b/>
                <w:bCs/>
                <w:i/>
                <w:sz w:val="22"/>
                <w:szCs w:val="22"/>
                <w:lang w:val="en-US" w:eastAsia="zh-CN" w:bidi="ar"/>
              </w:rPr>
              <w:t>Pentru etaje sau subsoluri</w:t>
            </w:r>
            <w:r>
              <w:rPr>
                <w:b/>
                <w:bCs/>
                <w:i/>
                <w:sz w:val="22"/>
                <w:szCs w:val="22"/>
                <w:lang w:eastAsia="zh-CN" w:bidi="ar"/>
              </w:rPr>
              <w:t xml:space="preserve"> </w:t>
            </w:r>
            <w:r>
              <w:rPr>
                <w:rFonts w:eastAsia="Calibri"/>
                <w:b/>
                <w:bCs/>
                <w:i/>
                <w:sz w:val="22"/>
                <w:szCs w:val="22"/>
                <w:shd w:val="clear" w:color="auto" w:fill="FFFFFF"/>
              </w:rPr>
              <w:t xml:space="preserve">existente </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31EA3FC" w14:textId="77777777" w:rsidR="001C08A5" w:rsidRDefault="00000000">
            <w:pPr>
              <w:jc w:val="center"/>
              <w:rPr>
                <w:b/>
                <w:bCs/>
                <w:i/>
                <w:sz w:val="22"/>
                <w:szCs w:val="22"/>
              </w:rPr>
            </w:pPr>
            <w:r>
              <w:rPr>
                <w:b/>
                <w:bCs/>
                <w:i/>
                <w:sz w:val="22"/>
                <w:szCs w:val="22"/>
                <w:lang w:val="en-US" w:eastAsia="zh-CN" w:bidi="ar"/>
              </w:rPr>
              <w:t>Pentru parter, etaje, subsoluri</w:t>
            </w:r>
            <w:r>
              <w:rPr>
                <w:b/>
                <w:bCs/>
                <w:i/>
                <w:sz w:val="22"/>
                <w:szCs w:val="22"/>
                <w:lang w:eastAsia="zh-CN" w:bidi="ar"/>
              </w:rPr>
              <w:t xml:space="preserve"> </w:t>
            </w:r>
            <w:r>
              <w:rPr>
                <w:rFonts w:eastAsia="Calibri"/>
                <w:b/>
                <w:bCs/>
                <w:i/>
                <w:sz w:val="22"/>
                <w:szCs w:val="22"/>
                <w:shd w:val="clear" w:color="auto" w:fill="FFFFFF"/>
              </w:rPr>
              <w:t xml:space="preserve">existente </w:t>
            </w:r>
          </w:p>
        </w:tc>
      </w:tr>
      <w:tr w:rsidR="001C08A5" w14:paraId="61086EFA" w14:textId="77777777">
        <w:trPr>
          <w:trHeight w:val="345"/>
          <w:jc w:val="center"/>
        </w:trPr>
        <w:tc>
          <w:tcPr>
            <w:tcW w:w="11" w:type="pct"/>
            <w:tcMar>
              <w:top w:w="0" w:type="dxa"/>
              <w:left w:w="0" w:type="dxa"/>
              <w:bottom w:w="0" w:type="dxa"/>
              <w:right w:w="0" w:type="dxa"/>
            </w:tcMar>
            <w:vAlign w:val="center"/>
          </w:tcPr>
          <w:p w14:paraId="219E6432" w14:textId="77777777" w:rsidR="001C08A5" w:rsidRDefault="001C08A5">
            <w:pPr>
              <w:rPr>
                <w:b/>
                <w:bCs/>
                <w:i/>
                <w:sz w:val="22"/>
                <w:szCs w:val="22"/>
              </w:rPr>
            </w:pPr>
          </w:p>
        </w:tc>
        <w:tc>
          <w:tcPr>
            <w:tcW w:w="963"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4768E55" w14:textId="77777777" w:rsidR="001C08A5" w:rsidRDefault="001C08A5">
            <w:pPr>
              <w:jc w:val="center"/>
              <w:rPr>
                <w:b/>
                <w:bCs/>
                <w:i/>
                <w:sz w:val="22"/>
                <w:szCs w:val="22"/>
              </w:rPr>
            </w:pPr>
          </w:p>
        </w:tc>
        <w:tc>
          <w:tcPr>
            <w:tcW w:w="952"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33F273F" w14:textId="77777777" w:rsidR="001C08A5" w:rsidRDefault="001C08A5">
            <w:pPr>
              <w:jc w:val="center"/>
              <w:rPr>
                <w:b/>
                <w:bCs/>
                <w:i/>
                <w:sz w:val="22"/>
                <w:szCs w:val="22"/>
              </w:rPr>
            </w:pP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8D189F6" w14:textId="77777777" w:rsidR="001C08A5" w:rsidRDefault="00000000">
            <w:pPr>
              <w:jc w:val="center"/>
              <w:rPr>
                <w:b/>
                <w:bCs/>
                <w:i/>
                <w:sz w:val="22"/>
                <w:szCs w:val="22"/>
              </w:rPr>
            </w:pPr>
            <w:r>
              <w:rPr>
                <w:b/>
                <w:bCs/>
                <w:i/>
                <w:sz w:val="22"/>
                <w:szCs w:val="22"/>
                <w:lang w:val="en-US" w:eastAsia="zh-CN" w:bidi="ar"/>
              </w:rPr>
              <w:t>metri</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9A64F52" w14:textId="77777777" w:rsidR="001C08A5" w:rsidRDefault="00000000">
            <w:pPr>
              <w:jc w:val="center"/>
              <w:rPr>
                <w:b/>
                <w:bCs/>
                <w:i/>
                <w:sz w:val="22"/>
                <w:szCs w:val="22"/>
              </w:rPr>
            </w:pPr>
            <w:r>
              <w:rPr>
                <w:b/>
                <w:bCs/>
                <w:i/>
                <w:sz w:val="22"/>
                <w:szCs w:val="22"/>
                <w:lang w:val="en-US" w:eastAsia="zh-CN" w:bidi="ar"/>
              </w:rPr>
              <w:t>metri</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C3DFC65" w14:textId="77777777" w:rsidR="001C08A5" w:rsidRDefault="00000000">
            <w:pPr>
              <w:jc w:val="center"/>
              <w:rPr>
                <w:b/>
                <w:bCs/>
                <w:i/>
                <w:sz w:val="22"/>
                <w:szCs w:val="22"/>
              </w:rPr>
            </w:pPr>
            <w:r>
              <w:rPr>
                <w:b/>
                <w:bCs/>
                <w:i/>
                <w:sz w:val="22"/>
                <w:szCs w:val="22"/>
                <w:lang w:val="en-US" w:eastAsia="zh-CN" w:bidi="ar"/>
              </w:rPr>
              <w:t>metri</w:t>
            </w:r>
          </w:p>
        </w:tc>
      </w:tr>
      <w:tr w:rsidR="001C08A5" w14:paraId="053051FE" w14:textId="77777777">
        <w:trPr>
          <w:trHeight w:val="555"/>
          <w:jc w:val="center"/>
        </w:trPr>
        <w:tc>
          <w:tcPr>
            <w:tcW w:w="11" w:type="pct"/>
            <w:tcMar>
              <w:top w:w="0" w:type="dxa"/>
              <w:left w:w="0" w:type="dxa"/>
              <w:bottom w:w="0" w:type="dxa"/>
              <w:right w:w="0" w:type="dxa"/>
            </w:tcMar>
            <w:vAlign w:val="center"/>
          </w:tcPr>
          <w:p w14:paraId="1B96672E" w14:textId="77777777" w:rsidR="001C08A5" w:rsidRDefault="001C08A5">
            <w:pPr>
              <w:rPr>
                <w:b/>
                <w:bCs/>
                <w:i/>
                <w:sz w:val="22"/>
                <w:szCs w:val="22"/>
              </w:rPr>
            </w:pPr>
          </w:p>
        </w:tc>
        <w:tc>
          <w:tcPr>
            <w:tcW w:w="963"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4011AF0" w14:textId="77777777" w:rsidR="001C08A5" w:rsidRDefault="00000000">
            <w:pPr>
              <w:jc w:val="center"/>
              <w:rPr>
                <w:b/>
                <w:bCs/>
                <w:i/>
                <w:sz w:val="22"/>
                <w:szCs w:val="22"/>
              </w:rPr>
            </w:pPr>
            <w:r>
              <w:rPr>
                <w:b/>
                <w:bCs/>
                <w:i/>
                <w:sz w:val="22"/>
                <w:szCs w:val="22"/>
                <w:lang w:val="en-US" w:eastAsia="zh-CN" w:bidi="ar"/>
              </w:rPr>
              <w:t>A-B (BE3</w:t>
            </w:r>
            <w:proofErr w:type="gramStart"/>
            <w:r>
              <w:rPr>
                <w:b/>
                <w:bCs/>
                <w:i/>
                <w:sz w:val="22"/>
                <w:szCs w:val="22"/>
                <w:lang w:val="en-US" w:eastAsia="zh-CN" w:bidi="ar"/>
              </w:rPr>
              <w:t>a,b</w:t>
            </w:r>
            <w:proofErr w:type="gramEnd"/>
            <w:r>
              <w:rPr>
                <w:b/>
                <w:bCs/>
                <w:i/>
                <w:sz w:val="22"/>
                <w:szCs w:val="22"/>
                <w:lang w:val="en-US" w:eastAsia="zh-CN" w:bidi="ar"/>
              </w:rPr>
              <w:t>)</w:t>
            </w:r>
          </w:p>
        </w:tc>
        <w:tc>
          <w:tcPr>
            <w:tcW w:w="952"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973511C" w14:textId="77777777" w:rsidR="001C08A5" w:rsidRDefault="00000000">
            <w:pPr>
              <w:jc w:val="center"/>
              <w:rPr>
                <w:b/>
                <w:bCs/>
                <w:i/>
                <w:sz w:val="22"/>
                <w:szCs w:val="22"/>
              </w:rPr>
            </w:pPr>
            <w:r>
              <w:rPr>
                <w:b/>
                <w:bCs/>
                <w:i/>
                <w:sz w:val="22"/>
                <w:szCs w:val="22"/>
                <w:lang w:val="en-US" w:eastAsia="zh-CN" w:bidi="ar"/>
              </w:rPr>
              <w:t>I-II</w:t>
            </w: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7FB9CFB" w14:textId="77777777" w:rsidR="001C08A5" w:rsidRDefault="00000000">
            <w:pPr>
              <w:jc w:val="center"/>
              <w:rPr>
                <w:b/>
                <w:bCs/>
                <w:i/>
                <w:sz w:val="22"/>
                <w:szCs w:val="22"/>
              </w:rPr>
            </w:pPr>
            <w:r>
              <w:rPr>
                <w:b/>
                <w:bCs/>
                <w:i/>
                <w:sz w:val="22"/>
                <w:szCs w:val="22"/>
                <w:lang w:val="en-US" w:eastAsia="zh-CN" w:bidi="ar"/>
              </w:rPr>
              <w:t>30</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AC1FBAF" w14:textId="77777777" w:rsidR="001C08A5" w:rsidRDefault="00000000">
            <w:pPr>
              <w:jc w:val="center"/>
              <w:rPr>
                <w:b/>
                <w:bCs/>
                <w:i/>
                <w:sz w:val="22"/>
                <w:szCs w:val="22"/>
              </w:rPr>
            </w:pPr>
            <w:r>
              <w:rPr>
                <w:b/>
                <w:bCs/>
                <w:i/>
                <w:sz w:val="22"/>
                <w:szCs w:val="22"/>
                <w:lang w:val="en-US" w:eastAsia="zh-CN" w:bidi="ar"/>
              </w:rPr>
              <w:t>25</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EE152BF" w14:textId="77777777" w:rsidR="001C08A5" w:rsidRDefault="00000000">
            <w:pPr>
              <w:jc w:val="center"/>
              <w:rPr>
                <w:b/>
                <w:bCs/>
                <w:i/>
                <w:sz w:val="22"/>
                <w:szCs w:val="22"/>
              </w:rPr>
            </w:pPr>
            <w:r>
              <w:rPr>
                <w:b/>
                <w:bCs/>
                <w:i/>
                <w:sz w:val="22"/>
                <w:szCs w:val="22"/>
                <w:lang w:val="en-US" w:eastAsia="zh-CN" w:bidi="ar"/>
              </w:rPr>
              <w:t>20</w:t>
            </w:r>
          </w:p>
        </w:tc>
      </w:tr>
      <w:tr w:rsidR="001C08A5" w14:paraId="55B4A904" w14:textId="77777777">
        <w:trPr>
          <w:trHeight w:val="345"/>
          <w:jc w:val="center"/>
        </w:trPr>
        <w:tc>
          <w:tcPr>
            <w:tcW w:w="11" w:type="pct"/>
            <w:tcMar>
              <w:top w:w="0" w:type="dxa"/>
              <w:left w:w="0" w:type="dxa"/>
              <w:bottom w:w="0" w:type="dxa"/>
              <w:right w:w="0" w:type="dxa"/>
            </w:tcMar>
            <w:vAlign w:val="center"/>
          </w:tcPr>
          <w:p w14:paraId="29C62044" w14:textId="77777777" w:rsidR="001C08A5" w:rsidRDefault="001C08A5">
            <w:pPr>
              <w:rPr>
                <w:b/>
                <w:bCs/>
                <w:i/>
                <w:sz w:val="22"/>
                <w:szCs w:val="22"/>
              </w:rPr>
            </w:pPr>
          </w:p>
        </w:tc>
        <w:tc>
          <w:tcPr>
            <w:tcW w:w="963"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0D0A3E0" w14:textId="77777777" w:rsidR="001C08A5" w:rsidRDefault="00000000">
            <w:pPr>
              <w:jc w:val="center"/>
              <w:rPr>
                <w:b/>
                <w:bCs/>
                <w:i/>
                <w:sz w:val="22"/>
                <w:szCs w:val="22"/>
              </w:rPr>
            </w:pPr>
            <w:r>
              <w:rPr>
                <w:b/>
                <w:bCs/>
                <w:i/>
                <w:sz w:val="22"/>
                <w:szCs w:val="22"/>
                <w:lang w:val="en-US" w:eastAsia="zh-CN" w:bidi="ar"/>
              </w:rPr>
              <w:t>C (BE2)</w:t>
            </w:r>
          </w:p>
        </w:tc>
        <w:tc>
          <w:tcPr>
            <w:tcW w:w="952"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F2B93AD" w14:textId="77777777" w:rsidR="001C08A5" w:rsidRDefault="00000000">
            <w:pPr>
              <w:jc w:val="center"/>
              <w:rPr>
                <w:b/>
                <w:bCs/>
                <w:i/>
                <w:sz w:val="22"/>
                <w:szCs w:val="22"/>
              </w:rPr>
            </w:pPr>
            <w:r>
              <w:rPr>
                <w:b/>
                <w:bCs/>
                <w:i/>
                <w:sz w:val="22"/>
                <w:szCs w:val="22"/>
                <w:lang w:val="en-US" w:eastAsia="zh-CN" w:bidi="ar"/>
              </w:rPr>
              <w:t>I-II</w:t>
            </w: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5CD42BE" w14:textId="77777777" w:rsidR="001C08A5" w:rsidRDefault="00000000">
            <w:pPr>
              <w:jc w:val="center"/>
              <w:rPr>
                <w:b/>
                <w:bCs/>
                <w:i/>
                <w:sz w:val="22"/>
                <w:szCs w:val="22"/>
              </w:rPr>
            </w:pPr>
            <w:r>
              <w:rPr>
                <w:b/>
                <w:bCs/>
                <w:i/>
                <w:sz w:val="22"/>
                <w:szCs w:val="22"/>
                <w:lang w:val="en-US" w:eastAsia="zh-CN" w:bidi="ar"/>
              </w:rPr>
              <w:t>100</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E864645" w14:textId="77777777" w:rsidR="001C08A5" w:rsidRDefault="00000000">
            <w:pPr>
              <w:jc w:val="center"/>
              <w:rPr>
                <w:b/>
                <w:bCs/>
                <w:i/>
                <w:sz w:val="22"/>
                <w:szCs w:val="22"/>
              </w:rPr>
            </w:pPr>
            <w:r>
              <w:rPr>
                <w:b/>
                <w:bCs/>
                <w:i/>
                <w:sz w:val="22"/>
                <w:szCs w:val="22"/>
                <w:lang w:val="en-US" w:eastAsia="zh-CN" w:bidi="ar"/>
              </w:rPr>
              <w:t>75</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0429757" w14:textId="77777777" w:rsidR="001C08A5" w:rsidRDefault="00000000">
            <w:pPr>
              <w:jc w:val="center"/>
              <w:rPr>
                <w:b/>
                <w:bCs/>
                <w:i/>
                <w:sz w:val="22"/>
                <w:szCs w:val="22"/>
              </w:rPr>
            </w:pPr>
            <w:r>
              <w:rPr>
                <w:b/>
                <w:bCs/>
                <w:i/>
                <w:sz w:val="22"/>
                <w:szCs w:val="22"/>
                <w:lang w:val="en-US" w:eastAsia="zh-CN" w:bidi="ar"/>
              </w:rPr>
              <w:t>25</w:t>
            </w:r>
          </w:p>
        </w:tc>
      </w:tr>
      <w:tr w:rsidR="001C08A5" w14:paraId="4805CAD3" w14:textId="77777777">
        <w:trPr>
          <w:trHeight w:val="345"/>
          <w:jc w:val="center"/>
        </w:trPr>
        <w:tc>
          <w:tcPr>
            <w:tcW w:w="11" w:type="pct"/>
            <w:tcMar>
              <w:top w:w="0" w:type="dxa"/>
              <w:left w:w="0" w:type="dxa"/>
              <w:bottom w:w="0" w:type="dxa"/>
              <w:right w:w="0" w:type="dxa"/>
            </w:tcMar>
            <w:vAlign w:val="center"/>
          </w:tcPr>
          <w:p w14:paraId="0EC4D214" w14:textId="77777777" w:rsidR="001C08A5" w:rsidRDefault="001C08A5">
            <w:pPr>
              <w:rPr>
                <w:b/>
                <w:bCs/>
                <w:i/>
                <w:sz w:val="22"/>
                <w:szCs w:val="22"/>
              </w:rPr>
            </w:pPr>
          </w:p>
        </w:tc>
        <w:tc>
          <w:tcPr>
            <w:tcW w:w="963"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FBBF1A7" w14:textId="77777777" w:rsidR="001C08A5" w:rsidRDefault="001C08A5">
            <w:pPr>
              <w:jc w:val="center"/>
              <w:rPr>
                <w:b/>
                <w:bCs/>
                <w:i/>
                <w:sz w:val="22"/>
                <w:szCs w:val="22"/>
              </w:rPr>
            </w:pPr>
          </w:p>
        </w:tc>
        <w:tc>
          <w:tcPr>
            <w:tcW w:w="952"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83269D6" w14:textId="77777777" w:rsidR="001C08A5" w:rsidRDefault="00000000">
            <w:pPr>
              <w:jc w:val="center"/>
              <w:rPr>
                <w:b/>
                <w:bCs/>
                <w:i/>
                <w:sz w:val="22"/>
                <w:szCs w:val="22"/>
              </w:rPr>
            </w:pPr>
            <w:r>
              <w:rPr>
                <w:b/>
                <w:bCs/>
                <w:i/>
                <w:sz w:val="22"/>
                <w:szCs w:val="22"/>
                <w:lang w:val="en-US" w:eastAsia="zh-CN" w:bidi="ar"/>
              </w:rPr>
              <w:t>III</w:t>
            </w: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1130C3D" w14:textId="77777777" w:rsidR="001C08A5" w:rsidRDefault="00000000">
            <w:pPr>
              <w:jc w:val="center"/>
              <w:rPr>
                <w:b/>
                <w:bCs/>
                <w:i/>
                <w:sz w:val="22"/>
                <w:szCs w:val="22"/>
              </w:rPr>
            </w:pPr>
            <w:r>
              <w:rPr>
                <w:b/>
                <w:bCs/>
                <w:i/>
                <w:sz w:val="22"/>
                <w:szCs w:val="22"/>
                <w:lang w:val="en-US" w:eastAsia="zh-CN" w:bidi="ar"/>
              </w:rPr>
              <w:t>80</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2C93D4D" w14:textId="77777777" w:rsidR="001C08A5" w:rsidRDefault="00000000">
            <w:pPr>
              <w:jc w:val="center"/>
              <w:rPr>
                <w:b/>
                <w:bCs/>
                <w:i/>
                <w:sz w:val="22"/>
                <w:szCs w:val="22"/>
              </w:rPr>
            </w:pPr>
            <w:r>
              <w:rPr>
                <w:b/>
                <w:bCs/>
                <w:i/>
                <w:sz w:val="22"/>
                <w:szCs w:val="22"/>
                <w:lang w:val="en-US" w:eastAsia="zh-CN" w:bidi="ar"/>
              </w:rPr>
              <w:t>60</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D419535" w14:textId="77777777" w:rsidR="001C08A5" w:rsidRDefault="00000000">
            <w:pPr>
              <w:jc w:val="center"/>
              <w:rPr>
                <w:b/>
                <w:bCs/>
                <w:i/>
                <w:sz w:val="22"/>
                <w:szCs w:val="22"/>
              </w:rPr>
            </w:pPr>
            <w:r>
              <w:rPr>
                <w:b/>
                <w:bCs/>
                <w:i/>
                <w:sz w:val="22"/>
                <w:szCs w:val="22"/>
                <w:lang w:val="en-US" w:eastAsia="zh-CN" w:bidi="ar"/>
              </w:rPr>
              <w:t>25</w:t>
            </w:r>
          </w:p>
        </w:tc>
      </w:tr>
      <w:tr w:rsidR="001C08A5" w14:paraId="4B180984" w14:textId="77777777">
        <w:trPr>
          <w:trHeight w:val="345"/>
          <w:jc w:val="center"/>
        </w:trPr>
        <w:tc>
          <w:tcPr>
            <w:tcW w:w="11" w:type="pct"/>
            <w:tcMar>
              <w:top w:w="0" w:type="dxa"/>
              <w:left w:w="0" w:type="dxa"/>
              <w:bottom w:w="0" w:type="dxa"/>
              <w:right w:w="0" w:type="dxa"/>
            </w:tcMar>
            <w:vAlign w:val="center"/>
          </w:tcPr>
          <w:p w14:paraId="2142DFD0" w14:textId="77777777" w:rsidR="001C08A5" w:rsidRDefault="001C08A5">
            <w:pPr>
              <w:rPr>
                <w:b/>
                <w:bCs/>
                <w:i/>
                <w:sz w:val="22"/>
                <w:szCs w:val="22"/>
              </w:rPr>
            </w:pPr>
          </w:p>
        </w:tc>
        <w:tc>
          <w:tcPr>
            <w:tcW w:w="963"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D90FC44" w14:textId="77777777" w:rsidR="001C08A5" w:rsidRDefault="001C08A5">
            <w:pPr>
              <w:jc w:val="center"/>
              <w:rPr>
                <w:b/>
                <w:bCs/>
                <w:i/>
                <w:sz w:val="22"/>
                <w:szCs w:val="22"/>
              </w:rPr>
            </w:pPr>
          </w:p>
        </w:tc>
        <w:tc>
          <w:tcPr>
            <w:tcW w:w="952"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E2A7E0A" w14:textId="77777777" w:rsidR="001C08A5" w:rsidRDefault="00000000">
            <w:pPr>
              <w:jc w:val="center"/>
              <w:rPr>
                <w:b/>
                <w:bCs/>
                <w:i/>
                <w:sz w:val="22"/>
                <w:szCs w:val="22"/>
              </w:rPr>
            </w:pPr>
            <w:r>
              <w:rPr>
                <w:b/>
                <w:bCs/>
                <w:i/>
                <w:sz w:val="22"/>
                <w:szCs w:val="22"/>
                <w:lang w:val="en-US" w:eastAsia="zh-CN" w:bidi="ar"/>
              </w:rPr>
              <w:t>IV</w:t>
            </w: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F322E76" w14:textId="77777777" w:rsidR="001C08A5" w:rsidRDefault="00000000">
            <w:pPr>
              <w:jc w:val="center"/>
              <w:rPr>
                <w:b/>
                <w:bCs/>
                <w:i/>
                <w:sz w:val="22"/>
                <w:szCs w:val="22"/>
              </w:rPr>
            </w:pPr>
            <w:r>
              <w:rPr>
                <w:b/>
                <w:bCs/>
                <w:i/>
                <w:sz w:val="22"/>
                <w:szCs w:val="22"/>
                <w:lang w:val="en-US" w:eastAsia="zh-CN" w:bidi="ar"/>
              </w:rPr>
              <w:t>50</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32D1CC3" w14:textId="77777777" w:rsidR="001C08A5" w:rsidRDefault="00000000">
            <w:pPr>
              <w:jc w:val="center"/>
              <w:rPr>
                <w:b/>
                <w:bCs/>
                <w:i/>
                <w:sz w:val="22"/>
                <w:szCs w:val="22"/>
              </w:rPr>
            </w:pPr>
            <w:r>
              <w:rPr>
                <w:b/>
                <w:bCs/>
                <w:i/>
                <w:sz w:val="22"/>
                <w:szCs w:val="22"/>
                <w:lang w:val="en-US" w:eastAsia="zh-CN" w:bidi="ar"/>
              </w:rPr>
              <w:t>30</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4B55202" w14:textId="77777777" w:rsidR="001C08A5" w:rsidRDefault="00000000">
            <w:pPr>
              <w:jc w:val="center"/>
              <w:rPr>
                <w:b/>
                <w:bCs/>
                <w:i/>
                <w:sz w:val="22"/>
                <w:szCs w:val="22"/>
              </w:rPr>
            </w:pPr>
            <w:r>
              <w:rPr>
                <w:b/>
                <w:bCs/>
                <w:i/>
                <w:sz w:val="22"/>
                <w:szCs w:val="22"/>
                <w:lang w:val="en-US" w:eastAsia="zh-CN" w:bidi="ar"/>
              </w:rPr>
              <w:t>25</w:t>
            </w:r>
          </w:p>
        </w:tc>
      </w:tr>
      <w:tr w:rsidR="001C08A5" w14:paraId="1849466F" w14:textId="77777777">
        <w:trPr>
          <w:trHeight w:val="345"/>
          <w:jc w:val="center"/>
        </w:trPr>
        <w:tc>
          <w:tcPr>
            <w:tcW w:w="11" w:type="pct"/>
            <w:tcMar>
              <w:top w:w="0" w:type="dxa"/>
              <w:left w:w="0" w:type="dxa"/>
              <w:bottom w:w="0" w:type="dxa"/>
              <w:right w:w="0" w:type="dxa"/>
            </w:tcMar>
            <w:vAlign w:val="center"/>
          </w:tcPr>
          <w:p w14:paraId="7431F147" w14:textId="77777777" w:rsidR="001C08A5" w:rsidRDefault="001C08A5">
            <w:pPr>
              <w:rPr>
                <w:b/>
                <w:bCs/>
                <w:i/>
                <w:sz w:val="22"/>
                <w:szCs w:val="22"/>
              </w:rPr>
            </w:pPr>
          </w:p>
        </w:tc>
        <w:tc>
          <w:tcPr>
            <w:tcW w:w="963"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B023950" w14:textId="77777777" w:rsidR="001C08A5" w:rsidRDefault="001C08A5">
            <w:pPr>
              <w:jc w:val="center"/>
              <w:rPr>
                <w:b/>
                <w:bCs/>
                <w:i/>
                <w:sz w:val="22"/>
                <w:szCs w:val="22"/>
              </w:rPr>
            </w:pPr>
          </w:p>
        </w:tc>
        <w:tc>
          <w:tcPr>
            <w:tcW w:w="952"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F5D8A1A" w14:textId="77777777" w:rsidR="001C08A5" w:rsidRDefault="00000000">
            <w:pPr>
              <w:jc w:val="center"/>
              <w:rPr>
                <w:b/>
                <w:bCs/>
                <w:i/>
                <w:sz w:val="22"/>
                <w:szCs w:val="22"/>
              </w:rPr>
            </w:pPr>
            <w:r>
              <w:rPr>
                <w:b/>
                <w:bCs/>
                <w:i/>
                <w:sz w:val="22"/>
                <w:szCs w:val="22"/>
                <w:lang w:val="en-US" w:eastAsia="zh-CN" w:bidi="ar"/>
              </w:rPr>
              <w:t>V</w:t>
            </w: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287F1B2" w14:textId="77777777" w:rsidR="001C08A5" w:rsidRDefault="00000000">
            <w:pPr>
              <w:jc w:val="center"/>
              <w:rPr>
                <w:b/>
                <w:bCs/>
                <w:i/>
                <w:sz w:val="22"/>
                <w:szCs w:val="22"/>
              </w:rPr>
            </w:pPr>
            <w:r>
              <w:rPr>
                <w:b/>
                <w:bCs/>
                <w:i/>
                <w:sz w:val="22"/>
                <w:szCs w:val="22"/>
                <w:lang w:val="en-US" w:eastAsia="zh-CN" w:bidi="ar"/>
              </w:rPr>
              <w:t>45</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45002DE" w14:textId="77777777" w:rsidR="001C08A5" w:rsidRDefault="00000000">
            <w:pPr>
              <w:jc w:val="center"/>
              <w:rPr>
                <w:b/>
                <w:bCs/>
                <w:i/>
                <w:sz w:val="22"/>
                <w:szCs w:val="22"/>
              </w:rPr>
            </w:pPr>
            <w:r>
              <w:rPr>
                <w:b/>
                <w:bCs/>
                <w:i/>
                <w:sz w:val="22"/>
                <w:szCs w:val="22"/>
                <w:lang w:val="en-US" w:eastAsia="zh-CN" w:bidi="ar"/>
              </w:rPr>
              <w:t>25</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C8AEA3F" w14:textId="77777777" w:rsidR="001C08A5" w:rsidRDefault="00000000">
            <w:pPr>
              <w:jc w:val="center"/>
              <w:rPr>
                <w:b/>
                <w:bCs/>
                <w:i/>
                <w:sz w:val="22"/>
                <w:szCs w:val="22"/>
              </w:rPr>
            </w:pPr>
            <w:r>
              <w:rPr>
                <w:b/>
                <w:bCs/>
                <w:i/>
                <w:sz w:val="22"/>
                <w:szCs w:val="22"/>
                <w:lang w:val="en-US" w:eastAsia="zh-CN" w:bidi="ar"/>
              </w:rPr>
              <w:t>25</w:t>
            </w:r>
          </w:p>
        </w:tc>
      </w:tr>
      <w:tr w:rsidR="001C08A5" w14:paraId="4C6EA122" w14:textId="77777777">
        <w:trPr>
          <w:trHeight w:val="345"/>
          <w:jc w:val="center"/>
        </w:trPr>
        <w:tc>
          <w:tcPr>
            <w:tcW w:w="11" w:type="pct"/>
            <w:tcMar>
              <w:top w:w="0" w:type="dxa"/>
              <w:left w:w="0" w:type="dxa"/>
              <w:bottom w:w="0" w:type="dxa"/>
              <w:right w:w="0" w:type="dxa"/>
            </w:tcMar>
            <w:vAlign w:val="center"/>
          </w:tcPr>
          <w:p w14:paraId="4E1FD81B" w14:textId="77777777" w:rsidR="001C08A5" w:rsidRDefault="001C08A5">
            <w:pPr>
              <w:rPr>
                <w:b/>
                <w:bCs/>
                <w:i/>
                <w:sz w:val="22"/>
                <w:szCs w:val="22"/>
              </w:rPr>
            </w:pPr>
          </w:p>
        </w:tc>
        <w:tc>
          <w:tcPr>
            <w:tcW w:w="963"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6B25E19" w14:textId="77777777" w:rsidR="001C08A5" w:rsidRDefault="00000000">
            <w:pPr>
              <w:jc w:val="center"/>
              <w:rPr>
                <w:b/>
                <w:bCs/>
                <w:i/>
                <w:sz w:val="22"/>
                <w:szCs w:val="22"/>
              </w:rPr>
            </w:pPr>
            <w:r>
              <w:rPr>
                <w:b/>
                <w:bCs/>
                <w:i/>
                <w:sz w:val="22"/>
                <w:szCs w:val="22"/>
                <w:lang w:val="en-US" w:eastAsia="zh-CN" w:bidi="ar"/>
              </w:rPr>
              <w:t>D-E (BE1</w:t>
            </w:r>
            <w:proofErr w:type="gramStart"/>
            <w:r>
              <w:rPr>
                <w:b/>
                <w:bCs/>
                <w:i/>
                <w:sz w:val="22"/>
                <w:szCs w:val="22"/>
                <w:lang w:val="en-US" w:eastAsia="zh-CN" w:bidi="ar"/>
              </w:rPr>
              <w:t>a,b</w:t>
            </w:r>
            <w:proofErr w:type="gramEnd"/>
            <w:r>
              <w:rPr>
                <w:b/>
                <w:bCs/>
                <w:i/>
                <w:sz w:val="22"/>
                <w:szCs w:val="22"/>
                <w:lang w:val="en-US" w:eastAsia="zh-CN" w:bidi="ar"/>
              </w:rPr>
              <w:t>)</w:t>
            </w:r>
          </w:p>
        </w:tc>
        <w:tc>
          <w:tcPr>
            <w:tcW w:w="952"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3D0BA33" w14:textId="77777777" w:rsidR="001C08A5" w:rsidRDefault="00000000">
            <w:pPr>
              <w:jc w:val="center"/>
              <w:rPr>
                <w:b/>
                <w:bCs/>
                <w:i/>
                <w:sz w:val="22"/>
                <w:szCs w:val="22"/>
              </w:rPr>
            </w:pPr>
            <w:r>
              <w:rPr>
                <w:b/>
                <w:bCs/>
                <w:i/>
                <w:sz w:val="22"/>
                <w:szCs w:val="22"/>
                <w:lang w:val="en-US" w:eastAsia="zh-CN" w:bidi="ar"/>
              </w:rPr>
              <w:t>I-II</w:t>
            </w:r>
          </w:p>
        </w:tc>
        <w:tc>
          <w:tcPr>
            <w:tcW w:w="3072" w:type="pct"/>
            <w:gridSpan w:val="3"/>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9841D8E" w14:textId="77777777" w:rsidR="001C08A5" w:rsidRDefault="00000000">
            <w:pPr>
              <w:jc w:val="center"/>
              <w:rPr>
                <w:b/>
                <w:bCs/>
                <w:i/>
                <w:sz w:val="22"/>
                <w:szCs w:val="22"/>
              </w:rPr>
            </w:pPr>
            <w:r>
              <w:rPr>
                <w:b/>
                <w:bCs/>
                <w:i/>
                <w:sz w:val="22"/>
                <w:szCs w:val="22"/>
                <w:lang w:val="en-US" w:eastAsia="zh-CN" w:bidi="ar"/>
              </w:rPr>
              <w:t>nu se limitează</w:t>
            </w:r>
          </w:p>
        </w:tc>
      </w:tr>
      <w:tr w:rsidR="001C08A5" w14:paraId="158408E3" w14:textId="77777777">
        <w:trPr>
          <w:trHeight w:val="345"/>
          <w:jc w:val="center"/>
        </w:trPr>
        <w:tc>
          <w:tcPr>
            <w:tcW w:w="11" w:type="pct"/>
            <w:tcMar>
              <w:top w:w="0" w:type="dxa"/>
              <w:left w:w="0" w:type="dxa"/>
              <w:bottom w:w="0" w:type="dxa"/>
              <w:right w:w="0" w:type="dxa"/>
            </w:tcMar>
            <w:vAlign w:val="center"/>
          </w:tcPr>
          <w:p w14:paraId="4B28794E" w14:textId="77777777" w:rsidR="001C08A5" w:rsidRDefault="001C08A5">
            <w:pPr>
              <w:rPr>
                <w:b/>
                <w:bCs/>
                <w:i/>
                <w:sz w:val="22"/>
                <w:szCs w:val="22"/>
              </w:rPr>
            </w:pPr>
          </w:p>
        </w:tc>
        <w:tc>
          <w:tcPr>
            <w:tcW w:w="963"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AC28B03" w14:textId="77777777" w:rsidR="001C08A5" w:rsidRDefault="001C08A5">
            <w:pPr>
              <w:jc w:val="center"/>
              <w:rPr>
                <w:b/>
                <w:bCs/>
                <w:i/>
                <w:sz w:val="22"/>
                <w:szCs w:val="22"/>
              </w:rPr>
            </w:pPr>
          </w:p>
        </w:tc>
        <w:tc>
          <w:tcPr>
            <w:tcW w:w="952"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45BDE96" w14:textId="77777777" w:rsidR="001C08A5" w:rsidRDefault="00000000">
            <w:pPr>
              <w:jc w:val="center"/>
              <w:rPr>
                <w:b/>
                <w:bCs/>
                <w:i/>
                <w:sz w:val="22"/>
                <w:szCs w:val="22"/>
              </w:rPr>
            </w:pPr>
            <w:r>
              <w:rPr>
                <w:b/>
                <w:bCs/>
                <w:i/>
                <w:sz w:val="22"/>
                <w:szCs w:val="22"/>
                <w:lang w:val="en-US" w:eastAsia="zh-CN" w:bidi="ar"/>
              </w:rPr>
              <w:t>III</w:t>
            </w: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376FAEF" w14:textId="77777777" w:rsidR="001C08A5" w:rsidRDefault="00000000">
            <w:pPr>
              <w:jc w:val="center"/>
              <w:rPr>
                <w:b/>
                <w:bCs/>
                <w:i/>
                <w:sz w:val="22"/>
                <w:szCs w:val="22"/>
              </w:rPr>
            </w:pPr>
            <w:r>
              <w:rPr>
                <w:b/>
                <w:bCs/>
                <w:i/>
                <w:sz w:val="22"/>
                <w:szCs w:val="22"/>
                <w:lang w:val="en-US" w:eastAsia="zh-CN" w:bidi="ar"/>
              </w:rPr>
              <w:t>100</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6855F84" w14:textId="77777777" w:rsidR="001C08A5" w:rsidRDefault="00000000">
            <w:pPr>
              <w:jc w:val="center"/>
              <w:rPr>
                <w:b/>
                <w:bCs/>
                <w:i/>
                <w:sz w:val="22"/>
                <w:szCs w:val="22"/>
              </w:rPr>
            </w:pPr>
            <w:r>
              <w:rPr>
                <w:b/>
                <w:bCs/>
                <w:i/>
                <w:sz w:val="22"/>
                <w:szCs w:val="22"/>
                <w:lang w:val="en-US" w:eastAsia="zh-CN" w:bidi="ar"/>
              </w:rPr>
              <w:t>75</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5AE29BD" w14:textId="77777777" w:rsidR="001C08A5" w:rsidRDefault="00000000">
            <w:pPr>
              <w:jc w:val="center"/>
              <w:rPr>
                <w:b/>
                <w:bCs/>
                <w:i/>
                <w:sz w:val="22"/>
                <w:szCs w:val="22"/>
              </w:rPr>
            </w:pPr>
            <w:r>
              <w:rPr>
                <w:b/>
                <w:bCs/>
                <w:i/>
                <w:sz w:val="22"/>
                <w:szCs w:val="22"/>
                <w:lang w:val="en-US" w:eastAsia="zh-CN" w:bidi="ar"/>
              </w:rPr>
              <w:t>25</w:t>
            </w:r>
          </w:p>
        </w:tc>
      </w:tr>
      <w:tr w:rsidR="001C08A5" w14:paraId="67216EBF" w14:textId="77777777">
        <w:trPr>
          <w:trHeight w:val="345"/>
          <w:jc w:val="center"/>
        </w:trPr>
        <w:tc>
          <w:tcPr>
            <w:tcW w:w="11" w:type="pct"/>
            <w:tcMar>
              <w:top w:w="0" w:type="dxa"/>
              <w:left w:w="0" w:type="dxa"/>
              <w:bottom w:w="0" w:type="dxa"/>
              <w:right w:w="0" w:type="dxa"/>
            </w:tcMar>
            <w:vAlign w:val="center"/>
          </w:tcPr>
          <w:p w14:paraId="05559C0C" w14:textId="77777777" w:rsidR="001C08A5" w:rsidRDefault="001C08A5">
            <w:pPr>
              <w:rPr>
                <w:b/>
                <w:bCs/>
                <w:i/>
                <w:sz w:val="22"/>
                <w:szCs w:val="22"/>
              </w:rPr>
            </w:pPr>
          </w:p>
        </w:tc>
        <w:tc>
          <w:tcPr>
            <w:tcW w:w="963"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05038F3" w14:textId="77777777" w:rsidR="001C08A5" w:rsidRDefault="001C08A5">
            <w:pPr>
              <w:jc w:val="center"/>
              <w:rPr>
                <w:b/>
                <w:bCs/>
                <w:i/>
                <w:sz w:val="22"/>
                <w:szCs w:val="22"/>
              </w:rPr>
            </w:pPr>
          </w:p>
        </w:tc>
        <w:tc>
          <w:tcPr>
            <w:tcW w:w="952"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0A58BC8" w14:textId="77777777" w:rsidR="001C08A5" w:rsidRDefault="00000000">
            <w:pPr>
              <w:jc w:val="center"/>
              <w:rPr>
                <w:b/>
                <w:bCs/>
                <w:i/>
                <w:sz w:val="22"/>
                <w:szCs w:val="22"/>
              </w:rPr>
            </w:pPr>
            <w:r>
              <w:rPr>
                <w:b/>
                <w:bCs/>
                <w:i/>
                <w:sz w:val="22"/>
                <w:szCs w:val="22"/>
                <w:lang w:val="en-US" w:eastAsia="zh-CN" w:bidi="ar"/>
              </w:rPr>
              <w:t>IV</w:t>
            </w: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9F058C3" w14:textId="77777777" w:rsidR="001C08A5" w:rsidRDefault="00000000">
            <w:pPr>
              <w:jc w:val="center"/>
              <w:rPr>
                <w:b/>
                <w:bCs/>
                <w:i/>
                <w:sz w:val="22"/>
                <w:szCs w:val="22"/>
              </w:rPr>
            </w:pPr>
            <w:r>
              <w:rPr>
                <w:b/>
                <w:bCs/>
                <w:i/>
                <w:sz w:val="22"/>
                <w:szCs w:val="22"/>
                <w:lang w:val="en-US" w:eastAsia="zh-CN" w:bidi="ar"/>
              </w:rPr>
              <w:t>60</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48A1A44" w14:textId="77777777" w:rsidR="001C08A5" w:rsidRDefault="00000000">
            <w:pPr>
              <w:jc w:val="center"/>
              <w:rPr>
                <w:b/>
                <w:bCs/>
                <w:i/>
                <w:sz w:val="22"/>
                <w:szCs w:val="22"/>
              </w:rPr>
            </w:pPr>
            <w:r>
              <w:rPr>
                <w:b/>
                <w:bCs/>
                <w:i/>
                <w:sz w:val="22"/>
                <w:szCs w:val="22"/>
                <w:lang w:val="en-US" w:eastAsia="zh-CN" w:bidi="ar"/>
              </w:rPr>
              <w:t>50</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11E6BFB" w14:textId="77777777" w:rsidR="001C08A5" w:rsidRDefault="00000000">
            <w:pPr>
              <w:jc w:val="center"/>
              <w:rPr>
                <w:b/>
                <w:bCs/>
                <w:i/>
                <w:sz w:val="22"/>
                <w:szCs w:val="22"/>
              </w:rPr>
            </w:pPr>
            <w:r>
              <w:rPr>
                <w:b/>
                <w:bCs/>
                <w:i/>
                <w:sz w:val="22"/>
                <w:szCs w:val="22"/>
                <w:lang w:val="en-US" w:eastAsia="zh-CN" w:bidi="ar"/>
              </w:rPr>
              <w:t>25</w:t>
            </w:r>
          </w:p>
        </w:tc>
      </w:tr>
      <w:tr w:rsidR="001C08A5" w14:paraId="546CFE85" w14:textId="77777777">
        <w:trPr>
          <w:trHeight w:val="360"/>
          <w:jc w:val="center"/>
        </w:trPr>
        <w:tc>
          <w:tcPr>
            <w:tcW w:w="11" w:type="pct"/>
            <w:tcMar>
              <w:top w:w="0" w:type="dxa"/>
              <w:left w:w="0" w:type="dxa"/>
              <w:bottom w:w="0" w:type="dxa"/>
              <w:right w:w="0" w:type="dxa"/>
            </w:tcMar>
            <w:vAlign w:val="center"/>
          </w:tcPr>
          <w:p w14:paraId="08A28B2D" w14:textId="77777777" w:rsidR="001C08A5" w:rsidRDefault="001C08A5">
            <w:pPr>
              <w:rPr>
                <w:b/>
                <w:bCs/>
                <w:i/>
                <w:sz w:val="22"/>
                <w:szCs w:val="22"/>
              </w:rPr>
            </w:pPr>
          </w:p>
        </w:tc>
        <w:tc>
          <w:tcPr>
            <w:tcW w:w="963"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EC20581" w14:textId="77777777" w:rsidR="001C08A5" w:rsidRDefault="001C08A5">
            <w:pPr>
              <w:jc w:val="center"/>
              <w:rPr>
                <w:b/>
                <w:bCs/>
                <w:i/>
                <w:sz w:val="22"/>
                <w:szCs w:val="22"/>
              </w:rPr>
            </w:pPr>
          </w:p>
        </w:tc>
        <w:tc>
          <w:tcPr>
            <w:tcW w:w="952"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459FCA1" w14:textId="77777777" w:rsidR="001C08A5" w:rsidRDefault="00000000">
            <w:pPr>
              <w:jc w:val="center"/>
              <w:rPr>
                <w:b/>
                <w:bCs/>
                <w:i/>
                <w:sz w:val="22"/>
                <w:szCs w:val="22"/>
              </w:rPr>
            </w:pPr>
            <w:r>
              <w:rPr>
                <w:b/>
                <w:bCs/>
                <w:i/>
                <w:sz w:val="22"/>
                <w:szCs w:val="22"/>
                <w:lang w:val="en-US" w:eastAsia="zh-CN" w:bidi="ar"/>
              </w:rPr>
              <w:t>V</w:t>
            </w:r>
          </w:p>
        </w:tc>
        <w:tc>
          <w:tcPr>
            <w:tcW w:w="1135"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B3D935E" w14:textId="77777777" w:rsidR="001C08A5" w:rsidRDefault="00000000">
            <w:pPr>
              <w:jc w:val="center"/>
              <w:rPr>
                <w:b/>
                <w:bCs/>
                <w:i/>
                <w:sz w:val="22"/>
                <w:szCs w:val="22"/>
              </w:rPr>
            </w:pPr>
            <w:r>
              <w:rPr>
                <w:b/>
                <w:bCs/>
                <w:i/>
                <w:sz w:val="22"/>
                <w:szCs w:val="22"/>
                <w:lang w:val="en-US" w:eastAsia="zh-CN" w:bidi="ar"/>
              </w:rPr>
              <w:t>50</w:t>
            </w:r>
          </w:p>
        </w:tc>
        <w:tc>
          <w:tcPr>
            <w:tcW w:w="94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44B3FB0" w14:textId="77777777" w:rsidR="001C08A5" w:rsidRDefault="00000000">
            <w:pPr>
              <w:jc w:val="center"/>
              <w:rPr>
                <w:b/>
                <w:bCs/>
                <w:i/>
                <w:sz w:val="22"/>
                <w:szCs w:val="22"/>
              </w:rPr>
            </w:pPr>
            <w:r>
              <w:rPr>
                <w:b/>
                <w:bCs/>
                <w:i/>
                <w:sz w:val="22"/>
                <w:szCs w:val="22"/>
                <w:lang w:val="en-US" w:eastAsia="zh-CN" w:bidi="ar"/>
              </w:rPr>
              <w:t>40</w:t>
            </w:r>
          </w:p>
        </w:tc>
        <w:tc>
          <w:tcPr>
            <w:tcW w:w="99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5D701CD" w14:textId="77777777" w:rsidR="001C08A5" w:rsidRDefault="00000000">
            <w:pPr>
              <w:jc w:val="center"/>
              <w:rPr>
                <w:b/>
                <w:bCs/>
                <w:i/>
                <w:sz w:val="22"/>
                <w:szCs w:val="22"/>
              </w:rPr>
            </w:pPr>
            <w:r>
              <w:rPr>
                <w:b/>
                <w:bCs/>
                <w:i/>
                <w:sz w:val="22"/>
                <w:szCs w:val="22"/>
                <w:lang w:val="en-US" w:eastAsia="zh-CN" w:bidi="ar"/>
              </w:rPr>
              <w:t>25</w:t>
            </w:r>
          </w:p>
        </w:tc>
      </w:tr>
    </w:tbl>
    <w:p w14:paraId="746D27A1" w14:textId="77777777" w:rsidR="001C08A5" w:rsidRDefault="00000000">
      <w:pPr>
        <w:shd w:val="clear" w:color="auto" w:fill="FFFFFF"/>
        <w:spacing w:after="150"/>
        <w:jc w:val="both"/>
        <w:rPr>
          <w:rFonts w:eastAsia="Calibri"/>
          <w:i/>
          <w:sz w:val="22"/>
          <w:szCs w:val="22"/>
        </w:rPr>
      </w:pPr>
      <w:r>
        <w:rPr>
          <w:rFonts w:eastAsia="Calibri"/>
          <w:b/>
          <w:bCs/>
          <w:i/>
          <w:sz w:val="22"/>
          <w:szCs w:val="22"/>
          <w:shd w:val="clear" w:color="auto" w:fill="FFFFFF"/>
        </w:rPr>
        <w:t>NOTĂ:</w:t>
      </w:r>
    </w:p>
    <w:p w14:paraId="1A963A3C" w14:textId="77777777" w:rsidR="001C08A5" w:rsidRDefault="00000000">
      <w:pPr>
        <w:shd w:val="clear" w:color="auto" w:fill="FFFFFF"/>
        <w:spacing w:after="150"/>
        <w:jc w:val="both"/>
        <w:rPr>
          <w:rFonts w:eastAsia="Calibri"/>
          <w:b/>
          <w:i/>
          <w:sz w:val="24"/>
          <w:szCs w:val="24"/>
          <w:shd w:val="clear" w:color="auto" w:fill="FFFFFF"/>
        </w:rPr>
      </w:pPr>
      <w:r>
        <w:rPr>
          <w:rFonts w:eastAsia="Calibri"/>
          <w:i/>
          <w:sz w:val="22"/>
          <w:szCs w:val="22"/>
          <w:shd w:val="clear" w:color="auto" w:fill="FFFFFF"/>
        </w:rPr>
        <w:t>Lungimea maximă a căii de evacuare nu se normează în toate situațiile în care la fiecare nivel al construcției existente se pot afla simultan maximum 10 persoane, indiferent de categoria de pericol de incendiu și nivelul de stabilitate la incendiu al construcției existente.</w:t>
      </w:r>
    </w:p>
    <w:p w14:paraId="1044D542" w14:textId="77777777" w:rsidR="001C08A5" w:rsidRDefault="00000000">
      <w:pPr>
        <w:pStyle w:val="Heading3"/>
        <w:rPr>
          <w:i/>
          <w:iCs/>
          <w:sz w:val="24"/>
          <w:szCs w:val="24"/>
        </w:rPr>
      </w:pPr>
      <w:bookmarkStart w:id="11336" w:name="_Toc7860"/>
      <w:bookmarkStart w:id="11337" w:name="_Toc23000"/>
      <w:bookmarkStart w:id="11338" w:name="_Toc162355621"/>
      <w:bookmarkStart w:id="11339" w:name="_Toc11848"/>
      <w:bookmarkStart w:id="11340" w:name="_Toc15067"/>
      <w:bookmarkStart w:id="11341" w:name="_Toc11564"/>
      <w:r>
        <w:rPr>
          <w:i/>
          <w:iCs/>
          <w:sz w:val="24"/>
          <w:szCs w:val="24"/>
        </w:rPr>
        <w:t>A.10. 5.7. INSTALAȚII DE SEMNALIZARE ȘI STINGERE A INCENDIILOR</w:t>
      </w:r>
      <w:bookmarkEnd w:id="11336"/>
      <w:bookmarkEnd w:id="11337"/>
      <w:bookmarkEnd w:id="11338"/>
      <w:bookmarkEnd w:id="11339"/>
      <w:bookmarkEnd w:id="11340"/>
      <w:bookmarkEnd w:id="11341"/>
    </w:p>
    <w:p w14:paraId="3BB6071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5.7.1.</w:t>
      </w:r>
      <w:r>
        <w:rPr>
          <w:rFonts w:eastAsia="Calibri"/>
          <w:i/>
          <w:sz w:val="24"/>
          <w:szCs w:val="24"/>
          <w:shd w:val="clear" w:color="auto" w:fill="FFFFFF"/>
        </w:rPr>
        <w:t> Construcțiile existente de producție și/sau depozitare se echipează și dotează cu instalații și mijloace de semnalizare și stingere a incendiilor în conformitate cu prevederile din prezenta anexă și ale reglementărilor tehnice de specialitate, precum și suplimentar, ori de câte ori beneficiarul solicită.</w:t>
      </w:r>
    </w:p>
    <w:p w14:paraId="5139D29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5.7.2.</w:t>
      </w:r>
      <w:r>
        <w:rPr>
          <w:rFonts w:eastAsia="Calibri"/>
          <w:i/>
          <w:sz w:val="24"/>
          <w:szCs w:val="24"/>
          <w:shd w:val="clear" w:color="auto" w:fill="FFFFFF"/>
        </w:rPr>
        <w:t> La stabilirea echipării și dotării, trebuie să se aibă în vedere utilizarea echipamentelor, instalațiilor, mijloacelor și substanțelor corespunzătoare riscurilor de incendiu (anterioarelor categorii de pericol de incendiu), caracteristicilor de manifestare a acestora și claselor de incendiu, precum și compatibilitatea acestora, asigurând realizarea siguranței la foc corespunzătoare.</w:t>
      </w:r>
    </w:p>
    <w:p w14:paraId="3250ECA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5.7.3.</w:t>
      </w:r>
      <w:r>
        <w:rPr>
          <w:rFonts w:eastAsia="Calibri"/>
          <w:i/>
          <w:sz w:val="24"/>
          <w:szCs w:val="24"/>
          <w:shd w:val="clear" w:color="auto" w:fill="FFFFFF"/>
        </w:rPr>
        <w:t> Instalațiile de semnalizare și stingere a incendiilor la construcțiile de producție și/sau depozitare cu pericol de incendiu deosebit sau vulnerabile la incendiu, vor fi astfel realizate încât să asigure parametrii funcționali și în cazul unei avarii la elementele componente.</w:t>
      </w:r>
    </w:p>
    <w:p w14:paraId="6592CD6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5.7.4.</w:t>
      </w:r>
      <w:r>
        <w:rPr>
          <w:rFonts w:eastAsia="Calibri"/>
          <w:i/>
          <w:sz w:val="24"/>
          <w:szCs w:val="24"/>
          <w:shd w:val="clear" w:color="auto" w:fill="FFFFFF"/>
        </w:rPr>
        <w:t> În construcțiile existente de producție și/sau depozitare monobloc, se pot prevede hidranți de incendiu montați în pardoseală, astfel am plasați și realizați încât să poată fi utilizați în caz de incendiu</w:t>
      </w:r>
    </w:p>
    <w:p w14:paraId="4BDEDE5B" w14:textId="77777777" w:rsidR="001C08A5" w:rsidRDefault="00000000">
      <w:pPr>
        <w:pStyle w:val="Heading3"/>
        <w:rPr>
          <w:i/>
          <w:iCs/>
          <w:sz w:val="24"/>
          <w:szCs w:val="24"/>
        </w:rPr>
      </w:pPr>
      <w:bookmarkStart w:id="11342" w:name="_Toc8886"/>
      <w:bookmarkStart w:id="11343" w:name="_Toc30426"/>
      <w:bookmarkStart w:id="11344" w:name="_Toc6"/>
      <w:bookmarkStart w:id="11345" w:name="_Toc162355622"/>
      <w:bookmarkStart w:id="11346" w:name="_Toc26228"/>
      <w:bookmarkStart w:id="11347" w:name="_Toc17467"/>
      <w:r>
        <w:rPr>
          <w:i/>
          <w:iCs/>
          <w:sz w:val="24"/>
          <w:szCs w:val="24"/>
        </w:rPr>
        <w:t>A.10. 5.8. INSTALAȚII UTILITARE AFERENTE CONSTRUCȚIILOR EXISTENTE</w:t>
      </w:r>
      <w:bookmarkEnd w:id="11342"/>
      <w:bookmarkEnd w:id="11343"/>
      <w:bookmarkEnd w:id="11344"/>
      <w:bookmarkEnd w:id="11345"/>
      <w:bookmarkEnd w:id="11346"/>
      <w:bookmarkEnd w:id="11347"/>
      <w:r>
        <w:rPr>
          <w:i/>
          <w:iCs/>
          <w:sz w:val="24"/>
          <w:szCs w:val="24"/>
        </w:rPr>
        <w:t xml:space="preserve"> </w:t>
      </w:r>
    </w:p>
    <w:p w14:paraId="40051F2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5.8.1.</w:t>
      </w:r>
      <w:r>
        <w:rPr>
          <w:rFonts w:eastAsia="Calibri"/>
          <w:i/>
          <w:sz w:val="24"/>
          <w:szCs w:val="24"/>
          <w:shd w:val="clear" w:color="auto" w:fill="FFFFFF"/>
        </w:rPr>
        <w:t> Echiparea, proiectarea și realizarea instalațiilor ut</w:t>
      </w:r>
      <w:r>
        <w:rPr>
          <w:rFonts w:eastAsia="Calibri"/>
          <w:b/>
          <w:bCs/>
          <w:i/>
          <w:sz w:val="24"/>
          <w:szCs w:val="24"/>
          <w:shd w:val="clear" w:color="auto" w:fill="FFFFFF"/>
        </w:rPr>
        <w:t>iii</w:t>
      </w:r>
      <w:r>
        <w:rPr>
          <w:rFonts w:eastAsia="Calibri"/>
          <w:i/>
          <w:sz w:val="24"/>
          <w:szCs w:val="24"/>
          <w:shd w:val="clear" w:color="auto" w:fill="FFFFFF"/>
        </w:rPr>
        <w:t>tare aferente construcțiilor de producție și/sau depozitare, se asigură în conformitate cu prevederile reglementărilor tehnice în vigoare și ale prezentei anexe.</w:t>
      </w:r>
    </w:p>
    <w:p w14:paraId="1F88E9B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5.8.2.</w:t>
      </w:r>
      <w:r>
        <w:rPr>
          <w:rFonts w:eastAsia="Calibri"/>
          <w:i/>
          <w:sz w:val="24"/>
          <w:szCs w:val="24"/>
          <w:shd w:val="clear" w:color="auto" w:fill="FFFFFF"/>
        </w:rPr>
        <w:t> Instalațiile utilitare aferente construcțiilor existente de producție și/sau depozitare vor fi corespunzătoare categoriilor de pericol de incendiu din spațiile respective și astfel proiectate și realizate încât să evite producerea incedii lor și propagarea focului.</w:t>
      </w:r>
    </w:p>
    <w:p w14:paraId="627A12E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5.8.3.</w:t>
      </w:r>
      <w:r>
        <w:rPr>
          <w:rFonts w:eastAsia="Calibri"/>
          <w:i/>
          <w:sz w:val="24"/>
          <w:szCs w:val="24"/>
          <w:shd w:val="clear" w:color="auto" w:fill="FFFFFF"/>
        </w:rPr>
        <w:t> Instalațiile electrice vor corespunde alcătuirii construcției existente, categoriilor de pericol de incendiu ale spațiilor respective, asigurând nivelele de performanță admise.</w:t>
      </w:r>
    </w:p>
    <w:p w14:paraId="0034EFF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5.8.4.</w:t>
      </w:r>
      <w:r>
        <w:rPr>
          <w:rFonts w:eastAsia="Calibri"/>
          <w:i/>
          <w:sz w:val="24"/>
          <w:szCs w:val="24"/>
          <w:shd w:val="clear" w:color="auto" w:fill="FFFFFF"/>
        </w:rPr>
        <w:t> Sistemele și instalațiile de încălzire vor fi stabilite în funcție de categoriile de pericol de incendiu, de mărimea construcțiilor existente și nivelurile de stabilitate la incendiu asigurate, fiind interzisă utilizarea celor cu foc deschis în încăperile, spațiile și construcțiile existente cu pericol de incendiu sau explozie.</w:t>
      </w:r>
    </w:p>
    <w:p w14:paraId="09E6460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5.8.5.</w:t>
      </w:r>
      <w:r>
        <w:rPr>
          <w:rFonts w:eastAsia="Calibri"/>
          <w:i/>
          <w:sz w:val="24"/>
          <w:szCs w:val="24"/>
          <w:shd w:val="clear" w:color="auto" w:fill="FFFFFF"/>
        </w:rPr>
        <w:t> Spațiile și încăperile în care se degajă substanțe combustibile, vor avea asigurată evacuarea gazelor, vaporilor, prafului și a pulberilor, pe măsura degajării lor, astfel încât să nu conducă la formarea unor concentrații cu pericol de explozie.</w:t>
      </w:r>
    </w:p>
    <w:p w14:paraId="62191A9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5.8.6.</w:t>
      </w:r>
      <w:r>
        <w:rPr>
          <w:rFonts w:eastAsia="Calibri"/>
          <w:i/>
          <w:sz w:val="24"/>
          <w:szCs w:val="24"/>
          <w:shd w:val="clear" w:color="auto" w:fill="FFFFFF"/>
        </w:rPr>
        <w:t> Sistemele de ventilare ale încăperilor și spațiilor în care se utilizează, manipulează sau prelucrează substanțe inflamabile, vor fi independente de celelalte sisteme de ventilare ale construcției existente .</w:t>
      </w:r>
    </w:p>
    <w:p w14:paraId="781ED75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5.8.7.</w:t>
      </w:r>
      <w:r>
        <w:rPr>
          <w:rFonts w:eastAsia="Calibri"/>
          <w:i/>
          <w:sz w:val="24"/>
          <w:szCs w:val="24"/>
          <w:shd w:val="clear" w:color="auto" w:fill="FFFFFF"/>
        </w:rPr>
        <w:t> Sistemele și instalațiile de ventilare aferente depozitelor cu aria mai mare de 36 m2, pentru materiale sau substanțe combustibile, vor fi independente de alte sisteme sau instalații de ventilare ale construcției existente .</w:t>
      </w:r>
    </w:p>
    <w:p w14:paraId="5238C946" w14:textId="77777777" w:rsidR="001C08A5" w:rsidRDefault="00000000">
      <w:pPr>
        <w:pStyle w:val="Heading3"/>
        <w:rPr>
          <w:i/>
          <w:iCs/>
          <w:sz w:val="24"/>
          <w:szCs w:val="24"/>
        </w:rPr>
      </w:pPr>
      <w:bookmarkStart w:id="11348" w:name="_Toc20981"/>
      <w:bookmarkStart w:id="11349" w:name="_Toc30628"/>
      <w:bookmarkStart w:id="11350" w:name="_Toc26185"/>
      <w:bookmarkStart w:id="11351" w:name="_Toc162355623"/>
      <w:bookmarkStart w:id="11352" w:name="_Toc29516"/>
      <w:bookmarkStart w:id="11353" w:name="_Toc18263"/>
      <w:r>
        <w:rPr>
          <w:i/>
          <w:iCs/>
          <w:sz w:val="24"/>
          <w:szCs w:val="24"/>
        </w:rPr>
        <w:t>A.10. 5.9. CĂI DE ACCES, INTERVENȚIE ȘI SALVARE</w:t>
      </w:r>
      <w:bookmarkEnd w:id="11348"/>
      <w:bookmarkEnd w:id="11349"/>
      <w:bookmarkEnd w:id="11350"/>
      <w:bookmarkEnd w:id="11351"/>
      <w:bookmarkEnd w:id="11352"/>
      <w:bookmarkEnd w:id="11353"/>
    </w:p>
    <w:p w14:paraId="678E6F2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5.9.1.</w:t>
      </w:r>
      <w:r>
        <w:rPr>
          <w:rFonts w:eastAsia="Calibri"/>
          <w:i/>
          <w:sz w:val="24"/>
          <w:szCs w:val="24"/>
          <w:shd w:val="clear" w:color="auto" w:fill="FFFFFF"/>
        </w:rPr>
        <w:t> Construcțiile existente de producție și/sau depozitare vor avea asigurate căi de acces, intervenție și salvare în caz de incendiu, astfel dispuse și realizate încât forțele de intervenție să poată acționa în timp cât mai scurt și în condiții de siguranță.</w:t>
      </w:r>
    </w:p>
    <w:p w14:paraId="5E4AF42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5.9.2.</w:t>
      </w:r>
      <w:r>
        <w:rPr>
          <w:rFonts w:eastAsia="Calibri"/>
          <w:i/>
          <w:sz w:val="24"/>
          <w:szCs w:val="24"/>
          <w:shd w:val="clear" w:color="auto" w:fill="FFFFFF"/>
        </w:rPr>
        <w:t> De regulă, construcțiile existente de producție și/sau de depozitare trebuie să fie accesibile autospecialelor de intervenție pe cel puțin două laturi. Fac excepție construcțiile existente cu aria desfășurată de maximum 2000 m2, la care accesul de intervenție poate fi pe o latură.</w:t>
      </w:r>
    </w:p>
    <w:p w14:paraId="7C852C7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5.9.3.</w:t>
      </w:r>
      <w:r>
        <w:rPr>
          <w:rFonts w:eastAsia="Calibri"/>
          <w:i/>
          <w:sz w:val="24"/>
          <w:szCs w:val="24"/>
          <w:shd w:val="clear" w:color="auto" w:fill="FFFFFF"/>
        </w:rPr>
        <w:t> Căile exterioare de acces pentru autospeciale, realizate conform prevederilor din prezenta anexă, trebuie să permită intervenția în special în zonele mai periculoase ale construcției existente, la deschiderile (protejate sau neprotejate) din pereții exteriori, precum și la sursele de alimentare cu apă.</w:t>
      </w:r>
    </w:p>
    <w:p w14:paraId="1C08E40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5.9.4.</w:t>
      </w:r>
      <w:r>
        <w:rPr>
          <w:rFonts w:eastAsia="Calibri"/>
          <w:i/>
          <w:sz w:val="24"/>
          <w:szCs w:val="24"/>
          <w:shd w:val="clear" w:color="auto" w:fill="FFFFFF"/>
        </w:rPr>
        <w:t> Căile de circulație interioară stabilite pentru intervenție în caz de incendiu vor fi alcătuite, echipate și marcate corespunzător, astfel încât să fie ușor de recunoscut de către personalul de intervenție.</w:t>
      </w:r>
    </w:p>
    <w:p w14:paraId="1C216705" w14:textId="77777777" w:rsidR="001C08A5" w:rsidRDefault="00000000">
      <w:pPr>
        <w:pStyle w:val="Heading3"/>
        <w:rPr>
          <w:i/>
          <w:iCs/>
          <w:sz w:val="24"/>
          <w:szCs w:val="24"/>
        </w:rPr>
      </w:pPr>
      <w:bookmarkStart w:id="11354" w:name="_Toc162355624"/>
      <w:bookmarkStart w:id="11355" w:name="_Toc12408"/>
      <w:bookmarkStart w:id="11356" w:name="_Toc14025"/>
      <w:bookmarkStart w:id="11357" w:name="_Toc16482"/>
      <w:bookmarkStart w:id="11358" w:name="_Toc9758"/>
      <w:bookmarkStart w:id="11359" w:name="_Toc14318"/>
      <w:r>
        <w:rPr>
          <w:i/>
          <w:iCs/>
          <w:sz w:val="24"/>
          <w:szCs w:val="24"/>
        </w:rPr>
        <w:t>A.10. 5.10. DOTAREA CU MIJLOACE TEHNICE DE STINGERE A INCENDIILOR Și SERVICIUL DE POMPIERI</w:t>
      </w:r>
      <w:bookmarkEnd w:id="11354"/>
      <w:bookmarkEnd w:id="11355"/>
      <w:bookmarkEnd w:id="11356"/>
      <w:bookmarkEnd w:id="11357"/>
      <w:bookmarkEnd w:id="11358"/>
      <w:bookmarkEnd w:id="11359"/>
    </w:p>
    <w:p w14:paraId="4879E94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5.10.1.</w:t>
      </w:r>
      <w:r>
        <w:rPr>
          <w:rFonts w:eastAsia="Calibri"/>
          <w:i/>
          <w:sz w:val="24"/>
          <w:szCs w:val="24"/>
          <w:shd w:val="clear" w:color="auto" w:fill="FFFFFF"/>
        </w:rPr>
        <w:t> Construcțiile existente de producție și/sau depozitare se dotează cu mijloace tehnice de stingere a incendiilor corespunzătoare claselor de incendiu din încăperile și spațiile acestora.</w:t>
      </w:r>
    </w:p>
    <w:p w14:paraId="07F841E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5.10.2.</w:t>
      </w:r>
      <w:r>
        <w:rPr>
          <w:rFonts w:eastAsia="Calibri"/>
          <w:i/>
          <w:sz w:val="24"/>
          <w:szCs w:val="24"/>
          <w:shd w:val="clear" w:color="auto" w:fill="FFFFFF"/>
        </w:rPr>
        <w:t> De regulă, se prevăd stingătoare portative (de tip corespunzător), prevăzându-se, un stingător de minimum 6 Kg la maximum 150 m</w:t>
      </w:r>
      <w:r>
        <w:rPr>
          <w:rFonts w:eastAsia="Calibri"/>
          <w:i/>
          <w:sz w:val="24"/>
          <w:szCs w:val="24"/>
          <w:shd w:val="clear" w:color="auto" w:fill="FFFFFF"/>
          <w:vertAlign w:val="superscript"/>
        </w:rPr>
        <w:t>2</w:t>
      </w:r>
      <w:r>
        <w:rPr>
          <w:rFonts w:eastAsia="Calibri"/>
          <w:i/>
          <w:sz w:val="24"/>
          <w:szCs w:val="24"/>
          <w:shd w:val="clear" w:color="auto" w:fill="FFFFFF"/>
        </w:rPr>
        <w:t> arie desfășurată din categoriile A, B sau C (BE3a,b sau BE2) și respectiv 200 m</w:t>
      </w:r>
      <w:r>
        <w:rPr>
          <w:rFonts w:eastAsia="Calibri"/>
          <w:i/>
          <w:sz w:val="24"/>
          <w:szCs w:val="24"/>
          <w:shd w:val="clear" w:color="auto" w:fill="FFFFFF"/>
          <w:vertAlign w:val="superscript"/>
        </w:rPr>
        <w:t>2</w:t>
      </w:r>
      <w:r>
        <w:rPr>
          <w:rFonts w:eastAsia="Calibri"/>
          <w:i/>
          <w:sz w:val="24"/>
          <w:szCs w:val="24"/>
          <w:shd w:val="clear" w:color="auto" w:fill="FFFFFF"/>
        </w:rPr>
        <w:t> la categoriile D și E (BE1a,b), dar minimum două stingătoare pefiecare nivel al construcției existente.</w:t>
      </w:r>
    </w:p>
    <w:p w14:paraId="5A0542B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5.10.3.</w:t>
      </w:r>
      <w:r>
        <w:rPr>
          <w:rFonts w:eastAsia="Calibri"/>
          <w:i/>
          <w:sz w:val="24"/>
          <w:szCs w:val="24"/>
          <w:shd w:val="clear" w:color="auto" w:fill="FFFFFF"/>
        </w:rPr>
        <w:t> În încăperile și spațiile existente cu aria desfășurată mai mare de 500 m</w:t>
      </w:r>
      <w:r>
        <w:rPr>
          <w:rFonts w:eastAsia="Calibri"/>
          <w:i/>
          <w:sz w:val="24"/>
          <w:szCs w:val="24"/>
          <w:shd w:val="clear" w:color="auto" w:fill="FFFFFF"/>
          <w:vertAlign w:val="superscript"/>
        </w:rPr>
        <w:t>2</w:t>
      </w:r>
      <w:r>
        <w:rPr>
          <w:rFonts w:eastAsia="Calibri"/>
          <w:i/>
          <w:sz w:val="24"/>
          <w:szCs w:val="24"/>
          <w:shd w:val="clear" w:color="auto" w:fill="FFFFFF"/>
        </w:rPr>
        <w:t> și în care se pot afla lichide combustibile se prevăd și stingătoare transportabile, recomandându-se un stingător de minimum 50 Kg la fiecare 500 m</w:t>
      </w:r>
      <w:r>
        <w:rPr>
          <w:rFonts w:eastAsia="Calibri"/>
          <w:i/>
          <w:sz w:val="24"/>
          <w:szCs w:val="24"/>
          <w:shd w:val="clear" w:color="auto" w:fill="FFFFFF"/>
          <w:vertAlign w:val="superscript"/>
        </w:rPr>
        <w:t>2</w:t>
      </w:r>
      <w:r>
        <w:rPr>
          <w:rFonts w:eastAsia="Calibri"/>
          <w:i/>
          <w:sz w:val="24"/>
          <w:szCs w:val="24"/>
          <w:shd w:val="clear" w:color="auto" w:fill="FFFFFF"/>
        </w:rPr>
        <w:t>.</w:t>
      </w:r>
    </w:p>
    <w:p w14:paraId="16DC38E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5.10.4.</w:t>
      </w:r>
      <w:r>
        <w:rPr>
          <w:rFonts w:eastAsia="Calibri"/>
          <w:i/>
          <w:sz w:val="24"/>
          <w:szCs w:val="24"/>
          <w:shd w:val="clear" w:color="auto" w:fill="FFFFFF"/>
        </w:rPr>
        <w:t> În spațiile și încăperile închise pentru parcarea autovehiculelor se recomandă asigurarea a minimum un stingător portativ la fiecare 10 locuri de parcare, precum și stingătoare transportabile conform prevederilor Art.</w:t>
      </w:r>
      <w:r>
        <w:rPr>
          <w:rFonts w:eastAsia="Calibri"/>
          <w:b/>
          <w:bCs/>
          <w:i/>
          <w:sz w:val="24"/>
          <w:szCs w:val="24"/>
          <w:shd w:val="clear" w:color="auto" w:fill="FFFFFF"/>
        </w:rPr>
        <w:t xml:space="preserve"> A.10.5.10.3</w:t>
      </w:r>
      <w:r>
        <w:rPr>
          <w:rFonts w:eastAsia="Calibri"/>
          <w:i/>
          <w:sz w:val="24"/>
          <w:szCs w:val="24"/>
          <w:shd w:val="clear" w:color="auto" w:fill="FFFFFF"/>
        </w:rPr>
        <w:t>.</w:t>
      </w:r>
    </w:p>
    <w:p w14:paraId="197EA22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5.10.5.</w:t>
      </w:r>
      <w:r>
        <w:rPr>
          <w:rFonts w:eastAsia="Calibri"/>
          <w:i/>
          <w:sz w:val="24"/>
          <w:szCs w:val="24"/>
          <w:shd w:val="clear" w:color="auto" w:fill="FFFFFF"/>
        </w:rPr>
        <w:t> În afară de mijloacele tehnice de stingere precizate la Art.</w:t>
      </w:r>
      <w:r>
        <w:rPr>
          <w:rFonts w:eastAsia="Calibri"/>
          <w:b/>
          <w:bCs/>
          <w:i/>
          <w:sz w:val="24"/>
          <w:szCs w:val="24"/>
          <w:shd w:val="clear" w:color="auto" w:fill="FFFFFF"/>
        </w:rPr>
        <w:t xml:space="preserve"> A.10.5.10.2.</w:t>
      </w:r>
      <w:r>
        <w:rPr>
          <w:rFonts w:eastAsia="Calibri"/>
          <w:i/>
          <w:sz w:val="24"/>
          <w:szCs w:val="24"/>
          <w:shd w:val="clear" w:color="auto" w:fill="FFFFFF"/>
        </w:rPr>
        <w:t xml:space="preserve"> la Art.</w:t>
      </w:r>
      <w:r>
        <w:rPr>
          <w:rFonts w:eastAsia="Calibri"/>
          <w:b/>
          <w:bCs/>
          <w:i/>
          <w:sz w:val="24"/>
          <w:szCs w:val="24"/>
          <w:shd w:val="clear" w:color="auto" w:fill="FFFFFF"/>
        </w:rPr>
        <w:t xml:space="preserve"> A.10.5.10.4</w:t>
      </w:r>
      <w:r>
        <w:rPr>
          <w:rFonts w:eastAsia="Calibri"/>
          <w:i/>
          <w:sz w:val="24"/>
          <w:szCs w:val="24"/>
          <w:shd w:val="clear" w:color="auto" w:fill="FFFFFF"/>
        </w:rPr>
        <w:t>., spațiile, încăperile, compartimentele existente și construcțiile existente de producție și/sau depozitare se dotează, după caz, cu lăzi cu nisip, panouri pentru incendiu, etc, în funcție de substanțele utilizate și condițiile specifice.</w:t>
      </w:r>
    </w:p>
    <w:p w14:paraId="2A203FB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5.10.6.</w:t>
      </w:r>
      <w:r>
        <w:rPr>
          <w:rFonts w:eastAsia="Calibri"/>
          <w:i/>
          <w:sz w:val="24"/>
          <w:szCs w:val="24"/>
          <w:shd w:val="clear" w:color="auto" w:fill="FFFFFF"/>
        </w:rPr>
        <w:t> Mijloacele tehnice de stingere cu care se echipează și dotează construcțiile existente de producție și/sau depozitare vor fi astfel dispuse încât să fie ușor accesibile personalului în caz de incendiu.</w:t>
      </w:r>
    </w:p>
    <w:p w14:paraId="3238044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5.10.7.</w:t>
      </w:r>
      <w:r>
        <w:rPr>
          <w:rFonts w:eastAsia="Calibri"/>
          <w:i/>
          <w:sz w:val="24"/>
          <w:szCs w:val="24"/>
          <w:shd w:val="clear" w:color="auto" w:fill="FFFFFF"/>
        </w:rPr>
        <w:t> Organizarea serviciului de pompieri, echiparea și dotarea acestuia, se stabilesc potrivit reglementărilor tehnice în funcție de pericolul de incendiu și vulnerabilitate, precum și nivelul de echipare cu instalații de semnalizare și stingere a construcției existente.</w:t>
      </w:r>
    </w:p>
    <w:p w14:paraId="2A08DA4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5.10.8.</w:t>
      </w:r>
      <w:r>
        <w:rPr>
          <w:rFonts w:eastAsia="Calibri"/>
          <w:i/>
          <w:sz w:val="24"/>
          <w:szCs w:val="24"/>
          <w:shd w:val="clear" w:color="auto" w:fill="FFFFFF"/>
        </w:rPr>
        <w:t> De regulă, construcțiile existente sau grupurile de construcții existente de producție și/sau depozitare vor avea constituite servicii de pompieri conform reglementărilor de profil. Beneficiarii pot stabili constituirea serviciului de pompieri și la arii desfășurate mai mici.</w:t>
      </w:r>
    </w:p>
    <w:p w14:paraId="30A9CDE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5.10.9.</w:t>
      </w:r>
      <w:r>
        <w:rPr>
          <w:rFonts w:eastAsia="Calibri"/>
          <w:i/>
          <w:sz w:val="24"/>
          <w:szCs w:val="24"/>
          <w:shd w:val="clear" w:color="auto" w:fill="FFFFFF"/>
        </w:rPr>
        <w:t> Nivelul de dotare și încadrare cu personal al serviciului de pompieri se stabilește în funcție de periculozitate, amplasare, vulnerabilitatea la incendiu și efectele unui eventual incendiu, având în vedere și scenariile de siguranță la foc conform reglementărilor tehnice specifice.</w:t>
      </w:r>
    </w:p>
    <w:p w14:paraId="7D4BD12E" w14:textId="77777777" w:rsidR="001C08A5" w:rsidRDefault="00000000">
      <w:pPr>
        <w:pStyle w:val="Heading3"/>
        <w:rPr>
          <w:i/>
          <w:iCs/>
          <w:sz w:val="26"/>
        </w:rPr>
      </w:pPr>
      <w:bookmarkStart w:id="11360" w:name="_Toc8672"/>
      <w:bookmarkStart w:id="11361" w:name="_Toc26634"/>
      <w:bookmarkStart w:id="11362" w:name="_Toc6429"/>
      <w:bookmarkStart w:id="11363" w:name="_Toc4975"/>
      <w:bookmarkStart w:id="11364" w:name="_Toc15712"/>
      <w:bookmarkStart w:id="11365" w:name="_Toc16526"/>
      <w:bookmarkStart w:id="11366" w:name="_Toc32181"/>
      <w:bookmarkStart w:id="11367" w:name="_Toc162355625"/>
      <w:bookmarkStart w:id="11368" w:name="_Toc31395"/>
      <w:bookmarkStart w:id="11369" w:name="_Toc6042"/>
      <w:bookmarkStart w:id="11370" w:name="_Toc7562"/>
      <w:bookmarkStart w:id="11371" w:name="_Toc20247"/>
      <w:bookmarkStart w:id="11372" w:name="_Toc10240"/>
      <w:bookmarkStart w:id="11373" w:name="_Toc15816"/>
      <w:r>
        <w:rPr>
          <w:i/>
          <w:iCs/>
          <w:sz w:val="26"/>
        </w:rPr>
        <w:t>CAPITOLUL 6</w:t>
      </w:r>
      <w:bookmarkEnd w:id="11360"/>
      <w:bookmarkEnd w:id="11361"/>
      <w:bookmarkEnd w:id="11362"/>
      <w:bookmarkEnd w:id="11363"/>
      <w:bookmarkEnd w:id="11364"/>
      <w:bookmarkEnd w:id="11365"/>
      <w:bookmarkEnd w:id="11366"/>
      <w:bookmarkEnd w:id="11367"/>
      <w:bookmarkEnd w:id="11368"/>
      <w:bookmarkEnd w:id="11369"/>
      <w:bookmarkEnd w:id="11370"/>
      <w:bookmarkEnd w:id="11371"/>
      <w:bookmarkEnd w:id="11372"/>
      <w:bookmarkEnd w:id="11373"/>
    </w:p>
    <w:p w14:paraId="60A4C480" w14:textId="77777777" w:rsidR="001C08A5" w:rsidRDefault="00000000">
      <w:pPr>
        <w:pStyle w:val="Heading3"/>
        <w:rPr>
          <w:i/>
          <w:iCs/>
          <w:sz w:val="26"/>
        </w:rPr>
      </w:pPr>
      <w:bookmarkStart w:id="11374" w:name="_Toc6877"/>
      <w:bookmarkStart w:id="11375" w:name="_Toc12872"/>
      <w:bookmarkStart w:id="11376" w:name="_Toc23434"/>
      <w:bookmarkStart w:id="11377" w:name="_Toc7673"/>
      <w:bookmarkStart w:id="11378" w:name="_Toc162355626"/>
      <w:bookmarkStart w:id="11379" w:name="_Toc16874"/>
      <w:r>
        <w:rPr>
          <w:i/>
          <w:iCs/>
          <w:sz w:val="26"/>
        </w:rPr>
        <w:t>PERFORMANȚE SPECIFICE CONSTRUCȚIILOR DE PRODUCȚIE ȘI/SAU DEPOZITARE</w:t>
      </w:r>
      <w:bookmarkEnd w:id="11374"/>
      <w:bookmarkEnd w:id="11375"/>
      <w:bookmarkEnd w:id="11376"/>
      <w:bookmarkEnd w:id="11377"/>
      <w:bookmarkEnd w:id="11378"/>
      <w:bookmarkEnd w:id="11379"/>
    </w:p>
    <w:p w14:paraId="2C1346D5" w14:textId="77777777" w:rsidR="001C08A5" w:rsidRDefault="00000000">
      <w:pPr>
        <w:pStyle w:val="Heading3"/>
        <w:rPr>
          <w:i/>
          <w:iCs/>
          <w:sz w:val="24"/>
          <w:szCs w:val="24"/>
        </w:rPr>
      </w:pPr>
      <w:bookmarkStart w:id="11380" w:name="_Toc11644"/>
      <w:bookmarkStart w:id="11381" w:name="_Toc28461"/>
      <w:bookmarkStart w:id="11382" w:name="_Toc16293"/>
      <w:bookmarkStart w:id="11383" w:name="_Toc162355627"/>
      <w:bookmarkStart w:id="11384" w:name="_Toc4339"/>
      <w:bookmarkStart w:id="11385" w:name="_Toc1566"/>
      <w:r>
        <w:rPr>
          <w:i/>
          <w:iCs/>
          <w:sz w:val="24"/>
          <w:szCs w:val="24"/>
        </w:rPr>
        <w:t>A.10. 6.1. PERFORMANȚE ALE TIPURILOR DE CONSTRUCȚII DE PRODUCȚIE ȘI/SAU DEPOZITARE</w:t>
      </w:r>
      <w:bookmarkEnd w:id="11380"/>
      <w:bookmarkEnd w:id="11381"/>
      <w:bookmarkEnd w:id="11382"/>
      <w:bookmarkEnd w:id="11383"/>
      <w:bookmarkEnd w:id="11384"/>
      <w:bookmarkEnd w:id="11385"/>
    </w:p>
    <w:p w14:paraId="7A91152B" w14:textId="77777777" w:rsidR="001C08A5" w:rsidRDefault="00000000">
      <w:pPr>
        <w:pStyle w:val="Heading4"/>
        <w:rPr>
          <w:sz w:val="24"/>
          <w:szCs w:val="24"/>
        </w:rPr>
      </w:pPr>
      <w:bookmarkStart w:id="11386" w:name="_Toc6173"/>
      <w:bookmarkStart w:id="11387" w:name="_Toc22038"/>
      <w:bookmarkStart w:id="11388" w:name="_Toc5653"/>
      <w:bookmarkStart w:id="11389" w:name="_Toc13071"/>
      <w:bookmarkStart w:id="11390" w:name="_Toc162355628"/>
      <w:r>
        <w:rPr>
          <w:sz w:val="24"/>
          <w:szCs w:val="24"/>
        </w:rPr>
        <w:t>Construcții existente de tip obișnuit</w:t>
      </w:r>
      <w:bookmarkEnd w:id="11386"/>
      <w:bookmarkEnd w:id="11387"/>
      <w:bookmarkEnd w:id="11388"/>
      <w:bookmarkEnd w:id="11389"/>
      <w:bookmarkEnd w:id="11390"/>
    </w:p>
    <w:p w14:paraId="2AE610E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6.1.1.</w:t>
      </w:r>
      <w:r>
        <w:rPr>
          <w:rFonts w:eastAsia="Calibri"/>
          <w:i/>
          <w:sz w:val="24"/>
          <w:szCs w:val="24"/>
          <w:shd w:val="clear" w:color="auto" w:fill="FFFFFF"/>
        </w:rPr>
        <w:t> Construcțiile existente de producție și/sau depozitare de tip obișnuit sunt cele care nu se încadrează în tipurile de construcții existente monobloc sau blindate. Construcțiile, spațiile și încăperile de producție existente vor avea stabilite și precizate categoriile de pericol de incendiu. La cele de depozitare vor fi precizate categoriile de pericol de incendiu și clasele de periculozitate, stabilite conform prevederilor stabilite prin prezenta anexă.</w:t>
      </w:r>
    </w:p>
    <w:p w14:paraId="57223DC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6.1.2.</w:t>
      </w:r>
      <w:r>
        <w:rPr>
          <w:rFonts w:eastAsia="Calibri"/>
          <w:i/>
          <w:sz w:val="24"/>
          <w:szCs w:val="24"/>
          <w:shd w:val="clear" w:color="auto" w:fill="FFFFFF"/>
        </w:rPr>
        <w:t xml:space="preserve"> Construcțiile existente de producție și/sau depozitare pot fi de nivelul de stabilitate la incendiu </w:t>
      </w:r>
      <w:r>
        <w:rPr>
          <w:rFonts w:eastAsia="Calibri"/>
          <w:b/>
          <w:bCs/>
          <w:i/>
          <w:sz w:val="24"/>
          <w:szCs w:val="24"/>
          <w:shd w:val="clear" w:color="auto" w:fill="FFFFFF"/>
        </w:rPr>
        <w:t>I, II</w:t>
      </w:r>
      <w:r>
        <w:rPr>
          <w:rFonts w:eastAsia="Calibri"/>
          <w:i/>
          <w:sz w:val="24"/>
          <w:szCs w:val="24"/>
          <w:shd w:val="clear" w:color="auto" w:fill="FFFFFF"/>
        </w:rPr>
        <w:t xml:space="preserve">, </w:t>
      </w:r>
      <w:r>
        <w:rPr>
          <w:rFonts w:eastAsia="Calibri"/>
          <w:b/>
          <w:bCs/>
          <w:i/>
          <w:sz w:val="24"/>
          <w:szCs w:val="24"/>
          <w:shd w:val="clear" w:color="auto" w:fill="FFFFFF"/>
        </w:rPr>
        <w:t>III</w:t>
      </w:r>
      <w:r>
        <w:rPr>
          <w:rFonts w:eastAsia="Calibri"/>
          <w:i/>
          <w:sz w:val="24"/>
          <w:szCs w:val="24"/>
          <w:shd w:val="clear" w:color="auto" w:fill="FFFFFF"/>
        </w:rPr>
        <w:t xml:space="preserve">, </w:t>
      </w:r>
      <w:r>
        <w:rPr>
          <w:rFonts w:eastAsia="Calibri"/>
          <w:b/>
          <w:bCs/>
          <w:i/>
          <w:sz w:val="24"/>
          <w:szCs w:val="24"/>
          <w:shd w:val="clear" w:color="auto" w:fill="FFFFFF"/>
        </w:rPr>
        <w:t>IV</w:t>
      </w:r>
      <w:r>
        <w:rPr>
          <w:rFonts w:eastAsia="Calibri"/>
          <w:i/>
          <w:sz w:val="24"/>
          <w:szCs w:val="24"/>
          <w:shd w:val="clear" w:color="auto" w:fill="FFFFFF"/>
        </w:rPr>
        <w:t xml:space="preserve"> și </w:t>
      </w:r>
      <w:r>
        <w:rPr>
          <w:rFonts w:eastAsia="Calibri"/>
          <w:b/>
          <w:bCs/>
          <w:i/>
          <w:sz w:val="24"/>
          <w:szCs w:val="24"/>
          <w:shd w:val="clear" w:color="auto" w:fill="FFFFFF"/>
        </w:rPr>
        <w:t>V</w:t>
      </w:r>
      <w:r>
        <w:rPr>
          <w:rFonts w:eastAsia="Calibri"/>
          <w:i/>
          <w:sz w:val="24"/>
          <w:szCs w:val="24"/>
          <w:shd w:val="clear" w:color="auto" w:fill="FFFFFF"/>
        </w:rPr>
        <w:t xml:space="preserve"> de rezistență la foc, în condițiile respectării corelației dintre nivelul de stabilitate la incendiu, categoria de pericol de incendiu, numărul de niveluri și aria compartimentului de incendiu, conform Art.</w:t>
      </w:r>
      <w:r>
        <w:rPr>
          <w:rFonts w:eastAsia="Calibri"/>
          <w:b/>
          <w:bCs/>
          <w:i/>
          <w:sz w:val="24"/>
          <w:szCs w:val="24"/>
          <w:shd w:val="clear" w:color="auto" w:fill="FFFFFF"/>
        </w:rPr>
        <w:t xml:space="preserve"> A.10.5.2.5. </w:t>
      </w:r>
      <w:r>
        <w:rPr>
          <w:rFonts w:eastAsia="Calibri"/>
          <w:i/>
          <w:sz w:val="24"/>
          <w:szCs w:val="24"/>
          <w:shd w:val="clear" w:color="auto" w:fill="FFFFFF"/>
        </w:rPr>
        <w:t xml:space="preserve">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_Ref16454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168</w:t>
      </w:r>
      <w:r>
        <w:rPr>
          <w:rFonts w:eastAsia="Calibri"/>
          <w:b/>
          <w:bCs/>
          <w:i/>
          <w:iCs/>
          <w:sz w:val="24"/>
          <w:szCs w:val="24"/>
          <w:shd w:val="clear" w:color="auto" w:fill="FFFFFF"/>
        </w:rPr>
        <w:fldChar w:fldCharType="end"/>
      </w:r>
      <w:r>
        <w:rPr>
          <w:rFonts w:eastAsia="Calibri"/>
          <w:i/>
          <w:sz w:val="24"/>
          <w:szCs w:val="24"/>
          <w:shd w:val="clear" w:color="auto" w:fill="FFFFFF"/>
        </w:rPr>
        <w:t xml:space="preserve"> precum și a condițiilor de protecție corespunzătoare. În cazurile în care se utilizează lichide combustibile în cantități mai mari decât cele prevăzute în anexă, se iau măsuri tehnice suplimentare, corespunzător reglementarilor specifice acestora.</w:t>
      </w:r>
    </w:p>
    <w:p w14:paraId="57A83A4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6.1.3.</w:t>
      </w:r>
      <w:r>
        <w:rPr>
          <w:rFonts w:eastAsia="Calibri"/>
          <w:i/>
          <w:sz w:val="24"/>
          <w:szCs w:val="24"/>
          <w:shd w:val="clear" w:color="auto" w:fill="FFFFFF"/>
        </w:rPr>
        <w:t> Construcțiile existente obișnuite pot fi amplasate independent sau grupate ori comasate cu alte construcții existente de producție și/sau depozitare în limitele compartimentelor de incendiu admise în condițiile stabilite în prezenta anexă. Construcțiile existente de producție și/sau depozitare, de regulă nu se grupează sau comasează cu clădiri civile (publice) existente, fiind obligatorie compartimentarea lor potrivit prevederilor din prezenta anexă. Fac excepție construcțiile existente cu funcțiuni mixte, la care se asigură măsurile de protecție corespunzătoare acestora.</w:t>
      </w:r>
    </w:p>
    <w:p w14:paraId="6BCFB65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6.1.4.</w:t>
      </w:r>
      <w:r>
        <w:rPr>
          <w:rFonts w:eastAsia="Calibri"/>
          <w:i/>
          <w:sz w:val="24"/>
          <w:szCs w:val="24"/>
          <w:shd w:val="clear" w:color="auto" w:fill="FFFFFF"/>
        </w:rPr>
        <w:t xml:space="preserve"> Construcțiile existente de producție și/sau depozitare obișnuite, se amplasează față de alte construcții existente învecinate la distanțele de siguranță prevăzute în Art. </w:t>
      </w:r>
      <w:r>
        <w:rPr>
          <w:rFonts w:eastAsia="Calibri"/>
          <w:b/>
          <w:bCs/>
          <w:i/>
          <w:sz w:val="24"/>
          <w:szCs w:val="24"/>
          <w:shd w:val="clear" w:color="auto" w:fill="FFFFFF"/>
        </w:rPr>
        <w:t>A.10.2.2.2.</w:t>
      </w:r>
      <w:r>
        <w:rPr>
          <w:rFonts w:eastAsia="Calibri"/>
          <w:i/>
          <w:sz w:val="24"/>
          <w:szCs w:val="24"/>
          <w:shd w:val="clear" w:color="auto" w:fill="FFFFFF"/>
        </w:rPr>
        <w:t xml:space="preserve"> și</w:t>
      </w:r>
      <w:r>
        <w:rPr>
          <w:rFonts w:eastAsia="Calibri"/>
          <w:b/>
          <w:bCs/>
          <w:i/>
          <w:sz w:val="24"/>
          <w:szCs w:val="24"/>
          <w:shd w:val="clear" w:color="auto" w:fill="FFFFFF"/>
        </w:rPr>
        <w:t xml:space="preserve">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_Ref5126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145</w:t>
      </w:r>
      <w:r>
        <w:rPr>
          <w:rFonts w:eastAsia="Calibri"/>
          <w:b/>
          <w:bCs/>
          <w:i/>
          <w:iCs/>
          <w:sz w:val="24"/>
          <w:szCs w:val="24"/>
          <w:shd w:val="clear" w:color="auto" w:fill="FFFFFF"/>
        </w:rPr>
        <w:fldChar w:fldCharType="end"/>
      </w:r>
      <w:r>
        <w:rPr>
          <w:rFonts w:eastAsia="Calibri"/>
          <w:i/>
          <w:sz w:val="24"/>
          <w:szCs w:val="24"/>
          <w:shd w:val="clear" w:color="auto" w:fill="FFFFFF"/>
        </w:rPr>
        <w:t xml:space="preserve"> sau se compartimentează prin pereți antifoc și, după caz, rezistenți la foc sau la explozie conform prevederilor stabilite prin prezenta anexă.</w:t>
      </w:r>
    </w:p>
    <w:p w14:paraId="1A930292"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6.1.5.</w:t>
      </w:r>
      <w:r>
        <w:rPr>
          <w:rFonts w:eastAsia="Calibri"/>
          <w:i/>
          <w:sz w:val="24"/>
          <w:szCs w:val="24"/>
          <w:shd w:val="clear" w:color="auto" w:fill="FFFFFF"/>
        </w:rPr>
        <w:t> Prin conformarea construcțiilor existente de producție și/sau depozitare se va urmări dispunerea spațiilor cu categorii de pericol de incendiu periculoase pe cât posibil, în zone distincte și asigurate măsurile de protecție la foc corespunzătoare, astfel încât în caz de incendiu să nu fie afectate arii mari construite ori să pună în pericol obiecte învecinate sau ele să fie periclitate de vecinătăți.</w:t>
      </w:r>
    </w:p>
    <w:p w14:paraId="14D6624D"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6.1.6.</w:t>
      </w:r>
      <w:r>
        <w:rPr>
          <w:rFonts w:eastAsia="Calibri"/>
          <w:i/>
          <w:sz w:val="24"/>
          <w:szCs w:val="24"/>
          <w:shd w:val="clear" w:color="auto" w:fill="FFFFFF"/>
        </w:rPr>
        <w:t> Construcțiile existente de producție și/sau depozitare se realizează din materiale și elemente de construcție corespunzătoare nivelului de stabilitate la incendiu asigurat, conform Art.</w:t>
      </w:r>
      <w:r>
        <w:rPr>
          <w:rFonts w:eastAsia="Calibri"/>
          <w:b/>
          <w:bCs/>
          <w:i/>
          <w:sz w:val="24"/>
          <w:szCs w:val="24"/>
          <w:shd w:val="clear" w:color="auto" w:fill="FFFFFF"/>
        </w:rPr>
        <w:t xml:space="preserve"> A.10.2.1.8</w:t>
      </w:r>
      <w:r>
        <w:rPr>
          <w:rFonts w:eastAsia="Calibri"/>
          <w:i/>
          <w:sz w:val="24"/>
          <w:szCs w:val="24"/>
          <w:shd w:val="clear" w:color="auto" w:fill="FFFFFF"/>
        </w:rPr>
        <w:t>. la Art.</w:t>
      </w:r>
      <w:r>
        <w:rPr>
          <w:rFonts w:eastAsia="Calibri"/>
          <w:b/>
          <w:bCs/>
          <w:i/>
          <w:sz w:val="24"/>
          <w:szCs w:val="24"/>
          <w:shd w:val="clear" w:color="auto" w:fill="FFFFFF"/>
        </w:rPr>
        <w:t xml:space="preserve"> A.10.2.1.14.</w:t>
      </w:r>
      <w:r>
        <w:rPr>
          <w:rFonts w:eastAsia="Calibri"/>
          <w:i/>
          <w:sz w:val="24"/>
          <w:szCs w:val="24"/>
          <w:shd w:val="clear" w:color="auto" w:fill="FFFFFF"/>
        </w:rPr>
        <w:t>, astfel alcătuite încât să nu conducă la propagarea ușoară a focului.</w:t>
      </w:r>
    </w:p>
    <w:p w14:paraId="7F85CD7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6.1.7.</w:t>
      </w:r>
      <w:r>
        <w:rPr>
          <w:rFonts w:eastAsia="Calibri"/>
          <w:i/>
          <w:sz w:val="24"/>
          <w:szCs w:val="24"/>
          <w:shd w:val="clear" w:color="auto" w:fill="FFFFFF"/>
        </w:rPr>
        <w:t> În interiorul compartimentelor de incendiu, pereții și planșeele prevăzute funcțional, vor asigura și limitarea propagării focului și a fumului, conform prevederilor din prezenta anexă.</w:t>
      </w:r>
    </w:p>
    <w:p w14:paraId="4B28D9A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6.1.8.</w:t>
      </w:r>
      <w:r>
        <w:rPr>
          <w:rFonts w:eastAsia="Calibri"/>
          <w:i/>
          <w:sz w:val="24"/>
          <w:szCs w:val="24"/>
          <w:shd w:val="clear" w:color="auto" w:fill="FFFFFF"/>
        </w:rPr>
        <w:t xml:space="preserve"> Între porțiunile de construcții existente independente funcționale dar comasate în cadrul unui compartiment existent de incendiu, se prevăd elemente despărțitoare (pereți, planșee) </w:t>
      </w:r>
      <w:r>
        <w:rPr>
          <w:rFonts w:eastAsia="Calibri"/>
          <w:b/>
          <w:bCs/>
          <w:i/>
          <w:sz w:val="24"/>
          <w:szCs w:val="24"/>
          <w:shd w:val="clear" w:color="auto" w:fill="FFFFFF"/>
        </w:rPr>
        <w:t>A1, A2s1d0</w:t>
      </w:r>
      <w:r>
        <w:rPr>
          <w:rFonts w:eastAsia="Calibri"/>
          <w:i/>
          <w:sz w:val="24"/>
          <w:szCs w:val="24"/>
          <w:shd w:val="clear" w:color="auto" w:fill="FFFFFF"/>
        </w:rPr>
        <w:t xml:space="preserve"> cu rezistența la foc determinată în funcție de densitatea sarcinii termice cea mai mare a spațiilor adiacente, fără a fi mai mică de 1 h și 30 de minute (</w:t>
      </w:r>
      <w:r>
        <w:rPr>
          <w:rFonts w:eastAsia="Calibri"/>
          <w:b/>
          <w:bCs/>
          <w:i/>
          <w:sz w:val="24"/>
          <w:szCs w:val="24"/>
          <w:shd w:val="clear" w:color="auto" w:fill="FFFFFF"/>
        </w:rPr>
        <w:t>EI/REI90</w:t>
      </w:r>
      <w:r>
        <w:rPr>
          <w:rFonts w:eastAsia="Calibri"/>
          <w:i/>
          <w:sz w:val="24"/>
          <w:szCs w:val="24"/>
          <w:shd w:val="clear" w:color="auto" w:fill="FFFFFF"/>
        </w:rPr>
        <w:t xml:space="preserve"> pereți și </w:t>
      </w:r>
      <w:r>
        <w:rPr>
          <w:rFonts w:eastAsia="Calibri"/>
          <w:b/>
          <w:bCs/>
          <w:i/>
          <w:sz w:val="24"/>
          <w:szCs w:val="24"/>
          <w:shd w:val="clear" w:color="auto" w:fill="FFFFFF"/>
        </w:rPr>
        <w:t>REI90</w:t>
      </w:r>
      <w:r>
        <w:rPr>
          <w:rFonts w:eastAsia="Calibri"/>
          <w:i/>
          <w:sz w:val="24"/>
          <w:szCs w:val="24"/>
          <w:shd w:val="clear" w:color="auto" w:fill="FFFFFF"/>
        </w:rPr>
        <w:t xml:space="preserve"> planșee). Atunci când separă încăperi sau spații cu pericol de explozie - categoriile A sau B (BE3a,b) - elementele despărțitoare respective vor fi și rezistente la explozie.</w:t>
      </w:r>
    </w:p>
    <w:p w14:paraId="793299C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6.1.9.</w:t>
      </w:r>
      <w:r>
        <w:rPr>
          <w:rFonts w:eastAsia="Calibri"/>
          <w:i/>
          <w:sz w:val="24"/>
          <w:szCs w:val="24"/>
          <w:shd w:val="clear" w:color="auto" w:fill="FFFFFF"/>
        </w:rPr>
        <w:t> Încăperile de depozitare a materialelor și substanțelor combustibile cu aria mai mare de 36 m</w:t>
      </w:r>
      <w:r>
        <w:rPr>
          <w:rFonts w:eastAsia="Calibri"/>
          <w:i/>
          <w:sz w:val="24"/>
          <w:szCs w:val="24"/>
          <w:shd w:val="clear" w:color="auto" w:fill="FFFFFF"/>
          <w:vertAlign w:val="superscript"/>
        </w:rPr>
        <w:t>2</w:t>
      </w:r>
      <w:r>
        <w:rPr>
          <w:rFonts w:eastAsia="Calibri"/>
          <w:i/>
          <w:sz w:val="24"/>
          <w:szCs w:val="24"/>
          <w:shd w:val="clear" w:color="auto" w:fill="FFFFFF"/>
        </w:rPr>
        <w:t xml:space="preserve">, se compartimentează față de restul construcției conform prevederilor stabilite prin prezenta anexă. La aceste încăperi de depozitare, și la casele de scări de evacuare închise (fără ferestre), este obligatorie asigurarea evacuării fumului (desfumarea), conform prevederilor art. Art. </w:t>
      </w:r>
      <w:r>
        <w:rPr>
          <w:rFonts w:eastAsia="Calibri"/>
          <w:b/>
          <w:bCs/>
          <w:i/>
          <w:sz w:val="24"/>
          <w:szCs w:val="24"/>
          <w:shd w:val="clear" w:color="auto" w:fill="FFFFFF"/>
        </w:rPr>
        <w:t xml:space="preserve">A.10.9.1.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A.10.9.35.</w:t>
      </w:r>
    </w:p>
    <w:p w14:paraId="25427DC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6.1.10.</w:t>
      </w:r>
      <w:r>
        <w:rPr>
          <w:rFonts w:eastAsia="Calibri"/>
          <w:i/>
          <w:sz w:val="24"/>
          <w:szCs w:val="24"/>
          <w:shd w:val="clear" w:color="auto" w:fill="FFFFFF"/>
        </w:rPr>
        <w:t> În construcțiile existente de producție și/sau depozitare obișnuite vor fi asigurate căi de evacuare a persoanelor corespunzător distribuite, alcătuite, realizate și dimensionate, în conformitate cu prevederile Art.</w:t>
      </w:r>
      <w:r>
        <w:rPr>
          <w:rFonts w:eastAsia="Calibri"/>
          <w:b/>
          <w:bCs/>
          <w:i/>
          <w:sz w:val="24"/>
          <w:szCs w:val="24"/>
          <w:shd w:val="clear" w:color="auto" w:fill="FFFFFF"/>
        </w:rPr>
        <w:t xml:space="preserve"> A.10.2.5.1</w:t>
      </w:r>
      <w:r>
        <w:rPr>
          <w:rFonts w:eastAsia="Calibri"/>
          <w:i/>
          <w:sz w:val="24"/>
          <w:szCs w:val="24"/>
          <w:shd w:val="clear" w:color="auto" w:fill="FFFFFF"/>
        </w:rPr>
        <w:t>. la Art.</w:t>
      </w:r>
      <w:r>
        <w:rPr>
          <w:rFonts w:eastAsia="Calibri"/>
          <w:b/>
          <w:bCs/>
          <w:i/>
          <w:sz w:val="24"/>
          <w:szCs w:val="24"/>
          <w:shd w:val="clear" w:color="auto" w:fill="FFFFFF"/>
        </w:rPr>
        <w:t xml:space="preserve"> A.10.2.5.74.</w:t>
      </w:r>
      <w:r>
        <w:rPr>
          <w:rFonts w:eastAsia="Calibri"/>
          <w:i/>
          <w:sz w:val="24"/>
          <w:szCs w:val="24"/>
          <w:shd w:val="clear" w:color="auto" w:fill="FFFFFF"/>
        </w:rPr>
        <w:t>. și Art.</w:t>
      </w:r>
      <w:r>
        <w:rPr>
          <w:rFonts w:eastAsia="Calibri"/>
          <w:b/>
          <w:bCs/>
          <w:i/>
          <w:sz w:val="24"/>
          <w:szCs w:val="24"/>
          <w:shd w:val="clear" w:color="auto" w:fill="FFFFFF"/>
        </w:rPr>
        <w:t xml:space="preserve"> A.10.5.6.1</w:t>
      </w:r>
      <w:r>
        <w:rPr>
          <w:rFonts w:eastAsia="Calibri"/>
          <w:i/>
          <w:sz w:val="24"/>
          <w:szCs w:val="24"/>
          <w:shd w:val="clear" w:color="auto" w:fill="FFFFFF"/>
        </w:rPr>
        <w:t>. la Art.</w:t>
      </w:r>
      <w:r>
        <w:rPr>
          <w:rFonts w:eastAsia="Calibri"/>
          <w:b/>
          <w:bCs/>
          <w:i/>
          <w:sz w:val="24"/>
          <w:szCs w:val="24"/>
          <w:shd w:val="clear" w:color="auto" w:fill="FFFFFF"/>
        </w:rPr>
        <w:t xml:space="preserve"> A.10.5.6.13.</w:t>
      </w:r>
      <w:r>
        <w:rPr>
          <w:rFonts w:eastAsia="Calibri"/>
          <w:i/>
          <w:sz w:val="24"/>
          <w:szCs w:val="24"/>
          <w:shd w:val="clear" w:color="auto" w:fill="FFFFFF"/>
        </w:rPr>
        <w:t xml:space="preserve"> La depozitele fără locuri permanente de lueste obligatorie asigurarea căilor de evacuare caz de incendiu.</w:t>
      </w:r>
    </w:p>
    <w:p w14:paraId="02DEFE6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6.1.11.</w:t>
      </w:r>
      <w:r>
        <w:rPr>
          <w:rFonts w:eastAsia="Calibri"/>
          <w:i/>
          <w:sz w:val="24"/>
          <w:szCs w:val="24"/>
          <w:shd w:val="clear" w:color="auto" w:fill="FFFFFF"/>
        </w:rPr>
        <w:t> Construcțiile existente de producție și/sau depozitare obișnuite se echipează cu instalații de semnalizare și stingere a incendiilor, potrivit prevederilor reglementărilor de specialitate. în afară de domeniul obligatoriu de echipare, beneficiarii pot stabili prevederea unor astfel de instalații și în alte cazuri.</w:t>
      </w:r>
    </w:p>
    <w:p w14:paraId="3FD26C1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6.1.12.</w:t>
      </w:r>
      <w:r>
        <w:rPr>
          <w:rFonts w:eastAsia="Calibri"/>
          <w:i/>
          <w:sz w:val="24"/>
          <w:szCs w:val="24"/>
          <w:shd w:val="clear" w:color="auto" w:fill="FFFFFF"/>
        </w:rPr>
        <w:t> Instalațiile utilitare aferente construcțiilor existente (electrice, termice, sanitare, ventilare, etc.) se asigură și realizează conform prevederilor reglementărilor de specialitate.</w:t>
      </w:r>
    </w:p>
    <w:p w14:paraId="068A854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6.1.13.</w:t>
      </w:r>
      <w:r>
        <w:rPr>
          <w:rFonts w:eastAsia="Calibri"/>
          <w:i/>
          <w:sz w:val="24"/>
          <w:szCs w:val="24"/>
          <w:shd w:val="clear" w:color="auto" w:fill="FFFFFF"/>
        </w:rPr>
        <w:t> Pentru intervențieîn caz de incendiu, construcțiile existente obișnuite de producție și/sau depozitare, vor avea asigurate căi exterioare de acces și circulație pentru autospeciale de intervenție, de regulă, pe cel puțin două laturi. Fac excepție construcțiile existente cu aria desfășurată de maximum 500 m2, care pot fi accesibile pe o latură. Căile interioare destinate personalului de intervențieîn caz de incendiu, vor fi corespunzător alcătuite și realizate, de regulă, constituite din circulațiile funcționale ale construcției existente. Căile interioare de intervenție vor asigura accesul ușor în zonele și încăperile stabilite cu pericol de incendiu, precum și la instalațiile și dispozitivele de siguranță la foc prevăzute, marcându-se corespunzător.</w:t>
      </w:r>
    </w:p>
    <w:p w14:paraId="0B28D9F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6.1.14.</w:t>
      </w:r>
      <w:r>
        <w:rPr>
          <w:rFonts w:eastAsia="Calibri"/>
          <w:i/>
          <w:sz w:val="24"/>
          <w:szCs w:val="24"/>
          <w:shd w:val="clear" w:color="auto" w:fill="FFFFFF"/>
        </w:rPr>
        <w:t> Dotarea construcțiilor existente și instalațiilor cu mijloace tehnice de stingere în caz de incendiu și constituirea serviciului de pompieri, se asigură conform prevederilor Art.</w:t>
      </w:r>
      <w:r>
        <w:rPr>
          <w:rFonts w:eastAsia="Calibri"/>
          <w:b/>
          <w:bCs/>
          <w:i/>
          <w:sz w:val="24"/>
          <w:szCs w:val="24"/>
          <w:shd w:val="clear" w:color="auto" w:fill="FFFFFF"/>
        </w:rPr>
        <w:t xml:space="preserve"> A.10.5.10.1</w:t>
      </w:r>
      <w:r>
        <w:rPr>
          <w:rFonts w:eastAsia="Calibri"/>
          <w:i/>
          <w:sz w:val="24"/>
          <w:szCs w:val="24"/>
          <w:shd w:val="clear" w:color="auto" w:fill="FFFFFF"/>
        </w:rPr>
        <w:t>. la Art.</w:t>
      </w:r>
      <w:r>
        <w:rPr>
          <w:rFonts w:eastAsia="Calibri"/>
          <w:b/>
          <w:bCs/>
          <w:i/>
          <w:sz w:val="24"/>
          <w:szCs w:val="24"/>
          <w:shd w:val="clear" w:color="auto" w:fill="FFFFFF"/>
        </w:rPr>
        <w:t xml:space="preserve"> A.10.5.10.9.</w:t>
      </w:r>
      <w:r>
        <w:rPr>
          <w:rFonts w:eastAsia="Calibri"/>
          <w:i/>
          <w:sz w:val="24"/>
          <w:szCs w:val="24"/>
          <w:shd w:val="clear" w:color="auto" w:fill="FFFFFF"/>
        </w:rPr>
        <w:t xml:space="preserve"> </w:t>
      </w:r>
    </w:p>
    <w:p w14:paraId="393F2117" w14:textId="77777777" w:rsidR="001C08A5" w:rsidRDefault="00000000">
      <w:pPr>
        <w:pStyle w:val="Heading4"/>
        <w:rPr>
          <w:sz w:val="24"/>
          <w:szCs w:val="24"/>
        </w:rPr>
      </w:pPr>
      <w:bookmarkStart w:id="11391" w:name="_Toc11433"/>
      <w:bookmarkStart w:id="11392" w:name="_Toc27844"/>
      <w:bookmarkStart w:id="11393" w:name="_Toc29121"/>
      <w:bookmarkStart w:id="11394" w:name="_Toc28846"/>
      <w:bookmarkStart w:id="11395" w:name="_Toc162355629"/>
      <w:bookmarkStart w:id="11396" w:name="_Toc28360"/>
      <w:r>
        <w:rPr>
          <w:sz w:val="24"/>
          <w:szCs w:val="24"/>
        </w:rPr>
        <w:t>Construcții existente monobloc</w:t>
      </w:r>
      <w:bookmarkEnd w:id="11391"/>
      <w:bookmarkEnd w:id="11392"/>
      <w:bookmarkEnd w:id="11393"/>
      <w:bookmarkEnd w:id="11394"/>
      <w:bookmarkEnd w:id="11395"/>
      <w:bookmarkEnd w:id="11396"/>
    </w:p>
    <w:p w14:paraId="45E53DF5"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6.1.15.</w:t>
      </w:r>
      <w:r>
        <w:rPr>
          <w:rFonts w:eastAsia="Calibri"/>
          <w:i/>
          <w:sz w:val="24"/>
          <w:szCs w:val="24"/>
          <w:shd w:val="clear" w:color="auto" w:fill="FFFFFF"/>
        </w:rPr>
        <w:t> Construcțiile existente de producție și/sau depozitare monobloc, sunt considerate cele care au lățimea mai mare de 72 m și aria construită peste 20000 m</w:t>
      </w:r>
      <w:r>
        <w:rPr>
          <w:rFonts w:eastAsia="Calibri"/>
          <w:i/>
          <w:sz w:val="24"/>
          <w:szCs w:val="24"/>
          <w:shd w:val="clear" w:color="auto" w:fill="FFFFFF"/>
          <w:vertAlign w:val="superscript"/>
        </w:rPr>
        <w:t>2</w:t>
      </w:r>
      <w:r>
        <w:rPr>
          <w:rFonts w:eastAsia="Calibri"/>
          <w:i/>
          <w:sz w:val="24"/>
          <w:szCs w:val="24"/>
          <w:shd w:val="clear" w:color="auto" w:fill="FFFFFF"/>
        </w:rPr>
        <w:t>. Gruparea sau comasarea mai multor compartimente de incendiu, separate cu pereți antifoc și având niveluri de stabilitate la incendiu diferite (I la V), nu constituie o construcție existentă monobloc în sensul prevederilor din prezenta anexă, ci o grupare de compartimente de incendiu independente, la fiecare asigurându</w:t>
      </w:r>
      <w:r>
        <w:rPr>
          <w:rFonts w:eastAsia="Calibri"/>
          <w:i/>
          <w:sz w:val="24"/>
          <w:szCs w:val="24"/>
          <w:shd w:val="clear" w:color="auto" w:fill="FFFFFF"/>
        </w:rPr>
        <w:softHyphen/>
        <w:t>se îndeplinirea condițiilor de siguranță la foc specifice. Compartimentele de incendiu existente vor cuprinde de regulă activități independente, la care se aplică măsurile corespunzătoare de protecție.</w:t>
      </w:r>
    </w:p>
    <w:p w14:paraId="0686A83D"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6.1.16.</w:t>
      </w:r>
      <w:r>
        <w:rPr>
          <w:rFonts w:eastAsia="Calibri"/>
          <w:i/>
          <w:sz w:val="24"/>
          <w:szCs w:val="24"/>
          <w:shd w:val="clear" w:color="auto" w:fill="FFFFFF"/>
        </w:rPr>
        <w:t> Construcțiile existente monobloc trebuie să îndeplinească condițiile de încadrare în nivelul de stabilitate la incendiu I sau II, recomandându-se separarea acestora în compartimente de incendiu, conform prevederilor Art.</w:t>
      </w:r>
      <w:r>
        <w:rPr>
          <w:rFonts w:eastAsia="Calibri"/>
          <w:b/>
          <w:bCs/>
          <w:i/>
          <w:sz w:val="24"/>
          <w:szCs w:val="24"/>
          <w:shd w:val="clear" w:color="auto" w:fill="FFFFFF"/>
        </w:rPr>
        <w:t xml:space="preserve"> A.10.5.2.5. </w:t>
      </w:r>
      <w:r>
        <w:rPr>
          <w:rFonts w:eastAsia="Calibri"/>
          <w:i/>
          <w:sz w:val="24"/>
          <w:szCs w:val="24"/>
          <w:shd w:val="clear" w:color="auto" w:fill="FFFFFF"/>
        </w:rPr>
        <w:t xml:space="preserve">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_Ref16454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168</w:t>
      </w:r>
      <w:r>
        <w:rPr>
          <w:rFonts w:eastAsia="Calibri"/>
          <w:b/>
          <w:bCs/>
          <w:i/>
          <w:iCs/>
          <w:sz w:val="24"/>
          <w:szCs w:val="24"/>
          <w:shd w:val="clear" w:color="auto" w:fill="FFFFFF"/>
        </w:rPr>
        <w:fldChar w:fldCharType="end"/>
      </w:r>
      <w:r>
        <w:rPr>
          <w:rFonts w:eastAsia="Calibri"/>
          <w:i/>
          <w:sz w:val="24"/>
          <w:szCs w:val="24"/>
          <w:shd w:val="clear" w:color="auto" w:fill="FFFFFF"/>
        </w:rPr>
        <w:t xml:space="preserve"> din anexă. Construcțiile existente monobloc vor îndeplini condițiile de performanță la foc specifice acestora.</w:t>
      </w:r>
    </w:p>
    <w:p w14:paraId="76F0E38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6.1.17.</w:t>
      </w:r>
      <w:r>
        <w:rPr>
          <w:rFonts w:eastAsia="Calibri"/>
          <w:i/>
          <w:sz w:val="24"/>
          <w:szCs w:val="24"/>
          <w:shd w:val="clear" w:color="auto" w:fill="FFFFFF"/>
        </w:rPr>
        <w:t> Construcțiile existente monobloc se amplasează independent, cel puțin la distanțele de siguranță normate (prevăzute în anexă) față de alte construcții învecinate, recomandându-se dublarea acestora.</w:t>
      </w:r>
    </w:p>
    <w:p w14:paraId="1255BB2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6.1.18.</w:t>
      </w:r>
      <w:r>
        <w:rPr>
          <w:rFonts w:eastAsia="Calibri"/>
          <w:i/>
          <w:sz w:val="24"/>
          <w:szCs w:val="24"/>
          <w:shd w:val="clear" w:color="auto" w:fill="FFFFFF"/>
        </w:rPr>
        <w:t> Porțiunile de construcție existente cu pericol mare de incendiu se vor dispune în zone distincte, de regulă, adiacent închiderilor perimetrale ale acestora și pe cât posibil grupate.</w:t>
      </w:r>
    </w:p>
    <w:p w14:paraId="7DF9FD5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6.1.19.</w:t>
      </w:r>
      <w:r>
        <w:rPr>
          <w:rFonts w:eastAsia="Calibri"/>
          <w:i/>
          <w:sz w:val="24"/>
          <w:szCs w:val="24"/>
          <w:shd w:val="clear" w:color="auto" w:fill="FFFFFF"/>
        </w:rPr>
        <w:t xml:space="preserve"> În construcțiile existente monobloc, spațiile și compartimentele de incendiu din categoriile A, B și C (BE3a,b și BE2) de pericol de incendiu se prevăd în părțile lor superioare (treimea superioară a pereților exteriori și/sau acoperiș) cu dispozitive de evacuare a fumului (desfumare) în caz de incendiu, realizate conform prevederilor Art. </w:t>
      </w:r>
      <w:r>
        <w:rPr>
          <w:rFonts w:eastAsia="Calibri"/>
          <w:b/>
          <w:bCs/>
          <w:i/>
          <w:sz w:val="24"/>
          <w:szCs w:val="24"/>
          <w:shd w:val="clear" w:color="auto" w:fill="FFFFFF"/>
        </w:rPr>
        <w:t xml:space="preserve">A.10.9.1.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A.10.9.35.</w:t>
      </w:r>
      <w:r>
        <w:rPr>
          <w:rFonts w:eastAsia="Calibri"/>
          <w:i/>
          <w:sz w:val="24"/>
          <w:szCs w:val="24"/>
          <w:shd w:val="clear" w:color="auto" w:fill="FFFFFF"/>
        </w:rPr>
        <w:t xml:space="preserve">, având suprafața însumată de cel puțin </w:t>
      </w:r>
      <w:r>
        <w:rPr>
          <w:rFonts w:eastAsia="Calibri"/>
          <w:b/>
          <w:bCs/>
          <w:i/>
          <w:sz w:val="24"/>
          <w:szCs w:val="24"/>
          <w:shd w:val="clear" w:color="auto" w:fill="FFFFFF"/>
        </w:rPr>
        <w:t>0,2%</w:t>
      </w:r>
      <w:r>
        <w:rPr>
          <w:rFonts w:eastAsia="Calibri"/>
          <w:i/>
          <w:sz w:val="24"/>
          <w:szCs w:val="24"/>
          <w:shd w:val="clear" w:color="auto" w:fill="FFFFFF"/>
        </w:rPr>
        <w:t xml:space="preserve"> din aria încăperilor sau compartimentelor respective, sau cu evacuări mecanice.</w:t>
      </w:r>
    </w:p>
    <w:p w14:paraId="7A77FC1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6.1.20.</w:t>
      </w:r>
      <w:r>
        <w:rPr>
          <w:rFonts w:eastAsia="Calibri"/>
          <w:i/>
          <w:sz w:val="24"/>
          <w:szCs w:val="24"/>
          <w:shd w:val="clear" w:color="auto" w:fill="FFFFFF"/>
        </w:rPr>
        <w:t xml:space="preserve"> În construcțiile existente și spațiile închise existente (fără pereți despărțitori interiori), cu arii libere mai mari de 10400 nr ale construcțiilor existente monobloc, și încadrate în categoriile A, B sau C (BE3a,b sau BE2) de pericol de incendiu, pentru limitarea propagării incendiilor se prevăd sisteme de evacuare a fumului și a gazelor fierbinți, realizate conform prevederilor Art. </w:t>
      </w:r>
      <w:r>
        <w:rPr>
          <w:rFonts w:eastAsia="Calibri"/>
          <w:b/>
          <w:bCs/>
          <w:i/>
          <w:sz w:val="24"/>
          <w:szCs w:val="24"/>
          <w:shd w:val="clear" w:color="auto" w:fill="FFFFFF"/>
        </w:rPr>
        <w:t xml:space="preserve">A.10.9.36.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A.10.9.45.</w:t>
      </w:r>
    </w:p>
    <w:p w14:paraId="680E0AE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6.1.21.</w:t>
      </w:r>
      <w:r>
        <w:rPr>
          <w:rFonts w:eastAsia="Calibri"/>
          <w:i/>
          <w:sz w:val="24"/>
          <w:szCs w:val="24"/>
          <w:shd w:val="clear" w:color="auto" w:fill="FFFFFF"/>
        </w:rPr>
        <w:t> Construcțiile existente de producție și/sau depozitare, monobloc, vor avea asigurate, căi de evacuare a utilizatorilor, corespunzător dimensionate, distribuite, alcătuite și realizate, potrivit prevederilor Art.</w:t>
      </w:r>
      <w:r>
        <w:rPr>
          <w:rFonts w:eastAsia="Calibri"/>
          <w:b/>
          <w:bCs/>
          <w:i/>
          <w:sz w:val="24"/>
          <w:szCs w:val="24"/>
          <w:shd w:val="clear" w:color="auto" w:fill="FFFFFF"/>
        </w:rPr>
        <w:t xml:space="preserve"> A.10.2.5.1</w:t>
      </w:r>
      <w:r>
        <w:rPr>
          <w:rFonts w:eastAsia="Calibri"/>
          <w:i/>
          <w:sz w:val="24"/>
          <w:szCs w:val="24"/>
          <w:shd w:val="clear" w:color="auto" w:fill="FFFFFF"/>
        </w:rPr>
        <w:t>. la Art.</w:t>
      </w:r>
      <w:r>
        <w:rPr>
          <w:rFonts w:eastAsia="Calibri"/>
          <w:b/>
          <w:bCs/>
          <w:i/>
          <w:sz w:val="24"/>
          <w:szCs w:val="24"/>
          <w:shd w:val="clear" w:color="auto" w:fill="FFFFFF"/>
        </w:rPr>
        <w:t xml:space="preserve"> A.10.2.5.74.</w:t>
      </w:r>
      <w:r>
        <w:rPr>
          <w:rFonts w:eastAsia="Calibri"/>
          <w:i/>
          <w:sz w:val="24"/>
          <w:szCs w:val="24"/>
          <w:shd w:val="clear" w:color="auto" w:fill="FFFFFF"/>
        </w:rPr>
        <w:t>. și Art.</w:t>
      </w:r>
      <w:r>
        <w:rPr>
          <w:rFonts w:eastAsia="Calibri"/>
          <w:b/>
          <w:bCs/>
          <w:i/>
          <w:sz w:val="24"/>
          <w:szCs w:val="24"/>
          <w:shd w:val="clear" w:color="auto" w:fill="FFFFFF"/>
        </w:rPr>
        <w:t xml:space="preserve"> A.10.5.6.1</w:t>
      </w:r>
      <w:r>
        <w:rPr>
          <w:rFonts w:eastAsia="Calibri"/>
          <w:i/>
          <w:sz w:val="24"/>
          <w:szCs w:val="24"/>
          <w:shd w:val="clear" w:color="auto" w:fill="FFFFFF"/>
        </w:rPr>
        <w:t>. la Art.</w:t>
      </w:r>
      <w:r>
        <w:rPr>
          <w:rFonts w:eastAsia="Calibri"/>
          <w:b/>
          <w:bCs/>
          <w:i/>
          <w:sz w:val="24"/>
          <w:szCs w:val="24"/>
          <w:shd w:val="clear" w:color="auto" w:fill="FFFFFF"/>
        </w:rPr>
        <w:t xml:space="preserve"> A.10.5.6.13.</w:t>
      </w:r>
      <w:r>
        <w:rPr>
          <w:rFonts w:eastAsia="Calibri"/>
          <w:i/>
          <w:sz w:val="24"/>
          <w:szCs w:val="24"/>
          <w:shd w:val="clear" w:color="auto" w:fill="FFFFFF"/>
        </w:rPr>
        <w:t xml:space="preserve"> </w:t>
      </w:r>
    </w:p>
    <w:p w14:paraId="7DC4AA4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6.1.22.</w:t>
      </w:r>
      <w:r>
        <w:rPr>
          <w:rFonts w:eastAsia="Calibri"/>
          <w:i/>
          <w:sz w:val="24"/>
          <w:szCs w:val="24"/>
          <w:shd w:val="clear" w:color="auto" w:fill="FFFFFF"/>
        </w:rPr>
        <w:t xml:space="preserve"> Echiparea și dotarea construcțiilor existente de producție și/sau depozitare monobloc cu instalații și mijloace de semnalizare și stingere a incendiilor se asigură potrivit prevederilor reglementărilor tehnice de specialitate, în funcție de categoriile de pericol de incendiu determinate, </w:t>
      </w:r>
      <w:r>
        <w:rPr>
          <w:rFonts w:eastAsia="Calibri"/>
          <w:i/>
          <w:sz w:val="24"/>
          <w:szCs w:val="24"/>
          <w:shd w:val="clear" w:color="auto" w:fill="FFFFFF"/>
        </w:rPr>
        <w:lastRenderedPageBreak/>
        <w:t>de nivelul de stabilitate la incendiu asigurat și de vulnerabilitatea acestora la incendiu. În construcțiile existente monobloc se pot asigura și hidranți de incendiu interiori subterani (sub pardoseală) racordați la rețeaua de hidranți exteriori, astfel amplasați încât să poată fi utilizați pentru stingere.</w:t>
      </w:r>
    </w:p>
    <w:p w14:paraId="7CC4B99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6.1.23.</w:t>
      </w:r>
      <w:r>
        <w:rPr>
          <w:rFonts w:eastAsia="Calibri"/>
          <w:i/>
          <w:sz w:val="24"/>
          <w:szCs w:val="24"/>
          <w:shd w:val="clear" w:color="auto" w:fill="FFFFFF"/>
        </w:rPr>
        <w:t> Instalațiile utilitare aferente construcțiilor existente monobloc vor fi proiectate și realizate conform prevederilor tehnice specifice acestora.</w:t>
      </w:r>
    </w:p>
    <w:p w14:paraId="2210830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6.1.24.</w:t>
      </w:r>
      <w:r>
        <w:rPr>
          <w:rFonts w:eastAsia="Calibri"/>
          <w:i/>
          <w:sz w:val="24"/>
          <w:szCs w:val="24"/>
          <w:shd w:val="clear" w:color="auto" w:fill="FFFFFF"/>
        </w:rPr>
        <w:t> Construcțiile existente monobloc se dotează cu mijloace tehnice de stingere corespunzătoare claselor de incendiu din spațiile respective (stingătoare portative, stingătoare transportabile, lăzi cu nisip, panouri pentru incendiu, etc.) potrivit reglementărilor.</w:t>
      </w:r>
    </w:p>
    <w:p w14:paraId="6E7FDE7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6.1.25.</w:t>
      </w:r>
      <w:r>
        <w:rPr>
          <w:rFonts w:eastAsia="Calibri"/>
          <w:i/>
          <w:sz w:val="24"/>
          <w:szCs w:val="24"/>
          <w:shd w:val="clear" w:color="auto" w:fill="FFFFFF"/>
        </w:rPr>
        <w:t> Construcțiile existente monobloc de producție și/sau depozitare încadrate în categoriile A, B sau C (BE3a,b sau BE2) de pericol de incendiu, vor avea constituite și organizate servicii de pompieri conform reglemetărilor de profil. Nivelul de dotare și încadrarea cu personal se stabilesc conform reglementărilor specifice.</w:t>
      </w:r>
    </w:p>
    <w:p w14:paraId="3A8742AB" w14:textId="77777777" w:rsidR="001C08A5" w:rsidRDefault="00000000">
      <w:pPr>
        <w:pStyle w:val="Heading4"/>
        <w:rPr>
          <w:sz w:val="24"/>
          <w:szCs w:val="24"/>
        </w:rPr>
      </w:pPr>
      <w:bookmarkStart w:id="11397" w:name="_Toc12860"/>
      <w:bookmarkStart w:id="11398" w:name="_Toc20699"/>
      <w:bookmarkStart w:id="11399" w:name="_Toc28520"/>
      <w:bookmarkStart w:id="11400" w:name="_Toc162355630"/>
      <w:bookmarkStart w:id="11401" w:name="_Toc23066"/>
      <w:bookmarkStart w:id="11402" w:name="_Toc2002"/>
      <w:r>
        <w:rPr>
          <w:sz w:val="24"/>
          <w:szCs w:val="24"/>
        </w:rPr>
        <w:t>Construcții existente blindate</w:t>
      </w:r>
      <w:bookmarkEnd w:id="11397"/>
      <w:bookmarkEnd w:id="11398"/>
      <w:bookmarkEnd w:id="11399"/>
      <w:bookmarkEnd w:id="11400"/>
      <w:bookmarkEnd w:id="11401"/>
      <w:bookmarkEnd w:id="11402"/>
    </w:p>
    <w:p w14:paraId="72156B44" w14:textId="77777777" w:rsidR="001C08A5" w:rsidRDefault="00000000">
      <w:pPr>
        <w:shd w:val="clear" w:color="auto" w:fill="FFFFFF"/>
        <w:spacing w:after="150"/>
        <w:jc w:val="both"/>
        <w:rPr>
          <w:rFonts w:eastAsia="Calibri"/>
          <w:b/>
          <w:bCs/>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6.1.26.</w:t>
      </w:r>
      <w:r>
        <w:rPr>
          <w:rFonts w:eastAsia="Calibri"/>
          <w:i/>
          <w:sz w:val="24"/>
          <w:szCs w:val="24"/>
          <w:shd w:val="clear" w:color="auto" w:fill="FFFFFF"/>
        </w:rPr>
        <w:t> Construcțiile existente de producție și/sau depozitare blindate, inclusiv încăperile blindate cu aria mai mare de 700 m</w:t>
      </w:r>
      <w:r>
        <w:rPr>
          <w:rFonts w:eastAsia="Calibri"/>
          <w:i/>
          <w:sz w:val="24"/>
          <w:szCs w:val="24"/>
          <w:shd w:val="clear" w:color="auto" w:fill="FFFFFF"/>
          <w:vertAlign w:val="superscript"/>
        </w:rPr>
        <w:t>2</w:t>
      </w:r>
      <w:r>
        <w:rPr>
          <w:rFonts w:eastAsia="Calibri"/>
          <w:i/>
          <w:sz w:val="24"/>
          <w:szCs w:val="24"/>
          <w:shd w:val="clear" w:color="auto" w:fill="FFFFFF"/>
        </w:rPr>
        <w:t>, se alcătuiesc și realizează în conformitate cu prevederile din prezenta anexă îndeplinind condițiile de corelație stabilite în Art.</w:t>
      </w:r>
      <w:r>
        <w:rPr>
          <w:rFonts w:eastAsia="Calibri"/>
          <w:b/>
          <w:bCs/>
          <w:i/>
          <w:sz w:val="24"/>
          <w:szCs w:val="24"/>
          <w:shd w:val="clear" w:color="auto" w:fill="FFFFFF"/>
        </w:rPr>
        <w:t xml:space="preserve"> A.10.5.2.5. </w:t>
      </w:r>
      <w:r>
        <w:rPr>
          <w:rFonts w:eastAsia="Calibri"/>
          <w:i/>
          <w:sz w:val="24"/>
          <w:szCs w:val="24"/>
          <w:shd w:val="clear" w:color="auto" w:fill="FFFFFF"/>
        </w:rPr>
        <w:t xml:space="preserve">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_Ref16454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168</w:t>
      </w:r>
      <w:r>
        <w:rPr>
          <w:rFonts w:eastAsia="Calibri"/>
          <w:b/>
          <w:bCs/>
          <w:i/>
          <w:iCs/>
          <w:sz w:val="24"/>
          <w:szCs w:val="24"/>
          <w:shd w:val="clear" w:color="auto" w:fill="FFFFFF"/>
        </w:rPr>
        <w:fldChar w:fldCharType="end"/>
      </w:r>
      <w:r>
        <w:rPr>
          <w:rFonts w:eastAsia="Calibri"/>
          <w:i/>
          <w:sz w:val="24"/>
          <w:szCs w:val="24"/>
          <w:shd w:val="clear" w:color="auto" w:fill="FFFFFF"/>
        </w:rPr>
        <w:t>.</w:t>
      </w:r>
    </w:p>
    <w:p w14:paraId="3AC1050B"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6.1.27.</w:t>
      </w:r>
      <w:r>
        <w:rPr>
          <w:rFonts w:eastAsia="Calibri"/>
          <w:i/>
          <w:sz w:val="24"/>
          <w:szCs w:val="24"/>
          <w:shd w:val="clear" w:color="auto" w:fill="FFFFFF"/>
        </w:rPr>
        <w:t> Construcțiile existente blindate pot fi amplasate independent sau grupate ori comasate cu alte construcții.</w:t>
      </w:r>
    </w:p>
    <w:p w14:paraId="19EB3BD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6.1.28.</w:t>
      </w:r>
      <w:r>
        <w:rPr>
          <w:rFonts w:eastAsia="Calibri"/>
          <w:i/>
          <w:sz w:val="24"/>
          <w:szCs w:val="24"/>
          <w:shd w:val="clear" w:color="auto" w:fill="FFFFFF"/>
        </w:rPr>
        <w:t> Gruparea sau comasarea construcțiilor existente blindate cu alte construcții existente de producție și/sau depozitare se poate realiza în limitele compartimentelor de incendiu stabilite în Art.</w:t>
      </w:r>
      <w:r>
        <w:rPr>
          <w:rFonts w:eastAsia="Calibri"/>
          <w:b/>
          <w:bCs/>
          <w:i/>
          <w:sz w:val="24"/>
          <w:szCs w:val="24"/>
          <w:shd w:val="clear" w:color="auto" w:fill="FFFFFF"/>
        </w:rPr>
        <w:t xml:space="preserve"> A.10.5.2.5. </w:t>
      </w:r>
      <w:r>
        <w:rPr>
          <w:rFonts w:eastAsia="Calibri"/>
          <w:i/>
          <w:sz w:val="24"/>
          <w:szCs w:val="24"/>
          <w:shd w:val="clear" w:color="auto" w:fill="FFFFFF"/>
        </w:rPr>
        <w:t xml:space="preserve">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_Ref16454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168</w:t>
      </w:r>
      <w:r>
        <w:rPr>
          <w:rFonts w:eastAsia="Calibri"/>
          <w:b/>
          <w:bCs/>
          <w:i/>
          <w:iCs/>
          <w:sz w:val="24"/>
          <w:szCs w:val="24"/>
          <w:shd w:val="clear" w:color="auto" w:fill="FFFFFF"/>
        </w:rPr>
        <w:fldChar w:fldCharType="end"/>
      </w:r>
      <w:r>
        <w:rPr>
          <w:rFonts w:eastAsia="Calibri"/>
          <w:i/>
          <w:sz w:val="24"/>
          <w:szCs w:val="24"/>
          <w:shd w:val="clear" w:color="auto" w:fill="FFFFFF"/>
        </w:rPr>
        <w:t xml:space="preserve">, asigurându-se separarea funcțiunilor cu elemente de construcții verticale și după caz, orizontale (pereți și planșee) din clasa de reacție la foc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și rezistență la foc determinată în funcție de densitatea sarcinii termice din spațiile adiacente. Față de clădiri civile (publice) existente de care se alipesc, se asigură separarea cu pereți de compartimentare corespunzătoare, iar atunci când sunt înglobate se realizează separarea cu pereți și planșee rezistente la foc, conform prevederilor.</w:t>
      </w:r>
    </w:p>
    <w:p w14:paraId="7064179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6.1.29.</w:t>
      </w:r>
      <w:r>
        <w:rPr>
          <w:rFonts w:eastAsia="Calibri"/>
          <w:i/>
          <w:sz w:val="24"/>
          <w:szCs w:val="24"/>
          <w:shd w:val="clear" w:color="auto" w:fill="FFFFFF"/>
        </w:rPr>
        <w:t xml:space="preserve"> Construcțiile existente independente blindate se amplasează față de alte construcții învecinate, la distanțele de siguranță prevăzute în Art. </w:t>
      </w:r>
      <w:r>
        <w:rPr>
          <w:rFonts w:eastAsia="Calibri"/>
          <w:b/>
          <w:bCs/>
          <w:i/>
          <w:sz w:val="24"/>
          <w:szCs w:val="24"/>
          <w:shd w:val="clear" w:color="auto" w:fill="FFFFFF"/>
        </w:rPr>
        <w:t>A.10.2.2.2</w:t>
      </w:r>
      <w:r>
        <w:rPr>
          <w:rFonts w:eastAsia="Calibri"/>
          <w:i/>
          <w:sz w:val="24"/>
          <w:szCs w:val="24"/>
          <w:shd w:val="clear" w:color="auto" w:fill="FFFFFF"/>
        </w:rPr>
        <w:t xml:space="preserve"> 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_Ref5126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145</w:t>
      </w:r>
      <w:r>
        <w:rPr>
          <w:rFonts w:eastAsia="Calibri"/>
          <w:b/>
          <w:bCs/>
          <w:i/>
          <w:iCs/>
          <w:sz w:val="24"/>
          <w:szCs w:val="24"/>
          <w:shd w:val="clear" w:color="auto" w:fill="FFFFFF"/>
        </w:rPr>
        <w:fldChar w:fldCharType="end"/>
      </w:r>
      <w:r>
        <w:rPr>
          <w:rFonts w:eastAsia="Calibri"/>
          <w:i/>
          <w:sz w:val="24"/>
          <w:szCs w:val="24"/>
          <w:shd w:val="clear" w:color="auto" w:fill="FFFFFF"/>
        </w:rPr>
        <w:t xml:space="preserve"> sau se compartimentează corespunzător față de acestea.</w:t>
      </w:r>
    </w:p>
    <w:p w14:paraId="4AEB318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6.1.30.</w:t>
      </w:r>
      <w:r>
        <w:rPr>
          <w:rFonts w:eastAsia="Calibri"/>
          <w:i/>
          <w:sz w:val="24"/>
          <w:szCs w:val="24"/>
          <w:shd w:val="clear" w:color="auto" w:fill="FFFFFF"/>
        </w:rPr>
        <w:t> Construcțiile existente blindate vor fi astfel conformate la foc încât să nu faciliteze propagarea incendiilorpe arii mari, iarspațiile cu pericol mare de incendiu, pe cât posibil, vorfi dispuseîn zone distincte.</w:t>
      </w:r>
    </w:p>
    <w:p w14:paraId="3BD7471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6.1.31.</w:t>
      </w:r>
      <w:r>
        <w:rPr>
          <w:rFonts w:eastAsia="Calibri"/>
          <w:i/>
          <w:sz w:val="24"/>
          <w:szCs w:val="24"/>
          <w:shd w:val="clear" w:color="auto" w:fill="FFFFFF"/>
        </w:rPr>
        <w:t xml:space="preserve"> Construcțiile existente blindate, (inclusiv încăperile blindate cu aria mai mare de 700 m2), din categoriile A, B și C (BE2a,b și BE2) de pericol de incendiu, se prevăd cu dispozitive care să asigure evacuarea fumului în caz de incendiu (desfumare). Dispozitivele vor avea aria liberă însumată de cei puțin 0,2% din aria pardoselii spațiilor sau compartimentelor respective, fiind alcătuite, distribuite și realizate conform prevederilor Art. </w:t>
      </w:r>
      <w:r>
        <w:rPr>
          <w:rFonts w:eastAsia="Calibri"/>
          <w:b/>
          <w:bCs/>
          <w:i/>
          <w:sz w:val="24"/>
          <w:szCs w:val="24"/>
          <w:shd w:val="clear" w:color="auto" w:fill="FFFFFF"/>
        </w:rPr>
        <w:t xml:space="preserve">A.10.9.1.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A.10.9.35.</w:t>
      </w:r>
      <w:r>
        <w:rPr>
          <w:rFonts w:eastAsia="Calibri"/>
          <w:i/>
          <w:sz w:val="24"/>
          <w:szCs w:val="24"/>
          <w:shd w:val="clear" w:color="auto" w:fill="FFFFFF"/>
        </w:rPr>
        <w:t xml:space="preserve"> Evacuarea fumului (desfumarea) se poate asigura și mecanic.</w:t>
      </w:r>
    </w:p>
    <w:p w14:paraId="4CCEB7F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6.1.32.</w:t>
      </w:r>
      <w:r>
        <w:rPr>
          <w:rFonts w:eastAsia="Calibri"/>
          <w:i/>
          <w:sz w:val="24"/>
          <w:szCs w:val="24"/>
          <w:shd w:val="clear" w:color="auto" w:fill="FFFFFF"/>
        </w:rPr>
        <w:t xml:space="preserve"> Atunci când construcțiile existente blindate sau spații deschise (fără pereți despărțitori interiori) cu arii mai mari de 10400 m2 și încadrate în categoriile A, B și C (BE3a,b și BE2) de pericol de incendiu, pentru lim itarea propagării incendiilor se asigură sisteme de evacuare a fumului și gazelor fierbinți, realizate conform prevederilor Art. </w:t>
      </w:r>
      <w:r>
        <w:rPr>
          <w:rFonts w:eastAsia="Calibri"/>
          <w:b/>
          <w:bCs/>
          <w:i/>
          <w:sz w:val="24"/>
          <w:szCs w:val="24"/>
          <w:shd w:val="clear" w:color="auto" w:fill="FFFFFF"/>
        </w:rPr>
        <w:t xml:space="preserve">A.10.9.36.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A.10.9.45.</w:t>
      </w:r>
    </w:p>
    <w:p w14:paraId="31742F3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6.1.33.</w:t>
      </w:r>
      <w:r>
        <w:rPr>
          <w:rFonts w:eastAsia="Calibri"/>
          <w:i/>
          <w:sz w:val="24"/>
          <w:szCs w:val="24"/>
          <w:shd w:val="clear" w:color="auto" w:fill="FFFFFF"/>
        </w:rPr>
        <w:t> Construcțiile existente blindate de producție și/sau depozitare vor avea asigurate căi de evacuare a utilizatorilor în caz de incendiu, corespunzător distribuite, alcătuite și realizate, potrivit prevederilor Art.</w:t>
      </w:r>
      <w:r>
        <w:rPr>
          <w:rFonts w:eastAsia="Calibri"/>
          <w:b/>
          <w:bCs/>
          <w:i/>
          <w:sz w:val="24"/>
          <w:szCs w:val="24"/>
          <w:shd w:val="clear" w:color="auto" w:fill="FFFFFF"/>
        </w:rPr>
        <w:t xml:space="preserve"> A.10.2.5.1</w:t>
      </w:r>
      <w:r>
        <w:rPr>
          <w:rFonts w:eastAsia="Calibri"/>
          <w:i/>
          <w:sz w:val="24"/>
          <w:szCs w:val="24"/>
          <w:shd w:val="clear" w:color="auto" w:fill="FFFFFF"/>
        </w:rPr>
        <w:t>. la Art.</w:t>
      </w:r>
      <w:r>
        <w:rPr>
          <w:rFonts w:eastAsia="Calibri"/>
          <w:b/>
          <w:bCs/>
          <w:i/>
          <w:sz w:val="24"/>
          <w:szCs w:val="24"/>
          <w:shd w:val="clear" w:color="auto" w:fill="FFFFFF"/>
        </w:rPr>
        <w:t xml:space="preserve"> A.10.2.5.74.</w:t>
      </w:r>
      <w:r>
        <w:rPr>
          <w:rFonts w:eastAsia="Calibri"/>
          <w:i/>
          <w:sz w:val="24"/>
          <w:szCs w:val="24"/>
          <w:shd w:val="clear" w:color="auto" w:fill="FFFFFF"/>
        </w:rPr>
        <w:t>. și Art.</w:t>
      </w:r>
      <w:r>
        <w:rPr>
          <w:rFonts w:eastAsia="Calibri"/>
          <w:b/>
          <w:bCs/>
          <w:i/>
          <w:sz w:val="24"/>
          <w:szCs w:val="24"/>
          <w:shd w:val="clear" w:color="auto" w:fill="FFFFFF"/>
        </w:rPr>
        <w:t xml:space="preserve"> A.10.5.6.1</w:t>
      </w:r>
      <w:r>
        <w:rPr>
          <w:rFonts w:eastAsia="Calibri"/>
          <w:i/>
          <w:sz w:val="24"/>
          <w:szCs w:val="24"/>
          <w:shd w:val="clear" w:color="auto" w:fill="FFFFFF"/>
        </w:rPr>
        <w:t>. la Art.</w:t>
      </w:r>
      <w:r>
        <w:rPr>
          <w:rFonts w:eastAsia="Calibri"/>
          <w:b/>
          <w:bCs/>
          <w:i/>
          <w:sz w:val="24"/>
          <w:szCs w:val="24"/>
          <w:shd w:val="clear" w:color="auto" w:fill="FFFFFF"/>
        </w:rPr>
        <w:t xml:space="preserve"> A.10.5.6.13.</w:t>
      </w:r>
    </w:p>
    <w:p w14:paraId="5143F21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6.1.34.</w:t>
      </w:r>
      <w:r>
        <w:rPr>
          <w:rFonts w:eastAsia="Calibri"/>
          <w:i/>
          <w:sz w:val="24"/>
          <w:szCs w:val="24"/>
          <w:shd w:val="clear" w:color="auto" w:fill="FFFFFF"/>
        </w:rPr>
        <w:t> Construcțiile existente blindate se echipează și dotează cu instalații și mijloace de semnalizare și stingere a incendiilor, conform prevederilor reglementărilor tehnice de specialitate, în funcție de categoriile de pericol de incendiu și vulnerabilitatea la incendiu. în afară de domeniul obligatoriu de echipare, beneficiarii pot stabili și în alte cazuri prevederea instalațiilor de semnalizare și stingere a incendiilor.</w:t>
      </w:r>
    </w:p>
    <w:p w14:paraId="36AB8DD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6.1.35.</w:t>
      </w:r>
      <w:r>
        <w:rPr>
          <w:rFonts w:eastAsia="Calibri"/>
          <w:i/>
          <w:sz w:val="24"/>
          <w:szCs w:val="24"/>
          <w:shd w:val="clear" w:color="auto" w:fill="FFFFFF"/>
        </w:rPr>
        <w:t> Instalațiile utilitare aferente construcțiilor existente blindate, vor fi proiectate conform reglementărilor tehnice specifice acestora.</w:t>
      </w:r>
    </w:p>
    <w:p w14:paraId="6E6E168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6.1.36.</w:t>
      </w:r>
      <w:r>
        <w:rPr>
          <w:rFonts w:eastAsia="Calibri"/>
          <w:i/>
          <w:sz w:val="24"/>
          <w:szCs w:val="24"/>
          <w:shd w:val="clear" w:color="auto" w:fill="FFFFFF"/>
        </w:rPr>
        <w:t> Pentru intervenția din exterior în caz de incendiu, construcțiile existente blindate vor avea asigurat accesul autospecialelor de intervenție cel puțin pe două laturi. Accesul și circulația personalului de intervenție în construcția existentă, se asigură prin accesele funcționale ale construcției existente sau prin panouri de acces prevăzute în pereții plini de închidere perimetrală (exteriori), dispuse la maximum 40 m unul de altul, ușor demontabile din exterior și marcate vizibil pentru a fi ușor de recunoscut.</w:t>
      </w:r>
    </w:p>
    <w:p w14:paraId="1062F83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6.1.37.</w:t>
      </w:r>
      <w:r>
        <w:rPr>
          <w:rFonts w:eastAsia="Calibri"/>
          <w:i/>
          <w:sz w:val="24"/>
          <w:szCs w:val="24"/>
          <w:shd w:val="clear" w:color="auto" w:fill="FFFFFF"/>
        </w:rPr>
        <w:t> Construcțiile existente blindate se dotează cu mijloace tehnice de stingere corespunzătoare claselor de incendiu din spațiile respective conform reglementărilor.</w:t>
      </w:r>
    </w:p>
    <w:p w14:paraId="3FD8E7E4"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6.1.38.</w:t>
      </w:r>
      <w:r>
        <w:rPr>
          <w:rFonts w:eastAsia="Calibri"/>
          <w:i/>
          <w:sz w:val="24"/>
          <w:szCs w:val="24"/>
          <w:shd w:val="clear" w:color="auto" w:fill="FFFFFF"/>
        </w:rPr>
        <w:t> Construcțiile existente blindate vor avea constituite servicii de pompieri conform reglementărilor, în funcție de aria construit -desfășurată, categoriile de pericol de incendiu, importanță și vulnerabilitate la incendiu.</w:t>
      </w:r>
    </w:p>
    <w:p w14:paraId="7F44D91C" w14:textId="77777777" w:rsidR="001C08A5" w:rsidRDefault="00000000">
      <w:pPr>
        <w:pStyle w:val="Heading3"/>
        <w:rPr>
          <w:i/>
          <w:iCs/>
          <w:sz w:val="24"/>
          <w:szCs w:val="24"/>
        </w:rPr>
      </w:pPr>
      <w:bookmarkStart w:id="11403" w:name="_Toc11876"/>
      <w:bookmarkStart w:id="11404" w:name="_Toc809"/>
      <w:bookmarkStart w:id="11405" w:name="_Toc23683"/>
      <w:bookmarkStart w:id="11406" w:name="_Toc13313"/>
      <w:bookmarkStart w:id="11407" w:name="_Toc162355631"/>
      <w:bookmarkStart w:id="11408" w:name="_Toc31433"/>
      <w:r>
        <w:rPr>
          <w:i/>
          <w:iCs/>
          <w:sz w:val="24"/>
          <w:szCs w:val="24"/>
        </w:rPr>
        <w:t>A.10. 6.2. PERFORMANȚE ALE CONSTRUCȚIILOR EXISTENTE DE DEPOZITARE</w:t>
      </w:r>
      <w:bookmarkEnd w:id="11403"/>
      <w:bookmarkEnd w:id="11404"/>
      <w:bookmarkEnd w:id="11405"/>
      <w:bookmarkEnd w:id="11406"/>
      <w:bookmarkEnd w:id="11407"/>
      <w:bookmarkEnd w:id="11408"/>
    </w:p>
    <w:p w14:paraId="0F4A0BB9" w14:textId="77777777" w:rsidR="001C08A5" w:rsidRDefault="00000000">
      <w:pPr>
        <w:pStyle w:val="Heading4"/>
        <w:rPr>
          <w:sz w:val="24"/>
          <w:szCs w:val="24"/>
        </w:rPr>
      </w:pPr>
      <w:bookmarkStart w:id="11409" w:name="_Toc10739"/>
      <w:bookmarkStart w:id="11410" w:name="_Toc162355632"/>
      <w:bookmarkStart w:id="11411" w:name="_Toc19479"/>
      <w:bookmarkStart w:id="11412" w:name="_Toc20596"/>
      <w:bookmarkStart w:id="11413" w:name="_Toc25459"/>
      <w:bookmarkStart w:id="11414" w:name="_Toc31358"/>
      <w:r>
        <w:rPr>
          <w:sz w:val="24"/>
          <w:szCs w:val="24"/>
        </w:rPr>
        <w:t>Prevederi comune</w:t>
      </w:r>
      <w:bookmarkEnd w:id="11409"/>
      <w:bookmarkEnd w:id="11410"/>
      <w:bookmarkEnd w:id="11411"/>
      <w:bookmarkEnd w:id="11412"/>
      <w:bookmarkEnd w:id="11413"/>
      <w:bookmarkEnd w:id="11414"/>
    </w:p>
    <w:p w14:paraId="26B0781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w:t>
      </w:r>
      <w:r>
        <w:rPr>
          <w:rFonts w:eastAsia="Calibri"/>
          <w:i/>
          <w:sz w:val="24"/>
          <w:szCs w:val="24"/>
          <w:shd w:val="clear" w:color="auto" w:fill="FFFFFF"/>
        </w:rPr>
        <w:t> Construcțiile existente de depozitare și, în general, depozitele de materiale și substanțe vor avea stabilite categorii de pericol de incendiu, conform Art.</w:t>
      </w:r>
      <w:r>
        <w:rPr>
          <w:rFonts w:eastAsia="Calibri"/>
          <w:b/>
          <w:bCs/>
          <w:i/>
          <w:sz w:val="24"/>
          <w:szCs w:val="24"/>
          <w:shd w:val="clear" w:color="auto" w:fill="FFFFFF"/>
        </w:rPr>
        <w:t xml:space="preserve"> A.10.2.1.4</w:t>
      </w:r>
      <w:r>
        <w:rPr>
          <w:rFonts w:eastAsia="Calibri"/>
          <w:i/>
          <w:sz w:val="24"/>
          <w:szCs w:val="24"/>
          <w:shd w:val="clear" w:color="auto" w:fill="FFFFFF"/>
        </w:rPr>
        <w:t>. la Art.</w:t>
      </w:r>
      <w:r>
        <w:rPr>
          <w:rFonts w:eastAsia="Calibri"/>
          <w:b/>
          <w:bCs/>
          <w:i/>
          <w:sz w:val="24"/>
          <w:szCs w:val="24"/>
          <w:shd w:val="clear" w:color="auto" w:fill="FFFFFF"/>
        </w:rPr>
        <w:t xml:space="preserve"> A.10.2.1.7.</w:t>
      </w:r>
      <w:r>
        <w:rPr>
          <w:rFonts w:eastAsia="Calibri"/>
          <w:i/>
          <w:sz w:val="24"/>
          <w:szCs w:val="24"/>
          <w:shd w:val="clear" w:color="auto" w:fill="FFFFFF"/>
        </w:rPr>
        <w:t xml:space="preserve">, și clase de periculozitate a materialelor și substanțelor respective, potrivit Art. </w:t>
      </w:r>
      <w:r>
        <w:rPr>
          <w:rFonts w:eastAsia="Calibri"/>
          <w:b/>
          <w:bCs/>
          <w:i/>
          <w:sz w:val="24"/>
          <w:szCs w:val="24"/>
          <w:shd w:val="clear" w:color="auto" w:fill="FFFFFF"/>
        </w:rPr>
        <w:t>A.10.6.2.19.</w:t>
      </w:r>
    </w:p>
    <w:p w14:paraId="5AFD14C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6.2.2.</w:t>
      </w:r>
      <w:r>
        <w:rPr>
          <w:rFonts w:eastAsia="Calibri"/>
          <w:i/>
          <w:sz w:val="24"/>
          <w:szCs w:val="24"/>
          <w:shd w:val="clear" w:color="auto" w:fill="FFFFFF"/>
        </w:rPr>
        <w:t> La realizarea depozitelor aferente clădirilor civile existente (publice) se respectă și prevederile specifice acestor clădiri existente .</w:t>
      </w:r>
    </w:p>
    <w:p w14:paraId="3A12F62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w:t>
      </w:r>
      <w:r>
        <w:rPr>
          <w:rFonts w:eastAsia="Calibri"/>
          <w:i/>
          <w:sz w:val="24"/>
          <w:szCs w:val="24"/>
          <w:shd w:val="clear" w:color="auto" w:fill="FFFFFF"/>
        </w:rPr>
        <w:t> Înglobarea încăperilor de depozitare a materialelor și substanțelor combustibile în construcții de producție existente și în clădiri civile (publice) existente este admisă atunci când considerente funcționale o impun, dacă sunt asigurate condițiile și măsurile de protecție stabilite în prezenta anexă.</w:t>
      </w:r>
    </w:p>
    <w:p w14:paraId="04790FA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w:t>
      </w:r>
      <w:r>
        <w:rPr>
          <w:rFonts w:eastAsia="Calibri"/>
          <w:i/>
          <w:sz w:val="24"/>
          <w:szCs w:val="24"/>
          <w:shd w:val="clear" w:color="auto" w:fill="FFFFFF"/>
        </w:rPr>
        <w:t> Este admisă depozitarea diferitelor materiale și substanțe în aceeași încăpere, dacă amestecul lor sau al vaporilor respectivi nu prezintă pericol de autoaprindere sau explozie, iarîn cazde incendiu se pot utiliza aceieași produse de stingere.</w:t>
      </w:r>
    </w:p>
    <w:p w14:paraId="335B48D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6.2.5.</w:t>
      </w:r>
      <w:r>
        <w:rPr>
          <w:rFonts w:eastAsia="Calibri"/>
          <w:i/>
          <w:sz w:val="24"/>
          <w:szCs w:val="24"/>
          <w:shd w:val="clear" w:color="auto" w:fill="FFFFFF"/>
        </w:rPr>
        <w:t> Depozitele de materiale și substanțe pot fi amplasate independent, grupate sau comasate atunci când sunt în construcții existente închise și amplasate numai independent atunci când sunt depozite închise.</w:t>
      </w:r>
    </w:p>
    <w:p w14:paraId="50058C7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6.2.6.</w:t>
      </w:r>
      <w:r>
        <w:rPr>
          <w:rFonts w:eastAsia="Calibri"/>
          <w:i/>
          <w:sz w:val="24"/>
          <w:szCs w:val="24"/>
          <w:shd w:val="clear" w:color="auto" w:fill="FFFFFF"/>
        </w:rPr>
        <w:t xml:space="preserve"> Construcțiile existente independente de depozitare se amplasează față de obiecte învecinate la distanțele de siguranță stabilite în Art. </w:t>
      </w:r>
      <w:r>
        <w:rPr>
          <w:rFonts w:eastAsia="Calibri"/>
          <w:b/>
          <w:bCs/>
          <w:i/>
          <w:sz w:val="24"/>
          <w:szCs w:val="24"/>
          <w:shd w:val="clear" w:color="auto" w:fill="FFFFFF"/>
        </w:rPr>
        <w:t>A.10.2.2.2.</w:t>
      </w:r>
      <w:r>
        <w:rPr>
          <w:rFonts w:eastAsia="Calibri"/>
          <w:i/>
          <w:sz w:val="24"/>
          <w:szCs w:val="24"/>
          <w:shd w:val="clear" w:color="auto" w:fill="FFFFFF"/>
        </w:rPr>
        <w:t xml:space="preserve"> 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_Ref5126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145</w:t>
      </w:r>
      <w:r>
        <w:rPr>
          <w:rFonts w:eastAsia="Calibri"/>
          <w:b/>
          <w:bCs/>
          <w:i/>
          <w:iCs/>
          <w:sz w:val="24"/>
          <w:szCs w:val="24"/>
          <w:shd w:val="clear" w:color="auto" w:fill="FFFFFF"/>
        </w:rPr>
        <w:fldChar w:fldCharType="end"/>
      </w:r>
      <w:r>
        <w:rPr>
          <w:rFonts w:eastAsia="Calibri"/>
          <w:i/>
          <w:sz w:val="24"/>
          <w:szCs w:val="24"/>
          <w:shd w:val="clear" w:color="auto" w:fill="FFFFFF"/>
        </w:rPr>
        <w:t xml:space="preserve"> și în reglementări tehnice de specialitate, sau se compartimentează conform prevederilor din prezenta anexă. Depozitele deschise se ampiasează față de vecinătăți la distanțele normate prevăzute în prezenta anexă și în reglementări specifice acestora. Construcțiile existente închise de depozitare grupate sau comasate între ele sau cu alte construcții, se separă conform prevederilor din prezenta anexă.</w:t>
      </w:r>
    </w:p>
    <w:p w14:paraId="7FEB55F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6.2.7.</w:t>
      </w:r>
      <w:r>
        <w:rPr>
          <w:rFonts w:eastAsia="Calibri"/>
          <w:i/>
          <w:sz w:val="24"/>
          <w:szCs w:val="24"/>
          <w:shd w:val="clear" w:color="auto" w:fill="FFFFFF"/>
        </w:rPr>
        <w:t> Construcțiile existente depozitelor pe care beneficiarul le consideră importante sau de mare valoare, se recomandă să fie amplasate independent.</w:t>
      </w:r>
    </w:p>
    <w:p w14:paraId="024E250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6.2.8.</w:t>
      </w:r>
      <w:r>
        <w:rPr>
          <w:rFonts w:eastAsia="Calibri"/>
          <w:i/>
          <w:sz w:val="24"/>
          <w:szCs w:val="24"/>
          <w:shd w:val="clear" w:color="auto" w:fill="FFFFFF"/>
        </w:rPr>
        <w:t> La amplasarea depozitelor se are în vedere limitarea posibilităților ca un incendiu produs în depozit să pună în pericol construcții sau instalații învecinate importante sau centre populate, precum și aprinderea depozitului datorită unui incendiu produs la un obiect învecinat.</w:t>
      </w:r>
    </w:p>
    <w:p w14:paraId="0AEE281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6.2.9.</w:t>
      </w:r>
      <w:r>
        <w:rPr>
          <w:rFonts w:eastAsia="Calibri"/>
          <w:i/>
          <w:sz w:val="24"/>
          <w:szCs w:val="24"/>
          <w:shd w:val="clear" w:color="auto" w:fill="FFFFFF"/>
        </w:rPr>
        <w:t> Depozitele de materiale și substanțe combustibile se amplasează în zone astfel situate încât, pe cât posibil, direcția vântului dominant să nu fie spre construcțiile vecine, iar când aceasta nu este posibil sau justificat tehnic, se iau măsuri de protecție corespunzătoare.</w:t>
      </w:r>
    </w:p>
    <w:p w14:paraId="6D8427C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6.2.10.</w:t>
      </w:r>
      <w:r>
        <w:rPr>
          <w:rFonts w:eastAsia="Calibri"/>
          <w:i/>
          <w:sz w:val="24"/>
          <w:szCs w:val="24"/>
          <w:shd w:val="clear" w:color="auto" w:fill="FFFFFF"/>
        </w:rPr>
        <w:t> Depozitele de lichide combustibile, de regulă, se amplasează în zone situate mai jos decât construcțiile învecinate astfel încât să nu fie posibilă deversarea sau scurgerea lichidelor și propagarea incendiului la vecinătăți, sau se asigură măsuri de protecție corespunzătoare (diguri, ziduri de protecție, etc). De asemenea, prin amplasarea acestor depozite se vor asigura distanțe și măsuri de protecție față de cursuri de apă, lacuri, iazuri, bălți, etc. situate în vecinătate.</w:t>
      </w:r>
    </w:p>
    <w:p w14:paraId="01F7346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6.2.11.</w:t>
      </w:r>
      <w:r>
        <w:rPr>
          <w:rFonts w:eastAsia="Calibri"/>
          <w:i/>
          <w:sz w:val="24"/>
          <w:szCs w:val="24"/>
          <w:shd w:val="clear" w:color="auto" w:fill="FFFFFF"/>
        </w:rPr>
        <w:t> Depozitarea materialelor și substanțelor combustibile se realizează în funcție de caracteristicile fizico - chimice ale acestora astfel încât să nu genereze incendiu și să poată fi stinse cu aceleași produse de stingere.</w:t>
      </w:r>
    </w:p>
    <w:p w14:paraId="03A2682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6.2.12.</w:t>
      </w:r>
      <w:r>
        <w:rPr>
          <w:rFonts w:eastAsia="Calibri"/>
          <w:i/>
          <w:sz w:val="24"/>
          <w:szCs w:val="24"/>
          <w:shd w:val="clear" w:color="auto" w:fill="FFFFFF"/>
        </w:rPr>
        <w:t> Depozitarea materialelor combustibile solide împreună cu lichide sau gaze combustibile, de regulă, nu este admisă. Fac excepție situațiile admise în prezenta anexă.</w:t>
      </w:r>
    </w:p>
    <w:p w14:paraId="0882690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6.2.13.</w:t>
      </w:r>
      <w:r>
        <w:rPr>
          <w:rFonts w:eastAsia="Calibri"/>
          <w:i/>
          <w:sz w:val="24"/>
          <w:szCs w:val="24"/>
          <w:shd w:val="clear" w:color="auto" w:fill="FFFFFF"/>
        </w:rPr>
        <w:t> Atunci când se depozitează materiale sau substanțe care prezintă pericol de autoaprindere, este obligatorie stabilirea duratei de depozitare a acestora și luarea măsurilor necesare verificării creșterii temperaturii lor.</w:t>
      </w:r>
    </w:p>
    <w:p w14:paraId="0E0304C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6.2.14.</w:t>
      </w:r>
      <w:r>
        <w:rPr>
          <w:rFonts w:eastAsia="Calibri"/>
          <w:i/>
          <w:sz w:val="24"/>
          <w:szCs w:val="24"/>
          <w:shd w:val="clear" w:color="auto" w:fill="FFFFFF"/>
        </w:rPr>
        <w:t xml:space="preserve"> Nu este admisă trecerea prin depozite sau încăperi de depozitare, a conductelor care transportă fluide combustibile (gaze lichide), a celor de încălzire și ale rețelelor electrice aferente altor consumatori. Atunci când nu este posibil sau justificat tehnic trecerile respective vor fi realizate în canalizații proprii închise, cu pereți și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cu rezistență la foc corespunzătoare condițiilor de separare impuse de depozit.</w:t>
      </w:r>
    </w:p>
    <w:p w14:paraId="24DA099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6.2.15.</w:t>
      </w:r>
      <w:r>
        <w:rPr>
          <w:rFonts w:eastAsia="Calibri"/>
          <w:i/>
          <w:sz w:val="24"/>
          <w:szCs w:val="24"/>
          <w:shd w:val="clear" w:color="auto" w:fill="FFFFFF"/>
        </w:rPr>
        <w:t> Pozarea conductelor pentru apă sau pentru produse care conțin apă ori pe care poate condensa apa, în depozite pentru materiale sau substanțe care reacționează periculos cu apa, este interzisă.</w:t>
      </w:r>
    </w:p>
    <w:p w14:paraId="5BAE3ED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6.2.16.</w:t>
      </w:r>
      <w:r>
        <w:rPr>
          <w:rFonts w:eastAsia="Calibri"/>
          <w:i/>
          <w:sz w:val="24"/>
          <w:szCs w:val="24"/>
          <w:shd w:val="clear" w:color="auto" w:fill="FFFFFF"/>
        </w:rPr>
        <w:t> Materialele și substanțele combustibile se pot păstra în spațiile și încăperile de producție, numai în cantitățile minime necesare fluxului tehnologic, precizate prin tema de proiectare. Depozitarea materialelor și substanțelor combustibile în cantități mai mari se realizează în încăperi proprii, alcătuite, realizate și protejate conform prevederilor din prezenta anexă.</w:t>
      </w:r>
    </w:p>
    <w:p w14:paraId="46ACBFC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6.2.17.</w:t>
      </w:r>
      <w:r>
        <w:rPr>
          <w:rFonts w:eastAsia="Calibri"/>
          <w:i/>
          <w:sz w:val="24"/>
          <w:szCs w:val="24"/>
          <w:shd w:val="clear" w:color="auto" w:fill="FFFFFF"/>
        </w:rPr>
        <w:t> Depozitele vor avea asigurate căi de acces, circulații funcționale și de evacuare astfel dimensionate și realizate încât să asigure limitarea posibilităților de propagare a focului și totodată să permită intervenția de stingere. Pentru depozitele fără locuri permanente de lucru (vizitabile de maximum 8 ori pe schimb), nu este obligatorie asigurarea căilor de evacuare în caz de incendiu.</w:t>
      </w:r>
    </w:p>
    <w:p w14:paraId="6C4605B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6.2.18.</w:t>
      </w:r>
      <w:r>
        <w:rPr>
          <w:rFonts w:eastAsia="Calibri"/>
          <w:i/>
          <w:sz w:val="24"/>
          <w:szCs w:val="24"/>
          <w:shd w:val="clear" w:color="auto" w:fill="FFFFFF"/>
        </w:rPr>
        <w:t> Depozitele de materiale sau substanțe combustibile se echipează cu instalații de semnalizare și stingere a incendiilor corespunzătoare materialelor și substanțelor depozitate, precum și a cantității și importanței acestora, potrivit prevederilor din prezenta anexă și a reglementărilor tehnice de specialitate.</w:t>
      </w:r>
    </w:p>
    <w:p w14:paraId="55552D51" w14:textId="77777777" w:rsidR="001C08A5" w:rsidRDefault="00000000">
      <w:pPr>
        <w:tabs>
          <w:tab w:val="left" w:pos="426"/>
          <w:tab w:val="left" w:pos="993"/>
        </w:tabs>
        <w:jc w:val="both"/>
        <w:rPr>
          <w:bCs/>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6.2.19.</w:t>
      </w:r>
      <w:r>
        <w:rPr>
          <w:rFonts w:eastAsia="Calibri"/>
          <w:i/>
          <w:sz w:val="24"/>
          <w:szCs w:val="24"/>
          <w:shd w:val="clear" w:color="auto" w:fill="FFFFFF"/>
        </w:rPr>
        <w:t xml:space="preserve"> Construcțiile existente și încăperile existente de depozitare a materialelor și substanțelor, se realizează corespunzător prevederilor Art. </w:t>
      </w:r>
      <w:r>
        <w:rPr>
          <w:rFonts w:eastAsia="Calibri"/>
          <w:b/>
          <w:bCs/>
          <w:i/>
          <w:sz w:val="24"/>
          <w:szCs w:val="24"/>
          <w:shd w:val="clear" w:color="auto" w:fill="FFFFFF"/>
        </w:rPr>
        <w:t>A.10.6.2.1.</w:t>
      </w:r>
      <w:r>
        <w:rPr>
          <w:rFonts w:eastAsia="Calibri"/>
          <w:i/>
          <w:sz w:val="24"/>
          <w:szCs w:val="24"/>
          <w:shd w:val="clear" w:color="auto" w:fill="FFFFFF"/>
        </w:rPr>
        <w:t xml:space="preserve">, având în vedere categoria de pericol de incendiu și clasa de periculozitate a acestora, determinată în funcție de aportul pe care-l pot aduce la apariția și dezvoltarea incendiilor, precum și de sensibilitatea lor la efectele incendiilor,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_Ref18133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171</w:t>
      </w:r>
      <w:r>
        <w:rPr>
          <w:rFonts w:eastAsia="Calibri"/>
          <w:b/>
          <w:bCs/>
          <w:i/>
          <w:iCs/>
          <w:sz w:val="24"/>
          <w:szCs w:val="24"/>
          <w:shd w:val="clear" w:color="auto" w:fill="FFFFFF"/>
        </w:rPr>
        <w:fldChar w:fldCharType="end"/>
      </w:r>
      <w:r>
        <w:rPr>
          <w:b/>
          <w:i/>
          <w:sz w:val="24"/>
          <w:szCs w:val="24"/>
        </w:rPr>
        <w:t xml:space="preserve">. </w:t>
      </w:r>
      <w:r>
        <w:rPr>
          <w:bCs/>
          <w:i/>
          <w:sz w:val="24"/>
          <w:szCs w:val="24"/>
        </w:rPr>
        <w:t xml:space="preserve">Răspunderea în vederea adoptării măsurilor privind depozitarea materialelor/ produselor şi substanţelor </w:t>
      </w:r>
      <w:r>
        <w:rPr>
          <w:i/>
          <w:sz w:val="24"/>
          <w:szCs w:val="24"/>
        </w:rPr>
        <w:t>cu periculozitate deosebit de mare și a celor cu periculozitate mare specificate în tabel la lit F (</w:t>
      </w:r>
      <w:r>
        <w:rPr>
          <w:i/>
          <w:sz w:val="24"/>
          <w:szCs w:val="24"/>
          <w:lang w:eastAsia="zh-CN"/>
        </w:rPr>
        <w:t>lichide combustibile cu temperaturi de inflamabilitate între 50- 100°C)</w:t>
      </w:r>
      <w:r>
        <w:rPr>
          <w:i/>
          <w:sz w:val="24"/>
          <w:szCs w:val="24"/>
        </w:rPr>
        <w:t xml:space="preserve"> </w:t>
      </w:r>
      <w:r>
        <w:rPr>
          <w:bCs/>
          <w:i/>
          <w:sz w:val="24"/>
          <w:szCs w:val="24"/>
        </w:rPr>
        <w:t xml:space="preserve">cade în sarcina proiectantului și a investitorului/ beneficiarului (privind măsurile de conformare pe </w:t>
      </w:r>
      <w:r>
        <w:rPr>
          <w:bCs/>
          <w:i/>
          <w:sz w:val="24"/>
          <w:szCs w:val="24"/>
        </w:rPr>
        <w:lastRenderedPageBreak/>
        <w:t>linia securității la incendiu în ceea ce privește modul de depozitare al substanțelor sau amestecurilor potrivit și a prevederilor privind periculozitatea acestora). Proiectantul având în vedere tema de proiectare și tipul, cantitățile și posibila interacțiune a materialelor/ produselor şi substanţelor depozitate puse la dispoziție de către beneficiar în functie de specificatiile producatorului, împreună cu tehnologul, trebuie să asigure măsuri de conformare în raport cu produsele sau amestecurile depozitate și în raport cu periculozitatea acestora, pentru adoptarea măsurilor de protecție și conformare pe linia securității la incendiu al spațiilor respective. În toate cazurile proiectanții vor aplica și m</w:t>
      </w:r>
      <w:r>
        <w:rPr>
          <w:bCs/>
          <w:i/>
          <w:sz w:val="24"/>
          <w:szCs w:val="24"/>
          <w:lang w:eastAsia="ro-RO"/>
        </w:rPr>
        <w:t xml:space="preserve">etodologia de clasificare pe categorii a mărfurilor depozitate </w:t>
      </w:r>
      <w:r>
        <w:rPr>
          <w:bCs/>
          <w:i/>
          <w:sz w:val="24"/>
          <w:szCs w:val="24"/>
          <w:lang w:val="en-US" w:eastAsia="ro-RO"/>
        </w:rPr>
        <w:t>(</w:t>
      </w:r>
      <w:r>
        <w:rPr>
          <w:bCs/>
          <w:i/>
          <w:sz w:val="24"/>
          <w:szCs w:val="24"/>
          <w:lang w:eastAsia="ro-RO"/>
        </w:rPr>
        <w:t>redată în SR EN 12845</w:t>
      </w:r>
      <w:r>
        <w:rPr>
          <w:bCs/>
          <w:i/>
          <w:sz w:val="24"/>
          <w:szCs w:val="24"/>
          <w:lang w:val="en-US" w:eastAsia="ro-RO"/>
        </w:rPr>
        <w:t xml:space="preserve">) și </w:t>
      </w:r>
      <w:r>
        <w:rPr>
          <w:rFonts w:eastAsia="Calibri"/>
          <w:bCs/>
          <w:i/>
          <w:sz w:val="24"/>
          <w:szCs w:val="24"/>
          <w:shd w:val="clear" w:color="auto" w:fill="FFFFFF"/>
        </w:rPr>
        <w:t>atunci când apa nu este indicată ca substanță de stingere, se prevăd instalații automate de stingere cu alte substanțe prevăzute în normativul de profil</w:t>
      </w:r>
      <w:r>
        <w:rPr>
          <w:bCs/>
          <w:i/>
          <w:sz w:val="24"/>
          <w:szCs w:val="24"/>
          <w:lang w:eastAsia="ro-RO"/>
        </w:rPr>
        <w:t>.</w:t>
      </w:r>
      <w:r>
        <w:rPr>
          <w:bCs/>
          <w:i/>
          <w:sz w:val="24"/>
          <w:szCs w:val="24"/>
          <w:lang w:val="en-US" w:eastAsia="ro-RO"/>
        </w:rPr>
        <w:t xml:space="preserve"> </w:t>
      </w:r>
      <w:r>
        <w:rPr>
          <w:bCs/>
          <w:i/>
          <w:sz w:val="24"/>
          <w:szCs w:val="24"/>
        </w:rPr>
        <w:t xml:space="preserve">Încadrarea în riscuri de incendiu a spaţiilor, încăperilor, compartimentelor de incendiu şi construcţiilor de producţie şi/sau depozitare cu materiale/produse şi substanţe depozitate având clasa de periculozitate: </w:t>
      </w:r>
      <w:r>
        <w:rPr>
          <w:i/>
          <w:sz w:val="24"/>
          <w:szCs w:val="24"/>
        </w:rPr>
        <w:t xml:space="preserve">P.1, P.2, P.3 și P4 (cu excepția </w:t>
      </w:r>
      <w:r>
        <w:rPr>
          <w:i/>
          <w:sz w:val="24"/>
          <w:szCs w:val="24"/>
          <w:lang w:val="en-US" w:eastAsia="zh-CN" w:bidi="ar"/>
        </w:rPr>
        <w:t>Lichide</w:t>
      </w:r>
      <w:r>
        <w:rPr>
          <w:i/>
          <w:sz w:val="24"/>
          <w:szCs w:val="24"/>
          <w:lang w:eastAsia="zh-CN" w:bidi="ar"/>
        </w:rPr>
        <w:t>lor</w:t>
      </w:r>
      <w:r>
        <w:rPr>
          <w:i/>
          <w:sz w:val="24"/>
          <w:szCs w:val="24"/>
          <w:lang w:val="en-US" w:eastAsia="zh-CN" w:bidi="ar"/>
        </w:rPr>
        <w:t xml:space="preserve"> combustibile cu temperaturi de inflamabilitate între 50- 100°C</w:t>
      </w:r>
      <w:r>
        <w:rPr>
          <w:i/>
          <w:sz w:val="24"/>
          <w:szCs w:val="24"/>
        </w:rPr>
        <w:t xml:space="preserve">) se determină în acord </w:t>
      </w:r>
      <w:r>
        <w:rPr>
          <w:b/>
          <w:bCs/>
          <w:i/>
          <w:sz w:val="24"/>
          <w:szCs w:val="24"/>
        </w:rPr>
        <w:t>și</w:t>
      </w:r>
      <w:r>
        <w:rPr>
          <w:i/>
          <w:sz w:val="24"/>
          <w:szCs w:val="24"/>
        </w:rPr>
        <w:t xml:space="preserve"> cu calculul </w:t>
      </w:r>
      <w:r>
        <w:rPr>
          <w:bCs/>
          <w:i/>
          <w:sz w:val="24"/>
          <w:szCs w:val="24"/>
        </w:rPr>
        <w:t>densității sarcinii termice</w:t>
      </w:r>
      <w:r>
        <w:rPr>
          <w:b/>
          <w:bCs/>
          <w:i/>
          <w:sz w:val="24"/>
          <w:szCs w:val="24"/>
        </w:rPr>
        <w:t xml:space="preserve"> </w:t>
      </w:r>
      <w:r>
        <w:rPr>
          <w:bCs/>
          <w:i/>
          <w:sz w:val="24"/>
          <w:szCs w:val="24"/>
        </w:rPr>
        <w:t>și se iau obligatoriu măsuri privind limitarea incendiului, prevazute în prezenta anexă.</w:t>
      </w:r>
    </w:p>
    <w:p w14:paraId="3FB86A59" w14:textId="77777777" w:rsidR="001C08A5" w:rsidRDefault="00000000">
      <w:pPr>
        <w:pStyle w:val="Caption"/>
        <w:tabs>
          <w:tab w:val="left" w:pos="426"/>
          <w:tab w:val="left" w:pos="993"/>
        </w:tabs>
        <w:jc w:val="both"/>
        <w:rPr>
          <w:rFonts w:cs="Times New Roman"/>
          <w:b w:val="0"/>
          <w:bCs/>
        </w:rPr>
      </w:pPr>
      <w:bookmarkStart w:id="11415" w:name="_Ref18133"/>
      <w:bookmarkStart w:id="11416" w:name="_Toc162360221"/>
      <w:r>
        <w:t xml:space="preserve">Tabelul </w:t>
      </w:r>
      <w:r>
        <w:fldChar w:fldCharType="begin"/>
      </w:r>
      <w:r>
        <w:instrText xml:space="preserve"> SEQ Tabelul \* ARABIC </w:instrText>
      </w:r>
      <w:r>
        <w:fldChar w:fldCharType="separate"/>
      </w:r>
      <w:r>
        <w:t>171</w:t>
      </w:r>
      <w:r>
        <w:fldChar w:fldCharType="end"/>
      </w:r>
      <w:bookmarkStart w:id="11417" w:name="_Toc4423"/>
      <w:bookmarkStart w:id="11418" w:name="_Toc16602"/>
      <w:bookmarkStart w:id="11419" w:name="_Toc20638"/>
      <w:bookmarkStart w:id="11420" w:name="_Toc7697"/>
      <w:bookmarkStart w:id="11421" w:name="_Toc1349"/>
      <w:bookmarkStart w:id="11422" w:name="_Toc21333"/>
      <w:bookmarkStart w:id="11423" w:name="_Toc19577"/>
      <w:bookmarkStart w:id="11424" w:name="_Toc15050"/>
      <w:bookmarkStart w:id="11425" w:name="_Toc15707"/>
      <w:bookmarkStart w:id="11426" w:name="_Toc31354"/>
      <w:bookmarkStart w:id="11427" w:name="_Toc30953"/>
      <w:bookmarkEnd w:id="11415"/>
      <w:r>
        <w:t>: Clasificarea materialelor și substanțelor depozitate (după clasa de periculozitate) pentru construcții existente, compartimente de incendiu ale construcțiilor existente și încăperi existente de depozitare a materialelor și substanțelor</w:t>
      </w:r>
      <w:bookmarkEnd w:id="11416"/>
      <w:bookmarkEnd w:id="11417"/>
      <w:bookmarkEnd w:id="11418"/>
      <w:bookmarkEnd w:id="11419"/>
      <w:bookmarkEnd w:id="11420"/>
      <w:bookmarkEnd w:id="11421"/>
      <w:bookmarkEnd w:id="11422"/>
      <w:bookmarkEnd w:id="11423"/>
      <w:bookmarkEnd w:id="11424"/>
      <w:bookmarkEnd w:id="11425"/>
      <w:bookmarkEnd w:id="11426"/>
      <w:bookmarkEnd w:id="11427"/>
    </w:p>
    <w:tbl>
      <w:tblPr>
        <w:tblW w:w="4998" w:type="pct"/>
        <w:tblCellMar>
          <w:top w:w="15" w:type="dxa"/>
          <w:left w:w="15" w:type="dxa"/>
          <w:bottom w:w="15" w:type="dxa"/>
          <w:right w:w="15" w:type="dxa"/>
        </w:tblCellMar>
        <w:tblLook w:val="04A0" w:firstRow="1" w:lastRow="0" w:firstColumn="1" w:lastColumn="0" w:noHBand="0" w:noVBand="1"/>
      </w:tblPr>
      <w:tblGrid>
        <w:gridCol w:w="1262"/>
        <w:gridCol w:w="2476"/>
        <w:gridCol w:w="1708"/>
        <w:gridCol w:w="4173"/>
      </w:tblGrid>
      <w:tr w:rsidR="001C08A5" w14:paraId="6BA3CCE2" w14:textId="77777777">
        <w:trPr>
          <w:trHeight w:val="765"/>
        </w:trPr>
        <w:tc>
          <w:tcPr>
            <w:tcW w:w="65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0D49DB8" w14:textId="77777777" w:rsidR="001C08A5" w:rsidRDefault="00000000">
            <w:pPr>
              <w:jc w:val="center"/>
              <w:rPr>
                <w:b/>
                <w:bCs/>
                <w:i/>
                <w:sz w:val="22"/>
                <w:szCs w:val="22"/>
              </w:rPr>
            </w:pPr>
            <w:r>
              <w:rPr>
                <w:b/>
                <w:bCs/>
                <w:i/>
                <w:sz w:val="22"/>
                <w:szCs w:val="22"/>
                <w:lang w:val="en-US" w:eastAsia="zh-CN" w:bidi="ar"/>
              </w:rPr>
              <w:t>Clasa de periculozitate</w:t>
            </w: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7B356F7" w14:textId="77777777" w:rsidR="001C08A5" w:rsidRDefault="00000000">
            <w:pPr>
              <w:jc w:val="center"/>
              <w:rPr>
                <w:b/>
                <w:bCs/>
                <w:i/>
                <w:sz w:val="22"/>
                <w:szCs w:val="22"/>
              </w:rPr>
            </w:pPr>
            <w:r>
              <w:rPr>
                <w:b/>
                <w:bCs/>
                <w:i/>
                <w:sz w:val="22"/>
                <w:szCs w:val="22"/>
                <w:lang w:val="en-US" w:eastAsia="zh-CN" w:bidi="ar"/>
              </w:rPr>
              <w:t>Caracteristicile materialelor și substanțelor</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61C0145" w14:textId="77777777" w:rsidR="001C08A5" w:rsidRDefault="00000000">
            <w:pPr>
              <w:jc w:val="center"/>
              <w:rPr>
                <w:b/>
                <w:bCs/>
                <w:i/>
                <w:sz w:val="22"/>
                <w:szCs w:val="22"/>
              </w:rPr>
            </w:pPr>
            <w:r>
              <w:rPr>
                <w:b/>
                <w:bCs/>
                <w:i/>
                <w:sz w:val="22"/>
                <w:szCs w:val="22"/>
                <w:lang w:val="en-US" w:eastAsia="zh-CN" w:bidi="ar"/>
              </w:rPr>
              <w:t>Felul ambalajului</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B698F1C" w14:textId="77777777" w:rsidR="001C08A5" w:rsidRDefault="00000000">
            <w:pPr>
              <w:jc w:val="center"/>
              <w:rPr>
                <w:b/>
                <w:bCs/>
                <w:i/>
                <w:sz w:val="22"/>
                <w:szCs w:val="22"/>
              </w:rPr>
            </w:pPr>
            <w:r>
              <w:rPr>
                <w:b/>
                <w:bCs/>
                <w:i/>
                <w:sz w:val="22"/>
                <w:szCs w:val="22"/>
                <w:lang w:val="en-US" w:eastAsia="zh-CN" w:bidi="ar"/>
              </w:rPr>
              <w:t>Exemple</w:t>
            </w:r>
          </w:p>
        </w:tc>
      </w:tr>
      <w:tr w:rsidR="001C08A5" w14:paraId="5A8EB693" w14:textId="77777777">
        <w:trPr>
          <w:trHeight w:val="1197"/>
        </w:trPr>
        <w:tc>
          <w:tcPr>
            <w:tcW w:w="65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5F7DE49" w14:textId="77777777" w:rsidR="001C08A5" w:rsidRDefault="00000000">
            <w:pPr>
              <w:jc w:val="center"/>
              <w:rPr>
                <w:b/>
                <w:bCs/>
                <w:i/>
                <w:sz w:val="22"/>
                <w:szCs w:val="22"/>
              </w:rPr>
            </w:pPr>
            <w:r>
              <w:rPr>
                <w:b/>
                <w:bCs/>
                <w:i/>
                <w:sz w:val="22"/>
                <w:szCs w:val="22"/>
                <w:lang w:val="en-US" w:eastAsia="zh-CN" w:bidi="ar"/>
              </w:rPr>
              <w:t>P.1. Fără periculozitate</w:t>
            </w: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1174474" w14:textId="77777777" w:rsidR="001C08A5" w:rsidRDefault="00000000">
            <w:pPr>
              <w:jc w:val="center"/>
              <w:rPr>
                <w:b/>
                <w:bCs/>
                <w:i/>
                <w:sz w:val="22"/>
                <w:szCs w:val="22"/>
              </w:rPr>
            </w:pPr>
            <w:r>
              <w:rPr>
                <w:b/>
                <w:bCs/>
                <w:i/>
                <w:sz w:val="22"/>
                <w:szCs w:val="22"/>
                <w:lang w:val="en-US" w:eastAsia="zh-CN" w:bidi="ar"/>
              </w:rPr>
              <w:t>Materiale incombustibile care nu pot da naștere la reacții periculoase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4A9D6E1" w14:textId="77777777" w:rsidR="001C08A5" w:rsidRDefault="00000000">
            <w:pPr>
              <w:rPr>
                <w:i/>
                <w:sz w:val="22"/>
                <w:szCs w:val="22"/>
              </w:rPr>
            </w:pPr>
            <w:r>
              <w:rPr>
                <w:i/>
                <w:sz w:val="22"/>
                <w:szCs w:val="22"/>
                <w:lang w:val="en-US" w:eastAsia="zh-CN" w:bidi="ar"/>
              </w:rPr>
              <w:t>Fără ambalaje (în vrac) sau în ambalaje incombustibile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2A54D2E" w14:textId="77777777" w:rsidR="001C08A5" w:rsidRDefault="00000000">
            <w:pPr>
              <w:rPr>
                <w:i/>
                <w:sz w:val="22"/>
                <w:szCs w:val="22"/>
              </w:rPr>
            </w:pPr>
            <w:r>
              <w:rPr>
                <w:i/>
                <w:sz w:val="22"/>
                <w:szCs w:val="22"/>
                <w:lang w:val="en-US" w:eastAsia="zh-CN" w:bidi="ar"/>
              </w:rPr>
              <w:t>Minereuri, produse și piese metalice (inerte) ciment, nisip, beton, materiale de construcții refractare, azbest; fructe, legume, carne; conserve în cutii metalice sau borcane; lichide</w:t>
            </w:r>
          </w:p>
        </w:tc>
      </w:tr>
      <w:tr w:rsidR="001C08A5" w14:paraId="63EC08C1" w14:textId="77777777">
        <w:trPr>
          <w:trHeight w:val="1470"/>
        </w:trPr>
        <w:tc>
          <w:tcPr>
            <w:tcW w:w="656"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FFF0F94" w14:textId="77777777" w:rsidR="001C08A5" w:rsidRDefault="00000000">
            <w:pPr>
              <w:jc w:val="center"/>
              <w:rPr>
                <w:b/>
                <w:bCs/>
                <w:i/>
                <w:sz w:val="22"/>
                <w:szCs w:val="22"/>
              </w:rPr>
            </w:pPr>
            <w:r>
              <w:rPr>
                <w:b/>
                <w:bCs/>
                <w:i/>
                <w:sz w:val="22"/>
                <w:szCs w:val="22"/>
                <w:lang w:val="en-US" w:eastAsia="zh-CN" w:bidi="ar"/>
              </w:rPr>
              <w:t>P.2. Cu periculozitate redusă</w:t>
            </w: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7056300" w14:textId="77777777" w:rsidR="001C08A5" w:rsidRDefault="00000000">
            <w:pPr>
              <w:jc w:val="center"/>
              <w:rPr>
                <w:b/>
                <w:bCs/>
                <w:i/>
                <w:sz w:val="22"/>
                <w:szCs w:val="22"/>
              </w:rPr>
            </w:pPr>
            <w:r>
              <w:rPr>
                <w:b/>
                <w:bCs/>
                <w:i/>
                <w:sz w:val="22"/>
                <w:szCs w:val="22"/>
                <w:lang w:val="en-US" w:eastAsia="zh-CN" w:bidi="ar"/>
              </w:rPr>
              <w:t>A. Materiale din clasa P1</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4B3E6B8" w14:textId="77777777" w:rsidR="001C08A5" w:rsidRDefault="00000000">
            <w:pPr>
              <w:rPr>
                <w:i/>
                <w:sz w:val="22"/>
                <w:szCs w:val="22"/>
              </w:rPr>
            </w:pPr>
            <w:r>
              <w:rPr>
                <w:i/>
                <w:sz w:val="22"/>
                <w:szCs w:val="22"/>
                <w:lang w:val="en-US" w:eastAsia="zh-CN" w:bidi="ar"/>
              </w:rPr>
              <w:t>În ambalaje cu combustibile redusă, menționate în coloana 3.</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4A6F404" w14:textId="77777777" w:rsidR="001C08A5" w:rsidRDefault="00000000">
            <w:pPr>
              <w:rPr>
                <w:i/>
                <w:sz w:val="22"/>
                <w:szCs w:val="22"/>
              </w:rPr>
            </w:pPr>
            <w:r>
              <w:rPr>
                <w:i/>
                <w:sz w:val="22"/>
                <w:szCs w:val="22"/>
                <w:lang w:val="en-US" w:eastAsia="zh-CN" w:bidi="ar"/>
              </w:rPr>
              <w:t>Minereuri și alte materiale inerte, în saci sau butoaie combustibile; piese metalice în folii sau prelate greu combustibile; piese metalice, elemente din beton, azbociment, pe palete din lemn lichide incombustibile sau conserve în ambalaje incombustibile în navete sau</w:t>
            </w:r>
          </w:p>
        </w:tc>
      </w:tr>
      <w:tr w:rsidR="001C08A5" w14:paraId="30CA4FA1" w14:textId="77777777">
        <w:trPr>
          <w:trHeight w:val="917"/>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118C301"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DFDF6F8" w14:textId="77777777" w:rsidR="001C08A5" w:rsidRDefault="00000000">
            <w:pPr>
              <w:jc w:val="center"/>
              <w:rPr>
                <w:b/>
                <w:bCs/>
                <w:i/>
                <w:sz w:val="22"/>
                <w:szCs w:val="22"/>
              </w:rPr>
            </w:pPr>
            <w:r>
              <w:rPr>
                <w:b/>
                <w:bCs/>
                <w:i/>
                <w:sz w:val="22"/>
                <w:szCs w:val="22"/>
                <w:lang w:val="en-US" w:eastAsia="zh-CN" w:bidi="ar"/>
              </w:rPr>
              <w:t>B. Materiale care se aprind greu, au o viteză redusă de ardere și nu au o putere calorică mare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2F880CD" w14:textId="77777777" w:rsidR="001C08A5" w:rsidRDefault="00000000">
            <w:pPr>
              <w:rPr>
                <w:i/>
                <w:sz w:val="22"/>
                <w:szCs w:val="22"/>
              </w:rPr>
            </w:pPr>
            <w:r>
              <w:rPr>
                <w:i/>
                <w:sz w:val="22"/>
                <w:szCs w:val="22"/>
                <w:lang w:val="en-US" w:eastAsia="zh-CN" w:bidi="ar"/>
              </w:rPr>
              <w:t>Neambalate în ambalaje menționate în coloana 3</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2722A37" w14:textId="77777777" w:rsidR="001C08A5" w:rsidRDefault="00000000">
            <w:pPr>
              <w:rPr>
                <w:i/>
                <w:sz w:val="22"/>
                <w:szCs w:val="22"/>
              </w:rPr>
            </w:pPr>
            <w:r>
              <w:rPr>
                <w:i/>
                <w:sz w:val="22"/>
                <w:szCs w:val="22"/>
                <w:lang w:val="en-US" w:eastAsia="zh-CN" w:bidi="ar"/>
              </w:rPr>
              <w:t>Aparate electrice; obiecte executate din bachelită și rășini fenolice; melamină; piei brute; baloți de lână (spălată și uscată); zahăr brut și cereale în vrac sau în</w:t>
            </w:r>
          </w:p>
        </w:tc>
      </w:tr>
      <w:tr w:rsidR="001C08A5" w14:paraId="0B0FC939" w14:textId="77777777">
        <w:trPr>
          <w:trHeight w:val="365"/>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C5DB08C"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14ADBA1" w14:textId="77777777" w:rsidR="001C08A5" w:rsidRDefault="00000000">
            <w:pPr>
              <w:jc w:val="center"/>
              <w:rPr>
                <w:b/>
                <w:bCs/>
                <w:i/>
                <w:sz w:val="22"/>
                <w:szCs w:val="22"/>
              </w:rPr>
            </w:pPr>
            <w:r>
              <w:rPr>
                <w:b/>
                <w:bCs/>
                <w:i/>
                <w:sz w:val="22"/>
                <w:szCs w:val="22"/>
                <w:lang w:val="en-US" w:eastAsia="zh-CN" w:bidi="ar"/>
              </w:rPr>
              <w:t>C. Lichide incombustibile inerte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FD8711F" w14:textId="77777777" w:rsidR="001C08A5" w:rsidRDefault="00000000">
            <w:pPr>
              <w:rPr>
                <w:i/>
                <w:sz w:val="22"/>
                <w:szCs w:val="22"/>
              </w:rPr>
            </w:pPr>
            <w:r>
              <w:rPr>
                <w:i/>
                <w:sz w:val="22"/>
                <w:szCs w:val="22"/>
                <w:lang w:val="en-US" w:eastAsia="zh-CN" w:bidi="ar"/>
              </w:rPr>
              <w:t>În ambalaje combustibile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D78B6F6" w14:textId="77777777" w:rsidR="001C08A5" w:rsidRDefault="00000000">
            <w:pPr>
              <w:rPr>
                <w:i/>
                <w:sz w:val="22"/>
                <w:szCs w:val="22"/>
              </w:rPr>
            </w:pPr>
            <w:r>
              <w:rPr>
                <w:i/>
                <w:sz w:val="22"/>
                <w:szCs w:val="22"/>
                <w:lang w:val="en-US" w:eastAsia="zh-CN" w:bidi="ar"/>
              </w:rPr>
              <w:t>Lapte: apă minerală în butelii din plastic, cutii carton, etc.</w:t>
            </w:r>
          </w:p>
        </w:tc>
      </w:tr>
      <w:tr w:rsidR="001C08A5" w14:paraId="48F9DBEE" w14:textId="77777777">
        <w:trPr>
          <w:trHeight w:val="488"/>
        </w:trPr>
        <w:tc>
          <w:tcPr>
            <w:tcW w:w="656"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7A7389D" w14:textId="77777777" w:rsidR="001C08A5" w:rsidRDefault="00000000">
            <w:pPr>
              <w:jc w:val="center"/>
              <w:rPr>
                <w:b/>
                <w:bCs/>
                <w:i/>
                <w:sz w:val="22"/>
                <w:szCs w:val="22"/>
              </w:rPr>
            </w:pPr>
            <w:r>
              <w:rPr>
                <w:b/>
                <w:bCs/>
                <w:i/>
                <w:sz w:val="22"/>
                <w:szCs w:val="22"/>
                <w:lang w:val="en-US" w:eastAsia="zh-CN" w:bidi="ar"/>
              </w:rPr>
              <w:t>P.3. Cu periculozitate medie</w:t>
            </w: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533E5FB" w14:textId="77777777" w:rsidR="001C08A5" w:rsidRDefault="00000000">
            <w:pPr>
              <w:jc w:val="center"/>
              <w:rPr>
                <w:b/>
                <w:bCs/>
                <w:i/>
                <w:sz w:val="22"/>
                <w:szCs w:val="22"/>
              </w:rPr>
            </w:pPr>
            <w:r>
              <w:rPr>
                <w:b/>
                <w:bCs/>
                <w:i/>
                <w:sz w:val="22"/>
                <w:szCs w:val="22"/>
                <w:lang w:val="en-US" w:eastAsia="zh-CN" w:bidi="ar"/>
              </w:rPr>
              <w:t>A. Materiale din clasele P.1 și P.2</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30AAD45" w14:textId="77777777" w:rsidR="001C08A5" w:rsidRDefault="00000000">
            <w:pPr>
              <w:rPr>
                <w:i/>
                <w:sz w:val="22"/>
                <w:szCs w:val="22"/>
              </w:rPr>
            </w:pPr>
            <w:r>
              <w:rPr>
                <w:i/>
                <w:sz w:val="22"/>
                <w:szCs w:val="22"/>
                <w:lang w:val="en-US" w:eastAsia="zh-CN" w:bidi="ar"/>
              </w:rPr>
              <w:t>Ambalate în cutii de carton</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BA5F6CD" w14:textId="77777777" w:rsidR="001C08A5" w:rsidRDefault="00000000">
            <w:pPr>
              <w:rPr>
                <w:i/>
                <w:sz w:val="22"/>
                <w:szCs w:val="22"/>
              </w:rPr>
            </w:pPr>
            <w:r>
              <w:rPr>
                <w:i/>
                <w:sz w:val="22"/>
                <w:szCs w:val="22"/>
                <w:lang w:val="en-US" w:eastAsia="zh-CN" w:bidi="ar"/>
              </w:rPr>
              <w:t>-</w:t>
            </w:r>
          </w:p>
        </w:tc>
      </w:tr>
      <w:tr w:rsidR="001C08A5" w14:paraId="32F31884" w14:textId="77777777">
        <w:trPr>
          <w:trHeight w:val="116"/>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47721E9"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95CC96D" w14:textId="77777777" w:rsidR="001C08A5" w:rsidRDefault="00000000">
            <w:pPr>
              <w:jc w:val="center"/>
              <w:rPr>
                <w:b/>
                <w:bCs/>
                <w:i/>
                <w:sz w:val="22"/>
                <w:szCs w:val="22"/>
              </w:rPr>
            </w:pPr>
            <w:r>
              <w:rPr>
                <w:b/>
                <w:bCs/>
                <w:i/>
                <w:sz w:val="22"/>
                <w:szCs w:val="22"/>
                <w:lang w:val="en-US" w:eastAsia="zh-CN" w:bidi="ar"/>
              </w:rPr>
              <w:t xml:space="preserve">B. Materiale cu </w:t>
            </w:r>
            <w:r>
              <w:rPr>
                <w:b/>
                <w:bCs/>
                <w:i/>
                <w:sz w:val="22"/>
                <w:szCs w:val="22"/>
                <w:lang w:eastAsia="zh-CN" w:bidi="ar"/>
              </w:rPr>
              <w:t>reacție la foc</w:t>
            </w:r>
            <w:r>
              <w:rPr>
                <w:b/>
                <w:bCs/>
                <w:i/>
                <w:sz w:val="22"/>
                <w:szCs w:val="22"/>
                <w:lang w:val="en-US" w:eastAsia="zh-CN" w:bidi="ar"/>
              </w:rPr>
              <w:t xml:space="preserve"> medie (care nu se încadrează în clasele P.4. și P.5.) și cu putere calorică cei mult 27.3 J/Kg</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7A83602" w14:textId="77777777" w:rsidR="001C08A5" w:rsidRDefault="00000000">
            <w:pPr>
              <w:rPr>
                <w:i/>
                <w:sz w:val="22"/>
                <w:szCs w:val="22"/>
              </w:rPr>
            </w:pPr>
            <w:r>
              <w:rPr>
                <w:i/>
                <w:sz w:val="22"/>
                <w:szCs w:val="22"/>
                <w:lang w:val="en-US" w:eastAsia="zh-CN" w:bidi="ar"/>
              </w:rPr>
              <w:t>În orice fel de ambalaje, cu excepția celor din materiale plastice spongioase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B2CDBA4" w14:textId="77777777" w:rsidR="001C08A5" w:rsidRDefault="00000000">
            <w:pPr>
              <w:rPr>
                <w:i/>
                <w:sz w:val="22"/>
                <w:szCs w:val="22"/>
              </w:rPr>
            </w:pPr>
            <w:r>
              <w:rPr>
                <w:i/>
                <w:sz w:val="22"/>
                <w:szCs w:val="22"/>
                <w:lang w:val="en-US" w:eastAsia="zh-CN" w:bidi="ar"/>
              </w:rPr>
              <w:t xml:space="preserve">Mobilă (fără garnituri din buret de cauciuc sau plastic) și obiecte masive din lemn goale;butoaie din lemn (fără reziduri periculoase); bambus; panouri din fibre de lemn: produse din ebonită; fibre animale (lână, mătase naturală, păr, etc.) și fibre artificiale cu </w:t>
            </w:r>
            <w:r>
              <w:rPr>
                <w:i/>
                <w:sz w:val="22"/>
                <w:szCs w:val="22"/>
                <w:lang w:eastAsia="zh-CN" w:bidi="ar"/>
              </w:rPr>
              <w:t>reacție la foc</w:t>
            </w:r>
            <w:r>
              <w:rPr>
                <w:i/>
                <w:sz w:val="22"/>
                <w:szCs w:val="22"/>
                <w:lang w:val="en-US" w:eastAsia="zh-CN" w:bidi="ar"/>
              </w:rPr>
              <w:t xml:space="preserve"> redusă (poliamidice, poliesterice, poliacrilice, polivinilice); țesături și confecții executate din asemenea fibre; fibre vegetale toarse gros; salteie și perne (fără buret de cauciuc sau materiale plastice); articole din piele; cărți; papetărie; negru de fum (ambalat în saci sau granulat); amidon; făina de cereale; zahăr cristalizat paste făinoase și alte articole de </w:t>
            </w:r>
            <w:r>
              <w:rPr>
                <w:i/>
                <w:sz w:val="22"/>
                <w:szCs w:val="22"/>
                <w:lang w:val="en-US" w:eastAsia="zh-CN" w:bidi="ar"/>
              </w:rPr>
              <w:lastRenderedPageBreak/>
              <w:t>băcănie - ambalate în pungi; utun, ceai, legume uscate; grăsimi, etc.</w:t>
            </w:r>
          </w:p>
        </w:tc>
      </w:tr>
      <w:tr w:rsidR="001C08A5" w14:paraId="5075E8B7" w14:textId="77777777">
        <w:trPr>
          <w:trHeight w:val="1129"/>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3005632"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EF798A0" w14:textId="77777777" w:rsidR="001C08A5" w:rsidRDefault="00000000">
            <w:pPr>
              <w:jc w:val="center"/>
              <w:rPr>
                <w:b/>
                <w:bCs/>
                <w:i/>
                <w:sz w:val="22"/>
                <w:szCs w:val="22"/>
              </w:rPr>
            </w:pPr>
            <w:r>
              <w:rPr>
                <w:b/>
                <w:bCs/>
                <w:i/>
                <w:sz w:val="22"/>
                <w:szCs w:val="22"/>
                <w:lang w:val="en-US" w:eastAsia="zh-CN" w:bidi="ar"/>
              </w:rPr>
              <w:t>C. Lichide combustibile cu temperatura de inflamabilitate mai mare de 100°C</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BA71182" w14:textId="77777777" w:rsidR="001C08A5" w:rsidRDefault="00000000">
            <w:pPr>
              <w:rPr>
                <w:i/>
                <w:sz w:val="22"/>
                <w:szCs w:val="22"/>
              </w:rPr>
            </w:pPr>
            <w:r>
              <w:rPr>
                <w:i/>
                <w:sz w:val="22"/>
                <w:szCs w:val="22"/>
                <w:lang w:val="en-US" w:eastAsia="zh-CN" w:bidi="ar"/>
              </w:rPr>
              <w:t>În ambalaje incombustibile care pot fi introduse în cutii de carton</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3578AD6" w14:textId="77777777" w:rsidR="001C08A5" w:rsidRDefault="00000000">
            <w:pPr>
              <w:rPr>
                <w:i/>
                <w:sz w:val="22"/>
                <w:szCs w:val="22"/>
              </w:rPr>
            </w:pPr>
            <w:r>
              <w:rPr>
                <w:i/>
                <w:sz w:val="22"/>
                <w:szCs w:val="22"/>
                <w:lang w:val="en-US" w:eastAsia="zh-CN" w:bidi="ar"/>
              </w:rPr>
              <w:t>Vopsele de ulei în cutii, borcane, butoaie și similare; produse farmaceutice combustibile în cutii, bidoane, damigene, sticle, etc; ubrefianți și glicoli în butoaie sau bidoane; uleiuri</w:t>
            </w:r>
          </w:p>
        </w:tc>
      </w:tr>
      <w:tr w:rsidR="001C08A5" w14:paraId="785D5E0D" w14:textId="77777777">
        <w:trPr>
          <w:trHeight w:val="726"/>
        </w:trPr>
        <w:tc>
          <w:tcPr>
            <w:tcW w:w="656"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66D9E6E" w14:textId="77777777" w:rsidR="001C08A5" w:rsidRDefault="00000000">
            <w:pPr>
              <w:jc w:val="center"/>
              <w:rPr>
                <w:b/>
                <w:bCs/>
                <w:i/>
                <w:sz w:val="22"/>
                <w:szCs w:val="22"/>
              </w:rPr>
            </w:pPr>
            <w:r>
              <w:rPr>
                <w:b/>
                <w:bCs/>
                <w:i/>
                <w:sz w:val="22"/>
                <w:szCs w:val="22"/>
                <w:lang w:val="en-US" w:eastAsia="zh-CN" w:bidi="ar"/>
              </w:rPr>
              <w:t>P.4 Cu periculozitate mare</w:t>
            </w: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663B5A8" w14:textId="77777777" w:rsidR="001C08A5" w:rsidRDefault="00000000">
            <w:pPr>
              <w:jc w:val="center"/>
              <w:rPr>
                <w:b/>
                <w:bCs/>
                <w:i/>
                <w:sz w:val="22"/>
                <w:szCs w:val="22"/>
              </w:rPr>
            </w:pPr>
            <w:r>
              <w:rPr>
                <w:b/>
                <w:bCs/>
                <w:i/>
                <w:sz w:val="22"/>
                <w:szCs w:val="22"/>
                <w:lang w:val="en-US" w:eastAsia="zh-CN" w:bidi="ar"/>
              </w:rPr>
              <w:t>A. Materiale și produse din clasele P1-P.3</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A3CC3BF" w14:textId="77777777" w:rsidR="001C08A5" w:rsidRDefault="00000000">
            <w:pPr>
              <w:rPr>
                <w:i/>
                <w:sz w:val="22"/>
                <w:szCs w:val="22"/>
              </w:rPr>
            </w:pPr>
            <w:r>
              <w:rPr>
                <w:i/>
                <w:sz w:val="22"/>
                <w:szCs w:val="22"/>
                <w:lang w:val="en-US" w:eastAsia="zh-CN" w:bidi="ar"/>
              </w:rPr>
              <w:t>În ambalaje din materiale plastice spongioase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82E6ECD" w14:textId="77777777" w:rsidR="001C08A5" w:rsidRDefault="001C08A5">
            <w:pPr>
              <w:rPr>
                <w:i/>
                <w:sz w:val="22"/>
                <w:szCs w:val="22"/>
              </w:rPr>
            </w:pPr>
          </w:p>
        </w:tc>
      </w:tr>
      <w:tr w:rsidR="001C08A5" w14:paraId="77BB203D" w14:textId="77777777">
        <w:trPr>
          <w:trHeight w:val="2661"/>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0EDFFAD"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5765981" w14:textId="77777777" w:rsidR="001C08A5" w:rsidRDefault="00000000">
            <w:pPr>
              <w:jc w:val="center"/>
              <w:rPr>
                <w:b/>
                <w:bCs/>
                <w:i/>
                <w:sz w:val="22"/>
                <w:szCs w:val="22"/>
              </w:rPr>
            </w:pPr>
            <w:r>
              <w:rPr>
                <w:b/>
                <w:bCs/>
                <w:i/>
                <w:sz w:val="22"/>
                <w:szCs w:val="22"/>
                <w:lang w:val="en-US" w:eastAsia="zh-CN" w:bidi="ar"/>
              </w:rPr>
              <w:t>B. Materiale combustibile cu viteză mare de ardere sau cu o putere calorică mai mare de 27,3J/Kg</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854728C" w14:textId="77777777" w:rsidR="001C08A5" w:rsidRDefault="00000000">
            <w:pPr>
              <w:rPr>
                <w:i/>
                <w:sz w:val="22"/>
                <w:szCs w:val="22"/>
              </w:rPr>
            </w:pPr>
            <w:r>
              <w:rPr>
                <w:i/>
                <w:sz w:val="22"/>
                <w:szCs w:val="22"/>
                <w:lang w:val="en-US" w:eastAsia="zh-CN" w:bidi="ar"/>
              </w:rPr>
              <w:t>Indiferent de forma de ambalare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ABB1FAD" w14:textId="77777777" w:rsidR="001C08A5" w:rsidRDefault="00000000">
            <w:pPr>
              <w:rPr>
                <w:i/>
                <w:sz w:val="22"/>
                <w:szCs w:val="22"/>
              </w:rPr>
            </w:pPr>
            <w:r>
              <w:rPr>
                <w:i/>
                <w:sz w:val="22"/>
                <w:szCs w:val="22"/>
                <w:lang w:val="en-US" w:eastAsia="zh-CN" w:bidi="ar"/>
              </w:rPr>
              <w:t>Lemn în formă de tocăturâ și talaș; fibre vegetale (in, cânepă bumbac); fibre artificiale cu Pc ≥ 27.300 J/Kg; confecții executate din asemenea fibre, saltele și plăpumi cu umpluturi din buret, cauciuc sau materiale plastice spongioase; fibre textile; vată; paie; zegras; împletituri din nuiele; celuloză, etcxarton; hârtie, cauciuc brut sau prelucrat; materiale plastice și obiecte confecționate din acestea (alt fel carton; hârtie, cauciuc brut sau prelucrat; materiale</w:t>
            </w:r>
          </w:p>
        </w:tc>
      </w:tr>
      <w:tr w:rsidR="001C08A5" w14:paraId="79CA27FB" w14:textId="77777777">
        <w:trPr>
          <w:trHeight w:val="1096"/>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0D0AFAE"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0F0993A" w14:textId="77777777" w:rsidR="001C08A5" w:rsidRDefault="00000000">
            <w:pPr>
              <w:jc w:val="center"/>
              <w:rPr>
                <w:b/>
                <w:bCs/>
                <w:i/>
                <w:sz w:val="22"/>
                <w:szCs w:val="22"/>
              </w:rPr>
            </w:pPr>
            <w:r>
              <w:rPr>
                <w:b/>
                <w:bCs/>
                <w:i/>
                <w:sz w:val="22"/>
                <w:szCs w:val="22"/>
                <w:lang w:val="en-US" w:eastAsia="zh-CN" w:bidi="ar"/>
              </w:rPr>
              <w:t xml:space="preserve">C. Materiale și produse ncombustibile care pot suferi deteriorări mportante în urma acțiunii temperaturilor înalte, </w:t>
            </w:r>
            <w:proofErr w:type="gramStart"/>
            <w:r>
              <w:rPr>
                <w:b/>
                <w:bCs/>
                <w:i/>
                <w:sz w:val="22"/>
                <w:szCs w:val="22"/>
                <w:lang w:val="en-US" w:eastAsia="zh-CN" w:bidi="ar"/>
              </w:rPr>
              <w:t>a</w:t>
            </w:r>
            <w:proofErr w:type="gramEnd"/>
            <w:r>
              <w:rPr>
                <w:b/>
                <w:bCs/>
                <w:i/>
                <w:sz w:val="22"/>
                <w:szCs w:val="22"/>
                <w:lang w:val="en-US" w:eastAsia="zh-CN" w:bidi="ar"/>
              </w:rPr>
              <w:t xml:space="preserve"> apei sau gazelor corozive.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93318F0" w14:textId="77777777" w:rsidR="001C08A5" w:rsidRDefault="00000000">
            <w:pPr>
              <w:rPr>
                <w:i/>
                <w:sz w:val="22"/>
                <w:szCs w:val="22"/>
              </w:rPr>
            </w:pPr>
            <w:r>
              <w:rPr>
                <w:i/>
                <w:sz w:val="22"/>
                <w:szCs w:val="22"/>
                <w:lang w:val="en-US" w:eastAsia="zh-CN" w:bidi="ar"/>
              </w:rPr>
              <w:t>Indiferent de natura ambalajelor</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850AB57" w14:textId="77777777" w:rsidR="001C08A5" w:rsidRDefault="00000000">
            <w:pPr>
              <w:rPr>
                <w:i/>
                <w:sz w:val="22"/>
                <w:szCs w:val="22"/>
              </w:rPr>
            </w:pPr>
            <w:r>
              <w:rPr>
                <w:i/>
                <w:sz w:val="22"/>
                <w:szCs w:val="22"/>
                <w:lang w:val="en-US" w:eastAsia="zh-CN" w:bidi="ar"/>
              </w:rPr>
              <w:t>Aparatura electrică și electronică având relee și contacte sensibile necapsulate; tuburi electronice; utilaje și aparate de înaltă precizie; bijuterii; medicamente și produse cosmetice, etc.</w:t>
            </w:r>
          </w:p>
        </w:tc>
      </w:tr>
      <w:tr w:rsidR="001C08A5" w14:paraId="461AF09D" w14:textId="77777777">
        <w:trPr>
          <w:trHeight w:val="1185"/>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B6CC04B"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619DDAD" w14:textId="77777777" w:rsidR="001C08A5" w:rsidRDefault="00000000">
            <w:pPr>
              <w:jc w:val="center"/>
              <w:rPr>
                <w:b/>
                <w:bCs/>
                <w:i/>
                <w:sz w:val="22"/>
                <w:szCs w:val="22"/>
              </w:rPr>
            </w:pPr>
            <w:r>
              <w:rPr>
                <w:b/>
                <w:bCs/>
                <w:i/>
                <w:sz w:val="22"/>
                <w:szCs w:val="22"/>
                <w:lang w:val="en-US" w:eastAsia="zh-CN" w:bidi="ar"/>
              </w:rPr>
              <w:t>D. Materiale și produse care sub efectul temperaturii degajă cantităț' importante de gaze corozive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95A2D48" w14:textId="77777777" w:rsidR="001C08A5" w:rsidRDefault="00000000">
            <w:pPr>
              <w:rPr>
                <w:i/>
                <w:sz w:val="22"/>
                <w:szCs w:val="22"/>
              </w:rPr>
            </w:pPr>
            <w:r>
              <w:rPr>
                <w:i/>
                <w:sz w:val="22"/>
                <w:szCs w:val="22"/>
                <w:lang w:val="en-US" w:eastAsia="zh-CN" w:bidi="ar"/>
              </w:rPr>
              <w:t>Indiferent de natura ambalajelor</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38811AC" w14:textId="77777777" w:rsidR="001C08A5" w:rsidRDefault="00000000">
            <w:pPr>
              <w:rPr>
                <w:i/>
                <w:sz w:val="22"/>
                <w:szCs w:val="22"/>
              </w:rPr>
            </w:pPr>
            <w:r>
              <w:rPr>
                <w:i/>
                <w:sz w:val="22"/>
                <w:szCs w:val="22"/>
                <w:lang w:val="en-US" w:eastAsia="zh-CN" w:bidi="ar"/>
              </w:rPr>
              <w:t>Policiorură de vinii, teflon și rășini epoxidice; acid clorhidric; clorură de var, etc.</w:t>
            </w:r>
          </w:p>
        </w:tc>
      </w:tr>
      <w:tr w:rsidR="001C08A5" w14:paraId="55C5C684" w14:textId="77777777">
        <w:trPr>
          <w:trHeight w:val="90"/>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28D9E11"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DF59C49" w14:textId="77777777" w:rsidR="001C08A5" w:rsidRDefault="00000000">
            <w:pPr>
              <w:jc w:val="center"/>
              <w:rPr>
                <w:b/>
                <w:bCs/>
                <w:i/>
                <w:sz w:val="22"/>
                <w:szCs w:val="22"/>
              </w:rPr>
            </w:pPr>
            <w:r>
              <w:rPr>
                <w:b/>
                <w:bCs/>
                <w:i/>
                <w:sz w:val="22"/>
                <w:szCs w:val="22"/>
                <w:lang w:val="en-US" w:eastAsia="zh-CN" w:bidi="ar"/>
              </w:rPr>
              <w:t>E. Lichide combustibile din clasa P.3</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2797982" w14:textId="77777777" w:rsidR="001C08A5" w:rsidRDefault="00000000">
            <w:pPr>
              <w:rPr>
                <w:i/>
                <w:sz w:val="22"/>
                <w:szCs w:val="22"/>
              </w:rPr>
            </w:pPr>
            <w:r>
              <w:rPr>
                <w:i/>
                <w:sz w:val="22"/>
                <w:szCs w:val="22"/>
                <w:lang w:val="en-US" w:eastAsia="zh-CN" w:bidi="ar"/>
              </w:rPr>
              <w:t>în ambalaje combustibile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93733A9" w14:textId="77777777" w:rsidR="001C08A5" w:rsidRDefault="00000000">
            <w:pPr>
              <w:rPr>
                <w:i/>
                <w:sz w:val="22"/>
                <w:szCs w:val="22"/>
              </w:rPr>
            </w:pPr>
            <w:r>
              <w:rPr>
                <w:i/>
                <w:sz w:val="22"/>
                <w:szCs w:val="22"/>
                <w:lang w:val="en-US" w:eastAsia="zh-CN" w:bidi="ar"/>
              </w:rPr>
              <w:t>Lichide ambalate în bidoane din carton sau în bidoane prin canistre din materiale</w:t>
            </w:r>
          </w:p>
        </w:tc>
      </w:tr>
      <w:tr w:rsidR="001C08A5" w14:paraId="3AA07D18" w14:textId="77777777">
        <w:trPr>
          <w:trHeight w:val="1115"/>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F5D93FE"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403292C" w14:textId="77777777" w:rsidR="001C08A5" w:rsidRDefault="00000000">
            <w:pPr>
              <w:jc w:val="center"/>
              <w:rPr>
                <w:b/>
                <w:bCs/>
                <w:i/>
                <w:sz w:val="22"/>
                <w:szCs w:val="22"/>
              </w:rPr>
            </w:pPr>
            <w:r>
              <w:rPr>
                <w:b/>
                <w:bCs/>
                <w:i/>
                <w:sz w:val="22"/>
                <w:szCs w:val="22"/>
                <w:lang w:val="en-US" w:eastAsia="zh-CN" w:bidi="ar"/>
              </w:rPr>
              <w:t>F. Lichide combustibile cu temperaturi de inflamabilitate între 50- 100°C</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84F7C23" w14:textId="77777777" w:rsidR="001C08A5" w:rsidRDefault="00000000">
            <w:pPr>
              <w:rPr>
                <w:i/>
                <w:sz w:val="22"/>
                <w:szCs w:val="22"/>
              </w:rPr>
            </w:pPr>
            <w:r>
              <w:rPr>
                <w:i/>
                <w:sz w:val="22"/>
                <w:szCs w:val="22"/>
                <w:lang w:val="en-US" w:eastAsia="zh-CN" w:bidi="ar"/>
              </w:rPr>
              <w:t>în ambalaje incombustibile care pot fi introduse în cutii de carton</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C5A2DEB" w14:textId="77777777" w:rsidR="001C08A5" w:rsidRDefault="00000000">
            <w:pPr>
              <w:rPr>
                <w:i/>
                <w:sz w:val="22"/>
                <w:szCs w:val="22"/>
              </w:rPr>
            </w:pPr>
            <w:r>
              <w:rPr>
                <w:i/>
                <w:sz w:val="22"/>
                <w:szCs w:val="22"/>
                <w:lang w:val="en-US" w:eastAsia="zh-CN" w:bidi="ar"/>
              </w:rPr>
              <w:t>Carburanți Diesel; motorină; păcură; smoală; uleiuri pentru acționări hidraulice și de ungere; uleiuri minerale; cerneală tipografică, etc.</w:t>
            </w:r>
          </w:p>
        </w:tc>
      </w:tr>
      <w:tr w:rsidR="001C08A5" w14:paraId="1D3BCD6C" w14:textId="77777777">
        <w:trPr>
          <w:trHeight w:val="2438"/>
        </w:trPr>
        <w:tc>
          <w:tcPr>
            <w:tcW w:w="656"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9EBCAB3" w14:textId="77777777" w:rsidR="001C08A5" w:rsidRDefault="00000000">
            <w:pPr>
              <w:jc w:val="center"/>
              <w:rPr>
                <w:b/>
                <w:bCs/>
                <w:i/>
                <w:sz w:val="22"/>
                <w:szCs w:val="22"/>
              </w:rPr>
            </w:pPr>
            <w:r>
              <w:rPr>
                <w:b/>
                <w:bCs/>
                <w:i/>
                <w:sz w:val="22"/>
                <w:szCs w:val="22"/>
                <w:lang w:val="en-US" w:eastAsia="zh-CN" w:bidi="ar"/>
              </w:rPr>
              <w:t>P.5. Cu periculozitate deosebit de mare</w:t>
            </w: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5CC0BB9" w14:textId="77777777" w:rsidR="001C08A5" w:rsidRDefault="00000000">
            <w:pPr>
              <w:jc w:val="center"/>
              <w:rPr>
                <w:b/>
                <w:bCs/>
                <w:i/>
                <w:sz w:val="22"/>
                <w:szCs w:val="22"/>
              </w:rPr>
            </w:pPr>
            <w:r>
              <w:rPr>
                <w:b/>
                <w:bCs/>
                <w:i/>
                <w:sz w:val="22"/>
                <w:szCs w:val="22"/>
                <w:lang w:val="en-US" w:eastAsia="zh-CN" w:bidi="ar"/>
              </w:rPr>
              <w:t>A. Materiale instabile care se pot descompune exploziv la temperatură naturală. Materiale care pot exploda sub efectul încălzirii, frecării, loviturii sau al șocurilor de detonație. Obiecte pirotehnice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FEA71C1" w14:textId="77777777" w:rsidR="001C08A5" w:rsidRDefault="00000000">
            <w:pPr>
              <w:rPr>
                <w:i/>
                <w:sz w:val="22"/>
                <w:szCs w:val="22"/>
              </w:rPr>
            </w:pPr>
            <w:r>
              <w:rPr>
                <w:i/>
                <w:sz w:val="22"/>
                <w:szCs w:val="22"/>
                <w:lang w:val="en-US" w:eastAsia="zh-CN" w:bidi="ar"/>
              </w:rPr>
              <w:t>Indiferent de natura ambalajelor</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01ABFC6" w14:textId="77777777" w:rsidR="001C08A5" w:rsidRDefault="00000000">
            <w:pPr>
              <w:rPr>
                <w:i/>
                <w:sz w:val="22"/>
                <w:szCs w:val="22"/>
              </w:rPr>
            </w:pPr>
            <w:r>
              <w:rPr>
                <w:i/>
                <w:sz w:val="22"/>
                <w:szCs w:val="22"/>
                <w:lang w:val="en-US" w:eastAsia="zh-CN" w:bidi="ar"/>
              </w:rPr>
              <w:t xml:space="preserve">Acid acrilic, acid cianhidric acid percloric anhidru; apă oxigenată concentrată; clorat de amoniu; hidrazină anhidră; acetilenă; acetiluri (de argint, </w:t>
            </w:r>
            <w:proofErr w:type="gramStart"/>
            <w:r>
              <w:rPr>
                <w:i/>
                <w:sz w:val="22"/>
                <w:szCs w:val="22"/>
                <w:lang w:val="en-US" w:eastAsia="zh-CN" w:bidi="ar"/>
              </w:rPr>
              <w:t>cupru,etc.</w:t>
            </w:r>
            <w:proofErr w:type="gramEnd"/>
            <w:r>
              <w:rPr>
                <w:i/>
                <w:sz w:val="22"/>
                <w:szCs w:val="22"/>
                <w:lang w:val="en-US" w:eastAsia="zh-CN" w:bidi="ar"/>
              </w:rPr>
              <w:t>) anhidră cromică; azotat de amoniu sau potasiu, azoturi; bicromat de amoniu sau potasiu; bioxid de clor; hiroxilamina, nitroetan; nidroceluloză uscată; peroxii (de acetii, benoil zinc);chibrituri de fosfor aib; muniție explozivă sau incendiară, exploziv; corpuri pentru artificii, rachete, etc.</w:t>
            </w:r>
          </w:p>
        </w:tc>
      </w:tr>
      <w:tr w:rsidR="001C08A5" w14:paraId="6717E176" w14:textId="77777777">
        <w:trPr>
          <w:trHeight w:val="1185"/>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A446E72"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E4DD4D8" w14:textId="77777777" w:rsidR="001C08A5" w:rsidRDefault="00000000">
            <w:pPr>
              <w:jc w:val="center"/>
              <w:rPr>
                <w:b/>
                <w:bCs/>
                <w:i/>
                <w:sz w:val="22"/>
                <w:szCs w:val="22"/>
              </w:rPr>
            </w:pPr>
            <w:r>
              <w:rPr>
                <w:b/>
                <w:bCs/>
                <w:i/>
                <w:sz w:val="22"/>
                <w:szCs w:val="22"/>
                <w:lang w:val="en-US" w:eastAsia="zh-CN" w:bidi="ar"/>
              </w:rPr>
              <w:t>B. Materiale care la contactul cu alte materiale pot da naștere a reacții explozive sau se pot aprinde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AEB3C9C" w14:textId="77777777" w:rsidR="001C08A5" w:rsidRDefault="00000000">
            <w:pPr>
              <w:rPr>
                <w:i/>
                <w:sz w:val="22"/>
                <w:szCs w:val="22"/>
              </w:rPr>
            </w:pPr>
            <w:r>
              <w:rPr>
                <w:i/>
                <w:sz w:val="22"/>
                <w:szCs w:val="22"/>
                <w:lang w:val="en-US" w:eastAsia="zh-CN" w:bidi="ar"/>
              </w:rPr>
              <w:t>Indiferent de modul de ambalare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D80F3DA" w14:textId="77777777" w:rsidR="001C08A5" w:rsidRDefault="00000000">
            <w:pPr>
              <w:rPr>
                <w:i/>
                <w:sz w:val="22"/>
                <w:szCs w:val="22"/>
              </w:rPr>
            </w:pPr>
            <w:r>
              <w:rPr>
                <w:i/>
                <w:sz w:val="22"/>
                <w:szCs w:val="22"/>
                <w:lang w:val="en-US" w:eastAsia="zh-CN" w:bidi="ar"/>
              </w:rPr>
              <w:t>Acetonă, acid acetic, acid fluorhidric, anhidru, amoniac, etilendiamină; peroxizi de potasiu sau sodiu, etc.</w:t>
            </w:r>
          </w:p>
        </w:tc>
      </w:tr>
      <w:tr w:rsidR="001C08A5" w14:paraId="219CF452" w14:textId="77777777">
        <w:trPr>
          <w:trHeight w:val="969"/>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A3161F5"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387B1AB" w14:textId="77777777" w:rsidR="001C08A5" w:rsidRDefault="00000000">
            <w:pPr>
              <w:jc w:val="center"/>
              <w:rPr>
                <w:b/>
                <w:bCs/>
                <w:i/>
                <w:sz w:val="22"/>
                <w:szCs w:val="22"/>
              </w:rPr>
            </w:pPr>
            <w:r>
              <w:rPr>
                <w:b/>
                <w:bCs/>
                <w:i/>
                <w:sz w:val="22"/>
                <w:szCs w:val="22"/>
                <w:lang w:val="en-US" w:eastAsia="zh-CN" w:bidi="ar"/>
              </w:rPr>
              <w:t>C. Materiale susceptibile sa se autoaprindă</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7B7D9C5" w14:textId="77777777" w:rsidR="001C08A5" w:rsidRDefault="00000000">
            <w:pPr>
              <w:rPr>
                <w:i/>
                <w:sz w:val="22"/>
                <w:szCs w:val="22"/>
              </w:rPr>
            </w:pPr>
            <w:r>
              <w:rPr>
                <w:i/>
                <w:sz w:val="22"/>
                <w:szCs w:val="22"/>
                <w:lang w:val="en-US" w:eastAsia="zh-CN" w:bidi="ar"/>
              </w:rPr>
              <w:t>Indiferent de modul de ambalare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32A1CBB" w14:textId="77777777" w:rsidR="001C08A5" w:rsidRDefault="00000000">
            <w:pPr>
              <w:rPr>
                <w:i/>
                <w:sz w:val="22"/>
                <w:szCs w:val="22"/>
              </w:rPr>
            </w:pPr>
            <w:r>
              <w:rPr>
                <w:i/>
                <w:sz w:val="22"/>
                <w:szCs w:val="22"/>
                <w:lang w:val="en-US" w:eastAsia="zh-CN" w:bidi="ar"/>
              </w:rPr>
              <w:t>Carton asfaltat în rulori; cărbune bituminos; deșeuri de cauciuc sau lână; făină; de lucerna de peste; fosfor alb; îngrășăminte organice umede; mangal; semințe de in, etc.</w:t>
            </w:r>
          </w:p>
        </w:tc>
      </w:tr>
      <w:tr w:rsidR="001C08A5" w14:paraId="11F45578" w14:textId="77777777">
        <w:trPr>
          <w:trHeight w:val="1185"/>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D55C515"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E76818E" w14:textId="77777777" w:rsidR="001C08A5" w:rsidRDefault="00000000">
            <w:pPr>
              <w:jc w:val="center"/>
              <w:rPr>
                <w:b/>
                <w:bCs/>
                <w:i/>
                <w:sz w:val="22"/>
                <w:szCs w:val="22"/>
              </w:rPr>
            </w:pPr>
            <w:r>
              <w:rPr>
                <w:b/>
                <w:bCs/>
                <w:i/>
                <w:sz w:val="22"/>
                <w:szCs w:val="22"/>
                <w:lang w:val="en-US" w:eastAsia="zh-CN" w:bidi="ar"/>
              </w:rPr>
              <w:t>D. Substanțe oxidante capabile să inițieze aprinderea materialelor combustibile a contactul cu acestea.</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3551701" w14:textId="77777777" w:rsidR="001C08A5" w:rsidRDefault="00000000">
            <w:pPr>
              <w:rPr>
                <w:i/>
                <w:sz w:val="22"/>
                <w:szCs w:val="22"/>
              </w:rPr>
            </w:pPr>
            <w:r>
              <w:rPr>
                <w:i/>
                <w:sz w:val="22"/>
                <w:szCs w:val="22"/>
                <w:lang w:val="en-US" w:eastAsia="zh-CN" w:bidi="ar"/>
              </w:rPr>
              <w:t>Indiferent de modul de ambalare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26042EE" w14:textId="77777777" w:rsidR="001C08A5" w:rsidRDefault="00000000">
            <w:pPr>
              <w:rPr>
                <w:i/>
                <w:sz w:val="22"/>
                <w:szCs w:val="22"/>
              </w:rPr>
            </w:pPr>
            <w:r>
              <w:rPr>
                <w:i/>
                <w:sz w:val="22"/>
                <w:szCs w:val="22"/>
                <w:lang w:val="en-US" w:eastAsia="zh-CN" w:bidi="ar"/>
              </w:rPr>
              <w:t>Acid azotic, clorhidric, sulfuric; brom; clor; ierbicide; iod; salpetru (azotat de potasiu), etc.</w:t>
            </w:r>
          </w:p>
        </w:tc>
      </w:tr>
      <w:tr w:rsidR="001C08A5" w14:paraId="4D16FE47" w14:textId="77777777">
        <w:trPr>
          <w:trHeight w:val="1102"/>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57F8820"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89621EB" w14:textId="77777777" w:rsidR="001C08A5" w:rsidRDefault="00000000">
            <w:pPr>
              <w:jc w:val="center"/>
              <w:rPr>
                <w:b/>
                <w:bCs/>
                <w:i/>
                <w:sz w:val="22"/>
                <w:szCs w:val="22"/>
              </w:rPr>
            </w:pPr>
            <w:r>
              <w:rPr>
                <w:b/>
                <w:bCs/>
                <w:i/>
                <w:sz w:val="22"/>
                <w:szCs w:val="22"/>
                <w:lang w:val="en-US" w:eastAsia="zh-CN" w:bidi="ar"/>
              </w:rPr>
              <w:t>E. Materiale care sub efectul căldurii degajă cantități mari de gaze combustibile sau toxice.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2A01C98" w14:textId="77777777" w:rsidR="001C08A5" w:rsidRDefault="00000000">
            <w:pPr>
              <w:rPr>
                <w:i/>
                <w:sz w:val="22"/>
                <w:szCs w:val="22"/>
              </w:rPr>
            </w:pPr>
            <w:r>
              <w:rPr>
                <w:i/>
                <w:sz w:val="22"/>
                <w:szCs w:val="22"/>
                <w:lang w:val="en-US" w:eastAsia="zh-CN" w:bidi="ar"/>
              </w:rPr>
              <w:t>Indiferent de modul de ambalare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375E676" w14:textId="77777777" w:rsidR="001C08A5" w:rsidRDefault="00000000">
            <w:pPr>
              <w:rPr>
                <w:i/>
                <w:sz w:val="22"/>
                <w:szCs w:val="22"/>
              </w:rPr>
            </w:pPr>
            <w:r>
              <w:rPr>
                <w:i/>
                <w:sz w:val="22"/>
                <w:szCs w:val="22"/>
                <w:lang w:val="en-US" w:eastAsia="zh-CN" w:bidi="ar"/>
              </w:rPr>
              <w:t>Acrilonitril; alcaloizi; amine; acetonă; anilină; cloroform; clorură de metil; esteri; iod; iodați; piridină; tetrabrommetan; acetat de plumb, butadienă; fosfor; sulfat de metil, etc.</w:t>
            </w:r>
          </w:p>
        </w:tc>
      </w:tr>
      <w:tr w:rsidR="001C08A5" w14:paraId="623B72D0" w14:textId="77777777">
        <w:trPr>
          <w:trHeight w:val="1571"/>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625D997"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51929A1" w14:textId="77777777" w:rsidR="001C08A5" w:rsidRDefault="00000000">
            <w:pPr>
              <w:jc w:val="center"/>
              <w:rPr>
                <w:b/>
                <w:bCs/>
                <w:i/>
                <w:sz w:val="22"/>
                <w:szCs w:val="22"/>
              </w:rPr>
            </w:pPr>
            <w:r>
              <w:rPr>
                <w:b/>
                <w:bCs/>
                <w:i/>
                <w:sz w:val="22"/>
                <w:szCs w:val="22"/>
                <w:lang w:val="en-US" w:eastAsia="zh-CN" w:bidi="ar"/>
              </w:rPr>
              <w:t>F. Materiale care în contact cu apa se aprind, degajă temperaturi capabile să aprindă materialele combustibile din imediata vecinătate sau degajă gaze combustibile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15EF308" w14:textId="77777777" w:rsidR="001C08A5" w:rsidRDefault="00000000">
            <w:pPr>
              <w:rPr>
                <w:i/>
                <w:sz w:val="22"/>
                <w:szCs w:val="22"/>
              </w:rPr>
            </w:pPr>
            <w:r>
              <w:rPr>
                <w:i/>
                <w:sz w:val="22"/>
                <w:szCs w:val="22"/>
                <w:lang w:val="en-US" w:eastAsia="zh-CN" w:bidi="ar"/>
              </w:rPr>
              <w:t>Indiferent de modul de ambalare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29E6954" w14:textId="77777777" w:rsidR="001C08A5" w:rsidRDefault="00000000">
            <w:pPr>
              <w:rPr>
                <w:i/>
                <w:sz w:val="22"/>
                <w:szCs w:val="22"/>
              </w:rPr>
            </w:pPr>
            <w:r>
              <w:rPr>
                <w:i/>
                <w:sz w:val="22"/>
                <w:szCs w:val="22"/>
                <w:lang w:val="en-US" w:eastAsia="zh-CN" w:bidi="ar"/>
              </w:rPr>
              <w:t>Amidă alcalină; amestecuri aluminotermice; bariu; calciu; carbură de calciu (carbid); hidroxid de calciu (var nestins); hidrură de aluminiu, calciu, etc. magneziu metalic sau aliaje cu conținut mai mare de 30% (masa de magneziu); potasiu metalic, sodiu metalic; plutoniu, titan, uraniu, zinc pulverulent.</w:t>
            </w:r>
          </w:p>
        </w:tc>
      </w:tr>
      <w:tr w:rsidR="001C08A5" w14:paraId="4EE79262" w14:textId="77777777">
        <w:trPr>
          <w:trHeight w:val="589"/>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DB0715A"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4F950BB" w14:textId="77777777" w:rsidR="001C08A5" w:rsidRDefault="00000000">
            <w:pPr>
              <w:jc w:val="center"/>
              <w:rPr>
                <w:b/>
                <w:bCs/>
                <w:i/>
                <w:sz w:val="22"/>
                <w:szCs w:val="22"/>
              </w:rPr>
            </w:pPr>
            <w:r>
              <w:rPr>
                <w:b/>
                <w:bCs/>
                <w:i/>
                <w:sz w:val="22"/>
                <w:szCs w:val="22"/>
                <w:lang w:val="en-US" w:eastAsia="zh-CN" w:bidi="ar"/>
              </w:rPr>
              <w:t>G. Recipienți cu gaze comprimate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B9AD0E7" w14:textId="77777777" w:rsidR="001C08A5" w:rsidRDefault="00000000">
            <w:pPr>
              <w:rPr>
                <w:i/>
                <w:sz w:val="22"/>
                <w:szCs w:val="22"/>
              </w:rPr>
            </w:pPr>
            <w:r>
              <w:rPr>
                <w:i/>
                <w:sz w:val="22"/>
                <w:szCs w:val="22"/>
                <w:lang w:val="en-US" w:eastAsia="zh-CN" w:bidi="ar"/>
              </w:rPr>
              <w:t>Indiferent de modul de ambalare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D4D05E2" w14:textId="77777777" w:rsidR="001C08A5" w:rsidRDefault="00000000">
            <w:pPr>
              <w:rPr>
                <w:i/>
                <w:sz w:val="22"/>
                <w:szCs w:val="22"/>
              </w:rPr>
            </w:pPr>
            <w:r>
              <w:rPr>
                <w:i/>
                <w:sz w:val="22"/>
                <w:szCs w:val="22"/>
                <w:lang w:val="en-US" w:eastAsia="zh-CN" w:bidi="ar"/>
              </w:rPr>
              <w:t>Recipienți ficși sau transporabile cu gaze sub presiune; recipienți de tip "Spray", etc.</w:t>
            </w:r>
          </w:p>
        </w:tc>
      </w:tr>
      <w:tr w:rsidR="001C08A5" w14:paraId="5969A654" w14:textId="77777777">
        <w:trPr>
          <w:trHeight w:val="2594"/>
        </w:trPr>
        <w:tc>
          <w:tcPr>
            <w:tcW w:w="656"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4E786EE" w14:textId="77777777" w:rsidR="001C08A5" w:rsidRDefault="001C08A5">
            <w:pPr>
              <w:jc w:val="center"/>
              <w:rPr>
                <w:b/>
                <w:bCs/>
                <w:i/>
                <w:sz w:val="22"/>
                <w:szCs w:val="22"/>
              </w:rPr>
            </w:pPr>
          </w:p>
        </w:tc>
        <w:tc>
          <w:tcPr>
            <w:tcW w:w="1286"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1301D51" w14:textId="77777777" w:rsidR="001C08A5" w:rsidRDefault="00000000">
            <w:pPr>
              <w:jc w:val="center"/>
              <w:rPr>
                <w:b/>
                <w:bCs/>
                <w:i/>
                <w:sz w:val="22"/>
                <w:szCs w:val="22"/>
              </w:rPr>
            </w:pPr>
            <w:r>
              <w:rPr>
                <w:b/>
                <w:bCs/>
                <w:i/>
                <w:sz w:val="22"/>
                <w:szCs w:val="22"/>
                <w:lang w:val="en-US" w:eastAsia="zh-CN" w:bidi="ar"/>
              </w:rPr>
              <w:t>H. Substanțe materiale solide care au o putere calorifică mai mare de 33,6 MJ/Kg sau caracterizate printr-o ardere deosebit de intensă. Lichide combustibile cu temperatura de inflamabilitate mai mică de 55°C. Gaze combustibile</w:t>
            </w:r>
          </w:p>
        </w:tc>
        <w:tc>
          <w:tcPr>
            <w:tcW w:w="88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DE1A9DC" w14:textId="77777777" w:rsidR="001C08A5" w:rsidRDefault="00000000">
            <w:pPr>
              <w:rPr>
                <w:i/>
                <w:sz w:val="22"/>
                <w:szCs w:val="22"/>
              </w:rPr>
            </w:pPr>
            <w:r>
              <w:rPr>
                <w:i/>
                <w:sz w:val="22"/>
                <w:szCs w:val="22"/>
                <w:lang w:val="en-US" w:eastAsia="zh-CN" w:bidi="ar"/>
              </w:rPr>
              <w:t>Indiferent de modul de ambalare</w:t>
            </w:r>
          </w:p>
        </w:tc>
        <w:tc>
          <w:tcPr>
            <w:tcW w:w="2168"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53E12F2" w14:textId="77777777" w:rsidR="001C08A5" w:rsidRDefault="00000000">
            <w:pPr>
              <w:rPr>
                <w:i/>
                <w:sz w:val="22"/>
                <w:szCs w:val="22"/>
              </w:rPr>
            </w:pPr>
            <w:r>
              <w:rPr>
                <w:i/>
                <w:sz w:val="22"/>
                <w:szCs w:val="22"/>
                <w:lang w:val="en-US" w:eastAsia="zh-CN" w:bidi="ar"/>
              </w:rPr>
              <w:t>Celuloid și obiecte din celuloid; peliculă pe bază de nitroceluloză; peroxilină; bicromat de sodiu; clorați (de calciu potasiu, bariu, etc); permanganat de sodiu, calciu sau zinc; proxizi de potasiu, sodiu, plumb; petrol lampant; benzină; sulfura de carbon, toluen; țiței, acetonă, gazolină, alcool etilic, etc. Propan, butan, propilenă, hidrogen, butadienă, gaz de ifurnal, metan, etc.</w:t>
            </w:r>
          </w:p>
        </w:tc>
      </w:tr>
    </w:tbl>
    <w:p w14:paraId="451ECB3E" w14:textId="77777777" w:rsidR="001C08A5" w:rsidRDefault="001C08A5">
      <w:pPr>
        <w:shd w:val="clear" w:color="auto" w:fill="FFFFFF"/>
        <w:spacing w:after="150"/>
        <w:jc w:val="both"/>
        <w:rPr>
          <w:rFonts w:eastAsia="Calibri"/>
          <w:b/>
          <w:i/>
          <w:sz w:val="24"/>
          <w:szCs w:val="24"/>
          <w:shd w:val="clear" w:color="auto" w:fill="FFFFFF"/>
        </w:rPr>
      </w:pPr>
    </w:p>
    <w:p w14:paraId="4967E47C"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6.2.20.</w:t>
      </w:r>
      <w:r>
        <w:rPr>
          <w:rFonts w:eastAsia="Calibri"/>
          <w:i/>
          <w:sz w:val="24"/>
          <w:szCs w:val="24"/>
          <w:shd w:val="clear" w:color="auto" w:fill="FFFFFF"/>
        </w:rPr>
        <w:t xml:space="preserve"> Lichidele combustibile se încadrează în clase de reacție la foc, în funcție de temperatura de inflamabilitate a vaporilor acestora,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_Ref18427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172</w:t>
      </w:r>
      <w:r>
        <w:rPr>
          <w:rFonts w:eastAsia="Calibri"/>
          <w:b/>
          <w:bCs/>
          <w:i/>
          <w:iCs/>
          <w:sz w:val="24"/>
          <w:szCs w:val="24"/>
          <w:shd w:val="clear" w:color="auto" w:fill="FFFFFF"/>
        </w:rPr>
        <w:fldChar w:fldCharType="end"/>
      </w:r>
      <w:r>
        <w:rPr>
          <w:b/>
          <w:i/>
          <w:sz w:val="24"/>
          <w:szCs w:val="24"/>
        </w:rPr>
        <w:t>.</w:t>
      </w:r>
    </w:p>
    <w:p w14:paraId="31B55685" w14:textId="77777777" w:rsidR="001C08A5" w:rsidRDefault="00000000">
      <w:pPr>
        <w:pStyle w:val="Caption"/>
        <w:shd w:val="clear" w:color="auto" w:fill="FFFFFF"/>
        <w:spacing w:before="0" w:after="150"/>
        <w:jc w:val="both"/>
        <w:rPr>
          <w:rFonts w:cs="Times New Roman"/>
        </w:rPr>
      </w:pPr>
      <w:bookmarkStart w:id="11428" w:name="_Ref18427"/>
      <w:bookmarkStart w:id="11429" w:name="_Toc162360222"/>
      <w:r>
        <w:t xml:space="preserve">Tabelul </w:t>
      </w:r>
      <w:r>
        <w:fldChar w:fldCharType="begin"/>
      </w:r>
      <w:r>
        <w:instrText xml:space="preserve"> SEQ Tabelul \* ARABIC </w:instrText>
      </w:r>
      <w:r>
        <w:fldChar w:fldCharType="separate"/>
      </w:r>
      <w:r>
        <w:t>172</w:t>
      </w:r>
      <w:r>
        <w:fldChar w:fldCharType="end"/>
      </w:r>
      <w:bookmarkStart w:id="11430" w:name="_Toc7006"/>
      <w:bookmarkStart w:id="11431" w:name="_Toc27984"/>
      <w:bookmarkStart w:id="11432" w:name="_Toc13268"/>
      <w:bookmarkStart w:id="11433" w:name="_Toc6578"/>
      <w:bookmarkStart w:id="11434" w:name="_Toc4826"/>
      <w:bookmarkStart w:id="11435" w:name="_Toc18700"/>
      <w:bookmarkStart w:id="11436" w:name="_Toc4807"/>
      <w:bookmarkStart w:id="11437" w:name="_Toc3236"/>
      <w:bookmarkStart w:id="11438" w:name="_Toc5930"/>
      <w:bookmarkStart w:id="11439" w:name="_Toc7045"/>
      <w:bookmarkStart w:id="11440" w:name="_Toc13167"/>
      <w:bookmarkEnd w:id="11428"/>
      <w:r>
        <w:t>: Clase de reacție la foc a lichidelor combustibile pentru construcții existente și compartimente de incendiu ale construcțiilor existente de producție și/sau depozitare</w:t>
      </w:r>
      <w:bookmarkEnd w:id="11429"/>
      <w:bookmarkEnd w:id="11430"/>
      <w:bookmarkEnd w:id="11431"/>
      <w:bookmarkEnd w:id="11432"/>
      <w:bookmarkEnd w:id="11433"/>
      <w:bookmarkEnd w:id="11434"/>
      <w:bookmarkEnd w:id="11435"/>
      <w:bookmarkEnd w:id="11436"/>
      <w:bookmarkEnd w:id="11437"/>
      <w:bookmarkEnd w:id="11438"/>
      <w:bookmarkEnd w:id="11439"/>
      <w:bookmarkEnd w:id="11440"/>
    </w:p>
    <w:tbl>
      <w:tblPr>
        <w:tblW w:w="8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26"/>
        <w:gridCol w:w="1034"/>
        <w:gridCol w:w="1167"/>
        <w:gridCol w:w="1424"/>
        <w:gridCol w:w="1040"/>
      </w:tblGrid>
      <w:tr w:rsidR="001C08A5" w14:paraId="680AA8E2" w14:textId="77777777">
        <w:trPr>
          <w:trHeight w:val="630"/>
          <w:jc w:val="center"/>
        </w:trPr>
        <w:tc>
          <w:tcPr>
            <w:tcW w:w="3526" w:type="dxa"/>
            <w:tcMar>
              <w:top w:w="0" w:type="dxa"/>
              <w:left w:w="0" w:type="dxa"/>
              <w:bottom w:w="0" w:type="dxa"/>
              <w:right w:w="0" w:type="dxa"/>
            </w:tcMar>
          </w:tcPr>
          <w:p w14:paraId="14C4EE42" w14:textId="77777777" w:rsidR="001C08A5" w:rsidRDefault="00000000">
            <w:pPr>
              <w:jc w:val="center"/>
              <w:rPr>
                <w:i/>
                <w:sz w:val="22"/>
                <w:szCs w:val="22"/>
              </w:rPr>
            </w:pPr>
            <w:r>
              <w:rPr>
                <w:i/>
                <w:sz w:val="22"/>
                <w:szCs w:val="22"/>
                <w:lang w:val="en-US" w:eastAsia="zh-CN" w:bidi="ar"/>
              </w:rPr>
              <w:t>Temperatura de inflamabilitate a vaporilor t1, (°C)</w:t>
            </w:r>
          </w:p>
        </w:tc>
        <w:tc>
          <w:tcPr>
            <w:tcW w:w="1034" w:type="dxa"/>
            <w:tcMar>
              <w:top w:w="0" w:type="dxa"/>
              <w:left w:w="0" w:type="dxa"/>
              <w:bottom w:w="0" w:type="dxa"/>
              <w:right w:w="0" w:type="dxa"/>
            </w:tcMar>
          </w:tcPr>
          <w:p w14:paraId="61F50775" w14:textId="77777777" w:rsidR="001C08A5" w:rsidRDefault="00000000">
            <w:pPr>
              <w:jc w:val="center"/>
              <w:rPr>
                <w:i/>
                <w:sz w:val="22"/>
                <w:szCs w:val="22"/>
              </w:rPr>
            </w:pPr>
            <w:r>
              <w:rPr>
                <w:i/>
                <w:sz w:val="22"/>
                <w:szCs w:val="22"/>
                <w:lang w:val="en-US" w:eastAsia="zh-CN" w:bidi="ar"/>
              </w:rPr>
              <w:t>≤ 28°C</w:t>
            </w:r>
          </w:p>
        </w:tc>
        <w:tc>
          <w:tcPr>
            <w:tcW w:w="1167" w:type="dxa"/>
            <w:tcMar>
              <w:top w:w="0" w:type="dxa"/>
              <w:left w:w="0" w:type="dxa"/>
              <w:bottom w:w="0" w:type="dxa"/>
              <w:right w:w="0" w:type="dxa"/>
            </w:tcMar>
          </w:tcPr>
          <w:p w14:paraId="102BF729" w14:textId="77777777" w:rsidR="001C08A5" w:rsidRDefault="00000000">
            <w:pPr>
              <w:jc w:val="center"/>
              <w:rPr>
                <w:i/>
                <w:sz w:val="22"/>
                <w:szCs w:val="22"/>
              </w:rPr>
            </w:pPr>
            <w:r>
              <w:rPr>
                <w:i/>
                <w:sz w:val="22"/>
                <w:szCs w:val="22"/>
                <w:lang w:val="en-US" w:eastAsia="zh-CN" w:bidi="ar"/>
              </w:rPr>
              <w:t>28ºC÷ 55°C</w:t>
            </w:r>
          </w:p>
        </w:tc>
        <w:tc>
          <w:tcPr>
            <w:tcW w:w="1424" w:type="dxa"/>
            <w:tcMar>
              <w:top w:w="0" w:type="dxa"/>
              <w:left w:w="0" w:type="dxa"/>
              <w:bottom w:w="0" w:type="dxa"/>
              <w:right w:w="0" w:type="dxa"/>
            </w:tcMar>
          </w:tcPr>
          <w:p w14:paraId="01B5A9B4" w14:textId="77777777" w:rsidR="001C08A5" w:rsidRDefault="00000000">
            <w:pPr>
              <w:jc w:val="center"/>
              <w:rPr>
                <w:i/>
                <w:sz w:val="22"/>
                <w:szCs w:val="22"/>
              </w:rPr>
            </w:pPr>
            <w:r>
              <w:rPr>
                <w:i/>
                <w:sz w:val="22"/>
                <w:szCs w:val="22"/>
                <w:lang w:val="en-US" w:eastAsia="zh-CN" w:bidi="ar"/>
              </w:rPr>
              <w:t>55°C÷ 100°C</w:t>
            </w:r>
          </w:p>
        </w:tc>
        <w:tc>
          <w:tcPr>
            <w:tcW w:w="1040" w:type="dxa"/>
            <w:tcMar>
              <w:top w:w="0" w:type="dxa"/>
              <w:left w:w="0" w:type="dxa"/>
              <w:bottom w:w="0" w:type="dxa"/>
              <w:right w:w="0" w:type="dxa"/>
            </w:tcMar>
          </w:tcPr>
          <w:p w14:paraId="313C0EA5" w14:textId="77777777" w:rsidR="001C08A5" w:rsidRDefault="00000000">
            <w:pPr>
              <w:jc w:val="center"/>
              <w:rPr>
                <w:i/>
                <w:sz w:val="22"/>
                <w:szCs w:val="22"/>
              </w:rPr>
            </w:pPr>
            <w:r>
              <w:rPr>
                <w:i/>
                <w:sz w:val="22"/>
                <w:szCs w:val="22"/>
                <w:lang w:val="en-US" w:eastAsia="zh-CN" w:bidi="ar"/>
              </w:rPr>
              <w:t>&gt; 100°C</w:t>
            </w:r>
          </w:p>
        </w:tc>
      </w:tr>
      <w:tr w:rsidR="001C08A5" w14:paraId="21615734" w14:textId="77777777">
        <w:trPr>
          <w:trHeight w:val="570"/>
          <w:jc w:val="center"/>
        </w:trPr>
        <w:tc>
          <w:tcPr>
            <w:tcW w:w="3526" w:type="dxa"/>
            <w:tcMar>
              <w:top w:w="0" w:type="dxa"/>
              <w:left w:w="0" w:type="dxa"/>
              <w:bottom w:w="0" w:type="dxa"/>
              <w:right w:w="0" w:type="dxa"/>
            </w:tcMar>
          </w:tcPr>
          <w:p w14:paraId="7BFDC7E1" w14:textId="77777777" w:rsidR="001C08A5" w:rsidRDefault="00000000">
            <w:pPr>
              <w:jc w:val="center"/>
              <w:rPr>
                <w:i/>
                <w:sz w:val="22"/>
                <w:szCs w:val="22"/>
              </w:rPr>
            </w:pPr>
            <w:r>
              <w:rPr>
                <w:i/>
                <w:sz w:val="22"/>
                <w:szCs w:val="22"/>
                <w:lang w:val="en-US" w:eastAsia="zh-CN" w:bidi="ar"/>
              </w:rPr>
              <w:t xml:space="preserve">Clasa de </w:t>
            </w:r>
            <w:r>
              <w:rPr>
                <w:i/>
                <w:sz w:val="22"/>
                <w:szCs w:val="22"/>
                <w:lang w:eastAsia="zh-CN" w:bidi="ar"/>
              </w:rPr>
              <w:t>reacție la foc</w:t>
            </w:r>
            <w:r>
              <w:rPr>
                <w:i/>
                <w:sz w:val="22"/>
                <w:szCs w:val="22"/>
                <w:lang w:val="en-US" w:eastAsia="zh-CN" w:bidi="ar"/>
              </w:rPr>
              <w:t xml:space="preserve"> a lichidelor</w:t>
            </w:r>
          </w:p>
        </w:tc>
        <w:tc>
          <w:tcPr>
            <w:tcW w:w="1034" w:type="dxa"/>
            <w:tcMar>
              <w:top w:w="0" w:type="dxa"/>
              <w:left w:w="0" w:type="dxa"/>
              <w:bottom w:w="0" w:type="dxa"/>
              <w:right w:w="0" w:type="dxa"/>
            </w:tcMar>
          </w:tcPr>
          <w:p w14:paraId="51EA0483" w14:textId="77777777" w:rsidR="001C08A5" w:rsidRDefault="00000000">
            <w:pPr>
              <w:jc w:val="center"/>
              <w:rPr>
                <w:b/>
                <w:bCs/>
                <w:i/>
                <w:sz w:val="22"/>
                <w:szCs w:val="22"/>
              </w:rPr>
            </w:pPr>
            <w:r>
              <w:rPr>
                <w:b/>
                <w:bCs/>
                <w:i/>
                <w:sz w:val="22"/>
                <w:szCs w:val="22"/>
                <w:lang w:val="en-US" w:eastAsia="zh-CN" w:bidi="ar"/>
              </w:rPr>
              <w:t>L I</w:t>
            </w:r>
          </w:p>
        </w:tc>
        <w:tc>
          <w:tcPr>
            <w:tcW w:w="1167" w:type="dxa"/>
            <w:tcMar>
              <w:top w:w="0" w:type="dxa"/>
              <w:left w:w="0" w:type="dxa"/>
              <w:bottom w:w="0" w:type="dxa"/>
              <w:right w:w="0" w:type="dxa"/>
            </w:tcMar>
          </w:tcPr>
          <w:p w14:paraId="19BC0682" w14:textId="77777777" w:rsidR="001C08A5" w:rsidRDefault="00000000">
            <w:pPr>
              <w:jc w:val="center"/>
              <w:rPr>
                <w:b/>
                <w:bCs/>
                <w:i/>
                <w:sz w:val="22"/>
                <w:szCs w:val="22"/>
              </w:rPr>
            </w:pPr>
            <w:r>
              <w:rPr>
                <w:b/>
                <w:bCs/>
                <w:i/>
                <w:sz w:val="22"/>
                <w:szCs w:val="22"/>
                <w:lang w:val="en-US" w:eastAsia="zh-CN" w:bidi="ar"/>
              </w:rPr>
              <w:t>L II</w:t>
            </w:r>
          </w:p>
        </w:tc>
        <w:tc>
          <w:tcPr>
            <w:tcW w:w="1424" w:type="dxa"/>
            <w:tcMar>
              <w:top w:w="0" w:type="dxa"/>
              <w:left w:w="0" w:type="dxa"/>
              <w:bottom w:w="0" w:type="dxa"/>
              <w:right w:w="0" w:type="dxa"/>
            </w:tcMar>
          </w:tcPr>
          <w:p w14:paraId="5D5278CD" w14:textId="77777777" w:rsidR="001C08A5" w:rsidRDefault="00000000">
            <w:pPr>
              <w:jc w:val="center"/>
              <w:rPr>
                <w:b/>
                <w:bCs/>
                <w:i/>
                <w:sz w:val="22"/>
                <w:szCs w:val="22"/>
              </w:rPr>
            </w:pPr>
            <w:r>
              <w:rPr>
                <w:b/>
                <w:bCs/>
                <w:i/>
                <w:sz w:val="22"/>
                <w:szCs w:val="22"/>
                <w:lang w:val="en-US" w:eastAsia="zh-CN" w:bidi="ar"/>
              </w:rPr>
              <w:t>L III</w:t>
            </w:r>
          </w:p>
        </w:tc>
        <w:tc>
          <w:tcPr>
            <w:tcW w:w="1040" w:type="dxa"/>
            <w:tcMar>
              <w:top w:w="0" w:type="dxa"/>
              <w:left w:w="0" w:type="dxa"/>
              <w:bottom w:w="0" w:type="dxa"/>
              <w:right w:w="0" w:type="dxa"/>
            </w:tcMar>
          </w:tcPr>
          <w:p w14:paraId="3FF12691" w14:textId="77777777" w:rsidR="001C08A5" w:rsidRDefault="00000000">
            <w:pPr>
              <w:jc w:val="center"/>
              <w:rPr>
                <w:b/>
                <w:bCs/>
                <w:i/>
                <w:sz w:val="22"/>
                <w:szCs w:val="22"/>
              </w:rPr>
            </w:pPr>
            <w:r>
              <w:rPr>
                <w:b/>
                <w:bCs/>
                <w:i/>
                <w:sz w:val="22"/>
                <w:szCs w:val="22"/>
                <w:lang w:val="en-US" w:eastAsia="zh-CN" w:bidi="ar"/>
              </w:rPr>
              <w:t>L IV</w:t>
            </w:r>
          </w:p>
        </w:tc>
      </w:tr>
    </w:tbl>
    <w:p w14:paraId="2E5B2728" w14:textId="77777777" w:rsidR="001C08A5" w:rsidRDefault="001C08A5">
      <w:pPr>
        <w:shd w:val="clear" w:color="auto" w:fill="FFFFFF"/>
        <w:spacing w:after="150"/>
        <w:jc w:val="both"/>
        <w:rPr>
          <w:rFonts w:eastAsia="Calibri"/>
          <w:b/>
          <w:i/>
          <w:sz w:val="24"/>
          <w:szCs w:val="24"/>
          <w:shd w:val="clear" w:color="auto" w:fill="FFFFFF"/>
        </w:rPr>
      </w:pPr>
    </w:p>
    <w:p w14:paraId="79F9E505"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6.2.21.</w:t>
      </w:r>
      <w:r>
        <w:rPr>
          <w:rFonts w:eastAsia="Calibri"/>
          <w:i/>
          <w:sz w:val="24"/>
          <w:szCs w:val="24"/>
          <w:shd w:val="clear" w:color="auto" w:fill="FFFFFF"/>
        </w:rPr>
        <w:t xml:space="preserve"> În funcție de capacitatea de depozitare și clasa de periculozitate a lichidelor combustibile stocate, categoriile depozitelor de lichide combustibile, se stabilesc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_Ref18535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173</w:t>
      </w:r>
      <w:r>
        <w:rPr>
          <w:rFonts w:eastAsia="Calibri"/>
          <w:b/>
          <w:bCs/>
          <w:i/>
          <w:iCs/>
          <w:sz w:val="24"/>
          <w:szCs w:val="24"/>
          <w:shd w:val="clear" w:color="auto" w:fill="FFFFFF"/>
        </w:rPr>
        <w:fldChar w:fldCharType="end"/>
      </w:r>
      <w:r>
        <w:rPr>
          <w:rFonts w:eastAsia="Calibri"/>
          <w:i/>
          <w:sz w:val="24"/>
          <w:szCs w:val="24"/>
          <w:shd w:val="clear" w:color="auto" w:fill="FFFFFF"/>
        </w:rPr>
        <w:t>.</w:t>
      </w:r>
    </w:p>
    <w:p w14:paraId="02D3F991" w14:textId="77777777" w:rsidR="001C08A5" w:rsidRDefault="00000000">
      <w:pPr>
        <w:pStyle w:val="Caption"/>
        <w:shd w:val="clear" w:color="auto" w:fill="FFFFFF"/>
        <w:spacing w:before="0" w:after="150"/>
        <w:jc w:val="both"/>
      </w:pPr>
      <w:bookmarkStart w:id="11441" w:name="_Ref18535"/>
      <w:bookmarkStart w:id="11442" w:name="_Toc162360223"/>
      <w:r>
        <w:t xml:space="preserve">Tabelul </w:t>
      </w:r>
      <w:r>
        <w:fldChar w:fldCharType="begin"/>
      </w:r>
      <w:r>
        <w:instrText xml:space="preserve"> SEQ Tabelul \* ARABIC </w:instrText>
      </w:r>
      <w:r>
        <w:fldChar w:fldCharType="separate"/>
      </w:r>
      <w:r>
        <w:t>173</w:t>
      </w:r>
      <w:r>
        <w:fldChar w:fldCharType="end"/>
      </w:r>
      <w:bookmarkStart w:id="11443" w:name="_Toc17713"/>
      <w:bookmarkStart w:id="11444" w:name="_Toc29418"/>
      <w:bookmarkStart w:id="11445" w:name="_Toc17273"/>
      <w:bookmarkStart w:id="11446" w:name="_Toc24636"/>
      <w:bookmarkStart w:id="11447" w:name="_Toc810"/>
      <w:bookmarkStart w:id="11448" w:name="_Toc115"/>
      <w:bookmarkStart w:id="11449" w:name="_Toc15911"/>
      <w:bookmarkStart w:id="11450" w:name="_Toc30087"/>
      <w:bookmarkStart w:id="11451" w:name="_Toc28761"/>
      <w:bookmarkStart w:id="11452" w:name="_Toc28839"/>
      <w:bookmarkStart w:id="11453" w:name="_Toc13206"/>
      <w:bookmarkEnd w:id="11441"/>
      <w:r>
        <w:t>: Categorii de depozite de lichide combustibile pentru construcții existente , compartimente de incendiu ale construcțiilor existente și încăperi existente de depozitare a a lichidelor combustibile stocate</w:t>
      </w:r>
      <w:bookmarkEnd w:id="11442"/>
      <w:bookmarkEnd w:id="11443"/>
      <w:bookmarkEnd w:id="11444"/>
      <w:bookmarkEnd w:id="11445"/>
      <w:bookmarkEnd w:id="11446"/>
      <w:bookmarkEnd w:id="11447"/>
      <w:bookmarkEnd w:id="11448"/>
      <w:bookmarkEnd w:id="11449"/>
      <w:bookmarkEnd w:id="11450"/>
      <w:bookmarkEnd w:id="11451"/>
      <w:bookmarkEnd w:id="11452"/>
      <w:bookmarkEnd w:id="11453"/>
    </w:p>
    <w:tbl>
      <w:tblPr>
        <w:tblW w:w="6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99"/>
        <w:gridCol w:w="1776"/>
        <w:gridCol w:w="1777"/>
        <w:gridCol w:w="1849"/>
      </w:tblGrid>
      <w:tr w:rsidR="001C08A5" w14:paraId="4AD3C758" w14:textId="77777777">
        <w:trPr>
          <w:trHeight w:val="345"/>
          <w:jc w:val="center"/>
        </w:trPr>
        <w:tc>
          <w:tcPr>
            <w:tcW w:w="1399" w:type="dxa"/>
            <w:vMerge w:val="restart"/>
            <w:tcMar>
              <w:top w:w="0" w:type="dxa"/>
              <w:left w:w="0" w:type="dxa"/>
              <w:bottom w:w="0" w:type="dxa"/>
              <w:right w:w="0" w:type="dxa"/>
            </w:tcMar>
          </w:tcPr>
          <w:p w14:paraId="1919CFD3" w14:textId="77777777" w:rsidR="001C08A5" w:rsidRDefault="00000000">
            <w:pPr>
              <w:jc w:val="center"/>
              <w:rPr>
                <w:b/>
                <w:bCs/>
                <w:i/>
                <w:sz w:val="22"/>
                <w:szCs w:val="22"/>
              </w:rPr>
            </w:pPr>
            <w:r>
              <w:rPr>
                <w:b/>
                <w:bCs/>
                <w:i/>
                <w:sz w:val="22"/>
                <w:szCs w:val="22"/>
                <w:lang w:val="en-US" w:eastAsia="zh-CN" w:bidi="ar"/>
              </w:rPr>
              <w:t>Categoria depozitului</w:t>
            </w:r>
          </w:p>
        </w:tc>
        <w:tc>
          <w:tcPr>
            <w:tcW w:w="1776" w:type="dxa"/>
            <w:tcMar>
              <w:top w:w="0" w:type="dxa"/>
              <w:left w:w="0" w:type="dxa"/>
              <w:bottom w:w="0" w:type="dxa"/>
              <w:right w:w="0" w:type="dxa"/>
            </w:tcMar>
          </w:tcPr>
          <w:p w14:paraId="0E468236" w14:textId="77777777" w:rsidR="001C08A5" w:rsidRDefault="001C08A5">
            <w:pPr>
              <w:jc w:val="center"/>
              <w:rPr>
                <w:b/>
                <w:bCs/>
                <w:i/>
                <w:sz w:val="22"/>
                <w:szCs w:val="22"/>
                <w:lang w:val="en-US" w:eastAsia="zh-CN" w:bidi="ar"/>
              </w:rPr>
            </w:pPr>
          </w:p>
        </w:tc>
        <w:tc>
          <w:tcPr>
            <w:tcW w:w="3626" w:type="dxa"/>
            <w:gridSpan w:val="2"/>
            <w:tcMar>
              <w:top w:w="0" w:type="dxa"/>
              <w:left w:w="0" w:type="dxa"/>
              <w:bottom w:w="0" w:type="dxa"/>
              <w:right w:w="0" w:type="dxa"/>
            </w:tcMar>
          </w:tcPr>
          <w:p w14:paraId="41FE10B5" w14:textId="77777777" w:rsidR="001C08A5" w:rsidRDefault="00000000">
            <w:pPr>
              <w:jc w:val="center"/>
              <w:rPr>
                <w:b/>
                <w:bCs/>
                <w:i/>
                <w:sz w:val="22"/>
                <w:szCs w:val="22"/>
              </w:rPr>
            </w:pPr>
            <w:r>
              <w:rPr>
                <w:b/>
                <w:bCs/>
                <w:i/>
                <w:sz w:val="22"/>
                <w:szCs w:val="22"/>
                <w:lang w:val="en-US" w:eastAsia="zh-CN" w:bidi="ar"/>
              </w:rPr>
              <w:t>Capacitatea depozitată (m3)</w:t>
            </w:r>
          </w:p>
        </w:tc>
      </w:tr>
      <w:tr w:rsidR="001C08A5" w14:paraId="4CCD5F88" w14:textId="77777777">
        <w:trPr>
          <w:trHeight w:val="345"/>
          <w:jc w:val="center"/>
        </w:trPr>
        <w:tc>
          <w:tcPr>
            <w:tcW w:w="1399" w:type="dxa"/>
            <w:vMerge/>
            <w:tcMar>
              <w:top w:w="0" w:type="dxa"/>
              <w:left w:w="0" w:type="dxa"/>
              <w:bottom w:w="0" w:type="dxa"/>
              <w:right w:w="0" w:type="dxa"/>
            </w:tcMar>
          </w:tcPr>
          <w:p w14:paraId="399361C5" w14:textId="77777777" w:rsidR="001C08A5" w:rsidRDefault="001C08A5">
            <w:pPr>
              <w:jc w:val="center"/>
              <w:rPr>
                <w:b/>
                <w:bCs/>
                <w:i/>
                <w:sz w:val="22"/>
                <w:szCs w:val="22"/>
              </w:rPr>
            </w:pPr>
          </w:p>
        </w:tc>
        <w:tc>
          <w:tcPr>
            <w:tcW w:w="1776" w:type="dxa"/>
            <w:tcMar>
              <w:top w:w="0" w:type="dxa"/>
              <w:left w:w="0" w:type="dxa"/>
              <w:bottom w:w="0" w:type="dxa"/>
              <w:right w:w="0" w:type="dxa"/>
            </w:tcMar>
          </w:tcPr>
          <w:p w14:paraId="661AA47F" w14:textId="77777777" w:rsidR="001C08A5" w:rsidRDefault="001C08A5">
            <w:pPr>
              <w:jc w:val="center"/>
              <w:rPr>
                <w:b/>
                <w:bCs/>
                <w:i/>
                <w:sz w:val="22"/>
                <w:szCs w:val="22"/>
                <w:lang w:val="en-US" w:eastAsia="zh-CN" w:bidi="ar"/>
              </w:rPr>
            </w:pPr>
          </w:p>
        </w:tc>
        <w:tc>
          <w:tcPr>
            <w:tcW w:w="1777" w:type="dxa"/>
            <w:tcMar>
              <w:top w:w="0" w:type="dxa"/>
              <w:left w:w="0" w:type="dxa"/>
              <w:bottom w:w="0" w:type="dxa"/>
              <w:right w:w="0" w:type="dxa"/>
            </w:tcMar>
          </w:tcPr>
          <w:p w14:paraId="2725857D" w14:textId="77777777" w:rsidR="001C08A5" w:rsidRDefault="00000000">
            <w:pPr>
              <w:jc w:val="center"/>
              <w:rPr>
                <w:b/>
                <w:bCs/>
                <w:i/>
                <w:sz w:val="22"/>
                <w:szCs w:val="22"/>
              </w:rPr>
            </w:pPr>
            <w:r>
              <w:rPr>
                <w:b/>
                <w:bCs/>
                <w:i/>
                <w:sz w:val="22"/>
                <w:szCs w:val="22"/>
                <w:lang w:val="en-US" w:eastAsia="zh-CN" w:bidi="ar"/>
              </w:rPr>
              <w:t>Lichide din clasa LI - LII</w:t>
            </w:r>
          </w:p>
        </w:tc>
        <w:tc>
          <w:tcPr>
            <w:tcW w:w="1849" w:type="dxa"/>
            <w:tcMar>
              <w:top w:w="0" w:type="dxa"/>
              <w:left w:w="0" w:type="dxa"/>
              <w:bottom w:w="0" w:type="dxa"/>
              <w:right w:w="0" w:type="dxa"/>
            </w:tcMar>
          </w:tcPr>
          <w:p w14:paraId="657ECEB8" w14:textId="77777777" w:rsidR="001C08A5" w:rsidRDefault="00000000">
            <w:pPr>
              <w:jc w:val="center"/>
              <w:rPr>
                <w:b/>
                <w:bCs/>
                <w:i/>
                <w:sz w:val="22"/>
                <w:szCs w:val="22"/>
              </w:rPr>
            </w:pPr>
            <w:r>
              <w:rPr>
                <w:b/>
                <w:bCs/>
                <w:i/>
                <w:sz w:val="22"/>
                <w:szCs w:val="22"/>
                <w:lang w:val="en-US" w:eastAsia="zh-CN" w:bidi="ar"/>
              </w:rPr>
              <w:t>Lichide din clasa LIII - LIV</w:t>
            </w:r>
          </w:p>
        </w:tc>
      </w:tr>
      <w:tr w:rsidR="001C08A5" w14:paraId="34A4A7C7" w14:textId="77777777">
        <w:trPr>
          <w:trHeight w:val="345"/>
          <w:jc w:val="center"/>
        </w:trPr>
        <w:tc>
          <w:tcPr>
            <w:tcW w:w="1399" w:type="dxa"/>
            <w:tcMar>
              <w:top w:w="0" w:type="dxa"/>
              <w:left w:w="0" w:type="dxa"/>
              <w:bottom w:w="0" w:type="dxa"/>
              <w:right w:w="0" w:type="dxa"/>
            </w:tcMar>
          </w:tcPr>
          <w:p w14:paraId="7DD6B374" w14:textId="77777777" w:rsidR="001C08A5" w:rsidRDefault="00000000">
            <w:pPr>
              <w:jc w:val="center"/>
              <w:rPr>
                <w:b/>
                <w:bCs/>
                <w:i/>
                <w:sz w:val="22"/>
                <w:szCs w:val="22"/>
              </w:rPr>
            </w:pPr>
            <w:r>
              <w:rPr>
                <w:b/>
                <w:bCs/>
                <w:i/>
                <w:sz w:val="22"/>
                <w:szCs w:val="22"/>
                <w:lang w:val="en-US" w:eastAsia="zh-CN" w:bidi="ar"/>
              </w:rPr>
              <w:t>D1</w:t>
            </w:r>
          </w:p>
        </w:tc>
        <w:tc>
          <w:tcPr>
            <w:tcW w:w="1776" w:type="dxa"/>
            <w:tcMar>
              <w:top w:w="0" w:type="dxa"/>
              <w:left w:w="0" w:type="dxa"/>
              <w:bottom w:w="0" w:type="dxa"/>
              <w:right w:w="0" w:type="dxa"/>
            </w:tcMar>
          </w:tcPr>
          <w:p w14:paraId="30AF5B2F" w14:textId="77777777" w:rsidR="001C08A5" w:rsidRDefault="001C08A5">
            <w:pPr>
              <w:jc w:val="center"/>
              <w:rPr>
                <w:b/>
                <w:bCs/>
                <w:i/>
                <w:sz w:val="22"/>
                <w:szCs w:val="22"/>
                <w:lang w:val="en-US" w:eastAsia="zh-CN" w:bidi="ar"/>
              </w:rPr>
            </w:pPr>
          </w:p>
        </w:tc>
        <w:tc>
          <w:tcPr>
            <w:tcW w:w="1777" w:type="dxa"/>
            <w:tcMar>
              <w:top w:w="0" w:type="dxa"/>
              <w:left w:w="0" w:type="dxa"/>
              <w:bottom w:w="0" w:type="dxa"/>
              <w:right w:w="0" w:type="dxa"/>
            </w:tcMar>
          </w:tcPr>
          <w:p w14:paraId="5249DF3B" w14:textId="77777777" w:rsidR="001C08A5" w:rsidRDefault="00000000">
            <w:pPr>
              <w:jc w:val="center"/>
              <w:rPr>
                <w:b/>
                <w:bCs/>
                <w:i/>
                <w:sz w:val="22"/>
                <w:szCs w:val="22"/>
              </w:rPr>
            </w:pPr>
            <w:r>
              <w:rPr>
                <w:b/>
                <w:bCs/>
                <w:i/>
                <w:sz w:val="22"/>
                <w:szCs w:val="22"/>
                <w:lang w:val="en-US" w:eastAsia="zh-CN" w:bidi="ar"/>
              </w:rPr>
              <w:t>peste 100.000</w:t>
            </w:r>
          </w:p>
        </w:tc>
        <w:tc>
          <w:tcPr>
            <w:tcW w:w="1849" w:type="dxa"/>
            <w:tcMar>
              <w:top w:w="0" w:type="dxa"/>
              <w:left w:w="0" w:type="dxa"/>
              <w:bottom w:w="0" w:type="dxa"/>
              <w:right w:w="0" w:type="dxa"/>
            </w:tcMar>
          </w:tcPr>
          <w:p w14:paraId="7705CD5F" w14:textId="77777777" w:rsidR="001C08A5" w:rsidRDefault="00000000">
            <w:pPr>
              <w:jc w:val="center"/>
              <w:rPr>
                <w:b/>
                <w:bCs/>
                <w:i/>
                <w:sz w:val="22"/>
                <w:szCs w:val="22"/>
              </w:rPr>
            </w:pPr>
            <w:r>
              <w:rPr>
                <w:b/>
                <w:bCs/>
                <w:i/>
                <w:sz w:val="22"/>
                <w:szCs w:val="22"/>
                <w:lang w:val="en-US" w:eastAsia="zh-CN" w:bidi="ar"/>
              </w:rPr>
              <w:t>peste 500.000</w:t>
            </w:r>
          </w:p>
        </w:tc>
      </w:tr>
      <w:tr w:rsidR="001C08A5" w14:paraId="7500CE57" w14:textId="77777777">
        <w:trPr>
          <w:trHeight w:val="345"/>
          <w:jc w:val="center"/>
        </w:trPr>
        <w:tc>
          <w:tcPr>
            <w:tcW w:w="1399" w:type="dxa"/>
            <w:tcMar>
              <w:top w:w="0" w:type="dxa"/>
              <w:left w:w="0" w:type="dxa"/>
              <w:bottom w:w="0" w:type="dxa"/>
              <w:right w:w="0" w:type="dxa"/>
            </w:tcMar>
          </w:tcPr>
          <w:p w14:paraId="2BC55749" w14:textId="77777777" w:rsidR="001C08A5" w:rsidRDefault="00000000">
            <w:pPr>
              <w:jc w:val="center"/>
              <w:rPr>
                <w:b/>
                <w:bCs/>
                <w:i/>
                <w:sz w:val="22"/>
                <w:szCs w:val="22"/>
              </w:rPr>
            </w:pPr>
            <w:r>
              <w:rPr>
                <w:b/>
                <w:bCs/>
                <w:i/>
                <w:sz w:val="22"/>
                <w:szCs w:val="22"/>
                <w:lang w:val="en-US" w:eastAsia="zh-CN" w:bidi="ar"/>
              </w:rPr>
              <w:t>D2</w:t>
            </w:r>
          </w:p>
        </w:tc>
        <w:tc>
          <w:tcPr>
            <w:tcW w:w="1776" w:type="dxa"/>
            <w:tcMar>
              <w:top w:w="0" w:type="dxa"/>
              <w:left w:w="0" w:type="dxa"/>
              <w:bottom w:w="0" w:type="dxa"/>
              <w:right w:w="0" w:type="dxa"/>
            </w:tcMar>
          </w:tcPr>
          <w:p w14:paraId="4CB244C4" w14:textId="77777777" w:rsidR="001C08A5" w:rsidRDefault="001C08A5">
            <w:pPr>
              <w:jc w:val="center"/>
              <w:rPr>
                <w:b/>
                <w:bCs/>
                <w:i/>
                <w:sz w:val="22"/>
                <w:szCs w:val="22"/>
                <w:lang w:val="en-US" w:eastAsia="zh-CN" w:bidi="ar"/>
              </w:rPr>
            </w:pPr>
          </w:p>
        </w:tc>
        <w:tc>
          <w:tcPr>
            <w:tcW w:w="1777" w:type="dxa"/>
            <w:tcMar>
              <w:top w:w="0" w:type="dxa"/>
              <w:left w:w="0" w:type="dxa"/>
              <w:bottom w:w="0" w:type="dxa"/>
              <w:right w:w="0" w:type="dxa"/>
            </w:tcMar>
          </w:tcPr>
          <w:p w14:paraId="6E04E459" w14:textId="77777777" w:rsidR="001C08A5" w:rsidRDefault="00000000">
            <w:pPr>
              <w:jc w:val="center"/>
              <w:rPr>
                <w:b/>
                <w:bCs/>
                <w:i/>
                <w:sz w:val="22"/>
                <w:szCs w:val="22"/>
              </w:rPr>
            </w:pPr>
            <w:r>
              <w:rPr>
                <w:b/>
                <w:bCs/>
                <w:i/>
                <w:sz w:val="22"/>
                <w:szCs w:val="22"/>
                <w:lang w:val="en-US" w:eastAsia="zh-CN" w:bidi="ar"/>
              </w:rPr>
              <w:t>30.001 - -100.000</w:t>
            </w:r>
          </w:p>
        </w:tc>
        <w:tc>
          <w:tcPr>
            <w:tcW w:w="1849" w:type="dxa"/>
            <w:tcMar>
              <w:top w:w="0" w:type="dxa"/>
              <w:left w:w="0" w:type="dxa"/>
              <w:bottom w:w="0" w:type="dxa"/>
              <w:right w:w="0" w:type="dxa"/>
            </w:tcMar>
          </w:tcPr>
          <w:p w14:paraId="4CB91FAB" w14:textId="77777777" w:rsidR="001C08A5" w:rsidRDefault="00000000">
            <w:pPr>
              <w:jc w:val="center"/>
              <w:rPr>
                <w:b/>
                <w:bCs/>
                <w:i/>
                <w:sz w:val="22"/>
                <w:szCs w:val="22"/>
              </w:rPr>
            </w:pPr>
            <w:r>
              <w:rPr>
                <w:b/>
                <w:bCs/>
                <w:i/>
                <w:sz w:val="22"/>
                <w:szCs w:val="22"/>
                <w:lang w:val="en-US" w:eastAsia="zh-CN" w:bidi="ar"/>
              </w:rPr>
              <w:t>150.001 - -500.000</w:t>
            </w:r>
          </w:p>
        </w:tc>
      </w:tr>
      <w:tr w:rsidR="001C08A5" w14:paraId="424E8F43" w14:textId="77777777">
        <w:trPr>
          <w:trHeight w:val="345"/>
          <w:jc w:val="center"/>
        </w:trPr>
        <w:tc>
          <w:tcPr>
            <w:tcW w:w="1399" w:type="dxa"/>
            <w:tcMar>
              <w:top w:w="0" w:type="dxa"/>
              <w:left w:w="0" w:type="dxa"/>
              <w:bottom w:w="0" w:type="dxa"/>
              <w:right w:w="0" w:type="dxa"/>
            </w:tcMar>
          </w:tcPr>
          <w:p w14:paraId="3AF8DD09" w14:textId="77777777" w:rsidR="001C08A5" w:rsidRDefault="00000000">
            <w:pPr>
              <w:jc w:val="center"/>
              <w:rPr>
                <w:b/>
                <w:bCs/>
                <w:i/>
                <w:sz w:val="22"/>
                <w:szCs w:val="22"/>
              </w:rPr>
            </w:pPr>
            <w:r>
              <w:rPr>
                <w:b/>
                <w:bCs/>
                <w:i/>
                <w:sz w:val="22"/>
                <w:szCs w:val="22"/>
                <w:lang w:val="en-US" w:eastAsia="zh-CN" w:bidi="ar"/>
              </w:rPr>
              <w:t>D3</w:t>
            </w:r>
          </w:p>
        </w:tc>
        <w:tc>
          <w:tcPr>
            <w:tcW w:w="1776" w:type="dxa"/>
            <w:tcMar>
              <w:top w:w="0" w:type="dxa"/>
              <w:left w:w="0" w:type="dxa"/>
              <w:bottom w:w="0" w:type="dxa"/>
              <w:right w:w="0" w:type="dxa"/>
            </w:tcMar>
          </w:tcPr>
          <w:p w14:paraId="78447ECE" w14:textId="77777777" w:rsidR="001C08A5" w:rsidRDefault="001C08A5">
            <w:pPr>
              <w:jc w:val="center"/>
              <w:rPr>
                <w:b/>
                <w:bCs/>
                <w:i/>
                <w:sz w:val="22"/>
                <w:szCs w:val="22"/>
                <w:lang w:val="en-US" w:eastAsia="zh-CN" w:bidi="ar"/>
              </w:rPr>
            </w:pPr>
          </w:p>
        </w:tc>
        <w:tc>
          <w:tcPr>
            <w:tcW w:w="1777" w:type="dxa"/>
            <w:tcMar>
              <w:top w:w="0" w:type="dxa"/>
              <w:left w:w="0" w:type="dxa"/>
              <w:bottom w:w="0" w:type="dxa"/>
              <w:right w:w="0" w:type="dxa"/>
            </w:tcMar>
          </w:tcPr>
          <w:p w14:paraId="76C18B2F" w14:textId="77777777" w:rsidR="001C08A5" w:rsidRDefault="00000000">
            <w:pPr>
              <w:jc w:val="center"/>
              <w:rPr>
                <w:b/>
                <w:bCs/>
                <w:i/>
                <w:sz w:val="22"/>
                <w:szCs w:val="22"/>
              </w:rPr>
            </w:pPr>
            <w:r>
              <w:rPr>
                <w:b/>
                <w:bCs/>
                <w:i/>
                <w:sz w:val="22"/>
                <w:szCs w:val="22"/>
                <w:lang w:val="en-US" w:eastAsia="zh-CN" w:bidi="ar"/>
              </w:rPr>
              <w:t>2.501 - 30.000</w:t>
            </w:r>
          </w:p>
        </w:tc>
        <w:tc>
          <w:tcPr>
            <w:tcW w:w="1849" w:type="dxa"/>
            <w:tcMar>
              <w:top w:w="0" w:type="dxa"/>
              <w:left w:w="0" w:type="dxa"/>
              <w:bottom w:w="0" w:type="dxa"/>
              <w:right w:w="0" w:type="dxa"/>
            </w:tcMar>
          </w:tcPr>
          <w:p w14:paraId="7A058F12" w14:textId="77777777" w:rsidR="001C08A5" w:rsidRDefault="00000000">
            <w:pPr>
              <w:jc w:val="center"/>
              <w:rPr>
                <w:b/>
                <w:bCs/>
                <w:i/>
                <w:sz w:val="22"/>
                <w:szCs w:val="22"/>
              </w:rPr>
            </w:pPr>
            <w:r>
              <w:rPr>
                <w:b/>
                <w:bCs/>
                <w:i/>
                <w:sz w:val="22"/>
                <w:szCs w:val="22"/>
                <w:lang w:val="en-US" w:eastAsia="zh-CN" w:bidi="ar"/>
              </w:rPr>
              <w:t>12.501 - 150.000</w:t>
            </w:r>
          </w:p>
        </w:tc>
      </w:tr>
      <w:tr w:rsidR="001C08A5" w14:paraId="15D15D58" w14:textId="77777777">
        <w:trPr>
          <w:trHeight w:val="345"/>
          <w:jc w:val="center"/>
        </w:trPr>
        <w:tc>
          <w:tcPr>
            <w:tcW w:w="1399" w:type="dxa"/>
            <w:tcMar>
              <w:top w:w="0" w:type="dxa"/>
              <w:left w:w="0" w:type="dxa"/>
              <w:bottom w:w="0" w:type="dxa"/>
              <w:right w:w="0" w:type="dxa"/>
            </w:tcMar>
          </w:tcPr>
          <w:p w14:paraId="5ADAE291" w14:textId="77777777" w:rsidR="001C08A5" w:rsidRDefault="00000000">
            <w:pPr>
              <w:jc w:val="center"/>
              <w:rPr>
                <w:b/>
                <w:bCs/>
                <w:i/>
                <w:sz w:val="22"/>
                <w:szCs w:val="22"/>
              </w:rPr>
            </w:pPr>
            <w:r>
              <w:rPr>
                <w:b/>
                <w:bCs/>
                <w:i/>
                <w:sz w:val="22"/>
                <w:szCs w:val="22"/>
                <w:lang w:val="en-US" w:eastAsia="zh-CN" w:bidi="ar"/>
              </w:rPr>
              <w:t>D4</w:t>
            </w:r>
          </w:p>
        </w:tc>
        <w:tc>
          <w:tcPr>
            <w:tcW w:w="1776" w:type="dxa"/>
            <w:tcMar>
              <w:top w:w="0" w:type="dxa"/>
              <w:left w:w="0" w:type="dxa"/>
              <w:bottom w:w="0" w:type="dxa"/>
              <w:right w:w="0" w:type="dxa"/>
            </w:tcMar>
          </w:tcPr>
          <w:p w14:paraId="1A32BDBA" w14:textId="77777777" w:rsidR="001C08A5" w:rsidRDefault="001C08A5">
            <w:pPr>
              <w:jc w:val="center"/>
              <w:rPr>
                <w:b/>
                <w:bCs/>
                <w:i/>
                <w:sz w:val="22"/>
                <w:szCs w:val="22"/>
                <w:lang w:val="en-US" w:eastAsia="zh-CN" w:bidi="ar"/>
              </w:rPr>
            </w:pPr>
          </w:p>
        </w:tc>
        <w:tc>
          <w:tcPr>
            <w:tcW w:w="1777" w:type="dxa"/>
            <w:tcMar>
              <w:top w:w="0" w:type="dxa"/>
              <w:left w:w="0" w:type="dxa"/>
              <w:bottom w:w="0" w:type="dxa"/>
              <w:right w:w="0" w:type="dxa"/>
            </w:tcMar>
          </w:tcPr>
          <w:p w14:paraId="27A55560" w14:textId="77777777" w:rsidR="001C08A5" w:rsidRDefault="00000000">
            <w:pPr>
              <w:jc w:val="center"/>
              <w:rPr>
                <w:b/>
                <w:bCs/>
                <w:i/>
                <w:sz w:val="22"/>
                <w:szCs w:val="22"/>
              </w:rPr>
            </w:pPr>
            <w:r>
              <w:rPr>
                <w:b/>
                <w:bCs/>
                <w:i/>
                <w:sz w:val="22"/>
                <w:szCs w:val="22"/>
                <w:lang w:val="en-US" w:eastAsia="zh-CN" w:bidi="ar"/>
              </w:rPr>
              <w:t>501 - 2.500</w:t>
            </w:r>
          </w:p>
        </w:tc>
        <w:tc>
          <w:tcPr>
            <w:tcW w:w="1849" w:type="dxa"/>
            <w:tcMar>
              <w:top w:w="0" w:type="dxa"/>
              <w:left w:w="0" w:type="dxa"/>
              <w:bottom w:w="0" w:type="dxa"/>
              <w:right w:w="0" w:type="dxa"/>
            </w:tcMar>
          </w:tcPr>
          <w:p w14:paraId="0CC8FE53" w14:textId="77777777" w:rsidR="001C08A5" w:rsidRDefault="00000000">
            <w:pPr>
              <w:jc w:val="center"/>
              <w:rPr>
                <w:b/>
                <w:bCs/>
                <w:i/>
                <w:sz w:val="22"/>
                <w:szCs w:val="22"/>
              </w:rPr>
            </w:pPr>
            <w:r>
              <w:rPr>
                <w:b/>
                <w:bCs/>
                <w:i/>
                <w:sz w:val="22"/>
                <w:szCs w:val="22"/>
                <w:lang w:val="en-US" w:eastAsia="zh-CN" w:bidi="ar"/>
              </w:rPr>
              <w:t>2.501 - 12.500</w:t>
            </w:r>
          </w:p>
        </w:tc>
      </w:tr>
      <w:tr w:rsidR="001C08A5" w14:paraId="24B81E67" w14:textId="77777777">
        <w:trPr>
          <w:trHeight w:val="345"/>
          <w:jc w:val="center"/>
        </w:trPr>
        <w:tc>
          <w:tcPr>
            <w:tcW w:w="1399" w:type="dxa"/>
            <w:tcMar>
              <w:top w:w="0" w:type="dxa"/>
              <w:left w:w="0" w:type="dxa"/>
              <w:bottom w:w="0" w:type="dxa"/>
              <w:right w:w="0" w:type="dxa"/>
            </w:tcMar>
          </w:tcPr>
          <w:p w14:paraId="1BF6AC5F" w14:textId="77777777" w:rsidR="001C08A5" w:rsidRDefault="00000000">
            <w:pPr>
              <w:jc w:val="center"/>
              <w:rPr>
                <w:b/>
                <w:bCs/>
                <w:i/>
                <w:sz w:val="22"/>
                <w:szCs w:val="22"/>
              </w:rPr>
            </w:pPr>
            <w:r>
              <w:rPr>
                <w:b/>
                <w:bCs/>
                <w:i/>
                <w:sz w:val="22"/>
                <w:szCs w:val="22"/>
                <w:lang w:val="en-US" w:eastAsia="zh-CN" w:bidi="ar"/>
              </w:rPr>
              <w:t>D5</w:t>
            </w:r>
          </w:p>
        </w:tc>
        <w:tc>
          <w:tcPr>
            <w:tcW w:w="1776" w:type="dxa"/>
            <w:tcMar>
              <w:top w:w="0" w:type="dxa"/>
              <w:left w:w="0" w:type="dxa"/>
              <w:bottom w:w="0" w:type="dxa"/>
              <w:right w:w="0" w:type="dxa"/>
            </w:tcMar>
          </w:tcPr>
          <w:p w14:paraId="613F8337" w14:textId="77777777" w:rsidR="001C08A5" w:rsidRDefault="001C08A5">
            <w:pPr>
              <w:jc w:val="center"/>
              <w:rPr>
                <w:b/>
                <w:bCs/>
                <w:i/>
                <w:sz w:val="22"/>
                <w:szCs w:val="22"/>
                <w:lang w:val="en-US" w:eastAsia="zh-CN" w:bidi="ar"/>
              </w:rPr>
            </w:pPr>
          </w:p>
        </w:tc>
        <w:tc>
          <w:tcPr>
            <w:tcW w:w="1777" w:type="dxa"/>
            <w:tcMar>
              <w:top w:w="0" w:type="dxa"/>
              <w:left w:w="0" w:type="dxa"/>
              <w:bottom w:w="0" w:type="dxa"/>
              <w:right w:w="0" w:type="dxa"/>
            </w:tcMar>
          </w:tcPr>
          <w:p w14:paraId="5C99B27D" w14:textId="77777777" w:rsidR="001C08A5" w:rsidRDefault="00000000">
            <w:pPr>
              <w:jc w:val="center"/>
              <w:rPr>
                <w:b/>
                <w:bCs/>
                <w:i/>
                <w:sz w:val="22"/>
                <w:szCs w:val="22"/>
              </w:rPr>
            </w:pPr>
            <w:r>
              <w:rPr>
                <w:b/>
                <w:bCs/>
                <w:i/>
                <w:sz w:val="22"/>
                <w:szCs w:val="22"/>
                <w:lang w:val="en-US" w:eastAsia="zh-CN" w:bidi="ar"/>
              </w:rPr>
              <w:t>51 - 500</w:t>
            </w:r>
          </w:p>
        </w:tc>
        <w:tc>
          <w:tcPr>
            <w:tcW w:w="1849" w:type="dxa"/>
            <w:tcMar>
              <w:top w:w="0" w:type="dxa"/>
              <w:left w:w="0" w:type="dxa"/>
              <w:bottom w:w="0" w:type="dxa"/>
              <w:right w:w="0" w:type="dxa"/>
            </w:tcMar>
          </w:tcPr>
          <w:p w14:paraId="0F6159A1" w14:textId="77777777" w:rsidR="001C08A5" w:rsidRDefault="00000000">
            <w:pPr>
              <w:jc w:val="center"/>
              <w:rPr>
                <w:b/>
                <w:bCs/>
                <w:i/>
                <w:sz w:val="22"/>
                <w:szCs w:val="22"/>
              </w:rPr>
            </w:pPr>
            <w:r>
              <w:rPr>
                <w:b/>
                <w:bCs/>
                <w:i/>
                <w:sz w:val="22"/>
                <w:szCs w:val="22"/>
                <w:lang w:val="en-US" w:eastAsia="zh-CN" w:bidi="ar"/>
              </w:rPr>
              <w:t>251 - - 2.500</w:t>
            </w:r>
          </w:p>
        </w:tc>
      </w:tr>
      <w:tr w:rsidR="001C08A5" w14:paraId="487E6C04" w14:textId="77777777">
        <w:trPr>
          <w:trHeight w:val="345"/>
          <w:jc w:val="center"/>
        </w:trPr>
        <w:tc>
          <w:tcPr>
            <w:tcW w:w="1399" w:type="dxa"/>
            <w:tcMar>
              <w:top w:w="0" w:type="dxa"/>
              <w:left w:w="0" w:type="dxa"/>
              <w:bottom w:w="0" w:type="dxa"/>
              <w:right w:w="0" w:type="dxa"/>
            </w:tcMar>
          </w:tcPr>
          <w:p w14:paraId="46730FA3" w14:textId="77777777" w:rsidR="001C08A5" w:rsidRDefault="00000000">
            <w:pPr>
              <w:jc w:val="center"/>
              <w:rPr>
                <w:b/>
                <w:bCs/>
                <w:i/>
                <w:sz w:val="22"/>
                <w:szCs w:val="22"/>
              </w:rPr>
            </w:pPr>
            <w:r>
              <w:rPr>
                <w:b/>
                <w:bCs/>
                <w:i/>
                <w:sz w:val="22"/>
                <w:szCs w:val="22"/>
                <w:lang w:val="en-US" w:eastAsia="zh-CN" w:bidi="ar"/>
              </w:rPr>
              <w:t>D6</w:t>
            </w:r>
          </w:p>
        </w:tc>
        <w:tc>
          <w:tcPr>
            <w:tcW w:w="1776" w:type="dxa"/>
            <w:tcMar>
              <w:top w:w="0" w:type="dxa"/>
              <w:left w:w="0" w:type="dxa"/>
              <w:bottom w:w="0" w:type="dxa"/>
              <w:right w:w="0" w:type="dxa"/>
            </w:tcMar>
          </w:tcPr>
          <w:p w14:paraId="472BBF39" w14:textId="77777777" w:rsidR="001C08A5" w:rsidRDefault="001C08A5">
            <w:pPr>
              <w:jc w:val="center"/>
              <w:rPr>
                <w:b/>
                <w:bCs/>
                <w:i/>
                <w:sz w:val="22"/>
                <w:szCs w:val="22"/>
                <w:lang w:val="en-US" w:eastAsia="zh-CN" w:bidi="ar"/>
              </w:rPr>
            </w:pPr>
          </w:p>
        </w:tc>
        <w:tc>
          <w:tcPr>
            <w:tcW w:w="1777" w:type="dxa"/>
            <w:tcMar>
              <w:top w:w="0" w:type="dxa"/>
              <w:left w:w="0" w:type="dxa"/>
              <w:bottom w:w="0" w:type="dxa"/>
              <w:right w:w="0" w:type="dxa"/>
            </w:tcMar>
          </w:tcPr>
          <w:p w14:paraId="7453D3D5" w14:textId="77777777" w:rsidR="001C08A5" w:rsidRDefault="00000000">
            <w:pPr>
              <w:jc w:val="center"/>
              <w:rPr>
                <w:b/>
                <w:bCs/>
                <w:i/>
                <w:sz w:val="22"/>
                <w:szCs w:val="22"/>
              </w:rPr>
            </w:pPr>
            <w:r>
              <w:rPr>
                <w:b/>
                <w:bCs/>
                <w:i/>
                <w:sz w:val="22"/>
                <w:szCs w:val="22"/>
                <w:lang w:val="en-US" w:eastAsia="zh-CN" w:bidi="ar"/>
              </w:rPr>
              <w:t>11 - -50</w:t>
            </w:r>
          </w:p>
        </w:tc>
        <w:tc>
          <w:tcPr>
            <w:tcW w:w="1849" w:type="dxa"/>
            <w:tcMar>
              <w:top w:w="0" w:type="dxa"/>
              <w:left w:w="0" w:type="dxa"/>
              <w:bottom w:w="0" w:type="dxa"/>
              <w:right w:w="0" w:type="dxa"/>
            </w:tcMar>
          </w:tcPr>
          <w:p w14:paraId="4EF28252" w14:textId="77777777" w:rsidR="001C08A5" w:rsidRDefault="00000000">
            <w:pPr>
              <w:jc w:val="center"/>
              <w:rPr>
                <w:b/>
                <w:bCs/>
                <w:i/>
                <w:sz w:val="22"/>
                <w:szCs w:val="22"/>
              </w:rPr>
            </w:pPr>
            <w:r>
              <w:rPr>
                <w:b/>
                <w:bCs/>
                <w:i/>
                <w:sz w:val="22"/>
                <w:szCs w:val="22"/>
                <w:lang w:val="en-US" w:eastAsia="zh-CN" w:bidi="ar"/>
              </w:rPr>
              <w:t>51 - 250</w:t>
            </w:r>
          </w:p>
        </w:tc>
      </w:tr>
      <w:tr w:rsidR="001C08A5" w14:paraId="183B0D18" w14:textId="77777777">
        <w:trPr>
          <w:trHeight w:val="360"/>
          <w:jc w:val="center"/>
        </w:trPr>
        <w:tc>
          <w:tcPr>
            <w:tcW w:w="1399" w:type="dxa"/>
            <w:tcMar>
              <w:top w:w="0" w:type="dxa"/>
              <w:left w:w="0" w:type="dxa"/>
              <w:bottom w:w="0" w:type="dxa"/>
              <w:right w:w="0" w:type="dxa"/>
            </w:tcMar>
          </w:tcPr>
          <w:p w14:paraId="3502A255" w14:textId="77777777" w:rsidR="001C08A5" w:rsidRDefault="00000000">
            <w:pPr>
              <w:jc w:val="center"/>
              <w:rPr>
                <w:b/>
                <w:bCs/>
                <w:i/>
                <w:sz w:val="22"/>
                <w:szCs w:val="22"/>
              </w:rPr>
            </w:pPr>
            <w:r>
              <w:rPr>
                <w:b/>
                <w:bCs/>
                <w:i/>
                <w:sz w:val="22"/>
                <w:szCs w:val="22"/>
                <w:lang w:val="en-US" w:eastAsia="zh-CN" w:bidi="ar"/>
              </w:rPr>
              <w:t>D7</w:t>
            </w:r>
          </w:p>
        </w:tc>
        <w:tc>
          <w:tcPr>
            <w:tcW w:w="1776" w:type="dxa"/>
            <w:tcMar>
              <w:top w:w="0" w:type="dxa"/>
              <w:left w:w="0" w:type="dxa"/>
              <w:bottom w:w="0" w:type="dxa"/>
              <w:right w:w="0" w:type="dxa"/>
            </w:tcMar>
          </w:tcPr>
          <w:p w14:paraId="411A584B" w14:textId="77777777" w:rsidR="001C08A5" w:rsidRDefault="001C08A5">
            <w:pPr>
              <w:jc w:val="center"/>
              <w:rPr>
                <w:b/>
                <w:bCs/>
                <w:i/>
                <w:sz w:val="22"/>
                <w:szCs w:val="22"/>
                <w:lang w:val="en-US" w:eastAsia="zh-CN" w:bidi="ar"/>
              </w:rPr>
            </w:pPr>
          </w:p>
        </w:tc>
        <w:tc>
          <w:tcPr>
            <w:tcW w:w="1777" w:type="dxa"/>
            <w:tcMar>
              <w:top w:w="0" w:type="dxa"/>
              <w:left w:w="0" w:type="dxa"/>
              <w:bottom w:w="0" w:type="dxa"/>
              <w:right w:w="0" w:type="dxa"/>
            </w:tcMar>
          </w:tcPr>
          <w:p w14:paraId="2AB9FEAD" w14:textId="77777777" w:rsidR="001C08A5" w:rsidRDefault="00000000">
            <w:pPr>
              <w:jc w:val="center"/>
              <w:rPr>
                <w:b/>
                <w:bCs/>
                <w:i/>
                <w:sz w:val="22"/>
                <w:szCs w:val="22"/>
              </w:rPr>
            </w:pPr>
            <w:r>
              <w:rPr>
                <w:b/>
                <w:bCs/>
                <w:i/>
                <w:sz w:val="22"/>
                <w:szCs w:val="22"/>
                <w:lang w:val="en-US" w:eastAsia="zh-CN" w:bidi="ar"/>
              </w:rPr>
              <w:t>până la 10</w:t>
            </w:r>
          </w:p>
        </w:tc>
        <w:tc>
          <w:tcPr>
            <w:tcW w:w="1849" w:type="dxa"/>
            <w:tcMar>
              <w:top w:w="0" w:type="dxa"/>
              <w:left w:w="0" w:type="dxa"/>
              <w:bottom w:w="0" w:type="dxa"/>
              <w:right w:w="0" w:type="dxa"/>
            </w:tcMar>
          </w:tcPr>
          <w:p w14:paraId="3C6C0CFD" w14:textId="77777777" w:rsidR="001C08A5" w:rsidRDefault="00000000">
            <w:pPr>
              <w:jc w:val="center"/>
              <w:rPr>
                <w:b/>
                <w:bCs/>
                <w:i/>
                <w:sz w:val="22"/>
                <w:szCs w:val="22"/>
              </w:rPr>
            </w:pPr>
            <w:r>
              <w:rPr>
                <w:b/>
                <w:bCs/>
                <w:i/>
                <w:sz w:val="22"/>
                <w:szCs w:val="22"/>
                <w:lang w:val="en-US" w:eastAsia="zh-CN" w:bidi="ar"/>
              </w:rPr>
              <w:t>până la 50</w:t>
            </w:r>
          </w:p>
        </w:tc>
      </w:tr>
    </w:tbl>
    <w:p w14:paraId="2C721AA0" w14:textId="77777777" w:rsidR="001C08A5" w:rsidRDefault="00000000">
      <w:pPr>
        <w:shd w:val="clear" w:color="auto" w:fill="FFFFFF"/>
        <w:spacing w:after="150"/>
        <w:jc w:val="both"/>
        <w:rPr>
          <w:rFonts w:eastAsia="Calibri"/>
          <w:i/>
          <w:sz w:val="22"/>
          <w:szCs w:val="22"/>
        </w:rPr>
      </w:pPr>
      <w:r>
        <w:rPr>
          <w:rFonts w:eastAsia="Calibri"/>
          <w:b/>
          <w:bCs/>
          <w:i/>
          <w:sz w:val="22"/>
          <w:szCs w:val="22"/>
          <w:shd w:val="clear" w:color="auto" w:fill="FFFFFF"/>
        </w:rPr>
        <w:t>NOTĂ:</w:t>
      </w:r>
    </w:p>
    <w:p w14:paraId="30743BDA" w14:textId="77777777" w:rsidR="001C08A5" w:rsidRDefault="00000000">
      <w:pPr>
        <w:shd w:val="clear" w:color="auto" w:fill="FFFFFF"/>
        <w:spacing w:after="150"/>
        <w:jc w:val="both"/>
        <w:rPr>
          <w:rFonts w:eastAsia="Calibri"/>
          <w:b/>
          <w:i/>
          <w:sz w:val="24"/>
          <w:szCs w:val="24"/>
          <w:shd w:val="clear" w:color="auto" w:fill="FFFFFF"/>
        </w:rPr>
      </w:pPr>
      <w:r>
        <w:rPr>
          <w:rFonts w:eastAsia="Calibri"/>
          <w:i/>
          <w:sz w:val="22"/>
          <w:szCs w:val="22"/>
          <w:shd w:val="clear" w:color="auto" w:fill="FFFFFF"/>
        </w:rPr>
        <w:t xml:space="preserve">În cazul în care se păstrează împreună lichide combustibile din clasele </w:t>
      </w:r>
      <w:r>
        <w:rPr>
          <w:rFonts w:eastAsia="Calibri"/>
          <w:b/>
          <w:bCs/>
          <w:i/>
          <w:sz w:val="22"/>
          <w:szCs w:val="22"/>
          <w:shd w:val="clear" w:color="auto" w:fill="FFFFFF"/>
        </w:rPr>
        <w:t>LI - LII</w:t>
      </w:r>
      <w:r>
        <w:rPr>
          <w:rFonts w:eastAsia="Calibri"/>
          <w:i/>
          <w:sz w:val="22"/>
          <w:szCs w:val="22"/>
          <w:shd w:val="clear" w:color="auto" w:fill="FFFFFF"/>
        </w:rPr>
        <w:t xml:space="preserve"> cu lichide combustibile din clasele L</w:t>
      </w:r>
      <w:r>
        <w:rPr>
          <w:rFonts w:eastAsia="Calibri"/>
          <w:b/>
          <w:bCs/>
          <w:i/>
          <w:sz w:val="22"/>
          <w:szCs w:val="22"/>
          <w:shd w:val="clear" w:color="auto" w:fill="FFFFFF"/>
        </w:rPr>
        <w:t>III</w:t>
      </w:r>
      <w:r>
        <w:rPr>
          <w:rFonts w:eastAsia="Calibri"/>
          <w:i/>
          <w:sz w:val="22"/>
          <w:szCs w:val="22"/>
          <w:shd w:val="clear" w:color="auto" w:fill="FFFFFF"/>
        </w:rPr>
        <w:t xml:space="preserve"> - LIV, fiecare 1 m3 de lichid combustibil din clasele </w:t>
      </w:r>
      <w:r>
        <w:rPr>
          <w:rFonts w:eastAsia="Calibri"/>
          <w:b/>
          <w:bCs/>
          <w:i/>
          <w:sz w:val="22"/>
          <w:szCs w:val="22"/>
          <w:shd w:val="clear" w:color="auto" w:fill="FFFFFF"/>
        </w:rPr>
        <w:t>LI - LII</w:t>
      </w:r>
      <w:r>
        <w:rPr>
          <w:rFonts w:eastAsia="Calibri"/>
          <w:i/>
          <w:sz w:val="22"/>
          <w:szCs w:val="22"/>
          <w:shd w:val="clear" w:color="auto" w:fill="FFFFFF"/>
        </w:rPr>
        <w:t xml:space="preserve"> se echivalează cu 5 m</w:t>
      </w:r>
      <w:r>
        <w:rPr>
          <w:rFonts w:eastAsia="Calibri"/>
          <w:i/>
          <w:sz w:val="22"/>
          <w:szCs w:val="22"/>
          <w:shd w:val="clear" w:color="auto" w:fill="FFFFFF"/>
          <w:vertAlign w:val="superscript"/>
        </w:rPr>
        <w:t>3</w:t>
      </w:r>
      <w:r>
        <w:rPr>
          <w:rFonts w:eastAsia="Calibri"/>
          <w:i/>
          <w:sz w:val="22"/>
          <w:szCs w:val="22"/>
          <w:shd w:val="clear" w:color="auto" w:fill="FFFFFF"/>
        </w:rPr>
        <w:t> de lichid combustibil din clasele</w:t>
      </w:r>
      <w:r>
        <w:rPr>
          <w:rFonts w:eastAsia="Calibri"/>
          <w:b/>
          <w:bCs/>
          <w:i/>
          <w:sz w:val="22"/>
          <w:szCs w:val="22"/>
          <w:shd w:val="clear" w:color="auto" w:fill="FFFFFF"/>
        </w:rPr>
        <w:t xml:space="preserve"> LIII-LIV</w:t>
      </w:r>
      <w:r>
        <w:rPr>
          <w:rFonts w:eastAsia="Calibri"/>
          <w:i/>
          <w:sz w:val="22"/>
          <w:szCs w:val="22"/>
          <w:shd w:val="clear" w:color="auto" w:fill="FFFFFF"/>
        </w:rPr>
        <w:t>.</w:t>
      </w:r>
    </w:p>
    <w:p w14:paraId="7628D7D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6.2.22.</w:t>
      </w:r>
      <w:r>
        <w:rPr>
          <w:rFonts w:eastAsia="Calibri"/>
          <w:i/>
          <w:sz w:val="24"/>
          <w:szCs w:val="24"/>
          <w:shd w:val="clear" w:color="auto" w:fill="FFFFFF"/>
        </w:rPr>
        <w:t> Depozitele de lichide în rezervoare, după modul lor de execuție, pot fi:</w:t>
      </w:r>
    </w:p>
    <w:p w14:paraId="17EDFF92"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supraterane, când fundul rezervoarelor se află deasupra terenului înconjurător, la același nivel cu el sau la o adâncime mai mică decât jumătate din înălțimea rezervoarelor, precum și în cazurile când nivelul lichidului este mai sus de cota terenului înconjurător cu minim 2,00 m;</w:t>
      </w:r>
    </w:p>
    <w:p w14:paraId="20724634"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semiîngropate, când fundul rezervoarelor se află îngropat mai mult de jumătate din înălțimea acestora, iar nivelul maximum posibil al lichidului combustibil nu se găsește mai sus de 2,00 m față de cota terenului înconjurător;</w:t>
      </w:r>
    </w:p>
    <w:p w14:paraId="5AFBFB47" w14:textId="77777777" w:rsidR="001C08A5" w:rsidRDefault="00000000">
      <w:pPr>
        <w:shd w:val="clear" w:color="auto" w:fill="FFFFFF"/>
        <w:spacing w:after="150"/>
        <w:ind w:left="720" w:firstLine="720"/>
        <w:jc w:val="both"/>
        <w:rPr>
          <w:rFonts w:eastAsia="Calibri"/>
          <w:i/>
          <w:sz w:val="24"/>
          <w:szCs w:val="24"/>
        </w:rPr>
      </w:pPr>
      <w:r>
        <w:rPr>
          <w:rFonts w:eastAsia="Calibri"/>
          <w:b/>
          <w:bCs/>
          <w:i/>
          <w:sz w:val="24"/>
          <w:szCs w:val="24"/>
          <w:shd w:val="clear" w:color="auto" w:fill="FFFFFF"/>
        </w:rPr>
        <w:t>c)</w:t>
      </w:r>
      <w:r>
        <w:rPr>
          <w:rFonts w:eastAsia="Calibri"/>
          <w:i/>
          <w:sz w:val="24"/>
          <w:szCs w:val="24"/>
          <w:shd w:val="clear" w:color="auto" w:fill="FFFFFF"/>
        </w:rPr>
        <w:t> îngropate, când partea superioară a rezervoarelor este cu cel puțin 0,20 m mai jos decât cota terenului înconjurător.</w:t>
      </w:r>
    </w:p>
    <w:p w14:paraId="0FE3AA16" w14:textId="77777777" w:rsidR="001C08A5" w:rsidRDefault="00000000">
      <w:pPr>
        <w:jc w:val="both"/>
        <w:rPr>
          <w:i/>
          <w:iCs/>
          <w:sz w:val="22"/>
          <w:szCs w:val="22"/>
        </w:rPr>
      </w:pPr>
      <w:r>
        <w:rPr>
          <w:i/>
          <w:iCs/>
          <w:sz w:val="22"/>
          <w:szCs w:val="22"/>
        </w:rPr>
        <w:t>Notă:</w:t>
      </w:r>
    </w:p>
    <w:p w14:paraId="2C00D8EC" w14:textId="77777777" w:rsidR="001C08A5" w:rsidRDefault="00000000">
      <w:pPr>
        <w:jc w:val="both"/>
        <w:rPr>
          <w:i/>
          <w:iCs/>
          <w:sz w:val="22"/>
          <w:szCs w:val="22"/>
        </w:rPr>
      </w:pPr>
      <w:r>
        <w:rPr>
          <w:i/>
          <w:iCs/>
          <w:sz w:val="22"/>
          <w:szCs w:val="22"/>
        </w:rPr>
        <w:t xml:space="preserve">Cota terenului înconjurător se va considera nivelul minim al terenului pe o distanță de </w:t>
      </w:r>
      <w:r>
        <w:rPr>
          <w:b/>
          <w:bCs/>
          <w:i/>
          <w:iCs/>
          <w:sz w:val="22"/>
          <w:szCs w:val="22"/>
        </w:rPr>
        <w:t>6,00 m</w:t>
      </w:r>
      <w:r>
        <w:rPr>
          <w:i/>
          <w:iCs/>
          <w:sz w:val="22"/>
          <w:szCs w:val="22"/>
        </w:rPr>
        <w:t xml:space="preserve"> de la mantaua rezervoarelor.</w:t>
      </w:r>
    </w:p>
    <w:p w14:paraId="378EA1CA" w14:textId="77777777" w:rsidR="001C08A5" w:rsidRDefault="001C08A5">
      <w:pPr>
        <w:jc w:val="both"/>
        <w:rPr>
          <w:i/>
          <w:iCs/>
          <w:sz w:val="22"/>
          <w:szCs w:val="22"/>
        </w:rPr>
      </w:pPr>
    </w:p>
    <w:p w14:paraId="75E183D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6.2.23.</w:t>
      </w:r>
      <w:r>
        <w:rPr>
          <w:rFonts w:eastAsia="Calibri"/>
          <w:i/>
          <w:sz w:val="24"/>
          <w:szCs w:val="24"/>
          <w:shd w:val="clear" w:color="auto" w:fill="FFFFFF"/>
        </w:rPr>
        <w:t xml:space="preserve"> În construcții existente sau încăperi ale construcțiilor existente, în cazurile și condițiile admise de prezenta anexă, lichidele combustibile se pot depozita în rezervoare sau recipiente (ambalaje). Indiferent de modul de stocare a lichidelor combustibile, este obligatorie precizarea categoriei depozitului, conform Art. </w:t>
      </w:r>
      <w:r>
        <w:rPr>
          <w:rFonts w:eastAsia="Calibri"/>
          <w:b/>
          <w:bCs/>
          <w:i/>
          <w:sz w:val="24"/>
          <w:szCs w:val="24"/>
          <w:shd w:val="clear" w:color="auto" w:fill="FFFFFF"/>
        </w:rPr>
        <w:t>A.10.6.2.21.</w:t>
      </w:r>
      <w:r>
        <w:rPr>
          <w:rFonts w:eastAsia="Calibri"/>
          <w:i/>
          <w:sz w:val="24"/>
          <w:szCs w:val="24"/>
          <w:shd w:val="clear" w:color="auto" w:fill="FFFFFF"/>
        </w:rPr>
        <w:t>, și asigurarea măsurilor de protecție specifice prevăzute în prezenta anexă și reglementările tehnice specifice, astfel încât să se asigure limitarea propagării incendiilor și condițiile stingerii cu operativitate.</w:t>
      </w:r>
    </w:p>
    <w:p w14:paraId="678CD26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6.2.24.</w:t>
      </w:r>
      <w:r>
        <w:rPr>
          <w:rFonts w:eastAsia="Calibri"/>
          <w:i/>
          <w:sz w:val="24"/>
          <w:szCs w:val="24"/>
          <w:shd w:val="clear" w:color="auto" w:fill="FFFFFF"/>
        </w:rPr>
        <w:t> Depozitarea lichidelor cu temperatura de inflamabilitate a vaporilor sub 28°C, în cantități mai mari de 2,00 m</w:t>
      </w:r>
      <w:r>
        <w:rPr>
          <w:rFonts w:eastAsia="Calibri"/>
          <w:i/>
          <w:sz w:val="24"/>
          <w:szCs w:val="24"/>
          <w:shd w:val="clear" w:color="auto" w:fill="FFFFFF"/>
          <w:vertAlign w:val="superscript"/>
        </w:rPr>
        <w:t>3</w:t>
      </w:r>
      <w:r>
        <w:rPr>
          <w:rFonts w:eastAsia="Calibri"/>
          <w:i/>
          <w:sz w:val="24"/>
          <w:szCs w:val="24"/>
          <w:shd w:val="clear" w:color="auto" w:fill="FFFFFF"/>
        </w:rPr>
        <w:t> și stocate în recipiente și ambalaje, se recomandă să se realizeze în construcții supraterane.</w:t>
      </w:r>
    </w:p>
    <w:p w14:paraId="2070DC3D" w14:textId="77777777" w:rsidR="001C08A5" w:rsidRDefault="00000000">
      <w:pPr>
        <w:pStyle w:val="Heading4"/>
        <w:rPr>
          <w:sz w:val="24"/>
          <w:szCs w:val="24"/>
        </w:rPr>
      </w:pPr>
      <w:bookmarkStart w:id="11454" w:name="_Toc31774"/>
      <w:bookmarkStart w:id="11455" w:name="_Toc1680"/>
      <w:bookmarkStart w:id="11456" w:name="_Toc9962"/>
      <w:bookmarkStart w:id="11457" w:name="_Toc162355633"/>
      <w:bookmarkStart w:id="11458" w:name="_Toc21061"/>
      <w:bookmarkStart w:id="11459" w:name="_Toc30513"/>
      <w:r>
        <w:rPr>
          <w:sz w:val="24"/>
          <w:szCs w:val="24"/>
        </w:rPr>
        <w:t>Depozite existente închise</w:t>
      </w:r>
      <w:bookmarkEnd w:id="11454"/>
      <w:bookmarkEnd w:id="11455"/>
      <w:bookmarkEnd w:id="11456"/>
      <w:bookmarkEnd w:id="11457"/>
      <w:bookmarkEnd w:id="11458"/>
      <w:bookmarkEnd w:id="11459"/>
    </w:p>
    <w:p w14:paraId="24BDDEB0"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6.2.25.</w:t>
      </w:r>
      <w:r>
        <w:rPr>
          <w:rFonts w:eastAsia="Calibri"/>
          <w:i/>
          <w:sz w:val="24"/>
          <w:szCs w:val="24"/>
          <w:shd w:val="clear" w:color="auto" w:fill="FFFFFF"/>
        </w:rPr>
        <w:t xml:space="preserve"> Construcțiile existente închise pentru depozite de materiale și substanțe, (depozite închise), pot fi de nivelul de stabilitate la incendiu I pâna la V, în funcție de categoria de pericol de incendiu și clasa de periculozitate stabilită conform Art. </w:t>
      </w:r>
      <w:r>
        <w:rPr>
          <w:rFonts w:eastAsia="Calibri"/>
          <w:b/>
          <w:bCs/>
          <w:i/>
          <w:sz w:val="24"/>
          <w:szCs w:val="24"/>
          <w:shd w:val="clear" w:color="auto" w:fill="FFFFFF"/>
        </w:rPr>
        <w:t>A.10.6.2.19.</w:t>
      </w:r>
      <w:r>
        <w:rPr>
          <w:rFonts w:eastAsia="Calibri"/>
          <w:i/>
          <w:sz w:val="24"/>
          <w:szCs w:val="24"/>
          <w:shd w:val="clear" w:color="auto" w:fill="FFFFFF"/>
        </w:rPr>
        <w:t>, cu condiția respectării corelației admise în Art.</w:t>
      </w:r>
      <w:r>
        <w:rPr>
          <w:rFonts w:eastAsia="Calibri"/>
          <w:b/>
          <w:bCs/>
          <w:i/>
          <w:sz w:val="24"/>
          <w:szCs w:val="24"/>
          <w:shd w:val="clear" w:color="auto" w:fill="FFFFFF"/>
        </w:rPr>
        <w:t xml:space="preserve"> A.10.5.2.5. </w:t>
      </w:r>
      <w:r>
        <w:rPr>
          <w:rFonts w:eastAsia="Calibri"/>
          <w:i/>
          <w:sz w:val="24"/>
          <w:szCs w:val="24"/>
          <w:shd w:val="clear" w:color="auto" w:fill="FFFFFF"/>
        </w:rPr>
        <w:t xml:space="preserve">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_Ref16454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168</w:t>
      </w:r>
      <w:r>
        <w:rPr>
          <w:rFonts w:eastAsia="Calibri"/>
          <w:b/>
          <w:bCs/>
          <w:i/>
          <w:iCs/>
          <w:sz w:val="24"/>
          <w:szCs w:val="24"/>
          <w:shd w:val="clear" w:color="auto" w:fill="FFFFFF"/>
        </w:rPr>
        <w:fldChar w:fldCharType="end"/>
      </w:r>
      <w:r>
        <w:rPr>
          <w:rFonts w:eastAsia="Calibri"/>
          <w:i/>
          <w:sz w:val="24"/>
          <w:szCs w:val="24"/>
          <w:shd w:val="clear" w:color="auto" w:fill="FFFFFF"/>
        </w:rPr>
        <w:t>, între nivelul de stabilitate la incendiu, numărul de niveluri și aria construită a compartimentului de incendiu, precum și a prevederilor specifice lichidelor combustibile. Fac excepție situațiile precizate în prezenta anexă.</w:t>
      </w:r>
    </w:p>
    <w:p w14:paraId="2314C734"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6.2.26.</w:t>
      </w:r>
      <w:r>
        <w:rPr>
          <w:rFonts w:eastAsia="Calibri"/>
          <w:i/>
          <w:sz w:val="24"/>
          <w:szCs w:val="24"/>
          <w:shd w:val="clear" w:color="auto" w:fill="FFFFFF"/>
        </w:rPr>
        <w:t> În cazul în care construcția depozitului existent este monobloc sau blindată, este obligatorie respectarea și a prevederilor corespunzătoare acestora, potrivit Art.</w:t>
      </w:r>
      <w:r>
        <w:rPr>
          <w:rFonts w:eastAsia="Calibri"/>
          <w:b/>
          <w:bCs/>
          <w:i/>
          <w:sz w:val="24"/>
          <w:szCs w:val="24"/>
          <w:shd w:val="clear" w:color="auto" w:fill="FFFFFF"/>
        </w:rPr>
        <w:t xml:space="preserve"> A.10.6.1.15</w:t>
      </w:r>
      <w:r>
        <w:rPr>
          <w:rFonts w:eastAsia="Calibri"/>
          <w:i/>
          <w:sz w:val="24"/>
          <w:szCs w:val="24"/>
          <w:shd w:val="clear" w:color="auto" w:fill="FFFFFF"/>
        </w:rPr>
        <w:t>. la Art.</w:t>
      </w:r>
      <w:r>
        <w:rPr>
          <w:rFonts w:eastAsia="Calibri"/>
          <w:b/>
          <w:bCs/>
          <w:i/>
          <w:sz w:val="24"/>
          <w:szCs w:val="24"/>
          <w:shd w:val="clear" w:color="auto" w:fill="FFFFFF"/>
        </w:rPr>
        <w:t xml:space="preserve"> A.10.6.1.38.</w:t>
      </w:r>
      <w:r>
        <w:rPr>
          <w:rFonts w:eastAsia="Calibri"/>
          <w:i/>
          <w:sz w:val="24"/>
          <w:szCs w:val="24"/>
          <w:shd w:val="clear" w:color="auto" w:fill="FFFFFF"/>
        </w:rPr>
        <w:t xml:space="preserve"> </w:t>
      </w:r>
    </w:p>
    <w:p w14:paraId="6F2AD16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6.2.27.</w:t>
      </w:r>
      <w:r>
        <w:rPr>
          <w:rFonts w:eastAsia="Calibri"/>
          <w:i/>
          <w:sz w:val="24"/>
          <w:szCs w:val="24"/>
          <w:shd w:val="clear" w:color="auto" w:fill="FFFFFF"/>
        </w:rPr>
        <w:t xml:space="preserve"> Construcțiile existente închise stabilite de beneficiar, în care sunt depozitate materiale, substanțe, produse, obiecte de valoare, sau cu risc mare de incendiu, se recomandă să fie compartimentate cu elemente rezistente la foc în arii construite de maximum </w:t>
      </w:r>
      <w:r>
        <w:rPr>
          <w:rFonts w:eastAsia="Calibri"/>
          <w:b/>
          <w:bCs/>
          <w:i/>
          <w:sz w:val="24"/>
          <w:szCs w:val="24"/>
          <w:shd w:val="clear" w:color="auto" w:fill="FFFFFF"/>
        </w:rPr>
        <w:t>750 m</w:t>
      </w:r>
      <w:r>
        <w:rPr>
          <w:rFonts w:eastAsia="Calibri"/>
          <w:i/>
          <w:sz w:val="24"/>
          <w:szCs w:val="24"/>
          <w:shd w:val="clear" w:color="auto" w:fill="FFFFFF"/>
        </w:rPr>
        <w:t xml:space="preserve"> și echipate cu instalații de semnalizare și stingere a incendiilor.</w:t>
      </w:r>
    </w:p>
    <w:p w14:paraId="58AF7EF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6.2.28.</w:t>
      </w:r>
      <w:r>
        <w:rPr>
          <w:rFonts w:eastAsia="Calibri"/>
          <w:i/>
          <w:sz w:val="24"/>
          <w:szCs w:val="24"/>
          <w:shd w:val="clear" w:color="auto" w:fill="FFFFFF"/>
        </w:rPr>
        <w:t xml:space="preserve"> Construcțiile existente închise de depozitare etajate, trebuie realizate cu planșee pline rezistente la foc conform prevederilor stabilite prin prezenta anexă, astfel realizate încât să împiedice propagarea incendiilor între nivelurile construcției. Eventualele goluri funcționale din planșee se protejează cu elemente de închidere corespunzătoare. Fac excepție depozitele cu platforme de stocare mecanizate, fără locuri permanente de lucru, la care platformele (totale sau parțiale) pot fi materiale și elemente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rezistente la foc minimum 15 minute (</w:t>
      </w:r>
      <w:r>
        <w:rPr>
          <w:rFonts w:eastAsia="Calibri"/>
          <w:b/>
          <w:bCs/>
          <w:i/>
          <w:sz w:val="24"/>
          <w:szCs w:val="24"/>
          <w:shd w:val="clear" w:color="auto" w:fill="FFFFFF"/>
        </w:rPr>
        <w:t>R/REI15</w:t>
      </w:r>
      <w:r>
        <w:rPr>
          <w:rFonts w:eastAsia="Calibri"/>
          <w:i/>
          <w:sz w:val="24"/>
          <w:szCs w:val="24"/>
          <w:shd w:val="clear" w:color="auto" w:fill="FFFFFF"/>
        </w:rPr>
        <w:t>), dacă sunt prevăzute instalații automate de stingere a incendiului la fiecare nivel.</w:t>
      </w:r>
    </w:p>
    <w:p w14:paraId="5FA7500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6.2.29.</w:t>
      </w:r>
      <w:r>
        <w:rPr>
          <w:rFonts w:eastAsia="Calibri"/>
          <w:i/>
          <w:sz w:val="24"/>
          <w:szCs w:val="24"/>
          <w:shd w:val="clear" w:color="auto" w:fill="FFFFFF"/>
        </w:rPr>
        <w:t xml:space="preserve"> Construcțiile existente depozitelor mai înalte de </w:t>
      </w:r>
      <w:r>
        <w:rPr>
          <w:rFonts w:eastAsia="Calibri"/>
          <w:b/>
          <w:bCs/>
          <w:i/>
          <w:sz w:val="24"/>
          <w:szCs w:val="24"/>
          <w:shd w:val="clear" w:color="auto" w:fill="FFFFFF"/>
        </w:rPr>
        <w:t>6,00 m</w:t>
      </w:r>
      <w:r>
        <w:rPr>
          <w:rFonts w:eastAsia="Calibri"/>
          <w:i/>
          <w:sz w:val="24"/>
          <w:szCs w:val="24"/>
          <w:shd w:val="clear" w:color="auto" w:fill="FFFFFF"/>
        </w:rPr>
        <w:t xml:space="preserve"> trebuie să îndeplinească condițiile și nivelele de performanță stabilite în reglementările tehnice de specialitate corespunzător densității sarcinii termice și pericolului de propagarea a focului. De regulă, aceste depozite cu stive înalte, trebuie echipate cu instalații automate de stingere a incendiilor.</w:t>
      </w:r>
    </w:p>
    <w:p w14:paraId="30B7000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6.2.30.</w:t>
      </w:r>
      <w:r>
        <w:rPr>
          <w:rFonts w:eastAsia="Calibri"/>
          <w:i/>
          <w:sz w:val="24"/>
          <w:szCs w:val="24"/>
          <w:shd w:val="clear" w:color="auto" w:fill="FFFFFF"/>
        </w:rPr>
        <w:t xml:space="preserve"> Încăperile de depozitare a materialelor și/sau substanțelor combustibile din clasa P4 și P5 de periculozitate cu aria desfășurată mai mare de </w:t>
      </w:r>
      <w:r>
        <w:rPr>
          <w:rFonts w:eastAsia="Calibri"/>
          <w:b/>
          <w:bCs/>
          <w:i/>
          <w:sz w:val="24"/>
          <w:szCs w:val="24"/>
          <w:shd w:val="clear" w:color="auto" w:fill="FFFFFF"/>
        </w:rPr>
        <w:t>36 m</w:t>
      </w:r>
      <w:r>
        <w:rPr>
          <w:rFonts w:eastAsia="Calibri"/>
          <w:b/>
          <w:bCs/>
          <w:i/>
          <w:sz w:val="24"/>
          <w:szCs w:val="24"/>
          <w:shd w:val="clear" w:color="auto" w:fill="FFFFFF"/>
          <w:vertAlign w:val="superscript"/>
        </w:rPr>
        <w:t>2</w:t>
      </w:r>
      <w:r>
        <w:rPr>
          <w:rFonts w:eastAsia="Calibri"/>
          <w:i/>
          <w:sz w:val="24"/>
          <w:szCs w:val="24"/>
          <w:shd w:val="clear" w:color="auto" w:fill="FFFFFF"/>
        </w:rPr>
        <w:t xml:space="preserve"> se separă de restul construcției cu elemente verticale (pereți)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având rezistența la foc corespunzătoare densității sarcinii termice, potrivit Art. </w:t>
      </w:r>
      <w:r>
        <w:rPr>
          <w:rFonts w:eastAsia="Calibri"/>
          <w:b/>
          <w:bCs/>
          <w:i/>
          <w:sz w:val="24"/>
          <w:szCs w:val="24"/>
          <w:shd w:val="clear" w:color="auto" w:fill="FFFFFF"/>
        </w:rPr>
        <w:t>A.10.2.3.2.</w:t>
      </w:r>
      <w:r>
        <w:rPr>
          <w:rFonts w:eastAsia="Calibri"/>
          <w:i/>
          <w:sz w:val="24"/>
          <w:szCs w:val="24"/>
          <w:shd w:val="clear" w:color="auto" w:fill="FFFFFF"/>
        </w:rPr>
        <w:t xml:space="preserve"> Atunci când sunt amplasate în clădiri existente cu mai multe niveluri, se separă și prin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rezistente la foc minimum 1h și 30 minute (</w:t>
      </w:r>
      <w:r>
        <w:rPr>
          <w:rFonts w:eastAsia="Calibri"/>
          <w:b/>
          <w:bCs/>
          <w:i/>
          <w:sz w:val="24"/>
          <w:szCs w:val="24"/>
          <w:shd w:val="clear" w:color="auto" w:fill="FFFFFF"/>
        </w:rPr>
        <w:t>REI90</w:t>
      </w:r>
      <w:r>
        <w:rPr>
          <w:rFonts w:eastAsia="Calibri"/>
          <w:i/>
          <w:sz w:val="24"/>
          <w:szCs w:val="24"/>
          <w:shd w:val="clear" w:color="auto" w:fill="FFFFFF"/>
        </w:rPr>
        <w:t>). Golurile de circulație sau funcțional necesare, din elementele de separare (pereți, planșee), se protejează cu elemente corespunzătoare, rezistente la foc conform prevederilor din prezenta anexă, în funcție de tipul elementului străpuns (perete, planșeu).</w:t>
      </w:r>
    </w:p>
    <w:p w14:paraId="7787F4C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6.2.31.</w:t>
      </w:r>
      <w:r>
        <w:rPr>
          <w:rFonts w:eastAsia="Calibri"/>
          <w:i/>
          <w:sz w:val="24"/>
          <w:szCs w:val="24"/>
          <w:shd w:val="clear" w:color="auto" w:fill="FFFFFF"/>
        </w:rPr>
        <w:t xml:space="preserve"> Încăperile de depozitare a materialelor și/sau substanțelor combustibile din clasele P2 și P3 de periculozitate, cu aria desfășurată mai mare de </w:t>
      </w:r>
      <w:r>
        <w:rPr>
          <w:rFonts w:eastAsia="Calibri"/>
          <w:b/>
          <w:bCs/>
          <w:i/>
          <w:sz w:val="24"/>
          <w:szCs w:val="24"/>
          <w:shd w:val="clear" w:color="auto" w:fill="FFFFFF"/>
        </w:rPr>
        <w:t>36 m</w:t>
      </w:r>
      <w:r>
        <w:rPr>
          <w:rFonts w:eastAsia="Calibri"/>
          <w:b/>
          <w:bCs/>
          <w:i/>
          <w:sz w:val="24"/>
          <w:szCs w:val="24"/>
          <w:shd w:val="clear" w:color="auto" w:fill="FFFFFF"/>
          <w:vertAlign w:val="superscript"/>
        </w:rPr>
        <w:t>2</w:t>
      </w:r>
      <w:r>
        <w:rPr>
          <w:rFonts w:eastAsia="Calibri"/>
          <w:i/>
          <w:sz w:val="24"/>
          <w:szCs w:val="24"/>
          <w:shd w:val="clear" w:color="auto" w:fill="FFFFFF"/>
        </w:rPr>
        <w:t xml:space="preserve"> se separă de restul construcției prin pereți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rezistența la foc minimum 1 și 1/2 ore (</w:t>
      </w:r>
      <w:r>
        <w:rPr>
          <w:rFonts w:eastAsia="Calibri"/>
          <w:b/>
          <w:bCs/>
          <w:i/>
          <w:sz w:val="24"/>
          <w:szCs w:val="24"/>
          <w:shd w:val="clear" w:color="auto" w:fill="FFFFFF"/>
        </w:rPr>
        <w:t>EI/REI90</w:t>
      </w:r>
      <w:r>
        <w:rPr>
          <w:rFonts w:eastAsia="Calibri"/>
          <w:i/>
          <w:sz w:val="24"/>
          <w:szCs w:val="24"/>
          <w:shd w:val="clear" w:color="auto" w:fill="FFFFFF"/>
        </w:rPr>
        <w:t xml:space="preserve">) și după caz,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rezistență la foc minimum 1 oră (</w:t>
      </w:r>
      <w:r>
        <w:rPr>
          <w:rFonts w:eastAsia="Calibri"/>
          <w:b/>
          <w:bCs/>
          <w:i/>
          <w:sz w:val="24"/>
          <w:szCs w:val="24"/>
          <w:shd w:val="clear" w:color="auto" w:fill="FFFFFF"/>
        </w:rPr>
        <w:t>REI60</w:t>
      </w:r>
      <w:r>
        <w:rPr>
          <w:rFonts w:eastAsia="Calibri"/>
          <w:i/>
          <w:sz w:val="24"/>
          <w:szCs w:val="24"/>
          <w:shd w:val="clear" w:color="auto" w:fill="FFFFFF"/>
        </w:rPr>
        <w:t>). Golurile de circulație sau funcțional necesare din elementele de separare, se protejează cu elemente rezistente la foc minimum 45 minute (</w:t>
      </w:r>
      <w:r>
        <w:rPr>
          <w:rFonts w:eastAsia="Calibri"/>
          <w:b/>
          <w:bCs/>
          <w:i/>
          <w:sz w:val="24"/>
          <w:szCs w:val="24"/>
          <w:shd w:val="clear" w:color="auto" w:fill="FFFFFF"/>
        </w:rPr>
        <w:t>EI45-C</w:t>
      </w:r>
      <w:r>
        <w:rPr>
          <w:rFonts w:eastAsia="Calibri"/>
          <w:i/>
          <w:sz w:val="24"/>
          <w:szCs w:val="24"/>
          <w:shd w:val="clear" w:color="auto" w:fill="FFFFFF"/>
        </w:rPr>
        <w:t>), echipate cu dispozitive de autoînchidere sau închidere automată în caz de incendiu.</w:t>
      </w:r>
    </w:p>
    <w:p w14:paraId="35C7B03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6.2.32.</w:t>
      </w:r>
      <w:r>
        <w:rPr>
          <w:rFonts w:eastAsia="Calibri"/>
          <w:i/>
          <w:sz w:val="24"/>
          <w:szCs w:val="24"/>
          <w:shd w:val="clear" w:color="auto" w:fill="FFFFFF"/>
        </w:rPr>
        <w:t xml:space="preserve"> Încăperile de depozitare a materialelor și/sau substanțelor din clasa P1 de periculozitate, se separă de restul construcției existente cu pereți și după caz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iar golurile de circulație sau funcționale din aceștia se protejează cu elemente de închidere incombustibile.</w:t>
      </w:r>
    </w:p>
    <w:p w14:paraId="48C03A7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6.2.33.</w:t>
      </w:r>
      <w:r>
        <w:rPr>
          <w:rFonts w:eastAsia="Calibri"/>
          <w:i/>
          <w:sz w:val="24"/>
          <w:szCs w:val="24"/>
          <w:shd w:val="clear" w:color="auto" w:fill="FFFFFF"/>
        </w:rPr>
        <w:t xml:space="preserve"> Stocurile tampon de materiale și substanțe combustibile din clasele de periculozitate P4 și P5, în afara celor din fluxul tehnologic, se separă de restul construcției existente prin pereți și după caz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rezistența la foc de minimum 3 ore pentru pereți și 1 1/2 ore pentru planșee (</w:t>
      </w:r>
      <w:r>
        <w:rPr>
          <w:rFonts w:eastAsia="Calibri"/>
          <w:b/>
          <w:bCs/>
          <w:i/>
          <w:sz w:val="24"/>
          <w:szCs w:val="24"/>
          <w:shd w:val="clear" w:color="auto" w:fill="FFFFFF"/>
        </w:rPr>
        <w:t>EI/REI180</w:t>
      </w:r>
      <w:r>
        <w:rPr>
          <w:rFonts w:eastAsia="Calibri"/>
          <w:i/>
          <w:sz w:val="24"/>
          <w:szCs w:val="24"/>
          <w:shd w:val="clear" w:color="auto" w:fill="FFFFFF"/>
        </w:rPr>
        <w:t xml:space="preserve"> pereți și </w:t>
      </w:r>
      <w:r>
        <w:rPr>
          <w:rFonts w:eastAsia="Calibri"/>
          <w:b/>
          <w:bCs/>
          <w:i/>
          <w:sz w:val="24"/>
          <w:szCs w:val="24"/>
          <w:shd w:val="clear" w:color="auto" w:fill="FFFFFF"/>
        </w:rPr>
        <w:t>REI90</w:t>
      </w:r>
      <w:r>
        <w:rPr>
          <w:rFonts w:eastAsia="Calibri"/>
          <w:i/>
          <w:sz w:val="24"/>
          <w:szCs w:val="24"/>
          <w:shd w:val="clear" w:color="auto" w:fill="FFFFFF"/>
        </w:rPr>
        <w:t xml:space="preserve"> planșee). Golurile de circulație sau funcțional necesare din elementele de separare, se protejează cu elemente de închidere rezistente la foc 1 oră (</w:t>
      </w:r>
      <w:r>
        <w:rPr>
          <w:rFonts w:eastAsia="Calibri"/>
          <w:b/>
          <w:bCs/>
          <w:i/>
          <w:sz w:val="24"/>
          <w:szCs w:val="24"/>
          <w:shd w:val="clear" w:color="auto" w:fill="FFFFFF"/>
        </w:rPr>
        <w:t>EI60-C</w:t>
      </w:r>
      <w:r>
        <w:rPr>
          <w:rFonts w:eastAsia="Calibri"/>
          <w:i/>
          <w:sz w:val="24"/>
          <w:szCs w:val="24"/>
          <w:shd w:val="clear" w:color="auto" w:fill="FFFFFF"/>
        </w:rPr>
        <w:t xml:space="preserve">) echipate cu dispozitive de autoînchidere sau închidere automată în caz de incendiu. Pentru materialele și substanțele combustibile din clasele de periculozitate P2 și P3, pereții și planșee de separare pot fi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rezistență la foc 1 oră (</w:t>
      </w:r>
      <w:r>
        <w:rPr>
          <w:rFonts w:eastAsia="Calibri"/>
          <w:b/>
          <w:bCs/>
          <w:i/>
          <w:sz w:val="24"/>
          <w:szCs w:val="24"/>
          <w:shd w:val="clear" w:color="auto" w:fill="FFFFFF"/>
        </w:rPr>
        <w:t>EI/REI60</w:t>
      </w:r>
      <w:r>
        <w:rPr>
          <w:rFonts w:eastAsia="Calibri"/>
          <w:i/>
          <w:sz w:val="24"/>
          <w:szCs w:val="24"/>
          <w:shd w:val="clear" w:color="auto" w:fill="FFFFFF"/>
        </w:rPr>
        <w:t xml:space="preserve"> pereți și </w:t>
      </w:r>
      <w:r>
        <w:rPr>
          <w:rFonts w:eastAsia="Calibri"/>
          <w:b/>
          <w:bCs/>
          <w:i/>
          <w:sz w:val="24"/>
          <w:szCs w:val="24"/>
          <w:shd w:val="clear" w:color="auto" w:fill="FFFFFF"/>
        </w:rPr>
        <w:t>REI60</w:t>
      </w:r>
      <w:r>
        <w:rPr>
          <w:rFonts w:eastAsia="Calibri"/>
          <w:i/>
          <w:sz w:val="24"/>
          <w:szCs w:val="24"/>
          <w:shd w:val="clear" w:color="auto" w:fill="FFFFFF"/>
        </w:rPr>
        <w:t xml:space="preserve"> planșee), iar golurile de circulație sau funcțională necesare, protejate cu elemente de închidere rezistente la foc 45 de minute (</w:t>
      </w:r>
      <w:r>
        <w:rPr>
          <w:rFonts w:eastAsia="Calibri"/>
          <w:b/>
          <w:bCs/>
          <w:i/>
          <w:sz w:val="24"/>
          <w:szCs w:val="24"/>
          <w:shd w:val="clear" w:color="auto" w:fill="FFFFFF"/>
        </w:rPr>
        <w:t>EI45-C</w:t>
      </w:r>
      <w:r>
        <w:rPr>
          <w:rFonts w:eastAsia="Calibri"/>
          <w:i/>
          <w:sz w:val="24"/>
          <w:szCs w:val="24"/>
          <w:shd w:val="clear" w:color="auto" w:fill="FFFFFF"/>
        </w:rPr>
        <w:t xml:space="preserve">), echipate cu dispozitive de autoînchidere, sau închidere automată în caz de incendiu. Pentru clasa de periculozitate P1, separarea se poate realiza cu pereți și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iar golurile de comunicare din acestea protejându</w:t>
      </w:r>
      <w:r>
        <w:rPr>
          <w:rFonts w:eastAsia="Calibri"/>
          <w:i/>
          <w:sz w:val="24"/>
          <w:szCs w:val="24"/>
          <w:shd w:val="clear" w:color="auto" w:fill="FFFFFF"/>
        </w:rPr>
        <w:softHyphen/>
        <w:t>secu elemente de închidere incombustibile.</w:t>
      </w:r>
    </w:p>
    <w:p w14:paraId="118FFD8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6.2.34.</w:t>
      </w:r>
      <w:r>
        <w:rPr>
          <w:rFonts w:eastAsia="Calibri"/>
          <w:i/>
          <w:sz w:val="24"/>
          <w:szCs w:val="24"/>
          <w:shd w:val="clear" w:color="auto" w:fill="FFFFFF"/>
        </w:rPr>
        <w:t xml:space="preserve"> În încăperile de depozitare a materialelor combustibile din clasele de periculozitate P3, P4 și P5, nu sunt admise spații libere pentru birouri, pentru finisarea, încercarea sau repararea </w:t>
      </w:r>
      <w:r>
        <w:rPr>
          <w:rFonts w:eastAsia="Calibri"/>
          <w:i/>
          <w:sz w:val="24"/>
          <w:szCs w:val="24"/>
          <w:shd w:val="clear" w:color="auto" w:fill="FFFFFF"/>
        </w:rPr>
        <w:lastRenderedPageBreak/>
        <w:t xml:space="preserve">produselor depozitate, precum și pentru distribuirea lichidelor combustibile. Asemenea spații se amenajează în încăperi proprii, separate față de cele de depozitare prin pereți și după caz,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rezistente la foc conform prevederilor Art. </w:t>
      </w:r>
      <w:r>
        <w:rPr>
          <w:rFonts w:eastAsia="Calibri"/>
          <w:b/>
          <w:bCs/>
          <w:i/>
          <w:sz w:val="24"/>
          <w:szCs w:val="24"/>
          <w:shd w:val="clear" w:color="auto" w:fill="FFFFFF"/>
        </w:rPr>
        <w:t>A.10.2.2.2.</w:t>
      </w:r>
      <w:r>
        <w:rPr>
          <w:rFonts w:eastAsia="Calibri"/>
          <w:i/>
          <w:sz w:val="24"/>
          <w:szCs w:val="24"/>
          <w:shd w:val="clear" w:color="auto" w:fill="FFFFFF"/>
        </w:rPr>
        <w:t xml:space="preserve"> Spațiile de recepție </w:t>
      </w:r>
      <w:r>
        <w:rPr>
          <w:rFonts w:eastAsia="Calibri"/>
          <w:i/>
          <w:sz w:val="24"/>
          <w:szCs w:val="24"/>
          <w:shd w:val="clear" w:color="auto" w:fill="FFFFFF"/>
        </w:rPr>
        <w:softHyphen/>
        <w:t xml:space="preserve"> expediție, de regulă, se separă în același mod.</w:t>
      </w:r>
    </w:p>
    <w:p w14:paraId="5BFE58D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6.2.35.</w:t>
      </w:r>
      <w:r>
        <w:rPr>
          <w:rFonts w:eastAsia="Calibri"/>
          <w:i/>
          <w:sz w:val="24"/>
          <w:szCs w:val="24"/>
          <w:shd w:val="clear" w:color="auto" w:fill="FFFFFF"/>
        </w:rPr>
        <w:t xml:space="preserve"> Spațiile pentru recepție-expediție, birouri, pentru încărcarea, finisarea sau repararea produselor depozitate, precum și pentru distribuirea lichidelor combustibile, se separă față de încăperile de depozitare a materialelor și substanțelor combustibile din clasele de periculozitate P3, P4 și respectiv P5 prin pereți și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respectiv rezistenți la foc minimum 2 ore pentru pereți și 1 oră pentru planșee (</w:t>
      </w:r>
      <w:r>
        <w:rPr>
          <w:rFonts w:eastAsia="Calibri"/>
          <w:b/>
          <w:bCs/>
          <w:i/>
          <w:sz w:val="24"/>
          <w:szCs w:val="24"/>
          <w:shd w:val="clear" w:color="auto" w:fill="FFFFFF"/>
        </w:rPr>
        <w:t>EI/REI120</w:t>
      </w:r>
      <w:r>
        <w:rPr>
          <w:rFonts w:eastAsia="Calibri"/>
          <w:i/>
          <w:sz w:val="24"/>
          <w:szCs w:val="24"/>
          <w:shd w:val="clear" w:color="auto" w:fill="FFFFFF"/>
        </w:rPr>
        <w:t xml:space="preserve"> pereți și </w:t>
      </w:r>
      <w:r>
        <w:rPr>
          <w:rFonts w:eastAsia="Calibri"/>
          <w:b/>
          <w:bCs/>
          <w:i/>
          <w:sz w:val="24"/>
          <w:szCs w:val="24"/>
          <w:shd w:val="clear" w:color="auto" w:fill="FFFFFF"/>
        </w:rPr>
        <w:t>REI60</w:t>
      </w:r>
      <w:r>
        <w:rPr>
          <w:rFonts w:eastAsia="Calibri"/>
          <w:i/>
          <w:sz w:val="24"/>
          <w:szCs w:val="24"/>
          <w:shd w:val="clear" w:color="auto" w:fill="FFFFFF"/>
        </w:rPr>
        <w:t xml:space="preserve"> planșee). Golurile de circulație din pereții de separare față de depozit, se protejează cu uși rezistente la foc 45 minute (</w:t>
      </w:r>
      <w:r>
        <w:rPr>
          <w:rFonts w:eastAsia="Calibri"/>
          <w:b/>
          <w:bCs/>
          <w:i/>
          <w:sz w:val="24"/>
          <w:szCs w:val="24"/>
          <w:shd w:val="clear" w:color="auto" w:fill="FFFFFF"/>
        </w:rPr>
        <w:t>EI45-C</w:t>
      </w:r>
      <w:r>
        <w:rPr>
          <w:rFonts w:eastAsia="Calibri"/>
          <w:i/>
          <w:sz w:val="24"/>
          <w:szCs w:val="24"/>
          <w:shd w:val="clear" w:color="auto" w:fill="FFFFFF"/>
        </w:rPr>
        <w:t>), echipate cu dispozitive de autoînchidere sau închidere automată în caz de incendiu.</w:t>
      </w:r>
    </w:p>
    <w:p w14:paraId="47A33BC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6.2.36.</w:t>
      </w:r>
      <w:r>
        <w:rPr>
          <w:rFonts w:eastAsia="Calibri"/>
          <w:i/>
          <w:sz w:val="24"/>
          <w:szCs w:val="24"/>
          <w:shd w:val="clear" w:color="auto" w:fill="FFFFFF"/>
        </w:rPr>
        <w:t xml:space="preserve"> În cazuri bine justificate tehnic, în pereții de separare a birourilor și spațiilor de recepție - expediție față de depozite P3, P4 sau P5, se admit ferestre fixe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rezistente la foc minimum 45 de minute (</w:t>
      </w:r>
      <w:r>
        <w:rPr>
          <w:rFonts w:eastAsia="Calibri"/>
          <w:b/>
          <w:bCs/>
          <w:i/>
          <w:sz w:val="24"/>
          <w:szCs w:val="24"/>
          <w:shd w:val="clear" w:color="auto" w:fill="FFFFFF"/>
        </w:rPr>
        <w:t>EI45</w:t>
      </w:r>
      <w:r>
        <w:rPr>
          <w:rFonts w:eastAsia="Calibri"/>
          <w:i/>
          <w:sz w:val="24"/>
          <w:szCs w:val="24"/>
          <w:shd w:val="clear" w:color="auto" w:fill="FFFFFF"/>
        </w:rPr>
        <w:t>) sau ferestre obișnuite, dacă sunt protejate cu obloane rezistente la foc minimum 45 de minute (</w:t>
      </w:r>
      <w:r>
        <w:rPr>
          <w:rFonts w:eastAsia="Calibri"/>
          <w:b/>
          <w:bCs/>
          <w:i/>
          <w:sz w:val="24"/>
          <w:szCs w:val="24"/>
          <w:shd w:val="clear" w:color="auto" w:fill="FFFFFF"/>
        </w:rPr>
        <w:t>EI45-C</w:t>
      </w:r>
      <w:r>
        <w:rPr>
          <w:rFonts w:eastAsia="Calibri"/>
          <w:i/>
          <w:sz w:val="24"/>
          <w:szCs w:val="24"/>
          <w:shd w:val="clear" w:color="auto" w:fill="FFFFFF"/>
        </w:rPr>
        <w:t>), echipate cu dispozitive de închidere automată în caz de incendiu.</w:t>
      </w:r>
    </w:p>
    <w:p w14:paraId="5C38E49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6.2.37.</w:t>
      </w:r>
      <w:r>
        <w:rPr>
          <w:rFonts w:eastAsia="Calibri"/>
          <w:i/>
          <w:sz w:val="24"/>
          <w:szCs w:val="24"/>
          <w:shd w:val="clear" w:color="auto" w:fill="FFFFFF"/>
        </w:rPr>
        <w:t> Fac excepție de la prevederile Art.</w:t>
      </w:r>
      <w:r>
        <w:rPr>
          <w:rFonts w:eastAsia="Calibri"/>
          <w:b/>
          <w:bCs/>
          <w:i/>
          <w:sz w:val="24"/>
          <w:szCs w:val="24"/>
          <w:shd w:val="clear" w:color="auto" w:fill="FFFFFF"/>
        </w:rPr>
        <w:t xml:space="preserve"> A.10.6.2.35</w:t>
      </w:r>
      <w:r>
        <w:rPr>
          <w:rFonts w:eastAsia="Calibri"/>
          <w:i/>
          <w:sz w:val="24"/>
          <w:szCs w:val="24"/>
          <w:shd w:val="clear" w:color="auto" w:fill="FFFFFF"/>
        </w:rPr>
        <w:t>. și Art.</w:t>
      </w:r>
      <w:r>
        <w:rPr>
          <w:rFonts w:eastAsia="Calibri"/>
          <w:b/>
          <w:bCs/>
          <w:i/>
          <w:sz w:val="24"/>
          <w:szCs w:val="24"/>
          <w:shd w:val="clear" w:color="auto" w:fill="FFFFFF"/>
        </w:rPr>
        <w:t xml:space="preserve"> A.10.6.2.36.</w:t>
      </w:r>
      <w:r>
        <w:rPr>
          <w:rFonts w:eastAsia="Calibri"/>
          <w:i/>
          <w:sz w:val="24"/>
          <w:szCs w:val="24"/>
          <w:shd w:val="clear" w:color="auto" w:fill="FFFFFF"/>
        </w:rPr>
        <w:t>, spațiile de recepție - expediție ale depozitelor din clasele de periculozitate P3, P4 și P5, la care se asigură aceleași măsuri de siguranță la foc ca la încăperile de depozitare aferente, situațiile în care nu mai este obligatorie separarea de depozit. De asemenea, la depozitele cu clasa P1 și P2 de periculozitate a materialelor și substanțelor depozitate, nu este obligatorie separarea spațiilor de recepție-expediție și a birourilor.</w:t>
      </w:r>
    </w:p>
    <w:p w14:paraId="0DA6172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6.2.38.</w:t>
      </w:r>
      <w:r>
        <w:rPr>
          <w:rFonts w:eastAsia="Calibri"/>
          <w:i/>
          <w:sz w:val="24"/>
          <w:szCs w:val="24"/>
          <w:shd w:val="clear" w:color="auto" w:fill="FFFFFF"/>
        </w:rPr>
        <w:t xml:space="preserve"> Construcțiile existente supraterane închise pentru depozitarea lichidelor combustibile se realizează din materiale și elemente de construcție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rezistente la foc corespunzător precizărilor din prezenta anexă și a reglementărilor de specialitate, asigurându-se compartimentarea antifoc și după caz antiex a încăperilor de depozitare cu capacitatea de maximum 50 ml lichide din clasele </w:t>
      </w:r>
      <w:r>
        <w:rPr>
          <w:rFonts w:eastAsia="Calibri"/>
          <w:b/>
          <w:bCs/>
          <w:i/>
          <w:sz w:val="24"/>
          <w:szCs w:val="24"/>
          <w:shd w:val="clear" w:color="auto" w:fill="FFFFFF"/>
        </w:rPr>
        <w:t xml:space="preserve">LI </w:t>
      </w:r>
      <w:r>
        <w:rPr>
          <w:rFonts w:eastAsia="Calibri"/>
          <w:i/>
          <w:sz w:val="24"/>
          <w:szCs w:val="24"/>
          <w:shd w:val="clear" w:color="auto" w:fill="FFFFFF"/>
        </w:rPr>
        <w:t xml:space="preserve">sau </w:t>
      </w:r>
      <w:r>
        <w:rPr>
          <w:rFonts w:eastAsia="Calibri"/>
          <w:b/>
          <w:bCs/>
          <w:i/>
          <w:sz w:val="24"/>
          <w:szCs w:val="24"/>
          <w:shd w:val="clear" w:color="auto" w:fill="FFFFFF"/>
        </w:rPr>
        <w:t xml:space="preserve">LII </w:t>
      </w:r>
      <w:r>
        <w:rPr>
          <w:rFonts w:eastAsia="Calibri"/>
          <w:i/>
          <w:sz w:val="24"/>
          <w:szCs w:val="24"/>
          <w:shd w:val="clear" w:color="auto" w:fill="FFFFFF"/>
        </w:rPr>
        <w:t xml:space="preserve">(respectiv echivalentul acestora pentru </w:t>
      </w:r>
      <w:r>
        <w:rPr>
          <w:rFonts w:eastAsia="Calibri"/>
          <w:b/>
          <w:bCs/>
          <w:i/>
          <w:sz w:val="24"/>
          <w:szCs w:val="24"/>
          <w:shd w:val="clear" w:color="auto" w:fill="FFFFFF"/>
        </w:rPr>
        <w:t xml:space="preserve">LIII </w:t>
      </w:r>
      <w:r>
        <w:rPr>
          <w:rFonts w:eastAsia="Calibri"/>
          <w:i/>
          <w:sz w:val="24"/>
          <w:szCs w:val="24"/>
          <w:shd w:val="clear" w:color="auto" w:fill="FFFFFF"/>
        </w:rPr>
        <w:t xml:space="preserve">și </w:t>
      </w:r>
      <w:r>
        <w:rPr>
          <w:rFonts w:eastAsia="Calibri"/>
          <w:b/>
          <w:bCs/>
          <w:i/>
          <w:sz w:val="24"/>
          <w:szCs w:val="24"/>
          <w:shd w:val="clear" w:color="auto" w:fill="FFFFFF"/>
        </w:rPr>
        <w:t>LIV</w:t>
      </w:r>
      <w:r>
        <w:rPr>
          <w:rFonts w:eastAsia="Calibri"/>
          <w:i/>
          <w:sz w:val="24"/>
          <w:szCs w:val="24"/>
          <w:shd w:val="clear" w:color="auto" w:fill="FFFFFF"/>
        </w:rPr>
        <w:t>).</w:t>
      </w:r>
    </w:p>
    <w:p w14:paraId="37D3D42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6.2.39.</w:t>
      </w:r>
      <w:r>
        <w:rPr>
          <w:rFonts w:eastAsia="Calibri"/>
          <w:i/>
          <w:sz w:val="24"/>
          <w:szCs w:val="24"/>
          <w:shd w:val="clear" w:color="auto" w:fill="FFFFFF"/>
        </w:rPr>
        <w:t> Încăperile pentru depozitarea a maximum 20 m</w:t>
      </w:r>
      <w:r>
        <w:rPr>
          <w:rFonts w:eastAsia="Calibri"/>
          <w:i/>
          <w:sz w:val="24"/>
          <w:szCs w:val="24"/>
          <w:shd w:val="clear" w:color="auto" w:fill="FFFFFF"/>
          <w:vertAlign w:val="superscript"/>
        </w:rPr>
        <w:t>3</w:t>
      </w:r>
      <w:r>
        <w:rPr>
          <w:rFonts w:eastAsia="Calibri"/>
          <w:i/>
          <w:sz w:val="24"/>
          <w:szCs w:val="24"/>
          <w:shd w:val="clear" w:color="auto" w:fill="FFFFFF"/>
        </w:rPr>
        <w:t xml:space="preserve"> lichide combustibile necesare consumului funcțional al instalațiilor utilitare aferente construcției (centrala termică, grup electrogen, centrale de încălzire cu aer cald, etc), precum și a celor aferente funcționării unor echipamente (ascensoare, platforme, etc.) se separă de restul construcției prin pereți și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rezistența la foc de minimum 2 ore (</w:t>
      </w:r>
      <w:r>
        <w:rPr>
          <w:rFonts w:eastAsia="Calibri"/>
          <w:b/>
          <w:bCs/>
          <w:i/>
          <w:sz w:val="24"/>
          <w:szCs w:val="24"/>
          <w:shd w:val="clear" w:color="auto" w:fill="FFFFFF"/>
        </w:rPr>
        <w:t>EI/REI120</w:t>
      </w:r>
      <w:r>
        <w:rPr>
          <w:rFonts w:eastAsia="Calibri"/>
          <w:i/>
          <w:sz w:val="24"/>
          <w:szCs w:val="24"/>
          <w:shd w:val="clear" w:color="auto" w:fill="FFFFFF"/>
        </w:rPr>
        <w:t xml:space="preserve"> pereți și </w:t>
      </w:r>
      <w:r>
        <w:rPr>
          <w:rFonts w:eastAsia="Calibri"/>
          <w:b/>
          <w:bCs/>
          <w:i/>
          <w:sz w:val="24"/>
          <w:szCs w:val="24"/>
          <w:shd w:val="clear" w:color="auto" w:fill="FFFFFF"/>
        </w:rPr>
        <w:t>REI120</w:t>
      </w:r>
      <w:r>
        <w:rPr>
          <w:rFonts w:eastAsia="Calibri"/>
          <w:i/>
          <w:sz w:val="24"/>
          <w:szCs w:val="24"/>
          <w:shd w:val="clear" w:color="auto" w:fill="FFFFFF"/>
        </w:rPr>
        <w:t xml:space="preserve"> planșee).</w:t>
      </w:r>
    </w:p>
    <w:p w14:paraId="547F3FA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6.2.40.</w:t>
      </w:r>
      <w:r>
        <w:rPr>
          <w:rFonts w:eastAsia="Calibri"/>
          <w:i/>
          <w:sz w:val="24"/>
          <w:szCs w:val="24"/>
          <w:shd w:val="clear" w:color="auto" w:fill="FFFFFF"/>
        </w:rPr>
        <w:t> Încăperile prevăzute la Art.</w:t>
      </w:r>
      <w:r>
        <w:rPr>
          <w:rFonts w:eastAsia="Calibri"/>
          <w:b/>
          <w:bCs/>
          <w:i/>
          <w:sz w:val="24"/>
          <w:szCs w:val="24"/>
          <w:shd w:val="clear" w:color="auto" w:fill="FFFFFF"/>
        </w:rPr>
        <w:t xml:space="preserve"> A.10.6.2.39.</w:t>
      </w:r>
      <w:r>
        <w:rPr>
          <w:rFonts w:eastAsia="Calibri"/>
          <w:i/>
          <w:sz w:val="24"/>
          <w:szCs w:val="24"/>
          <w:shd w:val="clear" w:color="auto" w:fill="FFFFFF"/>
        </w:rPr>
        <w:t xml:space="preserve"> pot avea un gol de acces pentru vizitare practicat în elementele de separare față de restul construcției existente, protejat cu element de închidere rezistent la foc minimum 45 de minute (</w:t>
      </w:r>
      <w:r>
        <w:rPr>
          <w:rFonts w:eastAsia="Calibri"/>
          <w:b/>
          <w:bCs/>
          <w:i/>
          <w:sz w:val="24"/>
          <w:szCs w:val="24"/>
          <w:shd w:val="clear" w:color="auto" w:fill="FFFFFF"/>
        </w:rPr>
        <w:t>EI45-C</w:t>
      </w:r>
      <w:r>
        <w:rPr>
          <w:rFonts w:eastAsia="Calibri"/>
          <w:i/>
          <w:sz w:val="24"/>
          <w:szCs w:val="24"/>
          <w:shd w:val="clear" w:color="auto" w:fill="FFFFFF"/>
        </w:rPr>
        <w:t>) și prevăzut cu parapet (prag) cu înălțimea astfel stabilită încât să nu fie posibilă scurgerea lichidului în afara încăperii în caz de avarie. Rezervoarele se prevăd cu preaplin și conducta de aerisire cu opritor de flăcări dispus în exterior. La aceste încăperi nu este obligatorie prevederea panourilor de decomprimare și a dispozitivelor de evacuare a fumului (desfumare), iar dacă se prevede iluminat acesta va corespunde categoriei de pericol de incendiu.</w:t>
      </w:r>
    </w:p>
    <w:p w14:paraId="30B9AED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6.2.41.</w:t>
      </w:r>
      <w:r>
        <w:rPr>
          <w:rFonts w:eastAsia="Calibri"/>
          <w:i/>
          <w:sz w:val="24"/>
          <w:szCs w:val="24"/>
          <w:shd w:val="clear" w:color="auto" w:fill="FFFFFF"/>
        </w:rPr>
        <w:t> În afara rezervorului de zi cu capacitatea de maximum 2,00 m</w:t>
      </w:r>
      <w:r>
        <w:rPr>
          <w:rFonts w:eastAsia="Calibri"/>
          <w:i/>
          <w:sz w:val="24"/>
          <w:szCs w:val="24"/>
          <w:shd w:val="clear" w:color="auto" w:fill="FFFFFF"/>
          <w:vertAlign w:val="superscript"/>
        </w:rPr>
        <w:t>3</w:t>
      </w:r>
      <w:r>
        <w:rPr>
          <w:rFonts w:eastAsia="Calibri"/>
          <w:i/>
          <w:sz w:val="24"/>
          <w:szCs w:val="24"/>
          <w:shd w:val="clear" w:color="auto" w:fill="FFFFFF"/>
        </w:rPr>
        <w:t> lichid combustibil amplasat în centrala termică și a celui admis la art. 6.2.39., rezerva de combustibil lichid necesară se prevede în afara construcției existente, conform prevederilor reglementărilor tehnice specifice.</w:t>
      </w:r>
    </w:p>
    <w:p w14:paraId="5E74C79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6.2.42.</w:t>
      </w:r>
      <w:r>
        <w:rPr>
          <w:rFonts w:eastAsia="Calibri"/>
          <w:i/>
          <w:sz w:val="24"/>
          <w:szCs w:val="24"/>
          <w:shd w:val="clear" w:color="auto" w:fill="FFFFFF"/>
        </w:rPr>
        <w:t> Depozitarea combustibilului solid aferent centralelor termice, cu capacitatea maximă de 2,00 m3, se realizează în condițiile stabilite la Art.</w:t>
      </w:r>
      <w:r>
        <w:rPr>
          <w:rFonts w:eastAsia="Calibri"/>
          <w:b/>
          <w:bCs/>
          <w:i/>
          <w:sz w:val="24"/>
          <w:szCs w:val="24"/>
          <w:shd w:val="clear" w:color="auto" w:fill="FFFFFF"/>
        </w:rPr>
        <w:t xml:space="preserve"> A.10.6.2.39.</w:t>
      </w:r>
      <w:r>
        <w:rPr>
          <w:rFonts w:eastAsia="Calibri"/>
          <w:i/>
          <w:sz w:val="24"/>
          <w:szCs w:val="24"/>
          <w:shd w:val="clear" w:color="auto" w:fill="FFFFFF"/>
        </w:rPr>
        <w:t>, fiind admisă comunicarea cu sala cazanelor prin uși rezistente la foc minimum 45 de minute (</w:t>
      </w:r>
      <w:r>
        <w:rPr>
          <w:rFonts w:eastAsia="Calibri"/>
          <w:b/>
          <w:bCs/>
          <w:i/>
          <w:sz w:val="24"/>
          <w:szCs w:val="24"/>
          <w:shd w:val="clear" w:color="auto" w:fill="FFFFFF"/>
        </w:rPr>
        <w:t>EI45-C</w:t>
      </w:r>
      <w:r>
        <w:rPr>
          <w:rFonts w:eastAsia="Calibri"/>
          <w:i/>
          <w:sz w:val="24"/>
          <w:szCs w:val="24"/>
          <w:shd w:val="clear" w:color="auto" w:fill="FFFFFF"/>
        </w:rPr>
        <w:t>). Fac excepție centralele termice cu capacități mari, la care se respectă prevederile reglementărilortehnice specifice.</w:t>
      </w:r>
    </w:p>
    <w:p w14:paraId="4119DE1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6.2.43.</w:t>
      </w:r>
      <w:r>
        <w:rPr>
          <w:rFonts w:eastAsia="Calibri"/>
          <w:i/>
          <w:sz w:val="24"/>
          <w:szCs w:val="24"/>
          <w:shd w:val="clear" w:color="auto" w:fill="FFFFFF"/>
        </w:rPr>
        <w:t xml:space="preserve"> Buncarele existente pentru combustibili solizi și pâlniile de alimentare a instalațiilor de ardere aferente centralelor termice, trebuie să fie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asigurându-se măsuri de protecție și de stingere corespunzătoare. Atunci când buncăreie sunt cu capacitate mai mare de 3,00 m</w:t>
      </w:r>
      <w:r>
        <w:rPr>
          <w:rFonts w:eastAsia="Calibri"/>
          <w:i/>
          <w:sz w:val="24"/>
          <w:szCs w:val="24"/>
          <w:shd w:val="clear" w:color="auto" w:fill="FFFFFF"/>
          <w:vertAlign w:val="superscript"/>
        </w:rPr>
        <w:t>3</w:t>
      </w:r>
      <w:r>
        <w:rPr>
          <w:rFonts w:eastAsia="Calibri"/>
          <w:i/>
          <w:sz w:val="24"/>
          <w:szCs w:val="24"/>
          <w:shd w:val="clear" w:color="auto" w:fill="FFFFFF"/>
        </w:rPr>
        <w:t xml:space="preserve"> se separă de restul construcției existente prin pereți și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rezistente la foc minimum 2 ore (</w:t>
      </w:r>
      <w:r>
        <w:rPr>
          <w:rFonts w:eastAsia="Calibri"/>
          <w:b/>
          <w:bCs/>
          <w:i/>
          <w:sz w:val="24"/>
          <w:szCs w:val="24"/>
          <w:shd w:val="clear" w:color="auto" w:fill="FFFFFF"/>
        </w:rPr>
        <w:t>EI/REI120</w:t>
      </w:r>
      <w:r>
        <w:rPr>
          <w:rFonts w:eastAsia="Calibri"/>
          <w:i/>
          <w:sz w:val="24"/>
          <w:szCs w:val="24"/>
          <w:shd w:val="clear" w:color="auto" w:fill="FFFFFF"/>
        </w:rPr>
        <w:t xml:space="preserve"> pereți și </w:t>
      </w:r>
      <w:r>
        <w:rPr>
          <w:rFonts w:eastAsia="Calibri"/>
          <w:b/>
          <w:bCs/>
          <w:i/>
          <w:sz w:val="24"/>
          <w:szCs w:val="24"/>
          <w:shd w:val="clear" w:color="auto" w:fill="FFFFFF"/>
        </w:rPr>
        <w:t>REI120</w:t>
      </w:r>
      <w:r>
        <w:rPr>
          <w:rFonts w:eastAsia="Calibri"/>
          <w:i/>
          <w:sz w:val="24"/>
          <w:szCs w:val="24"/>
          <w:shd w:val="clear" w:color="auto" w:fill="FFFFFF"/>
        </w:rPr>
        <w:t xml:space="preserve"> planșee).</w:t>
      </w:r>
    </w:p>
    <w:p w14:paraId="186B252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6.2.44.</w:t>
      </w:r>
      <w:r>
        <w:rPr>
          <w:rFonts w:eastAsia="Calibri"/>
          <w:i/>
          <w:sz w:val="24"/>
          <w:szCs w:val="24"/>
          <w:shd w:val="clear" w:color="auto" w:fill="FFFFFF"/>
        </w:rPr>
        <w:t> Depozitele închise (construcții existente sau încăperi cu aria mai mare de 36 m2) pentru materiale sau substanțe combustibile se prevăd cu dispozitive de evacuare a fumului realizate, conform art. Art.</w:t>
      </w:r>
      <w:r>
        <w:rPr>
          <w:rFonts w:eastAsia="Calibri"/>
          <w:b/>
          <w:bCs/>
          <w:i/>
          <w:sz w:val="24"/>
          <w:szCs w:val="24"/>
          <w:shd w:val="clear" w:color="auto" w:fill="FFFFFF"/>
        </w:rPr>
        <w:t xml:space="preserve"> A.10.5.5.1.</w:t>
      </w:r>
      <w:r>
        <w:rPr>
          <w:rFonts w:eastAsia="Calibri"/>
          <w:i/>
          <w:sz w:val="24"/>
          <w:szCs w:val="24"/>
          <w:shd w:val="clear" w:color="auto" w:fill="FFFFFF"/>
        </w:rPr>
        <w:t xml:space="preserve"> la Art.</w:t>
      </w:r>
      <w:r>
        <w:rPr>
          <w:rFonts w:eastAsia="Calibri"/>
          <w:b/>
          <w:bCs/>
          <w:i/>
          <w:sz w:val="24"/>
          <w:szCs w:val="24"/>
          <w:shd w:val="clear" w:color="auto" w:fill="FFFFFF"/>
        </w:rPr>
        <w:t xml:space="preserve"> A.10.5.5.7.</w:t>
      </w:r>
      <w:r>
        <w:rPr>
          <w:rFonts w:eastAsia="Calibri"/>
          <w:i/>
          <w:sz w:val="24"/>
          <w:szCs w:val="24"/>
          <w:shd w:val="clear" w:color="auto" w:fill="FFFFFF"/>
        </w:rPr>
        <w:t>, asigurându-se 1% din aria pardoselii, iar atunci când încăperile de depozitare din categoriile A, B, sau C (BE3a,b sau BE2) și clasele de periculozitate P3, P4 sau P5 au aria liberă (fără pereți interiori) mai mare de 10.400 m</w:t>
      </w:r>
      <w:r>
        <w:rPr>
          <w:rFonts w:eastAsia="Calibri"/>
          <w:i/>
          <w:sz w:val="24"/>
          <w:szCs w:val="24"/>
          <w:shd w:val="clear" w:color="auto" w:fill="FFFFFF"/>
          <w:vertAlign w:val="superscript"/>
        </w:rPr>
        <w:t>2</w:t>
      </w:r>
      <w:r>
        <w:rPr>
          <w:rFonts w:eastAsia="Calibri"/>
          <w:i/>
          <w:sz w:val="24"/>
          <w:szCs w:val="24"/>
          <w:shd w:val="clear" w:color="auto" w:fill="FFFFFF"/>
        </w:rPr>
        <w:t xml:space="preserve"> se prevăd cu sisteme de evacuare a fumului și gazelor fierbinți, conform Art. </w:t>
      </w:r>
      <w:r>
        <w:rPr>
          <w:rFonts w:eastAsia="Calibri"/>
          <w:b/>
          <w:bCs/>
          <w:i/>
          <w:sz w:val="24"/>
          <w:szCs w:val="24"/>
          <w:shd w:val="clear" w:color="auto" w:fill="FFFFFF"/>
        </w:rPr>
        <w:t xml:space="preserve">A.10.9.36.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A.10.9.45.</w:t>
      </w:r>
      <w:r>
        <w:rPr>
          <w:rFonts w:eastAsia="Calibri"/>
          <w:i/>
          <w:sz w:val="24"/>
          <w:szCs w:val="24"/>
          <w:shd w:val="clear" w:color="auto" w:fill="FFFFFF"/>
        </w:rPr>
        <w:t>Fac excepție situațiile precizate în anexă.</w:t>
      </w:r>
    </w:p>
    <w:p w14:paraId="617E07F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6.2.45.</w:t>
      </w:r>
      <w:r>
        <w:rPr>
          <w:rFonts w:eastAsia="Calibri"/>
          <w:i/>
          <w:sz w:val="24"/>
          <w:szCs w:val="24"/>
          <w:shd w:val="clear" w:color="auto" w:fill="FFFFFF"/>
        </w:rPr>
        <w:t> Depozitele închise existente pentru materiale și substanțe combustibile se echipează cu instalații de semnalizare și stingere a incendiilor conform reglementărilor tehnice de specialitate, asigurându-se și dotarea corespunzătoare cu mijloace tehnice de stingere în caz de incendiu.</w:t>
      </w:r>
    </w:p>
    <w:p w14:paraId="3B054A2E" w14:textId="77777777" w:rsidR="001C08A5" w:rsidRDefault="00000000">
      <w:pPr>
        <w:pStyle w:val="Heading4"/>
        <w:rPr>
          <w:sz w:val="24"/>
          <w:szCs w:val="24"/>
        </w:rPr>
      </w:pPr>
      <w:bookmarkStart w:id="11460" w:name="_Toc28580"/>
      <w:bookmarkStart w:id="11461" w:name="_Toc17070"/>
      <w:bookmarkStart w:id="11462" w:name="_Toc14376"/>
      <w:bookmarkStart w:id="11463" w:name="_Toc14251"/>
      <w:bookmarkStart w:id="11464" w:name="_Toc731"/>
      <w:bookmarkStart w:id="11465" w:name="_Toc162355634"/>
      <w:r>
        <w:rPr>
          <w:sz w:val="24"/>
          <w:szCs w:val="24"/>
        </w:rPr>
        <w:t>Depozite deschise existente</w:t>
      </w:r>
      <w:bookmarkEnd w:id="11460"/>
      <w:bookmarkEnd w:id="11461"/>
      <w:bookmarkEnd w:id="11462"/>
      <w:bookmarkEnd w:id="11463"/>
      <w:bookmarkEnd w:id="11464"/>
      <w:bookmarkEnd w:id="11465"/>
      <w:r>
        <w:rPr>
          <w:sz w:val="24"/>
          <w:szCs w:val="24"/>
        </w:rPr>
        <w:t xml:space="preserve"> </w:t>
      </w:r>
    </w:p>
    <w:p w14:paraId="54FB954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6.2.46.</w:t>
      </w:r>
      <w:r>
        <w:rPr>
          <w:rFonts w:eastAsia="Calibri"/>
          <w:i/>
          <w:sz w:val="24"/>
          <w:szCs w:val="24"/>
          <w:shd w:val="clear" w:color="auto" w:fill="FFFFFF"/>
        </w:rPr>
        <w:t> Amplasarea și realizarea depozitelor deschise existente de materiale și substanțe combustibile solide, lichide sau gazoase se realizează potrivit prevederilor din prezenta anexă și ale reglementărilor tehnice specifice, asigurând limitarea pierderilor în caz de incendiu și condiții de intervenție corespunzătoare.</w:t>
      </w:r>
    </w:p>
    <w:p w14:paraId="529BE64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6.2.47.</w:t>
      </w:r>
      <w:r>
        <w:rPr>
          <w:rFonts w:eastAsia="Calibri"/>
          <w:i/>
          <w:sz w:val="24"/>
          <w:szCs w:val="24"/>
          <w:shd w:val="clear" w:color="auto" w:fill="FFFFFF"/>
        </w:rPr>
        <w:t> În cazul depozitării pe aceeași platformă a materialelor și substanțelor combustibile din sorturi diferite, se va asigura dispunerea organizată a acestora, astfel încât să nu favorizeze propagarea incendiilor pe suprafețe mari.</w:t>
      </w:r>
    </w:p>
    <w:p w14:paraId="41DEA8F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6.2.48.</w:t>
      </w:r>
      <w:r>
        <w:rPr>
          <w:rFonts w:eastAsia="Calibri"/>
          <w:i/>
          <w:sz w:val="24"/>
          <w:szCs w:val="24"/>
          <w:shd w:val="clear" w:color="auto" w:fill="FFFFFF"/>
        </w:rPr>
        <w:t> Depozitele deschise existente de lichide combustibile, de regulă, se amplasează în zone situate mai jos de obiecte învecinate. Atunci când amplasarea se face la o cotă mai ridicată, se iau măsuri care să împiedice pătrunderea lichidelor combustibile și transmiterea incendiului la obiectele învecinate. În cazul amplasării în vecinătatea unor ape, se iau măsuri pentru evitarea inundării depozitelorși totodată pentru împiedicarea scurgerii lichidelor combustibile spre acestea.</w:t>
      </w:r>
    </w:p>
    <w:p w14:paraId="160587F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6.2.49.</w:t>
      </w:r>
      <w:r>
        <w:rPr>
          <w:rFonts w:eastAsia="Calibri"/>
          <w:i/>
          <w:sz w:val="24"/>
          <w:szCs w:val="24"/>
          <w:shd w:val="clear" w:color="auto" w:fill="FFFFFF"/>
        </w:rPr>
        <w:t xml:space="preserve"> Rezervoarele existente fără pereți dubli sau grupurile de astfel de rezervoare supraterane sau semiîngropate se prevăd cu cuva de retenție mărginită de diguri sau pereți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incombustibili continui, care să reziste la solicitările mecanice și tehnice produse în timpul avariilor și incendiilor. Cuvele de retenție existente se dimensionează și realizează în așa fel încât să nu permită deversarea lichidelor în afara lor.</w:t>
      </w:r>
    </w:p>
    <w:p w14:paraId="6D3CEB7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6.2.50.</w:t>
      </w:r>
      <w:r>
        <w:rPr>
          <w:rFonts w:eastAsia="Calibri"/>
          <w:i/>
          <w:sz w:val="24"/>
          <w:szCs w:val="24"/>
          <w:shd w:val="clear" w:color="auto" w:fill="FFFFFF"/>
        </w:rPr>
        <w:t xml:space="preserve"> Depozitarea lichidelor combustibile în ambalaje sau recipiente, se poate face pe platforme deschise executate din materiale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situate deasupra nivelului terenului înconjurătorși prevăzut cu rigole de scurgere.</w:t>
      </w:r>
    </w:p>
    <w:p w14:paraId="5521EF9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6.2.51.</w:t>
      </w:r>
      <w:r>
        <w:rPr>
          <w:rFonts w:eastAsia="Calibri"/>
          <w:i/>
          <w:sz w:val="24"/>
          <w:szCs w:val="24"/>
          <w:shd w:val="clear" w:color="auto" w:fill="FFFFFF"/>
        </w:rPr>
        <w:t> Depozitele deschise de materiale și substanțe combustibile se dotează cu mijloace de primă intervenție și se echipează cu instalații de semnalizare și stingere a incendiilor corespunzător reglementărilor tehnice de specialitate.</w:t>
      </w:r>
    </w:p>
    <w:p w14:paraId="11F0AEDA"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6.2.52.</w:t>
      </w:r>
      <w:r>
        <w:rPr>
          <w:rFonts w:eastAsia="Calibri"/>
          <w:i/>
          <w:sz w:val="24"/>
          <w:szCs w:val="24"/>
          <w:shd w:val="clear" w:color="auto" w:fill="FFFFFF"/>
        </w:rPr>
        <w:t> Pentru accesul și intervenția operativă în caz de incendiu, depozitele deschise vor avea asigurat accesul pe toate laturile.</w:t>
      </w:r>
    </w:p>
    <w:p w14:paraId="59708981" w14:textId="77777777" w:rsidR="001C08A5" w:rsidRDefault="00000000">
      <w:pPr>
        <w:pStyle w:val="Heading2"/>
        <w:jc w:val="center"/>
        <w:rPr>
          <w:sz w:val="28"/>
        </w:rPr>
      </w:pPr>
      <w:bookmarkStart w:id="11466" w:name="_Toc8742"/>
      <w:bookmarkStart w:id="11467" w:name="_Toc7639"/>
      <w:bookmarkStart w:id="11468" w:name="_Toc418"/>
      <w:bookmarkStart w:id="11469" w:name="_Toc6910"/>
      <w:bookmarkStart w:id="11470" w:name="_Toc162355635"/>
      <w:bookmarkStart w:id="11471" w:name="_Toc22198"/>
      <w:r>
        <w:rPr>
          <w:sz w:val="28"/>
        </w:rPr>
        <w:lastRenderedPageBreak/>
        <w:t>SECŢIUNEA IV</w:t>
      </w:r>
      <w:bookmarkEnd w:id="11466"/>
      <w:bookmarkEnd w:id="11467"/>
      <w:bookmarkEnd w:id="11468"/>
      <w:bookmarkEnd w:id="11469"/>
      <w:bookmarkEnd w:id="11470"/>
      <w:bookmarkEnd w:id="11471"/>
    </w:p>
    <w:p w14:paraId="4D580F6D" w14:textId="77777777" w:rsidR="001C08A5" w:rsidRDefault="00000000">
      <w:pPr>
        <w:pStyle w:val="Heading2"/>
        <w:jc w:val="center"/>
        <w:rPr>
          <w:sz w:val="28"/>
        </w:rPr>
      </w:pPr>
      <w:bookmarkStart w:id="11472" w:name="_Toc30866"/>
      <w:bookmarkStart w:id="11473" w:name="_Toc4624"/>
      <w:bookmarkStart w:id="11474" w:name="_Toc18926"/>
      <w:bookmarkStart w:id="11475" w:name="_Toc2858"/>
      <w:bookmarkStart w:id="11476" w:name="_Toc162355636"/>
      <w:r>
        <w:rPr>
          <w:sz w:val="28"/>
        </w:rPr>
        <w:t>CONSTRUCȚII EXISTENTE CU FUNCȚIUNI MIXTE</w:t>
      </w:r>
      <w:bookmarkEnd w:id="11472"/>
      <w:bookmarkEnd w:id="11473"/>
      <w:bookmarkEnd w:id="11474"/>
      <w:bookmarkEnd w:id="11475"/>
      <w:bookmarkEnd w:id="11476"/>
    </w:p>
    <w:p w14:paraId="4654A236" w14:textId="77777777" w:rsidR="001C08A5" w:rsidRDefault="00000000">
      <w:pPr>
        <w:pStyle w:val="Heading3"/>
        <w:rPr>
          <w:i/>
          <w:iCs/>
          <w:sz w:val="26"/>
        </w:rPr>
      </w:pPr>
      <w:bookmarkStart w:id="11477" w:name="_Toc5158"/>
      <w:bookmarkStart w:id="11478" w:name="_Toc162355637"/>
      <w:bookmarkStart w:id="11479" w:name="_Toc32322"/>
      <w:bookmarkStart w:id="11480" w:name="_Toc27567"/>
      <w:bookmarkStart w:id="11481" w:name="_Toc8605"/>
      <w:bookmarkStart w:id="11482" w:name="_Toc16914"/>
      <w:r>
        <w:rPr>
          <w:i/>
          <w:iCs/>
          <w:sz w:val="26"/>
        </w:rPr>
        <w:t>CAPITOLUL 7</w:t>
      </w:r>
      <w:bookmarkEnd w:id="11477"/>
      <w:bookmarkEnd w:id="11478"/>
      <w:bookmarkEnd w:id="11479"/>
      <w:bookmarkEnd w:id="11480"/>
      <w:bookmarkEnd w:id="11481"/>
      <w:bookmarkEnd w:id="11482"/>
      <w:r>
        <w:rPr>
          <w:i/>
          <w:iCs/>
          <w:sz w:val="26"/>
        </w:rPr>
        <w:t xml:space="preserve"> </w:t>
      </w:r>
    </w:p>
    <w:p w14:paraId="37DFD4C0" w14:textId="77777777" w:rsidR="001C08A5" w:rsidRDefault="00000000">
      <w:pPr>
        <w:pStyle w:val="Heading3"/>
        <w:rPr>
          <w:i/>
          <w:iCs/>
          <w:sz w:val="26"/>
        </w:rPr>
      </w:pPr>
      <w:bookmarkStart w:id="11483" w:name="_Toc567"/>
      <w:bookmarkStart w:id="11484" w:name="_Toc8746"/>
      <w:bookmarkStart w:id="11485" w:name="_Toc162355638"/>
      <w:bookmarkStart w:id="11486" w:name="_Toc4604"/>
      <w:bookmarkStart w:id="11487" w:name="_Toc28591"/>
      <w:bookmarkStart w:id="11488" w:name="_Toc24154"/>
      <w:r>
        <w:rPr>
          <w:i/>
          <w:iCs/>
          <w:sz w:val="26"/>
        </w:rPr>
        <w:t>PERFORMANȚE COMUNE CONSTRUCȚIILOR EXISTENTE CU FUNCȚIUNI MIXTE</w:t>
      </w:r>
      <w:bookmarkEnd w:id="11483"/>
      <w:bookmarkEnd w:id="11484"/>
      <w:bookmarkEnd w:id="11485"/>
      <w:bookmarkEnd w:id="11486"/>
      <w:bookmarkEnd w:id="11487"/>
      <w:bookmarkEnd w:id="11488"/>
    </w:p>
    <w:p w14:paraId="20F18924" w14:textId="77777777" w:rsidR="001C08A5" w:rsidRDefault="00000000">
      <w:pPr>
        <w:pStyle w:val="Heading3"/>
        <w:rPr>
          <w:i/>
          <w:iCs/>
          <w:sz w:val="24"/>
          <w:szCs w:val="24"/>
        </w:rPr>
      </w:pPr>
      <w:bookmarkStart w:id="11489" w:name="_Toc1975"/>
      <w:bookmarkStart w:id="11490" w:name="_Toc162355639"/>
      <w:bookmarkStart w:id="11491" w:name="_Toc28529"/>
      <w:bookmarkStart w:id="11492" w:name="_Toc30906"/>
      <w:bookmarkStart w:id="11493" w:name="_Toc14126"/>
      <w:bookmarkStart w:id="11494" w:name="_Toc16561"/>
      <w:r>
        <w:rPr>
          <w:i/>
          <w:iCs/>
          <w:sz w:val="24"/>
          <w:szCs w:val="24"/>
        </w:rPr>
        <w:t>A.10. 7.1. RISC ȘI CATEGORIE DE PERICOL DE INCENDIU, NIVEL DE STABILITATE LA INCENDIU</w:t>
      </w:r>
      <w:bookmarkEnd w:id="11489"/>
      <w:bookmarkEnd w:id="11490"/>
      <w:bookmarkEnd w:id="11491"/>
      <w:bookmarkEnd w:id="11492"/>
      <w:bookmarkEnd w:id="11493"/>
      <w:bookmarkEnd w:id="11494"/>
    </w:p>
    <w:p w14:paraId="6D26F72D" w14:textId="77777777" w:rsidR="001C08A5" w:rsidRDefault="00000000">
      <w:pPr>
        <w:pStyle w:val="Heading4"/>
        <w:rPr>
          <w:sz w:val="24"/>
          <w:szCs w:val="24"/>
        </w:rPr>
      </w:pPr>
      <w:bookmarkStart w:id="11495" w:name="_Toc13985"/>
      <w:bookmarkStart w:id="11496" w:name="_Toc19609"/>
      <w:bookmarkStart w:id="11497" w:name="_Toc162355640"/>
      <w:bookmarkStart w:id="11498" w:name="_Toc3424"/>
      <w:bookmarkStart w:id="11499" w:name="_Toc32367"/>
      <w:bookmarkStart w:id="11500" w:name="_Toc1935"/>
      <w:r>
        <w:rPr>
          <w:sz w:val="24"/>
          <w:szCs w:val="24"/>
        </w:rPr>
        <w:t>Risc și categorie de pericol de incendiu</w:t>
      </w:r>
      <w:bookmarkEnd w:id="11495"/>
      <w:bookmarkEnd w:id="11496"/>
      <w:bookmarkEnd w:id="11497"/>
      <w:bookmarkEnd w:id="11498"/>
      <w:bookmarkEnd w:id="11499"/>
      <w:bookmarkEnd w:id="11500"/>
    </w:p>
    <w:p w14:paraId="0AE5760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7.1.1.</w:t>
      </w:r>
      <w:r>
        <w:rPr>
          <w:rFonts w:eastAsia="Calibri"/>
          <w:i/>
          <w:sz w:val="24"/>
          <w:szCs w:val="24"/>
          <w:shd w:val="clear" w:color="auto" w:fill="FFFFFF"/>
        </w:rPr>
        <w:t> Zonele, încăperile, compartimentele de incendiu existente și construcțiile existente independente cu funcțiuni mixte, vor avea determinate și precizate riscurile și după caz, pericolele de incendiu specifice, conform prevederilor Art.</w:t>
      </w:r>
      <w:r>
        <w:rPr>
          <w:rFonts w:eastAsia="Calibri"/>
          <w:b/>
          <w:bCs/>
          <w:i/>
          <w:sz w:val="24"/>
          <w:szCs w:val="24"/>
          <w:shd w:val="clear" w:color="auto" w:fill="FFFFFF"/>
        </w:rPr>
        <w:t xml:space="preserve"> A.10.2.1.1</w:t>
      </w:r>
      <w:r>
        <w:rPr>
          <w:rFonts w:eastAsia="Calibri"/>
          <w:i/>
          <w:sz w:val="24"/>
          <w:szCs w:val="24"/>
          <w:shd w:val="clear" w:color="auto" w:fill="FFFFFF"/>
        </w:rPr>
        <w:t>. la Art.</w:t>
      </w:r>
      <w:r>
        <w:rPr>
          <w:rFonts w:eastAsia="Calibri"/>
          <w:b/>
          <w:bCs/>
          <w:i/>
          <w:sz w:val="24"/>
          <w:szCs w:val="24"/>
          <w:shd w:val="clear" w:color="auto" w:fill="FFFFFF"/>
        </w:rPr>
        <w:t xml:space="preserve"> A.10.2.1.7.</w:t>
      </w:r>
      <w:r>
        <w:rPr>
          <w:rFonts w:eastAsia="Calibri"/>
          <w:i/>
          <w:sz w:val="24"/>
          <w:szCs w:val="24"/>
          <w:shd w:val="clear" w:color="auto" w:fill="FFFFFF"/>
        </w:rPr>
        <w:t xml:space="preserve"> din prezenta anexă.</w:t>
      </w:r>
    </w:p>
    <w:p w14:paraId="1FEDCDF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7.1.2.</w:t>
      </w:r>
      <w:r>
        <w:rPr>
          <w:rFonts w:eastAsia="Calibri"/>
          <w:i/>
          <w:sz w:val="24"/>
          <w:szCs w:val="24"/>
          <w:shd w:val="clear" w:color="auto" w:fill="FFFFFF"/>
        </w:rPr>
        <w:t> Pentru funcțiuni civile (publice) se stabilesc riscuri de incendiu, iar pentru cele de producție și/sau depozitare riscurile de incendiu se exprimă prin categorii de pericol de incendiu, determinate conform prevederilor din prezenta anexă.</w:t>
      </w:r>
    </w:p>
    <w:p w14:paraId="0103A4B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7.1.3.</w:t>
      </w:r>
      <w:r>
        <w:rPr>
          <w:rFonts w:eastAsia="Calibri"/>
          <w:i/>
          <w:sz w:val="24"/>
          <w:szCs w:val="24"/>
          <w:shd w:val="clear" w:color="auto" w:fill="FFFFFF"/>
        </w:rPr>
        <w:t> Într-o construcție existentă cu funcțiuni mixte, porțiunile de clădiri civile (publice) existente, separate corespunzător conform anexei de cele cu activități de producție și/sau depozitare, sunt considerate cu riscul de incendiu cel mai mare din porțiunea respectivă, care reprezintă cel puțin 30% din aria desfășurată a acesteia. Atunci când în construcția existentă cu funcțiuni mixte, aria desfășurată a porțiunilor cu funcțiuni civile publice reprezintă mai mult de 60% din aria desfășurată totală a construcției existente, clădirea existentă respectivă este considerată civilă (publică) și cu riscul stabilit conform primului alineat, iar în ansamblu trebuie să îndeplinească performanțele comune și specifice acesteia, conform prevederilor stabilite prin prezenta anexă.</w:t>
      </w:r>
    </w:p>
    <w:p w14:paraId="03D309D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7.1.4.</w:t>
      </w:r>
      <w:r>
        <w:rPr>
          <w:rFonts w:eastAsia="Calibri"/>
          <w:i/>
          <w:sz w:val="24"/>
          <w:szCs w:val="24"/>
          <w:shd w:val="clear" w:color="auto" w:fill="FFFFFF"/>
        </w:rPr>
        <w:t xml:space="preserve"> Porțiunile de construcții existente cu activități de producție și/sau depozitare dintr-o construcție existentă cu funcțiuni mixte, separate corespunzător conform anexei de cele cu funcțiuni civile (publice), sunt considerate cu categoria de incendiu cea mai periculoasă care reprezintă peste 30% din aria desfășurată a acestora. Atunci când în construcția existentă cu funcțiuni mixte, aria desfășurată a activităților de producție și/sau depozitare reprezintă mai mult de 60% din aria desfășurată totală a construcției  existente, aceasta este considerată de producție și/sau depozitare având categoria de pericol de incendiu stabilită conform primului alineat, iarîn ansamblu trebuie să îndeplinească performanțele comune și specifice acesteia, conform prevederilor stabilite prin prezenta anexă (partea </w:t>
      </w:r>
      <w:r>
        <w:rPr>
          <w:rFonts w:eastAsia="Calibri"/>
          <w:b/>
          <w:bCs/>
          <w:i/>
          <w:sz w:val="24"/>
          <w:szCs w:val="24"/>
          <w:shd w:val="clear" w:color="auto" w:fill="FFFFFF"/>
        </w:rPr>
        <w:t>III</w:t>
      </w:r>
      <w:r>
        <w:rPr>
          <w:rFonts w:eastAsia="Calibri"/>
          <w:i/>
          <w:sz w:val="24"/>
          <w:szCs w:val="24"/>
          <w:shd w:val="clear" w:color="auto" w:fill="FFFFFF"/>
        </w:rPr>
        <w:t xml:space="preserve">-a și a </w:t>
      </w:r>
      <w:r>
        <w:rPr>
          <w:rFonts w:eastAsia="Calibri"/>
          <w:b/>
          <w:bCs/>
          <w:i/>
          <w:sz w:val="24"/>
          <w:szCs w:val="24"/>
          <w:shd w:val="clear" w:color="auto" w:fill="FFFFFF"/>
        </w:rPr>
        <w:t>IV</w:t>
      </w:r>
      <w:r>
        <w:rPr>
          <w:rFonts w:eastAsia="Calibri"/>
          <w:i/>
          <w:sz w:val="24"/>
          <w:szCs w:val="24"/>
          <w:shd w:val="clear" w:color="auto" w:fill="FFFFFF"/>
        </w:rPr>
        <w:t>-a).</w:t>
      </w:r>
    </w:p>
    <w:p w14:paraId="522CBB78" w14:textId="77777777" w:rsidR="001C08A5" w:rsidRDefault="00000000">
      <w:pPr>
        <w:pStyle w:val="Heading4"/>
        <w:rPr>
          <w:sz w:val="24"/>
          <w:szCs w:val="24"/>
        </w:rPr>
      </w:pPr>
      <w:bookmarkStart w:id="11501" w:name="_Toc14133"/>
      <w:bookmarkStart w:id="11502" w:name="_Toc20064"/>
      <w:bookmarkStart w:id="11503" w:name="_Toc24083"/>
      <w:bookmarkStart w:id="11504" w:name="_Toc162355641"/>
      <w:bookmarkStart w:id="11505" w:name="_Toc27158"/>
      <w:bookmarkStart w:id="11506" w:name="_Toc6524"/>
      <w:r>
        <w:rPr>
          <w:sz w:val="24"/>
          <w:szCs w:val="24"/>
        </w:rPr>
        <w:t>Nivel de stabilitate la incendiu</w:t>
      </w:r>
      <w:bookmarkEnd w:id="11501"/>
      <w:bookmarkEnd w:id="11502"/>
      <w:bookmarkEnd w:id="11503"/>
      <w:bookmarkEnd w:id="11504"/>
      <w:bookmarkEnd w:id="11505"/>
      <w:bookmarkEnd w:id="11506"/>
    </w:p>
    <w:p w14:paraId="1920CB7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7.1.5.</w:t>
      </w:r>
      <w:r>
        <w:rPr>
          <w:rFonts w:eastAsia="Calibri"/>
          <w:i/>
          <w:sz w:val="24"/>
          <w:szCs w:val="24"/>
          <w:shd w:val="clear" w:color="auto" w:fill="FFFFFF"/>
        </w:rPr>
        <w:t> Construcțiile existente cu funcțiuni mixte vor avea determinat nivelul de stabilitate la incendiu asigurat, precizându--se în documentație. La determinarea nivelului de stabilitate la incendiu se au în vedere prevederile Art.</w:t>
      </w:r>
      <w:r>
        <w:rPr>
          <w:rFonts w:eastAsia="Calibri"/>
          <w:b/>
          <w:bCs/>
          <w:i/>
          <w:sz w:val="24"/>
          <w:szCs w:val="24"/>
          <w:shd w:val="clear" w:color="auto" w:fill="FFFFFF"/>
        </w:rPr>
        <w:t xml:space="preserve"> A.10.2.1.8</w:t>
      </w:r>
      <w:r>
        <w:rPr>
          <w:rFonts w:eastAsia="Calibri"/>
          <w:i/>
          <w:sz w:val="24"/>
          <w:szCs w:val="24"/>
          <w:shd w:val="clear" w:color="auto" w:fill="FFFFFF"/>
        </w:rPr>
        <w:t>. la Art.</w:t>
      </w:r>
      <w:r>
        <w:rPr>
          <w:rFonts w:eastAsia="Calibri"/>
          <w:b/>
          <w:bCs/>
          <w:i/>
          <w:sz w:val="24"/>
          <w:szCs w:val="24"/>
          <w:shd w:val="clear" w:color="auto" w:fill="FFFFFF"/>
        </w:rPr>
        <w:t xml:space="preserve"> A.10.2.1.14.</w:t>
      </w:r>
      <w:r>
        <w:rPr>
          <w:rFonts w:eastAsia="Calibri"/>
          <w:i/>
          <w:sz w:val="24"/>
          <w:szCs w:val="24"/>
          <w:shd w:val="clear" w:color="auto" w:fill="FFFFFF"/>
        </w:rPr>
        <w:t>. și după caz, condițiile specifice tipului de construcție existentă.</w:t>
      </w:r>
    </w:p>
    <w:p w14:paraId="1A293DF0" w14:textId="77777777" w:rsidR="001C08A5" w:rsidRDefault="00000000">
      <w:pPr>
        <w:pStyle w:val="Heading3"/>
        <w:rPr>
          <w:i/>
          <w:iCs/>
          <w:sz w:val="24"/>
          <w:szCs w:val="24"/>
        </w:rPr>
      </w:pPr>
      <w:bookmarkStart w:id="11507" w:name="_Toc162355642"/>
      <w:bookmarkStart w:id="11508" w:name="_Toc31168"/>
      <w:bookmarkStart w:id="11509" w:name="_Toc15695"/>
      <w:bookmarkStart w:id="11510" w:name="_Toc29204"/>
      <w:bookmarkStart w:id="11511" w:name="_Toc618"/>
      <w:bookmarkStart w:id="11512" w:name="_Toc5764"/>
      <w:r>
        <w:rPr>
          <w:i/>
          <w:iCs/>
          <w:sz w:val="24"/>
          <w:szCs w:val="24"/>
        </w:rPr>
        <w:t>A.10. 7.2. AMPLASARE ȘI CONFORMARE LA FOC</w:t>
      </w:r>
      <w:bookmarkEnd w:id="11507"/>
      <w:bookmarkEnd w:id="11508"/>
      <w:bookmarkEnd w:id="11509"/>
      <w:bookmarkEnd w:id="11510"/>
      <w:bookmarkEnd w:id="11511"/>
      <w:bookmarkEnd w:id="11512"/>
    </w:p>
    <w:p w14:paraId="3B39E725" w14:textId="77777777" w:rsidR="001C08A5" w:rsidRDefault="00000000">
      <w:pPr>
        <w:pStyle w:val="Heading4"/>
        <w:rPr>
          <w:sz w:val="24"/>
          <w:szCs w:val="24"/>
        </w:rPr>
      </w:pPr>
      <w:bookmarkStart w:id="11513" w:name="_Toc26344"/>
      <w:bookmarkStart w:id="11514" w:name="_Toc32733"/>
      <w:bookmarkStart w:id="11515" w:name="_Toc162355643"/>
      <w:bookmarkStart w:id="11516" w:name="_Toc7568"/>
      <w:bookmarkStart w:id="11517" w:name="_Toc2602"/>
      <w:bookmarkStart w:id="11518" w:name="_Toc9855"/>
      <w:r>
        <w:rPr>
          <w:sz w:val="24"/>
          <w:szCs w:val="24"/>
        </w:rPr>
        <w:t>Amplasare</w:t>
      </w:r>
      <w:bookmarkEnd w:id="11513"/>
      <w:bookmarkEnd w:id="11514"/>
      <w:bookmarkEnd w:id="11515"/>
      <w:bookmarkEnd w:id="11516"/>
      <w:bookmarkEnd w:id="11517"/>
      <w:bookmarkEnd w:id="11518"/>
    </w:p>
    <w:p w14:paraId="376550C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7.2.1.</w:t>
      </w:r>
      <w:r>
        <w:rPr>
          <w:rFonts w:eastAsia="Calibri"/>
          <w:i/>
          <w:sz w:val="24"/>
          <w:szCs w:val="24"/>
          <w:shd w:val="clear" w:color="auto" w:fill="FFFFFF"/>
        </w:rPr>
        <w:t> Construcțiile existente cu funcțiuni mixte, independente, comasate sau grupate în conformitate cu prevederile generale ale anexei, se amplasează la distanțele de siguranță stabilite în Art.</w:t>
      </w:r>
      <w:r>
        <w:rPr>
          <w:rFonts w:eastAsia="Calibri"/>
          <w:b/>
          <w:bCs/>
          <w:i/>
          <w:sz w:val="24"/>
          <w:szCs w:val="24"/>
          <w:shd w:val="clear" w:color="auto" w:fill="FFFFFF"/>
        </w:rPr>
        <w:t xml:space="preserve"> A.10.2.2.1</w:t>
      </w:r>
      <w:r>
        <w:rPr>
          <w:rFonts w:eastAsia="Calibri"/>
          <w:i/>
          <w:sz w:val="24"/>
          <w:szCs w:val="24"/>
          <w:shd w:val="clear" w:color="auto" w:fill="FFFFFF"/>
        </w:rPr>
        <w:t>. la Art.</w:t>
      </w:r>
      <w:r>
        <w:rPr>
          <w:rFonts w:eastAsia="Calibri"/>
          <w:b/>
          <w:bCs/>
          <w:i/>
          <w:sz w:val="24"/>
          <w:szCs w:val="24"/>
          <w:shd w:val="clear" w:color="auto" w:fill="FFFFFF"/>
        </w:rPr>
        <w:t xml:space="preserve"> A.10.2.2.3.</w:t>
      </w:r>
      <w:r>
        <w:rPr>
          <w:rFonts w:eastAsia="Calibri"/>
          <w:i/>
          <w:sz w:val="24"/>
          <w:szCs w:val="24"/>
          <w:shd w:val="clear" w:color="auto" w:fill="FFFFFF"/>
        </w:rPr>
        <w:t>, având în vedere ansamblul constituit, precum și riscurile (pericolele) de incendiu ale porțiunilor de construcție existentă față de care se asigură distanțele. Atunci când nu se pot asigura distanțele de siguranță normate, se compartimentează corespunzător prevederilor anexei.</w:t>
      </w:r>
    </w:p>
    <w:p w14:paraId="44D9CAE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7.2.2.</w:t>
      </w:r>
      <w:r>
        <w:rPr>
          <w:rFonts w:eastAsia="Calibri"/>
          <w:i/>
          <w:sz w:val="24"/>
          <w:szCs w:val="24"/>
          <w:shd w:val="clear" w:color="auto" w:fill="FFFFFF"/>
        </w:rPr>
        <w:t> Construcțiile existente cu funcțiuni mixte care cuprind activități cu risc sau pericol mare de incendiu sau un număr mare de persoane, se recomandă să fie amplasate independent, la distanțele de siguranță normate față de vecinătăți.</w:t>
      </w:r>
    </w:p>
    <w:p w14:paraId="724AA2A3" w14:textId="77777777" w:rsidR="001C08A5" w:rsidRDefault="00000000">
      <w:pPr>
        <w:pStyle w:val="Heading4"/>
        <w:rPr>
          <w:sz w:val="24"/>
          <w:szCs w:val="24"/>
        </w:rPr>
      </w:pPr>
      <w:bookmarkStart w:id="11519" w:name="_Toc18591"/>
      <w:bookmarkStart w:id="11520" w:name="_Toc162355644"/>
      <w:bookmarkStart w:id="11521" w:name="_Toc29939"/>
      <w:bookmarkStart w:id="11522" w:name="_Toc27388"/>
      <w:bookmarkStart w:id="11523" w:name="_Toc25326"/>
      <w:bookmarkStart w:id="11524" w:name="_Toc9766"/>
      <w:r>
        <w:rPr>
          <w:sz w:val="24"/>
          <w:szCs w:val="24"/>
        </w:rPr>
        <w:t>Conformare la foc</w:t>
      </w:r>
      <w:bookmarkEnd w:id="11519"/>
      <w:bookmarkEnd w:id="11520"/>
      <w:bookmarkEnd w:id="11521"/>
      <w:bookmarkEnd w:id="11522"/>
      <w:bookmarkEnd w:id="11523"/>
      <w:bookmarkEnd w:id="11524"/>
    </w:p>
    <w:p w14:paraId="344E3E6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7.2.3.</w:t>
      </w:r>
      <w:r>
        <w:rPr>
          <w:rFonts w:eastAsia="Calibri"/>
          <w:i/>
          <w:sz w:val="24"/>
          <w:szCs w:val="24"/>
          <w:shd w:val="clear" w:color="auto" w:fill="FFFFFF"/>
        </w:rPr>
        <w:t> Prin conformarea la foc a construcțiilor existente cu funcțiuni mixte, civile (publice), de producție și/sau depozitare, pe cât posibil, se va urmări dispunerea distinctă a funcțiunilor și luarea măsurilor de proteție specifice acestora, asigurându-se îndeplinirea condiților de corelație între riscul (categoria) de pericol de incendiu, nivelul de stabilitate la incendiu, numărul de niveluri și aria construită, conform prevederilor din prezenta anexă, având în vedere precizările Art.</w:t>
      </w:r>
      <w:r>
        <w:rPr>
          <w:rFonts w:eastAsia="Calibri"/>
          <w:b/>
          <w:bCs/>
          <w:i/>
          <w:sz w:val="24"/>
          <w:szCs w:val="24"/>
          <w:shd w:val="clear" w:color="auto" w:fill="FFFFFF"/>
        </w:rPr>
        <w:t xml:space="preserve"> A.10.7.1.1.</w:t>
      </w:r>
      <w:r>
        <w:rPr>
          <w:rFonts w:eastAsia="Calibri"/>
          <w:i/>
          <w:sz w:val="24"/>
          <w:szCs w:val="24"/>
          <w:shd w:val="clear" w:color="auto" w:fill="FFFFFF"/>
        </w:rPr>
        <w:t xml:space="preserve"> la Art.</w:t>
      </w:r>
      <w:r>
        <w:rPr>
          <w:rFonts w:eastAsia="Calibri"/>
          <w:b/>
          <w:bCs/>
          <w:i/>
          <w:sz w:val="24"/>
          <w:szCs w:val="24"/>
          <w:shd w:val="clear" w:color="auto" w:fill="FFFFFF"/>
        </w:rPr>
        <w:t xml:space="preserve"> A.10.7.1.4.</w:t>
      </w:r>
    </w:p>
    <w:p w14:paraId="38BDB52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7.2.4.</w:t>
      </w:r>
      <w:r>
        <w:rPr>
          <w:rFonts w:eastAsia="Calibri"/>
          <w:i/>
          <w:sz w:val="24"/>
          <w:szCs w:val="24"/>
          <w:shd w:val="clear" w:color="auto" w:fill="FFFFFF"/>
        </w:rPr>
        <w:t> Atunci când o clădire civilă (publică) existentă cuprinde activități civile publice diferite și independente funcțional, se asigură îndeplinirea condițiilor de performanță corespunzătoare cele mai severe prevăzute de anexă pentru respectivele funcjiuni civile (publice). Dacă aceste funcțiuni sunt dispuse intr-</w:t>
      </w:r>
      <w:r>
        <w:rPr>
          <w:rFonts w:eastAsia="Calibri"/>
          <w:i/>
          <w:sz w:val="24"/>
          <w:szCs w:val="24"/>
          <w:shd w:val="clear" w:color="auto" w:fill="FFFFFF"/>
        </w:rPr>
        <w:softHyphen/>
        <w:t>o clădire existentă înaltă, foarte înaltă, sau cu săli aglomerate, vor fi îndeplinite și condițiile de performanță specifice acestora.</w:t>
      </w:r>
    </w:p>
    <w:p w14:paraId="60DADBE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7.2.5.</w:t>
      </w:r>
      <w:r>
        <w:rPr>
          <w:rFonts w:eastAsia="Calibri"/>
          <w:i/>
          <w:sz w:val="24"/>
          <w:szCs w:val="24"/>
          <w:shd w:val="clear" w:color="auto" w:fill="FFFFFF"/>
        </w:rPr>
        <w:t> În construcțiile existente cu funcțiuni mixte civile (publice), de producție și/sau depozitare, în fiecare porțuine se asigură îndeplinirea condițiilor de performanță cele mai severe prevăzute în anexă pentru respectivele funcțiuni având în vedere și implicațiile acestora asupra întregii construcții existente.</w:t>
      </w:r>
    </w:p>
    <w:p w14:paraId="47320A4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7.2.6.</w:t>
      </w:r>
      <w:r>
        <w:rPr>
          <w:rFonts w:eastAsia="Calibri"/>
          <w:i/>
          <w:sz w:val="24"/>
          <w:szCs w:val="24"/>
          <w:shd w:val="clear" w:color="auto" w:fill="FFFFFF"/>
        </w:rPr>
        <w:t> Prin conformarea construcțiilor existente cu funcțiuni mixte, se va asigura limitarea posibilităților de propagare a focului și fumului atât în porțiunile incendiate, cât și la porțiunile de construcție existentă cu alte funcțiuni, luându-se măsurile de protecție corespunzătoare.</w:t>
      </w:r>
    </w:p>
    <w:p w14:paraId="65C005F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7.2.7.</w:t>
      </w:r>
      <w:r>
        <w:rPr>
          <w:rFonts w:eastAsia="Calibri"/>
          <w:i/>
          <w:sz w:val="24"/>
          <w:szCs w:val="24"/>
          <w:shd w:val="clear" w:color="auto" w:fill="FFFFFF"/>
        </w:rPr>
        <w:t> În construcțiile existente etajate cu funcțiuni mixte, civile (publice), de orice fel, nu este admisă dispunerea unor spații sau încăperi cu pericol de explozie, din categoria A sau B (BE3a,b) de pericol de incendiu, la nivelurile lor inferioare (supraterane sau subterane).</w:t>
      </w:r>
    </w:p>
    <w:p w14:paraId="12B221A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7.2.8.</w:t>
      </w:r>
      <w:r>
        <w:rPr>
          <w:rFonts w:eastAsia="Calibri"/>
          <w:i/>
          <w:sz w:val="24"/>
          <w:szCs w:val="24"/>
          <w:shd w:val="clear" w:color="auto" w:fill="FFFFFF"/>
        </w:rPr>
        <w:t> Dispunerea spațiilor și a încăperilor cu pericol de explozie, din categoriile A sau B (BE3a,b) de pericol de incendiu în construcțiile existente cu funcțiuni mixte de producție și/sau depozitare, se recomandă la ultimul nivel suprateran și cu luarea măsurilor de protecție corespunzătoare.</w:t>
      </w:r>
    </w:p>
    <w:p w14:paraId="56C22211" w14:textId="77777777" w:rsidR="001C08A5" w:rsidRDefault="00000000">
      <w:pPr>
        <w:pStyle w:val="Heading3"/>
        <w:rPr>
          <w:i/>
          <w:iCs/>
          <w:sz w:val="24"/>
          <w:szCs w:val="24"/>
        </w:rPr>
      </w:pPr>
      <w:bookmarkStart w:id="11525" w:name="_Toc1036"/>
      <w:bookmarkStart w:id="11526" w:name="_Toc162355645"/>
      <w:bookmarkStart w:id="11527" w:name="_Toc28212"/>
      <w:bookmarkStart w:id="11528" w:name="_Toc15572"/>
      <w:bookmarkStart w:id="11529" w:name="_Toc12822"/>
      <w:bookmarkStart w:id="11530" w:name="_Toc28029"/>
      <w:r>
        <w:rPr>
          <w:i/>
          <w:iCs/>
          <w:sz w:val="24"/>
          <w:szCs w:val="24"/>
        </w:rPr>
        <w:t>A.10. 7.3. ALCĂTUIRI CONSTRUCTIVE</w:t>
      </w:r>
      <w:bookmarkEnd w:id="11525"/>
      <w:bookmarkEnd w:id="11526"/>
      <w:bookmarkEnd w:id="11527"/>
      <w:bookmarkEnd w:id="11528"/>
      <w:bookmarkEnd w:id="11529"/>
      <w:bookmarkEnd w:id="11530"/>
    </w:p>
    <w:p w14:paraId="70A1BF9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7.3.1.</w:t>
      </w:r>
      <w:r>
        <w:rPr>
          <w:rFonts w:eastAsia="Calibri"/>
          <w:i/>
          <w:sz w:val="24"/>
          <w:szCs w:val="24"/>
          <w:shd w:val="clear" w:color="auto" w:fill="FFFFFF"/>
        </w:rPr>
        <w:t> Construcțiile existente cu funcțiuni mixte se realizează din materiale și elemente de construcție corespunzătoare nivelului de stabilitate la incendiu necesar îndeplinirii condițiilor de corelație normate, în așa fel alcătuite încât să nu propage focul cu ușurință.</w:t>
      </w:r>
    </w:p>
    <w:p w14:paraId="083EEBE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7.3.2.</w:t>
      </w:r>
      <w:r>
        <w:rPr>
          <w:rFonts w:eastAsia="Calibri"/>
          <w:i/>
          <w:sz w:val="24"/>
          <w:szCs w:val="24"/>
          <w:shd w:val="clear" w:color="auto" w:fill="FFFFFF"/>
        </w:rPr>
        <w:t> Eventualele goluri interioare ale elementelor de construcție vor avea continuitatea întreruptă conform prevederilor stabilite prin prezenta anexă, astfel încât să nu favorizeze propagarea focului și a fumului pe arii mari construite și între funcțiuni sau destinații diferite.</w:t>
      </w:r>
    </w:p>
    <w:p w14:paraId="70ECC8A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7.3.3.</w:t>
      </w:r>
      <w:r>
        <w:rPr>
          <w:rFonts w:eastAsia="Calibri"/>
          <w:i/>
          <w:sz w:val="24"/>
          <w:szCs w:val="24"/>
          <w:shd w:val="clear" w:color="auto" w:fill="FFFFFF"/>
        </w:rPr>
        <w:t> Funcțiunile diferite din construcția existentă se separă cu elemente verticale și după caz, orizontale, din clasa de reacție la foc, cu rezistența la foc determinate conform prevederilor stabilite prin prezenta anexă, în funcție de nivelul riscului (categoriei) de pericol de incendiu cea mai mare, a densității sarcinii termice și condițiile performante specifice funcțiunii (destinației) și tipului de clădire existentă.</w:t>
      </w:r>
    </w:p>
    <w:p w14:paraId="46DB3A7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7.3.4.</w:t>
      </w:r>
      <w:r>
        <w:rPr>
          <w:rFonts w:eastAsia="Calibri"/>
          <w:i/>
          <w:sz w:val="24"/>
          <w:szCs w:val="24"/>
          <w:shd w:val="clear" w:color="auto" w:fill="FFFFFF"/>
        </w:rPr>
        <w:t> La alcătuirea și realizarea porțiunilor de construcție existentă cu funcțiuni distincte civile (publice) de producție și/sau depozitare, se vor îndeplini condițiile de performanță specifice fiecărei funcțiuni, conform prevederilor din prezenta anexă, iar întreaga construcție existentă trebuie să asigure îndeplinirea condițiilor de performanță corespunzătoare ansamblului considerat, conform prevederilor Art.</w:t>
      </w:r>
      <w:r>
        <w:rPr>
          <w:rFonts w:eastAsia="Calibri"/>
          <w:b/>
          <w:bCs/>
          <w:i/>
          <w:sz w:val="24"/>
          <w:szCs w:val="24"/>
          <w:shd w:val="clear" w:color="auto" w:fill="FFFFFF"/>
        </w:rPr>
        <w:t xml:space="preserve"> A.10.7.1.1.</w:t>
      </w:r>
      <w:r>
        <w:rPr>
          <w:rFonts w:eastAsia="Calibri"/>
          <w:i/>
          <w:sz w:val="24"/>
          <w:szCs w:val="24"/>
          <w:shd w:val="clear" w:color="auto" w:fill="FFFFFF"/>
        </w:rPr>
        <w:t xml:space="preserve"> la Art.</w:t>
      </w:r>
      <w:r>
        <w:rPr>
          <w:rFonts w:eastAsia="Calibri"/>
          <w:b/>
          <w:bCs/>
          <w:i/>
          <w:sz w:val="24"/>
          <w:szCs w:val="24"/>
          <w:shd w:val="clear" w:color="auto" w:fill="FFFFFF"/>
        </w:rPr>
        <w:t xml:space="preserve"> A.10.7.1.4.</w:t>
      </w:r>
    </w:p>
    <w:p w14:paraId="635EA1E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7.3.5.</w:t>
      </w:r>
      <w:r>
        <w:rPr>
          <w:rFonts w:eastAsia="Calibri"/>
          <w:i/>
          <w:sz w:val="24"/>
          <w:szCs w:val="24"/>
          <w:shd w:val="clear" w:color="auto" w:fill="FFFFFF"/>
        </w:rPr>
        <w:t> Încăperile de depozitare a materialelor și substanțelor combustibile, se alcătuiesc, realizează și separă de restul construcției existente cu funcțiuni mixte corespunzător prevederilor generale și specifice acestora. Fac excepție încăperile de depozitare cu aria de maximum 36 m</w:t>
      </w:r>
      <w:r>
        <w:rPr>
          <w:rFonts w:eastAsia="Calibri"/>
          <w:i/>
          <w:sz w:val="24"/>
          <w:szCs w:val="24"/>
          <w:shd w:val="clear" w:color="auto" w:fill="FFFFFF"/>
          <w:vertAlign w:val="superscript"/>
        </w:rPr>
        <w:t>2</w:t>
      </w:r>
      <w:r>
        <w:rPr>
          <w:rFonts w:eastAsia="Calibri"/>
          <w:i/>
          <w:sz w:val="24"/>
          <w:szCs w:val="24"/>
          <w:shd w:val="clear" w:color="auto" w:fill="FFFFFF"/>
        </w:rPr>
        <w:t>, la care nu se impun măsuri de protecție deosebite.</w:t>
      </w:r>
    </w:p>
    <w:p w14:paraId="4075D70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7.3.6.</w:t>
      </w:r>
      <w:r>
        <w:rPr>
          <w:rFonts w:eastAsia="Calibri"/>
          <w:i/>
          <w:sz w:val="24"/>
          <w:szCs w:val="24"/>
          <w:shd w:val="clear" w:color="auto" w:fill="FFFFFF"/>
        </w:rPr>
        <w:t> În situațiile admise de prezenta anexă, încăperile cu pericol de explozie, categoria Asau B (BE3a,b) de pericol de incendiu, dispuse astfel încât să nu pună în pericol construcția existentă, trebuie alcătuite, realizate și asigurate, cu măsurile de protecție necesare, potrivit reglementărilor anexei.</w:t>
      </w:r>
    </w:p>
    <w:p w14:paraId="03C65B7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7.3.7.</w:t>
      </w:r>
      <w:r>
        <w:rPr>
          <w:rFonts w:eastAsia="Calibri"/>
          <w:i/>
          <w:sz w:val="24"/>
          <w:szCs w:val="24"/>
          <w:shd w:val="clear" w:color="auto" w:fill="FFFFFF"/>
        </w:rPr>
        <w:t> Porțiunile de clădire existentă care cuprind sau se încadrează în categoria sălilor aglomerate vor fi alcătuite corespunzător prevederilor specifice acestora, separându-se de alte funcțiuni ale construcției existente prin elemente de construcție verticale și după caz, orizontale, corespunzător anexei.</w:t>
      </w:r>
    </w:p>
    <w:p w14:paraId="6BB0BC9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7.3.8.</w:t>
      </w:r>
      <w:r>
        <w:rPr>
          <w:rFonts w:eastAsia="Calibri"/>
          <w:i/>
          <w:sz w:val="24"/>
          <w:szCs w:val="24"/>
          <w:shd w:val="clear" w:color="auto" w:fill="FFFFFF"/>
        </w:rPr>
        <w:t> Porțiunile subterane ale construcțiilor existente cu funcțiuni mixte, în care se dispun funcțiuni distincte vor îndeplini și condițiile specifice acestora.</w:t>
      </w:r>
    </w:p>
    <w:p w14:paraId="764032E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7.3.9.</w:t>
      </w:r>
      <w:r>
        <w:rPr>
          <w:rFonts w:eastAsia="Calibri"/>
          <w:i/>
          <w:sz w:val="24"/>
          <w:szCs w:val="24"/>
          <w:shd w:val="clear" w:color="auto" w:fill="FFFFFF"/>
        </w:rPr>
        <w:t xml:space="preserve"> La alcătuirea construcțiilor existente și a elementelor de construcție se respectă condițiile de performanță comune stabilite, de la Art. </w:t>
      </w:r>
      <w:r>
        <w:rPr>
          <w:rFonts w:eastAsia="Calibri"/>
          <w:b/>
          <w:bCs/>
          <w:i/>
          <w:sz w:val="24"/>
          <w:szCs w:val="24"/>
          <w:shd w:val="clear" w:color="auto" w:fill="FFFFFF"/>
        </w:rPr>
        <w:t xml:space="preserve">A.10.2.4.1. </w:t>
      </w:r>
      <w:r>
        <w:rPr>
          <w:rFonts w:eastAsia="Calibri"/>
          <w:i/>
          <w:sz w:val="24"/>
          <w:szCs w:val="24"/>
          <w:shd w:val="clear" w:color="auto" w:fill="FFFFFF"/>
        </w:rPr>
        <w:t>până la</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A.10.2.4.60.</w:t>
      </w:r>
      <w:r>
        <w:rPr>
          <w:rFonts w:eastAsia="Calibri"/>
          <w:i/>
          <w:sz w:val="24"/>
          <w:szCs w:val="24"/>
          <w:shd w:val="clear" w:color="auto" w:fill="FFFFFF"/>
        </w:rPr>
        <w:t>, precum și cele specifice funcțiunilor respective.</w:t>
      </w:r>
    </w:p>
    <w:p w14:paraId="17ED31AB" w14:textId="77777777" w:rsidR="001C08A5" w:rsidRDefault="00000000">
      <w:pPr>
        <w:pStyle w:val="Heading3"/>
        <w:rPr>
          <w:i/>
          <w:iCs/>
          <w:sz w:val="24"/>
          <w:szCs w:val="24"/>
        </w:rPr>
      </w:pPr>
      <w:bookmarkStart w:id="11531" w:name="_Toc162355646"/>
      <w:bookmarkStart w:id="11532" w:name="_Toc31466"/>
      <w:bookmarkStart w:id="11533" w:name="_Toc23312"/>
      <w:bookmarkStart w:id="11534" w:name="_Toc27482"/>
      <w:bookmarkStart w:id="11535" w:name="_Toc27072"/>
      <w:bookmarkStart w:id="11536" w:name="_Toc16141"/>
      <w:r>
        <w:rPr>
          <w:i/>
          <w:iCs/>
          <w:sz w:val="24"/>
          <w:szCs w:val="24"/>
        </w:rPr>
        <w:t>A.10. 7.4. LIMITAREA PROPAGĂRII FOCULUI ȘI A FUMULUI</w:t>
      </w:r>
      <w:bookmarkEnd w:id="11531"/>
      <w:bookmarkEnd w:id="11532"/>
      <w:bookmarkEnd w:id="11533"/>
      <w:bookmarkEnd w:id="11534"/>
      <w:bookmarkEnd w:id="11535"/>
      <w:bookmarkEnd w:id="11536"/>
    </w:p>
    <w:p w14:paraId="019722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7.4.1.</w:t>
      </w:r>
      <w:r>
        <w:rPr>
          <w:rFonts w:eastAsia="Calibri"/>
          <w:i/>
          <w:sz w:val="24"/>
          <w:szCs w:val="24"/>
          <w:shd w:val="clear" w:color="auto" w:fill="FFFFFF"/>
        </w:rPr>
        <w:t> Funcțiunile independente dispuse în construcția existentă se separă între ele și față de căile comune de circulație și evacuare, prin elemente de construcție rezistente la foc conform prevederilor din prezenta anexă. În cazul în care funcțiunile respective constituie compartimente de incendiu distincte, separarea acestora se realizează, după caz. cu pereți de compartimentare rezistenți la foc. antifoc sau antiex.</w:t>
      </w:r>
    </w:p>
    <w:p w14:paraId="1E1ADBA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7.4.2.</w:t>
      </w:r>
      <w:r>
        <w:rPr>
          <w:rFonts w:eastAsia="Calibri"/>
          <w:i/>
          <w:sz w:val="24"/>
          <w:szCs w:val="24"/>
          <w:shd w:val="clear" w:color="auto" w:fill="FFFFFF"/>
        </w:rPr>
        <w:t> Prin modul de dispunere, alcătuire și realizare a elementelor de construcție despărțitoare se va asigura limitarea propagării focului și a fumului la funcțiunile alăturate, pe timpul normat, iar în cadrul aceleiași funcțiuni, a propagării ușoare a focului și fumului pe arii mari.</w:t>
      </w:r>
    </w:p>
    <w:p w14:paraId="0768AEF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7.4.3.</w:t>
      </w:r>
      <w:r>
        <w:rPr>
          <w:rFonts w:eastAsia="Calibri"/>
          <w:i/>
          <w:sz w:val="24"/>
          <w:szCs w:val="24"/>
          <w:shd w:val="clear" w:color="auto" w:fill="FFFFFF"/>
        </w:rPr>
        <w:t> Elementele de construcție utilizate pentru limitarea propagării focului și a fumului, trebuie să îndeplinească condițiile de performanță generale și specifice precizate în anexă, în funcție de rolul pe care le au.</w:t>
      </w:r>
    </w:p>
    <w:p w14:paraId="560C37C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7.4.4.</w:t>
      </w:r>
      <w:r>
        <w:rPr>
          <w:rFonts w:eastAsia="Calibri"/>
          <w:i/>
          <w:sz w:val="24"/>
          <w:szCs w:val="24"/>
          <w:shd w:val="clear" w:color="auto" w:fill="FFFFFF"/>
        </w:rPr>
        <w:t> Separarea funcțiunilor diferite în clădiri existente etajate se asigură prin elemente verticale și orizontale (pereți și planșee) alcătuite și realizate corespunzător spațiului adiacent cel mai periculos, iar eventualele goluri de circulație sau funcționale din elementele de separare vor fi protejate conform prevederilor stabilite prin prezenta anexă.</w:t>
      </w:r>
    </w:p>
    <w:p w14:paraId="2DC4451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7.4.5.</w:t>
      </w:r>
      <w:r>
        <w:rPr>
          <w:rFonts w:eastAsia="Calibri"/>
          <w:i/>
          <w:sz w:val="24"/>
          <w:szCs w:val="24"/>
          <w:shd w:val="clear" w:color="auto" w:fill="FFFFFF"/>
        </w:rPr>
        <w:t> Limitarea propagării focului între funcțiuni diferite dispuse într-o clădire existentă etajată, se va asigura și pe fațade (prin exteriorul închiderilor perimetrale), prin realizarea unor porțiuni pline între golurile succesive din fațade (care se suprapun), sau prin alte măsuri de protecție corespunzătoare (copertine, ecrane, etc).</w:t>
      </w:r>
    </w:p>
    <w:p w14:paraId="5D9B4E4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7.4.6.</w:t>
      </w:r>
      <w:r>
        <w:rPr>
          <w:rFonts w:eastAsia="Calibri"/>
          <w:i/>
          <w:sz w:val="24"/>
          <w:szCs w:val="24"/>
          <w:shd w:val="clear" w:color="auto" w:fill="FFFFFF"/>
        </w:rPr>
        <w:t> Căile comune de circulație și evacuare (orizontale și după caz, verticale) ale construcției existente cu funcțiuni mixte, se separă de diferitele funcțiuni adiacente, corespunzător riscului sau categoriei de pericol de incendiu a acestora, potrivit prevederilor din prezenta anexă. Golurile de circulație din aceste elemente de separare, se protejează corespunzător.</w:t>
      </w:r>
    </w:p>
    <w:p w14:paraId="2A17129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7.4.7.</w:t>
      </w:r>
      <w:r>
        <w:rPr>
          <w:rFonts w:eastAsia="Calibri"/>
          <w:i/>
          <w:sz w:val="24"/>
          <w:szCs w:val="24"/>
          <w:shd w:val="clear" w:color="auto" w:fill="FFFFFF"/>
        </w:rPr>
        <w:t xml:space="preserve"> Condițiile de performanță ale elementelor de construcție cu rol de limitare a propagării focului și a fumului, alcătuite și realizate conform Art. </w:t>
      </w:r>
      <w:r>
        <w:rPr>
          <w:rFonts w:eastAsia="Calibri"/>
          <w:b/>
          <w:bCs/>
          <w:i/>
          <w:sz w:val="24"/>
          <w:szCs w:val="24"/>
          <w:shd w:val="clear" w:color="auto" w:fill="FFFFFF"/>
        </w:rPr>
        <w:t xml:space="preserve">A.10.2.3.1. </w:t>
      </w:r>
      <w:r>
        <w:rPr>
          <w:rFonts w:eastAsia="Calibri"/>
          <w:i/>
          <w:sz w:val="24"/>
          <w:szCs w:val="24"/>
          <w:shd w:val="clear" w:color="auto" w:fill="FFFFFF"/>
        </w:rPr>
        <w:t>și</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A.10.2.3.52.</w:t>
      </w:r>
      <w:r>
        <w:rPr>
          <w:rFonts w:eastAsia="Calibri"/>
          <w:i/>
          <w:sz w:val="24"/>
          <w:szCs w:val="24"/>
          <w:shd w:val="clear" w:color="auto" w:fill="FFFFFF"/>
        </w:rPr>
        <w:t>, sunt cele stabilite în prezenta anexă, corespunzător funcțiunilor respective.</w:t>
      </w:r>
    </w:p>
    <w:p w14:paraId="523052E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7.4.8.</w:t>
      </w:r>
      <w:r>
        <w:rPr>
          <w:rFonts w:eastAsia="Calibri"/>
          <w:i/>
          <w:sz w:val="24"/>
          <w:szCs w:val="24"/>
          <w:shd w:val="clear" w:color="auto" w:fill="FFFFFF"/>
        </w:rPr>
        <w:t xml:space="preserve"> Spațiile publice pentru parcarea autoturismelor se pot dispune în construcții existente cu funcțiuni mixte, cu condiția separării lor de restul construcției existente, prin pereți și planșee </w:t>
      </w:r>
      <w:r>
        <w:rPr>
          <w:rFonts w:eastAsia="Calibri"/>
          <w:i/>
          <w:sz w:val="24"/>
          <w:szCs w:val="24"/>
          <w:shd w:val="clear" w:color="auto" w:fill="FFFFFF"/>
        </w:rPr>
        <w:lastRenderedPageBreak/>
        <w:t>conform prevederilor stabilite prin prezenta anexă. În elementele de separare sunt admise numai goluri strict necesare de acces și circulație, protejate corespunzător.</w:t>
      </w:r>
    </w:p>
    <w:p w14:paraId="22E8C53A" w14:textId="77777777" w:rsidR="001C08A5" w:rsidRDefault="00000000">
      <w:pPr>
        <w:pStyle w:val="Heading3"/>
        <w:rPr>
          <w:i/>
          <w:iCs/>
          <w:sz w:val="24"/>
          <w:szCs w:val="24"/>
        </w:rPr>
      </w:pPr>
      <w:bookmarkStart w:id="11537" w:name="_Toc162355647"/>
      <w:bookmarkStart w:id="11538" w:name="_Toc12855"/>
      <w:bookmarkStart w:id="11539" w:name="_Toc28419"/>
      <w:bookmarkStart w:id="11540" w:name="_Toc21841"/>
      <w:bookmarkStart w:id="11541" w:name="_Toc14174"/>
      <w:r>
        <w:rPr>
          <w:i/>
          <w:iCs/>
          <w:sz w:val="24"/>
          <w:szCs w:val="24"/>
        </w:rPr>
        <w:t>A.10. 7.5. EVACUARE FUM (DESFUMARE)</w:t>
      </w:r>
      <w:bookmarkEnd w:id="11537"/>
      <w:bookmarkEnd w:id="11538"/>
      <w:bookmarkEnd w:id="11539"/>
      <w:bookmarkEnd w:id="11540"/>
      <w:bookmarkEnd w:id="11541"/>
    </w:p>
    <w:p w14:paraId="56E31816"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7.5.1.</w:t>
      </w:r>
      <w:r>
        <w:rPr>
          <w:rFonts w:eastAsia="Calibri"/>
          <w:i/>
          <w:sz w:val="24"/>
          <w:szCs w:val="24"/>
          <w:shd w:val="clear" w:color="auto" w:fill="FFFFFF"/>
        </w:rPr>
        <w:t> Evacuarea fumului (desfumarea) este obligatorie în spațiile și încăperile stabilite în prezenta anexă, potrivit funcțiunii (destinației) specifice și tipului de clădire existentă cu funcțiuni mixte.</w:t>
      </w:r>
    </w:p>
    <w:p w14:paraId="611FF1E9"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7.5.2.</w:t>
      </w:r>
      <w:r>
        <w:rPr>
          <w:rFonts w:eastAsia="Calibri"/>
          <w:i/>
          <w:sz w:val="24"/>
          <w:szCs w:val="24"/>
          <w:shd w:val="clear" w:color="auto" w:fill="FFFFFF"/>
        </w:rPr>
        <w:t xml:space="preserve"> Alcătuirea și realizarea evacuării fumului (desfumare), prin tiraj natural - organizat sau ventilare mecanică în construcțiile existente cu funcțiuni mixte, trebuie să corespundă prevederilor Art. </w:t>
      </w:r>
      <w:r>
        <w:rPr>
          <w:rFonts w:eastAsia="Calibri"/>
          <w:b/>
          <w:bCs/>
          <w:i/>
          <w:sz w:val="24"/>
          <w:szCs w:val="24"/>
          <w:shd w:val="clear" w:color="auto" w:fill="FFFFFF"/>
        </w:rPr>
        <w:t xml:space="preserve">A.10.9.1. </w:t>
      </w:r>
      <w:r>
        <w:rPr>
          <w:rFonts w:eastAsia="Calibri"/>
          <w:i/>
          <w:sz w:val="24"/>
          <w:szCs w:val="24"/>
          <w:shd w:val="clear" w:color="auto" w:fill="FFFFFF"/>
        </w:rPr>
        <w:t>pâna la</w:t>
      </w:r>
      <w:r>
        <w:rPr>
          <w:rFonts w:eastAsia="Calibri"/>
          <w:b/>
          <w:bCs/>
          <w:i/>
          <w:sz w:val="24"/>
          <w:szCs w:val="24"/>
          <w:shd w:val="clear" w:color="auto" w:fill="FFFFFF"/>
        </w:rPr>
        <w:t xml:space="preserve"> </w:t>
      </w:r>
      <w:r>
        <w:rPr>
          <w:rFonts w:eastAsia="Calibri"/>
          <w:i/>
          <w:sz w:val="24"/>
          <w:szCs w:val="24"/>
          <w:shd w:val="clear" w:color="auto" w:fill="FFFFFF"/>
        </w:rPr>
        <w:t xml:space="preserve">Art. </w:t>
      </w:r>
      <w:r>
        <w:rPr>
          <w:rFonts w:eastAsia="Calibri"/>
          <w:b/>
          <w:bCs/>
          <w:i/>
          <w:sz w:val="24"/>
          <w:szCs w:val="24"/>
          <w:shd w:val="clear" w:color="auto" w:fill="FFFFFF"/>
        </w:rPr>
        <w:t>A.10.9.30.</w:t>
      </w:r>
      <w:r>
        <w:rPr>
          <w:rFonts w:eastAsia="Calibri"/>
          <w:i/>
          <w:sz w:val="24"/>
          <w:szCs w:val="24"/>
          <w:shd w:val="clear" w:color="auto" w:fill="FFFFFF"/>
        </w:rPr>
        <w:t xml:space="preserve"> și prevederilor specifice.</w:t>
      </w:r>
    </w:p>
    <w:p w14:paraId="2190636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7.5.3.</w:t>
      </w:r>
      <w:r>
        <w:rPr>
          <w:rFonts w:eastAsia="Calibri"/>
          <w:i/>
          <w:sz w:val="24"/>
          <w:szCs w:val="24"/>
          <w:shd w:val="clear" w:color="auto" w:fill="FFFFFF"/>
        </w:rPr>
        <w:t> De regulă, porțiunile de construcții existente cu funcțiuni distincte, se prevăd cu dispozitive independente de evacuare a fumului în caz de incendiu, separate de evacuări ale fumului din alte funcțiuni. Căile de circulație și evacuare comune (orizontale și verticale) ale unei construcții existente cu funcțiuni mixte, se pot prevede cu un singur sistem de evacuare a fumului (desfumare), independent de evacuările fumului din spațiile funcțiunilor dispuse în construcția existentă.</w:t>
      </w:r>
    </w:p>
    <w:p w14:paraId="3B41D4C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7.5.4.</w:t>
      </w:r>
      <w:r>
        <w:rPr>
          <w:rFonts w:eastAsia="Calibri"/>
          <w:i/>
          <w:sz w:val="24"/>
          <w:szCs w:val="24"/>
          <w:shd w:val="clear" w:color="auto" w:fill="FFFFFF"/>
        </w:rPr>
        <w:t> Pentru funcțiuni diferite cu același risc sau pericol de incendiu dispuse în construcția existentă, în cazuri justificate tehnic se pot realiza instalații comune de evacuare a fumului în caz de incendiu, cu condiția luării măsurilor de protecție care să asigure limitarea propagării incendiilor între funcțiuni prin tubulaturile care străpung elementele de separare a funcțiunilor (pereți, planșee).</w:t>
      </w:r>
    </w:p>
    <w:p w14:paraId="678DEF1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7.5.5.</w:t>
      </w:r>
      <w:r>
        <w:rPr>
          <w:rFonts w:eastAsia="Calibri"/>
          <w:i/>
          <w:sz w:val="24"/>
          <w:szCs w:val="24"/>
          <w:shd w:val="clear" w:color="auto" w:fill="FFFFFF"/>
        </w:rPr>
        <w:t> Este obligatorie realizarea independentă a evacuării fumului în caz de incendiu din sălile aglomerate, din depozite pentru materiale și/sau substanțe combustibile, precum și din alte încăperi și spații ale construcției existente cu funcțiuni mixte pe care le stabilește beneficiarul.</w:t>
      </w:r>
    </w:p>
    <w:p w14:paraId="4B1A937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7.5.6.</w:t>
      </w:r>
      <w:r>
        <w:rPr>
          <w:rFonts w:eastAsia="Calibri"/>
          <w:i/>
          <w:sz w:val="24"/>
          <w:szCs w:val="24"/>
          <w:shd w:val="clear" w:color="auto" w:fill="FFFFFF"/>
        </w:rPr>
        <w:t> Atunci când este obligatorie evacuarea fumului (desfumare) din încăperi și spații  existente cu risc mare de incendiu, la acestea se prevăd dispozitive sau sisteme de evacuare independente de evacuare a fumului.</w:t>
      </w:r>
    </w:p>
    <w:p w14:paraId="5598CA1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7.5.7.</w:t>
      </w:r>
      <w:r>
        <w:rPr>
          <w:rFonts w:eastAsia="Calibri"/>
          <w:i/>
          <w:sz w:val="24"/>
          <w:szCs w:val="24"/>
          <w:shd w:val="clear" w:color="auto" w:fill="FFFFFF"/>
        </w:rPr>
        <w:t xml:space="preserve"> Ghenele și canalele pentru evacuarea fumului dintr-o funcțiunea distinctă, nu trebuie să treacă prin alte funcțiuni, iar când aceasta este justificată tehnic, pe toată porțiunea de trecere pereții ghenelor sau canalelor vor fi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și cu rezistența la foc corespunzătoare densității sarcinii termice din spațiul respectiv, dar minimum 2 ore (</w:t>
      </w:r>
      <w:r>
        <w:rPr>
          <w:rFonts w:eastAsia="Calibri"/>
          <w:b/>
          <w:bCs/>
          <w:i/>
          <w:sz w:val="24"/>
          <w:szCs w:val="24"/>
          <w:shd w:val="clear" w:color="auto" w:fill="FFFFFF"/>
        </w:rPr>
        <w:t>EI/REI120</w:t>
      </w:r>
      <w:r>
        <w:rPr>
          <w:rFonts w:eastAsia="Calibri"/>
          <w:i/>
          <w:sz w:val="24"/>
          <w:szCs w:val="24"/>
          <w:shd w:val="clear" w:color="auto" w:fill="FFFFFF"/>
        </w:rPr>
        <w:t>).</w:t>
      </w:r>
    </w:p>
    <w:p w14:paraId="618EEB7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7.5.8.</w:t>
      </w:r>
      <w:r>
        <w:rPr>
          <w:rFonts w:eastAsia="Calibri"/>
          <w:i/>
          <w:sz w:val="24"/>
          <w:szCs w:val="24"/>
          <w:shd w:val="clear" w:color="auto" w:fill="FFFFFF"/>
        </w:rPr>
        <w:t> Cu excepția caselor de scări, în toate situațiile, evacuarea natural - organizată a fumului se poate înlocui cu evacuarea mecanică a acestuia, în condițiile și cu respectarea prevederilor din prezenta anexă.</w:t>
      </w:r>
    </w:p>
    <w:p w14:paraId="42EB2245" w14:textId="77777777" w:rsidR="001C08A5" w:rsidRDefault="00000000">
      <w:pPr>
        <w:pStyle w:val="Heading3"/>
        <w:rPr>
          <w:i/>
          <w:iCs/>
          <w:sz w:val="24"/>
          <w:szCs w:val="24"/>
        </w:rPr>
      </w:pPr>
      <w:bookmarkStart w:id="11542" w:name="_Toc25692"/>
      <w:bookmarkStart w:id="11543" w:name="_Toc5548"/>
      <w:bookmarkStart w:id="11544" w:name="_Toc24813"/>
      <w:bookmarkStart w:id="11545" w:name="_Toc18476"/>
      <w:bookmarkStart w:id="11546" w:name="_Toc162355648"/>
      <w:bookmarkStart w:id="11547" w:name="_Toc15033"/>
      <w:r>
        <w:rPr>
          <w:i/>
          <w:iCs/>
          <w:sz w:val="24"/>
          <w:szCs w:val="24"/>
        </w:rPr>
        <w:t>A.10. 7.6. CĂI DE EVACUARE ÎN CAZ DE INCENDIU</w:t>
      </w:r>
      <w:bookmarkEnd w:id="11542"/>
      <w:bookmarkEnd w:id="11543"/>
      <w:bookmarkEnd w:id="11544"/>
      <w:bookmarkEnd w:id="11545"/>
      <w:bookmarkEnd w:id="11546"/>
      <w:bookmarkEnd w:id="11547"/>
    </w:p>
    <w:p w14:paraId="518E913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7.6.1.</w:t>
      </w:r>
      <w:r>
        <w:rPr>
          <w:rFonts w:eastAsia="Calibri"/>
          <w:i/>
          <w:sz w:val="24"/>
          <w:szCs w:val="24"/>
          <w:shd w:val="clear" w:color="auto" w:fill="FFFFFF"/>
        </w:rPr>
        <w:t> În construcțiile existente cu funcțiuni mixte se prevăd căi de evacuare în caz de incendiu în număr corespunzător dispuse, alcătuite și dimensionate, potrivit Art.</w:t>
      </w:r>
      <w:r>
        <w:rPr>
          <w:rFonts w:eastAsia="Calibri"/>
          <w:b/>
          <w:bCs/>
          <w:i/>
          <w:sz w:val="24"/>
          <w:szCs w:val="24"/>
          <w:shd w:val="clear" w:color="auto" w:fill="FFFFFF"/>
        </w:rPr>
        <w:t xml:space="preserve"> A.10.2.5.1</w:t>
      </w:r>
      <w:r>
        <w:rPr>
          <w:rFonts w:eastAsia="Calibri"/>
          <w:i/>
          <w:sz w:val="24"/>
          <w:szCs w:val="24"/>
          <w:shd w:val="clear" w:color="auto" w:fill="FFFFFF"/>
        </w:rPr>
        <w:t>. la Art.</w:t>
      </w:r>
      <w:r>
        <w:rPr>
          <w:rFonts w:eastAsia="Calibri"/>
          <w:b/>
          <w:bCs/>
          <w:i/>
          <w:sz w:val="24"/>
          <w:szCs w:val="24"/>
          <w:shd w:val="clear" w:color="auto" w:fill="FFFFFF"/>
        </w:rPr>
        <w:t xml:space="preserve"> A.10.2.5.74.</w:t>
      </w:r>
      <w:r>
        <w:rPr>
          <w:rFonts w:eastAsia="Calibri"/>
          <w:i/>
          <w:sz w:val="24"/>
          <w:szCs w:val="24"/>
          <w:shd w:val="clear" w:color="auto" w:fill="FFFFFF"/>
        </w:rPr>
        <w:t xml:space="preserve"> și ale prevederilor specifice funcțiunilor respective.</w:t>
      </w:r>
    </w:p>
    <w:p w14:paraId="65652D1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7.6.2.</w:t>
      </w:r>
      <w:r>
        <w:rPr>
          <w:rFonts w:eastAsia="Calibri"/>
          <w:i/>
          <w:sz w:val="24"/>
          <w:szCs w:val="24"/>
          <w:shd w:val="clear" w:color="auto" w:fill="FFFFFF"/>
        </w:rPr>
        <w:t> Căile de evacuare ale construcției existente cu funcțiuni mixte pot fi proprii unei funcțiuni sau grup de funcțiuni, ori comune tuturor funcțiunilor din construcția existentă.</w:t>
      </w:r>
    </w:p>
    <w:p w14:paraId="757FA3D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7.6.3.</w:t>
      </w:r>
      <w:r>
        <w:rPr>
          <w:rFonts w:eastAsia="Calibri"/>
          <w:i/>
          <w:sz w:val="24"/>
          <w:szCs w:val="24"/>
          <w:shd w:val="clear" w:color="auto" w:fill="FFFFFF"/>
        </w:rPr>
        <w:t> Atunci când căile de evacuare sunt comune mai multor funcțiuni sau tuturor funcțiunilor din construcția existentă, la dimensionare și alcătuire se îndeplinesc condițiile performanțe cele mai severe ale funcțiunilor respective pentru care se asigură evacuarea. În porțiuni sau zone din construcția existentă în care funcțiunile respective determină dimensiuni mai mici ale căilor de evacuare, se pot reduce corespunzător lățimile acestora</w:t>
      </w:r>
    </w:p>
    <w:p w14:paraId="3CBD832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7.6.4.</w:t>
      </w:r>
      <w:r>
        <w:rPr>
          <w:rFonts w:eastAsia="Calibri"/>
          <w:i/>
          <w:sz w:val="24"/>
          <w:szCs w:val="24"/>
          <w:shd w:val="clear" w:color="auto" w:fill="FFFFFF"/>
        </w:rPr>
        <w:t> Separarea căilor de evacuare față de funcțiunile (destinațiile) adiacente, se realizează corespunzător condițiilor stabilite pentru funcțiunile respective și tipului de clădire existent.</w:t>
      </w:r>
    </w:p>
    <w:p w14:paraId="4D5DB91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7.6.5.</w:t>
      </w:r>
      <w:r>
        <w:rPr>
          <w:rFonts w:eastAsia="Calibri"/>
          <w:i/>
          <w:sz w:val="24"/>
          <w:szCs w:val="24"/>
          <w:shd w:val="clear" w:color="auto" w:fill="FFFFFF"/>
        </w:rPr>
        <w:t> Golurile de acces la căile de evacuare practicate în pereții despărțitori ai acestora, se protejează cu elemente de închidere corespunzătoare riscului (categoriei de pericol) de incendiu și destinației fiecărei funcțiuni și tip de clădire existent.</w:t>
      </w:r>
    </w:p>
    <w:p w14:paraId="1F92E1E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7.6.6.</w:t>
      </w:r>
      <w:r>
        <w:rPr>
          <w:rFonts w:eastAsia="Calibri"/>
          <w:i/>
          <w:sz w:val="24"/>
          <w:szCs w:val="24"/>
          <w:shd w:val="clear" w:color="auto" w:fill="FFFFFF"/>
        </w:rPr>
        <w:t> De regulă, scările de evacuare comune ale construcțiilor existente cu funcțiuni mixte, se închid în case de scări, corespunzător alcătuite și separate de restul construcției existente. Scări interioare deschise/neînchise în case de scări), se pot prevede numai în cazurile și condițiile stabilite de prezenta anexă.</w:t>
      </w:r>
    </w:p>
    <w:p w14:paraId="60F225E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7.6.7.</w:t>
      </w:r>
      <w:r>
        <w:rPr>
          <w:rFonts w:eastAsia="Calibri"/>
          <w:i/>
          <w:sz w:val="24"/>
          <w:szCs w:val="24"/>
          <w:shd w:val="clear" w:color="auto" w:fill="FFFFFF"/>
        </w:rPr>
        <w:t> Rampele scărilor aferente subsolurilor se separă față de rampele scărilor supraterane, inclusiv de parterul construcției existente, potrivit prevederilor din prezenta anexă. Fac excepție situațiile menționate în normativ.</w:t>
      </w:r>
    </w:p>
    <w:p w14:paraId="44A3E7F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7.6.8.</w:t>
      </w:r>
      <w:r>
        <w:rPr>
          <w:rFonts w:eastAsia="Calibri"/>
          <w:i/>
          <w:sz w:val="24"/>
          <w:szCs w:val="24"/>
          <w:shd w:val="clear" w:color="auto" w:fill="FFFFFF"/>
        </w:rPr>
        <w:t> Căile de circulație și transport pe verticală (scări, ascensoare, monte-charge, etc), se separă de restul construcției existente prin pereți și după caz planșee, care îndeplinesc condițiile de performanță stabilite în prezenta anexă. Golurile de acces practicate în pereții de separare, se protejează ob ligatoriu cu elemente de închiderere corespunzătoare prevederilor anexei.</w:t>
      </w:r>
    </w:p>
    <w:p w14:paraId="5F07475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7.6.9.</w:t>
      </w:r>
      <w:r>
        <w:rPr>
          <w:rFonts w:eastAsia="Calibri"/>
          <w:i/>
          <w:sz w:val="24"/>
          <w:szCs w:val="24"/>
          <w:shd w:val="clear" w:color="auto" w:fill="FFFFFF"/>
        </w:rPr>
        <w:t> Atunci când se prevăd scări exterioare de evacuare, acestea se amplasează și realizează astfel încât circulația utilizatorilor să nu fie blocată de flăcările sau fumul produs în caz de incendiu în construcție sau obiecte amplasate în vecinătate, protejându-se conform prevederilor stabilite prin prezenta anexă.</w:t>
      </w:r>
    </w:p>
    <w:p w14:paraId="3548FFE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7.6.10.</w:t>
      </w:r>
      <w:r>
        <w:rPr>
          <w:rFonts w:eastAsia="Calibri"/>
          <w:i/>
          <w:sz w:val="24"/>
          <w:szCs w:val="24"/>
          <w:shd w:val="clear" w:color="auto" w:fill="FFFFFF"/>
        </w:rPr>
        <w:t xml:space="preserve"> La determinarea fluxurilor de evacuare în caz de incendiu, de regulă, se are în vedere construcția existentă în ansamblu. Atunci când căile de evacuare sunt comune, corespunzător modului în care construcția existentă este considerată conform prevederilor Art. </w:t>
      </w:r>
      <w:r>
        <w:rPr>
          <w:rFonts w:eastAsia="Calibri"/>
          <w:b/>
          <w:bCs/>
          <w:i/>
          <w:sz w:val="24"/>
          <w:szCs w:val="24"/>
          <w:shd w:val="clear" w:color="auto" w:fill="FFFFFF"/>
        </w:rPr>
        <w:t>A.10.7.1.3.</w:t>
      </w:r>
      <w:r>
        <w:rPr>
          <w:rFonts w:eastAsia="Calibri"/>
          <w:i/>
          <w:sz w:val="24"/>
          <w:szCs w:val="24"/>
          <w:shd w:val="clear" w:color="auto" w:fill="FFFFFF"/>
        </w:rPr>
        <w:t xml:space="preserve"> și Art. </w:t>
      </w:r>
      <w:r>
        <w:rPr>
          <w:rFonts w:eastAsia="Calibri"/>
          <w:b/>
          <w:bCs/>
          <w:i/>
          <w:sz w:val="24"/>
          <w:szCs w:val="24"/>
          <w:shd w:val="clear" w:color="auto" w:fill="FFFFFF"/>
        </w:rPr>
        <w:t>A.10.7.1.4.</w:t>
      </w:r>
      <w:r>
        <w:rPr>
          <w:rFonts w:eastAsia="Calibri"/>
          <w:i/>
          <w:sz w:val="24"/>
          <w:szCs w:val="24"/>
          <w:shd w:val="clear" w:color="auto" w:fill="FFFFFF"/>
        </w:rPr>
        <w:t>, (civilă (publică) de producție și/sau depozitare), se asigură cele mai severe măsuri de protecție specifice funcțiunilor. În cazul în care se prevăd căi de evacuare distincte (proprii) unei funcțiuni sau grup de funcțiuni, la determinarea fluxurilor de evacuare se respectă condițiile stabilite pentru funcțiunea sau funcțiunile respective.</w:t>
      </w:r>
    </w:p>
    <w:p w14:paraId="4C8DB08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7.6.11.</w:t>
      </w:r>
      <w:r>
        <w:rPr>
          <w:rFonts w:eastAsia="Calibri"/>
          <w:i/>
          <w:sz w:val="24"/>
          <w:szCs w:val="24"/>
          <w:shd w:val="clear" w:color="auto" w:fill="FFFFFF"/>
        </w:rPr>
        <w:t> Stabilirea numărului de persoane pentru care se asigură condițiile de evacuare în caz de incendiu, are în vedere nivelul de ocupare și capacitățile maxime simultane luate în calcul, în funcție de destinația și dispunerea acestora în construcția existentă.</w:t>
      </w:r>
    </w:p>
    <w:p w14:paraId="72B94D8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7.6.12.</w:t>
      </w:r>
      <w:r>
        <w:rPr>
          <w:rFonts w:eastAsia="Calibri"/>
          <w:i/>
          <w:sz w:val="24"/>
          <w:szCs w:val="24"/>
          <w:shd w:val="clear" w:color="auto" w:fill="FFFFFF"/>
        </w:rPr>
        <w:t> Capacitatea de evacuare a unui flux (C) se determină corespunzător fiecărei funcțiuni luată în considerare, conform prevederilor din prezenta anexă, iar pentru întreaga construcție existentă căile comune de evacuare vor asigura condițiile normate cele mai severe. Dacă deasupra nivelului construcției existente supraterane care asigură dimensionarea rampelor scărilor de evacuare se află funcțiuni care necesită - conform prevederilor stabilite prin prezenta anexă - dimensiuni mai mici, în porțiunile respective se pot reduce corespunzător aceste dimensiuni. În nici o situație, nu este admisă reducerea dimensiunilor căilor de evacuare pe traseu</w:t>
      </w:r>
      <w:r>
        <w:rPr>
          <w:rFonts w:eastAsia="Calibri"/>
          <w:i/>
          <w:sz w:val="24"/>
          <w:szCs w:val="24"/>
          <w:shd w:val="clear" w:color="auto" w:fill="FFFFFF"/>
          <w:lang w:val="en-GB"/>
        </w:rPr>
        <w:t>l</w:t>
      </w:r>
      <w:r>
        <w:rPr>
          <w:rFonts w:eastAsia="Calibri"/>
          <w:i/>
          <w:sz w:val="24"/>
          <w:szCs w:val="24"/>
          <w:shd w:val="clear" w:color="auto" w:fill="FFFFFF"/>
        </w:rPr>
        <w:t xml:space="preserve"> până la exterior al nivelului cel mai aglomerat luat în considerare.</w:t>
      </w:r>
    </w:p>
    <w:p w14:paraId="49E0403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7.6.13.</w:t>
      </w:r>
      <w:r>
        <w:rPr>
          <w:rFonts w:eastAsia="Calibri"/>
          <w:i/>
          <w:sz w:val="24"/>
          <w:szCs w:val="24"/>
          <w:shd w:val="clear" w:color="auto" w:fill="FFFFFF"/>
        </w:rPr>
        <w:t xml:space="preserve"> Lungimile maxime admise ale căilor de evacuare, vor îndeplini condițiile stabilite în prezenta anexă pentru funcțiunile respective, iar pentru căile comune de evacuare a construcției existente, când este cazul, se respectă lungimile prevăzute pentru construcția existentă considerată (Art. </w:t>
      </w:r>
      <w:r>
        <w:rPr>
          <w:rFonts w:eastAsia="Calibri"/>
          <w:b/>
          <w:bCs/>
          <w:i/>
          <w:sz w:val="24"/>
          <w:szCs w:val="24"/>
          <w:shd w:val="clear" w:color="auto" w:fill="FFFFFF"/>
        </w:rPr>
        <w:t>A.10.7.1.3.</w:t>
      </w:r>
      <w:r>
        <w:rPr>
          <w:rFonts w:eastAsia="Calibri"/>
          <w:i/>
          <w:sz w:val="24"/>
          <w:szCs w:val="24"/>
          <w:shd w:val="clear" w:color="auto" w:fill="FFFFFF"/>
        </w:rPr>
        <w:t xml:space="preserve"> și Art. </w:t>
      </w:r>
      <w:r>
        <w:rPr>
          <w:rFonts w:eastAsia="Calibri"/>
          <w:b/>
          <w:bCs/>
          <w:i/>
          <w:sz w:val="24"/>
          <w:szCs w:val="24"/>
          <w:shd w:val="clear" w:color="auto" w:fill="FFFFFF"/>
        </w:rPr>
        <w:t>A.10.7.1.4.</w:t>
      </w:r>
      <w:r>
        <w:rPr>
          <w:rFonts w:eastAsia="Calibri"/>
          <w:i/>
          <w:sz w:val="24"/>
          <w:szCs w:val="24"/>
          <w:shd w:val="clear" w:color="auto" w:fill="FFFFFF"/>
        </w:rPr>
        <w:t>).</w:t>
      </w:r>
    </w:p>
    <w:p w14:paraId="3B0D11F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7.6.14.</w:t>
      </w:r>
      <w:r>
        <w:rPr>
          <w:rFonts w:eastAsia="Calibri"/>
          <w:i/>
          <w:sz w:val="24"/>
          <w:szCs w:val="24"/>
          <w:shd w:val="clear" w:color="auto" w:fill="FFFFFF"/>
        </w:rPr>
        <w:t> Alcătuirea și dimensionarea căilor de evacuare în caz de incendiu, vor corespunde condițiilor stabilite în prezenta anexă.</w:t>
      </w:r>
    </w:p>
    <w:p w14:paraId="7F7623B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7.6.15.</w:t>
      </w:r>
      <w:r>
        <w:rPr>
          <w:rFonts w:eastAsia="Calibri"/>
          <w:i/>
          <w:sz w:val="24"/>
          <w:szCs w:val="24"/>
          <w:shd w:val="clear" w:color="auto" w:fill="FFFFFF"/>
        </w:rPr>
        <w:t> Scările de evacuare comune ale construcțiilor existente cu funcțiuni mixte, vor avea acces și pe terasele clădirilor existente respective, atunci când sunt foarte înalte sau cu săli aglomerate.</w:t>
      </w:r>
    </w:p>
    <w:p w14:paraId="72450329" w14:textId="77777777" w:rsidR="001C08A5" w:rsidRDefault="00000000">
      <w:pPr>
        <w:pStyle w:val="Heading3"/>
        <w:rPr>
          <w:i/>
          <w:iCs/>
          <w:sz w:val="24"/>
          <w:szCs w:val="24"/>
        </w:rPr>
      </w:pPr>
      <w:bookmarkStart w:id="11548" w:name="_Toc2331"/>
      <w:bookmarkStart w:id="11549" w:name="_Toc4185"/>
      <w:bookmarkStart w:id="11550" w:name="_Toc32088"/>
      <w:bookmarkStart w:id="11551" w:name="_Toc5957"/>
      <w:bookmarkStart w:id="11552" w:name="_Toc17724"/>
      <w:bookmarkStart w:id="11553" w:name="_Toc162355649"/>
      <w:r>
        <w:rPr>
          <w:i/>
          <w:iCs/>
          <w:sz w:val="24"/>
          <w:szCs w:val="24"/>
        </w:rPr>
        <w:lastRenderedPageBreak/>
        <w:t>A.10. 7.7. INSTALAȚII DE SEMNALIZARE ȘI STINGERE A INCENDIILOR</w:t>
      </w:r>
      <w:bookmarkEnd w:id="11548"/>
      <w:bookmarkEnd w:id="11549"/>
      <w:bookmarkEnd w:id="11550"/>
      <w:bookmarkEnd w:id="11551"/>
      <w:bookmarkEnd w:id="11552"/>
      <w:bookmarkEnd w:id="11553"/>
    </w:p>
    <w:p w14:paraId="5C973A7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7.7.1.</w:t>
      </w:r>
      <w:r>
        <w:rPr>
          <w:rFonts w:eastAsia="Calibri"/>
          <w:i/>
          <w:sz w:val="24"/>
          <w:szCs w:val="24"/>
          <w:shd w:val="clear" w:color="auto" w:fill="FFFFFF"/>
        </w:rPr>
        <w:t xml:space="preserve"> Construcțiile existente cu funcțiuni mixte se echipează și dotează cu instalații și mijloace de semnalizare și stingere a incendiilor, corespunzător modului în care este considerată construcția existentă, conform Art. </w:t>
      </w:r>
      <w:r>
        <w:rPr>
          <w:rFonts w:eastAsia="Calibri"/>
          <w:b/>
          <w:bCs/>
          <w:i/>
          <w:sz w:val="24"/>
          <w:szCs w:val="24"/>
          <w:shd w:val="clear" w:color="auto" w:fill="FFFFFF"/>
        </w:rPr>
        <w:t>A.10.7.1.3.</w:t>
      </w:r>
      <w:r>
        <w:rPr>
          <w:rFonts w:eastAsia="Calibri"/>
          <w:i/>
          <w:sz w:val="24"/>
          <w:szCs w:val="24"/>
          <w:shd w:val="clear" w:color="auto" w:fill="FFFFFF"/>
        </w:rPr>
        <w:t xml:space="preserve"> și Art. </w:t>
      </w:r>
      <w:r>
        <w:rPr>
          <w:rFonts w:eastAsia="Calibri"/>
          <w:b/>
          <w:bCs/>
          <w:i/>
          <w:sz w:val="24"/>
          <w:szCs w:val="24"/>
          <w:shd w:val="clear" w:color="auto" w:fill="FFFFFF"/>
        </w:rPr>
        <w:t>A.10.7.1.4.</w:t>
      </w:r>
      <w:r>
        <w:rPr>
          <w:rFonts w:eastAsia="Calibri"/>
          <w:i/>
          <w:sz w:val="24"/>
          <w:szCs w:val="24"/>
          <w:shd w:val="clear" w:color="auto" w:fill="FFFFFF"/>
        </w:rPr>
        <w:t>, iar diferitele funcțiuni ale acesteia corespunzător destinației și riscului (pericolului) de incendiu determinat, potrivit prevederilor reglementărilor tehnice de specialitate.</w:t>
      </w:r>
    </w:p>
    <w:p w14:paraId="30AA1FA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7.7.2.</w:t>
      </w:r>
      <w:r>
        <w:rPr>
          <w:rFonts w:eastAsia="Calibri"/>
          <w:i/>
          <w:sz w:val="24"/>
          <w:szCs w:val="24"/>
          <w:shd w:val="clear" w:color="auto" w:fill="FFFFFF"/>
        </w:rPr>
        <w:t> Atunci când beneficiarul solicită, construcția existentă se poate echipa și dota suplimentar cu instalații de semnalizare și stingere față de prevederile reglementărilortehnice de specialitate.</w:t>
      </w:r>
    </w:p>
    <w:p w14:paraId="098DF7C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7.7.3.</w:t>
      </w:r>
      <w:r>
        <w:rPr>
          <w:rFonts w:eastAsia="Calibri"/>
          <w:i/>
          <w:sz w:val="24"/>
          <w:szCs w:val="24"/>
          <w:shd w:val="clear" w:color="auto" w:fill="FFFFFF"/>
        </w:rPr>
        <w:t> La stabilirea echipării și dotării, se are în vedere ansamblul construcției cu funcțiuni mixte, precum și utilizarea instalațiilor, echipamentelor, mijloacelor și produselor de stingere corespunzătoare riscurilor de incendiu și categoriilor de pericol de incendiu din spațiile respective.</w:t>
      </w:r>
    </w:p>
    <w:p w14:paraId="2667758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7.7.4.</w:t>
      </w:r>
      <w:r>
        <w:rPr>
          <w:rFonts w:eastAsia="Calibri"/>
          <w:i/>
          <w:sz w:val="24"/>
          <w:szCs w:val="24"/>
          <w:shd w:val="clear" w:color="auto" w:fill="FFFFFF"/>
        </w:rPr>
        <w:t> Pentru supravegherea și controlul permanent al funcționării instalațiilor de prevenire și stingere a incendiilor din construcțiile existente cu funcțiuni mixte, de regulă, se asigură un dispecerat central de supraveghere a clădirii dispus - pe cât posibil la parter - care să asigure urmărirea funcționării acestor instalații din toate spațiile construcției existente. Diferitele funcțiuni pot avea puncte proprii de supraveghere și control ale instalațiilor cu care sunt echipate, dar a căror funcționare va fi semnalizată și la dispeceratul central al clădirii existente.</w:t>
      </w:r>
    </w:p>
    <w:p w14:paraId="6A143C31" w14:textId="77777777" w:rsidR="001C08A5" w:rsidRDefault="00000000">
      <w:pPr>
        <w:pStyle w:val="Heading3"/>
        <w:rPr>
          <w:i/>
          <w:iCs/>
          <w:sz w:val="24"/>
          <w:szCs w:val="24"/>
        </w:rPr>
      </w:pPr>
      <w:bookmarkStart w:id="11554" w:name="_Toc18911"/>
      <w:bookmarkStart w:id="11555" w:name="_Toc12057"/>
      <w:bookmarkStart w:id="11556" w:name="_Toc7273"/>
      <w:bookmarkStart w:id="11557" w:name="_Toc162355650"/>
      <w:bookmarkStart w:id="11558" w:name="_Toc30096"/>
      <w:r>
        <w:rPr>
          <w:i/>
          <w:iCs/>
          <w:sz w:val="24"/>
          <w:szCs w:val="24"/>
        </w:rPr>
        <w:t>A.10. 7.8. INSTALAȚII UTILITARE AFERENTE</w:t>
      </w:r>
      <w:bookmarkEnd w:id="11554"/>
      <w:bookmarkEnd w:id="11555"/>
      <w:bookmarkEnd w:id="11556"/>
      <w:bookmarkEnd w:id="11557"/>
      <w:bookmarkEnd w:id="11558"/>
    </w:p>
    <w:p w14:paraId="25560B9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7.8.1.</w:t>
      </w:r>
      <w:r>
        <w:rPr>
          <w:rFonts w:eastAsia="Calibri"/>
          <w:i/>
          <w:sz w:val="24"/>
          <w:szCs w:val="24"/>
          <w:shd w:val="clear" w:color="auto" w:fill="FFFFFF"/>
        </w:rPr>
        <w:t> Echiparea, proiectarea și realizarea instalațiilor utilitare aferente construcțiilor existente cu funcțiuni mixte, se asigură în conformitate cu prevederile prezentei anexe și ale reglementărilor tehnice specifice, având în vedere riscurile (categoriile de pericol) de incendiu ale funcțiunilor, (destinațiilor) respective și asigurarea protecției acestora, precum și a funcțiunilor adiacente de care sunt separate.</w:t>
      </w:r>
    </w:p>
    <w:p w14:paraId="7106F63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7.8.2.</w:t>
      </w:r>
      <w:r>
        <w:rPr>
          <w:rFonts w:eastAsia="Calibri"/>
          <w:i/>
          <w:sz w:val="24"/>
          <w:szCs w:val="24"/>
          <w:shd w:val="clear" w:color="auto" w:fill="FFFFFF"/>
        </w:rPr>
        <w:t> Instalațiile utilitare aferente construcției existente vor corespunde destinațiilor și riscurilor (categoriilor de pericol) de incendiu stabilite asigurând limitarea propagării focului și a fumului în construcție.</w:t>
      </w:r>
    </w:p>
    <w:p w14:paraId="331FB64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7.8.3.</w:t>
      </w:r>
      <w:r>
        <w:rPr>
          <w:rFonts w:eastAsia="Calibri"/>
          <w:i/>
          <w:sz w:val="24"/>
          <w:szCs w:val="24"/>
          <w:shd w:val="clear" w:color="auto" w:fill="FFFFFF"/>
        </w:rPr>
        <w:t> Sistemele și instalațiile electrice, de încălzire, sanitare, ventilare, etc. trebuie să corespundă riscurilor (categoriilor de pericol) de incendiu ale destinațiilor respective, mărimii construcțiilor existente și nivelului de stabilitate la incendiu asigurat, potrivit prevederilor reglementărilor tehnice specifice.</w:t>
      </w:r>
    </w:p>
    <w:p w14:paraId="62A1959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7.8.4.</w:t>
      </w:r>
      <w:r>
        <w:rPr>
          <w:rFonts w:eastAsia="Calibri"/>
          <w:i/>
          <w:sz w:val="24"/>
          <w:szCs w:val="24"/>
          <w:shd w:val="clear" w:color="auto" w:fill="FFFFFF"/>
        </w:rPr>
        <w:t> Spațiile și încăperile cu degajări de substanțe combustibile, vor avea asigurată evacuarea acestora pe măsura degajării lor, separată și astfel realizată încât să nu producă incendii sau explozii.</w:t>
      </w:r>
    </w:p>
    <w:p w14:paraId="6BF4B81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7.8.5.</w:t>
      </w:r>
      <w:r>
        <w:rPr>
          <w:rFonts w:eastAsia="Calibri"/>
          <w:i/>
          <w:sz w:val="24"/>
          <w:szCs w:val="24"/>
          <w:shd w:val="clear" w:color="auto" w:fill="FFFFFF"/>
        </w:rPr>
        <w:t> Sistemele de ventilare a încăperilor și spațiilor cu risc mare de incendiu, precum și a celor pentru public și a sălilor aglomerate, vorfi independente de alte instalații de ventilare ale construcției existente.</w:t>
      </w:r>
    </w:p>
    <w:p w14:paraId="26473C53" w14:textId="77777777" w:rsidR="001C08A5" w:rsidRDefault="00000000">
      <w:pPr>
        <w:pStyle w:val="Heading3"/>
        <w:rPr>
          <w:i/>
          <w:iCs/>
          <w:sz w:val="24"/>
          <w:szCs w:val="24"/>
        </w:rPr>
      </w:pPr>
      <w:bookmarkStart w:id="11559" w:name="_Toc162355651"/>
      <w:bookmarkStart w:id="11560" w:name="_Toc894"/>
      <w:bookmarkStart w:id="11561" w:name="_Toc16368"/>
      <w:bookmarkStart w:id="11562" w:name="_Toc24646"/>
      <w:bookmarkStart w:id="11563" w:name="_Toc17121"/>
      <w:bookmarkStart w:id="11564" w:name="_Toc19858"/>
      <w:r>
        <w:rPr>
          <w:i/>
          <w:iCs/>
          <w:sz w:val="24"/>
          <w:szCs w:val="24"/>
        </w:rPr>
        <w:t>A.10. 7.9. CĂI DE ACCES, INTERVENȚIE ȘI SALVARE</w:t>
      </w:r>
      <w:bookmarkEnd w:id="11559"/>
      <w:bookmarkEnd w:id="11560"/>
      <w:bookmarkEnd w:id="11561"/>
      <w:bookmarkEnd w:id="11562"/>
      <w:bookmarkEnd w:id="11563"/>
      <w:bookmarkEnd w:id="11564"/>
    </w:p>
    <w:p w14:paraId="15E1FA4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7.9.1.</w:t>
      </w:r>
      <w:r>
        <w:rPr>
          <w:rFonts w:eastAsia="Calibri"/>
          <w:i/>
          <w:sz w:val="24"/>
          <w:szCs w:val="24"/>
          <w:shd w:val="clear" w:color="auto" w:fill="FFFFFF"/>
        </w:rPr>
        <w:t> Construcțiile existente cu funcțiuni mixte, trebuie să aibă asigurate căi de acces, intervenție și salvare în caz de incendiu, astfel dispuse, alcătuite și realizate încât forțele de intervenție să poată acționa în timp scurt și în condiții de siguranță, conform prevederilor stabilite prin prezenta anexă.</w:t>
      </w:r>
    </w:p>
    <w:p w14:paraId="194AF2C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7.9.2.</w:t>
      </w:r>
      <w:r>
        <w:rPr>
          <w:rFonts w:eastAsia="Calibri"/>
          <w:i/>
          <w:sz w:val="24"/>
          <w:szCs w:val="24"/>
          <w:shd w:val="clear" w:color="auto" w:fill="FFFFFF"/>
        </w:rPr>
        <w:t> Construcțiile existente supraterane cu funcțiuni mixte, de regulă, trebuie să fie accesibile autospecialelor de intervenție în caz de incendiu, cel puțin pe două laturi.</w:t>
      </w:r>
    </w:p>
    <w:p w14:paraId="6B514BC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7.9.3.</w:t>
      </w:r>
      <w:r>
        <w:rPr>
          <w:rFonts w:eastAsia="Calibri"/>
          <w:i/>
          <w:sz w:val="24"/>
          <w:szCs w:val="24"/>
          <w:shd w:val="clear" w:color="auto" w:fill="FFFFFF"/>
        </w:rPr>
        <w:t xml:space="preserve"> Căile exterioare de acces pentru autospecialele de intervenție (drumuri, platforme, etc.) trebuie să permită accesul și intervenția în special la zonele și funcțiunile mai periculoase ale </w:t>
      </w:r>
      <w:r>
        <w:rPr>
          <w:rFonts w:eastAsia="Calibri"/>
          <w:i/>
          <w:sz w:val="24"/>
          <w:szCs w:val="24"/>
          <w:shd w:val="clear" w:color="auto" w:fill="FFFFFF"/>
        </w:rPr>
        <w:lastRenderedPageBreak/>
        <w:t>construcției existente, la cele cu aglomerări de persoane, la deschiderile (protejate sau neprotejate) din pereții exteriori perimetrali, precum și la sursele de alimentare cu apă.</w:t>
      </w:r>
    </w:p>
    <w:p w14:paraId="28D42E8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7.9.4.</w:t>
      </w:r>
      <w:r>
        <w:rPr>
          <w:rFonts w:eastAsia="Calibri"/>
          <w:i/>
          <w:sz w:val="24"/>
          <w:szCs w:val="24"/>
          <w:shd w:val="clear" w:color="auto" w:fill="FFFFFF"/>
        </w:rPr>
        <w:t> Alcătuirea, conformarea și reaiizarea căilor exterioare de circulație a autospecialelor de intervenție, vor corespunde prevederilor din prezenta anexă și aie reglementărilor tehnice.</w:t>
      </w:r>
    </w:p>
    <w:p w14:paraId="6F0A2EA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7.9.5.</w:t>
      </w:r>
      <w:r>
        <w:rPr>
          <w:rFonts w:eastAsia="Calibri"/>
          <w:i/>
          <w:sz w:val="24"/>
          <w:szCs w:val="24"/>
          <w:shd w:val="clear" w:color="auto" w:fill="FFFFFF"/>
        </w:rPr>
        <w:t> Căile de acces și circulațiile interioare ale construcției existente, care asigură și intervenția în caz de incendiu a personalului pompierilor, se echipează și marchează corespunzător, astfel încât să fie ușor de recunoscutșiutilizatîn condițiile incendiului.</w:t>
      </w:r>
    </w:p>
    <w:p w14:paraId="74ADE58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7.9.6.</w:t>
      </w:r>
      <w:r>
        <w:rPr>
          <w:rFonts w:eastAsia="Calibri"/>
          <w:i/>
          <w:sz w:val="24"/>
          <w:szCs w:val="24"/>
          <w:shd w:val="clear" w:color="auto" w:fill="FFFFFF"/>
        </w:rPr>
        <w:t> Pentru funcțiuni ale construcției existente care necesită condiții speciale de salvare a utilizatorilor în caz de incendiu (bolnavi, handicapați, etc), se asigură căi de acces, circulație și salvare corespunzător dimensionate, alcătuite și echipate, conform prevederilor din prezenta anexă și reglementărilor tehnice specifice acestora.</w:t>
      </w:r>
    </w:p>
    <w:p w14:paraId="4E4AA8D5" w14:textId="77777777" w:rsidR="001C08A5" w:rsidRDefault="00000000">
      <w:pPr>
        <w:pStyle w:val="Heading3"/>
        <w:rPr>
          <w:i/>
          <w:iCs/>
          <w:sz w:val="24"/>
          <w:szCs w:val="24"/>
        </w:rPr>
      </w:pPr>
      <w:bookmarkStart w:id="11565" w:name="_Toc31076"/>
      <w:bookmarkStart w:id="11566" w:name="_Toc29375"/>
      <w:bookmarkStart w:id="11567" w:name="_Toc162355652"/>
      <w:bookmarkStart w:id="11568" w:name="_Toc2057"/>
      <w:bookmarkStart w:id="11569" w:name="_Toc11764"/>
      <w:bookmarkStart w:id="11570" w:name="_Toc10597"/>
      <w:r>
        <w:rPr>
          <w:i/>
          <w:iCs/>
          <w:sz w:val="24"/>
          <w:szCs w:val="24"/>
        </w:rPr>
        <w:t>A.10. 7.10. DOTAREA CU MIJLOACE DE INTERVENȚIE ȘI SERVICIUL DE POMPIERI</w:t>
      </w:r>
      <w:bookmarkEnd w:id="11565"/>
      <w:bookmarkEnd w:id="11566"/>
      <w:bookmarkEnd w:id="11567"/>
      <w:bookmarkEnd w:id="11568"/>
      <w:bookmarkEnd w:id="11569"/>
      <w:bookmarkEnd w:id="11570"/>
    </w:p>
    <w:p w14:paraId="213BCFE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7.10.1.</w:t>
      </w:r>
      <w:r>
        <w:rPr>
          <w:rFonts w:eastAsia="Calibri"/>
          <w:i/>
          <w:sz w:val="24"/>
          <w:szCs w:val="24"/>
          <w:shd w:val="clear" w:color="auto" w:fill="FFFFFF"/>
        </w:rPr>
        <w:t> Construcțiile existente cu funcțiuni mixte se dotează cu mijloace tehnice de stingere corespunzătoare claselor de incendiu din spațiile și încăperile respective, potrivit prevederilor din prezenta anexă și reglementărilortehnice specifice acestora.</w:t>
      </w:r>
    </w:p>
    <w:p w14:paraId="0EA42A5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7.10.2.</w:t>
      </w:r>
      <w:r>
        <w:rPr>
          <w:rFonts w:eastAsia="Calibri"/>
          <w:i/>
          <w:sz w:val="24"/>
          <w:szCs w:val="24"/>
          <w:shd w:val="clear" w:color="auto" w:fill="FFFFFF"/>
        </w:rPr>
        <w:t xml:space="preserve"> Pentru fiecare funcțiune se prevăd mijloacele tehnice de stingere (stingătoare portative, transportabile, etc.) necesare, iar pentru ansamblul construcției existente se asigură dotarea conform prevederilor din prezenta anexă în funcție de încadrarea acesteia în clădire existentă civilă (publică) sau de producție și/sau depozitare - conform Art. </w:t>
      </w:r>
      <w:r>
        <w:rPr>
          <w:rFonts w:eastAsia="Calibri"/>
          <w:b/>
          <w:bCs/>
          <w:i/>
          <w:sz w:val="24"/>
          <w:szCs w:val="24"/>
          <w:shd w:val="clear" w:color="auto" w:fill="FFFFFF"/>
        </w:rPr>
        <w:t>A.10.7.1.3.</w:t>
      </w:r>
      <w:r>
        <w:rPr>
          <w:rFonts w:eastAsia="Calibri"/>
          <w:i/>
          <w:sz w:val="24"/>
          <w:szCs w:val="24"/>
          <w:shd w:val="clear" w:color="auto" w:fill="FFFFFF"/>
        </w:rPr>
        <w:t xml:space="preserve"> și Art. </w:t>
      </w:r>
      <w:r>
        <w:rPr>
          <w:rFonts w:eastAsia="Calibri"/>
          <w:b/>
          <w:bCs/>
          <w:i/>
          <w:sz w:val="24"/>
          <w:szCs w:val="24"/>
          <w:shd w:val="clear" w:color="auto" w:fill="FFFFFF"/>
        </w:rPr>
        <w:t>A.10.7.1.4.</w:t>
      </w:r>
      <w:r>
        <w:rPr>
          <w:rFonts w:eastAsia="Calibri"/>
          <w:i/>
          <w:sz w:val="24"/>
          <w:szCs w:val="24"/>
          <w:shd w:val="clear" w:color="auto" w:fill="FFFFFF"/>
        </w:rPr>
        <w:t>.</w:t>
      </w:r>
    </w:p>
    <w:p w14:paraId="4AF9E9E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7.10.3.</w:t>
      </w:r>
      <w:r>
        <w:rPr>
          <w:rFonts w:eastAsia="Calibri"/>
          <w:i/>
          <w:sz w:val="24"/>
          <w:szCs w:val="24"/>
          <w:shd w:val="clear" w:color="auto" w:fill="FFFFFF"/>
        </w:rPr>
        <w:t> Mijloacele tehnice de stingere cu care se dotează construcția existentă și diferitele funcțiuni ale acesteia, se dispun astfel încât să poată fi ușor accesibile și utilizate în caz de nevoie.</w:t>
      </w:r>
    </w:p>
    <w:p w14:paraId="708F44F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7.10.4.</w:t>
      </w:r>
      <w:r>
        <w:rPr>
          <w:rFonts w:eastAsia="Calibri"/>
          <w:i/>
          <w:sz w:val="24"/>
          <w:szCs w:val="24"/>
          <w:shd w:val="clear" w:color="auto" w:fill="FFFFFF"/>
        </w:rPr>
        <w:t> Nivelul de dotare și încadrare cu personal a serviciului de pompieri al construcției existente cu funcțiuni mixte se stabilesc în funcție de mărimea construcției existente, riscuri (categorii de pericol) de incendiu, vulnerabilitate, tip de construcție existentă, nivelul echipării cu instalații fixe de prevenire și stingere, etc, potrivit reglementărilor de specialitate.</w:t>
      </w:r>
    </w:p>
    <w:p w14:paraId="4356AAB3"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7.10.5.</w:t>
      </w:r>
      <w:r>
        <w:rPr>
          <w:rFonts w:eastAsia="Calibri"/>
          <w:i/>
          <w:sz w:val="24"/>
          <w:szCs w:val="24"/>
          <w:shd w:val="clear" w:color="auto" w:fill="FFFFFF"/>
        </w:rPr>
        <w:t xml:space="preserve"> De regulă, construcțiile existente cu funcțiuni mixte vor avea constituite servicii de pompieri (pentru întreaga construcție), atunci când aria desfășurată totală este de </w:t>
      </w:r>
      <w:r>
        <w:rPr>
          <w:rFonts w:eastAsia="Calibri"/>
          <w:b/>
          <w:bCs/>
          <w:i/>
          <w:sz w:val="24"/>
          <w:szCs w:val="24"/>
          <w:shd w:val="clear" w:color="auto" w:fill="FFFFFF"/>
        </w:rPr>
        <w:t>10.000 m</w:t>
      </w:r>
      <w:r>
        <w:rPr>
          <w:rFonts w:eastAsia="Calibri"/>
          <w:b/>
          <w:bCs/>
          <w:i/>
          <w:sz w:val="24"/>
          <w:szCs w:val="24"/>
          <w:shd w:val="clear" w:color="auto" w:fill="FFFFFF"/>
          <w:vertAlign w:val="superscript"/>
        </w:rPr>
        <w:t>2</w:t>
      </w:r>
      <w:r>
        <w:rPr>
          <w:rFonts w:eastAsia="Calibri"/>
          <w:i/>
          <w:sz w:val="24"/>
          <w:szCs w:val="24"/>
          <w:shd w:val="clear" w:color="auto" w:fill="FFFFFF"/>
        </w:rPr>
        <w:t> sau mai mare. Beneficiarii pot constitui servicii de pompieri și la arii mai mici sau chiar pentru diferitele funcțiuni dispuse în construcția existentă.</w:t>
      </w:r>
    </w:p>
    <w:p w14:paraId="6EDF7A8D" w14:textId="77777777" w:rsidR="001C08A5" w:rsidRDefault="00000000">
      <w:pPr>
        <w:pStyle w:val="Heading3"/>
        <w:rPr>
          <w:i/>
          <w:iCs/>
          <w:sz w:val="26"/>
        </w:rPr>
      </w:pPr>
      <w:bookmarkStart w:id="11571" w:name="_Toc14859"/>
      <w:bookmarkStart w:id="11572" w:name="_Toc21719"/>
      <w:bookmarkStart w:id="11573" w:name="_Toc27597"/>
      <w:bookmarkStart w:id="11574" w:name="_Toc162355653"/>
      <w:bookmarkStart w:id="11575" w:name="_Toc27607"/>
      <w:bookmarkStart w:id="11576" w:name="_Toc20688"/>
      <w:r>
        <w:rPr>
          <w:i/>
          <w:iCs/>
          <w:sz w:val="26"/>
        </w:rPr>
        <w:t>CAPITOLUL 8</w:t>
      </w:r>
      <w:bookmarkEnd w:id="11571"/>
      <w:bookmarkEnd w:id="11572"/>
      <w:bookmarkEnd w:id="11573"/>
      <w:bookmarkEnd w:id="11574"/>
      <w:bookmarkEnd w:id="11575"/>
      <w:bookmarkEnd w:id="11576"/>
    </w:p>
    <w:p w14:paraId="0E6D7826" w14:textId="77777777" w:rsidR="001C08A5" w:rsidRDefault="00000000">
      <w:pPr>
        <w:pStyle w:val="Heading3"/>
        <w:rPr>
          <w:i/>
          <w:iCs/>
          <w:sz w:val="24"/>
          <w:szCs w:val="24"/>
        </w:rPr>
      </w:pPr>
      <w:bookmarkStart w:id="11577" w:name="_Toc20531"/>
      <w:bookmarkStart w:id="11578" w:name="_Toc162355654"/>
      <w:bookmarkStart w:id="11579" w:name="_Toc20458"/>
      <w:bookmarkStart w:id="11580" w:name="_Toc26953"/>
      <w:bookmarkStart w:id="11581" w:name="_Toc28190"/>
      <w:bookmarkStart w:id="11582" w:name="_Toc17482"/>
      <w:r>
        <w:rPr>
          <w:i/>
          <w:iCs/>
          <w:sz w:val="26"/>
        </w:rPr>
        <w:t>PERFORMANȚE SPECIFICE CONSTRUCȚIILOR EXISTENTE  CU FUNCȚIUNI MIXTE</w:t>
      </w:r>
      <w:bookmarkEnd w:id="11577"/>
      <w:bookmarkEnd w:id="11578"/>
      <w:bookmarkEnd w:id="11579"/>
      <w:bookmarkEnd w:id="11580"/>
      <w:bookmarkEnd w:id="11581"/>
      <w:bookmarkEnd w:id="11582"/>
    </w:p>
    <w:p w14:paraId="18A70646" w14:textId="77777777" w:rsidR="001C08A5" w:rsidRDefault="00000000">
      <w:pPr>
        <w:pStyle w:val="Heading3"/>
        <w:rPr>
          <w:i/>
          <w:sz w:val="24"/>
          <w:szCs w:val="24"/>
        </w:rPr>
      </w:pPr>
      <w:bookmarkStart w:id="11583" w:name="_Toc13392"/>
      <w:bookmarkStart w:id="11584" w:name="_Toc14580"/>
      <w:bookmarkStart w:id="11585" w:name="_Toc10104"/>
      <w:bookmarkStart w:id="11586" w:name="_Toc12285"/>
      <w:bookmarkStart w:id="11587" w:name="_Toc162355655"/>
      <w:bookmarkStart w:id="11588" w:name="_Toc23110"/>
      <w:r>
        <w:rPr>
          <w:i/>
          <w:iCs/>
          <w:sz w:val="24"/>
          <w:szCs w:val="24"/>
        </w:rPr>
        <w:t>A.10. 8.1. PERFORMANȚE ALE TIPURILOR DE CONSTRUCȚII CU FUNCȚIUNI MIXTE</w:t>
      </w:r>
      <w:bookmarkEnd w:id="11583"/>
      <w:bookmarkEnd w:id="11584"/>
      <w:bookmarkEnd w:id="11585"/>
      <w:bookmarkEnd w:id="11586"/>
      <w:bookmarkEnd w:id="11587"/>
      <w:bookmarkEnd w:id="11588"/>
    </w:p>
    <w:p w14:paraId="5AA8754F" w14:textId="77777777" w:rsidR="001C08A5" w:rsidRDefault="00000000">
      <w:pPr>
        <w:pStyle w:val="Heading4"/>
        <w:rPr>
          <w:sz w:val="24"/>
          <w:szCs w:val="24"/>
        </w:rPr>
      </w:pPr>
      <w:bookmarkStart w:id="11589" w:name="_Toc3373"/>
      <w:bookmarkStart w:id="11590" w:name="_Toc10513"/>
      <w:bookmarkStart w:id="11591" w:name="_Toc162355656"/>
      <w:bookmarkStart w:id="11592" w:name="_Toc8614"/>
      <w:bookmarkStart w:id="11593" w:name="_Toc11511"/>
      <w:bookmarkStart w:id="11594" w:name="_Toc17267"/>
      <w:r>
        <w:rPr>
          <w:sz w:val="24"/>
          <w:szCs w:val="24"/>
        </w:rPr>
        <w:t>Construcții existente de tip obișnuit</w:t>
      </w:r>
      <w:bookmarkEnd w:id="11589"/>
      <w:bookmarkEnd w:id="11590"/>
      <w:bookmarkEnd w:id="11591"/>
      <w:bookmarkEnd w:id="11592"/>
      <w:bookmarkEnd w:id="11593"/>
      <w:bookmarkEnd w:id="11594"/>
    </w:p>
    <w:p w14:paraId="0BA9354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8.1.1.</w:t>
      </w:r>
      <w:r>
        <w:rPr>
          <w:rFonts w:eastAsia="Calibri"/>
          <w:i/>
          <w:sz w:val="24"/>
          <w:szCs w:val="24"/>
          <w:shd w:val="clear" w:color="auto" w:fill="FFFFFF"/>
        </w:rPr>
        <w:t> Construcțiile existente de tip obișnuit cu funcțiuni mixte, sunt considerate cele care nu sunt înalte, foarte înalte, cu săli aglomerate, construcții existente monobloc blindate.</w:t>
      </w:r>
    </w:p>
    <w:p w14:paraId="756E0656"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Construcțiile de tip obișnuit vor avea stabilite și precizate riscurile și după caz, categoriile de pericol de incendiu - respectiv clasele de periculozitate la depozite - pentru fiecare destinație sau funcțiune pe care o cuprinde.</w:t>
      </w:r>
    </w:p>
    <w:p w14:paraId="18F602C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8.1.2.</w:t>
      </w:r>
      <w:r>
        <w:rPr>
          <w:rFonts w:eastAsia="Calibri"/>
          <w:i/>
          <w:sz w:val="24"/>
          <w:szCs w:val="24"/>
          <w:shd w:val="clear" w:color="auto" w:fill="FFFFFF"/>
        </w:rPr>
        <w:t xml:space="preserve"> Construcțiile existente de tip obișnuit cu funcțiuni mixte, pot fi de nivelul de stabilitate la incendiu I pâna la V, în condițiile respectării corelației admise între nivelul de stabilitate la incendiu asigurat, riscul (categoria) de pericol și aria compartimentului de incendiu, în funcție de încadrarea </w:t>
      </w:r>
      <w:r>
        <w:rPr>
          <w:rFonts w:eastAsia="Calibri"/>
          <w:i/>
          <w:sz w:val="24"/>
          <w:szCs w:val="24"/>
          <w:shd w:val="clear" w:color="auto" w:fill="FFFFFF"/>
        </w:rPr>
        <w:lastRenderedPageBreak/>
        <w:t xml:space="preserve">ansamblului construcției existentă în clădire civilă (publică) ori de producție și/sau depozitare, conform prevederilor Art. </w:t>
      </w:r>
      <w:r>
        <w:rPr>
          <w:rFonts w:eastAsia="Calibri"/>
          <w:b/>
          <w:bCs/>
          <w:i/>
          <w:sz w:val="24"/>
          <w:szCs w:val="24"/>
          <w:shd w:val="clear" w:color="auto" w:fill="FFFFFF"/>
        </w:rPr>
        <w:t>A.10.7.1.3.</w:t>
      </w:r>
      <w:r>
        <w:rPr>
          <w:rFonts w:eastAsia="Calibri"/>
          <w:i/>
          <w:sz w:val="24"/>
          <w:szCs w:val="24"/>
          <w:shd w:val="clear" w:color="auto" w:fill="FFFFFF"/>
        </w:rPr>
        <w:t xml:space="preserve"> și Art. </w:t>
      </w:r>
      <w:r>
        <w:rPr>
          <w:rFonts w:eastAsia="Calibri"/>
          <w:b/>
          <w:bCs/>
          <w:i/>
          <w:sz w:val="24"/>
          <w:szCs w:val="24"/>
          <w:shd w:val="clear" w:color="auto" w:fill="FFFFFF"/>
        </w:rPr>
        <w:t>A.10.7.1.4.</w:t>
      </w:r>
      <w:r>
        <w:rPr>
          <w:rFonts w:eastAsia="Calibri"/>
          <w:i/>
          <w:sz w:val="24"/>
          <w:szCs w:val="24"/>
          <w:shd w:val="clear" w:color="auto" w:fill="FFFFFF"/>
        </w:rPr>
        <w:t>.</w:t>
      </w:r>
    </w:p>
    <w:p w14:paraId="30D4AD8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8.1.3.</w:t>
      </w:r>
      <w:r>
        <w:rPr>
          <w:rFonts w:eastAsia="Calibri"/>
          <w:i/>
          <w:sz w:val="24"/>
          <w:szCs w:val="24"/>
          <w:shd w:val="clear" w:color="auto" w:fill="FFFFFF"/>
        </w:rPr>
        <w:t> Construcțiile existente de tip obișnuit pot fi amplasate independent, sau grupate ori comasate cu alte construcții, în condițiile stabilite în prezenta anexă și încadrării în limitele admise ale compartimentelor de incendiu.</w:t>
      </w:r>
    </w:p>
    <w:p w14:paraId="6A1136A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8.1.4.</w:t>
      </w:r>
      <w:r>
        <w:rPr>
          <w:rFonts w:eastAsia="Calibri"/>
          <w:i/>
          <w:sz w:val="24"/>
          <w:szCs w:val="24"/>
          <w:shd w:val="clear" w:color="auto" w:fill="FFFFFF"/>
        </w:rPr>
        <w:t xml:space="preserve"> Amplasarea față de vecinătăți se realizează la distanțele de siguranță stabilite în Art. </w:t>
      </w:r>
      <w:r>
        <w:rPr>
          <w:rFonts w:eastAsia="Calibri"/>
          <w:b/>
          <w:bCs/>
          <w:i/>
          <w:sz w:val="24"/>
          <w:szCs w:val="24"/>
          <w:shd w:val="clear" w:color="auto" w:fill="FFFFFF"/>
        </w:rPr>
        <w:t>A.10.2.2.2.</w:t>
      </w:r>
      <w:r>
        <w:rPr>
          <w:rFonts w:eastAsia="Calibri"/>
          <w:i/>
          <w:sz w:val="24"/>
          <w:szCs w:val="24"/>
          <w:shd w:val="clear" w:color="auto" w:fill="FFFFFF"/>
        </w:rPr>
        <w:t xml:space="preserve"> și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_Ref5126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145</w:t>
      </w:r>
      <w:r>
        <w:rPr>
          <w:rFonts w:eastAsia="Calibri"/>
          <w:b/>
          <w:bCs/>
          <w:i/>
          <w:iCs/>
          <w:sz w:val="24"/>
          <w:szCs w:val="24"/>
          <w:shd w:val="clear" w:color="auto" w:fill="FFFFFF"/>
        </w:rPr>
        <w:fldChar w:fldCharType="end"/>
      </w:r>
      <w:r>
        <w:rPr>
          <w:rFonts w:eastAsia="Calibri"/>
          <w:i/>
          <w:sz w:val="24"/>
          <w:szCs w:val="24"/>
          <w:shd w:val="clear" w:color="auto" w:fill="FFFFFF"/>
        </w:rPr>
        <w:t xml:space="preserve"> sau se compartimentează prin pereți antifoc, ori după caz, rezistenți la foc.</w:t>
      </w:r>
    </w:p>
    <w:p w14:paraId="316BA4F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8.1.5.</w:t>
      </w:r>
      <w:r>
        <w:rPr>
          <w:rFonts w:eastAsia="Calibri"/>
          <w:i/>
          <w:sz w:val="24"/>
          <w:szCs w:val="24"/>
          <w:shd w:val="clear" w:color="auto" w:fill="FFFFFF"/>
        </w:rPr>
        <w:t> Prin conformarea construcțiilor existente obișnuite cu funcțiuni mixte, se va urmări dispunerea spațiilor cu riscuri (categorii) mai periculoase în zone distincte și cu măsurile de protecție corespunzătoare astfel încât în caz de incendiu sa nu fie afectate arii mari construite, ori să pună în pericol obiecte învecinate sau ele să fie puse în pericol de vecinătăți.</w:t>
      </w:r>
    </w:p>
    <w:p w14:paraId="09A4D6A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8.1.6.</w:t>
      </w:r>
      <w:r>
        <w:rPr>
          <w:rFonts w:eastAsia="Calibri"/>
          <w:i/>
          <w:sz w:val="24"/>
          <w:szCs w:val="24"/>
          <w:shd w:val="clear" w:color="auto" w:fill="FFFFFF"/>
        </w:rPr>
        <w:t> Destinațiile și funcțiunile distincte și independente dispuse în construcția existentă, se separă între ele prin elemente de construcție verticale și după caz, orizontale (pereți, planșee), corespunzătoare riscurilor (categoriilor de pericol) de incendiu respective, conform prevederilor stabilite prin prezenta anexă.</w:t>
      </w:r>
    </w:p>
    <w:p w14:paraId="13CB714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8.1.7.</w:t>
      </w:r>
      <w:r>
        <w:rPr>
          <w:rFonts w:eastAsia="Calibri"/>
          <w:i/>
          <w:sz w:val="24"/>
          <w:szCs w:val="24"/>
          <w:shd w:val="clear" w:color="auto" w:fill="FFFFFF"/>
        </w:rPr>
        <w:t> Construcțiile existente obișnuite cu funcțiuni mixte vor avea asigurate căi de evacuare în caz de incendiu corespunzător dimensionate, alcătuite și realizate, potrivit prevederilor din prezenta anexă.</w:t>
      </w:r>
    </w:p>
    <w:p w14:paraId="7EC4810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8.1.8.</w:t>
      </w:r>
      <w:r>
        <w:rPr>
          <w:rFonts w:eastAsia="Calibri"/>
          <w:i/>
          <w:sz w:val="24"/>
          <w:szCs w:val="24"/>
          <w:shd w:val="clear" w:color="auto" w:fill="FFFFFF"/>
        </w:rPr>
        <w:t> Echiparea și dotarea cu instalații și mijloace de semnalizare și stingere a incendiilor se realizează conform prevederilor reglementărilor tehnice de specialitate, având în vedere ansamblul construcției existente. Beneficiarii pot stabili echipări și dotări cu astfel de instalații și mijloace, după caz, și în afară de domeniile obligatorii.</w:t>
      </w:r>
    </w:p>
    <w:p w14:paraId="539624F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8.1.9.</w:t>
      </w:r>
      <w:r>
        <w:rPr>
          <w:rFonts w:eastAsia="Calibri"/>
          <w:i/>
          <w:sz w:val="24"/>
          <w:szCs w:val="24"/>
          <w:shd w:val="clear" w:color="auto" w:fill="FFFFFF"/>
        </w:rPr>
        <w:t> Pentru asigurarea condițiilor de intervenție în caz de incendiu, construcțiile existente obișnuite vor avea prevăzute căi de acces, intervenție și salvare, conform prevederilor din prezenta anexă, astfel încât sa fie posibil accesul autospecialelor de intervenție cel puțin pe o latură a construcției.</w:t>
      </w:r>
    </w:p>
    <w:p w14:paraId="4215A9BE" w14:textId="77777777" w:rsidR="001C08A5" w:rsidRDefault="00000000">
      <w:pPr>
        <w:pStyle w:val="Heading4"/>
        <w:rPr>
          <w:sz w:val="24"/>
          <w:szCs w:val="24"/>
        </w:rPr>
      </w:pPr>
      <w:bookmarkStart w:id="11595" w:name="_Toc162355657"/>
      <w:bookmarkStart w:id="11596" w:name="_Toc1414"/>
      <w:bookmarkStart w:id="11597" w:name="_Toc2700"/>
      <w:bookmarkStart w:id="11598" w:name="_Toc7818"/>
      <w:bookmarkStart w:id="11599" w:name="_Toc29374"/>
      <w:bookmarkStart w:id="11600" w:name="_Toc15494"/>
      <w:r>
        <w:rPr>
          <w:sz w:val="24"/>
          <w:szCs w:val="24"/>
        </w:rPr>
        <w:t>Construcții existente înalte, foarte înalte, cu săli aglomerate, monobloc sau blindate</w:t>
      </w:r>
      <w:bookmarkEnd w:id="11595"/>
      <w:bookmarkEnd w:id="11596"/>
      <w:bookmarkEnd w:id="11597"/>
      <w:bookmarkEnd w:id="11598"/>
      <w:bookmarkEnd w:id="11599"/>
      <w:bookmarkEnd w:id="11600"/>
    </w:p>
    <w:p w14:paraId="541DC1D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8.1.10.</w:t>
      </w:r>
      <w:r>
        <w:rPr>
          <w:rFonts w:eastAsia="Calibri"/>
          <w:i/>
          <w:sz w:val="24"/>
          <w:szCs w:val="24"/>
          <w:shd w:val="clear" w:color="auto" w:fill="FFFFFF"/>
        </w:rPr>
        <w:t> Tipurile de construcții existente cu funcțiuni mixte, pot fi clădiri existente înalte și foarte înalte, clădiri existente cu săli aglomerate, construcții existente monobloc sau blindate.</w:t>
      </w:r>
    </w:p>
    <w:p w14:paraId="14A1B9C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8.1.11.</w:t>
      </w:r>
      <w:r>
        <w:rPr>
          <w:rFonts w:eastAsia="Calibri"/>
          <w:i/>
          <w:sz w:val="24"/>
          <w:szCs w:val="24"/>
          <w:shd w:val="clear" w:color="auto" w:fill="FFFFFF"/>
        </w:rPr>
        <w:t> In construcțiile existente cu funcțiuni mixte, se pot dispune numai:</w:t>
      </w:r>
    </w:p>
    <w:p w14:paraId="1B6015DB" w14:textId="77777777" w:rsidR="001C08A5" w:rsidRDefault="00000000">
      <w:pPr>
        <w:shd w:val="clear" w:color="auto" w:fill="FFFFFF"/>
        <w:spacing w:after="150"/>
        <w:ind w:firstLine="72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diferite funcțiuni civile (publice) independente sau nu funcțional;</w:t>
      </w:r>
    </w:p>
    <w:p w14:paraId="503325E2" w14:textId="77777777" w:rsidR="001C08A5" w:rsidRDefault="00000000">
      <w:pPr>
        <w:shd w:val="clear" w:color="auto" w:fill="FFFFFF"/>
        <w:spacing w:after="150"/>
        <w:ind w:firstLine="72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funcțiuni civile (publice) și unele activități de producție și/sau depozitare stabilite în prezenta anexă;</w:t>
      </w:r>
    </w:p>
    <w:p w14:paraId="55413933" w14:textId="77777777" w:rsidR="001C08A5" w:rsidRDefault="00000000">
      <w:pPr>
        <w:shd w:val="clear" w:color="auto" w:fill="FFFFFF"/>
        <w:spacing w:after="150"/>
        <w:ind w:firstLine="720"/>
        <w:jc w:val="both"/>
        <w:rPr>
          <w:rFonts w:eastAsia="Calibri"/>
          <w:i/>
          <w:sz w:val="24"/>
          <w:szCs w:val="24"/>
        </w:rPr>
      </w:pPr>
      <w:r>
        <w:rPr>
          <w:rFonts w:eastAsia="Calibri"/>
          <w:b/>
          <w:bCs/>
          <w:i/>
          <w:sz w:val="24"/>
          <w:szCs w:val="24"/>
          <w:shd w:val="clear" w:color="auto" w:fill="FFFFFF"/>
        </w:rPr>
        <w:t>c)</w:t>
      </w:r>
      <w:r>
        <w:rPr>
          <w:rFonts w:eastAsia="Calibri"/>
          <w:i/>
          <w:sz w:val="24"/>
          <w:szCs w:val="24"/>
          <w:shd w:val="clear" w:color="auto" w:fill="FFFFFF"/>
        </w:rPr>
        <w:t> diferite activități de producție și/sau depozitare.</w:t>
      </w:r>
    </w:p>
    <w:p w14:paraId="423C3B2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8.1.12.</w:t>
      </w:r>
      <w:r>
        <w:rPr>
          <w:rFonts w:eastAsia="Calibri"/>
          <w:i/>
          <w:sz w:val="24"/>
          <w:szCs w:val="24"/>
          <w:shd w:val="clear" w:color="auto" w:fill="FFFFFF"/>
        </w:rPr>
        <w:t> În clădirile existente civile (publice) înalte, foarte înalte sau cu săli aglomerate, este admisă dispunerea numai a funcțiunilor civile (publice). Dispunerea în acestea a unor funcțiuni distincte de producție și/sau depozitare, este strict interzisă. Fac excepție activitățile aferente funcțiunilor civile (publice) ce se încadrează în nivelele de risc (ateliere întreținere, ediție, depozitare, etc).</w:t>
      </w:r>
    </w:p>
    <w:p w14:paraId="1BB6615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8.1.13.</w:t>
      </w:r>
      <w:r>
        <w:rPr>
          <w:rFonts w:eastAsia="Calibri"/>
          <w:i/>
          <w:sz w:val="24"/>
          <w:szCs w:val="24"/>
          <w:shd w:val="clear" w:color="auto" w:fill="FFFFFF"/>
        </w:rPr>
        <w:t> În construcțiile existente de producție și/sau depozitare de tip monobloc, pot fi dispuse și funcțiuni civile (publice), cu condiția separării acestora în compartimente de incendiu distincte.</w:t>
      </w:r>
    </w:p>
    <w:p w14:paraId="3EC24C4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8.1.14.</w:t>
      </w:r>
      <w:r>
        <w:rPr>
          <w:rFonts w:eastAsia="Calibri"/>
          <w:i/>
          <w:sz w:val="24"/>
          <w:szCs w:val="24"/>
          <w:shd w:val="clear" w:color="auto" w:fill="FFFFFF"/>
        </w:rPr>
        <w:t> Pentru fiecare tip de construcție existentă se vor asigura performanțele specifice stabilite în prezenta anexă, iar pentru diferitele funcțiuni se respectă condițiile și performanțele specifice acestora.</w:t>
      </w:r>
    </w:p>
    <w:p w14:paraId="3EF6418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8.1.15.</w:t>
      </w:r>
      <w:r>
        <w:rPr>
          <w:rFonts w:eastAsia="Calibri"/>
          <w:i/>
          <w:sz w:val="24"/>
          <w:szCs w:val="24"/>
          <w:shd w:val="clear" w:color="auto" w:fill="FFFFFF"/>
        </w:rPr>
        <w:t xml:space="preserve"> La clădirile existente civile (publice) înalte, foarte înalte sau pentru săli aglomerate, nu se aplică prevederile Art. </w:t>
      </w:r>
      <w:r>
        <w:rPr>
          <w:rFonts w:eastAsia="Calibri"/>
          <w:b/>
          <w:bCs/>
          <w:i/>
          <w:sz w:val="24"/>
          <w:szCs w:val="24"/>
          <w:shd w:val="clear" w:color="auto" w:fill="FFFFFF"/>
        </w:rPr>
        <w:t>A.10.7.1.3.</w:t>
      </w:r>
      <w:r>
        <w:rPr>
          <w:rFonts w:eastAsia="Calibri"/>
          <w:i/>
          <w:sz w:val="24"/>
          <w:szCs w:val="24"/>
          <w:shd w:val="clear" w:color="auto" w:fill="FFFFFF"/>
        </w:rPr>
        <w:t xml:space="preserve"> și Art. </w:t>
      </w:r>
      <w:r>
        <w:rPr>
          <w:rFonts w:eastAsia="Calibri"/>
          <w:b/>
          <w:bCs/>
          <w:i/>
          <w:sz w:val="24"/>
          <w:szCs w:val="24"/>
          <w:shd w:val="clear" w:color="auto" w:fill="FFFFFF"/>
        </w:rPr>
        <w:t>A.10.7.1.4.</w:t>
      </w:r>
      <w:r>
        <w:rPr>
          <w:rFonts w:eastAsia="Calibri"/>
          <w:i/>
          <w:sz w:val="24"/>
          <w:szCs w:val="24"/>
          <w:shd w:val="clear" w:color="auto" w:fill="FFFFFF"/>
        </w:rPr>
        <w:t>., clădirile existente respective fiind cu caractercivil (public).</w:t>
      </w:r>
    </w:p>
    <w:p w14:paraId="083C8ED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8.1.16.</w:t>
      </w:r>
      <w:r>
        <w:rPr>
          <w:rFonts w:eastAsia="Calibri"/>
          <w:i/>
          <w:sz w:val="24"/>
          <w:szCs w:val="24"/>
          <w:shd w:val="clear" w:color="auto" w:fill="FFFFFF"/>
        </w:rPr>
        <w:t xml:space="preserve"> Diferitele funcțiuni independente din clădirile existente civile (publice) înalte, foarte înalte sau cu săli aglomerate, se dispun în compartimente de incendiu separate cu pereți și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rezistente la foc conform prevederilor stabilite prin prezenta anexă.</w:t>
      </w:r>
    </w:p>
    <w:p w14:paraId="163FB94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8.1.17.</w:t>
      </w:r>
      <w:r>
        <w:rPr>
          <w:rFonts w:eastAsia="Calibri"/>
          <w:i/>
          <w:sz w:val="24"/>
          <w:szCs w:val="24"/>
          <w:shd w:val="clear" w:color="auto" w:fill="FFFFFF"/>
        </w:rPr>
        <w:t> Pentru fiecare din acestea trebuie îndeplinite condițiile de performanță specifice, prevăzute în prezenta anexă.</w:t>
      </w:r>
    </w:p>
    <w:p w14:paraId="25B47C7E" w14:textId="77777777" w:rsidR="001C08A5" w:rsidRDefault="00000000">
      <w:pPr>
        <w:pStyle w:val="Heading3"/>
        <w:rPr>
          <w:i/>
          <w:iCs/>
          <w:sz w:val="24"/>
          <w:szCs w:val="24"/>
        </w:rPr>
      </w:pPr>
      <w:bookmarkStart w:id="11601" w:name="_Toc11047"/>
      <w:bookmarkStart w:id="11602" w:name="_Toc14187"/>
      <w:bookmarkStart w:id="11603" w:name="_Toc4107"/>
      <w:bookmarkStart w:id="11604" w:name="_Toc10051"/>
      <w:bookmarkStart w:id="11605" w:name="_Toc162355658"/>
      <w:bookmarkStart w:id="11606" w:name="_Toc11373"/>
      <w:r>
        <w:rPr>
          <w:i/>
          <w:iCs/>
          <w:sz w:val="24"/>
          <w:szCs w:val="24"/>
        </w:rPr>
        <w:t>A.10. 8.2. PERFORMANȚE ALE UNOR DESTINAȚII DIN CONSTRUCȚIILE EXISTENTE CU FUNCȚIUNI MIXTE</w:t>
      </w:r>
      <w:bookmarkEnd w:id="11601"/>
      <w:bookmarkEnd w:id="11602"/>
      <w:bookmarkEnd w:id="11603"/>
      <w:bookmarkEnd w:id="11604"/>
      <w:bookmarkEnd w:id="11605"/>
      <w:bookmarkEnd w:id="11606"/>
    </w:p>
    <w:p w14:paraId="1818A61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w:t>
      </w:r>
      <w:r>
        <w:rPr>
          <w:rFonts w:eastAsia="Calibri"/>
          <w:i/>
          <w:sz w:val="24"/>
          <w:szCs w:val="24"/>
          <w:shd w:val="clear" w:color="auto" w:fill="FFFFFF"/>
        </w:rPr>
        <w:t> În construcțiile existente cu funcțiuni mixte pot fi dispuse funcțiuni civile (publice), de producție și/sau depozitare, în cazurile și condițiile admise de anexă.</w:t>
      </w:r>
    </w:p>
    <w:p w14:paraId="04A9BD8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w:t>
      </w:r>
      <w:r>
        <w:rPr>
          <w:rFonts w:eastAsia="Calibri"/>
          <w:i/>
          <w:sz w:val="24"/>
          <w:szCs w:val="24"/>
          <w:shd w:val="clear" w:color="auto" w:fill="FFFFFF"/>
        </w:rPr>
        <w:t> Funcțiuni civile (publice) distincte care se pot dispune într-o construcție existentă cu funcțiuni mixte, de reguiă, sunt cele pentru:</w:t>
      </w:r>
    </w:p>
    <w:p w14:paraId="7ED84B03"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a)</w:t>
      </w:r>
      <w:r>
        <w:rPr>
          <w:rFonts w:eastAsia="Calibri"/>
          <w:i/>
          <w:sz w:val="24"/>
          <w:szCs w:val="24"/>
          <w:shd w:val="clear" w:color="auto" w:fill="FFFFFF"/>
        </w:rPr>
        <w:t> locuințe, administrative, turism, comerț și parcaje;</w:t>
      </w:r>
    </w:p>
    <w:p w14:paraId="4AC2BF08"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b)</w:t>
      </w:r>
      <w:r>
        <w:rPr>
          <w:rFonts w:eastAsia="Calibri"/>
          <w:i/>
          <w:sz w:val="24"/>
          <w:szCs w:val="24"/>
          <w:shd w:val="clear" w:color="auto" w:fill="FFFFFF"/>
        </w:rPr>
        <w:t> adminstrative, comerț, sănătate, turism și parcaje;</w:t>
      </w:r>
    </w:p>
    <w:p w14:paraId="2C276302"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c)</w:t>
      </w:r>
      <w:r>
        <w:rPr>
          <w:rFonts w:eastAsia="Calibri"/>
          <w:i/>
          <w:sz w:val="24"/>
          <w:szCs w:val="24"/>
          <w:shd w:val="clear" w:color="auto" w:fill="FFFFFF"/>
        </w:rPr>
        <w:t> sănătate, locuințe și parcaje învățământ, sport și parcaje:</w:t>
      </w:r>
    </w:p>
    <w:p w14:paraId="7E0E1A0A"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d)</w:t>
      </w:r>
      <w:r>
        <w:rPr>
          <w:rFonts w:eastAsia="Calibri"/>
          <w:i/>
          <w:sz w:val="24"/>
          <w:szCs w:val="24"/>
          <w:shd w:val="clear" w:color="auto" w:fill="FFFFFF"/>
        </w:rPr>
        <w:t> cult, adminstrative, locuințe și parcaje.</w:t>
      </w:r>
    </w:p>
    <w:p w14:paraId="7E09FB6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w:t>
      </w:r>
      <w:r>
        <w:rPr>
          <w:rFonts w:eastAsia="Calibri"/>
          <w:i/>
          <w:sz w:val="24"/>
          <w:szCs w:val="24"/>
          <w:shd w:val="clear" w:color="auto" w:fill="FFFFFF"/>
        </w:rPr>
        <w:t> Funcțiunile civile (publice) și de producție și/sau de depozitare admise într-o construcție existentă cu funcțiuni mixte, sunt cele cu destinații de locuințe, administrative, comerț și parcaje, împreună cu activități de producție și/sau depozitare care se încadrează în categoriile C, D sau E (BE2, BE1 sau BE1 b) de pericol de incendiu.</w:t>
      </w:r>
    </w:p>
    <w:p w14:paraId="5FFF5FE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8.2.4.</w:t>
      </w:r>
      <w:r>
        <w:rPr>
          <w:rFonts w:eastAsia="Calibri"/>
          <w:i/>
          <w:sz w:val="24"/>
          <w:szCs w:val="24"/>
          <w:shd w:val="clear" w:color="auto" w:fill="FFFFFF"/>
        </w:rPr>
        <w:t> Dispunerea într-o construcție existentă cu funcțiuni mixte numai a activităților de producție și/sau depozitare din categoriile A (BE3a), B (BE3b), C (BE2), D (BE1a) și E (BE1b) de pericol de incendiu, este admisă în condițiile și cu măsurile de protecție stabilite în prezenta anexă.</w:t>
      </w:r>
    </w:p>
    <w:p w14:paraId="63103DD9" w14:textId="77777777" w:rsidR="001C08A5" w:rsidRDefault="00000000">
      <w:pPr>
        <w:pStyle w:val="Heading4"/>
        <w:rPr>
          <w:sz w:val="24"/>
          <w:szCs w:val="24"/>
        </w:rPr>
      </w:pPr>
      <w:bookmarkStart w:id="11607" w:name="_Toc14491"/>
      <w:bookmarkStart w:id="11608" w:name="_Toc162355659"/>
      <w:bookmarkStart w:id="11609" w:name="_Toc8007"/>
      <w:bookmarkStart w:id="11610" w:name="_Toc30812"/>
      <w:bookmarkStart w:id="11611" w:name="_Toc19492"/>
      <w:bookmarkStart w:id="11612" w:name="_Toc4199"/>
      <w:r>
        <w:rPr>
          <w:sz w:val="24"/>
          <w:szCs w:val="24"/>
        </w:rPr>
        <w:t>Funcțiuni mixte civile (publice)</w:t>
      </w:r>
      <w:bookmarkEnd w:id="11607"/>
      <w:bookmarkEnd w:id="11608"/>
      <w:bookmarkEnd w:id="11609"/>
      <w:bookmarkEnd w:id="11610"/>
      <w:bookmarkEnd w:id="11611"/>
      <w:bookmarkEnd w:id="11612"/>
    </w:p>
    <w:p w14:paraId="01218880" w14:textId="77777777" w:rsidR="001C08A5" w:rsidRDefault="00000000">
      <w:pPr>
        <w:shd w:val="clear" w:color="auto" w:fill="FFFFFF"/>
        <w:spacing w:after="150"/>
        <w:jc w:val="both"/>
        <w:rPr>
          <w:rFonts w:eastAsia="Calibri"/>
          <w:b/>
          <w:bCs/>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8.2.5</w:t>
      </w:r>
      <w:r>
        <w:rPr>
          <w:rFonts w:eastAsia="Calibri"/>
          <w:i/>
          <w:sz w:val="24"/>
          <w:szCs w:val="24"/>
          <w:shd w:val="clear" w:color="auto" w:fill="FFFFFF"/>
        </w:rPr>
        <w:t> Încăperile, spațiile și funcțiunile civile (publice) dispuse în construcția existentă cu funcțiuni mixte, vor avea stabilit și precizat riscul de incendiu specific, determinat conform prevederilor Art.</w:t>
      </w:r>
      <w:r>
        <w:rPr>
          <w:rFonts w:eastAsia="Calibri"/>
          <w:b/>
          <w:bCs/>
          <w:i/>
          <w:sz w:val="24"/>
          <w:szCs w:val="24"/>
          <w:shd w:val="clear" w:color="auto" w:fill="FFFFFF"/>
        </w:rPr>
        <w:t xml:space="preserve"> A.10.2.1.1</w:t>
      </w:r>
      <w:r>
        <w:rPr>
          <w:rFonts w:eastAsia="Calibri"/>
          <w:i/>
          <w:sz w:val="24"/>
          <w:szCs w:val="24"/>
          <w:shd w:val="clear" w:color="auto" w:fill="FFFFFF"/>
        </w:rPr>
        <w:t>. la Art.</w:t>
      </w:r>
      <w:r>
        <w:rPr>
          <w:rFonts w:eastAsia="Calibri"/>
          <w:b/>
          <w:bCs/>
          <w:i/>
          <w:sz w:val="24"/>
          <w:szCs w:val="24"/>
          <w:shd w:val="clear" w:color="auto" w:fill="FFFFFF"/>
        </w:rPr>
        <w:t xml:space="preserve"> A.10.2.1.3.</w:t>
      </w:r>
    </w:p>
    <w:p w14:paraId="7E7E41B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w:t>
      </w:r>
      <w:r>
        <w:rPr>
          <w:rFonts w:eastAsia="Calibri"/>
          <w:i/>
          <w:sz w:val="24"/>
          <w:szCs w:val="24"/>
          <w:shd w:val="clear" w:color="auto" w:fill="FFFFFF"/>
        </w:rPr>
        <w:t> În funcție de riscul de incendiu și densitatea sarcinii termice, fiecare funcțiune civilă (publică) distinctă se separă de restul construcției existente prin pereți și planșee corespunzător alcătuite și realizate, conform prevederilor stabilite prin prezenta anexă.</w:t>
      </w:r>
    </w:p>
    <w:p w14:paraId="4CAC9BB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8.2.7</w:t>
      </w:r>
      <w:r>
        <w:rPr>
          <w:rFonts w:eastAsia="Calibri"/>
          <w:i/>
          <w:sz w:val="24"/>
          <w:szCs w:val="24"/>
          <w:shd w:val="clear" w:color="auto" w:fill="FFFFFF"/>
        </w:rPr>
        <w:t> Prin conformarea construcției existente se va urmări dispunerea distinctă a funcțiunilor cu risc mare de incendiu, separându-se cu elemente de construcție rezistente la foc corespunzătoare densității sarcinii termice din spațiile respective și prevederilor din prezenta anexă, astfel încât să nu pună în pericol alte funcțiuni civile (publice) adiacente sau construcția.</w:t>
      </w:r>
    </w:p>
    <w:p w14:paraId="14DEBFB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8.2.8</w:t>
      </w:r>
      <w:r>
        <w:rPr>
          <w:rFonts w:eastAsia="Calibri"/>
          <w:i/>
          <w:sz w:val="24"/>
          <w:szCs w:val="24"/>
          <w:shd w:val="clear" w:color="auto" w:fill="FFFFFF"/>
        </w:rPr>
        <w:t> De regulă, funcțiunile civile (publice) cu risc mare de incendiu nu trebuie dispuse sub spații cu aglomerări de persoane sau, în cazul în care aceasta nu este posibilă sau justificată tehnic, se asigură măsuri de protecție corespunzătoare.</w:t>
      </w:r>
    </w:p>
    <w:p w14:paraId="406E334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8.2.9</w:t>
      </w:r>
      <w:r>
        <w:rPr>
          <w:rFonts w:eastAsia="Calibri"/>
          <w:i/>
          <w:sz w:val="24"/>
          <w:szCs w:val="24"/>
          <w:shd w:val="clear" w:color="auto" w:fill="FFFFFF"/>
        </w:rPr>
        <w:t> Construcția existentă cu funcțiuni mixte va avea asigurat nivelul de stabilitate la incendiu corespunzător îndeplinirii condițiilor de corelație dintre acesta și numărul de niveluri, aria construită și capacitatea maximă simultană, conform prevederilor stabilite prin prezenta anexă.</w:t>
      </w:r>
    </w:p>
    <w:p w14:paraId="5EB1725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8.2.10</w:t>
      </w:r>
      <w:r>
        <w:rPr>
          <w:rFonts w:eastAsia="Calibri"/>
          <w:i/>
          <w:sz w:val="24"/>
          <w:szCs w:val="24"/>
          <w:shd w:val="clear" w:color="auto" w:fill="FFFFFF"/>
        </w:rPr>
        <w:t xml:space="preserve"> La alcătuirea construcției existente și a elementelor de construcție a acesteia, se respectă condițiile de performanță stabilite în prezenta parte și Art. </w:t>
      </w:r>
      <w:r>
        <w:rPr>
          <w:rFonts w:eastAsia="Calibri"/>
          <w:b/>
          <w:bCs/>
          <w:i/>
          <w:sz w:val="24"/>
          <w:szCs w:val="24"/>
          <w:shd w:val="clear" w:color="auto" w:fill="FFFFFF"/>
        </w:rPr>
        <w:t xml:space="preserve">A.10.2.4.1. </w:t>
      </w:r>
      <w:r>
        <w:rPr>
          <w:rFonts w:eastAsia="Calibri"/>
          <w:i/>
          <w:sz w:val="24"/>
          <w:szCs w:val="24"/>
          <w:shd w:val="clear" w:color="auto" w:fill="FFFFFF"/>
        </w:rPr>
        <w:t>la</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A.10.2.4.60</w:t>
      </w:r>
      <w:r>
        <w:rPr>
          <w:rFonts w:eastAsia="Calibri"/>
          <w:i/>
          <w:sz w:val="24"/>
          <w:szCs w:val="24"/>
          <w:shd w:val="clear" w:color="auto" w:fill="FFFFFF"/>
        </w:rPr>
        <w:t>., precum și cele specifice din partea a II-a a prezentei anexe.</w:t>
      </w:r>
    </w:p>
    <w:p w14:paraId="587D88F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8.2.11.</w:t>
      </w:r>
      <w:r>
        <w:rPr>
          <w:rFonts w:eastAsia="Calibri"/>
          <w:i/>
          <w:sz w:val="24"/>
          <w:szCs w:val="24"/>
          <w:shd w:val="clear" w:color="auto" w:fill="FFFFFF"/>
        </w:rPr>
        <w:t> Funcțiunile civile (publice) dispuse în construcții existente se separă între ele și față de căile comune de circulație și evacuare prin elemente rezistente la foc (pereți, planșee), corespunzător destinațiilor și tipului de clădire existentă.</w:t>
      </w:r>
    </w:p>
    <w:p w14:paraId="62FC5F7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8.2.12.</w:t>
      </w:r>
      <w:r>
        <w:rPr>
          <w:rFonts w:eastAsia="Calibri"/>
          <w:i/>
          <w:sz w:val="24"/>
          <w:szCs w:val="24"/>
          <w:shd w:val="clear" w:color="auto" w:fill="FFFFFF"/>
        </w:rPr>
        <w:t> Prin dispunerea, alcătuirea și realizarea elementelor de construcție despărțitoare se va asigura limitarea propagării focului și a fumului la spațiile adiacente pe timpul normat, iar în cadrul funcțiunii se va împiedica propagarea ușoară a focului și fumului pe arii mari.</w:t>
      </w:r>
    </w:p>
    <w:p w14:paraId="06E856F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8.2.13.</w:t>
      </w:r>
      <w:r>
        <w:rPr>
          <w:rFonts w:eastAsia="Calibri"/>
          <w:i/>
          <w:sz w:val="24"/>
          <w:szCs w:val="24"/>
          <w:shd w:val="clear" w:color="auto" w:fill="FFFFFF"/>
        </w:rPr>
        <w:t> Separarea funcțiunilor diferite se realizează prin pereți și după caz, planșee rezistente la foc conform prevederilor stabilite prin prezenta anexă, iar eventualele goluri de circulație sau funcționale din acestea se protejează cu elemente de închidere corespunzătoare.</w:t>
      </w:r>
    </w:p>
    <w:p w14:paraId="1A5D14A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8.2.14.</w:t>
      </w:r>
      <w:r>
        <w:rPr>
          <w:rFonts w:eastAsia="Calibri"/>
          <w:i/>
          <w:sz w:val="24"/>
          <w:szCs w:val="24"/>
          <w:shd w:val="clear" w:color="auto" w:fill="FFFFFF"/>
        </w:rPr>
        <w:t> Prin modul de dispunere și protecție se vor limita posibilitățile de propagare a focului pe fațadele construcției, asigurându-se plinuri între golurile succesive din pereții perimetraii de închidere.</w:t>
      </w:r>
    </w:p>
    <w:p w14:paraId="7FEF0D9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8.2.15.</w:t>
      </w:r>
      <w:r>
        <w:rPr>
          <w:rFonts w:eastAsia="Calibri"/>
          <w:i/>
          <w:sz w:val="24"/>
          <w:szCs w:val="24"/>
          <w:shd w:val="clear" w:color="auto" w:fill="FFFFFF"/>
        </w:rPr>
        <w:t xml:space="preserve"> Condițiile de performanță ale elemenetelor de limitare a propagării focului și a fumului sunî cele stabilite în prezenta anexă Art. </w:t>
      </w:r>
      <w:r>
        <w:rPr>
          <w:rFonts w:eastAsia="Calibri"/>
          <w:b/>
          <w:bCs/>
          <w:i/>
          <w:sz w:val="24"/>
          <w:szCs w:val="24"/>
          <w:shd w:val="clear" w:color="auto" w:fill="FFFFFF"/>
        </w:rPr>
        <w:t xml:space="preserve">A.10.2.3.1. </w:t>
      </w:r>
      <w:r>
        <w:rPr>
          <w:rFonts w:eastAsia="Calibri"/>
          <w:i/>
          <w:sz w:val="24"/>
          <w:szCs w:val="24"/>
          <w:shd w:val="clear" w:color="auto" w:fill="FFFFFF"/>
        </w:rPr>
        <w:t>la</w:t>
      </w:r>
      <w:r>
        <w:rPr>
          <w:rFonts w:eastAsia="Calibri"/>
          <w:b/>
          <w:bCs/>
          <w:i/>
          <w:sz w:val="24"/>
          <w:szCs w:val="24"/>
          <w:shd w:val="clear" w:color="auto" w:fill="FFFFFF"/>
        </w:rPr>
        <w:t xml:space="preserve"> </w:t>
      </w:r>
      <w:r>
        <w:rPr>
          <w:rFonts w:eastAsia="Calibri"/>
          <w:i/>
          <w:sz w:val="24"/>
          <w:szCs w:val="24"/>
          <w:shd w:val="clear" w:color="auto" w:fill="FFFFFF"/>
        </w:rPr>
        <w:t>Art.</w:t>
      </w:r>
      <w:r>
        <w:rPr>
          <w:rFonts w:eastAsia="Calibri"/>
          <w:b/>
          <w:bCs/>
          <w:i/>
          <w:sz w:val="24"/>
          <w:szCs w:val="24"/>
          <w:shd w:val="clear" w:color="auto" w:fill="FFFFFF"/>
        </w:rPr>
        <w:t xml:space="preserve"> A.10.2.3.52.</w:t>
      </w:r>
    </w:p>
    <w:p w14:paraId="10E9EE9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8.2.16.</w:t>
      </w:r>
      <w:r>
        <w:rPr>
          <w:rFonts w:eastAsia="Calibri"/>
          <w:i/>
          <w:sz w:val="24"/>
          <w:szCs w:val="24"/>
          <w:shd w:val="clear" w:color="auto" w:fill="FFFFFF"/>
        </w:rPr>
        <w:t xml:space="preserve"> Spațiile publice pentru parcarea autoturismelor se separă față de restul construcției existente cu funcțiuni mixte, prin pereți și planșee </w:t>
      </w:r>
      <w:r>
        <w:rPr>
          <w:rFonts w:eastAsia="TimesNewRomanPSMT-Identity-H"/>
          <w:i/>
          <w:sz w:val="24"/>
          <w:szCs w:val="24"/>
        </w:rPr>
        <w:t xml:space="preserve">clasa de reacție la foc </w:t>
      </w:r>
      <w:r>
        <w:rPr>
          <w:rFonts w:eastAsia="Times New Roman"/>
          <w:b/>
          <w:i/>
          <w:sz w:val="24"/>
          <w:szCs w:val="24"/>
        </w:rPr>
        <w:t>A1, A2s1d0</w:t>
      </w:r>
      <w:r>
        <w:rPr>
          <w:rFonts w:eastAsia="Calibri"/>
          <w:i/>
          <w:sz w:val="24"/>
          <w:szCs w:val="24"/>
          <w:shd w:val="clear" w:color="auto" w:fill="FFFFFF"/>
        </w:rPr>
        <w:t xml:space="preserve"> cu rezistență la foc normată conform anexei și în care nu sunt admise decât go luriie strict necesare circulației funcționale, protejate corespunzător cu elemente de închidere, potrivit prevederilor din prezenta anexă.</w:t>
      </w:r>
    </w:p>
    <w:p w14:paraId="797202D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8.2.17.</w:t>
      </w:r>
      <w:r>
        <w:rPr>
          <w:rFonts w:eastAsia="Calibri"/>
          <w:i/>
          <w:sz w:val="24"/>
          <w:szCs w:val="24"/>
          <w:shd w:val="clear" w:color="auto" w:fill="FFFFFF"/>
        </w:rPr>
        <w:t> Evacuarea fumului (desfumarea) în caz de incendiu din spațiile cu săli aglomerate și căile lor de evacuare, circulațiile comune orizontale și verticale, precum și din depozitele de materiale sau substanțe combustibile, în situațiile stabilite în prezenta anexă, se asigură natural-organizatsau mecanic,</w:t>
      </w:r>
    </w:p>
    <w:p w14:paraId="25E508D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8.2.18.</w:t>
      </w:r>
      <w:r>
        <w:rPr>
          <w:rFonts w:eastAsia="Calibri"/>
          <w:i/>
          <w:sz w:val="24"/>
          <w:szCs w:val="24"/>
          <w:shd w:val="clear" w:color="auto" w:fill="FFFFFF"/>
        </w:rPr>
        <w:t> Sistemele de evacuare a fumului (desfumare) vor fi independente pentru spațiile stabilite în prezenta anexă, iar canalele și ghenele acestora nu vor constitui căi de propagare a focului și fumului în construcție.</w:t>
      </w:r>
    </w:p>
    <w:p w14:paraId="5E9011A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8.2.19.</w:t>
      </w:r>
      <w:r>
        <w:rPr>
          <w:rFonts w:eastAsia="Calibri"/>
          <w:i/>
          <w:sz w:val="24"/>
          <w:szCs w:val="24"/>
          <w:shd w:val="clear" w:color="auto" w:fill="FFFFFF"/>
        </w:rPr>
        <w:t> Realizarea unor sisteme comune de evacuare a fumului (desfumare) este admisă numai în cazurile și condițiile stabilite în prezenta anexă.</w:t>
      </w:r>
    </w:p>
    <w:p w14:paraId="58029B7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8.2.20.</w:t>
      </w:r>
      <w:r>
        <w:rPr>
          <w:rFonts w:eastAsia="Calibri"/>
          <w:i/>
          <w:sz w:val="24"/>
          <w:szCs w:val="24"/>
          <w:shd w:val="clear" w:color="auto" w:fill="FFFFFF"/>
        </w:rPr>
        <w:t> Construcțiile existente cu funcțiuni mixte civile (publice) pot avea căi de evacuare comune tuturor funcțiunilor civile, sau separate pentru una sau mai multe funcțiuni civile (publice) din clădire.</w:t>
      </w:r>
    </w:p>
    <w:p w14:paraId="771430D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8.2.21.</w:t>
      </w:r>
      <w:r>
        <w:rPr>
          <w:rFonts w:eastAsia="Calibri"/>
          <w:i/>
          <w:sz w:val="24"/>
          <w:szCs w:val="24"/>
          <w:shd w:val="clear" w:color="auto" w:fill="FFFFFF"/>
        </w:rPr>
        <w:t> Căile de evacuare vor fi dimensionate, dispuse, alcătuite și realizate, conform prevederilor din prezenta anexă, iar golurile funcționale de acces la acestea se protejează corespunzător.</w:t>
      </w:r>
    </w:p>
    <w:p w14:paraId="5CA1F8C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8.2.22.</w:t>
      </w:r>
      <w:r>
        <w:rPr>
          <w:rFonts w:eastAsia="Calibri"/>
          <w:i/>
          <w:sz w:val="24"/>
          <w:szCs w:val="24"/>
          <w:shd w:val="clear" w:color="auto" w:fill="FFFFFF"/>
        </w:rPr>
        <w:t> La dimensionarea căilor de evacuare ale construcțiilor existente cu funcțiuni mixte civile (publice) se respectă prevederile specifice acestora.</w:t>
      </w:r>
    </w:p>
    <w:p w14:paraId="4CD0BF6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8.2.23.</w:t>
      </w:r>
      <w:r>
        <w:rPr>
          <w:rFonts w:eastAsia="Calibri"/>
          <w:i/>
          <w:sz w:val="24"/>
          <w:szCs w:val="24"/>
          <w:shd w:val="clear" w:color="auto" w:fill="FFFFFF"/>
        </w:rPr>
        <w:t> Prevederea instalațiilor de semnalizare și stingere a incendiilor la construcțiile existente cu funcțiuni mixte civile (publice), precum și la funcțiunile distincte ale acestora, se realizează potrivit prevederilor din prezenta anexă și ale reglementărilor tehnice de specialitate.</w:t>
      </w:r>
    </w:p>
    <w:p w14:paraId="7F4AE01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8.2.24.</w:t>
      </w:r>
      <w:r>
        <w:rPr>
          <w:rFonts w:eastAsia="Calibri"/>
          <w:i/>
          <w:sz w:val="24"/>
          <w:szCs w:val="24"/>
          <w:shd w:val="clear" w:color="auto" w:fill="FFFFFF"/>
        </w:rPr>
        <w:t> Instalațiile utilitare aferente vor respecta prevederile reglementărilor tehnice de specialitate, corespunzător destinațiilor și riscurilorde incendiu.</w:t>
      </w:r>
    </w:p>
    <w:p w14:paraId="7683320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8.2.25.</w:t>
      </w:r>
      <w:r>
        <w:rPr>
          <w:rFonts w:eastAsia="Calibri"/>
          <w:i/>
          <w:sz w:val="24"/>
          <w:szCs w:val="24"/>
          <w:shd w:val="clear" w:color="auto" w:fill="FFFFFF"/>
        </w:rPr>
        <w:t> Construcțiile existente cu funcțiuni mixte civile (publice) vor avea asigurate căi de acces, intervenție și salvare, astfel distribuite, alcătuite, marcate, echipate și realizate, încât să permită intervenția ușoarăîn cazde incendiu.</w:t>
      </w:r>
    </w:p>
    <w:p w14:paraId="22245EB7"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8.2.26.</w:t>
      </w:r>
      <w:r>
        <w:rPr>
          <w:rFonts w:eastAsia="Calibri"/>
          <w:i/>
          <w:sz w:val="24"/>
          <w:szCs w:val="24"/>
          <w:shd w:val="clear" w:color="auto" w:fill="FFFFFF"/>
        </w:rPr>
        <w:t> Pe cât posibil, construcțiile existente cu funcțiuni mixte civile (publice) trebuie să fie accesibile autospecialelor de intervenție la toate fațadele, dar cel puțin la două.</w:t>
      </w:r>
    </w:p>
    <w:p w14:paraId="6852504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8.2.27.</w:t>
      </w:r>
      <w:r>
        <w:rPr>
          <w:rFonts w:eastAsia="Calibri"/>
          <w:i/>
          <w:sz w:val="24"/>
          <w:szCs w:val="24"/>
          <w:shd w:val="clear" w:color="auto" w:fill="FFFFFF"/>
        </w:rPr>
        <w:t> Căile de acces, intervenție și salvare aferente funcțiunilor civile (publice) destinate persoanelor care trebuie transportate cu targa, căruciorul, etc. vorfi dimensionate corespunzător.</w:t>
      </w:r>
    </w:p>
    <w:p w14:paraId="38DF47D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8.2.28.</w:t>
      </w:r>
      <w:r>
        <w:rPr>
          <w:rFonts w:eastAsia="Calibri"/>
          <w:i/>
          <w:sz w:val="24"/>
          <w:szCs w:val="24"/>
          <w:shd w:val="clear" w:color="auto" w:fill="FFFFFF"/>
        </w:rPr>
        <w:t> Construcțiile existente și funcțiunile civile (publice) existente din acestea, se dotează cu mijloace de primă intervenție corespunzătoare destinației și clasei de incendiu a acestora, potrivit prevederilor din prezenta anexă.</w:t>
      </w:r>
    </w:p>
    <w:p w14:paraId="68D3702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8.2.29.</w:t>
      </w:r>
      <w:r>
        <w:rPr>
          <w:rFonts w:eastAsia="Calibri"/>
          <w:i/>
          <w:sz w:val="24"/>
          <w:szCs w:val="24"/>
          <w:shd w:val="clear" w:color="auto" w:fill="FFFFFF"/>
        </w:rPr>
        <w:t> Construcțiile cu funcțiuni mixte civile (publice) vor avea constituite servicii de pompieri conform reglementarilor specifice.</w:t>
      </w:r>
    </w:p>
    <w:p w14:paraId="12823D5F" w14:textId="77777777" w:rsidR="001C08A5" w:rsidRDefault="00000000">
      <w:pPr>
        <w:pStyle w:val="Heading4"/>
        <w:rPr>
          <w:sz w:val="24"/>
          <w:szCs w:val="24"/>
        </w:rPr>
      </w:pPr>
      <w:bookmarkStart w:id="11613" w:name="_Toc12288"/>
      <w:bookmarkStart w:id="11614" w:name="_Toc32483"/>
      <w:bookmarkStart w:id="11615" w:name="_Toc9830"/>
      <w:bookmarkStart w:id="11616" w:name="_Toc25349"/>
      <w:bookmarkStart w:id="11617" w:name="_Toc32742"/>
      <w:bookmarkStart w:id="11618" w:name="_Toc162355660"/>
      <w:r>
        <w:rPr>
          <w:sz w:val="24"/>
          <w:szCs w:val="24"/>
        </w:rPr>
        <w:t>Funcțiuni  existente mixte civile (publice) și unele activități de producție și/sau depozitare existente</w:t>
      </w:r>
      <w:bookmarkEnd w:id="11613"/>
      <w:bookmarkEnd w:id="11614"/>
      <w:bookmarkEnd w:id="11615"/>
      <w:bookmarkEnd w:id="11616"/>
      <w:bookmarkEnd w:id="11617"/>
      <w:bookmarkEnd w:id="11618"/>
    </w:p>
    <w:p w14:paraId="297917A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8.2.30.</w:t>
      </w:r>
      <w:r>
        <w:rPr>
          <w:rFonts w:eastAsia="Calibri"/>
          <w:i/>
          <w:sz w:val="24"/>
          <w:szCs w:val="24"/>
          <w:shd w:val="clear" w:color="auto" w:fill="FFFFFF"/>
        </w:rPr>
        <w:t> Funcțiunile distincte, încăperile și spațiile acestora, admise în construcția existentă cu funcțiuni mixte conform prevederilor din prezenta anexă, vor avea stabilite și precizate riscurile, respectiv categoriile de pericol de incendiu, determinate conform prevederilor Art.</w:t>
      </w:r>
      <w:r>
        <w:rPr>
          <w:rFonts w:eastAsia="Calibri"/>
          <w:b/>
          <w:bCs/>
          <w:i/>
          <w:sz w:val="24"/>
          <w:szCs w:val="24"/>
          <w:shd w:val="clear" w:color="auto" w:fill="FFFFFF"/>
        </w:rPr>
        <w:t xml:space="preserve"> A.10.2.1.1</w:t>
      </w:r>
      <w:r>
        <w:rPr>
          <w:rFonts w:eastAsia="Calibri"/>
          <w:i/>
          <w:sz w:val="24"/>
          <w:szCs w:val="24"/>
          <w:shd w:val="clear" w:color="auto" w:fill="FFFFFF"/>
        </w:rPr>
        <w:t>. la Art.</w:t>
      </w:r>
      <w:r>
        <w:rPr>
          <w:rFonts w:eastAsia="Calibri"/>
          <w:b/>
          <w:bCs/>
          <w:i/>
          <w:sz w:val="24"/>
          <w:szCs w:val="24"/>
          <w:shd w:val="clear" w:color="auto" w:fill="FFFFFF"/>
        </w:rPr>
        <w:t xml:space="preserve"> A.10.2.1.7.</w:t>
      </w:r>
      <w:r>
        <w:rPr>
          <w:rFonts w:eastAsia="Calibri"/>
          <w:i/>
          <w:sz w:val="24"/>
          <w:szCs w:val="24"/>
          <w:shd w:val="clear" w:color="auto" w:fill="FFFFFF"/>
        </w:rPr>
        <w:t xml:space="preserve"> din prezenta anexă.</w:t>
      </w:r>
    </w:p>
    <w:p w14:paraId="258CB5E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8.2.31.</w:t>
      </w:r>
      <w:r>
        <w:rPr>
          <w:rFonts w:eastAsia="Calibri"/>
          <w:i/>
          <w:sz w:val="24"/>
          <w:szCs w:val="24"/>
          <w:shd w:val="clear" w:color="auto" w:fill="FFFFFF"/>
        </w:rPr>
        <w:t> Corespunzător riscurilor și categoriilor de pericol de incendiu stabilite și a densității sarcinii termice, fiecare funcțiune distinctă se separă de restul construcției existente prin pereți și planșee corespunzător amplasate, alcătuite și dimensionate.</w:t>
      </w:r>
    </w:p>
    <w:p w14:paraId="222B827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8.2.32.</w:t>
      </w:r>
      <w:r>
        <w:rPr>
          <w:rFonts w:eastAsia="Calibri"/>
          <w:i/>
          <w:sz w:val="24"/>
          <w:szCs w:val="24"/>
          <w:shd w:val="clear" w:color="auto" w:fill="FFFFFF"/>
        </w:rPr>
        <w:t> Prin conformarea construcției existente se asigură dispunerea distinctă a funcțiunilor periculoase sau cu risc mare de incendiu, separându-se cu elemente de construcție corespunzător alcătuite și dimensionate, conform prevederilor stabilite prin prezenta anexă, astfel încât să nu pună în pericol alte funcțiuni sau construcția.</w:t>
      </w:r>
    </w:p>
    <w:p w14:paraId="7A39BCE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8.2.33.</w:t>
      </w:r>
      <w:r>
        <w:rPr>
          <w:rFonts w:eastAsia="Calibri"/>
          <w:i/>
          <w:sz w:val="24"/>
          <w:szCs w:val="24"/>
          <w:shd w:val="clear" w:color="auto" w:fill="FFFFFF"/>
        </w:rPr>
        <w:t> Se recomandă ca funcțiunile civile (publice) să fie dispuse în zone distincte ale nivelurilor construcției existente față de cele de producție sau depozitare. Atunci când nu este posibil sau justificat tehnic, se vorasigura separări corespunzătoare. Nu se recomandă dispunerea funcțiunilor civile (publice) direct peste depozite de materiale sau substanțe combustibile cu clasa de periculozitate P4 sau P5 și densitatea sarcinii termice mai mare de 840MJ/m</w:t>
      </w:r>
      <w:r>
        <w:rPr>
          <w:rFonts w:eastAsia="Calibri"/>
          <w:i/>
          <w:sz w:val="24"/>
          <w:szCs w:val="24"/>
          <w:shd w:val="clear" w:color="auto" w:fill="FFFFFF"/>
          <w:vertAlign w:val="superscript"/>
        </w:rPr>
        <w:t>2</w:t>
      </w:r>
      <w:r>
        <w:rPr>
          <w:rFonts w:eastAsia="Calibri"/>
          <w:i/>
          <w:sz w:val="24"/>
          <w:szCs w:val="24"/>
          <w:shd w:val="clear" w:color="auto" w:fill="FFFFFF"/>
        </w:rPr>
        <w:t>, iar atunci când nu este posibil, numai cu luarea măsurilor care să împiedice propagarea focului și fumului (separări, protecție cu copertine deasupra ferestrelor, echiparea cu instalații automate de semnalizare și stingere, etc).</w:t>
      </w:r>
    </w:p>
    <w:p w14:paraId="14105B9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8.2.34.</w:t>
      </w:r>
      <w:r>
        <w:rPr>
          <w:rFonts w:eastAsia="Calibri"/>
          <w:i/>
          <w:sz w:val="24"/>
          <w:szCs w:val="24"/>
          <w:shd w:val="clear" w:color="auto" w:fill="FFFFFF"/>
        </w:rPr>
        <w:t xml:space="preserve"> Construcția existentă cu funcțiuni mixte va avea asigurat nivelul de stabilitate la incendiu corespunzător îndeplinirii condițiilor de corelație dintre acesta și aria construită, numărul de niveluri, capacitatea maximă și riscul (categoria) de incendiu, după caz, potrivit prevederilor anexei, având în vedere modul în care este considerată construcția existentă potrivit Art. </w:t>
      </w:r>
      <w:r>
        <w:rPr>
          <w:rFonts w:eastAsia="Calibri"/>
          <w:b/>
          <w:bCs/>
          <w:i/>
          <w:sz w:val="24"/>
          <w:szCs w:val="24"/>
          <w:shd w:val="clear" w:color="auto" w:fill="FFFFFF"/>
        </w:rPr>
        <w:t>A.10.7.1.3</w:t>
      </w:r>
      <w:r>
        <w:rPr>
          <w:rFonts w:eastAsia="Calibri"/>
          <w:i/>
          <w:sz w:val="24"/>
          <w:szCs w:val="24"/>
          <w:shd w:val="clear" w:color="auto" w:fill="FFFFFF"/>
        </w:rPr>
        <w:t xml:space="preserve">. și Art. </w:t>
      </w:r>
      <w:r>
        <w:rPr>
          <w:rFonts w:eastAsia="Calibri"/>
          <w:b/>
          <w:bCs/>
          <w:i/>
          <w:sz w:val="24"/>
          <w:szCs w:val="24"/>
          <w:shd w:val="clear" w:color="auto" w:fill="FFFFFF"/>
        </w:rPr>
        <w:t>A.10.7.1.4.</w:t>
      </w:r>
    </w:p>
    <w:p w14:paraId="52972EF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8.2.35.</w:t>
      </w:r>
      <w:r>
        <w:rPr>
          <w:rFonts w:eastAsia="Calibri"/>
          <w:i/>
          <w:sz w:val="24"/>
          <w:szCs w:val="24"/>
          <w:shd w:val="clear" w:color="auto" w:fill="FFFFFF"/>
        </w:rPr>
        <w:t> Construcția existentă și elementele de construcție aferente acesteia se alcătuiesc astfel încât să îndeplinească condițiile de performanță comune și specifice stabilite în prezenta anexă.</w:t>
      </w:r>
    </w:p>
    <w:p w14:paraId="0CF2660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8.2.36.</w:t>
      </w:r>
      <w:r>
        <w:rPr>
          <w:rFonts w:eastAsia="Calibri"/>
          <w:i/>
          <w:sz w:val="24"/>
          <w:szCs w:val="24"/>
          <w:shd w:val="clear" w:color="auto" w:fill="FFFFFF"/>
        </w:rPr>
        <w:t> Diferitele funcțiuni distincte din construcția existentă se separă între ele și față de căile comune de circulație și evacuare, prin elemente de construcție (pereți, planșee) corespunzătoare prevederilor din prezenta anexă.</w:t>
      </w:r>
    </w:p>
    <w:p w14:paraId="4A418E6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8.2.37.</w:t>
      </w:r>
      <w:r>
        <w:rPr>
          <w:rFonts w:eastAsia="Calibri"/>
          <w:i/>
          <w:sz w:val="24"/>
          <w:szCs w:val="24"/>
          <w:shd w:val="clear" w:color="auto" w:fill="FFFFFF"/>
        </w:rPr>
        <w:t xml:space="preserve"> Elementele despărțitoare ale funcțiunilor, vor fi astfel dispuse, alcătuite și realizate încât să asigure limitarea propagării focului și a fumului în spațiile alăturate, pe timpul normat </w:t>
      </w:r>
      <w:r>
        <w:rPr>
          <w:rFonts w:eastAsia="Calibri"/>
          <w:i/>
          <w:sz w:val="24"/>
          <w:szCs w:val="24"/>
          <w:shd w:val="clear" w:color="auto" w:fill="FFFFFF"/>
        </w:rPr>
        <w:lastRenderedPageBreak/>
        <w:t>(potrivit prevederilor anexei), iar în cadrul fiecărei funcțiuni să împiedice propagarea focului și a fumului pe arii mari.</w:t>
      </w:r>
    </w:p>
    <w:p w14:paraId="50021B6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8.2.38.</w:t>
      </w:r>
      <w:r>
        <w:rPr>
          <w:rFonts w:eastAsia="Calibri"/>
          <w:i/>
          <w:sz w:val="24"/>
          <w:szCs w:val="24"/>
          <w:shd w:val="clear" w:color="auto" w:fill="FFFFFF"/>
        </w:rPr>
        <w:t> Golurile de circulație sau funcționale din elementele de separare, se protejează cu elemente de închidere conform prevederilor stabilite prin prezenta anexă, în funcție de rolul acestora pentru siguranța la foc.</w:t>
      </w:r>
    </w:p>
    <w:p w14:paraId="7BE1370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8.2.39.</w:t>
      </w:r>
      <w:r>
        <w:rPr>
          <w:rFonts w:eastAsia="Calibri"/>
          <w:i/>
          <w:sz w:val="24"/>
          <w:szCs w:val="24"/>
          <w:shd w:val="clear" w:color="auto" w:fill="FFFFFF"/>
        </w:rPr>
        <w:t xml:space="preserve"> Elementele de construcție prevăzute pentru limitarea propagării focului și a fumului, se alcătuiesc și realizează potrivit prevederilor Art. </w:t>
      </w:r>
      <w:r>
        <w:rPr>
          <w:rFonts w:eastAsia="Calibri"/>
          <w:b/>
          <w:bCs/>
          <w:i/>
          <w:sz w:val="24"/>
          <w:szCs w:val="24"/>
          <w:shd w:val="clear" w:color="auto" w:fill="FFFFFF"/>
        </w:rPr>
        <w:t>A.10.2.3.1</w:t>
      </w:r>
      <w:r>
        <w:rPr>
          <w:rFonts w:eastAsia="Calibri"/>
          <w:i/>
          <w:sz w:val="24"/>
          <w:szCs w:val="24"/>
          <w:shd w:val="clear" w:color="auto" w:fill="FFFFFF"/>
        </w:rPr>
        <w:t xml:space="preserve">. la Art. </w:t>
      </w:r>
      <w:r>
        <w:rPr>
          <w:rFonts w:eastAsia="Calibri"/>
          <w:b/>
          <w:bCs/>
          <w:i/>
          <w:sz w:val="24"/>
          <w:szCs w:val="24"/>
          <w:shd w:val="clear" w:color="auto" w:fill="FFFFFF"/>
        </w:rPr>
        <w:t>A.10.2.3.52</w:t>
      </w:r>
      <w:r>
        <w:rPr>
          <w:rFonts w:eastAsia="Calibri"/>
          <w:i/>
          <w:sz w:val="24"/>
          <w:szCs w:val="24"/>
          <w:shd w:val="clear" w:color="auto" w:fill="FFFFFF"/>
        </w:rPr>
        <w:t xml:space="preserve">. precum și a precizărilor din secțiunile </w:t>
      </w:r>
      <w:r>
        <w:rPr>
          <w:rFonts w:eastAsia="Calibri"/>
          <w:b/>
          <w:bCs/>
          <w:i/>
          <w:sz w:val="24"/>
          <w:szCs w:val="24"/>
          <w:shd w:val="clear" w:color="auto" w:fill="FFFFFF"/>
        </w:rPr>
        <w:t>II, III</w:t>
      </w:r>
      <w:r>
        <w:rPr>
          <w:rFonts w:eastAsia="Calibri"/>
          <w:i/>
          <w:sz w:val="24"/>
          <w:szCs w:val="24"/>
          <w:shd w:val="clear" w:color="auto" w:fill="FFFFFF"/>
        </w:rPr>
        <w:t xml:space="preserve"> și </w:t>
      </w:r>
      <w:r>
        <w:rPr>
          <w:rFonts w:eastAsia="Calibri"/>
          <w:b/>
          <w:bCs/>
          <w:i/>
          <w:sz w:val="24"/>
          <w:szCs w:val="24"/>
          <w:shd w:val="clear" w:color="auto" w:fill="FFFFFF"/>
        </w:rPr>
        <w:t>IV</w:t>
      </w:r>
      <w:r>
        <w:rPr>
          <w:rFonts w:eastAsia="Calibri"/>
          <w:i/>
          <w:sz w:val="24"/>
          <w:szCs w:val="24"/>
          <w:shd w:val="clear" w:color="auto" w:fill="FFFFFF"/>
        </w:rPr>
        <w:t xml:space="preserve"> ale anexei.</w:t>
      </w:r>
    </w:p>
    <w:p w14:paraId="0A08B26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8.2.40.</w:t>
      </w:r>
      <w:r>
        <w:rPr>
          <w:rFonts w:eastAsia="Calibri"/>
          <w:i/>
          <w:sz w:val="24"/>
          <w:szCs w:val="24"/>
          <w:shd w:val="clear" w:color="auto" w:fill="FFFFFF"/>
        </w:rPr>
        <w:t> Evacuarea fumului (desfumarea) în caz de incendiu se asigură corespunzător condițiilor și funcțiunilor dispuse în construcție, (natural-organiza sau mecanic) potrivit prevederilor anexei.</w:t>
      </w:r>
    </w:p>
    <w:p w14:paraId="0AB0EF5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8.2.41.</w:t>
      </w:r>
      <w:r>
        <w:rPr>
          <w:rFonts w:eastAsia="Calibri"/>
          <w:i/>
          <w:sz w:val="24"/>
          <w:szCs w:val="24"/>
          <w:shd w:val="clear" w:color="auto" w:fill="FFFFFF"/>
        </w:rPr>
        <w:t xml:space="preserve"> Evacuarea fumului (desfumarea) se realizează conform prevederilor din prezenta anexă referitoare la aceasta (Art. </w:t>
      </w:r>
      <w:r>
        <w:rPr>
          <w:rFonts w:eastAsia="Calibri"/>
          <w:b/>
          <w:bCs/>
          <w:i/>
          <w:sz w:val="24"/>
          <w:szCs w:val="24"/>
          <w:shd w:val="clear" w:color="auto" w:fill="FFFFFF"/>
        </w:rPr>
        <w:t>A.10.9.1</w:t>
      </w:r>
      <w:r>
        <w:rPr>
          <w:rFonts w:eastAsia="Calibri"/>
          <w:i/>
          <w:sz w:val="24"/>
          <w:szCs w:val="24"/>
          <w:shd w:val="clear" w:color="auto" w:fill="FFFFFF"/>
        </w:rPr>
        <w:t xml:space="preserve">. la Art. </w:t>
      </w:r>
      <w:r>
        <w:rPr>
          <w:rFonts w:eastAsia="Calibri"/>
          <w:b/>
          <w:bCs/>
          <w:i/>
          <w:sz w:val="24"/>
          <w:szCs w:val="24"/>
          <w:shd w:val="clear" w:color="auto" w:fill="FFFFFF"/>
        </w:rPr>
        <w:t>A.10.9.35</w:t>
      </w:r>
      <w:r>
        <w:rPr>
          <w:rFonts w:eastAsia="Calibri"/>
          <w:i/>
          <w:sz w:val="24"/>
          <w:szCs w:val="24"/>
          <w:shd w:val="clear" w:color="auto" w:fill="FFFFFF"/>
        </w:rPr>
        <w:t>.) fiind obligatorie prevederea unor sisteme independente pentru funcțiunile civile (publice) față de cele de producție și depozitare.</w:t>
      </w:r>
    </w:p>
    <w:p w14:paraId="40DB8360"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8.2.42.</w:t>
      </w:r>
      <w:r>
        <w:rPr>
          <w:rFonts w:eastAsia="Calibri"/>
          <w:i/>
          <w:sz w:val="24"/>
          <w:szCs w:val="24"/>
          <w:shd w:val="clear" w:color="auto" w:fill="FFFFFF"/>
        </w:rPr>
        <w:t xml:space="preserve"> Construcțiile existente pot avea căi de evacuare comune tuturor funcțiunilor distincte din acestea, sau separate pentru diferite funcțiuni. </w:t>
      </w:r>
    </w:p>
    <w:p w14:paraId="404BC361" w14:textId="77777777" w:rsidR="001C08A5" w:rsidRDefault="00000000">
      <w:pPr>
        <w:shd w:val="clear" w:color="auto" w:fill="FFFFFF"/>
        <w:spacing w:after="150"/>
        <w:jc w:val="both"/>
        <w:rPr>
          <w:rFonts w:eastAsia="Calibri"/>
          <w:i/>
          <w:sz w:val="24"/>
          <w:szCs w:val="24"/>
        </w:rPr>
      </w:pPr>
      <w:r>
        <w:rPr>
          <w:rFonts w:eastAsia="Calibri"/>
          <w:b/>
          <w:bCs/>
          <w:i/>
          <w:sz w:val="24"/>
          <w:szCs w:val="24"/>
          <w:shd w:val="clear" w:color="auto" w:fill="FFFFFF"/>
        </w:rPr>
        <w:t>A.10. 8.2.43.</w:t>
      </w:r>
      <w:r>
        <w:rPr>
          <w:rFonts w:eastAsia="Calibri"/>
          <w:i/>
          <w:sz w:val="24"/>
          <w:szCs w:val="24"/>
          <w:shd w:val="clear" w:color="auto" w:fill="FFFFFF"/>
        </w:rPr>
        <w:t xml:space="preserve"> Căile de evacuare se dispun, alcătuiesc, dimensionează și realizează conform prevederilor din prezenta anexă potrivit funcțiunilor din construcția existentă astfel încât să îndeplinească nivelele de performanță specifice.</w:t>
      </w:r>
    </w:p>
    <w:p w14:paraId="3593415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8.2.44.</w:t>
      </w:r>
      <w:r>
        <w:rPr>
          <w:rFonts w:eastAsia="Calibri"/>
          <w:i/>
          <w:sz w:val="24"/>
          <w:szCs w:val="24"/>
          <w:shd w:val="clear" w:color="auto" w:fill="FFFFFF"/>
        </w:rPr>
        <w:t> Prevederea și realizarea instalațiilor de semnalizare și stingere a incendiilor, vor corespunde funcțiunilor respective și claselor de incendiu stabilite.</w:t>
      </w:r>
    </w:p>
    <w:p w14:paraId="6D3EB66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8.2.45.</w:t>
      </w:r>
      <w:r>
        <w:rPr>
          <w:rFonts w:eastAsia="Calibri"/>
          <w:i/>
          <w:sz w:val="24"/>
          <w:szCs w:val="24"/>
          <w:shd w:val="clear" w:color="auto" w:fill="FFFFFF"/>
        </w:rPr>
        <w:t> La proiectarea și realizarea instalațiilor utilitare aferente, se respectă prevederile reglementărilor tehnice de specialitate, corespunzător destinației, riscurilor și pericolelor de incendiu, precum și tipului construcției existente.</w:t>
      </w:r>
    </w:p>
    <w:p w14:paraId="19E809F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8.2.46.</w:t>
      </w:r>
      <w:r>
        <w:rPr>
          <w:rFonts w:eastAsia="Calibri"/>
          <w:i/>
          <w:sz w:val="24"/>
          <w:szCs w:val="24"/>
          <w:shd w:val="clear" w:color="auto" w:fill="FFFFFF"/>
        </w:rPr>
        <w:t> Construcțiile existente vor avea asigurate căi de acces, intervenție și salvare, astfel distribuite, alcătuite, marcate, echipate și realizate încât să permită intervenția ușoară în caz de incendiu.</w:t>
      </w:r>
    </w:p>
    <w:p w14:paraId="75D361C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8.2.47.</w:t>
      </w:r>
      <w:r>
        <w:rPr>
          <w:rFonts w:eastAsia="Calibri"/>
          <w:i/>
          <w:sz w:val="24"/>
          <w:szCs w:val="24"/>
          <w:shd w:val="clear" w:color="auto" w:fill="FFFFFF"/>
        </w:rPr>
        <w:t> De regulă construcțiile existente trebuie să fie accesibile autospecialelor de intervenție ale pompierilor la cel puțin două fațade, pe căi de circulație corespunzătoare.</w:t>
      </w:r>
    </w:p>
    <w:p w14:paraId="495C1F8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8.2.48.</w:t>
      </w:r>
      <w:r>
        <w:rPr>
          <w:rFonts w:eastAsia="Calibri"/>
          <w:i/>
          <w:sz w:val="24"/>
          <w:szCs w:val="24"/>
          <w:shd w:val="clear" w:color="auto" w:fill="FFFFFF"/>
        </w:rPr>
        <w:t> Funcțiunile distincte existente și construcțiile existente se dotează cu mijloace tehnice de stingere corespunzătoare destinației și clasei de incendiu a acestora, potrivit prevederilor anexei.</w:t>
      </w:r>
    </w:p>
    <w:p w14:paraId="6E33976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8.2.49.</w:t>
      </w:r>
      <w:r>
        <w:rPr>
          <w:rFonts w:eastAsia="Calibri"/>
          <w:i/>
          <w:sz w:val="24"/>
          <w:szCs w:val="24"/>
          <w:shd w:val="clear" w:color="auto" w:fill="FFFFFF"/>
        </w:rPr>
        <w:t> Atunci când aria desfășurată a construcțiilor existente se încadrează în limitele stabilite în prezenta anexă pentru funcțiunile civile (publice) sau de producție și depozitare vor avea constituite servicii de pompieri.</w:t>
      </w:r>
    </w:p>
    <w:p w14:paraId="4C432354" w14:textId="77777777" w:rsidR="001C08A5" w:rsidRDefault="00000000">
      <w:pPr>
        <w:pStyle w:val="Heading4"/>
        <w:rPr>
          <w:sz w:val="24"/>
          <w:szCs w:val="24"/>
        </w:rPr>
      </w:pPr>
      <w:bookmarkStart w:id="11619" w:name="_Toc27346"/>
      <w:bookmarkStart w:id="11620" w:name="_Toc31580"/>
      <w:bookmarkStart w:id="11621" w:name="_Toc17860"/>
      <w:bookmarkStart w:id="11622" w:name="_Toc11622"/>
      <w:bookmarkStart w:id="11623" w:name="_Toc20997"/>
      <w:bookmarkStart w:id="11624" w:name="_Toc162355661"/>
      <w:r>
        <w:rPr>
          <w:sz w:val="24"/>
          <w:szCs w:val="24"/>
        </w:rPr>
        <w:t>Funcțiuni  existente mixte de producție și/sau depozitare</w:t>
      </w:r>
      <w:bookmarkEnd w:id="11619"/>
      <w:bookmarkEnd w:id="11620"/>
      <w:bookmarkEnd w:id="11621"/>
      <w:bookmarkEnd w:id="11622"/>
      <w:bookmarkEnd w:id="11623"/>
      <w:bookmarkEnd w:id="11624"/>
    </w:p>
    <w:p w14:paraId="46AF254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8.2.50.</w:t>
      </w:r>
      <w:r>
        <w:rPr>
          <w:rFonts w:eastAsia="Calibri"/>
          <w:i/>
          <w:sz w:val="24"/>
          <w:szCs w:val="24"/>
          <w:shd w:val="clear" w:color="auto" w:fill="FFFFFF"/>
        </w:rPr>
        <w:t xml:space="preserve"> Funcțiunile distincte de producție și/sau depozitare din construcțiile existente cu funcțiuni mixte, vor avea determinate și precizate categoriile de pericol de incendiu specifice, conform prevederilor Art. </w:t>
      </w:r>
      <w:r>
        <w:rPr>
          <w:rFonts w:eastAsia="Calibri"/>
          <w:b/>
          <w:bCs/>
          <w:i/>
          <w:sz w:val="24"/>
          <w:szCs w:val="24"/>
          <w:shd w:val="clear" w:color="auto" w:fill="FFFFFF"/>
        </w:rPr>
        <w:t>A.10.2.1.4</w:t>
      </w:r>
      <w:r>
        <w:rPr>
          <w:rFonts w:eastAsia="Calibri"/>
          <w:i/>
          <w:sz w:val="24"/>
          <w:szCs w:val="24"/>
          <w:shd w:val="clear" w:color="auto" w:fill="FFFFFF"/>
        </w:rPr>
        <w:t xml:space="preserve">. la Art. </w:t>
      </w:r>
      <w:r>
        <w:rPr>
          <w:rFonts w:eastAsia="Calibri"/>
          <w:b/>
          <w:bCs/>
          <w:i/>
          <w:sz w:val="24"/>
          <w:szCs w:val="24"/>
          <w:shd w:val="clear" w:color="auto" w:fill="FFFFFF"/>
        </w:rPr>
        <w:t>A.10.2.1.7</w:t>
      </w:r>
      <w:r>
        <w:rPr>
          <w:rFonts w:eastAsia="Calibri"/>
          <w:i/>
          <w:sz w:val="24"/>
          <w:szCs w:val="24"/>
          <w:shd w:val="clear" w:color="auto" w:fill="FFFFFF"/>
        </w:rPr>
        <w:t>.</w:t>
      </w:r>
    </w:p>
    <w:p w14:paraId="4835235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8.2.51.</w:t>
      </w:r>
      <w:r>
        <w:rPr>
          <w:rFonts w:eastAsia="Calibri"/>
          <w:i/>
          <w:sz w:val="24"/>
          <w:szCs w:val="24"/>
          <w:shd w:val="clear" w:color="auto" w:fill="FFFFFF"/>
        </w:rPr>
        <w:t> Corespunzător categoriilor de pericol de incendiu stabilite, a destinației și densității sarcinii termice, fiecare funcțiune, inclusiv încăperi ale acesteia, se separă de restul construcției existente prin pereți și planșee corespunzător amplasate, alcătuite și dimensionate conform prevederilor stabilite prin prezenta anexă.</w:t>
      </w:r>
    </w:p>
    <w:p w14:paraId="399A0D6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8.2.52.</w:t>
      </w:r>
      <w:r>
        <w:rPr>
          <w:rFonts w:eastAsia="Calibri"/>
          <w:i/>
          <w:sz w:val="24"/>
          <w:szCs w:val="24"/>
          <w:shd w:val="clear" w:color="auto" w:fill="FFFFFF"/>
        </w:rPr>
        <w:t xml:space="preserve"> Prin conformarea construcției existente se asigură dispunerea distinctă a funcțiunilor periculoase și separarea acestora cu pereți și după caz cu planșee, astfel încât să nu pună în pericol alte funcțiuni sau construcția existentă. Spațiile, încăperile și funcțiunile cu pericol de explozie, </w:t>
      </w:r>
      <w:r>
        <w:rPr>
          <w:rFonts w:eastAsia="Calibri"/>
          <w:i/>
          <w:sz w:val="24"/>
          <w:szCs w:val="24"/>
          <w:shd w:val="clear" w:color="auto" w:fill="FFFFFF"/>
        </w:rPr>
        <w:lastRenderedPageBreak/>
        <w:t>categoriile A sau B (BE3a sau BE3b), pe cât posibil vor fi dispuse la partea superioară a construcției existente. Atunci când nu este posibil sau justificat tehnic, se iau măsuri de protecție și separare corespunzătoare.</w:t>
      </w:r>
    </w:p>
    <w:p w14:paraId="660052B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8.2.53.</w:t>
      </w:r>
      <w:r>
        <w:rPr>
          <w:rFonts w:eastAsia="Calibri"/>
          <w:i/>
          <w:sz w:val="24"/>
          <w:szCs w:val="24"/>
          <w:shd w:val="clear" w:color="auto" w:fill="FFFFFF"/>
        </w:rPr>
        <w:t> Construcția existentă va avea asigurat nivelul de stabilitate la incendiu corespunzător îndeplinirii condițiilor de corelație cu aria construită, categoria de pericol de incendiu și numărul de niveluri.</w:t>
      </w:r>
    </w:p>
    <w:p w14:paraId="35717EA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8.2.54.</w:t>
      </w:r>
      <w:r>
        <w:rPr>
          <w:rFonts w:eastAsia="Calibri"/>
          <w:i/>
          <w:sz w:val="24"/>
          <w:szCs w:val="24"/>
          <w:shd w:val="clear" w:color="auto" w:fill="FFFFFF"/>
        </w:rPr>
        <w:t> Elementele de construcție și construcția existentă în ansamblu, vor fi astfel alcătuite încât să îndeplinească condițiile de comportare la foc specifice acestora.</w:t>
      </w:r>
    </w:p>
    <w:p w14:paraId="5E14E6D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8.2.55.</w:t>
      </w:r>
      <w:r>
        <w:rPr>
          <w:rFonts w:eastAsia="Calibri"/>
          <w:i/>
          <w:sz w:val="24"/>
          <w:szCs w:val="24"/>
          <w:shd w:val="clear" w:color="auto" w:fill="FFFFFF"/>
        </w:rPr>
        <w:t> Funcțiunile distincte dispuse în construcția existentă, se separă între ele și față de căile comune de circulație și evacuare, prin pereți și planșee corespunzătoare categoriilor de pericol de incendiu, densității sarcinii termice și a condițiilor de încadrare în nivelul de stabilitate la incendiu.</w:t>
      </w:r>
    </w:p>
    <w:p w14:paraId="62E9CBC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8.2.56.</w:t>
      </w:r>
      <w:r>
        <w:rPr>
          <w:rFonts w:eastAsia="Calibri"/>
          <w:i/>
          <w:sz w:val="24"/>
          <w:szCs w:val="24"/>
          <w:shd w:val="clear" w:color="auto" w:fill="FFFFFF"/>
        </w:rPr>
        <w:t> Prin dispunerea și alcătuirea elementelor de construcție despărțitoare, se va asigura limitarea propagării incendiilor la funcțiuni adiacente, precum și pe arii mari ale funcțiunii respective.</w:t>
      </w:r>
    </w:p>
    <w:p w14:paraId="3E3C930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8.2.57.</w:t>
      </w:r>
      <w:r>
        <w:rPr>
          <w:rFonts w:eastAsia="Calibri"/>
          <w:i/>
          <w:sz w:val="24"/>
          <w:szCs w:val="24"/>
          <w:shd w:val="clear" w:color="auto" w:fill="FFFFFF"/>
        </w:rPr>
        <w:t> Golurile de circulație sau funcțional necesare din elementele de separare, se protejează cu elemente corespunzătoare, în funcție de categoria de pericol și rolul elementului despărțitor.</w:t>
      </w:r>
    </w:p>
    <w:p w14:paraId="34E12A5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8.2.58.</w:t>
      </w:r>
      <w:r>
        <w:rPr>
          <w:rFonts w:eastAsia="Calibri"/>
          <w:i/>
          <w:sz w:val="24"/>
          <w:szCs w:val="24"/>
          <w:shd w:val="clear" w:color="auto" w:fill="FFFFFF"/>
        </w:rPr>
        <w:t xml:space="preserve"> Elementele de construcție prevăzute pentru limitarea propagării focului și a fumului, se alcătuiesc și realizează conform prevederilor din prezenta anexă referitoare la construcții existente de producție și/sau depozitare (Art. </w:t>
      </w:r>
      <w:r>
        <w:rPr>
          <w:rFonts w:eastAsia="Calibri"/>
          <w:b/>
          <w:bCs/>
          <w:i/>
          <w:sz w:val="24"/>
          <w:szCs w:val="24"/>
          <w:shd w:val="clear" w:color="auto" w:fill="FFFFFF"/>
        </w:rPr>
        <w:t>A.10.2.3.1</w:t>
      </w:r>
      <w:r>
        <w:rPr>
          <w:rFonts w:eastAsia="Calibri"/>
          <w:i/>
          <w:sz w:val="24"/>
          <w:szCs w:val="24"/>
          <w:shd w:val="clear" w:color="auto" w:fill="FFFFFF"/>
        </w:rPr>
        <w:t xml:space="preserve">. la Art. </w:t>
      </w:r>
      <w:r>
        <w:rPr>
          <w:rFonts w:eastAsia="Calibri"/>
          <w:b/>
          <w:bCs/>
          <w:i/>
          <w:sz w:val="24"/>
          <w:szCs w:val="24"/>
          <w:shd w:val="clear" w:color="auto" w:fill="FFFFFF"/>
        </w:rPr>
        <w:t>A.10.2.3.52</w:t>
      </w:r>
      <w:r>
        <w:rPr>
          <w:rFonts w:eastAsia="Calibri"/>
          <w:i/>
          <w:sz w:val="24"/>
          <w:szCs w:val="24"/>
          <w:shd w:val="clear" w:color="auto" w:fill="FFFFFF"/>
        </w:rPr>
        <w:t>.).</w:t>
      </w:r>
    </w:p>
    <w:p w14:paraId="3D2136C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8.2.59.</w:t>
      </w:r>
      <w:r>
        <w:rPr>
          <w:rFonts w:eastAsia="Calibri"/>
          <w:i/>
          <w:sz w:val="24"/>
          <w:szCs w:val="24"/>
          <w:shd w:val="clear" w:color="auto" w:fill="FFFFFF"/>
        </w:rPr>
        <w:t xml:space="preserve"> Este obligatorie asigurarea evacuării fumului (desfumare) din încăperile și funcțiunile prevăzute în anexă, potrivit prevederilor Art. </w:t>
      </w:r>
      <w:r>
        <w:rPr>
          <w:rFonts w:eastAsia="Calibri"/>
          <w:b/>
          <w:bCs/>
          <w:i/>
          <w:sz w:val="24"/>
          <w:szCs w:val="24"/>
          <w:shd w:val="clear" w:color="auto" w:fill="FFFFFF"/>
        </w:rPr>
        <w:t>A.10.9.1</w:t>
      </w:r>
      <w:r>
        <w:rPr>
          <w:rFonts w:eastAsia="Calibri"/>
          <w:i/>
          <w:sz w:val="24"/>
          <w:szCs w:val="24"/>
          <w:shd w:val="clear" w:color="auto" w:fill="FFFFFF"/>
        </w:rPr>
        <w:t xml:space="preserve">. la Art. </w:t>
      </w:r>
      <w:r>
        <w:rPr>
          <w:rFonts w:eastAsia="Calibri"/>
          <w:b/>
          <w:bCs/>
          <w:i/>
          <w:sz w:val="24"/>
          <w:szCs w:val="24"/>
          <w:shd w:val="clear" w:color="auto" w:fill="FFFFFF"/>
        </w:rPr>
        <w:t>A.10.9.35</w:t>
      </w:r>
      <w:r>
        <w:rPr>
          <w:rFonts w:eastAsia="Calibri"/>
          <w:i/>
          <w:sz w:val="24"/>
          <w:szCs w:val="24"/>
          <w:shd w:val="clear" w:color="auto" w:fill="FFFFFF"/>
        </w:rPr>
        <w:t>. și a celor specifice.</w:t>
      </w:r>
    </w:p>
    <w:p w14:paraId="3E4013F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8.2.60.</w:t>
      </w:r>
      <w:r>
        <w:rPr>
          <w:rFonts w:eastAsia="Calibri"/>
          <w:i/>
          <w:sz w:val="24"/>
          <w:szCs w:val="24"/>
          <w:shd w:val="clear" w:color="auto" w:fill="FFFFFF"/>
        </w:rPr>
        <w:t> Evacuarea fumului (desfumarea) din încăperile de depozitare cu aria mai mare de 36m</w:t>
      </w:r>
      <w:r>
        <w:rPr>
          <w:rFonts w:eastAsia="Calibri"/>
          <w:i/>
          <w:sz w:val="24"/>
          <w:szCs w:val="24"/>
          <w:shd w:val="clear" w:color="auto" w:fill="FFFFFF"/>
          <w:vertAlign w:val="superscript"/>
        </w:rPr>
        <w:t>2</w:t>
      </w:r>
      <w:r>
        <w:rPr>
          <w:rFonts w:eastAsia="Calibri"/>
          <w:i/>
          <w:sz w:val="24"/>
          <w:szCs w:val="24"/>
          <w:shd w:val="clear" w:color="auto" w:fill="FFFFFF"/>
        </w:rPr>
        <w:t>, pentru materiale și substanțe combustibile, se asigură independent.</w:t>
      </w:r>
    </w:p>
    <w:p w14:paraId="3B4BAF9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8.2.61.</w:t>
      </w:r>
      <w:r>
        <w:rPr>
          <w:rFonts w:eastAsia="Calibri"/>
          <w:i/>
          <w:sz w:val="24"/>
          <w:szCs w:val="24"/>
          <w:shd w:val="clear" w:color="auto" w:fill="FFFFFF"/>
        </w:rPr>
        <w:t> În situațiile în care este obligatorie evacuarea fumului conform prevederilor stabilite prin prezenta anexă, aceasta se poate realiza natural - organizat sau mecanic.</w:t>
      </w:r>
    </w:p>
    <w:p w14:paraId="619D310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8.2.62.</w:t>
      </w:r>
      <w:r>
        <w:rPr>
          <w:rFonts w:eastAsia="Calibri"/>
          <w:i/>
          <w:sz w:val="24"/>
          <w:szCs w:val="24"/>
          <w:shd w:val="clear" w:color="auto" w:fill="FFFFFF"/>
        </w:rPr>
        <w:t> Construcțiile existente pot avea căi de evacuare comune tuturor funcțiunilor sau distincte pentru una sau mai multe funcțiuni.</w:t>
      </w:r>
    </w:p>
    <w:p w14:paraId="666E408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8.2.63.</w:t>
      </w:r>
      <w:r>
        <w:rPr>
          <w:rFonts w:eastAsia="Calibri"/>
          <w:i/>
          <w:sz w:val="24"/>
          <w:szCs w:val="24"/>
          <w:shd w:val="clear" w:color="auto" w:fill="FFFFFF"/>
        </w:rPr>
        <w:t> Căile de evacuare se dispun, alcătuiesc și dimensionează corespunzător categoriilor de pericol de incendiu și destinațiilor respective, asigurându-se separarea lor prin elemente de construcție corespunzătoare.</w:t>
      </w:r>
    </w:p>
    <w:p w14:paraId="2EADEE8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8.2.64.</w:t>
      </w:r>
      <w:r>
        <w:rPr>
          <w:rFonts w:eastAsia="Calibri"/>
          <w:i/>
          <w:sz w:val="24"/>
          <w:szCs w:val="24"/>
          <w:shd w:val="clear" w:color="auto" w:fill="FFFFFF"/>
        </w:rPr>
        <w:t> Construcțiile existente se echipează cu instalații de semnalizare și stingerea incendiilor conform reglementărilor tehnice de specialitate.</w:t>
      </w:r>
    </w:p>
    <w:p w14:paraId="61A4A46E"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8.2.65.</w:t>
      </w:r>
      <w:r>
        <w:rPr>
          <w:rFonts w:eastAsia="Calibri"/>
          <w:i/>
          <w:sz w:val="24"/>
          <w:szCs w:val="24"/>
          <w:shd w:val="clear" w:color="auto" w:fill="FFFFFF"/>
        </w:rPr>
        <w:t> Instalațiile utilitare aferente se proiectează și realizează conform reglementărilor specifice, în funcție de categoriile de pericol stabilite și destinații.</w:t>
      </w:r>
    </w:p>
    <w:p w14:paraId="044505A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8.2.66.</w:t>
      </w:r>
      <w:r>
        <w:rPr>
          <w:rFonts w:eastAsia="Calibri"/>
          <w:i/>
          <w:sz w:val="24"/>
          <w:szCs w:val="24"/>
          <w:shd w:val="clear" w:color="auto" w:fill="FFFFFF"/>
        </w:rPr>
        <w:t> Se asigură căi de acces, intervenție și salvare în caz de incendiu, potrivit prevederilor din prezenta anexă referitoare la construcții existente de producție și/sau depozitare, astfel încât să permită intervenția ușoară, în special la funcțiunile cu pericol mare de incendiu.</w:t>
      </w:r>
    </w:p>
    <w:p w14:paraId="66F77F0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8.2.67.</w:t>
      </w:r>
      <w:r>
        <w:rPr>
          <w:rFonts w:eastAsia="Calibri"/>
          <w:i/>
          <w:sz w:val="24"/>
          <w:szCs w:val="24"/>
          <w:shd w:val="clear" w:color="auto" w:fill="FFFFFF"/>
        </w:rPr>
        <w:t> Pentru accesul autospecialelor de intervenție se asigură căi de circulație conform prevederilor stabilite prin prezenta anexă, astfel încât intervenția să fie posibilă pe cel puțin două laturi ale construcției existente.</w:t>
      </w:r>
    </w:p>
    <w:p w14:paraId="3FD1572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8.2.68.</w:t>
      </w:r>
      <w:r>
        <w:rPr>
          <w:rFonts w:eastAsia="Calibri"/>
          <w:i/>
          <w:sz w:val="24"/>
          <w:szCs w:val="24"/>
          <w:shd w:val="clear" w:color="auto" w:fill="FFFFFF"/>
        </w:rPr>
        <w:t> Construcțiile existente și funcțiunile distincte se dotează cu mijloace tehnice de stingere, în funcție de pericol și clasele de incendiu ale acestora, conform prevederilor stabilite prin prezenta anexă.</w:t>
      </w:r>
    </w:p>
    <w:p w14:paraId="5D09800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lastRenderedPageBreak/>
        <w:t xml:space="preserve">A.10. </w:t>
      </w:r>
      <w:r>
        <w:rPr>
          <w:rFonts w:eastAsia="Calibri"/>
          <w:b/>
          <w:bCs/>
          <w:i/>
          <w:sz w:val="24"/>
          <w:szCs w:val="24"/>
          <w:shd w:val="clear" w:color="auto" w:fill="FFFFFF"/>
        </w:rPr>
        <w:t>8.2.69.</w:t>
      </w:r>
      <w:r>
        <w:rPr>
          <w:rFonts w:eastAsia="Calibri"/>
          <w:i/>
          <w:sz w:val="24"/>
          <w:szCs w:val="24"/>
          <w:shd w:val="clear" w:color="auto" w:fill="FFFFFF"/>
        </w:rPr>
        <w:t> Construcțiile existente cu funcțiuni mixte de producție și/sau depozitare, vor avea constituite servicii de pompieri conform prevederilor din prezenta anexă și ale reglementărilor de specialitate.</w:t>
      </w:r>
    </w:p>
    <w:p w14:paraId="50819F54" w14:textId="77777777" w:rsidR="001C08A5" w:rsidRDefault="00000000">
      <w:pPr>
        <w:pStyle w:val="Heading2"/>
        <w:jc w:val="center"/>
        <w:rPr>
          <w:sz w:val="28"/>
        </w:rPr>
      </w:pPr>
      <w:bookmarkStart w:id="11625" w:name="_Toc2749"/>
      <w:bookmarkStart w:id="11626" w:name="_Toc4005"/>
      <w:bookmarkStart w:id="11627" w:name="_Toc13290"/>
      <w:bookmarkStart w:id="11628" w:name="_Toc24726"/>
      <w:bookmarkStart w:id="11629" w:name="_Toc162355662"/>
      <w:bookmarkStart w:id="11630" w:name="_Toc2807"/>
      <w:r>
        <w:rPr>
          <w:sz w:val="28"/>
        </w:rPr>
        <w:t>SECŢIUNEA V</w:t>
      </w:r>
      <w:bookmarkEnd w:id="11625"/>
      <w:bookmarkEnd w:id="11626"/>
      <w:bookmarkEnd w:id="11627"/>
      <w:bookmarkEnd w:id="11628"/>
      <w:bookmarkEnd w:id="11629"/>
      <w:bookmarkEnd w:id="11630"/>
    </w:p>
    <w:p w14:paraId="17CA2CFD" w14:textId="77777777" w:rsidR="001C08A5" w:rsidRDefault="00000000">
      <w:pPr>
        <w:pStyle w:val="Heading2"/>
        <w:jc w:val="center"/>
        <w:rPr>
          <w:sz w:val="28"/>
        </w:rPr>
      </w:pPr>
      <w:bookmarkStart w:id="11631" w:name="_Toc24121"/>
      <w:bookmarkStart w:id="11632" w:name="_Toc27302"/>
      <w:bookmarkStart w:id="11633" w:name="_Toc17311"/>
      <w:bookmarkStart w:id="11634" w:name="_Toc5377"/>
      <w:bookmarkStart w:id="11635" w:name="_Toc24064"/>
      <w:bookmarkStart w:id="11636" w:name="_Toc162355663"/>
      <w:r>
        <w:rPr>
          <w:sz w:val="28"/>
        </w:rPr>
        <w:t>EVACUARE FUM (DESFUMARE) ȘI GAZE FIERBINȚI</w:t>
      </w:r>
      <w:bookmarkEnd w:id="11631"/>
      <w:bookmarkEnd w:id="11632"/>
      <w:bookmarkEnd w:id="11633"/>
      <w:bookmarkEnd w:id="11634"/>
      <w:bookmarkEnd w:id="11635"/>
      <w:bookmarkEnd w:id="11636"/>
    </w:p>
    <w:p w14:paraId="422CA6B9" w14:textId="77777777" w:rsidR="001C08A5" w:rsidRDefault="00000000">
      <w:pPr>
        <w:pStyle w:val="Heading3"/>
        <w:rPr>
          <w:i/>
          <w:iCs/>
          <w:sz w:val="26"/>
        </w:rPr>
      </w:pPr>
      <w:bookmarkStart w:id="11637" w:name="_Toc23273"/>
      <w:bookmarkStart w:id="11638" w:name="_Toc18828"/>
      <w:bookmarkStart w:id="11639" w:name="_Toc20761"/>
      <w:bookmarkStart w:id="11640" w:name="_Toc162355664"/>
      <w:bookmarkStart w:id="11641" w:name="_Toc9784"/>
      <w:bookmarkStart w:id="11642" w:name="_Toc23276"/>
      <w:r>
        <w:rPr>
          <w:i/>
          <w:iCs/>
          <w:sz w:val="26"/>
        </w:rPr>
        <w:t>CAPITOLUL 9</w:t>
      </w:r>
      <w:bookmarkEnd w:id="11637"/>
      <w:bookmarkEnd w:id="11638"/>
      <w:bookmarkEnd w:id="11639"/>
      <w:bookmarkEnd w:id="11640"/>
      <w:bookmarkEnd w:id="11641"/>
      <w:bookmarkEnd w:id="11642"/>
      <w:r>
        <w:rPr>
          <w:i/>
          <w:iCs/>
          <w:sz w:val="26"/>
        </w:rPr>
        <w:t xml:space="preserve"> </w:t>
      </w:r>
    </w:p>
    <w:p w14:paraId="4604E59E" w14:textId="77777777" w:rsidR="001C08A5" w:rsidRDefault="00000000">
      <w:pPr>
        <w:pStyle w:val="Heading3"/>
        <w:rPr>
          <w:i/>
          <w:iCs/>
          <w:sz w:val="26"/>
        </w:rPr>
      </w:pPr>
      <w:bookmarkStart w:id="11643" w:name="_Toc30399"/>
      <w:bookmarkStart w:id="11644" w:name="_Toc162355665"/>
      <w:bookmarkStart w:id="11645" w:name="_Toc10808"/>
      <w:bookmarkStart w:id="11646" w:name="_Toc27662"/>
      <w:bookmarkStart w:id="11647" w:name="_Toc30331"/>
      <w:bookmarkStart w:id="11648" w:name="_Toc27460"/>
      <w:r>
        <w:rPr>
          <w:i/>
          <w:iCs/>
          <w:sz w:val="26"/>
        </w:rPr>
        <w:t>EVACUARE FUM ȘI GAZE FIERBINȚI</w:t>
      </w:r>
      <w:bookmarkEnd w:id="11643"/>
      <w:bookmarkEnd w:id="11644"/>
      <w:bookmarkEnd w:id="11645"/>
      <w:bookmarkEnd w:id="11646"/>
      <w:bookmarkEnd w:id="11647"/>
      <w:bookmarkEnd w:id="11648"/>
    </w:p>
    <w:p w14:paraId="44E9B324" w14:textId="77777777" w:rsidR="001C08A5" w:rsidRDefault="00000000">
      <w:pPr>
        <w:pStyle w:val="Heading4"/>
        <w:rPr>
          <w:sz w:val="24"/>
          <w:szCs w:val="24"/>
        </w:rPr>
      </w:pPr>
      <w:bookmarkStart w:id="11649" w:name="_Toc17622"/>
      <w:bookmarkStart w:id="11650" w:name="_Toc4137"/>
      <w:bookmarkStart w:id="11651" w:name="_Toc17103"/>
      <w:bookmarkStart w:id="11652" w:name="_Toc12791"/>
      <w:bookmarkStart w:id="11653" w:name="_Toc2769"/>
      <w:bookmarkStart w:id="11654" w:name="_Toc162355666"/>
      <w:r>
        <w:rPr>
          <w:sz w:val="24"/>
          <w:szCs w:val="24"/>
        </w:rPr>
        <w:t>Dispoziții generale</w:t>
      </w:r>
      <w:bookmarkEnd w:id="11649"/>
      <w:bookmarkEnd w:id="11650"/>
      <w:bookmarkEnd w:id="11651"/>
      <w:bookmarkEnd w:id="11652"/>
      <w:bookmarkEnd w:id="11653"/>
      <w:bookmarkEnd w:id="11654"/>
    </w:p>
    <w:p w14:paraId="548A56A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w:t>
      </w:r>
      <w:r>
        <w:rPr>
          <w:rFonts w:eastAsia="Calibri"/>
          <w:i/>
          <w:sz w:val="24"/>
          <w:szCs w:val="24"/>
          <w:shd w:val="clear" w:color="auto" w:fill="FFFFFF"/>
        </w:rPr>
        <w:t xml:space="preserve"> Prin desfumare se urmărește extragerea din spațiile incendiate a unei părți din fumul și gazele de ardere în scopul asigurării condițiilor de evacuare a utilizatorilor și a folosirii mijloacelor de intervenție la stingere, precum și de limitare a propagării incendiilor. În spațiile construite și necompartimentate, cu aria liberă peste </w:t>
      </w:r>
      <w:r>
        <w:rPr>
          <w:rFonts w:eastAsia="Calibri"/>
          <w:b/>
          <w:bCs/>
          <w:i/>
          <w:sz w:val="24"/>
          <w:szCs w:val="24"/>
          <w:shd w:val="clear" w:color="auto" w:fill="FFFFFF"/>
        </w:rPr>
        <w:t>10.400 m</w:t>
      </w:r>
      <w:r>
        <w:rPr>
          <w:rFonts w:eastAsia="Calibri"/>
          <w:b/>
          <w:bCs/>
          <w:i/>
          <w:sz w:val="24"/>
          <w:szCs w:val="24"/>
          <w:shd w:val="clear" w:color="auto" w:fill="FFFFFF"/>
          <w:vertAlign w:val="superscript"/>
        </w:rPr>
        <w:t>2</w:t>
      </w:r>
      <w:r>
        <w:rPr>
          <w:rFonts w:eastAsia="Calibri"/>
          <w:i/>
          <w:sz w:val="24"/>
          <w:szCs w:val="24"/>
          <w:shd w:val="clear" w:color="auto" w:fill="FFFFFF"/>
        </w:rPr>
        <w:t>, se asigură evacuarea fumului și a gazelor fierbinți în exterior, conform normativului și ale prezentei anexe.</w:t>
      </w:r>
    </w:p>
    <w:p w14:paraId="5A2A1D34"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9.2.</w:t>
      </w:r>
      <w:r>
        <w:rPr>
          <w:rFonts w:eastAsia="Calibri"/>
          <w:i/>
          <w:sz w:val="24"/>
          <w:szCs w:val="24"/>
          <w:shd w:val="clear" w:color="auto" w:fill="FFFFFF"/>
        </w:rPr>
        <w:t> În principiu, desfumarea se asigură prin tiraj natural, organizat sau ventilare mecanică, realizând circulația aerului în spațiul considerat și evacuarea fumului în raport cu aerul introdus, sau prin diferențe de presiune între spațiul protejat și cel incendiat pus în depresiune, ori printr-o combinație a celor două metode.</w:t>
      </w:r>
    </w:p>
    <w:p w14:paraId="1CAF2F0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w:t>
      </w:r>
      <w:r>
        <w:rPr>
          <w:rFonts w:eastAsia="Calibri"/>
          <w:i/>
          <w:sz w:val="24"/>
          <w:szCs w:val="24"/>
          <w:shd w:val="clear" w:color="auto" w:fill="FFFFFF"/>
        </w:rPr>
        <w:t> Canalele (ghenele) pentru evacuarea fumului în caz de incendiu (desfumare). trebuie să îndeplinească următoarele condiții tehnice generale:</w:t>
      </w:r>
    </w:p>
    <w:p w14:paraId="07AB0E69"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secțiunea să fie cel puțin egală cu suprafața liberă a gurilor de evacuare ale unui nivel al construcției, la care sunt racordate;</w:t>
      </w:r>
    </w:p>
    <w:p w14:paraId="48548BD7"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raportul dintre laturile secțiunii canalelor (ghenelor) să nu fie mai mare de </w:t>
      </w:r>
      <w:r>
        <w:rPr>
          <w:rFonts w:eastAsia="Calibri"/>
          <w:b/>
          <w:bCs/>
          <w:i/>
          <w:sz w:val="24"/>
          <w:szCs w:val="24"/>
          <w:shd w:val="clear" w:color="auto" w:fill="FFFFFF"/>
          <w:lang w:val="en-US" w:eastAsia="zh-CN" w:bidi="ar"/>
        </w:rPr>
        <w:t>2</w:t>
      </w:r>
      <w:r>
        <w:rPr>
          <w:rFonts w:eastAsia="Calibri"/>
          <w:i/>
          <w:sz w:val="24"/>
          <w:szCs w:val="24"/>
          <w:shd w:val="clear" w:color="auto" w:fill="FFFFFF"/>
          <w:lang w:val="en-US" w:eastAsia="zh-CN" w:bidi="ar"/>
        </w:rPr>
        <w:t>;</w:t>
      </w:r>
    </w:p>
    <w:p w14:paraId="6E858BB2"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canalele (ghenele) să fie realizate din materiale </w:t>
      </w:r>
      <w:r>
        <w:rPr>
          <w:rFonts w:eastAsia="Calibri"/>
          <w:i/>
          <w:sz w:val="24"/>
          <w:szCs w:val="24"/>
          <w:shd w:val="clear" w:color="auto" w:fill="FFFFFF"/>
          <w:lang w:eastAsia="zh-CN" w:bidi="ar"/>
        </w:rPr>
        <w:t xml:space="preserve">clasa de reacție la foc </w:t>
      </w:r>
      <w:r>
        <w:rPr>
          <w:rFonts w:eastAsia="Calibri"/>
          <w:b/>
          <w:bCs/>
          <w:i/>
          <w:sz w:val="24"/>
          <w:szCs w:val="24"/>
          <w:shd w:val="clear" w:color="auto" w:fill="FFFFFF"/>
          <w:lang w:val="en-GB" w:eastAsia="zh-CN" w:bidi="ar"/>
        </w:rPr>
        <w:t>A1, A2s1d0</w:t>
      </w:r>
      <w:r>
        <w:rPr>
          <w:rFonts w:eastAsia="Calibri"/>
          <w:i/>
          <w:sz w:val="24"/>
          <w:szCs w:val="24"/>
          <w:shd w:val="clear" w:color="auto" w:fill="FFFFFF"/>
          <w:lang w:val="en-US" w:eastAsia="zh-CN" w:bidi="ar"/>
        </w:rPr>
        <w:t xml:space="preserve">, etanșe la foc minimum </w:t>
      </w:r>
      <w:proofErr w:type="gramStart"/>
      <w:r>
        <w:rPr>
          <w:rFonts w:eastAsia="Calibri"/>
          <w:i/>
          <w:sz w:val="24"/>
          <w:szCs w:val="24"/>
          <w:shd w:val="clear" w:color="auto" w:fill="FFFFFF"/>
          <w:lang w:val="en-US" w:eastAsia="zh-CN" w:bidi="ar"/>
        </w:rPr>
        <w:t>15 minute</w:t>
      </w:r>
      <w:proofErr w:type="gramEnd"/>
      <w:r>
        <w:rPr>
          <w:rFonts w:eastAsia="Calibri"/>
          <w:i/>
          <w:sz w:val="24"/>
          <w:szCs w:val="24"/>
          <w:shd w:val="clear" w:color="auto" w:fill="FFFFFF"/>
          <w:lang w:eastAsia="zh-CN" w:bidi="ar"/>
        </w:rPr>
        <w:t xml:space="preserve"> (</w:t>
      </w:r>
      <w:r>
        <w:rPr>
          <w:rFonts w:eastAsia="Calibri"/>
          <w:b/>
          <w:bCs/>
          <w:i/>
          <w:sz w:val="24"/>
          <w:szCs w:val="24"/>
          <w:shd w:val="clear" w:color="auto" w:fill="FFFFFF"/>
          <w:lang w:eastAsia="zh-CN" w:bidi="ar"/>
        </w:rPr>
        <w:t>E15</w:t>
      </w:r>
      <w:r>
        <w:rPr>
          <w:rFonts w:eastAsia="Calibri"/>
          <w:i/>
          <w:sz w:val="24"/>
          <w:szCs w:val="24"/>
          <w:shd w:val="clear" w:color="auto" w:fill="FFFFFF"/>
          <w:lang w:eastAsia="zh-CN" w:bidi="ar"/>
        </w:rPr>
        <w:t>)</w:t>
      </w:r>
      <w:r>
        <w:rPr>
          <w:rFonts w:eastAsia="Calibri"/>
          <w:i/>
          <w:sz w:val="24"/>
          <w:szCs w:val="24"/>
          <w:shd w:val="clear" w:color="auto" w:fill="FFFFFF"/>
          <w:lang w:val="en-US" w:eastAsia="zh-CN" w:bidi="ar"/>
        </w:rPr>
        <w:t>, dacă prevederile normativului</w:t>
      </w:r>
      <w:r>
        <w:rPr>
          <w:rFonts w:eastAsia="Calibri"/>
          <w:i/>
          <w:sz w:val="24"/>
          <w:szCs w:val="24"/>
          <w:shd w:val="clear" w:color="auto" w:fill="FFFFFF"/>
          <w:lang w:eastAsia="zh-CN" w:bidi="ar"/>
        </w:rPr>
        <w:t xml:space="preserve"> și ale prezentei anexe</w:t>
      </w:r>
      <w:r>
        <w:rPr>
          <w:rFonts w:eastAsia="Calibri"/>
          <w:i/>
          <w:sz w:val="24"/>
          <w:szCs w:val="24"/>
          <w:shd w:val="clear" w:color="auto" w:fill="FFFFFF"/>
          <w:lang w:val="en-US" w:eastAsia="zh-CN" w:bidi="ar"/>
        </w:rPr>
        <w:t xml:space="preserve"> nu stabilesc rezistențe mai mari; atunci când canalele (ghenele) pentru evacuarea fumului traversează încăperi cu alte destinații decât cele pentru care sunt prevăzute, vor avea aceeași rezistență la foc cu a pereților sau planșeelor care delimitează destinația respectivă;</w:t>
      </w:r>
    </w:p>
    <w:p w14:paraId="144D2EA4"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canalele (ghenele) principale colectoare vor fi verticale, fiind admise de</w:t>
      </w:r>
      <w:r>
        <w:rPr>
          <w:rFonts w:eastAsia="Calibri"/>
          <w:i/>
          <w:sz w:val="24"/>
          <w:szCs w:val="24"/>
          <w:shd w:val="clear" w:color="auto" w:fill="FFFFFF"/>
          <w:lang w:eastAsia="zh-CN" w:bidi="ar"/>
        </w:rPr>
        <w:t>viații</w:t>
      </w:r>
      <w:r>
        <w:rPr>
          <w:rFonts w:eastAsia="Calibri"/>
          <w:i/>
          <w:sz w:val="24"/>
          <w:szCs w:val="24"/>
          <w:shd w:val="clear" w:color="auto" w:fill="FFFFFF"/>
          <w:lang w:val="en-US" w:eastAsia="zh-CN" w:bidi="ar"/>
        </w:rPr>
        <w:t xml:space="preserve"> de maximum </w:t>
      </w:r>
      <w:r>
        <w:rPr>
          <w:rFonts w:eastAsia="Calibri"/>
          <w:b/>
          <w:bCs/>
          <w:i/>
          <w:sz w:val="24"/>
          <w:szCs w:val="24"/>
          <w:shd w:val="clear" w:color="auto" w:fill="FFFFFF"/>
          <w:lang w:val="en-US" w:eastAsia="zh-CN" w:bidi="ar"/>
        </w:rPr>
        <w:t>2</w:t>
      </w:r>
      <w:r>
        <w:rPr>
          <w:rFonts w:eastAsia="Calibri"/>
          <w:b/>
          <w:bCs/>
          <w:i/>
          <w:sz w:val="24"/>
          <w:szCs w:val="24"/>
          <w:shd w:val="clear" w:color="auto" w:fill="FFFFFF"/>
          <w:lang w:eastAsia="zh-CN" w:bidi="ar"/>
        </w:rPr>
        <w:t xml:space="preserve"> </w:t>
      </w:r>
      <w:r>
        <w:rPr>
          <w:rFonts w:eastAsia="Calibri"/>
          <w:b/>
          <w:bCs/>
          <w:i/>
          <w:sz w:val="24"/>
          <w:szCs w:val="24"/>
          <w:shd w:val="clear" w:color="auto" w:fill="FFFFFF"/>
          <w:lang w:val="en-US" w:eastAsia="zh-CN" w:bidi="ar"/>
        </w:rPr>
        <w:t>%</w:t>
      </w:r>
      <w:r>
        <w:rPr>
          <w:rFonts w:eastAsia="Calibri"/>
          <w:i/>
          <w:sz w:val="24"/>
          <w:szCs w:val="24"/>
          <w:shd w:val="clear" w:color="auto" w:fill="FFFFFF"/>
          <w:lang w:val="en-US" w:eastAsia="zh-CN" w:bidi="ar"/>
        </w:rPr>
        <w:t>;</w:t>
      </w:r>
    </w:p>
    <w:p w14:paraId="70031088"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lungimile racordurilor orizontale ale canalelor de evacuare a fumului, între guri și ghenele verticale, vor fi cât mai scurte posibil.</w:t>
      </w:r>
    </w:p>
    <w:p w14:paraId="409E3222" w14:textId="77777777" w:rsidR="001C08A5" w:rsidRDefault="001C08A5">
      <w:pPr>
        <w:shd w:val="clear" w:color="auto" w:fill="FFFFFF"/>
        <w:tabs>
          <w:tab w:val="left" w:pos="420"/>
        </w:tabs>
        <w:ind w:left="840"/>
        <w:jc w:val="both"/>
        <w:rPr>
          <w:rFonts w:eastAsia="Calibri"/>
          <w:i/>
          <w:sz w:val="24"/>
          <w:szCs w:val="24"/>
          <w:shd w:val="clear" w:color="auto" w:fill="FFFFFF"/>
          <w:lang w:val="en-US" w:eastAsia="zh-CN" w:bidi="ar"/>
        </w:rPr>
      </w:pPr>
    </w:p>
    <w:p w14:paraId="0FF61E97"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9.4. </w:t>
      </w:r>
      <w:r>
        <w:rPr>
          <w:rFonts w:eastAsia="Calibri"/>
          <w:i/>
          <w:sz w:val="24"/>
          <w:szCs w:val="24"/>
          <w:shd w:val="clear" w:color="auto" w:fill="FFFFFF"/>
        </w:rPr>
        <w:t>Golurile (gurile) de introducere (admisie) a aerului și cele de evacuare a fumului se repartizează alternat, distribuindu-se cât mai uniform în spațiul protejat, astfel încât să asigure circulația aerului și evacuarea fumului, îndeplinind condițiile specifice prevăzute în normativ și prezenta anexă.</w:t>
      </w:r>
    </w:p>
    <w:p w14:paraId="7000515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9.5.</w:t>
      </w:r>
      <w:r>
        <w:rPr>
          <w:rFonts w:eastAsia="Calibri"/>
          <w:i/>
          <w:sz w:val="24"/>
          <w:szCs w:val="24"/>
          <w:shd w:val="clear" w:color="auto" w:fill="FFFFFF"/>
        </w:rPr>
        <w:t> Introducerile de aer se pot realiza prin:</w:t>
      </w:r>
    </w:p>
    <w:p w14:paraId="573D18D9"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goluri (guri) practicate în fațade;</w:t>
      </w:r>
    </w:p>
    <w:p w14:paraId="5DEF171E"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ușile încăperilor care se desfumează, practicate în pereții exteriori ai construcției;</w:t>
      </w:r>
    </w:p>
    <w:p w14:paraId="3856D562"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încăperi sau coridoare în suprapresiune</w:t>
      </w:r>
      <w:r>
        <w:rPr>
          <w:rFonts w:eastAsia="Calibri"/>
          <w:i/>
          <w:sz w:val="24"/>
          <w:szCs w:val="24"/>
          <w:shd w:val="clear" w:color="auto" w:fill="FFFFFF"/>
          <w:lang w:eastAsia="zh-CN" w:bidi="ar"/>
        </w:rPr>
        <w:t xml:space="preserve"> (calculul trebuind să acopere surplusul)</w:t>
      </w:r>
      <w:r>
        <w:rPr>
          <w:rFonts w:eastAsia="Calibri"/>
          <w:i/>
          <w:sz w:val="24"/>
          <w:szCs w:val="24"/>
          <w:shd w:val="clear" w:color="auto" w:fill="FFFFFF"/>
          <w:lang w:val="en-US" w:eastAsia="zh-CN" w:bidi="ar"/>
        </w:rPr>
        <w:t>, ori care sunt bine aerisite;</w:t>
      </w:r>
    </w:p>
    <w:p w14:paraId="7644D143"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scări neînchise în case de scări;</w:t>
      </w:r>
    </w:p>
    <w:p w14:paraId="491CEE2D"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goluri (guri) de introducere, racordate sau nu la canale și ghene.</w:t>
      </w:r>
    </w:p>
    <w:p w14:paraId="75EA117B"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lastRenderedPageBreak/>
        <w:t>Evacuarea fumului se asigură prin goluri în acoperiș sau pereți exteriori, conform normativului și prezentei anexe.</w:t>
      </w:r>
    </w:p>
    <w:p w14:paraId="2FAD936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9.6.</w:t>
      </w:r>
      <w:r>
        <w:rPr>
          <w:rFonts w:eastAsia="Calibri"/>
          <w:i/>
          <w:sz w:val="24"/>
          <w:szCs w:val="24"/>
          <w:shd w:val="clear" w:color="auto" w:fill="FFFFFF"/>
        </w:rPr>
        <w:t> Dispozitivele de protecție (obturare) a golurilor de introducere sau evacuare, trebuie realizate cu acționare automată sau manuală, conform prevederilor normativului și prezentei anexe. Acționarea automată a dispozitivelor de protecție va fi întotdeauna dublată de comandă manuală.</w:t>
      </w:r>
    </w:p>
    <w:p w14:paraId="30FD53E7"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În plus, la construcțiile echipate cu instalații automate de stingere, se asigură posibilități de acționare pentru personalul existent în spațiul protejat și care să poată comanda local desfumarea, înainte de pornirea instalației de stingere.</w:t>
      </w:r>
    </w:p>
    <w:p w14:paraId="01888B34"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9.7.</w:t>
      </w:r>
      <w:r>
        <w:rPr>
          <w:rFonts w:eastAsia="Calibri"/>
          <w:i/>
          <w:sz w:val="24"/>
          <w:szCs w:val="24"/>
          <w:shd w:val="clear" w:color="auto" w:fill="FFFFFF"/>
        </w:rPr>
        <w:t> Dispozitivele de acționare a elementelor de protecție (obturare) a golurilor trebuie să asigure:</w:t>
      </w:r>
    </w:p>
    <w:p w14:paraId="6E510BE6" w14:textId="77777777" w:rsidR="001C08A5" w:rsidRDefault="00000000">
      <w:pPr>
        <w:shd w:val="clear" w:color="auto" w:fill="FFFFFF"/>
        <w:spacing w:after="150"/>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deschiderea golurilor (gurilor) și canalelor din volumul considerat;</w:t>
      </w:r>
    </w:p>
    <w:p w14:paraId="364277BC" w14:textId="77777777" w:rsidR="001C08A5" w:rsidRDefault="00000000">
      <w:pPr>
        <w:shd w:val="clear" w:color="auto" w:fill="FFFFFF"/>
        <w:spacing w:after="150"/>
        <w:ind w:left="720" w:firstLine="720"/>
        <w:jc w:val="both"/>
        <w:rPr>
          <w:rFonts w:eastAsia="Calibri"/>
          <w:i/>
          <w:sz w:val="24"/>
          <w:szCs w:val="24"/>
          <w:shd w:val="clear" w:color="auto" w:fill="FFFFFF"/>
          <w:lang w:val="en-US" w:eastAsia="zh-CN" w:bidi="ar"/>
        </w:rPr>
      </w:pP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oprirea ventilatoarelor care nu sunt prevăzute pentru evacuarea fumului în caz de incendiu (desfumare).</w:t>
      </w:r>
    </w:p>
    <w:p w14:paraId="2EF82C0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9.8.</w:t>
      </w:r>
      <w:r>
        <w:rPr>
          <w:rFonts w:eastAsia="Calibri"/>
          <w:i/>
          <w:sz w:val="24"/>
          <w:szCs w:val="24"/>
          <w:shd w:val="clear" w:color="auto" w:fill="FFFFFF"/>
        </w:rPr>
        <w:t> Comanda manuală centralizată sau locală a dispozitivelor de deschidere poate fi realizată prin sistem mecanic, electric, pneumatic sau hidraulic.</w:t>
      </w:r>
    </w:p>
    <w:p w14:paraId="01BD11DC"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În funcție de tipul construcției și prevederile specifice, comanda manuală centralizată trebuie amplasată la serviciul de pompieri sau la un acces principal al construcției.</w:t>
      </w:r>
    </w:p>
    <w:p w14:paraId="4D62E33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9.9.</w:t>
      </w:r>
      <w:r>
        <w:rPr>
          <w:rFonts w:eastAsia="Calibri"/>
          <w:i/>
          <w:sz w:val="24"/>
          <w:szCs w:val="24"/>
          <w:shd w:val="clear" w:color="auto" w:fill="FFFFFF"/>
        </w:rPr>
        <w:t> Comanda automată a dispozitivelor de protecție a golurilor (gurilor) trebuie asigurată de instalația de semnalizare a incendiilor din încăperea sau spațiul respectiv sau de dispozitive locale (fuzibil), atunci când nu se prevăd instalații de semnalizare.</w:t>
      </w:r>
    </w:p>
    <w:p w14:paraId="65B2801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9.10.</w:t>
      </w:r>
      <w:r>
        <w:rPr>
          <w:rFonts w:eastAsia="Calibri"/>
          <w:i/>
          <w:sz w:val="24"/>
          <w:szCs w:val="24"/>
          <w:shd w:val="clear" w:color="auto" w:fill="FFFFFF"/>
        </w:rPr>
        <w:t> Prevederea dispozitivelor de desfumare, precum și a sistemelor de evacuare a fumului și a gazelor fierbinți produse în caz de incendiu, este obligatorie în situațiile și condițiile stabilite de prezentul normativ.</w:t>
      </w:r>
    </w:p>
    <w:p w14:paraId="0BE96A39" w14:textId="77777777" w:rsidR="001C08A5" w:rsidRDefault="00000000">
      <w:pPr>
        <w:pStyle w:val="Heading4"/>
        <w:rPr>
          <w:sz w:val="24"/>
          <w:szCs w:val="24"/>
        </w:rPr>
      </w:pPr>
      <w:bookmarkStart w:id="11655" w:name="_Toc3573"/>
      <w:bookmarkStart w:id="11656" w:name="_Toc15838"/>
      <w:bookmarkStart w:id="11657" w:name="_Toc6142"/>
      <w:bookmarkStart w:id="11658" w:name="_Toc23074"/>
      <w:bookmarkStart w:id="11659" w:name="_Toc162355667"/>
      <w:bookmarkStart w:id="11660" w:name="_Toc13741"/>
      <w:r>
        <w:rPr>
          <w:sz w:val="24"/>
          <w:szCs w:val="24"/>
        </w:rPr>
        <w:t>Evacuarea fumului (desfumare)</w:t>
      </w:r>
      <w:bookmarkEnd w:id="11655"/>
      <w:bookmarkEnd w:id="11656"/>
      <w:bookmarkEnd w:id="11657"/>
      <w:bookmarkEnd w:id="11658"/>
      <w:bookmarkEnd w:id="11659"/>
      <w:bookmarkEnd w:id="11660"/>
    </w:p>
    <w:p w14:paraId="149CBB17" w14:textId="77777777" w:rsidR="001C08A5" w:rsidRDefault="00000000">
      <w:pPr>
        <w:pStyle w:val="Heading5"/>
        <w:rPr>
          <w:sz w:val="24"/>
          <w:szCs w:val="24"/>
          <w:lang w:val="ro-RO"/>
        </w:rPr>
      </w:pPr>
      <w:bookmarkStart w:id="11661" w:name="_Toc162355668"/>
      <w:bookmarkStart w:id="11662" w:name="_Toc164"/>
      <w:bookmarkStart w:id="11663" w:name="_Toc538"/>
      <w:bookmarkStart w:id="11664" w:name="_Toc28075"/>
      <w:bookmarkStart w:id="11665" w:name="_Toc9278"/>
      <w:bookmarkStart w:id="11666" w:name="_Toc4035"/>
      <w:r>
        <w:rPr>
          <w:sz w:val="24"/>
          <w:szCs w:val="24"/>
          <w:lang w:val="ro-RO"/>
        </w:rPr>
        <w:t>Desfumare prin tiraj natural - organizat</w:t>
      </w:r>
      <w:bookmarkEnd w:id="11661"/>
      <w:bookmarkEnd w:id="11662"/>
      <w:bookmarkEnd w:id="11663"/>
      <w:bookmarkEnd w:id="11664"/>
      <w:bookmarkEnd w:id="11665"/>
      <w:bookmarkEnd w:id="11666"/>
    </w:p>
    <w:p w14:paraId="5BC2258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9.11.</w:t>
      </w:r>
      <w:r>
        <w:rPr>
          <w:rFonts w:eastAsia="Calibri"/>
          <w:i/>
          <w:sz w:val="24"/>
          <w:szCs w:val="24"/>
          <w:shd w:val="clear" w:color="auto" w:fill="FFFFFF"/>
        </w:rPr>
        <w:t> Desfumarea prin tiraj natural - organizat se realizează prin introduceri de aer și evacuări de fum care comunică cu exteriorul direct sau prin canale (ghene), astfel dispuse, dimensionate și realizate încât să asigure circulația aerului în volumul protejat și evacuarea fumului.</w:t>
      </w:r>
    </w:p>
    <w:p w14:paraId="42270436"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9.12.</w:t>
      </w:r>
      <w:r>
        <w:rPr>
          <w:rFonts w:eastAsia="Calibri"/>
          <w:i/>
          <w:sz w:val="24"/>
          <w:szCs w:val="24"/>
          <w:shd w:val="clear" w:color="auto" w:fill="FFFFFF"/>
        </w:rPr>
        <w:t xml:space="preserve"> Introducerea aerului se realizează conform prevederilor Art. </w:t>
      </w:r>
      <w:r>
        <w:rPr>
          <w:rFonts w:eastAsia="Calibri"/>
          <w:b/>
          <w:bCs/>
          <w:i/>
          <w:sz w:val="24"/>
          <w:szCs w:val="24"/>
          <w:shd w:val="clear" w:color="auto" w:fill="FFFFFF"/>
        </w:rPr>
        <w:t>A.10.9.5</w:t>
      </w:r>
      <w:r>
        <w:rPr>
          <w:rFonts w:eastAsia="Calibri"/>
          <w:i/>
          <w:sz w:val="24"/>
          <w:szCs w:val="24"/>
          <w:shd w:val="clear" w:color="auto" w:fill="FFFFFF"/>
        </w:rPr>
        <w:t xml:space="preserve">., iar evacuarea fumului prin goluri în fațade (libere sau închise cu dispozitive care se deschid automat în caz de incendiu), prin canale și ghene, ori prin dispozitive (trape) cu deschidere automată dispuse în acoperiș sau în treimea superioară a pereților exteriori ai încăperii. Dispozitivele de evacuare a fumului dispuse în pereții exteriori, asigură desfumarea pe maximum </w:t>
      </w:r>
      <w:r>
        <w:rPr>
          <w:rFonts w:eastAsia="Calibri"/>
          <w:b/>
          <w:bCs/>
          <w:i/>
          <w:sz w:val="24"/>
          <w:szCs w:val="24"/>
          <w:shd w:val="clear" w:color="auto" w:fill="FFFFFF"/>
        </w:rPr>
        <w:t>30,00 m</w:t>
      </w:r>
      <w:r>
        <w:rPr>
          <w:rFonts w:eastAsia="Calibri"/>
          <w:i/>
          <w:sz w:val="24"/>
          <w:szCs w:val="24"/>
          <w:shd w:val="clear" w:color="auto" w:fill="FFFFFF"/>
        </w:rPr>
        <w:t xml:space="preserve"> adâncime a încăperii (inclusiv în cazul coridoarelor).</w:t>
      </w:r>
    </w:p>
    <w:p w14:paraId="6DD966B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9.13.</w:t>
      </w:r>
      <w:r>
        <w:rPr>
          <w:rFonts w:eastAsia="Calibri"/>
          <w:i/>
          <w:sz w:val="24"/>
          <w:szCs w:val="24"/>
          <w:shd w:val="clear" w:color="auto" w:fill="FFFFFF"/>
        </w:rPr>
        <w:t> Dispozitivele pentru evacuarea fumului în caz de incendiu, vor avea o suprafață liberă normată, raportată la aria încăperii pe care-o protejează, conform prevederilor normativului.</w:t>
      </w:r>
    </w:p>
    <w:p w14:paraId="4846E8F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9.14.</w:t>
      </w:r>
      <w:r>
        <w:rPr>
          <w:rFonts w:eastAsia="Calibri"/>
          <w:i/>
          <w:sz w:val="24"/>
          <w:szCs w:val="24"/>
          <w:shd w:val="clear" w:color="auto" w:fill="FFFFFF"/>
        </w:rPr>
        <w:t> Golurile de ventilare naturală permanent deschise, practicate în acoperiș sau în treimea superioară a pereților exteriori, se însumează la suprafața liberă necesară desfumării.</w:t>
      </w:r>
    </w:p>
    <w:p w14:paraId="63649EF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9.15.</w:t>
      </w:r>
      <w:r>
        <w:rPr>
          <w:rFonts w:eastAsia="Calibri"/>
          <w:i/>
          <w:sz w:val="24"/>
          <w:szCs w:val="24"/>
          <w:shd w:val="clear" w:color="auto" w:fill="FFFFFF"/>
        </w:rPr>
        <w:t xml:space="preserve"> Dispozitivele de protecție a golurilor (gurilor) pentru desfumare (voleți, panouri, trape, etc.) trebuie să fie (în poziție de așteptare) realizate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etanșe la foc pentru cele de introducere a aerului și rezistente la foc pentru cele de evacuare, cu rezistența la foc egală cu a canalului pe care sunt montate. Pentru golurile prevăzute în acoperiș sau în pereții exteriori, aceste condiții nu sunt obligatorii.</w:t>
      </w:r>
    </w:p>
    <w:p w14:paraId="2632D234" w14:textId="77777777" w:rsidR="001C08A5" w:rsidRDefault="00000000">
      <w:pPr>
        <w:pStyle w:val="Heading5"/>
        <w:rPr>
          <w:sz w:val="24"/>
          <w:szCs w:val="24"/>
          <w:lang w:val="ro-RO"/>
        </w:rPr>
      </w:pPr>
      <w:bookmarkStart w:id="11667" w:name="_Toc162355669"/>
      <w:bookmarkStart w:id="11668" w:name="_Toc19642"/>
      <w:bookmarkStart w:id="11669" w:name="_Toc3340"/>
      <w:bookmarkStart w:id="11670" w:name="_Toc2715"/>
      <w:bookmarkStart w:id="11671" w:name="_Toc9512"/>
      <w:bookmarkStart w:id="11672" w:name="_Toc29787"/>
      <w:r>
        <w:rPr>
          <w:sz w:val="24"/>
          <w:szCs w:val="24"/>
          <w:lang w:val="ro-RO"/>
        </w:rPr>
        <w:lastRenderedPageBreak/>
        <w:t>Desfumarea mecanică</w:t>
      </w:r>
      <w:bookmarkEnd w:id="11667"/>
      <w:bookmarkEnd w:id="11668"/>
      <w:bookmarkEnd w:id="11669"/>
      <w:bookmarkEnd w:id="11670"/>
      <w:bookmarkEnd w:id="11671"/>
      <w:bookmarkEnd w:id="11672"/>
    </w:p>
    <w:p w14:paraId="06B6ED6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9.16.</w:t>
      </w:r>
      <w:r>
        <w:rPr>
          <w:rFonts w:eastAsia="Calibri"/>
          <w:i/>
          <w:sz w:val="24"/>
          <w:szCs w:val="24"/>
          <w:shd w:val="clear" w:color="auto" w:fill="FFFFFF"/>
        </w:rPr>
        <w:t> Desfumarea prin ventilare mecanică se asigură prin evacuarea mecanică a fumului și introducerea naturală sau mecanică a aerului, astfel încât să asigure circulația aerului în spațiul protejat și evacuarea fumului. Desfumarea mecanică poate fi asigurată și prin realizarea suprapresiunii în spațiul protejat de fum (încăperi tampon, degajamente protejate, case de scări, etc).</w:t>
      </w:r>
    </w:p>
    <w:p w14:paraId="32BD8FE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9.17.</w:t>
      </w:r>
      <w:r>
        <w:rPr>
          <w:rFonts w:eastAsia="Calibri"/>
          <w:i/>
          <w:sz w:val="24"/>
          <w:szCs w:val="24"/>
          <w:shd w:val="clear" w:color="auto" w:fill="FFFFFF"/>
        </w:rPr>
        <w:t xml:space="preserve"> Introducerea naturală a aerului se realizează conform prevederilor Art. </w:t>
      </w:r>
      <w:r>
        <w:rPr>
          <w:rFonts w:eastAsia="Calibri"/>
          <w:b/>
          <w:bCs/>
          <w:i/>
          <w:sz w:val="24"/>
          <w:szCs w:val="24"/>
          <w:shd w:val="clear" w:color="auto" w:fill="FFFFFF"/>
        </w:rPr>
        <w:t>A.10.9.5</w:t>
      </w:r>
      <w:r>
        <w:rPr>
          <w:rFonts w:eastAsia="Calibri"/>
          <w:i/>
          <w:sz w:val="24"/>
          <w:szCs w:val="24"/>
          <w:shd w:val="clear" w:color="auto" w:fill="FFFFFF"/>
        </w:rPr>
        <w:t>., iar cea mecanică prin guri de introducere racordate prin canale (ghene) la un ventilator de introducere.</w:t>
      </w:r>
    </w:p>
    <w:p w14:paraId="2D479AA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9.18.</w:t>
      </w:r>
      <w:r>
        <w:rPr>
          <w:rFonts w:eastAsia="Calibri"/>
          <w:i/>
          <w:sz w:val="24"/>
          <w:szCs w:val="24"/>
          <w:shd w:val="clear" w:color="auto" w:fill="FFFFFF"/>
        </w:rPr>
        <w:t> Evacuarea fumului se asigură prin guri racordate prin canale (ghene), la ventilatorul de evacuare (extragere).</w:t>
      </w:r>
    </w:p>
    <w:p w14:paraId="2F05599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9.19.</w:t>
      </w:r>
      <w:r>
        <w:rPr>
          <w:rFonts w:eastAsia="Calibri"/>
          <w:i/>
          <w:sz w:val="24"/>
          <w:szCs w:val="24"/>
          <w:shd w:val="clear" w:color="auto" w:fill="FFFFFF"/>
        </w:rPr>
        <w:t xml:space="preserve"> Canalele (ghenele) trebuie să îndeplinească, de regulă, condițiile prevăzute la Art. </w:t>
      </w:r>
      <w:r>
        <w:rPr>
          <w:rFonts w:eastAsia="Calibri"/>
          <w:b/>
          <w:bCs/>
          <w:i/>
          <w:sz w:val="24"/>
          <w:szCs w:val="24"/>
          <w:shd w:val="clear" w:color="auto" w:fill="FFFFFF"/>
        </w:rPr>
        <w:t>A.10.9.3</w:t>
      </w:r>
      <w:r>
        <w:rPr>
          <w:rFonts w:eastAsia="Calibri"/>
          <w:i/>
          <w:sz w:val="24"/>
          <w:szCs w:val="24"/>
          <w:shd w:val="clear" w:color="auto" w:fill="FFFFFF"/>
        </w:rPr>
        <w:t>. și în plus să fie etanșe la aer.</w:t>
      </w:r>
    </w:p>
    <w:p w14:paraId="7B4B4DB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9.20.</w:t>
      </w:r>
      <w:r>
        <w:rPr>
          <w:rFonts w:eastAsia="Calibri"/>
          <w:i/>
          <w:sz w:val="24"/>
          <w:szCs w:val="24"/>
          <w:shd w:val="clear" w:color="auto" w:fill="FFFFFF"/>
        </w:rPr>
        <w:t xml:space="preserve"> Viteza aerului la gurile de introducere nu va depăși </w:t>
      </w:r>
      <w:r>
        <w:rPr>
          <w:rFonts w:eastAsia="Calibri"/>
          <w:b/>
          <w:bCs/>
          <w:i/>
          <w:sz w:val="24"/>
          <w:szCs w:val="24"/>
          <w:shd w:val="clear" w:color="auto" w:fill="FFFFFF"/>
        </w:rPr>
        <w:t>5 m/s</w:t>
      </w:r>
      <w:r>
        <w:rPr>
          <w:rFonts w:eastAsia="Calibri"/>
          <w:i/>
          <w:sz w:val="24"/>
          <w:szCs w:val="24"/>
          <w:shd w:val="clear" w:color="auto" w:fill="FFFFFF"/>
        </w:rPr>
        <w:t xml:space="preserve">, iar gurile de introducere mecanică a aerului trebuie să asigure minimum </w:t>
      </w:r>
      <w:r>
        <w:rPr>
          <w:rFonts w:eastAsia="Calibri"/>
          <w:b/>
          <w:bCs/>
          <w:i/>
          <w:sz w:val="24"/>
          <w:szCs w:val="24"/>
          <w:shd w:val="clear" w:color="auto" w:fill="FFFFFF"/>
        </w:rPr>
        <w:t>60%</w:t>
      </w:r>
      <w:r>
        <w:rPr>
          <w:rFonts w:eastAsia="Calibri"/>
          <w:i/>
          <w:sz w:val="24"/>
          <w:szCs w:val="24"/>
          <w:shd w:val="clear" w:color="auto" w:fill="FFFFFF"/>
        </w:rPr>
        <w:t xml:space="preserve"> din debitul evacuat.</w:t>
      </w:r>
    </w:p>
    <w:p w14:paraId="12F197D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9.21.</w:t>
      </w:r>
      <w:r>
        <w:rPr>
          <w:rFonts w:eastAsia="Calibri"/>
          <w:i/>
          <w:sz w:val="24"/>
          <w:szCs w:val="24"/>
          <w:shd w:val="clear" w:color="auto" w:fill="FFFFFF"/>
        </w:rPr>
        <w:t xml:space="preserve"> Gurile de desfumare trebuie să fie protejate cu voleți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etanși la foc la introduceri și rezistenți la foc la evacuări în poziție de așteptare, cu rezistența egală cu a canalului (ghenei). Nu este obligatorie prevederea voleților atunci când canalele (ghenele) sunt aferente unui singur nivel construit.</w:t>
      </w:r>
    </w:p>
    <w:p w14:paraId="5959C5BA"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9.22.</w:t>
      </w:r>
      <w:r>
        <w:rPr>
          <w:rFonts w:eastAsia="Calibri"/>
          <w:i/>
          <w:sz w:val="24"/>
          <w:szCs w:val="24"/>
          <w:shd w:val="clear" w:color="auto" w:fill="FFFFFF"/>
        </w:rPr>
        <w:t> Raportul dintra latura mare și cea mică a unei guri (deschideri) de introducere sau evacuare va fi de cel mult 2.</w:t>
      </w:r>
    </w:p>
    <w:p w14:paraId="64034F21"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9.23.</w:t>
      </w:r>
      <w:r>
        <w:rPr>
          <w:rFonts w:eastAsia="Calibri"/>
          <w:i/>
          <w:sz w:val="24"/>
          <w:szCs w:val="24"/>
          <w:shd w:val="clear" w:color="auto" w:fill="FFFFFF"/>
        </w:rPr>
        <w:t xml:space="preserve"> Dispozitivele de acționare a voleților de protecție se realizează conform prevederilor Art. </w:t>
      </w:r>
      <w:r>
        <w:rPr>
          <w:rFonts w:eastAsia="Calibri"/>
          <w:b/>
          <w:bCs/>
          <w:i/>
          <w:sz w:val="24"/>
          <w:szCs w:val="24"/>
          <w:shd w:val="clear" w:color="auto" w:fill="FFFFFF"/>
        </w:rPr>
        <w:t>A.10.9.6</w:t>
      </w:r>
      <w:r>
        <w:rPr>
          <w:rFonts w:eastAsia="Calibri"/>
          <w:i/>
          <w:sz w:val="24"/>
          <w:szCs w:val="24"/>
          <w:shd w:val="clear" w:color="auto" w:fill="FFFFFF"/>
        </w:rPr>
        <w:t xml:space="preserve">. la Art. </w:t>
      </w:r>
      <w:r>
        <w:rPr>
          <w:rFonts w:eastAsia="Calibri"/>
          <w:b/>
          <w:bCs/>
          <w:i/>
          <w:sz w:val="24"/>
          <w:szCs w:val="24"/>
          <w:shd w:val="clear" w:color="auto" w:fill="FFFFFF"/>
        </w:rPr>
        <w:t>A.10.9.9</w:t>
      </w:r>
      <w:r>
        <w:rPr>
          <w:rFonts w:eastAsia="Calibri"/>
          <w:i/>
          <w:sz w:val="24"/>
          <w:szCs w:val="24"/>
          <w:shd w:val="clear" w:color="auto" w:fill="FFFFFF"/>
        </w:rPr>
        <w:t>. și trebuie să asigure punerea automată în funcțiune a ventilatoarelor de desfumare.</w:t>
      </w:r>
    </w:p>
    <w:p w14:paraId="6DFF87AB"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9.24.</w:t>
      </w:r>
      <w:r>
        <w:rPr>
          <w:rFonts w:eastAsia="Calibri"/>
          <w:i/>
          <w:sz w:val="24"/>
          <w:szCs w:val="24"/>
          <w:shd w:val="clear" w:color="auto" w:fill="FFFFFF"/>
        </w:rPr>
        <w:t xml:space="preserve"> Ventilatoarele de evacuare a fumului trebuie astfel realizate încât să poată funcționa la temperatura de </w:t>
      </w:r>
      <w:r>
        <w:rPr>
          <w:rFonts w:eastAsia="Calibri"/>
          <w:b/>
          <w:bCs/>
          <w:i/>
          <w:sz w:val="24"/>
          <w:szCs w:val="24"/>
          <w:shd w:val="clear" w:color="auto" w:fill="FFFFFF"/>
        </w:rPr>
        <w:t>400°C</w:t>
      </w:r>
      <w:r>
        <w:rPr>
          <w:rFonts w:eastAsia="Calibri"/>
          <w:i/>
          <w:sz w:val="24"/>
          <w:szCs w:val="24"/>
          <w:shd w:val="clear" w:color="auto" w:fill="FFFFFF"/>
        </w:rPr>
        <w:t xml:space="preserve"> a fumului, cel puțin o oră. Legătura dintre ventilator și coloană (ghenă), se realizează din materiale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w:t>
      </w:r>
    </w:p>
    <w:p w14:paraId="7F048D6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9.25.</w:t>
      </w:r>
      <w:r>
        <w:rPr>
          <w:rFonts w:eastAsia="Calibri"/>
          <w:i/>
          <w:sz w:val="24"/>
          <w:szCs w:val="24"/>
          <w:shd w:val="clear" w:color="auto" w:fill="FFFFFF"/>
        </w:rPr>
        <w:t> Starea de funcționare sau nefuncționare a ventilatoarelor aferente desfumării va fi semnalizată la serviciul de pompieri sau în alte locuri unde permanența este asigurată.</w:t>
      </w:r>
    </w:p>
    <w:p w14:paraId="6CB2746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9.26.</w:t>
      </w:r>
      <w:r>
        <w:rPr>
          <w:rFonts w:eastAsia="Calibri"/>
          <w:i/>
          <w:sz w:val="24"/>
          <w:szCs w:val="24"/>
          <w:shd w:val="clear" w:color="auto" w:fill="FFFFFF"/>
        </w:rPr>
        <w:t> Instalațiile, inclusiv ventilatoarele de desfumare, trebuie să fie alimentate electric dintr-o sursă normală și o sursă electrică de rezervă.</w:t>
      </w:r>
    </w:p>
    <w:p w14:paraId="15294DBF"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9.27.</w:t>
      </w:r>
      <w:r>
        <w:rPr>
          <w:rFonts w:eastAsia="Calibri"/>
          <w:i/>
          <w:sz w:val="24"/>
          <w:szCs w:val="24"/>
          <w:shd w:val="clear" w:color="auto" w:fill="FFFFFF"/>
        </w:rPr>
        <w:t> Sistemul de ventilare normală sau de condiționare a unei construcții existente, poate fi utilizat și pentru evacuarea fumului produs în caz de incendiu (desfumare), dacă îndeplinește toate condițiile specifice desfumării.</w:t>
      </w:r>
    </w:p>
    <w:p w14:paraId="6C984B43" w14:textId="77777777" w:rsidR="001C08A5" w:rsidRDefault="00000000">
      <w:pPr>
        <w:pStyle w:val="Heading5"/>
        <w:rPr>
          <w:sz w:val="24"/>
          <w:szCs w:val="24"/>
          <w:lang w:val="ro-RO"/>
        </w:rPr>
      </w:pPr>
      <w:bookmarkStart w:id="11673" w:name="_Toc19923"/>
      <w:bookmarkStart w:id="11674" w:name="_Toc53"/>
      <w:bookmarkStart w:id="11675" w:name="_Toc13532"/>
      <w:bookmarkStart w:id="11676" w:name="_Toc162355670"/>
      <w:bookmarkStart w:id="11677" w:name="_Toc30892"/>
      <w:bookmarkStart w:id="11678" w:name="_Toc31090"/>
      <w:r>
        <w:rPr>
          <w:sz w:val="24"/>
          <w:szCs w:val="24"/>
          <w:lang w:val="ro-RO"/>
        </w:rPr>
        <w:t>Condiții specifice de desfumare</w:t>
      </w:r>
      <w:bookmarkEnd w:id="11673"/>
      <w:bookmarkEnd w:id="11674"/>
      <w:bookmarkEnd w:id="11675"/>
      <w:bookmarkEnd w:id="11676"/>
      <w:bookmarkEnd w:id="11677"/>
      <w:bookmarkEnd w:id="11678"/>
    </w:p>
    <w:p w14:paraId="298C2FFE" w14:textId="77777777" w:rsidR="001C08A5" w:rsidRDefault="00000000">
      <w:pPr>
        <w:pStyle w:val="Heading6"/>
        <w:rPr>
          <w:i/>
          <w:iCs/>
        </w:rPr>
      </w:pPr>
      <w:bookmarkStart w:id="11679" w:name="_Toc162355671"/>
      <w:bookmarkStart w:id="11680" w:name="_Toc11607"/>
      <w:bookmarkStart w:id="11681" w:name="_Toc4333"/>
      <w:bookmarkStart w:id="11682" w:name="_Toc325"/>
      <w:bookmarkStart w:id="11683" w:name="_Toc24674"/>
      <w:bookmarkStart w:id="11684" w:name="_Toc29310"/>
      <w:r>
        <w:rPr>
          <w:i/>
          <w:iCs/>
        </w:rPr>
        <w:t>Case de scări închise</w:t>
      </w:r>
      <w:bookmarkEnd w:id="11679"/>
      <w:bookmarkEnd w:id="11680"/>
      <w:bookmarkEnd w:id="11681"/>
      <w:bookmarkEnd w:id="11682"/>
      <w:bookmarkEnd w:id="11683"/>
      <w:bookmarkEnd w:id="11684"/>
    </w:p>
    <w:p w14:paraId="0219F76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9.28.</w:t>
      </w:r>
      <w:r>
        <w:rPr>
          <w:rFonts w:eastAsia="Calibri"/>
          <w:i/>
          <w:sz w:val="24"/>
          <w:szCs w:val="24"/>
          <w:shd w:val="clear" w:color="auto" w:fill="FFFFFF"/>
        </w:rPr>
        <w:t> Pentru evitarea inundării cu fum a caselor de scări de evacuare închise, desfumarea acestora se poate realiza prin tiraj natural - organizat sau prin punerea în suprapresiune față de încăperile adiacente cu care comunică. Evacuarea mecanică a fumului din casele de scări nu este admisă.</w:t>
      </w:r>
    </w:p>
    <w:p w14:paraId="39359D0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9.29.</w:t>
      </w:r>
      <w:r>
        <w:rPr>
          <w:rFonts w:eastAsia="Calibri"/>
          <w:i/>
          <w:sz w:val="24"/>
          <w:szCs w:val="24"/>
          <w:shd w:val="clear" w:color="auto" w:fill="FFFFFF"/>
        </w:rPr>
        <w:t> Desfumarea prin tiraj natural - organizat a casei de scări închise, se realizează prin deschiderea automată și manuală a dispozitivului de evacuare a fumului (amplasat în treimea superioară a ultimului nivel al casei scării) și a gurii (deschiderii) de introducere a aerului (prevăzută în partea de jos a casei scării).</w:t>
      </w:r>
    </w:p>
    <w:p w14:paraId="58D641F4"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9.30.</w:t>
      </w:r>
      <w:r>
        <w:rPr>
          <w:rFonts w:eastAsia="Calibri"/>
          <w:i/>
          <w:sz w:val="24"/>
          <w:szCs w:val="24"/>
          <w:shd w:val="clear" w:color="auto" w:fill="FFFFFF"/>
        </w:rPr>
        <w:t xml:space="preserve"> Împiedicarea pătrunderii fumului în casele de scări de evacuare prin suprapresiune față de încăperile învecinate cu care comunică, se realizează prin introducerea mecanică a aerului în </w:t>
      </w:r>
      <w:r>
        <w:rPr>
          <w:rFonts w:eastAsia="Calibri"/>
          <w:i/>
          <w:sz w:val="24"/>
          <w:szCs w:val="24"/>
          <w:shd w:val="clear" w:color="auto" w:fill="FFFFFF"/>
        </w:rPr>
        <w:lastRenderedPageBreak/>
        <w:t xml:space="preserve">scară, ori prin evacuarea mecanică a fumului din încăperile adiacente incendiate cu care comunică sau prin combinarea celor două metode (conform </w:t>
      </w:r>
      <w:r>
        <w:rPr>
          <w:rFonts w:eastAsia="Calibri"/>
          <w:iCs/>
          <w:sz w:val="22"/>
          <w:szCs w:val="22"/>
          <w:shd w:val="clear" w:color="auto" w:fill="FFFFFF"/>
        </w:rPr>
        <w:t>Figura 277</w:t>
      </w:r>
      <w:r>
        <w:rPr>
          <w:rFonts w:eastAsia="Calibri"/>
          <w:i/>
          <w:sz w:val="24"/>
          <w:szCs w:val="24"/>
          <w:shd w:val="clear" w:color="auto" w:fill="FFFFFF"/>
        </w:rPr>
        <w:t xml:space="preserve">). Suprapresiunea realizată la ușile închise ale casei de scări, va fi cuprinsă între </w:t>
      </w:r>
      <w:r>
        <w:rPr>
          <w:rFonts w:eastAsia="Calibri"/>
          <w:b/>
          <w:bCs/>
          <w:i/>
          <w:sz w:val="24"/>
          <w:szCs w:val="24"/>
          <w:shd w:val="clear" w:color="auto" w:fill="FFFFFF"/>
        </w:rPr>
        <w:t>20</w:t>
      </w:r>
      <w:r>
        <w:rPr>
          <w:rFonts w:eastAsia="Calibri"/>
          <w:i/>
          <w:sz w:val="24"/>
          <w:szCs w:val="24"/>
          <w:shd w:val="clear" w:color="auto" w:fill="FFFFFF"/>
        </w:rPr>
        <w:t xml:space="preserve"> și </w:t>
      </w:r>
      <w:r>
        <w:rPr>
          <w:rFonts w:eastAsia="Calibri"/>
          <w:b/>
          <w:bCs/>
          <w:i/>
          <w:sz w:val="24"/>
          <w:szCs w:val="24"/>
          <w:shd w:val="clear" w:color="auto" w:fill="FFFFFF"/>
        </w:rPr>
        <w:t>80 Pa</w:t>
      </w:r>
      <w:r>
        <w:rPr>
          <w:rFonts w:eastAsia="Calibri"/>
          <w:i/>
          <w:sz w:val="24"/>
          <w:szCs w:val="24"/>
          <w:shd w:val="clear" w:color="auto" w:fill="FFFFFF"/>
        </w:rPr>
        <w:t xml:space="preserve">. Debitul trebuie să asigure o viteză de cel puțin </w:t>
      </w:r>
      <w:r>
        <w:rPr>
          <w:rFonts w:eastAsia="Calibri"/>
          <w:b/>
          <w:bCs/>
          <w:i/>
          <w:sz w:val="24"/>
          <w:szCs w:val="24"/>
          <w:shd w:val="clear" w:color="auto" w:fill="FFFFFF"/>
        </w:rPr>
        <w:t>0,5m/s</w:t>
      </w:r>
      <w:r>
        <w:rPr>
          <w:rFonts w:eastAsia="Calibri"/>
          <w:i/>
          <w:sz w:val="24"/>
          <w:szCs w:val="24"/>
          <w:shd w:val="clear" w:color="auto" w:fill="FFFFFF"/>
        </w:rPr>
        <w:t xml:space="preserve"> în dreptul ușilor de acces la nivelul incendiat, considerând ușile închise la celelalte niveluri. La partea superioară, casa de scări trebuie să aibă dispozitiv de evacuare a fumului (trapa) cu aria liberă determinată conform normativului, dar cel puțin </w:t>
      </w:r>
      <w:r>
        <w:rPr>
          <w:rFonts w:eastAsia="Calibri"/>
          <w:b/>
          <w:bCs/>
          <w:i/>
          <w:sz w:val="24"/>
          <w:szCs w:val="24"/>
          <w:shd w:val="clear" w:color="auto" w:fill="FFFFFF"/>
        </w:rPr>
        <w:t>1 m</w:t>
      </w:r>
      <w:r>
        <w:rPr>
          <w:rFonts w:eastAsia="Calibri"/>
          <w:b/>
          <w:bCs/>
          <w:i/>
          <w:sz w:val="24"/>
          <w:szCs w:val="24"/>
          <w:shd w:val="clear" w:color="auto" w:fill="FFFFFF"/>
          <w:vertAlign w:val="superscript"/>
        </w:rPr>
        <w:t>2</w:t>
      </w:r>
      <w:r>
        <w:rPr>
          <w:rFonts w:eastAsia="Calibri"/>
          <w:i/>
          <w:sz w:val="24"/>
          <w:szCs w:val="24"/>
          <w:shd w:val="clear" w:color="auto" w:fill="FFFFFF"/>
        </w:rPr>
        <w:t>, având asigurate posibilități de deschidere prin comandă de la nivelul de acces în scară. Deschiderea dispozitivului (trapei) trebuie să poată fi comandată și de la serviciul de pompieri. Atunci când accesele la casele de scări sunt protejate cu încăperi tampon, se asigură suprapresiune în încăperile tampon.</w:t>
      </w:r>
    </w:p>
    <w:p w14:paraId="2EAD1CC3"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9.31.</w:t>
      </w:r>
      <w:r>
        <w:rPr>
          <w:rFonts w:eastAsia="Calibri"/>
          <w:i/>
          <w:sz w:val="24"/>
          <w:szCs w:val="24"/>
          <w:shd w:val="clear" w:color="auto" w:fill="FFFFFF"/>
        </w:rPr>
        <w:t> Pentru evitarea inundării cu fum a circulațiilor comune orizontale închise ale construcțiilor existente, se poate asigura punerea în suprapresiune a acestora față de încăperile adiacente cu care comunică, sau desfumarea lor prin tiraj natural - organizat ori ventilare mecanică.</w:t>
      </w:r>
    </w:p>
    <w:p w14:paraId="423526A1" w14:textId="77777777" w:rsidR="001C08A5" w:rsidRDefault="00000000">
      <w:pPr>
        <w:shd w:val="clear" w:color="auto" w:fill="FFFFFF"/>
        <w:spacing w:after="150"/>
        <w:jc w:val="both"/>
        <w:rPr>
          <w:rFonts w:eastAsia="Calibri"/>
          <w:i/>
          <w:sz w:val="24"/>
          <w:szCs w:val="24"/>
          <w:shd w:val="clear" w:color="auto" w:fill="FFFFFF"/>
        </w:rPr>
      </w:pPr>
      <w:r>
        <w:rPr>
          <w:rFonts w:eastAsia="Calibri"/>
          <w:b/>
          <w:i/>
          <w:sz w:val="24"/>
          <w:szCs w:val="24"/>
          <w:shd w:val="clear" w:color="auto" w:fill="FFFFFF"/>
        </w:rPr>
        <w:t xml:space="preserve">A.10. </w:t>
      </w:r>
      <w:r>
        <w:rPr>
          <w:rFonts w:eastAsia="Calibri"/>
          <w:b/>
          <w:bCs/>
          <w:i/>
          <w:sz w:val="24"/>
          <w:szCs w:val="24"/>
          <w:shd w:val="clear" w:color="auto" w:fill="FFFFFF"/>
        </w:rPr>
        <w:t>9.32.</w:t>
      </w:r>
      <w:r>
        <w:rPr>
          <w:rFonts w:eastAsia="Calibri"/>
          <w:i/>
          <w:sz w:val="24"/>
          <w:szCs w:val="24"/>
          <w:shd w:val="clear" w:color="auto" w:fill="FFFFFF"/>
        </w:rPr>
        <w:t> Asigurarea evacuării fumului din circulațiile comune orizontale închise este obligatorie în situațiile stabilite în normativ.</w:t>
      </w:r>
    </w:p>
    <w:p w14:paraId="0C17B466" w14:textId="77777777" w:rsidR="001C08A5" w:rsidRDefault="00000000">
      <w:pPr>
        <w:shd w:val="clear" w:color="auto" w:fill="FFFFFF"/>
        <w:spacing w:after="150"/>
        <w:jc w:val="center"/>
        <w:rPr>
          <w:rFonts w:eastAsia="Calibri"/>
          <w:i/>
          <w:sz w:val="24"/>
          <w:szCs w:val="24"/>
          <w:shd w:val="clear" w:color="auto" w:fill="FFFFFF"/>
        </w:rPr>
      </w:pPr>
      <w:r>
        <w:rPr>
          <w:rFonts w:eastAsia="Calibri"/>
          <w:i/>
          <w:noProof/>
          <w:sz w:val="24"/>
          <w:szCs w:val="24"/>
          <w:shd w:val="clear" w:color="auto" w:fill="FFFFFF"/>
          <w:lang w:eastAsia="ro-RO"/>
        </w:rPr>
        <w:drawing>
          <wp:inline distT="0" distB="0" distL="114300" distR="114300" wp14:anchorId="4AC1605E" wp14:editId="779AC93E">
            <wp:extent cx="3761105" cy="2766060"/>
            <wp:effectExtent l="0" t="0" r="10795" b="15240"/>
            <wp:docPr id="576" name="Picture 51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515" descr="Untitled"/>
                    <pic:cNvPicPr>
                      <a:picLocks noChangeAspect="1"/>
                    </pic:cNvPicPr>
                  </pic:nvPicPr>
                  <pic:blipFill>
                    <a:blip r:embed="rId540"/>
                    <a:srcRect l="5510" t="5080" r="15417"/>
                    <a:stretch>
                      <a:fillRect/>
                    </a:stretch>
                  </pic:blipFill>
                  <pic:spPr>
                    <a:xfrm>
                      <a:off x="0" y="0"/>
                      <a:ext cx="3797757" cy="2793627"/>
                    </a:xfrm>
                    <a:prstGeom prst="rect">
                      <a:avLst/>
                    </a:prstGeom>
                    <a:noFill/>
                    <a:ln>
                      <a:noFill/>
                    </a:ln>
                  </pic:spPr>
                </pic:pic>
              </a:graphicData>
            </a:graphic>
          </wp:inline>
        </w:drawing>
      </w:r>
    </w:p>
    <w:p w14:paraId="04707298" w14:textId="77777777" w:rsidR="001C08A5" w:rsidRDefault="00000000">
      <w:pPr>
        <w:shd w:val="clear" w:color="auto" w:fill="FFFFFF"/>
        <w:spacing w:after="150"/>
        <w:jc w:val="center"/>
        <w:rPr>
          <w:rFonts w:eastAsia="Calibri"/>
          <w:b/>
          <w:bCs/>
          <w:i/>
          <w:sz w:val="24"/>
          <w:szCs w:val="24"/>
          <w:shd w:val="clear" w:color="auto" w:fill="FFFFFF"/>
        </w:rPr>
      </w:pPr>
      <w:r>
        <w:rPr>
          <w:rFonts w:eastAsia="Calibri"/>
          <w:b/>
          <w:bCs/>
          <w:i/>
          <w:sz w:val="24"/>
          <w:szCs w:val="24"/>
          <w:shd w:val="clear" w:color="auto" w:fill="FFFFFF"/>
        </w:rPr>
        <w:t>Varianta a)</w:t>
      </w:r>
    </w:p>
    <w:p w14:paraId="68E8D3E9" w14:textId="77777777" w:rsidR="001C08A5" w:rsidRDefault="00000000">
      <w:pPr>
        <w:shd w:val="clear" w:color="auto" w:fill="FFFFFF"/>
        <w:spacing w:after="150"/>
        <w:jc w:val="center"/>
        <w:rPr>
          <w:rFonts w:eastAsia="Calibri"/>
          <w:i/>
          <w:sz w:val="24"/>
          <w:szCs w:val="24"/>
          <w:shd w:val="clear" w:color="auto" w:fill="FFFFFF"/>
        </w:rPr>
      </w:pPr>
      <w:r>
        <w:rPr>
          <w:rFonts w:eastAsia="Calibri"/>
          <w:i/>
          <w:sz w:val="24"/>
          <w:szCs w:val="24"/>
          <w:shd w:val="clear" w:color="auto" w:fill="FFFFFF"/>
        </w:rPr>
        <w:t xml:space="preserve">  </w:t>
      </w:r>
      <w:r>
        <w:rPr>
          <w:rFonts w:eastAsia="Calibri"/>
          <w:i/>
          <w:noProof/>
          <w:sz w:val="24"/>
          <w:szCs w:val="24"/>
          <w:shd w:val="clear" w:color="auto" w:fill="FFFFFF"/>
          <w:lang w:eastAsia="ro-RO"/>
        </w:rPr>
        <w:drawing>
          <wp:inline distT="0" distB="0" distL="114300" distR="114300" wp14:anchorId="08273A3A" wp14:editId="63F1695B">
            <wp:extent cx="3449955" cy="2813685"/>
            <wp:effectExtent l="0" t="0" r="17145" b="5715"/>
            <wp:docPr id="577" name="Picture 516"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Picture 516" descr="Untitled2"/>
                    <pic:cNvPicPr>
                      <a:picLocks noChangeAspect="1"/>
                    </pic:cNvPicPr>
                  </pic:nvPicPr>
                  <pic:blipFill>
                    <a:blip r:embed="rId541"/>
                    <a:srcRect l="9915" r="15854"/>
                    <a:stretch>
                      <a:fillRect/>
                    </a:stretch>
                  </pic:blipFill>
                  <pic:spPr>
                    <a:xfrm>
                      <a:off x="0" y="0"/>
                      <a:ext cx="3483188" cy="2840626"/>
                    </a:xfrm>
                    <a:prstGeom prst="rect">
                      <a:avLst/>
                    </a:prstGeom>
                    <a:noFill/>
                    <a:ln>
                      <a:noFill/>
                    </a:ln>
                  </pic:spPr>
                </pic:pic>
              </a:graphicData>
            </a:graphic>
          </wp:inline>
        </w:drawing>
      </w:r>
      <w:r>
        <w:rPr>
          <w:rFonts w:eastAsia="Calibri"/>
          <w:i/>
          <w:sz w:val="24"/>
          <w:szCs w:val="24"/>
          <w:shd w:val="clear" w:color="auto" w:fill="FFFFFF"/>
        </w:rPr>
        <w:t xml:space="preserve">      </w:t>
      </w:r>
    </w:p>
    <w:p w14:paraId="47166F4E" w14:textId="77777777" w:rsidR="001C08A5" w:rsidRDefault="00000000">
      <w:pPr>
        <w:shd w:val="clear" w:color="auto" w:fill="FFFFFF"/>
        <w:spacing w:after="150"/>
        <w:jc w:val="center"/>
        <w:rPr>
          <w:rFonts w:eastAsia="Calibri"/>
          <w:b/>
          <w:bCs/>
          <w:i/>
          <w:sz w:val="24"/>
          <w:szCs w:val="24"/>
          <w:shd w:val="clear" w:color="auto" w:fill="FFFFFF"/>
        </w:rPr>
      </w:pPr>
      <w:r>
        <w:rPr>
          <w:rFonts w:eastAsia="Calibri"/>
          <w:b/>
          <w:bCs/>
          <w:i/>
          <w:sz w:val="24"/>
          <w:szCs w:val="24"/>
          <w:shd w:val="clear" w:color="auto" w:fill="FFFFFF"/>
        </w:rPr>
        <w:t>Varianta b)</w:t>
      </w:r>
    </w:p>
    <w:p w14:paraId="42B8DF20" w14:textId="77777777" w:rsidR="001C08A5" w:rsidRDefault="00000000">
      <w:pPr>
        <w:shd w:val="clear" w:color="auto" w:fill="FFFFFF"/>
        <w:spacing w:after="150"/>
        <w:jc w:val="center"/>
        <w:rPr>
          <w:rFonts w:eastAsia="Calibri"/>
          <w:i/>
          <w:sz w:val="24"/>
          <w:szCs w:val="24"/>
          <w:shd w:val="clear" w:color="auto" w:fill="FFFFFF"/>
        </w:rPr>
      </w:pPr>
      <w:r>
        <w:rPr>
          <w:rFonts w:eastAsia="Calibri"/>
          <w:i/>
          <w:noProof/>
          <w:sz w:val="24"/>
          <w:szCs w:val="24"/>
          <w:shd w:val="clear" w:color="auto" w:fill="FFFFFF"/>
          <w:lang w:eastAsia="ro-RO"/>
        </w:rPr>
        <w:lastRenderedPageBreak/>
        <w:drawing>
          <wp:inline distT="0" distB="0" distL="114300" distR="114300" wp14:anchorId="3F63C14B" wp14:editId="70FB3009">
            <wp:extent cx="3761105" cy="2769235"/>
            <wp:effectExtent l="0" t="0" r="10795" b="12065"/>
            <wp:docPr id="578" name="Picture 517"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517" descr="Untitled3"/>
                    <pic:cNvPicPr>
                      <a:picLocks noChangeAspect="1"/>
                    </pic:cNvPicPr>
                  </pic:nvPicPr>
                  <pic:blipFill>
                    <a:blip r:embed="rId542"/>
                    <a:srcRect l="13020" t="1186" r="8067" b="1204"/>
                    <a:stretch>
                      <a:fillRect/>
                    </a:stretch>
                  </pic:blipFill>
                  <pic:spPr>
                    <a:xfrm>
                      <a:off x="0" y="0"/>
                      <a:ext cx="3773012" cy="2778128"/>
                    </a:xfrm>
                    <a:prstGeom prst="rect">
                      <a:avLst/>
                    </a:prstGeom>
                    <a:noFill/>
                    <a:ln>
                      <a:noFill/>
                    </a:ln>
                  </pic:spPr>
                </pic:pic>
              </a:graphicData>
            </a:graphic>
          </wp:inline>
        </w:drawing>
      </w:r>
    </w:p>
    <w:p w14:paraId="495495A8" w14:textId="77777777" w:rsidR="001C08A5" w:rsidRDefault="00000000">
      <w:pPr>
        <w:shd w:val="clear" w:color="auto" w:fill="FFFFFF"/>
        <w:spacing w:after="150"/>
        <w:jc w:val="center"/>
        <w:rPr>
          <w:rFonts w:eastAsia="Calibri"/>
          <w:b/>
          <w:bCs/>
          <w:i/>
          <w:sz w:val="24"/>
          <w:szCs w:val="24"/>
          <w:shd w:val="clear" w:color="auto" w:fill="FFFFFF"/>
        </w:rPr>
      </w:pPr>
      <w:r>
        <w:rPr>
          <w:rFonts w:eastAsia="Calibri"/>
          <w:b/>
          <w:bCs/>
          <w:i/>
          <w:sz w:val="24"/>
          <w:szCs w:val="24"/>
          <w:shd w:val="clear" w:color="auto" w:fill="FFFFFF"/>
        </w:rPr>
        <w:t>Varianta c)</w:t>
      </w:r>
    </w:p>
    <w:p w14:paraId="4CFE2F5D" w14:textId="77777777" w:rsidR="001C08A5" w:rsidRDefault="00000000">
      <w:pPr>
        <w:pStyle w:val="BodyText"/>
        <w:jc w:val="center"/>
      </w:pPr>
      <w:r>
        <w:rPr>
          <w:iCs/>
        </w:rPr>
        <w:t xml:space="preserve">Figura 277 - </w:t>
      </w:r>
      <w:r>
        <w:t>Asigurarea evacuării fumului în construcții existente</w:t>
      </w:r>
    </w:p>
    <w:p w14:paraId="4E6BDAC0" w14:textId="77777777" w:rsidR="001C08A5" w:rsidRDefault="00000000">
      <w:pPr>
        <w:pStyle w:val="Heading6"/>
        <w:rPr>
          <w:i/>
          <w:iCs/>
        </w:rPr>
      </w:pPr>
      <w:bookmarkStart w:id="11685" w:name="_Toc28081"/>
      <w:bookmarkStart w:id="11686" w:name="_Toc26440"/>
      <w:bookmarkStart w:id="11687" w:name="_Toc18197"/>
      <w:bookmarkStart w:id="11688" w:name="_Toc162355672"/>
      <w:bookmarkStart w:id="11689" w:name="_Toc30522"/>
      <w:bookmarkStart w:id="11690" w:name="_Toc27253"/>
      <w:r>
        <w:rPr>
          <w:i/>
          <w:iCs/>
        </w:rPr>
        <w:t>Circulațiile comune orizontale închise</w:t>
      </w:r>
      <w:bookmarkEnd w:id="11685"/>
      <w:bookmarkEnd w:id="11686"/>
      <w:bookmarkEnd w:id="11687"/>
      <w:bookmarkEnd w:id="11688"/>
      <w:bookmarkEnd w:id="11689"/>
      <w:bookmarkEnd w:id="11690"/>
    </w:p>
    <w:p w14:paraId="1AB3DB0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9.33.</w:t>
      </w:r>
      <w:r>
        <w:rPr>
          <w:rFonts w:eastAsia="Calibri"/>
          <w:i/>
          <w:sz w:val="24"/>
          <w:szCs w:val="24"/>
          <w:shd w:val="clear" w:color="auto" w:fill="FFFFFF"/>
        </w:rPr>
        <w:t> Atunci când încăperile adiacente sunt prevăzute cu evacuări de fum, (natural-organizat sau mecanic) circulațiile comune orizontale nu mai necesită desfumare, asigurându-se o suprapresiune de cca. 20 Pa față de încăperile cu care comunică direct sau de care sunt izolate prin încăperi tampon în suprapresiune.</w:t>
      </w:r>
    </w:p>
    <w:p w14:paraId="00E68F3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9.34.</w:t>
      </w:r>
      <w:r>
        <w:rPr>
          <w:rFonts w:eastAsia="Calibri"/>
          <w:i/>
          <w:sz w:val="24"/>
          <w:szCs w:val="24"/>
          <w:shd w:val="clear" w:color="auto" w:fill="FFFFFF"/>
        </w:rPr>
        <w:t xml:space="preserve"> Desfumarea prin tiraj natural-organizat a circulațiilor comune orizontale închise se realizează în condițiile prevăzute la Art. </w:t>
      </w:r>
      <w:r>
        <w:rPr>
          <w:rFonts w:eastAsia="Calibri"/>
          <w:b/>
          <w:bCs/>
          <w:i/>
          <w:sz w:val="24"/>
          <w:szCs w:val="24"/>
          <w:shd w:val="clear" w:color="auto" w:fill="FFFFFF"/>
        </w:rPr>
        <w:t>A.10.9.11</w:t>
      </w:r>
      <w:r>
        <w:rPr>
          <w:rFonts w:eastAsia="Calibri"/>
          <w:i/>
          <w:sz w:val="24"/>
          <w:szCs w:val="24"/>
          <w:shd w:val="clear" w:color="auto" w:fill="FFFFFF"/>
        </w:rPr>
        <w:t xml:space="preserve">. la Art. </w:t>
      </w:r>
      <w:r>
        <w:rPr>
          <w:rFonts w:eastAsia="Calibri"/>
          <w:b/>
          <w:bCs/>
          <w:i/>
          <w:sz w:val="24"/>
          <w:szCs w:val="24"/>
          <w:shd w:val="clear" w:color="auto" w:fill="FFFFFF"/>
        </w:rPr>
        <w:t>A.10.9.15</w:t>
      </w:r>
      <w:r>
        <w:rPr>
          <w:rFonts w:eastAsia="Calibri"/>
          <w:i/>
          <w:sz w:val="24"/>
          <w:szCs w:val="24"/>
          <w:shd w:val="clear" w:color="auto" w:fill="FFFFFF"/>
        </w:rPr>
        <w:t>., potrivit următoarele reguli:</w:t>
      </w:r>
    </w:p>
    <w:p w14:paraId="2811B5A8"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introducerile de aer și evacuările fumului (gurile) se dispun alternat, la distanțe orizontale - măsurate în axele circulațiilor - care să nu depășească </w:t>
      </w:r>
      <w:r>
        <w:rPr>
          <w:rFonts w:eastAsia="Calibri"/>
          <w:b/>
          <w:bCs/>
          <w:i/>
          <w:sz w:val="24"/>
          <w:szCs w:val="24"/>
          <w:shd w:val="clear" w:color="auto" w:fill="FFFFFF"/>
          <w:lang w:val="en-US" w:eastAsia="zh-CN" w:bidi="ar"/>
        </w:rPr>
        <w:t>10,00 m</w:t>
      </w:r>
      <w:r>
        <w:rPr>
          <w:rFonts w:eastAsia="Calibri"/>
          <w:i/>
          <w:sz w:val="24"/>
          <w:szCs w:val="24"/>
          <w:shd w:val="clear" w:color="auto" w:fill="FFFFFF"/>
          <w:lang w:val="en-US" w:eastAsia="zh-CN" w:bidi="ar"/>
        </w:rPr>
        <w:t xml:space="preserve"> în linie dreaptă sau</w:t>
      </w:r>
      <w:r>
        <w:rPr>
          <w:rFonts w:eastAsia="Calibri"/>
          <w:b/>
          <w:bCs/>
          <w:i/>
          <w:sz w:val="24"/>
          <w:szCs w:val="24"/>
          <w:shd w:val="clear" w:color="auto" w:fill="FFFFFF"/>
          <w:lang w:val="en-US" w:eastAsia="zh-CN" w:bidi="ar"/>
        </w:rPr>
        <w:t xml:space="preserve"> 7,00 m</w:t>
      </w:r>
      <w:r>
        <w:rPr>
          <w:rFonts w:eastAsia="Calibri"/>
          <w:i/>
          <w:sz w:val="24"/>
          <w:szCs w:val="24"/>
          <w:shd w:val="clear" w:color="auto" w:fill="FFFFFF"/>
          <w:lang w:val="en-US" w:eastAsia="zh-CN" w:bidi="ar"/>
        </w:rPr>
        <w:t xml:space="preserve"> în linie frântă;</w:t>
      </w:r>
    </w:p>
    <w:p w14:paraId="4A72C519"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ușile încăperilor accesibile publicului </w:t>
      </w:r>
      <w:r>
        <w:rPr>
          <w:rFonts w:eastAsia="Calibri"/>
          <w:i/>
          <w:sz w:val="24"/>
          <w:szCs w:val="24"/>
          <w:shd w:val="clear" w:color="auto" w:fill="FFFFFF"/>
          <w:lang w:eastAsia="zh-CN" w:bidi="ar"/>
        </w:rPr>
        <w:t xml:space="preserve">se recomandă </w:t>
      </w:r>
      <w:r>
        <w:rPr>
          <w:rFonts w:eastAsia="Calibri"/>
          <w:i/>
          <w:sz w:val="24"/>
          <w:szCs w:val="24"/>
          <w:shd w:val="clear" w:color="auto" w:fill="FFFFFF"/>
          <w:lang w:val="en-US" w:eastAsia="zh-CN" w:bidi="ar"/>
        </w:rPr>
        <w:t>să fie situate la mai mult de 5,00 m de orice gură de introducere sau de evacuare;</w:t>
      </w:r>
    </w:p>
    <w:p w14:paraId="300037F9"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rPr>
      </w:pPr>
      <w:r>
        <w:rPr>
          <w:rFonts w:eastAsia="Calibri"/>
          <w:i/>
          <w:sz w:val="24"/>
          <w:szCs w:val="24"/>
          <w:shd w:val="clear" w:color="auto" w:fill="FFFFFF"/>
          <w:lang w:val="en-US" w:eastAsia="zh-CN" w:bidi="ar"/>
        </w:rPr>
        <w:t xml:space="preserve">gurile de introducere și cele de evacuare vor avea suprafețe de minimum </w:t>
      </w:r>
      <w:r>
        <w:rPr>
          <w:rFonts w:eastAsia="Calibri"/>
          <w:b/>
          <w:bCs/>
          <w:i/>
          <w:sz w:val="24"/>
          <w:szCs w:val="24"/>
          <w:shd w:val="clear" w:color="auto" w:fill="FFFFFF"/>
          <w:lang w:val="en-US" w:eastAsia="zh-CN" w:bidi="ar"/>
        </w:rPr>
        <w:t>0,10 m</w:t>
      </w:r>
      <w:r>
        <w:rPr>
          <w:rFonts w:eastAsia="Calibri"/>
          <w:b/>
          <w:bCs/>
          <w:i/>
          <w:sz w:val="24"/>
          <w:szCs w:val="24"/>
          <w:shd w:val="clear" w:color="auto" w:fill="FFFFFF"/>
          <w:vertAlign w:val="superscript"/>
          <w:lang w:val="en-US" w:eastAsia="zh-CN" w:bidi="ar"/>
        </w:rPr>
        <w:t>2</w:t>
      </w:r>
      <w:r>
        <w:rPr>
          <w:rFonts w:eastAsia="Calibri"/>
          <w:i/>
          <w:sz w:val="24"/>
          <w:szCs w:val="24"/>
          <w:shd w:val="clear" w:color="auto" w:fill="FFFFFF"/>
          <w:lang w:val="en-US" w:eastAsia="zh-CN" w:bidi="ar"/>
        </w:rPr>
        <w:t> pentru fiecare flux de evacuare al circulației comune orizontale din zona pe care o desfumează;</w:t>
      </w:r>
    </w:p>
    <w:p w14:paraId="13700C33"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rPr>
      </w:pPr>
      <w:r>
        <w:rPr>
          <w:rFonts w:eastAsia="Calibri"/>
          <w:i/>
          <w:sz w:val="24"/>
          <w:szCs w:val="24"/>
          <w:shd w:val="clear" w:color="auto" w:fill="FFFFFF"/>
        </w:rPr>
        <w:t xml:space="preserve">gurile de introducere vor fi dispuse cu partea lor cea mai înaltă la maximum </w:t>
      </w:r>
      <w:r>
        <w:rPr>
          <w:rFonts w:eastAsia="Calibri"/>
          <w:b/>
          <w:bCs/>
          <w:i/>
          <w:sz w:val="24"/>
          <w:szCs w:val="24"/>
          <w:shd w:val="clear" w:color="auto" w:fill="FFFFFF"/>
        </w:rPr>
        <w:t>1,00 m</w:t>
      </w:r>
      <w:r>
        <w:rPr>
          <w:rFonts w:eastAsia="Calibri"/>
          <w:i/>
          <w:sz w:val="24"/>
          <w:szCs w:val="24"/>
          <w:shd w:val="clear" w:color="auto" w:fill="FFFFFF"/>
        </w:rPr>
        <w:t xml:space="preserve"> față de pardoseală, iar gurile de evacuare vor avea partea de jos (parapetul) la minimum </w:t>
      </w:r>
      <w:r>
        <w:rPr>
          <w:rFonts w:eastAsia="Calibri"/>
          <w:b/>
          <w:bCs/>
          <w:i/>
          <w:sz w:val="24"/>
          <w:szCs w:val="24"/>
          <w:shd w:val="clear" w:color="auto" w:fill="FFFFFF"/>
        </w:rPr>
        <w:t>1,80 m</w:t>
      </w:r>
      <w:r>
        <w:rPr>
          <w:rFonts w:eastAsia="Calibri"/>
          <w:i/>
          <w:sz w:val="24"/>
          <w:szCs w:val="24"/>
          <w:shd w:val="clear" w:color="auto" w:fill="FFFFFF"/>
        </w:rPr>
        <w:t xml:space="preserve"> de pardoseală (trebuind să se afle în treimea superioară a circulației comune);</w:t>
      </w:r>
    </w:p>
    <w:p w14:paraId="4C90B19B"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Deschiderile în fațade pot constitui guri de introducere și/sau de evacuare, dacă respectă condițiile de dispunere precizate.</w:t>
      </w:r>
    </w:p>
    <w:p w14:paraId="65FA602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9.35.</w:t>
      </w:r>
      <w:r>
        <w:rPr>
          <w:rFonts w:eastAsia="Calibri"/>
          <w:i/>
          <w:sz w:val="24"/>
          <w:szCs w:val="24"/>
          <w:shd w:val="clear" w:color="auto" w:fill="FFFFFF"/>
        </w:rPr>
        <w:t xml:space="preserve"> Desfumarea mecanică a circulațiilor comune orizontale închise, se realizează în condițiile prevederilor Art. </w:t>
      </w:r>
      <w:r>
        <w:rPr>
          <w:rFonts w:eastAsia="Calibri"/>
          <w:b/>
          <w:bCs/>
          <w:i/>
          <w:sz w:val="24"/>
          <w:szCs w:val="24"/>
          <w:shd w:val="clear" w:color="auto" w:fill="FFFFFF"/>
        </w:rPr>
        <w:t>A.10.9.16</w:t>
      </w:r>
      <w:r>
        <w:rPr>
          <w:rFonts w:eastAsia="Calibri"/>
          <w:i/>
          <w:sz w:val="24"/>
          <w:szCs w:val="24"/>
          <w:shd w:val="clear" w:color="auto" w:fill="FFFFFF"/>
        </w:rPr>
        <w:t xml:space="preserve">. la Art. </w:t>
      </w:r>
      <w:r>
        <w:rPr>
          <w:rFonts w:eastAsia="Calibri"/>
          <w:b/>
          <w:bCs/>
          <w:i/>
          <w:sz w:val="24"/>
          <w:szCs w:val="24"/>
          <w:shd w:val="clear" w:color="auto" w:fill="FFFFFF"/>
        </w:rPr>
        <w:t>A.10.9.27.</w:t>
      </w:r>
      <w:r>
        <w:rPr>
          <w:rFonts w:eastAsia="Calibri"/>
          <w:i/>
          <w:sz w:val="24"/>
          <w:szCs w:val="24"/>
          <w:shd w:val="clear" w:color="auto" w:fill="FFFFFF"/>
        </w:rPr>
        <w:t xml:space="preserve"> și potrivit următoarelor reguli:</w:t>
      </w:r>
    </w:p>
    <w:p w14:paraId="51486228"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gurile de introducere </w:t>
      </w:r>
      <w:proofErr w:type="gramStart"/>
      <w:r>
        <w:rPr>
          <w:rFonts w:eastAsia="Calibri"/>
          <w:i/>
          <w:sz w:val="24"/>
          <w:szCs w:val="24"/>
          <w:shd w:val="clear" w:color="auto" w:fill="FFFFFF"/>
          <w:lang w:val="en-US" w:eastAsia="zh-CN" w:bidi="ar"/>
        </w:rPr>
        <w:t>a</w:t>
      </w:r>
      <w:proofErr w:type="gramEnd"/>
      <w:r>
        <w:rPr>
          <w:rFonts w:eastAsia="Calibri"/>
          <w:i/>
          <w:sz w:val="24"/>
          <w:szCs w:val="24"/>
          <w:shd w:val="clear" w:color="auto" w:fill="FFFFFF"/>
          <w:lang w:val="en-US" w:eastAsia="zh-CN" w:bidi="ar"/>
        </w:rPr>
        <w:t xml:space="preserve"> aerului și de evacuare a fumului se dispun alternat, în funcție de localizările riscurilor de incendiu, la distanțe orizontale - măsurate în axele circulațiilor - de cel mult </w:t>
      </w:r>
      <w:r>
        <w:rPr>
          <w:rFonts w:eastAsia="Calibri"/>
          <w:b/>
          <w:bCs/>
          <w:i/>
          <w:sz w:val="24"/>
          <w:szCs w:val="24"/>
          <w:shd w:val="clear" w:color="auto" w:fill="FFFFFF"/>
          <w:lang w:val="en-US" w:eastAsia="zh-CN" w:bidi="ar"/>
        </w:rPr>
        <w:t>15,00 m</w:t>
      </w:r>
      <w:r>
        <w:rPr>
          <w:rFonts w:eastAsia="Calibri"/>
          <w:i/>
          <w:sz w:val="24"/>
          <w:szCs w:val="24"/>
          <w:shd w:val="clear" w:color="auto" w:fill="FFFFFF"/>
          <w:lang w:val="en-US" w:eastAsia="zh-CN" w:bidi="ar"/>
        </w:rPr>
        <w:t xml:space="preserve"> în linie dreptă și </w:t>
      </w:r>
      <w:r>
        <w:rPr>
          <w:rFonts w:eastAsia="Calibri"/>
          <w:b/>
          <w:bCs/>
          <w:i/>
          <w:sz w:val="24"/>
          <w:szCs w:val="24"/>
          <w:shd w:val="clear" w:color="auto" w:fill="FFFFFF"/>
          <w:lang w:val="en-US" w:eastAsia="zh-CN" w:bidi="ar"/>
        </w:rPr>
        <w:t>10,00 m</w:t>
      </w:r>
      <w:r>
        <w:rPr>
          <w:rFonts w:eastAsia="Calibri"/>
          <w:i/>
          <w:sz w:val="24"/>
          <w:szCs w:val="24"/>
          <w:shd w:val="clear" w:color="auto" w:fill="FFFFFF"/>
          <w:lang w:val="en-US" w:eastAsia="zh-CN" w:bidi="ar"/>
        </w:rPr>
        <w:t xml:space="preserve"> în linie frântă;</w:t>
      </w:r>
    </w:p>
    <w:p w14:paraId="60EA8121"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ușile încăperilor accesibile publicului </w:t>
      </w:r>
      <w:r>
        <w:rPr>
          <w:rFonts w:eastAsia="Calibri"/>
          <w:i/>
          <w:sz w:val="24"/>
          <w:szCs w:val="24"/>
          <w:shd w:val="clear" w:color="auto" w:fill="FFFFFF"/>
          <w:lang w:eastAsia="zh-CN" w:bidi="ar"/>
        </w:rPr>
        <w:t xml:space="preserve">se recomandă </w:t>
      </w:r>
      <w:r>
        <w:rPr>
          <w:rFonts w:eastAsia="Calibri"/>
          <w:i/>
          <w:sz w:val="24"/>
          <w:szCs w:val="24"/>
          <w:shd w:val="clear" w:color="auto" w:fill="FFFFFF"/>
          <w:lang w:val="en-US" w:eastAsia="zh-CN" w:bidi="ar"/>
        </w:rPr>
        <w:t xml:space="preserve">să fie situate la mai mult de </w:t>
      </w:r>
      <w:r>
        <w:rPr>
          <w:rFonts w:eastAsia="Calibri"/>
          <w:b/>
          <w:bCs/>
          <w:i/>
          <w:sz w:val="24"/>
          <w:szCs w:val="24"/>
          <w:shd w:val="clear" w:color="auto" w:fill="FFFFFF"/>
          <w:lang w:val="en-US" w:eastAsia="zh-CN" w:bidi="ar"/>
        </w:rPr>
        <w:t>5,00 m</w:t>
      </w:r>
      <w:r>
        <w:rPr>
          <w:rFonts w:eastAsia="Calibri"/>
          <w:i/>
          <w:sz w:val="24"/>
          <w:szCs w:val="24"/>
          <w:shd w:val="clear" w:color="auto" w:fill="FFFFFF"/>
          <w:lang w:val="en-US" w:eastAsia="zh-CN" w:bidi="ar"/>
        </w:rPr>
        <w:t xml:space="preserve"> de orice gură de introducere sau de evacuare;</w:t>
      </w:r>
    </w:p>
    <w:p w14:paraId="1F68BEB5"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t xml:space="preserve">gurile de introducere se dispun cu partea lor superioară la maximum </w:t>
      </w:r>
      <w:r>
        <w:rPr>
          <w:rFonts w:eastAsia="Calibri"/>
          <w:b/>
          <w:bCs/>
          <w:i/>
          <w:sz w:val="24"/>
          <w:szCs w:val="24"/>
          <w:shd w:val="clear" w:color="auto" w:fill="FFFFFF"/>
          <w:lang w:val="en-US" w:eastAsia="zh-CN" w:bidi="ar"/>
        </w:rPr>
        <w:t>1,00 m</w:t>
      </w:r>
      <w:r>
        <w:rPr>
          <w:rFonts w:eastAsia="Calibri"/>
          <w:i/>
          <w:sz w:val="24"/>
          <w:szCs w:val="24"/>
          <w:shd w:val="clear" w:color="auto" w:fill="FFFFFF"/>
          <w:lang w:val="en-US" w:eastAsia="zh-CN" w:bidi="ar"/>
        </w:rPr>
        <w:t xml:space="preserve"> de pardoseală, iar gurile de evacuare vor avea partea de jos (parapetul) la minimum </w:t>
      </w:r>
      <w:r>
        <w:rPr>
          <w:rFonts w:eastAsia="Calibri"/>
          <w:b/>
          <w:bCs/>
          <w:i/>
          <w:sz w:val="24"/>
          <w:szCs w:val="24"/>
          <w:shd w:val="clear" w:color="auto" w:fill="FFFFFF"/>
          <w:lang w:val="en-US" w:eastAsia="zh-CN" w:bidi="ar"/>
        </w:rPr>
        <w:t>1,80 m</w:t>
      </w:r>
      <w:r>
        <w:rPr>
          <w:rFonts w:eastAsia="Calibri"/>
          <w:i/>
          <w:sz w:val="24"/>
          <w:szCs w:val="24"/>
          <w:shd w:val="clear" w:color="auto" w:fill="FFFFFF"/>
          <w:lang w:val="en-US" w:eastAsia="zh-CN" w:bidi="ar"/>
        </w:rPr>
        <w:t xml:space="preserve"> de pardoseală (trebuind să se afle în treimea superioară a circulației comune);</w:t>
      </w:r>
    </w:p>
    <w:p w14:paraId="1068F8ED" w14:textId="77777777" w:rsidR="001C08A5" w:rsidRDefault="00000000">
      <w:pPr>
        <w:numPr>
          <w:ilvl w:val="0"/>
          <w:numId w:val="105"/>
        </w:numPr>
        <w:shd w:val="clear" w:color="auto" w:fill="FFFFFF"/>
        <w:tabs>
          <w:tab w:val="left" w:pos="420"/>
        </w:tabs>
        <w:jc w:val="both"/>
        <w:rPr>
          <w:rFonts w:eastAsia="Calibri"/>
          <w:i/>
          <w:sz w:val="24"/>
          <w:szCs w:val="24"/>
          <w:shd w:val="clear" w:color="auto" w:fill="FFFFFF"/>
          <w:lang w:val="en-US" w:eastAsia="zh-CN" w:bidi="ar"/>
        </w:rPr>
      </w:pPr>
      <w:r>
        <w:rPr>
          <w:rFonts w:eastAsia="Calibri"/>
          <w:i/>
          <w:sz w:val="24"/>
          <w:szCs w:val="24"/>
          <w:shd w:val="clear" w:color="auto" w:fill="FFFFFF"/>
          <w:lang w:val="en-US" w:eastAsia="zh-CN" w:bidi="ar"/>
        </w:rPr>
        <w:lastRenderedPageBreak/>
        <w:t xml:space="preserve">porțiunile de circulație comună cuprinse între o gură de evacuare a fumului și una de introducere </w:t>
      </w:r>
      <w:proofErr w:type="gramStart"/>
      <w:r>
        <w:rPr>
          <w:rFonts w:eastAsia="Calibri"/>
          <w:i/>
          <w:sz w:val="24"/>
          <w:szCs w:val="24"/>
          <w:shd w:val="clear" w:color="auto" w:fill="FFFFFF"/>
          <w:lang w:val="en-US" w:eastAsia="zh-CN" w:bidi="ar"/>
        </w:rPr>
        <w:t>a</w:t>
      </w:r>
      <w:proofErr w:type="gramEnd"/>
      <w:r>
        <w:rPr>
          <w:rFonts w:eastAsia="Calibri"/>
          <w:i/>
          <w:sz w:val="24"/>
          <w:szCs w:val="24"/>
          <w:shd w:val="clear" w:color="auto" w:fill="FFFFFF"/>
          <w:lang w:val="en-US" w:eastAsia="zh-CN" w:bidi="ar"/>
        </w:rPr>
        <w:t xml:space="preserve"> aerului, trebuie să aibă asigurat un debit de extragere de cel puțin </w:t>
      </w:r>
      <w:r>
        <w:rPr>
          <w:rFonts w:eastAsia="Calibri"/>
          <w:b/>
          <w:bCs/>
          <w:i/>
          <w:sz w:val="24"/>
          <w:szCs w:val="24"/>
          <w:shd w:val="clear" w:color="auto" w:fill="FFFFFF"/>
          <w:lang w:val="en-US" w:eastAsia="zh-CN" w:bidi="ar"/>
        </w:rPr>
        <w:t>0,5 m</w:t>
      </w:r>
      <w:r>
        <w:rPr>
          <w:rFonts w:eastAsia="Calibri"/>
          <w:b/>
          <w:bCs/>
          <w:i/>
          <w:sz w:val="24"/>
          <w:szCs w:val="24"/>
          <w:shd w:val="clear" w:color="auto" w:fill="FFFFFF"/>
          <w:vertAlign w:val="superscript"/>
          <w:lang w:val="en-US" w:eastAsia="zh-CN" w:bidi="ar"/>
        </w:rPr>
        <w:t>3</w:t>
      </w:r>
      <w:r>
        <w:rPr>
          <w:rFonts w:eastAsia="Calibri"/>
          <w:b/>
          <w:bCs/>
          <w:i/>
          <w:sz w:val="24"/>
          <w:szCs w:val="24"/>
          <w:shd w:val="clear" w:color="auto" w:fill="FFFFFF"/>
          <w:lang w:val="en-US" w:eastAsia="zh-CN" w:bidi="ar"/>
        </w:rPr>
        <w:t>/s</w:t>
      </w:r>
      <w:r>
        <w:rPr>
          <w:rFonts w:eastAsia="Calibri"/>
          <w:i/>
          <w:sz w:val="24"/>
          <w:szCs w:val="24"/>
          <w:shd w:val="clear" w:color="auto" w:fill="FFFFFF"/>
          <w:lang w:val="en-US" w:eastAsia="zh-CN" w:bidi="ar"/>
        </w:rPr>
        <w:t xml:space="preserve"> pentru fiecare flux de evacuare asigurat.</w:t>
      </w:r>
    </w:p>
    <w:p w14:paraId="26226767" w14:textId="77777777" w:rsidR="001C08A5" w:rsidRDefault="00000000">
      <w:pPr>
        <w:shd w:val="clear" w:color="auto" w:fill="FFFFFF"/>
        <w:spacing w:after="150"/>
        <w:jc w:val="both"/>
        <w:rPr>
          <w:rFonts w:eastAsia="Calibri"/>
          <w:i/>
          <w:sz w:val="24"/>
          <w:szCs w:val="24"/>
        </w:rPr>
      </w:pPr>
      <w:r>
        <w:rPr>
          <w:rFonts w:eastAsia="Calibri"/>
          <w:i/>
          <w:sz w:val="24"/>
          <w:szCs w:val="24"/>
          <w:shd w:val="clear" w:color="auto" w:fill="FFFFFF"/>
        </w:rPr>
        <w:t xml:space="preserve">În timpul funcționării desfumării, diferența de presiune dintre casa de scări de evacuare și circulația comună orizontală desfumată, trebuie să fie mai mică de </w:t>
      </w:r>
      <w:r>
        <w:rPr>
          <w:rFonts w:eastAsia="Calibri"/>
          <w:b/>
          <w:bCs/>
          <w:i/>
          <w:sz w:val="24"/>
          <w:szCs w:val="24"/>
          <w:shd w:val="clear" w:color="auto" w:fill="FFFFFF"/>
        </w:rPr>
        <w:t>80 Pa</w:t>
      </w:r>
      <w:r>
        <w:rPr>
          <w:rFonts w:eastAsia="Calibri"/>
          <w:i/>
          <w:sz w:val="24"/>
          <w:szCs w:val="24"/>
          <w:shd w:val="clear" w:color="auto" w:fill="FFFFFF"/>
        </w:rPr>
        <w:t>, la toate ușile închise ale scării.</w:t>
      </w:r>
    </w:p>
    <w:p w14:paraId="10E5A2F4" w14:textId="77777777" w:rsidR="001C08A5" w:rsidRDefault="00000000">
      <w:pPr>
        <w:pStyle w:val="Heading4"/>
        <w:rPr>
          <w:sz w:val="24"/>
          <w:szCs w:val="24"/>
        </w:rPr>
      </w:pPr>
      <w:bookmarkStart w:id="11691" w:name="_Toc3495"/>
      <w:bookmarkStart w:id="11692" w:name="_Toc26068"/>
      <w:bookmarkStart w:id="11693" w:name="_Toc32058"/>
      <w:bookmarkStart w:id="11694" w:name="_Toc16390"/>
      <w:bookmarkStart w:id="11695" w:name="_Toc162355673"/>
      <w:bookmarkStart w:id="11696" w:name="_Toc17355"/>
      <w:r>
        <w:rPr>
          <w:sz w:val="24"/>
          <w:szCs w:val="24"/>
        </w:rPr>
        <w:t>Evacuarea fumului și a gazelor fierbinți</w:t>
      </w:r>
      <w:bookmarkEnd w:id="11691"/>
      <w:bookmarkEnd w:id="11692"/>
      <w:bookmarkEnd w:id="11693"/>
      <w:bookmarkEnd w:id="11694"/>
      <w:bookmarkEnd w:id="11695"/>
      <w:bookmarkEnd w:id="11696"/>
    </w:p>
    <w:p w14:paraId="54A91786" w14:textId="77777777" w:rsidR="001C08A5" w:rsidRDefault="00000000">
      <w:pPr>
        <w:shd w:val="clear" w:color="auto" w:fill="FFFFFF"/>
        <w:spacing w:after="150"/>
        <w:jc w:val="both"/>
        <w:rPr>
          <w:b/>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9.36.</w:t>
      </w:r>
      <w:r>
        <w:rPr>
          <w:rFonts w:eastAsia="Calibri"/>
          <w:i/>
          <w:sz w:val="24"/>
          <w:szCs w:val="24"/>
          <w:shd w:val="clear" w:color="auto" w:fill="FFFFFF"/>
        </w:rPr>
        <w:t xml:space="preserve"> În situațiile stabilite de anexă și normativ, pentru limitarea propagării incendiilor în construcții fără pereți interiori despărțitori pentru asigurarea evacuării fumului și a gazelor fierbinți prin tiraj natural-organizat, se prevăd (în acoperiș) sisteme alcătuite din dispozitive de evacuare și ecrane verticale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coborâte sub tavan, în funcție de densitatea sarcinii termice din spațiile respective, conform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_Ref20220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174</w:t>
      </w:r>
      <w:r>
        <w:rPr>
          <w:rFonts w:eastAsia="Calibri"/>
          <w:b/>
          <w:bCs/>
          <w:i/>
          <w:iCs/>
          <w:sz w:val="24"/>
          <w:szCs w:val="24"/>
          <w:shd w:val="clear" w:color="auto" w:fill="FFFFFF"/>
        </w:rPr>
        <w:fldChar w:fldCharType="end"/>
      </w:r>
      <w:r>
        <w:rPr>
          <w:b/>
          <w:i/>
          <w:sz w:val="24"/>
          <w:szCs w:val="24"/>
        </w:rPr>
        <w:t>.</w:t>
      </w:r>
    </w:p>
    <w:p w14:paraId="75F841F3" w14:textId="77777777" w:rsidR="001C08A5" w:rsidRDefault="00000000">
      <w:pPr>
        <w:pStyle w:val="Caption"/>
        <w:shd w:val="clear" w:color="auto" w:fill="FFFFFF"/>
        <w:spacing w:before="0" w:after="150"/>
        <w:jc w:val="both"/>
        <w:rPr>
          <w:rFonts w:eastAsia="Calibri" w:cs="Times New Roman"/>
          <w:bCs/>
        </w:rPr>
      </w:pPr>
      <w:bookmarkStart w:id="11697" w:name="_Ref20220"/>
      <w:bookmarkStart w:id="11698" w:name="_Toc162360224"/>
      <w:r>
        <w:t xml:space="preserve">Tabelul </w:t>
      </w:r>
      <w:r>
        <w:fldChar w:fldCharType="begin"/>
      </w:r>
      <w:r>
        <w:instrText xml:space="preserve"> SEQ Tabelul \* ARABIC </w:instrText>
      </w:r>
      <w:r>
        <w:fldChar w:fldCharType="separate"/>
      </w:r>
      <w:r>
        <w:t>174</w:t>
      </w:r>
      <w:r>
        <w:fldChar w:fldCharType="end"/>
      </w:r>
      <w:bookmarkStart w:id="11699" w:name="_Toc6781"/>
      <w:bookmarkStart w:id="11700" w:name="_Toc28399"/>
      <w:bookmarkStart w:id="11701" w:name="_Toc25480"/>
      <w:bookmarkStart w:id="11702" w:name="_Toc29297"/>
      <w:bookmarkStart w:id="11703" w:name="_Toc23770"/>
      <w:bookmarkStart w:id="11704" w:name="_Toc1005"/>
      <w:bookmarkStart w:id="11705" w:name="_Toc27531"/>
      <w:bookmarkStart w:id="11706" w:name="_Toc18724"/>
      <w:bookmarkStart w:id="11707" w:name="_Toc19725"/>
      <w:bookmarkStart w:id="11708" w:name="_Toc20968"/>
      <w:bookmarkStart w:id="11709" w:name="_Toc29282"/>
      <w:bookmarkEnd w:id="11697"/>
      <w:r>
        <w:t>: Sisteme alcătuite din dispozitive de evacuare a fumului și a gazelor fierbinți și ecrane verticale la construcții existente</w:t>
      </w:r>
      <w:bookmarkEnd w:id="11698"/>
      <w:bookmarkEnd w:id="11699"/>
      <w:bookmarkEnd w:id="11700"/>
      <w:bookmarkEnd w:id="11701"/>
      <w:bookmarkEnd w:id="11702"/>
      <w:bookmarkEnd w:id="11703"/>
      <w:bookmarkEnd w:id="11704"/>
      <w:bookmarkEnd w:id="11705"/>
      <w:bookmarkEnd w:id="11706"/>
      <w:bookmarkEnd w:id="11707"/>
      <w:bookmarkEnd w:id="11708"/>
      <w:bookmarkEnd w:id="11709"/>
    </w:p>
    <w:tbl>
      <w:tblPr>
        <w:tblW w:w="4840" w:type="pct"/>
        <w:jc w:val="center"/>
        <w:tblCellMar>
          <w:top w:w="15" w:type="dxa"/>
          <w:left w:w="15" w:type="dxa"/>
          <w:bottom w:w="15" w:type="dxa"/>
          <w:right w:w="15" w:type="dxa"/>
        </w:tblCellMar>
        <w:tblLook w:val="04A0" w:firstRow="1" w:lastRow="0" w:firstColumn="1" w:lastColumn="0" w:noHBand="0" w:noVBand="1"/>
      </w:tblPr>
      <w:tblGrid>
        <w:gridCol w:w="3206"/>
        <w:gridCol w:w="2394"/>
        <w:gridCol w:w="1727"/>
        <w:gridCol w:w="1988"/>
      </w:tblGrid>
      <w:tr w:rsidR="001C08A5" w14:paraId="118E48E8" w14:textId="77777777">
        <w:trPr>
          <w:trHeight w:val="345"/>
          <w:jc w:val="center"/>
        </w:trPr>
        <w:tc>
          <w:tcPr>
            <w:tcW w:w="1720"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006F20D" w14:textId="77777777" w:rsidR="001C08A5" w:rsidRDefault="00000000">
            <w:pPr>
              <w:jc w:val="center"/>
              <w:rPr>
                <w:b/>
                <w:bCs/>
                <w:i/>
                <w:sz w:val="22"/>
                <w:szCs w:val="22"/>
              </w:rPr>
            </w:pPr>
            <w:r>
              <w:rPr>
                <w:b/>
                <w:bCs/>
                <w:i/>
                <w:sz w:val="22"/>
                <w:szCs w:val="22"/>
                <w:lang w:val="en-US" w:eastAsia="zh-CN" w:bidi="ar"/>
              </w:rPr>
              <w:t>Densitatea sarcinii termice "q" (MJ/mp)</w:t>
            </w:r>
          </w:p>
        </w:tc>
        <w:tc>
          <w:tcPr>
            <w:tcW w:w="1284" w:type="pct"/>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580B06B" w14:textId="77777777" w:rsidR="001C08A5" w:rsidRDefault="00000000">
            <w:pPr>
              <w:jc w:val="center"/>
              <w:rPr>
                <w:b/>
                <w:bCs/>
                <w:i/>
                <w:sz w:val="22"/>
                <w:szCs w:val="22"/>
              </w:rPr>
            </w:pPr>
            <w:r>
              <w:rPr>
                <w:b/>
                <w:bCs/>
                <w:i/>
                <w:sz w:val="22"/>
                <w:szCs w:val="22"/>
                <w:lang w:val="en-US" w:eastAsia="zh-CN" w:bidi="ar"/>
              </w:rPr>
              <w:t>Raportul dintre suma ariilor libere ale dispozitivelor (deschiderilor) și aria încăperii</w:t>
            </w:r>
          </w:p>
        </w:tc>
        <w:tc>
          <w:tcPr>
            <w:tcW w:w="1994" w:type="pct"/>
            <w:gridSpan w:val="2"/>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4FCCE97" w14:textId="77777777" w:rsidR="001C08A5" w:rsidRDefault="00000000">
            <w:pPr>
              <w:jc w:val="center"/>
              <w:rPr>
                <w:b/>
                <w:bCs/>
                <w:i/>
                <w:sz w:val="22"/>
                <w:szCs w:val="22"/>
              </w:rPr>
            </w:pPr>
            <w:r>
              <w:rPr>
                <w:b/>
                <w:bCs/>
                <w:i/>
                <w:sz w:val="22"/>
                <w:szCs w:val="22"/>
                <w:lang w:val="en-US" w:eastAsia="zh-CN" w:bidi="ar"/>
              </w:rPr>
              <w:t>Distanța maximă (m) între:</w:t>
            </w:r>
          </w:p>
        </w:tc>
      </w:tr>
      <w:tr w:rsidR="001C08A5" w14:paraId="42D03386" w14:textId="77777777">
        <w:trPr>
          <w:trHeight w:val="555"/>
          <w:jc w:val="center"/>
        </w:trPr>
        <w:tc>
          <w:tcPr>
            <w:tcW w:w="1720"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A8F9BCA" w14:textId="77777777" w:rsidR="001C08A5" w:rsidRDefault="001C08A5">
            <w:pPr>
              <w:jc w:val="center"/>
              <w:rPr>
                <w:b/>
                <w:bCs/>
                <w:i/>
                <w:sz w:val="22"/>
                <w:szCs w:val="22"/>
              </w:rPr>
            </w:pPr>
          </w:p>
        </w:tc>
        <w:tc>
          <w:tcPr>
            <w:tcW w:w="1284" w:type="pct"/>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2584E01" w14:textId="77777777" w:rsidR="001C08A5" w:rsidRDefault="001C08A5">
            <w:pPr>
              <w:jc w:val="center"/>
              <w:rPr>
                <w:b/>
                <w:bCs/>
                <w:i/>
                <w:sz w:val="22"/>
                <w:szCs w:val="22"/>
              </w:rPr>
            </w:pPr>
          </w:p>
        </w:tc>
        <w:tc>
          <w:tcPr>
            <w:tcW w:w="92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0B549FD" w14:textId="77777777" w:rsidR="001C08A5" w:rsidRDefault="00000000">
            <w:pPr>
              <w:jc w:val="center"/>
              <w:rPr>
                <w:b/>
                <w:bCs/>
                <w:i/>
                <w:sz w:val="22"/>
                <w:szCs w:val="22"/>
              </w:rPr>
            </w:pPr>
            <w:r>
              <w:rPr>
                <w:b/>
                <w:bCs/>
                <w:i/>
                <w:sz w:val="22"/>
                <w:szCs w:val="22"/>
                <w:lang w:val="en-US" w:eastAsia="zh-CN" w:bidi="ar"/>
              </w:rPr>
              <w:t>axele a două deschideri</w:t>
            </w:r>
          </w:p>
        </w:tc>
        <w:tc>
          <w:tcPr>
            <w:tcW w:w="10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5E44FA5" w14:textId="77777777" w:rsidR="001C08A5" w:rsidRDefault="00000000">
            <w:pPr>
              <w:jc w:val="center"/>
              <w:rPr>
                <w:b/>
                <w:bCs/>
                <w:i/>
                <w:sz w:val="22"/>
                <w:szCs w:val="22"/>
              </w:rPr>
            </w:pPr>
            <w:r>
              <w:rPr>
                <w:b/>
                <w:bCs/>
                <w:i/>
                <w:sz w:val="22"/>
                <w:szCs w:val="22"/>
                <w:lang w:val="en-US" w:eastAsia="zh-CN" w:bidi="ar"/>
              </w:rPr>
              <w:t>ecranele suspendate sub tavan</w:t>
            </w:r>
          </w:p>
        </w:tc>
      </w:tr>
      <w:tr w:rsidR="001C08A5" w14:paraId="616F3134" w14:textId="77777777">
        <w:trPr>
          <w:trHeight w:val="345"/>
          <w:jc w:val="center"/>
        </w:trPr>
        <w:tc>
          <w:tcPr>
            <w:tcW w:w="172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8557991" w14:textId="77777777" w:rsidR="001C08A5" w:rsidRDefault="00000000">
            <w:pPr>
              <w:jc w:val="center"/>
              <w:rPr>
                <w:b/>
                <w:bCs/>
                <w:i/>
                <w:sz w:val="22"/>
                <w:szCs w:val="22"/>
              </w:rPr>
            </w:pPr>
            <w:r>
              <w:rPr>
                <w:b/>
                <w:bCs/>
                <w:i/>
                <w:sz w:val="22"/>
                <w:szCs w:val="22"/>
                <w:lang w:val="en-US" w:eastAsia="zh-CN" w:bidi="ar"/>
              </w:rPr>
              <w:t>q &lt; 420</w:t>
            </w:r>
          </w:p>
        </w:tc>
        <w:tc>
          <w:tcPr>
            <w:tcW w:w="1284"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2257A02" w14:textId="77777777" w:rsidR="001C08A5" w:rsidRDefault="00000000">
            <w:pPr>
              <w:jc w:val="center"/>
              <w:rPr>
                <w:b/>
                <w:bCs/>
                <w:i/>
                <w:sz w:val="22"/>
                <w:szCs w:val="22"/>
              </w:rPr>
            </w:pPr>
            <w:r>
              <w:rPr>
                <w:b/>
                <w:bCs/>
                <w:i/>
                <w:sz w:val="22"/>
                <w:szCs w:val="22"/>
                <w:lang w:val="en-US" w:eastAsia="zh-CN" w:bidi="ar"/>
              </w:rPr>
              <w:t>1:150</w:t>
            </w:r>
          </w:p>
        </w:tc>
        <w:tc>
          <w:tcPr>
            <w:tcW w:w="92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2C65965" w14:textId="77777777" w:rsidR="001C08A5" w:rsidRDefault="00000000">
            <w:pPr>
              <w:jc w:val="center"/>
              <w:rPr>
                <w:b/>
                <w:bCs/>
                <w:i/>
                <w:sz w:val="22"/>
                <w:szCs w:val="22"/>
              </w:rPr>
            </w:pPr>
            <w:r>
              <w:rPr>
                <w:b/>
                <w:bCs/>
                <w:i/>
                <w:sz w:val="22"/>
                <w:szCs w:val="22"/>
                <w:lang w:val="en-US" w:eastAsia="zh-CN" w:bidi="ar"/>
              </w:rPr>
              <w:t>45</w:t>
            </w:r>
          </w:p>
        </w:tc>
        <w:tc>
          <w:tcPr>
            <w:tcW w:w="10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E605A26" w14:textId="77777777" w:rsidR="001C08A5" w:rsidRDefault="00000000">
            <w:pPr>
              <w:jc w:val="center"/>
              <w:rPr>
                <w:b/>
                <w:bCs/>
                <w:i/>
                <w:sz w:val="22"/>
                <w:szCs w:val="22"/>
              </w:rPr>
            </w:pPr>
            <w:r>
              <w:rPr>
                <w:b/>
                <w:bCs/>
                <w:i/>
                <w:sz w:val="22"/>
                <w:szCs w:val="22"/>
                <w:lang w:val="en-US" w:eastAsia="zh-CN" w:bidi="ar"/>
              </w:rPr>
              <w:t>75</w:t>
            </w:r>
          </w:p>
        </w:tc>
      </w:tr>
      <w:tr w:rsidR="001C08A5" w14:paraId="1EE64897" w14:textId="77777777">
        <w:trPr>
          <w:trHeight w:val="345"/>
          <w:jc w:val="center"/>
        </w:trPr>
        <w:tc>
          <w:tcPr>
            <w:tcW w:w="172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1BF8A16" w14:textId="77777777" w:rsidR="001C08A5" w:rsidRDefault="00000000">
            <w:pPr>
              <w:jc w:val="center"/>
              <w:rPr>
                <w:b/>
                <w:bCs/>
                <w:i/>
                <w:sz w:val="22"/>
                <w:szCs w:val="22"/>
              </w:rPr>
            </w:pPr>
            <w:r>
              <w:rPr>
                <w:b/>
                <w:bCs/>
                <w:i/>
                <w:sz w:val="22"/>
                <w:szCs w:val="22"/>
                <w:lang w:val="en-US" w:eastAsia="zh-CN" w:bidi="ar"/>
              </w:rPr>
              <w:t>420 &lt; q &lt; 840</w:t>
            </w:r>
          </w:p>
        </w:tc>
        <w:tc>
          <w:tcPr>
            <w:tcW w:w="1284"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C211A93" w14:textId="77777777" w:rsidR="001C08A5" w:rsidRDefault="00000000">
            <w:pPr>
              <w:jc w:val="center"/>
              <w:rPr>
                <w:b/>
                <w:bCs/>
                <w:i/>
                <w:sz w:val="22"/>
                <w:szCs w:val="22"/>
              </w:rPr>
            </w:pPr>
            <w:r>
              <w:rPr>
                <w:b/>
                <w:bCs/>
                <w:i/>
                <w:sz w:val="22"/>
                <w:szCs w:val="22"/>
                <w:lang w:val="en-US" w:eastAsia="zh-CN" w:bidi="ar"/>
              </w:rPr>
              <w:t>1:125 ... 1:80</w:t>
            </w:r>
          </w:p>
        </w:tc>
        <w:tc>
          <w:tcPr>
            <w:tcW w:w="92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D05562B" w14:textId="77777777" w:rsidR="001C08A5" w:rsidRDefault="00000000">
            <w:pPr>
              <w:jc w:val="center"/>
              <w:rPr>
                <w:b/>
                <w:bCs/>
                <w:i/>
                <w:sz w:val="22"/>
                <w:szCs w:val="22"/>
              </w:rPr>
            </w:pPr>
            <w:r>
              <w:rPr>
                <w:b/>
                <w:bCs/>
                <w:i/>
                <w:sz w:val="22"/>
                <w:szCs w:val="22"/>
                <w:lang w:val="en-US" w:eastAsia="zh-CN" w:bidi="ar"/>
              </w:rPr>
              <w:t>35</w:t>
            </w:r>
          </w:p>
        </w:tc>
        <w:tc>
          <w:tcPr>
            <w:tcW w:w="10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0C77528" w14:textId="77777777" w:rsidR="001C08A5" w:rsidRDefault="00000000">
            <w:pPr>
              <w:jc w:val="center"/>
              <w:rPr>
                <w:b/>
                <w:bCs/>
                <w:i/>
                <w:sz w:val="22"/>
                <w:szCs w:val="22"/>
              </w:rPr>
            </w:pPr>
            <w:r>
              <w:rPr>
                <w:b/>
                <w:bCs/>
                <w:i/>
                <w:sz w:val="22"/>
                <w:szCs w:val="22"/>
                <w:lang w:val="en-US" w:eastAsia="zh-CN" w:bidi="ar"/>
              </w:rPr>
              <w:t>70</w:t>
            </w:r>
          </w:p>
        </w:tc>
      </w:tr>
      <w:tr w:rsidR="001C08A5" w14:paraId="2655EAEA" w14:textId="77777777">
        <w:trPr>
          <w:trHeight w:val="345"/>
          <w:jc w:val="center"/>
        </w:trPr>
        <w:tc>
          <w:tcPr>
            <w:tcW w:w="172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037B8028" w14:textId="77777777" w:rsidR="001C08A5" w:rsidRDefault="00000000">
            <w:pPr>
              <w:jc w:val="center"/>
              <w:rPr>
                <w:b/>
                <w:bCs/>
                <w:i/>
                <w:sz w:val="22"/>
                <w:szCs w:val="22"/>
              </w:rPr>
            </w:pPr>
            <w:r>
              <w:rPr>
                <w:b/>
                <w:bCs/>
                <w:i/>
                <w:sz w:val="22"/>
                <w:szCs w:val="22"/>
                <w:lang w:val="en-US" w:eastAsia="zh-CN" w:bidi="ar"/>
              </w:rPr>
              <w:t>840 &lt; q &lt; 1680 </w:t>
            </w:r>
          </w:p>
        </w:tc>
        <w:tc>
          <w:tcPr>
            <w:tcW w:w="1284"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3F033F5" w14:textId="77777777" w:rsidR="001C08A5" w:rsidRDefault="00000000">
            <w:pPr>
              <w:jc w:val="center"/>
              <w:rPr>
                <w:b/>
                <w:bCs/>
                <w:i/>
                <w:sz w:val="22"/>
                <w:szCs w:val="22"/>
              </w:rPr>
            </w:pPr>
            <w:r>
              <w:rPr>
                <w:b/>
                <w:bCs/>
                <w:i/>
                <w:sz w:val="22"/>
                <w:szCs w:val="22"/>
                <w:lang w:val="en-US" w:eastAsia="zh-CN" w:bidi="ar"/>
              </w:rPr>
              <w:t>1:80 ... 1:60</w:t>
            </w:r>
          </w:p>
        </w:tc>
        <w:tc>
          <w:tcPr>
            <w:tcW w:w="92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2106050A" w14:textId="77777777" w:rsidR="001C08A5" w:rsidRDefault="00000000">
            <w:pPr>
              <w:jc w:val="center"/>
              <w:rPr>
                <w:b/>
                <w:bCs/>
                <w:i/>
                <w:sz w:val="22"/>
                <w:szCs w:val="22"/>
              </w:rPr>
            </w:pPr>
            <w:r>
              <w:rPr>
                <w:b/>
                <w:bCs/>
                <w:i/>
                <w:sz w:val="22"/>
                <w:szCs w:val="22"/>
                <w:lang w:val="en-US" w:eastAsia="zh-CN" w:bidi="ar"/>
              </w:rPr>
              <w:t>35</w:t>
            </w:r>
          </w:p>
        </w:tc>
        <w:tc>
          <w:tcPr>
            <w:tcW w:w="10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EFC0B99" w14:textId="77777777" w:rsidR="001C08A5" w:rsidRDefault="00000000">
            <w:pPr>
              <w:jc w:val="center"/>
              <w:rPr>
                <w:b/>
                <w:bCs/>
                <w:i/>
                <w:sz w:val="22"/>
                <w:szCs w:val="22"/>
              </w:rPr>
            </w:pPr>
            <w:r>
              <w:rPr>
                <w:b/>
                <w:bCs/>
                <w:i/>
                <w:sz w:val="22"/>
                <w:szCs w:val="22"/>
                <w:lang w:val="en-US" w:eastAsia="zh-CN" w:bidi="ar"/>
              </w:rPr>
              <w:t>70</w:t>
            </w:r>
          </w:p>
        </w:tc>
      </w:tr>
      <w:tr w:rsidR="001C08A5" w14:paraId="69AEED29" w14:textId="77777777">
        <w:trPr>
          <w:trHeight w:val="345"/>
          <w:jc w:val="center"/>
        </w:trPr>
        <w:tc>
          <w:tcPr>
            <w:tcW w:w="172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4921D013" w14:textId="77777777" w:rsidR="001C08A5" w:rsidRDefault="00000000">
            <w:pPr>
              <w:jc w:val="center"/>
              <w:rPr>
                <w:b/>
                <w:bCs/>
                <w:i/>
                <w:sz w:val="22"/>
                <w:szCs w:val="22"/>
              </w:rPr>
            </w:pPr>
            <w:r>
              <w:rPr>
                <w:b/>
                <w:bCs/>
                <w:i/>
                <w:sz w:val="22"/>
                <w:szCs w:val="22"/>
                <w:lang w:val="en-US" w:eastAsia="zh-CN" w:bidi="ar"/>
              </w:rPr>
              <w:t>1680 &lt; q &lt; 4200</w:t>
            </w:r>
          </w:p>
        </w:tc>
        <w:tc>
          <w:tcPr>
            <w:tcW w:w="1284"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138442B" w14:textId="77777777" w:rsidR="001C08A5" w:rsidRDefault="00000000">
            <w:pPr>
              <w:jc w:val="center"/>
              <w:rPr>
                <w:b/>
                <w:bCs/>
                <w:i/>
                <w:sz w:val="22"/>
                <w:szCs w:val="22"/>
              </w:rPr>
            </w:pPr>
            <w:r>
              <w:rPr>
                <w:b/>
                <w:bCs/>
                <w:i/>
                <w:sz w:val="22"/>
                <w:szCs w:val="22"/>
                <w:lang w:val="en-US" w:eastAsia="zh-CN" w:bidi="ar"/>
              </w:rPr>
              <w:t>1:60 ... 1:40</w:t>
            </w:r>
          </w:p>
        </w:tc>
        <w:tc>
          <w:tcPr>
            <w:tcW w:w="92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569BE23D" w14:textId="77777777" w:rsidR="001C08A5" w:rsidRDefault="00000000">
            <w:pPr>
              <w:jc w:val="center"/>
              <w:rPr>
                <w:b/>
                <w:bCs/>
                <w:i/>
                <w:sz w:val="22"/>
                <w:szCs w:val="22"/>
              </w:rPr>
            </w:pPr>
            <w:r>
              <w:rPr>
                <w:b/>
                <w:bCs/>
                <w:i/>
                <w:sz w:val="22"/>
                <w:szCs w:val="22"/>
                <w:lang w:val="en-US" w:eastAsia="zh-CN" w:bidi="ar"/>
              </w:rPr>
              <w:t>30</w:t>
            </w:r>
          </w:p>
        </w:tc>
        <w:tc>
          <w:tcPr>
            <w:tcW w:w="10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354315FA" w14:textId="77777777" w:rsidR="001C08A5" w:rsidRDefault="00000000">
            <w:pPr>
              <w:jc w:val="center"/>
              <w:rPr>
                <w:b/>
                <w:bCs/>
                <w:i/>
                <w:sz w:val="22"/>
                <w:szCs w:val="22"/>
              </w:rPr>
            </w:pPr>
            <w:r>
              <w:rPr>
                <w:b/>
                <w:bCs/>
                <w:i/>
                <w:sz w:val="22"/>
                <w:szCs w:val="22"/>
                <w:lang w:val="en-US" w:eastAsia="zh-CN" w:bidi="ar"/>
              </w:rPr>
              <w:t>30</w:t>
            </w:r>
          </w:p>
        </w:tc>
      </w:tr>
      <w:tr w:rsidR="001C08A5" w14:paraId="4DF685F7" w14:textId="77777777">
        <w:trPr>
          <w:trHeight w:val="360"/>
          <w:jc w:val="center"/>
        </w:trPr>
        <w:tc>
          <w:tcPr>
            <w:tcW w:w="1720"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76CD39D3" w14:textId="77777777" w:rsidR="001C08A5" w:rsidRDefault="00000000">
            <w:pPr>
              <w:jc w:val="center"/>
              <w:rPr>
                <w:b/>
                <w:bCs/>
                <w:i/>
                <w:sz w:val="22"/>
                <w:szCs w:val="22"/>
              </w:rPr>
            </w:pPr>
            <w:r>
              <w:rPr>
                <w:b/>
                <w:bCs/>
                <w:i/>
                <w:sz w:val="22"/>
                <w:szCs w:val="22"/>
                <w:lang w:val="en-US" w:eastAsia="zh-CN" w:bidi="ar"/>
              </w:rPr>
              <w:t>q &gt; 4200</w:t>
            </w:r>
          </w:p>
        </w:tc>
        <w:tc>
          <w:tcPr>
            <w:tcW w:w="1284"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A303E20" w14:textId="77777777" w:rsidR="001C08A5" w:rsidRDefault="00000000">
            <w:pPr>
              <w:jc w:val="center"/>
              <w:rPr>
                <w:b/>
                <w:bCs/>
                <w:i/>
                <w:sz w:val="22"/>
                <w:szCs w:val="22"/>
              </w:rPr>
            </w:pPr>
            <w:r>
              <w:rPr>
                <w:b/>
                <w:bCs/>
                <w:i/>
                <w:sz w:val="22"/>
                <w:szCs w:val="22"/>
                <w:lang w:val="en-US" w:eastAsia="zh-CN" w:bidi="ar"/>
              </w:rPr>
              <w:t>1:30</w:t>
            </w:r>
          </w:p>
        </w:tc>
        <w:tc>
          <w:tcPr>
            <w:tcW w:w="92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67CC2FCF" w14:textId="77777777" w:rsidR="001C08A5" w:rsidRDefault="00000000">
            <w:pPr>
              <w:jc w:val="center"/>
              <w:rPr>
                <w:b/>
                <w:bCs/>
                <w:i/>
                <w:sz w:val="22"/>
                <w:szCs w:val="22"/>
              </w:rPr>
            </w:pPr>
            <w:r>
              <w:rPr>
                <w:b/>
                <w:bCs/>
                <w:i/>
                <w:sz w:val="22"/>
                <w:szCs w:val="22"/>
                <w:lang w:val="en-US" w:eastAsia="zh-CN" w:bidi="ar"/>
              </w:rPr>
              <w:t>30</w:t>
            </w:r>
          </w:p>
        </w:tc>
        <w:tc>
          <w:tcPr>
            <w:tcW w:w="1067" w:type="pc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tcPr>
          <w:p w14:paraId="1F52FE67" w14:textId="77777777" w:rsidR="001C08A5" w:rsidRDefault="00000000">
            <w:pPr>
              <w:jc w:val="center"/>
              <w:rPr>
                <w:b/>
                <w:bCs/>
                <w:i/>
                <w:sz w:val="22"/>
                <w:szCs w:val="22"/>
              </w:rPr>
            </w:pPr>
            <w:r>
              <w:rPr>
                <w:b/>
                <w:bCs/>
                <w:i/>
                <w:sz w:val="22"/>
                <w:szCs w:val="22"/>
                <w:lang w:val="en-US" w:eastAsia="zh-CN" w:bidi="ar"/>
              </w:rPr>
              <w:t>30</w:t>
            </w:r>
          </w:p>
        </w:tc>
      </w:tr>
    </w:tbl>
    <w:p w14:paraId="057E38B0" w14:textId="77777777" w:rsidR="001C08A5" w:rsidRDefault="001C08A5">
      <w:pPr>
        <w:shd w:val="clear" w:color="auto" w:fill="FFFFFF"/>
        <w:spacing w:after="150"/>
        <w:jc w:val="both"/>
        <w:rPr>
          <w:rFonts w:eastAsia="Calibri"/>
          <w:b/>
          <w:i/>
          <w:sz w:val="24"/>
          <w:szCs w:val="24"/>
          <w:shd w:val="clear" w:color="auto" w:fill="FFFFFF"/>
        </w:rPr>
      </w:pPr>
    </w:p>
    <w:p w14:paraId="5651774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9.37.</w:t>
      </w:r>
      <w:r>
        <w:rPr>
          <w:rFonts w:eastAsia="Calibri"/>
          <w:i/>
          <w:sz w:val="24"/>
          <w:szCs w:val="24"/>
          <w:shd w:val="clear" w:color="auto" w:fill="FFFFFF"/>
        </w:rPr>
        <w:t> Dispozitivele pentru evacuarea fumului și a gazelor fierbinți vor fi distribuite cât mai uniform și prevăzute cu deschidere automată și manuală. Golurile permanent deschise (ventilări) din acoperiș sau din treimea superioară a pereților exteriori, se însumează la suprafața necesară evacuării gazelor fierbinți.</w:t>
      </w:r>
    </w:p>
    <w:p w14:paraId="0E58BEC0"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9.38.</w:t>
      </w:r>
      <w:r>
        <w:rPr>
          <w:rFonts w:eastAsia="Calibri"/>
          <w:i/>
          <w:sz w:val="24"/>
          <w:szCs w:val="24"/>
          <w:shd w:val="clear" w:color="auto" w:fill="FFFFFF"/>
        </w:rPr>
        <w:t> Atunci când se prevede evacuarea mecanică a fumului și a gazelor fierbinți, aceasta va respecta următoarele condiții:</w:t>
      </w:r>
    </w:p>
    <w:p w14:paraId="7D9A7FD2" w14:textId="77777777" w:rsidR="001C08A5" w:rsidRDefault="00000000">
      <w:pPr>
        <w:numPr>
          <w:ilvl w:val="0"/>
          <w:numId w:val="105"/>
        </w:numPr>
        <w:shd w:val="clear" w:color="auto" w:fill="FFFFFF"/>
        <w:tabs>
          <w:tab w:val="left" w:pos="420"/>
        </w:tabs>
        <w:jc w:val="both"/>
        <w:rPr>
          <w:rFonts w:eastAsia="Calibri"/>
          <w:i/>
          <w:sz w:val="24"/>
          <w:szCs w:val="24"/>
        </w:rPr>
      </w:pPr>
      <w:r>
        <w:rPr>
          <w:rFonts w:eastAsia="Calibri"/>
          <w:i/>
          <w:sz w:val="24"/>
          <w:szCs w:val="24"/>
          <w:shd w:val="clear" w:color="auto" w:fill="FFFFFF"/>
          <w:lang w:val="en-US" w:eastAsia="zh-CN" w:bidi="ar"/>
        </w:rPr>
        <w:t xml:space="preserve">dispunerea ecranelor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lang w:val="en-US" w:eastAsia="zh-CN" w:bidi="ar"/>
        </w:rPr>
        <w:t xml:space="preserve"> sub plafon, corespunzător prevederilor specifice evacuării prin tiraj natural - organizat (</w:t>
      </w:r>
      <w:r>
        <w:rPr>
          <w:rFonts w:eastAsia="Calibri"/>
          <w:i/>
          <w:sz w:val="24"/>
          <w:szCs w:val="24"/>
          <w:shd w:val="clear" w:color="auto" w:fill="FFFFFF"/>
        </w:rPr>
        <w:t xml:space="preserve">Art. </w:t>
      </w:r>
      <w:r>
        <w:rPr>
          <w:rFonts w:eastAsia="Calibri"/>
          <w:b/>
          <w:bCs/>
          <w:i/>
          <w:sz w:val="24"/>
          <w:szCs w:val="24"/>
          <w:shd w:val="clear" w:color="auto" w:fill="FFFFFF"/>
        </w:rPr>
        <w:t>A.10.9.36</w:t>
      </w:r>
      <w:r>
        <w:rPr>
          <w:rFonts w:eastAsia="Calibri"/>
          <w:i/>
          <w:sz w:val="24"/>
          <w:szCs w:val="24"/>
          <w:shd w:val="clear" w:color="auto" w:fill="FFFFFF"/>
          <w:lang w:val="en-US" w:eastAsia="zh-CN" w:bidi="ar"/>
        </w:rPr>
        <w:t xml:space="preserve">. și </w:t>
      </w:r>
      <w:r>
        <w:rPr>
          <w:rFonts w:eastAsia="Calibri"/>
          <w:i/>
          <w:sz w:val="24"/>
          <w:szCs w:val="24"/>
          <w:shd w:val="clear" w:color="auto" w:fill="FFFFFF"/>
        </w:rPr>
        <w:t xml:space="preserve">Art. </w:t>
      </w:r>
      <w:r>
        <w:rPr>
          <w:rFonts w:eastAsia="Calibri"/>
          <w:b/>
          <w:bCs/>
          <w:i/>
          <w:sz w:val="24"/>
          <w:szCs w:val="24"/>
          <w:shd w:val="clear" w:color="auto" w:fill="FFFFFF"/>
        </w:rPr>
        <w:t>A.10.9.44</w:t>
      </w:r>
      <w:r>
        <w:rPr>
          <w:rFonts w:eastAsia="Calibri"/>
          <w:i/>
          <w:sz w:val="24"/>
          <w:szCs w:val="24"/>
          <w:shd w:val="clear" w:color="auto" w:fill="FFFFFF"/>
          <w:lang w:val="en-US" w:eastAsia="zh-CN" w:bidi="ar"/>
        </w:rPr>
        <w:t>.):</w:t>
      </w:r>
    </w:p>
    <w:p w14:paraId="2B26A4B6" w14:textId="77777777" w:rsidR="001C08A5" w:rsidRDefault="00000000">
      <w:pPr>
        <w:numPr>
          <w:ilvl w:val="0"/>
          <w:numId w:val="105"/>
        </w:numPr>
        <w:shd w:val="clear" w:color="auto" w:fill="FFFFFF"/>
        <w:tabs>
          <w:tab w:val="left" w:pos="420"/>
        </w:tabs>
        <w:jc w:val="both"/>
        <w:rPr>
          <w:rFonts w:eastAsia="Calibri"/>
          <w:i/>
          <w:sz w:val="24"/>
          <w:szCs w:val="24"/>
        </w:rPr>
      </w:pPr>
      <w:r>
        <w:rPr>
          <w:rFonts w:eastAsia="Calibri"/>
          <w:i/>
          <w:sz w:val="24"/>
          <w:szCs w:val="24"/>
          <w:shd w:val="clear" w:color="auto" w:fill="FFFFFF"/>
          <w:lang w:val="en-US" w:eastAsia="zh-CN" w:bidi="ar"/>
        </w:rPr>
        <w:t>prevederea gurilor de evacuare se realizează astfel încât să se asigure cel puțin o</w:t>
      </w:r>
      <w:r>
        <w:rPr>
          <w:rFonts w:eastAsia="Calibri"/>
          <w:i/>
          <w:sz w:val="24"/>
          <w:szCs w:val="24"/>
          <w:shd w:val="clear" w:color="auto" w:fill="FFFFFF"/>
          <w:lang w:eastAsia="zh-CN" w:bidi="ar"/>
        </w:rPr>
        <w:t xml:space="preserve"> </w:t>
      </w:r>
      <w:r>
        <w:rPr>
          <w:rFonts w:eastAsia="Calibri"/>
          <w:i/>
          <w:sz w:val="24"/>
          <w:szCs w:val="24"/>
          <w:shd w:val="clear" w:color="auto" w:fill="FFFFFF"/>
          <w:lang w:val="en-US" w:eastAsia="zh-CN" w:bidi="ar"/>
        </w:rPr>
        <w:t xml:space="preserve">gură la maximum </w:t>
      </w:r>
      <w:r>
        <w:rPr>
          <w:rFonts w:eastAsia="Calibri"/>
          <w:b/>
          <w:bCs/>
          <w:i/>
          <w:sz w:val="24"/>
          <w:szCs w:val="24"/>
          <w:shd w:val="clear" w:color="auto" w:fill="FFFFFF"/>
          <w:lang w:val="en-US" w:eastAsia="zh-CN" w:bidi="ar"/>
        </w:rPr>
        <w:t>320 m</w:t>
      </w:r>
      <w:r>
        <w:rPr>
          <w:rFonts w:eastAsia="Calibri"/>
          <w:b/>
          <w:bCs/>
          <w:i/>
          <w:sz w:val="24"/>
          <w:szCs w:val="24"/>
          <w:shd w:val="clear" w:color="auto" w:fill="FFFFFF"/>
          <w:vertAlign w:val="superscript"/>
          <w:lang w:val="en-US" w:eastAsia="zh-CN" w:bidi="ar"/>
        </w:rPr>
        <w:t>2</w:t>
      </w:r>
      <w:r>
        <w:rPr>
          <w:rFonts w:eastAsia="Calibri"/>
          <w:i/>
          <w:sz w:val="24"/>
          <w:szCs w:val="24"/>
          <w:shd w:val="clear" w:color="auto" w:fill="FFFFFF"/>
          <w:lang w:val="en-US" w:eastAsia="zh-CN" w:bidi="ar"/>
        </w:rPr>
        <w:t>;</w:t>
      </w:r>
    </w:p>
    <w:p w14:paraId="048992B1" w14:textId="77777777" w:rsidR="001C08A5" w:rsidRDefault="00000000">
      <w:pPr>
        <w:numPr>
          <w:ilvl w:val="0"/>
          <w:numId w:val="105"/>
        </w:numPr>
        <w:shd w:val="clear" w:color="auto" w:fill="FFFFFF"/>
        <w:tabs>
          <w:tab w:val="left" w:pos="420"/>
        </w:tabs>
        <w:jc w:val="both"/>
        <w:rPr>
          <w:rFonts w:eastAsia="Calibri"/>
          <w:i/>
          <w:sz w:val="24"/>
          <w:szCs w:val="24"/>
        </w:rPr>
      </w:pPr>
      <w:r>
        <w:rPr>
          <w:rFonts w:eastAsia="Calibri"/>
          <w:i/>
          <w:sz w:val="24"/>
          <w:szCs w:val="24"/>
          <w:shd w:val="clear" w:color="auto" w:fill="FFFFFF"/>
          <w:lang w:val="en-US" w:eastAsia="zh-CN" w:bidi="ar"/>
        </w:rPr>
        <w:t xml:space="preserve">debitul de extragere a unei guri va fi de cel puțin </w:t>
      </w:r>
      <w:r>
        <w:rPr>
          <w:rFonts w:eastAsia="Calibri"/>
          <w:b/>
          <w:bCs/>
          <w:i/>
          <w:sz w:val="24"/>
          <w:szCs w:val="24"/>
          <w:shd w:val="clear" w:color="auto" w:fill="FFFFFF"/>
          <w:lang w:val="en-US" w:eastAsia="zh-CN" w:bidi="ar"/>
        </w:rPr>
        <w:t xml:space="preserve">1 </w:t>
      </w:r>
      <w:r>
        <w:rPr>
          <w:rFonts w:eastAsia="Calibri"/>
          <w:b/>
          <w:bCs/>
          <w:i/>
          <w:sz w:val="24"/>
          <w:szCs w:val="24"/>
          <w:shd w:val="clear" w:color="auto" w:fill="FFFFFF"/>
          <w:lang w:eastAsia="zh-CN" w:bidi="ar"/>
        </w:rPr>
        <w:t>m</w:t>
      </w:r>
      <w:r>
        <w:rPr>
          <w:rFonts w:eastAsia="Calibri"/>
          <w:b/>
          <w:bCs/>
          <w:i/>
          <w:sz w:val="24"/>
          <w:szCs w:val="24"/>
          <w:shd w:val="clear" w:color="auto" w:fill="FFFFFF"/>
          <w:vertAlign w:val="superscript"/>
          <w:lang w:eastAsia="zh-CN" w:bidi="ar"/>
        </w:rPr>
        <w:t>3</w:t>
      </w:r>
      <w:r>
        <w:rPr>
          <w:rFonts w:eastAsia="Calibri"/>
          <w:b/>
          <w:bCs/>
          <w:i/>
          <w:sz w:val="24"/>
          <w:szCs w:val="24"/>
          <w:shd w:val="clear" w:color="auto" w:fill="FFFFFF"/>
          <w:lang w:val="en-US" w:eastAsia="zh-CN" w:bidi="ar"/>
        </w:rPr>
        <w:t>/s</w:t>
      </w:r>
      <w:r>
        <w:rPr>
          <w:rFonts w:eastAsia="Calibri"/>
          <w:i/>
          <w:sz w:val="24"/>
          <w:szCs w:val="24"/>
          <w:shd w:val="clear" w:color="auto" w:fill="FFFFFF"/>
          <w:lang w:val="en-US" w:eastAsia="zh-CN" w:bidi="ar"/>
        </w:rPr>
        <w:t xml:space="preserve"> pentru </w:t>
      </w:r>
      <w:r>
        <w:rPr>
          <w:rFonts w:eastAsia="Calibri"/>
          <w:b/>
          <w:bCs/>
          <w:i/>
          <w:sz w:val="24"/>
          <w:szCs w:val="24"/>
          <w:shd w:val="clear" w:color="auto" w:fill="FFFFFF"/>
          <w:lang w:val="en-US" w:eastAsia="zh-CN" w:bidi="ar"/>
        </w:rPr>
        <w:t>100 m</w:t>
      </w:r>
      <w:r>
        <w:rPr>
          <w:rFonts w:eastAsia="Calibri"/>
          <w:b/>
          <w:bCs/>
          <w:i/>
          <w:sz w:val="24"/>
          <w:szCs w:val="24"/>
          <w:shd w:val="clear" w:color="auto" w:fill="FFFFFF"/>
          <w:vertAlign w:val="superscript"/>
          <w:lang w:val="en-US" w:eastAsia="zh-CN" w:bidi="ar"/>
        </w:rPr>
        <w:t>2</w:t>
      </w:r>
      <w:r>
        <w:rPr>
          <w:rFonts w:eastAsia="Calibri"/>
          <w:i/>
          <w:sz w:val="24"/>
          <w:szCs w:val="24"/>
          <w:shd w:val="clear" w:color="auto" w:fill="FFFFFF"/>
          <w:lang w:val="en-US" w:eastAsia="zh-CN" w:bidi="ar"/>
        </w:rPr>
        <w:t xml:space="preserve"> delimitați de ecrane, iar pentru încăpere va fi de minimum </w:t>
      </w:r>
      <w:r>
        <w:rPr>
          <w:rFonts w:eastAsia="Calibri"/>
          <w:b/>
          <w:bCs/>
          <w:i/>
          <w:sz w:val="24"/>
          <w:szCs w:val="24"/>
          <w:shd w:val="clear" w:color="auto" w:fill="FFFFFF"/>
          <w:lang w:val="en-US" w:eastAsia="zh-CN" w:bidi="ar"/>
        </w:rPr>
        <w:t>1,5 m</w:t>
      </w:r>
      <w:r>
        <w:rPr>
          <w:rFonts w:eastAsia="Calibri"/>
          <w:b/>
          <w:bCs/>
          <w:i/>
          <w:sz w:val="24"/>
          <w:szCs w:val="24"/>
          <w:shd w:val="clear" w:color="auto" w:fill="FFFFFF"/>
          <w:vertAlign w:val="superscript"/>
          <w:lang w:eastAsia="zh-CN" w:bidi="ar"/>
        </w:rPr>
        <w:t>3</w:t>
      </w:r>
      <w:r>
        <w:rPr>
          <w:rFonts w:eastAsia="Calibri"/>
          <w:b/>
          <w:bCs/>
          <w:i/>
          <w:sz w:val="24"/>
          <w:szCs w:val="24"/>
          <w:shd w:val="clear" w:color="auto" w:fill="FFFFFF"/>
          <w:lang w:eastAsia="zh-CN" w:bidi="ar"/>
        </w:rPr>
        <w:t>/</w:t>
      </w:r>
      <w:r>
        <w:rPr>
          <w:rFonts w:eastAsia="Calibri"/>
          <w:b/>
          <w:bCs/>
          <w:i/>
          <w:sz w:val="24"/>
          <w:szCs w:val="24"/>
          <w:shd w:val="clear" w:color="auto" w:fill="FFFFFF"/>
          <w:lang w:val="en-US" w:eastAsia="zh-CN" w:bidi="ar"/>
        </w:rPr>
        <w:t xml:space="preserve"> s</w:t>
      </w:r>
      <w:r>
        <w:rPr>
          <w:rFonts w:eastAsia="Calibri"/>
          <w:i/>
          <w:sz w:val="24"/>
          <w:szCs w:val="24"/>
          <w:shd w:val="clear" w:color="auto" w:fill="FFFFFF"/>
          <w:lang w:val="en-US" w:eastAsia="zh-CN" w:bidi="ar"/>
        </w:rPr>
        <w:t>;</w:t>
      </w:r>
    </w:p>
    <w:p w14:paraId="2CCD4919" w14:textId="77777777" w:rsidR="001C08A5" w:rsidRDefault="00000000">
      <w:pPr>
        <w:numPr>
          <w:ilvl w:val="0"/>
          <w:numId w:val="105"/>
        </w:numPr>
        <w:shd w:val="clear" w:color="auto" w:fill="FFFFFF"/>
        <w:tabs>
          <w:tab w:val="left" w:pos="420"/>
        </w:tabs>
        <w:jc w:val="both"/>
        <w:rPr>
          <w:rFonts w:eastAsia="Calibri"/>
          <w:i/>
          <w:sz w:val="24"/>
          <w:szCs w:val="24"/>
        </w:rPr>
      </w:pPr>
      <w:r>
        <w:rPr>
          <w:rFonts w:eastAsia="Calibri"/>
          <w:i/>
          <w:sz w:val="24"/>
          <w:szCs w:val="24"/>
          <w:shd w:val="clear" w:color="auto" w:fill="FFFFFF"/>
          <w:lang w:val="en-US" w:eastAsia="zh-CN" w:bidi="ar"/>
        </w:rPr>
        <w:t>la un ventilator de evacuare pot fi racordate maximum două volume delimitate de ecrane, iar debitul ventilatorului poate fi redus la debitul necesar celui mai mare volum racordat;</w:t>
      </w:r>
    </w:p>
    <w:p w14:paraId="5A7A11C8" w14:textId="77777777" w:rsidR="001C08A5" w:rsidRDefault="00000000">
      <w:pPr>
        <w:numPr>
          <w:ilvl w:val="0"/>
          <w:numId w:val="105"/>
        </w:numPr>
        <w:shd w:val="clear" w:color="auto" w:fill="FFFFFF"/>
        <w:tabs>
          <w:tab w:val="left" w:pos="420"/>
        </w:tabs>
        <w:spacing w:after="150"/>
        <w:jc w:val="both"/>
        <w:rPr>
          <w:rFonts w:eastAsia="Calibri"/>
          <w:i/>
          <w:sz w:val="24"/>
          <w:szCs w:val="24"/>
          <w:shd w:val="clear" w:color="auto" w:fill="FFFFFF"/>
        </w:rPr>
      </w:pPr>
      <w:r>
        <w:rPr>
          <w:rFonts w:eastAsia="Calibri"/>
          <w:i/>
          <w:sz w:val="24"/>
          <w:szCs w:val="24"/>
          <w:shd w:val="clear" w:color="auto" w:fill="FFFFFF"/>
          <w:lang w:val="en-US" w:eastAsia="zh-CN"/>
        </w:rPr>
        <w:t>introducerea aerului se poate realiza mecanic sau natural, prin partea de jos a pereților, cât mai aproape de pardoseală.</w:t>
      </w:r>
    </w:p>
    <w:p w14:paraId="18090D5C"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9.39. </w:t>
      </w:r>
      <w:r>
        <w:rPr>
          <w:rFonts w:eastAsia="Calibri"/>
          <w:i/>
          <w:sz w:val="24"/>
          <w:szCs w:val="24"/>
          <w:shd w:val="clear" w:color="auto" w:fill="FFFFFF"/>
        </w:rPr>
        <w:t xml:space="preserve">Prevederea dispozitivelor pentru evacuarea gazelor fierbinți nu este obligatorie în zonele construcției existente situate la mai puțin de 30 m de pereții exteriori ce au în treimea superioară a încăperilor deschideri sau ferestre prevăzute cu ochiuri mobile care se deschid automat în caz de incendiu, cu suprafața liberă necesară și care asigură evacuarea gazelor fierbinți. Când acționarea manuala nu se poate face din apropierea dispozitivelor de evacuare (trape, ferestre, etc.) iar centralizarea comenzilor nu este justificată tehnic, se admite ca acestea să nu fie prevăzute cu </w:t>
      </w:r>
      <w:r>
        <w:rPr>
          <w:rFonts w:eastAsia="Calibri"/>
          <w:i/>
          <w:sz w:val="24"/>
          <w:szCs w:val="24"/>
          <w:shd w:val="clear" w:color="auto" w:fill="FFFFFF"/>
        </w:rPr>
        <w:lastRenderedPageBreak/>
        <w:t>acționare manuală. În cazul utilizării sistemelor de dispozitive și ecarne pentru evacuarea gazelor fierbinți, nu mai este obligatorie prevederea dispozitivelor de evacuare a fumului (desfumare).</w:t>
      </w:r>
    </w:p>
    <w:p w14:paraId="2E5244E2"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9.40.</w:t>
      </w:r>
      <w:r>
        <w:rPr>
          <w:rFonts w:eastAsia="Calibri"/>
          <w:i/>
          <w:sz w:val="24"/>
          <w:szCs w:val="24"/>
          <w:shd w:val="clear" w:color="auto" w:fill="FFFFFF"/>
        </w:rPr>
        <w:t> Deschiderea automată a dispozitivelor de evacuare a fumului și a gazelor fierbinți, în caz de incendiu, se poate face individual sau în grup.</w:t>
      </w:r>
    </w:p>
    <w:p w14:paraId="2529705D"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9.41.</w:t>
      </w:r>
      <w:r>
        <w:rPr>
          <w:rFonts w:eastAsia="Calibri"/>
          <w:i/>
          <w:sz w:val="24"/>
          <w:szCs w:val="24"/>
          <w:shd w:val="clear" w:color="auto" w:fill="FFFFFF"/>
        </w:rPr>
        <w:t> În construcțiile existente prevăzute cu instalații automate de stingere, acționarea automată a dispozitivelor de evacuare a gazelor fierbinți trebuie să se facă după declanșarea instalațiilor de stingere.</w:t>
      </w:r>
    </w:p>
    <w:p w14:paraId="41C86698"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9.42.</w:t>
      </w:r>
      <w:r>
        <w:rPr>
          <w:rFonts w:eastAsia="Calibri"/>
          <w:i/>
          <w:sz w:val="24"/>
          <w:szCs w:val="24"/>
          <w:shd w:val="clear" w:color="auto" w:fill="FFFFFF"/>
        </w:rPr>
        <w:t xml:space="preserve"> În construcțiile existente prevăzute cu luminatoare, evacuarea gazelor fierbinți se va asigura obligatoriu prin ochiuri mobile ale acestora, care să îndeplinească condițiile dispozitivelor de evacuare a gazelor fierbinți. Fac excepție situațiile precizate la Art. </w:t>
      </w:r>
      <w:r>
        <w:rPr>
          <w:rFonts w:eastAsia="Calibri"/>
          <w:b/>
          <w:bCs/>
          <w:i/>
          <w:sz w:val="24"/>
          <w:szCs w:val="24"/>
          <w:shd w:val="clear" w:color="auto" w:fill="FFFFFF"/>
        </w:rPr>
        <w:t>A.10.9.39</w:t>
      </w:r>
    </w:p>
    <w:p w14:paraId="4014A1A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9.43.</w:t>
      </w:r>
      <w:r>
        <w:rPr>
          <w:rFonts w:eastAsia="Calibri"/>
          <w:i/>
          <w:sz w:val="24"/>
          <w:szCs w:val="24"/>
          <w:shd w:val="clear" w:color="auto" w:fill="FFFFFF"/>
        </w:rPr>
        <w:t xml:space="preserve"> La construcțiile existente etajate, evacuarea fumului și a gazelor fierbinți se asigură separat pentru fiecare nivel, iar canalele respective care traversează alte niveluri vor avea pereți </w:t>
      </w:r>
      <w:r>
        <w:rPr>
          <w:rFonts w:eastAsia="TimesNewRomanPSMT-Identity-H"/>
          <w:i/>
          <w:sz w:val="24"/>
          <w:szCs w:val="24"/>
        </w:rPr>
        <w:t xml:space="preserve">clasa de reacție la foc </w:t>
      </w:r>
      <w:r>
        <w:rPr>
          <w:b/>
          <w:bCs/>
          <w:i/>
          <w:sz w:val="24"/>
          <w:szCs w:val="24"/>
          <w:lang w:val="en-GB"/>
        </w:rPr>
        <w:t>A1, A2s1d0</w:t>
      </w:r>
      <w:r>
        <w:rPr>
          <w:rFonts w:eastAsia="Calibri"/>
          <w:i/>
          <w:sz w:val="24"/>
          <w:szCs w:val="24"/>
          <w:shd w:val="clear" w:color="auto" w:fill="FFFFFF"/>
        </w:rPr>
        <w:t xml:space="preserve"> cu rezistență la foc de cel puțin 1 oră (</w:t>
      </w:r>
      <w:r>
        <w:rPr>
          <w:rFonts w:eastAsia="Calibri"/>
          <w:b/>
          <w:bCs/>
          <w:i/>
          <w:sz w:val="24"/>
          <w:szCs w:val="24"/>
          <w:shd w:val="clear" w:color="auto" w:fill="FFFFFF"/>
        </w:rPr>
        <w:t>EI/REI60</w:t>
      </w:r>
      <w:r>
        <w:rPr>
          <w:rFonts w:eastAsia="Calibri"/>
          <w:i/>
          <w:sz w:val="24"/>
          <w:szCs w:val="24"/>
          <w:shd w:val="clear" w:color="auto" w:fill="FFFFFF"/>
        </w:rPr>
        <w:t>). Se exceptează situațiile deosebite, justificate tehnic, care sunt stabilite prin reglementări specifice.</w:t>
      </w:r>
    </w:p>
    <w:p w14:paraId="728A1B45"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9.44.</w:t>
      </w:r>
      <w:r>
        <w:rPr>
          <w:rFonts w:eastAsia="Calibri"/>
          <w:i/>
          <w:sz w:val="24"/>
          <w:szCs w:val="24"/>
          <w:shd w:val="clear" w:color="auto" w:fill="FFFFFF"/>
        </w:rPr>
        <w:t xml:space="preserve"> Ecranele vor coborî sub plafon în așa fel încât marginea lor inferioară să se afle, de regulă, cât mai jos, dar cel puțin </w:t>
      </w:r>
      <w:r>
        <w:rPr>
          <w:rFonts w:eastAsia="Calibri"/>
          <w:b/>
          <w:bCs/>
          <w:i/>
          <w:sz w:val="24"/>
          <w:szCs w:val="24"/>
          <w:shd w:val="clear" w:color="auto" w:fill="FFFFFF"/>
        </w:rPr>
        <w:t>50 cm</w:t>
      </w:r>
      <w:r>
        <w:rPr>
          <w:rFonts w:eastAsia="Calibri"/>
          <w:i/>
          <w:sz w:val="24"/>
          <w:szCs w:val="24"/>
          <w:shd w:val="clear" w:color="auto" w:fill="FFFFFF"/>
        </w:rPr>
        <w:t xml:space="preserve"> sub plafon. Înălțimea ecranelor sub plafon poate fi redusă cu maximum </w:t>
      </w:r>
      <w:r>
        <w:rPr>
          <w:rFonts w:eastAsia="Calibri"/>
          <w:b/>
          <w:bCs/>
          <w:i/>
          <w:sz w:val="24"/>
          <w:szCs w:val="24"/>
          <w:shd w:val="clear" w:color="auto" w:fill="FFFFFF"/>
        </w:rPr>
        <w:t>1/3</w:t>
      </w:r>
      <w:r>
        <w:rPr>
          <w:rFonts w:eastAsia="Calibri"/>
          <w:i/>
          <w:sz w:val="24"/>
          <w:szCs w:val="24"/>
          <w:shd w:val="clear" w:color="auto" w:fill="FFFFFF"/>
        </w:rPr>
        <w:t xml:space="preserve">, dacă prin amplasarea lor la distanță mai mică decât cea prevăzută în </w:t>
      </w:r>
      <w:r>
        <w:rPr>
          <w:rFonts w:eastAsia="Calibri"/>
          <w:b/>
          <w:bCs/>
          <w:i/>
          <w:iCs/>
          <w:sz w:val="24"/>
          <w:szCs w:val="24"/>
          <w:shd w:val="clear" w:color="auto" w:fill="FFFFFF"/>
        </w:rPr>
        <w:fldChar w:fldCharType="begin"/>
      </w:r>
      <w:r>
        <w:rPr>
          <w:rFonts w:eastAsia="Calibri"/>
          <w:b/>
          <w:bCs/>
          <w:i/>
          <w:iCs/>
          <w:sz w:val="24"/>
          <w:szCs w:val="24"/>
          <w:shd w:val="clear" w:color="auto" w:fill="FFFFFF"/>
        </w:rPr>
        <w:instrText xml:space="preserve"> REF _Ref20220 \h </w:instrText>
      </w:r>
      <w:r>
        <w:rPr>
          <w:rFonts w:eastAsia="Calibri"/>
          <w:b/>
          <w:bCs/>
          <w:i/>
          <w:iCs/>
          <w:sz w:val="24"/>
          <w:szCs w:val="24"/>
          <w:shd w:val="clear" w:color="auto" w:fill="FFFFFF"/>
        </w:rPr>
      </w:r>
      <w:r>
        <w:rPr>
          <w:rFonts w:eastAsia="Calibri"/>
          <w:b/>
          <w:bCs/>
          <w:i/>
          <w:iCs/>
          <w:sz w:val="24"/>
          <w:szCs w:val="24"/>
          <w:shd w:val="clear" w:color="auto" w:fill="FFFFFF"/>
        </w:rPr>
        <w:fldChar w:fldCharType="separate"/>
      </w:r>
      <w:r>
        <w:t>Tabelul 174</w:t>
      </w:r>
      <w:r>
        <w:rPr>
          <w:rFonts w:eastAsia="Calibri"/>
          <w:b/>
          <w:bCs/>
          <w:i/>
          <w:iCs/>
          <w:sz w:val="24"/>
          <w:szCs w:val="24"/>
          <w:shd w:val="clear" w:color="auto" w:fill="FFFFFF"/>
        </w:rPr>
        <w:fldChar w:fldCharType="end"/>
      </w:r>
      <w:r>
        <w:rPr>
          <w:rFonts w:eastAsia="Calibri"/>
          <w:i/>
          <w:sz w:val="24"/>
          <w:szCs w:val="24"/>
          <w:shd w:val="clear" w:color="auto" w:fill="FFFFFF"/>
        </w:rPr>
        <w:t xml:space="preserve"> și prin suprafața de deschidere asigurată se realizează condiții echivalente de limitare a propagării laterale a gazelor fierbinți, sub plafonul încăperilor. În încăperi cu plafoane suspendate, continuitatea golurilor dintre acestea și planșeul de rezistență trebuie întreruptă în dreptul ecranelor, cu material </w:t>
      </w:r>
      <w:r>
        <w:rPr>
          <w:rFonts w:eastAsia="TimesNewRomanPSMT-Identity-H"/>
          <w:i/>
          <w:sz w:val="24"/>
          <w:szCs w:val="24"/>
        </w:rPr>
        <w:t xml:space="preserve">clasa de reacție la foc </w:t>
      </w:r>
      <w:r>
        <w:rPr>
          <w:b/>
          <w:bCs/>
          <w:i/>
          <w:sz w:val="24"/>
          <w:szCs w:val="24"/>
          <w:lang w:val="en-GB"/>
        </w:rPr>
        <w:t>A1, A2s1d0</w:t>
      </w:r>
      <w:r>
        <w:rPr>
          <w:b/>
          <w:bCs/>
          <w:i/>
          <w:sz w:val="24"/>
          <w:szCs w:val="24"/>
        </w:rPr>
        <w:t>.</w:t>
      </w:r>
    </w:p>
    <w:p w14:paraId="37450839" w14:textId="77777777" w:rsidR="001C08A5" w:rsidRDefault="00000000">
      <w:pPr>
        <w:shd w:val="clear" w:color="auto" w:fill="FFFFFF"/>
        <w:spacing w:after="150"/>
        <w:jc w:val="both"/>
        <w:rPr>
          <w:rFonts w:eastAsia="Calibri"/>
          <w:i/>
          <w:sz w:val="24"/>
          <w:szCs w:val="24"/>
        </w:rPr>
      </w:pPr>
      <w:r>
        <w:rPr>
          <w:rFonts w:eastAsia="Calibri"/>
          <w:b/>
          <w:i/>
          <w:sz w:val="24"/>
          <w:szCs w:val="24"/>
          <w:shd w:val="clear" w:color="auto" w:fill="FFFFFF"/>
        </w:rPr>
        <w:t xml:space="preserve">A.10. </w:t>
      </w:r>
      <w:r>
        <w:rPr>
          <w:rFonts w:eastAsia="Calibri"/>
          <w:b/>
          <w:bCs/>
          <w:i/>
          <w:sz w:val="24"/>
          <w:szCs w:val="24"/>
          <w:shd w:val="clear" w:color="auto" w:fill="FFFFFF"/>
        </w:rPr>
        <w:t>9.45.</w:t>
      </w:r>
      <w:r>
        <w:rPr>
          <w:rFonts w:eastAsia="Calibri"/>
          <w:i/>
          <w:sz w:val="24"/>
          <w:szCs w:val="24"/>
          <w:shd w:val="clear" w:color="auto" w:fill="FFFFFF"/>
        </w:rPr>
        <w:t> Ecranele vor fi astfel alcătuite și dispuse încât să realizeze o casetare a spațiului de sub acoperiș. Fiecare casetă va fi prevăzută cu cel puțin un dispozitiv de evacuare a gazelorfierbinți. Dispunerea ecranelor se face, de regulă, pe latura elementelor de rezistență din zona riscului potențial de incendiu. Nu se admite traversarea ecranelor de către elemente combustibile.</w:t>
      </w:r>
    </w:p>
    <w:p w14:paraId="6E594ABF" w14:textId="77777777" w:rsidR="001C08A5" w:rsidRDefault="00000000">
      <w:pPr>
        <w:spacing w:before="240" w:after="60" w:line="276" w:lineRule="auto"/>
        <w:jc w:val="both"/>
        <w:rPr>
          <w:b/>
          <w:bCs/>
          <w:i/>
          <w:kern w:val="1"/>
          <w:sz w:val="24"/>
          <w:szCs w:val="24"/>
        </w:rPr>
      </w:pPr>
      <w:r>
        <w:rPr>
          <w:b/>
          <w:bCs/>
          <w:i/>
          <w:kern w:val="1"/>
          <w:sz w:val="24"/>
          <w:szCs w:val="24"/>
        </w:rPr>
        <w:t>Notă generală Anexa 10: dacă pentru conformarea intervențiilor la construcțiile existente (atunci când acestea nu-și schimbă destinația) se regăsesc prevederi în Anexa 10 care sunt mai restrictive decât cele privind performanțele cerute pentru clădiri noi, se vor aplica acele prevederi cerute pentru clădiri noi (mai puțin restrictive).</w:t>
      </w:r>
    </w:p>
    <w:p w14:paraId="72956BA2" w14:textId="77777777" w:rsidR="001C08A5" w:rsidRDefault="001C08A5">
      <w:pPr>
        <w:jc w:val="both"/>
        <w:rPr>
          <w:b/>
          <w:bCs/>
          <w:i/>
          <w:sz w:val="24"/>
          <w:szCs w:val="24"/>
        </w:rPr>
      </w:pPr>
    </w:p>
    <w:p w14:paraId="694F1591" w14:textId="77777777" w:rsidR="001C08A5" w:rsidRDefault="001C08A5">
      <w:pPr>
        <w:jc w:val="both"/>
        <w:rPr>
          <w:b/>
          <w:bCs/>
          <w:i/>
          <w:sz w:val="24"/>
          <w:szCs w:val="24"/>
        </w:rPr>
      </w:pPr>
    </w:p>
    <w:p w14:paraId="19FB5549" w14:textId="77777777" w:rsidR="001C08A5" w:rsidRDefault="00000000">
      <w:pPr>
        <w:pStyle w:val="Heading2"/>
        <w:rPr>
          <w:sz w:val="28"/>
        </w:rPr>
      </w:pPr>
      <w:bookmarkStart w:id="11710" w:name="_Toc21379"/>
      <w:bookmarkStart w:id="11711" w:name="_Toc5732"/>
      <w:bookmarkStart w:id="11712" w:name="_Toc24454"/>
      <w:bookmarkStart w:id="11713" w:name="_Toc27205"/>
      <w:bookmarkStart w:id="11714" w:name="_Toc13450"/>
      <w:bookmarkStart w:id="11715" w:name="_Toc162355674"/>
      <w:r>
        <w:rPr>
          <w:sz w:val="28"/>
        </w:rPr>
        <w:t>ANEXA 11 - SISTEME DE EVACUARE A FUMULUI ȘI A GAZELOR FIERBINȚI</w:t>
      </w:r>
      <w:bookmarkEnd w:id="11710"/>
      <w:bookmarkEnd w:id="11711"/>
      <w:bookmarkEnd w:id="11712"/>
      <w:bookmarkEnd w:id="11713"/>
      <w:bookmarkEnd w:id="11714"/>
      <w:bookmarkEnd w:id="11715"/>
    </w:p>
    <w:p w14:paraId="5A03A3CA" w14:textId="77777777" w:rsidR="001C08A5" w:rsidRDefault="001C08A5">
      <w:pPr>
        <w:jc w:val="both"/>
        <w:rPr>
          <w:b/>
          <w:bCs/>
          <w:i/>
          <w:sz w:val="24"/>
          <w:szCs w:val="24"/>
        </w:rPr>
      </w:pPr>
    </w:p>
    <w:p w14:paraId="58AF6728" w14:textId="77777777" w:rsidR="001C08A5" w:rsidRDefault="00000000">
      <w:pPr>
        <w:numPr>
          <w:ilvl w:val="0"/>
          <w:numId w:val="96"/>
        </w:numPr>
        <w:tabs>
          <w:tab w:val="left" w:pos="426"/>
          <w:tab w:val="left" w:pos="993"/>
        </w:tabs>
        <w:jc w:val="both"/>
        <w:rPr>
          <w:b/>
          <w:bCs/>
          <w:i/>
          <w:sz w:val="24"/>
          <w:szCs w:val="24"/>
        </w:rPr>
      </w:pPr>
      <w:r>
        <w:rPr>
          <w:bCs/>
          <w:i/>
          <w:iCs/>
          <w:sz w:val="24"/>
          <w:szCs w:val="24"/>
        </w:rPr>
        <w:t xml:space="preserve">Aria aerodinamică liberă a gurilor de introducere a aerului </w:t>
      </w:r>
      <w:r>
        <w:rPr>
          <w:bCs/>
          <w:i/>
          <w:iCs/>
          <w:sz w:val="24"/>
          <w:szCs w:val="24"/>
          <w:lang w:val="en-GB"/>
        </w:rPr>
        <w:t>reprezinta aria</w:t>
      </w:r>
      <w:r>
        <w:rPr>
          <w:bCs/>
          <w:i/>
          <w:iCs/>
          <w:sz w:val="24"/>
          <w:szCs w:val="24"/>
        </w:rPr>
        <w:t xml:space="preserve"> totală a secțiunii transversale neobstrucționate (aria liberă geometrică), măsurată în zona cu secțiunea cea mi mică, conform figuri</w:t>
      </w:r>
      <w:r>
        <w:rPr>
          <w:b/>
          <w:bCs/>
          <w:i/>
          <w:iCs/>
          <w:sz w:val="24"/>
          <w:szCs w:val="24"/>
        </w:rPr>
        <w:t>.</w:t>
      </w:r>
      <w:r>
        <w:rPr>
          <w:bCs/>
          <w:i/>
          <w:iCs/>
          <w:sz w:val="24"/>
          <w:szCs w:val="24"/>
        </w:rPr>
        <w:t xml:space="preserve">  </w:t>
      </w:r>
    </w:p>
    <w:p w14:paraId="5C153D26"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6F6EC8A5" wp14:editId="08145A0E">
            <wp:extent cx="4105275" cy="2906395"/>
            <wp:effectExtent l="0" t="0" r="9525" b="8255"/>
            <wp:docPr id="57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68"/>
                    <pic:cNvPicPr>
                      <a:picLocks noChangeAspect="1"/>
                    </pic:cNvPicPr>
                  </pic:nvPicPr>
                  <pic:blipFill>
                    <a:blip r:embed="rId543"/>
                    <a:srcRect l="20493" t="5640" r="25120" b="40803"/>
                    <a:stretch>
                      <a:fillRect/>
                    </a:stretch>
                  </pic:blipFill>
                  <pic:spPr>
                    <a:xfrm>
                      <a:off x="0" y="0"/>
                      <a:ext cx="4105275" cy="29063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6"/>
        <w:gridCol w:w="4833"/>
      </w:tblGrid>
      <w:tr w:rsidR="001C08A5" w14:paraId="28C8C3A1" w14:textId="77777777">
        <w:trPr>
          <w:trHeight w:val="253"/>
        </w:trPr>
        <w:tc>
          <w:tcPr>
            <w:tcW w:w="4186" w:type="dxa"/>
          </w:tcPr>
          <w:p w14:paraId="35D7CFEB" w14:textId="77777777" w:rsidR="001C08A5" w:rsidRDefault="00000000">
            <w:pPr>
              <w:numPr>
                <w:ilvl w:val="0"/>
                <w:numId w:val="110"/>
              </w:numPr>
              <w:tabs>
                <w:tab w:val="left" w:pos="1134"/>
              </w:tabs>
              <w:autoSpaceDE w:val="0"/>
              <w:autoSpaceDN w:val="0"/>
              <w:adjustRightInd w:val="0"/>
              <w:jc w:val="center"/>
              <w:rPr>
                <w:i/>
                <w:iCs/>
                <w:sz w:val="22"/>
                <w:szCs w:val="22"/>
                <w:lang w:eastAsia="en-US"/>
              </w:rPr>
            </w:pPr>
            <w:r>
              <w:rPr>
                <w:i/>
                <w:iCs/>
                <w:sz w:val="22"/>
                <w:szCs w:val="22"/>
                <w:lang w:eastAsia="en-US"/>
              </w:rPr>
              <w:t>Poziționare verticală</w:t>
            </w:r>
          </w:p>
        </w:tc>
        <w:tc>
          <w:tcPr>
            <w:tcW w:w="4833" w:type="dxa"/>
          </w:tcPr>
          <w:p w14:paraId="3350408A" w14:textId="77777777" w:rsidR="001C08A5" w:rsidRDefault="00000000">
            <w:pPr>
              <w:numPr>
                <w:ilvl w:val="0"/>
                <w:numId w:val="110"/>
              </w:numPr>
              <w:tabs>
                <w:tab w:val="left" w:pos="1134"/>
              </w:tabs>
              <w:autoSpaceDE w:val="0"/>
              <w:autoSpaceDN w:val="0"/>
              <w:adjustRightInd w:val="0"/>
              <w:jc w:val="center"/>
              <w:rPr>
                <w:i/>
                <w:iCs/>
                <w:sz w:val="22"/>
                <w:szCs w:val="22"/>
                <w:lang w:eastAsia="en-US"/>
              </w:rPr>
            </w:pPr>
            <w:r>
              <w:rPr>
                <w:i/>
                <w:iCs/>
                <w:sz w:val="22"/>
                <w:szCs w:val="22"/>
                <w:lang w:eastAsia="en-US"/>
              </w:rPr>
              <w:t>Poziționare orizontală</w:t>
            </w:r>
          </w:p>
        </w:tc>
      </w:tr>
      <w:tr w:rsidR="001C08A5" w14:paraId="2AEF66B9" w14:textId="77777777">
        <w:trPr>
          <w:trHeight w:val="266"/>
        </w:trPr>
        <w:tc>
          <w:tcPr>
            <w:tcW w:w="9019" w:type="dxa"/>
            <w:gridSpan w:val="2"/>
          </w:tcPr>
          <w:p w14:paraId="3905B4A1" w14:textId="77777777" w:rsidR="001C08A5" w:rsidRDefault="00000000">
            <w:pPr>
              <w:tabs>
                <w:tab w:val="left" w:pos="1134"/>
              </w:tabs>
              <w:autoSpaceDE w:val="0"/>
              <w:autoSpaceDN w:val="0"/>
              <w:adjustRightInd w:val="0"/>
              <w:jc w:val="center"/>
              <w:rPr>
                <w:i/>
                <w:iCs/>
                <w:sz w:val="22"/>
                <w:szCs w:val="22"/>
                <w:lang w:eastAsia="en-US"/>
              </w:rPr>
            </w:pPr>
            <w:r>
              <w:rPr>
                <w:i/>
                <w:iCs/>
                <w:sz w:val="22"/>
                <w:szCs w:val="22"/>
                <w:lang w:eastAsia="en-US"/>
              </w:rPr>
              <w:t>Zona liberă pentru evacuare fum (jaluzele) = a1+a2+a3+a4+a5+a6</w:t>
            </w:r>
          </w:p>
        </w:tc>
      </w:tr>
    </w:tbl>
    <w:p w14:paraId="3D447FB4" w14:textId="77777777" w:rsidR="001C08A5" w:rsidRDefault="00000000">
      <w:pPr>
        <w:jc w:val="center"/>
        <w:rPr>
          <w:b/>
          <w:bCs/>
          <w:i/>
          <w:sz w:val="24"/>
          <w:szCs w:val="24"/>
        </w:rPr>
      </w:pPr>
      <w:r>
        <w:rPr>
          <w:b/>
          <w:bCs/>
          <w:i/>
          <w:sz w:val="24"/>
          <w:szCs w:val="24"/>
        </w:rPr>
        <w:t xml:space="preserve"> </w:t>
      </w:r>
    </w:p>
    <w:p w14:paraId="07E3F496" w14:textId="77777777" w:rsidR="001C08A5" w:rsidRDefault="00000000">
      <w:pPr>
        <w:autoSpaceDE w:val="0"/>
        <w:autoSpaceDN w:val="0"/>
        <w:adjustRightInd w:val="0"/>
        <w:jc w:val="center"/>
        <w:rPr>
          <w:b/>
          <w:bCs/>
          <w:i/>
          <w:iCs/>
          <w:sz w:val="24"/>
          <w:szCs w:val="24"/>
          <w:lang w:val="en-US" w:eastAsia="en-US"/>
        </w:rPr>
      </w:pPr>
      <w:r>
        <w:rPr>
          <w:b/>
          <w:bCs/>
          <w:i/>
          <w:iCs/>
          <w:sz w:val="24"/>
          <w:szCs w:val="24"/>
        </w:rPr>
        <w:t xml:space="preserve">Figura 278 - </w:t>
      </w:r>
      <w:r>
        <w:rPr>
          <w:b/>
          <w:bCs/>
          <w:i/>
          <w:iCs/>
          <w:sz w:val="24"/>
          <w:szCs w:val="24"/>
          <w:lang w:val="en-US" w:eastAsia="en-US"/>
        </w:rPr>
        <w:t>Zona liberă pentru evacuare (jaluzele)</w:t>
      </w:r>
    </w:p>
    <w:p w14:paraId="4F2AC9F3"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0FCF8529" wp14:editId="2734209B">
            <wp:extent cx="2276475" cy="1504950"/>
            <wp:effectExtent l="0" t="0" r="9525" b="0"/>
            <wp:docPr id="58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Picture 67"/>
                    <pic:cNvPicPr>
                      <a:picLocks noChangeAspect="1"/>
                    </pic:cNvPicPr>
                  </pic:nvPicPr>
                  <pic:blipFill>
                    <a:blip r:embed="rId544"/>
                    <a:srcRect l="35005" t="53709" r="34836" b="18558"/>
                    <a:stretch>
                      <a:fillRect/>
                    </a:stretch>
                  </pic:blipFill>
                  <pic:spPr>
                    <a:xfrm>
                      <a:off x="0" y="0"/>
                      <a:ext cx="2276475" cy="1504950"/>
                    </a:xfrm>
                    <a:prstGeom prst="rect">
                      <a:avLst/>
                    </a:prstGeom>
                    <a:noFill/>
                    <a:ln>
                      <a:noFill/>
                    </a:ln>
                  </pic:spPr>
                </pic:pic>
              </a:graphicData>
            </a:graphic>
          </wp:inline>
        </w:drawing>
      </w:r>
    </w:p>
    <w:p w14:paraId="3792569B" w14:textId="77777777" w:rsidR="001C08A5" w:rsidRDefault="00000000">
      <w:pPr>
        <w:jc w:val="center"/>
        <w:rPr>
          <w:rFonts w:eastAsia="TimesNewRomanPSMT"/>
          <w:b/>
          <w:bCs/>
          <w:i/>
          <w:iCs/>
          <w:sz w:val="24"/>
          <w:szCs w:val="24"/>
        </w:rPr>
      </w:pPr>
      <w:r>
        <w:rPr>
          <w:b/>
          <w:bCs/>
          <w:i/>
          <w:iCs/>
          <w:sz w:val="24"/>
          <w:szCs w:val="24"/>
        </w:rPr>
        <w:t xml:space="preserve">Figura 279 - </w:t>
      </w:r>
      <w:r>
        <w:rPr>
          <w:rFonts w:eastAsia="TimesNewRomanPSMT"/>
          <w:b/>
          <w:bCs/>
          <w:i/>
          <w:iCs/>
          <w:sz w:val="24"/>
          <w:szCs w:val="24"/>
        </w:rPr>
        <w:t>Aria liberă a gurilor de evacuare măsurată în sensul direcției fluxului de aer</w:t>
      </w:r>
    </w:p>
    <w:p w14:paraId="04113E4C" w14:textId="77777777" w:rsidR="001C08A5" w:rsidRDefault="001C08A5">
      <w:pPr>
        <w:jc w:val="center"/>
        <w:rPr>
          <w:rFonts w:eastAsia="TimesNewRomanPSMT"/>
          <w:b/>
          <w:bCs/>
          <w:i/>
          <w:iCs/>
          <w:sz w:val="24"/>
          <w:szCs w:val="24"/>
        </w:rPr>
      </w:pPr>
    </w:p>
    <w:p w14:paraId="248F8FC0" w14:textId="77777777" w:rsidR="001C08A5" w:rsidRDefault="00000000">
      <w:pPr>
        <w:numPr>
          <w:ilvl w:val="0"/>
          <w:numId w:val="96"/>
        </w:numPr>
        <w:tabs>
          <w:tab w:val="left" w:pos="426"/>
          <w:tab w:val="left" w:pos="993"/>
        </w:tabs>
        <w:jc w:val="both"/>
        <w:rPr>
          <w:rFonts w:eastAsia="TimesNewRomanPSMT"/>
          <w:i/>
          <w:iCs/>
          <w:sz w:val="24"/>
          <w:szCs w:val="24"/>
        </w:rPr>
      </w:pPr>
      <w:r>
        <w:rPr>
          <w:rFonts w:eastAsia="TimesNewRomanPSMT"/>
          <w:bCs/>
          <w:i/>
          <w:iCs/>
          <w:sz w:val="24"/>
          <w:szCs w:val="24"/>
        </w:rPr>
        <w:t xml:space="preserve">La clădirile care au prevazute încăperi tampon către case de scări, casele de scări închise care au ferestre directe în exterior prin care să se evacueze fumul se prevăd cu dispozitiv de evacuare a fumului. Suprafaţă aerodinamică liberă a dispozitivelor cu deschidere automată pentru evacuarea fumului în caz de incendiu prin tiraj natural-organizat trebuie să reprezinte minimum </w:t>
      </w:r>
      <w:r>
        <w:rPr>
          <w:rFonts w:eastAsia="TimesNewRomanPSMT"/>
          <w:b/>
          <w:bCs/>
          <w:i/>
          <w:iCs/>
          <w:sz w:val="24"/>
          <w:szCs w:val="24"/>
        </w:rPr>
        <w:t>5%</w:t>
      </w:r>
      <w:r>
        <w:rPr>
          <w:rFonts w:eastAsia="TimesNewRomanPSMT"/>
          <w:bCs/>
          <w:i/>
          <w:iCs/>
          <w:sz w:val="24"/>
          <w:szCs w:val="24"/>
        </w:rPr>
        <w:t xml:space="preserve"> din aria celui mai mare nivel al casei de scări supraterane închise, dar cel puţin </w:t>
      </w:r>
      <w:r>
        <w:rPr>
          <w:rFonts w:eastAsia="TimesNewRomanPSMT"/>
          <w:b/>
          <w:bCs/>
          <w:i/>
          <w:iCs/>
          <w:sz w:val="24"/>
          <w:szCs w:val="24"/>
        </w:rPr>
        <w:t>1 m</w:t>
      </w:r>
      <w:r>
        <w:rPr>
          <w:rFonts w:eastAsia="TimesNewRomanPSMT"/>
          <w:b/>
          <w:bCs/>
          <w:i/>
          <w:iCs/>
          <w:sz w:val="24"/>
          <w:szCs w:val="24"/>
          <w:vertAlign w:val="superscript"/>
        </w:rPr>
        <w:t>2</w:t>
      </w:r>
      <w:r>
        <w:rPr>
          <w:rFonts w:eastAsia="TimesNewRomanPSMT"/>
          <w:bCs/>
          <w:i/>
          <w:iCs/>
          <w:sz w:val="24"/>
          <w:szCs w:val="24"/>
        </w:rPr>
        <w:t xml:space="preserve">.  Încăperile tampon de acces la scări  se pun în supraprapresiune. Proiectarea și calculul sistemului se face pe baza standardelor </w:t>
      </w:r>
      <w:r>
        <w:rPr>
          <w:rFonts w:eastAsia="TimesNewRomanPS-BoldMT"/>
          <w:b/>
          <w:bCs/>
          <w:i/>
          <w:iCs/>
          <w:sz w:val="24"/>
          <w:szCs w:val="24"/>
        </w:rPr>
        <w:t xml:space="preserve">SR EN 12101-6 - </w:t>
      </w:r>
      <w:r>
        <w:rPr>
          <w:rFonts w:eastAsia="TimesNewRomanPSMT"/>
          <w:bCs/>
          <w:i/>
          <w:iCs/>
          <w:sz w:val="24"/>
          <w:szCs w:val="24"/>
        </w:rPr>
        <w:t xml:space="preserve">Sisteme pentru controlul fumului și gazelor fierbinți. Partea 6: Specificații pentru sisteme cu presiune diferențială. Kituri (obligatoriu) și </w:t>
      </w:r>
      <w:r>
        <w:rPr>
          <w:rFonts w:eastAsia="TimesNewRomanPS-BoldMT"/>
          <w:b/>
          <w:bCs/>
          <w:i/>
          <w:iCs/>
          <w:sz w:val="24"/>
          <w:szCs w:val="24"/>
        </w:rPr>
        <w:t xml:space="preserve">SR EN 12101-13 - </w:t>
      </w:r>
      <w:r>
        <w:rPr>
          <w:rFonts w:eastAsia="TimesNewRomanPSMT"/>
          <w:bCs/>
          <w:i/>
          <w:iCs/>
          <w:sz w:val="24"/>
          <w:szCs w:val="24"/>
        </w:rPr>
        <w:t>Sisteme pentru controlul fumului și gazelor fierbinți. Partea 13: Sisteme cu presiune diferențială (SPD). Metode de proiectare și de calcul, instalare, încercări în vederea recepției, încercări periodice și mentenanță.</w:t>
      </w:r>
    </w:p>
    <w:p w14:paraId="328A7DAF"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15D3A251" wp14:editId="7306C641">
            <wp:extent cx="6019800" cy="3605530"/>
            <wp:effectExtent l="0" t="0" r="0" b="13970"/>
            <wp:docPr id="5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69"/>
                    <pic:cNvPicPr>
                      <a:picLocks noChangeAspect="1"/>
                    </pic:cNvPicPr>
                  </pic:nvPicPr>
                  <pic:blipFill>
                    <a:blip r:embed="rId545"/>
                    <a:srcRect l="12669" t="6939" r="7580" b="26621"/>
                    <a:stretch>
                      <a:fillRect/>
                    </a:stretch>
                  </pic:blipFill>
                  <pic:spPr>
                    <a:xfrm>
                      <a:off x="0" y="0"/>
                      <a:ext cx="6019800" cy="3605530"/>
                    </a:xfrm>
                    <a:prstGeom prst="rect">
                      <a:avLst/>
                    </a:prstGeom>
                    <a:noFill/>
                    <a:ln>
                      <a:noFill/>
                    </a:ln>
                  </pic:spPr>
                </pic:pic>
              </a:graphicData>
            </a:graphic>
          </wp:inline>
        </w:drawing>
      </w:r>
    </w:p>
    <w:p w14:paraId="0604809D" w14:textId="77777777" w:rsidR="001C08A5" w:rsidRDefault="00000000">
      <w:pPr>
        <w:pStyle w:val="BodyText"/>
        <w:jc w:val="center"/>
        <w:rPr>
          <w:lang w:eastAsia="en-US"/>
        </w:rPr>
      </w:pPr>
      <w:r>
        <w:rPr>
          <w:iCs/>
        </w:rPr>
        <w:t xml:space="preserve">Figura 280 - </w:t>
      </w:r>
      <w:r>
        <w:rPr>
          <w:lang w:eastAsia="en-US"/>
        </w:rPr>
        <w:t>Sistem de admisie și evacuare a fumului natural-organizat din casa scării și SPD la încăperea tampon</w:t>
      </w:r>
    </w:p>
    <w:p w14:paraId="75C6B8EF" w14:textId="77777777" w:rsidR="001C08A5" w:rsidRDefault="00000000">
      <w:pPr>
        <w:numPr>
          <w:ilvl w:val="0"/>
          <w:numId w:val="96"/>
        </w:numPr>
        <w:tabs>
          <w:tab w:val="left" w:pos="426"/>
          <w:tab w:val="left" w:pos="993"/>
        </w:tabs>
        <w:jc w:val="both"/>
        <w:rPr>
          <w:rFonts w:eastAsia="TimesNewRomanPSMT"/>
          <w:bCs/>
          <w:i/>
          <w:iCs/>
          <w:sz w:val="24"/>
          <w:szCs w:val="24"/>
        </w:rPr>
      </w:pPr>
      <w:r>
        <w:rPr>
          <w:rFonts w:eastAsia="TimesNewRomanPSMT"/>
          <w:bCs/>
          <w:i/>
          <w:iCs/>
          <w:sz w:val="24"/>
          <w:szCs w:val="24"/>
        </w:rPr>
        <w:t xml:space="preserve">La clădirile care au prevazute încăperi tampon către case de scări, casele de scări închise care nu au ferestre directe în exterior prin care să se evacueze fumul și încăperile tampon de acces la scări  se pun în supraprapresiune, proiectarea și calculul sistemului se face pe baza standardelor </w:t>
      </w:r>
      <w:r>
        <w:rPr>
          <w:rFonts w:eastAsia="TimesNewRomanPS-BoldMT"/>
          <w:b/>
          <w:bCs/>
          <w:i/>
          <w:iCs/>
          <w:sz w:val="24"/>
          <w:szCs w:val="24"/>
        </w:rPr>
        <w:t xml:space="preserve">SR EN 12101-6 - </w:t>
      </w:r>
      <w:r>
        <w:rPr>
          <w:rFonts w:eastAsia="TimesNewRomanPSMT"/>
          <w:bCs/>
          <w:i/>
          <w:iCs/>
          <w:sz w:val="24"/>
          <w:szCs w:val="24"/>
        </w:rPr>
        <w:t xml:space="preserve">Sisteme pentru controlul fumului și gazelor fierbinți. Partea 6: Specificații pentru sisteme cu presiune diferențială. Kituri (obligatoriu) și  </w:t>
      </w:r>
      <w:r>
        <w:rPr>
          <w:rFonts w:eastAsia="TimesNewRomanPS-BoldMT"/>
          <w:b/>
          <w:bCs/>
          <w:i/>
          <w:iCs/>
          <w:sz w:val="24"/>
          <w:szCs w:val="24"/>
        </w:rPr>
        <w:t xml:space="preserve">SR EN 12101-13 - </w:t>
      </w:r>
      <w:r>
        <w:rPr>
          <w:rFonts w:eastAsia="TimesNewRomanPSMT"/>
          <w:bCs/>
          <w:i/>
          <w:iCs/>
          <w:sz w:val="24"/>
          <w:szCs w:val="24"/>
        </w:rPr>
        <w:t>Sisteme pentru controlul fumului și gazelor fierbinți. Partea 13: Sisteme cu presiune diferențială (SPD). Metode de proiectare și de calcul, instalare, încercări în vederea recepției, încercări periodice .</w:t>
      </w:r>
    </w:p>
    <w:p w14:paraId="63B1A7FA" w14:textId="77777777" w:rsidR="001C08A5" w:rsidRDefault="001C08A5">
      <w:pPr>
        <w:autoSpaceDE w:val="0"/>
        <w:autoSpaceDN w:val="0"/>
        <w:adjustRightInd w:val="0"/>
        <w:jc w:val="center"/>
        <w:rPr>
          <w:rFonts w:ascii="Arial" w:hAnsi="Arial" w:cs="Arial"/>
          <w:sz w:val="24"/>
          <w:szCs w:val="24"/>
          <w:lang w:val="en-US" w:eastAsia="en-US"/>
        </w:rPr>
      </w:pPr>
    </w:p>
    <w:p w14:paraId="3186051A" w14:textId="77777777" w:rsidR="001C08A5" w:rsidRDefault="00000000">
      <w:pPr>
        <w:autoSpaceDE w:val="0"/>
        <w:autoSpaceDN w:val="0"/>
        <w:adjustRightInd w:val="0"/>
        <w:jc w:val="center"/>
        <w:rPr>
          <w:rFonts w:ascii="Arial" w:hAnsi="Arial" w:cs="Arial"/>
          <w:sz w:val="24"/>
          <w:szCs w:val="24"/>
          <w:lang w:val="en-US" w:eastAsia="en-US"/>
        </w:rPr>
      </w:pPr>
      <w:r>
        <w:rPr>
          <w:noProof/>
        </w:rPr>
        <w:drawing>
          <wp:inline distT="0" distB="0" distL="114300" distR="114300" wp14:anchorId="65F09ABB" wp14:editId="5A6CE028">
            <wp:extent cx="4701540" cy="3465195"/>
            <wp:effectExtent l="0" t="0" r="381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46"/>
                    <a:srcRect l="26161" t="6707" r="11558" b="4243"/>
                    <a:stretch>
                      <a:fillRect/>
                    </a:stretch>
                  </pic:blipFill>
                  <pic:spPr>
                    <a:xfrm>
                      <a:off x="0" y="0"/>
                      <a:ext cx="4701540" cy="3465195"/>
                    </a:xfrm>
                    <a:prstGeom prst="rect">
                      <a:avLst/>
                    </a:prstGeom>
                    <a:noFill/>
                    <a:ln>
                      <a:noFill/>
                    </a:ln>
                  </pic:spPr>
                </pic:pic>
              </a:graphicData>
            </a:graphic>
          </wp:inline>
        </w:drawing>
      </w:r>
    </w:p>
    <w:p w14:paraId="7D7E83C5" w14:textId="77777777" w:rsidR="001C08A5" w:rsidRDefault="001C08A5">
      <w:pPr>
        <w:pStyle w:val="BodyText"/>
        <w:jc w:val="center"/>
        <w:rPr>
          <w:lang w:val="en-US" w:eastAsia="en-US"/>
        </w:rPr>
      </w:pPr>
    </w:p>
    <w:p w14:paraId="799207C9" w14:textId="77777777" w:rsidR="001C08A5" w:rsidRDefault="00000000">
      <w:pPr>
        <w:pStyle w:val="BodyText"/>
        <w:jc w:val="center"/>
        <w:rPr>
          <w:lang w:val="en-US" w:eastAsia="en-US"/>
        </w:rPr>
      </w:pPr>
      <w:r>
        <w:rPr>
          <w:iCs/>
        </w:rPr>
        <w:t xml:space="preserve">Figura 281 - </w:t>
      </w:r>
      <w:r>
        <w:rPr>
          <w:lang w:val="en-US" w:eastAsia="en-US"/>
        </w:rPr>
        <w:t>SPD la casa scării și încăperea tampon</w:t>
      </w:r>
    </w:p>
    <w:p w14:paraId="7241A786" w14:textId="77777777" w:rsidR="001C08A5" w:rsidRDefault="001C08A5">
      <w:pPr>
        <w:pStyle w:val="BodyText"/>
        <w:jc w:val="center"/>
        <w:rPr>
          <w:lang w:val="en-US" w:eastAsia="en-US"/>
        </w:rPr>
      </w:pPr>
    </w:p>
    <w:p w14:paraId="5BC4A31C" w14:textId="77777777" w:rsidR="001C08A5" w:rsidRDefault="00000000">
      <w:pPr>
        <w:numPr>
          <w:ilvl w:val="0"/>
          <w:numId w:val="96"/>
        </w:numPr>
        <w:tabs>
          <w:tab w:val="left" w:pos="426"/>
          <w:tab w:val="left" w:pos="993"/>
        </w:tabs>
        <w:jc w:val="both"/>
        <w:rPr>
          <w:bCs/>
          <w:i/>
          <w:sz w:val="24"/>
        </w:rPr>
      </w:pPr>
      <w:r>
        <w:rPr>
          <w:rFonts w:eastAsia="TimesNewRomanPSMT"/>
          <w:bCs/>
          <w:i/>
          <w:iCs/>
          <w:sz w:val="24"/>
          <w:szCs w:val="24"/>
        </w:rPr>
        <w:lastRenderedPageBreak/>
        <w:t xml:space="preserve">Punerea în supraprapresiune, proiectarea și calculul sistemului pe baza standardelor </w:t>
      </w:r>
      <w:r>
        <w:rPr>
          <w:rFonts w:eastAsia="TimesNewRomanPS-BoldMT"/>
          <w:b/>
          <w:bCs/>
          <w:i/>
          <w:iCs/>
          <w:sz w:val="24"/>
          <w:szCs w:val="24"/>
        </w:rPr>
        <w:t xml:space="preserve">SR EN 12101-13 - </w:t>
      </w:r>
      <w:r>
        <w:rPr>
          <w:rFonts w:eastAsia="TimesNewRomanPSMT"/>
          <w:bCs/>
          <w:i/>
          <w:iCs/>
          <w:sz w:val="24"/>
          <w:szCs w:val="24"/>
        </w:rPr>
        <w:t xml:space="preserve">Sisteme pentru controlul fumului și gazelor fierbinți. Partea 13: Sisteme cu presiune diferențială (SPD). Metode de proiectare și de calcul, instalare, încercări în vederea recepției, încercări periodice și mentenanță și </w:t>
      </w:r>
      <w:r>
        <w:rPr>
          <w:rFonts w:eastAsia="TimesNewRomanPS-BoldMT"/>
          <w:b/>
          <w:bCs/>
          <w:i/>
          <w:iCs/>
          <w:sz w:val="24"/>
          <w:szCs w:val="24"/>
        </w:rPr>
        <w:t xml:space="preserve">SR EN 12101-6 - </w:t>
      </w:r>
      <w:r>
        <w:rPr>
          <w:rFonts w:eastAsia="TimesNewRomanPSMT"/>
          <w:bCs/>
          <w:i/>
          <w:iCs/>
          <w:sz w:val="24"/>
          <w:szCs w:val="24"/>
        </w:rPr>
        <w:t>Sisteme pentru controlul fumului și gazelor fierbinți. Partea 6: Specificații pentru sisteme cu presiune diferențială. Kituri (obligatoriu) se face conform c</w:t>
      </w:r>
      <w:r>
        <w:rPr>
          <w:rFonts w:eastAsia="Cambria-Bold"/>
          <w:bCs/>
          <w:i/>
          <w:sz w:val="24"/>
          <w:szCs w:val="24"/>
        </w:rPr>
        <w:t xml:space="preserve">erințelor de proiectare ale unui PDS (forța de deschidere a ușii, diferența de presiune, viteza fluxului de aer, timpul de inițiere, timpul de funcționare precum și timpul de raspuns), având în vedere faptul că </w:t>
      </w:r>
      <w:r>
        <w:rPr>
          <w:rFonts w:eastAsia="Cambria"/>
          <w:bCs/>
          <w:i/>
          <w:sz w:val="24"/>
          <w:szCs w:val="24"/>
        </w:rPr>
        <w:t>PDS-ul trebuie proiectat astfel încât acesta să își poată îndeplini funcția pe toată durata de funcționare necesară.</w:t>
      </w:r>
    </w:p>
    <w:p w14:paraId="21B24483"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1DE051C6" wp14:editId="41ADDA58">
            <wp:extent cx="4095750" cy="1698625"/>
            <wp:effectExtent l="0" t="0" r="0" b="15875"/>
            <wp:docPr id="58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 71"/>
                    <pic:cNvPicPr>
                      <a:picLocks noChangeAspect="1"/>
                    </pic:cNvPicPr>
                  </pic:nvPicPr>
                  <pic:blipFill>
                    <a:blip r:embed="rId547"/>
                    <a:srcRect l="24026" t="10765" r="21713" b="57934"/>
                    <a:stretch>
                      <a:fillRect/>
                    </a:stretch>
                  </pic:blipFill>
                  <pic:spPr>
                    <a:xfrm>
                      <a:off x="0" y="0"/>
                      <a:ext cx="4095750" cy="1698625"/>
                    </a:xfrm>
                    <a:prstGeom prst="rect">
                      <a:avLst/>
                    </a:prstGeom>
                    <a:noFill/>
                    <a:ln>
                      <a:noFill/>
                    </a:ln>
                  </pic:spPr>
                </pic:pic>
              </a:graphicData>
            </a:graphic>
          </wp:inline>
        </w:drawing>
      </w:r>
    </w:p>
    <w:p w14:paraId="4EFB192D" w14:textId="77777777" w:rsidR="001C08A5" w:rsidRDefault="00000000">
      <w:pPr>
        <w:autoSpaceDE w:val="0"/>
        <w:autoSpaceDN w:val="0"/>
        <w:adjustRightInd w:val="0"/>
        <w:jc w:val="center"/>
        <w:rPr>
          <w:b/>
          <w:bCs/>
          <w:i/>
          <w:iCs/>
          <w:sz w:val="24"/>
          <w:szCs w:val="24"/>
          <w:lang w:val="en-US" w:eastAsia="en-US"/>
        </w:rPr>
      </w:pPr>
      <w:r>
        <w:rPr>
          <w:b/>
          <w:bCs/>
          <w:i/>
          <w:iCs/>
          <w:sz w:val="24"/>
          <w:szCs w:val="24"/>
        </w:rPr>
        <w:t xml:space="preserve">Figura 282 - </w:t>
      </w:r>
      <w:r>
        <w:rPr>
          <w:b/>
          <w:bCs/>
          <w:i/>
          <w:iCs/>
          <w:sz w:val="24"/>
          <w:szCs w:val="24"/>
          <w:lang w:val="en-US" w:eastAsia="en-US"/>
        </w:rPr>
        <w:t>Gradient de presiune</w:t>
      </w:r>
    </w:p>
    <w:p w14:paraId="1201A70C" w14:textId="77777777" w:rsidR="001C08A5" w:rsidRDefault="00000000">
      <w:pPr>
        <w:pStyle w:val="BodyText"/>
        <w:rPr>
          <w:b w:val="0"/>
          <w:bCs w:val="0"/>
          <w:sz w:val="22"/>
          <w:szCs w:val="22"/>
          <w:lang w:eastAsia="en-US"/>
        </w:rPr>
      </w:pPr>
      <w:r>
        <w:rPr>
          <w:iCs/>
          <w:sz w:val="22"/>
          <w:szCs w:val="22"/>
          <w:lang w:eastAsia="en-US"/>
        </w:rPr>
        <w:t>Notă Figura 282</w:t>
      </w:r>
      <w:r>
        <w:rPr>
          <w:b w:val="0"/>
          <w:bCs w:val="0"/>
          <w:iCs/>
          <w:sz w:val="22"/>
          <w:szCs w:val="22"/>
          <w:lang w:eastAsia="en-US"/>
        </w:rPr>
        <w:t xml:space="preserve">: Presiunea </w:t>
      </w:r>
      <w:r>
        <w:rPr>
          <w:iCs/>
          <w:sz w:val="22"/>
          <w:szCs w:val="22"/>
          <w:lang w:eastAsia="en-US"/>
        </w:rPr>
        <w:t>P3</w:t>
      </w:r>
      <w:r>
        <w:rPr>
          <w:b w:val="0"/>
          <w:bCs w:val="0"/>
          <w:iCs/>
          <w:sz w:val="22"/>
          <w:szCs w:val="22"/>
          <w:lang w:eastAsia="en-US"/>
        </w:rPr>
        <w:t xml:space="preserve"> poate fi în degajament protejat sau circulație comună orizontală prevăzută cu </w:t>
      </w:r>
      <w:r>
        <w:rPr>
          <w:iCs/>
          <w:sz w:val="22"/>
          <w:szCs w:val="22"/>
          <w:lang w:eastAsia="en-US"/>
        </w:rPr>
        <w:t>SPD</w:t>
      </w:r>
    </w:p>
    <w:p w14:paraId="647226B6" w14:textId="77777777" w:rsidR="001C08A5" w:rsidRDefault="001C08A5">
      <w:pPr>
        <w:autoSpaceDE w:val="0"/>
        <w:autoSpaceDN w:val="0"/>
        <w:adjustRightInd w:val="0"/>
        <w:jc w:val="center"/>
        <w:rPr>
          <w:b/>
          <w:bCs/>
          <w:i/>
          <w:iCs/>
          <w:sz w:val="24"/>
          <w:szCs w:val="24"/>
          <w:lang w:eastAsia="en-US"/>
        </w:rPr>
      </w:pPr>
    </w:p>
    <w:p w14:paraId="0A440C88"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459E2B66" wp14:editId="5FF3C231">
            <wp:extent cx="2847975" cy="917575"/>
            <wp:effectExtent l="0" t="0" r="9525" b="15875"/>
            <wp:docPr id="58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Picture 72"/>
                    <pic:cNvPicPr>
                      <a:picLocks noChangeAspect="1"/>
                    </pic:cNvPicPr>
                  </pic:nvPicPr>
                  <pic:blipFill>
                    <a:blip r:embed="rId547"/>
                    <a:srcRect l="30840" t="56576" r="31429" b="26515"/>
                    <a:stretch>
                      <a:fillRect/>
                    </a:stretch>
                  </pic:blipFill>
                  <pic:spPr>
                    <a:xfrm>
                      <a:off x="0" y="0"/>
                      <a:ext cx="2847975" cy="917575"/>
                    </a:xfrm>
                    <a:prstGeom prst="rect">
                      <a:avLst/>
                    </a:prstGeom>
                    <a:noFill/>
                    <a:ln>
                      <a:noFill/>
                    </a:ln>
                  </pic:spPr>
                </pic:pic>
              </a:graphicData>
            </a:graphic>
          </wp:inline>
        </w:drawing>
      </w:r>
    </w:p>
    <w:p w14:paraId="6FA16CE9" w14:textId="77777777" w:rsidR="001C08A5" w:rsidRDefault="00000000">
      <w:pPr>
        <w:autoSpaceDE w:val="0"/>
        <w:autoSpaceDN w:val="0"/>
        <w:adjustRightInd w:val="0"/>
        <w:jc w:val="center"/>
        <w:rPr>
          <w:b/>
          <w:bCs/>
          <w:i/>
          <w:iCs/>
          <w:sz w:val="24"/>
          <w:szCs w:val="24"/>
          <w:lang w:val="en-US" w:eastAsia="en-US"/>
        </w:rPr>
      </w:pPr>
      <w:r>
        <w:rPr>
          <w:b/>
          <w:bCs/>
          <w:i/>
          <w:iCs/>
          <w:sz w:val="24"/>
          <w:szCs w:val="24"/>
        </w:rPr>
        <w:t xml:space="preserve">Figura 283 - </w:t>
      </w:r>
      <w:r>
        <w:rPr>
          <w:b/>
          <w:bCs/>
          <w:i/>
          <w:iCs/>
          <w:sz w:val="24"/>
          <w:szCs w:val="24"/>
          <w:lang w:val="en-US" w:eastAsia="en-US"/>
        </w:rPr>
        <w:t>Forța maximă necesară pentru deschiderea ușii</w:t>
      </w:r>
    </w:p>
    <w:p w14:paraId="1EDC06A1"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256DBF59" wp14:editId="7E52823C">
            <wp:extent cx="5953125" cy="1179830"/>
            <wp:effectExtent l="0" t="0" r="9525" b="1270"/>
            <wp:docPr id="58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1"/>
                    <pic:cNvPicPr>
                      <a:picLocks noChangeAspect="1"/>
                    </pic:cNvPicPr>
                  </pic:nvPicPr>
                  <pic:blipFill>
                    <a:blip r:embed="rId548"/>
                    <a:srcRect l="12922" t="4996" r="8211" b="73263"/>
                    <a:stretch>
                      <a:fillRect/>
                    </a:stretch>
                  </pic:blipFill>
                  <pic:spPr>
                    <a:xfrm>
                      <a:off x="0" y="0"/>
                      <a:ext cx="5953125" cy="1179830"/>
                    </a:xfrm>
                    <a:prstGeom prst="rect">
                      <a:avLst/>
                    </a:prstGeom>
                    <a:noFill/>
                    <a:ln>
                      <a:noFill/>
                    </a:ln>
                  </pic:spPr>
                </pic:pic>
              </a:graphicData>
            </a:graphic>
          </wp:inline>
        </w:drawing>
      </w:r>
      <w:bookmarkStart w:id="11716" w:name="_Toc18933"/>
    </w:p>
    <w:p w14:paraId="79F71C30"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PLAN - Varianta a)</w:t>
      </w:r>
    </w:p>
    <w:p w14:paraId="18014524"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3E5B2DE2" wp14:editId="4AFC1B21">
            <wp:extent cx="5953125" cy="3446145"/>
            <wp:effectExtent l="0" t="0" r="9525" b="1905"/>
            <wp:docPr id="58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1"/>
                    <pic:cNvPicPr>
                      <a:picLocks noChangeAspect="1"/>
                    </pic:cNvPicPr>
                  </pic:nvPicPr>
                  <pic:blipFill>
                    <a:blip r:embed="rId548"/>
                    <a:srcRect l="12922" t="31746" r="8211" b="4751"/>
                    <a:stretch>
                      <a:fillRect/>
                    </a:stretch>
                  </pic:blipFill>
                  <pic:spPr>
                    <a:xfrm>
                      <a:off x="0" y="0"/>
                      <a:ext cx="5953125" cy="3446145"/>
                    </a:xfrm>
                    <a:prstGeom prst="rect">
                      <a:avLst/>
                    </a:prstGeom>
                    <a:noFill/>
                    <a:ln>
                      <a:noFill/>
                    </a:ln>
                  </pic:spPr>
                </pic:pic>
              </a:graphicData>
            </a:graphic>
          </wp:inline>
        </w:drawing>
      </w:r>
    </w:p>
    <w:p w14:paraId="03C6388B"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SECȚIUNE - Varianta a)</w:t>
      </w:r>
    </w:p>
    <w:p w14:paraId="6673E464" w14:textId="77777777" w:rsidR="001C08A5" w:rsidRDefault="00000000">
      <w:pPr>
        <w:autoSpaceDE w:val="0"/>
        <w:autoSpaceDN w:val="0"/>
        <w:adjustRightInd w:val="0"/>
        <w:rPr>
          <w:i/>
          <w:iCs/>
          <w:sz w:val="24"/>
          <w:szCs w:val="24"/>
          <w:lang w:eastAsia="en-US"/>
        </w:rPr>
      </w:pPr>
      <w:r>
        <w:rPr>
          <w:i/>
          <w:iCs/>
          <w:sz w:val="24"/>
          <w:szCs w:val="24"/>
          <w:lang w:eastAsia="en-US"/>
        </w:rPr>
        <w:t xml:space="preserve">Legendă </w:t>
      </w:r>
      <w:r>
        <w:rPr>
          <w:b/>
          <w:bCs/>
          <w:i/>
          <w:iCs/>
          <w:sz w:val="24"/>
          <w:szCs w:val="24"/>
          <w:lang w:eastAsia="en-US"/>
        </w:rPr>
        <w:t>Figura 284 Varianta a)</w:t>
      </w:r>
      <w:r>
        <w:rPr>
          <w:i/>
          <w:iCs/>
          <w:sz w:val="24"/>
          <w:szCs w:val="24"/>
          <w:lang w:eastAsia="en-US"/>
        </w:rPr>
        <w:t>:</w:t>
      </w:r>
    </w:p>
    <w:p w14:paraId="070DBD81" w14:textId="77777777" w:rsidR="001C08A5" w:rsidRDefault="00000000">
      <w:pPr>
        <w:autoSpaceDE w:val="0"/>
        <w:autoSpaceDN w:val="0"/>
        <w:adjustRightInd w:val="0"/>
        <w:rPr>
          <w:i/>
          <w:iCs/>
          <w:sz w:val="24"/>
          <w:szCs w:val="24"/>
          <w:lang w:eastAsia="en-US"/>
        </w:rPr>
      </w:pPr>
      <w:r>
        <w:rPr>
          <w:b/>
          <w:bCs/>
          <w:i/>
          <w:iCs/>
          <w:sz w:val="24"/>
          <w:szCs w:val="24"/>
          <w:lang w:eastAsia="en-US"/>
        </w:rPr>
        <w:t>A</w:t>
      </w:r>
      <w:r>
        <w:rPr>
          <w:i/>
          <w:iCs/>
          <w:sz w:val="24"/>
          <w:szCs w:val="24"/>
          <w:lang w:eastAsia="en-US"/>
        </w:rPr>
        <w:t xml:space="preserve"> - tubulatură colectoare</w:t>
      </w:r>
    </w:p>
    <w:p w14:paraId="352BA3EE" w14:textId="77777777" w:rsidR="001C08A5" w:rsidRDefault="00000000">
      <w:pPr>
        <w:autoSpaceDE w:val="0"/>
        <w:autoSpaceDN w:val="0"/>
        <w:adjustRightInd w:val="0"/>
        <w:rPr>
          <w:i/>
          <w:iCs/>
          <w:sz w:val="24"/>
          <w:szCs w:val="24"/>
          <w:lang w:eastAsia="en-US"/>
        </w:rPr>
      </w:pPr>
      <w:r>
        <w:rPr>
          <w:b/>
          <w:bCs/>
          <w:i/>
          <w:iCs/>
          <w:sz w:val="24"/>
          <w:szCs w:val="24"/>
          <w:lang w:eastAsia="en-US"/>
        </w:rPr>
        <w:t>B</w:t>
      </w:r>
      <w:r>
        <w:rPr>
          <w:i/>
          <w:iCs/>
          <w:sz w:val="24"/>
          <w:szCs w:val="24"/>
          <w:lang w:eastAsia="en-US"/>
        </w:rPr>
        <w:t xml:space="preserve"> - volet</w:t>
      </w:r>
    </w:p>
    <w:p w14:paraId="663C9F6D" w14:textId="77777777" w:rsidR="001C08A5" w:rsidRDefault="00000000">
      <w:pPr>
        <w:autoSpaceDE w:val="0"/>
        <w:autoSpaceDN w:val="0"/>
        <w:adjustRightInd w:val="0"/>
        <w:rPr>
          <w:i/>
          <w:iCs/>
          <w:sz w:val="24"/>
          <w:szCs w:val="24"/>
          <w:lang w:eastAsia="en-US"/>
        </w:rPr>
      </w:pPr>
      <w:r>
        <w:rPr>
          <w:b/>
          <w:bCs/>
          <w:i/>
          <w:iCs/>
          <w:sz w:val="24"/>
          <w:szCs w:val="24"/>
          <w:lang w:eastAsia="en-US"/>
        </w:rPr>
        <w:t>C</w:t>
      </w:r>
      <w:r>
        <w:rPr>
          <w:i/>
          <w:iCs/>
          <w:sz w:val="24"/>
          <w:szCs w:val="24"/>
          <w:lang w:eastAsia="en-US"/>
        </w:rPr>
        <w:t xml:space="preserve"> - tubulatura evacuare fum și gaze fierbinți nivel</w:t>
      </w:r>
    </w:p>
    <w:p w14:paraId="3EBCFAC1"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Varianta a) - prin canale colectoare</w:t>
      </w:r>
    </w:p>
    <w:p w14:paraId="72EC9600" w14:textId="77777777" w:rsidR="001C08A5" w:rsidRDefault="001C08A5">
      <w:pPr>
        <w:pStyle w:val="Default"/>
        <w:rPr>
          <w:color w:val="auto"/>
        </w:rPr>
      </w:pPr>
    </w:p>
    <w:p w14:paraId="794380AC" w14:textId="77777777" w:rsidR="001C08A5" w:rsidRDefault="00000000">
      <w:pPr>
        <w:pStyle w:val="Default"/>
        <w:rPr>
          <w:color w:val="auto"/>
        </w:rPr>
      </w:pPr>
      <w:r>
        <w:rPr>
          <w:noProof/>
          <w:color w:val="auto"/>
        </w:rPr>
        <w:drawing>
          <wp:inline distT="0" distB="0" distL="114300" distR="114300" wp14:anchorId="44A9ADA2" wp14:editId="3C77083A">
            <wp:extent cx="6069965" cy="1066165"/>
            <wp:effectExtent l="0" t="0" r="0" b="0"/>
            <wp:docPr id="3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13"/>
                    <pic:cNvPicPr>
                      <a:picLocks noChangeAspect="1"/>
                    </pic:cNvPicPr>
                  </pic:nvPicPr>
                  <pic:blipFill>
                    <a:blip r:embed="rId549"/>
                    <a:srcRect l="12392" t="3051" r="7247" b="69550"/>
                    <a:stretch>
                      <a:fillRect/>
                    </a:stretch>
                  </pic:blipFill>
                  <pic:spPr>
                    <a:xfrm>
                      <a:off x="0" y="0"/>
                      <a:ext cx="6069965" cy="1066165"/>
                    </a:xfrm>
                    <a:prstGeom prst="rect">
                      <a:avLst/>
                    </a:prstGeom>
                    <a:noFill/>
                    <a:ln>
                      <a:noFill/>
                    </a:ln>
                  </pic:spPr>
                </pic:pic>
              </a:graphicData>
            </a:graphic>
          </wp:inline>
        </w:drawing>
      </w:r>
    </w:p>
    <w:p w14:paraId="2DAC3E4C"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PLAN S1- Varianta b)</w:t>
      </w:r>
    </w:p>
    <w:p w14:paraId="43DEAE2B" w14:textId="77777777" w:rsidR="001C08A5" w:rsidRDefault="001C08A5">
      <w:pPr>
        <w:pStyle w:val="Default"/>
        <w:rPr>
          <w:color w:val="auto"/>
        </w:rPr>
      </w:pPr>
    </w:p>
    <w:p w14:paraId="50CC892D" w14:textId="77777777" w:rsidR="001C08A5" w:rsidRDefault="00000000">
      <w:pPr>
        <w:pStyle w:val="Default"/>
        <w:rPr>
          <w:color w:val="auto"/>
        </w:rPr>
      </w:pPr>
      <w:r>
        <w:rPr>
          <w:noProof/>
          <w:color w:val="auto"/>
        </w:rPr>
        <w:drawing>
          <wp:inline distT="0" distB="0" distL="114300" distR="114300" wp14:anchorId="3D8373E2" wp14:editId="770184A2">
            <wp:extent cx="6069965" cy="1069975"/>
            <wp:effectExtent l="0" t="0" r="0" b="0"/>
            <wp:docPr id="3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13"/>
                    <pic:cNvPicPr>
                      <a:picLocks noChangeAspect="1"/>
                    </pic:cNvPicPr>
                  </pic:nvPicPr>
                  <pic:blipFill>
                    <a:blip r:embed="rId549"/>
                    <a:srcRect l="12392" t="35623" r="7247" b="36880"/>
                    <a:stretch>
                      <a:fillRect/>
                    </a:stretch>
                  </pic:blipFill>
                  <pic:spPr>
                    <a:xfrm>
                      <a:off x="0" y="0"/>
                      <a:ext cx="6069965" cy="1069975"/>
                    </a:xfrm>
                    <a:prstGeom prst="rect">
                      <a:avLst/>
                    </a:prstGeom>
                    <a:noFill/>
                    <a:ln>
                      <a:noFill/>
                    </a:ln>
                  </pic:spPr>
                </pic:pic>
              </a:graphicData>
            </a:graphic>
          </wp:inline>
        </w:drawing>
      </w:r>
    </w:p>
    <w:p w14:paraId="51B77038"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PLAN S2- Varianta b)</w:t>
      </w:r>
    </w:p>
    <w:p w14:paraId="0558EB44" w14:textId="77777777" w:rsidR="001C08A5" w:rsidRDefault="00000000">
      <w:pPr>
        <w:pStyle w:val="Default"/>
        <w:rPr>
          <w:color w:val="auto"/>
        </w:rPr>
      </w:pPr>
      <w:r>
        <w:rPr>
          <w:noProof/>
          <w:color w:val="auto"/>
        </w:rPr>
        <w:drawing>
          <wp:inline distT="0" distB="0" distL="114300" distR="114300" wp14:anchorId="104A2B66" wp14:editId="086F94F1">
            <wp:extent cx="6069965" cy="1149985"/>
            <wp:effectExtent l="0" t="0" r="6985" b="12065"/>
            <wp:docPr id="4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13"/>
                    <pic:cNvPicPr>
                      <a:picLocks noChangeAspect="1"/>
                    </pic:cNvPicPr>
                  </pic:nvPicPr>
                  <pic:blipFill>
                    <a:blip r:embed="rId549"/>
                    <a:srcRect l="12392" t="66270" r="7247" b="4178"/>
                    <a:stretch>
                      <a:fillRect/>
                    </a:stretch>
                  </pic:blipFill>
                  <pic:spPr>
                    <a:xfrm>
                      <a:off x="0" y="0"/>
                      <a:ext cx="6069965" cy="1149985"/>
                    </a:xfrm>
                    <a:prstGeom prst="rect">
                      <a:avLst/>
                    </a:prstGeom>
                    <a:noFill/>
                    <a:ln>
                      <a:noFill/>
                    </a:ln>
                  </pic:spPr>
                </pic:pic>
              </a:graphicData>
            </a:graphic>
          </wp:inline>
        </w:drawing>
      </w:r>
    </w:p>
    <w:p w14:paraId="3F4637CA"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PLAN S3- Varianta b)</w:t>
      </w:r>
    </w:p>
    <w:p w14:paraId="03D7210B" w14:textId="77777777" w:rsidR="001C08A5" w:rsidRDefault="001C08A5">
      <w:pPr>
        <w:pStyle w:val="Default"/>
        <w:rPr>
          <w:color w:val="auto"/>
        </w:rPr>
      </w:pPr>
    </w:p>
    <w:p w14:paraId="6F1B629C" w14:textId="77777777" w:rsidR="001C08A5" w:rsidRDefault="00000000">
      <w:pPr>
        <w:autoSpaceDE w:val="0"/>
        <w:autoSpaceDN w:val="0"/>
        <w:adjustRightInd w:val="0"/>
        <w:jc w:val="center"/>
      </w:pPr>
      <w:r>
        <w:rPr>
          <w:noProof/>
        </w:rPr>
        <w:lastRenderedPageBreak/>
        <w:drawing>
          <wp:inline distT="0" distB="0" distL="114300" distR="114300" wp14:anchorId="3BB18D76" wp14:editId="258CAC47">
            <wp:extent cx="6096000" cy="3421380"/>
            <wp:effectExtent l="0" t="0" r="0" b="7620"/>
            <wp:docPr id="4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14"/>
                    <pic:cNvPicPr>
                      <a:picLocks noChangeAspect="1"/>
                    </pic:cNvPicPr>
                  </pic:nvPicPr>
                  <pic:blipFill>
                    <a:blip r:embed="rId550"/>
                    <a:srcRect l="12172" t="3417" r="7074" b="1186"/>
                    <a:stretch>
                      <a:fillRect/>
                    </a:stretch>
                  </pic:blipFill>
                  <pic:spPr>
                    <a:xfrm>
                      <a:off x="0" y="0"/>
                      <a:ext cx="6096000" cy="3421380"/>
                    </a:xfrm>
                    <a:prstGeom prst="rect">
                      <a:avLst/>
                    </a:prstGeom>
                    <a:noFill/>
                    <a:ln>
                      <a:noFill/>
                    </a:ln>
                  </pic:spPr>
                </pic:pic>
              </a:graphicData>
            </a:graphic>
          </wp:inline>
        </w:drawing>
      </w:r>
    </w:p>
    <w:p w14:paraId="08A2DCAF"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SECȚIUNE - Varianta b)</w:t>
      </w:r>
    </w:p>
    <w:p w14:paraId="6AF8C92A" w14:textId="77777777" w:rsidR="001C08A5" w:rsidRDefault="00000000">
      <w:pPr>
        <w:autoSpaceDE w:val="0"/>
        <w:autoSpaceDN w:val="0"/>
        <w:adjustRightInd w:val="0"/>
        <w:rPr>
          <w:i/>
          <w:iCs/>
          <w:sz w:val="24"/>
          <w:szCs w:val="24"/>
          <w:lang w:eastAsia="en-US"/>
        </w:rPr>
      </w:pPr>
      <w:r>
        <w:rPr>
          <w:i/>
          <w:iCs/>
          <w:sz w:val="24"/>
          <w:szCs w:val="24"/>
          <w:lang w:eastAsia="en-US"/>
        </w:rPr>
        <w:t xml:space="preserve">Legendă </w:t>
      </w:r>
      <w:r>
        <w:rPr>
          <w:b/>
          <w:bCs/>
          <w:i/>
          <w:iCs/>
          <w:sz w:val="24"/>
          <w:szCs w:val="24"/>
          <w:lang w:eastAsia="en-US"/>
        </w:rPr>
        <w:t>Figura 284 Varianta b)</w:t>
      </w:r>
      <w:r>
        <w:rPr>
          <w:i/>
          <w:iCs/>
          <w:sz w:val="24"/>
          <w:szCs w:val="24"/>
          <w:lang w:eastAsia="en-US"/>
        </w:rPr>
        <w:t>:</w:t>
      </w:r>
    </w:p>
    <w:p w14:paraId="654A34CF" w14:textId="77777777" w:rsidR="001C08A5" w:rsidRDefault="00000000">
      <w:pPr>
        <w:autoSpaceDE w:val="0"/>
        <w:autoSpaceDN w:val="0"/>
        <w:adjustRightInd w:val="0"/>
        <w:rPr>
          <w:i/>
          <w:iCs/>
          <w:sz w:val="24"/>
          <w:szCs w:val="24"/>
          <w:lang w:eastAsia="en-US"/>
        </w:rPr>
      </w:pPr>
      <w:r>
        <w:rPr>
          <w:b/>
          <w:bCs/>
          <w:i/>
          <w:iCs/>
          <w:sz w:val="24"/>
          <w:szCs w:val="24"/>
          <w:lang w:eastAsia="en-US"/>
        </w:rPr>
        <w:t>C, C1, C2, C3</w:t>
      </w:r>
      <w:r>
        <w:rPr>
          <w:i/>
          <w:iCs/>
          <w:sz w:val="24"/>
          <w:szCs w:val="24"/>
          <w:lang w:eastAsia="en-US"/>
        </w:rPr>
        <w:t xml:space="preserve"> - tubulatura evacuare fum și gaze fierbinți </w:t>
      </w:r>
    </w:p>
    <w:p w14:paraId="6AD8E068" w14:textId="77777777" w:rsidR="001C08A5" w:rsidRDefault="00000000">
      <w:pPr>
        <w:autoSpaceDE w:val="0"/>
        <w:autoSpaceDN w:val="0"/>
        <w:adjustRightInd w:val="0"/>
        <w:jc w:val="center"/>
        <w:rPr>
          <w:lang w:eastAsia="en-US"/>
        </w:rPr>
      </w:pPr>
      <w:r>
        <w:rPr>
          <w:b/>
          <w:bCs/>
          <w:i/>
          <w:iCs/>
          <w:sz w:val="24"/>
          <w:szCs w:val="24"/>
          <w:lang w:eastAsia="en-US"/>
        </w:rPr>
        <w:t>Varianta b) - independent, de pe fiecare nivel</w:t>
      </w:r>
    </w:p>
    <w:p w14:paraId="1D25F59D" w14:textId="77777777" w:rsidR="001C08A5" w:rsidRDefault="001C08A5">
      <w:pPr>
        <w:jc w:val="center"/>
        <w:rPr>
          <w:rFonts w:eastAsia="ArialMT"/>
          <w:b/>
          <w:bCs/>
          <w:i/>
          <w:iCs/>
          <w:sz w:val="22"/>
          <w:szCs w:val="22"/>
        </w:rPr>
      </w:pPr>
    </w:p>
    <w:p w14:paraId="544C3704" w14:textId="77777777" w:rsidR="001C08A5" w:rsidRDefault="00000000">
      <w:pPr>
        <w:jc w:val="center"/>
        <w:rPr>
          <w:rFonts w:eastAsia="ArialMT"/>
          <w:b/>
          <w:bCs/>
          <w:i/>
          <w:iCs/>
          <w:sz w:val="24"/>
          <w:szCs w:val="24"/>
        </w:rPr>
      </w:pPr>
      <w:r>
        <w:rPr>
          <w:b/>
          <w:bCs/>
          <w:i/>
          <w:iCs/>
          <w:sz w:val="24"/>
          <w:szCs w:val="24"/>
        </w:rPr>
        <w:t xml:space="preserve">Figura 284 - </w:t>
      </w:r>
      <w:r>
        <w:rPr>
          <w:rFonts w:eastAsia="ArialMT"/>
          <w:b/>
          <w:bCs/>
          <w:i/>
          <w:iCs/>
          <w:sz w:val="24"/>
          <w:szCs w:val="24"/>
        </w:rPr>
        <w:t>Evacuarea fumului la parcaje subterane</w:t>
      </w:r>
    </w:p>
    <w:p w14:paraId="0AE76A06" w14:textId="77777777" w:rsidR="001C08A5" w:rsidRDefault="001C08A5">
      <w:pPr>
        <w:jc w:val="center"/>
        <w:rPr>
          <w:rFonts w:eastAsia="ArialMT"/>
          <w:b/>
          <w:bCs/>
          <w:i/>
          <w:iCs/>
          <w:sz w:val="22"/>
          <w:szCs w:val="22"/>
        </w:rPr>
      </w:pPr>
    </w:p>
    <w:p w14:paraId="6ADB2C4A" w14:textId="77777777" w:rsidR="001C08A5" w:rsidRDefault="00000000">
      <w:pPr>
        <w:jc w:val="both"/>
        <w:rPr>
          <w:rFonts w:eastAsia="ArialMT"/>
          <w:i/>
          <w:iCs/>
          <w:sz w:val="22"/>
          <w:szCs w:val="22"/>
        </w:rPr>
      </w:pPr>
      <w:r>
        <w:rPr>
          <w:rFonts w:eastAsia="ArialMT"/>
          <w:b/>
          <w:bCs/>
          <w:i/>
          <w:iCs/>
          <w:sz w:val="22"/>
          <w:szCs w:val="22"/>
        </w:rPr>
        <w:t>Note Figura 284 conform standardelor de profil</w:t>
      </w:r>
      <w:r>
        <w:rPr>
          <w:rFonts w:eastAsia="ArialMT"/>
          <w:i/>
          <w:iCs/>
          <w:sz w:val="22"/>
          <w:szCs w:val="22"/>
        </w:rPr>
        <w:t>:</w:t>
      </w:r>
    </w:p>
    <w:p w14:paraId="753EF0FD" w14:textId="77777777" w:rsidR="001C08A5" w:rsidRDefault="00000000">
      <w:pPr>
        <w:autoSpaceDE w:val="0"/>
        <w:autoSpaceDN w:val="0"/>
        <w:adjustRightInd w:val="0"/>
        <w:jc w:val="both"/>
        <w:rPr>
          <w:i/>
          <w:iCs/>
          <w:sz w:val="22"/>
          <w:szCs w:val="22"/>
          <w:u w:val="single"/>
          <w:lang w:eastAsia="en-US"/>
        </w:rPr>
      </w:pPr>
      <w:r>
        <w:rPr>
          <w:i/>
          <w:iCs/>
          <w:sz w:val="22"/>
          <w:szCs w:val="22"/>
          <w:lang w:eastAsia="en-US"/>
        </w:rPr>
        <w:t>- Admisia aerului trebuie facută concomitent cu evacuarea fumului pe nivelul/cantonul unde s-a produs incendiul și în tot parcajul pe căile de evacuare.</w:t>
      </w:r>
    </w:p>
    <w:p w14:paraId="0AB01F83" w14:textId="77777777" w:rsidR="001C08A5" w:rsidRDefault="00000000">
      <w:pPr>
        <w:jc w:val="both"/>
        <w:rPr>
          <w:i/>
          <w:iCs/>
          <w:sz w:val="22"/>
          <w:szCs w:val="22"/>
          <w:lang w:val="en-US" w:eastAsia="en-US"/>
        </w:rPr>
      </w:pPr>
      <w:r>
        <w:rPr>
          <w:rFonts w:eastAsia="ArialMT"/>
          <w:i/>
          <w:iCs/>
          <w:sz w:val="22"/>
          <w:szCs w:val="22"/>
        </w:rPr>
        <w:t xml:space="preserve">- Gurile de evacuare a fumului și de admisie a aerului aferente sistemului cu ventilare mecanică se racordează prin tubulaturi separate la canale colectoare verticale realizate cu pereți rezistenți la foc </w:t>
      </w:r>
      <w:r>
        <w:rPr>
          <w:rFonts w:eastAsia="ArialMT"/>
          <w:b/>
          <w:bCs/>
          <w:i/>
          <w:iCs/>
          <w:sz w:val="22"/>
          <w:szCs w:val="22"/>
        </w:rPr>
        <w:t>EI 180</w:t>
      </w:r>
      <w:r>
        <w:rPr>
          <w:rFonts w:eastAsia="ArialMT"/>
          <w:i/>
          <w:iCs/>
          <w:sz w:val="22"/>
          <w:szCs w:val="22"/>
        </w:rPr>
        <w:t xml:space="preserve"> atunci când străbat alte niveluri de parcare sau alte destinații. Tubulaturile de admisie a aerului și de evacuare a fumului din interiorul compartimentului de parcare și care asigură evacuarea fumului în caz de incendiu trebuie să fie din materiale din clasa de reacție la foc minimum </w:t>
      </w:r>
      <w:r>
        <w:rPr>
          <w:rFonts w:eastAsia="ArialMT"/>
          <w:b/>
          <w:bCs/>
          <w:i/>
          <w:iCs/>
          <w:sz w:val="22"/>
          <w:szCs w:val="22"/>
        </w:rPr>
        <w:t>A2-s2,d0</w:t>
      </w:r>
      <w:r>
        <w:rPr>
          <w:rFonts w:eastAsia="ArialMT"/>
          <w:i/>
          <w:iCs/>
          <w:sz w:val="22"/>
          <w:szCs w:val="22"/>
        </w:rPr>
        <w:t xml:space="preserve"> și etanșe la foc </w:t>
      </w:r>
      <w:r>
        <w:rPr>
          <w:rFonts w:eastAsia="ArialMT"/>
          <w:b/>
          <w:bCs/>
          <w:i/>
          <w:iCs/>
          <w:sz w:val="22"/>
          <w:szCs w:val="22"/>
        </w:rPr>
        <w:t>E 30o-i, ve sau ho</w:t>
      </w:r>
      <w:r>
        <w:rPr>
          <w:rFonts w:eastAsia="ArialMT"/>
          <w:i/>
          <w:iCs/>
          <w:sz w:val="22"/>
          <w:szCs w:val="22"/>
        </w:rPr>
        <w:t xml:space="preserve">. La trecerea acestor tubulaturi prin alte  compartimente ale parcajului sau prin alte destinații trebuie să fie rezistente la foc </w:t>
      </w:r>
      <w:r>
        <w:rPr>
          <w:rFonts w:eastAsia="ArialMT"/>
          <w:b/>
          <w:bCs/>
          <w:i/>
          <w:iCs/>
          <w:sz w:val="22"/>
          <w:szCs w:val="22"/>
        </w:rPr>
        <w:t>EI 60</w:t>
      </w:r>
      <w:r>
        <w:rPr>
          <w:rFonts w:eastAsia="ArialMT"/>
          <w:i/>
          <w:iCs/>
          <w:sz w:val="22"/>
          <w:szCs w:val="22"/>
        </w:rPr>
        <w:t xml:space="preserve"> ve sau ho. La intrarea tubulaturilor din fiecare nivel de parcare în canalele verticale de evacuare a fumului sau de admisie a aerului se prevăd voleți rezistenți la foc </w:t>
      </w:r>
      <w:r>
        <w:rPr>
          <w:rFonts w:eastAsia="ArialMT"/>
          <w:b/>
          <w:bCs/>
          <w:i/>
          <w:iCs/>
          <w:sz w:val="22"/>
          <w:szCs w:val="22"/>
        </w:rPr>
        <w:t>EI 60</w:t>
      </w:r>
      <w:r>
        <w:rPr>
          <w:rFonts w:eastAsia="ArialMT"/>
          <w:i/>
          <w:iCs/>
          <w:sz w:val="22"/>
          <w:szCs w:val="22"/>
        </w:rPr>
        <w:t xml:space="preserve"> la cele de evacuare și voleți etanși la foc </w:t>
      </w:r>
      <w:r>
        <w:rPr>
          <w:rFonts w:eastAsia="ArialMT"/>
          <w:b/>
          <w:bCs/>
          <w:i/>
          <w:iCs/>
          <w:sz w:val="22"/>
          <w:szCs w:val="22"/>
        </w:rPr>
        <w:t>E 60</w:t>
      </w:r>
      <w:r>
        <w:rPr>
          <w:rFonts w:eastAsia="ArialMT"/>
          <w:i/>
          <w:iCs/>
          <w:sz w:val="22"/>
          <w:szCs w:val="22"/>
        </w:rPr>
        <w:t xml:space="preserve"> la cele de admisie a aerului. Toți voleții vor fi cu acționare automată în caz de incendiu. În interiorul spațiului care se desfumează, tubulaturile trebuie să fie etanșe la foc </w:t>
      </w:r>
      <w:r>
        <w:rPr>
          <w:rFonts w:eastAsia="ArialMT"/>
          <w:b/>
          <w:bCs/>
          <w:i/>
          <w:iCs/>
          <w:sz w:val="22"/>
          <w:szCs w:val="22"/>
        </w:rPr>
        <w:t xml:space="preserve">E 30-o-i, ve </w:t>
      </w:r>
      <w:r>
        <w:rPr>
          <w:rFonts w:eastAsia="ArialMT"/>
          <w:i/>
          <w:iCs/>
          <w:sz w:val="22"/>
          <w:szCs w:val="22"/>
        </w:rPr>
        <w:t xml:space="preserve">sau </w:t>
      </w:r>
      <w:r>
        <w:rPr>
          <w:rFonts w:eastAsia="ArialMT"/>
          <w:b/>
          <w:bCs/>
          <w:i/>
          <w:iCs/>
          <w:sz w:val="22"/>
          <w:szCs w:val="22"/>
        </w:rPr>
        <w:t>ho</w:t>
      </w:r>
      <w:r>
        <w:rPr>
          <w:rFonts w:eastAsia="ArialMT"/>
          <w:i/>
          <w:iCs/>
          <w:sz w:val="22"/>
          <w:szCs w:val="22"/>
        </w:rPr>
        <w:t xml:space="preserve">. Trecerea tubulaturilor de admisie a aerului și de evacuare a fumului prin alte spații sau compartimente ale parcajului este admisă în condițiile protejării tubulaturilor cu materiale rezistente la foc </w:t>
      </w:r>
      <w:r>
        <w:rPr>
          <w:rFonts w:eastAsia="ArialMT"/>
          <w:b/>
          <w:bCs/>
          <w:i/>
          <w:iCs/>
          <w:sz w:val="22"/>
          <w:szCs w:val="22"/>
        </w:rPr>
        <w:t>EI 60</w:t>
      </w:r>
      <w:r>
        <w:rPr>
          <w:rFonts w:eastAsia="ArialMT"/>
          <w:i/>
          <w:iCs/>
          <w:sz w:val="22"/>
          <w:szCs w:val="22"/>
        </w:rPr>
        <w:t>.</w:t>
      </w:r>
    </w:p>
    <w:p w14:paraId="21B592F9" w14:textId="77777777" w:rsidR="001C08A5" w:rsidRDefault="001C08A5">
      <w:pPr>
        <w:autoSpaceDE w:val="0"/>
        <w:autoSpaceDN w:val="0"/>
        <w:adjustRightInd w:val="0"/>
        <w:rPr>
          <w:rFonts w:ascii="Arial" w:hAnsi="Arial" w:cs="Arial"/>
          <w:sz w:val="24"/>
          <w:szCs w:val="24"/>
          <w:lang w:val="en-US" w:eastAsia="en-US"/>
        </w:rPr>
      </w:pPr>
    </w:p>
    <w:p w14:paraId="4DD41EA4"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20B9F36A" wp14:editId="18BBF843">
            <wp:extent cx="6019800" cy="1833880"/>
            <wp:effectExtent l="0" t="0" r="0" b="13970"/>
            <wp:docPr id="15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52"/>
                    <pic:cNvPicPr>
                      <a:picLocks noChangeAspect="1"/>
                    </pic:cNvPicPr>
                  </pic:nvPicPr>
                  <pic:blipFill>
                    <a:blip r:embed="rId551"/>
                    <a:srcRect l="12669" t="1498" r="7580" b="64709"/>
                    <a:stretch>
                      <a:fillRect/>
                    </a:stretch>
                  </pic:blipFill>
                  <pic:spPr>
                    <a:xfrm>
                      <a:off x="0" y="0"/>
                      <a:ext cx="6019800" cy="1833880"/>
                    </a:xfrm>
                    <a:prstGeom prst="rect">
                      <a:avLst/>
                    </a:prstGeom>
                    <a:noFill/>
                    <a:ln>
                      <a:noFill/>
                    </a:ln>
                  </pic:spPr>
                </pic:pic>
              </a:graphicData>
            </a:graphic>
          </wp:inline>
        </w:drawing>
      </w:r>
    </w:p>
    <w:p w14:paraId="5DA85EA8"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PLAN</w:t>
      </w:r>
    </w:p>
    <w:p w14:paraId="1F442E25"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7E2FD224" wp14:editId="0B9DAAF0">
            <wp:extent cx="6019800" cy="3168650"/>
            <wp:effectExtent l="0" t="0" r="0" b="12700"/>
            <wp:docPr id="15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52"/>
                    <pic:cNvPicPr>
                      <a:picLocks noChangeAspect="1"/>
                    </pic:cNvPicPr>
                  </pic:nvPicPr>
                  <pic:blipFill>
                    <a:blip r:embed="rId551"/>
                    <a:srcRect l="12669" t="36660" r="7580" b="4950"/>
                    <a:stretch>
                      <a:fillRect/>
                    </a:stretch>
                  </pic:blipFill>
                  <pic:spPr>
                    <a:xfrm>
                      <a:off x="0" y="0"/>
                      <a:ext cx="6019800" cy="3168650"/>
                    </a:xfrm>
                    <a:prstGeom prst="rect">
                      <a:avLst/>
                    </a:prstGeom>
                    <a:noFill/>
                    <a:ln>
                      <a:noFill/>
                    </a:ln>
                  </pic:spPr>
                </pic:pic>
              </a:graphicData>
            </a:graphic>
          </wp:inline>
        </w:drawing>
      </w:r>
    </w:p>
    <w:p w14:paraId="15AB167D"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SECȚIUNE</w:t>
      </w:r>
    </w:p>
    <w:p w14:paraId="5F8A731A" w14:textId="77777777" w:rsidR="001C08A5" w:rsidRDefault="00000000">
      <w:pPr>
        <w:autoSpaceDE w:val="0"/>
        <w:autoSpaceDN w:val="0"/>
        <w:adjustRightInd w:val="0"/>
        <w:jc w:val="both"/>
        <w:rPr>
          <w:i/>
          <w:iCs/>
          <w:sz w:val="24"/>
          <w:szCs w:val="24"/>
          <w:lang w:eastAsia="en-US"/>
        </w:rPr>
      </w:pPr>
      <w:r>
        <w:rPr>
          <w:i/>
          <w:iCs/>
          <w:sz w:val="24"/>
          <w:szCs w:val="24"/>
          <w:lang w:eastAsia="en-US"/>
        </w:rPr>
        <w:t xml:space="preserve">Legendă </w:t>
      </w:r>
      <w:r>
        <w:rPr>
          <w:b/>
          <w:bCs/>
          <w:i/>
          <w:iCs/>
          <w:sz w:val="24"/>
          <w:szCs w:val="24"/>
          <w:lang w:eastAsia="en-US"/>
        </w:rPr>
        <w:t>Figura 285</w:t>
      </w:r>
      <w:r>
        <w:rPr>
          <w:i/>
          <w:iCs/>
          <w:sz w:val="24"/>
          <w:szCs w:val="24"/>
          <w:lang w:eastAsia="en-US"/>
        </w:rPr>
        <w:t>:</w:t>
      </w:r>
    </w:p>
    <w:p w14:paraId="5D6EA767" w14:textId="77777777" w:rsidR="001C08A5" w:rsidRDefault="00000000">
      <w:pPr>
        <w:autoSpaceDE w:val="0"/>
        <w:autoSpaceDN w:val="0"/>
        <w:adjustRightInd w:val="0"/>
        <w:jc w:val="both"/>
        <w:rPr>
          <w:i/>
          <w:iCs/>
          <w:sz w:val="24"/>
          <w:szCs w:val="24"/>
          <w:lang w:eastAsia="en-US"/>
        </w:rPr>
      </w:pPr>
      <w:r>
        <w:rPr>
          <w:b/>
          <w:bCs/>
          <w:i/>
          <w:iCs/>
          <w:sz w:val="24"/>
          <w:szCs w:val="24"/>
          <w:lang w:eastAsia="en-US"/>
        </w:rPr>
        <w:t>A</w:t>
      </w:r>
      <w:r>
        <w:rPr>
          <w:i/>
          <w:iCs/>
          <w:sz w:val="24"/>
          <w:szCs w:val="24"/>
          <w:lang w:eastAsia="en-US"/>
        </w:rPr>
        <w:t xml:space="preserve"> - tubulatură colectoare (conform minimum condiții prevăzute la </w:t>
      </w:r>
      <w:r>
        <w:rPr>
          <w:b/>
          <w:i/>
          <w:iCs/>
          <w:sz w:val="24"/>
          <w:szCs w:val="24"/>
        </w:rPr>
        <w:t xml:space="preserve">Art. 8.1.14. alin. </w:t>
      </w:r>
      <w:r>
        <w:rPr>
          <w:b/>
          <w:bCs/>
          <w:i/>
          <w:iCs/>
          <w:sz w:val="24"/>
          <w:szCs w:val="24"/>
        </w:rPr>
        <w:t xml:space="preserve">(1) și Tabel 118 </w:t>
      </w:r>
      <w:r>
        <w:rPr>
          <w:i/>
          <w:iCs/>
          <w:sz w:val="24"/>
          <w:szCs w:val="24"/>
        </w:rPr>
        <w:t>sau</w:t>
      </w:r>
      <w:r>
        <w:rPr>
          <w:b/>
          <w:bCs/>
          <w:i/>
          <w:iCs/>
          <w:sz w:val="24"/>
          <w:szCs w:val="24"/>
        </w:rPr>
        <w:t xml:space="preserve"> </w:t>
      </w:r>
      <w:r>
        <w:rPr>
          <w:b/>
          <w:i/>
          <w:iCs/>
          <w:sz w:val="24"/>
          <w:szCs w:val="24"/>
        </w:rPr>
        <w:t xml:space="preserve">Art. 8.1.14. alin. </w:t>
      </w:r>
      <w:r>
        <w:rPr>
          <w:b/>
          <w:bCs/>
          <w:i/>
          <w:iCs/>
          <w:sz w:val="24"/>
          <w:szCs w:val="24"/>
        </w:rPr>
        <w:t xml:space="preserve">(1) și </w:t>
      </w:r>
      <w:r>
        <w:rPr>
          <w:b/>
          <w:i/>
          <w:iCs/>
          <w:sz w:val="24"/>
          <w:szCs w:val="24"/>
        </w:rPr>
        <w:t xml:space="preserve">Art. 8.1.14. alin. </w:t>
      </w:r>
      <w:r>
        <w:rPr>
          <w:b/>
          <w:bCs/>
          <w:i/>
          <w:iCs/>
          <w:sz w:val="24"/>
          <w:szCs w:val="24"/>
        </w:rPr>
        <w:t>(2)</w:t>
      </w:r>
      <w:r>
        <w:rPr>
          <w:i/>
          <w:iCs/>
          <w:sz w:val="24"/>
          <w:szCs w:val="24"/>
          <w:lang w:eastAsia="en-US"/>
        </w:rPr>
        <w:t>)</w:t>
      </w:r>
    </w:p>
    <w:p w14:paraId="7918F707" w14:textId="77777777" w:rsidR="001C08A5" w:rsidRDefault="00000000">
      <w:pPr>
        <w:autoSpaceDE w:val="0"/>
        <w:autoSpaceDN w:val="0"/>
        <w:adjustRightInd w:val="0"/>
        <w:jc w:val="both"/>
        <w:rPr>
          <w:i/>
          <w:iCs/>
          <w:sz w:val="24"/>
          <w:szCs w:val="24"/>
          <w:lang w:eastAsia="en-US"/>
        </w:rPr>
      </w:pPr>
      <w:r>
        <w:rPr>
          <w:b/>
          <w:bCs/>
          <w:i/>
          <w:iCs/>
          <w:sz w:val="24"/>
          <w:szCs w:val="24"/>
          <w:lang w:eastAsia="en-US"/>
        </w:rPr>
        <w:t>B</w:t>
      </w:r>
      <w:r>
        <w:rPr>
          <w:i/>
          <w:iCs/>
          <w:sz w:val="24"/>
          <w:szCs w:val="24"/>
          <w:lang w:eastAsia="en-US"/>
        </w:rPr>
        <w:t xml:space="preserve"> - volet minimum </w:t>
      </w:r>
      <w:r>
        <w:rPr>
          <w:b/>
          <w:i/>
          <w:iCs/>
          <w:sz w:val="22"/>
          <w:szCs w:val="22"/>
        </w:rPr>
        <w:t>EI 60</w:t>
      </w:r>
      <w:r>
        <w:rPr>
          <w:b/>
          <w:bCs/>
          <w:i/>
          <w:iCs/>
          <w:sz w:val="22"/>
          <w:szCs w:val="22"/>
          <w:vertAlign w:val="subscript"/>
        </w:rPr>
        <w:t>multi(i↔o)</w:t>
      </w:r>
    </w:p>
    <w:p w14:paraId="4DC9B4DD" w14:textId="77777777" w:rsidR="001C08A5" w:rsidRDefault="00000000">
      <w:pPr>
        <w:autoSpaceDE w:val="0"/>
        <w:autoSpaceDN w:val="0"/>
        <w:adjustRightInd w:val="0"/>
        <w:jc w:val="both"/>
        <w:rPr>
          <w:b/>
          <w:bCs/>
          <w:i/>
          <w:iCs/>
          <w:sz w:val="24"/>
          <w:szCs w:val="24"/>
          <w:lang w:eastAsia="en-US"/>
        </w:rPr>
      </w:pPr>
      <w:r>
        <w:rPr>
          <w:b/>
          <w:bCs/>
          <w:i/>
          <w:iCs/>
          <w:sz w:val="24"/>
          <w:szCs w:val="24"/>
          <w:lang w:eastAsia="en-US"/>
        </w:rPr>
        <w:t>C</w:t>
      </w:r>
      <w:r>
        <w:rPr>
          <w:i/>
          <w:iCs/>
          <w:sz w:val="24"/>
          <w:szCs w:val="24"/>
          <w:lang w:eastAsia="en-US"/>
        </w:rPr>
        <w:t xml:space="preserve"> - tubulatura evacuare fum și gaze fierbinți nivel monocompartiment (”single”) pentru spații cu aceeași destinație, etanșă la foc minimum </w:t>
      </w:r>
      <w:r>
        <w:rPr>
          <w:b/>
          <w:i/>
          <w:iCs/>
          <w:sz w:val="24"/>
          <w:szCs w:val="24"/>
        </w:rPr>
        <w:t>E</w:t>
      </w:r>
      <w:r>
        <w:rPr>
          <w:b/>
          <w:i/>
          <w:iCs/>
          <w:sz w:val="24"/>
          <w:szCs w:val="24"/>
          <w:vertAlign w:val="subscript"/>
        </w:rPr>
        <w:t>600</w:t>
      </w:r>
      <w:r>
        <w:rPr>
          <w:b/>
          <w:i/>
          <w:iCs/>
          <w:sz w:val="24"/>
          <w:szCs w:val="24"/>
        </w:rPr>
        <w:t>30</w:t>
      </w:r>
      <w:r>
        <w:rPr>
          <w:b/>
          <w:i/>
          <w:iCs/>
          <w:sz w:val="24"/>
          <w:szCs w:val="24"/>
          <w:vertAlign w:val="subscript"/>
        </w:rPr>
        <w:t>ho</w:t>
      </w:r>
      <w:r>
        <w:rPr>
          <w:b/>
          <w:i/>
          <w:iCs/>
          <w:sz w:val="24"/>
          <w:szCs w:val="24"/>
        </w:rPr>
        <w:t>S</w:t>
      </w:r>
      <w:r>
        <w:rPr>
          <w:b/>
          <w:i/>
          <w:iCs/>
          <w:sz w:val="24"/>
          <w:szCs w:val="24"/>
          <w:vertAlign w:val="subscript"/>
        </w:rPr>
        <w:t xml:space="preserve">single </w:t>
      </w:r>
      <w:r>
        <w:rPr>
          <w:bCs/>
          <w:i/>
          <w:iCs/>
          <w:sz w:val="24"/>
          <w:szCs w:val="24"/>
        </w:rPr>
        <w:t>(sau</w:t>
      </w:r>
      <w:r>
        <w:rPr>
          <w:b/>
          <w:i/>
          <w:iCs/>
          <w:sz w:val="24"/>
          <w:szCs w:val="24"/>
        </w:rPr>
        <w:t xml:space="preserve"> E</w:t>
      </w:r>
      <w:r>
        <w:rPr>
          <w:b/>
          <w:i/>
          <w:iCs/>
          <w:sz w:val="24"/>
          <w:szCs w:val="24"/>
          <w:vertAlign w:val="subscript"/>
        </w:rPr>
        <w:t>300</w:t>
      </w:r>
      <w:r>
        <w:rPr>
          <w:b/>
          <w:i/>
          <w:iCs/>
          <w:sz w:val="24"/>
          <w:szCs w:val="24"/>
        </w:rPr>
        <w:t>30</w:t>
      </w:r>
      <w:r>
        <w:rPr>
          <w:b/>
          <w:i/>
          <w:iCs/>
          <w:sz w:val="24"/>
          <w:szCs w:val="24"/>
          <w:vertAlign w:val="subscript"/>
        </w:rPr>
        <w:t>ho</w:t>
      </w:r>
      <w:r>
        <w:rPr>
          <w:b/>
          <w:i/>
          <w:iCs/>
          <w:sz w:val="24"/>
          <w:szCs w:val="24"/>
        </w:rPr>
        <w:t>S</w:t>
      </w:r>
      <w:r>
        <w:rPr>
          <w:b/>
          <w:i/>
          <w:iCs/>
          <w:sz w:val="24"/>
          <w:szCs w:val="24"/>
          <w:vertAlign w:val="subscript"/>
        </w:rPr>
        <w:t xml:space="preserve">single </w:t>
      </w:r>
      <w:r>
        <w:rPr>
          <w:bCs/>
          <w:i/>
          <w:iCs/>
          <w:sz w:val="24"/>
          <w:szCs w:val="24"/>
        </w:rPr>
        <w:t>în interiorul încăperilor care sunt echipate cu instalație automată de stingere tip sprinkler)</w:t>
      </w:r>
      <w:r>
        <w:rPr>
          <w:i/>
          <w:iCs/>
          <w:sz w:val="24"/>
          <w:szCs w:val="24"/>
          <w:lang w:eastAsia="en-US"/>
        </w:rPr>
        <w:t xml:space="preserve"> </w:t>
      </w:r>
    </w:p>
    <w:p w14:paraId="4E2C5CB9" w14:textId="77777777" w:rsidR="001C08A5" w:rsidRDefault="001C08A5">
      <w:pPr>
        <w:autoSpaceDE w:val="0"/>
        <w:autoSpaceDN w:val="0"/>
        <w:adjustRightInd w:val="0"/>
        <w:jc w:val="center"/>
        <w:rPr>
          <w:b/>
          <w:bCs/>
          <w:i/>
          <w:iCs/>
          <w:sz w:val="24"/>
          <w:szCs w:val="24"/>
          <w:lang w:eastAsia="en-US"/>
        </w:rPr>
      </w:pPr>
    </w:p>
    <w:p w14:paraId="16EE0844" w14:textId="77777777" w:rsidR="001C08A5" w:rsidRDefault="00000000">
      <w:pPr>
        <w:autoSpaceDE w:val="0"/>
        <w:autoSpaceDN w:val="0"/>
        <w:adjustRightInd w:val="0"/>
        <w:jc w:val="center"/>
        <w:rPr>
          <w:b/>
          <w:bCs/>
          <w:i/>
          <w:iCs/>
          <w:sz w:val="24"/>
          <w:szCs w:val="24"/>
          <w:lang w:eastAsia="en-US"/>
        </w:rPr>
      </w:pPr>
      <w:r>
        <w:rPr>
          <w:b/>
          <w:bCs/>
          <w:i/>
          <w:iCs/>
          <w:sz w:val="24"/>
          <w:szCs w:val="24"/>
        </w:rPr>
        <w:t xml:space="preserve">Figura 285 - </w:t>
      </w:r>
      <w:r>
        <w:rPr>
          <w:b/>
          <w:bCs/>
          <w:i/>
          <w:iCs/>
          <w:sz w:val="24"/>
          <w:szCs w:val="24"/>
          <w:lang w:eastAsia="en-US"/>
        </w:rPr>
        <w:t>Evacuarea fumului din niveluri supraterane (din încăperi cu aceeași funcțiune)</w:t>
      </w:r>
    </w:p>
    <w:p w14:paraId="44BFD120" w14:textId="77777777" w:rsidR="001C08A5" w:rsidRDefault="001C08A5">
      <w:pPr>
        <w:autoSpaceDE w:val="0"/>
        <w:autoSpaceDN w:val="0"/>
        <w:adjustRightInd w:val="0"/>
        <w:jc w:val="center"/>
        <w:rPr>
          <w:b/>
          <w:bCs/>
          <w:i/>
          <w:iCs/>
          <w:sz w:val="24"/>
          <w:szCs w:val="24"/>
          <w:lang w:eastAsia="en-US"/>
        </w:rPr>
      </w:pPr>
    </w:p>
    <w:p w14:paraId="0DC689DA" w14:textId="77777777" w:rsidR="001C08A5" w:rsidRDefault="00000000">
      <w:pPr>
        <w:autoSpaceDE w:val="0"/>
        <w:autoSpaceDN w:val="0"/>
        <w:adjustRightInd w:val="0"/>
        <w:jc w:val="both"/>
        <w:rPr>
          <w:i/>
          <w:iCs/>
          <w:sz w:val="24"/>
          <w:szCs w:val="24"/>
          <w:lang w:eastAsia="en-US"/>
        </w:rPr>
      </w:pPr>
      <w:r>
        <w:rPr>
          <w:b/>
          <w:bCs/>
          <w:i/>
          <w:iCs/>
          <w:sz w:val="22"/>
          <w:szCs w:val="22"/>
          <w:lang w:eastAsia="en-US"/>
        </w:rPr>
        <w:t>Note Figura 285</w:t>
      </w:r>
      <w:r>
        <w:rPr>
          <w:i/>
          <w:iCs/>
          <w:sz w:val="24"/>
          <w:szCs w:val="24"/>
          <w:lang w:eastAsia="en-US"/>
        </w:rPr>
        <w:t xml:space="preserve">: </w:t>
      </w:r>
    </w:p>
    <w:p w14:paraId="14A31FC7" w14:textId="77777777" w:rsidR="001C08A5" w:rsidRDefault="00000000">
      <w:pPr>
        <w:autoSpaceDE w:val="0"/>
        <w:autoSpaceDN w:val="0"/>
        <w:adjustRightInd w:val="0"/>
        <w:jc w:val="both"/>
        <w:rPr>
          <w:i/>
          <w:iCs/>
          <w:sz w:val="22"/>
          <w:szCs w:val="22"/>
          <w:u w:val="single"/>
          <w:lang w:eastAsia="en-US"/>
        </w:rPr>
      </w:pPr>
      <w:r>
        <w:rPr>
          <w:i/>
          <w:iCs/>
          <w:sz w:val="22"/>
          <w:szCs w:val="22"/>
          <w:lang w:eastAsia="en-US"/>
        </w:rPr>
        <w:t>- Admisia aerului trebuie facută concomitent cu evacuarea fumului pe nivelul/cantonul/ rezervorul de fum unde s-a produs incendiul și în tot compartimentul/ toată clădirea (în funcție de condițiile de evacuare) pe căile de evacuare.</w:t>
      </w:r>
    </w:p>
    <w:p w14:paraId="5106D5E1" w14:textId="77777777" w:rsidR="001C08A5" w:rsidRDefault="00000000">
      <w:pPr>
        <w:widowControl w:val="0"/>
        <w:jc w:val="both"/>
        <w:rPr>
          <w:b/>
          <w:i/>
          <w:iCs/>
          <w:sz w:val="22"/>
          <w:szCs w:val="22"/>
        </w:rPr>
      </w:pPr>
      <w:r>
        <w:rPr>
          <w:i/>
          <w:iCs/>
          <w:sz w:val="22"/>
          <w:szCs w:val="22"/>
        </w:rPr>
        <w:t xml:space="preserve">- În situația utilizarii canalelor colectoare comune (conducte rezistente la foc) de evacuare a fumului şi gazelor fierbinţi în caz de incendiu a tuturor nivelurilor supraterane sau subterane ale clădirilor, ghenele verticale prin care canalele colectoare ale  sistemului de evacuare a fumului şi gazelor fierbinţi în caz de incendiu respective traversează alte niveluri ale construcţiei vor îndeplini conditiile prevazute la </w:t>
      </w:r>
      <w:r>
        <w:rPr>
          <w:b/>
          <w:i/>
          <w:iCs/>
          <w:sz w:val="22"/>
          <w:szCs w:val="22"/>
        </w:rPr>
        <w:t>Art. 2.4.11.2.</w:t>
      </w:r>
    </w:p>
    <w:p w14:paraId="0E48089C" w14:textId="77777777" w:rsidR="001C08A5" w:rsidRDefault="00000000">
      <w:pPr>
        <w:widowControl w:val="0"/>
        <w:jc w:val="both"/>
        <w:rPr>
          <w:b/>
          <w:i/>
          <w:iCs/>
          <w:sz w:val="22"/>
          <w:szCs w:val="22"/>
        </w:rPr>
      </w:pPr>
      <w:r>
        <w:rPr>
          <w:i/>
          <w:iCs/>
          <w:sz w:val="22"/>
          <w:szCs w:val="22"/>
        </w:rPr>
        <w:t>- În situația utilizarii canalelor colectoare comune (conducte rezistente la foc) de evacuare a fumului şi gazelor fierbinţi în caz de incendiu a tuturor nivelurilor supraterane sau subterane ale clădirilor, ghenele se vor proteja conform conditiilor normate</w:t>
      </w:r>
      <w:r>
        <w:rPr>
          <w:b/>
          <w:bCs/>
          <w:i/>
          <w:iCs/>
          <w:sz w:val="22"/>
          <w:szCs w:val="22"/>
        </w:rPr>
        <w:t xml:space="preserve"> </w:t>
      </w:r>
    </w:p>
    <w:p w14:paraId="7C7F036A" w14:textId="77777777" w:rsidR="001C08A5" w:rsidRDefault="001C08A5">
      <w:pPr>
        <w:autoSpaceDE w:val="0"/>
        <w:autoSpaceDN w:val="0"/>
        <w:adjustRightInd w:val="0"/>
        <w:jc w:val="both"/>
        <w:rPr>
          <w:b/>
          <w:bCs/>
          <w:i/>
          <w:iCs/>
          <w:sz w:val="24"/>
          <w:szCs w:val="24"/>
          <w:lang w:eastAsia="en-US"/>
        </w:rPr>
      </w:pPr>
    </w:p>
    <w:p w14:paraId="2FB2E2EF"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3AB37668" wp14:editId="11D2369F">
            <wp:extent cx="6029325" cy="3781425"/>
            <wp:effectExtent l="0" t="0" r="9525" b="9525"/>
            <wp:docPr id="18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53"/>
                    <pic:cNvPicPr>
                      <a:picLocks noChangeAspect="1"/>
                    </pic:cNvPicPr>
                  </pic:nvPicPr>
                  <pic:blipFill>
                    <a:blip r:embed="rId552"/>
                    <a:srcRect l="12543" t="2609" r="7580" b="27709"/>
                    <a:stretch>
                      <a:fillRect/>
                    </a:stretch>
                  </pic:blipFill>
                  <pic:spPr>
                    <a:xfrm>
                      <a:off x="0" y="0"/>
                      <a:ext cx="6029325" cy="3781425"/>
                    </a:xfrm>
                    <a:prstGeom prst="rect">
                      <a:avLst/>
                    </a:prstGeom>
                    <a:noFill/>
                    <a:ln>
                      <a:noFill/>
                    </a:ln>
                  </pic:spPr>
                </pic:pic>
              </a:graphicData>
            </a:graphic>
          </wp:inline>
        </w:drawing>
      </w:r>
    </w:p>
    <w:p w14:paraId="7CB8B42D" w14:textId="77777777" w:rsidR="001C08A5" w:rsidRDefault="00000000">
      <w:pPr>
        <w:autoSpaceDE w:val="0"/>
        <w:autoSpaceDN w:val="0"/>
        <w:adjustRightInd w:val="0"/>
        <w:jc w:val="center"/>
        <w:rPr>
          <w:rFonts w:ascii="Arial" w:hAnsi="Arial" w:cs="Arial"/>
          <w:sz w:val="24"/>
          <w:szCs w:val="24"/>
          <w:lang w:val="en-US" w:eastAsia="en-US"/>
        </w:rPr>
      </w:pPr>
      <w:r>
        <w:rPr>
          <w:b/>
          <w:bCs/>
          <w:i/>
          <w:iCs/>
          <w:sz w:val="24"/>
          <w:szCs w:val="24"/>
          <w:lang w:eastAsia="en-US"/>
        </w:rPr>
        <w:t>PLAN</w:t>
      </w:r>
    </w:p>
    <w:p w14:paraId="54E51BE1"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48862623" wp14:editId="5D71E547">
            <wp:extent cx="6038850" cy="3181350"/>
            <wp:effectExtent l="0" t="0" r="0" b="0"/>
            <wp:docPr id="19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54"/>
                    <pic:cNvPicPr>
                      <a:picLocks noChangeAspect="1"/>
                    </pic:cNvPicPr>
                  </pic:nvPicPr>
                  <pic:blipFill>
                    <a:blip r:embed="rId553"/>
                    <a:srcRect l="12543" t="36321" r="7454" b="5055"/>
                    <a:stretch>
                      <a:fillRect/>
                    </a:stretch>
                  </pic:blipFill>
                  <pic:spPr>
                    <a:xfrm>
                      <a:off x="0" y="0"/>
                      <a:ext cx="6038850" cy="3181350"/>
                    </a:xfrm>
                    <a:prstGeom prst="rect">
                      <a:avLst/>
                    </a:prstGeom>
                    <a:noFill/>
                    <a:ln>
                      <a:noFill/>
                    </a:ln>
                  </pic:spPr>
                </pic:pic>
              </a:graphicData>
            </a:graphic>
          </wp:inline>
        </w:drawing>
      </w:r>
    </w:p>
    <w:p w14:paraId="746B788D"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SECȚIUNE</w:t>
      </w:r>
    </w:p>
    <w:p w14:paraId="59FCB60D" w14:textId="77777777" w:rsidR="001C08A5" w:rsidRDefault="00000000">
      <w:pPr>
        <w:autoSpaceDE w:val="0"/>
        <w:autoSpaceDN w:val="0"/>
        <w:adjustRightInd w:val="0"/>
        <w:jc w:val="both"/>
        <w:rPr>
          <w:i/>
          <w:iCs/>
          <w:sz w:val="24"/>
          <w:szCs w:val="24"/>
          <w:lang w:eastAsia="en-US"/>
        </w:rPr>
      </w:pPr>
      <w:r>
        <w:rPr>
          <w:i/>
          <w:iCs/>
          <w:sz w:val="24"/>
          <w:szCs w:val="24"/>
          <w:lang w:eastAsia="en-US"/>
        </w:rPr>
        <w:t xml:space="preserve">Legendă </w:t>
      </w:r>
      <w:r>
        <w:rPr>
          <w:b/>
          <w:bCs/>
          <w:i/>
          <w:iCs/>
          <w:sz w:val="24"/>
          <w:szCs w:val="24"/>
          <w:lang w:eastAsia="en-US"/>
        </w:rPr>
        <w:t>Figura 286</w:t>
      </w:r>
      <w:r>
        <w:rPr>
          <w:i/>
          <w:iCs/>
          <w:sz w:val="24"/>
          <w:szCs w:val="24"/>
          <w:lang w:eastAsia="en-US"/>
        </w:rPr>
        <w:t>:</w:t>
      </w:r>
    </w:p>
    <w:p w14:paraId="4EE1023D" w14:textId="77777777" w:rsidR="001C08A5" w:rsidRDefault="00000000">
      <w:pPr>
        <w:autoSpaceDE w:val="0"/>
        <w:autoSpaceDN w:val="0"/>
        <w:adjustRightInd w:val="0"/>
        <w:rPr>
          <w:i/>
          <w:iCs/>
          <w:sz w:val="24"/>
          <w:szCs w:val="24"/>
          <w:lang w:eastAsia="en-US"/>
        </w:rPr>
      </w:pPr>
      <w:r>
        <w:rPr>
          <w:b/>
          <w:bCs/>
          <w:i/>
          <w:iCs/>
          <w:sz w:val="24"/>
          <w:szCs w:val="24"/>
          <w:lang w:eastAsia="en-US"/>
        </w:rPr>
        <w:t>A</w:t>
      </w:r>
      <w:r>
        <w:rPr>
          <w:i/>
          <w:iCs/>
          <w:sz w:val="24"/>
          <w:szCs w:val="24"/>
          <w:lang w:eastAsia="en-US"/>
        </w:rPr>
        <w:t xml:space="preserve"> - tubulatură colectoare (conform minimum condiții prevăzute la </w:t>
      </w:r>
      <w:r>
        <w:rPr>
          <w:b/>
          <w:i/>
          <w:iCs/>
          <w:sz w:val="24"/>
          <w:szCs w:val="24"/>
        </w:rPr>
        <w:t xml:space="preserve">Art. 8.1.14. alin. </w:t>
      </w:r>
      <w:r>
        <w:rPr>
          <w:b/>
          <w:bCs/>
          <w:i/>
          <w:iCs/>
          <w:sz w:val="24"/>
          <w:szCs w:val="24"/>
        </w:rPr>
        <w:t xml:space="preserve">(1) și Tabel 118 </w:t>
      </w:r>
      <w:r>
        <w:rPr>
          <w:i/>
          <w:iCs/>
          <w:sz w:val="24"/>
          <w:szCs w:val="24"/>
        </w:rPr>
        <w:t>sau</w:t>
      </w:r>
      <w:r>
        <w:rPr>
          <w:b/>
          <w:bCs/>
          <w:i/>
          <w:iCs/>
          <w:sz w:val="24"/>
          <w:szCs w:val="24"/>
        </w:rPr>
        <w:t xml:space="preserve"> </w:t>
      </w:r>
      <w:r>
        <w:rPr>
          <w:b/>
          <w:i/>
          <w:iCs/>
          <w:sz w:val="24"/>
          <w:szCs w:val="24"/>
        </w:rPr>
        <w:t xml:space="preserve">Art. 8.1.14. alin. </w:t>
      </w:r>
      <w:r>
        <w:rPr>
          <w:b/>
          <w:bCs/>
          <w:i/>
          <w:iCs/>
          <w:sz w:val="24"/>
          <w:szCs w:val="24"/>
        </w:rPr>
        <w:t xml:space="preserve">(1) și </w:t>
      </w:r>
      <w:r>
        <w:rPr>
          <w:b/>
          <w:i/>
          <w:iCs/>
          <w:sz w:val="24"/>
          <w:szCs w:val="24"/>
        </w:rPr>
        <w:t xml:space="preserve">Art. 8.1.14. alin. </w:t>
      </w:r>
      <w:r>
        <w:rPr>
          <w:b/>
          <w:bCs/>
          <w:i/>
          <w:iCs/>
          <w:sz w:val="24"/>
          <w:szCs w:val="24"/>
        </w:rPr>
        <w:t>(2)</w:t>
      </w:r>
      <w:r>
        <w:rPr>
          <w:i/>
          <w:iCs/>
          <w:sz w:val="24"/>
          <w:szCs w:val="24"/>
          <w:lang w:eastAsia="en-US"/>
        </w:rPr>
        <w:t>)</w:t>
      </w:r>
    </w:p>
    <w:p w14:paraId="291FBF1E" w14:textId="77777777" w:rsidR="001C08A5" w:rsidRDefault="00000000">
      <w:pPr>
        <w:autoSpaceDE w:val="0"/>
        <w:autoSpaceDN w:val="0"/>
        <w:adjustRightInd w:val="0"/>
        <w:rPr>
          <w:i/>
          <w:iCs/>
          <w:sz w:val="24"/>
          <w:szCs w:val="24"/>
          <w:lang w:eastAsia="en-US"/>
        </w:rPr>
      </w:pPr>
      <w:r>
        <w:rPr>
          <w:b/>
          <w:bCs/>
          <w:i/>
          <w:iCs/>
          <w:sz w:val="24"/>
          <w:szCs w:val="24"/>
          <w:lang w:eastAsia="en-US"/>
        </w:rPr>
        <w:t>B</w:t>
      </w:r>
      <w:r>
        <w:rPr>
          <w:i/>
          <w:iCs/>
          <w:sz w:val="24"/>
          <w:szCs w:val="24"/>
          <w:lang w:eastAsia="en-US"/>
        </w:rPr>
        <w:t xml:space="preserve"> - volet minimum </w:t>
      </w:r>
      <w:r>
        <w:rPr>
          <w:b/>
          <w:i/>
          <w:iCs/>
          <w:sz w:val="22"/>
          <w:szCs w:val="22"/>
        </w:rPr>
        <w:t>EI 60</w:t>
      </w:r>
      <w:r>
        <w:rPr>
          <w:b/>
          <w:bCs/>
          <w:i/>
          <w:iCs/>
          <w:sz w:val="22"/>
          <w:szCs w:val="22"/>
          <w:vertAlign w:val="subscript"/>
        </w:rPr>
        <w:t>multi(i↔o)</w:t>
      </w:r>
    </w:p>
    <w:p w14:paraId="41F3BD63" w14:textId="77777777" w:rsidR="001C08A5" w:rsidRDefault="00000000">
      <w:pPr>
        <w:autoSpaceDE w:val="0"/>
        <w:autoSpaceDN w:val="0"/>
        <w:adjustRightInd w:val="0"/>
        <w:jc w:val="both"/>
        <w:rPr>
          <w:i/>
          <w:iCs/>
          <w:sz w:val="24"/>
          <w:szCs w:val="24"/>
          <w:lang w:eastAsia="en-US"/>
        </w:rPr>
      </w:pPr>
      <w:r>
        <w:rPr>
          <w:b/>
          <w:bCs/>
          <w:i/>
          <w:iCs/>
          <w:sz w:val="24"/>
          <w:szCs w:val="24"/>
          <w:lang w:eastAsia="en-US"/>
        </w:rPr>
        <w:t>C</w:t>
      </w:r>
      <w:r>
        <w:rPr>
          <w:i/>
          <w:iCs/>
          <w:sz w:val="24"/>
          <w:szCs w:val="24"/>
          <w:lang w:eastAsia="en-US"/>
        </w:rPr>
        <w:t xml:space="preserve"> - tubulatura evacuare fum și gaze fierbinți nivel multicompartiment (”multi”) prin circulații comune, rezistentă la foc minimum </w:t>
      </w:r>
      <w:r>
        <w:rPr>
          <w:b/>
          <w:bCs/>
          <w:i/>
          <w:iCs/>
          <w:sz w:val="22"/>
          <w:szCs w:val="22"/>
        </w:rPr>
        <w:t xml:space="preserve">EI 60 </w:t>
      </w:r>
      <w:r>
        <w:rPr>
          <w:b/>
          <w:bCs/>
          <w:i/>
          <w:iCs/>
          <w:sz w:val="22"/>
          <w:szCs w:val="22"/>
          <w:vertAlign w:val="subscript"/>
        </w:rPr>
        <w:t>ho</w:t>
      </w:r>
      <w:r>
        <w:rPr>
          <w:b/>
          <w:bCs/>
          <w:i/>
          <w:iCs/>
          <w:sz w:val="22"/>
          <w:szCs w:val="22"/>
        </w:rPr>
        <w:t>S</w:t>
      </w:r>
      <w:r>
        <w:rPr>
          <w:b/>
          <w:bCs/>
          <w:i/>
          <w:iCs/>
          <w:sz w:val="22"/>
          <w:szCs w:val="22"/>
          <w:vertAlign w:val="subscript"/>
        </w:rPr>
        <w:t>multi</w:t>
      </w:r>
      <w:r>
        <w:rPr>
          <w:i/>
          <w:iCs/>
          <w:sz w:val="24"/>
          <w:szCs w:val="24"/>
          <w:lang w:eastAsia="en-US"/>
        </w:rPr>
        <w:t xml:space="preserve"> (sau </w:t>
      </w:r>
      <w:r>
        <w:rPr>
          <w:b/>
          <w:bCs/>
          <w:i/>
          <w:iCs/>
          <w:sz w:val="22"/>
          <w:szCs w:val="22"/>
        </w:rPr>
        <w:t xml:space="preserve">EI 90 </w:t>
      </w:r>
      <w:r>
        <w:rPr>
          <w:b/>
          <w:bCs/>
          <w:i/>
          <w:iCs/>
          <w:sz w:val="22"/>
          <w:szCs w:val="22"/>
          <w:vertAlign w:val="subscript"/>
        </w:rPr>
        <w:t>ho</w:t>
      </w:r>
      <w:r>
        <w:rPr>
          <w:b/>
          <w:bCs/>
          <w:i/>
          <w:iCs/>
          <w:sz w:val="22"/>
          <w:szCs w:val="22"/>
        </w:rPr>
        <w:t>S</w:t>
      </w:r>
      <w:r>
        <w:rPr>
          <w:b/>
          <w:bCs/>
          <w:i/>
          <w:iCs/>
          <w:sz w:val="22"/>
          <w:szCs w:val="22"/>
          <w:vertAlign w:val="subscript"/>
        </w:rPr>
        <w:t>multi</w:t>
      </w:r>
      <w:r>
        <w:rPr>
          <w:i/>
          <w:iCs/>
          <w:sz w:val="24"/>
          <w:szCs w:val="24"/>
          <w:lang w:eastAsia="en-US"/>
        </w:rPr>
        <w:t xml:space="preserve"> sau </w:t>
      </w:r>
      <w:r>
        <w:rPr>
          <w:b/>
          <w:bCs/>
          <w:i/>
          <w:iCs/>
          <w:sz w:val="22"/>
          <w:szCs w:val="22"/>
        </w:rPr>
        <w:t xml:space="preserve">EI 120 </w:t>
      </w:r>
      <w:r>
        <w:rPr>
          <w:b/>
          <w:bCs/>
          <w:i/>
          <w:iCs/>
          <w:sz w:val="22"/>
          <w:szCs w:val="22"/>
          <w:vertAlign w:val="subscript"/>
        </w:rPr>
        <w:t>ho</w:t>
      </w:r>
      <w:r>
        <w:rPr>
          <w:b/>
          <w:bCs/>
          <w:i/>
          <w:iCs/>
          <w:sz w:val="22"/>
          <w:szCs w:val="22"/>
        </w:rPr>
        <w:t>S</w:t>
      </w:r>
      <w:r>
        <w:rPr>
          <w:b/>
          <w:bCs/>
          <w:i/>
          <w:iCs/>
          <w:sz w:val="22"/>
          <w:szCs w:val="22"/>
          <w:vertAlign w:val="subscript"/>
        </w:rPr>
        <w:t>multi</w:t>
      </w:r>
      <w:r>
        <w:rPr>
          <w:i/>
          <w:iCs/>
          <w:sz w:val="24"/>
          <w:szCs w:val="24"/>
          <w:lang w:eastAsia="en-US"/>
        </w:rPr>
        <w:t xml:space="preserve"> )</w:t>
      </w:r>
    </w:p>
    <w:p w14:paraId="3EB5507D" w14:textId="77777777" w:rsidR="001C08A5" w:rsidRDefault="001C08A5">
      <w:pPr>
        <w:autoSpaceDE w:val="0"/>
        <w:autoSpaceDN w:val="0"/>
        <w:adjustRightInd w:val="0"/>
        <w:jc w:val="both"/>
        <w:rPr>
          <w:i/>
          <w:iCs/>
          <w:sz w:val="24"/>
          <w:szCs w:val="24"/>
          <w:lang w:eastAsia="en-US"/>
        </w:rPr>
      </w:pPr>
    </w:p>
    <w:p w14:paraId="4CDD96DD" w14:textId="77777777" w:rsidR="001C08A5" w:rsidRDefault="00000000">
      <w:pPr>
        <w:autoSpaceDE w:val="0"/>
        <w:autoSpaceDN w:val="0"/>
        <w:adjustRightInd w:val="0"/>
        <w:jc w:val="center"/>
        <w:rPr>
          <w:b/>
          <w:bCs/>
          <w:i/>
          <w:iCs/>
          <w:sz w:val="24"/>
          <w:szCs w:val="24"/>
          <w:lang w:eastAsia="en-US"/>
        </w:rPr>
      </w:pPr>
      <w:r>
        <w:rPr>
          <w:b/>
          <w:bCs/>
          <w:i/>
          <w:iCs/>
          <w:sz w:val="24"/>
          <w:szCs w:val="24"/>
        </w:rPr>
        <w:t xml:space="preserve">Figura 286 - </w:t>
      </w:r>
      <w:r>
        <w:rPr>
          <w:b/>
          <w:bCs/>
          <w:i/>
          <w:iCs/>
          <w:sz w:val="24"/>
          <w:szCs w:val="24"/>
          <w:lang w:eastAsia="en-US"/>
        </w:rPr>
        <w:t>Evacuarea fumului din niveluri supraterane prin circulații comune</w:t>
      </w:r>
    </w:p>
    <w:p w14:paraId="6BF172C0" w14:textId="77777777" w:rsidR="001C08A5" w:rsidRDefault="001C08A5">
      <w:pPr>
        <w:autoSpaceDE w:val="0"/>
        <w:autoSpaceDN w:val="0"/>
        <w:adjustRightInd w:val="0"/>
        <w:jc w:val="center"/>
        <w:rPr>
          <w:b/>
          <w:bCs/>
          <w:i/>
          <w:iCs/>
          <w:sz w:val="24"/>
          <w:szCs w:val="24"/>
          <w:lang w:eastAsia="en-US"/>
        </w:rPr>
      </w:pPr>
    </w:p>
    <w:p w14:paraId="28CC211E" w14:textId="77777777" w:rsidR="001C08A5" w:rsidRDefault="00000000">
      <w:pPr>
        <w:autoSpaceDE w:val="0"/>
        <w:autoSpaceDN w:val="0"/>
        <w:adjustRightInd w:val="0"/>
        <w:jc w:val="both"/>
        <w:rPr>
          <w:i/>
          <w:iCs/>
          <w:sz w:val="22"/>
          <w:szCs w:val="22"/>
          <w:lang w:eastAsia="en-US"/>
        </w:rPr>
      </w:pPr>
      <w:r>
        <w:rPr>
          <w:b/>
          <w:bCs/>
          <w:i/>
          <w:iCs/>
          <w:sz w:val="22"/>
          <w:szCs w:val="22"/>
          <w:lang w:eastAsia="en-US"/>
        </w:rPr>
        <w:t>Note Figura 286</w:t>
      </w:r>
      <w:r>
        <w:rPr>
          <w:i/>
          <w:iCs/>
          <w:sz w:val="22"/>
          <w:szCs w:val="22"/>
          <w:lang w:eastAsia="en-US"/>
        </w:rPr>
        <w:t>:</w:t>
      </w:r>
    </w:p>
    <w:p w14:paraId="3A1F4EFF" w14:textId="77777777" w:rsidR="001C08A5" w:rsidRDefault="00000000">
      <w:pPr>
        <w:autoSpaceDE w:val="0"/>
        <w:autoSpaceDN w:val="0"/>
        <w:adjustRightInd w:val="0"/>
        <w:jc w:val="both"/>
        <w:rPr>
          <w:i/>
          <w:iCs/>
          <w:sz w:val="22"/>
          <w:szCs w:val="22"/>
          <w:u w:val="single"/>
          <w:lang w:eastAsia="en-US"/>
        </w:rPr>
      </w:pPr>
      <w:r>
        <w:rPr>
          <w:i/>
          <w:iCs/>
          <w:sz w:val="22"/>
          <w:szCs w:val="22"/>
          <w:u w:val="single"/>
          <w:lang w:eastAsia="en-US"/>
        </w:rPr>
        <w:lastRenderedPageBreak/>
        <w:t xml:space="preserve">- </w:t>
      </w:r>
      <w:r>
        <w:rPr>
          <w:i/>
          <w:iCs/>
          <w:sz w:val="22"/>
          <w:szCs w:val="22"/>
          <w:lang w:eastAsia="en-US"/>
        </w:rPr>
        <w:t>Admisia aerului trebuie facută concomitent cu evacuarea fumului cu evacuarea fumului pe nivelul/rezervorul de fum unde s-a produs incendiul și în tot compartimentul/ toată clădirea (în funcție de condițiile de evacuare) pe căile de evacuare.</w:t>
      </w:r>
    </w:p>
    <w:p w14:paraId="5E2650F8" w14:textId="77777777" w:rsidR="001C08A5" w:rsidRDefault="00000000">
      <w:pPr>
        <w:autoSpaceDE w:val="0"/>
        <w:autoSpaceDN w:val="0"/>
        <w:adjustRightInd w:val="0"/>
        <w:jc w:val="both"/>
        <w:rPr>
          <w:i/>
          <w:iCs/>
          <w:sz w:val="22"/>
          <w:szCs w:val="22"/>
          <w:lang w:eastAsia="en-US"/>
        </w:rPr>
      </w:pPr>
      <w:r>
        <w:rPr>
          <w:i/>
          <w:iCs/>
          <w:sz w:val="22"/>
          <w:szCs w:val="22"/>
          <w:lang w:eastAsia="en-US"/>
        </w:rPr>
        <w:t>- Condiția care trebuie îndeplinită pentru a nu amplasa voleți la intersecția tubulaturilor cu pereții, este ca rezistența la foc a tubularturii să fie minimum cât rezistența la foc a peretelui străpuns</w:t>
      </w:r>
    </w:p>
    <w:p w14:paraId="7EFD2D1B" w14:textId="77777777" w:rsidR="001C08A5" w:rsidRDefault="00000000">
      <w:pPr>
        <w:autoSpaceDE w:val="0"/>
        <w:autoSpaceDN w:val="0"/>
        <w:adjustRightInd w:val="0"/>
        <w:jc w:val="both"/>
        <w:rPr>
          <w:i/>
          <w:iCs/>
          <w:sz w:val="22"/>
          <w:szCs w:val="22"/>
          <w:lang w:eastAsia="en-US"/>
        </w:rPr>
      </w:pPr>
      <w:r>
        <w:rPr>
          <w:i/>
          <w:iCs/>
          <w:sz w:val="22"/>
          <w:szCs w:val="22"/>
          <w:lang w:eastAsia="en-US"/>
        </w:rPr>
        <w:t>- Timpul de funcționare al instalației de evacuare fum și gaxe fierbinți este în corelare cu timpul de funcționare al ascensoarelor de evacuare a persoanelor, fără a fi mai mică decât rezistența la foc a peretelui străpuns (se ia în calcul și faptul că tubulatura notată ”</w:t>
      </w:r>
      <w:r>
        <w:rPr>
          <w:b/>
          <w:bCs/>
          <w:i/>
          <w:iCs/>
          <w:sz w:val="22"/>
          <w:szCs w:val="22"/>
          <w:lang w:eastAsia="en-US"/>
        </w:rPr>
        <w:t>C</w:t>
      </w:r>
      <w:r>
        <w:rPr>
          <w:i/>
          <w:iCs/>
          <w:sz w:val="22"/>
          <w:szCs w:val="22"/>
          <w:lang w:eastAsia="en-US"/>
        </w:rPr>
        <w:t xml:space="preserve">” poate fi necesar să-și păstreze caracteristicile un timp mai îndelungat decât rezistența la foc amintită de exemplu prin amplasarea în directă legătură cu un ascensor utilizabil și pentru evacuare, caz în care rezistența acesteia va fi mai mare, de exemplu conform timpului normat de funcționare al ascensorului prevăzut și pentru evacuare) </w:t>
      </w:r>
    </w:p>
    <w:p w14:paraId="51B85E0B" w14:textId="77777777" w:rsidR="001C08A5" w:rsidRDefault="00000000">
      <w:pPr>
        <w:autoSpaceDE w:val="0"/>
        <w:autoSpaceDN w:val="0"/>
        <w:adjustRightInd w:val="0"/>
        <w:jc w:val="both"/>
        <w:rPr>
          <w:i/>
          <w:iCs/>
          <w:sz w:val="22"/>
          <w:szCs w:val="22"/>
        </w:rPr>
      </w:pPr>
      <w:r>
        <w:rPr>
          <w:i/>
          <w:iCs/>
          <w:sz w:val="22"/>
          <w:szCs w:val="22"/>
          <w:lang w:eastAsia="en-US"/>
        </w:rPr>
        <w:t>- Î</w:t>
      </w:r>
      <w:r>
        <w:rPr>
          <w:i/>
          <w:iCs/>
          <w:sz w:val="22"/>
          <w:szCs w:val="22"/>
        </w:rPr>
        <w:t xml:space="preserve">n toate cazurile în care tubulaturile orizontale se racordează la </w:t>
      </w:r>
      <w:r>
        <w:rPr>
          <w:bCs/>
          <w:i/>
          <w:iCs/>
          <w:sz w:val="22"/>
          <w:szCs w:val="22"/>
        </w:rPr>
        <w:t xml:space="preserve">conducte verticale pe înălțimea construcției, conducte verticale colectoare precum și voleții prevăzuți la intarea în canalele colectoare nu vor avea timpul de rezistență la foc și caracteristicile mai mici decât cele ale </w:t>
      </w:r>
      <w:r>
        <w:rPr>
          <w:i/>
          <w:iCs/>
          <w:sz w:val="22"/>
          <w:szCs w:val="22"/>
        </w:rPr>
        <w:t>tubulaturilor care se racordează la ele</w:t>
      </w:r>
    </w:p>
    <w:p w14:paraId="28FCA1F1" w14:textId="77777777" w:rsidR="001C08A5" w:rsidRDefault="00000000">
      <w:pPr>
        <w:widowControl w:val="0"/>
        <w:jc w:val="both"/>
        <w:rPr>
          <w:b/>
          <w:i/>
          <w:iCs/>
          <w:sz w:val="22"/>
          <w:szCs w:val="22"/>
        </w:rPr>
      </w:pPr>
      <w:r>
        <w:rPr>
          <w:i/>
          <w:iCs/>
          <w:sz w:val="22"/>
          <w:szCs w:val="22"/>
        </w:rPr>
        <w:t xml:space="preserve">- În situația utilizarii canalelor colectoare comune (conducte rezistente la foc) de evacuare a fumului şi gazelor fierbinţi în caz de incendiu a tuturor nivelurilor supraterane sau subterane ale clădirilor, ghenele verticale prin care canalele colectoare ale  sistemului de evacuare a fumului şi gazelor fierbinţi în caz de incendiu respective traversează alte niveluri ale construcţiei vor îndeplini conditiile prevazute la </w:t>
      </w:r>
      <w:r>
        <w:rPr>
          <w:b/>
          <w:i/>
          <w:iCs/>
          <w:sz w:val="22"/>
          <w:szCs w:val="22"/>
        </w:rPr>
        <w:t>Art. 2.4.11.2.</w:t>
      </w:r>
    </w:p>
    <w:p w14:paraId="7EDD5B23" w14:textId="77777777" w:rsidR="001C08A5" w:rsidRDefault="00000000">
      <w:pPr>
        <w:widowControl w:val="0"/>
        <w:jc w:val="both"/>
        <w:rPr>
          <w:i/>
          <w:iCs/>
          <w:sz w:val="22"/>
          <w:szCs w:val="22"/>
        </w:rPr>
      </w:pPr>
      <w:r>
        <w:rPr>
          <w:i/>
          <w:iCs/>
          <w:sz w:val="22"/>
          <w:szCs w:val="22"/>
        </w:rPr>
        <w:t>- În situația utilizarii canalelor colectoare comune (conducte rezistente la foc) de evacuare a fumului şi gazelor fierbinţi în caz de incendiu a tuturor nivelurilor supraterane sau subterane ale clădirilor, ghenele se vor proteja conform conditiilor normate</w:t>
      </w:r>
      <w:r>
        <w:rPr>
          <w:b/>
          <w:bCs/>
          <w:i/>
          <w:iCs/>
          <w:sz w:val="22"/>
          <w:szCs w:val="22"/>
        </w:rPr>
        <w:t xml:space="preserve">) </w:t>
      </w:r>
    </w:p>
    <w:p w14:paraId="0CFE3D96" w14:textId="77777777" w:rsidR="001C08A5" w:rsidRDefault="001C08A5">
      <w:pPr>
        <w:autoSpaceDE w:val="0"/>
        <w:autoSpaceDN w:val="0"/>
        <w:adjustRightInd w:val="0"/>
        <w:rPr>
          <w:rFonts w:ascii="Arial" w:hAnsi="Arial" w:cs="Arial"/>
          <w:sz w:val="24"/>
          <w:szCs w:val="24"/>
          <w:lang w:val="en-US" w:eastAsia="en-US"/>
        </w:rPr>
      </w:pPr>
    </w:p>
    <w:p w14:paraId="108D5E50"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drawing>
          <wp:inline distT="0" distB="0" distL="114300" distR="114300" wp14:anchorId="7575C974" wp14:editId="42BE603A">
            <wp:extent cx="6048375" cy="3711575"/>
            <wp:effectExtent l="0" t="0" r="9525" b="3175"/>
            <wp:docPr id="19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55"/>
                    <pic:cNvPicPr>
                      <a:picLocks noChangeAspect="1"/>
                    </pic:cNvPicPr>
                  </pic:nvPicPr>
                  <pic:blipFill>
                    <a:blip r:embed="rId554"/>
                    <a:srcRect l="12417" t="31605" r="7454"/>
                    <a:stretch>
                      <a:fillRect/>
                    </a:stretch>
                  </pic:blipFill>
                  <pic:spPr>
                    <a:xfrm>
                      <a:off x="0" y="0"/>
                      <a:ext cx="6048375" cy="3711575"/>
                    </a:xfrm>
                    <a:prstGeom prst="rect">
                      <a:avLst/>
                    </a:prstGeom>
                    <a:noFill/>
                    <a:ln>
                      <a:noFill/>
                    </a:ln>
                  </pic:spPr>
                </pic:pic>
              </a:graphicData>
            </a:graphic>
          </wp:inline>
        </w:drawing>
      </w:r>
    </w:p>
    <w:p w14:paraId="1A67ED18"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PLAN</w:t>
      </w:r>
    </w:p>
    <w:p w14:paraId="1FFF76E1" w14:textId="77777777" w:rsidR="001C08A5" w:rsidRDefault="001C08A5">
      <w:pPr>
        <w:autoSpaceDE w:val="0"/>
        <w:autoSpaceDN w:val="0"/>
        <w:adjustRightInd w:val="0"/>
        <w:rPr>
          <w:rFonts w:ascii="Arial" w:hAnsi="Arial" w:cs="Arial"/>
          <w:sz w:val="24"/>
          <w:szCs w:val="24"/>
          <w:lang w:val="en-US" w:eastAsia="en-US"/>
        </w:rPr>
      </w:pPr>
    </w:p>
    <w:p w14:paraId="26806251" w14:textId="77777777" w:rsidR="001C08A5" w:rsidRDefault="00000000">
      <w:pPr>
        <w:autoSpaceDE w:val="0"/>
        <w:autoSpaceDN w:val="0"/>
        <w:adjustRightInd w:val="0"/>
        <w:jc w:val="center"/>
        <w:rPr>
          <w:rFonts w:ascii="Arial" w:hAnsi="Arial" w:cs="Arial"/>
          <w:sz w:val="24"/>
          <w:szCs w:val="24"/>
          <w:lang w:val="en-US" w:eastAsia="en-US"/>
        </w:rPr>
      </w:pPr>
      <w:r>
        <w:rPr>
          <w:rFonts w:ascii="Arial" w:hAnsi="Arial" w:cs="Arial"/>
          <w:noProof/>
          <w:sz w:val="24"/>
          <w:szCs w:val="24"/>
          <w:lang w:val="en-US" w:eastAsia="en-US"/>
        </w:rPr>
        <w:lastRenderedPageBreak/>
        <w:drawing>
          <wp:inline distT="0" distB="0" distL="114300" distR="114300" wp14:anchorId="1C7E58EE" wp14:editId="36265D5B">
            <wp:extent cx="6048375" cy="3166110"/>
            <wp:effectExtent l="0" t="0" r="9525" b="15240"/>
            <wp:docPr id="20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56"/>
                    <pic:cNvPicPr>
                      <a:picLocks noChangeAspect="1"/>
                    </pic:cNvPicPr>
                  </pic:nvPicPr>
                  <pic:blipFill>
                    <a:blip r:embed="rId555"/>
                    <a:srcRect l="12417" t="21297" r="7454" b="20360"/>
                    <a:stretch>
                      <a:fillRect/>
                    </a:stretch>
                  </pic:blipFill>
                  <pic:spPr>
                    <a:xfrm>
                      <a:off x="0" y="0"/>
                      <a:ext cx="6048375" cy="3166110"/>
                    </a:xfrm>
                    <a:prstGeom prst="rect">
                      <a:avLst/>
                    </a:prstGeom>
                    <a:noFill/>
                    <a:ln>
                      <a:noFill/>
                    </a:ln>
                  </pic:spPr>
                </pic:pic>
              </a:graphicData>
            </a:graphic>
          </wp:inline>
        </w:drawing>
      </w:r>
    </w:p>
    <w:p w14:paraId="26488954" w14:textId="77777777" w:rsidR="001C08A5" w:rsidRDefault="00000000">
      <w:pPr>
        <w:autoSpaceDE w:val="0"/>
        <w:autoSpaceDN w:val="0"/>
        <w:adjustRightInd w:val="0"/>
        <w:jc w:val="center"/>
        <w:rPr>
          <w:b/>
          <w:bCs/>
          <w:i/>
          <w:iCs/>
          <w:sz w:val="24"/>
          <w:szCs w:val="24"/>
          <w:lang w:eastAsia="en-US"/>
        </w:rPr>
      </w:pPr>
      <w:r>
        <w:rPr>
          <w:b/>
          <w:bCs/>
          <w:i/>
          <w:iCs/>
          <w:sz w:val="24"/>
          <w:szCs w:val="24"/>
          <w:lang w:eastAsia="en-US"/>
        </w:rPr>
        <w:t>SECȚIUNE</w:t>
      </w:r>
    </w:p>
    <w:p w14:paraId="47C9356E" w14:textId="77777777" w:rsidR="001C08A5" w:rsidRDefault="00000000">
      <w:pPr>
        <w:autoSpaceDE w:val="0"/>
        <w:autoSpaceDN w:val="0"/>
        <w:adjustRightInd w:val="0"/>
        <w:jc w:val="both"/>
        <w:rPr>
          <w:i/>
          <w:iCs/>
          <w:sz w:val="24"/>
          <w:szCs w:val="24"/>
          <w:lang w:eastAsia="en-US"/>
        </w:rPr>
      </w:pPr>
      <w:r>
        <w:rPr>
          <w:i/>
          <w:iCs/>
          <w:sz w:val="24"/>
          <w:szCs w:val="24"/>
          <w:lang w:eastAsia="en-US"/>
        </w:rPr>
        <w:t xml:space="preserve">Legendă </w:t>
      </w:r>
      <w:r>
        <w:rPr>
          <w:b/>
          <w:bCs/>
          <w:i/>
          <w:iCs/>
          <w:sz w:val="24"/>
          <w:szCs w:val="24"/>
          <w:lang w:eastAsia="en-US"/>
        </w:rPr>
        <w:t>Figura 287</w:t>
      </w:r>
      <w:r>
        <w:rPr>
          <w:i/>
          <w:iCs/>
          <w:sz w:val="24"/>
          <w:szCs w:val="24"/>
          <w:lang w:eastAsia="en-US"/>
        </w:rPr>
        <w:t>:</w:t>
      </w:r>
    </w:p>
    <w:p w14:paraId="0D13959B" w14:textId="77777777" w:rsidR="001C08A5" w:rsidRDefault="00000000">
      <w:pPr>
        <w:autoSpaceDE w:val="0"/>
        <w:autoSpaceDN w:val="0"/>
        <w:adjustRightInd w:val="0"/>
        <w:rPr>
          <w:i/>
          <w:iCs/>
          <w:sz w:val="24"/>
          <w:szCs w:val="24"/>
          <w:lang w:eastAsia="en-US"/>
        </w:rPr>
      </w:pPr>
      <w:r>
        <w:rPr>
          <w:b/>
          <w:bCs/>
          <w:i/>
          <w:iCs/>
          <w:sz w:val="24"/>
          <w:szCs w:val="24"/>
          <w:lang w:eastAsia="en-US"/>
        </w:rPr>
        <w:t>A</w:t>
      </w:r>
      <w:r>
        <w:rPr>
          <w:i/>
          <w:iCs/>
          <w:sz w:val="24"/>
          <w:szCs w:val="24"/>
          <w:lang w:eastAsia="en-US"/>
        </w:rPr>
        <w:t xml:space="preserve"> - tubulatură colectoare (conform minimum condiții prevăzute la </w:t>
      </w:r>
      <w:r>
        <w:rPr>
          <w:b/>
          <w:i/>
          <w:iCs/>
          <w:sz w:val="24"/>
          <w:szCs w:val="24"/>
        </w:rPr>
        <w:t xml:space="preserve">Art. 8.1.14. alin. </w:t>
      </w:r>
      <w:r>
        <w:rPr>
          <w:b/>
          <w:bCs/>
          <w:i/>
          <w:iCs/>
          <w:sz w:val="24"/>
          <w:szCs w:val="24"/>
        </w:rPr>
        <w:t xml:space="preserve">(1) și Tabel 118 </w:t>
      </w:r>
      <w:r>
        <w:rPr>
          <w:i/>
          <w:iCs/>
          <w:sz w:val="24"/>
          <w:szCs w:val="24"/>
        </w:rPr>
        <w:t>sau</w:t>
      </w:r>
      <w:r>
        <w:rPr>
          <w:b/>
          <w:bCs/>
          <w:i/>
          <w:iCs/>
          <w:sz w:val="24"/>
          <w:szCs w:val="24"/>
        </w:rPr>
        <w:t xml:space="preserve"> </w:t>
      </w:r>
      <w:r>
        <w:rPr>
          <w:b/>
          <w:i/>
          <w:iCs/>
          <w:sz w:val="24"/>
          <w:szCs w:val="24"/>
        </w:rPr>
        <w:t xml:space="preserve">Art. 8.1.14. alin. </w:t>
      </w:r>
      <w:r>
        <w:rPr>
          <w:b/>
          <w:bCs/>
          <w:i/>
          <w:iCs/>
          <w:sz w:val="24"/>
          <w:szCs w:val="24"/>
        </w:rPr>
        <w:t xml:space="preserve">(1) și </w:t>
      </w:r>
      <w:r>
        <w:rPr>
          <w:b/>
          <w:i/>
          <w:iCs/>
          <w:sz w:val="24"/>
          <w:szCs w:val="24"/>
        </w:rPr>
        <w:t xml:space="preserve">Art. 8.1.14. alin. </w:t>
      </w:r>
      <w:r>
        <w:rPr>
          <w:b/>
          <w:bCs/>
          <w:i/>
          <w:iCs/>
          <w:sz w:val="24"/>
          <w:szCs w:val="24"/>
        </w:rPr>
        <w:t>(2)</w:t>
      </w:r>
      <w:r>
        <w:rPr>
          <w:i/>
          <w:iCs/>
          <w:sz w:val="24"/>
          <w:szCs w:val="24"/>
          <w:lang w:eastAsia="en-US"/>
        </w:rPr>
        <w:t>)</w:t>
      </w:r>
    </w:p>
    <w:p w14:paraId="435F0A37" w14:textId="77777777" w:rsidR="001C08A5" w:rsidRDefault="00000000">
      <w:pPr>
        <w:autoSpaceDE w:val="0"/>
        <w:autoSpaceDN w:val="0"/>
        <w:adjustRightInd w:val="0"/>
        <w:rPr>
          <w:i/>
          <w:iCs/>
          <w:sz w:val="24"/>
          <w:szCs w:val="24"/>
          <w:lang w:eastAsia="en-US"/>
        </w:rPr>
      </w:pPr>
      <w:r>
        <w:rPr>
          <w:b/>
          <w:bCs/>
          <w:i/>
          <w:iCs/>
          <w:sz w:val="24"/>
          <w:szCs w:val="24"/>
          <w:lang w:eastAsia="en-US"/>
        </w:rPr>
        <w:t>B</w:t>
      </w:r>
      <w:r>
        <w:rPr>
          <w:i/>
          <w:iCs/>
          <w:sz w:val="24"/>
          <w:szCs w:val="24"/>
          <w:lang w:eastAsia="en-US"/>
        </w:rPr>
        <w:t xml:space="preserve"> - volet minimum </w:t>
      </w:r>
      <w:r>
        <w:rPr>
          <w:b/>
          <w:i/>
          <w:iCs/>
          <w:sz w:val="22"/>
          <w:szCs w:val="22"/>
        </w:rPr>
        <w:t>EI 60</w:t>
      </w:r>
      <w:r>
        <w:rPr>
          <w:b/>
          <w:bCs/>
          <w:i/>
          <w:iCs/>
          <w:sz w:val="22"/>
          <w:szCs w:val="22"/>
          <w:vertAlign w:val="subscript"/>
        </w:rPr>
        <w:t>multi(i↔o)</w:t>
      </w:r>
    </w:p>
    <w:p w14:paraId="3017AE95" w14:textId="77777777" w:rsidR="001C08A5" w:rsidRDefault="00000000">
      <w:pPr>
        <w:autoSpaceDE w:val="0"/>
        <w:autoSpaceDN w:val="0"/>
        <w:adjustRightInd w:val="0"/>
        <w:rPr>
          <w:i/>
          <w:iCs/>
          <w:sz w:val="24"/>
          <w:szCs w:val="24"/>
          <w:lang w:eastAsia="en-US"/>
        </w:rPr>
      </w:pPr>
      <w:r>
        <w:rPr>
          <w:b/>
          <w:bCs/>
          <w:i/>
          <w:iCs/>
          <w:sz w:val="24"/>
          <w:szCs w:val="24"/>
          <w:lang w:eastAsia="en-US"/>
        </w:rPr>
        <w:t>C</w:t>
      </w:r>
      <w:r>
        <w:rPr>
          <w:i/>
          <w:iCs/>
          <w:sz w:val="24"/>
          <w:szCs w:val="24"/>
          <w:lang w:eastAsia="en-US"/>
        </w:rPr>
        <w:t xml:space="preserve"> - tubulatura evacuare fum și gaze fierbinți nivel multicompartiment (”multi”) din destinații diferite, rezistentă la foc minimum </w:t>
      </w:r>
      <w:r>
        <w:rPr>
          <w:b/>
          <w:bCs/>
          <w:i/>
          <w:iCs/>
          <w:sz w:val="22"/>
          <w:szCs w:val="22"/>
        </w:rPr>
        <w:t xml:space="preserve">EI 60 </w:t>
      </w:r>
      <w:r>
        <w:rPr>
          <w:b/>
          <w:bCs/>
          <w:i/>
          <w:iCs/>
          <w:sz w:val="22"/>
          <w:szCs w:val="22"/>
          <w:vertAlign w:val="subscript"/>
        </w:rPr>
        <w:t>ho</w:t>
      </w:r>
      <w:r>
        <w:rPr>
          <w:b/>
          <w:bCs/>
          <w:i/>
          <w:iCs/>
          <w:sz w:val="22"/>
          <w:szCs w:val="22"/>
        </w:rPr>
        <w:t>S</w:t>
      </w:r>
      <w:r>
        <w:rPr>
          <w:b/>
          <w:bCs/>
          <w:i/>
          <w:iCs/>
          <w:sz w:val="22"/>
          <w:szCs w:val="22"/>
          <w:vertAlign w:val="subscript"/>
        </w:rPr>
        <w:t>multi</w:t>
      </w:r>
      <w:r>
        <w:rPr>
          <w:i/>
          <w:iCs/>
          <w:sz w:val="24"/>
          <w:szCs w:val="24"/>
          <w:lang w:eastAsia="en-US"/>
        </w:rPr>
        <w:t xml:space="preserve"> (sau </w:t>
      </w:r>
      <w:r>
        <w:rPr>
          <w:b/>
          <w:bCs/>
          <w:i/>
          <w:iCs/>
          <w:sz w:val="22"/>
          <w:szCs w:val="22"/>
        </w:rPr>
        <w:t xml:space="preserve">EI 90 </w:t>
      </w:r>
      <w:r>
        <w:rPr>
          <w:b/>
          <w:bCs/>
          <w:i/>
          <w:iCs/>
          <w:sz w:val="22"/>
          <w:szCs w:val="22"/>
          <w:vertAlign w:val="subscript"/>
        </w:rPr>
        <w:t>ho</w:t>
      </w:r>
      <w:r>
        <w:rPr>
          <w:b/>
          <w:bCs/>
          <w:i/>
          <w:iCs/>
          <w:sz w:val="22"/>
          <w:szCs w:val="22"/>
        </w:rPr>
        <w:t>S</w:t>
      </w:r>
      <w:r>
        <w:rPr>
          <w:b/>
          <w:bCs/>
          <w:i/>
          <w:iCs/>
          <w:sz w:val="22"/>
          <w:szCs w:val="22"/>
          <w:vertAlign w:val="subscript"/>
        </w:rPr>
        <w:t>multi</w:t>
      </w:r>
      <w:r>
        <w:rPr>
          <w:i/>
          <w:iCs/>
          <w:sz w:val="24"/>
          <w:szCs w:val="24"/>
          <w:lang w:eastAsia="en-US"/>
        </w:rPr>
        <w:t xml:space="preserve"> sau </w:t>
      </w:r>
      <w:r>
        <w:rPr>
          <w:b/>
          <w:bCs/>
          <w:i/>
          <w:iCs/>
          <w:sz w:val="22"/>
          <w:szCs w:val="22"/>
        </w:rPr>
        <w:t xml:space="preserve">EI 120 </w:t>
      </w:r>
      <w:r>
        <w:rPr>
          <w:b/>
          <w:bCs/>
          <w:i/>
          <w:iCs/>
          <w:sz w:val="22"/>
          <w:szCs w:val="22"/>
          <w:vertAlign w:val="subscript"/>
        </w:rPr>
        <w:t>ho</w:t>
      </w:r>
      <w:r>
        <w:rPr>
          <w:b/>
          <w:bCs/>
          <w:i/>
          <w:iCs/>
          <w:sz w:val="22"/>
          <w:szCs w:val="22"/>
        </w:rPr>
        <w:t>S</w:t>
      </w:r>
      <w:r>
        <w:rPr>
          <w:b/>
          <w:bCs/>
          <w:i/>
          <w:iCs/>
          <w:sz w:val="22"/>
          <w:szCs w:val="22"/>
          <w:vertAlign w:val="subscript"/>
        </w:rPr>
        <w:t>multi</w:t>
      </w:r>
      <w:r>
        <w:rPr>
          <w:i/>
          <w:iCs/>
          <w:sz w:val="24"/>
          <w:szCs w:val="24"/>
          <w:lang w:eastAsia="en-US"/>
        </w:rPr>
        <w:t xml:space="preserve"> )</w:t>
      </w:r>
    </w:p>
    <w:p w14:paraId="1791525D" w14:textId="77777777" w:rsidR="001C08A5" w:rsidRDefault="00000000">
      <w:pPr>
        <w:autoSpaceDE w:val="0"/>
        <w:autoSpaceDN w:val="0"/>
        <w:adjustRightInd w:val="0"/>
        <w:rPr>
          <w:b/>
          <w:i/>
          <w:iCs/>
          <w:sz w:val="24"/>
          <w:szCs w:val="24"/>
        </w:rPr>
      </w:pPr>
      <w:r>
        <w:rPr>
          <w:b/>
          <w:bCs/>
          <w:i/>
          <w:iCs/>
          <w:sz w:val="24"/>
          <w:szCs w:val="24"/>
          <w:lang w:eastAsia="en-US"/>
        </w:rPr>
        <w:t>D</w:t>
      </w:r>
      <w:r>
        <w:rPr>
          <w:i/>
          <w:iCs/>
          <w:sz w:val="24"/>
          <w:szCs w:val="24"/>
          <w:lang w:eastAsia="en-US"/>
        </w:rPr>
        <w:t xml:space="preserve"> - tubulatura evacuare fum și gaze fierbinți nivel monocompartiment (”single”) pentru spații cu aceeași destinație, rezistentă la foc </w:t>
      </w:r>
      <w:r>
        <w:rPr>
          <w:b/>
          <w:i/>
          <w:iCs/>
          <w:sz w:val="24"/>
          <w:szCs w:val="24"/>
        </w:rPr>
        <w:t>E</w:t>
      </w:r>
      <w:r>
        <w:rPr>
          <w:b/>
          <w:i/>
          <w:iCs/>
          <w:sz w:val="24"/>
          <w:szCs w:val="24"/>
          <w:vertAlign w:val="subscript"/>
        </w:rPr>
        <w:t>600</w:t>
      </w:r>
      <w:r>
        <w:rPr>
          <w:b/>
          <w:i/>
          <w:iCs/>
          <w:sz w:val="24"/>
          <w:szCs w:val="24"/>
        </w:rPr>
        <w:t>30</w:t>
      </w:r>
      <w:r>
        <w:rPr>
          <w:b/>
          <w:i/>
          <w:iCs/>
          <w:sz w:val="24"/>
          <w:szCs w:val="24"/>
          <w:vertAlign w:val="subscript"/>
        </w:rPr>
        <w:t>ho</w:t>
      </w:r>
      <w:r>
        <w:rPr>
          <w:b/>
          <w:i/>
          <w:iCs/>
          <w:sz w:val="24"/>
          <w:szCs w:val="24"/>
        </w:rPr>
        <w:t>S</w:t>
      </w:r>
      <w:r>
        <w:rPr>
          <w:b/>
          <w:i/>
          <w:iCs/>
          <w:sz w:val="24"/>
          <w:szCs w:val="24"/>
          <w:vertAlign w:val="subscript"/>
        </w:rPr>
        <w:t xml:space="preserve">single </w:t>
      </w:r>
      <w:r>
        <w:rPr>
          <w:b/>
          <w:i/>
          <w:iCs/>
          <w:sz w:val="24"/>
          <w:szCs w:val="24"/>
        </w:rPr>
        <w:t>(</w:t>
      </w:r>
      <w:r>
        <w:rPr>
          <w:bCs/>
          <w:i/>
          <w:iCs/>
          <w:sz w:val="24"/>
          <w:szCs w:val="24"/>
        </w:rPr>
        <w:t>sau</w:t>
      </w:r>
      <w:r>
        <w:rPr>
          <w:b/>
          <w:i/>
          <w:iCs/>
          <w:sz w:val="24"/>
          <w:szCs w:val="24"/>
        </w:rPr>
        <w:t xml:space="preserve"> E</w:t>
      </w:r>
      <w:r>
        <w:rPr>
          <w:b/>
          <w:i/>
          <w:iCs/>
          <w:sz w:val="24"/>
          <w:szCs w:val="24"/>
          <w:vertAlign w:val="subscript"/>
        </w:rPr>
        <w:t>300</w:t>
      </w:r>
      <w:r>
        <w:rPr>
          <w:b/>
          <w:i/>
          <w:iCs/>
          <w:sz w:val="24"/>
          <w:szCs w:val="24"/>
        </w:rPr>
        <w:t>30</w:t>
      </w:r>
      <w:r>
        <w:rPr>
          <w:b/>
          <w:i/>
          <w:iCs/>
          <w:sz w:val="24"/>
          <w:szCs w:val="24"/>
          <w:vertAlign w:val="subscript"/>
        </w:rPr>
        <w:t>ho</w:t>
      </w:r>
      <w:r>
        <w:rPr>
          <w:b/>
          <w:i/>
          <w:iCs/>
          <w:sz w:val="24"/>
          <w:szCs w:val="24"/>
        </w:rPr>
        <w:t>S</w:t>
      </w:r>
      <w:r>
        <w:rPr>
          <w:b/>
          <w:i/>
          <w:iCs/>
          <w:sz w:val="24"/>
          <w:szCs w:val="24"/>
          <w:vertAlign w:val="subscript"/>
        </w:rPr>
        <w:t xml:space="preserve">single </w:t>
      </w:r>
      <w:r>
        <w:rPr>
          <w:bCs/>
          <w:i/>
          <w:iCs/>
          <w:sz w:val="24"/>
          <w:szCs w:val="24"/>
        </w:rPr>
        <w:t>în interiorul încăperilor care sunt echipate cu instalație automată de stingere tip sprinkler</w:t>
      </w:r>
      <w:r>
        <w:rPr>
          <w:b/>
          <w:i/>
          <w:iCs/>
          <w:sz w:val="24"/>
          <w:szCs w:val="24"/>
        </w:rPr>
        <w:t>)</w:t>
      </w:r>
    </w:p>
    <w:p w14:paraId="3D117128" w14:textId="77777777" w:rsidR="001C08A5" w:rsidRDefault="00000000">
      <w:pPr>
        <w:autoSpaceDE w:val="0"/>
        <w:autoSpaceDN w:val="0"/>
        <w:adjustRightInd w:val="0"/>
        <w:rPr>
          <w:b/>
          <w:bCs/>
          <w:i/>
          <w:iCs/>
          <w:sz w:val="22"/>
          <w:szCs w:val="22"/>
          <w:vertAlign w:val="subscript"/>
        </w:rPr>
      </w:pPr>
      <w:r>
        <w:rPr>
          <w:b/>
          <w:bCs/>
          <w:i/>
          <w:iCs/>
          <w:sz w:val="24"/>
          <w:szCs w:val="24"/>
          <w:lang w:eastAsia="en-US"/>
        </w:rPr>
        <w:t>E</w:t>
      </w:r>
      <w:r>
        <w:rPr>
          <w:i/>
          <w:iCs/>
          <w:sz w:val="24"/>
          <w:szCs w:val="24"/>
          <w:lang w:eastAsia="en-US"/>
        </w:rPr>
        <w:t xml:space="preserve"> - volet minimum </w:t>
      </w:r>
      <w:r>
        <w:rPr>
          <w:b/>
          <w:i/>
          <w:iCs/>
          <w:sz w:val="22"/>
          <w:szCs w:val="22"/>
        </w:rPr>
        <w:t>EI 60</w:t>
      </w:r>
      <w:r>
        <w:rPr>
          <w:b/>
          <w:bCs/>
          <w:i/>
          <w:iCs/>
          <w:sz w:val="22"/>
          <w:szCs w:val="22"/>
          <w:vertAlign w:val="subscript"/>
        </w:rPr>
        <w:t>multi(i↔o)</w:t>
      </w:r>
    </w:p>
    <w:p w14:paraId="612EEE49" w14:textId="77777777" w:rsidR="001C08A5" w:rsidRDefault="001C08A5">
      <w:pPr>
        <w:autoSpaceDE w:val="0"/>
        <w:autoSpaceDN w:val="0"/>
        <w:adjustRightInd w:val="0"/>
        <w:rPr>
          <w:b/>
          <w:bCs/>
          <w:i/>
          <w:iCs/>
          <w:sz w:val="22"/>
          <w:szCs w:val="22"/>
          <w:vertAlign w:val="subscript"/>
        </w:rPr>
      </w:pPr>
    </w:p>
    <w:p w14:paraId="60784FCB" w14:textId="77777777" w:rsidR="001C08A5" w:rsidRDefault="00000000">
      <w:pPr>
        <w:autoSpaceDE w:val="0"/>
        <w:autoSpaceDN w:val="0"/>
        <w:adjustRightInd w:val="0"/>
        <w:jc w:val="center"/>
        <w:rPr>
          <w:b/>
          <w:bCs/>
          <w:i/>
          <w:iCs/>
          <w:sz w:val="24"/>
          <w:szCs w:val="24"/>
          <w:lang w:eastAsia="en-US"/>
        </w:rPr>
      </w:pPr>
      <w:r>
        <w:rPr>
          <w:b/>
          <w:bCs/>
          <w:i/>
          <w:iCs/>
          <w:sz w:val="24"/>
          <w:szCs w:val="24"/>
        </w:rPr>
        <w:t xml:space="preserve">Figura 287 - </w:t>
      </w:r>
      <w:r>
        <w:rPr>
          <w:b/>
          <w:bCs/>
          <w:i/>
          <w:iCs/>
          <w:sz w:val="24"/>
          <w:szCs w:val="24"/>
          <w:lang w:eastAsia="en-US"/>
        </w:rPr>
        <w:t>Evacuarea fumului pe zone (încăperi) din niveluri supraterane (din încăperi cu funcțiuni diferite)</w:t>
      </w:r>
    </w:p>
    <w:p w14:paraId="029A0075" w14:textId="77777777" w:rsidR="001C08A5" w:rsidRDefault="001C08A5">
      <w:pPr>
        <w:autoSpaceDE w:val="0"/>
        <w:autoSpaceDN w:val="0"/>
        <w:adjustRightInd w:val="0"/>
        <w:jc w:val="both"/>
        <w:rPr>
          <w:b/>
          <w:bCs/>
          <w:i/>
          <w:iCs/>
          <w:sz w:val="22"/>
          <w:szCs w:val="22"/>
          <w:lang w:eastAsia="en-US"/>
        </w:rPr>
      </w:pPr>
    </w:p>
    <w:p w14:paraId="69103695" w14:textId="77777777" w:rsidR="001C08A5" w:rsidRDefault="00000000">
      <w:pPr>
        <w:autoSpaceDE w:val="0"/>
        <w:autoSpaceDN w:val="0"/>
        <w:adjustRightInd w:val="0"/>
        <w:jc w:val="both"/>
        <w:rPr>
          <w:i/>
          <w:iCs/>
          <w:sz w:val="22"/>
          <w:szCs w:val="22"/>
          <w:lang w:eastAsia="en-US"/>
        </w:rPr>
      </w:pPr>
      <w:r>
        <w:rPr>
          <w:b/>
          <w:bCs/>
          <w:i/>
          <w:iCs/>
          <w:sz w:val="22"/>
          <w:szCs w:val="22"/>
          <w:lang w:eastAsia="en-US"/>
        </w:rPr>
        <w:t>Note figura 287</w:t>
      </w:r>
      <w:r>
        <w:rPr>
          <w:i/>
          <w:iCs/>
          <w:sz w:val="22"/>
          <w:szCs w:val="22"/>
          <w:lang w:eastAsia="en-US"/>
        </w:rPr>
        <w:t>:</w:t>
      </w:r>
    </w:p>
    <w:p w14:paraId="2E0AE72C" w14:textId="77777777" w:rsidR="001C08A5" w:rsidRDefault="00000000">
      <w:pPr>
        <w:autoSpaceDE w:val="0"/>
        <w:autoSpaceDN w:val="0"/>
        <w:adjustRightInd w:val="0"/>
        <w:jc w:val="both"/>
        <w:rPr>
          <w:i/>
          <w:iCs/>
          <w:sz w:val="22"/>
          <w:szCs w:val="22"/>
          <w:lang w:eastAsia="en-US"/>
        </w:rPr>
      </w:pPr>
      <w:r>
        <w:rPr>
          <w:i/>
          <w:iCs/>
          <w:sz w:val="22"/>
          <w:szCs w:val="22"/>
          <w:lang w:eastAsia="en-US"/>
        </w:rPr>
        <w:t>- Condiția care trebuie îndeplinită pentru a nu amplasa voleți (notați ”</w:t>
      </w:r>
      <w:r>
        <w:rPr>
          <w:b/>
          <w:bCs/>
          <w:i/>
          <w:iCs/>
          <w:sz w:val="22"/>
          <w:szCs w:val="22"/>
          <w:lang w:eastAsia="en-US"/>
        </w:rPr>
        <w:t>E</w:t>
      </w:r>
      <w:r>
        <w:rPr>
          <w:i/>
          <w:iCs/>
          <w:sz w:val="22"/>
          <w:szCs w:val="22"/>
          <w:lang w:eastAsia="en-US"/>
        </w:rPr>
        <w:t>” pe imagine) la intersecția tubulaturilor cu pereții, este ca rezistența la foc a tubularturii să fie minimum cât rezistența la foc a peretelui străpuns</w:t>
      </w:r>
    </w:p>
    <w:p w14:paraId="735342D2" w14:textId="77777777" w:rsidR="001C08A5" w:rsidRDefault="00000000">
      <w:pPr>
        <w:autoSpaceDE w:val="0"/>
        <w:autoSpaceDN w:val="0"/>
        <w:adjustRightInd w:val="0"/>
        <w:jc w:val="both"/>
        <w:rPr>
          <w:i/>
          <w:iCs/>
          <w:sz w:val="22"/>
          <w:szCs w:val="22"/>
          <w:lang w:eastAsia="en-US"/>
        </w:rPr>
      </w:pPr>
      <w:r>
        <w:rPr>
          <w:i/>
          <w:iCs/>
          <w:sz w:val="22"/>
          <w:szCs w:val="22"/>
          <w:lang w:eastAsia="en-US"/>
        </w:rPr>
        <w:t>- Timpul de funcționare al instalației de evacuare fum și gaxe fierbinți este în corelare cu timpul de funcționare al ascensoarelor de evacuare a persoanelor, fără a fi mai mică decât rezistența la foc a peretelui străpuns (se ia în calcul și faptul că tubulatura notată ”</w:t>
      </w:r>
      <w:r>
        <w:rPr>
          <w:b/>
          <w:bCs/>
          <w:i/>
          <w:iCs/>
          <w:sz w:val="22"/>
          <w:szCs w:val="22"/>
          <w:lang w:eastAsia="en-US"/>
        </w:rPr>
        <w:t>C</w:t>
      </w:r>
      <w:r>
        <w:rPr>
          <w:i/>
          <w:iCs/>
          <w:sz w:val="22"/>
          <w:szCs w:val="22"/>
          <w:lang w:eastAsia="en-US"/>
        </w:rPr>
        <w:t xml:space="preserve">” pe imagine, poate fi necesar să-și păstreze caracteristicile un timp mai îndelungat decât rezistența la foc amintită de exemplu prin amplasarea în directă legătură cu un ascensor utilizabil și pentru evacuare, caz în care rezistența acesteia va fi mai mare, de exemplu conform timpului normat de funcționare al ascensorului prevăzut și pentru evacuare) </w:t>
      </w:r>
    </w:p>
    <w:p w14:paraId="5C376933" w14:textId="77777777" w:rsidR="001C08A5" w:rsidRDefault="00000000">
      <w:pPr>
        <w:autoSpaceDE w:val="0"/>
        <w:autoSpaceDN w:val="0"/>
        <w:adjustRightInd w:val="0"/>
        <w:jc w:val="both"/>
        <w:rPr>
          <w:i/>
          <w:iCs/>
          <w:sz w:val="22"/>
          <w:szCs w:val="22"/>
        </w:rPr>
      </w:pPr>
      <w:r>
        <w:rPr>
          <w:i/>
          <w:iCs/>
          <w:sz w:val="22"/>
          <w:szCs w:val="22"/>
          <w:lang w:eastAsia="en-US"/>
        </w:rPr>
        <w:t>- Î</w:t>
      </w:r>
      <w:r>
        <w:rPr>
          <w:i/>
          <w:iCs/>
          <w:sz w:val="22"/>
          <w:szCs w:val="22"/>
        </w:rPr>
        <w:t xml:space="preserve">n toate cazurile în care tubulaturile orizontale se racordează la </w:t>
      </w:r>
      <w:r>
        <w:rPr>
          <w:bCs/>
          <w:i/>
          <w:iCs/>
          <w:sz w:val="22"/>
          <w:szCs w:val="22"/>
        </w:rPr>
        <w:t xml:space="preserve">conducte verticale pe înălțimea construcției, conducte verticale colectoare precum și voleții prevăzuți la intarea în canalele colectoare nu vor avea timpul de rezistență la foc și caracteristicile mai mici decât cele ale </w:t>
      </w:r>
      <w:r>
        <w:rPr>
          <w:i/>
          <w:iCs/>
          <w:sz w:val="22"/>
          <w:szCs w:val="22"/>
        </w:rPr>
        <w:t>tubulaturilor care se racordează la ele</w:t>
      </w:r>
    </w:p>
    <w:p w14:paraId="54CBAD8E" w14:textId="77777777" w:rsidR="001C08A5" w:rsidRDefault="00000000">
      <w:pPr>
        <w:widowControl w:val="0"/>
        <w:jc w:val="both"/>
        <w:rPr>
          <w:b/>
          <w:i/>
          <w:iCs/>
          <w:sz w:val="22"/>
          <w:szCs w:val="22"/>
        </w:rPr>
      </w:pPr>
      <w:r>
        <w:rPr>
          <w:i/>
          <w:iCs/>
          <w:sz w:val="22"/>
          <w:szCs w:val="22"/>
        </w:rPr>
        <w:t xml:space="preserve">- În situația utilizarii canalelor colectoare comune (conducte rezistente la foc) de evacuare a fumului şi gazelor fierbinţi în caz de incendiu a tuturor nivelurilor supraterane sau subterane ale clădirilor, ghenele verticale prin care canalele colectoare ale  sistemului de evacuare a fumului şi gazelor fierbinţi în caz de incendiu respective traversează alte niveluri ale construcţiei vor îndeplini conditiile prevazute la </w:t>
      </w:r>
      <w:r>
        <w:rPr>
          <w:b/>
          <w:i/>
          <w:iCs/>
          <w:sz w:val="22"/>
          <w:szCs w:val="22"/>
        </w:rPr>
        <w:t>Art. 2.4.11.2.</w:t>
      </w:r>
    </w:p>
    <w:p w14:paraId="24CE0D3C" w14:textId="77777777" w:rsidR="001C08A5" w:rsidRDefault="00000000">
      <w:pPr>
        <w:widowControl w:val="0"/>
        <w:jc w:val="both"/>
        <w:rPr>
          <w:i/>
          <w:iCs/>
          <w:sz w:val="22"/>
          <w:szCs w:val="22"/>
        </w:rPr>
      </w:pPr>
      <w:r>
        <w:rPr>
          <w:i/>
          <w:iCs/>
          <w:sz w:val="22"/>
          <w:szCs w:val="22"/>
        </w:rPr>
        <w:t>- În situația utilizarii canalelor colectoare comune (conducte rezistente la foc) de evacuare a fumului şi gazelor fierbinţi în caz de incendiu a tuturor nivelurilor supraterane sau subterane ale clădirilor, ghenele se vor proteja conform condițiilor normate</w:t>
      </w:r>
      <w:r>
        <w:rPr>
          <w:b/>
          <w:bCs/>
          <w:i/>
          <w:iCs/>
          <w:sz w:val="22"/>
          <w:szCs w:val="22"/>
        </w:rPr>
        <w:t xml:space="preserve"> </w:t>
      </w:r>
    </w:p>
    <w:p w14:paraId="0FDE78D0" w14:textId="77777777" w:rsidR="001C08A5" w:rsidRDefault="001C08A5">
      <w:pPr>
        <w:jc w:val="both"/>
      </w:pPr>
    </w:p>
    <w:p w14:paraId="64CD7803" w14:textId="77777777" w:rsidR="001C08A5" w:rsidRDefault="001C08A5">
      <w:pPr>
        <w:jc w:val="center"/>
      </w:pPr>
    </w:p>
    <w:p w14:paraId="3981EAA0" w14:textId="77777777" w:rsidR="001C08A5" w:rsidRDefault="00000000">
      <w:pPr>
        <w:jc w:val="center"/>
        <w:rPr>
          <w:b/>
          <w:bCs/>
          <w:i/>
          <w:sz w:val="24"/>
          <w:szCs w:val="24"/>
        </w:rPr>
      </w:pPr>
      <w:r>
        <w:rPr>
          <w:noProof/>
        </w:rPr>
        <w:lastRenderedPageBreak/>
        <w:drawing>
          <wp:inline distT="0" distB="0" distL="114300" distR="114300" wp14:anchorId="78D83D0E" wp14:editId="1AAB297D">
            <wp:extent cx="5391150" cy="1543050"/>
            <wp:effectExtent l="0" t="0" r="0" b="0"/>
            <wp:docPr id="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
                    <pic:cNvPicPr>
                      <a:picLocks noChangeAspect="1"/>
                    </pic:cNvPicPr>
                  </pic:nvPicPr>
                  <pic:blipFill>
                    <a:blip r:embed="rId556"/>
                    <a:srcRect l="18578" t="28716" r="10083" b="31591"/>
                    <a:stretch>
                      <a:fillRect/>
                    </a:stretch>
                  </pic:blipFill>
                  <pic:spPr>
                    <a:xfrm>
                      <a:off x="0" y="0"/>
                      <a:ext cx="5391150" cy="1543050"/>
                    </a:xfrm>
                    <a:prstGeom prst="rect">
                      <a:avLst/>
                    </a:prstGeom>
                    <a:noFill/>
                    <a:ln>
                      <a:noFill/>
                    </a:ln>
                  </pic:spPr>
                </pic:pic>
              </a:graphicData>
            </a:graphic>
          </wp:inline>
        </w:drawing>
      </w:r>
    </w:p>
    <w:p w14:paraId="4812C64E" w14:textId="77777777" w:rsidR="001C08A5" w:rsidRDefault="001C08A5">
      <w:pPr>
        <w:jc w:val="center"/>
      </w:pPr>
    </w:p>
    <w:tbl>
      <w:tblPr>
        <w:tblStyle w:val="TableGrid"/>
        <w:tblW w:w="0" w:type="auto"/>
        <w:tblLook w:val="04A0" w:firstRow="1" w:lastRow="0" w:firstColumn="1" w:lastColumn="0" w:noHBand="0" w:noVBand="1"/>
      </w:tblPr>
      <w:tblGrid>
        <w:gridCol w:w="2893"/>
        <w:gridCol w:w="3950"/>
        <w:gridCol w:w="2796"/>
      </w:tblGrid>
      <w:tr w:rsidR="001C08A5" w14:paraId="019001BF" w14:textId="77777777">
        <w:tc>
          <w:tcPr>
            <w:tcW w:w="2957" w:type="dxa"/>
            <w:tcBorders>
              <w:top w:val="nil"/>
              <w:left w:val="nil"/>
              <w:bottom w:val="nil"/>
              <w:right w:val="nil"/>
            </w:tcBorders>
          </w:tcPr>
          <w:p w14:paraId="134E716F" w14:textId="77777777" w:rsidR="001C08A5" w:rsidRDefault="00000000">
            <w:pPr>
              <w:jc w:val="center"/>
              <w:rPr>
                <w:b/>
                <w:bCs/>
                <w:i/>
                <w:sz w:val="22"/>
                <w:szCs w:val="22"/>
              </w:rPr>
            </w:pPr>
            <w:r>
              <w:rPr>
                <w:b/>
                <w:bCs/>
                <w:i/>
                <w:sz w:val="22"/>
                <w:szCs w:val="22"/>
              </w:rPr>
              <w:t>Varianta a)</w:t>
            </w:r>
          </w:p>
          <w:p w14:paraId="436273A9" w14:textId="77777777" w:rsidR="001C08A5" w:rsidRDefault="00000000">
            <w:pPr>
              <w:jc w:val="center"/>
              <w:rPr>
                <w:i/>
                <w:sz w:val="22"/>
                <w:szCs w:val="22"/>
              </w:rPr>
            </w:pPr>
            <w:r>
              <w:rPr>
                <w:i/>
                <w:sz w:val="22"/>
                <w:szCs w:val="22"/>
              </w:rPr>
              <w:t>B - extensie canal colector multi</w:t>
            </w:r>
          </w:p>
          <w:p w14:paraId="32FBE70C" w14:textId="77777777" w:rsidR="001C08A5" w:rsidRDefault="00000000">
            <w:pPr>
              <w:jc w:val="center"/>
              <w:rPr>
                <w:i/>
                <w:sz w:val="22"/>
                <w:szCs w:val="22"/>
              </w:rPr>
            </w:pPr>
            <w:r>
              <w:rPr>
                <w:i/>
                <w:sz w:val="22"/>
                <w:szCs w:val="22"/>
              </w:rPr>
              <w:t xml:space="preserve">Învelitoare  combustibilă (cu excepția celor încadrate  </w:t>
            </w:r>
            <w:r>
              <w:rPr>
                <w:b/>
                <w:bCs/>
                <w:i/>
                <w:sz w:val="22"/>
                <w:szCs w:val="22"/>
              </w:rPr>
              <w:t>Bs1d0</w:t>
            </w:r>
            <w:r>
              <w:rPr>
                <w:i/>
                <w:sz w:val="22"/>
                <w:szCs w:val="22"/>
              </w:rPr>
              <w:t>)</w:t>
            </w:r>
          </w:p>
        </w:tc>
        <w:tc>
          <w:tcPr>
            <w:tcW w:w="4050" w:type="dxa"/>
            <w:tcBorders>
              <w:top w:val="nil"/>
              <w:left w:val="nil"/>
              <w:bottom w:val="nil"/>
              <w:right w:val="nil"/>
            </w:tcBorders>
          </w:tcPr>
          <w:p w14:paraId="04DB8A3C" w14:textId="77777777" w:rsidR="001C08A5" w:rsidRDefault="00000000">
            <w:pPr>
              <w:jc w:val="center"/>
              <w:rPr>
                <w:b/>
                <w:bCs/>
                <w:i/>
                <w:sz w:val="22"/>
                <w:szCs w:val="22"/>
              </w:rPr>
            </w:pPr>
            <w:r>
              <w:rPr>
                <w:b/>
                <w:bCs/>
                <w:i/>
                <w:sz w:val="22"/>
                <w:szCs w:val="22"/>
              </w:rPr>
              <w:t>Varianta b)</w:t>
            </w:r>
          </w:p>
          <w:p w14:paraId="7552CF39" w14:textId="77777777" w:rsidR="001C08A5" w:rsidRDefault="00000000">
            <w:pPr>
              <w:jc w:val="center"/>
              <w:rPr>
                <w:i/>
                <w:sz w:val="22"/>
                <w:szCs w:val="22"/>
              </w:rPr>
            </w:pPr>
            <w:r>
              <w:rPr>
                <w:i/>
                <w:sz w:val="22"/>
                <w:szCs w:val="22"/>
              </w:rPr>
              <w:t>B - extensie canal colector multi sau single</w:t>
            </w:r>
          </w:p>
          <w:p w14:paraId="04E4BD17" w14:textId="77777777" w:rsidR="001C08A5" w:rsidRDefault="00000000">
            <w:pPr>
              <w:jc w:val="center"/>
              <w:rPr>
                <w:i/>
                <w:sz w:val="22"/>
                <w:szCs w:val="22"/>
              </w:rPr>
            </w:pPr>
            <w:r>
              <w:rPr>
                <w:i/>
                <w:sz w:val="22"/>
                <w:szCs w:val="22"/>
              </w:rPr>
              <w:t>Învelitoare incombustibilă sau combustibilă</w:t>
            </w:r>
          </w:p>
          <w:p w14:paraId="5636C6BD" w14:textId="77777777" w:rsidR="001C08A5" w:rsidRDefault="00000000">
            <w:pPr>
              <w:jc w:val="center"/>
              <w:rPr>
                <w:i/>
                <w:sz w:val="22"/>
                <w:szCs w:val="22"/>
              </w:rPr>
            </w:pPr>
            <w:r>
              <w:rPr>
                <w:i/>
                <w:sz w:val="22"/>
                <w:szCs w:val="22"/>
              </w:rPr>
              <w:t>(amplasare spre/în exteriorul construcției)</w:t>
            </w:r>
          </w:p>
        </w:tc>
        <w:tc>
          <w:tcPr>
            <w:tcW w:w="2848" w:type="dxa"/>
            <w:tcBorders>
              <w:top w:val="nil"/>
              <w:left w:val="nil"/>
              <w:bottom w:val="nil"/>
              <w:right w:val="nil"/>
            </w:tcBorders>
          </w:tcPr>
          <w:p w14:paraId="0E732105" w14:textId="77777777" w:rsidR="001C08A5" w:rsidRDefault="00000000">
            <w:pPr>
              <w:jc w:val="center"/>
              <w:rPr>
                <w:b/>
                <w:bCs/>
                <w:i/>
                <w:sz w:val="22"/>
                <w:szCs w:val="22"/>
              </w:rPr>
            </w:pPr>
            <w:r>
              <w:rPr>
                <w:b/>
                <w:bCs/>
                <w:i/>
                <w:sz w:val="22"/>
                <w:szCs w:val="22"/>
              </w:rPr>
              <w:t>Varianta c)</w:t>
            </w:r>
          </w:p>
          <w:p w14:paraId="71C686EB" w14:textId="77777777" w:rsidR="001C08A5" w:rsidRDefault="00000000">
            <w:pPr>
              <w:jc w:val="center"/>
              <w:rPr>
                <w:i/>
                <w:sz w:val="22"/>
                <w:szCs w:val="22"/>
              </w:rPr>
            </w:pPr>
            <w:r>
              <w:rPr>
                <w:i/>
                <w:sz w:val="22"/>
                <w:szCs w:val="22"/>
              </w:rPr>
              <w:t>B - extensie canal colector single</w:t>
            </w:r>
          </w:p>
          <w:p w14:paraId="6832D7DC" w14:textId="77777777" w:rsidR="001C08A5" w:rsidRDefault="00000000">
            <w:pPr>
              <w:jc w:val="center"/>
              <w:rPr>
                <w:i/>
                <w:sz w:val="22"/>
                <w:szCs w:val="22"/>
              </w:rPr>
            </w:pPr>
            <w:r>
              <w:rPr>
                <w:i/>
                <w:sz w:val="22"/>
                <w:szCs w:val="22"/>
              </w:rPr>
              <w:t xml:space="preserve">Învelitoare incombustibilă sau max </w:t>
            </w:r>
            <w:r>
              <w:rPr>
                <w:b/>
                <w:bCs/>
                <w:i/>
                <w:sz w:val="22"/>
                <w:szCs w:val="22"/>
              </w:rPr>
              <w:t>Bs1d0</w:t>
            </w:r>
          </w:p>
        </w:tc>
      </w:tr>
    </w:tbl>
    <w:p w14:paraId="0C9FA24E" w14:textId="77777777" w:rsidR="001C08A5" w:rsidRDefault="00000000">
      <w:pPr>
        <w:jc w:val="center"/>
        <w:rPr>
          <w:sz w:val="22"/>
          <w:szCs w:val="22"/>
        </w:rPr>
      </w:pPr>
      <w:r>
        <w:rPr>
          <w:noProof/>
          <w:sz w:val="22"/>
          <w:szCs w:val="22"/>
        </w:rPr>
        <w:drawing>
          <wp:inline distT="0" distB="0" distL="114300" distR="114300" wp14:anchorId="33636D5D" wp14:editId="0867512B">
            <wp:extent cx="3752850" cy="1501140"/>
            <wp:effectExtent l="0" t="0" r="0" b="3810"/>
            <wp:docPr id="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2"/>
                    <pic:cNvPicPr>
                      <a:picLocks noChangeAspect="1"/>
                    </pic:cNvPicPr>
                  </pic:nvPicPr>
                  <pic:blipFill>
                    <a:blip r:embed="rId557"/>
                    <a:srcRect l="25006" t="40820" r="25334" b="20565"/>
                    <a:stretch>
                      <a:fillRect/>
                    </a:stretch>
                  </pic:blipFill>
                  <pic:spPr>
                    <a:xfrm>
                      <a:off x="0" y="0"/>
                      <a:ext cx="3752850" cy="1501140"/>
                    </a:xfrm>
                    <a:prstGeom prst="rect">
                      <a:avLst/>
                    </a:prstGeom>
                    <a:noFill/>
                    <a:ln>
                      <a:noFill/>
                    </a:ln>
                  </pic:spPr>
                </pic:pic>
              </a:graphicData>
            </a:graphic>
          </wp:inline>
        </w:drawing>
      </w:r>
    </w:p>
    <w:tbl>
      <w:tblPr>
        <w:tblStyle w:val="TableGrid"/>
        <w:tblW w:w="9918" w:type="dxa"/>
        <w:jc w:val="center"/>
        <w:tblLook w:val="04A0" w:firstRow="1" w:lastRow="0" w:firstColumn="1" w:lastColumn="0" w:noHBand="0" w:noVBand="1"/>
      </w:tblPr>
      <w:tblGrid>
        <w:gridCol w:w="4988"/>
        <w:gridCol w:w="4930"/>
      </w:tblGrid>
      <w:tr w:rsidR="001C08A5" w14:paraId="12BDBF05" w14:textId="77777777">
        <w:trPr>
          <w:jc w:val="center"/>
        </w:trPr>
        <w:tc>
          <w:tcPr>
            <w:tcW w:w="4988" w:type="dxa"/>
            <w:tcBorders>
              <w:top w:val="nil"/>
              <w:left w:val="nil"/>
              <w:bottom w:val="nil"/>
              <w:right w:val="nil"/>
            </w:tcBorders>
          </w:tcPr>
          <w:p w14:paraId="63223A5D" w14:textId="77777777" w:rsidR="001C08A5" w:rsidRDefault="00000000">
            <w:pPr>
              <w:jc w:val="center"/>
              <w:rPr>
                <w:b/>
                <w:bCs/>
                <w:i/>
                <w:sz w:val="22"/>
                <w:szCs w:val="22"/>
              </w:rPr>
            </w:pPr>
            <w:r>
              <w:rPr>
                <w:b/>
                <w:bCs/>
                <w:i/>
                <w:sz w:val="22"/>
                <w:szCs w:val="22"/>
              </w:rPr>
              <w:t>Varianta d)</w:t>
            </w:r>
          </w:p>
          <w:p w14:paraId="3325F7B0" w14:textId="77777777" w:rsidR="001C08A5" w:rsidRDefault="00000000">
            <w:pPr>
              <w:jc w:val="center"/>
              <w:rPr>
                <w:i/>
                <w:sz w:val="22"/>
                <w:szCs w:val="22"/>
              </w:rPr>
            </w:pPr>
            <w:r>
              <w:rPr>
                <w:i/>
                <w:sz w:val="22"/>
                <w:szCs w:val="22"/>
              </w:rPr>
              <w:t>Canal colector single</w:t>
            </w:r>
          </w:p>
          <w:p w14:paraId="529BDA53" w14:textId="77777777" w:rsidR="001C08A5" w:rsidRDefault="00000000">
            <w:pPr>
              <w:jc w:val="center"/>
              <w:rPr>
                <w:i/>
                <w:sz w:val="22"/>
                <w:szCs w:val="22"/>
              </w:rPr>
            </w:pPr>
            <w:r>
              <w:rPr>
                <w:i/>
                <w:sz w:val="22"/>
                <w:szCs w:val="22"/>
              </w:rPr>
              <w:t>Învelitoare combustibilă sau incombustibilă</w:t>
            </w:r>
          </w:p>
          <w:p w14:paraId="4013959E" w14:textId="77777777" w:rsidR="001C08A5" w:rsidRDefault="00000000">
            <w:pPr>
              <w:jc w:val="center"/>
              <w:rPr>
                <w:i/>
                <w:sz w:val="22"/>
                <w:szCs w:val="22"/>
              </w:rPr>
            </w:pPr>
            <w:r>
              <w:rPr>
                <w:i/>
                <w:sz w:val="22"/>
                <w:szCs w:val="22"/>
              </w:rPr>
              <w:t>(amplasare spre exteriorul construcției)</w:t>
            </w:r>
          </w:p>
        </w:tc>
        <w:tc>
          <w:tcPr>
            <w:tcW w:w="4930" w:type="dxa"/>
            <w:tcBorders>
              <w:top w:val="nil"/>
              <w:left w:val="nil"/>
              <w:bottom w:val="nil"/>
              <w:right w:val="nil"/>
            </w:tcBorders>
          </w:tcPr>
          <w:p w14:paraId="4A5FA4B7" w14:textId="77777777" w:rsidR="001C08A5" w:rsidRDefault="00000000">
            <w:pPr>
              <w:jc w:val="center"/>
              <w:rPr>
                <w:b/>
                <w:bCs/>
                <w:i/>
                <w:sz w:val="22"/>
                <w:szCs w:val="22"/>
              </w:rPr>
            </w:pPr>
            <w:r>
              <w:rPr>
                <w:b/>
                <w:bCs/>
                <w:i/>
                <w:sz w:val="22"/>
                <w:szCs w:val="22"/>
              </w:rPr>
              <w:t>Varianta e)</w:t>
            </w:r>
          </w:p>
          <w:p w14:paraId="523EE3E9" w14:textId="77777777" w:rsidR="001C08A5" w:rsidRDefault="00000000">
            <w:pPr>
              <w:jc w:val="center"/>
              <w:rPr>
                <w:i/>
                <w:sz w:val="22"/>
                <w:szCs w:val="22"/>
              </w:rPr>
            </w:pPr>
            <w:r>
              <w:rPr>
                <w:b/>
                <w:bCs/>
                <w:i/>
                <w:sz w:val="22"/>
                <w:szCs w:val="22"/>
              </w:rPr>
              <w:t xml:space="preserve">B </w:t>
            </w:r>
            <w:r>
              <w:rPr>
                <w:i/>
                <w:sz w:val="22"/>
                <w:szCs w:val="22"/>
              </w:rPr>
              <w:t>- extensie canal colector multi</w:t>
            </w:r>
          </w:p>
          <w:p w14:paraId="51BA3CE8" w14:textId="77777777" w:rsidR="001C08A5" w:rsidRDefault="00000000">
            <w:pPr>
              <w:jc w:val="center"/>
              <w:rPr>
                <w:i/>
                <w:sz w:val="22"/>
                <w:szCs w:val="22"/>
              </w:rPr>
            </w:pPr>
            <w:r>
              <w:rPr>
                <w:i/>
                <w:sz w:val="22"/>
                <w:szCs w:val="22"/>
              </w:rPr>
              <w:t xml:space="preserve">Învelitoare incombustibilă sau </w:t>
            </w:r>
            <w:r>
              <w:rPr>
                <w:b/>
                <w:bCs/>
                <w:i/>
                <w:sz w:val="22"/>
                <w:szCs w:val="22"/>
              </w:rPr>
              <w:t>Bs1d0</w:t>
            </w:r>
            <w:r>
              <w:rPr>
                <w:i/>
                <w:sz w:val="22"/>
                <w:szCs w:val="22"/>
              </w:rPr>
              <w:t xml:space="preserve"> </w:t>
            </w:r>
          </w:p>
          <w:p w14:paraId="70BF7342" w14:textId="77777777" w:rsidR="001C08A5" w:rsidRDefault="00000000">
            <w:pPr>
              <w:jc w:val="center"/>
              <w:rPr>
                <w:i/>
                <w:sz w:val="22"/>
                <w:szCs w:val="22"/>
              </w:rPr>
            </w:pPr>
            <w:r>
              <w:rPr>
                <w:i/>
                <w:sz w:val="22"/>
                <w:szCs w:val="22"/>
              </w:rPr>
              <w:t>sau</w:t>
            </w:r>
          </w:p>
          <w:p w14:paraId="7BB5A927" w14:textId="77777777" w:rsidR="001C08A5" w:rsidRDefault="00000000">
            <w:pPr>
              <w:jc w:val="center"/>
              <w:rPr>
                <w:i/>
                <w:sz w:val="22"/>
                <w:szCs w:val="22"/>
              </w:rPr>
            </w:pPr>
            <w:r>
              <w:rPr>
                <w:b/>
                <w:bCs/>
                <w:i/>
                <w:sz w:val="22"/>
                <w:szCs w:val="22"/>
              </w:rPr>
              <w:t xml:space="preserve">B </w:t>
            </w:r>
            <w:r>
              <w:rPr>
                <w:i/>
                <w:sz w:val="22"/>
                <w:szCs w:val="22"/>
              </w:rPr>
              <w:t>- extensie canal colector single</w:t>
            </w:r>
          </w:p>
          <w:p w14:paraId="032738E1" w14:textId="77777777" w:rsidR="001C08A5" w:rsidRDefault="00000000">
            <w:pPr>
              <w:jc w:val="center"/>
              <w:rPr>
                <w:i/>
                <w:sz w:val="22"/>
                <w:szCs w:val="22"/>
              </w:rPr>
            </w:pPr>
            <w:r>
              <w:rPr>
                <w:i/>
                <w:sz w:val="22"/>
                <w:szCs w:val="22"/>
              </w:rPr>
              <w:t xml:space="preserve">Învelitoare incombustibilă sau max </w:t>
            </w:r>
            <w:r>
              <w:rPr>
                <w:b/>
                <w:bCs/>
                <w:i/>
                <w:sz w:val="22"/>
                <w:szCs w:val="22"/>
              </w:rPr>
              <w:t>Bs1d0</w:t>
            </w:r>
          </w:p>
        </w:tc>
      </w:tr>
      <w:tr w:rsidR="001C08A5" w14:paraId="3F945B2F" w14:textId="77777777">
        <w:trPr>
          <w:jc w:val="center"/>
        </w:trPr>
        <w:tc>
          <w:tcPr>
            <w:tcW w:w="9918" w:type="dxa"/>
            <w:gridSpan w:val="2"/>
            <w:tcBorders>
              <w:top w:val="nil"/>
              <w:left w:val="nil"/>
              <w:bottom w:val="nil"/>
              <w:right w:val="nil"/>
            </w:tcBorders>
          </w:tcPr>
          <w:p w14:paraId="1455EDE6" w14:textId="77777777" w:rsidR="001C08A5" w:rsidRDefault="001C08A5">
            <w:pPr>
              <w:rPr>
                <w:i/>
                <w:sz w:val="22"/>
                <w:szCs w:val="22"/>
              </w:rPr>
            </w:pPr>
            <w:bookmarkStart w:id="11717" w:name="_Toc16129"/>
          </w:p>
        </w:tc>
      </w:tr>
    </w:tbl>
    <w:p w14:paraId="397AF09E" w14:textId="77777777" w:rsidR="001C08A5" w:rsidRDefault="00000000">
      <w:pPr>
        <w:keepNext/>
        <w:tabs>
          <w:tab w:val="left" w:pos="432"/>
        </w:tabs>
        <w:jc w:val="center"/>
        <w:outlineLvl w:val="0"/>
        <w:rPr>
          <w:b/>
          <w:bCs/>
          <w:i/>
          <w:sz w:val="24"/>
          <w:szCs w:val="24"/>
        </w:rPr>
      </w:pPr>
      <w:bookmarkStart w:id="11718" w:name="_Toc10701"/>
      <w:bookmarkStart w:id="11719" w:name="_Toc5628"/>
      <w:bookmarkStart w:id="11720" w:name="_Toc979"/>
      <w:bookmarkStart w:id="11721" w:name="_Toc17416"/>
      <w:bookmarkStart w:id="11722" w:name="_Toc3785"/>
      <w:bookmarkStart w:id="11723" w:name="_Toc29552"/>
      <w:bookmarkStart w:id="11724" w:name="_Toc30383"/>
      <w:bookmarkStart w:id="11725" w:name="_Toc21410"/>
      <w:bookmarkStart w:id="11726" w:name="_Toc3402"/>
      <w:bookmarkStart w:id="11727" w:name="_Toc27703"/>
      <w:bookmarkEnd w:id="11716"/>
      <w:bookmarkEnd w:id="11717"/>
      <w:r>
        <w:rPr>
          <w:b/>
          <w:bCs/>
          <w:i/>
          <w:iCs/>
          <w:sz w:val="24"/>
          <w:szCs w:val="24"/>
        </w:rPr>
        <w:t xml:space="preserve">Figura 288 - </w:t>
      </w:r>
      <w:r>
        <w:rPr>
          <w:b/>
          <w:bCs/>
          <w:i/>
          <w:sz w:val="24"/>
          <w:szCs w:val="24"/>
        </w:rPr>
        <w:t>Evacuarea fumului pe acoperiș</w:t>
      </w:r>
      <w:bookmarkEnd w:id="11718"/>
    </w:p>
    <w:p w14:paraId="3C6DAF5F" w14:textId="77777777" w:rsidR="001C08A5" w:rsidRDefault="001C08A5">
      <w:pPr>
        <w:keepNext/>
        <w:tabs>
          <w:tab w:val="left" w:pos="432"/>
        </w:tabs>
        <w:jc w:val="center"/>
        <w:outlineLvl w:val="0"/>
        <w:rPr>
          <w:b/>
          <w:bCs/>
          <w:i/>
          <w:sz w:val="24"/>
          <w:szCs w:val="24"/>
        </w:rPr>
      </w:pPr>
    </w:p>
    <w:bookmarkEnd w:id="11719"/>
    <w:bookmarkEnd w:id="11720"/>
    <w:bookmarkEnd w:id="11721"/>
    <w:bookmarkEnd w:id="11722"/>
    <w:bookmarkEnd w:id="11723"/>
    <w:bookmarkEnd w:id="11724"/>
    <w:bookmarkEnd w:id="11725"/>
    <w:bookmarkEnd w:id="11726"/>
    <w:bookmarkEnd w:id="11727"/>
    <w:p w14:paraId="56ED9E69" w14:textId="77777777" w:rsidR="001C08A5" w:rsidRDefault="00000000">
      <w:pPr>
        <w:jc w:val="both"/>
        <w:rPr>
          <w:i/>
          <w:sz w:val="22"/>
          <w:szCs w:val="22"/>
        </w:rPr>
      </w:pPr>
      <w:r>
        <w:rPr>
          <w:b/>
          <w:bCs/>
          <w:i/>
          <w:sz w:val="22"/>
          <w:szCs w:val="22"/>
        </w:rPr>
        <w:t>Notă Figura 288</w:t>
      </w:r>
      <w:r>
        <w:rPr>
          <w:i/>
          <w:sz w:val="22"/>
          <w:szCs w:val="22"/>
        </w:rPr>
        <w:t xml:space="preserve">: În cazul variantelor în care extensia pe acoperiș a tubulaturii sau a canalului colector este ”single” și ventilatorul de evacuare a fumului nu este poziționat în interiorul construcției, cerința este de învelitoare incombustibilă (sau max clasa de reacție la foc </w:t>
      </w:r>
      <w:r>
        <w:rPr>
          <w:b/>
          <w:bCs/>
          <w:i/>
          <w:sz w:val="22"/>
          <w:szCs w:val="22"/>
        </w:rPr>
        <w:t>Bs1d0</w:t>
      </w:r>
      <w:r>
        <w:rPr>
          <w:i/>
          <w:sz w:val="22"/>
          <w:szCs w:val="22"/>
        </w:rPr>
        <w:t xml:space="preserve">), învelitoarea putând avea performanța </w:t>
      </w:r>
      <w:r>
        <w:rPr>
          <w:b/>
          <w:bCs/>
          <w:i/>
          <w:sz w:val="22"/>
          <w:szCs w:val="22"/>
        </w:rPr>
        <w:t>Broof T4</w:t>
      </w:r>
      <w:r>
        <w:rPr>
          <w:i/>
          <w:sz w:val="22"/>
          <w:szCs w:val="22"/>
        </w:rPr>
        <w:t xml:space="preserve"> cel puțin </w:t>
      </w:r>
      <w:r>
        <w:rPr>
          <w:b/>
          <w:bCs/>
          <w:i/>
          <w:sz w:val="22"/>
          <w:szCs w:val="22"/>
        </w:rPr>
        <w:t>6 m</w:t>
      </w:r>
      <w:r>
        <w:rPr>
          <w:i/>
          <w:sz w:val="22"/>
          <w:szCs w:val="22"/>
        </w:rPr>
        <w:t xml:space="preserve"> radial față de ventilatoarele poziționate pe acoperiș.</w:t>
      </w:r>
    </w:p>
    <w:p w14:paraId="74E3063F" w14:textId="77777777" w:rsidR="001C08A5" w:rsidRDefault="001C08A5">
      <w:pPr>
        <w:rPr>
          <w:i/>
          <w:sz w:val="24"/>
          <w:szCs w:val="24"/>
        </w:rPr>
      </w:pPr>
    </w:p>
    <w:p w14:paraId="44739280" w14:textId="77777777" w:rsidR="001C08A5" w:rsidRDefault="001C08A5">
      <w:pPr>
        <w:rPr>
          <w:i/>
          <w:sz w:val="24"/>
          <w:szCs w:val="24"/>
        </w:rPr>
      </w:pPr>
    </w:p>
    <w:p w14:paraId="20C81CD5" w14:textId="77777777" w:rsidR="001C08A5" w:rsidRDefault="001C08A5">
      <w:pPr>
        <w:rPr>
          <w:i/>
          <w:sz w:val="24"/>
          <w:szCs w:val="24"/>
        </w:rPr>
      </w:pPr>
    </w:p>
    <w:p w14:paraId="3806D32C" w14:textId="77777777" w:rsidR="001C08A5" w:rsidRDefault="001C08A5">
      <w:pPr>
        <w:rPr>
          <w:i/>
          <w:sz w:val="24"/>
          <w:szCs w:val="24"/>
        </w:rPr>
      </w:pPr>
    </w:p>
    <w:p w14:paraId="78E016DF" w14:textId="77777777" w:rsidR="001C08A5" w:rsidRDefault="001C08A5">
      <w:pPr>
        <w:rPr>
          <w:i/>
          <w:sz w:val="24"/>
          <w:szCs w:val="24"/>
        </w:rPr>
      </w:pPr>
    </w:p>
    <w:p w14:paraId="47DA6BB0" w14:textId="77777777" w:rsidR="001C08A5" w:rsidRDefault="001C08A5">
      <w:pPr>
        <w:rPr>
          <w:i/>
          <w:sz w:val="24"/>
          <w:szCs w:val="24"/>
        </w:rPr>
      </w:pPr>
    </w:p>
    <w:p w14:paraId="21621063" w14:textId="77777777" w:rsidR="001C08A5" w:rsidRDefault="001C08A5">
      <w:pPr>
        <w:rPr>
          <w:i/>
          <w:sz w:val="24"/>
          <w:szCs w:val="24"/>
        </w:rPr>
      </w:pPr>
    </w:p>
    <w:p w14:paraId="4A1B6A73" w14:textId="77777777" w:rsidR="001C08A5" w:rsidRDefault="001C08A5">
      <w:pPr>
        <w:rPr>
          <w:i/>
          <w:sz w:val="24"/>
          <w:szCs w:val="24"/>
        </w:rPr>
      </w:pPr>
    </w:p>
    <w:p w14:paraId="18CF985E" w14:textId="77777777" w:rsidR="001C08A5" w:rsidRDefault="001C08A5">
      <w:pPr>
        <w:rPr>
          <w:i/>
          <w:sz w:val="24"/>
          <w:szCs w:val="24"/>
        </w:rPr>
      </w:pPr>
    </w:p>
    <w:p w14:paraId="6F1518C6" w14:textId="77777777" w:rsidR="001C08A5" w:rsidRDefault="001C08A5">
      <w:pPr>
        <w:rPr>
          <w:i/>
          <w:sz w:val="24"/>
          <w:szCs w:val="24"/>
        </w:rPr>
      </w:pPr>
    </w:p>
    <w:p w14:paraId="176460D7" w14:textId="77777777" w:rsidR="001C08A5" w:rsidRDefault="001C08A5">
      <w:pPr>
        <w:rPr>
          <w:i/>
          <w:sz w:val="24"/>
          <w:szCs w:val="24"/>
        </w:rPr>
      </w:pPr>
    </w:p>
    <w:p w14:paraId="00E3C3CB" w14:textId="77777777" w:rsidR="001C08A5" w:rsidRDefault="001C08A5">
      <w:pPr>
        <w:rPr>
          <w:i/>
          <w:sz w:val="24"/>
          <w:szCs w:val="24"/>
        </w:rPr>
      </w:pPr>
    </w:p>
    <w:p w14:paraId="3CDAF240" w14:textId="77777777" w:rsidR="001C08A5" w:rsidRDefault="001C08A5">
      <w:pPr>
        <w:rPr>
          <w:i/>
          <w:sz w:val="24"/>
          <w:szCs w:val="24"/>
        </w:rPr>
      </w:pPr>
    </w:p>
    <w:p w14:paraId="368C613C" w14:textId="77777777" w:rsidR="001C08A5" w:rsidRDefault="001C08A5">
      <w:pPr>
        <w:rPr>
          <w:i/>
          <w:sz w:val="24"/>
          <w:szCs w:val="24"/>
        </w:rPr>
      </w:pPr>
    </w:p>
    <w:p w14:paraId="427B13E3" w14:textId="77777777" w:rsidR="001C08A5" w:rsidRDefault="001C08A5">
      <w:pPr>
        <w:rPr>
          <w:i/>
          <w:sz w:val="24"/>
          <w:szCs w:val="24"/>
        </w:rPr>
      </w:pPr>
    </w:p>
    <w:p w14:paraId="06B6C42F" w14:textId="77777777" w:rsidR="001C08A5" w:rsidRDefault="001C08A5">
      <w:pPr>
        <w:rPr>
          <w:i/>
          <w:sz w:val="24"/>
          <w:szCs w:val="24"/>
        </w:rPr>
      </w:pPr>
    </w:p>
    <w:p w14:paraId="2C90F4F3" w14:textId="77777777" w:rsidR="001C08A5" w:rsidRDefault="00000000">
      <w:pPr>
        <w:keepNext/>
        <w:ind w:left="360" w:hanging="360"/>
        <w:jc w:val="both"/>
        <w:outlineLvl w:val="0"/>
        <w:rPr>
          <w:b/>
          <w:i/>
          <w:sz w:val="24"/>
        </w:rPr>
      </w:pPr>
      <w:bookmarkStart w:id="11728" w:name="_Toc15792"/>
      <w:bookmarkStart w:id="11729" w:name="_Toc32743"/>
      <w:bookmarkStart w:id="11730" w:name="_Toc2032"/>
      <w:bookmarkStart w:id="11731" w:name="_Toc13614"/>
      <w:bookmarkStart w:id="11732" w:name="_Toc16258"/>
      <w:bookmarkStart w:id="11733" w:name="_Toc162355676"/>
      <w:bookmarkStart w:id="11734" w:name="_Toc7642"/>
      <w:bookmarkStart w:id="11735" w:name="_Toc1932"/>
      <w:bookmarkStart w:id="11736" w:name="_Toc6638"/>
      <w:bookmarkStart w:id="11737" w:name="_Toc20434"/>
      <w:bookmarkStart w:id="11738" w:name="_Toc6657"/>
      <w:bookmarkStart w:id="11739" w:name="_Toc30849"/>
      <w:bookmarkStart w:id="11740" w:name="_Toc18755"/>
      <w:bookmarkStart w:id="11741" w:name="_Toc22958"/>
      <w:bookmarkStart w:id="11742" w:name="_Toc19419"/>
      <w:bookmarkStart w:id="11743" w:name="_Toc20983"/>
      <w:bookmarkStart w:id="11744" w:name="_Toc21659"/>
      <w:r>
        <w:rPr>
          <w:b/>
          <w:i/>
          <w:sz w:val="24"/>
        </w:rPr>
        <w:lastRenderedPageBreak/>
        <w:t>REFERINŢE LEGISLATIVE ŞI TEHNICE</w:t>
      </w:r>
      <w:bookmarkEnd w:id="11728"/>
      <w:bookmarkEnd w:id="11729"/>
      <w:bookmarkEnd w:id="11730"/>
      <w:bookmarkEnd w:id="11731"/>
      <w:bookmarkEnd w:id="11732"/>
      <w:bookmarkEnd w:id="11733"/>
      <w:bookmarkEnd w:id="11734"/>
      <w:bookmarkEnd w:id="11735"/>
      <w:bookmarkEnd w:id="11736"/>
      <w:bookmarkEnd w:id="11737"/>
      <w:bookmarkEnd w:id="11738"/>
      <w:bookmarkEnd w:id="11739"/>
      <w:bookmarkEnd w:id="11740"/>
      <w:bookmarkEnd w:id="11741"/>
      <w:bookmarkEnd w:id="11742"/>
      <w:bookmarkEnd w:id="11743"/>
      <w:bookmarkEnd w:id="11744"/>
    </w:p>
    <w:p w14:paraId="5011D8C1" w14:textId="77777777" w:rsidR="001C08A5" w:rsidRDefault="00000000">
      <w:pPr>
        <w:keepNext/>
        <w:jc w:val="both"/>
        <w:rPr>
          <w:b/>
          <w:bCs/>
          <w:i/>
          <w:sz w:val="24"/>
          <w:szCs w:val="24"/>
          <w:u w:val="single"/>
        </w:rPr>
      </w:pPr>
      <w:r>
        <w:rPr>
          <w:b/>
          <w:bCs/>
          <w:i/>
          <w:sz w:val="24"/>
          <w:szCs w:val="24"/>
          <w:u w:val="single"/>
        </w:rPr>
        <w:t>Notă:</w:t>
      </w:r>
    </w:p>
    <w:p w14:paraId="57B55315" w14:textId="77777777" w:rsidR="001C08A5" w:rsidRDefault="00000000">
      <w:pPr>
        <w:keepNext/>
        <w:jc w:val="both"/>
        <w:rPr>
          <w:i/>
          <w:sz w:val="24"/>
          <w:szCs w:val="24"/>
        </w:rPr>
      </w:pPr>
      <w:r>
        <w:rPr>
          <w:i/>
          <w:sz w:val="24"/>
          <w:szCs w:val="24"/>
        </w:rPr>
        <w:t>1. Referinţele datate au fost luate în considerare la data elaborării prezentei reglementări tehnice.</w:t>
      </w:r>
    </w:p>
    <w:p w14:paraId="624126D7" w14:textId="77777777" w:rsidR="001C08A5" w:rsidRDefault="00000000">
      <w:pPr>
        <w:keepNext/>
        <w:jc w:val="both"/>
        <w:rPr>
          <w:i/>
          <w:sz w:val="24"/>
          <w:szCs w:val="24"/>
        </w:rPr>
      </w:pPr>
      <w:r>
        <w:rPr>
          <w:i/>
          <w:sz w:val="24"/>
          <w:szCs w:val="24"/>
        </w:rPr>
        <w:t>2. La data utilizării reglementării tehnice se va utiliza ultima formă în vigoare a referinţelor legislative şi tehnice.</w:t>
      </w:r>
    </w:p>
    <w:p w14:paraId="787BFA9E" w14:textId="77777777" w:rsidR="001C08A5" w:rsidRDefault="001C08A5">
      <w:pPr>
        <w:rPr>
          <w:b/>
          <w:bCs/>
          <w:i/>
          <w:sz w:val="24"/>
          <w:szCs w:val="24"/>
        </w:rPr>
      </w:pPr>
    </w:p>
    <w:p w14:paraId="474A6A8C" w14:textId="77777777" w:rsidR="001C08A5" w:rsidRDefault="00000000">
      <w:pPr>
        <w:rPr>
          <w:b/>
          <w:bCs/>
          <w:i/>
          <w:sz w:val="24"/>
          <w:szCs w:val="24"/>
        </w:rPr>
      </w:pPr>
      <w:r>
        <w:rPr>
          <w:b/>
          <w:bCs/>
          <w:i/>
          <w:sz w:val="24"/>
          <w:szCs w:val="24"/>
        </w:rPr>
        <w:t xml:space="preserve"> 1. Legislaţie</w:t>
      </w:r>
      <w:r>
        <w:rPr>
          <w:i/>
          <w:sz w:val="24"/>
          <w:szCs w:val="24"/>
        </w:rPr>
        <w:t>:</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6082"/>
        <w:gridCol w:w="2565"/>
      </w:tblGrid>
      <w:tr w:rsidR="001C08A5" w14:paraId="3DC9AB38" w14:textId="77777777">
        <w:trPr>
          <w:trHeight w:val="292"/>
        </w:trPr>
        <w:tc>
          <w:tcPr>
            <w:tcW w:w="851" w:type="dxa"/>
          </w:tcPr>
          <w:p w14:paraId="0CE64D1C" w14:textId="77777777" w:rsidR="001C08A5" w:rsidRDefault="00000000">
            <w:pPr>
              <w:shd w:val="clear" w:color="auto" w:fill="FFFFFF"/>
              <w:rPr>
                <w:b/>
                <w:bCs/>
                <w:i/>
                <w:sz w:val="22"/>
                <w:szCs w:val="22"/>
              </w:rPr>
            </w:pPr>
            <w:r>
              <w:rPr>
                <w:b/>
                <w:bCs/>
                <w:i/>
                <w:sz w:val="22"/>
                <w:szCs w:val="22"/>
              </w:rPr>
              <w:t>Nr. crt.</w:t>
            </w:r>
          </w:p>
        </w:tc>
        <w:tc>
          <w:tcPr>
            <w:tcW w:w="6082" w:type="dxa"/>
          </w:tcPr>
          <w:p w14:paraId="7A28F340" w14:textId="77777777" w:rsidR="001C08A5" w:rsidRDefault="00000000">
            <w:pPr>
              <w:shd w:val="clear" w:color="auto" w:fill="FFFFFF"/>
              <w:jc w:val="center"/>
              <w:rPr>
                <w:b/>
                <w:bCs/>
                <w:i/>
                <w:sz w:val="22"/>
                <w:szCs w:val="22"/>
              </w:rPr>
            </w:pPr>
            <w:r>
              <w:rPr>
                <w:b/>
                <w:bCs/>
                <w:i/>
                <w:sz w:val="22"/>
                <w:szCs w:val="22"/>
              </w:rPr>
              <w:t>Acte legislative</w:t>
            </w:r>
          </w:p>
        </w:tc>
        <w:tc>
          <w:tcPr>
            <w:tcW w:w="2565" w:type="dxa"/>
          </w:tcPr>
          <w:p w14:paraId="1008D46A" w14:textId="77777777" w:rsidR="001C08A5" w:rsidRDefault="00000000">
            <w:pPr>
              <w:jc w:val="center"/>
              <w:rPr>
                <w:b/>
                <w:bCs/>
                <w:i/>
                <w:sz w:val="22"/>
                <w:szCs w:val="22"/>
              </w:rPr>
            </w:pPr>
            <w:r>
              <w:rPr>
                <w:b/>
                <w:bCs/>
                <w:i/>
                <w:sz w:val="22"/>
                <w:szCs w:val="22"/>
              </w:rPr>
              <w:t>Publicaţie</w:t>
            </w:r>
          </w:p>
        </w:tc>
      </w:tr>
      <w:tr w:rsidR="001C08A5" w14:paraId="00E3C82D" w14:textId="77777777">
        <w:trPr>
          <w:trHeight w:val="208"/>
        </w:trPr>
        <w:tc>
          <w:tcPr>
            <w:tcW w:w="851" w:type="dxa"/>
          </w:tcPr>
          <w:p w14:paraId="7CBA4C78" w14:textId="77777777" w:rsidR="001C08A5" w:rsidRDefault="00000000">
            <w:pPr>
              <w:jc w:val="center"/>
              <w:rPr>
                <w:i/>
                <w:sz w:val="22"/>
                <w:szCs w:val="22"/>
              </w:rPr>
            </w:pPr>
            <w:r>
              <w:rPr>
                <w:i/>
                <w:sz w:val="22"/>
                <w:szCs w:val="22"/>
              </w:rPr>
              <w:t>1.</w:t>
            </w:r>
          </w:p>
        </w:tc>
        <w:tc>
          <w:tcPr>
            <w:tcW w:w="6082" w:type="dxa"/>
          </w:tcPr>
          <w:p w14:paraId="1214A297" w14:textId="77777777" w:rsidR="001C08A5" w:rsidRDefault="00000000">
            <w:pPr>
              <w:tabs>
                <w:tab w:val="left" w:pos="0"/>
              </w:tabs>
              <w:rPr>
                <w:i/>
                <w:sz w:val="22"/>
                <w:szCs w:val="22"/>
              </w:rPr>
            </w:pPr>
            <w:r>
              <w:rPr>
                <w:i/>
                <w:sz w:val="22"/>
                <w:szCs w:val="22"/>
              </w:rPr>
              <w:t>Legea nr. 10 / 1995 privind calitatea în construcţii, republicată, cu modificările şi completările ulterioare</w:t>
            </w:r>
          </w:p>
        </w:tc>
        <w:tc>
          <w:tcPr>
            <w:tcW w:w="2565" w:type="dxa"/>
          </w:tcPr>
          <w:p w14:paraId="3CAE2C3C" w14:textId="77777777" w:rsidR="001C08A5" w:rsidRDefault="00000000">
            <w:pPr>
              <w:autoSpaceDE w:val="0"/>
              <w:autoSpaceDN w:val="0"/>
              <w:adjustRightInd w:val="0"/>
              <w:rPr>
                <w:i/>
                <w:sz w:val="22"/>
                <w:szCs w:val="22"/>
              </w:rPr>
            </w:pPr>
            <w:r>
              <w:rPr>
                <w:i/>
                <w:sz w:val="22"/>
                <w:szCs w:val="22"/>
              </w:rPr>
              <w:t>Monitorul Oficial al României, Partea I nr. 12 din 24.01.1995</w:t>
            </w:r>
          </w:p>
        </w:tc>
      </w:tr>
    </w:tbl>
    <w:p w14:paraId="3D8319AD" w14:textId="77777777" w:rsidR="001C08A5" w:rsidRDefault="001C08A5">
      <w:pPr>
        <w:rPr>
          <w:i/>
          <w:sz w:val="24"/>
          <w:szCs w:val="24"/>
        </w:rPr>
      </w:pPr>
    </w:p>
    <w:p w14:paraId="697CC595" w14:textId="77777777" w:rsidR="001C08A5" w:rsidRDefault="00000000">
      <w:pPr>
        <w:numPr>
          <w:ilvl w:val="0"/>
          <w:numId w:val="111"/>
        </w:numPr>
        <w:rPr>
          <w:b/>
          <w:bCs/>
          <w:i/>
          <w:sz w:val="24"/>
          <w:szCs w:val="24"/>
        </w:rPr>
      </w:pPr>
      <w:r>
        <w:rPr>
          <w:b/>
          <w:bCs/>
          <w:i/>
          <w:sz w:val="24"/>
          <w:szCs w:val="24"/>
        </w:rPr>
        <w:t xml:space="preserve">Reglementări tehnice </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6097"/>
        <w:gridCol w:w="2550"/>
      </w:tblGrid>
      <w:tr w:rsidR="001C08A5" w14:paraId="1EEE1A6E" w14:textId="77777777">
        <w:trPr>
          <w:trHeight w:val="292"/>
        </w:trPr>
        <w:tc>
          <w:tcPr>
            <w:tcW w:w="851" w:type="dxa"/>
          </w:tcPr>
          <w:p w14:paraId="72B4D239" w14:textId="77777777" w:rsidR="001C08A5" w:rsidRDefault="00000000">
            <w:pPr>
              <w:shd w:val="clear" w:color="auto" w:fill="FFFFFF"/>
              <w:rPr>
                <w:b/>
                <w:bCs/>
                <w:i/>
                <w:sz w:val="22"/>
                <w:szCs w:val="22"/>
              </w:rPr>
            </w:pPr>
            <w:r>
              <w:rPr>
                <w:b/>
                <w:bCs/>
                <w:i/>
                <w:sz w:val="22"/>
                <w:szCs w:val="22"/>
              </w:rPr>
              <w:t>Nr. crt.</w:t>
            </w:r>
          </w:p>
        </w:tc>
        <w:tc>
          <w:tcPr>
            <w:tcW w:w="6097" w:type="dxa"/>
          </w:tcPr>
          <w:p w14:paraId="1DF1C088" w14:textId="77777777" w:rsidR="001C08A5" w:rsidRDefault="00000000">
            <w:pPr>
              <w:shd w:val="clear" w:color="auto" w:fill="FFFFFF"/>
              <w:jc w:val="center"/>
              <w:rPr>
                <w:b/>
                <w:bCs/>
                <w:i/>
                <w:sz w:val="22"/>
                <w:szCs w:val="22"/>
              </w:rPr>
            </w:pPr>
            <w:r>
              <w:rPr>
                <w:b/>
                <w:bCs/>
                <w:i/>
                <w:sz w:val="22"/>
                <w:szCs w:val="22"/>
              </w:rPr>
              <w:t>Denumire</w:t>
            </w:r>
          </w:p>
        </w:tc>
        <w:tc>
          <w:tcPr>
            <w:tcW w:w="2550" w:type="dxa"/>
          </w:tcPr>
          <w:p w14:paraId="5E73E391" w14:textId="77777777" w:rsidR="001C08A5" w:rsidRDefault="00000000">
            <w:pPr>
              <w:jc w:val="center"/>
              <w:rPr>
                <w:b/>
                <w:bCs/>
                <w:i/>
                <w:sz w:val="22"/>
                <w:szCs w:val="22"/>
              </w:rPr>
            </w:pPr>
            <w:r>
              <w:rPr>
                <w:b/>
                <w:bCs/>
                <w:i/>
                <w:sz w:val="22"/>
                <w:szCs w:val="22"/>
              </w:rPr>
              <w:t>Publicaţie</w:t>
            </w:r>
          </w:p>
        </w:tc>
      </w:tr>
      <w:tr w:rsidR="001C08A5" w14:paraId="6F679096" w14:textId="77777777">
        <w:trPr>
          <w:trHeight w:val="292"/>
        </w:trPr>
        <w:tc>
          <w:tcPr>
            <w:tcW w:w="851" w:type="dxa"/>
          </w:tcPr>
          <w:p w14:paraId="2F789EE4" w14:textId="77777777" w:rsidR="001C08A5" w:rsidRDefault="00000000">
            <w:pPr>
              <w:shd w:val="clear" w:color="auto" w:fill="FFFFFF"/>
              <w:jc w:val="center"/>
              <w:rPr>
                <w:i/>
                <w:sz w:val="22"/>
                <w:szCs w:val="22"/>
              </w:rPr>
            </w:pPr>
            <w:r>
              <w:rPr>
                <w:i/>
                <w:sz w:val="22"/>
                <w:szCs w:val="22"/>
              </w:rPr>
              <w:t>1.</w:t>
            </w:r>
          </w:p>
        </w:tc>
        <w:tc>
          <w:tcPr>
            <w:tcW w:w="6097" w:type="dxa"/>
          </w:tcPr>
          <w:p w14:paraId="41745BC2" w14:textId="77777777" w:rsidR="001C08A5" w:rsidRDefault="00000000">
            <w:pPr>
              <w:rPr>
                <w:i/>
                <w:sz w:val="22"/>
                <w:szCs w:val="22"/>
              </w:rPr>
            </w:pPr>
            <w:r>
              <w:rPr>
                <w:i/>
                <w:sz w:val="22"/>
                <w:szCs w:val="22"/>
              </w:rPr>
              <w:t xml:space="preserve">Regulamentului privind clasificarea şi încadrarea produselor pentru construcţii pe baza performanţelor de comportare la foc, aprobat cu Ordinul ministrului transporturilor, construcţiilor şi turismului şi al ministrului de stat, ministrului administraţiei şi internelor nr. </w:t>
            </w:r>
            <w:r>
              <w:rPr>
                <w:b/>
                <w:i/>
                <w:sz w:val="22"/>
                <w:szCs w:val="22"/>
              </w:rPr>
              <w:t>1822/394 din 2004</w:t>
            </w:r>
            <w:r>
              <w:rPr>
                <w:i/>
                <w:sz w:val="22"/>
                <w:szCs w:val="22"/>
              </w:rPr>
              <w:t>, cu modificările şi completările ulterioare </w:t>
            </w:r>
          </w:p>
        </w:tc>
        <w:tc>
          <w:tcPr>
            <w:tcW w:w="2550" w:type="dxa"/>
          </w:tcPr>
          <w:p w14:paraId="27F0ED88" w14:textId="77777777" w:rsidR="001C08A5" w:rsidRDefault="00000000">
            <w:pPr>
              <w:rPr>
                <w:i/>
                <w:sz w:val="22"/>
                <w:szCs w:val="22"/>
              </w:rPr>
            </w:pPr>
            <w:r>
              <w:rPr>
                <w:i/>
                <w:sz w:val="22"/>
                <w:szCs w:val="22"/>
              </w:rPr>
              <w:t>M. Of.</w:t>
            </w:r>
            <w:r>
              <w:rPr>
                <w:i/>
                <w:sz w:val="22"/>
                <w:szCs w:val="22"/>
                <w:lang w:eastAsia="ro-RO"/>
              </w:rPr>
              <w:t xml:space="preserve"> </w:t>
            </w:r>
            <w:r>
              <w:rPr>
                <w:i/>
                <w:sz w:val="22"/>
                <w:szCs w:val="22"/>
              </w:rPr>
              <w:t>P I nr. 90 din 27.01.2005</w:t>
            </w:r>
          </w:p>
          <w:p w14:paraId="60D53BE4" w14:textId="77777777" w:rsidR="001C08A5" w:rsidRDefault="001C08A5">
            <w:pPr>
              <w:jc w:val="both"/>
              <w:rPr>
                <w:i/>
                <w:sz w:val="22"/>
                <w:szCs w:val="22"/>
              </w:rPr>
            </w:pPr>
          </w:p>
        </w:tc>
      </w:tr>
      <w:tr w:rsidR="001C08A5" w14:paraId="04BB269C" w14:textId="77777777">
        <w:trPr>
          <w:trHeight w:val="411"/>
        </w:trPr>
        <w:tc>
          <w:tcPr>
            <w:tcW w:w="851" w:type="dxa"/>
          </w:tcPr>
          <w:p w14:paraId="7322C6DF" w14:textId="77777777" w:rsidR="001C08A5" w:rsidRDefault="00000000">
            <w:pPr>
              <w:jc w:val="center"/>
              <w:rPr>
                <w:i/>
                <w:sz w:val="22"/>
                <w:szCs w:val="22"/>
              </w:rPr>
            </w:pPr>
            <w:r>
              <w:rPr>
                <w:i/>
                <w:sz w:val="22"/>
                <w:szCs w:val="22"/>
              </w:rPr>
              <w:t>2.</w:t>
            </w:r>
          </w:p>
        </w:tc>
        <w:tc>
          <w:tcPr>
            <w:tcW w:w="6097" w:type="dxa"/>
          </w:tcPr>
          <w:p w14:paraId="183446EF" w14:textId="77777777" w:rsidR="001C08A5" w:rsidRDefault="00000000">
            <w:pPr>
              <w:rPr>
                <w:i/>
                <w:sz w:val="22"/>
                <w:szCs w:val="22"/>
              </w:rPr>
            </w:pPr>
            <w:r>
              <w:rPr>
                <w:i/>
                <w:sz w:val="22"/>
                <w:szCs w:val="22"/>
              </w:rPr>
              <w:t xml:space="preserve">Normativ de securitate la incendiu a parcajelor subterane pentru autoturisme, indicativ </w:t>
            </w:r>
            <w:r>
              <w:rPr>
                <w:b/>
                <w:i/>
                <w:sz w:val="22"/>
                <w:szCs w:val="22"/>
              </w:rPr>
              <w:t>NP 127-2009</w:t>
            </w:r>
            <w:r>
              <w:rPr>
                <w:i/>
                <w:sz w:val="22"/>
                <w:szCs w:val="22"/>
              </w:rPr>
              <w:t xml:space="preserve">, aprobat cu Ordinul ministrului dezvoltării regionale şi locuinţei şi al ministrului de stat, ministrul administraţiei şi internelor nr. </w:t>
            </w:r>
            <w:r>
              <w:rPr>
                <w:b/>
                <w:i/>
                <w:sz w:val="22"/>
                <w:szCs w:val="22"/>
              </w:rPr>
              <w:t>1078/326/ 2009</w:t>
            </w:r>
          </w:p>
        </w:tc>
        <w:tc>
          <w:tcPr>
            <w:tcW w:w="2550" w:type="dxa"/>
          </w:tcPr>
          <w:p w14:paraId="28920449" w14:textId="77777777" w:rsidR="001C08A5" w:rsidRDefault="00000000">
            <w:pPr>
              <w:rPr>
                <w:i/>
                <w:sz w:val="22"/>
                <w:szCs w:val="22"/>
              </w:rPr>
            </w:pPr>
            <w:r>
              <w:rPr>
                <w:i/>
                <w:sz w:val="22"/>
                <w:szCs w:val="22"/>
              </w:rPr>
              <w:t>M. Of.</w:t>
            </w:r>
            <w:r>
              <w:rPr>
                <w:i/>
                <w:sz w:val="22"/>
                <w:szCs w:val="22"/>
                <w:lang w:eastAsia="ro-RO"/>
              </w:rPr>
              <w:t xml:space="preserve"> </w:t>
            </w:r>
            <w:r>
              <w:rPr>
                <w:i/>
                <w:sz w:val="22"/>
                <w:szCs w:val="22"/>
              </w:rPr>
              <w:t>P I nr. 74 din 02/02/2010 </w:t>
            </w:r>
          </w:p>
        </w:tc>
      </w:tr>
      <w:tr w:rsidR="001C08A5" w14:paraId="379E8BD6" w14:textId="77777777">
        <w:trPr>
          <w:trHeight w:val="411"/>
        </w:trPr>
        <w:tc>
          <w:tcPr>
            <w:tcW w:w="851" w:type="dxa"/>
          </w:tcPr>
          <w:p w14:paraId="1AC4EA18" w14:textId="77777777" w:rsidR="001C08A5" w:rsidRDefault="00000000">
            <w:pPr>
              <w:jc w:val="center"/>
              <w:rPr>
                <w:i/>
                <w:sz w:val="22"/>
                <w:szCs w:val="22"/>
              </w:rPr>
            </w:pPr>
            <w:r>
              <w:rPr>
                <w:i/>
                <w:sz w:val="22"/>
                <w:szCs w:val="22"/>
              </w:rPr>
              <w:t>3.</w:t>
            </w:r>
          </w:p>
        </w:tc>
        <w:tc>
          <w:tcPr>
            <w:tcW w:w="6097" w:type="dxa"/>
          </w:tcPr>
          <w:p w14:paraId="0F554FC5" w14:textId="77777777" w:rsidR="001C08A5" w:rsidRDefault="00000000">
            <w:pPr>
              <w:suppressAutoHyphens w:val="0"/>
              <w:autoSpaceDE w:val="0"/>
              <w:autoSpaceDN w:val="0"/>
              <w:adjustRightInd w:val="0"/>
              <w:rPr>
                <w:i/>
                <w:sz w:val="22"/>
                <w:szCs w:val="22"/>
              </w:rPr>
            </w:pPr>
            <w:r>
              <w:rPr>
                <w:i/>
                <w:sz w:val="22"/>
                <w:szCs w:val="22"/>
                <w:lang w:eastAsia="ro-RO"/>
              </w:rPr>
              <w:t xml:space="preserve">Normativ privind proiectarea faţadelor cu alcătuire ventilată, indicativ </w:t>
            </w:r>
            <w:r>
              <w:rPr>
                <w:b/>
                <w:i/>
                <w:sz w:val="22"/>
                <w:szCs w:val="22"/>
                <w:lang w:eastAsia="ro-RO"/>
              </w:rPr>
              <w:t>NP 135-2013</w:t>
            </w:r>
            <w:r>
              <w:rPr>
                <w:i/>
                <w:sz w:val="22"/>
                <w:szCs w:val="22"/>
                <w:lang w:eastAsia="ro-RO"/>
              </w:rPr>
              <w:t xml:space="preserve">, </w:t>
            </w:r>
            <w:r>
              <w:rPr>
                <w:i/>
                <w:sz w:val="22"/>
                <w:szCs w:val="22"/>
              </w:rPr>
              <w:t xml:space="preserve">aprobat cu Ordinul ministrului dezvoltării regionale şi administraţiei publice nr. </w:t>
            </w:r>
            <w:r>
              <w:rPr>
                <w:b/>
                <w:i/>
                <w:sz w:val="22"/>
                <w:szCs w:val="22"/>
              </w:rPr>
              <w:t>3415/ 2013</w:t>
            </w:r>
          </w:p>
        </w:tc>
        <w:tc>
          <w:tcPr>
            <w:tcW w:w="2550" w:type="dxa"/>
          </w:tcPr>
          <w:p w14:paraId="56E2031E" w14:textId="77777777" w:rsidR="001C08A5" w:rsidRDefault="00000000">
            <w:pPr>
              <w:rPr>
                <w:i/>
                <w:sz w:val="22"/>
                <w:szCs w:val="22"/>
              </w:rPr>
            </w:pPr>
            <w:r>
              <w:rPr>
                <w:i/>
                <w:sz w:val="22"/>
                <w:szCs w:val="22"/>
              </w:rPr>
              <w:t>M. Of.</w:t>
            </w:r>
            <w:r>
              <w:rPr>
                <w:i/>
                <w:sz w:val="22"/>
                <w:szCs w:val="22"/>
                <w:lang w:eastAsia="ro-RO"/>
              </w:rPr>
              <w:t xml:space="preserve"> </w:t>
            </w:r>
            <w:r>
              <w:rPr>
                <w:i/>
                <w:sz w:val="22"/>
                <w:szCs w:val="22"/>
              </w:rPr>
              <w:t xml:space="preserve">P I nr. </w:t>
            </w:r>
            <w:r>
              <w:rPr>
                <w:i/>
                <w:sz w:val="22"/>
                <w:szCs w:val="22"/>
                <w:lang w:eastAsia="ro-RO"/>
              </w:rPr>
              <w:t>807bis din 19.12.2013</w:t>
            </w:r>
          </w:p>
        </w:tc>
      </w:tr>
      <w:tr w:rsidR="001C08A5" w14:paraId="325A350B" w14:textId="77777777">
        <w:trPr>
          <w:trHeight w:val="411"/>
        </w:trPr>
        <w:tc>
          <w:tcPr>
            <w:tcW w:w="851" w:type="dxa"/>
          </w:tcPr>
          <w:p w14:paraId="586766D5" w14:textId="77777777" w:rsidR="001C08A5" w:rsidRDefault="00000000">
            <w:pPr>
              <w:jc w:val="center"/>
              <w:rPr>
                <w:i/>
                <w:sz w:val="22"/>
                <w:szCs w:val="22"/>
              </w:rPr>
            </w:pPr>
            <w:r>
              <w:rPr>
                <w:i/>
                <w:sz w:val="22"/>
                <w:szCs w:val="22"/>
              </w:rPr>
              <w:t>4.</w:t>
            </w:r>
          </w:p>
        </w:tc>
        <w:tc>
          <w:tcPr>
            <w:tcW w:w="6097" w:type="dxa"/>
          </w:tcPr>
          <w:p w14:paraId="11E0EE45" w14:textId="77777777" w:rsidR="001C08A5" w:rsidRDefault="00000000">
            <w:pPr>
              <w:suppressAutoHyphens w:val="0"/>
              <w:autoSpaceDE w:val="0"/>
              <w:autoSpaceDN w:val="0"/>
              <w:adjustRightInd w:val="0"/>
              <w:rPr>
                <w:rStyle w:val="Strong"/>
                <w:rFonts w:ascii="Trebuchet MS" w:hAnsi="Trebuchet MS" w:cs="Trebuchet MS"/>
                <w:sz w:val="24"/>
                <w:szCs w:val="24"/>
              </w:rPr>
            </w:pPr>
            <w:r>
              <w:rPr>
                <w:i/>
                <w:iCs/>
                <w:sz w:val="22"/>
                <w:szCs w:val="22"/>
              </w:rPr>
              <w:t xml:space="preserve">Normativ privind securitatea la incendiu a construcțiilor, Partea a II-a - Instalații de stingere indicativ </w:t>
            </w:r>
            <w:hyperlink r:id="rId558" w:tgtFrame="https://www.mdlpa.ro/pages/_blank" w:history="1">
              <w:r>
                <w:rPr>
                  <w:rStyle w:val="Hyperlink"/>
                  <w:b/>
                  <w:bCs/>
                  <w:i/>
                  <w:iCs/>
                  <w:sz w:val="22"/>
                  <w:szCs w:val="22"/>
                </w:rPr>
                <w:t>P 118/2-2013</w:t>
              </w:r>
            </w:hyperlink>
            <w:r>
              <w:rPr>
                <w:i/>
                <w:iCs/>
                <w:sz w:val="22"/>
                <w:szCs w:val="22"/>
              </w:rPr>
              <w:t xml:space="preserve">, aprobat cu O.M.D.R.A.P. nr. 2.463/08.08.2013, modificat prin O.M.D.R.A.P. nr. 6026/25.10.2018 </w:t>
            </w:r>
          </w:p>
        </w:tc>
        <w:tc>
          <w:tcPr>
            <w:tcW w:w="2550" w:type="dxa"/>
          </w:tcPr>
          <w:p w14:paraId="7D218E53" w14:textId="77777777" w:rsidR="001C08A5" w:rsidRDefault="00000000">
            <w:pPr>
              <w:rPr>
                <w:i/>
                <w:iCs/>
                <w:sz w:val="22"/>
                <w:szCs w:val="22"/>
              </w:rPr>
            </w:pPr>
            <w:r>
              <w:rPr>
                <w:i/>
                <w:iCs/>
                <w:sz w:val="22"/>
                <w:szCs w:val="22"/>
              </w:rPr>
              <w:t>M. Of., p I, nr. 595 bis/24.09.2013 şi M. Of., p I, nr. 966/15.11.2018</w:t>
            </w:r>
          </w:p>
          <w:p w14:paraId="0B5E0E60" w14:textId="77777777" w:rsidR="001C08A5" w:rsidRDefault="001C08A5">
            <w:pPr>
              <w:rPr>
                <w:i/>
                <w:sz w:val="22"/>
                <w:szCs w:val="22"/>
              </w:rPr>
            </w:pPr>
          </w:p>
        </w:tc>
      </w:tr>
      <w:tr w:rsidR="001C08A5" w14:paraId="2CEC50FB" w14:textId="77777777">
        <w:trPr>
          <w:trHeight w:val="411"/>
        </w:trPr>
        <w:tc>
          <w:tcPr>
            <w:tcW w:w="851" w:type="dxa"/>
          </w:tcPr>
          <w:p w14:paraId="49B1BB5D" w14:textId="77777777" w:rsidR="001C08A5" w:rsidRDefault="00000000">
            <w:pPr>
              <w:jc w:val="center"/>
              <w:rPr>
                <w:i/>
                <w:sz w:val="22"/>
                <w:szCs w:val="22"/>
              </w:rPr>
            </w:pPr>
            <w:r>
              <w:rPr>
                <w:i/>
                <w:sz w:val="22"/>
                <w:szCs w:val="22"/>
              </w:rPr>
              <w:t>5.</w:t>
            </w:r>
          </w:p>
        </w:tc>
        <w:tc>
          <w:tcPr>
            <w:tcW w:w="6097" w:type="dxa"/>
          </w:tcPr>
          <w:p w14:paraId="426DCCDB" w14:textId="77777777" w:rsidR="001C08A5" w:rsidRDefault="00000000">
            <w:pPr>
              <w:suppressAutoHyphens w:val="0"/>
              <w:autoSpaceDE w:val="0"/>
              <w:autoSpaceDN w:val="0"/>
              <w:adjustRightInd w:val="0"/>
              <w:rPr>
                <w:i/>
                <w:iCs/>
                <w:sz w:val="22"/>
                <w:szCs w:val="22"/>
              </w:rPr>
            </w:pPr>
            <w:r>
              <w:rPr>
                <w:i/>
                <w:iCs/>
                <w:sz w:val="22"/>
                <w:szCs w:val="22"/>
              </w:rPr>
              <w:t xml:space="preserve">Normativ privind securitatea la incendiu a construcțiilor, Partea a II-a - Instalații de detectare, semnalizare şi avertizare incendiu.indicativ </w:t>
            </w:r>
            <w:hyperlink r:id="rId559" w:tgtFrame="https://www.mdlpa.ro/pages/_blank" w:history="1">
              <w:r>
                <w:rPr>
                  <w:rStyle w:val="Hyperlink"/>
                  <w:b/>
                  <w:bCs/>
                  <w:i/>
                  <w:iCs/>
                  <w:sz w:val="22"/>
                  <w:szCs w:val="22"/>
                </w:rPr>
                <w:t>P 118/2-2015</w:t>
              </w:r>
            </w:hyperlink>
            <w:r>
              <w:rPr>
                <w:i/>
                <w:iCs/>
                <w:sz w:val="22"/>
                <w:szCs w:val="22"/>
              </w:rPr>
              <w:t>, aprobat cu O.M.D.R.A.P. nr. 364/09.03.2015, modificat prin O.M.D.R.A.P. nr. 6025/25.10.2018</w:t>
            </w:r>
          </w:p>
        </w:tc>
        <w:tc>
          <w:tcPr>
            <w:tcW w:w="2550" w:type="dxa"/>
          </w:tcPr>
          <w:p w14:paraId="0958C0E2" w14:textId="77777777" w:rsidR="001C08A5" w:rsidRDefault="00000000">
            <w:pPr>
              <w:rPr>
                <w:i/>
                <w:sz w:val="22"/>
                <w:szCs w:val="22"/>
              </w:rPr>
            </w:pPr>
            <w:r>
              <w:rPr>
                <w:i/>
                <w:sz w:val="22"/>
                <w:szCs w:val="22"/>
              </w:rPr>
              <w:t>M. Of., p I, nr. 243 bis /09.04.2015 şi M. Of., p I, nr. 977/19.11.2018</w:t>
            </w:r>
          </w:p>
        </w:tc>
      </w:tr>
      <w:tr w:rsidR="001C08A5" w14:paraId="098EC50B" w14:textId="77777777">
        <w:trPr>
          <w:trHeight w:val="411"/>
        </w:trPr>
        <w:tc>
          <w:tcPr>
            <w:tcW w:w="851" w:type="dxa"/>
          </w:tcPr>
          <w:p w14:paraId="00EB6D7A" w14:textId="77777777" w:rsidR="001C08A5" w:rsidRDefault="00000000">
            <w:pPr>
              <w:jc w:val="center"/>
              <w:rPr>
                <w:i/>
                <w:sz w:val="22"/>
                <w:szCs w:val="22"/>
              </w:rPr>
            </w:pPr>
            <w:r>
              <w:rPr>
                <w:i/>
                <w:sz w:val="22"/>
                <w:szCs w:val="22"/>
              </w:rPr>
              <w:t>6.</w:t>
            </w:r>
          </w:p>
        </w:tc>
        <w:tc>
          <w:tcPr>
            <w:tcW w:w="6097" w:type="dxa"/>
          </w:tcPr>
          <w:p w14:paraId="62D38EF3" w14:textId="77777777" w:rsidR="001C08A5" w:rsidRDefault="00000000">
            <w:pPr>
              <w:suppressAutoHyphens w:val="0"/>
              <w:autoSpaceDE w:val="0"/>
              <w:autoSpaceDN w:val="0"/>
              <w:adjustRightInd w:val="0"/>
              <w:rPr>
                <w:i/>
                <w:sz w:val="22"/>
                <w:szCs w:val="22"/>
                <w:lang w:eastAsia="ro-RO"/>
              </w:rPr>
            </w:pPr>
            <w:r>
              <w:rPr>
                <w:i/>
                <w:sz w:val="22"/>
                <w:szCs w:val="22"/>
              </w:rPr>
              <w:t xml:space="preserve">Normativ pentru proiectarea, execuţia şi exploatarea instalaţiilor electrice aferente clădirilor, indicativ </w:t>
            </w:r>
            <w:r>
              <w:rPr>
                <w:b/>
                <w:i/>
                <w:sz w:val="22"/>
                <w:szCs w:val="22"/>
              </w:rPr>
              <w:t xml:space="preserve">I7-2011, </w:t>
            </w:r>
            <w:r>
              <w:rPr>
                <w:i/>
                <w:sz w:val="22"/>
                <w:szCs w:val="22"/>
              </w:rPr>
              <w:t xml:space="preserve">aprobat cu Ordinul ministrului dezvoltării regionale şi turismului nr. </w:t>
            </w:r>
            <w:r>
              <w:rPr>
                <w:b/>
                <w:i/>
                <w:sz w:val="22"/>
                <w:szCs w:val="22"/>
              </w:rPr>
              <w:t>2.741/2011</w:t>
            </w:r>
            <w:r>
              <w:rPr>
                <w:i/>
                <w:sz w:val="22"/>
                <w:szCs w:val="22"/>
              </w:rPr>
              <w:t>, cu modificările şi completările ulterioare </w:t>
            </w:r>
          </w:p>
        </w:tc>
        <w:tc>
          <w:tcPr>
            <w:tcW w:w="2550" w:type="dxa"/>
          </w:tcPr>
          <w:p w14:paraId="691FF1DE" w14:textId="77777777" w:rsidR="001C08A5" w:rsidRDefault="00000000">
            <w:pPr>
              <w:rPr>
                <w:i/>
                <w:sz w:val="22"/>
                <w:szCs w:val="22"/>
              </w:rPr>
            </w:pPr>
            <w:r>
              <w:rPr>
                <w:i/>
                <w:sz w:val="22"/>
                <w:szCs w:val="22"/>
              </w:rPr>
              <w:t>M. Of.</w:t>
            </w:r>
            <w:r>
              <w:rPr>
                <w:i/>
                <w:sz w:val="22"/>
                <w:szCs w:val="22"/>
                <w:lang w:eastAsia="ro-RO"/>
              </w:rPr>
              <w:t xml:space="preserve"> , </w:t>
            </w:r>
            <w:r>
              <w:rPr>
                <w:i/>
                <w:sz w:val="22"/>
                <w:szCs w:val="22"/>
              </w:rPr>
              <w:t xml:space="preserve">P I nr. </w:t>
            </w:r>
            <w:r>
              <w:rPr>
                <w:i/>
                <w:sz w:val="22"/>
                <w:szCs w:val="22"/>
                <w:lang w:eastAsia="ro-RO"/>
              </w:rPr>
              <w:t>802bis din 14.11.2011</w:t>
            </w:r>
          </w:p>
        </w:tc>
      </w:tr>
      <w:tr w:rsidR="001C08A5" w14:paraId="0F2C7BA8" w14:textId="77777777">
        <w:trPr>
          <w:trHeight w:val="411"/>
        </w:trPr>
        <w:tc>
          <w:tcPr>
            <w:tcW w:w="851" w:type="dxa"/>
          </w:tcPr>
          <w:p w14:paraId="4529DFFB" w14:textId="77777777" w:rsidR="001C08A5" w:rsidRDefault="00000000">
            <w:pPr>
              <w:jc w:val="center"/>
              <w:rPr>
                <w:i/>
                <w:sz w:val="22"/>
                <w:szCs w:val="22"/>
              </w:rPr>
            </w:pPr>
            <w:r>
              <w:rPr>
                <w:i/>
                <w:sz w:val="22"/>
                <w:szCs w:val="22"/>
              </w:rPr>
              <w:t xml:space="preserve">7. </w:t>
            </w:r>
          </w:p>
        </w:tc>
        <w:tc>
          <w:tcPr>
            <w:tcW w:w="6097" w:type="dxa"/>
          </w:tcPr>
          <w:p w14:paraId="728287BB" w14:textId="77777777" w:rsidR="001C08A5" w:rsidRDefault="00000000">
            <w:pPr>
              <w:suppressAutoHyphens w:val="0"/>
              <w:autoSpaceDE w:val="0"/>
              <w:autoSpaceDN w:val="0"/>
              <w:adjustRightInd w:val="0"/>
              <w:rPr>
                <w:i/>
                <w:sz w:val="22"/>
                <w:szCs w:val="22"/>
                <w:lang w:eastAsia="ro-RO"/>
              </w:rPr>
            </w:pPr>
            <w:r>
              <w:rPr>
                <w:i/>
                <w:sz w:val="22"/>
                <w:szCs w:val="22"/>
              </w:rPr>
              <w:t xml:space="preserve">Normativ privind adaptarea clădirilor civile şi spaţiului urban aferent la nevoile individuale ale persoanelor cu handicap, indicativ </w:t>
            </w:r>
            <w:r>
              <w:rPr>
                <w:b/>
                <w:i/>
                <w:sz w:val="22"/>
                <w:szCs w:val="22"/>
              </w:rPr>
              <w:t>NP 051-2012</w:t>
            </w:r>
            <w:r>
              <w:rPr>
                <w:i/>
                <w:sz w:val="22"/>
                <w:szCs w:val="22"/>
              </w:rPr>
              <w:t xml:space="preserve"> – Revizuire NP 051/2000, aprobat cu Ordinul viceprim-ministrului, ministrului dezvoltării regionale și administrației publice nr. </w:t>
            </w:r>
            <w:r>
              <w:rPr>
                <w:b/>
                <w:i/>
                <w:sz w:val="22"/>
                <w:szCs w:val="22"/>
              </w:rPr>
              <w:t>189/2013</w:t>
            </w:r>
          </w:p>
        </w:tc>
        <w:tc>
          <w:tcPr>
            <w:tcW w:w="2550" w:type="dxa"/>
          </w:tcPr>
          <w:p w14:paraId="149E1230" w14:textId="77777777" w:rsidR="001C08A5" w:rsidRDefault="00000000">
            <w:pPr>
              <w:rPr>
                <w:i/>
                <w:sz w:val="22"/>
                <w:szCs w:val="22"/>
              </w:rPr>
            </w:pPr>
            <w:r>
              <w:rPr>
                <w:i/>
                <w:sz w:val="22"/>
                <w:szCs w:val="22"/>
              </w:rPr>
              <w:t>M. Of.</w:t>
            </w:r>
            <w:r>
              <w:rPr>
                <w:i/>
                <w:sz w:val="22"/>
                <w:szCs w:val="22"/>
                <w:lang w:eastAsia="ro-RO"/>
              </w:rPr>
              <w:t xml:space="preserve"> , </w:t>
            </w:r>
            <w:r>
              <w:rPr>
                <w:i/>
                <w:sz w:val="22"/>
                <w:szCs w:val="22"/>
              </w:rPr>
              <w:t xml:space="preserve">P I nr. </w:t>
            </w:r>
            <w:r>
              <w:rPr>
                <w:i/>
                <w:sz w:val="22"/>
                <w:szCs w:val="22"/>
                <w:lang w:eastAsia="ro-RO"/>
              </w:rPr>
              <w:t>121bis din 05.03.2013</w:t>
            </w:r>
          </w:p>
        </w:tc>
      </w:tr>
      <w:tr w:rsidR="001C08A5" w14:paraId="14A4773A" w14:textId="77777777">
        <w:trPr>
          <w:trHeight w:val="411"/>
        </w:trPr>
        <w:tc>
          <w:tcPr>
            <w:tcW w:w="851" w:type="dxa"/>
          </w:tcPr>
          <w:p w14:paraId="389082B2" w14:textId="77777777" w:rsidR="001C08A5" w:rsidRDefault="00000000">
            <w:pPr>
              <w:jc w:val="center"/>
              <w:rPr>
                <w:i/>
                <w:sz w:val="22"/>
                <w:szCs w:val="22"/>
                <w:lang w:val="en-GB"/>
              </w:rPr>
            </w:pPr>
            <w:r>
              <w:rPr>
                <w:i/>
                <w:sz w:val="22"/>
                <w:szCs w:val="22"/>
              </w:rPr>
              <w:t>8</w:t>
            </w:r>
            <w:r>
              <w:rPr>
                <w:i/>
                <w:sz w:val="22"/>
                <w:szCs w:val="22"/>
                <w:lang w:val="en-GB"/>
              </w:rPr>
              <w:t>.</w:t>
            </w:r>
          </w:p>
        </w:tc>
        <w:tc>
          <w:tcPr>
            <w:tcW w:w="6097" w:type="dxa"/>
          </w:tcPr>
          <w:p w14:paraId="1AF2B604" w14:textId="77777777" w:rsidR="001C08A5" w:rsidRDefault="00000000">
            <w:pPr>
              <w:suppressAutoHyphens w:val="0"/>
              <w:autoSpaceDE w:val="0"/>
              <w:autoSpaceDN w:val="0"/>
              <w:adjustRightInd w:val="0"/>
              <w:rPr>
                <w:i/>
                <w:sz w:val="22"/>
                <w:szCs w:val="22"/>
                <w:lang w:val="en-GB"/>
              </w:rPr>
            </w:pPr>
            <w:hyperlink r:id="rId560" w:history="1">
              <w:r>
                <w:rPr>
                  <w:b/>
                  <w:bCs/>
                  <w:i/>
                  <w:sz w:val="22"/>
                  <w:szCs w:val="22"/>
                </w:rPr>
                <w:t>Regulamentul (UE) nr. 305/2011</w:t>
              </w:r>
            </w:hyperlink>
            <w:r>
              <w:rPr>
                <w:i/>
                <w:sz w:val="22"/>
                <w:szCs w:val="22"/>
                <w:lang w:val="en-GB"/>
              </w:rPr>
              <w:t xml:space="preserve"> al Parlamentului European şi al Consiliului din 9 martie 2011 de stabilire a unor condiţii armonizate pentru comercializarea produselor pentru construcţii şi de abrogare a </w:t>
            </w:r>
            <w:hyperlink r:id="rId561" w:history="1">
              <w:r>
                <w:rPr>
                  <w:i/>
                  <w:sz w:val="22"/>
                  <w:szCs w:val="22"/>
                  <w:lang w:val="en-GB"/>
                </w:rPr>
                <w:t>Directivei 89/106/CEE</w:t>
              </w:r>
            </w:hyperlink>
            <w:r>
              <w:rPr>
                <w:i/>
                <w:sz w:val="22"/>
                <w:szCs w:val="22"/>
                <w:lang w:val="en-GB"/>
              </w:rPr>
              <w:t> a Consiliului</w:t>
            </w:r>
          </w:p>
          <w:p w14:paraId="6C3D78A3" w14:textId="77777777" w:rsidR="001C08A5" w:rsidRDefault="00000000">
            <w:pPr>
              <w:suppressAutoHyphens w:val="0"/>
              <w:autoSpaceDE w:val="0"/>
              <w:autoSpaceDN w:val="0"/>
              <w:adjustRightInd w:val="0"/>
              <w:rPr>
                <w:b/>
                <w:bCs/>
                <w:i/>
                <w:sz w:val="22"/>
                <w:szCs w:val="22"/>
                <w:lang w:val="en-GB"/>
              </w:rPr>
            </w:pPr>
            <w:hyperlink r:id="rId562" w:tgtFrame="https://www.mlpda.ro/pages/_blank" w:history="1">
              <w:r>
                <w:rPr>
                  <w:b/>
                  <w:bCs/>
                  <w:i/>
                  <w:sz w:val="22"/>
                  <w:szCs w:val="22"/>
                </w:rPr>
                <w:t>Rectificare la Regulamentul (UE) nr. 305/2011</w:t>
              </w:r>
            </w:hyperlink>
          </w:p>
        </w:tc>
        <w:tc>
          <w:tcPr>
            <w:tcW w:w="2550" w:type="dxa"/>
          </w:tcPr>
          <w:p w14:paraId="0D4A0678" w14:textId="77777777" w:rsidR="001C08A5" w:rsidRDefault="00000000">
            <w:pPr>
              <w:rPr>
                <w:i/>
                <w:sz w:val="22"/>
                <w:szCs w:val="22"/>
              </w:rPr>
            </w:pPr>
            <w:r>
              <w:rPr>
                <w:i/>
                <w:sz w:val="22"/>
                <w:szCs w:val="22"/>
              </w:rPr>
              <w:t>Jurnalul Oficial al Uniunii Europene (JOUE), seria L, nr. 88 din 4 aprilie 2011</w:t>
            </w:r>
          </w:p>
          <w:p w14:paraId="6BE6E9CE" w14:textId="77777777" w:rsidR="001C08A5" w:rsidRDefault="001C08A5">
            <w:pPr>
              <w:rPr>
                <w:i/>
                <w:sz w:val="22"/>
                <w:szCs w:val="22"/>
              </w:rPr>
            </w:pPr>
          </w:p>
        </w:tc>
      </w:tr>
      <w:tr w:rsidR="001C08A5" w14:paraId="349444C4" w14:textId="77777777">
        <w:trPr>
          <w:trHeight w:val="246"/>
        </w:trPr>
        <w:tc>
          <w:tcPr>
            <w:tcW w:w="851" w:type="dxa"/>
          </w:tcPr>
          <w:p w14:paraId="047EBB6C" w14:textId="77777777" w:rsidR="001C08A5" w:rsidRDefault="00000000">
            <w:pPr>
              <w:jc w:val="center"/>
              <w:rPr>
                <w:i/>
                <w:sz w:val="22"/>
                <w:szCs w:val="22"/>
                <w:lang w:val="en-GB"/>
              </w:rPr>
            </w:pPr>
            <w:r>
              <w:rPr>
                <w:i/>
                <w:sz w:val="22"/>
                <w:szCs w:val="22"/>
              </w:rPr>
              <w:t>9.</w:t>
            </w:r>
          </w:p>
        </w:tc>
        <w:tc>
          <w:tcPr>
            <w:tcW w:w="6097" w:type="dxa"/>
          </w:tcPr>
          <w:p w14:paraId="0CE8DF6D" w14:textId="77777777" w:rsidR="001C08A5" w:rsidRDefault="00000000">
            <w:pPr>
              <w:suppressAutoHyphens w:val="0"/>
              <w:autoSpaceDE w:val="0"/>
              <w:autoSpaceDN w:val="0"/>
              <w:adjustRightInd w:val="0"/>
              <w:rPr>
                <w:b/>
                <w:bCs/>
                <w:i/>
                <w:sz w:val="22"/>
                <w:szCs w:val="22"/>
              </w:rPr>
            </w:pPr>
            <w:r>
              <w:rPr>
                <w:b/>
                <w:bCs/>
                <w:i/>
                <w:sz w:val="22"/>
                <w:szCs w:val="22"/>
              </w:rPr>
              <w:t>Regulament</w:t>
            </w:r>
            <w:r>
              <w:rPr>
                <w:b/>
                <w:bCs/>
                <w:i/>
                <w:sz w:val="22"/>
                <w:szCs w:val="22"/>
                <w:lang w:val="en-GB"/>
              </w:rPr>
              <w:t>e</w:t>
            </w:r>
            <w:r>
              <w:rPr>
                <w:b/>
                <w:bCs/>
                <w:i/>
                <w:sz w:val="22"/>
                <w:szCs w:val="22"/>
              </w:rPr>
              <w:t xml:space="preserve"> delegat</w:t>
            </w:r>
            <w:r>
              <w:rPr>
                <w:b/>
                <w:bCs/>
                <w:i/>
                <w:sz w:val="22"/>
                <w:szCs w:val="22"/>
                <w:lang w:val="en-GB"/>
              </w:rPr>
              <w:t>e</w:t>
            </w:r>
            <w:r>
              <w:rPr>
                <w:b/>
                <w:bCs/>
                <w:i/>
                <w:sz w:val="22"/>
                <w:szCs w:val="22"/>
              </w:rPr>
              <w:t xml:space="preserve"> și</w:t>
            </w:r>
            <w:r>
              <w:rPr>
                <w:b/>
                <w:bCs/>
                <w:i/>
                <w:sz w:val="22"/>
                <w:szCs w:val="22"/>
                <w:lang w:val="en-GB"/>
              </w:rPr>
              <w:t xml:space="preserve"> </w:t>
            </w:r>
            <w:r>
              <w:rPr>
                <w:b/>
                <w:bCs/>
                <w:i/>
                <w:sz w:val="22"/>
                <w:szCs w:val="22"/>
              </w:rPr>
              <w:t>Decizi</w:t>
            </w:r>
            <w:r>
              <w:rPr>
                <w:b/>
                <w:bCs/>
                <w:i/>
                <w:sz w:val="22"/>
                <w:szCs w:val="22"/>
                <w:lang w:val="en-GB"/>
              </w:rPr>
              <w:t>i</w:t>
            </w:r>
            <w:r>
              <w:rPr>
                <w:b/>
                <w:bCs/>
                <w:i/>
                <w:sz w:val="22"/>
                <w:szCs w:val="22"/>
              </w:rPr>
              <w:t xml:space="preserve"> delegat</w:t>
            </w:r>
            <w:r>
              <w:rPr>
                <w:b/>
                <w:bCs/>
                <w:i/>
                <w:sz w:val="22"/>
                <w:szCs w:val="22"/>
                <w:lang w:val="en-GB"/>
              </w:rPr>
              <w:t xml:space="preserve">e </w:t>
            </w:r>
            <w:r>
              <w:rPr>
                <w:i/>
                <w:sz w:val="22"/>
                <w:szCs w:val="22"/>
                <w:lang w:val="en-GB"/>
              </w:rPr>
              <w:t>- vezi nota</w:t>
            </w:r>
          </w:p>
        </w:tc>
        <w:tc>
          <w:tcPr>
            <w:tcW w:w="2550" w:type="dxa"/>
          </w:tcPr>
          <w:p w14:paraId="5CD00D1F" w14:textId="77777777" w:rsidR="001C08A5" w:rsidRDefault="00000000">
            <w:pPr>
              <w:rPr>
                <w:i/>
                <w:sz w:val="22"/>
                <w:szCs w:val="22"/>
              </w:rPr>
            </w:pPr>
            <w:r>
              <w:rPr>
                <w:i/>
                <w:sz w:val="22"/>
                <w:szCs w:val="22"/>
              </w:rPr>
              <w:t>Jurnalul Oficial al Uniunii Europene (JOUE)</w:t>
            </w:r>
          </w:p>
        </w:tc>
      </w:tr>
    </w:tbl>
    <w:p w14:paraId="371ED943" w14:textId="77777777" w:rsidR="001C08A5" w:rsidRDefault="001C08A5">
      <w:pPr>
        <w:rPr>
          <w:b/>
          <w:bCs/>
          <w:i/>
          <w:sz w:val="24"/>
          <w:szCs w:val="24"/>
        </w:rPr>
      </w:pPr>
    </w:p>
    <w:p w14:paraId="3581B2D0" w14:textId="77777777" w:rsidR="001C08A5" w:rsidRDefault="001C08A5">
      <w:pPr>
        <w:rPr>
          <w:b/>
          <w:bCs/>
          <w:i/>
          <w:sz w:val="24"/>
          <w:szCs w:val="24"/>
        </w:rPr>
      </w:pPr>
    </w:p>
    <w:p w14:paraId="4BB59660" w14:textId="77777777" w:rsidR="001C08A5" w:rsidRDefault="001C08A5">
      <w:pPr>
        <w:spacing w:line="360" w:lineRule="auto"/>
        <w:jc w:val="both"/>
        <w:rPr>
          <w:b/>
          <w:bCs/>
          <w:i/>
          <w:sz w:val="22"/>
          <w:szCs w:val="22"/>
          <w:lang w:val="en-GB"/>
        </w:rPr>
      </w:pPr>
    </w:p>
    <w:p w14:paraId="1056BF4A" w14:textId="77777777" w:rsidR="001C08A5" w:rsidRDefault="00000000">
      <w:pPr>
        <w:spacing w:line="360" w:lineRule="auto"/>
        <w:jc w:val="both"/>
        <w:rPr>
          <w:b/>
          <w:bCs/>
          <w:i/>
          <w:sz w:val="22"/>
          <w:szCs w:val="22"/>
          <w:lang w:val="en-GB"/>
        </w:rPr>
      </w:pPr>
      <w:r>
        <w:rPr>
          <w:b/>
          <w:bCs/>
          <w:i/>
          <w:sz w:val="22"/>
          <w:szCs w:val="22"/>
          <w:lang w:val="en-GB"/>
        </w:rPr>
        <w:lastRenderedPageBreak/>
        <w:t xml:space="preserve">Nota: </w:t>
      </w:r>
      <w:r>
        <w:rPr>
          <w:b/>
          <w:bCs/>
          <w:i/>
          <w:sz w:val="22"/>
          <w:szCs w:val="22"/>
        </w:rPr>
        <w:t>Regulament</w:t>
      </w:r>
      <w:r>
        <w:rPr>
          <w:b/>
          <w:bCs/>
          <w:i/>
          <w:sz w:val="22"/>
          <w:szCs w:val="22"/>
          <w:lang w:val="en-GB"/>
        </w:rPr>
        <w:t>e</w:t>
      </w:r>
      <w:r>
        <w:rPr>
          <w:b/>
          <w:bCs/>
          <w:i/>
          <w:sz w:val="22"/>
          <w:szCs w:val="22"/>
        </w:rPr>
        <w:t xml:space="preserve"> delegat</w:t>
      </w:r>
      <w:r>
        <w:rPr>
          <w:b/>
          <w:bCs/>
          <w:i/>
          <w:sz w:val="22"/>
          <w:szCs w:val="22"/>
          <w:lang w:val="en-GB"/>
        </w:rPr>
        <w:t>e</w:t>
      </w:r>
      <w:r>
        <w:rPr>
          <w:b/>
          <w:bCs/>
          <w:i/>
          <w:sz w:val="22"/>
          <w:szCs w:val="22"/>
        </w:rPr>
        <w:t xml:space="preserve"> și</w:t>
      </w:r>
      <w:r>
        <w:rPr>
          <w:b/>
          <w:bCs/>
          <w:i/>
          <w:sz w:val="22"/>
          <w:szCs w:val="22"/>
          <w:lang w:val="en-GB"/>
        </w:rPr>
        <w:t xml:space="preserve"> </w:t>
      </w:r>
      <w:r>
        <w:rPr>
          <w:b/>
          <w:bCs/>
          <w:i/>
          <w:sz w:val="22"/>
          <w:szCs w:val="22"/>
        </w:rPr>
        <w:t>Decizi</w:t>
      </w:r>
      <w:r>
        <w:rPr>
          <w:b/>
          <w:bCs/>
          <w:i/>
          <w:sz w:val="22"/>
          <w:szCs w:val="22"/>
          <w:lang w:val="en-GB"/>
        </w:rPr>
        <w:t>i</w:t>
      </w:r>
      <w:r>
        <w:rPr>
          <w:b/>
          <w:bCs/>
          <w:i/>
          <w:sz w:val="22"/>
          <w:szCs w:val="22"/>
        </w:rPr>
        <w:t xml:space="preserve"> delegat</w:t>
      </w:r>
      <w:r>
        <w:rPr>
          <w:b/>
          <w:bCs/>
          <w:i/>
          <w:sz w:val="22"/>
          <w:szCs w:val="22"/>
          <w:lang w:val="en-GB"/>
        </w:rPr>
        <w:t>e</w:t>
      </w:r>
    </w:p>
    <w:p w14:paraId="6AF52843" w14:textId="77777777" w:rsidR="001C08A5" w:rsidRDefault="00000000">
      <w:pPr>
        <w:spacing w:line="360" w:lineRule="auto"/>
        <w:ind w:left="720" w:firstLine="720"/>
        <w:jc w:val="both"/>
        <w:rPr>
          <w:i/>
          <w:sz w:val="22"/>
          <w:szCs w:val="22"/>
          <w:lang w:val="en-US" w:eastAsia="zh-CN"/>
        </w:rPr>
      </w:pPr>
      <w:hyperlink r:id="rId563" w:history="1">
        <w:r>
          <w:rPr>
            <w:b/>
            <w:bCs/>
            <w:i/>
            <w:sz w:val="22"/>
            <w:szCs w:val="22"/>
          </w:rPr>
          <w:t>Regulamentul delegat (UE) 2019/1188</w:t>
        </w:r>
      </w:hyperlink>
      <w:r>
        <w:rPr>
          <w:b/>
          <w:bCs/>
          <w:i/>
          <w:sz w:val="22"/>
          <w:szCs w:val="22"/>
          <w:lang w:val="en-US" w:eastAsia="zh-CN"/>
        </w:rPr>
        <w:t> </w:t>
      </w:r>
      <w:r>
        <w:rPr>
          <w:i/>
          <w:sz w:val="22"/>
          <w:szCs w:val="22"/>
          <w:lang w:val="en-US" w:eastAsia="zh-CN"/>
        </w:rPr>
        <w:t>al </w:t>
      </w:r>
      <w:hyperlink r:id="rId564" w:history="1">
        <w:r>
          <w:rPr>
            <w:i/>
            <w:sz w:val="22"/>
            <w:szCs w:val="22"/>
          </w:rPr>
          <w:t>Comisiei</w:t>
        </w:r>
      </w:hyperlink>
      <w:r>
        <w:rPr>
          <w:i/>
          <w:sz w:val="22"/>
          <w:szCs w:val="22"/>
          <w:lang w:val="en-US" w:eastAsia="zh-CN"/>
        </w:rPr>
        <w:t> din 14 martie 2019 care completează Regulamentul (UE) nr. 305/2011 al Parlamentului European și al Consiliului prin stabilirea unor clase de performanță în ceea ce privește rezistența la încărcarea vântului pentru jaluzelele și copertinele externe</w:t>
      </w:r>
    </w:p>
    <w:p w14:paraId="5A167CE3" w14:textId="77777777" w:rsidR="001C08A5" w:rsidRDefault="00000000">
      <w:pPr>
        <w:spacing w:line="360" w:lineRule="auto"/>
        <w:ind w:left="720" w:firstLine="720"/>
        <w:jc w:val="both"/>
        <w:rPr>
          <w:i/>
          <w:sz w:val="22"/>
          <w:szCs w:val="22"/>
          <w:lang w:val="en-US" w:eastAsia="zh-CN"/>
        </w:rPr>
      </w:pPr>
      <w:hyperlink r:id="rId565" w:tgtFrame="https://ec.europa.eu/growth/sectors/construction/_blank" w:history="1">
        <w:r>
          <w:rPr>
            <w:b/>
            <w:bCs/>
            <w:i/>
            <w:sz w:val="22"/>
            <w:szCs w:val="22"/>
          </w:rPr>
          <w:t>Decizia delegată (UE) 2018/779</w:t>
        </w:r>
      </w:hyperlink>
      <w:r>
        <w:rPr>
          <w:b/>
          <w:bCs/>
          <w:i/>
          <w:sz w:val="22"/>
          <w:szCs w:val="22"/>
          <w:lang w:val="en-US" w:eastAsia="zh-CN"/>
        </w:rPr>
        <w:t> </w:t>
      </w:r>
      <w:r>
        <w:rPr>
          <w:i/>
          <w:sz w:val="22"/>
          <w:szCs w:val="22"/>
          <w:lang w:val="en-US" w:eastAsia="zh-CN"/>
        </w:rPr>
        <w:t> a </w:t>
      </w:r>
      <w:hyperlink r:id="rId566" w:tgtFrame="https://ec.europa.eu/growth/sectors/construction/_blank" w:history="1">
        <w:r>
          <w:rPr>
            <w:i/>
            <w:sz w:val="22"/>
            <w:szCs w:val="22"/>
          </w:rPr>
          <w:t>Comisiei</w:t>
        </w:r>
      </w:hyperlink>
      <w:r>
        <w:rPr>
          <w:i/>
          <w:sz w:val="22"/>
          <w:szCs w:val="22"/>
          <w:lang w:val="en-US" w:eastAsia="zh-CN"/>
        </w:rPr>
        <w:t xml:space="preserve"> din 19 februarie 2018 privind sistemele aplicabile pentru evaluarea și verificarea constanței performanței panourilor sandwich cu față metalică pentru utilizare structurală în conformitate cu Regulamentul (UE) nr. 305/2011 al Parlamentului European și al </w:t>
      </w:r>
      <w:r>
        <w:rPr>
          <w:i/>
          <w:sz w:val="22"/>
          <w:szCs w:val="22"/>
        </w:rPr>
        <w:t>Consiliului</w:t>
      </w:r>
    </w:p>
    <w:p w14:paraId="2BC1F5B2" w14:textId="77777777" w:rsidR="001C08A5" w:rsidRDefault="00000000">
      <w:pPr>
        <w:spacing w:line="360" w:lineRule="auto"/>
        <w:ind w:left="720" w:firstLine="720"/>
        <w:jc w:val="both"/>
        <w:rPr>
          <w:i/>
          <w:sz w:val="22"/>
          <w:szCs w:val="22"/>
        </w:rPr>
      </w:pPr>
      <w:hyperlink r:id="rId567" w:history="1">
        <w:r>
          <w:rPr>
            <w:b/>
            <w:bCs/>
            <w:i/>
            <w:sz w:val="22"/>
            <w:szCs w:val="22"/>
          </w:rPr>
          <w:t>Regulamentul delegat (UE) 2017/2293</w:t>
        </w:r>
      </w:hyperlink>
      <w:r>
        <w:rPr>
          <w:i/>
          <w:sz w:val="22"/>
          <w:szCs w:val="22"/>
        </w:rPr>
        <w:t>  al </w:t>
      </w:r>
      <w:hyperlink r:id="rId568" w:history="1">
        <w:r>
          <w:rPr>
            <w:i/>
            <w:sz w:val="22"/>
            <w:szCs w:val="22"/>
          </w:rPr>
          <w:t>Comisiei</w:t>
        </w:r>
      </w:hyperlink>
      <w:r>
        <w:rPr>
          <w:i/>
          <w:sz w:val="22"/>
          <w:szCs w:val="22"/>
        </w:rPr>
        <w:t> din 3 august 2017 privind condițiile de clasificare, fără testare, a produselor din lemn laminat încrucișat reglementate de standardul armonizat EN 16351 și a produselor din lemn de furnir laminat acoperite de standardul armonizat EN 14374 în ceea ce privește reacție la foc</w:t>
      </w:r>
    </w:p>
    <w:p w14:paraId="4AFB705A" w14:textId="77777777" w:rsidR="001C08A5" w:rsidRDefault="00000000">
      <w:pPr>
        <w:spacing w:line="360" w:lineRule="auto"/>
        <w:ind w:left="720" w:firstLine="720"/>
        <w:jc w:val="both"/>
        <w:rPr>
          <w:i/>
          <w:sz w:val="22"/>
          <w:szCs w:val="22"/>
        </w:rPr>
      </w:pPr>
      <w:hyperlink r:id="rId569" w:history="1">
        <w:r>
          <w:rPr>
            <w:b/>
            <w:bCs/>
            <w:i/>
            <w:sz w:val="22"/>
            <w:szCs w:val="22"/>
          </w:rPr>
          <w:t>Regulamentul delegat (UE) 2017/1227</w:t>
        </w:r>
      </w:hyperlink>
      <w:r>
        <w:rPr>
          <w:i/>
          <w:sz w:val="22"/>
          <w:szCs w:val="22"/>
        </w:rPr>
        <w:t> al </w:t>
      </w:r>
      <w:hyperlink r:id="rId570" w:history="1">
        <w:r>
          <w:rPr>
            <w:i/>
            <w:sz w:val="22"/>
            <w:szCs w:val="22"/>
          </w:rPr>
          <w:t>Comisiei</w:t>
        </w:r>
      </w:hyperlink>
      <w:r>
        <w:rPr>
          <w:i/>
          <w:sz w:val="22"/>
          <w:szCs w:val="22"/>
        </w:rPr>
        <w:t> din 20 martie 2017 privind condițiile de clasificare, fără testare, a produselor din lemn laminat lipit acoperite de standardul armonizat EN 14080 și a produselor din lemn masiv îmbinate structurale acoperite de standardul armonizat EN 15497 în ceea ce privește la reacția lor la foc</w:t>
      </w:r>
    </w:p>
    <w:p w14:paraId="2B11F980" w14:textId="77777777" w:rsidR="001C08A5" w:rsidRDefault="00000000">
      <w:pPr>
        <w:spacing w:line="360" w:lineRule="auto"/>
        <w:ind w:left="720" w:firstLine="720"/>
        <w:jc w:val="both"/>
        <w:rPr>
          <w:i/>
          <w:sz w:val="22"/>
          <w:szCs w:val="22"/>
        </w:rPr>
      </w:pPr>
      <w:hyperlink r:id="rId571" w:history="1">
        <w:r>
          <w:rPr>
            <w:b/>
            <w:bCs/>
            <w:i/>
            <w:sz w:val="22"/>
            <w:szCs w:val="22"/>
          </w:rPr>
          <w:t>Regulamentul delegat (UE) 2017/1228</w:t>
        </w:r>
      </w:hyperlink>
      <w:r>
        <w:rPr>
          <w:i/>
          <w:sz w:val="22"/>
          <w:szCs w:val="22"/>
        </w:rPr>
        <w:t> al </w:t>
      </w:r>
      <w:hyperlink r:id="rId572" w:history="1">
        <w:r>
          <w:rPr>
            <w:i/>
            <w:sz w:val="22"/>
            <w:szCs w:val="22"/>
          </w:rPr>
          <w:t>Comisiei</w:t>
        </w:r>
      </w:hyperlink>
      <w:r>
        <w:rPr>
          <w:i/>
          <w:sz w:val="22"/>
          <w:szCs w:val="22"/>
        </w:rPr>
        <w:t> din 20 martie 2017 privind condițiile de clasificare, fără testare, a </w:t>
      </w:r>
      <w:hyperlink r:id="rId573" w:history="1">
        <w:r>
          <w:rPr>
            <w:i/>
            <w:sz w:val="22"/>
            <w:szCs w:val="22"/>
          </w:rPr>
          <w:t>straturilor</w:t>
        </w:r>
      </w:hyperlink>
      <w:r>
        <w:rPr>
          <w:i/>
          <w:sz w:val="22"/>
          <w:szCs w:val="22"/>
        </w:rPr>
        <w:t> externe și a tencuielilor interne pe bază de lianți organici acoperiți de standardul armonizat EN 15824 și a mortarelor de tencuire și tencuială acoperite de standardul armonizat EN 998-1 cu privire la reacția lor la foc</w:t>
      </w:r>
    </w:p>
    <w:p w14:paraId="6B9D5DF1" w14:textId="77777777" w:rsidR="001C08A5" w:rsidRDefault="00000000">
      <w:pPr>
        <w:spacing w:line="360" w:lineRule="auto"/>
        <w:ind w:left="720" w:firstLine="720"/>
        <w:jc w:val="both"/>
        <w:rPr>
          <w:i/>
          <w:sz w:val="22"/>
          <w:szCs w:val="22"/>
        </w:rPr>
      </w:pPr>
      <w:hyperlink r:id="rId574" w:history="1">
        <w:r>
          <w:rPr>
            <w:b/>
            <w:bCs/>
            <w:i/>
            <w:sz w:val="22"/>
            <w:szCs w:val="22"/>
          </w:rPr>
          <w:t>Decizia delegată (UE) 2015/1936</w:t>
        </w:r>
      </w:hyperlink>
      <w:r>
        <w:rPr>
          <w:i/>
          <w:sz w:val="22"/>
          <w:szCs w:val="22"/>
        </w:rPr>
        <w:t> a </w:t>
      </w:r>
      <w:hyperlink r:id="rId575" w:history="1">
        <w:r>
          <w:rPr>
            <w:i/>
            <w:sz w:val="22"/>
            <w:szCs w:val="22"/>
          </w:rPr>
          <w:t>Comisiei</w:t>
        </w:r>
      </w:hyperlink>
      <w:r>
        <w:rPr>
          <w:i/>
          <w:sz w:val="22"/>
          <w:szCs w:val="22"/>
        </w:rPr>
        <w:t> din 8 iulie 2015 privind sistemele aplicabile pentru evaluarea și verificarea constanței performanței pentru conductele de ventilație și țevile de ventilare a aerului în conformitate cu Regulamentul (UE) nr. 305/2011 al Parlamentului European și al Consiliului</w:t>
      </w:r>
    </w:p>
    <w:p w14:paraId="0F29DA78" w14:textId="77777777" w:rsidR="001C08A5" w:rsidRDefault="00000000">
      <w:pPr>
        <w:spacing w:line="360" w:lineRule="auto"/>
        <w:ind w:left="720" w:firstLine="720"/>
        <w:jc w:val="both"/>
        <w:rPr>
          <w:i/>
          <w:sz w:val="22"/>
          <w:szCs w:val="22"/>
        </w:rPr>
      </w:pPr>
      <w:hyperlink r:id="rId576" w:history="1">
        <w:r>
          <w:rPr>
            <w:b/>
            <w:bCs/>
            <w:i/>
            <w:sz w:val="22"/>
            <w:szCs w:val="22"/>
          </w:rPr>
          <w:t>Decizia delegată (UE) 2015/1958</w:t>
        </w:r>
      </w:hyperlink>
      <w:r>
        <w:rPr>
          <w:i/>
          <w:sz w:val="22"/>
          <w:szCs w:val="22"/>
        </w:rPr>
        <w:t> a </w:t>
      </w:r>
      <w:hyperlink r:id="rId577" w:history="1">
        <w:r>
          <w:rPr>
            <w:i/>
            <w:sz w:val="22"/>
            <w:szCs w:val="22"/>
          </w:rPr>
          <w:t>Comisiei</w:t>
        </w:r>
      </w:hyperlink>
      <w:r>
        <w:rPr>
          <w:i/>
          <w:sz w:val="22"/>
          <w:szCs w:val="22"/>
        </w:rPr>
        <w:t> din 1 iulie 2015 privind sistemele aplicabile de evaluare și verificare a constanței performanței geosintetice și a produselor conexe</w:t>
      </w:r>
    </w:p>
    <w:p w14:paraId="53AEE112" w14:textId="77777777" w:rsidR="001C08A5" w:rsidRDefault="00000000">
      <w:pPr>
        <w:spacing w:line="360" w:lineRule="auto"/>
        <w:ind w:left="720" w:firstLine="720"/>
        <w:jc w:val="both"/>
        <w:rPr>
          <w:i/>
          <w:sz w:val="22"/>
          <w:szCs w:val="22"/>
        </w:rPr>
      </w:pPr>
      <w:hyperlink r:id="rId578" w:history="1">
        <w:r>
          <w:rPr>
            <w:b/>
            <w:bCs/>
            <w:i/>
            <w:sz w:val="22"/>
            <w:szCs w:val="22"/>
          </w:rPr>
          <w:t>Regulamentul delegat (UE) 2016/364</w:t>
        </w:r>
      </w:hyperlink>
      <w:r>
        <w:rPr>
          <w:i/>
          <w:sz w:val="22"/>
          <w:szCs w:val="22"/>
        </w:rPr>
        <w:t> al </w:t>
      </w:r>
      <w:hyperlink r:id="rId579" w:history="1">
        <w:r>
          <w:rPr>
            <w:i/>
            <w:sz w:val="22"/>
            <w:szCs w:val="22"/>
          </w:rPr>
          <w:t>Comisiei</w:t>
        </w:r>
      </w:hyperlink>
      <w:r>
        <w:rPr>
          <w:i/>
          <w:sz w:val="22"/>
          <w:szCs w:val="22"/>
        </w:rPr>
        <w:t> din 1 iulie 2015 privind clasificarea performanței reacției la foc a produselor pentru construcții</w:t>
      </w:r>
    </w:p>
    <w:p w14:paraId="76FD4135" w14:textId="77777777" w:rsidR="001C08A5" w:rsidRDefault="00000000">
      <w:pPr>
        <w:spacing w:line="360" w:lineRule="auto"/>
        <w:ind w:left="720" w:firstLine="720"/>
        <w:jc w:val="both"/>
        <w:rPr>
          <w:i/>
          <w:sz w:val="22"/>
          <w:szCs w:val="22"/>
        </w:rPr>
      </w:pPr>
      <w:hyperlink r:id="rId580" w:history="1">
        <w:r>
          <w:rPr>
            <w:b/>
            <w:bCs/>
            <w:i/>
            <w:sz w:val="22"/>
            <w:szCs w:val="22"/>
          </w:rPr>
          <w:t>Regulamentul delegat (UE) nr. 1292/2014</w:t>
        </w:r>
      </w:hyperlink>
      <w:r>
        <w:rPr>
          <w:i/>
          <w:sz w:val="22"/>
          <w:szCs w:val="22"/>
        </w:rPr>
        <w:t> al </w:t>
      </w:r>
      <w:hyperlink r:id="rId581" w:history="1">
        <w:r>
          <w:rPr>
            <w:i/>
            <w:sz w:val="22"/>
            <w:szCs w:val="22"/>
          </w:rPr>
          <w:t>Comisiei</w:t>
        </w:r>
      </w:hyperlink>
      <w:r>
        <w:rPr>
          <w:i/>
          <w:sz w:val="22"/>
          <w:szCs w:val="22"/>
        </w:rPr>
        <w:t> din 17 iulie 2014 privind condițiile de clasificare, fără testare, a anumitor pardoseli din lemn neacoperite conform EN 14342 în ceea ce privește reacția lor la foc</w:t>
      </w:r>
    </w:p>
    <w:p w14:paraId="6CBB8E01" w14:textId="77777777" w:rsidR="001C08A5" w:rsidRDefault="00000000">
      <w:pPr>
        <w:spacing w:line="360" w:lineRule="auto"/>
        <w:ind w:left="720" w:firstLine="720"/>
        <w:jc w:val="both"/>
        <w:rPr>
          <w:i/>
          <w:sz w:val="22"/>
          <w:szCs w:val="22"/>
        </w:rPr>
      </w:pPr>
      <w:hyperlink r:id="rId582" w:history="1">
        <w:r>
          <w:rPr>
            <w:b/>
            <w:bCs/>
            <w:i/>
            <w:sz w:val="22"/>
            <w:szCs w:val="22"/>
          </w:rPr>
          <w:t>Regulamentul delegat (UE) nr. 1293/2014</w:t>
        </w:r>
      </w:hyperlink>
      <w:r>
        <w:rPr>
          <w:i/>
          <w:sz w:val="22"/>
          <w:szCs w:val="22"/>
        </w:rPr>
        <w:t> al </w:t>
      </w:r>
      <w:hyperlink r:id="rId583" w:history="1">
        <w:r>
          <w:rPr>
            <w:i/>
            <w:sz w:val="22"/>
            <w:szCs w:val="22"/>
          </w:rPr>
          <w:t>Comisiei</w:t>
        </w:r>
      </w:hyperlink>
      <w:r>
        <w:rPr>
          <w:i/>
          <w:sz w:val="22"/>
          <w:szCs w:val="22"/>
        </w:rPr>
        <w:t> din 17 iulie 2014 privind condițiile de clasificare, fără testare, a laturilor metalice și a mărgelelor pentru tencuiala internă acoperite de standardul armonizat EN 13658-1, a laturilor metalice și a mărgelelor pentru turnare externă acoperite de standardul armonizat EN 13658-2 și margele metalice și profiluri caracteristice acoperite de standardul armonizat EN 14353, în ceea ce privește reacția lor la foc</w:t>
      </w:r>
    </w:p>
    <w:p w14:paraId="7243B106" w14:textId="77777777" w:rsidR="001C08A5" w:rsidRDefault="00000000">
      <w:pPr>
        <w:spacing w:line="360" w:lineRule="auto"/>
        <w:ind w:left="720" w:firstLine="720"/>
        <w:jc w:val="both"/>
        <w:rPr>
          <w:i/>
          <w:sz w:val="22"/>
          <w:szCs w:val="22"/>
        </w:rPr>
      </w:pPr>
      <w:hyperlink r:id="rId584" w:history="1">
        <w:r>
          <w:rPr>
            <w:b/>
            <w:bCs/>
            <w:i/>
            <w:sz w:val="22"/>
            <w:szCs w:val="22"/>
          </w:rPr>
          <w:t>Regulamentul delegat (UE) nr. 1291/2014</w:t>
        </w:r>
      </w:hyperlink>
      <w:r>
        <w:rPr>
          <w:i/>
          <w:sz w:val="22"/>
          <w:szCs w:val="22"/>
        </w:rPr>
        <w:t> al </w:t>
      </w:r>
      <w:hyperlink r:id="rId585" w:history="1">
        <w:r>
          <w:rPr>
            <w:i/>
            <w:sz w:val="22"/>
            <w:szCs w:val="22"/>
          </w:rPr>
          <w:t>Comisiei</w:t>
        </w:r>
      </w:hyperlink>
      <w:r>
        <w:rPr>
          <w:i/>
          <w:sz w:val="22"/>
          <w:szCs w:val="22"/>
        </w:rPr>
        <w:t xml:space="preserve"> din 16 iulie 2014 privind condițiile de clasificare, fără testare, a panourilor pe bază de lemn conform EN 13986 și a panourilor și placărilor </w:t>
      </w:r>
      <w:r>
        <w:rPr>
          <w:i/>
          <w:sz w:val="22"/>
          <w:szCs w:val="22"/>
        </w:rPr>
        <w:lastRenderedPageBreak/>
        <w:t>din lemn masiv conform EN 14915 în ceea ce privește capacitatea lor de protecție împotriva incendiilor, atunci când sunt utilizate pentru acoperirea pereților și a tavanului</w:t>
      </w:r>
    </w:p>
    <w:p w14:paraId="29EB2C57" w14:textId="77777777" w:rsidR="001C08A5" w:rsidRDefault="00000000">
      <w:pPr>
        <w:spacing w:line="360" w:lineRule="auto"/>
        <w:ind w:left="720" w:firstLine="720"/>
        <w:jc w:val="both"/>
        <w:rPr>
          <w:i/>
          <w:sz w:val="22"/>
          <w:szCs w:val="22"/>
        </w:rPr>
      </w:pPr>
      <w:hyperlink r:id="rId586" w:history="1">
        <w:r>
          <w:rPr>
            <w:b/>
            <w:bCs/>
            <w:i/>
            <w:sz w:val="22"/>
            <w:szCs w:val="22"/>
          </w:rPr>
          <w:t>Regulamentul delegat (UE) nr. 574/2014</w:t>
        </w:r>
        <w:r>
          <w:rPr>
            <w:i/>
            <w:sz w:val="22"/>
            <w:szCs w:val="22"/>
          </w:rPr>
          <w:t xml:space="preserve"> al Comisiei de</w:t>
        </w:r>
      </w:hyperlink>
      <w:r>
        <w:rPr>
          <w:i/>
          <w:sz w:val="22"/>
          <w:szCs w:val="22"/>
        </w:rPr>
        <w:t> modificare a anexei III la RCP și a </w:t>
      </w:r>
      <w:hyperlink r:id="rId587" w:history="1">
        <w:r>
          <w:rPr>
            <w:i/>
            <w:sz w:val="22"/>
            <w:szCs w:val="22"/>
          </w:rPr>
          <w:t>întrebărilor frecvente privind anexa III</w:t>
        </w:r>
      </w:hyperlink>
      <w:r>
        <w:rPr>
          <w:i/>
          <w:sz w:val="22"/>
          <w:szCs w:val="22"/>
        </w:rPr>
        <w:t> (declarația de performanță) (207 KB)</w:t>
      </w:r>
    </w:p>
    <w:p w14:paraId="3E10D481" w14:textId="77777777" w:rsidR="001C08A5" w:rsidRDefault="00000000">
      <w:pPr>
        <w:spacing w:line="360" w:lineRule="auto"/>
        <w:ind w:left="720" w:firstLine="720"/>
        <w:jc w:val="both"/>
        <w:rPr>
          <w:i/>
          <w:sz w:val="22"/>
          <w:szCs w:val="22"/>
        </w:rPr>
      </w:pPr>
      <w:hyperlink r:id="rId588" w:history="1">
        <w:r>
          <w:rPr>
            <w:b/>
            <w:bCs/>
            <w:i/>
            <w:sz w:val="22"/>
            <w:szCs w:val="22"/>
          </w:rPr>
          <w:t>Regulamentul delegat (UE) nr. 568/2014</w:t>
        </w:r>
        <w:r>
          <w:rPr>
            <w:i/>
            <w:sz w:val="22"/>
            <w:szCs w:val="22"/>
          </w:rPr>
          <w:t xml:space="preserve"> al Comisiei de</w:t>
        </w:r>
      </w:hyperlink>
      <w:r>
        <w:rPr>
          <w:i/>
          <w:sz w:val="22"/>
          <w:szCs w:val="22"/>
        </w:rPr>
        <w:t> modificare a anexei V la RCP și a </w:t>
      </w:r>
      <w:hyperlink r:id="rId589" w:history="1">
        <w:r>
          <w:rPr>
            <w:i/>
            <w:sz w:val="22"/>
            <w:szCs w:val="22"/>
          </w:rPr>
          <w:t>întrebărilor frecvente privind anexa V</w:t>
        </w:r>
      </w:hyperlink>
      <w:r>
        <w:rPr>
          <w:i/>
          <w:sz w:val="22"/>
          <w:szCs w:val="22"/>
        </w:rPr>
        <w:t> (evaluarea și verificarea constanței performanței) (258 KB)</w:t>
      </w:r>
    </w:p>
    <w:p w14:paraId="26B53CF8" w14:textId="77777777" w:rsidR="001C08A5" w:rsidRDefault="00000000">
      <w:pPr>
        <w:spacing w:line="360" w:lineRule="auto"/>
        <w:ind w:left="720" w:firstLine="720"/>
        <w:jc w:val="both"/>
        <w:rPr>
          <w:i/>
          <w:sz w:val="22"/>
          <w:szCs w:val="22"/>
        </w:rPr>
      </w:pPr>
      <w:hyperlink r:id="rId590" w:history="1">
        <w:r>
          <w:rPr>
            <w:b/>
            <w:bCs/>
            <w:i/>
            <w:sz w:val="22"/>
            <w:szCs w:val="22"/>
          </w:rPr>
          <w:t>Regulamentul de punere în aplicare (UE) nr. 1062/2013</w:t>
        </w:r>
        <w:r>
          <w:rPr>
            <w:i/>
            <w:sz w:val="22"/>
            <w:szCs w:val="22"/>
          </w:rPr>
          <w:t xml:space="preserve"> al Comisiei</w:t>
        </w:r>
      </w:hyperlink>
      <w:r>
        <w:rPr>
          <w:i/>
          <w:sz w:val="22"/>
          <w:szCs w:val="22"/>
        </w:rPr>
        <w:t> privind formatul european de evaluare tehnică</w:t>
      </w:r>
    </w:p>
    <w:p w14:paraId="11F0C359" w14:textId="77777777" w:rsidR="001C08A5" w:rsidRDefault="001C08A5">
      <w:pPr>
        <w:rPr>
          <w:b/>
          <w:bCs/>
          <w:i/>
          <w:sz w:val="24"/>
          <w:szCs w:val="24"/>
        </w:rPr>
      </w:pPr>
    </w:p>
    <w:p w14:paraId="5C82EB39" w14:textId="77777777" w:rsidR="001C08A5" w:rsidRDefault="00000000">
      <w:pPr>
        <w:numPr>
          <w:ilvl w:val="0"/>
          <w:numId w:val="111"/>
        </w:numPr>
        <w:rPr>
          <w:b/>
          <w:bCs/>
          <w:i/>
          <w:sz w:val="24"/>
          <w:szCs w:val="24"/>
        </w:rPr>
      </w:pPr>
      <w:r>
        <w:rPr>
          <w:b/>
          <w:bCs/>
          <w:i/>
          <w:sz w:val="24"/>
          <w:szCs w:val="24"/>
        </w:rPr>
        <w:t>Standarde - EUROCOD:</w:t>
      </w:r>
    </w:p>
    <w:p w14:paraId="2586C4E6" w14:textId="77777777" w:rsidR="001C08A5" w:rsidRDefault="001C08A5">
      <w:pPr>
        <w:rPr>
          <w:b/>
          <w:bCs/>
          <w:i/>
          <w:sz w:val="24"/>
          <w:szCs w:val="24"/>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6"/>
        <w:gridCol w:w="3064"/>
        <w:gridCol w:w="5138"/>
      </w:tblGrid>
      <w:tr w:rsidR="001C08A5" w14:paraId="4AD66CA3" w14:textId="77777777">
        <w:tc>
          <w:tcPr>
            <w:tcW w:w="1296" w:type="dxa"/>
            <w:vAlign w:val="center"/>
          </w:tcPr>
          <w:p w14:paraId="3E3C6134" w14:textId="77777777" w:rsidR="001C08A5" w:rsidRDefault="00000000">
            <w:pPr>
              <w:ind w:left="57"/>
              <w:rPr>
                <w:i/>
                <w:sz w:val="22"/>
                <w:szCs w:val="22"/>
              </w:rPr>
            </w:pPr>
            <w:r>
              <w:rPr>
                <w:i/>
                <w:sz w:val="22"/>
                <w:szCs w:val="22"/>
              </w:rPr>
              <w:t>Nr. crt.</w:t>
            </w:r>
          </w:p>
        </w:tc>
        <w:tc>
          <w:tcPr>
            <w:tcW w:w="3064" w:type="dxa"/>
            <w:vAlign w:val="center"/>
          </w:tcPr>
          <w:p w14:paraId="2D69E3D4" w14:textId="77777777" w:rsidR="001C08A5" w:rsidRDefault="00000000">
            <w:pPr>
              <w:autoSpaceDE w:val="0"/>
              <w:autoSpaceDN w:val="0"/>
              <w:adjustRightInd w:val="0"/>
              <w:jc w:val="center"/>
              <w:rPr>
                <w:b/>
                <w:bCs/>
                <w:i/>
                <w:sz w:val="22"/>
                <w:szCs w:val="22"/>
              </w:rPr>
            </w:pPr>
            <w:r>
              <w:rPr>
                <w:b/>
                <w:bCs/>
                <w:i/>
                <w:sz w:val="22"/>
                <w:szCs w:val="22"/>
              </w:rPr>
              <w:t>Indice</w:t>
            </w:r>
          </w:p>
        </w:tc>
        <w:tc>
          <w:tcPr>
            <w:tcW w:w="5138" w:type="dxa"/>
            <w:vAlign w:val="center"/>
          </w:tcPr>
          <w:p w14:paraId="525610FC" w14:textId="77777777" w:rsidR="001C08A5" w:rsidRDefault="00000000">
            <w:pPr>
              <w:jc w:val="center"/>
              <w:rPr>
                <w:i/>
                <w:sz w:val="22"/>
                <w:szCs w:val="22"/>
                <w:lang w:val="en-GB"/>
              </w:rPr>
            </w:pPr>
            <w:r>
              <w:rPr>
                <w:i/>
                <w:sz w:val="22"/>
                <w:szCs w:val="22"/>
                <w:lang w:val="en-GB"/>
              </w:rPr>
              <w:t>EUROCOD</w:t>
            </w:r>
          </w:p>
        </w:tc>
      </w:tr>
      <w:tr w:rsidR="001C08A5" w14:paraId="62FE07D5" w14:textId="77777777">
        <w:tc>
          <w:tcPr>
            <w:tcW w:w="1296" w:type="dxa"/>
          </w:tcPr>
          <w:p w14:paraId="1F1281EF" w14:textId="77777777" w:rsidR="001C08A5" w:rsidRDefault="001C08A5">
            <w:pPr>
              <w:numPr>
                <w:ilvl w:val="0"/>
                <w:numId w:val="112"/>
              </w:numPr>
              <w:suppressAutoHyphens w:val="0"/>
              <w:rPr>
                <w:i/>
                <w:sz w:val="22"/>
                <w:szCs w:val="22"/>
              </w:rPr>
            </w:pPr>
          </w:p>
        </w:tc>
        <w:tc>
          <w:tcPr>
            <w:tcW w:w="3064" w:type="dxa"/>
          </w:tcPr>
          <w:p w14:paraId="240F63B3" w14:textId="77777777" w:rsidR="001C08A5" w:rsidRDefault="00000000">
            <w:pPr>
              <w:autoSpaceDE w:val="0"/>
              <w:autoSpaceDN w:val="0"/>
              <w:adjustRightInd w:val="0"/>
              <w:rPr>
                <w:b/>
                <w:bCs/>
                <w:i/>
                <w:sz w:val="22"/>
                <w:szCs w:val="22"/>
              </w:rPr>
            </w:pPr>
            <w:r>
              <w:rPr>
                <w:b/>
                <w:bCs/>
                <w:i/>
                <w:sz w:val="22"/>
                <w:szCs w:val="22"/>
              </w:rPr>
              <w:t>SR EN 1991-1-2</w:t>
            </w:r>
          </w:p>
        </w:tc>
        <w:tc>
          <w:tcPr>
            <w:tcW w:w="5138" w:type="dxa"/>
          </w:tcPr>
          <w:p w14:paraId="7D709481" w14:textId="77777777" w:rsidR="001C08A5" w:rsidRDefault="00000000">
            <w:pPr>
              <w:rPr>
                <w:i/>
                <w:sz w:val="22"/>
                <w:szCs w:val="22"/>
              </w:rPr>
            </w:pPr>
            <w:r>
              <w:rPr>
                <w:i/>
                <w:sz w:val="22"/>
                <w:szCs w:val="22"/>
              </w:rPr>
              <w:t>Eurocod 1: Acţiuni asupra structurilor. Partea 1-2: Acţiuni generale. Acţiuni asupra structurilor expuse la foc</w:t>
            </w:r>
          </w:p>
        </w:tc>
      </w:tr>
      <w:tr w:rsidR="001C08A5" w14:paraId="7F476DE8" w14:textId="77777777">
        <w:tc>
          <w:tcPr>
            <w:tcW w:w="1296" w:type="dxa"/>
          </w:tcPr>
          <w:p w14:paraId="467F50AB" w14:textId="77777777" w:rsidR="001C08A5" w:rsidRDefault="001C08A5">
            <w:pPr>
              <w:numPr>
                <w:ilvl w:val="0"/>
                <w:numId w:val="112"/>
              </w:numPr>
              <w:suppressAutoHyphens w:val="0"/>
              <w:rPr>
                <w:i/>
                <w:sz w:val="22"/>
                <w:szCs w:val="22"/>
              </w:rPr>
            </w:pPr>
          </w:p>
        </w:tc>
        <w:tc>
          <w:tcPr>
            <w:tcW w:w="3064" w:type="dxa"/>
          </w:tcPr>
          <w:p w14:paraId="1D46853E" w14:textId="77777777" w:rsidR="001C08A5" w:rsidRDefault="00000000">
            <w:pPr>
              <w:autoSpaceDE w:val="0"/>
              <w:autoSpaceDN w:val="0"/>
              <w:adjustRightInd w:val="0"/>
              <w:rPr>
                <w:b/>
                <w:bCs/>
                <w:i/>
                <w:sz w:val="22"/>
                <w:szCs w:val="22"/>
              </w:rPr>
            </w:pPr>
            <w:r>
              <w:rPr>
                <w:b/>
                <w:bCs/>
                <w:i/>
                <w:sz w:val="22"/>
                <w:szCs w:val="22"/>
              </w:rPr>
              <w:t>SR EN 1991-1-2/NA</w:t>
            </w:r>
          </w:p>
        </w:tc>
        <w:tc>
          <w:tcPr>
            <w:tcW w:w="5138" w:type="dxa"/>
          </w:tcPr>
          <w:p w14:paraId="35725C30" w14:textId="77777777" w:rsidR="001C08A5" w:rsidRDefault="00000000">
            <w:pPr>
              <w:rPr>
                <w:i/>
                <w:sz w:val="22"/>
                <w:szCs w:val="22"/>
              </w:rPr>
            </w:pPr>
            <w:r>
              <w:rPr>
                <w:i/>
                <w:sz w:val="22"/>
                <w:szCs w:val="22"/>
              </w:rPr>
              <w:t>Eurocod 1: Acţiuni asupra structurilor. Partea 1-2: Acţiuni generale. Acţiuni asupra structurilor expuse la foc. Anexă naţională</w:t>
            </w:r>
          </w:p>
        </w:tc>
      </w:tr>
      <w:tr w:rsidR="001C08A5" w14:paraId="30CA614D" w14:textId="77777777">
        <w:tc>
          <w:tcPr>
            <w:tcW w:w="1296" w:type="dxa"/>
          </w:tcPr>
          <w:p w14:paraId="725060A1" w14:textId="77777777" w:rsidR="001C08A5" w:rsidRDefault="001C08A5">
            <w:pPr>
              <w:numPr>
                <w:ilvl w:val="0"/>
                <w:numId w:val="112"/>
              </w:numPr>
              <w:suppressAutoHyphens w:val="0"/>
              <w:rPr>
                <w:i/>
                <w:sz w:val="22"/>
                <w:szCs w:val="22"/>
              </w:rPr>
            </w:pPr>
          </w:p>
        </w:tc>
        <w:tc>
          <w:tcPr>
            <w:tcW w:w="3064" w:type="dxa"/>
            <w:vAlign w:val="center"/>
          </w:tcPr>
          <w:p w14:paraId="1097EA5D" w14:textId="77777777" w:rsidR="001C08A5" w:rsidRDefault="00000000">
            <w:pPr>
              <w:rPr>
                <w:b/>
                <w:bCs/>
                <w:i/>
                <w:sz w:val="22"/>
                <w:szCs w:val="22"/>
              </w:rPr>
            </w:pPr>
            <w:r>
              <w:rPr>
                <w:b/>
                <w:bCs/>
                <w:i/>
                <w:sz w:val="22"/>
                <w:szCs w:val="22"/>
              </w:rPr>
              <w:t>SR EN 1992-1-2</w:t>
            </w:r>
          </w:p>
        </w:tc>
        <w:tc>
          <w:tcPr>
            <w:tcW w:w="5138" w:type="dxa"/>
          </w:tcPr>
          <w:p w14:paraId="2F06BE97" w14:textId="77777777" w:rsidR="001C08A5" w:rsidRDefault="00000000">
            <w:pPr>
              <w:rPr>
                <w:i/>
                <w:sz w:val="22"/>
                <w:szCs w:val="22"/>
              </w:rPr>
            </w:pPr>
            <w:r>
              <w:rPr>
                <w:i/>
                <w:sz w:val="22"/>
                <w:szCs w:val="22"/>
              </w:rPr>
              <w:t>Eurocod 2: Proiectarea structurilor de beton. Partea 1-2: Reguli generale. Calculul comportării la foc</w:t>
            </w:r>
          </w:p>
        </w:tc>
      </w:tr>
      <w:tr w:rsidR="001C08A5" w14:paraId="356E7E69" w14:textId="77777777">
        <w:tc>
          <w:tcPr>
            <w:tcW w:w="1296" w:type="dxa"/>
          </w:tcPr>
          <w:p w14:paraId="5F039486" w14:textId="77777777" w:rsidR="001C08A5" w:rsidRDefault="001C08A5">
            <w:pPr>
              <w:numPr>
                <w:ilvl w:val="0"/>
                <w:numId w:val="112"/>
              </w:numPr>
              <w:suppressAutoHyphens w:val="0"/>
              <w:rPr>
                <w:i/>
                <w:sz w:val="22"/>
                <w:szCs w:val="22"/>
              </w:rPr>
            </w:pPr>
          </w:p>
        </w:tc>
        <w:tc>
          <w:tcPr>
            <w:tcW w:w="3064" w:type="dxa"/>
            <w:vAlign w:val="center"/>
          </w:tcPr>
          <w:p w14:paraId="2765B272" w14:textId="77777777" w:rsidR="001C08A5" w:rsidRDefault="00000000">
            <w:pPr>
              <w:rPr>
                <w:b/>
                <w:bCs/>
                <w:i/>
                <w:sz w:val="22"/>
                <w:szCs w:val="22"/>
              </w:rPr>
            </w:pPr>
            <w:r>
              <w:rPr>
                <w:b/>
                <w:bCs/>
                <w:i/>
                <w:sz w:val="22"/>
                <w:szCs w:val="22"/>
              </w:rPr>
              <w:t>SR EN 1992-1-2/NA</w:t>
            </w:r>
          </w:p>
        </w:tc>
        <w:tc>
          <w:tcPr>
            <w:tcW w:w="5138" w:type="dxa"/>
            <w:vAlign w:val="center"/>
          </w:tcPr>
          <w:p w14:paraId="037B8A1F" w14:textId="77777777" w:rsidR="001C08A5" w:rsidRDefault="00000000">
            <w:pPr>
              <w:rPr>
                <w:i/>
                <w:sz w:val="22"/>
                <w:szCs w:val="22"/>
              </w:rPr>
            </w:pPr>
            <w:r>
              <w:rPr>
                <w:i/>
                <w:sz w:val="22"/>
                <w:szCs w:val="22"/>
              </w:rPr>
              <w:t>Eurocod 2: Proiectarea structurilor de beton. Partea 1-2: Reguli generale. Calculul comportării la foc. Anexă naţională</w:t>
            </w:r>
          </w:p>
        </w:tc>
      </w:tr>
      <w:tr w:rsidR="001C08A5" w14:paraId="185C042D" w14:textId="77777777">
        <w:trPr>
          <w:trHeight w:val="689"/>
        </w:trPr>
        <w:tc>
          <w:tcPr>
            <w:tcW w:w="1296" w:type="dxa"/>
          </w:tcPr>
          <w:p w14:paraId="6AF44FFE" w14:textId="77777777" w:rsidR="001C08A5" w:rsidRDefault="001C08A5">
            <w:pPr>
              <w:numPr>
                <w:ilvl w:val="0"/>
                <w:numId w:val="112"/>
              </w:numPr>
              <w:suppressAutoHyphens w:val="0"/>
              <w:rPr>
                <w:i/>
                <w:sz w:val="22"/>
                <w:szCs w:val="22"/>
              </w:rPr>
            </w:pPr>
          </w:p>
        </w:tc>
        <w:tc>
          <w:tcPr>
            <w:tcW w:w="3064" w:type="dxa"/>
          </w:tcPr>
          <w:p w14:paraId="39ADB8E9" w14:textId="77777777" w:rsidR="001C08A5" w:rsidRDefault="00000000">
            <w:pPr>
              <w:autoSpaceDE w:val="0"/>
              <w:autoSpaceDN w:val="0"/>
              <w:adjustRightInd w:val="0"/>
              <w:rPr>
                <w:b/>
                <w:bCs/>
                <w:i/>
                <w:sz w:val="22"/>
                <w:szCs w:val="22"/>
              </w:rPr>
            </w:pPr>
            <w:r>
              <w:rPr>
                <w:b/>
                <w:bCs/>
                <w:i/>
                <w:sz w:val="22"/>
                <w:szCs w:val="22"/>
              </w:rPr>
              <w:t>SR EN 1993-1-2</w:t>
            </w:r>
          </w:p>
          <w:p w14:paraId="589BA360" w14:textId="77777777" w:rsidR="001C08A5" w:rsidRDefault="001C08A5">
            <w:pPr>
              <w:autoSpaceDE w:val="0"/>
              <w:autoSpaceDN w:val="0"/>
              <w:adjustRightInd w:val="0"/>
              <w:rPr>
                <w:b/>
                <w:bCs/>
                <w:i/>
                <w:sz w:val="22"/>
                <w:szCs w:val="22"/>
              </w:rPr>
            </w:pPr>
          </w:p>
        </w:tc>
        <w:tc>
          <w:tcPr>
            <w:tcW w:w="5138" w:type="dxa"/>
          </w:tcPr>
          <w:p w14:paraId="65D786D2" w14:textId="77777777" w:rsidR="001C08A5" w:rsidRDefault="00000000">
            <w:pPr>
              <w:rPr>
                <w:i/>
                <w:sz w:val="22"/>
                <w:szCs w:val="22"/>
              </w:rPr>
            </w:pPr>
            <w:r>
              <w:rPr>
                <w:i/>
                <w:sz w:val="22"/>
                <w:szCs w:val="22"/>
              </w:rPr>
              <w:t>Eurocod 3: Proiectarea structurilor de oţel. Partea 1-2: Reguli generale. Calculul structurilor la foc</w:t>
            </w:r>
          </w:p>
        </w:tc>
      </w:tr>
      <w:tr w:rsidR="001C08A5" w14:paraId="37A06C81" w14:textId="77777777">
        <w:trPr>
          <w:trHeight w:val="689"/>
        </w:trPr>
        <w:tc>
          <w:tcPr>
            <w:tcW w:w="1296" w:type="dxa"/>
          </w:tcPr>
          <w:p w14:paraId="1D18FCAE" w14:textId="77777777" w:rsidR="001C08A5" w:rsidRDefault="001C08A5">
            <w:pPr>
              <w:numPr>
                <w:ilvl w:val="0"/>
                <w:numId w:val="112"/>
              </w:numPr>
              <w:suppressAutoHyphens w:val="0"/>
              <w:rPr>
                <w:i/>
                <w:sz w:val="22"/>
                <w:szCs w:val="22"/>
              </w:rPr>
            </w:pPr>
          </w:p>
        </w:tc>
        <w:tc>
          <w:tcPr>
            <w:tcW w:w="3064" w:type="dxa"/>
          </w:tcPr>
          <w:p w14:paraId="62A259E1" w14:textId="77777777" w:rsidR="001C08A5" w:rsidRDefault="00000000">
            <w:pPr>
              <w:autoSpaceDE w:val="0"/>
              <w:autoSpaceDN w:val="0"/>
              <w:adjustRightInd w:val="0"/>
              <w:rPr>
                <w:b/>
                <w:bCs/>
                <w:i/>
                <w:sz w:val="22"/>
                <w:szCs w:val="22"/>
              </w:rPr>
            </w:pPr>
            <w:r>
              <w:rPr>
                <w:b/>
                <w:bCs/>
                <w:i/>
                <w:sz w:val="22"/>
                <w:szCs w:val="22"/>
              </w:rPr>
              <w:t>SR EN 1993-1- 2/NB</w:t>
            </w:r>
          </w:p>
          <w:p w14:paraId="095EEF33" w14:textId="77777777" w:rsidR="001C08A5" w:rsidRDefault="001C08A5">
            <w:pPr>
              <w:autoSpaceDE w:val="0"/>
              <w:autoSpaceDN w:val="0"/>
              <w:adjustRightInd w:val="0"/>
              <w:rPr>
                <w:b/>
                <w:bCs/>
                <w:i/>
                <w:sz w:val="22"/>
                <w:szCs w:val="22"/>
              </w:rPr>
            </w:pPr>
          </w:p>
        </w:tc>
        <w:tc>
          <w:tcPr>
            <w:tcW w:w="5138" w:type="dxa"/>
          </w:tcPr>
          <w:p w14:paraId="1A0B1E91" w14:textId="77777777" w:rsidR="001C08A5" w:rsidRDefault="00000000">
            <w:pPr>
              <w:rPr>
                <w:i/>
                <w:sz w:val="22"/>
                <w:szCs w:val="22"/>
              </w:rPr>
            </w:pPr>
            <w:r>
              <w:rPr>
                <w:i/>
                <w:sz w:val="22"/>
                <w:szCs w:val="22"/>
              </w:rPr>
              <w:t>Eurocod 3: Proiectarea structurilor de oţel. Partea 1-2: Reguli generale - Calculul structurilor la foc. Anexă naţională</w:t>
            </w:r>
          </w:p>
        </w:tc>
      </w:tr>
      <w:tr w:rsidR="001C08A5" w14:paraId="36A61E89" w14:textId="77777777">
        <w:tc>
          <w:tcPr>
            <w:tcW w:w="1296" w:type="dxa"/>
          </w:tcPr>
          <w:p w14:paraId="206F63D0" w14:textId="77777777" w:rsidR="001C08A5" w:rsidRDefault="001C08A5">
            <w:pPr>
              <w:numPr>
                <w:ilvl w:val="0"/>
                <w:numId w:val="112"/>
              </w:numPr>
              <w:suppressAutoHyphens w:val="0"/>
              <w:rPr>
                <w:i/>
                <w:sz w:val="22"/>
                <w:szCs w:val="22"/>
              </w:rPr>
            </w:pPr>
          </w:p>
        </w:tc>
        <w:tc>
          <w:tcPr>
            <w:tcW w:w="3064" w:type="dxa"/>
            <w:vAlign w:val="center"/>
          </w:tcPr>
          <w:p w14:paraId="6C54D8F5" w14:textId="77777777" w:rsidR="001C08A5" w:rsidRDefault="00000000">
            <w:pPr>
              <w:rPr>
                <w:b/>
                <w:bCs/>
                <w:i/>
                <w:sz w:val="22"/>
                <w:szCs w:val="22"/>
              </w:rPr>
            </w:pPr>
            <w:r>
              <w:rPr>
                <w:b/>
                <w:bCs/>
                <w:i/>
                <w:sz w:val="22"/>
                <w:szCs w:val="22"/>
              </w:rPr>
              <w:t>SR EN 1994-1-2</w:t>
            </w:r>
          </w:p>
        </w:tc>
        <w:tc>
          <w:tcPr>
            <w:tcW w:w="5138" w:type="dxa"/>
            <w:vAlign w:val="center"/>
          </w:tcPr>
          <w:p w14:paraId="0E142A44" w14:textId="77777777" w:rsidR="001C08A5" w:rsidRDefault="00000000">
            <w:pPr>
              <w:rPr>
                <w:i/>
                <w:sz w:val="22"/>
                <w:szCs w:val="22"/>
              </w:rPr>
            </w:pPr>
            <w:r>
              <w:rPr>
                <w:i/>
                <w:sz w:val="22"/>
                <w:szCs w:val="22"/>
              </w:rPr>
              <w:t>Eurocod 4: Proiectarea structurilor compozite de oţel şi beton. Partea 1-2: Reguli generale. Calculul structurilor la foc</w:t>
            </w:r>
          </w:p>
        </w:tc>
      </w:tr>
      <w:tr w:rsidR="001C08A5" w14:paraId="20002C9E" w14:textId="77777777">
        <w:tc>
          <w:tcPr>
            <w:tcW w:w="1296" w:type="dxa"/>
          </w:tcPr>
          <w:p w14:paraId="1DEE5194" w14:textId="77777777" w:rsidR="001C08A5" w:rsidRDefault="001C08A5">
            <w:pPr>
              <w:numPr>
                <w:ilvl w:val="0"/>
                <w:numId w:val="112"/>
              </w:numPr>
              <w:suppressAutoHyphens w:val="0"/>
              <w:rPr>
                <w:i/>
                <w:sz w:val="22"/>
                <w:szCs w:val="22"/>
              </w:rPr>
            </w:pPr>
          </w:p>
        </w:tc>
        <w:tc>
          <w:tcPr>
            <w:tcW w:w="3064" w:type="dxa"/>
            <w:vAlign w:val="center"/>
          </w:tcPr>
          <w:p w14:paraId="5ABC4C24" w14:textId="77777777" w:rsidR="001C08A5" w:rsidRDefault="00000000">
            <w:pPr>
              <w:rPr>
                <w:b/>
                <w:bCs/>
                <w:i/>
                <w:sz w:val="22"/>
                <w:szCs w:val="22"/>
              </w:rPr>
            </w:pPr>
            <w:r>
              <w:rPr>
                <w:b/>
                <w:bCs/>
                <w:i/>
                <w:sz w:val="22"/>
                <w:szCs w:val="22"/>
              </w:rPr>
              <w:t>SR EN 1994-1-2/NB</w:t>
            </w:r>
          </w:p>
        </w:tc>
        <w:tc>
          <w:tcPr>
            <w:tcW w:w="5138" w:type="dxa"/>
            <w:vAlign w:val="center"/>
          </w:tcPr>
          <w:p w14:paraId="04C1F5D2" w14:textId="77777777" w:rsidR="001C08A5" w:rsidRDefault="00000000">
            <w:pPr>
              <w:rPr>
                <w:i/>
                <w:sz w:val="22"/>
                <w:szCs w:val="22"/>
              </w:rPr>
            </w:pPr>
            <w:r>
              <w:rPr>
                <w:i/>
                <w:sz w:val="22"/>
                <w:szCs w:val="22"/>
              </w:rPr>
              <w:t>Eurocod 4: Proiectarea structurilor compozite de oţel şi beton. Partea 1-2: Reguli generale. Calculul structurilor la foc. Anexă naţională</w:t>
            </w:r>
          </w:p>
        </w:tc>
      </w:tr>
      <w:tr w:rsidR="001C08A5" w14:paraId="1FBA0821" w14:textId="77777777">
        <w:tc>
          <w:tcPr>
            <w:tcW w:w="1296" w:type="dxa"/>
          </w:tcPr>
          <w:p w14:paraId="41BC6D22" w14:textId="77777777" w:rsidR="001C08A5" w:rsidRDefault="001C08A5">
            <w:pPr>
              <w:numPr>
                <w:ilvl w:val="0"/>
                <w:numId w:val="112"/>
              </w:numPr>
              <w:suppressAutoHyphens w:val="0"/>
              <w:rPr>
                <w:i/>
                <w:sz w:val="22"/>
                <w:szCs w:val="22"/>
              </w:rPr>
            </w:pPr>
          </w:p>
        </w:tc>
        <w:tc>
          <w:tcPr>
            <w:tcW w:w="3064" w:type="dxa"/>
            <w:vAlign w:val="center"/>
          </w:tcPr>
          <w:p w14:paraId="74B392FB" w14:textId="77777777" w:rsidR="001C08A5" w:rsidRDefault="00000000">
            <w:pPr>
              <w:rPr>
                <w:b/>
                <w:bCs/>
                <w:i/>
                <w:sz w:val="22"/>
                <w:szCs w:val="22"/>
              </w:rPr>
            </w:pPr>
            <w:r>
              <w:rPr>
                <w:b/>
                <w:bCs/>
                <w:i/>
                <w:sz w:val="22"/>
                <w:szCs w:val="22"/>
              </w:rPr>
              <w:t>SR EN 1995-1-2</w:t>
            </w:r>
          </w:p>
        </w:tc>
        <w:tc>
          <w:tcPr>
            <w:tcW w:w="5138" w:type="dxa"/>
          </w:tcPr>
          <w:p w14:paraId="281A9B06" w14:textId="77777777" w:rsidR="001C08A5" w:rsidRDefault="00000000">
            <w:pPr>
              <w:rPr>
                <w:i/>
                <w:sz w:val="22"/>
                <w:szCs w:val="22"/>
              </w:rPr>
            </w:pPr>
            <w:r>
              <w:rPr>
                <w:i/>
                <w:sz w:val="22"/>
                <w:szCs w:val="22"/>
              </w:rPr>
              <w:t>Eurocod 5: Proiectarea structurilor de lemn. Partea 1-2: Generalităţi. Calculul structurilor la foc</w:t>
            </w:r>
          </w:p>
        </w:tc>
      </w:tr>
      <w:tr w:rsidR="001C08A5" w14:paraId="5C982ED5" w14:textId="77777777">
        <w:tc>
          <w:tcPr>
            <w:tcW w:w="1296" w:type="dxa"/>
          </w:tcPr>
          <w:p w14:paraId="3ED69063" w14:textId="77777777" w:rsidR="001C08A5" w:rsidRDefault="001C08A5">
            <w:pPr>
              <w:numPr>
                <w:ilvl w:val="0"/>
                <w:numId w:val="112"/>
              </w:numPr>
              <w:suppressAutoHyphens w:val="0"/>
              <w:rPr>
                <w:i/>
                <w:sz w:val="22"/>
                <w:szCs w:val="22"/>
              </w:rPr>
            </w:pPr>
          </w:p>
        </w:tc>
        <w:tc>
          <w:tcPr>
            <w:tcW w:w="3064" w:type="dxa"/>
            <w:vAlign w:val="center"/>
          </w:tcPr>
          <w:p w14:paraId="486DFADC" w14:textId="77777777" w:rsidR="001C08A5" w:rsidRDefault="00000000">
            <w:pPr>
              <w:rPr>
                <w:b/>
                <w:bCs/>
                <w:i/>
                <w:sz w:val="22"/>
                <w:szCs w:val="22"/>
              </w:rPr>
            </w:pPr>
            <w:r>
              <w:rPr>
                <w:b/>
                <w:bCs/>
                <w:i/>
                <w:sz w:val="22"/>
                <w:szCs w:val="22"/>
              </w:rPr>
              <w:t>SR EN 1995-1-2/NB</w:t>
            </w:r>
          </w:p>
        </w:tc>
        <w:tc>
          <w:tcPr>
            <w:tcW w:w="5138" w:type="dxa"/>
          </w:tcPr>
          <w:p w14:paraId="3E3D9C0B" w14:textId="77777777" w:rsidR="001C08A5" w:rsidRDefault="00000000">
            <w:pPr>
              <w:rPr>
                <w:i/>
                <w:sz w:val="22"/>
                <w:szCs w:val="22"/>
              </w:rPr>
            </w:pPr>
            <w:r>
              <w:rPr>
                <w:i/>
                <w:sz w:val="22"/>
                <w:szCs w:val="22"/>
              </w:rPr>
              <w:t>Eurocod 5: Proiectarea structurilor de lemn. Partea 1-2: Generalităţi. Calculul structurilor la foc. Anexă naţională</w:t>
            </w:r>
          </w:p>
        </w:tc>
      </w:tr>
      <w:tr w:rsidR="001C08A5" w14:paraId="7114D92A" w14:textId="77777777">
        <w:tc>
          <w:tcPr>
            <w:tcW w:w="1296" w:type="dxa"/>
          </w:tcPr>
          <w:p w14:paraId="55497D3D" w14:textId="77777777" w:rsidR="001C08A5" w:rsidRDefault="001C08A5">
            <w:pPr>
              <w:numPr>
                <w:ilvl w:val="0"/>
                <w:numId w:val="112"/>
              </w:numPr>
              <w:suppressAutoHyphens w:val="0"/>
              <w:rPr>
                <w:i/>
                <w:sz w:val="22"/>
                <w:szCs w:val="22"/>
              </w:rPr>
            </w:pPr>
          </w:p>
        </w:tc>
        <w:tc>
          <w:tcPr>
            <w:tcW w:w="3064" w:type="dxa"/>
            <w:vAlign w:val="center"/>
          </w:tcPr>
          <w:p w14:paraId="7F568185" w14:textId="77777777" w:rsidR="001C08A5" w:rsidRDefault="00000000">
            <w:pPr>
              <w:rPr>
                <w:b/>
                <w:bCs/>
                <w:i/>
                <w:sz w:val="22"/>
                <w:szCs w:val="22"/>
              </w:rPr>
            </w:pPr>
            <w:r>
              <w:rPr>
                <w:b/>
                <w:bCs/>
                <w:i/>
                <w:sz w:val="22"/>
                <w:szCs w:val="22"/>
              </w:rPr>
              <w:t>SR EN 1996-1-2</w:t>
            </w:r>
          </w:p>
        </w:tc>
        <w:tc>
          <w:tcPr>
            <w:tcW w:w="5138" w:type="dxa"/>
          </w:tcPr>
          <w:p w14:paraId="34B3CEE4" w14:textId="77777777" w:rsidR="001C08A5" w:rsidRDefault="00000000">
            <w:pPr>
              <w:rPr>
                <w:i/>
                <w:sz w:val="22"/>
                <w:szCs w:val="22"/>
              </w:rPr>
            </w:pPr>
            <w:r>
              <w:rPr>
                <w:i/>
                <w:sz w:val="22"/>
                <w:szCs w:val="22"/>
              </w:rPr>
              <w:t>Eurocod 6: Proiectarea structurilor de zidărie. Partea 1-2: Reguli generale. Calculul structurilor la foc</w:t>
            </w:r>
          </w:p>
        </w:tc>
      </w:tr>
      <w:tr w:rsidR="001C08A5" w14:paraId="6131A1B4" w14:textId="77777777">
        <w:tc>
          <w:tcPr>
            <w:tcW w:w="1296" w:type="dxa"/>
          </w:tcPr>
          <w:p w14:paraId="47DC2661" w14:textId="77777777" w:rsidR="001C08A5" w:rsidRDefault="001C08A5">
            <w:pPr>
              <w:numPr>
                <w:ilvl w:val="0"/>
                <w:numId w:val="112"/>
              </w:numPr>
              <w:suppressAutoHyphens w:val="0"/>
              <w:rPr>
                <w:i/>
                <w:sz w:val="22"/>
                <w:szCs w:val="22"/>
              </w:rPr>
            </w:pPr>
          </w:p>
        </w:tc>
        <w:tc>
          <w:tcPr>
            <w:tcW w:w="3064" w:type="dxa"/>
            <w:vAlign w:val="center"/>
          </w:tcPr>
          <w:p w14:paraId="63B93678" w14:textId="77777777" w:rsidR="001C08A5" w:rsidRDefault="00000000">
            <w:pPr>
              <w:rPr>
                <w:b/>
                <w:bCs/>
                <w:i/>
                <w:sz w:val="22"/>
                <w:szCs w:val="22"/>
              </w:rPr>
            </w:pPr>
            <w:r>
              <w:rPr>
                <w:b/>
                <w:bCs/>
                <w:i/>
                <w:sz w:val="22"/>
                <w:szCs w:val="22"/>
              </w:rPr>
              <w:t>SR EN 1996-1-2/NA</w:t>
            </w:r>
          </w:p>
        </w:tc>
        <w:tc>
          <w:tcPr>
            <w:tcW w:w="5138" w:type="dxa"/>
          </w:tcPr>
          <w:p w14:paraId="536B94A0" w14:textId="77777777" w:rsidR="001C08A5" w:rsidRDefault="00000000">
            <w:pPr>
              <w:rPr>
                <w:i/>
                <w:sz w:val="22"/>
                <w:szCs w:val="22"/>
              </w:rPr>
            </w:pPr>
            <w:r>
              <w:rPr>
                <w:i/>
                <w:sz w:val="22"/>
                <w:szCs w:val="22"/>
              </w:rPr>
              <w:t>Eurocod 6: Proiectarea structurilor de zidărie. Partea 1-2: Reguli generale. Calculul structurilor la foc. Anexă naţională</w:t>
            </w:r>
          </w:p>
        </w:tc>
      </w:tr>
      <w:tr w:rsidR="001C08A5" w14:paraId="6E031E78" w14:textId="77777777">
        <w:tc>
          <w:tcPr>
            <w:tcW w:w="1296" w:type="dxa"/>
          </w:tcPr>
          <w:p w14:paraId="48155F97" w14:textId="77777777" w:rsidR="001C08A5" w:rsidRDefault="001C08A5">
            <w:pPr>
              <w:numPr>
                <w:ilvl w:val="0"/>
                <w:numId w:val="112"/>
              </w:numPr>
              <w:suppressAutoHyphens w:val="0"/>
              <w:rPr>
                <w:i/>
                <w:sz w:val="22"/>
                <w:szCs w:val="22"/>
              </w:rPr>
            </w:pPr>
          </w:p>
        </w:tc>
        <w:tc>
          <w:tcPr>
            <w:tcW w:w="3064" w:type="dxa"/>
          </w:tcPr>
          <w:p w14:paraId="7700FE97" w14:textId="77777777" w:rsidR="001C08A5" w:rsidRDefault="00000000">
            <w:pPr>
              <w:autoSpaceDE w:val="0"/>
              <w:autoSpaceDN w:val="0"/>
              <w:adjustRightInd w:val="0"/>
              <w:rPr>
                <w:b/>
                <w:bCs/>
                <w:i/>
                <w:sz w:val="22"/>
                <w:szCs w:val="22"/>
              </w:rPr>
            </w:pPr>
            <w:r>
              <w:rPr>
                <w:b/>
                <w:bCs/>
                <w:i/>
                <w:sz w:val="22"/>
                <w:szCs w:val="22"/>
              </w:rPr>
              <w:t>SR EN 1999-1-2</w:t>
            </w:r>
          </w:p>
        </w:tc>
        <w:tc>
          <w:tcPr>
            <w:tcW w:w="5138" w:type="dxa"/>
          </w:tcPr>
          <w:p w14:paraId="7C33E5C8" w14:textId="77777777" w:rsidR="001C08A5" w:rsidRDefault="00000000">
            <w:pPr>
              <w:rPr>
                <w:i/>
                <w:sz w:val="22"/>
                <w:szCs w:val="22"/>
              </w:rPr>
            </w:pPr>
            <w:r>
              <w:rPr>
                <w:i/>
                <w:sz w:val="22"/>
                <w:szCs w:val="22"/>
              </w:rPr>
              <w:t>Eurocod 9: Proiectarea  structurilor de aluminiu. Partea 1-2: Calculul structurilor la foc</w:t>
            </w:r>
          </w:p>
        </w:tc>
      </w:tr>
      <w:tr w:rsidR="001C08A5" w14:paraId="0253D951" w14:textId="77777777">
        <w:tc>
          <w:tcPr>
            <w:tcW w:w="1296" w:type="dxa"/>
          </w:tcPr>
          <w:p w14:paraId="08B4C254" w14:textId="77777777" w:rsidR="001C08A5" w:rsidRDefault="001C08A5">
            <w:pPr>
              <w:numPr>
                <w:ilvl w:val="0"/>
                <w:numId w:val="112"/>
              </w:numPr>
              <w:suppressAutoHyphens w:val="0"/>
              <w:rPr>
                <w:i/>
                <w:sz w:val="22"/>
                <w:szCs w:val="22"/>
              </w:rPr>
            </w:pPr>
          </w:p>
        </w:tc>
        <w:tc>
          <w:tcPr>
            <w:tcW w:w="3064" w:type="dxa"/>
          </w:tcPr>
          <w:p w14:paraId="198FD72D" w14:textId="77777777" w:rsidR="001C08A5" w:rsidRDefault="00000000">
            <w:pPr>
              <w:autoSpaceDE w:val="0"/>
              <w:autoSpaceDN w:val="0"/>
              <w:adjustRightInd w:val="0"/>
              <w:rPr>
                <w:b/>
                <w:bCs/>
                <w:i/>
                <w:sz w:val="22"/>
                <w:szCs w:val="22"/>
              </w:rPr>
            </w:pPr>
            <w:r>
              <w:rPr>
                <w:b/>
                <w:bCs/>
                <w:i/>
                <w:sz w:val="22"/>
                <w:szCs w:val="22"/>
              </w:rPr>
              <w:t>SR EN 1999-1-2/NA</w:t>
            </w:r>
          </w:p>
        </w:tc>
        <w:tc>
          <w:tcPr>
            <w:tcW w:w="5138" w:type="dxa"/>
          </w:tcPr>
          <w:p w14:paraId="3E3E97D7" w14:textId="77777777" w:rsidR="001C08A5" w:rsidRDefault="00000000">
            <w:pPr>
              <w:rPr>
                <w:i/>
                <w:sz w:val="22"/>
                <w:szCs w:val="22"/>
              </w:rPr>
            </w:pPr>
            <w:r>
              <w:rPr>
                <w:i/>
                <w:sz w:val="22"/>
                <w:szCs w:val="22"/>
              </w:rPr>
              <w:t>Eurocod 9: Proiectarea  structurilor de aluminiu. Partea 1-2: Calculul structurilor la foc. Anexa naţională</w:t>
            </w:r>
          </w:p>
        </w:tc>
      </w:tr>
    </w:tbl>
    <w:p w14:paraId="65C4B378" w14:textId="77777777" w:rsidR="001C08A5" w:rsidRDefault="001C08A5">
      <w:pPr>
        <w:rPr>
          <w:i/>
          <w:vanish/>
          <w:sz w:val="24"/>
          <w:szCs w:val="24"/>
        </w:rPr>
      </w:pPr>
    </w:p>
    <w:p w14:paraId="4625E188" w14:textId="77777777" w:rsidR="001C08A5" w:rsidRDefault="001C08A5">
      <w:pPr>
        <w:rPr>
          <w:i/>
          <w:vanish/>
          <w:sz w:val="24"/>
          <w:szCs w:val="24"/>
        </w:rPr>
      </w:pPr>
    </w:p>
    <w:p w14:paraId="3649EE35" w14:textId="77777777" w:rsidR="001C08A5" w:rsidRDefault="001C08A5">
      <w:pPr>
        <w:rPr>
          <w:i/>
          <w:vanish/>
          <w:sz w:val="24"/>
          <w:szCs w:val="24"/>
        </w:rPr>
      </w:pPr>
    </w:p>
    <w:tbl>
      <w:tblPr>
        <w:tblpPr w:leftFromText="180" w:rightFromText="180" w:vertAnchor="text" w:horzAnchor="page" w:tblpX="1" w:tblpY="1"/>
        <w:tblOverlap w:val="never"/>
        <w:tblW w:w="95" w:type="dxa"/>
        <w:tblCellSpacing w:w="0" w:type="dxa"/>
        <w:tblLayout w:type="fixed"/>
        <w:tblCellMar>
          <w:left w:w="0" w:type="dxa"/>
          <w:right w:w="0" w:type="dxa"/>
        </w:tblCellMar>
        <w:tblLook w:val="04A0" w:firstRow="1" w:lastRow="0" w:firstColumn="1" w:lastColumn="0" w:noHBand="0" w:noVBand="1"/>
      </w:tblPr>
      <w:tblGrid>
        <w:gridCol w:w="42"/>
        <w:gridCol w:w="20"/>
        <w:gridCol w:w="33"/>
      </w:tblGrid>
      <w:tr w:rsidR="001C08A5" w14:paraId="4B548BFD" w14:textId="77777777">
        <w:trPr>
          <w:trHeight w:val="284"/>
          <w:tblCellSpacing w:w="0" w:type="dxa"/>
        </w:trPr>
        <w:tc>
          <w:tcPr>
            <w:tcW w:w="95" w:type="dxa"/>
            <w:gridSpan w:val="3"/>
            <w:tcBorders>
              <w:right w:val="single" w:sz="6" w:space="0" w:color="FFFFFF"/>
            </w:tcBorders>
            <w:shd w:val="clear" w:color="auto" w:fill="D7D7D7"/>
            <w:tcMar>
              <w:top w:w="30" w:type="dxa"/>
              <w:left w:w="30" w:type="dxa"/>
              <w:bottom w:w="30" w:type="dxa"/>
              <w:right w:w="30" w:type="dxa"/>
            </w:tcMar>
            <w:vAlign w:val="center"/>
          </w:tcPr>
          <w:p w14:paraId="4D442BE3" w14:textId="77777777" w:rsidR="001C08A5" w:rsidRDefault="001C08A5">
            <w:pPr>
              <w:rPr>
                <w:b/>
                <w:bCs/>
                <w:i/>
                <w:sz w:val="24"/>
                <w:szCs w:val="24"/>
              </w:rPr>
            </w:pPr>
          </w:p>
        </w:tc>
      </w:tr>
      <w:tr w:rsidR="001C08A5" w14:paraId="467005DE" w14:textId="77777777">
        <w:trPr>
          <w:gridAfter w:val="1"/>
          <w:wAfter w:w="33" w:type="dxa"/>
          <w:trHeight w:val="84"/>
          <w:tblCellSpacing w:w="0" w:type="dxa"/>
        </w:trPr>
        <w:tc>
          <w:tcPr>
            <w:tcW w:w="42" w:type="dxa"/>
            <w:vAlign w:val="center"/>
          </w:tcPr>
          <w:p w14:paraId="058B51AA" w14:textId="77777777" w:rsidR="001C08A5" w:rsidRDefault="001C08A5">
            <w:pPr>
              <w:rPr>
                <w:i/>
                <w:sz w:val="24"/>
                <w:szCs w:val="24"/>
              </w:rPr>
            </w:pPr>
          </w:p>
        </w:tc>
        <w:tc>
          <w:tcPr>
            <w:tcW w:w="20" w:type="dxa"/>
            <w:vAlign w:val="center"/>
          </w:tcPr>
          <w:p w14:paraId="4CC897AF" w14:textId="77777777" w:rsidR="001C08A5" w:rsidRDefault="001C08A5">
            <w:pPr>
              <w:rPr>
                <w:i/>
                <w:sz w:val="24"/>
                <w:szCs w:val="24"/>
              </w:rPr>
            </w:pPr>
          </w:p>
        </w:tc>
      </w:tr>
    </w:tbl>
    <w:p w14:paraId="529DE1B3" w14:textId="77777777" w:rsidR="001C08A5" w:rsidRDefault="001C08A5">
      <w:pPr>
        <w:rPr>
          <w:b/>
          <w:bCs/>
          <w:i/>
          <w:sz w:val="24"/>
          <w:szCs w:val="24"/>
        </w:rPr>
      </w:pPr>
    </w:p>
    <w:p w14:paraId="0DE877E2" w14:textId="77777777" w:rsidR="001C08A5" w:rsidRDefault="00000000">
      <w:pPr>
        <w:numPr>
          <w:ilvl w:val="0"/>
          <w:numId w:val="111"/>
        </w:numPr>
        <w:rPr>
          <w:i/>
          <w:sz w:val="24"/>
          <w:szCs w:val="24"/>
        </w:rPr>
      </w:pPr>
      <w:r>
        <w:rPr>
          <w:b/>
          <w:bCs/>
          <w:i/>
          <w:sz w:val="24"/>
          <w:szCs w:val="24"/>
        </w:rPr>
        <w:t>Standarde: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1778"/>
        <w:gridCol w:w="7164"/>
      </w:tblGrid>
      <w:tr w:rsidR="001C08A5" w14:paraId="4FE860F1" w14:textId="77777777">
        <w:tc>
          <w:tcPr>
            <w:tcW w:w="664" w:type="dxa"/>
            <w:vAlign w:val="center"/>
          </w:tcPr>
          <w:p w14:paraId="2A4BC323" w14:textId="77777777" w:rsidR="001C08A5" w:rsidRDefault="00000000">
            <w:pPr>
              <w:ind w:left="57"/>
              <w:rPr>
                <w:b/>
                <w:bCs/>
                <w:i/>
                <w:sz w:val="22"/>
                <w:szCs w:val="22"/>
              </w:rPr>
            </w:pPr>
            <w:r>
              <w:rPr>
                <w:b/>
                <w:bCs/>
                <w:i/>
                <w:sz w:val="22"/>
                <w:szCs w:val="22"/>
              </w:rPr>
              <w:lastRenderedPageBreak/>
              <w:t>Nr. crt.</w:t>
            </w:r>
          </w:p>
        </w:tc>
        <w:tc>
          <w:tcPr>
            <w:tcW w:w="1778" w:type="dxa"/>
            <w:vAlign w:val="center"/>
          </w:tcPr>
          <w:p w14:paraId="3789EBBC" w14:textId="77777777" w:rsidR="001C08A5" w:rsidRDefault="00000000">
            <w:pPr>
              <w:autoSpaceDE w:val="0"/>
              <w:autoSpaceDN w:val="0"/>
              <w:adjustRightInd w:val="0"/>
              <w:jc w:val="center"/>
              <w:rPr>
                <w:b/>
                <w:bCs/>
                <w:i/>
                <w:sz w:val="22"/>
                <w:szCs w:val="22"/>
              </w:rPr>
            </w:pPr>
            <w:r>
              <w:rPr>
                <w:b/>
                <w:bCs/>
                <w:i/>
                <w:sz w:val="22"/>
                <w:szCs w:val="22"/>
              </w:rPr>
              <w:t>Indice</w:t>
            </w:r>
          </w:p>
        </w:tc>
        <w:tc>
          <w:tcPr>
            <w:tcW w:w="7164" w:type="dxa"/>
            <w:vAlign w:val="center"/>
          </w:tcPr>
          <w:p w14:paraId="412552DB" w14:textId="77777777" w:rsidR="001C08A5" w:rsidRDefault="00000000">
            <w:pPr>
              <w:jc w:val="center"/>
              <w:rPr>
                <w:b/>
                <w:bCs/>
                <w:i/>
                <w:sz w:val="22"/>
                <w:szCs w:val="22"/>
                <w:lang w:val="en-GB"/>
              </w:rPr>
            </w:pPr>
            <w:r>
              <w:rPr>
                <w:b/>
                <w:bCs/>
                <w:i/>
                <w:sz w:val="22"/>
                <w:szCs w:val="22"/>
                <w:lang w:val="en-GB"/>
              </w:rPr>
              <w:t>Standarde</w:t>
            </w:r>
          </w:p>
        </w:tc>
      </w:tr>
      <w:tr w:rsidR="001C08A5" w14:paraId="4292853C" w14:textId="77777777">
        <w:tc>
          <w:tcPr>
            <w:tcW w:w="664" w:type="dxa"/>
          </w:tcPr>
          <w:p w14:paraId="20DBDF09" w14:textId="77777777" w:rsidR="001C08A5" w:rsidRDefault="001C08A5">
            <w:pPr>
              <w:numPr>
                <w:ilvl w:val="0"/>
                <w:numId w:val="113"/>
              </w:numPr>
              <w:rPr>
                <w:i/>
                <w:sz w:val="22"/>
                <w:szCs w:val="22"/>
              </w:rPr>
            </w:pPr>
          </w:p>
        </w:tc>
        <w:tc>
          <w:tcPr>
            <w:tcW w:w="1778" w:type="dxa"/>
          </w:tcPr>
          <w:p w14:paraId="2E081BCF" w14:textId="77777777" w:rsidR="001C08A5" w:rsidRDefault="00000000">
            <w:pPr>
              <w:jc w:val="both"/>
              <w:rPr>
                <w:b/>
                <w:bCs/>
                <w:i/>
                <w:sz w:val="22"/>
                <w:szCs w:val="22"/>
              </w:rPr>
            </w:pPr>
            <w:hyperlink r:id="rId591" w:history="1">
              <w:r>
                <w:rPr>
                  <w:b/>
                  <w:bCs/>
                  <w:i/>
                  <w:sz w:val="22"/>
                  <w:szCs w:val="22"/>
                </w:rPr>
                <w:t>SR EN ISO 13943</w:t>
              </w:r>
            </w:hyperlink>
          </w:p>
        </w:tc>
        <w:tc>
          <w:tcPr>
            <w:tcW w:w="7164" w:type="dxa"/>
          </w:tcPr>
          <w:p w14:paraId="081FAF3E" w14:textId="77777777" w:rsidR="001C08A5" w:rsidRDefault="00000000">
            <w:pPr>
              <w:jc w:val="both"/>
              <w:rPr>
                <w:i/>
                <w:sz w:val="22"/>
                <w:szCs w:val="22"/>
              </w:rPr>
            </w:pPr>
            <w:r>
              <w:rPr>
                <w:i/>
                <w:sz w:val="22"/>
                <w:szCs w:val="22"/>
              </w:rPr>
              <w:t>Securitate la incendiu. Vocabular</w:t>
            </w:r>
          </w:p>
        </w:tc>
      </w:tr>
      <w:tr w:rsidR="001C08A5" w14:paraId="48D129B1" w14:textId="77777777">
        <w:tc>
          <w:tcPr>
            <w:tcW w:w="664" w:type="dxa"/>
          </w:tcPr>
          <w:p w14:paraId="0A0E32FB" w14:textId="77777777" w:rsidR="001C08A5" w:rsidRDefault="001C08A5">
            <w:pPr>
              <w:numPr>
                <w:ilvl w:val="0"/>
                <w:numId w:val="113"/>
              </w:numPr>
              <w:rPr>
                <w:i/>
                <w:sz w:val="22"/>
                <w:szCs w:val="22"/>
              </w:rPr>
            </w:pPr>
          </w:p>
        </w:tc>
        <w:tc>
          <w:tcPr>
            <w:tcW w:w="1778" w:type="dxa"/>
          </w:tcPr>
          <w:p w14:paraId="5DC6750A" w14:textId="77777777" w:rsidR="001C08A5" w:rsidRDefault="00000000">
            <w:pPr>
              <w:jc w:val="both"/>
              <w:rPr>
                <w:b/>
                <w:bCs/>
                <w:i/>
                <w:sz w:val="22"/>
                <w:szCs w:val="22"/>
              </w:rPr>
            </w:pPr>
            <w:hyperlink r:id="rId592" w:history="1">
              <w:r>
                <w:rPr>
                  <w:b/>
                  <w:bCs/>
                  <w:i/>
                  <w:sz w:val="22"/>
                  <w:szCs w:val="22"/>
                </w:rPr>
                <w:t>SR ISO 8421-2</w:t>
              </w:r>
            </w:hyperlink>
          </w:p>
          <w:p w14:paraId="2184E0C5" w14:textId="77777777" w:rsidR="001C08A5" w:rsidRDefault="001C08A5">
            <w:pPr>
              <w:rPr>
                <w:b/>
                <w:bCs/>
                <w:i/>
                <w:sz w:val="22"/>
                <w:szCs w:val="22"/>
              </w:rPr>
            </w:pPr>
          </w:p>
        </w:tc>
        <w:tc>
          <w:tcPr>
            <w:tcW w:w="7164" w:type="dxa"/>
          </w:tcPr>
          <w:p w14:paraId="01AF9AC5" w14:textId="77777777" w:rsidR="001C08A5" w:rsidRDefault="00000000">
            <w:pPr>
              <w:jc w:val="both"/>
              <w:rPr>
                <w:i/>
                <w:sz w:val="22"/>
                <w:szCs w:val="22"/>
              </w:rPr>
            </w:pPr>
            <w:r>
              <w:rPr>
                <w:i/>
                <w:sz w:val="22"/>
                <w:szCs w:val="22"/>
              </w:rPr>
              <w:t>Protecţie împotriva incendiilor. Vocabular. Partea 2: Protecţia structurală împotriva incendiului</w:t>
            </w:r>
          </w:p>
        </w:tc>
      </w:tr>
      <w:tr w:rsidR="001C08A5" w14:paraId="716BB778" w14:textId="77777777">
        <w:tc>
          <w:tcPr>
            <w:tcW w:w="664" w:type="dxa"/>
          </w:tcPr>
          <w:p w14:paraId="1B395900" w14:textId="77777777" w:rsidR="001C08A5" w:rsidRDefault="001C08A5">
            <w:pPr>
              <w:numPr>
                <w:ilvl w:val="0"/>
                <w:numId w:val="113"/>
              </w:numPr>
              <w:rPr>
                <w:i/>
                <w:sz w:val="22"/>
                <w:szCs w:val="22"/>
              </w:rPr>
            </w:pPr>
          </w:p>
        </w:tc>
        <w:tc>
          <w:tcPr>
            <w:tcW w:w="1778" w:type="dxa"/>
          </w:tcPr>
          <w:p w14:paraId="02181C7C" w14:textId="77777777" w:rsidR="001C08A5" w:rsidRDefault="00000000">
            <w:pPr>
              <w:jc w:val="both"/>
              <w:rPr>
                <w:b/>
                <w:bCs/>
                <w:i/>
                <w:sz w:val="22"/>
                <w:szCs w:val="22"/>
              </w:rPr>
            </w:pPr>
            <w:hyperlink r:id="rId593" w:history="1">
              <w:r>
                <w:rPr>
                  <w:b/>
                  <w:bCs/>
                  <w:i/>
                  <w:sz w:val="22"/>
                  <w:szCs w:val="22"/>
                </w:rPr>
                <w:t>SR EN 2:1995</w:t>
              </w:r>
            </w:hyperlink>
          </w:p>
        </w:tc>
        <w:tc>
          <w:tcPr>
            <w:tcW w:w="7164" w:type="dxa"/>
          </w:tcPr>
          <w:p w14:paraId="72097F76" w14:textId="77777777" w:rsidR="001C08A5" w:rsidRDefault="00000000">
            <w:pPr>
              <w:rPr>
                <w:i/>
                <w:sz w:val="22"/>
                <w:szCs w:val="22"/>
              </w:rPr>
            </w:pPr>
            <w:r>
              <w:rPr>
                <w:i/>
                <w:sz w:val="22"/>
                <w:szCs w:val="22"/>
              </w:rPr>
              <w:t>Clase de incendii</w:t>
            </w:r>
          </w:p>
        </w:tc>
      </w:tr>
      <w:tr w:rsidR="001C08A5" w14:paraId="4B2C4DBE" w14:textId="77777777">
        <w:tc>
          <w:tcPr>
            <w:tcW w:w="664" w:type="dxa"/>
          </w:tcPr>
          <w:p w14:paraId="4C6A7333" w14:textId="77777777" w:rsidR="001C08A5" w:rsidRDefault="001C08A5">
            <w:pPr>
              <w:numPr>
                <w:ilvl w:val="0"/>
                <w:numId w:val="113"/>
              </w:numPr>
              <w:rPr>
                <w:i/>
                <w:sz w:val="22"/>
                <w:szCs w:val="22"/>
              </w:rPr>
            </w:pPr>
          </w:p>
        </w:tc>
        <w:tc>
          <w:tcPr>
            <w:tcW w:w="1778" w:type="dxa"/>
          </w:tcPr>
          <w:p w14:paraId="2AD24811" w14:textId="77777777" w:rsidR="001C08A5" w:rsidRDefault="00000000">
            <w:pPr>
              <w:rPr>
                <w:b/>
                <w:bCs/>
                <w:i/>
                <w:sz w:val="22"/>
                <w:szCs w:val="22"/>
              </w:rPr>
            </w:pPr>
            <w:r>
              <w:rPr>
                <w:b/>
                <w:bCs/>
                <w:i/>
                <w:sz w:val="22"/>
                <w:szCs w:val="22"/>
              </w:rPr>
              <w:t>SR EN 1364-1</w:t>
            </w:r>
          </w:p>
        </w:tc>
        <w:tc>
          <w:tcPr>
            <w:tcW w:w="7164" w:type="dxa"/>
          </w:tcPr>
          <w:p w14:paraId="6023742A" w14:textId="77777777" w:rsidR="001C08A5" w:rsidRDefault="00000000">
            <w:pPr>
              <w:rPr>
                <w:i/>
                <w:sz w:val="22"/>
                <w:szCs w:val="22"/>
              </w:rPr>
            </w:pPr>
            <w:r>
              <w:rPr>
                <w:i/>
                <w:sz w:val="22"/>
                <w:szCs w:val="22"/>
              </w:rPr>
              <w:t>Încercări de rezistenţă la foc a elementelor neportante. Partea 1: Pereţi</w:t>
            </w:r>
          </w:p>
        </w:tc>
      </w:tr>
      <w:tr w:rsidR="001C08A5" w14:paraId="7A129B3C" w14:textId="77777777">
        <w:tc>
          <w:tcPr>
            <w:tcW w:w="664" w:type="dxa"/>
          </w:tcPr>
          <w:p w14:paraId="7DAF4DBB" w14:textId="77777777" w:rsidR="001C08A5" w:rsidRDefault="001C08A5">
            <w:pPr>
              <w:numPr>
                <w:ilvl w:val="0"/>
                <w:numId w:val="113"/>
              </w:numPr>
              <w:rPr>
                <w:i/>
                <w:sz w:val="22"/>
                <w:szCs w:val="22"/>
              </w:rPr>
            </w:pPr>
          </w:p>
        </w:tc>
        <w:tc>
          <w:tcPr>
            <w:tcW w:w="1778" w:type="dxa"/>
          </w:tcPr>
          <w:p w14:paraId="49460BB9" w14:textId="77777777" w:rsidR="001C08A5" w:rsidRDefault="00000000">
            <w:pPr>
              <w:rPr>
                <w:b/>
                <w:bCs/>
                <w:i/>
                <w:sz w:val="22"/>
                <w:szCs w:val="22"/>
              </w:rPr>
            </w:pPr>
            <w:hyperlink r:id="rId594" w:history="1">
              <w:r>
                <w:rPr>
                  <w:b/>
                  <w:bCs/>
                  <w:i/>
                  <w:sz w:val="22"/>
                  <w:szCs w:val="22"/>
                </w:rPr>
                <w:t>SR EN 1364-2</w:t>
              </w:r>
            </w:hyperlink>
          </w:p>
          <w:p w14:paraId="1F3C9DBD" w14:textId="77777777" w:rsidR="001C08A5" w:rsidRDefault="001C08A5">
            <w:pPr>
              <w:rPr>
                <w:b/>
                <w:bCs/>
                <w:i/>
                <w:sz w:val="22"/>
                <w:szCs w:val="22"/>
              </w:rPr>
            </w:pPr>
          </w:p>
        </w:tc>
        <w:tc>
          <w:tcPr>
            <w:tcW w:w="7164" w:type="dxa"/>
          </w:tcPr>
          <w:p w14:paraId="737C13DB" w14:textId="77777777" w:rsidR="001C08A5" w:rsidRDefault="00000000">
            <w:pPr>
              <w:rPr>
                <w:i/>
                <w:sz w:val="22"/>
                <w:szCs w:val="22"/>
              </w:rPr>
            </w:pPr>
            <w:r>
              <w:rPr>
                <w:i/>
                <w:sz w:val="22"/>
                <w:szCs w:val="22"/>
              </w:rPr>
              <w:t>Încercări de rezistenţă la foc pentru elemente de construcţii neportante. Partea 2: Plafoane</w:t>
            </w:r>
          </w:p>
        </w:tc>
      </w:tr>
      <w:tr w:rsidR="001C08A5" w14:paraId="51DADD9B" w14:textId="77777777">
        <w:tc>
          <w:tcPr>
            <w:tcW w:w="664" w:type="dxa"/>
          </w:tcPr>
          <w:p w14:paraId="36DA558B" w14:textId="77777777" w:rsidR="001C08A5" w:rsidRDefault="001C08A5">
            <w:pPr>
              <w:numPr>
                <w:ilvl w:val="0"/>
                <w:numId w:val="113"/>
              </w:numPr>
              <w:rPr>
                <w:i/>
                <w:sz w:val="22"/>
                <w:szCs w:val="22"/>
              </w:rPr>
            </w:pPr>
          </w:p>
        </w:tc>
        <w:tc>
          <w:tcPr>
            <w:tcW w:w="1778" w:type="dxa"/>
          </w:tcPr>
          <w:p w14:paraId="71107C00" w14:textId="77777777" w:rsidR="001C08A5" w:rsidRDefault="00000000">
            <w:pPr>
              <w:rPr>
                <w:b/>
                <w:bCs/>
                <w:i/>
                <w:sz w:val="22"/>
                <w:szCs w:val="22"/>
              </w:rPr>
            </w:pPr>
            <w:hyperlink r:id="rId595" w:history="1">
              <w:r>
                <w:rPr>
                  <w:b/>
                  <w:bCs/>
                  <w:i/>
                  <w:sz w:val="22"/>
                  <w:szCs w:val="22"/>
                </w:rPr>
                <w:t>SR EN 1364-3</w:t>
              </w:r>
              <w:r>
                <w:rPr>
                  <w:b/>
                  <w:bCs/>
                  <w:i/>
                  <w:sz w:val="22"/>
                  <w:szCs w:val="22"/>
                  <w:lang w:val="en-GB"/>
                </w:rPr>
                <w:t xml:space="preserve"> </w:t>
              </w:r>
            </w:hyperlink>
          </w:p>
        </w:tc>
        <w:tc>
          <w:tcPr>
            <w:tcW w:w="7164" w:type="dxa"/>
          </w:tcPr>
          <w:p w14:paraId="20720948" w14:textId="77777777" w:rsidR="001C08A5" w:rsidRDefault="00000000">
            <w:pPr>
              <w:rPr>
                <w:i/>
                <w:sz w:val="22"/>
                <w:szCs w:val="22"/>
              </w:rPr>
            </w:pPr>
            <w:r>
              <w:rPr>
                <w:i/>
                <w:sz w:val="22"/>
                <w:szCs w:val="22"/>
              </w:rPr>
              <w:t>Încercări pentru rezistenţa la foc a elementelor neportante. Partea 3: Pereţi cortină - Configuraţie completă (ansamblu complet)</w:t>
            </w:r>
          </w:p>
        </w:tc>
      </w:tr>
      <w:tr w:rsidR="001C08A5" w14:paraId="1FAB3FCC" w14:textId="77777777">
        <w:tc>
          <w:tcPr>
            <w:tcW w:w="664" w:type="dxa"/>
          </w:tcPr>
          <w:p w14:paraId="547463F7" w14:textId="77777777" w:rsidR="001C08A5" w:rsidRDefault="001C08A5">
            <w:pPr>
              <w:numPr>
                <w:ilvl w:val="0"/>
                <w:numId w:val="113"/>
              </w:numPr>
              <w:rPr>
                <w:i/>
                <w:sz w:val="22"/>
                <w:szCs w:val="22"/>
              </w:rPr>
            </w:pPr>
          </w:p>
        </w:tc>
        <w:tc>
          <w:tcPr>
            <w:tcW w:w="1778" w:type="dxa"/>
          </w:tcPr>
          <w:p w14:paraId="102BE0B6" w14:textId="77777777" w:rsidR="001C08A5" w:rsidRDefault="00000000">
            <w:pPr>
              <w:rPr>
                <w:b/>
                <w:bCs/>
                <w:i/>
                <w:sz w:val="22"/>
                <w:szCs w:val="22"/>
              </w:rPr>
            </w:pPr>
            <w:r>
              <w:rPr>
                <w:b/>
                <w:bCs/>
                <w:i/>
                <w:sz w:val="22"/>
                <w:szCs w:val="22"/>
              </w:rPr>
              <w:t>SR EN 1364-4</w:t>
            </w:r>
          </w:p>
        </w:tc>
        <w:tc>
          <w:tcPr>
            <w:tcW w:w="7164" w:type="dxa"/>
          </w:tcPr>
          <w:p w14:paraId="7E5861C2" w14:textId="77777777" w:rsidR="001C08A5" w:rsidRDefault="00000000">
            <w:pPr>
              <w:rPr>
                <w:i/>
                <w:sz w:val="22"/>
                <w:szCs w:val="22"/>
              </w:rPr>
            </w:pPr>
            <w:r>
              <w:rPr>
                <w:i/>
                <w:sz w:val="22"/>
                <w:szCs w:val="22"/>
              </w:rPr>
              <w:t>Încercări privind rezistența la foc a elementelor neportante. Partea 4: Pereți cortină. Configurație parțială</w:t>
            </w:r>
          </w:p>
        </w:tc>
      </w:tr>
      <w:tr w:rsidR="001C08A5" w14:paraId="65ADF04B" w14:textId="77777777">
        <w:tc>
          <w:tcPr>
            <w:tcW w:w="664" w:type="dxa"/>
          </w:tcPr>
          <w:p w14:paraId="07BB3361" w14:textId="77777777" w:rsidR="001C08A5" w:rsidRDefault="001C08A5">
            <w:pPr>
              <w:numPr>
                <w:ilvl w:val="0"/>
                <w:numId w:val="113"/>
              </w:numPr>
              <w:rPr>
                <w:i/>
                <w:sz w:val="22"/>
                <w:szCs w:val="22"/>
              </w:rPr>
            </w:pPr>
          </w:p>
        </w:tc>
        <w:tc>
          <w:tcPr>
            <w:tcW w:w="1778" w:type="dxa"/>
          </w:tcPr>
          <w:p w14:paraId="33AEC18B" w14:textId="77777777" w:rsidR="001C08A5" w:rsidRDefault="00000000">
            <w:pPr>
              <w:rPr>
                <w:b/>
                <w:bCs/>
                <w:i/>
                <w:sz w:val="22"/>
                <w:szCs w:val="22"/>
              </w:rPr>
            </w:pPr>
            <w:hyperlink r:id="rId596" w:history="1">
              <w:r>
                <w:rPr>
                  <w:b/>
                  <w:bCs/>
                  <w:i/>
                  <w:sz w:val="22"/>
                  <w:szCs w:val="22"/>
                </w:rPr>
                <w:t>SR EN 1364-5</w:t>
              </w:r>
            </w:hyperlink>
          </w:p>
          <w:p w14:paraId="5243B8E7" w14:textId="77777777" w:rsidR="001C08A5" w:rsidRDefault="001C08A5">
            <w:pPr>
              <w:rPr>
                <w:b/>
                <w:bCs/>
                <w:i/>
                <w:sz w:val="22"/>
                <w:szCs w:val="22"/>
              </w:rPr>
            </w:pPr>
          </w:p>
        </w:tc>
        <w:tc>
          <w:tcPr>
            <w:tcW w:w="7164" w:type="dxa"/>
          </w:tcPr>
          <w:p w14:paraId="0B1953BB" w14:textId="77777777" w:rsidR="001C08A5" w:rsidRDefault="00000000">
            <w:pPr>
              <w:rPr>
                <w:i/>
                <w:sz w:val="22"/>
                <w:szCs w:val="22"/>
              </w:rPr>
            </w:pPr>
            <w:r>
              <w:rPr>
                <w:i/>
                <w:sz w:val="22"/>
                <w:szCs w:val="22"/>
              </w:rPr>
              <w:t>Încercări de rezistenţă la foc a elementelor neportante. Partea 5: Grile de transfer</w:t>
            </w:r>
          </w:p>
        </w:tc>
      </w:tr>
      <w:tr w:rsidR="001C08A5" w14:paraId="2F651DA6" w14:textId="77777777">
        <w:tc>
          <w:tcPr>
            <w:tcW w:w="664" w:type="dxa"/>
          </w:tcPr>
          <w:p w14:paraId="5CE85266" w14:textId="77777777" w:rsidR="001C08A5" w:rsidRDefault="001C08A5">
            <w:pPr>
              <w:numPr>
                <w:ilvl w:val="0"/>
                <w:numId w:val="113"/>
              </w:numPr>
              <w:rPr>
                <w:i/>
                <w:sz w:val="22"/>
                <w:szCs w:val="22"/>
              </w:rPr>
            </w:pPr>
          </w:p>
        </w:tc>
        <w:tc>
          <w:tcPr>
            <w:tcW w:w="1778" w:type="dxa"/>
          </w:tcPr>
          <w:p w14:paraId="57ADF522" w14:textId="77777777" w:rsidR="001C08A5" w:rsidRDefault="00000000">
            <w:pPr>
              <w:rPr>
                <w:b/>
                <w:bCs/>
                <w:i/>
                <w:sz w:val="22"/>
                <w:szCs w:val="22"/>
              </w:rPr>
            </w:pPr>
            <w:r>
              <w:rPr>
                <w:b/>
                <w:bCs/>
                <w:i/>
                <w:sz w:val="22"/>
                <w:szCs w:val="22"/>
              </w:rPr>
              <w:t>SR EN 1365-1</w:t>
            </w:r>
          </w:p>
        </w:tc>
        <w:tc>
          <w:tcPr>
            <w:tcW w:w="7164" w:type="dxa"/>
          </w:tcPr>
          <w:p w14:paraId="47A210A3" w14:textId="77777777" w:rsidR="001C08A5" w:rsidRDefault="00000000">
            <w:pPr>
              <w:jc w:val="both"/>
              <w:rPr>
                <w:i/>
                <w:sz w:val="22"/>
                <w:szCs w:val="22"/>
                <w:lang w:val="en-GB"/>
              </w:rPr>
            </w:pPr>
            <w:r>
              <w:rPr>
                <w:i/>
                <w:sz w:val="22"/>
                <w:szCs w:val="22"/>
                <w:lang w:val="en-GB"/>
              </w:rPr>
              <w:t>Încercări de rezistență la foc pentru elemente de construcții portante. Partea 1: Pereți</w:t>
            </w:r>
          </w:p>
        </w:tc>
      </w:tr>
      <w:tr w:rsidR="001C08A5" w14:paraId="178B94BC" w14:textId="77777777">
        <w:tc>
          <w:tcPr>
            <w:tcW w:w="664" w:type="dxa"/>
          </w:tcPr>
          <w:p w14:paraId="552F3A60" w14:textId="77777777" w:rsidR="001C08A5" w:rsidRDefault="001C08A5">
            <w:pPr>
              <w:numPr>
                <w:ilvl w:val="0"/>
                <w:numId w:val="113"/>
              </w:numPr>
              <w:rPr>
                <w:i/>
                <w:sz w:val="22"/>
                <w:szCs w:val="22"/>
              </w:rPr>
            </w:pPr>
          </w:p>
        </w:tc>
        <w:tc>
          <w:tcPr>
            <w:tcW w:w="1778" w:type="dxa"/>
          </w:tcPr>
          <w:p w14:paraId="0FDF633F" w14:textId="77777777" w:rsidR="001C08A5" w:rsidRDefault="00000000">
            <w:pPr>
              <w:jc w:val="both"/>
              <w:rPr>
                <w:b/>
                <w:bCs/>
                <w:i/>
                <w:sz w:val="22"/>
                <w:szCs w:val="22"/>
                <w:lang w:val="en-GB"/>
              </w:rPr>
            </w:pPr>
            <w:hyperlink r:id="rId597" w:history="1">
              <w:r>
                <w:rPr>
                  <w:b/>
                  <w:bCs/>
                  <w:i/>
                  <w:sz w:val="22"/>
                  <w:szCs w:val="22"/>
                  <w:lang w:val="en-GB"/>
                </w:rPr>
                <w:t>SR EN 1365-2</w:t>
              </w:r>
            </w:hyperlink>
          </w:p>
          <w:p w14:paraId="07EF30B9" w14:textId="77777777" w:rsidR="001C08A5" w:rsidRDefault="001C08A5">
            <w:pPr>
              <w:rPr>
                <w:b/>
                <w:bCs/>
                <w:i/>
                <w:sz w:val="22"/>
                <w:szCs w:val="22"/>
              </w:rPr>
            </w:pPr>
          </w:p>
        </w:tc>
        <w:tc>
          <w:tcPr>
            <w:tcW w:w="7164" w:type="dxa"/>
          </w:tcPr>
          <w:p w14:paraId="7E2CCB98" w14:textId="77777777" w:rsidR="001C08A5" w:rsidRDefault="00000000">
            <w:pPr>
              <w:jc w:val="both"/>
              <w:rPr>
                <w:i/>
                <w:sz w:val="22"/>
                <w:szCs w:val="22"/>
              </w:rPr>
            </w:pPr>
            <w:r>
              <w:rPr>
                <w:i/>
                <w:sz w:val="22"/>
                <w:szCs w:val="22"/>
                <w:lang w:val="en-GB"/>
              </w:rPr>
              <w:t>Încercări de rezistență la foc pentru elemente de construcții portante. Partea 2: Planșee și acoperișuri</w:t>
            </w:r>
          </w:p>
        </w:tc>
      </w:tr>
      <w:tr w:rsidR="001C08A5" w14:paraId="7B3467EF" w14:textId="77777777">
        <w:tc>
          <w:tcPr>
            <w:tcW w:w="664" w:type="dxa"/>
          </w:tcPr>
          <w:p w14:paraId="60D5B65A" w14:textId="77777777" w:rsidR="001C08A5" w:rsidRDefault="001C08A5">
            <w:pPr>
              <w:numPr>
                <w:ilvl w:val="0"/>
                <w:numId w:val="113"/>
              </w:numPr>
              <w:rPr>
                <w:i/>
                <w:sz w:val="22"/>
                <w:szCs w:val="22"/>
              </w:rPr>
            </w:pPr>
          </w:p>
        </w:tc>
        <w:tc>
          <w:tcPr>
            <w:tcW w:w="1778" w:type="dxa"/>
          </w:tcPr>
          <w:p w14:paraId="01C19488" w14:textId="77777777" w:rsidR="001C08A5" w:rsidRDefault="00000000">
            <w:pPr>
              <w:jc w:val="both"/>
              <w:rPr>
                <w:b/>
                <w:bCs/>
                <w:i/>
                <w:sz w:val="22"/>
                <w:szCs w:val="22"/>
                <w:lang w:val="en-GB"/>
              </w:rPr>
            </w:pPr>
            <w:hyperlink r:id="rId598" w:history="1">
              <w:r>
                <w:rPr>
                  <w:b/>
                  <w:bCs/>
                  <w:i/>
                  <w:sz w:val="22"/>
                  <w:szCs w:val="22"/>
                  <w:lang w:val="en-GB"/>
                </w:rPr>
                <w:t>SR EN 1365-3</w:t>
              </w:r>
            </w:hyperlink>
          </w:p>
          <w:p w14:paraId="7A6BE637" w14:textId="77777777" w:rsidR="001C08A5" w:rsidRDefault="001C08A5">
            <w:pPr>
              <w:rPr>
                <w:b/>
                <w:bCs/>
                <w:i/>
                <w:sz w:val="22"/>
                <w:szCs w:val="22"/>
              </w:rPr>
            </w:pPr>
          </w:p>
        </w:tc>
        <w:tc>
          <w:tcPr>
            <w:tcW w:w="7164" w:type="dxa"/>
          </w:tcPr>
          <w:p w14:paraId="186BD0C2" w14:textId="77777777" w:rsidR="001C08A5" w:rsidRDefault="00000000">
            <w:pPr>
              <w:jc w:val="both"/>
              <w:rPr>
                <w:i/>
                <w:sz w:val="22"/>
                <w:szCs w:val="22"/>
                <w:lang w:val="en-GB"/>
              </w:rPr>
            </w:pPr>
            <w:r>
              <w:rPr>
                <w:i/>
                <w:sz w:val="22"/>
                <w:szCs w:val="22"/>
                <w:lang w:val="en-GB"/>
              </w:rPr>
              <w:t>Încercări de rezistenţă la foc pentru elemente de construcţii portante. Partea 3: Grinzi</w:t>
            </w:r>
          </w:p>
        </w:tc>
      </w:tr>
      <w:tr w:rsidR="001C08A5" w14:paraId="2243D197" w14:textId="77777777">
        <w:tc>
          <w:tcPr>
            <w:tcW w:w="664" w:type="dxa"/>
          </w:tcPr>
          <w:p w14:paraId="24842447" w14:textId="77777777" w:rsidR="001C08A5" w:rsidRDefault="001C08A5">
            <w:pPr>
              <w:numPr>
                <w:ilvl w:val="0"/>
                <w:numId w:val="113"/>
              </w:numPr>
              <w:rPr>
                <w:i/>
                <w:sz w:val="22"/>
                <w:szCs w:val="22"/>
              </w:rPr>
            </w:pPr>
          </w:p>
        </w:tc>
        <w:tc>
          <w:tcPr>
            <w:tcW w:w="1778" w:type="dxa"/>
          </w:tcPr>
          <w:p w14:paraId="7C70735C" w14:textId="77777777" w:rsidR="001C08A5" w:rsidRDefault="00000000">
            <w:pPr>
              <w:jc w:val="both"/>
              <w:rPr>
                <w:b/>
                <w:bCs/>
                <w:i/>
                <w:sz w:val="22"/>
                <w:szCs w:val="22"/>
                <w:lang w:val="en-GB"/>
              </w:rPr>
            </w:pPr>
            <w:hyperlink r:id="rId599" w:history="1">
              <w:r>
                <w:rPr>
                  <w:b/>
                  <w:bCs/>
                  <w:i/>
                  <w:sz w:val="22"/>
                  <w:szCs w:val="22"/>
                  <w:lang w:val="en-GB"/>
                </w:rPr>
                <w:t>SR EN 1365-4</w:t>
              </w:r>
            </w:hyperlink>
          </w:p>
          <w:p w14:paraId="010679C6" w14:textId="77777777" w:rsidR="001C08A5" w:rsidRDefault="001C08A5">
            <w:pPr>
              <w:rPr>
                <w:b/>
                <w:bCs/>
                <w:i/>
                <w:sz w:val="22"/>
                <w:szCs w:val="22"/>
              </w:rPr>
            </w:pPr>
          </w:p>
        </w:tc>
        <w:tc>
          <w:tcPr>
            <w:tcW w:w="7164" w:type="dxa"/>
          </w:tcPr>
          <w:p w14:paraId="707A6363" w14:textId="77777777" w:rsidR="001C08A5" w:rsidRDefault="00000000">
            <w:pPr>
              <w:jc w:val="both"/>
              <w:rPr>
                <w:i/>
                <w:sz w:val="22"/>
                <w:szCs w:val="22"/>
                <w:lang w:val="en-GB"/>
              </w:rPr>
            </w:pPr>
            <w:r>
              <w:rPr>
                <w:i/>
                <w:sz w:val="22"/>
                <w:szCs w:val="22"/>
                <w:lang w:val="en-GB"/>
              </w:rPr>
              <w:t xml:space="preserve">Încercări de rezistenţă la foc </w:t>
            </w:r>
            <w:proofErr w:type="gramStart"/>
            <w:r>
              <w:rPr>
                <w:i/>
                <w:sz w:val="22"/>
                <w:szCs w:val="22"/>
                <w:lang w:val="en-GB"/>
              </w:rPr>
              <w:t>a</w:t>
            </w:r>
            <w:proofErr w:type="gramEnd"/>
            <w:r>
              <w:rPr>
                <w:i/>
                <w:sz w:val="22"/>
                <w:szCs w:val="22"/>
                <w:lang w:val="en-GB"/>
              </w:rPr>
              <w:t xml:space="preserve"> elementelor de construcţii portante. Partea 4: Stâlpi</w:t>
            </w:r>
          </w:p>
        </w:tc>
      </w:tr>
      <w:tr w:rsidR="001C08A5" w14:paraId="6B59741E" w14:textId="77777777">
        <w:tc>
          <w:tcPr>
            <w:tcW w:w="664" w:type="dxa"/>
          </w:tcPr>
          <w:p w14:paraId="1ECC6034" w14:textId="77777777" w:rsidR="001C08A5" w:rsidRDefault="001C08A5">
            <w:pPr>
              <w:numPr>
                <w:ilvl w:val="0"/>
                <w:numId w:val="113"/>
              </w:numPr>
              <w:rPr>
                <w:i/>
                <w:sz w:val="22"/>
                <w:szCs w:val="22"/>
              </w:rPr>
            </w:pPr>
          </w:p>
        </w:tc>
        <w:tc>
          <w:tcPr>
            <w:tcW w:w="1778" w:type="dxa"/>
          </w:tcPr>
          <w:p w14:paraId="21937645" w14:textId="77777777" w:rsidR="001C08A5" w:rsidRDefault="00000000">
            <w:pPr>
              <w:jc w:val="both"/>
              <w:rPr>
                <w:b/>
                <w:bCs/>
                <w:i/>
                <w:sz w:val="22"/>
                <w:szCs w:val="22"/>
                <w:lang w:val="en-GB"/>
              </w:rPr>
            </w:pPr>
            <w:hyperlink r:id="rId600" w:history="1">
              <w:r>
                <w:rPr>
                  <w:b/>
                  <w:bCs/>
                  <w:i/>
                  <w:sz w:val="22"/>
                  <w:szCs w:val="22"/>
                  <w:lang w:val="en-GB"/>
                </w:rPr>
                <w:t>SR EN 1365-5</w:t>
              </w:r>
            </w:hyperlink>
          </w:p>
          <w:p w14:paraId="312D0491" w14:textId="77777777" w:rsidR="001C08A5" w:rsidRDefault="001C08A5">
            <w:pPr>
              <w:rPr>
                <w:b/>
                <w:bCs/>
                <w:i/>
                <w:sz w:val="22"/>
                <w:szCs w:val="22"/>
              </w:rPr>
            </w:pPr>
          </w:p>
        </w:tc>
        <w:tc>
          <w:tcPr>
            <w:tcW w:w="7164" w:type="dxa"/>
          </w:tcPr>
          <w:p w14:paraId="2714FDCD" w14:textId="77777777" w:rsidR="001C08A5" w:rsidRDefault="00000000">
            <w:pPr>
              <w:jc w:val="both"/>
              <w:rPr>
                <w:i/>
                <w:sz w:val="22"/>
                <w:szCs w:val="22"/>
                <w:lang w:val="en-GB"/>
              </w:rPr>
            </w:pPr>
            <w:r>
              <w:rPr>
                <w:i/>
                <w:sz w:val="22"/>
                <w:szCs w:val="22"/>
                <w:lang w:val="en-GB"/>
              </w:rPr>
              <w:t xml:space="preserve">Încercări de rezistenţă la foc </w:t>
            </w:r>
            <w:proofErr w:type="gramStart"/>
            <w:r>
              <w:rPr>
                <w:i/>
                <w:sz w:val="22"/>
                <w:szCs w:val="22"/>
                <w:lang w:val="en-GB"/>
              </w:rPr>
              <w:t>a</w:t>
            </w:r>
            <w:proofErr w:type="gramEnd"/>
            <w:r>
              <w:rPr>
                <w:i/>
                <w:sz w:val="22"/>
                <w:szCs w:val="22"/>
                <w:lang w:val="en-GB"/>
              </w:rPr>
              <w:t xml:space="preserve"> elementelor de construcţii portante. Partea 5: Balcoane şi pasarele</w:t>
            </w:r>
          </w:p>
        </w:tc>
      </w:tr>
      <w:tr w:rsidR="001C08A5" w14:paraId="76616787" w14:textId="77777777">
        <w:tc>
          <w:tcPr>
            <w:tcW w:w="664" w:type="dxa"/>
          </w:tcPr>
          <w:p w14:paraId="61C88A26" w14:textId="77777777" w:rsidR="001C08A5" w:rsidRDefault="001C08A5">
            <w:pPr>
              <w:numPr>
                <w:ilvl w:val="0"/>
                <w:numId w:val="113"/>
              </w:numPr>
              <w:rPr>
                <w:i/>
                <w:sz w:val="22"/>
                <w:szCs w:val="22"/>
              </w:rPr>
            </w:pPr>
          </w:p>
        </w:tc>
        <w:tc>
          <w:tcPr>
            <w:tcW w:w="1778" w:type="dxa"/>
          </w:tcPr>
          <w:p w14:paraId="6568B955" w14:textId="77777777" w:rsidR="001C08A5" w:rsidRDefault="00000000">
            <w:pPr>
              <w:jc w:val="both"/>
              <w:rPr>
                <w:b/>
                <w:bCs/>
                <w:i/>
                <w:sz w:val="22"/>
                <w:szCs w:val="22"/>
                <w:lang w:val="en-GB"/>
              </w:rPr>
            </w:pPr>
            <w:hyperlink r:id="rId601" w:history="1">
              <w:r>
                <w:rPr>
                  <w:b/>
                  <w:bCs/>
                  <w:i/>
                  <w:sz w:val="22"/>
                  <w:szCs w:val="22"/>
                  <w:lang w:val="en-GB"/>
                </w:rPr>
                <w:t>SR EN 1365-6</w:t>
              </w:r>
            </w:hyperlink>
          </w:p>
          <w:p w14:paraId="7D9AD06F" w14:textId="77777777" w:rsidR="001C08A5" w:rsidRDefault="001C08A5">
            <w:pPr>
              <w:rPr>
                <w:b/>
                <w:bCs/>
                <w:i/>
                <w:sz w:val="22"/>
                <w:szCs w:val="22"/>
              </w:rPr>
            </w:pPr>
          </w:p>
        </w:tc>
        <w:tc>
          <w:tcPr>
            <w:tcW w:w="7164" w:type="dxa"/>
          </w:tcPr>
          <w:p w14:paraId="373B3B5E" w14:textId="77777777" w:rsidR="001C08A5" w:rsidRDefault="00000000">
            <w:pPr>
              <w:jc w:val="both"/>
              <w:rPr>
                <w:i/>
                <w:sz w:val="22"/>
                <w:szCs w:val="22"/>
                <w:lang w:val="en-GB"/>
              </w:rPr>
            </w:pPr>
            <w:r>
              <w:rPr>
                <w:i/>
                <w:sz w:val="22"/>
                <w:szCs w:val="22"/>
                <w:lang w:val="en-GB"/>
              </w:rPr>
              <w:t>Încercări de rezistenţă la foc pentru elementele de construcţii portante. Partea 6: Scări</w:t>
            </w:r>
          </w:p>
        </w:tc>
      </w:tr>
      <w:tr w:rsidR="001C08A5" w14:paraId="01C27C91" w14:textId="77777777">
        <w:tc>
          <w:tcPr>
            <w:tcW w:w="664" w:type="dxa"/>
          </w:tcPr>
          <w:p w14:paraId="11CD92D8" w14:textId="77777777" w:rsidR="001C08A5" w:rsidRDefault="001C08A5">
            <w:pPr>
              <w:numPr>
                <w:ilvl w:val="0"/>
                <w:numId w:val="113"/>
              </w:numPr>
              <w:rPr>
                <w:i/>
                <w:sz w:val="22"/>
                <w:szCs w:val="22"/>
              </w:rPr>
            </w:pPr>
          </w:p>
        </w:tc>
        <w:tc>
          <w:tcPr>
            <w:tcW w:w="1778" w:type="dxa"/>
          </w:tcPr>
          <w:p w14:paraId="1687120F" w14:textId="77777777" w:rsidR="001C08A5" w:rsidRDefault="00000000">
            <w:pPr>
              <w:jc w:val="both"/>
              <w:rPr>
                <w:b/>
                <w:bCs/>
                <w:i/>
                <w:sz w:val="22"/>
                <w:szCs w:val="22"/>
                <w:lang w:val="en-GB"/>
              </w:rPr>
            </w:pPr>
            <w:hyperlink r:id="rId602" w:history="1">
              <w:r>
                <w:rPr>
                  <w:b/>
                  <w:bCs/>
                  <w:i/>
                  <w:sz w:val="22"/>
                  <w:szCs w:val="22"/>
                  <w:lang w:val="en-GB"/>
                </w:rPr>
                <w:t>SR EN 1366-1</w:t>
              </w:r>
            </w:hyperlink>
          </w:p>
          <w:p w14:paraId="56CC75A8" w14:textId="77777777" w:rsidR="001C08A5" w:rsidRDefault="001C08A5">
            <w:pPr>
              <w:rPr>
                <w:b/>
                <w:bCs/>
                <w:i/>
                <w:sz w:val="22"/>
                <w:szCs w:val="22"/>
              </w:rPr>
            </w:pPr>
          </w:p>
        </w:tc>
        <w:tc>
          <w:tcPr>
            <w:tcW w:w="7164" w:type="dxa"/>
          </w:tcPr>
          <w:p w14:paraId="7CCA8E50" w14:textId="77777777" w:rsidR="001C08A5" w:rsidRDefault="00000000">
            <w:pPr>
              <w:jc w:val="both"/>
              <w:rPr>
                <w:i/>
                <w:sz w:val="22"/>
                <w:szCs w:val="22"/>
              </w:rPr>
            </w:pPr>
            <w:r>
              <w:rPr>
                <w:i/>
                <w:sz w:val="22"/>
                <w:szCs w:val="22"/>
                <w:lang w:val="en-GB"/>
              </w:rPr>
              <w:t>Încercări de rezistenţă la foc pentru instalaţii tehnice. Partea 1: Conducte de ventilare</w:t>
            </w:r>
          </w:p>
        </w:tc>
      </w:tr>
      <w:tr w:rsidR="001C08A5" w14:paraId="4C4406BD" w14:textId="77777777">
        <w:tc>
          <w:tcPr>
            <w:tcW w:w="664" w:type="dxa"/>
          </w:tcPr>
          <w:p w14:paraId="1D317090" w14:textId="77777777" w:rsidR="001C08A5" w:rsidRDefault="001C08A5">
            <w:pPr>
              <w:numPr>
                <w:ilvl w:val="0"/>
                <w:numId w:val="113"/>
              </w:numPr>
              <w:rPr>
                <w:i/>
                <w:sz w:val="22"/>
                <w:szCs w:val="22"/>
              </w:rPr>
            </w:pPr>
          </w:p>
        </w:tc>
        <w:tc>
          <w:tcPr>
            <w:tcW w:w="1778" w:type="dxa"/>
          </w:tcPr>
          <w:p w14:paraId="0CB80C66" w14:textId="77777777" w:rsidR="001C08A5" w:rsidRDefault="00000000">
            <w:pPr>
              <w:jc w:val="both"/>
              <w:rPr>
                <w:b/>
                <w:bCs/>
                <w:i/>
                <w:sz w:val="22"/>
                <w:szCs w:val="22"/>
                <w:lang w:val="en-GB"/>
              </w:rPr>
            </w:pPr>
            <w:hyperlink r:id="rId603" w:history="1">
              <w:r>
                <w:rPr>
                  <w:b/>
                  <w:bCs/>
                  <w:i/>
                  <w:sz w:val="22"/>
                  <w:szCs w:val="22"/>
                  <w:lang w:val="en-GB"/>
                </w:rPr>
                <w:t>SR EN 1366-2</w:t>
              </w:r>
            </w:hyperlink>
          </w:p>
          <w:p w14:paraId="0BC0657F" w14:textId="77777777" w:rsidR="001C08A5" w:rsidRDefault="001C08A5">
            <w:pPr>
              <w:rPr>
                <w:b/>
                <w:bCs/>
                <w:i/>
                <w:sz w:val="22"/>
                <w:szCs w:val="22"/>
              </w:rPr>
            </w:pPr>
          </w:p>
        </w:tc>
        <w:tc>
          <w:tcPr>
            <w:tcW w:w="7164" w:type="dxa"/>
          </w:tcPr>
          <w:p w14:paraId="6F0274B4" w14:textId="77777777" w:rsidR="001C08A5" w:rsidRDefault="00000000">
            <w:pPr>
              <w:jc w:val="both"/>
              <w:rPr>
                <w:i/>
                <w:sz w:val="22"/>
                <w:szCs w:val="22"/>
              </w:rPr>
            </w:pPr>
            <w:r>
              <w:rPr>
                <w:i/>
                <w:sz w:val="22"/>
                <w:szCs w:val="22"/>
                <w:lang w:val="en-GB"/>
              </w:rPr>
              <w:t>Încercări de rezistenţă la foc pentru instalaţii tehnice. Partea 2: Clapete rezistente la foc</w:t>
            </w:r>
          </w:p>
        </w:tc>
      </w:tr>
      <w:tr w:rsidR="001C08A5" w14:paraId="7EE2F2FE" w14:textId="77777777">
        <w:tc>
          <w:tcPr>
            <w:tcW w:w="664" w:type="dxa"/>
          </w:tcPr>
          <w:p w14:paraId="68C3697C" w14:textId="77777777" w:rsidR="001C08A5" w:rsidRDefault="001C08A5">
            <w:pPr>
              <w:numPr>
                <w:ilvl w:val="0"/>
                <w:numId w:val="113"/>
              </w:numPr>
              <w:rPr>
                <w:i/>
                <w:sz w:val="22"/>
                <w:szCs w:val="22"/>
              </w:rPr>
            </w:pPr>
          </w:p>
        </w:tc>
        <w:tc>
          <w:tcPr>
            <w:tcW w:w="1778" w:type="dxa"/>
          </w:tcPr>
          <w:p w14:paraId="2BB2984F" w14:textId="77777777" w:rsidR="001C08A5" w:rsidRDefault="00000000">
            <w:pPr>
              <w:jc w:val="both"/>
              <w:rPr>
                <w:b/>
                <w:bCs/>
                <w:i/>
                <w:sz w:val="22"/>
                <w:szCs w:val="22"/>
                <w:lang w:val="en-GB"/>
              </w:rPr>
            </w:pPr>
            <w:hyperlink r:id="rId604" w:history="1">
              <w:r>
                <w:rPr>
                  <w:b/>
                  <w:bCs/>
                  <w:i/>
                  <w:sz w:val="22"/>
                  <w:szCs w:val="22"/>
                  <w:lang w:val="en-GB"/>
                </w:rPr>
                <w:t>SR EN 1366-3</w:t>
              </w:r>
            </w:hyperlink>
          </w:p>
          <w:p w14:paraId="7D89D581" w14:textId="77777777" w:rsidR="001C08A5" w:rsidRDefault="001C08A5">
            <w:pPr>
              <w:rPr>
                <w:b/>
                <w:bCs/>
                <w:i/>
                <w:sz w:val="22"/>
                <w:szCs w:val="22"/>
              </w:rPr>
            </w:pPr>
          </w:p>
        </w:tc>
        <w:tc>
          <w:tcPr>
            <w:tcW w:w="7164" w:type="dxa"/>
          </w:tcPr>
          <w:p w14:paraId="2BD0A8A8" w14:textId="77777777" w:rsidR="001C08A5" w:rsidRDefault="00000000">
            <w:pPr>
              <w:jc w:val="both"/>
              <w:rPr>
                <w:i/>
                <w:sz w:val="22"/>
                <w:szCs w:val="22"/>
              </w:rPr>
            </w:pPr>
            <w:r>
              <w:rPr>
                <w:i/>
                <w:sz w:val="22"/>
                <w:szCs w:val="22"/>
              </w:rPr>
              <w:t>Încercări de rezistență la foc pentru instalații tehnice. Partea 3: Etanșări ale trecerilor</w:t>
            </w:r>
          </w:p>
        </w:tc>
      </w:tr>
      <w:tr w:rsidR="001C08A5" w14:paraId="210DE4AA" w14:textId="77777777">
        <w:tc>
          <w:tcPr>
            <w:tcW w:w="664" w:type="dxa"/>
          </w:tcPr>
          <w:p w14:paraId="639102CA" w14:textId="77777777" w:rsidR="001C08A5" w:rsidRDefault="001C08A5">
            <w:pPr>
              <w:numPr>
                <w:ilvl w:val="0"/>
                <w:numId w:val="113"/>
              </w:numPr>
              <w:rPr>
                <w:i/>
                <w:sz w:val="22"/>
                <w:szCs w:val="22"/>
              </w:rPr>
            </w:pPr>
          </w:p>
        </w:tc>
        <w:tc>
          <w:tcPr>
            <w:tcW w:w="1778" w:type="dxa"/>
          </w:tcPr>
          <w:p w14:paraId="4D24FDC9" w14:textId="77777777" w:rsidR="001C08A5" w:rsidRDefault="00000000">
            <w:pPr>
              <w:jc w:val="both"/>
              <w:rPr>
                <w:b/>
                <w:bCs/>
                <w:i/>
                <w:sz w:val="22"/>
                <w:szCs w:val="22"/>
                <w:lang w:val="en-GB"/>
              </w:rPr>
            </w:pPr>
            <w:hyperlink r:id="rId605" w:history="1">
              <w:r>
                <w:rPr>
                  <w:b/>
                  <w:bCs/>
                  <w:i/>
                  <w:sz w:val="22"/>
                  <w:szCs w:val="22"/>
                  <w:lang w:val="en-GB"/>
                </w:rPr>
                <w:t>SR EN 1366-4</w:t>
              </w:r>
            </w:hyperlink>
          </w:p>
          <w:p w14:paraId="1F28F245" w14:textId="77777777" w:rsidR="001C08A5" w:rsidRDefault="001C08A5">
            <w:pPr>
              <w:rPr>
                <w:b/>
                <w:bCs/>
                <w:i/>
                <w:sz w:val="22"/>
                <w:szCs w:val="22"/>
              </w:rPr>
            </w:pPr>
          </w:p>
        </w:tc>
        <w:tc>
          <w:tcPr>
            <w:tcW w:w="7164" w:type="dxa"/>
          </w:tcPr>
          <w:p w14:paraId="00E30A47" w14:textId="77777777" w:rsidR="001C08A5" w:rsidRDefault="00000000">
            <w:pPr>
              <w:jc w:val="both"/>
              <w:rPr>
                <w:i/>
                <w:sz w:val="22"/>
                <w:szCs w:val="22"/>
              </w:rPr>
            </w:pPr>
            <w:r>
              <w:rPr>
                <w:i/>
                <w:sz w:val="22"/>
                <w:szCs w:val="22"/>
              </w:rPr>
              <w:t>Încercări de rezistență la foc pentru instalații tehnice. Partea 4: Sisteme de etanșare pentru îmbinări liniare</w:t>
            </w:r>
          </w:p>
        </w:tc>
      </w:tr>
      <w:tr w:rsidR="001C08A5" w14:paraId="20ACED8C" w14:textId="77777777">
        <w:tc>
          <w:tcPr>
            <w:tcW w:w="664" w:type="dxa"/>
          </w:tcPr>
          <w:p w14:paraId="2D0A214E" w14:textId="77777777" w:rsidR="001C08A5" w:rsidRDefault="001C08A5">
            <w:pPr>
              <w:numPr>
                <w:ilvl w:val="0"/>
                <w:numId w:val="113"/>
              </w:numPr>
              <w:rPr>
                <w:i/>
                <w:sz w:val="22"/>
                <w:szCs w:val="22"/>
              </w:rPr>
            </w:pPr>
          </w:p>
        </w:tc>
        <w:tc>
          <w:tcPr>
            <w:tcW w:w="1778" w:type="dxa"/>
          </w:tcPr>
          <w:p w14:paraId="78AC809E" w14:textId="77777777" w:rsidR="001C08A5" w:rsidRDefault="00000000">
            <w:pPr>
              <w:jc w:val="both"/>
              <w:rPr>
                <w:b/>
                <w:bCs/>
                <w:i/>
                <w:sz w:val="22"/>
                <w:szCs w:val="22"/>
                <w:lang w:val="en-GB"/>
              </w:rPr>
            </w:pPr>
            <w:hyperlink r:id="rId606" w:history="1">
              <w:r>
                <w:rPr>
                  <w:b/>
                  <w:bCs/>
                  <w:i/>
                  <w:sz w:val="22"/>
                  <w:szCs w:val="22"/>
                  <w:lang w:val="en-GB"/>
                </w:rPr>
                <w:t>SR EN 1366-5</w:t>
              </w:r>
            </w:hyperlink>
          </w:p>
          <w:p w14:paraId="0CCF1657" w14:textId="77777777" w:rsidR="001C08A5" w:rsidRDefault="001C08A5">
            <w:pPr>
              <w:rPr>
                <w:b/>
                <w:bCs/>
                <w:i/>
                <w:sz w:val="22"/>
                <w:szCs w:val="22"/>
              </w:rPr>
            </w:pPr>
          </w:p>
        </w:tc>
        <w:tc>
          <w:tcPr>
            <w:tcW w:w="7164" w:type="dxa"/>
          </w:tcPr>
          <w:p w14:paraId="7F98B6E2" w14:textId="77777777" w:rsidR="001C08A5" w:rsidRDefault="00000000">
            <w:pPr>
              <w:jc w:val="both"/>
              <w:rPr>
                <w:i/>
                <w:sz w:val="22"/>
                <w:szCs w:val="22"/>
              </w:rPr>
            </w:pPr>
            <w:r>
              <w:rPr>
                <w:i/>
                <w:sz w:val="22"/>
                <w:szCs w:val="22"/>
                <w:lang w:val="en-GB"/>
              </w:rPr>
              <w:t>Încercări de rezistenţă la foc pentru instalaţii tehnice. Partea 5: Canale pentru instalaţii tehnice</w:t>
            </w:r>
          </w:p>
        </w:tc>
      </w:tr>
      <w:tr w:rsidR="001C08A5" w14:paraId="485F0362" w14:textId="77777777">
        <w:tc>
          <w:tcPr>
            <w:tcW w:w="664" w:type="dxa"/>
          </w:tcPr>
          <w:p w14:paraId="2521C7A3" w14:textId="77777777" w:rsidR="001C08A5" w:rsidRDefault="001C08A5">
            <w:pPr>
              <w:numPr>
                <w:ilvl w:val="0"/>
                <w:numId w:val="113"/>
              </w:numPr>
              <w:rPr>
                <w:i/>
                <w:sz w:val="22"/>
                <w:szCs w:val="22"/>
              </w:rPr>
            </w:pPr>
          </w:p>
        </w:tc>
        <w:tc>
          <w:tcPr>
            <w:tcW w:w="1778" w:type="dxa"/>
          </w:tcPr>
          <w:p w14:paraId="1BF47F66" w14:textId="77777777" w:rsidR="001C08A5" w:rsidRDefault="00000000">
            <w:pPr>
              <w:jc w:val="both"/>
              <w:rPr>
                <w:b/>
                <w:bCs/>
                <w:i/>
                <w:sz w:val="22"/>
                <w:szCs w:val="22"/>
                <w:lang w:val="en-GB"/>
              </w:rPr>
            </w:pPr>
            <w:hyperlink r:id="rId607" w:history="1">
              <w:r>
                <w:rPr>
                  <w:b/>
                  <w:bCs/>
                  <w:i/>
                  <w:sz w:val="22"/>
                  <w:szCs w:val="22"/>
                  <w:lang w:val="en-GB"/>
                </w:rPr>
                <w:t>SR EN 1366-6</w:t>
              </w:r>
            </w:hyperlink>
          </w:p>
          <w:p w14:paraId="0DC834F7" w14:textId="77777777" w:rsidR="001C08A5" w:rsidRDefault="001C08A5">
            <w:pPr>
              <w:rPr>
                <w:b/>
                <w:bCs/>
                <w:i/>
                <w:sz w:val="22"/>
                <w:szCs w:val="22"/>
              </w:rPr>
            </w:pPr>
          </w:p>
        </w:tc>
        <w:tc>
          <w:tcPr>
            <w:tcW w:w="7164" w:type="dxa"/>
          </w:tcPr>
          <w:p w14:paraId="54A49117" w14:textId="77777777" w:rsidR="001C08A5" w:rsidRDefault="00000000">
            <w:pPr>
              <w:jc w:val="both"/>
              <w:rPr>
                <w:i/>
                <w:sz w:val="22"/>
                <w:szCs w:val="22"/>
              </w:rPr>
            </w:pPr>
            <w:r>
              <w:rPr>
                <w:i/>
                <w:sz w:val="22"/>
                <w:szCs w:val="22"/>
                <w:lang w:val="en-GB"/>
              </w:rPr>
              <w:t xml:space="preserve">Securitatea la incendiu. Încercări de rezistenţă la foc </w:t>
            </w:r>
            <w:proofErr w:type="gramStart"/>
            <w:r>
              <w:rPr>
                <w:i/>
                <w:sz w:val="22"/>
                <w:szCs w:val="22"/>
                <w:lang w:val="en-GB"/>
              </w:rPr>
              <w:t>a</w:t>
            </w:r>
            <w:proofErr w:type="gramEnd"/>
            <w:r>
              <w:rPr>
                <w:i/>
                <w:sz w:val="22"/>
                <w:szCs w:val="22"/>
                <w:lang w:val="en-GB"/>
              </w:rPr>
              <w:t xml:space="preserve"> instalaţiilor pentru utilităţi. Partea 6: Pardoseli supraînălţate şi pardoseli cu goluri</w:t>
            </w:r>
          </w:p>
        </w:tc>
      </w:tr>
      <w:tr w:rsidR="001C08A5" w14:paraId="26A4141C" w14:textId="77777777">
        <w:tc>
          <w:tcPr>
            <w:tcW w:w="664" w:type="dxa"/>
          </w:tcPr>
          <w:p w14:paraId="0011B340" w14:textId="77777777" w:rsidR="001C08A5" w:rsidRDefault="001C08A5">
            <w:pPr>
              <w:numPr>
                <w:ilvl w:val="0"/>
                <w:numId w:val="113"/>
              </w:numPr>
              <w:rPr>
                <w:i/>
                <w:sz w:val="22"/>
                <w:szCs w:val="22"/>
              </w:rPr>
            </w:pPr>
          </w:p>
        </w:tc>
        <w:tc>
          <w:tcPr>
            <w:tcW w:w="1778" w:type="dxa"/>
          </w:tcPr>
          <w:p w14:paraId="42166043" w14:textId="77777777" w:rsidR="001C08A5" w:rsidRDefault="00000000">
            <w:pPr>
              <w:jc w:val="both"/>
              <w:rPr>
                <w:b/>
                <w:bCs/>
                <w:i/>
                <w:sz w:val="22"/>
                <w:szCs w:val="22"/>
                <w:lang w:val="en-GB"/>
              </w:rPr>
            </w:pPr>
            <w:hyperlink r:id="rId608" w:history="1">
              <w:r>
                <w:rPr>
                  <w:b/>
                  <w:bCs/>
                  <w:i/>
                  <w:sz w:val="22"/>
                  <w:szCs w:val="22"/>
                  <w:lang w:val="en-GB"/>
                </w:rPr>
                <w:t>SR EN 1366-7</w:t>
              </w:r>
            </w:hyperlink>
          </w:p>
          <w:p w14:paraId="6F77C527" w14:textId="77777777" w:rsidR="001C08A5" w:rsidRDefault="001C08A5">
            <w:pPr>
              <w:rPr>
                <w:b/>
                <w:bCs/>
                <w:i/>
                <w:sz w:val="22"/>
                <w:szCs w:val="22"/>
              </w:rPr>
            </w:pPr>
          </w:p>
        </w:tc>
        <w:tc>
          <w:tcPr>
            <w:tcW w:w="7164" w:type="dxa"/>
          </w:tcPr>
          <w:p w14:paraId="60D35656" w14:textId="77777777" w:rsidR="001C08A5" w:rsidRDefault="00000000">
            <w:pPr>
              <w:jc w:val="both"/>
              <w:rPr>
                <w:i/>
                <w:sz w:val="22"/>
                <w:szCs w:val="22"/>
              </w:rPr>
            </w:pPr>
            <w:r>
              <w:rPr>
                <w:i/>
                <w:sz w:val="22"/>
                <w:szCs w:val="22"/>
                <w:lang w:val="en-GB"/>
              </w:rPr>
              <w:t xml:space="preserve">Securitatea la incendiu. Încercări de rezistenţă la foc </w:t>
            </w:r>
            <w:proofErr w:type="gramStart"/>
            <w:r>
              <w:rPr>
                <w:i/>
                <w:sz w:val="22"/>
                <w:szCs w:val="22"/>
                <w:lang w:val="en-GB"/>
              </w:rPr>
              <w:t>a</w:t>
            </w:r>
            <w:proofErr w:type="gramEnd"/>
            <w:r>
              <w:rPr>
                <w:i/>
                <w:sz w:val="22"/>
                <w:szCs w:val="22"/>
                <w:lang w:val="en-GB"/>
              </w:rPr>
              <w:t xml:space="preserve"> instalaţiilor pentru utilităţi. Partea 7: Închideri de trecere pentru sisteme de conveiere</w:t>
            </w:r>
          </w:p>
        </w:tc>
      </w:tr>
      <w:tr w:rsidR="001C08A5" w14:paraId="7086883C" w14:textId="77777777">
        <w:tc>
          <w:tcPr>
            <w:tcW w:w="664" w:type="dxa"/>
          </w:tcPr>
          <w:p w14:paraId="7FA43B1A" w14:textId="77777777" w:rsidR="001C08A5" w:rsidRDefault="001C08A5">
            <w:pPr>
              <w:numPr>
                <w:ilvl w:val="0"/>
                <w:numId w:val="113"/>
              </w:numPr>
              <w:rPr>
                <w:i/>
                <w:sz w:val="22"/>
                <w:szCs w:val="22"/>
              </w:rPr>
            </w:pPr>
          </w:p>
        </w:tc>
        <w:tc>
          <w:tcPr>
            <w:tcW w:w="1778" w:type="dxa"/>
          </w:tcPr>
          <w:p w14:paraId="5A7C58D8" w14:textId="77777777" w:rsidR="001C08A5" w:rsidRDefault="00000000">
            <w:pPr>
              <w:jc w:val="both"/>
              <w:rPr>
                <w:b/>
                <w:bCs/>
                <w:i/>
                <w:sz w:val="22"/>
                <w:szCs w:val="22"/>
                <w:lang w:val="en-GB"/>
              </w:rPr>
            </w:pPr>
            <w:hyperlink r:id="rId609" w:history="1">
              <w:r>
                <w:rPr>
                  <w:b/>
                  <w:bCs/>
                  <w:i/>
                  <w:sz w:val="22"/>
                  <w:szCs w:val="22"/>
                  <w:lang w:val="en-GB"/>
                </w:rPr>
                <w:t>SR EN 1366-8</w:t>
              </w:r>
            </w:hyperlink>
          </w:p>
          <w:p w14:paraId="6F692ECE" w14:textId="77777777" w:rsidR="001C08A5" w:rsidRDefault="001C08A5">
            <w:pPr>
              <w:rPr>
                <w:b/>
                <w:bCs/>
                <w:i/>
                <w:sz w:val="22"/>
                <w:szCs w:val="22"/>
              </w:rPr>
            </w:pPr>
          </w:p>
        </w:tc>
        <w:tc>
          <w:tcPr>
            <w:tcW w:w="7164" w:type="dxa"/>
          </w:tcPr>
          <w:p w14:paraId="31359AF5" w14:textId="77777777" w:rsidR="001C08A5" w:rsidRDefault="00000000">
            <w:pPr>
              <w:jc w:val="both"/>
              <w:rPr>
                <w:i/>
                <w:sz w:val="22"/>
                <w:szCs w:val="22"/>
              </w:rPr>
            </w:pPr>
            <w:r>
              <w:rPr>
                <w:i/>
                <w:sz w:val="22"/>
                <w:szCs w:val="22"/>
                <w:lang w:val="en-GB"/>
              </w:rPr>
              <w:t>Încercări de rezistenţă la foc pentru instalaţii tehnice. Partea 8: Conducte pentru evacuarea fumului</w:t>
            </w:r>
          </w:p>
        </w:tc>
      </w:tr>
      <w:tr w:rsidR="001C08A5" w14:paraId="6A6B9288" w14:textId="77777777">
        <w:tc>
          <w:tcPr>
            <w:tcW w:w="664" w:type="dxa"/>
          </w:tcPr>
          <w:p w14:paraId="742560D4" w14:textId="77777777" w:rsidR="001C08A5" w:rsidRDefault="001C08A5">
            <w:pPr>
              <w:numPr>
                <w:ilvl w:val="0"/>
                <w:numId w:val="113"/>
              </w:numPr>
              <w:rPr>
                <w:i/>
                <w:sz w:val="22"/>
                <w:szCs w:val="22"/>
              </w:rPr>
            </w:pPr>
          </w:p>
        </w:tc>
        <w:tc>
          <w:tcPr>
            <w:tcW w:w="1778" w:type="dxa"/>
          </w:tcPr>
          <w:p w14:paraId="590088BE" w14:textId="77777777" w:rsidR="001C08A5" w:rsidRDefault="00000000">
            <w:pPr>
              <w:jc w:val="both"/>
              <w:rPr>
                <w:b/>
                <w:bCs/>
                <w:i/>
                <w:sz w:val="22"/>
                <w:szCs w:val="22"/>
                <w:lang w:val="en-GB"/>
              </w:rPr>
            </w:pPr>
            <w:hyperlink r:id="rId610" w:history="1">
              <w:r>
                <w:rPr>
                  <w:b/>
                  <w:bCs/>
                  <w:i/>
                  <w:sz w:val="22"/>
                  <w:szCs w:val="22"/>
                  <w:lang w:val="en-GB"/>
                </w:rPr>
                <w:t>SR EN 1366-9</w:t>
              </w:r>
            </w:hyperlink>
          </w:p>
          <w:p w14:paraId="048AD83D" w14:textId="77777777" w:rsidR="001C08A5" w:rsidRDefault="001C08A5">
            <w:pPr>
              <w:rPr>
                <w:b/>
                <w:bCs/>
                <w:i/>
                <w:sz w:val="22"/>
                <w:szCs w:val="22"/>
              </w:rPr>
            </w:pPr>
          </w:p>
        </w:tc>
        <w:tc>
          <w:tcPr>
            <w:tcW w:w="7164" w:type="dxa"/>
          </w:tcPr>
          <w:p w14:paraId="5D964F43" w14:textId="77777777" w:rsidR="001C08A5" w:rsidRDefault="00000000">
            <w:pPr>
              <w:jc w:val="both"/>
              <w:rPr>
                <w:i/>
                <w:sz w:val="22"/>
                <w:szCs w:val="22"/>
              </w:rPr>
            </w:pPr>
            <w:r>
              <w:rPr>
                <w:i/>
                <w:sz w:val="22"/>
                <w:szCs w:val="22"/>
                <w:lang w:val="en-GB"/>
              </w:rPr>
              <w:t>Încercări de rezistenţă la foc ale instalaţiilor tehnice. Partea 9: Conducte de evacuare a fumului dintr-un singur compartiment</w:t>
            </w:r>
          </w:p>
        </w:tc>
      </w:tr>
      <w:tr w:rsidR="001C08A5" w14:paraId="4C7C7E77" w14:textId="77777777">
        <w:tc>
          <w:tcPr>
            <w:tcW w:w="664" w:type="dxa"/>
          </w:tcPr>
          <w:p w14:paraId="3BE15967" w14:textId="77777777" w:rsidR="001C08A5" w:rsidRDefault="001C08A5">
            <w:pPr>
              <w:numPr>
                <w:ilvl w:val="0"/>
                <w:numId w:val="113"/>
              </w:numPr>
              <w:rPr>
                <w:i/>
                <w:sz w:val="22"/>
                <w:szCs w:val="22"/>
              </w:rPr>
            </w:pPr>
          </w:p>
        </w:tc>
        <w:tc>
          <w:tcPr>
            <w:tcW w:w="1778" w:type="dxa"/>
          </w:tcPr>
          <w:p w14:paraId="4F2F90C5" w14:textId="77777777" w:rsidR="001C08A5" w:rsidRDefault="00000000">
            <w:pPr>
              <w:jc w:val="both"/>
              <w:rPr>
                <w:b/>
                <w:bCs/>
                <w:i/>
                <w:sz w:val="22"/>
                <w:szCs w:val="22"/>
                <w:lang w:val="en-GB"/>
              </w:rPr>
            </w:pPr>
            <w:hyperlink r:id="rId611" w:history="1">
              <w:r>
                <w:rPr>
                  <w:b/>
                  <w:bCs/>
                  <w:i/>
                  <w:sz w:val="22"/>
                  <w:szCs w:val="22"/>
                  <w:lang w:val="en-GB"/>
                </w:rPr>
                <w:t>SR EN 1366-10</w:t>
              </w:r>
            </w:hyperlink>
          </w:p>
          <w:p w14:paraId="6ED1B2ED" w14:textId="77777777" w:rsidR="001C08A5" w:rsidRDefault="001C08A5">
            <w:pPr>
              <w:rPr>
                <w:b/>
                <w:bCs/>
                <w:i/>
                <w:sz w:val="22"/>
                <w:szCs w:val="22"/>
              </w:rPr>
            </w:pPr>
          </w:p>
        </w:tc>
        <w:tc>
          <w:tcPr>
            <w:tcW w:w="7164" w:type="dxa"/>
          </w:tcPr>
          <w:p w14:paraId="7DCA145F" w14:textId="77777777" w:rsidR="001C08A5" w:rsidRDefault="00000000">
            <w:pPr>
              <w:jc w:val="both"/>
              <w:rPr>
                <w:i/>
                <w:sz w:val="22"/>
                <w:szCs w:val="22"/>
              </w:rPr>
            </w:pPr>
            <w:r>
              <w:rPr>
                <w:i/>
                <w:sz w:val="22"/>
                <w:szCs w:val="22"/>
                <w:lang w:val="en-GB"/>
              </w:rPr>
              <w:t xml:space="preserve">Încercări de rezistenţă la foc </w:t>
            </w:r>
            <w:proofErr w:type="gramStart"/>
            <w:r>
              <w:rPr>
                <w:i/>
                <w:sz w:val="22"/>
                <w:szCs w:val="22"/>
                <w:lang w:val="en-GB"/>
              </w:rPr>
              <w:t>a</w:t>
            </w:r>
            <w:proofErr w:type="gramEnd"/>
            <w:r>
              <w:rPr>
                <w:i/>
                <w:sz w:val="22"/>
                <w:szCs w:val="22"/>
                <w:lang w:val="en-GB"/>
              </w:rPr>
              <w:t xml:space="preserve"> instalaţiilor tehnice. Partea 10: Clapete pentru controlul fumului</w:t>
            </w:r>
          </w:p>
        </w:tc>
      </w:tr>
      <w:tr w:rsidR="001C08A5" w14:paraId="192F6279" w14:textId="77777777">
        <w:tc>
          <w:tcPr>
            <w:tcW w:w="664" w:type="dxa"/>
          </w:tcPr>
          <w:p w14:paraId="5F0C821B" w14:textId="77777777" w:rsidR="001C08A5" w:rsidRDefault="001C08A5">
            <w:pPr>
              <w:numPr>
                <w:ilvl w:val="0"/>
                <w:numId w:val="113"/>
              </w:numPr>
              <w:rPr>
                <w:i/>
                <w:sz w:val="22"/>
                <w:szCs w:val="22"/>
              </w:rPr>
            </w:pPr>
          </w:p>
        </w:tc>
        <w:tc>
          <w:tcPr>
            <w:tcW w:w="1778" w:type="dxa"/>
          </w:tcPr>
          <w:p w14:paraId="7DE82EB4" w14:textId="77777777" w:rsidR="001C08A5" w:rsidRDefault="00000000">
            <w:pPr>
              <w:jc w:val="both"/>
              <w:rPr>
                <w:b/>
                <w:bCs/>
                <w:i/>
                <w:sz w:val="22"/>
                <w:szCs w:val="22"/>
                <w:lang w:val="en-GB"/>
              </w:rPr>
            </w:pPr>
            <w:hyperlink r:id="rId612" w:history="1">
              <w:r>
                <w:rPr>
                  <w:b/>
                  <w:bCs/>
                  <w:i/>
                  <w:sz w:val="22"/>
                  <w:szCs w:val="22"/>
                  <w:lang w:val="en-GB"/>
                </w:rPr>
                <w:t>SR EN 1366-11</w:t>
              </w:r>
            </w:hyperlink>
          </w:p>
          <w:p w14:paraId="4F54BAFB" w14:textId="77777777" w:rsidR="001C08A5" w:rsidRDefault="001C08A5">
            <w:pPr>
              <w:rPr>
                <w:b/>
                <w:bCs/>
                <w:i/>
                <w:sz w:val="22"/>
                <w:szCs w:val="22"/>
              </w:rPr>
            </w:pPr>
          </w:p>
        </w:tc>
        <w:tc>
          <w:tcPr>
            <w:tcW w:w="7164" w:type="dxa"/>
          </w:tcPr>
          <w:p w14:paraId="00961850" w14:textId="77777777" w:rsidR="001C08A5" w:rsidRDefault="00000000">
            <w:pPr>
              <w:jc w:val="both"/>
              <w:rPr>
                <w:i/>
                <w:sz w:val="22"/>
                <w:szCs w:val="22"/>
              </w:rPr>
            </w:pPr>
            <w:r>
              <w:rPr>
                <w:i/>
                <w:sz w:val="22"/>
                <w:szCs w:val="22"/>
                <w:lang w:val="en-GB"/>
              </w:rPr>
              <w:t>Încercări de rezistenţă la foc pentru instalaţii tehnice. Partea 11: Sisteme de protecţie la incendiu pentru sisteme de cabluri şi componente asociate</w:t>
            </w:r>
          </w:p>
        </w:tc>
      </w:tr>
      <w:tr w:rsidR="001C08A5" w14:paraId="3194CB99" w14:textId="77777777">
        <w:tc>
          <w:tcPr>
            <w:tcW w:w="664" w:type="dxa"/>
          </w:tcPr>
          <w:p w14:paraId="49E17248" w14:textId="77777777" w:rsidR="001C08A5" w:rsidRDefault="001C08A5">
            <w:pPr>
              <w:numPr>
                <w:ilvl w:val="0"/>
                <w:numId w:val="113"/>
              </w:numPr>
              <w:rPr>
                <w:i/>
                <w:sz w:val="22"/>
                <w:szCs w:val="22"/>
              </w:rPr>
            </w:pPr>
          </w:p>
        </w:tc>
        <w:tc>
          <w:tcPr>
            <w:tcW w:w="1778" w:type="dxa"/>
          </w:tcPr>
          <w:p w14:paraId="68EA0D95" w14:textId="77777777" w:rsidR="001C08A5" w:rsidRDefault="00000000">
            <w:pPr>
              <w:jc w:val="both"/>
              <w:rPr>
                <w:b/>
                <w:bCs/>
                <w:i/>
                <w:sz w:val="22"/>
                <w:szCs w:val="22"/>
                <w:lang w:val="en-GB"/>
              </w:rPr>
            </w:pPr>
            <w:hyperlink r:id="rId613" w:history="1">
              <w:r>
                <w:rPr>
                  <w:b/>
                  <w:bCs/>
                  <w:i/>
                  <w:sz w:val="22"/>
                  <w:szCs w:val="22"/>
                  <w:lang w:val="en-GB"/>
                </w:rPr>
                <w:t>SR EN 1366-12</w:t>
              </w:r>
            </w:hyperlink>
          </w:p>
          <w:p w14:paraId="7617F1FB" w14:textId="77777777" w:rsidR="001C08A5" w:rsidRDefault="001C08A5">
            <w:pPr>
              <w:rPr>
                <w:b/>
                <w:bCs/>
                <w:i/>
                <w:sz w:val="22"/>
                <w:szCs w:val="22"/>
              </w:rPr>
            </w:pPr>
          </w:p>
        </w:tc>
        <w:tc>
          <w:tcPr>
            <w:tcW w:w="7164" w:type="dxa"/>
          </w:tcPr>
          <w:p w14:paraId="0FAB16C2" w14:textId="77777777" w:rsidR="001C08A5" w:rsidRDefault="00000000">
            <w:pPr>
              <w:jc w:val="both"/>
              <w:rPr>
                <w:i/>
                <w:sz w:val="22"/>
                <w:szCs w:val="22"/>
              </w:rPr>
            </w:pPr>
            <w:r>
              <w:rPr>
                <w:i/>
                <w:sz w:val="22"/>
                <w:szCs w:val="22"/>
                <w:lang w:val="en-GB"/>
              </w:rPr>
              <w:t>Încercări de rezistență la foc pentru instalații tehnice. Partea 12: Bariere rezistente la foc nemecanice pentru conducte de ventilare</w:t>
            </w:r>
          </w:p>
        </w:tc>
      </w:tr>
      <w:tr w:rsidR="001C08A5" w14:paraId="0098F619" w14:textId="77777777">
        <w:tc>
          <w:tcPr>
            <w:tcW w:w="664" w:type="dxa"/>
          </w:tcPr>
          <w:p w14:paraId="34536C1F" w14:textId="77777777" w:rsidR="001C08A5" w:rsidRDefault="001C08A5">
            <w:pPr>
              <w:numPr>
                <w:ilvl w:val="0"/>
                <w:numId w:val="113"/>
              </w:numPr>
              <w:rPr>
                <w:i/>
                <w:sz w:val="22"/>
                <w:szCs w:val="22"/>
              </w:rPr>
            </w:pPr>
          </w:p>
        </w:tc>
        <w:tc>
          <w:tcPr>
            <w:tcW w:w="1778" w:type="dxa"/>
          </w:tcPr>
          <w:p w14:paraId="7F67BC4C" w14:textId="77777777" w:rsidR="001C08A5" w:rsidRDefault="00000000">
            <w:pPr>
              <w:jc w:val="both"/>
              <w:rPr>
                <w:b/>
                <w:bCs/>
                <w:i/>
                <w:sz w:val="22"/>
                <w:szCs w:val="22"/>
                <w:lang w:val="en-GB"/>
              </w:rPr>
            </w:pPr>
            <w:hyperlink r:id="rId614" w:history="1">
              <w:r>
                <w:rPr>
                  <w:b/>
                  <w:bCs/>
                  <w:i/>
                  <w:sz w:val="22"/>
                  <w:szCs w:val="22"/>
                  <w:lang w:val="en-GB"/>
                </w:rPr>
                <w:t>SR EN 1366-13</w:t>
              </w:r>
            </w:hyperlink>
          </w:p>
          <w:p w14:paraId="49AFA40C" w14:textId="77777777" w:rsidR="001C08A5" w:rsidRDefault="001C08A5">
            <w:pPr>
              <w:rPr>
                <w:b/>
                <w:bCs/>
                <w:i/>
                <w:sz w:val="22"/>
                <w:szCs w:val="22"/>
              </w:rPr>
            </w:pPr>
          </w:p>
        </w:tc>
        <w:tc>
          <w:tcPr>
            <w:tcW w:w="7164" w:type="dxa"/>
          </w:tcPr>
          <w:p w14:paraId="723544B0" w14:textId="77777777" w:rsidR="001C08A5" w:rsidRDefault="00000000">
            <w:pPr>
              <w:jc w:val="both"/>
              <w:rPr>
                <w:i/>
                <w:sz w:val="22"/>
                <w:szCs w:val="22"/>
              </w:rPr>
            </w:pPr>
            <w:r>
              <w:rPr>
                <w:i/>
                <w:sz w:val="22"/>
                <w:szCs w:val="22"/>
                <w:lang w:val="en-GB"/>
              </w:rPr>
              <w:t>Încercări de rezistență la foc pentru instalații tehnice. Partea 13: Coșuri de fum</w:t>
            </w:r>
          </w:p>
        </w:tc>
      </w:tr>
      <w:tr w:rsidR="001C08A5" w14:paraId="6EA2D9BD" w14:textId="77777777">
        <w:tc>
          <w:tcPr>
            <w:tcW w:w="664" w:type="dxa"/>
          </w:tcPr>
          <w:p w14:paraId="0725CEC3" w14:textId="77777777" w:rsidR="001C08A5" w:rsidRDefault="001C08A5">
            <w:pPr>
              <w:numPr>
                <w:ilvl w:val="0"/>
                <w:numId w:val="113"/>
              </w:numPr>
              <w:rPr>
                <w:i/>
                <w:sz w:val="22"/>
                <w:szCs w:val="22"/>
              </w:rPr>
            </w:pPr>
          </w:p>
        </w:tc>
        <w:tc>
          <w:tcPr>
            <w:tcW w:w="1778" w:type="dxa"/>
          </w:tcPr>
          <w:p w14:paraId="5079D2BA" w14:textId="77777777" w:rsidR="001C08A5" w:rsidRDefault="00000000">
            <w:pPr>
              <w:jc w:val="both"/>
              <w:rPr>
                <w:b/>
                <w:bCs/>
                <w:i/>
                <w:sz w:val="22"/>
                <w:szCs w:val="22"/>
                <w:lang w:val="en-GB"/>
              </w:rPr>
            </w:pPr>
            <w:hyperlink r:id="rId615" w:history="1">
              <w:r>
                <w:rPr>
                  <w:b/>
                  <w:bCs/>
                  <w:i/>
                  <w:sz w:val="22"/>
                  <w:szCs w:val="22"/>
                  <w:lang w:val="en-GB"/>
                </w:rPr>
                <w:t>SR EN 15659</w:t>
              </w:r>
            </w:hyperlink>
          </w:p>
          <w:p w14:paraId="6C95FE46" w14:textId="77777777" w:rsidR="001C08A5" w:rsidRDefault="001C08A5">
            <w:pPr>
              <w:rPr>
                <w:b/>
                <w:bCs/>
                <w:i/>
                <w:sz w:val="22"/>
                <w:szCs w:val="22"/>
              </w:rPr>
            </w:pPr>
          </w:p>
        </w:tc>
        <w:tc>
          <w:tcPr>
            <w:tcW w:w="7164" w:type="dxa"/>
          </w:tcPr>
          <w:p w14:paraId="5148BDB6" w14:textId="77777777" w:rsidR="001C08A5" w:rsidRDefault="00000000">
            <w:pPr>
              <w:jc w:val="both"/>
              <w:rPr>
                <w:i/>
                <w:sz w:val="22"/>
                <w:szCs w:val="22"/>
              </w:rPr>
            </w:pPr>
            <w:r>
              <w:rPr>
                <w:i/>
                <w:sz w:val="22"/>
                <w:szCs w:val="22"/>
                <w:lang w:val="en-GB"/>
              </w:rPr>
              <w:t>Unități de depozitare de securitate. Clasificare și metode de încercare pentru determinarea rezistenței la foc. Unități de depozitare cu rezistență limitată la foc</w:t>
            </w:r>
          </w:p>
        </w:tc>
      </w:tr>
      <w:tr w:rsidR="001C08A5" w14:paraId="6F838128" w14:textId="77777777">
        <w:tc>
          <w:tcPr>
            <w:tcW w:w="664" w:type="dxa"/>
          </w:tcPr>
          <w:p w14:paraId="788813B4" w14:textId="77777777" w:rsidR="001C08A5" w:rsidRDefault="001C08A5">
            <w:pPr>
              <w:numPr>
                <w:ilvl w:val="0"/>
                <w:numId w:val="113"/>
              </w:numPr>
              <w:rPr>
                <w:i/>
                <w:sz w:val="22"/>
                <w:szCs w:val="22"/>
              </w:rPr>
            </w:pPr>
          </w:p>
        </w:tc>
        <w:tc>
          <w:tcPr>
            <w:tcW w:w="1778" w:type="dxa"/>
          </w:tcPr>
          <w:p w14:paraId="1768DDE6" w14:textId="77777777" w:rsidR="001C08A5" w:rsidRDefault="00000000">
            <w:pPr>
              <w:jc w:val="both"/>
              <w:rPr>
                <w:b/>
                <w:bCs/>
                <w:i/>
                <w:sz w:val="22"/>
                <w:szCs w:val="22"/>
                <w:lang w:val="en-GB"/>
              </w:rPr>
            </w:pPr>
            <w:hyperlink r:id="rId616" w:history="1">
              <w:r>
                <w:rPr>
                  <w:b/>
                  <w:bCs/>
                  <w:i/>
                  <w:sz w:val="22"/>
                  <w:szCs w:val="22"/>
                  <w:lang w:val="en-GB"/>
                </w:rPr>
                <w:t>SR EN 15998</w:t>
              </w:r>
            </w:hyperlink>
          </w:p>
          <w:p w14:paraId="2D157D9F" w14:textId="77777777" w:rsidR="001C08A5" w:rsidRDefault="001C08A5">
            <w:pPr>
              <w:rPr>
                <w:b/>
                <w:bCs/>
                <w:i/>
                <w:sz w:val="22"/>
                <w:szCs w:val="22"/>
              </w:rPr>
            </w:pPr>
          </w:p>
        </w:tc>
        <w:tc>
          <w:tcPr>
            <w:tcW w:w="7164" w:type="dxa"/>
          </w:tcPr>
          <w:p w14:paraId="2C811807" w14:textId="77777777" w:rsidR="001C08A5" w:rsidRDefault="00000000">
            <w:pPr>
              <w:jc w:val="both"/>
              <w:rPr>
                <w:i/>
                <w:sz w:val="22"/>
                <w:szCs w:val="22"/>
              </w:rPr>
            </w:pPr>
            <w:r>
              <w:rPr>
                <w:i/>
                <w:sz w:val="22"/>
                <w:szCs w:val="22"/>
                <w:lang w:val="en-GB"/>
              </w:rPr>
              <w:t>Sticlă pentru construcţii. Securitate în caz de incendiu, rezistenţă la foc. Metodologie de încercare a sticlei în scopul clasificării</w:t>
            </w:r>
          </w:p>
        </w:tc>
      </w:tr>
      <w:tr w:rsidR="001C08A5" w14:paraId="7F57A04A" w14:textId="77777777">
        <w:tc>
          <w:tcPr>
            <w:tcW w:w="664" w:type="dxa"/>
          </w:tcPr>
          <w:p w14:paraId="22FED9B6" w14:textId="77777777" w:rsidR="001C08A5" w:rsidRDefault="001C08A5">
            <w:pPr>
              <w:numPr>
                <w:ilvl w:val="0"/>
                <w:numId w:val="113"/>
              </w:numPr>
              <w:rPr>
                <w:i/>
                <w:sz w:val="22"/>
                <w:szCs w:val="22"/>
              </w:rPr>
            </w:pPr>
          </w:p>
        </w:tc>
        <w:tc>
          <w:tcPr>
            <w:tcW w:w="1778" w:type="dxa"/>
          </w:tcPr>
          <w:p w14:paraId="25F2F076" w14:textId="77777777" w:rsidR="001C08A5" w:rsidRDefault="00000000">
            <w:pPr>
              <w:jc w:val="both"/>
              <w:rPr>
                <w:b/>
                <w:bCs/>
                <w:i/>
                <w:sz w:val="22"/>
                <w:szCs w:val="22"/>
                <w:lang w:val="en-GB"/>
              </w:rPr>
            </w:pPr>
            <w:hyperlink r:id="rId617" w:history="1">
              <w:r>
                <w:rPr>
                  <w:b/>
                  <w:bCs/>
                  <w:i/>
                  <w:sz w:val="22"/>
                  <w:szCs w:val="22"/>
                  <w:lang w:val="en-GB"/>
                </w:rPr>
                <w:t>SR EN 16034</w:t>
              </w:r>
            </w:hyperlink>
          </w:p>
          <w:p w14:paraId="73FFB46F" w14:textId="77777777" w:rsidR="001C08A5" w:rsidRDefault="001C08A5">
            <w:pPr>
              <w:rPr>
                <w:b/>
                <w:bCs/>
                <w:i/>
                <w:sz w:val="22"/>
                <w:szCs w:val="22"/>
              </w:rPr>
            </w:pPr>
          </w:p>
        </w:tc>
        <w:tc>
          <w:tcPr>
            <w:tcW w:w="7164" w:type="dxa"/>
          </w:tcPr>
          <w:p w14:paraId="33B9F0CC" w14:textId="77777777" w:rsidR="001C08A5" w:rsidRDefault="00000000">
            <w:pPr>
              <w:jc w:val="both"/>
              <w:rPr>
                <w:i/>
                <w:sz w:val="22"/>
                <w:szCs w:val="22"/>
              </w:rPr>
            </w:pPr>
            <w:r>
              <w:rPr>
                <w:i/>
                <w:sz w:val="22"/>
                <w:szCs w:val="22"/>
                <w:lang w:val="en-GB"/>
              </w:rPr>
              <w:t>Uşi pentru pietoni, uşi pentru uz industrial, comercial, pentru garaje şi ferestre. Standard de produs, caracteristici de performanţă. Caracteristici de rezistenţă la foc şi/sau etanşeitate la fum</w:t>
            </w:r>
          </w:p>
        </w:tc>
      </w:tr>
      <w:tr w:rsidR="001C08A5" w14:paraId="16EA307D" w14:textId="77777777">
        <w:tc>
          <w:tcPr>
            <w:tcW w:w="664" w:type="dxa"/>
          </w:tcPr>
          <w:p w14:paraId="5FAD4372" w14:textId="77777777" w:rsidR="001C08A5" w:rsidRDefault="001C08A5">
            <w:pPr>
              <w:numPr>
                <w:ilvl w:val="0"/>
                <w:numId w:val="113"/>
              </w:numPr>
              <w:rPr>
                <w:i/>
                <w:sz w:val="22"/>
                <w:szCs w:val="22"/>
              </w:rPr>
            </w:pPr>
          </w:p>
        </w:tc>
        <w:tc>
          <w:tcPr>
            <w:tcW w:w="1778" w:type="dxa"/>
          </w:tcPr>
          <w:p w14:paraId="15016354" w14:textId="77777777" w:rsidR="001C08A5" w:rsidRDefault="00000000">
            <w:pPr>
              <w:rPr>
                <w:b/>
                <w:bCs/>
                <w:i/>
                <w:sz w:val="22"/>
                <w:szCs w:val="22"/>
              </w:rPr>
            </w:pPr>
            <w:r>
              <w:rPr>
                <w:b/>
                <w:bCs/>
                <w:i/>
                <w:sz w:val="22"/>
                <w:szCs w:val="22"/>
              </w:rPr>
              <w:t>SR EN 1634-1</w:t>
            </w:r>
          </w:p>
        </w:tc>
        <w:tc>
          <w:tcPr>
            <w:tcW w:w="7164" w:type="dxa"/>
          </w:tcPr>
          <w:p w14:paraId="714C4B1B" w14:textId="77777777" w:rsidR="001C08A5" w:rsidRDefault="00000000">
            <w:pPr>
              <w:jc w:val="both"/>
              <w:rPr>
                <w:i/>
                <w:sz w:val="22"/>
                <w:szCs w:val="22"/>
              </w:rPr>
            </w:pPr>
            <w:r>
              <w:rPr>
                <w:i/>
                <w:sz w:val="22"/>
                <w:szCs w:val="22"/>
                <w:lang w:val="en-GB"/>
              </w:rPr>
              <w:t>Încercări de rezistenţă la foc şi etanşeitate la fum pentru uşi, obloane, ferestre şi elemente de feronerie. Partea 1: Încercări de rezistenţă la foc pentru uşi, obloane şi ferestre</w:t>
            </w:r>
          </w:p>
        </w:tc>
      </w:tr>
      <w:tr w:rsidR="001C08A5" w14:paraId="4B9BED45" w14:textId="77777777">
        <w:tc>
          <w:tcPr>
            <w:tcW w:w="664" w:type="dxa"/>
          </w:tcPr>
          <w:p w14:paraId="3152F19F" w14:textId="77777777" w:rsidR="001C08A5" w:rsidRDefault="001C08A5">
            <w:pPr>
              <w:numPr>
                <w:ilvl w:val="0"/>
                <w:numId w:val="113"/>
              </w:numPr>
              <w:rPr>
                <w:i/>
                <w:sz w:val="22"/>
                <w:szCs w:val="22"/>
              </w:rPr>
            </w:pPr>
          </w:p>
        </w:tc>
        <w:tc>
          <w:tcPr>
            <w:tcW w:w="1778" w:type="dxa"/>
          </w:tcPr>
          <w:p w14:paraId="560C1BCE" w14:textId="77777777" w:rsidR="001C08A5" w:rsidRDefault="00000000">
            <w:pPr>
              <w:jc w:val="both"/>
              <w:rPr>
                <w:b/>
                <w:bCs/>
                <w:i/>
                <w:sz w:val="22"/>
                <w:szCs w:val="22"/>
                <w:lang w:val="en-GB"/>
              </w:rPr>
            </w:pPr>
            <w:hyperlink r:id="rId618" w:history="1">
              <w:r>
                <w:rPr>
                  <w:b/>
                  <w:bCs/>
                  <w:i/>
                  <w:sz w:val="22"/>
                  <w:szCs w:val="22"/>
                  <w:lang w:val="en-GB"/>
                </w:rPr>
                <w:t>SR EN 1634-2</w:t>
              </w:r>
            </w:hyperlink>
          </w:p>
          <w:p w14:paraId="29938CC6" w14:textId="77777777" w:rsidR="001C08A5" w:rsidRDefault="001C08A5">
            <w:pPr>
              <w:rPr>
                <w:b/>
                <w:bCs/>
                <w:i/>
                <w:sz w:val="22"/>
                <w:szCs w:val="22"/>
              </w:rPr>
            </w:pPr>
          </w:p>
        </w:tc>
        <w:tc>
          <w:tcPr>
            <w:tcW w:w="7164" w:type="dxa"/>
          </w:tcPr>
          <w:p w14:paraId="1C8C40BA" w14:textId="77777777" w:rsidR="001C08A5" w:rsidRDefault="00000000">
            <w:pPr>
              <w:jc w:val="both"/>
              <w:rPr>
                <w:i/>
                <w:sz w:val="22"/>
                <w:szCs w:val="22"/>
              </w:rPr>
            </w:pPr>
            <w:r>
              <w:rPr>
                <w:i/>
                <w:sz w:val="22"/>
                <w:szCs w:val="22"/>
                <w:lang w:val="en-GB"/>
              </w:rPr>
              <w:t>Încercări de rezistenţă la foc şi etanşeitate la fum pentru uşi, obloane, ferestre şi elemente de feronerie. Partea 2: Încercări de caracterizare a rezistenţei la foc pentru elemente de feronerie</w:t>
            </w:r>
          </w:p>
        </w:tc>
      </w:tr>
      <w:tr w:rsidR="001C08A5" w14:paraId="4592A05E" w14:textId="77777777">
        <w:tc>
          <w:tcPr>
            <w:tcW w:w="664" w:type="dxa"/>
          </w:tcPr>
          <w:p w14:paraId="37EA57C5" w14:textId="77777777" w:rsidR="001C08A5" w:rsidRDefault="001C08A5">
            <w:pPr>
              <w:numPr>
                <w:ilvl w:val="0"/>
                <w:numId w:val="113"/>
              </w:numPr>
              <w:rPr>
                <w:i/>
                <w:sz w:val="22"/>
                <w:szCs w:val="22"/>
              </w:rPr>
            </w:pPr>
          </w:p>
        </w:tc>
        <w:tc>
          <w:tcPr>
            <w:tcW w:w="1778" w:type="dxa"/>
          </w:tcPr>
          <w:p w14:paraId="3435E307" w14:textId="77777777" w:rsidR="001C08A5" w:rsidRDefault="00000000">
            <w:pPr>
              <w:jc w:val="both"/>
              <w:rPr>
                <w:b/>
                <w:bCs/>
                <w:i/>
                <w:sz w:val="22"/>
                <w:szCs w:val="22"/>
                <w:lang w:val="en-GB"/>
              </w:rPr>
            </w:pPr>
            <w:hyperlink r:id="rId619" w:history="1">
              <w:r>
                <w:rPr>
                  <w:b/>
                  <w:bCs/>
                  <w:i/>
                  <w:sz w:val="22"/>
                  <w:szCs w:val="22"/>
                  <w:lang w:val="en-GB"/>
                </w:rPr>
                <w:t>SR EN 1634-3</w:t>
              </w:r>
            </w:hyperlink>
          </w:p>
          <w:p w14:paraId="125361CE" w14:textId="77777777" w:rsidR="001C08A5" w:rsidRDefault="001C08A5">
            <w:pPr>
              <w:rPr>
                <w:b/>
                <w:bCs/>
                <w:i/>
                <w:sz w:val="22"/>
                <w:szCs w:val="22"/>
              </w:rPr>
            </w:pPr>
          </w:p>
        </w:tc>
        <w:tc>
          <w:tcPr>
            <w:tcW w:w="7164" w:type="dxa"/>
          </w:tcPr>
          <w:p w14:paraId="23DBE2A5" w14:textId="77777777" w:rsidR="001C08A5" w:rsidRDefault="00000000">
            <w:pPr>
              <w:rPr>
                <w:i/>
                <w:sz w:val="22"/>
                <w:szCs w:val="22"/>
              </w:rPr>
            </w:pPr>
            <w:r>
              <w:rPr>
                <w:i/>
                <w:sz w:val="22"/>
                <w:szCs w:val="22"/>
                <w:lang w:val="en-GB"/>
              </w:rPr>
              <w:t>Încercări de rezistenţă la foc pentru ansambluri de uşi şi obloane. Partea 3: Uşi şi obloane etanşe la fum</w:t>
            </w:r>
          </w:p>
        </w:tc>
      </w:tr>
      <w:tr w:rsidR="001C08A5" w14:paraId="4434EEE8" w14:textId="77777777">
        <w:tc>
          <w:tcPr>
            <w:tcW w:w="664" w:type="dxa"/>
          </w:tcPr>
          <w:p w14:paraId="251F1A7B" w14:textId="77777777" w:rsidR="001C08A5" w:rsidRDefault="001C08A5">
            <w:pPr>
              <w:numPr>
                <w:ilvl w:val="0"/>
                <w:numId w:val="113"/>
              </w:numPr>
              <w:rPr>
                <w:i/>
                <w:sz w:val="22"/>
                <w:szCs w:val="22"/>
              </w:rPr>
            </w:pPr>
          </w:p>
        </w:tc>
        <w:tc>
          <w:tcPr>
            <w:tcW w:w="1778" w:type="dxa"/>
          </w:tcPr>
          <w:p w14:paraId="35479C7A" w14:textId="77777777" w:rsidR="001C08A5" w:rsidRDefault="00000000">
            <w:pPr>
              <w:jc w:val="both"/>
              <w:rPr>
                <w:b/>
                <w:bCs/>
                <w:i/>
                <w:sz w:val="22"/>
                <w:szCs w:val="22"/>
                <w:lang w:val="en-GB"/>
              </w:rPr>
            </w:pPr>
            <w:hyperlink r:id="rId620" w:history="1">
              <w:r>
                <w:rPr>
                  <w:b/>
                  <w:bCs/>
                  <w:i/>
                  <w:sz w:val="22"/>
                  <w:szCs w:val="22"/>
                  <w:lang w:val="en-GB"/>
                </w:rPr>
                <w:t>SR EN 1634-3</w:t>
              </w:r>
            </w:hyperlink>
          </w:p>
          <w:p w14:paraId="174ACC37" w14:textId="77777777" w:rsidR="001C08A5" w:rsidRDefault="001C08A5">
            <w:pPr>
              <w:rPr>
                <w:b/>
                <w:bCs/>
                <w:i/>
                <w:sz w:val="22"/>
                <w:szCs w:val="22"/>
              </w:rPr>
            </w:pPr>
          </w:p>
        </w:tc>
        <w:tc>
          <w:tcPr>
            <w:tcW w:w="7164" w:type="dxa"/>
          </w:tcPr>
          <w:p w14:paraId="2B890FEE" w14:textId="77777777" w:rsidR="001C08A5" w:rsidRDefault="00000000">
            <w:pPr>
              <w:jc w:val="both"/>
              <w:rPr>
                <w:i/>
                <w:sz w:val="22"/>
                <w:szCs w:val="22"/>
              </w:rPr>
            </w:pPr>
            <w:r>
              <w:rPr>
                <w:i/>
                <w:sz w:val="22"/>
                <w:szCs w:val="22"/>
                <w:lang w:val="en-GB"/>
              </w:rPr>
              <w:t>Încercări de rezistenţă la foc şi de etanşeitate la fum pentru uşi şi ansambluri de închidere, ferestre şi elemente metalice pentru construcţii. Partea 3: Încercare de etanşeitate la fum pentru uşi şi ansambluri de închidere</w:t>
            </w:r>
          </w:p>
        </w:tc>
      </w:tr>
      <w:tr w:rsidR="001C08A5" w14:paraId="5E9A2DC4" w14:textId="77777777">
        <w:tc>
          <w:tcPr>
            <w:tcW w:w="664" w:type="dxa"/>
          </w:tcPr>
          <w:p w14:paraId="3DBE2521" w14:textId="77777777" w:rsidR="001C08A5" w:rsidRDefault="001C08A5">
            <w:pPr>
              <w:numPr>
                <w:ilvl w:val="0"/>
                <w:numId w:val="113"/>
              </w:numPr>
              <w:rPr>
                <w:i/>
                <w:sz w:val="22"/>
                <w:szCs w:val="22"/>
              </w:rPr>
            </w:pPr>
          </w:p>
        </w:tc>
        <w:tc>
          <w:tcPr>
            <w:tcW w:w="1778" w:type="dxa"/>
          </w:tcPr>
          <w:p w14:paraId="42A33D94" w14:textId="77777777" w:rsidR="001C08A5" w:rsidRDefault="00000000">
            <w:pPr>
              <w:jc w:val="both"/>
              <w:rPr>
                <w:b/>
                <w:bCs/>
                <w:i/>
                <w:sz w:val="22"/>
                <w:szCs w:val="22"/>
                <w:lang w:val="en-GB"/>
              </w:rPr>
            </w:pPr>
            <w:hyperlink r:id="rId621" w:history="1">
              <w:r>
                <w:rPr>
                  <w:b/>
                  <w:bCs/>
                  <w:i/>
                  <w:sz w:val="22"/>
                  <w:szCs w:val="22"/>
                  <w:lang w:val="en-GB"/>
                </w:rPr>
                <w:t>SR EN 13381-1</w:t>
              </w:r>
            </w:hyperlink>
          </w:p>
          <w:p w14:paraId="0B7E2166" w14:textId="77777777" w:rsidR="001C08A5" w:rsidRDefault="001C08A5">
            <w:pPr>
              <w:rPr>
                <w:b/>
                <w:bCs/>
                <w:i/>
                <w:sz w:val="22"/>
                <w:szCs w:val="22"/>
              </w:rPr>
            </w:pPr>
          </w:p>
        </w:tc>
        <w:tc>
          <w:tcPr>
            <w:tcW w:w="7164" w:type="dxa"/>
          </w:tcPr>
          <w:p w14:paraId="00D3F63D" w14:textId="77777777" w:rsidR="001C08A5" w:rsidRDefault="00000000">
            <w:pPr>
              <w:jc w:val="both"/>
              <w:rPr>
                <w:i/>
                <w:sz w:val="22"/>
                <w:szCs w:val="22"/>
              </w:rPr>
            </w:pPr>
            <w:r>
              <w:rPr>
                <w:i/>
                <w:sz w:val="22"/>
                <w:szCs w:val="22"/>
                <w:lang w:val="en-GB"/>
              </w:rPr>
              <w:t xml:space="preserve">Metode de încercare pentru determinarea contribuției la rezistența la foc </w:t>
            </w:r>
            <w:proofErr w:type="gramStart"/>
            <w:r>
              <w:rPr>
                <w:i/>
                <w:sz w:val="22"/>
                <w:szCs w:val="22"/>
                <w:lang w:val="en-GB"/>
              </w:rPr>
              <w:t>a</w:t>
            </w:r>
            <w:proofErr w:type="gramEnd"/>
            <w:r>
              <w:rPr>
                <w:i/>
                <w:sz w:val="22"/>
                <w:szCs w:val="22"/>
                <w:lang w:val="en-GB"/>
              </w:rPr>
              <w:t xml:space="preserve"> elementelor de construcție. Partea 1: Membrane de protecție orizontale</w:t>
            </w:r>
          </w:p>
        </w:tc>
      </w:tr>
      <w:tr w:rsidR="001C08A5" w14:paraId="4FF7CEC1" w14:textId="77777777">
        <w:tc>
          <w:tcPr>
            <w:tcW w:w="664" w:type="dxa"/>
          </w:tcPr>
          <w:p w14:paraId="5BDAAD77" w14:textId="77777777" w:rsidR="001C08A5" w:rsidRDefault="001C08A5">
            <w:pPr>
              <w:numPr>
                <w:ilvl w:val="0"/>
                <w:numId w:val="113"/>
              </w:numPr>
              <w:rPr>
                <w:i/>
                <w:sz w:val="22"/>
                <w:szCs w:val="22"/>
              </w:rPr>
            </w:pPr>
          </w:p>
        </w:tc>
        <w:tc>
          <w:tcPr>
            <w:tcW w:w="1778" w:type="dxa"/>
          </w:tcPr>
          <w:p w14:paraId="6F3D9DCC" w14:textId="77777777" w:rsidR="001C08A5" w:rsidRDefault="00000000">
            <w:pPr>
              <w:jc w:val="both"/>
              <w:rPr>
                <w:b/>
                <w:bCs/>
                <w:i/>
                <w:sz w:val="22"/>
                <w:szCs w:val="22"/>
                <w:lang w:val="en-GB"/>
              </w:rPr>
            </w:pPr>
            <w:hyperlink r:id="rId622" w:history="1">
              <w:r>
                <w:rPr>
                  <w:b/>
                  <w:bCs/>
                  <w:i/>
                  <w:sz w:val="22"/>
                  <w:szCs w:val="22"/>
                  <w:lang w:val="en-GB"/>
                </w:rPr>
                <w:t>SR EN 13381-2</w:t>
              </w:r>
            </w:hyperlink>
          </w:p>
          <w:p w14:paraId="29DB86B5" w14:textId="77777777" w:rsidR="001C08A5" w:rsidRDefault="001C08A5">
            <w:pPr>
              <w:jc w:val="center"/>
              <w:rPr>
                <w:b/>
                <w:bCs/>
                <w:i/>
                <w:sz w:val="22"/>
                <w:szCs w:val="22"/>
              </w:rPr>
            </w:pPr>
          </w:p>
        </w:tc>
        <w:tc>
          <w:tcPr>
            <w:tcW w:w="7164" w:type="dxa"/>
          </w:tcPr>
          <w:p w14:paraId="65CBA14C" w14:textId="77777777" w:rsidR="001C08A5" w:rsidRDefault="00000000">
            <w:pPr>
              <w:jc w:val="both"/>
              <w:rPr>
                <w:i/>
                <w:sz w:val="22"/>
                <w:szCs w:val="22"/>
              </w:rPr>
            </w:pPr>
            <w:r>
              <w:rPr>
                <w:i/>
                <w:sz w:val="22"/>
                <w:szCs w:val="22"/>
                <w:lang w:val="en-GB"/>
              </w:rPr>
              <w:t xml:space="preserve">Metode de încercare pentru determinarea contribuţiei la rezistenţa la foc </w:t>
            </w:r>
            <w:proofErr w:type="gramStart"/>
            <w:r>
              <w:rPr>
                <w:i/>
                <w:sz w:val="22"/>
                <w:szCs w:val="22"/>
                <w:lang w:val="en-GB"/>
              </w:rPr>
              <w:t>a</w:t>
            </w:r>
            <w:proofErr w:type="gramEnd"/>
            <w:r>
              <w:rPr>
                <w:i/>
                <w:sz w:val="22"/>
                <w:szCs w:val="22"/>
                <w:lang w:val="en-GB"/>
              </w:rPr>
              <w:t xml:space="preserve"> elementelor de construcţie. Partea 2: Membrane de protecţie verticale</w:t>
            </w:r>
          </w:p>
        </w:tc>
      </w:tr>
      <w:tr w:rsidR="001C08A5" w14:paraId="640AD943" w14:textId="77777777">
        <w:tc>
          <w:tcPr>
            <w:tcW w:w="664" w:type="dxa"/>
          </w:tcPr>
          <w:p w14:paraId="70C39C66" w14:textId="77777777" w:rsidR="001C08A5" w:rsidRDefault="001C08A5">
            <w:pPr>
              <w:numPr>
                <w:ilvl w:val="0"/>
                <w:numId w:val="113"/>
              </w:numPr>
              <w:rPr>
                <w:i/>
                <w:sz w:val="22"/>
                <w:szCs w:val="22"/>
              </w:rPr>
            </w:pPr>
          </w:p>
        </w:tc>
        <w:tc>
          <w:tcPr>
            <w:tcW w:w="1778" w:type="dxa"/>
          </w:tcPr>
          <w:p w14:paraId="1B53F08A" w14:textId="77777777" w:rsidR="001C08A5" w:rsidRDefault="00000000">
            <w:pPr>
              <w:jc w:val="both"/>
              <w:rPr>
                <w:b/>
                <w:bCs/>
                <w:i/>
                <w:sz w:val="22"/>
                <w:szCs w:val="22"/>
                <w:lang w:val="en-GB"/>
              </w:rPr>
            </w:pPr>
            <w:hyperlink r:id="rId623" w:history="1">
              <w:r>
                <w:rPr>
                  <w:b/>
                  <w:bCs/>
                  <w:i/>
                  <w:sz w:val="22"/>
                  <w:szCs w:val="22"/>
                  <w:lang w:val="en-GB"/>
                </w:rPr>
                <w:t>SR EN 13381-3</w:t>
              </w:r>
            </w:hyperlink>
          </w:p>
          <w:p w14:paraId="7E3F9ECB" w14:textId="77777777" w:rsidR="001C08A5" w:rsidRDefault="001C08A5">
            <w:pPr>
              <w:rPr>
                <w:b/>
                <w:bCs/>
                <w:i/>
                <w:sz w:val="22"/>
                <w:szCs w:val="22"/>
              </w:rPr>
            </w:pPr>
          </w:p>
        </w:tc>
        <w:tc>
          <w:tcPr>
            <w:tcW w:w="7164" w:type="dxa"/>
          </w:tcPr>
          <w:p w14:paraId="69BBC895" w14:textId="77777777" w:rsidR="001C08A5" w:rsidRDefault="00000000">
            <w:pPr>
              <w:jc w:val="both"/>
              <w:rPr>
                <w:i/>
                <w:sz w:val="22"/>
                <w:szCs w:val="22"/>
              </w:rPr>
            </w:pPr>
            <w:r>
              <w:rPr>
                <w:i/>
                <w:sz w:val="22"/>
                <w:szCs w:val="22"/>
                <w:lang w:val="en-GB"/>
              </w:rPr>
              <w:t xml:space="preserve">Metode de încercare pentru determinarea contribuţiei la rezistenţa la foc </w:t>
            </w:r>
            <w:proofErr w:type="gramStart"/>
            <w:r>
              <w:rPr>
                <w:i/>
                <w:sz w:val="22"/>
                <w:szCs w:val="22"/>
                <w:lang w:val="en-GB"/>
              </w:rPr>
              <w:t>a</w:t>
            </w:r>
            <w:proofErr w:type="gramEnd"/>
            <w:r>
              <w:rPr>
                <w:i/>
                <w:sz w:val="22"/>
                <w:szCs w:val="22"/>
                <w:lang w:val="en-GB"/>
              </w:rPr>
              <w:t xml:space="preserve"> elementelor de structură. Partea 3: Protecţie aplicată pe elemente de beton</w:t>
            </w:r>
          </w:p>
        </w:tc>
      </w:tr>
      <w:tr w:rsidR="001C08A5" w14:paraId="48A9AB7B" w14:textId="77777777">
        <w:tc>
          <w:tcPr>
            <w:tcW w:w="664" w:type="dxa"/>
          </w:tcPr>
          <w:p w14:paraId="0F3DD714" w14:textId="77777777" w:rsidR="001C08A5" w:rsidRDefault="001C08A5">
            <w:pPr>
              <w:numPr>
                <w:ilvl w:val="0"/>
                <w:numId w:val="113"/>
              </w:numPr>
              <w:rPr>
                <w:i/>
                <w:sz w:val="22"/>
                <w:szCs w:val="22"/>
              </w:rPr>
            </w:pPr>
          </w:p>
        </w:tc>
        <w:tc>
          <w:tcPr>
            <w:tcW w:w="1778" w:type="dxa"/>
          </w:tcPr>
          <w:p w14:paraId="5270D7C8" w14:textId="77777777" w:rsidR="001C08A5" w:rsidRDefault="00000000">
            <w:pPr>
              <w:jc w:val="both"/>
              <w:rPr>
                <w:b/>
                <w:bCs/>
                <w:i/>
                <w:sz w:val="22"/>
                <w:szCs w:val="22"/>
                <w:lang w:val="en-GB"/>
              </w:rPr>
            </w:pPr>
            <w:hyperlink r:id="rId624" w:history="1">
              <w:r>
                <w:rPr>
                  <w:b/>
                  <w:bCs/>
                  <w:i/>
                  <w:sz w:val="22"/>
                  <w:szCs w:val="22"/>
                  <w:lang w:val="en-GB"/>
                </w:rPr>
                <w:t>SR EN 13381-4</w:t>
              </w:r>
            </w:hyperlink>
          </w:p>
          <w:p w14:paraId="4E12F25D" w14:textId="77777777" w:rsidR="001C08A5" w:rsidRDefault="001C08A5">
            <w:pPr>
              <w:rPr>
                <w:b/>
                <w:bCs/>
                <w:i/>
                <w:sz w:val="22"/>
                <w:szCs w:val="22"/>
              </w:rPr>
            </w:pPr>
          </w:p>
        </w:tc>
        <w:tc>
          <w:tcPr>
            <w:tcW w:w="7164" w:type="dxa"/>
          </w:tcPr>
          <w:p w14:paraId="47E8CA67" w14:textId="77777777" w:rsidR="001C08A5" w:rsidRDefault="00000000">
            <w:pPr>
              <w:jc w:val="both"/>
              <w:rPr>
                <w:i/>
                <w:sz w:val="22"/>
                <w:szCs w:val="22"/>
              </w:rPr>
            </w:pPr>
            <w:r>
              <w:rPr>
                <w:i/>
                <w:sz w:val="22"/>
                <w:szCs w:val="22"/>
                <w:lang w:val="en-GB"/>
              </w:rPr>
              <w:t xml:space="preserve">Metode de încercare pentru determinarea contribuţiei la rezistenţa la foc </w:t>
            </w:r>
            <w:proofErr w:type="gramStart"/>
            <w:r>
              <w:rPr>
                <w:i/>
                <w:sz w:val="22"/>
                <w:szCs w:val="22"/>
                <w:lang w:val="en-GB"/>
              </w:rPr>
              <w:t>a</w:t>
            </w:r>
            <w:proofErr w:type="gramEnd"/>
            <w:r>
              <w:rPr>
                <w:i/>
                <w:sz w:val="22"/>
                <w:szCs w:val="22"/>
                <w:lang w:val="en-GB"/>
              </w:rPr>
              <w:t xml:space="preserve"> elementelor de construcţie. Partea 4: Protecţie pasivă aplicată pe elemente din oţel</w:t>
            </w:r>
          </w:p>
        </w:tc>
      </w:tr>
      <w:tr w:rsidR="001C08A5" w14:paraId="3E42CD54" w14:textId="77777777">
        <w:tc>
          <w:tcPr>
            <w:tcW w:w="664" w:type="dxa"/>
          </w:tcPr>
          <w:p w14:paraId="30247443" w14:textId="77777777" w:rsidR="001C08A5" w:rsidRDefault="001C08A5">
            <w:pPr>
              <w:numPr>
                <w:ilvl w:val="0"/>
                <w:numId w:val="113"/>
              </w:numPr>
              <w:rPr>
                <w:i/>
                <w:sz w:val="22"/>
                <w:szCs w:val="22"/>
              </w:rPr>
            </w:pPr>
          </w:p>
        </w:tc>
        <w:tc>
          <w:tcPr>
            <w:tcW w:w="1778" w:type="dxa"/>
          </w:tcPr>
          <w:p w14:paraId="018CFB5F" w14:textId="77777777" w:rsidR="001C08A5" w:rsidRDefault="00000000">
            <w:pPr>
              <w:jc w:val="both"/>
              <w:rPr>
                <w:b/>
                <w:bCs/>
                <w:i/>
                <w:sz w:val="22"/>
                <w:szCs w:val="22"/>
                <w:lang w:val="en-GB"/>
              </w:rPr>
            </w:pPr>
            <w:hyperlink r:id="rId625" w:history="1">
              <w:r>
                <w:rPr>
                  <w:b/>
                  <w:bCs/>
                  <w:i/>
                  <w:sz w:val="22"/>
                  <w:szCs w:val="22"/>
                  <w:lang w:val="en-GB"/>
                </w:rPr>
                <w:t>SR EN 13381-5</w:t>
              </w:r>
            </w:hyperlink>
          </w:p>
          <w:p w14:paraId="18941480" w14:textId="77777777" w:rsidR="001C08A5" w:rsidRDefault="001C08A5">
            <w:pPr>
              <w:rPr>
                <w:b/>
                <w:bCs/>
                <w:i/>
                <w:sz w:val="22"/>
                <w:szCs w:val="22"/>
              </w:rPr>
            </w:pPr>
          </w:p>
        </w:tc>
        <w:tc>
          <w:tcPr>
            <w:tcW w:w="7164" w:type="dxa"/>
          </w:tcPr>
          <w:p w14:paraId="03E333B1" w14:textId="77777777" w:rsidR="001C08A5" w:rsidRDefault="00000000">
            <w:pPr>
              <w:jc w:val="both"/>
              <w:rPr>
                <w:i/>
                <w:sz w:val="22"/>
                <w:szCs w:val="22"/>
              </w:rPr>
            </w:pPr>
            <w:r>
              <w:rPr>
                <w:i/>
                <w:sz w:val="22"/>
                <w:szCs w:val="22"/>
                <w:lang w:val="en-GB"/>
              </w:rPr>
              <w:t xml:space="preserve">Metode de încercare pentru determinarea contribuţiei la rezistenţa la foc </w:t>
            </w:r>
            <w:proofErr w:type="gramStart"/>
            <w:r>
              <w:rPr>
                <w:i/>
                <w:sz w:val="22"/>
                <w:szCs w:val="22"/>
                <w:lang w:val="en-GB"/>
              </w:rPr>
              <w:t>a</w:t>
            </w:r>
            <w:proofErr w:type="gramEnd"/>
            <w:r>
              <w:rPr>
                <w:i/>
                <w:sz w:val="22"/>
                <w:szCs w:val="22"/>
                <w:lang w:val="en-GB"/>
              </w:rPr>
              <w:t xml:space="preserve"> elementelor de structură. Partea 5: Protecţie aplicată pe elemente compozite de beton/tablă profilată de oţel</w:t>
            </w:r>
          </w:p>
        </w:tc>
      </w:tr>
      <w:tr w:rsidR="001C08A5" w14:paraId="323F2FF7" w14:textId="77777777">
        <w:tc>
          <w:tcPr>
            <w:tcW w:w="664" w:type="dxa"/>
          </w:tcPr>
          <w:p w14:paraId="23CBDE4E" w14:textId="77777777" w:rsidR="001C08A5" w:rsidRDefault="001C08A5">
            <w:pPr>
              <w:numPr>
                <w:ilvl w:val="0"/>
                <w:numId w:val="113"/>
              </w:numPr>
              <w:rPr>
                <w:i/>
                <w:sz w:val="22"/>
                <w:szCs w:val="22"/>
              </w:rPr>
            </w:pPr>
          </w:p>
        </w:tc>
        <w:tc>
          <w:tcPr>
            <w:tcW w:w="1778" w:type="dxa"/>
          </w:tcPr>
          <w:p w14:paraId="5F1C1CC4" w14:textId="77777777" w:rsidR="001C08A5" w:rsidRDefault="00000000">
            <w:pPr>
              <w:jc w:val="both"/>
              <w:rPr>
                <w:b/>
                <w:bCs/>
                <w:i/>
                <w:sz w:val="22"/>
                <w:szCs w:val="22"/>
                <w:lang w:val="en-GB"/>
              </w:rPr>
            </w:pPr>
            <w:hyperlink r:id="rId626" w:history="1">
              <w:r>
                <w:rPr>
                  <w:b/>
                  <w:bCs/>
                  <w:i/>
                  <w:sz w:val="22"/>
                  <w:szCs w:val="22"/>
                  <w:lang w:val="en-GB"/>
                </w:rPr>
                <w:t>SR EN 13381-6</w:t>
              </w:r>
            </w:hyperlink>
          </w:p>
          <w:p w14:paraId="54888184" w14:textId="77777777" w:rsidR="001C08A5" w:rsidRDefault="001C08A5">
            <w:pPr>
              <w:rPr>
                <w:b/>
                <w:bCs/>
                <w:i/>
                <w:sz w:val="22"/>
                <w:szCs w:val="22"/>
              </w:rPr>
            </w:pPr>
          </w:p>
        </w:tc>
        <w:tc>
          <w:tcPr>
            <w:tcW w:w="7164" w:type="dxa"/>
          </w:tcPr>
          <w:p w14:paraId="13DD7787" w14:textId="77777777" w:rsidR="001C08A5" w:rsidRDefault="00000000">
            <w:pPr>
              <w:jc w:val="both"/>
              <w:rPr>
                <w:i/>
                <w:sz w:val="22"/>
                <w:szCs w:val="22"/>
              </w:rPr>
            </w:pPr>
            <w:r>
              <w:rPr>
                <w:i/>
                <w:sz w:val="22"/>
                <w:szCs w:val="22"/>
                <w:lang w:val="en-GB"/>
              </w:rPr>
              <w:t xml:space="preserve">Metode de încercare pentru determinarea contribuţiei la rezistenţa la foc </w:t>
            </w:r>
            <w:proofErr w:type="gramStart"/>
            <w:r>
              <w:rPr>
                <w:i/>
                <w:sz w:val="22"/>
                <w:szCs w:val="22"/>
                <w:lang w:val="en-GB"/>
              </w:rPr>
              <w:t>a</w:t>
            </w:r>
            <w:proofErr w:type="gramEnd"/>
            <w:r>
              <w:rPr>
                <w:i/>
                <w:sz w:val="22"/>
                <w:szCs w:val="22"/>
                <w:lang w:val="en-GB"/>
              </w:rPr>
              <w:t xml:space="preserve"> elementelor de structură. Partea 6: Protecţie aplicată pe stâlpi de oţel cu goluri umplute cu beton</w:t>
            </w:r>
          </w:p>
        </w:tc>
      </w:tr>
      <w:tr w:rsidR="001C08A5" w14:paraId="14138B17" w14:textId="77777777">
        <w:tc>
          <w:tcPr>
            <w:tcW w:w="664" w:type="dxa"/>
          </w:tcPr>
          <w:p w14:paraId="3D1FD9DE" w14:textId="77777777" w:rsidR="001C08A5" w:rsidRDefault="001C08A5">
            <w:pPr>
              <w:numPr>
                <w:ilvl w:val="0"/>
                <w:numId w:val="113"/>
              </w:numPr>
              <w:rPr>
                <w:i/>
                <w:sz w:val="22"/>
                <w:szCs w:val="22"/>
              </w:rPr>
            </w:pPr>
          </w:p>
        </w:tc>
        <w:tc>
          <w:tcPr>
            <w:tcW w:w="1778" w:type="dxa"/>
          </w:tcPr>
          <w:p w14:paraId="09F5E9E6" w14:textId="77777777" w:rsidR="001C08A5" w:rsidRDefault="00000000">
            <w:pPr>
              <w:jc w:val="both"/>
              <w:rPr>
                <w:b/>
                <w:bCs/>
                <w:i/>
                <w:sz w:val="22"/>
                <w:szCs w:val="22"/>
                <w:lang w:val="en-GB"/>
              </w:rPr>
            </w:pPr>
            <w:hyperlink r:id="rId627" w:history="1">
              <w:r>
                <w:rPr>
                  <w:b/>
                  <w:bCs/>
                  <w:i/>
                  <w:sz w:val="22"/>
                  <w:szCs w:val="22"/>
                  <w:lang w:val="en-GB"/>
                </w:rPr>
                <w:t>SR EN 13381-7</w:t>
              </w:r>
            </w:hyperlink>
          </w:p>
          <w:p w14:paraId="3A1AE4A3" w14:textId="77777777" w:rsidR="001C08A5" w:rsidRDefault="001C08A5">
            <w:pPr>
              <w:rPr>
                <w:b/>
                <w:bCs/>
                <w:i/>
                <w:sz w:val="22"/>
                <w:szCs w:val="22"/>
              </w:rPr>
            </w:pPr>
          </w:p>
        </w:tc>
        <w:tc>
          <w:tcPr>
            <w:tcW w:w="7164" w:type="dxa"/>
          </w:tcPr>
          <w:p w14:paraId="34C21104" w14:textId="77777777" w:rsidR="001C08A5" w:rsidRDefault="00000000">
            <w:pPr>
              <w:jc w:val="both"/>
              <w:rPr>
                <w:i/>
                <w:sz w:val="22"/>
                <w:szCs w:val="22"/>
              </w:rPr>
            </w:pPr>
            <w:r>
              <w:rPr>
                <w:i/>
                <w:sz w:val="22"/>
                <w:szCs w:val="22"/>
                <w:lang w:val="en-GB"/>
              </w:rPr>
              <w:t xml:space="preserve">Metodă de încercare pentru determinarea contribuției la rezistența la foc </w:t>
            </w:r>
            <w:proofErr w:type="gramStart"/>
            <w:r>
              <w:rPr>
                <w:i/>
                <w:sz w:val="22"/>
                <w:szCs w:val="22"/>
                <w:lang w:val="en-GB"/>
              </w:rPr>
              <w:t>a</w:t>
            </w:r>
            <w:proofErr w:type="gramEnd"/>
            <w:r>
              <w:rPr>
                <w:i/>
                <w:sz w:val="22"/>
                <w:szCs w:val="22"/>
                <w:lang w:val="en-GB"/>
              </w:rPr>
              <w:t xml:space="preserve"> elementelor de construcție. Partea 7: Protecția aplicată elementelor din lemn</w:t>
            </w:r>
          </w:p>
        </w:tc>
      </w:tr>
      <w:tr w:rsidR="001C08A5" w14:paraId="522C77EA" w14:textId="77777777">
        <w:tc>
          <w:tcPr>
            <w:tcW w:w="664" w:type="dxa"/>
          </w:tcPr>
          <w:p w14:paraId="4CCBB384" w14:textId="77777777" w:rsidR="001C08A5" w:rsidRDefault="001C08A5">
            <w:pPr>
              <w:numPr>
                <w:ilvl w:val="0"/>
                <w:numId w:val="113"/>
              </w:numPr>
              <w:rPr>
                <w:i/>
                <w:sz w:val="22"/>
                <w:szCs w:val="22"/>
              </w:rPr>
            </w:pPr>
          </w:p>
        </w:tc>
        <w:tc>
          <w:tcPr>
            <w:tcW w:w="1778" w:type="dxa"/>
          </w:tcPr>
          <w:p w14:paraId="3DB2B7B4" w14:textId="77777777" w:rsidR="001C08A5" w:rsidRDefault="00000000">
            <w:pPr>
              <w:jc w:val="both"/>
              <w:rPr>
                <w:b/>
                <w:bCs/>
                <w:i/>
                <w:sz w:val="22"/>
                <w:szCs w:val="22"/>
                <w:lang w:val="en-GB"/>
              </w:rPr>
            </w:pPr>
            <w:hyperlink r:id="rId628" w:history="1">
              <w:r>
                <w:rPr>
                  <w:b/>
                  <w:bCs/>
                  <w:i/>
                  <w:sz w:val="22"/>
                  <w:szCs w:val="22"/>
                  <w:lang w:val="en-GB"/>
                </w:rPr>
                <w:t>SR EN 13381-8</w:t>
              </w:r>
            </w:hyperlink>
          </w:p>
          <w:p w14:paraId="0C3E4BB0" w14:textId="77777777" w:rsidR="001C08A5" w:rsidRDefault="001C08A5">
            <w:pPr>
              <w:rPr>
                <w:b/>
                <w:bCs/>
                <w:i/>
                <w:sz w:val="22"/>
                <w:szCs w:val="22"/>
              </w:rPr>
            </w:pPr>
          </w:p>
        </w:tc>
        <w:tc>
          <w:tcPr>
            <w:tcW w:w="7164" w:type="dxa"/>
          </w:tcPr>
          <w:p w14:paraId="4CEA4381" w14:textId="77777777" w:rsidR="001C08A5" w:rsidRDefault="00000000">
            <w:pPr>
              <w:jc w:val="both"/>
              <w:rPr>
                <w:i/>
                <w:sz w:val="22"/>
                <w:szCs w:val="22"/>
              </w:rPr>
            </w:pPr>
            <w:r>
              <w:rPr>
                <w:i/>
                <w:sz w:val="22"/>
                <w:szCs w:val="22"/>
                <w:lang w:val="en-GB"/>
              </w:rPr>
              <w:t xml:space="preserve">Metode de încercare pentru determinarea contribuţiei la rezistenţa la foc </w:t>
            </w:r>
            <w:proofErr w:type="gramStart"/>
            <w:r>
              <w:rPr>
                <w:i/>
                <w:sz w:val="22"/>
                <w:szCs w:val="22"/>
                <w:lang w:val="en-GB"/>
              </w:rPr>
              <w:t>a</w:t>
            </w:r>
            <w:proofErr w:type="gramEnd"/>
            <w:r>
              <w:rPr>
                <w:i/>
                <w:sz w:val="22"/>
                <w:szCs w:val="22"/>
                <w:lang w:val="en-GB"/>
              </w:rPr>
              <w:t xml:space="preserve"> elementelor de construcţie. Partea 8: Protecţie reactivă aplicată elementelor din oţel</w:t>
            </w:r>
          </w:p>
        </w:tc>
      </w:tr>
      <w:tr w:rsidR="001C08A5" w14:paraId="2D9BD5F0" w14:textId="77777777">
        <w:tc>
          <w:tcPr>
            <w:tcW w:w="664" w:type="dxa"/>
          </w:tcPr>
          <w:p w14:paraId="0F0133DD" w14:textId="77777777" w:rsidR="001C08A5" w:rsidRDefault="001C08A5">
            <w:pPr>
              <w:numPr>
                <w:ilvl w:val="0"/>
                <w:numId w:val="113"/>
              </w:numPr>
              <w:rPr>
                <w:i/>
                <w:sz w:val="22"/>
                <w:szCs w:val="22"/>
              </w:rPr>
            </w:pPr>
          </w:p>
        </w:tc>
        <w:tc>
          <w:tcPr>
            <w:tcW w:w="1778" w:type="dxa"/>
          </w:tcPr>
          <w:p w14:paraId="3C2F4F52" w14:textId="77777777" w:rsidR="001C08A5" w:rsidRDefault="00000000">
            <w:pPr>
              <w:jc w:val="both"/>
              <w:rPr>
                <w:b/>
                <w:bCs/>
                <w:i/>
                <w:sz w:val="22"/>
                <w:szCs w:val="22"/>
                <w:lang w:val="en-GB"/>
              </w:rPr>
            </w:pPr>
            <w:hyperlink r:id="rId629" w:history="1">
              <w:r>
                <w:rPr>
                  <w:b/>
                  <w:bCs/>
                  <w:i/>
                  <w:sz w:val="22"/>
                  <w:szCs w:val="22"/>
                  <w:lang w:val="en-GB"/>
                </w:rPr>
                <w:t>SR EN 13381-9</w:t>
              </w:r>
            </w:hyperlink>
          </w:p>
          <w:p w14:paraId="7E02D2CE" w14:textId="77777777" w:rsidR="001C08A5" w:rsidRDefault="001C08A5">
            <w:pPr>
              <w:rPr>
                <w:b/>
                <w:bCs/>
                <w:i/>
                <w:sz w:val="22"/>
                <w:szCs w:val="22"/>
              </w:rPr>
            </w:pPr>
          </w:p>
        </w:tc>
        <w:tc>
          <w:tcPr>
            <w:tcW w:w="7164" w:type="dxa"/>
          </w:tcPr>
          <w:p w14:paraId="4D5E16C1" w14:textId="77777777" w:rsidR="001C08A5" w:rsidRDefault="00000000">
            <w:pPr>
              <w:jc w:val="both"/>
              <w:rPr>
                <w:i/>
                <w:sz w:val="22"/>
                <w:szCs w:val="22"/>
              </w:rPr>
            </w:pPr>
            <w:r>
              <w:rPr>
                <w:i/>
                <w:sz w:val="22"/>
                <w:szCs w:val="22"/>
                <w:lang w:val="en-GB"/>
              </w:rPr>
              <w:t xml:space="preserve">Metode de încercare pentru determinarea contribuţiei la rezistenţa la foc </w:t>
            </w:r>
            <w:proofErr w:type="gramStart"/>
            <w:r>
              <w:rPr>
                <w:i/>
                <w:sz w:val="22"/>
                <w:szCs w:val="22"/>
                <w:lang w:val="en-GB"/>
              </w:rPr>
              <w:t>a</w:t>
            </w:r>
            <w:proofErr w:type="gramEnd"/>
            <w:r>
              <w:rPr>
                <w:i/>
                <w:sz w:val="22"/>
                <w:szCs w:val="22"/>
                <w:lang w:val="en-GB"/>
              </w:rPr>
              <w:t xml:space="preserve"> elementelor de construcţie. Partea 9: Sisteme de protecţie la incendiu aplicate grinzilor alveolare de oţel</w:t>
            </w:r>
          </w:p>
        </w:tc>
      </w:tr>
      <w:tr w:rsidR="001C08A5" w14:paraId="507A7003" w14:textId="77777777">
        <w:tc>
          <w:tcPr>
            <w:tcW w:w="664" w:type="dxa"/>
          </w:tcPr>
          <w:p w14:paraId="4E6B1A46" w14:textId="77777777" w:rsidR="001C08A5" w:rsidRDefault="001C08A5">
            <w:pPr>
              <w:numPr>
                <w:ilvl w:val="0"/>
                <w:numId w:val="113"/>
              </w:numPr>
              <w:rPr>
                <w:i/>
                <w:sz w:val="22"/>
                <w:szCs w:val="22"/>
              </w:rPr>
            </w:pPr>
          </w:p>
        </w:tc>
        <w:tc>
          <w:tcPr>
            <w:tcW w:w="1778" w:type="dxa"/>
          </w:tcPr>
          <w:p w14:paraId="7DDBD135" w14:textId="77777777" w:rsidR="001C08A5" w:rsidRDefault="00000000">
            <w:pPr>
              <w:jc w:val="both"/>
              <w:rPr>
                <w:b/>
                <w:bCs/>
                <w:i/>
                <w:sz w:val="22"/>
                <w:szCs w:val="22"/>
                <w:lang w:val="en-GB"/>
              </w:rPr>
            </w:pPr>
            <w:hyperlink r:id="rId630" w:history="1">
              <w:r>
                <w:rPr>
                  <w:b/>
                  <w:bCs/>
                  <w:i/>
                  <w:sz w:val="22"/>
                  <w:szCs w:val="22"/>
                  <w:lang w:val="en-GB"/>
                </w:rPr>
                <w:t>SR EN 13381-10</w:t>
              </w:r>
            </w:hyperlink>
          </w:p>
          <w:p w14:paraId="74F5E007" w14:textId="77777777" w:rsidR="001C08A5" w:rsidRDefault="001C08A5">
            <w:pPr>
              <w:jc w:val="both"/>
              <w:rPr>
                <w:b/>
                <w:bCs/>
                <w:i/>
                <w:sz w:val="22"/>
                <w:szCs w:val="22"/>
                <w:lang w:val="en-GB"/>
              </w:rPr>
            </w:pPr>
          </w:p>
          <w:p w14:paraId="17A05D76" w14:textId="77777777" w:rsidR="001C08A5" w:rsidRDefault="001C08A5">
            <w:pPr>
              <w:rPr>
                <w:b/>
                <w:bCs/>
                <w:i/>
                <w:sz w:val="22"/>
                <w:szCs w:val="22"/>
              </w:rPr>
            </w:pPr>
          </w:p>
        </w:tc>
        <w:tc>
          <w:tcPr>
            <w:tcW w:w="7164" w:type="dxa"/>
          </w:tcPr>
          <w:p w14:paraId="7E2E4783" w14:textId="77777777" w:rsidR="001C08A5" w:rsidRDefault="00000000">
            <w:pPr>
              <w:jc w:val="both"/>
              <w:rPr>
                <w:i/>
                <w:sz w:val="22"/>
                <w:szCs w:val="22"/>
                <w:lang w:val="en-GB"/>
              </w:rPr>
            </w:pPr>
            <w:r>
              <w:rPr>
                <w:i/>
                <w:sz w:val="22"/>
                <w:szCs w:val="22"/>
                <w:lang w:val="en-GB"/>
              </w:rPr>
              <w:t xml:space="preserve">Metode de încercare pentru determinarea contribuției la rezistența la foc </w:t>
            </w:r>
            <w:proofErr w:type="gramStart"/>
            <w:r>
              <w:rPr>
                <w:i/>
                <w:sz w:val="22"/>
                <w:szCs w:val="22"/>
                <w:lang w:val="en-GB"/>
              </w:rPr>
              <w:t>a</w:t>
            </w:r>
            <w:proofErr w:type="gramEnd"/>
            <w:r>
              <w:rPr>
                <w:i/>
                <w:sz w:val="22"/>
                <w:szCs w:val="22"/>
                <w:lang w:val="en-GB"/>
              </w:rPr>
              <w:t xml:space="preserve"> elementelor de construcție. Partea 10: Protecție aplicată barelor din oțel solicitate la întindere (tiranți)</w:t>
            </w:r>
          </w:p>
        </w:tc>
      </w:tr>
      <w:tr w:rsidR="001C08A5" w14:paraId="7A00ACA6" w14:textId="77777777">
        <w:tc>
          <w:tcPr>
            <w:tcW w:w="664" w:type="dxa"/>
          </w:tcPr>
          <w:p w14:paraId="04281403" w14:textId="77777777" w:rsidR="001C08A5" w:rsidRDefault="001C08A5">
            <w:pPr>
              <w:numPr>
                <w:ilvl w:val="0"/>
                <w:numId w:val="113"/>
              </w:numPr>
              <w:rPr>
                <w:i/>
                <w:sz w:val="22"/>
                <w:szCs w:val="22"/>
              </w:rPr>
            </w:pPr>
          </w:p>
        </w:tc>
        <w:tc>
          <w:tcPr>
            <w:tcW w:w="1778" w:type="dxa"/>
          </w:tcPr>
          <w:p w14:paraId="1094604E" w14:textId="77777777" w:rsidR="001C08A5" w:rsidRDefault="00000000">
            <w:pPr>
              <w:jc w:val="both"/>
              <w:rPr>
                <w:b/>
                <w:bCs/>
                <w:i/>
                <w:sz w:val="22"/>
                <w:szCs w:val="22"/>
                <w:lang w:val="en-GB"/>
              </w:rPr>
            </w:pPr>
            <w:hyperlink r:id="rId631" w:history="1">
              <w:r>
                <w:rPr>
                  <w:b/>
                  <w:bCs/>
                  <w:i/>
                  <w:sz w:val="22"/>
                  <w:szCs w:val="22"/>
                  <w:lang w:val="en-GB"/>
                </w:rPr>
                <w:t>SR EN 13501-1</w:t>
              </w:r>
            </w:hyperlink>
          </w:p>
          <w:p w14:paraId="273F4011" w14:textId="77777777" w:rsidR="001C08A5" w:rsidRDefault="001C08A5">
            <w:pPr>
              <w:rPr>
                <w:b/>
                <w:bCs/>
                <w:i/>
                <w:sz w:val="22"/>
                <w:szCs w:val="22"/>
              </w:rPr>
            </w:pPr>
          </w:p>
        </w:tc>
        <w:tc>
          <w:tcPr>
            <w:tcW w:w="7164" w:type="dxa"/>
          </w:tcPr>
          <w:p w14:paraId="40899AB3" w14:textId="77777777" w:rsidR="001C08A5" w:rsidRDefault="00000000">
            <w:pPr>
              <w:jc w:val="both"/>
              <w:rPr>
                <w:i/>
                <w:sz w:val="22"/>
                <w:szCs w:val="22"/>
              </w:rPr>
            </w:pPr>
            <w:r>
              <w:rPr>
                <w:i/>
                <w:sz w:val="22"/>
                <w:szCs w:val="22"/>
                <w:lang w:val="en-GB"/>
              </w:rPr>
              <w:t>Clasificare la foc a produselor și elementelor de construcție. Partea 1: Clasificare folosind rezultatele încercărilor de reacție la foc</w:t>
            </w:r>
          </w:p>
        </w:tc>
      </w:tr>
      <w:tr w:rsidR="001C08A5" w14:paraId="2D96C7CC" w14:textId="77777777">
        <w:tc>
          <w:tcPr>
            <w:tcW w:w="664" w:type="dxa"/>
          </w:tcPr>
          <w:p w14:paraId="06EC6487" w14:textId="77777777" w:rsidR="001C08A5" w:rsidRDefault="001C08A5">
            <w:pPr>
              <w:numPr>
                <w:ilvl w:val="0"/>
                <w:numId w:val="113"/>
              </w:numPr>
              <w:rPr>
                <w:i/>
                <w:sz w:val="22"/>
                <w:szCs w:val="22"/>
              </w:rPr>
            </w:pPr>
          </w:p>
        </w:tc>
        <w:tc>
          <w:tcPr>
            <w:tcW w:w="1778" w:type="dxa"/>
          </w:tcPr>
          <w:p w14:paraId="35D94B36" w14:textId="77777777" w:rsidR="001C08A5" w:rsidRDefault="00000000">
            <w:pPr>
              <w:jc w:val="both"/>
              <w:rPr>
                <w:b/>
                <w:bCs/>
                <w:i/>
                <w:sz w:val="22"/>
                <w:szCs w:val="22"/>
                <w:lang w:val="en-GB"/>
              </w:rPr>
            </w:pPr>
            <w:hyperlink r:id="rId632" w:history="1">
              <w:r>
                <w:rPr>
                  <w:b/>
                  <w:bCs/>
                  <w:i/>
                  <w:sz w:val="22"/>
                  <w:szCs w:val="22"/>
                  <w:lang w:val="en-GB"/>
                </w:rPr>
                <w:t>SR EN 13501-2</w:t>
              </w:r>
            </w:hyperlink>
          </w:p>
          <w:p w14:paraId="6C272AFC" w14:textId="77777777" w:rsidR="001C08A5" w:rsidRDefault="001C08A5">
            <w:pPr>
              <w:rPr>
                <w:b/>
                <w:bCs/>
                <w:i/>
                <w:sz w:val="22"/>
                <w:szCs w:val="22"/>
              </w:rPr>
            </w:pPr>
          </w:p>
        </w:tc>
        <w:tc>
          <w:tcPr>
            <w:tcW w:w="7164" w:type="dxa"/>
          </w:tcPr>
          <w:p w14:paraId="35A8F39E" w14:textId="77777777" w:rsidR="001C08A5" w:rsidRDefault="00000000">
            <w:pPr>
              <w:jc w:val="both"/>
              <w:rPr>
                <w:i/>
                <w:sz w:val="22"/>
                <w:szCs w:val="22"/>
              </w:rPr>
            </w:pPr>
            <w:r>
              <w:rPr>
                <w:i/>
                <w:sz w:val="22"/>
                <w:szCs w:val="22"/>
              </w:rPr>
              <w:t>Clasificarea la foc a produselor și elementelor de construcție. Partea 2: Clasificare folosind rezultatele încercărilor de rezistență la foc și/sau de etanșeitate la fum, cu excepția produselor utilizate în instalațiile de ventilare</w:t>
            </w:r>
          </w:p>
        </w:tc>
      </w:tr>
      <w:tr w:rsidR="001C08A5" w14:paraId="6984DFEA" w14:textId="77777777">
        <w:tc>
          <w:tcPr>
            <w:tcW w:w="664" w:type="dxa"/>
          </w:tcPr>
          <w:p w14:paraId="0C7B96F5" w14:textId="77777777" w:rsidR="001C08A5" w:rsidRDefault="001C08A5">
            <w:pPr>
              <w:numPr>
                <w:ilvl w:val="0"/>
                <w:numId w:val="113"/>
              </w:numPr>
              <w:rPr>
                <w:i/>
                <w:sz w:val="22"/>
                <w:szCs w:val="22"/>
              </w:rPr>
            </w:pPr>
          </w:p>
        </w:tc>
        <w:tc>
          <w:tcPr>
            <w:tcW w:w="1778" w:type="dxa"/>
          </w:tcPr>
          <w:p w14:paraId="7C5AF12B" w14:textId="77777777" w:rsidR="001C08A5" w:rsidRDefault="00000000">
            <w:pPr>
              <w:tabs>
                <w:tab w:val="left" w:pos="980"/>
              </w:tabs>
              <w:jc w:val="both"/>
              <w:rPr>
                <w:b/>
                <w:bCs/>
                <w:i/>
                <w:sz w:val="22"/>
                <w:szCs w:val="22"/>
              </w:rPr>
            </w:pPr>
            <w:r>
              <w:rPr>
                <w:b/>
                <w:bCs/>
                <w:i/>
                <w:sz w:val="22"/>
                <w:szCs w:val="22"/>
              </w:rPr>
              <w:t>SR EN 13501-3</w:t>
            </w:r>
          </w:p>
        </w:tc>
        <w:tc>
          <w:tcPr>
            <w:tcW w:w="7164" w:type="dxa"/>
          </w:tcPr>
          <w:p w14:paraId="47E2F95A" w14:textId="77777777" w:rsidR="001C08A5" w:rsidRDefault="00000000">
            <w:pPr>
              <w:jc w:val="both"/>
              <w:rPr>
                <w:i/>
                <w:sz w:val="22"/>
                <w:szCs w:val="22"/>
              </w:rPr>
            </w:pPr>
            <w:r>
              <w:rPr>
                <w:i/>
                <w:sz w:val="22"/>
                <w:szCs w:val="22"/>
                <w:lang w:val="en-GB"/>
              </w:rPr>
              <w:t>Clasificare la foc a produselor şi elementelor de construcţie. Partea 3: Clasificare pe baza rezultatelor încercărilor de rezistenţă la foc pentru produse şi elemente utilizate în instalaţii tehnice ale construcţiilor: Conducte şi clapete rezistente la foc</w:t>
            </w:r>
          </w:p>
        </w:tc>
      </w:tr>
      <w:tr w:rsidR="001C08A5" w14:paraId="1F8A1564" w14:textId="77777777">
        <w:tc>
          <w:tcPr>
            <w:tcW w:w="664" w:type="dxa"/>
          </w:tcPr>
          <w:p w14:paraId="298EF544" w14:textId="77777777" w:rsidR="001C08A5" w:rsidRDefault="001C08A5">
            <w:pPr>
              <w:numPr>
                <w:ilvl w:val="0"/>
                <w:numId w:val="113"/>
              </w:numPr>
              <w:rPr>
                <w:i/>
                <w:sz w:val="22"/>
                <w:szCs w:val="22"/>
              </w:rPr>
            </w:pPr>
          </w:p>
        </w:tc>
        <w:tc>
          <w:tcPr>
            <w:tcW w:w="1778" w:type="dxa"/>
          </w:tcPr>
          <w:p w14:paraId="6C6402B3" w14:textId="77777777" w:rsidR="001C08A5" w:rsidRDefault="00000000">
            <w:pPr>
              <w:jc w:val="both"/>
              <w:rPr>
                <w:b/>
                <w:bCs/>
                <w:i/>
                <w:sz w:val="22"/>
                <w:szCs w:val="22"/>
                <w:lang w:val="en-GB"/>
              </w:rPr>
            </w:pPr>
            <w:hyperlink r:id="rId633" w:history="1">
              <w:r>
                <w:rPr>
                  <w:b/>
                  <w:bCs/>
                  <w:i/>
                  <w:sz w:val="22"/>
                  <w:szCs w:val="22"/>
                  <w:lang w:val="en-GB"/>
                </w:rPr>
                <w:t>SR EN 13501-4</w:t>
              </w:r>
            </w:hyperlink>
          </w:p>
          <w:p w14:paraId="53C8746D" w14:textId="77777777" w:rsidR="001C08A5" w:rsidRDefault="001C08A5">
            <w:pPr>
              <w:rPr>
                <w:b/>
                <w:bCs/>
                <w:i/>
                <w:sz w:val="22"/>
                <w:szCs w:val="22"/>
              </w:rPr>
            </w:pPr>
          </w:p>
        </w:tc>
        <w:tc>
          <w:tcPr>
            <w:tcW w:w="7164" w:type="dxa"/>
          </w:tcPr>
          <w:p w14:paraId="4C276CE9" w14:textId="77777777" w:rsidR="001C08A5" w:rsidRDefault="00000000">
            <w:pPr>
              <w:jc w:val="both"/>
              <w:rPr>
                <w:i/>
                <w:sz w:val="22"/>
                <w:szCs w:val="22"/>
              </w:rPr>
            </w:pPr>
            <w:r>
              <w:rPr>
                <w:i/>
                <w:sz w:val="22"/>
                <w:szCs w:val="22"/>
                <w:lang w:val="en-GB"/>
              </w:rPr>
              <w:t>Clasificare la foc a produselor și elementelor de construcție. Partea 4: Clasificare folosind rezultatele încercărilor de rezistență la foc ale componentelor sistemelor de control al fumului</w:t>
            </w:r>
          </w:p>
        </w:tc>
      </w:tr>
      <w:tr w:rsidR="001C08A5" w14:paraId="20374292" w14:textId="77777777">
        <w:tc>
          <w:tcPr>
            <w:tcW w:w="664" w:type="dxa"/>
          </w:tcPr>
          <w:p w14:paraId="0F6362A4" w14:textId="77777777" w:rsidR="001C08A5" w:rsidRDefault="001C08A5">
            <w:pPr>
              <w:numPr>
                <w:ilvl w:val="0"/>
                <w:numId w:val="113"/>
              </w:numPr>
              <w:rPr>
                <w:i/>
                <w:sz w:val="22"/>
                <w:szCs w:val="22"/>
              </w:rPr>
            </w:pPr>
          </w:p>
        </w:tc>
        <w:tc>
          <w:tcPr>
            <w:tcW w:w="1778" w:type="dxa"/>
          </w:tcPr>
          <w:p w14:paraId="72CBE1BA" w14:textId="77777777" w:rsidR="001C08A5" w:rsidRDefault="00000000">
            <w:pPr>
              <w:jc w:val="both"/>
              <w:rPr>
                <w:b/>
                <w:bCs/>
                <w:i/>
                <w:sz w:val="22"/>
                <w:szCs w:val="22"/>
                <w:lang w:val="en-GB"/>
              </w:rPr>
            </w:pPr>
            <w:hyperlink r:id="rId634" w:history="1">
              <w:r>
                <w:rPr>
                  <w:b/>
                  <w:bCs/>
                  <w:i/>
                  <w:sz w:val="22"/>
                  <w:szCs w:val="22"/>
                  <w:lang w:val="en-GB"/>
                </w:rPr>
                <w:t>SR EN 13501-5</w:t>
              </w:r>
            </w:hyperlink>
          </w:p>
          <w:p w14:paraId="129F8699" w14:textId="77777777" w:rsidR="001C08A5" w:rsidRDefault="001C08A5">
            <w:pPr>
              <w:rPr>
                <w:b/>
                <w:bCs/>
                <w:i/>
                <w:sz w:val="22"/>
                <w:szCs w:val="22"/>
              </w:rPr>
            </w:pPr>
          </w:p>
        </w:tc>
        <w:tc>
          <w:tcPr>
            <w:tcW w:w="7164" w:type="dxa"/>
          </w:tcPr>
          <w:p w14:paraId="0CFB4FF6" w14:textId="77777777" w:rsidR="001C08A5" w:rsidRDefault="00000000">
            <w:pPr>
              <w:jc w:val="both"/>
              <w:rPr>
                <w:i/>
                <w:sz w:val="22"/>
                <w:szCs w:val="22"/>
              </w:rPr>
            </w:pPr>
            <w:r>
              <w:rPr>
                <w:i/>
                <w:sz w:val="22"/>
                <w:szCs w:val="22"/>
                <w:lang w:val="en-GB"/>
              </w:rPr>
              <w:t>Clasificare la foc a produselor și elementelor de construcție - Partea 5: Clasificare folosind rezultatele încercărilor acoperișurilor la expunere la un foc exterior</w:t>
            </w:r>
          </w:p>
        </w:tc>
      </w:tr>
      <w:tr w:rsidR="001C08A5" w14:paraId="6FD06AEF" w14:textId="77777777">
        <w:tc>
          <w:tcPr>
            <w:tcW w:w="664" w:type="dxa"/>
          </w:tcPr>
          <w:p w14:paraId="0301A958" w14:textId="77777777" w:rsidR="001C08A5" w:rsidRDefault="001C08A5">
            <w:pPr>
              <w:numPr>
                <w:ilvl w:val="0"/>
                <w:numId w:val="113"/>
              </w:numPr>
              <w:rPr>
                <w:i/>
                <w:sz w:val="22"/>
                <w:szCs w:val="22"/>
              </w:rPr>
            </w:pPr>
          </w:p>
        </w:tc>
        <w:tc>
          <w:tcPr>
            <w:tcW w:w="1778" w:type="dxa"/>
          </w:tcPr>
          <w:p w14:paraId="71CA4153" w14:textId="77777777" w:rsidR="001C08A5" w:rsidRDefault="00000000">
            <w:pPr>
              <w:jc w:val="both"/>
              <w:rPr>
                <w:b/>
                <w:bCs/>
                <w:i/>
                <w:sz w:val="22"/>
                <w:szCs w:val="22"/>
                <w:lang w:val="en-GB"/>
              </w:rPr>
            </w:pPr>
            <w:hyperlink r:id="rId635" w:history="1">
              <w:r>
                <w:rPr>
                  <w:b/>
                  <w:bCs/>
                  <w:i/>
                  <w:sz w:val="22"/>
                  <w:szCs w:val="22"/>
                  <w:lang w:val="en-GB"/>
                </w:rPr>
                <w:t>SR EN 13501-6</w:t>
              </w:r>
            </w:hyperlink>
          </w:p>
          <w:p w14:paraId="7738FB5F" w14:textId="77777777" w:rsidR="001C08A5" w:rsidRDefault="001C08A5">
            <w:pPr>
              <w:rPr>
                <w:b/>
                <w:bCs/>
                <w:i/>
                <w:sz w:val="22"/>
                <w:szCs w:val="22"/>
              </w:rPr>
            </w:pPr>
          </w:p>
        </w:tc>
        <w:tc>
          <w:tcPr>
            <w:tcW w:w="7164" w:type="dxa"/>
          </w:tcPr>
          <w:p w14:paraId="601063C5" w14:textId="77777777" w:rsidR="001C08A5" w:rsidRDefault="00000000">
            <w:pPr>
              <w:jc w:val="both"/>
              <w:rPr>
                <w:i/>
                <w:sz w:val="22"/>
                <w:szCs w:val="22"/>
              </w:rPr>
            </w:pPr>
            <w:r>
              <w:rPr>
                <w:i/>
                <w:sz w:val="22"/>
                <w:szCs w:val="22"/>
                <w:lang w:val="en-GB"/>
              </w:rPr>
              <w:t>Clasificarea la foc a produselor și elementelor de construcție. Partea 6: Clasificare folosind rezultatele încercărilor de reacție la foc a cablurilor de energie, de comandă și de comunicații</w:t>
            </w:r>
          </w:p>
        </w:tc>
      </w:tr>
      <w:tr w:rsidR="001C08A5" w14:paraId="00D9AF65" w14:textId="77777777">
        <w:tc>
          <w:tcPr>
            <w:tcW w:w="664" w:type="dxa"/>
          </w:tcPr>
          <w:p w14:paraId="29A34205" w14:textId="77777777" w:rsidR="001C08A5" w:rsidRDefault="001C08A5">
            <w:pPr>
              <w:numPr>
                <w:ilvl w:val="0"/>
                <w:numId w:val="113"/>
              </w:numPr>
              <w:rPr>
                <w:i/>
                <w:sz w:val="22"/>
                <w:szCs w:val="22"/>
              </w:rPr>
            </w:pPr>
          </w:p>
        </w:tc>
        <w:tc>
          <w:tcPr>
            <w:tcW w:w="1778" w:type="dxa"/>
          </w:tcPr>
          <w:p w14:paraId="77288292" w14:textId="77777777" w:rsidR="001C08A5" w:rsidRDefault="00000000">
            <w:pPr>
              <w:jc w:val="both"/>
              <w:rPr>
                <w:b/>
                <w:bCs/>
                <w:i/>
                <w:sz w:val="22"/>
                <w:szCs w:val="22"/>
                <w:lang w:val="en-GB"/>
              </w:rPr>
            </w:pPr>
            <w:hyperlink r:id="rId636" w:history="1">
              <w:r>
                <w:rPr>
                  <w:b/>
                  <w:bCs/>
                  <w:i/>
                  <w:sz w:val="22"/>
                  <w:szCs w:val="22"/>
                  <w:lang w:val="en-GB"/>
                </w:rPr>
                <w:t>SR EN 15080-8</w:t>
              </w:r>
            </w:hyperlink>
          </w:p>
          <w:p w14:paraId="68260330" w14:textId="77777777" w:rsidR="001C08A5" w:rsidRDefault="001C08A5">
            <w:pPr>
              <w:rPr>
                <w:b/>
                <w:bCs/>
                <w:i/>
                <w:sz w:val="22"/>
                <w:szCs w:val="22"/>
              </w:rPr>
            </w:pPr>
          </w:p>
        </w:tc>
        <w:tc>
          <w:tcPr>
            <w:tcW w:w="7164" w:type="dxa"/>
          </w:tcPr>
          <w:p w14:paraId="155534DD" w14:textId="77777777" w:rsidR="001C08A5" w:rsidRDefault="00000000">
            <w:pPr>
              <w:jc w:val="both"/>
              <w:rPr>
                <w:i/>
                <w:sz w:val="22"/>
                <w:szCs w:val="22"/>
              </w:rPr>
            </w:pPr>
            <w:r>
              <w:rPr>
                <w:i/>
                <w:sz w:val="22"/>
                <w:szCs w:val="22"/>
                <w:lang w:val="en-GB"/>
              </w:rPr>
              <w:t>Extinderea domeniului de aplicare a rezultatelor încercărilor de rezistenţă la foc. Partea 8: Grinzi</w:t>
            </w:r>
          </w:p>
        </w:tc>
      </w:tr>
      <w:tr w:rsidR="001C08A5" w14:paraId="740F80C1" w14:textId="77777777">
        <w:tc>
          <w:tcPr>
            <w:tcW w:w="664" w:type="dxa"/>
          </w:tcPr>
          <w:p w14:paraId="3A2A7681" w14:textId="77777777" w:rsidR="001C08A5" w:rsidRDefault="001C08A5">
            <w:pPr>
              <w:numPr>
                <w:ilvl w:val="0"/>
                <w:numId w:val="113"/>
              </w:numPr>
              <w:rPr>
                <w:i/>
                <w:sz w:val="22"/>
                <w:szCs w:val="22"/>
              </w:rPr>
            </w:pPr>
          </w:p>
        </w:tc>
        <w:tc>
          <w:tcPr>
            <w:tcW w:w="1778" w:type="dxa"/>
          </w:tcPr>
          <w:p w14:paraId="0A111147" w14:textId="77777777" w:rsidR="001C08A5" w:rsidRDefault="00000000">
            <w:pPr>
              <w:jc w:val="both"/>
              <w:rPr>
                <w:b/>
                <w:bCs/>
                <w:i/>
                <w:sz w:val="22"/>
                <w:szCs w:val="22"/>
                <w:lang w:val="en-GB"/>
              </w:rPr>
            </w:pPr>
            <w:hyperlink r:id="rId637" w:history="1">
              <w:r>
                <w:rPr>
                  <w:b/>
                  <w:bCs/>
                  <w:i/>
                  <w:sz w:val="22"/>
                  <w:szCs w:val="22"/>
                  <w:lang w:val="en-GB"/>
                </w:rPr>
                <w:t>SR EN 15080-12</w:t>
              </w:r>
            </w:hyperlink>
          </w:p>
          <w:p w14:paraId="4BD08AA3" w14:textId="77777777" w:rsidR="001C08A5" w:rsidRDefault="001C08A5">
            <w:pPr>
              <w:rPr>
                <w:b/>
                <w:bCs/>
                <w:i/>
                <w:sz w:val="22"/>
                <w:szCs w:val="22"/>
              </w:rPr>
            </w:pPr>
          </w:p>
        </w:tc>
        <w:tc>
          <w:tcPr>
            <w:tcW w:w="7164" w:type="dxa"/>
          </w:tcPr>
          <w:p w14:paraId="1A6371C0" w14:textId="77777777" w:rsidR="001C08A5" w:rsidRDefault="00000000">
            <w:pPr>
              <w:jc w:val="both"/>
              <w:rPr>
                <w:i/>
                <w:sz w:val="22"/>
                <w:szCs w:val="22"/>
              </w:rPr>
            </w:pPr>
            <w:r>
              <w:rPr>
                <w:i/>
                <w:sz w:val="22"/>
                <w:szCs w:val="22"/>
                <w:lang w:val="en-GB"/>
              </w:rPr>
              <w:t>Aplicaţie extinsă a rezultatelor încercărilor de rezistenţă la foc. Partea 12: Pereţi portanţi în zidărie</w:t>
            </w:r>
          </w:p>
        </w:tc>
      </w:tr>
      <w:tr w:rsidR="001C08A5" w14:paraId="09DD0CBC" w14:textId="77777777">
        <w:tc>
          <w:tcPr>
            <w:tcW w:w="664" w:type="dxa"/>
          </w:tcPr>
          <w:p w14:paraId="11CB5A30" w14:textId="77777777" w:rsidR="001C08A5" w:rsidRDefault="001C08A5">
            <w:pPr>
              <w:numPr>
                <w:ilvl w:val="0"/>
                <w:numId w:val="113"/>
              </w:numPr>
              <w:rPr>
                <w:i/>
                <w:sz w:val="22"/>
                <w:szCs w:val="22"/>
              </w:rPr>
            </w:pPr>
          </w:p>
        </w:tc>
        <w:tc>
          <w:tcPr>
            <w:tcW w:w="1778" w:type="dxa"/>
          </w:tcPr>
          <w:p w14:paraId="414F9078" w14:textId="77777777" w:rsidR="001C08A5" w:rsidRDefault="00000000">
            <w:pPr>
              <w:jc w:val="both"/>
              <w:rPr>
                <w:b/>
                <w:bCs/>
                <w:i/>
                <w:sz w:val="22"/>
                <w:szCs w:val="22"/>
                <w:lang w:val="en-GB"/>
              </w:rPr>
            </w:pPr>
            <w:hyperlink r:id="rId638" w:history="1">
              <w:r>
                <w:rPr>
                  <w:b/>
                  <w:bCs/>
                  <w:i/>
                  <w:sz w:val="22"/>
                  <w:szCs w:val="22"/>
                  <w:lang w:val="en-GB"/>
                </w:rPr>
                <w:t>SR EN 15254-2</w:t>
              </w:r>
            </w:hyperlink>
          </w:p>
          <w:p w14:paraId="24662BCE" w14:textId="77777777" w:rsidR="001C08A5" w:rsidRDefault="001C08A5">
            <w:pPr>
              <w:jc w:val="center"/>
              <w:rPr>
                <w:b/>
                <w:bCs/>
                <w:i/>
                <w:sz w:val="22"/>
                <w:szCs w:val="22"/>
              </w:rPr>
            </w:pPr>
          </w:p>
        </w:tc>
        <w:tc>
          <w:tcPr>
            <w:tcW w:w="7164" w:type="dxa"/>
          </w:tcPr>
          <w:p w14:paraId="7EAB3A00" w14:textId="77777777" w:rsidR="001C08A5" w:rsidRDefault="00000000">
            <w:pPr>
              <w:jc w:val="both"/>
              <w:rPr>
                <w:i/>
                <w:sz w:val="22"/>
                <w:szCs w:val="22"/>
              </w:rPr>
            </w:pPr>
            <w:r>
              <w:rPr>
                <w:i/>
                <w:sz w:val="22"/>
                <w:szCs w:val="22"/>
                <w:lang w:val="en-GB"/>
              </w:rPr>
              <w:t>Extinderea domeniului de aplicare a încercărilor de rezistenţă la foc. Pereţi neportanţi. Partea 2: Zidărie şi plăci de ipsos</w:t>
            </w:r>
          </w:p>
        </w:tc>
      </w:tr>
      <w:tr w:rsidR="001C08A5" w14:paraId="55FF60C1" w14:textId="77777777">
        <w:tc>
          <w:tcPr>
            <w:tcW w:w="664" w:type="dxa"/>
          </w:tcPr>
          <w:p w14:paraId="003E5028" w14:textId="77777777" w:rsidR="001C08A5" w:rsidRDefault="001C08A5">
            <w:pPr>
              <w:numPr>
                <w:ilvl w:val="0"/>
                <w:numId w:val="113"/>
              </w:numPr>
              <w:rPr>
                <w:i/>
                <w:sz w:val="22"/>
                <w:szCs w:val="22"/>
              </w:rPr>
            </w:pPr>
          </w:p>
        </w:tc>
        <w:tc>
          <w:tcPr>
            <w:tcW w:w="1778" w:type="dxa"/>
          </w:tcPr>
          <w:p w14:paraId="7195C96C" w14:textId="77777777" w:rsidR="001C08A5" w:rsidRDefault="00000000">
            <w:pPr>
              <w:jc w:val="both"/>
              <w:rPr>
                <w:b/>
                <w:bCs/>
                <w:i/>
                <w:sz w:val="22"/>
                <w:szCs w:val="22"/>
                <w:lang w:val="en-GB"/>
              </w:rPr>
            </w:pPr>
            <w:hyperlink r:id="rId639" w:history="1">
              <w:r>
                <w:rPr>
                  <w:b/>
                  <w:bCs/>
                  <w:i/>
                  <w:sz w:val="22"/>
                  <w:szCs w:val="22"/>
                  <w:lang w:val="en-GB"/>
                </w:rPr>
                <w:t>SR EN 15254-3</w:t>
              </w:r>
            </w:hyperlink>
          </w:p>
          <w:p w14:paraId="1A5D2B99" w14:textId="77777777" w:rsidR="001C08A5" w:rsidRDefault="001C08A5">
            <w:pPr>
              <w:rPr>
                <w:b/>
                <w:bCs/>
                <w:i/>
                <w:sz w:val="22"/>
                <w:szCs w:val="22"/>
              </w:rPr>
            </w:pPr>
          </w:p>
        </w:tc>
        <w:tc>
          <w:tcPr>
            <w:tcW w:w="7164" w:type="dxa"/>
          </w:tcPr>
          <w:p w14:paraId="035E5C16" w14:textId="77777777" w:rsidR="001C08A5" w:rsidRDefault="00000000">
            <w:pPr>
              <w:jc w:val="both"/>
              <w:rPr>
                <w:i/>
                <w:sz w:val="22"/>
                <w:szCs w:val="22"/>
              </w:rPr>
            </w:pPr>
            <w:r>
              <w:rPr>
                <w:i/>
                <w:sz w:val="22"/>
                <w:szCs w:val="22"/>
                <w:lang w:val="en-GB"/>
              </w:rPr>
              <w:t>Extinderea domeniului de aplicare a rezultatelor încercărilor de rezistență la foc. Pereți neportanți. Partea 3: Pereți despărțitori ușori</w:t>
            </w:r>
          </w:p>
        </w:tc>
      </w:tr>
      <w:tr w:rsidR="001C08A5" w14:paraId="202F337B" w14:textId="77777777">
        <w:tc>
          <w:tcPr>
            <w:tcW w:w="664" w:type="dxa"/>
          </w:tcPr>
          <w:p w14:paraId="412F9EC2" w14:textId="77777777" w:rsidR="001C08A5" w:rsidRDefault="001C08A5">
            <w:pPr>
              <w:numPr>
                <w:ilvl w:val="0"/>
                <w:numId w:val="113"/>
              </w:numPr>
              <w:rPr>
                <w:i/>
                <w:sz w:val="22"/>
                <w:szCs w:val="22"/>
              </w:rPr>
            </w:pPr>
          </w:p>
        </w:tc>
        <w:tc>
          <w:tcPr>
            <w:tcW w:w="1778" w:type="dxa"/>
          </w:tcPr>
          <w:p w14:paraId="5AEA5FBA" w14:textId="77777777" w:rsidR="001C08A5" w:rsidRDefault="00000000">
            <w:pPr>
              <w:jc w:val="both"/>
              <w:rPr>
                <w:b/>
                <w:bCs/>
                <w:i/>
                <w:sz w:val="22"/>
                <w:szCs w:val="22"/>
                <w:lang w:val="en-GB"/>
              </w:rPr>
            </w:pPr>
            <w:hyperlink r:id="rId640" w:history="1">
              <w:r>
                <w:rPr>
                  <w:b/>
                  <w:bCs/>
                  <w:i/>
                  <w:sz w:val="22"/>
                  <w:szCs w:val="22"/>
                  <w:lang w:val="en-GB"/>
                </w:rPr>
                <w:t>SR EN 15254-4</w:t>
              </w:r>
            </w:hyperlink>
          </w:p>
          <w:p w14:paraId="6C6747F2" w14:textId="77777777" w:rsidR="001C08A5" w:rsidRDefault="001C08A5">
            <w:pPr>
              <w:rPr>
                <w:b/>
                <w:bCs/>
                <w:i/>
                <w:sz w:val="22"/>
                <w:szCs w:val="22"/>
              </w:rPr>
            </w:pPr>
          </w:p>
        </w:tc>
        <w:tc>
          <w:tcPr>
            <w:tcW w:w="7164" w:type="dxa"/>
          </w:tcPr>
          <w:p w14:paraId="514005E6" w14:textId="77777777" w:rsidR="001C08A5" w:rsidRDefault="00000000">
            <w:pPr>
              <w:jc w:val="both"/>
              <w:rPr>
                <w:i/>
                <w:sz w:val="22"/>
                <w:szCs w:val="22"/>
              </w:rPr>
            </w:pPr>
            <w:r>
              <w:rPr>
                <w:i/>
                <w:sz w:val="22"/>
                <w:szCs w:val="22"/>
                <w:lang w:val="en-GB"/>
              </w:rPr>
              <w:t>Extinderea domeniului de aplicare al încercărilor de rezistență la foc. Pereți neportanți. Partea 4: Construcții vitrate</w:t>
            </w:r>
          </w:p>
        </w:tc>
      </w:tr>
      <w:tr w:rsidR="001C08A5" w14:paraId="46FA8F2D" w14:textId="77777777">
        <w:tc>
          <w:tcPr>
            <w:tcW w:w="664" w:type="dxa"/>
          </w:tcPr>
          <w:p w14:paraId="4DD6B0E0" w14:textId="77777777" w:rsidR="001C08A5" w:rsidRDefault="001C08A5">
            <w:pPr>
              <w:numPr>
                <w:ilvl w:val="0"/>
                <w:numId w:val="113"/>
              </w:numPr>
              <w:rPr>
                <w:i/>
                <w:sz w:val="22"/>
                <w:szCs w:val="22"/>
              </w:rPr>
            </w:pPr>
          </w:p>
        </w:tc>
        <w:tc>
          <w:tcPr>
            <w:tcW w:w="1778" w:type="dxa"/>
          </w:tcPr>
          <w:p w14:paraId="404C6E3F" w14:textId="77777777" w:rsidR="001C08A5" w:rsidRDefault="00000000">
            <w:pPr>
              <w:jc w:val="both"/>
              <w:rPr>
                <w:b/>
                <w:bCs/>
                <w:i/>
                <w:sz w:val="22"/>
                <w:szCs w:val="22"/>
                <w:lang w:val="en-GB"/>
              </w:rPr>
            </w:pPr>
            <w:hyperlink r:id="rId641" w:history="1">
              <w:r>
                <w:rPr>
                  <w:b/>
                  <w:bCs/>
                  <w:i/>
                  <w:sz w:val="22"/>
                  <w:szCs w:val="22"/>
                  <w:lang w:val="en-GB"/>
                </w:rPr>
                <w:t>SR EN 15254-5</w:t>
              </w:r>
            </w:hyperlink>
          </w:p>
          <w:p w14:paraId="4F2E3DCE" w14:textId="77777777" w:rsidR="001C08A5" w:rsidRDefault="001C08A5">
            <w:pPr>
              <w:rPr>
                <w:b/>
                <w:bCs/>
                <w:i/>
                <w:sz w:val="22"/>
                <w:szCs w:val="22"/>
              </w:rPr>
            </w:pPr>
          </w:p>
        </w:tc>
        <w:tc>
          <w:tcPr>
            <w:tcW w:w="7164" w:type="dxa"/>
          </w:tcPr>
          <w:p w14:paraId="3C05D649" w14:textId="77777777" w:rsidR="001C08A5" w:rsidRDefault="00000000">
            <w:pPr>
              <w:jc w:val="both"/>
              <w:rPr>
                <w:i/>
                <w:sz w:val="22"/>
                <w:szCs w:val="22"/>
              </w:rPr>
            </w:pPr>
            <w:r>
              <w:rPr>
                <w:i/>
                <w:sz w:val="22"/>
                <w:szCs w:val="22"/>
                <w:lang w:val="en-GB"/>
              </w:rPr>
              <w:t>Extinderea domeniului de aplicare a rezultatelor încercărilor de rezistență la foc. Pereți neportanți. Partea 5: Panouri metalice tip sandviș pentru construcții</w:t>
            </w:r>
          </w:p>
        </w:tc>
      </w:tr>
      <w:tr w:rsidR="001C08A5" w14:paraId="56518AA9" w14:textId="77777777">
        <w:tc>
          <w:tcPr>
            <w:tcW w:w="664" w:type="dxa"/>
          </w:tcPr>
          <w:p w14:paraId="15539754" w14:textId="77777777" w:rsidR="001C08A5" w:rsidRDefault="001C08A5">
            <w:pPr>
              <w:numPr>
                <w:ilvl w:val="0"/>
                <w:numId w:val="113"/>
              </w:numPr>
              <w:rPr>
                <w:i/>
                <w:sz w:val="22"/>
                <w:szCs w:val="22"/>
              </w:rPr>
            </w:pPr>
          </w:p>
        </w:tc>
        <w:tc>
          <w:tcPr>
            <w:tcW w:w="1778" w:type="dxa"/>
          </w:tcPr>
          <w:p w14:paraId="42E12D29" w14:textId="77777777" w:rsidR="001C08A5" w:rsidRDefault="00000000">
            <w:pPr>
              <w:jc w:val="both"/>
              <w:rPr>
                <w:b/>
                <w:bCs/>
                <w:i/>
                <w:sz w:val="22"/>
                <w:szCs w:val="22"/>
                <w:lang w:val="en-GB"/>
              </w:rPr>
            </w:pPr>
            <w:hyperlink r:id="rId642" w:history="1">
              <w:r>
                <w:rPr>
                  <w:b/>
                  <w:bCs/>
                  <w:i/>
                  <w:sz w:val="22"/>
                  <w:szCs w:val="22"/>
                  <w:lang w:val="en-GB"/>
                </w:rPr>
                <w:t>SR EN 15254-6</w:t>
              </w:r>
            </w:hyperlink>
          </w:p>
          <w:p w14:paraId="538E47D9" w14:textId="77777777" w:rsidR="001C08A5" w:rsidRDefault="001C08A5">
            <w:pPr>
              <w:rPr>
                <w:b/>
                <w:bCs/>
                <w:i/>
                <w:sz w:val="22"/>
                <w:szCs w:val="22"/>
              </w:rPr>
            </w:pPr>
          </w:p>
        </w:tc>
        <w:tc>
          <w:tcPr>
            <w:tcW w:w="7164" w:type="dxa"/>
          </w:tcPr>
          <w:p w14:paraId="14673464" w14:textId="77777777" w:rsidR="001C08A5" w:rsidRDefault="00000000">
            <w:pPr>
              <w:jc w:val="both"/>
              <w:rPr>
                <w:i/>
                <w:sz w:val="22"/>
                <w:szCs w:val="22"/>
              </w:rPr>
            </w:pPr>
            <w:r>
              <w:rPr>
                <w:i/>
                <w:sz w:val="22"/>
                <w:szCs w:val="22"/>
                <w:lang w:val="en-GB"/>
              </w:rPr>
              <w:t>Extinderea domeniului de aplicare a încercărilor de rezistenţă la foc. Pereţi neportanţi. Partea 6: Pereţi cortină</w:t>
            </w:r>
          </w:p>
        </w:tc>
      </w:tr>
      <w:tr w:rsidR="001C08A5" w14:paraId="72B53021" w14:textId="77777777">
        <w:tc>
          <w:tcPr>
            <w:tcW w:w="664" w:type="dxa"/>
          </w:tcPr>
          <w:p w14:paraId="1141674A" w14:textId="77777777" w:rsidR="001C08A5" w:rsidRDefault="001C08A5">
            <w:pPr>
              <w:numPr>
                <w:ilvl w:val="0"/>
                <w:numId w:val="113"/>
              </w:numPr>
              <w:rPr>
                <w:i/>
                <w:sz w:val="22"/>
                <w:szCs w:val="22"/>
              </w:rPr>
            </w:pPr>
          </w:p>
        </w:tc>
        <w:tc>
          <w:tcPr>
            <w:tcW w:w="1778" w:type="dxa"/>
          </w:tcPr>
          <w:p w14:paraId="152438F5" w14:textId="77777777" w:rsidR="001C08A5" w:rsidRDefault="00000000">
            <w:pPr>
              <w:jc w:val="both"/>
              <w:rPr>
                <w:b/>
                <w:bCs/>
                <w:i/>
                <w:sz w:val="22"/>
                <w:szCs w:val="22"/>
                <w:lang w:val="en-GB"/>
              </w:rPr>
            </w:pPr>
            <w:hyperlink r:id="rId643" w:history="1">
              <w:r>
                <w:rPr>
                  <w:b/>
                  <w:bCs/>
                  <w:i/>
                  <w:sz w:val="22"/>
                  <w:szCs w:val="22"/>
                  <w:lang w:val="en-GB"/>
                </w:rPr>
                <w:t>SR EN 15254-7</w:t>
              </w:r>
            </w:hyperlink>
          </w:p>
          <w:p w14:paraId="29A9D5E3" w14:textId="77777777" w:rsidR="001C08A5" w:rsidRDefault="001C08A5">
            <w:pPr>
              <w:rPr>
                <w:b/>
                <w:bCs/>
                <w:i/>
                <w:sz w:val="22"/>
                <w:szCs w:val="22"/>
              </w:rPr>
            </w:pPr>
          </w:p>
        </w:tc>
        <w:tc>
          <w:tcPr>
            <w:tcW w:w="7164" w:type="dxa"/>
          </w:tcPr>
          <w:p w14:paraId="737F38DB" w14:textId="77777777" w:rsidR="001C08A5" w:rsidRDefault="00000000">
            <w:pPr>
              <w:jc w:val="both"/>
              <w:rPr>
                <w:i/>
                <w:sz w:val="22"/>
                <w:szCs w:val="22"/>
              </w:rPr>
            </w:pPr>
            <w:r>
              <w:rPr>
                <w:i/>
                <w:sz w:val="22"/>
                <w:szCs w:val="22"/>
                <w:lang w:val="en-GB"/>
              </w:rPr>
              <w:t>Extinderea domeniului de aplicare a încercărilor de rezistenţă la foc. Plafoane neportante. Partea 7: Panouri metalice tip sandviş pentru construcţii</w:t>
            </w:r>
          </w:p>
        </w:tc>
      </w:tr>
      <w:tr w:rsidR="001C08A5" w14:paraId="0C8959C9" w14:textId="77777777">
        <w:tc>
          <w:tcPr>
            <w:tcW w:w="664" w:type="dxa"/>
          </w:tcPr>
          <w:p w14:paraId="2C044485" w14:textId="77777777" w:rsidR="001C08A5" w:rsidRDefault="001C08A5">
            <w:pPr>
              <w:numPr>
                <w:ilvl w:val="0"/>
                <w:numId w:val="113"/>
              </w:numPr>
              <w:rPr>
                <w:i/>
                <w:sz w:val="22"/>
                <w:szCs w:val="22"/>
              </w:rPr>
            </w:pPr>
          </w:p>
        </w:tc>
        <w:tc>
          <w:tcPr>
            <w:tcW w:w="1778" w:type="dxa"/>
          </w:tcPr>
          <w:p w14:paraId="3AC576C3" w14:textId="77777777" w:rsidR="001C08A5" w:rsidRDefault="00000000">
            <w:pPr>
              <w:jc w:val="both"/>
              <w:rPr>
                <w:b/>
                <w:bCs/>
                <w:i/>
                <w:sz w:val="22"/>
                <w:szCs w:val="22"/>
                <w:lang w:val="en-GB"/>
              </w:rPr>
            </w:pPr>
            <w:hyperlink r:id="rId644" w:history="1">
              <w:r>
                <w:rPr>
                  <w:b/>
                  <w:bCs/>
                  <w:i/>
                  <w:sz w:val="22"/>
                  <w:szCs w:val="22"/>
                  <w:lang w:val="en-GB"/>
                </w:rPr>
                <w:t>SR EN 15269-1</w:t>
              </w:r>
            </w:hyperlink>
          </w:p>
          <w:p w14:paraId="4469E584" w14:textId="77777777" w:rsidR="001C08A5" w:rsidRDefault="001C08A5">
            <w:pPr>
              <w:rPr>
                <w:b/>
                <w:bCs/>
                <w:i/>
                <w:sz w:val="22"/>
                <w:szCs w:val="22"/>
              </w:rPr>
            </w:pPr>
          </w:p>
        </w:tc>
        <w:tc>
          <w:tcPr>
            <w:tcW w:w="7164" w:type="dxa"/>
          </w:tcPr>
          <w:p w14:paraId="2D96C827" w14:textId="77777777" w:rsidR="001C08A5" w:rsidRDefault="00000000">
            <w:pPr>
              <w:jc w:val="both"/>
              <w:rPr>
                <w:i/>
                <w:sz w:val="22"/>
                <w:szCs w:val="22"/>
              </w:rPr>
            </w:pPr>
            <w:r>
              <w:rPr>
                <w:i/>
                <w:sz w:val="22"/>
                <w:szCs w:val="22"/>
              </w:rPr>
              <w:t>Aplicare extinsă a rezultatelor încercării de rezistență la foc și/sau de etanșeitate la fum a ușilor, obloanelor și ferestrelor mobile, inclusiv a elementelor de feronerie ale acestora. Partea 1: Cerințe generale</w:t>
            </w:r>
          </w:p>
        </w:tc>
      </w:tr>
      <w:tr w:rsidR="001C08A5" w14:paraId="2CC9D802" w14:textId="77777777">
        <w:tc>
          <w:tcPr>
            <w:tcW w:w="664" w:type="dxa"/>
          </w:tcPr>
          <w:p w14:paraId="0C4630CA" w14:textId="77777777" w:rsidR="001C08A5" w:rsidRDefault="001C08A5">
            <w:pPr>
              <w:numPr>
                <w:ilvl w:val="0"/>
                <w:numId w:val="113"/>
              </w:numPr>
              <w:rPr>
                <w:i/>
                <w:sz w:val="22"/>
                <w:szCs w:val="22"/>
              </w:rPr>
            </w:pPr>
          </w:p>
        </w:tc>
        <w:tc>
          <w:tcPr>
            <w:tcW w:w="1778" w:type="dxa"/>
          </w:tcPr>
          <w:p w14:paraId="7BCA74C5" w14:textId="77777777" w:rsidR="001C08A5" w:rsidRDefault="00000000">
            <w:pPr>
              <w:jc w:val="both"/>
              <w:rPr>
                <w:b/>
                <w:bCs/>
                <w:i/>
                <w:sz w:val="22"/>
                <w:szCs w:val="22"/>
                <w:lang w:val="en-GB"/>
              </w:rPr>
            </w:pPr>
            <w:hyperlink r:id="rId645" w:history="1">
              <w:r>
                <w:rPr>
                  <w:b/>
                  <w:bCs/>
                  <w:i/>
                  <w:sz w:val="22"/>
                  <w:szCs w:val="22"/>
                  <w:lang w:val="en-GB"/>
                </w:rPr>
                <w:t>SR EN 15269-2</w:t>
              </w:r>
            </w:hyperlink>
            <w:r>
              <w:rPr>
                <w:b/>
                <w:bCs/>
                <w:i/>
                <w:sz w:val="22"/>
                <w:szCs w:val="22"/>
                <w:lang w:val="en-GB"/>
              </w:rPr>
              <w:t xml:space="preserve"> </w:t>
            </w:r>
          </w:p>
          <w:p w14:paraId="20EE9D08" w14:textId="77777777" w:rsidR="001C08A5" w:rsidRDefault="001C08A5">
            <w:pPr>
              <w:rPr>
                <w:b/>
                <w:bCs/>
                <w:i/>
                <w:sz w:val="22"/>
                <w:szCs w:val="22"/>
              </w:rPr>
            </w:pPr>
          </w:p>
        </w:tc>
        <w:tc>
          <w:tcPr>
            <w:tcW w:w="7164" w:type="dxa"/>
          </w:tcPr>
          <w:p w14:paraId="7D0B124C" w14:textId="77777777" w:rsidR="001C08A5" w:rsidRDefault="00000000">
            <w:pPr>
              <w:jc w:val="both"/>
              <w:rPr>
                <w:i/>
                <w:sz w:val="22"/>
                <w:szCs w:val="22"/>
              </w:rPr>
            </w:pPr>
            <w:r>
              <w:rPr>
                <w:i/>
                <w:sz w:val="22"/>
                <w:szCs w:val="22"/>
                <w:lang w:val="en-GB"/>
              </w:rPr>
              <w:t xml:space="preserve">Extinderea domeniului de aplicare a rezultatelor încercării pentru rezistenţa la foc şi/sau etanşeitatea la fum </w:t>
            </w:r>
            <w:proofErr w:type="gramStart"/>
            <w:r>
              <w:rPr>
                <w:i/>
                <w:sz w:val="22"/>
                <w:szCs w:val="22"/>
                <w:lang w:val="en-GB"/>
              </w:rPr>
              <w:t>a</w:t>
            </w:r>
            <w:proofErr w:type="gramEnd"/>
            <w:r>
              <w:rPr>
                <w:i/>
                <w:sz w:val="22"/>
                <w:szCs w:val="22"/>
                <w:lang w:val="en-GB"/>
              </w:rPr>
              <w:t xml:space="preserve"> ansamblurilor de uşi, obloane şi ferestre care se deschid, incluzând elementele lor de feronerie. Partea 2: Rezistenţa la foc a seturilor de uşi de oţel pe balamale şi pivoţi</w:t>
            </w:r>
          </w:p>
        </w:tc>
      </w:tr>
      <w:tr w:rsidR="001C08A5" w14:paraId="4613D0CB" w14:textId="77777777">
        <w:tc>
          <w:tcPr>
            <w:tcW w:w="664" w:type="dxa"/>
          </w:tcPr>
          <w:p w14:paraId="56709BDE" w14:textId="77777777" w:rsidR="001C08A5" w:rsidRDefault="001C08A5">
            <w:pPr>
              <w:numPr>
                <w:ilvl w:val="0"/>
                <w:numId w:val="113"/>
              </w:numPr>
              <w:rPr>
                <w:i/>
                <w:sz w:val="22"/>
                <w:szCs w:val="22"/>
              </w:rPr>
            </w:pPr>
          </w:p>
        </w:tc>
        <w:tc>
          <w:tcPr>
            <w:tcW w:w="1778" w:type="dxa"/>
          </w:tcPr>
          <w:p w14:paraId="39187701" w14:textId="77777777" w:rsidR="001C08A5" w:rsidRDefault="00000000">
            <w:pPr>
              <w:jc w:val="both"/>
              <w:rPr>
                <w:b/>
                <w:bCs/>
                <w:i/>
                <w:sz w:val="22"/>
                <w:szCs w:val="22"/>
                <w:lang w:val="en-GB"/>
              </w:rPr>
            </w:pPr>
            <w:hyperlink r:id="rId646" w:history="1">
              <w:r>
                <w:rPr>
                  <w:b/>
                  <w:bCs/>
                  <w:i/>
                  <w:sz w:val="22"/>
                  <w:szCs w:val="22"/>
                  <w:lang w:val="en-GB"/>
                </w:rPr>
                <w:t>SR EN 15269-3</w:t>
              </w:r>
            </w:hyperlink>
          </w:p>
          <w:p w14:paraId="7A9A35A8" w14:textId="77777777" w:rsidR="001C08A5" w:rsidRDefault="001C08A5">
            <w:pPr>
              <w:rPr>
                <w:b/>
                <w:bCs/>
                <w:i/>
                <w:sz w:val="22"/>
                <w:szCs w:val="22"/>
              </w:rPr>
            </w:pPr>
          </w:p>
        </w:tc>
        <w:tc>
          <w:tcPr>
            <w:tcW w:w="7164" w:type="dxa"/>
          </w:tcPr>
          <w:p w14:paraId="09095523" w14:textId="77777777" w:rsidR="001C08A5" w:rsidRDefault="00000000">
            <w:pPr>
              <w:jc w:val="both"/>
              <w:rPr>
                <w:i/>
                <w:sz w:val="22"/>
                <w:szCs w:val="22"/>
              </w:rPr>
            </w:pPr>
            <w:r>
              <w:rPr>
                <w:i/>
                <w:sz w:val="22"/>
                <w:szCs w:val="22"/>
              </w:rPr>
              <w:t>Extinderea domeniului de aplicare a rezultatelor încercării privind rezistența la foc și/sau etanșeitatea la fum a ansamblurilor de uși, obloane și ferestre mobile, inclusiv a elementelor de feronerie ale acestora. Partea 3: Rezistența la foc a ansamblurilor de uși de lemn cu balamale și pivoți și a ferestrelor mobile cu tocuri de lemn</w:t>
            </w:r>
          </w:p>
        </w:tc>
      </w:tr>
      <w:tr w:rsidR="001C08A5" w14:paraId="3E0BE493" w14:textId="77777777">
        <w:tc>
          <w:tcPr>
            <w:tcW w:w="664" w:type="dxa"/>
          </w:tcPr>
          <w:p w14:paraId="013DD49D" w14:textId="77777777" w:rsidR="001C08A5" w:rsidRDefault="001C08A5">
            <w:pPr>
              <w:numPr>
                <w:ilvl w:val="0"/>
                <w:numId w:val="113"/>
              </w:numPr>
              <w:rPr>
                <w:i/>
                <w:sz w:val="22"/>
                <w:szCs w:val="22"/>
              </w:rPr>
            </w:pPr>
          </w:p>
        </w:tc>
        <w:tc>
          <w:tcPr>
            <w:tcW w:w="1778" w:type="dxa"/>
          </w:tcPr>
          <w:p w14:paraId="3C124ED9" w14:textId="77777777" w:rsidR="001C08A5" w:rsidRDefault="00000000">
            <w:pPr>
              <w:jc w:val="both"/>
              <w:rPr>
                <w:b/>
                <w:bCs/>
                <w:i/>
                <w:sz w:val="22"/>
                <w:szCs w:val="22"/>
                <w:lang w:val="en-GB"/>
              </w:rPr>
            </w:pPr>
            <w:hyperlink r:id="rId647" w:history="1">
              <w:r>
                <w:rPr>
                  <w:b/>
                  <w:bCs/>
                  <w:i/>
                  <w:sz w:val="22"/>
                  <w:szCs w:val="22"/>
                  <w:lang w:val="en-GB"/>
                </w:rPr>
                <w:t>SR EN 15269-5</w:t>
              </w:r>
            </w:hyperlink>
          </w:p>
          <w:p w14:paraId="25679D12" w14:textId="77777777" w:rsidR="001C08A5" w:rsidRDefault="001C08A5">
            <w:pPr>
              <w:tabs>
                <w:tab w:val="left" w:pos="970"/>
              </w:tabs>
              <w:rPr>
                <w:b/>
                <w:bCs/>
                <w:i/>
                <w:sz w:val="22"/>
                <w:szCs w:val="22"/>
              </w:rPr>
            </w:pPr>
          </w:p>
        </w:tc>
        <w:tc>
          <w:tcPr>
            <w:tcW w:w="7164" w:type="dxa"/>
          </w:tcPr>
          <w:p w14:paraId="1301905C" w14:textId="77777777" w:rsidR="001C08A5" w:rsidRDefault="00000000">
            <w:pPr>
              <w:jc w:val="both"/>
              <w:rPr>
                <w:i/>
                <w:sz w:val="22"/>
                <w:szCs w:val="22"/>
              </w:rPr>
            </w:pPr>
            <w:r>
              <w:rPr>
                <w:i/>
                <w:sz w:val="22"/>
                <w:szCs w:val="22"/>
                <w:lang w:val="en-GB"/>
              </w:rPr>
              <w:t xml:space="preserve">Extinderea domeniului de aplicare a rezultatelor încercărilor de rezistență la foc și/sau de etanșeitate la fum </w:t>
            </w:r>
            <w:proofErr w:type="gramStart"/>
            <w:r>
              <w:rPr>
                <w:i/>
                <w:sz w:val="22"/>
                <w:szCs w:val="22"/>
                <w:lang w:val="en-GB"/>
              </w:rPr>
              <w:t>a</w:t>
            </w:r>
            <w:proofErr w:type="gramEnd"/>
            <w:r>
              <w:rPr>
                <w:i/>
                <w:sz w:val="22"/>
                <w:szCs w:val="22"/>
                <w:lang w:val="en-GB"/>
              </w:rPr>
              <w:t xml:space="preserve"> ansamblurilor de uși, obloane și ferestre, incluzând elementele de feronerie ale acestora. Partea 5: Rezistența la foc </w:t>
            </w:r>
            <w:proofErr w:type="gramStart"/>
            <w:r>
              <w:rPr>
                <w:i/>
                <w:sz w:val="22"/>
                <w:szCs w:val="22"/>
                <w:lang w:val="en-GB"/>
              </w:rPr>
              <w:t>a</w:t>
            </w:r>
            <w:proofErr w:type="gramEnd"/>
            <w:r>
              <w:rPr>
                <w:i/>
                <w:sz w:val="22"/>
                <w:szCs w:val="22"/>
                <w:lang w:val="en-GB"/>
              </w:rPr>
              <w:t xml:space="preserve"> ansamblurilor de uși vitrate cu toc metalic pe balamale și pivoți și a ferestrelor de sticlă cu toc metalic</w:t>
            </w:r>
          </w:p>
        </w:tc>
      </w:tr>
      <w:tr w:rsidR="001C08A5" w14:paraId="01502460" w14:textId="77777777">
        <w:tc>
          <w:tcPr>
            <w:tcW w:w="664" w:type="dxa"/>
          </w:tcPr>
          <w:p w14:paraId="694CBC5B" w14:textId="77777777" w:rsidR="001C08A5" w:rsidRDefault="001C08A5">
            <w:pPr>
              <w:numPr>
                <w:ilvl w:val="0"/>
                <w:numId w:val="113"/>
              </w:numPr>
              <w:rPr>
                <w:i/>
                <w:sz w:val="22"/>
                <w:szCs w:val="22"/>
              </w:rPr>
            </w:pPr>
          </w:p>
        </w:tc>
        <w:tc>
          <w:tcPr>
            <w:tcW w:w="1778" w:type="dxa"/>
          </w:tcPr>
          <w:p w14:paraId="3FE2F0E9" w14:textId="77777777" w:rsidR="001C08A5" w:rsidRDefault="00000000">
            <w:pPr>
              <w:jc w:val="both"/>
              <w:rPr>
                <w:b/>
                <w:bCs/>
                <w:i/>
                <w:sz w:val="22"/>
                <w:szCs w:val="22"/>
                <w:lang w:val="en-GB"/>
              </w:rPr>
            </w:pPr>
            <w:hyperlink r:id="rId648" w:history="1">
              <w:r>
                <w:rPr>
                  <w:b/>
                  <w:bCs/>
                  <w:i/>
                  <w:sz w:val="22"/>
                  <w:szCs w:val="22"/>
                  <w:lang w:val="en-GB"/>
                </w:rPr>
                <w:t>SR EN 15269-7</w:t>
              </w:r>
            </w:hyperlink>
          </w:p>
          <w:p w14:paraId="0040EC2C" w14:textId="77777777" w:rsidR="001C08A5" w:rsidRDefault="001C08A5">
            <w:pPr>
              <w:rPr>
                <w:b/>
                <w:bCs/>
                <w:i/>
                <w:sz w:val="22"/>
                <w:szCs w:val="22"/>
              </w:rPr>
            </w:pPr>
          </w:p>
        </w:tc>
        <w:tc>
          <w:tcPr>
            <w:tcW w:w="7164" w:type="dxa"/>
          </w:tcPr>
          <w:p w14:paraId="55B0F913" w14:textId="77777777" w:rsidR="001C08A5" w:rsidRDefault="00000000">
            <w:pPr>
              <w:jc w:val="both"/>
              <w:rPr>
                <w:i/>
                <w:sz w:val="22"/>
                <w:szCs w:val="22"/>
              </w:rPr>
            </w:pPr>
            <w:r>
              <w:rPr>
                <w:i/>
                <w:sz w:val="22"/>
                <w:szCs w:val="22"/>
                <w:lang w:val="en-GB"/>
              </w:rPr>
              <w:t xml:space="preserve">Extinderea domeniului de aplicare a rezultatelor încercării pentru rezistenţa la foc şi/sau etanşeitatea la fum </w:t>
            </w:r>
            <w:proofErr w:type="gramStart"/>
            <w:r>
              <w:rPr>
                <w:i/>
                <w:sz w:val="22"/>
                <w:szCs w:val="22"/>
                <w:lang w:val="en-GB"/>
              </w:rPr>
              <w:t>a</w:t>
            </w:r>
            <w:proofErr w:type="gramEnd"/>
            <w:r>
              <w:rPr>
                <w:i/>
                <w:sz w:val="22"/>
                <w:szCs w:val="22"/>
                <w:lang w:val="en-GB"/>
              </w:rPr>
              <w:t xml:space="preserve"> ansamblurilor de uşi, obloane şi ferestre care se deschid, incluzând elementele lor de feronerie. Partea 7: Rezistenţa la foc </w:t>
            </w:r>
            <w:proofErr w:type="gramStart"/>
            <w:r>
              <w:rPr>
                <w:i/>
                <w:sz w:val="22"/>
                <w:szCs w:val="22"/>
                <w:lang w:val="en-GB"/>
              </w:rPr>
              <w:t>a</w:t>
            </w:r>
            <w:proofErr w:type="gramEnd"/>
            <w:r>
              <w:rPr>
                <w:i/>
                <w:sz w:val="22"/>
                <w:szCs w:val="22"/>
                <w:lang w:val="en-GB"/>
              </w:rPr>
              <w:t xml:space="preserve"> ansamblurilor de uşi glisante din oţel</w:t>
            </w:r>
          </w:p>
        </w:tc>
      </w:tr>
      <w:tr w:rsidR="001C08A5" w14:paraId="47E7BF1F" w14:textId="77777777">
        <w:tc>
          <w:tcPr>
            <w:tcW w:w="664" w:type="dxa"/>
          </w:tcPr>
          <w:p w14:paraId="7A9029E6" w14:textId="77777777" w:rsidR="001C08A5" w:rsidRDefault="001C08A5">
            <w:pPr>
              <w:numPr>
                <w:ilvl w:val="0"/>
                <w:numId w:val="113"/>
              </w:numPr>
              <w:rPr>
                <w:i/>
                <w:sz w:val="22"/>
                <w:szCs w:val="22"/>
              </w:rPr>
            </w:pPr>
          </w:p>
        </w:tc>
        <w:tc>
          <w:tcPr>
            <w:tcW w:w="1778" w:type="dxa"/>
          </w:tcPr>
          <w:p w14:paraId="07A45126" w14:textId="77777777" w:rsidR="001C08A5" w:rsidRDefault="00000000">
            <w:pPr>
              <w:jc w:val="both"/>
              <w:rPr>
                <w:b/>
                <w:bCs/>
                <w:i/>
                <w:sz w:val="22"/>
                <w:szCs w:val="22"/>
                <w:lang w:val="en-GB"/>
              </w:rPr>
            </w:pPr>
            <w:hyperlink r:id="rId649" w:history="1">
              <w:r>
                <w:rPr>
                  <w:b/>
                  <w:bCs/>
                  <w:i/>
                  <w:sz w:val="22"/>
                  <w:szCs w:val="22"/>
                  <w:lang w:val="en-GB"/>
                </w:rPr>
                <w:t>SR EN 15269-10</w:t>
              </w:r>
            </w:hyperlink>
          </w:p>
          <w:p w14:paraId="45C9CFBC" w14:textId="77777777" w:rsidR="001C08A5" w:rsidRDefault="001C08A5">
            <w:pPr>
              <w:rPr>
                <w:b/>
                <w:bCs/>
                <w:i/>
                <w:sz w:val="22"/>
                <w:szCs w:val="22"/>
              </w:rPr>
            </w:pPr>
          </w:p>
        </w:tc>
        <w:tc>
          <w:tcPr>
            <w:tcW w:w="7164" w:type="dxa"/>
          </w:tcPr>
          <w:p w14:paraId="6A332A39" w14:textId="77777777" w:rsidR="001C08A5" w:rsidRDefault="00000000">
            <w:pPr>
              <w:jc w:val="both"/>
              <w:rPr>
                <w:i/>
                <w:sz w:val="22"/>
                <w:szCs w:val="22"/>
              </w:rPr>
            </w:pPr>
            <w:r>
              <w:rPr>
                <w:i/>
                <w:sz w:val="22"/>
                <w:szCs w:val="22"/>
                <w:lang w:val="en-GB"/>
              </w:rPr>
              <w:t xml:space="preserve">Extinderea domeniului de aplicare a rezultatelor pentru încercări de rezistenţă la foc şi/sau control al fumului pentru uşi, obloane şi ansambluri care deschid ferestre, inclusiv elemente de feronerie. Partea 10: Rezistenţa la foc </w:t>
            </w:r>
            <w:proofErr w:type="gramStart"/>
            <w:r>
              <w:rPr>
                <w:i/>
                <w:sz w:val="22"/>
                <w:szCs w:val="22"/>
                <w:lang w:val="en-GB"/>
              </w:rPr>
              <w:t>a</w:t>
            </w:r>
            <w:proofErr w:type="gramEnd"/>
            <w:r>
              <w:rPr>
                <w:i/>
                <w:sz w:val="22"/>
                <w:szCs w:val="22"/>
                <w:lang w:val="en-GB"/>
              </w:rPr>
              <w:t xml:space="preserve"> obloanelor din oţel sub formă de rolă</w:t>
            </w:r>
          </w:p>
        </w:tc>
      </w:tr>
      <w:tr w:rsidR="001C08A5" w14:paraId="0F4DADEE" w14:textId="77777777">
        <w:tc>
          <w:tcPr>
            <w:tcW w:w="664" w:type="dxa"/>
          </w:tcPr>
          <w:p w14:paraId="209BF01D" w14:textId="77777777" w:rsidR="001C08A5" w:rsidRDefault="001C08A5">
            <w:pPr>
              <w:numPr>
                <w:ilvl w:val="0"/>
                <w:numId w:val="113"/>
              </w:numPr>
              <w:rPr>
                <w:i/>
                <w:sz w:val="22"/>
                <w:szCs w:val="22"/>
              </w:rPr>
            </w:pPr>
          </w:p>
        </w:tc>
        <w:tc>
          <w:tcPr>
            <w:tcW w:w="1778" w:type="dxa"/>
          </w:tcPr>
          <w:p w14:paraId="195758F0" w14:textId="77777777" w:rsidR="001C08A5" w:rsidRDefault="00000000">
            <w:pPr>
              <w:jc w:val="both"/>
              <w:rPr>
                <w:b/>
                <w:bCs/>
                <w:i/>
                <w:sz w:val="22"/>
                <w:szCs w:val="22"/>
                <w:lang w:val="en-GB"/>
              </w:rPr>
            </w:pPr>
            <w:hyperlink r:id="rId650" w:history="1">
              <w:r>
                <w:rPr>
                  <w:b/>
                  <w:bCs/>
                  <w:i/>
                  <w:sz w:val="22"/>
                  <w:szCs w:val="22"/>
                  <w:lang w:val="en-GB"/>
                </w:rPr>
                <w:t>SR EN 15269-11</w:t>
              </w:r>
            </w:hyperlink>
          </w:p>
          <w:p w14:paraId="46FB9ED8" w14:textId="77777777" w:rsidR="001C08A5" w:rsidRDefault="001C08A5">
            <w:pPr>
              <w:rPr>
                <w:b/>
                <w:bCs/>
                <w:i/>
                <w:sz w:val="22"/>
                <w:szCs w:val="22"/>
              </w:rPr>
            </w:pPr>
          </w:p>
        </w:tc>
        <w:tc>
          <w:tcPr>
            <w:tcW w:w="7164" w:type="dxa"/>
          </w:tcPr>
          <w:p w14:paraId="3E098C07" w14:textId="77777777" w:rsidR="001C08A5" w:rsidRDefault="00000000">
            <w:pPr>
              <w:jc w:val="both"/>
              <w:rPr>
                <w:i/>
                <w:sz w:val="22"/>
                <w:szCs w:val="22"/>
              </w:rPr>
            </w:pPr>
            <w:r>
              <w:rPr>
                <w:i/>
                <w:sz w:val="22"/>
                <w:szCs w:val="22"/>
                <w:lang w:val="en-GB"/>
              </w:rPr>
              <w:t xml:space="preserve">Extinderea domeniului de aplicare a rezultatelor încercărilor de rezistență la foc și/sau de etanșeitate la fum </w:t>
            </w:r>
            <w:proofErr w:type="gramStart"/>
            <w:r>
              <w:rPr>
                <w:i/>
                <w:sz w:val="22"/>
                <w:szCs w:val="22"/>
                <w:lang w:val="en-GB"/>
              </w:rPr>
              <w:t>a</w:t>
            </w:r>
            <w:proofErr w:type="gramEnd"/>
            <w:r>
              <w:rPr>
                <w:i/>
                <w:sz w:val="22"/>
                <w:szCs w:val="22"/>
                <w:lang w:val="en-GB"/>
              </w:rPr>
              <w:t xml:space="preserve"> ansamblurilor de uși, obloane și ferestre, incluzând elementele de feronerie ale acestora. Partea 11: Rezistența la foc a cortinelor mobile din țesătură</w:t>
            </w:r>
          </w:p>
        </w:tc>
      </w:tr>
      <w:tr w:rsidR="001C08A5" w14:paraId="6EA78845" w14:textId="77777777">
        <w:tc>
          <w:tcPr>
            <w:tcW w:w="664" w:type="dxa"/>
          </w:tcPr>
          <w:p w14:paraId="32163E95" w14:textId="77777777" w:rsidR="001C08A5" w:rsidRDefault="001C08A5">
            <w:pPr>
              <w:numPr>
                <w:ilvl w:val="0"/>
                <w:numId w:val="113"/>
              </w:numPr>
              <w:rPr>
                <w:i/>
                <w:sz w:val="22"/>
                <w:szCs w:val="22"/>
              </w:rPr>
            </w:pPr>
          </w:p>
        </w:tc>
        <w:tc>
          <w:tcPr>
            <w:tcW w:w="1778" w:type="dxa"/>
          </w:tcPr>
          <w:p w14:paraId="1A6B99AC" w14:textId="77777777" w:rsidR="001C08A5" w:rsidRDefault="00000000">
            <w:pPr>
              <w:jc w:val="both"/>
              <w:rPr>
                <w:b/>
                <w:bCs/>
                <w:i/>
                <w:sz w:val="22"/>
                <w:szCs w:val="22"/>
                <w:lang w:val="en-GB"/>
              </w:rPr>
            </w:pPr>
            <w:hyperlink r:id="rId651" w:history="1">
              <w:r>
                <w:rPr>
                  <w:b/>
                  <w:bCs/>
                  <w:i/>
                  <w:sz w:val="22"/>
                  <w:szCs w:val="22"/>
                  <w:lang w:val="en-GB"/>
                </w:rPr>
                <w:t>SR EN 15269-20</w:t>
              </w:r>
            </w:hyperlink>
          </w:p>
          <w:p w14:paraId="2CF31029" w14:textId="77777777" w:rsidR="001C08A5" w:rsidRDefault="001C08A5">
            <w:pPr>
              <w:rPr>
                <w:b/>
                <w:bCs/>
                <w:i/>
                <w:sz w:val="22"/>
                <w:szCs w:val="22"/>
              </w:rPr>
            </w:pPr>
          </w:p>
        </w:tc>
        <w:tc>
          <w:tcPr>
            <w:tcW w:w="7164" w:type="dxa"/>
          </w:tcPr>
          <w:p w14:paraId="03BFC2F9" w14:textId="77777777" w:rsidR="001C08A5" w:rsidRDefault="00000000">
            <w:pPr>
              <w:jc w:val="both"/>
              <w:rPr>
                <w:i/>
                <w:sz w:val="22"/>
                <w:szCs w:val="22"/>
              </w:rPr>
            </w:pPr>
            <w:r>
              <w:rPr>
                <w:i/>
                <w:sz w:val="22"/>
                <w:szCs w:val="22"/>
                <w:lang w:val="en-GB"/>
              </w:rPr>
              <w:t xml:space="preserve">Extinderea domeniului de aplicare a rezultatelor încercărilor de rezistenţă la foc şi/sau de etanşeitate la fum </w:t>
            </w:r>
            <w:proofErr w:type="gramStart"/>
            <w:r>
              <w:rPr>
                <w:i/>
                <w:sz w:val="22"/>
                <w:szCs w:val="22"/>
                <w:lang w:val="en-GB"/>
              </w:rPr>
              <w:t>a</w:t>
            </w:r>
            <w:proofErr w:type="gramEnd"/>
            <w:r>
              <w:rPr>
                <w:i/>
                <w:sz w:val="22"/>
                <w:szCs w:val="22"/>
                <w:lang w:val="en-GB"/>
              </w:rPr>
              <w:t xml:space="preserve"> ansamblurilor de uşi, obloane şi ferestre care se deschid, inclusiv a elementelor de feronerie ale acestora. Partea 20: Etanşeitatea la fum a uşilor, </w:t>
            </w:r>
            <w:proofErr w:type="gramStart"/>
            <w:r>
              <w:rPr>
                <w:i/>
                <w:sz w:val="22"/>
                <w:szCs w:val="22"/>
                <w:lang w:val="en-GB"/>
              </w:rPr>
              <w:t>a</w:t>
            </w:r>
            <w:proofErr w:type="gramEnd"/>
            <w:r>
              <w:rPr>
                <w:i/>
                <w:sz w:val="22"/>
                <w:szCs w:val="22"/>
                <w:lang w:val="en-GB"/>
              </w:rPr>
              <w:t xml:space="preserve"> obloanelor, a cortinelor mobile din ţesătură şi a ferestrelor care se deschid</w:t>
            </w:r>
          </w:p>
        </w:tc>
      </w:tr>
      <w:tr w:rsidR="001C08A5" w14:paraId="1D7EE019" w14:textId="77777777">
        <w:tc>
          <w:tcPr>
            <w:tcW w:w="664" w:type="dxa"/>
          </w:tcPr>
          <w:p w14:paraId="2C23B9A7" w14:textId="77777777" w:rsidR="001C08A5" w:rsidRDefault="001C08A5">
            <w:pPr>
              <w:numPr>
                <w:ilvl w:val="0"/>
                <w:numId w:val="113"/>
              </w:numPr>
              <w:rPr>
                <w:i/>
                <w:sz w:val="22"/>
                <w:szCs w:val="22"/>
              </w:rPr>
            </w:pPr>
          </w:p>
        </w:tc>
        <w:tc>
          <w:tcPr>
            <w:tcW w:w="1778" w:type="dxa"/>
          </w:tcPr>
          <w:p w14:paraId="7195F56F" w14:textId="77777777" w:rsidR="001C08A5" w:rsidRDefault="00000000">
            <w:pPr>
              <w:jc w:val="both"/>
              <w:rPr>
                <w:b/>
                <w:bCs/>
                <w:i/>
                <w:sz w:val="22"/>
                <w:szCs w:val="22"/>
                <w:lang w:val="en-GB"/>
              </w:rPr>
            </w:pPr>
            <w:hyperlink r:id="rId652" w:history="1">
              <w:r>
                <w:rPr>
                  <w:b/>
                  <w:bCs/>
                  <w:i/>
                  <w:sz w:val="22"/>
                  <w:szCs w:val="22"/>
                  <w:lang w:val="en-GB"/>
                </w:rPr>
                <w:t>SR EN 15423</w:t>
              </w:r>
            </w:hyperlink>
          </w:p>
          <w:p w14:paraId="20F5A541" w14:textId="77777777" w:rsidR="001C08A5" w:rsidRDefault="001C08A5">
            <w:pPr>
              <w:rPr>
                <w:b/>
                <w:bCs/>
                <w:i/>
                <w:sz w:val="22"/>
                <w:szCs w:val="22"/>
              </w:rPr>
            </w:pPr>
          </w:p>
        </w:tc>
        <w:tc>
          <w:tcPr>
            <w:tcW w:w="7164" w:type="dxa"/>
          </w:tcPr>
          <w:p w14:paraId="0AD160E5" w14:textId="77777777" w:rsidR="001C08A5" w:rsidRDefault="00000000">
            <w:pPr>
              <w:jc w:val="both"/>
              <w:rPr>
                <w:i/>
                <w:sz w:val="22"/>
                <w:szCs w:val="22"/>
              </w:rPr>
            </w:pPr>
            <w:r>
              <w:rPr>
                <w:i/>
                <w:sz w:val="22"/>
                <w:szCs w:val="22"/>
                <w:lang w:val="en-GB"/>
              </w:rPr>
              <w:t xml:space="preserve">Instalaţii de ventilare a clădirilor. Măsuri de precauţie împotriva incendiilor pentru instalaţiile de distribuţie </w:t>
            </w:r>
            <w:proofErr w:type="gramStart"/>
            <w:r>
              <w:rPr>
                <w:i/>
                <w:sz w:val="22"/>
                <w:szCs w:val="22"/>
                <w:lang w:val="en-GB"/>
              </w:rPr>
              <w:t>a</w:t>
            </w:r>
            <w:proofErr w:type="gramEnd"/>
            <w:r>
              <w:rPr>
                <w:i/>
                <w:sz w:val="22"/>
                <w:szCs w:val="22"/>
                <w:lang w:val="en-GB"/>
              </w:rPr>
              <w:t xml:space="preserve"> aerului în clădiri</w:t>
            </w:r>
          </w:p>
        </w:tc>
      </w:tr>
      <w:tr w:rsidR="001C08A5" w14:paraId="729F4A05" w14:textId="77777777">
        <w:tc>
          <w:tcPr>
            <w:tcW w:w="664" w:type="dxa"/>
          </w:tcPr>
          <w:p w14:paraId="2767EDAF" w14:textId="77777777" w:rsidR="001C08A5" w:rsidRDefault="001C08A5">
            <w:pPr>
              <w:numPr>
                <w:ilvl w:val="0"/>
                <w:numId w:val="113"/>
              </w:numPr>
              <w:rPr>
                <w:i/>
                <w:sz w:val="22"/>
                <w:szCs w:val="22"/>
              </w:rPr>
            </w:pPr>
          </w:p>
        </w:tc>
        <w:tc>
          <w:tcPr>
            <w:tcW w:w="1778" w:type="dxa"/>
          </w:tcPr>
          <w:p w14:paraId="59161ACE" w14:textId="77777777" w:rsidR="001C08A5" w:rsidRDefault="00000000">
            <w:pPr>
              <w:jc w:val="both"/>
              <w:rPr>
                <w:b/>
                <w:bCs/>
                <w:i/>
                <w:sz w:val="22"/>
                <w:szCs w:val="22"/>
                <w:lang w:val="en-GB"/>
              </w:rPr>
            </w:pPr>
            <w:hyperlink r:id="rId653" w:history="1">
              <w:r>
                <w:rPr>
                  <w:b/>
                  <w:bCs/>
                  <w:i/>
                  <w:sz w:val="22"/>
                  <w:szCs w:val="22"/>
                  <w:lang w:val="en-GB"/>
                </w:rPr>
                <w:t>SR EN 15882-1</w:t>
              </w:r>
            </w:hyperlink>
          </w:p>
          <w:p w14:paraId="400F2E92" w14:textId="77777777" w:rsidR="001C08A5" w:rsidRDefault="001C08A5">
            <w:pPr>
              <w:rPr>
                <w:b/>
                <w:bCs/>
                <w:i/>
                <w:sz w:val="22"/>
                <w:szCs w:val="22"/>
              </w:rPr>
            </w:pPr>
          </w:p>
        </w:tc>
        <w:tc>
          <w:tcPr>
            <w:tcW w:w="7164" w:type="dxa"/>
          </w:tcPr>
          <w:p w14:paraId="217A79CC" w14:textId="77777777" w:rsidR="001C08A5" w:rsidRDefault="00000000">
            <w:pPr>
              <w:jc w:val="both"/>
              <w:rPr>
                <w:i/>
                <w:sz w:val="22"/>
                <w:szCs w:val="22"/>
              </w:rPr>
            </w:pPr>
            <w:r>
              <w:rPr>
                <w:i/>
                <w:sz w:val="22"/>
                <w:szCs w:val="22"/>
              </w:rPr>
              <w:t>Extinderea domeniului de aplicare a rezultatelor încercărilor de rezistență la foc a instalațiilor tehnice - Partea 1: Conducte</w:t>
            </w:r>
          </w:p>
        </w:tc>
      </w:tr>
      <w:tr w:rsidR="001C08A5" w14:paraId="4812CB2C" w14:textId="77777777">
        <w:tc>
          <w:tcPr>
            <w:tcW w:w="664" w:type="dxa"/>
          </w:tcPr>
          <w:p w14:paraId="63E78385" w14:textId="77777777" w:rsidR="001C08A5" w:rsidRDefault="001C08A5">
            <w:pPr>
              <w:numPr>
                <w:ilvl w:val="0"/>
                <w:numId w:val="113"/>
              </w:numPr>
              <w:rPr>
                <w:i/>
                <w:sz w:val="22"/>
                <w:szCs w:val="22"/>
              </w:rPr>
            </w:pPr>
          </w:p>
        </w:tc>
        <w:tc>
          <w:tcPr>
            <w:tcW w:w="1778" w:type="dxa"/>
          </w:tcPr>
          <w:p w14:paraId="43AD8020" w14:textId="77777777" w:rsidR="001C08A5" w:rsidRDefault="00000000">
            <w:pPr>
              <w:jc w:val="both"/>
              <w:rPr>
                <w:b/>
                <w:bCs/>
                <w:i/>
                <w:sz w:val="22"/>
                <w:szCs w:val="22"/>
              </w:rPr>
            </w:pPr>
            <w:hyperlink r:id="rId654" w:history="1">
              <w:r>
                <w:rPr>
                  <w:b/>
                  <w:bCs/>
                  <w:i/>
                  <w:sz w:val="22"/>
                  <w:szCs w:val="22"/>
                  <w:lang w:val="en-GB"/>
                </w:rPr>
                <w:t>SR EN 15882-2</w:t>
              </w:r>
            </w:hyperlink>
          </w:p>
        </w:tc>
        <w:tc>
          <w:tcPr>
            <w:tcW w:w="7164" w:type="dxa"/>
          </w:tcPr>
          <w:p w14:paraId="72191A4C" w14:textId="77777777" w:rsidR="001C08A5" w:rsidRDefault="00000000">
            <w:pPr>
              <w:jc w:val="both"/>
              <w:rPr>
                <w:i/>
                <w:sz w:val="22"/>
                <w:szCs w:val="22"/>
              </w:rPr>
            </w:pPr>
            <w:r>
              <w:rPr>
                <w:i/>
                <w:sz w:val="22"/>
                <w:szCs w:val="22"/>
              </w:rPr>
              <w:t>Extinderea domeniului de aplicare a rezultatelor încercărilor de rezistență la foc ale instalațiilor tehnice. Partea 2: Clapete rezistente la foc</w:t>
            </w:r>
          </w:p>
        </w:tc>
      </w:tr>
      <w:tr w:rsidR="001C08A5" w14:paraId="6D186138" w14:textId="77777777">
        <w:tc>
          <w:tcPr>
            <w:tcW w:w="664" w:type="dxa"/>
          </w:tcPr>
          <w:p w14:paraId="140930AD" w14:textId="77777777" w:rsidR="001C08A5" w:rsidRDefault="001C08A5">
            <w:pPr>
              <w:numPr>
                <w:ilvl w:val="0"/>
                <w:numId w:val="113"/>
              </w:numPr>
              <w:rPr>
                <w:i/>
                <w:sz w:val="22"/>
                <w:szCs w:val="22"/>
              </w:rPr>
            </w:pPr>
          </w:p>
        </w:tc>
        <w:tc>
          <w:tcPr>
            <w:tcW w:w="1778" w:type="dxa"/>
          </w:tcPr>
          <w:p w14:paraId="3F9D2095" w14:textId="77777777" w:rsidR="001C08A5" w:rsidRDefault="00000000">
            <w:pPr>
              <w:jc w:val="both"/>
              <w:rPr>
                <w:b/>
                <w:bCs/>
                <w:i/>
                <w:sz w:val="22"/>
                <w:szCs w:val="22"/>
                <w:lang w:val="en-GB"/>
              </w:rPr>
            </w:pPr>
            <w:hyperlink r:id="rId655" w:history="1">
              <w:r>
                <w:rPr>
                  <w:b/>
                  <w:bCs/>
                  <w:i/>
                  <w:sz w:val="22"/>
                  <w:szCs w:val="22"/>
                  <w:lang w:val="en-GB"/>
                </w:rPr>
                <w:t>SR EN 15882-3</w:t>
              </w:r>
            </w:hyperlink>
          </w:p>
          <w:p w14:paraId="09F7D5C4" w14:textId="77777777" w:rsidR="001C08A5" w:rsidRDefault="001C08A5">
            <w:pPr>
              <w:jc w:val="center"/>
              <w:rPr>
                <w:b/>
                <w:bCs/>
                <w:i/>
                <w:sz w:val="22"/>
                <w:szCs w:val="22"/>
              </w:rPr>
            </w:pPr>
          </w:p>
        </w:tc>
        <w:tc>
          <w:tcPr>
            <w:tcW w:w="7164" w:type="dxa"/>
          </w:tcPr>
          <w:p w14:paraId="03D06752" w14:textId="77777777" w:rsidR="001C08A5" w:rsidRDefault="00000000">
            <w:pPr>
              <w:jc w:val="both"/>
              <w:rPr>
                <w:i/>
                <w:sz w:val="22"/>
                <w:szCs w:val="22"/>
              </w:rPr>
            </w:pPr>
            <w:r>
              <w:rPr>
                <w:i/>
                <w:sz w:val="22"/>
                <w:szCs w:val="22"/>
                <w:lang w:val="en-GB"/>
              </w:rPr>
              <w:t>Extinderea domeniului de aplicare a încercărilor de rezistenţă la foc. Partea 3: Etanşări</w:t>
            </w:r>
          </w:p>
        </w:tc>
      </w:tr>
      <w:tr w:rsidR="001C08A5" w14:paraId="5631DAD4" w14:textId="77777777">
        <w:tc>
          <w:tcPr>
            <w:tcW w:w="664" w:type="dxa"/>
          </w:tcPr>
          <w:p w14:paraId="5B569688" w14:textId="77777777" w:rsidR="001C08A5" w:rsidRDefault="001C08A5">
            <w:pPr>
              <w:numPr>
                <w:ilvl w:val="0"/>
                <w:numId w:val="113"/>
              </w:numPr>
              <w:rPr>
                <w:i/>
                <w:sz w:val="22"/>
                <w:szCs w:val="22"/>
              </w:rPr>
            </w:pPr>
          </w:p>
        </w:tc>
        <w:tc>
          <w:tcPr>
            <w:tcW w:w="1778" w:type="dxa"/>
          </w:tcPr>
          <w:p w14:paraId="23D9BC8B" w14:textId="77777777" w:rsidR="001C08A5" w:rsidRDefault="00000000">
            <w:pPr>
              <w:jc w:val="both"/>
              <w:rPr>
                <w:b/>
                <w:bCs/>
                <w:i/>
                <w:sz w:val="22"/>
                <w:szCs w:val="22"/>
                <w:lang w:val="en-GB"/>
              </w:rPr>
            </w:pPr>
            <w:hyperlink r:id="rId656" w:history="1">
              <w:r>
                <w:rPr>
                  <w:b/>
                  <w:bCs/>
                  <w:i/>
                  <w:sz w:val="22"/>
                  <w:szCs w:val="22"/>
                  <w:lang w:val="en-GB"/>
                </w:rPr>
                <w:t>SR EN 15882-4</w:t>
              </w:r>
            </w:hyperlink>
          </w:p>
          <w:p w14:paraId="7322F1DE" w14:textId="77777777" w:rsidR="001C08A5" w:rsidRDefault="001C08A5">
            <w:pPr>
              <w:rPr>
                <w:b/>
                <w:bCs/>
                <w:i/>
                <w:sz w:val="22"/>
                <w:szCs w:val="22"/>
              </w:rPr>
            </w:pPr>
          </w:p>
        </w:tc>
        <w:tc>
          <w:tcPr>
            <w:tcW w:w="7164" w:type="dxa"/>
          </w:tcPr>
          <w:p w14:paraId="1EA5B588" w14:textId="77777777" w:rsidR="001C08A5" w:rsidRDefault="00000000">
            <w:pPr>
              <w:jc w:val="both"/>
              <w:rPr>
                <w:i/>
                <w:sz w:val="22"/>
                <w:szCs w:val="22"/>
              </w:rPr>
            </w:pPr>
            <w:r>
              <w:rPr>
                <w:i/>
                <w:sz w:val="22"/>
                <w:szCs w:val="22"/>
                <w:lang w:val="en-GB"/>
              </w:rPr>
              <w:t>Extinderea domeniului de aplicare a rezultatelor încercărilor de rezistenţă la foc. Partea 4: Etanşări pentru îmbinări liniare</w:t>
            </w:r>
          </w:p>
        </w:tc>
      </w:tr>
      <w:tr w:rsidR="001C08A5" w14:paraId="2E8A2F0F" w14:textId="77777777">
        <w:tc>
          <w:tcPr>
            <w:tcW w:w="664" w:type="dxa"/>
          </w:tcPr>
          <w:p w14:paraId="51A4C83D" w14:textId="77777777" w:rsidR="001C08A5" w:rsidRDefault="001C08A5">
            <w:pPr>
              <w:numPr>
                <w:ilvl w:val="0"/>
                <w:numId w:val="113"/>
              </w:numPr>
              <w:rPr>
                <w:i/>
                <w:sz w:val="22"/>
                <w:szCs w:val="22"/>
              </w:rPr>
            </w:pPr>
          </w:p>
        </w:tc>
        <w:tc>
          <w:tcPr>
            <w:tcW w:w="1778" w:type="dxa"/>
          </w:tcPr>
          <w:p w14:paraId="39A2A21B" w14:textId="77777777" w:rsidR="001C08A5" w:rsidRDefault="00000000">
            <w:pPr>
              <w:jc w:val="both"/>
              <w:rPr>
                <w:b/>
                <w:bCs/>
                <w:i/>
                <w:sz w:val="22"/>
                <w:szCs w:val="22"/>
                <w:lang w:val="en-GB"/>
              </w:rPr>
            </w:pPr>
            <w:hyperlink r:id="rId657" w:history="1">
              <w:r>
                <w:rPr>
                  <w:b/>
                  <w:bCs/>
                  <w:i/>
                  <w:sz w:val="22"/>
                  <w:szCs w:val="22"/>
                  <w:lang w:val="en-GB"/>
                </w:rPr>
                <w:t>SR EN 12101-1</w:t>
              </w:r>
            </w:hyperlink>
          </w:p>
          <w:p w14:paraId="2F31A666" w14:textId="77777777" w:rsidR="001C08A5" w:rsidRDefault="001C08A5">
            <w:pPr>
              <w:rPr>
                <w:b/>
                <w:bCs/>
                <w:i/>
                <w:sz w:val="22"/>
                <w:szCs w:val="22"/>
              </w:rPr>
            </w:pPr>
          </w:p>
        </w:tc>
        <w:tc>
          <w:tcPr>
            <w:tcW w:w="7164" w:type="dxa"/>
          </w:tcPr>
          <w:p w14:paraId="1EC96090" w14:textId="77777777" w:rsidR="001C08A5" w:rsidRDefault="00000000">
            <w:pPr>
              <w:rPr>
                <w:i/>
                <w:sz w:val="22"/>
                <w:szCs w:val="22"/>
              </w:rPr>
            </w:pPr>
            <w:r>
              <w:rPr>
                <w:i/>
                <w:sz w:val="22"/>
                <w:szCs w:val="22"/>
              </w:rPr>
              <w:t>Sisteme pentru controlul fumului și gazelor fierbinți. Partea 1: Specificație pentru barierele de fum</w:t>
            </w:r>
          </w:p>
        </w:tc>
      </w:tr>
      <w:tr w:rsidR="001C08A5" w14:paraId="2C867CF0" w14:textId="77777777">
        <w:tc>
          <w:tcPr>
            <w:tcW w:w="664" w:type="dxa"/>
          </w:tcPr>
          <w:p w14:paraId="063C1584" w14:textId="77777777" w:rsidR="001C08A5" w:rsidRDefault="001C08A5">
            <w:pPr>
              <w:numPr>
                <w:ilvl w:val="0"/>
                <w:numId w:val="113"/>
              </w:numPr>
              <w:rPr>
                <w:i/>
                <w:sz w:val="22"/>
                <w:szCs w:val="22"/>
              </w:rPr>
            </w:pPr>
          </w:p>
        </w:tc>
        <w:tc>
          <w:tcPr>
            <w:tcW w:w="1778" w:type="dxa"/>
          </w:tcPr>
          <w:p w14:paraId="4A120BDF" w14:textId="77777777" w:rsidR="001C08A5" w:rsidRDefault="00000000">
            <w:pPr>
              <w:jc w:val="both"/>
              <w:rPr>
                <w:b/>
                <w:bCs/>
                <w:i/>
                <w:sz w:val="22"/>
                <w:szCs w:val="22"/>
                <w:lang w:val="en-GB"/>
              </w:rPr>
            </w:pPr>
            <w:hyperlink r:id="rId658" w:history="1">
              <w:r>
                <w:rPr>
                  <w:b/>
                  <w:bCs/>
                  <w:i/>
                  <w:sz w:val="22"/>
                  <w:szCs w:val="22"/>
                  <w:lang w:val="en-GB"/>
                </w:rPr>
                <w:t>SR EN 12101-2</w:t>
              </w:r>
            </w:hyperlink>
          </w:p>
          <w:p w14:paraId="315E3637" w14:textId="77777777" w:rsidR="001C08A5" w:rsidRDefault="001C08A5">
            <w:pPr>
              <w:rPr>
                <w:b/>
                <w:bCs/>
                <w:i/>
                <w:sz w:val="22"/>
                <w:szCs w:val="22"/>
              </w:rPr>
            </w:pPr>
          </w:p>
        </w:tc>
        <w:tc>
          <w:tcPr>
            <w:tcW w:w="7164" w:type="dxa"/>
          </w:tcPr>
          <w:p w14:paraId="0652AB69" w14:textId="77777777" w:rsidR="001C08A5" w:rsidRDefault="00000000">
            <w:pPr>
              <w:jc w:val="both"/>
              <w:rPr>
                <w:i/>
                <w:sz w:val="22"/>
                <w:szCs w:val="22"/>
              </w:rPr>
            </w:pPr>
            <w:r>
              <w:rPr>
                <w:i/>
                <w:sz w:val="22"/>
                <w:szCs w:val="22"/>
                <w:lang w:val="en-GB"/>
              </w:rPr>
              <w:t>Sisteme de control al fumului şi a căldurii – Partea 2: Dispozitive de evacuare naturală a fumului şi a căldurii</w:t>
            </w:r>
          </w:p>
        </w:tc>
      </w:tr>
      <w:tr w:rsidR="001C08A5" w14:paraId="77771448" w14:textId="77777777">
        <w:tc>
          <w:tcPr>
            <w:tcW w:w="664" w:type="dxa"/>
          </w:tcPr>
          <w:p w14:paraId="3E73D9F4" w14:textId="77777777" w:rsidR="001C08A5" w:rsidRDefault="001C08A5">
            <w:pPr>
              <w:numPr>
                <w:ilvl w:val="0"/>
                <w:numId w:val="113"/>
              </w:numPr>
              <w:rPr>
                <w:i/>
                <w:sz w:val="22"/>
                <w:szCs w:val="22"/>
              </w:rPr>
            </w:pPr>
          </w:p>
        </w:tc>
        <w:tc>
          <w:tcPr>
            <w:tcW w:w="1778" w:type="dxa"/>
          </w:tcPr>
          <w:p w14:paraId="7D7D4C84" w14:textId="77777777" w:rsidR="001C08A5" w:rsidRDefault="00000000">
            <w:pPr>
              <w:jc w:val="both"/>
              <w:rPr>
                <w:b/>
                <w:bCs/>
                <w:i/>
                <w:sz w:val="22"/>
                <w:szCs w:val="22"/>
                <w:lang w:val="en-GB"/>
              </w:rPr>
            </w:pPr>
            <w:hyperlink r:id="rId659" w:history="1">
              <w:r>
                <w:rPr>
                  <w:b/>
                  <w:bCs/>
                  <w:i/>
                  <w:sz w:val="22"/>
                  <w:szCs w:val="22"/>
                  <w:lang w:val="en-GB"/>
                </w:rPr>
                <w:t>SR EN 12101-3</w:t>
              </w:r>
            </w:hyperlink>
          </w:p>
          <w:p w14:paraId="4AED4CDA" w14:textId="77777777" w:rsidR="001C08A5" w:rsidRDefault="001C08A5">
            <w:pPr>
              <w:rPr>
                <w:b/>
                <w:bCs/>
                <w:i/>
                <w:sz w:val="22"/>
                <w:szCs w:val="22"/>
              </w:rPr>
            </w:pPr>
          </w:p>
        </w:tc>
        <w:tc>
          <w:tcPr>
            <w:tcW w:w="7164" w:type="dxa"/>
          </w:tcPr>
          <w:p w14:paraId="0CAA2C6D" w14:textId="77777777" w:rsidR="001C08A5" w:rsidRDefault="00000000">
            <w:pPr>
              <w:jc w:val="both"/>
              <w:rPr>
                <w:i/>
                <w:sz w:val="22"/>
                <w:szCs w:val="22"/>
              </w:rPr>
            </w:pPr>
            <w:r>
              <w:rPr>
                <w:i/>
                <w:sz w:val="22"/>
                <w:szCs w:val="22"/>
                <w:lang w:val="en-GB"/>
              </w:rPr>
              <w:t>Sisteme de control al fumului și al căldurii. Partea 3: Specificații pentru ventilatoare mecanice de control al fumului și al căldurii</w:t>
            </w:r>
          </w:p>
        </w:tc>
      </w:tr>
      <w:tr w:rsidR="001C08A5" w14:paraId="2F3B4A02" w14:textId="77777777">
        <w:tc>
          <w:tcPr>
            <w:tcW w:w="664" w:type="dxa"/>
          </w:tcPr>
          <w:p w14:paraId="2E520153" w14:textId="77777777" w:rsidR="001C08A5" w:rsidRDefault="001C08A5">
            <w:pPr>
              <w:numPr>
                <w:ilvl w:val="0"/>
                <w:numId w:val="113"/>
              </w:numPr>
              <w:rPr>
                <w:i/>
                <w:sz w:val="22"/>
                <w:szCs w:val="22"/>
              </w:rPr>
            </w:pPr>
          </w:p>
        </w:tc>
        <w:tc>
          <w:tcPr>
            <w:tcW w:w="1778" w:type="dxa"/>
          </w:tcPr>
          <w:p w14:paraId="1B0987AD" w14:textId="77777777" w:rsidR="001C08A5" w:rsidRDefault="00000000">
            <w:pPr>
              <w:jc w:val="both"/>
              <w:rPr>
                <w:b/>
                <w:bCs/>
                <w:i/>
                <w:sz w:val="22"/>
                <w:szCs w:val="22"/>
              </w:rPr>
            </w:pPr>
            <w:hyperlink r:id="rId660" w:history="1">
              <w:r>
                <w:rPr>
                  <w:b/>
                  <w:bCs/>
                  <w:i/>
                  <w:sz w:val="22"/>
                  <w:szCs w:val="22"/>
                  <w:lang w:val="en-GB"/>
                </w:rPr>
                <w:t>SR CEN/TR 12101-4</w:t>
              </w:r>
            </w:hyperlink>
          </w:p>
        </w:tc>
        <w:tc>
          <w:tcPr>
            <w:tcW w:w="7164" w:type="dxa"/>
          </w:tcPr>
          <w:p w14:paraId="57A6A601" w14:textId="77777777" w:rsidR="001C08A5" w:rsidRDefault="00000000">
            <w:pPr>
              <w:jc w:val="both"/>
              <w:rPr>
                <w:i/>
                <w:sz w:val="22"/>
                <w:szCs w:val="22"/>
              </w:rPr>
            </w:pPr>
            <w:r>
              <w:rPr>
                <w:i/>
                <w:sz w:val="22"/>
                <w:szCs w:val="22"/>
                <w:lang w:val="en-GB"/>
              </w:rPr>
              <w:t>Sisteme de control al fumului şi gazelor fierbinţi. Partea 4: Sisteme SHEVS instalate pentru evacuarea fumului şi gazelor fierbinţi</w:t>
            </w:r>
          </w:p>
        </w:tc>
      </w:tr>
      <w:tr w:rsidR="001C08A5" w14:paraId="29AAE863" w14:textId="77777777">
        <w:tc>
          <w:tcPr>
            <w:tcW w:w="664" w:type="dxa"/>
          </w:tcPr>
          <w:p w14:paraId="1092F9CF" w14:textId="77777777" w:rsidR="001C08A5" w:rsidRDefault="001C08A5">
            <w:pPr>
              <w:numPr>
                <w:ilvl w:val="0"/>
                <w:numId w:val="113"/>
              </w:numPr>
              <w:rPr>
                <w:i/>
                <w:sz w:val="22"/>
                <w:szCs w:val="22"/>
              </w:rPr>
            </w:pPr>
          </w:p>
        </w:tc>
        <w:tc>
          <w:tcPr>
            <w:tcW w:w="1778" w:type="dxa"/>
          </w:tcPr>
          <w:p w14:paraId="71862DD2" w14:textId="77777777" w:rsidR="001C08A5" w:rsidRDefault="00000000">
            <w:pPr>
              <w:jc w:val="both"/>
              <w:rPr>
                <w:b/>
                <w:bCs/>
                <w:i/>
                <w:sz w:val="22"/>
                <w:szCs w:val="22"/>
                <w:lang w:val="en-GB"/>
              </w:rPr>
            </w:pPr>
            <w:hyperlink r:id="rId661" w:history="1">
              <w:r>
                <w:rPr>
                  <w:b/>
                  <w:bCs/>
                  <w:i/>
                  <w:sz w:val="22"/>
                  <w:szCs w:val="22"/>
                  <w:lang w:val="en-GB"/>
                </w:rPr>
                <w:t>SR CEN/TR 12101-5</w:t>
              </w:r>
            </w:hyperlink>
          </w:p>
          <w:p w14:paraId="4398D743" w14:textId="77777777" w:rsidR="001C08A5" w:rsidRDefault="001C08A5">
            <w:pPr>
              <w:ind w:firstLine="720"/>
              <w:rPr>
                <w:b/>
                <w:bCs/>
                <w:i/>
                <w:sz w:val="22"/>
                <w:szCs w:val="22"/>
              </w:rPr>
            </w:pPr>
          </w:p>
        </w:tc>
        <w:tc>
          <w:tcPr>
            <w:tcW w:w="7164" w:type="dxa"/>
          </w:tcPr>
          <w:p w14:paraId="5986F67C" w14:textId="77777777" w:rsidR="001C08A5" w:rsidRDefault="00000000">
            <w:pPr>
              <w:jc w:val="both"/>
              <w:rPr>
                <w:i/>
                <w:sz w:val="22"/>
                <w:szCs w:val="22"/>
              </w:rPr>
            </w:pPr>
            <w:r>
              <w:rPr>
                <w:i/>
                <w:sz w:val="22"/>
                <w:szCs w:val="22"/>
                <w:lang w:val="en-GB"/>
              </w:rPr>
              <w:t>Sisteme de control al fumului şi gazelor fierbinţi. Partea 5: Ghid de recomandări funcţionale şi metode de calcul pentru sisteme de ventilare pentru evacuarea fumului şi gazelor fierbinţi</w:t>
            </w:r>
          </w:p>
        </w:tc>
      </w:tr>
      <w:tr w:rsidR="001C08A5" w14:paraId="0ED641D3" w14:textId="77777777">
        <w:tc>
          <w:tcPr>
            <w:tcW w:w="664" w:type="dxa"/>
          </w:tcPr>
          <w:p w14:paraId="1CA1E2AD" w14:textId="77777777" w:rsidR="001C08A5" w:rsidRDefault="001C08A5">
            <w:pPr>
              <w:numPr>
                <w:ilvl w:val="0"/>
                <w:numId w:val="113"/>
              </w:numPr>
              <w:rPr>
                <w:i/>
                <w:sz w:val="22"/>
                <w:szCs w:val="22"/>
              </w:rPr>
            </w:pPr>
          </w:p>
        </w:tc>
        <w:tc>
          <w:tcPr>
            <w:tcW w:w="1778" w:type="dxa"/>
          </w:tcPr>
          <w:p w14:paraId="0981CFFB" w14:textId="77777777" w:rsidR="001C08A5" w:rsidRDefault="00000000">
            <w:pPr>
              <w:jc w:val="both"/>
              <w:rPr>
                <w:b/>
                <w:bCs/>
                <w:i/>
                <w:sz w:val="22"/>
                <w:szCs w:val="22"/>
                <w:lang w:val="en-GB"/>
              </w:rPr>
            </w:pPr>
            <w:hyperlink r:id="rId662" w:history="1">
              <w:r>
                <w:rPr>
                  <w:b/>
                  <w:bCs/>
                  <w:i/>
                  <w:sz w:val="22"/>
                  <w:szCs w:val="22"/>
                  <w:lang w:val="en-GB"/>
                </w:rPr>
                <w:t>SR EN 12101-6</w:t>
              </w:r>
            </w:hyperlink>
            <w:r>
              <w:rPr>
                <w:b/>
                <w:bCs/>
                <w:i/>
                <w:sz w:val="22"/>
                <w:szCs w:val="22"/>
                <w:lang w:val="en-GB"/>
              </w:rPr>
              <w:t xml:space="preserve"> </w:t>
            </w:r>
          </w:p>
          <w:p w14:paraId="54148E73" w14:textId="77777777" w:rsidR="001C08A5" w:rsidRDefault="001C08A5">
            <w:pPr>
              <w:jc w:val="center"/>
              <w:rPr>
                <w:b/>
                <w:bCs/>
                <w:i/>
                <w:sz w:val="22"/>
                <w:szCs w:val="22"/>
              </w:rPr>
            </w:pPr>
          </w:p>
        </w:tc>
        <w:tc>
          <w:tcPr>
            <w:tcW w:w="7164" w:type="dxa"/>
          </w:tcPr>
          <w:p w14:paraId="33A9A972" w14:textId="77777777" w:rsidR="001C08A5" w:rsidRDefault="00000000">
            <w:pPr>
              <w:jc w:val="both"/>
              <w:rPr>
                <w:i/>
                <w:sz w:val="22"/>
                <w:szCs w:val="22"/>
              </w:rPr>
            </w:pPr>
            <w:r>
              <w:rPr>
                <w:i/>
                <w:sz w:val="22"/>
                <w:szCs w:val="22"/>
              </w:rPr>
              <w:t>Sisteme pentru controlul fumului și gazelor fierbinți. Partea 6: Specificații pentru sisteme cu presiune diferențială. Kituri</w:t>
            </w:r>
          </w:p>
        </w:tc>
      </w:tr>
      <w:tr w:rsidR="001C08A5" w14:paraId="5B4649FD" w14:textId="77777777">
        <w:tc>
          <w:tcPr>
            <w:tcW w:w="664" w:type="dxa"/>
          </w:tcPr>
          <w:p w14:paraId="4CA7F319" w14:textId="77777777" w:rsidR="001C08A5" w:rsidRDefault="001C08A5">
            <w:pPr>
              <w:numPr>
                <w:ilvl w:val="0"/>
                <w:numId w:val="113"/>
              </w:numPr>
              <w:rPr>
                <w:i/>
                <w:sz w:val="22"/>
                <w:szCs w:val="22"/>
              </w:rPr>
            </w:pPr>
          </w:p>
        </w:tc>
        <w:tc>
          <w:tcPr>
            <w:tcW w:w="1778" w:type="dxa"/>
          </w:tcPr>
          <w:p w14:paraId="6225EFCE" w14:textId="77777777" w:rsidR="001C08A5" w:rsidRDefault="00000000">
            <w:pPr>
              <w:rPr>
                <w:b/>
                <w:bCs/>
                <w:i/>
                <w:sz w:val="22"/>
                <w:szCs w:val="22"/>
              </w:rPr>
            </w:pPr>
            <w:hyperlink r:id="rId663" w:history="1">
              <w:r>
                <w:rPr>
                  <w:b/>
                  <w:bCs/>
                  <w:i/>
                  <w:sz w:val="22"/>
                  <w:szCs w:val="22"/>
                  <w:lang w:val="en-GB"/>
                </w:rPr>
                <w:t>SR EN 12101-</w:t>
              </w:r>
              <w:r>
                <w:rPr>
                  <w:b/>
                  <w:bCs/>
                  <w:i/>
                  <w:sz w:val="22"/>
                  <w:szCs w:val="22"/>
                </w:rPr>
                <w:t>1</w:t>
              </w:r>
            </w:hyperlink>
            <w:r>
              <w:rPr>
                <w:b/>
                <w:bCs/>
                <w:i/>
                <w:sz w:val="22"/>
                <w:szCs w:val="22"/>
              </w:rPr>
              <w:t>3</w:t>
            </w:r>
          </w:p>
        </w:tc>
        <w:tc>
          <w:tcPr>
            <w:tcW w:w="7164" w:type="dxa"/>
          </w:tcPr>
          <w:p w14:paraId="646D96FD" w14:textId="77777777" w:rsidR="001C08A5" w:rsidRDefault="00000000">
            <w:pPr>
              <w:jc w:val="both"/>
              <w:rPr>
                <w:i/>
                <w:sz w:val="22"/>
                <w:szCs w:val="22"/>
                <w:lang w:val="en-GB"/>
              </w:rPr>
            </w:pPr>
            <w:r>
              <w:rPr>
                <w:i/>
                <w:sz w:val="22"/>
                <w:szCs w:val="22"/>
                <w:lang w:val="en-GB"/>
              </w:rPr>
              <w:t>Sisteme pentru controlul fumului și gazelor fierbinți. Partea 13: Sisteme cu presiune diferențială (SPD). Metode de proiectare și de calcul, instalare, încercări în vederea recepției, încercări periodice și mentenanță</w:t>
            </w:r>
          </w:p>
        </w:tc>
      </w:tr>
      <w:tr w:rsidR="001C08A5" w14:paraId="02209378" w14:textId="77777777">
        <w:tc>
          <w:tcPr>
            <w:tcW w:w="664" w:type="dxa"/>
          </w:tcPr>
          <w:p w14:paraId="32916632" w14:textId="77777777" w:rsidR="001C08A5" w:rsidRDefault="001C08A5">
            <w:pPr>
              <w:numPr>
                <w:ilvl w:val="0"/>
                <w:numId w:val="113"/>
              </w:numPr>
              <w:rPr>
                <w:i/>
                <w:sz w:val="22"/>
                <w:szCs w:val="22"/>
              </w:rPr>
            </w:pPr>
          </w:p>
        </w:tc>
        <w:tc>
          <w:tcPr>
            <w:tcW w:w="1778" w:type="dxa"/>
          </w:tcPr>
          <w:p w14:paraId="0F0A6C9A" w14:textId="77777777" w:rsidR="001C08A5" w:rsidRDefault="00000000">
            <w:pPr>
              <w:jc w:val="both"/>
              <w:rPr>
                <w:b/>
                <w:bCs/>
                <w:i/>
                <w:sz w:val="22"/>
                <w:szCs w:val="22"/>
                <w:lang w:val="en-GB"/>
              </w:rPr>
            </w:pPr>
            <w:hyperlink r:id="rId664" w:history="1">
              <w:r>
                <w:rPr>
                  <w:b/>
                  <w:bCs/>
                  <w:i/>
                  <w:sz w:val="22"/>
                  <w:szCs w:val="22"/>
                  <w:lang w:val="en-GB"/>
                </w:rPr>
                <w:t>SR EN 12101-7</w:t>
              </w:r>
            </w:hyperlink>
          </w:p>
          <w:p w14:paraId="1DF4FAA8" w14:textId="77777777" w:rsidR="001C08A5" w:rsidRDefault="001C08A5">
            <w:pPr>
              <w:rPr>
                <w:b/>
                <w:bCs/>
                <w:i/>
                <w:sz w:val="22"/>
                <w:szCs w:val="22"/>
              </w:rPr>
            </w:pPr>
          </w:p>
        </w:tc>
        <w:tc>
          <w:tcPr>
            <w:tcW w:w="7164" w:type="dxa"/>
          </w:tcPr>
          <w:p w14:paraId="5A40C709" w14:textId="77777777" w:rsidR="001C08A5" w:rsidRDefault="00000000">
            <w:pPr>
              <w:jc w:val="both"/>
              <w:rPr>
                <w:i/>
                <w:sz w:val="22"/>
                <w:szCs w:val="22"/>
              </w:rPr>
            </w:pPr>
            <w:r>
              <w:rPr>
                <w:i/>
                <w:sz w:val="22"/>
                <w:szCs w:val="22"/>
                <w:lang w:val="en-GB"/>
              </w:rPr>
              <w:t>Sisteme pentru controlul fumului şi gazelor fierbinţi. Partea 7: Tronsoane de conductă pentru controlul fumului</w:t>
            </w:r>
          </w:p>
        </w:tc>
      </w:tr>
      <w:tr w:rsidR="001C08A5" w14:paraId="5D5EBDB2" w14:textId="77777777">
        <w:tc>
          <w:tcPr>
            <w:tcW w:w="664" w:type="dxa"/>
          </w:tcPr>
          <w:p w14:paraId="36C604FD" w14:textId="77777777" w:rsidR="001C08A5" w:rsidRDefault="001C08A5">
            <w:pPr>
              <w:numPr>
                <w:ilvl w:val="0"/>
                <w:numId w:val="113"/>
              </w:numPr>
              <w:rPr>
                <w:i/>
                <w:sz w:val="22"/>
                <w:szCs w:val="22"/>
              </w:rPr>
            </w:pPr>
          </w:p>
        </w:tc>
        <w:tc>
          <w:tcPr>
            <w:tcW w:w="1778" w:type="dxa"/>
          </w:tcPr>
          <w:p w14:paraId="65BA1FB3" w14:textId="77777777" w:rsidR="001C08A5" w:rsidRDefault="00000000">
            <w:pPr>
              <w:jc w:val="both"/>
              <w:rPr>
                <w:b/>
                <w:bCs/>
                <w:i/>
                <w:sz w:val="22"/>
                <w:szCs w:val="22"/>
                <w:lang w:val="en-GB"/>
              </w:rPr>
            </w:pPr>
            <w:hyperlink r:id="rId665" w:history="1">
              <w:r>
                <w:rPr>
                  <w:b/>
                  <w:bCs/>
                  <w:i/>
                  <w:sz w:val="22"/>
                  <w:szCs w:val="22"/>
                  <w:lang w:val="en-GB"/>
                </w:rPr>
                <w:t>SR EN 12101-8</w:t>
              </w:r>
            </w:hyperlink>
            <w:r>
              <w:rPr>
                <w:b/>
                <w:bCs/>
                <w:i/>
                <w:sz w:val="22"/>
                <w:szCs w:val="22"/>
                <w:lang w:val="en-GB"/>
              </w:rPr>
              <w:t xml:space="preserve"> </w:t>
            </w:r>
          </w:p>
          <w:p w14:paraId="305EF2F1" w14:textId="77777777" w:rsidR="001C08A5" w:rsidRDefault="001C08A5">
            <w:pPr>
              <w:rPr>
                <w:b/>
                <w:bCs/>
                <w:i/>
                <w:sz w:val="22"/>
                <w:szCs w:val="22"/>
              </w:rPr>
            </w:pPr>
          </w:p>
        </w:tc>
        <w:tc>
          <w:tcPr>
            <w:tcW w:w="7164" w:type="dxa"/>
          </w:tcPr>
          <w:p w14:paraId="459AC405" w14:textId="77777777" w:rsidR="001C08A5" w:rsidRDefault="00000000">
            <w:pPr>
              <w:jc w:val="both"/>
              <w:rPr>
                <w:i/>
                <w:sz w:val="22"/>
                <w:szCs w:val="22"/>
              </w:rPr>
            </w:pPr>
            <w:r>
              <w:rPr>
                <w:i/>
                <w:sz w:val="22"/>
                <w:szCs w:val="22"/>
                <w:lang w:val="en-GB"/>
              </w:rPr>
              <w:t>Sisteme pentru controlul fumului şi gazelor fierbinţi. Partea 8: Clapete pentru controlul fumului</w:t>
            </w:r>
          </w:p>
        </w:tc>
      </w:tr>
      <w:tr w:rsidR="001C08A5" w14:paraId="20420E77" w14:textId="77777777">
        <w:tc>
          <w:tcPr>
            <w:tcW w:w="664" w:type="dxa"/>
          </w:tcPr>
          <w:p w14:paraId="16A03341" w14:textId="77777777" w:rsidR="001C08A5" w:rsidRDefault="001C08A5">
            <w:pPr>
              <w:numPr>
                <w:ilvl w:val="0"/>
                <w:numId w:val="113"/>
              </w:numPr>
              <w:rPr>
                <w:i/>
                <w:sz w:val="22"/>
                <w:szCs w:val="22"/>
              </w:rPr>
            </w:pPr>
          </w:p>
        </w:tc>
        <w:tc>
          <w:tcPr>
            <w:tcW w:w="1778" w:type="dxa"/>
          </w:tcPr>
          <w:p w14:paraId="1ADAF312" w14:textId="77777777" w:rsidR="001C08A5" w:rsidRDefault="00000000">
            <w:pPr>
              <w:jc w:val="both"/>
              <w:rPr>
                <w:b/>
                <w:bCs/>
                <w:i/>
                <w:sz w:val="22"/>
                <w:szCs w:val="22"/>
                <w:lang w:val="en-GB"/>
              </w:rPr>
            </w:pPr>
            <w:hyperlink r:id="rId666" w:history="1">
              <w:r>
                <w:rPr>
                  <w:b/>
                  <w:bCs/>
                  <w:i/>
                  <w:sz w:val="22"/>
                  <w:szCs w:val="22"/>
                  <w:lang w:val="en-GB"/>
                </w:rPr>
                <w:t>SR EN 12101-10</w:t>
              </w:r>
            </w:hyperlink>
          </w:p>
          <w:p w14:paraId="5CABC4B1" w14:textId="77777777" w:rsidR="001C08A5" w:rsidRDefault="001C08A5">
            <w:pPr>
              <w:rPr>
                <w:b/>
                <w:bCs/>
                <w:i/>
                <w:sz w:val="22"/>
                <w:szCs w:val="22"/>
              </w:rPr>
            </w:pPr>
          </w:p>
        </w:tc>
        <w:tc>
          <w:tcPr>
            <w:tcW w:w="7164" w:type="dxa"/>
          </w:tcPr>
          <w:p w14:paraId="44A59B42" w14:textId="77777777" w:rsidR="001C08A5" w:rsidRDefault="00000000">
            <w:pPr>
              <w:jc w:val="both"/>
              <w:rPr>
                <w:i/>
                <w:sz w:val="22"/>
                <w:szCs w:val="22"/>
              </w:rPr>
            </w:pPr>
            <w:r>
              <w:rPr>
                <w:i/>
                <w:sz w:val="22"/>
                <w:szCs w:val="22"/>
                <w:lang w:val="en-GB"/>
              </w:rPr>
              <w:t>Sisteme pentru controlul fumului şi gazelor fierbinţi. Partea 10: Echipament de alimentare cu energie</w:t>
            </w:r>
          </w:p>
        </w:tc>
      </w:tr>
      <w:tr w:rsidR="001C08A5" w14:paraId="35DB5E72" w14:textId="77777777">
        <w:tc>
          <w:tcPr>
            <w:tcW w:w="664" w:type="dxa"/>
          </w:tcPr>
          <w:p w14:paraId="2131BCC1" w14:textId="77777777" w:rsidR="001C08A5" w:rsidRDefault="001C08A5">
            <w:pPr>
              <w:numPr>
                <w:ilvl w:val="0"/>
                <w:numId w:val="113"/>
              </w:numPr>
              <w:rPr>
                <w:i/>
                <w:sz w:val="22"/>
                <w:szCs w:val="22"/>
              </w:rPr>
            </w:pPr>
          </w:p>
        </w:tc>
        <w:tc>
          <w:tcPr>
            <w:tcW w:w="1778" w:type="dxa"/>
          </w:tcPr>
          <w:p w14:paraId="0C230392" w14:textId="77777777" w:rsidR="001C08A5" w:rsidRDefault="00000000">
            <w:pPr>
              <w:rPr>
                <w:b/>
                <w:bCs/>
                <w:i/>
                <w:sz w:val="22"/>
                <w:szCs w:val="22"/>
              </w:rPr>
            </w:pPr>
            <w:r>
              <w:rPr>
                <w:b/>
                <w:bCs/>
                <w:i/>
                <w:sz w:val="22"/>
                <w:szCs w:val="22"/>
              </w:rPr>
              <w:t>SR EN 12845</w:t>
            </w:r>
          </w:p>
        </w:tc>
        <w:tc>
          <w:tcPr>
            <w:tcW w:w="7164" w:type="dxa"/>
          </w:tcPr>
          <w:p w14:paraId="364CA825" w14:textId="77777777" w:rsidR="001C08A5" w:rsidRDefault="00000000">
            <w:pPr>
              <w:jc w:val="both"/>
              <w:rPr>
                <w:i/>
                <w:sz w:val="22"/>
                <w:szCs w:val="22"/>
                <w:lang w:val="en-GB"/>
              </w:rPr>
            </w:pPr>
            <w:r>
              <w:rPr>
                <w:i/>
                <w:sz w:val="22"/>
                <w:szCs w:val="22"/>
                <w:lang w:val="en-GB"/>
              </w:rPr>
              <w:t xml:space="preserve">Instalații fixe de stingere </w:t>
            </w:r>
            <w:proofErr w:type="gramStart"/>
            <w:r>
              <w:rPr>
                <w:i/>
                <w:sz w:val="22"/>
                <w:szCs w:val="22"/>
                <w:lang w:val="en-GB"/>
              </w:rPr>
              <w:t>a</w:t>
            </w:r>
            <w:proofErr w:type="gramEnd"/>
            <w:r>
              <w:rPr>
                <w:i/>
                <w:sz w:val="22"/>
                <w:szCs w:val="22"/>
                <w:lang w:val="en-GB"/>
              </w:rPr>
              <w:t xml:space="preserve"> incendiilor. Sisteme automate de stingere cu sprinklere. Proiectare, instalare și mentenanță</w:t>
            </w:r>
          </w:p>
        </w:tc>
      </w:tr>
      <w:tr w:rsidR="001C08A5" w14:paraId="6D99412F" w14:textId="77777777">
        <w:tc>
          <w:tcPr>
            <w:tcW w:w="664" w:type="dxa"/>
          </w:tcPr>
          <w:p w14:paraId="3BC30E6F" w14:textId="77777777" w:rsidR="001C08A5" w:rsidRDefault="001C08A5">
            <w:pPr>
              <w:numPr>
                <w:ilvl w:val="0"/>
                <w:numId w:val="113"/>
              </w:numPr>
              <w:rPr>
                <w:i/>
                <w:sz w:val="22"/>
                <w:szCs w:val="22"/>
              </w:rPr>
            </w:pPr>
          </w:p>
        </w:tc>
        <w:tc>
          <w:tcPr>
            <w:tcW w:w="1778" w:type="dxa"/>
          </w:tcPr>
          <w:p w14:paraId="450D9C0E" w14:textId="77777777" w:rsidR="001C08A5" w:rsidRDefault="00000000">
            <w:pPr>
              <w:jc w:val="both"/>
              <w:rPr>
                <w:b/>
                <w:bCs/>
                <w:i/>
                <w:sz w:val="22"/>
                <w:szCs w:val="22"/>
                <w:lang w:val="en-GB"/>
              </w:rPr>
            </w:pPr>
            <w:hyperlink r:id="rId667" w:history="1">
              <w:r>
                <w:rPr>
                  <w:b/>
                  <w:bCs/>
                  <w:i/>
                  <w:sz w:val="22"/>
                  <w:szCs w:val="22"/>
                  <w:lang w:val="en-GB"/>
                </w:rPr>
                <w:t>SR EN 14972-1</w:t>
              </w:r>
            </w:hyperlink>
          </w:p>
          <w:p w14:paraId="362895DC" w14:textId="77777777" w:rsidR="001C08A5" w:rsidRDefault="001C08A5">
            <w:pPr>
              <w:rPr>
                <w:b/>
                <w:bCs/>
                <w:i/>
                <w:sz w:val="22"/>
                <w:szCs w:val="22"/>
              </w:rPr>
            </w:pPr>
          </w:p>
        </w:tc>
        <w:tc>
          <w:tcPr>
            <w:tcW w:w="7164" w:type="dxa"/>
          </w:tcPr>
          <w:p w14:paraId="4E09EB6B" w14:textId="77777777" w:rsidR="001C08A5" w:rsidRDefault="00000000">
            <w:pPr>
              <w:jc w:val="both"/>
              <w:rPr>
                <w:i/>
                <w:sz w:val="22"/>
                <w:szCs w:val="22"/>
                <w:lang w:val="en-GB"/>
              </w:rPr>
            </w:pPr>
            <w:r>
              <w:rPr>
                <w:i/>
                <w:sz w:val="22"/>
                <w:szCs w:val="22"/>
                <w:lang w:val="en-GB"/>
              </w:rPr>
              <w:t xml:space="preserve">Instalaţii fixe de stingere </w:t>
            </w:r>
            <w:proofErr w:type="gramStart"/>
            <w:r>
              <w:rPr>
                <w:i/>
                <w:sz w:val="22"/>
                <w:szCs w:val="22"/>
                <w:lang w:val="en-GB"/>
              </w:rPr>
              <w:t>a</w:t>
            </w:r>
            <w:proofErr w:type="gramEnd"/>
            <w:r>
              <w:rPr>
                <w:i/>
                <w:sz w:val="22"/>
                <w:szCs w:val="22"/>
                <w:lang w:val="en-GB"/>
              </w:rPr>
              <w:t xml:space="preserve"> incendiilor. Sisteme cu ceaţă de apă. Partea 1: Proiectare, instalare, verificare şi mentenanţă</w:t>
            </w:r>
          </w:p>
        </w:tc>
      </w:tr>
      <w:tr w:rsidR="001C08A5" w14:paraId="2583B498" w14:textId="77777777">
        <w:tc>
          <w:tcPr>
            <w:tcW w:w="664" w:type="dxa"/>
          </w:tcPr>
          <w:p w14:paraId="2B6695B2" w14:textId="77777777" w:rsidR="001C08A5" w:rsidRDefault="001C08A5">
            <w:pPr>
              <w:numPr>
                <w:ilvl w:val="0"/>
                <w:numId w:val="113"/>
              </w:numPr>
              <w:rPr>
                <w:i/>
                <w:sz w:val="22"/>
                <w:szCs w:val="22"/>
              </w:rPr>
            </w:pPr>
          </w:p>
        </w:tc>
        <w:tc>
          <w:tcPr>
            <w:tcW w:w="1778" w:type="dxa"/>
          </w:tcPr>
          <w:p w14:paraId="19899D9D" w14:textId="77777777" w:rsidR="001C08A5" w:rsidRDefault="00000000">
            <w:pPr>
              <w:rPr>
                <w:b/>
                <w:bCs/>
                <w:i/>
                <w:sz w:val="22"/>
                <w:szCs w:val="22"/>
              </w:rPr>
            </w:pPr>
            <w:r>
              <w:rPr>
                <w:b/>
                <w:bCs/>
                <w:i/>
                <w:iCs/>
                <w:sz w:val="22"/>
                <w:szCs w:val="22"/>
              </w:rPr>
              <w:t>SR EN 14972-3</w:t>
            </w:r>
          </w:p>
        </w:tc>
        <w:tc>
          <w:tcPr>
            <w:tcW w:w="7164" w:type="dxa"/>
          </w:tcPr>
          <w:p w14:paraId="4F70629B" w14:textId="77777777" w:rsidR="001C08A5" w:rsidRDefault="00000000">
            <w:pPr>
              <w:jc w:val="both"/>
              <w:rPr>
                <w:i/>
                <w:sz w:val="22"/>
                <w:szCs w:val="22"/>
                <w:lang w:val="en-GB"/>
              </w:rPr>
            </w:pPr>
            <w:r>
              <w:rPr>
                <w:i/>
                <w:iCs/>
                <w:sz w:val="22"/>
                <w:szCs w:val="22"/>
              </w:rPr>
              <w:t>Instalaţii fixe de stingere a incendiilor. Sisteme cu ceaţă de apă. Partea 3: Protocol de încercare a sistemelor automate de duze pentru birouri, școli și hoteluri</w:t>
            </w:r>
          </w:p>
        </w:tc>
      </w:tr>
      <w:tr w:rsidR="001C08A5" w14:paraId="5DAF1F74" w14:textId="77777777">
        <w:tc>
          <w:tcPr>
            <w:tcW w:w="664" w:type="dxa"/>
          </w:tcPr>
          <w:p w14:paraId="48B3EE5B" w14:textId="77777777" w:rsidR="001C08A5" w:rsidRDefault="001C08A5">
            <w:pPr>
              <w:numPr>
                <w:ilvl w:val="0"/>
                <w:numId w:val="113"/>
              </w:numPr>
              <w:rPr>
                <w:i/>
                <w:sz w:val="22"/>
                <w:szCs w:val="22"/>
              </w:rPr>
            </w:pPr>
          </w:p>
        </w:tc>
        <w:tc>
          <w:tcPr>
            <w:tcW w:w="1778" w:type="dxa"/>
          </w:tcPr>
          <w:p w14:paraId="39CBE94F" w14:textId="77777777" w:rsidR="001C08A5" w:rsidRDefault="00000000">
            <w:pPr>
              <w:rPr>
                <w:b/>
                <w:bCs/>
                <w:i/>
                <w:sz w:val="22"/>
                <w:szCs w:val="22"/>
              </w:rPr>
            </w:pPr>
            <w:r>
              <w:rPr>
                <w:b/>
                <w:bCs/>
                <w:i/>
                <w:iCs/>
                <w:sz w:val="22"/>
                <w:szCs w:val="22"/>
              </w:rPr>
              <w:t>SR EN 14972-6</w:t>
            </w:r>
          </w:p>
        </w:tc>
        <w:tc>
          <w:tcPr>
            <w:tcW w:w="7164" w:type="dxa"/>
          </w:tcPr>
          <w:p w14:paraId="5EC243C7" w14:textId="77777777" w:rsidR="001C08A5" w:rsidRDefault="00000000">
            <w:pPr>
              <w:jc w:val="both"/>
              <w:rPr>
                <w:i/>
                <w:sz w:val="22"/>
                <w:szCs w:val="22"/>
                <w:lang w:val="en-GB"/>
              </w:rPr>
            </w:pPr>
            <w:r>
              <w:rPr>
                <w:i/>
                <w:iCs/>
                <w:sz w:val="22"/>
                <w:szCs w:val="22"/>
              </w:rPr>
              <w:t>Instalații fixe de stingere a incendiilor. Sisteme cu ceață de apă. Partea 6: Protocol de încercare a sistemelor de duze automate pentru pardoseli false și plafoane false</w:t>
            </w:r>
          </w:p>
        </w:tc>
      </w:tr>
      <w:tr w:rsidR="001C08A5" w14:paraId="75368D15" w14:textId="77777777">
        <w:tc>
          <w:tcPr>
            <w:tcW w:w="664" w:type="dxa"/>
          </w:tcPr>
          <w:p w14:paraId="22569024" w14:textId="77777777" w:rsidR="001C08A5" w:rsidRDefault="001C08A5">
            <w:pPr>
              <w:numPr>
                <w:ilvl w:val="0"/>
                <w:numId w:val="113"/>
              </w:numPr>
              <w:rPr>
                <w:i/>
                <w:sz w:val="22"/>
                <w:szCs w:val="22"/>
              </w:rPr>
            </w:pPr>
          </w:p>
        </w:tc>
        <w:tc>
          <w:tcPr>
            <w:tcW w:w="1778" w:type="dxa"/>
          </w:tcPr>
          <w:p w14:paraId="6DE4773D" w14:textId="77777777" w:rsidR="001C08A5" w:rsidRDefault="00000000">
            <w:pPr>
              <w:rPr>
                <w:b/>
                <w:bCs/>
                <w:i/>
                <w:sz w:val="22"/>
                <w:szCs w:val="22"/>
              </w:rPr>
            </w:pPr>
            <w:r>
              <w:rPr>
                <w:b/>
                <w:bCs/>
                <w:i/>
                <w:iCs/>
                <w:sz w:val="22"/>
                <w:szCs w:val="22"/>
              </w:rPr>
              <w:t>SR EN 14972-7</w:t>
            </w:r>
          </w:p>
        </w:tc>
        <w:tc>
          <w:tcPr>
            <w:tcW w:w="7164" w:type="dxa"/>
          </w:tcPr>
          <w:p w14:paraId="70BF47E8" w14:textId="77777777" w:rsidR="001C08A5" w:rsidRDefault="00000000">
            <w:pPr>
              <w:jc w:val="both"/>
              <w:rPr>
                <w:i/>
                <w:sz w:val="22"/>
                <w:szCs w:val="22"/>
                <w:lang w:val="en-GB"/>
              </w:rPr>
            </w:pPr>
            <w:r>
              <w:rPr>
                <w:i/>
                <w:iCs/>
                <w:sz w:val="22"/>
                <w:szCs w:val="22"/>
              </w:rPr>
              <w:t>Instalații fixe de stingere a incendiilor. Sisteme cu ceață de apă. Partea 7: Protocol de încercare a sistemelor cu duze automate pentru spații comerciale cu risc scăzut</w:t>
            </w:r>
          </w:p>
        </w:tc>
      </w:tr>
      <w:tr w:rsidR="001C08A5" w14:paraId="30922538" w14:textId="77777777">
        <w:tc>
          <w:tcPr>
            <w:tcW w:w="664" w:type="dxa"/>
          </w:tcPr>
          <w:p w14:paraId="48CF5DEF" w14:textId="77777777" w:rsidR="001C08A5" w:rsidRDefault="001C08A5">
            <w:pPr>
              <w:numPr>
                <w:ilvl w:val="0"/>
                <w:numId w:val="113"/>
              </w:numPr>
              <w:rPr>
                <w:i/>
                <w:sz w:val="22"/>
                <w:szCs w:val="22"/>
              </w:rPr>
            </w:pPr>
          </w:p>
        </w:tc>
        <w:tc>
          <w:tcPr>
            <w:tcW w:w="1778" w:type="dxa"/>
          </w:tcPr>
          <w:p w14:paraId="565364AD" w14:textId="77777777" w:rsidR="001C08A5" w:rsidRDefault="00000000">
            <w:pPr>
              <w:rPr>
                <w:b/>
                <w:bCs/>
                <w:i/>
                <w:sz w:val="22"/>
                <w:szCs w:val="22"/>
              </w:rPr>
            </w:pPr>
            <w:r>
              <w:rPr>
                <w:b/>
                <w:bCs/>
                <w:i/>
                <w:iCs/>
                <w:sz w:val="22"/>
                <w:szCs w:val="22"/>
              </w:rPr>
              <w:t>SR EN 14972-8</w:t>
            </w:r>
          </w:p>
        </w:tc>
        <w:tc>
          <w:tcPr>
            <w:tcW w:w="7164" w:type="dxa"/>
          </w:tcPr>
          <w:p w14:paraId="584A2C4B" w14:textId="77777777" w:rsidR="001C08A5" w:rsidRDefault="00000000">
            <w:pPr>
              <w:jc w:val="both"/>
              <w:rPr>
                <w:i/>
                <w:sz w:val="22"/>
                <w:szCs w:val="22"/>
                <w:lang w:val="en-GB"/>
              </w:rPr>
            </w:pPr>
            <w:r>
              <w:rPr>
                <w:i/>
                <w:iCs/>
                <w:sz w:val="22"/>
                <w:szCs w:val="22"/>
              </w:rPr>
              <w:t>Sisteme fixe de luptă împotriva incendiilor. Sisteme cu ceață de apă. Partea 8: Protocol de încercare a sistemelor cu duze deschise pentru echipamente situate în incinte care depășesc 260 m3</w:t>
            </w:r>
          </w:p>
        </w:tc>
      </w:tr>
      <w:tr w:rsidR="001C08A5" w14:paraId="4F1234D3" w14:textId="77777777">
        <w:tc>
          <w:tcPr>
            <w:tcW w:w="664" w:type="dxa"/>
          </w:tcPr>
          <w:p w14:paraId="71AAA55D" w14:textId="77777777" w:rsidR="001C08A5" w:rsidRDefault="001C08A5">
            <w:pPr>
              <w:numPr>
                <w:ilvl w:val="0"/>
                <w:numId w:val="113"/>
              </w:numPr>
              <w:rPr>
                <w:i/>
                <w:sz w:val="22"/>
                <w:szCs w:val="22"/>
              </w:rPr>
            </w:pPr>
          </w:p>
        </w:tc>
        <w:tc>
          <w:tcPr>
            <w:tcW w:w="1778" w:type="dxa"/>
          </w:tcPr>
          <w:p w14:paraId="3A96E0B0" w14:textId="77777777" w:rsidR="001C08A5" w:rsidRDefault="00000000">
            <w:pPr>
              <w:rPr>
                <w:b/>
                <w:bCs/>
                <w:i/>
                <w:sz w:val="22"/>
                <w:szCs w:val="22"/>
              </w:rPr>
            </w:pPr>
            <w:r>
              <w:rPr>
                <w:b/>
                <w:bCs/>
                <w:i/>
                <w:iCs/>
                <w:sz w:val="22"/>
                <w:szCs w:val="22"/>
              </w:rPr>
              <w:t>SR EN 14972-9</w:t>
            </w:r>
          </w:p>
        </w:tc>
        <w:tc>
          <w:tcPr>
            <w:tcW w:w="7164" w:type="dxa"/>
          </w:tcPr>
          <w:p w14:paraId="49369C2D" w14:textId="77777777" w:rsidR="001C08A5" w:rsidRDefault="00000000">
            <w:pPr>
              <w:jc w:val="both"/>
              <w:rPr>
                <w:i/>
                <w:sz w:val="22"/>
                <w:szCs w:val="22"/>
                <w:lang w:val="en-GB"/>
              </w:rPr>
            </w:pPr>
            <w:r>
              <w:rPr>
                <w:i/>
                <w:iCs/>
                <w:sz w:val="22"/>
                <w:szCs w:val="22"/>
              </w:rPr>
              <w:t>Sisteme fixe de luptă împotriva incendiilor. Sisteme cu ceață de apă. Partea 9: Protocol de încercare a sistemelor cu duze deschise pentru echipamente situate în incinte care nu depășesc 260 m3</w:t>
            </w:r>
          </w:p>
        </w:tc>
      </w:tr>
      <w:tr w:rsidR="001C08A5" w14:paraId="56E0D33D" w14:textId="77777777">
        <w:tc>
          <w:tcPr>
            <w:tcW w:w="664" w:type="dxa"/>
          </w:tcPr>
          <w:p w14:paraId="088171A0" w14:textId="77777777" w:rsidR="001C08A5" w:rsidRDefault="001C08A5">
            <w:pPr>
              <w:numPr>
                <w:ilvl w:val="0"/>
                <w:numId w:val="113"/>
              </w:numPr>
              <w:rPr>
                <w:i/>
                <w:sz w:val="22"/>
                <w:szCs w:val="22"/>
              </w:rPr>
            </w:pPr>
          </w:p>
        </w:tc>
        <w:tc>
          <w:tcPr>
            <w:tcW w:w="1778" w:type="dxa"/>
          </w:tcPr>
          <w:p w14:paraId="68F0BAF9" w14:textId="77777777" w:rsidR="001C08A5" w:rsidRDefault="00000000">
            <w:pPr>
              <w:rPr>
                <w:b/>
                <w:bCs/>
                <w:i/>
                <w:sz w:val="22"/>
                <w:szCs w:val="22"/>
              </w:rPr>
            </w:pPr>
            <w:r>
              <w:rPr>
                <w:b/>
                <w:bCs/>
                <w:i/>
                <w:iCs/>
                <w:sz w:val="22"/>
                <w:szCs w:val="22"/>
              </w:rPr>
              <w:t>SR EN 14972-10</w:t>
            </w:r>
          </w:p>
        </w:tc>
        <w:tc>
          <w:tcPr>
            <w:tcW w:w="7164" w:type="dxa"/>
          </w:tcPr>
          <w:p w14:paraId="7641D6F8" w14:textId="77777777" w:rsidR="001C08A5" w:rsidRDefault="00000000">
            <w:pPr>
              <w:jc w:val="both"/>
              <w:rPr>
                <w:i/>
                <w:sz w:val="22"/>
                <w:szCs w:val="22"/>
                <w:lang w:val="en-GB"/>
              </w:rPr>
            </w:pPr>
            <w:r>
              <w:rPr>
                <w:i/>
                <w:iCs/>
                <w:sz w:val="22"/>
                <w:szCs w:val="22"/>
              </w:rPr>
              <w:t>Instalații fixe de stingere a incendiilor. Sisteme cu ceață de apă. Partea 10: Protocol de încercare a sistemelor cu duze deschise pentru protecția atriumului cu duze de perete</w:t>
            </w:r>
          </w:p>
        </w:tc>
      </w:tr>
      <w:tr w:rsidR="001C08A5" w14:paraId="1AF4C277" w14:textId="77777777">
        <w:tc>
          <w:tcPr>
            <w:tcW w:w="664" w:type="dxa"/>
          </w:tcPr>
          <w:p w14:paraId="0A14C1C6" w14:textId="77777777" w:rsidR="001C08A5" w:rsidRDefault="001C08A5">
            <w:pPr>
              <w:numPr>
                <w:ilvl w:val="0"/>
                <w:numId w:val="113"/>
              </w:numPr>
              <w:rPr>
                <w:i/>
                <w:sz w:val="22"/>
                <w:szCs w:val="22"/>
              </w:rPr>
            </w:pPr>
          </w:p>
        </w:tc>
        <w:tc>
          <w:tcPr>
            <w:tcW w:w="1778" w:type="dxa"/>
          </w:tcPr>
          <w:p w14:paraId="595A9102" w14:textId="77777777" w:rsidR="001C08A5" w:rsidRDefault="00000000">
            <w:pPr>
              <w:rPr>
                <w:b/>
                <w:bCs/>
                <w:i/>
                <w:sz w:val="22"/>
                <w:szCs w:val="22"/>
              </w:rPr>
            </w:pPr>
            <w:r>
              <w:rPr>
                <w:b/>
                <w:bCs/>
                <w:i/>
                <w:iCs/>
                <w:sz w:val="22"/>
                <w:szCs w:val="22"/>
              </w:rPr>
              <w:t>SR EN 14972-11</w:t>
            </w:r>
          </w:p>
        </w:tc>
        <w:tc>
          <w:tcPr>
            <w:tcW w:w="7164" w:type="dxa"/>
          </w:tcPr>
          <w:p w14:paraId="0279EFE4" w14:textId="77777777" w:rsidR="001C08A5" w:rsidRDefault="00000000">
            <w:pPr>
              <w:jc w:val="both"/>
              <w:rPr>
                <w:i/>
                <w:sz w:val="22"/>
                <w:szCs w:val="22"/>
                <w:lang w:val="en-GB"/>
              </w:rPr>
            </w:pPr>
            <w:r>
              <w:rPr>
                <w:i/>
                <w:iCs/>
                <w:sz w:val="22"/>
                <w:szCs w:val="22"/>
              </w:rPr>
              <w:t>Instalații fixe de stingere a incendiilor. Sisteme cu ceață de apă. Partea 11: Protocol de încercare a sistemelor cu duze deschise pentru tunelurile de cabluri</w:t>
            </w:r>
          </w:p>
        </w:tc>
      </w:tr>
      <w:tr w:rsidR="001C08A5" w14:paraId="6281154F" w14:textId="77777777">
        <w:tc>
          <w:tcPr>
            <w:tcW w:w="664" w:type="dxa"/>
          </w:tcPr>
          <w:p w14:paraId="3AD51165" w14:textId="77777777" w:rsidR="001C08A5" w:rsidRDefault="001C08A5">
            <w:pPr>
              <w:numPr>
                <w:ilvl w:val="0"/>
                <w:numId w:val="113"/>
              </w:numPr>
              <w:rPr>
                <w:i/>
                <w:sz w:val="22"/>
                <w:szCs w:val="22"/>
              </w:rPr>
            </w:pPr>
          </w:p>
        </w:tc>
        <w:tc>
          <w:tcPr>
            <w:tcW w:w="1778" w:type="dxa"/>
          </w:tcPr>
          <w:p w14:paraId="1B092915" w14:textId="77777777" w:rsidR="001C08A5" w:rsidRDefault="00000000">
            <w:pPr>
              <w:rPr>
                <w:b/>
                <w:bCs/>
                <w:i/>
                <w:sz w:val="22"/>
                <w:szCs w:val="22"/>
              </w:rPr>
            </w:pPr>
            <w:r>
              <w:rPr>
                <w:b/>
                <w:bCs/>
                <w:i/>
                <w:iCs/>
                <w:sz w:val="22"/>
                <w:szCs w:val="22"/>
              </w:rPr>
              <w:t>SR EN 14972-14</w:t>
            </w:r>
          </w:p>
        </w:tc>
        <w:tc>
          <w:tcPr>
            <w:tcW w:w="7164" w:type="dxa"/>
          </w:tcPr>
          <w:p w14:paraId="4979D8DB" w14:textId="77777777" w:rsidR="001C08A5" w:rsidRDefault="00000000">
            <w:pPr>
              <w:jc w:val="both"/>
              <w:rPr>
                <w:i/>
                <w:sz w:val="22"/>
                <w:szCs w:val="22"/>
                <w:lang w:val="en-GB"/>
              </w:rPr>
            </w:pPr>
            <w:r>
              <w:rPr>
                <w:i/>
                <w:iCs/>
                <w:sz w:val="22"/>
                <w:szCs w:val="22"/>
              </w:rPr>
              <w:t>Sisteme fixe de stingere a incendiilor. Sisteme cu ceaţă de apă. Partea 14: Protocol de încercare a sistemelor cu duze deschise pentru turbine de combustie amplasate în incinte care depășesc 260 m3</w:t>
            </w:r>
          </w:p>
        </w:tc>
      </w:tr>
      <w:tr w:rsidR="001C08A5" w14:paraId="52A21599" w14:textId="77777777">
        <w:tc>
          <w:tcPr>
            <w:tcW w:w="664" w:type="dxa"/>
          </w:tcPr>
          <w:p w14:paraId="0D1B6A0B" w14:textId="77777777" w:rsidR="001C08A5" w:rsidRDefault="001C08A5">
            <w:pPr>
              <w:numPr>
                <w:ilvl w:val="0"/>
                <w:numId w:val="113"/>
              </w:numPr>
              <w:rPr>
                <w:i/>
                <w:sz w:val="22"/>
                <w:szCs w:val="22"/>
              </w:rPr>
            </w:pPr>
          </w:p>
        </w:tc>
        <w:tc>
          <w:tcPr>
            <w:tcW w:w="1778" w:type="dxa"/>
          </w:tcPr>
          <w:p w14:paraId="6FBFE283" w14:textId="77777777" w:rsidR="001C08A5" w:rsidRDefault="00000000">
            <w:pPr>
              <w:rPr>
                <w:b/>
                <w:bCs/>
                <w:i/>
                <w:sz w:val="22"/>
                <w:szCs w:val="22"/>
              </w:rPr>
            </w:pPr>
            <w:r>
              <w:rPr>
                <w:b/>
                <w:bCs/>
                <w:i/>
                <w:iCs/>
                <w:sz w:val="22"/>
                <w:szCs w:val="22"/>
              </w:rPr>
              <w:t>SR EN 14972-15</w:t>
            </w:r>
          </w:p>
        </w:tc>
        <w:tc>
          <w:tcPr>
            <w:tcW w:w="7164" w:type="dxa"/>
          </w:tcPr>
          <w:p w14:paraId="2F61B679" w14:textId="77777777" w:rsidR="001C08A5" w:rsidRDefault="00000000">
            <w:pPr>
              <w:jc w:val="both"/>
              <w:rPr>
                <w:i/>
                <w:sz w:val="22"/>
                <w:szCs w:val="22"/>
                <w:lang w:val="en-GB"/>
              </w:rPr>
            </w:pPr>
            <w:r>
              <w:rPr>
                <w:i/>
                <w:iCs/>
                <w:sz w:val="22"/>
                <w:szCs w:val="22"/>
              </w:rPr>
              <w:t>Sisteme fixe de stingere a incendiilor. Sisteme cu ceaţă de apă. Partea 15: Protocol de încercare a sistemelor cu duze deschise pentru turbine de combustie amplasate în incinte care nu depășesc 260 m3</w:t>
            </w:r>
          </w:p>
        </w:tc>
      </w:tr>
      <w:tr w:rsidR="001C08A5" w14:paraId="1B5D5595" w14:textId="77777777">
        <w:tc>
          <w:tcPr>
            <w:tcW w:w="664" w:type="dxa"/>
          </w:tcPr>
          <w:p w14:paraId="2F238006" w14:textId="77777777" w:rsidR="001C08A5" w:rsidRDefault="001C08A5">
            <w:pPr>
              <w:numPr>
                <w:ilvl w:val="0"/>
                <w:numId w:val="113"/>
              </w:numPr>
              <w:rPr>
                <w:i/>
                <w:sz w:val="22"/>
                <w:szCs w:val="22"/>
              </w:rPr>
            </w:pPr>
          </w:p>
        </w:tc>
        <w:tc>
          <w:tcPr>
            <w:tcW w:w="1778" w:type="dxa"/>
          </w:tcPr>
          <w:p w14:paraId="7FF3402A" w14:textId="77777777" w:rsidR="001C08A5" w:rsidRDefault="00000000">
            <w:pPr>
              <w:rPr>
                <w:b/>
                <w:bCs/>
                <w:i/>
                <w:sz w:val="22"/>
                <w:szCs w:val="22"/>
              </w:rPr>
            </w:pPr>
            <w:r>
              <w:rPr>
                <w:b/>
                <w:bCs/>
                <w:i/>
                <w:iCs/>
                <w:sz w:val="22"/>
                <w:szCs w:val="22"/>
              </w:rPr>
              <w:t>SR EN 14972-16</w:t>
            </w:r>
          </w:p>
        </w:tc>
        <w:tc>
          <w:tcPr>
            <w:tcW w:w="7164" w:type="dxa"/>
          </w:tcPr>
          <w:p w14:paraId="31F1913B" w14:textId="77777777" w:rsidR="001C08A5" w:rsidRDefault="00000000">
            <w:pPr>
              <w:jc w:val="both"/>
              <w:rPr>
                <w:i/>
                <w:sz w:val="22"/>
                <w:szCs w:val="22"/>
                <w:lang w:val="en-GB"/>
              </w:rPr>
            </w:pPr>
            <w:r>
              <w:rPr>
                <w:i/>
                <w:iCs/>
                <w:sz w:val="22"/>
                <w:szCs w:val="22"/>
              </w:rPr>
              <w:t>Sisteme fixe de luptă contra incendiilor. Sisteme cu ceață de apă. Partea 16: Protocol de încercare pentru sistemele de duze deschise pentru mașinile de gătit industriale</w:t>
            </w:r>
          </w:p>
        </w:tc>
      </w:tr>
      <w:tr w:rsidR="001C08A5" w14:paraId="035AD90C" w14:textId="77777777">
        <w:tc>
          <w:tcPr>
            <w:tcW w:w="664" w:type="dxa"/>
          </w:tcPr>
          <w:p w14:paraId="66A9041A" w14:textId="77777777" w:rsidR="001C08A5" w:rsidRDefault="001C08A5">
            <w:pPr>
              <w:numPr>
                <w:ilvl w:val="0"/>
                <w:numId w:val="113"/>
              </w:numPr>
              <w:rPr>
                <w:i/>
                <w:sz w:val="22"/>
                <w:szCs w:val="22"/>
              </w:rPr>
            </w:pPr>
          </w:p>
        </w:tc>
        <w:tc>
          <w:tcPr>
            <w:tcW w:w="1778" w:type="dxa"/>
          </w:tcPr>
          <w:p w14:paraId="7D0F4484" w14:textId="77777777" w:rsidR="001C08A5" w:rsidRDefault="00000000">
            <w:pPr>
              <w:rPr>
                <w:b/>
                <w:bCs/>
                <w:i/>
                <w:iCs/>
                <w:sz w:val="22"/>
                <w:szCs w:val="22"/>
              </w:rPr>
            </w:pPr>
            <w:r>
              <w:rPr>
                <w:b/>
                <w:bCs/>
                <w:i/>
                <w:iCs/>
                <w:sz w:val="22"/>
                <w:szCs w:val="22"/>
              </w:rPr>
              <w:t>SR EN 12845+A1</w:t>
            </w:r>
          </w:p>
        </w:tc>
        <w:tc>
          <w:tcPr>
            <w:tcW w:w="7164" w:type="dxa"/>
          </w:tcPr>
          <w:p w14:paraId="4DC46B72" w14:textId="77777777" w:rsidR="001C08A5" w:rsidRDefault="00000000">
            <w:pPr>
              <w:rPr>
                <w:i/>
                <w:iCs/>
                <w:sz w:val="22"/>
                <w:szCs w:val="22"/>
              </w:rPr>
            </w:pPr>
            <w:r>
              <w:rPr>
                <w:i/>
                <w:iCs/>
                <w:sz w:val="22"/>
                <w:szCs w:val="22"/>
              </w:rPr>
              <w:t>Instalații fixe de stingere a incendiilor. Sisteme automate de stingere cu sprinklere. Proiectare, instalare și mentenanță</w:t>
            </w:r>
          </w:p>
        </w:tc>
      </w:tr>
      <w:tr w:rsidR="001C08A5" w14:paraId="129845B6" w14:textId="77777777">
        <w:tc>
          <w:tcPr>
            <w:tcW w:w="664" w:type="dxa"/>
          </w:tcPr>
          <w:p w14:paraId="4F4552A9" w14:textId="77777777" w:rsidR="001C08A5" w:rsidRDefault="001C08A5">
            <w:pPr>
              <w:numPr>
                <w:ilvl w:val="0"/>
                <w:numId w:val="113"/>
              </w:numPr>
              <w:rPr>
                <w:i/>
                <w:sz w:val="22"/>
                <w:szCs w:val="22"/>
              </w:rPr>
            </w:pPr>
          </w:p>
        </w:tc>
        <w:tc>
          <w:tcPr>
            <w:tcW w:w="1778" w:type="dxa"/>
          </w:tcPr>
          <w:p w14:paraId="31810B2A" w14:textId="77777777" w:rsidR="001C08A5" w:rsidRDefault="00000000">
            <w:pPr>
              <w:rPr>
                <w:b/>
                <w:bCs/>
                <w:i/>
                <w:iCs/>
                <w:sz w:val="22"/>
                <w:szCs w:val="22"/>
              </w:rPr>
            </w:pPr>
            <w:r>
              <w:rPr>
                <w:b/>
                <w:bCs/>
                <w:i/>
                <w:iCs/>
                <w:sz w:val="22"/>
                <w:szCs w:val="22"/>
              </w:rPr>
              <w:t>SR EN 12259-4</w:t>
            </w:r>
          </w:p>
          <w:p w14:paraId="3E962812" w14:textId="77777777" w:rsidR="001C08A5" w:rsidRDefault="001C08A5">
            <w:pPr>
              <w:rPr>
                <w:b/>
                <w:bCs/>
                <w:i/>
                <w:iCs/>
                <w:sz w:val="22"/>
                <w:szCs w:val="22"/>
              </w:rPr>
            </w:pPr>
          </w:p>
        </w:tc>
        <w:tc>
          <w:tcPr>
            <w:tcW w:w="7164" w:type="dxa"/>
          </w:tcPr>
          <w:p w14:paraId="218BFDE7" w14:textId="77777777" w:rsidR="001C08A5" w:rsidRDefault="00000000">
            <w:pPr>
              <w:rPr>
                <w:i/>
                <w:iCs/>
                <w:sz w:val="22"/>
                <w:szCs w:val="22"/>
              </w:rPr>
            </w:pPr>
            <w:r>
              <w:rPr>
                <w:i/>
                <w:iCs/>
                <w:sz w:val="22"/>
                <w:szCs w:val="22"/>
              </w:rPr>
              <w:t>Sisteme fixe de luptă împotriva incendiilor. Componente pentru sisteme cu sprinklere şi cu apă pulverizată. Partea 4: Dispozitive de alarmare cu motor hidraulic</w:t>
            </w:r>
          </w:p>
        </w:tc>
      </w:tr>
      <w:tr w:rsidR="001C08A5" w14:paraId="6923A787" w14:textId="77777777">
        <w:tc>
          <w:tcPr>
            <w:tcW w:w="664" w:type="dxa"/>
          </w:tcPr>
          <w:p w14:paraId="76B712D5" w14:textId="77777777" w:rsidR="001C08A5" w:rsidRDefault="001C08A5">
            <w:pPr>
              <w:numPr>
                <w:ilvl w:val="0"/>
                <w:numId w:val="113"/>
              </w:numPr>
              <w:rPr>
                <w:i/>
                <w:sz w:val="22"/>
                <w:szCs w:val="22"/>
              </w:rPr>
            </w:pPr>
          </w:p>
        </w:tc>
        <w:tc>
          <w:tcPr>
            <w:tcW w:w="1778" w:type="dxa"/>
          </w:tcPr>
          <w:p w14:paraId="685A6CAA" w14:textId="77777777" w:rsidR="001C08A5" w:rsidRDefault="00000000">
            <w:pPr>
              <w:rPr>
                <w:b/>
                <w:bCs/>
                <w:i/>
                <w:iCs/>
                <w:sz w:val="22"/>
                <w:szCs w:val="22"/>
              </w:rPr>
            </w:pPr>
            <w:r>
              <w:rPr>
                <w:b/>
                <w:bCs/>
                <w:i/>
                <w:iCs/>
                <w:sz w:val="22"/>
                <w:szCs w:val="22"/>
              </w:rPr>
              <w:t>SR CEN/TS 14816</w:t>
            </w:r>
          </w:p>
          <w:p w14:paraId="70079630" w14:textId="77777777" w:rsidR="001C08A5" w:rsidRDefault="001C08A5">
            <w:pPr>
              <w:rPr>
                <w:b/>
                <w:bCs/>
                <w:i/>
                <w:iCs/>
                <w:sz w:val="22"/>
                <w:szCs w:val="22"/>
              </w:rPr>
            </w:pPr>
          </w:p>
        </w:tc>
        <w:tc>
          <w:tcPr>
            <w:tcW w:w="7164" w:type="dxa"/>
          </w:tcPr>
          <w:p w14:paraId="6E19A6DF" w14:textId="77777777" w:rsidR="001C08A5" w:rsidRDefault="00000000">
            <w:pPr>
              <w:rPr>
                <w:i/>
                <w:iCs/>
                <w:sz w:val="22"/>
                <w:szCs w:val="22"/>
              </w:rPr>
            </w:pPr>
            <w:r>
              <w:rPr>
                <w:i/>
                <w:iCs/>
                <w:sz w:val="22"/>
                <w:szCs w:val="22"/>
              </w:rPr>
              <w:t>Sisteme fixe de stingere a incendiului. Sisteme de stingere cu apă pulverizată. Calcul, instalare şi întreţinere</w:t>
            </w:r>
          </w:p>
        </w:tc>
      </w:tr>
      <w:tr w:rsidR="001C08A5" w14:paraId="122FFA60" w14:textId="77777777">
        <w:tc>
          <w:tcPr>
            <w:tcW w:w="664" w:type="dxa"/>
          </w:tcPr>
          <w:p w14:paraId="17DEE340" w14:textId="77777777" w:rsidR="001C08A5" w:rsidRDefault="001C08A5">
            <w:pPr>
              <w:numPr>
                <w:ilvl w:val="0"/>
                <w:numId w:val="113"/>
              </w:numPr>
              <w:rPr>
                <w:i/>
                <w:sz w:val="22"/>
                <w:szCs w:val="22"/>
              </w:rPr>
            </w:pPr>
          </w:p>
        </w:tc>
        <w:tc>
          <w:tcPr>
            <w:tcW w:w="1778" w:type="dxa"/>
          </w:tcPr>
          <w:p w14:paraId="5CC0D5BB" w14:textId="77777777" w:rsidR="001C08A5" w:rsidRDefault="00000000">
            <w:pPr>
              <w:rPr>
                <w:b/>
                <w:bCs/>
                <w:i/>
                <w:iCs/>
                <w:sz w:val="22"/>
                <w:szCs w:val="22"/>
              </w:rPr>
            </w:pPr>
            <w:r>
              <w:rPr>
                <w:b/>
                <w:bCs/>
                <w:i/>
                <w:iCs/>
                <w:sz w:val="22"/>
                <w:szCs w:val="22"/>
              </w:rPr>
              <w:t>SR EN 12259-1+A1</w:t>
            </w:r>
          </w:p>
          <w:p w14:paraId="6CD44BB6" w14:textId="77777777" w:rsidR="001C08A5" w:rsidRDefault="001C08A5">
            <w:pPr>
              <w:rPr>
                <w:b/>
                <w:bCs/>
                <w:i/>
                <w:iCs/>
                <w:sz w:val="22"/>
                <w:szCs w:val="22"/>
              </w:rPr>
            </w:pPr>
          </w:p>
        </w:tc>
        <w:tc>
          <w:tcPr>
            <w:tcW w:w="7164" w:type="dxa"/>
          </w:tcPr>
          <w:p w14:paraId="27696AB9" w14:textId="77777777" w:rsidR="001C08A5" w:rsidRDefault="00000000">
            <w:pPr>
              <w:rPr>
                <w:i/>
                <w:iCs/>
                <w:sz w:val="22"/>
                <w:szCs w:val="22"/>
              </w:rPr>
            </w:pPr>
            <w:r>
              <w:rPr>
                <w:i/>
                <w:iCs/>
                <w:sz w:val="22"/>
                <w:szCs w:val="22"/>
              </w:rPr>
              <w:t>Protecţie împotriva incendiilor. Sisteme fixe de luptă împotriva incendiilor. Componentele sistemelor de tip sprinkler şi cu apă pulverizată. Partea 1: Sprinklere</w:t>
            </w:r>
          </w:p>
        </w:tc>
      </w:tr>
      <w:tr w:rsidR="001C08A5" w14:paraId="2F47366C" w14:textId="77777777">
        <w:tc>
          <w:tcPr>
            <w:tcW w:w="664" w:type="dxa"/>
          </w:tcPr>
          <w:p w14:paraId="55A4ED12" w14:textId="77777777" w:rsidR="001C08A5" w:rsidRDefault="001C08A5">
            <w:pPr>
              <w:numPr>
                <w:ilvl w:val="0"/>
                <w:numId w:val="113"/>
              </w:numPr>
              <w:rPr>
                <w:i/>
                <w:sz w:val="22"/>
                <w:szCs w:val="22"/>
              </w:rPr>
            </w:pPr>
          </w:p>
        </w:tc>
        <w:tc>
          <w:tcPr>
            <w:tcW w:w="1778" w:type="dxa"/>
          </w:tcPr>
          <w:p w14:paraId="3327AE39" w14:textId="77777777" w:rsidR="001C08A5" w:rsidRDefault="00000000">
            <w:pPr>
              <w:rPr>
                <w:b/>
                <w:bCs/>
                <w:i/>
                <w:iCs/>
                <w:sz w:val="22"/>
                <w:szCs w:val="22"/>
              </w:rPr>
            </w:pPr>
            <w:r>
              <w:rPr>
                <w:b/>
                <w:bCs/>
                <w:i/>
                <w:iCs/>
                <w:sz w:val="22"/>
                <w:szCs w:val="22"/>
              </w:rPr>
              <w:t>SR EN 12259-1+A1/A2</w:t>
            </w:r>
          </w:p>
          <w:p w14:paraId="14537CA7" w14:textId="77777777" w:rsidR="001C08A5" w:rsidRDefault="001C08A5">
            <w:pPr>
              <w:rPr>
                <w:b/>
                <w:bCs/>
                <w:i/>
                <w:iCs/>
                <w:sz w:val="22"/>
                <w:szCs w:val="22"/>
              </w:rPr>
            </w:pPr>
          </w:p>
        </w:tc>
        <w:tc>
          <w:tcPr>
            <w:tcW w:w="7164" w:type="dxa"/>
          </w:tcPr>
          <w:p w14:paraId="61E1D221" w14:textId="77777777" w:rsidR="001C08A5" w:rsidRDefault="00000000">
            <w:pPr>
              <w:rPr>
                <w:i/>
                <w:iCs/>
                <w:sz w:val="22"/>
                <w:szCs w:val="22"/>
              </w:rPr>
            </w:pPr>
            <w:r>
              <w:rPr>
                <w:i/>
                <w:iCs/>
                <w:sz w:val="22"/>
                <w:szCs w:val="22"/>
              </w:rPr>
              <w:t>Protecţia împotriva incendiilor. Sisteme fixe de luptă împotriva incendiilor. Componentele sistemelor de tip sprinkler şi cu apă pulverizată. Partea 1: Sprinklere</w:t>
            </w:r>
          </w:p>
        </w:tc>
      </w:tr>
      <w:tr w:rsidR="001C08A5" w14:paraId="1AF3624B" w14:textId="77777777">
        <w:tc>
          <w:tcPr>
            <w:tcW w:w="664" w:type="dxa"/>
          </w:tcPr>
          <w:p w14:paraId="59FF9F6E" w14:textId="77777777" w:rsidR="001C08A5" w:rsidRDefault="001C08A5">
            <w:pPr>
              <w:numPr>
                <w:ilvl w:val="0"/>
                <w:numId w:val="113"/>
              </w:numPr>
              <w:rPr>
                <w:i/>
                <w:sz w:val="22"/>
                <w:szCs w:val="22"/>
              </w:rPr>
            </w:pPr>
          </w:p>
        </w:tc>
        <w:tc>
          <w:tcPr>
            <w:tcW w:w="1778" w:type="dxa"/>
          </w:tcPr>
          <w:p w14:paraId="3E9422C4" w14:textId="77777777" w:rsidR="001C08A5" w:rsidRDefault="00000000">
            <w:pPr>
              <w:rPr>
                <w:b/>
                <w:bCs/>
                <w:i/>
                <w:iCs/>
                <w:sz w:val="22"/>
                <w:szCs w:val="22"/>
              </w:rPr>
            </w:pPr>
            <w:r>
              <w:rPr>
                <w:b/>
                <w:bCs/>
                <w:i/>
                <w:iCs/>
                <w:sz w:val="22"/>
                <w:szCs w:val="22"/>
              </w:rPr>
              <w:t>SR EN 12259-1+A1/A3</w:t>
            </w:r>
          </w:p>
        </w:tc>
        <w:tc>
          <w:tcPr>
            <w:tcW w:w="7164" w:type="dxa"/>
          </w:tcPr>
          <w:p w14:paraId="540690F1" w14:textId="77777777" w:rsidR="001C08A5" w:rsidRDefault="00000000">
            <w:pPr>
              <w:rPr>
                <w:i/>
                <w:iCs/>
                <w:sz w:val="22"/>
                <w:szCs w:val="22"/>
              </w:rPr>
            </w:pPr>
            <w:r>
              <w:rPr>
                <w:i/>
                <w:iCs/>
                <w:sz w:val="22"/>
                <w:szCs w:val="22"/>
              </w:rPr>
              <w:t>Sisteme fixe de lupta împotriva incendiilor. Componentele sistemelor de tip sprinkler şi cu apă pulverizată. Partea 1: Sprinklere</w:t>
            </w:r>
          </w:p>
        </w:tc>
      </w:tr>
      <w:tr w:rsidR="001C08A5" w14:paraId="6A652FDD" w14:textId="77777777">
        <w:tc>
          <w:tcPr>
            <w:tcW w:w="664" w:type="dxa"/>
          </w:tcPr>
          <w:p w14:paraId="060E8A93" w14:textId="77777777" w:rsidR="001C08A5" w:rsidRDefault="001C08A5">
            <w:pPr>
              <w:numPr>
                <w:ilvl w:val="0"/>
                <w:numId w:val="113"/>
              </w:numPr>
              <w:rPr>
                <w:i/>
                <w:sz w:val="22"/>
                <w:szCs w:val="22"/>
              </w:rPr>
            </w:pPr>
          </w:p>
        </w:tc>
        <w:tc>
          <w:tcPr>
            <w:tcW w:w="1778" w:type="dxa"/>
          </w:tcPr>
          <w:p w14:paraId="76E6ED22" w14:textId="77777777" w:rsidR="001C08A5" w:rsidRDefault="00000000">
            <w:pPr>
              <w:rPr>
                <w:b/>
                <w:bCs/>
                <w:i/>
                <w:iCs/>
                <w:sz w:val="22"/>
                <w:szCs w:val="22"/>
              </w:rPr>
            </w:pPr>
            <w:r>
              <w:rPr>
                <w:b/>
                <w:bCs/>
                <w:i/>
                <w:iCs/>
                <w:sz w:val="22"/>
                <w:szCs w:val="22"/>
              </w:rPr>
              <w:t>SR EN 12259-12</w:t>
            </w:r>
          </w:p>
          <w:p w14:paraId="14243959" w14:textId="77777777" w:rsidR="001C08A5" w:rsidRDefault="001C08A5">
            <w:pPr>
              <w:rPr>
                <w:b/>
                <w:bCs/>
                <w:i/>
                <w:iCs/>
                <w:sz w:val="22"/>
                <w:szCs w:val="22"/>
              </w:rPr>
            </w:pPr>
          </w:p>
        </w:tc>
        <w:tc>
          <w:tcPr>
            <w:tcW w:w="7164" w:type="dxa"/>
          </w:tcPr>
          <w:p w14:paraId="4CB8D8E2" w14:textId="77777777" w:rsidR="001C08A5" w:rsidRDefault="00000000">
            <w:pPr>
              <w:rPr>
                <w:i/>
                <w:iCs/>
                <w:sz w:val="22"/>
                <w:szCs w:val="22"/>
              </w:rPr>
            </w:pPr>
            <w:r>
              <w:rPr>
                <w:i/>
                <w:iCs/>
                <w:sz w:val="22"/>
                <w:szCs w:val="22"/>
              </w:rPr>
              <w:t>Sisteme fixe de stingere a incendiilor. Componente pentru sisteme cu sprinklere și cu apă pulverizată. Partea 12: Pompe</w:t>
            </w:r>
          </w:p>
        </w:tc>
      </w:tr>
      <w:tr w:rsidR="001C08A5" w14:paraId="2AA61037" w14:textId="77777777">
        <w:tc>
          <w:tcPr>
            <w:tcW w:w="664" w:type="dxa"/>
          </w:tcPr>
          <w:p w14:paraId="46EA225A" w14:textId="77777777" w:rsidR="001C08A5" w:rsidRDefault="001C08A5">
            <w:pPr>
              <w:numPr>
                <w:ilvl w:val="0"/>
                <w:numId w:val="113"/>
              </w:numPr>
              <w:rPr>
                <w:i/>
                <w:sz w:val="22"/>
                <w:szCs w:val="22"/>
              </w:rPr>
            </w:pPr>
          </w:p>
        </w:tc>
        <w:tc>
          <w:tcPr>
            <w:tcW w:w="1778" w:type="dxa"/>
          </w:tcPr>
          <w:p w14:paraId="1F34B435" w14:textId="77777777" w:rsidR="001C08A5" w:rsidRDefault="00000000">
            <w:pPr>
              <w:rPr>
                <w:b/>
                <w:bCs/>
                <w:i/>
                <w:iCs/>
                <w:sz w:val="22"/>
                <w:szCs w:val="22"/>
              </w:rPr>
            </w:pPr>
            <w:r>
              <w:rPr>
                <w:b/>
                <w:bCs/>
                <w:i/>
                <w:iCs/>
                <w:sz w:val="22"/>
                <w:szCs w:val="22"/>
              </w:rPr>
              <w:t>SR EN 12259-13</w:t>
            </w:r>
          </w:p>
          <w:p w14:paraId="43F2231B" w14:textId="77777777" w:rsidR="001C08A5" w:rsidRDefault="001C08A5">
            <w:pPr>
              <w:rPr>
                <w:b/>
                <w:bCs/>
                <w:i/>
                <w:iCs/>
                <w:sz w:val="22"/>
                <w:szCs w:val="22"/>
              </w:rPr>
            </w:pPr>
          </w:p>
        </w:tc>
        <w:tc>
          <w:tcPr>
            <w:tcW w:w="7164" w:type="dxa"/>
          </w:tcPr>
          <w:p w14:paraId="3B399215" w14:textId="77777777" w:rsidR="001C08A5" w:rsidRDefault="00000000">
            <w:pPr>
              <w:rPr>
                <w:i/>
                <w:iCs/>
                <w:sz w:val="22"/>
                <w:szCs w:val="22"/>
              </w:rPr>
            </w:pPr>
            <w:r>
              <w:rPr>
                <w:i/>
                <w:iCs/>
                <w:sz w:val="22"/>
                <w:szCs w:val="22"/>
              </w:rPr>
              <w:t>Sisteme fixe de stingere a incendiilor. Componente pentru sisteme cu sprinklere și apă pulverizată. Partea 13: Sprinklere ESFR</w:t>
            </w:r>
          </w:p>
        </w:tc>
      </w:tr>
      <w:tr w:rsidR="001C08A5" w14:paraId="238A5EC1" w14:textId="77777777">
        <w:tc>
          <w:tcPr>
            <w:tcW w:w="664" w:type="dxa"/>
          </w:tcPr>
          <w:p w14:paraId="3FC8C6A0" w14:textId="77777777" w:rsidR="001C08A5" w:rsidRDefault="001C08A5">
            <w:pPr>
              <w:numPr>
                <w:ilvl w:val="0"/>
                <w:numId w:val="113"/>
              </w:numPr>
              <w:rPr>
                <w:i/>
                <w:sz w:val="22"/>
                <w:szCs w:val="22"/>
              </w:rPr>
            </w:pPr>
          </w:p>
        </w:tc>
        <w:tc>
          <w:tcPr>
            <w:tcW w:w="1778" w:type="dxa"/>
          </w:tcPr>
          <w:p w14:paraId="1478CE41" w14:textId="77777777" w:rsidR="001C08A5" w:rsidRDefault="00000000">
            <w:pPr>
              <w:rPr>
                <w:b/>
                <w:bCs/>
                <w:i/>
                <w:iCs/>
                <w:sz w:val="22"/>
                <w:szCs w:val="22"/>
              </w:rPr>
            </w:pPr>
            <w:r>
              <w:rPr>
                <w:b/>
                <w:bCs/>
                <w:i/>
                <w:iCs/>
                <w:sz w:val="22"/>
                <w:szCs w:val="22"/>
              </w:rPr>
              <w:t>SR EN 12259-14+A1</w:t>
            </w:r>
          </w:p>
          <w:p w14:paraId="798D5D31" w14:textId="77777777" w:rsidR="001C08A5" w:rsidRDefault="001C08A5">
            <w:pPr>
              <w:rPr>
                <w:b/>
                <w:bCs/>
                <w:i/>
                <w:iCs/>
                <w:sz w:val="22"/>
                <w:szCs w:val="22"/>
              </w:rPr>
            </w:pPr>
          </w:p>
        </w:tc>
        <w:tc>
          <w:tcPr>
            <w:tcW w:w="7164" w:type="dxa"/>
          </w:tcPr>
          <w:p w14:paraId="3F3D08E0" w14:textId="77777777" w:rsidR="001C08A5" w:rsidRDefault="00000000">
            <w:pPr>
              <w:rPr>
                <w:i/>
                <w:iCs/>
                <w:sz w:val="22"/>
                <w:szCs w:val="22"/>
              </w:rPr>
            </w:pPr>
            <w:r>
              <w:rPr>
                <w:i/>
                <w:iCs/>
                <w:sz w:val="22"/>
                <w:szCs w:val="22"/>
              </w:rPr>
              <w:t>Sisteme fixe de stingere a incendiilor. Componente pentru sisteme cu sprinklere și cu apă pulverizată. Partea 14: Sprinklere pentru aplicații rezidențiale</w:t>
            </w:r>
          </w:p>
        </w:tc>
      </w:tr>
      <w:tr w:rsidR="001C08A5" w14:paraId="6D6DA283" w14:textId="77777777">
        <w:tc>
          <w:tcPr>
            <w:tcW w:w="664" w:type="dxa"/>
          </w:tcPr>
          <w:p w14:paraId="0E61E2BD" w14:textId="77777777" w:rsidR="001C08A5" w:rsidRDefault="001C08A5">
            <w:pPr>
              <w:numPr>
                <w:ilvl w:val="0"/>
                <w:numId w:val="113"/>
              </w:numPr>
              <w:rPr>
                <w:i/>
                <w:sz w:val="22"/>
                <w:szCs w:val="22"/>
              </w:rPr>
            </w:pPr>
          </w:p>
        </w:tc>
        <w:tc>
          <w:tcPr>
            <w:tcW w:w="1778" w:type="dxa"/>
          </w:tcPr>
          <w:p w14:paraId="5C443138" w14:textId="77777777" w:rsidR="001C08A5" w:rsidRDefault="00000000">
            <w:pPr>
              <w:rPr>
                <w:b/>
                <w:bCs/>
                <w:i/>
                <w:iCs/>
                <w:sz w:val="22"/>
                <w:szCs w:val="22"/>
              </w:rPr>
            </w:pPr>
            <w:r>
              <w:rPr>
                <w:b/>
                <w:bCs/>
                <w:i/>
                <w:iCs/>
                <w:sz w:val="22"/>
                <w:szCs w:val="22"/>
              </w:rPr>
              <w:t>SR EN 12259-2:2002/A1</w:t>
            </w:r>
          </w:p>
          <w:p w14:paraId="3F2112E7" w14:textId="77777777" w:rsidR="001C08A5" w:rsidRDefault="001C08A5">
            <w:pPr>
              <w:rPr>
                <w:b/>
                <w:bCs/>
                <w:i/>
                <w:iCs/>
                <w:sz w:val="22"/>
                <w:szCs w:val="22"/>
              </w:rPr>
            </w:pPr>
          </w:p>
        </w:tc>
        <w:tc>
          <w:tcPr>
            <w:tcW w:w="7164" w:type="dxa"/>
          </w:tcPr>
          <w:p w14:paraId="72DEEE6C" w14:textId="77777777" w:rsidR="001C08A5" w:rsidRDefault="00000000">
            <w:pPr>
              <w:rPr>
                <w:i/>
                <w:iCs/>
                <w:sz w:val="22"/>
                <w:szCs w:val="22"/>
              </w:rPr>
            </w:pPr>
            <w:r>
              <w:rPr>
                <w:i/>
                <w:iCs/>
                <w:sz w:val="22"/>
                <w:szCs w:val="22"/>
              </w:rPr>
              <w:t>Sisteme fixe de luptă împotriva incendiului. Componente pentru sisteme cu sprinklere şi cu apă pulverizată. Partea 2: Sistem de supape de alarmă apă-apă</w:t>
            </w:r>
          </w:p>
        </w:tc>
      </w:tr>
      <w:tr w:rsidR="001C08A5" w14:paraId="0F347C8C" w14:textId="77777777">
        <w:tc>
          <w:tcPr>
            <w:tcW w:w="664" w:type="dxa"/>
          </w:tcPr>
          <w:p w14:paraId="22007068" w14:textId="77777777" w:rsidR="001C08A5" w:rsidRDefault="001C08A5">
            <w:pPr>
              <w:numPr>
                <w:ilvl w:val="0"/>
                <w:numId w:val="113"/>
              </w:numPr>
              <w:rPr>
                <w:i/>
                <w:sz w:val="22"/>
                <w:szCs w:val="22"/>
              </w:rPr>
            </w:pPr>
          </w:p>
        </w:tc>
        <w:tc>
          <w:tcPr>
            <w:tcW w:w="1778" w:type="dxa"/>
          </w:tcPr>
          <w:p w14:paraId="05E50027" w14:textId="77777777" w:rsidR="001C08A5" w:rsidRDefault="00000000">
            <w:pPr>
              <w:rPr>
                <w:b/>
                <w:bCs/>
                <w:i/>
                <w:iCs/>
                <w:sz w:val="22"/>
                <w:szCs w:val="22"/>
              </w:rPr>
            </w:pPr>
            <w:r>
              <w:rPr>
                <w:b/>
                <w:bCs/>
                <w:i/>
                <w:iCs/>
                <w:sz w:val="22"/>
                <w:szCs w:val="22"/>
              </w:rPr>
              <w:t>SR EN 12259-2</w:t>
            </w:r>
          </w:p>
          <w:p w14:paraId="3D439EC0" w14:textId="77777777" w:rsidR="001C08A5" w:rsidRDefault="001C08A5">
            <w:pPr>
              <w:rPr>
                <w:b/>
                <w:bCs/>
                <w:i/>
                <w:iCs/>
                <w:sz w:val="22"/>
                <w:szCs w:val="22"/>
              </w:rPr>
            </w:pPr>
          </w:p>
        </w:tc>
        <w:tc>
          <w:tcPr>
            <w:tcW w:w="7164" w:type="dxa"/>
          </w:tcPr>
          <w:p w14:paraId="662E09A2" w14:textId="77777777" w:rsidR="001C08A5" w:rsidRDefault="00000000">
            <w:pPr>
              <w:rPr>
                <w:i/>
                <w:iCs/>
                <w:sz w:val="22"/>
                <w:szCs w:val="22"/>
              </w:rPr>
            </w:pPr>
            <w:r>
              <w:rPr>
                <w:i/>
                <w:iCs/>
                <w:sz w:val="22"/>
                <w:szCs w:val="22"/>
              </w:rPr>
              <w:t>Sisteme fixe de luptă împotriva incendiului. Componente pentru sisteme cu sprinklere şi cu apă pulverizată. Partea 2: Sistem de supape de alarmă apă-apă</w:t>
            </w:r>
          </w:p>
        </w:tc>
      </w:tr>
      <w:tr w:rsidR="001C08A5" w14:paraId="193CA01E" w14:textId="77777777">
        <w:tc>
          <w:tcPr>
            <w:tcW w:w="664" w:type="dxa"/>
          </w:tcPr>
          <w:p w14:paraId="6B9AC187" w14:textId="77777777" w:rsidR="001C08A5" w:rsidRDefault="001C08A5">
            <w:pPr>
              <w:numPr>
                <w:ilvl w:val="0"/>
                <w:numId w:val="113"/>
              </w:numPr>
              <w:rPr>
                <w:i/>
                <w:sz w:val="22"/>
                <w:szCs w:val="22"/>
              </w:rPr>
            </w:pPr>
          </w:p>
        </w:tc>
        <w:tc>
          <w:tcPr>
            <w:tcW w:w="1778" w:type="dxa"/>
          </w:tcPr>
          <w:p w14:paraId="2AFF3A80" w14:textId="77777777" w:rsidR="001C08A5" w:rsidRDefault="00000000">
            <w:pPr>
              <w:rPr>
                <w:b/>
                <w:bCs/>
                <w:i/>
                <w:iCs/>
                <w:sz w:val="22"/>
                <w:szCs w:val="22"/>
              </w:rPr>
            </w:pPr>
            <w:r>
              <w:rPr>
                <w:b/>
                <w:bCs/>
                <w:i/>
                <w:iCs/>
                <w:sz w:val="22"/>
                <w:szCs w:val="22"/>
              </w:rPr>
              <w:t>SR EN 12259-2/AC</w:t>
            </w:r>
          </w:p>
          <w:p w14:paraId="1C740E0E" w14:textId="77777777" w:rsidR="001C08A5" w:rsidRDefault="001C08A5">
            <w:pPr>
              <w:rPr>
                <w:b/>
                <w:bCs/>
                <w:i/>
                <w:iCs/>
                <w:sz w:val="22"/>
                <w:szCs w:val="22"/>
              </w:rPr>
            </w:pPr>
          </w:p>
        </w:tc>
        <w:tc>
          <w:tcPr>
            <w:tcW w:w="7164" w:type="dxa"/>
          </w:tcPr>
          <w:p w14:paraId="2B4BE27D" w14:textId="77777777" w:rsidR="001C08A5" w:rsidRDefault="00000000">
            <w:pPr>
              <w:rPr>
                <w:i/>
                <w:iCs/>
                <w:sz w:val="22"/>
                <w:szCs w:val="22"/>
              </w:rPr>
            </w:pPr>
            <w:r>
              <w:rPr>
                <w:i/>
                <w:iCs/>
                <w:sz w:val="22"/>
                <w:szCs w:val="22"/>
              </w:rPr>
              <w:t>Sisteme fixe de luptă împotriva incendiilor. Componente pentru sisteme cu sprinklere şi cu apă pulverizată. Partea 2: Sisteme de supape de alarmă apă-apă</w:t>
            </w:r>
          </w:p>
        </w:tc>
      </w:tr>
      <w:tr w:rsidR="001C08A5" w14:paraId="081227E6" w14:textId="77777777">
        <w:tc>
          <w:tcPr>
            <w:tcW w:w="664" w:type="dxa"/>
          </w:tcPr>
          <w:p w14:paraId="45D7560C" w14:textId="77777777" w:rsidR="001C08A5" w:rsidRDefault="001C08A5">
            <w:pPr>
              <w:numPr>
                <w:ilvl w:val="0"/>
                <w:numId w:val="113"/>
              </w:numPr>
              <w:rPr>
                <w:i/>
                <w:sz w:val="22"/>
                <w:szCs w:val="22"/>
              </w:rPr>
            </w:pPr>
          </w:p>
        </w:tc>
        <w:tc>
          <w:tcPr>
            <w:tcW w:w="1778" w:type="dxa"/>
          </w:tcPr>
          <w:p w14:paraId="710CD835" w14:textId="77777777" w:rsidR="001C08A5" w:rsidRDefault="00000000">
            <w:pPr>
              <w:rPr>
                <w:b/>
                <w:bCs/>
                <w:i/>
                <w:iCs/>
                <w:sz w:val="22"/>
                <w:szCs w:val="22"/>
              </w:rPr>
            </w:pPr>
            <w:r>
              <w:rPr>
                <w:b/>
                <w:bCs/>
                <w:i/>
                <w:iCs/>
                <w:sz w:val="22"/>
                <w:szCs w:val="22"/>
              </w:rPr>
              <w:t>SR EN 12259-2/A2</w:t>
            </w:r>
          </w:p>
          <w:p w14:paraId="14CF5EE5" w14:textId="77777777" w:rsidR="001C08A5" w:rsidRDefault="001C08A5">
            <w:pPr>
              <w:rPr>
                <w:b/>
                <w:bCs/>
                <w:i/>
                <w:iCs/>
                <w:sz w:val="22"/>
                <w:szCs w:val="22"/>
              </w:rPr>
            </w:pPr>
          </w:p>
        </w:tc>
        <w:tc>
          <w:tcPr>
            <w:tcW w:w="7164" w:type="dxa"/>
          </w:tcPr>
          <w:p w14:paraId="7278318F" w14:textId="77777777" w:rsidR="001C08A5" w:rsidRDefault="00000000">
            <w:pPr>
              <w:rPr>
                <w:i/>
                <w:iCs/>
                <w:sz w:val="22"/>
                <w:szCs w:val="22"/>
              </w:rPr>
            </w:pPr>
            <w:r>
              <w:rPr>
                <w:i/>
                <w:iCs/>
                <w:sz w:val="22"/>
                <w:szCs w:val="22"/>
              </w:rPr>
              <w:t>Instalaţii fixe de luptă împotriva incendiilor. Componente pentru sisteme cu sprinklere şi cu apă pulverizată. Partea 2: Sisteme de supape de alarmă apă-apă</w:t>
            </w:r>
          </w:p>
        </w:tc>
      </w:tr>
      <w:tr w:rsidR="001C08A5" w14:paraId="33C7DFE5" w14:textId="77777777">
        <w:tc>
          <w:tcPr>
            <w:tcW w:w="664" w:type="dxa"/>
          </w:tcPr>
          <w:p w14:paraId="3B915A3A" w14:textId="77777777" w:rsidR="001C08A5" w:rsidRDefault="001C08A5">
            <w:pPr>
              <w:numPr>
                <w:ilvl w:val="0"/>
                <w:numId w:val="113"/>
              </w:numPr>
              <w:rPr>
                <w:i/>
                <w:sz w:val="22"/>
                <w:szCs w:val="22"/>
              </w:rPr>
            </w:pPr>
          </w:p>
        </w:tc>
        <w:tc>
          <w:tcPr>
            <w:tcW w:w="1778" w:type="dxa"/>
          </w:tcPr>
          <w:p w14:paraId="523F3B56" w14:textId="77777777" w:rsidR="001C08A5" w:rsidRDefault="00000000">
            <w:pPr>
              <w:rPr>
                <w:b/>
                <w:bCs/>
                <w:i/>
                <w:iCs/>
                <w:sz w:val="22"/>
                <w:szCs w:val="22"/>
              </w:rPr>
            </w:pPr>
            <w:r>
              <w:rPr>
                <w:b/>
                <w:bCs/>
                <w:i/>
                <w:iCs/>
                <w:sz w:val="22"/>
                <w:szCs w:val="22"/>
              </w:rPr>
              <w:t>SR EN 12259-2/AC/C91</w:t>
            </w:r>
          </w:p>
          <w:p w14:paraId="5ED42B08" w14:textId="77777777" w:rsidR="001C08A5" w:rsidRDefault="001C08A5">
            <w:pPr>
              <w:rPr>
                <w:b/>
                <w:bCs/>
                <w:i/>
                <w:iCs/>
                <w:sz w:val="22"/>
                <w:szCs w:val="22"/>
              </w:rPr>
            </w:pPr>
          </w:p>
        </w:tc>
        <w:tc>
          <w:tcPr>
            <w:tcW w:w="7164" w:type="dxa"/>
          </w:tcPr>
          <w:p w14:paraId="0C83B51D" w14:textId="77777777" w:rsidR="001C08A5" w:rsidRDefault="00000000">
            <w:pPr>
              <w:rPr>
                <w:i/>
                <w:iCs/>
                <w:sz w:val="22"/>
                <w:szCs w:val="22"/>
              </w:rPr>
            </w:pPr>
            <w:r>
              <w:rPr>
                <w:i/>
                <w:iCs/>
                <w:sz w:val="22"/>
                <w:szCs w:val="22"/>
              </w:rPr>
              <w:t>Sisteme fixe de luptă împotriva incendiilor. Componente pentru sisteme cu sprinklere şi cu apă pulverizată. Partea 2: Sisteme de supape de alarmă apă-apă</w:t>
            </w:r>
          </w:p>
        </w:tc>
      </w:tr>
      <w:tr w:rsidR="001C08A5" w14:paraId="6796D134" w14:textId="77777777">
        <w:tc>
          <w:tcPr>
            <w:tcW w:w="664" w:type="dxa"/>
          </w:tcPr>
          <w:p w14:paraId="15E51D2D" w14:textId="77777777" w:rsidR="001C08A5" w:rsidRDefault="001C08A5">
            <w:pPr>
              <w:numPr>
                <w:ilvl w:val="0"/>
                <w:numId w:val="113"/>
              </w:numPr>
              <w:rPr>
                <w:i/>
                <w:sz w:val="22"/>
                <w:szCs w:val="22"/>
              </w:rPr>
            </w:pPr>
          </w:p>
        </w:tc>
        <w:tc>
          <w:tcPr>
            <w:tcW w:w="1778" w:type="dxa"/>
          </w:tcPr>
          <w:p w14:paraId="119CF7AE" w14:textId="77777777" w:rsidR="001C08A5" w:rsidRDefault="00000000">
            <w:pPr>
              <w:rPr>
                <w:b/>
                <w:bCs/>
                <w:i/>
                <w:iCs/>
                <w:sz w:val="22"/>
                <w:szCs w:val="22"/>
              </w:rPr>
            </w:pPr>
            <w:r>
              <w:rPr>
                <w:b/>
                <w:bCs/>
                <w:i/>
                <w:iCs/>
                <w:sz w:val="22"/>
                <w:szCs w:val="22"/>
              </w:rPr>
              <w:t>SR EN 12259-3</w:t>
            </w:r>
          </w:p>
          <w:p w14:paraId="4DD687C1" w14:textId="77777777" w:rsidR="001C08A5" w:rsidRDefault="001C08A5">
            <w:pPr>
              <w:rPr>
                <w:b/>
                <w:bCs/>
                <w:i/>
                <w:iCs/>
                <w:sz w:val="22"/>
                <w:szCs w:val="22"/>
              </w:rPr>
            </w:pPr>
          </w:p>
        </w:tc>
        <w:tc>
          <w:tcPr>
            <w:tcW w:w="7164" w:type="dxa"/>
          </w:tcPr>
          <w:p w14:paraId="3A22E422" w14:textId="77777777" w:rsidR="001C08A5" w:rsidRDefault="00000000">
            <w:pPr>
              <w:rPr>
                <w:i/>
                <w:iCs/>
                <w:sz w:val="22"/>
                <w:szCs w:val="22"/>
              </w:rPr>
            </w:pPr>
            <w:r>
              <w:rPr>
                <w:i/>
                <w:iCs/>
                <w:sz w:val="22"/>
                <w:szCs w:val="22"/>
              </w:rPr>
              <w:t>Sisteme fixe de stingere a incendiilor. Componente pentru sisteme cu sprinklere şi cu apă pulverizată. Partea 3: Sisteme de supapă de alarmă apă-aer</w:t>
            </w:r>
          </w:p>
        </w:tc>
      </w:tr>
      <w:tr w:rsidR="001C08A5" w14:paraId="3683D79E" w14:textId="77777777">
        <w:tc>
          <w:tcPr>
            <w:tcW w:w="664" w:type="dxa"/>
          </w:tcPr>
          <w:p w14:paraId="1FE4A477" w14:textId="77777777" w:rsidR="001C08A5" w:rsidRDefault="001C08A5">
            <w:pPr>
              <w:numPr>
                <w:ilvl w:val="0"/>
                <w:numId w:val="113"/>
              </w:numPr>
              <w:rPr>
                <w:i/>
                <w:sz w:val="22"/>
                <w:szCs w:val="22"/>
              </w:rPr>
            </w:pPr>
          </w:p>
        </w:tc>
        <w:tc>
          <w:tcPr>
            <w:tcW w:w="1778" w:type="dxa"/>
          </w:tcPr>
          <w:p w14:paraId="21862447" w14:textId="77777777" w:rsidR="001C08A5" w:rsidRDefault="00000000">
            <w:pPr>
              <w:rPr>
                <w:b/>
                <w:bCs/>
                <w:i/>
                <w:iCs/>
                <w:sz w:val="22"/>
                <w:szCs w:val="22"/>
              </w:rPr>
            </w:pPr>
            <w:r>
              <w:rPr>
                <w:b/>
                <w:bCs/>
                <w:i/>
                <w:iCs/>
                <w:sz w:val="22"/>
                <w:szCs w:val="22"/>
              </w:rPr>
              <w:t>SR EN 12259-3/A1</w:t>
            </w:r>
          </w:p>
          <w:p w14:paraId="322A705D" w14:textId="77777777" w:rsidR="001C08A5" w:rsidRDefault="001C08A5">
            <w:pPr>
              <w:rPr>
                <w:b/>
                <w:bCs/>
                <w:i/>
                <w:iCs/>
                <w:sz w:val="22"/>
                <w:szCs w:val="22"/>
              </w:rPr>
            </w:pPr>
          </w:p>
        </w:tc>
        <w:tc>
          <w:tcPr>
            <w:tcW w:w="7164" w:type="dxa"/>
          </w:tcPr>
          <w:p w14:paraId="21257EF2" w14:textId="77777777" w:rsidR="001C08A5" w:rsidRDefault="00000000">
            <w:pPr>
              <w:rPr>
                <w:i/>
                <w:iCs/>
                <w:sz w:val="22"/>
                <w:szCs w:val="22"/>
              </w:rPr>
            </w:pPr>
            <w:r>
              <w:rPr>
                <w:i/>
                <w:iCs/>
                <w:sz w:val="22"/>
                <w:szCs w:val="22"/>
              </w:rPr>
              <w:t>Sisteme fixe de luptă împotriva incendiilor. Componente pentru sisteme cu sprinklere şi cu apă pulverizată. Partea 3: Sistem de supape de alarmă apă-aer</w:t>
            </w:r>
          </w:p>
        </w:tc>
      </w:tr>
      <w:tr w:rsidR="001C08A5" w14:paraId="1C787D9A" w14:textId="77777777">
        <w:tc>
          <w:tcPr>
            <w:tcW w:w="664" w:type="dxa"/>
          </w:tcPr>
          <w:p w14:paraId="7AF389BC" w14:textId="77777777" w:rsidR="001C08A5" w:rsidRDefault="001C08A5">
            <w:pPr>
              <w:numPr>
                <w:ilvl w:val="0"/>
                <w:numId w:val="113"/>
              </w:numPr>
              <w:rPr>
                <w:i/>
                <w:sz w:val="22"/>
                <w:szCs w:val="22"/>
              </w:rPr>
            </w:pPr>
          </w:p>
        </w:tc>
        <w:tc>
          <w:tcPr>
            <w:tcW w:w="1778" w:type="dxa"/>
          </w:tcPr>
          <w:p w14:paraId="6BF7DA1F" w14:textId="77777777" w:rsidR="001C08A5" w:rsidRDefault="00000000">
            <w:pPr>
              <w:rPr>
                <w:b/>
                <w:bCs/>
                <w:i/>
                <w:iCs/>
                <w:sz w:val="22"/>
                <w:szCs w:val="22"/>
              </w:rPr>
            </w:pPr>
            <w:r>
              <w:rPr>
                <w:b/>
                <w:bCs/>
                <w:i/>
                <w:iCs/>
                <w:sz w:val="22"/>
                <w:szCs w:val="22"/>
              </w:rPr>
              <w:t>SR EN 12259-3/A2</w:t>
            </w:r>
          </w:p>
          <w:p w14:paraId="1E77B599" w14:textId="77777777" w:rsidR="001C08A5" w:rsidRDefault="001C08A5">
            <w:pPr>
              <w:rPr>
                <w:b/>
                <w:bCs/>
                <w:i/>
                <w:iCs/>
                <w:sz w:val="22"/>
                <w:szCs w:val="22"/>
              </w:rPr>
            </w:pPr>
          </w:p>
        </w:tc>
        <w:tc>
          <w:tcPr>
            <w:tcW w:w="7164" w:type="dxa"/>
          </w:tcPr>
          <w:p w14:paraId="717E7C6E" w14:textId="77777777" w:rsidR="001C08A5" w:rsidRDefault="00000000">
            <w:pPr>
              <w:rPr>
                <w:i/>
                <w:iCs/>
                <w:sz w:val="22"/>
                <w:szCs w:val="22"/>
              </w:rPr>
            </w:pPr>
            <w:r>
              <w:rPr>
                <w:i/>
                <w:iCs/>
                <w:sz w:val="22"/>
                <w:szCs w:val="22"/>
              </w:rPr>
              <w:t>Instalaţii fixe de luptă împotriva incendiilor. Componente pentru sisteme cu sprinklere şi cu apă pulverizată. Partea 3: Sisteme de supape de alarmă apă-aer</w:t>
            </w:r>
          </w:p>
        </w:tc>
      </w:tr>
      <w:tr w:rsidR="001C08A5" w14:paraId="206BB0D2" w14:textId="77777777">
        <w:tc>
          <w:tcPr>
            <w:tcW w:w="664" w:type="dxa"/>
          </w:tcPr>
          <w:p w14:paraId="55773750" w14:textId="77777777" w:rsidR="001C08A5" w:rsidRDefault="001C08A5">
            <w:pPr>
              <w:numPr>
                <w:ilvl w:val="0"/>
                <w:numId w:val="113"/>
              </w:numPr>
              <w:rPr>
                <w:i/>
                <w:sz w:val="22"/>
                <w:szCs w:val="22"/>
              </w:rPr>
            </w:pPr>
          </w:p>
        </w:tc>
        <w:tc>
          <w:tcPr>
            <w:tcW w:w="1778" w:type="dxa"/>
          </w:tcPr>
          <w:p w14:paraId="5991E502" w14:textId="77777777" w:rsidR="001C08A5" w:rsidRDefault="00000000">
            <w:pPr>
              <w:rPr>
                <w:b/>
                <w:bCs/>
                <w:i/>
                <w:iCs/>
                <w:sz w:val="22"/>
                <w:szCs w:val="22"/>
              </w:rPr>
            </w:pPr>
            <w:r>
              <w:rPr>
                <w:b/>
                <w:bCs/>
                <w:i/>
                <w:iCs/>
                <w:sz w:val="22"/>
                <w:szCs w:val="22"/>
              </w:rPr>
              <w:t>SR EN 12259-4</w:t>
            </w:r>
          </w:p>
          <w:p w14:paraId="4D0B5B9C" w14:textId="77777777" w:rsidR="001C08A5" w:rsidRDefault="001C08A5">
            <w:pPr>
              <w:rPr>
                <w:b/>
                <w:bCs/>
                <w:i/>
                <w:iCs/>
                <w:sz w:val="22"/>
                <w:szCs w:val="22"/>
              </w:rPr>
            </w:pPr>
          </w:p>
        </w:tc>
        <w:tc>
          <w:tcPr>
            <w:tcW w:w="7164" w:type="dxa"/>
          </w:tcPr>
          <w:p w14:paraId="47C6605D" w14:textId="77777777" w:rsidR="001C08A5" w:rsidRDefault="00000000">
            <w:pPr>
              <w:rPr>
                <w:i/>
                <w:iCs/>
                <w:sz w:val="22"/>
                <w:szCs w:val="22"/>
              </w:rPr>
            </w:pPr>
            <w:r>
              <w:rPr>
                <w:i/>
                <w:iCs/>
                <w:sz w:val="22"/>
                <w:szCs w:val="22"/>
              </w:rPr>
              <w:t>Sisteme fixe de luptă împotriva incendiilor. Componente pentru sisteme cu sprinklere şi cu apă pulverizată. Partea 4: Dispozitive de alarmare cu motor hidraulic</w:t>
            </w:r>
          </w:p>
        </w:tc>
      </w:tr>
      <w:tr w:rsidR="001C08A5" w14:paraId="02B29527" w14:textId="77777777">
        <w:tc>
          <w:tcPr>
            <w:tcW w:w="664" w:type="dxa"/>
          </w:tcPr>
          <w:p w14:paraId="5E6B2461" w14:textId="77777777" w:rsidR="001C08A5" w:rsidRDefault="001C08A5">
            <w:pPr>
              <w:numPr>
                <w:ilvl w:val="0"/>
                <w:numId w:val="113"/>
              </w:numPr>
              <w:rPr>
                <w:i/>
                <w:sz w:val="22"/>
                <w:szCs w:val="22"/>
              </w:rPr>
            </w:pPr>
          </w:p>
        </w:tc>
        <w:tc>
          <w:tcPr>
            <w:tcW w:w="1778" w:type="dxa"/>
          </w:tcPr>
          <w:p w14:paraId="4F5F9100" w14:textId="77777777" w:rsidR="001C08A5" w:rsidRDefault="00000000">
            <w:pPr>
              <w:rPr>
                <w:b/>
                <w:bCs/>
                <w:i/>
                <w:iCs/>
                <w:sz w:val="22"/>
                <w:szCs w:val="22"/>
              </w:rPr>
            </w:pPr>
            <w:r>
              <w:rPr>
                <w:b/>
                <w:bCs/>
                <w:i/>
                <w:iCs/>
                <w:sz w:val="22"/>
                <w:szCs w:val="22"/>
              </w:rPr>
              <w:t>SR EN 12259-4/A1</w:t>
            </w:r>
          </w:p>
          <w:p w14:paraId="204A9F31" w14:textId="77777777" w:rsidR="001C08A5" w:rsidRDefault="001C08A5">
            <w:pPr>
              <w:rPr>
                <w:b/>
                <w:bCs/>
                <w:i/>
                <w:iCs/>
                <w:sz w:val="22"/>
                <w:szCs w:val="22"/>
              </w:rPr>
            </w:pPr>
          </w:p>
        </w:tc>
        <w:tc>
          <w:tcPr>
            <w:tcW w:w="7164" w:type="dxa"/>
          </w:tcPr>
          <w:p w14:paraId="69C9EDBF" w14:textId="77777777" w:rsidR="001C08A5" w:rsidRDefault="00000000">
            <w:pPr>
              <w:rPr>
                <w:i/>
                <w:iCs/>
                <w:sz w:val="22"/>
                <w:szCs w:val="22"/>
              </w:rPr>
            </w:pPr>
            <w:r>
              <w:rPr>
                <w:i/>
                <w:iCs/>
                <w:sz w:val="22"/>
                <w:szCs w:val="22"/>
              </w:rPr>
              <w:t>Sisteme fixe de luptă împotriva incendiilor. Componente pentru sisteme cu sprinklere şi cu apă pulverizată. Partea 4: Dispozitive de alarmă cu motor hidraulic</w:t>
            </w:r>
          </w:p>
        </w:tc>
      </w:tr>
      <w:tr w:rsidR="001C08A5" w14:paraId="63811A7C" w14:textId="77777777">
        <w:tc>
          <w:tcPr>
            <w:tcW w:w="664" w:type="dxa"/>
          </w:tcPr>
          <w:p w14:paraId="1810A7B4" w14:textId="77777777" w:rsidR="001C08A5" w:rsidRDefault="001C08A5">
            <w:pPr>
              <w:numPr>
                <w:ilvl w:val="0"/>
                <w:numId w:val="113"/>
              </w:numPr>
              <w:rPr>
                <w:i/>
                <w:sz w:val="22"/>
                <w:szCs w:val="22"/>
              </w:rPr>
            </w:pPr>
          </w:p>
        </w:tc>
        <w:tc>
          <w:tcPr>
            <w:tcW w:w="1778" w:type="dxa"/>
          </w:tcPr>
          <w:p w14:paraId="51FE5026" w14:textId="77777777" w:rsidR="001C08A5" w:rsidRDefault="00000000">
            <w:pPr>
              <w:rPr>
                <w:b/>
                <w:bCs/>
                <w:i/>
                <w:iCs/>
                <w:sz w:val="22"/>
                <w:szCs w:val="22"/>
              </w:rPr>
            </w:pPr>
            <w:r>
              <w:rPr>
                <w:b/>
                <w:bCs/>
                <w:i/>
                <w:iCs/>
                <w:sz w:val="22"/>
                <w:szCs w:val="22"/>
              </w:rPr>
              <w:t>SR EN 12259-4/A1/C91</w:t>
            </w:r>
          </w:p>
          <w:p w14:paraId="2455B5A5" w14:textId="77777777" w:rsidR="001C08A5" w:rsidRDefault="001C08A5">
            <w:pPr>
              <w:rPr>
                <w:b/>
                <w:bCs/>
                <w:i/>
                <w:iCs/>
                <w:sz w:val="22"/>
                <w:szCs w:val="22"/>
              </w:rPr>
            </w:pPr>
          </w:p>
        </w:tc>
        <w:tc>
          <w:tcPr>
            <w:tcW w:w="7164" w:type="dxa"/>
          </w:tcPr>
          <w:p w14:paraId="07264DBE" w14:textId="77777777" w:rsidR="001C08A5" w:rsidRDefault="00000000">
            <w:pPr>
              <w:rPr>
                <w:i/>
                <w:iCs/>
                <w:sz w:val="22"/>
                <w:szCs w:val="22"/>
              </w:rPr>
            </w:pPr>
            <w:r>
              <w:rPr>
                <w:i/>
                <w:iCs/>
                <w:sz w:val="22"/>
                <w:szCs w:val="22"/>
              </w:rPr>
              <w:t>Sisteme fixe de luptă împotriva incendiilor. Componente pentru sisteme cu sprinklere şi cu apă pulverizată Partea 4: Dispozitive de alarmă cu motor hidraulic</w:t>
            </w:r>
          </w:p>
        </w:tc>
      </w:tr>
      <w:tr w:rsidR="001C08A5" w14:paraId="1A4CF4EA" w14:textId="77777777">
        <w:tc>
          <w:tcPr>
            <w:tcW w:w="664" w:type="dxa"/>
          </w:tcPr>
          <w:p w14:paraId="6AE1E42E" w14:textId="77777777" w:rsidR="001C08A5" w:rsidRDefault="001C08A5">
            <w:pPr>
              <w:numPr>
                <w:ilvl w:val="0"/>
                <w:numId w:val="113"/>
              </w:numPr>
              <w:rPr>
                <w:i/>
                <w:sz w:val="22"/>
                <w:szCs w:val="22"/>
              </w:rPr>
            </w:pPr>
          </w:p>
        </w:tc>
        <w:tc>
          <w:tcPr>
            <w:tcW w:w="1778" w:type="dxa"/>
          </w:tcPr>
          <w:p w14:paraId="76FBB071" w14:textId="77777777" w:rsidR="001C08A5" w:rsidRDefault="00000000">
            <w:pPr>
              <w:rPr>
                <w:b/>
                <w:bCs/>
                <w:i/>
                <w:iCs/>
                <w:sz w:val="22"/>
                <w:szCs w:val="22"/>
              </w:rPr>
            </w:pPr>
            <w:r>
              <w:rPr>
                <w:b/>
                <w:bCs/>
                <w:i/>
                <w:iCs/>
                <w:sz w:val="22"/>
                <w:szCs w:val="22"/>
              </w:rPr>
              <w:t>SR EN 12259-5</w:t>
            </w:r>
          </w:p>
          <w:p w14:paraId="30ACE972" w14:textId="77777777" w:rsidR="001C08A5" w:rsidRDefault="001C08A5">
            <w:pPr>
              <w:rPr>
                <w:b/>
                <w:bCs/>
                <w:i/>
                <w:iCs/>
                <w:sz w:val="22"/>
                <w:szCs w:val="22"/>
              </w:rPr>
            </w:pPr>
          </w:p>
        </w:tc>
        <w:tc>
          <w:tcPr>
            <w:tcW w:w="7164" w:type="dxa"/>
          </w:tcPr>
          <w:p w14:paraId="748480C5" w14:textId="77777777" w:rsidR="001C08A5" w:rsidRDefault="00000000">
            <w:pPr>
              <w:rPr>
                <w:i/>
                <w:iCs/>
                <w:sz w:val="22"/>
                <w:szCs w:val="22"/>
              </w:rPr>
            </w:pPr>
            <w:r>
              <w:rPr>
                <w:i/>
                <w:iCs/>
                <w:sz w:val="22"/>
                <w:szCs w:val="22"/>
              </w:rPr>
              <w:t>Sisteme fixe de luptă împotriva incendiului. Componente pentru sisteme cu sprinklere şi cu apă pulverizată. Partea 5: Detectoare de curgere a apei</w:t>
            </w:r>
          </w:p>
        </w:tc>
      </w:tr>
      <w:tr w:rsidR="001C08A5" w14:paraId="232DD92D" w14:textId="77777777">
        <w:tc>
          <w:tcPr>
            <w:tcW w:w="664" w:type="dxa"/>
          </w:tcPr>
          <w:p w14:paraId="155C657D" w14:textId="77777777" w:rsidR="001C08A5" w:rsidRDefault="001C08A5">
            <w:pPr>
              <w:numPr>
                <w:ilvl w:val="0"/>
                <w:numId w:val="113"/>
              </w:numPr>
              <w:rPr>
                <w:i/>
                <w:sz w:val="22"/>
                <w:szCs w:val="22"/>
              </w:rPr>
            </w:pPr>
          </w:p>
        </w:tc>
        <w:tc>
          <w:tcPr>
            <w:tcW w:w="1778" w:type="dxa"/>
          </w:tcPr>
          <w:p w14:paraId="14AE33E5" w14:textId="77777777" w:rsidR="001C08A5" w:rsidRDefault="00000000">
            <w:pPr>
              <w:rPr>
                <w:b/>
                <w:bCs/>
                <w:i/>
                <w:iCs/>
                <w:sz w:val="22"/>
                <w:szCs w:val="22"/>
              </w:rPr>
            </w:pPr>
            <w:r>
              <w:rPr>
                <w:b/>
                <w:bCs/>
                <w:i/>
                <w:iCs/>
                <w:sz w:val="22"/>
                <w:szCs w:val="22"/>
              </w:rPr>
              <w:t>SR EN 12259-9</w:t>
            </w:r>
          </w:p>
          <w:p w14:paraId="7A09969A" w14:textId="77777777" w:rsidR="001C08A5" w:rsidRDefault="001C08A5">
            <w:pPr>
              <w:rPr>
                <w:b/>
                <w:bCs/>
                <w:i/>
                <w:iCs/>
                <w:sz w:val="22"/>
                <w:szCs w:val="22"/>
              </w:rPr>
            </w:pPr>
          </w:p>
        </w:tc>
        <w:tc>
          <w:tcPr>
            <w:tcW w:w="7164" w:type="dxa"/>
          </w:tcPr>
          <w:p w14:paraId="5CE39DE9" w14:textId="77777777" w:rsidR="001C08A5" w:rsidRDefault="00000000">
            <w:pPr>
              <w:rPr>
                <w:i/>
                <w:iCs/>
                <w:sz w:val="22"/>
                <w:szCs w:val="22"/>
              </w:rPr>
            </w:pPr>
            <w:r>
              <w:rPr>
                <w:i/>
                <w:iCs/>
                <w:sz w:val="22"/>
                <w:szCs w:val="22"/>
              </w:rPr>
              <w:t>Sisteme fixe de luptă împotriva incendiilor. Componente pentru sisteme cu sprinklere și cu apă pulverizată. Partea 9: Supape de control și semnalizare pentru sisteme cu inundare</w:t>
            </w:r>
          </w:p>
        </w:tc>
      </w:tr>
      <w:tr w:rsidR="001C08A5" w14:paraId="56430648" w14:textId="77777777">
        <w:tc>
          <w:tcPr>
            <w:tcW w:w="664" w:type="dxa"/>
          </w:tcPr>
          <w:p w14:paraId="30F14B8C" w14:textId="77777777" w:rsidR="001C08A5" w:rsidRDefault="001C08A5">
            <w:pPr>
              <w:numPr>
                <w:ilvl w:val="0"/>
                <w:numId w:val="113"/>
              </w:numPr>
              <w:rPr>
                <w:i/>
                <w:sz w:val="22"/>
                <w:szCs w:val="22"/>
              </w:rPr>
            </w:pPr>
          </w:p>
        </w:tc>
        <w:tc>
          <w:tcPr>
            <w:tcW w:w="1778" w:type="dxa"/>
          </w:tcPr>
          <w:p w14:paraId="33EBF62D" w14:textId="77777777" w:rsidR="001C08A5" w:rsidRDefault="00000000">
            <w:pPr>
              <w:jc w:val="both"/>
              <w:rPr>
                <w:b/>
                <w:bCs/>
                <w:i/>
                <w:sz w:val="22"/>
                <w:szCs w:val="22"/>
                <w:lang w:val="en-GB"/>
              </w:rPr>
            </w:pPr>
            <w:hyperlink r:id="rId668" w:history="1">
              <w:r>
                <w:rPr>
                  <w:b/>
                  <w:bCs/>
                  <w:i/>
                  <w:sz w:val="22"/>
                  <w:szCs w:val="22"/>
                  <w:lang w:val="en-GB"/>
                </w:rPr>
                <w:t>SR EN 15725</w:t>
              </w:r>
            </w:hyperlink>
          </w:p>
          <w:p w14:paraId="7E4FFEA6" w14:textId="77777777" w:rsidR="001C08A5" w:rsidRDefault="001C08A5">
            <w:pPr>
              <w:rPr>
                <w:b/>
                <w:bCs/>
                <w:i/>
                <w:sz w:val="22"/>
                <w:szCs w:val="22"/>
              </w:rPr>
            </w:pPr>
          </w:p>
        </w:tc>
        <w:tc>
          <w:tcPr>
            <w:tcW w:w="7164" w:type="dxa"/>
          </w:tcPr>
          <w:p w14:paraId="5DE9327E" w14:textId="77777777" w:rsidR="001C08A5" w:rsidRDefault="00000000">
            <w:pPr>
              <w:jc w:val="both"/>
              <w:rPr>
                <w:i/>
                <w:sz w:val="22"/>
                <w:szCs w:val="22"/>
              </w:rPr>
            </w:pPr>
            <w:r>
              <w:rPr>
                <w:i/>
                <w:sz w:val="22"/>
                <w:szCs w:val="22"/>
                <w:lang w:val="en-GB"/>
              </w:rPr>
              <w:t>Rapoarte pentru extinderea domeniului de aplicare a performanţelor la foc ale produselor şi elementelor de construcţie</w:t>
            </w:r>
          </w:p>
        </w:tc>
      </w:tr>
      <w:tr w:rsidR="001C08A5" w14:paraId="7B62BBC1" w14:textId="77777777">
        <w:tc>
          <w:tcPr>
            <w:tcW w:w="664" w:type="dxa"/>
          </w:tcPr>
          <w:p w14:paraId="6454D152" w14:textId="77777777" w:rsidR="001C08A5" w:rsidRDefault="001C08A5">
            <w:pPr>
              <w:numPr>
                <w:ilvl w:val="0"/>
                <w:numId w:val="113"/>
              </w:numPr>
              <w:rPr>
                <w:i/>
                <w:sz w:val="22"/>
                <w:szCs w:val="22"/>
              </w:rPr>
            </w:pPr>
          </w:p>
        </w:tc>
        <w:tc>
          <w:tcPr>
            <w:tcW w:w="1778" w:type="dxa"/>
          </w:tcPr>
          <w:p w14:paraId="24EF1679" w14:textId="77777777" w:rsidR="001C08A5" w:rsidRDefault="00000000">
            <w:pPr>
              <w:rPr>
                <w:b/>
                <w:bCs/>
                <w:i/>
                <w:sz w:val="22"/>
                <w:szCs w:val="22"/>
              </w:rPr>
            </w:pPr>
            <w:r>
              <w:rPr>
                <w:b/>
                <w:bCs/>
                <w:i/>
                <w:sz w:val="22"/>
                <w:szCs w:val="22"/>
              </w:rPr>
              <w:t>SR EN 81-58</w:t>
            </w:r>
          </w:p>
        </w:tc>
        <w:tc>
          <w:tcPr>
            <w:tcW w:w="7164" w:type="dxa"/>
          </w:tcPr>
          <w:p w14:paraId="033DF814" w14:textId="77777777" w:rsidR="001C08A5" w:rsidRDefault="00000000">
            <w:pPr>
              <w:jc w:val="both"/>
              <w:rPr>
                <w:i/>
                <w:sz w:val="22"/>
                <w:szCs w:val="22"/>
              </w:rPr>
            </w:pPr>
            <w:r>
              <w:rPr>
                <w:i/>
                <w:sz w:val="22"/>
                <w:szCs w:val="22"/>
                <w:lang w:val="en-GB"/>
              </w:rPr>
              <w:t>Reguli de securitate pentru execuţia şi montarea ascensoarelor. Examinare şi încercări. Partea 58: Încercarea de rezistenţă la foc a uşilor de palier</w:t>
            </w:r>
          </w:p>
        </w:tc>
      </w:tr>
      <w:tr w:rsidR="001C08A5" w14:paraId="17C56812" w14:textId="77777777">
        <w:tc>
          <w:tcPr>
            <w:tcW w:w="664" w:type="dxa"/>
          </w:tcPr>
          <w:p w14:paraId="15C9C691" w14:textId="77777777" w:rsidR="001C08A5" w:rsidRDefault="001C08A5">
            <w:pPr>
              <w:numPr>
                <w:ilvl w:val="0"/>
                <w:numId w:val="113"/>
              </w:numPr>
              <w:rPr>
                <w:i/>
                <w:sz w:val="22"/>
                <w:szCs w:val="22"/>
              </w:rPr>
            </w:pPr>
          </w:p>
        </w:tc>
        <w:tc>
          <w:tcPr>
            <w:tcW w:w="1778" w:type="dxa"/>
          </w:tcPr>
          <w:p w14:paraId="78D35EFF" w14:textId="77777777" w:rsidR="001C08A5" w:rsidRDefault="00000000">
            <w:pPr>
              <w:jc w:val="both"/>
              <w:rPr>
                <w:b/>
                <w:bCs/>
                <w:i/>
                <w:sz w:val="22"/>
                <w:szCs w:val="22"/>
                <w:lang w:val="en-GB"/>
              </w:rPr>
            </w:pPr>
            <w:hyperlink r:id="rId669" w:history="1">
              <w:r>
                <w:rPr>
                  <w:b/>
                  <w:bCs/>
                  <w:i/>
                  <w:sz w:val="22"/>
                  <w:szCs w:val="22"/>
                  <w:lang w:val="en-GB"/>
                </w:rPr>
                <w:t>SR EN 13241</w:t>
              </w:r>
            </w:hyperlink>
          </w:p>
          <w:p w14:paraId="5FF050EC" w14:textId="77777777" w:rsidR="001C08A5" w:rsidRDefault="001C08A5">
            <w:pPr>
              <w:rPr>
                <w:b/>
                <w:bCs/>
                <w:i/>
                <w:sz w:val="22"/>
                <w:szCs w:val="22"/>
              </w:rPr>
            </w:pPr>
          </w:p>
        </w:tc>
        <w:tc>
          <w:tcPr>
            <w:tcW w:w="7164" w:type="dxa"/>
          </w:tcPr>
          <w:p w14:paraId="215D6A58" w14:textId="77777777" w:rsidR="001C08A5" w:rsidRDefault="00000000">
            <w:pPr>
              <w:jc w:val="both"/>
              <w:rPr>
                <w:i/>
                <w:sz w:val="22"/>
                <w:szCs w:val="22"/>
              </w:rPr>
            </w:pPr>
            <w:r>
              <w:rPr>
                <w:i/>
                <w:sz w:val="22"/>
                <w:szCs w:val="22"/>
                <w:lang w:val="en-GB"/>
              </w:rPr>
              <w:t>Uşi şi porţi pentru uz industrial, comercial şi pentru garaje. Standard de produs, caracteristici de performanţă</w:t>
            </w:r>
          </w:p>
        </w:tc>
      </w:tr>
      <w:tr w:rsidR="001C08A5" w14:paraId="2111BD6C" w14:textId="77777777">
        <w:tc>
          <w:tcPr>
            <w:tcW w:w="664" w:type="dxa"/>
          </w:tcPr>
          <w:p w14:paraId="0B363390" w14:textId="77777777" w:rsidR="001C08A5" w:rsidRDefault="001C08A5">
            <w:pPr>
              <w:numPr>
                <w:ilvl w:val="0"/>
                <w:numId w:val="113"/>
              </w:numPr>
              <w:rPr>
                <w:i/>
                <w:sz w:val="22"/>
                <w:szCs w:val="22"/>
              </w:rPr>
            </w:pPr>
          </w:p>
        </w:tc>
        <w:tc>
          <w:tcPr>
            <w:tcW w:w="1778" w:type="dxa"/>
          </w:tcPr>
          <w:p w14:paraId="3964D78E" w14:textId="77777777" w:rsidR="001C08A5" w:rsidRDefault="00000000">
            <w:pPr>
              <w:jc w:val="both"/>
              <w:rPr>
                <w:b/>
                <w:bCs/>
                <w:i/>
                <w:sz w:val="22"/>
                <w:szCs w:val="22"/>
                <w:lang w:val="en-GB"/>
              </w:rPr>
            </w:pPr>
            <w:hyperlink r:id="rId670" w:history="1">
              <w:r>
                <w:rPr>
                  <w:b/>
                  <w:bCs/>
                  <w:i/>
                  <w:sz w:val="22"/>
                  <w:szCs w:val="22"/>
                  <w:lang w:val="en-GB"/>
                </w:rPr>
                <w:t>SR EN 15283-1</w:t>
              </w:r>
            </w:hyperlink>
          </w:p>
          <w:p w14:paraId="6CAE3DEC" w14:textId="77777777" w:rsidR="001C08A5" w:rsidRDefault="001C08A5">
            <w:pPr>
              <w:rPr>
                <w:b/>
                <w:bCs/>
                <w:i/>
                <w:sz w:val="22"/>
                <w:szCs w:val="22"/>
              </w:rPr>
            </w:pPr>
          </w:p>
        </w:tc>
        <w:tc>
          <w:tcPr>
            <w:tcW w:w="7164" w:type="dxa"/>
          </w:tcPr>
          <w:p w14:paraId="738A70AE" w14:textId="77777777" w:rsidR="001C08A5" w:rsidRDefault="00000000">
            <w:pPr>
              <w:jc w:val="both"/>
              <w:rPr>
                <w:i/>
                <w:sz w:val="22"/>
                <w:szCs w:val="22"/>
              </w:rPr>
            </w:pPr>
            <w:r>
              <w:rPr>
                <w:i/>
                <w:sz w:val="22"/>
                <w:szCs w:val="22"/>
                <w:lang w:val="en-GB"/>
              </w:rPr>
              <w:t>Plăci de ipsos armate cu fibre. Definiţii, condiţii şi metode de încercare. Partea 1: Plăci de ipsos armate cu ţesătură sau împâslitură</w:t>
            </w:r>
          </w:p>
        </w:tc>
      </w:tr>
      <w:tr w:rsidR="001C08A5" w14:paraId="2907A4FE" w14:textId="77777777">
        <w:tc>
          <w:tcPr>
            <w:tcW w:w="664" w:type="dxa"/>
          </w:tcPr>
          <w:p w14:paraId="409C959A" w14:textId="77777777" w:rsidR="001C08A5" w:rsidRDefault="001C08A5">
            <w:pPr>
              <w:numPr>
                <w:ilvl w:val="0"/>
                <w:numId w:val="113"/>
              </w:numPr>
              <w:rPr>
                <w:i/>
                <w:sz w:val="22"/>
                <w:szCs w:val="22"/>
              </w:rPr>
            </w:pPr>
          </w:p>
        </w:tc>
        <w:tc>
          <w:tcPr>
            <w:tcW w:w="1778" w:type="dxa"/>
          </w:tcPr>
          <w:p w14:paraId="522405B8" w14:textId="77777777" w:rsidR="001C08A5" w:rsidRDefault="00000000">
            <w:pPr>
              <w:jc w:val="both"/>
              <w:rPr>
                <w:b/>
                <w:bCs/>
                <w:i/>
                <w:sz w:val="22"/>
                <w:szCs w:val="22"/>
                <w:lang w:val="en-GB"/>
              </w:rPr>
            </w:pPr>
            <w:hyperlink r:id="rId671" w:history="1">
              <w:r>
                <w:rPr>
                  <w:b/>
                  <w:bCs/>
                  <w:i/>
                  <w:sz w:val="22"/>
                  <w:szCs w:val="22"/>
                  <w:lang w:val="en-GB"/>
                </w:rPr>
                <w:t>SR EN 15283-2</w:t>
              </w:r>
            </w:hyperlink>
          </w:p>
          <w:p w14:paraId="4AFC3657" w14:textId="77777777" w:rsidR="001C08A5" w:rsidRDefault="001C08A5">
            <w:pPr>
              <w:rPr>
                <w:b/>
                <w:bCs/>
                <w:i/>
                <w:sz w:val="22"/>
                <w:szCs w:val="22"/>
              </w:rPr>
            </w:pPr>
          </w:p>
        </w:tc>
        <w:tc>
          <w:tcPr>
            <w:tcW w:w="7164" w:type="dxa"/>
          </w:tcPr>
          <w:p w14:paraId="48BD80EB" w14:textId="77777777" w:rsidR="001C08A5" w:rsidRDefault="00000000">
            <w:pPr>
              <w:jc w:val="both"/>
              <w:rPr>
                <w:i/>
                <w:sz w:val="22"/>
                <w:szCs w:val="22"/>
              </w:rPr>
            </w:pPr>
            <w:r>
              <w:rPr>
                <w:i/>
                <w:sz w:val="22"/>
                <w:szCs w:val="22"/>
                <w:lang w:val="en-GB"/>
              </w:rPr>
              <w:t>Plăci de ipsos armate cu fibre. Definiţii, condiţii şi metode de încercare. Partea 2: Plăci de ipsos cu fibre</w:t>
            </w:r>
          </w:p>
        </w:tc>
      </w:tr>
      <w:tr w:rsidR="001C08A5" w14:paraId="7A2A0B4B" w14:textId="77777777">
        <w:tc>
          <w:tcPr>
            <w:tcW w:w="664" w:type="dxa"/>
          </w:tcPr>
          <w:p w14:paraId="25517426" w14:textId="77777777" w:rsidR="001C08A5" w:rsidRDefault="001C08A5">
            <w:pPr>
              <w:numPr>
                <w:ilvl w:val="0"/>
                <w:numId w:val="113"/>
              </w:numPr>
              <w:rPr>
                <w:i/>
                <w:sz w:val="22"/>
                <w:szCs w:val="22"/>
              </w:rPr>
            </w:pPr>
          </w:p>
        </w:tc>
        <w:tc>
          <w:tcPr>
            <w:tcW w:w="1778" w:type="dxa"/>
          </w:tcPr>
          <w:p w14:paraId="40E1A168" w14:textId="77777777" w:rsidR="001C08A5" w:rsidRDefault="00000000">
            <w:pPr>
              <w:jc w:val="both"/>
              <w:rPr>
                <w:b/>
                <w:bCs/>
                <w:i/>
                <w:sz w:val="22"/>
                <w:szCs w:val="22"/>
                <w:lang w:val="en-GB"/>
              </w:rPr>
            </w:pPr>
            <w:hyperlink r:id="rId672" w:history="1">
              <w:r>
                <w:rPr>
                  <w:b/>
                  <w:bCs/>
                  <w:i/>
                  <w:sz w:val="22"/>
                  <w:szCs w:val="22"/>
                  <w:lang w:val="en-GB"/>
                </w:rPr>
                <w:t>STAS 6168-90</w:t>
              </w:r>
            </w:hyperlink>
          </w:p>
          <w:p w14:paraId="2AF9F730" w14:textId="77777777" w:rsidR="001C08A5" w:rsidRDefault="001C08A5">
            <w:pPr>
              <w:rPr>
                <w:b/>
                <w:bCs/>
                <w:i/>
                <w:sz w:val="22"/>
                <w:szCs w:val="22"/>
              </w:rPr>
            </w:pPr>
          </w:p>
        </w:tc>
        <w:tc>
          <w:tcPr>
            <w:tcW w:w="7164" w:type="dxa"/>
          </w:tcPr>
          <w:p w14:paraId="528CAF33" w14:textId="77777777" w:rsidR="001C08A5" w:rsidRDefault="00000000">
            <w:pPr>
              <w:jc w:val="both"/>
              <w:rPr>
                <w:i/>
                <w:sz w:val="22"/>
                <w:szCs w:val="22"/>
              </w:rPr>
            </w:pPr>
            <w:r>
              <w:rPr>
                <w:i/>
                <w:sz w:val="22"/>
                <w:szCs w:val="22"/>
                <w:lang w:val="en-GB"/>
              </w:rPr>
              <w:t>Măsuri de siguranţă contra incendiilor. Scări de salvare în caz de incendiu. Prescripţii generale</w:t>
            </w:r>
          </w:p>
        </w:tc>
      </w:tr>
      <w:tr w:rsidR="001C08A5" w14:paraId="49CB9371" w14:textId="77777777">
        <w:tc>
          <w:tcPr>
            <w:tcW w:w="664" w:type="dxa"/>
          </w:tcPr>
          <w:p w14:paraId="3A003F4C" w14:textId="77777777" w:rsidR="001C08A5" w:rsidRDefault="001C08A5">
            <w:pPr>
              <w:numPr>
                <w:ilvl w:val="0"/>
                <w:numId w:val="113"/>
              </w:numPr>
              <w:rPr>
                <w:i/>
                <w:sz w:val="22"/>
                <w:szCs w:val="22"/>
              </w:rPr>
            </w:pPr>
          </w:p>
        </w:tc>
        <w:tc>
          <w:tcPr>
            <w:tcW w:w="1778" w:type="dxa"/>
          </w:tcPr>
          <w:p w14:paraId="3689149C" w14:textId="77777777" w:rsidR="001C08A5" w:rsidRDefault="00000000">
            <w:pPr>
              <w:rPr>
                <w:b/>
                <w:bCs/>
                <w:i/>
                <w:sz w:val="22"/>
                <w:szCs w:val="22"/>
              </w:rPr>
            </w:pPr>
            <w:r>
              <w:rPr>
                <w:b/>
                <w:bCs/>
                <w:i/>
                <w:iCs/>
                <w:sz w:val="22"/>
                <w:szCs w:val="22"/>
              </w:rPr>
              <w:t>STAS 4908</w:t>
            </w:r>
          </w:p>
        </w:tc>
        <w:tc>
          <w:tcPr>
            <w:tcW w:w="7164" w:type="dxa"/>
          </w:tcPr>
          <w:p w14:paraId="43E881E2" w14:textId="77777777" w:rsidR="001C08A5" w:rsidRDefault="00000000">
            <w:pPr>
              <w:jc w:val="both"/>
              <w:rPr>
                <w:i/>
                <w:sz w:val="22"/>
                <w:szCs w:val="22"/>
                <w:lang w:val="en-GB"/>
              </w:rPr>
            </w:pPr>
            <w:r>
              <w:rPr>
                <w:i/>
                <w:iCs/>
                <w:sz w:val="22"/>
                <w:szCs w:val="22"/>
              </w:rPr>
              <w:t>Clădiri civile, industriale și agrozootehnice. Arii și volume conventionale</w:t>
            </w:r>
          </w:p>
        </w:tc>
      </w:tr>
      <w:tr w:rsidR="001C08A5" w14:paraId="750699FC" w14:textId="77777777">
        <w:tc>
          <w:tcPr>
            <w:tcW w:w="664" w:type="dxa"/>
          </w:tcPr>
          <w:p w14:paraId="21E435D0" w14:textId="77777777" w:rsidR="001C08A5" w:rsidRDefault="001C08A5">
            <w:pPr>
              <w:numPr>
                <w:ilvl w:val="0"/>
                <w:numId w:val="113"/>
              </w:numPr>
              <w:rPr>
                <w:i/>
                <w:sz w:val="22"/>
                <w:szCs w:val="22"/>
              </w:rPr>
            </w:pPr>
          </w:p>
        </w:tc>
        <w:tc>
          <w:tcPr>
            <w:tcW w:w="1778" w:type="dxa"/>
          </w:tcPr>
          <w:p w14:paraId="4AF12548" w14:textId="77777777" w:rsidR="001C08A5" w:rsidRDefault="00000000">
            <w:pPr>
              <w:jc w:val="both"/>
              <w:rPr>
                <w:b/>
                <w:bCs/>
                <w:i/>
                <w:sz w:val="22"/>
                <w:szCs w:val="22"/>
                <w:lang w:val="en-GB"/>
              </w:rPr>
            </w:pPr>
            <w:hyperlink r:id="rId673" w:history="1">
              <w:r>
                <w:rPr>
                  <w:b/>
                  <w:bCs/>
                  <w:i/>
                  <w:sz w:val="22"/>
                  <w:szCs w:val="22"/>
                  <w:lang w:val="en-GB"/>
                </w:rPr>
                <w:t>SR EN 3-7</w:t>
              </w:r>
            </w:hyperlink>
          </w:p>
          <w:p w14:paraId="20302841" w14:textId="77777777" w:rsidR="001C08A5" w:rsidRDefault="001C08A5">
            <w:pPr>
              <w:rPr>
                <w:b/>
                <w:bCs/>
                <w:i/>
                <w:sz w:val="22"/>
                <w:szCs w:val="22"/>
              </w:rPr>
            </w:pPr>
          </w:p>
        </w:tc>
        <w:tc>
          <w:tcPr>
            <w:tcW w:w="7164" w:type="dxa"/>
          </w:tcPr>
          <w:p w14:paraId="72850B12" w14:textId="77777777" w:rsidR="001C08A5" w:rsidRDefault="00000000">
            <w:pPr>
              <w:jc w:val="both"/>
              <w:rPr>
                <w:i/>
                <w:sz w:val="22"/>
                <w:szCs w:val="22"/>
              </w:rPr>
            </w:pPr>
            <w:r>
              <w:rPr>
                <w:i/>
                <w:sz w:val="22"/>
                <w:szCs w:val="22"/>
                <w:lang w:val="en-GB"/>
              </w:rPr>
              <w:t>Stingătoare de incendiu portative. Partea 7: Caracteristici, performanţe şi metode de încercare</w:t>
            </w:r>
          </w:p>
        </w:tc>
      </w:tr>
      <w:tr w:rsidR="001C08A5" w14:paraId="162CEF3F" w14:textId="77777777">
        <w:tc>
          <w:tcPr>
            <w:tcW w:w="664" w:type="dxa"/>
          </w:tcPr>
          <w:p w14:paraId="194E60D8" w14:textId="77777777" w:rsidR="001C08A5" w:rsidRDefault="001C08A5">
            <w:pPr>
              <w:numPr>
                <w:ilvl w:val="0"/>
                <w:numId w:val="113"/>
              </w:numPr>
              <w:rPr>
                <w:i/>
                <w:sz w:val="22"/>
                <w:szCs w:val="22"/>
              </w:rPr>
            </w:pPr>
          </w:p>
        </w:tc>
        <w:tc>
          <w:tcPr>
            <w:tcW w:w="1778" w:type="dxa"/>
          </w:tcPr>
          <w:p w14:paraId="6EE60187" w14:textId="77777777" w:rsidR="001C08A5" w:rsidRDefault="00000000">
            <w:pPr>
              <w:jc w:val="both"/>
              <w:rPr>
                <w:b/>
                <w:bCs/>
                <w:i/>
                <w:sz w:val="22"/>
                <w:szCs w:val="22"/>
                <w:lang w:val="en-GB"/>
              </w:rPr>
            </w:pPr>
            <w:hyperlink r:id="rId674" w:history="1">
              <w:r>
                <w:rPr>
                  <w:b/>
                  <w:bCs/>
                  <w:i/>
                  <w:sz w:val="22"/>
                  <w:szCs w:val="22"/>
                  <w:lang w:val="en-GB"/>
                </w:rPr>
                <w:t>SR EN 3-10</w:t>
              </w:r>
            </w:hyperlink>
          </w:p>
          <w:p w14:paraId="08D587B1" w14:textId="77777777" w:rsidR="001C08A5" w:rsidRDefault="001C08A5">
            <w:pPr>
              <w:rPr>
                <w:b/>
                <w:bCs/>
                <w:i/>
                <w:sz w:val="22"/>
                <w:szCs w:val="22"/>
              </w:rPr>
            </w:pPr>
          </w:p>
        </w:tc>
        <w:tc>
          <w:tcPr>
            <w:tcW w:w="7164" w:type="dxa"/>
          </w:tcPr>
          <w:p w14:paraId="02C3374B" w14:textId="77777777" w:rsidR="001C08A5" w:rsidRDefault="00000000">
            <w:pPr>
              <w:jc w:val="both"/>
              <w:rPr>
                <w:i/>
                <w:sz w:val="22"/>
                <w:szCs w:val="22"/>
              </w:rPr>
            </w:pPr>
            <w:r>
              <w:rPr>
                <w:i/>
                <w:sz w:val="22"/>
                <w:szCs w:val="22"/>
                <w:lang w:val="en-GB"/>
              </w:rPr>
              <w:t>Stingătoare de incendiu portabile. Partea 10: Prevederi pentru evaluarea conformităţii stingătorului de incendiu portabil cu EN 3-7</w:t>
            </w:r>
          </w:p>
        </w:tc>
      </w:tr>
      <w:tr w:rsidR="001C08A5" w14:paraId="52168233" w14:textId="77777777">
        <w:tc>
          <w:tcPr>
            <w:tcW w:w="664" w:type="dxa"/>
          </w:tcPr>
          <w:p w14:paraId="54E303CD" w14:textId="77777777" w:rsidR="001C08A5" w:rsidRDefault="001C08A5">
            <w:pPr>
              <w:numPr>
                <w:ilvl w:val="0"/>
                <w:numId w:val="113"/>
              </w:numPr>
              <w:rPr>
                <w:i/>
                <w:sz w:val="22"/>
                <w:szCs w:val="22"/>
              </w:rPr>
            </w:pPr>
          </w:p>
        </w:tc>
        <w:tc>
          <w:tcPr>
            <w:tcW w:w="1778" w:type="dxa"/>
          </w:tcPr>
          <w:p w14:paraId="2415BDFE" w14:textId="77777777" w:rsidR="001C08A5" w:rsidRDefault="00000000">
            <w:pPr>
              <w:jc w:val="both"/>
              <w:rPr>
                <w:b/>
                <w:bCs/>
                <w:i/>
                <w:sz w:val="22"/>
                <w:szCs w:val="22"/>
                <w:lang w:val="en-GB"/>
              </w:rPr>
            </w:pPr>
            <w:hyperlink r:id="rId675" w:history="1">
              <w:r>
                <w:rPr>
                  <w:b/>
                  <w:bCs/>
                  <w:i/>
                  <w:sz w:val="22"/>
                  <w:szCs w:val="22"/>
                  <w:lang w:val="en-GB"/>
                </w:rPr>
                <w:t>SR EN 3-9</w:t>
              </w:r>
            </w:hyperlink>
          </w:p>
          <w:p w14:paraId="7126900A" w14:textId="77777777" w:rsidR="001C08A5" w:rsidRDefault="001C08A5">
            <w:pPr>
              <w:rPr>
                <w:b/>
                <w:bCs/>
                <w:i/>
                <w:sz w:val="22"/>
                <w:szCs w:val="22"/>
              </w:rPr>
            </w:pPr>
          </w:p>
        </w:tc>
        <w:tc>
          <w:tcPr>
            <w:tcW w:w="7164" w:type="dxa"/>
          </w:tcPr>
          <w:p w14:paraId="6F70B682" w14:textId="77777777" w:rsidR="001C08A5" w:rsidRDefault="00000000">
            <w:pPr>
              <w:jc w:val="both"/>
              <w:rPr>
                <w:i/>
                <w:sz w:val="22"/>
                <w:szCs w:val="22"/>
              </w:rPr>
            </w:pPr>
            <w:r>
              <w:rPr>
                <w:i/>
                <w:sz w:val="22"/>
                <w:szCs w:val="22"/>
                <w:lang w:val="en-GB"/>
              </w:rPr>
              <w:t>Stingătoare de incendiu portative. Partea 9: Cerinţe suplimentare faţă de EN 3-7 pentru rezistenţa la presiune a stingătoarelor cu dioxid de carbon</w:t>
            </w:r>
          </w:p>
        </w:tc>
      </w:tr>
      <w:tr w:rsidR="001C08A5" w14:paraId="06849A37" w14:textId="77777777">
        <w:tc>
          <w:tcPr>
            <w:tcW w:w="664" w:type="dxa"/>
          </w:tcPr>
          <w:p w14:paraId="448DCACC" w14:textId="77777777" w:rsidR="001C08A5" w:rsidRDefault="001C08A5">
            <w:pPr>
              <w:numPr>
                <w:ilvl w:val="0"/>
                <w:numId w:val="113"/>
              </w:numPr>
              <w:rPr>
                <w:i/>
                <w:sz w:val="22"/>
                <w:szCs w:val="22"/>
              </w:rPr>
            </w:pPr>
          </w:p>
        </w:tc>
        <w:tc>
          <w:tcPr>
            <w:tcW w:w="1778" w:type="dxa"/>
          </w:tcPr>
          <w:p w14:paraId="0EA9E002" w14:textId="77777777" w:rsidR="001C08A5" w:rsidRDefault="00000000">
            <w:pPr>
              <w:jc w:val="both"/>
              <w:rPr>
                <w:b/>
                <w:bCs/>
                <w:i/>
                <w:sz w:val="22"/>
                <w:szCs w:val="22"/>
                <w:lang w:val="en-GB"/>
              </w:rPr>
            </w:pPr>
            <w:hyperlink r:id="rId676" w:history="1">
              <w:r>
                <w:rPr>
                  <w:b/>
                  <w:bCs/>
                  <w:i/>
                  <w:sz w:val="22"/>
                  <w:szCs w:val="22"/>
                  <w:lang w:val="en-GB"/>
                </w:rPr>
                <w:t>SR EN 3-8</w:t>
              </w:r>
            </w:hyperlink>
          </w:p>
          <w:p w14:paraId="260375C9" w14:textId="77777777" w:rsidR="001C08A5" w:rsidRDefault="001C08A5">
            <w:pPr>
              <w:rPr>
                <w:b/>
                <w:bCs/>
                <w:i/>
                <w:sz w:val="22"/>
                <w:szCs w:val="22"/>
              </w:rPr>
            </w:pPr>
          </w:p>
        </w:tc>
        <w:tc>
          <w:tcPr>
            <w:tcW w:w="7164" w:type="dxa"/>
          </w:tcPr>
          <w:p w14:paraId="6DCA5750" w14:textId="77777777" w:rsidR="001C08A5" w:rsidRDefault="00000000">
            <w:pPr>
              <w:jc w:val="both"/>
              <w:rPr>
                <w:i/>
                <w:sz w:val="22"/>
                <w:szCs w:val="22"/>
              </w:rPr>
            </w:pPr>
            <w:r>
              <w:rPr>
                <w:i/>
                <w:sz w:val="22"/>
                <w:szCs w:val="22"/>
              </w:rPr>
              <w:t>Stingătoare de incendiu portative. Partea 8: Cerințe conforme cu cerințele din EN 3-7 privind construcția, rezistența la presiune și încercările mecanice pentru stingătoarele care au presiunea maximă admisibilă mai mică sau egală cu 30 bar</w:t>
            </w:r>
          </w:p>
        </w:tc>
      </w:tr>
      <w:tr w:rsidR="001C08A5" w14:paraId="692D5EC4" w14:textId="77777777">
        <w:tc>
          <w:tcPr>
            <w:tcW w:w="664" w:type="dxa"/>
          </w:tcPr>
          <w:p w14:paraId="281CF717" w14:textId="77777777" w:rsidR="001C08A5" w:rsidRDefault="001C08A5">
            <w:pPr>
              <w:numPr>
                <w:ilvl w:val="0"/>
                <w:numId w:val="113"/>
              </w:numPr>
              <w:rPr>
                <w:i/>
                <w:sz w:val="22"/>
                <w:szCs w:val="22"/>
              </w:rPr>
            </w:pPr>
          </w:p>
        </w:tc>
        <w:tc>
          <w:tcPr>
            <w:tcW w:w="1778" w:type="dxa"/>
          </w:tcPr>
          <w:p w14:paraId="7A3FEF4A" w14:textId="77777777" w:rsidR="001C08A5" w:rsidRDefault="00000000">
            <w:pPr>
              <w:jc w:val="both"/>
              <w:rPr>
                <w:b/>
                <w:bCs/>
                <w:i/>
                <w:sz w:val="22"/>
                <w:szCs w:val="22"/>
                <w:lang w:val="en-GB"/>
              </w:rPr>
            </w:pPr>
            <w:hyperlink r:id="rId677" w:history="1">
              <w:r>
                <w:rPr>
                  <w:b/>
                  <w:bCs/>
                  <w:i/>
                  <w:sz w:val="22"/>
                  <w:szCs w:val="22"/>
                  <w:lang w:val="en-GB"/>
                </w:rPr>
                <w:t>SR EN 615</w:t>
              </w:r>
            </w:hyperlink>
          </w:p>
          <w:p w14:paraId="01CBE418" w14:textId="77777777" w:rsidR="001C08A5" w:rsidRDefault="001C08A5">
            <w:pPr>
              <w:rPr>
                <w:b/>
                <w:bCs/>
                <w:i/>
                <w:sz w:val="22"/>
                <w:szCs w:val="22"/>
              </w:rPr>
            </w:pPr>
          </w:p>
        </w:tc>
        <w:tc>
          <w:tcPr>
            <w:tcW w:w="7164" w:type="dxa"/>
          </w:tcPr>
          <w:p w14:paraId="05FA2A17" w14:textId="77777777" w:rsidR="001C08A5" w:rsidRDefault="00000000">
            <w:pPr>
              <w:jc w:val="both"/>
              <w:rPr>
                <w:i/>
                <w:sz w:val="22"/>
                <w:szCs w:val="22"/>
              </w:rPr>
            </w:pPr>
            <w:r>
              <w:rPr>
                <w:i/>
                <w:sz w:val="22"/>
                <w:szCs w:val="22"/>
                <w:lang w:val="en-GB"/>
              </w:rPr>
              <w:t>Protecţie împotriva incendiului. Agenţi de stingere. Prescripţii pentru pulberi (altele decât pulberile pentru clasa D)</w:t>
            </w:r>
          </w:p>
        </w:tc>
      </w:tr>
      <w:tr w:rsidR="001C08A5" w14:paraId="24ED2E8B" w14:textId="77777777">
        <w:tc>
          <w:tcPr>
            <w:tcW w:w="664" w:type="dxa"/>
          </w:tcPr>
          <w:p w14:paraId="0C996EB2" w14:textId="77777777" w:rsidR="001C08A5" w:rsidRDefault="001C08A5">
            <w:pPr>
              <w:numPr>
                <w:ilvl w:val="0"/>
                <w:numId w:val="113"/>
              </w:numPr>
              <w:rPr>
                <w:i/>
                <w:sz w:val="22"/>
                <w:szCs w:val="22"/>
              </w:rPr>
            </w:pPr>
          </w:p>
        </w:tc>
        <w:tc>
          <w:tcPr>
            <w:tcW w:w="1778" w:type="dxa"/>
          </w:tcPr>
          <w:p w14:paraId="753863A0" w14:textId="77777777" w:rsidR="001C08A5" w:rsidRDefault="00000000">
            <w:pPr>
              <w:jc w:val="both"/>
              <w:rPr>
                <w:b/>
                <w:bCs/>
                <w:i/>
                <w:sz w:val="22"/>
                <w:szCs w:val="22"/>
                <w:lang w:val="en-GB"/>
              </w:rPr>
            </w:pPr>
            <w:hyperlink r:id="rId678" w:history="1">
              <w:r>
                <w:rPr>
                  <w:b/>
                  <w:bCs/>
                  <w:i/>
                  <w:sz w:val="22"/>
                  <w:szCs w:val="22"/>
                  <w:lang w:val="en-GB"/>
                </w:rPr>
                <w:t>SR EN 1866-1</w:t>
              </w:r>
            </w:hyperlink>
          </w:p>
          <w:p w14:paraId="0F52DD7A" w14:textId="77777777" w:rsidR="001C08A5" w:rsidRDefault="001C08A5">
            <w:pPr>
              <w:ind w:firstLine="720"/>
              <w:rPr>
                <w:b/>
                <w:bCs/>
                <w:i/>
                <w:sz w:val="22"/>
                <w:szCs w:val="22"/>
              </w:rPr>
            </w:pPr>
          </w:p>
        </w:tc>
        <w:tc>
          <w:tcPr>
            <w:tcW w:w="7164" w:type="dxa"/>
          </w:tcPr>
          <w:p w14:paraId="7907379B" w14:textId="77777777" w:rsidR="001C08A5" w:rsidRDefault="00000000">
            <w:pPr>
              <w:jc w:val="both"/>
              <w:rPr>
                <w:i/>
                <w:sz w:val="22"/>
                <w:szCs w:val="22"/>
              </w:rPr>
            </w:pPr>
            <w:r>
              <w:rPr>
                <w:i/>
                <w:sz w:val="22"/>
                <w:szCs w:val="22"/>
                <w:lang w:val="en-GB"/>
              </w:rPr>
              <w:t>Stingătoare mobile de incendiu. Partea 1: Caracteristici, performanţe şi metode de încercare</w:t>
            </w:r>
          </w:p>
        </w:tc>
      </w:tr>
      <w:tr w:rsidR="001C08A5" w14:paraId="226813B9" w14:textId="77777777">
        <w:tc>
          <w:tcPr>
            <w:tcW w:w="664" w:type="dxa"/>
          </w:tcPr>
          <w:p w14:paraId="3A1F6071" w14:textId="77777777" w:rsidR="001C08A5" w:rsidRDefault="001C08A5">
            <w:pPr>
              <w:numPr>
                <w:ilvl w:val="0"/>
                <w:numId w:val="113"/>
              </w:numPr>
              <w:rPr>
                <w:i/>
                <w:sz w:val="22"/>
                <w:szCs w:val="22"/>
              </w:rPr>
            </w:pPr>
          </w:p>
        </w:tc>
        <w:tc>
          <w:tcPr>
            <w:tcW w:w="1778" w:type="dxa"/>
          </w:tcPr>
          <w:p w14:paraId="60C38FA3" w14:textId="77777777" w:rsidR="001C08A5" w:rsidRDefault="00000000">
            <w:pPr>
              <w:jc w:val="both"/>
              <w:rPr>
                <w:b/>
                <w:bCs/>
                <w:i/>
                <w:sz w:val="22"/>
                <w:szCs w:val="22"/>
                <w:lang w:val="en-GB"/>
              </w:rPr>
            </w:pPr>
            <w:hyperlink r:id="rId679" w:history="1">
              <w:r>
                <w:rPr>
                  <w:b/>
                  <w:bCs/>
                  <w:i/>
                  <w:sz w:val="22"/>
                  <w:szCs w:val="22"/>
                  <w:lang w:val="en-GB"/>
                </w:rPr>
                <w:t>SR EN 1866-2</w:t>
              </w:r>
            </w:hyperlink>
          </w:p>
          <w:p w14:paraId="496A5015" w14:textId="77777777" w:rsidR="001C08A5" w:rsidRDefault="001C08A5">
            <w:pPr>
              <w:rPr>
                <w:b/>
                <w:bCs/>
                <w:i/>
                <w:sz w:val="22"/>
                <w:szCs w:val="22"/>
              </w:rPr>
            </w:pPr>
          </w:p>
        </w:tc>
        <w:tc>
          <w:tcPr>
            <w:tcW w:w="7164" w:type="dxa"/>
          </w:tcPr>
          <w:p w14:paraId="0E8F16BD" w14:textId="77777777" w:rsidR="001C08A5" w:rsidRDefault="00000000">
            <w:pPr>
              <w:jc w:val="both"/>
              <w:rPr>
                <w:i/>
                <w:sz w:val="22"/>
                <w:szCs w:val="22"/>
              </w:rPr>
            </w:pPr>
            <w:r>
              <w:rPr>
                <w:i/>
                <w:sz w:val="22"/>
                <w:szCs w:val="22"/>
                <w:lang w:val="en-GB"/>
              </w:rPr>
              <w:t>Stingătoare mobile de incendiu. Partea 2: Cerinţe pentru construcţia, rezistenţa la presiune şi încercări mecanice pentru stingătoare, cu o presiune maximă admisibilă mai mică sau egală cu 30 bari, conforme cu cerinţele EN 1866-1</w:t>
            </w:r>
          </w:p>
        </w:tc>
      </w:tr>
      <w:tr w:rsidR="001C08A5" w14:paraId="2091F0F2" w14:textId="77777777">
        <w:tc>
          <w:tcPr>
            <w:tcW w:w="664" w:type="dxa"/>
          </w:tcPr>
          <w:p w14:paraId="0DC9697E" w14:textId="77777777" w:rsidR="001C08A5" w:rsidRDefault="001C08A5">
            <w:pPr>
              <w:numPr>
                <w:ilvl w:val="0"/>
                <w:numId w:val="113"/>
              </w:numPr>
              <w:rPr>
                <w:i/>
                <w:sz w:val="22"/>
                <w:szCs w:val="22"/>
              </w:rPr>
            </w:pPr>
          </w:p>
        </w:tc>
        <w:tc>
          <w:tcPr>
            <w:tcW w:w="1778" w:type="dxa"/>
          </w:tcPr>
          <w:p w14:paraId="02E0AC9E" w14:textId="77777777" w:rsidR="001C08A5" w:rsidRDefault="00000000">
            <w:pPr>
              <w:jc w:val="both"/>
              <w:rPr>
                <w:b/>
                <w:bCs/>
                <w:i/>
                <w:sz w:val="22"/>
                <w:szCs w:val="22"/>
                <w:lang w:val="en-GB"/>
              </w:rPr>
            </w:pPr>
            <w:hyperlink r:id="rId680" w:history="1">
              <w:r>
                <w:rPr>
                  <w:b/>
                  <w:bCs/>
                  <w:i/>
                  <w:sz w:val="22"/>
                  <w:szCs w:val="22"/>
                  <w:lang w:val="en-GB"/>
                </w:rPr>
                <w:t>SR EN 1866-3</w:t>
              </w:r>
            </w:hyperlink>
          </w:p>
          <w:p w14:paraId="004AD277" w14:textId="77777777" w:rsidR="001C08A5" w:rsidRDefault="001C08A5">
            <w:pPr>
              <w:rPr>
                <w:b/>
                <w:bCs/>
                <w:i/>
                <w:sz w:val="22"/>
                <w:szCs w:val="22"/>
              </w:rPr>
            </w:pPr>
          </w:p>
        </w:tc>
        <w:tc>
          <w:tcPr>
            <w:tcW w:w="7164" w:type="dxa"/>
          </w:tcPr>
          <w:p w14:paraId="5178C106" w14:textId="77777777" w:rsidR="001C08A5" w:rsidRDefault="00000000">
            <w:pPr>
              <w:jc w:val="both"/>
              <w:rPr>
                <w:i/>
                <w:sz w:val="22"/>
                <w:szCs w:val="22"/>
              </w:rPr>
            </w:pPr>
            <w:r>
              <w:rPr>
                <w:i/>
                <w:sz w:val="22"/>
                <w:szCs w:val="22"/>
                <w:lang w:val="en-GB"/>
              </w:rPr>
              <w:t>Stingătoare mobile de incendiu. Partea 3: Cerinţe de asamblare, de construcţie şi de rezistenţă la presiune a stingătoarelor cu dioxid de carbon conforme cu cerinţele din EN 1866-1</w:t>
            </w:r>
          </w:p>
        </w:tc>
      </w:tr>
      <w:tr w:rsidR="001C08A5" w14:paraId="7B5777BF" w14:textId="77777777">
        <w:tc>
          <w:tcPr>
            <w:tcW w:w="664" w:type="dxa"/>
          </w:tcPr>
          <w:p w14:paraId="19D54178" w14:textId="77777777" w:rsidR="001C08A5" w:rsidRDefault="001C08A5">
            <w:pPr>
              <w:numPr>
                <w:ilvl w:val="0"/>
                <w:numId w:val="113"/>
              </w:numPr>
              <w:rPr>
                <w:i/>
                <w:sz w:val="22"/>
                <w:szCs w:val="22"/>
              </w:rPr>
            </w:pPr>
          </w:p>
        </w:tc>
        <w:tc>
          <w:tcPr>
            <w:tcW w:w="1778" w:type="dxa"/>
          </w:tcPr>
          <w:p w14:paraId="253D4BFF" w14:textId="77777777" w:rsidR="001C08A5" w:rsidRDefault="00000000">
            <w:pPr>
              <w:jc w:val="both"/>
              <w:rPr>
                <w:b/>
                <w:bCs/>
                <w:i/>
                <w:sz w:val="22"/>
                <w:szCs w:val="22"/>
                <w:lang w:val="en-GB"/>
              </w:rPr>
            </w:pPr>
            <w:hyperlink r:id="rId681" w:history="1">
              <w:r>
                <w:rPr>
                  <w:b/>
                  <w:bCs/>
                  <w:i/>
                  <w:sz w:val="22"/>
                  <w:szCs w:val="22"/>
                  <w:lang w:val="en-GB"/>
                </w:rPr>
                <w:t>SR ISO 8421-6</w:t>
              </w:r>
            </w:hyperlink>
          </w:p>
          <w:p w14:paraId="3B994057" w14:textId="77777777" w:rsidR="001C08A5" w:rsidRDefault="001C08A5">
            <w:pPr>
              <w:rPr>
                <w:b/>
                <w:bCs/>
                <w:i/>
                <w:sz w:val="22"/>
                <w:szCs w:val="22"/>
              </w:rPr>
            </w:pPr>
          </w:p>
        </w:tc>
        <w:tc>
          <w:tcPr>
            <w:tcW w:w="7164" w:type="dxa"/>
          </w:tcPr>
          <w:p w14:paraId="0146271F" w14:textId="77777777" w:rsidR="001C08A5" w:rsidRDefault="00000000">
            <w:pPr>
              <w:jc w:val="both"/>
              <w:rPr>
                <w:i/>
                <w:sz w:val="22"/>
                <w:szCs w:val="22"/>
              </w:rPr>
            </w:pPr>
            <w:r>
              <w:rPr>
                <w:i/>
                <w:sz w:val="22"/>
                <w:szCs w:val="22"/>
                <w:lang w:val="en-GB"/>
              </w:rPr>
              <w:t>Protecţia împotriva incendiilor. Terminologie. Partea 6: Evacuare şi mijloace de evacuare</w:t>
            </w:r>
          </w:p>
        </w:tc>
      </w:tr>
      <w:tr w:rsidR="001C08A5" w14:paraId="1594252D" w14:textId="77777777">
        <w:tc>
          <w:tcPr>
            <w:tcW w:w="664" w:type="dxa"/>
          </w:tcPr>
          <w:p w14:paraId="6599D006" w14:textId="77777777" w:rsidR="001C08A5" w:rsidRDefault="001C08A5">
            <w:pPr>
              <w:numPr>
                <w:ilvl w:val="0"/>
                <w:numId w:val="113"/>
              </w:numPr>
              <w:rPr>
                <w:i/>
                <w:sz w:val="22"/>
                <w:szCs w:val="22"/>
              </w:rPr>
            </w:pPr>
          </w:p>
        </w:tc>
        <w:tc>
          <w:tcPr>
            <w:tcW w:w="1778" w:type="dxa"/>
          </w:tcPr>
          <w:p w14:paraId="58CE624D" w14:textId="77777777" w:rsidR="001C08A5" w:rsidRDefault="00000000">
            <w:pPr>
              <w:jc w:val="both"/>
              <w:rPr>
                <w:b/>
                <w:bCs/>
                <w:i/>
                <w:sz w:val="22"/>
                <w:szCs w:val="22"/>
                <w:lang w:val="en-GB"/>
              </w:rPr>
            </w:pPr>
            <w:hyperlink r:id="rId682" w:history="1">
              <w:r>
                <w:rPr>
                  <w:b/>
                  <w:bCs/>
                  <w:i/>
                  <w:sz w:val="22"/>
                  <w:szCs w:val="22"/>
                  <w:lang w:val="en-GB"/>
                </w:rPr>
                <w:t>SR ISO 8421-7</w:t>
              </w:r>
            </w:hyperlink>
          </w:p>
          <w:p w14:paraId="009E01F0" w14:textId="77777777" w:rsidR="001C08A5" w:rsidRDefault="001C08A5">
            <w:pPr>
              <w:jc w:val="both"/>
              <w:rPr>
                <w:b/>
                <w:bCs/>
                <w:i/>
                <w:sz w:val="22"/>
                <w:szCs w:val="22"/>
                <w:lang w:val="en-GB"/>
              </w:rPr>
            </w:pPr>
          </w:p>
        </w:tc>
        <w:tc>
          <w:tcPr>
            <w:tcW w:w="7164" w:type="dxa"/>
          </w:tcPr>
          <w:p w14:paraId="48BCFF1F" w14:textId="77777777" w:rsidR="001C08A5" w:rsidRDefault="00000000">
            <w:pPr>
              <w:jc w:val="both"/>
              <w:rPr>
                <w:i/>
                <w:sz w:val="22"/>
                <w:szCs w:val="22"/>
                <w:lang w:val="en-GB"/>
              </w:rPr>
            </w:pPr>
            <w:r>
              <w:rPr>
                <w:i/>
                <w:sz w:val="22"/>
                <w:szCs w:val="22"/>
                <w:lang w:val="en-GB"/>
              </w:rPr>
              <w:t xml:space="preserve">Protecţia împotriva incendiilor. Terminologie. Partea 7: Mijloace de detectare şi de inhibare </w:t>
            </w:r>
            <w:proofErr w:type="gramStart"/>
            <w:r>
              <w:rPr>
                <w:i/>
                <w:sz w:val="22"/>
                <w:szCs w:val="22"/>
                <w:lang w:val="en-GB"/>
              </w:rPr>
              <w:t>a</w:t>
            </w:r>
            <w:proofErr w:type="gramEnd"/>
            <w:r>
              <w:rPr>
                <w:i/>
                <w:sz w:val="22"/>
                <w:szCs w:val="22"/>
                <w:lang w:val="en-GB"/>
              </w:rPr>
              <w:t xml:space="preserve"> exploziilor</w:t>
            </w:r>
          </w:p>
        </w:tc>
      </w:tr>
      <w:tr w:rsidR="001C08A5" w14:paraId="64FE7796" w14:textId="77777777">
        <w:tc>
          <w:tcPr>
            <w:tcW w:w="664" w:type="dxa"/>
          </w:tcPr>
          <w:p w14:paraId="6F62F747" w14:textId="77777777" w:rsidR="001C08A5" w:rsidRDefault="001C08A5">
            <w:pPr>
              <w:numPr>
                <w:ilvl w:val="0"/>
                <w:numId w:val="113"/>
              </w:numPr>
              <w:rPr>
                <w:i/>
                <w:sz w:val="22"/>
                <w:szCs w:val="22"/>
              </w:rPr>
            </w:pPr>
          </w:p>
        </w:tc>
        <w:tc>
          <w:tcPr>
            <w:tcW w:w="1778" w:type="dxa"/>
          </w:tcPr>
          <w:p w14:paraId="42B54705" w14:textId="77777777" w:rsidR="001C08A5" w:rsidRDefault="00000000">
            <w:pPr>
              <w:jc w:val="both"/>
              <w:rPr>
                <w:b/>
                <w:bCs/>
                <w:i/>
                <w:sz w:val="22"/>
                <w:szCs w:val="22"/>
                <w:lang w:val="en-GB"/>
              </w:rPr>
            </w:pPr>
            <w:hyperlink r:id="rId683" w:history="1">
              <w:r>
                <w:rPr>
                  <w:b/>
                  <w:bCs/>
                  <w:i/>
                  <w:sz w:val="22"/>
                  <w:szCs w:val="22"/>
                  <w:lang w:val="en-GB"/>
                </w:rPr>
                <w:t>SR 10903-2</w:t>
              </w:r>
            </w:hyperlink>
          </w:p>
          <w:p w14:paraId="3F7257C5" w14:textId="77777777" w:rsidR="001C08A5" w:rsidRDefault="001C08A5">
            <w:pPr>
              <w:jc w:val="both"/>
              <w:rPr>
                <w:b/>
                <w:bCs/>
                <w:i/>
                <w:sz w:val="22"/>
                <w:szCs w:val="22"/>
                <w:lang w:val="en-GB"/>
              </w:rPr>
            </w:pPr>
          </w:p>
        </w:tc>
        <w:tc>
          <w:tcPr>
            <w:tcW w:w="7164" w:type="dxa"/>
          </w:tcPr>
          <w:p w14:paraId="209DE8F3" w14:textId="77777777" w:rsidR="001C08A5" w:rsidRDefault="00000000">
            <w:pPr>
              <w:jc w:val="both"/>
              <w:rPr>
                <w:i/>
                <w:sz w:val="22"/>
                <w:szCs w:val="22"/>
                <w:lang w:val="en-GB"/>
              </w:rPr>
            </w:pPr>
            <w:r>
              <w:rPr>
                <w:i/>
                <w:sz w:val="22"/>
                <w:szCs w:val="22"/>
                <w:lang w:val="en-GB"/>
              </w:rPr>
              <w:t>Măsuri de protecţie contra incendiilor. Determinarea sarcinii termice în construcţii</w:t>
            </w:r>
          </w:p>
        </w:tc>
      </w:tr>
      <w:tr w:rsidR="001C08A5" w14:paraId="491E4216" w14:textId="77777777">
        <w:tc>
          <w:tcPr>
            <w:tcW w:w="664" w:type="dxa"/>
          </w:tcPr>
          <w:p w14:paraId="113E9002" w14:textId="77777777" w:rsidR="001C08A5" w:rsidRDefault="001C08A5">
            <w:pPr>
              <w:numPr>
                <w:ilvl w:val="0"/>
                <w:numId w:val="113"/>
              </w:numPr>
              <w:rPr>
                <w:i/>
                <w:sz w:val="22"/>
                <w:szCs w:val="22"/>
              </w:rPr>
            </w:pPr>
          </w:p>
        </w:tc>
        <w:tc>
          <w:tcPr>
            <w:tcW w:w="1778" w:type="dxa"/>
          </w:tcPr>
          <w:p w14:paraId="28276063" w14:textId="77777777" w:rsidR="001C08A5" w:rsidRDefault="00000000">
            <w:pPr>
              <w:rPr>
                <w:b/>
                <w:bCs/>
                <w:i/>
                <w:sz w:val="22"/>
                <w:szCs w:val="22"/>
                <w:lang w:val="en-GB"/>
              </w:rPr>
            </w:pPr>
            <w:r>
              <w:rPr>
                <w:rFonts w:eastAsia="ArialMT"/>
                <w:b/>
                <w:bCs/>
                <w:i/>
                <w:sz w:val="22"/>
                <w:szCs w:val="22"/>
                <w:lang w:val="en-GB"/>
              </w:rPr>
              <w:t>SR EN 179</w:t>
            </w:r>
          </w:p>
        </w:tc>
        <w:tc>
          <w:tcPr>
            <w:tcW w:w="7164" w:type="dxa"/>
          </w:tcPr>
          <w:p w14:paraId="09A990A2" w14:textId="77777777" w:rsidR="001C08A5" w:rsidRDefault="00000000">
            <w:pPr>
              <w:rPr>
                <w:i/>
                <w:sz w:val="22"/>
                <w:szCs w:val="22"/>
                <w:lang w:val="en-GB"/>
              </w:rPr>
            </w:pPr>
            <w:r>
              <w:rPr>
                <w:i/>
                <w:sz w:val="22"/>
                <w:szCs w:val="22"/>
              </w:rPr>
              <w:t>Feronerie pentru clădiri. Dispozitive pentru ieșiri de urgență acționate printr-un mâner sau o placă de împingere, destinate utilizării pe căile de evacuare. Cerințe și metode de încercare</w:t>
            </w:r>
          </w:p>
        </w:tc>
      </w:tr>
      <w:tr w:rsidR="001C08A5" w14:paraId="0A23B511" w14:textId="77777777">
        <w:tc>
          <w:tcPr>
            <w:tcW w:w="664" w:type="dxa"/>
          </w:tcPr>
          <w:p w14:paraId="28DA186A" w14:textId="77777777" w:rsidR="001C08A5" w:rsidRDefault="001C08A5">
            <w:pPr>
              <w:numPr>
                <w:ilvl w:val="0"/>
                <w:numId w:val="113"/>
              </w:numPr>
              <w:rPr>
                <w:i/>
                <w:sz w:val="22"/>
                <w:szCs w:val="22"/>
              </w:rPr>
            </w:pPr>
          </w:p>
        </w:tc>
        <w:tc>
          <w:tcPr>
            <w:tcW w:w="1778" w:type="dxa"/>
          </w:tcPr>
          <w:p w14:paraId="51E76CDA" w14:textId="77777777" w:rsidR="001C08A5" w:rsidRDefault="00000000">
            <w:pPr>
              <w:rPr>
                <w:rFonts w:eastAsia="ArialMT"/>
                <w:b/>
                <w:bCs/>
                <w:i/>
                <w:sz w:val="22"/>
                <w:szCs w:val="22"/>
                <w:lang w:val="en-GB"/>
              </w:rPr>
            </w:pPr>
            <w:r>
              <w:rPr>
                <w:rFonts w:eastAsia="ArialMT"/>
                <w:b/>
                <w:bCs/>
                <w:i/>
                <w:sz w:val="22"/>
                <w:szCs w:val="22"/>
                <w:lang w:val="en-GB"/>
              </w:rPr>
              <w:t>SR EN 1125</w:t>
            </w:r>
          </w:p>
          <w:p w14:paraId="3647D8F0" w14:textId="77777777" w:rsidR="001C08A5" w:rsidRDefault="001C08A5">
            <w:pPr>
              <w:jc w:val="both"/>
              <w:rPr>
                <w:b/>
                <w:bCs/>
                <w:i/>
                <w:sz w:val="22"/>
                <w:szCs w:val="22"/>
                <w:lang w:val="en-GB"/>
              </w:rPr>
            </w:pPr>
          </w:p>
        </w:tc>
        <w:tc>
          <w:tcPr>
            <w:tcW w:w="7164" w:type="dxa"/>
          </w:tcPr>
          <w:p w14:paraId="7D5A3EAF" w14:textId="77777777" w:rsidR="001C08A5" w:rsidRDefault="00000000">
            <w:pPr>
              <w:rPr>
                <w:i/>
                <w:sz w:val="22"/>
                <w:szCs w:val="22"/>
                <w:lang w:val="en-GB"/>
              </w:rPr>
            </w:pPr>
            <w:r>
              <w:rPr>
                <w:i/>
                <w:sz w:val="22"/>
                <w:szCs w:val="22"/>
              </w:rPr>
              <w:t>Feronerie pentru clădiri. Dispozitive de ieșire antipanică acționate printr-o bară orizontală destinate utilizării pe căi de evacuare. Cerințe și metode de încercare</w:t>
            </w:r>
          </w:p>
        </w:tc>
      </w:tr>
      <w:tr w:rsidR="001C08A5" w14:paraId="706D449D" w14:textId="77777777">
        <w:tc>
          <w:tcPr>
            <w:tcW w:w="664" w:type="dxa"/>
          </w:tcPr>
          <w:p w14:paraId="16E5F976" w14:textId="77777777" w:rsidR="001C08A5" w:rsidRDefault="001C08A5">
            <w:pPr>
              <w:numPr>
                <w:ilvl w:val="0"/>
                <w:numId w:val="113"/>
              </w:numPr>
              <w:rPr>
                <w:i/>
                <w:sz w:val="22"/>
                <w:szCs w:val="22"/>
              </w:rPr>
            </w:pPr>
          </w:p>
        </w:tc>
        <w:tc>
          <w:tcPr>
            <w:tcW w:w="1778" w:type="dxa"/>
          </w:tcPr>
          <w:p w14:paraId="0F9FE4C2" w14:textId="77777777" w:rsidR="001C08A5" w:rsidRDefault="00000000">
            <w:pPr>
              <w:jc w:val="both"/>
              <w:rPr>
                <w:b/>
                <w:bCs/>
                <w:i/>
                <w:sz w:val="22"/>
                <w:szCs w:val="22"/>
              </w:rPr>
            </w:pPr>
            <w:r>
              <w:rPr>
                <w:b/>
                <w:bCs/>
                <w:i/>
                <w:sz w:val="22"/>
                <w:szCs w:val="22"/>
              </w:rPr>
              <w:t>SR EN 61215-1-2</w:t>
            </w:r>
          </w:p>
          <w:p w14:paraId="0417A57F" w14:textId="77777777" w:rsidR="001C08A5" w:rsidRDefault="001C08A5">
            <w:pPr>
              <w:jc w:val="both"/>
              <w:rPr>
                <w:b/>
                <w:bCs/>
                <w:i/>
                <w:sz w:val="22"/>
                <w:szCs w:val="22"/>
                <w:lang w:val="en-GB"/>
              </w:rPr>
            </w:pPr>
          </w:p>
        </w:tc>
        <w:tc>
          <w:tcPr>
            <w:tcW w:w="7164" w:type="dxa"/>
          </w:tcPr>
          <w:p w14:paraId="1A34A366" w14:textId="77777777" w:rsidR="001C08A5" w:rsidRDefault="00000000">
            <w:pPr>
              <w:jc w:val="both"/>
              <w:rPr>
                <w:i/>
                <w:sz w:val="22"/>
                <w:szCs w:val="22"/>
                <w:lang w:val="en-GB"/>
              </w:rPr>
            </w:pPr>
            <w:r>
              <w:rPr>
                <w:i/>
                <w:sz w:val="22"/>
                <w:szCs w:val="22"/>
              </w:rPr>
              <w:t>Module fotovoltaice (PV). Calificarea concepţiei şi aprobarea de tip. Partea 1-2: Cerinţe speciale de încercare a modulelor fotovoltaice (PV) bazate pe telurură de cadmiu (CdTe) în straturi subţiri</w:t>
            </w:r>
          </w:p>
        </w:tc>
      </w:tr>
      <w:tr w:rsidR="001C08A5" w14:paraId="3468C0FC" w14:textId="77777777">
        <w:tc>
          <w:tcPr>
            <w:tcW w:w="664" w:type="dxa"/>
          </w:tcPr>
          <w:p w14:paraId="2AEE1C98" w14:textId="77777777" w:rsidR="001C08A5" w:rsidRDefault="001C08A5">
            <w:pPr>
              <w:numPr>
                <w:ilvl w:val="0"/>
                <w:numId w:val="113"/>
              </w:numPr>
              <w:rPr>
                <w:i/>
                <w:sz w:val="22"/>
                <w:szCs w:val="22"/>
              </w:rPr>
            </w:pPr>
          </w:p>
        </w:tc>
        <w:tc>
          <w:tcPr>
            <w:tcW w:w="1778" w:type="dxa"/>
          </w:tcPr>
          <w:p w14:paraId="0BCBB9E1" w14:textId="77777777" w:rsidR="001C08A5" w:rsidRDefault="00000000">
            <w:pPr>
              <w:jc w:val="both"/>
              <w:rPr>
                <w:b/>
                <w:bCs/>
                <w:i/>
                <w:sz w:val="22"/>
                <w:szCs w:val="22"/>
              </w:rPr>
            </w:pPr>
            <w:r>
              <w:rPr>
                <w:b/>
                <w:bCs/>
                <w:i/>
                <w:sz w:val="22"/>
                <w:szCs w:val="22"/>
              </w:rPr>
              <w:t>SR EN 61215-1-3</w:t>
            </w:r>
          </w:p>
          <w:p w14:paraId="21A6AB3B" w14:textId="77777777" w:rsidR="001C08A5" w:rsidRDefault="001C08A5">
            <w:pPr>
              <w:jc w:val="both"/>
              <w:rPr>
                <w:b/>
                <w:bCs/>
                <w:i/>
                <w:sz w:val="22"/>
                <w:szCs w:val="22"/>
                <w:lang w:val="en-GB"/>
              </w:rPr>
            </w:pPr>
          </w:p>
        </w:tc>
        <w:tc>
          <w:tcPr>
            <w:tcW w:w="7164" w:type="dxa"/>
          </w:tcPr>
          <w:p w14:paraId="1203BCA5" w14:textId="77777777" w:rsidR="001C08A5" w:rsidRDefault="00000000">
            <w:pPr>
              <w:jc w:val="both"/>
              <w:rPr>
                <w:i/>
                <w:sz w:val="22"/>
                <w:szCs w:val="22"/>
                <w:lang w:val="en-GB"/>
              </w:rPr>
            </w:pPr>
            <w:r>
              <w:rPr>
                <w:i/>
                <w:sz w:val="22"/>
                <w:szCs w:val="22"/>
              </w:rPr>
              <w:t>Module fotovoltaice (PV) - Calificarea concepţiei şi aprobarea de tip. Partea 1-3: Cerinţe speciale de încercare a modulelor fotovoltaice (PV) bazate pe siliciu amorf în straturi subţiri</w:t>
            </w:r>
          </w:p>
        </w:tc>
      </w:tr>
      <w:tr w:rsidR="001C08A5" w14:paraId="0C8C969E" w14:textId="77777777">
        <w:tc>
          <w:tcPr>
            <w:tcW w:w="664" w:type="dxa"/>
          </w:tcPr>
          <w:p w14:paraId="31C0627B" w14:textId="77777777" w:rsidR="001C08A5" w:rsidRDefault="001C08A5">
            <w:pPr>
              <w:numPr>
                <w:ilvl w:val="0"/>
                <w:numId w:val="113"/>
              </w:numPr>
              <w:rPr>
                <w:i/>
                <w:sz w:val="22"/>
                <w:szCs w:val="22"/>
              </w:rPr>
            </w:pPr>
          </w:p>
        </w:tc>
        <w:tc>
          <w:tcPr>
            <w:tcW w:w="1778" w:type="dxa"/>
          </w:tcPr>
          <w:p w14:paraId="3C8EE7D8" w14:textId="77777777" w:rsidR="001C08A5" w:rsidRDefault="00000000">
            <w:pPr>
              <w:jc w:val="both"/>
              <w:rPr>
                <w:b/>
                <w:bCs/>
                <w:i/>
                <w:sz w:val="22"/>
                <w:szCs w:val="22"/>
              </w:rPr>
            </w:pPr>
            <w:r>
              <w:rPr>
                <w:b/>
                <w:bCs/>
                <w:i/>
                <w:sz w:val="22"/>
                <w:szCs w:val="22"/>
              </w:rPr>
              <w:t>SR EN 61215-1-4</w:t>
            </w:r>
          </w:p>
          <w:p w14:paraId="5161172B" w14:textId="77777777" w:rsidR="001C08A5" w:rsidRDefault="001C08A5">
            <w:pPr>
              <w:jc w:val="both"/>
              <w:rPr>
                <w:b/>
                <w:bCs/>
                <w:i/>
                <w:sz w:val="22"/>
                <w:szCs w:val="22"/>
                <w:lang w:val="en-GB"/>
              </w:rPr>
            </w:pPr>
          </w:p>
        </w:tc>
        <w:tc>
          <w:tcPr>
            <w:tcW w:w="7164" w:type="dxa"/>
          </w:tcPr>
          <w:p w14:paraId="14C2B453" w14:textId="77777777" w:rsidR="001C08A5" w:rsidRDefault="00000000">
            <w:pPr>
              <w:jc w:val="both"/>
              <w:rPr>
                <w:i/>
                <w:sz w:val="22"/>
                <w:szCs w:val="22"/>
                <w:lang w:val="en-GB"/>
              </w:rPr>
            </w:pPr>
            <w:r>
              <w:rPr>
                <w:i/>
                <w:sz w:val="22"/>
                <w:szCs w:val="22"/>
              </w:rPr>
              <w:t>Module fotovoltaice (PV). Calificarea concepţiei şi aprobarea de tip. Partea 1-4: Cerinţe speciale de încercare a modulelor fotovoltaice (PV) bazate pe Cu(In,GA)(S,Se)2 în straturi subţiri</w:t>
            </w:r>
          </w:p>
        </w:tc>
      </w:tr>
      <w:tr w:rsidR="001C08A5" w14:paraId="4F620658" w14:textId="77777777">
        <w:tc>
          <w:tcPr>
            <w:tcW w:w="664" w:type="dxa"/>
          </w:tcPr>
          <w:p w14:paraId="087AE34C" w14:textId="77777777" w:rsidR="001C08A5" w:rsidRDefault="001C08A5">
            <w:pPr>
              <w:numPr>
                <w:ilvl w:val="0"/>
                <w:numId w:val="113"/>
              </w:numPr>
              <w:rPr>
                <w:i/>
                <w:sz w:val="22"/>
                <w:szCs w:val="22"/>
              </w:rPr>
            </w:pPr>
          </w:p>
        </w:tc>
        <w:tc>
          <w:tcPr>
            <w:tcW w:w="1778" w:type="dxa"/>
          </w:tcPr>
          <w:p w14:paraId="6D6EA16A" w14:textId="77777777" w:rsidR="001C08A5" w:rsidRDefault="00000000">
            <w:pPr>
              <w:jc w:val="both"/>
              <w:rPr>
                <w:b/>
                <w:bCs/>
                <w:i/>
                <w:sz w:val="22"/>
                <w:szCs w:val="22"/>
              </w:rPr>
            </w:pPr>
            <w:r>
              <w:rPr>
                <w:b/>
                <w:bCs/>
                <w:i/>
                <w:sz w:val="22"/>
                <w:szCs w:val="22"/>
              </w:rPr>
              <w:t>SR EN 61215-2</w:t>
            </w:r>
          </w:p>
          <w:p w14:paraId="4833524C" w14:textId="77777777" w:rsidR="001C08A5" w:rsidRDefault="001C08A5">
            <w:pPr>
              <w:jc w:val="both"/>
              <w:rPr>
                <w:b/>
                <w:bCs/>
                <w:i/>
                <w:sz w:val="22"/>
                <w:szCs w:val="22"/>
                <w:lang w:val="en-GB"/>
              </w:rPr>
            </w:pPr>
          </w:p>
        </w:tc>
        <w:tc>
          <w:tcPr>
            <w:tcW w:w="7164" w:type="dxa"/>
          </w:tcPr>
          <w:p w14:paraId="73E911EF" w14:textId="77777777" w:rsidR="001C08A5" w:rsidRDefault="00000000">
            <w:pPr>
              <w:jc w:val="both"/>
              <w:rPr>
                <w:i/>
                <w:sz w:val="22"/>
                <w:szCs w:val="22"/>
                <w:lang w:val="en-GB"/>
              </w:rPr>
            </w:pPr>
            <w:r>
              <w:rPr>
                <w:i/>
                <w:sz w:val="22"/>
                <w:szCs w:val="22"/>
              </w:rPr>
              <w:t>Module fotovoltaice (PV) pentru aplicaţii terestre. Calificarea concepţiei şi omologare. Partea 2: Proceduri de încercare</w:t>
            </w:r>
          </w:p>
        </w:tc>
      </w:tr>
      <w:tr w:rsidR="001C08A5" w14:paraId="0F8BAA91" w14:textId="77777777">
        <w:tc>
          <w:tcPr>
            <w:tcW w:w="664" w:type="dxa"/>
          </w:tcPr>
          <w:p w14:paraId="7E9A3602" w14:textId="77777777" w:rsidR="001C08A5" w:rsidRDefault="001C08A5">
            <w:pPr>
              <w:numPr>
                <w:ilvl w:val="0"/>
                <w:numId w:val="113"/>
              </w:numPr>
              <w:rPr>
                <w:i/>
                <w:sz w:val="22"/>
                <w:szCs w:val="22"/>
              </w:rPr>
            </w:pPr>
          </w:p>
        </w:tc>
        <w:tc>
          <w:tcPr>
            <w:tcW w:w="1778" w:type="dxa"/>
          </w:tcPr>
          <w:p w14:paraId="7D16D4F9" w14:textId="77777777" w:rsidR="001C08A5" w:rsidRDefault="00000000">
            <w:pPr>
              <w:jc w:val="both"/>
              <w:rPr>
                <w:b/>
                <w:bCs/>
                <w:i/>
                <w:sz w:val="22"/>
                <w:szCs w:val="22"/>
              </w:rPr>
            </w:pPr>
            <w:r>
              <w:rPr>
                <w:b/>
                <w:bCs/>
                <w:i/>
                <w:sz w:val="22"/>
                <w:szCs w:val="22"/>
              </w:rPr>
              <w:t>SR EN 62108</w:t>
            </w:r>
          </w:p>
          <w:p w14:paraId="6FF5442C" w14:textId="77777777" w:rsidR="001C08A5" w:rsidRDefault="001C08A5">
            <w:pPr>
              <w:jc w:val="both"/>
              <w:rPr>
                <w:b/>
                <w:bCs/>
                <w:i/>
                <w:sz w:val="22"/>
                <w:szCs w:val="22"/>
                <w:lang w:val="en-GB"/>
              </w:rPr>
            </w:pPr>
          </w:p>
        </w:tc>
        <w:tc>
          <w:tcPr>
            <w:tcW w:w="7164" w:type="dxa"/>
          </w:tcPr>
          <w:p w14:paraId="2F454598" w14:textId="77777777" w:rsidR="001C08A5" w:rsidRDefault="00000000">
            <w:pPr>
              <w:jc w:val="both"/>
              <w:rPr>
                <w:i/>
                <w:sz w:val="22"/>
                <w:szCs w:val="22"/>
                <w:lang w:val="en-GB"/>
              </w:rPr>
            </w:pPr>
            <w:r>
              <w:rPr>
                <w:i/>
                <w:sz w:val="22"/>
                <w:szCs w:val="22"/>
              </w:rPr>
              <w:t>Module şi ansambluri fotovoltaice concentratoare - Calificarea proiectului şi omologare</w:t>
            </w:r>
          </w:p>
        </w:tc>
      </w:tr>
      <w:tr w:rsidR="001C08A5" w14:paraId="53F91823" w14:textId="77777777">
        <w:tc>
          <w:tcPr>
            <w:tcW w:w="664" w:type="dxa"/>
          </w:tcPr>
          <w:p w14:paraId="7C1B480D" w14:textId="77777777" w:rsidR="001C08A5" w:rsidRDefault="001C08A5">
            <w:pPr>
              <w:numPr>
                <w:ilvl w:val="0"/>
                <w:numId w:val="113"/>
              </w:numPr>
              <w:rPr>
                <w:i/>
                <w:sz w:val="22"/>
                <w:szCs w:val="22"/>
              </w:rPr>
            </w:pPr>
          </w:p>
        </w:tc>
        <w:tc>
          <w:tcPr>
            <w:tcW w:w="1778" w:type="dxa"/>
          </w:tcPr>
          <w:p w14:paraId="3DA81096" w14:textId="77777777" w:rsidR="001C08A5" w:rsidRDefault="00000000">
            <w:pPr>
              <w:jc w:val="both"/>
              <w:rPr>
                <w:b/>
                <w:bCs/>
                <w:i/>
                <w:sz w:val="22"/>
                <w:szCs w:val="22"/>
              </w:rPr>
            </w:pPr>
            <w:r>
              <w:rPr>
                <w:b/>
                <w:bCs/>
                <w:i/>
                <w:sz w:val="22"/>
                <w:szCs w:val="22"/>
              </w:rPr>
              <w:t>SR EN 62446-1</w:t>
            </w:r>
          </w:p>
          <w:p w14:paraId="739119B0" w14:textId="77777777" w:rsidR="001C08A5" w:rsidRDefault="001C08A5">
            <w:pPr>
              <w:jc w:val="both"/>
              <w:rPr>
                <w:b/>
                <w:bCs/>
                <w:i/>
                <w:sz w:val="22"/>
                <w:szCs w:val="22"/>
                <w:lang w:val="en-GB"/>
              </w:rPr>
            </w:pPr>
          </w:p>
        </w:tc>
        <w:tc>
          <w:tcPr>
            <w:tcW w:w="7164" w:type="dxa"/>
          </w:tcPr>
          <w:p w14:paraId="209374EB" w14:textId="77777777" w:rsidR="001C08A5" w:rsidRDefault="00000000">
            <w:pPr>
              <w:jc w:val="both"/>
              <w:rPr>
                <w:i/>
                <w:sz w:val="22"/>
                <w:szCs w:val="22"/>
                <w:lang w:val="en-GB"/>
              </w:rPr>
            </w:pPr>
            <w:r>
              <w:rPr>
                <w:i/>
                <w:sz w:val="22"/>
                <w:szCs w:val="22"/>
              </w:rPr>
              <w:t>Sisteme fotovoltaice (PV). Cerinţe pentru încercări, documentaţie şi mentenanţă. Partea 1: Sisteme conectate la reţea. Documentaţie, încercări de punere în funcţiune şi inspecţie</w:t>
            </w:r>
          </w:p>
        </w:tc>
      </w:tr>
      <w:tr w:rsidR="001C08A5" w14:paraId="43DC784C" w14:textId="77777777">
        <w:tc>
          <w:tcPr>
            <w:tcW w:w="664" w:type="dxa"/>
          </w:tcPr>
          <w:p w14:paraId="161FDC78" w14:textId="77777777" w:rsidR="001C08A5" w:rsidRDefault="001C08A5">
            <w:pPr>
              <w:numPr>
                <w:ilvl w:val="0"/>
                <w:numId w:val="113"/>
              </w:numPr>
              <w:rPr>
                <w:i/>
                <w:sz w:val="22"/>
                <w:szCs w:val="22"/>
              </w:rPr>
            </w:pPr>
          </w:p>
        </w:tc>
        <w:tc>
          <w:tcPr>
            <w:tcW w:w="1778" w:type="dxa"/>
          </w:tcPr>
          <w:p w14:paraId="5F59B4B2" w14:textId="77777777" w:rsidR="001C08A5" w:rsidRDefault="00000000">
            <w:pPr>
              <w:jc w:val="both"/>
              <w:rPr>
                <w:b/>
                <w:bCs/>
                <w:i/>
                <w:sz w:val="22"/>
                <w:szCs w:val="22"/>
              </w:rPr>
            </w:pPr>
            <w:r>
              <w:rPr>
                <w:b/>
                <w:bCs/>
                <w:i/>
                <w:sz w:val="22"/>
                <w:szCs w:val="22"/>
              </w:rPr>
              <w:t>SR EN IEC 62446-2</w:t>
            </w:r>
          </w:p>
          <w:p w14:paraId="0F75E6FC" w14:textId="77777777" w:rsidR="001C08A5" w:rsidRDefault="001C08A5">
            <w:pPr>
              <w:ind w:firstLine="720"/>
              <w:jc w:val="both"/>
              <w:rPr>
                <w:b/>
                <w:bCs/>
                <w:i/>
                <w:sz w:val="22"/>
                <w:szCs w:val="22"/>
                <w:lang w:val="en-GB"/>
              </w:rPr>
            </w:pPr>
          </w:p>
        </w:tc>
        <w:tc>
          <w:tcPr>
            <w:tcW w:w="7164" w:type="dxa"/>
          </w:tcPr>
          <w:p w14:paraId="392B0E9D" w14:textId="77777777" w:rsidR="001C08A5" w:rsidRDefault="00000000">
            <w:pPr>
              <w:jc w:val="both"/>
              <w:rPr>
                <w:i/>
                <w:sz w:val="22"/>
                <w:szCs w:val="22"/>
                <w:lang w:val="en-GB"/>
              </w:rPr>
            </w:pPr>
            <w:r>
              <w:rPr>
                <w:i/>
                <w:sz w:val="22"/>
                <w:szCs w:val="22"/>
              </w:rPr>
              <w:t>Sisteme fotovoltaice (PV). Cerințe pentru încercări, documentație și mentenanță. Partea 2: Sisteme conectate la rețea. Mentenanța sistemelor fotovoltaice</w:t>
            </w:r>
          </w:p>
        </w:tc>
      </w:tr>
      <w:tr w:rsidR="001C08A5" w14:paraId="05157796" w14:textId="77777777">
        <w:tc>
          <w:tcPr>
            <w:tcW w:w="664" w:type="dxa"/>
          </w:tcPr>
          <w:p w14:paraId="7BFFDE96" w14:textId="77777777" w:rsidR="001C08A5" w:rsidRDefault="001C08A5">
            <w:pPr>
              <w:numPr>
                <w:ilvl w:val="0"/>
                <w:numId w:val="113"/>
              </w:numPr>
              <w:rPr>
                <w:i/>
                <w:sz w:val="22"/>
                <w:szCs w:val="22"/>
              </w:rPr>
            </w:pPr>
          </w:p>
        </w:tc>
        <w:tc>
          <w:tcPr>
            <w:tcW w:w="1778" w:type="dxa"/>
          </w:tcPr>
          <w:p w14:paraId="220B1EAC" w14:textId="77777777" w:rsidR="001C08A5" w:rsidRDefault="00000000">
            <w:pPr>
              <w:jc w:val="both"/>
              <w:rPr>
                <w:b/>
                <w:bCs/>
                <w:i/>
                <w:sz w:val="22"/>
                <w:szCs w:val="22"/>
                <w:lang w:val="en-GB"/>
              </w:rPr>
            </w:pPr>
            <w:r>
              <w:rPr>
                <w:b/>
                <w:bCs/>
                <w:i/>
                <w:sz w:val="22"/>
                <w:szCs w:val="22"/>
                <w:lang w:val="en-GB"/>
              </w:rPr>
              <w:t>SR EN IEC 60904-10</w:t>
            </w:r>
          </w:p>
        </w:tc>
        <w:tc>
          <w:tcPr>
            <w:tcW w:w="7164" w:type="dxa"/>
          </w:tcPr>
          <w:p w14:paraId="1FA481D4" w14:textId="77777777" w:rsidR="001C08A5" w:rsidRDefault="00000000">
            <w:pPr>
              <w:jc w:val="both"/>
              <w:rPr>
                <w:i/>
                <w:sz w:val="22"/>
                <w:szCs w:val="22"/>
                <w:lang w:val="en-GB"/>
              </w:rPr>
            </w:pPr>
            <w:r>
              <w:rPr>
                <w:i/>
                <w:sz w:val="22"/>
                <w:szCs w:val="22"/>
                <w:lang w:val="en-GB"/>
              </w:rPr>
              <w:t>Dispozitive fotovoltaice. Partea 10: Metode de măsurare a dependenței liniare și a liniarităţii</w:t>
            </w:r>
          </w:p>
        </w:tc>
      </w:tr>
      <w:tr w:rsidR="001C08A5" w14:paraId="62C39575" w14:textId="77777777">
        <w:tc>
          <w:tcPr>
            <w:tcW w:w="664" w:type="dxa"/>
          </w:tcPr>
          <w:p w14:paraId="2399799B" w14:textId="77777777" w:rsidR="001C08A5" w:rsidRDefault="001C08A5">
            <w:pPr>
              <w:numPr>
                <w:ilvl w:val="0"/>
                <w:numId w:val="113"/>
              </w:numPr>
              <w:rPr>
                <w:i/>
                <w:sz w:val="22"/>
                <w:szCs w:val="22"/>
              </w:rPr>
            </w:pPr>
          </w:p>
        </w:tc>
        <w:tc>
          <w:tcPr>
            <w:tcW w:w="1778" w:type="dxa"/>
          </w:tcPr>
          <w:p w14:paraId="51DAE70E" w14:textId="77777777" w:rsidR="001C08A5" w:rsidRDefault="00000000">
            <w:pPr>
              <w:jc w:val="both"/>
              <w:rPr>
                <w:b/>
                <w:bCs/>
                <w:i/>
                <w:sz w:val="22"/>
                <w:szCs w:val="22"/>
                <w:lang w:val="en-GB"/>
              </w:rPr>
            </w:pPr>
            <w:r>
              <w:rPr>
                <w:b/>
                <w:bCs/>
                <w:i/>
                <w:sz w:val="22"/>
                <w:szCs w:val="22"/>
                <w:lang w:val="en-GB"/>
              </w:rPr>
              <w:t>SR EN 60904-1-1</w:t>
            </w:r>
          </w:p>
        </w:tc>
        <w:tc>
          <w:tcPr>
            <w:tcW w:w="7164" w:type="dxa"/>
          </w:tcPr>
          <w:p w14:paraId="55DEE352" w14:textId="77777777" w:rsidR="001C08A5" w:rsidRDefault="00000000">
            <w:pPr>
              <w:jc w:val="both"/>
              <w:rPr>
                <w:i/>
                <w:sz w:val="22"/>
                <w:szCs w:val="22"/>
                <w:lang w:val="en-GB"/>
              </w:rPr>
            </w:pPr>
            <w:r>
              <w:rPr>
                <w:i/>
                <w:sz w:val="22"/>
                <w:szCs w:val="22"/>
                <w:lang w:val="en-GB"/>
              </w:rPr>
              <w:t>Dispozitive fotovoltaice. Partea 1-1: Măsurarea caracteristicilor curent- tensiune ale dispozitivelor (PV) multijoncţiune</w:t>
            </w:r>
          </w:p>
        </w:tc>
      </w:tr>
      <w:tr w:rsidR="001C08A5" w14:paraId="688246AD" w14:textId="77777777">
        <w:tc>
          <w:tcPr>
            <w:tcW w:w="664" w:type="dxa"/>
          </w:tcPr>
          <w:p w14:paraId="04498D16" w14:textId="77777777" w:rsidR="001C08A5" w:rsidRDefault="001C08A5">
            <w:pPr>
              <w:numPr>
                <w:ilvl w:val="0"/>
                <w:numId w:val="113"/>
              </w:numPr>
              <w:rPr>
                <w:i/>
                <w:sz w:val="22"/>
                <w:szCs w:val="22"/>
              </w:rPr>
            </w:pPr>
          </w:p>
        </w:tc>
        <w:tc>
          <w:tcPr>
            <w:tcW w:w="1778" w:type="dxa"/>
          </w:tcPr>
          <w:p w14:paraId="14B647D5" w14:textId="77777777" w:rsidR="001C08A5" w:rsidRDefault="00000000">
            <w:pPr>
              <w:jc w:val="both"/>
              <w:rPr>
                <w:b/>
                <w:bCs/>
                <w:i/>
                <w:sz w:val="22"/>
                <w:szCs w:val="22"/>
                <w:lang w:val="en-GB"/>
              </w:rPr>
            </w:pPr>
            <w:r>
              <w:rPr>
                <w:b/>
                <w:bCs/>
                <w:i/>
                <w:sz w:val="22"/>
                <w:szCs w:val="22"/>
                <w:lang w:val="en-GB"/>
              </w:rPr>
              <w:t>SR EN IEC 60904-1</w:t>
            </w:r>
          </w:p>
        </w:tc>
        <w:tc>
          <w:tcPr>
            <w:tcW w:w="7164" w:type="dxa"/>
          </w:tcPr>
          <w:p w14:paraId="2FEE6AC1" w14:textId="77777777" w:rsidR="001C08A5" w:rsidRDefault="00000000">
            <w:pPr>
              <w:jc w:val="both"/>
              <w:rPr>
                <w:i/>
                <w:sz w:val="22"/>
                <w:szCs w:val="22"/>
                <w:lang w:val="en-GB"/>
              </w:rPr>
            </w:pPr>
            <w:r>
              <w:rPr>
                <w:i/>
                <w:sz w:val="22"/>
                <w:szCs w:val="22"/>
                <w:lang w:val="en-GB"/>
              </w:rPr>
              <w:t>Dispozitive fotovoltaice. Partea 1: Măsurarea caracteristicilor curent - tensiune ale dispozitivelor fotovoltaice</w:t>
            </w:r>
          </w:p>
        </w:tc>
      </w:tr>
      <w:tr w:rsidR="001C08A5" w14:paraId="57DD507C" w14:textId="77777777">
        <w:tc>
          <w:tcPr>
            <w:tcW w:w="664" w:type="dxa"/>
          </w:tcPr>
          <w:p w14:paraId="68DE4F82" w14:textId="77777777" w:rsidR="001C08A5" w:rsidRDefault="001C08A5">
            <w:pPr>
              <w:numPr>
                <w:ilvl w:val="0"/>
                <w:numId w:val="113"/>
              </w:numPr>
              <w:rPr>
                <w:i/>
                <w:sz w:val="22"/>
                <w:szCs w:val="22"/>
              </w:rPr>
            </w:pPr>
          </w:p>
        </w:tc>
        <w:tc>
          <w:tcPr>
            <w:tcW w:w="1778" w:type="dxa"/>
          </w:tcPr>
          <w:p w14:paraId="339D2750" w14:textId="77777777" w:rsidR="001C08A5" w:rsidRDefault="00000000">
            <w:pPr>
              <w:jc w:val="both"/>
              <w:rPr>
                <w:b/>
                <w:bCs/>
                <w:i/>
                <w:sz w:val="22"/>
                <w:szCs w:val="22"/>
                <w:lang w:val="en-GB"/>
              </w:rPr>
            </w:pPr>
            <w:r>
              <w:rPr>
                <w:b/>
                <w:bCs/>
                <w:i/>
                <w:sz w:val="22"/>
                <w:szCs w:val="22"/>
                <w:lang w:val="en-GB"/>
              </w:rPr>
              <w:t>SR EN 60904-2</w:t>
            </w:r>
          </w:p>
          <w:p w14:paraId="2EF9EFEC" w14:textId="77777777" w:rsidR="001C08A5" w:rsidRDefault="001C08A5">
            <w:pPr>
              <w:jc w:val="both"/>
              <w:rPr>
                <w:b/>
                <w:bCs/>
                <w:i/>
                <w:sz w:val="22"/>
                <w:szCs w:val="22"/>
                <w:lang w:val="en-GB"/>
              </w:rPr>
            </w:pPr>
          </w:p>
        </w:tc>
        <w:tc>
          <w:tcPr>
            <w:tcW w:w="7164" w:type="dxa"/>
          </w:tcPr>
          <w:p w14:paraId="4575EBA1" w14:textId="77777777" w:rsidR="001C08A5" w:rsidRDefault="00000000">
            <w:pPr>
              <w:jc w:val="both"/>
              <w:rPr>
                <w:i/>
                <w:sz w:val="22"/>
                <w:szCs w:val="22"/>
                <w:lang w:val="en-GB"/>
              </w:rPr>
            </w:pPr>
            <w:r>
              <w:rPr>
                <w:i/>
                <w:sz w:val="22"/>
                <w:szCs w:val="22"/>
                <w:lang w:val="en-GB"/>
              </w:rPr>
              <w:t>Dispozitive fotovoltaice. Partea 2: Cerinţe pentru dispozitive fotovoltaice de referinţă</w:t>
            </w:r>
          </w:p>
        </w:tc>
      </w:tr>
      <w:tr w:rsidR="001C08A5" w14:paraId="6ED680CF" w14:textId="77777777">
        <w:tc>
          <w:tcPr>
            <w:tcW w:w="664" w:type="dxa"/>
          </w:tcPr>
          <w:p w14:paraId="60658C72" w14:textId="77777777" w:rsidR="001C08A5" w:rsidRDefault="001C08A5">
            <w:pPr>
              <w:numPr>
                <w:ilvl w:val="0"/>
                <w:numId w:val="113"/>
              </w:numPr>
              <w:rPr>
                <w:i/>
                <w:sz w:val="22"/>
                <w:szCs w:val="22"/>
              </w:rPr>
            </w:pPr>
          </w:p>
        </w:tc>
        <w:tc>
          <w:tcPr>
            <w:tcW w:w="1778" w:type="dxa"/>
          </w:tcPr>
          <w:p w14:paraId="32C9E4BB" w14:textId="77777777" w:rsidR="001C08A5" w:rsidRDefault="00000000">
            <w:pPr>
              <w:jc w:val="both"/>
              <w:rPr>
                <w:b/>
                <w:bCs/>
                <w:i/>
                <w:sz w:val="22"/>
                <w:szCs w:val="22"/>
                <w:lang w:val="en-GB"/>
              </w:rPr>
            </w:pPr>
            <w:r>
              <w:rPr>
                <w:b/>
                <w:bCs/>
                <w:i/>
                <w:sz w:val="22"/>
                <w:szCs w:val="22"/>
                <w:lang w:val="en-GB"/>
              </w:rPr>
              <w:t>SR EN IEC 60904-3</w:t>
            </w:r>
          </w:p>
          <w:p w14:paraId="0658A251" w14:textId="77777777" w:rsidR="001C08A5" w:rsidRDefault="001C08A5">
            <w:pPr>
              <w:jc w:val="both"/>
              <w:rPr>
                <w:b/>
                <w:bCs/>
                <w:i/>
                <w:sz w:val="22"/>
                <w:szCs w:val="22"/>
                <w:lang w:val="en-GB"/>
              </w:rPr>
            </w:pPr>
          </w:p>
        </w:tc>
        <w:tc>
          <w:tcPr>
            <w:tcW w:w="7164" w:type="dxa"/>
          </w:tcPr>
          <w:p w14:paraId="1157C2BD" w14:textId="77777777" w:rsidR="001C08A5" w:rsidRDefault="00000000">
            <w:pPr>
              <w:jc w:val="both"/>
              <w:rPr>
                <w:i/>
                <w:sz w:val="22"/>
                <w:szCs w:val="22"/>
                <w:lang w:val="en-GB"/>
              </w:rPr>
            </w:pPr>
            <w:r>
              <w:rPr>
                <w:i/>
                <w:sz w:val="22"/>
                <w:szCs w:val="22"/>
                <w:lang w:val="en-GB"/>
              </w:rPr>
              <w:t>Dispozitive fotovoltaice. Partea 3: Principii de măsurare pentru dispozitivele fotovoltaice (PV) pentru aplicații terestre, inclusiv date privind radiația spectrală de referință</w:t>
            </w:r>
          </w:p>
        </w:tc>
      </w:tr>
      <w:tr w:rsidR="001C08A5" w14:paraId="72CEFC7B" w14:textId="77777777">
        <w:tc>
          <w:tcPr>
            <w:tcW w:w="664" w:type="dxa"/>
          </w:tcPr>
          <w:p w14:paraId="36186F39" w14:textId="77777777" w:rsidR="001C08A5" w:rsidRDefault="001C08A5">
            <w:pPr>
              <w:numPr>
                <w:ilvl w:val="0"/>
                <w:numId w:val="113"/>
              </w:numPr>
              <w:rPr>
                <w:i/>
                <w:sz w:val="22"/>
                <w:szCs w:val="22"/>
              </w:rPr>
            </w:pPr>
          </w:p>
        </w:tc>
        <w:tc>
          <w:tcPr>
            <w:tcW w:w="1778" w:type="dxa"/>
          </w:tcPr>
          <w:p w14:paraId="626FB872" w14:textId="77777777" w:rsidR="001C08A5" w:rsidRDefault="00000000">
            <w:pPr>
              <w:jc w:val="both"/>
              <w:rPr>
                <w:b/>
                <w:bCs/>
                <w:i/>
                <w:sz w:val="22"/>
                <w:szCs w:val="22"/>
                <w:lang w:val="en-GB"/>
              </w:rPr>
            </w:pPr>
            <w:r>
              <w:rPr>
                <w:b/>
                <w:bCs/>
                <w:i/>
                <w:sz w:val="22"/>
                <w:szCs w:val="22"/>
                <w:lang w:val="en-GB"/>
              </w:rPr>
              <w:t>SR EN IEC 60904-4</w:t>
            </w:r>
          </w:p>
        </w:tc>
        <w:tc>
          <w:tcPr>
            <w:tcW w:w="7164" w:type="dxa"/>
          </w:tcPr>
          <w:p w14:paraId="7303C5FA" w14:textId="77777777" w:rsidR="001C08A5" w:rsidRDefault="00000000">
            <w:pPr>
              <w:jc w:val="both"/>
              <w:rPr>
                <w:i/>
                <w:sz w:val="22"/>
                <w:szCs w:val="22"/>
                <w:lang w:val="en-GB"/>
              </w:rPr>
            </w:pPr>
            <w:r>
              <w:rPr>
                <w:i/>
                <w:sz w:val="22"/>
                <w:szCs w:val="22"/>
                <w:lang w:val="en-GB"/>
              </w:rPr>
              <w:t>Dispozitive fotovoltaice. Partea 4: Dispozitive solare de referință. Proceduri pentru stabilirea trasabilității etalonării</w:t>
            </w:r>
          </w:p>
        </w:tc>
      </w:tr>
      <w:tr w:rsidR="001C08A5" w14:paraId="2767B28B" w14:textId="77777777">
        <w:tc>
          <w:tcPr>
            <w:tcW w:w="664" w:type="dxa"/>
          </w:tcPr>
          <w:p w14:paraId="09B8F3D9" w14:textId="77777777" w:rsidR="001C08A5" w:rsidRDefault="001C08A5">
            <w:pPr>
              <w:numPr>
                <w:ilvl w:val="0"/>
                <w:numId w:val="113"/>
              </w:numPr>
              <w:rPr>
                <w:i/>
                <w:sz w:val="22"/>
                <w:szCs w:val="22"/>
              </w:rPr>
            </w:pPr>
          </w:p>
        </w:tc>
        <w:tc>
          <w:tcPr>
            <w:tcW w:w="1778" w:type="dxa"/>
          </w:tcPr>
          <w:p w14:paraId="176F745F" w14:textId="77777777" w:rsidR="001C08A5" w:rsidRDefault="00000000">
            <w:pPr>
              <w:jc w:val="both"/>
              <w:rPr>
                <w:b/>
                <w:bCs/>
                <w:i/>
                <w:sz w:val="22"/>
                <w:szCs w:val="22"/>
                <w:lang w:val="en-GB"/>
              </w:rPr>
            </w:pPr>
            <w:r>
              <w:rPr>
                <w:b/>
                <w:bCs/>
                <w:i/>
                <w:sz w:val="22"/>
                <w:szCs w:val="22"/>
                <w:lang w:val="en-GB"/>
              </w:rPr>
              <w:t>SR EN 60904-5</w:t>
            </w:r>
          </w:p>
          <w:p w14:paraId="29D01E41" w14:textId="77777777" w:rsidR="001C08A5" w:rsidRDefault="001C08A5">
            <w:pPr>
              <w:jc w:val="both"/>
              <w:rPr>
                <w:b/>
                <w:bCs/>
                <w:i/>
                <w:sz w:val="22"/>
                <w:szCs w:val="22"/>
                <w:lang w:val="en-GB"/>
              </w:rPr>
            </w:pPr>
          </w:p>
        </w:tc>
        <w:tc>
          <w:tcPr>
            <w:tcW w:w="7164" w:type="dxa"/>
          </w:tcPr>
          <w:p w14:paraId="302570DE" w14:textId="77777777" w:rsidR="001C08A5" w:rsidRDefault="00000000">
            <w:pPr>
              <w:jc w:val="both"/>
              <w:rPr>
                <w:i/>
                <w:sz w:val="22"/>
                <w:szCs w:val="22"/>
                <w:lang w:val="en-GB"/>
              </w:rPr>
            </w:pPr>
            <w:r>
              <w:rPr>
                <w:i/>
                <w:sz w:val="22"/>
                <w:szCs w:val="22"/>
                <w:lang w:val="en-GB"/>
              </w:rPr>
              <w:t>Dispozitive fotovoltaice. Partea 5: Determinarea temperaturii echivalente a celulei (ECT) la dispozitive fotovoltaice (PV) prin metoda tensiunii în circuit deschis</w:t>
            </w:r>
          </w:p>
        </w:tc>
      </w:tr>
      <w:tr w:rsidR="001C08A5" w14:paraId="2DEE611D" w14:textId="77777777">
        <w:tc>
          <w:tcPr>
            <w:tcW w:w="664" w:type="dxa"/>
          </w:tcPr>
          <w:p w14:paraId="50393352" w14:textId="77777777" w:rsidR="001C08A5" w:rsidRDefault="001C08A5">
            <w:pPr>
              <w:numPr>
                <w:ilvl w:val="0"/>
                <w:numId w:val="113"/>
              </w:numPr>
              <w:rPr>
                <w:i/>
                <w:sz w:val="22"/>
                <w:szCs w:val="22"/>
              </w:rPr>
            </w:pPr>
          </w:p>
        </w:tc>
        <w:tc>
          <w:tcPr>
            <w:tcW w:w="1778" w:type="dxa"/>
          </w:tcPr>
          <w:p w14:paraId="3D72ACCD" w14:textId="77777777" w:rsidR="001C08A5" w:rsidRDefault="00000000">
            <w:pPr>
              <w:jc w:val="both"/>
              <w:rPr>
                <w:b/>
                <w:bCs/>
                <w:i/>
                <w:sz w:val="22"/>
                <w:szCs w:val="22"/>
                <w:lang w:val="en-GB"/>
              </w:rPr>
            </w:pPr>
            <w:r>
              <w:rPr>
                <w:b/>
                <w:bCs/>
                <w:i/>
                <w:sz w:val="22"/>
                <w:szCs w:val="22"/>
                <w:lang w:val="en-GB"/>
              </w:rPr>
              <w:t>SR EN IEC 60904-7</w:t>
            </w:r>
          </w:p>
        </w:tc>
        <w:tc>
          <w:tcPr>
            <w:tcW w:w="7164" w:type="dxa"/>
          </w:tcPr>
          <w:p w14:paraId="735C1068" w14:textId="77777777" w:rsidR="001C08A5" w:rsidRDefault="00000000">
            <w:pPr>
              <w:jc w:val="both"/>
              <w:rPr>
                <w:i/>
                <w:sz w:val="22"/>
                <w:szCs w:val="22"/>
                <w:lang w:val="en-GB"/>
              </w:rPr>
            </w:pPr>
            <w:r>
              <w:rPr>
                <w:i/>
                <w:sz w:val="22"/>
                <w:szCs w:val="22"/>
                <w:lang w:val="en-GB"/>
              </w:rPr>
              <w:t>Dispozitive fotovoltaice. Partea 7: Calculul corecției de neadaptare spectrală la măsurările dispozitivelor fotovoltaice</w:t>
            </w:r>
          </w:p>
        </w:tc>
      </w:tr>
      <w:tr w:rsidR="001C08A5" w14:paraId="403FE6DA" w14:textId="77777777">
        <w:tc>
          <w:tcPr>
            <w:tcW w:w="664" w:type="dxa"/>
          </w:tcPr>
          <w:p w14:paraId="2D106EC7" w14:textId="77777777" w:rsidR="001C08A5" w:rsidRDefault="001C08A5">
            <w:pPr>
              <w:numPr>
                <w:ilvl w:val="0"/>
                <w:numId w:val="113"/>
              </w:numPr>
              <w:rPr>
                <w:i/>
                <w:sz w:val="22"/>
                <w:szCs w:val="22"/>
              </w:rPr>
            </w:pPr>
          </w:p>
        </w:tc>
        <w:tc>
          <w:tcPr>
            <w:tcW w:w="1778" w:type="dxa"/>
          </w:tcPr>
          <w:p w14:paraId="6A768894" w14:textId="77777777" w:rsidR="001C08A5" w:rsidRDefault="00000000">
            <w:pPr>
              <w:jc w:val="both"/>
              <w:rPr>
                <w:b/>
                <w:bCs/>
                <w:i/>
                <w:sz w:val="22"/>
                <w:szCs w:val="22"/>
                <w:lang w:val="en-GB"/>
              </w:rPr>
            </w:pPr>
            <w:r>
              <w:rPr>
                <w:b/>
                <w:bCs/>
                <w:i/>
                <w:sz w:val="22"/>
                <w:szCs w:val="22"/>
                <w:lang w:val="en-GB"/>
              </w:rPr>
              <w:t>SR EN 60904-8-1</w:t>
            </w:r>
          </w:p>
        </w:tc>
        <w:tc>
          <w:tcPr>
            <w:tcW w:w="7164" w:type="dxa"/>
          </w:tcPr>
          <w:p w14:paraId="6062901F" w14:textId="77777777" w:rsidR="001C08A5" w:rsidRDefault="00000000">
            <w:pPr>
              <w:jc w:val="both"/>
              <w:rPr>
                <w:i/>
                <w:sz w:val="22"/>
                <w:szCs w:val="22"/>
                <w:lang w:val="en-GB"/>
              </w:rPr>
            </w:pPr>
            <w:r>
              <w:rPr>
                <w:i/>
                <w:sz w:val="22"/>
                <w:szCs w:val="22"/>
                <w:lang w:val="en-GB"/>
              </w:rPr>
              <w:t>Dispozitive fotovoltaice. Partea 8-1: Măsurarea sensibilităţii spectrale a dispozitivelor fotovoltaice (PV) multijoncţiune</w:t>
            </w:r>
          </w:p>
        </w:tc>
      </w:tr>
      <w:tr w:rsidR="001C08A5" w14:paraId="15625526" w14:textId="77777777">
        <w:tc>
          <w:tcPr>
            <w:tcW w:w="664" w:type="dxa"/>
          </w:tcPr>
          <w:p w14:paraId="6E88211E" w14:textId="77777777" w:rsidR="001C08A5" w:rsidRDefault="001C08A5">
            <w:pPr>
              <w:numPr>
                <w:ilvl w:val="0"/>
                <w:numId w:val="113"/>
              </w:numPr>
              <w:rPr>
                <w:i/>
                <w:sz w:val="22"/>
                <w:szCs w:val="22"/>
              </w:rPr>
            </w:pPr>
          </w:p>
        </w:tc>
        <w:tc>
          <w:tcPr>
            <w:tcW w:w="1778" w:type="dxa"/>
          </w:tcPr>
          <w:p w14:paraId="776B79A0" w14:textId="77777777" w:rsidR="001C08A5" w:rsidRDefault="00000000">
            <w:pPr>
              <w:jc w:val="both"/>
              <w:rPr>
                <w:b/>
                <w:bCs/>
                <w:i/>
                <w:sz w:val="22"/>
                <w:szCs w:val="22"/>
                <w:lang w:val="en-GB"/>
              </w:rPr>
            </w:pPr>
            <w:r>
              <w:rPr>
                <w:b/>
                <w:bCs/>
                <w:i/>
                <w:sz w:val="22"/>
                <w:szCs w:val="22"/>
                <w:lang w:val="en-GB"/>
              </w:rPr>
              <w:t>SR EN 60904-8</w:t>
            </w:r>
          </w:p>
          <w:p w14:paraId="7125E788" w14:textId="77777777" w:rsidR="001C08A5" w:rsidRDefault="001C08A5">
            <w:pPr>
              <w:jc w:val="both"/>
              <w:rPr>
                <w:b/>
                <w:bCs/>
                <w:i/>
                <w:sz w:val="22"/>
                <w:szCs w:val="22"/>
                <w:lang w:val="en-GB"/>
              </w:rPr>
            </w:pPr>
          </w:p>
        </w:tc>
        <w:tc>
          <w:tcPr>
            <w:tcW w:w="7164" w:type="dxa"/>
          </w:tcPr>
          <w:p w14:paraId="563048B6" w14:textId="77777777" w:rsidR="001C08A5" w:rsidRDefault="00000000">
            <w:pPr>
              <w:jc w:val="both"/>
              <w:rPr>
                <w:i/>
                <w:sz w:val="22"/>
                <w:szCs w:val="22"/>
                <w:lang w:val="en-GB"/>
              </w:rPr>
            </w:pPr>
            <w:r>
              <w:rPr>
                <w:i/>
                <w:sz w:val="22"/>
                <w:szCs w:val="22"/>
                <w:lang w:val="en-GB"/>
              </w:rPr>
              <w:t>Dispozitive fotovoltaice. Partea 8: Măsurarea sensibilităţii spectrale a unui dispozitiv fotovoltaic (PV)</w:t>
            </w:r>
          </w:p>
        </w:tc>
      </w:tr>
      <w:tr w:rsidR="001C08A5" w14:paraId="203B919C" w14:textId="77777777">
        <w:tc>
          <w:tcPr>
            <w:tcW w:w="664" w:type="dxa"/>
          </w:tcPr>
          <w:p w14:paraId="78693CE9" w14:textId="77777777" w:rsidR="001C08A5" w:rsidRDefault="001C08A5">
            <w:pPr>
              <w:numPr>
                <w:ilvl w:val="0"/>
                <w:numId w:val="113"/>
              </w:numPr>
              <w:rPr>
                <w:i/>
                <w:sz w:val="22"/>
                <w:szCs w:val="22"/>
              </w:rPr>
            </w:pPr>
          </w:p>
        </w:tc>
        <w:tc>
          <w:tcPr>
            <w:tcW w:w="1778" w:type="dxa"/>
          </w:tcPr>
          <w:p w14:paraId="7852B9FE" w14:textId="77777777" w:rsidR="001C08A5" w:rsidRDefault="00000000">
            <w:pPr>
              <w:jc w:val="both"/>
              <w:rPr>
                <w:b/>
                <w:bCs/>
                <w:i/>
                <w:sz w:val="22"/>
                <w:szCs w:val="22"/>
                <w:lang w:val="en-GB"/>
              </w:rPr>
            </w:pPr>
            <w:r>
              <w:rPr>
                <w:b/>
                <w:bCs/>
                <w:i/>
                <w:sz w:val="22"/>
                <w:szCs w:val="22"/>
                <w:lang w:val="en-GB"/>
              </w:rPr>
              <w:t>SR EN IEC 60904-9</w:t>
            </w:r>
          </w:p>
        </w:tc>
        <w:tc>
          <w:tcPr>
            <w:tcW w:w="7164" w:type="dxa"/>
          </w:tcPr>
          <w:p w14:paraId="18B62F26" w14:textId="77777777" w:rsidR="001C08A5" w:rsidRDefault="00000000">
            <w:pPr>
              <w:jc w:val="both"/>
              <w:rPr>
                <w:i/>
                <w:sz w:val="22"/>
                <w:szCs w:val="22"/>
                <w:lang w:val="en-GB"/>
              </w:rPr>
            </w:pPr>
            <w:r>
              <w:rPr>
                <w:i/>
                <w:sz w:val="22"/>
                <w:szCs w:val="22"/>
                <w:lang w:val="en-GB"/>
              </w:rPr>
              <w:t>Dispozitive fotovoltaice. Partea 9: Clasificarea caracteristicilor simulatoarelor solare</w:t>
            </w:r>
          </w:p>
        </w:tc>
      </w:tr>
      <w:tr w:rsidR="001C08A5" w14:paraId="00B3860B" w14:textId="77777777">
        <w:tc>
          <w:tcPr>
            <w:tcW w:w="664" w:type="dxa"/>
          </w:tcPr>
          <w:p w14:paraId="284DC81E" w14:textId="77777777" w:rsidR="001C08A5" w:rsidRDefault="001C08A5">
            <w:pPr>
              <w:numPr>
                <w:ilvl w:val="0"/>
                <w:numId w:val="113"/>
              </w:numPr>
              <w:rPr>
                <w:i/>
                <w:sz w:val="22"/>
                <w:szCs w:val="22"/>
              </w:rPr>
            </w:pPr>
          </w:p>
        </w:tc>
        <w:tc>
          <w:tcPr>
            <w:tcW w:w="1778" w:type="dxa"/>
          </w:tcPr>
          <w:p w14:paraId="4B02F473" w14:textId="77777777" w:rsidR="001C08A5" w:rsidRDefault="00000000">
            <w:pPr>
              <w:jc w:val="both"/>
              <w:rPr>
                <w:b/>
                <w:bCs/>
                <w:i/>
                <w:sz w:val="22"/>
                <w:szCs w:val="22"/>
                <w:lang w:val="en-GB"/>
              </w:rPr>
            </w:pPr>
            <w:hyperlink r:id="rId684" w:history="1">
              <w:r>
                <w:rPr>
                  <w:b/>
                  <w:bCs/>
                  <w:i/>
                  <w:sz w:val="22"/>
                  <w:szCs w:val="22"/>
                  <w:lang w:val="en-GB"/>
                </w:rPr>
                <w:t>SR EN 60695-2-11</w:t>
              </w:r>
            </w:hyperlink>
          </w:p>
          <w:p w14:paraId="4B68B98B" w14:textId="77777777" w:rsidR="001C08A5" w:rsidRDefault="001C08A5">
            <w:pPr>
              <w:jc w:val="both"/>
              <w:rPr>
                <w:b/>
                <w:bCs/>
                <w:i/>
                <w:sz w:val="22"/>
                <w:szCs w:val="22"/>
                <w:lang w:val="en-GB"/>
              </w:rPr>
            </w:pPr>
          </w:p>
        </w:tc>
        <w:tc>
          <w:tcPr>
            <w:tcW w:w="7164" w:type="dxa"/>
          </w:tcPr>
          <w:p w14:paraId="0BA2D434" w14:textId="77777777" w:rsidR="001C08A5" w:rsidRDefault="00000000">
            <w:pPr>
              <w:jc w:val="both"/>
              <w:rPr>
                <w:i/>
                <w:sz w:val="22"/>
                <w:szCs w:val="22"/>
                <w:lang w:val="en-GB"/>
              </w:rPr>
            </w:pPr>
            <w:r>
              <w:rPr>
                <w:i/>
                <w:sz w:val="22"/>
                <w:szCs w:val="22"/>
                <w:lang w:val="en-GB"/>
              </w:rPr>
              <w:t xml:space="preserve">Încercări privind riscurile de foc. Partea 2-11: Încercări cu fir incandescent/încălzitor. Metodă de încercare </w:t>
            </w:r>
            <w:proofErr w:type="gramStart"/>
            <w:r>
              <w:rPr>
                <w:i/>
                <w:sz w:val="22"/>
                <w:szCs w:val="22"/>
                <w:lang w:val="en-GB"/>
              </w:rPr>
              <w:t>a</w:t>
            </w:r>
            <w:proofErr w:type="gramEnd"/>
            <w:r>
              <w:rPr>
                <w:i/>
                <w:sz w:val="22"/>
                <w:szCs w:val="22"/>
                <w:lang w:val="en-GB"/>
              </w:rPr>
              <w:t xml:space="preserve"> inflamabilităţii pentru produse finite (GWEPT)</w:t>
            </w:r>
          </w:p>
        </w:tc>
      </w:tr>
      <w:tr w:rsidR="001C08A5" w14:paraId="7D97EDAA" w14:textId="77777777">
        <w:tc>
          <w:tcPr>
            <w:tcW w:w="664" w:type="dxa"/>
          </w:tcPr>
          <w:p w14:paraId="0229FB7D" w14:textId="77777777" w:rsidR="001C08A5" w:rsidRDefault="001C08A5">
            <w:pPr>
              <w:numPr>
                <w:ilvl w:val="0"/>
                <w:numId w:val="113"/>
              </w:numPr>
              <w:rPr>
                <w:i/>
                <w:sz w:val="22"/>
                <w:szCs w:val="22"/>
              </w:rPr>
            </w:pPr>
          </w:p>
        </w:tc>
        <w:tc>
          <w:tcPr>
            <w:tcW w:w="1778" w:type="dxa"/>
          </w:tcPr>
          <w:p w14:paraId="1FA19353" w14:textId="77777777" w:rsidR="001C08A5" w:rsidRDefault="00000000">
            <w:pPr>
              <w:jc w:val="both"/>
              <w:rPr>
                <w:b/>
                <w:bCs/>
                <w:i/>
                <w:sz w:val="22"/>
                <w:szCs w:val="22"/>
                <w:lang w:val="en-GB"/>
              </w:rPr>
            </w:pPr>
            <w:hyperlink r:id="rId685" w:history="1">
              <w:r>
                <w:rPr>
                  <w:b/>
                  <w:bCs/>
                  <w:i/>
                  <w:sz w:val="22"/>
                  <w:szCs w:val="22"/>
                  <w:lang w:val="en-GB"/>
                </w:rPr>
                <w:t>SR EN 14994</w:t>
              </w:r>
            </w:hyperlink>
          </w:p>
        </w:tc>
        <w:tc>
          <w:tcPr>
            <w:tcW w:w="7164" w:type="dxa"/>
          </w:tcPr>
          <w:p w14:paraId="149D9CE0" w14:textId="77777777" w:rsidR="001C08A5" w:rsidRDefault="00000000">
            <w:pPr>
              <w:jc w:val="both"/>
              <w:rPr>
                <w:i/>
                <w:sz w:val="22"/>
                <w:szCs w:val="22"/>
                <w:lang w:val="en-GB"/>
              </w:rPr>
            </w:pPr>
            <w:r>
              <w:rPr>
                <w:i/>
                <w:sz w:val="22"/>
                <w:szCs w:val="22"/>
                <w:lang w:val="en-GB"/>
              </w:rPr>
              <w:t>Sisteme de protecţie prin ventilaţie împotriva exploziilor de gaze</w:t>
            </w:r>
          </w:p>
        </w:tc>
      </w:tr>
      <w:tr w:rsidR="001C08A5" w14:paraId="02BE137B" w14:textId="77777777">
        <w:tc>
          <w:tcPr>
            <w:tcW w:w="664" w:type="dxa"/>
          </w:tcPr>
          <w:p w14:paraId="4885825D" w14:textId="77777777" w:rsidR="001C08A5" w:rsidRDefault="001C08A5">
            <w:pPr>
              <w:numPr>
                <w:ilvl w:val="0"/>
                <w:numId w:val="113"/>
              </w:numPr>
              <w:rPr>
                <w:i/>
                <w:sz w:val="22"/>
                <w:szCs w:val="22"/>
              </w:rPr>
            </w:pPr>
          </w:p>
        </w:tc>
        <w:tc>
          <w:tcPr>
            <w:tcW w:w="1778" w:type="dxa"/>
          </w:tcPr>
          <w:p w14:paraId="44E705B9" w14:textId="77777777" w:rsidR="001C08A5" w:rsidRDefault="00000000">
            <w:pPr>
              <w:jc w:val="both"/>
              <w:rPr>
                <w:b/>
                <w:bCs/>
                <w:i/>
                <w:sz w:val="22"/>
                <w:szCs w:val="22"/>
                <w:lang w:val="en-GB"/>
              </w:rPr>
            </w:pPr>
            <w:hyperlink r:id="rId686" w:history="1">
              <w:r>
                <w:rPr>
                  <w:b/>
                  <w:bCs/>
                  <w:i/>
                  <w:sz w:val="22"/>
                  <w:szCs w:val="22"/>
                  <w:lang w:val="en-GB"/>
                </w:rPr>
                <w:t>SR EN 81-70</w:t>
              </w:r>
            </w:hyperlink>
          </w:p>
          <w:p w14:paraId="6DD35F2C" w14:textId="77777777" w:rsidR="001C08A5" w:rsidRDefault="001C08A5">
            <w:pPr>
              <w:jc w:val="both"/>
              <w:rPr>
                <w:b/>
                <w:bCs/>
                <w:i/>
                <w:sz w:val="22"/>
                <w:szCs w:val="22"/>
                <w:lang w:val="en-GB"/>
              </w:rPr>
            </w:pPr>
          </w:p>
        </w:tc>
        <w:tc>
          <w:tcPr>
            <w:tcW w:w="7164" w:type="dxa"/>
          </w:tcPr>
          <w:p w14:paraId="60F71A70" w14:textId="77777777" w:rsidR="001C08A5" w:rsidRDefault="00000000">
            <w:pPr>
              <w:jc w:val="both"/>
              <w:rPr>
                <w:i/>
                <w:sz w:val="22"/>
                <w:szCs w:val="22"/>
                <w:lang w:val="en-GB"/>
              </w:rPr>
            </w:pPr>
            <w:r>
              <w:rPr>
                <w:i/>
                <w:sz w:val="22"/>
                <w:szCs w:val="22"/>
                <w:lang w:val="en-GB"/>
              </w:rPr>
              <w:t>Reguli de securitate pentru execuţia şi montarea ascensoarelor. Aplicaţii particulare pentru ascensoarele de persoane şi ascensoarele de persoane şi materiale. Partea 70: Accesibilitate în ascensoare pentru persoane inclusiv persoane cu dizabilităţi</w:t>
            </w:r>
          </w:p>
        </w:tc>
      </w:tr>
      <w:tr w:rsidR="001C08A5" w14:paraId="02036DBC" w14:textId="77777777">
        <w:tc>
          <w:tcPr>
            <w:tcW w:w="664" w:type="dxa"/>
          </w:tcPr>
          <w:p w14:paraId="50FE1286" w14:textId="77777777" w:rsidR="001C08A5" w:rsidRDefault="001C08A5">
            <w:pPr>
              <w:numPr>
                <w:ilvl w:val="0"/>
                <w:numId w:val="113"/>
              </w:numPr>
              <w:rPr>
                <w:i/>
                <w:sz w:val="22"/>
                <w:szCs w:val="22"/>
              </w:rPr>
            </w:pPr>
          </w:p>
        </w:tc>
        <w:tc>
          <w:tcPr>
            <w:tcW w:w="1778" w:type="dxa"/>
          </w:tcPr>
          <w:p w14:paraId="3E198B67" w14:textId="77777777" w:rsidR="001C08A5" w:rsidRDefault="00000000">
            <w:pPr>
              <w:jc w:val="both"/>
              <w:rPr>
                <w:b/>
                <w:bCs/>
                <w:i/>
                <w:sz w:val="22"/>
                <w:szCs w:val="22"/>
                <w:lang w:val="en-GB"/>
              </w:rPr>
            </w:pPr>
            <w:hyperlink r:id="rId687" w:history="1">
              <w:r>
                <w:rPr>
                  <w:b/>
                  <w:bCs/>
                  <w:i/>
                  <w:sz w:val="22"/>
                  <w:szCs w:val="22"/>
                  <w:lang w:val="en-GB"/>
                </w:rPr>
                <w:t>SR EN 81-73</w:t>
              </w:r>
            </w:hyperlink>
          </w:p>
          <w:p w14:paraId="7505CE66" w14:textId="77777777" w:rsidR="001C08A5" w:rsidRDefault="001C08A5">
            <w:pPr>
              <w:jc w:val="both"/>
              <w:rPr>
                <w:b/>
                <w:bCs/>
                <w:i/>
                <w:sz w:val="22"/>
                <w:szCs w:val="22"/>
                <w:lang w:val="en-GB"/>
              </w:rPr>
            </w:pPr>
          </w:p>
        </w:tc>
        <w:tc>
          <w:tcPr>
            <w:tcW w:w="7164" w:type="dxa"/>
          </w:tcPr>
          <w:p w14:paraId="7ACC130A" w14:textId="77777777" w:rsidR="001C08A5" w:rsidRDefault="00000000">
            <w:pPr>
              <w:jc w:val="both"/>
              <w:rPr>
                <w:i/>
                <w:sz w:val="22"/>
                <w:szCs w:val="22"/>
                <w:lang w:val="en-GB"/>
              </w:rPr>
            </w:pPr>
            <w:r>
              <w:rPr>
                <w:i/>
                <w:sz w:val="22"/>
                <w:szCs w:val="22"/>
                <w:lang w:val="en-GB"/>
              </w:rPr>
              <w:t>Reguli de securitate pentru execuția și montarea ascensoarelor. Aplicații particulare pentru ascensoarele de persoane și ascensoarele de persoane și materiale. Partea 73: Funcționarea ascensoarelor în caz de incendiu</w:t>
            </w:r>
          </w:p>
        </w:tc>
      </w:tr>
      <w:tr w:rsidR="001C08A5" w14:paraId="3F4D3064" w14:textId="77777777">
        <w:tc>
          <w:tcPr>
            <w:tcW w:w="664" w:type="dxa"/>
          </w:tcPr>
          <w:p w14:paraId="58956597" w14:textId="77777777" w:rsidR="001C08A5" w:rsidRDefault="001C08A5">
            <w:pPr>
              <w:numPr>
                <w:ilvl w:val="0"/>
                <w:numId w:val="113"/>
              </w:numPr>
              <w:rPr>
                <w:i/>
                <w:sz w:val="22"/>
                <w:szCs w:val="22"/>
              </w:rPr>
            </w:pPr>
          </w:p>
        </w:tc>
        <w:tc>
          <w:tcPr>
            <w:tcW w:w="1778" w:type="dxa"/>
          </w:tcPr>
          <w:p w14:paraId="766736B5" w14:textId="77777777" w:rsidR="001C08A5" w:rsidRDefault="00000000">
            <w:pPr>
              <w:jc w:val="both"/>
              <w:rPr>
                <w:b/>
                <w:bCs/>
                <w:i/>
                <w:sz w:val="22"/>
                <w:szCs w:val="22"/>
                <w:lang w:val="en-GB"/>
              </w:rPr>
            </w:pPr>
            <w:hyperlink r:id="rId688" w:history="1">
              <w:r>
                <w:rPr>
                  <w:b/>
                  <w:bCs/>
                  <w:i/>
                  <w:sz w:val="22"/>
                  <w:szCs w:val="22"/>
                  <w:lang w:val="en-GB"/>
                </w:rPr>
                <w:t>SR EN 81-82</w:t>
              </w:r>
            </w:hyperlink>
          </w:p>
          <w:p w14:paraId="70AAC153" w14:textId="77777777" w:rsidR="001C08A5" w:rsidRDefault="001C08A5">
            <w:pPr>
              <w:jc w:val="center"/>
              <w:rPr>
                <w:b/>
                <w:bCs/>
                <w:i/>
                <w:sz w:val="22"/>
                <w:szCs w:val="22"/>
                <w:lang w:val="en-GB"/>
              </w:rPr>
            </w:pPr>
          </w:p>
        </w:tc>
        <w:tc>
          <w:tcPr>
            <w:tcW w:w="7164" w:type="dxa"/>
          </w:tcPr>
          <w:p w14:paraId="61C78BDB" w14:textId="77777777" w:rsidR="001C08A5" w:rsidRDefault="00000000">
            <w:pPr>
              <w:jc w:val="both"/>
              <w:rPr>
                <w:i/>
                <w:sz w:val="22"/>
                <w:szCs w:val="22"/>
                <w:lang w:val="en-GB"/>
              </w:rPr>
            </w:pPr>
            <w:r>
              <w:rPr>
                <w:i/>
                <w:sz w:val="22"/>
                <w:szCs w:val="22"/>
                <w:lang w:val="en-GB"/>
              </w:rPr>
              <w:t>Reguli de securitate pentru execuţia şi montarea ascensoarelor. Ascensoare existente. Partea 82: Reguli pentru îmbunătăţirea accesibilităţii în ascensoarele existente pentru persoane, inclusiv persoane cu dizabilităţi</w:t>
            </w:r>
          </w:p>
        </w:tc>
      </w:tr>
      <w:tr w:rsidR="001C08A5" w14:paraId="7A3805F2" w14:textId="77777777">
        <w:tc>
          <w:tcPr>
            <w:tcW w:w="664" w:type="dxa"/>
          </w:tcPr>
          <w:p w14:paraId="0F465262" w14:textId="77777777" w:rsidR="001C08A5" w:rsidRDefault="001C08A5">
            <w:pPr>
              <w:numPr>
                <w:ilvl w:val="0"/>
                <w:numId w:val="113"/>
              </w:numPr>
              <w:rPr>
                <w:i/>
                <w:sz w:val="22"/>
                <w:szCs w:val="22"/>
              </w:rPr>
            </w:pPr>
          </w:p>
        </w:tc>
        <w:tc>
          <w:tcPr>
            <w:tcW w:w="1778" w:type="dxa"/>
          </w:tcPr>
          <w:p w14:paraId="17D33C37" w14:textId="77777777" w:rsidR="001C08A5" w:rsidRDefault="00000000">
            <w:pPr>
              <w:jc w:val="both"/>
              <w:rPr>
                <w:b/>
                <w:bCs/>
                <w:i/>
                <w:sz w:val="22"/>
                <w:szCs w:val="22"/>
                <w:lang w:val="en-GB"/>
              </w:rPr>
            </w:pPr>
            <w:hyperlink r:id="rId689" w:history="1">
              <w:r>
                <w:rPr>
                  <w:b/>
                  <w:bCs/>
                  <w:i/>
                  <w:sz w:val="22"/>
                  <w:szCs w:val="22"/>
                  <w:lang w:val="en-GB"/>
                </w:rPr>
                <w:t>SR EN 15423</w:t>
              </w:r>
            </w:hyperlink>
          </w:p>
          <w:p w14:paraId="1DB9CFD1" w14:textId="77777777" w:rsidR="001C08A5" w:rsidRDefault="001C08A5">
            <w:pPr>
              <w:jc w:val="both"/>
              <w:rPr>
                <w:b/>
                <w:bCs/>
                <w:i/>
                <w:sz w:val="22"/>
                <w:szCs w:val="22"/>
                <w:lang w:val="en-GB"/>
              </w:rPr>
            </w:pPr>
          </w:p>
        </w:tc>
        <w:tc>
          <w:tcPr>
            <w:tcW w:w="7164" w:type="dxa"/>
          </w:tcPr>
          <w:p w14:paraId="7C66437D" w14:textId="77777777" w:rsidR="001C08A5" w:rsidRDefault="00000000">
            <w:pPr>
              <w:jc w:val="both"/>
              <w:rPr>
                <w:i/>
                <w:sz w:val="22"/>
                <w:szCs w:val="22"/>
                <w:lang w:val="en-GB"/>
              </w:rPr>
            </w:pPr>
            <w:r>
              <w:rPr>
                <w:i/>
                <w:sz w:val="22"/>
                <w:szCs w:val="22"/>
                <w:lang w:val="en-GB"/>
              </w:rPr>
              <w:t xml:space="preserve">Instalaţii de ventilare a clădirilor. Măsuri de precauţie împotriva incendiilor pentru instalaţiile de distribuţie </w:t>
            </w:r>
            <w:proofErr w:type="gramStart"/>
            <w:r>
              <w:rPr>
                <w:i/>
                <w:sz w:val="22"/>
                <w:szCs w:val="22"/>
                <w:lang w:val="en-GB"/>
              </w:rPr>
              <w:t>a</w:t>
            </w:r>
            <w:proofErr w:type="gramEnd"/>
            <w:r>
              <w:rPr>
                <w:i/>
                <w:sz w:val="22"/>
                <w:szCs w:val="22"/>
                <w:lang w:val="en-GB"/>
              </w:rPr>
              <w:t xml:space="preserve"> aerului în clădiri</w:t>
            </w:r>
          </w:p>
        </w:tc>
      </w:tr>
      <w:tr w:rsidR="001C08A5" w14:paraId="666988CF" w14:textId="77777777">
        <w:tc>
          <w:tcPr>
            <w:tcW w:w="664" w:type="dxa"/>
          </w:tcPr>
          <w:p w14:paraId="524918B6" w14:textId="77777777" w:rsidR="001C08A5" w:rsidRDefault="001C08A5">
            <w:pPr>
              <w:numPr>
                <w:ilvl w:val="0"/>
                <w:numId w:val="113"/>
              </w:numPr>
              <w:rPr>
                <w:i/>
                <w:sz w:val="22"/>
                <w:szCs w:val="22"/>
              </w:rPr>
            </w:pPr>
          </w:p>
        </w:tc>
        <w:tc>
          <w:tcPr>
            <w:tcW w:w="1778" w:type="dxa"/>
          </w:tcPr>
          <w:p w14:paraId="5945EB70" w14:textId="77777777" w:rsidR="001C08A5" w:rsidRDefault="00000000">
            <w:pPr>
              <w:jc w:val="both"/>
              <w:rPr>
                <w:b/>
                <w:bCs/>
                <w:i/>
                <w:sz w:val="22"/>
                <w:szCs w:val="22"/>
                <w:lang w:val="en-GB"/>
              </w:rPr>
            </w:pPr>
            <w:hyperlink r:id="rId690" w:history="1">
              <w:r>
                <w:rPr>
                  <w:b/>
                  <w:bCs/>
                  <w:i/>
                  <w:sz w:val="22"/>
                  <w:szCs w:val="22"/>
                  <w:lang w:val="en-GB"/>
                </w:rPr>
                <w:t>SR EN 15650</w:t>
              </w:r>
            </w:hyperlink>
          </w:p>
        </w:tc>
        <w:tc>
          <w:tcPr>
            <w:tcW w:w="7164" w:type="dxa"/>
          </w:tcPr>
          <w:p w14:paraId="6A66020C" w14:textId="77777777" w:rsidR="001C08A5" w:rsidRDefault="00000000">
            <w:pPr>
              <w:jc w:val="both"/>
              <w:rPr>
                <w:i/>
                <w:sz w:val="22"/>
                <w:szCs w:val="22"/>
                <w:lang w:val="en-GB"/>
              </w:rPr>
            </w:pPr>
            <w:r>
              <w:rPr>
                <w:i/>
                <w:sz w:val="22"/>
                <w:szCs w:val="22"/>
                <w:lang w:val="en-GB"/>
              </w:rPr>
              <w:t>Ventilarea în clădiri. Clapete antifoc</w:t>
            </w:r>
          </w:p>
        </w:tc>
      </w:tr>
      <w:tr w:rsidR="001C08A5" w14:paraId="1C018967" w14:textId="77777777">
        <w:tc>
          <w:tcPr>
            <w:tcW w:w="664" w:type="dxa"/>
          </w:tcPr>
          <w:p w14:paraId="79B2501A" w14:textId="77777777" w:rsidR="001C08A5" w:rsidRDefault="001C08A5">
            <w:pPr>
              <w:numPr>
                <w:ilvl w:val="0"/>
                <w:numId w:val="113"/>
              </w:numPr>
              <w:rPr>
                <w:i/>
                <w:sz w:val="22"/>
                <w:szCs w:val="22"/>
              </w:rPr>
            </w:pPr>
          </w:p>
        </w:tc>
        <w:tc>
          <w:tcPr>
            <w:tcW w:w="1778" w:type="dxa"/>
          </w:tcPr>
          <w:p w14:paraId="48B7ECA8" w14:textId="77777777" w:rsidR="001C08A5" w:rsidRDefault="00000000">
            <w:pPr>
              <w:jc w:val="both"/>
              <w:rPr>
                <w:b/>
                <w:bCs/>
                <w:i/>
                <w:sz w:val="22"/>
                <w:szCs w:val="22"/>
              </w:rPr>
            </w:pPr>
            <w:hyperlink r:id="rId691" w:history="1">
              <w:r>
                <w:rPr>
                  <w:b/>
                  <w:bCs/>
                  <w:i/>
                  <w:sz w:val="22"/>
                  <w:szCs w:val="22"/>
                </w:rPr>
                <w:t>SR EN 12365-1</w:t>
              </w:r>
            </w:hyperlink>
          </w:p>
          <w:p w14:paraId="52FEC292" w14:textId="77777777" w:rsidR="001C08A5" w:rsidRDefault="001C08A5">
            <w:pPr>
              <w:jc w:val="both"/>
              <w:rPr>
                <w:b/>
                <w:bCs/>
                <w:i/>
                <w:sz w:val="22"/>
                <w:szCs w:val="22"/>
                <w:lang w:val="en-GB"/>
              </w:rPr>
            </w:pPr>
          </w:p>
        </w:tc>
        <w:tc>
          <w:tcPr>
            <w:tcW w:w="7164" w:type="dxa"/>
          </w:tcPr>
          <w:p w14:paraId="127B3734" w14:textId="77777777" w:rsidR="001C08A5" w:rsidRDefault="00000000">
            <w:pPr>
              <w:jc w:val="both"/>
              <w:rPr>
                <w:i/>
                <w:sz w:val="22"/>
                <w:szCs w:val="22"/>
                <w:lang w:val="en-GB"/>
              </w:rPr>
            </w:pPr>
            <w:r>
              <w:rPr>
                <w:i/>
                <w:sz w:val="22"/>
                <w:szCs w:val="22"/>
              </w:rPr>
              <w:t>Feronerie pentru clădiri. Profile de etanşare pentru vitraj şi garnituri de etanşare pentru uşi, ferestre, obloane şi pereţi cortină. Partea 1: Cerinţe de performanţă şi clasificare</w:t>
            </w:r>
          </w:p>
        </w:tc>
      </w:tr>
      <w:tr w:rsidR="001C08A5" w14:paraId="44AF9F2D" w14:textId="77777777">
        <w:tc>
          <w:tcPr>
            <w:tcW w:w="664" w:type="dxa"/>
          </w:tcPr>
          <w:p w14:paraId="02010126" w14:textId="77777777" w:rsidR="001C08A5" w:rsidRDefault="001C08A5">
            <w:pPr>
              <w:numPr>
                <w:ilvl w:val="0"/>
                <w:numId w:val="113"/>
              </w:numPr>
              <w:rPr>
                <w:i/>
                <w:sz w:val="22"/>
                <w:szCs w:val="22"/>
              </w:rPr>
            </w:pPr>
          </w:p>
        </w:tc>
        <w:tc>
          <w:tcPr>
            <w:tcW w:w="1778" w:type="dxa"/>
          </w:tcPr>
          <w:p w14:paraId="7B95C247" w14:textId="77777777" w:rsidR="001C08A5" w:rsidRDefault="00000000">
            <w:pPr>
              <w:jc w:val="both"/>
              <w:rPr>
                <w:b/>
                <w:bCs/>
                <w:i/>
                <w:sz w:val="22"/>
                <w:szCs w:val="22"/>
              </w:rPr>
            </w:pPr>
            <w:hyperlink r:id="rId692" w:history="1">
              <w:r>
                <w:rPr>
                  <w:b/>
                  <w:bCs/>
                  <w:i/>
                  <w:sz w:val="22"/>
                  <w:szCs w:val="22"/>
                </w:rPr>
                <w:t>SR EN 81-58</w:t>
              </w:r>
            </w:hyperlink>
          </w:p>
          <w:p w14:paraId="3B4B15D5" w14:textId="77777777" w:rsidR="001C08A5" w:rsidRDefault="001C08A5">
            <w:pPr>
              <w:jc w:val="both"/>
              <w:rPr>
                <w:b/>
                <w:bCs/>
                <w:i/>
                <w:sz w:val="22"/>
                <w:szCs w:val="22"/>
                <w:lang w:val="en-GB"/>
              </w:rPr>
            </w:pPr>
          </w:p>
        </w:tc>
        <w:tc>
          <w:tcPr>
            <w:tcW w:w="7164" w:type="dxa"/>
          </w:tcPr>
          <w:p w14:paraId="4A91567C" w14:textId="77777777" w:rsidR="001C08A5" w:rsidRDefault="00000000">
            <w:pPr>
              <w:jc w:val="both"/>
              <w:rPr>
                <w:i/>
                <w:sz w:val="22"/>
                <w:szCs w:val="22"/>
                <w:lang w:val="en-GB"/>
              </w:rPr>
            </w:pPr>
            <w:r>
              <w:rPr>
                <w:i/>
                <w:sz w:val="22"/>
                <w:szCs w:val="22"/>
              </w:rPr>
              <w:t>Reguli de securitate pentru execuţia şi montarea ascensoarelor. Examinare şi încercări. Partea 58: Încercarea de rezistenţă la foc a uşilor de palier</w:t>
            </w:r>
          </w:p>
        </w:tc>
      </w:tr>
      <w:tr w:rsidR="001C08A5" w14:paraId="7B35D47E" w14:textId="77777777">
        <w:tc>
          <w:tcPr>
            <w:tcW w:w="664" w:type="dxa"/>
          </w:tcPr>
          <w:p w14:paraId="207A49CE" w14:textId="77777777" w:rsidR="001C08A5" w:rsidRDefault="001C08A5">
            <w:pPr>
              <w:numPr>
                <w:ilvl w:val="0"/>
                <w:numId w:val="113"/>
              </w:numPr>
              <w:rPr>
                <w:i/>
                <w:sz w:val="22"/>
                <w:szCs w:val="22"/>
              </w:rPr>
            </w:pPr>
          </w:p>
        </w:tc>
        <w:tc>
          <w:tcPr>
            <w:tcW w:w="1778" w:type="dxa"/>
          </w:tcPr>
          <w:p w14:paraId="0E6E301E" w14:textId="77777777" w:rsidR="001C08A5" w:rsidRDefault="00000000">
            <w:pPr>
              <w:jc w:val="both"/>
              <w:rPr>
                <w:b/>
                <w:bCs/>
                <w:i/>
                <w:sz w:val="22"/>
                <w:szCs w:val="22"/>
                <w:lang w:val="en-GB"/>
              </w:rPr>
            </w:pPr>
            <w:r>
              <w:rPr>
                <w:b/>
                <w:bCs/>
                <w:i/>
                <w:sz w:val="22"/>
                <w:szCs w:val="22"/>
                <w:lang w:val="en-US"/>
              </w:rPr>
              <w:t>SR EN IEC 62485-2</w:t>
            </w:r>
          </w:p>
        </w:tc>
        <w:tc>
          <w:tcPr>
            <w:tcW w:w="7164" w:type="dxa"/>
          </w:tcPr>
          <w:p w14:paraId="34389EEE" w14:textId="77777777" w:rsidR="001C08A5" w:rsidRDefault="00000000">
            <w:pPr>
              <w:jc w:val="both"/>
              <w:rPr>
                <w:i/>
                <w:sz w:val="22"/>
                <w:szCs w:val="22"/>
              </w:rPr>
            </w:pPr>
            <w:r>
              <w:rPr>
                <w:i/>
                <w:sz w:val="22"/>
                <w:szCs w:val="22"/>
                <w:lang w:val="en-US"/>
              </w:rPr>
              <w:t>Prescripţii de securitate pentru baterii de acumulatoare şi instalaţii pentru baterii. Partea 2: Baterii staţionare</w:t>
            </w:r>
          </w:p>
        </w:tc>
      </w:tr>
      <w:tr w:rsidR="001C08A5" w14:paraId="762F2C12" w14:textId="77777777">
        <w:tc>
          <w:tcPr>
            <w:tcW w:w="664" w:type="dxa"/>
          </w:tcPr>
          <w:p w14:paraId="5B25E347" w14:textId="77777777" w:rsidR="001C08A5" w:rsidRDefault="001C08A5">
            <w:pPr>
              <w:numPr>
                <w:ilvl w:val="0"/>
                <w:numId w:val="113"/>
              </w:numPr>
              <w:rPr>
                <w:i/>
                <w:sz w:val="22"/>
                <w:szCs w:val="22"/>
              </w:rPr>
            </w:pPr>
          </w:p>
        </w:tc>
        <w:tc>
          <w:tcPr>
            <w:tcW w:w="1778" w:type="dxa"/>
          </w:tcPr>
          <w:p w14:paraId="578CFE39" w14:textId="77777777" w:rsidR="001C08A5" w:rsidRDefault="00000000">
            <w:pPr>
              <w:jc w:val="both"/>
              <w:rPr>
                <w:b/>
                <w:bCs/>
                <w:i/>
                <w:sz w:val="22"/>
                <w:szCs w:val="22"/>
                <w:lang w:val="en-GB"/>
              </w:rPr>
            </w:pPr>
            <w:hyperlink r:id="rId693" w:history="1">
              <w:r>
                <w:rPr>
                  <w:b/>
                  <w:bCs/>
                  <w:i/>
                  <w:sz w:val="22"/>
                  <w:szCs w:val="22"/>
                </w:rPr>
                <w:t>SR EN 1363-1</w:t>
              </w:r>
            </w:hyperlink>
          </w:p>
        </w:tc>
        <w:tc>
          <w:tcPr>
            <w:tcW w:w="7164" w:type="dxa"/>
          </w:tcPr>
          <w:p w14:paraId="5701ABF8" w14:textId="77777777" w:rsidR="001C08A5" w:rsidRDefault="00000000">
            <w:pPr>
              <w:jc w:val="both"/>
              <w:rPr>
                <w:i/>
                <w:sz w:val="22"/>
                <w:szCs w:val="22"/>
                <w:lang w:val="en-GB"/>
              </w:rPr>
            </w:pPr>
            <w:r>
              <w:rPr>
                <w:i/>
                <w:sz w:val="22"/>
                <w:szCs w:val="22"/>
              </w:rPr>
              <w:t>Încercări de rezistență la foc. Partea 1: Cerințe generale</w:t>
            </w:r>
          </w:p>
        </w:tc>
      </w:tr>
      <w:tr w:rsidR="001C08A5" w14:paraId="79E49FD5" w14:textId="77777777">
        <w:tc>
          <w:tcPr>
            <w:tcW w:w="664" w:type="dxa"/>
          </w:tcPr>
          <w:p w14:paraId="0ABAACB9" w14:textId="77777777" w:rsidR="001C08A5" w:rsidRDefault="001C08A5">
            <w:pPr>
              <w:numPr>
                <w:ilvl w:val="0"/>
                <w:numId w:val="113"/>
              </w:numPr>
              <w:rPr>
                <w:i/>
                <w:sz w:val="22"/>
                <w:szCs w:val="22"/>
              </w:rPr>
            </w:pPr>
          </w:p>
        </w:tc>
        <w:tc>
          <w:tcPr>
            <w:tcW w:w="1778" w:type="dxa"/>
          </w:tcPr>
          <w:p w14:paraId="3680E430" w14:textId="77777777" w:rsidR="001C08A5" w:rsidRDefault="00000000">
            <w:pPr>
              <w:jc w:val="both"/>
              <w:rPr>
                <w:b/>
                <w:bCs/>
                <w:i/>
                <w:sz w:val="22"/>
                <w:szCs w:val="22"/>
                <w:lang w:val="en-GB"/>
              </w:rPr>
            </w:pPr>
            <w:hyperlink r:id="rId694" w:history="1">
              <w:r>
                <w:rPr>
                  <w:b/>
                  <w:bCs/>
                  <w:i/>
                  <w:sz w:val="22"/>
                  <w:szCs w:val="22"/>
                </w:rPr>
                <w:t>SR EN 1363-2</w:t>
              </w:r>
            </w:hyperlink>
          </w:p>
        </w:tc>
        <w:tc>
          <w:tcPr>
            <w:tcW w:w="7164" w:type="dxa"/>
          </w:tcPr>
          <w:p w14:paraId="09BEDB02" w14:textId="77777777" w:rsidR="001C08A5" w:rsidRDefault="00000000">
            <w:pPr>
              <w:jc w:val="both"/>
              <w:rPr>
                <w:i/>
                <w:sz w:val="22"/>
                <w:szCs w:val="22"/>
                <w:lang w:val="en-GB"/>
              </w:rPr>
            </w:pPr>
            <w:r>
              <w:rPr>
                <w:i/>
                <w:sz w:val="22"/>
                <w:szCs w:val="22"/>
              </w:rPr>
              <w:t>Încercări de rezistenţă la foc. Partea 2: Proceduri alternative şi suplimentare</w:t>
            </w:r>
          </w:p>
        </w:tc>
      </w:tr>
      <w:tr w:rsidR="001C08A5" w14:paraId="6124BD60" w14:textId="77777777">
        <w:tc>
          <w:tcPr>
            <w:tcW w:w="664" w:type="dxa"/>
          </w:tcPr>
          <w:p w14:paraId="52D4B2DA" w14:textId="77777777" w:rsidR="001C08A5" w:rsidRDefault="001C08A5">
            <w:pPr>
              <w:numPr>
                <w:ilvl w:val="0"/>
                <w:numId w:val="113"/>
              </w:numPr>
              <w:rPr>
                <w:i/>
                <w:sz w:val="22"/>
                <w:szCs w:val="22"/>
              </w:rPr>
            </w:pPr>
          </w:p>
        </w:tc>
        <w:tc>
          <w:tcPr>
            <w:tcW w:w="1778" w:type="dxa"/>
          </w:tcPr>
          <w:p w14:paraId="44DE346E" w14:textId="77777777" w:rsidR="001C08A5" w:rsidRDefault="00000000">
            <w:pPr>
              <w:jc w:val="both"/>
              <w:rPr>
                <w:b/>
                <w:bCs/>
                <w:i/>
                <w:sz w:val="22"/>
                <w:szCs w:val="22"/>
                <w:lang w:val="en-GB"/>
              </w:rPr>
            </w:pPr>
            <w:hyperlink r:id="rId695" w:history="1">
              <w:r>
                <w:rPr>
                  <w:b/>
                  <w:bCs/>
                  <w:i/>
                  <w:sz w:val="22"/>
                  <w:szCs w:val="22"/>
                  <w:lang w:val="en-GB"/>
                </w:rPr>
                <w:t>SR EN 14470-1</w:t>
              </w:r>
            </w:hyperlink>
          </w:p>
          <w:p w14:paraId="1B8E34A2" w14:textId="77777777" w:rsidR="001C08A5" w:rsidRDefault="001C08A5">
            <w:pPr>
              <w:jc w:val="center"/>
              <w:rPr>
                <w:b/>
                <w:bCs/>
                <w:i/>
                <w:sz w:val="22"/>
                <w:szCs w:val="22"/>
                <w:lang w:val="en-GB"/>
              </w:rPr>
            </w:pPr>
          </w:p>
        </w:tc>
        <w:tc>
          <w:tcPr>
            <w:tcW w:w="7164" w:type="dxa"/>
          </w:tcPr>
          <w:p w14:paraId="3985E812" w14:textId="77777777" w:rsidR="001C08A5" w:rsidRDefault="00000000">
            <w:pPr>
              <w:jc w:val="both"/>
              <w:rPr>
                <w:i/>
                <w:sz w:val="22"/>
                <w:szCs w:val="22"/>
                <w:lang w:val="en-GB"/>
              </w:rPr>
            </w:pPr>
            <w:r>
              <w:rPr>
                <w:i/>
                <w:sz w:val="22"/>
                <w:szCs w:val="22"/>
                <w:lang w:val="en-GB"/>
              </w:rPr>
              <w:t>Dulapuri de securitate în caz de incendiu pentru depozitare. Partea 1: Dulapuri de securitate pentru depozitarea lichidelor inflamabile</w:t>
            </w:r>
          </w:p>
        </w:tc>
      </w:tr>
      <w:tr w:rsidR="001C08A5" w14:paraId="00B79288" w14:textId="77777777">
        <w:tc>
          <w:tcPr>
            <w:tcW w:w="664" w:type="dxa"/>
          </w:tcPr>
          <w:p w14:paraId="5981E69D" w14:textId="77777777" w:rsidR="001C08A5" w:rsidRDefault="001C08A5">
            <w:pPr>
              <w:numPr>
                <w:ilvl w:val="0"/>
                <w:numId w:val="113"/>
              </w:numPr>
              <w:rPr>
                <w:i/>
                <w:sz w:val="22"/>
                <w:szCs w:val="22"/>
              </w:rPr>
            </w:pPr>
          </w:p>
        </w:tc>
        <w:tc>
          <w:tcPr>
            <w:tcW w:w="1778" w:type="dxa"/>
          </w:tcPr>
          <w:p w14:paraId="6778ED99" w14:textId="77777777" w:rsidR="001C08A5" w:rsidRDefault="00000000">
            <w:pPr>
              <w:jc w:val="both"/>
              <w:rPr>
                <w:b/>
                <w:bCs/>
                <w:i/>
                <w:sz w:val="22"/>
                <w:szCs w:val="22"/>
                <w:lang w:val="en-GB"/>
              </w:rPr>
            </w:pPr>
            <w:hyperlink r:id="rId696" w:history="1">
              <w:r>
                <w:rPr>
                  <w:b/>
                  <w:bCs/>
                  <w:i/>
                  <w:sz w:val="22"/>
                  <w:szCs w:val="22"/>
                  <w:lang w:val="en-GB"/>
                </w:rPr>
                <w:t>SR EN 14470-2</w:t>
              </w:r>
            </w:hyperlink>
          </w:p>
          <w:p w14:paraId="253FFB3F" w14:textId="77777777" w:rsidR="001C08A5" w:rsidRDefault="001C08A5">
            <w:pPr>
              <w:tabs>
                <w:tab w:val="left" w:pos="970"/>
              </w:tabs>
              <w:jc w:val="both"/>
              <w:rPr>
                <w:b/>
                <w:bCs/>
                <w:i/>
                <w:sz w:val="22"/>
                <w:szCs w:val="22"/>
                <w:lang w:val="en-GB"/>
              </w:rPr>
            </w:pPr>
          </w:p>
        </w:tc>
        <w:tc>
          <w:tcPr>
            <w:tcW w:w="7164" w:type="dxa"/>
          </w:tcPr>
          <w:p w14:paraId="2296729C" w14:textId="77777777" w:rsidR="001C08A5" w:rsidRDefault="00000000">
            <w:pPr>
              <w:jc w:val="both"/>
              <w:rPr>
                <w:i/>
                <w:sz w:val="22"/>
                <w:szCs w:val="22"/>
                <w:lang w:val="en-GB"/>
              </w:rPr>
            </w:pPr>
            <w:r>
              <w:rPr>
                <w:i/>
                <w:sz w:val="22"/>
                <w:szCs w:val="22"/>
                <w:lang w:val="en-GB"/>
              </w:rPr>
              <w:t>Dulapuri de securitate în caz de incendiu pentru depozitare. Partea 2: Dulapuri de securitate pentru butelii de gaz sub presiune</w:t>
            </w:r>
          </w:p>
        </w:tc>
      </w:tr>
      <w:tr w:rsidR="001C08A5" w14:paraId="3791CB2B" w14:textId="77777777">
        <w:tc>
          <w:tcPr>
            <w:tcW w:w="664" w:type="dxa"/>
          </w:tcPr>
          <w:p w14:paraId="1D7D264D" w14:textId="77777777" w:rsidR="001C08A5" w:rsidRDefault="001C08A5">
            <w:pPr>
              <w:numPr>
                <w:ilvl w:val="0"/>
                <w:numId w:val="113"/>
              </w:numPr>
              <w:rPr>
                <w:i/>
                <w:sz w:val="22"/>
                <w:szCs w:val="22"/>
              </w:rPr>
            </w:pPr>
          </w:p>
        </w:tc>
        <w:tc>
          <w:tcPr>
            <w:tcW w:w="1778" w:type="dxa"/>
          </w:tcPr>
          <w:p w14:paraId="653328F8" w14:textId="77777777" w:rsidR="001C08A5" w:rsidRDefault="00000000">
            <w:pPr>
              <w:jc w:val="both"/>
              <w:rPr>
                <w:b/>
                <w:bCs/>
                <w:i/>
                <w:sz w:val="22"/>
                <w:szCs w:val="22"/>
                <w:lang w:val="en-GB"/>
              </w:rPr>
            </w:pPr>
            <w:hyperlink r:id="rId697" w:history="1">
              <w:r>
                <w:rPr>
                  <w:b/>
                  <w:bCs/>
                  <w:i/>
                  <w:sz w:val="22"/>
                  <w:szCs w:val="22"/>
                  <w:lang w:val="en-GB"/>
                </w:rPr>
                <w:t>SR EN 16081</w:t>
              </w:r>
            </w:hyperlink>
          </w:p>
          <w:p w14:paraId="76B7A4FE" w14:textId="77777777" w:rsidR="001C08A5" w:rsidRDefault="001C08A5">
            <w:pPr>
              <w:jc w:val="both"/>
              <w:rPr>
                <w:b/>
                <w:bCs/>
                <w:i/>
                <w:sz w:val="22"/>
                <w:szCs w:val="22"/>
                <w:lang w:val="en-GB"/>
              </w:rPr>
            </w:pPr>
          </w:p>
        </w:tc>
        <w:tc>
          <w:tcPr>
            <w:tcW w:w="7164" w:type="dxa"/>
          </w:tcPr>
          <w:p w14:paraId="7E41A632" w14:textId="77777777" w:rsidR="001C08A5" w:rsidRDefault="00000000">
            <w:pPr>
              <w:jc w:val="both"/>
              <w:rPr>
                <w:i/>
                <w:sz w:val="22"/>
                <w:szCs w:val="22"/>
                <w:lang w:val="en-GB"/>
              </w:rPr>
            </w:pPr>
            <w:r>
              <w:rPr>
                <w:i/>
                <w:sz w:val="22"/>
                <w:szCs w:val="22"/>
                <w:lang w:val="en-GB"/>
              </w:rPr>
              <w:t>Camere hiperbarice. Cerinţe specifice pentru sistemele de luptă împotriva incendiului. Performanţe, instalare şi încercări</w:t>
            </w:r>
          </w:p>
        </w:tc>
      </w:tr>
      <w:tr w:rsidR="001C08A5" w14:paraId="0418ACAE" w14:textId="77777777">
        <w:tc>
          <w:tcPr>
            <w:tcW w:w="664" w:type="dxa"/>
          </w:tcPr>
          <w:p w14:paraId="6F2C05F6" w14:textId="77777777" w:rsidR="001C08A5" w:rsidRDefault="001C08A5">
            <w:pPr>
              <w:numPr>
                <w:ilvl w:val="0"/>
                <w:numId w:val="113"/>
              </w:numPr>
              <w:rPr>
                <w:i/>
                <w:sz w:val="22"/>
                <w:szCs w:val="22"/>
              </w:rPr>
            </w:pPr>
          </w:p>
        </w:tc>
        <w:tc>
          <w:tcPr>
            <w:tcW w:w="1778" w:type="dxa"/>
          </w:tcPr>
          <w:p w14:paraId="06EDAA4D" w14:textId="77777777" w:rsidR="001C08A5" w:rsidRDefault="00000000">
            <w:pPr>
              <w:jc w:val="both"/>
              <w:rPr>
                <w:b/>
                <w:bCs/>
                <w:i/>
                <w:sz w:val="22"/>
                <w:szCs w:val="22"/>
                <w:lang w:val="en-GB"/>
              </w:rPr>
            </w:pPr>
            <w:hyperlink r:id="rId698" w:history="1">
              <w:r>
                <w:rPr>
                  <w:b/>
                  <w:bCs/>
                  <w:i/>
                  <w:sz w:val="22"/>
                  <w:szCs w:val="22"/>
                  <w:lang w:val="en-GB"/>
                </w:rPr>
                <w:t>SR EN 12951</w:t>
              </w:r>
            </w:hyperlink>
          </w:p>
          <w:p w14:paraId="66AB103B" w14:textId="77777777" w:rsidR="001C08A5" w:rsidRDefault="001C08A5">
            <w:pPr>
              <w:tabs>
                <w:tab w:val="left" w:pos="910"/>
              </w:tabs>
              <w:jc w:val="both"/>
              <w:rPr>
                <w:b/>
                <w:bCs/>
                <w:i/>
                <w:sz w:val="22"/>
                <w:szCs w:val="22"/>
                <w:lang w:val="en-GB"/>
              </w:rPr>
            </w:pPr>
          </w:p>
        </w:tc>
        <w:tc>
          <w:tcPr>
            <w:tcW w:w="7164" w:type="dxa"/>
          </w:tcPr>
          <w:p w14:paraId="4B9A937B" w14:textId="77777777" w:rsidR="001C08A5" w:rsidRDefault="00000000">
            <w:pPr>
              <w:jc w:val="both"/>
              <w:rPr>
                <w:i/>
                <w:sz w:val="22"/>
                <w:szCs w:val="22"/>
                <w:lang w:val="en-GB"/>
              </w:rPr>
            </w:pPr>
            <w:r>
              <w:rPr>
                <w:i/>
                <w:sz w:val="22"/>
                <w:szCs w:val="22"/>
                <w:lang w:val="en-GB"/>
              </w:rPr>
              <w:t>Accesorii prefabricate pentru învelitoare de acoperiş. Scări de acoperiş fixate permanent. Specificaţie de produs şi metode de încercări</w:t>
            </w:r>
          </w:p>
        </w:tc>
      </w:tr>
      <w:tr w:rsidR="001C08A5" w14:paraId="5D08AD5B" w14:textId="77777777">
        <w:tc>
          <w:tcPr>
            <w:tcW w:w="664" w:type="dxa"/>
          </w:tcPr>
          <w:p w14:paraId="41A53E44" w14:textId="77777777" w:rsidR="001C08A5" w:rsidRDefault="001C08A5">
            <w:pPr>
              <w:numPr>
                <w:ilvl w:val="0"/>
                <w:numId w:val="113"/>
              </w:numPr>
              <w:rPr>
                <w:i/>
                <w:sz w:val="22"/>
                <w:szCs w:val="22"/>
              </w:rPr>
            </w:pPr>
          </w:p>
        </w:tc>
        <w:tc>
          <w:tcPr>
            <w:tcW w:w="1778" w:type="dxa"/>
          </w:tcPr>
          <w:p w14:paraId="7B52933C" w14:textId="77777777" w:rsidR="001C08A5" w:rsidRDefault="00000000">
            <w:pPr>
              <w:jc w:val="both"/>
              <w:rPr>
                <w:b/>
                <w:bCs/>
                <w:i/>
                <w:sz w:val="22"/>
                <w:szCs w:val="22"/>
                <w:lang w:val="en-GB"/>
              </w:rPr>
            </w:pPr>
            <w:hyperlink r:id="rId699" w:history="1">
              <w:r>
                <w:rPr>
                  <w:b/>
                  <w:bCs/>
                  <w:i/>
                  <w:sz w:val="22"/>
                  <w:szCs w:val="22"/>
                  <w:lang w:val="en-GB"/>
                </w:rPr>
                <w:t>SR EN 15998</w:t>
              </w:r>
            </w:hyperlink>
          </w:p>
          <w:p w14:paraId="29E77184" w14:textId="77777777" w:rsidR="001C08A5" w:rsidRDefault="001C08A5">
            <w:pPr>
              <w:jc w:val="both"/>
              <w:rPr>
                <w:b/>
                <w:bCs/>
                <w:i/>
                <w:sz w:val="22"/>
                <w:szCs w:val="22"/>
                <w:lang w:val="en-GB"/>
              </w:rPr>
            </w:pPr>
          </w:p>
        </w:tc>
        <w:tc>
          <w:tcPr>
            <w:tcW w:w="7164" w:type="dxa"/>
          </w:tcPr>
          <w:p w14:paraId="2EFA8D3A" w14:textId="77777777" w:rsidR="001C08A5" w:rsidRDefault="00000000">
            <w:pPr>
              <w:jc w:val="both"/>
              <w:rPr>
                <w:i/>
                <w:sz w:val="22"/>
                <w:szCs w:val="22"/>
                <w:lang w:val="en-GB"/>
              </w:rPr>
            </w:pPr>
            <w:r>
              <w:rPr>
                <w:i/>
                <w:sz w:val="22"/>
                <w:szCs w:val="22"/>
                <w:lang w:val="en-GB"/>
              </w:rPr>
              <w:t>Sticlă pentru construcţii. Securitate în caz de incendiu, rezistenţă la foc. Metodologie de încercare a sticlei în scopul clasificării</w:t>
            </w:r>
          </w:p>
        </w:tc>
      </w:tr>
      <w:tr w:rsidR="001C08A5" w14:paraId="19D1C4DB" w14:textId="77777777">
        <w:trPr>
          <w:trHeight w:val="272"/>
        </w:trPr>
        <w:tc>
          <w:tcPr>
            <w:tcW w:w="664" w:type="dxa"/>
          </w:tcPr>
          <w:p w14:paraId="30EF5A3F" w14:textId="77777777" w:rsidR="001C08A5" w:rsidRDefault="001C08A5">
            <w:pPr>
              <w:numPr>
                <w:ilvl w:val="0"/>
                <w:numId w:val="113"/>
              </w:numPr>
              <w:rPr>
                <w:i/>
                <w:sz w:val="22"/>
                <w:szCs w:val="22"/>
              </w:rPr>
            </w:pPr>
          </w:p>
        </w:tc>
        <w:tc>
          <w:tcPr>
            <w:tcW w:w="1778" w:type="dxa"/>
          </w:tcPr>
          <w:p w14:paraId="6965E2B9" w14:textId="77777777" w:rsidR="001C08A5" w:rsidRDefault="00000000">
            <w:pPr>
              <w:jc w:val="both"/>
              <w:rPr>
                <w:b/>
                <w:bCs/>
                <w:i/>
                <w:sz w:val="22"/>
                <w:szCs w:val="22"/>
                <w:lang w:val="en-GB"/>
              </w:rPr>
            </w:pPr>
            <w:hyperlink r:id="rId700" w:history="1">
              <w:r>
                <w:rPr>
                  <w:b/>
                  <w:bCs/>
                  <w:i/>
                  <w:sz w:val="22"/>
                  <w:szCs w:val="22"/>
                  <w:lang w:val="en-GB"/>
                </w:rPr>
                <w:t>SR EN 16763</w:t>
              </w:r>
            </w:hyperlink>
          </w:p>
        </w:tc>
        <w:tc>
          <w:tcPr>
            <w:tcW w:w="7164" w:type="dxa"/>
          </w:tcPr>
          <w:p w14:paraId="04B7CA1F" w14:textId="77777777" w:rsidR="001C08A5" w:rsidRDefault="00000000">
            <w:pPr>
              <w:jc w:val="both"/>
              <w:rPr>
                <w:i/>
                <w:sz w:val="22"/>
                <w:szCs w:val="22"/>
                <w:lang w:val="en-GB"/>
              </w:rPr>
            </w:pPr>
            <w:r>
              <w:rPr>
                <w:i/>
                <w:sz w:val="22"/>
                <w:szCs w:val="22"/>
                <w:lang w:val="en-GB"/>
              </w:rPr>
              <w:t>Servicii pentru sisteme de securitate la incendiu şi sisteme de securitate</w:t>
            </w:r>
          </w:p>
        </w:tc>
      </w:tr>
      <w:tr w:rsidR="001C08A5" w14:paraId="610BEA58" w14:textId="77777777">
        <w:tc>
          <w:tcPr>
            <w:tcW w:w="664" w:type="dxa"/>
          </w:tcPr>
          <w:p w14:paraId="1F79C4E0" w14:textId="77777777" w:rsidR="001C08A5" w:rsidRDefault="001C08A5">
            <w:pPr>
              <w:numPr>
                <w:ilvl w:val="0"/>
                <w:numId w:val="113"/>
              </w:numPr>
              <w:rPr>
                <w:i/>
                <w:sz w:val="22"/>
                <w:szCs w:val="22"/>
              </w:rPr>
            </w:pPr>
          </w:p>
        </w:tc>
        <w:tc>
          <w:tcPr>
            <w:tcW w:w="1778" w:type="dxa"/>
          </w:tcPr>
          <w:p w14:paraId="1D828B83" w14:textId="77777777" w:rsidR="001C08A5" w:rsidRDefault="00000000">
            <w:pPr>
              <w:jc w:val="both"/>
              <w:rPr>
                <w:b/>
                <w:bCs/>
                <w:i/>
                <w:sz w:val="22"/>
                <w:szCs w:val="22"/>
                <w:lang w:val="en-GB"/>
              </w:rPr>
            </w:pPr>
            <w:hyperlink r:id="rId701" w:history="1">
              <w:r>
                <w:rPr>
                  <w:b/>
                  <w:bCs/>
                  <w:i/>
                  <w:sz w:val="22"/>
                  <w:szCs w:val="22"/>
                  <w:lang w:val="en-GB"/>
                </w:rPr>
                <w:t>SR EN 17407</w:t>
              </w:r>
            </w:hyperlink>
          </w:p>
          <w:p w14:paraId="342ED4AB" w14:textId="77777777" w:rsidR="001C08A5" w:rsidRDefault="001C08A5">
            <w:pPr>
              <w:jc w:val="both"/>
              <w:rPr>
                <w:b/>
                <w:bCs/>
                <w:i/>
                <w:sz w:val="22"/>
                <w:szCs w:val="22"/>
                <w:lang w:val="en-GB"/>
              </w:rPr>
            </w:pPr>
          </w:p>
        </w:tc>
        <w:tc>
          <w:tcPr>
            <w:tcW w:w="7164" w:type="dxa"/>
          </w:tcPr>
          <w:p w14:paraId="03A160D1" w14:textId="77777777" w:rsidR="001C08A5" w:rsidRDefault="00000000">
            <w:pPr>
              <w:jc w:val="both"/>
              <w:rPr>
                <w:i/>
                <w:sz w:val="22"/>
                <w:szCs w:val="22"/>
                <w:lang w:val="en-GB"/>
              </w:rPr>
            </w:pPr>
            <w:r>
              <w:rPr>
                <w:i/>
                <w:sz w:val="22"/>
                <w:szCs w:val="22"/>
                <w:lang w:val="en-GB"/>
              </w:rPr>
              <w:t>Echipamente portabile pentru refularea produselor de stingere furnizate de pompe de incendiu. Colectoare şi distribuitoare PN16</w:t>
            </w:r>
          </w:p>
        </w:tc>
      </w:tr>
      <w:tr w:rsidR="001C08A5" w14:paraId="2F363930" w14:textId="77777777">
        <w:tc>
          <w:tcPr>
            <w:tcW w:w="664" w:type="dxa"/>
          </w:tcPr>
          <w:p w14:paraId="212A298E" w14:textId="77777777" w:rsidR="001C08A5" w:rsidRDefault="001C08A5">
            <w:pPr>
              <w:numPr>
                <w:ilvl w:val="0"/>
                <w:numId w:val="113"/>
              </w:numPr>
              <w:rPr>
                <w:i/>
                <w:sz w:val="22"/>
                <w:szCs w:val="22"/>
              </w:rPr>
            </w:pPr>
          </w:p>
        </w:tc>
        <w:tc>
          <w:tcPr>
            <w:tcW w:w="1778" w:type="dxa"/>
          </w:tcPr>
          <w:p w14:paraId="69890287" w14:textId="77777777" w:rsidR="001C08A5" w:rsidRDefault="00000000">
            <w:pPr>
              <w:jc w:val="both"/>
              <w:rPr>
                <w:b/>
                <w:bCs/>
                <w:i/>
                <w:sz w:val="22"/>
                <w:szCs w:val="22"/>
                <w:lang w:val="en-GB"/>
              </w:rPr>
            </w:pPr>
            <w:hyperlink r:id="rId702" w:history="1">
              <w:r>
                <w:rPr>
                  <w:b/>
                  <w:bCs/>
                  <w:i/>
                  <w:sz w:val="22"/>
                  <w:szCs w:val="22"/>
                  <w:lang w:val="en-GB"/>
                </w:rPr>
                <w:t>SR EN IEC 60331-1</w:t>
              </w:r>
            </w:hyperlink>
          </w:p>
          <w:p w14:paraId="4832DBFF" w14:textId="77777777" w:rsidR="001C08A5" w:rsidRDefault="001C08A5">
            <w:pPr>
              <w:jc w:val="both"/>
              <w:rPr>
                <w:b/>
                <w:bCs/>
                <w:i/>
                <w:sz w:val="22"/>
                <w:szCs w:val="22"/>
                <w:lang w:val="en-GB"/>
              </w:rPr>
            </w:pPr>
          </w:p>
        </w:tc>
        <w:tc>
          <w:tcPr>
            <w:tcW w:w="7164" w:type="dxa"/>
          </w:tcPr>
          <w:p w14:paraId="622E8F24" w14:textId="77777777" w:rsidR="001C08A5" w:rsidRDefault="00000000">
            <w:pPr>
              <w:jc w:val="both"/>
              <w:rPr>
                <w:i/>
                <w:sz w:val="22"/>
                <w:szCs w:val="22"/>
                <w:lang w:val="en-GB"/>
              </w:rPr>
            </w:pPr>
            <w:r>
              <w:rPr>
                <w:i/>
                <w:sz w:val="22"/>
                <w:szCs w:val="22"/>
                <w:lang w:val="en-GB"/>
              </w:rPr>
              <w:t>Încercări pentru cabluri electrice în condiții de incendiu. Integritatea circuitelor. Partea 1: Metodă de încercare la foc cu șoc la o temperatură de cel puțin 830 °C pentru cabluri cu tensiunea nominală de până la 0,6 / 1,0 kV inclusiv și diametrul exterior mai mare de 20 mm</w:t>
            </w:r>
          </w:p>
        </w:tc>
      </w:tr>
      <w:tr w:rsidR="001C08A5" w14:paraId="66AA197D" w14:textId="77777777">
        <w:tc>
          <w:tcPr>
            <w:tcW w:w="664" w:type="dxa"/>
          </w:tcPr>
          <w:p w14:paraId="4E3CA97F" w14:textId="77777777" w:rsidR="001C08A5" w:rsidRDefault="001C08A5">
            <w:pPr>
              <w:numPr>
                <w:ilvl w:val="0"/>
                <w:numId w:val="113"/>
              </w:numPr>
              <w:rPr>
                <w:i/>
                <w:sz w:val="22"/>
                <w:szCs w:val="22"/>
              </w:rPr>
            </w:pPr>
          </w:p>
        </w:tc>
        <w:tc>
          <w:tcPr>
            <w:tcW w:w="1778" w:type="dxa"/>
          </w:tcPr>
          <w:p w14:paraId="083F5CC9" w14:textId="77777777" w:rsidR="001C08A5" w:rsidRDefault="00000000">
            <w:pPr>
              <w:jc w:val="both"/>
              <w:rPr>
                <w:b/>
                <w:bCs/>
                <w:i/>
                <w:sz w:val="22"/>
                <w:szCs w:val="22"/>
                <w:lang w:val="en-GB"/>
              </w:rPr>
            </w:pPr>
            <w:hyperlink r:id="rId703" w:history="1">
              <w:r>
                <w:rPr>
                  <w:b/>
                  <w:bCs/>
                  <w:i/>
                  <w:sz w:val="22"/>
                  <w:szCs w:val="22"/>
                  <w:lang w:val="en-GB"/>
                </w:rPr>
                <w:t>SR EN 60669-2-6</w:t>
              </w:r>
            </w:hyperlink>
          </w:p>
          <w:p w14:paraId="01D730DD" w14:textId="77777777" w:rsidR="001C08A5" w:rsidRDefault="001C08A5">
            <w:pPr>
              <w:jc w:val="both"/>
              <w:rPr>
                <w:b/>
                <w:bCs/>
                <w:i/>
                <w:sz w:val="22"/>
                <w:szCs w:val="22"/>
                <w:lang w:val="en-GB"/>
              </w:rPr>
            </w:pPr>
          </w:p>
        </w:tc>
        <w:tc>
          <w:tcPr>
            <w:tcW w:w="7164" w:type="dxa"/>
          </w:tcPr>
          <w:p w14:paraId="377A3759" w14:textId="77777777" w:rsidR="001C08A5" w:rsidRDefault="00000000">
            <w:pPr>
              <w:jc w:val="both"/>
              <w:rPr>
                <w:i/>
                <w:sz w:val="22"/>
                <w:szCs w:val="22"/>
                <w:lang w:val="en-GB"/>
              </w:rPr>
            </w:pPr>
            <w:r>
              <w:rPr>
                <w:i/>
                <w:sz w:val="22"/>
                <w:szCs w:val="22"/>
                <w:lang w:val="en-GB"/>
              </w:rPr>
              <w:t>Întreruptoare pentru instalaţiile electrice fixe pentru utilizare casnică şi similară. Partea 2-6: Prescripţii particulare. Întreruptoare pentru oprire de urgenţă în caz de incendiu pentru reclame luminoase şi corpuri de iluminat de interior şi de exterior</w:t>
            </w:r>
          </w:p>
        </w:tc>
      </w:tr>
      <w:tr w:rsidR="001C08A5" w14:paraId="1921B4F9" w14:textId="77777777">
        <w:tc>
          <w:tcPr>
            <w:tcW w:w="664" w:type="dxa"/>
          </w:tcPr>
          <w:p w14:paraId="26A0BE2F" w14:textId="77777777" w:rsidR="001C08A5" w:rsidRDefault="001C08A5">
            <w:pPr>
              <w:numPr>
                <w:ilvl w:val="0"/>
                <w:numId w:val="113"/>
              </w:numPr>
              <w:rPr>
                <w:i/>
                <w:sz w:val="22"/>
                <w:szCs w:val="22"/>
              </w:rPr>
            </w:pPr>
          </w:p>
        </w:tc>
        <w:tc>
          <w:tcPr>
            <w:tcW w:w="1778" w:type="dxa"/>
          </w:tcPr>
          <w:p w14:paraId="7FACC885" w14:textId="77777777" w:rsidR="001C08A5" w:rsidRDefault="00000000">
            <w:pPr>
              <w:jc w:val="both"/>
              <w:rPr>
                <w:b/>
                <w:bCs/>
                <w:i/>
                <w:sz w:val="22"/>
                <w:szCs w:val="22"/>
                <w:lang w:val="en-GB"/>
              </w:rPr>
            </w:pPr>
            <w:hyperlink r:id="rId704" w:history="1">
              <w:r>
                <w:rPr>
                  <w:b/>
                  <w:bCs/>
                  <w:i/>
                  <w:sz w:val="22"/>
                  <w:szCs w:val="22"/>
                  <w:lang w:val="en-GB"/>
                </w:rPr>
                <w:t>SR EN IEC 60695-1-12</w:t>
              </w:r>
            </w:hyperlink>
          </w:p>
          <w:p w14:paraId="2295800B" w14:textId="77777777" w:rsidR="001C08A5" w:rsidRDefault="001C08A5">
            <w:pPr>
              <w:jc w:val="both"/>
              <w:rPr>
                <w:b/>
                <w:bCs/>
                <w:i/>
                <w:sz w:val="22"/>
                <w:szCs w:val="22"/>
                <w:lang w:val="en-GB"/>
              </w:rPr>
            </w:pPr>
          </w:p>
        </w:tc>
        <w:tc>
          <w:tcPr>
            <w:tcW w:w="7164" w:type="dxa"/>
          </w:tcPr>
          <w:p w14:paraId="5C5DE4DC" w14:textId="77777777" w:rsidR="001C08A5" w:rsidRDefault="00000000">
            <w:pPr>
              <w:jc w:val="both"/>
              <w:rPr>
                <w:i/>
                <w:sz w:val="22"/>
                <w:szCs w:val="22"/>
                <w:lang w:val="en-GB"/>
              </w:rPr>
            </w:pPr>
            <w:r>
              <w:rPr>
                <w:i/>
                <w:sz w:val="22"/>
                <w:szCs w:val="22"/>
                <w:lang w:val="en-GB"/>
              </w:rPr>
              <w:t>Încercări privind riscul de incendiu. Partea 1-12: Ghid pentru evaluarea riscului de incendiu al produselor electrotehnice. Ingineria securității la incendiu</w:t>
            </w:r>
          </w:p>
        </w:tc>
      </w:tr>
      <w:tr w:rsidR="001C08A5" w14:paraId="51E8DFCD" w14:textId="77777777">
        <w:tc>
          <w:tcPr>
            <w:tcW w:w="664" w:type="dxa"/>
          </w:tcPr>
          <w:p w14:paraId="3D288142" w14:textId="77777777" w:rsidR="001C08A5" w:rsidRDefault="001C08A5">
            <w:pPr>
              <w:numPr>
                <w:ilvl w:val="0"/>
                <w:numId w:val="113"/>
              </w:numPr>
              <w:rPr>
                <w:i/>
                <w:sz w:val="22"/>
                <w:szCs w:val="22"/>
              </w:rPr>
            </w:pPr>
          </w:p>
        </w:tc>
        <w:tc>
          <w:tcPr>
            <w:tcW w:w="1778" w:type="dxa"/>
          </w:tcPr>
          <w:p w14:paraId="55F3A1C8" w14:textId="77777777" w:rsidR="001C08A5" w:rsidRDefault="00000000">
            <w:pPr>
              <w:jc w:val="both"/>
              <w:rPr>
                <w:b/>
                <w:bCs/>
                <w:i/>
                <w:sz w:val="22"/>
                <w:szCs w:val="22"/>
                <w:lang w:val="en-GB"/>
              </w:rPr>
            </w:pPr>
            <w:r>
              <w:rPr>
                <w:b/>
                <w:bCs/>
                <w:i/>
                <w:sz w:val="22"/>
                <w:szCs w:val="22"/>
                <w:lang w:val="en-GB"/>
              </w:rPr>
              <w:t>SR EN 60695-7-1</w:t>
            </w:r>
          </w:p>
        </w:tc>
        <w:tc>
          <w:tcPr>
            <w:tcW w:w="7164" w:type="dxa"/>
          </w:tcPr>
          <w:p w14:paraId="7E926991" w14:textId="77777777" w:rsidR="001C08A5" w:rsidRDefault="00000000">
            <w:pPr>
              <w:jc w:val="both"/>
              <w:rPr>
                <w:i/>
                <w:sz w:val="22"/>
                <w:szCs w:val="22"/>
                <w:lang w:val="en-GB"/>
              </w:rPr>
            </w:pPr>
            <w:r>
              <w:rPr>
                <w:i/>
                <w:sz w:val="22"/>
                <w:szCs w:val="22"/>
                <w:lang w:val="en-GB"/>
              </w:rPr>
              <w:t>Încercări privind riscurile de foc. Partea 7-1: Toxicitatea efluenţilor incendiului. Ghid general</w:t>
            </w:r>
          </w:p>
        </w:tc>
      </w:tr>
      <w:tr w:rsidR="001C08A5" w14:paraId="3624252B" w14:textId="77777777">
        <w:tc>
          <w:tcPr>
            <w:tcW w:w="664" w:type="dxa"/>
          </w:tcPr>
          <w:p w14:paraId="6DDEACB0" w14:textId="77777777" w:rsidR="001C08A5" w:rsidRDefault="001C08A5">
            <w:pPr>
              <w:numPr>
                <w:ilvl w:val="0"/>
                <w:numId w:val="113"/>
              </w:numPr>
              <w:rPr>
                <w:i/>
                <w:sz w:val="22"/>
                <w:szCs w:val="22"/>
              </w:rPr>
            </w:pPr>
          </w:p>
        </w:tc>
        <w:tc>
          <w:tcPr>
            <w:tcW w:w="1778" w:type="dxa"/>
          </w:tcPr>
          <w:p w14:paraId="1293C763" w14:textId="77777777" w:rsidR="001C08A5" w:rsidRDefault="00000000">
            <w:pPr>
              <w:jc w:val="both"/>
              <w:rPr>
                <w:b/>
                <w:bCs/>
                <w:i/>
                <w:sz w:val="22"/>
                <w:szCs w:val="22"/>
                <w:lang w:val="en-GB"/>
              </w:rPr>
            </w:pPr>
            <w:hyperlink r:id="rId705" w:history="1">
              <w:r>
                <w:rPr>
                  <w:b/>
                  <w:bCs/>
                  <w:i/>
                  <w:sz w:val="22"/>
                  <w:szCs w:val="22"/>
                  <w:lang w:val="en-GB"/>
                </w:rPr>
                <w:t>SR EN 60695-7-2</w:t>
              </w:r>
            </w:hyperlink>
          </w:p>
        </w:tc>
        <w:tc>
          <w:tcPr>
            <w:tcW w:w="7164" w:type="dxa"/>
          </w:tcPr>
          <w:p w14:paraId="4A54E6B9" w14:textId="77777777" w:rsidR="001C08A5" w:rsidRDefault="00000000">
            <w:pPr>
              <w:jc w:val="both"/>
              <w:rPr>
                <w:i/>
                <w:sz w:val="22"/>
                <w:szCs w:val="22"/>
                <w:lang w:val="en-GB"/>
              </w:rPr>
            </w:pPr>
            <w:r>
              <w:rPr>
                <w:i/>
                <w:sz w:val="22"/>
                <w:szCs w:val="22"/>
                <w:lang w:val="en-GB"/>
              </w:rPr>
              <w:t>Încercări privind riscurile de foc. Partea 7-2: Toxicitatea efluenţilor incendiului. Rezumat şi importanţa metodelor de încercare</w:t>
            </w:r>
          </w:p>
        </w:tc>
      </w:tr>
      <w:tr w:rsidR="001C08A5" w14:paraId="112D62CB" w14:textId="77777777">
        <w:tc>
          <w:tcPr>
            <w:tcW w:w="664" w:type="dxa"/>
          </w:tcPr>
          <w:p w14:paraId="23B2B3EC" w14:textId="77777777" w:rsidR="001C08A5" w:rsidRDefault="001C08A5">
            <w:pPr>
              <w:numPr>
                <w:ilvl w:val="0"/>
                <w:numId w:val="113"/>
              </w:numPr>
              <w:rPr>
                <w:i/>
                <w:sz w:val="22"/>
                <w:szCs w:val="22"/>
              </w:rPr>
            </w:pPr>
          </w:p>
        </w:tc>
        <w:tc>
          <w:tcPr>
            <w:tcW w:w="1778" w:type="dxa"/>
          </w:tcPr>
          <w:p w14:paraId="19AD1B49" w14:textId="77777777" w:rsidR="001C08A5" w:rsidRDefault="00000000">
            <w:pPr>
              <w:jc w:val="both"/>
              <w:rPr>
                <w:b/>
                <w:bCs/>
                <w:i/>
                <w:sz w:val="22"/>
                <w:szCs w:val="22"/>
                <w:lang w:val="en-GB"/>
              </w:rPr>
            </w:pPr>
            <w:hyperlink r:id="rId706" w:history="1">
              <w:r>
                <w:rPr>
                  <w:b/>
                  <w:bCs/>
                  <w:i/>
                  <w:sz w:val="22"/>
                  <w:szCs w:val="22"/>
                  <w:lang w:val="en-GB"/>
                </w:rPr>
                <w:t>SR EN 60695-7-3</w:t>
              </w:r>
            </w:hyperlink>
          </w:p>
        </w:tc>
        <w:tc>
          <w:tcPr>
            <w:tcW w:w="7164" w:type="dxa"/>
          </w:tcPr>
          <w:p w14:paraId="20FC7BFD" w14:textId="77777777" w:rsidR="001C08A5" w:rsidRDefault="00000000">
            <w:pPr>
              <w:jc w:val="both"/>
              <w:rPr>
                <w:i/>
                <w:sz w:val="22"/>
                <w:szCs w:val="22"/>
                <w:lang w:val="en-GB"/>
              </w:rPr>
            </w:pPr>
            <w:r>
              <w:rPr>
                <w:i/>
                <w:sz w:val="22"/>
                <w:szCs w:val="22"/>
                <w:lang w:val="en-GB"/>
              </w:rPr>
              <w:t>Încercări privind riscurile de foc. Partea 7-3: Toxicitatea efluenţilor incendiului. Utilizarea şi interpretarea rezultatelor încercării</w:t>
            </w:r>
          </w:p>
        </w:tc>
      </w:tr>
    </w:tbl>
    <w:p w14:paraId="1533BCF9" w14:textId="77777777" w:rsidR="001C08A5" w:rsidRDefault="001C08A5">
      <w:pPr>
        <w:rPr>
          <w:sz w:val="24"/>
          <w:szCs w:val="24"/>
        </w:rPr>
      </w:pPr>
    </w:p>
    <w:p w14:paraId="7CE54AE9" w14:textId="77777777" w:rsidR="001C08A5" w:rsidRDefault="001C08A5">
      <w:pPr>
        <w:rPr>
          <w:sz w:val="24"/>
          <w:szCs w:val="24"/>
        </w:rPr>
      </w:pPr>
    </w:p>
    <w:p w14:paraId="0377BE2A" w14:textId="77777777" w:rsidR="001C08A5" w:rsidRDefault="001C08A5">
      <w:pPr>
        <w:rPr>
          <w:sz w:val="24"/>
          <w:szCs w:val="24"/>
        </w:rPr>
      </w:pPr>
    </w:p>
    <w:p w14:paraId="23C70BEE" w14:textId="77777777" w:rsidR="001C08A5" w:rsidRDefault="001C08A5">
      <w:pPr>
        <w:rPr>
          <w:sz w:val="24"/>
          <w:szCs w:val="24"/>
        </w:rPr>
      </w:pPr>
    </w:p>
    <w:p w14:paraId="2621658E" w14:textId="77777777" w:rsidR="001C08A5" w:rsidRDefault="001C08A5">
      <w:pPr>
        <w:rPr>
          <w:sz w:val="24"/>
          <w:szCs w:val="24"/>
        </w:rPr>
      </w:pPr>
    </w:p>
    <w:p w14:paraId="6A41C5FC" w14:textId="77777777" w:rsidR="001C08A5" w:rsidRDefault="001C08A5">
      <w:pPr>
        <w:rPr>
          <w:sz w:val="24"/>
          <w:szCs w:val="24"/>
        </w:rPr>
      </w:pPr>
    </w:p>
    <w:p w14:paraId="785546BC" w14:textId="77777777" w:rsidR="001C08A5" w:rsidRDefault="001C08A5">
      <w:pPr>
        <w:rPr>
          <w:sz w:val="24"/>
          <w:szCs w:val="24"/>
        </w:rPr>
      </w:pPr>
    </w:p>
    <w:p w14:paraId="7A87939A" w14:textId="77777777" w:rsidR="001C08A5" w:rsidRDefault="001C08A5">
      <w:pPr>
        <w:rPr>
          <w:sz w:val="24"/>
          <w:szCs w:val="24"/>
        </w:rPr>
      </w:pPr>
    </w:p>
    <w:p w14:paraId="3E367E25" w14:textId="77777777" w:rsidR="001C08A5" w:rsidRDefault="001C08A5">
      <w:pPr>
        <w:rPr>
          <w:sz w:val="24"/>
          <w:szCs w:val="24"/>
        </w:rPr>
      </w:pPr>
    </w:p>
    <w:p w14:paraId="4B922D61" w14:textId="77777777" w:rsidR="001C08A5" w:rsidRDefault="001C08A5">
      <w:pPr>
        <w:rPr>
          <w:sz w:val="24"/>
          <w:szCs w:val="24"/>
        </w:rPr>
      </w:pPr>
    </w:p>
    <w:p w14:paraId="41E3B735" w14:textId="77777777" w:rsidR="001C08A5" w:rsidRDefault="001C08A5">
      <w:pPr>
        <w:rPr>
          <w:sz w:val="24"/>
          <w:szCs w:val="24"/>
        </w:rPr>
      </w:pPr>
    </w:p>
    <w:p w14:paraId="57F84558" w14:textId="77777777" w:rsidR="001C08A5" w:rsidRDefault="001C08A5">
      <w:pPr>
        <w:rPr>
          <w:sz w:val="24"/>
          <w:szCs w:val="24"/>
        </w:rPr>
      </w:pPr>
    </w:p>
    <w:p w14:paraId="6A8919AE" w14:textId="77777777" w:rsidR="001C08A5" w:rsidRDefault="001C08A5">
      <w:pPr>
        <w:rPr>
          <w:sz w:val="24"/>
          <w:szCs w:val="24"/>
        </w:rPr>
      </w:pPr>
    </w:p>
    <w:p w14:paraId="28AB2AD0" w14:textId="77777777" w:rsidR="001C08A5" w:rsidRDefault="001C08A5">
      <w:pPr>
        <w:rPr>
          <w:sz w:val="24"/>
          <w:szCs w:val="24"/>
        </w:rPr>
      </w:pPr>
    </w:p>
    <w:p w14:paraId="4996380A" w14:textId="77777777" w:rsidR="001C08A5" w:rsidRDefault="00000000">
      <w:pPr>
        <w:pStyle w:val="Heading5"/>
        <w:rPr>
          <w:sz w:val="24"/>
          <w:szCs w:val="24"/>
          <w:lang w:val="ro-RO"/>
        </w:rPr>
      </w:pPr>
      <w:bookmarkStart w:id="11745" w:name="_Toc6982"/>
      <w:bookmarkStart w:id="11746" w:name="_Toc31130"/>
      <w:bookmarkStart w:id="11747" w:name="_Toc8307"/>
      <w:bookmarkStart w:id="11748" w:name="_Toc162355677"/>
      <w:bookmarkStart w:id="11749" w:name="_Toc4681"/>
      <w:bookmarkStart w:id="11750" w:name="_Toc24705"/>
      <w:r>
        <w:rPr>
          <w:sz w:val="24"/>
          <w:szCs w:val="24"/>
          <w:lang w:val="ro-RO"/>
        </w:rPr>
        <w:lastRenderedPageBreak/>
        <w:t>Listă tabele:</w:t>
      </w:r>
      <w:bookmarkEnd w:id="11745"/>
      <w:bookmarkEnd w:id="11746"/>
      <w:bookmarkEnd w:id="11747"/>
      <w:bookmarkEnd w:id="11748"/>
      <w:bookmarkEnd w:id="11749"/>
      <w:bookmarkEnd w:id="11750"/>
    </w:p>
    <w:p w14:paraId="22F0C69B" w14:textId="77777777" w:rsidR="001C08A5" w:rsidRDefault="001C08A5">
      <w:pPr>
        <w:pStyle w:val="ListParagraph"/>
        <w:ind w:left="0"/>
        <w:jc w:val="both"/>
        <w:rPr>
          <w:bCs/>
          <w:i/>
          <w:iCs/>
          <w:sz w:val="20"/>
          <w:szCs w:val="20"/>
        </w:rPr>
      </w:pPr>
    </w:p>
    <w:p w14:paraId="09FFDC2A" w14:textId="77777777" w:rsidR="001C08A5" w:rsidRDefault="00000000">
      <w:pPr>
        <w:pStyle w:val="TableofFigures"/>
        <w:tabs>
          <w:tab w:val="right" w:leader="dot" w:pos="0"/>
        </w:tabs>
        <w:ind w:left="800" w:hanging="400"/>
      </w:pPr>
      <w:r>
        <w:rPr>
          <w:bCs/>
          <w:i/>
          <w:iCs/>
        </w:rPr>
        <w:fldChar w:fldCharType="begin"/>
      </w:r>
      <w:r>
        <w:rPr>
          <w:bCs/>
          <w:i/>
          <w:iCs/>
        </w:rPr>
        <w:instrText>TOC \h \c "Tabelul"</w:instrText>
      </w:r>
      <w:r>
        <w:rPr>
          <w:bCs/>
          <w:i/>
          <w:iCs/>
        </w:rPr>
        <w:fldChar w:fldCharType="separate"/>
      </w:r>
      <w:hyperlink w:anchor="_Toc31933" w:history="1">
        <w:r>
          <w:t>Tabelul 1 : Clasa de autoînchidere (închidere automată) a uşilor</w:t>
        </w:r>
        <w:r>
          <w:tab/>
        </w:r>
        <w:r>
          <w:fldChar w:fldCharType="begin"/>
        </w:r>
        <w:r>
          <w:instrText xml:space="preserve"> PAGEREF _Toc31933 \h </w:instrText>
        </w:r>
        <w:r>
          <w:fldChar w:fldCharType="separate"/>
        </w:r>
        <w:r>
          <w:t>37</w:t>
        </w:r>
        <w:r>
          <w:fldChar w:fldCharType="end"/>
        </w:r>
      </w:hyperlink>
    </w:p>
    <w:p w14:paraId="37ADDF0C" w14:textId="77777777" w:rsidR="001C08A5" w:rsidRDefault="00000000">
      <w:pPr>
        <w:pStyle w:val="TableofFigures"/>
        <w:tabs>
          <w:tab w:val="right" w:leader="dot" w:pos="0"/>
        </w:tabs>
        <w:ind w:left="800" w:hanging="400"/>
      </w:pPr>
      <w:hyperlink w:anchor="_Toc416" w:history="1">
        <w:r>
          <w:t>Tabelul 2 : Condiţii minime pentru încadrarea construcţiei sau a compartimentului de incendiu în niveluri de stabilitate la incendiu pentru construcții civile</w:t>
        </w:r>
        <w:r>
          <w:tab/>
        </w:r>
        <w:r>
          <w:fldChar w:fldCharType="begin"/>
        </w:r>
        <w:r>
          <w:instrText xml:space="preserve"> PAGEREF _Toc416 \h </w:instrText>
        </w:r>
        <w:r>
          <w:fldChar w:fldCharType="separate"/>
        </w:r>
        <w:r>
          <w:t>70</w:t>
        </w:r>
        <w:r>
          <w:fldChar w:fldCharType="end"/>
        </w:r>
      </w:hyperlink>
    </w:p>
    <w:p w14:paraId="24529425" w14:textId="77777777" w:rsidR="001C08A5" w:rsidRDefault="00000000">
      <w:pPr>
        <w:pStyle w:val="TableofFigures"/>
        <w:tabs>
          <w:tab w:val="right" w:leader="dot" w:pos="0"/>
        </w:tabs>
        <w:ind w:left="800" w:hanging="400"/>
      </w:pPr>
      <w:hyperlink w:anchor="_Toc24722" w:history="1">
        <w:r>
          <w:t>Tabelul 3 : Condiţii minime pentru încadrarea construcţiei sau a compartimentului de incendiu în niveluri de stabilitate la incendiu pentru construcții de productie și /sau depozitare</w:t>
        </w:r>
        <w:r>
          <w:tab/>
        </w:r>
        <w:r>
          <w:fldChar w:fldCharType="begin"/>
        </w:r>
        <w:r>
          <w:instrText xml:space="preserve"> PAGEREF _Toc24722 \h </w:instrText>
        </w:r>
        <w:r>
          <w:fldChar w:fldCharType="separate"/>
        </w:r>
        <w:r>
          <w:t>72</w:t>
        </w:r>
        <w:r>
          <w:fldChar w:fldCharType="end"/>
        </w:r>
      </w:hyperlink>
    </w:p>
    <w:p w14:paraId="0F0A1F8B" w14:textId="77777777" w:rsidR="001C08A5" w:rsidRDefault="00000000">
      <w:pPr>
        <w:pStyle w:val="TableofFigures"/>
        <w:tabs>
          <w:tab w:val="right" w:leader="dot" w:pos="0"/>
        </w:tabs>
        <w:ind w:left="800" w:hanging="400"/>
      </w:pPr>
      <w:hyperlink w:anchor="_Toc30640" w:history="1">
        <w:r>
          <w:t>Tabelul 4 : Distanţe minime de siguranţă între construcţii sau compartimente de incendiu supraterane (civile, de producţie şi/sau depozitare)</w:t>
        </w:r>
        <w:r>
          <w:tab/>
        </w:r>
        <w:r>
          <w:fldChar w:fldCharType="begin"/>
        </w:r>
        <w:r>
          <w:instrText xml:space="preserve"> PAGEREF _Toc30640 \h </w:instrText>
        </w:r>
        <w:r>
          <w:fldChar w:fldCharType="separate"/>
        </w:r>
        <w:r>
          <w:t>80</w:t>
        </w:r>
        <w:r>
          <w:fldChar w:fldCharType="end"/>
        </w:r>
      </w:hyperlink>
    </w:p>
    <w:p w14:paraId="1268D1A5" w14:textId="77777777" w:rsidR="001C08A5" w:rsidRDefault="00000000">
      <w:pPr>
        <w:pStyle w:val="TableofFigures"/>
        <w:tabs>
          <w:tab w:val="right" w:leader="dot" w:pos="0"/>
        </w:tabs>
        <w:ind w:left="800" w:hanging="400"/>
      </w:pPr>
      <w:hyperlink w:anchor="_Toc21288" w:history="1">
        <w:r>
          <w:t>Tabelul 5 : Rezistenţe la foc normate ale pereţilor (EI/REI) și planşeelor (REI)  corespunzătoare densităţilor sarcinilor termice (q) din spaţiile adiacente şi/sau densităţilor sarcinilor termice (q) cele mai mari din spaţiile pe care le despart</w:t>
        </w:r>
        <w:r>
          <w:tab/>
        </w:r>
        <w:r>
          <w:fldChar w:fldCharType="begin"/>
        </w:r>
        <w:r>
          <w:instrText xml:space="preserve"> PAGEREF _Toc21288 \h </w:instrText>
        </w:r>
        <w:r>
          <w:fldChar w:fldCharType="separate"/>
        </w:r>
        <w:r>
          <w:t>82</w:t>
        </w:r>
        <w:r>
          <w:fldChar w:fldCharType="end"/>
        </w:r>
      </w:hyperlink>
    </w:p>
    <w:p w14:paraId="5A3F589E" w14:textId="77777777" w:rsidR="001C08A5" w:rsidRDefault="00000000">
      <w:pPr>
        <w:pStyle w:val="TableofFigures"/>
        <w:tabs>
          <w:tab w:val="right" w:leader="dot" w:pos="0"/>
        </w:tabs>
        <w:ind w:left="800" w:hanging="400"/>
      </w:pPr>
      <w:hyperlink w:anchor="_Toc15138" w:history="1">
        <w:r>
          <w:t>Tabelul 6 : Rezistenţe la foc normate ale pereţilor care separă compartimentele de incendiu (EI-M/REI) pentru construcțiile cu regim de înălțime parter, cu excepția clădirilor cu persoane care nu se pot evacua singure și a clădirilor cu săli aglomerate, corespunzătoare densităţilor sarcinilor termice (q) din spaţiile adiacente şi/sau densităţilor sarcinilor termice (q) cele mai mari din spaţiile pe care le despart</w:t>
        </w:r>
        <w:r>
          <w:tab/>
        </w:r>
        <w:r>
          <w:fldChar w:fldCharType="begin"/>
        </w:r>
        <w:r>
          <w:instrText xml:space="preserve"> PAGEREF _Toc15138 \h </w:instrText>
        </w:r>
        <w:r>
          <w:fldChar w:fldCharType="separate"/>
        </w:r>
        <w:r>
          <w:t>83</w:t>
        </w:r>
        <w:r>
          <w:fldChar w:fldCharType="end"/>
        </w:r>
      </w:hyperlink>
    </w:p>
    <w:p w14:paraId="4B378FA5" w14:textId="77777777" w:rsidR="001C08A5" w:rsidRDefault="00000000">
      <w:pPr>
        <w:pStyle w:val="TableofFigures"/>
        <w:tabs>
          <w:tab w:val="right" w:leader="dot" w:pos="0"/>
        </w:tabs>
        <w:ind w:left="800" w:hanging="400"/>
      </w:pPr>
      <w:hyperlink w:anchor="_Toc8315" w:history="1">
        <w:r>
          <w:t xml:space="preserve">Tabelul 7 : Rezistența la foc a pereţilor din exterior și ale elementelor de închidere rezistente la foc ale golurilor funcţionale prevazute în pereţii din exterior amplasate la colţurile intrânde ale construcţiilor civile (cu regim parter, cu excepția clădirilor cu persoane care nu se pot evacua singure și clădirilor cu săli aglomerate) în formă de L, T sau U sub un unghi α, α </w:t>
        </w:r>
        <w:r>
          <w:rPr>
            <w:rFonts w:ascii="Arial" w:hAnsi="Arial" w:cs="Arial"/>
          </w:rPr>
          <w:t>&lt;</w:t>
        </w:r>
        <w:r>
          <w:t xml:space="preserve"> 90°, unde golurile din pereţii exteriori adiacenţi sunt dispuse astfel încât distanţa dintre ele este mai mică de 4 m</w:t>
        </w:r>
        <w:r>
          <w:tab/>
        </w:r>
        <w:r>
          <w:fldChar w:fldCharType="begin"/>
        </w:r>
        <w:r>
          <w:instrText xml:space="preserve"> PAGEREF _Toc8315 \h </w:instrText>
        </w:r>
        <w:r>
          <w:fldChar w:fldCharType="separate"/>
        </w:r>
        <w:r>
          <w:t>89</w:t>
        </w:r>
        <w:r>
          <w:fldChar w:fldCharType="end"/>
        </w:r>
      </w:hyperlink>
    </w:p>
    <w:p w14:paraId="2D8E9C83" w14:textId="77777777" w:rsidR="001C08A5" w:rsidRDefault="00000000">
      <w:pPr>
        <w:pStyle w:val="TableofFigures"/>
        <w:tabs>
          <w:tab w:val="right" w:leader="dot" w:pos="0"/>
        </w:tabs>
        <w:ind w:left="800" w:hanging="400"/>
      </w:pPr>
      <w:hyperlink w:anchor="_Toc25102" w:history="1">
        <w:r>
          <w:t xml:space="preserve">Tabelul 8 : Rezistența la foc a pereţilor din exterior și ale elementelor de închidere rezistente la foc ale golurilor funcţionale prevazute în pereţii din exterior amplasate la colţurile intrânde ale construcţiilor civile (cu excepția clădirilor prevăzute la Art. 2.3.2.1.2. lit. a)) în formă de L, T sau U sub un unghi unghi α, α </w:t>
        </w:r>
        <w:r>
          <w:rPr>
            <w:rFonts w:ascii="Arial" w:hAnsi="Arial" w:cs="Arial"/>
          </w:rPr>
          <w:t>&lt;</w:t>
        </w:r>
        <w:r>
          <w:t xml:space="preserve"> 90°, unde golurile din pereţii exteriori adiacenţi sunt dispuse astfel încât distanţa dintre ele este mai mică de 4 m</w:t>
        </w:r>
        <w:r>
          <w:tab/>
        </w:r>
        <w:r>
          <w:fldChar w:fldCharType="begin"/>
        </w:r>
        <w:r>
          <w:instrText xml:space="preserve"> PAGEREF _Toc25102 \h </w:instrText>
        </w:r>
        <w:r>
          <w:fldChar w:fldCharType="separate"/>
        </w:r>
        <w:r>
          <w:t>90</w:t>
        </w:r>
        <w:r>
          <w:fldChar w:fldCharType="end"/>
        </w:r>
      </w:hyperlink>
    </w:p>
    <w:p w14:paraId="531712D3" w14:textId="77777777" w:rsidR="001C08A5" w:rsidRDefault="00000000">
      <w:pPr>
        <w:pStyle w:val="TableofFigures"/>
        <w:tabs>
          <w:tab w:val="right" w:leader="dot" w:pos="0"/>
        </w:tabs>
        <w:ind w:left="800" w:hanging="400"/>
      </w:pPr>
      <w:hyperlink w:anchor="_Toc18950" w:history="1">
        <w:r>
          <w:t xml:space="preserve">Tabelul 9 : Rezistența la foc a pereţilor din exterior și ale elementelor de închidere rezistente la foc ale golurilor funcţionale prevazute în pereţii din exterior amplasate la colţurile intrânde ale construcţiilor civile (cu regim parter, cu excepția clădirilor cu persoane care nu se pot evacua singure și clădirilor cu săli aglomerate) în formă de L, T sau U sub un unghi α, 90° </w:t>
        </w:r>
        <w:r>
          <w:rPr>
            <w:rFonts w:ascii="Arial" w:hAnsi="Arial" w:cs="Arial"/>
          </w:rPr>
          <w:t>≤</w:t>
        </w:r>
        <w:r>
          <w:rPr>
            <w:rFonts w:ascii="Arial" w:hAnsi="Arial" w:cs="Arial"/>
            <w:bCs/>
          </w:rPr>
          <w:t xml:space="preserve"> α </w:t>
        </w:r>
        <w:r>
          <w:rPr>
            <w:rFonts w:ascii="Arial" w:hAnsi="Arial" w:cs="Arial"/>
          </w:rPr>
          <w:t xml:space="preserve">&lt; </w:t>
        </w:r>
        <w:r>
          <w:t>135°, unde golurile din pereţii exteriori adiacenţi sunt dispuse astfel încât distanţa dintre ele este mai mică de 4 m</w:t>
        </w:r>
        <w:r>
          <w:tab/>
        </w:r>
        <w:r>
          <w:fldChar w:fldCharType="begin"/>
        </w:r>
        <w:r>
          <w:instrText xml:space="preserve"> PAGEREF _Toc18950 \h </w:instrText>
        </w:r>
        <w:r>
          <w:fldChar w:fldCharType="separate"/>
        </w:r>
        <w:r>
          <w:t>92</w:t>
        </w:r>
        <w:r>
          <w:fldChar w:fldCharType="end"/>
        </w:r>
      </w:hyperlink>
    </w:p>
    <w:p w14:paraId="3739FC33" w14:textId="77777777" w:rsidR="001C08A5" w:rsidRDefault="00000000">
      <w:pPr>
        <w:pStyle w:val="TableofFigures"/>
        <w:tabs>
          <w:tab w:val="right" w:leader="dot" w:pos="0"/>
        </w:tabs>
        <w:ind w:left="800" w:hanging="400"/>
      </w:pPr>
      <w:hyperlink w:anchor="_Toc2004" w:history="1">
        <w:r>
          <w:t xml:space="preserve">Tabelul 10 : Rezistența la foc a pereţilor din exterior și ale elementelor de închidere rezistente la foc ale golurilor funcţionale prevazute în pereţii din exterior amplasate la colţurile intrânde ale construcţiilor civile (cu excepția clădirilor prevăzute la Art. 2.3.2.1.2. lit. a)) în formă de L, T sau U sub un unghi α, 90° </w:t>
        </w:r>
        <w:r>
          <w:rPr>
            <w:rFonts w:ascii="Arial" w:hAnsi="Arial" w:cs="Arial"/>
          </w:rPr>
          <w:t xml:space="preserve">≤ α ≤ </w:t>
        </w:r>
        <w:r>
          <w:t>135°, unde golurile din pereţii exteriori adiacenţi sunt dispuse astfel încât distanţa dintre ele este mai mică de 4 m</w:t>
        </w:r>
        <w:r>
          <w:tab/>
        </w:r>
        <w:r>
          <w:fldChar w:fldCharType="begin"/>
        </w:r>
        <w:r>
          <w:instrText xml:space="preserve"> PAGEREF _Toc2004 \h </w:instrText>
        </w:r>
        <w:r>
          <w:fldChar w:fldCharType="separate"/>
        </w:r>
        <w:r>
          <w:t>93</w:t>
        </w:r>
        <w:r>
          <w:fldChar w:fldCharType="end"/>
        </w:r>
      </w:hyperlink>
    </w:p>
    <w:p w14:paraId="468CF84F" w14:textId="77777777" w:rsidR="001C08A5" w:rsidRDefault="00000000">
      <w:pPr>
        <w:pStyle w:val="TableofFigures"/>
        <w:tabs>
          <w:tab w:val="right" w:leader="dot" w:pos="0"/>
        </w:tabs>
        <w:ind w:left="800" w:hanging="400"/>
      </w:pPr>
      <w:hyperlink w:anchor="_Toc5173" w:history="1">
        <w:r>
          <w:t xml:space="preserve">Tabelul 11 : Rezistența la foc a pereţilor din exterior și ale elementelor de închidere rezistente la foc ale golurilor funcţionale prevazute în pereţii din exterior amplasate la colţurile intrânde ale construcţiilor civile (cu regim parter, cu excepția clădirilor cu persoane care nu se pot evacua singure și clădirilor cu săli aglomerate) în formă de L, T sau U sub un unghi α, </w:t>
        </w:r>
        <w:r>
          <w:rPr>
            <w:bCs/>
          </w:rPr>
          <w:t xml:space="preserve">α </w:t>
        </w:r>
        <w:r>
          <w:rPr>
            <w:rFonts w:ascii="Arial" w:hAnsi="Arial" w:cs="Arial"/>
          </w:rPr>
          <w:t xml:space="preserve">&gt; </w:t>
        </w:r>
        <w:r>
          <w:t>135°, unde golurile din pereţii exteriori adiacenţi sunt dispuse astfel încât distanţa dintre ele este mai mică de 4 m</w:t>
        </w:r>
        <w:r>
          <w:tab/>
        </w:r>
        <w:r>
          <w:fldChar w:fldCharType="begin"/>
        </w:r>
        <w:r>
          <w:instrText xml:space="preserve"> PAGEREF _Toc5173 \h </w:instrText>
        </w:r>
        <w:r>
          <w:fldChar w:fldCharType="separate"/>
        </w:r>
        <w:r>
          <w:t>95</w:t>
        </w:r>
        <w:r>
          <w:fldChar w:fldCharType="end"/>
        </w:r>
      </w:hyperlink>
    </w:p>
    <w:p w14:paraId="291EC8FD" w14:textId="77777777" w:rsidR="001C08A5" w:rsidRDefault="00000000">
      <w:pPr>
        <w:pStyle w:val="TableofFigures"/>
        <w:tabs>
          <w:tab w:val="right" w:leader="dot" w:pos="0"/>
        </w:tabs>
        <w:ind w:left="800" w:hanging="400"/>
      </w:pPr>
      <w:hyperlink w:anchor="_Toc21198" w:history="1">
        <w:r>
          <w:t xml:space="preserve">Tabelul 12 : Rezistența la foc a pereţilor din exterior și ale elementelor de închidere rezistente la foc ale golurilor funcţionale prevazute în pereţii din exterior amplasate la colţurile intrânde ale construcţiilor civile (cu excepția clădirilor prevăzute la Art. 2.3.2.1.2. lit. a)) în formă de L, T sau U sub un unghi unghi α, α </w:t>
        </w:r>
        <w:r>
          <w:rPr>
            <w:rFonts w:ascii="Arial" w:hAnsi="Arial" w:cs="Arial"/>
            <w:lang w:val="en-US"/>
          </w:rPr>
          <w:t>&gt;</w:t>
        </w:r>
        <w:r>
          <w:t>135°, unde golurile din pereţii exteriori adiacenţi sunt dispuse astfel încât distanţa dintre ele este mai mică de patru 4 m</w:t>
        </w:r>
        <w:r>
          <w:tab/>
        </w:r>
        <w:r>
          <w:fldChar w:fldCharType="begin"/>
        </w:r>
        <w:r>
          <w:instrText xml:space="preserve"> PAGEREF _Toc21198 \h </w:instrText>
        </w:r>
        <w:r>
          <w:fldChar w:fldCharType="separate"/>
        </w:r>
        <w:r>
          <w:t>96</w:t>
        </w:r>
        <w:r>
          <w:fldChar w:fldCharType="end"/>
        </w:r>
      </w:hyperlink>
    </w:p>
    <w:p w14:paraId="1D116708" w14:textId="77777777" w:rsidR="001C08A5" w:rsidRDefault="00000000">
      <w:pPr>
        <w:pStyle w:val="TableofFigures"/>
        <w:tabs>
          <w:tab w:val="right" w:leader="dot" w:pos="0"/>
        </w:tabs>
        <w:ind w:left="800" w:hanging="400"/>
      </w:pPr>
      <w:hyperlink w:anchor="_Toc22361" w:history="1">
        <w:r>
          <w:t>Tabelul 13 : Rezistența la foc a pereţilor din exterior și ale elementelor de închidere rezistente la foc ale golurilor funcţionale prevazute în pereţii de compartimentare (din exterior) amplasaţi la colţurile intrânde ale construcţiilor de productie și depozitare în formă de L, T sau U, unde golurile din pereţii exteriori adiacenţi sunt dispuse astfel încât distanţa dintre ele este mai mică de patru 4 m</w:t>
        </w:r>
        <w:r>
          <w:tab/>
        </w:r>
        <w:r>
          <w:fldChar w:fldCharType="begin"/>
        </w:r>
        <w:r>
          <w:instrText xml:space="preserve"> PAGEREF _Toc22361 \h </w:instrText>
        </w:r>
        <w:r>
          <w:fldChar w:fldCharType="separate"/>
        </w:r>
        <w:r>
          <w:t>97</w:t>
        </w:r>
        <w:r>
          <w:fldChar w:fldCharType="end"/>
        </w:r>
      </w:hyperlink>
    </w:p>
    <w:p w14:paraId="3FAA5E92" w14:textId="77777777" w:rsidR="001C08A5" w:rsidRDefault="00000000">
      <w:pPr>
        <w:pStyle w:val="TableofFigures"/>
        <w:tabs>
          <w:tab w:val="right" w:leader="dot" w:pos="0"/>
        </w:tabs>
        <w:ind w:left="800" w:hanging="400"/>
      </w:pPr>
      <w:hyperlink w:anchor="_Toc15354" w:history="1">
        <w:r>
          <w:t>Tabelul 14 : Pereți și planșee la încăperi tampon protejate și goluri pentru circulaţie funcţională şi evacuare practicate în pereţii încăperilor tampon</w:t>
        </w:r>
        <w:r>
          <w:tab/>
        </w:r>
        <w:r>
          <w:fldChar w:fldCharType="begin"/>
        </w:r>
        <w:r>
          <w:instrText xml:space="preserve"> PAGEREF _Toc15354 \h </w:instrText>
        </w:r>
        <w:r>
          <w:fldChar w:fldCharType="separate"/>
        </w:r>
        <w:r>
          <w:t>101</w:t>
        </w:r>
        <w:r>
          <w:fldChar w:fldCharType="end"/>
        </w:r>
      </w:hyperlink>
    </w:p>
    <w:p w14:paraId="05FAD784" w14:textId="77777777" w:rsidR="001C08A5" w:rsidRDefault="00000000">
      <w:pPr>
        <w:pStyle w:val="TableofFigures"/>
        <w:tabs>
          <w:tab w:val="right" w:leader="dot" w:pos="0"/>
        </w:tabs>
        <w:ind w:left="800" w:hanging="400"/>
      </w:pPr>
      <w:hyperlink w:anchor="_Toc490" w:history="1">
        <w:r>
          <w:t>Tabelul 15 : Pereți și planșee la tamburi deschiși și echiparea acestora</w:t>
        </w:r>
        <w:r>
          <w:tab/>
        </w:r>
        <w:r>
          <w:fldChar w:fldCharType="begin"/>
        </w:r>
        <w:r>
          <w:instrText xml:space="preserve"> PAGEREF _Toc490 \h </w:instrText>
        </w:r>
        <w:r>
          <w:fldChar w:fldCharType="separate"/>
        </w:r>
        <w:r>
          <w:t>103</w:t>
        </w:r>
        <w:r>
          <w:fldChar w:fldCharType="end"/>
        </w:r>
      </w:hyperlink>
    </w:p>
    <w:p w14:paraId="032A9994" w14:textId="77777777" w:rsidR="001C08A5" w:rsidRDefault="00000000">
      <w:pPr>
        <w:pStyle w:val="TableofFigures"/>
        <w:tabs>
          <w:tab w:val="right" w:leader="dot" w:pos="0"/>
        </w:tabs>
        <w:ind w:left="800" w:hanging="400"/>
      </w:pPr>
      <w:hyperlink w:anchor="_Toc20585" w:history="1">
        <w:r>
          <w:t>Tabelul 16 : T</w:t>
        </w:r>
        <w:r>
          <w:rPr>
            <w:rFonts w:eastAsia="Times New Roman"/>
          </w:rPr>
          <w:t>ermoizolație exterioară și / sau sisteme compozite de izolare termică (sisteme compacte în condiții de utilizare finală) pe f</w:t>
        </w:r>
        <w:r>
          <w:t>aţade pline sau prevăzute cu elemente vitrate sau alte goluri neprotejate (pentru diferite funcţiuni / tipuri de clădiri)</w:t>
        </w:r>
        <w:r>
          <w:tab/>
        </w:r>
        <w:r>
          <w:fldChar w:fldCharType="begin"/>
        </w:r>
        <w:r>
          <w:instrText xml:space="preserve"> PAGEREF _Toc20585 \h </w:instrText>
        </w:r>
        <w:r>
          <w:fldChar w:fldCharType="separate"/>
        </w:r>
        <w:r>
          <w:t>120</w:t>
        </w:r>
        <w:r>
          <w:fldChar w:fldCharType="end"/>
        </w:r>
      </w:hyperlink>
    </w:p>
    <w:p w14:paraId="14528634" w14:textId="77777777" w:rsidR="001C08A5" w:rsidRDefault="00000000">
      <w:pPr>
        <w:pStyle w:val="TableofFigures"/>
        <w:tabs>
          <w:tab w:val="right" w:leader="dot" w:pos="0"/>
        </w:tabs>
        <w:ind w:left="800" w:hanging="400"/>
      </w:pPr>
      <w:hyperlink w:anchor="_Toc31380" w:history="1">
        <w:r>
          <w:t xml:space="preserve">Tabelul 17 : Clase de performanţă privind reacţia la foc a materialelor folosite pentru plafoane </w:t>
        </w:r>
        <w:r>
          <w:tab/>
        </w:r>
        <w:r>
          <w:fldChar w:fldCharType="begin"/>
        </w:r>
        <w:r>
          <w:instrText xml:space="preserve"> PAGEREF _Toc31380 \h </w:instrText>
        </w:r>
        <w:r>
          <w:fldChar w:fldCharType="separate"/>
        </w:r>
        <w:r>
          <w:t>133</w:t>
        </w:r>
        <w:r>
          <w:fldChar w:fldCharType="end"/>
        </w:r>
      </w:hyperlink>
    </w:p>
    <w:p w14:paraId="3CF33EA7" w14:textId="77777777" w:rsidR="001C08A5" w:rsidRDefault="00000000">
      <w:pPr>
        <w:pStyle w:val="TableofFigures"/>
        <w:tabs>
          <w:tab w:val="right" w:leader="dot" w:pos="0"/>
        </w:tabs>
        <w:ind w:left="800" w:hanging="400"/>
      </w:pPr>
      <w:hyperlink w:anchor="_Toc24004" w:history="1">
        <w:r>
          <w:t>Tabelul 18 : Clase de performanţă privind reacţia la foc a produselor folosite pentru pardoseli supraînâlțate</w:t>
        </w:r>
        <w:r>
          <w:tab/>
        </w:r>
        <w:r>
          <w:fldChar w:fldCharType="begin"/>
        </w:r>
        <w:r>
          <w:instrText xml:space="preserve"> PAGEREF _Toc24004 \h </w:instrText>
        </w:r>
        <w:r>
          <w:fldChar w:fldCharType="separate"/>
        </w:r>
        <w:r>
          <w:t>134</w:t>
        </w:r>
        <w:r>
          <w:fldChar w:fldCharType="end"/>
        </w:r>
      </w:hyperlink>
    </w:p>
    <w:p w14:paraId="5AB75B44" w14:textId="77777777" w:rsidR="001C08A5" w:rsidRDefault="00000000">
      <w:pPr>
        <w:pStyle w:val="TableofFigures"/>
        <w:tabs>
          <w:tab w:val="right" w:leader="dot" w:pos="0"/>
        </w:tabs>
        <w:ind w:left="800" w:hanging="400"/>
      </w:pPr>
      <w:hyperlink w:anchor="_Toc25804" w:history="1">
        <w:r>
          <w:t xml:space="preserve">Tabelul 19 : Clase de performanţă privind reacţia la foc a produselor folosite pentru finisajele interioare la casele de scări închise, căi de evacuare orizontale (coridoare şi holuri, tuneluri, degajamente protejate etc.) și încăperi în clădiri supraterane </w:t>
        </w:r>
        <w:r>
          <w:tab/>
        </w:r>
        <w:r>
          <w:fldChar w:fldCharType="begin"/>
        </w:r>
        <w:r>
          <w:instrText xml:space="preserve"> PAGEREF _Toc25804 \h </w:instrText>
        </w:r>
        <w:r>
          <w:fldChar w:fldCharType="separate"/>
        </w:r>
        <w:r>
          <w:t>134</w:t>
        </w:r>
        <w:r>
          <w:fldChar w:fldCharType="end"/>
        </w:r>
      </w:hyperlink>
    </w:p>
    <w:p w14:paraId="47352E4C" w14:textId="77777777" w:rsidR="001C08A5" w:rsidRDefault="00000000">
      <w:pPr>
        <w:pStyle w:val="TableofFigures"/>
        <w:tabs>
          <w:tab w:val="right" w:leader="dot" w:pos="0"/>
        </w:tabs>
        <w:ind w:left="800" w:hanging="400"/>
      </w:pPr>
      <w:hyperlink w:anchor="_Toc23260" w:history="1">
        <w:r>
          <w:t xml:space="preserve">Tabelul 20 : Separarea orizontală și verticală la un sistem de faţadă dublă </w:t>
        </w:r>
        <w:r>
          <w:tab/>
        </w:r>
        <w:r>
          <w:fldChar w:fldCharType="begin"/>
        </w:r>
        <w:r>
          <w:instrText xml:space="preserve"> PAGEREF _Toc23260 \h </w:instrText>
        </w:r>
        <w:r>
          <w:fldChar w:fldCharType="separate"/>
        </w:r>
        <w:r>
          <w:t>138</w:t>
        </w:r>
        <w:r>
          <w:fldChar w:fldCharType="end"/>
        </w:r>
      </w:hyperlink>
    </w:p>
    <w:p w14:paraId="5E3DF758" w14:textId="77777777" w:rsidR="001C08A5" w:rsidRDefault="00000000">
      <w:pPr>
        <w:pStyle w:val="TableofFigures"/>
        <w:tabs>
          <w:tab w:val="right" w:leader="dot" w:pos="0"/>
        </w:tabs>
        <w:ind w:left="800" w:hanging="400"/>
      </w:pPr>
      <w:hyperlink w:anchor="_Toc14003" w:history="1">
        <w:r>
          <w:t>Tabelul 21 : Condiţii minime de separare a încăperilor de depozitare &gt; 36 m</w:t>
        </w:r>
        <w:r>
          <w:rPr>
            <w:vertAlign w:val="superscript"/>
          </w:rPr>
          <w:t>2</w:t>
        </w:r>
        <w:r>
          <w:t xml:space="preserve"> din construcții civile</w:t>
        </w:r>
        <w:r>
          <w:tab/>
        </w:r>
        <w:r>
          <w:fldChar w:fldCharType="begin"/>
        </w:r>
        <w:r>
          <w:instrText xml:space="preserve"> PAGEREF _Toc14003 \h </w:instrText>
        </w:r>
        <w:r>
          <w:fldChar w:fldCharType="separate"/>
        </w:r>
        <w:r>
          <w:t>150</w:t>
        </w:r>
        <w:r>
          <w:fldChar w:fldCharType="end"/>
        </w:r>
      </w:hyperlink>
    </w:p>
    <w:p w14:paraId="0A46CDBA" w14:textId="77777777" w:rsidR="001C08A5" w:rsidRDefault="00000000">
      <w:pPr>
        <w:pStyle w:val="TableofFigures"/>
        <w:tabs>
          <w:tab w:val="right" w:leader="dot" w:pos="0"/>
        </w:tabs>
        <w:ind w:left="800" w:hanging="400"/>
      </w:pPr>
      <w:hyperlink w:anchor="_Toc20308" w:history="1">
        <w:r>
          <w:t>Tabelul 22 : Condiţii minime de separare a încăperilor de depozitare ≤ 36 m</w:t>
        </w:r>
        <w:r>
          <w:rPr>
            <w:vertAlign w:val="superscript"/>
          </w:rPr>
          <w:t xml:space="preserve">2 </w:t>
        </w:r>
        <w:r>
          <w:t>din construcții civile</w:t>
        </w:r>
        <w:r>
          <w:tab/>
        </w:r>
        <w:r>
          <w:fldChar w:fldCharType="begin"/>
        </w:r>
        <w:r>
          <w:instrText xml:space="preserve"> PAGEREF _Toc20308 \h </w:instrText>
        </w:r>
        <w:r>
          <w:fldChar w:fldCharType="separate"/>
        </w:r>
        <w:r>
          <w:t>151</w:t>
        </w:r>
        <w:r>
          <w:fldChar w:fldCharType="end"/>
        </w:r>
      </w:hyperlink>
    </w:p>
    <w:p w14:paraId="594F1B7B" w14:textId="77777777" w:rsidR="001C08A5" w:rsidRDefault="00000000">
      <w:pPr>
        <w:pStyle w:val="TableofFigures"/>
        <w:tabs>
          <w:tab w:val="right" w:leader="dot" w:pos="0"/>
        </w:tabs>
        <w:ind w:left="800" w:hanging="400"/>
      </w:pPr>
      <w:hyperlink w:anchor="_Toc1042" w:history="1">
        <w:r>
          <w:rPr>
            <w:rFonts w:cs="Mangal"/>
            <w:iCs/>
          </w:rPr>
          <w:t>Tabelul</w:t>
        </w:r>
        <w:r>
          <w:t xml:space="preserve"> 23 : Număr minim simultan de persoane din clădiri de locuit</w:t>
        </w:r>
        <w:r>
          <w:tab/>
        </w:r>
        <w:r>
          <w:fldChar w:fldCharType="begin"/>
        </w:r>
        <w:r>
          <w:instrText xml:space="preserve"> PAGEREF _Toc1042 \h </w:instrText>
        </w:r>
        <w:r>
          <w:fldChar w:fldCharType="separate"/>
        </w:r>
        <w:r>
          <w:t>174</w:t>
        </w:r>
        <w:r>
          <w:fldChar w:fldCharType="end"/>
        </w:r>
      </w:hyperlink>
    </w:p>
    <w:p w14:paraId="4ADE1F64" w14:textId="77777777" w:rsidR="001C08A5" w:rsidRDefault="00000000">
      <w:pPr>
        <w:pStyle w:val="TableofFigures"/>
        <w:tabs>
          <w:tab w:val="right" w:leader="dot" w:pos="0"/>
        </w:tabs>
        <w:ind w:left="800" w:hanging="400"/>
      </w:pPr>
      <w:hyperlink w:anchor="_Toc24207" w:history="1">
        <w:r>
          <w:t>Tabelul 24 : Număr minim simultan de persoane din clădiri administrative - administraţii centrale sau locale, financiar-bancare, sindicate, partide, birouri</w:t>
        </w:r>
        <w:r>
          <w:tab/>
        </w:r>
        <w:r>
          <w:fldChar w:fldCharType="begin"/>
        </w:r>
        <w:r>
          <w:instrText xml:space="preserve"> PAGEREF _Toc24207 \h </w:instrText>
        </w:r>
        <w:r>
          <w:fldChar w:fldCharType="separate"/>
        </w:r>
        <w:r>
          <w:t>175</w:t>
        </w:r>
        <w:r>
          <w:fldChar w:fldCharType="end"/>
        </w:r>
      </w:hyperlink>
    </w:p>
    <w:p w14:paraId="466713C6" w14:textId="77777777" w:rsidR="001C08A5" w:rsidRDefault="00000000">
      <w:pPr>
        <w:pStyle w:val="TableofFigures"/>
        <w:tabs>
          <w:tab w:val="right" w:leader="dot" w:pos="0"/>
        </w:tabs>
        <w:ind w:left="800" w:hanging="400"/>
      </w:pPr>
      <w:hyperlink w:anchor="_Toc25343" w:history="1">
        <w:r>
          <w:rPr>
            <w:rFonts w:cs="Mangal"/>
            <w:iCs/>
          </w:rPr>
          <w:t>Tabelul</w:t>
        </w:r>
        <w:r>
          <w:t xml:space="preserve"> 25 : Număr minim simultan de persoane din clădiri pentru comerţ - magazine, centre şi complexe comerciale, galerii comerciale, hipermarketuri sau supermarketuri cu aria desfăşurată de maximum 1500 m²</w:t>
        </w:r>
        <w:r>
          <w:tab/>
        </w:r>
        <w:r>
          <w:fldChar w:fldCharType="begin"/>
        </w:r>
        <w:r>
          <w:instrText xml:space="preserve"> PAGEREF _Toc25343 \h </w:instrText>
        </w:r>
        <w:r>
          <w:fldChar w:fldCharType="separate"/>
        </w:r>
        <w:r>
          <w:t>175</w:t>
        </w:r>
        <w:r>
          <w:fldChar w:fldCharType="end"/>
        </w:r>
      </w:hyperlink>
    </w:p>
    <w:p w14:paraId="7B6E619A" w14:textId="77777777" w:rsidR="001C08A5" w:rsidRDefault="00000000">
      <w:pPr>
        <w:pStyle w:val="TableofFigures"/>
        <w:tabs>
          <w:tab w:val="right" w:leader="dot" w:pos="0"/>
        </w:tabs>
        <w:ind w:left="800" w:hanging="400"/>
      </w:pPr>
      <w:hyperlink w:anchor="_Toc16485" w:history="1">
        <w:r>
          <w:t>Tabelul 26 : Număr minim simultan de persoane din clădiri pentru comerţ - Magazine, centre şi complexe comerciale, galerii comerciale, hipermarketuri sau supermarketuri cu aria desfăşurată mai mare sau egală cu 1500 m²</w:t>
        </w:r>
        <w:r>
          <w:tab/>
        </w:r>
        <w:r>
          <w:fldChar w:fldCharType="begin"/>
        </w:r>
        <w:r>
          <w:instrText xml:space="preserve"> PAGEREF _Toc16485 \h </w:instrText>
        </w:r>
        <w:r>
          <w:fldChar w:fldCharType="separate"/>
        </w:r>
        <w:r>
          <w:t>176</w:t>
        </w:r>
        <w:r>
          <w:fldChar w:fldCharType="end"/>
        </w:r>
      </w:hyperlink>
    </w:p>
    <w:p w14:paraId="54A34682" w14:textId="77777777" w:rsidR="001C08A5" w:rsidRDefault="00000000">
      <w:pPr>
        <w:pStyle w:val="TableofFigures"/>
        <w:tabs>
          <w:tab w:val="right" w:leader="dot" w:pos="0"/>
        </w:tabs>
        <w:ind w:left="800" w:hanging="400"/>
      </w:pPr>
      <w:hyperlink w:anchor="_Toc27883" w:history="1">
        <w:r>
          <w:t>Tabelul 27 : Număr minim simultan de persoane din clădiri pentru comerţ - alimentaţie publică</w:t>
        </w:r>
        <w:r>
          <w:tab/>
        </w:r>
        <w:r>
          <w:fldChar w:fldCharType="begin"/>
        </w:r>
        <w:r>
          <w:instrText xml:space="preserve"> PAGEREF _Toc27883 \h </w:instrText>
        </w:r>
        <w:r>
          <w:fldChar w:fldCharType="separate"/>
        </w:r>
        <w:r>
          <w:t>176</w:t>
        </w:r>
        <w:r>
          <w:fldChar w:fldCharType="end"/>
        </w:r>
      </w:hyperlink>
    </w:p>
    <w:p w14:paraId="16D4C2EB" w14:textId="77777777" w:rsidR="001C08A5" w:rsidRDefault="00000000">
      <w:pPr>
        <w:pStyle w:val="TableofFigures"/>
        <w:tabs>
          <w:tab w:val="right" w:leader="dot" w:pos="0"/>
        </w:tabs>
        <w:ind w:left="800" w:hanging="400"/>
      </w:pPr>
      <w:hyperlink w:anchor="_Toc4483" w:history="1">
        <w:r>
          <w:t>Tabelul 28 : Număr minim simultan de persoane din clădiri pentru comerţ - alte spaţii pentru comerţ</w:t>
        </w:r>
        <w:r>
          <w:tab/>
        </w:r>
        <w:r>
          <w:fldChar w:fldCharType="begin"/>
        </w:r>
        <w:r>
          <w:instrText xml:space="preserve"> PAGEREF _Toc4483 \h </w:instrText>
        </w:r>
        <w:r>
          <w:fldChar w:fldCharType="separate"/>
        </w:r>
        <w:r>
          <w:t>177</w:t>
        </w:r>
        <w:r>
          <w:fldChar w:fldCharType="end"/>
        </w:r>
      </w:hyperlink>
    </w:p>
    <w:p w14:paraId="7B46751A" w14:textId="77777777" w:rsidR="001C08A5" w:rsidRDefault="00000000">
      <w:pPr>
        <w:pStyle w:val="TableofFigures"/>
        <w:tabs>
          <w:tab w:val="right" w:leader="dot" w:pos="0"/>
        </w:tabs>
        <w:ind w:left="800" w:hanging="400"/>
      </w:pPr>
      <w:hyperlink w:anchor="_Toc8776" w:history="1">
        <w:r>
          <w:t xml:space="preserve">Tabelul 29 : Număr minim simultan de persoane din clădiri pentru sănătate </w:t>
        </w:r>
        <w:r>
          <w:tab/>
        </w:r>
        <w:r>
          <w:fldChar w:fldCharType="begin"/>
        </w:r>
        <w:r>
          <w:instrText xml:space="preserve"> PAGEREF _Toc8776 \h </w:instrText>
        </w:r>
        <w:r>
          <w:fldChar w:fldCharType="separate"/>
        </w:r>
        <w:r>
          <w:t>177</w:t>
        </w:r>
        <w:r>
          <w:fldChar w:fldCharType="end"/>
        </w:r>
      </w:hyperlink>
    </w:p>
    <w:p w14:paraId="59076E70" w14:textId="77777777" w:rsidR="001C08A5" w:rsidRDefault="00000000">
      <w:pPr>
        <w:pStyle w:val="TableofFigures"/>
        <w:tabs>
          <w:tab w:val="right" w:leader="dot" w:pos="0"/>
        </w:tabs>
        <w:ind w:left="800" w:hanging="400"/>
      </w:pPr>
      <w:hyperlink w:anchor="_Toc22809" w:history="1">
        <w:r>
          <w:t>Tabelul 30 : Număr minim simultan de persoane din clădiri pentru cultură</w:t>
        </w:r>
        <w:r>
          <w:tab/>
        </w:r>
        <w:r>
          <w:fldChar w:fldCharType="begin"/>
        </w:r>
        <w:r>
          <w:instrText xml:space="preserve"> PAGEREF _Toc22809 \h </w:instrText>
        </w:r>
        <w:r>
          <w:fldChar w:fldCharType="separate"/>
        </w:r>
        <w:r>
          <w:t>178</w:t>
        </w:r>
        <w:r>
          <w:fldChar w:fldCharType="end"/>
        </w:r>
      </w:hyperlink>
    </w:p>
    <w:p w14:paraId="0D24B29B" w14:textId="77777777" w:rsidR="001C08A5" w:rsidRDefault="00000000">
      <w:pPr>
        <w:pStyle w:val="TableofFigures"/>
        <w:tabs>
          <w:tab w:val="right" w:leader="dot" w:pos="0"/>
        </w:tabs>
        <w:ind w:left="800" w:hanging="400"/>
      </w:pPr>
      <w:hyperlink w:anchor="_Toc23347" w:history="1">
        <w:r>
          <w:t>Tabelul 31 : Număr minim simultan de persoane din clădiri pentru învăţământ</w:t>
        </w:r>
        <w:r>
          <w:tab/>
        </w:r>
        <w:r>
          <w:fldChar w:fldCharType="begin"/>
        </w:r>
        <w:r>
          <w:instrText xml:space="preserve"> PAGEREF _Toc23347 \h </w:instrText>
        </w:r>
        <w:r>
          <w:fldChar w:fldCharType="separate"/>
        </w:r>
        <w:r>
          <w:t>179</w:t>
        </w:r>
        <w:r>
          <w:fldChar w:fldCharType="end"/>
        </w:r>
      </w:hyperlink>
    </w:p>
    <w:p w14:paraId="53E497B5" w14:textId="77777777" w:rsidR="001C08A5" w:rsidRDefault="00000000">
      <w:pPr>
        <w:pStyle w:val="TableofFigures"/>
        <w:tabs>
          <w:tab w:val="right" w:leader="dot" w:pos="0"/>
        </w:tabs>
        <w:ind w:left="800" w:hanging="400"/>
      </w:pPr>
      <w:hyperlink w:anchor="_Toc801" w:history="1">
        <w:r>
          <w:t>Tabelul 32 : Număr minim simultan de persoane din clădiri pentru turism</w:t>
        </w:r>
        <w:r>
          <w:tab/>
        </w:r>
        <w:r>
          <w:fldChar w:fldCharType="begin"/>
        </w:r>
        <w:r>
          <w:instrText xml:space="preserve"> PAGEREF _Toc801 \h </w:instrText>
        </w:r>
        <w:r>
          <w:fldChar w:fldCharType="separate"/>
        </w:r>
        <w:r>
          <w:t>180</w:t>
        </w:r>
        <w:r>
          <w:fldChar w:fldCharType="end"/>
        </w:r>
      </w:hyperlink>
    </w:p>
    <w:p w14:paraId="039CEBD3" w14:textId="77777777" w:rsidR="001C08A5" w:rsidRDefault="00000000">
      <w:pPr>
        <w:pStyle w:val="TableofFigures"/>
        <w:tabs>
          <w:tab w:val="right" w:leader="dot" w:pos="0"/>
        </w:tabs>
        <w:ind w:left="800" w:hanging="400"/>
      </w:pPr>
      <w:hyperlink w:anchor="_Toc5046" w:history="1">
        <w:r>
          <w:t>Tabelul 33 : Număr minim simultan de persoane din clădiri de cult</w:t>
        </w:r>
        <w:r>
          <w:tab/>
        </w:r>
        <w:r>
          <w:fldChar w:fldCharType="begin"/>
        </w:r>
        <w:r>
          <w:instrText xml:space="preserve"> PAGEREF _Toc5046 \h </w:instrText>
        </w:r>
        <w:r>
          <w:fldChar w:fldCharType="separate"/>
        </w:r>
        <w:r>
          <w:t>180</w:t>
        </w:r>
        <w:r>
          <w:fldChar w:fldCharType="end"/>
        </w:r>
      </w:hyperlink>
    </w:p>
    <w:p w14:paraId="360FB4CD" w14:textId="77777777" w:rsidR="001C08A5" w:rsidRDefault="00000000">
      <w:pPr>
        <w:pStyle w:val="TableofFigures"/>
        <w:tabs>
          <w:tab w:val="right" w:leader="dot" w:pos="0"/>
        </w:tabs>
        <w:ind w:left="800" w:hanging="400"/>
      </w:pPr>
      <w:hyperlink w:anchor="_Toc1822" w:history="1">
        <w:r>
          <w:t>Tabelul 34 : Număr minim simultan de persoane din clădiri de sport</w:t>
        </w:r>
        <w:r>
          <w:tab/>
        </w:r>
        <w:r>
          <w:fldChar w:fldCharType="begin"/>
        </w:r>
        <w:r>
          <w:instrText xml:space="preserve"> PAGEREF _Toc1822 \h </w:instrText>
        </w:r>
        <w:r>
          <w:fldChar w:fldCharType="separate"/>
        </w:r>
        <w:r>
          <w:t>180</w:t>
        </w:r>
        <w:r>
          <w:fldChar w:fldCharType="end"/>
        </w:r>
      </w:hyperlink>
    </w:p>
    <w:p w14:paraId="1397EA54" w14:textId="77777777" w:rsidR="001C08A5" w:rsidRDefault="00000000">
      <w:pPr>
        <w:pStyle w:val="TableofFigures"/>
        <w:tabs>
          <w:tab w:val="right" w:leader="dot" w:pos="0"/>
        </w:tabs>
        <w:ind w:left="800" w:hanging="400"/>
      </w:pPr>
      <w:hyperlink w:anchor="_Toc5193" w:history="1">
        <w:r>
          <w:t>Tabelul 35 : Număr minim simultan de persoane din construcţii civile supraterane cu înălţimi obişnuite, montane sau din Delta Dunării, amplasate izolat</w:t>
        </w:r>
        <w:r>
          <w:tab/>
        </w:r>
        <w:r>
          <w:fldChar w:fldCharType="begin"/>
        </w:r>
        <w:r>
          <w:instrText xml:space="preserve"> PAGEREF _Toc5193 \h </w:instrText>
        </w:r>
        <w:r>
          <w:fldChar w:fldCharType="separate"/>
        </w:r>
        <w:r>
          <w:t>181</w:t>
        </w:r>
        <w:r>
          <w:fldChar w:fldCharType="end"/>
        </w:r>
      </w:hyperlink>
    </w:p>
    <w:p w14:paraId="4605416D" w14:textId="77777777" w:rsidR="001C08A5" w:rsidRDefault="00000000">
      <w:pPr>
        <w:pStyle w:val="TableofFigures"/>
        <w:tabs>
          <w:tab w:val="right" w:leader="dot" w:pos="0"/>
        </w:tabs>
        <w:ind w:left="800" w:hanging="400"/>
      </w:pPr>
      <w:hyperlink w:anchor="_Toc14364" w:history="1">
        <w:r>
          <w:t>Tabelul 36 : Număr minim simultan de persoane din parcaje pentru autoturisme</w:t>
        </w:r>
        <w:r>
          <w:tab/>
        </w:r>
        <w:r>
          <w:fldChar w:fldCharType="begin"/>
        </w:r>
        <w:r>
          <w:instrText xml:space="preserve"> PAGEREF _Toc14364 \h </w:instrText>
        </w:r>
        <w:r>
          <w:fldChar w:fldCharType="separate"/>
        </w:r>
        <w:r>
          <w:t>181</w:t>
        </w:r>
        <w:r>
          <w:fldChar w:fldCharType="end"/>
        </w:r>
      </w:hyperlink>
    </w:p>
    <w:p w14:paraId="52ABD32E" w14:textId="77777777" w:rsidR="001C08A5" w:rsidRDefault="00000000">
      <w:pPr>
        <w:pStyle w:val="TableofFigures"/>
        <w:tabs>
          <w:tab w:val="right" w:leader="dot" w:pos="0"/>
        </w:tabs>
        <w:ind w:left="800" w:hanging="400"/>
      </w:pPr>
      <w:hyperlink w:anchor="_Toc30395" w:history="1">
        <w:r>
          <w:t>Tabelul 37 : Număr minim simultan de persoane din construcții şi amenajări în aer liber cu destinaţii civile</w:t>
        </w:r>
        <w:r>
          <w:tab/>
        </w:r>
        <w:r>
          <w:fldChar w:fldCharType="begin"/>
        </w:r>
        <w:r>
          <w:instrText xml:space="preserve"> PAGEREF _Toc30395 \h </w:instrText>
        </w:r>
        <w:r>
          <w:fldChar w:fldCharType="separate"/>
        </w:r>
        <w:r>
          <w:t>182</w:t>
        </w:r>
        <w:r>
          <w:fldChar w:fldCharType="end"/>
        </w:r>
      </w:hyperlink>
    </w:p>
    <w:p w14:paraId="24D16AB9" w14:textId="77777777" w:rsidR="001C08A5" w:rsidRDefault="00000000">
      <w:pPr>
        <w:pStyle w:val="TableofFigures"/>
        <w:tabs>
          <w:tab w:val="right" w:leader="dot" w:pos="0"/>
        </w:tabs>
        <w:ind w:left="800" w:hanging="400"/>
      </w:pPr>
      <w:hyperlink w:anchor="_Toc9121" w:history="1">
        <w:r>
          <w:t>Tabelul 38 : Număr maxim simultan de persoane din clădiri subterane</w:t>
        </w:r>
        <w:r>
          <w:tab/>
        </w:r>
        <w:r>
          <w:fldChar w:fldCharType="begin"/>
        </w:r>
        <w:r>
          <w:instrText xml:space="preserve"> PAGEREF _Toc9121 \h </w:instrText>
        </w:r>
        <w:r>
          <w:fldChar w:fldCharType="separate"/>
        </w:r>
        <w:r>
          <w:t>182</w:t>
        </w:r>
        <w:r>
          <w:fldChar w:fldCharType="end"/>
        </w:r>
      </w:hyperlink>
    </w:p>
    <w:p w14:paraId="10F7FAF9" w14:textId="77777777" w:rsidR="001C08A5" w:rsidRDefault="00000000">
      <w:pPr>
        <w:pStyle w:val="TableofFigures"/>
        <w:tabs>
          <w:tab w:val="right" w:leader="dot" w:pos="0"/>
        </w:tabs>
        <w:ind w:left="800" w:hanging="400"/>
      </w:pPr>
      <w:hyperlink w:anchor="_Toc24843" w:history="1">
        <w:r>
          <w:t>Tabelul 39 : Număr minim simultan de persoane din construcţii de producţie şi / sau depozitare</w:t>
        </w:r>
        <w:r>
          <w:tab/>
        </w:r>
        <w:r>
          <w:fldChar w:fldCharType="begin"/>
        </w:r>
        <w:r>
          <w:instrText xml:space="preserve"> PAGEREF _Toc24843 \h </w:instrText>
        </w:r>
        <w:r>
          <w:fldChar w:fldCharType="separate"/>
        </w:r>
        <w:r>
          <w:t>182</w:t>
        </w:r>
        <w:r>
          <w:fldChar w:fldCharType="end"/>
        </w:r>
      </w:hyperlink>
    </w:p>
    <w:p w14:paraId="1463EC0A" w14:textId="77777777" w:rsidR="001C08A5" w:rsidRDefault="00000000">
      <w:pPr>
        <w:pStyle w:val="TableofFigures"/>
        <w:tabs>
          <w:tab w:val="right" w:leader="dot" w:pos="0"/>
        </w:tabs>
        <w:ind w:left="800" w:hanging="400"/>
      </w:pPr>
      <w:hyperlink w:anchor="_Toc26051" w:history="1">
        <w:r>
          <w:t>Tabelul 40 : Număr minim simultan de persoane din încăperi specifice mai multor  funcţiuni / destinaţii de clădiri civile</w:t>
        </w:r>
        <w:r>
          <w:tab/>
        </w:r>
        <w:r>
          <w:fldChar w:fldCharType="begin"/>
        </w:r>
        <w:r>
          <w:instrText xml:space="preserve"> PAGEREF _Toc26051 \h </w:instrText>
        </w:r>
        <w:r>
          <w:fldChar w:fldCharType="separate"/>
        </w:r>
        <w:r>
          <w:t>183</w:t>
        </w:r>
        <w:r>
          <w:fldChar w:fldCharType="end"/>
        </w:r>
      </w:hyperlink>
    </w:p>
    <w:p w14:paraId="5862FD58" w14:textId="77777777" w:rsidR="001C08A5" w:rsidRDefault="00000000">
      <w:pPr>
        <w:pStyle w:val="TableofFigures"/>
        <w:tabs>
          <w:tab w:val="right" w:leader="dot" w:pos="0"/>
        </w:tabs>
        <w:ind w:left="800" w:hanging="400"/>
      </w:pPr>
      <w:hyperlink w:anchor="_Toc14510" w:history="1">
        <w:r>
          <w:t>Tabelul 41 : Condiţii de corelare a ariilor construite (Ac) ale clădirilor și compartimentelor de incendiu supraterane civile cu nivelul de stabiliate la incendiu</w:t>
        </w:r>
        <w:r>
          <w:tab/>
        </w:r>
        <w:r>
          <w:fldChar w:fldCharType="begin"/>
        </w:r>
        <w:r>
          <w:instrText xml:space="preserve"> PAGEREF _Toc14510 \h </w:instrText>
        </w:r>
        <w:r>
          <w:fldChar w:fldCharType="separate"/>
        </w:r>
        <w:r>
          <w:t>198</w:t>
        </w:r>
        <w:r>
          <w:fldChar w:fldCharType="end"/>
        </w:r>
      </w:hyperlink>
    </w:p>
    <w:p w14:paraId="689DFE45" w14:textId="77777777" w:rsidR="001C08A5" w:rsidRDefault="00000000">
      <w:pPr>
        <w:pStyle w:val="TableofFigures"/>
        <w:tabs>
          <w:tab w:val="right" w:leader="dot" w:pos="0"/>
        </w:tabs>
        <w:ind w:left="800" w:hanging="400"/>
      </w:pPr>
      <w:hyperlink w:anchor="_Toc1885" w:history="1">
        <w:r>
          <w:t>Tabelul 42 : Condiţii de corelare între destinaţie, capacitatea maximă simultană şi numărul de niveluri supraterane ale clădirilor civile, cu nivel de stabilitate la incendiu III, IV sau V</w:t>
        </w:r>
        <w:r>
          <w:tab/>
        </w:r>
        <w:r>
          <w:fldChar w:fldCharType="begin"/>
        </w:r>
        <w:r>
          <w:instrText xml:space="preserve"> PAGEREF _Toc1885 \h </w:instrText>
        </w:r>
        <w:r>
          <w:fldChar w:fldCharType="separate"/>
        </w:r>
        <w:r>
          <w:t>199</w:t>
        </w:r>
        <w:r>
          <w:fldChar w:fldCharType="end"/>
        </w:r>
      </w:hyperlink>
    </w:p>
    <w:p w14:paraId="10308D16" w14:textId="77777777" w:rsidR="001C08A5" w:rsidRDefault="00000000">
      <w:pPr>
        <w:pStyle w:val="TableofFigures"/>
        <w:tabs>
          <w:tab w:val="right" w:leader="dot" w:pos="0"/>
        </w:tabs>
        <w:ind w:left="800" w:hanging="400"/>
      </w:pPr>
      <w:hyperlink w:anchor="_Toc4023" w:history="1">
        <w:r>
          <w:t xml:space="preserve">Tabelul 43 : </w:t>
        </w:r>
        <w:r>
          <w:rPr>
            <w:bCs/>
          </w:rPr>
          <w:t>Mansardarea construcţiilor civile supraterane (realizarea unui nivel funcţional în volumul podului)</w:t>
        </w:r>
        <w:r>
          <w:tab/>
        </w:r>
        <w:r>
          <w:fldChar w:fldCharType="begin"/>
        </w:r>
        <w:r>
          <w:instrText xml:space="preserve"> PAGEREF _Toc4023 \h </w:instrText>
        </w:r>
        <w:r>
          <w:fldChar w:fldCharType="separate"/>
        </w:r>
        <w:r>
          <w:t>199</w:t>
        </w:r>
        <w:r>
          <w:fldChar w:fldCharType="end"/>
        </w:r>
      </w:hyperlink>
    </w:p>
    <w:p w14:paraId="31A14DAD" w14:textId="77777777" w:rsidR="001C08A5" w:rsidRDefault="00000000">
      <w:pPr>
        <w:pStyle w:val="TableofFigures"/>
        <w:tabs>
          <w:tab w:val="right" w:leader="dot" w:pos="0"/>
        </w:tabs>
        <w:ind w:left="800" w:hanging="400"/>
      </w:pPr>
      <w:hyperlink w:anchor="_Toc28052" w:history="1">
        <w:r>
          <w:t xml:space="preserve">Tabelul 44 : </w:t>
        </w:r>
        <w:r>
          <w:rPr>
            <w:bCs/>
          </w:rPr>
          <w:t>Mansardarea construcţiilor civile supraterane (realizarea a mai multor niveluri funcţionale în volumul podului)</w:t>
        </w:r>
        <w:r>
          <w:tab/>
        </w:r>
        <w:r>
          <w:fldChar w:fldCharType="begin"/>
        </w:r>
        <w:r>
          <w:instrText xml:space="preserve"> PAGEREF _Toc28052 \h </w:instrText>
        </w:r>
        <w:r>
          <w:fldChar w:fldCharType="separate"/>
        </w:r>
        <w:r>
          <w:t>200</w:t>
        </w:r>
        <w:r>
          <w:fldChar w:fldCharType="end"/>
        </w:r>
      </w:hyperlink>
    </w:p>
    <w:p w14:paraId="142DA0AB" w14:textId="77777777" w:rsidR="001C08A5" w:rsidRDefault="00000000">
      <w:pPr>
        <w:pStyle w:val="TableofFigures"/>
        <w:tabs>
          <w:tab w:val="right" w:leader="dot" w:pos="0"/>
        </w:tabs>
        <w:ind w:left="800" w:hanging="400"/>
      </w:pPr>
      <w:hyperlink w:anchor="_Toc8931" w:history="1">
        <w:r>
          <w:t>Tabelul 45 : Comportare la foc a pereţilor și uşilor pereţilor cu rol de sectorizare prevăzuţi pentru limitarea propagării incendiului în interiorul unui compartiment de incendiu</w:t>
        </w:r>
        <w:r>
          <w:tab/>
        </w:r>
        <w:r>
          <w:fldChar w:fldCharType="begin"/>
        </w:r>
        <w:r>
          <w:instrText xml:space="preserve"> PAGEREF _Toc8931 \h </w:instrText>
        </w:r>
        <w:r>
          <w:fldChar w:fldCharType="separate"/>
        </w:r>
        <w:r>
          <w:t>204</w:t>
        </w:r>
        <w:r>
          <w:fldChar w:fldCharType="end"/>
        </w:r>
      </w:hyperlink>
    </w:p>
    <w:p w14:paraId="35798A27" w14:textId="77777777" w:rsidR="001C08A5" w:rsidRDefault="00000000">
      <w:pPr>
        <w:pStyle w:val="TableofFigures"/>
        <w:tabs>
          <w:tab w:val="right" w:leader="dot" w:pos="0"/>
        </w:tabs>
        <w:ind w:left="800" w:hanging="400"/>
      </w:pPr>
      <w:hyperlink w:anchor="_Toc3318" w:history="1">
        <w:r>
          <w:t>Tabelul 46 : Comportare la foc a pereţilor, uşilor și planşeelor de separare a caselor de scări închise din clădiri</w:t>
        </w:r>
        <w:r>
          <w:rPr>
            <w:lang w:eastAsia="ro-RO"/>
          </w:rPr>
          <w:t xml:space="preserve"> civile</w:t>
        </w:r>
        <w:r>
          <w:t xml:space="preserve"> cu înălţimi obişnuite, atunci când nu se regăsesc în destinaţiile specifice detaliate în normativ</w:t>
        </w:r>
        <w:r>
          <w:tab/>
        </w:r>
        <w:r>
          <w:fldChar w:fldCharType="begin"/>
        </w:r>
        <w:r>
          <w:instrText xml:space="preserve"> PAGEREF _Toc3318 \h </w:instrText>
        </w:r>
        <w:r>
          <w:fldChar w:fldCharType="separate"/>
        </w:r>
        <w:r>
          <w:t>205</w:t>
        </w:r>
        <w:r>
          <w:fldChar w:fldCharType="end"/>
        </w:r>
      </w:hyperlink>
    </w:p>
    <w:p w14:paraId="12B5BF54" w14:textId="77777777" w:rsidR="001C08A5" w:rsidRDefault="00000000">
      <w:pPr>
        <w:pStyle w:val="TableofFigures"/>
        <w:tabs>
          <w:tab w:val="right" w:leader="dot" w:pos="0"/>
        </w:tabs>
        <w:ind w:left="800" w:hanging="400"/>
      </w:pPr>
      <w:hyperlink w:anchor="_Toc32501" w:history="1">
        <w:r>
          <w:t>Tabelul 47 : Comportare la foc a pereţilor, uşilor și planşeelor de separare a căilor de evacuare orizontale (coridoare şi holuri) din clădiri</w:t>
        </w:r>
        <w:r>
          <w:rPr>
            <w:lang w:eastAsia="ro-RO"/>
          </w:rPr>
          <w:t xml:space="preserve"> civile</w:t>
        </w:r>
        <w:r>
          <w:t xml:space="preserve"> cu înălţimi obişnuite, atunci când nu se regăsesc în destinaţiile specifice detaliate în normativ</w:t>
        </w:r>
        <w:r>
          <w:tab/>
        </w:r>
        <w:r>
          <w:fldChar w:fldCharType="begin"/>
        </w:r>
        <w:r>
          <w:instrText xml:space="preserve"> PAGEREF _Toc32501 \h </w:instrText>
        </w:r>
        <w:r>
          <w:fldChar w:fldCharType="separate"/>
        </w:r>
        <w:r>
          <w:t>205</w:t>
        </w:r>
        <w:r>
          <w:fldChar w:fldCharType="end"/>
        </w:r>
      </w:hyperlink>
    </w:p>
    <w:p w14:paraId="6179C617" w14:textId="77777777" w:rsidR="001C08A5" w:rsidRDefault="00000000">
      <w:pPr>
        <w:pStyle w:val="TableofFigures"/>
        <w:tabs>
          <w:tab w:val="right" w:leader="dot" w:pos="0"/>
        </w:tabs>
        <w:ind w:left="800" w:hanging="400"/>
      </w:pPr>
      <w:hyperlink w:anchor="_Toc19392" w:history="1">
        <w:r>
          <w:t>Tabelul 48 : Clase de performanţă privind reacţia la foc a produselor folosite pentru finisajele interioare la casele de scări închise şi a căilor de circulaţie funcţională şi de evacuare orizontale (coridoare şi holuri, tuneluri, degajamente protejate etc.) în clădiri supraterane cu înălţimi obişnuite</w:t>
        </w:r>
        <w:r>
          <w:tab/>
        </w:r>
        <w:r>
          <w:fldChar w:fldCharType="begin"/>
        </w:r>
        <w:r>
          <w:instrText xml:space="preserve"> PAGEREF _Toc19392 \h </w:instrText>
        </w:r>
        <w:r>
          <w:fldChar w:fldCharType="separate"/>
        </w:r>
        <w:r>
          <w:t>211</w:t>
        </w:r>
        <w:r>
          <w:fldChar w:fldCharType="end"/>
        </w:r>
      </w:hyperlink>
    </w:p>
    <w:p w14:paraId="17B152A0" w14:textId="77777777" w:rsidR="001C08A5" w:rsidRDefault="00000000">
      <w:pPr>
        <w:pStyle w:val="TableofFigures"/>
        <w:tabs>
          <w:tab w:val="right" w:leader="dot" w:pos="0"/>
        </w:tabs>
        <w:ind w:left="800" w:hanging="400"/>
      </w:pPr>
      <w:hyperlink w:anchor="_Toc4716" w:history="1">
        <w:r>
          <w:t>Tabelul 49 : Clase de performanţă privind reacţia la foc a produselor folosite pentru finisajele interioare la încăperi, cu excepția caselor de scări închise şi a căilor de circulaţie funcţională şi de evacuare orizontale (coridoare şi holuri, tuneluri, degajamente protejate etc.) în clădiri supraterane cu înălţimi obişnuite</w:t>
        </w:r>
        <w:r>
          <w:tab/>
        </w:r>
        <w:r>
          <w:fldChar w:fldCharType="begin"/>
        </w:r>
        <w:r>
          <w:instrText xml:space="preserve"> PAGEREF _Toc4716 \h </w:instrText>
        </w:r>
        <w:r>
          <w:fldChar w:fldCharType="separate"/>
        </w:r>
        <w:r>
          <w:t>212</w:t>
        </w:r>
        <w:r>
          <w:fldChar w:fldCharType="end"/>
        </w:r>
      </w:hyperlink>
    </w:p>
    <w:p w14:paraId="08BB77AE" w14:textId="77777777" w:rsidR="001C08A5" w:rsidRDefault="00000000">
      <w:pPr>
        <w:pStyle w:val="TableofFigures"/>
        <w:tabs>
          <w:tab w:val="right" w:leader="dot" w:pos="0"/>
        </w:tabs>
        <w:ind w:left="800" w:hanging="400"/>
      </w:pPr>
      <w:hyperlink w:anchor="_Toc25816" w:history="1">
        <w:r>
          <w:t>Tabelul 50 : Lungimi de evacuare pe circulaţiile comune orizontale deschise spre atriumuri</w:t>
        </w:r>
        <w:r>
          <w:tab/>
        </w:r>
        <w:r>
          <w:fldChar w:fldCharType="begin"/>
        </w:r>
        <w:r>
          <w:instrText xml:space="preserve"> PAGEREF _Toc25816 \h </w:instrText>
        </w:r>
        <w:r>
          <w:fldChar w:fldCharType="separate"/>
        </w:r>
        <w:r>
          <w:t>213</w:t>
        </w:r>
        <w:r>
          <w:fldChar w:fldCharType="end"/>
        </w:r>
      </w:hyperlink>
    </w:p>
    <w:p w14:paraId="1AEB007E" w14:textId="77777777" w:rsidR="001C08A5" w:rsidRDefault="00000000">
      <w:pPr>
        <w:pStyle w:val="TableofFigures"/>
        <w:tabs>
          <w:tab w:val="right" w:leader="dot" w:pos="0"/>
        </w:tabs>
        <w:ind w:left="800" w:hanging="400"/>
      </w:pPr>
      <w:hyperlink w:anchor="_Toc12934" w:history="1">
        <w:r>
          <w:t>Tabelul 51 : Număr normat de utilizatori pe unitatea de trecere (flux) de evacuare (Uf) din construcţiile civile cu înălţimi obişnuite</w:t>
        </w:r>
        <w:r>
          <w:tab/>
        </w:r>
        <w:r>
          <w:fldChar w:fldCharType="begin"/>
        </w:r>
        <w:r>
          <w:instrText xml:space="preserve"> PAGEREF _Toc12934 \h </w:instrText>
        </w:r>
        <w:r>
          <w:fldChar w:fldCharType="separate"/>
        </w:r>
        <w:r>
          <w:t>214</w:t>
        </w:r>
        <w:r>
          <w:fldChar w:fldCharType="end"/>
        </w:r>
      </w:hyperlink>
    </w:p>
    <w:p w14:paraId="447E90AE" w14:textId="77777777" w:rsidR="001C08A5" w:rsidRDefault="00000000">
      <w:pPr>
        <w:pStyle w:val="TableofFigures"/>
        <w:tabs>
          <w:tab w:val="right" w:leader="dot" w:pos="0"/>
        </w:tabs>
        <w:ind w:left="800" w:hanging="400"/>
      </w:pPr>
      <w:hyperlink w:anchor="_Toc446" w:history="1">
        <w:r>
          <w:t>Tabelul 52 : Clase de performanţă privind reacţia la foc a produselor folosite pentru finisajele interioare ale circulaţiilor funcţionale şi de evacuare din clădiri de locuit supraterane cu înălţimi obişnuite</w:t>
        </w:r>
        <w:r>
          <w:tab/>
        </w:r>
        <w:r>
          <w:fldChar w:fldCharType="begin"/>
        </w:r>
        <w:r>
          <w:instrText xml:space="preserve"> PAGEREF _Toc446 \h </w:instrText>
        </w:r>
        <w:r>
          <w:fldChar w:fldCharType="separate"/>
        </w:r>
        <w:r>
          <w:t>216</w:t>
        </w:r>
        <w:r>
          <w:fldChar w:fldCharType="end"/>
        </w:r>
      </w:hyperlink>
    </w:p>
    <w:p w14:paraId="468131D0" w14:textId="77777777" w:rsidR="001C08A5" w:rsidRDefault="00000000">
      <w:pPr>
        <w:pStyle w:val="TableofFigures"/>
        <w:tabs>
          <w:tab w:val="right" w:leader="dot" w:pos="0"/>
        </w:tabs>
        <w:ind w:left="800" w:hanging="400"/>
      </w:pPr>
      <w:hyperlink w:anchor="_Toc18564" w:history="1">
        <w:r>
          <w:t>Tabelul 53 : Condiţii pentru pereţii despărţitori din clădirile de locuit supraterane cu înălţimi obişnuite</w:t>
        </w:r>
        <w:r>
          <w:tab/>
        </w:r>
        <w:r>
          <w:fldChar w:fldCharType="begin"/>
        </w:r>
        <w:r>
          <w:instrText xml:space="preserve"> PAGEREF _Toc18564 \h </w:instrText>
        </w:r>
        <w:r>
          <w:fldChar w:fldCharType="separate"/>
        </w:r>
        <w:r>
          <w:t>216</w:t>
        </w:r>
        <w:r>
          <w:fldChar w:fldCharType="end"/>
        </w:r>
      </w:hyperlink>
    </w:p>
    <w:p w14:paraId="6560C0CB" w14:textId="77777777" w:rsidR="001C08A5" w:rsidRDefault="00000000">
      <w:pPr>
        <w:pStyle w:val="TableofFigures"/>
        <w:tabs>
          <w:tab w:val="right" w:leader="dot" w:pos="0"/>
        </w:tabs>
        <w:ind w:left="800" w:hanging="400"/>
      </w:pPr>
      <w:hyperlink w:anchor="_Toc11440" w:history="1">
        <w:r>
          <w:t xml:space="preserve">Tabelul 54 : Comportare la foc a pereţilor, uşilor și planşeelor de separarea caselor de scări închise şi a uşilor din clădirile de locuit cu înălţimi obişnuite </w:t>
        </w:r>
        <w:r>
          <w:tab/>
        </w:r>
        <w:r>
          <w:fldChar w:fldCharType="begin"/>
        </w:r>
        <w:r>
          <w:instrText xml:space="preserve"> PAGEREF _Toc11440 \h </w:instrText>
        </w:r>
        <w:r>
          <w:fldChar w:fldCharType="separate"/>
        </w:r>
        <w:r>
          <w:t>218</w:t>
        </w:r>
        <w:r>
          <w:fldChar w:fldCharType="end"/>
        </w:r>
      </w:hyperlink>
    </w:p>
    <w:p w14:paraId="4BD1097B" w14:textId="77777777" w:rsidR="001C08A5" w:rsidRDefault="00000000">
      <w:pPr>
        <w:pStyle w:val="TableofFigures"/>
        <w:tabs>
          <w:tab w:val="right" w:leader="dot" w:pos="0"/>
        </w:tabs>
        <w:ind w:left="800" w:hanging="400"/>
      </w:pPr>
      <w:hyperlink w:anchor="_Toc25185" w:history="1">
        <w:r>
          <w:t>Tabelul 55 : Comportare la foc a pereţilor, uşilor și planşeelor de separare a căilor de evacuare orizontale (coridoare şi holuri) din clădirile de locuit cu înălţimi obişnuite</w:t>
        </w:r>
        <w:r>
          <w:tab/>
        </w:r>
        <w:r>
          <w:fldChar w:fldCharType="begin"/>
        </w:r>
        <w:r>
          <w:instrText xml:space="preserve"> PAGEREF _Toc25185 \h </w:instrText>
        </w:r>
        <w:r>
          <w:fldChar w:fldCharType="separate"/>
        </w:r>
        <w:r>
          <w:t>218</w:t>
        </w:r>
        <w:r>
          <w:fldChar w:fldCharType="end"/>
        </w:r>
      </w:hyperlink>
    </w:p>
    <w:p w14:paraId="2D659671" w14:textId="77777777" w:rsidR="001C08A5" w:rsidRDefault="00000000">
      <w:pPr>
        <w:pStyle w:val="TableofFigures"/>
        <w:tabs>
          <w:tab w:val="right" w:leader="dot" w:pos="0"/>
        </w:tabs>
        <w:ind w:left="800" w:hanging="400"/>
      </w:pPr>
      <w:hyperlink w:anchor="_Toc17240" w:history="1">
        <w:r>
          <w:t>Tabelul 56 : Lungimi de evacuare în clădiri de locuit supraterane cu înălţimi obişnuite</w:t>
        </w:r>
        <w:r>
          <w:tab/>
        </w:r>
        <w:r>
          <w:fldChar w:fldCharType="begin"/>
        </w:r>
        <w:r>
          <w:instrText xml:space="preserve"> PAGEREF _Toc17240 \h </w:instrText>
        </w:r>
        <w:r>
          <w:fldChar w:fldCharType="separate"/>
        </w:r>
        <w:r>
          <w:t>219</w:t>
        </w:r>
        <w:r>
          <w:fldChar w:fldCharType="end"/>
        </w:r>
      </w:hyperlink>
    </w:p>
    <w:p w14:paraId="2D492FF7" w14:textId="77777777" w:rsidR="001C08A5" w:rsidRDefault="00000000">
      <w:pPr>
        <w:pStyle w:val="TableofFigures"/>
        <w:tabs>
          <w:tab w:val="right" w:leader="dot" w:pos="0"/>
        </w:tabs>
        <w:ind w:left="800" w:hanging="400"/>
      </w:pPr>
      <w:hyperlink w:anchor="_Toc10453" w:history="1">
        <w:r>
          <w:t>Tabelul 57 : Comportare la foc a pereţilor, uşilor și planşeelor de separare a caselor de scări închise şi a uşilor din clădirile administrative supraterane cu înălţimi obişnuite</w:t>
        </w:r>
        <w:r>
          <w:tab/>
        </w:r>
        <w:r>
          <w:fldChar w:fldCharType="begin"/>
        </w:r>
        <w:r>
          <w:instrText xml:space="preserve"> PAGEREF _Toc10453 \h </w:instrText>
        </w:r>
        <w:r>
          <w:fldChar w:fldCharType="separate"/>
        </w:r>
        <w:r>
          <w:t>222</w:t>
        </w:r>
        <w:r>
          <w:fldChar w:fldCharType="end"/>
        </w:r>
      </w:hyperlink>
    </w:p>
    <w:p w14:paraId="6BC1D212" w14:textId="77777777" w:rsidR="001C08A5" w:rsidRDefault="00000000">
      <w:pPr>
        <w:pStyle w:val="TableofFigures"/>
        <w:tabs>
          <w:tab w:val="right" w:leader="dot" w:pos="0"/>
        </w:tabs>
        <w:ind w:left="800" w:hanging="400"/>
      </w:pPr>
      <w:hyperlink w:anchor="_Toc13586" w:history="1">
        <w:r>
          <w:t>Tabelul 58 : Comportare la foc a pereţilor, uşilor și planşeelor de separare a căilor de evacuare orizontale (coridoare și holuri) din clădirile administrative supraterane cu înălţimi obişnuite</w:t>
        </w:r>
        <w:r>
          <w:tab/>
        </w:r>
        <w:r>
          <w:fldChar w:fldCharType="begin"/>
        </w:r>
        <w:r>
          <w:instrText xml:space="preserve"> PAGEREF _Toc13586 \h </w:instrText>
        </w:r>
        <w:r>
          <w:fldChar w:fldCharType="separate"/>
        </w:r>
        <w:r>
          <w:t>223</w:t>
        </w:r>
        <w:r>
          <w:fldChar w:fldCharType="end"/>
        </w:r>
      </w:hyperlink>
    </w:p>
    <w:p w14:paraId="05A4F75A" w14:textId="77777777" w:rsidR="001C08A5" w:rsidRDefault="00000000">
      <w:pPr>
        <w:pStyle w:val="TableofFigures"/>
        <w:tabs>
          <w:tab w:val="right" w:leader="dot" w:pos="0"/>
        </w:tabs>
        <w:ind w:left="800" w:hanging="400"/>
      </w:pPr>
      <w:hyperlink w:anchor="_Toc9783" w:history="1">
        <w:r>
          <w:t>Tabelul 59 : Comportare la foc a pereţilor, uşilor și planşeelor de separare a holurilor de acces (lobby) din clădirile administrative supraterane cu înălţimi obişnuite</w:t>
        </w:r>
        <w:r>
          <w:tab/>
        </w:r>
        <w:r>
          <w:fldChar w:fldCharType="begin"/>
        </w:r>
        <w:r>
          <w:instrText xml:space="preserve"> PAGEREF _Toc9783 \h </w:instrText>
        </w:r>
        <w:r>
          <w:fldChar w:fldCharType="separate"/>
        </w:r>
        <w:r>
          <w:t>223</w:t>
        </w:r>
        <w:r>
          <w:fldChar w:fldCharType="end"/>
        </w:r>
      </w:hyperlink>
    </w:p>
    <w:p w14:paraId="24B1E015" w14:textId="77777777" w:rsidR="001C08A5" w:rsidRDefault="00000000">
      <w:pPr>
        <w:pStyle w:val="TableofFigures"/>
        <w:tabs>
          <w:tab w:val="right" w:leader="dot" w:pos="0"/>
        </w:tabs>
        <w:ind w:left="800" w:hanging="400"/>
      </w:pPr>
      <w:hyperlink w:anchor="_Toc15407" w:history="1">
        <w:r>
          <w:t>Tabelul 60 : Lungimi de evacuare în clădiri administrative supraterane cu înălţimi obişnuite</w:t>
        </w:r>
        <w:r>
          <w:tab/>
        </w:r>
        <w:r>
          <w:fldChar w:fldCharType="begin"/>
        </w:r>
        <w:r>
          <w:instrText xml:space="preserve"> PAGEREF _Toc15407 \h </w:instrText>
        </w:r>
        <w:r>
          <w:fldChar w:fldCharType="separate"/>
        </w:r>
        <w:r>
          <w:t>224</w:t>
        </w:r>
        <w:r>
          <w:fldChar w:fldCharType="end"/>
        </w:r>
      </w:hyperlink>
    </w:p>
    <w:p w14:paraId="56EE5BCC" w14:textId="77777777" w:rsidR="001C08A5" w:rsidRDefault="00000000">
      <w:pPr>
        <w:pStyle w:val="TableofFigures"/>
        <w:tabs>
          <w:tab w:val="right" w:leader="dot" w:pos="0"/>
        </w:tabs>
        <w:ind w:left="800" w:hanging="400"/>
      </w:pPr>
      <w:hyperlink w:anchor="_Toc32582" w:history="1">
        <w:r>
          <w:t>Tabelul 61 : Comportare la foc a pereţilor, uşilor și planşeelor de separare a caselor de scări închise din clădirile pentru comerţ supraterane cu înălţimi obişnuite</w:t>
        </w:r>
        <w:r>
          <w:tab/>
        </w:r>
        <w:r>
          <w:fldChar w:fldCharType="begin"/>
        </w:r>
        <w:r>
          <w:instrText xml:space="preserve"> PAGEREF _Toc32582 \h </w:instrText>
        </w:r>
        <w:r>
          <w:fldChar w:fldCharType="separate"/>
        </w:r>
        <w:r>
          <w:t>228</w:t>
        </w:r>
        <w:r>
          <w:fldChar w:fldCharType="end"/>
        </w:r>
      </w:hyperlink>
    </w:p>
    <w:p w14:paraId="1144769B" w14:textId="77777777" w:rsidR="001C08A5" w:rsidRDefault="00000000">
      <w:pPr>
        <w:pStyle w:val="TableofFigures"/>
        <w:tabs>
          <w:tab w:val="right" w:leader="dot" w:pos="0"/>
        </w:tabs>
        <w:ind w:left="800" w:hanging="400"/>
      </w:pPr>
      <w:hyperlink w:anchor="_Toc27614" w:history="1">
        <w:r>
          <w:t>Tabelul 62 : Comportare la foc a pereţilor, uşilor și planşeelor de separare a căilor de evacuare orizontale (coridoare ) din clădirile pentru comerţ supraterane cu înălţimi obişnuite</w:t>
        </w:r>
        <w:r>
          <w:tab/>
        </w:r>
        <w:r>
          <w:fldChar w:fldCharType="begin"/>
        </w:r>
        <w:r>
          <w:instrText xml:space="preserve"> PAGEREF _Toc27614 \h </w:instrText>
        </w:r>
        <w:r>
          <w:fldChar w:fldCharType="separate"/>
        </w:r>
        <w:r>
          <w:t>228</w:t>
        </w:r>
        <w:r>
          <w:fldChar w:fldCharType="end"/>
        </w:r>
      </w:hyperlink>
    </w:p>
    <w:p w14:paraId="0A86D574" w14:textId="77777777" w:rsidR="001C08A5" w:rsidRDefault="00000000">
      <w:pPr>
        <w:pStyle w:val="TableofFigures"/>
        <w:tabs>
          <w:tab w:val="right" w:leader="dot" w:pos="0"/>
        </w:tabs>
        <w:ind w:left="800" w:hanging="400"/>
      </w:pPr>
      <w:hyperlink w:anchor="_Toc15574" w:history="1">
        <w:r>
          <w:t>Tabelul 63 : Comportare la foc a pereţilor, uşilor și planşeelor de separare a căilor de evacuare orizontale (holuri) din clădirile pentru comerţ supraterane cu înălţimi obişnuite</w:t>
        </w:r>
        <w:r>
          <w:tab/>
        </w:r>
        <w:r>
          <w:fldChar w:fldCharType="begin"/>
        </w:r>
        <w:r>
          <w:instrText xml:space="preserve"> PAGEREF _Toc15574 \h </w:instrText>
        </w:r>
        <w:r>
          <w:fldChar w:fldCharType="separate"/>
        </w:r>
        <w:r>
          <w:t>229</w:t>
        </w:r>
        <w:r>
          <w:fldChar w:fldCharType="end"/>
        </w:r>
      </w:hyperlink>
    </w:p>
    <w:p w14:paraId="71B77F01" w14:textId="77777777" w:rsidR="001C08A5" w:rsidRDefault="00000000">
      <w:pPr>
        <w:pStyle w:val="TableofFigures"/>
        <w:tabs>
          <w:tab w:val="right" w:leader="dot" w:pos="0"/>
        </w:tabs>
        <w:ind w:left="800" w:hanging="400"/>
      </w:pPr>
      <w:hyperlink w:anchor="_Toc16042" w:history="1">
        <w:r>
          <w:t>Tabelul 64 : Lungimi de evacuare în clădiri pentru comerţ supraterane cu înălţimi obişnuite</w:t>
        </w:r>
        <w:r>
          <w:tab/>
        </w:r>
        <w:r>
          <w:fldChar w:fldCharType="begin"/>
        </w:r>
        <w:r>
          <w:instrText xml:space="preserve"> PAGEREF _Toc16042 \h </w:instrText>
        </w:r>
        <w:r>
          <w:fldChar w:fldCharType="separate"/>
        </w:r>
        <w:r>
          <w:t>230</w:t>
        </w:r>
        <w:r>
          <w:fldChar w:fldCharType="end"/>
        </w:r>
      </w:hyperlink>
    </w:p>
    <w:p w14:paraId="27904E96" w14:textId="77777777" w:rsidR="001C08A5" w:rsidRDefault="00000000">
      <w:pPr>
        <w:pStyle w:val="TableofFigures"/>
        <w:tabs>
          <w:tab w:val="right" w:leader="dot" w:pos="0"/>
        </w:tabs>
        <w:ind w:left="800" w:hanging="400"/>
      </w:pPr>
      <w:hyperlink w:anchor="_Toc21401" w:history="1">
        <w:r>
          <w:t>Tabelul 65 : Comportare la foc a pereţilor, uşilor și planşeelor de separare a caselor de scări închise din clădirile pentru sănătate supraterane cu înălţimi obişnuite</w:t>
        </w:r>
        <w:r>
          <w:tab/>
        </w:r>
        <w:r>
          <w:fldChar w:fldCharType="begin"/>
        </w:r>
        <w:r>
          <w:instrText xml:space="preserve"> PAGEREF _Toc21401 \h </w:instrText>
        </w:r>
        <w:r>
          <w:fldChar w:fldCharType="separate"/>
        </w:r>
        <w:r>
          <w:t>233</w:t>
        </w:r>
        <w:r>
          <w:fldChar w:fldCharType="end"/>
        </w:r>
      </w:hyperlink>
    </w:p>
    <w:p w14:paraId="6623A8D5" w14:textId="77777777" w:rsidR="001C08A5" w:rsidRDefault="00000000">
      <w:pPr>
        <w:pStyle w:val="TableofFigures"/>
        <w:tabs>
          <w:tab w:val="right" w:leader="dot" w:pos="0"/>
        </w:tabs>
        <w:ind w:left="800" w:hanging="400"/>
      </w:pPr>
      <w:hyperlink w:anchor="_Toc6769" w:history="1">
        <w:r>
          <w:t>Tabelul 66 : Comportare la foc a pereţilor, uşilor și planşeelor de separare a căilor de evacuare orizontale (coridoare şi holuri) din clădirile pentru sănătate supraterane cu înălţimi obişnuite</w:t>
        </w:r>
        <w:r>
          <w:tab/>
        </w:r>
        <w:r>
          <w:fldChar w:fldCharType="begin"/>
        </w:r>
        <w:r>
          <w:instrText xml:space="preserve"> PAGEREF _Toc6769 \h </w:instrText>
        </w:r>
        <w:r>
          <w:fldChar w:fldCharType="separate"/>
        </w:r>
        <w:r>
          <w:t>234</w:t>
        </w:r>
        <w:r>
          <w:fldChar w:fldCharType="end"/>
        </w:r>
      </w:hyperlink>
    </w:p>
    <w:p w14:paraId="0110D324" w14:textId="77777777" w:rsidR="001C08A5" w:rsidRDefault="00000000">
      <w:pPr>
        <w:pStyle w:val="TableofFigures"/>
        <w:tabs>
          <w:tab w:val="right" w:leader="dot" w:pos="0"/>
        </w:tabs>
        <w:ind w:left="800" w:hanging="400"/>
      </w:pPr>
      <w:hyperlink w:anchor="_Toc29675" w:history="1">
        <w:r>
          <w:t>Tabelul 67 : Lungimi de evacuare în clădiri pentru sănătate supraterane cu înălţimi obişnuite (la care este necesar transportul bolnavilor cu targa sau căruciorul)</w:t>
        </w:r>
        <w:r>
          <w:tab/>
        </w:r>
        <w:r>
          <w:fldChar w:fldCharType="begin"/>
        </w:r>
        <w:r>
          <w:instrText xml:space="preserve"> PAGEREF _Toc29675 \h </w:instrText>
        </w:r>
        <w:r>
          <w:fldChar w:fldCharType="separate"/>
        </w:r>
        <w:r>
          <w:t>234</w:t>
        </w:r>
        <w:r>
          <w:fldChar w:fldCharType="end"/>
        </w:r>
      </w:hyperlink>
    </w:p>
    <w:p w14:paraId="7D80C4CC" w14:textId="77777777" w:rsidR="001C08A5" w:rsidRDefault="00000000">
      <w:pPr>
        <w:pStyle w:val="TableofFigures"/>
        <w:tabs>
          <w:tab w:val="right" w:leader="dot" w:pos="0"/>
        </w:tabs>
        <w:ind w:left="800" w:hanging="400"/>
      </w:pPr>
      <w:hyperlink w:anchor="_Toc13068" w:history="1">
        <w:r>
          <w:t>Tabelul 68 : Lungimi de evacuare în clădiri pentru sănătate supraterane cu înălţimi obişnuite (la care nu este necesar transportul bolnavilor cu targa sau căruciorul)</w:t>
        </w:r>
        <w:r>
          <w:tab/>
        </w:r>
        <w:r>
          <w:fldChar w:fldCharType="begin"/>
        </w:r>
        <w:r>
          <w:instrText xml:space="preserve"> PAGEREF _Toc13068 \h </w:instrText>
        </w:r>
        <w:r>
          <w:fldChar w:fldCharType="separate"/>
        </w:r>
        <w:r>
          <w:t>235</w:t>
        </w:r>
        <w:r>
          <w:fldChar w:fldCharType="end"/>
        </w:r>
      </w:hyperlink>
    </w:p>
    <w:p w14:paraId="500AB335" w14:textId="77777777" w:rsidR="001C08A5" w:rsidRDefault="00000000">
      <w:pPr>
        <w:pStyle w:val="TableofFigures"/>
        <w:tabs>
          <w:tab w:val="right" w:leader="dot" w:pos="0"/>
        </w:tabs>
        <w:ind w:left="800" w:hanging="400"/>
      </w:pPr>
      <w:hyperlink w:anchor="_Toc25768" w:history="1">
        <w:r>
          <w:t>Tabelul 69 : Comportare la foc a pereţilor, uşilor și planşeelor de separare a caselor de scări închise din clădirile pentru cultură supraterane cu înălţimi obişnuite</w:t>
        </w:r>
        <w:r>
          <w:tab/>
        </w:r>
        <w:r>
          <w:fldChar w:fldCharType="begin"/>
        </w:r>
        <w:r>
          <w:instrText xml:space="preserve"> PAGEREF _Toc25768 \h </w:instrText>
        </w:r>
        <w:r>
          <w:fldChar w:fldCharType="separate"/>
        </w:r>
        <w:r>
          <w:t>238</w:t>
        </w:r>
        <w:r>
          <w:fldChar w:fldCharType="end"/>
        </w:r>
      </w:hyperlink>
    </w:p>
    <w:p w14:paraId="4589C940" w14:textId="77777777" w:rsidR="001C08A5" w:rsidRDefault="00000000">
      <w:pPr>
        <w:pStyle w:val="TableofFigures"/>
        <w:tabs>
          <w:tab w:val="right" w:leader="dot" w:pos="0"/>
        </w:tabs>
        <w:ind w:left="800" w:hanging="400"/>
      </w:pPr>
      <w:hyperlink w:anchor="_Toc1556" w:history="1">
        <w:r>
          <w:t>Tabelul 70 : Comportare la foc a pereţilor, uşilor și planşeelor de separare a căilor de evacuare orizontale (coridoare şi holuri) din clădirile pentru cultură supraterane cu înălţimi obişnuite</w:t>
        </w:r>
        <w:r>
          <w:tab/>
        </w:r>
        <w:r>
          <w:fldChar w:fldCharType="begin"/>
        </w:r>
        <w:r>
          <w:instrText xml:space="preserve"> PAGEREF _Toc1556 \h </w:instrText>
        </w:r>
        <w:r>
          <w:fldChar w:fldCharType="separate"/>
        </w:r>
        <w:r>
          <w:t>239</w:t>
        </w:r>
        <w:r>
          <w:fldChar w:fldCharType="end"/>
        </w:r>
      </w:hyperlink>
    </w:p>
    <w:p w14:paraId="51FA83A6" w14:textId="77777777" w:rsidR="001C08A5" w:rsidRDefault="00000000">
      <w:pPr>
        <w:pStyle w:val="TableofFigures"/>
        <w:tabs>
          <w:tab w:val="right" w:leader="dot" w:pos="0"/>
        </w:tabs>
        <w:ind w:left="800" w:hanging="400"/>
      </w:pPr>
      <w:hyperlink w:anchor="_Toc3936" w:history="1">
        <w:r>
          <w:t>Tabelul 71 : Elemente de separare (pereţi şi planşee) din clădirile pentru cultură supraterane cu înălţimi obişnuite</w:t>
        </w:r>
        <w:r>
          <w:tab/>
        </w:r>
        <w:r>
          <w:fldChar w:fldCharType="begin"/>
        </w:r>
        <w:r>
          <w:instrText xml:space="preserve"> PAGEREF _Toc3936 \h </w:instrText>
        </w:r>
        <w:r>
          <w:fldChar w:fldCharType="separate"/>
        </w:r>
        <w:r>
          <w:t>240</w:t>
        </w:r>
        <w:r>
          <w:fldChar w:fldCharType="end"/>
        </w:r>
      </w:hyperlink>
    </w:p>
    <w:p w14:paraId="12996A9F" w14:textId="77777777" w:rsidR="001C08A5" w:rsidRDefault="00000000">
      <w:pPr>
        <w:pStyle w:val="TableofFigures"/>
        <w:tabs>
          <w:tab w:val="right" w:leader="dot" w:pos="0"/>
        </w:tabs>
        <w:ind w:left="800" w:hanging="400"/>
      </w:pPr>
      <w:hyperlink w:anchor="_Toc2986" w:history="1">
        <w:r>
          <w:t>Tabelul 72 : Lungimi de evacuare în clădiri pentru cultură supraterane cu înălţimi obişnuite</w:t>
        </w:r>
        <w:r>
          <w:tab/>
        </w:r>
        <w:r>
          <w:fldChar w:fldCharType="begin"/>
        </w:r>
        <w:r>
          <w:instrText xml:space="preserve"> PAGEREF _Toc2986 \h </w:instrText>
        </w:r>
        <w:r>
          <w:fldChar w:fldCharType="separate"/>
        </w:r>
        <w:r>
          <w:t>240</w:t>
        </w:r>
        <w:r>
          <w:fldChar w:fldCharType="end"/>
        </w:r>
      </w:hyperlink>
    </w:p>
    <w:p w14:paraId="229C1E25" w14:textId="77777777" w:rsidR="001C08A5" w:rsidRDefault="00000000">
      <w:pPr>
        <w:pStyle w:val="TableofFigures"/>
        <w:tabs>
          <w:tab w:val="right" w:leader="dot" w:pos="0"/>
        </w:tabs>
        <w:ind w:left="800" w:hanging="400"/>
      </w:pPr>
      <w:hyperlink w:anchor="_Toc21568" w:history="1">
        <w:r>
          <w:t>Tabelul 73 : Comportare la foc a pereţilor, uşilor și planşeelor de separare a caselor de scări închise din clădirile pentru învăţămînt primar, secundar, terţiar, nonuniversitar și universitar supraterane cu înălţimi obişnuite</w:t>
        </w:r>
        <w:r>
          <w:tab/>
        </w:r>
        <w:r>
          <w:fldChar w:fldCharType="begin"/>
        </w:r>
        <w:r>
          <w:instrText xml:space="preserve"> PAGEREF _Toc21568 \h </w:instrText>
        </w:r>
        <w:r>
          <w:fldChar w:fldCharType="separate"/>
        </w:r>
        <w:r>
          <w:t>242</w:t>
        </w:r>
        <w:r>
          <w:fldChar w:fldCharType="end"/>
        </w:r>
      </w:hyperlink>
    </w:p>
    <w:p w14:paraId="5A3D36C0" w14:textId="77777777" w:rsidR="001C08A5" w:rsidRDefault="00000000">
      <w:pPr>
        <w:pStyle w:val="TableofFigures"/>
        <w:tabs>
          <w:tab w:val="right" w:leader="dot" w:pos="0"/>
        </w:tabs>
        <w:ind w:left="800" w:hanging="400"/>
      </w:pPr>
      <w:hyperlink w:anchor="_Toc8473" w:history="1">
        <w:r>
          <w:t>Tabelul 74 : Comportare la foc a pereţilor, uşilor și planşeelor de separare a caselor de scări închise din clădirile pentru învăţământ preşcolar supraterane cu înălţimi obişnuite</w:t>
        </w:r>
        <w:r>
          <w:tab/>
        </w:r>
        <w:r>
          <w:fldChar w:fldCharType="begin"/>
        </w:r>
        <w:r>
          <w:instrText xml:space="preserve"> PAGEREF _Toc8473 \h </w:instrText>
        </w:r>
        <w:r>
          <w:fldChar w:fldCharType="separate"/>
        </w:r>
        <w:r>
          <w:t>242</w:t>
        </w:r>
        <w:r>
          <w:fldChar w:fldCharType="end"/>
        </w:r>
      </w:hyperlink>
    </w:p>
    <w:p w14:paraId="796A3E43" w14:textId="77777777" w:rsidR="001C08A5" w:rsidRDefault="00000000">
      <w:pPr>
        <w:pStyle w:val="TableofFigures"/>
        <w:tabs>
          <w:tab w:val="right" w:leader="dot" w:pos="0"/>
        </w:tabs>
        <w:ind w:left="800" w:hanging="400"/>
      </w:pPr>
      <w:hyperlink w:anchor="_Toc18084" w:history="1">
        <w:r>
          <w:t>Tabelul 75 : Comportare la foc a pereţilor, a uşilor şi planşeelor de separare a căilor de evacuare orizontale (coridoare şi holuri) din clădirile pentru învăţămînt primar, secundar, terţiar, nonuniversitar și universitar supraterane cu înălţimi obişnuite</w:t>
        </w:r>
        <w:r>
          <w:tab/>
        </w:r>
        <w:r>
          <w:fldChar w:fldCharType="begin"/>
        </w:r>
        <w:r>
          <w:instrText xml:space="preserve"> PAGEREF _Toc18084 \h </w:instrText>
        </w:r>
        <w:r>
          <w:fldChar w:fldCharType="separate"/>
        </w:r>
        <w:r>
          <w:t>243</w:t>
        </w:r>
        <w:r>
          <w:fldChar w:fldCharType="end"/>
        </w:r>
      </w:hyperlink>
    </w:p>
    <w:p w14:paraId="7BE37A5C" w14:textId="77777777" w:rsidR="001C08A5" w:rsidRDefault="00000000">
      <w:pPr>
        <w:pStyle w:val="TableofFigures"/>
        <w:tabs>
          <w:tab w:val="right" w:leader="dot" w:pos="0"/>
        </w:tabs>
        <w:ind w:left="800" w:hanging="400"/>
      </w:pPr>
      <w:hyperlink w:anchor="_Toc11162" w:history="1">
        <w:r>
          <w:t>Tabelul 76 : Comportare la foc a pereţilor, uşilor și planşeelor de separare a căilor de evacuare orizontale (coridoare şi holuri) din clădirile pentru învăţământ preşcolar supraterane cu înălţimi obişnuite</w:t>
        </w:r>
        <w:r>
          <w:tab/>
        </w:r>
        <w:r>
          <w:fldChar w:fldCharType="begin"/>
        </w:r>
        <w:r>
          <w:instrText xml:space="preserve"> PAGEREF _Toc11162 \h </w:instrText>
        </w:r>
        <w:r>
          <w:fldChar w:fldCharType="separate"/>
        </w:r>
        <w:r>
          <w:t>244</w:t>
        </w:r>
        <w:r>
          <w:fldChar w:fldCharType="end"/>
        </w:r>
      </w:hyperlink>
    </w:p>
    <w:p w14:paraId="60DA1C86" w14:textId="77777777" w:rsidR="001C08A5" w:rsidRDefault="00000000">
      <w:pPr>
        <w:pStyle w:val="TableofFigures"/>
        <w:tabs>
          <w:tab w:val="right" w:leader="dot" w:pos="0"/>
        </w:tabs>
        <w:ind w:left="800" w:hanging="400"/>
      </w:pPr>
      <w:hyperlink w:anchor="_Toc14605" w:history="1">
        <w:r>
          <w:t>Tabelul 77 : Lungimi de evacuare în clădiri pentru învăţământ supraterane cu înălţimi obişnuite</w:t>
        </w:r>
        <w:r>
          <w:tab/>
        </w:r>
        <w:r>
          <w:fldChar w:fldCharType="begin"/>
        </w:r>
        <w:r>
          <w:instrText xml:space="preserve"> PAGEREF _Toc14605 \h </w:instrText>
        </w:r>
        <w:r>
          <w:fldChar w:fldCharType="separate"/>
        </w:r>
        <w:r>
          <w:t>245</w:t>
        </w:r>
        <w:r>
          <w:fldChar w:fldCharType="end"/>
        </w:r>
      </w:hyperlink>
    </w:p>
    <w:p w14:paraId="2A851952" w14:textId="77777777" w:rsidR="001C08A5" w:rsidRDefault="00000000">
      <w:pPr>
        <w:pStyle w:val="TableofFigures"/>
        <w:tabs>
          <w:tab w:val="right" w:leader="dot" w:pos="0"/>
        </w:tabs>
        <w:ind w:left="800" w:hanging="400"/>
      </w:pPr>
      <w:hyperlink w:anchor="_Toc6115" w:history="1">
        <w:r>
          <w:t>Tabelul 78 : Comportarea la foc a pereţilor, uşilor și planşeelor de separare a caselor de scări închise din clădirile pentru turism supraterane cu înălţimi obişnuite</w:t>
        </w:r>
        <w:r>
          <w:tab/>
        </w:r>
        <w:r>
          <w:fldChar w:fldCharType="begin"/>
        </w:r>
        <w:r>
          <w:instrText xml:space="preserve"> PAGEREF _Toc6115 \h </w:instrText>
        </w:r>
        <w:r>
          <w:fldChar w:fldCharType="separate"/>
        </w:r>
        <w:r>
          <w:t>245</w:t>
        </w:r>
        <w:r>
          <w:fldChar w:fldCharType="end"/>
        </w:r>
      </w:hyperlink>
    </w:p>
    <w:p w14:paraId="4F29340F" w14:textId="77777777" w:rsidR="001C08A5" w:rsidRDefault="00000000">
      <w:pPr>
        <w:pStyle w:val="TableofFigures"/>
        <w:tabs>
          <w:tab w:val="right" w:leader="dot" w:pos="0"/>
        </w:tabs>
        <w:ind w:left="800" w:hanging="400"/>
      </w:pPr>
      <w:hyperlink w:anchor="_Toc21484" w:history="1">
        <w:r>
          <w:t>Tabelul 79 : Comportarea la foc a pereţilor, uşilor și planşeelor de separare a căilorde evacuare orizontale (coridoare şi holuri) din clădirile pentru turism supraterane cu înălţimi obişnuite</w:t>
        </w:r>
        <w:r>
          <w:tab/>
        </w:r>
        <w:r>
          <w:fldChar w:fldCharType="begin"/>
        </w:r>
        <w:r>
          <w:instrText xml:space="preserve"> PAGEREF _Toc21484 \h </w:instrText>
        </w:r>
        <w:r>
          <w:fldChar w:fldCharType="separate"/>
        </w:r>
        <w:r>
          <w:t>246</w:t>
        </w:r>
        <w:r>
          <w:fldChar w:fldCharType="end"/>
        </w:r>
      </w:hyperlink>
    </w:p>
    <w:p w14:paraId="7ABEF20C" w14:textId="77777777" w:rsidR="001C08A5" w:rsidRDefault="00000000">
      <w:pPr>
        <w:pStyle w:val="TableofFigures"/>
        <w:tabs>
          <w:tab w:val="right" w:leader="dot" w:pos="0"/>
        </w:tabs>
        <w:ind w:left="800" w:hanging="400"/>
      </w:pPr>
      <w:hyperlink w:anchor="_Toc24624" w:history="1">
        <w:r>
          <w:t>Tabelul 80 : Lungimi de evacuare în clădiri pentru turism supraterane cu înălţimi obişnuite</w:t>
        </w:r>
        <w:r>
          <w:tab/>
        </w:r>
        <w:r>
          <w:fldChar w:fldCharType="begin"/>
        </w:r>
        <w:r>
          <w:instrText xml:space="preserve"> PAGEREF _Toc24624 \h </w:instrText>
        </w:r>
        <w:r>
          <w:fldChar w:fldCharType="separate"/>
        </w:r>
        <w:r>
          <w:t>247</w:t>
        </w:r>
        <w:r>
          <w:fldChar w:fldCharType="end"/>
        </w:r>
      </w:hyperlink>
    </w:p>
    <w:p w14:paraId="0A58A4F5" w14:textId="77777777" w:rsidR="001C08A5" w:rsidRDefault="00000000">
      <w:pPr>
        <w:pStyle w:val="TableofFigures"/>
        <w:tabs>
          <w:tab w:val="right" w:leader="dot" w:pos="0"/>
        </w:tabs>
        <w:ind w:left="800" w:hanging="400"/>
      </w:pPr>
      <w:hyperlink w:anchor="_Toc12595" w:history="1">
        <w:r>
          <w:t>Tabelul 81 : Lungimi de evacuare în clădiri de cult supraterane cu înălţimi obişnuite</w:t>
        </w:r>
        <w:r>
          <w:tab/>
        </w:r>
        <w:r>
          <w:fldChar w:fldCharType="begin"/>
        </w:r>
        <w:r>
          <w:instrText xml:space="preserve"> PAGEREF _Toc12595 \h </w:instrText>
        </w:r>
        <w:r>
          <w:fldChar w:fldCharType="separate"/>
        </w:r>
        <w:r>
          <w:t>248</w:t>
        </w:r>
        <w:r>
          <w:fldChar w:fldCharType="end"/>
        </w:r>
      </w:hyperlink>
    </w:p>
    <w:p w14:paraId="05BD0261" w14:textId="77777777" w:rsidR="001C08A5" w:rsidRDefault="00000000">
      <w:pPr>
        <w:pStyle w:val="TableofFigures"/>
        <w:tabs>
          <w:tab w:val="right" w:leader="dot" w:pos="0"/>
        </w:tabs>
        <w:ind w:left="800" w:hanging="400"/>
      </w:pPr>
      <w:hyperlink w:anchor="_Toc14297" w:history="1">
        <w:r>
          <w:t>Tabelul 82 : Comportare la foc a pereţilor, uşilor și planşeelor de separare a caselor de scări închise din clădirile pentru sport supraterane cu înălţimi obişnuite</w:t>
        </w:r>
        <w:r>
          <w:tab/>
        </w:r>
        <w:r>
          <w:fldChar w:fldCharType="begin"/>
        </w:r>
        <w:r>
          <w:instrText xml:space="preserve"> PAGEREF _Toc14297 \h </w:instrText>
        </w:r>
        <w:r>
          <w:fldChar w:fldCharType="separate"/>
        </w:r>
        <w:r>
          <w:t>249</w:t>
        </w:r>
        <w:r>
          <w:fldChar w:fldCharType="end"/>
        </w:r>
      </w:hyperlink>
    </w:p>
    <w:p w14:paraId="3F10FFA2" w14:textId="77777777" w:rsidR="001C08A5" w:rsidRDefault="00000000">
      <w:pPr>
        <w:pStyle w:val="TableofFigures"/>
        <w:tabs>
          <w:tab w:val="right" w:leader="dot" w:pos="0"/>
        </w:tabs>
        <w:ind w:left="800" w:hanging="400"/>
      </w:pPr>
      <w:hyperlink w:anchor="_Toc26135" w:history="1">
        <w:r>
          <w:t>Tabelul 83 : Comportarea la foc a pereţilor, uşilor și planşeelor de separare a căilor de evacuare orizontale (coridoare şi holuri) din clădirile pentru sport supraterane cu înălţimi obişnuite</w:t>
        </w:r>
        <w:r>
          <w:tab/>
        </w:r>
        <w:r>
          <w:fldChar w:fldCharType="begin"/>
        </w:r>
        <w:r>
          <w:instrText xml:space="preserve"> PAGEREF _Toc26135 \h </w:instrText>
        </w:r>
        <w:r>
          <w:fldChar w:fldCharType="separate"/>
        </w:r>
        <w:r>
          <w:t>250</w:t>
        </w:r>
        <w:r>
          <w:fldChar w:fldCharType="end"/>
        </w:r>
      </w:hyperlink>
    </w:p>
    <w:p w14:paraId="0A2BACC4" w14:textId="77777777" w:rsidR="001C08A5" w:rsidRDefault="00000000">
      <w:pPr>
        <w:pStyle w:val="TableofFigures"/>
        <w:tabs>
          <w:tab w:val="right" w:leader="dot" w:pos="0"/>
        </w:tabs>
        <w:ind w:left="800" w:hanging="400"/>
      </w:pPr>
      <w:hyperlink w:anchor="_Toc10334" w:history="1">
        <w:r>
          <w:t>Tabelul 84 : Lungimi de evacuare în clădiri pentru sport supraterane închise, cu înălţimi obişnuite</w:t>
        </w:r>
        <w:r>
          <w:tab/>
        </w:r>
        <w:r>
          <w:fldChar w:fldCharType="begin"/>
        </w:r>
        <w:r>
          <w:instrText xml:space="preserve"> PAGEREF _Toc10334 \h </w:instrText>
        </w:r>
        <w:r>
          <w:fldChar w:fldCharType="separate"/>
        </w:r>
        <w:r>
          <w:t>250</w:t>
        </w:r>
        <w:r>
          <w:fldChar w:fldCharType="end"/>
        </w:r>
      </w:hyperlink>
    </w:p>
    <w:p w14:paraId="488F968C" w14:textId="77777777" w:rsidR="001C08A5" w:rsidRDefault="00000000">
      <w:pPr>
        <w:pStyle w:val="TableofFigures"/>
        <w:tabs>
          <w:tab w:val="right" w:leader="dot" w:pos="0"/>
        </w:tabs>
        <w:ind w:left="800" w:hanging="400"/>
      </w:pPr>
      <w:hyperlink w:anchor="_Toc18124" w:history="1">
        <w:r>
          <w:t>Tabelul 85 : Comportare la foc a pereţilor, uşilor și planşeelor de separare a caselor de scări închise din clădirile civile supraterane cu înălţimi obişnuite montane sau din Delta Dunării, amplasate izolat</w:t>
        </w:r>
        <w:r>
          <w:tab/>
        </w:r>
        <w:r>
          <w:fldChar w:fldCharType="begin"/>
        </w:r>
        <w:r>
          <w:instrText xml:space="preserve"> PAGEREF _Toc18124 \h </w:instrText>
        </w:r>
        <w:r>
          <w:fldChar w:fldCharType="separate"/>
        </w:r>
        <w:r>
          <w:t>251</w:t>
        </w:r>
        <w:r>
          <w:fldChar w:fldCharType="end"/>
        </w:r>
      </w:hyperlink>
    </w:p>
    <w:p w14:paraId="478F4D4E" w14:textId="77777777" w:rsidR="001C08A5" w:rsidRDefault="00000000">
      <w:pPr>
        <w:pStyle w:val="TableofFigures"/>
        <w:tabs>
          <w:tab w:val="right" w:leader="dot" w:pos="0"/>
        </w:tabs>
        <w:ind w:left="800" w:hanging="400"/>
      </w:pPr>
      <w:hyperlink w:anchor="_Toc5725" w:history="1">
        <w:r>
          <w:t>Tabelul 86 : Comportare la foc a pereţilor, uşilor și planşeelor de separare a căilor de evacuare orizontale (coridoare şi holuri) din clădirile civile supraterane cu înălţimi obişnuite montane sau din Delta Dunării, amplasate izolat</w:t>
        </w:r>
        <w:r>
          <w:tab/>
        </w:r>
        <w:r>
          <w:fldChar w:fldCharType="begin"/>
        </w:r>
        <w:r>
          <w:instrText xml:space="preserve"> PAGEREF _Toc5725 \h </w:instrText>
        </w:r>
        <w:r>
          <w:fldChar w:fldCharType="separate"/>
        </w:r>
        <w:r>
          <w:t>252</w:t>
        </w:r>
        <w:r>
          <w:fldChar w:fldCharType="end"/>
        </w:r>
      </w:hyperlink>
    </w:p>
    <w:p w14:paraId="5F957802" w14:textId="77777777" w:rsidR="001C08A5" w:rsidRDefault="00000000">
      <w:pPr>
        <w:pStyle w:val="TableofFigures"/>
        <w:tabs>
          <w:tab w:val="right" w:leader="dot" w:pos="0"/>
        </w:tabs>
        <w:ind w:left="800" w:hanging="400"/>
      </w:pPr>
      <w:hyperlink w:anchor="_Toc21245" w:history="1">
        <w:r>
          <w:t>Tabelul 87 : Lungimi de evacuare în clădiri civile supraterane cu înălţimi obişnuite  montane sau din Delta Dunării, amplasate izolat</w:t>
        </w:r>
        <w:r>
          <w:tab/>
        </w:r>
        <w:r>
          <w:fldChar w:fldCharType="begin"/>
        </w:r>
        <w:r>
          <w:instrText xml:space="preserve"> PAGEREF _Toc21245 \h </w:instrText>
        </w:r>
        <w:r>
          <w:fldChar w:fldCharType="separate"/>
        </w:r>
        <w:r>
          <w:t>253</w:t>
        </w:r>
        <w:r>
          <w:fldChar w:fldCharType="end"/>
        </w:r>
      </w:hyperlink>
    </w:p>
    <w:p w14:paraId="0429DA4B" w14:textId="77777777" w:rsidR="001C08A5" w:rsidRDefault="00000000">
      <w:pPr>
        <w:pStyle w:val="TableofFigures"/>
        <w:tabs>
          <w:tab w:val="right" w:leader="dot" w:pos="0"/>
        </w:tabs>
        <w:ind w:left="800" w:hanging="400"/>
      </w:pPr>
      <w:hyperlink w:anchor="_Toc4704" w:history="1">
        <w:r>
          <w:t>Tabelul 88 : Lungimi de evacuare în parcaje pentru autoturisme</w:t>
        </w:r>
        <w:r>
          <w:tab/>
        </w:r>
        <w:r>
          <w:fldChar w:fldCharType="begin"/>
        </w:r>
        <w:r>
          <w:instrText xml:space="preserve"> PAGEREF _Toc4704 \h </w:instrText>
        </w:r>
        <w:r>
          <w:fldChar w:fldCharType="separate"/>
        </w:r>
        <w:r>
          <w:t>257</w:t>
        </w:r>
        <w:r>
          <w:fldChar w:fldCharType="end"/>
        </w:r>
      </w:hyperlink>
    </w:p>
    <w:p w14:paraId="54A8227F" w14:textId="77777777" w:rsidR="001C08A5" w:rsidRDefault="00000000">
      <w:pPr>
        <w:pStyle w:val="TableofFigures"/>
        <w:tabs>
          <w:tab w:val="right" w:leader="dot" w:pos="0"/>
        </w:tabs>
        <w:ind w:left="800" w:hanging="400"/>
      </w:pPr>
      <w:hyperlink w:anchor="_Toc28209" w:history="1">
        <w:r>
          <w:t xml:space="preserve">Tabelul 89 : Număr maxim de locuri admise pe un rând de scaune </w:t>
        </w:r>
        <w:r>
          <w:tab/>
        </w:r>
        <w:r>
          <w:fldChar w:fldCharType="begin"/>
        </w:r>
        <w:r>
          <w:instrText xml:space="preserve"> PAGEREF _Toc28209 \h </w:instrText>
        </w:r>
        <w:r>
          <w:fldChar w:fldCharType="separate"/>
        </w:r>
        <w:r>
          <w:t>264</w:t>
        </w:r>
        <w:r>
          <w:fldChar w:fldCharType="end"/>
        </w:r>
      </w:hyperlink>
    </w:p>
    <w:p w14:paraId="51404544" w14:textId="77777777" w:rsidR="001C08A5" w:rsidRDefault="00000000">
      <w:pPr>
        <w:pStyle w:val="TableofFigures"/>
        <w:tabs>
          <w:tab w:val="right" w:leader="dot" w:pos="0"/>
        </w:tabs>
        <w:ind w:left="800" w:hanging="400"/>
      </w:pPr>
      <w:hyperlink w:anchor="_Toc2206" w:history="1">
        <w:r>
          <w:t xml:space="preserve">Tabelul 90 : Condiţii minime de separare a încăperilor de depozitare cu densitatea sarcinii termice ≥ </w:t>
        </w:r>
        <w:r>
          <w:rPr>
            <w:lang w:eastAsia="ro-RO"/>
          </w:rPr>
          <w:t>420 MJ/m</w:t>
        </w:r>
        <w:r>
          <w:rPr>
            <w:vertAlign w:val="superscript"/>
            <w:lang w:eastAsia="ro-RO"/>
          </w:rPr>
          <w:t>2</w:t>
        </w:r>
        <w:r>
          <w:rPr>
            <w:lang w:eastAsia="ro-RO"/>
          </w:rPr>
          <w:t xml:space="preserve"> </w:t>
        </w:r>
        <w:r>
          <w:t>din clădirile civile supraterane înalte</w:t>
        </w:r>
        <w:r>
          <w:tab/>
        </w:r>
        <w:r>
          <w:fldChar w:fldCharType="begin"/>
        </w:r>
        <w:r>
          <w:instrText xml:space="preserve"> PAGEREF _Toc2206 \h </w:instrText>
        </w:r>
        <w:r>
          <w:fldChar w:fldCharType="separate"/>
        </w:r>
        <w:r>
          <w:t>276</w:t>
        </w:r>
        <w:r>
          <w:fldChar w:fldCharType="end"/>
        </w:r>
      </w:hyperlink>
    </w:p>
    <w:p w14:paraId="29AE2775" w14:textId="77777777" w:rsidR="001C08A5" w:rsidRDefault="00000000">
      <w:pPr>
        <w:pStyle w:val="TableofFigures"/>
        <w:tabs>
          <w:tab w:val="right" w:leader="dot" w:pos="0"/>
        </w:tabs>
        <w:ind w:left="800" w:hanging="400"/>
      </w:pPr>
      <w:hyperlink w:anchor="_Toc14758" w:history="1">
        <w:r>
          <w:t>Tabelul 91 : Comportare la foc a pereţilor, uşilor și planşeelor de separare a caselor de scări închise din clădirile civile supraterane înalte</w:t>
        </w:r>
        <w:r>
          <w:tab/>
        </w:r>
        <w:r>
          <w:fldChar w:fldCharType="begin"/>
        </w:r>
        <w:r>
          <w:instrText xml:space="preserve"> PAGEREF _Toc14758 \h </w:instrText>
        </w:r>
        <w:r>
          <w:fldChar w:fldCharType="separate"/>
        </w:r>
        <w:r>
          <w:t>280</w:t>
        </w:r>
        <w:r>
          <w:fldChar w:fldCharType="end"/>
        </w:r>
      </w:hyperlink>
    </w:p>
    <w:p w14:paraId="192C809C" w14:textId="77777777" w:rsidR="001C08A5" w:rsidRDefault="00000000">
      <w:pPr>
        <w:pStyle w:val="TableofFigures"/>
        <w:tabs>
          <w:tab w:val="right" w:leader="dot" w:pos="0"/>
        </w:tabs>
        <w:ind w:left="800" w:hanging="400"/>
      </w:pPr>
      <w:hyperlink w:anchor="_Toc268" w:history="1">
        <w:r>
          <w:t>Tabelul 92 : Comportare la foc a pereţilor, uşilor și planşeelor de separare a căilor de evacuare orizontale (coridoare şi holuri) din clădirile civile supraterane înalte</w:t>
        </w:r>
        <w:r>
          <w:tab/>
        </w:r>
        <w:r>
          <w:fldChar w:fldCharType="begin"/>
        </w:r>
        <w:r>
          <w:instrText xml:space="preserve"> PAGEREF _Toc268 \h </w:instrText>
        </w:r>
        <w:r>
          <w:fldChar w:fldCharType="separate"/>
        </w:r>
        <w:r>
          <w:t>280</w:t>
        </w:r>
        <w:r>
          <w:fldChar w:fldCharType="end"/>
        </w:r>
      </w:hyperlink>
    </w:p>
    <w:p w14:paraId="5B4E90A0" w14:textId="77777777" w:rsidR="001C08A5" w:rsidRDefault="00000000">
      <w:pPr>
        <w:pStyle w:val="TableofFigures"/>
        <w:tabs>
          <w:tab w:val="right" w:leader="dot" w:pos="0"/>
        </w:tabs>
        <w:ind w:left="800" w:hanging="400"/>
      </w:pPr>
      <w:hyperlink w:anchor="_Toc29178" w:history="1">
        <w:r>
          <w:t>Tabelul 93 : Lungimi de evacuare în clădiri supraterane înalte</w:t>
        </w:r>
        <w:r>
          <w:tab/>
        </w:r>
        <w:r>
          <w:fldChar w:fldCharType="begin"/>
        </w:r>
        <w:r>
          <w:instrText xml:space="preserve"> PAGEREF _Toc29178 \h </w:instrText>
        </w:r>
        <w:r>
          <w:fldChar w:fldCharType="separate"/>
        </w:r>
        <w:r>
          <w:t>281</w:t>
        </w:r>
        <w:r>
          <w:fldChar w:fldCharType="end"/>
        </w:r>
      </w:hyperlink>
    </w:p>
    <w:p w14:paraId="700F2D8D" w14:textId="77777777" w:rsidR="001C08A5" w:rsidRDefault="00000000">
      <w:pPr>
        <w:pStyle w:val="TableofFigures"/>
        <w:tabs>
          <w:tab w:val="right" w:leader="dot" w:pos="0"/>
        </w:tabs>
        <w:ind w:left="800" w:hanging="400"/>
      </w:pPr>
      <w:hyperlink w:anchor="_Toc30023" w:history="1">
        <w:r>
          <w:t xml:space="preserve">Tabelul 94 : Condiţii minime de separare a încăperilor de depozitare cu densitatea sarcinii termice ≥ </w:t>
        </w:r>
        <w:r>
          <w:rPr>
            <w:lang w:eastAsia="ro-RO"/>
          </w:rPr>
          <w:t>420 MJ/m</w:t>
        </w:r>
        <w:r>
          <w:rPr>
            <w:vertAlign w:val="superscript"/>
            <w:lang w:eastAsia="ro-RO"/>
          </w:rPr>
          <w:t>2</w:t>
        </w:r>
        <w:r>
          <w:t xml:space="preserve"> din clădirile civile supraterane foarte înalte</w:t>
        </w:r>
        <w:r>
          <w:tab/>
        </w:r>
        <w:r>
          <w:fldChar w:fldCharType="begin"/>
        </w:r>
        <w:r>
          <w:instrText xml:space="preserve"> PAGEREF _Toc30023 \h </w:instrText>
        </w:r>
        <w:r>
          <w:fldChar w:fldCharType="separate"/>
        </w:r>
        <w:r>
          <w:t>291</w:t>
        </w:r>
        <w:r>
          <w:fldChar w:fldCharType="end"/>
        </w:r>
      </w:hyperlink>
    </w:p>
    <w:p w14:paraId="11537BDA" w14:textId="77777777" w:rsidR="001C08A5" w:rsidRDefault="00000000">
      <w:pPr>
        <w:pStyle w:val="TableofFigures"/>
        <w:tabs>
          <w:tab w:val="right" w:leader="dot" w:pos="0"/>
        </w:tabs>
        <w:ind w:left="800" w:hanging="400"/>
      </w:pPr>
      <w:hyperlink w:anchor="_Toc31060" w:history="1">
        <w:r>
          <w:t>Tabelul 95 : Comportare la foc a pereţilor, uşilor și planşeelor de separare a caselor de scări închise din clădirile civile supraterane foarte înalte</w:t>
        </w:r>
        <w:r>
          <w:tab/>
        </w:r>
        <w:r>
          <w:fldChar w:fldCharType="begin"/>
        </w:r>
        <w:r>
          <w:instrText xml:space="preserve"> PAGEREF _Toc31060 \h </w:instrText>
        </w:r>
        <w:r>
          <w:fldChar w:fldCharType="separate"/>
        </w:r>
        <w:r>
          <w:t>296</w:t>
        </w:r>
        <w:r>
          <w:fldChar w:fldCharType="end"/>
        </w:r>
      </w:hyperlink>
    </w:p>
    <w:p w14:paraId="4AC316F6" w14:textId="77777777" w:rsidR="001C08A5" w:rsidRDefault="00000000">
      <w:pPr>
        <w:pStyle w:val="TableofFigures"/>
        <w:tabs>
          <w:tab w:val="right" w:leader="dot" w:pos="0"/>
        </w:tabs>
        <w:ind w:left="800" w:hanging="400"/>
      </w:pPr>
      <w:hyperlink w:anchor="_Toc10409" w:history="1">
        <w:r>
          <w:t>Tabelul 96 : Comportare la foc a pereţilor, uşilor și planşeelor de separare a căilor de evacuare orizontale (coridoare şi holuri) din clădirile civile supraterane foarte înalte</w:t>
        </w:r>
        <w:r>
          <w:tab/>
        </w:r>
        <w:r>
          <w:fldChar w:fldCharType="begin"/>
        </w:r>
        <w:r>
          <w:instrText xml:space="preserve"> PAGEREF _Toc10409 \h </w:instrText>
        </w:r>
        <w:r>
          <w:fldChar w:fldCharType="separate"/>
        </w:r>
        <w:r>
          <w:t>297</w:t>
        </w:r>
        <w:r>
          <w:fldChar w:fldCharType="end"/>
        </w:r>
      </w:hyperlink>
    </w:p>
    <w:p w14:paraId="3954C11F" w14:textId="77777777" w:rsidR="001C08A5" w:rsidRDefault="00000000">
      <w:pPr>
        <w:pStyle w:val="TableofFigures"/>
        <w:tabs>
          <w:tab w:val="right" w:leader="dot" w:pos="0"/>
        </w:tabs>
        <w:ind w:left="800" w:hanging="400"/>
      </w:pPr>
      <w:hyperlink w:anchor="_Toc27225" w:history="1">
        <w:r>
          <w:t>Tabelul 97 : Lungimi de evacuare în clădiri supraterane foarte înalte</w:t>
        </w:r>
        <w:r>
          <w:tab/>
        </w:r>
        <w:r>
          <w:fldChar w:fldCharType="begin"/>
        </w:r>
        <w:r>
          <w:instrText xml:space="preserve"> PAGEREF _Toc27225 \h </w:instrText>
        </w:r>
        <w:r>
          <w:fldChar w:fldCharType="separate"/>
        </w:r>
        <w:r>
          <w:t>297</w:t>
        </w:r>
        <w:r>
          <w:fldChar w:fldCharType="end"/>
        </w:r>
      </w:hyperlink>
    </w:p>
    <w:p w14:paraId="03818F5E" w14:textId="77777777" w:rsidR="001C08A5" w:rsidRDefault="00000000">
      <w:pPr>
        <w:pStyle w:val="TableofFigures"/>
        <w:tabs>
          <w:tab w:val="right" w:leader="dot" w:pos="0"/>
        </w:tabs>
        <w:ind w:left="800" w:hanging="400"/>
      </w:pPr>
      <w:hyperlink w:anchor="_Toc19976" w:history="1">
        <w:r>
          <w:t>Tabelul 98 : Categorii de săli aglomerate</w:t>
        </w:r>
        <w:r>
          <w:tab/>
        </w:r>
        <w:r>
          <w:fldChar w:fldCharType="begin"/>
        </w:r>
        <w:r>
          <w:instrText xml:space="preserve"> PAGEREF _Toc19976 \h </w:instrText>
        </w:r>
        <w:r>
          <w:fldChar w:fldCharType="separate"/>
        </w:r>
        <w:r>
          <w:t>300</w:t>
        </w:r>
        <w:r>
          <w:fldChar w:fldCharType="end"/>
        </w:r>
      </w:hyperlink>
    </w:p>
    <w:p w14:paraId="1C65B91B" w14:textId="77777777" w:rsidR="001C08A5" w:rsidRDefault="00000000">
      <w:pPr>
        <w:pStyle w:val="TableofFigures"/>
        <w:tabs>
          <w:tab w:val="right" w:leader="dot" w:pos="0"/>
        </w:tabs>
        <w:ind w:left="800" w:hanging="400"/>
      </w:pPr>
      <w:hyperlink w:anchor="_Toc24060" w:history="1">
        <w:r>
          <w:t>Tabelul 99 : Corelare între modul de amplasare, categoria sălii aglomerate supraterane și capacitatea maximă simultană de utilizatori admisă</w:t>
        </w:r>
        <w:r>
          <w:tab/>
        </w:r>
        <w:r>
          <w:fldChar w:fldCharType="begin"/>
        </w:r>
        <w:r>
          <w:instrText xml:space="preserve"> PAGEREF _Toc24060 \h </w:instrText>
        </w:r>
        <w:r>
          <w:fldChar w:fldCharType="separate"/>
        </w:r>
        <w:r>
          <w:t>300</w:t>
        </w:r>
        <w:r>
          <w:fldChar w:fldCharType="end"/>
        </w:r>
      </w:hyperlink>
    </w:p>
    <w:p w14:paraId="057AFDE1" w14:textId="77777777" w:rsidR="001C08A5" w:rsidRDefault="00000000">
      <w:pPr>
        <w:pStyle w:val="TableofFigures"/>
        <w:tabs>
          <w:tab w:val="right" w:leader="dot" w:pos="0"/>
        </w:tabs>
        <w:ind w:left="800" w:hanging="400"/>
      </w:pPr>
      <w:hyperlink w:anchor="_Toc32043" w:history="1">
        <w:r>
          <w:t>Tabelul 100 : Corelare între categoria sălii aglomerate (porţiunea în care publicul are acces) şi numărul de niveluri supraterane în care este admisă realizarea acestora</w:t>
        </w:r>
        <w:r>
          <w:tab/>
        </w:r>
        <w:r>
          <w:fldChar w:fldCharType="begin"/>
        </w:r>
        <w:r>
          <w:instrText xml:space="preserve"> PAGEREF _Toc32043 \h </w:instrText>
        </w:r>
        <w:r>
          <w:fldChar w:fldCharType="separate"/>
        </w:r>
        <w:r>
          <w:t>300</w:t>
        </w:r>
        <w:r>
          <w:fldChar w:fldCharType="end"/>
        </w:r>
      </w:hyperlink>
    </w:p>
    <w:p w14:paraId="5A6A55A3" w14:textId="77777777" w:rsidR="001C08A5" w:rsidRDefault="00000000">
      <w:pPr>
        <w:pStyle w:val="TableofFigures"/>
        <w:tabs>
          <w:tab w:val="right" w:leader="dot" w:pos="0"/>
        </w:tabs>
        <w:ind w:left="800" w:hanging="400"/>
      </w:pPr>
      <w:hyperlink w:anchor="_Toc235" w:history="1">
        <w:r>
          <w:t>Tabelul 101 : Corelare între categoria sălii aglomerate (porţiunea în care publicul are acces) şi numărul maxim de niveluri subterane în care este admisă realizarea acestora</w:t>
        </w:r>
        <w:r>
          <w:tab/>
        </w:r>
        <w:r>
          <w:fldChar w:fldCharType="begin"/>
        </w:r>
        <w:r>
          <w:instrText xml:space="preserve"> PAGEREF _Toc235 \h </w:instrText>
        </w:r>
        <w:r>
          <w:fldChar w:fldCharType="separate"/>
        </w:r>
        <w:r>
          <w:t>301</w:t>
        </w:r>
        <w:r>
          <w:fldChar w:fldCharType="end"/>
        </w:r>
      </w:hyperlink>
    </w:p>
    <w:p w14:paraId="3C643132" w14:textId="77777777" w:rsidR="001C08A5" w:rsidRDefault="00000000">
      <w:pPr>
        <w:pStyle w:val="TableofFigures"/>
        <w:tabs>
          <w:tab w:val="right" w:leader="dot" w:pos="0"/>
        </w:tabs>
        <w:ind w:left="800" w:hanging="400"/>
      </w:pPr>
      <w:hyperlink w:anchor="_Toc3757" w:history="1">
        <w:r>
          <w:t>Tabelul 102 : Elemente de separare din interiorul clădirii şi compartimentelor de incendiu sau funcţionale ale clădirilor cu săli aglomerate</w:t>
        </w:r>
        <w:r>
          <w:tab/>
        </w:r>
        <w:r>
          <w:fldChar w:fldCharType="begin"/>
        </w:r>
        <w:r>
          <w:instrText xml:space="preserve"> PAGEREF _Toc3757 \h </w:instrText>
        </w:r>
        <w:r>
          <w:fldChar w:fldCharType="separate"/>
        </w:r>
        <w:r>
          <w:t>302</w:t>
        </w:r>
        <w:r>
          <w:fldChar w:fldCharType="end"/>
        </w:r>
      </w:hyperlink>
    </w:p>
    <w:p w14:paraId="6AC022FA" w14:textId="77777777" w:rsidR="001C08A5" w:rsidRDefault="00000000">
      <w:pPr>
        <w:pStyle w:val="TableofFigures"/>
        <w:tabs>
          <w:tab w:val="right" w:leader="dot" w:pos="0"/>
        </w:tabs>
        <w:ind w:left="800" w:hanging="400"/>
      </w:pPr>
      <w:hyperlink w:anchor="_Toc27500" w:history="1">
        <w:r>
          <w:t>Tabelul 103 : Comportare la foc a pereţilor, uşilor și planşeelor de separare a caselor de scări închise din clădirile cu săli aglomerate de tip S1 supraterane cu înălţimi obişnuite</w:t>
        </w:r>
        <w:r>
          <w:tab/>
        </w:r>
        <w:r>
          <w:fldChar w:fldCharType="begin"/>
        </w:r>
        <w:r>
          <w:instrText xml:space="preserve"> PAGEREF _Toc27500 \h </w:instrText>
        </w:r>
        <w:r>
          <w:fldChar w:fldCharType="separate"/>
        </w:r>
        <w:r>
          <w:t>307</w:t>
        </w:r>
        <w:r>
          <w:fldChar w:fldCharType="end"/>
        </w:r>
      </w:hyperlink>
    </w:p>
    <w:p w14:paraId="680ACC86" w14:textId="77777777" w:rsidR="001C08A5" w:rsidRDefault="00000000">
      <w:pPr>
        <w:pStyle w:val="TableofFigures"/>
        <w:tabs>
          <w:tab w:val="right" w:leader="dot" w:pos="0"/>
        </w:tabs>
        <w:ind w:left="800" w:hanging="400"/>
      </w:pPr>
      <w:hyperlink w:anchor="_Toc13716" w:history="1">
        <w:r>
          <w:t>Tabelul 104 : Comportare la foc a pereţilor, uşilor și planşeelor de separare a căilor de evacuare orizontale, coridoare, din clădirile cu săli aglomerate de tip S1 supraterane cu înălţimi obişnuite</w:t>
        </w:r>
        <w:r>
          <w:tab/>
        </w:r>
        <w:r>
          <w:fldChar w:fldCharType="begin"/>
        </w:r>
        <w:r>
          <w:instrText xml:space="preserve"> PAGEREF _Toc13716 \h </w:instrText>
        </w:r>
        <w:r>
          <w:fldChar w:fldCharType="separate"/>
        </w:r>
        <w:r>
          <w:t>307</w:t>
        </w:r>
        <w:r>
          <w:fldChar w:fldCharType="end"/>
        </w:r>
      </w:hyperlink>
    </w:p>
    <w:p w14:paraId="01552C9D" w14:textId="77777777" w:rsidR="001C08A5" w:rsidRDefault="00000000">
      <w:pPr>
        <w:pStyle w:val="TableofFigures"/>
        <w:tabs>
          <w:tab w:val="right" w:leader="dot" w:pos="0"/>
        </w:tabs>
        <w:ind w:left="800" w:hanging="400"/>
      </w:pPr>
      <w:hyperlink w:anchor="_Toc152" w:history="1">
        <w:r>
          <w:t>Tabelul 105 : Comportare la foc a pereţilor, uşilor și planşeelor de separare a căilor de evacuare orizontale, holuri, din clădirile cu săli aglomerate de tip S1 supraterane cu înălţimi obişnuite</w:t>
        </w:r>
        <w:r>
          <w:tab/>
        </w:r>
        <w:r>
          <w:fldChar w:fldCharType="begin"/>
        </w:r>
        <w:r>
          <w:instrText xml:space="preserve"> PAGEREF _Toc152 \h </w:instrText>
        </w:r>
        <w:r>
          <w:fldChar w:fldCharType="separate"/>
        </w:r>
        <w:r>
          <w:t>308</w:t>
        </w:r>
        <w:r>
          <w:fldChar w:fldCharType="end"/>
        </w:r>
      </w:hyperlink>
    </w:p>
    <w:p w14:paraId="3B9D4725" w14:textId="77777777" w:rsidR="001C08A5" w:rsidRDefault="00000000">
      <w:pPr>
        <w:pStyle w:val="TableofFigures"/>
        <w:tabs>
          <w:tab w:val="right" w:leader="dot" w:pos="0"/>
        </w:tabs>
        <w:ind w:left="800" w:hanging="400"/>
      </w:pPr>
      <w:hyperlink w:anchor="_Toc17652" w:history="1">
        <w:r>
          <w:t>Tabelul 106 : Comportare la foc a pereţilor, uşilor și planşeelor de separare a caselor de scări închise din clădirile cu săli aglomerate de tip S2 supraterane cu înălţimi obişnuite</w:t>
        </w:r>
        <w:r>
          <w:tab/>
        </w:r>
        <w:r>
          <w:fldChar w:fldCharType="begin"/>
        </w:r>
        <w:r>
          <w:instrText xml:space="preserve"> PAGEREF _Toc17652 \h </w:instrText>
        </w:r>
        <w:r>
          <w:fldChar w:fldCharType="separate"/>
        </w:r>
        <w:r>
          <w:t>308</w:t>
        </w:r>
        <w:r>
          <w:fldChar w:fldCharType="end"/>
        </w:r>
      </w:hyperlink>
    </w:p>
    <w:p w14:paraId="1BBF348E" w14:textId="77777777" w:rsidR="001C08A5" w:rsidRDefault="00000000">
      <w:pPr>
        <w:pStyle w:val="TableofFigures"/>
        <w:tabs>
          <w:tab w:val="right" w:leader="dot" w:pos="0"/>
        </w:tabs>
        <w:ind w:left="800" w:hanging="400"/>
      </w:pPr>
      <w:hyperlink w:anchor="_Toc8905" w:history="1">
        <w:r>
          <w:t>Tabelul 107 : Comportare la foc a pereţilor, uşilor și planşeelor de separare a căilor de evacuare orizontale, coridoare, din clădirile cu săli aglomerate de tip S2 supraterane cu înălţimi obişnuite</w:t>
        </w:r>
        <w:r>
          <w:tab/>
        </w:r>
        <w:r>
          <w:fldChar w:fldCharType="begin"/>
        </w:r>
        <w:r>
          <w:instrText xml:space="preserve"> PAGEREF _Toc8905 \h </w:instrText>
        </w:r>
        <w:r>
          <w:fldChar w:fldCharType="separate"/>
        </w:r>
        <w:r>
          <w:t>309</w:t>
        </w:r>
        <w:r>
          <w:fldChar w:fldCharType="end"/>
        </w:r>
      </w:hyperlink>
    </w:p>
    <w:p w14:paraId="114FEFEC" w14:textId="77777777" w:rsidR="001C08A5" w:rsidRDefault="00000000">
      <w:pPr>
        <w:pStyle w:val="TableofFigures"/>
        <w:tabs>
          <w:tab w:val="right" w:leader="dot" w:pos="0"/>
        </w:tabs>
        <w:ind w:left="800" w:hanging="400"/>
      </w:pPr>
      <w:hyperlink w:anchor="_Toc15616" w:history="1">
        <w:r>
          <w:t>Tabelul 108 : Comportare la foc a pereţilor, uşilor și planşeelor de separare a căilor de evacuare orizontale, holuri, din clădirile cu săli aglomerate de tip S2 supraterane cu înălţimi obişnuite</w:t>
        </w:r>
        <w:r>
          <w:tab/>
        </w:r>
        <w:r>
          <w:fldChar w:fldCharType="begin"/>
        </w:r>
        <w:r>
          <w:instrText xml:space="preserve"> PAGEREF _Toc15616 \h </w:instrText>
        </w:r>
        <w:r>
          <w:fldChar w:fldCharType="separate"/>
        </w:r>
        <w:r>
          <w:t>309</w:t>
        </w:r>
        <w:r>
          <w:fldChar w:fldCharType="end"/>
        </w:r>
      </w:hyperlink>
    </w:p>
    <w:p w14:paraId="42B3FD63" w14:textId="77777777" w:rsidR="001C08A5" w:rsidRDefault="00000000">
      <w:pPr>
        <w:pStyle w:val="TableofFigures"/>
        <w:tabs>
          <w:tab w:val="right" w:leader="dot" w:pos="0"/>
        </w:tabs>
        <w:ind w:left="800" w:hanging="400"/>
      </w:pPr>
      <w:hyperlink w:anchor="_Toc1663" w:history="1">
        <w:r>
          <w:t xml:space="preserve">Tabelul 109 : Număr normat de utilizatori pe unitatea de trecere (flux) de evacuare (Uf) la săli aglomerate </w:t>
        </w:r>
        <w:r>
          <w:tab/>
        </w:r>
        <w:r>
          <w:fldChar w:fldCharType="begin"/>
        </w:r>
        <w:r>
          <w:instrText xml:space="preserve"> PAGEREF _Toc1663 \h </w:instrText>
        </w:r>
        <w:r>
          <w:fldChar w:fldCharType="separate"/>
        </w:r>
        <w:r>
          <w:t>310</w:t>
        </w:r>
        <w:r>
          <w:fldChar w:fldCharType="end"/>
        </w:r>
      </w:hyperlink>
    </w:p>
    <w:p w14:paraId="0E0C91D7" w14:textId="77777777" w:rsidR="001C08A5" w:rsidRDefault="00000000">
      <w:pPr>
        <w:pStyle w:val="TableofFigures"/>
        <w:tabs>
          <w:tab w:val="right" w:leader="dot" w:pos="0"/>
        </w:tabs>
        <w:ind w:left="800" w:hanging="400"/>
      </w:pPr>
      <w:hyperlink w:anchor="_Toc3241" w:history="1">
        <w:r>
          <w:t>Tabelul 110 : Lungimi de evacuare maximum admise la săli aglomerate</w:t>
        </w:r>
        <w:r>
          <w:tab/>
        </w:r>
        <w:r>
          <w:fldChar w:fldCharType="begin"/>
        </w:r>
        <w:r>
          <w:instrText xml:space="preserve"> PAGEREF _Toc3241 \h </w:instrText>
        </w:r>
        <w:r>
          <w:fldChar w:fldCharType="separate"/>
        </w:r>
        <w:r>
          <w:t>310</w:t>
        </w:r>
        <w:r>
          <w:fldChar w:fldCharType="end"/>
        </w:r>
      </w:hyperlink>
    </w:p>
    <w:p w14:paraId="1343948A" w14:textId="77777777" w:rsidR="001C08A5" w:rsidRDefault="00000000">
      <w:pPr>
        <w:pStyle w:val="TableofFigures"/>
        <w:tabs>
          <w:tab w:val="right" w:leader="dot" w:pos="0"/>
        </w:tabs>
        <w:ind w:left="800" w:hanging="400"/>
      </w:pPr>
      <w:hyperlink w:anchor="_Toc25682" w:history="1">
        <w:r>
          <w:t xml:space="preserve">Tabelul 111 : Număr maxim de locuri dispuse pe un rând de scaune  </w:t>
        </w:r>
        <w:r>
          <w:tab/>
        </w:r>
        <w:r>
          <w:fldChar w:fldCharType="begin"/>
        </w:r>
        <w:r>
          <w:instrText xml:space="preserve"> PAGEREF _Toc25682 \h </w:instrText>
        </w:r>
        <w:r>
          <w:fldChar w:fldCharType="separate"/>
        </w:r>
        <w:r>
          <w:t>311</w:t>
        </w:r>
        <w:r>
          <w:fldChar w:fldCharType="end"/>
        </w:r>
      </w:hyperlink>
    </w:p>
    <w:p w14:paraId="22A624C9" w14:textId="77777777" w:rsidR="001C08A5" w:rsidRDefault="00000000">
      <w:pPr>
        <w:pStyle w:val="TableofFigures"/>
        <w:tabs>
          <w:tab w:val="right" w:leader="dot" w:pos="0"/>
        </w:tabs>
        <w:ind w:left="800" w:hanging="400"/>
      </w:pPr>
      <w:hyperlink w:anchor="_Toc26178" w:history="1">
        <w:r>
          <w:t>Tabelul 112 : Separare a căilor de circulaţie funcţională şi de evacuare a utilizatorilor clădirilor subterane</w:t>
        </w:r>
        <w:r>
          <w:tab/>
        </w:r>
        <w:r>
          <w:fldChar w:fldCharType="begin"/>
        </w:r>
        <w:r>
          <w:instrText xml:space="preserve"> PAGEREF _Toc26178 \h </w:instrText>
        </w:r>
        <w:r>
          <w:fldChar w:fldCharType="separate"/>
        </w:r>
        <w:r>
          <w:t>316</w:t>
        </w:r>
        <w:r>
          <w:fldChar w:fldCharType="end"/>
        </w:r>
      </w:hyperlink>
    </w:p>
    <w:p w14:paraId="5ADE04C4" w14:textId="77777777" w:rsidR="001C08A5" w:rsidRDefault="00000000">
      <w:pPr>
        <w:pStyle w:val="TableofFigures"/>
        <w:tabs>
          <w:tab w:val="right" w:leader="dot" w:pos="0"/>
        </w:tabs>
        <w:ind w:left="800" w:hanging="400"/>
      </w:pPr>
      <w:hyperlink w:anchor="_Toc27514" w:history="1">
        <w:r>
          <w:t>Tabelul 113 : Lungimi de evacuare în clădiri civile subterane independente</w:t>
        </w:r>
        <w:r>
          <w:tab/>
        </w:r>
        <w:r>
          <w:fldChar w:fldCharType="begin"/>
        </w:r>
        <w:r>
          <w:instrText xml:space="preserve"> PAGEREF _Toc27514 \h </w:instrText>
        </w:r>
        <w:r>
          <w:fldChar w:fldCharType="separate"/>
        </w:r>
        <w:r>
          <w:t>317</w:t>
        </w:r>
        <w:r>
          <w:fldChar w:fldCharType="end"/>
        </w:r>
      </w:hyperlink>
    </w:p>
    <w:p w14:paraId="1269B390" w14:textId="77777777" w:rsidR="001C08A5" w:rsidRDefault="00000000">
      <w:pPr>
        <w:pStyle w:val="TableofFigures"/>
        <w:tabs>
          <w:tab w:val="right" w:leader="dot" w:pos="0"/>
        </w:tabs>
        <w:ind w:left="800" w:hanging="400"/>
      </w:pPr>
      <w:hyperlink w:anchor="_Toc16039" w:history="1">
        <w:r>
          <w:t>Tabelul 114 : Condiţii de corelare a ariilor construite (Ac) şi a numărului de niveluri al construcţiilor şi compartimentelor de incendiu supraterane de producţie şi/sau depozitare</w:t>
        </w:r>
        <w:r>
          <w:tab/>
        </w:r>
        <w:r>
          <w:fldChar w:fldCharType="begin"/>
        </w:r>
        <w:r>
          <w:instrText xml:space="preserve"> PAGEREF _Toc16039 \h </w:instrText>
        </w:r>
        <w:r>
          <w:fldChar w:fldCharType="separate"/>
        </w:r>
        <w:r>
          <w:t>320</w:t>
        </w:r>
        <w:r>
          <w:fldChar w:fldCharType="end"/>
        </w:r>
      </w:hyperlink>
    </w:p>
    <w:p w14:paraId="7C1A656A" w14:textId="77777777" w:rsidR="001C08A5" w:rsidRDefault="00000000">
      <w:pPr>
        <w:pStyle w:val="TableofFigures"/>
        <w:tabs>
          <w:tab w:val="right" w:leader="dot" w:pos="0"/>
        </w:tabs>
        <w:ind w:left="800" w:hanging="400"/>
      </w:pPr>
      <w:hyperlink w:anchor="_Toc6106" w:history="1">
        <w:r>
          <w:t>Tabelul 115 : Numărul normat de utilizatori pe unitatea de trecere (flux) de evacuare (Uf) din construcţiile de producţie şi/sau depozitare</w:t>
        </w:r>
        <w:r>
          <w:tab/>
        </w:r>
        <w:r>
          <w:fldChar w:fldCharType="begin"/>
        </w:r>
        <w:r>
          <w:instrText xml:space="preserve"> PAGEREF _Toc6106 \h </w:instrText>
        </w:r>
        <w:r>
          <w:fldChar w:fldCharType="separate"/>
        </w:r>
        <w:r>
          <w:t>327</w:t>
        </w:r>
        <w:r>
          <w:fldChar w:fldCharType="end"/>
        </w:r>
      </w:hyperlink>
    </w:p>
    <w:p w14:paraId="1BB18600" w14:textId="77777777" w:rsidR="001C08A5" w:rsidRDefault="00000000">
      <w:pPr>
        <w:pStyle w:val="TableofFigures"/>
        <w:tabs>
          <w:tab w:val="right" w:leader="dot" w:pos="0"/>
        </w:tabs>
        <w:ind w:left="800" w:hanging="400"/>
      </w:pPr>
      <w:hyperlink w:anchor="_Toc26215" w:history="1">
        <w:r>
          <w:t>Tabelul 116 : Lungimi de evacuare în construcţii de producţie şi/sau depozitare</w:t>
        </w:r>
        <w:r>
          <w:tab/>
        </w:r>
        <w:r>
          <w:fldChar w:fldCharType="begin"/>
        </w:r>
        <w:r>
          <w:instrText xml:space="preserve"> PAGEREF _Toc26215 \h </w:instrText>
        </w:r>
        <w:r>
          <w:fldChar w:fldCharType="separate"/>
        </w:r>
        <w:r>
          <w:t>328</w:t>
        </w:r>
        <w:r>
          <w:fldChar w:fldCharType="end"/>
        </w:r>
      </w:hyperlink>
    </w:p>
    <w:p w14:paraId="046E7676" w14:textId="77777777" w:rsidR="001C08A5" w:rsidRDefault="00000000">
      <w:pPr>
        <w:pStyle w:val="TableofFigures"/>
        <w:tabs>
          <w:tab w:val="right" w:leader="dot" w:pos="0"/>
        </w:tabs>
        <w:ind w:left="800" w:hanging="400"/>
      </w:pPr>
      <w:hyperlink w:anchor="_Toc11082" w:history="1">
        <w:r>
          <w:t>Tabelul 117 : Numărul maxim de animale admis pe o uşă de evacuare</w:t>
        </w:r>
        <w:r>
          <w:tab/>
        </w:r>
        <w:r>
          <w:fldChar w:fldCharType="begin"/>
        </w:r>
        <w:r>
          <w:instrText xml:space="preserve"> PAGEREF _Toc11082 \h </w:instrText>
        </w:r>
        <w:r>
          <w:fldChar w:fldCharType="separate"/>
        </w:r>
        <w:r>
          <w:t>329</w:t>
        </w:r>
        <w:r>
          <w:fldChar w:fldCharType="end"/>
        </w:r>
      </w:hyperlink>
    </w:p>
    <w:p w14:paraId="1CC332C9" w14:textId="77777777" w:rsidR="001C08A5" w:rsidRDefault="00000000">
      <w:pPr>
        <w:pStyle w:val="TableofFigures"/>
        <w:tabs>
          <w:tab w:val="right" w:leader="dot" w:pos="0"/>
        </w:tabs>
        <w:ind w:left="800" w:hanging="400"/>
      </w:pPr>
      <w:hyperlink w:anchor="_Toc26607" w:history="1">
        <w:r>
          <w:t>Tabelul 118 : Utilizarea conductelor colectoare de evacuare a fumului și a gazelor fierbinți pe înălțimea construcției</w:t>
        </w:r>
        <w:r>
          <w:tab/>
        </w:r>
        <w:r>
          <w:fldChar w:fldCharType="begin"/>
        </w:r>
        <w:r>
          <w:instrText xml:space="preserve"> PAGEREF _Toc26607 \h </w:instrText>
        </w:r>
        <w:r>
          <w:fldChar w:fldCharType="separate"/>
        </w:r>
        <w:r>
          <w:t>353</w:t>
        </w:r>
        <w:r>
          <w:fldChar w:fldCharType="end"/>
        </w:r>
      </w:hyperlink>
    </w:p>
    <w:p w14:paraId="077FF90D" w14:textId="77777777" w:rsidR="001C08A5" w:rsidRDefault="00000000">
      <w:pPr>
        <w:pStyle w:val="TableofFigures"/>
        <w:tabs>
          <w:tab w:val="right" w:leader="dot" w:pos="0"/>
        </w:tabs>
        <w:ind w:left="800" w:hanging="400"/>
      </w:pPr>
      <w:hyperlink w:anchor="_Toc2359" w:history="1">
        <w:r>
          <w:t>Tabelul 119 : Valorile coeficientului de curgere pentru gurile de introducere a aerului</w:t>
        </w:r>
        <w:r>
          <w:tab/>
        </w:r>
        <w:r>
          <w:fldChar w:fldCharType="begin"/>
        </w:r>
        <w:r>
          <w:instrText xml:space="preserve"> PAGEREF _Toc2359 \h </w:instrText>
        </w:r>
        <w:r>
          <w:fldChar w:fldCharType="separate"/>
        </w:r>
        <w:r>
          <w:t>355</w:t>
        </w:r>
        <w:r>
          <w:fldChar w:fldCharType="end"/>
        </w:r>
      </w:hyperlink>
    </w:p>
    <w:p w14:paraId="53822BC2" w14:textId="77777777" w:rsidR="001C08A5" w:rsidRDefault="00000000">
      <w:pPr>
        <w:pStyle w:val="TableofFigures"/>
        <w:tabs>
          <w:tab w:val="right" w:leader="dot" w:pos="0"/>
        </w:tabs>
        <w:ind w:left="800" w:hanging="400"/>
      </w:pPr>
      <w:hyperlink w:anchor="_Toc27011" w:history="1">
        <w:r>
          <w:t>Tabelul 120 : Valorile coeficientului de curgere pentru dipozitivele/ gurile/ ochiurile mobile de evacuare a fumului</w:t>
        </w:r>
        <w:r>
          <w:tab/>
        </w:r>
        <w:r>
          <w:fldChar w:fldCharType="begin"/>
        </w:r>
        <w:r>
          <w:instrText xml:space="preserve"> PAGEREF _Toc27011 \h </w:instrText>
        </w:r>
        <w:r>
          <w:fldChar w:fldCharType="separate"/>
        </w:r>
        <w:r>
          <w:t>356</w:t>
        </w:r>
        <w:r>
          <w:fldChar w:fldCharType="end"/>
        </w:r>
      </w:hyperlink>
    </w:p>
    <w:p w14:paraId="43D5889E" w14:textId="77777777" w:rsidR="001C08A5" w:rsidRDefault="00000000">
      <w:pPr>
        <w:pStyle w:val="TableofFigures"/>
        <w:tabs>
          <w:tab w:val="right" w:leader="dot" w:pos="0"/>
        </w:tabs>
        <w:ind w:left="800" w:hanging="400"/>
      </w:pPr>
      <w:hyperlink w:anchor="_Toc12513" w:history="1">
        <w:r>
          <w:t xml:space="preserve">Tabelul 121 : Dispunere a ecranelor continui în sistem de evacuare a fumului şi gazelor fierbinţi prin tiraj natural-organizat   </w:t>
        </w:r>
        <w:r>
          <w:tab/>
        </w:r>
        <w:r>
          <w:fldChar w:fldCharType="begin"/>
        </w:r>
        <w:r>
          <w:instrText xml:space="preserve"> PAGEREF _Toc12513 \h </w:instrText>
        </w:r>
        <w:r>
          <w:fldChar w:fldCharType="separate"/>
        </w:r>
        <w:r>
          <w:t>364</w:t>
        </w:r>
        <w:r>
          <w:fldChar w:fldCharType="end"/>
        </w:r>
      </w:hyperlink>
    </w:p>
    <w:p w14:paraId="71E6F8C0" w14:textId="77777777" w:rsidR="001C08A5" w:rsidRDefault="00000000">
      <w:pPr>
        <w:pStyle w:val="TableofFigures"/>
        <w:tabs>
          <w:tab w:val="right" w:leader="dot" w:pos="0"/>
        </w:tabs>
        <w:ind w:left="800" w:hanging="400"/>
      </w:pPr>
      <w:hyperlink w:anchor="_Toc3448" w:history="1">
        <w:r>
          <w:t xml:space="preserve">Tabelul 122 : Debit de extragere a unei guri de evacuare a fumului şi gazelor fierbinţi prin ventilare mecanică  </w:t>
        </w:r>
        <w:r>
          <w:tab/>
        </w:r>
        <w:r>
          <w:fldChar w:fldCharType="begin"/>
        </w:r>
        <w:r>
          <w:instrText xml:space="preserve"> PAGEREF _Toc3448 \h </w:instrText>
        </w:r>
        <w:r>
          <w:fldChar w:fldCharType="separate"/>
        </w:r>
        <w:r>
          <w:t>365</w:t>
        </w:r>
        <w:r>
          <w:fldChar w:fldCharType="end"/>
        </w:r>
      </w:hyperlink>
    </w:p>
    <w:p w14:paraId="44E1D868" w14:textId="77777777" w:rsidR="001C08A5" w:rsidRDefault="00000000">
      <w:pPr>
        <w:pStyle w:val="TableofFigures"/>
        <w:tabs>
          <w:tab w:val="right" w:leader="dot" w:pos="0"/>
        </w:tabs>
        <w:ind w:left="800" w:hanging="400"/>
      </w:pPr>
      <w:hyperlink w:anchor="_Toc31368" w:history="1">
        <w:r>
          <w:t>Tabelul 123 : Uși pentru circulaţie funcţională şi/ sau evacuare practicate în pereţii antifoc din clădiri civile</w:t>
        </w:r>
        <w:r>
          <w:tab/>
        </w:r>
        <w:r>
          <w:fldChar w:fldCharType="begin"/>
        </w:r>
        <w:r>
          <w:instrText xml:space="preserve"> PAGEREF _Toc31368 \h </w:instrText>
        </w:r>
        <w:r>
          <w:fldChar w:fldCharType="separate"/>
        </w:r>
        <w:r>
          <w:t>374</w:t>
        </w:r>
        <w:r>
          <w:fldChar w:fldCharType="end"/>
        </w:r>
      </w:hyperlink>
    </w:p>
    <w:p w14:paraId="2737F4F6" w14:textId="77777777" w:rsidR="001C08A5" w:rsidRDefault="00000000">
      <w:pPr>
        <w:pStyle w:val="TableofFigures"/>
        <w:tabs>
          <w:tab w:val="right" w:leader="dot" w:pos="0"/>
        </w:tabs>
        <w:ind w:left="800" w:hanging="400"/>
      </w:pPr>
      <w:hyperlink w:anchor="_Toc11535" w:history="1">
        <w:r>
          <w:t>Tabelul 124 : Uși pentru circulaţie funcţională şi/ sau evacuare practicate în pereţii antifoc din construcții de producție și/ sau depozitare</w:t>
        </w:r>
        <w:r>
          <w:tab/>
        </w:r>
        <w:r>
          <w:fldChar w:fldCharType="begin"/>
        </w:r>
        <w:r>
          <w:instrText xml:space="preserve"> PAGEREF _Toc11535 \h </w:instrText>
        </w:r>
        <w:r>
          <w:fldChar w:fldCharType="separate"/>
        </w:r>
        <w:r>
          <w:t>376</w:t>
        </w:r>
        <w:r>
          <w:fldChar w:fldCharType="end"/>
        </w:r>
      </w:hyperlink>
    </w:p>
    <w:p w14:paraId="28BD396A" w14:textId="77777777" w:rsidR="001C08A5" w:rsidRDefault="00000000">
      <w:pPr>
        <w:pStyle w:val="TableofFigures"/>
        <w:tabs>
          <w:tab w:val="right" w:leader="dot" w:pos="0"/>
        </w:tabs>
        <w:ind w:left="800" w:hanging="400"/>
      </w:pPr>
      <w:hyperlink w:anchor="_Toc6329" w:history="1">
        <w:r>
          <w:t xml:space="preserve">Tabelul 125 : Suprafaţa construită maxim admisă între </w:t>
        </w:r>
        <w:r>
          <w:rPr>
            <w:lang w:val="en-GB"/>
          </w:rPr>
          <w:t>spa</w:t>
        </w:r>
        <w:r>
          <w:t>ț</w:t>
        </w:r>
        <w:r>
          <w:rPr>
            <w:lang w:val="en-GB"/>
          </w:rPr>
          <w:t xml:space="preserve">ii delimitate de </w:t>
        </w:r>
        <w:r>
          <w:t>pereţ</w:t>
        </w:r>
        <w:r>
          <w:rPr>
            <w:lang w:val="en-GB"/>
          </w:rPr>
          <w:t>i</w:t>
        </w:r>
        <w:r>
          <w:t xml:space="preserve"> de sectorizare</w:t>
        </w:r>
        <w:r>
          <w:tab/>
        </w:r>
        <w:r>
          <w:fldChar w:fldCharType="begin"/>
        </w:r>
        <w:r>
          <w:instrText xml:space="preserve"> PAGEREF _Toc6329 \h </w:instrText>
        </w:r>
        <w:r>
          <w:fldChar w:fldCharType="separate"/>
        </w:r>
        <w:r>
          <w:t>383</w:t>
        </w:r>
        <w:r>
          <w:fldChar w:fldCharType="end"/>
        </w:r>
      </w:hyperlink>
    </w:p>
    <w:p w14:paraId="7E506C40" w14:textId="77777777" w:rsidR="001C08A5" w:rsidRDefault="00000000">
      <w:pPr>
        <w:pStyle w:val="TableofFigures"/>
        <w:tabs>
          <w:tab w:val="right" w:leader="dot" w:pos="0"/>
        </w:tabs>
        <w:ind w:left="800" w:hanging="400"/>
      </w:pPr>
      <w:hyperlink w:anchor="_Toc4800" w:history="1">
        <w:r>
          <w:t xml:space="preserve">Tabelul 126 : </w:t>
        </w:r>
        <w:r>
          <w:rPr>
            <w:bCs/>
          </w:rPr>
          <w:t>Fluxuri de evacuare ale scării prevăzute pentru evacuarea persoanelor precum și pentru accesul forțelor de intervenție</w:t>
        </w:r>
        <w:r>
          <w:tab/>
        </w:r>
        <w:r>
          <w:fldChar w:fldCharType="begin"/>
        </w:r>
        <w:r>
          <w:instrText xml:space="preserve"> PAGEREF _Toc4800 \h </w:instrText>
        </w:r>
        <w:r>
          <w:fldChar w:fldCharType="separate"/>
        </w:r>
        <w:r>
          <w:t>423</w:t>
        </w:r>
        <w:r>
          <w:fldChar w:fldCharType="end"/>
        </w:r>
      </w:hyperlink>
    </w:p>
    <w:p w14:paraId="6E55BDCC" w14:textId="77777777" w:rsidR="001C08A5" w:rsidRDefault="00000000">
      <w:pPr>
        <w:pStyle w:val="TableofFigures"/>
        <w:tabs>
          <w:tab w:val="right" w:leader="dot" w:pos="0"/>
        </w:tabs>
        <w:ind w:left="800" w:hanging="400"/>
      </w:pPr>
      <w:hyperlink w:anchor="_Toc7887" w:history="1">
        <w:r>
          <w:t>Tabelul 127 :</w:t>
        </w:r>
        <w:r>
          <w:rPr>
            <w:rFonts w:eastAsia="ABBvoice-Regular"/>
          </w:rPr>
          <w:t xml:space="preserve"> (</w:t>
        </w:r>
        <w:r>
          <w:rPr>
            <w:rFonts w:eastAsia="ABBvoice-Regular"/>
            <w:bCs/>
          </w:rPr>
          <w:t>echivalent cu</w:t>
        </w:r>
        <w:r>
          <w:rPr>
            <w:rFonts w:eastAsia="ABBvoice-Regular"/>
          </w:rPr>
          <w:t xml:space="preserve"> </w:t>
        </w:r>
        <w:r>
          <w:rPr>
            <w:rFonts w:eastAsia="ABBvoice-Regular"/>
            <w:bCs/>
          </w:rPr>
          <w:t xml:space="preserve">tabel 1 </w:t>
        </w:r>
        <w:r>
          <w:rPr>
            <w:rFonts w:eastAsia="ABBvoice-Regular"/>
          </w:rPr>
          <w:t xml:space="preserve">din </w:t>
        </w:r>
        <w:r>
          <w:rPr>
            <w:rFonts w:eastAsia="ABBvoice-Regular"/>
            <w:bCs/>
          </w:rPr>
          <w:t xml:space="preserve">SR EN </w:t>
        </w:r>
        <w:r>
          <w:rPr>
            <w:rFonts w:eastAsia="TimesNewRomanPSMT-Identity-H"/>
            <w:bCs/>
          </w:rPr>
          <w:t>IEC 62485-2</w:t>
        </w:r>
        <w:r>
          <w:rPr>
            <w:rFonts w:eastAsia="ABBvoice-Regular"/>
          </w:rPr>
          <w:t>) - Valori pentru curentul I la încărcare cu profiluri de încărcare IU sau U</w:t>
        </w:r>
        <w:r>
          <w:tab/>
        </w:r>
        <w:r>
          <w:fldChar w:fldCharType="begin"/>
        </w:r>
        <w:r>
          <w:instrText xml:space="preserve"> PAGEREF _Toc7887 \h </w:instrText>
        </w:r>
        <w:r>
          <w:fldChar w:fldCharType="separate"/>
        </w:r>
        <w:r>
          <w:t>443</w:t>
        </w:r>
        <w:r>
          <w:fldChar w:fldCharType="end"/>
        </w:r>
      </w:hyperlink>
    </w:p>
    <w:p w14:paraId="6A5F2056" w14:textId="77777777" w:rsidR="001C08A5" w:rsidRDefault="00000000">
      <w:pPr>
        <w:pStyle w:val="TableofFigures"/>
        <w:tabs>
          <w:tab w:val="right" w:leader="dot" w:pos="0"/>
        </w:tabs>
        <w:ind w:left="800" w:hanging="400"/>
      </w:pPr>
      <w:hyperlink w:anchor="_Toc10317" w:history="1">
        <w:r>
          <w:t xml:space="preserve">Tabelul 128 : </w:t>
        </w:r>
        <w:r>
          <w:rPr>
            <w:bCs/>
            <w:lang w:val="en-GB" w:eastAsia="en-GB"/>
          </w:rPr>
          <w:t>Alegerea dispozitivului de ieșire pentru uși de evacuare în funcție de utilizare</w:t>
        </w:r>
        <w:r>
          <w:tab/>
        </w:r>
        <w:r>
          <w:fldChar w:fldCharType="begin"/>
        </w:r>
        <w:r>
          <w:instrText xml:space="preserve"> PAGEREF _Toc10317 \h </w:instrText>
        </w:r>
        <w:r>
          <w:fldChar w:fldCharType="separate"/>
        </w:r>
        <w:r>
          <w:t>461</w:t>
        </w:r>
        <w:r>
          <w:fldChar w:fldCharType="end"/>
        </w:r>
      </w:hyperlink>
    </w:p>
    <w:p w14:paraId="5E686C5D" w14:textId="77777777" w:rsidR="001C08A5" w:rsidRDefault="00000000">
      <w:pPr>
        <w:pStyle w:val="TableofFigures"/>
        <w:tabs>
          <w:tab w:val="right" w:leader="dot" w:pos="0"/>
        </w:tabs>
        <w:ind w:left="800" w:hanging="400"/>
      </w:pPr>
      <w:hyperlink w:anchor="_Toc18836" w:history="1">
        <w:r>
          <w:t xml:space="preserve">Tabelul 129 : </w:t>
        </w:r>
        <w:r>
          <w:rPr>
            <w:rFonts w:eastAsia="Times New Roman"/>
            <w:bCs/>
          </w:rPr>
          <w:t>Alternative dimensionare scări de circulaţie funcţională şi de evacuare la clădiri cu funcțiune de sănătate</w:t>
        </w:r>
        <w:r>
          <w:tab/>
        </w:r>
        <w:r>
          <w:fldChar w:fldCharType="begin"/>
        </w:r>
        <w:r>
          <w:instrText xml:space="preserve"> PAGEREF _Toc18836 \h </w:instrText>
        </w:r>
        <w:r>
          <w:fldChar w:fldCharType="separate"/>
        </w:r>
        <w:r>
          <w:t>506</w:t>
        </w:r>
        <w:r>
          <w:fldChar w:fldCharType="end"/>
        </w:r>
      </w:hyperlink>
    </w:p>
    <w:p w14:paraId="671225EB" w14:textId="77777777" w:rsidR="001C08A5" w:rsidRDefault="00000000">
      <w:pPr>
        <w:pStyle w:val="TableofFigures"/>
        <w:tabs>
          <w:tab w:val="right" w:leader="dot" w:pos="0"/>
        </w:tabs>
        <w:ind w:left="800" w:hanging="400"/>
      </w:pPr>
      <w:hyperlink w:anchor="_Toc21848" w:history="1">
        <w:r>
          <w:t>Tabelul 130 : Număr maxim de locuri admise pe un rând de scaune la arene și stadioane în aer liber</w:t>
        </w:r>
        <w:r>
          <w:tab/>
        </w:r>
        <w:r>
          <w:fldChar w:fldCharType="begin"/>
        </w:r>
        <w:r>
          <w:instrText xml:space="preserve"> PAGEREF _Toc21848 \h </w:instrText>
        </w:r>
        <w:r>
          <w:fldChar w:fldCharType="separate"/>
        </w:r>
        <w:r>
          <w:t>526</w:t>
        </w:r>
        <w:r>
          <w:fldChar w:fldCharType="end"/>
        </w:r>
      </w:hyperlink>
    </w:p>
    <w:p w14:paraId="3E45850F" w14:textId="77777777" w:rsidR="001C08A5" w:rsidRDefault="00000000">
      <w:pPr>
        <w:pStyle w:val="TableofFigures"/>
        <w:tabs>
          <w:tab w:val="right" w:leader="dot" w:pos="0"/>
        </w:tabs>
        <w:ind w:left="800" w:hanging="400"/>
      </w:pPr>
      <w:hyperlink w:anchor="_Toc21969" w:history="1">
        <w:r>
          <w:t>Tabelul 131 : Număr maxim de rânduri de scaune la arene și stadioane în aer liber</w:t>
        </w:r>
        <w:r>
          <w:tab/>
        </w:r>
        <w:r>
          <w:fldChar w:fldCharType="begin"/>
        </w:r>
        <w:r>
          <w:instrText xml:space="preserve"> PAGEREF _Toc21969 \h </w:instrText>
        </w:r>
        <w:r>
          <w:fldChar w:fldCharType="separate"/>
        </w:r>
        <w:r>
          <w:t>526</w:t>
        </w:r>
        <w:r>
          <w:fldChar w:fldCharType="end"/>
        </w:r>
      </w:hyperlink>
    </w:p>
    <w:p w14:paraId="0C0E5E61" w14:textId="77777777" w:rsidR="001C08A5" w:rsidRDefault="00000000">
      <w:pPr>
        <w:pStyle w:val="TableofFigures"/>
        <w:tabs>
          <w:tab w:val="right" w:leader="dot" w:pos="0"/>
        </w:tabs>
        <w:ind w:left="800" w:hanging="400"/>
      </w:pPr>
      <w:hyperlink w:anchor="_Toc18570" w:history="1">
        <w:r>
          <w:t xml:space="preserve">Tabelul 132 : </w:t>
        </w:r>
        <w:r>
          <w:rPr>
            <w:bCs/>
            <w:lang w:val="en-GB"/>
          </w:rPr>
          <w:t>Încadrare în risc de incendiu</w:t>
        </w:r>
        <w:r>
          <w:rPr>
            <w:bCs/>
          </w:rPr>
          <w:t xml:space="preserve"> (construcții noi)</w:t>
        </w:r>
        <w:r>
          <w:tab/>
        </w:r>
        <w:r>
          <w:fldChar w:fldCharType="begin"/>
        </w:r>
        <w:r>
          <w:instrText xml:space="preserve"> PAGEREF _Toc18570 \h </w:instrText>
        </w:r>
        <w:r>
          <w:fldChar w:fldCharType="separate"/>
        </w:r>
        <w:r>
          <w:t>551</w:t>
        </w:r>
        <w:r>
          <w:fldChar w:fldCharType="end"/>
        </w:r>
      </w:hyperlink>
    </w:p>
    <w:p w14:paraId="1E475F1F" w14:textId="77777777" w:rsidR="001C08A5" w:rsidRDefault="00000000">
      <w:pPr>
        <w:pStyle w:val="TableofFigures"/>
        <w:tabs>
          <w:tab w:val="right" w:leader="dot" w:pos="0"/>
        </w:tabs>
        <w:ind w:left="800" w:hanging="400"/>
      </w:pPr>
      <w:hyperlink w:anchor="_Toc1536" w:history="1">
        <w:r>
          <w:t>Tabelul 133 : Recomandare de clasificare a materialelor/produselor şi substanţelor depozitate, după clasa de periculozitate (construcții noi)</w:t>
        </w:r>
        <w:r>
          <w:tab/>
        </w:r>
        <w:r>
          <w:fldChar w:fldCharType="begin"/>
        </w:r>
        <w:r>
          <w:instrText xml:space="preserve"> PAGEREF _Toc1536 \h </w:instrText>
        </w:r>
        <w:r>
          <w:fldChar w:fldCharType="separate"/>
        </w:r>
        <w:r>
          <w:t>552</w:t>
        </w:r>
        <w:r>
          <w:fldChar w:fldCharType="end"/>
        </w:r>
      </w:hyperlink>
    </w:p>
    <w:p w14:paraId="3318DE5C" w14:textId="77777777" w:rsidR="001C08A5" w:rsidRDefault="00000000">
      <w:pPr>
        <w:pStyle w:val="TableofFigures"/>
        <w:tabs>
          <w:tab w:val="right" w:leader="dot" w:pos="0"/>
        </w:tabs>
        <w:ind w:left="800" w:hanging="400"/>
      </w:pPr>
      <w:hyperlink w:anchor="_Toc12416" w:history="1">
        <w:r>
          <w:t xml:space="preserve">Tabelul 134 : Recomandare de clasificare a materialelor/produselor şi substanţelor depozitate cu periculozitate deosebit de mare (Pentru care </w:t>
        </w:r>
        <w:r>
          <w:rPr>
            <w:bCs/>
          </w:rPr>
          <w:t>nu</w:t>
        </w:r>
        <w:r>
          <w:t xml:space="preserve"> sunt aplicabile cantităţile relevante pentru încadrare în Legea nr. 59/2016 privind controlul asupra pericolelor de accident major în care sunt implicate substanţe periculoase).</w:t>
        </w:r>
        <w:r>
          <w:tab/>
        </w:r>
        <w:r>
          <w:fldChar w:fldCharType="begin"/>
        </w:r>
        <w:r>
          <w:instrText xml:space="preserve"> PAGEREF _Toc12416 \h </w:instrText>
        </w:r>
        <w:r>
          <w:fldChar w:fldCharType="separate"/>
        </w:r>
        <w:r>
          <w:t>555</w:t>
        </w:r>
        <w:r>
          <w:fldChar w:fldCharType="end"/>
        </w:r>
      </w:hyperlink>
    </w:p>
    <w:p w14:paraId="5C174ECE" w14:textId="77777777" w:rsidR="001C08A5" w:rsidRDefault="00000000">
      <w:pPr>
        <w:pStyle w:val="TableofFigures"/>
        <w:tabs>
          <w:tab w:val="right" w:leader="dot" w:pos="0"/>
        </w:tabs>
        <w:ind w:left="800" w:hanging="400"/>
      </w:pPr>
      <w:hyperlink w:anchor="_Toc3192" w:history="1">
        <w:r>
          <w:t xml:space="preserve">Tabelul 135 : Categorii de lichide inflamabile </w:t>
        </w:r>
        <w:r>
          <w:tab/>
        </w:r>
        <w:r>
          <w:fldChar w:fldCharType="begin"/>
        </w:r>
        <w:r>
          <w:instrText xml:space="preserve"> PAGEREF _Toc3192 \h </w:instrText>
        </w:r>
        <w:r>
          <w:fldChar w:fldCharType="separate"/>
        </w:r>
        <w:r>
          <w:t>558</w:t>
        </w:r>
        <w:r>
          <w:fldChar w:fldCharType="end"/>
        </w:r>
      </w:hyperlink>
    </w:p>
    <w:p w14:paraId="05371772" w14:textId="77777777" w:rsidR="001C08A5" w:rsidRDefault="00000000">
      <w:pPr>
        <w:pStyle w:val="TableofFigures"/>
        <w:tabs>
          <w:tab w:val="right" w:leader="dot" w:pos="0"/>
        </w:tabs>
        <w:ind w:left="800" w:hanging="400"/>
      </w:pPr>
      <w:hyperlink w:anchor="_Toc13673" w:history="1">
        <w:r>
          <w:t>Tabelul 136 : Categorii de depozite de lichide inflamabile</w:t>
        </w:r>
        <w:r>
          <w:tab/>
        </w:r>
        <w:r>
          <w:fldChar w:fldCharType="begin"/>
        </w:r>
        <w:r>
          <w:instrText xml:space="preserve"> PAGEREF _Toc13673 \h </w:instrText>
        </w:r>
        <w:r>
          <w:fldChar w:fldCharType="separate"/>
        </w:r>
        <w:r>
          <w:t>559</w:t>
        </w:r>
        <w:r>
          <w:fldChar w:fldCharType="end"/>
        </w:r>
      </w:hyperlink>
    </w:p>
    <w:p w14:paraId="2D8B2564" w14:textId="77777777" w:rsidR="001C08A5" w:rsidRDefault="00000000">
      <w:pPr>
        <w:pStyle w:val="TableofFigures"/>
        <w:tabs>
          <w:tab w:val="right" w:leader="dot" w:pos="0"/>
        </w:tabs>
        <w:ind w:left="800" w:hanging="400"/>
      </w:pPr>
      <w:hyperlink w:anchor="_Toc5375" w:history="1">
        <w:r>
          <w:t xml:space="preserve">Tabelul 137 : </w:t>
        </w:r>
        <w:r>
          <w:rPr>
            <w:bCs/>
          </w:rPr>
          <w:t>Valorile puterii calorifice pentru materiale uzuale</w:t>
        </w:r>
        <w:r>
          <w:tab/>
        </w:r>
        <w:r>
          <w:fldChar w:fldCharType="begin"/>
        </w:r>
        <w:r>
          <w:instrText xml:space="preserve"> PAGEREF _Toc5375 \h </w:instrText>
        </w:r>
        <w:r>
          <w:fldChar w:fldCharType="separate"/>
        </w:r>
        <w:r>
          <w:t>560</w:t>
        </w:r>
        <w:r>
          <w:fldChar w:fldCharType="end"/>
        </w:r>
      </w:hyperlink>
    </w:p>
    <w:p w14:paraId="4E2630EA" w14:textId="77777777" w:rsidR="001C08A5" w:rsidRDefault="00000000">
      <w:pPr>
        <w:pStyle w:val="TableofFigures"/>
        <w:tabs>
          <w:tab w:val="right" w:leader="dot" w:pos="0"/>
        </w:tabs>
        <w:ind w:left="800" w:hanging="400"/>
      </w:pPr>
      <w:hyperlink w:anchor="_Toc13020" w:history="1">
        <w:r>
          <w:t xml:space="preserve">Tabelul 138 : </w:t>
        </w:r>
        <w:r>
          <w:rPr>
            <w:bCs/>
          </w:rPr>
          <w:t>Valorile puterii calorifice pentru cabluri</w:t>
        </w:r>
        <w:r>
          <w:tab/>
        </w:r>
        <w:r>
          <w:fldChar w:fldCharType="begin"/>
        </w:r>
        <w:r>
          <w:instrText xml:space="preserve"> PAGEREF _Toc13020 \h </w:instrText>
        </w:r>
        <w:r>
          <w:fldChar w:fldCharType="separate"/>
        </w:r>
        <w:r>
          <w:t>564</w:t>
        </w:r>
        <w:r>
          <w:fldChar w:fldCharType="end"/>
        </w:r>
      </w:hyperlink>
    </w:p>
    <w:p w14:paraId="2A2F54B4" w14:textId="77777777" w:rsidR="001C08A5" w:rsidRDefault="00000000">
      <w:pPr>
        <w:pStyle w:val="TableofFigures"/>
        <w:tabs>
          <w:tab w:val="right" w:leader="dot" w:pos="0"/>
        </w:tabs>
        <w:ind w:left="800" w:hanging="400"/>
      </w:pPr>
      <w:hyperlink w:anchor="_Toc24648" w:history="1">
        <w:r>
          <w:t xml:space="preserve">Tabelul 139 : </w:t>
        </w:r>
        <w:r>
          <w:rPr>
            <w:rFonts w:eastAsia="Calibri"/>
            <w:bCs/>
            <w:shd w:val="clear" w:color="auto" w:fill="FFFFFF"/>
          </w:rPr>
          <w:t xml:space="preserve">Materiale și elemente de construcție incombustibile (la construcții existente) </w:t>
        </w:r>
        <w:r>
          <w:tab/>
        </w:r>
        <w:r>
          <w:fldChar w:fldCharType="begin"/>
        </w:r>
        <w:r>
          <w:instrText xml:space="preserve"> PAGEREF _Toc24648 \h </w:instrText>
        </w:r>
        <w:r>
          <w:fldChar w:fldCharType="separate"/>
        </w:r>
        <w:r>
          <w:t>569</w:t>
        </w:r>
        <w:r>
          <w:fldChar w:fldCharType="end"/>
        </w:r>
      </w:hyperlink>
    </w:p>
    <w:p w14:paraId="74D1531B" w14:textId="77777777" w:rsidR="001C08A5" w:rsidRDefault="00000000">
      <w:pPr>
        <w:pStyle w:val="TableofFigures"/>
        <w:tabs>
          <w:tab w:val="right" w:leader="dot" w:pos="0"/>
        </w:tabs>
        <w:ind w:left="800" w:hanging="400"/>
      </w:pPr>
      <w:hyperlink w:anchor="_Toc14407" w:history="1">
        <w:r>
          <w:t xml:space="preserve">Tabelul 140 : </w:t>
        </w:r>
        <w:r>
          <w:rPr>
            <w:rFonts w:eastAsia="Calibri"/>
            <w:bCs/>
            <w:shd w:val="clear" w:color="auto" w:fill="FFFFFF"/>
          </w:rPr>
          <w:t>Materiale și elemente de construcție combustibile (la construcții existente)</w:t>
        </w:r>
        <w:r>
          <w:tab/>
        </w:r>
        <w:r>
          <w:fldChar w:fldCharType="begin"/>
        </w:r>
        <w:r>
          <w:instrText xml:space="preserve"> PAGEREF _Toc14407 \h </w:instrText>
        </w:r>
        <w:r>
          <w:fldChar w:fldCharType="separate"/>
        </w:r>
        <w:r>
          <w:t>569</w:t>
        </w:r>
        <w:r>
          <w:fldChar w:fldCharType="end"/>
        </w:r>
      </w:hyperlink>
    </w:p>
    <w:p w14:paraId="1D6E2B39" w14:textId="77777777" w:rsidR="001C08A5" w:rsidRDefault="00000000">
      <w:pPr>
        <w:pStyle w:val="TableofFigures"/>
        <w:tabs>
          <w:tab w:val="right" w:leader="dot" w:pos="0"/>
        </w:tabs>
        <w:ind w:left="800" w:hanging="400"/>
      </w:pPr>
      <w:hyperlink w:anchor="_Toc3147" w:history="1">
        <w:r>
          <w:t xml:space="preserve">Tabelul 141 : </w:t>
        </w:r>
        <w:r>
          <w:rPr>
            <w:rFonts w:eastAsia="Calibri"/>
            <w:bCs/>
          </w:rPr>
          <w:t>C</w:t>
        </w:r>
        <w:r>
          <w:rPr>
            <w:rFonts w:eastAsia="Calibri"/>
            <w:bCs/>
            <w:lang w:val="pt-BR"/>
          </w:rPr>
          <w:t>lase de performan</w:t>
        </w:r>
        <w:r>
          <w:rPr>
            <w:rFonts w:eastAsia="Calibri"/>
            <w:bCs/>
          </w:rPr>
          <w:t>ță</w:t>
        </w:r>
        <w:r>
          <w:rPr>
            <w:rFonts w:eastAsia="Calibri"/>
            <w:bCs/>
            <w:lang w:val="pt-BR"/>
          </w:rPr>
          <w:t xml:space="preserve"> privind reac</w:t>
        </w:r>
        <w:r>
          <w:rPr>
            <w:rFonts w:eastAsia="Calibri"/>
            <w:bCs/>
          </w:rPr>
          <w:t>ț</w:t>
        </w:r>
        <w:r>
          <w:rPr>
            <w:rFonts w:eastAsia="Calibri"/>
            <w:bCs/>
            <w:lang w:val="pt-BR"/>
          </w:rPr>
          <w:t>ia la foc a produselor pentru</w:t>
        </w:r>
        <w:r>
          <w:rPr>
            <w:rFonts w:eastAsia="Calibri"/>
            <w:bCs/>
          </w:rPr>
          <w:t xml:space="preserve"> </w:t>
        </w:r>
        <w:r>
          <w:rPr>
            <w:rFonts w:eastAsia="Calibri"/>
            <w:bCs/>
            <w:lang w:val="pt-BR"/>
          </w:rPr>
          <w:t>construcţii, cu excepţia pardoselilor şi a produselor termoizolante pentru tubulatura liniara (*)</w:t>
        </w:r>
        <w:r>
          <w:rPr>
            <w:rFonts w:eastAsia="Calibri"/>
            <w:bCs/>
          </w:rPr>
          <w:t xml:space="preserve"> </w:t>
        </w:r>
        <w:r>
          <w:rPr>
            <w:rFonts w:eastAsia="Calibri"/>
            <w:bCs/>
            <w:shd w:val="clear" w:color="auto" w:fill="FFFFFF"/>
          </w:rPr>
          <w:t>la construcții noi și existente</w:t>
        </w:r>
        <w:r>
          <w:tab/>
        </w:r>
        <w:r>
          <w:fldChar w:fldCharType="begin"/>
        </w:r>
        <w:r>
          <w:instrText xml:space="preserve"> PAGEREF _Toc3147 \h </w:instrText>
        </w:r>
        <w:r>
          <w:fldChar w:fldCharType="separate"/>
        </w:r>
        <w:r>
          <w:t>570</w:t>
        </w:r>
        <w:r>
          <w:fldChar w:fldCharType="end"/>
        </w:r>
      </w:hyperlink>
    </w:p>
    <w:p w14:paraId="267CD94A" w14:textId="77777777" w:rsidR="001C08A5" w:rsidRDefault="00000000">
      <w:pPr>
        <w:pStyle w:val="TableofFigures"/>
        <w:tabs>
          <w:tab w:val="right" w:leader="dot" w:pos="0"/>
        </w:tabs>
        <w:ind w:left="800" w:hanging="400"/>
      </w:pPr>
      <w:hyperlink w:anchor="_Toc23378" w:history="1">
        <w:r>
          <w:t xml:space="preserve">Tabelul 142 : </w:t>
        </w:r>
        <w:r>
          <w:rPr>
            <w:rFonts w:eastAsia="Calibri"/>
            <w:bCs/>
            <w:shd w:val="clear" w:color="auto" w:fill="FFFFFF"/>
          </w:rPr>
          <w:t>Clase de performanță privind reacția la foc a pardoselilor pentru construcţii</w:t>
        </w:r>
        <w:r>
          <w:tab/>
        </w:r>
        <w:r>
          <w:fldChar w:fldCharType="begin"/>
        </w:r>
        <w:r>
          <w:instrText xml:space="preserve"> PAGEREF _Toc23378 \h </w:instrText>
        </w:r>
        <w:r>
          <w:fldChar w:fldCharType="separate"/>
        </w:r>
        <w:r>
          <w:t>571</w:t>
        </w:r>
        <w:r>
          <w:fldChar w:fldCharType="end"/>
        </w:r>
      </w:hyperlink>
    </w:p>
    <w:p w14:paraId="1EA8AC79" w14:textId="77777777" w:rsidR="001C08A5" w:rsidRDefault="00000000">
      <w:pPr>
        <w:pStyle w:val="TableofFigures"/>
        <w:tabs>
          <w:tab w:val="right" w:leader="dot" w:pos="0"/>
        </w:tabs>
        <w:ind w:left="800" w:hanging="400"/>
      </w:pPr>
      <w:hyperlink w:anchor="_Toc12373" w:history="1">
        <w:r>
          <w:t>Tabelul 143 : Caracteristici ale substanţelor şi materialelor ce determină încadrarea în riscuri de incendiu a spaţiilor, încăperilor, compartimentelor de incendiu şi construcţiilor de producţie şi/sau depozitare existente</w:t>
        </w:r>
        <w:r>
          <w:tab/>
        </w:r>
        <w:r>
          <w:fldChar w:fldCharType="begin"/>
        </w:r>
        <w:r>
          <w:instrText xml:space="preserve"> PAGEREF _Toc12373 \h </w:instrText>
        </w:r>
        <w:r>
          <w:fldChar w:fldCharType="separate"/>
        </w:r>
        <w:r>
          <w:t>574</w:t>
        </w:r>
        <w:r>
          <w:fldChar w:fldCharType="end"/>
        </w:r>
      </w:hyperlink>
    </w:p>
    <w:p w14:paraId="47ED6776" w14:textId="77777777" w:rsidR="001C08A5" w:rsidRDefault="00000000">
      <w:pPr>
        <w:pStyle w:val="TableofFigures"/>
        <w:tabs>
          <w:tab w:val="right" w:leader="dot" w:pos="0"/>
        </w:tabs>
        <w:ind w:left="800" w:hanging="400"/>
      </w:pPr>
      <w:hyperlink w:anchor="_Toc16349" w:history="1">
        <w:r>
          <w:t xml:space="preserve">Tabelul 144 : </w:t>
        </w:r>
        <w:r>
          <w:rPr>
            <w:rFonts w:eastAsia="Calibri"/>
            <w:bCs/>
            <w:shd w:val="clear" w:color="auto" w:fill="FFFFFF"/>
          </w:rPr>
          <w:t>Condiții minime pentru încadrarea construcțiilor existente în nivel de stabilitate la incendiu</w:t>
        </w:r>
        <w:r>
          <w:tab/>
        </w:r>
        <w:r>
          <w:fldChar w:fldCharType="begin"/>
        </w:r>
        <w:r>
          <w:instrText xml:space="preserve"> PAGEREF _Toc16349 \h </w:instrText>
        </w:r>
        <w:r>
          <w:fldChar w:fldCharType="separate"/>
        </w:r>
        <w:r>
          <w:t>576</w:t>
        </w:r>
        <w:r>
          <w:fldChar w:fldCharType="end"/>
        </w:r>
      </w:hyperlink>
    </w:p>
    <w:p w14:paraId="79A6FAF9" w14:textId="77777777" w:rsidR="001C08A5" w:rsidRDefault="00000000">
      <w:pPr>
        <w:pStyle w:val="TableofFigures"/>
        <w:tabs>
          <w:tab w:val="right" w:leader="dot" w:pos="0"/>
        </w:tabs>
        <w:ind w:left="800" w:hanging="400"/>
      </w:pPr>
      <w:hyperlink w:anchor="_Toc19240" w:history="1">
        <w:r>
          <w:t xml:space="preserve">Tabelul 145 : </w:t>
        </w:r>
        <w:r>
          <w:rPr>
            <w:rFonts w:eastAsia="Calibri"/>
            <w:shd w:val="clear" w:color="auto" w:fill="FFFFFF"/>
          </w:rPr>
          <w:t>Distanțe de siguranță la construcții existente</w:t>
        </w:r>
        <w:r>
          <w:tab/>
        </w:r>
        <w:r>
          <w:fldChar w:fldCharType="begin"/>
        </w:r>
        <w:r>
          <w:instrText xml:space="preserve"> PAGEREF _Toc19240 \h </w:instrText>
        </w:r>
        <w:r>
          <w:fldChar w:fldCharType="separate"/>
        </w:r>
        <w:r>
          <w:t>581</w:t>
        </w:r>
        <w:r>
          <w:fldChar w:fldCharType="end"/>
        </w:r>
      </w:hyperlink>
    </w:p>
    <w:p w14:paraId="15F70BE2" w14:textId="77777777" w:rsidR="001C08A5" w:rsidRDefault="00000000">
      <w:pPr>
        <w:pStyle w:val="TableofFigures"/>
        <w:tabs>
          <w:tab w:val="right" w:leader="dot" w:pos="0"/>
        </w:tabs>
        <w:ind w:left="800" w:hanging="400"/>
      </w:pPr>
      <w:hyperlink w:anchor="_Toc12868" w:history="1">
        <w:r>
          <w:t xml:space="preserve">Tabelul 146 : </w:t>
        </w:r>
        <w:r>
          <w:rPr>
            <w:rFonts w:eastAsia="Calibri"/>
            <w:bCs/>
            <w:shd w:val="clear" w:color="auto" w:fill="FFFFFF"/>
          </w:rPr>
          <w:t>Rezistența la foc a pereților la construcțiile existente</w:t>
        </w:r>
        <w:r>
          <w:tab/>
        </w:r>
        <w:r>
          <w:fldChar w:fldCharType="begin"/>
        </w:r>
        <w:r>
          <w:instrText xml:space="preserve"> PAGEREF _Toc12868 \h </w:instrText>
        </w:r>
        <w:r>
          <w:fldChar w:fldCharType="separate"/>
        </w:r>
        <w:r>
          <w:t>582</w:t>
        </w:r>
        <w:r>
          <w:fldChar w:fldCharType="end"/>
        </w:r>
      </w:hyperlink>
    </w:p>
    <w:p w14:paraId="418FA675" w14:textId="77777777" w:rsidR="001C08A5" w:rsidRDefault="00000000">
      <w:pPr>
        <w:pStyle w:val="TableofFigures"/>
        <w:tabs>
          <w:tab w:val="right" w:leader="dot" w:pos="0"/>
        </w:tabs>
        <w:ind w:left="800" w:hanging="400"/>
      </w:pPr>
      <w:hyperlink w:anchor="_Toc30473" w:history="1">
        <w:r>
          <w:t>Tabelul 147 : Arii construite admise pentru compartimente de incendiu ale clădirilor civile existente (publice) supraterane</w:t>
        </w:r>
        <w:r>
          <w:tab/>
        </w:r>
        <w:r>
          <w:fldChar w:fldCharType="begin"/>
        </w:r>
        <w:r>
          <w:instrText xml:space="preserve"> PAGEREF _Toc30473 \h </w:instrText>
        </w:r>
        <w:r>
          <w:fldChar w:fldCharType="separate"/>
        </w:r>
        <w:r>
          <w:t>607</w:t>
        </w:r>
        <w:r>
          <w:fldChar w:fldCharType="end"/>
        </w:r>
      </w:hyperlink>
    </w:p>
    <w:p w14:paraId="3EF1A9AD" w14:textId="77777777" w:rsidR="001C08A5" w:rsidRDefault="00000000">
      <w:pPr>
        <w:pStyle w:val="TableofFigures"/>
        <w:tabs>
          <w:tab w:val="right" w:leader="dot" w:pos="0"/>
        </w:tabs>
        <w:ind w:left="800" w:hanging="400"/>
      </w:pPr>
      <w:hyperlink w:anchor="_Toc17244" w:history="1">
        <w:r>
          <w:t>Tabelul 148  - Număr de niveluri supraterane maxim admis și capacitatea clădirilor civile existente cu nivelul de stabilitate la incendiu III, IV și V</w:t>
        </w:r>
        <w:r>
          <w:tab/>
        </w:r>
        <w:r>
          <w:fldChar w:fldCharType="begin"/>
        </w:r>
        <w:r>
          <w:instrText xml:space="preserve"> PAGEREF _Toc17244 \h </w:instrText>
        </w:r>
        <w:r>
          <w:fldChar w:fldCharType="separate"/>
        </w:r>
        <w:r>
          <w:t>607</w:t>
        </w:r>
        <w:r>
          <w:fldChar w:fldCharType="end"/>
        </w:r>
      </w:hyperlink>
    </w:p>
    <w:p w14:paraId="58071D26" w14:textId="77777777" w:rsidR="001C08A5" w:rsidRDefault="00000000">
      <w:pPr>
        <w:pStyle w:val="TableofFigures"/>
        <w:tabs>
          <w:tab w:val="right" w:leader="dot" w:pos="0"/>
        </w:tabs>
        <w:ind w:left="800" w:hanging="400"/>
      </w:pPr>
      <w:hyperlink w:anchor="_Toc6440" w:history="1">
        <w:r>
          <w:t xml:space="preserve">Tabelul 149 : </w:t>
        </w:r>
        <w:r>
          <w:rPr>
            <w:rFonts w:eastAsia="Calibri"/>
            <w:shd w:val="clear" w:color="auto" w:fill="FFFFFF"/>
          </w:rPr>
          <w:t>Condiții minime pentru pereți și planșee la construcții existente</w:t>
        </w:r>
        <w:r>
          <w:tab/>
        </w:r>
        <w:r>
          <w:fldChar w:fldCharType="begin"/>
        </w:r>
        <w:r>
          <w:instrText xml:space="preserve"> PAGEREF _Toc6440 \h </w:instrText>
        </w:r>
        <w:r>
          <w:fldChar w:fldCharType="separate"/>
        </w:r>
        <w:r>
          <w:t>609</w:t>
        </w:r>
        <w:r>
          <w:fldChar w:fldCharType="end"/>
        </w:r>
      </w:hyperlink>
    </w:p>
    <w:p w14:paraId="23F629B3" w14:textId="77777777" w:rsidR="001C08A5" w:rsidRDefault="00000000">
      <w:pPr>
        <w:pStyle w:val="TableofFigures"/>
        <w:tabs>
          <w:tab w:val="right" w:leader="dot" w:pos="0"/>
        </w:tabs>
        <w:ind w:left="800" w:hanging="400"/>
      </w:pPr>
      <w:hyperlink w:anchor="_Toc29078" w:history="1">
        <w:r>
          <w:t xml:space="preserve">Tabelul 150 : </w:t>
        </w:r>
        <w:r>
          <w:rPr>
            <w:rFonts w:eastAsia="Calibri"/>
            <w:shd w:val="clear" w:color="auto" w:fill="FFFFFF"/>
          </w:rPr>
          <w:t>Capacități de evacuare la construcții existente</w:t>
        </w:r>
        <w:r>
          <w:tab/>
        </w:r>
        <w:r>
          <w:fldChar w:fldCharType="begin"/>
        </w:r>
        <w:r>
          <w:instrText xml:space="preserve"> PAGEREF _Toc29078 \h </w:instrText>
        </w:r>
        <w:r>
          <w:fldChar w:fldCharType="separate"/>
        </w:r>
        <w:r>
          <w:t>610</w:t>
        </w:r>
        <w:r>
          <w:fldChar w:fldCharType="end"/>
        </w:r>
      </w:hyperlink>
    </w:p>
    <w:p w14:paraId="35AA8B46" w14:textId="77777777" w:rsidR="001C08A5" w:rsidRDefault="00000000">
      <w:pPr>
        <w:pStyle w:val="TableofFigures"/>
        <w:tabs>
          <w:tab w:val="right" w:leader="dot" w:pos="0"/>
        </w:tabs>
        <w:ind w:left="800" w:hanging="400"/>
      </w:pPr>
      <w:hyperlink w:anchor="_Toc22429" w:history="1">
        <w:r>
          <w:t xml:space="preserve">Tabelul 151 : </w:t>
        </w:r>
        <w:r>
          <w:rPr>
            <w:rFonts w:eastAsia="Calibri"/>
            <w:bCs/>
            <w:shd w:val="clear" w:color="auto" w:fill="FFFFFF"/>
          </w:rPr>
          <w:t>Condiții pentru elementele de construcție (la clădiri existente)</w:t>
        </w:r>
        <w:r>
          <w:tab/>
        </w:r>
        <w:r>
          <w:fldChar w:fldCharType="begin"/>
        </w:r>
        <w:r>
          <w:instrText xml:space="preserve"> PAGEREF _Toc22429 \h </w:instrText>
        </w:r>
        <w:r>
          <w:fldChar w:fldCharType="separate"/>
        </w:r>
        <w:r>
          <w:t>613</w:t>
        </w:r>
        <w:r>
          <w:fldChar w:fldCharType="end"/>
        </w:r>
      </w:hyperlink>
    </w:p>
    <w:p w14:paraId="6AADCEB3" w14:textId="77777777" w:rsidR="001C08A5" w:rsidRDefault="00000000">
      <w:pPr>
        <w:pStyle w:val="TableofFigures"/>
        <w:tabs>
          <w:tab w:val="right" w:leader="dot" w:pos="0"/>
        </w:tabs>
        <w:ind w:left="800" w:hanging="400"/>
      </w:pPr>
      <w:hyperlink w:anchor="_Toc22221" w:history="1">
        <w:r>
          <w:t xml:space="preserve">Tabelul 152 : </w:t>
        </w:r>
        <w:r>
          <w:rPr>
            <w:rFonts w:eastAsia="Calibri"/>
            <w:bCs/>
            <w:shd w:val="clear" w:color="auto" w:fill="FFFFFF"/>
          </w:rPr>
          <w:t>Pereți și uși de separare a căilor comune de circulație și de evacuare la clădiri existente de locuit</w:t>
        </w:r>
        <w:r>
          <w:tab/>
        </w:r>
        <w:r>
          <w:fldChar w:fldCharType="begin"/>
        </w:r>
        <w:r>
          <w:instrText xml:space="preserve"> PAGEREF _Toc22221 \h </w:instrText>
        </w:r>
        <w:r>
          <w:fldChar w:fldCharType="separate"/>
        </w:r>
        <w:r>
          <w:t>614</w:t>
        </w:r>
        <w:r>
          <w:fldChar w:fldCharType="end"/>
        </w:r>
      </w:hyperlink>
    </w:p>
    <w:p w14:paraId="28DF93CD" w14:textId="77777777" w:rsidR="001C08A5" w:rsidRDefault="00000000">
      <w:pPr>
        <w:pStyle w:val="TableofFigures"/>
        <w:tabs>
          <w:tab w:val="right" w:leader="dot" w:pos="0"/>
        </w:tabs>
        <w:ind w:left="800" w:hanging="400"/>
      </w:pPr>
      <w:hyperlink w:anchor="_Toc32030" w:history="1">
        <w:r>
          <w:t xml:space="preserve">Tabelul 153 : </w:t>
        </w:r>
        <w:r>
          <w:rPr>
            <w:rFonts w:eastAsia="Calibri"/>
            <w:shd w:val="clear" w:color="auto" w:fill="FFFFFF"/>
          </w:rPr>
          <w:t>Pereți și uși de separare a căilor comune de circulație și de evacuare la clădiri existente cu funcțiune administrativă</w:t>
        </w:r>
        <w:r>
          <w:tab/>
        </w:r>
        <w:r>
          <w:fldChar w:fldCharType="begin"/>
        </w:r>
        <w:r>
          <w:instrText xml:space="preserve"> PAGEREF _Toc32030 \h </w:instrText>
        </w:r>
        <w:r>
          <w:fldChar w:fldCharType="separate"/>
        </w:r>
        <w:r>
          <w:t>616</w:t>
        </w:r>
        <w:r>
          <w:fldChar w:fldCharType="end"/>
        </w:r>
      </w:hyperlink>
    </w:p>
    <w:p w14:paraId="2435F318" w14:textId="77777777" w:rsidR="001C08A5" w:rsidRDefault="00000000">
      <w:pPr>
        <w:pStyle w:val="TableofFigures"/>
        <w:tabs>
          <w:tab w:val="right" w:leader="dot" w:pos="0"/>
        </w:tabs>
        <w:ind w:left="800" w:hanging="400"/>
      </w:pPr>
      <w:hyperlink w:anchor="_Toc32236" w:history="1">
        <w:r>
          <w:t xml:space="preserve">Tabelul 154 : </w:t>
        </w:r>
        <w:r>
          <w:rPr>
            <w:rFonts w:eastAsia="Calibri"/>
            <w:bCs/>
            <w:shd w:val="clear" w:color="auto" w:fill="FFFFFF"/>
          </w:rPr>
          <w:t>Separare a căilor comune de circulație și de evacuare la construcții existente de comerț</w:t>
        </w:r>
        <w:r>
          <w:tab/>
        </w:r>
        <w:r>
          <w:fldChar w:fldCharType="begin"/>
        </w:r>
        <w:r>
          <w:instrText xml:space="preserve"> PAGEREF _Toc32236 \h </w:instrText>
        </w:r>
        <w:r>
          <w:fldChar w:fldCharType="separate"/>
        </w:r>
        <w:r>
          <w:t>617</w:t>
        </w:r>
        <w:r>
          <w:fldChar w:fldCharType="end"/>
        </w:r>
      </w:hyperlink>
    </w:p>
    <w:p w14:paraId="44BBAE78" w14:textId="77777777" w:rsidR="001C08A5" w:rsidRDefault="00000000">
      <w:pPr>
        <w:pStyle w:val="TableofFigures"/>
        <w:tabs>
          <w:tab w:val="right" w:leader="dot" w:pos="0"/>
        </w:tabs>
        <w:ind w:left="800" w:hanging="400"/>
      </w:pPr>
      <w:hyperlink w:anchor="_Toc27248" w:history="1">
        <w:r>
          <w:t xml:space="preserve">Tabelul 155 : </w:t>
        </w:r>
        <w:r>
          <w:rPr>
            <w:rFonts w:eastAsia="Calibri"/>
            <w:shd w:val="clear" w:color="auto" w:fill="FFFFFF"/>
          </w:rPr>
          <w:t>Separare a căilor comune de circulație și de evacuare la clădiri existente de sănătate</w:t>
        </w:r>
        <w:r>
          <w:tab/>
        </w:r>
        <w:r>
          <w:fldChar w:fldCharType="begin"/>
        </w:r>
        <w:r>
          <w:instrText xml:space="preserve"> PAGEREF _Toc27248 \h </w:instrText>
        </w:r>
        <w:r>
          <w:fldChar w:fldCharType="separate"/>
        </w:r>
        <w:r>
          <w:t>619</w:t>
        </w:r>
        <w:r>
          <w:fldChar w:fldCharType="end"/>
        </w:r>
      </w:hyperlink>
    </w:p>
    <w:p w14:paraId="6F2107C2" w14:textId="77777777" w:rsidR="001C08A5" w:rsidRDefault="00000000">
      <w:pPr>
        <w:pStyle w:val="TableofFigures"/>
        <w:tabs>
          <w:tab w:val="right" w:leader="dot" w:pos="0"/>
        </w:tabs>
        <w:ind w:left="800" w:hanging="400"/>
      </w:pPr>
      <w:hyperlink w:anchor="_Toc11937" w:history="1">
        <w:r>
          <w:t xml:space="preserve">Tabelul 156 : </w:t>
        </w:r>
        <w:r>
          <w:rPr>
            <w:rFonts w:eastAsia="Calibri"/>
            <w:bCs/>
            <w:shd w:val="clear" w:color="auto" w:fill="FFFFFF"/>
          </w:rPr>
          <w:t xml:space="preserve">Separare a căilor comune de circulație și de evacuare la clădiri existente pentru cultură </w:t>
        </w:r>
        <w:r>
          <w:tab/>
        </w:r>
        <w:r>
          <w:fldChar w:fldCharType="begin"/>
        </w:r>
        <w:r>
          <w:instrText xml:space="preserve"> PAGEREF _Toc11937 \h </w:instrText>
        </w:r>
        <w:r>
          <w:fldChar w:fldCharType="separate"/>
        </w:r>
        <w:r>
          <w:t>621</w:t>
        </w:r>
        <w:r>
          <w:fldChar w:fldCharType="end"/>
        </w:r>
      </w:hyperlink>
    </w:p>
    <w:p w14:paraId="61339955" w14:textId="77777777" w:rsidR="001C08A5" w:rsidRDefault="00000000">
      <w:pPr>
        <w:pStyle w:val="TableofFigures"/>
        <w:tabs>
          <w:tab w:val="right" w:leader="dot" w:pos="0"/>
        </w:tabs>
        <w:ind w:left="800" w:hanging="400"/>
      </w:pPr>
      <w:hyperlink w:anchor="_Toc25066" w:history="1">
        <w:r>
          <w:t xml:space="preserve">Tabelul 157 : </w:t>
        </w:r>
        <w:r>
          <w:rPr>
            <w:rFonts w:eastAsia="Calibri"/>
            <w:bCs/>
            <w:shd w:val="clear" w:color="auto" w:fill="FFFFFF"/>
          </w:rPr>
          <w:t xml:space="preserve">Separare a căilor comune de circulație și de evacuare la clădiri existente de învățământ </w:t>
        </w:r>
        <w:r>
          <w:tab/>
        </w:r>
        <w:r>
          <w:fldChar w:fldCharType="begin"/>
        </w:r>
        <w:r>
          <w:instrText xml:space="preserve"> PAGEREF _Toc25066 \h </w:instrText>
        </w:r>
        <w:r>
          <w:fldChar w:fldCharType="separate"/>
        </w:r>
        <w:r>
          <w:t>624</w:t>
        </w:r>
        <w:r>
          <w:fldChar w:fldCharType="end"/>
        </w:r>
      </w:hyperlink>
    </w:p>
    <w:p w14:paraId="138E3576" w14:textId="77777777" w:rsidR="001C08A5" w:rsidRDefault="00000000">
      <w:pPr>
        <w:pStyle w:val="TableofFigures"/>
        <w:tabs>
          <w:tab w:val="right" w:leader="dot" w:pos="0"/>
        </w:tabs>
        <w:ind w:left="800" w:hanging="400"/>
      </w:pPr>
      <w:hyperlink w:anchor="_Toc19789" w:history="1">
        <w:r>
          <w:t xml:space="preserve">Tabelul 158 : </w:t>
        </w:r>
        <w:r>
          <w:rPr>
            <w:rFonts w:eastAsia="Calibri"/>
            <w:shd w:val="clear" w:color="auto" w:fill="FFFFFF"/>
          </w:rPr>
          <w:t xml:space="preserve">Separare a căilor comune de circulație și de evacuare la clădiri existente pentru turism </w:t>
        </w:r>
        <w:r>
          <w:tab/>
        </w:r>
        <w:r>
          <w:fldChar w:fldCharType="begin"/>
        </w:r>
        <w:r>
          <w:instrText xml:space="preserve"> PAGEREF _Toc19789 \h </w:instrText>
        </w:r>
        <w:r>
          <w:fldChar w:fldCharType="separate"/>
        </w:r>
        <w:r>
          <w:t>626</w:t>
        </w:r>
        <w:r>
          <w:fldChar w:fldCharType="end"/>
        </w:r>
      </w:hyperlink>
    </w:p>
    <w:p w14:paraId="51A5B2B4" w14:textId="77777777" w:rsidR="001C08A5" w:rsidRDefault="00000000">
      <w:pPr>
        <w:pStyle w:val="TableofFigures"/>
        <w:tabs>
          <w:tab w:val="right" w:leader="dot" w:pos="0"/>
        </w:tabs>
        <w:ind w:left="800" w:hanging="400"/>
      </w:pPr>
      <w:hyperlink w:anchor="_Toc22667" w:history="1">
        <w:r>
          <w:t xml:space="preserve">Tabelul 159 : </w:t>
        </w:r>
        <w:r>
          <w:rPr>
            <w:rFonts w:eastAsia="Calibri"/>
            <w:shd w:val="clear" w:color="auto" w:fill="FFFFFF"/>
          </w:rPr>
          <w:t>Pereți de separare a căilor comune de circulație și de evacuare la clădiri existente înalte și foarte înalte</w:t>
        </w:r>
        <w:r>
          <w:tab/>
        </w:r>
        <w:r>
          <w:fldChar w:fldCharType="begin"/>
        </w:r>
        <w:r>
          <w:instrText xml:space="preserve"> PAGEREF _Toc22667 \h </w:instrText>
        </w:r>
        <w:r>
          <w:fldChar w:fldCharType="separate"/>
        </w:r>
        <w:r>
          <w:t>632</w:t>
        </w:r>
        <w:r>
          <w:fldChar w:fldCharType="end"/>
        </w:r>
      </w:hyperlink>
    </w:p>
    <w:p w14:paraId="5CC57E21" w14:textId="77777777" w:rsidR="001C08A5" w:rsidRDefault="00000000">
      <w:pPr>
        <w:pStyle w:val="TableofFigures"/>
        <w:tabs>
          <w:tab w:val="right" w:leader="dot" w:pos="0"/>
        </w:tabs>
        <w:ind w:left="800" w:hanging="400"/>
      </w:pPr>
      <w:hyperlink w:anchor="_Toc19447" w:history="1">
        <w:r>
          <w:t xml:space="preserve">Tabelul 160 : </w:t>
        </w:r>
        <w:r>
          <w:rPr>
            <w:rFonts w:eastAsia="Calibri"/>
            <w:shd w:val="clear" w:color="auto" w:fill="FFFFFF"/>
          </w:rPr>
          <w:t>Lungimi de evacuare la clădiri existente înalte și foarte înalte</w:t>
        </w:r>
        <w:r>
          <w:tab/>
        </w:r>
        <w:r>
          <w:fldChar w:fldCharType="begin"/>
        </w:r>
        <w:r>
          <w:instrText xml:space="preserve"> PAGEREF _Toc19447 \h </w:instrText>
        </w:r>
        <w:r>
          <w:fldChar w:fldCharType="separate"/>
        </w:r>
        <w:r>
          <w:t>634</w:t>
        </w:r>
        <w:r>
          <w:fldChar w:fldCharType="end"/>
        </w:r>
      </w:hyperlink>
    </w:p>
    <w:p w14:paraId="1F84908E" w14:textId="77777777" w:rsidR="001C08A5" w:rsidRDefault="00000000">
      <w:pPr>
        <w:pStyle w:val="TableofFigures"/>
        <w:tabs>
          <w:tab w:val="right" w:leader="dot" w:pos="0"/>
        </w:tabs>
        <w:ind w:left="800" w:hanging="400"/>
      </w:pPr>
      <w:hyperlink w:anchor="_Toc29090" w:history="1">
        <w:r>
          <w:t>Tabelul 161 : Categorii de săli aglomerate la clădiri existente</w:t>
        </w:r>
        <w:r>
          <w:tab/>
        </w:r>
        <w:r>
          <w:fldChar w:fldCharType="begin"/>
        </w:r>
        <w:r>
          <w:instrText xml:space="preserve"> PAGEREF _Toc29090 \h </w:instrText>
        </w:r>
        <w:r>
          <w:fldChar w:fldCharType="separate"/>
        </w:r>
        <w:r>
          <w:t>635</w:t>
        </w:r>
        <w:r>
          <w:fldChar w:fldCharType="end"/>
        </w:r>
      </w:hyperlink>
    </w:p>
    <w:p w14:paraId="3BAA65E3" w14:textId="77777777" w:rsidR="001C08A5" w:rsidRDefault="00000000">
      <w:pPr>
        <w:pStyle w:val="TableofFigures"/>
        <w:tabs>
          <w:tab w:val="right" w:leader="dot" w:pos="0"/>
        </w:tabs>
        <w:ind w:left="800" w:hanging="400"/>
      </w:pPr>
      <w:hyperlink w:anchor="_Toc6225" w:history="1">
        <w:r>
          <w:t>Tabelul 162 : Corelația admisă între amplasarea și categoria sălilor, numărul de locuri și nivelul de stabilitate la incendiu al clădirilor existente cu săli aglomerate</w:t>
        </w:r>
        <w:r>
          <w:tab/>
        </w:r>
        <w:r>
          <w:fldChar w:fldCharType="begin"/>
        </w:r>
        <w:r>
          <w:instrText xml:space="preserve"> PAGEREF _Toc6225 \h </w:instrText>
        </w:r>
        <w:r>
          <w:fldChar w:fldCharType="separate"/>
        </w:r>
        <w:r>
          <w:t>635</w:t>
        </w:r>
        <w:r>
          <w:fldChar w:fldCharType="end"/>
        </w:r>
      </w:hyperlink>
    </w:p>
    <w:p w14:paraId="13138830" w14:textId="77777777" w:rsidR="001C08A5" w:rsidRDefault="00000000">
      <w:pPr>
        <w:pStyle w:val="TableofFigures"/>
        <w:tabs>
          <w:tab w:val="right" w:leader="dot" w:pos="0"/>
        </w:tabs>
        <w:ind w:left="800" w:hanging="400"/>
      </w:pPr>
      <w:hyperlink w:anchor="_Toc13080" w:history="1">
        <w:r>
          <w:t xml:space="preserve">Tabelul 163 : </w:t>
        </w:r>
        <w:r>
          <w:rPr>
            <w:bCs/>
          </w:rPr>
          <w:t>Numărul de niveluri supraterane admis în clădiri cu săli aglomerate (porțiunea în care publicul are acces)</w:t>
        </w:r>
        <w:r>
          <w:tab/>
        </w:r>
        <w:r>
          <w:fldChar w:fldCharType="begin"/>
        </w:r>
        <w:r>
          <w:instrText xml:space="preserve"> PAGEREF _Toc13080 \h </w:instrText>
        </w:r>
        <w:r>
          <w:fldChar w:fldCharType="separate"/>
        </w:r>
        <w:r>
          <w:t>636</w:t>
        </w:r>
        <w:r>
          <w:fldChar w:fldCharType="end"/>
        </w:r>
      </w:hyperlink>
    </w:p>
    <w:p w14:paraId="6F5C614B" w14:textId="77777777" w:rsidR="001C08A5" w:rsidRDefault="00000000">
      <w:pPr>
        <w:pStyle w:val="TableofFigures"/>
        <w:tabs>
          <w:tab w:val="right" w:leader="dot" w:pos="0"/>
        </w:tabs>
        <w:ind w:left="800" w:hanging="400"/>
      </w:pPr>
      <w:hyperlink w:anchor="_Toc32359" w:history="1">
        <w:r>
          <w:t xml:space="preserve">Tabelul 164 : </w:t>
        </w:r>
        <w:r>
          <w:rPr>
            <w:rFonts w:eastAsia="Calibri"/>
            <w:shd w:val="clear" w:color="auto" w:fill="FFFFFF"/>
          </w:rPr>
          <w:t>Elemente de separare la săli aglomerate în clădiri existente</w:t>
        </w:r>
        <w:r>
          <w:tab/>
        </w:r>
        <w:r>
          <w:fldChar w:fldCharType="begin"/>
        </w:r>
        <w:r>
          <w:instrText xml:space="preserve"> PAGEREF _Toc32359 \h </w:instrText>
        </w:r>
        <w:r>
          <w:fldChar w:fldCharType="separate"/>
        </w:r>
        <w:r>
          <w:t>636</w:t>
        </w:r>
        <w:r>
          <w:fldChar w:fldCharType="end"/>
        </w:r>
      </w:hyperlink>
    </w:p>
    <w:p w14:paraId="460D5B81" w14:textId="77777777" w:rsidR="001C08A5" w:rsidRDefault="00000000">
      <w:pPr>
        <w:pStyle w:val="TableofFigures"/>
        <w:tabs>
          <w:tab w:val="right" w:leader="dot" w:pos="0"/>
        </w:tabs>
        <w:ind w:left="800" w:hanging="400"/>
      </w:pPr>
      <w:hyperlink w:anchor="_Toc4320" w:history="1">
        <w:r>
          <w:t>Tabelul 165 : Capacitatea de evacuare</w:t>
        </w:r>
        <w:r>
          <w:rPr>
            <w:rFonts w:eastAsia="Calibri"/>
            <w:bCs/>
          </w:rPr>
          <w:t xml:space="preserve"> la săli aglomerate în clădiri existente</w:t>
        </w:r>
        <w:r>
          <w:tab/>
        </w:r>
        <w:r>
          <w:fldChar w:fldCharType="begin"/>
        </w:r>
        <w:r>
          <w:instrText xml:space="preserve"> PAGEREF _Toc4320 \h </w:instrText>
        </w:r>
        <w:r>
          <w:fldChar w:fldCharType="separate"/>
        </w:r>
        <w:r>
          <w:t>638</w:t>
        </w:r>
        <w:r>
          <w:fldChar w:fldCharType="end"/>
        </w:r>
      </w:hyperlink>
    </w:p>
    <w:p w14:paraId="097C3504" w14:textId="77777777" w:rsidR="001C08A5" w:rsidRDefault="00000000">
      <w:pPr>
        <w:pStyle w:val="TableofFigures"/>
        <w:tabs>
          <w:tab w:val="right" w:leader="dot" w:pos="0"/>
        </w:tabs>
        <w:ind w:left="800" w:hanging="400"/>
      </w:pPr>
      <w:hyperlink w:anchor="_Toc21790" w:history="1">
        <w:r>
          <w:t xml:space="preserve">Tabelul 166 : </w:t>
        </w:r>
        <w:r>
          <w:rPr>
            <w:rFonts w:eastAsia="Calibri"/>
            <w:bCs/>
            <w:shd w:val="clear" w:color="auto" w:fill="FFFFFF"/>
          </w:rPr>
          <w:t>Lungimi de evacuare la săli aglomerate în clădiri existente</w:t>
        </w:r>
        <w:r>
          <w:tab/>
        </w:r>
        <w:r>
          <w:fldChar w:fldCharType="begin"/>
        </w:r>
        <w:r>
          <w:instrText xml:space="preserve"> PAGEREF _Toc21790 \h </w:instrText>
        </w:r>
        <w:r>
          <w:fldChar w:fldCharType="separate"/>
        </w:r>
        <w:r>
          <w:t>639</w:t>
        </w:r>
        <w:r>
          <w:fldChar w:fldCharType="end"/>
        </w:r>
      </w:hyperlink>
    </w:p>
    <w:p w14:paraId="7D0A8310" w14:textId="77777777" w:rsidR="001C08A5" w:rsidRDefault="00000000">
      <w:pPr>
        <w:pStyle w:val="TableofFigures"/>
        <w:tabs>
          <w:tab w:val="right" w:leader="dot" w:pos="0"/>
        </w:tabs>
        <w:ind w:left="800" w:hanging="400"/>
      </w:pPr>
      <w:hyperlink w:anchor="_Toc23664" w:history="1">
        <w:r>
          <w:t xml:space="preserve">Tabelul 167 : </w:t>
        </w:r>
        <w:r>
          <w:rPr>
            <w:rFonts w:eastAsia="Calibri"/>
            <w:bCs/>
            <w:shd w:val="clear" w:color="auto" w:fill="FFFFFF"/>
          </w:rPr>
          <w:t>Numărul de locuri dintr-un rând de scaune la săli aglomerate în clădiri existente</w:t>
        </w:r>
        <w:r>
          <w:tab/>
        </w:r>
        <w:r>
          <w:fldChar w:fldCharType="begin"/>
        </w:r>
        <w:r>
          <w:instrText xml:space="preserve"> PAGEREF _Toc23664 \h </w:instrText>
        </w:r>
        <w:r>
          <w:fldChar w:fldCharType="separate"/>
        </w:r>
        <w:r>
          <w:t>640</w:t>
        </w:r>
        <w:r>
          <w:fldChar w:fldCharType="end"/>
        </w:r>
      </w:hyperlink>
    </w:p>
    <w:p w14:paraId="1752E7E3" w14:textId="77777777" w:rsidR="001C08A5" w:rsidRDefault="00000000">
      <w:pPr>
        <w:pStyle w:val="TableofFigures"/>
        <w:tabs>
          <w:tab w:val="right" w:leader="dot" w:pos="0"/>
        </w:tabs>
        <w:ind w:left="800" w:hanging="400"/>
      </w:pPr>
      <w:hyperlink w:anchor="_Toc19549" w:history="1">
        <w:r>
          <w:t xml:space="preserve">Tabelul 168 : </w:t>
        </w:r>
        <w:r>
          <w:rPr>
            <w:rFonts w:eastAsia="Calibri"/>
            <w:bCs/>
            <w:shd w:val="clear" w:color="auto" w:fill="FFFFFF"/>
          </w:rPr>
          <w:t>Arii construite și număr de niveluri admise pentru construcții existente și compartimente de incendiu ale construcțiilor existente de producție și/sau depozitare</w:t>
        </w:r>
        <w:r>
          <w:tab/>
        </w:r>
        <w:r>
          <w:fldChar w:fldCharType="begin"/>
        </w:r>
        <w:r>
          <w:instrText xml:space="preserve"> PAGEREF _Toc19549 \h </w:instrText>
        </w:r>
        <w:r>
          <w:fldChar w:fldCharType="separate"/>
        </w:r>
        <w:r>
          <w:t>645</w:t>
        </w:r>
        <w:r>
          <w:fldChar w:fldCharType="end"/>
        </w:r>
      </w:hyperlink>
    </w:p>
    <w:p w14:paraId="6296B8AB" w14:textId="77777777" w:rsidR="001C08A5" w:rsidRDefault="00000000">
      <w:pPr>
        <w:pStyle w:val="TableofFigures"/>
        <w:tabs>
          <w:tab w:val="right" w:leader="dot" w:pos="0"/>
        </w:tabs>
        <w:ind w:left="800" w:hanging="400"/>
      </w:pPr>
      <w:hyperlink w:anchor="_Toc5494" w:history="1">
        <w:r>
          <w:t xml:space="preserve">Tabelul 169 : Capacități de evacuare </w:t>
        </w:r>
        <w:r>
          <w:rPr>
            <w:rFonts w:eastAsia="Calibri"/>
            <w:bCs/>
            <w:shd w:val="clear" w:color="auto" w:fill="FFFFFF"/>
          </w:rPr>
          <w:t>pentru construcții existente și compartimente de incendiu ale construcțiilor existente de producție și/sau depozitare</w:t>
        </w:r>
        <w:r>
          <w:tab/>
        </w:r>
        <w:r>
          <w:fldChar w:fldCharType="begin"/>
        </w:r>
        <w:r>
          <w:instrText xml:space="preserve"> PAGEREF _Toc5494 \h </w:instrText>
        </w:r>
        <w:r>
          <w:fldChar w:fldCharType="separate"/>
        </w:r>
        <w:r>
          <w:t>651</w:t>
        </w:r>
        <w:r>
          <w:fldChar w:fldCharType="end"/>
        </w:r>
      </w:hyperlink>
    </w:p>
    <w:p w14:paraId="4B3763B8" w14:textId="77777777" w:rsidR="001C08A5" w:rsidRDefault="00000000">
      <w:pPr>
        <w:pStyle w:val="TableofFigures"/>
        <w:tabs>
          <w:tab w:val="right" w:leader="dot" w:pos="0"/>
        </w:tabs>
        <w:ind w:left="800" w:hanging="400"/>
      </w:pPr>
      <w:hyperlink w:anchor="_Toc6773" w:history="1">
        <w:r>
          <w:t>Tabelul 170 : Lungimi de evacuare pentru construcții existente și compartimente de incendiu ale construcțiilor existente de producție și/sau depozitare</w:t>
        </w:r>
        <w:r>
          <w:tab/>
        </w:r>
        <w:r>
          <w:fldChar w:fldCharType="begin"/>
        </w:r>
        <w:r>
          <w:instrText xml:space="preserve"> PAGEREF _Toc6773 \h </w:instrText>
        </w:r>
        <w:r>
          <w:fldChar w:fldCharType="separate"/>
        </w:r>
        <w:r>
          <w:t>651</w:t>
        </w:r>
        <w:r>
          <w:fldChar w:fldCharType="end"/>
        </w:r>
      </w:hyperlink>
    </w:p>
    <w:p w14:paraId="26F95D64" w14:textId="77777777" w:rsidR="001C08A5" w:rsidRDefault="00000000">
      <w:pPr>
        <w:pStyle w:val="TableofFigures"/>
        <w:tabs>
          <w:tab w:val="right" w:leader="dot" w:pos="0"/>
        </w:tabs>
        <w:ind w:left="800" w:hanging="400"/>
      </w:pPr>
      <w:hyperlink w:anchor="_Toc30953" w:history="1">
        <w:r>
          <w:t>Tabelul 171 : Clasificarea materialelor și substanțelor depozitate (după clasa de periculozitate) pentru construcții existente, compartimente de incendiu ale construcțiilor existente și încăperi existente de depozitare a materialelor și substanțelor</w:t>
        </w:r>
        <w:r>
          <w:tab/>
        </w:r>
        <w:r>
          <w:fldChar w:fldCharType="begin"/>
        </w:r>
        <w:r>
          <w:instrText xml:space="preserve"> PAGEREF _Toc30953 \h </w:instrText>
        </w:r>
        <w:r>
          <w:fldChar w:fldCharType="separate"/>
        </w:r>
        <w:r>
          <w:t>659</w:t>
        </w:r>
        <w:r>
          <w:fldChar w:fldCharType="end"/>
        </w:r>
      </w:hyperlink>
    </w:p>
    <w:p w14:paraId="47808D1C" w14:textId="77777777" w:rsidR="001C08A5" w:rsidRDefault="00000000">
      <w:pPr>
        <w:pStyle w:val="TableofFigures"/>
        <w:tabs>
          <w:tab w:val="right" w:leader="dot" w:pos="0"/>
        </w:tabs>
        <w:ind w:left="800" w:hanging="400"/>
      </w:pPr>
      <w:hyperlink w:anchor="_Toc3236" w:history="1">
        <w:r>
          <w:t>Tabelul 172 : Clase de reacție la foc a lichidelor combustibile pentru construcții existente și compartimente de incendiu ale construcțiilor existente de producție și/sau depozitare</w:t>
        </w:r>
        <w:r>
          <w:tab/>
        </w:r>
        <w:r>
          <w:fldChar w:fldCharType="begin"/>
        </w:r>
        <w:r>
          <w:instrText xml:space="preserve"> PAGEREF _Toc3236 \h </w:instrText>
        </w:r>
        <w:r>
          <w:fldChar w:fldCharType="separate"/>
        </w:r>
        <w:r>
          <w:t>662</w:t>
        </w:r>
        <w:r>
          <w:fldChar w:fldCharType="end"/>
        </w:r>
      </w:hyperlink>
    </w:p>
    <w:p w14:paraId="29B24576" w14:textId="77777777" w:rsidR="001C08A5" w:rsidRDefault="00000000">
      <w:pPr>
        <w:pStyle w:val="TableofFigures"/>
        <w:tabs>
          <w:tab w:val="right" w:leader="dot" w:pos="0"/>
        </w:tabs>
        <w:ind w:left="800" w:hanging="400"/>
      </w:pPr>
      <w:hyperlink w:anchor="_Toc28761" w:history="1">
        <w:r>
          <w:t>Tabelul 173 : Categorii de depozite de lichide combustibile pentru construcții existente , compartimente de incendiu ale construcțiilor existente și încăperi existente de depozitare a a lichidelor combustibile stocate</w:t>
        </w:r>
        <w:r>
          <w:tab/>
        </w:r>
        <w:r>
          <w:fldChar w:fldCharType="begin"/>
        </w:r>
        <w:r>
          <w:instrText xml:space="preserve"> PAGEREF _Toc28761 \h </w:instrText>
        </w:r>
        <w:r>
          <w:fldChar w:fldCharType="separate"/>
        </w:r>
        <w:r>
          <w:t>662</w:t>
        </w:r>
        <w:r>
          <w:fldChar w:fldCharType="end"/>
        </w:r>
      </w:hyperlink>
    </w:p>
    <w:p w14:paraId="371F94FD" w14:textId="77777777" w:rsidR="001C08A5" w:rsidRDefault="00000000">
      <w:pPr>
        <w:pStyle w:val="TableofFigures"/>
        <w:tabs>
          <w:tab w:val="right" w:leader="dot" w:pos="0"/>
        </w:tabs>
        <w:ind w:left="800" w:hanging="400"/>
      </w:pPr>
      <w:hyperlink w:anchor="_Toc20968" w:history="1">
        <w:r>
          <w:t>Tabelul 174 : Sisteme alcătuite din dispozitive de evacuare a fumului și a gazelor fierbinți și ecrane verticale la construcții existente</w:t>
        </w:r>
        <w:r>
          <w:tab/>
        </w:r>
        <w:r>
          <w:fldChar w:fldCharType="begin"/>
        </w:r>
        <w:r>
          <w:instrText xml:space="preserve"> PAGEREF _Toc20968 \h </w:instrText>
        </w:r>
        <w:r>
          <w:fldChar w:fldCharType="separate"/>
        </w:r>
        <w:r>
          <w:t>684</w:t>
        </w:r>
        <w:r>
          <w:fldChar w:fldCharType="end"/>
        </w:r>
      </w:hyperlink>
    </w:p>
    <w:p w14:paraId="51A36E93" w14:textId="77777777" w:rsidR="001C08A5" w:rsidRDefault="00000000">
      <w:pPr>
        <w:pStyle w:val="ListParagraph"/>
        <w:ind w:left="0"/>
        <w:jc w:val="both"/>
        <w:rPr>
          <w:bCs/>
          <w:i/>
          <w:iCs/>
          <w:szCs w:val="20"/>
        </w:rPr>
      </w:pPr>
      <w:r>
        <w:rPr>
          <w:bCs/>
          <w:i/>
          <w:iCs/>
          <w:szCs w:val="20"/>
        </w:rPr>
        <w:fldChar w:fldCharType="end"/>
      </w:r>
    </w:p>
    <w:p w14:paraId="05D5CDE1" w14:textId="77777777" w:rsidR="001C08A5" w:rsidRDefault="00000000">
      <w:pPr>
        <w:pStyle w:val="Heading5"/>
        <w:rPr>
          <w:sz w:val="24"/>
          <w:szCs w:val="24"/>
          <w:lang w:val="ro-RO"/>
        </w:rPr>
      </w:pPr>
      <w:bookmarkStart w:id="11751" w:name="_Toc21236"/>
      <w:bookmarkStart w:id="11752" w:name="_Toc162355678"/>
      <w:bookmarkStart w:id="11753" w:name="_Toc29070"/>
      <w:bookmarkStart w:id="11754" w:name="_Toc10325"/>
      <w:bookmarkStart w:id="11755" w:name="_Toc24085"/>
      <w:bookmarkStart w:id="11756" w:name="_Toc18719"/>
      <w:r>
        <w:rPr>
          <w:sz w:val="24"/>
          <w:szCs w:val="24"/>
          <w:lang w:val="ro-RO"/>
        </w:rPr>
        <w:t>Listă figuri:</w:t>
      </w:r>
      <w:bookmarkEnd w:id="11751"/>
      <w:bookmarkEnd w:id="11752"/>
      <w:bookmarkEnd w:id="11753"/>
      <w:bookmarkEnd w:id="11754"/>
      <w:bookmarkEnd w:id="11755"/>
      <w:bookmarkEnd w:id="11756"/>
    </w:p>
    <w:p w14:paraId="7647E75C" w14:textId="77777777" w:rsidR="001C08A5" w:rsidRDefault="00000000">
      <w:pPr>
        <w:pStyle w:val="TableofFigures"/>
        <w:tabs>
          <w:tab w:val="right" w:leader="dot" w:pos="9639"/>
        </w:tabs>
        <w:ind w:left="800" w:hanging="400"/>
      </w:pPr>
      <w:r>
        <w:rPr>
          <w:i/>
          <w:iCs/>
        </w:rPr>
        <w:fldChar w:fldCharType="begin"/>
      </w:r>
      <w:r>
        <w:rPr>
          <w:i/>
          <w:iCs/>
        </w:rPr>
        <w:instrText>TOC \h \c "Figura"</w:instrText>
      </w:r>
      <w:r>
        <w:rPr>
          <w:i/>
          <w:iCs/>
        </w:rPr>
        <w:fldChar w:fldCharType="separate"/>
      </w:r>
      <w:hyperlink w:anchor="_Toc4354" w:history="1">
        <w:r>
          <w:rPr>
            <w:bCs/>
            <w:i/>
            <w:iCs/>
            <w:szCs w:val="24"/>
          </w:rPr>
          <w:t xml:space="preserve">Figura </w:t>
        </w:r>
        <w:r>
          <w:t xml:space="preserve">1 </w:t>
        </w:r>
        <w:r>
          <w:rPr>
            <w:bCs/>
            <w:i/>
            <w:iCs/>
            <w:szCs w:val="24"/>
          </w:rPr>
          <w:t xml:space="preserve"> - Tipuri de acoperișuri în pantă</w:t>
        </w:r>
        <w:r>
          <w:tab/>
        </w:r>
        <w:r>
          <w:fldChar w:fldCharType="begin"/>
        </w:r>
        <w:r>
          <w:instrText xml:space="preserve"> PAGEREF _Toc4354 \h </w:instrText>
        </w:r>
        <w:r>
          <w:fldChar w:fldCharType="separate"/>
        </w:r>
        <w:r>
          <w:t>17</w:t>
        </w:r>
        <w:r>
          <w:fldChar w:fldCharType="end"/>
        </w:r>
      </w:hyperlink>
    </w:p>
    <w:p w14:paraId="3F839E39" w14:textId="77777777" w:rsidR="001C08A5" w:rsidRDefault="00000000">
      <w:pPr>
        <w:pStyle w:val="TableofFigures"/>
        <w:tabs>
          <w:tab w:val="right" w:leader="dot" w:pos="9639"/>
        </w:tabs>
        <w:ind w:left="800" w:hanging="400"/>
      </w:pPr>
      <w:hyperlink w:anchor="_Toc25644" w:history="1">
        <w:r>
          <w:t>Figura 2  - Tipuri de atriumuri</w:t>
        </w:r>
        <w:r>
          <w:tab/>
        </w:r>
        <w:r>
          <w:fldChar w:fldCharType="begin"/>
        </w:r>
        <w:r>
          <w:instrText xml:space="preserve"> PAGEREF _Toc25644 \h </w:instrText>
        </w:r>
        <w:r>
          <w:fldChar w:fldCharType="separate"/>
        </w:r>
        <w:r>
          <w:t>20</w:t>
        </w:r>
        <w:r>
          <w:fldChar w:fldCharType="end"/>
        </w:r>
      </w:hyperlink>
    </w:p>
    <w:p w14:paraId="3759B677" w14:textId="77777777" w:rsidR="001C08A5" w:rsidRDefault="00000000">
      <w:pPr>
        <w:pStyle w:val="TableofFigures"/>
        <w:tabs>
          <w:tab w:val="right" w:leader="dot" w:pos="9639"/>
        </w:tabs>
        <w:ind w:left="800" w:hanging="400"/>
      </w:pPr>
      <w:hyperlink w:anchor="_Toc12338" w:history="1">
        <w:r>
          <w:t>Figura 3  - Atrium interconectat în subteran</w:t>
        </w:r>
        <w:r>
          <w:tab/>
        </w:r>
        <w:r>
          <w:fldChar w:fldCharType="begin"/>
        </w:r>
        <w:r>
          <w:instrText xml:space="preserve"> PAGEREF _Toc12338 \h </w:instrText>
        </w:r>
        <w:r>
          <w:fldChar w:fldCharType="separate"/>
        </w:r>
        <w:r>
          <w:t>20</w:t>
        </w:r>
        <w:r>
          <w:fldChar w:fldCharType="end"/>
        </w:r>
      </w:hyperlink>
    </w:p>
    <w:p w14:paraId="07B9D132" w14:textId="77777777" w:rsidR="001C08A5" w:rsidRDefault="00000000">
      <w:pPr>
        <w:pStyle w:val="TableofFigures"/>
        <w:tabs>
          <w:tab w:val="right" w:leader="dot" w:pos="9639"/>
        </w:tabs>
        <w:ind w:left="800" w:hanging="400"/>
      </w:pPr>
      <w:hyperlink w:anchor="_Toc27393" w:history="1">
        <w:r>
          <w:t xml:space="preserve">Figura 4  - </w:t>
        </w:r>
        <w:r>
          <w:rPr>
            <w:bCs/>
          </w:rPr>
          <w:t xml:space="preserve">Circulații de evacuare </w:t>
        </w:r>
        <w:r>
          <w:tab/>
        </w:r>
        <w:r>
          <w:fldChar w:fldCharType="begin"/>
        </w:r>
        <w:r>
          <w:instrText xml:space="preserve"> PAGEREF _Toc27393 \h </w:instrText>
        </w:r>
        <w:r>
          <w:fldChar w:fldCharType="separate"/>
        </w:r>
        <w:r>
          <w:t>21</w:t>
        </w:r>
        <w:r>
          <w:fldChar w:fldCharType="end"/>
        </w:r>
      </w:hyperlink>
    </w:p>
    <w:p w14:paraId="7E9B1618" w14:textId="77777777" w:rsidR="001C08A5" w:rsidRDefault="00000000">
      <w:pPr>
        <w:pStyle w:val="TableofFigures"/>
        <w:tabs>
          <w:tab w:val="right" w:leader="dot" w:pos="9639"/>
        </w:tabs>
        <w:ind w:left="800" w:hanging="400"/>
      </w:pPr>
      <w:hyperlink w:anchor="_Toc4900" w:history="1">
        <w:r>
          <w:t>Figura 5  - Locuinte de tip duplex sau triplex la clădiri cu înălțime obișnuită</w:t>
        </w:r>
        <w:r>
          <w:tab/>
        </w:r>
        <w:r>
          <w:fldChar w:fldCharType="begin"/>
        </w:r>
        <w:r>
          <w:instrText xml:space="preserve"> PAGEREF _Toc4900 \h </w:instrText>
        </w:r>
        <w:r>
          <w:fldChar w:fldCharType="separate"/>
        </w:r>
        <w:r>
          <w:t>24</w:t>
        </w:r>
        <w:r>
          <w:fldChar w:fldCharType="end"/>
        </w:r>
      </w:hyperlink>
    </w:p>
    <w:p w14:paraId="1EAB99FF" w14:textId="77777777" w:rsidR="001C08A5" w:rsidRDefault="00000000">
      <w:pPr>
        <w:pStyle w:val="TableofFigures"/>
        <w:tabs>
          <w:tab w:val="right" w:leader="dot" w:pos="9639"/>
        </w:tabs>
        <w:ind w:left="800" w:hanging="400"/>
      </w:pPr>
      <w:hyperlink w:anchor="_Toc23617" w:history="1">
        <w:r>
          <w:t xml:space="preserve">Figura 6  - </w:t>
        </w:r>
        <w:r>
          <w:rPr>
            <w:rFonts w:eastAsia="Times New Roman"/>
          </w:rPr>
          <w:t xml:space="preserve">Compartimentare antifoc la partea supraterană și subterană la clădirile și compartimentele de incendiu civile cu înălțime obișnuită (nivel II de stabilitate la incendiu) </w:t>
        </w:r>
        <w:r>
          <w:tab/>
        </w:r>
        <w:r>
          <w:fldChar w:fldCharType="begin"/>
        </w:r>
        <w:r>
          <w:instrText xml:space="preserve"> PAGEREF _Toc23617 \h </w:instrText>
        </w:r>
        <w:r>
          <w:fldChar w:fldCharType="separate"/>
        </w:r>
        <w:r>
          <w:t>27</w:t>
        </w:r>
        <w:r>
          <w:fldChar w:fldCharType="end"/>
        </w:r>
      </w:hyperlink>
    </w:p>
    <w:p w14:paraId="383F881B" w14:textId="77777777" w:rsidR="001C08A5" w:rsidRDefault="00000000">
      <w:pPr>
        <w:pStyle w:val="TableofFigures"/>
        <w:tabs>
          <w:tab w:val="right" w:leader="dot" w:pos="9639"/>
        </w:tabs>
        <w:ind w:left="800" w:hanging="400"/>
      </w:pPr>
      <w:hyperlink w:anchor="_Toc5024" w:history="1">
        <w:r>
          <w:t>Figura 7  - Compartimentare antifoc și arii compartimente de incendiu la clădirile şi compartimentele de incendiu supraterane civile cu înălțime obișnuită</w:t>
        </w:r>
        <w:r>
          <w:tab/>
        </w:r>
        <w:r>
          <w:fldChar w:fldCharType="begin"/>
        </w:r>
        <w:r>
          <w:instrText xml:space="preserve"> PAGEREF _Toc5024 \h </w:instrText>
        </w:r>
        <w:r>
          <w:fldChar w:fldCharType="separate"/>
        </w:r>
        <w:r>
          <w:t>29</w:t>
        </w:r>
        <w:r>
          <w:fldChar w:fldCharType="end"/>
        </w:r>
      </w:hyperlink>
    </w:p>
    <w:p w14:paraId="78553DAF" w14:textId="77777777" w:rsidR="001C08A5" w:rsidRDefault="00000000">
      <w:pPr>
        <w:pStyle w:val="TableofFigures"/>
        <w:tabs>
          <w:tab w:val="right" w:leader="dot" w:pos="9639"/>
        </w:tabs>
        <w:ind w:left="800" w:hanging="400"/>
      </w:pPr>
      <w:hyperlink w:anchor="_Toc20700" w:history="1">
        <w:r>
          <w:t xml:space="preserve">Figura 8  - </w:t>
        </w:r>
        <w:r>
          <w:rPr>
            <w:bCs/>
          </w:rPr>
          <w:t>Compartimentare antifoc și arii compartimente de incendiu la clădirile şi compartimentele de incendiu supraterane civile înalte</w:t>
        </w:r>
        <w:r>
          <w:tab/>
        </w:r>
        <w:r>
          <w:fldChar w:fldCharType="begin"/>
        </w:r>
        <w:r>
          <w:instrText xml:space="preserve"> PAGEREF _Toc20700 \h </w:instrText>
        </w:r>
        <w:r>
          <w:fldChar w:fldCharType="separate"/>
        </w:r>
        <w:r>
          <w:t>31</w:t>
        </w:r>
        <w:r>
          <w:fldChar w:fldCharType="end"/>
        </w:r>
      </w:hyperlink>
    </w:p>
    <w:p w14:paraId="792C6685" w14:textId="77777777" w:rsidR="001C08A5" w:rsidRDefault="00000000">
      <w:pPr>
        <w:pStyle w:val="TableofFigures"/>
        <w:tabs>
          <w:tab w:val="right" w:leader="dot" w:pos="9639"/>
        </w:tabs>
        <w:ind w:left="800" w:hanging="400"/>
      </w:pPr>
      <w:hyperlink w:anchor="_Toc12043" w:history="1">
        <w:r>
          <w:t xml:space="preserve">Figura 9  - </w:t>
        </w:r>
        <w:r>
          <w:rPr>
            <w:bCs/>
          </w:rPr>
          <w:t>Compartimentare antifoc și arii compartimente de incendiu la clădirile şi compartimentele de incendiu supraterane civile foarte înalte</w:t>
        </w:r>
        <w:r>
          <w:tab/>
        </w:r>
        <w:r>
          <w:fldChar w:fldCharType="begin"/>
        </w:r>
        <w:r>
          <w:instrText xml:space="preserve"> PAGEREF _Toc12043 \h </w:instrText>
        </w:r>
        <w:r>
          <w:fldChar w:fldCharType="separate"/>
        </w:r>
        <w:r>
          <w:t>34</w:t>
        </w:r>
        <w:r>
          <w:fldChar w:fldCharType="end"/>
        </w:r>
      </w:hyperlink>
    </w:p>
    <w:p w14:paraId="3765F793" w14:textId="77777777" w:rsidR="001C08A5" w:rsidRDefault="00000000">
      <w:pPr>
        <w:pStyle w:val="TableofFigures"/>
        <w:tabs>
          <w:tab w:val="right" w:leader="dot" w:pos="9639"/>
        </w:tabs>
        <w:ind w:left="800" w:hanging="400"/>
      </w:pPr>
      <w:hyperlink w:anchor="_Toc19247" w:history="1">
        <w:r>
          <w:t xml:space="preserve">Figura 10  – Stadion acoperit - construcție deschisă </w:t>
        </w:r>
        <w:r>
          <w:tab/>
        </w:r>
        <w:r>
          <w:fldChar w:fldCharType="begin"/>
        </w:r>
        <w:r>
          <w:instrText xml:space="preserve"> PAGEREF _Toc19247 \h </w:instrText>
        </w:r>
        <w:r>
          <w:fldChar w:fldCharType="separate"/>
        </w:r>
        <w:r>
          <w:t>34</w:t>
        </w:r>
        <w:r>
          <w:fldChar w:fldCharType="end"/>
        </w:r>
      </w:hyperlink>
    </w:p>
    <w:p w14:paraId="5DD79499" w14:textId="77777777" w:rsidR="001C08A5" w:rsidRDefault="00000000">
      <w:pPr>
        <w:pStyle w:val="TableofFigures"/>
        <w:tabs>
          <w:tab w:val="right" w:leader="dot" w:pos="9639"/>
        </w:tabs>
        <w:ind w:left="800" w:hanging="400"/>
      </w:pPr>
      <w:hyperlink w:anchor="_Toc26768" w:history="1">
        <w:r>
          <w:t>Figura 11  - Determinare demisol / subsol</w:t>
        </w:r>
        <w:r>
          <w:tab/>
        </w:r>
        <w:r>
          <w:fldChar w:fldCharType="begin"/>
        </w:r>
        <w:r>
          <w:instrText xml:space="preserve"> PAGEREF _Toc26768 \h </w:instrText>
        </w:r>
        <w:r>
          <w:fldChar w:fldCharType="separate"/>
        </w:r>
        <w:r>
          <w:t>40</w:t>
        </w:r>
        <w:r>
          <w:fldChar w:fldCharType="end"/>
        </w:r>
      </w:hyperlink>
    </w:p>
    <w:p w14:paraId="326C9563" w14:textId="77777777" w:rsidR="001C08A5" w:rsidRDefault="00000000">
      <w:pPr>
        <w:pStyle w:val="TableofFigures"/>
        <w:tabs>
          <w:tab w:val="right" w:leader="dot" w:pos="9639"/>
        </w:tabs>
        <w:ind w:left="800" w:hanging="400"/>
      </w:pPr>
      <w:hyperlink w:anchor="_Toc2018" w:history="1">
        <w:r>
          <w:t>Figura 12  - Dispozitive (guri) pentru evacuarea fumului în caz de incendiu</w:t>
        </w:r>
        <w:r>
          <w:tab/>
        </w:r>
        <w:r>
          <w:fldChar w:fldCharType="begin"/>
        </w:r>
        <w:r>
          <w:instrText xml:space="preserve"> PAGEREF _Toc2018 \h </w:instrText>
        </w:r>
        <w:r>
          <w:fldChar w:fldCharType="separate"/>
        </w:r>
        <w:r>
          <w:t>40</w:t>
        </w:r>
        <w:r>
          <w:fldChar w:fldCharType="end"/>
        </w:r>
      </w:hyperlink>
    </w:p>
    <w:p w14:paraId="0AABCEB6" w14:textId="77777777" w:rsidR="001C08A5" w:rsidRDefault="00000000">
      <w:pPr>
        <w:pStyle w:val="TableofFigures"/>
        <w:tabs>
          <w:tab w:val="right" w:leader="dot" w:pos="9639"/>
        </w:tabs>
        <w:ind w:left="800" w:hanging="400"/>
      </w:pPr>
      <w:hyperlink w:anchor="_Toc31813" w:history="1">
        <w:r>
          <w:t>Figura 13  - Dispozitiv (gură) pentru pentru admisia aerului în caz de incendiu și pentru pentru evacuarea fumului în caz de incendiu</w:t>
        </w:r>
        <w:r>
          <w:tab/>
        </w:r>
        <w:r>
          <w:fldChar w:fldCharType="begin"/>
        </w:r>
        <w:r>
          <w:instrText xml:space="preserve"> PAGEREF _Toc31813 \h </w:instrText>
        </w:r>
        <w:r>
          <w:fldChar w:fldCharType="separate"/>
        </w:r>
        <w:r>
          <w:t>40</w:t>
        </w:r>
        <w:r>
          <w:fldChar w:fldCharType="end"/>
        </w:r>
      </w:hyperlink>
    </w:p>
    <w:p w14:paraId="7C25C420" w14:textId="77777777" w:rsidR="001C08A5" w:rsidRDefault="00000000">
      <w:pPr>
        <w:pStyle w:val="TableofFigures"/>
        <w:tabs>
          <w:tab w:val="right" w:leader="dot" w:pos="9639"/>
        </w:tabs>
        <w:ind w:left="800" w:hanging="400"/>
      </w:pPr>
      <w:hyperlink w:anchor="_Toc1067" w:history="1">
        <w:r>
          <w:t xml:space="preserve">Figura 14  - </w:t>
        </w:r>
        <w:r>
          <w:rPr>
            <w:bCs/>
            <w:lang w:eastAsia="ro-RO"/>
          </w:rPr>
          <w:t>Refugiu sigur (reprezentat printr-un p</w:t>
        </w:r>
        <w:r>
          <w:rPr>
            <w:lang w:eastAsia="ro-RO"/>
          </w:rPr>
          <w:t>unct de staționare a persoanelor cu dizabilitati</w:t>
        </w:r>
        <w:r>
          <w:rPr>
            <w:bCs/>
            <w:lang w:eastAsia="ro-RO"/>
          </w:rPr>
          <w:t>, fiind o zonă de securitate relativă de amplasare temporară a acestora)</w:t>
        </w:r>
        <w:r>
          <w:tab/>
        </w:r>
        <w:r>
          <w:fldChar w:fldCharType="begin"/>
        </w:r>
        <w:r>
          <w:instrText xml:space="preserve"> PAGEREF _Toc1067 \h </w:instrText>
        </w:r>
        <w:r>
          <w:fldChar w:fldCharType="separate"/>
        </w:r>
        <w:r>
          <w:t>42</w:t>
        </w:r>
        <w:r>
          <w:fldChar w:fldCharType="end"/>
        </w:r>
      </w:hyperlink>
    </w:p>
    <w:p w14:paraId="4FE1FFAD" w14:textId="77777777" w:rsidR="001C08A5" w:rsidRDefault="00000000">
      <w:pPr>
        <w:pStyle w:val="TableofFigures"/>
        <w:tabs>
          <w:tab w:val="right" w:leader="dot" w:pos="9639"/>
        </w:tabs>
        <w:ind w:left="800" w:hanging="400"/>
      </w:pPr>
      <w:hyperlink w:anchor="_Toc30858" w:history="1">
        <w:r>
          <w:t xml:space="preserve">Figura 15  - </w:t>
        </w:r>
        <w:r>
          <w:rPr>
            <w:bCs/>
            <w:lang w:eastAsia="ro-RO"/>
          </w:rPr>
          <w:t>Lungimi de evacuare</w:t>
        </w:r>
        <w:r>
          <w:tab/>
        </w:r>
        <w:r>
          <w:fldChar w:fldCharType="begin"/>
        </w:r>
        <w:r>
          <w:instrText xml:space="preserve"> PAGEREF _Toc30858 \h </w:instrText>
        </w:r>
        <w:r>
          <w:fldChar w:fldCharType="separate"/>
        </w:r>
        <w:r>
          <w:t>46</w:t>
        </w:r>
        <w:r>
          <w:fldChar w:fldCharType="end"/>
        </w:r>
      </w:hyperlink>
    </w:p>
    <w:p w14:paraId="2C1A7A06" w14:textId="77777777" w:rsidR="001C08A5" w:rsidRDefault="00000000">
      <w:pPr>
        <w:pStyle w:val="TableofFigures"/>
        <w:tabs>
          <w:tab w:val="right" w:leader="dot" w:pos="9639"/>
        </w:tabs>
        <w:ind w:left="800" w:hanging="400"/>
      </w:pPr>
      <w:hyperlink w:anchor="_Toc3555" w:history="1">
        <w:r>
          <w:t xml:space="preserve">Figura 16  - Faţade duble (cu două foi de sticlă / „double skin”) </w:t>
        </w:r>
        <w:r>
          <w:rPr>
            <w:lang w:eastAsia="ro-RO"/>
          </w:rPr>
          <w:t>- tipuri</w:t>
        </w:r>
        <w:r>
          <w:tab/>
        </w:r>
        <w:r>
          <w:fldChar w:fldCharType="begin"/>
        </w:r>
        <w:r>
          <w:instrText xml:space="preserve"> PAGEREF _Toc3555 \h </w:instrText>
        </w:r>
        <w:r>
          <w:fldChar w:fldCharType="separate"/>
        </w:r>
        <w:r>
          <w:t>47</w:t>
        </w:r>
        <w:r>
          <w:fldChar w:fldCharType="end"/>
        </w:r>
      </w:hyperlink>
    </w:p>
    <w:p w14:paraId="0EC7FA6B" w14:textId="77777777" w:rsidR="001C08A5" w:rsidRDefault="00000000">
      <w:pPr>
        <w:pStyle w:val="TableofFigures"/>
        <w:tabs>
          <w:tab w:val="right" w:leader="dot" w:pos="9639"/>
        </w:tabs>
        <w:ind w:left="800" w:hanging="400"/>
      </w:pPr>
      <w:hyperlink w:anchor="_Toc601" w:history="1">
        <w:r>
          <w:t xml:space="preserve">Figura 17  - Încăpere tampon </w:t>
        </w:r>
        <w:r>
          <w:rPr>
            <w:bCs/>
          </w:rPr>
          <w:t>protejată</w:t>
        </w:r>
        <w:r>
          <w:tab/>
        </w:r>
        <w:r>
          <w:fldChar w:fldCharType="begin"/>
        </w:r>
        <w:r>
          <w:instrText xml:space="preserve"> PAGEREF _Toc601 \h </w:instrText>
        </w:r>
        <w:r>
          <w:fldChar w:fldCharType="separate"/>
        </w:r>
        <w:r>
          <w:t>49</w:t>
        </w:r>
        <w:r>
          <w:fldChar w:fldCharType="end"/>
        </w:r>
      </w:hyperlink>
    </w:p>
    <w:p w14:paraId="28DEA43A" w14:textId="77777777" w:rsidR="001C08A5" w:rsidRDefault="00000000">
      <w:pPr>
        <w:pStyle w:val="TableofFigures"/>
        <w:tabs>
          <w:tab w:val="right" w:leader="dot" w:pos="9639"/>
        </w:tabs>
        <w:ind w:left="800" w:hanging="400"/>
      </w:pPr>
      <w:hyperlink w:anchor="_Toc11129" w:history="1">
        <w:r>
          <w:t xml:space="preserve">Figura 18  - </w:t>
        </w:r>
        <w:r>
          <w:rPr>
            <w:bCs/>
          </w:rPr>
          <w:t>Nivel de referinţă</w:t>
        </w:r>
        <w:r>
          <w:tab/>
        </w:r>
        <w:r>
          <w:fldChar w:fldCharType="begin"/>
        </w:r>
        <w:r>
          <w:instrText xml:space="preserve"> PAGEREF _Toc11129 \h </w:instrText>
        </w:r>
        <w:r>
          <w:fldChar w:fldCharType="separate"/>
        </w:r>
        <w:r>
          <w:t>52</w:t>
        </w:r>
        <w:r>
          <w:fldChar w:fldCharType="end"/>
        </w:r>
      </w:hyperlink>
    </w:p>
    <w:p w14:paraId="004F183F" w14:textId="77777777" w:rsidR="001C08A5" w:rsidRDefault="00000000">
      <w:pPr>
        <w:pStyle w:val="TableofFigures"/>
        <w:tabs>
          <w:tab w:val="right" w:leader="dot" w:pos="9639"/>
        </w:tabs>
        <w:ind w:left="800" w:hanging="400"/>
      </w:pPr>
      <w:hyperlink w:anchor="_Toc16931" w:history="1">
        <w:r>
          <w:t xml:space="preserve">Figura 19  - </w:t>
        </w:r>
        <w:r>
          <w:rPr>
            <w:bCs/>
          </w:rPr>
          <w:t>Încăperi închise, delimitate prin pereți cu rezistență la foc față de încăperile adiacente</w:t>
        </w:r>
        <w:r>
          <w:tab/>
        </w:r>
        <w:r>
          <w:fldChar w:fldCharType="begin"/>
        </w:r>
        <w:r>
          <w:instrText xml:space="preserve"> PAGEREF _Toc16931 \h </w:instrText>
        </w:r>
        <w:r>
          <w:fldChar w:fldCharType="separate"/>
        </w:r>
        <w:r>
          <w:t>55</w:t>
        </w:r>
        <w:r>
          <w:fldChar w:fldCharType="end"/>
        </w:r>
      </w:hyperlink>
    </w:p>
    <w:p w14:paraId="7561CDD3" w14:textId="77777777" w:rsidR="001C08A5" w:rsidRDefault="00000000">
      <w:pPr>
        <w:pStyle w:val="TableofFigures"/>
        <w:tabs>
          <w:tab w:val="right" w:leader="dot" w:pos="9639"/>
        </w:tabs>
        <w:ind w:left="800" w:hanging="400"/>
      </w:pPr>
      <w:hyperlink w:anchor="_Toc19818" w:history="1">
        <w:r>
          <w:t xml:space="preserve">Figura 20  - </w:t>
        </w:r>
        <w:r>
          <w:rPr>
            <w:bCs/>
          </w:rPr>
          <w:t xml:space="preserve">Spații deschise de tip open space </w:t>
        </w:r>
        <w:r>
          <w:tab/>
        </w:r>
        <w:r>
          <w:fldChar w:fldCharType="begin"/>
        </w:r>
        <w:r>
          <w:instrText xml:space="preserve"> PAGEREF _Toc19818 \h </w:instrText>
        </w:r>
        <w:r>
          <w:fldChar w:fldCharType="separate"/>
        </w:r>
        <w:r>
          <w:t>56</w:t>
        </w:r>
        <w:r>
          <w:fldChar w:fldCharType="end"/>
        </w:r>
      </w:hyperlink>
    </w:p>
    <w:p w14:paraId="4422068C" w14:textId="77777777" w:rsidR="001C08A5" w:rsidRDefault="00000000">
      <w:pPr>
        <w:pStyle w:val="TableofFigures"/>
        <w:tabs>
          <w:tab w:val="right" w:leader="dot" w:pos="9639"/>
        </w:tabs>
        <w:ind w:left="800" w:hanging="400"/>
      </w:pPr>
      <w:hyperlink w:anchor="_Toc29652" w:history="1">
        <w:r>
          <w:t xml:space="preserve">Figura 21  - </w:t>
        </w:r>
        <w:r>
          <w:rPr>
            <w:bCs/>
          </w:rPr>
          <w:t>Spații deschise de tip open space, delimitate prin pereți cu rezistență la foc față de încăperile adiacente</w:t>
        </w:r>
        <w:r>
          <w:tab/>
        </w:r>
        <w:r>
          <w:fldChar w:fldCharType="begin"/>
        </w:r>
        <w:r>
          <w:instrText xml:space="preserve"> PAGEREF _Toc29652 \h </w:instrText>
        </w:r>
        <w:r>
          <w:fldChar w:fldCharType="separate"/>
        </w:r>
        <w:r>
          <w:t>57</w:t>
        </w:r>
        <w:r>
          <w:fldChar w:fldCharType="end"/>
        </w:r>
      </w:hyperlink>
    </w:p>
    <w:p w14:paraId="68620A7D" w14:textId="77777777" w:rsidR="001C08A5" w:rsidRDefault="00000000">
      <w:pPr>
        <w:pStyle w:val="TableofFigures"/>
        <w:tabs>
          <w:tab w:val="right" w:leader="dot" w:pos="9639"/>
        </w:tabs>
        <w:ind w:left="800" w:hanging="400"/>
      </w:pPr>
      <w:hyperlink w:anchor="_Toc7411" w:history="1">
        <w:r>
          <w:t>Figura 22  - Perete - înclinare</w:t>
        </w:r>
        <w:r>
          <w:tab/>
        </w:r>
        <w:r>
          <w:fldChar w:fldCharType="begin"/>
        </w:r>
        <w:r>
          <w:instrText xml:space="preserve"> PAGEREF _Toc7411 \h </w:instrText>
        </w:r>
        <w:r>
          <w:fldChar w:fldCharType="separate"/>
        </w:r>
        <w:r>
          <w:t>58</w:t>
        </w:r>
        <w:r>
          <w:fldChar w:fldCharType="end"/>
        </w:r>
      </w:hyperlink>
    </w:p>
    <w:p w14:paraId="14395141" w14:textId="77777777" w:rsidR="001C08A5" w:rsidRDefault="00000000">
      <w:pPr>
        <w:pStyle w:val="TableofFigures"/>
        <w:tabs>
          <w:tab w:val="right" w:leader="dot" w:pos="9639"/>
        </w:tabs>
        <w:ind w:left="800" w:hanging="400"/>
      </w:pPr>
      <w:hyperlink w:anchor="_Toc4287" w:history="1">
        <w:r>
          <w:t>Figura 23  - Plenum pentru spații de tip open-space</w:t>
        </w:r>
        <w:r>
          <w:tab/>
        </w:r>
        <w:r>
          <w:fldChar w:fldCharType="begin"/>
        </w:r>
        <w:r>
          <w:instrText xml:space="preserve"> PAGEREF _Toc4287 \h </w:instrText>
        </w:r>
        <w:r>
          <w:fldChar w:fldCharType="separate"/>
        </w:r>
        <w:r>
          <w:t>62</w:t>
        </w:r>
        <w:r>
          <w:fldChar w:fldCharType="end"/>
        </w:r>
      </w:hyperlink>
    </w:p>
    <w:p w14:paraId="75EED70B" w14:textId="77777777" w:rsidR="001C08A5" w:rsidRDefault="00000000">
      <w:pPr>
        <w:pStyle w:val="TableofFigures"/>
        <w:tabs>
          <w:tab w:val="right" w:leader="dot" w:pos="9639"/>
        </w:tabs>
        <w:ind w:left="800" w:hanging="400"/>
      </w:pPr>
      <w:hyperlink w:anchor="_Toc12661" w:history="1">
        <w:r>
          <w:t>Figura 24  - Scări cu trepte balansate</w:t>
        </w:r>
        <w:r>
          <w:tab/>
        </w:r>
        <w:r>
          <w:fldChar w:fldCharType="begin"/>
        </w:r>
        <w:r>
          <w:instrText xml:space="preserve"> PAGEREF _Toc12661 \h </w:instrText>
        </w:r>
        <w:r>
          <w:fldChar w:fldCharType="separate"/>
        </w:r>
        <w:r>
          <w:t>63</w:t>
        </w:r>
        <w:r>
          <w:fldChar w:fldCharType="end"/>
        </w:r>
      </w:hyperlink>
    </w:p>
    <w:p w14:paraId="66BCB62F" w14:textId="77777777" w:rsidR="001C08A5" w:rsidRDefault="00000000">
      <w:pPr>
        <w:pStyle w:val="TableofFigures"/>
        <w:tabs>
          <w:tab w:val="right" w:leader="dot" w:pos="9639"/>
        </w:tabs>
        <w:ind w:left="800" w:hanging="400"/>
      </w:pPr>
      <w:hyperlink w:anchor="_Toc17546" w:history="1">
        <w:r>
          <w:t>Figura 25  - Șarpantă - elemente componente</w:t>
        </w:r>
        <w:r>
          <w:tab/>
        </w:r>
        <w:r>
          <w:fldChar w:fldCharType="begin"/>
        </w:r>
        <w:r>
          <w:instrText xml:space="preserve"> PAGEREF _Toc17546 \h </w:instrText>
        </w:r>
        <w:r>
          <w:fldChar w:fldCharType="separate"/>
        </w:r>
        <w:r>
          <w:t>65</w:t>
        </w:r>
        <w:r>
          <w:fldChar w:fldCharType="end"/>
        </w:r>
      </w:hyperlink>
    </w:p>
    <w:p w14:paraId="70A60635" w14:textId="77777777" w:rsidR="001C08A5" w:rsidRDefault="00000000">
      <w:pPr>
        <w:pStyle w:val="TableofFigures"/>
        <w:tabs>
          <w:tab w:val="right" w:leader="dot" w:pos="9639"/>
        </w:tabs>
        <w:ind w:left="800" w:hanging="400"/>
      </w:pPr>
      <w:hyperlink w:anchor="_Toc6372" w:history="1">
        <w:r>
          <w:t>Figura 26  - Tambur deschis</w:t>
        </w:r>
        <w:r>
          <w:tab/>
        </w:r>
        <w:r>
          <w:fldChar w:fldCharType="begin"/>
        </w:r>
        <w:r>
          <w:instrText xml:space="preserve"> PAGEREF _Toc6372 \h </w:instrText>
        </w:r>
        <w:r>
          <w:fldChar w:fldCharType="separate"/>
        </w:r>
        <w:r>
          <w:t>66</w:t>
        </w:r>
        <w:r>
          <w:fldChar w:fldCharType="end"/>
        </w:r>
      </w:hyperlink>
    </w:p>
    <w:p w14:paraId="2C4916FE" w14:textId="77777777" w:rsidR="001C08A5" w:rsidRDefault="00000000">
      <w:pPr>
        <w:pStyle w:val="TableofFigures"/>
        <w:tabs>
          <w:tab w:val="right" w:leader="dot" w:pos="9639"/>
        </w:tabs>
        <w:ind w:left="800" w:hanging="400"/>
      </w:pPr>
      <w:hyperlink w:anchor="_Toc31157" w:history="1">
        <w:r>
          <w:t xml:space="preserve">Figura 27  - Șarpanta </w:t>
        </w:r>
        <w:r>
          <w:rPr>
            <w:lang w:eastAsia="en-GB"/>
          </w:rPr>
          <w:t>acoperișului cu pod</w:t>
        </w:r>
        <w:r>
          <w:t xml:space="preserve"> - delimitare minimală prin planșeu rezistent la foc </w:t>
        </w:r>
        <w:r>
          <w:tab/>
        </w:r>
        <w:r>
          <w:fldChar w:fldCharType="begin"/>
        </w:r>
        <w:r>
          <w:instrText xml:space="preserve"> PAGEREF _Toc31157 \h </w:instrText>
        </w:r>
        <w:r>
          <w:fldChar w:fldCharType="separate"/>
        </w:r>
        <w:r>
          <w:t>75</w:t>
        </w:r>
        <w:r>
          <w:fldChar w:fldCharType="end"/>
        </w:r>
      </w:hyperlink>
    </w:p>
    <w:p w14:paraId="0B03CBF1" w14:textId="77777777" w:rsidR="001C08A5" w:rsidRDefault="00000000">
      <w:pPr>
        <w:pStyle w:val="TableofFigures"/>
        <w:tabs>
          <w:tab w:val="right" w:leader="dot" w:pos="9639"/>
        </w:tabs>
        <w:ind w:left="800" w:hanging="400"/>
      </w:pPr>
      <w:hyperlink w:anchor="_Toc12355" w:history="1">
        <w:r>
          <w:t xml:space="preserve">Figura 28  - </w:t>
        </w:r>
        <w:r>
          <w:rPr>
            <w:bCs/>
          </w:rPr>
          <w:t>Amplasare independentă a construcţiilor (la distanţe normate)</w:t>
        </w:r>
        <w:r>
          <w:tab/>
        </w:r>
        <w:r>
          <w:fldChar w:fldCharType="begin"/>
        </w:r>
        <w:r>
          <w:instrText xml:space="preserve"> PAGEREF _Toc12355 \h </w:instrText>
        </w:r>
        <w:r>
          <w:fldChar w:fldCharType="separate"/>
        </w:r>
        <w:r>
          <w:t>79</w:t>
        </w:r>
        <w:r>
          <w:fldChar w:fldCharType="end"/>
        </w:r>
      </w:hyperlink>
    </w:p>
    <w:p w14:paraId="2BB3A2D6" w14:textId="77777777" w:rsidR="001C08A5" w:rsidRDefault="00000000">
      <w:pPr>
        <w:pStyle w:val="TableofFigures"/>
        <w:tabs>
          <w:tab w:val="right" w:leader="dot" w:pos="9639"/>
        </w:tabs>
        <w:ind w:left="800" w:hanging="400"/>
      </w:pPr>
      <w:hyperlink w:anchor="_Toc16626" w:history="1">
        <w:r>
          <w:t xml:space="preserve">Figura 29  - </w:t>
        </w:r>
        <w:r>
          <w:rPr>
            <w:bCs/>
          </w:rPr>
          <w:t>Amplasare compartimentată</w:t>
        </w:r>
        <w:r>
          <w:tab/>
        </w:r>
        <w:r>
          <w:fldChar w:fldCharType="begin"/>
        </w:r>
        <w:r>
          <w:instrText xml:space="preserve"> PAGEREF _Toc16626 \h </w:instrText>
        </w:r>
        <w:r>
          <w:fldChar w:fldCharType="separate"/>
        </w:r>
        <w:r>
          <w:t>80</w:t>
        </w:r>
        <w:r>
          <w:fldChar w:fldCharType="end"/>
        </w:r>
      </w:hyperlink>
    </w:p>
    <w:p w14:paraId="257AADC2" w14:textId="77777777" w:rsidR="001C08A5" w:rsidRDefault="00000000">
      <w:pPr>
        <w:pStyle w:val="TableofFigures"/>
        <w:tabs>
          <w:tab w:val="right" w:leader="dot" w:pos="9639"/>
        </w:tabs>
        <w:ind w:left="800" w:hanging="400"/>
      </w:pPr>
      <w:hyperlink w:anchor="_Toc22132" w:history="1">
        <w:r>
          <w:t xml:space="preserve">Figura 30  - </w:t>
        </w:r>
        <w:r>
          <w:rPr>
            <w:bCs/>
          </w:rPr>
          <w:t>Amplasare comasată a construcţiilor în limita ariilor compartimentelor de incendiu normate (Ac compartiment de incendiu = suma Ac construcţii comasate)</w:t>
        </w:r>
        <w:r>
          <w:tab/>
        </w:r>
        <w:r>
          <w:fldChar w:fldCharType="begin"/>
        </w:r>
        <w:r>
          <w:instrText xml:space="preserve"> PAGEREF _Toc22132 \h </w:instrText>
        </w:r>
        <w:r>
          <w:fldChar w:fldCharType="separate"/>
        </w:r>
        <w:r>
          <w:t>80</w:t>
        </w:r>
        <w:r>
          <w:fldChar w:fldCharType="end"/>
        </w:r>
      </w:hyperlink>
    </w:p>
    <w:p w14:paraId="6E689FED" w14:textId="77777777" w:rsidR="001C08A5" w:rsidRDefault="00000000">
      <w:pPr>
        <w:pStyle w:val="TableofFigures"/>
        <w:tabs>
          <w:tab w:val="right" w:leader="dot" w:pos="9639"/>
        </w:tabs>
        <w:ind w:left="800" w:hanging="400"/>
      </w:pPr>
      <w:hyperlink w:anchor="_Toc8689" w:history="1">
        <w:r>
          <w:t xml:space="preserve">Figura 31  - </w:t>
        </w:r>
        <w:r>
          <w:rPr>
            <w:bCs/>
          </w:rPr>
          <w:t>Distanţe minime de siguranţă între construcţii independente</w:t>
        </w:r>
        <w:r>
          <w:tab/>
        </w:r>
        <w:r>
          <w:fldChar w:fldCharType="begin"/>
        </w:r>
        <w:r>
          <w:instrText xml:space="preserve"> PAGEREF _Toc8689 \h </w:instrText>
        </w:r>
        <w:r>
          <w:fldChar w:fldCharType="separate"/>
        </w:r>
        <w:r>
          <w:t>82</w:t>
        </w:r>
        <w:r>
          <w:fldChar w:fldCharType="end"/>
        </w:r>
      </w:hyperlink>
    </w:p>
    <w:p w14:paraId="3ECC26A2" w14:textId="77777777" w:rsidR="001C08A5" w:rsidRDefault="00000000">
      <w:pPr>
        <w:pStyle w:val="TableofFigures"/>
        <w:tabs>
          <w:tab w:val="right" w:leader="dot" w:pos="9639"/>
        </w:tabs>
        <w:ind w:left="800" w:hanging="400"/>
      </w:pPr>
      <w:hyperlink w:anchor="_Toc125" w:history="1">
        <w:r>
          <w:t xml:space="preserve">Figura 32  - </w:t>
        </w:r>
        <w:r>
          <w:rPr>
            <w:bCs/>
          </w:rPr>
          <w:t>Perete rezistent la foc de separare a compartimentelor de incendiu (perete antifoc A1, A2s1d0 conform Art. 2.3.2.1.2.) care secţionează construcţia pe toată înălţimea acesteia</w:t>
        </w:r>
        <w:r>
          <w:tab/>
        </w:r>
        <w:r>
          <w:fldChar w:fldCharType="begin"/>
        </w:r>
        <w:r>
          <w:instrText xml:space="preserve"> PAGEREF _Toc125 \h </w:instrText>
        </w:r>
        <w:r>
          <w:fldChar w:fldCharType="separate"/>
        </w:r>
        <w:r>
          <w:t>85</w:t>
        </w:r>
        <w:r>
          <w:fldChar w:fldCharType="end"/>
        </w:r>
      </w:hyperlink>
    </w:p>
    <w:p w14:paraId="38F2DF1B" w14:textId="77777777" w:rsidR="001C08A5" w:rsidRDefault="00000000">
      <w:pPr>
        <w:pStyle w:val="TableofFigures"/>
        <w:tabs>
          <w:tab w:val="right" w:leader="dot" w:pos="9639"/>
        </w:tabs>
        <w:ind w:left="800" w:hanging="400"/>
      </w:pPr>
      <w:hyperlink w:anchor="_Toc32364" w:history="1">
        <w:r>
          <w:t xml:space="preserve">Figura 33  - </w:t>
        </w:r>
        <w:r>
          <w:rPr>
            <w:bCs/>
          </w:rPr>
          <w:t>Separare compartimente de incendiu la construcții cu înălţimi diferite - separare la clădirea mai înaltă</w:t>
        </w:r>
        <w:r>
          <w:tab/>
        </w:r>
        <w:r>
          <w:fldChar w:fldCharType="begin"/>
        </w:r>
        <w:r>
          <w:instrText xml:space="preserve"> PAGEREF _Toc32364 \h </w:instrText>
        </w:r>
        <w:r>
          <w:fldChar w:fldCharType="separate"/>
        </w:r>
        <w:r>
          <w:t>86</w:t>
        </w:r>
        <w:r>
          <w:fldChar w:fldCharType="end"/>
        </w:r>
      </w:hyperlink>
    </w:p>
    <w:p w14:paraId="5865E8DF" w14:textId="77777777" w:rsidR="001C08A5" w:rsidRDefault="00000000">
      <w:pPr>
        <w:pStyle w:val="TableofFigures"/>
        <w:tabs>
          <w:tab w:val="right" w:leader="dot" w:pos="9639"/>
        </w:tabs>
        <w:ind w:left="800" w:hanging="400"/>
      </w:pPr>
      <w:hyperlink w:anchor="_Toc24953" w:history="1">
        <w:r>
          <w:t xml:space="preserve">Figura 34  - </w:t>
        </w:r>
        <w:r>
          <w:rPr>
            <w:bCs/>
          </w:rPr>
          <w:t>Separare compartimente de incendiu la construcții cu înălţimi diferite - separare la clădirea cu înălțime mai mică</w:t>
        </w:r>
        <w:r>
          <w:tab/>
        </w:r>
        <w:r>
          <w:fldChar w:fldCharType="begin"/>
        </w:r>
        <w:r>
          <w:instrText xml:space="preserve"> PAGEREF _Toc24953 \h </w:instrText>
        </w:r>
        <w:r>
          <w:fldChar w:fldCharType="separate"/>
        </w:r>
        <w:r>
          <w:t>86</w:t>
        </w:r>
        <w:r>
          <w:fldChar w:fldCharType="end"/>
        </w:r>
      </w:hyperlink>
    </w:p>
    <w:p w14:paraId="58A39996" w14:textId="77777777" w:rsidR="001C08A5" w:rsidRDefault="00000000">
      <w:pPr>
        <w:pStyle w:val="TableofFigures"/>
        <w:tabs>
          <w:tab w:val="right" w:leader="dot" w:pos="9639"/>
        </w:tabs>
        <w:ind w:left="800" w:hanging="400"/>
      </w:pPr>
      <w:hyperlink w:anchor="_Toc10694" w:history="1">
        <w:r>
          <w:t xml:space="preserve">Figura 35  - </w:t>
        </w:r>
        <w:r>
          <w:rPr>
            <w:bCs/>
          </w:rPr>
          <w:t>Separare compartimente de incendiu cu înălţimi egale cu fâșie REI60</w:t>
        </w:r>
        <w:r>
          <w:tab/>
        </w:r>
        <w:r>
          <w:fldChar w:fldCharType="begin"/>
        </w:r>
        <w:r>
          <w:instrText xml:space="preserve"> PAGEREF _Toc10694 \h </w:instrText>
        </w:r>
        <w:r>
          <w:fldChar w:fldCharType="separate"/>
        </w:r>
        <w:r>
          <w:t>87</w:t>
        </w:r>
        <w:r>
          <w:fldChar w:fldCharType="end"/>
        </w:r>
      </w:hyperlink>
    </w:p>
    <w:p w14:paraId="174802E2" w14:textId="77777777" w:rsidR="001C08A5" w:rsidRDefault="00000000">
      <w:pPr>
        <w:pStyle w:val="TableofFigures"/>
        <w:tabs>
          <w:tab w:val="right" w:leader="dot" w:pos="9639"/>
        </w:tabs>
        <w:ind w:left="800" w:hanging="400"/>
      </w:pPr>
      <w:hyperlink w:anchor="_Toc14516" w:history="1">
        <w:r>
          <w:t xml:space="preserve">Figura 36  - </w:t>
        </w:r>
        <w:r>
          <w:rPr>
            <w:bCs/>
          </w:rPr>
          <w:t xml:space="preserve">Separare compartimente de incendiu cu înălţimi egale </w:t>
        </w:r>
        <w:r>
          <w:t>prin depășirea acoperișului cu minimum 60 cm (a peretelui antifoc)</w:t>
        </w:r>
        <w:r>
          <w:tab/>
        </w:r>
        <w:r>
          <w:fldChar w:fldCharType="begin"/>
        </w:r>
        <w:r>
          <w:instrText xml:space="preserve"> PAGEREF _Toc14516 \h </w:instrText>
        </w:r>
        <w:r>
          <w:fldChar w:fldCharType="separate"/>
        </w:r>
        <w:r>
          <w:t>88</w:t>
        </w:r>
        <w:r>
          <w:fldChar w:fldCharType="end"/>
        </w:r>
      </w:hyperlink>
    </w:p>
    <w:p w14:paraId="40A36773" w14:textId="77777777" w:rsidR="001C08A5" w:rsidRDefault="00000000">
      <w:pPr>
        <w:pStyle w:val="TableofFigures"/>
        <w:tabs>
          <w:tab w:val="right" w:leader="dot" w:pos="9639"/>
        </w:tabs>
        <w:ind w:left="800" w:hanging="400"/>
      </w:pPr>
      <w:hyperlink w:anchor="_Toc31935" w:history="1">
        <w:r>
          <w:t xml:space="preserve">Figura 37  - </w:t>
        </w:r>
        <w:r>
          <w:rPr>
            <w:bCs/>
          </w:rPr>
          <w:t>Depăşirea planurilor exterioare ale acoperişurilor și pereţilor combustibili</w:t>
        </w:r>
        <w:r>
          <w:tab/>
        </w:r>
        <w:r>
          <w:fldChar w:fldCharType="begin"/>
        </w:r>
        <w:r>
          <w:instrText xml:space="preserve"> PAGEREF _Toc31935 \h </w:instrText>
        </w:r>
        <w:r>
          <w:fldChar w:fldCharType="separate"/>
        </w:r>
        <w:r>
          <w:t>89</w:t>
        </w:r>
        <w:r>
          <w:fldChar w:fldCharType="end"/>
        </w:r>
      </w:hyperlink>
    </w:p>
    <w:p w14:paraId="57C48E54" w14:textId="77777777" w:rsidR="001C08A5" w:rsidRDefault="00000000">
      <w:pPr>
        <w:pStyle w:val="TableofFigures"/>
        <w:tabs>
          <w:tab w:val="right" w:leader="dot" w:pos="9639"/>
        </w:tabs>
        <w:ind w:left="800" w:hanging="400"/>
      </w:pPr>
      <w:hyperlink w:anchor="_Toc307" w:history="1">
        <w:r>
          <w:t xml:space="preserve">Figura 38  - Perete rezistent la foc (în continuarea pereților antifoc conform Art. 2.3.2.1.2) dispus la exterior, la colţurile intrânde ale clădirilor civile în formă de L, T sau U sub un unghi α, α </w:t>
        </w:r>
        <w:r>
          <w:rPr>
            <w:rFonts w:ascii="Arial" w:hAnsi="Arial" w:cs="Arial"/>
          </w:rPr>
          <w:t xml:space="preserve">&lt; </w:t>
        </w:r>
        <w:r>
          <w:t>90°</w:t>
        </w:r>
        <w:r>
          <w:tab/>
        </w:r>
        <w:r>
          <w:fldChar w:fldCharType="begin"/>
        </w:r>
        <w:r>
          <w:instrText xml:space="preserve"> PAGEREF _Toc307 \h </w:instrText>
        </w:r>
        <w:r>
          <w:fldChar w:fldCharType="separate"/>
        </w:r>
        <w:r>
          <w:t>92</w:t>
        </w:r>
        <w:r>
          <w:fldChar w:fldCharType="end"/>
        </w:r>
      </w:hyperlink>
    </w:p>
    <w:p w14:paraId="2A950768" w14:textId="77777777" w:rsidR="001C08A5" w:rsidRDefault="00000000">
      <w:pPr>
        <w:pStyle w:val="TableofFigures"/>
        <w:tabs>
          <w:tab w:val="right" w:leader="dot" w:pos="9639"/>
        </w:tabs>
        <w:ind w:left="800" w:hanging="400"/>
      </w:pPr>
      <w:hyperlink w:anchor="_Toc32122" w:history="1">
        <w:r>
          <w:t xml:space="preserve">Figura 39  - </w:t>
        </w:r>
        <w:r>
          <w:rPr>
            <w:bCs/>
          </w:rPr>
          <w:t xml:space="preserve">Perete </w:t>
        </w:r>
        <w:r>
          <w:t xml:space="preserve">rezistent la foc (în continuarea pereților antifoc conform Art. 2.3.2.1.2) dispus la exterior, </w:t>
        </w:r>
        <w:r>
          <w:rPr>
            <w:bCs/>
          </w:rPr>
          <w:t xml:space="preserve">la colţurile intrânde ale clădirilor civile în formă de L, T sau U sub un unghi α,  </w:t>
        </w:r>
        <w:r>
          <w:rPr>
            <w:szCs w:val="22"/>
          </w:rPr>
          <w:t xml:space="preserve">90° </w:t>
        </w:r>
        <w:r>
          <w:rPr>
            <w:rFonts w:ascii="Arial" w:hAnsi="Arial" w:cs="Arial" w:hint="eastAsia"/>
            <w:szCs w:val="22"/>
          </w:rPr>
          <w:t>≤</w:t>
        </w:r>
        <w:r>
          <w:rPr>
            <w:szCs w:val="22"/>
          </w:rPr>
          <w:t>α</w:t>
        </w:r>
        <w:r>
          <w:rPr>
            <w:rFonts w:ascii="Arial" w:hAnsi="Arial" w:cs="Arial"/>
            <w:szCs w:val="22"/>
          </w:rPr>
          <w:t>&lt;</w:t>
        </w:r>
        <w:r>
          <w:rPr>
            <w:szCs w:val="22"/>
          </w:rPr>
          <w:t>135°</w:t>
        </w:r>
        <w:r>
          <w:tab/>
        </w:r>
        <w:r>
          <w:fldChar w:fldCharType="begin"/>
        </w:r>
        <w:r>
          <w:instrText xml:space="preserve"> PAGEREF _Toc32122 \h </w:instrText>
        </w:r>
        <w:r>
          <w:fldChar w:fldCharType="separate"/>
        </w:r>
        <w:r>
          <w:t>95</w:t>
        </w:r>
        <w:r>
          <w:fldChar w:fldCharType="end"/>
        </w:r>
      </w:hyperlink>
    </w:p>
    <w:p w14:paraId="3249E0EC" w14:textId="77777777" w:rsidR="001C08A5" w:rsidRDefault="00000000">
      <w:pPr>
        <w:pStyle w:val="TableofFigures"/>
        <w:tabs>
          <w:tab w:val="right" w:leader="dot" w:pos="9639"/>
        </w:tabs>
        <w:ind w:left="800" w:hanging="400"/>
      </w:pPr>
      <w:hyperlink w:anchor="_Toc27541" w:history="1">
        <w:r>
          <w:t xml:space="preserve">Figura 40  - </w:t>
        </w:r>
        <w:r>
          <w:rPr>
            <w:bCs/>
          </w:rPr>
          <w:t xml:space="preserve">Perete </w:t>
        </w:r>
        <w:r>
          <w:t>rezistent la foc (în continuarea pereților antifoc conform Art. 2.3.2.1.2) dispus la exterior,</w:t>
        </w:r>
        <w:r>
          <w:rPr>
            <w:bCs/>
          </w:rPr>
          <w:t xml:space="preserve"> la colţurile intrânde ale clădirilor civile în formă de L, T sau U sub un unghi α,  α </w:t>
        </w:r>
        <w:r>
          <w:rPr>
            <w:rFonts w:ascii="Arial" w:hAnsi="Arial" w:cs="Arial"/>
            <w:bCs/>
          </w:rPr>
          <w:t>&gt;</w:t>
        </w:r>
        <w:r>
          <w:rPr>
            <w:bCs/>
          </w:rPr>
          <w:t xml:space="preserve"> 135°</w:t>
        </w:r>
        <w:r>
          <w:tab/>
        </w:r>
        <w:r>
          <w:fldChar w:fldCharType="begin"/>
        </w:r>
        <w:r>
          <w:instrText xml:space="preserve"> PAGEREF _Toc27541 \h </w:instrText>
        </w:r>
        <w:r>
          <w:fldChar w:fldCharType="separate"/>
        </w:r>
        <w:r>
          <w:t>97</w:t>
        </w:r>
        <w:r>
          <w:fldChar w:fldCharType="end"/>
        </w:r>
      </w:hyperlink>
    </w:p>
    <w:p w14:paraId="574683CB" w14:textId="77777777" w:rsidR="001C08A5" w:rsidRDefault="00000000">
      <w:pPr>
        <w:pStyle w:val="TableofFigures"/>
        <w:tabs>
          <w:tab w:val="right" w:leader="dot" w:pos="9639"/>
        </w:tabs>
        <w:ind w:left="800" w:hanging="400"/>
      </w:pPr>
      <w:hyperlink w:anchor="_Toc6795" w:history="1">
        <w:r>
          <w:t xml:space="preserve">Figura 41  - </w:t>
        </w:r>
        <w:r>
          <w:rPr>
            <w:bCs/>
          </w:rPr>
          <w:t>Propagarea incendiilor de la un nivel la altul (pe faţade sau prin interior)</w:t>
        </w:r>
        <w:r>
          <w:tab/>
        </w:r>
        <w:r>
          <w:fldChar w:fldCharType="begin"/>
        </w:r>
        <w:r>
          <w:instrText xml:space="preserve"> PAGEREF _Toc6795 \h </w:instrText>
        </w:r>
        <w:r>
          <w:fldChar w:fldCharType="separate"/>
        </w:r>
        <w:r>
          <w:t>109</w:t>
        </w:r>
        <w:r>
          <w:fldChar w:fldCharType="end"/>
        </w:r>
      </w:hyperlink>
    </w:p>
    <w:p w14:paraId="473AD637" w14:textId="77777777" w:rsidR="001C08A5" w:rsidRDefault="00000000">
      <w:pPr>
        <w:pStyle w:val="TableofFigures"/>
        <w:tabs>
          <w:tab w:val="right" w:leader="dot" w:pos="9639"/>
        </w:tabs>
        <w:ind w:left="800" w:hanging="400"/>
      </w:pPr>
      <w:hyperlink w:anchor="_Toc7080" w:history="1">
        <w:r>
          <w:t xml:space="preserve">Figura 42  - </w:t>
        </w:r>
        <w:r>
          <w:rPr>
            <w:bCs/>
          </w:rPr>
          <w:t xml:space="preserve">Concept însumare elemente verticale cu elementele orizontale având aceeași rezistentă la foc </w:t>
        </w:r>
        <w:r>
          <w:t>(caz general)</w:t>
        </w:r>
        <w:r>
          <w:tab/>
        </w:r>
        <w:r>
          <w:fldChar w:fldCharType="begin"/>
        </w:r>
        <w:r>
          <w:instrText xml:space="preserve"> PAGEREF _Toc7080 \h </w:instrText>
        </w:r>
        <w:r>
          <w:fldChar w:fldCharType="separate"/>
        </w:r>
        <w:r>
          <w:t>110</w:t>
        </w:r>
        <w:r>
          <w:fldChar w:fldCharType="end"/>
        </w:r>
      </w:hyperlink>
    </w:p>
    <w:p w14:paraId="3738E328" w14:textId="77777777" w:rsidR="001C08A5" w:rsidRDefault="00000000">
      <w:pPr>
        <w:pStyle w:val="TableofFigures"/>
        <w:tabs>
          <w:tab w:val="right" w:leader="dot" w:pos="9639"/>
        </w:tabs>
        <w:ind w:left="800" w:hanging="400"/>
      </w:pPr>
      <w:hyperlink w:anchor="_Toc10273" w:history="1">
        <w:r>
          <w:t xml:space="preserve">Figura 43  - </w:t>
        </w:r>
        <w:r>
          <w:rPr>
            <w:bCs/>
          </w:rPr>
          <w:t>Concept în care nu este permisă însumarea elementelor</w:t>
        </w:r>
        <w:r>
          <w:tab/>
        </w:r>
        <w:r>
          <w:fldChar w:fldCharType="begin"/>
        </w:r>
        <w:r>
          <w:instrText xml:space="preserve"> PAGEREF _Toc10273 \h </w:instrText>
        </w:r>
        <w:r>
          <w:fldChar w:fldCharType="separate"/>
        </w:r>
        <w:r>
          <w:t>110</w:t>
        </w:r>
        <w:r>
          <w:fldChar w:fldCharType="end"/>
        </w:r>
      </w:hyperlink>
    </w:p>
    <w:p w14:paraId="1C6F53F2" w14:textId="77777777" w:rsidR="001C08A5" w:rsidRDefault="00000000">
      <w:pPr>
        <w:pStyle w:val="TableofFigures"/>
        <w:tabs>
          <w:tab w:val="right" w:leader="dot" w:pos="9639"/>
        </w:tabs>
        <w:ind w:left="800" w:hanging="400"/>
      </w:pPr>
      <w:hyperlink w:anchor="_Toc13633" w:history="1">
        <w:r>
          <w:t>Figura 44  - Performanțe pereți exteriori (neportanți) și/sau părți din pereții exteriori rezistenți la foc care includ elemente vitrate</w:t>
        </w:r>
        <w:r>
          <w:tab/>
        </w:r>
        <w:r>
          <w:fldChar w:fldCharType="begin"/>
        </w:r>
        <w:r>
          <w:instrText xml:space="preserve"> PAGEREF _Toc13633 \h </w:instrText>
        </w:r>
        <w:r>
          <w:fldChar w:fldCharType="separate"/>
        </w:r>
        <w:r>
          <w:t>111</w:t>
        </w:r>
        <w:r>
          <w:fldChar w:fldCharType="end"/>
        </w:r>
      </w:hyperlink>
    </w:p>
    <w:p w14:paraId="75F4194B" w14:textId="77777777" w:rsidR="001C08A5" w:rsidRDefault="00000000">
      <w:pPr>
        <w:pStyle w:val="TableofFigures"/>
        <w:tabs>
          <w:tab w:val="right" w:leader="dot" w:pos="9639"/>
        </w:tabs>
        <w:ind w:left="800" w:hanging="400"/>
      </w:pPr>
      <w:hyperlink w:anchor="_Toc20931" w:history="1">
        <w:r>
          <w:t>Figura 45  - Performanțe zone continui cu înălţimea de cel puţin 1,20 m dispuse în planul peretelui cortină</w:t>
        </w:r>
        <w:r>
          <w:tab/>
        </w:r>
        <w:r>
          <w:fldChar w:fldCharType="begin"/>
        </w:r>
        <w:r>
          <w:instrText xml:space="preserve"> PAGEREF _Toc20931 \h </w:instrText>
        </w:r>
        <w:r>
          <w:fldChar w:fldCharType="separate"/>
        </w:r>
        <w:r>
          <w:t>112</w:t>
        </w:r>
        <w:r>
          <w:fldChar w:fldCharType="end"/>
        </w:r>
      </w:hyperlink>
    </w:p>
    <w:p w14:paraId="307B3CCC" w14:textId="77777777" w:rsidR="001C08A5" w:rsidRDefault="00000000">
      <w:pPr>
        <w:pStyle w:val="TableofFigures"/>
        <w:tabs>
          <w:tab w:val="right" w:leader="dot" w:pos="9639"/>
        </w:tabs>
        <w:ind w:left="800" w:hanging="400"/>
      </w:pPr>
      <w:hyperlink w:anchor="_Toc18765" w:history="1">
        <w:r>
          <w:t>Figura 46  - Performanțe perete cortină sau panou de tâmplărie vitrate pe toată înălțimea</w:t>
        </w:r>
        <w:r>
          <w:tab/>
        </w:r>
        <w:r>
          <w:fldChar w:fldCharType="begin"/>
        </w:r>
        <w:r>
          <w:instrText xml:space="preserve"> PAGEREF _Toc18765 \h </w:instrText>
        </w:r>
        <w:r>
          <w:fldChar w:fldCharType="separate"/>
        </w:r>
        <w:r>
          <w:t>114</w:t>
        </w:r>
        <w:r>
          <w:fldChar w:fldCharType="end"/>
        </w:r>
      </w:hyperlink>
    </w:p>
    <w:p w14:paraId="02D81CFA" w14:textId="77777777" w:rsidR="001C08A5" w:rsidRDefault="00000000">
      <w:pPr>
        <w:pStyle w:val="TableofFigures"/>
        <w:tabs>
          <w:tab w:val="right" w:leader="dot" w:pos="9639"/>
        </w:tabs>
        <w:ind w:left="800" w:hanging="400"/>
      </w:pPr>
      <w:hyperlink w:anchor="_Toc10545" w:history="1">
        <w:r>
          <w:t xml:space="preserve">Figura 47  - </w:t>
        </w:r>
        <w:r>
          <w:rPr>
            <w:bCs/>
          </w:rPr>
          <w:t>Performanțe ecrane de protecție</w:t>
        </w:r>
        <w:r>
          <w:tab/>
        </w:r>
        <w:r>
          <w:fldChar w:fldCharType="begin"/>
        </w:r>
        <w:r>
          <w:instrText xml:space="preserve"> PAGEREF _Toc10545 \h </w:instrText>
        </w:r>
        <w:r>
          <w:fldChar w:fldCharType="separate"/>
        </w:r>
        <w:r>
          <w:t>115</w:t>
        </w:r>
        <w:r>
          <w:fldChar w:fldCharType="end"/>
        </w:r>
      </w:hyperlink>
    </w:p>
    <w:p w14:paraId="37DC6582" w14:textId="77777777" w:rsidR="001C08A5" w:rsidRDefault="00000000">
      <w:pPr>
        <w:pStyle w:val="TableofFigures"/>
        <w:tabs>
          <w:tab w:val="right" w:leader="dot" w:pos="9639"/>
        </w:tabs>
        <w:ind w:left="800" w:hanging="400"/>
      </w:pPr>
      <w:hyperlink w:anchor="_Toc3163" w:history="1">
        <w:r>
          <w:t>Figura 48  - E</w:t>
        </w:r>
        <w:r>
          <w:rPr>
            <w:lang w:eastAsia="ro-RO"/>
          </w:rPr>
          <w:t xml:space="preserve">lemente incombustibile traforate dispuse la plafoane </w:t>
        </w:r>
        <w:r>
          <w:tab/>
        </w:r>
        <w:r>
          <w:fldChar w:fldCharType="begin"/>
        </w:r>
        <w:r>
          <w:instrText xml:space="preserve"> PAGEREF _Toc3163 \h </w:instrText>
        </w:r>
        <w:r>
          <w:fldChar w:fldCharType="separate"/>
        </w:r>
        <w:r>
          <w:t>116</w:t>
        </w:r>
        <w:r>
          <w:fldChar w:fldCharType="end"/>
        </w:r>
      </w:hyperlink>
    </w:p>
    <w:p w14:paraId="1D2EF908" w14:textId="77777777" w:rsidR="001C08A5" w:rsidRDefault="00000000">
      <w:pPr>
        <w:pStyle w:val="TableofFigures"/>
        <w:tabs>
          <w:tab w:val="right" w:leader="dot" w:pos="9639"/>
        </w:tabs>
        <w:ind w:left="800" w:hanging="400"/>
      </w:pPr>
      <w:hyperlink w:anchor="_Toc25975" w:history="1">
        <w:r>
          <w:t>Figura 49  - Performanțe elemente orizontale exterioare continui rezistente la foc</w:t>
        </w:r>
        <w:r>
          <w:tab/>
        </w:r>
        <w:r>
          <w:fldChar w:fldCharType="begin"/>
        </w:r>
        <w:r>
          <w:instrText xml:space="preserve"> PAGEREF _Toc25975 \h </w:instrText>
        </w:r>
        <w:r>
          <w:fldChar w:fldCharType="separate"/>
        </w:r>
        <w:r>
          <w:t>117</w:t>
        </w:r>
        <w:r>
          <w:fldChar w:fldCharType="end"/>
        </w:r>
      </w:hyperlink>
    </w:p>
    <w:p w14:paraId="2E14795B" w14:textId="77777777" w:rsidR="001C08A5" w:rsidRDefault="00000000">
      <w:pPr>
        <w:pStyle w:val="TableofFigures"/>
        <w:tabs>
          <w:tab w:val="right" w:leader="dot" w:pos="9639"/>
        </w:tabs>
        <w:ind w:left="800" w:hanging="400"/>
      </w:pPr>
      <w:hyperlink w:anchor="_Toc28758" w:history="1">
        <w:r>
          <w:t>Figura 50  - Performanțe privind etanșarea spaţiilor libere dintre planşee şi peretele cortină</w:t>
        </w:r>
        <w:r>
          <w:tab/>
        </w:r>
        <w:r>
          <w:fldChar w:fldCharType="begin"/>
        </w:r>
        <w:r>
          <w:instrText xml:space="preserve"> PAGEREF _Toc28758 \h </w:instrText>
        </w:r>
        <w:r>
          <w:fldChar w:fldCharType="separate"/>
        </w:r>
        <w:r>
          <w:t>117</w:t>
        </w:r>
        <w:r>
          <w:fldChar w:fldCharType="end"/>
        </w:r>
      </w:hyperlink>
    </w:p>
    <w:p w14:paraId="62805C8B" w14:textId="77777777" w:rsidR="001C08A5" w:rsidRDefault="00000000">
      <w:pPr>
        <w:pStyle w:val="TableofFigures"/>
        <w:tabs>
          <w:tab w:val="right" w:leader="dot" w:pos="9639"/>
        </w:tabs>
        <w:ind w:left="800" w:hanging="400"/>
      </w:pPr>
      <w:hyperlink w:anchor="_Toc6158" w:history="1">
        <w:r>
          <w:t xml:space="preserve">Figura 51  - </w:t>
        </w:r>
        <w:r>
          <w:rPr>
            <w:bCs/>
          </w:rPr>
          <w:t>Bordările golurilor din închiderile perimetrale</w:t>
        </w:r>
        <w:r>
          <w:tab/>
        </w:r>
        <w:r>
          <w:fldChar w:fldCharType="begin"/>
        </w:r>
        <w:r>
          <w:instrText xml:space="preserve"> PAGEREF _Toc6158 \h </w:instrText>
        </w:r>
        <w:r>
          <w:fldChar w:fldCharType="separate"/>
        </w:r>
        <w:r>
          <w:t>123</w:t>
        </w:r>
        <w:r>
          <w:fldChar w:fldCharType="end"/>
        </w:r>
      </w:hyperlink>
    </w:p>
    <w:p w14:paraId="716B1B15" w14:textId="77777777" w:rsidR="001C08A5" w:rsidRDefault="00000000">
      <w:pPr>
        <w:pStyle w:val="TableofFigures"/>
        <w:tabs>
          <w:tab w:val="right" w:leader="dot" w:pos="9639"/>
        </w:tabs>
        <w:ind w:left="800" w:hanging="400"/>
      </w:pPr>
      <w:hyperlink w:anchor="_Toc9487" w:history="1">
        <w:r>
          <w:t>Figura 52  - Anularea efectului de coş la faţadă dublă</w:t>
        </w:r>
        <w:r>
          <w:tab/>
        </w:r>
        <w:r>
          <w:fldChar w:fldCharType="begin"/>
        </w:r>
        <w:r>
          <w:instrText xml:space="preserve"> PAGEREF _Toc9487 \h </w:instrText>
        </w:r>
        <w:r>
          <w:fldChar w:fldCharType="separate"/>
        </w:r>
        <w:r>
          <w:t>137</w:t>
        </w:r>
        <w:r>
          <w:fldChar w:fldCharType="end"/>
        </w:r>
      </w:hyperlink>
    </w:p>
    <w:p w14:paraId="34FAE59F" w14:textId="77777777" w:rsidR="001C08A5" w:rsidRDefault="00000000">
      <w:pPr>
        <w:pStyle w:val="TableofFigures"/>
        <w:tabs>
          <w:tab w:val="right" w:leader="dot" w:pos="9639"/>
        </w:tabs>
        <w:ind w:left="800" w:hanging="400"/>
      </w:pPr>
      <w:hyperlink w:anchor="_Toc25079" w:history="1">
        <w:r>
          <w:t xml:space="preserve">Figura 53  - </w:t>
        </w:r>
        <w:r>
          <w:rPr>
            <w:bCs/>
          </w:rPr>
          <w:t>Camere frigorifice de tip box-in-box</w:t>
        </w:r>
        <w:r>
          <w:tab/>
        </w:r>
        <w:r>
          <w:fldChar w:fldCharType="begin"/>
        </w:r>
        <w:r>
          <w:instrText xml:space="preserve"> PAGEREF _Toc25079 \h </w:instrText>
        </w:r>
        <w:r>
          <w:fldChar w:fldCharType="separate"/>
        </w:r>
        <w:r>
          <w:t>153</w:t>
        </w:r>
        <w:r>
          <w:fldChar w:fldCharType="end"/>
        </w:r>
      </w:hyperlink>
    </w:p>
    <w:p w14:paraId="1847DB4F" w14:textId="77777777" w:rsidR="001C08A5" w:rsidRDefault="00000000">
      <w:pPr>
        <w:pStyle w:val="TableofFigures"/>
        <w:tabs>
          <w:tab w:val="right" w:leader="dot" w:pos="9639"/>
        </w:tabs>
        <w:ind w:left="800" w:hanging="400"/>
      </w:pPr>
      <w:hyperlink w:anchor="_Toc5784" w:history="1">
        <w:r>
          <w:t>Figura 54  - Amplasare grupări de celule fotovoltaice</w:t>
        </w:r>
        <w:r>
          <w:tab/>
        </w:r>
        <w:r>
          <w:fldChar w:fldCharType="begin"/>
        </w:r>
        <w:r>
          <w:instrText xml:space="preserve"> PAGEREF _Toc5784 \h </w:instrText>
        </w:r>
        <w:r>
          <w:fldChar w:fldCharType="separate"/>
        </w:r>
        <w:r>
          <w:t>155</w:t>
        </w:r>
        <w:r>
          <w:fldChar w:fldCharType="end"/>
        </w:r>
      </w:hyperlink>
    </w:p>
    <w:p w14:paraId="17B5114F" w14:textId="77777777" w:rsidR="001C08A5" w:rsidRDefault="00000000">
      <w:pPr>
        <w:pStyle w:val="TableofFigures"/>
        <w:tabs>
          <w:tab w:val="right" w:leader="dot" w:pos="9639"/>
        </w:tabs>
        <w:ind w:left="800" w:hanging="400"/>
      </w:pPr>
      <w:hyperlink w:anchor="_Toc1276" w:history="1">
        <w:r>
          <w:t xml:space="preserve">Figura 55  - </w:t>
        </w:r>
        <w:r>
          <w:rPr>
            <w:bCs/>
          </w:rPr>
          <w:t>Grafic înălțime clădire/ lățime copertină</w:t>
        </w:r>
        <w:r>
          <w:tab/>
        </w:r>
        <w:r>
          <w:fldChar w:fldCharType="begin"/>
        </w:r>
        <w:r>
          <w:instrText xml:space="preserve"> PAGEREF _Toc1276 \h </w:instrText>
        </w:r>
        <w:r>
          <w:fldChar w:fldCharType="separate"/>
        </w:r>
        <w:r>
          <w:t>165</w:t>
        </w:r>
        <w:r>
          <w:fldChar w:fldCharType="end"/>
        </w:r>
      </w:hyperlink>
    </w:p>
    <w:p w14:paraId="1865D29A" w14:textId="77777777" w:rsidR="001C08A5" w:rsidRDefault="00000000">
      <w:pPr>
        <w:pStyle w:val="TableofFigures"/>
        <w:tabs>
          <w:tab w:val="right" w:leader="dot" w:pos="9639"/>
        </w:tabs>
        <w:ind w:left="800" w:hanging="400"/>
      </w:pPr>
      <w:hyperlink w:anchor="_Toc22893" w:history="1">
        <w:r>
          <w:t xml:space="preserve">Figura 56  - </w:t>
        </w:r>
        <w:r>
          <w:rPr>
            <w:bCs/>
          </w:rPr>
          <w:t>Proximitatea uşii de acces şi evacuare cu copertină centrată pe axul uşii de evacuare (X – lungime copertină si L – lățime copertină)</w:t>
        </w:r>
        <w:r>
          <w:tab/>
        </w:r>
        <w:r>
          <w:fldChar w:fldCharType="begin"/>
        </w:r>
        <w:r>
          <w:instrText xml:space="preserve"> PAGEREF _Toc22893 \h </w:instrText>
        </w:r>
        <w:r>
          <w:fldChar w:fldCharType="separate"/>
        </w:r>
        <w:r>
          <w:t>166</w:t>
        </w:r>
        <w:r>
          <w:fldChar w:fldCharType="end"/>
        </w:r>
      </w:hyperlink>
    </w:p>
    <w:p w14:paraId="154D1BB0" w14:textId="77777777" w:rsidR="001C08A5" w:rsidRDefault="00000000">
      <w:pPr>
        <w:pStyle w:val="TableofFigures"/>
        <w:tabs>
          <w:tab w:val="right" w:leader="dot" w:pos="9639"/>
        </w:tabs>
        <w:ind w:left="800" w:hanging="400"/>
      </w:pPr>
      <w:hyperlink w:anchor="_Toc24838" w:history="1">
        <w:r>
          <w:t xml:space="preserve">Figura 57  - </w:t>
        </w:r>
        <w:r>
          <w:rPr>
            <w:bCs/>
          </w:rPr>
          <w:t>Proximitatea uşii de acces şi evacuare cu copertină</w:t>
        </w:r>
        <w:r>
          <w:tab/>
        </w:r>
        <w:r>
          <w:fldChar w:fldCharType="begin"/>
        </w:r>
        <w:r>
          <w:instrText xml:space="preserve"> PAGEREF _Toc24838 \h </w:instrText>
        </w:r>
        <w:r>
          <w:fldChar w:fldCharType="separate"/>
        </w:r>
        <w:r>
          <w:t>166</w:t>
        </w:r>
        <w:r>
          <w:fldChar w:fldCharType="end"/>
        </w:r>
      </w:hyperlink>
    </w:p>
    <w:p w14:paraId="4A2BFC30" w14:textId="77777777" w:rsidR="001C08A5" w:rsidRDefault="00000000">
      <w:pPr>
        <w:pStyle w:val="TableofFigures"/>
        <w:tabs>
          <w:tab w:val="right" w:leader="dot" w:pos="9639"/>
        </w:tabs>
        <w:ind w:left="800" w:hanging="400"/>
      </w:pPr>
      <w:hyperlink w:anchor="_Toc12787" w:history="1">
        <w:r>
          <w:t>Figura 58  - Scări cu rampe curbe (elicoidale) care sunt considerate căi de evacuare pentru mai multe unități de trecere (fluxuri)</w:t>
        </w:r>
        <w:r>
          <w:tab/>
        </w:r>
        <w:r>
          <w:fldChar w:fldCharType="begin"/>
        </w:r>
        <w:r>
          <w:instrText xml:space="preserve"> PAGEREF _Toc12787 \h </w:instrText>
        </w:r>
        <w:r>
          <w:fldChar w:fldCharType="separate"/>
        </w:r>
        <w:r>
          <w:t>168</w:t>
        </w:r>
        <w:r>
          <w:fldChar w:fldCharType="end"/>
        </w:r>
      </w:hyperlink>
    </w:p>
    <w:p w14:paraId="1476A1B2" w14:textId="77777777" w:rsidR="001C08A5" w:rsidRDefault="00000000">
      <w:pPr>
        <w:pStyle w:val="TableofFigures"/>
        <w:tabs>
          <w:tab w:val="right" w:leader="dot" w:pos="9639"/>
        </w:tabs>
        <w:ind w:left="800" w:hanging="400"/>
      </w:pPr>
      <w:hyperlink w:anchor="_Toc13116" w:history="1">
        <w:r>
          <w:t>Figura 59  - Protejarea circulațiilor prevăzute pentru evacuarea utilizatorilor de pe terasă</w:t>
        </w:r>
        <w:r>
          <w:tab/>
        </w:r>
        <w:r>
          <w:fldChar w:fldCharType="begin"/>
        </w:r>
        <w:r>
          <w:instrText xml:space="preserve"> PAGEREF _Toc13116 \h </w:instrText>
        </w:r>
        <w:r>
          <w:fldChar w:fldCharType="separate"/>
        </w:r>
        <w:r>
          <w:t>173</w:t>
        </w:r>
        <w:r>
          <w:fldChar w:fldCharType="end"/>
        </w:r>
      </w:hyperlink>
    </w:p>
    <w:p w14:paraId="2625DE7E" w14:textId="77777777" w:rsidR="001C08A5" w:rsidRDefault="00000000">
      <w:pPr>
        <w:pStyle w:val="TableofFigures"/>
        <w:tabs>
          <w:tab w:val="right" w:leader="dot" w:pos="9639"/>
        </w:tabs>
        <w:ind w:left="800" w:hanging="400"/>
      </w:pPr>
      <w:hyperlink w:anchor="_Toc5596" w:history="1">
        <w:r>
          <w:t xml:space="preserve">Figura 60  - </w:t>
        </w:r>
        <w:r>
          <w:rPr>
            <w:bCs/>
          </w:rPr>
          <w:t>Lăţimi normate ale unităţilor de trecere (fluxurilor) de evacuare și lățimi libere ale ușilor de evacuare corespunzător numărului de fluxuri</w:t>
        </w:r>
        <w:r>
          <w:tab/>
        </w:r>
        <w:r>
          <w:fldChar w:fldCharType="begin"/>
        </w:r>
        <w:r>
          <w:instrText xml:space="preserve"> PAGEREF _Toc5596 \h </w:instrText>
        </w:r>
        <w:r>
          <w:fldChar w:fldCharType="separate"/>
        </w:r>
        <w:r>
          <w:t>184</w:t>
        </w:r>
        <w:r>
          <w:fldChar w:fldCharType="end"/>
        </w:r>
      </w:hyperlink>
    </w:p>
    <w:p w14:paraId="15D53D6D" w14:textId="77777777" w:rsidR="001C08A5" w:rsidRDefault="00000000">
      <w:pPr>
        <w:pStyle w:val="TableofFigures"/>
        <w:tabs>
          <w:tab w:val="right" w:leader="dot" w:pos="9639"/>
        </w:tabs>
        <w:ind w:left="800" w:hanging="400"/>
      </w:pPr>
      <w:hyperlink w:anchor="_Toc27280" w:history="1">
        <w:r>
          <w:t>Figura 61  - Lățimi și înălțimi libere ale ușilor de evacuare</w:t>
        </w:r>
        <w:r>
          <w:tab/>
        </w:r>
        <w:r>
          <w:fldChar w:fldCharType="begin"/>
        </w:r>
        <w:r>
          <w:instrText xml:space="preserve"> PAGEREF _Toc27280 \h </w:instrText>
        </w:r>
        <w:r>
          <w:fldChar w:fldCharType="separate"/>
        </w:r>
        <w:r>
          <w:t>184</w:t>
        </w:r>
        <w:r>
          <w:fldChar w:fldCharType="end"/>
        </w:r>
      </w:hyperlink>
    </w:p>
    <w:p w14:paraId="30A2342C" w14:textId="77777777" w:rsidR="001C08A5" w:rsidRDefault="00000000">
      <w:pPr>
        <w:pStyle w:val="TableofFigures"/>
        <w:tabs>
          <w:tab w:val="right" w:leader="dot" w:pos="9639"/>
        </w:tabs>
        <w:ind w:left="800" w:hanging="400"/>
      </w:pPr>
      <w:hyperlink w:anchor="_Toc23962" w:history="1">
        <w:r>
          <w:t xml:space="preserve">Figura 62  - </w:t>
        </w:r>
        <w:r>
          <w:rPr>
            <w:bCs/>
            <w:lang w:eastAsia="zh-CN"/>
          </w:rPr>
          <w:t>Evacuare (principii)</w:t>
        </w:r>
        <w:r>
          <w:tab/>
        </w:r>
        <w:r>
          <w:fldChar w:fldCharType="begin"/>
        </w:r>
        <w:r>
          <w:instrText xml:space="preserve"> PAGEREF _Toc23962 \h </w:instrText>
        </w:r>
        <w:r>
          <w:fldChar w:fldCharType="separate"/>
        </w:r>
        <w:r>
          <w:t>188</w:t>
        </w:r>
        <w:r>
          <w:fldChar w:fldCharType="end"/>
        </w:r>
      </w:hyperlink>
    </w:p>
    <w:p w14:paraId="59B850F4" w14:textId="77777777" w:rsidR="001C08A5" w:rsidRDefault="00000000">
      <w:pPr>
        <w:pStyle w:val="TableofFigures"/>
        <w:tabs>
          <w:tab w:val="right" w:leader="dot" w:pos="9639"/>
        </w:tabs>
        <w:ind w:left="800" w:hanging="400"/>
      </w:pPr>
      <w:hyperlink w:anchor="_Toc5549" w:history="1">
        <w:r>
          <w:t xml:space="preserve">Figura 63  - </w:t>
        </w:r>
        <w:r>
          <w:rPr>
            <w:bCs/>
            <w:lang w:eastAsia="zh-CN"/>
          </w:rPr>
          <w:t>Evacuare (calculul lungimii - exemple)</w:t>
        </w:r>
        <w:r>
          <w:tab/>
        </w:r>
        <w:r>
          <w:fldChar w:fldCharType="begin"/>
        </w:r>
        <w:r>
          <w:instrText xml:space="preserve"> PAGEREF _Toc5549 \h </w:instrText>
        </w:r>
        <w:r>
          <w:fldChar w:fldCharType="separate"/>
        </w:r>
        <w:r>
          <w:t>190</w:t>
        </w:r>
        <w:r>
          <w:fldChar w:fldCharType="end"/>
        </w:r>
      </w:hyperlink>
    </w:p>
    <w:p w14:paraId="0F0679BC" w14:textId="77777777" w:rsidR="001C08A5" w:rsidRDefault="00000000">
      <w:pPr>
        <w:pStyle w:val="TableofFigures"/>
        <w:tabs>
          <w:tab w:val="right" w:leader="dot" w:pos="9639"/>
        </w:tabs>
        <w:ind w:left="800" w:hanging="400"/>
      </w:pPr>
      <w:hyperlink w:anchor="_Toc14808" w:history="1">
        <w:r>
          <w:t xml:space="preserve">Figura 64  - </w:t>
        </w:r>
        <w:r>
          <w:rPr>
            <w:rFonts w:eastAsia="TimesNewRomanPS-BoldMT"/>
          </w:rPr>
          <w:t>Accesul autospecialelor de intervenție - caz general</w:t>
        </w:r>
        <w:r>
          <w:tab/>
        </w:r>
        <w:r>
          <w:fldChar w:fldCharType="begin"/>
        </w:r>
        <w:r>
          <w:instrText xml:space="preserve"> PAGEREF _Toc14808 \h </w:instrText>
        </w:r>
        <w:r>
          <w:fldChar w:fldCharType="separate"/>
        </w:r>
        <w:r>
          <w:t>193</w:t>
        </w:r>
        <w:r>
          <w:fldChar w:fldCharType="end"/>
        </w:r>
      </w:hyperlink>
    </w:p>
    <w:p w14:paraId="0678D3A7" w14:textId="77777777" w:rsidR="001C08A5" w:rsidRDefault="00000000">
      <w:pPr>
        <w:pStyle w:val="TableofFigures"/>
        <w:tabs>
          <w:tab w:val="right" w:leader="dot" w:pos="9639"/>
        </w:tabs>
        <w:ind w:left="800" w:hanging="400"/>
      </w:pPr>
      <w:hyperlink w:anchor="_Toc27647" w:history="1">
        <w:r>
          <w:t xml:space="preserve">Figura 65  - </w:t>
        </w:r>
        <w:r>
          <w:rPr>
            <w:rFonts w:eastAsia="TimesNewRomanPS-BoldMT"/>
          </w:rPr>
          <w:t>Accesul autospecialelor de intervenție la clădiri cu înălțimea mai mare de 15 m</w:t>
        </w:r>
        <w:r>
          <w:t xml:space="preserve"> </w:t>
        </w:r>
        <w:r>
          <w:rPr>
            <w:bCs/>
            <w:i/>
            <w:iCs/>
            <w:szCs w:val="24"/>
          </w:rPr>
          <w:t>(</w:t>
        </w:r>
        <w:r>
          <w:rPr>
            <w:rFonts w:eastAsia="TimesNewRomanPSMT"/>
            <w:bCs/>
            <w:szCs w:val="22"/>
          </w:rPr>
          <w:t>măsurată de la nivelul de referință</w:t>
        </w:r>
        <w:r>
          <w:t xml:space="preserve"> </w:t>
        </w:r>
        <w:r>
          <w:rPr>
            <w:rFonts w:eastAsia="TimesNewRomanPSMT"/>
            <w:bCs/>
            <w:szCs w:val="22"/>
          </w:rPr>
          <w:t>până la cota de călcare a ultimului nivel folosit de utilizatori)</w:t>
        </w:r>
        <w:r>
          <w:tab/>
        </w:r>
        <w:r>
          <w:fldChar w:fldCharType="begin"/>
        </w:r>
        <w:r>
          <w:instrText xml:space="preserve"> PAGEREF _Toc27647 \h </w:instrText>
        </w:r>
        <w:r>
          <w:fldChar w:fldCharType="separate"/>
        </w:r>
        <w:r>
          <w:t>194</w:t>
        </w:r>
        <w:r>
          <w:fldChar w:fldCharType="end"/>
        </w:r>
      </w:hyperlink>
    </w:p>
    <w:p w14:paraId="645C638A" w14:textId="77777777" w:rsidR="001C08A5" w:rsidRDefault="00000000">
      <w:pPr>
        <w:pStyle w:val="TableofFigures"/>
        <w:tabs>
          <w:tab w:val="right" w:leader="dot" w:pos="9639"/>
        </w:tabs>
        <w:ind w:left="800" w:hanging="400"/>
      </w:pPr>
      <w:hyperlink w:anchor="_Toc7165" w:history="1">
        <w:r>
          <w:t xml:space="preserve">Figura 66  - </w:t>
        </w:r>
        <w:r>
          <w:rPr>
            <w:bCs/>
          </w:rPr>
          <w:t xml:space="preserve">Separare tronsoane clădire (prin pereți de sectorizare rezistenți la foc pentru </w:t>
        </w:r>
        <w:r>
          <w:t>mansardarea construcţiilor civile)</w:t>
        </w:r>
        <w:r>
          <w:tab/>
        </w:r>
        <w:r>
          <w:fldChar w:fldCharType="begin"/>
        </w:r>
        <w:r>
          <w:instrText xml:space="preserve"> PAGEREF _Toc7165 \h </w:instrText>
        </w:r>
        <w:r>
          <w:fldChar w:fldCharType="separate"/>
        </w:r>
        <w:r>
          <w:t>203</w:t>
        </w:r>
        <w:r>
          <w:fldChar w:fldCharType="end"/>
        </w:r>
      </w:hyperlink>
    </w:p>
    <w:p w14:paraId="476395FA" w14:textId="77777777" w:rsidR="001C08A5" w:rsidRDefault="00000000">
      <w:pPr>
        <w:pStyle w:val="TableofFigures"/>
        <w:tabs>
          <w:tab w:val="right" w:leader="dot" w:pos="9639"/>
        </w:tabs>
        <w:ind w:left="800" w:hanging="400"/>
      </w:pPr>
      <w:hyperlink w:anchor="_Toc17131" w:history="1">
        <w:r>
          <w:t xml:space="preserve">Figura 67  - </w:t>
        </w:r>
        <w:r>
          <w:rPr>
            <w:bCs/>
          </w:rPr>
          <w:t>Accese la ascensoare de intervenție ale clădirilor (cerințe minimale)</w:t>
        </w:r>
        <w:r>
          <w:tab/>
        </w:r>
        <w:r>
          <w:fldChar w:fldCharType="begin"/>
        </w:r>
        <w:r>
          <w:instrText xml:space="preserve"> PAGEREF _Toc17131 \h </w:instrText>
        </w:r>
        <w:r>
          <w:fldChar w:fldCharType="separate"/>
        </w:r>
        <w:r>
          <w:t>210</w:t>
        </w:r>
        <w:r>
          <w:fldChar w:fldCharType="end"/>
        </w:r>
      </w:hyperlink>
    </w:p>
    <w:p w14:paraId="527D606D" w14:textId="77777777" w:rsidR="001C08A5" w:rsidRDefault="00000000">
      <w:pPr>
        <w:pStyle w:val="TableofFigures"/>
        <w:tabs>
          <w:tab w:val="right" w:leader="dot" w:pos="9639"/>
        </w:tabs>
        <w:ind w:left="800" w:hanging="400"/>
      </w:pPr>
      <w:hyperlink w:anchor="_Toc812" w:history="1">
        <w:r>
          <w:t xml:space="preserve">Figura 68  - </w:t>
        </w:r>
        <w:r>
          <w:rPr>
            <w:bCs/>
          </w:rPr>
          <w:t>Concept de apărare ”pe loc”</w:t>
        </w:r>
        <w:r>
          <w:tab/>
        </w:r>
        <w:r>
          <w:fldChar w:fldCharType="begin"/>
        </w:r>
        <w:r>
          <w:instrText xml:space="preserve"> PAGEREF _Toc812 \h </w:instrText>
        </w:r>
        <w:r>
          <w:fldChar w:fldCharType="separate"/>
        </w:r>
        <w:r>
          <w:t>237</w:t>
        </w:r>
        <w:r>
          <w:fldChar w:fldCharType="end"/>
        </w:r>
      </w:hyperlink>
    </w:p>
    <w:p w14:paraId="2EE90FD0" w14:textId="77777777" w:rsidR="001C08A5" w:rsidRDefault="00000000">
      <w:pPr>
        <w:pStyle w:val="TableofFigures"/>
        <w:tabs>
          <w:tab w:val="right" w:leader="dot" w:pos="9639"/>
        </w:tabs>
        <w:ind w:left="800" w:hanging="400"/>
      </w:pPr>
      <w:hyperlink w:anchor="_Toc29571" w:history="1">
        <w:r>
          <w:t xml:space="preserve">Figura 69  - </w:t>
        </w:r>
        <w:r>
          <w:rPr>
            <w:bCs/>
          </w:rPr>
          <w:t xml:space="preserve">Compartimentare antifoc și arii compartimente de incendiu la clădirile şi compartimentele de incendiu supraterane civile înalte </w:t>
        </w:r>
        <w:r>
          <w:tab/>
        </w:r>
        <w:r>
          <w:fldChar w:fldCharType="begin"/>
        </w:r>
        <w:r>
          <w:instrText xml:space="preserve"> PAGEREF _Toc29571 \h </w:instrText>
        </w:r>
        <w:r>
          <w:fldChar w:fldCharType="separate"/>
        </w:r>
        <w:r>
          <w:t>270</w:t>
        </w:r>
        <w:r>
          <w:fldChar w:fldCharType="end"/>
        </w:r>
      </w:hyperlink>
    </w:p>
    <w:p w14:paraId="3E106CB7" w14:textId="77777777" w:rsidR="001C08A5" w:rsidRDefault="00000000">
      <w:pPr>
        <w:pStyle w:val="TableofFigures"/>
        <w:tabs>
          <w:tab w:val="right" w:leader="dot" w:pos="9639"/>
        </w:tabs>
        <w:ind w:left="800" w:hanging="400"/>
      </w:pPr>
      <w:hyperlink w:anchor="_Toc13886" w:history="1">
        <w:r>
          <w:t xml:space="preserve">Figura 70  - </w:t>
        </w:r>
        <w:r>
          <w:rPr>
            <w:bCs/>
          </w:rPr>
          <w:t xml:space="preserve">Întrerupere cu diafragme a </w:t>
        </w:r>
        <w:r>
          <w:t xml:space="preserve">plafoanelor cu suprafața continuă sau discontinuă / modulară </w:t>
        </w:r>
        <w:r>
          <w:rPr>
            <w:bCs/>
          </w:rPr>
          <w:t>la clădiri înalte (atunci când spațiul dintre plafonul suspendat și planşeul de rezistenţă nu este echipat cu instalație automată de stingere cu sprinklere conform SR EN 12845)</w:t>
        </w:r>
        <w:r>
          <w:tab/>
        </w:r>
        <w:r>
          <w:fldChar w:fldCharType="begin"/>
        </w:r>
        <w:r>
          <w:instrText xml:space="preserve"> PAGEREF _Toc13886 \h </w:instrText>
        </w:r>
        <w:r>
          <w:fldChar w:fldCharType="separate"/>
        </w:r>
        <w:r>
          <w:t>274</w:t>
        </w:r>
        <w:r>
          <w:fldChar w:fldCharType="end"/>
        </w:r>
      </w:hyperlink>
    </w:p>
    <w:p w14:paraId="17276D44" w14:textId="77777777" w:rsidR="001C08A5" w:rsidRDefault="00000000">
      <w:pPr>
        <w:pStyle w:val="TableofFigures"/>
        <w:tabs>
          <w:tab w:val="right" w:leader="dot" w:pos="9639"/>
        </w:tabs>
        <w:ind w:left="800" w:hanging="400"/>
      </w:pPr>
      <w:hyperlink w:anchor="_Toc26716" w:history="1">
        <w:r>
          <w:t>Figura 71  - P</w:t>
        </w:r>
        <w:r>
          <w:rPr>
            <w:bCs/>
          </w:rPr>
          <w:t>lafoane cu suprafața continuă sau discontinuă / modulară la clădiri înalte la care nu este necesară întreruperea cu diafragme (atunci când spațiul dintre plafonul suspendat și planşeul de rezistenţă este echipat cu instalație automată de stingere cu sprinklere conform SR EN 12845)</w:t>
        </w:r>
        <w:r>
          <w:tab/>
        </w:r>
        <w:r>
          <w:fldChar w:fldCharType="begin"/>
        </w:r>
        <w:r>
          <w:instrText xml:space="preserve"> PAGEREF _Toc26716 \h </w:instrText>
        </w:r>
        <w:r>
          <w:fldChar w:fldCharType="separate"/>
        </w:r>
        <w:r>
          <w:t>275</w:t>
        </w:r>
        <w:r>
          <w:fldChar w:fldCharType="end"/>
        </w:r>
      </w:hyperlink>
    </w:p>
    <w:p w14:paraId="5E9799CD" w14:textId="77777777" w:rsidR="001C08A5" w:rsidRDefault="00000000">
      <w:pPr>
        <w:pStyle w:val="TableofFigures"/>
        <w:tabs>
          <w:tab w:val="right" w:leader="dot" w:pos="9639"/>
        </w:tabs>
        <w:ind w:left="800" w:hanging="400"/>
      </w:pPr>
      <w:hyperlink w:anchor="_Toc9302" w:history="1">
        <w:r>
          <w:t xml:space="preserve">Figura 72  - </w:t>
        </w:r>
        <w:r>
          <w:rPr>
            <w:bCs/>
          </w:rPr>
          <w:t>Compartimentare antifoc și arii compartimente de incendiu la clădirile şi compartimentele de incendiu supraterane civile foarte înalte</w:t>
        </w:r>
        <w:r>
          <w:tab/>
        </w:r>
        <w:r>
          <w:fldChar w:fldCharType="begin"/>
        </w:r>
        <w:r>
          <w:instrText xml:space="preserve"> PAGEREF _Toc9302 \h </w:instrText>
        </w:r>
        <w:r>
          <w:fldChar w:fldCharType="separate"/>
        </w:r>
        <w:r>
          <w:t>284</w:t>
        </w:r>
        <w:r>
          <w:fldChar w:fldCharType="end"/>
        </w:r>
      </w:hyperlink>
    </w:p>
    <w:p w14:paraId="78F42DFA" w14:textId="77777777" w:rsidR="001C08A5" w:rsidRDefault="00000000">
      <w:pPr>
        <w:pStyle w:val="TableofFigures"/>
        <w:tabs>
          <w:tab w:val="right" w:leader="dot" w:pos="9639"/>
        </w:tabs>
        <w:ind w:left="800" w:hanging="400"/>
      </w:pPr>
      <w:hyperlink w:anchor="_Toc24500" w:history="1">
        <w:r>
          <w:t xml:space="preserve">Figura 73  - </w:t>
        </w:r>
        <w:r>
          <w:rPr>
            <w:bCs/>
          </w:rPr>
          <w:t>Întrerupere cu diafragme a plafoanelor cu suprafața continuă sau discontinuă / modulară la clădiri foarte înalte (atunci când spațiul dintre plafonul suspendat și planşeul de rezistenţă nu este echipat cu instalație automată de stingere cu sprinklere conform SR EN 12845)</w:t>
        </w:r>
        <w:r>
          <w:tab/>
        </w:r>
        <w:r>
          <w:fldChar w:fldCharType="begin"/>
        </w:r>
        <w:r>
          <w:instrText xml:space="preserve"> PAGEREF _Toc24500 \h </w:instrText>
        </w:r>
        <w:r>
          <w:fldChar w:fldCharType="separate"/>
        </w:r>
        <w:r>
          <w:t>289</w:t>
        </w:r>
        <w:r>
          <w:fldChar w:fldCharType="end"/>
        </w:r>
      </w:hyperlink>
    </w:p>
    <w:p w14:paraId="4A94CE39" w14:textId="77777777" w:rsidR="001C08A5" w:rsidRDefault="00000000">
      <w:pPr>
        <w:pStyle w:val="TableofFigures"/>
        <w:tabs>
          <w:tab w:val="right" w:leader="dot" w:pos="9639"/>
        </w:tabs>
        <w:ind w:left="800" w:hanging="400"/>
      </w:pPr>
      <w:hyperlink w:anchor="_Toc14801" w:history="1">
        <w:r>
          <w:t>Figura 74  - P</w:t>
        </w:r>
        <w:r>
          <w:rPr>
            <w:bCs/>
          </w:rPr>
          <w:t>lafoane cu suprafața continuă sau discontinuă / modulară la clădiri foarte înalte la care nu este necesară întreruperea cu diafragme (atunci când spațiul dintre plafonul suspendat și planşeul de rezistenţă este echipat cu instalație automată de stingere cu sprinklere conform SR EN 12845)</w:t>
        </w:r>
        <w:r>
          <w:tab/>
        </w:r>
        <w:r>
          <w:fldChar w:fldCharType="begin"/>
        </w:r>
        <w:r>
          <w:instrText xml:space="preserve"> PAGEREF _Toc14801 \h </w:instrText>
        </w:r>
        <w:r>
          <w:fldChar w:fldCharType="separate"/>
        </w:r>
        <w:r>
          <w:t>290</w:t>
        </w:r>
        <w:r>
          <w:fldChar w:fldCharType="end"/>
        </w:r>
      </w:hyperlink>
    </w:p>
    <w:p w14:paraId="49B84B08" w14:textId="77777777" w:rsidR="001C08A5" w:rsidRDefault="00000000">
      <w:pPr>
        <w:pStyle w:val="TableofFigures"/>
        <w:tabs>
          <w:tab w:val="right" w:leader="dot" w:pos="9639"/>
        </w:tabs>
        <w:ind w:left="800" w:hanging="400"/>
      </w:pPr>
      <w:hyperlink w:anchor="_Toc1926" w:history="1">
        <w:r>
          <w:t xml:space="preserve">Figura 75  - </w:t>
        </w:r>
        <w:r>
          <w:rPr>
            <w:bCs/>
          </w:rPr>
          <w:t>Ascensor dedicat intervenției (obligatoriu la clădiri cu înălțimea mai mare sau egală de 75 m) prevazut cu acces dedicat din încăperea tampon aferentă casei de scara destinată numai intervenției pompierilor</w:t>
        </w:r>
        <w:r>
          <w:tab/>
        </w:r>
        <w:r>
          <w:fldChar w:fldCharType="begin"/>
        </w:r>
        <w:r>
          <w:instrText xml:space="preserve"> PAGEREF _Toc1926 \h </w:instrText>
        </w:r>
        <w:r>
          <w:fldChar w:fldCharType="separate"/>
        </w:r>
        <w:r>
          <w:t>296</w:t>
        </w:r>
        <w:r>
          <w:fldChar w:fldCharType="end"/>
        </w:r>
      </w:hyperlink>
    </w:p>
    <w:p w14:paraId="3E234214" w14:textId="77777777" w:rsidR="001C08A5" w:rsidRDefault="00000000">
      <w:pPr>
        <w:pStyle w:val="TableofFigures"/>
        <w:tabs>
          <w:tab w:val="right" w:leader="dot" w:pos="9639"/>
        </w:tabs>
        <w:ind w:left="800" w:hanging="400"/>
      </w:pPr>
      <w:hyperlink w:anchor="_Toc16265" w:history="1">
        <w:r>
          <w:t xml:space="preserve">Figura 76  - </w:t>
        </w:r>
        <w:r>
          <w:rPr>
            <w:bCs/>
          </w:rPr>
          <w:t>Încăperi tampon protejate, ventilate în suprapresiune şi prevăzute cu uşi rezistente la foc minimum EI</w:t>
        </w:r>
        <w:r>
          <w:rPr>
            <w:bCs/>
            <w:vertAlign w:val="subscript"/>
          </w:rPr>
          <w:t>2</w:t>
        </w:r>
        <w:r>
          <w:rPr>
            <w:bCs/>
          </w:rPr>
          <w:t xml:space="preserve"> 90-C5S</w:t>
        </w:r>
        <w:r>
          <w:rPr>
            <w:bCs/>
            <w:vertAlign w:val="subscript"/>
          </w:rPr>
          <w:t>200</w:t>
        </w:r>
        <w:r>
          <w:rPr>
            <w:bCs/>
          </w:rPr>
          <w:t xml:space="preserve"> dispuse șicanat (la</w:t>
        </w:r>
        <w:r>
          <w:t xml:space="preserve"> risc de explozie volumetrică)</w:t>
        </w:r>
        <w:r>
          <w:tab/>
        </w:r>
        <w:r>
          <w:fldChar w:fldCharType="begin"/>
        </w:r>
        <w:r>
          <w:instrText xml:space="preserve"> PAGEREF _Toc16265 \h </w:instrText>
        </w:r>
        <w:r>
          <w:fldChar w:fldCharType="separate"/>
        </w:r>
        <w:r>
          <w:t>326</w:t>
        </w:r>
        <w:r>
          <w:fldChar w:fldCharType="end"/>
        </w:r>
      </w:hyperlink>
    </w:p>
    <w:p w14:paraId="69AAE0BD" w14:textId="77777777" w:rsidR="001C08A5" w:rsidRDefault="00000000">
      <w:pPr>
        <w:pStyle w:val="TableofFigures"/>
        <w:tabs>
          <w:tab w:val="right" w:leader="dot" w:pos="9639"/>
        </w:tabs>
        <w:ind w:left="800" w:hanging="400"/>
      </w:pPr>
      <w:hyperlink w:anchor="_Toc493" w:history="1">
        <w:r>
          <w:t xml:space="preserve">Figura 77  - </w:t>
        </w:r>
        <w:r>
          <w:rPr>
            <w:bCs/>
          </w:rPr>
          <w:t>Prevederea sistemelor de evacuare a fumului și a gazelor fierbinți la circulații comune orizontale</w:t>
        </w:r>
        <w:r>
          <w:tab/>
        </w:r>
        <w:r>
          <w:fldChar w:fldCharType="begin"/>
        </w:r>
        <w:r>
          <w:instrText xml:space="preserve"> PAGEREF _Toc493 \h </w:instrText>
        </w:r>
        <w:r>
          <w:fldChar w:fldCharType="separate"/>
        </w:r>
        <w:r>
          <w:t>350</w:t>
        </w:r>
        <w:r>
          <w:fldChar w:fldCharType="end"/>
        </w:r>
      </w:hyperlink>
    </w:p>
    <w:p w14:paraId="5B7CACF1" w14:textId="77777777" w:rsidR="001C08A5" w:rsidRDefault="00000000">
      <w:pPr>
        <w:pStyle w:val="TableofFigures"/>
        <w:tabs>
          <w:tab w:val="right" w:leader="dot" w:pos="9639"/>
        </w:tabs>
        <w:ind w:left="800" w:hanging="400"/>
      </w:pPr>
      <w:hyperlink w:anchor="_Toc26995" w:history="1">
        <w:r>
          <w:t xml:space="preserve">Figura 78  - </w:t>
        </w:r>
        <w:r>
          <w:rPr>
            <w:bCs/>
          </w:rPr>
          <w:t>Dispunerea pe înălţime a gurilor de evacuare a fumului şi a celor de admisie a aerului pentru încăperi/spatii cu înăltimea liberă de maxim 3m</w:t>
        </w:r>
        <w:r>
          <w:tab/>
        </w:r>
        <w:r>
          <w:fldChar w:fldCharType="begin"/>
        </w:r>
        <w:r>
          <w:instrText xml:space="preserve"> PAGEREF _Toc26995 \h </w:instrText>
        </w:r>
        <w:r>
          <w:fldChar w:fldCharType="separate"/>
        </w:r>
        <w:r>
          <w:t>352</w:t>
        </w:r>
        <w:r>
          <w:fldChar w:fldCharType="end"/>
        </w:r>
      </w:hyperlink>
    </w:p>
    <w:p w14:paraId="5903842C" w14:textId="77777777" w:rsidR="001C08A5" w:rsidRDefault="00000000">
      <w:pPr>
        <w:pStyle w:val="TableofFigures"/>
        <w:tabs>
          <w:tab w:val="right" w:leader="dot" w:pos="9639"/>
        </w:tabs>
        <w:ind w:left="800" w:hanging="400"/>
      </w:pPr>
      <w:hyperlink w:anchor="_Toc25351" w:history="1">
        <w:r>
          <w:t xml:space="preserve">Figura 79  - </w:t>
        </w:r>
        <w:r>
          <w:rPr>
            <w:bCs/>
          </w:rPr>
          <w:t>Lungimea maximă a rezervorului de fum</w:t>
        </w:r>
        <w:r>
          <w:tab/>
        </w:r>
        <w:r>
          <w:fldChar w:fldCharType="begin"/>
        </w:r>
        <w:r>
          <w:instrText xml:space="preserve"> PAGEREF _Toc25351 \h </w:instrText>
        </w:r>
        <w:r>
          <w:fldChar w:fldCharType="separate"/>
        </w:r>
        <w:r>
          <w:t>353</w:t>
        </w:r>
        <w:r>
          <w:fldChar w:fldCharType="end"/>
        </w:r>
      </w:hyperlink>
    </w:p>
    <w:p w14:paraId="76F27807" w14:textId="77777777" w:rsidR="001C08A5" w:rsidRDefault="00000000">
      <w:pPr>
        <w:pStyle w:val="TableofFigures"/>
        <w:tabs>
          <w:tab w:val="right" w:leader="dot" w:pos="9639"/>
        </w:tabs>
        <w:ind w:left="800" w:hanging="400"/>
      </w:pPr>
      <w:hyperlink w:anchor="_Toc31268" w:history="1">
        <w:r>
          <w:t xml:space="preserve">Figura 80  - </w:t>
        </w:r>
        <w:r>
          <w:rPr>
            <w:bCs/>
          </w:rPr>
          <w:t xml:space="preserve">Amplasarea  </w:t>
        </w:r>
        <w:r>
          <w:rPr>
            <w:bCs/>
            <w:lang w:eastAsia="ro-RO"/>
          </w:rPr>
          <w:t xml:space="preserve">în acoperişul/pe terasa construcţiilor a </w:t>
        </w:r>
        <w:r>
          <w:rPr>
            <w:bCs/>
          </w:rPr>
          <w:t>dispozitivelor de evacuare a fumului și gazelor fierbinti</w:t>
        </w:r>
        <w:r>
          <w:tab/>
        </w:r>
        <w:r>
          <w:fldChar w:fldCharType="begin"/>
        </w:r>
        <w:r>
          <w:instrText xml:space="preserve"> PAGEREF _Toc31268 \h </w:instrText>
        </w:r>
        <w:r>
          <w:fldChar w:fldCharType="separate"/>
        </w:r>
        <w:r>
          <w:t>360</w:t>
        </w:r>
        <w:r>
          <w:fldChar w:fldCharType="end"/>
        </w:r>
      </w:hyperlink>
    </w:p>
    <w:p w14:paraId="4EF3A1E6" w14:textId="77777777" w:rsidR="001C08A5" w:rsidRDefault="00000000">
      <w:pPr>
        <w:pStyle w:val="TableofFigures"/>
        <w:tabs>
          <w:tab w:val="right" w:leader="dot" w:pos="9639"/>
        </w:tabs>
        <w:ind w:left="800" w:hanging="400"/>
      </w:pPr>
      <w:hyperlink w:anchor="_Toc7314" w:history="1">
        <w:r>
          <w:t xml:space="preserve">Figura 81  - </w:t>
        </w:r>
        <w:r>
          <w:rPr>
            <w:bCs/>
          </w:rPr>
          <w:t xml:space="preserve">Evacuarea fumului din casele de scări închise supraterane asigurată prin tiraj natural </w:t>
        </w:r>
        <w:r>
          <w:t>(principiul nu se aplică la casele de scări închise prevăzute cu suprapresiune)</w:t>
        </w:r>
        <w:r>
          <w:tab/>
        </w:r>
        <w:r>
          <w:fldChar w:fldCharType="begin"/>
        </w:r>
        <w:r>
          <w:instrText xml:space="preserve"> PAGEREF _Toc7314 \h </w:instrText>
        </w:r>
        <w:r>
          <w:fldChar w:fldCharType="separate"/>
        </w:r>
        <w:r>
          <w:t>360</w:t>
        </w:r>
        <w:r>
          <w:fldChar w:fldCharType="end"/>
        </w:r>
      </w:hyperlink>
    </w:p>
    <w:p w14:paraId="7396CA0C" w14:textId="77777777" w:rsidR="001C08A5" w:rsidRDefault="00000000">
      <w:pPr>
        <w:pStyle w:val="TableofFigures"/>
        <w:tabs>
          <w:tab w:val="right" w:leader="dot" w:pos="9639"/>
        </w:tabs>
        <w:ind w:left="800" w:hanging="400"/>
      </w:pPr>
      <w:hyperlink w:anchor="_Toc25559" w:history="1">
        <w:r>
          <w:t xml:space="preserve">Figura 82  - </w:t>
        </w:r>
        <w:r>
          <w:rPr>
            <w:bCs/>
          </w:rPr>
          <w:t>Evacuarea fumului şi gazelor fierbinţi în caz de incendiu din circulaţiile comune orizontale, prin tiraj natural-organizat</w:t>
        </w:r>
        <w:r>
          <w:tab/>
        </w:r>
        <w:r>
          <w:fldChar w:fldCharType="begin"/>
        </w:r>
        <w:r>
          <w:instrText xml:space="preserve"> PAGEREF _Toc25559 \h </w:instrText>
        </w:r>
        <w:r>
          <w:fldChar w:fldCharType="separate"/>
        </w:r>
        <w:r>
          <w:t>361</w:t>
        </w:r>
        <w:r>
          <w:fldChar w:fldCharType="end"/>
        </w:r>
      </w:hyperlink>
    </w:p>
    <w:p w14:paraId="7AD211DC" w14:textId="77777777" w:rsidR="001C08A5" w:rsidRDefault="00000000">
      <w:pPr>
        <w:pStyle w:val="TableofFigures"/>
        <w:tabs>
          <w:tab w:val="right" w:leader="dot" w:pos="9639"/>
        </w:tabs>
        <w:ind w:left="800" w:hanging="400"/>
      </w:pPr>
      <w:hyperlink w:anchor="_Toc28171" w:history="1">
        <w:r>
          <w:t xml:space="preserve">Figura 83  - </w:t>
        </w:r>
        <w:r>
          <w:rPr>
            <w:bCs/>
          </w:rPr>
          <w:t>Evacuarea fumului şi gazelor fierbinţi în caz de incendiu din circulaţiile comune orizontale, prin ventilare mecanică</w:t>
        </w:r>
        <w:r>
          <w:tab/>
        </w:r>
        <w:r>
          <w:fldChar w:fldCharType="begin"/>
        </w:r>
        <w:r>
          <w:instrText xml:space="preserve"> PAGEREF _Toc28171 \h </w:instrText>
        </w:r>
        <w:r>
          <w:fldChar w:fldCharType="separate"/>
        </w:r>
        <w:r>
          <w:t>362</w:t>
        </w:r>
        <w:r>
          <w:fldChar w:fldCharType="end"/>
        </w:r>
      </w:hyperlink>
    </w:p>
    <w:p w14:paraId="68042D84" w14:textId="77777777" w:rsidR="001C08A5" w:rsidRDefault="00000000">
      <w:pPr>
        <w:pStyle w:val="TableofFigures"/>
        <w:tabs>
          <w:tab w:val="right" w:leader="dot" w:pos="9639"/>
        </w:tabs>
        <w:ind w:left="800" w:hanging="400"/>
      </w:pPr>
      <w:hyperlink w:anchor="_Toc6759" w:history="1">
        <w:r>
          <w:t xml:space="preserve">Figura 84  - </w:t>
        </w:r>
        <w:r>
          <w:rPr>
            <w:bCs/>
          </w:rPr>
          <w:t>Schemă amplasare construcții - principiu amplasare construcții la distanțe mai mici decât cele normate</w:t>
        </w:r>
        <w:r>
          <w:tab/>
        </w:r>
        <w:r>
          <w:fldChar w:fldCharType="begin"/>
        </w:r>
        <w:r>
          <w:instrText xml:space="preserve"> PAGEREF _Toc6759 \h </w:instrText>
        </w:r>
        <w:r>
          <w:fldChar w:fldCharType="separate"/>
        </w:r>
        <w:r>
          <w:t>369</w:t>
        </w:r>
        <w:r>
          <w:fldChar w:fldCharType="end"/>
        </w:r>
      </w:hyperlink>
    </w:p>
    <w:p w14:paraId="0352FFE4" w14:textId="77777777" w:rsidR="001C08A5" w:rsidRDefault="00000000">
      <w:pPr>
        <w:pStyle w:val="TableofFigures"/>
        <w:tabs>
          <w:tab w:val="right" w:leader="dot" w:pos="9639"/>
        </w:tabs>
        <w:ind w:left="800" w:hanging="400"/>
      </w:pPr>
      <w:hyperlink w:anchor="_Toc29196" w:history="1">
        <w:r>
          <w:t>Figura 85  - Amplasare construcții la distanțe mai mari sau mai mici decât cele normate</w:t>
        </w:r>
        <w:r>
          <w:tab/>
        </w:r>
        <w:r>
          <w:fldChar w:fldCharType="begin"/>
        </w:r>
        <w:r>
          <w:instrText xml:space="preserve"> PAGEREF _Toc29196 \h </w:instrText>
        </w:r>
        <w:r>
          <w:fldChar w:fldCharType="separate"/>
        </w:r>
        <w:r>
          <w:t>370</w:t>
        </w:r>
        <w:r>
          <w:fldChar w:fldCharType="end"/>
        </w:r>
      </w:hyperlink>
    </w:p>
    <w:p w14:paraId="222F86A0" w14:textId="77777777" w:rsidR="001C08A5" w:rsidRDefault="00000000">
      <w:pPr>
        <w:pStyle w:val="TableofFigures"/>
        <w:tabs>
          <w:tab w:val="right" w:leader="dot" w:pos="9639"/>
        </w:tabs>
        <w:ind w:left="800" w:hanging="400"/>
      </w:pPr>
      <w:hyperlink w:anchor="_Toc5618" w:history="1">
        <w:r>
          <w:t xml:space="preserve">Figura 86  - </w:t>
        </w:r>
        <w:r>
          <w:rPr>
            <w:bCs/>
          </w:rPr>
          <w:t>Amplasare construcții comasate</w:t>
        </w:r>
        <w:r>
          <w:tab/>
        </w:r>
        <w:r>
          <w:fldChar w:fldCharType="begin"/>
        </w:r>
        <w:r>
          <w:instrText xml:space="preserve"> PAGEREF _Toc5618 \h </w:instrText>
        </w:r>
        <w:r>
          <w:fldChar w:fldCharType="separate"/>
        </w:r>
        <w:r>
          <w:t>372</w:t>
        </w:r>
        <w:r>
          <w:fldChar w:fldCharType="end"/>
        </w:r>
      </w:hyperlink>
    </w:p>
    <w:p w14:paraId="144C75D5" w14:textId="77777777" w:rsidR="001C08A5" w:rsidRDefault="00000000">
      <w:pPr>
        <w:pStyle w:val="TableofFigures"/>
        <w:tabs>
          <w:tab w:val="right" w:leader="dot" w:pos="9639"/>
        </w:tabs>
        <w:ind w:left="800" w:hanging="400"/>
      </w:pPr>
      <w:hyperlink w:anchor="_Toc30436" w:history="1">
        <w:r>
          <w:t xml:space="preserve">Figura 87  - </w:t>
        </w:r>
        <w:r>
          <w:rPr>
            <w:bCs/>
          </w:rPr>
          <w:t>Pereți antifoc (de separare a compartimentelor de incendiu) - principiu de compartimentare antifoc</w:t>
        </w:r>
        <w:r>
          <w:tab/>
        </w:r>
        <w:r>
          <w:fldChar w:fldCharType="begin"/>
        </w:r>
        <w:r>
          <w:instrText xml:space="preserve"> PAGEREF _Toc30436 \h </w:instrText>
        </w:r>
        <w:r>
          <w:fldChar w:fldCharType="separate"/>
        </w:r>
        <w:r>
          <w:t>374</w:t>
        </w:r>
        <w:r>
          <w:fldChar w:fldCharType="end"/>
        </w:r>
      </w:hyperlink>
    </w:p>
    <w:p w14:paraId="54511E5B" w14:textId="77777777" w:rsidR="001C08A5" w:rsidRDefault="00000000">
      <w:pPr>
        <w:pStyle w:val="TableofFigures"/>
        <w:tabs>
          <w:tab w:val="right" w:leader="dot" w:pos="9639"/>
        </w:tabs>
        <w:ind w:left="800" w:hanging="400"/>
      </w:pPr>
      <w:hyperlink w:anchor="_Toc13427" w:history="1">
        <w:r>
          <w:t>Figura 88  - Uși, obloane, cortine prevăzute în pereții antifoc</w:t>
        </w:r>
        <w:r>
          <w:tab/>
        </w:r>
        <w:r>
          <w:fldChar w:fldCharType="begin"/>
        </w:r>
        <w:r>
          <w:instrText xml:space="preserve"> PAGEREF _Toc13427 \h </w:instrText>
        </w:r>
        <w:r>
          <w:fldChar w:fldCharType="separate"/>
        </w:r>
        <w:r>
          <w:t>377</w:t>
        </w:r>
        <w:r>
          <w:fldChar w:fldCharType="end"/>
        </w:r>
      </w:hyperlink>
    </w:p>
    <w:p w14:paraId="470668D1" w14:textId="77777777" w:rsidR="001C08A5" w:rsidRDefault="00000000">
      <w:pPr>
        <w:pStyle w:val="TableofFigures"/>
        <w:tabs>
          <w:tab w:val="right" w:leader="dot" w:pos="9639"/>
        </w:tabs>
        <w:ind w:left="800" w:hanging="400"/>
      </w:pPr>
      <w:hyperlink w:anchor="_Toc12463" w:history="1">
        <w:r>
          <w:t>Figura 89  - Exemplu - tipologii pereți de separare a compartimentelor de incendiu</w:t>
        </w:r>
        <w:r>
          <w:tab/>
        </w:r>
        <w:r>
          <w:fldChar w:fldCharType="begin"/>
        </w:r>
        <w:r>
          <w:instrText xml:space="preserve"> PAGEREF _Toc12463 \h </w:instrText>
        </w:r>
        <w:r>
          <w:fldChar w:fldCharType="separate"/>
        </w:r>
        <w:r>
          <w:t>378</w:t>
        </w:r>
        <w:r>
          <w:fldChar w:fldCharType="end"/>
        </w:r>
      </w:hyperlink>
    </w:p>
    <w:p w14:paraId="5BEFF902" w14:textId="77777777" w:rsidR="001C08A5" w:rsidRDefault="00000000">
      <w:pPr>
        <w:pStyle w:val="TableofFigures"/>
        <w:tabs>
          <w:tab w:val="right" w:leader="dot" w:pos="9639"/>
        </w:tabs>
        <w:ind w:left="800" w:hanging="400"/>
      </w:pPr>
      <w:hyperlink w:anchor="_Toc1785" w:history="1">
        <w:r>
          <w:t>Figura 90  - Pereți de separare a compartimentelor de incendiu - secțiune orizontală</w:t>
        </w:r>
        <w:r>
          <w:tab/>
        </w:r>
        <w:r>
          <w:fldChar w:fldCharType="begin"/>
        </w:r>
        <w:r>
          <w:instrText xml:space="preserve"> PAGEREF _Toc1785 \h </w:instrText>
        </w:r>
        <w:r>
          <w:fldChar w:fldCharType="separate"/>
        </w:r>
        <w:r>
          <w:t>378</w:t>
        </w:r>
        <w:r>
          <w:fldChar w:fldCharType="end"/>
        </w:r>
      </w:hyperlink>
    </w:p>
    <w:p w14:paraId="2030AED3" w14:textId="77777777" w:rsidR="001C08A5" w:rsidRDefault="00000000">
      <w:pPr>
        <w:pStyle w:val="TableofFigures"/>
        <w:tabs>
          <w:tab w:val="right" w:leader="dot" w:pos="9639"/>
        </w:tabs>
        <w:ind w:left="800" w:hanging="400"/>
      </w:pPr>
      <w:hyperlink w:anchor="_Toc18238" w:history="1">
        <w:r>
          <w:t>Figura 91  - Hale parter cu perete antifoc (de separare a compartimentelor de incendiu) sau rezistent la foc dispus între stâlpi</w:t>
        </w:r>
        <w:r>
          <w:tab/>
        </w:r>
        <w:r>
          <w:fldChar w:fldCharType="begin"/>
        </w:r>
        <w:r>
          <w:instrText xml:space="preserve"> PAGEREF _Toc18238 \h </w:instrText>
        </w:r>
        <w:r>
          <w:fldChar w:fldCharType="separate"/>
        </w:r>
        <w:r>
          <w:t>379</w:t>
        </w:r>
        <w:r>
          <w:fldChar w:fldCharType="end"/>
        </w:r>
      </w:hyperlink>
    </w:p>
    <w:p w14:paraId="06AF9A1D" w14:textId="77777777" w:rsidR="001C08A5" w:rsidRDefault="00000000">
      <w:pPr>
        <w:pStyle w:val="TableofFigures"/>
        <w:tabs>
          <w:tab w:val="right" w:leader="dot" w:pos="9639"/>
        </w:tabs>
        <w:ind w:left="800" w:hanging="400"/>
      </w:pPr>
      <w:hyperlink w:anchor="_Toc21392" w:history="1">
        <w:r>
          <w:t>Figura 92  - Hale parter cu perete independent dispus în rost de dilatare sau tasare</w:t>
        </w:r>
        <w:r>
          <w:tab/>
        </w:r>
        <w:r>
          <w:fldChar w:fldCharType="begin"/>
        </w:r>
        <w:r>
          <w:instrText xml:space="preserve"> PAGEREF _Toc21392 \h </w:instrText>
        </w:r>
        <w:r>
          <w:fldChar w:fldCharType="separate"/>
        </w:r>
        <w:r>
          <w:t>379</w:t>
        </w:r>
        <w:r>
          <w:fldChar w:fldCharType="end"/>
        </w:r>
      </w:hyperlink>
    </w:p>
    <w:p w14:paraId="19B80CA0" w14:textId="77777777" w:rsidR="001C08A5" w:rsidRDefault="00000000">
      <w:pPr>
        <w:pStyle w:val="TableofFigures"/>
        <w:tabs>
          <w:tab w:val="right" w:leader="dot" w:pos="9639"/>
        </w:tabs>
        <w:ind w:left="800" w:hanging="400"/>
      </w:pPr>
      <w:hyperlink w:anchor="_Toc17951" w:history="1">
        <w:r>
          <w:t>Figura 93  - Hale etajate</w:t>
        </w:r>
        <w:r>
          <w:tab/>
        </w:r>
        <w:r>
          <w:fldChar w:fldCharType="begin"/>
        </w:r>
        <w:r>
          <w:instrText xml:space="preserve"> PAGEREF _Toc17951 \h </w:instrText>
        </w:r>
        <w:r>
          <w:fldChar w:fldCharType="separate"/>
        </w:r>
        <w:r>
          <w:t>379</w:t>
        </w:r>
        <w:r>
          <w:fldChar w:fldCharType="end"/>
        </w:r>
      </w:hyperlink>
    </w:p>
    <w:p w14:paraId="44C9118B" w14:textId="77777777" w:rsidR="001C08A5" w:rsidRDefault="00000000">
      <w:pPr>
        <w:pStyle w:val="TableofFigures"/>
        <w:tabs>
          <w:tab w:val="right" w:leader="dot" w:pos="9639"/>
        </w:tabs>
        <w:ind w:left="800" w:hanging="400"/>
      </w:pPr>
      <w:hyperlink w:anchor="_Toc25953" w:history="1">
        <w:r>
          <w:t>Figura 94  - Hale parter - Perete antifoc care nu depăşeşte planul acoperişului</w:t>
        </w:r>
        <w:r>
          <w:tab/>
        </w:r>
        <w:r>
          <w:fldChar w:fldCharType="begin"/>
        </w:r>
        <w:r>
          <w:instrText xml:space="preserve"> PAGEREF _Toc25953 \h </w:instrText>
        </w:r>
        <w:r>
          <w:fldChar w:fldCharType="separate"/>
        </w:r>
        <w:r>
          <w:t>380</w:t>
        </w:r>
        <w:r>
          <w:fldChar w:fldCharType="end"/>
        </w:r>
      </w:hyperlink>
    </w:p>
    <w:p w14:paraId="70B2DCE8" w14:textId="77777777" w:rsidR="001C08A5" w:rsidRDefault="00000000">
      <w:pPr>
        <w:pStyle w:val="TableofFigures"/>
        <w:tabs>
          <w:tab w:val="right" w:leader="dot" w:pos="9639"/>
        </w:tabs>
        <w:ind w:left="800" w:hanging="400"/>
      </w:pPr>
      <w:hyperlink w:anchor="_Toc25931" w:history="1">
        <w:r>
          <w:t>Figura 95  - Hale parter - Perete antifoc la hale cu înălțimi diferite</w:t>
        </w:r>
        <w:r>
          <w:tab/>
        </w:r>
        <w:r>
          <w:fldChar w:fldCharType="begin"/>
        </w:r>
        <w:r>
          <w:instrText xml:space="preserve"> PAGEREF _Toc25931 \h </w:instrText>
        </w:r>
        <w:r>
          <w:fldChar w:fldCharType="separate"/>
        </w:r>
        <w:r>
          <w:t>380</w:t>
        </w:r>
        <w:r>
          <w:fldChar w:fldCharType="end"/>
        </w:r>
      </w:hyperlink>
    </w:p>
    <w:p w14:paraId="18D1A133" w14:textId="77777777" w:rsidR="001C08A5" w:rsidRDefault="00000000">
      <w:pPr>
        <w:pStyle w:val="TableofFigures"/>
        <w:tabs>
          <w:tab w:val="right" w:leader="dot" w:pos="9639"/>
        </w:tabs>
        <w:ind w:left="800" w:hanging="400"/>
      </w:pPr>
      <w:hyperlink w:anchor="_Toc10822" w:history="1">
        <w:r>
          <w:t>Figura 96  - Compartimentarea construcţiilor de producţie sau depozitare</w:t>
        </w:r>
        <w:r>
          <w:tab/>
        </w:r>
        <w:r>
          <w:fldChar w:fldCharType="begin"/>
        </w:r>
        <w:r>
          <w:instrText xml:space="preserve"> PAGEREF _Toc10822 \h </w:instrText>
        </w:r>
        <w:r>
          <w:fldChar w:fldCharType="separate"/>
        </w:r>
        <w:r>
          <w:t>381</w:t>
        </w:r>
        <w:r>
          <w:fldChar w:fldCharType="end"/>
        </w:r>
      </w:hyperlink>
    </w:p>
    <w:p w14:paraId="3D21F12D" w14:textId="77777777" w:rsidR="001C08A5" w:rsidRDefault="00000000">
      <w:pPr>
        <w:pStyle w:val="TableofFigures"/>
        <w:tabs>
          <w:tab w:val="right" w:leader="dot" w:pos="9639"/>
        </w:tabs>
        <w:ind w:left="800" w:hanging="400"/>
      </w:pPr>
      <w:hyperlink w:anchor="_Toc4500" w:history="1">
        <w:r>
          <w:t>Figura 97  - Pereți antifoc și pereți de sectorizare</w:t>
        </w:r>
        <w:r>
          <w:tab/>
        </w:r>
        <w:r>
          <w:fldChar w:fldCharType="begin"/>
        </w:r>
        <w:r>
          <w:instrText xml:space="preserve"> PAGEREF _Toc4500 \h </w:instrText>
        </w:r>
        <w:r>
          <w:fldChar w:fldCharType="separate"/>
        </w:r>
        <w:r>
          <w:t>382</w:t>
        </w:r>
        <w:r>
          <w:fldChar w:fldCharType="end"/>
        </w:r>
      </w:hyperlink>
    </w:p>
    <w:p w14:paraId="5A2E2868" w14:textId="77777777" w:rsidR="001C08A5" w:rsidRDefault="00000000">
      <w:pPr>
        <w:pStyle w:val="TableofFigures"/>
        <w:tabs>
          <w:tab w:val="right" w:leader="dot" w:pos="9639"/>
        </w:tabs>
        <w:ind w:left="800" w:hanging="400"/>
      </w:pPr>
      <w:hyperlink w:anchor="_Toc24740" w:history="1">
        <w:r>
          <w:t xml:space="preserve">Figura 98  - </w:t>
        </w:r>
        <w:r>
          <w:rPr>
            <w:bCs/>
            <w:szCs w:val="22"/>
          </w:rPr>
          <w:t>Perete de sectorizare care depășește streașina</w:t>
        </w:r>
        <w:r>
          <w:tab/>
        </w:r>
        <w:r>
          <w:fldChar w:fldCharType="begin"/>
        </w:r>
        <w:r>
          <w:instrText xml:space="preserve"> PAGEREF _Toc24740 \h </w:instrText>
        </w:r>
        <w:r>
          <w:fldChar w:fldCharType="separate"/>
        </w:r>
        <w:r>
          <w:t>383</w:t>
        </w:r>
        <w:r>
          <w:fldChar w:fldCharType="end"/>
        </w:r>
      </w:hyperlink>
    </w:p>
    <w:p w14:paraId="37D10E8D" w14:textId="77777777" w:rsidR="001C08A5" w:rsidRDefault="00000000">
      <w:pPr>
        <w:pStyle w:val="TableofFigures"/>
        <w:tabs>
          <w:tab w:val="right" w:leader="dot" w:pos="9639"/>
        </w:tabs>
        <w:ind w:left="800" w:hanging="400"/>
      </w:pPr>
      <w:hyperlink w:anchor="_Toc19053" w:history="1">
        <w:r>
          <w:t xml:space="preserve">Figura 99  - </w:t>
        </w:r>
        <w:r>
          <w:rPr>
            <w:rFonts w:eastAsia="TimesNewRomanPS-BoldItalicMT"/>
          </w:rPr>
          <w:t xml:space="preserve">Performanțe privind etanșarea spaţiilor libere dintre planşee şi </w:t>
        </w:r>
        <w:r>
          <w:rPr>
            <w:rFonts w:eastAsia="TimesNewRomanPSMT"/>
          </w:rPr>
          <w:t>peretele cortină precum și dintre planşee și alte tipuri de pereți exteriori ancorați (prinși) de structura portantă a clădirii</w:t>
        </w:r>
        <w:r>
          <w:tab/>
        </w:r>
        <w:r>
          <w:fldChar w:fldCharType="begin"/>
        </w:r>
        <w:r>
          <w:instrText xml:space="preserve"> PAGEREF _Toc19053 \h </w:instrText>
        </w:r>
        <w:r>
          <w:fldChar w:fldCharType="separate"/>
        </w:r>
        <w:r>
          <w:t>388</w:t>
        </w:r>
        <w:r>
          <w:fldChar w:fldCharType="end"/>
        </w:r>
      </w:hyperlink>
    </w:p>
    <w:p w14:paraId="6A27F8DC" w14:textId="77777777" w:rsidR="001C08A5" w:rsidRDefault="00000000">
      <w:pPr>
        <w:pStyle w:val="TableofFigures"/>
        <w:tabs>
          <w:tab w:val="right" w:leader="dot" w:pos="9639"/>
        </w:tabs>
        <w:ind w:left="800" w:hanging="400"/>
      </w:pPr>
      <w:hyperlink w:anchor="_Toc12929" w:history="1">
        <w:r>
          <w:t>Figura 100  - Exemplu de măsurători H și L</w:t>
        </w:r>
        <w:r>
          <w:rPr>
            <w:rFonts w:eastAsia="Times New Roman"/>
          </w:rPr>
          <w:t xml:space="preserve"> - caz general</w:t>
        </w:r>
        <w:r>
          <w:tab/>
        </w:r>
        <w:r>
          <w:fldChar w:fldCharType="begin"/>
        </w:r>
        <w:r>
          <w:instrText xml:space="preserve"> PAGEREF _Toc12929 \h </w:instrText>
        </w:r>
        <w:r>
          <w:fldChar w:fldCharType="separate"/>
        </w:r>
        <w:r>
          <w:t>388</w:t>
        </w:r>
        <w:r>
          <w:fldChar w:fldCharType="end"/>
        </w:r>
      </w:hyperlink>
    </w:p>
    <w:p w14:paraId="1A82EE42" w14:textId="77777777" w:rsidR="001C08A5" w:rsidRDefault="00000000">
      <w:pPr>
        <w:pStyle w:val="TableofFigures"/>
        <w:tabs>
          <w:tab w:val="right" w:leader="dot" w:pos="9639"/>
        </w:tabs>
        <w:ind w:left="800" w:hanging="400"/>
      </w:pPr>
      <w:hyperlink w:anchor="_Toc24241" w:history="1">
        <w:r>
          <w:t>Figura 101  - Exemplu măsurare goluri care nu sunt suprapuse la deschideri în fațadă (exemplu pentru distanța normată de 1,20 m)</w:t>
        </w:r>
        <w:r>
          <w:tab/>
        </w:r>
        <w:r>
          <w:fldChar w:fldCharType="begin"/>
        </w:r>
        <w:r>
          <w:instrText xml:space="preserve"> PAGEREF _Toc24241 \h </w:instrText>
        </w:r>
        <w:r>
          <w:fldChar w:fldCharType="separate"/>
        </w:r>
        <w:r>
          <w:t>389</w:t>
        </w:r>
        <w:r>
          <w:fldChar w:fldCharType="end"/>
        </w:r>
      </w:hyperlink>
    </w:p>
    <w:p w14:paraId="2BFB27C1" w14:textId="77777777" w:rsidR="001C08A5" w:rsidRDefault="00000000">
      <w:pPr>
        <w:pStyle w:val="TableofFigures"/>
        <w:tabs>
          <w:tab w:val="right" w:leader="dot" w:pos="9639"/>
        </w:tabs>
        <w:ind w:left="800" w:hanging="400"/>
      </w:pPr>
      <w:hyperlink w:anchor="_Toc22637" w:history="1">
        <w:r>
          <w:t xml:space="preserve">Figura 102  - </w:t>
        </w:r>
        <w:r>
          <w:rPr>
            <w:rFonts w:eastAsia="Times New Roman"/>
            <w:bCs/>
          </w:rPr>
          <w:t>Calcul soluții  constructive cu H + L (exemplu varianta normată de 1,20 m)</w:t>
        </w:r>
        <w:r>
          <w:tab/>
        </w:r>
        <w:r>
          <w:fldChar w:fldCharType="begin"/>
        </w:r>
        <w:r>
          <w:instrText xml:space="preserve"> PAGEREF _Toc22637 \h </w:instrText>
        </w:r>
        <w:r>
          <w:fldChar w:fldCharType="separate"/>
        </w:r>
        <w:r>
          <w:t>390</w:t>
        </w:r>
        <w:r>
          <w:fldChar w:fldCharType="end"/>
        </w:r>
      </w:hyperlink>
    </w:p>
    <w:p w14:paraId="5D30DF6B" w14:textId="77777777" w:rsidR="001C08A5" w:rsidRDefault="00000000">
      <w:pPr>
        <w:pStyle w:val="TableofFigures"/>
        <w:tabs>
          <w:tab w:val="right" w:leader="dot" w:pos="9639"/>
        </w:tabs>
        <w:ind w:left="800" w:hanging="400"/>
      </w:pPr>
      <w:hyperlink w:anchor="_Toc23790" w:history="1">
        <w:r>
          <w:t>Figura 103  - Exemple de măsurători H și L - cazuri particulare</w:t>
        </w:r>
        <w:r>
          <w:tab/>
        </w:r>
        <w:r>
          <w:fldChar w:fldCharType="begin"/>
        </w:r>
        <w:r>
          <w:instrText xml:space="preserve"> PAGEREF _Toc23790 \h </w:instrText>
        </w:r>
        <w:r>
          <w:fldChar w:fldCharType="separate"/>
        </w:r>
        <w:r>
          <w:t>391</w:t>
        </w:r>
        <w:r>
          <w:fldChar w:fldCharType="end"/>
        </w:r>
      </w:hyperlink>
    </w:p>
    <w:p w14:paraId="36F7F093" w14:textId="77777777" w:rsidR="001C08A5" w:rsidRDefault="00000000">
      <w:pPr>
        <w:pStyle w:val="TableofFigures"/>
        <w:tabs>
          <w:tab w:val="right" w:leader="dot" w:pos="9639"/>
        </w:tabs>
        <w:ind w:left="800" w:hanging="400"/>
      </w:pPr>
      <w:hyperlink w:anchor="_Toc5556" w:history="1">
        <w:r>
          <w:t xml:space="preserve">Figura 104  - </w:t>
        </w:r>
        <w:r>
          <w:rPr>
            <w:bCs/>
            <w:lang w:val="en-US" w:eastAsia="ro-RO"/>
          </w:rPr>
          <w:t>Tipuri de balcoane</w:t>
        </w:r>
        <w:r>
          <w:tab/>
        </w:r>
        <w:r>
          <w:fldChar w:fldCharType="begin"/>
        </w:r>
        <w:r>
          <w:instrText xml:space="preserve"> PAGEREF _Toc5556 \h </w:instrText>
        </w:r>
        <w:r>
          <w:fldChar w:fldCharType="separate"/>
        </w:r>
        <w:r>
          <w:t>392</w:t>
        </w:r>
        <w:r>
          <w:fldChar w:fldCharType="end"/>
        </w:r>
      </w:hyperlink>
    </w:p>
    <w:p w14:paraId="60D51609" w14:textId="77777777" w:rsidR="001C08A5" w:rsidRDefault="00000000">
      <w:pPr>
        <w:pStyle w:val="TableofFigures"/>
        <w:tabs>
          <w:tab w:val="right" w:leader="dot" w:pos="9639"/>
        </w:tabs>
        <w:ind w:left="800" w:hanging="400"/>
      </w:pPr>
      <w:hyperlink w:anchor="_Toc3379" w:history="1">
        <w:r>
          <w:t xml:space="preserve">Figura 105  - </w:t>
        </w:r>
        <w:r>
          <w:rPr>
            <w:rFonts w:eastAsia="Times New Roman"/>
          </w:rPr>
          <w:t>Exemple de măsurători H + L - balcoane</w:t>
        </w:r>
        <w:r>
          <w:tab/>
        </w:r>
        <w:r>
          <w:fldChar w:fldCharType="begin"/>
        </w:r>
        <w:r>
          <w:instrText xml:space="preserve"> PAGEREF _Toc3379 \h </w:instrText>
        </w:r>
        <w:r>
          <w:fldChar w:fldCharType="separate"/>
        </w:r>
        <w:r>
          <w:t>393</w:t>
        </w:r>
        <w:r>
          <w:fldChar w:fldCharType="end"/>
        </w:r>
      </w:hyperlink>
    </w:p>
    <w:p w14:paraId="69BB40EB" w14:textId="77777777" w:rsidR="001C08A5" w:rsidRDefault="00000000">
      <w:pPr>
        <w:pStyle w:val="TableofFigures"/>
        <w:tabs>
          <w:tab w:val="right" w:leader="dot" w:pos="9639"/>
        </w:tabs>
        <w:ind w:left="800" w:hanging="400"/>
      </w:pPr>
      <w:hyperlink w:anchor="_Toc13987" w:history="1">
        <w:r>
          <w:t xml:space="preserve">Figura 106  - </w:t>
        </w:r>
        <w:r>
          <w:rPr>
            <w:rFonts w:eastAsia="Times New Roman"/>
          </w:rPr>
          <w:t xml:space="preserve">Soluție la scări exterioare </w:t>
        </w:r>
        <w:r>
          <w:t>de limitare a propagării incendiului pe faţadă</w:t>
        </w:r>
        <w:r>
          <w:tab/>
        </w:r>
        <w:r>
          <w:fldChar w:fldCharType="begin"/>
        </w:r>
        <w:r>
          <w:instrText xml:space="preserve"> PAGEREF _Toc13987 \h </w:instrText>
        </w:r>
        <w:r>
          <w:fldChar w:fldCharType="separate"/>
        </w:r>
        <w:r>
          <w:t>393</w:t>
        </w:r>
        <w:r>
          <w:fldChar w:fldCharType="end"/>
        </w:r>
      </w:hyperlink>
    </w:p>
    <w:p w14:paraId="4FB6558E" w14:textId="77777777" w:rsidR="001C08A5" w:rsidRDefault="00000000">
      <w:pPr>
        <w:pStyle w:val="TableofFigures"/>
        <w:tabs>
          <w:tab w:val="right" w:leader="dot" w:pos="9639"/>
        </w:tabs>
        <w:ind w:left="800" w:hanging="400"/>
      </w:pPr>
      <w:hyperlink w:anchor="_Toc30275" w:history="1">
        <w:r>
          <w:t xml:space="preserve">Figura 107  - </w:t>
        </w:r>
        <w:r>
          <w:rPr>
            <w:rFonts w:eastAsia="Times New Roman"/>
          </w:rPr>
          <w:t xml:space="preserve">Soluție </w:t>
        </w:r>
        <w:r>
          <w:t xml:space="preserve">de limitare a propagării incendiului pe faţadă </w:t>
        </w:r>
        <w:r>
          <w:rPr>
            <w:rFonts w:eastAsia="Times New Roman"/>
            <w:bCs/>
          </w:rPr>
          <w:t>la intersecția cu balcoane</w:t>
        </w:r>
        <w:r>
          <w:tab/>
        </w:r>
        <w:r>
          <w:fldChar w:fldCharType="begin"/>
        </w:r>
        <w:r>
          <w:instrText xml:space="preserve"> PAGEREF _Toc30275 \h </w:instrText>
        </w:r>
        <w:r>
          <w:fldChar w:fldCharType="separate"/>
        </w:r>
        <w:r>
          <w:t>394</w:t>
        </w:r>
        <w:r>
          <w:fldChar w:fldCharType="end"/>
        </w:r>
      </w:hyperlink>
    </w:p>
    <w:p w14:paraId="20FD0ECA" w14:textId="77777777" w:rsidR="001C08A5" w:rsidRDefault="00000000">
      <w:pPr>
        <w:pStyle w:val="TableofFigures"/>
        <w:tabs>
          <w:tab w:val="right" w:leader="dot" w:pos="9639"/>
        </w:tabs>
        <w:ind w:left="800" w:hanging="400"/>
      </w:pPr>
      <w:hyperlink w:anchor="_Toc30916" w:history="1">
        <w:r>
          <w:t xml:space="preserve">Figura 108  - </w:t>
        </w:r>
        <w:r>
          <w:rPr>
            <w:bCs/>
          </w:rPr>
          <w:t>Principiul general de realizare a fâşiei/ benzii orizontale continui de termoizolaţie, clasa de reacţie la foc A1 sau A2-s1d0</w:t>
        </w:r>
        <w:r>
          <w:tab/>
        </w:r>
        <w:r>
          <w:fldChar w:fldCharType="begin"/>
        </w:r>
        <w:r>
          <w:instrText xml:space="preserve"> PAGEREF _Toc30916 \h </w:instrText>
        </w:r>
        <w:r>
          <w:fldChar w:fldCharType="separate"/>
        </w:r>
        <w:r>
          <w:t>395</w:t>
        </w:r>
        <w:r>
          <w:fldChar w:fldCharType="end"/>
        </w:r>
      </w:hyperlink>
    </w:p>
    <w:p w14:paraId="272D2BEF" w14:textId="77777777" w:rsidR="001C08A5" w:rsidRDefault="00000000">
      <w:pPr>
        <w:pStyle w:val="TableofFigures"/>
        <w:tabs>
          <w:tab w:val="right" w:leader="dot" w:pos="9639"/>
        </w:tabs>
        <w:ind w:left="800" w:hanging="400"/>
      </w:pPr>
      <w:hyperlink w:anchor="_Toc3325" w:history="1">
        <w:r>
          <w:t xml:space="preserve">Figura 109  - Principiul de </w:t>
        </w:r>
        <w:r>
          <w:rPr>
            <w:lang w:val="en-GB"/>
          </w:rPr>
          <w:t>realizare</w:t>
        </w:r>
        <w:r>
          <w:t xml:space="preserve"> a fâşii</w:t>
        </w:r>
        <w:r>
          <w:rPr>
            <w:lang w:val="en-GB"/>
          </w:rPr>
          <w:t>lor/ benzilor</w:t>
        </w:r>
        <w:r>
          <w:t xml:space="preserve"> orizontale continui de termoizolaţie clasa de reacţie la foc A1 sau A2-s1d0 pe fațadele cuprinzând gol</w:t>
        </w:r>
        <w:r>
          <w:rPr>
            <w:lang w:val="en-GB"/>
          </w:rPr>
          <w:t>uri (u</w:t>
        </w:r>
        <w:r>
          <w:t>ș</w:t>
        </w:r>
        <w:r>
          <w:rPr>
            <w:lang w:val="en-GB"/>
          </w:rPr>
          <w:t xml:space="preserve">i </w:t>
        </w:r>
        <w:r>
          <w:t>ș</w:t>
        </w:r>
        <w:r>
          <w:rPr>
            <w:lang w:val="en-GB"/>
          </w:rPr>
          <w:t xml:space="preserve">i /sau ferestre) </w:t>
        </w:r>
        <w:r>
          <w:t>î</w:t>
        </w:r>
        <w:r>
          <w:rPr>
            <w:lang w:val="en-GB"/>
          </w:rPr>
          <w:t>n zidarie</w:t>
        </w:r>
        <w:r>
          <w:tab/>
        </w:r>
        <w:r>
          <w:fldChar w:fldCharType="begin"/>
        </w:r>
        <w:r>
          <w:instrText xml:space="preserve"> PAGEREF _Toc3325 \h </w:instrText>
        </w:r>
        <w:r>
          <w:fldChar w:fldCharType="separate"/>
        </w:r>
        <w:r>
          <w:t>395</w:t>
        </w:r>
        <w:r>
          <w:fldChar w:fldCharType="end"/>
        </w:r>
      </w:hyperlink>
    </w:p>
    <w:p w14:paraId="0AFB2D6B" w14:textId="77777777" w:rsidR="001C08A5" w:rsidRDefault="00000000">
      <w:pPr>
        <w:pStyle w:val="TableofFigures"/>
        <w:tabs>
          <w:tab w:val="right" w:leader="dot" w:pos="9639"/>
        </w:tabs>
        <w:ind w:left="800" w:hanging="400"/>
      </w:pPr>
      <w:hyperlink w:anchor="_Toc21628" w:history="1">
        <w:r>
          <w:t xml:space="preserve">Figura 110  - Principiul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fațadele </w:t>
        </w:r>
        <w:r>
          <w:rPr>
            <w:lang w:val="en-GB"/>
          </w:rPr>
          <w:t>f</w:t>
        </w:r>
        <w:r>
          <w:t>ă</w:t>
        </w:r>
        <w:r>
          <w:rPr>
            <w:lang w:val="en-GB"/>
          </w:rPr>
          <w:t>r</w:t>
        </w:r>
        <w:r>
          <w:t>ă</w:t>
        </w:r>
        <w:r>
          <w:rPr>
            <w:lang w:val="en-GB"/>
          </w:rPr>
          <w:t xml:space="preserve"> goluri </w:t>
        </w:r>
        <w:r>
          <w:t>î</w:t>
        </w:r>
        <w:r>
          <w:rPr>
            <w:lang w:val="en-GB"/>
          </w:rPr>
          <w:t>n zid</w:t>
        </w:r>
        <w:r>
          <w:t>ă</w:t>
        </w:r>
        <w:r>
          <w:rPr>
            <w:lang w:val="en-GB"/>
          </w:rPr>
          <w:t>rie</w:t>
        </w:r>
        <w:r>
          <w:t xml:space="preserve">: </w:t>
        </w:r>
        <w:r>
          <w:rPr>
            <w:lang w:val="en-GB"/>
          </w:rPr>
          <w:t xml:space="preserve">cazul unui </w:t>
        </w:r>
        <w:r>
          <w:t>sistem de tencuială groasă</w:t>
        </w:r>
        <w:r>
          <w:tab/>
        </w:r>
        <w:r>
          <w:fldChar w:fldCharType="begin"/>
        </w:r>
        <w:r>
          <w:instrText xml:space="preserve"> PAGEREF _Toc21628 \h </w:instrText>
        </w:r>
        <w:r>
          <w:fldChar w:fldCharType="separate"/>
        </w:r>
        <w:r>
          <w:t>396</w:t>
        </w:r>
        <w:r>
          <w:fldChar w:fldCharType="end"/>
        </w:r>
      </w:hyperlink>
    </w:p>
    <w:p w14:paraId="610A212F" w14:textId="77777777" w:rsidR="001C08A5" w:rsidRDefault="00000000">
      <w:pPr>
        <w:pStyle w:val="TableofFigures"/>
        <w:tabs>
          <w:tab w:val="right" w:leader="dot" w:pos="9639"/>
        </w:tabs>
        <w:ind w:left="800" w:hanging="400"/>
      </w:pPr>
      <w:hyperlink w:anchor="_Toc5174" w:history="1">
        <w:r>
          <w:t xml:space="preserve">Figura 111  - Principiul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fațadele </w:t>
        </w:r>
        <w:r>
          <w:rPr>
            <w:lang w:val="en-GB"/>
          </w:rPr>
          <w:t>fara goluri in zidarie</w:t>
        </w:r>
        <w:r>
          <w:t>:  ca</w:t>
        </w:r>
        <w:r>
          <w:rPr>
            <w:lang w:val="en-GB"/>
          </w:rPr>
          <w:t>zul</w:t>
        </w:r>
        <w:r>
          <w:t xml:space="preserve"> unui sistem de tencuială subțire</w:t>
        </w:r>
        <w:r>
          <w:tab/>
        </w:r>
        <w:r>
          <w:fldChar w:fldCharType="begin"/>
        </w:r>
        <w:r>
          <w:instrText xml:space="preserve"> PAGEREF _Toc5174 \h </w:instrText>
        </w:r>
        <w:r>
          <w:fldChar w:fldCharType="separate"/>
        </w:r>
        <w:r>
          <w:t>396</w:t>
        </w:r>
        <w:r>
          <w:fldChar w:fldCharType="end"/>
        </w:r>
      </w:hyperlink>
    </w:p>
    <w:p w14:paraId="5CA7F492" w14:textId="77777777" w:rsidR="001C08A5" w:rsidRDefault="00000000">
      <w:pPr>
        <w:pStyle w:val="TableofFigures"/>
        <w:tabs>
          <w:tab w:val="right" w:leader="dot" w:pos="9639"/>
        </w:tabs>
        <w:ind w:left="800" w:hanging="400"/>
      </w:pPr>
      <w:hyperlink w:anchor="_Toc5575" w:history="1">
        <w:r>
          <w:t xml:space="preserve">Figura 112  - Protecția deschiderilor prin </w:t>
        </w:r>
        <w:r>
          <w:rPr>
            <w:lang w:val="en-GB"/>
          </w:rPr>
          <w:t xml:space="preserve">bordari </w:t>
        </w:r>
        <w:r>
          <w:t>de termoizolaţie clasa de reacţie la foc A1 sau A2-s1d0 (tâmplărie montată pe perete)</w:t>
        </w:r>
        <w:r>
          <w:tab/>
        </w:r>
        <w:r>
          <w:fldChar w:fldCharType="begin"/>
        </w:r>
        <w:r>
          <w:instrText xml:space="preserve"> PAGEREF _Toc5575 \h </w:instrText>
        </w:r>
        <w:r>
          <w:fldChar w:fldCharType="separate"/>
        </w:r>
        <w:r>
          <w:t>397</w:t>
        </w:r>
        <w:r>
          <w:fldChar w:fldCharType="end"/>
        </w:r>
      </w:hyperlink>
    </w:p>
    <w:p w14:paraId="325E5F7B" w14:textId="77777777" w:rsidR="001C08A5" w:rsidRDefault="00000000">
      <w:pPr>
        <w:pStyle w:val="TableofFigures"/>
        <w:tabs>
          <w:tab w:val="right" w:leader="dot" w:pos="9639"/>
        </w:tabs>
        <w:ind w:left="800" w:hanging="400"/>
      </w:pPr>
      <w:hyperlink w:anchor="_Toc6301" w:history="1">
        <w:r>
          <w:t xml:space="preserve">Figura 113  - Principiul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aceeași fațadă</w:t>
        </w:r>
        <w:r>
          <w:rPr>
            <w:lang w:val="en-GB"/>
          </w:rPr>
          <w:t xml:space="preserve">, </w:t>
        </w:r>
        <w:r>
          <w:t xml:space="preserve">indexul </w:t>
        </w:r>
        <w:r>
          <w:rPr>
            <w:lang w:val="en-GB"/>
          </w:rPr>
          <w:t>H</w:t>
        </w:r>
        <w:r>
          <w:t xml:space="preserve"> (din </w:t>
        </w:r>
        <w:r>
          <w:rPr>
            <w:lang w:val="en-GB"/>
          </w:rPr>
          <w:t>H</w:t>
        </w:r>
        <w:r>
          <w:t xml:space="preserve"> + </w:t>
        </w:r>
        <w:r>
          <w:rPr>
            <w:lang w:val="en-GB"/>
          </w:rPr>
          <w:t>L</w:t>
        </w:r>
        <w:r>
          <w:t>) fiind</w:t>
        </w:r>
        <w:r>
          <w:rPr>
            <w:lang w:val="en-GB"/>
          </w:rPr>
          <w:t xml:space="preserve"> H &lt;</w:t>
        </w:r>
        <w:r>
          <w:t xml:space="preserve"> 1,20 m</w:t>
        </w:r>
        <w:r>
          <w:tab/>
        </w:r>
        <w:r>
          <w:fldChar w:fldCharType="begin"/>
        </w:r>
        <w:r>
          <w:instrText xml:space="preserve"> PAGEREF _Toc6301 \h </w:instrText>
        </w:r>
        <w:r>
          <w:fldChar w:fldCharType="separate"/>
        </w:r>
        <w:r>
          <w:t>398</w:t>
        </w:r>
        <w:r>
          <w:fldChar w:fldCharType="end"/>
        </w:r>
      </w:hyperlink>
    </w:p>
    <w:p w14:paraId="6981AE60" w14:textId="77777777" w:rsidR="001C08A5" w:rsidRDefault="00000000">
      <w:pPr>
        <w:pStyle w:val="TableofFigures"/>
        <w:tabs>
          <w:tab w:val="right" w:leader="dot" w:pos="9639"/>
        </w:tabs>
        <w:ind w:left="800" w:hanging="400"/>
      </w:pPr>
      <w:hyperlink w:anchor="_Toc14575" w:history="1">
        <w:r>
          <w:t xml:space="preserve"> Figura 114  - Principiul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fațadă retrasă</w:t>
        </w:r>
        <w:r>
          <w:rPr>
            <w:lang w:val="en-GB"/>
          </w:rPr>
          <w:t xml:space="preserve">, </w:t>
        </w:r>
        <w:r>
          <w:t xml:space="preserve">indexul </w:t>
        </w:r>
        <w:r>
          <w:rPr>
            <w:lang w:val="en-GB"/>
          </w:rPr>
          <w:t>H</w:t>
        </w:r>
        <w:r>
          <w:t xml:space="preserve"> (din </w:t>
        </w:r>
        <w:r>
          <w:rPr>
            <w:lang w:val="en-GB"/>
          </w:rPr>
          <w:t>H</w:t>
        </w:r>
        <w:r>
          <w:t xml:space="preserve"> + </w:t>
        </w:r>
        <w:r>
          <w:rPr>
            <w:lang w:val="en-GB"/>
          </w:rPr>
          <w:t>L</w:t>
        </w:r>
        <w:r>
          <w:t>) fiind</w:t>
        </w:r>
        <w:r>
          <w:rPr>
            <w:lang w:val="en-GB"/>
          </w:rPr>
          <w:t xml:space="preserve"> H &lt;</w:t>
        </w:r>
        <w:r>
          <w:t xml:space="preserve"> 1,20 m</w:t>
        </w:r>
        <w:r>
          <w:tab/>
        </w:r>
        <w:r>
          <w:fldChar w:fldCharType="begin"/>
        </w:r>
        <w:r>
          <w:instrText xml:space="preserve"> PAGEREF _Toc14575 \h </w:instrText>
        </w:r>
        <w:r>
          <w:fldChar w:fldCharType="separate"/>
        </w:r>
        <w:r>
          <w:t>398</w:t>
        </w:r>
        <w:r>
          <w:fldChar w:fldCharType="end"/>
        </w:r>
      </w:hyperlink>
    </w:p>
    <w:p w14:paraId="2F0B77A9" w14:textId="77777777" w:rsidR="001C08A5" w:rsidRDefault="00000000">
      <w:pPr>
        <w:pStyle w:val="TableofFigures"/>
        <w:tabs>
          <w:tab w:val="right" w:leader="dot" w:pos="9639"/>
        </w:tabs>
        <w:ind w:left="800" w:hanging="400"/>
      </w:pPr>
      <w:hyperlink w:anchor="_Toc595" w:history="1">
        <w:r>
          <w:t>Figura 115  - Principiul realizării supra</w:t>
        </w:r>
        <w:r>
          <w:rPr>
            <w:lang w:val="en-GB"/>
          </w:rPr>
          <w:t>-termo</w:t>
        </w:r>
        <w:r>
          <w:t>izolației</w:t>
        </w:r>
        <w:r>
          <w:tab/>
        </w:r>
        <w:r>
          <w:fldChar w:fldCharType="begin"/>
        </w:r>
        <w:r>
          <w:instrText xml:space="preserve"> PAGEREF _Toc595 \h </w:instrText>
        </w:r>
        <w:r>
          <w:fldChar w:fldCharType="separate"/>
        </w:r>
        <w:r>
          <w:t>399</w:t>
        </w:r>
        <w:r>
          <w:fldChar w:fldCharType="end"/>
        </w:r>
      </w:hyperlink>
    </w:p>
    <w:p w14:paraId="65FA5F9D" w14:textId="77777777" w:rsidR="001C08A5" w:rsidRDefault="00000000">
      <w:pPr>
        <w:pStyle w:val="TableofFigures"/>
        <w:tabs>
          <w:tab w:val="right" w:leader="dot" w:pos="9639"/>
        </w:tabs>
        <w:ind w:left="800" w:hanging="400"/>
      </w:pPr>
      <w:hyperlink w:anchor="_Toc6066" w:history="1">
        <w:r>
          <w:t xml:space="preserve">Figura 116  - Balcoane și </w:t>
        </w:r>
        <w:r>
          <w:rPr>
            <w:lang w:val="en-GB"/>
          </w:rPr>
          <w:t>console</w:t>
        </w:r>
        <w:r>
          <w:t xml:space="preserve"> care </w:t>
        </w:r>
        <w:r>
          <w:rPr>
            <w:lang w:val="en-GB"/>
          </w:rPr>
          <w:t>sunt</w:t>
        </w:r>
        <w:r>
          <w:t xml:space="preserve"> parte integrantă din structură</w:t>
        </w:r>
        <w:r>
          <w:tab/>
        </w:r>
        <w:r>
          <w:fldChar w:fldCharType="begin"/>
        </w:r>
        <w:r>
          <w:instrText xml:space="preserve"> PAGEREF _Toc6066 \h </w:instrText>
        </w:r>
        <w:r>
          <w:fldChar w:fldCharType="separate"/>
        </w:r>
        <w:r>
          <w:t>400</w:t>
        </w:r>
        <w:r>
          <w:fldChar w:fldCharType="end"/>
        </w:r>
      </w:hyperlink>
    </w:p>
    <w:p w14:paraId="51330657" w14:textId="77777777" w:rsidR="001C08A5" w:rsidRDefault="00000000">
      <w:pPr>
        <w:pStyle w:val="TableofFigures"/>
        <w:tabs>
          <w:tab w:val="right" w:leader="dot" w:pos="9639"/>
        </w:tabs>
        <w:ind w:left="800" w:hanging="400"/>
      </w:pPr>
      <w:hyperlink w:anchor="_Toc14923" w:history="1">
        <w:r>
          <w:rPr>
            <w:bCs/>
          </w:rPr>
          <w:t xml:space="preserve"> </w:t>
        </w:r>
        <w:r>
          <w:t xml:space="preserve">Figura 117  - </w:t>
        </w:r>
        <w:r>
          <w:rPr>
            <w:lang w:val="en-GB"/>
          </w:rPr>
          <w:t>P</w:t>
        </w:r>
        <w:r>
          <w:t xml:space="preserve">rincipii de </w:t>
        </w:r>
        <w:r>
          <w:rPr>
            <w:lang w:val="en-GB"/>
          </w:rPr>
          <w:t>realizare</w:t>
        </w:r>
        <w:r>
          <w:t xml:space="preserve"> a </w:t>
        </w:r>
        <w:r>
          <w:rPr>
            <w:lang w:val="en-GB"/>
          </w:rPr>
          <w:t>portiunilor retrase</w:t>
        </w:r>
        <w:r>
          <w:t xml:space="preserve"> de </w:t>
        </w:r>
        <w:r>
          <w:rPr>
            <w:lang w:val="en-GB"/>
          </w:rPr>
          <w:t>acces,</w:t>
        </w:r>
        <w:r>
          <w:t xml:space="preserve"> în funcție de adâncimea </w:t>
        </w:r>
        <w:r>
          <w:rPr>
            <w:lang w:val="en-GB"/>
          </w:rPr>
          <w:t>acestora</w:t>
        </w:r>
        <w:r>
          <w:tab/>
        </w:r>
        <w:r>
          <w:fldChar w:fldCharType="begin"/>
        </w:r>
        <w:r>
          <w:instrText xml:space="preserve"> PAGEREF _Toc14923 \h </w:instrText>
        </w:r>
        <w:r>
          <w:fldChar w:fldCharType="separate"/>
        </w:r>
        <w:r>
          <w:t>401</w:t>
        </w:r>
        <w:r>
          <w:fldChar w:fldCharType="end"/>
        </w:r>
      </w:hyperlink>
    </w:p>
    <w:p w14:paraId="2D871E8F" w14:textId="77777777" w:rsidR="001C08A5" w:rsidRDefault="00000000">
      <w:pPr>
        <w:pStyle w:val="TableofFigures"/>
        <w:tabs>
          <w:tab w:val="right" w:leader="dot" w:pos="9639"/>
        </w:tabs>
        <w:ind w:left="800" w:hanging="400"/>
      </w:pPr>
      <w:hyperlink w:anchor="_Toc5231" w:history="1">
        <w:r>
          <w:t>Figura 118  - Principi</w:t>
        </w:r>
        <w:r>
          <w:rPr>
            <w:lang w:val="en-GB"/>
          </w:rPr>
          <w:t>i</w:t>
        </w:r>
        <w:r>
          <w:t xml:space="preserve"> de </w:t>
        </w:r>
        <w:r>
          <w:rPr>
            <w:lang w:val="en-GB"/>
          </w:rPr>
          <w:t xml:space="preserve">realizare </w:t>
        </w:r>
        <w:r>
          <w:t>î</w:t>
        </w:r>
        <w:r>
          <w:rPr>
            <w:lang w:val="en-GB"/>
          </w:rPr>
          <w:t>n cazul d</w:t>
        </w:r>
        <w:r>
          <w:t>eschideri</w:t>
        </w:r>
        <w:r>
          <w:rPr>
            <w:lang w:val="en-GB"/>
          </w:rPr>
          <w:t>lor</w:t>
        </w:r>
        <w:r>
          <w:t xml:space="preserve"> mari</w:t>
        </w:r>
        <w:r>
          <w:tab/>
        </w:r>
        <w:r>
          <w:fldChar w:fldCharType="begin"/>
        </w:r>
        <w:r>
          <w:instrText xml:space="preserve"> PAGEREF _Toc5231 \h </w:instrText>
        </w:r>
        <w:r>
          <w:fldChar w:fldCharType="separate"/>
        </w:r>
        <w:r>
          <w:t>401</w:t>
        </w:r>
        <w:r>
          <w:fldChar w:fldCharType="end"/>
        </w:r>
      </w:hyperlink>
    </w:p>
    <w:p w14:paraId="33AC1D74" w14:textId="77777777" w:rsidR="001C08A5" w:rsidRDefault="00000000">
      <w:pPr>
        <w:pStyle w:val="TableofFigures"/>
        <w:tabs>
          <w:tab w:val="right" w:leader="dot" w:pos="9639"/>
        </w:tabs>
        <w:ind w:left="800" w:hanging="400"/>
      </w:pPr>
      <w:hyperlink w:anchor="_Toc6989" w:history="1">
        <w:r>
          <w:t>Figura 119  - Principi</w:t>
        </w:r>
        <w:r>
          <w:rPr>
            <w:lang w:val="en-GB"/>
          </w:rPr>
          <w:t>i</w:t>
        </w:r>
        <w:r>
          <w:t xml:space="preserve"> de </w:t>
        </w:r>
        <w:r>
          <w:rPr>
            <w:lang w:val="en-GB"/>
          </w:rPr>
          <w:t>realizare</w:t>
        </w:r>
        <w:r>
          <w:t xml:space="preserve"> pe fațade</w:t>
        </w:r>
        <w:r>
          <w:rPr>
            <w:lang w:val="en-GB"/>
          </w:rPr>
          <w:t xml:space="preserve"> cu </w:t>
        </w:r>
        <w:r>
          <w:t>etaje inferioare retra</w:t>
        </w:r>
        <w:r>
          <w:rPr>
            <w:lang w:val="en-GB"/>
          </w:rPr>
          <w:t>se</w:t>
        </w:r>
        <w:r>
          <w:tab/>
        </w:r>
        <w:r>
          <w:fldChar w:fldCharType="begin"/>
        </w:r>
        <w:r>
          <w:instrText xml:space="preserve"> PAGEREF _Toc6989 \h </w:instrText>
        </w:r>
        <w:r>
          <w:fldChar w:fldCharType="separate"/>
        </w:r>
        <w:r>
          <w:t>402</w:t>
        </w:r>
        <w:r>
          <w:fldChar w:fldCharType="end"/>
        </w:r>
      </w:hyperlink>
    </w:p>
    <w:p w14:paraId="6CF2CC3F" w14:textId="77777777" w:rsidR="001C08A5" w:rsidRDefault="00000000">
      <w:pPr>
        <w:pStyle w:val="TableofFigures"/>
        <w:tabs>
          <w:tab w:val="right" w:leader="dot" w:pos="9639"/>
        </w:tabs>
        <w:ind w:left="800" w:hanging="400"/>
      </w:pPr>
      <w:hyperlink w:anchor="_Toc7522" w:history="1">
        <w:r>
          <w:t>Figura 120  - Principi</w:t>
        </w:r>
        <w:r>
          <w:rPr>
            <w:lang w:val="en-GB"/>
          </w:rPr>
          <w:t>i</w:t>
        </w:r>
        <w:r>
          <w:t xml:space="preserve"> de </w:t>
        </w:r>
        <w:r>
          <w:rPr>
            <w:lang w:val="en-GB"/>
          </w:rPr>
          <w:t>realizare</w:t>
        </w:r>
        <w:r>
          <w:t xml:space="preserve"> pe fațade</w:t>
        </w:r>
        <w:r>
          <w:rPr>
            <w:lang w:val="en-GB"/>
          </w:rPr>
          <w:t xml:space="preserve"> cu logii</w:t>
        </w:r>
        <w:r>
          <w:tab/>
        </w:r>
        <w:r>
          <w:fldChar w:fldCharType="begin"/>
        </w:r>
        <w:r>
          <w:instrText xml:space="preserve"> PAGEREF _Toc7522 \h </w:instrText>
        </w:r>
        <w:r>
          <w:fldChar w:fldCharType="separate"/>
        </w:r>
        <w:r>
          <w:t>402</w:t>
        </w:r>
        <w:r>
          <w:fldChar w:fldCharType="end"/>
        </w:r>
      </w:hyperlink>
    </w:p>
    <w:p w14:paraId="39927650" w14:textId="77777777" w:rsidR="001C08A5" w:rsidRDefault="00000000">
      <w:pPr>
        <w:pStyle w:val="TableofFigures"/>
        <w:tabs>
          <w:tab w:val="right" w:leader="dot" w:pos="9639"/>
        </w:tabs>
        <w:ind w:left="800" w:hanging="400"/>
      </w:pPr>
      <w:hyperlink w:anchor="_Toc5997" w:history="1">
        <w:r>
          <w:t>Figura 121  - Principi</w:t>
        </w:r>
        <w:r>
          <w:rPr>
            <w:lang w:val="en-GB"/>
          </w:rPr>
          <w:t>i</w:t>
        </w:r>
        <w:r>
          <w:t xml:space="preserve"> de </w:t>
        </w:r>
        <w:r>
          <w:rPr>
            <w:lang w:val="en-GB"/>
          </w:rPr>
          <w:t>realizare</w:t>
        </w:r>
        <w:r>
          <w:t xml:space="preserve"> </w:t>
        </w:r>
        <w:r>
          <w:rPr>
            <w:lang w:val="en-GB"/>
          </w:rPr>
          <w:t xml:space="preserve">pe </w:t>
        </w:r>
        <w:r>
          <w:t>fațade</w:t>
        </w:r>
        <w:r>
          <w:rPr>
            <w:lang w:val="en-GB"/>
          </w:rPr>
          <w:t xml:space="preserve"> cu </w:t>
        </w:r>
        <w:r>
          <w:t>deschideri</w:t>
        </w:r>
        <w:r>
          <w:rPr>
            <w:lang w:val="en-GB"/>
          </w:rPr>
          <w:t xml:space="preserve"> diferite</w:t>
        </w:r>
        <w:r>
          <w:tab/>
        </w:r>
        <w:r>
          <w:fldChar w:fldCharType="begin"/>
        </w:r>
        <w:r>
          <w:instrText xml:space="preserve"> PAGEREF _Toc5997 \h </w:instrText>
        </w:r>
        <w:r>
          <w:fldChar w:fldCharType="separate"/>
        </w:r>
        <w:r>
          <w:t>403</w:t>
        </w:r>
        <w:r>
          <w:fldChar w:fldCharType="end"/>
        </w:r>
      </w:hyperlink>
    </w:p>
    <w:p w14:paraId="42D1A46B" w14:textId="77777777" w:rsidR="001C08A5" w:rsidRDefault="00000000">
      <w:pPr>
        <w:pStyle w:val="TableofFigures"/>
        <w:tabs>
          <w:tab w:val="right" w:leader="dot" w:pos="9639"/>
        </w:tabs>
        <w:ind w:left="800" w:hanging="400"/>
      </w:pPr>
      <w:hyperlink w:anchor="_Toc2366" w:history="1">
        <w:r>
          <w:t>Figura 122  - Principi</w:t>
        </w:r>
        <w:r>
          <w:rPr>
            <w:lang w:val="en-GB"/>
          </w:rPr>
          <w:t>i</w:t>
        </w:r>
        <w:r>
          <w:t xml:space="preserve"> de </w:t>
        </w:r>
        <w:r>
          <w:rPr>
            <w:lang w:val="en-GB"/>
          </w:rPr>
          <w:t>realizare</w:t>
        </w:r>
        <w:r>
          <w:t xml:space="preserve"> pe fațade</w:t>
        </w:r>
        <w:r>
          <w:rPr>
            <w:lang w:val="en-GB"/>
          </w:rPr>
          <w:t xml:space="preserve"> decroşate cu</w:t>
        </w:r>
        <w:r>
          <w:t xml:space="preserve"> înălțim</w:t>
        </w:r>
        <w:r>
          <w:rPr>
            <w:lang w:val="en-GB"/>
          </w:rPr>
          <w:t>i diferite</w:t>
        </w:r>
        <w:r>
          <w:tab/>
        </w:r>
        <w:r>
          <w:fldChar w:fldCharType="begin"/>
        </w:r>
        <w:r>
          <w:instrText xml:space="preserve"> PAGEREF _Toc2366 \h </w:instrText>
        </w:r>
        <w:r>
          <w:fldChar w:fldCharType="separate"/>
        </w:r>
        <w:r>
          <w:t>404</w:t>
        </w:r>
        <w:r>
          <w:fldChar w:fldCharType="end"/>
        </w:r>
      </w:hyperlink>
    </w:p>
    <w:p w14:paraId="7F9D700A" w14:textId="77777777" w:rsidR="001C08A5" w:rsidRDefault="00000000">
      <w:pPr>
        <w:pStyle w:val="TableofFigures"/>
        <w:tabs>
          <w:tab w:val="right" w:leader="dot" w:pos="9639"/>
        </w:tabs>
        <w:ind w:left="800" w:hanging="400"/>
      </w:pPr>
      <w:hyperlink w:anchor="_Toc12935" w:history="1">
        <w:r>
          <w:t>Figura 123  - Principi</w:t>
        </w:r>
        <w:r>
          <w:rPr>
            <w:lang w:val="en-GB"/>
          </w:rPr>
          <w:t>i</w:t>
        </w:r>
        <w:r>
          <w:t xml:space="preserve"> de </w:t>
        </w:r>
        <w:r>
          <w:rPr>
            <w:lang w:val="en-GB"/>
          </w:rPr>
          <w:t>realizare</w:t>
        </w:r>
        <w:r>
          <w:t xml:space="preserve"> a </w:t>
        </w:r>
        <w:r>
          <w:rPr>
            <w:bCs/>
          </w:rPr>
          <w:t>fâşii</w:t>
        </w:r>
        <w:r>
          <w:rPr>
            <w:bCs/>
            <w:lang w:val="en-GB"/>
          </w:rPr>
          <w:t>lor/ benzilor</w:t>
        </w:r>
        <w:r>
          <w:rPr>
            <w:bCs/>
          </w:rPr>
          <w:t xml:space="preserve"> orizontale continui de termoizolaţie clasa de reacţie la foc </w:t>
        </w:r>
        <w:r>
          <w:t xml:space="preserve">A1 </w:t>
        </w:r>
        <w:r>
          <w:rPr>
            <w:bCs/>
          </w:rPr>
          <w:t>sau</w:t>
        </w:r>
        <w:r>
          <w:t xml:space="preserve"> A2-s1d0 pe </w:t>
        </w:r>
        <w:r>
          <w:rPr>
            <w:lang w:val="en-GB"/>
          </w:rPr>
          <w:t>t</w:t>
        </w:r>
        <w:r>
          <w:t>eren în</w:t>
        </w:r>
        <w:r>
          <w:rPr>
            <w:lang w:val="en-GB"/>
          </w:rPr>
          <w:t xml:space="preserve"> pant</w:t>
        </w:r>
        <w:r>
          <w:t>ă</w:t>
        </w:r>
        <w:r>
          <w:tab/>
        </w:r>
        <w:r>
          <w:fldChar w:fldCharType="begin"/>
        </w:r>
        <w:r>
          <w:instrText xml:space="preserve"> PAGEREF _Toc12935 \h </w:instrText>
        </w:r>
        <w:r>
          <w:fldChar w:fldCharType="separate"/>
        </w:r>
        <w:r>
          <w:t>404</w:t>
        </w:r>
        <w:r>
          <w:fldChar w:fldCharType="end"/>
        </w:r>
      </w:hyperlink>
    </w:p>
    <w:p w14:paraId="55E0214C" w14:textId="77777777" w:rsidR="001C08A5" w:rsidRDefault="00000000">
      <w:pPr>
        <w:pStyle w:val="TableofFigures"/>
        <w:tabs>
          <w:tab w:val="right" w:leader="dot" w:pos="9639"/>
        </w:tabs>
        <w:ind w:left="800" w:hanging="400"/>
      </w:pPr>
      <w:hyperlink w:anchor="_Toc23932" w:history="1">
        <w:r>
          <w:t xml:space="preserve"> Figura 124  - Cabine de ascensor</w:t>
        </w:r>
        <w:r>
          <w:tab/>
        </w:r>
        <w:r>
          <w:fldChar w:fldCharType="begin"/>
        </w:r>
        <w:r>
          <w:instrText xml:space="preserve"> PAGEREF _Toc23932 \h </w:instrText>
        </w:r>
        <w:r>
          <w:fldChar w:fldCharType="separate"/>
        </w:r>
        <w:r>
          <w:t>405</w:t>
        </w:r>
        <w:r>
          <w:fldChar w:fldCharType="end"/>
        </w:r>
      </w:hyperlink>
    </w:p>
    <w:p w14:paraId="126A4F95" w14:textId="77777777" w:rsidR="001C08A5" w:rsidRDefault="00000000">
      <w:pPr>
        <w:pStyle w:val="TableofFigures"/>
        <w:tabs>
          <w:tab w:val="right" w:leader="dot" w:pos="9639"/>
        </w:tabs>
        <w:ind w:left="800" w:hanging="400"/>
      </w:pPr>
      <w:hyperlink w:anchor="_Toc21958" w:history="1">
        <w:r>
          <w:t>Figura 125  - Caz general goluri de acces la ascensoare prevăzute pentru transportul persoanelor cu căruciorul sau a persoanelor cu dizabilităţi care pot fi utilizate şi pentru evacuarea asistată a acestora în caz de incendiu</w:t>
        </w:r>
        <w:r>
          <w:tab/>
        </w:r>
        <w:r>
          <w:fldChar w:fldCharType="begin"/>
        </w:r>
        <w:r>
          <w:instrText xml:space="preserve"> PAGEREF _Toc21958 \h </w:instrText>
        </w:r>
        <w:r>
          <w:fldChar w:fldCharType="separate"/>
        </w:r>
        <w:r>
          <w:t>407</w:t>
        </w:r>
        <w:r>
          <w:fldChar w:fldCharType="end"/>
        </w:r>
      </w:hyperlink>
    </w:p>
    <w:p w14:paraId="137BBAFB" w14:textId="77777777" w:rsidR="001C08A5" w:rsidRDefault="00000000">
      <w:pPr>
        <w:pStyle w:val="TableofFigures"/>
        <w:tabs>
          <w:tab w:val="right" w:leader="dot" w:pos="9639"/>
        </w:tabs>
        <w:ind w:left="800" w:hanging="400"/>
      </w:pPr>
      <w:hyperlink w:anchor="_Toc4424" w:history="1">
        <w:r>
          <w:t>Figura 126  - Goluri de acces la ascensoare prevăzute pentru transportul persoanelor cu căruciorul sau a persoanelor cu dizabilităţi care pot fi utilizate şi pentru evacuarea asistată a acestora în caz de incendiu și la scări de evacuare a persoanelor atunci când debușează într-o încăpere tampon ventilată în suprapresiune comună</w:t>
        </w:r>
        <w:r>
          <w:tab/>
        </w:r>
        <w:r>
          <w:fldChar w:fldCharType="begin"/>
        </w:r>
        <w:r>
          <w:instrText xml:space="preserve"> PAGEREF _Toc4424 \h </w:instrText>
        </w:r>
        <w:r>
          <w:fldChar w:fldCharType="separate"/>
        </w:r>
        <w:r>
          <w:t>408</w:t>
        </w:r>
        <w:r>
          <w:fldChar w:fldCharType="end"/>
        </w:r>
      </w:hyperlink>
    </w:p>
    <w:p w14:paraId="0CC0FD56" w14:textId="77777777" w:rsidR="001C08A5" w:rsidRDefault="00000000">
      <w:pPr>
        <w:pStyle w:val="TableofFigures"/>
        <w:tabs>
          <w:tab w:val="right" w:leader="dot" w:pos="9639"/>
        </w:tabs>
        <w:ind w:left="800" w:hanging="400"/>
      </w:pPr>
      <w:hyperlink w:anchor="_Toc6897" w:history="1">
        <w:r>
          <w:t>Figura 127  - Goluri de acces la ascensoare prevăzute pentru transportul persoanelor cu căruciorul sau a persoanelor cu dizabilităţi care pot fi utilizate şi pentru evacuarea asistată a acestora în caz de incendiu și la ascensoare prevăzute pentru circulația funcțională a persoanelor și la atunci când debușează într-o încăpere tampon ventilată în suprapresiune comună</w:t>
        </w:r>
        <w:r>
          <w:tab/>
        </w:r>
        <w:r>
          <w:fldChar w:fldCharType="begin"/>
        </w:r>
        <w:r>
          <w:instrText xml:space="preserve"> PAGEREF _Toc6897 \h </w:instrText>
        </w:r>
        <w:r>
          <w:fldChar w:fldCharType="separate"/>
        </w:r>
        <w:r>
          <w:t>409</w:t>
        </w:r>
        <w:r>
          <w:fldChar w:fldCharType="end"/>
        </w:r>
      </w:hyperlink>
    </w:p>
    <w:p w14:paraId="62C39106" w14:textId="77777777" w:rsidR="001C08A5" w:rsidRDefault="00000000">
      <w:pPr>
        <w:pStyle w:val="TableofFigures"/>
        <w:tabs>
          <w:tab w:val="right" w:leader="dot" w:pos="9639"/>
        </w:tabs>
        <w:ind w:left="800" w:hanging="400"/>
      </w:pPr>
      <w:hyperlink w:anchor="_Toc19696" w:history="1">
        <w:r>
          <w:t>Figura 128  - Goluri de acces la ascensoare prevăzute pentru transportul persoanelor cu căruciorul sau a persoanelor cu dizabilităţi care pot fi utilizate şi pentru evacuarea asistată a acestora în caz de incendiu, la ascensoare prevăzute pentru circulația funcțională a persoanelor și la scări de evacuare a persoanelor atunci când debușează într-o încăpere tampon ventilată în suprapresiune comună</w:t>
        </w:r>
        <w:r>
          <w:tab/>
        </w:r>
        <w:r>
          <w:fldChar w:fldCharType="begin"/>
        </w:r>
        <w:r>
          <w:instrText xml:space="preserve"> PAGEREF _Toc19696 \h </w:instrText>
        </w:r>
        <w:r>
          <w:fldChar w:fldCharType="separate"/>
        </w:r>
        <w:r>
          <w:t>410</w:t>
        </w:r>
        <w:r>
          <w:fldChar w:fldCharType="end"/>
        </w:r>
      </w:hyperlink>
    </w:p>
    <w:p w14:paraId="039F89A5" w14:textId="77777777" w:rsidR="001C08A5" w:rsidRDefault="00000000">
      <w:pPr>
        <w:pStyle w:val="TableofFigures"/>
        <w:tabs>
          <w:tab w:val="right" w:leader="dot" w:pos="9639"/>
        </w:tabs>
        <w:ind w:left="800" w:hanging="400"/>
      </w:pPr>
      <w:hyperlink w:anchor="_Toc3870" w:history="1">
        <w:r>
          <w:t>Figura 129  - Caz general goluri de acces la ascensoare prevăzute pentru transportul bolnavilor cu patul cu rotile, cu targa ori căruciorul sau a persoanelor cu dizabilităţi care pot fi utilizate şi pentru evacuarea asistată a acestora în caz de incendiu</w:t>
        </w:r>
        <w:r>
          <w:tab/>
        </w:r>
        <w:r>
          <w:fldChar w:fldCharType="begin"/>
        </w:r>
        <w:r>
          <w:instrText xml:space="preserve"> PAGEREF _Toc3870 \h </w:instrText>
        </w:r>
        <w:r>
          <w:fldChar w:fldCharType="separate"/>
        </w:r>
        <w:r>
          <w:t>412</w:t>
        </w:r>
        <w:r>
          <w:fldChar w:fldCharType="end"/>
        </w:r>
      </w:hyperlink>
    </w:p>
    <w:p w14:paraId="1A703917" w14:textId="77777777" w:rsidR="001C08A5" w:rsidRDefault="00000000">
      <w:pPr>
        <w:pStyle w:val="TableofFigures"/>
        <w:tabs>
          <w:tab w:val="right" w:leader="dot" w:pos="9639"/>
        </w:tabs>
        <w:ind w:left="800" w:hanging="400"/>
      </w:pPr>
      <w:hyperlink w:anchor="_Toc13165" w:history="1">
        <w:r>
          <w:t>Figura 130  - Goluri de acces la ascensoare prevăzute pentru transportul bolnavilor cu patul cu rotile, cu targa ori căruciorul sau a persoanelor cu dizabilităţi care pot fi utilizate şi pentru evacuarea asistată a acestora în caz de incendiu și la scări de evacuare a persoanelor atunci când debușează într-o încăpere tampon ventilată în suprapresiune comună</w:t>
        </w:r>
        <w:r>
          <w:tab/>
        </w:r>
        <w:r>
          <w:fldChar w:fldCharType="begin"/>
        </w:r>
        <w:r>
          <w:instrText xml:space="preserve"> PAGEREF _Toc13165 \h </w:instrText>
        </w:r>
        <w:r>
          <w:fldChar w:fldCharType="separate"/>
        </w:r>
        <w:r>
          <w:t>413</w:t>
        </w:r>
        <w:r>
          <w:fldChar w:fldCharType="end"/>
        </w:r>
      </w:hyperlink>
    </w:p>
    <w:p w14:paraId="5E4AD908" w14:textId="77777777" w:rsidR="001C08A5" w:rsidRDefault="00000000">
      <w:pPr>
        <w:pStyle w:val="TableofFigures"/>
        <w:tabs>
          <w:tab w:val="right" w:leader="dot" w:pos="9639"/>
        </w:tabs>
        <w:ind w:left="800" w:hanging="400"/>
      </w:pPr>
      <w:hyperlink w:anchor="_Toc10620" w:history="1">
        <w:r>
          <w:t>Figura 131  - Goluri de acces la ascensoare prevăzute pentru transportul bolnavilor cu patul cu rotile, cu targa ori căruciorul sau a persoanelor cu dizabilităţi care pot fi utilizate şi pentru evacuarea asistată a acestora în caz de incendiu și la scări de evacuare a persoaneloratunci când NU debușează într-o încăpere tampon ventilată în suprapresiune comună</w:t>
        </w:r>
        <w:r>
          <w:tab/>
        </w:r>
        <w:r>
          <w:fldChar w:fldCharType="begin"/>
        </w:r>
        <w:r>
          <w:instrText xml:space="preserve"> PAGEREF _Toc10620 \h </w:instrText>
        </w:r>
        <w:r>
          <w:fldChar w:fldCharType="separate"/>
        </w:r>
        <w:r>
          <w:t>414</w:t>
        </w:r>
        <w:r>
          <w:fldChar w:fldCharType="end"/>
        </w:r>
      </w:hyperlink>
    </w:p>
    <w:p w14:paraId="7874F227" w14:textId="77777777" w:rsidR="001C08A5" w:rsidRDefault="00000000">
      <w:pPr>
        <w:pStyle w:val="TableofFigures"/>
        <w:tabs>
          <w:tab w:val="right" w:leader="dot" w:pos="9639"/>
        </w:tabs>
        <w:ind w:left="800" w:hanging="400"/>
      </w:pPr>
      <w:hyperlink w:anchor="_Toc21246" w:history="1">
        <w:r>
          <w:t xml:space="preserve">Figura 132  - Goluri de acces la ascensoare prevăzute pentru transportul bolnavilor cu patul cu rotile, cu targa ori căruciorul sau a persoanelor cu dizabilităţi care pot fi utilizate şi pentru evacuarea asistată a acestora în caz de incendiu și la ascensoare prevăzute pentru circulația funcțională a persoanelor atunci când debușează într-o încăpere tampon ventilată în suprapresiune comună </w:t>
        </w:r>
        <w:r>
          <w:tab/>
        </w:r>
        <w:r>
          <w:fldChar w:fldCharType="begin"/>
        </w:r>
        <w:r>
          <w:instrText xml:space="preserve"> PAGEREF _Toc21246 \h </w:instrText>
        </w:r>
        <w:r>
          <w:fldChar w:fldCharType="separate"/>
        </w:r>
        <w:r>
          <w:t>415</w:t>
        </w:r>
        <w:r>
          <w:fldChar w:fldCharType="end"/>
        </w:r>
      </w:hyperlink>
    </w:p>
    <w:p w14:paraId="397AB1BD" w14:textId="77777777" w:rsidR="001C08A5" w:rsidRDefault="00000000">
      <w:pPr>
        <w:pStyle w:val="TableofFigures"/>
        <w:tabs>
          <w:tab w:val="right" w:leader="dot" w:pos="9639"/>
        </w:tabs>
        <w:ind w:left="800" w:hanging="400"/>
      </w:pPr>
      <w:hyperlink w:anchor="_Toc23709" w:history="1">
        <w:r>
          <w:t>Figura 133  - Goluri de acces la ascensoare prevăzute pentru transportul bolnavilor cu patul cu rotile, cu targa ori căruciorul sau a persoanelor cu dizabilităţi care pot fi utilizate şi pentru evacuarea asistată a acestora în caz de incendiu, la ascensoare prevăzute pentru circulația funcțională a persoanelor și la scări de evacuare a persoaneloratunci când debușează într-o încăpere tampon ventilată în suprapresiune comună</w:t>
        </w:r>
        <w:r>
          <w:tab/>
        </w:r>
        <w:r>
          <w:fldChar w:fldCharType="begin"/>
        </w:r>
        <w:r>
          <w:instrText xml:space="preserve"> PAGEREF _Toc23709 \h </w:instrText>
        </w:r>
        <w:r>
          <w:fldChar w:fldCharType="separate"/>
        </w:r>
        <w:r>
          <w:t>416</w:t>
        </w:r>
        <w:r>
          <w:fldChar w:fldCharType="end"/>
        </w:r>
      </w:hyperlink>
    </w:p>
    <w:p w14:paraId="330164F8" w14:textId="77777777" w:rsidR="001C08A5" w:rsidRDefault="00000000">
      <w:pPr>
        <w:pStyle w:val="TableofFigures"/>
        <w:tabs>
          <w:tab w:val="right" w:leader="dot" w:pos="9639"/>
        </w:tabs>
        <w:ind w:left="800" w:hanging="400"/>
      </w:pPr>
      <w:hyperlink w:anchor="_Toc19456" w:history="1">
        <w:r>
          <w:t>Figura 134  - Caz general goluri de acces la ascensoare de intervenție</w:t>
        </w:r>
        <w:r>
          <w:tab/>
        </w:r>
        <w:r>
          <w:fldChar w:fldCharType="begin"/>
        </w:r>
        <w:r>
          <w:instrText xml:space="preserve"> PAGEREF _Toc19456 \h </w:instrText>
        </w:r>
        <w:r>
          <w:fldChar w:fldCharType="separate"/>
        </w:r>
        <w:r>
          <w:t>417</w:t>
        </w:r>
        <w:r>
          <w:fldChar w:fldCharType="end"/>
        </w:r>
      </w:hyperlink>
    </w:p>
    <w:p w14:paraId="578B589B" w14:textId="77777777" w:rsidR="001C08A5" w:rsidRDefault="00000000">
      <w:pPr>
        <w:pStyle w:val="TableofFigures"/>
        <w:tabs>
          <w:tab w:val="right" w:leader="dot" w:pos="9639"/>
        </w:tabs>
        <w:ind w:left="800" w:hanging="400"/>
      </w:pPr>
      <w:hyperlink w:anchor="_Toc15922" w:history="1">
        <w:r>
          <w:t>Figura 135  - Goluri de acces la ascensoare de intervenție și la scări de evacuare a persoanelor atunci când debușează într-o încăpere tampon ventilată în suprapresiune comună</w:t>
        </w:r>
        <w:r>
          <w:tab/>
        </w:r>
        <w:r>
          <w:fldChar w:fldCharType="begin"/>
        </w:r>
        <w:r>
          <w:instrText xml:space="preserve"> PAGEREF _Toc15922 \h </w:instrText>
        </w:r>
        <w:r>
          <w:fldChar w:fldCharType="separate"/>
        </w:r>
        <w:r>
          <w:t>418</w:t>
        </w:r>
        <w:r>
          <w:fldChar w:fldCharType="end"/>
        </w:r>
      </w:hyperlink>
    </w:p>
    <w:p w14:paraId="17D31C56" w14:textId="77777777" w:rsidR="001C08A5" w:rsidRDefault="00000000">
      <w:pPr>
        <w:pStyle w:val="TableofFigures"/>
        <w:tabs>
          <w:tab w:val="right" w:leader="dot" w:pos="9639"/>
        </w:tabs>
        <w:ind w:left="800" w:hanging="400"/>
      </w:pPr>
      <w:hyperlink w:anchor="_Toc2017" w:history="1">
        <w:r>
          <w:t>Figura 136  - Goluri de acces la ascensoare de intervenție și la scări de evacuare a persoanelor atunci când NU debușează într-o încăpere tampon ventilată în suprapresiune comună</w:t>
        </w:r>
        <w:r>
          <w:tab/>
        </w:r>
        <w:r>
          <w:fldChar w:fldCharType="begin"/>
        </w:r>
        <w:r>
          <w:instrText xml:space="preserve"> PAGEREF _Toc2017 \h </w:instrText>
        </w:r>
        <w:r>
          <w:fldChar w:fldCharType="separate"/>
        </w:r>
        <w:r>
          <w:t>419</w:t>
        </w:r>
        <w:r>
          <w:fldChar w:fldCharType="end"/>
        </w:r>
      </w:hyperlink>
    </w:p>
    <w:p w14:paraId="18F2C38B" w14:textId="77777777" w:rsidR="001C08A5" w:rsidRDefault="00000000">
      <w:pPr>
        <w:pStyle w:val="TableofFigures"/>
        <w:tabs>
          <w:tab w:val="right" w:leader="dot" w:pos="9639"/>
        </w:tabs>
        <w:ind w:left="800" w:hanging="400"/>
      </w:pPr>
      <w:hyperlink w:anchor="_Toc24817" w:history="1">
        <w:r>
          <w:t xml:space="preserve">Figura 137  - Goluri de acces la ascensoare de intervenție și la ascensoare prevăzute pentru circulația funcțională a persoanelor atunci când debușează într-o încăpere tampon ventilată în suprapresiune comună </w:t>
        </w:r>
        <w:r>
          <w:tab/>
        </w:r>
        <w:r>
          <w:fldChar w:fldCharType="begin"/>
        </w:r>
        <w:r>
          <w:instrText xml:space="preserve"> PAGEREF _Toc24817 \h </w:instrText>
        </w:r>
        <w:r>
          <w:fldChar w:fldCharType="separate"/>
        </w:r>
        <w:r>
          <w:t>420</w:t>
        </w:r>
        <w:r>
          <w:fldChar w:fldCharType="end"/>
        </w:r>
      </w:hyperlink>
    </w:p>
    <w:p w14:paraId="34447D18" w14:textId="77777777" w:rsidR="001C08A5" w:rsidRDefault="00000000">
      <w:pPr>
        <w:pStyle w:val="TableofFigures"/>
        <w:tabs>
          <w:tab w:val="right" w:leader="dot" w:pos="9639"/>
        </w:tabs>
        <w:ind w:left="800" w:hanging="400"/>
      </w:pPr>
      <w:hyperlink w:anchor="_Toc10988" w:history="1">
        <w:r>
          <w:t>Figura 138  - Goluri de acces la ascensoare de intervenție, la ascensoare prevăzute pentru circulația funcțională a persoanelor și la scări de evacuare a persoanelor atunci când debușează într-o încăpere tampon ventilată în suprapresiune comună</w:t>
        </w:r>
        <w:r>
          <w:tab/>
        </w:r>
        <w:r>
          <w:fldChar w:fldCharType="begin"/>
        </w:r>
        <w:r>
          <w:instrText xml:space="preserve"> PAGEREF _Toc10988 \h </w:instrText>
        </w:r>
        <w:r>
          <w:fldChar w:fldCharType="separate"/>
        </w:r>
        <w:r>
          <w:t>421</w:t>
        </w:r>
        <w:r>
          <w:fldChar w:fldCharType="end"/>
        </w:r>
      </w:hyperlink>
    </w:p>
    <w:p w14:paraId="427FD424" w14:textId="77777777" w:rsidR="001C08A5" w:rsidRDefault="00000000">
      <w:pPr>
        <w:pStyle w:val="TableofFigures"/>
        <w:tabs>
          <w:tab w:val="right" w:leader="dot" w:pos="9639"/>
        </w:tabs>
        <w:ind w:left="800" w:hanging="400"/>
      </w:pPr>
      <w:hyperlink w:anchor="_Toc27697" w:history="1">
        <w:r>
          <w:t>Figura 139  - Goluri de acces la ascensoare de intervenție, la ascensoare prevăzute pentru circulația funcțională a persoanelor, la scări de evacuare a persoanelor și la ascensoare prevăzute pentru transportul bolnavilor cu patul cu rotile, cu targa ori căruciorul sau a persoanelor cu dizabilităţi care pot fi utilizate şi pentru evacuarea asistată a acestora în caz de incendiu atunci când debușează într-o încăpere tampon ventilată în suprapresiune comună</w:t>
        </w:r>
        <w:r>
          <w:tab/>
        </w:r>
        <w:r>
          <w:fldChar w:fldCharType="begin"/>
        </w:r>
        <w:r>
          <w:instrText xml:space="preserve"> PAGEREF _Toc27697 \h </w:instrText>
        </w:r>
        <w:r>
          <w:fldChar w:fldCharType="separate"/>
        </w:r>
        <w:r>
          <w:t>423</w:t>
        </w:r>
        <w:r>
          <w:fldChar w:fldCharType="end"/>
        </w:r>
      </w:hyperlink>
    </w:p>
    <w:p w14:paraId="3CFA3B6D" w14:textId="77777777" w:rsidR="001C08A5" w:rsidRDefault="00000000">
      <w:pPr>
        <w:pStyle w:val="TableofFigures"/>
        <w:tabs>
          <w:tab w:val="right" w:leader="dot" w:pos="9639"/>
        </w:tabs>
        <w:ind w:left="800" w:hanging="400"/>
      </w:pPr>
      <w:hyperlink w:anchor="_Toc8597" w:history="1">
        <w:r>
          <w:t xml:space="preserve">Figura 140  - </w:t>
        </w:r>
        <w:r>
          <w:rPr>
            <w:bCs/>
          </w:rPr>
          <w:t>Acces comun la ascensoare de intervenție și casa scării COMUNĂ (scară prevăzută pentru evacuarea persoanelor precum și pentru accesul forțelor de intervenție) - acces al pompierilor prin aceeași scară de evacuare în clădirile înalte sau foarte înalte</w:t>
        </w:r>
        <w:r>
          <w:tab/>
        </w:r>
        <w:r>
          <w:fldChar w:fldCharType="begin"/>
        </w:r>
        <w:r>
          <w:instrText xml:space="preserve"> PAGEREF _Toc8597 \h </w:instrText>
        </w:r>
        <w:r>
          <w:fldChar w:fldCharType="separate"/>
        </w:r>
        <w:r>
          <w:t>423</w:t>
        </w:r>
        <w:r>
          <w:fldChar w:fldCharType="end"/>
        </w:r>
      </w:hyperlink>
    </w:p>
    <w:p w14:paraId="66C68FF9" w14:textId="77777777" w:rsidR="001C08A5" w:rsidRDefault="00000000">
      <w:pPr>
        <w:pStyle w:val="TableofFigures"/>
        <w:tabs>
          <w:tab w:val="right" w:leader="dot" w:pos="9639"/>
        </w:tabs>
        <w:ind w:left="800" w:hanging="400"/>
      </w:pPr>
      <w:hyperlink w:anchor="_Toc24681" w:history="1">
        <w:r>
          <w:t>Figura 141  - Puț protejat de acces și intervenție a pompierilor</w:t>
        </w:r>
        <w:r>
          <w:tab/>
        </w:r>
        <w:r>
          <w:fldChar w:fldCharType="begin"/>
        </w:r>
        <w:r>
          <w:instrText xml:space="preserve"> PAGEREF _Toc24681 \h </w:instrText>
        </w:r>
        <w:r>
          <w:fldChar w:fldCharType="separate"/>
        </w:r>
        <w:r>
          <w:t>424</w:t>
        </w:r>
        <w:r>
          <w:fldChar w:fldCharType="end"/>
        </w:r>
      </w:hyperlink>
    </w:p>
    <w:p w14:paraId="6A8E3951" w14:textId="77777777" w:rsidR="001C08A5" w:rsidRDefault="00000000">
      <w:pPr>
        <w:pStyle w:val="TableofFigures"/>
        <w:tabs>
          <w:tab w:val="right" w:leader="dot" w:pos="9639"/>
        </w:tabs>
        <w:ind w:left="800" w:hanging="400"/>
      </w:pPr>
      <w:hyperlink w:anchor="_Toc25974" w:history="1">
        <w:r>
          <w:t xml:space="preserve">Figura 142  - </w:t>
        </w:r>
        <w:r>
          <w:rPr>
            <w:bCs/>
          </w:rPr>
          <w:t>Ascensor dedicat intervenției (obligatoriu la clădiri cu înălțimea mai mare sau egală de 75 m) prevazut cu acces dedicat din încăperea tampon aferentă casei de scara destinată numai intervenției pompierilor</w:t>
        </w:r>
        <w:r>
          <w:tab/>
        </w:r>
        <w:r>
          <w:fldChar w:fldCharType="begin"/>
        </w:r>
        <w:r>
          <w:instrText xml:space="preserve"> PAGEREF _Toc25974 \h </w:instrText>
        </w:r>
        <w:r>
          <w:fldChar w:fldCharType="separate"/>
        </w:r>
        <w:r>
          <w:t>425</w:t>
        </w:r>
        <w:r>
          <w:fldChar w:fldCharType="end"/>
        </w:r>
      </w:hyperlink>
    </w:p>
    <w:p w14:paraId="6D39CDE9" w14:textId="77777777" w:rsidR="001C08A5" w:rsidRDefault="00000000">
      <w:pPr>
        <w:pStyle w:val="TableofFigures"/>
        <w:tabs>
          <w:tab w:val="right" w:leader="dot" w:pos="9639"/>
        </w:tabs>
        <w:ind w:left="800" w:hanging="400"/>
      </w:pPr>
      <w:hyperlink w:anchor="_Toc3998" w:history="1">
        <w:r>
          <w:t>Figura 143  - Atrium - secțiune și volum</w:t>
        </w:r>
        <w:r>
          <w:tab/>
        </w:r>
        <w:r>
          <w:fldChar w:fldCharType="begin"/>
        </w:r>
        <w:r>
          <w:instrText xml:space="preserve"> PAGEREF _Toc3998 \h </w:instrText>
        </w:r>
        <w:r>
          <w:fldChar w:fldCharType="separate"/>
        </w:r>
        <w:r>
          <w:t>426</w:t>
        </w:r>
        <w:r>
          <w:fldChar w:fldCharType="end"/>
        </w:r>
      </w:hyperlink>
    </w:p>
    <w:p w14:paraId="5D9D5CA7" w14:textId="77777777" w:rsidR="001C08A5" w:rsidRDefault="00000000">
      <w:pPr>
        <w:pStyle w:val="TableofFigures"/>
        <w:tabs>
          <w:tab w:val="right" w:leader="dot" w:pos="9639"/>
        </w:tabs>
        <w:ind w:left="800" w:hanging="400"/>
      </w:pPr>
      <w:hyperlink w:anchor="_Toc4067" w:history="1">
        <w:r>
          <w:t>Figura 144  - Clădiri cu atrium - variante</w:t>
        </w:r>
        <w:r>
          <w:tab/>
        </w:r>
        <w:r>
          <w:fldChar w:fldCharType="begin"/>
        </w:r>
        <w:r>
          <w:instrText xml:space="preserve"> PAGEREF _Toc4067 \h </w:instrText>
        </w:r>
        <w:r>
          <w:fldChar w:fldCharType="separate"/>
        </w:r>
        <w:r>
          <w:t>427</w:t>
        </w:r>
        <w:r>
          <w:fldChar w:fldCharType="end"/>
        </w:r>
      </w:hyperlink>
    </w:p>
    <w:p w14:paraId="78F859FE" w14:textId="77777777" w:rsidR="001C08A5" w:rsidRDefault="00000000">
      <w:pPr>
        <w:pStyle w:val="TableofFigures"/>
        <w:tabs>
          <w:tab w:val="right" w:leader="dot" w:pos="9639"/>
        </w:tabs>
        <w:ind w:left="800" w:hanging="400"/>
      </w:pPr>
      <w:hyperlink w:anchor="_Toc19909" w:history="1">
        <w:r>
          <w:t>Figura 145  - Clădire fără atrium</w:t>
        </w:r>
        <w:r>
          <w:tab/>
        </w:r>
        <w:r>
          <w:fldChar w:fldCharType="begin"/>
        </w:r>
        <w:r>
          <w:instrText xml:space="preserve"> PAGEREF _Toc19909 \h </w:instrText>
        </w:r>
        <w:r>
          <w:fldChar w:fldCharType="separate"/>
        </w:r>
        <w:r>
          <w:t>428</w:t>
        </w:r>
        <w:r>
          <w:fldChar w:fldCharType="end"/>
        </w:r>
      </w:hyperlink>
    </w:p>
    <w:p w14:paraId="6AA1519E" w14:textId="77777777" w:rsidR="001C08A5" w:rsidRDefault="00000000">
      <w:pPr>
        <w:pStyle w:val="TableofFigures"/>
        <w:tabs>
          <w:tab w:val="right" w:leader="dot" w:pos="9639"/>
        </w:tabs>
        <w:ind w:left="800" w:hanging="400"/>
      </w:pPr>
      <w:hyperlink w:anchor="_Toc11529" w:history="1">
        <w:r>
          <w:t>Figura 146  - Atrium acoperit sau neacoperit</w:t>
        </w:r>
        <w:r>
          <w:tab/>
        </w:r>
        <w:r>
          <w:fldChar w:fldCharType="begin"/>
        </w:r>
        <w:r>
          <w:instrText xml:space="preserve"> PAGEREF _Toc11529 \h </w:instrText>
        </w:r>
        <w:r>
          <w:fldChar w:fldCharType="separate"/>
        </w:r>
        <w:r>
          <w:t>428</w:t>
        </w:r>
        <w:r>
          <w:fldChar w:fldCharType="end"/>
        </w:r>
      </w:hyperlink>
    </w:p>
    <w:p w14:paraId="49C50D6A" w14:textId="77777777" w:rsidR="001C08A5" w:rsidRDefault="00000000">
      <w:pPr>
        <w:pStyle w:val="TableofFigures"/>
        <w:tabs>
          <w:tab w:val="right" w:leader="dot" w:pos="9639"/>
        </w:tabs>
        <w:ind w:left="800" w:hanging="400"/>
      </w:pPr>
      <w:hyperlink w:anchor="_Toc26017" w:history="1">
        <w:r>
          <w:t>Figura 147  - Condiții atrium</w:t>
        </w:r>
        <w:r>
          <w:tab/>
        </w:r>
        <w:r>
          <w:fldChar w:fldCharType="begin"/>
        </w:r>
        <w:r>
          <w:instrText xml:space="preserve"> PAGEREF _Toc26017 \h </w:instrText>
        </w:r>
        <w:r>
          <w:fldChar w:fldCharType="separate"/>
        </w:r>
        <w:r>
          <w:t>428</w:t>
        </w:r>
        <w:r>
          <w:fldChar w:fldCharType="end"/>
        </w:r>
      </w:hyperlink>
    </w:p>
    <w:p w14:paraId="27A06E61" w14:textId="77777777" w:rsidR="001C08A5" w:rsidRDefault="00000000">
      <w:pPr>
        <w:pStyle w:val="TableofFigures"/>
        <w:tabs>
          <w:tab w:val="right" w:leader="dot" w:pos="9639"/>
        </w:tabs>
        <w:ind w:left="800" w:hanging="400"/>
      </w:pPr>
      <w:hyperlink w:anchor="_Toc11111" w:history="1">
        <w:r>
          <w:t xml:space="preserve">Figura 148  - </w:t>
        </w:r>
        <w:r>
          <w:rPr>
            <w:rFonts w:eastAsia="Times New Roman"/>
            <w:bCs/>
          </w:rPr>
          <w:t>Atriumuri cu efect de coș</w:t>
        </w:r>
        <w:r>
          <w:tab/>
        </w:r>
        <w:r>
          <w:fldChar w:fldCharType="begin"/>
        </w:r>
        <w:r>
          <w:instrText xml:space="preserve"> PAGEREF _Toc11111 \h </w:instrText>
        </w:r>
        <w:r>
          <w:fldChar w:fldCharType="separate"/>
        </w:r>
        <w:r>
          <w:t>429</w:t>
        </w:r>
        <w:r>
          <w:fldChar w:fldCharType="end"/>
        </w:r>
      </w:hyperlink>
    </w:p>
    <w:p w14:paraId="50B75508" w14:textId="77777777" w:rsidR="001C08A5" w:rsidRDefault="00000000">
      <w:pPr>
        <w:pStyle w:val="TableofFigures"/>
        <w:tabs>
          <w:tab w:val="right" w:leader="dot" w:pos="9639"/>
        </w:tabs>
        <w:ind w:left="800" w:hanging="400"/>
      </w:pPr>
      <w:hyperlink w:anchor="_Toc30401" w:history="1">
        <w:r>
          <w:t>Figura 149  - Amplasarea atriumurilor în raport cu clădirea</w:t>
        </w:r>
        <w:r>
          <w:tab/>
        </w:r>
        <w:r>
          <w:fldChar w:fldCharType="begin"/>
        </w:r>
        <w:r>
          <w:instrText xml:space="preserve"> PAGEREF _Toc30401 \h </w:instrText>
        </w:r>
        <w:r>
          <w:fldChar w:fldCharType="separate"/>
        </w:r>
        <w:r>
          <w:t>429</w:t>
        </w:r>
        <w:r>
          <w:fldChar w:fldCharType="end"/>
        </w:r>
      </w:hyperlink>
    </w:p>
    <w:p w14:paraId="2445ECEC" w14:textId="77777777" w:rsidR="001C08A5" w:rsidRDefault="00000000">
      <w:pPr>
        <w:pStyle w:val="TableofFigures"/>
        <w:tabs>
          <w:tab w:val="right" w:leader="dot" w:pos="9639"/>
        </w:tabs>
        <w:ind w:left="800" w:hanging="400"/>
      </w:pPr>
      <w:hyperlink w:anchor="_Toc8932" w:history="1">
        <w:r>
          <w:t xml:space="preserve">Figura 150  - </w:t>
        </w:r>
        <w:r>
          <w:rPr>
            <w:bCs/>
          </w:rPr>
          <w:t xml:space="preserve">Închidere atrium - Atriumuri cu pereți plini </w:t>
        </w:r>
        <w:r>
          <w:tab/>
        </w:r>
        <w:r>
          <w:fldChar w:fldCharType="begin"/>
        </w:r>
        <w:r>
          <w:instrText xml:space="preserve"> PAGEREF _Toc8932 \h </w:instrText>
        </w:r>
        <w:r>
          <w:fldChar w:fldCharType="separate"/>
        </w:r>
        <w:r>
          <w:t>430</w:t>
        </w:r>
        <w:r>
          <w:fldChar w:fldCharType="end"/>
        </w:r>
      </w:hyperlink>
    </w:p>
    <w:p w14:paraId="299EEB7C" w14:textId="77777777" w:rsidR="001C08A5" w:rsidRDefault="00000000">
      <w:pPr>
        <w:pStyle w:val="TableofFigures"/>
        <w:tabs>
          <w:tab w:val="right" w:leader="dot" w:pos="9639"/>
        </w:tabs>
        <w:ind w:left="800" w:hanging="400"/>
      </w:pPr>
      <w:hyperlink w:anchor="_Toc17248" w:history="1">
        <w:r>
          <w:t>Figura 151  - Închidere atrium - Atriumuri cu pereți vitrați</w:t>
        </w:r>
        <w:r>
          <w:tab/>
        </w:r>
        <w:r>
          <w:fldChar w:fldCharType="begin"/>
        </w:r>
        <w:r>
          <w:instrText xml:space="preserve"> PAGEREF _Toc17248 \h </w:instrText>
        </w:r>
        <w:r>
          <w:fldChar w:fldCharType="separate"/>
        </w:r>
        <w:r>
          <w:t>430</w:t>
        </w:r>
        <w:r>
          <w:fldChar w:fldCharType="end"/>
        </w:r>
      </w:hyperlink>
    </w:p>
    <w:p w14:paraId="50BCAE0A" w14:textId="77777777" w:rsidR="001C08A5" w:rsidRDefault="00000000">
      <w:pPr>
        <w:pStyle w:val="TableofFigures"/>
        <w:tabs>
          <w:tab w:val="right" w:leader="dot" w:pos="9639"/>
        </w:tabs>
        <w:ind w:left="800" w:hanging="400"/>
      </w:pPr>
      <w:hyperlink w:anchor="_Toc23728" w:history="1">
        <w:r>
          <w:t>Figura 152  - Închidere atrium - Atriumuri nedelimitate cu perete</w:t>
        </w:r>
        <w:r>
          <w:tab/>
        </w:r>
        <w:r>
          <w:fldChar w:fldCharType="begin"/>
        </w:r>
        <w:r>
          <w:instrText xml:space="preserve"> PAGEREF _Toc23728 \h </w:instrText>
        </w:r>
        <w:r>
          <w:fldChar w:fldCharType="separate"/>
        </w:r>
        <w:r>
          <w:t>431</w:t>
        </w:r>
        <w:r>
          <w:fldChar w:fldCharType="end"/>
        </w:r>
      </w:hyperlink>
    </w:p>
    <w:p w14:paraId="716DA619" w14:textId="77777777" w:rsidR="001C08A5" w:rsidRDefault="00000000">
      <w:pPr>
        <w:pStyle w:val="TableofFigures"/>
        <w:tabs>
          <w:tab w:val="right" w:leader="dot" w:pos="9639"/>
        </w:tabs>
        <w:ind w:left="800" w:hanging="400"/>
      </w:pPr>
      <w:hyperlink w:anchor="_Toc4194" w:history="1">
        <w:r>
          <w:t xml:space="preserve">Figura 153  - </w:t>
        </w:r>
        <w:r>
          <w:rPr>
            <w:rFonts w:eastAsia="Times New Roman"/>
            <w:bCs/>
          </w:rPr>
          <w:t>Atrium - spaţii cu risc mare de incendiu</w:t>
        </w:r>
        <w:r>
          <w:tab/>
        </w:r>
        <w:r>
          <w:fldChar w:fldCharType="begin"/>
        </w:r>
        <w:r>
          <w:instrText xml:space="preserve"> PAGEREF _Toc4194 \h </w:instrText>
        </w:r>
        <w:r>
          <w:fldChar w:fldCharType="separate"/>
        </w:r>
        <w:r>
          <w:t>432</w:t>
        </w:r>
        <w:r>
          <w:fldChar w:fldCharType="end"/>
        </w:r>
      </w:hyperlink>
    </w:p>
    <w:p w14:paraId="1689FF93" w14:textId="77777777" w:rsidR="001C08A5" w:rsidRDefault="00000000">
      <w:pPr>
        <w:pStyle w:val="TableofFigures"/>
        <w:tabs>
          <w:tab w:val="right" w:leader="dot" w:pos="9639"/>
        </w:tabs>
        <w:ind w:left="800" w:hanging="400"/>
      </w:pPr>
      <w:hyperlink w:anchor="_Toc9764" w:history="1">
        <w:r>
          <w:t>Figura 154  - Circulaţiile comune orizontale deschise (variante a și b) și închise (varianta c)</w:t>
        </w:r>
        <w:r>
          <w:tab/>
        </w:r>
        <w:r>
          <w:fldChar w:fldCharType="begin"/>
        </w:r>
        <w:r>
          <w:instrText xml:space="preserve"> PAGEREF _Toc9764 \h </w:instrText>
        </w:r>
        <w:r>
          <w:fldChar w:fldCharType="separate"/>
        </w:r>
        <w:r>
          <w:t>433</w:t>
        </w:r>
        <w:r>
          <w:fldChar w:fldCharType="end"/>
        </w:r>
      </w:hyperlink>
    </w:p>
    <w:p w14:paraId="471E72DC" w14:textId="77777777" w:rsidR="001C08A5" w:rsidRDefault="00000000">
      <w:pPr>
        <w:pStyle w:val="TableofFigures"/>
        <w:tabs>
          <w:tab w:val="right" w:leader="dot" w:pos="9639"/>
        </w:tabs>
        <w:ind w:left="800" w:hanging="400"/>
      </w:pPr>
      <w:hyperlink w:anchor="_Toc13751" w:history="1">
        <w:r>
          <w:t>Figura 155  - Construcţiile cu pericol de explozie se realizează din materiale şi elemente de construcţie clasa de reacție la foc A1</w:t>
        </w:r>
        <w:r>
          <w:tab/>
        </w:r>
        <w:r>
          <w:fldChar w:fldCharType="begin"/>
        </w:r>
        <w:r>
          <w:instrText xml:space="preserve"> PAGEREF _Toc13751 \h </w:instrText>
        </w:r>
        <w:r>
          <w:fldChar w:fldCharType="separate"/>
        </w:r>
        <w:r>
          <w:t>435</w:t>
        </w:r>
        <w:r>
          <w:fldChar w:fldCharType="end"/>
        </w:r>
      </w:hyperlink>
    </w:p>
    <w:p w14:paraId="76292E32" w14:textId="77777777" w:rsidR="001C08A5" w:rsidRDefault="00000000">
      <w:pPr>
        <w:pStyle w:val="TableofFigures"/>
        <w:tabs>
          <w:tab w:val="right" w:leader="dot" w:pos="9639"/>
        </w:tabs>
        <w:ind w:left="800" w:hanging="400"/>
      </w:pPr>
      <w:hyperlink w:anchor="_Toc27551" w:history="1">
        <w:r>
          <w:t>Figura 156  - Nu sunt admise materiale și elemente de construcție combustibile (diferite de A1, A2s1d0)</w:t>
        </w:r>
        <w:r>
          <w:tab/>
        </w:r>
        <w:r>
          <w:fldChar w:fldCharType="begin"/>
        </w:r>
        <w:r>
          <w:instrText xml:space="preserve"> PAGEREF _Toc27551 \h </w:instrText>
        </w:r>
        <w:r>
          <w:fldChar w:fldCharType="separate"/>
        </w:r>
        <w:r>
          <w:t>435</w:t>
        </w:r>
        <w:r>
          <w:fldChar w:fldCharType="end"/>
        </w:r>
      </w:hyperlink>
    </w:p>
    <w:p w14:paraId="24DE30EC" w14:textId="77777777" w:rsidR="001C08A5" w:rsidRDefault="00000000">
      <w:pPr>
        <w:pStyle w:val="TableofFigures"/>
        <w:tabs>
          <w:tab w:val="right" w:leader="dot" w:pos="9639"/>
        </w:tabs>
        <w:ind w:left="800" w:hanging="400"/>
      </w:pPr>
      <w:hyperlink w:anchor="_Toc11282" w:history="1">
        <w:r>
          <w:t>Figura 157  - Construcţiile independente cu pericol de explozie, nu vor avea pod (indiferent de materiale şi elementele din care sunt alcătuite)</w:t>
        </w:r>
        <w:r>
          <w:tab/>
        </w:r>
        <w:r>
          <w:fldChar w:fldCharType="begin"/>
        </w:r>
        <w:r>
          <w:instrText xml:space="preserve"> PAGEREF _Toc11282 \h </w:instrText>
        </w:r>
        <w:r>
          <w:fldChar w:fldCharType="separate"/>
        </w:r>
        <w:r>
          <w:t>436</w:t>
        </w:r>
        <w:r>
          <w:fldChar w:fldCharType="end"/>
        </w:r>
      </w:hyperlink>
    </w:p>
    <w:p w14:paraId="7B0791D7" w14:textId="77777777" w:rsidR="001C08A5" w:rsidRDefault="00000000">
      <w:pPr>
        <w:pStyle w:val="TableofFigures"/>
        <w:tabs>
          <w:tab w:val="right" w:leader="dot" w:pos="9639"/>
        </w:tabs>
        <w:ind w:left="800" w:hanging="400"/>
      </w:pPr>
      <w:hyperlink w:anchor="_Toc27308" w:history="1">
        <w:r>
          <w:t>Figura 158  - Dispunerea încăperilor şi spaţiilor cu pericol de explozie este recomandată în afara construcţiilor cu alte destinaţii (amplasate la  distanţe de siguranţă normate - D)</w:t>
        </w:r>
        <w:r>
          <w:tab/>
        </w:r>
        <w:r>
          <w:fldChar w:fldCharType="begin"/>
        </w:r>
        <w:r>
          <w:instrText xml:space="preserve"> PAGEREF _Toc27308 \h </w:instrText>
        </w:r>
        <w:r>
          <w:fldChar w:fldCharType="separate"/>
        </w:r>
        <w:r>
          <w:t>436</w:t>
        </w:r>
        <w:r>
          <w:fldChar w:fldCharType="end"/>
        </w:r>
      </w:hyperlink>
    </w:p>
    <w:p w14:paraId="6C72E994" w14:textId="77777777" w:rsidR="001C08A5" w:rsidRDefault="00000000">
      <w:pPr>
        <w:pStyle w:val="TableofFigures"/>
        <w:tabs>
          <w:tab w:val="right" w:leader="dot" w:pos="9639"/>
        </w:tabs>
        <w:ind w:left="800" w:hanging="400"/>
      </w:pPr>
      <w:hyperlink w:anchor="_Toc5135" w:history="1">
        <w:r>
          <w:t>Figura 159  - Dispunerea încăperilor cu pericol de explozie</w:t>
        </w:r>
        <w:r>
          <w:tab/>
        </w:r>
        <w:r>
          <w:fldChar w:fldCharType="begin"/>
        </w:r>
        <w:r>
          <w:instrText xml:space="preserve"> PAGEREF _Toc5135 \h </w:instrText>
        </w:r>
        <w:r>
          <w:fldChar w:fldCharType="separate"/>
        </w:r>
        <w:r>
          <w:t>436</w:t>
        </w:r>
        <w:r>
          <w:fldChar w:fldCharType="end"/>
        </w:r>
      </w:hyperlink>
    </w:p>
    <w:p w14:paraId="0F77B201" w14:textId="77777777" w:rsidR="001C08A5" w:rsidRDefault="00000000">
      <w:pPr>
        <w:pStyle w:val="TableofFigures"/>
        <w:tabs>
          <w:tab w:val="right" w:leader="dot" w:pos="9639"/>
        </w:tabs>
        <w:ind w:left="800" w:hanging="400"/>
      </w:pPr>
      <w:hyperlink w:anchor="_Toc479" w:history="1">
        <w:r>
          <w:t>Figura 160  - Separare prin elemente rezistente la explozie</w:t>
        </w:r>
        <w:r>
          <w:tab/>
        </w:r>
        <w:r>
          <w:fldChar w:fldCharType="begin"/>
        </w:r>
        <w:r>
          <w:instrText xml:space="preserve"> PAGEREF _Toc479 \h </w:instrText>
        </w:r>
        <w:r>
          <w:fldChar w:fldCharType="separate"/>
        </w:r>
        <w:r>
          <w:t>437</w:t>
        </w:r>
        <w:r>
          <w:fldChar w:fldCharType="end"/>
        </w:r>
      </w:hyperlink>
    </w:p>
    <w:p w14:paraId="7DF47EBE" w14:textId="77777777" w:rsidR="001C08A5" w:rsidRDefault="00000000">
      <w:pPr>
        <w:pStyle w:val="TableofFigures"/>
        <w:tabs>
          <w:tab w:val="right" w:leader="dot" w:pos="9639"/>
        </w:tabs>
        <w:ind w:left="800" w:hanging="400"/>
      </w:pPr>
      <w:hyperlink w:anchor="_Toc15480" w:history="1">
        <w:r>
          <w:t>Figura 161  - Încăpere tampon</w:t>
        </w:r>
        <w:r>
          <w:tab/>
        </w:r>
        <w:r>
          <w:fldChar w:fldCharType="begin"/>
        </w:r>
        <w:r>
          <w:instrText xml:space="preserve"> PAGEREF _Toc15480 \h </w:instrText>
        </w:r>
        <w:r>
          <w:fldChar w:fldCharType="separate"/>
        </w:r>
        <w:r>
          <w:t>437</w:t>
        </w:r>
        <w:r>
          <w:fldChar w:fldCharType="end"/>
        </w:r>
      </w:hyperlink>
    </w:p>
    <w:p w14:paraId="27AF2993" w14:textId="77777777" w:rsidR="001C08A5" w:rsidRDefault="00000000">
      <w:pPr>
        <w:pStyle w:val="TableofFigures"/>
        <w:tabs>
          <w:tab w:val="right" w:leader="dot" w:pos="9639"/>
        </w:tabs>
        <w:ind w:left="800" w:hanging="400"/>
      </w:pPr>
      <w:hyperlink w:anchor="_Toc28466" w:history="1">
        <w:r>
          <w:t>Figura 162  - Încăpere cu pericol de explozie - fără plafoane (tavane) suspendate</w:t>
        </w:r>
        <w:r>
          <w:tab/>
        </w:r>
        <w:r>
          <w:fldChar w:fldCharType="begin"/>
        </w:r>
        <w:r>
          <w:instrText xml:space="preserve"> PAGEREF _Toc28466 \h </w:instrText>
        </w:r>
        <w:r>
          <w:fldChar w:fldCharType="separate"/>
        </w:r>
        <w:r>
          <w:t>437</w:t>
        </w:r>
        <w:r>
          <w:fldChar w:fldCharType="end"/>
        </w:r>
      </w:hyperlink>
    </w:p>
    <w:p w14:paraId="05DAAB45" w14:textId="77777777" w:rsidR="001C08A5" w:rsidRDefault="00000000">
      <w:pPr>
        <w:pStyle w:val="TableofFigures"/>
        <w:tabs>
          <w:tab w:val="right" w:leader="dot" w:pos="9639"/>
        </w:tabs>
        <w:ind w:left="800" w:hanging="400"/>
      </w:pPr>
      <w:hyperlink w:anchor="_Toc18537" w:history="1">
        <w:r>
          <w:t>Figura 163  - Goluri de decomprimare în caz de explozie la CT</w:t>
        </w:r>
        <w:r>
          <w:tab/>
        </w:r>
        <w:r>
          <w:fldChar w:fldCharType="begin"/>
        </w:r>
        <w:r>
          <w:instrText xml:space="preserve"> PAGEREF _Toc18537 \h </w:instrText>
        </w:r>
        <w:r>
          <w:fldChar w:fldCharType="separate"/>
        </w:r>
        <w:r>
          <w:t>438</w:t>
        </w:r>
        <w:r>
          <w:fldChar w:fldCharType="end"/>
        </w:r>
      </w:hyperlink>
    </w:p>
    <w:p w14:paraId="30E938C1" w14:textId="77777777" w:rsidR="001C08A5" w:rsidRDefault="00000000">
      <w:pPr>
        <w:pStyle w:val="TableofFigures"/>
        <w:tabs>
          <w:tab w:val="right" w:leader="dot" w:pos="9639"/>
        </w:tabs>
        <w:ind w:left="800" w:hanging="400"/>
      </w:pPr>
      <w:hyperlink w:anchor="_Toc24364" w:history="1">
        <w:r>
          <w:t>Figura 164  - Goluri de decomprimare în pereţii exteriori sau în acoperiş</w:t>
        </w:r>
        <w:r>
          <w:tab/>
        </w:r>
        <w:r>
          <w:fldChar w:fldCharType="begin"/>
        </w:r>
        <w:r>
          <w:instrText xml:space="preserve"> PAGEREF _Toc24364 \h </w:instrText>
        </w:r>
        <w:r>
          <w:fldChar w:fldCharType="separate"/>
        </w:r>
        <w:r>
          <w:t>438</w:t>
        </w:r>
        <w:r>
          <w:fldChar w:fldCharType="end"/>
        </w:r>
      </w:hyperlink>
    </w:p>
    <w:p w14:paraId="7E3310E9" w14:textId="77777777" w:rsidR="001C08A5" w:rsidRDefault="00000000">
      <w:pPr>
        <w:pStyle w:val="TableofFigures"/>
        <w:tabs>
          <w:tab w:val="right" w:leader="dot" w:pos="9639"/>
        </w:tabs>
        <w:ind w:left="800" w:hanging="400"/>
      </w:pPr>
      <w:hyperlink w:anchor="_Toc10754" w:history="1">
        <w:r>
          <w:t>Figura 165  - Soluții neadmise la goluri de decomprimare</w:t>
        </w:r>
        <w:r>
          <w:tab/>
        </w:r>
        <w:r>
          <w:fldChar w:fldCharType="begin"/>
        </w:r>
        <w:r>
          <w:instrText xml:space="preserve"> PAGEREF _Toc10754 \h </w:instrText>
        </w:r>
        <w:r>
          <w:fldChar w:fldCharType="separate"/>
        </w:r>
        <w:r>
          <w:t>439</w:t>
        </w:r>
        <w:r>
          <w:fldChar w:fldCharType="end"/>
        </w:r>
      </w:hyperlink>
    </w:p>
    <w:p w14:paraId="081CC1D2" w14:textId="77777777" w:rsidR="001C08A5" w:rsidRDefault="00000000">
      <w:pPr>
        <w:pStyle w:val="TableofFigures"/>
        <w:tabs>
          <w:tab w:val="right" w:leader="dot" w:pos="9639"/>
        </w:tabs>
        <w:ind w:left="800" w:hanging="400"/>
      </w:pPr>
      <w:hyperlink w:anchor="_Toc18103" w:history="1">
        <w:r>
          <w:t>Figura 166  - Goluri de decomprimare închise sau deschise</w:t>
        </w:r>
        <w:r>
          <w:tab/>
        </w:r>
        <w:r>
          <w:fldChar w:fldCharType="begin"/>
        </w:r>
        <w:r>
          <w:instrText xml:space="preserve"> PAGEREF _Toc18103 \h </w:instrText>
        </w:r>
        <w:r>
          <w:fldChar w:fldCharType="separate"/>
        </w:r>
        <w:r>
          <w:t>439</w:t>
        </w:r>
        <w:r>
          <w:fldChar w:fldCharType="end"/>
        </w:r>
      </w:hyperlink>
    </w:p>
    <w:p w14:paraId="52443C7A" w14:textId="77777777" w:rsidR="001C08A5" w:rsidRDefault="00000000">
      <w:pPr>
        <w:pStyle w:val="TableofFigures"/>
        <w:tabs>
          <w:tab w:val="right" w:leader="dot" w:pos="9639"/>
        </w:tabs>
        <w:ind w:left="800" w:hanging="400"/>
      </w:pPr>
      <w:hyperlink w:anchor="_Toc9707" w:history="1">
        <w:r>
          <w:t>Figura 167  - Goluri prevăzute pentru decomprimare în caz de explozie neînchise sau închise</w:t>
        </w:r>
        <w:r>
          <w:tab/>
        </w:r>
        <w:r>
          <w:fldChar w:fldCharType="begin"/>
        </w:r>
        <w:r>
          <w:instrText xml:space="preserve"> PAGEREF _Toc9707 \h </w:instrText>
        </w:r>
        <w:r>
          <w:fldChar w:fldCharType="separate"/>
        </w:r>
        <w:r>
          <w:t>440</w:t>
        </w:r>
        <w:r>
          <w:fldChar w:fldCharType="end"/>
        </w:r>
      </w:hyperlink>
    </w:p>
    <w:p w14:paraId="1ED0EE16" w14:textId="77777777" w:rsidR="001C08A5" w:rsidRDefault="00000000">
      <w:pPr>
        <w:pStyle w:val="TableofFigures"/>
        <w:tabs>
          <w:tab w:val="right" w:leader="dot" w:pos="9639"/>
        </w:tabs>
        <w:ind w:left="800" w:hanging="400"/>
      </w:pPr>
      <w:hyperlink w:anchor="_Toc4786" w:history="1">
        <w:r>
          <w:t>Figura 168  - Panouri rabatabile cu balamale (axe)</w:t>
        </w:r>
        <w:r>
          <w:tab/>
        </w:r>
        <w:r>
          <w:fldChar w:fldCharType="begin"/>
        </w:r>
        <w:r>
          <w:instrText xml:space="preserve"> PAGEREF _Toc4786 \h </w:instrText>
        </w:r>
        <w:r>
          <w:fldChar w:fldCharType="separate"/>
        </w:r>
        <w:r>
          <w:t>441</w:t>
        </w:r>
        <w:r>
          <w:fldChar w:fldCharType="end"/>
        </w:r>
      </w:hyperlink>
    </w:p>
    <w:p w14:paraId="504A8CB2" w14:textId="77777777" w:rsidR="001C08A5" w:rsidRDefault="00000000">
      <w:pPr>
        <w:pStyle w:val="TableofFigures"/>
        <w:tabs>
          <w:tab w:val="right" w:leader="dot" w:pos="9639"/>
        </w:tabs>
        <w:ind w:left="800" w:hanging="400"/>
      </w:pPr>
      <w:hyperlink w:anchor="_Toc3867" w:history="1">
        <w:r>
          <w:t>Figura 169  - Panou de decomprimare la spații cu pericol de explozie (oxigen) la clădiri cu funcțiuni sanitare</w:t>
        </w:r>
        <w:r>
          <w:tab/>
        </w:r>
        <w:r>
          <w:fldChar w:fldCharType="begin"/>
        </w:r>
        <w:r>
          <w:instrText xml:space="preserve"> PAGEREF _Toc3867 \h </w:instrText>
        </w:r>
        <w:r>
          <w:fldChar w:fldCharType="separate"/>
        </w:r>
        <w:r>
          <w:t>441</w:t>
        </w:r>
        <w:r>
          <w:fldChar w:fldCharType="end"/>
        </w:r>
      </w:hyperlink>
    </w:p>
    <w:p w14:paraId="5704662C" w14:textId="77777777" w:rsidR="001C08A5" w:rsidRDefault="00000000">
      <w:pPr>
        <w:pStyle w:val="TableofFigures"/>
        <w:tabs>
          <w:tab w:val="right" w:leader="dot" w:pos="9639"/>
        </w:tabs>
        <w:ind w:left="800" w:hanging="400"/>
      </w:pPr>
      <w:hyperlink w:anchor="_Toc7354" w:history="1">
        <w:r>
          <w:t>Figura 170  - Stație de pompare separată de restul construcţiei şi numai cu acces direct din exterior (la subsol având curte de lumină)</w:t>
        </w:r>
        <w:r>
          <w:tab/>
        </w:r>
        <w:r>
          <w:fldChar w:fldCharType="begin"/>
        </w:r>
        <w:r>
          <w:instrText xml:space="preserve"> PAGEREF _Toc7354 \h </w:instrText>
        </w:r>
        <w:r>
          <w:fldChar w:fldCharType="separate"/>
        </w:r>
        <w:r>
          <w:t>446</w:t>
        </w:r>
        <w:r>
          <w:fldChar w:fldCharType="end"/>
        </w:r>
      </w:hyperlink>
    </w:p>
    <w:p w14:paraId="5ED09A32" w14:textId="77777777" w:rsidR="001C08A5" w:rsidRDefault="00000000">
      <w:pPr>
        <w:pStyle w:val="TableofFigures"/>
        <w:tabs>
          <w:tab w:val="right" w:leader="dot" w:pos="9639"/>
        </w:tabs>
        <w:ind w:left="800" w:hanging="400"/>
      </w:pPr>
      <w:hyperlink w:anchor="_Toc22041" w:history="1">
        <w:r>
          <w:t>Figura 171  - Stație de pompare cu acces direct din exterior (la stațiile de pompare cu debit mai mic de 4.2 l/s nu este obligatoriu) şi o comunicare funcţională din interior</w:t>
        </w:r>
        <w:r>
          <w:tab/>
        </w:r>
        <w:r>
          <w:fldChar w:fldCharType="begin"/>
        </w:r>
        <w:r>
          <w:instrText xml:space="preserve"> PAGEREF _Toc22041 \h </w:instrText>
        </w:r>
        <w:r>
          <w:fldChar w:fldCharType="separate"/>
        </w:r>
        <w:r>
          <w:t>446</w:t>
        </w:r>
        <w:r>
          <w:fldChar w:fldCharType="end"/>
        </w:r>
      </w:hyperlink>
    </w:p>
    <w:p w14:paraId="03B865CE" w14:textId="77777777" w:rsidR="001C08A5" w:rsidRDefault="00000000">
      <w:pPr>
        <w:pStyle w:val="TableofFigures"/>
        <w:tabs>
          <w:tab w:val="right" w:leader="dot" w:pos="9639"/>
        </w:tabs>
        <w:ind w:left="800" w:hanging="400"/>
      </w:pPr>
      <w:hyperlink w:anchor="_Toc13252" w:history="1">
        <w:r>
          <w:t xml:space="preserve">Figura 172  - </w:t>
        </w:r>
        <w:r>
          <w:rPr>
            <w:rFonts w:eastAsia="Times New Roman"/>
          </w:rPr>
          <w:t>Amplasare stație de pompare</w:t>
        </w:r>
        <w:r>
          <w:tab/>
        </w:r>
        <w:r>
          <w:fldChar w:fldCharType="begin"/>
        </w:r>
        <w:r>
          <w:instrText xml:space="preserve"> PAGEREF _Toc13252 \h </w:instrText>
        </w:r>
        <w:r>
          <w:fldChar w:fldCharType="separate"/>
        </w:r>
        <w:r>
          <w:t>447</w:t>
        </w:r>
        <w:r>
          <w:fldChar w:fldCharType="end"/>
        </w:r>
      </w:hyperlink>
    </w:p>
    <w:p w14:paraId="54264A0E" w14:textId="77777777" w:rsidR="001C08A5" w:rsidRDefault="00000000">
      <w:pPr>
        <w:pStyle w:val="TableofFigures"/>
        <w:tabs>
          <w:tab w:val="right" w:leader="dot" w:pos="9639"/>
        </w:tabs>
        <w:ind w:left="800" w:hanging="400"/>
      </w:pPr>
      <w:hyperlink w:anchor="_Toc16476" w:history="1">
        <w:r>
          <w:t>Figura 173  - Stație de pompare - Acces pe scara verticală</w:t>
        </w:r>
        <w:r>
          <w:tab/>
        </w:r>
        <w:r>
          <w:fldChar w:fldCharType="begin"/>
        </w:r>
        <w:r>
          <w:instrText xml:space="preserve"> PAGEREF _Toc16476 \h </w:instrText>
        </w:r>
        <w:r>
          <w:fldChar w:fldCharType="separate"/>
        </w:r>
        <w:r>
          <w:t>447</w:t>
        </w:r>
        <w:r>
          <w:fldChar w:fldCharType="end"/>
        </w:r>
      </w:hyperlink>
    </w:p>
    <w:p w14:paraId="5BF3DA18" w14:textId="77777777" w:rsidR="001C08A5" w:rsidRDefault="00000000">
      <w:pPr>
        <w:pStyle w:val="TableofFigures"/>
        <w:tabs>
          <w:tab w:val="right" w:leader="dot" w:pos="9639"/>
        </w:tabs>
        <w:ind w:left="800" w:hanging="400"/>
      </w:pPr>
      <w:hyperlink w:anchor="_Toc27553" w:history="1">
        <w:r>
          <w:t>Figura 174  - Încăpere de depozitare (exemplu)</w:t>
        </w:r>
        <w:r>
          <w:tab/>
        </w:r>
        <w:r>
          <w:fldChar w:fldCharType="begin"/>
        </w:r>
        <w:r>
          <w:instrText xml:space="preserve"> PAGEREF _Toc27553 \h </w:instrText>
        </w:r>
        <w:r>
          <w:fldChar w:fldCharType="separate"/>
        </w:r>
        <w:r>
          <w:t>448</w:t>
        </w:r>
        <w:r>
          <w:fldChar w:fldCharType="end"/>
        </w:r>
      </w:hyperlink>
    </w:p>
    <w:p w14:paraId="3502B0D9" w14:textId="77777777" w:rsidR="001C08A5" w:rsidRDefault="00000000">
      <w:pPr>
        <w:pStyle w:val="TableofFigures"/>
        <w:tabs>
          <w:tab w:val="right" w:leader="dot" w:pos="9639"/>
        </w:tabs>
        <w:ind w:left="800" w:hanging="400"/>
      </w:pPr>
      <w:hyperlink w:anchor="_Toc6651" w:history="1">
        <w:r>
          <w:t xml:space="preserve">Figura 175  - </w:t>
        </w:r>
        <w:r>
          <w:rPr>
            <w:bCs/>
          </w:rPr>
          <w:t>Încăperi și spații de depozitare (exemplu)</w:t>
        </w:r>
        <w:r>
          <w:tab/>
        </w:r>
        <w:r>
          <w:fldChar w:fldCharType="begin"/>
        </w:r>
        <w:r>
          <w:instrText xml:space="preserve"> PAGEREF _Toc6651 \h </w:instrText>
        </w:r>
        <w:r>
          <w:fldChar w:fldCharType="separate"/>
        </w:r>
        <w:r>
          <w:t>448</w:t>
        </w:r>
        <w:r>
          <w:fldChar w:fldCharType="end"/>
        </w:r>
      </w:hyperlink>
    </w:p>
    <w:p w14:paraId="43473E69" w14:textId="77777777" w:rsidR="001C08A5" w:rsidRDefault="00000000">
      <w:pPr>
        <w:pStyle w:val="TableofFigures"/>
        <w:tabs>
          <w:tab w:val="right" w:leader="dot" w:pos="9639"/>
        </w:tabs>
        <w:ind w:left="800" w:hanging="400"/>
      </w:pPr>
      <w:hyperlink w:anchor="_Toc11685" w:history="1">
        <w:r>
          <w:t>Figura 176  - Dispozitive fotovoltaice (conform prevederi normate)</w:t>
        </w:r>
        <w:r>
          <w:tab/>
        </w:r>
        <w:r>
          <w:fldChar w:fldCharType="begin"/>
        </w:r>
        <w:r>
          <w:instrText xml:space="preserve"> PAGEREF _Toc11685 \h </w:instrText>
        </w:r>
        <w:r>
          <w:fldChar w:fldCharType="separate"/>
        </w:r>
        <w:r>
          <w:t>449</w:t>
        </w:r>
        <w:r>
          <w:fldChar w:fldCharType="end"/>
        </w:r>
      </w:hyperlink>
    </w:p>
    <w:p w14:paraId="1F322A39" w14:textId="77777777" w:rsidR="001C08A5" w:rsidRDefault="00000000">
      <w:pPr>
        <w:pStyle w:val="TableofFigures"/>
        <w:tabs>
          <w:tab w:val="right" w:leader="dot" w:pos="9639"/>
        </w:tabs>
        <w:ind w:left="800" w:hanging="400"/>
      </w:pPr>
      <w:hyperlink w:anchor="_Toc25269" w:history="1">
        <w:r>
          <w:t>Figura 177  - Exemplu amplasare dispozitive fotovoltaice pe terasă - distanțe</w:t>
        </w:r>
        <w:r>
          <w:tab/>
        </w:r>
        <w:r>
          <w:fldChar w:fldCharType="begin"/>
        </w:r>
        <w:r>
          <w:instrText xml:space="preserve"> PAGEREF _Toc25269 \h </w:instrText>
        </w:r>
        <w:r>
          <w:fldChar w:fldCharType="separate"/>
        </w:r>
        <w:r>
          <w:t>450</w:t>
        </w:r>
        <w:r>
          <w:fldChar w:fldCharType="end"/>
        </w:r>
      </w:hyperlink>
    </w:p>
    <w:p w14:paraId="628A8BA5" w14:textId="77777777" w:rsidR="001C08A5" w:rsidRDefault="00000000">
      <w:pPr>
        <w:pStyle w:val="TableofFigures"/>
        <w:tabs>
          <w:tab w:val="right" w:leader="dot" w:pos="9639"/>
        </w:tabs>
        <w:ind w:left="800" w:hanging="400"/>
      </w:pPr>
      <w:hyperlink w:anchor="_Toc23883" w:history="1">
        <w:r>
          <w:t>Figura 178  - Exemplu amplasare - traversare pereti antifoc</w:t>
        </w:r>
        <w:r>
          <w:tab/>
        </w:r>
        <w:r>
          <w:fldChar w:fldCharType="begin"/>
        </w:r>
        <w:r>
          <w:instrText xml:space="preserve"> PAGEREF _Toc23883 \h </w:instrText>
        </w:r>
        <w:r>
          <w:fldChar w:fldCharType="separate"/>
        </w:r>
        <w:r>
          <w:t>450</w:t>
        </w:r>
        <w:r>
          <w:fldChar w:fldCharType="end"/>
        </w:r>
      </w:hyperlink>
    </w:p>
    <w:p w14:paraId="781C28F5" w14:textId="77777777" w:rsidR="001C08A5" w:rsidRDefault="00000000">
      <w:pPr>
        <w:pStyle w:val="TableofFigures"/>
        <w:tabs>
          <w:tab w:val="right" w:leader="dot" w:pos="9639"/>
        </w:tabs>
        <w:ind w:left="800" w:hanging="400"/>
      </w:pPr>
      <w:hyperlink w:anchor="_Toc6974" w:history="1">
        <w:r>
          <w:t>Figura 179  - Uși de evacuare pe balamale sau pivoţi cu deschidere la 90° și la 180° (cu balamale aruncătoare) amplasate pe circulații comune de evacuare</w:t>
        </w:r>
        <w:r>
          <w:tab/>
        </w:r>
        <w:r>
          <w:fldChar w:fldCharType="begin"/>
        </w:r>
        <w:r>
          <w:instrText xml:space="preserve"> PAGEREF _Toc6974 \h </w:instrText>
        </w:r>
        <w:r>
          <w:fldChar w:fldCharType="separate"/>
        </w:r>
        <w:r>
          <w:t>454</w:t>
        </w:r>
        <w:r>
          <w:fldChar w:fldCharType="end"/>
        </w:r>
      </w:hyperlink>
    </w:p>
    <w:p w14:paraId="6B5C2E0C" w14:textId="77777777" w:rsidR="001C08A5" w:rsidRDefault="00000000">
      <w:pPr>
        <w:pStyle w:val="TableofFigures"/>
        <w:tabs>
          <w:tab w:val="right" w:leader="dot" w:pos="9639"/>
        </w:tabs>
        <w:ind w:left="800" w:hanging="400"/>
      </w:pPr>
      <w:hyperlink w:anchor="_Toc19498" w:history="1">
        <w:r>
          <w:t>Figura 180  - Îngustare lățime liberă de evacuare</w:t>
        </w:r>
        <w:r>
          <w:tab/>
        </w:r>
        <w:r>
          <w:fldChar w:fldCharType="begin"/>
        </w:r>
        <w:r>
          <w:instrText xml:space="preserve"> PAGEREF _Toc19498 \h </w:instrText>
        </w:r>
        <w:r>
          <w:fldChar w:fldCharType="separate"/>
        </w:r>
        <w:r>
          <w:t>454</w:t>
        </w:r>
        <w:r>
          <w:fldChar w:fldCharType="end"/>
        </w:r>
      </w:hyperlink>
    </w:p>
    <w:p w14:paraId="4A5F63B1" w14:textId="77777777" w:rsidR="001C08A5" w:rsidRDefault="00000000">
      <w:pPr>
        <w:pStyle w:val="TableofFigures"/>
        <w:tabs>
          <w:tab w:val="right" w:leader="dot" w:pos="9639"/>
        </w:tabs>
        <w:ind w:left="800" w:hanging="400"/>
      </w:pPr>
      <w:hyperlink w:anchor="_Toc17331" w:history="1">
        <w:r>
          <w:t>Figura 181  - Secțiune ușa de evacuare pe balamale sau pivoți - racordare la praguri &gt;2,5 cm</w:t>
        </w:r>
        <w:r>
          <w:tab/>
        </w:r>
        <w:r>
          <w:fldChar w:fldCharType="begin"/>
        </w:r>
        <w:r>
          <w:instrText xml:space="preserve"> PAGEREF _Toc17331 \h </w:instrText>
        </w:r>
        <w:r>
          <w:fldChar w:fldCharType="separate"/>
        </w:r>
        <w:r>
          <w:t>455</w:t>
        </w:r>
        <w:r>
          <w:fldChar w:fldCharType="end"/>
        </w:r>
      </w:hyperlink>
    </w:p>
    <w:p w14:paraId="48805557" w14:textId="77777777" w:rsidR="001C08A5" w:rsidRDefault="00000000">
      <w:pPr>
        <w:pStyle w:val="TableofFigures"/>
        <w:tabs>
          <w:tab w:val="right" w:leader="dot" w:pos="9639"/>
        </w:tabs>
        <w:ind w:left="800" w:hanging="400"/>
      </w:pPr>
      <w:hyperlink w:anchor="_Toc12061" w:history="1">
        <w:r>
          <w:t>Figura 182  - Uși cu deschidere normală pe balamale sau pivoţi – canat activ sau inactiv</w:t>
        </w:r>
        <w:r>
          <w:tab/>
        </w:r>
        <w:r>
          <w:fldChar w:fldCharType="begin"/>
        </w:r>
        <w:r>
          <w:instrText xml:space="preserve"> PAGEREF _Toc12061 \h </w:instrText>
        </w:r>
        <w:r>
          <w:fldChar w:fldCharType="separate"/>
        </w:r>
        <w:r>
          <w:t>455</w:t>
        </w:r>
        <w:r>
          <w:fldChar w:fldCharType="end"/>
        </w:r>
      </w:hyperlink>
    </w:p>
    <w:p w14:paraId="7E56D4DA" w14:textId="77777777" w:rsidR="001C08A5" w:rsidRDefault="00000000">
      <w:pPr>
        <w:pStyle w:val="TableofFigures"/>
        <w:tabs>
          <w:tab w:val="right" w:leader="dot" w:pos="9639"/>
        </w:tabs>
        <w:ind w:left="800" w:hanging="400"/>
      </w:pPr>
      <w:hyperlink w:anchor="_Toc32242" w:history="1">
        <w:r>
          <w:t>Figura 183  - Exemple uși echipate cu sisteme de încuiere și dispozitive de ieșire</w:t>
        </w:r>
        <w:r>
          <w:tab/>
        </w:r>
        <w:r>
          <w:fldChar w:fldCharType="begin"/>
        </w:r>
        <w:r>
          <w:instrText xml:space="preserve"> PAGEREF _Toc32242 \h </w:instrText>
        </w:r>
        <w:r>
          <w:fldChar w:fldCharType="separate"/>
        </w:r>
        <w:r>
          <w:t>456</w:t>
        </w:r>
        <w:r>
          <w:fldChar w:fldCharType="end"/>
        </w:r>
      </w:hyperlink>
    </w:p>
    <w:p w14:paraId="64309EC3" w14:textId="77777777" w:rsidR="001C08A5" w:rsidRDefault="00000000">
      <w:pPr>
        <w:pStyle w:val="TableofFigures"/>
        <w:tabs>
          <w:tab w:val="right" w:leader="dot" w:pos="9639"/>
        </w:tabs>
        <w:ind w:left="800" w:hanging="400"/>
      </w:pPr>
      <w:hyperlink w:anchor="_Toc9371" w:history="1">
        <w:r>
          <w:t>Figura 184  - Uși echipate cu sisteme de încuiere și dispozitive de ieșire – canat activ sau inactiv</w:t>
        </w:r>
        <w:r>
          <w:tab/>
        </w:r>
        <w:r>
          <w:fldChar w:fldCharType="begin"/>
        </w:r>
        <w:r>
          <w:instrText xml:space="preserve"> PAGEREF _Toc9371 \h </w:instrText>
        </w:r>
        <w:r>
          <w:fldChar w:fldCharType="separate"/>
        </w:r>
        <w:r>
          <w:t>456</w:t>
        </w:r>
        <w:r>
          <w:fldChar w:fldCharType="end"/>
        </w:r>
      </w:hyperlink>
    </w:p>
    <w:p w14:paraId="38478A83" w14:textId="77777777" w:rsidR="001C08A5" w:rsidRDefault="00000000">
      <w:pPr>
        <w:pStyle w:val="TableofFigures"/>
        <w:tabs>
          <w:tab w:val="right" w:leader="dot" w:pos="9639"/>
        </w:tabs>
        <w:ind w:left="800" w:hanging="400"/>
      </w:pPr>
      <w:hyperlink w:anchor="_Toc18343" w:history="1">
        <w:r>
          <w:t>Figura 185  - Dispozitive de ieșire de urgență</w:t>
        </w:r>
        <w:r>
          <w:tab/>
        </w:r>
        <w:r>
          <w:fldChar w:fldCharType="begin"/>
        </w:r>
        <w:r>
          <w:instrText xml:space="preserve"> PAGEREF _Toc18343 \h </w:instrText>
        </w:r>
        <w:r>
          <w:fldChar w:fldCharType="separate"/>
        </w:r>
        <w:r>
          <w:t>457</w:t>
        </w:r>
        <w:r>
          <w:fldChar w:fldCharType="end"/>
        </w:r>
      </w:hyperlink>
    </w:p>
    <w:p w14:paraId="2B999E1B" w14:textId="77777777" w:rsidR="001C08A5" w:rsidRDefault="00000000">
      <w:pPr>
        <w:pStyle w:val="TableofFigures"/>
        <w:tabs>
          <w:tab w:val="right" w:leader="dot" w:pos="9639"/>
        </w:tabs>
        <w:ind w:left="800" w:hanging="400"/>
      </w:pPr>
      <w:hyperlink w:anchor="_Toc17300" w:history="1">
        <w:r>
          <w:t>Figura 186  - Dispozitive de ieșire împotriva panicii</w:t>
        </w:r>
        <w:r>
          <w:tab/>
        </w:r>
        <w:r>
          <w:fldChar w:fldCharType="begin"/>
        </w:r>
        <w:r>
          <w:instrText xml:space="preserve"> PAGEREF _Toc17300 \h </w:instrText>
        </w:r>
        <w:r>
          <w:fldChar w:fldCharType="separate"/>
        </w:r>
        <w:r>
          <w:t>457</w:t>
        </w:r>
        <w:r>
          <w:fldChar w:fldCharType="end"/>
        </w:r>
      </w:hyperlink>
    </w:p>
    <w:p w14:paraId="3F533578" w14:textId="77777777" w:rsidR="001C08A5" w:rsidRDefault="00000000">
      <w:pPr>
        <w:pStyle w:val="TableofFigures"/>
        <w:tabs>
          <w:tab w:val="right" w:leader="dot" w:pos="9639"/>
        </w:tabs>
        <w:ind w:left="800" w:hanging="400"/>
      </w:pPr>
      <w:hyperlink w:anchor="_Toc10209" w:history="1">
        <w:r>
          <w:t>Figura 187  - Dispozitive de ieșire de urgență și bare împotriva panicii (exemple)</w:t>
        </w:r>
        <w:r>
          <w:tab/>
        </w:r>
        <w:r>
          <w:fldChar w:fldCharType="begin"/>
        </w:r>
        <w:r>
          <w:instrText xml:space="preserve"> PAGEREF _Toc10209 \h </w:instrText>
        </w:r>
        <w:r>
          <w:fldChar w:fldCharType="separate"/>
        </w:r>
        <w:r>
          <w:t>457</w:t>
        </w:r>
        <w:r>
          <w:fldChar w:fldCharType="end"/>
        </w:r>
      </w:hyperlink>
    </w:p>
    <w:p w14:paraId="76371741" w14:textId="77777777" w:rsidR="001C08A5" w:rsidRDefault="00000000">
      <w:pPr>
        <w:pStyle w:val="TableofFigures"/>
        <w:tabs>
          <w:tab w:val="right" w:leader="dot" w:pos="9639"/>
        </w:tabs>
        <w:ind w:left="800" w:hanging="400"/>
      </w:pPr>
      <w:hyperlink w:anchor="_Toc21627" w:history="1">
        <w:r>
          <w:t>Figura 188  - Exemple uşi culisante prevăzute şi cu deschidere pe balamale (uși cu break out)</w:t>
        </w:r>
        <w:r>
          <w:tab/>
        </w:r>
        <w:r>
          <w:fldChar w:fldCharType="begin"/>
        </w:r>
        <w:r>
          <w:instrText xml:space="preserve"> PAGEREF _Toc21627 \h </w:instrText>
        </w:r>
        <w:r>
          <w:fldChar w:fldCharType="separate"/>
        </w:r>
        <w:r>
          <w:t>458</w:t>
        </w:r>
        <w:r>
          <w:fldChar w:fldCharType="end"/>
        </w:r>
      </w:hyperlink>
    </w:p>
    <w:p w14:paraId="3A841093" w14:textId="77777777" w:rsidR="001C08A5" w:rsidRDefault="00000000">
      <w:pPr>
        <w:pStyle w:val="TableofFigures"/>
        <w:tabs>
          <w:tab w:val="right" w:leader="dot" w:pos="9639"/>
        </w:tabs>
        <w:ind w:left="800" w:hanging="400"/>
      </w:pPr>
      <w:hyperlink w:anchor="_Toc29213" w:history="1">
        <w:r>
          <w:t>Figura 189  - Exemple tipuri de uși turnante folosite ca și căi de evacuare</w:t>
        </w:r>
        <w:r>
          <w:tab/>
        </w:r>
        <w:r>
          <w:fldChar w:fldCharType="begin"/>
        </w:r>
        <w:r>
          <w:instrText xml:space="preserve"> PAGEREF _Toc29213 \h </w:instrText>
        </w:r>
        <w:r>
          <w:fldChar w:fldCharType="separate"/>
        </w:r>
        <w:r>
          <w:t>460</w:t>
        </w:r>
        <w:r>
          <w:fldChar w:fldCharType="end"/>
        </w:r>
      </w:hyperlink>
    </w:p>
    <w:p w14:paraId="777CA9E5" w14:textId="77777777" w:rsidR="001C08A5" w:rsidRDefault="00000000">
      <w:pPr>
        <w:pStyle w:val="TableofFigures"/>
        <w:tabs>
          <w:tab w:val="right" w:leader="dot" w:pos="9639"/>
        </w:tabs>
        <w:ind w:left="800" w:hanging="400"/>
      </w:pPr>
      <w:hyperlink w:anchor="_Toc25228" w:history="1">
        <w:r>
          <w:t>Figura 190  - Ușă ținută deschisă de dispozitivul electromagnetic sau electromecanic, cu inchidere în caz de incendiu</w:t>
        </w:r>
        <w:r>
          <w:tab/>
        </w:r>
        <w:r>
          <w:fldChar w:fldCharType="begin"/>
        </w:r>
        <w:r>
          <w:instrText xml:space="preserve"> PAGEREF _Toc25228 \h </w:instrText>
        </w:r>
        <w:r>
          <w:fldChar w:fldCharType="separate"/>
        </w:r>
        <w:r>
          <w:t>460</w:t>
        </w:r>
        <w:r>
          <w:fldChar w:fldCharType="end"/>
        </w:r>
      </w:hyperlink>
    </w:p>
    <w:p w14:paraId="048EB5E0" w14:textId="77777777" w:rsidR="001C08A5" w:rsidRDefault="00000000">
      <w:pPr>
        <w:pStyle w:val="TableofFigures"/>
        <w:tabs>
          <w:tab w:val="right" w:leader="dot" w:pos="9639"/>
        </w:tabs>
        <w:ind w:left="800" w:hanging="400"/>
      </w:pPr>
      <w:hyperlink w:anchor="_Toc16382" w:history="1">
        <w:r>
          <w:t>Figura 191  - Scări cu o rampă dreaptă</w:t>
        </w:r>
        <w:r>
          <w:tab/>
        </w:r>
        <w:r>
          <w:fldChar w:fldCharType="begin"/>
        </w:r>
        <w:r>
          <w:instrText xml:space="preserve"> PAGEREF _Toc16382 \h </w:instrText>
        </w:r>
        <w:r>
          <w:fldChar w:fldCharType="separate"/>
        </w:r>
        <w:r>
          <w:t>463</w:t>
        </w:r>
        <w:r>
          <w:fldChar w:fldCharType="end"/>
        </w:r>
      </w:hyperlink>
    </w:p>
    <w:p w14:paraId="71E3F344" w14:textId="77777777" w:rsidR="001C08A5" w:rsidRDefault="00000000">
      <w:pPr>
        <w:pStyle w:val="TableofFigures"/>
        <w:tabs>
          <w:tab w:val="right" w:leader="dot" w:pos="9639"/>
        </w:tabs>
        <w:ind w:left="800" w:hanging="400"/>
      </w:pPr>
      <w:hyperlink w:anchor="_Toc28288" w:history="1">
        <w:r>
          <w:t>Figura 192  - Scări cu două rampe drepte</w:t>
        </w:r>
        <w:r>
          <w:tab/>
        </w:r>
        <w:r>
          <w:fldChar w:fldCharType="begin"/>
        </w:r>
        <w:r>
          <w:instrText xml:space="preserve"> PAGEREF _Toc28288 \h </w:instrText>
        </w:r>
        <w:r>
          <w:fldChar w:fldCharType="separate"/>
        </w:r>
        <w:r>
          <w:t>464</w:t>
        </w:r>
        <w:r>
          <w:fldChar w:fldCharType="end"/>
        </w:r>
      </w:hyperlink>
    </w:p>
    <w:p w14:paraId="50F86DF0" w14:textId="77777777" w:rsidR="001C08A5" w:rsidRDefault="00000000">
      <w:pPr>
        <w:pStyle w:val="TableofFigures"/>
        <w:tabs>
          <w:tab w:val="right" w:leader="dot" w:pos="9639"/>
        </w:tabs>
        <w:ind w:left="800" w:hanging="400"/>
      </w:pPr>
      <w:hyperlink w:anchor="_Toc12090" w:history="1">
        <w:r>
          <w:t>Figura 193  - Scări cu trei rampe drepte - se pot realiza cu una sau mai multe rampe</w:t>
        </w:r>
        <w:r>
          <w:tab/>
        </w:r>
        <w:r>
          <w:fldChar w:fldCharType="begin"/>
        </w:r>
        <w:r>
          <w:instrText xml:space="preserve"> PAGEREF _Toc12090 \h </w:instrText>
        </w:r>
        <w:r>
          <w:fldChar w:fldCharType="separate"/>
        </w:r>
        <w:r>
          <w:t>464</w:t>
        </w:r>
        <w:r>
          <w:fldChar w:fldCharType="end"/>
        </w:r>
      </w:hyperlink>
    </w:p>
    <w:p w14:paraId="659E824D" w14:textId="77777777" w:rsidR="001C08A5" w:rsidRDefault="00000000">
      <w:pPr>
        <w:pStyle w:val="TableofFigures"/>
        <w:tabs>
          <w:tab w:val="right" w:leader="dot" w:pos="9639"/>
        </w:tabs>
        <w:ind w:left="800" w:hanging="400"/>
      </w:pPr>
      <w:hyperlink w:anchor="_Toc5863" w:history="1">
        <w:r>
          <w:t>Figura 194  - Scări cu patru rampe drepte</w:t>
        </w:r>
        <w:r>
          <w:tab/>
        </w:r>
        <w:r>
          <w:fldChar w:fldCharType="begin"/>
        </w:r>
        <w:r>
          <w:instrText xml:space="preserve"> PAGEREF _Toc5863 \h </w:instrText>
        </w:r>
        <w:r>
          <w:fldChar w:fldCharType="separate"/>
        </w:r>
        <w:r>
          <w:t>464</w:t>
        </w:r>
        <w:r>
          <w:fldChar w:fldCharType="end"/>
        </w:r>
      </w:hyperlink>
    </w:p>
    <w:p w14:paraId="0CF9B651" w14:textId="77777777" w:rsidR="001C08A5" w:rsidRDefault="00000000">
      <w:pPr>
        <w:pStyle w:val="TableofFigures"/>
        <w:tabs>
          <w:tab w:val="right" w:leader="dot" w:pos="9639"/>
        </w:tabs>
        <w:ind w:left="800" w:hanging="400"/>
      </w:pPr>
      <w:hyperlink w:anchor="_Toc24382" w:history="1">
        <w:r>
          <w:t>Figura 195  - Separarea rampelor supraterane de cele subterane</w:t>
        </w:r>
        <w:r>
          <w:tab/>
        </w:r>
        <w:r>
          <w:fldChar w:fldCharType="begin"/>
        </w:r>
        <w:r>
          <w:instrText xml:space="preserve"> PAGEREF _Toc24382 \h </w:instrText>
        </w:r>
        <w:r>
          <w:fldChar w:fldCharType="separate"/>
        </w:r>
        <w:r>
          <w:t>465</w:t>
        </w:r>
        <w:r>
          <w:fldChar w:fldCharType="end"/>
        </w:r>
      </w:hyperlink>
    </w:p>
    <w:p w14:paraId="62D3FBF1" w14:textId="77777777" w:rsidR="001C08A5" w:rsidRDefault="00000000">
      <w:pPr>
        <w:pStyle w:val="TableofFigures"/>
        <w:tabs>
          <w:tab w:val="right" w:leader="dot" w:pos="9639"/>
        </w:tabs>
        <w:ind w:left="800" w:hanging="400"/>
      </w:pPr>
      <w:hyperlink w:anchor="_Toc25705" w:history="1">
        <w:r>
          <w:t>Figura 196  - Tipologii scări</w:t>
        </w:r>
        <w:r>
          <w:tab/>
        </w:r>
        <w:r>
          <w:fldChar w:fldCharType="begin"/>
        </w:r>
        <w:r>
          <w:instrText xml:space="preserve"> PAGEREF _Toc25705 \h </w:instrText>
        </w:r>
        <w:r>
          <w:fldChar w:fldCharType="separate"/>
        </w:r>
        <w:r>
          <w:t>465</w:t>
        </w:r>
        <w:r>
          <w:fldChar w:fldCharType="end"/>
        </w:r>
      </w:hyperlink>
    </w:p>
    <w:p w14:paraId="7975476E" w14:textId="77777777" w:rsidR="001C08A5" w:rsidRDefault="00000000">
      <w:pPr>
        <w:pStyle w:val="TableofFigures"/>
        <w:tabs>
          <w:tab w:val="right" w:leader="dot" w:pos="9639"/>
        </w:tabs>
        <w:ind w:left="800" w:hanging="400"/>
      </w:pPr>
      <w:hyperlink w:anchor="_Toc25909" w:history="1">
        <w:r>
          <w:t>Figura 197  - Scări cu rampe încrucişate la clădiri înalte/ foarte înalte și în subteran</w:t>
        </w:r>
        <w:r>
          <w:tab/>
        </w:r>
        <w:r>
          <w:fldChar w:fldCharType="begin"/>
        </w:r>
        <w:r>
          <w:instrText xml:space="preserve"> PAGEREF _Toc25909 \h </w:instrText>
        </w:r>
        <w:r>
          <w:fldChar w:fldCharType="separate"/>
        </w:r>
        <w:r>
          <w:t>466</w:t>
        </w:r>
        <w:r>
          <w:fldChar w:fldCharType="end"/>
        </w:r>
      </w:hyperlink>
    </w:p>
    <w:p w14:paraId="234242F8" w14:textId="77777777" w:rsidR="001C08A5" w:rsidRDefault="00000000">
      <w:pPr>
        <w:pStyle w:val="TableofFigures"/>
        <w:tabs>
          <w:tab w:val="right" w:leader="dot" w:pos="9639"/>
        </w:tabs>
        <w:ind w:left="800" w:hanging="400"/>
      </w:pPr>
      <w:hyperlink w:anchor="_Toc20248" w:history="1">
        <w:r>
          <w:t>Figura 198  - Scară în spirală (un flux de evacuare)</w:t>
        </w:r>
        <w:r>
          <w:tab/>
        </w:r>
        <w:r>
          <w:fldChar w:fldCharType="begin"/>
        </w:r>
        <w:r>
          <w:instrText xml:space="preserve"> PAGEREF _Toc20248 \h </w:instrText>
        </w:r>
        <w:r>
          <w:fldChar w:fldCharType="separate"/>
        </w:r>
        <w:r>
          <w:t>467</w:t>
        </w:r>
        <w:r>
          <w:fldChar w:fldCharType="end"/>
        </w:r>
      </w:hyperlink>
    </w:p>
    <w:p w14:paraId="400FEF3F" w14:textId="77777777" w:rsidR="001C08A5" w:rsidRDefault="00000000">
      <w:pPr>
        <w:pStyle w:val="TableofFigures"/>
        <w:tabs>
          <w:tab w:val="right" w:leader="dot" w:pos="9639"/>
        </w:tabs>
        <w:ind w:left="800" w:hanging="400"/>
      </w:pPr>
      <w:hyperlink w:anchor="_Toc756" w:history="1">
        <w:r>
          <w:t>Figura 199  - Scară cu rampa curbă</w:t>
        </w:r>
        <w:r>
          <w:tab/>
        </w:r>
        <w:r>
          <w:fldChar w:fldCharType="begin"/>
        </w:r>
        <w:r>
          <w:instrText xml:space="preserve"> PAGEREF _Toc756 \h </w:instrText>
        </w:r>
        <w:r>
          <w:fldChar w:fldCharType="separate"/>
        </w:r>
        <w:r>
          <w:t>467</w:t>
        </w:r>
        <w:r>
          <w:fldChar w:fldCharType="end"/>
        </w:r>
      </w:hyperlink>
    </w:p>
    <w:p w14:paraId="3E5A24D8" w14:textId="77777777" w:rsidR="001C08A5" w:rsidRDefault="00000000">
      <w:pPr>
        <w:pStyle w:val="TableofFigures"/>
        <w:tabs>
          <w:tab w:val="right" w:leader="dot" w:pos="9639"/>
        </w:tabs>
        <w:ind w:left="800" w:hanging="400"/>
      </w:pPr>
      <w:hyperlink w:anchor="_Toc3343" w:history="1">
        <w:r>
          <w:t>Figura 200  - Schema principiu uşi de acces în casele de scări (scara cu două rampe)</w:t>
        </w:r>
        <w:r>
          <w:tab/>
        </w:r>
        <w:r>
          <w:fldChar w:fldCharType="begin"/>
        </w:r>
        <w:r>
          <w:instrText xml:space="preserve"> PAGEREF _Toc3343 \h </w:instrText>
        </w:r>
        <w:r>
          <w:fldChar w:fldCharType="separate"/>
        </w:r>
        <w:r>
          <w:t>468</w:t>
        </w:r>
        <w:r>
          <w:fldChar w:fldCharType="end"/>
        </w:r>
      </w:hyperlink>
    </w:p>
    <w:p w14:paraId="23444DF5" w14:textId="77777777" w:rsidR="001C08A5" w:rsidRDefault="00000000">
      <w:pPr>
        <w:pStyle w:val="TableofFigures"/>
        <w:tabs>
          <w:tab w:val="right" w:leader="dot" w:pos="9639"/>
        </w:tabs>
        <w:ind w:left="800" w:hanging="400"/>
      </w:pPr>
      <w:hyperlink w:anchor="_Toc10790" w:history="1">
        <w:r>
          <w:t>Figura 201  - Clădiri cu înălțime obișnuită - suprateran (prin deschidere, uşile de acces în casele de scări nu trebuie să reducă lăţimea normată a podestelor)</w:t>
        </w:r>
        <w:r>
          <w:tab/>
        </w:r>
        <w:r>
          <w:fldChar w:fldCharType="begin"/>
        </w:r>
        <w:r>
          <w:instrText xml:space="preserve"> PAGEREF _Toc10790 \h </w:instrText>
        </w:r>
        <w:r>
          <w:fldChar w:fldCharType="separate"/>
        </w:r>
        <w:r>
          <w:t>468</w:t>
        </w:r>
        <w:r>
          <w:fldChar w:fldCharType="end"/>
        </w:r>
      </w:hyperlink>
    </w:p>
    <w:p w14:paraId="0E6F8187" w14:textId="77777777" w:rsidR="001C08A5" w:rsidRDefault="00000000">
      <w:pPr>
        <w:pStyle w:val="TableofFigures"/>
        <w:tabs>
          <w:tab w:val="right" w:leader="dot" w:pos="9639"/>
        </w:tabs>
        <w:ind w:left="800" w:hanging="400"/>
      </w:pPr>
      <w:hyperlink w:anchor="_Toc6965" w:history="1">
        <w:r>
          <w:t>Figura 202  - Clădiri înalte/ foarte  înalte - golurile de acces la scările de evacuare se protejează obligatoriu cu încăperi tampon la clădirile înalte şi foarte înalte (prin deschidere, uşile de acces în casele de scări nu trebuie să reducă lăţimea normată a podestelor)</w:t>
        </w:r>
        <w:r>
          <w:tab/>
        </w:r>
        <w:r>
          <w:fldChar w:fldCharType="begin"/>
        </w:r>
        <w:r>
          <w:instrText xml:space="preserve"> PAGEREF _Toc6965 \h </w:instrText>
        </w:r>
        <w:r>
          <w:fldChar w:fldCharType="separate"/>
        </w:r>
        <w:r>
          <w:t>469</w:t>
        </w:r>
        <w:r>
          <w:fldChar w:fldCharType="end"/>
        </w:r>
      </w:hyperlink>
    </w:p>
    <w:p w14:paraId="66C8E37E" w14:textId="77777777" w:rsidR="001C08A5" w:rsidRDefault="00000000">
      <w:pPr>
        <w:pStyle w:val="TableofFigures"/>
        <w:tabs>
          <w:tab w:val="right" w:leader="dot" w:pos="9639"/>
        </w:tabs>
        <w:ind w:left="800" w:hanging="400"/>
      </w:pPr>
      <w:hyperlink w:anchor="_Toc7576" w:history="1">
        <w:r>
          <w:t>Figura 203  - Scări exterioare</w:t>
        </w:r>
        <w:r>
          <w:tab/>
        </w:r>
        <w:r>
          <w:fldChar w:fldCharType="begin"/>
        </w:r>
        <w:r>
          <w:instrText xml:space="preserve"> PAGEREF _Toc7576 \h </w:instrText>
        </w:r>
        <w:r>
          <w:fldChar w:fldCharType="separate"/>
        </w:r>
        <w:r>
          <w:t>470</w:t>
        </w:r>
        <w:r>
          <w:fldChar w:fldCharType="end"/>
        </w:r>
      </w:hyperlink>
    </w:p>
    <w:p w14:paraId="43CC559B" w14:textId="77777777" w:rsidR="001C08A5" w:rsidRDefault="00000000">
      <w:pPr>
        <w:pStyle w:val="TableofFigures"/>
        <w:tabs>
          <w:tab w:val="right" w:leader="dot" w:pos="9639"/>
        </w:tabs>
        <w:ind w:left="800" w:hanging="400"/>
      </w:pPr>
      <w:hyperlink w:anchor="_Toc21993" w:history="1">
        <w:r>
          <w:t xml:space="preserve">Figura 204  - </w:t>
        </w:r>
        <w:r>
          <w:rPr>
            <w:rFonts w:eastAsia="Times New Roman"/>
          </w:rPr>
          <w:t>Coridoare</w:t>
        </w:r>
        <w:r>
          <w:tab/>
        </w:r>
        <w:r>
          <w:fldChar w:fldCharType="begin"/>
        </w:r>
        <w:r>
          <w:instrText xml:space="preserve"> PAGEREF _Toc21993 \h </w:instrText>
        </w:r>
        <w:r>
          <w:fldChar w:fldCharType="separate"/>
        </w:r>
        <w:r>
          <w:t>472</w:t>
        </w:r>
        <w:r>
          <w:fldChar w:fldCharType="end"/>
        </w:r>
      </w:hyperlink>
    </w:p>
    <w:p w14:paraId="10FCE651" w14:textId="77777777" w:rsidR="001C08A5" w:rsidRDefault="00000000">
      <w:pPr>
        <w:pStyle w:val="TableofFigures"/>
        <w:tabs>
          <w:tab w:val="right" w:leader="dot" w:pos="9639"/>
        </w:tabs>
        <w:ind w:left="800" w:hanging="400"/>
      </w:pPr>
      <w:hyperlink w:anchor="_Toc3223" w:history="1">
        <w:r>
          <w:t>Figura 205  - Circulații de evacuare - exemple</w:t>
        </w:r>
        <w:r>
          <w:tab/>
        </w:r>
        <w:r>
          <w:fldChar w:fldCharType="begin"/>
        </w:r>
        <w:r>
          <w:instrText xml:space="preserve"> PAGEREF _Toc3223 \h </w:instrText>
        </w:r>
        <w:r>
          <w:fldChar w:fldCharType="separate"/>
        </w:r>
        <w:r>
          <w:t>473</w:t>
        </w:r>
        <w:r>
          <w:fldChar w:fldCharType="end"/>
        </w:r>
      </w:hyperlink>
    </w:p>
    <w:p w14:paraId="511C5E15" w14:textId="77777777" w:rsidR="001C08A5" w:rsidRDefault="00000000">
      <w:pPr>
        <w:pStyle w:val="TableofFigures"/>
        <w:tabs>
          <w:tab w:val="right" w:leader="dot" w:pos="9639"/>
        </w:tabs>
        <w:ind w:left="800" w:hanging="400"/>
      </w:pPr>
      <w:hyperlink w:anchor="_Toc19391" w:history="1">
        <w:r>
          <w:t xml:space="preserve">Figura 206  - </w:t>
        </w:r>
        <w:r>
          <w:rPr>
            <w:bCs/>
          </w:rPr>
          <w:t>Evacuarea într-un sens (dintr-un compartiment de incendiu în altul)</w:t>
        </w:r>
        <w:r>
          <w:tab/>
        </w:r>
        <w:r>
          <w:fldChar w:fldCharType="begin"/>
        </w:r>
        <w:r>
          <w:instrText xml:space="preserve"> PAGEREF _Toc19391 \h </w:instrText>
        </w:r>
        <w:r>
          <w:fldChar w:fldCharType="separate"/>
        </w:r>
        <w:r>
          <w:t>479</w:t>
        </w:r>
        <w:r>
          <w:fldChar w:fldCharType="end"/>
        </w:r>
      </w:hyperlink>
    </w:p>
    <w:p w14:paraId="48522F5C" w14:textId="77777777" w:rsidR="001C08A5" w:rsidRDefault="00000000">
      <w:pPr>
        <w:pStyle w:val="TableofFigures"/>
        <w:tabs>
          <w:tab w:val="right" w:leader="dot" w:pos="9639"/>
        </w:tabs>
        <w:ind w:left="800" w:hanging="400"/>
      </w:pPr>
      <w:hyperlink w:anchor="_Toc1562" w:history="1">
        <w:r>
          <w:t xml:space="preserve">Figura 207  - </w:t>
        </w:r>
        <w:r>
          <w:rPr>
            <w:bCs/>
          </w:rPr>
          <w:t>Evacuarea în ambele sensuri (dintr-un compartiment de incendiu în altul)</w:t>
        </w:r>
        <w:r>
          <w:tab/>
        </w:r>
        <w:r>
          <w:fldChar w:fldCharType="begin"/>
        </w:r>
        <w:r>
          <w:instrText xml:space="preserve"> PAGEREF _Toc1562 \h </w:instrText>
        </w:r>
        <w:r>
          <w:fldChar w:fldCharType="separate"/>
        </w:r>
        <w:r>
          <w:t>481</w:t>
        </w:r>
        <w:r>
          <w:fldChar w:fldCharType="end"/>
        </w:r>
      </w:hyperlink>
    </w:p>
    <w:p w14:paraId="13EFAD33" w14:textId="77777777" w:rsidR="001C08A5" w:rsidRDefault="00000000">
      <w:pPr>
        <w:pStyle w:val="TableofFigures"/>
        <w:tabs>
          <w:tab w:val="right" w:leader="dot" w:pos="9639"/>
        </w:tabs>
        <w:ind w:left="800" w:hanging="400"/>
      </w:pPr>
      <w:hyperlink w:anchor="_Toc462" w:history="1">
        <w:r>
          <w:t>Figura 208  - Principii privind lungimea căii de evacuare pe coridoare</w:t>
        </w:r>
        <w:r>
          <w:tab/>
        </w:r>
        <w:r>
          <w:fldChar w:fldCharType="begin"/>
        </w:r>
        <w:r>
          <w:instrText xml:space="preserve"> PAGEREF _Toc462 \h </w:instrText>
        </w:r>
        <w:r>
          <w:fldChar w:fldCharType="separate"/>
        </w:r>
        <w:r>
          <w:t>486</w:t>
        </w:r>
        <w:r>
          <w:fldChar w:fldCharType="end"/>
        </w:r>
      </w:hyperlink>
    </w:p>
    <w:p w14:paraId="6CD429A8" w14:textId="77777777" w:rsidR="001C08A5" w:rsidRDefault="00000000">
      <w:pPr>
        <w:pStyle w:val="TableofFigures"/>
        <w:tabs>
          <w:tab w:val="right" w:leader="dot" w:pos="9639"/>
        </w:tabs>
        <w:ind w:left="800" w:hanging="400"/>
      </w:pPr>
      <w:hyperlink w:anchor="_Toc28059" w:history="1">
        <w:r>
          <w:t>Figura 209  - Principii privind lungimea căii de evacuare în interiorul spațiilor de tip open space</w:t>
        </w:r>
        <w:r>
          <w:tab/>
        </w:r>
        <w:r>
          <w:fldChar w:fldCharType="begin"/>
        </w:r>
        <w:r>
          <w:instrText xml:space="preserve"> PAGEREF _Toc28059 \h </w:instrText>
        </w:r>
        <w:r>
          <w:fldChar w:fldCharType="separate"/>
        </w:r>
        <w:r>
          <w:t>490</w:t>
        </w:r>
        <w:r>
          <w:fldChar w:fldCharType="end"/>
        </w:r>
      </w:hyperlink>
    </w:p>
    <w:p w14:paraId="224F11B6" w14:textId="77777777" w:rsidR="001C08A5" w:rsidRDefault="00000000">
      <w:pPr>
        <w:pStyle w:val="TableofFigures"/>
        <w:tabs>
          <w:tab w:val="right" w:leader="dot" w:pos="9639"/>
        </w:tabs>
        <w:ind w:left="800" w:hanging="400"/>
      </w:pPr>
      <w:hyperlink w:anchor="_Toc30905" w:history="1">
        <w:r>
          <w:t>Figura 210  - Distanțe pe căi  de evacuare (lungimea căii de evacuare)</w:t>
        </w:r>
        <w:r>
          <w:tab/>
        </w:r>
        <w:r>
          <w:fldChar w:fldCharType="begin"/>
        </w:r>
        <w:r>
          <w:instrText xml:space="preserve"> PAGEREF _Toc30905 \h </w:instrText>
        </w:r>
        <w:r>
          <w:fldChar w:fldCharType="separate"/>
        </w:r>
        <w:r>
          <w:t>490</w:t>
        </w:r>
        <w:r>
          <w:fldChar w:fldCharType="end"/>
        </w:r>
      </w:hyperlink>
    </w:p>
    <w:p w14:paraId="4E673A60" w14:textId="77777777" w:rsidR="001C08A5" w:rsidRDefault="00000000">
      <w:pPr>
        <w:pStyle w:val="TableofFigures"/>
        <w:tabs>
          <w:tab w:val="right" w:leader="dot" w:pos="9639"/>
        </w:tabs>
        <w:ind w:left="800" w:hanging="400"/>
      </w:pPr>
      <w:hyperlink w:anchor="_Toc31237" w:history="1">
        <w:r>
          <w:t>Figura 211  - Joncțiune în "T" cu coridorul principal de evacuare (în cazul coridoarelor delimitate de pereți rezistenți la foc conform condiții normate)</w:t>
        </w:r>
        <w:r>
          <w:tab/>
        </w:r>
        <w:r>
          <w:fldChar w:fldCharType="begin"/>
        </w:r>
        <w:r>
          <w:instrText xml:space="preserve"> PAGEREF _Toc31237 \h </w:instrText>
        </w:r>
        <w:r>
          <w:fldChar w:fldCharType="separate"/>
        </w:r>
        <w:r>
          <w:t>491</w:t>
        </w:r>
        <w:r>
          <w:fldChar w:fldCharType="end"/>
        </w:r>
      </w:hyperlink>
    </w:p>
    <w:p w14:paraId="693744BF" w14:textId="77777777" w:rsidR="001C08A5" w:rsidRDefault="00000000">
      <w:pPr>
        <w:pStyle w:val="TableofFigures"/>
        <w:tabs>
          <w:tab w:val="right" w:leader="dot" w:pos="9639"/>
        </w:tabs>
        <w:ind w:left="800" w:hanging="400"/>
      </w:pPr>
      <w:hyperlink w:anchor="_Toc8327" w:history="1">
        <w:r>
          <w:t>Figura 212  - Diagramă joncțiune în "T" cu coridor principal de evacuare</w:t>
        </w:r>
        <w:r>
          <w:tab/>
        </w:r>
        <w:r>
          <w:fldChar w:fldCharType="begin"/>
        </w:r>
        <w:r>
          <w:instrText xml:space="preserve"> PAGEREF _Toc8327 \h </w:instrText>
        </w:r>
        <w:r>
          <w:fldChar w:fldCharType="separate"/>
        </w:r>
        <w:r>
          <w:t>491</w:t>
        </w:r>
        <w:r>
          <w:fldChar w:fldCharType="end"/>
        </w:r>
      </w:hyperlink>
    </w:p>
    <w:p w14:paraId="0855455B" w14:textId="77777777" w:rsidR="001C08A5" w:rsidRDefault="00000000">
      <w:pPr>
        <w:pStyle w:val="TableofFigures"/>
        <w:tabs>
          <w:tab w:val="right" w:leader="dot" w:pos="9639"/>
        </w:tabs>
        <w:ind w:left="800" w:hanging="400"/>
      </w:pPr>
      <w:hyperlink w:anchor="_Toc31661" w:history="1">
        <w:r>
          <w:t>Figura 213  - Distanțe pe căi  de evacuare (lungimea căii de evacuare)</w:t>
        </w:r>
        <w:r>
          <w:tab/>
        </w:r>
        <w:r>
          <w:fldChar w:fldCharType="begin"/>
        </w:r>
        <w:r>
          <w:instrText xml:space="preserve"> PAGEREF _Toc31661 \h </w:instrText>
        </w:r>
        <w:r>
          <w:fldChar w:fldCharType="separate"/>
        </w:r>
        <w:r>
          <w:t>492</w:t>
        </w:r>
        <w:r>
          <w:fldChar w:fldCharType="end"/>
        </w:r>
      </w:hyperlink>
    </w:p>
    <w:p w14:paraId="4A527219" w14:textId="77777777" w:rsidR="001C08A5" w:rsidRDefault="00000000">
      <w:pPr>
        <w:pStyle w:val="TableofFigures"/>
        <w:tabs>
          <w:tab w:val="right" w:leader="dot" w:pos="9639"/>
        </w:tabs>
        <w:ind w:left="800" w:hanging="400"/>
      </w:pPr>
      <w:hyperlink w:anchor="_Toc6447" w:history="1">
        <w:r>
          <w:t>Figura 214  - Caz particular - coridoare înfundate (lungime de evacuare într-o singură direcție), evacuare în "T" (un unghi = 180°) - se acceptă</w:t>
        </w:r>
        <w:r>
          <w:tab/>
        </w:r>
        <w:r>
          <w:fldChar w:fldCharType="begin"/>
        </w:r>
        <w:r>
          <w:instrText xml:space="preserve"> PAGEREF _Toc6447 \h </w:instrText>
        </w:r>
        <w:r>
          <w:fldChar w:fldCharType="separate"/>
        </w:r>
        <w:r>
          <w:t>492</w:t>
        </w:r>
        <w:r>
          <w:fldChar w:fldCharType="end"/>
        </w:r>
      </w:hyperlink>
    </w:p>
    <w:p w14:paraId="57F01235" w14:textId="77777777" w:rsidR="001C08A5" w:rsidRDefault="00000000">
      <w:pPr>
        <w:pStyle w:val="TableofFigures"/>
        <w:tabs>
          <w:tab w:val="right" w:leader="dot" w:pos="9639"/>
        </w:tabs>
        <w:ind w:left="800" w:hanging="400"/>
      </w:pPr>
      <w:hyperlink w:anchor="_Toc8870" w:history="1">
        <w:r>
          <w:t xml:space="preserve">Figura 215  - Caz particular - coridoare înfundate (lungime de evacuare într-o singură direcție), evacuare în "Y" - în axul căilor de evacuare </w:t>
        </w:r>
        <w:r>
          <w:tab/>
        </w:r>
        <w:r>
          <w:fldChar w:fldCharType="begin"/>
        </w:r>
        <w:r>
          <w:instrText xml:space="preserve"> PAGEREF _Toc8870 \h </w:instrText>
        </w:r>
        <w:r>
          <w:fldChar w:fldCharType="separate"/>
        </w:r>
        <w:r>
          <w:t>493</w:t>
        </w:r>
        <w:r>
          <w:fldChar w:fldCharType="end"/>
        </w:r>
      </w:hyperlink>
    </w:p>
    <w:p w14:paraId="2FF74F06" w14:textId="77777777" w:rsidR="001C08A5" w:rsidRDefault="00000000">
      <w:pPr>
        <w:pStyle w:val="TableofFigures"/>
        <w:tabs>
          <w:tab w:val="right" w:leader="dot" w:pos="9639"/>
        </w:tabs>
        <w:ind w:left="800" w:hanging="400"/>
      </w:pPr>
      <w:hyperlink w:anchor="_Toc4315" w:history="1">
        <w:r>
          <w:t>Figura 216  - Măsurare distanța de evacuare</w:t>
        </w:r>
        <w:r>
          <w:tab/>
        </w:r>
        <w:r>
          <w:fldChar w:fldCharType="begin"/>
        </w:r>
        <w:r>
          <w:instrText xml:space="preserve"> PAGEREF _Toc4315 \h </w:instrText>
        </w:r>
        <w:r>
          <w:fldChar w:fldCharType="separate"/>
        </w:r>
        <w:r>
          <w:t>494</w:t>
        </w:r>
        <w:r>
          <w:fldChar w:fldCharType="end"/>
        </w:r>
      </w:hyperlink>
    </w:p>
    <w:p w14:paraId="3D9F75DE" w14:textId="77777777" w:rsidR="001C08A5" w:rsidRDefault="00000000">
      <w:pPr>
        <w:pStyle w:val="TableofFigures"/>
        <w:tabs>
          <w:tab w:val="right" w:leader="dot" w:pos="9639"/>
        </w:tabs>
        <w:ind w:left="800" w:hanging="400"/>
      </w:pPr>
      <w:hyperlink w:anchor="_Toc31438" w:history="1">
        <w:r>
          <w:t>Figura 217  - Evacuare mai mică sau egală sau mai mare de 90</w:t>
        </w:r>
        <w:r>
          <w:rPr>
            <w:rFonts w:ascii="Arial" w:hAnsi="Arial" w:cs="Arial"/>
          </w:rPr>
          <w:t>°</w:t>
        </w:r>
        <w:r>
          <w:t xml:space="preserve"> în interiorul încăperilor clădirilor noi</w:t>
        </w:r>
        <w:r>
          <w:tab/>
        </w:r>
        <w:r>
          <w:fldChar w:fldCharType="begin"/>
        </w:r>
        <w:r>
          <w:instrText xml:space="preserve"> PAGEREF _Toc31438 \h </w:instrText>
        </w:r>
        <w:r>
          <w:fldChar w:fldCharType="separate"/>
        </w:r>
        <w:r>
          <w:t>494</w:t>
        </w:r>
        <w:r>
          <w:fldChar w:fldCharType="end"/>
        </w:r>
      </w:hyperlink>
    </w:p>
    <w:p w14:paraId="29799393" w14:textId="77777777" w:rsidR="001C08A5" w:rsidRDefault="00000000">
      <w:pPr>
        <w:pStyle w:val="TableofFigures"/>
        <w:tabs>
          <w:tab w:val="right" w:leader="dot" w:pos="9639"/>
        </w:tabs>
        <w:ind w:left="800" w:hanging="400"/>
      </w:pPr>
      <w:hyperlink w:anchor="_Toc31741" w:history="1">
        <w:r>
          <w:t>Figura 218  - Evacuare la 90</w:t>
        </w:r>
        <w:r>
          <w:rPr>
            <w:rFonts w:ascii="Arial" w:hAnsi="Arial" w:cs="Arial"/>
          </w:rPr>
          <w:t>°</w:t>
        </w:r>
        <w:r>
          <w:t xml:space="preserve"> în interiorul încăperilor (spațiilor) de tip open space</w:t>
        </w:r>
        <w:r>
          <w:tab/>
        </w:r>
        <w:r>
          <w:fldChar w:fldCharType="begin"/>
        </w:r>
        <w:r>
          <w:instrText xml:space="preserve"> PAGEREF _Toc31741 \h </w:instrText>
        </w:r>
        <w:r>
          <w:fldChar w:fldCharType="separate"/>
        </w:r>
        <w:r>
          <w:t>494</w:t>
        </w:r>
        <w:r>
          <w:fldChar w:fldCharType="end"/>
        </w:r>
      </w:hyperlink>
    </w:p>
    <w:p w14:paraId="381F44A5" w14:textId="77777777" w:rsidR="001C08A5" w:rsidRDefault="00000000">
      <w:pPr>
        <w:pStyle w:val="TableofFigures"/>
        <w:tabs>
          <w:tab w:val="right" w:leader="dot" w:pos="9639"/>
        </w:tabs>
        <w:ind w:left="800" w:hanging="400"/>
      </w:pPr>
      <w:hyperlink w:anchor="_Toc23114" w:history="1">
        <w:r>
          <w:t xml:space="preserve">Figura 219  - </w:t>
        </w:r>
        <w:r>
          <w:rPr>
            <w:bCs/>
          </w:rPr>
          <w:t>Caz particular - coridoare înfundate (lungime de evacuare într-o singură direcție), evacuare în "Y" - în axul căilor de evacuare la clădiri existente</w:t>
        </w:r>
        <w:r>
          <w:tab/>
        </w:r>
        <w:r>
          <w:fldChar w:fldCharType="begin"/>
        </w:r>
        <w:r>
          <w:instrText xml:space="preserve"> PAGEREF _Toc23114 \h </w:instrText>
        </w:r>
        <w:r>
          <w:fldChar w:fldCharType="separate"/>
        </w:r>
        <w:r>
          <w:t>495</w:t>
        </w:r>
        <w:r>
          <w:fldChar w:fldCharType="end"/>
        </w:r>
      </w:hyperlink>
    </w:p>
    <w:p w14:paraId="22994A68" w14:textId="77777777" w:rsidR="001C08A5" w:rsidRDefault="00000000">
      <w:pPr>
        <w:pStyle w:val="TableofFigures"/>
        <w:tabs>
          <w:tab w:val="right" w:leader="dot" w:pos="9639"/>
        </w:tabs>
        <w:ind w:left="800" w:hanging="400"/>
      </w:pPr>
      <w:hyperlink w:anchor="_Toc20144" w:history="1">
        <w:r>
          <w:t>Figura 220  - Lungime de evacuare</w:t>
        </w:r>
        <w:r>
          <w:tab/>
        </w:r>
        <w:r>
          <w:fldChar w:fldCharType="begin"/>
        </w:r>
        <w:r>
          <w:instrText xml:space="preserve"> PAGEREF _Toc20144 \h </w:instrText>
        </w:r>
        <w:r>
          <w:fldChar w:fldCharType="separate"/>
        </w:r>
        <w:r>
          <w:t>496</w:t>
        </w:r>
        <w:r>
          <w:fldChar w:fldCharType="end"/>
        </w:r>
      </w:hyperlink>
    </w:p>
    <w:p w14:paraId="6DC830CD" w14:textId="77777777" w:rsidR="001C08A5" w:rsidRDefault="00000000">
      <w:pPr>
        <w:pStyle w:val="TableofFigures"/>
        <w:tabs>
          <w:tab w:val="right" w:leader="dot" w:pos="9639"/>
        </w:tabs>
        <w:ind w:left="800" w:hanging="400"/>
      </w:pPr>
      <w:hyperlink w:anchor="_Toc1416" w:history="1">
        <w:r>
          <w:t>Figura 221  - Gabarit punct de staționare a persoanelor cu dizabilități - amplasare în scara de evacuare.</w:t>
        </w:r>
        <w:r>
          <w:tab/>
        </w:r>
        <w:r>
          <w:fldChar w:fldCharType="begin"/>
        </w:r>
        <w:r>
          <w:instrText xml:space="preserve"> PAGEREF _Toc1416 \h </w:instrText>
        </w:r>
        <w:r>
          <w:fldChar w:fldCharType="separate"/>
        </w:r>
        <w:r>
          <w:t>498</w:t>
        </w:r>
        <w:r>
          <w:fldChar w:fldCharType="end"/>
        </w:r>
      </w:hyperlink>
    </w:p>
    <w:p w14:paraId="34050B14" w14:textId="77777777" w:rsidR="001C08A5" w:rsidRDefault="00000000">
      <w:pPr>
        <w:pStyle w:val="TableofFigures"/>
        <w:tabs>
          <w:tab w:val="right" w:leader="dot" w:pos="9639"/>
        </w:tabs>
        <w:ind w:left="800" w:hanging="400"/>
      </w:pPr>
      <w:hyperlink w:anchor="_Toc5184" w:history="1">
        <w:r>
          <w:t>Figura 222  - Punct de staționare a persoanelor cu dizabilități - amplasare în încapere tampon ventilată în suprapresiune</w:t>
        </w:r>
        <w:r>
          <w:tab/>
        </w:r>
        <w:r>
          <w:fldChar w:fldCharType="begin"/>
        </w:r>
        <w:r>
          <w:instrText xml:space="preserve"> PAGEREF _Toc5184 \h </w:instrText>
        </w:r>
        <w:r>
          <w:fldChar w:fldCharType="separate"/>
        </w:r>
        <w:r>
          <w:t>498</w:t>
        </w:r>
        <w:r>
          <w:fldChar w:fldCharType="end"/>
        </w:r>
      </w:hyperlink>
    </w:p>
    <w:p w14:paraId="4086D99A" w14:textId="77777777" w:rsidR="001C08A5" w:rsidRDefault="00000000">
      <w:pPr>
        <w:pStyle w:val="TableofFigures"/>
        <w:tabs>
          <w:tab w:val="right" w:leader="dot" w:pos="9639"/>
        </w:tabs>
        <w:ind w:left="800" w:hanging="400"/>
      </w:pPr>
      <w:hyperlink w:anchor="_Toc29780" w:history="1">
        <w:r>
          <w:t>Figura 223  - Punct de staționare a persoanelor cu dizabilități</w:t>
        </w:r>
        <w:r>
          <w:tab/>
        </w:r>
        <w:r>
          <w:fldChar w:fldCharType="begin"/>
        </w:r>
        <w:r>
          <w:instrText xml:space="preserve"> PAGEREF _Toc29780 \h </w:instrText>
        </w:r>
        <w:r>
          <w:fldChar w:fldCharType="separate"/>
        </w:r>
        <w:r>
          <w:t>500</w:t>
        </w:r>
        <w:r>
          <w:fldChar w:fldCharType="end"/>
        </w:r>
      </w:hyperlink>
    </w:p>
    <w:p w14:paraId="1056D2E6" w14:textId="77777777" w:rsidR="001C08A5" w:rsidRDefault="00000000">
      <w:pPr>
        <w:pStyle w:val="TableofFigures"/>
        <w:tabs>
          <w:tab w:val="right" w:leader="dot" w:pos="9639"/>
        </w:tabs>
        <w:ind w:left="800" w:hanging="400"/>
      </w:pPr>
      <w:hyperlink w:anchor="_Toc6656" w:history="1">
        <w:r>
          <w:t xml:space="preserve">Figura 224  - </w:t>
        </w:r>
        <w:r>
          <w:rPr>
            <w:rFonts w:eastAsia="Times New Roman"/>
            <w:bCs/>
          </w:rPr>
          <w:t>Zonă de refugiu</w:t>
        </w:r>
        <w:r>
          <w:tab/>
        </w:r>
        <w:r>
          <w:fldChar w:fldCharType="begin"/>
        </w:r>
        <w:r>
          <w:instrText xml:space="preserve"> PAGEREF _Toc6656 \h </w:instrText>
        </w:r>
        <w:r>
          <w:fldChar w:fldCharType="separate"/>
        </w:r>
        <w:r>
          <w:t>501</w:t>
        </w:r>
        <w:r>
          <w:fldChar w:fldCharType="end"/>
        </w:r>
      </w:hyperlink>
    </w:p>
    <w:p w14:paraId="6DE56EE2" w14:textId="77777777" w:rsidR="001C08A5" w:rsidRDefault="00000000">
      <w:pPr>
        <w:pStyle w:val="TableofFigures"/>
        <w:tabs>
          <w:tab w:val="right" w:leader="dot" w:pos="9639"/>
        </w:tabs>
        <w:ind w:left="800" w:hanging="400"/>
      </w:pPr>
      <w:hyperlink w:anchor="_Toc19032" w:history="1">
        <w:r>
          <w:t xml:space="preserve">Figura 225  - </w:t>
        </w:r>
        <w:r>
          <w:rPr>
            <w:bCs/>
            <w:lang w:val="en-US" w:eastAsia="ar"/>
          </w:rPr>
          <w:t>Perimetrul pereților exteriori accesibil mașinilor de intervenție</w:t>
        </w:r>
        <w:r>
          <w:rPr>
            <w:rFonts w:ascii="Arial" w:hAnsi="Arial" w:cs="Arial"/>
            <w:lang w:eastAsia="ar"/>
          </w:rPr>
          <w:t xml:space="preserve"> - </w:t>
        </w:r>
        <w:r>
          <w:rPr>
            <w:bCs/>
            <w:lang w:eastAsia="en-US"/>
          </w:rPr>
          <w:t>clădire cu 2 pereți antifoc spre vecinătăți</w:t>
        </w:r>
        <w:r>
          <w:tab/>
        </w:r>
        <w:r>
          <w:fldChar w:fldCharType="begin"/>
        </w:r>
        <w:r>
          <w:instrText xml:space="preserve"> PAGEREF _Toc19032 \h </w:instrText>
        </w:r>
        <w:r>
          <w:fldChar w:fldCharType="separate"/>
        </w:r>
        <w:r>
          <w:t>503</w:t>
        </w:r>
        <w:r>
          <w:fldChar w:fldCharType="end"/>
        </w:r>
      </w:hyperlink>
    </w:p>
    <w:p w14:paraId="15DBD030" w14:textId="77777777" w:rsidR="001C08A5" w:rsidRDefault="00000000">
      <w:pPr>
        <w:pStyle w:val="TableofFigures"/>
        <w:tabs>
          <w:tab w:val="right" w:leader="dot" w:pos="9639"/>
        </w:tabs>
        <w:ind w:left="800" w:hanging="400"/>
      </w:pPr>
      <w:hyperlink w:anchor="_Toc9722" w:history="1">
        <w:r>
          <w:t xml:space="preserve">Figura 226  - </w:t>
        </w:r>
        <w:r>
          <w:rPr>
            <w:bCs/>
            <w:lang w:val="en-US" w:eastAsia="ar"/>
          </w:rPr>
          <w:t>Perimetrul pereților exteriori accesibil mașinilor de intervenție</w:t>
        </w:r>
        <w:r>
          <w:rPr>
            <w:bCs/>
            <w:lang w:eastAsia="ar"/>
          </w:rPr>
          <w:t xml:space="preserve"> - </w:t>
        </w:r>
        <w:r>
          <w:rPr>
            <w:bCs/>
            <w:lang w:eastAsia="en-US"/>
          </w:rPr>
          <w:t>clădire cu 1 perete antifoc spre vecinătate</w:t>
        </w:r>
        <w:r>
          <w:tab/>
        </w:r>
        <w:r>
          <w:fldChar w:fldCharType="begin"/>
        </w:r>
        <w:r>
          <w:instrText xml:space="preserve"> PAGEREF _Toc9722 \h </w:instrText>
        </w:r>
        <w:r>
          <w:fldChar w:fldCharType="separate"/>
        </w:r>
        <w:r>
          <w:t>504</w:t>
        </w:r>
        <w:r>
          <w:fldChar w:fldCharType="end"/>
        </w:r>
      </w:hyperlink>
    </w:p>
    <w:p w14:paraId="2CCE6D1F" w14:textId="77777777" w:rsidR="001C08A5" w:rsidRDefault="00000000">
      <w:pPr>
        <w:pStyle w:val="TableofFigures"/>
        <w:tabs>
          <w:tab w:val="right" w:leader="dot" w:pos="9639"/>
        </w:tabs>
        <w:ind w:left="800" w:hanging="400"/>
      </w:pPr>
      <w:hyperlink w:anchor="_Toc26807" w:history="1">
        <w:r>
          <w:t xml:space="preserve">Figura 227  - </w:t>
        </w:r>
        <w:r>
          <w:rPr>
            <w:lang w:eastAsia="ar"/>
          </w:rPr>
          <w:t>P</w:t>
        </w:r>
        <w:r>
          <w:rPr>
            <w:lang w:val="en-US" w:eastAsia="ar"/>
          </w:rPr>
          <w:t>erimetrul pereților exteriori</w:t>
        </w:r>
        <w:r>
          <w:rPr>
            <w:lang w:eastAsia="ar"/>
          </w:rPr>
          <w:t xml:space="preserve"> accesibil mașinilor de intervenție - </w:t>
        </w:r>
        <w:r>
          <w:rPr>
            <w:bCs/>
          </w:rPr>
          <w:t>clădire fără pereți antifoc spre vecinătăți (amplasată la distanțe de siguranță)</w:t>
        </w:r>
        <w:r>
          <w:tab/>
        </w:r>
        <w:r>
          <w:fldChar w:fldCharType="begin"/>
        </w:r>
        <w:r>
          <w:instrText xml:space="preserve"> PAGEREF _Toc26807 \h </w:instrText>
        </w:r>
        <w:r>
          <w:fldChar w:fldCharType="separate"/>
        </w:r>
        <w:r>
          <w:t>504</w:t>
        </w:r>
        <w:r>
          <w:fldChar w:fldCharType="end"/>
        </w:r>
      </w:hyperlink>
    </w:p>
    <w:p w14:paraId="063D1422" w14:textId="77777777" w:rsidR="001C08A5" w:rsidRDefault="00000000">
      <w:pPr>
        <w:pStyle w:val="TableofFigures"/>
        <w:tabs>
          <w:tab w:val="right" w:leader="dot" w:pos="9639"/>
        </w:tabs>
        <w:ind w:left="800" w:hanging="400"/>
      </w:pPr>
      <w:hyperlink w:anchor="_Toc1278" w:history="1">
        <w:r>
          <w:t xml:space="preserve">Figura 228  - Gabaritele scărilor de circulaţie funcţională şi de evacuare - caz general pentru </w:t>
        </w:r>
        <w:r>
          <w:rPr>
            <w:rFonts w:eastAsia="Times New Roman"/>
            <w:bCs/>
          </w:rPr>
          <w:t xml:space="preserve">1 flux </w:t>
        </w:r>
        <w:r>
          <w:rPr>
            <w:rFonts w:eastAsia="Times New Roman"/>
          </w:rPr>
          <w:t>de evacuare</w:t>
        </w:r>
        <w:r>
          <w:tab/>
        </w:r>
        <w:r>
          <w:fldChar w:fldCharType="begin"/>
        </w:r>
        <w:r>
          <w:instrText xml:space="preserve"> PAGEREF _Toc1278 \h </w:instrText>
        </w:r>
        <w:r>
          <w:fldChar w:fldCharType="separate"/>
        </w:r>
        <w:r>
          <w:t>506</w:t>
        </w:r>
        <w:r>
          <w:fldChar w:fldCharType="end"/>
        </w:r>
      </w:hyperlink>
    </w:p>
    <w:p w14:paraId="703A15F8" w14:textId="77777777" w:rsidR="001C08A5" w:rsidRDefault="00000000">
      <w:pPr>
        <w:pStyle w:val="TableofFigures"/>
        <w:tabs>
          <w:tab w:val="right" w:leader="dot" w:pos="9639"/>
        </w:tabs>
        <w:ind w:left="800" w:hanging="400"/>
      </w:pPr>
      <w:hyperlink w:anchor="_Toc11816" w:history="1">
        <w:r>
          <w:t xml:space="preserve">Figura 229  - Gabaritele scărilor de circulaţie funcţională şi de evacuare - caz general pentru </w:t>
        </w:r>
        <w:r>
          <w:rPr>
            <w:rFonts w:eastAsia="Times New Roman"/>
            <w:bCs/>
          </w:rPr>
          <w:t xml:space="preserve">2 fluxuri </w:t>
        </w:r>
        <w:r>
          <w:rPr>
            <w:rFonts w:eastAsia="Times New Roman"/>
          </w:rPr>
          <w:t>de evacuare</w:t>
        </w:r>
        <w:r>
          <w:tab/>
        </w:r>
        <w:r>
          <w:fldChar w:fldCharType="begin"/>
        </w:r>
        <w:r>
          <w:instrText xml:space="preserve"> PAGEREF _Toc11816 \h </w:instrText>
        </w:r>
        <w:r>
          <w:fldChar w:fldCharType="separate"/>
        </w:r>
        <w:r>
          <w:t>506</w:t>
        </w:r>
        <w:r>
          <w:fldChar w:fldCharType="end"/>
        </w:r>
      </w:hyperlink>
    </w:p>
    <w:p w14:paraId="7F69BF14" w14:textId="77777777" w:rsidR="001C08A5" w:rsidRDefault="00000000">
      <w:pPr>
        <w:pStyle w:val="TableofFigures"/>
        <w:tabs>
          <w:tab w:val="right" w:leader="dot" w:pos="9639"/>
        </w:tabs>
        <w:ind w:left="800" w:hanging="400"/>
      </w:pPr>
      <w:hyperlink w:anchor="_Toc27334" w:history="1">
        <w:r>
          <w:t xml:space="preserve">Figura 230  - </w:t>
        </w:r>
        <w:r>
          <w:rPr>
            <w:bCs/>
          </w:rPr>
          <w:t>Alternative dimensionare  scări de circulaţie funcţională şi de evacuare - funcțiune sanitară</w:t>
        </w:r>
        <w:r>
          <w:tab/>
        </w:r>
        <w:r>
          <w:fldChar w:fldCharType="begin"/>
        </w:r>
        <w:r>
          <w:instrText xml:space="preserve"> PAGEREF _Toc27334 \h </w:instrText>
        </w:r>
        <w:r>
          <w:fldChar w:fldCharType="separate"/>
        </w:r>
        <w:r>
          <w:t>507</w:t>
        </w:r>
        <w:r>
          <w:fldChar w:fldCharType="end"/>
        </w:r>
      </w:hyperlink>
    </w:p>
    <w:p w14:paraId="16D4695D" w14:textId="77777777" w:rsidR="001C08A5" w:rsidRDefault="00000000">
      <w:pPr>
        <w:pStyle w:val="TableofFigures"/>
        <w:tabs>
          <w:tab w:val="right" w:leader="dot" w:pos="9639"/>
        </w:tabs>
        <w:ind w:left="800" w:hanging="400"/>
      </w:pPr>
      <w:hyperlink w:anchor="_Toc2622" w:history="1">
        <w:r>
          <w:t>Figura 231  - Cabină ascensor evacuare persoane cu dizabilități</w:t>
        </w:r>
        <w:r>
          <w:tab/>
        </w:r>
        <w:r>
          <w:fldChar w:fldCharType="begin"/>
        </w:r>
        <w:r>
          <w:instrText xml:space="preserve"> PAGEREF _Toc2622 \h </w:instrText>
        </w:r>
        <w:r>
          <w:fldChar w:fldCharType="separate"/>
        </w:r>
        <w:r>
          <w:t>507</w:t>
        </w:r>
        <w:r>
          <w:fldChar w:fldCharType="end"/>
        </w:r>
      </w:hyperlink>
    </w:p>
    <w:p w14:paraId="6DDADB71" w14:textId="77777777" w:rsidR="001C08A5" w:rsidRDefault="00000000">
      <w:pPr>
        <w:pStyle w:val="TableofFigures"/>
        <w:tabs>
          <w:tab w:val="right" w:leader="dot" w:pos="9639"/>
        </w:tabs>
        <w:ind w:left="800" w:hanging="400"/>
      </w:pPr>
      <w:hyperlink w:anchor="_Toc5594" w:history="1">
        <w:r>
          <w:t>Figura 232  - Dimensiuni platformă în faţa ascensorului de evauare persoane cu dizabilități</w:t>
        </w:r>
        <w:r>
          <w:tab/>
        </w:r>
        <w:r>
          <w:fldChar w:fldCharType="begin"/>
        </w:r>
        <w:r>
          <w:instrText xml:space="preserve"> PAGEREF _Toc5594 \h </w:instrText>
        </w:r>
        <w:r>
          <w:fldChar w:fldCharType="separate"/>
        </w:r>
        <w:r>
          <w:t>508</w:t>
        </w:r>
        <w:r>
          <w:fldChar w:fldCharType="end"/>
        </w:r>
      </w:hyperlink>
    </w:p>
    <w:p w14:paraId="002162E9" w14:textId="77777777" w:rsidR="001C08A5" w:rsidRDefault="00000000">
      <w:pPr>
        <w:pStyle w:val="TableofFigures"/>
        <w:tabs>
          <w:tab w:val="right" w:leader="dot" w:pos="9639"/>
        </w:tabs>
        <w:ind w:left="800" w:hanging="400"/>
      </w:pPr>
      <w:hyperlink w:anchor="_Toc29505" w:history="1">
        <w:r>
          <w:t xml:space="preserve">Figura 233  - </w:t>
        </w:r>
        <w:r>
          <w:rPr>
            <w:rFonts w:eastAsia="Times New Roman"/>
            <w:bCs/>
          </w:rPr>
          <w:t>Scheme principiu evacuare către altă zonă</w:t>
        </w:r>
        <w:r>
          <w:tab/>
        </w:r>
        <w:r>
          <w:fldChar w:fldCharType="begin"/>
        </w:r>
        <w:r>
          <w:instrText xml:space="preserve"> PAGEREF _Toc29505 \h </w:instrText>
        </w:r>
        <w:r>
          <w:fldChar w:fldCharType="separate"/>
        </w:r>
        <w:r>
          <w:t>514</w:t>
        </w:r>
        <w:r>
          <w:fldChar w:fldCharType="end"/>
        </w:r>
      </w:hyperlink>
    </w:p>
    <w:p w14:paraId="1BDC24A4" w14:textId="77777777" w:rsidR="001C08A5" w:rsidRDefault="00000000">
      <w:pPr>
        <w:pStyle w:val="TableofFigures"/>
        <w:tabs>
          <w:tab w:val="right" w:leader="dot" w:pos="9639"/>
        </w:tabs>
        <w:ind w:left="800" w:hanging="400"/>
      </w:pPr>
      <w:hyperlink w:anchor="_Toc2088" w:history="1">
        <w:r>
          <w:t>Figura 234  - Schemă principiu zonă evacuare către alt compartiment de incendiu (din fiecare compartiment de incendiu în celălalt)</w:t>
        </w:r>
        <w:r>
          <w:tab/>
        </w:r>
        <w:r>
          <w:fldChar w:fldCharType="begin"/>
        </w:r>
        <w:r>
          <w:instrText xml:space="preserve"> PAGEREF _Toc2088 \h </w:instrText>
        </w:r>
        <w:r>
          <w:fldChar w:fldCharType="separate"/>
        </w:r>
        <w:r>
          <w:t>516</w:t>
        </w:r>
        <w:r>
          <w:fldChar w:fldCharType="end"/>
        </w:r>
      </w:hyperlink>
    </w:p>
    <w:p w14:paraId="6776708F" w14:textId="77777777" w:rsidR="001C08A5" w:rsidRDefault="00000000">
      <w:pPr>
        <w:pStyle w:val="TableofFigures"/>
        <w:tabs>
          <w:tab w:val="right" w:leader="dot" w:pos="9639"/>
        </w:tabs>
        <w:ind w:left="800" w:hanging="400"/>
      </w:pPr>
      <w:hyperlink w:anchor="_Toc22179" w:history="1">
        <w:r>
          <w:t>Figura 235  - Zone de refugiu (în) clădiri</w:t>
        </w:r>
        <w:r>
          <w:tab/>
        </w:r>
        <w:r>
          <w:fldChar w:fldCharType="begin"/>
        </w:r>
        <w:r>
          <w:instrText xml:space="preserve"> PAGEREF _Toc22179 \h </w:instrText>
        </w:r>
        <w:r>
          <w:fldChar w:fldCharType="separate"/>
        </w:r>
        <w:r>
          <w:t>517</w:t>
        </w:r>
        <w:r>
          <w:fldChar w:fldCharType="end"/>
        </w:r>
      </w:hyperlink>
    </w:p>
    <w:p w14:paraId="45C90307" w14:textId="77777777" w:rsidR="001C08A5" w:rsidRDefault="00000000">
      <w:pPr>
        <w:pStyle w:val="TableofFigures"/>
        <w:tabs>
          <w:tab w:val="right" w:leader="dot" w:pos="9639"/>
        </w:tabs>
        <w:ind w:left="800" w:hanging="400"/>
      </w:pPr>
      <w:hyperlink w:anchor="_Toc7906" w:history="1">
        <w:r>
          <w:t xml:space="preserve">Figura 236  - Căi de evacuare pentru zonele de refugiu </w:t>
        </w:r>
        <w:r>
          <w:tab/>
        </w:r>
        <w:r>
          <w:fldChar w:fldCharType="begin"/>
        </w:r>
        <w:r>
          <w:instrText xml:space="preserve"> PAGEREF _Toc7906 \h </w:instrText>
        </w:r>
        <w:r>
          <w:fldChar w:fldCharType="separate"/>
        </w:r>
        <w:r>
          <w:t>518</w:t>
        </w:r>
        <w:r>
          <w:fldChar w:fldCharType="end"/>
        </w:r>
      </w:hyperlink>
    </w:p>
    <w:p w14:paraId="4B85FEA8" w14:textId="77777777" w:rsidR="001C08A5" w:rsidRDefault="00000000">
      <w:pPr>
        <w:pStyle w:val="TableofFigures"/>
        <w:tabs>
          <w:tab w:val="right" w:leader="dot" w:pos="9639"/>
        </w:tabs>
        <w:ind w:left="800" w:hanging="400"/>
      </w:pPr>
      <w:hyperlink w:anchor="_Toc4219" w:history="1">
        <w:r>
          <w:t>Figura 237  - Exemplu de punct de staționare a persoanelor cu dizabilități (exemplu la clădiri de sănătate)</w:t>
        </w:r>
        <w:r>
          <w:tab/>
        </w:r>
        <w:r>
          <w:fldChar w:fldCharType="begin"/>
        </w:r>
        <w:r>
          <w:instrText xml:space="preserve"> PAGEREF _Toc4219 \h </w:instrText>
        </w:r>
        <w:r>
          <w:fldChar w:fldCharType="separate"/>
        </w:r>
        <w:r>
          <w:t>518</w:t>
        </w:r>
        <w:r>
          <w:fldChar w:fldCharType="end"/>
        </w:r>
      </w:hyperlink>
    </w:p>
    <w:p w14:paraId="6E874813" w14:textId="77777777" w:rsidR="001C08A5" w:rsidRDefault="00000000">
      <w:pPr>
        <w:pStyle w:val="TableofFigures"/>
        <w:tabs>
          <w:tab w:val="right" w:leader="dot" w:pos="9639"/>
        </w:tabs>
        <w:ind w:left="800" w:hanging="400"/>
      </w:pPr>
      <w:hyperlink w:anchor="_Toc23339" w:history="1">
        <w:r>
          <w:t xml:space="preserve">Figura 238  - </w:t>
        </w:r>
        <w:r>
          <w:rPr>
            <w:bCs/>
          </w:rPr>
          <w:t>Exemplu parcaj deschis</w:t>
        </w:r>
        <w:r>
          <w:tab/>
        </w:r>
        <w:r>
          <w:fldChar w:fldCharType="begin"/>
        </w:r>
        <w:r>
          <w:instrText xml:space="preserve"> PAGEREF _Toc23339 \h </w:instrText>
        </w:r>
        <w:r>
          <w:fldChar w:fldCharType="separate"/>
        </w:r>
        <w:r>
          <w:t>521</w:t>
        </w:r>
        <w:r>
          <w:fldChar w:fldCharType="end"/>
        </w:r>
      </w:hyperlink>
    </w:p>
    <w:p w14:paraId="56E4E0F6" w14:textId="77777777" w:rsidR="001C08A5" w:rsidRDefault="00000000">
      <w:pPr>
        <w:pStyle w:val="TableofFigures"/>
        <w:tabs>
          <w:tab w:val="right" w:leader="dot" w:pos="9639"/>
        </w:tabs>
        <w:ind w:left="800" w:hanging="400"/>
      </w:pPr>
      <w:hyperlink w:anchor="_Toc2165" w:history="1">
        <w:r>
          <w:t xml:space="preserve">Figura 239  - </w:t>
        </w:r>
        <w:r>
          <w:rPr>
            <w:bCs/>
          </w:rPr>
          <w:t>Detalii aport aer parcaje deschise</w:t>
        </w:r>
        <w:r>
          <w:tab/>
        </w:r>
        <w:r>
          <w:fldChar w:fldCharType="begin"/>
        </w:r>
        <w:r>
          <w:instrText xml:space="preserve"> PAGEREF _Toc2165 \h </w:instrText>
        </w:r>
        <w:r>
          <w:fldChar w:fldCharType="separate"/>
        </w:r>
        <w:r>
          <w:t>521</w:t>
        </w:r>
        <w:r>
          <w:fldChar w:fldCharType="end"/>
        </w:r>
      </w:hyperlink>
    </w:p>
    <w:p w14:paraId="2597121D" w14:textId="77777777" w:rsidR="001C08A5" w:rsidRDefault="00000000">
      <w:pPr>
        <w:pStyle w:val="TableofFigures"/>
        <w:tabs>
          <w:tab w:val="right" w:leader="dot" w:pos="9639"/>
        </w:tabs>
        <w:ind w:left="800" w:hanging="400"/>
      </w:pPr>
      <w:hyperlink w:anchor="_Toc24695" w:history="1">
        <w:r>
          <w:t>Figura 240  - Parcarea la stații de încărcare cu  prevederea unor elemente de construcție (pereți) cu aceeași rezistență la foc ca a structurii</w:t>
        </w:r>
        <w:r>
          <w:tab/>
        </w:r>
        <w:r>
          <w:fldChar w:fldCharType="begin"/>
        </w:r>
        <w:r>
          <w:instrText xml:space="preserve"> PAGEREF _Toc24695 \h </w:instrText>
        </w:r>
        <w:r>
          <w:fldChar w:fldCharType="separate"/>
        </w:r>
        <w:r>
          <w:t>522</w:t>
        </w:r>
        <w:r>
          <w:fldChar w:fldCharType="end"/>
        </w:r>
      </w:hyperlink>
    </w:p>
    <w:p w14:paraId="2F9EA6B9" w14:textId="77777777" w:rsidR="001C08A5" w:rsidRDefault="00000000">
      <w:pPr>
        <w:pStyle w:val="TableofFigures"/>
        <w:tabs>
          <w:tab w:val="right" w:leader="dot" w:pos="9639"/>
        </w:tabs>
        <w:ind w:left="800" w:hanging="400"/>
      </w:pPr>
      <w:hyperlink w:anchor="_Toc18960" w:history="1">
        <w:r>
          <w:t>Figura 241  - Schemă parcare cu prevederea unor elemente de construcție (pereți) cu aceeași rezistență la foc ca a structurii, la stații de încărcare</w:t>
        </w:r>
        <w:r>
          <w:tab/>
        </w:r>
        <w:r>
          <w:fldChar w:fldCharType="begin"/>
        </w:r>
        <w:r>
          <w:instrText xml:space="preserve"> PAGEREF _Toc18960 \h </w:instrText>
        </w:r>
        <w:r>
          <w:fldChar w:fldCharType="separate"/>
        </w:r>
        <w:r>
          <w:t>522</w:t>
        </w:r>
        <w:r>
          <w:fldChar w:fldCharType="end"/>
        </w:r>
      </w:hyperlink>
    </w:p>
    <w:p w14:paraId="746EC5EB" w14:textId="77777777" w:rsidR="001C08A5" w:rsidRDefault="00000000">
      <w:pPr>
        <w:pStyle w:val="TableofFigures"/>
        <w:tabs>
          <w:tab w:val="right" w:leader="dot" w:pos="9639"/>
        </w:tabs>
        <w:ind w:left="800" w:hanging="400"/>
      </w:pPr>
      <w:hyperlink w:anchor="_Toc25580" w:history="1">
        <w:r>
          <w:t>Figura 242  - Amplasare stații de încărcare</w:t>
        </w:r>
        <w:r>
          <w:tab/>
        </w:r>
        <w:r>
          <w:fldChar w:fldCharType="begin"/>
        </w:r>
        <w:r>
          <w:instrText xml:space="preserve"> PAGEREF _Toc25580 \h </w:instrText>
        </w:r>
        <w:r>
          <w:fldChar w:fldCharType="separate"/>
        </w:r>
        <w:r>
          <w:t>523</w:t>
        </w:r>
        <w:r>
          <w:fldChar w:fldCharType="end"/>
        </w:r>
      </w:hyperlink>
    </w:p>
    <w:p w14:paraId="58ABC9D9" w14:textId="77777777" w:rsidR="001C08A5" w:rsidRDefault="00000000">
      <w:pPr>
        <w:pStyle w:val="TableofFigures"/>
        <w:tabs>
          <w:tab w:val="right" w:leader="dot" w:pos="9639"/>
        </w:tabs>
        <w:ind w:left="800" w:hanging="400"/>
      </w:pPr>
      <w:hyperlink w:anchor="_Toc7653" w:history="1">
        <w:r>
          <w:t xml:space="preserve">Figura 243  - </w:t>
        </w:r>
        <w:r>
          <w:rPr>
            <w:bCs/>
          </w:rPr>
          <w:t>Secțiune tribune cu profil parabolic (la arene, stadione, săli de spectacole, etc.)</w:t>
        </w:r>
        <w:r>
          <w:tab/>
        </w:r>
        <w:r>
          <w:fldChar w:fldCharType="begin"/>
        </w:r>
        <w:r>
          <w:instrText xml:space="preserve"> PAGEREF _Toc7653 \h </w:instrText>
        </w:r>
        <w:r>
          <w:fldChar w:fldCharType="separate"/>
        </w:r>
        <w:r>
          <w:t>525</w:t>
        </w:r>
        <w:r>
          <w:fldChar w:fldCharType="end"/>
        </w:r>
      </w:hyperlink>
    </w:p>
    <w:p w14:paraId="516B5EE0" w14:textId="77777777" w:rsidR="001C08A5" w:rsidRDefault="00000000">
      <w:pPr>
        <w:pStyle w:val="TableofFigures"/>
        <w:tabs>
          <w:tab w:val="right" w:leader="dot" w:pos="9639"/>
        </w:tabs>
        <w:ind w:left="800" w:hanging="400"/>
      </w:pPr>
      <w:hyperlink w:anchor="_Toc8278" w:history="1">
        <w:r>
          <w:t xml:space="preserve">Figura 244  - </w:t>
        </w:r>
        <w:r>
          <w:rPr>
            <w:bCs/>
          </w:rPr>
          <w:t xml:space="preserve">Circulații pe gradene la arene și stadioane </w:t>
        </w:r>
        <w:r>
          <w:tab/>
        </w:r>
        <w:r>
          <w:fldChar w:fldCharType="begin"/>
        </w:r>
        <w:r>
          <w:instrText xml:space="preserve"> PAGEREF _Toc8278 \h </w:instrText>
        </w:r>
        <w:r>
          <w:fldChar w:fldCharType="separate"/>
        </w:r>
        <w:r>
          <w:t>528</w:t>
        </w:r>
        <w:r>
          <w:fldChar w:fldCharType="end"/>
        </w:r>
      </w:hyperlink>
    </w:p>
    <w:p w14:paraId="1F23976F" w14:textId="77777777" w:rsidR="001C08A5" w:rsidRDefault="00000000">
      <w:pPr>
        <w:pStyle w:val="TableofFigures"/>
        <w:tabs>
          <w:tab w:val="right" w:leader="dot" w:pos="9639"/>
        </w:tabs>
        <w:ind w:left="800" w:hanging="400"/>
      </w:pPr>
      <w:hyperlink w:anchor="_Toc13783" w:history="1">
        <w:r>
          <w:t>Figura 245  - Clădire înaltă</w:t>
        </w:r>
        <w:r>
          <w:tab/>
        </w:r>
        <w:r>
          <w:fldChar w:fldCharType="begin"/>
        </w:r>
        <w:r>
          <w:instrText xml:space="preserve"> PAGEREF _Toc13783 \h </w:instrText>
        </w:r>
        <w:r>
          <w:fldChar w:fldCharType="separate"/>
        </w:r>
        <w:r>
          <w:t>529</w:t>
        </w:r>
        <w:r>
          <w:fldChar w:fldCharType="end"/>
        </w:r>
      </w:hyperlink>
    </w:p>
    <w:p w14:paraId="337551EB" w14:textId="77777777" w:rsidR="001C08A5" w:rsidRDefault="00000000">
      <w:pPr>
        <w:pStyle w:val="TableofFigures"/>
        <w:tabs>
          <w:tab w:val="right" w:leader="dot" w:pos="9639"/>
        </w:tabs>
        <w:ind w:left="800" w:hanging="400"/>
      </w:pPr>
      <w:hyperlink w:anchor="_Toc8781" w:history="1">
        <w:r>
          <w:t>Figura 246  - Căi de acces și intervenție la clădiri înalte</w:t>
        </w:r>
        <w:r>
          <w:tab/>
        </w:r>
        <w:r>
          <w:fldChar w:fldCharType="begin"/>
        </w:r>
        <w:r>
          <w:instrText xml:space="preserve"> PAGEREF _Toc8781 \h </w:instrText>
        </w:r>
        <w:r>
          <w:fldChar w:fldCharType="separate"/>
        </w:r>
        <w:r>
          <w:t>529</w:t>
        </w:r>
        <w:r>
          <w:fldChar w:fldCharType="end"/>
        </w:r>
      </w:hyperlink>
    </w:p>
    <w:p w14:paraId="36D480FC" w14:textId="77777777" w:rsidR="001C08A5" w:rsidRDefault="00000000">
      <w:pPr>
        <w:pStyle w:val="TableofFigures"/>
        <w:tabs>
          <w:tab w:val="right" w:leader="dot" w:pos="9639"/>
        </w:tabs>
        <w:ind w:left="800" w:hanging="400"/>
      </w:pPr>
      <w:hyperlink w:anchor="_Toc28326" w:history="1">
        <w:r>
          <w:t>Figura 247  - Clădiri înalte sunt numai porţiunile/ nivelurile SUPRATERANE.</w:t>
        </w:r>
        <w:r>
          <w:tab/>
        </w:r>
        <w:r>
          <w:fldChar w:fldCharType="begin"/>
        </w:r>
        <w:r>
          <w:instrText xml:space="preserve"> PAGEREF _Toc28326 \h </w:instrText>
        </w:r>
        <w:r>
          <w:fldChar w:fldCharType="separate"/>
        </w:r>
        <w:r>
          <w:t>529</w:t>
        </w:r>
        <w:r>
          <w:fldChar w:fldCharType="end"/>
        </w:r>
      </w:hyperlink>
    </w:p>
    <w:p w14:paraId="11650A82" w14:textId="77777777" w:rsidR="001C08A5" w:rsidRDefault="00000000">
      <w:pPr>
        <w:pStyle w:val="TableofFigures"/>
        <w:tabs>
          <w:tab w:val="right" w:leader="dot" w:pos="9639"/>
        </w:tabs>
        <w:ind w:left="800" w:hanging="400"/>
      </w:pPr>
      <w:hyperlink w:anchor="_Toc19348" w:history="1">
        <w:r>
          <w:t>Figura 248  - Clădirile amplasate la cote mai ridicate faţă de şosele, drumuri etc, nu sunt clădiri înalte</w:t>
        </w:r>
        <w:r>
          <w:tab/>
        </w:r>
        <w:r>
          <w:fldChar w:fldCharType="begin"/>
        </w:r>
        <w:r>
          <w:instrText xml:space="preserve"> PAGEREF _Toc19348 \h </w:instrText>
        </w:r>
        <w:r>
          <w:fldChar w:fldCharType="separate"/>
        </w:r>
        <w:r>
          <w:t>530</w:t>
        </w:r>
        <w:r>
          <w:fldChar w:fldCharType="end"/>
        </w:r>
      </w:hyperlink>
    </w:p>
    <w:p w14:paraId="6C50D139" w14:textId="77777777" w:rsidR="001C08A5" w:rsidRDefault="00000000">
      <w:pPr>
        <w:pStyle w:val="TableofFigures"/>
        <w:tabs>
          <w:tab w:val="right" w:leader="dot" w:pos="9639"/>
        </w:tabs>
        <w:ind w:left="800" w:hanging="400"/>
      </w:pPr>
      <w:hyperlink w:anchor="_Toc19515" w:history="1">
        <w:r>
          <w:t>Figura 249  - Clădiri dispuse adiacent străzilor în pantă</w:t>
        </w:r>
        <w:r>
          <w:tab/>
        </w:r>
        <w:r>
          <w:fldChar w:fldCharType="begin"/>
        </w:r>
        <w:r>
          <w:instrText xml:space="preserve"> PAGEREF _Toc19515 \h </w:instrText>
        </w:r>
        <w:r>
          <w:fldChar w:fldCharType="separate"/>
        </w:r>
        <w:r>
          <w:t>530</w:t>
        </w:r>
        <w:r>
          <w:fldChar w:fldCharType="end"/>
        </w:r>
      </w:hyperlink>
    </w:p>
    <w:p w14:paraId="73777A28" w14:textId="77777777" w:rsidR="001C08A5" w:rsidRDefault="00000000">
      <w:pPr>
        <w:pStyle w:val="TableofFigures"/>
        <w:tabs>
          <w:tab w:val="right" w:leader="dot" w:pos="9639"/>
        </w:tabs>
        <w:ind w:left="800" w:hanging="400"/>
      </w:pPr>
      <w:hyperlink w:anchor="_Toc12616" w:history="1">
        <w:r>
          <w:t>Figura 250  - Nu sunt considerate clădiri înalte</w:t>
        </w:r>
        <w:r>
          <w:tab/>
        </w:r>
        <w:r>
          <w:fldChar w:fldCharType="begin"/>
        </w:r>
        <w:r>
          <w:instrText xml:space="preserve"> PAGEREF _Toc12616 \h </w:instrText>
        </w:r>
        <w:r>
          <w:fldChar w:fldCharType="separate"/>
        </w:r>
        <w:r>
          <w:t>531</w:t>
        </w:r>
        <w:r>
          <w:fldChar w:fldCharType="end"/>
        </w:r>
      </w:hyperlink>
    </w:p>
    <w:p w14:paraId="49963383" w14:textId="77777777" w:rsidR="001C08A5" w:rsidRDefault="00000000">
      <w:pPr>
        <w:pStyle w:val="TableofFigures"/>
        <w:tabs>
          <w:tab w:val="right" w:leader="dot" w:pos="9639"/>
        </w:tabs>
        <w:ind w:left="800" w:hanging="400"/>
      </w:pPr>
      <w:hyperlink w:anchor="_Toc23525" w:history="1">
        <w:r>
          <w:t>Figura 251  - Clădire foarte înaltă construcţie civilă (publică) la care pardoseala ultimului nivel folosibil este situată la înălţimea de 45,00 m sau mai mult, măsurată conform precizărilor de la clădiri înalte.</w:t>
        </w:r>
        <w:r>
          <w:tab/>
        </w:r>
        <w:r>
          <w:fldChar w:fldCharType="begin"/>
        </w:r>
        <w:r>
          <w:instrText xml:space="preserve"> PAGEREF _Toc23525 \h </w:instrText>
        </w:r>
        <w:r>
          <w:fldChar w:fldCharType="separate"/>
        </w:r>
        <w:r>
          <w:t>532</w:t>
        </w:r>
        <w:r>
          <w:fldChar w:fldCharType="end"/>
        </w:r>
      </w:hyperlink>
    </w:p>
    <w:p w14:paraId="2243007C" w14:textId="77777777" w:rsidR="001C08A5" w:rsidRDefault="00000000">
      <w:pPr>
        <w:pStyle w:val="TableofFigures"/>
        <w:tabs>
          <w:tab w:val="right" w:leader="dot" w:pos="9639"/>
        </w:tabs>
        <w:ind w:left="800" w:hanging="400"/>
      </w:pPr>
      <w:hyperlink w:anchor="_Toc19003" w:history="1">
        <w:r>
          <w:t>Figura 252  - Soluție corectă la clădiri înalte și foarte înalte - minimum două scări de evacuare</w:t>
        </w:r>
        <w:r>
          <w:tab/>
        </w:r>
        <w:r>
          <w:fldChar w:fldCharType="begin"/>
        </w:r>
        <w:r>
          <w:instrText xml:space="preserve"> PAGEREF _Toc19003 \h </w:instrText>
        </w:r>
        <w:r>
          <w:fldChar w:fldCharType="separate"/>
        </w:r>
        <w:r>
          <w:t>532</w:t>
        </w:r>
        <w:r>
          <w:fldChar w:fldCharType="end"/>
        </w:r>
      </w:hyperlink>
    </w:p>
    <w:p w14:paraId="7F764AFE" w14:textId="77777777" w:rsidR="001C08A5" w:rsidRDefault="00000000">
      <w:pPr>
        <w:pStyle w:val="TableofFigures"/>
        <w:tabs>
          <w:tab w:val="right" w:leader="dot" w:pos="9639"/>
        </w:tabs>
        <w:ind w:left="800" w:hanging="400"/>
      </w:pPr>
      <w:hyperlink w:anchor="_Toc30524" w:history="1">
        <w:r>
          <w:t>Figura 253  - Asigurarea a cel puţin două căi de evacuare</w:t>
        </w:r>
        <w:r>
          <w:tab/>
        </w:r>
        <w:r>
          <w:fldChar w:fldCharType="begin"/>
        </w:r>
        <w:r>
          <w:instrText xml:space="preserve"> PAGEREF _Toc30524 \h </w:instrText>
        </w:r>
        <w:r>
          <w:fldChar w:fldCharType="separate"/>
        </w:r>
        <w:r>
          <w:t>533</w:t>
        </w:r>
        <w:r>
          <w:fldChar w:fldCharType="end"/>
        </w:r>
      </w:hyperlink>
    </w:p>
    <w:p w14:paraId="7827EA15" w14:textId="77777777" w:rsidR="001C08A5" w:rsidRDefault="00000000">
      <w:pPr>
        <w:pStyle w:val="TableofFigures"/>
        <w:tabs>
          <w:tab w:val="right" w:leader="dot" w:pos="9639"/>
        </w:tabs>
        <w:ind w:left="800" w:hanging="400"/>
      </w:pPr>
      <w:hyperlink w:anchor="_Toc20001" w:history="1">
        <w:r>
          <w:t>Figura 254  - Soluție neadmisă la clădiri înalte și foarte înalte - doar cu o scară de evacuare</w:t>
        </w:r>
        <w:r>
          <w:tab/>
        </w:r>
        <w:r>
          <w:fldChar w:fldCharType="begin"/>
        </w:r>
        <w:r>
          <w:instrText xml:space="preserve"> PAGEREF _Toc20001 \h </w:instrText>
        </w:r>
        <w:r>
          <w:fldChar w:fldCharType="separate"/>
        </w:r>
        <w:r>
          <w:t>533</w:t>
        </w:r>
        <w:r>
          <w:fldChar w:fldCharType="end"/>
        </w:r>
      </w:hyperlink>
    </w:p>
    <w:p w14:paraId="2E4C128E" w14:textId="77777777" w:rsidR="001C08A5" w:rsidRDefault="00000000">
      <w:pPr>
        <w:pStyle w:val="TableofFigures"/>
        <w:tabs>
          <w:tab w:val="right" w:leader="dot" w:pos="9639"/>
        </w:tabs>
        <w:ind w:left="800" w:hanging="400"/>
      </w:pPr>
      <w:hyperlink w:anchor="_Toc14895" w:history="1">
        <w:r>
          <w:t>Figura 255  - Distanțare de evacuare  în interiorul sălilor aglomerate - variante</w:t>
        </w:r>
        <w:r>
          <w:tab/>
        </w:r>
        <w:r>
          <w:fldChar w:fldCharType="begin"/>
        </w:r>
        <w:r>
          <w:instrText xml:space="preserve"> PAGEREF _Toc14895 \h </w:instrText>
        </w:r>
        <w:r>
          <w:fldChar w:fldCharType="separate"/>
        </w:r>
        <w:r>
          <w:t>534</w:t>
        </w:r>
        <w:r>
          <w:fldChar w:fldCharType="end"/>
        </w:r>
      </w:hyperlink>
    </w:p>
    <w:p w14:paraId="37708CDB" w14:textId="77777777" w:rsidR="001C08A5" w:rsidRDefault="00000000">
      <w:pPr>
        <w:pStyle w:val="TableofFigures"/>
        <w:tabs>
          <w:tab w:val="right" w:leader="dot" w:pos="9639"/>
        </w:tabs>
        <w:ind w:left="800" w:hanging="400"/>
      </w:pPr>
      <w:hyperlink w:anchor="_Toc16773" w:history="1">
        <w:r>
          <w:t>Figura 256  - Distanțe de evacuare la săli aglomerate - interior și exterior</w:t>
        </w:r>
        <w:r>
          <w:tab/>
        </w:r>
        <w:r>
          <w:fldChar w:fldCharType="begin"/>
        </w:r>
        <w:r>
          <w:instrText xml:space="preserve"> PAGEREF _Toc16773 \h </w:instrText>
        </w:r>
        <w:r>
          <w:fldChar w:fldCharType="separate"/>
        </w:r>
        <w:r>
          <w:t>535</w:t>
        </w:r>
        <w:r>
          <w:fldChar w:fldCharType="end"/>
        </w:r>
      </w:hyperlink>
    </w:p>
    <w:p w14:paraId="73D87B08" w14:textId="77777777" w:rsidR="001C08A5" w:rsidRDefault="00000000">
      <w:pPr>
        <w:pStyle w:val="TableofFigures"/>
        <w:tabs>
          <w:tab w:val="right" w:leader="dot" w:pos="9639"/>
        </w:tabs>
        <w:ind w:left="800" w:hanging="400"/>
      </w:pPr>
      <w:hyperlink w:anchor="_Toc2102" w:history="1">
        <w:r>
          <w:t>Figura 257  - Determinare construcţii cu funcţiuni mixte (la construcții existente)</w:t>
        </w:r>
        <w:r>
          <w:tab/>
        </w:r>
        <w:r>
          <w:fldChar w:fldCharType="begin"/>
        </w:r>
        <w:r>
          <w:instrText xml:space="preserve"> PAGEREF _Toc2102 \h </w:instrText>
        </w:r>
        <w:r>
          <w:fldChar w:fldCharType="separate"/>
        </w:r>
        <w:r>
          <w:t>537</w:t>
        </w:r>
        <w:r>
          <w:fldChar w:fldCharType="end"/>
        </w:r>
      </w:hyperlink>
    </w:p>
    <w:p w14:paraId="52F4DB11" w14:textId="77777777" w:rsidR="001C08A5" w:rsidRDefault="00000000">
      <w:pPr>
        <w:pStyle w:val="TableofFigures"/>
        <w:tabs>
          <w:tab w:val="right" w:leader="dot" w:pos="9639"/>
        </w:tabs>
        <w:ind w:left="800" w:hanging="400"/>
      </w:pPr>
      <w:hyperlink w:anchor="_Toc10007" w:history="1">
        <w:r>
          <w:t>Figura 258  - Clădiri cu funcţiuni mixte civile (publice) - dispunerea unor spaţii sau încăperi cu pericol de explozie</w:t>
        </w:r>
        <w:r>
          <w:tab/>
        </w:r>
        <w:r>
          <w:fldChar w:fldCharType="begin"/>
        </w:r>
        <w:r>
          <w:instrText xml:space="preserve"> PAGEREF _Toc10007 \h </w:instrText>
        </w:r>
        <w:r>
          <w:fldChar w:fldCharType="separate"/>
        </w:r>
        <w:r>
          <w:t>538</w:t>
        </w:r>
        <w:r>
          <w:fldChar w:fldCharType="end"/>
        </w:r>
      </w:hyperlink>
    </w:p>
    <w:p w14:paraId="1684EA14" w14:textId="77777777" w:rsidR="001C08A5" w:rsidRDefault="00000000">
      <w:pPr>
        <w:pStyle w:val="TableofFigures"/>
        <w:tabs>
          <w:tab w:val="right" w:leader="dot" w:pos="9639"/>
        </w:tabs>
        <w:ind w:left="800" w:hanging="400"/>
      </w:pPr>
      <w:hyperlink w:anchor="_Toc23762" w:history="1">
        <w:r>
          <w:t>Figura 259  - Amplasare la distanțe de siguranță</w:t>
        </w:r>
        <w:r>
          <w:tab/>
        </w:r>
        <w:r>
          <w:fldChar w:fldCharType="begin"/>
        </w:r>
        <w:r>
          <w:instrText xml:space="preserve"> PAGEREF _Toc23762 \h </w:instrText>
        </w:r>
        <w:r>
          <w:fldChar w:fldCharType="separate"/>
        </w:r>
        <w:r>
          <w:t>538</w:t>
        </w:r>
        <w:r>
          <w:fldChar w:fldCharType="end"/>
        </w:r>
      </w:hyperlink>
    </w:p>
    <w:p w14:paraId="0414BF03" w14:textId="77777777" w:rsidR="001C08A5" w:rsidRDefault="00000000">
      <w:pPr>
        <w:pStyle w:val="TableofFigures"/>
        <w:tabs>
          <w:tab w:val="right" w:leader="dot" w:pos="9639"/>
        </w:tabs>
        <w:ind w:left="800" w:hanging="400"/>
      </w:pPr>
      <w:hyperlink w:anchor="_Toc11335" w:history="1">
        <w:r>
          <w:t>Figura 260  - Amplasare compartimentată</w:t>
        </w:r>
        <w:r>
          <w:tab/>
        </w:r>
        <w:r>
          <w:fldChar w:fldCharType="begin"/>
        </w:r>
        <w:r>
          <w:instrText xml:space="preserve"> PAGEREF _Toc11335 \h </w:instrText>
        </w:r>
        <w:r>
          <w:fldChar w:fldCharType="separate"/>
        </w:r>
        <w:r>
          <w:t>539</w:t>
        </w:r>
        <w:r>
          <w:fldChar w:fldCharType="end"/>
        </w:r>
      </w:hyperlink>
    </w:p>
    <w:p w14:paraId="2AF07CFB" w14:textId="77777777" w:rsidR="001C08A5" w:rsidRDefault="00000000">
      <w:pPr>
        <w:pStyle w:val="TableofFigures"/>
        <w:tabs>
          <w:tab w:val="right" w:leader="dot" w:pos="9639"/>
        </w:tabs>
        <w:ind w:left="800" w:hanging="400"/>
      </w:pPr>
      <w:hyperlink w:anchor="_Toc11019" w:history="1">
        <w:r>
          <w:t>Figura 261  - Construcţie etajată de producţie şi/sau depozitare, cu evacuare în două direcţii - principii evacuare etaj</w:t>
        </w:r>
        <w:r>
          <w:tab/>
        </w:r>
        <w:r>
          <w:fldChar w:fldCharType="begin"/>
        </w:r>
        <w:r>
          <w:instrText xml:space="preserve"> PAGEREF _Toc11019 \h </w:instrText>
        </w:r>
        <w:r>
          <w:fldChar w:fldCharType="separate"/>
        </w:r>
        <w:r>
          <w:t>539</w:t>
        </w:r>
        <w:r>
          <w:fldChar w:fldCharType="end"/>
        </w:r>
      </w:hyperlink>
    </w:p>
    <w:p w14:paraId="66F76713" w14:textId="77777777" w:rsidR="001C08A5" w:rsidRDefault="00000000">
      <w:pPr>
        <w:pStyle w:val="TableofFigures"/>
        <w:tabs>
          <w:tab w:val="right" w:leader="dot" w:pos="9639"/>
        </w:tabs>
        <w:ind w:left="800" w:hanging="400"/>
      </w:pPr>
      <w:hyperlink w:anchor="_Toc8734" w:history="1">
        <w:r>
          <w:t>Figura 262  - Construcţie etajată, cu evacuare în două direcţii - principii evacuare parter</w:t>
        </w:r>
        <w:r>
          <w:tab/>
        </w:r>
        <w:r>
          <w:fldChar w:fldCharType="begin"/>
        </w:r>
        <w:r>
          <w:instrText xml:space="preserve"> PAGEREF _Toc8734 \h </w:instrText>
        </w:r>
        <w:r>
          <w:fldChar w:fldCharType="separate"/>
        </w:r>
        <w:r>
          <w:t>540</w:t>
        </w:r>
        <w:r>
          <w:fldChar w:fldCharType="end"/>
        </w:r>
      </w:hyperlink>
    </w:p>
    <w:p w14:paraId="3C3A1F17" w14:textId="77777777" w:rsidR="001C08A5" w:rsidRDefault="00000000">
      <w:pPr>
        <w:pStyle w:val="TableofFigures"/>
        <w:tabs>
          <w:tab w:val="right" w:leader="dot" w:pos="9639"/>
        </w:tabs>
        <w:ind w:left="800" w:hanging="400"/>
      </w:pPr>
      <w:hyperlink w:anchor="_Toc31940" w:history="1">
        <w:r>
          <w:t>Figura 263  - Evacuare birouri/ anexe prin spațiul în care sunt dispuse</w:t>
        </w:r>
        <w:r>
          <w:tab/>
        </w:r>
        <w:r>
          <w:fldChar w:fldCharType="begin"/>
        </w:r>
        <w:r>
          <w:instrText xml:space="preserve"> PAGEREF _Toc31940 \h </w:instrText>
        </w:r>
        <w:r>
          <w:fldChar w:fldCharType="separate"/>
        </w:r>
        <w:r>
          <w:t>540</w:t>
        </w:r>
        <w:r>
          <w:fldChar w:fldCharType="end"/>
        </w:r>
      </w:hyperlink>
    </w:p>
    <w:p w14:paraId="1CC7915F" w14:textId="77777777" w:rsidR="001C08A5" w:rsidRDefault="00000000">
      <w:pPr>
        <w:pStyle w:val="TableofFigures"/>
        <w:tabs>
          <w:tab w:val="right" w:leader="dot" w:pos="9639"/>
        </w:tabs>
        <w:ind w:left="800" w:hanging="400"/>
      </w:pPr>
      <w:hyperlink w:anchor="_Toc21092" w:history="1">
        <w:r>
          <w:t>Figura 264  - Scări de evacuare închise din construcţii de producţie şi/sau depozitare</w:t>
        </w:r>
        <w:r>
          <w:tab/>
        </w:r>
        <w:r>
          <w:fldChar w:fldCharType="begin"/>
        </w:r>
        <w:r>
          <w:instrText xml:space="preserve"> PAGEREF _Toc21092 \h </w:instrText>
        </w:r>
        <w:r>
          <w:fldChar w:fldCharType="separate"/>
        </w:r>
        <w:r>
          <w:t>542</w:t>
        </w:r>
        <w:r>
          <w:fldChar w:fldCharType="end"/>
        </w:r>
      </w:hyperlink>
    </w:p>
    <w:p w14:paraId="2F209F16" w14:textId="77777777" w:rsidR="001C08A5" w:rsidRDefault="00000000">
      <w:pPr>
        <w:pStyle w:val="TableofFigures"/>
        <w:tabs>
          <w:tab w:val="right" w:leader="dot" w:pos="9639"/>
        </w:tabs>
        <w:ind w:left="800" w:hanging="400"/>
      </w:pPr>
      <w:hyperlink w:anchor="_Toc438" w:history="1">
        <w:r>
          <w:t>Figura 265  - Goluri de acces la scări de evacuare închise din construcţiile de producţie şi/sau depozitare</w:t>
        </w:r>
        <w:r>
          <w:tab/>
        </w:r>
        <w:r>
          <w:fldChar w:fldCharType="begin"/>
        </w:r>
        <w:r>
          <w:instrText xml:space="preserve"> PAGEREF _Toc438 \h </w:instrText>
        </w:r>
        <w:r>
          <w:fldChar w:fldCharType="separate"/>
        </w:r>
        <w:r>
          <w:t>543</w:t>
        </w:r>
        <w:r>
          <w:fldChar w:fldCharType="end"/>
        </w:r>
      </w:hyperlink>
    </w:p>
    <w:p w14:paraId="1183E3F7" w14:textId="77777777" w:rsidR="001C08A5" w:rsidRDefault="00000000">
      <w:pPr>
        <w:pStyle w:val="TableofFigures"/>
        <w:tabs>
          <w:tab w:val="right" w:leader="dot" w:pos="9639"/>
        </w:tabs>
        <w:ind w:left="800" w:hanging="400"/>
      </w:pPr>
      <w:hyperlink w:anchor="_Toc17040" w:history="1">
        <w:r>
          <w:t xml:space="preserve">Figura 266  - </w:t>
        </w:r>
        <w:r>
          <w:rPr>
            <w:rFonts w:eastAsia="Calibri"/>
            <w:bCs/>
          </w:rPr>
          <w:t>Separare circulaţii comune orizontale din construcţii de producţie şi/sau depozitare (general)</w:t>
        </w:r>
        <w:r>
          <w:tab/>
        </w:r>
        <w:r>
          <w:fldChar w:fldCharType="begin"/>
        </w:r>
        <w:r>
          <w:instrText xml:space="preserve"> PAGEREF _Toc17040 \h </w:instrText>
        </w:r>
        <w:r>
          <w:fldChar w:fldCharType="separate"/>
        </w:r>
        <w:r>
          <w:t>544</w:t>
        </w:r>
        <w:r>
          <w:fldChar w:fldCharType="end"/>
        </w:r>
      </w:hyperlink>
    </w:p>
    <w:p w14:paraId="0BCD2D76" w14:textId="77777777" w:rsidR="001C08A5" w:rsidRDefault="00000000">
      <w:pPr>
        <w:pStyle w:val="TableofFigures"/>
        <w:tabs>
          <w:tab w:val="right" w:leader="dot" w:pos="9639"/>
        </w:tabs>
        <w:ind w:left="800" w:hanging="400"/>
      </w:pPr>
      <w:hyperlink w:anchor="_Toc16771" w:history="1">
        <w:r>
          <w:t xml:space="preserve">Figura 267  - Circulaţii comune orizontale din construcţii de producţie şi/sau depozitare </w:t>
        </w:r>
        <w:r>
          <w:tab/>
        </w:r>
        <w:r>
          <w:fldChar w:fldCharType="begin"/>
        </w:r>
        <w:r>
          <w:instrText xml:space="preserve"> PAGEREF _Toc16771 \h </w:instrText>
        </w:r>
        <w:r>
          <w:fldChar w:fldCharType="separate"/>
        </w:r>
        <w:r>
          <w:t>545</w:t>
        </w:r>
        <w:r>
          <w:fldChar w:fldCharType="end"/>
        </w:r>
      </w:hyperlink>
    </w:p>
    <w:p w14:paraId="5955BA38" w14:textId="77777777" w:rsidR="001C08A5" w:rsidRDefault="00000000">
      <w:pPr>
        <w:pStyle w:val="TableofFigures"/>
        <w:tabs>
          <w:tab w:val="right" w:leader="dot" w:pos="9639"/>
        </w:tabs>
        <w:ind w:left="800" w:hanging="400"/>
      </w:pPr>
      <w:hyperlink w:anchor="_Toc26156" w:history="1">
        <w:r>
          <w:t xml:space="preserve">Figura 268  - Goluri de acces la circulaţii comune orizontale din construcţii de producţie şi/sau depozitare </w:t>
        </w:r>
        <w:r>
          <w:tab/>
        </w:r>
        <w:r>
          <w:fldChar w:fldCharType="begin"/>
        </w:r>
        <w:r>
          <w:instrText xml:space="preserve"> PAGEREF _Toc26156 \h </w:instrText>
        </w:r>
        <w:r>
          <w:fldChar w:fldCharType="separate"/>
        </w:r>
        <w:r>
          <w:t>547</w:t>
        </w:r>
        <w:r>
          <w:fldChar w:fldCharType="end"/>
        </w:r>
      </w:hyperlink>
    </w:p>
    <w:p w14:paraId="48D5D295" w14:textId="77777777" w:rsidR="001C08A5" w:rsidRDefault="00000000">
      <w:pPr>
        <w:pStyle w:val="TableofFigures"/>
        <w:tabs>
          <w:tab w:val="right" w:leader="dot" w:pos="9639"/>
        </w:tabs>
        <w:ind w:left="800" w:hanging="400"/>
      </w:pPr>
      <w:hyperlink w:anchor="_Toc8653" w:history="1">
        <w:r>
          <w:t xml:space="preserve">Figura 269  - Goluri de acces la ascensoare de persoane, de marfă sau la alte mijloace mecanice de transport pe verticală din construcţii de producţie şi/sau depozitare </w:t>
        </w:r>
        <w:r>
          <w:tab/>
        </w:r>
        <w:r>
          <w:fldChar w:fldCharType="begin"/>
        </w:r>
        <w:r>
          <w:instrText xml:space="preserve"> PAGEREF _Toc8653 \h </w:instrText>
        </w:r>
        <w:r>
          <w:fldChar w:fldCharType="separate"/>
        </w:r>
        <w:r>
          <w:t>548</w:t>
        </w:r>
        <w:r>
          <w:fldChar w:fldCharType="end"/>
        </w:r>
      </w:hyperlink>
    </w:p>
    <w:p w14:paraId="4DFC689B" w14:textId="77777777" w:rsidR="001C08A5" w:rsidRDefault="00000000">
      <w:pPr>
        <w:pStyle w:val="TableofFigures"/>
        <w:tabs>
          <w:tab w:val="right" w:leader="dot" w:pos="9639"/>
        </w:tabs>
        <w:ind w:left="800" w:hanging="400"/>
      </w:pPr>
      <w:hyperlink w:anchor="_Toc908" w:history="1">
        <w:r>
          <w:t xml:space="preserve">Figura 270  - </w:t>
        </w:r>
        <w:r>
          <w:rPr>
            <w:bCs/>
          </w:rPr>
          <w:t>Admisie de aer și evacuare a fumului prin sistem natural organizat la încăperi, spații și construcții de depozitare</w:t>
        </w:r>
        <w:r>
          <w:tab/>
        </w:r>
        <w:r>
          <w:fldChar w:fldCharType="begin"/>
        </w:r>
        <w:r>
          <w:instrText xml:space="preserve"> PAGEREF _Toc908 \h </w:instrText>
        </w:r>
        <w:r>
          <w:fldChar w:fldCharType="separate"/>
        </w:r>
        <w:r>
          <w:t>549</w:t>
        </w:r>
        <w:r>
          <w:fldChar w:fldCharType="end"/>
        </w:r>
      </w:hyperlink>
    </w:p>
    <w:p w14:paraId="6745F146" w14:textId="77777777" w:rsidR="001C08A5" w:rsidRDefault="00000000">
      <w:pPr>
        <w:pStyle w:val="TableofFigures"/>
        <w:tabs>
          <w:tab w:val="right" w:leader="dot" w:pos="9639"/>
        </w:tabs>
        <w:ind w:left="800" w:hanging="400"/>
      </w:pPr>
      <w:hyperlink w:anchor="_Toc606" w:history="1">
        <w:r>
          <w:t xml:space="preserve">Figura 271  - </w:t>
        </w:r>
        <w:r>
          <w:rPr>
            <w:rFonts w:eastAsia="TimesNewRomanPSMT"/>
          </w:rPr>
          <w:t>Depozitare baterii li-ion în spații și construcții de depozitare</w:t>
        </w:r>
        <w:r>
          <w:tab/>
        </w:r>
        <w:r>
          <w:fldChar w:fldCharType="begin"/>
        </w:r>
        <w:r>
          <w:instrText xml:space="preserve"> PAGEREF _Toc606 \h </w:instrText>
        </w:r>
        <w:r>
          <w:fldChar w:fldCharType="separate"/>
        </w:r>
        <w:r>
          <w:t>550</w:t>
        </w:r>
        <w:r>
          <w:fldChar w:fldCharType="end"/>
        </w:r>
      </w:hyperlink>
    </w:p>
    <w:p w14:paraId="01460B03" w14:textId="77777777" w:rsidR="001C08A5" w:rsidRDefault="00000000">
      <w:pPr>
        <w:pStyle w:val="TableofFigures"/>
        <w:tabs>
          <w:tab w:val="right" w:leader="dot" w:pos="9639"/>
        </w:tabs>
        <w:ind w:left="800" w:hanging="400"/>
      </w:pPr>
      <w:hyperlink w:anchor="_Toc28716" w:history="1">
        <w:r>
          <w:t xml:space="preserve">Figura 272  - </w:t>
        </w:r>
        <w:r>
          <w:rPr>
            <w:bCs/>
          </w:rPr>
          <w:t>Exemple de spații tip oen-space</w:t>
        </w:r>
        <w:r>
          <w:tab/>
        </w:r>
        <w:r>
          <w:fldChar w:fldCharType="begin"/>
        </w:r>
        <w:r>
          <w:instrText xml:space="preserve"> PAGEREF _Toc28716 \h </w:instrText>
        </w:r>
        <w:r>
          <w:fldChar w:fldCharType="separate"/>
        </w:r>
        <w:r>
          <w:t>550</w:t>
        </w:r>
        <w:r>
          <w:fldChar w:fldCharType="end"/>
        </w:r>
      </w:hyperlink>
    </w:p>
    <w:p w14:paraId="772119E0" w14:textId="77777777" w:rsidR="001C08A5" w:rsidRDefault="00000000">
      <w:pPr>
        <w:jc w:val="both"/>
        <w:rPr>
          <w:i/>
          <w:iCs/>
        </w:rPr>
      </w:pPr>
      <w:r>
        <w:rPr>
          <w:i/>
          <w:iCs/>
        </w:rPr>
        <w:fldChar w:fldCharType="end"/>
      </w:r>
      <w:r>
        <w:t xml:space="preserve">        Figura 273 - Lucrări de intervenţii efectuate asupra construcţiilor existente ..........................................................567</w:t>
      </w:r>
    </w:p>
    <w:p w14:paraId="4BEA9186" w14:textId="77777777" w:rsidR="001C08A5" w:rsidRDefault="00000000">
      <w:pPr>
        <w:ind w:firstLineChars="200" w:firstLine="400"/>
        <w:jc w:val="both"/>
      </w:pPr>
      <w:r>
        <w:t>Figura 274 - Amplasarea construcțiilor existente la distanțe mai mici decât cele normate</w:t>
      </w:r>
      <w:r>
        <w:tab/>
        <w:t>............................589</w:t>
      </w:r>
    </w:p>
    <w:p w14:paraId="00DD9D52" w14:textId="77777777" w:rsidR="001C08A5" w:rsidRDefault="00000000">
      <w:pPr>
        <w:ind w:firstLineChars="200" w:firstLine="400"/>
        <w:jc w:val="both"/>
      </w:pPr>
      <w:r>
        <w:t>Figura 275 - Scheme pereți antifoc la construcții existente......................................................................................593</w:t>
      </w:r>
    </w:p>
    <w:p w14:paraId="50E90BE2" w14:textId="77777777" w:rsidR="001C08A5" w:rsidRDefault="00000000">
      <w:pPr>
        <w:ind w:firstLineChars="200" w:firstLine="400"/>
        <w:jc w:val="both"/>
      </w:pPr>
      <w:r>
        <w:t>Figura 276 - Pereți antifoc amplasați la colțurile intrânde ale clădirilor existente în formă de L sau U la construcții existente</w:t>
      </w:r>
      <w:r>
        <w:tab/>
        <w:t xml:space="preserve"> ...........................................................................................................................................................................594</w:t>
      </w:r>
    </w:p>
    <w:p w14:paraId="1779C6AE" w14:textId="77777777" w:rsidR="001C08A5" w:rsidRDefault="00000000">
      <w:pPr>
        <w:ind w:firstLineChars="200" w:firstLine="400"/>
        <w:jc w:val="both"/>
      </w:pPr>
      <w:r>
        <w:t>Figura 277 - Asigurarea evacuării fumului în construcții existente.........................................................................692</w:t>
      </w:r>
    </w:p>
    <w:p w14:paraId="35C7BD87" w14:textId="77777777" w:rsidR="001C08A5" w:rsidRDefault="00000000">
      <w:pPr>
        <w:ind w:firstLineChars="200" w:firstLine="400"/>
        <w:jc w:val="both"/>
      </w:pPr>
      <w:r>
        <w:t>Figura 278  - Zona liberă pentru evacuare (jaluzele)...............................................................................................694</w:t>
      </w:r>
    </w:p>
    <w:p w14:paraId="4ABEC659" w14:textId="77777777" w:rsidR="001C08A5" w:rsidRDefault="00000000">
      <w:pPr>
        <w:ind w:firstLineChars="200" w:firstLine="400"/>
        <w:jc w:val="both"/>
      </w:pPr>
      <w:r>
        <w:t>Figura 279 - Aria liberă a gurilor de evacuare măsurată în sensul direcției fluxului de aer....................................695</w:t>
      </w:r>
    </w:p>
    <w:p w14:paraId="13CC2A2A" w14:textId="77777777" w:rsidR="001C08A5" w:rsidRDefault="00000000">
      <w:pPr>
        <w:ind w:firstLineChars="200" w:firstLine="400"/>
        <w:jc w:val="both"/>
      </w:pPr>
      <w:r>
        <w:t>Figura 280 - Sistem de admisie și evacuare a fumului natural-organizat din casa scării și SPD la încăperea tampon..............................................................................................................................................................................695</w:t>
      </w:r>
    </w:p>
    <w:p w14:paraId="1A7A3AF7" w14:textId="77777777" w:rsidR="001C08A5" w:rsidRDefault="00000000">
      <w:pPr>
        <w:ind w:firstLineChars="200" w:firstLine="400"/>
        <w:jc w:val="both"/>
      </w:pPr>
      <w:r>
        <w:t>Figura 281 - SPD la casa scării și încăperea tampon................................................................................................696</w:t>
      </w:r>
    </w:p>
    <w:p w14:paraId="5E34E7ED" w14:textId="77777777" w:rsidR="001C08A5" w:rsidRDefault="00000000">
      <w:pPr>
        <w:ind w:firstLineChars="200" w:firstLine="400"/>
        <w:jc w:val="both"/>
      </w:pPr>
      <w:r>
        <w:t>Figura 282 - SPD - Gradient de presiune..................................................................................................................696</w:t>
      </w:r>
    </w:p>
    <w:p w14:paraId="2EB252E7" w14:textId="77777777" w:rsidR="001C08A5" w:rsidRDefault="00000000">
      <w:pPr>
        <w:ind w:firstLineChars="200" w:firstLine="400"/>
        <w:jc w:val="both"/>
      </w:pPr>
      <w:r>
        <w:t>Figura 283 - Forța maximă necesară pentru deschiderea ușii...................................................................................696</w:t>
      </w:r>
    </w:p>
    <w:p w14:paraId="0A233FAA" w14:textId="77777777" w:rsidR="001C08A5" w:rsidRDefault="00000000">
      <w:pPr>
        <w:ind w:firstLineChars="200" w:firstLine="400"/>
        <w:jc w:val="both"/>
      </w:pPr>
      <w:r>
        <w:t>Figura 284 - Evacuarea fumului la parcaje subterane..............................................................................................698</w:t>
      </w:r>
    </w:p>
    <w:p w14:paraId="054E04C6" w14:textId="77777777" w:rsidR="001C08A5" w:rsidRDefault="00000000">
      <w:pPr>
        <w:ind w:firstLineChars="200" w:firstLine="400"/>
        <w:jc w:val="both"/>
      </w:pPr>
      <w:r>
        <w:t>Figura 285 - Evacuarea fumului din niveluri supraterane (din încăperi cu aceeași funcțiune)................................699</w:t>
      </w:r>
    </w:p>
    <w:p w14:paraId="1D19D342" w14:textId="77777777" w:rsidR="001C08A5" w:rsidRDefault="00000000">
      <w:pPr>
        <w:ind w:firstLineChars="200" w:firstLine="400"/>
        <w:jc w:val="both"/>
      </w:pPr>
      <w:r>
        <w:t>Figura 286 - Evacuarea fumului din niveluri supraterane prin circulații comune....................................................700</w:t>
      </w:r>
    </w:p>
    <w:p w14:paraId="02CA4EB7" w14:textId="77777777" w:rsidR="001C08A5" w:rsidRDefault="00000000">
      <w:pPr>
        <w:ind w:firstLineChars="200" w:firstLine="400"/>
        <w:jc w:val="both"/>
      </w:pPr>
      <w:r>
        <w:t>Figura 287 - Evacuarea fumului pe zone (încăperi) din niveluri supraterane (din încăperi cu funcțiuni diferite)...702</w:t>
      </w:r>
    </w:p>
    <w:p w14:paraId="263A7DC0" w14:textId="77777777" w:rsidR="001C08A5" w:rsidRDefault="00000000">
      <w:pPr>
        <w:ind w:firstLineChars="200" w:firstLine="400"/>
        <w:jc w:val="both"/>
      </w:pPr>
      <w:r>
        <w:t>Figura 288 - Evacuarea fumului pe acoperiș............................................................................................................703</w:t>
      </w:r>
    </w:p>
    <w:p w14:paraId="2CF6FC3B" w14:textId="77777777" w:rsidR="001C08A5" w:rsidRDefault="001C08A5">
      <w:pPr>
        <w:rPr>
          <w:i/>
          <w:iCs/>
        </w:rPr>
      </w:pPr>
    </w:p>
    <w:p w14:paraId="1A3726DF" w14:textId="77777777" w:rsidR="001C08A5" w:rsidRDefault="001C08A5">
      <w:pPr>
        <w:rPr>
          <w:i/>
          <w:iCs/>
        </w:rPr>
      </w:pPr>
    </w:p>
    <w:p w14:paraId="50DAFEC5" w14:textId="77777777" w:rsidR="001C08A5" w:rsidRDefault="00000000">
      <w:pPr>
        <w:pStyle w:val="ListParagraph"/>
        <w:ind w:left="0"/>
        <w:jc w:val="both"/>
        <w:rPr>
          <w:b/>
          <w:bCs/>
          <w:i/>
          <w:iCs/>
          <w:u w:val="single"/>
        </w:rPr>
      </w:pPr>
      <w:r>
        <w:rPr>
          <w:b/>
          <w:bCs/>
          <w:i/>
          <w:iCs/>
          <w:u w:val="single"/>
        </w:rPr>
        <w:t>Figurile (desenele / imaginile) trebuie considerate cazuri orientative, neexhaustive, furnizate doar ca exemplu.</w:t>
      </w:r>
    </w:p>
    <w:p w14:paraId="7C6CA986" w14:textId="77777777" w:rsidR="001C08A5" w:rsidRDefault="001C08A5">
      <w:pPr>
        <w:jc w:val="both"/>
        <w:rPr>
          <w:b/>
          <w:bCs/>
          <w:i/>
          <w:iCs/>
          <w:sz w:val="24"/>
          <w:szCs w:val="24"/>
        </w:rPr>
      </w:pPr>
    </w:p>
    <w:p w14:paraId="6FB07156" w14:textId="77777777" w:rsidR="001C08A5" w:rsidRDefault="001C08A5">
      <w:pPr>
        <w:jc w:val="both"/>
        <w:rPr>
          <w:b/>
          <w:bCs/>
          <w:i/>
          <w:iCs/>
          <w:sz w:val="24"/>
          <w:szCs w:val="24"/>
        </w:rPr>
      </w:pPr>
    </w:p>
    <w:p w14:paraId="5EF8F397" w14:textId="77777777" w:rsidR="001C08A5" w:rsidRDefault="001C08A5">
      <w:pPr>
        <w:jc w:val="both"/>
        <w:rPr>
          <w:b/>
          <w:bCs/>
          <w:i/>
          <w:iCs/>
          <w:sz w:val="24"/>
          <w:szCs w:val="24"/>
        </w:rPr>
      </w:pPr>
    </w:p>
    <w:p w14:paraId="0FA5D1BB" w14:textId="77777777" w:rsidR="001C08A5" w:rsidRDefault="001C08A5">
      <w:pPr>
        <w:jc w:val="both"/>
        <w:rPr>
          <w:b/>
          <w:bCs/>
          <w:i/>
          <w:iCs/>
          <w:sz w:val="24"/>
          <w:szCs w:val="24"/>
        </w:rPr>
      </w:pPr>
    </w:p>
    <w:sectPr w:rsidR="001C08A5">
      <w:footerReference w:type="default" r:id="rId707"/>
      <w:pgSz w:w="11906" w:h="16838"/>
      <w:pgMar w:top="850" w:right="850" w:bottom="850" w:left="141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16F12E" w14:textId="77777777" w:rsidR="003776C0" w:rsidRDefault="003776C0">
      <w:r>
        <w:separator/>
      </w:r>
    </w:p>
  </w:endnote>
  <w:endnote w:type="continuationSeparator" w:id="0">
    <w:p w14:paraId="6110CD4F" w14:textId="77777777" w:rsidR="003776C0" w:rsidRDefault="003776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LT">
    <w:altName w:val="Times New Roman"/>
    <w:charset w:val="BA"/>
    <w:family w:val="roman"/>
    <w:pitch w:val="default"/>
    <w:sig w:usb0="00000000" w:usb1="00000000" w:usb2="00000000" w:usb3="00000000" w:csb0="0000009F" w:csb1="00000000"/>
  </w:font>
  <w:font w:name="Times New Roman Bold">
    <w:altName w:val="Times New Roman"/>
    <w:panose1 w:val="02020803070505020304"/>
    <w:charset w:val="00"/>
    <w:family w:val="roman"/>
    <w:pitch w:val="default"/>
    <w:sig w:usb0="00000000" w:usb1="00000000" w:usb2="00000000" w:usb3="00000000" w:csb0="00040001" w:csb1="00000000"/>
  </w:font>
  <w:font w:name="ヒラギノ角ゴ Pro W3">
    <w:altName w:val="Microsoft YaHei"/>
    <w:charset w:val="00"/>
    <w:family w:val="roman"/>
    <w:pitch w:val="default"/>
    <w:sig w:usb0="00000000" w:usb1="00000000" w:usb2="00000000"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default"/>
    <w:sig w:usb0="00000000" w:usb1="00000000"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ItalicMT">
    <w:altName w:val="Yu Gothic"/>
    <w:charset w:val="80"/>
    <w:family w:val="auto"/>
    <w:pitch w:val="default"/>
    <w:sig w:usb0="00000000" w:usb1="00000000" w:usb2="00000010" w:usb3="00000000" w:csb0="00020000" w:csb1="00000000"/>
  </w:font>
  <w:font w:name="Times-Roman">
    <w:altName w:val="Times New Roman"/>
    <w:charset w:val="00"/>
    <w:family w:val="auto"/>
    <w:pitch w:val="default"/>
    <w:sig w:usb0="00000000" w:usb1="00000000" w:usb2="00000000" w:usb3="00000000" w:csb0="00040001" w:csb1="00000000"/>
  </w:font>
  <w:font w:name="Cambria Math">
    <w:panose1 w:val="02040503050406030204"/>
    <w:charset w:val="00"/>
    <w:family w:val="roman"/>
    <w:pitch w:val="variable"/>
    <w:sig w:usb0="E00006FF" w:usb1="420024FF" w:usb2="02000000" w:usb3="00000000" w:csb0="0000019F" w:csb1="00000000"/>
  </w:font>
  <w:font w:name="Helvetica-Bold">
    <w:altName w:val="Segoe Print"/>
    <w:charset w:val="00"/>
    <w:family w:val="auto"/>
    <w:pitch w:val="default"/>
    <w:sig w:usb0="00000000" w:usb1="00000000" w:usb2="00000000" w:usb3="00000000" w:csb0="00000001" w:csb1="00000000"/>
  </w:font>
  <w:font w:name="Helvetica-Oblique">
    <w:altName w:val="Segoe Print"/>
    <w:charset w:val="00"/>
    <w:family w:val="auto"/>
    <w:pitch w:val="default"/>
    <w:sig w:usb0="00000000" w:usb1="00000000" w:usb2="00000000" w:usb3="00000000" w:csb0="00000001" w:csb1="00000000"/>
  </w:font>
  <w:font w:name="Arial,Italic">
    <w:altName w:val="Segoe Print"/>
    <w:charset w:val="00"/>
    <w:family w:val="auto"/>
    <w:pitch w:val="default"/>
    <w:sig w:usb0="00000000" w:usb1="00000000" w:usb2="00000000" w:usb3="00000000" w:csb0="00000001" w:csb1="00000000"/>
  </w:font>
  <w:font w:name="Arial,Bold">
    <w:altName w:val="Times New Roman"/>
    <w:charset w:val="00"/>
    <w:family w:val="swiss"/>
    <w:pitch w:val="default"/>
    <w:sig w:usb0="00000000" w:usb1="00000000" w:usb2="00000010" w:usb3="00000000" w:csb0="00020001" w:csb1="00000000"/>
  </w:font>
  <w:font w:name="sans-serif">
    <w:altName w:val="Segoe Print"/>
    <w:charset w:val="00"/>
    <w:family w:val="roman"/>
    <w:pitch w:val="default"/>
  </w:font>
  <w:font w:name="NotoSans-Regular">
    <w:altName w:val="Segoe Print"/>
    <w:charset w:val="A3"/>
    <w:family w:val="auto"/>
    <w:pitch w:val="default"/>
    <w:sig w:usb0="00000000" w:usb1="00000000" w:usb2="00000000" w:usb3="00000000" w:csb0="00000100" w:csb1="00000000"/>
  </w:font>
  <w:font w:name="Arial-ItalicMT">
    <w:altName w:val="Yu Gothic"/>
    <w:charset w:val="80"/>
    <w:family w:val="auto"/>
    <w:pitch w:val="default"/>
    <w:sig w:usb0="00000000" w:usb1="00000000" w:usb2="00000010" w:usb3="00000000" w:csb0="00020001" w:csb1="00000000"/>
  </w:font>
  <w:font w:name="ArialMT">
    <w:altName w:val="Times New Roman"/>
    <w:charset w:val="80"/>
    <w:family w:val="auto"/>
    <w:pitch w:val="default"/>
    <w:sig w:usb0="00000000" w:usb1="00000000" w:usb2="00000000" w:usb3="00000000" w:csb0="00020000" w:csb1="00000000"/>
  </w:font>
  <w:font w:name="TimesNewRomanPSMT-Identity-H">
    <w:altName w:val="Times New Roman"/>
    <w:charset w:val="EE"/>
    <w:family w:val="auto"/>
    <w:pitch w:val="default"/>
    <w:sig w:usb0="00000000" w:usb1="00000000" w:usb2="00000000" w:usb3="00000000" w:csb0="00000002" w:csb1="00000000"/>
  </w:font>
  <w:font w:name="Arial-BoldMT">
    <w:altName w:val="Yu Gothic"/>
    <w:charset w:val="80"/>
    <w:family w:val="auto"/>
    <w:pitch w:val="default"/>
    <w:sig w:usb0="00000000" w:usb1="00000000" w:usb2="00000000" w:usb3="00000000" w:csb0="00020000" w:csb1="00000000"/>
  </w:font>
  <w:font w:name="Arial Unicode MS">
    <w:panose1 w:val="020B0604020202020204"/>
    <w:charset w:val="80"/>
    <w:family w:val="swiss"/>
    <w:pitch w:val="default"/>
    <w:sig w:usb0="00000000" w:usb1="00000000" w:usb2="0000007F" w:usb3="00000000" w:csb0="003F01FF" w:csb1="00000000"/>
  </w:font>
  <w:font w:name="TimesNewRomanPSMT">
    <w:altName w:val="Yu Gothic"/>
    <w:charset w:val="00"/>
    <w:family w:val="swiss"/>
    <w:pitch w:val="default"/>
    <w:sig w:usb0="00000000" w:usb1="00000000" w:usb2="00000000" w:usb3="00000000" w:csb0="00000001" w:csb1="00000000"/>
  </w:font>
  <w:font w:name="Calibri-Italic">
    <w:altName w:val="Segoe Print"/>
    <w:charset w:val="00"/>
    <w:family w:val="auto"/>
    <w:pitch w:val="default"/>
    <w:sig w:usb0="00000000" w:usb1="00000000" w:usb2="00000000" w:usb3="00000000" w:csb0="00000001" w:csb1="00000000"/>
  </w:font>
  <w:font w:name="ABBvoice-Regular">
    <w:altName w:val="Segoe Print"/>
    <w:charset w:val="00"/>
    <w:family w:val="swiss"/>
    <w:pitch w:val="default"/>
    <w:sig w:usb0="00000000" w:usb1="00000000" w:usb2="00000000" w:usb3="00000000" w:csb0="00000001" w:csb1="00000000"/>
  </w:font>
  <w:font w:name="TimesNewRomanPS-BoldMT">
    <w:altName w:val="Yu Gothic"/>
    <w:charset w:val="00"/>
    <w:family w:val="swiss"/>
    <w:pitch w:val="default"/>
    <w:sig w:usb0="00000000" w:usb1="00000000" w:usb2="00000000" w:usb3="00000000" w:csb0="00000001" w:csb1="00000000"/>
  </w:font>
  <w:font w:name="TimesNewRomanPS-BoldItalicMT">
    <w:altName w:val="Yu Gothic"/>
    <w:charset w:val="80"/>
    <w:family w:val="auto"/>
    <w:pitch w:val="default"/>
    <w:sig w:usb0="00000000" w:usb1="00000000" w:usb2="00000000" w:usb3="00000000" w:csb0="00020000" w:csb1="00000000"/>
  </w:font>
  <w:font w:name="TimesNewRoman">
    <w:altName w:val="Yu Gothic"/>
    <w:charset w:val="80"/>
    <w:family w:val="auto"/>
    <w:pitch w:val="default"/>
    <w:sig w:usb0="00000000" w:usb1="00000000" w:usb2="00000010" w:usb3="00000000" w:csb0="00020000" w:csb1="00000000"/>
  </w:font>
  <w:font w:name="CourierNew">
    <w:altName w:val="Segoe Print"/>
    <w:charset w:val="EE"/>
    <w:family w:val="auto"/>
    <w:pitch w:val="default"/>
    <w:sig w:usb0="00000000" w:usb1="00000000" w:usb2="00000000" w:usb3="00000000" w:csb0="00000002" w:csb1="00000000"/>
  </w:font>
  <w:font w:name="font1">
    <w:altName w:val="Segoe Print"/>
    <w:charset w:val="00"/>
    <w:family w:val="swiss"/>
    <w:pitch w:val="default"/>
    <w:sig w:usb0="00000000" w:usb1="00000000" w:usb2="00000000" w:usb3="00000000" w:csb0="00000001" w:csb1="00000000"/>
  </w:font>
  <w:font w:name="Noto Sans">
    <w:altName w:val="Segoe Print"/>
    <w:charset w:val="00"/>
    <w:family w:val="swiss"/>
    <w:pitch w:val="variable"/>
    <w:sig w:usb0="E00082FF" w:usb1="400078FF" w:usb2="00000021" w:usb3="00000000" w:csb0="0000019F" w:csb1="00000000"/>
  </w:font>
  <w:font w:name="NotoSans-Bold">
    <w:altName w:val="Segoe Print"/>
    <w:charset w:val="EE"/>
    <w:family w:val="auto"/>
    <w:pitch w:val="default"/>
    <w:sig w:usb0="00000000" w:usb1="00000000" w:usb2="00000000" w:usb3="00000000" w:csb0="00000002" w:csb1="00000000"/>
  </w:font>
  <w:font w:name="Verdana">
    <w:panose1 w:val="020B0604030504040204"/>
    <w:charset w:val="00"/>
    <w:family w:val="swiss"/>
    <w:pitch w:val="variable"/>
    <w:sig w:usb0="A00006FF" w:usb1="4000205B" w:usb2="00000010" w:usb3="00000000" w:csb0="0000019F" w:csb1="00000000"/>
  </w:font>
  <w:font w:name="EUAlbertina">
    <w:altName w:val="Cambria"/>
    <w:charset w:val="00"/>
    <w:family w:val="roman"/>
    <w:pitch w:val="default"/>
    <w:sig w:usb0="00000000" w:usb1="00000000" w:usb2="00000000" w:usb3="00000000" w:csb0="00000001" w:csb1="00000000"/>
  </w:font>
  <w:font w:name="EUAlbertina+01">
    <w:altName w:val="Segoe Print"/>
    <w:charset w:val="EE"/>
    <w:family w:val="auto"/>
    <w:pitch w:val="default"/>
    <w:sig w:usb0="00000000" w:usb1="00000000" w:usb2="00000000" w:usb3="00000000" w:csb0="00000002" w:csb1="00000000"/>
  </w:font>
  <w:font w:name="EUAlbertina_Bold_Italic">
    <w:altName w:val="Segoe Print"/>
    <w:charset w:val="00"/>
    <w:family w:val="auto"/>
    <w:pitch w:val="default"/>
    <w:sig w:usb0="00000000" w:usb1="00000000" w:usb2="00000000" w:usb3="00000000" w:csb0="00000001" w:csb1="00000000"/>
  </w:font>
  <w:font w:name="EUAlbertina_Bold_Italic+20">
    <w:altName w:val="Segoe Print"/>
    <w:charset w:val="00"/>
    <w:family w:val="auto"/>
    <w:pitch w:val="default"/>
    <w:sig w:usb0="00000000" w:usb1="00000000" w:usb2="00000000" w:usb3="00000000" w:csb0="00000001" w:csb1="00000000"/>
  </w:font>
  <w:font w:name="EUAlbertina_Bold_Italic+01">
    <w:altName w:val="Segoe Print"/>
    <w:charset w:val="EE"/>
    <w:family w:val="auto"/>
    <w:pitch w:val="default"/>
    <w:sig w:usb0="00000000" w:usb1="00000000" w:usb2="00000000" w:usb3="00000000" w:csb0="00000002" w:csb1="00000000"/>
  </w:font>
  <w:font w:name="CorporateSTOT-Reg">
    <w:altName w:val="Segoe Print"/>
    <w:charset w:val="EE"/>
    <w:family w:val="swiss"/>
    <w:pitch w:val="default"/>
    <w:sig w:usb0="00000000" w:usb1="00000000" w:usb2="00000000" w:usb3="00000000" w:csb0="00000002" w:csb1="00000000"/>
  </w:font>
  <w:font w:name="CorporateSTOT-Bol">
    <w:altName w:val="Segoe Print"/>
    <w:charset w:val="EE"/>
    <w:family w:val="swiss"/>
    <w:pitch w:val="default"/>
    <w:sig w:usb0="00000000" w:usb1="00000000" w:usb2="00000000" w:usb3="00000000" w:csb0="00000002" w:csb1="00000000"/>
  </w:font>
  <w:font w:name="Cambria-Bold">
    <w:altName w:val="Segoe Print"/>
    <w:charset w:val="00"/>
    <w:family w:val="roman"/>
    <w:pitch w:val="default"/>
    <w:sig w:usb0="00000000"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52E566" w14:textId="77777777" w:rsidR="001C08A5" w:rsidRDefault="00000000">
    <w:pPr>
      <w:pStyle w:val="Footer"/>
      <w:jc w:val="right"/>
    </w:pPr>
    <w:r>
      <w:fldChar w:fldCharType="begin"/>
    </w:r>
    <w:r>
      <w:instrText xml:space="preserve"> PAGE   \* MERGEFORMAT </w:instrText>
    </w:r>
    <w:r>
      <w:fldChar w:fldCharType="separate"/>
    </w:r>
    <w:r>
      <w:t>240</w:t>
    </w:r>
    <w:r>
      <w:fldChar w:fldCharType="end"/>
    </w:r>
  </w:p>
  <w:p w14:paraId="3E373E04" w14:textId="77777777" w:rsidR="001C08A5" w:rsidRDefault="001C08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8D57C4" w14:textId="77777777" w:rsidR="003776C0" w:rsidRDefault="003776C0">
      <w:r>
        <w:separator/>
      </w:r>
    </w:p>
  </w:footnote>
  <w:footnote w:type="continuationSeparator" w:id="0">
    <w:p w14:paraId="549AD18A" w14:textId="77777777" w:rsidR="003776C0" w:rsidRDefault="003776C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1538B7D"/>
    <w:multiLevelType w:val="singleLevel"/>
    <w:tmpl w:val="91538B7D"/>
    <w:lvl w:ilvl="0">
      <w:start w:val="2"/>
      <w:numFmt w:val="decimal"/>
      <w:suff w:val="space"/>
      <w:lvlText w:val="%1)"/>
      <w:lvlJc w:val="left"/>
    </w:lvl>
  </w:abstractNum>
  <w:abstractNum w:abstractNumId="1" w15:restartNumberingAfterBreak="0">
    <w:nsid w:val="94B4C151"/>
    <w:multiLevelType w:val="singleLevel"/>
    <w:tmpl w:val="94B4C151"/>
    <w:lvl w:ilvl="0">
      <w:start w:val="1"/>
      <w:numFmt w:val="decimal"/>
      <w:lvlText w:val="%1."/>
      <w:lvlJc w:val="left"/>
      <w:pPr>
        <w:tabs>
          <w:tab w:val="left" w:pos="425"/>
        </w:tabs>
        <w:ind w:left="425" w:hanging="425"/>
      </w:pPr>
      <w:rPr>
        <w:rFonts w:hint="default"/>
      </w:rPr>
    </w:lvl>
  </w:abstractNum>
  <w:abstractNum w:abstractNumId="2" w15:restartNumberingAfterBreak="0">
    <w:nsid w:val="95F9A0DD"/>
    <w:multiLevelType w:val="singleLevel"/>
    <w:tmpl w:val="95F9A0DD"/>
    <w:lvl w:ilvl="0">
      <w:start w:val="1"/>
      <w:numFmt w:val="bullet"/>
      <w:lvlText w:val="-"/>
      <w:lvlJc w:val="left"/>
      <w:pPr>
        <w:tabs>
          <w:tab w:val="left" w:pos="840"/>
        </w:tabs>
        <w:ind w:left="840" w:hanging="420"/>
      </w:pPr>
      <w:rPr>
        <w:rFonts w:ascii="Calibri" w:hAnsi="Calibri" w:cs="Calibri" w:hint="default"/>
      </w:rPr>
    </w:lvl>
  </w:abstractNum>
  <w:abstractNum w:abstractNumId="3" w15:restartNumberingAfterBreak="0">
    <w:nsid w:val="98D02780"/>
    <w:multiLevelType w:val="multilevel"/>
    <w:tmpl w:val="98D02780"/>
    <w:lvl w:ilvl="0">
      <w:start w:val="1"/>
      <w:numFmt w:val="lowerLetter"/>
      <w:lvlText w:val="%1)"/>
      <w:lvlJc w:val="left"/>
      <w:pPr>
        <w:tabs>
          <w:tab w:val="left" w:pos="1265"/>
        </w:tabs>
        <w:ind w:left="1265" w:hanging="425"/>
      </w:pPr>
      <w:rPr>
        <w:rFonts w:hint="default"/>
      </w:rPr>
    </w:lvl>
    <w:lvl w:ilvl="1">
      <w:start w:val="1"/>
      <w:numFmt w:val="lowerLetter"/>
      <w:lvlText w:val="%2)"/>
      <w:lvlJc w:val="left"/>
      <w:pPr>
        <w:tabs>
          <w:tab w:val="left" w:pos="1680"/>
        </w:tabs>
        <w:ind w:left="1680" w:hanging="420"/>
      </w:pPr>
      <w:rPr>
        <w:rFonts w:hint="default"/>
      </w:rPr>
    </w:lvl>
    <w:lvl w:ilvl="2">
      <w:start w:val="1"/>
      <w:numFmt w:val="lowerRoman"/>
      <w:lvlText w:val="%3."/>
      <w:lvlJc w:val="left"/>
      <w:pPr>
        <w:tabs>
          <w:tab w:val="left" w:pos="2100"/>
        </w:tabs>
        <w:ind w:left="2100" w:hanging="420"/>
      </w:pPr>
      <w:rPr>
        <w:rFonts w:hint="default"/>
      </w:rPr>
    </w:lvl>
    <w:lvl w:ilvl="3">
      <w:start w:val="1"/>
      <w:numFmt w:val="decimal"/>
      <w:lvlText w:val="%4."/>
      <w:lvlJc w:val="left"/>
      <w:pPr>
        <w:tabs>
          <w:tab w:val="left" w:pos="2520"/>
        </w:tabs>
        <w:ind w:left="2520" w:hanging="420"/>
      </w:pPr>
      <w:rPr>
        <w:rFonts w:hint="default"/>
      </w:rPr>
    </w:lvl>
    <w:lvl w:ilvl="4">
      <w:start w:val="1"/>
      <w:numFmt w:val="lowerLetter"/>
      <w:lvlText w:val="%5)"/>
      <w:lvlJc w:val="left"/>
      <w:pPr>
        <w:tabs>
          <w:tab w:val="left" w:pos="2940"/>
        </w:tabs>
        <w:ind w:left="2940" w:hanging="420"/>
      </w:pPr>
      <w:rPr>
        <w:rFonts w:hint="default"/>
      </w:rPr>
    </w:lvl>
    <w:lvl w:ilvl="5">
      <w:start w:val="1"/>
      <w:numFmt w:val="lowerRoman"/>
      <w:lvlText w:val="%6."/>
      <w:lvlJc w:val="left"/>
      <w:pPr>
        <w:tabs>
          <w:tab w:val="left" w:pos="3360"/>
        </w:tabs>
        <w:ind w:left="3360" w:hanging="420"/>
      </w:pPr>
      <w:rPr>
        <w:rFonts w:hint="default"/>
      </w:rPr>
    </w:lvl>
    <w:lvl w:ilvl="6">
      <w:start w:val="1"/>
      <w:numFmt w:val="decimal"/>
      <w:lvlText w:val="%7."/>
      <w:lvlJc w:val="left"/>
      <w:pPr>
        <w:tabs>
          <w:tab w:val="left" w:pos="3780"/>
        </w:tabs>
        <w:ind w:left="3780" w:hanging="420"/>
      </w:pPr>
      <w:rPr>
        <w:rFonts w:hint="default"/>
      </w:rPr>
    </w:lvl>
    <w:lvl w:ilvl="7">
      <w:start w:val="1"/>
      <w:numFmt w:val="lowerLetter"/>
      <w:lvlText w:val="%8)"/>
      <w:lvlJc w:val="left"/>
      <w:pPr>
        <w:tabs>
          <w:tab w:val="left" w:pos="4200"/>
        </w:tabs>
        <w:ind w:left="4200" w:hanging="420"/>
      </w:pPr>
      <w:rPr>
        <w:rFonts w:hint="default"/>
      </w:rPr>
    </w:lvl>
    <w:lvl w:ilvl="8">
      <w:start w:val="1"/>
      <w:numFmt w:val="lowerRoman"/>
      <w:lvlText w:val="%9."/>
      <w:lvlJc w:val="left"/>
      <w:pPr>
        <w:tabs>
          <w:tab w:val="left" w:pos="4620"/>
        </w:tabs>
        <w:ind w:left="4620" w:hanging="420"/>
      </w:pPr>
      <w:rPr>
        <w:rFonts w:hint="default"/>
      </w:rPr>
    </w:lvl>
  </w:abstractNum>
  <w:abstractNum w:abstractNumId="4" w15:restartNumberingAfterBreak="0">
    <w:nsid w:val="C9792DEA"/>
    <w:multiLevelType w:val="singleLevel"/>
    <w:tmpl w:val="C9792DEA"/>
    <w:lvl w:ilvl="0">
      <w:start w:val="2"/>
      <w:numFmt w:val="decimal"/>
      <w:suff w:val="space"/>
      <w:lvlText w:val="(%1)"/>
      <w:lvlJc w:val="left"/>
      <w:rPr>
        <w:rFonts w:hint="default"/>
        <w:b/>
        <w:bCs/>
      </w:rPr>
    </w:lvl>
  </w:abstractNum>
  <w:abstractNum w:abstractNumId="5" w15:restartNumberingAfterBreak="0">
    <w:nsid w:val="DEBAB3FA"/>
    <w:multiLevelType w:val="singleLevel"/>
    <w:tmpl w:val="DEBAB3FA"/>
    <w:lvl w:ilvl="0">
      <w:start w:val="2"/>
      <w:numFmt w:val="decimal"/>
      <w:suff w:val="space"/>
      <w:lvlText w:val="(%1)"/>
      <w:lvlJc w:val="left"/>
    </w:lvl>
  </w:abstractNum>
  <w:abstractNum w:abstractNumId="6" w15:restartNumberingAfterBreak="0">
    <w:nsid w:val="E5BFD61B"/>
    <w:multiLevelType w:val="singleLevel"/>
    <w:tmpl w:val="E5BFD61B"/>
    <w:lvl w:ilvl="0">
      <w:start w:val="1"/>
      <w:numFmt w:val="lowerLetter"/>
      <w:lvlText w:val="%1)"/>
      <w:lvlJc w:val="left"/>
      <w:pPr>
        <w:tabs>
          <w:tab w:val="left" w:pos="1265"/>
        </w:tabs>
        <w:ind w:left="1265" w:hanging="425"/>
      </w:pPr>
      <w:rPr>
        <w:rFonts w:hint="default"/>
      </w:rPr>
    </w:lvl>
  </w:abstractNum>
  <w:abstractNum w:abstractNumId="7" w15:restartNumberingAfterBreak="0">
    <w:nsid w:val="EA87FF4D"/>
    <w:multiLevelType w:val="singleLevel"/>
    <w:tmpl w:val="EA87FF4D"/>
    <w:lvl w:ilvl="0">
      <w:start w:val="1"/>
      <w:numFmt w:val="bullet"/>
      <w:lvlText w:val="-"/>
      <w:lvlJc w:val="left"/>
      <w:pPr>
        <w:tabs>
          <w:tab w:val="left" w:pos="1260"/>
        </w:tabs>
        <w:ind w:left="1260" w:hanging="420"/>
      </w:pPr>
      <w:rPr>
        <w:rFonts w:ascii="Calibri" w:hAnsi="Calibri" w:cs="Calibri" w:hint="default"/>
      </w:rPr>
    </w:lvl>
  </w:abstractNum>
  <w:abstractNum w:abstractNumId="8" w15:restartNumberingAfterBreak="0">
    <w:nsid w:val="F3216379"/>
    <w:multiLevelType w:val="singleLevel"/>
    <w:tmpl w:val="F3216379"/>
    <w:lvl w:ilvl="0">
      <w:start w:val="2"/>
      <w:numFmt w:val="decimal"/>
      <w:suff w:val="space"/>
      <w:lvlText w:val="%1."/>
      <w:lvlJc w:val="left"/>
    </w:lvl>
  </w:abstractNum>
  <w:abstractNum w:abstractNumId="9" w15:restartNumberingAfterBreak="0">
    <w:nsid w:val="F677312A"/>
    <w:multiLevelType w:val="multilevel"/>
    <w:tmpl w:val="F677312A"/>
    <w:lvl w:ilvl="0">
      <w:start w:val="1"/>
      <w:numFmt w:val="lowerLetter"/>
      <w:suff w:val="space"/>
      <w:lvlText w:val="%1)"/>
      <w:lvlJc w:val="left"/>
      <w:pPr>
        <w:ind w:left="420"/>
      </w:pPr>
      <w:rPr>
        <w:rFonts w:hint="default"/>
        <w:strike w:val="0"/>
        <w:dstrike w:val="0"/>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10" w15:restartNumberingAfterBreak="0">
    <w:nsid w:val="00000001"/>
    <w:multiLevelType w:val="singleLevel"/>
    <w:tmpl w:val="00000001"/>
    <w:lvl w:ilvl="0">
      <w:start w:val="1"/>
      <w:numFmt w:val="lowerLetter"/>
      <w:lvlText w:val="%1."/>
      <w:lvlJc w:val="left"/>
      <w:pPr>
        <w:tabs>
          <w:tab w:val="left" w:pos="425"/>
        </w:tabs>
        <w:ind w:left="425" w:hanging="425"/>
      </w:pPr>
      <w:rPr>
        <w:rFonts w:hint="default"/>
      </w:rPr>
    </w:lvl>
  </w:abstractNum>
  <w:abstractNum w:abstractNumId="11" w15:restartNumberingAfterBreak="0">
    <w:nsid w:val="00000002"/>
    <w:multiLevelType w:val="singleLevel"/>
    <w:tmpl w:val="00000002"/>
    <w:lvl w:ilvl="0">
      <w:start w:val="1"/>
      <w:numFmt w:val="decimal"/>
      <w:lvlText w:val="%1."/>
      <w:lvlJc w:val="left"/>
      <w:pPr>
        <w:tabs>
          <w:tab w:val="left" w:pos="845"/>
        </w:tabs>
        <w:ind w:left="845" w:hanging="425"/>
      </w:pPr>
      <w:rPr>
        <w:rFonts w:hint="default"/>
      </w:rPr>
    </w:lvl>
  </w:abstractNum>
  <w:abstractNum w:abstractNumId="12" w15:restartNumberingAfterBreak="0">
    <w:nsid w:val="00000004"/>
    <w:multiLevelType w:val="multilevel"/>
    <w:tmpl w:val="00000004"/>
    <w:lvl w:ilvl="0">
      <w:start w:val="1"/>
      <w:numFmt w:val="lowerLetter"/>
      <w:lvlText w:val="%1)"/>
      <w:lvlJc w:val="left"/>
      <w:pPr>
        <w:tabs>
          <w:tab w:val="left" w:pos="1265"/>
        </w:tabs>
        <w:ind w:left="1265" w:hanging="425"/>
      </w:pPr>
      <w:rPr>
        <w:rFonts w:hint="default"/>
      </w:rPr>
    </w:lvl>
    <w:lvl w:ilvl="1">
      <w:start w:val="1"/>
      <w:numFmt w:val="lowerLetter"/>
      <w:lvlText w:val="%2)"/>
      <w:lvlJc w:val="left"/>
      <w:pPr>
        <w:tabs>
          <w:tab w:val="left" w:pos="1680"/>
        </w:tabs>
        <w:ind w:left="1680" w:hanging="420"/>
      </w:pPr>
      <w:rPr>
        <w:rFonts w:hint="default"/>
      </w:rPr>
    </w:lvl>
    <w:lvl w:ilvl="2">
      <w:start w:val="1"/>
      <w:numFmt w:val="lowerRoman"/>
      <w:lvlText w:val="%3."/>
      <w:lvlJc w:val="left"/>
      <w:pPr>
        <w:tabs>
          <w:tab w:val="left" w:pos="2100"/>
        </w:tabs>
        <w:ind w:left="2100" w:hanging="420"/>
      </w:pPr>
      <w:rPr>
        <w:rFonts w:hint="default"/>
      </w:rPr>
    </w:lvl>
    <w:lvl w:ilvl="3">
      <w:start w:val="1"/>
      <w:numFmt w:val="decimal"/>
      <w:lvlText w:val="%4."/>
      <w:lvlJc w:val="left"/>
      <w:pPr>
        <w:tabs>
          <w:tab w:val="left" w:pos="2520"/>
        </w:tabs>
        <w:ind w:left="2520" w:hanging="420"/>
      </w:pPr>
      <w:rPr>
        <w:rFonts w:hint="default"/>
      </w:rPr>
    </w:lvl>
    <w:lvl w:ilvl="4">
      <w:start w:val="1"/>
      <w:numFmt w:val="lowerLetter"/>
      <w:lvlText w:val="%5)"/>
      <w:lvlJc w:val="left"/>
      <w:pPr>
        <w:tabs>
          <w:tab w:val="left" w:pos="2940"/>
        </w:tabs>
        <w:ind w:left="2940" w:hanging="420"/>
      </w:pPr>
      <w:rPr>
        <w:rFonts w:hint="default"/>
      </w:rPr>
    </w:lvl>
    <w:lvl w:ilvl="5">
      <w:start w:val="1"/>
      <w:numFmt w:val="lowerRoman"/>
      <w:lvlText w:val="%6."/>
      <w:lvlJc w:val="left"/>
      <w:pPr>
        <w:tabs>
          <w:tab w:val="left" w:pos="3360"/>
        </w:tabs>
        <w:ind w:left="3360" w:hanging="420"/>
      </w:pPr>
      <w:rPr>
        <w:rFonts w:hint="default"/>
      </w:rPr>
    </w:lvl>
    <w:lvl w:ilvl="6">
      <w:start w:val="1"/>
      <w:numFmt w:val="decimal"/>
      <w:lvlText w:val="%7."/>
      <w:lvlJc w:val="left"/>
      <w:pPr>
        <w:tabs>
          <w:tab w:val="left" w:pos="3780"/>
        </w:tabs>
        <w:ind w:left="3780" w:hanging="420"/>
      </w:pPr>
      <w:rPr>
        <w:rFonts w:hint="default"/>
      </w:rPr>
    </w:lvl>
    <w:lvl w:ilvl="7">
      <w:start w:val="1"/>
      <w:numFmt w:val="lowerLetter"/>
      <w:lvlText w:val="%8)"/>
      <w:lvlJc w:val="left"/>
      <w:pPr>
        <w:tabs>
          <w:tab w:val="left" w:pos="4200"/>
        </w:tabs>
        <w:ind w:left="4200" w:hanging="420"/>
      </w:pPr>
      <w:rPr>
        <w:rFonts w:hint="default"/>
      </w:rPr>
    </w:lvl>
    <w:lvl w:ilvl="8">
      <w:start w:val="1"/>
      <w:numFmt w:val="lowerRoman"/>
      <w:lvlText w:val="%9."/>
      <w:lvlJc w:val="left"/>
      <w:pPr>
        <w:tabs>
          <w:tab w:val="left" w:pos="4620"/>
        </w:tabs>
        <w:ind w:left="4620" w:hanging="420"/>
      </w:pPr>
      <w:rPr>
        <w:rFonts w:hint="default"/>
      </w:rPr>
    </w:lvl>
  </w:abstractNum>
  <w:abstractNum w:abstractNumId="13" w15:restartNumberingAfterBreak="0">
    <w:nsid w:val="00000006"/>
    <w:multiLevelType w:val="singleLevel"/>
    <w:tmpl w:val="00000006"/>
    <w:lvl w:ilvl="0">
      <w:start w:val="1"/>
      <w:numFmt w:val="lowerLetter"/>
      <w:suff w:val="space"/>
      <w:lvlText w:val="%1)"/>
      <w:lvlJc w:val="left"/>
    </w:lvl>
  </w:abstractNum>
  <w:abstractNum w:abstractNumId="14" w15:restartNumberingAfterBreak="0">
    <w:nsid w:val="00000007"/>
    <w:multiLevelType w:val="multilevel"/>
    <w:tmpl w:val="00000007"/>
    <w:lvl w:ilvl="0">
      <w:start w:val="1"/>
      <w:numFmt w:val="decimal"/>
      <w:lvlText w:val="%1."/>
      <w:lvlJc w:val="left"/>
      <w:pPr>
        <w:tabs>
          <w:tab w:val="left" w:pos="1685"/>
        </w:tabs>
        <w:ind w:left="1685" w:hanging="425"/>
      </w:pPr>
      <w:rPr>
        <w:rFonts w:hint="default"/>
      </w:rPr>
    </w:lvl>
    <w:lvl w:ilvl="1">
      <w:start w:val="1"/>
      <w:numFmt w:val="lowerLetter"/>
      <w:lvlText w:val="%2)"/>
      <w:lvlJc w:val="left"/>
      <w:pPr>
        <w:tabs>
          <w:tab w:val="left" w:pos="840"/>
        </w:tabs>
        <w:ind w:left="2100" w:hanging="420"/>
      </w:pPr>
      <w:rPr>
        <w:rFonts w:hint="default"/>
      </w:rPr>
    </w:lvl>
    <w:lvl w:ilvl="2">
      <w:start w:val="1"/>
      <w:numFmt w:val="lowerRoman"/>
      <w:lvlText w:val="%3."/>
      <w:lvlJc w:val="left"/>
      <w:pPr>
        <w:tabs>
          <w:tab w:val="left" w:pos="1260"/>
        </w:tabs>
        <w:ind w:left="2520" w:hanging="420"/>
      </w:pPr>
      <w:rPr>
        <w:rFonts w:hint="default"/>
      </w:rPr>
    </w:lvl>
    <w:lvl w:ilvl="3">
      <w:start w:val="1"/>
      <w:numFmt w:val="decimal"/>
      <w:lvlText w:val="%4."/>
      <w:lvlJc w:val="left"/>
      <w:pPr>
        <w:tabs>
          <w:tab w:val="left" w:pos="1680"/>
        </w:tabs>
        <w:ind w:left="2940" w:hanging="420"/>
      </w:pPr>
      <w:rPr>
        <w:rFonts w:hint="default"/>
      </w:rPr>
    </w:lvl>
    <w:lvl w:ilvl="4">
      <w:start w:val="1"/>
      <w:numFmt w:val="lowerLetter"/>
      <w:lvlText w:val="%5)"/>
      <w:lvlJc w:val="left"/>
      <w:pPr>
        <w:tabs>
          <w:tab w:val="left" w:pos="2100"/>
        </w:tabs>
        <w:ind w:left="3360" w:hanging="420"/>
      </w:pPr>
      <w:rPr>
        <w:rFonts w:hint="default"/>
      </w:rPr>
    </w:lvl>
    <w:lvl w:ilvl="5">
      <w:start w:val="1"/>
      <w:numFmt w:val="lowerRoman"/>
      <w:lvlText w:val="%6."/>
      <w:lvlJc w:val="left"/>
      <w:pPr>
        <w:tabs>
          <w:tab w:val="left" w:pos="2520"/>
        </w:tabs>
        <w:ind w:left="3780" w:hanging="420"/>
      </w:pPr>
      <w:rPr>
        <w:rFonts w:hint="default"/>
      </w:rPr>
    </w:lvl>
    <w:lvl w:ilvl="6">
      <w:start w:val="1"/>
      <w:numFmt w:val="decimal"/>
      <w:lvlText w:val="%7."/>
      <w:lvlJc w:val="left"/>
      <w:pPr>
        <w:tabs>
          <w:tab w:val="left" w:pos="2940"/>
        </w:tabs>
        <w:ind w:left="4200" w:hanging="420"/>
      </w:pPr>
      <w:rPr>
        <w:rFonts w:hint="default"/>
      </w:rPr>
    </w:lvl>
    <w:lvl w:ilvl="7">
      <w:start w:val="1"/>
      <w:numFmt w:val="lowerLetter"/>
      <w:lvlText w:val="%8)"/>
      <w:lvlJc w:val="left"/>
      <w:pPr>
        <w:tabs>
          <w:tab w:val="left" w:pos="3360"/>
        </w:tabs>
        <w:ind w:left="4620" w:hanging="420"/>
      </w:pPr>
      <w:rPr>
        <w:rFonts w:hint="default"/>
      </w:rPr>
    </w:lvl>
    <w:lvl w:ilvl="8">
      <w:start w:val="1"/>
      <w:numFmt w:val="lowerRoman"/>
      <w:lvlText w:val="%9."/>
      <w:lvlJc w:val="left"/>
      <w:pPr>
        <w:tabs>
          <w:tab w:val="left" w:pos="3780"/>
        </w:tabs>
        <w:ind w:left="5040" w:hanging="420"/>
      </w:pPr>
      <w:rPr>
        <w:rFonts w:hint="default"/>
      </w:rPr>
    </w:lvl>
  </w:abstractNum>
  <w:abstractNum w:abstractNumId="15" w15:restartNumberingAfterBreak="0">
    <w:nsid w:val="00000008"/>
    <w:multiLevelType w:val="singleLevel"/>
    <w:tmpl w:val="00000008"/>
    <w:lvl w:ilvl="0">
      <w:start w:val="1"/>
      <w:numFmt w:val="lowerLetter"/>
      <w:suff w:val="space"/>
      <w:lvlText w:val="%1)"/>
      <w:lvlJc w:val="left"/>
    </w:lvl>
  </w:abstractNum>
  <w:abstractNum w:abstractNumId="16" w15:restartNumberingAfterBreak="0">
    <w:nsid w:val="00000009"/>
    <w:multiLevelType w:val="singleLevel"/>
    <w:tmpl w:val="00000009"/>
    <w:lvl w:ilvl="0">
      <w:start w:val="1"/>
      <w:numFmt w:val="lowerLetter"/>
      <w:suff w:val="space"/>
      <w:lvlText w:val="%1)"/>
      <w:lvlJc w:val="left"/>
    </w:lvl>
  </w:abstractNum>
  <w:abstractNum w:abstractNumId="17" w15:restartNumberingAfterBreak="0">
    <w:nsid w:val="0000000B"/>
    <w:multiLevelType w:val="singleLevel"/>
    <w:tmpl w:val="0000000B"/>
    <w:lvl w:ilvl="0">
      <w:start w:val="1"/>
      <w:numFmt w:val="lowerLetter"/>
      <w:lvlText w:val="%1)"/>
      <w:lvlJc w:val="left"/>
      <w:pPr>
        <w:tabs>
          <w:tab w:val="left" w:pos="425"/>
        </w:tabs>
        <w:ind w:left="425" w:hanging="425"/>
      </w:pPr>
      <w:rPr>
        <w:rFonts w:hint="default"/>
        <w:b/>
        <w:bCs/>
      </w:rPr>
    </w:lvl>
  </w:abstractNum>
  <w:abstractNum w:abstractNumId="18" w15:restartNumberingAfterBreak="0">
    <w:nsid w:val="0000000C"/>
    <w:multiLevelType w:val="singleLevel"/>
    <w:tmpl w:val="0000000C"/>
    <w:lvl w:ilvl="0">
      <w:start w:val="1"/>
      <w:numFmt w:val="lowerLetter"/>
      <w:suff w:val="space"/>
      <w:lvlText w:val="%1)"/>
      <w:lvlJc w:val="left"/>
    </w:lvl>
  </w:abstractNum>
  <w:abstractNum w:abstractNumId="19" w15:restartNumberingAfterBreak="0">
    <w:nsid w:val="0000000D"/>
    <w:multiLevelType w:val="singleLevel"/>
    <w:tmpl w:val="0000000D"/>
    <w:lvl w:ilvl="0">
      <w:start w:val="1"/>
      <w:numFmt w:val="lowerLetter"/>
      <w:lvlText w:val="%1)"/>
      <w:lvlJc w:val="left"/>
      <w:pPr>
        <w:tabs>
          <w:tab w:val="left" w:pos="1685"/>
        </w:tabs>
        <w:ind w:left="1685" w:hanging="425"/>
      </w:pPr>
      <w:rPr>
        <w:rFonts w:hint="default"/>
      </w:rPr>
    </w:lvl>
  </w:abstractNum>
  <w:abstractNum w:abstractNumId="20" w15:restartNumberingAfterBreak="0">
    <w:nsid w:val="0000000E"/>
    <w:multiLevelType w:val="singleLevel"/>
    <w:tmpl w:val="0000000E"/>
    <w:lvl w:ilvl="0">
      <w:start w:val="1"/>
      <w:numFmt w:val="decimal"/>
      <w:lvlText w:val="%1)"/>
      <w:lvlJc w:val="left"/>
      <w:pPr>
        <w:tabs>
          <w:tab w:val="left" w:pos="2105"/>
        </w:tabs>
        <w:ind w:left="2105" w:hanging="425"/>
      </w:pPr>
      <w:rPr>
        <w:rFonts w:hint="default"/>
      </w:rPr>
    </w:lvl>
  </w:abstractNum>
  <w:abstractNum w:abstractNumId="21" w15:restartNumberingAfterBreak="0">
    <w:nsid w:val="0000000F"/>
    <w:multiLevelType w:val="singleLevel"/>
    <w:tmpl w:val="0000000F"/>
    <w:lvl w:ilvl="0">
      <w:start w:val="1"/>
      <w:numFmt w:val="lowerLetter"/>
      <w:lvlText w:val="%1)"/>
      <w:lvlJc w:val="left"/>
      <w:pPr>
        <w:tabs>
          <w:tab w:val="left" w:pos="1685"/>
        </w:tabs>
        <w:ind w:left="1685" w:hanging="425"/>
      </w:pPr>
      <w:rPr>
        <w:rFonts w:hint="default"/>
      </w:rPr>
    </w:lvl>
  </w:abstractNum>
  <w:abstractNum w:abstractNumId="22" w15:restartNumberingAfterBreak="0">
    <w:nsid w:val="00000010"/>
    <w:multiLevelType w:val="singleLevel"/>
    <w:tmpl w:val="00000010"/>
    <w:lvl w:ilvl="0">
      <w:start w:val="1"/>
      <w:numFmt w:val="decimal"/>
      <w:lvlText w:val="%1)"/>
      <w:lvlJc w:val="left"/>
      <w:pPr>
        <w:tabs>
          <w:tab w:val="left" w:pos="845"/>
        </w:tabs>
        <w:ind w:left="845" w:hanging="425"/>
      </w:pPr>
      <w:rPr>
        <w:rFonts w:hint="default"/>
        <w:b/>
        <w:bCs/>
      </w:rPr>
    </w:lvl>
  </w:abstractNum>
  <w:abstractNum w:abstractNumId="23" w15:restartNumberingAfterBreak="0">
    <w:nsid w:val="00000011"/>
    <w:multiLevelType w:val="singleLevel"/>
    <w:tmpl w:val="00000011"/>
    <w:lvl w:ilvl="0">
      <w:start w:val="1"/>
      <w:numFmt w:val="lowerLetter"/>
      <w:lvlText w:val="%1)"/>
      <w:lvlJc w:val="left"/>
      <w:pPr>
        <w:tabs>
          <w:tab w:val="left" w:pos="1685"/>
        </w:tabs>
        <w:ind w:left="1685" w:hanging="425"/>
      </w:pPr>
      <w:rPr>
        <w:rFonts w:hint="default"/>
      </w:rPr>
    </w:lvl>
  </w:abstractNum>
  <w:abstractNum w:abstractNumId="24" w15:restartNumberingAfterBreak="0">
    <w:nsid w:val="00000013"/>
    <w:multiLevelType w:val="singleLevel"/>
    <w:tmpl w:val="00000013"/>
    <w:lvl w:ilvl="0">
      <w:start w:val="1"/>
      <w:numFmt w:val="decimal"/>
      <w:lvlText w:val="%1)"/>
      <w:lvlJc w:val="left"/>
      <w:pPr>
        <w:tabs>
          <w:tab w:val="left" w:pos="1265"/>
        </w:tabs>
        <w:ind w:left="1265" w:hanging="425"/>
      </w:pPr>
      <w:rPr>
        <w:rFonts w:hint="default"/>
        <w:b/>
        <w:bCs/>
      </w:rPr>
    </w:lvl>
  </w:abstractNum>
  <w:abstractNum w:abstractNumId="25" w15:restartNumberingAfterBreak="0">
    <w:nsid w:val="00000016"/>
    <w:multiLevelType w:val="multilevel"/>
    <w:tmpl w:val="00000016"/>
    <w:lvl w:ilvl="0">
      <w:start w:val="1"/>
      <w:numFmt w:val="decimal"/>
      <w:lvlText w:val="%1."/>
      <w:lvlJc w:val="left"/>
      <w:pPr>
        <w:tabs>
          <w:tab w:val="left" w:pos="845"/>
        </w:tabs>
        <w:ind w:left="845" w:hanging="425"/>
      </w:pPr>
      <w:rPr>
        <w:rFonts w:hint="default"/>
      </w:rPr>
    </w:lvl>
    <w:lvl w:ilvl="1">
      <w:start w:val="1"/>
      <w:numFmt w:val="lowerLetter"/>
      <w:lvlText w:val="%2)"/>
      <w:lvlJc w:val="left"/>
      <w:pPr>
        <w:tabs>
          <w:tab w:val="left" w:pos="840"/>
        </w:tabs>
        <w:ind w:left="1260" w:hanging="420"/>
      </w:pPr>
      <w:rPr>
        <w:rFonts w:hint="default"/>
      </w:rPr>
    </w:lvl>
    <w:lvl w:ilvl="2">
      <w:start w:val="1"/>
      <w:numFmt w:val="lowerRoman"/>
      <w:lvlText w:val="%3."/>
      <w:lvlJc w:val="left"/>
      <w:pPr>
        <w:tabs>
          <w:tab w:val="left" w:pos="1260"/>
        </w:tabs>
        <w:ind w:left="1680" w:hanging="420"/>
      </w:pPr>
      <w:rPr>
        <w:rFonts w:hint="default"/>
      </w:rPr>
    </w:lvl>
    <w:lvl w:ilvl="3">
      <w:start w:val="1"/>
      <w:numFmt w:val="decimal"/>
      <w:lvlText w:val="%4."/>
      <w:lvlJc w:val="left"/>
      <w:pPr>
        <w:tabs>
          <w:tab w:val="left" w:pos="1680"/>
        </w:tabs>
        <w:ind w:left="2100" w:hanging="420"/>
      </w:pPr>
      <w:rPr>
        <w:rFonts w:hint="default"/>
      </w:rPr>
    </w:lvl>
    <w:lvl w:ilvl="4">
      <w:start w:val="1"/>
      <w:numFmt w:val="lowerLetter"/>
      <w:lvlText w:val="%5)"/>
      <w:lvlJc w:val="left"/>
      <w:pPr>
        <w:tabs>
          <w:tab w:val="left" w:pos="2100"/>
        </w:tabs>
        <w:ind w:left="2520" w:hanging="420"/>
      </w:pPr>
      <w:rPr>
        <w:rFonts w:hint="default"/>
      </w:rPr>
    </w:lvl>
    <w:lvl w:ilvl="5">
      <w:start w:val="1"/>
      <w:numFmt w:val="lowerRoman"/>
      <w:lvlText w:val="%6."/>
      <w:lvlJc w:val="left"/>
      <w:pPr>
        <w:tabs>
          <w:tab w:val="left" w:pos="2520"/>
        </w:tabs>
        <w:ind w:left="2940" w:hanging="420"/>
      </w:pPr>
      <w:rPr>
        <w:rFonts w:hint="default"/>
      </w:rPr>
    </w:lvl>
    <w:lvl w:ilvl="6">
      <w:start w:val="1"/>
      <w:numFmt w:val="decimal"/>
      <w:lvlText w:val="%7."/>
      <w:lvlJc w:val="left"/>
      <w:pPr>
        <w:tabs>
          <w:tab w:val="left" w:pos="2940"/>
        </w:tabs>
        <w:ind w:left="3360" w:hanging="420"/>
      </w:pPr>
      <w:rPr>
        <w:rFonts w:hint="default"/>
      </w:rPr>
    </w:lvl>
    <w:lvl w:ilvl="7">
      <w:start w:val="1"/>
      <w:numFmt w:val="lowerLetter"/>
      <w:lvlText w:val="%8)"/>
      <w:lvlJc w:val="left"/>
      <w:pPr>
        <w:tabs>
          <w:tab w:val="left" w:pos="3360"/>
        </w:tabs>
        <w:ind w:left="3780" w:hanging="420"/>
      </w:pPr>
      <w:rPr>
        <w:rFonts w:hint="default"/>
      </w:rPr>
    </w:lvl>
    <w:lvl w:ilvl="8">
      <w:start w:val="1"/>
      <w:numFmt w:val="lowerRoman"/>
      <w:lvlText w:val="%9."/>
      <w:lvlJc w:val="left"/>
      <w:pPr>
        <w:tabs>
          <w:tab w:val="left" w:pos="3780"/>
        </w:tabs>
        <w:ind w:left="4200" w:hanging="420"/>
      </w:pPr>
      <w:rPr>
        <w:rFonts w:hint="default"/>
      </w:rPr>
    </w:lvl>
  </w:abstractNum>
  <w:abstractNum w:abstractNumId="26" w15:restartNumberingAfterBreak="0">
    <w:nsid w:val="00000017"/>
    <w:multiLevelType w:val="singleLevel"/>
    <w:tmpl w:val="00000017"/>
    <w:lvl w:ilvl="0">
      <w:start w:val="1"/>
      <w:numFmt w:val="lowerLetter"/>
      <w:suff w:val="space"/>
      <w:lvlText w:val="%1)"/>
      <w:lvlJc w:val="left"/>
    </w:lvl>
  </w:abstractNum>
  <w:abstractNum w:abstractNumId="27" w15:restartNumberingAfterBreak="0">
    <w:nsid w:val="00000018"/>
    <w:multiLevelType w:val="singleLevel"/>
    <w:tmpl w:val="00000018"/>
    <w:lvl w:ilvl="0">
      <w:start w:val="1"/>
      <w:numFmt w:val="lowerLetter"/>
      <w:lvlText w:val="%1)"/>
      <w:lvlJc w:val="left"/>
      <w:pPr>
        <w:tabs>
          <w:tab w:val="left" w:pos="1685"/>
        </w:tabs>
        <w:ind w:left="1685" w:hanging="425"/>
      </w:pPr>
      <w:rPr>
        <w:rFonts w:hint="default"/>
      </w:rPr>
    </w:lvl>
  </w:abstractNum>
  <w:abstractNum w:abstractNumId="28" w15:restartNumberingAfterBreak="0">
    <w:nsid w:val="0000001A"/>
    <w:multiLevelType w:val="singleLevel"/>
    <w:tmpl w:val="0000001A"/>
    <w:lvl w:ilvl="0">
      <w:start w:val="1"/>
      <w:numFmt w:val="lowerLetter"/>
      <w:suff w:val="space"/>
      <w:lvlText w:val="%1)"/>
      <w:lvlJc w:val="left"/>
    </w:lvl>
  </w:abstractNum>
  <w:abstractNum w:abstractNumId="29" w15:restartNumberingAfterBreak="0">
    <w:nsid w:val="0000001B"/>
    <w:multiLevelType w:val="singleLevel"/>
    <w:tmpl w:val="0000001B"/>
    <w:lvl w:ilvl="0">
      <w:start w:val="1"/>
      <w:numFmt w:val="lowerLetter"/>
      <w:suff w:val="space"/>
      <w:lvlText w:val="%1)"/>
      <w:lvlJc w:val="left"/>
      <w:pPr>
        <w:ind w:left="1260"/>
      </w:pPr>
      <w:rPr>
        <w:rFonts w:hint="default"/>
        <w:b/>
        <w:bCs/>
      </w:rPr>
    </w:lvl>
  </w:abstractNum>
  <w:abstractNum w:abstractNumId="30" w15:restartNumberingAfterBreak="0">
    <w:nsid w:val="0000001C"/>
    <w:multiLevelType w:val="singleLevel"/>
    <w:tmpl w:val="0000001C"/>
    <w:lvl w:ilvl="0">
      <w:start w:val="1"/>
      <w:numFmt w:val="lowerLetter"/>
      <w:suff w:val="space"/>
      <w:lvlText w:val="%1)"/>
      <w:lvlJc w:val="left"/>
    </w:lvl>
  </w:abstractNum>
  <w:abstractNum w:abstractNumId="31" w15:restartNumberingAfterBreak="0">
    <w:nsid w:val="0000001D"/>
    <w:multiLevelType w:val="singleLevel"/>
    <w:tmpl w:val="0000001D"/>
    <w:lvl w:ilvl="0">
      <w:start w:val="1"/>
      <w:numFmt w:val="lowerLetter"/>
      <w:suff w:val="space"/>
      <w:lvlText w:val="%1)"/>
      <w:lvlJc w:val="left"/>
    </w:lvl>
  </w:abstractNum>
  <w:abstractNum w:abstractNumId="32" w15:restartNumberingAfterBreak="0">
    <w:nsid w:val="0000001E"/>
    <w:multiLevelType w:val="singleLevel"/>
    <w:tmpl w:val="0000001E"/>
    <w:lvl w:ilvl="0">
      <w:start w:val="1"/>
      <w:numFmt w:val="lowerLetter"/>
      <w:lvlText w:val="%1)"/>
      <w:lvlJc w:val="left"/>
      <w:pPr>
        <w:tabs>
          <w:tab w:val="left" w:pos="425"/>
        </w:tabs>
        <w:ind w:left="425" w:hanging="425"/>
      </w:pPr>
      <w:rPr>
        <w:rFonts w:ascii="Times New Roman" w:hAnsi="Times New Roman" w:cs="Times New Roman" w:hint="default"/>
        <w:b/>
        <w:bCs/>
      </w:rPr>
    </w:lvl>
  </w:abstractNum>
  <w:abstractNum w:abstractNumId="33" w15:restartNumberingAfterBreak="0">
    <w:nsid w:val="0000001F"/>
    <w:multiLevelType w:val="singleLevel"/>
    <w:tmpl w:val="0000001F"/>
    <w:lvl w:ilvl="0">
      <w:start w:val="1"/>
      <w:numFmt w:val="lowerLetter"/>
      <w:suff w:val="space"/>
      <w:lvlText w:val="%1)"/>
      <w:lvlJc w:val="left"/>
    </w:lvl>
  </w:abstractNum>
  <w:abstractNum w:abstractNumId="34" w15:restartNumberingAfterBreak="0">
    <w:nsid w:val="00000020"/>
    <w:multiLevelType w:val="multilevel"/>
    <w:tmpl w:val="00000020"/>
    <w:lvl w:ilvl="0">
      <w:start w:val="1"/>
      <w:numFmt w:val="decimal"/>
      <w:lvlText w:val="%1)"/>
      <w:lvlJc w:val="left"/>
      <w:pPr>
        <w:tabs>
          <w:tab w:val="left" w:pos="425"/>
        </w:tabs>
        <w:ind w:left="800"/>
      </w:pPr>
      <w:rPr>
        <w:rFonts w:ascii="Times New Roman" w:hAnsi="Times New Roman" w:cs="Times New Roman" w:hint="default"/>
        <w:b/>
        <w:bCs/>
        <w:i/>
        <w:iCs/>
        <w:strike w:val="0"/>
        <w:dstrike w:val="0"/>
        <w:color w:val="auto"/>
        <w:sz w:val="24"/>
        <w:szCs w:val="24"/>
      </w:rPr>
    </w:lvl>
    <w:lvl w:ilvl="1">
      <w:start w:val="1"/>
      <w:numFmt w:val="lowerLetter"/>
      <w:lvlText w:val="%2."/>
      <w:lvlJc w:val="left"/>
      <w:pPr>
        <w:tabs>
          <w:tab w:val="left" w:pos="425"/>
        </w:tabs>
        <w:ind w:left="425" w:firstLine="415"/>
      </w:pPr>
      <w:rPr>
        <w:rFonts w:hint="default"/>
      </w:rPr>
    </w:lvl>
    <w:lvl w:ilvl="2">
      <w:start w:val="1"/>
      <w:numFmt w:val="lowerRoman"/>
      <w:lvlText w:val="%3."/>
      <w:lvlJc w:val="left"/>
      <w:pPr>
        <w:tabs>
          <w:tab w:val="left" w:pos="425"/>
        </w:tabs>
        <w:ind w:left="425" w:firstLine="955"/>
      </w:pPr>
      <w:rPr>
        <w:rFonts w:hint="default"/>
      </w:rPr>
    </w:lvl>
    <w:lvl w:ilvl="3">
      <w:start w:val="1"/>
      <w:numFmt w:val="decimal"/>
      <w:lvlText w:val="%4."/>
      <w:lvlJc w:val="left"/>
      <w:pPr>
        <w:ind w:left="2040" w:hanging="360"/>
      </w:pPr>
    </w:lvl>
    <w:lvl w:ilvl="4">
      <w:start w:val="1"/>
      <w:numFmt w:val="lowerLetter"/>
      <w:lvlText w:val="%5."/>
      <w:lvlJc w:val="left"/>
      <w:pPr>
        <w:tabs>
          <w:tab w:val="left" w:pos="425"/>
        </w:tabs>
        <w:ind w:left="425" w:firstLine="1675"/>
      </w:pPr>
      <w:rPr>
        <w:rFonts w:hint="default"/>
      </w:rPr>
    </w:lvl>
    <w:lvl w:ilvl="5">
      <w:start w:val="1"/>
      <w:numFmt w:val="lowerRoman"/>
      <w:lvlText w:val="%6."/>
      <w:lvlJc w:val="left"/>
      <w:pPr>
        <w:tabs>
          <w:tab w:val="left" w:pos="425"/>
        </w:tabs>
        <w:ind w:left="425" w:firstLine="2095"/>
      </w:pPr>
      <w:rPr>
        <w:rFonts w:hint="default"/>
        <w:vertAlign w:val="baseline"/>
      </w:rPr>
    </w:lvl>
    <w:lvl w:ilvl="6">
      <w:start w:val="1"/>
      <w:numFmt w:val="decimal"/>
      <w:lvlText w:val="%7."/>
      <w:lvlJc w:val="left"/>
      <w:pPr>
        <w:tabs>
          <w:tab w:val="left" w:pos="425"/>
        </w:tabs>
        <w:ind w:left="425" w:firstLine="2515"/>
      </w:pPr>
      <w:rPr>
        <w:rFonts w:hint="default"/>
        <w:b/>
        <w:bCs/>
        <w:i/>
        <w:iCs/>
      </w:rPr>
    </w:lvl>
    <w:lvl w:ilvl="7">
      <w:start w:val="1"/>
      <w:numFmt w:val="lowerLetter"/>
      <w:lvlText w:val="%8."/>
      <w:lvlJc w:val="left"/>
      <w:pPr>
        <w:tabs>
          <w:tab w:val="left" w:pos="425"/>
        </w:tabs>
        <w:ind w:left="425" w:firstLine="2935"/>
      </w:pPr>
      <w:rPr>
        <w:rFonts w:hint="default"/>
      </w:rPr>
    </w:lvl>
    <w:lvl w:ilvl="8">
      <w:start w:val="1"/>
      <w:numFmt w:val="lowerRoman"/>
      <w:lvlText w:val="%9."/>
      <w:lvlJc w:val="left"/>
      <w:pPr>
        <w:tabs>
          <w:tab w:val="left" w:pos="425"/>
        </w:tabs>
        <w:ind w:left="425" w:firstLine="3355"/>
      </w:pPr>
      <w:rPr>
        <w:rFonts w:hint="default"/>
      </w:rPr>
    </w:lvl>
  </w:abstractNum>
  <w:abstractNum w:abstractNumId="35" w15:restartNumberingAfterBreak="0">
    <w:nsid w:val="00000021"/>
    <w:multiLevelType w:val="singleLevel"/>
    <w:tmpl w:val="00000021"/>
    <w:lvl w:ilvl="0">
      <w:start w:val="1"/>
      <w:numFmt w:val="lowerLetter"/>
      <w:lvlText w:val="%1)"/>
      <w:lvlJc w:val="left"/>
      <w:pPr>
        <w:tabs>
          <w:tab w:val="left" w:pos="1265"/>
        </w:tabs>
        <w:ind w:left="1265" w:hanging="425"/>
      </w:pPr>
      <w:rPr>
        <w:rFonts w:hint="default"/>
        <w:color w:val="auto"/>
      </w:rPr>
    </w:lvl>
  </w:abstractNum>
  <w:abstractNum w:abstractNumId="36" w15:restartNumberingAfterBreak="0">
    <w:nsid w:val="00000023"/>
    <w:multiLevelType w:val="singleLevel"/>
    <w:tmpl w:val="00000023"/>
    <w:lvl w:ilvl="0">
      <w:start w:val="1"/>
      <w:numFmt w:val="lowerLetter"/>
      <w:suff w:val="space"/>
      <w:lvlText w:val="%1)"/>
      <w:lvlJc w:val="left"/>
      <w:rPr>
        <w:rFonts w:hint="default"/>
        <w:b/>
        <w:bCs/>
        <w:color w:val="auto"/>
      </w:rPr>
    </w:lvl>
  </w:abstractNum>
  <w:abstractNum w:abstractNumId="37" w15:restartNumberingAfterBreak="0">
    <w:nsid w:val="00000024"/>
    <w:multiLevelType w:val="multilevel"/>
    <w:tmpl w:val="00000024"/>
    <w:lvl w:ilvl="0">
      <w:start w:val="1"/>
      <w:numFmt w:val="decimal"/>
      <w:suff w:val="space"/>
      <w:lvlText w:val="(%1)"/>
      <w:lvlJc w:val="left"/>
      <w:pPr>
        <w:tabs>
          <w:tab w:val="left" w:pos="0"/>
        </w:tabs>
        <w:ind w:left="0" w:firstLine="0"/>
      </w:pPr>
      <w:rPr>
        <w:rFonts w:cs="Arial"/>
        <w:b/>
        <w:bCs/>
        <w:position w:val="0"/>
        <w:sz w:val="24"/>
        <w:vertAlign w:val="baseline"/>
        <w:lang w:val="en-GB"/>
      </w:rPr>
    </w:lvl>
    <w:lvl w:ilvl="1">
      <w:start w:val="1"/>
      <w:numFmt w:val="decimal"/>
      <w:lvlText w:val="%2."/>
      <w:lvlJc w:val="left"/>
      <w:pPr>
        <w:tabs>
          <w:tab w:val="left" w:pos="1080"/>
        </w:tabs>
        <w:ind w:left="1080" w:hanging="360"/>
      </w:pPr>
    </w:lvl>
    <w:lvl w:ilvl="2">
      <w:start w:val="1"/>
      <w:numFmt w:val="decimal"/>
      <w:lvlText w:val="%3."/>
      <w:lvlJc w:val="left"/>
      <w:pPr>
        <w:tabs>
          <w:tab w:val="left" w:pos="1440"/>
        </w:tabs>
        <w:ind w:left="1440" w:hanging="360"/>
      </w:pPr>
    </w:lvl>
    <w:lvl w:ilvl="3">
      <w:start w:val="1"/>
      <w:numFmt w:val="decimal"/>
      <w:lvlText w:val="%4."/>
      <w:lvlJc w:val="left"/>
      <w:pPr>
        <w:tabs>
          <w:tab w:val="left" w:pos="1800"/>
        </w:tabs>
        <w:ind w:left="1800" w:hanging="360"/>
      </w:pPr>
    </w:lvl>
    <w:lvl w:ilvl="4">
      <w:start w:val="1"/>
      <w:numFmt w:val="decimal"/>
      <w:lvlText w:val="%5."/>
      <w:lvlJc w:val="left"/>
      <w:pPr>
        <w:tabs>
          <w:tab w:val="left" w:pos="2160"/>
        </w:tabs>
        <w:ind w:left="2160" w:hanging="360"/>
      </w:pPr>
    </w:lvl>
    <w:lvl w:ilvl="5">
      <w:start w:val="1"/>
      <w:numFmt w:val="decimal"/>
      <w:lvlText w:val="%6."/>
      <w:lvlJc w:val="left"/>
      <w:pPr>
        <w:tabs>
          <w:tab w:val="left" w:pos="2520"/>
        </w:tabs>
        <w:ind w:left="2520" w:hanging="360"/>
      </w:pPr>
    </w:lvl>
    <w:lvl w:ilvl="6">
      <w:start w:val="1"/>
      <w:numFmt w:val="decimal"/>
      <w:lvlText w:val="%7."/>
      <w:lvlJc w:val="left"/>
      <w:pPr>
        <w:tabs>
          <w:tab w:val="left" w:pos="2880"/>
        </w:tabs>
        <w:ind w:left="2880" w:hanging="360"/>
      </w:pPr>
    </w:lvl>
    <w:lvl w:ilvl="7">
      <w:start w:val="1"/>
      <w:numFmt w:val="decimal"/>
      <w:lvlText w:val="%8."/>
      <w:lvlJc w:val="left"/>
      <w:pPr>
        <w:tabs>
          <w:tab w:val="left" w:pos="3240"/>
        </w:tabs>
        <w:ind w:left="3240" w:hanging="360"/>
      </w:pPr>
    </w:lvl>
    <w:lvl w:ilvl="8">
      <w:start w:val="1"/>
      <w:numFmt w:val="decimal"/>
      <w:lvlText w:val="%9."/>
      <w:lvlJc w:val="left"/>
      <w:pPr>
        <w:tabs>
          <w:tab w:val="left" w:pos="3600"/>
        </w:tabs>
        <w:ind w:left="3600" w:hanging="360"/>
      </w:pPr>
    </w:lvl>
  </w:abstractNum>
  <w:abstractNum w:abstractNumId="38" w15:restartNumberingAfterBreak="0">
    <w:nsid w:val="00000025"/>
    <w:multiLevelType w:val="singleLevel"/>
    <w:tmpl w:val="00000025"/>
    <w:lvl w:ilvl="0">
      <w:start w:val="1"/>
      <w:numFmt w:val="lowerLetter"/>
      <w:lvlText w:val="%1)"/>
      <w:lvlJc w:val="left"/>
      <w:pPr>
        <w:tabs>
          <w:tab w:val="left" w:pos="1428"/>
        </w:tabs>
        <w:ind w:left="1428" w:hanging="360"/>
      </w:pPr>
      <w:rPr>
        <w:rFonts w:ascii="Times New Roman" w:eastAsia="Times New Roman" w:hAnsi="Times New Roman" w:cs="Times New Roman" w:hint="default"/>
        <w:b/>
      </w:rPr>
    </w:lvl>
  </w:abstractNum>
  <w:abstractNum w:abstractNumId="39" w15:restartNumberingAfterBreak="0">
    <w:nsid w:val="00000026"/>
    <w:multiLevelType w:val="singleLevel"/>
    <w:tmpl w:val="00000026"/>
    <w:lvl w:ilvl="0">
      <w:start w:val="1"/>
      <w:numFmt w:val="lowerLetter"/>
      <w:lvlText w:val="%1)"/>
      <w:lvlJc w:val="left"/>
      <w:pPr>
        <w:tabs>
          <w:tab w:val="left" w:pos="1265"/>
        </w:tabs>
        <w:ind w:left="1265" w:hanging="425"/>
      </w:pPr>
      <w:rPr>
        <w:rFonts w:hint="default"/>
      </w:rPr>
    </w:lvl>
  </w:abstractNum>
  <w:abstractNum w:abstractNumId="40" w15:restartNumberingAfterBreak="0">
    <w:nsid w:val="00000027"/>
    <w:multiLevelType w:val="multilevel"/>
    <w:tmpl w:val="00000027"/>
    <w:lvl w:ilvl="0">
      <w:start w:val="1"/>
      <w:numFmt w:val="decimal"/>
      <w:pStyle w:val="Titlu1"/>
      <w:lvlText w:val="%1."/>
      <w:lvlJc w:val="left"/>
      <w:pPr>
        <w:ind w:left="432" w:hanging="432"/>
      </w:pPr>
      <w:rPr>
        <w:rFonts w:hint="default"/>
      </w:rPr>
    </w:lvl>
    <w:lvl w:ilvl="1">
      <w:start w:val="1"/>
      <w:numFmt w:val="decimal"/>
      <w:pStyle w:val="Titlu11"/>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1" w15:restartNumberingAfterBreak="0">
    <w:nsid w:val="00000028"/>
    <w:multiLevelType w:val="singleLevel"/>
    <w:tmpl w:val="00000028"/>
    <w:lvl w:ilvl="0">
      <w:start w:val="1"/>
      <w:numFmt w:val="lowerLetter"/>
      <w:suff w:val="space"/>
      <w:lvlText w:val="%1)"/>
      <w:lvlJc w:val="left"/>
    </w:lvl>
  </w:abstractNum>
  <w:abstractNum w:abstractNumId="42" w15:restartNumberingAfterBreak="0">
    <w:nsid w:val="00000029"/>
    <w:multiLevelType w:val="singleLevel"/>
    <w:tmpl w:val="00000029"/>
    <w:lvl w:ilvl="0">
      <w:start w:val="1"/>
      <w:numFmt w:val="lowerLetter"/>
      <w:suff w:val="space"/>
      <w:lvlText w:val="%1)"/>
      <w:lvlJc w:val="left"/>
    </w:lvl>
  </w:abstractNum>
  <w:abstractNum w:abstractNumId="43" w15:restartNumberingAfterBreak="0">
    <w:nsid w:val="0000002A"/>
    <w:multiLevelType w:val="singleLevel"/>
    <w:tmpl w:val="0000002A"/>
    <w:lvl w:ilvl="0">
      <w:start w:val="1"/>
      <w:numFmt w:val="lowerLetter"/>
      <w:lvlText w:val="%1)"/>
      <w:lvlJc w:val="left"/>
      <w:pPr>
        <w:tabs>
          <w:tab w:val="left" w:pos="425"/>
        </w:tabs>
        <w:ind w:left="425" w:hanging="425"/>
      </w:pPr>
      <w:rPr>
        <w:rFonts w:hint="default"/>
        <w:b/>
        <w:bCs/>
      </w:rPr>
    </w:lvl>
  </w:abstractNum>
  <w:abstractNum w:abstractNumId="44" w15:restartNumberingAfterBreak="0">
    <w:nsid w:val="0000002B"/>
    <w:multiLevelType w:val="multilevel"/>
    <w:tmpl w:val="0000002B"/>
    <w:lvl w:ilvl="0">
      <w:start w:val="1"/>
      <w:numFmt w:val="lowerLetter"/>
      <w:lvlText w:val="%1)"/>
      <w:lvlJc w:val="left"/>
      <w:pPr>
        <w:tabs>
          <w:tab w:val="left" w:pos="425"/>
        </w:tabs>
        <w:ind w:left="425" w:firstLine="1375"/>
      </w:pPr>
      <w:rPr>
        <w:rFonts w:hint="default"/>
        <w:b/>
        <w:bCs/>
      </w:rPr>
    </w:lvl>
    <w:lvl w:ilvl="1">
      <w:start w:val="1"/>
      <w:numFmt w:val="lowerLetter"/>
      <w:lvlText w:val="%2."/>
      <w:lvlJc w:val="left"/>
      <w:pPr>
        <w:tabs>
          <w:tab w:val="left" w:pos="425"/>
        </w:tabs>
        <w:ind w:left="425" w:firstLine="2095"/>
      </w:pPr>
      <w:rPr>
        <w:rFonts w:hint="default"/>
      </w:rPr>
    </w:lvl>
    <w:lvl w:ilvl="2">
      <w:start w:val="1"/>
      <w:numFmt w:val="lowerRoman"/>
      <w:lvlText w:val="%3."/>
      <w:lvlJc w:val="right"/>
      <w:pPr>
        <w:tabs>
          <w:tab w:val="left" w:pos="425"/>
        </w:tabs>
        <w:ind w:left="425" w:firstLine="2995"/>
      </w:pPr>
      <w:rPr>
        <w:rFonts w:hint="default"/>
      </w:rPr>
    </w:lvl>
    <w:lvl w:ilvl="3">
      <w:start w:val="1"/>
      <w:numFmt w:val="decimal"/>
      <w:lvlText w:val="%4."/>
      <w:lvlJc w:val="left"/>
      <w:pPr>
        <w:tabs>
          <w:tab w:val="left" w:pos="425"/>
        </w:tabs>
        <w:ind w:left="425" w:firstLine="3535"/>
      </w:pPr>
      <w:rPr>
        <w:rFonts w:hint="default"/>
      </w:rPr>
    </w:lvl>
    <w:lvl w:ilvl="4">
      <w:start w:val="1"/>
      <w:numFmt w:val="lowerLetter"/>
      <w:lvlText w:val="%5."/>
      <w:lvlJc w:val="left"/>
      <w:pPr>
        <w:tabs>
          <w:tab w:val="left" w:pos="425"/>
        </w:tabs>
        <w:ind w:left="425" w:firstLine="4255"/>
      </w:pPr>
      <w:rPr>
        <w:rFonts w:hint="default"/>
      </w:rPr>
    </w:lvl>
    <w:lvl w:ilvl="5">
      <w:start w:val="1"/>
      <w:numFmt w:val="lowerRoman"/>
      <w:lvlText w:val="%6."/>
      <w:lvlJc w:val="right"/>
      <w:pPr>
        <w:tabs>
          <w:tab w:val="left" w:pos="425"/>
        </w:tabs>
        <w:ind w:left="425" w:firstLine="5155"/>
      </w:pPr>
      <w:rPr>
        <w:rFonts w:hint="default"/>
      </w:rPr>
    </w:lvl>
    <w:lvl w:ilvl="6">
      <w:start w:val="1"/>
      <w:numFmt w:val="decimal"/>
      <w:lvlText w:val="%7."/>
      <w:lvlJc w:val="left"/>
      <w:pPr>
        <w:tabs>
          <w:tab w:val="left" w:pos="425"/>
        </w:tabs>
        <w:ind w:left="425" w:firstLine="5695"/>
      </w:pPr>
      <w:rPr>
        <w:rFonts w:hint="default"/>
      </w:rPr>
    </w:lvl>
    <w:lvl w:ilvl="7">
      <w:start w:val="1"/>
      <w:numFmt w:val="lowerLetter"/>
      <w:lvlText w:val="%8."/>
      <w:lvlJc w:val="left"/>
      <w:pPr>
        <w:tabs>
          <w:tab w:val="left" w:pos="425"/>
        </w:tabs>
        <w:ind w:left="425" w:firstLine="6415"/>
      </w:pPr>
      <w:rPr>
        <w:rFonts w:hint="default"/>
      </w:rPr>
    </w:lvl>
    <w:lvl w:ilvl="8">
      <w:start w:val="1"/>
      <w:numFmt w:val="lowerRoman"/>
      <w:lvlText w:val="%9."/>
      <w:lvlJc w:val="right"/>
      <w:pPr>
        <w:tabs>
          <w:tab w:val="left" w:pos="425"/>
        </w:tabs>
        <w:ind w:left="425" w:firstLine="7315"/>
      </w:pPr>
      <w:rPr>
        <w:rFonts w:hint="default"/>
      </w:rPr>
    </w:lvl>
  </w:abstractNum>
  <w:abstractNum w:abstractNumId="45" w15:restartNumberingAfterBreak="0">
    <w:nsid w:val="0000002C"/>
    <w:multiLevelType w:val="singleLevel"/>
    <w:tmpl w:val="0000002C"/>
    <w:lvl w:ilvl="0">
      <w:start w:val="1"/>
      <w:numFmt w:val="lowerLetter"/>
      <w:lvlText w:val="%1."/>
      <w:lvlJc w:val="left"/>
      <w:pPr>
        <w:tabs>
          <w:tab w:val="left" w:pos="425"/>
        </w:tabs>
        <w:ind w:left="425" w:hanging="425"/>
      </w:pPr>
      <w:rPr>
        <w:rFonts w:hint="default"/>
      </w:rPr>
    </w:lvl>
  </w:abstractNum>
  <w:abstractNum w:abstractNumId="46" w15:restartNumberingAfterBreak="0">
    <w:nsid w:val="0000002D"/>
    <w:multiLevelType w:val="singleLevel"/>
    <w:tmpl w:val="0000002D"/>
    <w:lvl w:ilvl="0">
      <w:start w:val="1"/>
      <w:numFmt w:val="lowerLetter"/>
      <w:suff w:val="space"/>
      <w:lvlText w:val="%1)"/>
      <w:lvlJc w:val="left"/>
      <w:rPr>
        <w:rFonts w:hint="default"/>
        <w:b/>
        <w:bCs/>
        <w:i w:val="0"/>
      </w:rPr>
    </w:lvl>
  </w:abstractNum>
  <w:abstractNum w:abstractNumId="47" w15:restartNumberingAfterBreak="0">
    <w:nsid w:val="0000002E"/>
    <w:multiLevelType w:val="singleLevel"/>
    <w:tmpl w:val="0000002E"/>
    <w:lvl w:ilvl="0">
      <w:start w:val="1"/>
      <w:numFmt w:val="bullet"/>
      <w:lvlText w:val="-"/>
      <w:lvlJc w:val="left"/>
      <w:pPr>
        <w:tabs>
          <w:tab w:val="left" w:pos="1680"/>
        </w:tabs>
        <w:ind w:left="1680" w:hanging="420"/>
      </w:pPr>
      <w:rPr>
        <w:rFonts w:ascii="Calibri" w:hAnsi="Calibri" w:cs="Calibri" w:hint="default"/>
      </w:rPr>
    </w:lvl>
  </w:abstractNum>
  <w:abstractNum w:abstractNumId="48" w15:restartNumberingAfterBreak="0">
    <w:nsid w:val="0000002F"/>
    <w:multiLevelType w:val="multilevel"/>
    <w:tmpl w:val="0000002F"/>
    <w:lvl w:ilvl="0">
      <w:start w:val="1"/>
      <w:numFmt w:val="decimal"/>
      <w:lvlText w:val="%1."/>
      <w:lvlJc w:val="left"/>
      <w:pPr>
        <w:tabs>
          <w:tab w:val="left" w:pos="425"/>
        </w:tabs>
        <w:ind w:left="425" w:hanging="425"/>
      </w:pPr>
      <w:rPr>
        <w:rFonts w:hint="default"/>
        <w:b/>
        <w:bCs/>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49" w15:restartNumberingAfterBreak="0">
    <w:nsid w:val="00000030"/>
    <w:multiLevelType w:val="multilevel"/>
    <w:tmpl w:val="00000030"/>
    <w:lvl w:ilvl="0">
      <w:start w:val="1"/>
      <w:numFmt w:val="decimal"/>
      <w:pStyle w:val="Numarat"/>
      <w:lvlText w:val=""/>
      <w:lvlJc w:val="left"/>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50" w15:restartNumberingAfterBreak="0">
    <w:nsid w:val="00000032"/>
    <w:multiLevelType w:val="singleLevel"/>
    <w:tmpl w:val="00000032"/>
    <w:lvl w:ilvl="0">
      <w:start w:val="2"/>
      <w:numFmt w:val="decimal"/>
      <w:suff w:val="space"/>
      <w:lvlText w:val="(%1)"/>
      <w:lvlJc w:val="left"/>
      <w:pPr>
        <w:ind w:left="80"/>
      </w:pPr>
      <w:rPr>
        <w:rFonts w:hint="default"/>
        <w:b/>
        <w:bCs/>
      </w:rPr>
    </w:lvl>
  </w:abstractNum>
  <w:abstractNum w:abstractNumId="51" w15:restartNumberingAfterBreak="0">
    <w:nsid w:val="00000034"/>
    <w:multiLevelType w:val="multilevel"/>
    <w:tmpl w:val="00000034"/>
    <w:lvl w:ilvl="0">
      <w:start w:val="1"/>
      <w:numFmt w:val="lowerLetter"/>
      <w:lvlText w:val="%1)"/>
      <w:lvlJc w:val="left"/>
      <w:pPr>
        <w:ind w:left="2160" w:hanging="360"/>
      </w:pPr>
      <w:rPr>
        <w:b/>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52" w15:restartNumberingAfterBreak="0">
    <w:nsid w:val="00000037"/>
    <w:multiLevelType w:val="singleLevel"/>
    <w:tmpl w:val="00000037"/>
    <w:lvl w:ilvl="0">
      <w:start w:val="1"/>
      <w:numFmt w:val="lowerLetter"/>
      <w:lvlText w:val="%1)"/>
      <w:lvlJc w:val="left"/>
      <w:pPr>
        <w:tabs>
          <w:tab w:val="left" w:pos="1685"/>
        </w:tabs>
        <w:ind w:left="1685" w:hanging="425"/>
      </w:pPr>
      <w:rPr>
        <w:rFonts w:hint="default"/>
      </w:rPr>
    </w:lvl>
  </w:abstractNum>
  <w:abstractNum w:abstractNumId="53" w15:restartNumberingAfterBreak="0">
    <w:nsid w:val="00000038"/>
    <w:multiLevelType w:val="singleLevel"/>
    <w:tmpl w:val="00000038"/>
    <w:lvl w:ilvl="0">
      <w:start w:val="1"/>
      <w:numFmt w:val="lowerRoman"/>
      <w:lvlText w:val="%1."/>
      <w:lvlJc w:val="left"/>
      <w:pPr>
        <w:tabs>
          <w:tab w:val="left" w:pos="2105"/>
        </w:tabs>
        <w:ind w:left="2105" w:hanging="425"/>
      </w:pPr>
      <w:rPr>
        <w:rFonts w:hint="default"/>
      </w:rPr>
    </w:lvl>
  </w:abstractNum>
  <w:abstractNum w:abstractNumId="54" w15:restartNumberingAfterBreak="0">
    <w:nsid w:val="00000039"/>
    <w:multiLevelType w:val="multilevel"/>
    <w:tmpl w:val="00000039"/>
    <w:lvl w:ilvl="0">
      <w:start w:val="1"/>
      <w:numFmt w:val="low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0000003A"/>
    <w:multiLevelType w:val="singleLevel"/>
    <w:tmpl w:val="0000003A"/>
    <w:lvl w:ilvl="0">
      <w:start w:val="1"/>
      <w:numFmt w:val="lowerLetter"/>
      <w:suff w:val="space"/>
      <w:lvlText w:val="%1)"/>
      <w:lvlJc w:val="left"/>
      <w:pPr>
        <w:ind w:left="1440" w:firstLine="0"/>
      </w:pPr>
    </w:lvl>
  </w:abstractNum>
  <w:abstractNum w:abstractNumId="56" w15:restartNumberingAfterBreak="0">
    <w:nsid w:val="0000003B"/>
    <w:multiLevelType w:val="singleLevel"/>
    <w:tmpl w:val="0000003B"/>
    <w:lvl w:ilvl="0">
      <w:start w:val="1"/>
      <w:numFmt w:val="lowerLetter"/>
      <w:lvlText w:val="%1)"/>
      <w:lvlJc w:val="left"/>
      <w:pPr>
        <w:tabs>
          <w:tab w:val="left" w:pos="425"/>
        </w:tabs>
        <w:ind w:left="425" w:hanging="425"/>
      </w:pPr>
      <w:rPr>
        <w:rFonts w:hint="default"/>
      </w:rPr>
    </w:lvl>
  </w:abstractNum>
  <w:abstractNum w:abstractNumId="57" w15:restartNumberingAfterBreak="0">
    <w:nsid w:val="0000003E"/>
    <w:multiLevelType w:val="singleLevel"/>
    <w:tmpl w:val="0000003E"/>
    <w:lvl w:ilvl="0">
      <w:start w:val="1"/>
      <w:numFmt w:val="lowerLetter"/>
      <w:suff w:val="space"/>
      <w:lvlText w:val="%1)"/>
      <w:lvlJc w:val="left"/>
      <w:rPr>
        <w:rFonts w:hint="default"/>
        <w:b/>
        <w:bCs/>
      </w:rPr>
    </w:lvl>
  </w:abstractNum>
  <w:abstractNum w:abstractNumId="58" w15:restartNumberingAfterBreak="0">
    <w:nsid w:val="0000003F"/>
    <w:multiLevelType w:val="multilevel"/>
    <w:tmpl w:val="0000003F"/>
    <w:lvl w:ilvl="0">
      <w:start w:val="1"/>
      <w:numFmt w:val="upperLetter"/>
      <w:pStyle w:val="Anexe-titlu"/>
      <w:suff w:val="space"/>
      <w:lvlText w:val="%1."/>
      <w:lvlJc w:val="left"/>
      <w:pPr>
        <w:ind w:left="0" w:firstLine="0"/>
      </w:pPr>
      <w:rPr>
        <w:rFonts w:hint="default"/>
      </w:rPr>
    </w:lvl>
    <w:lvl w:ilvl="1">
      <w:start w:val="1"/>
      <w:numFmt w:val="decimal"/>
      <w:suff w:val="space"/>
      <w:lvlText w:val="%1.%2."/>
      <w:lvlJc w:val="left"/>
      <w:pPr>
        <w:ind w:left="0" w:firstLine="0"/>
      </w:pPr>
      <w:rPr>
        <w:rFonts w:hint="default"/>
        <w:b/>
        <w:bCs w:val="0"/>
        <w:i w:val="0"/>
        <w:iCs w:val="0"/>
      </w:rPr>
    </w:lvl>
    <w:lvl w:ilvl="2">
      <w:start w:val="1"/>
      <w:numFmt w:val="decimal"/>
      <w:suff w:val="space"/>
      <w:lvlText w:val="%1.%2.%3."/>
      <w:lvlJc w:val="left"/>
      <w:pPr>
        <w:ind w:left="0" w:firstLine="0"/>
      </w:pPr>
      <w:rPr>
        <w:rFonts w:hint="default"/>
        <w:b/>
        <w:bCs w:val="0"/>
      </w:rPr>
    </w:lvl>
    <w:lvl w:ilvl="3">
      <w:start w:val="1"/>
      <w:numFmt w:val="decimal"/>
      <w:suff w:val="space"/>
      <w:lvlText w:val="%1.%2.%3.%4."/>
      <w:lvlJc w:val="left"/>
      <w:pPr>
        <w:ind w:left="0" w:firstLine="0"/>
      </w:pPr>
      <w:rPr>
        <w:rFonts w:hint="default"/>
        <w:b/>
        <w:bCs w:val="0"/>
        <w:i w:val="0"/>
        <w:iCs w:val="0"/>
        <w:caps w:val="0"/>
        <w:smallCaps w:val="0"/>
        <w:vanish w:val="0"/>
        <w:spacing w:val="0"/>
        <w:kern w:val="0"/>
        <w:position w:val="0"/>
        <w:u w:val="none"/>
        <w:vertAlign w:val="baseline"/>
      </w:rPr>
    </w:lvl>
    <w:lvl w:ilvl="4">
      <w:start w:val="1"/>
      <w:numFmt w:val="decimal"/>
      <w:suff w:val="space"/>
      <w:lvlText w:val="%1.%2.%3.%4.%5"/>
      <w:lvlJc w:val="left"/>
      <w:pPr>
        <w:ind w:left="0" w:firstLine="0"/>
      </w:pPr>
      <w:rPr>
        <w:rFonts w:hint="default"/>
      </w:rPr>
    </w:lvl>
    <w:lvl w:ilvl="5">
      <w:start w:val="1"/>
      <w:numFmt w:val="decimal"/>
      <w:suff w:val="space"/>
      <w:lvlText w:val="Figura %1.%6 "/>
      <w:lvlJc w:val="left"/>
      <w:pPr>
        <w:ind w:left="0" w:firstLine="0"/>
      </w:pPr>
      <w:rPr>
        <w:rFonts w:hint="default"/>
      </w:rPr>
    </w:lvl>
    <w:lvl w:ilvl="6">
      <w:start w:val="1"/>
      <w:numFmt w:val="decimal"/>
      <w:suff w:val="space"/>
      <w:lvlText w:val="(%1.%7)"/>
      <w:lvlJc w:val="left"/>
      <w:pPr>
        <w:ind w:left="480" w:hanging="480"/>
      </w:pPr>
      <w:rPr>
        <w:rFonts w:hint="default"/>
      </w:rPr>
    </w:lvl>
    <w:lvl w:ilvl="7">
      <w:start w:val="1"/>
      <w:numFmt w:val="decimal"/>
      <w:lvlText w:val=""/>
      <w:lvlJc w:val="left"/>
      <w:pPr>
        <w:tabs>
          <w:tab w:val="left" w:pos="360"/>
        </w:tabs>
        <w:ind w:left="0" w:firstLine="0"/>
      </w:pPr>
      <w:rPr>
        <w:rFonts w:hint="default"/>
      </w:rPr>
    </w:lvl>
    <w:lvl w:ilvl="8">
      <w:start w:val="1"/>
      <w:numFmt w:val="decimal"/>
      <w:lvlText w:val=""/>
      <w:lvlJc w:val="left"/>
      <w:pPr>
        <w:tabs>
          <w:tab w:val="left" w:pos="360"/>
        </w:tabs>
        <w:ind w:left="0" w:firstLine="0"/>
      </w:pPr>
      <w:rPr>
        <w:rFonts w:hint="default"/>
      </w:rPr>
    </w:lvl>
  </w:abstractNum>
  <w:abstractNum w:abstractNumId="59" w15:restartNumberingAfterBreak="0">
    <w:nsid w:val="00000041"/>
    <w:multiLevelType w:val="multilevel"/>
    <w:tmpl w:val="00000041"/>
    <w:lvl w:ilvl="0">
      <w:start w:val="1"/>
      <w:numFmt w:val="lowerLetter"/>
      <w:lvlText w:val="%1)"/>
      <w:lvlJc w:val="left"/>
      <w:pPr>
        <w:ind w:left="720" w:hanging="360"/>
      </w:pPr>
      <w:rPr>
        <w:rFonts w:hint="default"/>
        <w:b w:val="0"/>
        <w:i/>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00000042"/>
    <w:multiLevelType w:val="multilevel"/>
    <w:tmpl w:val="00000042"/>
    <w:lvl w:ilvl="0">
      <w:start w:val="1"/>
      <w:numFmt w:val="low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00000043"/>
    <w:multiLevelType w:val="multilevel"/>
    <w:tmpl w:val="00000043"/>
    <w:lvl w:ilvl="0">
      <w:start w:val="1"/>
      <w:numFmt w:val="lowerLetter"/>
      <w:lvlText w:val="%1)"/>
      <w:lvlJc w:val="left"/>
      <w:pPr>
        <w:ind w:left="1069" w:hanging="360"/>
      </w:pPr>
      <w:rPr>
        <w:rFonts w:hint="default"/>
        <w:b/>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62" w15:restartNumberingAfterBreak="0">
    <w:nsid w:val="00000044"/>
    <w:multiLevelType w:val="singleLevel"/>
    <w:tmpl w:val="00000044"/>
    <w:lvl w:ilvl="0">
      <w:start w:val="2"/>
      <w:numFmt w:val="decimal"/>
      <w:suff w:val="space"/>
      <w:lvlText w:val="(%1)"/>
      <w:lvlJc w:val="left"/>
      <w:pPr>
        <w:ind w:left="33"/>
      </w:pPr>
      <w:rPr>
        <w:rFonts w:hint="default"/>
        <w:b/>
        <w:bCs/>
      </w:rPr>
    </w:lvl>
  </w:abstractNum>
  <w:abstractNum w:abstractNumId="63" w15:restartNumberingAfterBreak="0">
    <w:nsid w:val="00000045"/>
    <w:multiLevelType w:val="singleLevel"/>
    <w:tmpl w:val="00000045"/>
    <w:lvl w:ilvl="0">
      <w:start w:val="1"/>
      <w:numFmt w:val="lowerLetter"/>
      <w:lvlText w:val="%1."/>
      <w:lvlJc w:val="left"/>
      <w:pPr>
        <w:tabs>
          <w:tab w:val="left" w:pos="1265"/>
        </w:tabs>
        <w:ind w:left="1265" w:hanging="425"/>
      </w:pPr>
      <w:rPr>
        <w:rFonts w:hint="default"/>
      </w:rPr>
    </w:lvl>
  </w:abstractNum>
  <w:abstractNum w:abstractNumId="64" w15:restartNumberingAfterBreak="0">
    <w:nsid w:val="00000046"/>
    <w:multiLevelType w:val="singleLevel"/>
    <w:tmpl w:val="00000046"/>
    <w:lvl w:ilvl="0">
      <w:start w:val="1"/>
      <w:numFmt w:val="lowerLetter"/>
      <w:lvlText w:val="%1."/>
      <w:lvlJc w:val="left"/>
      <w:pPr>
        <w:tabs>
          <w:tab w:val="left" w:pos="1685"/>
        </w:tabs>
        <w:ind w:left="1685" w:hanging="425"/>
      </w:pPr>
      <w:rPr>
        <w:rFonts w:hint="default"/>
        <w:color w:val="auto"/>
      </w:rPr>
    </w:lvl>
  </w:abstractNum>
  <w:abstractNum w:abstractNumId="65" w15:restartNumberingAfterBreak="0">
    <w:nsid w:val="00000048"/>
    <w:multiLevelType w:val="singleLevel"/>
    <w:tmpl w:val="00000048"/>
    <w:lvl w:ilvl="0">
      <w:start w:val="1"/>
      <w:numFmt w:val="lowerLetter"/>
      <w:suff w:val="space"/>
      <w:lvlText w:val="%1)"/>
      <w:lvlJc w:val="left"/>
    </w:lvl>
  </w:abstractNum>
  <w:abstractNum w:abstractNumId="66" w15:restartNumberingAfterBreak="0">
    <w:nsid w:val="00000049"/>
    <w:multiLevelType w:val="singleLevel"/>
    <w:tmpl w:val="00000049"/>
    <w:lvl w:ilvl="0">
      <w:start w:val="1"/>
      <w:numFmt w:val="bullet"/>
      <w:lvlText w:val="-"/>
      <w:lvlJc w:val="left"/>
      <w:pPr>
        <w:tabs>
          <w:tab w:val="left" w:pos="1680"/>
        </w:tabs>
        <w:ind w:left="1680" w:hanging="420"/>
      </w:pPr>
      <w:rPr>
        <w:rFonts w:ascii="Calibri" w:hAnsi="Calibri" w:cs="Calibri" w:hint="default"/>
      </w:rPr>
    </w:lvl>
  </w:abstractNum>
  <w:abstractNum w:abstractNumId="67" w15:restartNumberingAfterBreak="0">
    <w:nsid w:val="0000004A"/>
    <w:multiLevelType w:val="singleLevel"/>
    <w:tmpl w:val="0000004A"/>
    <w:lvl w:ilvl="0">
      <w:start w:val="1"/>
      <w:numFmt w:val="lowerLetter"/>
      <w:suff w:val="space"/>
      <w:lvlText w:val="%1)"/>
      <w:lvlJc w:val="left"/>
    </w:lvl>
  </w:abstractNum>
  <w:abstractNum w:abstractNumId="68" w15:restartNumberingAfterBreak="0">
    <w:nsid w:val="0000004B"/>
    <w:multiLevelType w:val="singleLevel"/>
    <w:tmpl w:val="0000004B"/>
    <w:lvl w:ilvl="0">
      <w:start w:val="1"/>
      <w:numFmt w:val="lowerRoman"/>
      <w:lvlText w:val="%1."/>
      <w:lvlJc w:val="left"/>
      <w:pPr>
        <w:tabs>
          <w:tab w:val="left" w:pos="425"/>
        </w:tabs>
        <w:ind w:left="425" w:hanging="425"/>
      </w:pPr>
      <w:rPr>
        <w:rFonts w:hint="default"/>
      </w:rPr>
    </w:lvl>
  </w:abstractNum>
  <w:abstractNum w:abstractNumId="69" w15:restartNumberingAfterBreak="0">
    <w:nsid w:val="0000004C"/>
    <w:multiLevelType w:val="multilevel"/>
    <w:tmpl w:val="0000004C"/>
    <w:lvl w:ilvl="0">
      <w:start w:val="1"/>
      <w:numFmt w:val="lowerLetter"/>
      <w:lvlText w:val="%1)"/>
      <w:lvlJc w:val="left"/>
      <w:pPr>
        <w:tabs>
          <w:tab w:val="left" w:pos="420"/>
        </w:tabs>
        <w:ind w:left="1140" w:hanging="360"/>
      </w:pPr>
      <w:rPr>
        <w:b/>
      </w:rPr>
    </w:lvl>
    <w:lvl w:ilvl="1">
      <w:start w:val="1"/>
      <w:numFmt w:val="lowerLetter"/>
      <w:lvlText w:val="%2."/>
      <w:lvlJc w:val="left"/>
      <w:pPr>
        <w:tabs>
          <w:tab w:val="left" w:pos="420"/>
        </w:tabs>
        <w:ind w:left="1860" w:hanging="360"/>
      </w:pPr>
    </w:lvl>
    <w:lvl w:ilvl="2">
      <w:start w:val="1"/>
      <w:numFmt w:val="lowerRoman"/>
      <w:lvlText w:val="%3."/>
      <w:lvlJc w:val="right"/>
      <w:pPr>
        <w:tabs>
          <w:tab w:val="left" w:pos="420"/>
        </w:tabs>
        <w:ind w:left="2580" w:hanging="180"/>
      </w:pPr>
    </w:lvl>
    <w:lvl w:ilvl="3">
      <w:start w:val="1"/>
      <w:numFmt w:val="decimal"/>
      <w:lvlText w:val="%4."/>
      <w:lvlJc w:val="left"/>
      <w:pPr>
        <w:tabs>
          <w:tab w:val="left" w:pos="420"/>
        </w:tabs>
        <w:ind w:left="3300" w:hanging="360"/>
      </w:pPr>
    </w:lvl>
    <w:lvl w:ilvl="4">
      <w:start w:val="1"/>
      <w:numFmt w:val="lowerLetter"/>
      <w:lvlText w:val="%5."/>
      <w:lvlJc w:val="left"/>
      <w:pPr>
        <w:tabs>
          <w:tab w:val="left" w:pos="420"/>
        </w:tabs>
        <w:ind w:left="4020" w:hanging="360"/>
      </w:pPr>
    </w:lvl>
    <w:lvl w:ilvl="5">
      <w:start w:val="1"/>
      <w:numFmt w:val="lowerRoman"/>
      <w:lvlText w:val="%6."/>
      <w:lvlJc w:val="right"/>
      <w:pPr>
        <w:tabs>
          <w:tab w:val="left" w:pos="420"/>
        </w:tabs>
        <w:ind w:left="4740" w:hanging="180"/>
      </w:pPr>
    </w:lvl>
    <w:lvl w:ilvl="6">
      <w:start w:val="1"/>
      <w:numFmt w:val="decimal"/>
      <w:lvlText w:val="%7."/>
      <w:lvlJc w:val="left"/>
      <w:pPr>
        <w:tabs>
          <w:tab w:val="left" w:pos="420"/>
        </w:tabs>
        <w:ind w:left="5460" w:hanging="360"/>
      </w:pPr>
    </w:lvl>
    <w:lvl w:ilvl="7">
      <w:start w:val="1"/>
      <w:numFmt w:val="lowerLetter"/>
      <w:lvlText w:val="%8."/>
      <w:lvlJc w:val="left"/>
      <w:pPr>
        <w:tabs>
          <w:tab w:val="left" w:pos="420"/>
        </w:tabs>
        <w:ind w:left="6180" w:hanging="360"/>
      </w:pPr>
    </w:lvl>
    <w:lvl w:ilvl="8">
      <w:start w:val="1"/>
      <w:numFmt w:val="lowerRoman"/>
      <w:lvlText w:val="%9."/>
      <w:lvlJc w:val="right"/>
      <w:pPr>
        <w:tabs>
          <w:tab w:val="left" w:pos="420"/>
        </w:tabs>
        <w:ind w:left="6900" w:hanging="180"/>
      </w:pPr>
    </w:lvl>
  </w:abstractNum>
  <w:abstractNum w:abstractNumId="70" w15:restartNumberingAfterBreak="0">
    <w:nsid w:val="0000004D"/>
    <w:multiLevelType w:val="multilevel"/>
    <w:tmpl w:val="0000004D"/>
    <w:lvl w:ilvl="0">
      <w:start w:val="1"/>
      <w:numFmt w:val="lowerLetter"/>
      <w:lvlText w:val="%1)"/>
      <w:lvlJc w:val="left"/>
      <w:pPr>
        <w:tabs>
          <w:tab w:val="left" w:pos="840"/>
        </w:tabs>
        <w:ind w:left="1905" w:hanging="360"/>
      </w:pPr>
      <w:rPr>
        <w:rFonts w:hint="default"/>
      </w:rPr>
    </w:lvl>
    <w:lvl w:ilvl="1">
      <w:start w:val="1"/>
      <w:numFmt w:val="lowerLetter"/>
      <w:lvlText w:val="%2."/>
      <w:lvlJc w:val="left"/>
      <w:pPr>
        <w:tabs>
          <w:tab w:val="left" w:pos="840"/>
        </w:tabs>
        <w:ind w:left="2625" w:hanging="360"/>
      </w:pPr>
    </w:lvl>
    <w:lvl w:ilvl="2">
      <w:start w:val="1"/>
      <w:numFmt w:val="lowerRoman"/>
      <w:lvlText w:val="%3."/>
      <w:lvlJc w:val="right"/>
      <w:pPr>
        <w:tabs>
          <w:tab w:val="left" w:pos="840"/>
        </w:tabs>
        <w:ind w:left="3345" w:hanging="180"/>
      </w:pPr>
    </w:lvl>
    <w:lvl w:ilvl="3">
      <w:start w:val="1"/>
      <w:numFmt w:val="decimal"/>
      <w:lvlText w:val="%4."/>
      <w:lvlJc w:val="left"/>
      <w:pPr>
        <w:tabs>
          <w:tab w:val="left" w:pos="840"/>
        </w:tabs>
        <w:ind w:left="4065" w:hanging="360"/>
      </w:pPr>
    </w:lvl>
    <w:lvl w:ilvl="4">
      <w:start w:val="1"/>
      <w:numFmt w:val="lowerLetter"/>
      <w:lvlText w:val="%5."/>
      <w:lvlJc w:val="left"/>
      <w:pPr>
        <w:tabs>
          <w:tab w:val="left" w:pos="840"/>
        </w:tabs>
        <w:ind w:left="4785" w:hanging="360"/>
      </w:pPr>
    </w:lvl>
    <w:lvl w:ilvl="5">
      <w:start w:val="1"/>
      <w:numFmt w:val="lowerRoman"/>
      <w:lvlText w:val="%6."/>
      <w:lvlJc w:val="right"/>
      <w:pPr>
        <w:tabs>
          <w:tab w:val="left" w:pos="840"/>
        </w:tabs>
        <w:ind w:left="5505" w:hanging="180"/>
      </w:pPr>
    </w:lvl>
    <w:lvl w:ilvl="6">
      <w:start w:val="1"/>
      <w:numFmt w:val="decimal"/>
      <w:lvlText w:val="%7."/>
      <w:lvlJc w:val="left"/>
      <w:pPr>
        <w:tabs>
          <w:tab w:val="left" w:pos="840"/>
        </w:tabs>
        <w:ind w:left="6225" w:hanging="360"/>
      </w:pPr>
    </w:lvl>
    <w:lvl w:ilvl="7">
      <w:start w:val="1"/>
      <w:numFmt w:val="lowerLetter"/>
      <w:lvlText w:val="%8."/>
      <w:lvlJc w:val="left"/>
      <w:pPr>
        <w:tabs>
          <w:tab w:val="left" w:pos="840"/>
        </w:tabs>
        <w:ind w:left="6945" w:hanging="360"/>
      </w:pPr>
    </w:lvl>
    <w:lvl w:ilvl="8">
      <w:start w:val="1"/>
      <w:numFmt w:val="lowerRoman"/>
      <w:lvlText w:val="%9."/>
      <w:lvlJc w:val="right"/>
      <w:pPr>
        <w:tabs>
          <w:tab w:val="left" w:pos="840"/>
        </w:tabs>
        <w:ind w:left="7665" w:hanging="180"/>
      </w:pPr>
    </w:lvl>
  </w:abstractNum>
  <w:abstractNum w:abstractNumId="71" w15:restartNumberingAfterBreak="0">
    <w:nsid w:val="0000004F"/>
    <w:multiLevelType w:val="multilevel"/>
    <w:tmpl w:val="0000004F"/>
    <w:lvl w:ilvl="0">
      <w:start w:val="4"/>
      <w:numFmt w:val="bullet"/>
      <w:lvlText w:val="-"/>
      <w:lvlJc w:val="left"/>
      <w:pPr>
        <w:tabs>
          <w:tab w:val="left" w:pos="900"/>
        </w:tabs>
        <w:ind w:left="1620" w:hanging="360"/>
      </w:pPr>
      <w:rPr>
        <w:rFonts w:ascii="Calibri" w:eastAsia="Calibri" w:hAnsi="Calibri" w:cs="Calibri" w:hint="default"/>
      </w:rPr>
    </w:lvl>
    <w:lvl w:ilvl="1">
      <w:start w:val="1"/>
      <w:numFmt w:val="bullet"/>
      <w:lvlText w:val="o"/>
      <w:lvlJc w:val="left"/>
      <w:pPr>
        <w:tabs>
          <w:tab w:val="left" w:pos="1260"/>
        </w:tabs>
        <w:ind w:left="2700" w:hanging="360"/>
      </w:pPr>
      <w:rPr>
        <w:rFonts w:ascii="Courier New" w:hAnsi="Courier New" w:cs="Courier New" w:hint="default"/>
      </w:rPr>
    </w:lvl>
    <w:lvl w:ilvl="2">
      <w:start w:val="1"/>
      <w:numFmt w:val="bullet"/>
      <w:lvlText w:val=""/>
      <w:lvlJc w:val="left"/>
      <w:pPr>
        <w:tabs>
          <w:tab w:val="left" w:pos="1260"/>
        </w:tabs>
        <w:ind w:left="3420" w:hanging="360"/>
      </w:pPr>
      <w:rPr>
        <w:rFonts w:ascii="Wingdings" w:hAnsi="Wingdings" w:hint="default"/>
      </w:rPr>
    </w:lvl>
    <w:lvl w:ilvl="3">
      <w:start w:val="1"/>
      <w:numFmt w:val="bullet"/>
      <w:lvlText w:val=""/>
      <w:lvlJc w:val="left"/>
      <w:pPr>
        <w:tabs>
          <w:tab w:val="left" w:pos="1260"/>
        </w:tabs>
        <w:ind w:left="4140" w:hanging="360"/>
      </w:pPr>
      <w:rPr>
        <w:rFonts w:ascii="Symbol" w:hAnsi="Symbol" w:hint="default"/>
      </w:rPr>
    </w:lvl>
    <w:lvl w:ilvl="4">
      <w:start w:val="1"/>
      <w:numFmt w:val="bullet"/>
      <w:lvlText w:val="o"/>
      <w:lvlJc w:val="left"/>
      <w:pPr>
        <w:tabs>
          <w:tab w:val="left" w:pos="1260"/>
        </w:tabs>
        <w:ind w:left="4860" w:hanging="360"/>
      </w:pPr>
      <w:rPr>
        <w:rFonts w:ascii="Courier New" w:hAnsi="Courier New" w:cs="Courier New" w:hint="default"/>
      </w:rPr>
    </w:lvl>
    <w:lvl w:ilvl="5">
      <w:start w:val="1"/>
      <w:numFmt w:val="bullet"/>
      <w:lvlText w:val=""/>
      <w:lvlJc w:val="left"/>
      <w:pPr>
        <w:tabs>
          <w:tab w:val="left" w:pos="1260"/>
        </w:tabs>
        <w:ind w:left="5580" w:hanging="360"/>
      </w:pPr>
      <w:rPr>
        <w:rFonts w:ascii="Wingdings" w:hAnsi="Wingdings" w:hint="default"/>
      </w:rPr>
    </w:lvl>
    <w:lvl w:ilvl="6">
      <w:start w:val="1"/>
      <w:numFmt w:val="bullet"/>
      <w:lvlText w:val=""/>
      <w:lvlJc w:val="left"/>
      <w:pPr>
        <w:tabs>
          <w:tab w:val="left" w:pos="1260"/>
        </w:tabs>
        <w:ind w:left="6300" w:hanging="360"/>
      </w:pPr>
      <w:rPr>
        <w:rFonts w:ascii="Symbol" w:hAnsi="Symbol" w:hint="default"/>
      </w:rPr>
    </w:lvl>
    <w:lvl w:ilvl="7">
      <w:start w:val="1"/>
      <w:numFmt w:val="bullet"/>
      <w:lvlText w:val="o"/>
      <w:lvlJc w:val="left"/>
      <w:pPr>
        <w:tabs>
          <w:tab w:val="left" w:pos="1260"/>
        </w:tabs>
        <w:ind w:left="7020" w:hanging="360"/>
      </w:pPr>
      <w:rPr>
        <w:rFonts w:ascii="Courier New" w:hAnsi="Courier New" w:cs="Courier New" w:hint="default"/>
      </w:rPr>
    </w:lvl>
    <w:lvl w:ilvl="8">
      <w:start w:val="1"/>
      <w:numFmt w:val="bullet"/>
      <w:lvlText w:val=""/>
      <w:lvlJc w:val="left"/>
      <w:pPr>
        <w:tabs>
          <w:tab w:val="left" w:pos="1260"/>
        </w:tabs>
        <w:ind w:left="7740" w:hanging="360"/>
      </w:pPr>
      <w:rPr>
        <w:rFonts w:ascii="Wingdings" w:hAnsi="Wingdings" w:hint="default"/>
      </w:rPr>
    </w:lvl>
  </w:abstractNum>
  <w:abstractNum w:abstractNumId="72" w15:restartNumberingAfterBreak="0">
    <w:nsid w:val="00000051"/>
    <w:multiLevelType w:val="singleLevel"/>
    <w:tmpl w:val="00000051"/>
    <w:lvl w:ilvl="0">
      <w:start w:val="1"/>
      <w:numFmt w:val="bullet"/>
      <w:lvlText w:val="−"/>
      <w:lvlJc w:val="left"/>
      <w:pPr>
        <w:tabs>
          <w:tab w:val="left" w:pos="1260"/>
        </w:tabs>
        <w:ind w:left="1260" w:hanging="420"/>
      </w:pPr>
      <w:rPr>
        <w:rFonts w:ascii="Arial" w:hAnsi="Arial" w:cs="Arial" w:hint="default"/>
      </w:rPr>
    </w:lvl>
  </w:abstractNum>
  <w:abstractNum w:abstractNumId="73" w15:restartNumberingAfterBreak="0">
    <w:nsid w:val="00000052"/>
    <w:multiLevelType w:val="singleLevel"/>
    <w:tmpl w:val="00000052"/>
    <w:lvl w:ilvl="0">
      <w:start w:val="1"/>
      <w:numFmt w:val="lowerLetter"/>
      <w:suff w:val="space"/>
      <w:lvlText w:val="%1)"/>
      <w:lvlJc w:val="left"/>
      <w:pPr>
        <w:ind w:left="1220"/>
      </w:pPr>
      <w:rPr>
        <w:rFonts w:hint="default"/>
        <w:b/>
        <w:bCs/>
      </w:rPr>
    </w:lvl>
  </w:abstractNum>
  <w:abstractNum w:abstractNumId="74" w15:restartNumberingAfterBreak="0">
    <w:nsid w:val="00000053"/>
    <w:multiLevelType w:val="multilevel"/>
    <w:tmpl w:val="00000053"/>
    <w:lvl w:ilvl="0">
      <w:start w:val="1"/>
      <w:numFmt w:val="low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00000054"/>
    <w:multiLevelType w:val="multilevel"/>
    <w:tmpl w:val="00000054"/>
    <w:lvl w:ilvl="0">
      <w:start w:val="1"/>
      <w:numFmt w:val="lowerLetter"/>
      <w:pStyle w:val="Parabraf-sub1"/>
      <w:lvlText w:val="(%1)"/>
      <w:lvlJc w:val="left"/>
      <w:pPr>
        <w:ind w:left="927" w:hanging="360"/>
      </w:pPr>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76" w15:restartNumberingAfterBreak="0">
    <w:nsid w:val="00000055"/>
    <w:multiLevelType w:val="multilevel"/>
    <w:tmpl w:val="00000055"/>
    <w:lvl w:ilvl="0">
      <w:start w:val="1"/>
      <w:numFmt w:val="lowerLetter"/>
      <w:lvlText w:val="%1)"/>
      <w:lvlJc w:val="left"/>
      <w:pPr>
        <w:ind w:left="1760" w:hanging="360"/>
      </w:pPr>
      <w:rPr>
        <w:rFonts w:hint="default"/>
        <w:b/>
      </w:rPr>
    </w:lvl>
    <w:lvl w:ilvl="1">
      <w:start w:val="1"/>
      <w:numFmt w:val="lowerLetter"/>
      <w:lvlText w:val="%2."/>
      <w:lvlJc w:val="left"/>
      <w:pPr>
        <w:ind w:left="2480" w:hanging="360"/>
      </w:pPr>
    </w:lvl>
    <w:lvl w:ilvl="2">
      <w:start w:val="1"/>
      <w:numFmt w:val="lowerRoman"/>
      <w:lvlText w:val="%3."/>
      <w:lvlJc w:val="right"/>
      <w:pPr>
        <w:ind w:left="3200" w:hanging="180"/>
      </w:pPr>
    </w:lvl>
    <w:lvl w:ilvl="3">
      <w:start w:val="1"/>
      <w:numFmt w:val="decimal"/>
      <w:lvlText w:val="%4."/>
      <w:lvlJc w:val="left"/>
      <w:pPr>
        <w:ind w:left="3920" w:hanging="360"/>
      </w:pPr>
    </w:lvl>
    <w:lvl w:ilvl="4">
      <w:start w:val="1"/>
      <w:numFmt w:val="lowerLetter"/>
      <w:lvlText w:val="%5."/>
      <w:lvlJc w:val="left"/>
      <w:pPr>
        <w:ind w:left="4640" w:hanging="360"/>
      </w:pPr>
    </w:lvl>
    <w:lvl w:ilvl="5">
      <w:start w:val="1"/>
      <w:numFmt w:val="lowerRoman"/>
      <w:lvlText w:val="%6."/>
      <w:lvlJc w:val="right"/>
      <w:pPr>
        <w:ind w:left="5360" w:hanging="180"/>
      </w:pPr>
    </w:lvl>
    <w:lvl w:ilvl="6">
      <w:start w:val="1"/>
      <w:numFmt w:val="decimal"/>
      <w:lvlText w:val="%7."/>
      <w:lvlJc w:val="left"/>
      <w:pPr>
        <w:ind w:left="6080" w:hanging="360"/>
      </w:pPr>
    </w:lvl>
    <w:lvl w:ilvl="7">
      <w:start w:val="1"/>
      <w:numFmt w:val="lowerLetter"/>
      <w:lvlText w:val="%8."/>
      <w:lvlJc w:val="left"/>
      <w:pPr>
        <w:ind w:left="6800" w:hanging="360"/>
      </w:pPr>
    </w:lvl>
    <w:lvl w:ilvl="8">
      <w:start w:val="1"/>
      <w:numFmt w:val="lowerRoman"/>
      <w:lvlText w:val="%9."/>
      <w:lvlJc w:val="right"/>
      <w:pPr>
        <w:ind w:left="7520" w:hanging="180"/>
      </w:pPr>
    </w:lvl>
  </w:abstractNum>
  <w:abstractNum w:abstractNumId="77" w15:restartNumberingAfterBreak="0">
    <w:nsid w:val="00000056"/>
    <w:multiLevelType w:val="multilevel"/>
    <w:tmpl w:val="00000056"/>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78" w15:restartNumberingAfterBreak="0">
    <w:nsid w:val="00000057"/>
    <w:multiLevelType w:val="singleLevel"/>
    <w:tmpl w:val="00000057"/>
    <w:lvl w:ilvl="0">
      <w:start w:val="1"/>
      <w:numFmt w:val="lowerLetter"/>
      <w:suff w:val="space"/>
      <w:lvlText w:val="%1)"/>
      <w:lvlJc w:val="left"/>
    </w:lvl>
  </w:abstractNum>
  <w:abstractNum w:abstractNumId="79" w15:restartNumberingAfterBreak="0">
    <w:nsid w:val="00000059"/>
    <w:multiLevelType w:val="singleLevel"/>
    <w:tmpl w:val="00000059"/>
    <w:lvl w:ilvl="0">
      <w:start w:val="1"/>
      <w:numFmt w:val="lowerLetter"/>
      <w:lvlText w:val="%1)"/>
      <w:lvlJc w:val="left"/>
      <w:pPr>
        <w:tabs>
          <w:tab w:val="left" w:pos="2500"/>
        </w:tabs>
        <w:ind w:left="2500" w:hanging="360"/>
      </w:pPr>
      <w:rPr>
        <w:rFonts w:cs="Times New Roman"/>
        <w:b/>
        <w:bCs/>
      </w:rPr>
    </w:lvl>
  </w:abstractNum>
  <w:abstractNum w:abstractNumId="80" w15:restartNumberingAfterBreak="0">
    <w:nsid w:val="0000005A"/>
    <w:multiLevelType w:val="multilevel"/>
    <w:tmpl w:val="0000005A"/>
    <w:lvl w:ilvl="0">
      <w:start w:val="1"/>
      <w:numFmt w:val="decimal"/>
      <w:pStyle w:val="ANEXA1"/>
      <w:lvlText w:val="A.%1."/>
      <w:lvlJc w:val="left"/>
      <w:pPr>
        <w:ind w:left="360" w:hanging="360"/>
      </w:pPr>
    </w:lvl>
    <w:lvl w:ilvl="1">
      <w:start w:val="1"/>
      <w:numFmt w:val="upperLetter"/>
      <w:lvlText w:val="A.%1.%2."/>
      <w:lvlJc w:val="left"/>
      <w:pPr>
        <w:ind w:left="720" w:hanging="360"/>
      </w:pPr>
    </w:lvl>
    <w:lvl w:ilvl="2">
      <w:start w:val="1"/>
      <w:numFmt w:val="decimal"/>
      <w:lvlText w:val="A.%1.%2.%3."/>
      <w:lvlJc w:val="left"/>
      <w:pPr>
        <w:ind w:left="1080" w:hanging="360"/>
      </w:pPr>
      <w:rPr>
        <w:b/>
        <w:bCs/>
      </w:rPr>
    </w:lvl>
    <w:lvl w:ilvl="3">
      <w:start w:val="1"/>
      <w:numFmt w:val="decimal"/>
      <w:pStyle w:val="ANEXA4"/>
      <w:lvlText w:val="A.%1.%2.%3.%4"/>
      <w:lvlJc w:val="left"/>
      <w:pPr>
        <w:ind w:left="1440" w:hanging="360"/>
      </w:pPr>
    </w:lvl>
    <w:lvl w:ilvl="4">
      <w:start w:val="1"/>
      <w:numFmt w:val="lowerLetter"/>
      <w:pStyle w:val="ANEXA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 w15:restartNumberingAfterBreak="0">
    <w:nsid w:val="0000005B"/>
    <w:multiLevelType w:val="multilevel"/>
    <w:tmpl w:val="0000005B"/>
    <w:lvl w:ilvl="0">
      <w:start w:val="1"/>
      <w:numFmt w:val="lowerLetter"/>
      <w:lvlText w:val="%1)"/>
      <w:lvlJc w:val="left"/>
      <w:pPr>
        <w:tabs>
          <w:tab w:val="left" w:pos="1500"/>
        </w:tabs>
        <w:ind w:left="1500" w:hanging="360"/>
      </w:pPr>
      <w:rPr>
        <w:rFonts w:hint="default"/>
        <w:b/>
        <w:bCs/>
        <w:color w:val="auto"/>
      </w:rPr>
    </w:lvl>
    <w:lvl w:ilvl="1">
      <w:start w:val="1"/>
      <w:numFmt w:val="lowerLetter"/>
      <w:lvlText w:val="%2."/>
      <w:lvlJc w:val="left"/>
      <w:pPr>
        <w:tabs>
          <w:tab w:val="left" w:pos="1860"/>
        </w:tabs>
        <w:ind w:left="1860" w:hanging="360"/>
      </w:pPr>
      <w:rPr>
        <w:rFonts w:cs="Times New Roman"/>
      </w:rPr>
    </w:lvl>
    <w:lvl w:ilvl="2">
      <w:start w:val="1"/>
      <w:numFmt w:val="lowerRoman"/>
      <w:lvlText w:val="%3."/>
      <w:lvlJc w:val="right"/>
      <w:pPr>
        <w:tabs>
          <w:tab w:val="left" w:pos="2580"/>
        </w:tabs>
        <w:ind w:left="2580" w:hanging="180"/>
      </w:pPr>
      <w:rPr>
        <w:rFonts w:cs="Times New Roman"/>
      </w:rPr>
    </w:lvl>
    <w:lvl w:ilvl="3">
      <w:start w:val="1"/>
      <w:numFmt w:val="decimal"/>
      <w:lvlText w:val="%4."/>
      <w:lvlJc w:val="left"/>
      <w:pPr>
        <w:tabs>
          <w:tab w:val="left" w:pos="3300"/>
        </w:tabs>
        <w:ind w:left="3300" w:hanging="360"/>
      </w:pPr>
      <w:rPr>
        <w:rFonts w:cs="Times New Roman"/>
      </w:rPr>
    </w:lvl>
    <w:lvl w:ilvl="4">
      <w:start w:val="1"/>
      <w:numFmt w:val="lowerLetter"/>
      <w:lvlText w:val="%5."/>
      <w:lvlJc w:val="left"/>
      <w:pPr>
        <w:tabs>
          <w:tab w:val="left" w:pos="4020"/>
        </w:tabs>
        <w:ind w:left="4020" w:hanging="360"/>
      </w:pPr>
      <w:rPr>
        <w:rFonts w:cs="Times New Roman"/>
      </w:rPr>
    </w:lvl>
    <w:lvl w:ilvl="5">
      <w:start w:val="1"/>
      <w:numFmt w:val="lowerRoman"/>
      <w:lvlText w:val="%6."/>
      <w:lvlJc w:val="right"/>
      <w:pPr>
        <w:tabs>
          <w:tab w:val="left" w:pos="4740"/>
        </w:tabs>
        <w:ind w:left="4740" w:hanging="180"/>
      </w:pPr>
      <w:rPr>
        <w:rFonts w:cs="Times New Roman"/>
      </w:rPr>
    </w:lvl>
    <w:lvl w:ilvl="6">
      <w:start w:val="1"/>
      <w:numFmt w:val="decimal"/>
      <w:lvlText w:val="%7."/>
      <w:lvlJc w:val="left"/>
      <w:pPr>
        <w:tabs>
          <w:tab w:val="left" w:pos="5460"/>
        </w:tabs>
        <w:ind w:left="5460" w:hanging="360"/>
      </w:pPr>
      <w:rPr>
        <w:rFonts w:cs="Times New Roman"/>
      </w:rPr>
    </w:lvl>
    <w:lvl w:ilvl="7">
      <w:start w:val="1"/>
      <w:numFmt w:val="lowerLetter"/>
      <w:lvlText w:val="%8."/>
      <w:lvlJc w:val="left"/>
      <w:pPr>
        <w:tabs>
          <w:tab w:val="left" w:pos="6180"/>
        </w:tabs>
        <w:ind w:left="6180" w:hanging="360"/>
      </w:pPr>
      <w:rPr>
        <w:rFonts w:cs="Times New Roman"/>
      </w:rPr>
    </w:lvl>
    <w:lvl w:ilvl="8">
      <w:start w:val="1"/>
      <w:numFmt w:val="lowerRoman"/>
      <w:lvlText w:val="%9."/>
      <w:lvlJc w:val="right"/>
      <w:pPr>
        <w:tabs>
          <w:tab w:val="left" w:pos="6900"/>
        </w:tabs>
        <w:ind w:left="6900" w:hanging="180"/>
      </w:pPr>
      <w:rPr>
        <w:rFonts w:cs="Times New Roman"/>
      </w:rPr>
    </w:lvl>
  </w:abstractNum>
  <w:abstractNum w:abstractNumId="82" w15:restartNumberingAfterBreak="0">
    <w:nsid w:val="0000005C"/>
    <w:multiLevelType w:val="singleLevel"/>
    <w:tmpl w:val="0000005C"/>
    <w:lvl w:ilvl="0">
      <w:start w:val="2"/>
      <w:numFmt w:val="decimal"/>
      <w:suff w:val="space"/>
      <w:lvlText w:val="(%1)"/>
      <w:lvlJc w:val="left"/>
      <w:rPr>
        <w:rFonts w:hint="default"/>
        <w:b/>
        <w:bCs/>
        <w:sz w:val="24"/>
        <w:szCs w:val="24"/>
      </w:rPr>
    </w:lvl>
  </w:abstractNum>
  <w:abstractNum w:abstractNumId="83" w15:restartNumberingAfterBreak="0">
    <w:nsid w:val="0000005D"/>
    <w:multiLevelType w:val="multilevel"/>
    <w:tmpl w:val="0000005D"/>
    <w:lvl w:ilvl="0">
      <w:start w:val="2"/>
      <w:numFmt w:val="decimal"/>
      <w:suff w:val="space"/>
      <w:lvlText w:val="(%1)"/>
      <w:lvlJc w:val="left"/>
      <w:rPr>
        <w:rFonts w:hint="default"/>
        <w:b/>
        <w:bCs/>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84" w15:restartNumberingAfterBreak="0">
    <w:nsid w:val="0000005E"/>
    <w:multiLevelType w:val="singleLevel"/>
    <w:tmpl w:val="0000005E"/>
    <w:lvl w:ilvl="0">
      <w:start w:val="2"/>
      <w:numFmt w:val="decimal"/>
      <w:suff w:val="space"/>
      <w:lvlText w:val="(%1)"/>
      <w:lvlJc w:val="left"/>
      <w:rPr>
        <w:rFonts w:ascii="Times New Roman" w:hAnsi="Times New Roman" w:cs="Times New Roman" w:hint="default"/>
        <w:b/>
        <w:bCs/>
        <w:sz w:val="24"/>
        <w:szCs w:val="24"/>
      </w:rPr>
    </w:lvl>
  </w:abstractNum>
  <w:abstractNum w:abstractNumId="85" w15:restartNumberingAfterBreak="0">
    <w:nsid w:val="0000005F"/>
    <w:multiLevelType w:val="singleLevel"/>
    <w:tmpl w:val="0000005F"/>
    <w:lvl w:ilvl="0">
      <w:start w:val="1"/>
      <w:numFmt w:val="decimal"/>
      <w:suff w:val="space"/>
      <w:lvlText w:val="(%1)"/>
      <w:lvlJc w:val="left"/>
      <w:pPr>
        <w:ind w:left="1260"/>
      </w:pPr>
    </w:lvl>
  </w:abstractNum>
  <w:abstractNum w:abstractNumId="86" w15:restartNumberingAfterBreak="0">
    <w:nsid w:val="00000060"/>
    <w:multiLevelType w:val="multilevel"/>
    <w:tmpl w:val="00000060"/>
    <w:lvl w:ilvl="0">
      <w:start w:val="1"/>
      <w:numFmt w:val="decimal"/>
      <w:pStyle w:val="Tabel"/>
      <w:lvlText w:val="Tabelul %1: "/>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00000062"/>
    <w:multiLevelType w:val="multilevel"/>
    <w:tmpl w:val="00000062"/>
    <w:lvl w:ilvl="0">
      <w:start w:val="1"/>
      <w:numFmt w:val="decimal"/>
      <w:pStyle w:val="Paragraf"/>
      <w:lvlText w:val="(%1)"/>
      <w:lvlJc w:val="left"/>
      <w:pPr>
        <w:tabs>
          <w:tab w:val="left" w:pos="567"/>
        </w:tabs>
        <w:ind w:left="0" w:firstLine="0"/>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00000063"/>
    <w:multiLevelType w:val="multilevel"/>
    <w:tmpl w:val="00000063"/>
    <w:lvl w:ilvl="0">
      <w:start w:val="1"/>
      <w:numFmt w:val="lowerLetter"/>
      <w:lvlText w:val="%1)"/>
      <w:lvlJc w:val="left"/>
      <w:pPr>
        <w:tabs>
          <w:tab w:val="left" w:pos="2330"/>
        </w:tabs>
        <w:ind w:left="2330" w:hanging="960"/>
      </w:pPr>
      <w:rPr>
        <w:rFonts w:hint="default"/>
      </w:rPr>
    </w:lvl>
    <w:lvl w:ilvl="1">
      <w:start w:val="1"/>
      <w:numFmt w:val="lowerLetter"/>
      <w:lvlText w:val="%2."/>
      <w:lvlJc w:val="left"/>
      <w:pPr>
        <w:tabs>
          <w:tab w:val="left" w:pos="2450"/>
        </w:tabs>
        <w:ind w:left="2450" w:hanging="360"/>
      </w:pPr>
    </w:lvl>
    <w:lvl w:ilvl="2">
      <w:start w:val="1"/>
      <w:numFmt w:val="lowerRoman"/>
      <w:lvlText w:val="%3."/>
      <w:lvlJc w:val="right"/>
      <w:pPr>
        <w:tabs>
          <w:tab w:val="left" w:pos="3170"/>
        </w:tabs>
        <w:ind w:left="3170" w:hanging="180"/>
      </w:pPr>
    </w:lvl>
    <w:lvl w:ilvl="3">
      <w:start w:val="1"/>
      <w:numFmt w:val="decimal"/>
      <w:lvlText w:val="%4."/>
      <w:lvlJc w:val="left"/>
      <w:pPr>
        <w:tabs>
          <w:tab w:val="left" w:pos="3890"/>
        </w:tabs>
        <w:ind w:left="3890" w:hanging="360"/>
      </w:pPr>
    </w:lvl>
    <w:lvl w:ilvl="4">
      <w:start w:val="1"/>
      <w:numFmt w:val="lowerLetter"/>
      <w:lvlText w:val="%5."/>
      <w:lvlJc w:val="left"/>
      <w:pPr>
        <w:tabs>
          <w:tab w:val="left" w:pos="4610"/>
        </w:tabs>
        <w:ind w:left="4610" w:hanging="360"/>
      </w:pPr>
    </w:lvl>
    <w:lvl w:ilvl="5">
      <w:start w:val="1"/>
      <w:numFmt w:val="lowerRoman"/>
      <w:lvlText w:val="%6."/>
      <w:lvlJc w:val="right"/>
      <w:pPr>
        <w:tabs>
          <w:tab w:val="left" w:pos="5330"/>
        </w:tabs>
        <w:ind w:left="5330" w:hanging="180"/>
      </w:pPr>
    </w:lvl>
    <w:lvl w:ilvl="6">
      <w:start w:val="1"/>
      <w:numFmt w:val="decimal"/>
      <w:lvlText w:val="%7."/>
      <w:lvlJc w:val="left"/>
      <w:pPr>
        <w:tabs>
          <w:tab w:val="left" w:pos="6050"/>
        </w:tabs>
        <w:ind w:left="6050" w:hanging="360"/>
      </w:pPr>
    </w:lvl>
    <w:lvl w:ilvl="7">
      <w:start w:val="1"/>
      <w:numFmt w:val="lowerLetter"/>
      <w:lvlText w:val="%8."/>
      <w:lvlJc w:val="left"/>
      <w:pPr>
        <w:tabs>
          <w:tab w:val="left" w:pos="6770"/>
        </w:tabs>
        <w:ind w:left="6770" w:hanging="360"/>
      </w:pPr>
    </w:lvl>
    <w:lvl w:ilvl="8">
      <w:start w:val="1"/>
      <w:numFmt w:val="lowerRoman"/>
      <w:lvlText w:val="%9."/>
      <w:lvlJc w:val="right"/>
      <w:pPr>
        <w:tabs>
          <w:tab w:val="left" w:pos="7490"/>
        </w:tabs>
        <w:ind w:left="7490" w:hanging="180"/>
      </w:pPr>
    </w:lvl>
  </w:abstractNum>
  <w:abstractNum w:abstractNumId="89" w15:restartNumberingAfterBreak="0">
    <w:nsid w:val="0006BA65"/>
    <w:multiLevelType w:val="multilevel"/>
    <w:tmpl w:val="0006BA65"/>
    <w:lvl w:ilvl="0">
      <w:start w:val="1"/>
      <w:numFmt w:val="lowerLetter"/>
      <w:suff w:val="space"/>
      <w:lvlText w:val="(%1)"/>
      <w:lvlJc w:val="left"/>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90" w15:restartNumberingAfterBreak="0">
    <w:nsid w:val="0018409E"/>
    <w:multiLevelType w:val="multilevel"/>
    <w:tmpl w:val="0018409E"/>
    <w:lvl w:ilvl="0">
      <w:start w:val="2"/>
      <w:numFmt w:val="decimal"/>
      <w:suff w:val="space"/>
      <w:lvlText w:val="(%1)"/>
      <w:lvlJc w:val="left"/>
      <w:pPr>
        <w:ind w:left="0" w:firstLine="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00CC3E8F"/>
    <w:multiLevelType w:val="multilevel"/>
    <w:tmpl w:val="00CC3E8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0DA99CE2"/>
    <w:multiLevelType w:val="singleLevel"/>
    <w:tmpl w:val="0DA99CE2"/>
    <w:lvl w:ilvl="0">
      <w:start w:val="1"/>
      <w:numFmt w:val="lowerLetter"/>
      <w:suff w:val="space"/>
      <w:lvlText w:val="%1)"/>
      <w:lvlJc w:val="left"/>
    </w:lvl>
  </w:abstractNum>
  <w:abstractNum w:abstractNumId="93" w15:restartNumberingAfterBreak="0">
    <w:nsid w:val="0DF57963"/>
    <w:multiLevelType w:val="singleLevel"/>
    <w:tmpl w:val="0DF57963"/>
    <w:lvl w:ilvl="0">
      <w:start w:val="1"/>
      <w:numFmt w:val="lowerRoman"/>
      <w:lvlText w:val="%1."/>
      <w:lvlJc w:val="left"/>
      <w:pPr>
        <w:tabs>
          <w:tab w:val="left" w:pos="425"/>
        </w:tabs>
        <w:ind w:left="425" w:hanging="425"/>
      </w:pPr>
      <w:rPr>
        <w:rFonts w:hint="default"/>
      </w:rPr>
    </w:lvl>
  </w:abstractNum>
  <w:abstractNum w:abstractNumId="94" w15:restartNumberingAfterBreak="0">
    <w:nsid w:val="0E571292"/>
    <w:multiLevelType w:val="singleLevel"/>
    <w:tmpl w:val="0E571292"/>
    <w:lvl w:ilvl="0">
      <w:start w:val="1"/>
      <w:numFmt w:val="bullet"/>
      <w:lvlText w:val="-"/>
      <w:lvlJc w:val="left"/>
      <w:pPr>
        <w:tabs>
          <w:tab w:val="left" w:pos="1260"/>
        </w:tabs>
        <w:ind w:left="1260" w:hanging="420"/>
      </w:pPr>
      <w:rPr>
        <w:rFonts w:ascii="Calibri" w:hAnsi="Calibri" w:cs="Calibri" w:hint="default"/>
      </w:rPr>
    </w:lvl>
  </w:abstractNum>
  <w:abstractNum w:abstractNumId="95" w15:restartNumberingAfterBreak="0">
    <w:nsid w:val="100A8187"/>
    <w:multiLevelType w:val="singleLevel"/>
    <w:tmpl w:val="100A8187"/>
    <w:lvl w:ilvl="0">
      <w:start w:val="1"/>
      <w:numFmt w:val="decimal"/>
      <w:lvlText w:val="%1."/>
      <w:lvlJc w:val="left"/>
      <w:pPr>
        <w:tabs>
          <w:tab w:val="left" w:pos="425"/>
        </w:tabs>
        <w:ind w:left="425" w:hanging="425"/>
      </w:pPr>
      <w:rPr>
        <w:rFonts w:hint="default"/>
      </w:rPr>
    </w:lvl>
  </w:abstractNum>
  <w:abstractNum w:abstractNumId="96" w15:restartNumberingAfterBreak="0">
    <w:nsid w:val="1486D674"/>
    <w:multiLevelType w:val="singleLevel"/>
    <w:tmpl w:val="1486D674"/>
    <w:lvl w:ilvl="0">
      <w:start w:val="1"/>
      <w:numFmt w:val="lowerLetter"/>
      <w:suff w:val="space"/>
      <w:lvlText w:val="%1)"/>
      <w:lvlJc w:val="left"/>
      <w:rPr>
        <w:rFonts w:hint="default"/>
        <w:b/>
        <w:bCs/>
      </w:rPr>
    </w:lvl>
  </w:abstractNum>
  <w:abstractNum w:abstractNumId="97" w15:restartNumberingAfterBreak="0">
    <w:nsid w:val="32386A2F"/>
    <w:multiLevelType w:val="singleLevel"/>
    <w:tmpl w:val="32386A2F"/>
    <w:lvl w:ilvl="0">
      <w:start w:val="1"/>
      <w:numFmt w:val="decimal"/>
      <w:suff w:val="space"/>
      <w:lvlText w:val="%1)"/>
      <w:lvlJc w:val="left"/>
    </w:lvl>
  </w:abstractNum>
  <w:abstractNum w:abstractNumId="98" w15:restartNumberingAfterBreak="0">
    <w:nsid w:val="36DBF8AC"/>
    <w:multiLevelType w:val="singleLevel"/>
    <w:tmpl w:val="36DBF8AC"/>
    <w:lvl w:ilvl="0">
      <w:start w:val="1"/>
      <w:numFmt w:val="lowerLetter"/>
      <w:suff w:val="space"/>
      <w:lvlText w:val="%1)"/>
      <w:lvlJc w:val="left"/>
    </w:lvl>
  </w:abstractNum>
  <w:abstractNum w:abstractNumId="99" w15:restartNumberingAfterBreak="0">
    <w:nsid w:val="3D745CA0"/>
    <w:multiLevelType w:val="singleLevel"/>
    <w:tmpl w:val="3D745CA0"/>
    <w:lvl w:ilvl="0">
      <w:start w:val="2"/>
      <w:numFmt w:val="decimal"/>
      <w:suff w:val="space"/>
      <w:lvlText w:val="(%1)"/>
      <w:lvlJc w:val="left"/>
      <w:rPr>
        <w:rFonts w:hint="default"/>
        <w:b/>
        <w:bCs/>
      </w:rPr>
    </w:lvl>
  </w:abstractNum>
  <w:abstractNum w:abstractNumId="100" w15:restartNumberingAfterBreak="0">
    <w:nsid w:val="3DA76091"/>
    <w:multiLevelType w:val="multilevel"/>
    <w:tmpl w:val="3DA76091"/>
    <w:lvl w:ilvl="0">
      <w:start w:val="1"/>
      <w:numFmt w:val="lowerLetter"/>
      <w:lvlText w:val="%1."/>
      <w:lvlJc w:val="left"/>
      <w:pPr>
        <w:tabs>
          <w:tab w:val="left" w:pos="840"/>
        </w:tabs>
        <w:ind w:left="1560" w:hanging="360"/>
      </w:pPr>
    </w:lvl>
    <w:lvl w:ilvl="1">
      <w:start w:val="1"/>
      <w:numFmt w:val="lowerLetter"/>
      <w:lvlText w:val="%2."/>
      <w:lvlJc w:val="left"/>
      <w:pPr>
        <w:tabs>
          <w:tab w:val="left" w:pos="840"/>
        </w:tabs>
        <w:ind w:left="2280" w:hanging="360"/>
      </w:pPr>
    </w:lvl>
    <w:lvl w:ilvl="2">
      <w:start w:val="1"/>
      <w:numFmt w:val="lowerRoman"/>
      <w:lvlText w:val="%3."/>
      <w:lvlJc w:val="right"/>
      <w:pPr>
        <w:tabs>
          <w:tab w:val="left" w:pos="840"/>
        </w:tabs>
        <w:ind w:left="3000" w:hanging="180"/>
      </w:pPr>
    </w:lvl>
    <w:lvl w:ilvl="3">
      <w:start w:val="1"/>
      <w:numFmt w:val="decimal"/>
      <w:lvlText w:val="%4."/>
      <w:lvlJc w:val="left"/>
      <w:pPr>
        <w:tabs>
          <w:tab w:val="left" w:pos="840"/>
        </w:tabs>
        <w:ind w:left="3720" w:hanging="360"/>
      </w:pPr>
    </w:lvl>
    <w:lvl w:ilvl="4">
      <w:start w:val="1"/>
      <w:numFmt w:val="lowerLetter"/>
      <w:lvlText w:val="%5."/>
      <w:lvlJc w:val="left"/>
      <w:pPr>
        <w:tabs>
          <w:tab w:val="left" w:pos="840"/>
        </w:tabs>
        <w:ind w:left="4440" w:hanging="360"/>
      </w:pPr>
    </w:lvl>
    <w:lvl w:ilvl="5">
      <w:start w:val="1"/>
      <w:numFmt w:val="lowerRoman"/>
      <w:lvlText w:val="%6."/>
      <w:lvlJc w:val="right"/>
      <w:pPr>
        <w:tabs>
          <w:tab w:val="left" w:pos="840"/>
        </w:tabs>
        <w:ind w:left="5160" w:hanging="180"/>
      </w:pPr>
    </w:lvl>
    <w:lvl w:ilvl="6">
      <w:start w:val="1"/>
      <w:numFmt w:val="decimal"/>
      <w:lvlText w:val="%7."/>
      <w:lvlJc w:val="left"/>
      <w:pPr>
        <w:tabs>
          <w:tab w:val="left" w:pos="840"/>
        </w:tabs>
        <w:ind w:left="5880" w:hanging="360"/>
      </w:pPr>
    </w:lvl>
    <w:lvl w:ilvl="7">
      <w:start w:val="1"/>
      <w:numFmt w:val="lowerLetter"/>
      <w:lvlText w:val="%8."/>
      <w:lvlJc w:val="left"/>
      <w:pPr>
        <w:tabs>
          <w:tab w:val="left" w:pos="840"/>
        </w:tabs>
        <w:ind w:left="6600" w:hanging="360"/>
      </w:pPr>
    </w:lvl>
    <w:lvl w:ilvl="8">
      <w:start w:val="1"/>
      <w:numFmt w:val="lowerRoman"/>
      <w:lvlText w:val="%9."/>
      <w:lvlJc w:val="right"/>
      <w:pPr>
        <w:tabs>
          <w:tab w:val="left" w:pos="840"/>
        </w:tabs>
        <w:ind w:left="7320" w:hanging="180"/>
      </w:pPr>
    </w:lvl>
  </w:abstractNum>
  <w:abstractNum w:abstractNumId="101" w15:restartNumberingAfterBreak="0">
    <w:nsid w:val="3E90D070"/>
    <w:multiLevelType w:val="singleLevel"/>
    <w:tmpl w:val="3E90D070"/>
    <w:lvl w:ilvl="0">
      <w:start w:val="1"/>
      <w:numFmt w:val="lowerLetter"/>
      <w:lvlText w:val="%1."/>
      <w:lvlJc w:val="left"/>
      <w:pPr>
        <w:tabs>
          <w:tab w:val="left" w:pos="2105"/>
        </w:tabs>
        <w:ind w:left="2105" w:hanging="425"/>
      </w:pPr>
      <w:rPr>
        <w:rFonts w:hint="default"/>
        <w:b/>
        <w:bCs/>
        <w:color w:val="auto"/>
      </w:rPr>
    </w:lvl>
  </w:abstractNum>
  <w:abstractNum w:abstractNumId="102" w15:restartNumberingAfterBreak="0">
    <w:nsid w:val="45692760"/>
    <w:multiLevelType w:val="singleLevel"/>
    <w:tmpl w:val="45692760"/>
    <w:lvl w:ilvl="0">
      <w:start w:val="1"/>
      <w:numFmt w:val="lowerLetter"/>
      <w:lvlText w:val="%1."/>
      <w:lvlJc w:val="left"/>
      <w:pPr>
        <w:tabs>
          <w:tab w:val="left" w:pos="1685"/>
        </w:tabs>
        <w:ind w:left="1685" w:hanging="425"/>
      </w:pPr>
      <w:rPr>
        <w:rFonts w:hint="default"/>
      </w:rPr>
    </w:lvl>
  </w:abstractNum>
  <w:abstractNum w:abstractNumId="103" w15:restartNumberingAfterBreak="0">
    <w:nsid w:val="490E1E80"/>
    <w:multiLevelType w:val="singleLevel"/>
    <w:tmpl w:val="490E1E80"/>
    <w:lvl w:ilvl="0">
      <w:start w:val="1"/>
      <w:numFmt w:val="lowerLetter"/>
      <w:suff w:val="space"/>
      <w:lvlText w:val="%1)"/>
      <w:lvlJc w:val="left"/>
    </w:lvl>
  </w:abstractNum>
  <w:abstractNum w:abstractNumId="104" w15:restartNumberingAfterBreak="0">
    <w:nsid w:val="4EF27A26"/>
    <w:multiLevelType w:val="singleLevel"/>
    <w:tmpl w:val="4EF27A26"/>
    <w:lvl w:ilvl="0">
      <w:start w:val="1"/>
      <w:numFmt w:val="lowerRoman"/>
      <w:suff w:val="space"/>
      <w:lvlText w:val="%1."/>
      <w:lvlJc w:val="left"/>
    </w:lvl>
  </w:abstractNum>
  <w:abstractNum w:abstractNumId="105" w15:restartNumberingAfterBreak="0">
    <w:nsid w:val="50E47EE2"/>
    <w:multiLevelType w:val="multilevel"/>
    <w:tmpl w:val="50E47E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572072A2"/>
    <w:multiLevelType w:val="singleLevel"/>
    <w:tmpl w:val="572072A2"/>
    <w:lvl w:ilvl="0">
      <w:start w:val="2"/>
      <w:numFmt w:val="decimal"/>
      <w:suff w:val="space"/>
      <w:lvlText w:val="(%1)"/>
      <w:lvlJc w:val="left"/>
      <w:rPr>
        <w:rFonts w:hint="default"/>
        <w:b/>
        <w:bCs/>
      </w:rPr>
    </w:lvl>
  </w:abstractNum>
  <w:abstractNum w:abstractNumId="107" w15:restartNumberingAfterBreak="0">
    <w:nsid w:val="68763170"/>
    <w:multiLevelType w:val="multilevel"/>
    <w:tmpl w:val="68763170"/>
    <w:lvl w:ilvl="0">
      <w:numFmt w:val="bullet"/>
      <w:lvlText w:val="-"/>
      <w:lvlJc w:val="left"/>
      <w:pPr>
        <w:ind w:left="1440" w:hanging="360"/>
      </w:pPr>
      <w:rPr>
        <w:rFonts w:ascii="Times New Roman" w:eastAsia="SimSun" w:hAnsi="Times New Roman" w:cs="Times New Roman"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08" w15:restartNumberingAfterBreak="0">
    <w:nsid w:val="6D6C1B70"/>
    <w:multiLevelType w:val="multilevel"/>
    <w:tmpl w:val="6D6C1B70"/>
    <w:lvl w:ilvl="0">
      <w:start w:val="1"/>
      <w:numFmt w:val="lowerRoman"/>
      <w:pStyle w:val="Paragraf-sub2"/>
      <w:lvlText w:val="(%1)"/>
      <w:lvlJc w:val="left"/>
      <w:pPr>
        <w:ind w:left="1077" w:hanging="357"/>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741B7A15"/>
    <w:multiLevelType w:val="multilevel"/>
    <w:tmpl w:val="741B7A15"/>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10" w15:restartNumberingAfterBreak="0">
    <w:nsid w:val="777B81B1"/>
    <w:multiLevelType w:val="singleLevel"/>
    <w:tmpl w:val="777B81B1"/>
    <w:lvl w:ilvl="0">
      <w:start w:val="1"/>
      <w:numFmt w:val="lowerLetter"/>
      <w:lvlText w:val="%1)"/>
      <w:lvlJc w:val="left"/>
      <w:pPr>
        <w:tabs>
          <w:tab w:val="left" w:pos="425"/>
        </w:tabs>
        <w:ind w:left="425" w:hanging="425"/>
      </w:pPr>
      <w:rPr>
        <w:rFonts w:hint="default"/>
      </w:rPr>
    </w:lvl>
  </w:abstractNum>
  <w:abstractNum w:abstractNumId="111" w15:restartNumberingAfterBreak="0">
    <w:nsid w:val="7B0E144F"/>
    <w:multiLevelType w:val="multilevel"/>
    <w:tmpl w:val="7B0E144F"/>
    <w:lvl w:ilvl="0">
      <w:start w:val="1"/>
      <w:numFmt w:val="decimal"/>
      <w:lvlText w:val="(%1)"/>
      <w:lvlJc w:val="left"/>
      <w:pPr>
        <w:tabs>
          <w:tab w:val="left" w:pos="567"/>
        </w:tabs>
        <w:ind w:left="0" w:firstLine="0"/>
      </w:pPr>
      <w:rPr>
        <w:rFonts w:hint="default"/>
        <w:b/>
        <w:bCs/>
        <w:i/>
        <w:iCs/>
        <w:strike w:val="0"/>
        <w:color w:val="auto"/>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7F234193"/>
    <w:multiLevelType w:val="multilevel"/>
    <w:tmpl w:val="7F234193"/>
    <w:lvl w:ilvl="0">
      <w:start w:val="1"/>
      <w:numFmt w:val="decimal"/>
      <w:lvlText w:val="%1."/>
      <w:lvlJc w:val="left"/>
      <w:pPr>
        <w:tabs>
          <w:tab w:val="left" w:pos="720"/>
        </w:tabs>
        <w:ind w:left="720" w:hanging="360"/>
      </w:pPr>
      <w:rPr>
        <w:color w:val="auto"/>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num w:numId="1" w16cid:durableId="968361386">
    <w:abstractNumId w:val="75"/>
  </w:num>
  <w:num w:numId="2" w16cid:durableId="205873774">
    <w:abstractNumId w:val="87"/>
  </w:num>
  <w:num w:numId="3" w16cid:durableId="1119375396">
    <w:abstractNumId w:val="49"/>
  </w:num>
  <w:num w:numId="4" w16cid:durableId="590552538">
    <w:abstractNumId w:val="86"/>
  </w:num>
  <w:num w:numId="5" w16cid:durableId="1578591115">
    <w:abstractNumId w:val="40"/>
  </w:num>
  <w:num w:numId="6" w16cid:durableId="1997101818">
    <w:abstractNumId w:val="58"/>
    <w:lvlOverride w:ilvl="0">
      <w:lvl w:ilvl="0" w:tentative="1">
        <w:start w:val="1"/>
        <w:numFmt w:val="upperLetter"/>
        <w:pStyle w:val="Anexe-titlu"/>
        <w:suff w:val="space"/>
        <w:lvlText w:val="Anexa %1."/>
        <w:lvlJc w:val="left"/>
        <w:pPr>
          <w:ind w:left="141" w:firstLine="0"/>
        </w:pPr>
      </w:lvl>
    </w:lvlOverride>
    <w:lvlOverride w:ilvl="1">
      <w:lvl w:ilvl="1" w:tentative="1">
        <w:start w:val="1"/>
        <w:numFmt w:val="decimal"/>
        <w:suff w:val="space"/>
        <w:lvlText w:val="%1.%2."/>
        <w:lvlJc w:val="left"/>
        <w:pPr>
          <w:ind w:left="141" w:firstLine="0"/>
        </w:pPr>
      </w:lvl>
    </w:lvlOverride>
    <w:lvlOverride w:ilvl="2">
      <w:lvl w:ilvl="2" w:tentative="1">
        <w:start w:val="1"/>
        <w:numFmt w:val="decimal"/>
        <w:suff w:val="space"/>
        <w:lvlText w:val="%1.%2.%3."/>
        <w:lvlJc w:val="left"/>
        <w:pPr>
          <w:ind w:left="7088" w:firstLine="0"/>
        </w:pPr>
      </w:lvl>
    </w:lvlOverride>
    <w:lvlOverride w:ilvl="3">
      <w:lvl w:ilvl="3" w:tentative="1">
        <w:start w:val="1"/>
        <w:numFmt w:val="decimal"/>
        <w:suff w:val="space"/>
        <w:lvlText w:val="%1.%2.%3.%4."/>
        <w:lvlJc w:val="left"/>
        <w:pPr>
          <w:ind w:left="7088" w:firstLine="0"/>
        </w:pPr>
        <w:rPr>
          <w:rFonts w:hint="default"/>
          <w:b/>
          <w:bCs w:val="0"/>
          <w:i w:val="0"/>
          <w:iCs w:val="0"/>
          <w:caps w:val="0"/>
          <w:smallCaps w:val="0"/>
          <w:vanish w:val="0"/>
          <w:spacing w:val="0"/>
          <w:kern w:val="0"/>
          <w:position w:val="0"/>
          <w:u w:val="none"/>
          <w:vertAlign w:val="baseline"/>
        </w:rPr>
      </w:lvl>
    </w:lvlOverride>
    <w:lvlOverride w:ilvl="4">
      <w:lvl w:ilvl="4" w:tentative="1">
        <w:start w:val="1"/>
        <w:numFmt w:val="decimal"/>
        <w:suff w:val="space"/>
        <w:lvlText w:val="%1.%2.%3.%4.%5"/>
        <w:lvlJc w:val="left"/>
        <w:pPr>
          <w:ind w:left="7088" w:firstLine="0"/>
        </w:pPr>
        <w:rPr>
          <w:rFonts w:hint="default"/>
        </w:rPr>
      </w:lvl>
    </w:lvlOverride>
    <w:lvlOverride w:ilvl="5">
      <w:lvl w:ilvl="5" w:tentative="1">
        <w:start w:val="1"/>
        <w:numFmt w:val="decimal"/>
        <w:suff w:val="space"/>
        <w:lvlText w:val="Figura %1.%6 "/>
        <w:lvlJc w:val="left"/>
        <w:pPr>
          <w:ind w:left="7088" w:firstLine="0"/>
        </w:pPr>
        <w:rPr>
          <w:rFonts w:hint="default"/>
        </w:rPr>
      </w:lvl>
    </w:lvlOverride>
    <w:lvlOverride w:ilvl="6">
      <w:lvl w:ilvl="6" w:tentative="1">
        <w:start w:val="1"/>
        <w:numFmt w:val="decimal"/>
        <w:suff w:val="space"/>
        <w:lvlText w:val="(%1.%7)"/>
        <w:lvlJc w:val="left"/>
        <w:pPr>
          <w:ind w:left="7568" w:hanging="480"/>
        </w:pPr>
        <w:rPr>
          <w:rFonts w:hint="default"/>
        </w:rPr>
      </w:lvl>
    </w:lvlOverride>
    <w:lvlOverride w:ilvl="7">
      <w:lvl w:ilvl="7" w:tentative="1">
        <w:start w:val="1"/>
        <w:numFmt w:val="decimal"/>
        <w:lvlText w:val=""/>
        <w:lvlJc w:val="left"/>
        <w:pPr>
          <w:tabs>
            <w:tab w:val="left" w:pos="7448"/>
          </w:tabs>
          <w:ind w:left="7088" w:firstLine="0"/>
        </w:pPr>
        <w:rPr>
          <w:rFonts w:hint="default"/>
        </w:rPr>
      </w:lvl>
    </w:lvlOverride>
    <w:lvlOverride w:ilvl="8">
      <w:lvl w:ilvl="8" w:tentative="1">
        <w:start w:val="1"/>
        <w:numFmt w:val="decimal"/>
        <w:lvlText w:val=""/>
        <w:lvlJc w:val="left"/>
        <w:pPr>
          <w:tabs>
            <w:tab w:val="left" w:pos="7448"/>
          </w:tabs>
          <w:ind w:left="7088" w:firstLine="0"/>
        </w:pPr>
        <w:rPr>
          <w:rFonts w:hint="default"/>
        </w:rPr>
      </w:lvl>
    </w:lvlOverride>
  </w:num>
  <w:num w:numId="7" w16cid:durableId="650987174">
    <w:abstractNumId w:val="80"/>
  </w:num>
  <w:num w:numId="8" w16cid:durableId="185102166">
    <w:abstractNumId w:val="108"/>
    <w:lvlOverride w:ilvl="0">
      <w:startOverride w:val="1"/>
    </w:lvlOverride>
  </w:num>
  <w:num w:numId="9" w16cid:durableId="351147944">
    <w:abstractNumId w:val="62"/>
  </w:num>
  <w:num w:numId="10" w16cid:durableId="885408224">
    <w:abstractNumId w:val="34"/>
  </w:num>
  <w:num w:numId="11" w16cid:durableId="564612152">
    <w:abstractNumId w:val="3"/>
  </w:num>
  <w:num w:numId="12" w16cid:durableId="920337411">
    <w:abstractNumId w:val="10"/>
  </w:num>
  <w:num w:numId="13" w16cid:durableId="1133451356">
    <w:abstractNumId w:val="85"/>
  </w:num>
  <w:num w:numId="14" w16cid:durableId="1145590370">
    <w:abstractNumId w:val="12"/>
  </w:num>
  <w:num w:numId="15" w16cid:durableId="428820962">
    <w:abstractNumId w:val="22"/>
  </w:num>
  <w:num w:numId="16" w16cid:durableId="1121612356">
    <w:abstractNumId w:val="24"/>
  </w:num>
  <w:num w:numId="17" w16cid:durableId="931817537">
    <w:abstractNumId w:val="53"/>
  </w:num>
  <w:num w:numId="18" w16cid:durableId="1134060591">
    <w:abstractNumId w:val="25"/>
  </w:num>
  <w:num w:numId="19" w16cid:durableId="501362503">
    <w:abstractNumId w:val="14"/>
  </w:num>
  <w:num w:numId="20" w16cid:durableId="403987954">
    <w:abstractNumId w:val="48"/>
  </w:num>
  <w:num w:numId="21" w16cid:durableId="487524249">
    <w:abstractNumId w:val="0"/>
  </w:num>
  <w:num w:numId="22" w16cid:durableId="1020471036">
    <w:abstractNumId w:val="97"/>
  </w:num>
  <w:num w:numId="23" w16cid:durableId="48460137">
    <w:abstractNumId w:val="109"/>
  </w:num>
  <w:num w:numId="24" w16cid:durableId="1425110489">
    <w:abstractNumId w:val="45"/>
  </w:num>
  <w:num w:numId="25" w16cid:durableId="392433815">
    <w:abstractNumId w:val="56"/>
  </w:num>
  <w:num w:numId="26" w16cid:durableId="185484592">
    <w:abstractNumId w:val="68"/>
  </w:num>
  <w:num w:numId="27" w16cid:durableId="2008943529">
    <w:abstractNumId w:val="57"/>
  </w:num>
  <w:num w:numId="28" w16cid:durableId="731275217">
    <w:abstractNumId w:val="11"/>
  </w:num>
  <w:num w:numId="29" w16cid:durableId="43263530">
    <w:abstractNumId w:val="52"/>
  </w:num>
  <w:num w:numId="30" w16cid:durableId="1961376500">
    <w:abstractNumId w:val="103"/>
  </w:num>
  <w:num w:numId="31" w16cid:durableId="1700931188">
    <w:abstractNumId w:val="106"/>
  </w:num>
  <w:num w:numId="32" w16cid:durableId="1262253271">
    <w:abstractNumId w:val="35"/>
  </w:num>
  <w:num w:numId="33" w16cid:durableId="183516761">
    <w:abstractNumId w:val="83"/>
  </w:num>
  <w:num w:numId="34" w16cid:durableId="571159875">
    <w:abstractNumId w:val="84"/>
  </w:num>
  <w:num w:numId="35" w16cid:durableId="937518433">
    <w:abstractNumId w:val="39"/>
  </w:num>
  <w:num w:numId="36" w16cid:durableId="1723168026">
    <w:abstractNumId w:val="70"/>
  </w:num>
  <w:num w:numId="37" w16cid:durableId="626396966">
    <w:abstractNumId w:val="66"/>
  </w:num>
  <w:num w:numId="38" w16cid:durableId="571084053">
    <w:abstractNumId w:val="31"/>
  </w:num>
  <w:num w:numId="39" w16cid:durableId="1981836197">
    <w:abstractNumId w:val="5"/>
  </w:num>
  <w:num w:numId="40" w16cid:durableId="646787799">
    <w:abstractNumId w:val="64"/>
  </w:num>
  <w:num w:numId="41" w16cid:durableId="1456292314">
    <w:abstractNumId w:val="47"/>
  </w:num>
  <w:num w:numId="42" w16cid:durableId="1199665280">
    <w:abstractNumId w:val="67"/>
  </w:num>
  <w:num w:numId="43" w16cid:durableId="1753621040">
    <w:abstractNumId w:val="18"/>
  </w:num>
  <w:num w:numId="44" w16cid:durableId="536435910">
    <w:abstractNumId w:val="13"/>
  </w:num>
  <w:num w:numId="45" w16cid:durableId="478814390">
    <w:abstractNumId w:val="30"/>
  </w:num>
  <w:num w:numId="46" w16cid:durableId="654650686">
    <w:abstractNumId w:val="65"/>
  </w:num>
  <w:num w:numId="47" w16cid:durableId="1874028704">
    <w:abstractNumId w:val="28"/>
  </w:num>
  <w:num w:numId="48" w16cid:durableId="1399552892">
    <w:abstractNumId w:val="42"/>
  </w:num>
  <w:num w:numId="49" w16cid:durableId="761799325">
    <w:abstractNumId w:val="26"/>
  </w:num>
  <w:num w:numId="50" w16cid:durableId="55933413">
    <w:abstractNumId w:val="41"/>
  </w:num>
  <w:num w:numId="51" w16cid:durableId="56049726">
    <w:abstractNumId w:val="16"/>
  </w:num>
  <w:num w:numId="52" w16cid:durableId="1563830600">
    <w:abstractNumId w:val="55"/>
  </w:num>
  <w:num w:numId="53" w16cid:durableId="790174257">
    <w:abstractNumId w:val="105"/>
  </w:num>
  <w:num w:numId="54" w16cid:durableId="164978301">
    <w:abstractNumId w:val="77"/>
  </w:num>
  <w:num w:numId="55" w16cid:durableId="1930115273">
    <w:abstractNumId w:val="99"/>
  </w:num>
  <w:num w:numId="56" w16cid:durableId="1829666517">
    <w:abstractNumId w:val="46"/>
  </w:num>
  <w:num w:numId="57" w16cid:durableId="958562201">
    <w:abstractNumId w:val="29"/>
  </w:num>
  <w:num w:numId="58" w16cid:durableId="626937710">
    <w:abstractNumId w:val="76"/>
  </w:num>
  <w:num w:numId="59" w16cid:durableId="1232888191">
    <w:abstractNumId w:val="61"/>
  </w:num>
  <w:num w:numId="60" w16cid:durableId="2132508080">
    <w:abstractNumId w:val="73"/>
  </w:num>
  <w:num w:numId="61" w16cid:durableId="712462630">
    <w:abstractNumId w:val="63"/>
  </w:num>
  <w:num w:numId="62" w16cid:durableId="2125343613">
    <w:abstractNumId w:val="38"/>
  </w:num>
  <w:num w:numId="63" w16cid:durableId="1470249246">
    <w:abstractNumId w:val="98"/>
  </w:num>
  <w:num w:numId="64" w16cid:durableId="1947887376">
    <w:abstractNumId w:val="23"/>
  </w:num>
  <w:num w:numId="65" w16cid:durableId="1439593651">
    <w:abstractNumId w:val="20"/>
  </w:num>
  <w:num w:numId="66" w16cid:durableId="4285630">
    <w:abstractNumId w:val="37"/>
  </w:num>
  <w:num w:numId="67" w16cid:durableId="849292915">
    <w:abstractNumId w:val="102"/>
  </w:num>
  <w:num w:numId="68" w16cid:durableId="1476412787">
    <w:abstractNumId w:val="81"/>
  </w:num>
  <w:num w:numId="69" w16cid:durableId="1433430730">
    <w:abstractNumId w:val="110"/>
  </w:num>
  <w:num w:numId="70" w16cid:durableId="1370884375">
    <w:abstractNumId w:val="74"/>
  </w:num>
  <w:num w:numId="71" w16cid:durableId="1637640325">
    <w:abstractNumId w:val="79"/>
  </w:num>
  <w:num w:numId="72" w16cid:durableId="56906895">
    <w:abstractNumId w:val="54"/>
  </w:num>
  <w:num w:numId="73" w16cid:durableId="876553448">
    <w:abstractNumId w:val="69"/>
  </w:num>
  <w:num w:numId="74" w16cid:durableId="939488402">
    <w:abstractNumId w:val="60"/>
  </w:num>
  <w:num w:numId="75" w16cid:durableId="490607747">
    <w:abstractNumId w:val="101"/>
  </w:num>
  <w:num w:numId="76" w16cid:durableId="2138447005">
    <w:abstractNumId w:val="33"/>
  </w:num>
  <w:num w:numId="77" w16cid:durableId="585236717">
    <w:abstractNumId w:val="78"/>
  </w:num>
  <w:num w:numId="78" w16cid:durableId="563834881">
    <w:abstractNumId w:val="43"/>
  </w:num>
  <w:num w:numId="79" w16cid:durableId="989677384">
    <w:abstractNumId w:val="59"/>
  </w:num>
  <w:num w:numId="80" w16cid:durableId="1494448245">
    <w:abstractNumId w:val="15"/>
  </w:num>
  <w:num w:numId="81" w16cid:durableId="1138956034">
    <w:abstractNumId w:val="91"/>
  </w:num>
  <w:num w:numId="82" w16cid:durableId="1423838367">
    <w:abstractNumId w:val="6"/>
  </w:num>
  <w:num w:numId="83" w16cid:durableId="66927534">
    <w:abstractNumId w:val="50"/>
  </w:num>
  <w:num w:numId="84" w16cid:durableId="164517320">
    <w:abstractNumId w:val="4"/>
  </w:num>
  <w:num w:numId="85" w16cid:durableId="876428053">
    <w:abstractNumId w:val="17"/>
  </w:num>
  <w:num w:numId="86" w16cid:durableId="565187111">
    <w:abstractNumId w:val="32"/>
  </w:num>
  <w:num w:numId="87" w16cid:durableId="1841119021">
    <w:abstractNumId w:val="90"/>
  </w:num>
  <w:num w:numId="88" w16cid:durableId="697898231">
    <w:abstractNumId w:val="51"/>
  </w:num>
  <w:num w:numId="89" w16cid:durableId="466320713">
    <w:abstractNumId w:val="72"/>
  </w:num>
  <w:num w:numId="90" w16cid:durableId="687407526">
    <w:abstractNumId w:val="19"/>
  </w:num>
  <w:num w:numId="91" w16cid:durableId="419912714">
    <w:abstractNumId w:val="44"/>
  </w:num>
  <w:num w:numId="92" w16cid:durableId="1100417743">
    <w:abstractNumId w:val="36"/>
  </w:num>
  <w:num w:numId="93" w16cid:durableId="1781684850">
    <w:abstractNumId w:val="82"/>
  </w:num>
  <w:num w:numId="94" w16cid:durableId="1879009952">
    <w:abstractNumId w:val="88"/>
  </w:num>
  <w:num w:numId="95" w16cid:durableId="956645114">
    <w:abstractNumId w:val="71"/>
  </w:num>
  <w:num w:numId="96" w16cid:durableId="126169968">
    <w:abstractNumId w:val="111"/>
  </w:num>
  <w:num w:numId="97" w16cid:durableId="733509237">
    <w:abstractNumId w:val="100"/>
  </w:num>
  <w:num w:numId="98" w16cid:durableId="2002537930">
    <w:abstractNumId w:val="104"/>
  </w:num>
  <w:num w:numId="99" w16cid:durableId="1733118925">
    <w:abstractNumId w:val="107"/>
  </w:num>
  <w:num w:numId="100" w16cid:durableId="864949338">
    <w:abstractNumId w:val="7"/>
  </w:num>
  <w:num w:numId="101" w16cid:durableId="1351949950">
    <w:abstractNumId w:val="89"/>
  </w:num>
  <w:num w:numId="102" w16cid:durableId="266694794">
    <w:abstractNumId w:val="1"/>
  </w:num>
  <w:num w:numId="103" w16cid:durableId="1758942537">
    <w:abstractNumId w:val="9"/>
  </w:num>
  <w:num w:numId="104" w16cid:durableId="1327636025">
    <w:abstractNumId w:val="93"/>
  </w:num>
  <w:num w:numId="105" w16cid:durableId="180945574">
    <w:abstractNumId w:val="94"/>
  </w:num>
  <w:num w:numId="106" w16cid:durableId="1671980140">
    <w:abstractNumId w:val="96"/>
  </w:num>
  <w:num w:numId="107" w16cid:durableId="484592481">
    <w:abstractNumId w:val="21"/>
  </w:num>
  <w:num w:numId="108" w16cid:durableId="376588194">
    <w:abstractNumId w:val="27"/>
  </w:num>
  <w:num w:numId="109" w16cid:durableId="2104447797">
    <w:abstractNumId w:val="2"/>
  </w:num>
  <w:num w:numId="110" w16cid:durableId="1337463004">
    <w:abstractNumId w:val="92"/>
  </w:num>
  <w:num w:numId="111" w16cid:durableId="286812216">
    <w:abstractNumId w:val="8"/>
  </w:num>
  <w:num w:numId="112" w16cid:durableId="577403772">
    <w:abstractNumId w:val="112"/>
  </w:num>
  <w:num w:numId="113" w16cid:durableId="146820549">
    <w:abstractNumId w:val="95"/>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grammar="clean"/>
  <w:defaultTabStop w:val="720"/>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E85"/>
    <w:rsid w:val="000044DB"/>
    <w:rsid w:val="00007E8E"/>
    <w:rsid w:val="00010DC3"/>
    <w:rsid w:val="000110E4"/>
    <w:rsid w:val="00011365"/>
    <w:rsid w:val="00011400"/>
    <w:rsid w:val="00015DA1"/>
    <w:rsid w:val="00021B9E"/>
    <w:rsid w:val="0002360A"/>
    <w:rsid w:val="000264FD"/>
    <w:rsid w:val="000363AE"/>
    <w:rsid w:val="00037F8E"/>
    <w:rsid w:val="0004099D"/>
    <w:rsid w:val="000429C4"/>
    <w:rsid w:val="00043C73"/>
    <w:rsid w:val="000448CE"/>
    <w:rsid w:val="00047683"/>
    <w:rsid w:val="00050706"/>
    <w:rsid w:val="00051209"/>
    <w:rsid w:val="00052B5C"/>
    <w:rsid w:val="00061219"/>
    <w:rsid w:val="000625D7"/>
    <w:rsid w:val="00062704"/>
    <w:rsid w:val="000672A3"/>
    <w:rsid w:val="000677DD"/>
    <w:rsid w:val="0007266A"/>
    <w:rsid w:val="00073EFB"/>
    <w:rsid w:val="000752F5"/>
    <w:rsid w:val="00076256"/>
    <w:rsid w:val="00076C0D"/>
    <w:rsid w:val="00076F49"/>
    <w:rsid w:val="000865EA"/>
    <w:rsid w:val="0008703B"/>
    <w:rsid w:val="000A2386"/>
    <w:rsid w:val="000A31A0"/>
    <w:rsid w:val="000A5A0E"/>
    <w:rsid w:val="000A719A"/>
    <w:rsid w:val="000B267A"/>
    <w:rsid w:val="000B481A"/>
    <w:rsid w:val="000B5164"/>
    <w:rsid w:val="000C144A"/>
    <w:rsid w:val="000C353F"/>
    <w:rsid w:val="000C477F"/>
    <w:rsid w:val="000D07B6"/>
    <w:rsid w:val="000D4EE9"/>
    <w:rsid w:val="000D5A8C"/>
    <w:rsid w:val="000E178B"/>
    <w:rsid w:val="000E1F5E"/>
    <w:rsid w:val="000F0467"/>
    <w:rsid w:val="000F072D"/>
    <w:rsid w:val="000F22E0"/>
    <w:rsid w:val="000F35E1"/>
    <w:rsid w:val="001000F5"/>
    <w:rsid w:val="00102833"/>
    <w:rsid w:val="001040F0"/>
    <w:rsid w:val="00105D80"/>
    <w:rsid w:val="00106B5A"/>
    <w:rsid w:val="001073BB"/>
    <w:rsid w:val="0011170E"/>
    <w:rsid w:val="00111787"/>
    <w:rsid w:val="001139BB"/>
    <w:rsid w:val="00120161"/>
    <w:rsid w:val="00124F1F"/>
    <w:rsid w:val="00126770"/>
    <w:rsid w:val="0013035B"/>
    <w:rsid w:val="00131CFD"/>
    <w:rsid w:val="00131E1B"/>
    <w:rsid w:val="00132369"/>
    <w:rsid w:val="00134D9E"/>
    <w:rsid w:val="001356D0"/>
    <w:rsid w:val="00136C31"/>
    <w:rsid w:val="00146B7B"/>
    <w:rsid w:val="001546A4"/>
    <w:rsid w:val="001546DD"/>
    <w:rsid w:val="00155BBA"/>
    <w:rsid w:val="00155C46"/>
    <w:rsid w:val="001566CD"/>
    <w:rsid w:val="00157C13"/>
    <w:rsid w:val="00161D4D"/>
    <w:rsid w:val="001623FD"/>
    <w:rsid w:val="00163095"/>
    <w:rsid w:val="001666A6"/>
    <w:rsid w:val="00167956"/>
    <w:rsid w:val="00167FF2"/>
    <w:rsid w:val="00172A27"/>
    <w:rsid w:val="00172C66"/>
    <w:rsid w:val="001768B9"/>
    <w:rsid w:val="00177DFA"/>
    <w:rsid w:val="00180162"/>
    <w:rsid w:val="00181567"/>
    <w:rsid w:val="001815E0"/>
    <w:rsid w:val="00184892"/>
    <w:rsid w:val="00185359"/>
    <w:rsid w:val="00185487"/>
    <w:rsid w:val="0018560D"/>
    <w:rsid w:val="00187E78"/>
    <w:rsid w:val="001A0810"/>
    <w:rsid w:val="001A58C9"/>
    <w:rsid w:val="001A5B7A"/>
    <w:rsid w:val="001B3A7F"/>
    <w:rsid w:val="001B4026"/>
    <w:rsid w:val="001B4963"/>
    <w:rsid w:val="001B53B6"/>
    <w:rsid w:val="001B6EC0"/>
    <w:rsid w:val="001B6F1C"/>
    <w:rsid w:val="001C08A5"/>
    <w:rsid w:val="001C0D3B"/>
    <w:rsid w:val="001C15C6"/>
    <w:rsid w:val="001C19D9"/>
    <w:rsid w:val="001C39FD"/>
    <w:rsid w:val="001C5AB9"/>
    <w:rsid w:val="001C6744"/>
    <w:rsid w:val="001D12D3"/>
    <w:rsid w:val="001D250C"/>
    <w:rsid w:val="001E0537"/>
    <w:rsid w:val="001E324C"/>
    <w:rsid w:val="001E339B"/>
    <w:rsid w:val="001E3C20"/>
    <w:rsid w:val="001E7EC2"/>
    <w:rsid w:val="001F0B33"/>
    <w:rsid w:val="001F188F"/>
    <w:rsid w:val="001F5906"/>
    <w:rsid w:val="0020108C"/>
    <w:rsid w:val="002040DF"/>
    <w:rsid w:val="00207BD6"/>
    <w:rsid w:val="00212CB9"/>
    <w:rsid w:val="00213C7F"/>
    <w:rsid w:val="00217FD5"/>
    <w:rsid w:val="00221DC8"/>
    <w:rsid w:val="00227A7A"/>
    <w:rsid w:val="00231F4C"/>
    <w:rsid w:val="00233B02"/>
    <w:rsid w:val="00240CCF"/>
    <w:rsid w:val="00241AAE"/>
    <w:rsid w:val="0024300F"/>
    <w:rsid w:val="002451C9"/>
    <w:rsid w:val="002459F7"/>
    <w:rsid w:val="00246951"/>
    <w:rsid w:val="00252F05"/>
    <w:rsid w:val="00254D7F"/>
    <w:rsid w:val="00256812"/>
    <w:rsid w:val="00256C07"/>
    <w:rsid w:val="00256DDC"/>
    <w:rsid w:val="00262CA4"/>
    <w:rsid w:val="00263129"/>
    <w:rsid w:val="00266C90"/>
    <w:rsid w:val="0027222C"/>
    <w:rsid w:val="00273B70"/>
    <w:rsid w:val="00273E57"/>
    <w:rsid w:val="002775E3"/>
    <w:rsid w:val="00280459"/>
    <w:rsid w:val="0028093A"/>
    <w:rsid w:val="00280BC5"/>
    <w:rsid w:val="00281609"/>
    <w:rsid w:val="00281A57"/>
    <w:rsid w:val="00281B70"/>
    <w:rsid w:val="00283D9B"/>
    <w:rsid w:val="00284B42"/>
    <w:rsid w:val="002870D0"/>
    <w:rsid w:val="00290ED5"/>
    <w:rsid w:val="00292D09"/>
    <w:rsid w:val="00296343"/>
    <w:rsid w:val="00296374"/>
    <w:rsid w:val="00297B6A"/>
    <w:rsid w:val="002A063C"/>
    <w:rsid w:val="002A0ED8"/>
    <w:rsid w:val="002A2A10"/>
    <w:rsid w:val="002A5723"/>
    <w:rsid w:val="002A6333"/>
    <w:rsid w:val="002B3303"/>
    <w:rsid w:val="002B359C"/>
    <w:rsid w:val="002B60EC"/>
    <w:rsid w:val="002B6285"/>
    <w:rsid w:val="002B6E44"/>
    <w:rsid w:val="002C07FC"/>
    <w:rsid w:val="002C0E01"/>
    <w:rsid w:val="002C21F0"/>
    <w:rsid w:val="002C5067"/>
    <w:rsid w:val="002C64AB"/>
    <w:rsid w:val="002D29D4"/>
    <w:rsid w:val="002D773B"/>
    <w:rsid w:val="002E0829"/>
    <w:rsid w:val="002E22DF"/>
    <w:rsid w:val="002E6140"/>
    <w:rsid w:val="002E6B19"/>
    <w:rsid w:val="002F3717"/>
    <w:rsid w:val="002F71D9"/>
    <w:rsid w:val="003013DC"/>
    <w:rsid w:val="00301D18"/>
    <w:rsid w:val="003028F2"/>
    <w:rsid w:val="00304A25"/>
    <w:rsid w:val="00304D18"/>
    <w:rsid w:val="003059CF"/>
    <w:rsid w:val="003071D3"/>
    <w:rsid w:val="003072E9"/>
    <w:rsid w:val="00310478"/>
    <w:rsid w:val="003104F9"/>
    <w:rsid w:val="00310FFF"/>
    <w:rsid w:val="003120B9"/>
    <w:rsid w:val="00317367"/>
    <w:rsid w:val="003203A6"/>
    <w:rsid w:val="00320BA2"/>
    <w:rsid w:val="00320ED4"/>
    <w:rsid w:val="003216AB"/>
    <w:rsid w:val="003259BC"/>
    <w:rsid w:val="00325F43"/>
    <w:rsid w:val="00334034"/>
    <w:rsid w:val="00335258"/>
    <w:rsid w:val="00335D64"/>
    <w:rsid w:val="00341FAA"/>
    <w:rsid w:val="00343A40"/>
    <w:rsid w:val="00344E58"/>
    <w:rsid w:val="00345F9E"/>
    <w:rsid w:val="00346496"/>
    <w:rsid w:val="00351816"/>
    <w:rsid w:val="0035291C"/>
    <w:rsid w:val="0035507F"/>
    <w:rsid w:val="0035589A"/>
    <w:rsid w:val="00355A67"/>
    <w:rsid w:val="0035639D"/>
    <w:rsid w:val="00362BC4"/>
    <w:rsid w:val="00362E12"/>
    <w:rsid w:val="00362E37"/>
    <w:rsid w:val="00363BA6"/>
    <w:rsid w:val="00364149"/>
    <w:rsid w:val="003669D4"/>
    <w:rsid w:val="0037009F"/>
    <w:rsid w:val="003701C6"/>
    <w:rsid w:val="003776C0"/>
    <w:rsid w:val="00377AAB"/>
    <w:rsid w:val="00377F19"/>
    <w:rsid w:val="00382634"/>
    <w:rsid w:val="00382B68"/>
    <w:rsid w:val="00384111"/>
    <w:rsid w:val="0039355E"/>
    <w:rsid w:val="00394B3A"/>
    <w:rsid w:val="003A35CA"/>
    <w:rsid w:val="003A5512"/>
    <w:rsid w:val="003A5FE0"/>
    <w:rsid w:val="003B6806"/>
    <w:rsid w:val="003B6BC8"/>
    <w:rsid w:val="003B76E9"/>
    <w:rsid w:val="003B7E14"/>
    <w:rsid w:val="003C076C"/>
    <w:rsid w:val="003C4867"/>
    <w:rsid w:val="003C53D5"/>
    <w:rsid w:val="003C656B"/>
    <w:rsid w:val="003D218D"/>
    <w:rsid w:val="003D4760"/>
    <w:rsid w:val="003D7574"/>
    <w:rsid w:val="003E00BF"/>
    <w:rsid w:val="003E0A52"/>
    <w:rsid w:val="003E28F9"/>
    <w:rsid w:val="003E567C"/>
    <w:rsid w:val="003E5F7A"/>
    <w:rsid w:val="003E6DE8"/>
    <w:rsid w:val="003E7A92"/>
    <w:rsid w:val="003F3B76"/>
    <w:rsid w:val="003F44BC"/>
    <w:rsid w:val="003F46EE"/>
    <w:rsid w:val="003F4D4D"/>
    <w:rsid w:val="0040060C"/>
    <w:rsid w:val="00400D2B"/>
    <w:rsid w:val="00402464"/>
    <w:rsid w:val="00402BAC"/>
    <w:rsid w:val="00403EFC"/>
    <w:rsid w:val="00404801"/>
    <w:rsid w:val="00404AE8"/>
    <w:rsid w:val="004061DB"/>
    <w:rsid w:val="0041080D"/>
    <w:rsid w:val="0041155B"/>
    <w:rsid w:val="00414D54"/>
    <w:rsid w:val="00415BEA"/>
    <w:rsid w:val="00416506"/>
    <w:rsid w:val="00426D1E"/>
    <w:rsid w:val="00430F61"/>
    <w:rsid w:val="0043206A"/>
    <w:rsid w:val="004320A0"/>
    <w:rsid w:val="004330F7"/>
    <w:rsid w:val="00434506"/>
    <w:rsid w:val="00434660"/>
    <w:rsid w:val="00435656"/>
    <w:rsid w:val="00441BE5"/>
    <w:rsid w:val="00442041"/>
    <w:rsid w:val="00442AE4"/>
    <w:rsid w:val="004440C0"/>
    <w:rsid w:val="0044609E"/>
    <w:rsid w:val="00446C1A"/>
    <w:rsid w:val="00447EC8"/>
    <w:rsid w:val="004501A4"/>
    <w:rsid w:val="00451BCF"/>
    <w:rsid w:val="0045206D"/>
    <w:rsid w:val="0045451A"/>
    <w:rsid w:val="0045508B"/>
    <w:rsid w:val="00455B68"/>
    <w:rsid w:val="00455E91"/>
    <w:rsid w:val="004574FD"/>
    <w:rsid w:val="004628D0"/>
    <w:rsid w:val="00473C26"/>
    <w:rsid w:val="004841C4"/>
    <w:rsid w:val="0049231E"/>
    <w:rsid w:val="00492EA5"/>
    <w:rsid w:val="00493876"/>
    <w:rsid w:val="00493A82"/>
    <w:rsid w:val="00494514"/>
    <w:rsid w:val="004948AE"/>
    <w:rsid w:val="00494D53"/>
    <w:rsid w:val="004A2EE5"/>
    <w:rsid w:val="004A3097"/>
    <w:rsid w:val="004A3289"/>
    <w:rsid w:val="004A34B9"/>
    <w:rsid w:val="004A354F"/>
    <w:rsid w:val="004A3C7D"/>
    <w:rsid w:val="004A5477"/>
    <w:rsid w:val="004A6139"/>
    <w:rsid w:val="004A75A3"/>
    <w:rsid w:val="004B08FC"/>
    <w:rsid w:val="004B554B"/>
    <w:rsid w:val="004B570D"/>
    <w:rsid w:val="004C19CC"/>
    <w:rsid w:val="004C4518"/>
    <w:rsid w:val="004C4F02"/>
    <w:rsid w:val="004D039C"/>
    <w:rsid w:val="004D6050"/>
    <w:rsid w:val="004D69BD"/>
    <w:rsid w:val="004D78A5"/>
    <w:rsid w:val="004E1287"/>
    <w:rsid w:val="004E1B90"/>
    <w:rsid w:val="004E29FB"/>
    <w:rsid w:val="004E492E"/>
    <w:rsid w:val="004E55AE"/>
    <w:rsid w:val="004E56E0"/>
    <w:rsid w:val="004E78BA"/>
    <w:rsid w:val="004F25CB"/>
    <w:rsid w:val="004F3197"/>
    <w:rsid w:val="004F3CD8"/>
    <w:rsid w:val="004F54E6"/>
    <w:rsid w:val="005007D3"/>
    <w:rsid w:val="00510FB8"/>
    <w:rsid w:val="00511103"/>
    <w:rsid w:val="00511366"/>
    <w:rsid w:val="00512028"/>
    <w:rsid w:val="005154F7"/>
    <w:rsid w:val="0051628D"/>
    <w:rsid w:val="00522072"/>
    <w:rsid w:val="00522594"/>
    <w:rsid w:val="00522B71"/>
    <w:rsid w:val="00525E26"/>
    <w:rsid w:val="00526344"/>
    <w:rsid w:val="00526A5D"/>
    <w:rsid w:val="00526DE6"/>
    <w:rsid w:val="00527201"/>
    <w:rsid w:val="0053242A"/>
    <w:rsid w:val="005337E3"/>
    <w:rsid w:val="00533BCB"/>
    <w:rsid w:val="005369EC"/>
    <w:rsid w:val="00537D94"/>
    <w:rsid w:val="00540896"/>
    <w:rsid w:val="00542E05"/>
    <w:rsid w:val="00543F22"/>
    <w:rsid w:val="00544910"/>
    <w:rsid w:val="005449B6"/>
    <w:rsid w:val="00544DD8"/>
    <w:rsid w:val="00546391"/>
    <w:rsid w:val="005465F4"/>
    <w:rsid w:val="00550E74"/>
    <w:rsid w:val="0055409B"/>
    <w:rsid w:val="005540CA"/>
    <w:rsid w:val="0055496E"/>
    <w:rsid w:val="00560AD4"/>
    <w:rsid w:val="005612A3"/>
    <w:rsid w:val="00562060"/>
    <w:rsid w:val="00563F8A"/>
    <w:rsid w:val="00567296"/>
    <w:rsid w:val="00575705"/>
    <w:rsid w:val="00575F27"/>
    <w:rsid w:val="00585DED"/>
    <w:rsid w:val="005911F0"/>
    <w:rsid w:val="00593059"/>
    <w:rsid w:val="005940AE"/>
    <w:rsid w:val="005A12C8"/>
    <w:rsid w:val="005A2D0B"/>
    <w:rsid w:val="005A2F14"/>
    <w:rsid w:val="005A53BC"/>
    <w:rsid w:val="005A72BF"/>
    <w:rsid w:val="005B0263"/>
    <w:rsid w:val="005B167C"/>
    <w:rsid w:val="005B3E5A"/>
    <w:rsid w:val="005B4060"/>
    <w:rsid w:val="005B562A"/>
    <w:rsid w:val="005C0517"/>
    <w:rsid w:val="005C2620"/>
    <w:rsid w:val="005C3448"/>
    <w:rsid w:val="005C520E"/>
    <w:rsid w:val="005C5903"/>
    <w:rsid w:val="005C6F1D"/>
    <w:rsid w:val="005D072B"/>
    <w:rsid w:val="005D137B"/>
    <w:rsid w:val="005D57D4"/>
    <w:rsid w:val="005D5AAE"/>
    <w:rsid w:val="005D6672"/>
    <w:rsid w:val="005D7096"/>
    <w:rsid w:val="005E1077"/>
    <w:rsid w:val="005E589E"/>
    <w:rsid w:val="005E7D7F"/>
    <w:rsid w:val="005F3B1F"/>
    <w:rsid w:val="005F4C45"/>
    <w:rsid w:val="005F78C5"/>
    <w:rsid w:val="005F7922"/>
    <w:rsid w:val="005F7CFE"/>
    <w:rsid w:val="00602231"/>
    <w:rsid w:val="0060271F"/>
    <w:rsid w:val="00603B23"/>
    <w:rsid w:val="00605D6F"/>
    <w:rsid w:val="00606792"/>
    <w:rsid w:val="00606851"/>
    <w:rsid w:val="0060788A"/>
    <w:rsid w:val="00607A50"/>
    <w:rsid w:val="006104A8"/>
    <w:rsid w:val="006104C5"/>
    <w:rsid w:val="00611335"/>
    <w:rsid w:val="00611E17"/>
    <w:rsid w:val="0061386C"/>
    <w:rsid w:val="0061421F"/>
    <w:rsid w:val="006222C9"/>
    <w:rsid w:val="0062392F"/>
    <w:rsid w:val="00625208"/>
    <w:rsid w:val="0062660D"/>
    <w:rsid w:val="00627745"/>
    <w:rsid w:val="0063069F"/>
    <w:rsid w:val="00636635"/>
    <w:rsid w:val="00637485"/>
    <w:rsid w:val="00640708"/>
    <w:rsid w:val="00641203"/>
    <w:rsid w:val="00642229"/>
    <w:rsid w:val="00642EC5"/>
    <w:rsid w:val="0064387D"/>
    <w:rsid w:val="00644954"/>
    <w:rsid w:val="00654C97"/>
    <w:rsid w:val="00656080"/>
    <w:rsid w:val="00656982"/>
    <w:rsid w:val="00657655"/>
    <w:rsid w:val="0066038C"/>
    <w:rsid w:val="00662330"/>
    <w:rsid w:val="006625E7"/>
    <w:rsid w:val="00665C08"/>
    <w:rsid w:val="006669C9"/>
    <w:rsid w:val="00675CC7"/>
    <w:rsid w:val="00686432"/>
    <w:rsid w:val="006955FE"/>
    <w:rsid w:val="006A31A1"/>
    <w:rsid w:val="006A6B18"/>
    <w:rsid w:val="006B3F4A"/>
    <w:rsid w:val="006B463E"/>
    <w:rsid w:val="006B5DB2"/>
    <w:rsid w:val="006B61FC"/>
    <w:rsid w:val="006B6DE5"/>
    <w:rsid w:val="006C247B"/>
    <w:rsid w:val="006C2E1B"/>
    <w:rsid w:val="006C3721"/>
    <w:rsid w:val="006C43B3"/>
    <w:rsid w:val="006C667D"/>
    <w:rsid w:val="006C7B2A"/>
    <w:rsid w:val="006D1CF3"/>
    <w:rsid w:val="006D1FB5"/>
    <w:rsid w:val="006D35FE"/>
    <w:rsid w:val="006D3A0E"/>
    <w:rsid w:val="006D503E"/>
    <w:rsid w:val="006D52A0"/>
    <w:rsid w:val="006D6712"/>
    <w:rsid w:val="006D72C6"/>
    <w:rsid w:val="006E0CCA"/>
    <w:rsid w:val="006E3CFA"/>
    <w:rsid w:val="006E55B3"/>
    <w:rsid w:val="006E596C"/>
    <w:rsid w:val="006E7B21"/>
    <w:rsid w:val="006F4C8E"/>
    <w:rsid w:val="006F4F7B"/>
    <w:rsid w:val="006F6314"/>
    <w:rsid w:val="006F6B43"/>
    <w:rsid w:val="00704C77"/>
    <w:rsid w:val="007074F0"/>
    <w:rsid w:val="007103B0"/>
    <w:rsid w:val="00711AFB"/>
    <w:rsid w:val="0071227A"/>
    <w:rsid w:val="00712D8C"/>
    <w:rsid w:val="00716273"/>
    <w:rsid w:val="00716920"/>
    <w:rsid w:val="00717B37"/>
    <w:rsid w:val="00725328"/>
    <w:rsid w:val="0072595D"/>
    <w:rsid w:val="00725E39"/>
    <w:rsid w:val="00727956"/>
    <w:rsid w:val="00727DC7"/>
    <w:rsid w:val="00730C0C"/>
    <w:rsid w:val="00733563"/>
    <w:rsid w:val="00733C9A"/>
    <w:rsid w:val="00735245"/>
    <w:rsid w:val="00735724"/>
    <w:rsid w:val="00740353"/>
    <w:rsid w:val="00744D86"/>
    <w:rsid w:val="00744F43"/>
    <w:rsid w:val="00746470"/>
    <w:rsid w:val="00746F9A"/>
    <w:rsid w:val="00747A31"/>
    <w:rsid w:val="00751AC4"/>
    <w:rsid w:val="00751BE1"/>
    <w:rsid w:val="007540F0"/>
    <w:rsid w:val="007569C8"/>
    <w:rsid w:val="00757B88"/>
    <w:rsid w:val="00760974"/>
    <w:rsid w:val="00762BCF"/>
    <w:rsid w:val="0076528C"/>
    <w:rsid w:val="00766D23"/>
    <w:rsid w:val="00767B8E"/>
    <w:rsid w:val="00767F09"/>
    <w:rsid w:val="00771027"/>
    <w:rsid w:val="007713AE"/>
    <w:rsid w:val="00771BE0"/>
    <w:rsid w:val="007747DF"/>
    <w:rsid w:val="00780EF4"/>
    <w:rsid w:val="00782673"/>
    <w:rsid w:val="007827FB"/>
    <w:rsid w:val="00783A06"/>
    <w:rsid w:val="00786200"/>
    <w:rsid w:val="00786680"/>
    <w:rsid w:val="00787D12"/>
    <w:rsid w:val="007905B2"/>
    <w:rsid w:val="007907F8"/>
    <w:rsid w:val="0079185A"/>
    <w:rsid w:val="007957D5"/>
    <w:rsid w:val="00795A1D"/>
    <w:rsid w:val="007A32CC"/>
    <w:rsid w:val="007A5268"/>
    <w:rsid w:val="007A74A0"/>
    <w:rsid w:val="007A7EEE"/>
    <w:rsid w:val="007B31C2"/>
    <w:rsid w:val="007B5E2C"/>
    <w:rsid w:val="007B736F"/>
    <w:rsid w:val="007C148A"/>
    <w:rsid w:val="007C2816"/>
    <w:rsid w:val="007D09EC"/>
    <w:rsid w:val="007D15D2"/>
    <w:rsid w:val="007D1BA7"/>
    <w:rsid w:val="007D26DA"/>
    <w:rsid w:val="007D5E11"/>
    <w:rsid w:val="007D7A20"/>
    <w:rsid w:val="007E0599"/>
    <w:rsid w:val="007E06B6"/>
    <w:rsid w:val="007E50A0"/>
    <w:rsid w:val="007E754A"/>
    <w:rsid w:val="007F036D"/>
    <w:rsid w:val="007F083C"/>
    <w:rsid w:val="007F08F1"/>
    <w:rsid w:val="007F0B5F"/>
    <w:rsid w:val="007F0C14"/>
    <w:rsid w:val="007F0CFF"/>
    <w:rsid w:val="007F0EE6"/>
    <w:rsid w:val="007F3151"/>
    <w:rsid w:val="007F4624"/>
    <w:rsid w:val="007F47ED"/>
    <w:rsid w:val="007F6F5E"/>
    <w:rsid w:val="007F7A95"/>
    <w:rsid w:val="00800961"/>
    <w:rsid w:val="008013DB"/>
    <w:rsid w:val="00803205"/>
    <w:rsid w:val="00803613"/>
    <w:rsid w:val="00803BFD"/>
    <w:rsid w:val="008041D2"/>
    <w:rsid w:val="00804837"/>
    <w:rsid w:val="00813EC9"/>
    <w:rsid w:val="00814CAF"/>
    <w:rsid w:val="00815025"/>
    <w:rsid w:val="00815E85"/>
    <w:rsid w:val="0081638F"/>
    <w:rsid w:val="008163A8"/>
    <w:rsid w:val="008207DA"/>
    <w:rsid w:val="00824342"/>
    <w:rsid w:val="0082524B"/>
    <w:rsid w:val="00825A49"/>
    <w:rsid w:val="00825E15"/>
    <w:rsid w:val="00826868"/>
    <w:rsid w:val="008329E1"/>
    <w:rsid w:val="0083451D"/>
    <w:rsid w:val="00835427"/>
    <w:rsid w:val="00840C46"/>
    <w:rsid w:val="00843210"/>
    <w:rsid w:val="00843DA0"/>
    <w:rsid w:val="00847367"/>
    <w:rsid w:val="00847468"/>
    <w:rsid w:val="00851082"/>
    <w:rsid w:val="008516FE"/>
    <w:rsid w:val="00851D88"/>
    <w:rsid w:val="00852549"/>
    <w:rsid w:val="008542D2"/>
    <w:rsid w:val="00855243"/>
    <w:rsid w:val="00855ABB"/>
    <w:rsid w:val="00856E5A"/>
    <w:rsid w:val="008575F4"/>
    <w:rsid w:val="0085778E"/>
    <w:rsid w:val="00865603"/>
    <w:rsid w:val="00870C4E"/>
    <w:rsid w:val="00877D97"/>
    <w:rsid w:val="00886365"/>
    <w:rsid w:val="0088759D"/>
    <w:rsid w:val="00892477"/>
    <w:rsid w:val="008941A7"/>
    <w:rsid w:val="008A1F5A"/>
    <w:rsid w:val="008A2F14"/>
    <w:rsid w:val="008A34FA"/>
    <w:rsid w:val="008A5B9F"/>
    <w:rsid w:val="008B2102"/>
    <w:rsid w:val="008B3783"/>
    <w:rsid w:val="008B52D8"/>
    <w:rsid w:val="008B56D1"/>
    <w:rsid w:val="008C0CEE"/>
    <w:rsid w:val="008C0D69"/>
    <w:rsid w:val="008C19AC"/>
    <w:rsid w:val="008C1A4C"/>
    <w:rsid w:val="008C3B0F"/>
    <w:rsid w:val="008C77C2"/>
    <w:rsid w:val="008D0103"/>
    <w:rsid w:val="008D1425"/>
    <w:rsid w:val="008D286C"/>
    <w:rsid w:val="008E1BBA"/>
    <w:rsid w:val="008E410F"/>
    <w:rsid w:val="008F1045"/>
    <w:rsid w:val="008F14D3"/>
    <w:rsid w:val="008F1CA1"/>
    <w:rsid w:val="008F1EC9"/>
    <w:rsid w:val="008F479E"/>
    <w:rsid w:val="008F5CAA"/>
    <w:rsid w:val="008F6B2D"/>
    <w:rsid w:val="008F6DF1"/>
    <w:rsid w:val="00900C7A"/>
    <w:rsid w:val="00900F4D"/>
    <w:rsid w:val="00901131"/>
    <w:rsid w:val="0090216C"/>
    <w:rsid w:val="009033FB"/>
    <w:rsid w:val="00903C4A"/>
    <w:rsid w:val="00903EA5"/>
    <w:rsid w:val="0090550A"/>
    <w:rsid w:val="009114FF"/>
    <w:rsid w:val="00911F18"/>
    <w:rsid w:val="00914648"/>
    <w:rsid w:val="00923A36"/>
    <w:rsid w:val="0092577A"/>
    <w:rsid w:val="0092612D"/>
    <w:rsid w:val="00932377"/>
    <w:rsid w:val="009342F7"/>
    <w:rsid w:val="009343C9"/>
    <w:rsid w:val="00935015"/>
    <w:rsid w:val="00935A08"/>
    <w:rsid w:val="0093684C"/>
    <w:rsid w:val="009378EF"/>
    <w:rsid w:val="00937955"/>
    <w:rsid w:val="009468F9"/>
    <w:rsid w:val="0094742A"/>
    <w:rsid w:val="00952E34"/>
    <w:rsid w:val="0095786A"/>
    <w:rsid w:val="0096486F"/>
    <w:rsid w:val="009649E2"/>
    <w:rsid w:val="00964C43"/>
    <w:rsid w:val="00964F1E"/>
    <w:rsid w:val="00965769"/>
    <w:rsid w:val="00970505"/>
    <w:rsid w:val="00970742"/>
    <w:rsid w:val="00971B55"/>
    <w:rsid w:val="00971C9C"/>
    <w:rsid w:val="00972CDE"/>
    <w:rsid w:val="0097410F"/>
    <w:rsid w:val="0097627A"/>
    <w:rsid w:val="009768BA"/>
    <w:rsid w:val="00977A00"/>
    <w:rsid w:val="0098015E"/>
    <w:rsid w:val="00980508"/>
    <w:rsid w:val="00980E52"/>
    <w:rsid w:val="009813BC"/>
    <w:rsid w:val="009838AC"/>
    <w:rsid w:val="00984CD4"/>
    <w:rsid w:val="009874C4"/>
    <w:rsid w:val="00990A20"/>
    <w:rsid w:val="00990CA8"/>
    <w:rsid w:val="00991CA4"/>
    <w:rsid w:val="009977B1"/>
    <w:rsid w:val="00997AD1"/>
    <w:rsid w:val="009A05D8"/>
    <w:rsid w:val="009A1151"/>
    <w:rsid w:val="009A11F0"/>
    <w:rsid w:val="009A32E3"/>
    <w:rsid w:val="009A6529"/>
    <w:rsid w:val="009B1AE2"/>
    <w:rsid w:val="009B3856"/>
    <w:rsid w:val="009B38F0"/>
    <w:rsid w:val="009B7975"/>
    <w:rsid w:val="009C1C85"/>
    <w:rsid w:val="009C40A8"/>
    <w:rsid w:val="009D1BEA"/>
    <w:rsid w:val="009D1C40"/>
    <w:rsid w:val="009D789B"/>
    <w:rsid w:val="009E285A"/>
    <w:rsid w:val="009E48A9"/>
    <w:rsid w:val="009E6D3A"/>
    <w:rsid w:val="009E7C01"/>
    <w:rsid w:val="009E7C17"/>
    <w:rsid w:val="009E7F00"/>
    <w:rsid w:val="009F2035"/>
    <w:rsid w:val="00A0533D"/>
    <w:rsid w:val="00A0608E"/>
    <w:rsid w:val="00A10DC9"/>
    <w:rsid w:val="00A111D7"/>
    <w:rsid w:val="00A1200E"/>
    <w:rsid w:val="00A15748"/>
    <w:rsid w:val="00A15B01"/>
    <w:rsid w:val="00A2091B"/>
    <w:rsid w:val="00A22726"/>
    <w:rsid w:val="00A24D4F"/>
    <w:rsid w:val="00A30675"/>
    <w:rsid w:val="00A31035"/>
    <w:rsid w:val="00A33802"/>
    <w:rsid w:val="00A348D8"/>
    <w:rsid w:val="00A34FA7"/>
    <w:rsid w:val="00A363BD"/>
    <w:rsid w:val="00A42142"/>
    <w:rsid w:val="00A43F6B"/>
    <w:rsid w:val="00A447F2"/>
    <w:rsid w:val="00A45190"/>
    <w:rsid w:val="00A46EBE"/>
    <w:rsid w:val="00A5013E"/>
    <w:rsid w:val="00A511D3"/>
    <w:rsid w:val="00A5165C"/>
    <w:rsid w:val="00A5202F"/>
    <w:rsid w:val="00A543A4"/>
    <w:rsid w:val="00A56547"/>
    <w:rsid w:val="00A61830"/>
    <w:rsid w:val="00A642A5"/>
    <w:rsid w:val="00A65CD1"/>
    <w:rsid w:val="00A66AD8"/>
    <w:rsid w:val="00A71559"/>
    <w:rsid w:val="00A71616"/>
    <w:rsid w:val="00A72820"/>
    <w:rsid w:val="00A7368B"/>
    <w:rsid w:val="00A73931"/>
    <w:rsid w:val="00A779D8"/>
    <w:rsid w:val="00A80521"/>
    <w:rsid w:val="00A806FC"/>
    <w:rsid w:val="00A818AB"/>
    <w:rsid w:val="00A81F9E"/>
    <w:rsid w:val="00A82834"/>
    <w:rsid w:val="00A84A0D"/>
    <w:rsid w:val="00A855C8"/>
    <w:rsid w:val="00A947F1"/>
    <w:rsid w:val="00A9600E"/>
    <w:rsid w:val="00A979DA"/>
    <w:rsid w:val="00A97E49"/>
    <w:rsid w:val="00AA0D06"/>
    <w:rsid w:val="00AA0FC3"/>
    <w:rsid w:val="00AA316A"/>
    <w:rsid w:val="00AA3D23"/>
    <w:rsid w:val="00AA3F05"/>
    <w:rsid w:val="00AA4C40"/>
    <w:rsid w:val="00AA50BC"/>
    <w:rsid w:val="00AA5462"/>
    <w:rsid w:val="00AA565D"/>
    <w:rsid w:val="00AA7791"/>
    <w:rsid w:val="00AB0643"/>
    <w:rsid w:val="00AB58D5"/>
    <w:rsid w:val="00AB6740"/>
    <w:rsid w:val="00AC442C"/>
    <w:rsid w:val="00AD2C0D"/>
    <w:rsid w:val="00AD4373"/>
    <w:rsid w:val="00AD53FF"/>
    <w:rsid w:val="00AD6C41"/>
    <w:rsid w:val="00AE0464"/>
    <w:rsid w:val="00AE0ED5"/>
    <w:rsid w:val="00AE4F77"/>
    <w:rsid w:val="00AF16C8"/>
    <w:rsid w:val="00AF368F"/>
    <w:rsid w:val="00AF4EAC"/>
    <w:rsid w:val="00AF53D4"/>
    <w:rsid w:val="00AF7067"/>
    <w:rsid w:val="00AF7321"/>
    <w:rsid w:val="00B01D99"/>
    <w:rsid w:val="00B01EE9"/>
    <w:rsid w:val="00B049AD"/>
    <w:rsid w:val="00B05EE1"/>
    <w:rsid w:val="00B10CBA"/>
    <w:rsid w:val="00B11611"/>
    <w:rsid w:val="00B1347B"/>
    <w:rsid w:val="00B13BF8"/>
    <w:rsid w:val="00B149A5"/>
    <w:rsid w:val="00B21736"/>
    <w:rsid w:val="00B26730"/>
    <w:rsid w:val="00B35C3C"/>
    <w:rsid w:val="00B44118"/>
    <w:rsid w:val="00B46632"/>
    <w:rsid w:val="00B474B8"/>
    <w:rsid w:val="00B5436B"/>
    <w:rsid w:val="00B57495"/>
    <w:rsid w:val="00B5799B"/>
    <w:rsid w:val="00B57A9B"/>
    <w:rsid w:val="00B60621"/>
    <w:rsid w:val="00B612AC"/>
    <w:rsid w:val="00B617F9"/>
    <w:rsid w:val="00B656C6"/>
    <w:rsid w:val="00B65D70"/>
    <w:rsid w:val="00B67B0E"/>
    <w:rsid w:val="00B70E3B"/>
    <w:rsid w:val="00B72122"/>
    <w:rsid w:val="00B73016"/>
    <w:rsid w:val="00B7719B"/>
    <w:rsid w:val="00B80921"/>
    <w:rsid w:val="00B8122F"/>
    <w:rsid w:val="00B81C95"/>
    <w:rsid w:val="00B827E2"/>
    <w:rsid w:val="00B850E6"/>
    <w:rsid w:val="00B85BAF"/>
    <w:rsid w:val="00B873B7"/>
    <w:rsid w:val="00B87837"/>
    <w:rsid w:val="00B91122"/>
    <w:rsid w:val="00B91827"/>
    <w:rsid w:val="00B920FC"/>
    <w:rsid w:val="00B95FF2"/>
    <w:rsid w:val="00B965F1"/>
    <w:rsid w:val="00BA01B6"/>
    <w:rsid w:val="00BA0364"/>
    <w:rsid w:val="00BA07CB"/>
    <w:rsid w:val="00BA0BBB"/>
    <w:rsid w:val="00BA622C"/>
    <w:rsid w:val="00BA7EC2"/>
    <w:rsid w:val="00BB13FE"/>
    <w:rsid w:val="00BB173E"/>
    <w:rsid w:val="00BB1B36"/>
    <w:rsid w:val="00BB1D08"/>
    <w:rsid w:val="00BB44E8"/>
    <w:rsid w:val="00BB4B12"/>
    <w:rsid w:val="00BB797F"/>
    <w:rsid w:val="00BC0890"/>
    <w:rsid w:val="00BC1CCD"/>
    <w:rsid w:val="00BC2098"/>
    <w:rsid w:val="00BC3771"/>
    <w:rsid w:val="00BC381E"/>
    <w:rsid w:val="00BC4ED5"/>
    <w:rsid w:val="00BC7523"/>
    <w:rsid w:val="00BD0A45"/>
    <w:rsid w:val="00BD12A9"/>
    <w:rsid w:val="00BD1FB1"/>
    <w:rsid w:val="00BD592E"/>
    <w:rsid w:val="00BD5C86"/>
    <w:rsid w:val="00BE01B1"/>
    <w:rsid w:val="00BE0DCC"/>
    <w:rsid w:val="00BE18AA"/>
    <w:rsid w:val="00BE1ECA"/>
    <w:rsid w:val="00BE296C"/>
    <w:rsid w:val="00BE300D"/>
    <w:rsid w:val="00BE42A0"/>
    <w:rsid w:val="00BE4A48"/>
    <w:rsid w:val="00BE7790"/>
    <w:rsid w:val="00BE7BAD"/>
    <w:rsid w:val="00BF2AA9"/>
    <w:rsid w:val="00BF3DD6"/>
    <w:rsid w:val="00BF43F8"/>
    <w:rsid w:val="00BF55A6"/>
    <w:rsid w:val="00BF7B5F"/>
    <w:rsid w:val="00BF7CA9"/>
    <w:rsid w:val="00C00CE8"/>
    <w:rsid w:val="00C040DB"/>
    <w:rsid w:val="00C0582B"/>
    <w:rsid w:val="00C0616A"/>
    <w:rsid w:val="00C07074"/>
    <w:rsid w:val="00C1052A"/>
    <w:rsid w:val="00C11EF6"/>
    <w:rsid w:val="00C163C7"/>
    <w:rsid w:val="00C17B31"/>
    <w:rsid w:val="00C17C16"/>
    <w:rsid w:val="00C207C4"/>
    <w:rsid w:val="00C247C5"/>
    <w:rsid w:val="00C24C2B"/>
    <w:rsid w:val="00C255B1"/>
    <w:rsid w:val="00C259DE"/>
    <w:rsid w:val="00C265AA"/>
    <w:rsid w:val="00C3311A"/>
    <w:rsid w:val="00C36395"/>
    <w:rsid w:val="00C405FE"/>
    <w:rsid w:val="00C435CC"/>
    <w:rsid w:val="00C437D0"/>
    <w:rsid w:val="00C438EB"/>
    <w:rsid w:val="00C455E7"/>
    <w:rsid w:val="00C5012C"/>
    <w:rsid w:val="00C5038F"/>
    <w:rsid w:val="00C50E3E"/>
    <w:rsid w:val="00C531D3"/>
    <w:rsid w:val="00C533C5"/>
    <w:rsid w:val="00C570FD"/>
    <w:rsid w:val="00C600D4"/>
    <w:rsid w:val="00C63E5B"/>
    <w:rsid w:val="00C65D23"/>
    <w:rsid w:val="00C71D6F"/>
    <w:rsid w:val="00C76F84"/>
    <w:rsid w:val="00C77B6C"/>
    <w:rsid w:val="00C805FC"/>
    <w:rsid w:val="00C80F48"/>
    <w:rsid w:val="00C81C1F"/>
    <w:rsid w:val="00C82018"/>
    <w:rsid w:val="00C823C4"/>
    <w:rsid w:val="00C8379A"/>
    <w:rsid w:val="00C83FB2"/>
    <w:rsid w:val="00C85DBE"/>
    <w:rsid w:val="00C90564"/>
    <w:rsid w:val="00C91D9C"/>
    <w:rsid w:val="00C92C56"/>
    <w:rsid w:val="00C96951"/>
    <w:rsid w:val="00CA385A"/>
    <w:rsid w:val="00CA6CBB"/>
    <w:rsid w:val="00CA7647"/>
    <w:rsid w:val="00CB0127"/>
    <w:rsid w:val="00CB056D"/>
    <w:rsid w:val="00CB0A2D"/>
    <w:rsid w:val="00CB1833"/>
    <w:rsid w:val="00CB1E10"/>
    <w:rsid w:val="00CB2FDC"/>
    <w:rsid w:val="00CB5803"/>
    <w:rsid w:val="00CB6C71"/>
    <w:rsid w:val="00CC07D4"/>
    <w:rsid w:val="00CC134F"/>
    <w:rsid w:val="00CC2078"/>
    <w:rsid w:val="00CC3F7E"/>
    <w:rsid w:val="00CD2234"/>
    <w:rsid w:val="00CD387E"/>
    <w:rsid w:val="00CE1FA2"/>
    <w:rsid w:val="00CE2369"/>
    <w:rsid w:val="00CE7BDD"/>
    <w:rsid w:val="00CF240E"/>
    <w:rsid w:val="00CF401A"/>
    <w:rsid w:val="00CF423D"/>
    <w:rsid w:val="00CF5693"/>
    <w:rsid w:val="00CF6467"/>
    <w:rsid w:val="00CF72AE"/>
    <w:rsid w:val="00CF7607"/>
    <w:rsid w:val="00D01E7C"/>
    <w:rsid w:val="00D06D8A"/>
    <w:rsid w:val="00D07322"/>
    <w:rsid w:val="00D12410"/>
    <w:rsid w:val="00D17EA5"/>
    <w:rsid w:val="00D20CEF"/>
    <w:rsid w:val="00D23F09"/>
    <w:rsid w:val="00D24509"/>
    <w:rsid w:val="00D24F05"/>
    <w:rsid w:val="00D2648B"/>
    <w:rsid w:val="00D37A29"/>
    <w:rsid w:val="00D42F31"/>
    <w:rsid w:val="00D4796D"/>
    <w:rsid w:val="00D51D6A"/>
    <w:rsid w:val="00D52D6E"/>
    <w:rsid w:val="00D52E4A"/>
    <w:rsid w:val="00D532B6"/>
    <w:rsid w:val="00D532F0"/>
    <w:rsid w:val="00D5610A"/>
    <w:rsid w:val="00D562D4"/>
    <w:rsid w:val="00D57257"/>
    <w:rsid w:val="00D57F72"/>
    <w:rsid w:val="00D6063D"/>
    <w:rsid w:val="00D63CA2"/>
    <w:rsid w:val="00D64A31"/>
    <w:rsid w:val="00D6599F"/>
    <w:rsid w:val="00D703DE"/>
    <w:rsid w:val="00D7102A"/>
    <w:rsid w:val="00D745A4"/>
    <w:rsid w:val="00D74FA9"/>
    <w:rsid w:val="00D81155"/>
    <w:rsid w:val="00D818F8"/>
    <w:rsid w:val="00D8235B"/>
    <w:rsid w:val="00D832FE"/>
    <w:rsid w:val="00D839A7"/>
    <w:rsid w:val="00D848BB"/>
    <w:rsid w:val="00D85339"/>
    <w:rsid w:val="00D90E91"/>
    <w:rsid w:val="00D911DC"/>
    <w:rsid w:val="00D93B3F"/>
    <w:rsid w:val="00D94A1B"/>
    <w:rsid w:val="00D962B3"/>
    <w:rsid w:val="00D97C97"/>
    <w:rsid w:val="00DA1844"/>
    <w:rsid w:val="00DA33BA"/>
    <w:rsid w:val="00DA4855"/>
    <w:rsid w:val="00DA58D4"/>
    <w:rsid w:val="00DA5E22"/>
    <w:rsid w:val="00DB000A"/>
    <w:rsid w:val="00DB107E"/>
    <w:rsid w:val="00DB2389"/>
    <w:rsid w:val="00DB3B89"/>
    <w:rsid w:val="00DB3EAC"/>
    <w:rsid w:val="00DB4B3C"/>
    <w:rsid w:val="00DB508E"/>
    <w:rsid w:val="00DB5389"/>
    <w:rsid w:val="00DC05CD"/>
    <w:rsid w:val="00DC1B68"/>
    <w:rsid w:val="00DC2302"/>
    <w:rsid w:val="00DC4D2F"/>
    <w:rsid w:val="00DC4DD1"/>
    <w:rsid w:val="00DD0F65"/>
    <w:rsid w:val="00DD17BA"/>
    <w:rsid w:val="00DD1815"/>
    <w:rsid w:val="00DD1DB0"/>
    <w:rsid w:val="00DD2255"/>
    <w:rsid w:val="00DD2E7C"/>
    <w:rsid w:val="00DD646A"/>
    <w:rsid w:val="00DD6864"/>
    <w:rsid w:val="00DD7107"/>
    <w:rsid w:val="00DE03B8"/>
    <w:rsid w:val="00DE538F"/>
    <w:rsid w:val="00DE5B0D"/>
    <w:rsid w:val="00DE6826"/>
    <w:rsid w:val="00DF7A7B"/>
    <w:rsid w:val="00E01561"/>
    <w:rsid w:val="00E01AB2"/>
    <w:rsid w:val="00E144F6"/>
    <w:rsid w:val="00E14E1C"/>
    <w:rsid w:val="00E15CF4"/>
    <w:rsid w:val="00E16D95"/>
    <w:rsid w:val="00E249E3"/>
    <w:rsid w:val="00E25011"/>
    <w:rsid w:val="00E30916"/>
    <w:rsid w:val="00E31AAB"/>
    <w:rsid w:val="00E31D69"/>
    <w:rsid w:val="00E33A96"/>
    <w:rsid w:val="00E34E7D"/>
    <w:rsid w:val="00E35B03"/>
    <w:rsid w:val="00E41CE6"/>
    <w:rsid w:val="00E42AD3"/>
    <w:rsid w:val="00E43859"/>
    <w:rsid w:val="00E51D9D"/>
    <w:rsid w:val="00E54086"/>
    <w:rsid w:val="00E5500F"/>
    <w:rsid w:val="00E5536E"/>
    <w:rsid w:val="00E55A58"/>
    <w:rsid w:val="00E60051"/>
    <w:rsid w:val="00E61510"/>
    <w:rsid w:val="00E615D2"/>
    <w:rsid w:val="00E61B3E"/>
    <w:rsid w:val="00E634E7"/>
    <w:rsid w:val="00E65900"/>
    <w:rsid w:val="00E65A09"/>
    <w:rsid w:val="00E66107"/>
    <w:rsid w:val="00E66A36"/>
    <w:rsid w:val="00E70748"/>
    <w:rsid w:val="00E7167D"/>
    <w:rsid w:val="00E72F9C"/>
    <w:rsid w:val="00E75C7F"/>
    <w:rsid w:val="00E76846"/>
    <w:rsid w:val="00E77EC1"/>
    <w:rsid w:val="00E819E6"/>
    <w:rsid w:val="00E82297"/>
    <w:rsid w:val="00E827BD"/>
    <w:rsid w:val="00E85185"/>
    <w:rsid w:val="00E854FF"/>
    <w:rsid w:val="00E86163"/>
    <w:rsid w:val="00E87A94"/>
    <w:rsid w:val="00E9393A"/>
    <w:rsid w:val="00E96554"/>
    <w:rsid w:val="00E96B0F"/>
    <w:rsid w:val="00EA3498"/>
    <w:rsid w:val="00EA42AC"/>
    <w:rsid w:val="00EA62A7"/>
    <w:rsid w:val="00EA6414"/>
    <w:rsid w:val="00EB27B7"/>
    <w:rsid w:val="00EC362F"/>
    <w:rsid w:val="00EC3856"/>
    <w:rsid w:val="00EC3C27"/>
    <w:rsid w:val="00EC44CC"/>
    <w:rsid w:val="00EC4BA6"/>
    <w:rsid w:val="00EC4E07"/>
    <w:rsid w:val="00EC7F9F"/>
    <w:rsid w:val="00ED068C"/>
    <w:rsid w:val="00ED572E"/>
    <w:rsid w:val="00EE04CD"/>
    <w:rsid w:val="00EE0C51"/>
    <w:rsid w:val="00EE242B"/>
    <w:rsid w:val="00EE5858"/>
    <w:rsid w:val="00EE7AA4"/>
    <w:rsid w:val="00EF0652"/>
    <w:rsid w:val="00EF116F"/>
    <w:rsid w:val="00EF2F39"/>
    <w:rsid w:val="00EF4171"/>
    <w:rsid w:val="00EF464D"/>
    <w:rsid w:val="00F0040F"/>
    <w:rsid w:val="00F02A51"/>
    <w:rsid w:val="00F0470D"/>
    <w:rsid w:val="00F05B7A"/>
    <w:rsid w:val="00F07D7D"/>
    <w:rsid w:val="00F107D9"/>
    <w:rsid w:val="00F129C1"/>
    <w:rsid w:val="00F12B46"/>
    <w:rsid w:val="00F1545A"/>
    <w:rsid w:val="00F15B50"/>
    <w:rsid w:val="00F15CC2"/>
    <w:rsid w:val="00F16A87"/>
    <w:rsid w:val="00F16CA9"/>
    <w:rsid w:val="00F20D75"/>
    <w:rsid w:val="00F220CE"/>
    <w:rsid w:val="00F231E1"/>
    <w:rsid w:val="00F232C4"/>
    <w:rsid w:val="00F248B6"/>
    <w:rsid w:val="00F25318"/>
    <w:rsid w:val="00F3079F"/>
    <w:rsid w:val="00F30B08"/>
    <w:rsid w:val="00F31440"/>
    <w:rsid w:val="00F3223A"/>
    <w:rsid w:val="00F373BD"/>
    <w:rsid w:val="00F40FA9"/>
    <w:rsid w:val="00F41065"/>
    <w:rsid w:val="00F4236E"/>
    <w:rsid w:val="00F44FCE"/>
    <w:rsid w:val="00F504CE"/>
    <w:rsid w:val="00F51C4A"/>
    <w:rsid w:val="00F52D12"/>
    <w:rsid w:val="00F53C26"/>
    <w:rsid w:val="00F53E16"/>
    <w:rsid w:val="00F555AC"/>
    <w:rsid w:val="00F57551"/>
    <w:rsid w:val="00F61168"/>
    <w:rsid w:val="00F619BE"/>
    <w:rsid w:val="00F65BC5"/>
    <w:rsid w:val="00F664EC"/>
    <w:rsid w:val="00F67039"/>
    <w:rsid w:val="00F70F1B"/>
    <w:rsid w:val="00F8601B"/>
    <w:rsid w:val="00F8625D"/>
    <w:rsid w:val="00F95A62"/>
    <w:rsid w:val="00F95C48"/>
    <w:rsid w:val="00F96169"/>
    <w:rsid w:val="00F97450"/>
    <w:rsid w:val="00FA09CC"/>
    <w:rsid w:val="00FA16A9"/>
    <w:rsid w:val="00FA1793"/>
    <w:rsid w:val="00FA1DE5"/>
    <w:rsid w:val="00FA2C6C"/>
    <w:rsid w:val="00FA3743"/>
    <w:rsid w:val="00FA3C60"/>
    <w:rsid w:val="00FA49CE"/>
    <w:rsid w:val="00FA5DDC"/>
    <w:rsid w:val="00FA60D3"/>
    <w:rsid w:val="00FA6939"/>
    <w:rsid w:val="00FB23CC"/>
    <w:rsid w:val="00FB4B14"/>
    <w:rsid w:val="00FB6E85"/>
    <w:rsid w:val="00FC6F4B"/>
    <w:rsid w:val="00FD3082"/>
    <w:rsid w:val="00FD48E4"/>
    <w:rsid w:val="00FD4F01"/>
    <w:rsid w:val="00FD4F9A"/>
    <w:rsid w:val="00FD5C58"/>
    <w:rsid w:val="00FD5D13"/>
    <w:rsid w:val="00FE1824"/>
    <w:rsid w:val="00FE1C50"/>
    <w:rsid w:val="00FE3A8D"/>
    <w:rsid w:val="00FE3EF8"/>
    <w:rsid w:val="00FE59DB"/>
    <w:rsid w:val="00FE6205"/>
    <w:rsid w:val="00FE7051"/>
    <w:rsid w:val="00FF0030"/>
    <w:rsid w:val="00FF0079"/>
    <w:rsid w:val="00FF2047"/>
    <w:rsid w:val="00FF2097"/>
    <w:rsid w:val="01065AA9"/>
    <w:rsid w:val="010853C2"/>
    <w:rsid w:val="01105490"/>
    <w:rsid w:val="011702F0"/>
    <w:rsid w:val="012845F2"/>
    <w:rsid w:val="01312D03"/>
    <w:rsid w:val="013E7940"/>
    <w:rsid w:val="015B73CA"/>
    <w:rsid w:val="017A2B5E"/>
    <w:rsid w:val="01885910"/>
    <w:rsid w:val="01A60743"/>
    <w:rsid w:val="01B47A59"/>
    <w:rsid w:val="01C733D2"/>
    <w:rsid w:val="01D3250C"/>
    <w:rsid w:val="01D45D8F"/>
    <w:rsid w:val="01F42A41"/>
    <w:rsid w:val="023B6A38"/>
    <w:rsid w:val="025340DF"/>
    <w:rsid w:val="02587777"/>
    <w:rsid w:val="0261539A"/>
    <w:rsid w:val="026155F3"/>
    <w:rsid w:val="0298354F"/>
    <w:rsid w:val="02A601D2"/>
    <w:rsid w:val="02A602E6"/>
    <w:rsid w:val="02A73B69"/>
    <w:rsid w:val="02AC7FF1"/>
    <w:rsid w:val="02AD34F4"/>
    <w:rsid w:val="02B73C6F"/>
    <w:rsid w:val="02C81B1F"/>
    <w:rsid w:val="02CC4CA2"/>
    <w:rsid w:val="02D91DBA"/>
    <w:rsid w:val="02FA7D70"/>
    <w:rsid w:val="02FB57F1"/>
    <w:rsid w:val="02FD02D6"/>
    <w:rsid w:val="0302517C"/>
    <w:rsid w:val="03087086"/>
    <w:rsid w:val="030F2294"/>
    <w:rsid w:val="033F4FE1"/>
    <w:rsid w:val="0351321A"/>
    <w:rsid w:val="035B4911"/>
    <w:rsid w:val="035F61C3"/>
    <w:rsid w:val="03720CB3"/>
    <w:rsid w:val="037A3B41"/>
    <w:rsid w:val="037F384C"/>
    <w:rsid w:val="038247D1"/>
    <w:rsid w:val="038908D8"/>
    <w:rsid w:val="038A7040"/>
    <w:rsid w:val="038B0EA5"/>
    <w:rsid w:val="039211E8"/>
    <w:rsid w:val="039446EB"/>
    <w:rsid w:val="03B504A3"/>
    <w:rsid w:val="03D11DA9"/>
    <w:rsid w:val="03DA2C61"/>
    <w:rsid w:val="03E236C4"/>
    <w:rsid w:val="03E37CED"/>
    <w:rsid w:val="03E63D04"/>
    <w:rsid w:val="03E644F5"/>
    <w:rsid w:val="03EB73FE"/>
    <w:rsid w:val="03FB3196"/>
    <w:rsid w:val="0413083D"/>
    <w:rsid w:val="04153D40"/>
    <w:rsid w:val="04207B52"/>
    <w:rsid w:val="044B4D5C"/>
    <w:rsid w:val="044F4E1E"/>
    <w:rsid w:val="04556D28"/>
    <w:rsid w:val="04786AE5"/>
    <w:rsid w:val="048212F5"/>
    <w:rsid w:val="0488407F"/>
    <w:rsid w:val="04903689"/>
    <w:rsid w:val="04984319"/>
    <w:rsid w:val="049D07A1"/>
    <w:rsid w:val="049E6222"/>
    <w:rsid w:val="04B32944"/>
    <w:rsid w:val="04C01C5A"/>
    <w:rsid w:val="04C75D62"/>
    <w:rsid w:val="04F2372E"/>
    <w:rsid w:val="04FC07BA"/>
    <w:rsid w:val="0506494D"/>
    <w:rsid w:val="050958D2"/>
    <w:rsid w:val="05161364"/>
    <w:rsid w:val="05220DA5"/>
    <w:rsid w:val="05515CC6"/>
    <w:rsid w:val="05696BF0"/>
    <w:rsid w:val="056B42F1"/>
    <w:rsid w:val="058C00A9"/>
    <w:rsid w:val="059576B4"/>
    <w:rsid w:val="059B4A3F"/>
    <w:rsid w:val="05A10F52"/>
    <w:rsid w:val="05AB50DB"/>
    <w:rsid w:val="05D4049D"/>
    <w:rsid w:val="05DE4630"/>
    <w:rsid w:val="05E67B26"/>
    <w:rsid w:val="05F2584F"/>
    <w:rsid w:val="061A3190"/>
    <w:rsid w:val="0623721C"/>
    <w:rsid w:val="062E56B4"/>
    <w:rsid w:val="06345E06"/>
    <w:rsid w:val="064C13E1"/>
    <w:rsid w:val="0683733C"/>
    <w:rsid w:val="06904454"/>
    <w:rsid w:val="069872E2"/>
    <w:rsid w:val="06B27E8C"/>
    <w:rsid w:val="06B50E10"/>
    <w:rsid w:val="06B86512"/>
    <w:rsid w:val="06C071A1"/>
    <w:rsid w:val="06C14C23"/>
    <w:rsid w:val="06C97AB1"/>
    <w:rsid w:val="06E076D6"/>
    <w:rsid w:val="06EC34E9"/>
    <w:rsid w:val="06F51BFA"/>
    <w:rsid w:val="06F750FD"/>
    <w:rsid w:val="06FE6C86"/>
    <w:rsid w:val="070D72A1"/>
    <w:rsid w:val="071546AD"/>
    <w:rsid w:val="071830B3"/>
    <w:rsid w:val="072A0DCF"/>
    <w:rsid w:val="072A2FCD"/>
    <w:rsid w:val="07521F93"/>
    <w:rsid w:val="075C25CE"/>
    <w:rsid w:val="07911761"/>
    <w:rsid w:val="07A40B24"/>
    <w:rsid w:val="07B40D33"/>
    <w:rsid w:val="07C262ED"/>
    <w:rsid w:val="07CF735F"/>
    <w:rsid w:val="07D23728"/>
    <w:rsid w:val="07E92107"/>
    <w:rsid w:val="08036534"/>
    <w:rsid w:val="080D19C3"/>
    <w:rsid w:val="081A3F5B"/>
    <w:rsid w:val="08206641"/>
    <w:rsid w:val="08246E93"/>
    <w:rsid w:val="082D517A"/>
    <w:rsid w:val="08545039"/>
    <w:rsid w:val="0856053C"/>
    <w:rsid w:val="085E716A"/>
    <w:rsid w:val="086F3665"/>
    <w:rsid w:val="08793F74"/>
    <w:rsid w:val="088B6211"/>
    <w:rsid w:val="08922920"/>
    <w:rsid w:val="08BF46E8"/>
    <w:rsid w:val="08CE0164"/>
    <w:rsid w:val="08EB3A06"/>
    <w:rsid w:val="08EB6831"/>
    <w:rsid w:val="090D1D01"/>
    <w:rsid w:val="091A4109"/>
    <w:rsid w:val="095B7DEA"/>
    <w:rsid w:val="095E0D6F"/>
    <w:rsid w:val="09750994"/>
    <w:rsid w:val="097846E4"/>
    <w:rsid w:val="097A1598"/>
    <w:rsid w:val="098708AE"/>
    <w:rsid w:val="09884131"/>
    <w:rsid w:val="09930827"/>
    <w:rsid w:val="09A017D8"/>
    <w:rsid w:val="09AA4D5C"/>
    <w:rsid w:val="09DE12BD"/>
    <w:rsid w:val="09E92819"/>
    <w:rsid w:val="09EE1557"/>
    <w:rsid w:val="09F66964"/>
    <w:rsid w:val="09FC40F0"/>
    <w:rsid w:val="0A3E5BBE"/>
    <w:rsid w:val="0A447D68"/>
    <w:rsid w:val="0A573505"/>
    <w:rsid w:val="0A5C17EA"/>
    <w:rsid w:val="0A65029C"/>
    <w:rsid w:val="0A742AB5"/>
    <w:rsid w:val="0A9C61F8"/>
    <w:rsid w:val="0AA7676D"/>
    <w:rsid w:val="0AB70FA0"/>
    <w:rsid w:val="0AC8253F"/>
    <w:rsid w:val="0ACC0D02"/>
    <w:rsid w:val="0AE3696C"/>
    <w:rsid w:val="0AF75A80"/>
    <w:rsid w:val="0AFB6211"/>
    <w:rsid w:val="0B02141F"/>
    <w:rsid w:val="0B025B9C"/>
    <w:rsid w:val="0B050935"/>
    <w:rsid w:val="0B0A2FA9"/>
    <w:rsid w:val="0B2D4462"/>
    <w:rsid w:val="0B4D2798"/>
    <w:rsid w:val="0B5843AD"/>
    <w:rsid w:val="0B6423BD"/>
    <w:rsid w:val="0B7600D9"/>
    <w:rsid w:val="0B7B5B4C"/>
    <w:rsid w:val="0B80646A"/>
    <w:rsid w:val="0B904506"/>
    <w:rsid w:val="0B94510B"/>
    <w:rsid w:val="0BBC40D1"/>
    <w:rsid w:val="0BBC652E"/>
    <w:rsid w:val="0BCB4221"/>
    <w:rsid w:val="0BCD436B"/>
    <w:rsid w:val="0BF254A5"/>
    <w:rsid w:val="0BF4422B"/>
    <w:rsid w:val="0BFC73C5"/>
    <w:rsid w:val="0BFF0823"/>
    <w:rsid w:val="0C067824"/>
    <w:rsid w:val="0C157FE3"/>
    <w:rsid w:val="0C2A0915"/>
    <w:rsid w:val="0C30660E"/>
    <w:rsid w:val="0C3F0266"/>
    <w:rsid w:val="0C6D0671"/>
    <w:rsid w:val="0C6E3E7F"/>
    <w:rsid w:val="0C822B95"/>
    <w:rsid w:val="0C825B1D"/>
    <w:rsid w:val="0C86379A"/>
    <w:rsid w:val="0C8C56A3"/>
    <w:rsid w:val="0C961836"/>
    <w:rsid w:val="0CAB59C5"/>
    <w:rsid w:val="0CB4627B"/>
    <w:rsid w:val="0CC60D00"/>
    <w:rsid w:val="0CF62B54"/>
    <w:rsid w:val="0CF62DA1"/>
    <w:rsid w:val="0CFC4A5D"/>
    <w:rsid w:val="0CFD24DF"/>
    <w:rsid w:val="0D23109A"/>
    <w:rsid w:val="0D246B1B"/>
    <w:rsid w:val="0D390077"/>
    <w:rsid w:val="0D5818F4"/>
    <w:rsid w:val="0D5B6418"/>
    <w:rsid w:val="0D701199"/>
    <w:rsid w:val="0D7A532C"/>
    <w:rsid w:val="0D7C4FAB"/>
    <w:rsid w:val="0D845B8A"/>
    <w:rsid w:val="0D876BC0"/>
    <w:rsid w:val="0DAB24EE"/>
    <w:rsid w:val="0DB75190"/>
    <w:rsid w:val="0DC44AB6"/>
    <w:rsid w:val="0DCB4D13"/>
    <w:rsid w:val="0DCF2F9A"/>
    <w:rsid w:val="0DE03144"/>
    <w:rsid w:val="0DFD2082"/>
    <w:rsid w:val="0E023EC6"/>
    <w:rsid w:val="0E05748E"/>
    <w:rsid w:val="0E1764AF"/>
    <w:rsid w:val="0E3015A8"/>
    <w:rsid w:val="0E4272F3"/>
    <w:rsid w:val="0E440278"/>
    <w:rsid w:val="0E475979"/>
    <w:rsid w:val="0E4B437F"/>
    <w:rsid w:val="0E5A642E"/>
    <w:rsid w:val="0E604325"/>
    <w:rsid w:val="0E6971B2"/>
    <w:rsid w:val="0E841061"/>
    <w:rsid w:val="0EAD69A2"/>
    <w:rsid w:val="0EB86F32"/>
    <w:rsid w:val="0EC904D1"/>
    <w:rsid w:val="0ED158DD"/>
    <w:rsid w:val="0EE85502"/>
    <w:rsid w:val="0EF6009B"/>
    <w:rsid w:val="0F017BB0"/>
    <w:rsid w:val="0F124148"/>
    <w:rsid w:val="0F1F7BDB"/>
    <w:rsid w:val="0F426E96"/>
    <w:rsid w:val="0F514F32"/>
    <w:rsid w:val="0F734330"/>
    <w:rsid w:val="0F7605E9"/>
    <w:rsid w:val="0F821E7D"/>
    <w:rsid w:val="0F9E17AE"/>
    <w:rsid w:val="0FA820BD"/>
    <w:rsid w:val="0FAD1DC8"/>
    <w:rsid w:val="0FB13802"/>
    <w:rsid w:val="0FBC1B5F"/>
    <w:rsid w:val="0FDD270D"/>
    <w:rsid w:val="0FE30C1D"/>
    <w:rsid w:val="0FE75425"/>
    <w:rsid w:val="0FE82EA7"/>
    <w:rsid w:val="0FED7A2D"/>
    <w:rsid w:val="0FEF4A30"/>
    <w:rsid w:val="0FF3154F"/>
    <w:rsid w:val="100833DB"/>
    <w:rsid w:val="100B4360"/>
    <w:rsid w:val="100C1DE2"/>
    <w:rsid w:val="103C03B2"/>
    <w:rsid w:val="105F5ACF"/>
    <w:rsid w:val="108E10B6"/>
    <w:rsid w:val="108F23BB"/>
    <w:rsid w:val="109735DE"/>
    <w:rsid w:val="10B14AEE"/>
    <w:rsid w:val="10B57FE7"/>
    <w:rsid w:val="10BF1885"/>
    <w:rsid w:val="10DC16C4"/>
    <w:rsid w:val="10EC6ED1"/>
    <w:rsid w:val="10FE0470"/>
    <w:rsid w:val="11154812"/>
    <w:rsid w:val="111F62D1"/>
    <w:rsid w:val="112A47B8"/>
    <w:rsid w:val="112A6783"/>
    <w:rsid w:val="113C282C"/>
    <w:rsid w:val="114A2AEE"/>
    <w:rsid w:val="115D4F3D"/>
    <w:rsid w:val="116B779F"/>
    <w:rsid w:val="11762017"/>
    <w:rsid w:val="117E4242"/>
    <w:rsid w:val="118F66DA"/>
    <w:rsid w:val="11A80208"/>
    <w:rsid w:val="11B95320"/>
    <w:rsid w:val="11C46F35"/>
    <w:rsid w:val="11D2450F"/>
    <w:rsid w:val="11DE5560"/>
    <w:rsid w:val="11E74B6B"/>
    <w:rsid w:val="11F8610A"/>
    <w:rsid w:val="12003516"/>
    <w:rsid w:val="12041F1C"/>
    <w:rsid w:val="120558E8"/>
    <w:rsid w:val="1205799E"/>
    <w:rsid w:val="12065420"/>
    <w:rsid w:val="120835BE"/>
    <w:rsid w:val="122733D6"/>
    <w:rsid w:val="12315236"/>
    <w:rsid w:val="123E0DFD"/>
    <w:rsid w:val="124064FE"/>
    <w:rsid w:val="12714ACF"/>
    <w:rsid w:val="127E50C8"/>
    <w:rsid w:val="128611F1"/>
    <w:rsid w:val="12A843E3"/>
    <w:rsid w:val="12A85A64"/>
    <w:rsid w:val="12AB4C8F"/>
    <w:rsid w:val="12B719C0"/>
    <w:rsid w:val="12C25DE0"/>
    <w:rsid w:val="12D62275"/>
    <w:rsid w:val="12D94630"/>
    <w:rsid w:val="12EF0C20"/>
    <w:rsid w:val="12F40DF6"/>
    <w:rsid w:val="12FB4A33"/>
    <w:rsid w:val="13103353"/>
    <w:rsid w:val="13191A65"/>
    <w:rsid w:val="132F6187"/>
    <w:rsid w:val="13371015"/>
    <w:rsid w:val="13403EA3"/>
    <w:rsid w:val="13512442"/>
    <w:rsid w:val="137141F5"/>
    <w:rsid w:val="138C2C9D"/>
    <w:rsid w:val="1393490E"/>
    <w:rsid w:val="13DE2AA7"/>
    <w:rsid w:val="13E46BAF"/>
    <w:rsid w:val="13EE74BE"/>
    <w:rsid w:val="14065DE0"/>
    <w:rsid w:val="140B4870"/>
    <w:rsid w:val="140C22F2"/>
    <w:rsid w:val="14200F92"/>
    <w:rsid w:val="1425541A"/>
    <w:rsid w:val="143534B6"/>
    <w:rsid w:val="143F1847"/>
    <w:rsid w:val="144A1DD6"/>
    <w:rsid w:val="147F2631"/>
    <w:rsid w:val="148A306D"/>
    <w:rsid w:val="149C1746"/>
    <w:rsid w:val="14BE790E"/>
    <w:rsid w:val="14C07817"/>
    <w:rsid w:val="14CA247E"/>
    <w:rsid w:val="14D13334"/>
    <w:rsid w:val="14F212EA"/>
    <w:rsid w:val="14FF710C"/>
    <w:rsid w:val="157250BC"/>
    <w:rsid w:val="157518C4"/>
    <w:rsid w:val="15807C55"/>
    <w:rsid w:val="15835356"/>
    <w:rsid w:val="1597787A"/>
    <w:rsid w:val="15992CA0"/>
    <w:rsid w:val="15A77B14"/>
    <w:rsid w:val="15B87DAF"/>
    <w:rsid w:val="15DA2830"/>
    <w:rsid w:val="15E05DCA"/>
    <w:rsid w:val="15E47979"/>
    <w:rsid w:val="15F3690F"/>
    <w:rsid w:val="15F7285C"/>
    <w:rsid w:val="15FC76A4"/>
    <w:rsid w:val="16113A6D"/>
    <w:rsid w:val="161E6859"/>
    <w:rsid w:val="162C0264"/>
    <w:rsid w:val="162E3271"/>
    <w:rsid w:val="16460917"/>
    <w:rsid w:val="16476399"/>
    <w:rsid w:val="16516CA8"/>
    <w:rsid w:val="166F5D27"/>
    <w:rsid w:val="167A58EE"/>
    <w:rsid w:val="16833FFF"/>
    <w:rsid w:val="16840E59"/>
    <w:rsid w:val="16893F4C"/>
    <w:rsid w:val="16901D67"/>
    <w:rsid w:val="169F4829"/>
    <w:rsid w:val="16A776B7"/>
    <w:rsid w:val="16B17FC7"/>
    <w:rsid w:val="16B447CE"/>
    <w:rsid w:val="16B90C56"/>
    <w:rsid w:val="16BF2B60"/>
    <w:rsid w:val="16D162FD"/>
    <w:rsid w:val="16DA4E00"/>
    <w:rsid w:val="16F83FBE"/>
    <w:rsid w:val="170767D7"/>
    <w:rsid w:val="17176A71"/>
    <w:rsid w:val="1729478D"/>
    <w:rsid w:val="172D54B1"/>
    <w:rsid w:val="17484115"/>
    <w:rsid w:val="174A2743"/>
    <w:rsid w:val="175929AD"/>
    <w:rsid w:val="176273F5"/>
    <w:rsid w:val="176667F0"/>
    <w:rsid w:val="17707100"/>
    <w:rsid w:val="17795811"/>
    <w:rsid w:val="17974DC1"/>
    <w:rsid w:val="17A51B58"/>
    <w:rsid w:val="17B57BF4"/>
    <w:rsid w:val="17BA1AFE"/>
    <w:rsid w:val="17CD749A"/>
    <w:rsid w:val="17D13CA1"/>
    <w:rsid w:val="17DA1C7A"/>
    <w:rsid w:val="17DA2457"/>
    <w:rsid w:val="180B0FCB"/>
    <w:rsid w:val="18273A1C"/>
    <w:rsid w:val="184616E2"/>
    <w:rsid w:val="184B5B6A"/>
    <w:rsid w:val="18640C92"/>
    <w:rsid w:val="18737BB2"/>
    <w:rsid w:val="18740F2C"/>
    <w:rsid w:val="189936EA"/>
    <w:rsid w:val="18A112AE"/>
    <w:rsid w:val="18AB6E88"/>
    <w:rsid w:val="18AE7C99"/>
    <w:rsid w:val="18B27205"/>
    <w:rsid w:val="18BB16A1"/>
    <w:rsid w:val="18FE652B"/>
    <w:rsid w:val="1940737B"/>
    <w:rsid w:val="19472589"/>
    <w:rsid w:val="19551028"/>
    <w:rsid w:val="1956151F"/>
    <w:rsid w:val="19584A22"/>
    <w:rsid w:val="196F11D7"/>
    <w:rsid w:val="19730E4F"/>
    <w:rsid w:val="197C175F"/>
    <w:rsid w:val="19B760C0"/>
    <w:rsid w:val="19B83B42"/>
    <w:rsid w:val="19BD21C8"/>
    <w:rsid w:val="19DD0836"/>
    <w:rsid w:val="19EE5E61"/>
    <w:rsid w:val="1A135155"/>
    <w:rsid w:val="1A187D47"/>
    <w:rsid w:val="1A1A0363"/>
    <w:rsid w:val="1A37660E"/>
    <w:rsid w:val="1A597E48"/>
    <w:rsid w:val="1A6361D9"/>
    <w:rsid w:val="1A753EF5"/>
    <w:rsid w:val="1A7673F8"/>
    <w:rsid w:val="1A7A5DFE"/>
    <w:rsid w:val="1A83450F"/>
    <w:rsid w:val="1A915A23"/>
    <w:rsid w:val="1A9469A8"/>
    <w:rsid w:val="1A9B6333"/>
    <w:rsid w:val="1AA1023C"/>
    <w:rsid w:val="1AA21541"/>
    <w:rsid w:val="1AA65CCD"/>
    <w:rsid w:val="1AB25F58"/>
    <w:rsid w:val="1AB52760"/>
    <w:rsid w:val="1ABF313B"/>
    <w:rsid w:val="1AC02FA8"/>
    <w:rsid w:val="1AD64441"/>
    <w:rsid w:val="1ADF5B23"/>
    <w:rsid w:val="1AE06E27"/>
    <w:rsid w:val="1AEB6D54"/>
    <w:rsid w:val="1AF9414E"/>
    <w:rsid w:val="1B014DDE"/>
    <w:rsid w:val="1B0537E4"/>
    <w:rsid w:val="1B0B1E6A"/>
    <w:rsid w:val="1B1C58F2"/>
    <w:rsid w:val="1B2F36F2"/>
    <w:rsid w:val="1B340AB0"/>
    <w:rsid w:val="1B3F6E41"/>
    <w:rsid w:val="1B495A57"/>
    <w:rsid w:val="1B4B17D0"/>
    <w:rsid w:val="1B6437FD"/>
    <w:rsid w:val="1B662AAD"/>
    <w:rsid w:val="1B9752D1"/>
    <w:rsid w:val="1B9A6ACD"/>
    <w:rsid w:val="1BAF2978"/>
    <w:rsid w:val="1BB003F9"/>
    <w:rsid w:val="1BCD79A9"/>
    <w:rsid w:val="1BEA14D8"/>
    <w:rsid w:val="1BEB6F5A"/>
    <w:rsid w:val="1BEE7EDE"/>
    <w:rsid w:val="1C124C1B"/>
    <w:rsid w:val="1C324211"/>
    <w:rsid w:val="1C4F60A6"/>
    <w:rsid w:val="1C6411A2"/>
    <w:rsid w:val="1C9054E9"/>
    <w:rsid w:val="1C9140CA"/>
    <w:rsid w:val="1C974E74"/>
    <w:rsid w:val="1C9814B3"/>
    <w:rsid w:val="1C9E0082"/>
    <w:rsid w:val="1CA4388D"/>
    <w:rsid w:val="1CA7014D"/>
    <w:rsid w:val="1CA92E8A"/>
    <w:rsid w:val="1CBB7632"/>
    <w:rsid w:val="1CC96948"/>
    <w:rsid w:val="1CCC78CC"/>
    <w:rsid w:val="1CCD2F5F"/>
    <w:rsid w:val="1CDE25D6"/>
    <w:rsid w:val="1CE407F6"/>
    <w:rsid w:val="1CE60476"/>
    <w:rsid w:val="1CF40A91"/>
    <w:rsid w:val="1D035828"/>
    <w:rsid w:val="1D1D63D2"/>
    <w:rsid w:val="1D36397B"/>
    <w:rsid w:val="1D436612"/>
    <w:rsid w:val="1D6E4ED7"/>
    <w:rsid w:val="1D6E70D6"/>
    <w:rsid w:val="1D854AFC"/>
    <w:rsid w:val="1D8A0F84"/>
    <w:rsid w:val="1D970CFC"/>
    <w:rsid w:val="1DA069AB"/>
    <w:rsid w:val="1DA76336"/>
    <w:rsid w:val="1DB5784A"/>
    <w:rsid w:val="1DBC71D5"/>
    <w:rsid w:val="1DC0365D"/>
    <w:rsid w:val="1DC4291E"/>
    <w:rsid w:val="1DDA4206"/>
    <w:rsid w:val="1E0B605A"/>
    <w:rsid w:val="1E0E05FF"/>
    <w:rsid w:val="1E1862E1"/>
    <w:rsid w:val="1E1A4FF0"/>
    <w:rsid w:val="1E220F7B"/>
    <w:rsid w:val="1E237419"/>
    <w:rsid w:val="1E2E1A92"/>
    <w:rsid w:val="1E3F19AC"/>
    <w:rsid w:val="1E4E1FC7"/>
    <w:rsid w:val="1E4E2072"/>
    <w:rsid w:val="1E624AD8"/>
    <w:rsid w:val="1E6B3AF5"/>
    <w:rsid w:val="1E754405"/>
    <w:rsid w:val="1E846C1E"/>
    <w:rsid w:val="1E894AE9"/>
    <w:rsid w:val="1E9062B3"/>
    <w:rsid w:val="1E98400A"/>
    <w:rsid w:val="1ED94129"/>
    <w:rsid w:val="1F2E4102"/>
    <w:rsid w:val="1F2F70B6"/>
    <w:rsid w:val="1F330546"/>
    <w:rsid w:val="1F330B89"/>
    <w:rsid w:val="1F512AEE"/>
    <w:rsid w:val="1F540602"/>
    <w:rsid w:val="1F6F209E"/>
    <w:rsid w:val="1F710E25"/>
    <w:rsid w:val="1F730AA4"/>
    <w:rsid w:val="1FB1638B"/>
    <w:rsid w:val="1FC475AA"/>
    <w:rsid w:val="1FCE593B"/>
    <w:rsid w:val="1FD7404C"/>
    <w:rsid w:val="1FE0288F"/>
    <w:rsid w:val="1FE223DD"/>
    <w:rsid w:val="200D4526"/>
    <w:rsid w:val="20177683"/>
    <w:rsid w:val="201F4440"/>
    <w:rsid w:val="202231C7"/>
    <w:rsid w:val="2031215C"/>
    <w:rsid w:val="20446BFF"/>
    <w:rsid w:val="20462102"/>
    <w:rsid w:val="204B6589"/>
    <w:rsid w:val="205A0DA2"/>
    <w:rsid w:val="2074194C"/>
    <w:rsid w:val="207451CF"/>
    <w:rsid w:val="20760D02"/>
    <w:rsid w:val="20783067"/>
    <w:rsid w:val="208244E5"/>
    <w:rsid w:val="209D2B10"/>
    <w:rsid w:val="20A5211B"/>
    <w:rsid w:val="20B65C39"/>
    <w:rsid w:val="20B96BBD"/>
    <w:rsid w:val="20BE0AC7"/>
    <w:rsid w:val="20BF6548"/>
    <w:rsid w:val="20D6616D"/>
    <w:rsid w:val="20DF487F"/>
    <w:rsid w:val="20EF7097"/>
    <w:rsid w:val="210B5343"/>
    <w:rsid w:val="212A26A1"/>
    <w:rsid w:val="213F608D"/>
    <w:rsid w:val="21407D9B"/>
    <w:rsid w:val="214A3F2E"/>
    <w:rsid w:val="215757C2"/>
    <w:rsid w:val="21675A5C"/>
    <w:rsid w:val="216A69E1"/>
    <w:rsid w:val="216C1EE4"/>
    <w:rsid w:val="21772473"/>
    <w:rsid w:val="218056C4"/>
    <w:rsid w:val="21854DE4"/>
    <w:rsid w:val="21D44D8B"/>
    <w:rsid w:val="21E93657"/>
    <w:rsid w:val="21FF01A4"/>
    <w:rsid w:val="22096CE5"/>
    <w:rsid w:val="221435F7"/>
    <w:rsid w:val="222B321C"/>
    <w:rsid w:val="225D0766"/>
    <w:rsid w:val="22667B7E"/>
    <w:rsid w:val="22683081"/>
    <w:rsid w:val="22731412"/>
    <w:rsid w:val="22790D9D"/>
    <w:rsid w:val="22803FAB"/>
    <w:rsid w:val="228E32C0"/>
    <w:rsid w:val="229E355B"/>
    <w:rsid w:val="22A00083"/>
    <w:rsid w:val="22B456FE"/>
    <w:rsid w:val="22BA7608"/>
    <w:rsid w:val="22BE600E"/>
    <w:rsid w:val="231A50A3"/>
    <w:rsid w:val="231F4DAE"/>
    <w:rsid w:val="23547806"/>
    <w:rsid w:val="23735D67"/>
    <w:rsid w:val="237D5147"/>
    <w:rsid w:val="238A27E2"/>
    <w:rsid w:val="23906366"/>
    <w:rsid w:val="23A6050A"/>
    <w:rsid w:val="23A80FB4"/>
    <w:rsid w:val="23B2431C"/>
    <w:rsid w:val="23BE5BB1"/>
    <w:rsid w:val="23E03B67"/>
    <w:rsid w:val="23E228ED"/>
    <w:rsid w:val="23F6158E"/>
    <w:rsid w:val="23F7700F"/>
    <w:rsid w:val="24034FEF"/>
    <w:rsid w:val="241B13EC"/>
    <w:rsid w:val="242D3C66"/>
    <w:rsid w:val="24387A79"/>
    <w:rsid w:val="243B67FF"/>
    <w:rsid w:val="24435E0A"/>
    <w:rsid w:val="244C451B"/>
    <w:rsid w:val="24657643"/>
    <w:rsid w:val="247F3A70"/>
    <w:rsid w:val="24857B78"/>
    <w:rsid w:val="248E6289"/>
    <w:rsid w:val="24A75B2E"/>
    <w:rsid w:val="24B31941"/>
    <w:rsid w:val="24C152B3"/>
    <w:rsid w:val="24C20DAE"/>
    <w:rsid w:val="24CB286B"/>
    <w:rsid w:val="24D4317A"/>
    <w:rsid w:val="24E7562E"/>
    <w:rsid w:val="24ED0821"/>
    <w:rsid w:val="24FF6206"/>
    <w:rsid w:val="25055EC8"/>
    <w:rsid w:val="250B3654"/>
    <w:rsid w:val="252235A1"/>
    <w:rsid w:val="252A6107"/>
    <w:rsid w:val="25506347"/>
    <w:rsid w:val="25575CD2"/>
    <w:rsid w:val="255911D5"/>
    <w:rsid w:val="256726E9"/>
    <w:rsid w:val="25827CEC"/>
    <w:rsid w:val="25924371"/>
    <w:rsid w:val="25B924F3"/>
    <w:rsid w:val="25BD0EF9"/>
    <w:rsid w:val="25C0694B"/>
    <w:rsid w:val="25CC3712"/>
    <w:rsid w:val="260040E5"/>
    <w:rsid w:val="26164E0B"/>
    <w:rsid w:val="261930EB"/>
    <w:rsid w:val="261B6D15"/>
    <w:rsid w:val="261E4416"/>
    <w:rsid w:val="2624631F"/>
    <w:rsid w:val="26315635"/>
    <w:rsid w:val="263578BE"/>
    <w:rsid w:val="26423351"/>
    <w:rsid w:val="266D7A18"/>
    <w:rsid w:val="26770328"/>
    <w:rsid w:val="26937C58"/>
    <w:rsid w:val="26983290"/>
    <w:rsid w:val="269862DE"/>
    <w:rsid w:val="26993D60"/>
    <w:rsid w:val="26A34C32"/>
    <w:rsid w:val="26C36BF0"/>
    <w:rsid w:val="26D63BC5"/>
    <w:rsid w:val="26DE0D22"/>
    <w:rsid w:val="26E56480"/>
    <w:rsid w:val="26E87362"/>
    <w:rsid w:val="26F15A73"/>
    <w:rsid w:val="26F740F9"/>
    <w:rsid w:val="26FB0581"/>
    <w:rsid w:val="26FF6F87"/>
    <w:rsid w:val="27046C92"/>
    <w:rsid w:val="27050E90"/>
    <w:rsid w:val="27231852"/>
    <w:rsid w:val="272C6B52"/>
    <w:rsid w:val="273477E1"/>
    <w:rsid w:val="274665AF"/>
    <w:rsid w:val="27493F03"/>
    <w:rsid w:val="275F60A7"/>
    <w:rsid w:val="27634AAD"/>
    <w:rsid w:val="27667C30"/>
    <w:rsid w:val="27676418"/>
    <w:rsid w:val="27723A43"/>
    <w:rsid w:val="279A4C07"/>
    <w:rsid w:val="27A12394"/>
    <w:rsid w:val="27B74537"/>
    <w:rsid w:val="27DE755C"/>
    <w:rsid w:val="27E32A7D"/>
    <w:rsid w:val="27EE4691"/>
    <w:rsid w:val="27F07B94"/>
    <w:rsid w:val="28021AFB"/>
    <w:rsid w:val="28030DB3"/>
    <w:rsid w:val="28044637"/>
    <w:rsid w:val="28190D59"/>
    <w:rsid w:val="28225DE5"/>
    <w:rsid w:val="28233866"/>
    <w:rsid w:val="282D4176"/>
    <w:rsid w:val="28420898"/>
    <w:rsid w:val="28436186"/>
    <w:rsid w:val="2845765F"/>
    <w:rsid w:val="284E7F2E"/>
    <w:rsid w:val="28735280"/>
    <w:rsid w:val="28842606"/>
    <w:rsid w:val="28AB02C8"/>
    <w:rsid w:val="28F12FBA"/>
    <w:rsid w:val="29223789"/>
    <w:rsid w:val="293E52B8"/>
    <w:rsid w:val="29444FC3"/>
    <w:rsid w:val="294471C1"/>
    <w:rsid w:val="29556CC4"/>
    <w:rsid w:val="29776717"/>
    <w:rsid w:val="298D2E39"/>
    <w:rsid w:val="299F5E89"/>
    <w:rsid w:val="29A078DB"/>
    <w:rsid w:val="29A30860"/>
    <w:rsid w:val="29AA23E9"/>
    <w:rsid w:val="29B07B75"/>
    <w:rsid w:val="29BC3988"/>
    <w:rsid w:val="29BD4E21"/>
    <w:rsid w:val="29DA2F38"/>
    <w:rsid w:val="29DD5C5E"/>
    <w:rsid w:val="29DD60BB"/>
    <w:rsid w:val="29EE1BD8"/>
    <w:rsid w:val="2A013806"/>
    <w:rsid w:val="2A062B02"/>
    <w:rsid w:val="2A086006"/>
    <w:rsid w:val="2A170DB5"/>
    <w:rsid w:val="2A2E6F54"/>
    <w:rsid w:val="2A3854D0"/>
    <w:rsid w:val="2A3C3ED6"/>
    <w:rsid w:val="2A544E00"/>
    <w:rsid w:val="2A5E570F"/>
    <w:rsid w:val="2A63541A"/>
    <w:rsid w:val="2A637619"/>
    <w:rsid w:val="2A796167"/>
    <w:rsid w:val="2A8D29DB"/>
    <w:rsid w:val="2A936E5A"/>
    <w:rsid w:val="2A954C5D"/>
    <w:rsid w:val="2A9C51F4"/>
    <w:rsid w:val="2AA0747E"/>
    <w:rsid w:val="2AB56D49"/>
    <w:rsid w:val="2AB61621"/>
    <w:rsid w:val="2ADE0784"/>
    <w:rsid w:val="2AE546EF"/>
    <w:rsid w:val="2AE90B77"/>
    <w:rsid w:val="2AE952F3"/>
    <w:rsid w:val="2AFB0A91"/>
    <w:rsid w:val="2AFE1A16"/>
    <w:rsid w:val="2B0626A5"/>
    <w:rsid w:val="2B08745D"/>
    <w:rsid w:val="2B136F1C"/>
    <w:rsid w:val="2B1971F4"/>
    <w:rsid w:val="2B2F6A18"/>
    <w:rsid w:val="2B502A36"/>
    <w:rsid w:val="2B5C5632"/>
    <w:rsid w:val="2B677D05"/>
    <w:rsid w:val="2B6A69B2"/>
    <w:rsid w:val="2B6C58CD"/>
    <w:rsid w:val="2B6E554D"/>
    <w:rsid w:val="2B797443"/>
    <w:rsid w:val="2BB138D1"/>
    <w:rsid w:val="2BB76C46"/>
    <w:rsid w:val="2BB807BB"/>
    <w:rsid w:val="2BBA7BCA"/>
    <w:rsid w:val="2BBF78D5"/>
    <w:rsid w:val="2BD10CEF"/>
    <w:rsid w:val="2C0028BD"/>
    <w:rsid w:val="2C06004A"/>
    <w:rsid w:val="2C0D5456"/>
    <w:rsid w:val="2C26057E"/>
    <w:rsid w:val="2C3E4D17"/>
    <w:rsid w:val="2C4442AB"/>
    <w:rsid w:val="2C5B0BA8"/>
    <w:rsid w:val="2C6425E2"/>
    <w:rsid w:val="2C753B81"/>
    <w:rsid w:val="2C7A0008"/>
    <w:rsid w:val="2C7D0F8D"/>
    <w:rsid w:val="2C866019"/>
    <w:rsid w:val="2C9034E6"/>
    <w:rsid w:val="2C9D01BD"/>
    <w:rsid w:val="2CB20162"/>
    <w:rsid w:val="2CCA5809"/>
    <w:rsid w:val="2CDE7D2D"/>
    <w:rsid w:val="2CE618B6"/>
    <w:rsid w:val="2CE749AE"/>
    <w:rsid w:val="2CF33A75"/>
    <w:rsid w:val="2D053ED4"/>
    <w:rsid w:val="2D07786C"/>
    <w:rsid w:val="2D235966"/>
    <w:rsid w:val="2D340315"/>
    <w:rsid w:val="2D4957C2"/>
    <w:rsid w:val="2D510F65"/>
    <w:rsid w:val="2D584173"/>
    <w:rsid w:val="2D5A7676"/>
    <w:rsid w:val="2D643EE1"/>
    <w:rsid w:val="2D6E2A33"/>
    <w:rsid w:val="2D7B562D"/>
    <w:rsid w:val="2D9C5B61"/>
    <w:rsid w:val="2DA94E77"/>
    <w:rsid w:val="2DAE12FF"/>
    <w:rsid w:val="2DBE739B"/>
    <w:rsid w:val="2DC619AC"/>
    <w:rsid w:val="2DCD6330"/>
    <w:rsid w:val="2DE133A7"/>
    <w:rsid w:val="2DF950BB"/>
    <w:rsid w:val="2E03208E"/>
    <w:rsid w:val="2E1B75F9"/>
    <w:rsid w:val="2E2C1BCD"/>
    <w:rsid w:val="2E3502DE"/>
    <w:rsid w:val="2E384A04"/>
    <w:rsid w:val="2E445076"/>
    <w:rsid w:val="2E8170D9"/>
    <w:rsid w:val="2E9E0C07"/>
    <w:rsid w:val="2EA3508F"/>
    <w:rsid w:val="2EA46394"/>
    <w:rsid w:val="2EA8753A"/>
    <w:rsid w:val="2EB018C2"/>
    <w:rsid w:val="2EB502FE"/>
    <w:rsid w:val="2EBC3A3B"/>
    <w:rsid w:val="2EE161F9"/>
    <w:rsid w:val="2EE54BFF"/>
    <w:rsid w:val="2EEA6B08"/>
    <w:rsid w:val="2EF36113"/>
    <w:rsid w:val="2EF85E1E"/>
    <w:rsid w:val="2F1034C5"/>
    <w:rsid w:val="2F154107"/>
    <w:rsid w:val="2F1808D1"/>
    <w:rsid w:val="2F58185D"/>
    <w:rsid w:val="2F6057D8"/>
    <w:rsid w:val="2F790057"/>
    <w:rsid w:val="2F987F26"/>
    <w:rsid w:val="2F9E7071"/>
    <w:rsid w:val="2FB20AD0"/>
    <w:rsid w:val="2FBD48E2"/>
    <w:rsid w:val="2FD15B01"/>
    <w:rsid w:val="300862A3"/>
    <w:rsid w:val="30130555"/>
    <w:rsid w:val="301E5C00"/>
    <w:rsid w:val="302208F9"/>
    <w:rsid w:val="30347DA4"/>
    <w:rsid w:val="30542857"/>
    <w:rsid w:val="30766E97"/>
    <w:rsid w:val="307F5C02"/>
    <w:rsid w:val="30853026"/>
    <w:rsid w:val="309E19D2"/>
    <w:rsid w:val="309E3BD0"/>
    <w:rsid w:val="30A155BC"/>
    <w:rsid w:val="30B7350A"/>
    <w:rsid w:val="30C325D9"/>
    <w:rsid w:val="30C57693"/>
    <w:rsid w:val="30CC3CCF"/>
    <w:rsid w:val="30D10B44"/>
    <w:rsid w:val="30F71D86"/>
    <w:rsid w:val="3103349F"/>
    <w:rsid w:val="310A02A1"/>
    <w:rsid w:val="310C4204"/>
    <w:rsid w:val="310D7A87"/>
    <w:rsid w:val="31144E94"/>
    <w:rsid w:val="3119625B"/>
    <w:rsid w:val="311E57A3"/>
    <w:rsid w:val="31300F41"/>
    <w:rsid w:val="31393DCE"/>
    <w:rsid w:val="31414A5E"/>
    <w:rsid w:val="31481E6B"/>
    <w:rsid w:val="314B2DEF"/>
    <w:rsid w:val="315F01C5"/>
    <w:rsid w:val="31644EEA"/>
    <w:rsid w:val="31816527"/>
    <w:rsid w:val="31946A67"/>
    <w:rsid w:val="319E1574"/>
    <w:rsid w:val="31A124F9"/>
    <w:rsid w:val="31AF3F03"/>
    <w:rsid w:val="31BE78AB"/>
    <w:rsid w:val="31C97E3A"/>
    <w:rsid w:val="31CA7C8B"/>
    <w:rsid w:val="31D77150"/>
    <w:rsid w:val="32070FA4"/>
    <w:rsid w:val="32200849"/>
    <w:rsid w:val="32262752"/>
    <w:rsid w:val="323D5BFB"/>
    <w:rsid w:val="3242046E"/>
    <w:rsid w:val="324A05DB"/>
    <w:rsid w:val="32591705"/>
    <w:rsid w:val="325A3974"/>
    <w:rsid w:val="326B7E18"/>
    <w:rsid w:val="327F1EE7"/>
    <w:rsid w:val="329B2BE5"/>
    <w:rsid w:val="32A0461A"/>
    <w:rsid w:val="32AF4C35"/>
    <w:rsid w:val="32B10138"/>
    <w:rsid w:val="32CB6763"/>
    <w:rsid w:val="32CE76E8"/>
    <w:rsid w:val="32D16607"/>
    <w:rsid w:val="32D260EE"/>
    <w:rsid w:val="32F51B26"/>
    <w:rsid w:val="32F62E2B"/>
    <w:rsid w:val="32FB0F39"/>
    <w:rsid w:val="330D71CD"/>
    <w:rsid w:val="33134959"/>
    <w:rsid w:val="3320382D"/>
    <w:rsid w:val="3333740C"/>
    <w:rsid w:val="333C359F"/>
    <w:rsid w:val="3345642D"/>
    <w:rsid w:val="334A7032"/>
    <w:rsid w:val="33540C46"/>
    <w:rsid w:val="33604E27"/>
    <w:rsid w:val="3364345F"/>
    <w:rsid w:val="33915228"/>
    <w:rsid w:val="33A132C4"/>
    <w:rsid w:val="33A73E6D"/>
    <w:rsid w:val="33AF47D8"/>
    <w:rsid w:val="33BC2E13"/>
    <w:rsid w:val="341F3B92"/>
    <w:rsid w:val="34217053"/>
    <w:rsid w:val="34280C1E"/>
    <w:rsid w:val="343B6ACF"/>
    <w:rsid w:val="34635580"/>
    <w:rsid w:val="346D5E8F"/>
    <w:rsid w:val="34762022"/>
    <w:rsid w:val="34995A5A"/>
    <w:rsid w:val="349B0F5D"/>
    <w:rsid w:val="34BD7997"/>
    <w:rsid w:val="34C67823"/>
    <w:rsid w:val="34C70B28"/>
    <w:rsid w:val="34CA1AAC"/>
    <w:rsid w:val="34CB26EB"/>
    <w:rsid w:val="34CC69B3"/>
    <w:rsid w:val="34D763F9"/>
    <w:rsid w:val="34DA6364"/>
    <w:rsid w:val="34E8105C"/>
    <w:rsid w:val="34E857D9"/>
    <w:rsid w:val="34F160E8"/>
    <w:rsid w:val="34FF407A"/>
    <w:rsid w:val="35006E71"/>
    <w:rsid w:val="350A6571"/>
    <w:rsid w:val="35276F54"/>
    <w:rsid w:val="352E1AEE"/>
    <w:rsid w:val="353D2CE5"/>
    <w:rsid w:val="354B32FF"/>
    <w:rsid w:val="3554278E"/>
    <w:rsid w:val="356858AD"/>
    <w:rsid w:val="356A2E86"/>
    <w:rsid w:val="357B604D"/>
    <w:rsid w:val="35840EDB"/>
    <w:rsid w:val="358D3D69"/>
    <w:rsid w:val="359955FD"/>
    <w:rsid w:val="35DD5ADC"/>
    <w:rsid w:val="35EC5776"/>
    <w:rsid w:val="35ED754F"/>
    <w:rsid w:val="35FE1B20"/>
    <w:rsid w:val="360836B2"/>
    <w:rsid w:val="36097A13"/>
    <w:rsid w:val="3616624B"/>
    <w:rsid w:val="36250A64"/>
    <w:rsid w:val="362918A3"/>
    <w:rsid w:val="362C25ED"/>
    <w:rsid w:val="362F3572"/>
    <w:rsid w:val="365537B1"/>
    <w:rsid w:val="36576CB4"/>
    <w:rsid w:val="36584736"/>
    <w:rsid w:val="36645FCA"/>
    <w:rsid w:val="366B5955"/>
    <w:rsid w:val="36744066"/>
    <w:rsid w:val="368E2203"/>
    <w:rsid w:val="3696421B"/>
    <w:rsid w:val="369C6124"/>
    <w:rsid w:val="369F70A9"/>
    <w:rsid w:val="36A00294"/>
    <w:rsid w:val="36A04B2A"/>
    <w:rsid w:val="36A50FB2"/>
    <w:rsid w:val="36BC4F79"/>
    <w:rsid w:val="36DD0212"/>
    <w:rsid w:val="36E62C0E"/>
    <w:rsid w:val="36E630A0"/>
    <w:rsid w:val="36EA5BBD"/>
    <w:rsid w:val="37284E0F"/>
    <w:rsid w:val="373566A3"/>
    <w:rsid w:val="37506ECC"/>
    <w:rsid w:val="375458D3"/>
    <w:rsid w:val="375E61E2"/>
    <w:rsid w:val="37600982"/>
    <w:rsid w:val="376016E5"/>
    <w:rsid w:val="377657B0"/>
    <w:rsid w:val="37790091"/>
    <w:rsid w:val="377F4064"/>
    <w:rsid w:val="379426EC"/>
    <w:rsid w:val="37A96661"/>
    <w:rsid w:val="37B855F7"/>
    <w:rsid w:val="37B90E7A"/>
    <w:rsid w:val="37C75C12"/>
    <w:rsid w:val="37D73BD2"/>
    <w:rsid w:val="37E32842"/>
    <w:rsid w:val="37F222D9"/>
    <w:rsid w:val="37FD60EC"/>
    <w:rsid w:val="380769FB"/>
    <w:rsid w:val="38103A87"/>
    <w:rsid w:val="3812280E"/>
    <w:rsid w:val="38126F8A"/>
    <w:rsid w:val="38184717"/>
    <w:rsid w:val="3831783F"/>
    <w:rsid w:val="383C7DCF"/>
    <w:rsid w:val="38535402"/>
    <w:rsid w:val="385E1608"/>
    <w:rsid w:val="3869321C"/>
    <w:rsid w:val="386F48F8"/>
    <w:rsid w:val="388A3751"/>
    <w:rsid w:val="388C3D65"/>
    <w:rsid w:val="38934061"/>
    <w:rsid w:val="38957564"/>
    <w:rsid w:val="38961762"/>
    <w:rsid w:val="389B146D"/>
    <w:rsid w:val="389D4970"/>
    <w:rsid w:val="38BD7423"/>
    <w:rsid w:val="38EB24F1"/>
    <w:rsid w:val="392F7762"/>
    <w:rsid w:val="393670ED"/>
    <w:rsid w:val="393A2270"/>
    <w:rsid w:val="395872A2"/>
    <w:rsid w:val="398D3A3D"/>
    <w:rsid w:val="39C678D5"/>
    <w:rsid w:val="39CE4CE2"/>
    <w:rsid w:val="39CF2763"/>
    <w:rsid w:val="39D3116A"/>
    <w:rsid w:val="3A3C5316"/>
    <w:rsid w:val="3A3E4084"/>
    <w:rsid w:val="3A430524"/>
    <w:rsid w:val="3A630A59"/>
    <w:rsid w:val="3A6619DD"/>
    <w:rsid w:val="3A6B7341"/>
    <w:rsid w:val="3A751FF8"/>
    <w:rsid w:val="3A7E7084"/>
    <w:rsid w:val="3A886EF8"/>
    <w:rsid w:val="3A900623"/>
    <w:rsid w:val="3A9160A5"/>
    <w:rsid w:val="3A9721AC"/>
    <w:rsid w:val="3A9E3272"/>
    <w:rsid w:val="3AAE15D6"/>
    <w:rsid w:val="3AC3272B"/>
    <w:rsid w:val="3ACD0488"/>
    <w:rsid w:val="3AD0140D"/>
    <w:rsid w:val="3AE21327"/>
    <w:rsid w:val="3B071567"/>
    <w:rsid w:val="3B09570E"/>
    <w:rsid w:val="3B1B2786"/>
    <w:rsid w:val="3B251346"/>
    <w:rsid w:val="3B290E2E"/>
    <w:rsid w:val="3B2D038A"/>
    <w:rsid w:val="3B2E7228"/>
    <w:rsid w:val="3B364634"/>
    <w:rsid w:val="3B487DD2"/>
    <w:rsid w:val="3B4B609B"/>
    <w:rsid w:val="3B4F6B34"/>
    <w:rsid w:val="3B522F56"/>
    <w:rsid w:val="3B5B0FF1"/>
    <w:rsid w:val="3BAA45F3"/>
    <w:rsid w:val="3BBC450D"/>
    <w:rsid w:val="3BC4191A"/>
    <w:rsid w:val="3BC767F9"/>
    <w:rsid w:val="3BD41BB4"/>
    <w:rsid w:val="3BEB75DB"/>
    <w:rsid w:val="3BEE5B19"/>
    <w:rsid w:val="3BF47EEA"/>
    <w:rsid w:val="3C027200"/>
    <w:rsid w:val="3C242C38"/>
    <w:rsid w:val="3C4A2E77"/>
    <w:rsid w:val="3C520284"/>
    <w:rsid w:val="3C5A3112"/>
    <w:rsid w:val="3C5A59E2"/>
    <w:rsid w:val="3C6749A6"/>
    <w:rsid w:val="3C766343"/>
    <w:rsid w:val="3C91106D"/>
    <w:rsid w:val="3C9F0607"/>
    <w:rsid w:val="3CBE0C38"/>
    <w:rsid w:val="3CC07B5C"/>
    <w:rsid w:val="3CC350C0"/>
    <w:rsid w:val="3CC505C3"/>
    <w:rsid w:val="3CE04670"/>
    <w:rsid w:val="3D0013C3"/>
    <w:rsid w:val="3D045B29"/>
    <w:rsid w:val="3D091FB1"/>
    <w:rsid w:val="3D202664"/>
    <w:rsid w:val="3D25609B"/>
    <w:rsid w:val="3D324D36"/>
    <w:rsid w:val="3D394CFE"/>
    <w:rsid w:val="3D5467E4"/>
    <w:rsid w:val="3D577B32"/>
    <w:rsid w:val="3D635B43"/>
    <w:rsid w:val="3D7A5B4B"/>
    <w:rsid w:val="3D874491"/>
    <w:rsid w:val="3D8F350F"/>
    <w:rsid w:val="3D940332"/>
    <w:rsid w:val="3D9A3A9E"/>
    <w:rsid w:val="3DA45043"/>
    <w:rsid w:val="3DAF5FC2"/>
    <w:rsid w:val="3DB36BC6"/>
    <w:rsid w:val="3DF17D30"/>
    <w:rsid w:val="3E0334CE"/>
    <w:rsid w:val="3E0C56F4"/>
    <w:rsid w:val="3E12578C"/>
    <w:rsid w:val="3E1746ED"/>
    <w:rsid w:val="3E1C65F6"/>
    <w:rsid w:val="3E317495"/>
    <w:rsid w:val="3E407AAF"/>
    <w:rsid w:val="3E526AD0"/>
    <w:rsid w:val="3E561C53"/>
    <w:rsid w:val="3E6C3C86"/>
    <w:rsid w:val="3E79568B"/>
    <w:rsid w:val="3E8E3207"/>
    <w:rsid w:val="3EAB715E"/>
    <w:rsid w:val="3EAF5B65"/>
    <w:rsid w:val="3EB92D70"/>
    <w:rsid w:val="3EBD28FC"/>
    <w:rsid w:val="3ECC5115"/>
    <w:rsid w:val="3EDD53AF"/>
    <w:rsid w:val="3EE06334"/>
    <w:rsid w:val="3EEF43D0"/>
    <w:rsid w:val="3F0120EC"/>
    <w:rsid w:val="3F0D3980"/>
    <w:rsid w:val="3F1F711D"/>
    <w:rsid w:val="3F2A54AE"/>
    <w:rsid w:val="3F3B0FCC"/>
    <w:rsid w:val="3F3F1BD0"/>
    <w:rsid w:val="3F464DDE"/>
    <w:rsid w:val="3F476FDD"/>
    <w:rsid w:val="3F5F4684"/>
    <w:rsid w:val="3F644DB1"/>
    <w:rsid w:val="3F65400E"/>
    <w:rsid w:val="3F74620D"/>
    <w:rsid w:val="3F7B4BCF"/>
    <w:rsid w:val="3F7F29BA"/>
    <w:rsid w:val="3F867DC6"/>
    <w:rsid w:val="3F9E546D"/>
    <w:rsid w:val="3FDA0D4D"/>
    <w:rsid w:val="3FDD07D5"/>
    <w:rsid w:val="3FDF3248"/>
    <w:rsid w:val="3FDF3CD8"/>
    <w:rsid w:val="3FE326DE"/>
    <w:rsid w:val="3FEE42F3"/>
    <w:rsid w:val="3FF638FD"/>
    <w:rsid w:val="40050695"/>
    <w:rsid w:val="403C6947"/>
    <w:rsid w:val="40495906"/>
    <w:rsid w:val="405D2C94"/>
    <w:rsid w:val="405E2028"/>
    <w:rsid w:val="407B3B56"/>
    <w:rsid w:val="408B77EF"/>
    <w:rsid w:val="409B6CE3"/>
    <w:rsid w:val="409E2E12"/>
    <w:rsid w:val="40AB2127"/>
    <w:rsid w:val="40C73FD6"/>
    <w:rsid w:val="40EA1C0C"/>
    <w:rsid w:val="40EB444A"/>
    <w:rsid w:val="410305B7"/>
    <w:rsid w:val="411F7EE8"/>
    <w:rsid w:val="4125656E"/>
    <w:rsid w:val="41415E9E"/>
    <w:rsid w:val="415006B7"/>
    <w:rsid w:val="41523BBA"/>
    <w:rsid w:val="41566D3D"/>
    <w:rsid w:val="415E79CC"/>
    <w:rsid w:val="416205D1"/>
    <w:rsid w:val="416D21E5"/>
    <w:rsid w:val="41731D51"/>
    <w:rsid w:val="41737F68"/>
    <w:rsid w:val="41743F32"/>
    <w:rsid w:val="41884094"/>
    <w:rsid w:val="41957568"/>
    <w:rsid w:val="41980AAB"/>
    <w:rsid w:val="41A86B47"/>
    <w:rsid w:val="41AC774B"/>
    <w:rsid w:val="41CA4AFD"/>
    <w:rsid w:val="41E740AD"/>
    <w:rsid w:val="41F027BE"/>
    <w:rsid w:val="42045BDC"/>
    <w:rsid w:val="421929AF"/>
    <w:rsid w:val="42301F23"/>
    <w:rsid w:val="4241151E"/>
    <w:rsid w:val="424D72D5"/>
    <w:rsid w:val="42500259"/>
    <w:rsid w:val="42772697"/>
    <w:rsid w:val="427F3327"/>
    <w:rsid w:val="428F6F5B"/>
    <w:rsid w:val="4291247D"/>
    <w:rsid w:val="42A110F0"/>
    <w:rsid w:val="42C34D15"/>
    <w:rsid w:val="42D11AAC"/>
    <w:rsid w:val="42E5074D"/>
    <w:rsid w:val="42EF5A67"/>
    <w:rsid w:val="42F17DE3"/>
    <w:rsid w:val="43056584"/>
    <w:rsid w:val="430C640E"/>
    <w:rsid w:val="4314381B"/>
    <w:rsid w:val="43166D1E"/>
    <w:rsid w:val="43195B8C"/>
    <w:rsid w:val="431B31A5"/>
    <w:rsid w:val="43210CE0"/>
    <w:rsid w:val="436302AE"/>
    <w:rsid w:val="43727992"/>
    <w:rsid w:val="437B6577"/>
    <w:rsid w:val="438318D0"/>
    <w:rsid w:val="438D5A63"/>
    <w:rsid w:val="4392796C"/>
    <w:rsid w:val="43A06C82"/>
    <w:rsid w:val="43AD5F98"/>
    <w:rsid w:val="43AE3A19"/>
    <w:rsid w:val="43BE0430"/>
    <w:rsid w:val="43C15B4D"/>
    <w:rsid w:val="43CA280D"/>
    <w:rsid w:val="43CC2FC9"/>
    <w:rsid w:val="43F32E89"/>
    <w:rsid w:val="44277E60"/>
    <w:rsid w:val="442C42E7"/>
    <w:rsid w:val="44345E70"/>
    <w:rsid w:val="443C6B00"/>
    <w:rsid w:val="443D58AA"/>
    <w:rsid w:val="44464E91"/>
    <w:rsid w:val="44495E16"/>
    <w:rsid w:val="444A50EC"/>
    <w:rsid w:val="445A408E"/>
    <w:rsid w:val="445F5DBB"/>
    <w:rsid w:val="446753C6"/>
    <w:rsid w:val="44B21FC2"/>
    <w:rsid w:val="44BE2E24"/>
    <w:rsid w:val="44BF70D9"/>
    <w:rsid w:val="44C012D8"/>
    <w:rsid w:val="44C4460B"/>
    <w:rsid w:val="44C91BE7"/>
    <w:rsid w:val="44DB3186"/>
    <w:rsid w:val="44DD6689"/>
    <w:rsid w:val="44FD5A4D"/>
    <w:rsid w:val="45117DDD"/>
    <w:rsid w:val="45356D18"/>
    <w:rsid w:val="453F7206"/>
    <w:rsid w:val="4543393B"/>
    <w:rsid w:val="455C7EDF"/>
    <w:rsid w:val="45973539"/>
    <w:rsid w:val="459C79C1"/>
    <w:rsid w:val="459F0946"/>
    <w:rsid w:val="45A91659"/>
    <w:rsid w:val="45B147A1"/>
    <w:rsid w:val="45BF6C7C"/>
    <w:rsid w:val="45C543A0"/>
    <w:rsid w:val="45C92D92"/>
    <w:rsid w:val="45CA720B"/>
    <w:rsid w:val="45D81DA4"/>
    <w:rsid w:val="45F76DD6"/>
    <w:rsid w:val="45F922D9"/>
    <w:rsid w:val="46107A8A"/>
    <w:rsid w:val="46111740"/>
    <w:rsid w:val="46136706"/>
    <w:rsid w:val="464A34FF"/>
    <w:rsid w:val="465D5881"/>
    <w:rsid w:val="465F5501"/>
    <w:rsid w:val="466622E2"/>
    <w:rsid w:val="467B4CB6"/>
    <w:rsid w:val="467F3837"/>
    <w:rsid w:val="46896345"/>
    <w:rsid w:val="4696345C"/>
    <w:rsid w:val="46A114CB"/>
    <w:rsid w:val="46B11A88"/>
    <w:rsid w:val="46B63B7C"/>
    <w:rsid w:val="46B71412"/>
    <w:rsid w:val="46C11D22"/>
    <w:rsid w:val="46D53E47"/>
    <w:rsid w:val="46D66444"/>
    <w:rsid w:val="46E110B6"/>
    <w:rsid w:val="46E531DB"/>
    <w:rsid w:val="46ED18ED"/>
    <w:rsid w:val="46EE736E"/>
    <w:rsid w:val="46F224F1"/>
    <w:rsid w:val="46F74436"/>
    <w:rsid w:val="46F87C7E"/>
    <w:rsid w:val="472033C0"/>
    <w:rsid w:val="472C4C55"/>
    <w:rsid w:val="47342061"/>
    <w:rsid w:val="474E7388"/>
    <w:rsid w:val="474F068C"/>
    <w:rsid w:val="474F288B"/>
    <w:rsid w:val="475A449F"/>
    <w:rsid w:val="475A6890"/>
    <w:rsid w:val="476D5538"/>
    <w:rsid w:val="47700ADD"/>
    <w:rsid w:val="477C14DC"/>
    <w:rsid w:val="47827BE2"/>
    <w:rsid w:val="47883CE9"/>
    <w:rsid w:val="479A1A05"/>
    <w:rsid w:val="47A3267A"/>
    <w:rsid w:val="47A45B98"/>
    <w:rsid w:val="47A773BE"/>
    <w:rsid w:val="47BF3294"/>
    <w:rsid w:val="47C076C6"/>
    <w:rsid w:val="47DD40EF"/>
    <w:rsid w:val="47F828FD"/>
    <w:rsid w:val="47FF71AB"/>
    <w:rsid w:val="481513D9"/>
    <w:rsid w:val="48220665"/>
    <w:rsid w:val="482364B8"/>
    <w:rsid w:val="48256D81"/>
    <w:rsid w:val="48266EE2"/>
    <w:rsid w:val="482E4332"/>
    <w:rsid w:val="4862144E"/>
    <w:rsid w:val="48773972"/>
    <w:rsid w:val="488E3597"/>
    <w:rsid w:val="48962BA2"/>
    <w:rsid w:val="48AA50C6"/>
    <w:rsid w:val="48AF154D"/>
    <w:rsid w:val="48B33CE8"/>
    <w:rsid w:val="48B459D5"/>
    <w:rsid w:val="48B6475B"/>
    <w:rsid w:val="48BF3D66"/>
    <w:rsid w:val="48CB55FA"/>
    <w:rsid w:val="48D6451F"/>
    <w:rsid w:val="48E32CA1"/>
    <w:rsid w:val="48E868E7"/>
    <w:rsid w:val="48F906C8"/>
    <w:rsid w:val="48FF25D1"/>
    <w:rsid w:val="49196EB7"/>
    <w:rsid w:val="49226009"/>
    <w:rsid w:val="494D0152"/>
    <w:rsid w:val="494E2344"/>
    <w:rsid w:val="495B1666"/>
    <w:rsid w:val="49620FF1"/>
    <w:rsid w:val="496557F9"/>
    <w:rsid w:val="497D499A"/>
    <w:rsid w:val="49962188"/>
    <w:rsid w:val="499814CB"/>
    <w:rsid w:val="499A0251"/>
    <w:rsid w:val="499A44A2"/>
    <w:rsid w:val="49AE366E"/>
    <w:rsid w:val="49BE5E87"/>
    <w:rsid w:val="49C2488D"/>
    <w:rsid w:val="49D45EAB"/>
    <w:rsid w:val="49E07403"/>
    <w:rsid w:val="49F031DE"/>
    <w:rsid w:val="49FF2174"/>
    <w:rsid w:val="4A1A3C81"/>
    <w:rsid w:val="4A297CE3"/>
    <w:rsid w:val="4A391054"/>
    <w:rsid w:val="4A4E5776"/>
    <w:rsid w:val="4A737F34"/>
    <w:rsid w:val="4A7843BC"/>
    <w:rsid w:val="4A8536D2"/>
    <w:rsid w:val="4A861153"/>
    <w:rsid w:val="4A9E67FA"/>
    <w:rsid w:val="4AA56185"/>
    <w:rsid w:val="4AC15AB5"/>
    <w:rsid w:val="4AC83F74"/>
    <w:rsid w:val="4AD743D6"/>
    <w:rsid w:val="4AE07264"/>
    <w:rsid w:val="4AE91781"/>
    <w:rsid w:val="4AFE2097"/>
    <w:rsid w:val="4B1B3BC5"/>
    <w:rsid w:val="4B1E25CC"/>
    <w:rsid w:val="4B213550"/>
    <w:rsid w:val="4B2173E0"/>
    <w:rsid w:val="4B2422D7"/>
    <w:rsid w:val="4B2E67E5"/>
    <w:rsid w:val="4B50081C"/>
    <w:rsid w:val="4B5C462F"/>
    <w:rsid w:val="4B5D20B0"/>
    <w:rsid w:val="4B7036CC"/>
    <w:rsid w:val="4B8C0A01"/>
    <w:rsid w:val="4B917087"/>
    <w:rsid w:val="4BB17155"/>
    <w:rsid w:val="4BE64593"/>
    <w:rsid w:val="4BEB0A1B"/>
    <w:rsid w:val="4C014E1C"/>
    <w:rsid w:val="4C031945"/>
    <w:rsid w:val="4C0E1ED4"/>
    <w:rsid w:val="4C1A6F3D"/>
    <w:rsid w:val="4C1C4A6D"/>
    <w:rsid w:val="4C244BD1"/>
    <w:rsid w:val="4C4B55BC"/>
    <w:rsid w:val="4C524F47"/>
    <w:rsid w:val="4C737E9D"/>
    <w:rsid w:val="4C75097F"/>
    <w:rsid w:val="4C781903"/>
    <w:rsid w:val="4C7D7F89"/>
    <w:rsid w:val="4C86669B"/>
    <w:rsid w:val="4C884D59"/>
    <w:rsid w:val="4C8A729F"/>
    <w:rsid w:val="4C8C05A4"/>
    <w:rsid w:val="4C9C083E"/>
    <w:rsid w:val="4CAD0DFF"/>
    <w:rsid w:val="4CB14F60"/>
    <w:rsid w:val="4CD906A3"/>
    <w:rsid w:val="4CDC3826"/>
    <w:rsid w:val="4CF54750"/>
    <w:rsid w:val="4D023A66"/>
    <w:rsid w:val="4D203016"/>
    <w:rsid w:val="4D204251"/>
    <w:rsid w:val="4D372C3B"/>
    <w:rsid w:val="4D4A76DD"/>
    <w:rsid w:val="4D5C75F7"/>
    <w:rsid w:val="4D7F46B4"/>
    <w:rsid w:val="4D842D3A"/>
    <w:rsid w:val="4D937AD1"/>
    <w:rsid w:val="4D9877DD"/>
    <w:rsid w:val="4D9B0761"/>
    <w:rsid w:val="4DA50304"/>
    <w:rsid w:val="4DA65F69"/>
    <w:rsid w:val="4DAE3B7E"/>
    <w:rsid w:val="4DB8448E"/>
    <w:rsid w:val="4DBA7991"/>
    <w:rsid w:val="4DC02990"/>
    <w:rsid w:val="4DD90246"/>
    <w:rsid w:val="4DE23B96"/>
    <w:rsid w:val="4DE82A5F"/>
    <w:rsid w:val="4DF80AFB"/>
    <w:rsid w:val="4E065892"/>
    <w:rsid w:val="4E2213F1"/>
    <w:rsid w:val="4E287413"/>
    <w:rsid w:val="4E2A6D4B"/>
    <w:rsid w:val="4E4467B6"/>
    <w:rsid w:val="4E555CEA"/>
    <w:rsid w:val="4E614CA7"/>
    <w:rsid w:val="4E641EF9"/>
    <w:rsid w:val="4E650084"/>
    <w:rsid w:val="4E6848A6"/>
    <w:rsid w:val="4E6F0C06"/>
    <w:rsid w:val="4E6F61BB"/>
    <w:rsid w:val="4E7D2F52"/>
    <w:rsid w:val="4EB002A9"/>
    <w:rsid w:val="4EB237A8"/>
    <w:rsid w:val="4EB541F5"/>
    <w:rsid w:val="4EC35C45"/>
    <w:rsid w:val="4ECA55D0"/>
    <w:rsid w:val="4ED2625F"/>
    <w:rsid w:val="4ED36FCB"/>
    <w:rsid w:val="4EF840EF"/>
    <w:rsid w:val="4EFA3BA1"/>
    <w:rsid w:val="4F183151"/>
    <w:rsid w:val="4F236F63"/>
    <w:rsid w:val="4F267EE8"/>
    <w:rsid w:val="4F280823"/>
    <w:rsid w:val="4F7A6D8B"/>
    <w:rsid w:val="4F7E6378"/>
    <w:rsid w:val="4F812B80"/>
    <w:rsid w:val="4F8C310F"/>
    <w:rsid w:val="4F9F2130"/>
    <w:rsid w:val="4FA17831"/>
    <w:rsid w:val="4FAC1446"/>
    <w:rsid w:val="4FAE4949"/>
    <w:rsid w:val="4FB50A50"/>
    <w:rsid w:val="4FBC5E5D"/>
    <w:rsid w:val="4FBF4BE3"/>
    <w:rsid w:val="4FD25E02"/>
    <w:rsid w:val="4FDA7242"/>
    <w:rsid w:val="4FE13E9E"/>
    <w:rsid w:val="4FFE16ED"/>
    <w:rsid w:val="4FFE59CD"/>
    <w:rsid w:val="50137E07"/>
    <w:rsid w:val="50294293"/>
    <w:rsid w:val="50327120"/>
    <w:rsid w:val="504B3788"/>
    <w:rsid w:val="504B393E"/>
    <w:rsid w:val="504E31CD"/>
    <w:rsid w:val="50525457"/>
    <w:rsid w:val="50660874"/>
    <w:rsid w:val="5075308D"/>
    <w:rsid w:val="50784012"/>
    <w:rsid w:val="50797895"/>
    <w:rsid w:val="508920BE"/>
    <w:rsid w:val="508942AC"/>
    <w:rsid w:val="5091713A"/>
    <w:rsid w:val="50937573"/>
    <w:rsid w:val="50B41C78"/>
    <w:rsid w:val="50BC7085"/>
    <w:rsid w:val="50BE2588"/>
    <w:rsid w:val="50C765B1"/>
    <w:rsid w:val="50DB0924"/>
    <w:rsid w:val="50DB40B6"/>
    <w:rsid w:val="50E23A41"/>
    <w:rsid w:val="50E833CC"/>
    <w:rsid w:val="50F20458"/>
    <w:rsid w:val="50F27B43"/>
    <w:rsid w:val="51007ABC"/>
    <w:rsid w:val="512B513A"/>
    <w:rsid w:val="51303B95"/>
    <w:rsid w:val="51332793"/>
    <w:rsid w:val="51455CE4"/>
    <w:rsid w:val="514946EA"/>
    <w:rsid w:val="517D16C1"/>
    <w:rsid w:val="51933865"/>
    <w:rsid w:val="51987CEC"/>
    <w:rsid w:val="519D6372"/>
    <w:rsid w:val="51A57002"/>
    <w:rsid w:val="51AF4F03"/>
    <w:rsid w:val="51B54C50"/>
    <w:rsid w:val="520812A5"/>
    <w:rsid w:val="521108B0"/>
    <w:rsid w:val="52112EE8"/>
    <w:rsid w:val="5217023B"/>
    <w:rsid w:val="522D01E0"/>
    <w:rsid w:val="5235306E"/>
    <w:rsid w:val="52360AEF"/>
    <w:rsid w:val="52422827"/>
    <w:rsid w:val="525B7A2A"/>
    <w:rsid w:val="526A2243"/>
    <w:rsid w:val="527B24DD"/>
    <w:rsid w:val="527F6965"/>
    <w:rsid w:val="528021E8"/>
    <w:rsid w:val="52824882"/>
    <w:rsid w:val="52940ADB"/>
    <w:rsid w:val="52A91000"/>
    <w:rsid w:val="52AE3D04"/>
    <w:rsid w:val="52AF3E17"/>
    <w:rsid w:val="52B66E3F"/>
    <w:rsid w:val="52BB6B4A"/>
    <w:rsid w:val="52C12C52"/>
    <w:rsid w:val="52CF4BCE"/>
    <w:rsid w:val="52D65176"/>
    <w:rsid w:val="52DE4780"/>
    <w:rsid w:val="52F04CEE"/>
    <w:rsid w:val="53327A8E"/>
    <w:rsid w:val="533C7E8E"/>
    <w:rsid w:val="533F3520"/>
    <w:rsid w:val="53416A23"/>
    <w:rsid w:val="534704F3"/>
    <w:rsid w:val="53516CBE"/>
    <w:rsid w:val="536015B5"/>
    <w:rsid w:val="53707572"/>
    <w:rsid w:val="53726C27"/>
    <w:rsid w:val="5376147C"/>
    <w:rsid w:val="537C6C08"/>
    <w:rsid w:val="538A011C"/>
    <w:rsid w:val="53994999"/>
    <w:rsid w:val="539C5E38"/>
    <w:rsid w:val="539F2640"/>
    <w:rsid w:val="53B434DF"/>
    <w:rsid w:val="53B953E8"/>
    <w:rsid w:val="53C02B75"/>
    <w:rsid w:val="53C62500"/>
    <w:rsid w:val="53DE782B"/>
    <w:rsid w:val="54016E61"/>
    <w:rsid w:val="540C51F2"/>
    <w:rsid w:val="54163583"/>
    <w:rsid w:val="5425191D"/>
    <w:rsid w:val="5443314E"/>
    <w:rsid w:val="544D5C5C"/>
    <w:rsid w:val="54554E92"/>
    <w:rsid w:val="546C2C8D"/>
    <w:rsid w:val="547748A2"/>
    <w:rsid w:val="5480192E"/>
    <w:rsid w:val="54836136"/>
    <w:rsid w:val="548849C0"/>
    <w:rsid w:val="548F1F48"/>
    <w:rsid w:val="549F1851"/>
    <w:rsid w:val="54A51975"/>
    <w:rsid w:val="54A77BD0"/>
    <w:rsid w:val="54BD5016"/>
    <w:rsid w:val="54CE74AF"/>
    <w:rsid w:val="54D569C1"/>
    <w:rsid w:val="54D74947"/>
    <w:rsid w:val="54F05360"/>
    <w:rsid w:val="55280E42"/>
    <w:rsid w:val="55303CD0"/>
    <w:rsid w:val="553F42EB"/>
    <w:rsid w:val="554B00FD"/>
    <w:rsid w:val="554C4764"/>
    <w:rsid w:val="55545189"/>
    <w:rsid w:val="555B0397"/>
    <w:rsid w:val="55640CA7"/>
    <w:rsid w:val="55681663"/>
    <w:rsid w:val="55713605"/>
    <w:rsid w:val="557434C0"/>
    <w:rsid w:val="55850E00"/>
    <w:rsid w:val="559C4684"/>
    <w:rsid w:val="55A3400F"/>
    <w:rsid w:val="55A92695"/>
    <w:rsid w:val="561A16CF"/>
    <w:rsid w:val="563A06B5"/>
    <w:rsid w:val="56502273"/>
    <w:rsid w:val="5664664B"/>
    <w:rsid w:val="56C61500"/>
    <w:rsid w:val="56CF5CFB"/>
    <w:rsid w:val="56D111FE"/>
    <w:rsid w:val="56D90809"/>
    <w:rsid w:val="56E83021"/>
    <w:rsid w:val="56FB2042"/>
    <w:rsid w:val="56FF4F3E"/>
    <w:rsid w:val="57055E01"/>
    <w:rsid w:val="572E5D14"/>
    <w:rsid w:val="573F72B3"/>
    <w:rsid w:val="57466C3E"/>
    <w:rsid w:val="57586B58"/>
    <w:rsid w:val="575A3DD1"/>
    <w:rsid w:val="575F1D66"/>
    <w:rsid w:val="5761526A"/>
    <w:rsid w:val="577F009D"/>
    <w:rsid w:val="5780229B"/>
    <w:rsid w:val="57851FA6"/>
    <w:rsid w:val="57AF6667"/>
    <w:rsid w:val="57BE1D80"/>
    <w:rsid w:val="57C33DA7"/>
    <w:rsid w:val="57DF393A"/>
    <w:rsid w:val="57E31286"/>
    <w:rsid w:val="57E41FC0"/>
    <w:rsid w:val="57FA1FD8"/>
    <w:rsid w:val="58350AC5"/>
    <w:rsid w:val="584148D8"/>
    <w:rsid w:val="58560FFA"/>
    <w:rsid w:val="58591F7E"/>
    <w:rsid w:val="586C319D"/>
    <w:rsid w:val="587E693B"/>
    <w:rsid w:val="58851B49"/>
    <w:rsid w:val="589B3CED"/>
    <w:rsid w:val="58AA0A84"/>
    <w:rsid w:val="58AA2E47"/>
    <w:rsid w:val="58B13C92"/>
    <w:rsid w:val="58B91657"/>
    <w:rsid w:val="58C13F2C"/>
    <w:rsid w:val="58C70034"/>
    <w:rsid w:val="58C91339"/>
    <w:rsid w:val="58DD7FD9"/>
    <w:rsid w:val="58F070CC"/>
    <w:rsid w:val="590E07A8"/>
    <w:rsid w:val="59167BD3"/>
    <w:rsid w:val="593B4ABC"/>
    <w:rsid w:val="59421EFC"/>
    <w:rsid w:val="59471C07"/>
    <w:rsid w:val="59481887"/>
    <w:rsid w:val="5963595B"/>
    <w:rsid w:val="597162CE"/>
    <w:rsid w:val="59776266"/>
    <w:rsid w:val="597F26B2"/>
    <w:rsid w:val="59815DE1"/>
    <w:rsid w:val="599B6E3A"/>
    <w:rsid w:val="59A75542"/>
    <w:rsid w:val="59AC3B2A"/>
    <w:rsid w:val="59BA4144"/>
    <w:rsid w:val="59BE5B34"/>
    <w:rsid w:val="59C0604D"/>
    <w:rsid w:val="59DE0E81"/>
    <w:rsid w:val="59DF307F"/>
    <w:rsid w:val="59F00D9B"/>
    <w:rsid w:val="5A10384E"/>
    <w:rsid w:val="5A1112D0"/>
    <w:rsid w:val="5A114B53"/>
    <w:rsid w:val="5A137381"/>
    <w:rsid w:val="5A1D1FAE"/>
    <w:rsid w:val="5A2A7C7B"/>
    <w:rsid w:val="5A662BFA"/>
    <w:rsid w:val="5A6E03BD"/>
    <w:rsid w:val="5A812888"/>
    <w:rsid w:val="5A8471A0"/>
    <w:rsid w:val="5A874791"/>
    <w:rsid w:val="5A8A0F99"/>
    <w:rsid w:val="5A964DAC"/>
    <w:rsid w:val="5AAD0254"/>
    <w:rsid w:val="5AAE2F93"/>
    <w:rsid w:val="5AB13AEE"/>
    <w:rsid w:val="5AB807E4"/>
    <w:rsid w:val="5AD96B66"/>
    <w:rsid w:val="5ADD771F"/>
    <w:rsid w:val="5ADF2C22"/>
    <w:rsid w:val="5B2B50AB"/>
    <w:rsid w:val="5B2D4026"/>
    <w:rsid w:val="5B4350E5"/>
    <w:rsid w:val="5B4F1FDC"/>
    <w:rsid w:val="5B5773E8"/>
    <w:rsid w:val="5B6B41D3"/>
    <w:rsid w:val="5B88393B"/>
    <w:rsid w:val="5B9D7B5D"/>
    <w:rsid w:val="5BA2558B"/>
    <w:rsid w:val="5BC03595"/>
    <w:rsid w:val="5BC24D1C"/>
    <w:rsid w:val="5BCC4E29"/>
    <w:rsid w:val="5BD23EEB"/>
    <w:rsid w:val="5BE659D3"/>
    <w:rsid w:val="5BEA43D9"/>
    <w:rsid w:val="5BEE6662"/>
    <w:rsid w:val="5BF4056C"/>
    <w:rsid w:val="5C0B0191"/>
    <w:rsid w:val="5C0E1115"/>
    <w:rsid w:val="5C1A7126"/>
    <w:rsid w:val="5C384F94"/>
    <w:rsid w:val="5C474772"/>
    <w:rsid w:val="5C4C2786"/>
    <w:rsid w:val="5C68135C"/>
    <w:rsid w:val="5C684CA7"/>
    <w:rsid w:val="5C7B0963"/>
    <w:rsid w:val="5C7C71CB"/>
    <w:rsid w:val="5C9F2C03"/>
    <w:rsid w:val="5CAD579C"/>
    <w:rsid w:val="5CCF5950"/>
    <w:rsid w:val="5CE323F2"/>
    <w:rsid w:val="5CE46DB3"/>
    <w:rsid w:val="5CF63611"/>
    <w:rsid w:val="5CFF3F21"/>
    <w:rsid w:val="5D230371"/>
    <w:rsid w:val="5D335675"/>
    <w:rsid w:val="5D514C25"/>
    <w:rsid w:val="5D54142D"/>
    <w:rsid w:val="5D5C6839"/>
    <w:rsid w:val="5D8C2558"/>
    <w:rsid w:val="5D8C4E0A"/>
    <w:rsid w:val="5D982E1B"/>
    <w:rsid w:val="5D9C1821"/>
    <w:rsid w:val="5D9D2B26"/>
    <w:rsid w:val="5DA15CA9"/>
    <w:rsid w:val="5DA46C2D"/>
    <w:rsid w:val="5DB239C4"/>
    <w:rsid w:val="5DBE5856"/>
    <w:rsid w:val="5DE22BFB"/>
    <w:rsid w:val="5DE62F1A"/>
    <w:rsid w:val="5DE83E9E"/>
    <w:rsid w:val="5DEE3BA9"/>
    <w:rsid w:val="5DF866B7"/>
    <w:rsid w:val="5DFB2EBF"/>
    <w:rsid w:val="5DFC50BD"/>
    <w:rsid w:val="5E0324CA"/>
    <w:rsid w:val="5E130566"/>
    <w:rsid w:val="5E142764"/>
    <w:rsid w:val="5E1501E6"/>
    <w:rsid w:val="5E204FFD"/>
    <w:rsid w:val="5E2D304C"/>
    <w:rsid w:val="5E3D71AC"/>
    <w:rsid w:val="5E467ABB"/>
    <w:rsid w:val="5E47553D"/>
    <w:rsid w:val="5E4951BD"/>
    <w:rsid w:val="5E567D56"/>
    <w:rsid w:val="5E583259"/>
    <w:rsid w:val="5E7423B8"/>
    <w:rsid w:val="5E765647"/>
    <w:rsid w:val="5E972D3D"/>
    <w:rsid w:val="5E9A3CC2"/>
    <w:rsid w:val="5EBE09FF"/>
    <w:rsid w:val="5ED2769F"/>
    <w:rsid w:val="5ED44DA1"/>
    <w:rsid w:val="5ED715A9"/>
    <w:rsid w:val="5EDF69B5"/>
    <w:rsid w:val="5EE733A4"/>
    <w:rsid w:val="5EFE39E7"/>
    <w:rsid w:val="5F061262"/>
    <w:rsid w:val="5F332BBC"/>
    <w:rsid w:val="5F51216C"/>
    <w:rsid w:val="5F530EF2"/>
    <w:rsid w:val="5F561E77"/>
    <w:rsid w:val="5F7D1D36"/>
    <w:rsid w:val="5F7F6760"/>
    <w:rsid w:val="5F813FC0"/>
    <w:rsid w:val="5F8A104C"/>
    <w:rsid w:val="5F9573DD"/>
    <w:rsid w:val="5F9B4B6A"/>
    <w:rsid w:val="5F9C25EB"/>
    <w:rsid w:val="5F9F3570"/>
    <w:rsid w:val="5FA16A73"/>
    <w:rsid w:val="5FA34174"/>
    <w:rsid w:val="5FAC3308"/>
    <w:rsid w:val="5FAE5D89"/>
    <w:rsid w:val="5FCF0764"/>
    <w:rsid w:val="5FE65EE3"/>
    <w:rsid w:val="5FE926EA"/>
    <w:rsid w:val="5FF067F2"/>
    <w:rsid w:val="5FF25578"/>
    <w:rsid w:val="5FFA4B83"/>
    <w:rsid w:val="5FFF488E"/>
    <w:rsid w:val="60212844"/>
    <w:rsid w:val="605303BB"/>
    <w:rsid w:val="6055781B"/>
    <w:rsid w:val="605F012B"/>
    <w:rsid w:val="605F2329"/>
    <w:rsid w:val="60635502"/>
    <w:rsid w:val="606A3F3D"/>
    <w:rsid w:val="606D7822"/>
    <w:rsid w:val="609D79A4"/>
    <w:rsid w:val="609E35EE"/>
    <w:rsid w:val="60BB2A43"/>
    <w:rsid w:val="60C00F9A"/>
    <w:rsid w:val="60C06560"/>
    <w:rsid w:val="60D84571"/>
    <w:rsid w:val="60E01674"/>
    <w:rsid w:val="60E34B01"/>
    <w:rsid w:val="610750C1"/>
    <w:rsid w:val="61107F4E"/>
    <w:rsid w:val="611F6EE4"/>
    <w:rsid w:val="61447B7B"/>
    <w:rsid w:val="61495B2A"/>
    <w:rsid w:val="615076B3"/>
    <w:rsid w:val="615A17F1"/>
    <w:rsid w:val="61616598"/>
    <w:rsid w:val="6170417C"/>
    <w:rsid w:val="61740303"/>
    <w:rsid w:val="61967E27"/>
    <w:rsid w:val="6198112C"/>
    <w:rsid w:val="619C03A7"/>
    <w:rsid w:val="61C52EF5"/>
    <w:rsid w:val="61D35A8E"/>
    <w:rsid w:val="61D43510"/>
    <w:rsid w:val="61F86BC7"/>
    <w:rsid w:val="62055EDD"/>
    <w:rsid w:val="62086E62"/>
    <w:rsid w:val="621041A6"/>
    <w:rsid w:val="621243C2"/>
    <w:rsid w:val="62173BF9"/>
    <w:rsid w:val="62390CB6"/>
    <w:rsid w:val="6239194F"/>
    <w:rsid w:val="623B63B7"/>
    <w:rsid w:val="624D7956"/>
    <w:rsid w:val="6277079A"/>
    <w:rsid w:val="62771F43"/>
    <w:rsid w:val="629E17B2"/>
    <w:rsid w:val="62AB5771"/>
    <w:rsid w:val="62AE2E73"/>
    <w:rsid w:val="62B87005"/>
    <w:rsid w:val="62CD55D2"/>
    <w:rsid w:val="62D1432C"/>
    <w:rsid w:val="62D27BAF"/>
    <w:rsid w:val="62E123C8"/>
    <w:rsid w:val="62F435E7"/>
    <w:rsid w:val="63095B0B"/>
    <w:rsid w:val="63184AA0"/>
    <w:rsid w:val="631B5A25"/>
    <w:rsid w:val="63270442"/>
    <w:rsid w:val="63302147"/>
    <w:rsid w:val="633C17DD"/>
    <w:rsid w:val="63417E63"/>
    <w:rsid w:val="634A2CF1"/>
    <w:rsid w:val="635D48C8"/>
    <w:rsid w:val="63716434"/>
    <w:rsid w:val="6372336A"/>
    <w:rsid w:val="63723EB5"/>
    <w:rsid w:val="637B6D43"/>
    <w:rsid w:val="637D216D"/>
    <w:rsid w:val="637E354B"/>
    <w:rsid w:val="638763D9"/>
    <w:rsid w:val="638A155C"/>
    <w:rsid w:val="63926968"/>
    <w:rsid w:val="63940F69"/>
    <w:rsid w:val="639D057D"/>
    <w:rsid w:val="63C4043C"/>
    <w:rsid w:val="63C55EBE"/>
    <w:rsid w:val="63D20880"/>
    <w:rsid w:val="63EC3C2E"/>
    <w:rsid w:val="63ED5D7D"/>
    <w:rsid w:val="64005338"/>
    <w:rsid w:val="64107237"/>
    <w:rsid w:val="641F151F"/>
    <w:rsid w:val="64361D90"/>
    <w:rsid w:val="6444200F"/>
    <w:rsid w:val="64515AA2"/>
    <w:rsid w:val="645C18B4"/>
    <w:rsid w:val="645F2839"/>
    <w:rsid w:val="646856C7"/>
    <w:rsid w:val="647549DD"/>
    <w:rsid w:val="64875F7C"/>
    <w:rsid w:val="64B054EB"/>
    <w:rsid w:val="64C5395D"/>
    <w:rsid w:val="64D03DF2"/>
    <w:rsid w:val="64DD4813"/>
    <w:rsid w:val="64F94FB6"/>
    <w:rsid w:val="64FB04B9"/>
    <w:rsid w:val="65156AE4"/>
    <w:rsid w:val="65305110"/>
    <w:rsid w:val="653A5A1F"/>
    <w:rsid w:val="653D2227"/>
    <w:rsid w:val="654672B3"/>
    <w:rsid w:val="65575928"/>
    <w:rsid w:val="65973BBB"/>
    <w:rsid w:val="65A31BCC"/>
    <w:rsid w:val="65A823AD"/>
    <w:rsid w:val="65B31E66"/>
    <w:rsid w:val="65C53405"/>
    <w:rsid w:val="65DA26AA"/>
    <w:rsid w:val="65E25469"/>
    <w:rsid w:val="65FB005C"/>
    <w:rsid w:val="66127C81"/>
    <w:rsid w:val="663A5F3D"/>
    <w:rsid w:val="66502FE9"/>
    <w:rsid w:val="665761F7"/>
    <w:rsid w:val="66636402"/>
    <w:rsid w:val="666B1614"/>
    <w:rsid w:val="667444A2"/>
    <w:rsid w:val="668A00AF"/>
    <w:rsid w:val="66AB5C81"/>
    <w:rsid w:val="66BA2A18"/>
    <w:rsid w:val="66BF6EA0"/>
    <w:rsid w:val="66DA32B8"/>
    <w:rsid w:val="67057615"/>
    <w:rsid w:val="67192A32"/>
    <w:rsid w:val="673D196D"/>
    <w:rsid w:val="67631BAC"/>
    <w:rsid w:val="67725146"/>
    <w:rsid w:val="677A5055"/>
    <w:rsid w:val="678C2D71"/>
    <w:rsid w:val="679226FC"/>
    <w:rsid w:val="67945BFF"/>
    <w:rsid w:val="67992086"/>
    <w:rsid w:val="67B22727"/>
    <w:rsid w:val="67B870B8"/>
    <w:rsid w:val="67BB4BB4"/>
    <w:rsid w:val="67C06540"/>
    <w:rsid w:val="67C21830"/>
    <w:rsid w:val="67CC15DC"/>
    <w:rsid w:val="67CD705D"/>
    <w:rsid w:val="67D01C6D"/>
    <w:rsid w:val="67D81B6B"/>
    <w:rsid w:val="67DA08F2"/>
    <w:rsid w:val="67ED1B11"/>
    <w:rsid w:val="67EE3F36"/>
    <w:rsid w:val="680074AC"/>
    <w:rsid w:val="68030431"/>
    <w:rsid w:val="680C0D40"/>
    <w:rsid w:val="680C6B42"/>
    <w:rsid w:val="680E2045"/>
    <w:rsid w:val="680F7AC7"/>
    <w:rsid w:val="68112FCA"/>
    <w:rsid w:val="68172955"/>
    <w:rsid w:val="684D6057"/>
    <w:rsid w:val="68511835"/>
    <w:rsid w:val="68565CBD"/>
    <w:rsid w:val="686A495D"/>
    <w:rsid w:val="687419EA"/>
    <w:rsid w:val="687A5807"/>
    <w:rsid w:val="68947D20"/>
    <w:rsid w:val="689A2A1B"/>
    <w:rsid w:val="68A96554"/>
    <w:rsid w:val="68B20FD9"/>
    <w:rsid w:val="68B757CA"/>
    <w:rsid w:val="68C504EF"/>
    <w:rsid w:val="68C55F71"/>
    <w:rsid w:val="68D102D9"/>
    <w:rsid w:val="68E20CD1"/>
    <w:rsid w:val="68E61D28"/>
    <w:rsid w:val="68FB09C9"/>
    <w:rsid w:val="690E1BC0"/>
    <w:rsid w:val="69196036"/>
    <w:rsid w:val="693117BF"/>
    <w:rsid w:val="693F5C3A"/>
    <w:rsid w:val="69526E59"/>
    <w:rsid w:val="695967E4"/>
    <w:rsid w:val="69680FFD"/>
    <w:rsid w:val="697C221C"/>
    <w:rsid w:val="69821BA7"/>
    <w:rsid w:val="698B02B8"/>
    <w:rsid w:val="698E23DB"/>
    <w:rsid w:val="698F6B12"/>
    <w:rsid w:val="69955344"/>
    <w:rsid w:val="69995197"/>
    <w:rsid w:val="69B242E4"/>
    <w:rsid w:val="69DB5AB9"/>
    <w:rsid w:val="69E32EC5"/>
    <w:rsid w:val="69E42BBC"/>
    <w:rsid w:val="69EE4AD9"/>
    <w:rsid w:val="69FB3DEF"/>
    <w:rsid w:val="6A033738"/>
    <w:rsid w:val="6A042842"/>
    <w:rsid w:val="6A2471B2"/>
    <w:rsid w:val="6A2626B5"/>
    <w:rsid w:val="6A4B784D"/>
    <w:rsid w:val="6A5B510D"/>
    <w:rsid w:val="6A624A98"/>
    <w:rsid w:val="6A706DE0"/>
    <w:rsid w:val="6A7327B4"/>
    <w:rsid w:val="6A767384"/>
    <w:rsid w:val="6A811876"/>
    <w:rsid w:val="6A82754B"/>
    <w:rsid w:val="6AA11FFE"/>
    <w:rsid w:val="6AA521F8"/>
    <w:rsid w:val="6AAC038F"/>
    <w:rsid w:val="6AB6190B"/>
    <w:rsid w:val="6ABC642B"/>
    <w:rsid w:val="6AC65D4A"/>
    <w:rsid w:val="6ADE3034"/>
    <w:rsid w:val="6AE01DFC"/>
    <w:rsid w:val="6B0D1266"/>
    <w:rsid w:val="6B1348BC"/>
    <w:rsid w:val="6B28575B"/>
    <w:rsid w:val="6B32518D"/>
    <w:rsid w:val="6B4C2497"/>
    <w:rsid w:val="6B5F67C9"/>
    <w:rsid w:val="6B7610DD"/>
    <w:rsid w:val="6B853451"/>
    <w:rsid w:val="6BA62D3F"/>
    <w:rsid w:val="6BBF2EC5"/>
    <w:rsid w:val="6BCF71ED"/>
    <w:rsid w:val="6BD15F74"/>
    <w:rsid w:val="6BE62696"/>
    <w:rsid w:val="6BE82315"/>
    <w:rsid w:val="6BF264A8"/>
    <w:rsid w:val="6C25217A"/>
    <w:rsid w:val="6C257701"/>
    <w:rsid w:val="6C267BFC"/>
    <w:rsid w:val="6C303D8F"/>
    <w:rsid w:val="6C3867D3"/>
    <w:rsid w:val="6C3C5623"/>
    <w:rsid w:val="6C547446"/>
    <w:rsid w:val="6C6241DE"/>
    <w:rsid w:val="6C7F0AF8"/>
    <w:rsid w:val="6C865C24"/>
    <w:rsid w:val="6C98183A"/>
    <w:rsid w:val="6CA03049"/>
    <w:rsid w:val="6CB51A69"/>
    <w:rsid w:val="6CC354FC"/>
    <w:rsid w:val="6CD92F23"/>
    <w:rsid w:val="6CEC4142"/>
    <w:rsid w:val="6CF64A51"/>
    <w:rsid w:val="6CFA59CE"/>
    <w:rsid w:val="6D1F3157"/>
    <w:rsid w:val="6D3348B6"/>
    <w:rsid w:val="6D3E4E45"/>
    <w:rsid w:val="6D486939"/>
    <w:rsid w:val="6D71439B"/>
    <w:rsid w:val="6D752C72"/>
    <w:rsid w:val="6D956FF9"/>
    <w:rsid w:val="6DA70FF2"/>
    <w:rsid w:val="6DBA5A94"/>
    <w:rsid w:val="6DC77328"/>
    <w:rsid w:val="6DD156B9"/>
    <w:rsid w:val="6DD775C2"/>
    <w:rsid w:val="6DEA65E3"/>
    <w:rsid w:val="6DEC1AE6"/>
    <w:rsid w:val="6E2B6815"/>
    <w:rsid w:val="6E403F22"/>
    <w:rsid w:val="6E4843FE"/>
    <w:rsid w:val="6E4D5003"/>
    <w:rsid w:val="6E6E2FB9"/>
    <w:rsid w:val="6E78714C"/>
    <w:rsid w:val="6E79134A"/>
    <w:rsid w:val="6EA87C9B"/>
    <w:rsid w:val="6EAD6321"/>
    <w:rsid w:val="6EB2602C"/>
    <w:rsid w:val="6EBC693B"/>
    <w:rsid w:val="6EBE403D"/>
    <w:rsid w:val="6EBF1ABE"/>
    <w:rsid w:val="6EC07540"/>
    <w:rsid w:val="6EC14FC1"/>
    <w:rsid w:val="6EDD6E01"/>
    <w:rsid w:val="6EF36A95"/>
    <w:rsid w:val="6F001AB3"/>
    <w:rsid w:val="6F247264"/>
    <w:rsid w:val="6F4A1255"/>
    <w:rsid w:val="6F686A54"/>
    <w:rsid w:val="6F703E60"/>
    <w:rsid w:val="6F722BE7"/>
    <w:rsid w:val="6FA333B6"/>
    <w:rsid w:val="6FB3347C"/>
    <w:rsid w:val="6FC45454"/>
    <w:rsid w:val="6FCB022E"/>
    <w:rsid w:val="6FCE1C7C"/>
    <w:rsid w:val="6FD453DE"/>
    <w:rsid w:val="6FDE7D18"/>
    <w:rsid w:val="6FE55124"/>
    <w:rsid w:val="6FE902A7"/>
    <w:rsid w:val="6FEB37AA"/>
    <w:rsid w:val="6FF23135"/>
    <w:rsid w:val="700A0DBF"/>
    <w:rsid w:val="70105F68"/>
    <w:rsid w:val="70221706"/>
    <w:rsid w:val="703C2DB9"/>
    <w:rsid w:val="703C5B33"/>
    <w:rsid w:val="706B2DFF"/>
    <w:rsid w:val="707B1974"/>
    <w:rsid w:val="7089584F"/>
    <w:rsid w:val="709D6E51"/>
    <w:rsid w:val="70AA28E3"/>
    <w:rsid w:val="70AC5DE7"/>
    <w:rsid w:val="70AD6993"/>
    <w:rsid w:val="70B566F6"/>
    <w:rsid w:val="70EB4776"/>
    <w:rsid w:val="710D040A"/>
    <w:rsid w:val="71267CAF"/>
    <w:rsid w:val="713737CC"/>
    <w:rsid w:val="71606B8F"/>
    <w:rsid w:val="71673F9B"/>
    <w:rsid w:val="71836742"/>
    <w:rsid w:val="719B649C"/>
    <w:rsid w:val="719F40F5"/>
    <w:rsid w:val="71A3637F"/>
    <w:rsid w:val="71AD6C8E"/>
    <w:rsid w:val="71B926C7"/>
    <w:rsid w:val="71D2144C"/>
    <w:rsid w:val="71EE54F9"/>
    <w:rsid w:val="71EF2F7B"/>
    <w:rsid w:val="71F0336E"/>
    <w:rsid w:val="71FB0F8C"/>
    <w:rsid w:val="72193DBF"/>
    <w:rsid w:val="721A1840"/>
    <w:rsid w:val="722F17E6"/>
    <w:rsid w:val="72353555"/>
    <w:rsid w:val="72430486"/>
    <w:rsid w:val="72445F08"/>
    <w:rsid w:val="72496B0C"/>
    <w:rsid w:val="725F6956"/>
    <w:rsid w:val="72683B3E"/>
    <w:rsid w:val="726D5A47"/>
    <w:rsid w:val="727069CC"/>
    <w:rsid w:val="727F2737"/>
    <w:rsid w:val="728775FD"/>
    <w:rsid w:val="72986A37"/>
    <w:rsid w:val="72993414"/>
    <w:rsid w:val="72A10820"/>
    <w:rsid w:val="72A204A0"/>
    <w:rsid w:val="72A823A9"/>
    <w:rsid w:val="72B25D4D"/>
    <w:rsid w:val="72B41A3F"/>
    <w:rsid w:val="72D65B0F"/>
    <w:rsid w:val="72FA4732"/>
    <w:rsid w:val="73142D5D"/>
    <w:rsid w:val="73170527"/>
    <w:rsid w:val="731A13E3"/>
    <w:rsid w:val="733A771A"/>
    <w:rsid w:val="73445AAB"/>
    <w:rsid w:val="735073B5"/>
    <w:rsid w:val="735F6D3B"/>
    <w:rsid w:val="7364055E"/>
    <w:rsid w:val="736C3CDC"/>
    <w:rsid w:val="73711DF2"/>
    <w:rsid w:val="73792A82"/>
    <w:rsid w:val="737A2701"/>
    <w:rsid w:val="73877819"/>
    <w:rsid w:val="739A18D9"/>
    <w:rsid w:val="73A14B3F"/>
    <w:rsid w:val="73A43546"/>
    <w:rsid w:val="73D44095"/>
    <w:rsid w:val="73D9051D"/>
    <w:rsid w:val="73DA4A3B"/>
    <w:rsid w:val="73DB3A20"/>
    <w:rsid w:val="73E346AF"/>
    <w:rsid w:val="73F10E56"/>
    <w:rsid w:val="74055B35"/>
    <w:rsid w:val="740857E9"/>
    <w:rsid w:val="740B676D"/>
    <w:rsid w:val="74165E03"/>
    <w:rsid w:val="741A4809"/>
    <w:rsid w:val="742B4AA4"/>
    <w:rsid w:val="743E2433"/>
    <w:rsid w:val="744464F2"/>
    <w:rsid w:val="74770E92"/>
    <w:rsid w:val="74881742"/>
    <w:rsid w:val="74A569D0"/>
    <w:rsid w:val="74C35F1C"/>
    <w:rsid w:val="74D12CB3"/>
    <w:rsid w:val="74D92A96"/>
    <w:rsid w:val="74EF5AE6"/>
    <w:rsid w:val="74EF7C80"/>
    <w:rsid w:val="75070F8F"/>
    <w:rsid w:val="75173427"/>
    <w:rsid w:val="752062B5"/>
    <w:rsid w:val="75244CBB"/>
    <w:rsid w:val="75327854"/>
    <w:rsid w:val="753D2178"/>
    <w:rsid w:val="7540406C"/>
    <w:rsid w:val="754819F8"/>
    <w:rsid w:val="755629DA"/>
    <w:rsid w:val="75581C92"/>
    <w:rsid w:val="75704B97"/>
    <w:rsid w:val="75822AD7"/>
    <w:rsid w:val="759407F3"/>
    <w:rsid w:val="75971777"/>
    <w:rsid w:val="759D6F04"/>
    <w:rsid w:val="75AA330D"/>
    <w:rsid w:val="75CC7A53"/>
    <w:rsid w:val="75D00657"/>
    <w:rsid w:val="75DB226C"/>
    <w:rsid w:val="75F3408F"/>
    <w:rsid w:val="760767E8"/>
    <w:rsid w:val="760A3CB4"/>
    <w:rsid w:val="76185EC6"/>
    <w:rsid w:val="761B77D2"/>
    <w:rsid w:val="76230931"/>
    <w:rsid w:val="762635E5"/>
    <w:rsid w:val="76392605"/>
    <w:rsid w:val="763A0087"/>
    <w:rsid w:val="76573DB4"/>
    <w:rsid w:val="765A05BC"/>
    <w:rsid w:val="766A7ED1"/>
    <w:rsid w:val="768A48E9"/>
    <w:rsid w:val="76905212"/>
    <w:rsid w:val="76A74E38"/>
    <w:rsid w:val="76AC12BF"/>
    <w:rsid w:val="76C05A8B"/>
    <w:rsid w:val="76D226C1"/>
    <w:rsid w:val="76D735AF"/>
    <w:rsid w:val="76D90E8A"/>
    <w:rsid w:val="76DD0EBD"/>
    <w:rsid w:val="76ED7B2A"/>
    <w:rsid w:val="76F913BE"/>
    <w:rsid w:val="770B295E"/>
    <w:rsid w:val="770D5E61"/>
    <w:rsid w:val="77150CEF"/>
    <w:rsid w:val="773172B6"/>
    <w:rsid w:val="7734249D"/>
    <w:rsid w:val="773E6630"/>
    <w:rsid w:val="77492DC4"/>
    <w:rsid w:val="774B302F"/>
    <w:rsid w:val="77582A5D"/>
    <w:rsid w:val="77594C5B"/>
    <w:rsid w:val="775A26DD"/>
    <w:rsid w:val="775D6EE5"/>
    <w:rsid w:val="77687474"/>
    <w:rsid w:val="776B03F9"/>
    <w:rsid w:val="77846DA4"/>
    <w:rsid w:val="779202B8"/>
    <w:rsid w:val="779632D9"/>
    <w:rsid w:val="779C444B"/>
    <w:rsid w:val="779D1ECC"/>
    <w:rsid w:val="77AC6C64"/>
    <w:rsid w:val="77EB7A4D"/>
    <w:rsid w:val="77F4008A"/>
    <w:rsid w:val="77FD63DA"/>
    <w:rsid w:val="780627F5"/>
    <w:rsid w:val="782843B9"/>
    <w:rsid w:val="782B1C3A"/>
    <w:rsid w:val="78387B4C"/>
    <w:rsid w:val="78601C0A"/>
    <w:rsid w:val="786A1E8B"/>
    <w:rsid w:val="786B381F"/>
    <w:rsid w:val="787466AD"/>
    <w:rsid w:val="7874674C"/>
    <w:rsid w:val="788F268B"/>
    <w:rsid w:val="78A639F9"/>
    <w:rsid w:val="78B10710"/>
    <w:rsid w:val="78B23F93"/>
    <w:rsid w:val="78B611AB"/>
    <w:rsid w:val="78B8009B"/>
    <w:rsid w:val="78BD7DA6"/>
    <w:rsid w:val="78EE0575"/>
    <w:rsid w:val="79025017"/>
    <w:rsid w:val="790A4622"/>
    <w:rsid w:val="790C35B5"/>
    <w:rsid w:val="79113FAC"/>
    <w:rsid w:val="796075AF"/>
    <w:rsid w:val="796A216A"/>
    <w:rsid w:val="797352EE"/>
    <w:rsid w:val="797B145D"/>
    <w:rsid w:val="79944586"/>
    <w:rsid w:val="79982F8C"/>
    <w:rsid w:val="799A068D"/>
    <w:rsid w:val="79AA6729"/>
    <w:rsid w:val="79C85CD9"/>
    <w:rsid w:val="79CA2CA8"/>
    <w:rsid w:val="79CF0EE8"/>
    <w:rsid w:val="79D60872"/>
    <w:rsid w:val="79D62A71"/>
    <w:rsid w:val="79F842AA"/>
    <w:rsid w:val="79FA3F2A"/>
    <w:rsid w:val="7A392B15"/>
    <w:rsid w:val="7A4161F9"/>
    <w:rsid w:val="7A462B48"/>
    <w:rsid w:val="7A514939"/>
    <w:rsid w:val="7A5D08FD"/>
    <w:rsid w:val="7A66105B"/>
    <w:rsid w:val="7A9479AC"/>
    <w:rsid w:val="7AB20098"/>
    <w:rsid w:val="7AB23BF5"/>
    <w:rsid w:val="7ABD52ED"/>
    <w:rsid w:val="7ABF07F0"/>
    <w:rsid w:val="7AC35E02"/>
    <w:rsid w:val="7ACB52DC"/>
    <w:rsid w:val="7AE83BB3"/>
    <w:rsid w:val="7AF5572F"/>
    <w:rsid w:val="7B1014F4"/>
    <w:rsid w:val="7B29461C"/>
    <w:rsid w:val="7B2F068D"/>
    <w:rsid w:val="7B5D3CC6"/>
    <w:rsid w:val="7B723B17"/>
    <w:rsid w:val="7B7956A0"/>
    <w:rsid w:val="7B7B69A5"/>
    <w:rsid w:val="7B7C1EA8"/>
    <w:rsid w:val="7B866F34"/>
    <w:rsid w:val="7B8E7BC4"/>
    <w:rsid w:val="7B93624A"/>
    <w:rsid w:val="7B962A52"/>
    <w:rsid w:val="7B9E42E7"/>
    <w:rsid w:val="7BD173B3"/>
    <w:rsid w:val="7BDB7CC3"/>
    <w:rsid w:val="7BDC3C2F"/>
    <w:rsid w:val="7BF75F6E"/>
    <w:rsid w:val="7BFD0ED4"/>
    <w:rsid w:val="7C153320"/>
    <w:rsid w:val="7C245B39"/>
    <w:rsid w:val="7C3C7F29"/>
    <w:rsid w:val="7C544109"/>
    <w:rsid w:val="7C76306E"/>
    <w:rsid w:val="7C964B73"/>
    <w:rsid w:val="7C9D1F7F"/>
    <w:rsid w:val="7CA3770C"/>
    <w:rsid w:val="7CA83B93"/>
    <w:rsid w:val="7CAA7097"/>
    <w:rsid w:val="7CBF7F35"/>
    <w:rsid w:val="7CC31A31"/>
    <w:rsid w:val="7CD50193"/>
    <w:rsid w:val="7CD868E1"/>
    <w:rsid w:val="7CEE1002"/>
    <w:rsid w:val="7CF26182"/>
    <w:rsid w:val="7CF96E16"/>
    <w:rsid w:val="7D063F2D"/>
    <w:rsid w:val="7D264462"/>
    <w:rsid w:val="7D2C636B"/>
    <w:rsid w:val="7D31612A"/>
    <w:rsid w:val="7D322473"/>
    <w:rsid w:val="7D466F15"/>
    <w:rsid w:val="7D5A1439"/>
    <w:rsid w:val="7D5E7E3F"/>
    <w:rsid w:val="7D7776E4"/>
    <w:rsid w:val="7D78293A"/>
    <w:rsid w:val="7D7A3EEC"/>
    <w:rsid w:val="7D7B60EA"/>
    <w:rsid w:val="7D8469FA"/>
    <w:rsid w:val="7D8B6384"/>
    <w:rsid w:val="7D8C697F"/>
    <w:rsid w:val="7D91758F"/>
    <w:rsid w:val="7D9B1903"/>
    <w:rsid w:val="7D9F2E27"/>
    <w:rsid w:val="7DA60233"/>
    <w:rsid w:val="7DD37DFE"/>
    <w:rsid w:val="7DD53301"/>
    <w:rsid w:val="7DE478AA"/>
    <w:rsid w:val="7DE84520"/>
    <w:rsid w:val="7DEC2F26"/>
    <w:rsid w:val="7DF0192C"/>
    <w:rsid w:val="7E034D49"/>
    <w:rsid w:val="7E1D3A7B"/>
    <w:rsid w:val="7E277888"/>
    <w:rsid w:val="7E285309"/>
    <w:rsid w:val="7E300197"/>
    <w:rsid w:val="7E374F5D"/>
    <w:rsid w:val="7E4F4E95"/>
    <w:rsid w:val="7E672870"/>
    <w:rsid w:val="7E733511"/>
    <w:rsid w:val="7E8E272F"/>
    <w:rsid w:val="7EA67DD6"/>
    <w:rsid w:val="7EA90D5A"/>
    <w:rsid w:val="7EAD12A3"/>
    <w:rsid w:val="7EB4296F"/>
    <w:rsid w:val="7EC37706"/>
    <w:rsid w:val="7F22771F"/>
    <w:rsid w:val="7F2464A6"/>
    <w:rsid w:val="7F307D3A"/>
    <w:rsid w:val="7F346740"/>
    <w:rsid w:val="7F590EFE"/>
    <w:rsid w:val="7F6A2DA5"/>
    <w:rsid w:val="7F7B6EB5"/>
    <w:rsid w:val="7F7F7AB9"/>
    <w:rsid w:val="7F9C15E8"/>
    <w:rsid w:val="7FBA441B"/>
    <w:rsid w:val="7FBC31A1"/>
    <w:rsid w:val="7FD01E42"/>
    <w:rsid w:val="7FDD7E53"/>
    <w:rsid w:val="7FE50DE2"/>
    <w:rsid w:val="7FEA716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1B21C81"/>
  <w15:docId w15:val="{7039CA89-44F3-4DDC-91B0-982112E78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qFormat="1"/>
    <w:lsdException w:name="annotation text" w:qFormat="1"/>
    <w:lsdException w:name="header" w:uiPriority="0" w:qFormat="1"/>
    <w:lsdException w:name="footer" w:qFormat="1"/>
    <w:lsdException w:name="index heading" w:semiHidden="1" w:unhideWhenUsed="1"/>
    <w:lsdException w:name="caption" w:uiPriority="0" w:qFormat="1"/>
    <w:lsdException w:name="table of figures" w:qFormat="1"/>
    <w:lsdException w:name="envelope address" w:semiHidden="1" w:unhideWhenUsed="1"/>
    <w:lsdException w:name="envelope return" w:semiHidden="1" w:unhideWhenUsed="1"/>
    <w:lsdException w:name="footnote reference" w:semiHidden="1" w:unhideWhenUsed="1" w:qFormat="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uiPriority="0" w:qFormat="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qFormat="1"/>
    <w:lsdException w:name="Body Text Indent 3" w:qFormat="1"/>
    <w:lsdException w:name="Block Text" w:semiHidden="1" w:unhideWhenUsed="1"/>
    <w:lsdException w:name="Hyperlink" w:qFormat="1"/>
    <w:lsdException w:name="FollowedHyperlink" w:semiHidden="1" w:unhideWhenUsed="1" w:qFormat="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lang w:val="ro-RO" w:eastAsia="ar-SA"/>
    </w:rPr>
  </w:style>
  <w:style w:type="paragraph" w:styleId="Heading1">
    <w:name w:val="heading 1"/>
    <w:basedOn w:val="Normal"/>
    <w:next w:val="Normal"/>
    <w:qFormat/>
    <w:pPr>
      <w:keepNext/>
      <w:tabs>
        <w:tab w:val="left" w:pos="432"/>
      </w:tabs>
      <w:ind w:left="432" w:hanging="432"/>
      <w:jc w:val="both"/>
      <w:outlineLvl w:val="0"/>
    </w:pPr>
    <w:rPr>
      <w:b/>
      <w:sz w:val="40"/>
    </w:rPr>
  </w:style>
  <w:style w:type="paragraph" w:styleId="Heading2">
    <w:name w:val="heading 2"/>
    <w:basedOn w:val="Normal"/>
    <w:next w:val="Normal"/>
    <w:link w:val="Heading2Char"/>
    <w:qFormat/>
    <w:pPr>
      <w:keepNext/>
      <w:tabs>
        <w:tab w:val="left" w:pos="576"/>
      </w:tabs>
      <w:spacing w:before="240" w:after="60"/>
      <w:ind w:left="576" w:hanging="576"/>
      <w:outlineLvl w:val="1"/>
    </w:pPr>
    <w:rPr>
      <w:rFonts w:cs="Cambria"/>
      <w:b/>
      <w:bCs/>
      <w:i/>
      <w:iCs/>
      <w:sz w:val="36"/>
      <w:szCs w:val="28"/>
    </w:rPr>
  </w:style>
  <w:style w:type="paragraph" w:styleId="Heading3">
    <w:name w:val="heading 3"/>
    <w:basedOn w:val="Heading"/>
    <w:next w:val="BodyText"/>
    <w:link w:val="Heading3Char"/>
    <w:qFormat/>
    <w:pPr>
      <w:tabs>
        <w:tab w:val="left" w:pos="720"/>
      </w:tabs>
      <w:spacing w:after="60"/>
      <w:ind w:left="720" w:hanging="720"/>
      <w:outlineLvl w:val="2"/>
    </w:pPr>
    <w:rPr>
      <w:rFonts w:ascii="Times New Roman" w:hAnsi="Times New Roman" w:cs="Cambria"/>
      <w:b/>
      <w:bCs/>
      <w:sz w:val="32"/>
      <w:szCs w:val="26"/>
    </w:rPr>
  </w:style>
  <w:style w:type="paragraph" w:styleId="Heading4">
    <w:name w:val="heading 4"/>
    <w:basedOn w:val="Heading"/>
    <w:next w:val="BodyText"/>
    <w:link w:val="Heading4Char"/>
    <w:qFormat/>
    <w:pPr>
      <w:tabs>
        <w:tab w:val="left" w:pos="864"/>
      </w:tabs>
      <w:spacing w:after="60"/>
      <w:ind w:left="864" w:hanging="864"/>
      <w:outlineLvl w:val="3"/>
    </w:pPr>
    <w:rPr>
      <w:rFonts w:ascii="Times New Roman" w:eastAsia="Calibri" w:hAnsi="Times New Roman"/>
      <w:b/>
      <w:bCs/>
      <w:i/>
    </w:rPr>
  </w:style>
  <w:style w:type="paragraph" w:styleId="Heading5">
    <w:name w:val="heading 5"/>
    <w:basedOn w:val="Normal"/>
    <w:next w:val="Normal"/>
    <w:link w:val="Heading5Char"/>
    <w:uiPriority w:val="9"/>
    <w:qFormat/>
    <w:pPr>
      <w:spacing w:before="240" w:after="60"/>
      <w:outlineLvl w:val="4"/>
    </w:pPr>
    <w:rPr>
      <w:b/>
      <w:bCs/>
      <w:i/>
      <w:iCs/>
      <w:sz w:val="26"/>
      <w:szCs w:val="26"/>
      <w:lang w:val="en-US"/>
    </w:rPr>
  </w:style>
  <w:style w:type="paragraph" w:styleId="Heading6">
    <w:name w:val="heading 6"/>
    <w:basedOn w:val="Normal"/>
    <w:next w:val="Normal"/>
    <w:qFormat/>
    <w:pPr>
      <w:keepNext/>
      <w:keepLines/>
      <w:spacing w:before="240" w:after="64" w:line="320" w:lineRule="auto"/>
      <w:outlineLvl w:val="5"/>
    </w:pPr>
    <w:rPr>
      <w:b/>
      <w:bCs/>
      <w:sz w:val="24"/>
      <w:szCs w:val="24"/>
    </w:rPr>
  </w:style>
  <w:style w:type="paragraph" w:styleId="Heading7">
    <w:name w:val="heading 7"/>
    <w:basedOn w:val="Normal"/>
    <w:next w:val="Normal"/>
    <w:qFormat/>
    <w:pPr>
      <w:keepNext/>
      <w:keepLines/>
      <w:spacing w:before="240" w:after="64" w:line="320" w:lineRule="auto"/>
      <w:outlineLvl w:val="6"/>
    </w:pPr>
    <w:rPr>
      <w:b/>
      <w:bCs/>
      <w:sz w:val="24"/>
      <w:szCs w:val="24"/>
    </w:rPr>
  </w:style>
  <w:style w:type="paragraph" w:styleId="Heading8">
    <w:name w:val="heading 8"/>
    <w:basedOn w:val="Normal"/>
    <w:next w:val="Normal"/>
    <w:qFormat/>
    <w:pPr>
      <w:keepNext/>
      <w:keepLines/>
      <w:spacing w:before="240" w:after="64" w:line="320" w:lineRule="auto"/>
      <w:outlineLvl w:val="7"/>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qFormat/>
    <w:pPr>
      <w:keepNext/>
      <w:spacing w:before="240" w:after="120"/>
    </w:pPr>
    <w:rPr>
      <w:rFonts w:ascii="Arial" w:eastAsia="Microsoft YaHei" w:hAnsi="Arial" w:cs="Mangal"/>
      <w:sz w:val="28"/>
      <w:szCs w:val="28"/>
    </w:rPr>
  </w:style>
  <w:style w:type="paragraph" w:styleId="BodyText">
    <w:name w:val="Body Text"/>
    <w:basedOn w:val="Normal"/>
    <w:link w:val="BodyTextChar1"/>
    <w:qFormat/>
    <w:pPr>
      <w:jc w:val="both"/>
    </w:pPr>
    <w:rPr>
      <w:b/>
      <w:bCs/>
      <w:i/>
      <w:sz w:val="24"/>
      <w:szCs w:val="24"/>
    </w:rPr>
  </w:style>
  <w:style w:type="paragraph" w:styleId="BalloonText">
    <w:name w:val="Balloon Text"/>
    <w:basedOn w:val="Normal"/>
    <w:link w:val="BalloonTextChar"/>
    <w:uiPriority w:val="99"/>
    <w:semiHidden/>
    <w:unhideWhenUsed/>
    <w:qFormat/>
    <w:rPr>
      <w:rFonts w:ascii="Segoe UI" w:hAnsi="Segoe UI" w:cs="Segoe UI"/>
      <w:sz w:val="18"/>
      <w:szCs w:val="18"/>
    </w:rPr>
  </w:style>
  <w:style w:type="paragraph" w:styleId="BodyTextIndent2">
    <w:name w:val="Body Text Indent 2"/>
    <w:basedOn w:val="Normal"/>
    <w:uiPriority w:val="99"/>
    <w:qFormat/>
    <w:pPr>
      <w:spacing w:after="120" w:line="480" w:lineRule="auto"/>
      <w:ind w:left="360"/>
    </w:pPr>
  </w:style>
  <w:style w:type="paragraph" w:styleId="BodyTextIndent3">
    <w:name w:val="Body Text Indent 3"/>
    <w:basedOn w:val="Normal"/>
    <w:uiPriority w:val="99"/>
    <w:qFormat/>
    <w:pPr>
      <w:spacing w:after="120"/>
      <w:ind w:left="360"/>
    </w:pPr>
    <w:rPr>
      <w:sz w:val="16"/>
      <w:szCs w:val="16"/>
    </w:rPr>
  </w:style>
  <w:style w:type="paragraph" w:styleId="Caption">
    <w:name w:val="caption"/>
    <w:basedOn w:val="Normal"/>
    <w:next w:val="BodyText"/>
    <w:link w:val="CaptionChar"/>
    <w:qFormat/>
    <w:pPr>
      <w:suppressLineNumbers/>
      <w:spacing w:before="120" w:after="120"/>
    </w:pPr>
    <w:rPr>
      <w:rFonts w:cs="Mangal"/>
      <w:b/>
      <w:i/>
      <w:iCs/>
      <w:sz w:val="24"/>
      <w:szCs w:val="24"/>
    </w:rPr>
  </w:style>
  <w:style w:type="character" w:styleId="CommentReference">
    <w:name w:val="annotation reference"/>
    <w:uiPriority w:val="99"/>
    <w:qFormat/>
    <w:rPr>
      <w:sz w:val="16"/>
      <w:szCs w:val="16"/>
    </w:rPr>
  </w:style>
  <w:style w:type="paragraph" w:styleId="CommentText">
    <w:name w:val="annotation text"/>
    <w:basedOn w:val="Normal"/>
    <w:link w:val="CommentTextChar"/>
    <w:uiPriority w:val="99"/>
    <w:qFormat/>
  </w:style>
  <w:style w:type="paragraph" w:styleId="CommentSubject">
    <w:name w:val="annotation subject"/>
    <w:basedOn w:val="CommentText"/>
    <w:next w:val="CommentText"/>
    <w:link w:val="CommentSubjectChar"/>
    <w:qFormat/>
    <w:rPr>
      <w:b/>
      <w:bCs/>
    </w:rPr>
  </w:style>
  <w:style w:type="character" w:styleId="Emphasis">
    <w:name w:val="Emphasis"/>
    <w:uiPriority w:val="20"/>
    <w:qFormat/>
    <w:rPr>
      <w:i/>
      <w:iCs/>
    </w:rPr>
  </w:style>
  <w:style w:type="character" w:styleId="FollowedHyperlink">
    <w:name w:val="FollowedHyperlink"/>
    <w:basedOn w:val="DefaultParagraphFont"/>
    <w:uiPriority w:val="99"/>
    <w:semiHidden/>
    <w:unhideWhenUsed/>
    <w:qFormat/>
    <w:rPr>
      <w:color w:val="800080"/>
      <w:u w:val="single"/>
    </w:rPr>
  </w:style>
  <w:style w:type="paragraph" w:styleId="Footer">
    <w:name w:val="footer"/>
    <w:basedOn w:val="Normal"/>
    <w:link w:val="FooterChar"/>
    <w:uiPriority w:val="99"/>
    <w:qFormat/>
    <w:pPr>
      <w:tabs>
        <w:tab w:val="center" w:pos="4153"/>
        <w:tab w:val="right" w:pos="8306"/>
      </w:tabs>
      <w:snapToGrid w:val="0"/>
    </w:pPr>
    <w:rPr>
      <w:sz w:val="18"/>
      <w:szCs w:val="18"/>
    </w:rPr>
  </w:style>
  <w:style w:type="character" w:styleId="FootnoteReference">
    <w:name w:val="footnote reference"/>
    <w:basedOn w:val="DefaultParagraphFont"/>
    <w:uiPriority w:val="99"/>
    <w:semiHidden/>
    <w:unhideWhenUsed/>
    <w:qFormat/>
    <w:rPr>
      <w:vertAlign w:val="superscript"/>
    </w:rPr>
  </w:style>
  <w:style w:type="paragraph" w:styleId="FootnoteText">
    <w:name w:val="footnote text"/>
    <w:basedOn w:val="Normal"/>
    <w:link w:val="FootnoteTextChar"/>
    <w:uiPriority w:val="99"/>
    <w:semiHidden/>
    <w:unhideWhenUsed/>
    <w:qFormat/>
  </w:style>
  <w:style w:type="paragraph" w:styleId="Header">
    <w:name w:val="header"/>
    <w:basedOn w:val="Normal"/>
    <w:qFormat/>
    <w:pPr>
      <w:tabs>
        <w:tab w:val="center" w:pos="4153"/>
        <w:tab w:val="right" w:pos="8306"/>
      </w:tabs>
      <w:snapToGrid w:val="0"/>
    </w:pPr>
    <w:rPr>
      <w:sz w:val="18"/>
      <w:szCs w:val="18"/>
    </w:rPr>
  </w:style>
  <w:style w:type="character" w:styleId="Hyperlink">
    <w:name w:val="Hyperlink"/>
    <w:basedOn w:val="DefaultParagraphFont"/>
    <w:uiPriority w:val="99"/>
    <w:qFormat/>
    <w:rPr>
      <w:color w:val="0000FF"/>
      <w:u w:val="single"/>
    </w:rPr>
  </w:style>
  <w:style w:type="paragraph" w:styleId="ListContinue5">
    <w:name w:val="List Continue 5"/>
    <w:basedOn w:val="Normal"/>
    <w:qFormat/>
    <w:pPr>
      <w:spacing w:after="120"/>
      <w:ind w:left="1415"/>
      <w:contextualSpacing/>
    </w:pPr>
  </w:style>
  <w:style w:type="paragraph" w:styleId="NormalWeb">
    <w:name w:val="Normal (Web)"/>
    <w:basedOn w:val="Normal"/>
    <w:qFormat/>
    <w:pPr>
      <w:spacing w:before="280" w:after="115"/>
    </w:pPr>
    <w:rPr>
      <w:sz w:val="24"/>
      <w:szCs w:val="24"/>
    </w:rPr>
  </w:style>
  <w:style w:type="character" w:styleId="Strong">
    <w:name w:val="Strong"/>
    <w:basedOn w:val="DefaultParagraphFont"/>
    <w:qFormat/>
    <w:rPr>
      <w:b/>
      <w:bCs/>
    </w:rPr>
  </w:style>
  <w:style w:type="paragraph" w:styleId="Subtitle">
    <w:name w:val="Subtitle"/>
    <w:basedOn w:val="Heading"/>
    <w:next w:val="BodyText"/>
    <w:qFormat/>
    <w:pPr>
      <w:jc w:val="center"/>
    </w:pPr>
    <w:rPr>
      <w:i/>
      <w:iCs/>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qFormat/>
    <w:pPr>
      <w:ind w:leftChars="200" w:left="200" w:hangingChars="200" w:hanging="200"/>
    </w:pPr>
  </w:style>
  <w:style w:type="paragraph" w:styleId="Title">
    <w:name w:val="Title"/>
    <w:basedOn w:val="Normal"/>
    <w:next w:val="Subtitle"/>
    <w:qFormat/>
    <w:pPr>
      <w:spacing w:before="240" w:after="60" w:line="276" w:lineRule="auto"/>
      <w:jc w:val="center"/>
    </w:pPr>
    <w:rPr>
      <w:rFonts w:ascii="Arial" w:hAnsi="Arial" w:cs="Arial"/>
      <w:b/>
      <w:bCs/>
      <w:kern w:val="1"/>
      <w:sz w:val="32"/>
      <w:szCs w:val="32"/>
    </w:rPr>
  </w:style>
  <w:style w:type="paragraph" w:styleId="TOC1">
    <w:name w:val="toc 1"/>
    <w:basedOn w:val="Normal"/>
    <w:next w:val="Normal"/>
    <w:uiPriority w:val="39"/>
    <w:qFormat/>
    <w:rPr>
      <w:i/>
      <w:sz w:val="24"/>
    </w:rPr>
  </w:style>
  <w:style w:type="paragraph" w:styleId="TOC2">
    <w:name w:val="toc 2"/>
    <w:basedOn w:val="Normal"/>
    <w:next w:val="Normal"/>
    <w:uiPriority w:val="39"/>
    <w:qFormat/>
    <w:pPr>
      <w:ind w:leftChars="200" w:left="420"/>
    </w:pPr>
    <w:rPr>
      <w:i/>
    </w:rPr>
  </w:style>
  <w:style w:type="paragraph" w:styleId="TOC3">
    <w:name w:val="toc 3"/>
    <w:basedOn w:val="Normal"/>
    <w:next w:val="Normal"/>
    <w:uiPriority w:val="39"/>
    <w:qFormat/>
    <w:pPr>
      <w:ind w:leftChars="400" w:left="840"/>
    </w:pPr>
  </w:style>
  <w:style w:type="paragraph" w:styleId="TOC4">
    <w:name w:val="toc 4"/>
    <w:basedOn w:val="Normal"/>
    <w:next w:val="Normal"/>
    <w:uiPriority w:val="39"/>
    <w:qFormat/>
    <w:pPr>
      <w:ind w:leftChars="600" w:left="1260"/>
    </w:pPr>
  </w:style>
  <w:style w:type="paragraph" w:styleId="TOC5">
    <w:name w:val="toc 5"/>
    <w:basedOn w:val="Normal"/>
    <w:next w:val="Normal"/>
    <w:uiPriority w:val="39"/>
    <w:qFormat/>
    <w:pPr>
      <w:ind w:leftChars="800" w:left="1680"/>
    </w:pPr>
  </w:style>
  <w:style w:type="paragraph" w:styleId="TOC6">
    <w:name w:val="toc 6"/>
    <w:basedOn w:val="Normal"/>
    <w:next w:val="Normal"/>
    <w:uiPriority w:val="39"/>
    <w:qFormat/>
    <w:pPr>
      <w:ind w:leftChars="1000" w:left="2100"/>
    </w:pPr>
  </w:style>
  <w:style w:type="paragraph" w:styleId="TOC7">
    <w:name w:val="toc 7"/>
    <w:basedOn w:val="Normal"/>
    <w:next w:val="Normal"/>
    <w:uiPriority w:val="39"/>
    <w:unhideWhenUsed/>
    <w:qFormat/>
    <w:pPr>
      <w:suppressAutoHyphens w:val="0"/>
      <w:spacing w:after="100" w:line="259" w:lineRule="auto"/>
      <w:ind w:left="1320"/>
    </w:pPr>
    <w:rPr>
      <w:rFonts w:asciiTheme="minorHAnsi" w:eastAsiaTheme="minorEastAsia" w:hAnsiTheme="minorHAnsi" w:cstheme="minorBidi"/>
      <w:kern w:val="2"/>
      <w:sz w:val="22"/>
      <w:szCs w:val="22"/>
      <w:lang w:val="en-US" w:eastAsia="en-US"/>
      <w14:ligatures w14:val="standardContextual"/>
    </w:rPr>
  </w:style>
  <w:style w:type="paragraph" w:styleId="TOC8">
    <w:name w:val="toc 8"/>
    <w:basedOn w:val="Normal"/>
    <w:next w:val="Normal"/>
    <w:uiPriority w:val="39"/>
    <w:unhideWhenUsed/>
    <w:qFormat/>
    <w:pPr>
      <w:suppressAutoHyphens w:val="0"/>
      <w:spacing w:after="100" w:line="259" w:lineRule="auto"/>
      <w:ind w:left="1540"/>
    </w:pPr>
    <w:rPr>
      <w:rFonts w:asciiTheme="minorHAnsi" w:eastAsiaTheme="minorEastAsia" w:hAnsiTheme="minorHAnsi" w:cstheme="minorBidi"/>
      <w:kern w:val="2"/>
      <w:sz w:val="22"/>
      <w:szCs w:val="22"/>
      <w:lang w:val="en-US" w:eastAsia="en-US"/>
      <w14:ligatures w14:val="standardContextual"/>
    </w:rPr>
  </w:style>
  <w:style w:type="paragraph" w:styleId="TOC9">
    <w:name w:val="toc 9"/>
    <w:basedOn w:val="Normal"/>
    <w:next w:val="Normal"/>
    <w:uiPriority w:val="39"/>
    <w:unhideWhenUsed/>
    <w:qFormat/>
    <w:pPr>
      <w:suppressAutoHyphens w:val="0"/>
      <w:spacing w:after="100" w:line="259" w:lineRule="auto"/>
      <w:ind w:left="1760"/>
    </w:pPr>
    <w:rPr>
      <w:rFonts w:asciiTheme="minorHAnsi" w:eastAsiaTheme="minorEastAsia" w:hAnsiTheme="minorHAnsi" w:cstheme="minorBidi"/>
      <w:kern w:val="2"/>
      <w:sz w:val="22"/>
      <w:szCs w:val="22"/>
      <w:lang w:val="en-US" w:eastAsia="en-US"/>
      <w14:ligatures w14:val="standardContextual"/>
    </w:rPr>
  </w:style>
  <w:style w:type="paragraph" w:customStyle="1" w:styleId="Default">
    <w:name w:val="Default"/>
    <w:uiPriority w:val="99"/>
    <w:qFormat/>
    <w:pPr>
      <w:autoSpaceDE w:val="0"/>
      <w:autoSpaceDN w:val="0"/>
      <w:adjustRightInd w:val="0"/>
    </w:pPr>
    <w:rPr>
      <w:rFonts w:ascii="Arial" w:hAnsi="Arial" w:cs="Arial"/>
      <w:color w:val="000000"/>
      <w:sz w:val="24"/>
      <w:szCs w:val="24"/>
      <w:lang w:val="en-US" w:eastAsia="en-US"/>
    </w:rPr>
  </w:style>
  <w:style w:type="paragraph" w:styleId="ListParagraph">
    <w:name w:val="List Paragraph"/>
    <w:basedOn w:val="Normal"/>
    <w:uiPriority w:val="34"/>
    <w:qFormat/>
    <w:pPr>
      <w:ind w:left="720"/>
    </w:pPr>
    <w:rPr>
      <w:sz w:val="24"/>
      <w:szCs w:val="24"/>
    </w:rPr>
  </w:style>
  <w:style w:type="paragraph" w:customStyle="1" w:styleId="Style13">
    <w:name w:val="Style13"/>
    <w:basedOn w:val="Normal"/>
    <w:qFormat/>
    <w:pPr>
      <w:spacing w:line="461" w:lineRule="exact"/>
    </w:pPr>
    <w:rPr>
      <w:sz w:val="24"/>
      <w:szCs w:val="24"/>
    </w:rPr>
  </w:style>
  <w:style w:type="character" w:customStyle="1" w:styleId="FontStyle48">
    <w:name w:val="Font Style48"/>
    <w:qFormat/>
    <w:rPr>
      <w:rFonts w:ascii="Arial" w:hAnsi="Arial" w:cs="Arial"/>
      <w:b/>
      <w:bCs/>
      <w:sz w:val="18"/>
      <w:szCs w:val="18"/>
    </w:rPr>
  </w:style>
  <w:style w:type="character" w:customStyle="1" w:styleId="FontStyle57">
    <w:name w:val="Font Style57"/>
    <w:qFormat/>
    <w:rPr>
      <w:rFonts w:ascii="Arial" w:hAnsi="Arial" w:cs="Arial"/>
      <w:sz w:val="18"/>
      <w:szCs w:val="18"/>
    </w:rPr>
  </w:style>
  <w:style w:type="paragraph" w:customStyle="1" w:styleId="Style30">
    <w:name w:val="Style30"/>
    <w:basedOn w:val="Normal"/>
    <w:qFormat/>
    <w:pPr>
      <w:widowControl w:val="0"/>
      <w:autoSpaceDE w:val="0"/>
      <w:autoSpaceDN w:val="0"/>
      <w:adjustRightInd w:val="0"/>
    </w:pPr>
    <w:rPr>
      <w:sz w:val="24"/>
      <w:szCs w:val="24"/>
      <w:lang w:val="en-US"/>
    </w:rPr>
  </w:style>
  <w:style w:type="character" w:customStyle="1" w:styleId="t">
    <w:name w:val="t"/>
    <w:basedOn w:val="DefaultParagraphFont"/>
    <w:qFormat/>
  </w:style>
  <w:style w:type="paragraph" w:customStyle="1" w:styleId="Contenutotabellacentrato">
    <w:name w:val="Contenuto tabella centrato"/>
    <w:basedOn w:val="TableContents"/>
    <w:qFormat/>
    <w:pPr>
      <w:jc w:val="center"/>
    </w:pPr>
  </w:style>
  <w:style w:type="paragraph" w:customStyle="1" w:styleId="TableContents">
    <w:name w:val="Table Contents"/>
    <w:basedOn w:val="Normal"/>
    <w:link w:val="TableContentsChar"/>
    <w:qFormat/>
    <w:pPr>
      <w:suppressLineNumbers/>
    </w:pPr>
  </w:style>
  <w:style w:type="paragraph" w:customStyle="1" w:styleId="BodyText25">
    <w:name w:val="Body Text 25"/>
    <w:basedOn w:val="Normal"/>
    <w:uiPriority w:val="99"/>
    <w:qFormat/>
    <w:pPr>
      <w:tabs>
        <w:tab w:val="left" w:pos="567"/>
      </w:tabs>
      <w:overflowPunct w:val="0"/>
      <w:autoSpaceDE w:val="0"/>
      <w:jc w:val="both"/>
      <w:textAlignment w:val="baseline"/>
    </w:pPr>
    <w:rPr>
      <w:rFonts w:ascii="Arial" w:hAnsi="Arial" w:cs="Arial"/>
      <w:sz w:val="24"/>
      <w:szCs w:val="24"/>
    </w:rPr>
  </w:style>
  <w:style w:type="paragraph" w:styleId="NoSpacing">
    <w:name w:val="No Spacing"/>
    <w:uiPriority w:val="1"/>
    <w:qFormat/>
    <w:rPr>
      <w:rFonts w:ascii="Calibri" w:eastAsia="Calibri" w:hAnsi="Calibri"/>
      <w:sz w:val="22"/>
      <w:szCs w:val="22"/>
      <w:lang w:val="ro-RO" w:eastAsia="en-US"/>
    </w:rPr>
  </w:style>
  <w:style w:type="character" w:customStyle="1" w:styleId="ln2talineat">
    <w:name w:val="ln2talineat"/>
    <w:basedOn w:val="DefaultParagraphFont"/>
    <w:qFormat/>
  </w:style>
  <w:style w:type="paragraph" w:customStyle="1" w:styleId="Pagrindinistekstas1">
    <w:name w:val="Pagrindinis tekstas1"/>
    <w:qFormat/>
    <w:pPr>
      <w:autoSpaceDE w:val="0"/>
      <w:autoSpaceDN w:val="0"/>
      <w:adjustRightInd w:val="0"/>
      <w:ind w:firstLine="312"/>
      <w:jc w:val="both"/>
    </w:pPr>
    <w:rPr>
      <w:rFonts w:ascii="TimesLT" w:eastAsia="Times New Roman" w:hAnsi="TimesLT"/>
      <w:lang w:val="en-US" w:eastAsia="en-US"/>
    </w:rPr>
  </w:style>
  <w:style w:type="paragraph" w:customStyle="1" w:styleId="BodyText1">
    <w:name w:val="Body Text1"/>
    <w:qFormat/>
    <w:pPr>
      <w:suppressAutoHyphens/>
      <w:jc w:val="both"/>
    </w:pPr>
    <w:rPr>
      <w:rFonts w:ascii="Times New Roman Bold" w:eastAsia="ヒラギノ角ゴ Pro W3" w:hAnsi="Times New Roman Bold" w:cs="Times New Roman Bold"/>
      <w:color w:val="000000"/>
      <w:sz w:val="28"/>
      <w:lang w:val="en-US" w:eastAsia="ar-SA"/>
    </w:rPr>
  </w:style>
  <w:style w:type="paragraph" w:customStyle="1" w:styleId="Parabraf-sub1">
    <w:name w:val="Parabraf - sub 1"/>
    <w:qFormat/>
    <w:pPr>
      <w:numPr>
        <w:numId w:val="1"/>
      </w:numPr>
      <w:suppressAutoHyphens/>
      <w:spacing w:after="120"/>
      <w:ind w:left="851" w:hanging="425"/>
      <w:jc w:val="both"/>
    </w:pPr>
    <w:rPr>
      <w:sz w:val="24"/>
      <w:szCs w:val="24"/>
      <w:lang w:val="ro-RO" w:eastAsia="zh-CN"/>
    </w:rPr>
  </w:style>
  <w:style w:type="character" w:customStyle="1" w:styleId="restartnumbering">
    <w:name w:val="restart numbering"/>
    <w:basedOn w:val="DefaultParagraphFont"/>
    <w:uiPriority w:val="1"/>
    <w:qFormat/>
    <w:rPr>
      <w:i/>
      <w:color w:val="FFFFFF"/>
      <w:sz w:val="12"/>
      <w:szCs w:val="12"/>
    </w:rPr>
  </w:style>
  <w:style w:type="paragraph" w:customStyle="1" w:styleId="Paragraf">
    <w:name w:val="Paragraf"/>
    <w:basedOn w:val="Numarat"/>
    <w:qFormat/>
    <w:pPr>
      <w:numPr>
        <w:numId w:val="2"/>
      </w:numPr>
      <w:tabs>
        <w:tab w:val="left" w:pos="426"/>
      </w:tabs>
    </w:pPr>
  </w:style>
  <w:style w:type="paragraph" w:customStyle="1" w:styleId="Numarat">
    <w:name w:val="Numarat"/>
    <w:basedOn w:val="Tabel"/>
    <w:qFormat/>
    <w:pPr>
      <w:numPr>
        <w:numId w:val="3"/>
      </w:numPr>
      <w:ind w:left="0" w:firstLine="0"/>
    </w:pPr>
  </w:style>
  <w:style w:type="paragraph" w:customStyle="1" w:styleId="Tabel">
    <w:name w:val="Tabel"/>
    <w:basedOn w:val="Normal"/>
    <w:link w:val="TabelChar"/>
    <w:qFormat/>
    <w:pPr>
      <w:numPr>
        <w:numId w:val="4"/>
      </w:numPr>
      <w:tabs>
        <w:tab w:val="left" w:pos="993"/>
      </w:tabs>
      <w:ind w:left="0" w:firstLine="0"/>
    </w:pPr>
    <w:rPr>
      <w:b/>
      <w:bCs/>
      <w:sz w:val="24"/>
    </w:rPr>
  </w:style>
  <w:style w:type="paragraph" w:customStyle="1" w:styleId="Titlu11">
    <w:name w:val="Titlu 1.1"/>
    <w:basedOn w:val="Normal"/>
    <w:next w:val="Normal"/>
    <w:qFormat/>
    <w:pPr>
      <w:numPr>
        <w:ilvl w:val="1"/>
        <w:numId w:val="5"/>
      </w:numPr>
      <w:tabs>
        <w:tab w:val="left" w:pos="567"/>
      </w:tabs>
      <w:spacing w:before="240"/>
      <w:outlineLvl w:val="1"/>
    </w:pPr>
    <w:rPr>
      <w:rFonts w:eastAsia="PMingLiU"/>
      <w:b/>
      <w:lang w:eastAsia="zh-TW"/>
    </w:rPr>
  </w:style>
  <w:style w:type="paragraph" w:customStyle="1" w:styleId="Anexe-titlu">
    <w:name w:val="Anexe - titlu"/>
    <w:basedOn w:val="Titlu1"/>
    <w:qFormat/>
    <w:pPr>
      <w:numPr>
        <w:numId w:val="6"/>
      </w:numPr>
    </w:pPr>
  </w:style>
  <w:style w:type="paragraph" w:customStyle="1" w:styleId="Titlu1">
    <w:name w:val="Titlu 1."/>
    <w:basedOn w:val="Normal"/>
    <w:qFormat/>
    <w:pPr>
      <w:numPr>
        <w:numId w:val="5"/>
      </w:numPr>
      <w:tabs>
        <w:tab w:val="left" w:pos="284"/>
      </w:tabs>
      <w:spacing w:before="60" w:after="240"/>
      <w:ind w:left="0" w:firstLine="0"/>
      <w:outlineLvl w:val="0"/>
    </w:pPr>
    <w:rPr>
      <w:rFonts w:eastAsia="PMingLiU"/>
      <w:b/>
      <w:lang w:eastAsia="zh-TW"/>
    </w:rPr>
  </w:style>
  <w:style w:type="paragraph" w:customStyle="1" w:styleId="texttabelhvac">
    <w:name w:val="text tabel hvac"/>
    <w:basedOn w:val="LegendScheme"/>
    <w:qFormat/>
  </w:style>
  <w:style w:type="paragraph" w:customStyle="1" w:styleId="LegendScheme">
    <w:name w:val="Legendă Scheme"/>
    <w:basedOn w:val="Normal"/>
    <w:qFormat/>
  </w:style>
  <w:style w:type="character" w:customStyle="1" w:styleId="Superscript">
    <w:name w:val="Superscript"/>
    <w:basedOn w:val="DefaultParagraphFont"/>
    <w:uiPriority w:val="1"/>
    <w:qFormat/>
    <w:rPr>
      <w:vertAlign w:val="superscript"/>
    </w:rPr>
  </w:style>
  <w:style w:type="paragraph" w:customStyle="1" w:styleId="Nota">
    <w:name w:val="Nota"/>
    <w:basedOn w:val="Normal"/>
    <w:next w:val="Normal"/>
    <w:qFormat/>
    <w:pPr>
      <w:ind w:left="720"/>
    </w:pPr>
    <w:rPr>
      <w:bCs/>
    </w:rPr>
  </w:style>
  <w:style w:type="character" w:customStyle="1" w:styleId="TabelChar">
    <w:name w:val="Tabel Char"/>
    <w:link w:val="Tabel"/>
    <w:qFormat/>
    <w:rPr>
      <w:b/>
      <w:bCs/>
      <w:sz w:val="24"/>
      <w:lang w:val="ro-RO" w:eastAsia="ar-SA"/>
    </w:rPr>
  </w:style>
  <w:style w:type="character" w:customStyle="1" w:styleId="TableContentsChar">
    <w:name w:val="Table Contents Char"/>
    <w:link w:val="TableContents"/>
    <w:qFormat/>
  </w:style>
  <w:style w:type="paragraph" w:customStyle="1" w:styleId="Figura">
    <w:name w:val="Figura"/>
    <w:basedOn w:val="Normal"/>
    <w:qFormat/>
    <w:pPr>
      <w:ind w:firstLine="720"/>
    </w:pPr>
    <w:rPr>
      <w:b/>
      <w:i/>
      <w:sz w:val="24"/>
      <w:szCs w:val="24"/>
      <w:lang w:eastAsia="ro-RO"/>
    </w:rPr>
  </w:style>
  <w:style w:type="paragraph" w:customStyle="1" w:styleId="Captiontabel">
    <w:name w:val="Caption tabel"/>
    <w:basedOn w:val="Normal"/>
    <w:next w:val="BodyText"/>
    <w:link w:val="CaptiontabelChar"/>
    <w:qFormat/>
    <w:pPr>
      <w:widowControl w:val="0"/>
      <w:jc w:val="both"/>
    </w:pPr>
    <w:rPr>
      <w:b/>
      <w:i/>
      <w:sz w:val="24"/>
      <w:szCs w:val="24"/>
    </w:rPr>
  </w:style>
  <w:style w:type="character" w:customStyle="1" w:styleId="Heading4Char">
    <w:name w:val="Heading 4 Char"/>
    <w:link w:val="Heading4"/>
    <w:qFormat/>
    <w:rPr>
      <w:rFonts w:ascii="Times New Roman" w:eastAsia="Calibri" w:hAnsi="Times New Roman"/>
      <w:b/>
      <w:bCs/>
      <w:i/>
    </w:rPr>
  </w:style>
  <w:style w:type="paragraph" w:customStyle="1" w:styleId="Tabelul">
    <w:name w:val="Tabelul"/>
    <w:basedOn w:val="Normal"/>
    <w:next w:val="BodyText"/>
    <w:qFormat/>
    <w:pPr>
      <w:widowControl w:val="0"/>
      <w:jc w:val="both"/>
    </w:pPr>
    <w:rPr>
      <w:b/>
      <w:i/>
      <w:sz w:val="24"/>
      <w:szCs w:val="24"/>
    </w:rPr>
  </w:style>
  <w:style w:type="character" w:customStyle="1" w:styleId="CaptiontabelChar">
    <w:name w:val="Caption tabel Char"/>
    <w:link w:val="Captiontabel"/>
    <w:qFormat/>
    <w:rPr>
      <w:rFonts w:ascii="Times New Roman" w:hAnsi="Times New Roman"/>
      <w:b/>
      <w:i/>
      <w:color w:val="auto"/>
      <w:sz w:val="24"/>
      <w:szCs w:val="24"/>
    </w:rPr>
  </w:style>
  <w:style w:type="character" w:customStyle="1" w:styleId="NORMALBOLDTABELE">
    <w:name w:val="NORMAL BOLD TABELE"/>
    <w:qFormat/>
    <w:rPr>
      <w:rFonts w:ascii="Times New Roman" w:hAnsi="Times New Roman"/>
      <w:b/>
      <w:i/>
      <w:sz w:val="24"/>
    </w:rPr>
  </w:style>
  <w:style w:type="character" w:customStyle="1" w:styleId="BodyTextChar">
    <w:name w:val="Body Text Char"/>
    <w:qFormat/>
    <w:rPr>
      <w:rFonts w:ascii="Times New Roman" w:hAnsi="Times New Roman"/>
      <w:b/>
      <w:bCs/>
      <w:i/>
      <w:sz w:val="24"/>
      <w:szCs w:val="24"/>
    </w:rPr>
  </w:style>
  <w:style w:type="character" w:customStyle="1" w:styleId="CaptionChar">
    <w:name w:val="Caption Char"/>
    <w:link w:val="Caption"/>
    <w:qFormat/>
    <w:rPr>
      <w:rFonts w:ascii="Times New Roman" w:hAnsi="Times New Roman" w:cs="Mangal"/>
      <w:b/>
      <w:i/>
      <w:iCs/>
      <w:sz w:val="24"/>
      <w:szCs w:val="24"/>
    </w:rPr>
  </w:style>
  <w:style w:type="paragraph" w:customStyle="1" w:styleId="HEADINGT">
    <w:name w:val="HEADING T"/>
    <w:basedOn w:val="Heading4"/>
    <w:next w:val="Normal"/>
    <w:qFormat/>
  </w:style>
  <w:style w:type="paragraph" w:customStyle="1" w:styleId="HEADINGT1">
    <w:name w:val="HEADING T1"/>
    <w:basedOn w:val="Heading5"/>
    <w:next w:val="Normal"/>
    <w:qFormat/>
    <w:rPr>
      <w:szCs w:val="22"/>
    </w:rPr>
  </w:style>
  <w:style w:type="paragraph" w:customStyle="1" w:styleId="Captionfiganexe">
    <w:name w:val="Caption fig anexe"/>
    <w:basedOn w:val="Caption"/>
    <w:link w:val="CaptionfiganexeChar"/>
    <w:qFormat/>
    <w:pPr>
      <w:jc w:val="center"/>
    </w:pPr>
    <w:rPr>
      <w:sz w:val="22"/>
    </w:rPr>
  </w:style>
  <w:style w:type="character" w:customStyle="1" w:styleId="CaptionfiganexeChar">
    <w:name w:val="Caption fig anexe Char"/>
    <w:link w:val="Captionfiganexe"/>
    <w:qFormat/>
    <w:rPr>
      <w:rFonts w:ascii="Times New Roman" w:hAnsi="Times New Roman"/>
      <w:sz w:val="22"/>
    </w:rPr>
  </w:style>
  <w:style w:type="paragraph" w:customStyle="1" w:styleId="Bodytext26">
    <w:name w:val="Body text (2)6"/>
    <w:basedOn w:val="Normal"/>
    <w:qFormat/>
    <w:pPr>
      <w:widowControl w:val="0"/>
      <w:shd w:val="clear" w:color="auto" w:fill="FFFFFF"/>
      <w:spacing w:line="0" w:lineRule="atLeast"/>
      <w:ind w:hanging="780"/>
    </w:pPr>
    <w:rPr>
      <w:rFonts w:ascii="Arial" w:eastAsia="Arial" w:hAnsi="Arial" w:cs="Arial"/>
      <w:sz w:val="19"/>
      <w:szCs w:val="19"/>
    </w:rPr>
  </w:style>
  <w:style w:type="character" w:customStyle="1" w:styleId="Bodytext2TimesNewRoman">
    <w:name w:val="Body text (2) + Times New Roman"/>
    <w:basedOn w:val="Bodytext2"/>
    <w:qFormat/>
    <w:rPr>
      <w:rFonts w:ascii="Times New Roman" w:eastAsia="Times New Roman" w:hAnsi="Times New Roman" w:cs="Times New Roman"/>
      <w:color w:val="000000"/>
      <w:spacing w:val="0"/>
      <w:w w:val="100"/>
      <w:position w:val="0"/>
      <w:sz w:val="20"/>
      <w:szCs w:val="20"/>
      <w:u w:val="none"/>
      <w:lang w:val="en-GB" w:eastAsia="en-GB" w:bidi="en-GB"/>
    </w:rPr>
  </w:style>
  <w:style w:type="character" w:customStyle="1" w:styleId="Bodytext2">
    <w:name w:val="Body text (2)_"/>
    <w:basedOn w:val="DefaultParagraphFont"/>
    <w:link w:val="Bodytext22"/>
    <w:qFormat/>
    <w:rPr>
      <w:rFonts w:ascii="Arial" w:eastAsia="Arial" w:hAnsi="Arial" w:cs="Arial"/>
      <w:sz w:val="19"/>
      <w:szCs w:val="19"/>
      <w:u w:val="none"/>
    </w:rPr>
  </w:style>
  <w:style w:type="paragraph" w:customStyle="1" w:styleId="Bodytext22">
    <w:name w:val="Body text (2)2"/>
    <w:basedOn w:val="Normal"/>
    <w:link w:val="Bodytext2"/>
    <w:qFormat/>
    <w:pPr>
      <w:widowControl w:val="0"/>
      <w:shd w:val="clear" w:color="auto" w:fill="FFFFFF"/>
      <w:spacing w:before="300" w:after="180" w:line="240" w:lineRule="exact"/>
      <w:ind w:hanging="280"/>
      <w:jc w:val="both"/>
    </w:pPr>
    <w:rPr>
      <w:rFonts w:ascii="Arial" w:eastAsia="Arial" w:hAnsi="Arial" w:cs="Arial"/>
      <w:sz w:val="19"/>
      <w:szCs w:val="19"/>
    </w:rPr>
  </w:style>
  <w:style w:type="paragraph" w:customStyle="1" w:styleId="HEADINGT2">
    <w:name w:val="HEADING T2"/>
    <w:basedOn w:val="Heading5"/>
    <w:next w:val="Normal"/>
    <w:qFormat/>
    <w:rPr>
      <w:sz w:val="24"/>
      <w:szCs w:val="22"/>
    </w:rPr>
  </w:style>
  <w:style w:type="paragraph" w:customStyle="1" w:styleId="HEADINGT3">
    <w:name w:val="HEADING T3"/>
    <w:basedOn w:val="Heading6"/>
    <w:next w:val="Normal"/>
    <w:qFormat/>
    <w:pPr>
      <w:spacing w:after="60"/>
      <w:outlineLvl w:val="4"/>
    </w:pPr>
    <w:rPr>
      <w:i/>
      <w:iCs/>
      <w:sz w:val="22"/>
      <w:szCs w:val="22"/>
      <w:lang w:val="en-US"/>
    </w:rPr>
  </w:style>
  <w:style w:type="character" w:customStyle="1" w:styleId="Bodytext29pt">
    <w:name w:val="Body text (2) + 9 pt"/>
    <w:basedOn w:val="Bodytext2"/>
    <w:qFormat/>
    <w:rPr>
      <w:rFonts w:ascii="Arial" w:eastAsia="Arial" w:hAnsi="Arial" w:cs="Arial"/>
      <w:b/>
      <w:bCs/>
      <w:color w:val="000000"/>
      <w:spacing w:val="0"/>
      <w:w w:val="100"/>
      <w:position w:val="0"/>
      <w:sz w:val="18"/>
      <w:szCs w:val="18"/>
      <w:u w:val="none"/>
      <w:lang w:val="en-GB" w:eastAsia="en-GB" w:bidi="en-GB"/>
    </w:rPr>
  </w:style>
  <w:style w:type="paragraph" w:customStyle="1" w:styleId="Bodytext23">
    <w:name w:val="Body text (2)3"/>
    <w:basedOn w:val="Normal"/>
    <w:qFormat/>
    <w:pPr>
      <w:widowControl w:val="0"/>
      <w:shd w:val="clear" w:color="auto" w:fill="FFFFFF"/>
      <w:spacing w:line="0" w:lineRule="atLeast"/>
      <w:ind w:hanging="520"/>
    </w:pPr>
    <w:rPr>
      <w:rFonts w:ascii="Arial" w:eastAsia="Arial" w:hAnsi="Arial" w:cs="Arial"/>
    </w:rPr>
  </w:style>
  <w:style w:type="character" w:customStyle="1" w:styleId="Bodytext20">
    <w:name w:val="Body text (2)"/>
    <w:basedOn w:val="Bodytext2"/>
    <w:qFormat/>
    <w:rPr>
      <w:rFonts w:ascii="Arial" w:eastAsia="Arial" w:hAnsi="Arial" w:cs="Arial"/>
      <w:color w:val="000000"/>
      <w:spacing w:val="0"/>
      <w:w w:val="100"/>
      <w:position w:val="0"/>
      <w:sz w:val="19"/>
      <w:szCs w:val="19"/>
      <w:u w:val="none"/>
      <w:lang w:val="en-GB" w:eastAsia="en-GB" w:bidi="en-GB"/>
    </w:rPr>
  </w:style>
  <w:style w:type="paragraph" w:customStyle="1" w:styleId="CM4">
    <w:name w:val="CM4"/>
    <w:basedOn w:val="Normal"/>
    <w:next w:val="Normal"/>
    <w:uiPriority w:val="99"/>
    <w:qFormat/>
    <w:pPr>
      <w:suppressAutoHyphens w:val="0"/>
      <w:autoSpaceDE w:val="0"/>
      <w:autoSpaceDN w:val="0"/>
      <w:adjustRightInd w:val="0"/>
    </w:pPr>
    <w:rPr>
      <w:rFonts w:eastAsia="Times New Roman"/>
      <w:sz w:val="24"/>
      <w:szCs w:val="24"/>
      <w:lang w:val="en-US" w:eastAsia="en-US"/>
    </w:rPr>
  </w:style>
  <w:style w:type="paragraph" w:customStyle="1" w:styleId="ANEXA1">
    <w:name w:val="ANEXA 1"/>
    <w:basedOn w:val="Heading1"/>
    <w:qFormat/>
    <w:pPr>
      <w:numPr>
        <w:numId w:val="7"/>
      </w:numPr>
    </w:pPr>
    <w:rPr>
      <w:i/>
      <w:sz w:val="24"/>
    </w:rPr>
  </w:style>
  <w:style w:type="paragraph" w:customStyle="1" w:styleId="ANEXA2">
    <w:name w:val="ANEXA 2"/>
    <w:basedOn w:val="Heading2"/>
    <w:qFormat/>
    <w:rPr>
      <w:sz w:val="24"/>
    </w:rPr>
  </w:style>
  <w:style w:type="paragraph" w:customStyle="1" w:styleId="ANEXA3">
    <w:name w:val="ANEXA 3"/>
    <w:basedOn w:val="Heading3"/>
    <w:qFormat/>
    <w:pPr>
      <w:jc w:val="both"/>
    </w:pPr>
    <w:rPr>
      <w:rFonts w:cs="Times New Roman"/>
      <w:b w:val="0"/>
      <w:i/>
      <w:iCs/>
      <w:sz w:val="24"/>
      <w:szCs w:val="24"/>
    </w:rPr>
  </w:style>
  <w:style w:type="paragraph" w:customStyle="1" w:styleId="htleft">
    <w:name w:val="htleft"/>
    <w:basedOn w:val="Normal"/>
    <w:qFormat/>
    <w:pPr>
      <w:spacing w:before="100" w:beforeAutospacing="1" w:after="100" w:afterAutospacing="1"/>
    </w:pPr>
    <w:rPr>
      <w:sz w:val="24"/>
      <w:szCs w:val="24"/>
      <w:lang w:eastAsia="en-GB"/>
    </w:rPr>
  </w:style>
  <w:style w:type="character" w:customStyle="1" w:styleId="Heading2Char">
    <w:name w:val="Heading 2 Char"/>
    <w:link w:val="Heading2"/>
    <w:qFormat/>
    <w:rPr>
      <w:rFonts w:ascii="Times New Roman" w:hAnsi="Times New Roman" w:cs="Cambria"/>
      <w:b/>
      <w:bCs/>
      <w:i/>
      <w:iCs/>
      <w:sz w:val="36"/>
      <w:szCs w:val="28"/>
    </w:rPr>
  </w:style>
  <w:style w:type="paragraph" w:customStyle="1" w:styleId="ANEXA4">
    <w:name w:val="ANEXA 4"/>
    <w:basedOn w:val="Heading4"/>
    <w:qFormat/>
    <w:pPr>
      <w:numPr>
        <w:ilvl w:val="3"/>
        <w:numId w:val="7"/>
      </w:numPr>
    </w:pPr>
    <w:rPr>
      <w:rFonts w:cs="Times New Roman"/>
      <w:b w:val="0"/>
      <w:iCs/>
      <w:sz w:val="24"/>
      <w:szCs w:val="24"/>
    </w:rPr>
  </w:style>
  <w:style w:type="paragraph" w:customStyle="1" w:styleId="ANEXA5">
    <w:name w:val="ANEXA 5"/>
    <w:basedOn w:val="ANEXA3"/>
    <w:qFormat/>
    <w:pPr>
      <w:numPr>
        <w:ilvl w:val="4"/>
        <w:numId w:val="7"/>
      </w:numPr>
    </w:pPr>
  </w:style>
  <w:style w:type="character" w:customStyle="1" w:styleId="FooterChar">
    <w:name w:val="Footer Char"/>
    <w:basedOn w:val="DefaultParagraphFont"/>
    <w:link w:val="Footer"/>
    <w:uiPriority w:val="99"/>
    <w:qFormat/>
    <w:rPr>
      <w:sz w:val="18"/>
      <w:szCs w:val="18"/>
      <w:lang w:val="ro-RO" w:eastAsia="ar-SA"/>
    </w:rPr>
  </w:style>
  <w:style w:type="paragraph" w:customStyle="1" w:styleId="Revision1">
    <w:name w:val="Revision1"/>
    <w:uiPriority w:val="99"/>
    <w:qFormat/>
    <w:rPr>
      <w:lang w:val="ro-RO" w:eastAsia="ar-SA"/>
    </w:rPr>
  </w:style>
  <w:style w:type="character" w:customStyle="1" w:styleId="CommentTextChar">
    <w:name w:val="Comment Text Char"/>
    <w:basedOn w:val="DefaultParagraphFont"/>
    <w:link w:val="CommentText"/>
    <w:uiPriority w:val="99"/>
    <w:qFormat/>
    <w:rPr>
      <w:lang w:val="ro-RO" w:eastAsia="ar-SA"/>
    </w:rPr>
  </w:style>
  <w:style w:type="character" w:customStyle="1" w:styleId="CommentSubjectChar">
    <w:name w:val="Comment Subject Char"/>
    <w:basedOn w:val="CommentTextChar"/>
    <w:link w:val="CommentSubject"/>
    <w:qFormat/>
    <w:rPr>
      <w:b/>
      <w:bCs/>
      <w:lang w:val="ro-RO" w:eastAsia="ar-SA"/>
    </w:rPr>
  </w:style>
  <w:style w:type="character" w:styleId="PlaceholderText">
    <w:name w:val="Placeholder Text"/>
    <w:basedOn w:val="DefaultParagraphFont"/>
    <w:uiPriority w:val="99"/>
    <w:qFormat/>
    <w:rPr>
      <w:color w:val="808080"/>
    </w:rPr>
  </w:style>
  <w:style w:type="character" w:customStyle="1" w:styleId="BalloonTextChar">
    <w:name w:val="Balloon Text Char"/>
    <w:basedOn w:val="DefaultParagraphFont"/>
    <w:link w:val="BalloonText"/>
    <w:uiPriority w:val="99"/>
    <w:semiHidden/>
    <w:qFormat/>
    <w:rPr>
      <w:rFonts w:ascii="Segoe UI" w:hAnsi="Segoe UI" w:cs="Segoe UI"/>
      <w:sz w:val="18"/>
      <w:szCs w:val="18"/>
      <w:lang w:val="ro-RO" w:eastAsia="ar-SA"/>
    </w:rPr>
  </w:style>
  <w:style w:type="character" w:customStyle="1" w:styleId="FootnoteTextChar">
    <w:name w:val="Footnote Text Char"/>
    <w:basedOn w:val="DefaultParagraphFont"/>
    <w:link w:val="FootnoteText"/>
    <w:uiPriority w:val="99"/>
    <w:semiHidden/>
    <w:qFormat/>
    <w:rPr>
      <w:lang w:val="ro-RO" w:eastAsia="ar-SA"/>
    </w:rPr>
  </w:style>
  <w:style w:type="character" w:customStyle="1" w:styleId="BodyTextChar1">
    <w:name w:val="Body Text Char1"/>
    <w:link w:val="BodyText"/>
    <w:qFormat/>
    <w:rPr>
      <w:rFonts w:ascii="Times New Roman" w:hAnsi="Times New Roman"/>
      <w:b/>
      <w:bCs/>
      <w:i/>
      <w:sz w:val="24"/>
      <w:szCs w:val="24"/>
    </w:rPr>
  </w:style>
  <w:style w:type="paragraph" w:customStyle="1" w:styleId="Paragraf-sub2">
    <w:name w:val="Paragraf - sub 2"/>
    <w:basedOn w:val="Normal"/>
    <w:qFormat/>
    <w:pPr>
      <w:numPr>
        <w:numId w:val="8"/>
      </w:numPr>
    </w:pPr>
    <w:rPr>
      <w:lang w:eastAsia="zh-TW"/>
    </w:rPr>
  </w:style>
  <w:style w:type="paragraph" w:customStyle="1" w:styleId="Revision2">
    <w:name w:val="Revision2"/>
    <w:hidden/>
    <w:uiPriority w:val="99"/>
    <w:unhideWhenUsed/>
    <w:qFormat/>
    <w:rPr>
      <w:lang w:val="ro-RO" w:eastAsia="ar-SA"/>
    </w:rPr>
  </w:style>
  <w:style w:type="character" w:customStyle="1" w:styleId="15">
    <w:name w:val="15"/>
    <w:basedOn w:val="DefaultParagraphFont"/>
    <w:qFormat/>
    <w:rPr>
      <w:rFonts w:ascii="Times New Roman" w:hAnsi="Times New Roman" w:cs="Times New Roman" w:hint="default"/>
      <w:b/>
      <w:i/>
      <w:sz w:val="24"/>
      <w:szCs w:val="24"/>
    </w:rPr>
  </w:style>
  <w:style w:type="character" w:customStyle="1" w:styleId="Heading3Char">
    <w:name w:val="Heading 3 Char"/>
    <w:link w:val="Heading3"/>
    <w:qFormat/>
    <w:rPr>
      <w:rFonts w:ascii="Times New Roman" w:hAnsi="Times New Roman" w:cs="Cambria"/>
      <w:b/>
      <w:bCs/>
      <w:sz w:val="32"/>
      <w:szCs w:val="26"/>
    </w:rPr>
  </w:style>
  <w:style w:type="character" w:customStyle="1" w:styleId="Heading5Char">
    <w:name w:val="Heading 5 Char"/>
    <w:link w:val="Heading5"/>
    <w:uiPriority w:val="9"/>
    <w:qFormat/>
    <w:rPr>
      <w:b/>
      <w:bCs/>
      <w:i/>
      <w:iCs/>
      <w:sz w:val="26"/>
      <w:szCs w:val="26"/>
      <w:lang w:val="en-US"/>
    </w:rPr>
  </w:style>
  <w:style w:type="character" w:customStyle="1" w:styleId="cf01">
    <w:name w:val="cf01"/>
    <w:basedOn w:val="DefaultParagraphFont"/>
    <w:qFormat/>
    <w:rPr>
      <w:rFonts w:ascii="Segoe UI" w:hAnsi="Segoe UI" w:cs="Segoe UI" w:hint="default"/>
      <w:sz w:val="18"/>
      <w:szCs w:val="18"/>
    </w:rPr>
  </w:style>
  <w:style w:type="paragraph" w:customStyle="1" w:styleId="Revizuire1">
    <w:name w:val="Revizuire1"/>
    <w:hidden/>
    <w:uiPriority w:val="99"/>
    <w:unhideWhenUsed/>
    <w:qFormat/>
    <w:rPr>
      <w:lang w:val="ro-RO" w:eastAsia="ar-SA"/>
    </w:rPr>
  </w:style>
  <w:style w:type="paragraph" w:customStyle="1" w:styleId="Revision3">
    <w:name w:val="Revision3"/>
    <w:hidden/>
    <w:uiPriority w:val="99"/>
    <w:unhideWhenUsed/>
    <w:qFormat/>
    <w:rPr>
      <w:lang w:val="ro-RO" w:eastAsia="ar-SA"/>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styleId="Revision">
    <w:name w:val="Revision"/>
    <w:hidden/>
    <w:uiPriority w:val="99"/>
    <w:unhideWhenUsed/>
    <w:rsid w:val="006E0CCA"/>
    <w:rPr>
      <w:lang w:val="ro-RO"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671" Type="http://schemas.openxmlformats.org/officeDocument/2006/relationships/hyperlink" Target="https://magazin.asro.ro/ro/standard/178727" TargetMode="External"/><Relationship Id="rId21" Type="http://schemas.openxmlformats.org/officeDocument/2006/relationships/customXml" Target="../customXml/item21.xml"/><Relationship Id="rId324" Type="http://schemas.openxmlformats.org/officeDocument/2006/relationships/image" Target="media/image217.png"/><Relationship Id="rId531" Type="http://schemas.openxmlformats.org/officeDocument/2006/relationships/image" Target="media/image415.png"/><Relationship Id="rId629" Type="http://schemas.openxmlformats.org/officeDocument/2006/relationships/hyperlink" Target="https://magazin.asro.ro/ro/standard/238870" TargetMode="External"/><Relationship Id="rId170" Type="http://schemas.openxmlformats.org/officeDocument/2006/relationships/image" Target="media/image94.png"/><Relationship Id="rId268" Type="http://schemas.openxmlformats.org/officeDocument/2006/relationships/image" Target="media/image166.jpeg"/><Relationship Id="rId475" Type="http://schemas.openxmlformats.org/officeDocument/2006/relationships/image" Target="media/image366.png"/><Relationship Id="rId682" Type="http://schemas.openxmlformats.org/officeDocument/2006/relationships/hyperlink" Target="https://magazin.asro.ro/ro/standard/24539" TargetMode="External"/><Relationship Id="rId32" Type="http://schemas.openxmlformats.org/officeDocument/2006/relationships/customXml" Target="../customXml/item32.xml"/><Relationship Id="rId128" Type="http://schemas.openxmlformats.org/officeDocument/2006/relationships/hyperlink" Target="https://hallo.ro/dictionar-englez-roman/incendiilor" TargetMode="External"/><Relationship Id="rId335" Type="http://schemas.openxmlformats.org/officeDocument/2006/relationships/image" Target="media/image228.png"/><Relationship Id="rId542" Type="http://schemas.openxmlformats.org/officeDocument/2006/relationships/image" Target="media/image422.jpeg"/><Relationship Id="rId181" Type="http://schemas.openxmlformats.org/officeDocument/2006/relationships/image" Target="media/image105.png"/><Relationship Id="rId402" Type="http://schemas.openxmlformats.org/officeDocument/2006/relationships/image" Target="media/image293.png"/><Relationship Id="rId279" Type="http://schemas.openxmlformats.org/officeDocument/2006/relationships/image" Target="media/image177.jpeg"/><Relationship Id="rId486" Type="http://schemas.openxmlformats.org/officeDocument/2006/relationships/image" Target="media/image377.png"/><Relationship Id="rId693" Type="http://schemas.openxmlformats.org/officeDocument/2006/relationships/hyperlink" Target="https://magazin.asro.ro/ro/standard/274064" TargetMode="External"/><Relationship Id="rId707" Type="http://schemas.openxmlformats.org/officeDocument/2006/relationships/footer" Target="footer1.xml"/><Relationship Id="rId43" Type="http://schemas.openxmlformats.org/officeDocument/2006/relationships/webSettings" Target="webSettings.xml"/><Relationship Id="rId139" Type="http://schemas.openxmlformats.org/officeDocument/2006/relationships/image" Target="media/image73.png"/><Relationship Id="rId346" Type="http://schemas.openxmlformats.org/officeDocument/2006/relationships/image" Target="media/image237.png"/><Relationship Id="rId553" Type="http://schemas.openxmlformats.org/officeDocument/2006/relationships/image" Target="media/image433.png"/><Relationship Id="rId192" Type="http://schemas.openxmlformats.org/officeDocument/2006/relationships/hyperlink" Target="https://hallo.ro/dictionar-englez-roman/incendiilor" TargetMode="External"/><Relationship Id="rId206" Type="http://schemas.openxmlformats.org/officeDocument/2006/relationships/hyperlink" Target="https://magazin.asro.ro/ro/standard/278553" TargetMode="External"/><Relationship Id="rId413" Type="http://schemas.openxmlformats.org/officeDocument/2006/relationships/image" Target="media/image304.png"/><Relationship Id="rId497" Type="http://schemas.openxmlformats.org/officeDocument/2006/relationships/image" Target="media/image388.png"/><Relationship Id="rId620" Type="http://schemas.openxmlformats.org/officeDocument/2006/relationships/hyperlink" Target="https://magazin.asro.ro/ro/standard/115182" TargetMode="External"/><Relationship Id="rId357" Type="http://schemas.openxmlformats.org/officeDocument/2006/relationships/image" Target="media/image248.png"/><Relationship Id="rId54" Type="http://schemas.openxmlformats.org/officeDocument/2006/relationships/image" Target="media/image8.png"/><Relationship Id="rId217" Type="http://schemas.openxmlformats.org/officeDocument/2006/relationships/image" Target="media/image123.png"/><Relationship Id="rId564" Type="http://schemas.openxmlformats.org/officeDocument/2006/relationships/hyperlink" Target="https://eur-lex.europa.eu/legal-content/en/TXT/?uri=CELEX:32019R1188" TargetMode="External"/><Relationship Id="rId424" Type="http://schemas.openxmlformats.org/officeDocument/2006/relationships/image" Target="media/image315.png"/><Relationship Id="rId631" Type="http://schemas.openxmlformats.org/officeDocument/2006/relationships/hyperlink" Target="https://magazin.asro.ro/ro/standard/271154" TargetMode="External"/><Relationship Id="rId270" Type="http://schemas.openxmlformats.org/officeDocument/2006/relationships/image" Target="media/image168.jpeg"/><Relationship Id="rId65" Type="http://schemas.openxmlformats.org/officeDocument/2006/relationships/hyperlink" Target="mailto:termic@;" TargetMode="External"/><Relationship Id="rId130" Type="http://schemas.openxmlformats.org/officeDocument/2006/relationships/hyperlink" Target="https://magazin.asro.ro/ro/standard/278553" TargetMode="External"/><Relationship Id="rId368" Type="http://schemas.openxmlformats.org/officeDocument/2006/relationships/image" Target="media/image259.png"/><Relationship Id="rId575" Type="http://schemas.openxmlformats.org/officeDocument/2006/relationships/hyperlink" Target="http://eur-lex.europa.eu/legal-content/EN/TXT/?uri=CELEX:32015D1936" TargetMode="External"/><Relationship Id="rId228" Type="http://schemas.openxmlformats.org/officeDocument/2006/relationships/hyperlink" Target="https://magazin.asro.ro/ro/standard/278553" TargetMode="External"/><Relationship Id="rId435" Type="http://schemas.openxmlformats.org/officeDocument/2006/relationships/image" Target="media/image326.png"/><Relationship Id="rId642" Type="http://schemas.openxmlformats.org/officeDocument/2006/relationships/hyperlink" Target="https://magazin.asro.ro/ro/standard/226512" TargetMode="External"/><Relationship Id="rId281" Type="http://schemas.openxmlformats.org/officeDocument/2006/relationships/image" Target="media/image179.jpeg"/><Relationship Id="rId502" Type="http://schemas.openxmlformats.org/officeDocument/2006/relationships/image" Target="media/image393.png"/><Relationship Id="rId76" Type="http://schemas.openxmlformats.org/officeDocument/2006/relationships/image" Target="media/image29.png"/><Relationship Id="rId141" Type="http://schemas.openxmlformats.org/officeDocument/2006/relationships/image" Target="media/image75.png"/><Relationship Id="rId379" Type="http://schemas.openxmlformats.org/officeDocument/2006/relationships/image" Target="media/image270.png"/><Relationship Id="rId586" Type="http://schemas.openxmlformats.org/officeDocument/2006/relationships/hyperlink" Target="http://eur-lex.europa.eu/legal-content/EN/TXT/?uri=CELEX:32014R0574&amp;locale=en" TargetMode="External"/><Relationship Id="rId7" Type="http://schemas.openxmlformats.org/officeDocument/2006/relationships/customXml" Target="../customXml/item7.xml"/><Relationship Id="rId239" Type="http://schemas.openxmlformats.org/officeDocument/2006/relationships/image" Target="media/image137.png"/><Relationship Id="rId446" Type="http://schemas.openxmlformats.org/officeDocument/2006/relationships/image" Target="media/image337.png"/><Relationship Id="rId653" Type="http://schemas.openxmlformats.org/officeDocument/2006/relationships/hyperlink" Target="https://magazin.asro.ro/ro/standard/259774" TargetMode="External"/><Relationship Id="rId292" Type="http://schemas.openxmlformats.org/officeDocument/2006/relationships/image" Target="media/image190.jpeg"/><Relationship Id="rId306" Type="http://schemas.openxmlformats.org/officeDocument/2006/relationships/oleObject" Target="embeddings/oleObject7.bin"/><Relationship Id="rId87" Type="http://schemas.openxmlformats.org/officeDocument/2006/relationships/image" Target="media/image36.png"/><Relationship Id="rId513" Type="http://schemas.openxmlformats.org/officeDocument/2006/relationships/image" Target="media/image404.png"/><Relationship Id="rId597" Type="http://schemas.openxmlformats.org/officeDocument/2006/relationships/hyperlink" Target="https://magazin.asro.ro/ro/standard/234600" TargetMode="External"/><Relationship Id="rId152" Type="http://schemas.openxmlformats.org/officeDocument/2006/relationships/image" Target="media/image82.png"/><Relationship Id="rId457" Type="http://schemas.openxmlformats.org/officeDocument/2006/relationships/image" Target="media/image348.png"/><Relationship Id="rId664" Type="http://schemas.openxmlformats.org/officeDocument/2006/relationships/hyperlink" Target="https://magazin.asro.ro/ro/standard/190434" TargetMode="External"/><Relationship Id="rId14" Type="http://schemas.openxmlformats.org/officeDocument/2006/relationships/customXml" Target="../customXml/item14.xml"/><Relationship Id="rId317" Type="http://schemas.openxmlformats.org/officeDocument/2006/relationships/image" Target="media/image210.png"/><Relationship Id="rId524" Type="http://schemas.openxmlformats.org/officeDocument/2006/relationships/hyperlink" Target="mailto:sc@p@rile" TargetMode="External"/><Relationship Id="rId98" Type="http://schemas.openxmlformats.org/officeDocument/2006/relationships/hyperlink" Target="https://hallo.ro/dictionar-englez-roman/de" TargetMode="External"/><Relationship Id="rId163" Type="http://schemas.openxmlformats.org/officeDocument/2006/relationships/customXml" Target="ink/ink1.xml"/><Relationship Id="rId370" Type="http://schemas.openxmlformats.org/officeDocument/2006/relationships/image" Target="media/image261.png"/><Relationship Id="rId230" Type="http://schemas.openxmlformats.org/officeDocument/2006/relationships/hyperlink" Target="https://magazin.asro.ro/ro/standard/278553" TargetMode="External"/><Relationship Id="rId468" Type="http://schemas.openxmlformats.org/officeDocument/2006/relationships/image" Target="media/image359.png"/><Relationship Id="rId675" Type="http://schemas.openxmlformats.org/officeDocument/2006/relationships/hyperlink" Target="https://magazin.asro.ro/ro/standard/118814" TargetMode="External"/><Relationship Id="rId25" Type="http://schemas.openxmlformats.org/officeDocument/2006/relationships/customXml" Target="../customXml/item25.xml"/><Relationship Id="rId328" Type="http://schemas.openxmlformats.org/officeDocument/2006/relationships/image" Target="media/image221.png"/><Relationship Id="rId535" Type="http://schemas.openxmlformats.org/officeDocument/2006/relationships/hyperlink" Target="mailto:sc@p@rile" TargetMode="External"/><Relationship Id="rId174" Type="http://schemas.openxmlformats.org/officeDocument/2006/relationships/image" Target="media/image98.png"/><Relationship Id="rId381" Type="http://schemas.openxmlformats.org/officeDocument/2006/relationships/image" Target="media/image272.png"/><Relationship Id="rId602" Type="http://schemas.openxmlformats.org/officeDocument/2006/relationships/hyperlink" Target="https://magazin.asro.ro/ro/standard/275056" TargetMode="External"/><Relationship Id="rId241" Type="http://schemas.openxmlformats.org/officeDocument/2006/relationships/image" Target="media/image139.png"/><Relationship Id="rId479" Type="http://schemas.openxmlformats.org/officeDocument/2006/relationships/image" Target="media/image370.png"/><Relationship Id="rId686" Type="http://schemas.openxmlformats.org/officeDocument/2006/relationships/hyperlink" Target="https://magazin.asro.ro/ro/standard/267808" TargetMode="External"/><Relationship Id="rId36" Type="http://schemas.openxmlformats.org/officeDocument/2006/relationships/customXml" Target="../customXml/item36.xml"/><Relationship Id="rId339" Type="http://schemas.openxmlformats.org/officeDocument/2006/relationships/image" Target="media/image232.png"/><Relationship Id="rId546" Type="http://schemas.openxmlformats.org/officeDocument/2006/relationships/image" Target="media/image426.png"/><Relationship Id="rId101" Type="http://schemas.openxmlformats.org/officeDocument/2006/relationships/hyperlink" Target="https://hallo.ro/dictionar-englez-roman/protec%C5%A3ie" TargetMode="External"/><Relationship Id="rId185" Type="http://schemas.openxmlformats.org/officeDocument/2006/relationships/hyperlink" Target="https://hallo.ro/dictionar-englez-roman/de" TargetMode="External"/><Relationship Id="rId406" Type="http://schemas.openxmlformats.org/officeDocument/2006/relationships/image" Target="media/image297.png"/><Relationship Id="rId392" Type="http://schemas.openxmlformats.org/officeDocument/2006/relationships/image" Target="media/image283.png"/><Relationship Id="rId613" Type="http://schemas.openxmlformats.org/officeDocument/2006/relationships/hyperlink" Target="https://magazin.asro.ro/ro/standard/273837" TargetMode="External"/><Relationship Id="rId697" Type="http://schemas.openxmlformats.org/officeDocument/2006/relationships/hyperlink" Target="https://magazin.asro.ro/ro/standard/224436" TargetMode="External"/><Relationship Id="rId252" Type="http://schemas.openxmlformats.org/officeDocument/2006/relationships/image" Target="media/image150.png"/><Relationship Id="rId47" Type="http://schemas.openxmlformats.org/officeDocument/2006/relationships/image" Target="media/image1.png"/><Relationship Id="rId112" Type="http://schemas.openxmlformats.org/officeDocument/2006/relationships/image" Target="media/image56.png"/><Relationship Id="rId557" Type="http://schemas.openxmlformats.org/officeDocument/2006/relationships/image" Target="media/image437.png"/><Relationship Id="rId196" Type="http://schemas.openxmlformats.org/officeDocument/2006/relationships/image" Target="media/image110.png"/><Relationship Id="rId417" Type="http://schemas.openxmlformats.org/officeDocument/2006/relationships/image" Target="media/image308.png"/><Relationship Id="rId624" Type="http://schemas.openxmlformats.org/officeDocument/2006/relationships/hyperlink" Target="https://magazin.asro.ro/ro/standard/222383" TargetMode="External"/><Relationship Id="rId263" Type="http://schemas.openxmlformats.org/officeDocument/2006/relationships/image" Target="media/image161.png"/><Relationship Id="rId470" Type="http://schemas.openxmlformats.org/officeDocument/2006/relationships/image" Target="media/image361.png"/><Relationship Id="rId58" Type="http://schemas.openxmlformats.org/officeDocument/2006/relationships/image" Target="media/image12.png"/><Relationship Id="rId123" Type="http://schemas.openxmlformats.org/officeDocument/2006/relationships/hyperlink" Target="https://hallo.ro/dictionar-englez-roman/contra" TargetMode="External"/><Relationship Id="rId330" Type="http://schemas.openxmlformats.org/officeDocument/2006/relationships/image" Target="media/image223.png"/><Relationship Id="rId568" Type="http://schemas.openxmlformats.org/officeDocument/2006/relationships/hyperlink" Target="http://eur-lex.europa.eu/legal-content/EN/TXT/?uri=CELEX:32017R2293" TargetMode="External"/><Relationship Id="rId428" Type="http://schemas.openxmlformats.org/officeDocument/2006/relationships/image" Target="media/image319.png"/><Relationship Id="rId635" Type="http://schemas.openxmlformats.org/officeDocument/2006/relationships/hyperlink" Target="https://magazin.asro.ro/ro/standard/271155" TargetMode="External"/><Relationship Id="rId274" Type="http://schemas.openxmlformats.org/officeDocument/2006/relationships/image" Target="media/image172.jpeg"/><Relationship Id="rId481" Type="http://schemas.openxmlformats.org/officeDocument/2006/relationships/image" Target="media/image372.png"/><Relationship Id="rId702" Type="http://schemas.openxmlformats.org/officeDocument/2006/relationships/hyperlink" Target="https://magazin.asro.ro/ro/standard/273783" TargetMode="External"/><Relationship Id="rId69" Type="http://schemas.openxmlformats.org/officeDocument/2006/relationships/image" Target="media/image22.png"/><Relationship Id="rId134" Type="http://schemas.openxmlformats.org/officeDocument/2006/relationships/image" Target="media/image68.png"/><Relationship Id="rId579" Type="http://schemas.openxmlformats.org/officeDocument/2006/relationships/hyperlink" Target="http://eur-lex.europa.eu/legal-content/EN/TXT/?uri=CELEX:32016R0364" TargetMode="External"/><Relationship Id="rId341" Type="http://schemas.openxmlformats.org/officeDocument/2006/relationships/image" Target="media/image234.wmf"/><Relationship Id="rId439" Type="http://schemas.openxmlformats.org/officeDocument/2006/relationships/image" Target="media/image330.png"/><Relationship Id="rId646" Type="http://schemas.openxmlformats.org/officeDocument/2006/relationships/hyperlink" Target="https://magazin.asro.ro/ro/standard/203433" TargetMode="External"/><Relationship Id="rId201" Type="http://schemas.openxmlformats.org/officeDocument/2006/relationships/image" Target="media/image113.png"/><Relationship Id="rId285" Type="http://schemas.openxmlformats.org/officeDocument/2006/relationships/image" Target="media/image183.jpeg"/><Relationship Id="rId506" Type="http://schemas.openxmlformats.org/officeDocument/2006/relationships/image" Target="media/image397.png"/><Relationship Id="rId492" Type="http://schemas.openxmlformats.org/officeDocument/2006/relationships/image" Target="media/image383.png"/><Relationship Id="rId145" Type="http://schemas.openxmlformats.org/officeDocument/2006/relationships/image" Target="media/image79.png"/><Relationship Id="rId352" Type="http://schemas.openxmlformats.org/officeDocument/2006/relationships/image" Target="media/image243.png"/><Relationship Id="rId212" Type="http://schemas.openxmlformats.org/officeDocument/2006/relationships/image" Target="media/image120.png"/><Relationship Id="rId657" Type="http://schemas.openxmlformats.org/officeDocument/2006/relationships/hyperlink" Target="https://magazin.asro.ro/ro/standard/111683" TargetMode="External"/><Relationship Id="rId296" Type="http://schemas.openxmlformats.org/officeDocument/2006/relationships/image" Target="media/image194.png"/><Relationship Id="rId517" Type="http://schemas.openxmlformats.org/officeDocument/2006/relationships/image" Target="media/image408.png"/><Relationship Id="rId60" Type="http://schemas.openxmlformats.org/officeDocument/2006/relationships/image" Target="media/image14.png"/><Relationship Id="rId156" Type="http://schemas.openxmlformats.org/officeDocument/2006/relationships/oleObject" Target="embeddings/oleObject3.bin"/><Relationship Id="rId363" Type="http://schemas.openxmlformats.org/officeDocument/2006/relationships/image" Target="media/image254.png"/><Relationship Id="rId570" Type="http://schemas.openxmlformats.org/officeDocument/2006/relationships/hyperlink" Target="http://eur-lex.europa.eu/legal-content/EN/TXT/?uri=uriserv:OJ.L_.2017.177.01.0001.01.ENG&amp;toc=OJ:L:2017:177:TOC" TargetMode="External"/><Relationship Id="rId223" Type="http://schemas.openxmlformats.org/officeDocument/2006/relationships/image" Target="media/image127.png"/><Relationship Id="rId430" Type="http://schemas.openxmlformats.org/officeDocument/2006/relationships/image" Target="media/image321.png"/><Relationship Id="rId668" Type="http://schemas.openxmlformats.org/officeDocument/2006/relationships/hyperlink" Target="https://magazin.asro.ro/ro/standard/186021" TargetMode="External"/><Relationship Id="rId18" Type="http://schemas.openxmlformats.org/officeDocument/2006/relationships/customXml" Target="../customXml/item18.xml"/><Relationship Id="rId528" Type="http://schemas.openxmlformats.org/officeDocument/2006/relationships/hyperlink" Target="https://lege5.ro/Gratuit/gi3dknbwga/privind-apropierea-legislatiilor-statelor-membre-referitoare-la-generatoarele-de-aerosoli?d=2023-08-09" TargetMode="External"/><Relationship Id="rId167" Type="http://schemas.openxmlformats.org/officeDocument/2006/relationships/image" Target="media/image91.png"/><Relationship Id="rId374" Type="http://schemas.openxmlformats.org/officeDocument/2006/relationships/image" Target="media/image265.png"/><Relationship Id="rId581" Type="http://schemas.openxmlformats.org/officeDocument/2006/relationships/hyperlink" Target="http://eur-lex.europa.eu/legal-content/EN/TXT/?uri=CELEX:32014R1292&amp;locale=en" TargetMode="External"/><Relationship Id="rId71" Type="http://schemas.openxmlformats.org/officeDocument/2006/relationships/image" Target="media/image24.png"/><Relationship Id="rId234" Type="http://schemas.openxmlformats.org/officeDocument/2006/relationships/image" Target="media/image132.png"/><Relationship Id="rId637" Type="http://schemas.openxmlformats.org/officeDocument/2006/relationships/hyperlink" Target="https://magazin.asro.ro/ro/standard/190436" TargetMode="External"/><Relationship Id="rId679" Type="http://schemas.openxmlformats.org/officeDocument/2006/relationships/hyperlink" Target="https://magazin.asro.ro/ro/standard/229918" TargetMode="External"/><Relationship Id="rId2" Type="http://schemas.openxmlformats.org/officeDocument/2006/relationships/customXml" Target="../customXml/item2.xml"/><Relationship Id="rId29" Type="http://schemas.openxmlformats.org/officeDocument/2006/relationships/customXml" Target="../customXml/item29.xml"/><Relationship Id="rId276" Type="http://schemas.openxmlformats.org/officeDocument/2006/relationships/image" Target="media/image174.jpeg"/><Relationship Id="rId441" Type="http://schemas.openxmlformats.org/officeDocument/2006/relationships/image" Target="media/image332.png"/><Relationship Id="rId483" Type="http://schemas.openxmlformats.org/officeDocument/2006/relationships/image" Target="media/image374.png"/><Relationship Id="rId539" Type="http://schemas.openxmlformats.org/officeDocument/2006/relationships/oleObject" Target="embeddings/oleObject14.bin"/><Relationship Id="rId690" Type="http://schemas.openxmlformats.org/officeDocument/2006/relationships/hyperlink" Target="https://magazin.asro.ro/ro/standard/184689" TargetMode="External"/><Relationship Id="rId704" Type="http://schemas.openxmlformats.org/officeDocument/2006/relationships/hyperlink" Target="https://magazin.asro.ro/ro/standard/274687" TargetMode="External"/><Relationship Id="rId40" Type="http://schemas.openxmlformats.org/officeDocument/2006/relationships/numbering" Target="numbering.xml"/><Relationship Id="rId136" Type="http://schemas.openxmlformats.org/officeDocument/2006/relationships/image" Target="media/image70.png"/><Relationship Id="rId178" Type="http://schemas.openxmlformats.org/officeDocument/2006/relationships/image" Target="media/image102.png"/><Relationship Id="rId301" Type="http://schemas.openxmlformats.org/officeDocument/2006/relationships/image" Target="media/image199.png"/><Relationship Id="rId343" Type="http://schemas.openxmlformats.org/officeDocument/2006/relationships/image" Target="media/image235.wmf"/><Relationship Id="rId550" Type="http://schemas.openxmlformats.org/officeDocument/2006/relationships/image" Target="media/image430.png"/><Relationship Id="rId82" Type="http://schemas.openxmlformats.org/officeDocument/2006/relationships/image" Target="media/image33.png"/><Relationship Id="rId203" Type="http://schemas.openxmlformats.org/officeDocument/2006/relationships/image" Target="media/image115.png"/><Relationship Id="rId385" Type="http://schemas.openxmlformats.org/officeDocument/2006/relationships/image" Target="media/image276.png"/><Relationship Id="rId592" Type="http://schemas.openxmlformats.org/officeDocument/2006/relationships/hyperlink" Target="https://magazin.asro.ro/ro/standard/24410" TargetMode="External"/><Relationship Id="rId606" Type="http://schemas.openxmlformats.org/officeDocument/2006/relationships/hyperlink" Target="https://magazin.asro.ro/ro/standard/184856" TargetMode="External"/><Relationship Id="rId648" Type="http://schemas.openxmlformats.org/officeDocument/2006/relationships/hyperlink" Target="https://magazin.asro.ro/ro/standard/180933" TargetMode="External"/><Relationship Id="rId245" Type="http://schemas.openxmlformats.org/officeDocument/2006/relationships/image" Target="media/image143.png"/><Relationship Id="rId287" Type="http://schemas.openxmlformats.org/officeDocument/2006/relationships/image" Target="media/image185.jpeg"/><Relationship Id="rId410" Type="http://schemas.openxmlformats.org/officeDocument/2006/relationships/image" Target="media/image301.png"/><Relationship Id="rId452" Type="http://schemas.openxmlformats.org/officeDocument/2006/relationships/image" Target="media/image343.png"/><Relationship Id="rId494" Type="http://schemas.openxmlformats.org/officeDocument/2006/relationships/image" Target="media/image385.png"/><Relationship Id="rId508" Type="http://schemas.openxmlformats.org/officeDocument/2006/relationships/image" Target="media/image399.png"/><Relationship Id="rId105" Type="http://schemas.openxmlformats.org/officeDocument/2006/relationships/image" Target="media/image49.png"/><Relationship Id="rId147" Type="http://schemas.openxmlformats.org/officeDocument/2006/relationships/image" Target="media/image81.png"/><Relationship Id="rId312" Type="http://schemas.openxmlformats.org/officeDocument/2006/relationships/oleObject" Target="embeddings/oleObject8.bin"/><Relationship Id="rId354" Type="http://schemas.openxmlformats.org/officeDocument/2006/relationships/image" Target="media/image245.png"/><Relationship Id="rId51" Type="http://schemas.openxmlformats.org/officeDocument/2006/relationships/image" Target="media/image5.png"/><Relationship Id="rId93" Type="http://schemas.openxmlformats.org/officeDocument/2006/relationships/image" Target="media/image42.png"/><Relationship Id="rId189" Type="http://schemas.openxmlformats.org/officeDocument/2006/relationships/hyperlink" Target="https://hallo.ro/dictionar-englez-roman/de" TargetMode="External"/><Relationship Id="rId396" Type="http://schemas.openxmlformats.org/officeDocument/2006/relationships/image" Target="media/image287.png"/><Relationship Id="rId561" Type="http://schemas.openxmlformats.org/officeDocument/2006/relationships/hyperlink" Target="http://legislatie.just.ro/Public/DetaliiDocumentAfis/" TargetMode="External"/><Relationship Id="rId617" Type="http://schemas.openxmlformats.org/officeDocument/2006/relationships/hyperlink" Target="https://magazin.asro.ro/ro/standard/230033" TargetMode="External"/><Relationship Id="rId659" Type="http://schemas.openxmlformats.org/officeDocument/2006/relationships/hyperlink" Target="https://magazin.asro.ro/ro/standard/237753" TargetMode="External"/><Relationship Id="rId214" Type="http://schemas.openxmlformats.org/officeDocument/2006/relationships/image" Target="media/image122.png"/><Relationship Id="rId256" Type="http://schemas.openxmlformats.org/officeDocument/2006/relationships/image" Target="media/image154.png"/><Relationship Id="rId298" Type="http://schemas.openxmlformats.org/officeDocument/2006/relationships/image" Target="media/image196.png"/><Relationship Id="rId421" Type="http://schemas.openxmlformats.org/officeDocument/2006/relationships/image" Target="media/image312.png"/><Relationship Id="rId463" Type="http://schemas.openxmlformats.org/officeDocument/2006/relationships/image" Target="media/image354.png"/><Relationship Id="rId519" Type="http://schemas.openxmlformats.org/officeDocument/2006/relationships/image" Target="media/image410.png"/><Relationship Id="rId670" Type="http://schemas.openxmlformats.org/officeDocument/2006/relationships/hyperlink" Target="https://magazin.asro.ro/ro/standard/178728" TargetMode="External"/><Relationship Id="rId116" Type="http://schemas.openxmlformats.org/officeDocument/2006/relationships/image" Target="media/image60.png"/><Relationship Id="rId158" Type="http://schemas.openxmlformats.org/officeDocument/2006/relationships/hyperlink" Target="mailto:%5enc@peri" TargetMode="External"/><Relationship Id="rId323" Type="http://schemas.openxmlformats.org/officeDocument/2006/relationships/image" Target="media/image216.png"/><Relationship Id="rId530" Type="http://schemas.openxmlformats.org/officeDocument/2006/relationships/hyperlink" Target="https://lege5.ro/Gratuit/gm2dsnrxga/regulamentul-nr-1272-2008-privind-clasificarea-etichetarea-si-ambalarea-substantelor-si-a-amestecurilor-de-modificare-si-de-abrogare-a-directivelor-67-548-cee-si-1999-45-ce-precum-si-de-modificare-a-r?pid=64276371&amp;d=2023-08-09" TargetMode="External"/><Relationship Id="rId20" Type="http://schemas.openxmlformats.org/officeDocument/2006/relationships/customXml" Target="../customXml/item20.xml"/><Relationship Id="rId62" Type="http://schemas.openxmlformats.org/officeDocument/2006/relationships/image" Target="media/image16.png"/><Relationship Id="rId365" Type="http://schemas.openxmlformats.org/officeDocument/2006/relationships/image" Target="media/image256.png"/><Relationship Id="rId572" Type="http://schemas.openxmlformats.org/officeDocument/2006/relationships/hyperlink" Target="http://eur-lex.europa.eu/legal-content/EN/TXT/?uri=uriserv:OJ.L_.2017.177.01.0004.01.ENG&amp;toc=OJ:L:2017:177:TOC" TargetMode="External"/><Relationship Id="rId628" Type="http://schemas.openxmlformats.org/officeDocument/2006/relationships/hyperlink" Target="https://magazin.asro.ro/ro/standard/222384" TargetMode="External"/><Relationship Id="rId225" Type="http://schemas.openxmlformats.org/officeDocument/2006/relationships/image" Target="media/image129.png"/><Relationship Id="rId267" Type="http://schemas.openxmlformats.org/officeDocument/2006/relationships/image" Target="media/image165.jpeg"/><Relationship Id="rId432" Type="http://schemas.openxmlformats.org/officeDocument/2006/relationships/image" Target="media/image323.png"/><Relationship Id="rId474" Type="http://schemas.openxmlformats.org/officeDocument/2006/relationships/image" Target="media/image365.png"/><Relationship Id="rId127" Type="http://schemas.openxmlformats.org/officeDocument/2006/relationships/hyperlink" Target="https://hallo.ro/dictionar-englez-roman/contra" TargetMode="External"/><Relationship Id="rId681" Type="http://schemas.openxmlformats.org/officeDocument/2006/relationships/hyperlink" Target="https://magazin.asro.ro/ro/standard/24538" TargetMode="External"/><Relationship Id="rId31" Type="http://schemas.openxmlformats.org/officeDocument/2006/relationships/customXml" Target="../customXml/item31.xml"/><Relationship Id="rId73" Type="http://schemas.openxmlformats.org/officeDocument/2006/relationships/image" Target="media/image26.png"/><Relationship Id="rId169" Type="http://schemas.openxmlformats.org/officeDocument/2006/relationships/image" Target="media/image93.png"/><Relationship Id="rId334" Type="http://schemas.openxmlformats.org/officeDocument/2006/relationships/image" Target="media/image227.png"/><Relationship Id="rId376" Type="http://schemas.openxmlformats.org/officeDocument/2006/relationships/image" Target="media/image267.png"/><Relationship Id="rId541" Type="http://schemas.openxmlformats.org/officeDocument/2006/relationships/image" Target="media/image421.jpeg"/><Relationship Id="rId583" Type="http://schemas.openxmlformats.org/officeDocument/2006/relationships/hyperlink" Target="http://eur-lex.europa.eu/legal-content/EN/TXT/?uri=CELEX:32014R1293&amp;locale=en" TargetMode="External"/><Relationship Id="rId639" Type="http://schemas.openxmlformats.org/officeDocument/2006/relationships/hyperlink" Target="https://magazin.asro.ro/ro/standard/273060" TargetMode="External"/><Relationship Id="rId4" Type="http://schemas.openxmlformats.org/officeDocument/2006/relationships/customXml" Target="../customXml/item4.xml"/><Relationship Id="rId180" Type="http://schemas.openxmlformats.org/officeDocument/2006/relationships/image" Target="media/image104.png"/><Relationship Id="rId236" Type="http://schemas.openxmlformats.org/officeDocument/2006/relationships/image" Target="media/image134.png"/><Relationship Id="rId278" Type="http://schemas.openxmlformats.org/officeDocument/2006/relationships/image" Target="media/image176.png"/><Relationship Id="rId401" Type="http://schemas.openxmlformats.org/officeDocument/2006/relationships/image" Target="media/image292.png"/><Relationship Id="rId443" Type="http://schemas.openxmlformats.org/officeDocument/2006/relationships/image" Target="media/image334.png"/><Relationship Id="rId650" Type="http://schemas.openxmlformats.org/officeDocument/2006/relationships/hyperlink" Target="https://magazin.asro.ro/ro/standard/273602" TargetMode="External"/><Relationship Id="rId303" Type="http://schemas.openxmlformats.org/officeDocument/2006/relationships/image" Target="media/image201.png"/><Relationship Id="rId485" Type="http://schemas.openxmlformats.org/officeDocument/2006/relationships/image" Target="media/image376.png"/><Relationship Id="rId692" Type="http://schemas.openxmlformats.org/officeDocument/2006/relationships/hyperlink" Target="https://magazin.asro.ro/ro/standard/265024" TargetMode="External"/><Relationship Id="rId706" Type="http://schemas.openxmlformats.org/officeDocument/2006/relationships/hyperlink" Target="https://magazin.asro.ro/ro/standard/198209" TargetMode="External"/><Relationship Id="rId42" Type="http://schemas.openxmlformats.org/officeDocument/2006/relationships/settings" Target="settings.xml"/><Relationship Id="rId84" Type="http://schemas.openxmlformats.org/officeDocument/2006/relationships/hyperlink" Target="https://hallo.ro/dictionar-englez-roman/de" TargetMode="External"/><Relationship Id="rId138" Type="http://schemas.openxmlformats.org/officeDocument/2006/relationships/image" Target="media/image72.png"/><Relationship Id="rId345" Type="http://schemas.openxmlformats.org/officeDocument/2006/relationships/image" Target="media/image236.png"/><Relationship Id="rId387" Type="http://schemas.openxmlformats.org/officeDocument/2006/relationships/image" Target="media/image278.png"/><Relationship Id="rId510" Type="http://schemas.openxmlformats.org/officeDocument/2006/relationships/image" Target="media/image401.png"/><Relationship Id="rId552" Type="http://schemas.openxmlformats.org/officeDocument/2006/relationships/image" Target="media/image432.png"/><Relationship Id="rId594" Type="http://schemas.openxmlformats.org/officeDocument/2006/relationships/hyperlink" Target="https://magazin.asro.ro/ro/standard/261689" TargetMode="External"/><Relationship Id="rId608" Type="http://schemas.openxmlformats.org/officeDocument/2006/relationships/hyperlink" Target="https://magazin.asro.ro/ro/standard/95166" TargetMode="External"/><Relationship Id="rId191" Type="http://schemas.openxmlformats.org/officeDocument/2006/relationships/hyperlink" Target="https://hallo.ro/dictionar-englez-roman/contra" TargetMode="External"/><Relationship Id="rId205" Type="http://schemas.openxmlformats.org/officeDocument/2006/relationships/hyperlink" Target="https://magazin.asro.ro/ro/standard/278553" TargetMode="External"/><Relationship Id="rId247" Type="http://schemas.openxmlformats.org/officeDocument/2006/relationships/image" Target="media/image145.png"/><Relationship Id="rId412" Type="http://schemas.openxmlformats.org/officeDocument/2006/relationships/image" Target="media/image303.png"/><Relationship Id="rId107" Type="http://schemas.openxmlformats.org/officeDocument/2006/relationships/image" Target="media/image51.png"/><Relationship Id="rId289" Type="http://schemas.openxmlformats.org/officeDocument/2006/relationships/image" Target="media/image187.jpeg"/><Relationship Id="rId454" Type="http://schemas.openxmlformats.org/officeDocument/2006/relationships/image" Target="media/image345.png"/><Relationship Id="rId496" Type="http://schemas.openxmlformats.org/officeDocument/2006/relationships/image" Target="media/image387.png"/><Relationship Id="rId661" Type="http://schemas.openxmlformats.org/officeDocument/2006/relationships/hyperlink" Target="https://magazin.asro.ro/ro/standard/142538" TargetMode="External"/><Relationship Id="rId11" Type="http://schemas.openxmlformats.org/officeDocument/2006/relationships/customXml" Target="../customXml/item11.xml"/><Relationship Id="rId53" Type="http://schemas.openxmlformats.org/officeDocument/2006/relationships/image" Target="media/image7.png"/><Relationship Id="rId149" Type="http://schemas.openxmlformats.org/officeDocument/2006/relationships/hyperlink" Target="https://magazin.asro.ro/ro/standard/278553" TargetMode="External"/><Relationship Id="rId314" Type="http://schemas.openxmlformats.org/officeDocument/2006/relationships/image" Target="media/image209.png"/><Relationship Id="rId356" Type="http://schemas.openxmlformats.org/officeDocument/2006/relationships/image" Target="media/image247.png"/><Relationship Id="rId398" Type="http://schemas.openxmlformats.org/officeDocument/2006/relationships/image" Target="media/image289.png"/><Relationship Id="rId521" Type="http://schemas.openxmlformats.org/officeDocument/2006/relationships/image" Target="media/image412.png"/><Relationship Id="rId563" Type="http://schemas.openxmlformats.org/officeDocument/2006/relationships/hyperlink" Target="https://eur-lex.europa.eu/legal-content/en/TXT/?uri=CELEX:32019R1188" TargetMode="External"/><Relationship Id="rId619" Type="http://schemas.openxmlformats.org/officeDocument/2006/relationships/hyperlink" Target="https://magazin.asro.ro/ro/standard/106691" TargetMode="External"/><Relationship Id="rId95" Type="http://schemas.openxmlformats.org/officeDocument/2006/relationships/image" Target="media/image44.png"/><Relationship Id="rId160" Type="http://schemas.openxmlformats.org/officeDocument/2006/relationships/image" Target="media/image85.png"/><Relationship Id="rId216" Type="http://schemas.openxmlformats.org/officeDocument/2006/relationships/hyperlink" Target="https://magazin.asro.ro/ro/standard/278553" TargetMode="External"/><Relationship Id="rId423" Type="http://schemas.openxmlformats.org/officeDocument/2006/relationships/image" Target="media/image314.png"/><Relationship Id="rId258" Type="http://schemas.openxmlformats.org/officeDocument/2006/relationships/image" Target="media/image156.png"/><Relationship Id="rId465" Type="http://schemas.openxmlformats.org/officeDocument/2006/relationships/image" Target="media/image356.png"/><Relationship Id="rId630" Type="http://schemas.openxmlformats.org/officeDocument/2006/relationships/hyperlink" Target="https://magazin.asro.ro/ro/standard/274484" TargetMode="External"/><Relationship Id="rId672" Type="http://schemas.openxmlformats.org/officeDocument/2006/relationships/hyperlink" Target="https://magazin.asro.ro/ro/standard/13828" TargetMode="External"/><Relationship Id="rId22" Type="http://schemas.openxmlformats.org/officeDocument/2006/relationships/customXml" Target="../customXml/item22.xml"/><Relationship Id="rId64" Type="http://schemas.openxmlformats.org/officeDocument/2006/relationships/image" Target="media/image18.png"/><Relationship Id="rId118" Type="http://schemas.openxmlformats.org/officeDocument/2006/relationships/image" Target="media/image62.png"/><Relationship Id="rId325" Type="http://schemas.openxmlformats.org/officeDocument/2006/relationships/image" Target="media/image218.png"/><Relationship Id="rId367" Type="http://schemas.openxmlformats.org/officeDocument/2006/relationships/image" Target="media/image258.png"/><Relationship Id="rId532" Type="http://schemas.openxmlformats.org/officeDocument/2006/relationships/image" Target="media/image416.png"/><Relationship Id="rId574" Type="http://schemas.openxmlformats.org/officeDocument/2006/relationships/hyperlink" Target="http://eur-lex.europa.eu/legal-content/EN/TXT/?uri=CELEX:32015D1936" TargetMode="External"/><Relationship Id="rId171" Type="http://schemas.openxmlformats.org/officeDocument/2006/relationships/image" Target="media/image95.png"/><Relationship Id="rId227" Type="http://schemas.openxmlformats.org/officeDocument/2006/relationships/hyperlink" Target="https://magazin.asro.ro/ro/standard/278553" TargetMode="External"/><Relationship Id="rId269" Type="http://schemas.openxmlformats.org/officeDocument/2006/relationships/image" Target="media/image167.jpeg"/><Relationship Id="rId434" Type="http://schemas.openxmlformats.org/officeDocument/2006/relationships/image" Target="media/image325.png"/><Relationship Id="rId476" Type="http://schemas.openxmlformats.org/officeDocument/2006/relationships/image" Target="media/image367.png"/><Relationship Id="rId641" Type="http://schemas.openxmlformats.org/officeDocument/2006/relationships/hyperlink" Target="https://magazin.asro.ro/ro/standard/266505" TargetMode="External"/><Relationship Id="rId683" Type="http://schemas.openxmlformats.org/officeDocument/2006/relationships/hyperlink" Target="https://magazin.asro.ro/ro/standard/236668" TargetMode="External"/><Relationship Id="rId33" Type="http://schemas.openxmlformats.org/officeDocument/2006/relationships/customXml" Target="../customXml/item33.xml"/><Relationship Id="rId129" Type="http://schemas.openxmlformats.org/officeDocument/2006/relationships/hyperlink" Target="https://magazin.asro.ro/ro/standard/278553" TargetMode="External"/><Relationship Id="rId280" Type="http://schemas.openxmlformats.org/officeDocument/2006/relationships/image" Target="media/image178.jpeg"/><Relationship Id="rId336" Type="http://schemas.openxmlformats.org/officeDocument/2006/relationships/image" Target="media/image229.png"/><Relationship Id="rId501" Type="http://schemas.openxmlformats.org/officeDocument/2006/relationships/image" Target="media/image392.png"/><Relationship Id="rId543" Type="http://schemas.openxmlformats.org/officeDocument/2006/relationships/image" Target="media/image423.png"/><Relationship Id="rId75" Type="http://schemas.openxmlformats.org/officeDocument/2006/relationships/image" Target="media/image28.png"/><Relationship Id="rId140" Type="http://schemas.openxmlformats.org/officeDocument/2006/relationships/image" Target="media/image74.png"/><Relationship Id="rId182" Type="http://schemas.openxmlformats.org/officeDocument/2006/relationships/image" Target="media/image106.png"/><Relationship Id="rId378" Type="http://schemas.openxmlformats.org/officeDocument/2006/relationships/image" Target="media/image269.png"/><Relationship Id="rId403" Type="http://schemas.openxmlformats.org/officeDocument/2006/relationships/image" Target="media/image294.png"/><Relationship Id="rId585" Type="http://schemas.openxmlformats.org/officeDocument/2006/relationships/hyperlink" Target="http://eur-lex.europa.eu/legal-content/EN/TXT/?uri=CELEX:32014R1291&amp;locale=en" TargetMode="External"/><Relationship Id="rId6" Type="http://schemas.openxmlformats.org/officeDocument/2006/relationships/customXml" Target="../customXml/item6.xml"/><Relationship Id="rId238" Type="http://schemas.openxmlformats.org/officeDocument/2006/relationships/image" Target="media/image136.png"/><Relationship Id="rId445" Type="http://schemas.openxmlformats.org/officeDocument/2006/relationships/image" Target="media/image336.png"/><Relationship Id="rId487" Type="http://schemas.openxmlformats.org/officeDocument/2006/relationships/image" Target="media/image378.png"/><Relationship Id="rId610" Type="http://schemas.openxmlformats.org/officeDocument/2006/relationships/hyperlink" Target="https://magazin.asro.ro/ro/standard/166487" TargetMode="External"/><Relationship Id="rId652" Type="http://schemas.openxmlformats.org/officeDocument/2006/relationships/hyperlink" Target="https://magazin.asro.ro/ro/standard/168182" TargetMode="External"/><Relationship Id="rId694" Type="http://schemas.openxmlformats.org/officeDocument/2006/relationships/hyperlink" Target="https://magazin.asro.ro/ro/standard/26278" TargetMode="External"/><Relationship Id="rId708" Type="http://schemas.openxmlformats.org/officeDocument/2006/relationships/fontTable" Target="fontTable.xml"/><Relationship Id="rId291" Type="http://schemas.openxmlformats.org/officeDocument/2006/relationships/image" Target="media/image189.jpeg"/><Relationship Id="rId305" Type="http://schemas.openxmlformats.org/officeDocument/2006/relationships/image" Target="media/image203.png"/><Relationship Id="rId347" Type="http://schemas.openxmlformats.org/officeDocument/2006/relationships/image" Target="media/image238.png"/><Relationship Id="rId512" Type="http://schemas.openxmlformats.org/officeDocument/2006/relationships/image" Target="media/image403.png"/><Relationship Id="rId44" Type="http://schemas.openxmlformats.org/officeDocument/2006/relationships/footnotes" Target="footnotes.xml"/><Relationship Id="rId86" Type="http://schemas.openxmlformats.org/officeDocument/2006/relationships/image" Target="media/image35.png"/><Relationship Id="rId151" Type="http://schemas.openxmlformats.org/officeDocument/2006/relationships/hyperlink" Target="mailto:l@%5Dimea" TargetMode="External"/><Relationship Id="rId389" Type="http://schemas.openxmlformats.org/officeDocument/2006/relationships/image" Target="media/image280.png"/><Relationship Id="rId554" Type="http://schemas.openxmlformats.org/officeDocument/2006/relationships/image" Target="media/image434.png"/><Relationship Id="rId596" Type="http://schemas.openxmlformats.org/officeDocument/2006/relationships/hyperlink" Target="https://magazin.asro.ro/ro/standard/256657" TargetMode="External"/><Relationship Id="rId193" Type="http://schemas.openxmlformats.org/officeDocument/2006/relationships/image" Target="media/image109.png"/><Relationship Id="rId207" Type="http://schemas.openxmlformats.org/officeDocument/2006/relationships/hyperlink" Target="https://magazin.asro.ro/ro/standard/278553" TargetMode="External"/><Relationship Id="rId249" Type="http://schemas.openxmlformats.org/officeDocument/2006/relationships/image" Target="media/image147.png"/><Relationship Id="rId414" Type="http://schemas.openxmlformats.org/officeDocument/2006/relationships/image" Target="media/image305.png"/><Relationship Id="rId456" Type="http://schemas.openxmlformats.org/officeDocument/2006/relationships/image" Target="media/image347.png"/><Relationship Id="rId498" Type="http://schemas.openxmlformats.org/officeDocument/2006/relationships/image" Target="media/image389.png"/><Relationship Id="rId621" Type="http://schemas.openxmlformats.org/officeDocument/2006/relationships/hyperlink" Target="https://magazin.asro.ro/ro/standard/274816" TargetMode="External"/><Relationship Id="rId663" Type="http://schemas.openxmlformats.org/officeDocument/2006/relationships/hyperlink" Target="https://magazin.asro.ro/ro/standard/109540" TargetMode="External"/><Relationship Id="rId13" Type="http://schemas.openxmlformats.org/officeDocument/2006/relationships/customXml" Target="../customXml/item13.xml"/><Relationship Id="rId109" Type="http://schemas.openxmlformats.org/officeDocument/2006/relationships/image" Target="media/image53.png"/><Relationship Id="rId260" Type="http://schemas.openxmlformats.org/officeDocument/2006/relationships/image" Target="media/image158.png"/><Relationship Id="rId316" Type="http://schemas.openxmlformats.org/officeDocument/2006/relationships/oleObject" Target="embeddings/oleObject11.bin"/><Relationship Id="rId523" Type="http://schemas.openxmlformats.org/officeDocument/2006/relationships/image" Target="media/image414.png"/><Relationship Id="rId55" Type="http://schemas.openxmlformats.org/officeDocument/2006/relationships/image" Target="media/image9.png"/><Relationship Id="rId97" Type="http://schemas.openxmlformats.org/officeDocument/2006/relationships/image" Target="media/image46.png"/><Relationship Id="rId120" Type="http://schemas.openxmlformats.org/officeDocument/2006/relationships/image" Target="media/image64.png"/><Relationship Id="rId358" Type="http://schemas.openxmlformats.org/officeDocument/2006/relationships/image" Target="media/image249.png"/><Relationship Id="rId565" Type="http://schemas.openxmlformats.org/officeDocument/2006/relationships/hyperlink" Target="https://eur-lex.europa.eu/legal-content/EN/TXT/?uri=uriserv:OJ.L_.2018.131.01.0023.01.ENG" TargetMode="External"/><Relationship Id="rId162" Type="http://schemas.openxmlformats.org/officeDocument/2006/relationships/image" Target="media/image87.png"/><Relationship Id="rId218" Type="http://schemas.openxmlformats.org/officeDocument/2006/relationships/image" Target="media/image124.wmf"/><Relationship Id="rId425" Type="http://schemas.openxmlformats.org/officeDocument/2006/relationships/image" Target="media/image316.png"/><Relationship Id="rId467" Type="http://schemas.openxmlformats.org/officeDocument/2006/relationships/image" Target="media/image358.png"/><Relationship Id="rId632" Type="http://schemas.openxmlformats.org/officeDocument/2006/relationships/hyperlink" Target="https://magazin.asro.ro/ro/standard/247705" TargetMode="External"/><Relationship Id="rId271" Type="http://schemas.openxmlformats.org/officeDocument/2006/relationships/image" Target="media/image169.jpeg"/><Relationship Id="rId674" Type="http://schemas.openxmlformats.org/officeDocument/2006/relationships/hyperlink" Target="https://magazin.asro.ro/ro/standard/183832" TargetMode="External"/><Relationship Id="rId24" Type="http://schemas.openxmlformats.org/officeDocument/2006/relationships/customXml" Target="../customXml/item24.xml"/><Relationship Id="rId66" Type="http://schemas.openxmlformats.org/officeDocument/2006/relationships/image" Target="media/image19.png"/><Relationship Id="rId131" Type="http://schemas.openxmlformats.org/officeDocument/2006/relationships/image" Target="media/image65.png"/><Relationship Id="rId327" Type="http://schemas.openxmlformats.org/officeDocument/2006/relationships/image" Target="media/image220.png"/><Relationship Id="rId369" Type="http://schemas.openxmlformats.org/officeDocument/2006/relationships/image" Target="media/image260.png"/><Relationship Id="rId534" Type="http://schemas.openxmlformats.org/officeDocument/2006/relationships/hyperlink" Target="mailto:Preciz@ri" TargetMode="External"/><Relationship Id="rId576" Type="http://schemas.openxmlformats.org/officeDocument/2006/relationships/hyperlink" Target="http://eur-lex.europa.eu/legal-content/EN/TXT/?uri=CELEX:32015D1958" TargetMode="External"/><Relationship Id="rId173" Type="http://schemas.openxmlformats.org/officeDocument/2006/relationships/image" Target="media/image97.png"/><Relationship Id="rId229" Type="http://schemas.openxmlformats.org/officeDocument/2006/relationships/hyperlink" Target="https://magazin.asro.ro/ro/standard/278553" TargetMode="External"/><Relationship Id="rId380" Type="http://schemas.openxmlformats.org/officeDocument/2006/relationships/image" Target="media/image271.png"/><Relationship Id="rId436" Type="http://schemas.openxmlformats.org/officeDocument/2006/relationships/image" Target="media/image327.png"/><Relationship Id="rId601" Type="http://schemas.openxmlformats.org/officeDocument/2006/relationships/hyperlink" Target="https://magazin.asro.ro/ro/standard/109355" TargetMode="External"/><Relationship Id="rId643" Type="http://schemas.openxmlformats.org/officeDocument/2006/relationships/hyperlink" Target="https://magazin.asro.ro/ro/standard/266506" TargetMode="External"/><Relationship Id="rId240" Type="http://schemas.openxmlformats.org/officeDocument/2006/relationships/image" Target="media/image138.png"/><Relationship Id="rId478" Type="http://schemas.openxmlformats.org/officeDocument/2006/relationships/image" Target="media/image369.png"/><Relationship Id="rId685" Type="http://schemas.openxmlformats.org/officeDocument/2006/relationships/hyperlink" Target="https://magazin.asro.ro/ro/standard/119257" TargetMode="External"/><Relationship Id="rId35" Type="http://schemas.openxmlformats.org/officeDocument/2006/relationships/customXml" Target="../customXml/item35.xml"/><Relationship Id="rId77" Type="http://schemas.openxmlformats.org/officeDocument/2006/relationships/image" Target="media/image30.png"/><Relationship Id="rId100" Type="http://schemas.openxmlformats.org/officeDocument/2006/relationships/hyperlink" Target="https://hallo.ro/dictionar-englez-roman/de" TargetMode="External"/><Relationship Id="rId282" Type="http://schemas.openxmlformats.org/officeDocument/2006/relationships/image" Target="media/image180.jpeg"/><Relationship Id="rId338" Type="http://schemas.openxmlformats.org/officeDocument/2006/relationships/image" Target="media/image231.png"/><Relationship Id="rId503" Type="http://schemas.openxmlformats.org/officeDocument/2006/relationships/image" Target="media/image394.png"/><Relationship Id="rId545" Type="http://schemas.openxmlformats.org/officeDocument/2006/relationships/image" Target="media/image425.png"/><Relationship Id="rId587" Type="http://schemas.openxmlformats.org/officeDocument/2006/relationships/hyperlink" Target="http://ec.europa.eu/DocsRoom/documents/5407/attachments/1/translations" TargetMode="External"/><Relationship Id="rId8" Type="http://schemas.openxmlformats.org/officeDocument/2006/relationships/customXml" Target="../customXml/item8.xml"/><Relationship Id="rId142" Type="http://schemas.openxmlformats.org/officeDocument/2006/relationships/image" Target="media/image76.png"/><Relationship Id="rId184" Type="http://schemas.openxmlformats.org/officeDocument/2006/relationships/image" Target="media/image108.png"/><Relationship Id="rId391" Type="http://schemas.openxmlformats.org/officeDocument/2006/relationships/image" Target="media/image282.png"/><Relationship Id="rId405" Type="http://schemas.openxmlformats.org/officeDocument/2006/relationships/image" Target="media/image296.png"/><Relationship Id="rId447" Type="http://schemas.openxmlformats.org/officeDocument/2006/relationships/image" Target="media/image338.png"/><Relationship Id="rId612" Type="http://schemas.openxmlformats.org/officeDocument/2006/relationships/hyperlink" Target="https://magazin.asro.ro/ro/standard/266985" TargetMode="External"/><Relationship Id="rId251" Type="http://schemas.openxmlformats.org/officeDocument/2006/relationships/image" Target="media/image149.png"/><Relationship Id="rId489" Type="http://schemas.openxmlformats.org/officeDocument/2006/relationships/image" Target="media/image380.png"/><Relationship Id="rId654" Type="http://schemas.openxmlformats.org/officeDocument/2006/relationships/hyperlink" Target="https://magazin.asro.ro/ro/standard/237708" TargetMode="External"/><Relationship Id="rId696" Type="http://schemas.openxmlformats.org/officeDocument/2006/relationships/hyperlink" Target="https://magazin.asro.ro/ro/standard/117360" TargetMode="External"/><Relationship Id="rId46" Type="http://schemas.openxmlformats.org/officeDocument/2006/relationships/hyperlink" Target="mailto:determinat@;" TargetMode="External"/><Relationship Id="rId293" Type="http://schemas.openxmlformats.org/officeDocument/2006/relationships/image" Target="media/image191.png"/><Relationship Id="rId307" Type="http://schemas.openxmlformats.org/officeDocument/2006/relationships/image" Target="media/image204.png"/><Relationship Id="rId349" Type="http://schemas.openxmlformats.org/officeDocument/2006/relationships/image" Target="media/image240.png"/><Relationship Id="rId514" Type="http://schemas.openxmlformats.org/officeDocument/2006/relationships/image" Target="media/image405.png"/><Relationship Id="rId556" Type="http://schemas.openxmlformats.org/officeDocument/2006/relationships/image" Target="media/image436.png"/><Relationship Id="rId88" Type="http://schemas.openxmlformats.org/officeDocument/2006/relationships/image" Target="media/image37.png"/><Relationship Id="rId111" Type="http://schemas.openxmlformats.org/officeDocument/2006/relationships/image" Target="media/image55.png"/><Relationship Id="rId153" Type="http://schemas.openxmlformats.org/officeDocument/2006/relationships/image" Target="media/image83.wmf"/><Relationship Id="rId195" Type="http://schemas.openxmlformats.org/officeDocument/2006/relationships/hyperlink" Target="https://hallo.ro/dictionar-englez-roman/de" TargetMode="External"/><Relationship Id="rId209" Type="http://schemas.openxmlformats.org/officeDocument/2006/relationships/image" Target="media/image117.png"/><Relationship Id="rId360" Type="http://schemas.openxmlformats.org/officeDocument/2006/relationships/image" Target="media/image251.png"/><Relationship Id="rId416" Type="http://schemas.openxmlformats.org/officeDocument/2006/relationships/image" Target="media/image307.png"/><Relationship Id="rId598" Type="http://schemas.openxmlformats.org/officeDocument/2006/relationships/hyperlink" Target="https://magazin.asro.ro/ro/standard/28510" TargetMode="External"/><Relationship Id="rId220" Type="http://schemas.openxmlformats.org/officeDocument/2006/relationships/oleObject" Target="embeddings/oleObject6.bin"/><Relationship Id="rId458" Type="http://schemas.openxmlformats.org/officeDocument/2006/relationships/image" Target="media/image349.png"/><Relationship Id="rId623" Type="http://schemas.openxmlformats.org/officeDocument/2006/relationships/hyperlink" Target="https://magazin.asro.ro/ro/standard/237709" TargetMode="External"/><Relationship Id="rId665" Type="http://schemas.openxmlformats.org/officeDocument/2006/relationships/hyperlink" Target="https://magazin.asro.ro/ro/standard/190435" TargetMode="External"/><Relationship Id="rId15" Type="http://schemas.openxmlformats.org/officeDocument/2006/relationships/customXml" Target="../customXml/item15.xml"/><Relationship Id="rId57" Type="http://schemas.openxmlformats.org/officeDocument/2006/relationships/image" Target="media/image11.png"/><Relationship Id="rId262" Type="http://schemas.openxmlformats.org/officeDocument/2006/relationships/image" Target="media/image160.png"/><Relationship Id="rId318" Type="http://schemas.openxmlformats.org/officeDocument/2006/relationships/image" Target="media/image211.png"/><Relationship Id="rId525" Type="http://schemas.openxmlformats.org/officeDocument/2006/relationships/hyperlink" Target="https://lege5.ro/Gratuit/gm2dsnrxga/regulamentul-nr-1272-2008-privind-clasificarea-etichetarea-si-ambalarea-substantelor-si-a-amestecurilor-de-modificare-si-de-abrogare-a-directivelor-67-548-cee-si-1999-45-ce-precum-si-de-modificare-a-r?pid=64276193&amp;d=2023-08-09" TargetMode="External"/><Relationship Id="rId567" Type="http://schemas.openxmlformats.org/officeDocument/2006/relationships/hyperlink" Target="http://eur-lex.europa.eu/legal-content/EN/TXT/?uri=CELEX:32017R2293" TargetMode="External"/><Relationship Id="rId99" Type="http://schemas.openxmlformats.org/officeDocument/2006/relationships/hyperlink" Target="https://hallo.ro/dictionar-englez-roman/de" TargetMode="External"/><Relationship Id="rId122" Type="http://schemas.openxmlformats.org/officeDocument/2006/relationships/hyperlink" Target="https://hallo.ro/dictionar-englez-roman/protec%C5%A3ie" TargetMode="External"/><Relationship Id="rId164" Type="http://schemas.openxmlformats.org/officeDocument/2006/relationships/image" Target="media/image88.png"/><Relationship Id="rId371" Type="http://schemas.openxmlformats.org/officeDocument/2006/relationships/image" Target="media/image262.png"/><Relationship Id="rId427" Type="http://schemas.openxmlformats.org/officeDocument/2006/relationships/image" Target="media/image318.png"/><Relationship Id="rId469" Type="http://schemas.openxmlformats.org/officeDocument/2006/relationships/image" Target="media/image360.png"/><Relationship Id="rId634" Type="http://schemas.openxmlformats.org/officeDocument/2006/relationships/hyperlink" Target="https://magazin.asro.ro/ro/standard/247703" TargetMode="External"/><Relationship Id="rId676" Type="http://schemas.openxmlformats.org/officeDocument/2006/relationships/hyperlink" Target="https://magazin.asro.ro/ro/standard/118813" TargetMode="External"/><Relationship Id="rId26" Type="http://schemas.openxmlformats.org/officeDocument/2006/relationships/customXml" Target="../customXml/item26.xml"/><Relationship Id="rId231" Type="http://schemas.openxmlformats.org/officeDocument/2006/relationships/hyperlink" Target="https://magazin.asro.ro/ro/standard/278553" TargetMode="External"/><Relationship Id="rId273" Type="http://schemas.openxmlformats.org/officeDocument/2006/relationships/image" Target="media/image171.jpeg"/><Relationship Id="rId329" Type="http://schemas.openxmlformats.org/officeDocument/2006/relationships/image" Target="media/image222.png"/><Relationship Id="rId480" Type="http://schemas.openxmlformats.org/officeDocument/2006/relationships/image" Target="media/image371.png"/><Relationship Id="rId536" Type="http://schemas.openxmlformats.org/officeDocument/2006/relationships/image" Target="media/image417.jpeg"/><Relationship Id="rId701" Type="http://schemas.openxmlformats.org/officeDocument/2006/relationships/hyperlink" Target="https://magazin.asro.ro/ro/standard/275131" TargetMode="External"/><Relationship Id="rId68" Type="http://schemas.openxmlformats.org/officeDocument/2006/relationships/image" Target="media/image21.png"/><Relationship Id="rId133" Type="http://schemas.openxmlformats.org/officeDocument/2006/relationships/image" Target="media/image67.png"/><Relationship Id="rId175" Type="http://schemas.openxmlformats.org/officeDocument/2006/relationships/image" Target="media/image99.png"/><Relationship Id="rId340" Type="http://schemas.openxmlformats.org/officeDocument/2006/relationships/image" Target="media/image233.png"/><Relationship Id="rId578" Type="http://schemas.openxmlformats.org/officeDocument/2006/relationships/hyperlink" Target="http://eur-lex.europa.eu/legal-content/EN/TXT/?uri=CELEX:32016R0364" TargetMode="External"/><Relationship Id="rId200" Type="http://schemas.openxmlformats.org/officeDocument/2006/relationships/hyperlink" Target="https://hallo.ro/dictionar-englez-roman/de" TargetMode="External"/><Relationship Id="rId382" Type="http://schemas.openxmlformats.org/officeDocument/2006/relationships/image" Target="media/image273.png"/><Relationship Id="rId438" Type="http://schemas.openxmlformats.org/officeDocument/2006/relationships/image" Target="media/image329.png"/><Relationship Id="rId603" Type="http://schemas.openxmlformats.org/officeDocument/2006/relationships/hyperlink" Target="https://magazin.asro.ro/ro/standard/238871" TargetMode="External"/><Relationship Id="rId645" Type="http://schemas.openxmlformats.org/officeDocument/2006/relationships/hyperlink" Target="https://magazin.asro.ro/ro/standard/204149" TargetMode="External"/><Relationship Id="rId687" Type="http://schemas.openxmlformats.org/officeDocument/2006/relationships/hyperlink" Target="https://magazin.asro.ro/ro/standard/274876" TargetMode="External"/><Relationship Id="rId242" Type="http://schemas.openxmlformats.org/officeDocument/2006/relationships/image" Target="media/image140.png"/><Relationship Id="rId284" Type="http://schemas.openxmlformats.org/officeDocument/2006/relationships/image" Target="media/image182.jpeg"/><Relationship Id="rId491" Type="http://schemas.openxmlformats.org/officeDocument/2006/relationships/image" Target="media/image382.png"/><Relationship Id="rId505" Type="http://schemas.openxmlformats.org/officeDocument/2006/relationships/image" Target="media/image396.png"/><Relationship Id="rId37" Type="http://schemas.openxmlformats.org/officeDocument/2006/relationships/customXml" Target="../customXml/item37.xml"/><Relationship Id="rId79" Type="http://schemas.openxmlformats.org/officeDocument/2006/relationships/hyperlink" Target="https://magazin.asro.ro/ro/standard/278553" TargetMode="External"/><Relationship Id="rId102" Type="http://schemas.openxmlformats.org/officeDocument/2006/relationships/hyperlink" Target="https://hallo.ro/dictionar-englez-roman/contra" TargetMode="External"/><Relationship Id="rId144" Type="http://schemas.openxmlformats.org/officeDocument/2006/relationships/image" Target="media/image78.png"/><Relationship Id="rId547" Type="http://schemas.openxmlformats.org/officeDocument/2006/relationships/image" Target="media/image427.png"/><Relationship Id="rId589" Type="http://schemas.openxmlformats.org/officeDocument/2006/relationships/hyperlink" Target="http://ec.europa.eu/DocsRoom/documents/5405/attachments/1/translations" TargetMode="External"/><Relationship Id="rId90" Type="http://schemas.openxmlformats.org/officeDocument/2006/relationships/image" Target="media/image39.png"/><Relationship Id="rId186" Type="http://schemas.openxmlformats.org/officeDocument/2006/relationships/hyperlink" Target="https://hallo.ro/dictionar-englez-roman/protec%C5%A3ie" TargetMode="External"/><Relationship Id="rId351" Type="http://schemas.openxmlformats.org/officeDocument/2006/relationships/image" Target="media/image242.png"/><Relationship Id="rId393" Type="http://schemas.openxmlformats.org/officeDocument/2006/relationships/image" Target="media/image284.png"/><Relationship Id="rId407" Type="http://schemas.openxmlformats.org/officeDocument/2006/relationships/image" Target="media/image298.png"/><Relationship Id="rId449" Type="http://schemas.openxmlformats.org/officeDocument/2006/relationships/image" Target="media/image340.png"/><Relationship Id="rId614" Type="http://schemas.openxmlformats.org/officeDocument/2006/relationships/hyperlink" Target="https://magazin.asro.ro/ro/standard/271573" TargetMode="External"/><Relationship Id="rId656" Type="http://schemas.openxmlformats.org/officeDocument/2006/relationships/hyperlink" Target="https://magazin.asro.ro/ro/standard/200715" TargetMode="External"/><Relationship Id="rId211" Type="http://schemas.openxmlformats.org/officeDocument/2006/relationships/image" Target="media/image119.png"/><Relationship Id="rId253" Type="http://schemas.openxmlformats.org/officeDocument/2006/relationships/image" Target="media/image151.png"/><Relationship Id="rId295" Type="http://schemas.openxmlformats.org/officeDocument/2006/relationships/image" Target="media/image193.png"/><Relationship Id="rId309" Type="http://schemas.openxmlformats.org/officeDocument/2006/relationships/image" Target="media/image206.png"/><Relationship Id="rId460" Type="http://schemas.openxmlformats.org/officeDocument/2006/relationships/image" Target="media/image351.png"/><Relationship Id="rId516" Type="http://schemas.openxmlformats.org/officeDocument/2006/relationships/image" Target="media/image407.png"/><Relationship Id="rId698" Type="http://schemas.openxmlformats.org/officeDocument/2006/relationships/hyperlink" Target="https://magazin.asro.ro/ro/standard/109487" TargetMode="External"/><Relationship Id="rId48" Type="http://schemas.openxmlformats.org/officeDocument/2006/relationships/image" Target="media/image2.png"/><Relationship Id="rId113" Type="http://schemas.openxmlformats.org/officeDocument/2006/relationships/image" Target="media/image57.png"/><Relationship Id="rId320" Type="http://schemas.openxmlformats.org/officeDocument/2006/relationships/image" Target="media/image213.png"/><Relationship Id="rId558" Type="http://schemas.openxmlformats.org/officeDocument/2006/relationships/hyperlink" Target="https://www.mdlpa.ro/userfiles/reglementari/Domeniul_XXVIII/28_15_P118_2_2013.pdf" TargetMode="External"/><Relationship Id="rId155" Type="http://schemas.openxmlformats.org/officeDocument/2006/relationships/oleObject" Target="embeddings/oleObject2.bin"/><Relationship Id="rId197" Type="http://schemas.openxmlformats.org/officeDocument/2006/relationships/hyperlink" Target="https://hallo.ro/dictionar-englez-roman/de" TargetMode="External"/><Relationship Id="rId362" Type="http://schemas.openxmlformats.org/officeDocument/2006/relationships/image" Target="media/image253.png"/><Relationship Id="rId418" Type="http://schemas.openxmlformats.org/officeDocument/2006/relationships/image" Target="media/image309.png"/><Relationship Id="rId625" Type="http://schemas.openxmlformats.org/officeDocument/2006/relationships/hyperlink" Target="https://magazin.asro.ro/ro/standard/234599" TargetMode="External"/><Relationship Id="rId222" Type="http://schemas.openxmlformats.org/officeDocument/2006/relationships/image" Target="media/image126.png"/><Relationship Id="rId264" Type="http://schemas.openxmlformats.org/officeDocument/2006/relationships/image" Target="media/image162.png"/><Relationship Id="rId471" Type="http://schemas.openxmlformats.org/officeDocument/2006/relationships/image" Target="media/image362.png"/><Relationship Id="rId667" Type="http://schemas.openxmlformats.org/officeDocument/2006/relationships/hyperlink" Target="https://magazin.asro.ro/ro/standard/275658" TargetMode="External"/><Relationship Id="rId17" Type="http://schemas.openxmlformats.org/officeDocument/2006/relationships/customXml" Target="../customXml/item17.xml"/><Relationship Id="rId59" Type="http://schemas.openxmlformats.org/officeDocument/2006/relationships/image" Target="media/image13.png"/><Relationship Id="rId124" Type="http://schemas.openxmlformats.org/officeDocument/2006/relationships/hyperlink" Target="https://hallo.ro/dictionar-englez-roman/incendiilor" TargetMode="External"/><Relationship Id="rId527" Type="http://schemas.openxmlformats.org/officeDocument/2006/relationships/hyperlink" Target="https://lege5.ro/Gratuit/gm2dsnrxga/regulamentul-nr-1272-2008-privind-clasificarea-etichetarea-si-ambalarea-substantelor-si-a-amestecurilor-de-modificare-si-de-abrogare-a-directivelor-67-548-cee-si-1999-45-ce-precum-si-de-modificare-a-r?d=2023-08-09" TargetMode="External"/><Relationship Id="rId569" Type="http://schemas.openxmlformats.org/officeDocument/2006/relationships/hyperlink" Target="http://eur-lex.europa.eu/legal-content/EN/TXT/?uri=uriserv:OJ.L_.2017.177.01.0001.01.ENG&amp;toc=OJ:L:2017:177:TOC" TargetMode="External"/><Relationship Id="rId70" Type="http://schemas.openxmlformats.org/officeDocument/2006/relationships/image" Target="media/image23.png"/><Relationship Id="rId166" Type="http://schemas.openxmlformats.org/officeDocument/2006/relationships/image" Target="media/image90.png"/><Relationship Id="rId331" Type="http://schemas.openxmlformats.org/officeDocument/2006/relationships/image" Target="media/image224.png"/><Relationship Id="rId373" Type="http://schemas.openxmlformats.org/officeDocument/2006/relationships/image" Target="media/image264.png"/><Relationship Id="rId429" Type="http://schemas.openxmlformats.org/officeDocument/2006/relationships/image" Target="media/image320.png"/><Relationship Id="rId580" Type="http://schemas.openxmlformats.org/officeDocument/2006/relationships/hyperlink" Target="http://eur-lex.europa.eu/legal-content/EN/TXT/?uri=CELEX:32014R1292&amp;locale=en" TargetMode="External"/><Relationship Id="rId636" Type="http://schemas.openxmlformats.org/officeDocument/2006/relationships/hyperlink" Target="https://magazin.asro.ro/ro/standard/180771" TargetMode="External"/><Relationship Id="rId1" Type="http://schemas.openxmlformats.org/officeDocument/2006/relationships/customXml" Target="../customXml/item1.xml"/><Relationship Id="rId233" Type="http://schemas.openxmlformats.org/officeDocument/2006/relationships/image" Target="media/image131.png"/><Relationship Id="rId440" Type="http://schemas.openxmlformats.org/officeDocument/2006/relationships/image" Target="media/image331.png"/><Relationship Id="rId678" Type="http://schemas.openxmlformats.org/officeDocument/2006/relationships/hyperlink" Target="https://magazin.asro.ro/ro/standard/162869" TargetMode="External"/><Relationship Id="rId28" Type="http://schemas.openxmlformats.org/officeDocument/2006/relationships/customXml" Target="../customXml/item28.xml"/><Relationship Id="rId275" Type="http://schemas.openxmlformats.org/officeDocument/2006/relationships/image" Target="media/image173.jpeg"/><Relationship Id="rId300" Type="http://schemas.openxmlformats.org/officeDocument/2006/relationships/image" Target="media/image198.png"/><Relationship Id="rId482" Type="http://schemas.openxmlformats.org/officeDocument/2006/relationships/image" Target="media/image373.png"/><Relationship Id="rId538" Type="http://schemas.openxmlformats.org/officeDocument/2006/relationships/image" Target="media/image419.wmf"/><Relationship Id="rId703" Type="http://schemas.openxmlformats.org/officeDocument/2006/relationships/hyperlink" Target="https://magazin.asro.ro/ro/standard/203490" TargetMode="External"/><Relationship Id="rId81" Type="http://schemas.openxmlformats.org/officeDocument/2006/relationships/image" Target="media/image32.png"/><Relationship Id="rId135" Type="http://schemas.openxmlformats.org/officeDocument/2006/relationships/image" Target="media/image69.png"/><Relationship Id="rId177" Type="http://schemas.openxmlformats.org/officeDocument/2006/relationships/image" Target="media/image101.png"/><Relationship Id="rId342" Type="http://schemas.openxmlformats.org/officeDocument/2006/relationships/oleObject" Target="embeddings/oleObject12.bin"/><Relationship Id="rId384" Type="http://schemas.openxmlformats.org/officeDocument/2006/relationships/image" Target="media/image275.png"/><Relationship Id="rId591" Type="http://schemas.openxmlformats.org/officeDocument/2006/relationships/hyperlink" Target="https://magazin.asro.ro/ro/standard/257779" TargetMode="External"/><Relationship Id="rId605" Type="http://schemas.openxmlformats.org/officeDocument/2006/relationships/hyperlink" Target="https://magazin.asro.ro/ro/standard/184710" TargetMode="External"/><Relationship Id="rId202" Type="http://schemas.openxmlformats.org/officeDocument/2006/relationships/image" Target="media/image114.png"/><Relationship Id="rId244" Type="http://schemas.openxmlformats.org/officeDocument/2006/relationships/image" Target="media/image142.png"/><Relationship Id="rId647" Type="http://schemas.openxmlformats.org/officeDocument/2006/relationships/hyperlink" Target="https://magazin.asro.ro/ro/standard/250249" TargetMode="External"/><Relationship Id="rId689" Type="http://schemas.openxmlformats.org/officeDocument/2006/relationships/hyperlink" Target="https://magazin.asro.ro/ro/standard/168182" TargetMode="External"/><Relationship Id="rId39" Type="http://schemas.openxmlformats.org/officeDocument/2006/relationships/customXml" Target="../customXml/item39.xml"/><Relationship Id="rId286" Type="http://schemas.openxmlformats.org/officeDocument/2006/relationships/image" Target="media/image184.jpeg"/><Relationship Id="rId451" Type="http://schemas.openxmlformats.org/officeDocument/2006/relationships/image" Target="media/image342.png"/><Relationship Id="rId493" Type="http://schemas.openxmlformats.org/officeDocument/2006/relationships/image" Target="media/image384.png"/><Relationship Id="rId507" Type="http://schemas.openxmlformats.org/officeDocument/2006/relationships/image" Target="media/image398.png"/><Relationship Id="rId549" Type="http://schemas.openxmlformats.org/officeDocument/2006/relationships/image" Target="media/image429.png"/><Relationship Id="rId50" Type="http://schemas.openxmlformats.org/officeDocument/2006/relationships/image" Target="media/image4.png"/><Relationship Id="rId104" Type="http://schemas.openxmlformats.org/officeDocument/2006/relationships/image" Target="media/image48.png"/><Relationship Id="rId146" Type="http://schemas.openxmlformats.org/officeDocument/2006/relationships/image" Target="media/image80.png"/><Relationship Id="rId188" Type="http://schemas.openxmlformats.org/officeDocument/2006/relationships/hyperlink" Target="https://hallo.ro/dictionar-englez-roman/incendiilor" TargetMode="External"/><Relationship Id="rId311" Type="http://schemas.openxmlformats.org/officeDocument/2006/relationships/image" Target="media/image208.wmf"/><Relationship Id="rId353" Type="http://schemas.openxmlformats.org/officeDocument/2006/relationships/image" Target="media/image244.png"/><Relationship Id="rId395" Type="http://schemas.openxmlformats.org/officeDocument/2006/relationships/image" Target="media/image286.png"/><Relationship Id="rId409" Type="http://schemas.openxmlformats.org/officeDocument/2006/relationships/image" Target="media/image300.png"/><Relationship Id="rId560" Type="http://schemas.openxmlformats.org/officeDocument/2006/relationships/hyperlink" Target="http://eur-lex.europa.eu/legal-content/EN/TXT/?uri=CELEX:32011R0305&amp;locale=en" TargetMode="External"/><Relationship Id="rId92" Type="http://schemas.openxmlformats.org/officeDocument/2006/relationships/image" Target="media/image41.png"/><Relationship Id="rId213" Type="http://schemas.openxmlformats.org/officeDocument/2006/relationships/image" Target="media/image121.png"/><Relationship Id="rId420" Type="http://schemas.openxmlformats.org/officeDocument/2006/relationships/image" Target="media/image311.png"/><Relationship Id="rId616" Type="http://schemas.openxmlformats.org/officeDocument/2006/relationships/hyperlink" Target="https://magazin.asro.ro/ro/standard/275358" TargetMode="External"/><Relationship Id="rId658" Type="http://schemas.openxmlformats.org/officeDocument/2006/relationships/hyperlink" Target="https://magazin.asro.ro/ro/standard/254718" TargetMode="External"/><Relationship Id="rId255" Type="http://schemas.openxmlformats.org/officeDocument/2006/relationships/image" Target="media/image153.png"/><Relationship Id="rId297" Type="http://schemas.openxmlformats.org/officeDocument/2006/relationships/image" Target="media/image195.png"/><Relationship Id="rId462" Type="http://schemas.openxmlformats.org/officeDocument/2006/relationships/image" Target="media/image353.png"/><Relationship Id="rId518" Type="http://schemas.openxmlformats.org/officeDocument/2006/relationships/image" Target="media/image409.png"/><Relationship Id="rId115" Type="http://schemas.openxmlformats.org/officeDocument/2006/relationships/image" Target="media/image59.png"/><Relationship Id="rId157" Type="http://schemas.openxmlformats.org/officeDocument/2006/relationships/oleObject" Target="embeddings/oleObject4.bin"/><Relationship Id="rId322" Type="http://schemas.openxmlformats.org/officeDocument/2006/relationships/image" Target="media/image215.png"/><Relationship Id="rId364" Type="http://schemas.openxmlformats.org/officeDocument/2006/relationships/image" Target="media/image255.png"/><Relationship Id="rId61" Type="http://schemas.openxmlformats.org/officeDocument/2006/relationships/image" Target="media/image15.png"/><Relationship Id="rId199" Type="http://schemas.openxmlformats.org/officeDocument/2006/relationships/image" Target="media/image112.png"/><Relationship Id="rId571" Type="http://schemas.openxmlformats.org/officeDocument/2006/relationships/hyperlink" Target="http://eur-lex.europa.eu/legal-content/EN/TXT/?uri=uriserv:OJ.L_.2017.177.01.0004.01.ENG&amp;toc=OJ:L:2017:177:TOC" TargetMode="External"/><Relationship Id="rId627" Type="http://schemas.openxmlformats.org/officeDocument/2006/relationships/hyperlink" Target="https://magazin.asro.ro/ro/standard/272806" TargetMode="External"/><Relationship Id="rId669" Type="http://schemas.openxmlformats.org/officeDocument/2006/relationships/hyperlink" Target="https://magazin.asro.ro/ro/standard/246939" TargetMode="External"/><Relationship Id="rId19" Type="http://schemas.openxmlformats.org/officeDocument/2006/relationships/customXml" Target="../customXml/item19.xml"/><Relationship Id="rId224" Type="http://schemas.openxmlformats.org/officeDocument/2006/relationships/image" Target="media/image128.png"/><Relationship Id="rId266" Type="http://schemas.openxmlformats.org/officeDocument/2006/relationships/image" Target="media/image164.png"/><Relationship Id="rId431" Type="http://schemas.openxmlformats.org/officeDocument/2006/relationships/image" Target="media/image322.png"/><Relationship Id="rId473" Type="http://schemas.openxmlformats.org/officeDocument/2006/relationships/image" Target="media/image364.png"/><Relationship Id="rId529" Type="http://schemas.openxmlformats.org/officeDocument/2006/relationships/hyperlink" Target="https://lege5.ro/Gratuit/gm2dsnrxga/regulamentul-nr-1272-2008-privind-clasificarea-etichetarea-si-ambalarea-substantelor-si-a-amestecurilor-de-modificare-si-de-abrogare-a-directivelor-67-548-cee-si-1999-45-ce-precum-si-de-modificare-a-r?d=2023-08-09" TargetMode="External"/><Relationship Id="rId680" Type="http://schemas.openxmlformats.org/officeDocument/2006/relationships/hyperlink" Target="https://magazin.asro.ro/ro/standard/222381" TargetMode="External"/><Relationship Id="rId30" Type="http://schemas.openxmlformats.org/officeDocument/2006/relationships/customXml" Target="../customXml/item30.xml"/><Relationship Id="rId126" Type="http://schemas.openxmlformats.org/officeDocument/2006/relationships/hyperlink" Target="https://hallo.ro/dictionar-englez-roman/protec%C5%A3ie" TargetMode="External"/><Relationship Id="rId168" Type="http://schemas.openxmlformats.org/officeDocument/2006/relationships/image" Target="media/image92.png"/><Relationship Id="rId333" Type="http://schemas.openxmlformats.org/officeDocument/2006/relationships/image" Target="media/image226.png"/><Relationship Id="rId540" Type="http://schemas.openxmlformats.org/officeDocument/2006/relationships/image" Target="media/image420.jpeg"/><Relationship Id="rId72" Type="http://schemas.openxmlformats.org/officeDocument/2006/relationships/image" Target="media/image25.png"/><Relationship Id="rId375" Type="http://schemas.openxmlformats.org/officeDocument/2006/relationships/image" Target="media/image266.png"/><Relationship Id="rId582" Type="http://schemas.openxmlformats.org/officeDocument/2006/relationships/hyperlink" Target="http://eur-lex.europa.eu/legal-content/EN/TXT/?uri=CELEX:32014R1293&amp;locale=en" TargetMode="External"/><Relationship Id="rId638" Type="http://schemas.openxmlformats.org/officeDocument/2006/relationships/hyperlink" Target="https://magazin.asro.ro/ro/standard/178211" TargetMode="External"/><Relationship Id="rId3" Type="http://schemas.openxmlformats.org/officeDocument/2006/relationships/customXml" Target="../customXml/item3.xml"/><Relationship Id="rId235" Type="http://schemas.openxmlformats.org/officeDocument/2006/relationships/image" Target="media/image133.png"/><Relationship Id="rId277" Type="http://schemas.openxmlformats.org/officeDocument/2006/relationships/image" Target="media/image175.jpeg"/><Relationship Id="rId400" Type="http://schemas.openxmlformats.org/officeDocument/2006/relationships/image" Target="media/image291.png"/><Relationship Id="rId442" Type="http://schemas.openxmlformats.org/officeDocument/2006/relationships/image" Target="media/image333.png"/><Relationship Id="rId484" Type="http://schemas.openxmlformats.org/officeDocument/2006/relationships/image" Target="media/image375.png"/><Relationship Id="rId705" Type="http://schemas.openxmlformats.org/officeDocument/2006/relationships/hyperlink" Target="https://magazin.asro.ro/ro/standard/198208" TargetMode="External"/><Relationship Id="rId137" Type="http://schemas.openxmlformats.org/officeDocument/2006/relationships/image" Target="media/image71.png"/><Relationship Id="rId302" Type="http://schemas.openxmlformats.org/officeDocument/2006/relationships/image" Target="media/image200.png"/><Relationship Id="rId344" Type="http://schemas.openxmlformats.org/officeDocument/2006/relationships/oleObject" Target="embeddings/oleObject13.bin"/><Relationship Id="rId691" Type="http://schemas.openxmlformats.org/officeDocument/2006/relationships/hyperlink" Target="https://magazin.asro.ro/ro/standard/92643" TargetMode="External"/><Relationship Id="rId41" Type="http://schemas.openxmlformats.org/officeDocument/2006/relationships/styles" Target="styles.xml"/><Relationship Id="rId83" Type="http://schemas.openxmlformats.org/officeDocument/2006/relationships/image" Target="media/image34.png"/><Relationship Id="rId179" Type="http://schemas.openxmlformats.org/officeDocument/2006/relationships/image" Target="media/image103.png"/><Relationship Id="rId386" Type="http://schemas.openxmlformats.org/officeDocument/2006/relationships/image" Target="media/image277.png"/><Relationship Id="rId551" Type="http://schemas.openxmlformats.org/officeDocument/2006/relationships/image" Target="media/image431.png"/><Relationship Id="rId593" Type="http://schemas.openxmlformats.org/officeDocument/2006/relationships/hyperlink" Target="https://magazin.asro.ro/ro/standard/10515" TargetMode="External"/><Relationship Id="rId607" Type="http://schemas.openxmlformats.org/officeDocument/2006/relationships/hyperlink" Target="https://magazin.asro.ro/ro/standard/109354" TargetMode="External"/><Relationship Id="rId649" Type="http://schemas.openxmlformats.org/officeDocument/2006/relationships/hyperlink" Target="https://magazin.asro.ro/ro/standard/192245" TargetMode="External"/><Relationship Id="rId190" Type="http://schemas.openxmlformats.org/officeDocument/2006/relationships/hyperlink" Target="https://hallo.ro/dictionar-englez-roman/protec%C5%A3ie" TargetMode="External"/><Relationship Id="rId204" Type="http://schemas.openxmlformats.org/officeDocument/2006/relationships/image" Target="media/image116.png"/><Relationship Id="rId246" Type="http://schemas.openxmlformats.org/officeDocument/2006/relationships/image" Target="media/image144.png"/><Relationship Id="rId288" Type="http://schemas.openxmlformats.org/officeDocument/2006/relationships/image" Target="media/image186.jpeg"/><Relationship Id="rId411" Type="http://schemas.openxmlformats.org/officeDocument/2006/relationships/image" Target="media/image302.png"/><Relationship Id="rId453" Type="http://schemas.openxmlformats.org/officeDocument/2006/relationships/image" Target="media/image344.png"/><Relationship Id="rId509" Type="http://schemas.openxmlformats.org/officeDocument/2006/relationships/image" Target="media/image400.png"/><Relationship Id="rId660" Type="http://schemas.openxmlformats.org/officeDocument/2006/relationships/hyperlink" Target="https://magazin.asro.ro/ro/standard/174179" TargetMode="External"/><Relationship Id="rId106" Type="http://schemas.openxmlformats.org/officeDocument/2006/relationships/image" Target="media/image50.png"/><Relationship Id="rId313" Type="http://schemas.openxmlformats.org/officeDocument/2006/relationships/oleObject" Target="embeddings/oleObject9.bin"/><Relationship Id="rId495" Type="http://schemas.openxmlformats.org/officeDocument/2006/relationships/image" Target="media/image386.png"/><Relationship Id="rId10" Type="http://schemas.openxmlformats.org/officeDocument/2006/relationships/customXml" Target="../customXml/item10.xml"/><Relationship Id="rId52" Type="http://schemas.openxmlformats.org/officeDocument/2006/relationships/image" Target="media/image6.png"/><Relationship Id="rId94" Type="http://schemas.openxmlformats.org/officeDocument/2006/relationships/image" Target="media/image43.png"/><Relationship Id="rId148" Type="http://schemas.openxmlformats.org/officeDocument/2006/relationships/hyperlink" Target="https://magazin.asro.ro/ro/standard/278553" TargetMode="External"/><Relationship Id="rId355" Type="http://schemas.openxmlformats.org/officeDocument/2006/relationships/image" Target="media/image246.png"/><Relationship Id="rId397" Type="http://schemas.openxmlformats.org/officeDocument/2006/relationships/image" Target="media/image288.png"/><Relationship Id="rId520" Type="http://schemas.openxmlformats.org/officeDocument/2006/relationships/image" Target="media/image411.png"/><Relationship Id="rId562" Type="http://schemas.openxmlformats.org/officeDocument/2006/relationships/hyperlink" Target="https://www.mlpda.ro/uploads/articole/attachments/5dcab615a3601915585276.pdf" TargetMode="External"/><Relationship Id="rId618" Type="http://schemas.openxmlformats.org/officeDocument/2006/relationships/hyperlink" Target="https://magazin.asro.ro/ro/standard/172278" TargetMode="External"/><Relationship Id="rId215" Type="http://schemas.openxmlformats.org/officeDocument/2006/relationships/hyperlink" Target="https://magazin.asro.ro/ro/standard/278553" TargetMode="External"/><Relationship Id="rId257" Type="http://schemas.openxmlformats.org/officeDocument/2006/relationships/image" Target="media/image155.png"/><Relationship Id="rId422" Type="http://schemas.openxmlformats.org/officeDocument/2006/relationships/image" Target="media/image313.png"/><Relationship Id="rId464" Type="http://schemas.openxmlformats.org/officeDocument/2006/relationships/image" Target="media/image355.png"/><Relationship Id="rId299" Type="http://schemas.openxmlformats.org/officeDocument/2006/relationships/image" Target="media/image197.png"/><Relationship Id="rId63" Type="http://schemas.openxmlformats.org/officeDocument/2006/relationships/image" Target="media/image17.png"/><Relationship Id="rId159" Type="http://schemas.openxmlformats.org/officeDocument/2006/relationships/image" Target="media/image84.png"/><Relationship Id="rId366" Type="http://schemas.openxmlformats.org/officeDocument/2006/relationships/image" Target="media/image257.png"/><Relationship Id="rId573" Type="http://schemas.openxmlformats.org/officeDocument/2006/relationships/hyperlink" Target="http://eur-lex.europa.eu/legal-content/EN/TXT/?uri=uriserv:OJ.L_.2017.177.01.0004.01.ENG&amp;toc=OJ:L:2017:177:TOC" TargetMode="External"/><Relationship Id="rId226" Type="http://schemas.openxmlformats.org/officeDocument/2006/relationships/hyperlink" Target="https://magazin.asro.ro/ro/standard/278553" TargetMode="External"/><Relationship Id="rId433" Type="http://schemas.openxmlformats.org/officeDocument/2006/relationships/image" Target="media/image324.png"/><Relationship Id="rId640" Type="http://schemas.openxmlformats.org/officeDocument/2006/relationships/hyperlink" Target="https://magazin.asro.ro/ro/standard/271156" TargetMode="External"/><Relationship Id="rId74" Type="http://schemas.openxmlformats.org/officeDocument/2006/relationships/image" Target="media/image27.png"/><Relationship Id="rId377" Type="http://schemas.openxmlformats.org/officeDocument/2006/relationships/image" Target="media/image268.png"/><Relationship Id="rId500" Type="http://schemas.openxmlformats.org/officeDocument/2006/relationships/image" Target="media/image391.png"/><Relationship Id="rId584" Type="http://schemas.openxmlformats.org/officeDocument/2006/relationships/hyperlink" Target="http://eur-lex.europa.eu/legal-content/EN/TXT/?uri=CELEX:32014R1291&amp;locale=en" TargetMode="External"/><Relationship Id="rId5" Type="http://schemas.openxmlformats.org/officeDocument/2006/relationships/customXml" Target="../customXml/item5.xml"/><Relationship Id="rId237" Type="http://schemas.openxmlformats.org/officeDocument/2006/relationships/image" Target="media/image135.png"/><Relationship Id="rId444" Type="http://schemas.openxmlformats.org/officeDocument/2006/relationships/image" Target="media/image335.png"/><Relationship Id="rId651" Type="http://schemas.openxmlformats.org/officeDocument/2006/relationships/hyperlink" Target="https://magazin.asro.ro/ro/standard/275203" TargetMode="External"/><Relationship Id="rId290" Type="http://schemas.openxmlformats.org/officeDocument/2006/relationships/image" Target="media/image188.jpeg"/><Relationship Id="rId304" Type="http://schemas.openxmlformats.org/officeDocument/2006/relationships/image" Target="media/image202.png"/><Relationship Id="rId388" Type="http://schemas.openxmlformats.org/officeDocument/2006/relationships/image" Target="media/image279.png"/><Relationship Id="rId511" Type="http://schemas.openxmlformats.org/officeDocument/2006/relationships/image" Target="media/image402.png"/><Relationship Id="rId609" Type="http://schemas.openxmlformats.org/officeDocument/2006/relationships/hyperlink" Target="https://magazin.asro.ro/ro/standard/95167" TargetMode="External"/><Relationship Id="rId85" Type="http://schemas.openxmlformats.org/officeDocument/2006/relationships/hyperlink" Target="https://hallo.ro/dictionar-englez-roman/de" TargetMode="External"/><Relationship Id="rId150" Type="http://schemas.openxmlformats.org/officeDocument/2006/relationships/hyperlink" Target="mailto:l@%5Dimea" TargetMode="External"/><Relationship Id="rId595" Type="http://schemas.openxmlformats.org/officeDocument/2006/relationships/hyperlink" Target="https://magazin.asro.ro/ro/standard/226511" TargetMode="External"/><Relationship Id="rId248" Type="http://schemas.openxmlformats.org/officeDocument/2006/relationships/image" Target="media/image146.png"/><Relationship Id="rId455" Type="http://schemas.openxmlformats.org/officeDocument/2006/relationships/image" Target="media/image346.png"/><Relationship Id="rId662" Type="http://schemas.openxmlformats.org/officeDocument/2006/relationships/hyperlink" Target="https://magazin.asro.ro/ro/standard/109540" TargetMode="External"/><Relationship Id="rId12" Type="http://schemas.openxmlformats.org/officeDocument/2006/relationships/customXml" Target="../customXml/item12.xml"/><Relationship Id="rId108" Type="http://schemas.openxmlformats.org/officeDocument/2006/relationships/image" Target="media/image52.png"/><Relationship Id="rId315" Type="http://schemas.openxmlformats.org/officeDocument/2006/relationships/oleObject" Target="embeddings/oleObject10.bin"/><Relationship Id="rId522" Type="http://schemas.openxmlformats.org/officeDocument/2006/relationships/image" Target="media/image413.png"/><Relationship Id="rId96" Type="http://schemas.openxmlformats.org/officeDocument/2006/relationships/image" Target="media/image45.png"/><Relationship Id="rId161" Type="http://schemas.openxmlformats.org/officeDocument/2006/relationships/image" Target="media/image86.png"/><Relationship Id="rId399" Type="http://schemas.openxmlformats.org/officeDocument/2006/relationships/image" Target="media/image290.png"/><Relationship Id="rId259" Type="http://schemas.openxmlformats.org/officeDocument/2006/relationships/image" Target="media/image157.png"/><Relationship Id="rId466" Type="http://schemas.openxmlformats.org/officeDocument/2006/relationships/image" Target="media/image357.png"/><Relationship Id="rId673" Type="http://schemas.openxmlformats.org/officeDocument/2006/relationships/hyperlink" Target="https://magazin.asro.ro/ro/standard/143257" TargetMode="External"/><Relationship Id="rId23" Type="http://schemas.openxmlformats.org/officeDocument/2006/relationships/customXml" Target="../customXml/item23.xml"/><Relationship Id="rId119" Type="http://schemas.openxmlformats.org/officeDocument/2006/relationships/image" Target="media/image63.png"/><Relationship Id="rId326" Type="http://schemas.openxmlformats.org/officeDocument/2006/relationships/image" Target="media/image219.png"/><Relationship Id="rId533" Type="http://schemas.openxmlformats.org/officeDocument/2006/relationships/hyperlink" Target="https://up.codes/viewer/seattle/ifc-2018/chapter/2/definitions" TargetMode="External"/><Relationship Id="rId172" Type="http://schemas.openxmlformats.org/officeDocument/2006/relationships/image" Target="media/image96.png"/><Relationship Id="rId477" Type="http://schemas.openxmlformats.org/officeDocument/2006/relationships/image" Target="media/image368.png"/><Relationship Id="rId600" Type="http://schemas.openxmlformats.org/officeDocument/2006/relationships/hyperlink" Target="https://magazin.asro.ro/ro/standard/109353" TargetMode="External"/><Relationship Id="rId684" Type="http://schemas.openxmlformats.org/officeDocument/2006/relationships/hyperlink" Target="https://magazin.asro.ro/ro/standard/232070" TargetMode="External"/><Relationship Id="rId337" Type="http://schemas.openxmlformats.org/officeDocument/2006/relationships/image" Target="media/image230.png"/><Relationship Id="rId34" Type="http://schemas.openxmlformats.org/officeDocument/2006/relationships/customXml" Target="../customXml/item34.xml"/><Relationship Id="rId544" Type="http://schemas.openxmlformats.org/officeDocument/2006/relationships/image" Target="media/image424.png"/><Relationship Id="rId183" Type="http://schemas.openxmlformats.org/officeDocument/2006/relationships/image" Target="media/image107.png"/><Relationship Id="rId390" Type="http://schemas.openxmlformats.org/officeDocument/2006/relationships/image" Target="media/image281.png"/><Relationship Id="rId404" Type="http://schemas.openxmlformats.org/officeDocument/2006/relationships/image" Target="media/image295.png"/><Relationship Id="rId611" Type="http://schemas.openxmlformats.org/officeDocument/2006/relationships/hyperlink" Target="https://magazin.asro.ro/ro/standard/256658" TargetMode="External"/><Relationship Id="rId250" Type="http://schemas.openxmlformats.org/officeDocument/2006/relationships/image" Target="media/image148.png"/><Relationship Id="rId488" Type="http://schemas.openxmlformats.org/officeDocument/2006/relationships/image" Target="media/image379.png"/><Relationship Id="rId695" Type="http://schemas.openxmlformats.org/officeDocument/2006/relationships/hyperlink" Target="https://magazin.asro.ro/ro/standard/95310" TargetMode="External"/><Relationship Id="rId709" Type="http://schemas.openxmlformats.org/officeDocument/2006/relationships/theme" Target="theme/theme1.xml"/><Relationship Id="rId45" Type="http://schemas.openxmlformats.org/officeDocument/2006/relationships/endnotes" Target="endnotes.xml"/><Relationship Id="rId110" Type="http://schemas.openxmlformats.org/officeDocument/2006/relationships/image" Target="media/image54.png"/><Relationship Id="rId348" Type="http://schemas.openxmlformats.org/officeDocument/2006/relationships/image" Target="media/image239.png"/><Relationship Id="rId555" Type="http://schemas.openxmlformats.org/officeDocument/2006/relationships/image" Target="media/image435.png"/><Relationship Id="rId194" Type="http://schemas.openxmlformats.org/officeDocument/2006/relationships/hyperlink" Target="https://hallo.ro/dictionar-englez-roman/de" TargetMode="External"/><Relationship Id="rId208" Type="http://schemas.openxmlformats.org/officeDocument/2006/relationships/hyperlink" Target="https://magazin.asro.ro/ro/standard/278553" TargetMode="External"/><Relationship Id="rId415" Type="http://schemas.openxmlformats.org/officeDocument/2006/relationships/image" Target="media/image306.png"/><Relationship Id="rId622" Type="http://schemas.openxmlformats.org/officeDocument/2006/relationships/hyperlink" Target="https://magazin.asro.ro/ro/standard/233462" TargetMode="External"/><Relationship Id="rId261" Type="http://schemas.openxmlformats.org/officeDocument/2006/relationships/image" Target="media/image159.png"/><Relationship Id="rId499" Type="http://schemas.openxmlformats.org/officeDocument/2006/relationships/image" Target="media/image390.png"/><Relationship Id="rId56" Type="http://schemas.openxmlformats.org/officeDocument/2006/relationships/image" Target="media/image10.png"/><Relationship Id="rId359" Type="http://schemas.openxmlformats.org/officeDocument/2006/relationships/image" Target="media/image250.png"/><Relationship Id="rId566" Type="http://schemas.openxmlformats.org/officeDocument/2006/relationships/hyperlink" Target="https://eur-lex.europa.eu/legal-content/EN/TXT/?uri=uriserv:OJ.L_.2018.131.01.0023.01.ENG" TargetMode="External"/><Relationship Id="rId121" Type="http://schemas.openxmlformats.org/officeDocument/2006/relationships/hyperlink" Target="https://hallo.ro/dictionar-englez-roman/de" TargetMode="External"/><Relationship Id="rId219" Type="http://schemas.openxmlformats.org/officeDocument/2006/relationships/oleObject" Target="embeddings/oleObject5.bin"/><Relationship Id="rId426" Type="http://schemas.openxmlformats.org/officeDocument/2006/relationships/image" Target="media/image317.png"/><Relationship Id="rId633" Type="http://schemas.openxmlformats.org/officeDocument/2006/relationships/hyperlink" Target="https://magazin.asro.ro/ro/standard/247704" TargetMode="External"/><Relationship Id="rId67" Type="http://schemas.openxmlformats.org/officeDocument/2006/relationships/image" Target="media/image20.png"/><Relationship Id="rId272" Type="http://schemas.openxmlformats.org/officeDocument/2006/relationships/image" Target="media/image170.jpeg"/><Relationship Id="rId577" Type="http://schemas.openxmlformats.org/officeDocument/2006/relationships/hyperlink" Target="http://eur-lex.europa.eu/legal-content/EN/TXT/?uri=CELEX:32015D1958" TargetMode="External"/><Relationship Id="rId700" Type="http://schemas.openxmlformats.org/officeDocument/2006/relationships/hyperlink" Target="https://magazin.asro.ro/ro/standard/250237" TargetMode="External"/><Relationship Id="rId132" Type="http://schemas.openxmlformats.org/officeDocument/2006/relationships/image" Target="media/image66.png"/><Relationship Id="rId437" Type="http://schemas.openxmlformats.org/officeDocument/2006/relationships/image" Target="media/image328.png"/><Relationship Id="rId644" Type="http://schemas.openxmlformats.org/officeDocument/2006/relationships/hyperlink" Target="https://magazin.asro.ro/ro/standard/272807" TargetMode="External"/><Relationship Id="rId283" Type="http://schemas.openxmlformats.org/officeDocument/2006/relationships/image" Target="media/image181.jpeg"/><Relationship Id="rId490" Type="http://schemas.openxmlformats.org/officeDocument/2006/relationships/image" Target="media/image381.png"/><Relationship Id="rId504" Type="http://schemas.openxmlformats.org/officeDocument/2006/relationships/image" Target="media/image395.png"/><Relationship Id="rId78" Type="http://schemas.openxmlformats.org/officeDocument/2006/relationships/image" Target="media/image31.png"/><Relationship Id="rId143" Type="http://schemas.openxmlformats.org/officeDocument/2006/relationships/image" Target="media/image77.png"/><Relationship Id="rId350" Type="http://schemas.openxmlformats.org/officeDocument/2006/relationships/image" Target="media/image241.png"/><Relationship Id="rId588" Type="http://schemas.openxmlformats.org/officeDocument/2006/relationships/hyperlink" Target="http://eur-lex.europa.eu/legal-content/EN/TXT/?uri=CELEX:32014R0568&amp;locale=en" TargetMode="External"/><Relationship Id="rId9" Type="http://schemas.openxmlformats.org/officeDocument/2006/relationships/customXml" Target="../customXml/item9.xml"/><Relationship Id="rId210" Type="http://schemas.openxmlformats.org/officeDocument/2006/relationships/image" Target="media/image118.png"/><Relationship Id="rId448" Type="http://schemas.openxmlformats.org/officeDocument/2006/relationships/image" Target="media/image339.png"/><Relationship Id="rId655" Type="http://schemas.openxmlformats.org/officeDocument/2006/relationships/hyperlink" Target="https://magazin.asro.ro/ro/standard/175807" TargetMode="External"/><Relationship Id="rId294" Type="http://schemas.openxmlformats.org/officeDocument/2006/relationships/image" Target="media/image192.png"/><Relationship Id="rId308" Type="http://schemas.openxmlformats.org/officeDocument/2006/relationships/image" Target="media/image205.png"/><Relationship Id="rId515" Type="http://schemas.openxmlformats.org/officeDocument/2006/relationships/image" Target="media/image406.png"/><Relationship Id="rId89" Type="http://schemas.openxmlformats.org/officeDocument/2006/relationships/image" Target="media/image38.png"/><Relationship Id="rId154" Type="http://schemas.openxmlformats.org/officeDocument/2006/relationships/oleObject" Target="embeddings/oleObject1.bin"/><Relationship Id="rId361" Type="http://schemas.openxmlformats.org/officeDocument/2006/relationships/image" Target="media/image252.png"/><Relationship Id="rId599" Type="http://schemas.openxmlformats.org/officeDocument/2006/relationships/hyperlink" Target="https://magazin.asro.ro/ro/standard/28511" TargetMode="External"/><Relationship Id="rId459" Type="http://schemas.openxmlformats.org/officeDocument/2006/relationships/image" Target="media/image350.png"/><Relationship Id="rId666" Type="http://schemas.openxmlformats.org/officeDocument/2006/relationships/hyperlink" Target="https://magazin.asro.ro/ro/standard/119323" TargetMode="External"/><Relationship Id="rId16" Type="http://schemas.openxmlformats.org/officeDocument/2006/relationships/customXml" Target="../customXml/item16.xml"/><Relationship Id="rId221" Type="http://schemas.openxmlformats.org/officeDocument/2006/relationships/image" Target="media/image125.png"/><Relationship Id="rId319" Type="http://schemas.openxmlformats.org/officeDocument/2006/relationships/image" Target="media/image212.png"/><Relationship Id="rId526" Type="http://schemas.openxmlformats.org/officeDocument/2006/relationships/hyperlink" Target="https://lege5.ro/Gratuit/gm2dsnrxga/regulamentul-nr-1272-2008-privind-clasificarea-etichetarea-si-ambalarea-substantelor-si-a-amestecurilor-de-modificare-si-de-abrogare-a-directivelor-67-548-cee-si-1999-45-ce-precum-si-de-modificare-a-r?pid=64276193&amp;d=2023-06-25" TargetMode="External"/><Relationship Id="rId165" Type="http://schemas.openxmlformats.org/officeDocument/2006/relationships/image" Target="media/image89.png"/><Relationship Id="rId372" Type="http://schemas.openxmlformats.org/officeDocument/2006/relationships/image" Target="media/image263.png"/><Relationship Id="rId677" Type="http://schemas.openxmlformats.org/officeDocument/2006/relationships/hyperlink" Target="https://magazin.asro.ro/ro/standard/176274" TargetMode="External"/><Relationship Id="rId232" Type="http://schemas.openxmlformats.org/officeDocument/2006/relationships/image" Target="media/image130.png"/><Relationship Id="rId27" Type="http://schemas.openxmlformats.org/officeDocument/2006/relationships/customXml" Target="../customXml/item27.xml"/><Relationship Id="rId537" Type="http://schemas.openxmlformats.org/officeDocument/2006/relationships/image" Target="media/image418.jpeg"/><Relationship Id="rId80" Type="http://schemas.openxmlformats.org/officeDocument/2006/relationships/hyperlink" Target="https://magazin.asro.ro/ro/standard/278553" TargetMode="External"/><Relationship Id="rId176" Type="http://schemas.openxmlformats.org/officeDocument/2006/relationships/image" Target="media/image100.png"/><Relationship Id="rId383" Type="http://schemas.openxmlformats.org/officeDocument/2006/relationships/image" Target="media/image274.png"/><Relationship Id="rId590" Type="http://schemas.openxmlformats.org/officeDocument/2006/relationships/hyperlink" Target="http://eur-lex.europa.eu/legal-content/EN/TXT/?uri=CELEX:32013R1062&amp;locale=en" TargetMode="External"/><Relationship Id="rId604" Type="http://schemas.openxmlformats.org/officeDocument/2006/relationships/hyperlink" Target="https://magazin.asro.ro/ro/standard/174498" TargetMode="External"/><Relationship Id="rId243" Type="http://schemas.openxmlformats.org/officeDocument/2006/relationships/image" Target="media/image141.png"/><Relationship Id="rId450" Type="http://schemas.openxmlformats.org/officeDocument/2006/relationships/image" Target="media/image341.png"/><Relationship Id="rId688" Type="http://schemas.openxmlformats.org/officeDocument/2006/relationships/hyperlink" Target="https://magazin.asro.ro/ro/standard/223850" TargetMode="External"/><Relationship Id="rId38" Type="http://schemas.openxmlformats.org/officeDocument/2006/relationships/customXml" Target="../customXml/item38.xml"/><Relationship Id="rId103" Type="http://schemas.openxmlformats.org/officeDocument/2006/relationships/image" Target="media/image47.png"/><Relationship Id="rId310" Type="http://schemas.openxmlformats.org/officeDocument/2006/relationships/image" Target="media/image207.png"/><Relationship Id="rId548" Type="http://schemas.openxmlformats.org/officeDocument/2006/relationships/image" Target="media/image428.png"/><Relationship Id="rId91" Type="http://schemas.openxmlformats.org/officeDocument/2006/relationships/image" Target="media/image40.png"/><Relationship Id="rId187" Type="http://schemas.openxmlformats.org/officeDocument/2006/relationships/hyperlink" Target="https://hallo.ro/dictionar-englez-roman/contra" TargetMode="External"/><Relationship Id="rId394" Type="http://schemas.openxmlformats.org/officeDocument/2006/relationships/image" Target="media/image285.png"/><Relationship Id="rId408" Type="http://schemas.openxmlformats.org/officeDocument/2006/relationships/image" Target="media/image299.png"/><Relationship Id="rId615" Type="http://schemas.openxmlformats.org/officeDocument/2006/relationships/hyperlink" Target="https://magazin.asro.ro/ro/standard/273052" TargetMode="External"/><Relationship Id="rId254" Type="http://schemas.openxmlformats.org/officeDocument/2006/relationships/image" Target="media/image152.png"/><Relationship Id="rId699" Type="http://schemas.openxmlformats.org/officeDocument/2006/relationships/hyperlink" Target="https://magazin.asro.ro/ro/standard/275358" TargetMode="External"/><Relationship Id="rId49" Type="http://schemas.openxmlformats.org/officeDocument/2006/relationships/image" Target="media/image3.png"/><Relationship Id="rId114" Type="http://schemas.openxmlformats.org/officeDocument/2006/relationships/image" Target="media/image58.png"/><Relationship Id="rId461" Type="http://schemas.openxmlformats.org/officeDocument/2006/relationships/image" Target="media/image352.png"/><Relationship Id="rId559" Type="http://schemas.openxmlformats.org/officeDocument/2006/relationships/hyperlink" Target="https://www.mdlpa.ro/userfiles/reglementari/Domeniul_XXVIII/28_15_P118_2_2013.pdf" TargetMode="External"/><Relationship Id="rId198" Type="http://schemas.openxmlformats.org/officeDocument/2006/relationships/image" Target="media/image111.png"/><Relationship Id="rId321" Type="http://schemas.openxmlformats.org/officeDocument/2006/relationships/image" Target="media/image214.png"/><Relationship Id="rId419" Type="http://schemas.openxmlformats.org/officeDocument/2006/relationships/image" Target="media/image310.png"/><Relationship Id="rId626" Type="http://schemas.openxmlformats.org/officeDocument/2006/relationships/hyperlink" Target="https://magazin.asro.ro/ro/standard/201971" TargetMode="External"/><Relationship Id="rId265" Type="http://schemas.openxmlformats.org/officeDocument/2006/relationships/image" Target="media/image163.png"/><Relationship Id="rId472" Type="http://schemas.openxmlformats.org/officeDocument/2006/relationships/image" Target="media/image363.png"/><Relationship Id="rId125" Type="http://schemas.openxmlformats.org/officeDocument/2006/relationships/hyperlink" Target="https://hallo.ro/dictionar-englez-roman/de" TargetMode="External"/><Relationship Id="rId332" Type="http://schemas.openxmlformats.org/officeDocument/2006/relationships/image" Target="media/image22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13T03:03:05"/>
    </inkml:context>
    <inkml:brush xml:id="br0">
      <inkml:brushProperty name="width" value="0.05" units="cm"/>
      <inkml:brushProperty name="height" value="0.05" units="cm"/>
      <inkml:brushProperty name="color" value="#E71224"/>
    </inkml:brush>
  </inkml:definitions>
  <inkml:trace contextRef="#ctx0" brushRef="#br0">0 8 24575,'0'-1'0,"2"-2"0,2 1 0,3 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cd:customData xmlns="http://www.wps.cn/android/officeDocument/2013/mofficeCustomData" xmlns:mcd="http://www.wps.cn/android/officeDocument/2013/mofficeCustomData" version="2">
  <mcd:comments/>
</mcd:customData>
</file>

<file path=customXml/item10.xml><?xml version="1.0" encoding="utf-8"?>
<mcd:customData xmlns="http://www.wps.cn/android/officeDocument/2013/mofficeCustomData" xmlns:mcd="http://www.wps.cn/android/officeDocument/2013/mofficeCustomData" version="2">
  <mcd:comments/>
</mcd:customData>
</file>

<file path=customXml/item11.xml><?xml version="1.0" encoding="utf-8"?>
<mcd:customData xmlns="http://www.wps.cn/android/officeDocument/2013/mofficeCustomData" xmlns:mcd="http://www.wps.cn/android/officeDocument/2013/mofficeCustomData" version="2">
  <mcd:comments/>
</mcd:customData>
</file>

<file path=customXml/item12.xml><?xml version="1.0" encoding="utf-8"?>
<mcd:customData xmlns="http://www.wps.cn/android/officeDocument/2013/mofficeCustomData" xmlns:mcd="http://www.wps.cn/android/officeDocument/2013/mofficeCustomData" version="2">
  <mcd:comments/>
</mcd:customData>
</file>

<file path=customXml/item13.xml><?xml version="1.0" encoding="utf-8"?>
<mcd:customData xmlns="http://www.wps.cn/android/officeDocument/2013/mofficeCustomData" xmlns:mcd="http://www.wps.cn/android/officeDocument/2013/mofficeCustomData" version="2">
  <mcd:comments/>
</mcd:customData>
</file>

<file path=customXml/item14.xml><?xml version="1.0" encoding="utf-8"?>
<mcd:customData xmlns="http://www.wps.cn/android/officeDocument/2013/mofficeCustomData" xmlns:mcd="http://www.wps.cn/android/officeDocument/2013/mofficeCustomData" version="2">
  <mcd:comments/>
</mcd:customData>
</file>

<file path=customXml/item15.xml><?xml version="1.0" encoding="utf-8"?>
<mcd:customData xmlns="http://www.wps.cn/android/officeDocument/2013/mofficeCustomData" xmlns:mcd="http://www.wps.cn/android/officeDocument/2013/mofficeCustomData" version="2">
  <mcd:comments/>
</mcd:customData>
</file>

<file path=customXml/item16.xml><?xml version="1.0" encoding="utf-8"?>
<mcd:customData xmlns="http://www.wps.cn/android/officeDocument/2013/mofficeCustomData" xmlns:mcd="http://www.wps.cn/android/officeDocument/2013/mofficeCustomData" version="2">
  <mcd:comments/>
</mcd:customData>
</file>

<file path=customXml/item17.xml><?xml version="1.0" encoding="utf-8"?>
<mcd:customData xmlns="http://www.wps.cn/android/officeDocument/2013/mofficeCustomData" xmlns:mcd="http://www.wps.cn/android/officeDocument/2013/mofficeCustomData" version="2">
  <mcd:comments/>
</mcd:customData>
</file>

<file path=customXml/item18.xml><?xml version="1.0" encoding="utf-8"?>
<mcd:customData xmlns="http://www.wps.cn/android/officeDocument/2013/mofficeCustomData" xmlns:mcd="http://www.wps.cn/android/officeDocument/2013/mofficeCustomData" version="2">
  <mcd:comments/>
</mcd:customData>
</file>

<file path=customXml/item19.xml><?xml version="1.0" encoding="utf-8"?>
<mcd:customData xmlns="http://www.wps.cn/android/officeDocument/2013/mofficeCustomData" xmlns:mcd="http://www.wps.cn/android/officeDocument/2013/mofficeCustomData" version="2">
  <mcd:comments/>
</mcd:customData>
</file>

<file path=customXml/item2.xml><?xml version="1.0" encoding="utf-8"?>
<mcd:customData xmlns="http://www.wps.cn/android/officeDocument/2013/mofficeCustomData" xmlns:mcd="http://www.wps.cn/android/officeDocument/2013/mofficeCustomData" version="2">
  <mcd:comments/>
</mcd:customData>
</file>

<file path=customXml/item20.xml><?xml version="1.0" encoding="utf-8"?>
<mcd:customData xmlns="http://www.wps.cn/android/officeDocument/2013/mofficeCustomData" xmlns:mcd="http://www.wps.cn/android/officeDocument/2013/mofficeCustomData" version="2">
  <mcd:comments/>
</mcd:customData>
</file>

<file path=customXml/item21.xml><?xml version="1.0" encoding="utf-8"?>
<mcd:customData xmlns="http://www.wps.cn/android/officeDocument/2013/mofficeCustomData" xmlns:mcd="http://www.wps.cn/android/officeDocument/2013/mofficeCustomData" version="2">
  <mcd:comments/>
</mcd:customData>
</file>

<file path=customXml/item22.xml><?xml version="1.0" encoding="utf-8"?>
<mcd:customData xmlns="http://www.wps.cn/android/officeDocument/2013/mofficeCustomData" xmlns:mcd="http://www.wps.cn/android/officeDocument/2013/mofficeCustomData" version="2">
  <mcd:comments/>
</mcd:customData>
</file>

<file path=customXml/item23.xml><?xml version="1.0" encoding="utf-8"?>
<mcd:customData xmlns="http://www.wps.cn/android/officeDocument/2013/mofficeCustomData" xmlns:mcd="http://www.wps.cn/android/officeDocument/2013/mofficeCustomData" version="2">
  <mcd:comments/>
</mcd:customData>
</file>

<file path=customXml/item24.xml><?xml version="1.0" encoding="utf-8"?>
<mcd:customData xmlns="http://www.wps.cn/android/officeDocument/2013/mofficeCustomData" xmlns:mcd="http://www.wps.cn/android/officeDocument/2013/mofficeCustomData" version="2">
  <mcd:comments/>
</mcd:customData>
</file>

<file path=customXml/item25.xml><?xml version="1.0" encoding="utf-8"?>
<mcd:customData xmlns="http://www.wps.cn/android/officeDocument/2013/mofficeCustomData" xmlns:mcd="http://www.wps.cn/android/officeDocument/2013/mofficeCustomData" version="2">
  <mcd:comments/>
</mcd:customData>
</file>

<file path=customXml/item26.xml><?xml version="1.0" encoding="utf-8"?>
<mcd:customData xmlns="http://www.wps.cn/android/officeDocument/2013/mofficeCustomData" xmlns:mcd="http://www.wps.cn/android/officeDocument/2013/mofficeCustomData" version="2">
  <mcd:comments/>
</mcd:customData>
</file>

<file path=customXml/item27.xml><?xml version="1.0" encoding="utf-8"?>
<mcd:customData xmlns="http://www.wps.cn/android/officeDocument/2013/mofficeCustomData" xmlns:mcd="http://www.wps.cn/android/officeDocument/2013/mofficeCustomData" version="2">
  <mcd:comments/>
</mcd:customData>
</file>

<file path=customXml/item28.xml><?xml version="1.0" encoding="utf-8"?>
<mcd:customData xmlns="http://www.wps.cn/android/officeDocument/2013/mofficeCustomData" xmlns:mcd="http://www.wps.cn/android/officeDocument/2013/mofficeCustomData" version="2">
  <mcd:comments/>
</mcd:customData>
</file>

<file path=customXml/item29.xml><?xml version="1.0" encoding="utf-8"?>
<mcd:customData xmlns="http://www.wps.cn/android/officeDocument/2013/mofficeCustomData" xmlns:mcd="http://www.wps.cn/android/officeDocument/2013/mofficeCustomData" version="2">
  <mcd:comments/>
</mcd:customData>
</file>

<file path=customXml/item3.xml><?xml version="1.0" encoding="utf-8"?>
<mcd:customData xmlns="http://www.wps.cn/android/officeDocument/2013/mofficeCustomData" xmlns:mcd="http://www.wps.cn/android/officeDocument/2013/mofficeCustomData" version="2">
  <mcd:comments/>
</mcd:customData>
</file>

<file path=customXml/item30.xml><?xml version="1.0" encoding="utf-8"?>
<mcd:customData xmlns="http://www.wps.cn/android/officeDocument/2013/mofficeCustomData" xmlns:mcd="http://www.wps.cn/android/officeDocument/2013/mofficeCustomData" version="2">
  <mcd:comments/>
</mcd:customData>
</file>

<file path=customXml/item31.xml><?xml version="1.0" encoding="utf-8"?>
<mcd:customData xmlns="http://www.wps.cn/android/officeDocument/2013/mofficeCustomData" xmlns:mcd="http://www.wps.cn/android/officeDocument/2013/mofficeCustomData" version="2">
  <mcd:comments/>
</mcd:customData>
</file>

<file path=customXml/item32.xml><?xml version="1.0" encoding="utf-8"?>
<mcd:customData xmlns="http://www.wps.cn/android/officeDocument/2013/mofficeCustomData" xmlns:mcd="http://www.wps.cn/android/officeDocument/2013/mofficeCustomData" version="2">
  <mcd:comments/>
</mcd:customData>
</file>

<file path=customXml/item33.xml><?xml version="1.0" encoding="utf-8"?>
<mcd:customData xmlns="http://www.wps.cn/android/officeDocument/2013/mofficeCustomData" xmlns:mcd="http://www.wps.cn/android/officeDocument/2013/mofficeCustomData" version="2">
  <mcd:comments/>
</mcd:customData>
</file>

<file path=customXml/item34.xml><?xml version="1.0" encoding="utf-8"?>
<mcd:customData xmlns="http://www.wps.cn/android/officeDocument/2013/mofficeCustomData" xmlns:mcd="http://www.wps.cn/android/officeDocument/2013/mofficeCustomData" version="2">
  <mcd:comments/>
</mcd:customData>
</file>

<file path=customXml/item35.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36.xml><?xml version="1.0" encoding="utf-8"?>
<mcd:customData xmlns="http://www.wps.cn/android/officeDocument/2013/mofficeCustomData" xmlns:mcd="http://www.wps.cn/android/officeDocument/2013/mofficeCustomData" version="2">
  <mcd:comments/>
</mcd:customData>
</file>

<file path=customXml/item37.xml><?xml version="1.0" encoding="utf-8"?>
<mcd:customData xmlns="http://www.wps.cn/android/officeDocument/2013/mofficeCustomData" xmlns:mcd="http://www.wps.cn/android/officeDocument/2013/mofficeCustomData" version="2">
  <mcd:comments/>
</mcd:customData>
</file>

<file path=customXml/item38.xml><?xml version="1.0" encoding="utf-8"?>
<mcd:customData xmlns="http://www.wps.cn/android/officeDocument/2013/mofficeCustomData" xmlns:mcd="http://www.wps.cn/android/officeDocument/2013/mofficeCustomData" version="2">
  <mcd:comments/>
</mcd:customData>
</file>

<file path=customXml/item39.xml><?xml version="1.0" encoding="utf-8"?>
<mcd:customData xmlns="http://www.wps.cn/android/officeDocument/2013/mofficeCustomData" xmlns:mcd="http://www.wps.cn/android/officeDocument/2013/mofficeCustomData" version="2">
  <mcd:comments/>
</mcd:customData>
</file>

<file path=customXml/item4.xml><?xml version="1.0" encoding="utf-8"?>
<mcd:customData xmlns="http://www.wps.cn/android/officeDocument/2013/mofficeCustomData" xmlns:mcd="http://www.wps.cn/android/officeDocument/2013/mofficeCustomData" version="2">
  <mcd:comments/>
</mcd:customData>
</file>

<file path=customXml/item5.xml><?xml version="1.0" encoding="utf-8"?>
<mcd:customData xmlns="http://www.wps.cn/android/officeDocument/2013/mofficeCustomData" xmlns:mcd="http://www.wps.cn/android/officeDocument/2013/mofficeCustomData" version="2">
  <mcd:comments/>
</mcd:customDat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mcd:customData xmlns="http://www.wps.cn/android/officeDocument/2013/mofficeCustomData" xmlns:mcd="http://www.wps.cn/android/officeDocument/2013/mofficeCustomData" version="2">
  <mcd:comments/>
</mcd:customData>
</file>

<file path=customXml/item8.xml><?xml version="1.0" encoding="utf-8"?>
<mcd:customData xmlns="http://www.wps.cn/android/officeDocument/2013/mofficeCustomData" xmlns:mcd="http://www.wps.cn/android/officeDocument/2013/mofficeCustomData" version="2">
  <mcd:comments/>
</mcd:customData>
</file>

<file path=customXml/item9.xml><?xml version="1.0" encoding="utf-8"?>
<mcd:customData xmlns="http://www.wps.cn/android/officeDocument/2013/mofficeCustomData" xmlns:mcd="http://www.wps.cn/android/officeDocument/2013/mofficeCustomData" version="2">
  <mcd:comments/>
</mcd:customData>
</file>

<file path=customXml/itemProps1.xml><?xml version="1.0" encoding="utf-8"?>
<ds:datastoreItem xmlns:ds="http://schemas.openxmlformats.org/officeDocument/2006/customXml" ds:itemID="{959F6E60-918F-40F0-82E5-C3BF7A199493}">
  <ds:schemaRefs>
    <ds:schemaRef ds:uri="http://www.wps.cn/android/officeDocument/2013/mofficeCustomData"/>
  </ds:schemaRefs>
</ds:datastoreItem>
</file>

<file path=customXml/itemProps10.xml><?xml version="1.0" encoding="utf-8"?>
<ds:datastoreItem xmlns:ds="http://schemas.openxmlformats.org/officeDocument/2006/customXml" ds:itemID="{BB07453B-39D7-4DFB-9D85-756A39AFB8CD}">
  <ds:schemaRefs>
    <ds:schemaRef ds:uri="http://www.wps.cn/android/officeDocument/2013/mofficeCustomData"/>
  </ds:schemaRefs>
</ds:datastoreItem>
</file>

<file path=customXml/itemProps11.xml><?xml version="1.0" encoding="utf-8"?>
<ds:datastoreItem xmlns:ds="http://schemas.openxmlformats.org/officeDocument/2006/customXml" ds:itemID="{B862F461-D917-43DD-B07C-989AF93E244A}">
  <ds:schemaRefs>
    <ds:schemaRef ds:uri="http://www.wps.cn/android/officeDocument/2013/mofficeCustomData"/>
  </ds:schemaRefs>
</ds:datastoreItem>
</file>

<file path=customXml/itemProps12.xml><?xml version="1.0" encoding="utf-8"?>
<ds:datastoreItem xmlns:ds="http://schemas.openxmlformats.org/officeDocument/2006/customXml" ds:itemID="{E46A0CA9-4CE9-4963-AB29-AE193381AC24}">
  <ds:schemaRefs>
    <ds:schemaRef ds:uri="http://www.wps.cn/android/officeDocument/2013/mofficeCustomData"/>
  </ds:schemaRefs>
</ds:datastoreItem>
</file>

<file path=customXml/itemProps13.xml><?xml version="1.0" encoding="utf-8"?>
<ds:datastoreItem xmlns:ds="http://schemas.openxmlformats.org/officeDocument/2006/customXml" ds:itemID="{283002BF-2F1C-4FB1-8196-DDBB76B76CCF}">
  <ds:schemaRefs>
    <ds:schemaRef ds:uri="http://www.wps.cn/android/officeDocument/2013/mofficeCustomData"/>
  </ds:schemaRefs>
</ds:datastoreItem>
</file>

<file path=customXml/itemProps14.xml><?xml version="1.0" encoding="utf-8"?>
<ds:datastoreItem xmlns:ds="http://schemas.openxmlformats.org/officeDocument/2006/customXml" ds:itemID="{A6370826-5362-4562-B286-5CCC5A37BB5F}">
  <ds:schemaRefs>
    <ds:schemaRef ds:uri="http://www.wps.cn/android/officeDocument/2013/mofficeCustomData"/>
  </ds:schemaRefs>
</ds:datastoreItem>
</file>

<file path=customXml/itemProps15.xml><?xml version="1.0" encoding="utf-8"?>
<ds:datastoreItem xmlns:ds="http://schemas.openxmlformats.org/officeDocument/2006/customXml" ds:itemID="{E28A3109-CFFF-4223-A052-BCBD148A530C}">
  <ds:schemaRefs>
    <ds:schemaRef ds:uri="http://www.wps.cn/android/officeDocument/2013/mofficeCustomData"/>
  </ds:schemaRefs>
</ds:datastoreItem>
</file>

<file path=customXml/itemProps16.xml><?xml version="1.0" encoding="utf-8"?>
<ds:datastoreItem xmlns:ds="http://schemas.openxmlformats.org/officeDocument/2006/customXml" ds:itemID="{65B9A108-DF59-47BD-9738-8A4872E14F75}">
  <ds:schemaRefs>
    <ds:schemaRef ds:uri="http://www.wps.cn/android/officeDocument/2013/mofficeCustomData"/>
  </ds:schemaRefs>
</ds:datastoreItem>
</file>

<file path=customXml/itemProps17.xml><?xml version="1.0" encoding="utf-8"?>
<ds:datastoreItem xmlns:ds="http://schemas.openxmlformats.org/officeDocument/2006/customXml" ds:itemID="{6E01ADE4-B162-4D0B-966B-9EB581EAEF2F}">
  <ds:schemaRefs>
    <ds:schemaRef ds:uri="http://www.wps.cn/android/officeDocument/2013/mofficeCustomData"/>
  </ds:schemaRefs>
</ds:datastoreItem>
</file>

<file path=customXml/itemProps18.xml><?xml version="1.0" encoding="utf-8"?>
<ds:datastoreItem xmlns:ds="http://schemas.openxmlformats.org/officeDocument/2006/customXml" ds:itemID="{60B1D1F7-19CD-4462-A2CC-F6AFDA90DC68}">
  <ds:schemaRefs>
    <ds:schemaRef ds:uri="http://www.wps.cn/android/officeDocument/2013/mofficeCustomData"/>
  </ds:schemaRefs>
</ds:datastoreItem>
</file>

<file path=customXml/itemProps19.xml><?xml version="1.0" encoding="utf-8"?>
<ds:datastoreItem xmlns:ds="http://schemas.openxmlformats.org/officeDocument/2006/customXml" ds:itemID="{8D6CC5B2-3C0A-415D-843A-2E156DE25D8E}">
  <ds:schemaRefs>
    <ds:schemaRef ds:uri="http://www.wps.cn/android/officeDocument/2013/mofficeCustomData"/>
  </ds:schemaRefs>
</ds:datastoreItem>
</file>

<file path=customXml/itemProps2.xml><?xml version="1.0" encoding="utf-8"?>
<ds:datastoreItem xmlns:ds="http://schemas.openxmlformats.org/officeDocument/2006/customXml" ds:itemID="{C69CFC96-D342-456C-BC47-58A14201FE70}">
  <ds:schemaRefs>
    <ds:schemaRef ds:uri="http://www.wps.cn/android/officeDocument/2013/mofficeCustomData"/>
  </ds:schemaRefs>
</ds:datastoreItem>
</file>

<file path=customXml/itemProps20.xml><?xml version="1.0" encoding="utf-8"?>
<ds:datastoreItem xmlns:ds="http://schemas.openxmlformats.org/officeDocument/2006/customXml" ds:itemID="{E95B9323-4FE7-4E97-A166-DF502C36BE1B}">
  <ds:schemaRefs>
    <ds:schemaRef ds:uri="http://www.wps.cn/android/officeDocument/2013/mofficeCustomData"/>
  </ds:schemaRefs>
</ds:datastoreItem>
</file>

<file path=customXml/itemProps21.xml><?xml version="1.0" encoding="utf-8"?>
<ds:datastoreItem xmlns:ds="http://schemas.openxmlformats.org/officeDocument/2006/customXml" ds:itemID="{C2613A6E-59B2-4CB7-BF51-33BF8CBFFA07}">
  <ds:schemaRefs>
    <ds:schemaRef ds:uri="http://www.wps.cn/android/officeDocument/2013/mofficeCustomData"/>
  </ds:schemaRefs>
</ds:datastoreItem>
</file>

<file path=customXml/itemProps22.xml><?xml version="1.0" encoding="utf-8"?>
<ds:datastoreItem xmlns:ds="http://schemas.openxmlformats.org/officeDocument/2006/customXml" ds:itemID="{E5FC43A8-64D6-4C89-B5E0-33CD0F722D66}">
  <ds:schemaRefs>
    <ds:schemaRef ds:uri="http://www.wps.cn/android/officeDocument/2013/mofficeCustomData"/>
  </ds:schemaRefs>
</ds:datastoreItem>
</file>

<file path=customXml/itemProps23.xml><?xml version="1.0" encoding="utf-8"?>
<ds:datastoreItem xmlns:ds="http://schemas.openxmlformats.org/officeDocument/2006/customXml" ds:itemID="{41E9CDF7-689B-4528-B772-5D4462D739C8}">
  <ds:schemaRefs>
    <ds:schemaRef ds:uri="http://www.wps.cn/android/officeDocument/2013/mofficeCustomData"/>
  </ds:schemaRefs>
</ds:datastoreItem>
</file>

<file path=customXml/itemProps24.xml><?xml version="1.0" encoding="utf-8"?>
<ds:datastoreItem xmlns:ds="http://schemas.openxmlformats.org/officeDocument/2006/customXml" ds:itemID="{1F68E0DD-7CBA-4143-A221-7C0ADC542D11}">
  <ds:schemaRefs>
    <ds:schemaRef ds:uri="http://www.wps.cn/android/officeDocument/2013/mofficeCustomData"/>
  </ds:schemaRefs>
</ds:datastoreItem>
</file>

<file path=customXml/itemProps25.xml><?xml version="1.0" encoding="utf-8"?>
<ds:datastoreItem xmlns:ds="http://schemas.openxmlformats.org/officeDocument/2006/customXml" ds:itemID="{21EC321F-9BCE-49BC-9F09-5BD887973062}">
  <ds:schemaRefs>
    <ds:schemaRef ds:uri="http://www.wps.cn/android/officeDocument/2013/mofficeCustomData"/>
  </ds:schemaRefs>
</ds:datastoreItem>
</file>

<file path=customXml/itemProps26.xml><?xml version="1.0" encoding="utf-8"?>
<ds:datastoreItem xmlns:ds="http://schemas.openxmlformats.org/officeDocument/2006/customXml" ds:itemID="{40791E49-9041-4E99-A961-A9DD871EDA11}">
  <ds:schemaRefs>
    <ds:schemaRef ds:uri="http://www.wps.cn/android/officeDocument/2013/mofficeCustomData"/>
  </ds:schemaRefs>
</ds:datastoreItem>
</file>

<file path=customXml/itemProps27.xml><?xml version="1.0" encoding="utf-8"?>
<ds:datastoreItem xmlns:ds="http://schemas.openxmlformats.org/officeDocument/2006/customXml" ds:itemID="{E4419109-6632-4EDC-9D1C-5DF38B2D7DE6}">
  <ds:schemaRefs>
    <ds:schemaRef ds:uri="http://www.wps.cn/android/officeDocument/2013/mofficeCustomData"/>
  </ds:schemaRefs>
</ds:datastoreItem>
</file>

<file path=customXml/itemProps28.xml><?xml version="1.0" encoding="utf-8"?>
<ds:datastoreItem xmlns:ds="http://schemas.openxmlformats.org/officeDocument/2006/customXml" ds:itemID="{A9FC502C-F96B-47D8-A2E4-8E2E83D5AA24}">
  <ds:schemaRefs>
    <ds:schemaRef ds:uri="http://www.wps.cn/android/officeDocument/2013/mofficeCustomData"/>
  </ds:schemaRefs>
</ds:datastoreItem>
</file>

<file path=customXml/itemProps29.xml><?xml version="1.0" encoding="utf-8"?>
<ds:datastoreItem xmlns:ds="http://schemas.openxmlformats.org/officeDocument/2006/customXml" ds:itemID="{323F6976-9B1F-434C-80A2-8434F8D8E806}">
  <ds:schemaRefs>
    <ds:schemaRef ds:uri="http://www.wps.cn/android/officeDocument/2013/mofficeCustomData"/>
  </ds:schemaRefs>
</ds:datastoreItem>
</file>

<file path=customXml/itemProps3.xml><?xml version="1.0" encoding="utf-8"?>
<ds:datastoreItem xmlns:ds="http://schemas.openxmlformats.org/officeDocument/2006/customXml" ds:itemID="{D9EA1161-FEAA-4268-AC9A-DFE1789CFD88}">
  <ds:schemaRefs>
    <ds:schemaRef ds:uri="http://www.wps.cn/android/officeDocument/2013/mofficeCustomData"/>
  </ds:schemaRefs>
</ds:datastoreItem>
</file>

<file path=customXml/itemProps30.xml><?xml version="1.0" encoding="utf-8"?>
<ds:datastoreItem xmlns:ds="http://schemas.openxmlformats.org/officeDocument/2006/customXml" ds:itemID="{A9F2CA6F-DD3F-46C0-ADF2-8348B8A9531E}">
  <ds:schemaRefs>
    <ds:schemaRef ds:uri="http://www.wps.cn/android/officeDocument/2013/mofficeCustomData"/>
  </ds:schemaRefs>
</ds:datastoreItem>
</file>

<file path=customXml/itemProps31.xml><?xml version="1.0" encoding="utf-8"?>
<ds:datastoreItem xmlns:ds="http://schemas.openxmlformats.org/officeDocument/2006/customXml" ds:itemID="{357A6E1F-E2B5-435B-BB77-3FA1FBEB88C6}">
  <ds:schemaRefs>
    <ds:schemaRef ds:uri="http://www.wps.cn/android/officeDocument/2013/mofficeCustomData"/>
  </ds:schemaRefs>
</ds:datastoreItem>
</file>

<file path=customXml/itemProps32.xml><?xml version="1.0" encoding="utf-8"?>
<ds:datastoreItem xmlns:ds="http://schemas.openxmlformats.org/officeDocument/2006/customXml" ds:itemID="{B40149A8-1F6B-4292-8935-82EB60F6BE62}">
  <ds:schemaRefs>
    <ds:schemaRef ds:uri="http://www.wps.cn/android/officeDocument/2013/mofficeCustomData"/>
  </ds:schemaRefs>
</ds:datastoreItem>
</file>

<file path=customXml/itemProps33.xml><?xml version="1.0" encoding="utf-8"?>
<ds:datastoreItem xmlns:ds="http://schemas.openxmlformats.org/officeDocument/2006/customXml" ds:itemID="{8F084467-2F43-4D90-B21D-4B671E34F6E0}">
  <ds:schemaRefs>
    <ds:schemaRef ds:uri="http://www.wps.cn/android/officeDocument/2013/mofficeCustomData"/>
  </ds:schemaRefs>
</ds:datastoreItem>
</file>

<file path=customXml/itemProps34.xml><?xml version="1.0" encoding="utf-8"?>
<ds:datastoreItem xmlns:ds="http://schemas.openxmlformats.org/officeDocument/2006/customXml" ds:itemID="{17A44659-188B-46FF-A7DF-B59F309DE58E}">
  <ds:schemaRefs>
    <ds:schemaRef ds:uri="http://www.wps.cn/android/officeDocument/2013/mofficeCustomData"/>
  </ds:schemaRefs>
</ds:datastoreItem>
</file>

<file path=customXml/itemProps35.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6.xml><?xml version="1.0" encoding="utf-8"?>
<ds:datastoreItem xmlns:ds="http://schemas.openxmlformats.org/officeDocument/2006/customXml" ds:itemID="{50BC5F98-75B6-487D-BAF1-36A8173307FD}">
  <ds:schemaRefs>
    <ds:schemaRef ds:uri="http://www.wps.cn/android/officeDocument/2013/mofficeCustomData"/>
  </ds:schemaRefs>
</ds:datastoreItem>
</file>

<file path=customXml/itemProps37.xml><?xml version="1.0" encoding="utf-8"?>
<ds:datastoreItem xmlns:ds="http://schemas.openxmlformats.org/officeDocument/2006/customXml" ds:itemID="{C2606D70-0A6B-4F5D-BB1E-57C61561C41E}">
  <ds:schemaRefs>
    <ds:schemaRef ds:uri="http://www.wps.cn/android/officeDocument/2013/mofficeCustomData"/>
  </ds:schemaRefs>
</ds:datastoreItem>
</file>

<file path=customXml/itemProps38.xml><?xml version="1.0" encoding="utf-8"?>
<ds:datastoreItem xmlns:ds="http://schemas.openxmlformats.org/officeDocument/2006/customXml" ds:itemID="{2E9A0BBC-490B-4045-A2E9-C49AF82CF255}">
  <ds:schemaRefs>
    <ds:schemaRef ds:uri="http://www.wps.cn/android/officeDocument/2013/mofficeCustomData"/>
  </ds:schemaRefs>
</ds:datastoreItem>
</file>

<file path=customXml/itemProps39.xml><?xml version="1.0" encoding="utf-8"?>
<ds:datastoreItem xmlns:ds="http://schemas.openxmlformats.org/officeDocument/2006/customXml" ds:itemID="{9E33F85A-39BB-4718-95B7-C3524BD73D38}">
  <ds:schemaRefs>
    <ds:schemaRef ds:uri="http://www.wps.cn/android/officeDocument/2013/mofficeCustomData"/>
  </ds:schemaRefs>
</ds:datastoreItem>
</file>

<file path=customXml/itemProps4.xml><?xml version="1.0" encoding="utf-8"?>
<ds:datastoreItem xmlns:ds="http://schemas.openxmlformats.org/officeDocument/2006/customXml" ds:itemID="{87DDE370-631E-402F-8CDE-4BD70FD8EEEF}">
  <ds:schemaRefs>
    <ds:schemaRef ds:uri="http://www.wps.cn/android/officeDocument/2013/mofficeCustomData"/>
  </ds:schemaRefs>
</ds:datastoreItem>
</file>

<file path=customXml/itemProps5.xml><?xml version="1.0" encoding="utf-8"?>
<ds:datastoreItem xmlns:ds="http://schemas.openxmlformats.org/officeDocument/2006/customXml" ds:itemID="{92380161-1289-4BB6-B5C4-36156173772E}">
  <ds:schemaRefs>
    <ds:schemaRef ds:uri="http://www.wps.cn/android/officeDocument/2013/mofficeCustomData"/>
  </ds:schemaRefs>
</ds:datastoreItem>
</file>

<file path=customXml/itemProps6.xml><?xml version="1.0" encoding="utf-8"?>
<ds:datastoreItem xmlns:ds="http://schemas.openxmlformats.org/officeDocument/2006/customXml" ds:itemID="{C93E6923-BFC8-4629-9924-89317C3977CF}">
  <ds:schemaRefs>
    <ds:schemaRef ds:uri="http://schemas.openxmlformats.org/officeDocument/2006/bibliography"/>
  </ds:schemaRefs>
</ds:datastoreItem>
</file>

<file path=customXml/itemProps7.xml><?xml version="1.0" encoding="utf-8"?>
<ds:datastoreItem xmlns:ds="http://schemas.openxmlformats.org/officeDocument/2006/customXml" ds:itemID="{48547321-985A-4811-B0EA-3D913C39E422}">
  <ds:schemaRefs>
    <ds:schemaRef ds:uri="http://www.wps.cn/android/officeDocument/2013/mofficeCustomData"/>
  </ds:schemaRefs>
</ds:datastoreItem>
</file>

<file path=customXml/itemProps8.xml><?xml version="1.0" encoding="utf-8"?>
<ds:datastoreItem xmlns:ds="http://schemas.openxmlformats.org/officeDocument/2006/customXml" ds:itemID="{DA1427F7-E0B8-485E-ABB5-0DE9BA802D0B}">
  <ds:schemaRefs>
    <ds:schemaRef ds:uri="http://www.wps.cn/android/officeDocument/2013/mofficeCustomData"/>
  </ds:schemaRefs>
</ds:datastoreItem>
</file>

<file path=customXml/itemProps9.xml><?xml version="1.0" encoding="utf-8"?>
<ds:datastoreItem xmlns:ds="http://schemas.openxmlformats.org/officeDocument/2006/customXml" ds:itemID="{C095BCE8-57B1-42FB-AD1F-B2B5FB18E03B}">
  <ds:schemaRefs>
    <ds:schemaRef ds:uri="http://www.wps.cn/android/officeDocument/2013/mofficeCustomData"/>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304886</Words>
  <Characters>1737856</Characters>
  <Application>Microsoft Office Word</Application>
  <DocSecurity>0</DocSecurity>
  <Lines>14482</Lines>
  <Paragraphs>4077</Paragraphs>
  <ScaleCrop>false</ScaleCrop>
  <Company/>
  <LinksUpToDate>false</LinksUpToDate>
  <CharactersWithSpaces>2038665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Avi</dc:creator>
  <cp:lastModifiedBy>Maria Filip</cp:lastModifiedBy>
  <cp:revision>6</cp:revision>
  <cp:lastPrinted>2023-11-27T12:02:00Z</cp:lastPrinted>
  <dcterms:created xsi:type="dcterms:W3CDTF">2024-03-26T13:46:00Z</dcterms:created>
  <dcterms:modified xsi:type="dcterms:W3CDTF">2024-03-29T08:18:00Z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2057-12.2.0.13489</vt:lpwstr>
  </property>
  <property fmtid="{D5CDD505-2E9C-101B-9397-08002B2CF9AE}" pid="3" name="ICV">
    <vt:lpwstr>C0FEAEC2F9744196BE5D779EA3E3D497_13</vt:lpwstr>
  </property>
</Properties>
</file>